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7"/>
        </w:rPr>
      </w:pPr>
    </w:p>
    <w:p>
      <w:pPr>
        <w:spacing w:line="244" w:lineRule="auto" w:before="62"/>
        <w:ind w:left="1861" w:right="-74" w:firstLine="2067"/>
        <w:jc w:val="left"/>
        <w:rPr>
          <w:sz w:val="23"/>
        </w:rPr>
      </w:pPr>
      <w:r>
        <w:rPr/>
        <w:drawing>
          <wp:anchor distT="0" distB="0" distL="0" distR="0" allowOverlap="1" layoutInCell="1" locked="0" behindDoc="0" simplePos="0" relativeHeight="0">
            <wp:simplePos x="0" y="0"/>
            <wp:positionH relativeFrom="page">
              <wp:posOffset>1780032</wp:posOffset>
            </wp:positionH>
            <wp:positionV relativeFrom="paragraph">
              <wp:posOffset>-3550626</wp:posOffset>
            </wp:positionV>
            <wp:extent cx="2817367" cy="3377184"/>
            <wp:effectExtent l="0" t="0" r="0" b="0"/>
            <wp:wrapNone/>
            <wp:docPr id="1" name="image1.jpeg" descr=""/>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2817367" cy="3377184"/>
                    </a:xfrm>
                    <a:prstGeom prst="rect">
                      <a:avLst/>
                    </a:prstGeom>
                  </pic:spPr>
                </pic:pic>
              </a:graphicData>
            </a:graphic>
          </wp:anchor>
        </w:drawing>
      </w:r>
      <w:r>
        <w:rPr>
          <w:rFonts w:ascii="Arial" w:hAnsi="Arial"/>
          <w:b/>
          <w:i/>
          <w:color w:val="2F3875"/>
          <w:spacing w:val="-3"/>
          <w:w w:val="105"/>
          <w:sz w:val="30"/>
        </w:rPr>
        <w:t>it,k4,</w:t>
      </w:r>
      <w:r>
        <w:rPr>
          <w:color w:val="2F3875"/>
          <w:spacing w:val="-3"/>
          <w:w w:val="105"/>
          <w:sz w:val="23"/>
        </w:rPr>
        <w:t>no </w:t>
      </w:r>
      <w:r>
        <w:rPr>
          <w:color w:val="2F3875"/>
          <w:w w:val="105"/>
          <w:sz w:val="23"/>
        </w:rPr>
        <w:t>es un proyec un esfuerzo colectivo de estudiantes y profeso para facilitar el acceso a los materiales necesa educación de la mayor cantidad de gente posi editar en formato digital libros que por su alt porque ya no se consiguen en bibliotecas y li accesibles para</w:t>
      </w:r>
      <w:r>
        <w:rPr>
          <w:color w:val="2F3875"/>
          <w:spacing w:val="-1"/>
          <w:w w:val="105"/>
          <w:sz w:val="23"/>
        </w:rPr>
        <w:t> </w:t>
      </w:r>
      <w:r>
        <w:rPr>
          <w:color w:val="2F3875"/>
          <w:w w:val="105"/>
          <w:sz w:val="23"/>
        </w:rPr>
        <w:t>todos.</w:t>
      </w:r>
    </w:p>
    <w:p>
      <w:pPr>
        <w:pStyle w:val="BodyText"/>
        <w:spacing w:before="10"/>
        <w:rPr>
          <w:sz w:val="15"/>
        </w:rPr>
      </w:pPr>
    </w:p>
    <w:p>
      <w:pPr>
        <w:spacing w:line="242" w:lineRule="auto" w:before="71"/>
        <w:ind w:left="1875" w:right="-9" w:hanging="5"/>
        <w:jc w:val="both"/>
        <w:rPr>
          <w:sz w:val="23"/>
        </w:rPr>
      </w:pPr>
      <w:r>
        <w:rPr>
          <w:color w:val="2F3875"/>
          <w:w w:val="105"/>
          <w:sz w:val="23"/>
        </w:rPr>
        <w:t>Invitamos a todos los interesados en</w:t>
      </w:r>
      <w:r>
        <w:rPr>
          <w:color w:val="2F3875"/>
          <w:spacing w:val="-4"/>
          <w:w w:val="105"/>
          <w:sz w:val="23"/>
        </w:rPr>
        <w:t> </w:t>
      </w:r>
      <w:r>
        <w:rPr>
          <w:color w:val="2F3875"/>
          <w:w w:val="105"/>
          <w:sz w:val="23"/>
        </w:rPr>
        <w:t>participa sugerir </w:t>
      </w:r>
      <w:r>
        <w:rPr>
          <w:color w:val="2F3875"/>
          <w:spacing w:val="2"/>
          <w:w w:val="105"/>
          <w:sz w:val="23"/>
        </w:rPr>
        <w:t>títulos</w:t>
      </w:r>
      <w:r>
        <w:rPr>
          <w:color w:val="485282"/>
          <w:spacing w:val="2"/>
          <w:w w:val="105"/>
          <w:sz w:val="23"/>
        </w:rPr>
        <w:t>, </w:t>
      </w:r>
      <w:r>
        <w:rPr>
          <w:color w:val="2F3875"/>
          <w:w w:val="105"/>
          <w:sz w:val="23"/>
        </w:rPr>
        <w:t>a prestarnos los textos para su ayudarnos en toda la labor técnica que implic El </w:t>
      </w:r>
      <w:r>
        <w:rPr>
          <w:color w:val="2F3875"/>
          <w:spacing w:val="2"/>
          <w:w w:val="105"/>
          <w:sz w:val="23"/>
        </w:rPr>
        <w:t>nuestro</w:t>
      </w:r>
      <w:r>
        <w:rPr>
          <w:color w:val="485282"/>
          <w:spacing w:val="2"/>
          <w:w w:val="105"/>
          <w:sz w:val="23"/>
        </w:rPr>
        <w:t>, </w:t>
      </w:r>
      <w:r>
        <w:rPr>
          <w:color w:val="2F3875"/>
          <w:w w:val="105"/>
          <w:sz w:val="23"/>
        </w:rPr>
        <w:t>es un proyecto colectivo abierto a cualquier persona y todas las</w:t>
      </w:r>
      <w:r>
        <w:rPr>
          <w:color w:val="2F3875"/>
          <w:spacing w:val="-4"/>
          <w:w w:val="105"/>
          <w:sz w:val="23"/>
        </w:rPr>
        <w:t> </w:t>
      </w:r>
      <w:r>
        <w:rPr>
          <w:color w:val="2F3875"/>
          <w:w w:val="105"/>
          <w:sz w:val="23"/>
        </w:rPr>
        <w:t>colaboraciones</w:t>
      </w:r>
    </w:p>
    <w:p>
      <w:pPr>
        <w:spacing w:after="0" w:line="242" w:lineRule="auto"/>
        <w:jc w:val="both"/>
        <w:rPr>
          <w:sz w:val="23"/>
        </w:rPr>
        <w:sectPr>
          <w:type w:val="continuous"/>
          <w:pgSz w:w="7240" w:h="11800"/>
          <w:pgMar w:top="1100" w:bottom="0" w:left="980" w:right="0"/>
        </w:sectPr>
      </w:pPr>
    </w:p>
    <w:p>
      <w:pPr>
        <w:spacing w:before="35"/>
        <w:ind w:left="467" w:right="532" w:firstLine="0"/>
        <w:jc w:val="center"/>
        <w:rPr>
          <w:sz w:val="33"/>
        </w:rPr>
      </w:pPr>
      <w:r>
        <w:rPr>
          <w:color w:val="010101"/>
          <w:w w:val="105"/>
          <w:sz w:val="33"/>
        </w:rPr>
        <w:t>Society  of  Actuaries' Texthook</w:t>
      </w:r>
    </w:p>
    <w:p>
      <w:pPr>
        <w:spacing w:before="120"/>
        <w:ind w:left="467" w:right="492" w:firstLine="0"/>
        <w:jc w:val="center"/>
        <w:rPr>
          <w:sz w:val="23"/>
        </w:rPr>
      </w:pPr>
      <w:r>
        <w:rPr>
          <w:color w:val="010101"/>
          <w:w w:val="105"/>
          <w:sz w:val="23"/>
        </w:rPr>
        <w:t>ON</w:t>
      </w:r>
    </w:p>
    <w:p>
      <w:pPr>
        <w:spacing w:line="802" w:lineRule="exact" w:before="92"/>
        <w:ind w:left="125" w:right="98" w:hanging="62"/>
        <w:jc w:val="center"/>
        <w:rPr>
          <w:sz w:val="71"/>
        </w:rPr>
      </w:pPr>
      <w:r>
        <w:rPr>
          <w:color w:val="010101"/>
          <w:sz w:val="71"/>
        </w:rPr>
        <w:t>LIFE   </w:t>
      </w:r>
      <w:r>
        <w:rPr>
          <w:color w:val="010101"/>
          <w:w w:val="90"/>
          <w:sz w:val="71"/>
        </w:rPr>
        <w:t>CONTINGENCIES</w:t>
      </w:r>
    </w:p>
    <w:p>
      <w:pPr>
        <w:pStyle w:val="BodyText"/>
        <w:spacing w:before="7"/>
        <w:rPr>
          <w:sz w:val="55"/>
        </w:rPr>
      </w:pPr>
    </w:p>
    <w:p>
      <w:pPr>
        <w:spacing w:before="1"/>
        <w:ind w:left="467" w:right="509" w:firstLine="0"/>
        <w:jc w:val="center"/>
        <w:rPr>
          <w:rFonts w:ascii="Courier New"/>
          <w:b/>
          <w:sz w:val="20"/>
        </w:rPr>
      </w:pPr>
      <w:r>
        <w:rPr>
          <w:rFonts w:ascii="Courier New"/>
          <w:b/>
          <w:color w:val="010101"/>
          <w:w w:val="105"/>
          <w:sz w:val="20"/>
        </w:rPr>
        <w:t>BY</w:t>
      </w:r>
    </w:p>
    <w:p>
      <w:pPr>
        <w:spacing w:before="157"/>
        <w:ind w:left="467" w:right="458" w:firstLine="0"/>
        <w:jc w:val="center"/>
        <w:rPr>
          <w:sz w:val="26"/>
        </w:rPr>
      </w:pPr>
      <w:r>
        <w:rPr>
          <w:color w:val="010101"/>
          <w:w w:val="105"/>
          <w:sz w:val="26"/>
        </w:rPr>
        <w:t>CHESTER  WALLACE  JORDAN, Jr.</w:t>
      </w:r>
    </w:p>
    <w:p>
      <w:pPr>
        <w:spacing w:line="295" w:lineRule="auto" w:before="112"/>
        <w:ind w:left="1541" w:right="1596" w:firstLine="0"/>
        <w:jc w:val="center"/>
        <w:rPr>
          <w:i/>
          <w:sz w:val="17"/>
        </w:rPr>
      </w:pPr>
      <w:r>
        <w:rPr>
          <w:i/>
          <w:color w:val="010101"/>
          <w:sz w:val="17"/>
        </w:rPr>
        <w:t>Fellow of the Societ y o/ Actuaries </w:t>
      </w:r>
      <w:r>
        <w:rPr>
          <w:i/>
          <w:color w:val="010101"/>
          <w:sz w:val="17"/>
        </w:rPr>
        <w:t>Pro/ essor  o/  </w:t>
      </w:r>
      <w:r>
        <w:rPr>
          <w:rFonts w:ascii="Arial"/>
          <w:i/>
          <w:color w:val="010101"/>
          <w:sz w:val="17"/>
        </w:rPr>
        <w:t>M</w:t>
      </w:r>
      <w:r>
        <w:rPr>
          <w:i/>
          <w:color w:val="010101"/>
          <w:sz w:val="17"/>
        </w:rPr>
        <w:t>athematics </w:t>
      </w:r>
      <w:r>
        <w:rPr>
          <w:i/>
          <w:color w:val="010101"/>
          <w:sz w:val="17"/>
        </w:rPr>
        <w:t>Williams </w:t>
      </w:r>
      <w:r>
        <w:rPr>
          <w:i/>
          <w:color w:val="010101"/>
          <w:spacing w:val="31"/>
          <w:sz w:val="17"/>
        </w:rPr>
        <w:t> </w:t>
      </w:r>
      <w:r>
        <w:rPr>
          <w:i/>
          <w:color w:val="010101"/>
          <w:sz w:val="17"/>
        </w:rPr>
        <w:t>College</w:t>
      </w:r>
    </w:p>
    <w:p>
      <w:pPr>
        <w:pStyle w:val="BodyText"/>
        <w:rPr>
          <w:i/>
          <w:sz w:val="16"/>
        </w:rPr>
      </w:pPr>
    </w:p>
    <w:p>
      <w:pPr>
        <w:pStyle w:val="BodyText"/>
        <w:rPr>
          <w:i/>
          <w:sz w:val="16"/>
        </w:rPr>
      </w:pPr>
    </w:p>
    <w:p>
      <w:pPr>
        <w:pStyle w:val="BodyText"/>
        <w:rPr>
          <w:i/>
          <w:sz w:val="16"/>
        </w:rPr>
      </w:pPr>
    </w:p>
    <w:p>
      <w:pPr>
        <w:pStyle w:val="BodyText"/>
        <w:rPr>
          <w:i/>
          <w:sz w:val="16"/>
        </w:rPr>
      </w:pPr>
    </w:p>
    <w:p>
      <w:pPr>
        <w:spacing w:before="111"/>
        <w:ind w:left="467" w:right="524" w:firstLine="0"/>
        <w:jc w:val="center"/>
        <w:rPr>
          <w:sz w:val="15"/>
        </w:rPr>
      </w:pPr>
      <w:r>
        <w:rPr>
          <w:color w:val="010101"/>
          <w:w w:val="115"/>
          <w:sz w:val="15"/>
        </w:rPr>
        <w:t>SECOND EDITION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
        <w:rPr>
          <w:sz w:val="19"/>
        </w:rPr>
      </w:pPr>
    </w:p>
    <w:p>
      <w:pPr>
        <w:spacing w:before="0"/>
        <w:ind w:left="467" w:right="472" w:firstLine="0"/>
        <w:jc w:val="center"/>
        <w:rPr>
          <w:i/>
          <w:sz w:val="20"/>
        </w:rPr>
      </w:pPr>
      <w:r>
        <w:rPr>
          <w:i/>
          <w:color w:val="010101"/>
          <w:w w:val="105"/>
          <w:sz w:val="20"/>
        </w:rPr>
        <w:t>Published by</w:t>
      </w:r>
    </w:p>
    <w:p>
      <w:pPr>
        <w:tabs>
          <w:tab w:pos="897" w:val="left" w:leader="none"/>
          <w:tab w:pos="2616" w:val="left" w:leader="none"/>
          <w:tab w:pos="3266" w:val="left" w:leader="none"/>
        </w:tabs>
        <w:spacing w:before="168"/>
        <w:ind w:left="0" w:right="2" w:firstLine="0"/>
        <w:jc w:val="center"/>
        <w:rPr>
          <w:sz w:val="22"/>
        </w:rPr>
      </w:pPr>
      <w:r>
        <w:rPr>
          <w:color w:val="010101"/>
          <w:w w:val="105"/>
          <w:sz w:val="22"/>
        </w:rPr>
        <w:t>T</w:t>
      </w:r>
      <w:r>
        <w:rPr>
          <w:color w:val="010101"/>
          <w:spacing w:val="29"/>
          <w:w w:val="105"/>
          <w:sz w:val="22"/>
        </w:rPr>
        <w:t> </w:t>
      </w:r>
      <w:r>
        <w:rPr>
          <w:color w:val="010101"/>
          <w:w w:val="105"/>
          <w:sz w:val="22"/>
        </w:rPr>
        <w:t>H</w:t>
      </w:r>
      <w:r>
        <w:rPr>
          <w:color w:val="010101"/>
          <w:spacing w:val="34"/>
          <w:w w:val="105"/>
          <w:sz w:val="22"/>
        </w:rPr>
        <w:t> </w:t>
      </w:r>
      <w:r>
        <w:rPr>
          <w:color w:val="010101"/>
          <w:w w:val="105"/>
          <w:sz w:val="22"/>
        </w:rPr>
        <w:t>E</w:t>
        <w:tab/>
        <w:t>S O C I  E  T</w:t>
      </w:r>
      <w:r>
        <w:rPr>
          <w:color w:val="010101"/>
          <w:spacing w:val="17"/>
          <w:w w:val="105"/>
          <w:sz w:val="22"/>
        </w:rPr>
        <w:t> </w:t>
      </w:r>
      <w:r>
        <w:rPr>
          <w:color w:val="010101"/>
          <w:w w:val="105"/>
          <w:sz w:val="22"/>
        </w:rPr>
        <w:t>Y</w:t>
        <w:tab/>
        <w:t>O</w:t>
      </w:r>
      <w:r>
        <w:rPr>
          <w:color w:val="010101"/>
          <w:spacing w:val="28"/>
          <w:w w:val="105"/>
          <w:sz w:val="22"/>
        </w:rPr>
        <w:t> </w:t>
      </w:r>
      <w:r>
        <w:rPr>
          <w:color w:val="010101"/>
          <w:w w:val="105"/>
          <w:sz w:val="22"/>
        </w:rPr>
        <w:t>F</w:t>
        <w:tab/>
        <w:t>A C T U A R I E   </w:t>
      </w:r>
      <w:r>
        <w:rPr>
          <w:color w:val="010101"/>
          <w:spacing w:val="13"/>
          <w:w w:val="105"/>
          <w:sz w:val="22"/>
        </w:rPr>
        <w:t> </w:t>
      </w:r>
      <w:r>
        <w:rPr>
          <w:color w:val="010101"/>
          <w:w w:val="105"/>
          <w:sz w:val="22"/>
        </w:rPr>
        <w:t>S</w:t>
      </w:r>
    </w:p>
    <w:p>
      <w:pPr>
        <w:pStyle w:val="BodyText"/>
        <w:spacing w:before="3"/>
      </w:pPr>
    </w:p>
    <w:p>
      <w:pPr>
        <w:spacing w:before="1"/>
        <w:ind w:left="467" w:right="452" w:firstLine="0"/>
        <w:jc w:val="center"/>
        <w:rPr>
          <w:sz w:val="23"/>
        </w:rPr>
      </w:pPr>
      <w:r>
        <w:rPr>
          <w:color w:val="010101"/>
          <w:w w:val="110"/>
          <w:sz w:val="23"/>
        </w:rPr>
        <w:t>1991</w:t>
      </w:r>
    </w:p>
    <w:p>
      <w:pPr>
        <w:spacing w:after="0"/>
        <w:jc w:val="center"/>
        <w:rPr>
          <w:sz w:val="23"/>
        </w:rPr>
        <w:sectPr>
          <w:pgSz w:w="7200" w:h="11340"/>
          <w:pgMar w:top="520" w:bottom="280" w:left="980" w:right="7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6"/>
        </w:rPr>
      </w:pPr>
    </w:p>
    <w:p>
      <w:pPr>
        <w:spacing w:line="206" w:lineRule="exact" w:before="77"/>
        <w:ind w:left="1452" w:right="1930" w:firstLine="0"/>
        <w:jc w:val="center"/>
        <w:rPr>
          <w:sz w:val="18"/>
        </w:rPr>
      </w:pPr>
      <w:r>
        <w:rPr>
          <w:color w:val="010101"/>
          <w:sz w:val="18"/>
        </w:rPr>
        <w:t>Copyright  1967</w:t>
      </w:r>
    </w:p>
    <w:p>
      <w:pPr>
        <w:spacing w:line="198" w:lineRule="exact" w:before="8"/>
        <w:ind w:left="1452" w:right="1953" w:firstLine="0"/>
        <w:jc w:val="center"/>
        <w:rPr>
          <w:sz w:val="18"/>
        </w:rPr>
      </w:pPr>
      <w:r>
        <w:rPr>
          <w:color w:val="010101"/>
          <w:sz w:val="18"/>
        </w:rPr>
        <w:t>The Society of Actuaries Chicago, Illinois</w:t>
      </w:r>
    </w:p>
    <w:p>
      <w:pPr>
        <w:spacing w:before="108"/>
        <w:ind w:left="309" w:right="773" w:firstLine="0"/>
        <w:jc w:val="center"/>
        <w:rPr>
          <w:sz w:val="18"/>
        </w:rPr>
      </w:pPr>
      <w:r>
        <w:rPr>
          <w:color w:val="010101"/>
          <w:sz w:val="18"/>
        </w:rPr>
        <w:t>Library  of  Congress  Catalog Card  Number 67-31240</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147" w:lineRule="exact" w:before="156"/>
        <w:ind w:left="0" w:right="1276" w:firstLine="0"/>
        <w:jc w:val="right"/>
        <w:rPr>
          <w:i/>
          <w:sz w:val="13"/>
        </w:rPr>
      </w:pPr>
      <w:r>
        <w:rPr>
          <w:color w:val="444444"/>
          <w:w w:val="95"/>
          <w:sz w:val="13"/>
        </w:rPr>
        <w:t>.  </w:t>
      </w:r>
      <w:r>
        <w:rPr>
          <w:i/>
          <w:color w:val="212121"/>
          <w:w w:val="95"/>
          <w:sz w:val="13"/>
        </w:rPr>
        <w:t>!</w:t>
      </w:r>
    </w:p>
    <w:p>
      <w:pPr>
        <w:spacing w:after="0" w:line="147" w:lineRule="exact"/>
        <w:jc w:val="right"/>
        <w:rPr>
          <w:sz w:val="13"/>
        </w:rPr>
        <w:sectPr>
          <w:pgSz w:w="7200" w:h="11340"/>
          <w:pgMar w:top="1060" w:bottom="0" w:left="980" w:right="980"/>
        </w:sectPr>
      </w:pPr>
    </w:p>
    <w:p>
      <w:pPr>
        <w:spacing w:before="47"/>
        <w:ind w:left="671" w:right="0" w:firstLine="0"/>
        <w:jc w:val="left"/>
        <w:rPr>
          <w:sz w:val="21"/>
        </w:rPr>
      </w:pPr>
      <w:bookmarkStart w:name="_TOC_250002" w:id="1"/>
      <w:bookmarkStart w:name="Preface for the Society of Actuaries" w:id="2"/>
      <w:r>
        <w:rPr/>
      </w:r>
      <w:bookmarkEnd w:id="1"/>
      <w:r>
        <w:rPr>
          <w:w w:val="105"/>
          <w:sz w:val="21"/>
        </w:rPr>
        <w:t>PREFACE FOR THE SOCIETY OF  ACTUARIES</w:t>
      </w:r>
    </w:p>
    <w:p>
      <w:pPr>
        <w:pStyle w:val="BodyText"/>
        <w:spacing w:before="7"/>
      </w:pPr>
    </w:p>
    <w:p>
      <w:pPr>
        <w:spacing w:line="240" w:lineRule="auto" w:before="0"/>
        <w:ind w:left="117" w:right="109" w:firstLine="198"/>
        <w:jc w:val="right"/>
        <w:rPr>
          <w:sz w:val="21"/>
        </w:rPr>
      </w:pPr>
      <w:r>
        <w:rPr>
          <w:sz w:val="21"/>
        </w:rPr>
        <w:t>The first edition, published in 1952, has admirably</w:t>
      </w:r>
      <w:r>
        <w:rPr>
          <w:spacing w:val="28"/>
          <w:sz w:val="21"/>
        </w:rPr>
        <w:t> </w:t>
      </w:r>
      <w:r>
        <w:rPr>
          <w:sz w:val="21"/>
        </w:rPr>
        <w:t>served</w:t>
      </w:r>
      <w:r>
        <w:rPr>
          <w:spacing w:val="46"/>
          <w:sz w:val="21"/>
        </w:rPr>
        <w:t> </w:t>
      </w:r>
      <w:r>
        <w:rPr>
          <w:sz w:val="21"/>
        </w:rPr>
        <w:t>the</w:t>
      </w:r>
      <w:r>
        <w:rPr>
          <w:w w:val="106"/>
          <w:sz w:val="21"/>
        </w:rPr>
        <w:t> </w:t>
      </w:r>
      <w:r>
        <w:rPr>
          <w:sz w:val="21"/>
        </w:rPr>
        <w:t>purpose </w:t>
      </w:r>
      <w:r>
        <w:rPr>
          <w:sz w:val="20"/>
        </w:rPr>
        <w:t>for </w:t>
      </w:r>
      <w:r>
        <w:rPr>
          <w:sz w:val="21"/>
        </w:rPr>
        <w:t>which it  was  commissioned-to  provide </w:t>
      </w:r>
      <w:r>
        <w:rPr>
          <w:spacing w:val="43"/>
          <w:sz w:val="21"/>
        </w:rPr>
        <w:t> </w:t>
      </w:r>
      <w:r>
        <w:rPr>
          <w:sz w:val="21"/>
        </w:rPr>
        <w:t>a </w:t>
      </w:r>
      <w:r>
        <w:rPr>
          <w:spacing w:val="13"/>
          <w:sz w:val="21"/>
        </w:rPr>
        <w:t> </w:t>
      </w:r>
      <w:r>
        <w:rPr>
          <w:sz w:val="21"/>
        </w:rPr>
        <w:t>modern</w:t>
      </w:r>
      <w:r>
        <w:rPr>
          <w:w w:val="98"/>
          <w:sz w:val="21"/>
        </w:rPr>
        <w:t> </w:t>
      </w:r>
      <w:r>
        <w:rPr>
          <w:sz w:val="21"/>
        </w:rPr>
        <w:t>text on </w:t>
      </w:r>
      <w:r>
        <w:rPr>
          <w:spacing w:val="5"/>
          <w:sz w:val="21"/>
        </w:rPr>
        <w:t>Life </w:t>
      </w:r>
      <w:r>
        <w:rPr>
          <w:sz w:val="21"/>
        </w:rPr>
        <w:t>Contingencies, applicable to the</w:t>
      </w:r>
      <w:r>
        <w:rPr>
          <w:spacing w:val="7"/>
          <w:sz w:val="21"/>
        </w:rPr>
        <w:t> </w:t>
      </w:r>
      <w:r>
        <w:rPr>
          <w:sz w:val="21"/>
        </w:rPr>
        <w:t>benefits</w:t>
      </w:r>
      <w:r>
        <w:rPr>
          <w:spacing w:val="45"/>
          <w:sz w:val="21"/>
        </w:rPr>
        <w:t> </w:t>
      </w:r>
      <w:r>
        <w:rPr>
          <w:sz w:val="21"/>
        </w:rPr>
        <w:t>commonly</w:t>
      </w:r>
      <w:r>
        <w:rPr>
          <w:w w:val="97"/>
          <w:sz w:val="21"/>
        </w:rPr>
        <w:t> </w:t>
      </w:r>
      <w:r>
        <w:rPr>
          <w:sz w:val="21"/>
        </w:rPr>
        <w:t>offered by life insurance companies in the United</w:t>
      </w:r>
      <w:r>
        <w:rPr>
          <w:spacing w:val="35"/>
          <w:sz w:val="21"/>
        </w:rPr>
        <w:t> </w:t>
      </w:r>
      <w:r>
        <w:rPr>
          <w:sz w:val="21"/>
        </w:rPr>
        <w:t>States</w:t>
      </w:r>
      <w:r>
        <w:rPr>
          <w:spacing w:val="11"/>
          <w:sz w:val="21"/>
        </w:rPr>
        <w:t> </w:t>
      </w:r>
      <w:r>
        <w:rPr>
          <w:sz w:val="21"/>
        </w:rPr>
        <w:t>and</w:t>
      </w:r>
      <w:r>
        <w:rPr>
          <w:w w:val="103"/>
          <w:sz w:val="21"/>
        </w:rPr>
        <w:t> </w:t>
      </w:r>
      <w:r>
        <w:rPr>
          <w:sz w:val="21"/>
        </w:rPr>
        <w:t>Canada. That it has served so well is due to the</w:t>
      </w:r>
      <w:r>
        <w:rPr>
          <w:spacing w:val="11"/>
          <w:sz w:val="21"/>
        </w:rPr>
        <w:t> </w:t>
      </w:r>
      <w:r>
        <w:rPr>
          <w:sz w:val="21"/>
        </w:rPr>
        <w:t>fortunate</w:t>
      </w:r>
      <w:r>
        <w:rPr>
          <w:spacing w:val="19"/>
          <w:sz w:val="21"/>
        </w:rPr>
        <w:t> </w:t>
      </w:r>
      <w:r>
        <w:rPr>
          <w:sz w:val="21"/>
        </w:rPr>
        <w:t>combina­</w:t>
      </w:r>
      <w:r>
        <w:rPr>
          <w:w w:val="98"/>
          <w:sz w:val="21"/>
        </w:rPr>
        <w:t> </w:t>
      </w:r>
      <w:r>
        <w:rPr>
          <w:sz w:val="21"/>
        </w:rPr>
        <w:t>tion of technical ability and expository talent of the</w:t>
      </w:r>
      <w:r>
        <w:rPr>
          <w:spacing w:val="41"/>
          <w:sz w:val="21"/>
        </w:rPr>
        <w:t> </w:t>
      </w:r>
      <w:r>
        <w:rPr>
          <w:sz w:val="21"/>
        </w:rPr>
        <w:t>author,</w:t>
      </w:r>
      <w:r>
        <w:rPr>
          <w:spacing w:val="50"/>
          <w:sz w:val="21"/>
        </w:rPr>
        <w:t> </w:t>
      </w:r>
      <w:r>
        <w:rPr>
          <w:sz w:val="21"/>
        </w:rPr>
        <w:t>C.</w:t>
      </w:r>
      <w:r>
        <w:rPr>
          <w:w w:val="103"/>
          <w:sz w:val="21"/>
        </w:rPr>
        <w:t> </w:t>
      </w:r>
      <w:r>
        <w:rPr>
          <w:sz w:val="21"/>
        </w:rPr>
        <w:t>Wallace Jordan, Professor of Mathematics  at </w:t>
      </w:r>
      <w:r>
        <w:rPr>
          <w:spacing w:val="15"/>
          <w:sz w:val="21"/>
        </w:rPr>
        <w:t> </w:t>
      </w:r>
      <w:r>
        <w:rPr>
          <w:sz w:val="21"/>
        </w:rPr>
        <w:t>Williams </w:t>
      </w:r>
      <w:r>
        <w:rPr>
          <w:spacing w:val="14"/>
          <w:sz w:val="21"/>
        </w:rPr>
        <w:t> </w:t>
      </w:r>
      <w:r>
        <w:rPr>
          <w:sz w:val="21"/>
        </w:rPr>
        <w:t>Coliege</w:t>
      </w:r>
      <w:r>
        <w:rPr>
          <w:w w:val="95"/>
          <w:sz w:val="21"/>
        </w:rPr>
        <w:t> </w:t>
      </w:r>
      <w:r>
        <w:rPr>
          <w:sz w:val="21"/>
        </w:rPr>
        <w:t>and Feliow of the Society of Actuaries, and to the members</w:t>
      </w:r>
      <w:r>
        <w:rPr>
          <w:spacing w:val="27"/>
          <w:sz w:val="21"/>
        </w:rPr>
        <w:t> </w:t>
      </w:r>
      <w:r>
        <w:rPr>
          <w:sz w:val="21"/>
        </w:rPr>
        <w:t>of</w:t>
      </w:r>
      <w:r>
        <w:rPr>
          <w:spacing w:val="30"/>
          <w:sz w:val="21"/>
        </w:rPr>
        <w:t> </w:t>
      </w:r>
      <w:r>
        <w:rPr>
          <w:sz w:val="21"/>
        </w:rPr>
        <w:t>the</w:t>
      </w:r>
      <w:r>
        <w:rPr>
          <w:w w:val="106"/>
          <w:sz w:val="21"/>
        </w:rPr>
        <w:t> </w:t>
      </w:r>
      <w:r>
        <w:rPr>
          <w:sz w:val="21"/>
        </w:rPr>
        <w:t>Society's Education and Examination Committee</w:t>
      </w:r>
      <w:r>
        <w:rPr>
          <w:spacing w:val="45"/>
          <w:sz w:val="21"/>
        </w:rPr>
        <w:t> </w:t>
      </w:r>
      <w:r>
        <w:rPr>
          <w:sz w:val="21"/>
        </w:rPr>
        <w:t>who </w:t>
      </w:r>
      <w:r>
        <w:rPr>
          <w:spacing w:val="29"/>
          <w:sz w:val="21"/>
        </w:rPr>
        <w:t> </w:t>
      </w:r>
      <w:r>
        <w:rPr>
          <w:sz w:val="21"/>
        </w:rPr>
        <w:t>assisted</w:t>
      </w:r>
      <w:r>
        <w:rPr>
          <w:w w:val="98"/>
          <w:sz w:val="21"/>
        </w:rPr>
        <w:t> </w:t>
      </w:r>
      <w:r>
        <w:rPr>
          <w:sz w:val="21"/>
        </w:rPr>
        <w:t>him, particularly Morton </w:t>
      </w:r>
      <w:r>
        <w:rPr>
          <w:rFonts w:ascii="Arial" w:hAnsi="Arial"/>
          <w:sz w:val="20"/>
        </w:rPr>
        <w:t>D. </w:t>
      </w:r>
      <w:r>
        <w:rPr>
          <w:sz w:val="21"/>
        </w:rPr>
        <w:t>Miller, who determined</w:t>
      </w:r>
      <w:r>
        <w:rPr>
          <w:spacing w:val="15"/>
          <w:sz w:val="21"/>
        </w:rPr>
        <w:t> </w:t>
      </w:r>
      <w:r>
        <w:rPr>
          <w:sz w:val="21"/>
        </w:rPr>
        <w:t>in</w:t>
      </w:r>
      <w:r>
        <w:rPr>
          <w:spacing w:val="35"/>
          <w:sz w:val="21"/>
        </w:rPr>
        <w:t> </w:t>
      </w:r>
      <w:r>
        <w:rPr>
          <w:sz w:val="21"/>
        </w:rPr>
        <w:t>large</w:t>
      </w:r>
      <w:r>
        <w:rPr>
          <w:w w:val="99"/>
          <w:sz w:val="21"/>
        </w:rPr>
        <w:t> </w:t>
      </w:r>
      <w:r>
        <w:rPr>
          <w:sz w:val="21"/>
        </w:rPr>
        <w:t>measure the scope of the first edition and</w:t>
      </w:r>
      <w:r>
        <w:rPr>
          <w:spacing w:val="26"/>
          <w:sz w:val="21"/>
        </w:rPr>
        <w:t> </w:t>
      </w:r>
      <w:r>
        <w:rPr>
          <w:sz w:val="21"/>
        </w:rPr>
        <w:t>persuaded</w:t>
      </w:r>
      <w:r>
        <w:rPr>
          <w:spacing w:val="23"/>
          <w:sz w:val="21"/>
        </w:rPr>
        <w:t> </w:t>
      </w:r>
      <w:r>
        <w:rPr>
          <w:sz w:val="21"/>
        </w:rPr>
        <w:t>Professor</w:t>
      </w:r>
      <w:r>
        <w:rPr>
          <w:w w:val="97"/>
          <w:sz w:val="21"/>
        </w:rPr>
        <w:t> </w:t>
      </w:r>
      <w:r>
        <w:rPr>
          <w:sz w:val="21"/>
        </w:rPr>
        <w:t>Jordan to be its author, and David H. Harris, who</w:t>
      </w:r>
      <w:r>
        <w:rPr>
          <w:spacing w:val="41"/>
          <w:sz w:val="21"/>
        </w:rPr>
        <w:t> </w:t>
      </w:r>
      <w:r>
        <w:rPr>
          <w:sz w:val="21"/>
        </w:rPr>
        <w:t>devoted</w:t>
      </w:r>
      <w:r>
        <w:rPr>
          <w:spacing w:val="1"/>
          <w:sz w:val="21"/>
        </w:rPr>
        <w:t> </w:t>
      </w:r>
      <w:r>
        <w:rPr>
          <w:sz w:val="21"/>
        </w:rPr>
        <w:t>much</w:t>
      </w:r>
      <w:r>
        <w:rPr>
          <w:w w:val="98"/>
          <w:sz w:val="21"/>
        </w:rPr>
        <w:t> </w:t>
      </w:r>
      <w:r>
        <w:rPr>
          <w:sz w:val="21"/>
        </w:rPr>
        <w:t>time and thought to the organization and preparation of</w:t>
      </w:r>
      <w:r>
        <w:rPr>
          <w:spacing w:val="24"/>
          <w:sz w:val="21"/>
        </w:rPr>
        <w:t> </w:t>
      </w:r>
      <w:r>
        <w:rPr>
          <w:sz w:val="21"/>
        </w:rPr>
        <w:t>the</w:t>
      </w:r>
      <w:r>
        <w:rPr>
          <w:spacing w:val="26"/>
          <w:sz w:val="21"/>
        </w:rPr>
        <w:t> </w:t>
      </w:r>
      <w:r>
        <w:rPr>
          <w:sz w:val="21"/>
        </w:rPr>
        <w:t>text.</w:t>
      </w:r>
      <w:r>
        <w:rPr>
          <w:w w:val="106"/>
          <w:sz w:val="21"/>
        </w:rPr>
        <w:t> </w:t>
      </w:r>
      <w:r>
        <w:rPr>
          <w:sz w:val="21"/>
        </w:rPr>
        <w:t>When it became evident that an updated "textbook</w:t>
      </w:r>
      <w:r>
        <w:rPr>
          <w:spacing w:val="47"/>
          <w:sz w:val="21"/>
        </w:rPr>
        <w:t> </w:t>
      </w:r>
      <w:r>
        <w:rPr>
          <w:sz w:val="21"/>
        </w:rPr>
        <w:t>was</w:t>
      </w:r>
      <w:r>
        <w:rPr>
          <w:spacing w:val="-2"/>
          <w:sz w:val="21"/>
        </w:rPr>
        <w:t> </w:t>
      </w:r>
      <w:r>
        <w:rPr>
          <w:sz w:val="21"/>
        </w:rPr>
        <w:t>desirable,</w:t>
      </w:r>
      <w:r>
        <w:rPr>
          <w:w w:val="98"/>
          <w:sz w:val="21"/>
        </w:rPr>
        <w:t> </w:t>
      </w:r>
      <w:r>
        <w:rPr>
          <w:sz w:val="21"/>
        </w:rPr>
        <w:t>Paul T. Rotter, then General Chairman of the</w:t>
      </w:r>
      <w:r>
        <w:rPr>
          <w:spacing w:val="11"/>
          <w:sz w:val="21"/>
        </w:rPr>
        <w:t> </w:t>
      </w:r>
      <w:r>
        <w:rPr>
          <w:sz w:val="21"/>
        </w:rPr>
        <w:t>Society's</w:t>
      </w:r>
      <w:r>
        <w:rPr>
          <w:spacing w:val="19"/>
          <w:sz w:val="21"/>
        </w:rPr>
        <w:t> </w:t>
      </w:r>
      <w:r>
        <w:rPr>
          <w:sz w:val="21"/>
        </w:rPr>
        <w:t>Education</w:t>
      </w:r>
      <w:r>
        <w:rPr>
          <w:w w:val="102"/>
          <w:sz w:val="21"/>
        </w:rPr>
        <w:t> </w:t>
      </w:r>
      <w:r>
        <w:rPr>
          <w:sz w:val="21"/>
        </w:rPr>
        <w:t>and Examination Committee, prevailed upon Professor</w:t>
      </w:r>
      <w:r>
        <w:rPr>
          <w:spacing w:val="-12"/>
          <w:sz w:val="21"/>
        </w:rPr>
        <w:t> </w:t>
      </w:r>
      <w:r>
        <w:rPr>
          <w:sz w:val="21"/>
        </w:rPr>
        <w:t>Jordan</w:t>
      </w:r>
      <w:r>
        <w:rPr>
          <w:spacing w:val="42"/>
          <w:sz w:val="21"/>
        </w:rPr>
        <w:t> </w:t>
      </w:r>
      <w:r>
        <w:rPr>
          <w:sz w:val="21"/>
        </w:rPr>
        <w:t>to</w:t>
      </w:r>
      <w:r>
        <w:rPr>
          <w:w w:val="104"/>
          <w:sz w:val="21"/>
        </w:rPr>
        <w:t> </w:t>
      </w:r>
      <w:r>
        <w:rPr>
          <w:sz w:val="21"/>
        </w:rPr>
        <w:t>revise his book. Once again, Professor Jordan has applied</w:t>
      </w:r>
      <w:r>
        <w:rPr>
          <w:spacing w:val="32"/>
          <w:sz w:val="21"/>
        </w:rPr>
        <w:t> </w:t>
      </w:r>
      <w:r>
        <w:rPr>
          <w:sz w:val="21"/>
        </w:rPr>
        <w:t>to</w:t>
      </w:r>
      <w:r>
        <w:rPr>
          <w:spacing w:val="31"/>
          <w:sz w:val="21"/>
        </w:rPr>
        <w:t> </w:t>
      </w:r>
      <w:r>
        <w:rPr>
          <w:sz w:val="21"/>
        </w:rPr>
        <w:t>the</w:t>
      </w:r>
      <w:r>
        <w:rPr>
          <w:w w:val="106"/>
          <w:sz w:val="21"/>
        </w:rPr>
        <w:t> </w:t>
      </w:r>
      <w:r>
        <w:rPr>
          <w:sz w:val="21"/>
        </w:rPr>
        <w:t>task </w:t>
      </w:r>
      <w:r>
        <w:rPr>
          <w:rFonts w:ascii="Arial" w:hAnsi="Arial"/>
          <w:sz w:val="18"/>
        </w:rPr>
        <w:t>hu; </w:t>
      </w:r>
      <w:r>
        <w:rPr>
          <w:sz w:val="21"/>
        </w:rPr>
        <w:t>many talents which, with  his unfailing good</w:t>
      </w:r>
      <w:r>
        <w:rPr>
          <w:spacing w:val="6"/>
          <w:sz w:val="21"/>
        </w:rPr>
        <w:t> </w:t>
      </w:r>
      <w:r>
        <w:rPr>
          <w:sz w:val="21"/>
        </w:rPr>
        <w:t>humor,</w:t>
      </w:r>
      <w:r>
        <w:rPr>
          <w:spacing w:val="27"/>
          <w:sz w:val="21"/>
        </w:rPr>
        <w:t> </w:t>
      </w:r>
      <w:r>
        <w:rPr>
          <w:sz w:val="21"/>
        </w:rPr>
        <w:t>were</w:t>
      </w:r>
      <w:r>
        <w:rPr>
          <w:w w:val="97"/>
          <w:sz w:val="21"/>
        </w:rPr>
        <w:t> </w:t>
      </w:r>
      <w:r>
        <w:rPr>
          <w:sz w:val="21"/>
        </w:rPr>
        <w:t>so successful in producing the first edition. Zehman</w:t>
      </w:r>
      <w:r>
        <w:rPr>
          <w:spacing w:val="34"/>
          <w:sz w:val="21"/>
        </w:rPr>
        <w:t> </w:t>
      </w:r>
      <w:r>
        <w:rPr>
          <w:sz w:val="22"/>
        </w:rPr>
        <w:t>I.</w:t>
      </w:r>
      <w:r>
        <w:rPr>
          <w:spacing w:val="11"/>
          <w:sz w:val="22"/>
        </w:rPr>
        <w:t> </w:t>
      </w:r>
      <w:r>
        <w:rPr>
          <w:sz w:val="21"/>
        </w:rPr>
        <w:t>Mosesson,</w:t>
      </w:r>
      <w:r>
        <w:rPr>
          <w:w w:val="96"/>
          <w:sz w:val="21"/>
        </w:rPr>
        <w:t> </w:t>
      </w:r>
      <w:r>
        <w:rPr>
          <w:sz w:val="21"/>
        </w:rPr>
        <w:t>F.S.A., made </w:t>
      </w:r>
      <w:r>
        <w:rPr>
          <w:rFonts w:ascii="Arial" w:hAnsi="Arial"/>
          <w:sz w:val="18"/>
        </w:rPr>
        <w:t>a </w:t>
      </w:r>
      <w:r>
        <w:rPr>
          <w:sz w:val="21"/>
        </w:rPr>
        <w:t>painstaking review of the revised</w:t>
      </w:r>
      <w:r>
        <w:rPr>
          <w:spacing w:val="-15"/>
          <w:sz w:val="21"/>
        </w:rPr>
        <w:t> </w:t>
      </w:r>
      <w:r>
        <w:rPr>
          <w:sz w:val="21"/>
        </w:rPr>
        <w:t>manuscript</w:t>
      </w:r>
      <w:r>
        <w:rPr>
          <w:spacing w:val="50"/>
          <w:sz w:val="21"/>
        </w:rPr>
        <w:t> </w:t>
      </w:r>
      <w:r>
        <w:rPr>
          <w:sz w:val="21"/>
        </w:rPr>
        <w:t>and</w:t>
      </w:r>
      <w:r>
        <w:rPr>
          <w:w w:val="101"/>
          <w:sz w:val="21"/>
        </w:rPr>
        <w:t> </w:t>
      </w:r>
      <w:r>
        <w:rPr>
          <w:sz w:val="21"/>
        </w:rPr>
        <w:t>page</w:t>
      </w:r>
      <w:r>
        <w:rPr>
          <w:spacing w:val="40"/>
          <w:sz w:val="21"/>
        </w:rPr>
        <w:t> </w:t>
      </w:r>
      <w:r>
        <w:rPr>
          <w:sz w:val="21"/>
        </w:rPr>
        <w:t>proofs</w:t>
      </w:r>
      <w:r>
        <w:rPr>
          <w:spacing w:val="41"/>
          <w:sz w:val="21"/>
        </w:rPr>
        <w:t> </w:t>
      </w:r>
      <w:r>
        <w:rPr>
          <w:sz w:val="21"/>
        </w:rPr>
        <w:t>and</w:t>
      </w:r>
      <w:r>
        <w:rPr>
          <w:spacing w:val="36"/>
          <w:sz w:val="21"/>
        </w:rPr>
        <w:t> </w:t>
      </w:r>
      <w:r>
        <w:rPr>
          <w:sz w:val="21"/>
        </w:rPr>
        <w:t>worked </w:t>
      </w:r>
      <w:r>
        <w:rPr>
          <w:spacing w:val="1"/>
          <w:sz w:val="21"/>
        </w:rPr>
        <w:t> </w:t>
      </w:r>
      <w:r>
        <w:rPr>
          <w:sz w:val="21"/>
        </w:rPr>
        <w:t>closely</w:t>
      </w:r>
      <w:r>
        <w:rPr>
          <w:spacing w:val="40"/>
          <w:sz w:val="21"/>
        </w:rPr>
        <w:t> </w:t>
      </w:r>
      <w:r>
        <w:rPr>
          <w:sz w:val="21"/>
        </w:rPr>
        <w:t>with</w:t>
      </w:r>
      <w:r>
        <w:rPr>
          <w:spacing w:val="45"/>
          <w:sz w:val="21"/>
        </w:rPr>
        <w:t> </w:t>
      </w:r>
      <w:r>
        <w:rPr>
          <w:sz w:val="21"/>
        </w:rPr>
        <w:t>the</w:t>
      </w:r>
      <w:r>
        <w:rPr>
          <w:spacing w:val="39"/>
          <w:sz w:val="21"/>
        </w:rPr>
        <w:t> </w:t>
      </w:r>
      <w:r>
        <w:rPr>
          <w:sz w:val="21"/>
        </w:rPr>
        <w:t>author,</w:t>
      </w:r>
      <w:r>
        <w:rPr>
          <w:spacing w:val="38"/>
          <w:sz w:val="21"/>
        </w:rPr>
        <w:t> </w:t>
      </w:r>
      <w:r>
        <w:rPr>
          <w:sz w:val="21"/>
        </w:rPr>
        <w:t>as</w:t>
      </w:r>
      <w:r>
        <w:rPr>
          <w:spacing w:val="23"/>
          <w:sz w:val="21"/>
        </w:rPr>
        <w:t> </w:t>
      </w:r>
      <w:r>
        <w:rPr>
          <w:sz w:val="21"/>
        </w:rPr>
        <w:t>did</w:t>
      </w:r>
      <w:r>
        <w:rPr>
          <w:spacing w:val="39"/>
          <w:sz w:val="21"/>
        </w:rPr>
        <w:t> </w:t>
      </w:r>
      <w:r>
        <w:rPr>
          <w:sz w:val="21"/>
        </w:rPr>
        <w:t>John</w:t>
      </w:r>
      <w:r>
        <w:rPr>
          <w:spacing w:val="41"/>
          <w:sz w:val="21"/>
        </w:rPr>
        <w:t> </w:t>
      </w:r>
      <w:r>
        <w:rPr>
          <w:sz w:val="21"/>
        </w:rPr>
        <w:t>A.</w:t>
      </w:r>
    </w:p>
    <w:p>
      <w:pPr>
        <w:spacing w:line="238" w:lineRule="exact" w:before="0"/>
        <w:ind w:left="139" w:right="0" w:firstLine="0"/>
        <w:jc w:val="left"/>
        <w:rPr>
          <w:sz w:val="21"/>
        </w:rPr>
      </w:pPr>
      <w:r>
        <w:rPr>
          <w:sz w:val="21"/>
        </w:rPr>
        <w:t>Fibiger, F.S.A.</w:t>
      </w:r>
    </w:p>
    <w:p>
      <w:pPr>
        <w:spacing w:before="3"/>
        <w:ind w:left="135" w:right="104" w:firstLine="194"/>
        <w:jc w:val="both"/>
        <w:rPr>
          <w:sz w:val="21"/>
        </w:rPr>
      </w:pPr>
      <w:r>
        <w:rPr>
          <w:sz w:val="21"/>
        </w:rPr>
        <w:t>The Board of Governors of the Society of Actuaries is most appreciative of the great amount  of  work  and  talent  contributed by Professor Jordan toward the education of  actuarial  students, both past and to come. The usefulness of the second  edition  not only to those studying lífe contingencies but also to those engaged </w:t>
      </w:r>
      <w:r>
        <w:rPr>
          <w:w w:val="101"/>
          <w:sz w:val="21"/>
        </w:rPr>
        <w:t>in </w:t>
      </w:r>
      <w:r>
        <w:rPr>
          <w:spacing w:val="-1"/>
          <w:w w:val="110"/>
          <w:sz w:val="21"/>
        </w:rPr>
        <w:t>actuaria!practice</w:t>
      </w:r>
      <w:r>
        <w:rPr>
          <w:w w:val="110"/>
          <w:sz w:val="21"/>
        </w:rPr>
        <w:t> </w:t>
      </w:r>
      <w:r>
        <w:rPr>
          <w:w w:val="91"/>
          <w:sz w:val="21"/>
        </w:rPr>
        <w:t>will </w:t>
      </w:r>
      <w:r>
        <w:rPr>
          <w:w w:val="98"/>
          <w:sz w:val="21"/>
        </w:rPr>
        <w:t>be </w:t>
      </w:r>
      <w:r>
        <w:rPr>
          <w:w w:val="107"/>
          <w:sz w:val="21"/>
        </w:rPr>
        <w:t>a </w:t>
      </w:r>
      <w:r>
        <w:rPr>
          <w:w w:val="98"/>
          <w:sz w:val="21"/>
        </w:rPr>
        <w:t>source </w:t>
      </w:r>
      <w:r>
        <w:rPr>
          <w:w w:val="83"/>
          <w:sz w:val="21"/>
        </w:rPr>
        <w:t>of </w:t>
      </w:r>
      <w:r>
        <w:rPr>
          <w:w w:val="100"/>
          <w:sz w:val="21"/>
        </w:rPr>
        <w:t>gratification </w:t>
      </w:r>
      <w:r>
        <w:rPr>
          <w:w w:val="107"/>
          <w:sz w:val="21"/>
        </w:rPr>
        <w:t>to </w:t>
      </w:r>
      <w:r>
        <w:rPr>
          <w:w w:val="97"/>
          <w:sz w:val="21"/>
        </w:rPr>
        <w:t>all </w:t>
      </w:r>
      <w:r>
        <w:rPr>
          <w:w w:val="96"/>
          <w:sz w:val="21"/>
        </w:rPr>
        <w:t>con­ </w:t>
      </w:r>
      <w:r>
        <w:rPr>
          <w:sz w:val="21"/>
        </w:rPr>
        <w:t>cerned.</w:t>
      </w:r>
    </w:p>
    <w:p>
      <w:pPr>
        <w:spacing w:after="0"/>
        <w:jc w:val="both"/>
        <w:rPr>
          <w:sz w:val="21"/>
        </w:rPr>
        <w:sectPr>
          <w:pgSz w:w="7200" w:h="11340"/>
          <w:pgMar w:top="520" w:bottom="280" w:left="660" w:right="540"/>
        </w:sectPr>
      </w:pPr>
    </w:p>
    <w:p>
      <w:pPr>
        <w:spacing w:line="239" w:lineRule="exact" w:before="0"/>
        <w:ind w:left="693" w:right="0" w:firstLine="0"/>
        <w:jc w:val="center"/>
        <w:rPr>
          <w:sz w:val="15"/>
        </w:rPr>
      </w:pPr>
      <w:r>
        <w:rPr>
          <w:w w:val="110"/>
          <w:sz w:val="15"/>
        </w:rPr>
        <w:t>HAROLD  </w:t>
      </w:r>
      <w:r>
        <w:rPr>
          <w:w w:val="110"/>
          <w:sz w:val="22"/>
        </w:rPr>
        <w:t>R.</w:t>
      </w:r>
      <w:r>
        <w:rPr>
          <w:spacing w:val="-25"/>
          <w:w w:val="110"/>
          <w:sz w:val="22"/>
        </w:rPr>
        <w:t> </w:t>
      </w:r>
      <w:r>
        <w:rPr>
          <w:spacing w:val="2"/>
          <w:w w:val="110"/>
          <w:sz w:val="15"/>
        </w:rPr>
        <w:t>LAWSON</w:t>
      </w:r>
    </w:p>
    <w:p>
      <w:pPr>
        <w:spacing w:line="238" w:lineRule="exact" w:before="0"/>
        <w:ind w:left="681" w:right="0" w:firstLine="0"/>
        <w:jc w:val="center"/>
        <w:rPr>
          <w:i/>
          <w:sz w:val="21"/>
        </w:rPr>
      </w:pPr>
      <w:r>
        <w:rPr>
          <w:i/>
          <w:sz w:val="21"/>
        </w:rPr>
        <w:t>President</w:t>
      </w:r>
    </w:p>
    <w:p>
      <w:pPr>
        <w:spacing w:line="240" w:lineRule="exact" w:before="0"/>
        <w:ind w:left="696" w:right="0" w:firstLine="0"/>
        <w:jc w:val="center"/>
        <w:rPr>
          <w:sz w:val="21"/>
        </w:rPr>
      </w:pPr>
      <w:r>
        <w:rPr>
          <w:sz w:val="21"/>
        </w:rPr>
        <w:t>Society of Actuaries</w:t>
      </w:r>
    </w:p>
    <w:p>
      <w:pPr>
        <w:spacing w:before="64"/>
        <w:ind w:left="1297" w:right="926" w:firstLine="0"/>
        <w:jc w:val="center"/>
        <w:rPr>
          <w:rFonts w:ascii="Arial"/>
          <w:b/>
          <w:sz w:val="14"/>
        </w:rPr>
      </w:pPr>
      <w:r>
        <w:rPr/>
        <w:br w:type="column"/>
      </w:r>
      <w:r>
        <w:rPr>
          <w:rFonts w:ascii="Arial"/>
          <w:b/>
          <w:w w:val="120"/>
          <w:sz w:val="14"/>
        </w:rPr>
        <w:t>JULIUS VoGEL</w:t>
      </w:r>
    </w:p>
    <w:p>
      <w:pPr>
        <w:spacing w:before="12"/>
        <w:ind w:left="693" w:right="330" w:firstLine="11"/>
        <w:jc w:val="center"/>
        <w:rPr>
          <w:sz w:val="21"/>
        </w:rPr>
      </w:pPr>
      <w:r>
        <w:rPr>
          <w:i/>
          <w:sz w:val="21"/>
        </w:rPr>
        <w:t>Genera/, Chairman </w:t>
      </w:r>
      <w:r>
        <w:rPr>
          <w:sz w:val="21"/>
        </w:rPr>
        <w:t>Education and Examination Committee</w:t>
      </w:r>
    </w:p>
    <w:p>
      <w:pPr>
        <w:spacing w:after="0"/>
        <w:jc w:val="center"/>
        <w:rPr>
          <w:sz w:val="21"/>
        </w:rPr>
        <w:sectPr>
          <w:type w:val="continuous"/>
          <w:pgSz w:w="7200" w:h="11340"/>
          <w:pgMar w:top="1100" w:bottom="0" w:left="660" w:right="540"/>
          <w:cols w:num="2" w:equalWidth="0">
            <w:col w:w="2441" w:space="90"/>
            <w:col w:w="3469"/>
          </w:cols>
        </w:sectPr>
      </w:pPr>
    </w:p>
    <w:p>
      <w:pPr>
        <w:spacing w:before="52"/>
        <w:ind w:left="98" w:right="72" w:firstLine="0"/>
        <w:jc w:val="center"/>
        <w:rPr>
          <w:sz w:val="15"/>
        </w:rPr>
      </w:pPr>
      <w:r>
        <w:rPr>
          <w:w w:val="125"/>
          <w:sz w:val="15"/>
        </w:rPr>
        <w:t>BERT A. WINTER</w:t>
      </w:r>
    </w:p>
    <w:p>
      <w:pPr>
        <w:spacing w:line="240" w:lineRule="exact" w:before="12"/>
        <w:ind w:left="98" w:right="60" w:firstLine="0"/>
        <w:jc w:val="center"/>
        <w:rPr>
          <w:i/>
          <w:sz w:val="21"/>
        </w:rPr>
      </w:pPr>
      <w:r>
        <w:rPr>
          <w:i/>
          <w:sz w:val="21"/>
        </w:rPr>
        <w:t>Chairman</w:t>
      </w:r>
    </w:p>
    <w:p>
      <w:pPr>
        <w:spacing w:line="240" w:lineRule="exact" w:before="0"/>
        <w:ind w:left="91" w:right="87" w:firstLine="0"/>
        <w:jc w:val="center"/>
        <w:rPr>
          <w:sz w:val="21"/>
        </w:rPr>
      </w:pPr>
      <w:r>
        <w:rPr>
          <w:sz w:val="21"/>
        </w:rPr>
        <w:t>Advisory  Committee  on Education  and Examinations</w:t>
      </w:r>
    </w:p>
    <w:p>
      <w:pPr>
        <w:pStyle w:val="BodyText"/>
        <w:spacing w:before="7"/>
        <w:rPr>
          <w:sz w:val="13"/>
        </w:rPr>
      </w:pPr>
    </w:p>
    <w:p>
      <w:pPr>
        <w:spacing w:before="73"/>
        <w:ind w:left="132" w:right="0" w:firstLine="0"/>
        <w:jc w:val="left"/>
        <w:rPr>
          <w:sz w:val="21"/>
        </w:rPr>
      </w:pPr>
      <w:r>
        <w:rPr>
          <w:sz w:val="21"/>
        </w:rPr>
        <w:t>August,  1967</w:t>
      </w:r>
    </w:p>
    <w:p>
      <w:pPr>
        <w:spacing w:before="96"/>
        <w:ind w:left="13" w:right="0" w:firstLine="0"/>
        <w:jc w:val="center"/>
        <w:rPr>
          <w:b/>
          <w:sz w:val="13"/>
        </w:rPr>
      </w:pPr>
      <w:r>
        <w:rPr>
          <w:b/>
          <w:w w:val="103"/>
          <w:sz w:val="13"/>
        </w:rPr>
        <w:t>V</w:t>
      </w:r>
    </w:p>
    <w:p>
      <w:pPr>
        <w:spacing w:after="0"/>
        <w:jc w:val="center"/>
        <w:rPr>
          <w:sz w:val="13"/>
        </w:rPr>
        <w:sectPr>
          <w:type w:val="continuous"/>
          <w:pgSz w:w="7200" w:h="11340"/>
          <w:pgMar w:top="1100" w:bottom="0" w:left="660" w:right="540"/>
        </w:sectPr>
      </w:pPr>
    </w:p>
    <w:p>
      <w:pPr>
        <w:pStyle w:val="BodyText"/>
        <w:rPr>
          <w:b/>
        </w:rPr>
      </w:pPr>
    </w:p>
    <w:p>
      <w:pPr>
        <w:pStyle w:val="BodyText"/>
        <w:spacing w:before="5"/>
        <w:rPr>
          <w:b/>
          <w:sz w:val="17"/>
        </w:rPr>
      </w:pPr>
    </w:p>
    <w:p>
      <w:pPr>
        <w:spacing w:line="238" w:lineRule="exact" w:before="0"/>
        <w:ind w:left="1728" w:right="739" w:hanging="1077"/>
        <w:jc w:val="left"/>
        <w:rPr>
          <w:sz w:val="21"/>
        </w:rPr>
      </w:pPr>
      <w:r>
        <w:rPr>
          <w:w w:val="105"/>
          <w:sz w:val="21"/>
        </w:rPr>
        <w:t>EXCERPTS FROM THE AUTHOR'S PREFACE TO  THE  FIRST  EDITION</w:t>
      </w:r>
    </w:p>
    <w:p>
      <w:pPr>
        <w:pStyle w:val="BodyText"/>
        <w:spacing w:before="2"/>
        <w:rPr>
          <w:sz w:val="21"/>
        </w:rPr>
      </w:pPr>
    </w:p>
    <w:p>
      <w:pPr>
        <w:spacing w:line="237" w:lineRule="auto" w:before="1"/>
        <w:ind w:left="126" w:right="106" w:firstLine="180"/>
        <w:jc w:val="both"/>
        <w:rPr>
          <w:sz w:val="21"/>
        </w:rPr>
      </w:pPr>
      <w:r>
        <w:rPr>
          <w:sz w:val="21"/>
        </w:rPr>
        <w:t>This book was prepared for the Society of  Actua.óes  as a text  for students of </w:t>
      </w:r>
      <w:r>
        <w:rPr>
          <w:spacing w:val="3"/>
          <w:sz w:val="21"/>
        </w:rPr>
        <w:t>life </w:t>
      </w:r>
      <w:r>
        <w:rPr>
          <w:sz w:val="21"/>
        </w:rPr>
        <w:t>contingencies. The material included forms a survey of the fundamental principles of lif e contingencies with applications </w:t>
      </w:r>
      <w:r>
        <w:rPr>
          <w:sz w:val="22"/>
        </w:rPr>
        <w:t>to </w:t>
      </w:r>
      <w:r>
        <w:rPr>
          <w:sz w:val="21"/>
        </w:rPr>
        <w:t>American lif e insurance</w:t>
      </w:r>
      <w:r>
        <w:rPr>
          <w:spacing w:val="36"/>
          <w:sz w:val="21"/>
        </w:rPr>
        <w:t> </w:t>
      </w:r>
      <w:r>
        <w:rPr>
          <w:sz w:val="21"/>
        </w:rPr>
        <w:t>practice.</w:t>
      </w:r>
    </w:p>
    <w:p>
      <w:pPr>
        <w:spacing w:line="237" w:lineRule="auto" w:before="0"/>
        <w:ind w:left="115" w:right="107" w:firstLine="212"/>
        <w:jc w:val="both"/>
        <w:rPr>
          <w:sz w:val="21"/>
        </w:rPr>
      </w:pPr>
      <w:r>
        <w:rPr>
          <w:sz w:val="22"/>
        </w:rPr>
        <w:t>In </w:t>
      </w:r>
      <w:r>
        <w:rPr>
          <w:sz w:val="21"/>
        </w:rPr>
        <w:t>designing the pedagogic approach, the author  has  been mindful of the needs of those many </w:t>
      </w:r>
      <w:r>
        <w:rPr>
          <w:b/>
          <w:sz w:val="21"/>
        </w:rPr>
        <w:t>actuaria.l </w:t>
      </w:r>
      <w:r>
        <w:rPr>
          <w:sz w:val="21"/>
        </w:rPr>
        <w:t>students who must acquire their knowledge of life contingencies without the assistance of an instructor. Since the text is their only teacher, these students deserve particularly full discussions of the basic concepts. Accord­ ingly, a special effort has been made </w:t>
      </w:r>
      <w:r>
        <w:rPr>
          <w:sz w:val="22"/>
        </w:rPr>
        <w:t>to </w:t>
      </w:r>
      <w:r>
        <w:rPr>
          <w:sz w:val="21"/>
        </w:rPr>
        <w:t>give careful and meaningful explanations of such fundamental ideas as the mortality table, the force of mortality, reserves, and the various multiple-life statuses. Emphasis is constantly placed oti a relatively small number of primary principles, and attention is drawn </w:t>
      </w:r>
      <w:r>
        <w:rPr>
          <w:sz w:val="22"/>
        </w:rPr>
        <w:t>to </w:t>
      </w:r>
      <w:r>
        <w:rPr>
          <w:sz w:val="21"/>
        </w:rPr>
        <w:t>the unity inherent  in the different  branches  of  the subject.</w:t>
      </w:r>
    </w:p>
    <w:p>
      <w:pPr>
        <w:spacing w:line="237" w:lineRule="auto" w:before="0"/>
        <w:ind w:left="112" w:right="112" w:firstLine="205"/>
        <w:jc w:val="both"/>
        <w:rPr>
          <w:sz w:val="20"/>
        </w:rPr>
      </w:pPr>
      <w:r>
        <w:rPr>
          <w:w w:val="110"/>
          <w:sz w:val="21"/>
        </w:rPr>
        <w:t>lt </w:t>
      </w:r>
      <w:r>
        <w:rPr>
          <w:sz w:val="21"/>
        </w:rPr>
        <w:t>is important for the student </w:t>
      </w:r>
      <w:r>
        <w:rPr>
          <w:sz w:val="22"/>
        </w:rPr>
        <w:t>to </w:t>
      </w:r>
      <w:r>
        <w:rPr>
          <w:sz w:val="21"/>
        </w:rPr>
        <w:t>test his comprehension of  the text at frequent intervals by solving problems. Collections of exer­ cises are placed at the end of each chapter, and the student should turn </w:t>
      </w:r>
      <w:r>
        <w:rPr>
          <w:sz w:val="22"/>
        </w:rPr>
        <w:t>to </w:t>
      </w:r>
      <w:r>
        <w:rPr>
          <w:sz w:val="21"/>
        </w:rPr>
        <w:t>the exercises as he completes each section of a chapter. Answers are given for all the exercises, either on the same page when the form of the answer gives no clue as to the method of solution,  or at the end of  the  </w:t>
      </w:r>
      <w:r>
        <w:rPr>
          <w:sz w:val="20"/>
        </w:rPr>
        <w:t>book.</w:t>
      </w:r>
    </w:p>
    <w:p>
      <w:pPr>
        <w:spacing w:before="0"/>
        <w:ind w:left="112" w:right="109" w:firstLine="198"/>
        <w:jc w:val="both"/>
        <w:rPr>
          <w:sz w:val="21"/>
        </w:rPr>
      </w:pPr>
      <w:r>
        <w:rPr>
          <w:sz w:val="21"/>
        </w:rPr>
        <w:t>The mathematical symbols used in the book are based on the International Actuaria! Notation. A few new symbols are intro­ duced; in particular, the following new usages should  </w:t>
      </w:r>
      <w:r>
        <w:rPr>
          <w:rFonts w:ascii="Arial" w:hAnsi="Arial"/>
          <w:sz w:val="18"/>
        </w:rPr>
        <w:t>be </w:t>
      </w:r>
      <w:r>
        <w:rPr>
          <w:sz w:val="21"/>
        </w:rPr>
        <w:t>noted: </w:t>
      </w:r>
      <w:r>
        <w:rPr>
          <w:i/>
          <w:sz w:val="21"/>
        </w:rPr>
        <w:t>(ia)z  </w:t>
      </w:r>
      <w:r>
        <w:rPr>
          <w:sz w:val="21"/>
        </w:rPr>
        <w:t>and  </w:t>
      </w:r>
      <w:r>
        <w:rPr>
          <w:i/>
          <w:sz w:val="21"/>
        </w:rPr>
        <w:t>( lA)z  </w:t>
      </w:r>
      <w:r>
        <w:rPr>
          <w:sz w:val="21"/>
        </w:rPr>
        <w:t>for  the present  values  of  a continuous</w:t>
      </w:r>
      <w:r>
        <w:rPr>
          <w:spacing w:val="-5"/>
          <w:sz w:val="21"/>
        </w:rPr>
        <w:t> </w:t>
      </w:r>
      <w:r>
        <w:rPr>
          <w:sz w:val="21"/>
        </w:rPr>
        <w:t>increasing</w:t>
      </w:r>
    </w:p>
    <w:p>
      <w:pPr>
        <w:spacing w:line="75" w:lineRule="exact" w:before="0"/>
        <w:ind w:left="112" w:right="133" w:firstLine="0"/>
        <w:jc w:val="left"/>
        <w:rPr>
          <w:sz w:val="21"/>
        </w:rPr>
      </w:pPr>
      <w:r>
        <w:rPr>
          <w:sz w:val="21"/>
        </w:rPr>
        <w:t>annuity and insurance,  P</w:t>
      </w:r>
      <w:r>
        <w:rPr>
          <w:position w:val="9"/>
          <w:sz w:val="15"/>
        </w:rPr>
        <w:t>1   1 </w:t>
      </w:r>
      <w:r>
        <w:rPr>
          <w:sz w:val="21"/>
        </w:rPr>
        <w:t>for an apportionable premium  payable</w:t>
      </w:r>
    </w:p>
    <w:p>
      <w:pPr>
        <w:spacing w:line="153" w:lineRule="exact" w:before="0"/>
        <w:ind w:left="74" w:right="1218" w:firstLine="0"/>
        <w:jc w:val="center"/>
        <w:rPr>
          <w:sz w:val="15"/>
        </w:rPr>
      </w:pPr>
      <w:r>
        <w:rPr>
          <w:w w:val="130"/>
          <w:sz w:val="15"/>
        </w:rPr>
        <w:t>"'</w:t>
      </w:r>
    </w:p>
    <w:p>
      <w:pPr>
        <w:spacing w:line="235" w:lineRule="auto" w:before="16"/>
        <w:ind w:left="108" w:right="113" w:firstLine="3"/>
        <w:jc w:val="both"/>
        <w:rPr>
          <w:sz w:val="21"/>
        </w:rPr>
      </w:pPr>
      <w:r>
        <w:rPr>
          <w:rFonts w:ascii="Arial" w:hAnsi="Arial"/>
          <w:i/>
          <w:w w:val="105"/>
          <w:sz w:val="18"/>
        </w:rPr>
        <w:t>m </w:t>
      </w:r>
      <w:r>
        <w:rPr>
          <w:w w:val="105"/>
          <w:sz w:val="21"/>
        </w:rPr>
        <w:t>times a year, and </w:t>
      </w:r>
      <w:r>
        <w:rPr>
          <w:w w:val="105"/>
          <w:sz w:val="18"/>
        </w:rPr>
        <w:t>Sz:nl </w:t>
      </w:r>
      <w:r>
        <w:rPr>
          <w:w w:val="105"/>
          <w:sz w:val="21"/>
        </w:rPr>
        <w:t>for the value of a foreborne annuity-due in place of the older symbol </w:t>
      </w:r>
      <w:r>
        <w:rPr>
          <w:w w:val="105"/>
          <w:sz w:val="13"/>
        </w:rPr>
        <w:t>tluz • </w:t>
      </w:r>
      <w:r>
        <w:rPr>
          <w:w w:val="105"/>
          <w:sz w:val="21"/>
        </w:rPr>
        <w:t>No previous knowledge of the lnternational Code is assumed here; each symbol is defined at its first appearance, and an Index </w:t>
      </w:r>
      <w:r>
        <w:rPr>
          <w:w w:val="105"/>
          <w:sz w:val="22"/>
        </w:rPr>
        <w:t>to </w:t>
      </w:r>
      <w:r>
        <w:rPr>
          <w:w w:val="105"/>
          <w:sz w:val="21"/>
        </w:rPr>
        <w:t>Notation shows the page on which each definition is given.</w:t>
      </w:r>
    </w:p>
    <w:p>
      <w:pPr>
        <w:spacing w:line="238" w:lineRule="exact" w:before="6"/>
        <w:ind w:left="108" w:right="132" w:firstLine="194"/>
        <w:jc w:val="both"/>
        <w:rPr>
          <w:sz w:val="21"/>
        </w:rPr>
      </w:pPr>
      <w:r>
        <w:rPr>
          <w:sz w:val="21"/>
        </w:rPr>
        <w:t>The material in this book has been obtained from many sources, including the author's own experience in practica} actuarial work and  in  teaching.  The  author  was  first  introduced  </w:t>
      </w:r>
      <w:r>
        <w:rPr>
          <w:sz w:val="22"/>
        </w:rPr>
        <w:t>to  </w:t>
      </w:r>
      <w:r>
        <w:rPr>
          <w:sz w:val="21"/>
        </w:rPr>
        <w:t>life contin­</w:t>
      </w:r>
    </w:p>
    <w:p>
      <w:pPr>
        <w:spacing w:before="43"/>
        <w:ind w:left="74" w:right="97" w:firstLine="0"/>
        <w:jc w:val="center"/>
        <w:rPr>
          <w:b/>
          <w:sz w:val="18"/>
        </w:rPr>
      </w:pPr>
      <w:r>
        <w:rPr>
          <w:b/>
          <w:w w:val="105"/>
          <w:sz w:val="18"/>
        </w:rPr>
        <w:t>vii</w:t>
      </w:r>
    </w:p>
    <w:p>
      <w:pPr>
        <w:spacing w:after="0"/>
        <w:jc w:val="center"/>
        <w:rPr>
          <w:sz w:val="18"/>
        </w:rPr>
        <w:sectPr>
          <w:pgSz w:w="7200" w:h="11340"/>
          <w:pgMar w:top="1060" w:bottom="280" w:left="680" w:right="540"/>
        </w:sectPr>
      </w:pPr>
    </w:p>
    <w:p>
      <w:pPr>
        <w:spacing w:before="51"/>
        <w:ind w:left="132" w:right="0" w:firstLine="0"/>
        <w:jc w:val="both"/>
        <w:rPr>
          <w:b/>
          <w:sz w:val="15"/>
        </w:rPr>
      </w:pPr>
      <w:r>
        <w:rPr>
          <w:b/>
          <w:w w:val="105"/>
          <w:sz w:val="20"/>
        </w:rPr>
        <w:t>viii   </w:t>
      </w:r>
      <w:r>
        <w:rPr>
          <w:b/>
          <w:w w:val="105"/>
          <w:sz w:val="15"/>
        </w:rPr>
        <w:t>EXCERPTS FROM THE AUTHOR'S PREFACE TO THE FIRST  EDITION</w:t>
      </w:r>
    </w:p>
    <w:p>
      <w:pPr>
        <w:pStyle w:val="BodyText"/>
        <w:spacing w:before="4"/>
        <w:rPr>
          <w:b/>
        </w:rPr>
      </w:pPr>
    </w:p>
    <w:p>
      <w:pPr>
        <w:spacing w:line="237" w:lineRule="auto" w:before="0"/>
        <w:ind w:left="128" w:right="111" w:firstLine="7"/>
        <w:jc w:val="both"/>
        <w:rPr>
          <w:sz w:val="21"/>
        </w:rPr>
      </w:pPr>
      <w:r>
        <w:rPr>
          <w:sz w:val="21"/>
        </w:rPr>
        <w:t>gencies through the textbook of the British Institute of Actuaries written by George King and revised by E. F. Spurgeon, and his present task has been greatly simplified by the existence of this excellent text. The importance of King's work in systematizing the subject of life contingencies cannot be overemphasized. Another writer whose work has been a more recent influence </w:t>
      </w:r>
      <w:r>
        <w:rPr>
          <w:sz w:val="20"/>
        </w:rPr>
        <w:t>is </w:t>
      </w:r>
      <w:r>
        <w:rPr>
          <w:sz w:val="21"/>
        </w:rPr>
        <w:t>Ernst Zwinggi.</w:t>
      </w:r>
    </w:p>
    <w:p>
      <w:pPr>
        <w:spacing w:line="240" w:lineRule="auto" w:before="0"/>
        <w:ind w:left="124" w:right="120" w:firstLine="198"/>
        <w:jc w:val="both"/>
        <w:rPr>
          <w:sz w:val="21"/>
        </w:rPr>
      </w:pPr>
      <w:r>
        <w:rPr>
          <w:sz w:val="21"/>
        </w:rPr>
        <w:t>The preparation of the new text </w:t>
      </w:r>
      <w:r>
        <w:rPr>
          <w:sz w:val="20"/>
        </w:rPr>
        <w:t>has </w:t>
      </w:r>
      <w:r>
        <w:rPr>
          <w:rFonts w:ascii="Arial" w:hAnsi="Arial"/>
          <w:sz w:val="20"/>
        </w:rPr>
        <w:t>aff</w:t>
      </w:r>
      <w:r>
        <w:rPr>
          <w:sz w:val="21"/>
        </w:rPr>
        <w:t>orded the opportunity of consolidating in a single volume a large body of  material  which has previously been available to students only through scattered </w:t>
      </w:r>
      <w:r>
        <w:rPr>
          <w:w w:val="101"/>
          <w:sz w:val="21"/>
        </w:rPr>
        <w:t>papers </w:t>
      </w:r>
      <w:r>
        <w:rPr>
          <w:w w:val="99"/>
          <w:sz w:val="21"/>
        </w:rPr>
        <w:t>in </w:t>
      </w:r>
      <w:r>
        <w:rPr>
          <w:w w:val="107"/>
          <w:sz w:val="21"/>
        </w:rPr>
        <w:t>the </w:t>
      </w:r>
      <w:r>
        <w:rPr>
          <w:w w:val="107"/>
          <w:sz w:val="21"/>
        </w:rPr>
        <w:t>actuaria!journals. </w:t>
      </w:r>
      <w:r>
        <w:rPr>
          <w:w w:val="106"/>
          <w:sz w:val="21"/>
        </w:rPr>
        <w:t>The </w:t>
      </w:r>
      <w:r>
        <w:rPr>
          <w:w w:val="104"/>
          <w:sz w:val="21"/>
        </w:rPr>
        <w:t>author </w:t>
      </w:r>
      <w:r>
        <w:rPr>
          <w:w w:val="104"/>
          <w:sz w:val="21"/>
        </w:rPr>
        <w:t>thus </w:t>
      </w:r>
      <w:r>
        <w:rPr>
          <w:w w:val="100"/>
          <w:sz w:val="21"/>
        </w:rPr>
        <w:t>counts </w:t>
      </w:r>
      <w:r>
        <w:rPr>
          <w:w w:val="100"/>
          <w:sz w:val="21"/>
        </w:rPr>
        <w:t>as </w:t>
      </w:r>
      <w:r>
        <w:rPr>
          <w:w w:val="98"/>
          <w:sz w:val="21"/>
        </w:rPr>
        <w:t>his </w:t>
      </w:r>
      <w:r>
        <w:rPr>
          <w:w w:val="91"/>
          <w:sz w:val="21"/>
        </w:rPr>
        <w:t>col­ </w:t>
      </w:r>
      <w:r>
        <w:rPr>
          <w:sz w:val="21"/>
        </w:rPr>
        <w:t>laborators a large and distinguished company of actuaries upon whose published contributions he has drawn. These original sources are listed in the appended bibliography. The names of the various actuaria} journa.ls  are abbreviated as follows:</w:t>
      </w:r>
    </w:p>
    <w:p>
      <w:pPr>
        <w:tabs>
          <w:tab w:pos="1060" w:val="left" w:leader="none"/>
        </w:tabs>
        <w:spacing w:line="241" w:lineRule="exact" w:before="0"/>
        <w:ind w:left="322" w:right="739" w:firstLine="0"/>
        <w:jc w:val="left"/>
        <w:rPr>
          <w:sz w:val="21"/>
        </w:rPr>
      </w:pPr>
      <w:r>
        <w:rPr>
          <w:sz w:val="21"/>
        </w:rPr>
        <w:t>TSA</w:t>
        <w:tab/>
        <w:t>Transactions of  the Society of</w:t>
      </w:r>
      <w:r>
        <w:rPr>
          <w:spacing w:val="48"/>
          <w:sz w:val="21"/>
        </w:rPr>
        <w:t> </w:t>
      </w:r>
      <w:r>
        <w:rPr>
          <w:sz w:val="21"/>
        </w:rPr>
        <w:t>Actusries</w:t>
      </w:r>
    </w:p>
    <w:p>
      <w:pPr>
        <w:tabs>
          <w:tab w:pos="1057" w:val="left" w:leader="none"/>
        </w:tabs>
        <w:spacing w:before="0"/>
        <w:ind w:left="322" w:right="739" w:firstLine="0"/>
        <w:jc w:val="left"/>
        <w:rPr>
          <w:sz w:val="21"/>
        </w:rPr>
      </w:pPr>
      <w:r>
        <w:rPr>
          <w:sz w:val="21"/>
        </w:rPr>
        <w:t>TASA</w:t>
        <w:tab/>
        <w:t>Transactions of the Actuaria! Society</w:t>
      </w:r>
      <w:r>
        <w:rPr>
          <w:spacing w:val="20"/>
          <w:sz w:val="21"/>
        </w:rPr>
        <w:t> </w:t>
      </w:r>
      <w:r>
        <w:rPr>
          <w:sz w:val="21"/>
        </w:rPr>
        <w:t>of</w:t>
      </w:r>
      <w:r>
        <w:rPr>
          <w:spacing w:val="13"/>
          <w:sz w:val="21"/>
        </w:rPr>
        <w:t> </w:t>
      </w:r>
      <w:r>
        <w:rPr>
          <w:sz w:val="21"/>
        </w:rPr>
        <w:t>America</w:t>
      </w:r>
      <w:r>
        <w:rPr>
          <w:w w:val="96"/>
          <w:sz w:val="21"/>
        </w:rPr>
        <w:t> </w:t>
      </w:r>
      <w:r>
        <w:rPr>
          <w:sz w:val="21"/>
        </w:rPr>
        <w:t>RAJA</w:t>
        <w:tab/>
        <w:t>Record of  the American  Institute of</w:t>
      </w:r>
      <w:r>
        <w:rPr>
          <w:spacing w:val="38"/>
          <w:sz w:val="21"/>
        </w:rPr>
        <w:t> </w:t>
      </w:r>
      <w:r>
        <w:rPr>
          <w:sz w:val="21"/>
        </w:rPr>
        <w:t>Actuaries</w:t>
      </w:r>
    </w:p>
    <w:p>
      <w:pPr>
        <w:tabs>
          <w:tab w:pos="1057" w:val="left" w:leader="none"/>
        </w:tabs>
        <w:spacing w:line="240" w:lineRule="auto" w:before="0"/>
        <w:ind w:left="330" w:right="133" w:hanging="8"/>
        <w:jc w:val="left"/>
        <w:rPr>
          <w:sz w:val="21"/>
        </w:rPr>
      </w:pPr>
      <w:r>
        <w:rPr>
          <w:sz w:val="21"/>
        </w:rPr>
        <w:t>JIA</w:t>
        <w:tab/>
        <w:t>Joumal  oí the  Institute  of  Actuaries  </w:t>
      </w:r>
      <w:r>
        <w:rPr>
          <w:spacing w:val="2"/>
          <w:sz w:val="21"/>
        </w:rPr>
        <w:t>(Great</w:t>
      </w:r>
      <w:r>
        <w:rPr>
          <w:spacing w:val="47"/>
          <w:sz w:val="21"/>
        </w:rPr>
        <w:t> </w:t>
      </w:r>
      <w:r>
        <w:rPr>
          <w:sz w:val="21"/>
        </w:rPr>
        <w:t>Britain)</w:t>
      </w:r>
      <w:r>
        <w:rPr>
          <w:w w:val="102"/>
          <w:sz w:val="21"/>
        </w:rPr>
        <w:t> </w:t>
      </w:r>
      <w:r>
        <w:rPr>
          <w:sz w:val="21"/>
        </w:rPr>
        <w:t>Many persons have assisted in the preparation of the </w:t>
      </w:r>
      <w:r>
        <w:rPr>
          <w:spacing w:val="9"/>
          <w:sz w:val="21"/>
        </w:rPr>
        <w:t> </w:t>
      </w:r>
      <w:r>
        <w:rPr>
          <w:sz w:val="21"/>
        </w:rPr>
        <w:t>manuscript.</w:t>
      </w:r>
    </w:p>
    <w:p>
      <w:pPr>
        <w:spacing w:line="240" w:lineRule="auto" w:before="0"/>
        <w:ind w:left="117" w:right="111" w:firstLine="7"/>
        <w:jc w:val="both"/>
        <w:rPr>
          <w:sz w:val="21"/>
        </w:rPr>
      </w:pPr>
      <w:r>
        <w:rPr>
          <w:sz w:val="21"/>
        </w:rPr>
        <w:t>The major contribution has been that of Mr. David H. Harris,  </w:t>
      </w:r>
      <w:r>
        <w:rPr>
          <w:spacing w:val="-3"/>
          <w:sz w:val="21"/>
        </w:rPr>
        <w:t>F.S.A., </w:t>
      </w:r>
      <w:r>
        <w:rPr>
          <w:sz w:val="21"/>
        </w:rPr>
        <w:t>who served as editorial consultant for the whole project on behalf oí the Society of Actuaries. During the past three years, he has generously devoted many hours to a careful reading of each successive draft of the entire manuscript. His critical  comments  and creative suggestions have contributed greatly to the improve­ ment of the literary style, the clarity of the  exposition,  and  the forro of the mathema.tical demonstrations. The author considers himself most fortunate to have had the assistance of so able a collaborator.</w:t>
      </w:r>
    </w:p>
    <w:p>
      <w:pPr>
        <w:spacing w:line="240" w:lineRule="auto" w:before="0"/>
        <w:ind w:left="117" w:right="122" w:firstLine="198"/>
        <w:jc w:val="both"/>
        <w:rPr>
          <w:sz w:val="21"/>
        </w:rPr>
      </w:pPr>
      <w:r>
        <w:rPr>
          <w:w w:val="105"/>
          <w:sz w:val="21"/>
        </w:rPr>
        <w:t>The author is </w:t>
      </w:r>
      <w:r>
        <w:rPr>
          <w:w w:val="105"/>
          <w:sz w:val="20"/>
        </w:rPr>
        <w:t>also </w:t>
      </w:r>
      <w:r>
        <w:rPr>
          <w:w w:val="105"/>
          <w:sz w:val="21"/>
        </w:rPr>
        <w:t>indebted to Mr. Harry Walker, F.S.A., and  to Mr. Robert D. Acker, F.S.A., both of whom read the whole manuscript. Their valuable criticisms resulted in conspicuous</w:t>
      </w:r>
      <w:r>
        <w:rPr>
          <w:spacing w:val="-34"/>
          <w:w w:val="105"/>
          <w:sz w:val="21"/>
        </w:rPr>
        <w:t> </w:t>
      </w:r>
      <w:r>
        <w:rPr>
          <w:w w:val="105"/>
          <w:sz w:val="21"/>
        </w:rPr>
        <w:t>im­ provements in</w:t>
      </w:r>
      <w:r>
        <w:rPr>
          <w:spacing w:val="-42"/>
          <w:w w:val="105"/>
          <w:sz w:val="21"/>
        </w:rPr>
        <w:t> </w:t>
      </w:r>
      <w:r>
        <w:rPr>
          <w:w w:val="105"/>
          <w:sz w:val="21"/>
        </w:rPr>
        <w:t>the original text.</w:t>
      </w:r>
    </w:p>
    <w:p>
      <w:pPr>
        <w:spacing w:line="242" w:lineRule="auto" w:before="0"/>
        <w:ind w:left="117" w:right="121" w:firstLine="205"/>
        <w:jc w:val="both"/>
        <w:rPr>
          <w:sz w:val="21"/>
        </w:rPr>
      </w:pPr>
      <w:r>
        <w:rPr>
          <w:w w:val="105"/>
          <w:sz w:val="21"/>
        </w:rPr>
        <w:t>Finally, the author wishes to express his sppreciation to the members</w:t>
      </w:r>
      <w:r>
        <w:rPr>
          <w:spacing w:val="-14"/>
          <w:w w:val="105"/>
          <w:sz w:val="21"/>
        </w:rPr>
        <w:t> </w:t>
      </w:r>
      <w:r>
        <w:rPr>
          <w:w w:val="105"/>
          <w:sz w:val="21"/>
        </w:rPr>
        <w:t>of</w:t>
      </w:r>
      <w:r>
        <w:rPr>
          <w:spacing w:val="-13"/>
          <w:w w:val="105"/>
          <w:sz w:val="21"/>
        </w:rPr>
        <w:t> </w:t>
      </w:r>
      <w:r>
        <w:rPr>
          <w:w w:val="105"/>
          <w:sz w:val="21"/>
        </w:rPr>
        <w:t>the</w:t>
      </w:r>
      <w:r>
        <w:rPr>
          <w:spacing w:val="-24"/>
          <w:w w:val="105"/>
          <w:sz w:val="21"/>
        </w:rPr>
        <w:t> </w:t>
      </w:r>
      <w:r>
        <w:rPr>
          <w:w w:val="105"/>
          <w:sz w:val="21"/>
        </w:rPr>
        <w:t>Education</w:t>
      </w:r>
      <w:r>
        <w:rPr>
          <w:spacing w:val="-15"/>
          <w:w w:val="105"/>
          <w:sz w:val="21"/>
        </w:rPr>
        <w:t> </w:t>
      </w:r>
      <w:r>
        <w:rPr>
          <w:w w:val="105"/>
          <w:sz w:val="21"/>
        </w:rPr>
        <w:t>and</w:t>
      </w:r>
      <w:r>
        <w:rPr>
          <w:spacing w:val="-19"/>
          <w:w w:val="105"/>
          <w:sz w:val="21"/>
        </w:rPr>
        <w:t> </w:t>
      </w:r>
      <w:r>
        <w:rPr>
          <w:w w:val="105"/>
          <w:sz w:val="21"/>
        </w:rPr>
        <w:t>Examination</w:t>
      </w:r>
      <w:r>
        <w:rPr>
          <w:spacing w:val="-13"/>
          <w:w w:val="105"/>
          <w:sz w:val="21"/>
        </w:rPr>
        <w:t> </w:t>
      </w:r>
      <w:r>
        <w:rPr>
          <w:w w:val="105"/>
          <w:sz w:val="21"/>
        </w:rPr>
        <w:t>Committee,</w:t>
      </w:r>
      <w:r>
        <w:rPr>
          <w:spacing w:val="-12"/>
          <w:w w:val="105"/>
          <w:sz w:val="21"/>
        </w:rPr>
        <w:t> </w:t>
      </w:r>
      <w:r>
        <w:rPr>
          <w:w w:val="105"/>
          <w:sz w:val="21"/>
        </w:rPr>
        <w:t>and</w:t>
      </w:r>
      <w:r>
        <w:rPr>
          <w:spacing w:val="-18"/>
          <w:w w:val="105"/>
          <w:sz w:val="21"/>
        </w:rPr>
        <w:t> </w:t>
      </w:r>
      <w:r>
        <w:rPr>
          <w:w w:val="105"/>
          <w:sz w:val="21"/>
        </w:rPr>
        <w:t>espe­ cially</w:t>
      </w:r>
      <w:r>
        <w:rPr>
          <w:spacing w:val="-13"/>
          <w:w w:val="105"/>
          <w:sz w:val="21"/>
        </w:rPr>
        <w:t> </w:t>
      </w:r>
      <w:r>
        <w:rPr>
          <w:w w:val="105"/>
          <w:sz w:val="21"/>
        </w:rPr>
        <w:t>to</w:t>
      </w:r>
      <w:r>
        <w:rPr>
          <w:spacing w:val="-16"/>
          <w:w w:val="105"/>
          <w:sz w:val="21"/>
        </w:rPr>
        <w:t> </w:t>
      </w:r>
      <w:r>
        <w:rPr>
          <w:w w:val="105"/>
          <w:sz w:val="21"/>
        </w:rPr>
        <w:t>Mr.</w:t>
      </w:r>
      <w:r>
        <w:rPr>
          <w:spacing w:val="-17"/>
          <w:w w:val="105"/>
          <w:sz w:val="21"/>
        </w:rPr>
        <w:t> </w:t>
      </w:r>
      <w:r>
        <w:rPr>
          <w:w w:val="105"/>
          <w:sz w:val="21"/>
        </w:rPr>
        <w:t>F.</w:t>
      </w:r>
      <w:r>
        <w:rPr>
          <w:spacing w:val="-24"/>
          <w:w w:val="105"/>
          <w:sz w:val="21"/>
        </w:rPr>
        <w:t> </w:t>
      </w:r>
      <w:r>
        <w:rPr>
          <w:w w:val="105"/>
          <w:sz w:val="21"/>
        </w:rPr>
        <w:t>Bruce</w:t>
      </w:r>
      <w:r>
        <w:rPr>
          <w:spacing w:val="-13"/>
          <w:w w:val="105"/>
          <w:sz w:val="21"/>
        </w:rPr>
        <w:t> </w:t>
      </w:r>
      <w:r>
        <w:rPr>
          <w:w w:val="105"/>
          <w:sz w:val="21"/>
        </w:rPr>
        <w:t>Gerhard,</w:t>
      </w:r>
      <w:r>
        <w:rPr>
          <w:spacing w:val="-8"/>
          <w:w w:val="105"/>
          <w:sz w:val="21"/>
        </w:rPr>
        <w:t> </w:t>
      </w:r>
      <w:r>
        <w:rPr>
          <w:w w:val="105"/>
          <w:sz w:val="21"/>
        </w:rPr>
        <w:t>Mr.</w:t>
      </w:r>
      <w:r>
        <w:rPr>
          <w:spacing w:val="-15"/>
          <w:w w:val="105"/>
          <w:sz w:val="21"/>
        </w:rPr>
        <w:t> </w:t>
      </w:r>
      <w:r>
        <w:rPr>
          <w:w w:val="105"/>
          <w:sz w:val="21"/>
        </w:rPr>
        <w:t>Morton</w:t>
      </w:r>
      <w:r>
        <w:rPr>
          <w:spacing w:val="-9"/>
          <w:w w:val="105"/>
          <w:sz w:val="21"/>
        </w:rPr>
        <w:t> </w:t>
      </w:r>
      <w:r>
        <w:rPr>
          <w:w w:val="105"/>
          <w:sz w:val="21"/>
        </w:rPr>
        <w:t>D.</w:t>
      </w:r>
      <w:r>
        <w:rPr>
          <w:spacing w:val="-18"/>
          <w:w w:val="105"/>
          <w:sz w:val="21"/>
        </w:rPr>
        <w:t> </w:t>
      </w:r>
      <w:r>
        <w:rPr>
          <w:w w:val="105"/>
          <w:sz w:val="21"/>
        </w:rPr>
        <w:t>Miller,</w:t>
      </w:r>
      <w:r>
        <w:rPr>
          <w:spacing w:val="-9"/>
          <w:w w:val="105"/>
          <w:sz w:val="21"/>
        </w:rPr>
        <w:t> </w:t>
      </w:r>
      <w:r>
        <w:rPr>
          <w:w w:val="105"/>
          <w:sz w:val="21"/>
        </w:rPr>
        <w:t>Mr.</w:t>
      </w:r>
      <w:r>
        <w:rPr>
          <w:spacing w:val="-16"/>
          <w:w w:val="105"/>
          <w:sz w:val="21"/>
        </w:rPr>
        <w:t> </w:t>
      </w:r>
      <w:r>
        <w:rPr>
          <w:w w:val="105"/>
          <w:sz w:val="21"/>
        </w:rPr>
        <w:t>Charles</w:t>
      </w:r>
    </w:p>
    <w:p>
      <w:pPr>
        <w:spacing w:line="236" w:lineRule="exact" w:before="0"/>
        <w:ind w:left="117" w:right="0" w:firstLine="3"/>
        <w:jc w:val="both"/>
        <w:rPr>
          <w:sz w:val="21"/>
        </w:rPr>
      </w:pPr>
      <w:r>
        <w:rPr>
          <w:sz w:val="21"/>
        </w:rPr>
        <w:t>A.  Spoerl,  and  </w:t>
      </w:r>
      <w:r>
        <w:rPr>
          <w:sz w:val="22"/>
        </w:rPr>
        <w:t>Mr.  </w:t>
      </w:r>
      <w:r>
        <w:rPr>
          <w:sz w:val="21"/>
        </w:rPr>
        <w:t>Bert· A.  Winter,  not  only  for  their efficient</w:t>
      </w:r>
    </w:p>
    <w:p>
      <w:pPr>
        <w:spacing w:before="0"/>
        <w:ind w:left="124" w:right="132" w:hanging="8"/>
        <w:jc w:val="both"/>
        <w:rPr>
          <w:sz w:val="21"/>
        </w:rPr>
      </w:pPr>
      <w:r>
        <w:rPr>
          <w:sz w:val="21"/>
        </w:rPr>
        <w:t>handling of many administrative details, but also for their warm interest and encouragement  while the work was in progress.</w:t>
      </w:r>
    </w:p>
    <w:p>
      <w:pPr>
        <w:spacing w:after="0"/>
        <w:jc w:val="both"/>
        <w:rPr>
          <w:sz w:val="21"/>
        </w:rPr>
        <w:sectPr>
          <w:pgSz w:w="7200" w:h="11340"/>
          <w:pgMar w:top="500" w:bottom="280" w:left="660" w:right="560"/>
        </w:sectPr>
      </w:pPr>
    </w:p>
    <w:p>
      <w:pPr>
        <w:pStyle w:val="BodyText"/>
      </w:pPr>
    </w:p>
    <w:p>
      <w:pPr>
        <w:pStyle w:val="BodyText"/>
        <w:spacing w:before="4"/>
        <w:rPr>
          <w:sz w:val="18"/>
        </w:rPr>
      </w:pPr>
    </w:p>
    <w:p>
      <w:pPr>
        <w:spacing w:before="0"/>
        <w:ind w:left="98" w:right="131" w:firstLine="0"/>
        <w:jc w:val="center"/>
        <w:rPr>
          <w:sz w:val="21"/>
        </w:rPr>
      </w:pPr>
      <w:bookmarkStart w:name="Author's Preface to the Second Edition" w:id="3"/>
      <w:bookmarkEnd w:id="3"/>
      <w:r>
        <w:rPr/>
      </w:r>
      <w:r>
        <w:rPr>
          <w:color w:val="010101"/>
          <w:w w:val="105"/>
          <w:sz w:val="21"/>
        </w:rPr>
        <w:t>AUTHOR'S  PREFACE  TO  THE  SECOND EDITION</w:t>
      </w:r>
    </w:p>
    <w:p>
      <w:pPr>
        <w:pStyle w:val="BodyText"/>
        <w:spacing w:before="6"/>
      </w:pPr>
    </w:p>
    <w:p>
      <w:pPr>
        <w:spacing w:line="240" w:lineRule="auto" w:before="1"/>
        <w:ind w:left="100" w:right="116" w:firstLine="197"/>
        <w:jc w:val="both"/>
        <w:rPr>
          <w:sz w:val="21"/>
        </w:rPr>
      </w:pPr>
      <w:r>
        <w:rPr>
          <w:color w:val="010101"/>
          <w:sz w:val="21"/>
        </w:rPr>
        <w:t>The general plan of the first edition has been retained, but there has been sorne rea.rra.ngement of the material together with the addition of a new chapter on pension plans and disability benefits (Chapter </w:t>
      </w:r>
      <w:r>
        <w:rPr>
          <w:color w:val="010101"/>
          <w:spacing w:val="-10"/>
          <w:sz w:val="21"/>
        </w:rPr>
        <w:t>16). </w:t>
      </w:r>
      <w:r>
        <w:rPr>
          <w:color w:val="010101"/>
          <w:sz w:val="21"/>
        </w:rPr>
        <w:t>The chapter on population problems has been com­ pletely rewritten and expanded, and it is now  included  </w:t>
      </w:r>
      <w:r>
        <w:rPr>
          <w:color w:val="010101"/>
          <w:sz w:val="20"/>
        </w:rPr>
        <w:t>in </w:t>
      </w:r>
      <w:r>
        <w:rPr>
          <w:color w:val="010101"/>
          <w:sz w:val="21"/>
        </w:rPr>
        <w:t>Pa.rt  I  as Chapter 8. In Part 11, the two short chapters on the Last-Sur­ vivor Status a.nd the Genera.lized Multiple-Life Status have been combined and now appear as Chapter 10. In the other chapters, changes were made wherever it seemed possible to clarify the ex­ position and improve the form of the mathematical demonstra­ tions. The exercise sets were  </w:t>
      </w:r>
      <w:r>
        <w:rPr>
          <w:color w:val="010101"/>
          <w:sz w:val="20"/>
        </w:rPr>
        <w:t>also </w:t>
      </w:r>
      <w:r>
        <w:rPr>
          <w:color w:val="010101"/>
          <w:sz w:val="21"/>
        </w:rPr>
        <w:t>revised  and  </w:t>
      </w:r>
      <w:r>
        <w:rPr>
          <w:color w:val="010101"/>
          <w:spacing w:val="23"/>
          <w:sz w:val="21"/>
        </w:rPr>
        <w:t> </w:t>
      </w:r>
      <w:r>
        <w:rPr>
          <w:color w:val="010101"/>
          <w:sz w:val="21"/>
        </w:rPr>
        <w:t>expanded.</w:t>
      </w:r>
    </w:p>
    <w:p>
      <w:pPr>
        <w:spacing w:before="0"/>
        <w:ind w:left="100" w:right="118" w:firstLine="204"/>
        <w:jc w:val="both"/>
        <w:rPr>
          <w:sz w:val="21"/>
        </w:rPr>
      </w:pPr>
      <w:r>
        <w:rPr>
          <w:color w:val="010101"/>
          <w:sz w:val="21"/>
        </w:rPr>
        <w:t>The Bibliography has been enlarged and up-dated to include the relevant literature of the past fifteen years. In order to avoid inter­ rupting the text with references and footnotes, a section has been added at the end of each chapter which cites the more  useful  sources  and  relates them to the context  of  the chapter.</w:t>
      </w:r>
    </w:p>
    <w:p>
      <w:pPr>
        <w:spacing w:before="0"/>
        <w:ind w:left="104" w:right="108" w:firstLine="197"/>
        <w:jc w:val="both"/>
        <w:rPr>
          <w:sz w:val="21"/>
        </w:rPr>
      </w:pPr>
      <w:r>
        <w:rPr>
          <w:color w:val="010101"/>
          <w:sz w:val="21"/>
        </w:rPr>
        <w:t>The task of reviewing the manuscript for the Society of Actuaries was undertaken by Zehman </w:t>
      </w:r>
      <w:r>
        <w:rPr>
          <w:color w:val="010101"/>
          <w:w w:val="110"/>
          <w:sz w:val="21"/>
        </w:rPr>
        <w:t>l. </w:t>
      </w:r>
      <w:r>
        <w:rPr>
          <w:color w:val="010101"/>
          <w:sz w:val="21"/>
        </w:rPr>
        <w:t>Mosesson, F.S.A., and it </w:t>
      </w:r>
      <w:r>
        <w:rPr>
          <w:rFonts w:ascii="Arial"/>
          <w:color w:val="010101"/>
          <w:sz w:val="20"/>
        </w:rPr>
        <w:t>is </w:t>
      </w:r>
      <w:r>
        <w:rPr>
          <w:color w:val="010101"/>
          <w:sz w:val="21"/>
        </w:rPr>
        <w:t>a great pleasure to acknowledge the special contributions which he has made. His helpful suggestions and wise counsel are reftected in countless  improvements  throughout  the book.</w:t>
      </w:r>
    </w:p>
    <w:p>
      <w:pPr>
        <w:spacing w:line="237" w:lineRule="auto" w:before="1"/>
        <w:ind w:left="111" w:right="110" w:firstLine="190"/>
        <w:jc w:val="both"/>
        <w:rPr>
          <w:sz w:val="21"/>
        </w:rPr>
      </w:pPr>
      <w:r>
        <w:rPr>
          <w:color w:val="010101"/>
          <w:sz w:val="21"/>
        </w:rPr>
        <w:t>Va.lua.ble help was also received from John A. Fibiger, F.S.A., who worked closely with Mr. Mosesson in reviewing each succes­ sive draft of the entire manuscript. His comments, particularly on style  and  nomenclature,  were  an  important inftuence.</w:t>
      </w:r>
    </w:p>
    <w:p>
      <w:pPr>
        <w:spacing w:line="237" w:lineRule="auto" w:before="5"/>
        <w:ind w:left="107" w:right="119" w:firstLine="208"/>
        <w:jc w:val="both"/>
        <w:rPr>
          <w:sz w:val="21"/>
        </w:rPr>
      </w:pPr>
      <w:r>
        <w:rPr>
          <w:color w:val="010101"/>
          <w:sz w:val="21"/>
        </w:rPr>
        <w:t>Many other members of the Society of Actuaries were helpf ul either in reading drafts of individual chapters or in suggesting im­ provements in the treatment of certain topics. The following were particularly generous in their assistance: Dwight K.  Bartlett, Murray  L. Becker,  M.  David  R. Brown,  Edward  F. Dalton, Carl</w:t>
      </w:r>
    </w:p>
    <w:p>
      <w:pPr>
        <w:spacing w:line="238" w:lineRule="exact" w:before="2"/>
        <w:ind w:left="107" w:right="115" w:firstLine="0"/>
        <w:jc w:val="both"/>
        <w:rPr>
          <w:sz w:val="21"/>
        </w:rPr>
      </w:pPr>
      <w:r>
        <w:rPr>
          <w:color w:val="010101"/>
          <w:w w:val="105"/>
          <w:sz w:val="21"/>
        </w:rPr>
        <w:t>H. Fischer, Harry Gershenaon, Harold G. lngraham, Jr., John H. Miller, James J. Olsen, Robert B. Sha.pland, Charles L. Trow­ bridge, Charles B. H. Watson, and Howard Young.</w:t>
      </w:r>
    </w:p>
    <w:p>
      <w:pPr>
        <w:spacing w:line="238" w:lineRule="exact" w:before="3"/>
        <w:ind w:left="107" w:right="122" w:firstLine="200"/>
        <w:jc w:val="both"/>
        <w:rPr>
          <w:sz w:val="21"/>
        </w:rPr>
      </w:pPr>
      <w:r>
        <w:rPr>
          <w:color w:val="010101"/>
          <w:sz w:val="21"/>
        </w:rPr>
        <w:t>Thanks are due a.lso to those members of the Education and Examination  Committee  who  handled  the  administrative  details.</w:t>
      </w:r>
    </w:p>
    <w:p>
      <w:pPr>
        <w:spacing w:line="232" w:lineRule="exact" w:before="0"/>
        <w:ind w:left="111" w:right="0" w:firstLine="0"/>
        <w:jc w:val="both"/>
        <w:rPr>
          <w:sz w:val="21"/>
        </w:rPr>
      </w:pPr>
      <w:r>
        <w:rPr>
          <w:color w:val="010101"/>
          <w:w w:val="105"/>
          <w:sz w:val="21"/>
        </w:rPr>
        <w:t>Paul  T. Rotter,  F. S. A.,  was  inftuential  in  getting  the project</w:t>
      </w:r>
    </w:p>
    <w:p>
      <w:pPr>
        <w:spacing w:before="52"/>
        <w:ind w:left="128" w:right="131" w:firstLine="0"/>
        <w:jc w:val="center"/>
        <w:rPr>
          <w:b/>
          <w:sz w:val="18"/>
        </w:rPr>
      </w:pPr>
      <w:r>
        <w:rPr>
          <w:b/>
          <w:color w:val="010101"/>
          <w:sz w:val="18"/>
        </w:rPr>
        <w:t>ix</w:t>
      </w:r>
    </w:p>
    <w:p>
      <w:pPr>
        <w:spacing w:after="0"/>
        <w:jc w:val="center"/>
        <w:rPr>
          <w:sz w:val="18"/>
        </w:rPr>
        <w:sectPr>
          <w:pgSz w:w="7200" w:h="11340"/>
          <w:pgMar w:top="1060" w:bottom="280" w:left="660" w:right="580"/>
        </w:sectPr>
      </w:pPr>
    </w:p>
    <w:p>
      <w:pPr>
        <w:tabs>
          <w:tab w:pos="1003" w:val="left" w:leader="none"/>
        </w:tabs>
        <w:spacing w:before="53"/>
        <w:ind w:left="106" w:right="0" w:firstLine="0"/>
        <w:jc w:val="both"/>
        <w:rPr>
          <w:b/>
          <w:sz w:val="15"/>
        </w:rPr>
      </w:pPr>
      <w:r>
        <w:rPr>
          <w:b/>
          <w:color w:val="010101"/>
          <w:sz w:val="15"/>
        </w:rPr>
        <w:t>X</w:t>
        <w:tab/>
        <w:t>AUTHOR'S   PREFACE   TO   THE   BECOND  </w:t>
      </w:r>
      <w:r>
        <w:rPr>
          <w:b/>
          <w:color w:val="010101"/>
          <w:spacing w:val="34"/>
          <w:sz w:val="15"/>
        </w:rPr>
        <w:t> </w:t>
      </w:r>
      <w:r>
        <w:rPr>
          <w:b/>
          <w:color w:val="010101"/>
          <w:sz w:val="15"/>
        </w:rPr>
        <w:t>EDITION</w:t>
      </w:r>
    </w:p>
    <w:p>
      <w:pPr>
        <w:pStyle w:val="BodyText"/>
        <w:spacing w:before="11"/>
        <w:rPr>
          <w:b/>
          <w:sz w:val="19"/>
        </w:rPr>
      </w:pPr>
    </w:p>
    <w:p>
      <w:pPr>
        <w:pStyle w:val="BodyText"/>
        <w:spacing w:line="244" w:lineRule="auto"/>
        <w:ind w:left="102" w:right="112" w:firstLine="7"/>
        <w:jc w:val="both"/>
        <w:rPr>
          <w:b/>
          <w:sz w:val="19"/>
        </w:rPr>
      </w:pPr>
      <w:r>
        <w:rPr>
          <w:color w:val="010101"/>
          <w:w w:val="105"/>
        </w:rPr>
        <w:t>started. Robert </w:t>
      </w:r>
      <w:r>
        <w:rPr>
          <w:color w:val="010101"/>
          <w:w w:val="105"/>
          <w:sz w:val="22"/>
        </w:rPr>
        <w:t>J. </w:t>
      </w:r>
      <w:r>
        <w:rPr>
          <w:color w:val="010101"/>
          <w:w w:val="105"/>
        </w:rPr>
        <w:t>Johansen, F.S.A., and Julius Vogel, F.S.A.,  88Sisted in many ways while the work was in progresa. Their en­ couragement, support, &amp;nd cooperation were important </w:t>
      </w:r>
      <w:r>
        <w:rPr>
          <w:rFonts w:ascii="Arial" w:hAnsi="Arial"/>
          <w:color w:val="010101"/>
          <w:w w:val="105"/>
        </w:rPr>
        <w:t>f</w:t>
      </w:r>
      <w:r>
        <w:rPr>
          <w:color w:val="010101"/>
          <w:w w:val="105"/>
        </w:rPr>
        <w:t>e.ctors in the completion of  the </w:t>
      </w:r>
      <w:r>
        <w:rPr>
          <w:b/>
          <w:color w:val="010101"/>
          <w:w w:val="105"/>
          <w:sz w:val="19"/>
        </w:rPr>
        <w:t>work.</w:t>
      </w:r>
    </w:p>
    <w:p>
      <w:pPr>
        <w:pStyle w:val="BodyText"/>
        <w:spacing w:before="11"/>
        <w:rPr>
          <w:b/>
          <w:sz w:val="13"/>
        </w:rPr>
      </w:pPr>
    </w:p>
    <w:p>
      <w:pPr>
        <w:spacing w:after="0"/>
        <w:rPr>
          <w:sz w:val="13"/>
        </w:rPr>
        <w:sectPr>
          <w:pgSz w:w="7200" w:h="11340"/>
          <w:pgMar w:top="540" w:bottom="280" w:left="680" w:right="560"/>
        </w:sectPr>
      </w:pPr>
    </w:p>
    <w:p>
      <w:pPr>
        <w:pStyle w:val="BodyText"/>
        <w:spacing w:line="247" w:lineRule="auto" w:before="90"/>
        <w:ind w:left="106"/>
      </w:pPr>
      <w:r>
        <w:rPr>
          <w:color w:val="010101"/>
          <w:w w:val="105"/>
        </w:rPr>
        <w:t>Williamstown, Massaehusetts</w:t>
      </w:r>
      <w:r>
        <w:rPr>
          <w:color w:val="010101"/>
          <w:w w:val="106"/>
        </w:rPr>
        <w:t> </w:t>
      </w:r>
      <w:r>
        <w:rPr>
          <w:color w:val="010101"/>
          <w:w w:val="115"/>
        </w:rPr>
        <w:t>May  </w:t>
      </w:r>
      <w:r>
        <w:rPr>
          <w:color w:val="010101"/>
          <w:w w:val="125"/>
        </w:rPr>
        <w:t>1, </w:t>
      </w:r>
      <w:r>
        <w:rPr>
          <w:color w:val="010101"/>
          <w:w w:val="115"/>
        </w:rPr>
        <w:t>1967</w:t>
      </w:r>
    </w:p>
    <w:p>
      <w:pPr>
        <w:spacing w:before="72"/>
        <w:ind w:left="106" w:right="0" w:firstLine="0"/>
        <w:jc w:val="left"/>
        <w:rPr>
          <w:b/>
          <w:sz w:val="15"/>
        </w:rPr>
      </w:pPr>
      <w:r>
        <w:rPr/>
        <w:br w:type="column"/>
      </w:r>
      <w:r>
        <w:rPr>
          <w:color w:val="010101"/>
          <w:w w:val="105"/>
          <w:sz w:val="22"/>
        </w:rPr>
        <w:t>C. </w:t>
      </w:r>
      <w:r>
        <w:rPr>
          <w:rFonts w:ascii="Arial"/>
          <w:b/>
          <w:color w:val="010101"/>
          <w:w w:val="105"/>
          <w:sz w:val="21"/>
        </w:rPr>
        <w:t>W</w:t>
      </w:r>
      <w:r>
        <w:rPr>
          <w:b/>
          <w:color w:val="010101"/>
          <w:w w:val="105"/>
          <w:sz w:val="15"/>
        </w:rPr>
        <w:t>ALLACE JORDAN</w:t>
      </w:r>
    </w:p>
    <w:p>
      <w:pPr>
        <w:spacing w:after="0"/>
        <w:jc w:val="left"/>
        <w:rPr>
          <w:sz w:val="15"/>
        </w:rPr>
        <w:sectPr>
          <w:type w:val="continuous"/>
          <w:pgSz w:w="7200" w:h="11340"/>
          <w:pgMar w:top="1100" w:bottom="0" w:left="680" w:right="560"/>
          <w:cols w:num="2" w:equalWidth="0">
            <w:col w:w="2695" w:space="1024"/>
            <w:col w:w="2241"/>
          </w:cols>
        </w:sectPr>
      </w:pPr>
    </w:p>
    <w:p>
      <w:pPr>
        <w:pStyle w:val="BodyText"/>
        <w:rPr>
          <w:b/>
        </w:rPr>
      </w:pPr>
    </w:p>
    <w:p>
      <w:pPr>
        <w:pStyle w:val="BodyText"/>
        <w:rPr>
          <w:b/>
        </w:rPr>
      </w:pPr>
    </w:p>
    <w:p>
      <w:pPr>
        <w:pStyle w:val="BodyText"/>
        <w:spacing w:before="10"/>
        <w:rPr>
          <w:b/>
          <w:sz w:val="26"/>
        </w:rPr>
      </w:pPr>
    </w:p>
    <w:p>
      <w:pPr>
        <w:spacing w:before="74"/>
        <w:ind w:left="293" w:right="342" w:firstLine="0"/>
        <w:jc w:val="center"/>
        <w:rPr>
          <w:sz w:val="21"/>
        </w:rPr>
      </w:pPr>
      <w:bookmarkStart w:name="TABLE OF CONTENTS" w:id="4"/>
      <w:bookmarkEnd w:id="4"/>
      <w:r>
        <w:rPr/>
      </w:r>
      <w:r>
        <w:rPr>
          <w:w w:val="105"/>
          <w:sz w:val="21"/>
        </w:rPr>
        <w:t>TABLE  OF CONTENTS</w:t>
      </w:r>
    </w:p>
    <w:sdt>
      <w:sdtPr>
        <w:docPartObj>
          <w:docPartGallery w:val="Table of Contents"/>
          <w:docPartUnique/>
        </w:docPartObj>
      </w:sdtPr>
      <w:sdtEndPr/>
      <w:sdtContent>
        <w:p>
          <w:pPr>
            <w:pStyle w:val="TOC1"/>
            <w:tabs>
              <w:tab w:pos="5749" w:val="left" w:leader="dot"/>
            </w:tabs>
            <w:spacing w:before="161"/>
            <w:ind w:left="112"/>
          </w:pPr>
          <w:hyperlink w:history="true" w:anchor="_TOC_250002">
            <w:r>
              <w:rPr>
                <w:spacing w:val="3"/>
              </w:rPr>
              <w:t>Preface </w:t>
            </w:r>
            <w:r>
              <w:rPr/>
              <w:t>for the Society</w:t>
            </w:r>
            <w:r>
              <w:rPr>
                <w:spacing w:val="42"/>
              </w:rPr>
              <w:t> </w:t>
            </w:r>
            <w:r>
              <w:rPr/>
              <w:t>of</w:t>
            </w:r>
            <w:r>
              <w:rPr>
                <w:spacing w:val="28"/>
              </w:rPr>
              <w:t> </w:t>
            </w:r>
            <w:r>
              <w:rPr/>
              <w:t>Actuaries.</w:t>
              <w:tab/>
              <w:t>v</w:t>
            </w:r>
          </w:hyperlink>
        </w:p>
        <w:p>
          <w:pPr>
            <w:pStyle w:val="TOC1"/>
            <w:tabs>
              <w:tab w:pos="5709" w:val="left" w:leader="none"/>
            </w:tabs>
            <w:spacing w:before="3"/>
          </w:pPr>
          <w:r>
            <w:rPr/>
            <w:t>Author's  Pref ace to the Second Edition. . . . . . . . . . . . . . . . .</w:t>
          </w:r>
          <w:r>
            <w:rPr>
              <w:spacing w:val="23"/>
            </w:rPr>
            <w:t> </w:t>
          </w:r>
          <w:r>
            <w:rPr/>
            <w:t>.</w:t>
          </w:r>
          <w:r>
            <w:rPr>
              <w:spacing w:val="1"/>
            </w:rPr>
            <w:t> </w:t>
          </w:r>
          <w:r>
            <w:rPr/>
            <w:t>.</w:t>
            <w:tab/>
            <w:t>1x</w:t>
          </w:r>
        </w:p>
        <w:p>
          <w:pPr>
            <w:pStyle w:val="TOC1"/>
            <w:spacing w:line="252" w:lineRule="exact" w:before="152"/>
          </w:pPr>
          <w:r>
            <w:rPr>
              <w:w w:val="105"/>
            </w:rPr>
            <w:t>Part </w:t>
          </w:r>
          <w:r>
            <w:rPr>
              <w:w w:val="105"/>
              <w:sz w:val="22"/>
            </w:rPr>
            <w:t>I. </w:t>
          </w:r>
          <w:r>
            <w:rPr>
              <w:w w:val="105"/>
            </w:rPr>
            <w:t>Single-Life Functions</w:t>
          </w:r>
        </w:p>
        <w:p>
          <w:pPr>
            <w:pStyle w:val="TOC5"/>
            <w:tabs>
              <w:tab w:pos="5767" w:val="left" w:leader="dot"/>
            </w:tabs>
            <w:spacing w:line="240" w:lineRule="exact"/>
            <w:ind w:left="425" w:firstLine="0"/>
          </w:pPr>
          <w:r>
            <w:rPr>
              <w:w w:val="115"/>
              <w:sz w:val="20"/>
            </w:rPr>
            <w:t>l. </w:t>
          </w:r>
          <w:r>
            <w:rPr>
              <w:w w:val="105"/>
            </w:rPr>
            <w:t>The Measurement</w:t>
          </w:r>
          <w:r>
            <w:rPr>
              <w:spacing w:val="53"/>
              <w:w w:val="105"/>
            </w:rPr>
            <w:t> </w:t>
          </w:r>
          <w:r>
            <w:rPr>
              <w:w w:val="105"/>
            </w:rPr>
            <w:t>of</w:t>
          </w:r>
          <w:r>
            <w:rPr>
              <w:spacing w:val="24"/>
              <w:w w:val="105"/>
            </w:rPr>
            <w:t> </w:t>
          </w:r>
          <w:r>
            <w:rPr>
              <w:w w:val="105"/>
            </w:rPr>
            <w:t>Mortality.</w:t>
            <w:tab/>
            <w:t>3</w:t>
          </w:r>
        </w:p>
        <w:p>
          <w:pPr>
            <w:pStyle w:val="TOC5"/>
            <w:numPr>
              <w:ilvl w:val="0"/>
              <w:numId w:val="1"/>
            </w:numPr>
            <w:tabs>
              <w:tab w:pos="667" w:val="left" w:leader="none"/>
              <w:tab w:pos="5666" w:val="left" w:leader="dot"/>
            </w:tabs>
            <w:spacing w:line="241" w:lineRule="exact" w:before="3" w:after="0"/>
            <w:ind w:left="666" w:right="0" w:hanging="256"/>
            <w:jc w:val="left"/>
            <w:rPr>
              <w:sz w:val="19"/>
            </w:rPr>
          </w:pPr>
          <w:r>
            <w:rPr/>
            <w:t>Life</w:t>
          </w:r>
          <w:r>
            <w:rPr>
              <w:spacing w:val="16"/>
            </w:rPr>
            <w:t> </w:t>
          </w:r>
          <w:r>
            <w:rPr/>
            <w:t>Annuities.</w:t>
          </w:r>
          <w:r>
            <w:rPr>
              <w:sz w:val="19"/>
            </w:rPr>
            <w:tab/>
            <w:t>37</w:t>
          </w:r>
        </w:p>
        <w:p>
          <w:pPr>
            <w:pStyle w:val="TOC5"/>
            <w:numPr>
              <w:ilvl w:val="0"/>
              <w:numId w:val="1"/>
            </w:numPr>
            <w:tabs>
              <w:tab w:pos="670" w:val="left" w:leader="none"/>
              <w:tab w:pos="5666" w:val="left" w:leader="dot"/>
            </w:tabs>
            <w:spacing w:line="240" w:lineRule="auto" w:before="0" w:after="0"/>
            <w:ind w:left="670" w:right="0" w:hanging="260"/>
            <w:jc w:val="left"/>
            <w:rPr>
              <w:sz w:val="19"/>
            </w:rPr>
          </w:pPr>
          <w:r>
            <w:rPr>
              <w:w w:val="105"/>
            </w:rPr>
            <w:t>Life</w:t>
          </w:r>
          <w:r>
            <w:rPr>
              <w:spacing w:val="-2"/>
              <w:w w:val="105"/>
            </w:rPr>
            <w:t> </w:t>
          </w:r>
          <w:r>
            <w:rPr>
              <w:w w:val="105"/>
            </w:rPr>
            <w:t>Insurance.</w:t>
          </w:r>
          <w:r>
            <w:rPr>
              <w:w w:val="105"/>
              <w:sz w:val="19"/>
            </w:rPr>
            <w:tab/>
            <w:t>65</w:t>
          </w:r>
        </w:p>
        <w:p>
          <w:pPr>
            <w:pStyle w:val="TOC5"/>
            <w:numPr>
              <w:ilvl w:val="0"/>
              <w:numId w:val="1"/>
            </w:numPr>
            <w:tabs>
              <w:tab w:pos="667" w:val="left" w:leader="none"/>
              <w:tab w:pos="5666" w:val="left" w:leader="dot"/>
            </w:tabs>
            <w:spacing w:line="241" w:lineRule="exact" w:before="3" w:after="0"/>
            <w:ind w:left="666" w:right="0" w:hanging="256"/>
            <w:jc w:val="left"/>
            <w:rPr>
              <w:sz w:val="20"/>
            </w:rPr>
          </w:pPr>
          <w:r>
            <w:rPr>
              <w:spacing w:val="3"/>
              <w:w w:val="105"/>
            </w:rPr>
            <w:t>Net</w:t>
          </w:r>
          <w:r>
            <w:rPr>
              <w:spacing w:val="-16"/>
              <w:w w:val="105"/>
            </w:rPr>
            <w:t> </w:t>
          </w:r>
          <w:r>
            <w:rPr>
              <w:w w:val="105"/>
            </w:rPr>
            <w:t>Annua.l</w:t>
          </w:r>
          <w:r>
            <w:rPr>
              <w:spacing w:val="-10"/>
              <w:w w:val="105"/>
            </w:rPr>
            <w:t> </w:t>
          </w:r>
          <w:r>
            <w:rPr>
              <w:w w:val="105"/>
            </w:rPr>
            <w:t>Premiums.</w:t>
          </w:r>
          <w:r>
            <w:rPr>
              <w:w w:val="105"/>
              <w:sz w:val="20"/>
            </w:rPr>
            <w:tab/>
            <w:t>81</w:t>
          </w:r>
        </w:p>
        <w:p>
          <w:pPr>
            <w:pStyle w:val="TOC5"/>
            <w:numPr>
              <w:ilvl w:val="0"/>
              <w:numId w:val="1"/>
            </w:numPr>
            <w:tabs>
              <w:tab w:pos="667" w:val="left" w:leader="none"/>
              <w:tab w:pos="5666" w:val="left" w:leader="dot"/>
            </w:tabs>
            <w:spacing w:line="241" w:lineRule="exact" w:before="0" w:after="0"/>
            <w:ind w:left="666" w:right="0" w:hanging="256"/>
            <w:jc w:val="left"/>
            <w:rPr>
              <w:sz w:val="19"/>
            </w:rPr>
          </w:pPr>
          <w:r>
            <w:rPr/>
            <w:t>Net  Level</w:t>
          </w:r>
          <w:r>
            <w:rPr>
              <w:spacing w:val="3"/>
            </w:rPr>
            <w:t> </w:t>
          </w:r>
          <w:r>
            <w:rPr/>
            <w:t>Premium</w:t>
          </w:r>
          <w:r>
            <w:rPr>
              <w:spacing w:val="33"/>
            </w:rPr>
            <w:t> </w:t>
          </w:r>
          <w:r>
            <w:rPr/>
            <w:t>Reserves.</w:t>
          </w:r>
          <w:r>
            <w:rPr>
              <w:sz w:val="19"/>
            </w:rPr>
            <w:tab/>
            <w:t>96</w:t>
          </w:r>
        </w:p>
        <w:p>
          <w:pPr>
            <w:pStyle w:val="TOC5"/>
            <w:numPr>
              <w:ilvl w:val="0"/>
              <w:numId w:val="1"/>
            </w:numPr>
            <w:tabs>
              <w:tab w:pos="667" w:val="left" w:leader="none"/>
              <w:tab w:pos="5580" w:val="left" w:leader="dot"/>
            </w:tabs>
            <w:spacing w:line="241" w:lineRule="exact" w:before="0" w:after="0"/>
            <w:ind w:left="666" w:right="0" w:hanging="256"/>
            <w:jc w:val="left"/>
            <w:rPr>
              <w:sz w:val="20"/>
            </w:rPr>
          </w:pPr>
          <w:r>
            <w:rPr>
              <w:w w:val="105"/>
            </w:rPr>
            <w:t>The</w:t>
          </w:r>
          <w:r>
            <w:rPr>
              <w:spacing w:val="-2"/>
              <w:w w:val="105"/>
            </w:rPr>
            <w:t> </w:t>
          </w:r>
          <w:r>
            <w:rPr>
              <w:w w:val="105"/>
            </w:rPr>
            <w:t>Expense</w:t>
          </w:r>
          <w:r>
            <w:rPr>
              <w:spacing w:val="12"/>
              <w:w w:val="105"/>
            </w:rPr>
            <w:t> </w:t>
          </w:r>
          <w:r>
            <w:rPr>
              <w:w w:val="105"/>
            </w:rPr>
            <w:t>Factor</w:t>
          </w:r>
          <w:r>
            <w:rPr>
              <w:w w:val="105"/>
              <w:sz w:val="19"/>
            </w:rPr>
            <w:tab/>
          </w:r>
          <w:r>
            <w:rPr>
              <w:spacing w:val="-13"/>
              <w:w w:val="105"/>
              <w:sz w:val="19"/>
            </w:rPr>
            <w:t>132</w:t>
          </w:r>
        </w:p>
        <w:p>
          <w:pPr>
            <w:pStyle w:val="TOC6"/>
            <w:numPr>
              <w:ilvl w:val="0"/>
              <w:numId w:val="1"/>
            </w:numPr>
            <w:tabs>
              <w:tab w:pos="667" w:val="left" w:leader="none"/>
              <w:tab w:pos="5580" w:val="left" w:leader="dot"/>
            </w:tabs>
            <w:spacing w:line="241" w:lineRule="exact" w:before="0" w:after="0"/>
            <w:ind w:left="666" w:right="0" w:hanging="252"/>
            <w:jc w:val="left"/>
            <w:rPr>
              <w:b w:val="0"/>
              <w:i w:val="0"/>
              <w:sz w:val="19"/>
            </w:rPr>
          </w:pPr>
          <w:r>
            <w:rPr>
              <w:b w:val="0"/>
              <w:i w:val="0"/>
              <w:w w:val="105"/>
              <w:sz w:val="21"/>
            </w:rPr>
            <w:t>Special</w:t>
          </w:r>
          <w:r>
            <w:rPr>
              <w:b w:val="0"/>
              <w:i w:val="0"/>
              <w:spacing w:val="-10"/>
              <w:w w:val="105"/>
              <w:sz w:val="21"/>
            </w:rPr>
            <w:t> </w:t>
          </w:r>
          <w:r>
            <w:rPr>
              <w:b w:val="0"/>
              <w:i w:val="0"/>
              <w:w w:val="105"/>
              <w:sz w:val="21"/>
            </w:rPr>
            <w:t>Topics.</w:t>
          </w:r>
          <w:r>
            <w:rPr>
              <w:b w:val="0"/>
              <w:i w:val="0"/>
              <w:w w:val="105"/>
              <w:sz w:val="19"/>
            </w:rPr>
            <w:tab/>
          </w:r>
          <w:r>
            <w:rPr>
              <w:b w:val="0"/>
              <w:i w:val="0"/>
              <w:spacing w:val="-13"/>
              <w:w w:val="105"/>
              <w:sz w:val="19"/>
            </w:rPr>
            <w:t>150</w:t>
          </w:r>
        </w:p>
        <w:p>
          <w:pPr>
            <w:pStyle w:val="TOC5"/>
            <w:numPr>
              <w:ilvl w:val="0"/>
              <w:numId w:val="1"/>
            </w:numPr>
            <w:tabs>
              <w:tab w:pos="660" w:val="left" w:leader="none"/>
              <w:tab w:pos="5583" w:val="left" w:leader="dot"/>
            </w:tabs>
            <w:spacing w:line="240" w:lineRule="auto" w:before="0" w:after="0"/>
            <w:ind w:left="659" w:right="0" w:hanging="249"/>
            <w:jc w:val="left"/>
            <w:rPr>
              <w:sz w:val="20"/>
            </w:rPr>
          </w:pPr>
          <w:r>
            <w:rPr>
              <w:w w:val="105"/>
            </w:rPr>
            <w:t>Population</w:t>
          </w:r>
          <w:r>
            <w:rPr>
              <w:spacing w:val="14"/>
              <w:w w:val="105"/>
            </w:rPr>
            <w:t> </w:t>
          </w:r>
          <w:r>
            <w:rPr>
              <w:w w:val="105"/>
            </w:rPr>
            <w:t>Theory</w:t>
          </w:r>
          <w:r>
            <w:rPr>
              <w:w w:val="105"/>
              <w:sz w:val="19"/>
            </w:rPr>
            <w:tab/>
          </w:r>
          <w:r>
            <w:rPr>
              <w:spacing w:val="-13"/>
              <w:w w:val="105"/>
              <w:sz w:val="19"/>
            </w:rPr>
            <w:t>170</w:t>
          </w:r>
        </w:p>
        <w:p>
          <w:pPr>
            <w:pStyle w:val="TOC1"/>
            <w:spacing w:line="252" w:lineRule="exact" w:before="152"/>
            <w:ind w:left="112"/>
          </w:pPr>
          <w:r>
            <w:rPr>
              <w:w w:val="110"/>
            </w:rPr>
            <w:t>Part </w:t>
          </w:r>
          <w:r>
            <w:rPr>
              <w:w w:val="110"/>
              <w:sz w:val="22"/>
            </w:rPr>
            <w:t>II. </w:t>
          </w:r>
          <w:r>
            <w:rPr>
              <w:w w:val="110"/>
            </w:rPr>
            <w:t>Multi-Life Functions</w:t>
          </w:r>
        </w:p>
        <w:p>
          <w:pPr>
            <w:pStyle w:val="TOC5"/>
            <w:numPr>
              <w:ilvl w:val="0"/>
              <w:numId w:val="1"/>
            </w:numPr>
            <w:tabs>
              <w:tab w:pos="670" w:val="left" w:leader="none"/>
              <w:tab w:pos="5583" w:val="left" w:leader="dot"/>
            </w:tabs>
            <w:spacing w:line="240" w:lineRule="exact" w:before="0" w:after="0"/>
            <w:ind w:left="670" w:right="0" w:hanging="260"/>
            <w:jc w:val="left"/>
            <w:rPr>
              <w:sz w:val="20"/>
            </w:rPr>
          </w:pPr>
          <w:r>
            <w:rPr>
              <w:w w:val="105"/>
            </w:rPr>
            <w:t>The</w:t>
          </w:r>
          <w:r>
            <w:rPr>
              <w:spacing w:val="2"/>
              <w:w w:val="105"/>
            </w:rPr>
            <w:t> </w:t>
          </w:r>
          <w:r>
            <w:rPr>
              <w:w w:val="105"/>
            </w:rPr>
            <w:t>Joint-Life</w:t>
          </w:r>
          <w:r>
            <w:rPr>
              <w:spacing w:val="17"/>
              <w:w w:val="105"/>
            </w:rPr>
            <w:t> </w:t>
          </w:r>
          <w:r>
            <w:rPr>
              <w:w w:val="105"/>
            </w:rPr>
            <w:t>Status</w:t>
          </w:r>
          <w:r>
            <w:rPr>
              <w:w w:val="105"/>
              <w:sz w:val="20"/>
            </w:rPr>
            <w:tab/>
          </w:r>
          <w:r>
            <w:rPr>
              <w:spacing w:val="-15"/>
              <w:w w:val="105"/>
              <w:sz w:val="20"/>
            </w:rPr>
            <w:t>191</w:t>
          </w:r>
        </w:p>
        <w:p>
          <w:pPr>
            <w:pStyle w:val="TOC3"/>
            <w:numPr>
              <w:ilvl w:val="0"/>
              <w:numId w:val="1"/>
            </w:numPr>
            <w:tabs>
              <w:tab w:pos="667" w:val="left" w:leader="none"/>
              <w:tab w:pos="5573" w:val="left" w:leader="dot"/>
            </w:tabs>
            <w:spacing w:line="240" w:lineRule="exact" w:before="3" w:after="0"/>
            <w:ind w:left="666" w:right="0" w:hanging="342"/>
            <w:jc w:val="left"/>
            <w:rPr>
              <w:sz w:val="19"/>
            </w:rPr>
          </w:pPr>
          <w:r>
            <w:rPr>
              <w:w w:val="105"/>
            </w:rPr>
            <w:t>Last-Suivor  a.nd  General</w:t>
          </w:r>
          <w:r>
            <w:rPr>
              <w:spacing w:val="49"/>
              <w:w w:val="105"/>
            </w:rPr>
            <w:t> </w:t>
          </w:r>
          <w:r>
            <w:rPr>
              <w:w w:val="105"/>
            </w:rPr>
            <w:t>Multi-Life  Statuses</w:t>
          </w:r>
          <w:r>
            <w:rPr>
              <w:w w:val="105"/>
              <w:sz w:val="19"/>
            </w:rPr>
            <w:tab/>
            <w:t>210</w:t>
          </w:r>
        </w:p>
        <w:p>
          <w:pPr>
            <w:pStyle w:val="TOC3"/>
            <w:numPr>
              <w:ilvl w:val="0"/>
              <w:numId w:val="1"/>
            </w:numPr>
            <w:tabs>
              <w:tab w:pos="663" w:val="left" w:leader="none"/>
              <w:tab w:pos="5573" w:val="left" w:leader="dot"/>
            </w:tabs>
            <w:spacing w:line="240" w:lineRule="exact" w:before="0" w:after="0"/>
            <w:ind w:left="662" w:right="0" w:hanging="338"/>
            <w:jc w:val="left"/>
            <w:rPr>
              <w:sz w:val="20"/>
            </w:rPr>
          </w:pPr>
          <w:r>
            <w:rPr>
              <w:w w:val="105"/>
            </w:rPr>
            <w:t>Contingent</w:t>
          </w:r>
          <w:r>
            <w:rPr>
              <w:spacing w:val="13"/>
              <w:w w:val="105"/>
            </w:rPr>
            <w:t> </w:t>
          </w:r>
          <w:r>
            <w:rPr>
              <w:w w:val="105"/>
            </w:rPr>
            <w:t>Functions</w:t>
          </w:r>
          <w:r>
            <w:rPr>
              <w:w w:val="105"/>
              <w:sz w:val="19"/>
            </w:rPr>
            <w:tab/>
            <w:t>225</w:t>
          </w:r>
        </w:p>
        <w:p>
          <w:pPr>
            <w:pStyle w:val="TOC3"/>
            <w:numPr>
              <w:ilvl w:val="0"/>
              <w:numId w:val="1"/>
            </w:numPr>
            <w:tabs>
              <w:tab w:pos="663" w:val="left" w:leader="none"/>
              <w:tab w:pos="5576" w:val="left" w:leader="dot"/>
            </w:tabs>
            <w:spacing w:line="241" w:lineRule="exact" w:before="3" w:after="0"/>
            <w:ind w:left="662" w:right="0" w:hanging="338"/>
            <w:jc w:val="left"/>
            <w:rPr>
              <w:sz w:val="19"/>
            </w:rPr>
          </w:pPr>
          <w:r>
            <w:rPr/>
            <w:t>Compound</w:t>
          </w:r>
          <w:r>
            <w:rPr>
              <w:spacing w:val="41"/>
            </w:rPr>
            <w:t> </w:t>
          </w:r>
          <w:r>
            <w:rPr/>
            <w:t>Contingent</w:t>
          </w:r>
          <w:r>
            <w:rPr>
              <w:spacing w:val="46"/>
            </w:rPr>
            <w:t> </w:t>
          </w:r>
          <w:r>
            <w:rPr/>
            <w:t>Functions</w:t>
          </w:r>
          <w:r>
            <w:rPr>
              <w:sz w:val="19"/>
            </w:rPr>
            <w:tab/>
            <w:t>246</w:t>
          </w:r>
        </w:p>
        <w:p>
          <w:pPr>
            <w:pStyle w:val="TOC3"/>
            <w:numPr>
              <w:ilvl w:val="0"/>
              <w:numId w:val="1"/>
            </w:numPr>
            <w:tabs>
              <w:tab w:pos="663" w:val="left" w:leader="none"/>
              <w:tab w:pos="5573" w:val="left" w:leader="dot"/>
            </w:tabs>
            <w:spacing w:line="240" w:lineRule="auto" w:before="0" w:after="0"/>
            <w:ind w:left="662" w:right="0" w:hanging="338"/>
            <w:jc w:val="left"/>
            <w:rPr>
              <w:sz w:val="19"/>
            </w:rPr>
          </w:pPr>
          <w:r>
            <w:rPr/>
            <w:t>Reversionary</w:t>
          </w:r>
          <w:r>
            <w:rPr>
              <w:spacing w:val="42"/>
            </w:rPr>
            <w:t> </w:t>
          </w:r>
          <w:r>
            <w:rPr/>
            <w:t>Annuities</w:t>
          </w:r>
          <w:r>
            <w:rPr>
              <w:sz w:val="19"/>
            </w:rPr>
            <w:tab/>
            <w:t>255</w:t>
          </w:r>
        </w:p>
        <w:p>
          <w:pPr>
            <w:pStyle w:val="TOC2"/>
            <w:spacing w:before="148"/>
            <w:rPr>
              <w:b w:val="0"/>
              <w:i w:val="0"/>
              <w:sz w:val="21"/>
            </w:rPr>
          </w:pPr>
          <w:r>
            <w:rPr>
              <w:b w:val="0"/>
              <w:i w:val="0"/>
              <w:w w:val="105"/>
              <w:sz w:val="22"/>
            </w:rPr>
            <w:t>Part III. </w:t>
          </w:r>
          <w:r>
            <w:rPr>
              <w:b w:val="0"/>
              <w:i w:val="0"/>
              <w:w w:val="105"/>
              <w:sz w:val="21"/>
            </w:rPr>
            <w:t>Multiple-Decrement Functions</w:t>
          </w:r>
        </w:p>
        <w:p>
          <w:pPr>
            <w:pStyle w:val="TOC3"/>
            <w:numPr>
              <w:ilvl w:val="0"/>
              <w:numId w:val="1"/>
            </w:numPr>
            <w:tabs>
              <w:tab w:pos="670" w:val="left" w:leader="none"/>
              <w:tab w:pos="5569" w:val="left" w:leader="dot"/>
            </w:tabs>
            <w:spacing w:line="241" w:lineRule="exact" w:before="1" w:after="0"/>
            <w:ind w:left="670" w:right="0" w:hanging="346"/>
            <w:jc w:val="left"/>
            <w:rPr>
              <w:sz w:val="19"/>
            </w:rPr>
          </w:pPr>
          <w:r>
            <w:rPr>
              <w:w w:val="105"/>
            </w:rPr>
            <w:t>Multiple-Decrement</w:t>
          </w:r>
          <w:r>
            <w:rPr>
              <w:spacing w:val="3"/>
              <w:w w:val="105"/>
            </w:rPr>
            <w:t> </w:t>
          </w:r>
          <w:r>
            <w:rPr>
              <w:w w:val="105"/>
            </w:rPr>
            <w:t>Tables</w:t>
          </w:r>
          <w:r>
            <w:rPr>
              <w:w w:val="105"/>
              <w:sz w:val="19"/>
            </w:rPr>
            <w:tab/>
            <w:t>271</w:t>
          </w:r>
        </w:p>
        <w:p>
          <w:pPr>
            <w:pStyle w:val="TOC3"/>
            <w:numPr>
              <w:ilvl w:val="0"/>
              <w:numId w:val="1"/>
            </w:numPr>
            <w:tabs>
              <w:tab w:pos="663" w:val="left" w:leader="none"/>
              <w:tab w:pos="5569" w:val="left" w:leader="dot"/>
            </w:tabs>
            <w:spacing w:line="241" w:lineRule="exact" w:before="0" w:after="0"/>
            <w:ind w:left="662" w:right="0" w:hanging="338"/>
            <w:jc w:val="left"/>
            <w:rPr>
              <w:sz w:val="19"/>
            </w:rPr>
          </w:pPr>
          <w:r>
            <w:rPr/>
            <w:t>Tables with</w:t>
          </w:r>
          <w:r>
            <w:rPr>
              <w:spacing w:val="49"/>
            </w:rPr>
            <w:t> </w:t>
          </w:r>
          <w:r>
            <w:rPr/>
            <w:t>Secondary</w:t>
          </w:r>
          <w:r>
            <w:rPr>
              <w:spacing w:val="32"/>
            </w:rPr>
            <w:t> </w:t>
          </w:r>
          <w:r>
            <w:rPr/>
            <w:t>Decrements</w:t>
          </w:r>
          <w:r>
            <w:rPr>
              <w:sz w:val="20"/>
            </w:rPr>
            <w:tab/>
            <w:t>291</w:t>
          </w:r>
        </w:p>
        <w:p>
          <w:pPr>
            <w:pStyle w:val="TOC3"/>
            <w:numPr>
              <w:ilvl w:val="0"/>
              <w:numId w:val="1"/>
            </w:numPr>
            <w:tabs>
              <w:tab w:pos="660" w:val="left" w:leader="none"/>
              <w:tab w:pos="5565" w:val="left" w:leader="dot"/>
            </w:tabs>
            <w:spacing w:line="240" w:lineRule="auto" w:before="0" w:after="0"/>
            <w:ind w:left="659" w:right="0" w:hanging="335"/>
            <w:jc w:val="left"/>
            <w:rPr>
              <w:sz w:val="19"/>
            </w:rPr>
          </w:pPr>
          <w:r>
            <w:rPr/>
            <w:t>A</w:t>
          </w:r>
          <w:r>
            <w:rPr>
              <w:spacing w:val="11"/>
            </w:rPr>
            <w:t> </w:t>
          </w:r>
          <w:r>
            <w:rPr/>
            <w:t>Generalized  Model.</w:t>
          </w:r>
          <w:r>
            <w:rPr>
              <w:sz w:val="19"/>
            </w:rPr>
            <w:tab/>
            <w:t>305</w:t>
          </w:r>
        </w:p>
        <w:p>
          <w:pPr>
            <w:pStyle w:val="TOC1"/>
            <w:spacing w:line="241" w:lineRule="exact" w:before="154"/>
            <w:ind w:left="112"/>
          </w:pPr>
          <w:r>
            <w:rPr>
              <w:w w:val="105"/>
            </w:rPr>
            <w:t>Appendix l. Tables</w:t>
          </w:r>
        </w:p>
        <w:p>
          <w:pPr>
            <w:pStyle w:val="TOC3"/>
            <w:numPr>
              <w:ilvl w:val="1"/>
              <w:numId w:val="1"/>
            </w:numPr>
            <w:tabs>
              <w:tab w:pos="613" w:val="left" w:leader="none"/>
              <w:tab w:pos="5565" w:val="left" w:leader="dot"/>
            </w:tabs>
            <w:spacing w:line="240" w:lineRule="auto" w:before="0" w:after="0"/>
            <w:ind w:left="810" w:right="142" w:hanging="500"/>
            <w:jc w:val="left"/>
            <w:rPr>
              <w:sz w:val="19"/>
            </w:rPr>
          </w:pPr>
          <w:r>
            <w:rPr>
              <w:w w:val="105"/>
            </w:rPr>
            <w:t>The Commissioners </w:t>
          </w:r>
          <w:r>
            <w:rPr>
              <w:w w:val="105"/>
              <w:sz w:val="19"/>
            </w:rPr>
            <w:t>1958 </w:t>
          </w:r>
          <w:r>
            <w:rPr>
              <w:w w:val="105"/>
            </w:rPr>
            <w:t>Standard Ordinary Mortality Table</w:t>
          </w:r>
          <w:r>
            <w:rPr>
              <w:w w:val="105"/>
              <w:sz w:val="19"/>
            </w:rPr>
            <w:tab/>
          </w:r>
          <w:r>
            <w:rPr>
              <w:spacing w:val="-8"/>
              <w:w w:val="105"/>
              <w:sz w:val="19"/>
            </w:rPr>
            <w:t>333</w:t>
          </w:r>
        </w:p>
        <w:p>
          <w:pPr>
            <w:pStyle w:val="TOC4"/>
            <w:numPr>
              <w:ilvl w:val="1"/>
              <w:numId w:val="1"/>
            </w:numPr>
            <w:tabs>
              <w:tab w:pos="620" w:val="left" w:leader="none"/>
            </w:tabs>
            <w:spacing w:line="239" w:lineRule="exact" w:before="0" w:after="0"/>
            <w:ind w:left="619" w:right="0" w:hanging="306"/>
            <w:jc w:val="left"/>
            <w:rPr>
              <w:b w:val="0"/>
              <w:i w:val="0"/>
              <w:sz w:val="21"/>
            </w:rPr>
          </w:pPr>
          <w:r>
            <w:rPr>
              <w:b w:val="0"/>
              <w:i w:val="0"/>
              <w:w w:val="105"/>
              <w:sz w:val="21"/>
            </w:rPr>
            <w:t>Life Table for White Males: United States, </w:t>
          </w:r>
          <w:r>
            <w:rPr>
              <w:b w:val="0"/>
              <w:i w:val="0"/>
              <w:spacing w:val="-6"/>
              <w:w w:val="105"/>
              <w:sz w:val="19"/>
            </w:rPr>
            <w:t>1959-61 </w:t>
          </w:r>
          <w:r>
            <w:rPr>
              <w:b w:val="0"/>
              <w:i w:val="0"/>
              <w:w w:val="105"/>
              <w:sz w:val="19"/>
            </w:rPr>
            <w:t>. . .  </w:t>
          </w:r>
          <w:r>
            <w:rPr>
              <w:b w:val="0"/>
              <w:i w:val="0"/>
              <w:spacing w:val="44"/>
              <w:w w:val="105"/>
              <w:sz w:val="19"/>
            </w:rPr>
            <w:t> </w:t>
          </w:r>
          <w:r>
            <w:rPr>
              <w:b w:val="0"/>
              <w:i w:val="0"/>
              <w:w w:val="105"/>
              <w:sz w:val="19"/>
            </w:rPr>
            <w:t>346</w:t>
          </w:r>
        </w:p>
        <w:p>
          <w:pPr>
            <w:pStyle w:val="TOC1"/>
            <w:tabs>
              <w:tab w:pos="5565" w:val="left" w:leader="dot"/>
            </w:tabs>
            <w:spacing w:line="240" w:lineRule="exact"/>
            <w:rPr>
              <w:sz w:val="19"/>
            </w:rPr>
          </w:pPr>
          <w:r>
            <w:rPr/>
            <w:t>Appendix  </w:t>
          </w:r>
          <w:r>
            <w:rPr>
              <w:sz w:val="19"/>
            </w:rPr>
            <w:t>11.  </w:t>
          </w:r>
          <w:r>
            <w:rPr/>
            <w:t>Derivatives  of </w:t>
          </w:r>
          <w:r>
            <w:rPr>
              <w:spacing w:val="8"/>
            </w:rPr>
            <w:t> </w:t>
          </w:r>
          <w:r>
            <w:rPr/>
            <w:t>Actuaria!</w:t>
          </w:r>
          <w:r>
            <w:rPr>
              <w:spacing w:val="49"/>
            </w:rPr>
            <w:t> </w:t>
          </w:r>
          <w:r>
            <w:rPr/>
            <w:t>Functions</w:t>
          </w:r>
          <w:r>
            <w:rPr>
              <w:sz w:val="19"/>
            </w:rPr>
            <w:tab/>
            <w:t>349</w:t>
          </w:r>
        </w:p>
        <w:p>
          <w:pPr>
            <w:pStyle w:val="TOC1"/>
            <w:tabs>
              <w:tab w:pos="5565" w:val="left" w:leader="dot"/>
            </w:tabs>
            <w:spacing w:line="240" w:lineRule="exact" w:before="158"/>
            <w:rPr>
              <w:sz w:val="19"/>
            </w:rPr>
          </w:pPr>
          <w:hyperlink w:history="true" w:anchor="_TOC_250001">
            <w:r>
              <w:rPr>
                <w:w w:val="110"/>
              </w:rPr>
              <w:t>Answers</w:t>
            </w:r>
            <w:r>
              <w:rPr>
                <w:spacing w:val="-30"/>
                <w:w w:val="110"/>
              </w:rPr>
              <w:t> </w:t>
            </w:r>
            <w:r>
              <w:rPr>
                <w:w w:val="110"/>
              </w:rPr>
              <w:t>to</w:t>
            </w:r>
            <w:r>
              <w:rPr>
                <w:spacing w:val="-35"/>
                <w:w w:val="110"/>
              </w:rPr>
              <w:t> </w:t>
            </w:r>
            <w:r>
              <w:rPr>
                <w:w w:val="110"/>
              </w:rPr>
              <w:t>the</w:t>
            </w:r>
            <w:r>
              <w:rPr>
                <w:spacing w:val="-33"/>
                <w:w w:val="110"/>
              </w:rPr>
              <w:t> </w:t>
            </w:r>
            <w:r>
              <w:rPr>
                <w:w w:val="110"/>
              </w:rPr>
              <w:t>Exercises</w:t>
            </w:r>
            <w:r>
              <w:rPr>
                <w:w w:val="110"/>
                <w:sz w:val="19"/>
              </w:rPr>
              <w:tab/>
            </w:r>
            <w:r>
              <w:rPr>
                <w:spacing w:val="-3"/>
                <w:w w:val="110"/>
                <w:sz w:val="19"/>
              </w:rPr>
              <w:t>351</w:t>
            </w:r>
          </w:hyperlink>
        </w:p>
        <w:p>
          <w:pPr>
            <w:pStyle w:val="TOC2"/>
            <w:tabs>
              <w:tab w:pos="5562" w:val="left" w:leader="dot"/>
            </w:tabs>
            <w:spacing w:line="238" w:lineRule="exact"/>
            <w:rPr>
              <w:b w:val="0"/>
              <w:i w:val="0"/>
              <w:sz w:val="19"/>
            </w:rPr>
          </w:pPr>
          <w:hyperlink w:history="true" w:anchor="_TOC_250000">
            <w:r>
              <w:rPr>
                <w:b w:val="0"/>
                <w:i w:val="0"/>
                <w:sz w:val="21"/>
              </w:rPr>
              <w:t>Bibliography</w:t>
            </w:r>
            <w:r>
              <w:rPr>
                <w:b w:val="0"/>
                <w:i w:val="0"/>
                <w:sz w:val="19"/>
              </w:rPr>
              <w:tab/>
              <w:t>375</w:t>
            </w:r>
          </w:hyperlink>
        </w:p>
        <w:p>
          <w:pPr>
            <w:pStyle w:val="TOC1"/>
            <w:tabs>
              <w:tab w:pos="5562" w:val="left" w:leader="dot"/>
            </w:tabs>
            <w:spacing w:line="238" w:lineRule="exact"/>
            <w:ind w:left="112"/>
            <w:rPr>
              <w:rFonts w:ascii="Arial"/>
              <w:sz w:val="20"/>
            </w:rPr>
          </w:pPr>
          <w:r>
            <w:rPr>
              <w:w w:val="105"/>
            </w:rPr>
            <w:t>lndex</w:t>
          </w:r>
          <w:r>
            <w:rPr>
              <w:spacing w:val="27"/>
              <w:w w:val="105"/>
            </w:rPr>
            <w:t> </w:t>
          </w:r>
          <w:r>
            <w:rPr>
              <w:w w:val="105"/>
            </w:rPr>
            <w:t>to</w:t>
          </w:r>
          <w:r>
            <w:rPr>
              <w:spacing w:val="18"/>
              <w:w w:val="105"/>
            </w:rPr>
            <w:t> </w:t>
          </w:r>
          <w:r>
            <w:rPr>
              <w:w w:val="105"/>
            </w:rPr>
            <w:t>Notation.</w:t>
          </w:r>
          <w:r>
            <w:rPr>
              <w:rFonts w:ascii="Arial"/>
              <w:w w:val="105"/>
              <w:sz w:val="20"/>
            </w:rPr>
            <w:tab/>
            <w:t>379</w:t>
          </w:r>
        </w:p>
        <w:p>
          <w:pPr>
            <w:pStyle w:val="TOC2"/>
            <w:tabs>
              <w:tab w:pos="5558" w:val="left" w:leader="dot"/>
            </w:tabs>
            <w:spacing w:line="240" w:lineRule="exact"/>
            <w:ind w:left="104"/>
            <w:rPr>
              <w:b w:val="0"/>
              <w:i w:val="0"/>
              <w:sz w:val="19"/>
            </w:rPr>
          </w:pPr>
          <w:r>
            <w:rPr>
              <w:b w:val="0"/>
              <w:i w:val="0"/>
              <w:w w:val="110"/>
              <w:sz w:val="21"/>
            </w:rPr>
            <w:t>General</w:t>
          </w:r>
          <w:r>
            <w:rPr>
              <w:b w:val="0"/>
              <w:i w:val="0"/>
              <w:spacing w:val="-21"/>
              <w:w w:val="110"/>
              <w:sz w:val="21"/>
            </w:rPr>
            <w:t> </w:t>
          </w:r>
          <w:r>
            <w:rPr>
              <w:b w:val="0"/>
              <w:i w:val="0"/>
              <w:w w:val="110"/>
              <w:sz w:val="21"/>
            </w:rPr>
            <w:t>Index</w:t>
          </w:r>
          <w:r>
            <w:rPr>
              <w:b w:val="0"/>
              <w:i w:val="0"/>
              <w:w w:val="110"/>
              <w:sz w:val="19"/>
            </w:rPr>
            <w:tab/>
          </w:r>
          <w:r>
            <w:rPr>
              <w:b w:val="0"/>
              <w:i w:val="0"/>
              <w:spacing w:val="-16"/>
              <w:w w:val="110"/>
              <w:sz w:val="19"/>
            </w:rPr>
            <w:t>387</w:t>
          </w:r>
        </w:p>
      </w:sdtContent>
    </w:sdt>
    <w:p>
      <w:pPr>
        <w:spacing w:before="667"/>
        <w:ind w:left="293" w:right="369" w:firstLine="0"/>
        <w:jc w:val="center"/>
        <w:rPr>
          <w:sz w:val="17"/>
        </w:rPr>
      </w:pPr>
      <w:r>
        <w:rPr>
          <w:w w:val="105"/>
          <w:sz w:val="17"/>
        </w:rPr>
        <w:t>xi</w:t>
      </w:r>
    </w:p>
    <w:p>
      <w:pPr>
        <w:spacing w:after="0"/>
        <w:jc w:val="center"/>
        <w:rPr>
          <w:sz w:val="17"/>
        </w:rPr>
        <w:sectPr>
          <w:pgSz w:w="7200" w:h="11340"/>
          <w:pgMar w:top="1060" w:bottom="0" w:left="680" w:right="50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196"/>
        <w:ind w:left="1265" w:right="1953" w:firstLine="0"/>
        <w:jc w:val="center"/>
        <w:rPr>
          <w:i/>
          <w:sz w:val="28"/>
        </w:rPr>
      </w:pPr>
      <w:bookmarkStart w:name="Part I. Single-Life Funcions" w:id="5"/>
      <w:bookmarkEnd w:id="5"/>
      <w:r>
        <w:rPr/>
      </w:r>
      <w:r>
        <w:rPr>
          <w:b/>
          <w:i/>
          <w:sz w:val="26"/>
        </w:rPr>
        <w:t>Part  </w:t>
      </w:r>
      <w:r>
        <w:rPr>
          <w:i/>
          <w:sz w:val="28"/>
        </w:rPr>
        <w:t>I</w:t>
      </w:r>
    </w:p>
    <w:p>
      <w:pPr>
        <w:spacing w:before="89"/>
        <w:ind w:left="157" w:right="832" w:firstLine="0"/>
        <w:jc w:val="center"/>
        <w:rPr>
          <w:sz w:val="27"/>
        </w:rPr>
      </w:pPr>
      <w:r>
        <w:rPr>
          <w:sz w:val="27"/>
        </w:rPr>
        <w:t>SINGLE-LIFE  FUNCTIONS</w:t>
      </w:r>
    </w:p>
    <w:p>
      <w:pPr>
        <w:spacing w:after="0"/>
        <w:jc w:val="center"/>
        <w:rPr>
          <w:sz w:val="27"/>
        </w:rPr>
        <w:sectPr>
          <w:pgSz w:w="7200" w:h="11340"/>
          <w:pgMar w:top="1060" w:bottom="280" w:left="980" w:right="980"/>
        </w:sectPr>
      </w:pPr>
    </w:p>
    <w:p>
      <w:pPr>
        <w:pStyle w:val="BodyText"/>
      </w:pPr>
    </w:p>
    <w:p>
      <w:pPr>
        <w:pStyle w:val="BodyText"/>
        <w:spacing w:before="5"/>
        <w:rPr>
          <w:sz w:val="21"/>
        </w:rPr>
      </w:pPr>
    </w:p>
    <w:p>
      <w:pPr>
        <w:spacing w:before="0"/>
        <w:ind w:left="91" w:right="87" w:firstLine="0"/>
        <w:jc w:val="center"/>
        <w:rPr>
          <w:sz w:val="22"/>
        </w:rPr>
      </w:pPr>
      <w:bookmarkStart w:name="1. The Measurement of Mortality" w:id="6"/>
      <w:bookmarkEnd w:id="6"/>
      <w:r>
        <w:rPr/>
      </w:r>
      <w:r>
        <w:rPr>
          <w:w w:val="115"/>
          <w:sz w:val="15"/>
        </w:rPr>
        <w:t>CHAPTER  </w:t>
      </w:r>
      <w:r>
        <w:rPr>
          <w:w w:val="115"/>
          <w:sz w:val="22"/>
        </w:rPr>
        <w:t>1</w:t>
      </w:r>
    </w:p>
    <w:p>
      <w:pPr>
        <w:spacing w:before="116"/>
        <w:ind w:left="26" w:right="87" w:firstLine="0"/>
        <w:jc w:val="center"/>
        <w:rPr>
          <w:sz w:val="21"/>
        </w:rPr>
      </w:pPr>
      <w:r>
        <w:rPr>
          <w:w w:val="105"/>
          <w:sz w:val="21"/>
        </w:rPr>
        <w:t>THE  MEASUREMENT  OF MORTALITY</w:t>
      </w:r>
    </w:p>
    <w:p>
      <w:pPr>
        <w:pStyle w:val="BodyText"/>
        <w:spacing w:before="10"/>
        <w:rPr>
          <w:sz w:val="22"/>
        </w:rPr>
      </w:pPr>
    </w:p>
    <w:p>
      <w:pPr>
        <w:spacing w:before="0"/>
        <w:ind w:left="112" w:right="0" w:firstLine="0"/>
        <w:jc w:val="left"/>
        <w:rPr>
          <w:b/>
          <w:sz w:val="19"/>
        </w:rPr>
      </w:pPr>
      <w:r>
        <w:rPr>
          <w:b/>
          <w:w w:val="125"/>
          <w:sz w:val="19"/>
        </w:rPr>
        <w:t>l. lntroduction</w:t>
      </w:r>
    </w:p>
    <w:p>
      <w:pPr>
        <w:spacing w:before="79"/>
        <w:ind w:left="108" w:right="122" w:firstLine="194"/>
        <w:jc w:val="both"/>
        <w:rPr>
          <w:sz w:val="21"/>
        </w:rPr>
      </w:pPr>
      <w:r>
        <w:rPr>
          <w:sz w:val="21"/>
        </w:rPr>
        <w:t>The systematic analysis of the contingencies of human life fonns the foundation of an actuary's work. In the solution of problems involving these contingencies, he requires sorne type of quantita­ tive measure of their effects;- and, in financial problems, he requires also a set of principies by which the measurements may be com­ bined with  interest  functions to produce monetary   values.</w:t>
      </w:r>
    </w:p>
    <w:p>
      <w:pPr>
        <w:spacing w:line="240" w:lineRule="auto" w:before="0"/>
        <w:ind w:left="115" w:right="123" w:firstLine="198"/>
        <w:jc w:val="both"/>
        <w:rPr>
          <w:sz w:val="21"/>
        </w:rPr>
      </w:pPr>
      <w:r>
        <w:rPr>
          <w:sz w:val="21"/>
        </w:rPr>
        <w:t>The actuary's first concern is with the contingencies  of  death  and survival. In this chapter, the problem of </w:t>
      </w:r>
      <w:r>
        <w:rPr>
          <w:b/>
          <w:sz w:val="20"/>
        </w:rPr>
        <w:t>giving </w:t>
      </w:r>
      <w:r>
        <w:rPr>
          <w:sz w:val="21"/>
        </w:rPr>
        <w:t>quantitative expression to observed mortality patterns will be considered, and  the various functions which have been used  for this purpose  will  be defined and examined. In the chapters that follow, formulas will be developed in which mortality functions and interest  functions  are combined to produce monetary values for Iife annuities and insurances.</w:t>
      </w:r>
    </w:p>
    <w:p>
      <w:pPr>
        <w:spacing w:before="169"/>
        <w:ind w:left="126" w:right="0" w:firstLine="0"/>
        <w:jc w:val="left"/>
        <w:rPr>
          <w:b/>
          <w:sz w:val="19"/>
        </w:rPr>
      </w:pPr>
      <w:r>
        <w:rPr>
          <w:b/>
          <w:w w:val="120"/>
          <w:sz w:val="19"/>
        </w:rPr>
        <w:t>2. The survival function</w:t>
      </w:r>
    </w:p>
    <w:p>
      <w:pPr>
        <w:tabs>
          <w:tab w:pos="3769" w:val="left" w:leader="none"/>
        </w:tabs>
        <w:spacing w:line="237" w:lineRule="auto" w:before="81"/>
        <w:ind w:left="115" w:right="111" w:firstLine="201"/>
        <w:jc w:val="both"/>
        <w:rPr>
          <w:sz w:val="21"/>
        </w:rPr>
      </w:pPr>
      <w:r>
        <w:rPr>
          <w:sz w:val="21"/>
        </w:rPr>
        <w:t>The normal mortality pattern observed among human lives is generally familiar. The elimination of individual lives by death, rather rapid in infancy, slows down during childhood, then in­ creases throughout adolescence and middle-life, accelerating as the end of the life-span </w:t>
      </w:r>
      <w:r>
        <w:rPr>
          <w:spacing w:val="5"/>
          <w:sz w:val="21"/>
        </w:rPr>
        <w:t> </w:t>
      </w:r>
      <w:r>
        <w:rPr>
          <w:sz w:val="21"/>
        </w:rPr>
        <w:t>is</w:t>
      </w:r>
      <w:r>
        <w:rPr>
          <w:spacing w:val="2"/>
          <w:sz w:val="21"/>
        </w:rPr>
        <w:t> </w:t>
      </w:r>
      <w:r>
        <w:rPr>
          <w:sz w:val="21"/>
        </w:rPr>
        <w:t>approached.</w:t>
        <w:tab/>
        <w:t>mg a</w:t>
      </w:r>
      <w:r>
        <w:rPr>
          <w:spacing w:val="14"/>
          <w:sz w:val="21"/>
        </w:rPr>
        <w:t> </w:t>
      </w:r>
      <w:r>
        <w:rPr>
          <w:sz w:val="21"/>
        </w:rPr>
        <w:t>numerical</w:t>
      </w:r>
      <w:r>
        <w:rPr>
          <w:spacing w:val="17"/>
          <w:sz w:val="21"/>
        </w:rPr>
        <w:t> </w:t>
      </w:r>
      <w:r>
        <w:rPr>
          <w:sz w:val="21"/>
        </w:rPr>
        <w:t>measure</w:t>
      </w:r>
      <w:r>
        <w:rPr>
          <w:w w:val="99"/>
          <w:sz w:val="21"/>
        </w:rPr>
        <w:t> </w:t>
      </w:r>
      <w:r>
        <w:rPr>
          <w:sz w:val="21"/>
        </w:rPr>
        <w:t>of the extent of these effects, we begin by defining a fundamental probability </w:t>
      </w:r>
      <w:r>
        <w:rPr>
          <w:spacing w:val="9"/>
          <w:sz w:val="21"/>
        </w:rPr>
        <w:t> </w:t>
      </w:r>
      <w:r>
        <w:rPr>
          <w:sz w:val="21"/>
        </w:rPr>
        <w:t>function.</w:t>
      </w:r>
    </w:p>
    <w:p>
      <w:pPr>
        <w:spacing w:before="0"/>
        <w:ind w:left="126" w:right="124" w:firstLine="205"/>
        <w:jc w:val="both"/>
        <w:rPr>
          <w:sz w:val="21"/>
        </w:rPr>
      </w:pPr>
      <w:r>
        <w:rPr>
          <w:sz w:val="21"/>
        </w:rPr>
        <w:t>Let </w:t>
      </w:r>
      <w:r>
        <w:rPr>
          <w:i/>
          <w:sz w:val="21"/>
        </w:rPr>
        <w:t>x </w:t>
      </w:r>
      <w:r>
        <w:rPr>
          <w:sz w:val="21"/>
        </w:rPr>
        <w:t>represent the age in years of a human life. Then </w:t>
      </w:r>
      <w:r>
        <w:rPr>
          <w:i/>
          <w:sz w:val="21"/>
        </w:rPr>
        <w:t>x  </w:t>
      </w:r>
      <w:r>
        <w:rPr>
          <w:sz w:val="21"/>
        </w:rPr>
        <w:t>may  have any </w:t>
      </w:r>
      <w:r>
        <w:rPr>
          <w:spacing w:val="4"/>
          <w:sz w:val="21"/>
        </w:rPr>
        <w:t>value </w:t>
      </w:r>
      <w:r>
        <w:rPr>
          <w:sz w:val="21"/>
        </w:rPr>
        <w:t>from O to the upper limit of  the  </w:t>
      </w:r>
      <w:r>
        <w:rPr>
          <w:spacing w:val="14"/>
          <w:sz w:val="21"/>
        </w:rPr>
        <w:t> </w:t>
      </w:r>
      <w:r>
        <w:rPr>
          <w:sz w:val="21"/>
        </w:rPr>
        <w:t>life-span.</w:t>
      </w:r>
    </w:p>
    <w:p>
      <w:pPr>
        <w:spacing w:line="237" w:lineRule="auto" w:before="0"/>
        <w:ind w:left="130" w:right="109" w:firstLine="198"/>
        <w:jc w:val="both"/>
        <w:rPr>
          <w:i/>
          <w:sz w:val="21"/>
        </w:rPr>
      </w:pPr>
      <w:r>
        <w:rPr>
          <w:sz w:val="21"/>
        </w:rPr>
        <w:t>Consider now the probability that a new lif e, aged O, will sur­ vive to attain age </w:t>
      </w:r>
      <w:r>
        <w:rPr>
          <w:i/>
          <w:sz w:val="20"/>
        </w:rPr>
        <w:t>x. </w:t>
      </w:r>
      <w:r>
        <w:rPr>
          <w:sz w:val="21"/>
        </w:rPr>
        <w:t>We may  regard  this probability  as a function of </w:t>
      </w:r>
      <w:r>
        <w:rPr>
          <w:i/>
          <w:sz w:val="21"/>
        </w:rPr>
        <w:t>x, </w:t>
      </w:r>
      <w:r>
        <w:rPr>
          <w:sz w:val="21"/>
        </w:rPr>
        <w:t>and will refer  to it as the </w:t>
      </w:r>
      <w:r>
        <w:rPr>
          <w:i/>
          <w:sz w:val="21"/>
        </w:rPr>
        <w:t>survival </w:t>
      </w:r>
      <w:r>
        <w:rPr>
          <w:i/>
          <w:sz w:val="19"/>
        </w:rPr>
        <w:t>f </w:t>
      </w:r>
      <w:r>
        <w:rPr>
          <w:i/>
          <w:sz w:val="20"/>
        </w:rPr>
        <w:t>unction, </w:t>
      </w:r>
      <w:r>
        <w:rPr>
          <w:i/>
          <w:sz w:val="21"/>
        </w:rPr>
        <w:t>s (x ).</w:t>
      </w:r>
    </w:p>
    <w:p>
      <w:pPr>
        <w:spacing w:line="238" w:lineRule="exact" w:before="2"/>
        <w:ind w:left="130" w:right="107" w:firstLine="205"/>
        <w:jc w:val="both"/>
        <w:rPr>
          <w:sz w:val="21"/>
        </w:rPr>
      </w:pPr>
      <w:r>
        <w:rPr>
          <w:sz w:val="21"/>
        </w:rPr>
        <w:t>What properties may we attribute </w:t>
      </w:r>
      <w:r>
        <w:rPr>
          <w:rFonts w:ascii="Arial" w:hAnsi="Arial"/>
          <w:sz w:val="18"/>
        </w:rPr>
        <w:t>to </w:t>
      </w:r>
      <w:r>
        <w:rPr>
          <w:sz w:val="21"/>
        </w:rPr>
        <w:t>this function from our  general knowledge of the normal mortality  pattern  described above? In the first place, it is clear that </w:t>
      </w:r>
      <w:r>
        <w:rPr>
          <w:rFonts w:ascii="Arial" w:hAnsi="Arial"/>
          <w:i/>
          <w:sz w:val="18"/>
        </w:rPr>
        <w:t>s (x ) </w:t>
      </w:r>
      <w:r>
        <w:rPr>
          <w:sz w:val="21"/>
        </w:rPr>
        <w:t>is a decreasing func­ tion  as </w:t>
      </w:r>
      <w:r>
        <w:rPr>
          <w:i/>
          <w:sz w:val="19"/>
        </w:rPr>
        <w:t>x  </w:t>
      </w:r>
      <w:r>
        <w:rPr>
          <w:sz w:val="21"/>
        </w:rPr>
        <w:t>increases,  since  the  probability  of  surviving  </w:t>
      </w:r>
      <w:r>
        <w:rPr>
          <w:rFonts w:ascii="Arial" w:hAnsi="Arial"/>
          <w:sz w:val="18"/>
        </w:rPr>
        <w:t>to  </w:t>
      </w:r>
      <w:r>
        <w:rPr>
          <w:sz w:val="21"/>
        </w:rPr>
        <w:t>age </w:t>
      </w:r>
      <w:r>
        <w:rPr>
          <w:i/>
          <w:sz w:val="19"/>
        </w:rPr>
        <w:t>x</w:t>
      </w:r>
      <w:r>
        <w:rPr>
          <w:i/>
          <w:spacing w:val="10"/>
          <w:sz w:val="19"/>
        </w:rPr>
        <w:t> </w:t>
      </w:r>
      <w:r>
        <w:rPr>
          <w:sz w:val="21"/>
        </w:rPr>
        <w:t>is</w:t>
      </w:r>
    </w:p>
    <w:p>
      <w:pPr>
        <w:spacing w:line="261" w:lineRule="exact" w:before="0"/>
        <w:ind w:left="98" w:right="86" w:firstLine="0"/>
        <w:jc w:val="center"/>
        <w:rPr>
          <w:sz w:val="21"/>
        </w:rPr>
      </w:pPr>
      <w:r>
        <w:rPr>
          <w:sz w:val="21"/>
        </w:rPr>
        <w:t>greater  than  the probability  of  surviving  to age </w:t>
      </w:r>
      <w:r>
        <w:rPr>
          <w:rFonts w:ascii="Arial"/>
          <w:i/>
          <w:sz w:val="18"/>
        </w:rPr>
        <w:t>x  </w:t>
      </w:r>
      <w:r>
        <w:rPr>
          <w:rFonts w:ascii="Arial"/>
          <w:sz w:val="32"/>
        </w:rPr>
        <w:t>+ </w:t>
      </w:r>
      <w:r>
        <w:rPr>
          <w:i/>
          <w:sz w:val="22"/>
        </w:rPr>
        <w:t>t, </w:t>
      </w:r>
      <w:r>
        <w:rPr>
          <w:sz w:val="21"/>
        </w:rPr>
        <w:t>for </w:t>
      </w:r>
      <w:r>
        <w:rPr>
          <w:i/>
          <w:sz w:val="22"/>
        </w:rPr>
        <w:t>t  </w:t>
      </w:r>
      <w:r>
        <w:rPr>
          <w:rFonts w:ascii="Arial"/>
          <w:sz w:val="27"/>
        </w:rPr>
        <w:t>&gt; </w:t>
      </w:r>
      <w:r>
        <w:rPr>
          <w:sz w:val="21"/>
        </w:rPr>
        <w:t>O.</w:t>
      </w:r>
    </w:p>
    <w:p>
      <w:pPr>
        <w:spacing w:before="81"/>
        <w:ind w:left="26" w:right="0" w:firstLine="0"/>
        <w:jc w:val="center"/>
        <w:rPr>
          <w:rFonts w:ascii="Arial"/>
          <w:sz w:val="16"/>
        </w:rPr>
      </w:pPr>
      <w:r>
        <w:rPr>
          <w:rFonts w:ascii="Arial"/>
          <w:w w:val="103"/>
          <w:sz w:val="16"/>
        </w:rPr>
        <w:t>3</w:t>
      </w:r>
    </w:p>
    <w:p>
      <w:pPr>
        <w:spacing w:after="0"/>
        <w:jc w:val="center"/>
        <w:rPr>
          <w:rFonts w:ascii="Arial"/>
          <w:sz w:val="16"/>
        </w:rPr>
        <w:sectPr>
          <w:pgSz w:w="7200" w:h="11340"/>
          <w:pgMar w:top="1060" w:bottom="280" w:left="640" w:right="560"/>
        </w:sectPr>
      </w:pPr>
    </w:p>
    <w:p>
      <w:pPr>
        <w:tabs>
          <w:tab w:pos="1517" w:val="left" w:leader="none"/>
          <w:tab w:pos="5391" w:val="left" w:leader="none"/>
        </w:tabs>
        <w:spacing w:before="55"/>
        <w:ind w:left="150" w:right="0" w:firstLine="0"/>
        <w:jc w:val="both"/>
        <w:rPr>
          <w:rFonts w:ascii="Arial"/>
          <w:b/>
          <w:sz w:val="18"/>
        </w:rPr>
      </w:pPr>
      <w:r>
        <w:rPr>
          <w:rFonts w:ascii="Arial"/>
          <w:color w:val="010101"/>
          <w:position w:val="1"/>
          <w:sz w:val="18"/>
        </w:rPr>
        <w:t>4</w:t>
        <w:tab/>
      </w:r>
      <w:r>
        <w:rPr>
          <w:b/>
          <w:color w:val="010101"/>
          <w:position w:val="1"/>
          <w:sz w:val="15"/>
        </w:rPr>
        <w:t>THE  MEASUREMENT  </w:t>
      </w:r>
      <w:r>
        <w:rPr>
          <w:b/>
          <w:color w:val="010101"/>
          <w:spacing w:val="24"/>
          <w:position w:val="1"/>
          <w:sz w:val="15"/>
        </w:rPr>
        <w:t> </w:t>
      </w:r>
      <w:r>
        <w:rPr>
          <w:b/>
          <w:color w:val="010101"/>
          <w:position w:val="1"/>
          <w:sz w:val="15"/>
        </w:rPr>
        <w:t>OF </w:t>
      </w:r>
      <w:r>
        <w:rPr>
          <w:b/>
          <w:color w:val="010101"/>
          <w:spacing w:val="17"/>
          <w:position w:val="1"/>
          <w:sz w:val="15"/>
        </w:rPr>
        <w:t> </w:t>
      </w:r>
      <w:r>
        <w:rPr>
          <w:b/>
          <w:color w:val="010101"/>
          <w:position w:val="1"/>
          <w:sz w:val="15"/>
        </w:rPr>
        <w:t>MORTALITY</w:t>
        <w:tab/>
      </w:r>
      <w:r>
        <w:rPr>
          <w:b/>
          <w:color w:val="010101"/>
          <w:sz w:val="14"/>
        </w:rPr>
        <w:t>(CH.  </w:t>
      </w:r>
      <w:r>
        <w:rPr>
          <w:b/>
          <w:color w:val="010101"/>
          <w:spacing w:val="8"/>
          <w:sz w:val="14"/>
        </w:rPr>
        <w:t> </w:t>
      </w:r>
      <w:r>
        <w:rPr>
          <w:rFonts w:ascii="Arial"/>
          <w:b/>
          <w:color w:val="010101"/>
          <w:sz w:val="18"/>
        </w:rPr>
        <w:t>1</w:t>
      </w:r>
    </w:p>
    <w:p>
      <w:pPr>
        <w:pStyle w:val="BodyText"/>
        <w:spacing w:before="9"/>
        <w:rPr>
          <w:rFonts w:ascii="Arial"/>
          <w:b/>
          <w:sz w:val="19"/>
        </w:rPr>
      </w:pPr>
    </w:p>
    <w:p>
      <w:pPr>
        <w:pStyle w:val="BodyText"/>
        <w:spacing w:line="247" w:lineRule="auto"/>
        <w:ind w:left="150" w:right="122"/>
        <w:jc w:val="both"/>
        <w:rPr>
          <w:rFonts w:ascii="Arial"/>
          <w:i/>
          <w:sz w:val="18"/>
        </w:rPr>
      </w:pPr>
      <w:r>
        <w:rPr>
          <w:color w:val="010101"/>
          <w:w w:val="110"/>
        </w:rPr>
        <w:t>Secondly, since we are confining our attentio </w:t>
      </w:r>
      <w:r>
        <w:rPr>
          <w:color w:val="010101"/>
          <w:w w:val="110"/>
          <w:sz w:val="22"/>
        </w:rPr>
        <w:t>to </w:t>
      </w:r>
      <w:r>
        <w:rPr>
          <w:color w:val="010101"/>
          <w:w w:val="110"/>
        </w:rPr>
        <w:t>normal pa.tterns of mortality, it is convenient and reasonable to assume that  </w:t>
      </w:r>
      <w:r>
        <w:rPr>
          <w:rFonts w:ascii="Arial"/>
          <w:i/>
          <w:color w:val="010101"/>
          <w:w w:val="110"/>
          <w:sz w:val="18"/>
        </w:rPr>
        <w:t>s (x)</w:t>
      </w:r>
    </w:p>
    <w:p>
      <w:pPr>
        <w:pStyle w:val="BodyText"/>
        <w:spacing w:line="192" w:lineRule="auto" w:before="23"/>
        <w:ind w:left="150" w:right="121" w:firstLine="7"/>
        <w:jc w:val="both"/>
      </w:pPr>
      <w:r>
        <w:rPr>
          <w:color w:val="010101"/>
        </w:rPr>
        <w:t>is a continuous function of </w:t>
      </w:r>
      <w:r>
        <w:rPr>
          <w:i/>
          <w:color w:val="010101"/>
          <w:sz w:val="21"/>
        </w:rPr>
        <w:t>x. </w:t>
      </w:r>
      <w:r>
        <w:rPr>
          <w:color w:val="010101"/>
          <w:sz w:val="22"/>
        </w:rPr>
        <w:t>In </w:t>
      </w:r>
      <w:r>
        <w:rPr>
          <w:color w:val="010101"/>
        </w:rPr>
        <w:t>addition, we know  two  specific values of </w:t>
      </w:r>
      <w:r>
        <w:rPr>
          <w:rFonts w:ascii="Arial"/>
          <w:i/>
          <w:color w:val="010101"/>
          <w:sz w:val="19"/>
        </w:rPr>
        <w:t>s (x). </w:t>
      </w:r>
      <w:r>
        <w:rPr>
          <w:color w:val="010101"/>
        </w:rPr>
        <w:t>When </w:t>
      </w:r>
      <w:r>
        <w:rPr>
          <w:rFonts w:ascii="Arial"/>
          <w:i/>
          <w:color w:val="010101"/>
          <w:sz w:val="19"/>
        </w:rPr>
        <w:t>x </w:t>
      </w:r>
      <w:r>
        <w:rPr>
          <w:color w:val="010101"/>
          <w:sz w:val="26"/>
        </w:rPr>
        <w:t>= </w:t>
      </w:r>
      <w:r>
        <w:rPr>
          <w:color w:val="010101"/>
        </w:rPr>
        <w:t>O, </w:t>
      </w:r>
      <w:r>
        <w:rPr>
          <w:rFonts w:ascii="Arial"/>
          <w:i/>
          <w:color w:val="010101"/>
          <w:sz w:val="19"/>
        </w:rPr>
        <w:t>s (x ) </w:t>
      </w:r>
      <w:r>
        <w:rPr>
          <w:color w:val="010101"/>
        </w:rPr>
        <w:t>has the value 1, and at the upper end of  the life-span,  </w:t>
      </w:r>
      <w:r>
        <w:rPr>
          <w:rFonts w:ascii="Arial"/>
          <w:i/>
          <w:color w:val="010101"/>
          <w:sz w:val="19"/>
        </w:rPr>
        <w:t>s (x )  </w:t>
      </w:r>
      <w:r>
        <w:rPr>
          <w:color w:val="010101"/>
          <w:sz w:val="26"/>
        </w:rPr>
        <w:t>= </w:t>
      </w:r>
      <w:r>
        <w:rPr>
          <w:color w:val="010101"/>
        </w:rPr>
        <w:t>O.  If  we denote by  the symbol  </w:t>
      </w:r>
      <w:r>
        <w:rPr>
          <w:rFonts w:ascii="Arial"/>
          <w:i/>
          <w:color w:val="010101"/>
          <w:sz w:val="15"/>
        </w:rPr>
        <w:t>w    </w:t>
      </w:r>
      <w:r>
        <w:rPr>
          <w:color w:val="010101"/>
        </w:rPr>
        <w:t>the</w:t>
      </w:r>
    </w:p>
    <w:p>
      <w:pPr>
        <w:pStyle w:val="BodyText"/>
        <w:spacing w:line="238" w:lineRule="exact" w:before="2"/>
        <w:ind w:left="147" w:right="121" w:firstLine="3"/>
        <w:jc w:val="both"/>
      </w:pPr>
      <w:r>
        <w:rPr>
          <w:color w:val="010101"/>
        </w:rPr>
        <w:t>smallest value of </w:t>
      </w:r>
      <w:r>
        <w:rPr>
          <w:rFonts w:ascii="Arial"/>
          <w:i/>
          <w:color w:val="010101"/>
          <w:sz w:val="18"/>
        </w:rPr>
        <w:t>x </w:t>
      </w:r>
      <w:r>
        <w:rPr>
          <w:color w:val="010101"/>
        </w:rPr>
        <w:t>for which  </w:t>
      </w:r>
      <w:r>
        <w:rPr>
          <w:rFonts w:ascii="Arial"/>
          <w:i/>
          <w:color w:val="010101"/>
          <w:sz w:val="18"/>
        </w:rPr>
        <w:t>s </w:t>
      </w:r>
      <w:r>
        <w:rPr>
          <w:rFonts w:ascii="Arial"/>
          <w:i/>
          <w:color w:val="010101"/>
          <w:spacing w:val="7"/>
          <w:sz w:val="18"/>
        </w:rPr>
        <w:t>(x)  </w:t>
      </w:r>
      <w:r>
        <w:rPr>
          <w:color w:val="010101"/>
        </w:rPr>
        <w:t>vanishes,  we  can  express  this last condition  as </w:t>
      </w:r>
      <w:r>
        <w:rPr>
          <w:i/>
          <w:color w:val="010101"/>
          <w:sz w:val="22"/>
        </w:rPr>
        <w:t>s </w:t>
      </w:r>
      <w:r>
        <w:rPr>
          <w:i/>
          <w:color w:val="010101"/>
          <w:sz w:val="19"/>
        </w:rPr>
        <w:t>( w )   </w:t>
      </w:r>
      <w:r>
        <w:rPr>
          <w:color w:val="010101"/>
          <w:sz w:val="24"/>
        </w:rPr>
        <w:t>=  </w:t>
      </w:r>
      <w:r>
        <w:rPr>
          <w:color w:val="010101"/>
        </w:rPr>
        <w:t>O, where </w:t>
      </w:r>
      <w:r>
        <w:rPr>
          <w:rFonts w:ascii="Arial"/>
          <w:i/>
          <w:color w:val="010101"/>
          <w:sz w:val="16"/>
        </w:rPr>
        <w:t>w  </w:t>
      </w:r>
      <w:r>
        <w:rPr>
          <w:color w:val="010101"/>
        </w:rPr>
        <w:t>is sorne value probably  </w:t>
      </w:r>
      <w:r>
        <w:rPr>
          <w:color w:val="010101"/>
          <w:spacing w:val="30"/>
        </w:rPr>
        <w:t> </w:t>
      </w:r>
      <w:r>
        <w:rPr>
          <w:color w:val="010101"/>
        </w:rPr>
        <w:t>nea.r</w:t>
      </w:r>
    </w:p>
    <w:p>
      <w:pPr>
        <w:spacing w:line="194" w:lineRule="auto" w:before="31"/>
        <w:ind w:left="136" w:right="141" w:firstLine="25"/>
        <w:jc w:val="both"/>
        <w:rPr>
          <w:sz w:val="20"/>
        </w:rPr>
      </w:pPr>
      <w:r>
        <w:rPr>
          <w:color w:val="010101"/>
          <w:sz w:val="20"/>
        </w:rPr>
        <w:t>100. Summarizing, </w:t>
      </w:r>
      <w:r>
        <w:rPr>
          <w:i/>
          <w:color w:val="010101"/>
          <w:sz w:val="21"/>
        </w:rPr>
        <w:t>s </w:t>
      </w:r>
      <w:r>
        <w:rPr>
          <w:color w:val="010101"/>
          <w:sz w:val="20"/>
        </w:rPr>
        <w:t>(x ) </w:t>
      </w:r>
      <w:r>
        <w:rPr>
          <w:i/>
          <w:color w:val="010101"/>
          <w:sz w:val="21"/>
        </w:rPr>
        <w:t>is a continuous function of x, defined on</w:t>
      </w:r>
      <w:r>
        <w:rPr>
          <w:i/>
          <w:color w:val="010101"/>
          <w:spacing w:val="-23"/>
          <w:sz w:val="21"/>
        </w:rPr>
        <w:t> </w:t>
      </w:r>
      <w:r>
        <w:rPr>
          <w:i/>
          <w:color w:val="010101"/>
          <w:sz w:val="21"/>
        </w:rPr>
        <w:t>the </w:t>
      </w:r>
      <w:r>
        <w:rPr>
          <w:i/>
          <w:color w:val="010101"/>
          <w:sz w:val="21"/>
        </w:rPr>
        <w:t>interval </w:t>
      </w:r>
      <w:r>
        <w:rPr>
          <w:color w:val="010101"/>
          <w:sz w:val="20"/>
        </w:rPr>
        <w:t>O </w:t>
      </w:r>
      <w:r>
        <w:rPr>
          <w:i/>
          <w:color w:val="010101"/>
          <w:sz w:val="21"/>
        </w:rPr>
        <w:t>x  </w:t>
      </w:r>
      <w:r>
        <w:rPr>
          <w:i/>
          <w:color w:val="010101"/>
          <w:sz w:val="18"/>
        </w:rPr>
        <w:t>w, </w:t>
      </w:r>
      <w:r>
        <w:rPr>
          <w:i/>
          <w:color w:val="010101"/>
          <w:sz w:val="21"/>
        </w:rPr>
        <w:t>which decreases </w:t>
      </w:r>
      <w:r>
        <w:rPr>
          <w:rFonts w:ascii="Arial"/>
          <w:i/>
          <w:color w:val="010101"/>
          <w:spacing w:val="2"/>
          <w:sz w:val="24"/>
        </w:rPr>
        <w:t>f</w:t>
      </w:r>
      <w:r>
        <w:rPr>
          <w:i/>
          <w:color w:val="010101"/>
          <w:spacing w:val="2"/>
          <w:sz w:val="21"/>
        </w:rPr>
        <w:t>rom </w:t>
      </w:r>
      <w:r>
        <w:rPr>
          <w:i/>
          <w:color w:val="010101"/>
          <w:sz w:val="21"/>
        </w:rPr>
        <w:t>the value s </w:t>
      </w:r>
      <w:r>
        <w:rPr>
          <w:color w:val="010101"/>
          <w:sz w:val="20"/>
        </w:rPr>
        <w:t>(O) </w:t>
      </w:r>
      <w:r>
        <w:rPr>
          <w:color w:val="010101"/>
          <w:sz w:val="26"/>
        </w:rPr>
        <w:t>= </w:t>
      </w:r>
      <w:r>
        <w:rPr>
          <w:color w:val="010101"/>
          <w:sz w:val="20"/>
        </w:rPr>
        <w:t>1 </w:t>
      </w:r>
      <w:r>
        <w:rPr>
          <w:i/>
          <w:color w:val="010101"/>
          <w:sz w:val="21"/>
        </w:rPr>
        <w:t>to the </w:t>
      </w:r>
      <w:r>
        <w:rPr>
          <w:i/>
          <w:color w:val="010101"/>
          <w:sz w:val="21"/>
        </w:rPr>
        <w:t>value </w:t>
      </w:r>
      <w:r>
        <w:rPr>
          <w:color w:val="010101"/>
          <w:spacing w:val="5"/>
          <w:sz w:val="19"/>
        </w:rPr>
        <w:t>s(w) </w:t>
      </w:r>
      <w:r>
        <w:rPr>
          <w:color w:val="010101"/>
          <w:sz w:val="26"/>
        </w:rPr>
        <w:t>=</w:t>
      </w:r>
      <w:r>
        <w:rPr>
          <w:color w:val="010101"/>
          <w:spacing w:val="19"/>
          <w:sz w:val="26"/>
        </w:rPr>
        <w:t> </w:t>
      </w:r>
      <w:r>
        <w:rPr>
          <w:color w:val="010101"/>
          <w:sz w:val="20"/>
        </w:rPr>
        <w:t>O.</w:t>
      </w:r>
    </w:p>
    <w:p>
      <w:pPr>
        <w:pStyle w:val="BodyText"/>
        <w:spacing w:line="244" w:lineRule="auto" w:before="1"/>
        <w:ind w:left="125" w:right="147" w:firstLine="204"/>
        <w:jc w:val="both"/>
      </w:pPr>
      <w:r>
        <w:rPr>
          <w:color w:val="010101"/>
          <w:w w:val="105"/>
        </w:rPr>
        <w:t>The student should realize that the  designation  of  a  terminal a.ge </w:t>
      </w:r>
      <w:r>
        <w:rPr>
          <w:rFonts w:ascii="Arial" w:hAnsi="Arial"/>
          <w:i/>
          <w:color w:val="010101"/>
          <w:w w:val="105"/>
          <w:sz w:val="15"/>
        </w:rPr>
        <w:t>w </w:t>
      </w:r>
      <w:r>
        <w:rPr>
          <w:color w:val="010101"/>
          <w:w w:val="105"/>
        </w:rPr>
        <w:t>is merely a convenient simplifying device. No fact of experi­ ence supports the asswnption that  a life  can  survive  for </w:t>
      </w:r>
      <w:r>
        <w:rPr>
          <w:i/>
          <w:color w:val="010101"/>
          <w:w w:val="105"/>
          <w:sz w:val="22"/>
        </w:rPr>
        <w:t>n </w:t>
      </w:r>
      <w:r>
        <w:rPr>
          <w:color w:val="010101"/>
          <w:w w:val="105"/>
        </w:rPr>
        <w:t>years but not for </w:t>
      </w:r>
      <w:r>
        <w:rPr>
          <w:i/>
          <w:color w:val="010101"/>
          <w:w w:val="105"/>
          <w:sz w:val="21"/>
        </w:rPr>
        <w:t>n </w:t>
      </w:r>
      <w:r>
        <w:rPr>
          <w:color w:val="010101"/>
          <w:w w:val="105"/>
        </w:rPr>
        <w:t>years and one second. On the other hand, the proba­ bilities of survival to advanced ages are extremely small, and in practical work it is helpful to be able to assume that these proba­ bilities become negligible at a certain specified age. </w:t>
      </w:r>
      <w:r>
        <w:rPr>
          <w:color w:val="010101"/>
          <w:w w:val="105"/>
          <w:sz w:val="21"/>
        </w:rPr>
        <w:t>It </w:t>
      </w:r>
      <w:r>
        <w:rPr>
          <w:color w:val="010101"/>
          <w:w w:val="105"/>
        </w:rPr>
        <w:t>would there­ fore be more realistic to state that the values of </w:t>
      </w:r>
      <w:r>
        <w:rPr>
          <w:rFonts w:ascii="Arial" w:hAnsi="Arial"/>
          <w:i/>
          <w:color w:val="010101"/>
          <w:w w:val="105"/>
          <w:sz w:val="19"/>
        </w:rPr>
        <w:t>s (x ) </w:t>
      </w:r>
      <w:r>
        <w:rPr>
          <w:color w:val="010101"/>
          <w:w w:val="105"/>
        </w:rPr>
        <w:t>are negligible for </w:t>
      </w:r>
      <w:r>
        <w:rPr>
          <w:rFonts w:ascii="Arial" w:hAnsi="Arial"/>
          <w:i/>
          <w:color w:val="010101"/>
          <w:w w:val="105"/>
          <w:sz w:val="19"/>
        </w:rPr>
        <w:t>x       </w:t>
      </w:r>
      <w:r>
        <w:rPr>
          <w:i/>
          <w:color w:val="010101"/>
          <w:w w:val="105"/>
          <w:sz w:val="18"/>
        </w:rPr>
        <w:t>w. </w:t>
      </w:r>
      <w:r>
        <w:rPr>
          <w:color w:val="010101"/>
          <w:w w:val="105"/>
        </w:rPr>
        <w:t>However,  we  shall retain  the more  precise  condition</w:t>
      </w:r>
    </w:p>
    <w:p>
      <w:pPr>
        <w:pStyle w:val="BodyText"/>
        <w:spacing w:line="242" w:lineRule="exact"/>
        <w:ind w:left="125"/>
        <w:jc w:val="both"/>
      </w:pPr>
      <w:r>
        <w:rPr>
          <w:i/>
          <w:color w:val="010101"/>
          <w:sz w:val="22"/>
        </w:rPr>
        <w:t>s </w:t>
      </w:r>
      <w:r>
        <w:rPr>
          <w:color w:val="010101"/>
        </w:rPr>
        <w:t>(w)  </w:t>
      </w:r>
      <w:r>
        <w:rPr>
          <w:color w:val="010101"/>
          <w:sz w:val="24"/>
        </w:rPr>
        <w:t>=  </w:t>
      </w:r>
      <w:r>
        <w:rPr>
          <w:rFonts w:ascii="Arial"/>
          <w:color w:val="010101"/>
        </w:rPr>
        <w:t>O </w:t>
      </w:r>
      <w:r>
        <w:rPr>
          <w:color w:val="010101"/>
        </w:rPr>
        <w:t>because  of  its convenience  in  the mathematical  analysis</w:t>
      </w:r>
    </w:p>
    <w:p>
      <w:pPr>
        <w:pStyle w:val="BodyText"/>
        <w:spacing w:before="6"/>
        <w:ind w:left="129"/>
        <w:jc w:val="both"/>
      </w:pPr>
      <w:r>
        <w:rPr>
          <w:color w:val="010101"/>
          <w:w w:val="105"/>
        </w:rPr>
        <w:t>that follows.</w:t>
      </w:r>
    </w:p>
    <w:p>
      <w:pPr>
        <w:pStyle w:val="BodyText"/>
        <w:spacing w:line="229" w:lineRule="exact" w:before="7"/>
        <w:ind w:left="243" w:right="87"/>
        <w:jc w:val="center"/>
      </w:pPr>
      <w:r>
        <w:rPr>
          <w:color w:val="010101"/>
        </w:rPr>
        <w:t>A typical </w:t>
      </w:r>
      <w:r>
        <w:rPr>
          <w:rFonts w:ascii="Arial"/>
          <w:i/>
          <w:color w:val="010101"/>
          <w:sz w:val="19"/>
        </w:rPr>
        <w:t>s (x )  </w:t>
      </w:r>
      <w:r>
        <w:rPr>
          <w:color w:val="010101"/>
        </w:rPr>
        <w:t>curve, derived from experience,  is shown in  Figure</w:t>
      </w:r>
    </w:p>
    <w:p>
      <w:pPr>
        <w:pStyle w:val="BodyText"/>
        <w:spacing w:line="247" w:lineRule="auto"/>
        <w:ind w:left="114" w:right="150" w:firstLine="21"/>
        <w:jc w:val="both"/>
      </w:pPr>
      <w:r>
        <w:rPr>
          <w:b/>
          <w:color w:val="010101"/>
          <w:w w:val="105"/>
        </w:rPr>
        <w:t>l. </w:t>
      </w:r>
      <w:r>
        <w:rPr>
          <w:color w:val="010101"/>
          <w:w w:val="105"/>
          <w:sz w:val="21"/>
        </w:rPr>
        <w:t>It </w:t>
      </w:r>
      <w:r>
        <w:rPr>
          <w:color w:val="010101"/>
          <w:w w:val="105"/>
        </w:rPr>
        <w:t>is difficult to find a mathemátical expression, involving a small number of parameters, which will fit this curve closely over its entire </w:t>
      </w:r>
      <w:r>
        <w:rPr>
          <w:b/>
          <w:color w:val="010101"/>
          <w:w w:val="105"/>
          <w:sz w:val="19"/>
        </w:rPr>
        <w:t>range. </w:t>
      </w:r>
      <w:r>
        <w:rPr>
          <w:color w:val="010101"/>
          <w:w w:val="105"/>
        </w:rPr>
        <w:t>If, however, we sacrifice the requirement of close fit, we can find ma.ny simple functions which satisfy the conditions on </w:t>
      </w:r>
      <w:r>
        <w:rPr>
          <w:i/>
          <w:color w:val="010101"/>
          <w:w w:val="105"/>
          <w:sz w:val="22"/>
        </w:rPr>
        <w:t>s </w:t>
      </w:r>
      <w:r>
        <w:rPr>
          <w:color w:val="010101"/>
          <w:w w:val="105"/>
        </w:rPr>
        <w:t>(x ) summarized above. Let us then, for purposes of illustration, regard as a survival function any mathematical expression that satisfies the above analytic conditions, whether or not its graph closely follows the typical </w:t>
      </w:r>
      <w:r>
        <w:rPr>
          <w:i/>
          <w:color w:val="010101"/>
          <w:w w:val="105"/>
          <w:sz w:val="21"/>
        </w:rPr>
        <w:t>s </w:t>
      </w:r>
      <w:r>
        <w:rPr>
          <w:color w:val="010101"/>
          <w:w w:val="105"/>
        </w:rPr>
        <w:t>(x) curve oí Figure 1. Our objective here is not so much </w:t>
      </w:r>
      <w:r>
        <w:rPr>
          <w:color w:val="010101"/>
          <w:w w:val="105"/>
          <w:sz w:val="21"/>
        </w:rPr>
        <w:t>to </w:t>
      </w:r>
      <w:r>
        <w:rPr>
          <w:color w:val="010101"/>
          <w:w w:val="105"/>
        </w:rPr>
        <w:t>reproduce the normal mortality pattern as to illustrate through the use of simple functions the manner in which quantitative measurements .of mortality ma.y be obtained when a particular mathematical  law of survival is assumed.</w:t>
      </w:r>
    </w:p>
    <w:p>
      <w:pPr>
        <w:pStyle w:val="BodyText"/>
        <w:spacing w:line="232" w:lineRule="auto" w:before="6"/>
        <w:ind w:left="122" w:right="178" w:firstLine="193"/>
        <w:jc w:val="both"/>
      </w:pPr>
      <w:r>
        <w:rPr>
          <w:color w:val="010101"/>
          <w:w w:val="105"/>
        </w:rPr>
        <w:t>The simplest type of expression satisfying the required condi­ tions on </w:t>
      </w:r>
      <w:r>
        <w:rPr>
          <w:i/>
          <w:color w:val="010101"/>
          <w:w w:val="105"/>
          <w:sz w:val="22"/>
        </w:rPr>
        <w:t>s </w:t>
      </w:r>
      <w:r>
        <w:rPr>
          <w:color w:val="010101"/>
          <w:w w:val="105"/>
        </w:rPr>
        <w:t>(x) is a linear function. Consider, for  example,</w:t>
      </w:r>
    </w:p>
    <w:p>
      <w:pPr>
        <w:pStyle w:val="BodyText"/>
        <w:rPr>
          <w:sz w:val="19"/>
        </w:rPr>
      </w:pPr>
    </w:p>
    <w:p>
      <w:pPr>
        <w:tabs>
          <w:tab w:pos="3314" w:val="left" w:leader="none"/>
          <w:tab w:pos="3745" w:val="left" w:leader="none"/>
          <w:tab w:pos="4193" w:val="left" w:leader="none"/>
        </w:tabs>
        <w:spacing w:before="129"/>
        <w:ind w:left="1399" w:right="0" w:firstLine="0"/>
        <w:jc w:val="left"/>
        <w:rPr>
          <w:b/>
          <w:sz w:val="21"/>
        </w:rPr>
      </w:pPr>
      <w:r>
        <w:rPr/>
        <w:pict>
          <v:line style="position:absolute;mso-position-horizontal-relative:page;mso-position-vertical-relative:paragraph;z-index:-735016" from="160.358704pt,20.834568pt" to="174.170404pt,20.834568pt" stroked="true" strokeweight="4.484305pt" strokecolor="#000000">
            <w10:wrap type="none"/>
          </v:line>
        </w:pict>
      </w:r>
      <w:r>
        <w:rPr/>
        <w:pict>
          <v:shapetype id="_x0000_t202" o:spt="202" coordsize="21600,21600" path="m,l,21600r21600,l21600,xe">
            <v:stroke joinstyle="miter"/>
            <v:path gradientshapeok="t" o:connecttype="rect"/>
          </v:shapetype>
          <v:shape style="position:absolute;margin-left:164.304901pt;margin-top:5.002055pt;width:4.05pt;height:7pt;mso-position-horizontal-relative:page;mso-position-vertical-relative:paragraph;z-index:-734992" type="#_x0000_t202" filled="false" stroked="false">
            <v:textbox inset="0,0,0,0">
              <w:txbxContent>
                <w:p>
                  <w:pPr>
                    <w:spacing w:line="140" w:lineRule="exact" w:before="0"/>
                    <w:ind w:left="0" w:right="0" w:firstLine="0"/>
                    <w:jc w:val="left"/>
                    <w:rPr>
                      <w:rFonts w:ascii="Arial"/>
                      <w:b/>
                      <w:i/>
                      <w:sz w:val="14"/>
                    </w:rPr>
                  </w:pPr>
                  <w:r>
                    <w:rPr>
                      <w:rFonts w:ascii="Arial"/>
                      <w:b/>
                      <w:i/>
                      <w:color w:val="010101"/>
                      <w:w w:val="85"/>
                      <w:sz w:val="14"/>
                    </w:rPr>
                    <w:t>X</w:t>
                  </w:r>
                </w:p>
              </w:txbxContent>
            </v:textbox>
            <w10:wrap type="none"/>
          </v:shape>
        </w:pict>
      </w:r>
      <w:r>
        <w:rPr>
          <w:color w:val="010101"/>
          <w:spacing w:val="6"/>
          <w:sz w:val="20"/>
        </w:rPr>
        <w:t>a(x)  </w:t>
      </w:r>
      <w:r>
        <w:rPr>
          <w:color w:val="010101"/>
          <w:sz w:val="26"/>
        </w:rPr>
        <w:t>=  </w:t>
      </w:r>
      <w:r>
        <w:rPr>
          <w:color w:val="010101"/>
          <w:w w:val="120"/>
          <w:sz w:val="20"/>
        </w:rPr>
        <w:t>1 </w:t>
      </w:r>
      <w:r>
        <w:rPr>
          <w:color w:val="010101"/>
          <w:w w:val="255"/>
          <w:sz w:val="20"/>
        </w:rPr>
        <w:t>-</w:t>
      </w:r>
      <w:r>
        <w:rPr>
          <w:color w:val="010101"/>
          <w:spacing w:val="-63"/>
          <w:w w:val="255"/>
          <w:sz w:val="20"/>
        </w:rPr>
        <w:t> </w:t>
      </w:r>
      <w:r>
        <w:rPr>
          <w:color w:val="010101"/>
          <w:sz w:val="20"/>
        </w:rPr>
        <w:t>105</w:t>
      </w:r>
      <w:r>
        <w:rPr>
          <w:color w:val="010101"/>
          <w:spacing w:val="-18"/>
          <w:sz w:val="20"/>
        </w:rPr>
        <w:t> </w:t>
      </w:r>
      <w:r>
        <w:rPr>
          <w:color w:val="010101"/>
          <w:sz w:val="20"/>
        </w:rPr>
        <w:t>,</w:t>
        <w:tab/>
      </w:r>
      <w:r>
        <w:rPr>
          <w:b/>
          <w:color w:val="010101"/>
          <w:w w:val="120"/>
          <w:position w:val="3"/>
          <w:sz w:val="21"/>
        </w:rPr>
        <w:t>0</w:t>
        <w:tab/>
      </w:r>
      <w:r>
        <w:rPr>
          <w:rFonts w:ascii="Arial"/>
          <w:i/>
          <w:color w:val="010101"/>
          <w:position w:val="3"/>
          <w:sz w:val="14"/>
        </w:rPr>
        <w:t>X</w:t>
        <w:tab/>
      </w:r>
      <w:r>
        <w:rPr>
          <w:b/>
          <w:color w:val="010101"/>
          <w:position w:val="3"/>
          <w:sz w:val="21"/>
        </w:rPr>
        <w:t>105.</w:t>
      </w:r>
    </w:p>
    <w:p>
      <w:pPr>
        <w:spacing w:after="0"/>
        <w:jc w:val="left"/>
        <w:rPr>
          <w:sz w:val="21"/>
        </w:rPr>
        <w:sectPr>
          <w:pgSz w:w="7200" w:h="11340"/>
          <w:pgMar w:top="500" w:bottom="280" w:left="660" w:right="540"/>
        </w:sectPr>
      </w:pPr>
    </w:p>
    <w:p>
      <w:pPr>
        <w:spacing w:before="54"/>
        <w:ind w:left="103" w:right="-5" w:firstLine="0"/>
        <w:jc w:val="left"/>
        <w:rPr>
          <w:rFonts w:ascii="Arial"/>
          <w:sz w:val="19"/>
        </w:rPr>
      </w:pPr>
      <w:r>
        <w:rPr>
          <w:w w:val="105"/>
          <w:sz w:val="15"/>
        </w:rPr>
        <w:t>SEC. </w:t>
      </w:r>
      <w:r>
        <w:rPr>
          <w:rFonts w:ascii="Arial"/>
          <w:w w:val="105"/>
          <w:sz w:val="19"/>
        </w:rPr>
        <w:t>2)</w:t>
      </w:r>
    </w:p>
    <w:p>
      <w:pPr>
        <w:pStyle w:val="BodyText"/>
        <w:spacing w:before="7"/>
        <w:rPr>
          <w:rFonts w:ascii="Arial"/>
          <w:sz w:val="21"/>
        </w:rPr>
      </w:pPr>
    </w:p>
    <w:p>
      <w:pPr>
        <w:spacing w:before="0"/>
        <w:ind w:left="193" w:right="-5" w:firstLine="0"/>
        <w:jc w:val="left"/>
        <w:rPr>
          <w:rFonts w:ascii="Arial"/>
          <w:b/>
          <w:i/>
          <w:sz w:val="16"/>
        </w:rPr>
      </w:pPr>
      <w:r>
        <w:rPr>
          <w:rFonts w:ascii="Arial"/>
          <w:b/>
          <w:i/>
          <w:w w:val="110"/>
          <w:sz w:val="16"/>
        </w:rPr>
        <w:t>S(r)</w:t>
      </w:r>
    </w:p>
    <w:p>
      <w:pPr>
        <w:tabs>
          <w:tab w:pos="4069" w:val="right" w:leader="none"/>
        </w:tabs>
        <w:spacing w:before="50"/>
        <w:ind w:left="103" w:right="0" w:firstLine="0"/>
        <w:jc w:val="left"/>
        <w:rPr>
          <w:rFonts w:ascii="Arial"/>
          <w:sz w:val="19"/>
        </w:rPr>
      </w:pPr>
      <w:r>
        <w:rPr/>
        <w:br w:type="column"/>
      </w:r>
      <w:r>
        <w:rPr>
          <w:b/>
          <w:sz w:val="15"/>
        </w:rPr>
        <w:t>THE </w:t>
      </w:r>
      <w:r>
        <w:rPr>
          <w:b/>
          <w:spacing w:val="24"/>
          <w:sz w:val="15"/>
        </w:rPr>
        <w:t> </w:t>
      </w:r>
      <w:r>
        <w:rPr>
          <w:b/>
          <w:sz w:val="15"/>
        </w:rPr>
        <w:t>SURVIVAL </w:t>
      </w:r>
      <w:r>
        <w:rPr>
          <w:b/>
          <w:spacing w:val="31"/>
          <w:sz w:val="15"/>
        </w:rPr>
        <w:t> </w:t>
      </w:r>
      <w:r>
        <w:rPr>
          <w:b/>
          <w:sz w:val="15"/>
        </w:rPr>
        <w:t>FUNCTION</w:t>
      </w:r>
      <w:r>
        <w:rPr>
          <w:rFonts w:ascii="Arial"/>
          <w:sz w:val="19"/>
        </w:rPr>
        <w:tab/>
        <w:t>5</w:t>
      </w:r>
    </w:p>
    <w:p>
      <w:pPr>
        <w:spacing w:after="0"/>
        <w:jc w:val="left"/>
        <w:rPr>
          <w:rFonts w:ascii="Arial"/>
          <w:sz w:val="19"/>
        </w:rPr>
        <w:sectPr>
          <w:pgSz w:w="7200" w:h="11340"/>
          <w:pgMar w:top="520" w:bottom="280" w:left="660" w:right="560"/>
          <w:cols w:num="2" w:equalWidth="0">
            <w:col w:w="670" w:space="1109"/>
            <w:col w:w="4201"/>
          </w:cols>
        </w:sect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3"/>
        <w:rPr>
          <w:rFonts w:ascii="Arial"/>
          <w:sz w:val="12"/>
        </w:rPr>
      </w:pPr>
    </w:p>
    <w:p>
      <w:pPr>
        <w:spacing w:before="0"/>
        <w:ind w:left="0" w:right="991" w:firstLine="0"/>
        <w:jc w:val="right"/>
        <w:rPr>
          <w:rFonts w:ascii="Arial"/>
          <w:b/>
          <w:i/>
          <w:sz w:val="11"/>
        </w:rPr>
      </w:pPr>
      <w:r>
        <w:rPr/>
        <w:pict>
          <v:group style="position:absolute;margin-left:41.040001pt;margin-top:-150.191071pt;width:213.85pt;height:159.550pt;mso-position-horizontal-relative:page;mso-position-vertical-relative:paragraph;z-index:1240" coordorigin="821,-3004" coordsize="4277,3191">
            <v:shape style="position:absolute;left:2088;top:-2312;width:3010;height:2448" type="#_x0000_t75" stroked="false">
              <v:imagedata r:id="rId6" o:title=""/>
            </v:shape>
            <v:line style="position:absolute" from="1166,-2327" to="2088,-2327" stroked="true" strokeweight="1.26pt" strokecolor="#000000"/>
            <v:line style="position:absolute" from="965,38" to="965,-2993" stroked="true" strokeweight="1.08pt" strokecolor="#000000"/>
            <v:line style="position:absolute" from="842,13" to="4950,13" stroked="true" strokeweight=".72pt" strokecolor="#000000"/>
            <v:shape style="position:absolute;left:821;top:-2883;width:60;height:150" type="#_x0000_t202" filled="false" stroked="false">
              <v:textbox inset="0,0,0,0">
                <w:txbxContent>
                  <w:p>
                    <w:pPr>
                      <w:spacing w:line="150" w:lineRule="exact" w:before="0"/>
                      <w:ind w:left="0" w:right="0" w:firstLine="0"/>
                      <w:jc w:val="left"/>
                      <w:rPr>
                        <w:i/>
                        <w:sz w:val="15"/>
                      </w:rPr>
                    </w:pPr>
                    <w:r>
                      <w:rPr>
                        <w:i/>
                        <w:w w:val="142"/>
                        <w:sz w:val="15"/>
                      </w:rPr>
                      <w:t>l</w:t>
                    </w:r>
                  </w:p>
                </w:txbxContent>
              </v:textbox>
              <w10:wrap type="none"/>
            </v:shape>
            <v:shape style="position:absolute;left:850;top:-3;width:99;height:190" type="#_x0000_t202" filled="false" stroked="false">
              <v:textbox inset="0,0,0,0">
                <w:txbxContent>
                  <w:p>
                    <w:pPr>
                      <w:spacing w:line="190" w:lineRule="exact" w:before="0"/>
                      <w:ind w:left="0" w:right="0" w:firstLine="0"/>
                      <w:jc w:val="left"/>
                      <w:rPr>
                        <w:b/>
                        <w:i/>
                        <w:sz w:val="19"/>
                      </w:rPr>
                    </w:pPr>
                    <w:r>
                      <w:rPr>
                        <w:b/>
                        <w:i/>
                        <w:w w:val="104"/>
                        <w:sz w:val="19"/>
                      </w:rPr>
                      <w:t>o</w:t>
                    </w:r>
                  </w:p>
                </w:txbxContent>
              </v:textbox>
              <w10:wrap type="none"/>
            </v:shape>
            <v:shape style="position:absolute;left:2020;top:35;width:181;height:120" type="#_x0000_t202" filled="false" stroked="false">
              <v:textbox inset="0,0,0,0">
                <w:txbxContent>
                  <w:p>
                    <w:pPr>
                      <w:spacing w:line="120" w:lineRule="exact" w:before="0"/>
                      <w:ind w:left="0" w:right="-16" w:firstLine="0"/>
                      <w:jc w:val="left"/>
                      <w:rPr>
                        <w:rFonts w:ascii="Arial"/>
                        <w:b/>
                        <w:sz w:val="12"/>
                      </w:rPr>
                    </w:pPr>
                    <w:r>
                      <w:rPr>
                        <w:rFonts w:ascii="Arial"/>
                        <w:b/>
                        <w:w w:val="120"/>
                        <w:sz w:val="12"/>
                      </w:rPr>
                      <w:t>2S</w:t>
                    </w:r>
                  </w:p>
                </w:txbxContent>
              </v:textbox>
              <w10:wrap type="none"/>
            </v:shape>
            <v:shape style="position:absolute;left:3146;top:-28;width:180;height:190" type="#_x0000_t202" filled="false" stroked="false">
              <v:textbox inset="0,0,0,0">
                <w:txbxContent>
                  <w:p>
                    <w:pPr>
                      <w:spacing w:line="190" w:lineRule="exact" w:before="0"/>
                      <w:ind w:left="0" w:right="-18" w:firstLine="0"/>
                      <w:jc w:val="left"/>
                      <w:rPr>
                        <w:b/>
                        <w:i/>
                        <w:sz w:val="19"/>
                      </w:rPr>
                    </w:pPr>
                    <w:r>
                      <w:rPr>
                        <w:b/>
                        <w:i/>
                        <w:w w:val="105"/>
                        <w:sz w:val="19"/>
                      </w:rPr>
                      <w:t>so</w:t>
                    </w:r>
                  </w:p>
                </w:txbxContent>
              </v:textbox>
              <w10:wrap type="none"/>
            </v:shape>
            <w10:wrap type="none"/>
          </v:group>
        </w:pict>
      </w:r>
      <w:r>
        <w:rPr>
          <w:rFonts w:ascii="Arial"/>
          <w:b/>
          <w:i/>
          <w:w w:val="115"/>
          <w:sz w:val="11"/>
        </w:rPr>
        <w:t>JOO</w:t>
      </w:r>
    </w:p>
    <w:p>
      <w:pPr>
        <w:pStyle w:val="BodyText"/>
        <w:spacing w:before="3"/>
        <w:rPr>
          <w:rFonts w:ascii="Arial"/>
          <w:b/>
          <w:i/>
          <w:sz w:val="13"/>
        </w:rPr>
      </w:pPr>
    </w:p>
    <w:p>
      <w:pPr>
        <w:spacing w:before="78"/>
        <w:ind w:left="74" w:right="55" w:firstLine="0"/>
        <w:jc w:val="center"/>
        <w:rPr>
          <w:rFonts w:ascii="Arial"/>
          <w:sz w:val="17"/>
        </w:rPr>
      </w:pPr>
      <w:r>
        <w:rPr>
          <w:rFonts w:ascii="Arial"/>
          <w:w w:val="120"/>
          <w:sz w:val="17"/>
        </w:rPr>
        <w:t>Frn. 1</w:t>
      </w:r>
    </w:p>
    <w:p>
      <w:pPr>
        <w:pStyle w:val="BodyText"/>
        <w:rPr>
          <w:rFonts w:ascii="Arial"/>
        </w:rPr>
      </w:pPr>
    </w:p>
    <w:p>
      <w:pPr>
        <w:pStyle w:val="BodyText"/>
        <w:spacing w:before="3"/>
        <w:rPr>
          <w:rFonts w:ascii="Arial"/>
          <w:sz w:val="18"/>
        </w:rPr>
      </w:pPr>
    </w:p>
    <w:p>
      <w:pPr>
        <w:spacing w:before="0"/>
        <w:ind w:left="157" w:right="739" w:firstLine="0"/>
        <w:jc w:val="left"/>
        <w:rPr>
          <w:rFonts w:ascii="Arial"/>
          <w:i/>
          <w:sz w:val="16"/>
        </w:rPr>
      </w:pPr>
      <w:r>
        <w:rPr/>
        <w:pict>
          <v:group style="position:absolute;margin-left:39.060001pt;margin-top:12.194834pt;width:286.4pt;height:154.450pt;mso-position-horizontal-relative:page;mso-position-vertical-relative:paragraph;z-index:1120;mso-wrap-distance-left:0;mso-wrap-distance-right:0" coordorigin="781,244" coordsize="5728,3089">
            <v:shape style="position:absolute;left:806;top:337;width:5702;height:2995" type="#_x0000_t75" stroked="false">
              <v:imagedata r:id="rId7" o:title=""/>
            </v:shape>
            <v:shape style="position:absolute;left:781;top:244;width:64;height:210" type="#_x0000_t202" filled="false" stroked="false">
              <v:textbox inset="0,0,0,0">
                <w:txbxContent>
                  <w:p>
                    <w:pPr>
                      <w:spacing w:line="210" w:lineRule="exact" w:before="0"/>
                      <w:ind w:left="0" w:right="0" w:firstLine="0"/>
                      <w:jc w:val="left"/>
                      <w:rPr>
                        <w:b/>
                        <w:i/>
                        <w:sz w:val="21"/>
                      </w:rPr>
                    </w:pPr>
                    <w:r>
                      <w:rPr>
                        <w:b/>
                        <w:i/>
                        <w:w w:val="108"/>
                        <w:sz w:val="21"/>
                      </w:rPr>
                      <w:t>t</w:t>
                    </w:r>
                  </w:p>
                </w:txbxContent>
              </v:textbox>
              <w10:wrap type="none"/>
            </v:shape>
            <w10:wrap type="topAndBottom"/>
          </v:group>
        </w:pict>
      </w:r>
      <w:r>
        <w:rPr>
          <w:rFonts w:ascii="Arial"/>
          <w:i/>
          <w:w w:val="220"/>
          <w:sz w:val="16"/>
        </w:rPr>
        <w:t>#)</w:t>
      </w:r>
    </w:p>
    <w:p>
      <w:pPr>
        <w:spacing w:before="67"/>
        <w:ind w:left="74" w:right="81" w:firstLine="0"/>
        <w:jc w:val="center"/>
        <w:rPr>
          <w:rFonts w:ascii="Arial"/>
          <w:sz w:val="17"/>
        </w:rPr>
      </w:pPr>
      <w:r>
        <w:rPr>
          <w:rFonts w:ascii="Arial"/>
          <w:w w:val="110"/>
          <w:sz w:val="17"/>
        </w:rPr>
        <w:t>Frn. 2</w:t>
      </w:r>
    </w:p>
    <w:p>
      <w:pPr>
        <w:pStyle w:val="BodyText"/>
        <w:spacing w:before="2"/>
        <w:rPr>
          <w:rFonts w:ascii="Arial"/>
          <w:sz w:val="18"/>
        </w:rPr>
      </w:pPr>
    </w:p>
    <w:p>
      <w:pPr>
        <w:pStyle w:val="BodyText"/>
        <w:spacing w:line="247" w:lineRule="auto"/>
        <w:ind w:left="110" w:right="110" w:firstLine="3"/>
        <w:jc w:val="both"/>
      </w:pPr>
      <w:r>
        <w:rPr>
          <w:spacing w:val="2"/>
          <w:w w:val="105"/>
        </w:rPr>
        <w:t>We </w:t>
      </w:r>
      <w:r>
        <w:rPr>
          <w:w w:val="105"/>
        </w:rPr>
        <w:t>note first that the conditions for a survival function are satis­ fied, since this expression is continuous and decreasing,  and  has  the value 1 for </w:t>
      </w:r>
      <w:r>
        <w:rPr>
          <w:i/>
          <w:w w:val="105"/>
          <w:sz w:val="19"/>
        </w:rPr>
        <w:t>x </w:t>
      </w:r>
      <w:r>
        <w:rPr>
          <w:rFonts w:ascii="Arial" w:hAnsi="Arial"/>
          <w:w w:val="135"/>
          <w:sz w:val="17"/>
        </w:rPr>
        <w:t>= </w:t>
      </w:r>
      <w:r>
        <w:rPr/>
        <w:t>O </w:t>
      </w:r>
      <w:r>
        <w:rPr>
          <w:w w:val="105"/>
        </w:rPr>
        <w:t>and the value </w:t>
      </w:r>
      <w:r>
        <w:rPr/>
        <w:t>O </w:t>
      </w:r>
      <w:r>
        <w:rPr>
          <w:w w:val="105"/>
        </w:rPr>
        <w:t>for </w:t>
      </w:r>
      <w:r>
        <w:rPr>
          <w:i/>
          <w:w w:val="105"/>
          <w:sz w:val="19"/>
        </w:rPr>
        <w:t>x  </w:t>
      </w:r>
      <w:r>
        <w:rPr>
          <w:rFonts w:ascii="Arial" w:hAnsi="Arial"/>
          <w:w w:val="135"/>
          <w:sz w:val="17"/>
        </w:rPr>
        <w:t>= </w:t>
      </w:r>
      <w:r>
        <w:rPr>
          <w:w w:val="105"/>
        </w:rPr>
        <w:t>105. The upper limit  of life </w:t>
      </w:r>
      <w:r>
        <w:rPr>
          <w:rFonts w:ascii="Arial" w:hAnsi="Arial"/>
          <w:i/>
          <w:w w:val="105"/>
          <w:sz w:val="15"/>
        </w:rPr>
        <w:t>w  </w:t>
      </w:r>
      <w:r>
        <w:rPr>
          <w:w w:val="105"/>
        </w:rPr>
        <w:t>is thus 105 in this case. The graph is shown in Figure  </w:t>
      </w:r>
      <w:r>
        <w:rPr>
          <w:spacing w:val="8"/>
          <w:w w:val="105"/>
        </w:rPr>
        <w:t> </w:t>
      </w:r>
      <w:r>
        <w:rPr>
          <w:w w:val="105"/>
        </w:rPr>
        <w:t>2.</w:t>
      </w:r>
    </w:p>
    <w:p>
      <w:pPr>
        <w:pStyle w:val="BodyText"/>
        <w:spacing w:line="247" w:lineRule="auto" w:before="1"/>
        <w:ind w:left="114" w:right="123" w:firstLine="201"/>
      </w:pPr>
      <w:r>
        <w:rPr/>
        <w:t>We  proceed  to  obtain  sorne  sample  mortality  measurements from  the  abovc  function.  The  probability   that  a  life  aged  O  </w:t>
      </w:r>
      <w:r>
        <w:rPr>
          <w:spacing w:val="29"/>
        </w:rPr>
        <w:t> </w:t>
      </w:r>
      <w:r>
        <w:rPr/>
        <w:t>will</w:t>
      </w:r>
    </w:p>
    <w:p>
      <w:pPr>
        <w:spacing w:after="0" w:line="247" w:lineRule="auto"/>
        <w:sectPr>
          <w:type w:val="continuous"/>
          <w:pgSz w:w="7200" w:h="11340"/>
          <w:pgMar w:top="1100" w:bottom="0" w:left="660" w:right="560"/>
        </w:sectPr>
      </w:pPr>
    </w:p>
    <w:p>
      <w:pPr>
        <w:tabs>
          <w:tab w:pos="1490" w:val="left" w:leader="none"/>
          <w:tab w:pos="5378" w:val="left" w:leader="none"/>
        </w:tabs>
        <w:spacing w:before="60"/>
        <w:ind w:left="126" w:right="0" w:firstLine="0"/>
        <w:jc w:val="left"/>
        <w:rPr>
          <w:b/>
          <w:sz w:val="20"/>
        </w:rPr>
      </w:pPr>
      <w:r>
        <w:rPr>
          <w:rFonts w:ascii="Arial"/>
          <w:position w:val="1"/>
          <w:sz w:val="19"/>
        </w:rPr>
        <w:t>6</w:t>
        <w:tab/>
      </w:r>
      <w:r>
        <w:rPr>
          <w:b/>
          <w:position w:val="1"/>
          <w:sz w:val="15"/>
        </w:rPr>
        <w:t>THE   MEASUREMENT </w:t>
      </w:r>
      <w:r>
        <w:rPr>
          <w:b/>
          <w:spacing w:val="34"/>
          <w:position w:val="1"/>
          <w:sz w:val="15"/>
        </w:rPr>
        <w:t> </w:t>
      </w:r>
      <w:r>
        <w:rPr>
          <w:b/>
          <w:position w:val="1"/>
          <w:sz w:val="15"/>
        </w:rPr>
        <w:t>OF </w:t>
      </w:r>
      <w:r>
        <w:rPr>
          <w:b/>
          <w:spacing w:val="18"/>
          <w:position w:val="1"/>
          <w:sz w:val="15"/>
        </w:rPr>
        <w:t> </w:t>
      </w:r>
      <w:r>
        <w:rPr>
          <w:b/>
          <w:position w:val="1"/>
          <w:sz w:val="15"/>
        </w:rPr>
        <w:t>MORTALITY</w:t>
        <w:tab/>
      </w:r>
      <w:r>
        <w:rPr>
          <w:b/>
          <w:w w:val="85"/>
          <w:sz w:val="21"/>
        </w:rPr>
        <w:t>[CH.</w:t>
      </w:r>
      <w:r>
        <w:rPr>
          <w:b/>
          <w:spacing w:val="-9"/>
          <w:w w:val="85"/>
          <w:sz w:val="21"/>
        </w:rPr>
        <w:t> </w:t>
      </w:r>
      <w:r>
        <w:rPr>
          <w:b/>
          <w:w w:val="85"/>
          <w:sz w:val="20"/>
        </w:rPr>
        <w:t>1</w:t>
      </w:r>
    </w:p>
    <w:p>
      <w:pPr>
        <w:pStyle w:val="BodyText"/>
        <w:spacing w:before="2"/>
        <w:rPr>
          <w:b/>
        </w:rPr>
      </w:pPr>
    </w:p>
    <w:p>
      <w:pPr>
        <w:pStyle w:val="BodyText"/>
        <w:ind w:left="122" w:right="739"/>
      </w:pPr>
      <w:r>
        <w:rPr>
          <w:w w:val="110"/>
        </w:rPr>
        <w:t>survive to age 15  is</w:t>
      </w:r>
    </w:p>
    <w:p>
      <w:pPr>
        <w:spacing w:before="83"/>
        <w:ind w:left="74" w:right="22" w:firstLine="0"/>
        <w:jc w:val="center"/>
        <w:rPr>
          <w:rFonts w:ascii="Arial"/>
          <w:sz w:val="23"/>
        </w:rPr>
      </w:pPr>
      <w:r>
        <w:rPr>
          <w:w w:val="115"/>
          <w:sz w:val="23"/>
        </w:rPr>
        <w:t>s </w:t>
      </w:r>
      <w:r>
        <w:rPr>
          <w:spacing w:val="-3"/>
          <w:w w:val="115"/>
          <w:sz w:val="20"/>
        </w:rPr>
        <w:t>(15) </w:t>
      </w:r>
      <w:r>
        <w:rPr>
          <w:rFonts w:ascii="Arial"/>
          <w:w w:val="150"/>
          <w:sz w:val="16"/>
        </w:rPr>
        <w:t>= </w:t>
      </w:r>
      <w:r>
        <w:rPr>
          <w:w w:val="115"/>
          <w:sz w:val="20"/>
        </w:rPr>
        <w:t>1 </w:t>
      </w:r>
      <w:r>
        <w:rPr>
          <w:w w:val="245"/>
          <w:sz w:val="20"/>
        </w:rPr>
        <w:t>- </w:t>
      </w:r>
      <w:r>
        <w:rPr>
          <w:spacing w:val="-5"/>
          <w:w w:val="115"/>
          <w:position w:val="6"/>
          <w:sz w:val="14"/>
        </w:rPr>
        <w:t>1</w:t>
      </w:r>
      <w:r>
        <w:rPr>
          <w:rFonts w:ascii="Arial"/>
          <w:i/>
          <w:spacing w:val="-5"/>
          <w:w w:val="115"/>
          <w:sz w:val="23"/>
        </w:rPr>
        <w:t>%</w:t>
      </w:r>
      <w:r>
        <w:rPr>
          <w:spacing w:val="-5"/>
          <w:w w:val="115"/>
          <w:sz w:val="23"/>
        </w:rPr>
        <w:t>os </w:t>
      </w:r>
      <w:r>
        <w:rPr>
          <w:rFonts w:ascii="Arial"/>
          <w:w w:val="115"/>
          <w:sz w:val="26"/>
        </w:rPr>
        <w:t>= </w:t>
      </w:r>
      <w:r>
        <w:rPr>
          <w:w w:val="115"/>
          <w:sz w:val="20"/>
        </w:rPr>
        <w:t>1 </w:t>
      </w:r>
      <w:r>
        <w:rPr>
          <w:w w:val="245"/>
          <w:sz w:val="20"/>
        </w:rPr>
        <w:t>-</w:t>
      </w:r>
      <w:r>
        <w:rPr>
          <w:spacing w:val="-63"/>
          <w:w w:val="245"/>
          <w:sz w:val="20"/>
        </w:rPr>
        <w:t> </w:t>
      </w:r>
      <w:r>
        <w:rPr>
          <w:w w:val="115"/>
          <w:sz w:val="26"/>
        </w:rPr>
        <w:t>H </w:t>
      </w:r>
      <w:r>
        <w:rPr>
          <w:rFonts w:ascii="Arial"/>
          <w:w w:val="150"/>
          <w:sz w:val="16"/>
        </w:rPr>
        <w:t>= </w:t>
      </w:r>
      <w:r>
        <w:rPr>
          <w:rFonts w:ascii="Arial"/>
          <w:i/>
          <w:spacing w:val="-4"/>
          <w:w w:val="115"/>
          <w:sz w:val="23"/>
        </w:rPr>
        <w:t>%</w:t>
      </w:r>
      <w:r>
        <w:rPr>
          <w:rFonts w:ascii="Arial"/>
          <w:spacing w:val="-4"/>
          <w:w w:val="115"/>
          <w:sz w:val="23"/>
        </w:rPr>
        <w:t>.</w:t>
      </w:r>
    </w:p>
    <w:p>
      <w:pPr>
        <w:pStyle w:val="BodyText"/>
        <w:spacing w:line="343" w:lineRule="auto" w:before="99"/>
        <w:ind w:left="1357" w:right="1331" w:hanging="1232"/>
        <w:rPr>
          <w:rFonts w:ascii="Arial"/>
          <w:sz w:val="24"/>
        </w:rPr>
      </w:pPr>
      <w:r>
        <w:rPr>
          <w:w w:val="110"/>
        </w:rPr>
        <w:t>The probability of surviving from birth to age 42 is s(42) </w:t>
      </w:r>
      <w:r>
        <w:rPr>
          <w:w w:val="110"/>
          <w:sz w:val="23"/>
        </w:rPr>
        <w:t>= </w:t>
      </w:r>
      <w:r>
        <w:rPr>
          <w:w w:val="110"/>
        </w:rPr>
        <w:t>1 </w:t>
      </w:r>
      <w:r>
        <w:rPr>
          <w:w w:val="245"/>
        </w:rPr>
        <w:t>- </w:t>
      </w:r>
      <w:r>
        <w:rPr>
          <w:rFonts w:ascii="Arial"/>
          <w:w w:val="110"/>
          <w:position w:val="5"/>
          <w:sz w:val="14"/>
        </w:rPr>
        <w:t>4</w:t>
      </w:r>
      <w:r>
        <w:rPr>
          <w:w w:val="110"/>
          <w:sz w:val="23"/>
        </w:rPr>
        <w:t>Yios = </w:t>
      </w:r>
      <w:r>
        <w:rPr>
          <w:w w:val="110"/>
        </w:rPr>
        <w:t>1 </w:t>
      </w:r>
      <w:r>
        <w:rPr>
          <w:w w:val="245"/>
        </w:rPr>
        <w:t>- </w:t>
      </w:r>
      <w:r>
        <w:rPr>
          <w:rFonts w:ascii="Arial"/>
          <w:i/>
          <w:w w:val="110"/>
          <w:sz w:val="23"/>
        </w:rPr>
        <w:t>% </w:t>
      </w:r>
      <w:r>
        <w:rPr>
          <w:w w:val="110"/>
          <w:sz w:val="23"/>
        </w:rPr>
        <w:t>= </w:t>
      </w:r>
      <w:r>
        <w:rPr>
          <w:rFonts w:ascii="Arial"/>
          <w:w w:val="110"/>
          <w:sz w:val="24"/>
        </w:rPr>
        <w:t>%,</w:t>
      </w:r>
    </w:p>
    <w:p>
      <w:pPr>
        <w:pStyle w:val="BodyText"/>
        <w:spacing w:line="216" w:lineRule="exact"/>
        <w:ind w:left="119"/>
      </w:pPr>
      <w:r>
        <w:rPr>
          <w:w w:val="105"/>
        </w:rPr>
        <w:t>Then the probability  that a life aged </w:t>
      </w:r>
      <w:r>
        <w:rPr/>
        <w:t>O </w:t>
      </w:r>
      <w:r>
        <w:rPr>
          <w:w w:val="105"/>
        </w:rPr>
        <w:t>will die between  age 15   and</w:t>
      </w:r>
    </w:p>
    <w:p>
      <w:pPr>
        <w:pStyle w:val="BodyText"/>
        <w:spacing w:before="4"/>
        <w:ind w:left="122" w:right="739"/>
      </w:pPr>
      <w:r>
        <w:rPr/>
        <w:pict>
          <v:shape style="position:absolute;margin-left:188.820007pt;margin-top:6.169733pt;width:23.25pt;height:27pt;mso-position-horizontal-relative:page;mso-position-vertical-relative:paragraph;z-index:-734656" type="#_x0000_t202" filled="false" stroked="false">
            <v:textbox inset="0,0,0,0">
              <w:txbxContent>
                <w:p>
                  <w:pPr>
                    <w:spacing w:line="540" w:lineRule="exact" w:before="0"/>
                    <w:ind w:left="0" w:right="-18" w:firstLine="0"/>
                    <w:jc w:val="left"/>
                    <w:rPr>
                      <w:sz w:val="54"/>
                    </w:rPr>
                  </w:pPr>
                  <w:r>
                    <w:rPr>
                      <w:spacing w:val="-65"/>
                      <w:w w:val="117"/>
                      <w:sz w:val="54"/>
                    </w:rPr>
                    <w:t>,</w:t>
                  </w:r>
                  <w:r>
                    <w:rPr>
                      <w:w w:val="38"/>
                      <w:sz w:val="54"/>
                    </w:rPr>
                    <w:t>7</w:t>
                  </w:r>
                  <w:r>
                    <w:rPr>
                      <w:spacing w:val="-44"/>
                      <w:sz w:val="54"/>
                    </w:rPr>
                    <w:t> </w:t>
                  </w:r>
                  <w:r>
                    <w:rPr>
                      <w:w w:val="97"/>
                      <w:sz w:val="54"/>
                    </w:rPr>
                    <w:t>-</w:t>
                  </w:r>
                </w:p>
              </w:txbxContent>
            </v:textbox>
            <w10:wrap type="none"/>
          </v:shape>
        </w:pict>
      </w:r>
      <w:r>
        <w:rPr/>
        <w:t>age 42 will  be</w:t>
      </w:r>
    </w:p>
    <w:p>
      <w:pPr>
        <w:tabs>
          <w:tab w:pos="2147" w:val="left" w:leader="none"/>
        </w:tabs>
        <w:spacing w:before="109"/>
        <w:ind w:left="5" w:right="0" w:firstLine="0"/>
        <w:jc w:val="center"/>
        <w:rPr>
          <w:sz w:val="20"/>
        </w:rPr>
      </w:pPr>
      <w:r>
        <w:rPr>
          <w:spacing w:val="2"/>
          <w:w w:val="115"/>
          <w:sz w:val="20"/>
        </w:rPr>
        <w:t>s(15) </w:t>
      </w:r>
      <w:r>
        <w:rPr>
          <w:w w:val="240"/>
          <w:sz w:val="20"/>
        </w:rPr>
        <w:t>-</w:t>
      </w:r>
      <w:r>
        <w:rPr>
          <w:spacing w:val="-73"/>
          <w:w w:val="240"/>
          <w:sz w:val="20"/>
        </w:rPr>
        <w:t> </w:t>
      </w:r>
      <w:r>
        <w:rPr>
          <w:w w:val="115"/>
          <w:sz w:val="20"/>
        </w:rPr>
        <w:t>s (42)</w:t>
      </w:r>
      <w:r>
        <w:rPr>
          <w:spacing w:val="34"/>
          <w:w w:val="115"/>
          <w:sz w:val="20"/>
        </w:rPr>
        <w:t> </w:t>
      </w:r>
      <w:r>
        <w:rPr>
          <w:w w:val="115"/>
          <w:sz w:val="23"/>
        </w:rPr>
        <w:t>=</w:t>
        <w:tab/>
      </w:r>
      <w:r>
        <w:rPr>
          <w:rFonts w:ascii="Arial"/>
          <w:w w:val="115"/>
          <w:sz w:val="22"/>
        </w:rPr>
        <w:t>% </w:t>
      </w:r>
      <w:r>
        <w:rPr>
          <w:w w:val="115"/>
          <w:sz w:val="23"/>
        </w:rPr>
        <w:t>=</w:t>
      </w:r>
      <w:r>
        <w:rPr>
          <w:spacing w:val="25"/>
          <w:w w:val="115"/>
          <w:sz w:val="23"/>
        </w:rPr>
        <w:t> </w:t>
      </w:r>
      <w:r>
        <w:rPr>
          <w:w w:val="115"/>
          <w:sz w:val="20"/>
        </w:rPr>
        <w:t>%s,</w:t>
      </w:r>
    </w:p>
    <w:p>
      <w:pPr>
        <w:pStyle w:val="BodyText"/>
        <w:spacing w:line="252" w:lineRule="auto" w:before="116"/>
        <w:ind w:left="108" w:right="109" w:firstLine="205"/>
        <w:jc w:val="both"/>
      </w:pPr>
      <w:r>
        <w:rPr>
          <w:w w:val="105"/>
        </w:rPr>
        <w:t>What is the probability </w:t>
      </w:r>
      <w:r>
        <w:rPr>
          <w:i/>
          <w:w w:val="105"/>
        </w:rPr>
        <w:t>p </w:t>
      </w:r>
      <w:r>
        <w:rPr>
          <w:w w:val="105"/>
        </w:rPr>
        <w:t>that a life aged 15  will  survive to age 42? The probability of surviving from birth to age 42 is equal to the probability of the c&lt;&gt;poq_nd event of surviving to age 15 and then surviving from age  15  to age 42.  Hence,</w:t>
      </w:r>
    </w:p>
    <w:p>
      <w:pPr>
        <w:spacing w:before="94"/>
        <w:ind w:left="74" w:right="440" w:firstLine="0"/>
        <w:jc w:val="center"/>
        <w:rPr>
          <w:rFonts w:ascii="Arial" w:hAnsi="Arial"/>
          <w:i/>
          <w:sz w:val="19"/>
        </w:rPr>
      </w:pPr>
      <w:r>
        <w:rPr>
          <w:w w:val="110"/>
          <w:sz w:val="20"/>
        </w:rPr>
        <w:t>s(42)  </w:t>
      </w:r>
      <w:r>
        <w:rPr>
          <w:w w:val="110"/>
          <w:sz w:val="23"/>
        </w:rPr>
        <w:t>=  </w:t>
      </w:r>
      <w:r>
        <w:rPr>
          <w:w w:val="110"/>
          <w:sz w:val="20"/>
        </w:rPr>
        <w:t>s(15) </w:t>
      </w:r>
      <w:r>
        <w:rPr>
          <w:rFonts w:ascii="Arial" w:hAnsi="Arial"/>
          <w:i/>
          <w:w w:val="110"/>
          <w:sz w:val="19"/>
        </w:rPr>
        <w:t>·p,</w:t>
      </w:r>
    </w:p>
    <w:p>
      <w:pPr>
        <w:pStyle w:val="BodyText"/>
        <w:tabs>
          <w:tab w:pos="463" w:val="left" w:leader="none"/>
        </w:tabs>
        <w:spacing w:line="205" w:lineRule="exact" w:before="148"/>
        <w:ind w:left="74"/>
        <w:jc w:val="center"/>
        <w:rPr>
          <w:i/>
          <w:sz w:val="22"/>
        </w:rPr>
      </w:pPr>
      <w:r>
        <w:rPr>
          <w:w w:val="125"/>
        </w:rPr>
        <w:t>d</w:t>
        <w:tab/>
      </w:r>
      <w:r>
        <w:rPr>
          <w:w w:val="225"/>
        </w:rPr>
        <w:t>- </w:t>
      </w:r>
      <w:r>
        <w:rPr>
          <w:w w:val="125"/>
        </w:rPr>
        <w:t>8(42) </w:t>
      </w:r>
      <w:r>
        <w:rPr>
          <w:w w:val="225"/>
        </w:rPr>
        <w:t>-</w:t>
      </w:r>
      <w:r>
        <w:rPr>
          <w:spacing w:val="-92"/>
          <w:w w:val="225"/>
        </w:rPr>
        <w:t> </w:t>
      </w:r>
      <w:r>
        <w:rPr>
          <w:i/>
          <w:w w:val="180"/>
          <w:sz w:val="22"/>
        </w:rPr>
        <w:t>u</w:t>
      </w:r>
    </w:p>
    <w:p>
      <w:pPr>
        <w:spacing w:line="193" w:lineRule="exact" w:before="0"/>
        <w:ind w:left="74" w:right="57" w:firstLine="0"/>
        <w:jc w:val="center"/>
        <w:rPr>
          <w:sz w:val="15"/>
        </w:rPr>
      </w:pPr>
      <w:r>
        <w:rPr>
          <w:w w:val="120"/>
          <w:sz w:val="20"/>
        </w:rPr>
        <w:t>an  </w:t>
      </w:r>
      <w:r>
        <w:rPr>
          <w:i/>
          <w:w w:val="115"/>
          <w:sz w:val="21"/>
        </w:rPr>
        <w:t>p </w:t>
      </w:r>
      <w:r>
        <w:rPr>
          <w:w w:val="220"/>
          <w:sz w:val="21"/>
        </w:rPr>
        <w:t>- </w:t>
      </w:r>
      <w:r>
        <w:rPr>
          <w:b/>
          <w:w w:val="120"/>
          <w:sz w:val="20"/>
          <w:u w:val="thick"/>
        </w:rPr>
        <w:t>s(I5) </w:t>
      </w:r>
      <w:r>
        <w:rPr>
          <w:w w:val="220"/>
          <w:sz w:val="20"/>
        </w:rPr>
        <w:t>- </w:t>
      </w:r>
      <w:r>
        <w:rPr>
          <w:w w:val="120"/>
          <w:sz w:val="15"/>
        </w:rPr>
        <w:t>710·</w:t>
      </w:r>
    </w:p>
    <w:p>
      <w:pPr>
        <w:pStyle w:val="BodyText"/>
        <w:tabs>
          <w:tab w:pos="2081" w:val="left" w:leader="none"/>
        </w:tabs>
        <w:spacing w:line="256" w:lineRule="exact" w:before="153"/>
        <w:ind w:left="108" w:right="133" w:hanging="4"/>
        <w:rPr>
          <w:sz w:val="26"/>
        </w:rPr>
      </w:pPr>
      <w:r>
        <w:rPr>
          <w:w w:val="110"/>
        </w:rPr>
        <w:t>Then the probability that a life aged 15 will die before ttaining age 42 is 1 </w:t>
      </w:r>
      <w:r>
        <w:rPr>
          <w:w w:val="240"/>
        </w:rPr>
        <w:t>-</w:t>
      </w:r>
      <w:r>
        <w:rPr>
          <w:spacing w:val="-68"/>
          <w:w w:val="240"/>
        </w:rPr>
        <w:t> </w:t>
      </w:r>
      <w:r>
        <w:rPr>
          <w:w w:val="110"/>
        </w:rPr>
        <w:t>Yio</w:t>
      </w:r>
      <w:r>
        <w:rPr>
          <w:spacing w:val="29"/>
          <w:w w:val="110"/>
        </w:rPr>
        <w:t> </w:t>
      </w:r>
      <w:r>
        <w:rPr>
          <w:w w:val="110"/>
          <w:sz w:val="26"/>
        </w:rPr>
        <w:t>=</w:t>
        <w:tab/>
        <w:t>fo.</w:t>
      </w:r>
    </w:p>
    <w:p>
      <w:pPr>
        <w:pStyle w:val="BodyText"/>
        <w:spacing w:line="219" w:lineRule="exact"/>
        <w:ind w:left="302" w:right="739"/>
      </w:pPr>
      <w:r>
        <w:rPr>
          <w:w w:val="105"/>
        </w:rPr>
        <w:t>As a second example, let</w:t>
      </w:r>
    </w:p>
    <w:p>
      <w:pPr>
        <w:tabs>
          <w:tab w:pos="2415" w:val="left" w:leader="none"/>
          <w:tab w:pos="2840" w:val="left" w:leader="none"/>
          <w:tab w:pos="3286" w:val="left" w:leader="none"/>
        </w:tabs>
        <w:spacing w:before="88"/>
        <w:ind w:left="0" w:right="21" w:firstLine="0"/>
        <w:jc w:val="center"/>
        <w:rPr>
          <w:rFonts w:ascii="Arial"/>
          <w:b/>
          <w:sz w:val="19"/>
        </w:rPr>
      </w:pPr>
      <w:r>
        <w:rPr/>
        <w:pict>
          <v:line style="position:absolute;mso-position-horizontal-relative:page;mso-position-vertical-relative:paragraph;z-index:-734800" from="153pt,7.446725pt" to="189.36pt,7.446725pt" stroked="true" strokeweight=".72pt" strokecolor="#000000">
            <w10:wrap type="none"/>
          </v:line>
        </w:pict>
      </w:r>
      <w:r>
        <w:rPr/>
        <w:pict>
          <v:line style="position:absolute;mso-position-horizontal-relative:page;mso-position-vertical-relative:paragraph;z-index:-734776" from="138.600006pt,17.076725pt" to="141.840006pt,17.076725pt" stroked="true" strokeweight="1.08pt" strokecolor="#000000">
            <w10:wrap type="none"/>
          </v:line>
        </w:pict>
      </w:r>
      <w:r>
        <w:rPr>
          <w:rFonts w:ascii="Arial"/>
          <w:i/>
          <w:sz w:val="19"/>
        </w:rPr>
        <w:t>s </w:t>
      </w:r>
      <w:r>
        <w:rPr>
          <w:rFonts w:ascii="Arial"/>
          <w:i/>
          <w:spacing w:val="6"/>
          <w:sz w:val="19"/>
        </w:rPr>
        <w:t>(x)  </w:t>
      </w:r>
      <w:r>
        <w:rPr>
          <w:sz w:val="23"/>
        </w:rPr>
        <w:t>= </w:t>
      </w:r>
      <w:r>
        <w:rPr>
          <w:sz w:val="26"/>
        </w:rPr>
        <w:t>HovIOO </w:t>
      </w:r>
      <w:r>
        <w:rPr>
          <w:w w:val="190"/>
          <w:sz w:val="26"/>
        </w:rPr>
        <w:t>-</w:t>
      </w:r>
      <w:r>
        <w:rPr>
          <w:spacing w:val="-78"/>
          <w:w w:val="190"/>
          <w:sz w:val="26"/>
        </w:rPr>
        <w:t> </w:t>
      </w:r>
      <w:r>
        <w:rPr>
          <w:rFonts w:ascii="Arial"/>
          <w:i/>
          <w:sz w:val="19"/>
        </w:rPr>
        <w:t>x</w:t>
      </w:r>
      <w:r>
        <w:rPr>
          <w:rFonts w:ascii="Arial"/>
          <w:i/>
          <w:spacing w:val="-28"/>
          <w:sz w:val="19"/>
        </w:rPr>
        <w:t> </w:t>
      </w:r>
      <w:r>
        <w:rPr>
          <w:rFonts w:ascii="Arial"/>
          <w:i/>
          <w:sz w:val="19"/>
        </w:rPr>
        <w:t>,</w:t>
        <w:tab/>
      </w:r>
      <w:r>
        <w:rPr>
          <w:rFonts w:ascii="Arial"/>
          <w:b/>
          <w:sz w:val="19"/>
        </w:rPr>
        <w:t>0</w:t>
        <w:tab/>
      </w:r>
      <w:r>
        <w:rPr>
          <w:rFonts w:ascii="Arial"/>
          <w:i/>
          <w:sz w:val="13"/>
        </w:rPr>
        <w:t>X</w:t>
        <w:tab/>
      </w:r>
      <w:r>
        <w:rPr>
          <w:rFonts w:ascii="Arial"/>
          <w:b/>
          <w:sz w:val="19"/>
        </w:rPr>
        <w:t>100.</w:t>
      </w:r>
    </w:p>
    <w:p>
      <w:pPr>
        <w:pStyle w:val="BodyText"/>
        <w:spacing w:line="254" w:lineRule="auto" w:before="99"/>
        <w:ind w:left="108" w:right="133" w:hanging="4"/>
      </w:pPr>
      <w:r>
        <w:rPr>
          <w:w w:val="105"/>
        </w:rPr>
        <w:t>See Figure 3. Sorne sample probabilities computed from this func­ tion follow.</w:t>
      </w:r>
    </w:p>
    <w:p>
      <w:pPr>
        <w:pStyle w:val="BodyText"/>
        <w:spacing w:line="224" w:lineRule="exact"/>
        <w:ind w:left="302" w:right="739"/>
      </w:pPr>
      <w:r>
        <w:rPr>
          <w:w w:val="105"/>
        </w:rPr>
        <w:t>The probability  of surviving from bi</w:t>
      </w:r>
      <w:r>
        <w:rPr>
          <w:w w:val="105"/>
          <w:u w:val="thick"/>
        </w:rPr>
        <w:t>rt</w:t>
      </w:r>
      <w:r>
        <w:rPr>
          <w:w w:val="105"/>
        </w:rPr>
        <w:t>h  to age </w:t>
      </w:r>
      <w:r>
        <w:rPr>
          <w:rFonts w:ascii="Arial"/>
          <w:w w:val="105"/>
          <w:sz w:val="19"/>
        </w:rPr>
        <w:t>36  </w:t>
      </w:r>
      <w:r>
        <w:rPr>
          <w:w w:val="105"/>
        </w:rPr>
        <w:t>is</w:t>
      </w:r>
    </w:p>
    <w:p>
      <w:pPr>
        <w:spacing w:before="85"/>
        <w:ind w:left="74" w:right="86" w:firstLine="0"/>
        <w:jc w:val="center"/>
        <w:rPr>
          <w:rFonts w:ascii="Arial"/>
          <w:sz w:val="22"/>
        </w:rPr>
      </w:pPr>
      <w:r>
        <w:rPr/>
        <w:pict>
          <v:line style="position:absolute;mso-position-horizontal-relative:page;mso-position-vertical-relative:paragraph;z-index:-734752" from="149.580002pt,16.926716pt" to="152.640002pt,16.926716pt" stroked="true" strokeweight="1.08pt" strokecolor="#000000">
            <w10:wrap type="none"/>
          </v:line>
        </w:pict>
      </w:r>
      <w:r>
        <w:rPr>
          <w:rFonts w:ascii="Arial"/>
          <w:i/>
          <w:w w:val="110"/>
          <w:sz w:val="17"/>
        </w:rPr>
        <w:t>s (36 ) </w:t>
      </w:r>
      <w:r>
        <w:rPr>
          <w:w w:val="110"/>
          <w:sz w:val="23"/>
        </w:rPr>
        <w:t>= </w:t>
      </w:r>
      <w:r>
        <w:rPr>
          <w:b/>
          <w:w w:val="110"/>
          <w:sz w:val="21"/>
        </w:rPr>
        <w:t>HovIOO </w:t>
      </w:r>
      <w:r>
        <w:rPr>
          <w:w w:val="240"/>
          <w:sz w:val="21"/>
        </w:rPr>
        <w:t>-</w:t>
      </w:r>
      <w:r>
        <w:rPr>
          <w:spacing w:val="-105"/>
          <w:w w:val="240"/>
          <w:sz w:val="21"/>
        </w:rPr>
        <w:t> </w:t>
      </w:r>
      <w:r>
        <w:rPr>
          <w:rFonts w:ascii="Arial"/>
          <w:w w:val="110"/>
          <w:sz w:val="19"/>
        </w:rPr>
        <w:t>36 </w:t>
      </w:r>
      <w:r>
        <w:rPr>
          <w:w w:val="110"/>
          <w:sz w:val="23"/>
        </w:rPr>
        <w:t>= </w:t>
      </w:r>
      <w:r>
        <w:rPr>
          <w:w w:val="95"/>
          <w:sz w:val="26"/>
        </w:rPr>
        <w:t>.Vio </w:t>
      </w:r>
      <w:r>
        <w:rPr>
          <w:w w:val="110"/>
          <w:sz w:val="23"/>
        </w:rPr>
        <w:t>= </w:t>
      </w:r>
      <w:r>
        <w:rPr>
          <w:rFonts w:ascii="Arial"/>
          <w:w w:val="110"/>
          <w:sz w:val="22"/>
        </w:rPr>
        <w:t>%,</w:t>
      </w:r>
    </w:p>
    <w:p>
      <w:pPr>
        <w:spacing w:line="336" w:lineRule="auto" w:before="102"/>
        <w:ind w:left="1289" w:right="1182" w:hanging="987"/>
        <w:jc w:val="left"/>
        <w:rPr>
          <w:rFonts w:ascii="Arial"/>
          <w:sz w:val="24"/>
        </w:rPr>
      </w:pPr>
      <w:r>
        <w:rPr/>
        <w:pict>
          <v:line style="position:absolute;mso-position-horizontal-relative:page;mso-position-vertical-relative:paragraph;z-index:-734728" from="169.919998pt,14.525936pt" to="172.439998pt,14.525936pt" stroked="true" strokeweight=".18pt" strokecolor="#000000">
            <w10:wrap type="none"/>
          </v:line>
        </w:pict>
      </w:r>
      <w:r>
        <w:rPr/>
        <w:pict>
          <v:line style="position:absolute;mso-position-horizontal-relative:page;mso-position-vertical-relative:paragraph;z-index:-734704" from="144.179993pt,33.785934pt" to="147.239993pt,33.785934pt" stroked="true" strokeweight=".9pt" strokecolor="#000000">
            <w10:wrap type="none"/>
          </v:line>
        </w:pict>
      </w:r>
      <w:r>
        <w:rPr>
          <w:sz w:val="20"/>
        </w:rPr>
        <w:t>The probability of surviving from birth to age </w:t>
      </w:r>
      <w:r>
        <w:rPr>
          <w:rFonts w:ascii="Arial"/>
          <w:sz w:val="18"/>
        </w:rPr>
        <w:t>64 </w:t>
      </w:r>
      <w:r>
        <w:rPr>
          <w:sz w:val="20"/>
        </w:rPr>
        <w:t>is s(64)  </w:t>
      </w:r>
      <w:r>
        <w:rPr>
          <w:sz w:val="26"/>
        </w:rPr>
        <w:t>= Hov'IOO </w:t>
      </w:r>
      <w:r>
        <w:rPr>
          <w:w w:val="180"/>
          <w:sz w:val="26"/>
        </w:rPr>
        <w:t>- </w:t>
      </w:r>
      <w:r>
        <w:rPr>
          <w:sz w:val="20"/>
        </w:rPr>
        <w:t>64  </w:t>
      </w:r>
      <w:r>
        <w:rPr>
          <w:sz w:val="23"/>
        </w:rPr>
        <w:t>= </w:t>
      </w:r>
      <w:r>
        <w:rPr>
          <w:sz w:val="20"/>
        </w:rPr>
        <w:t>%o  </w:t>
      </w:r>
      <w:r>
        <w:rPr>
          <w:sz w:val="23"/>
        </w:rPr>
        <w:t>= </w:t>
      </w:r>
      <w:r>
        <w:rPr>
          <w:rFonts w:ascii="Arial"/>
          <w:sz w:val="24"/>
        </w:rPr>
        <w:t>%.</w:t>
      </w:r>
    </w:p>
    <w:p>
      <w:pPr>
        <w:pStyle w:val="BodyText"/>
        <w:spacing w:line="214" w:lineRule="exact"/>
        <w:ind w:left="302" w:right="133"/>
      </w:pPr>
      <w:r>
        <w:rPr>
          <w:w w:val="105"/>
        </w:rPr>
        <w:t>The probability  that </w:t>
      </w:r>
      <w:r>
        <w:rPr>
          <w:rFonts w:ascii="Arial"/>
          <w:w w:val="105"/>
          <w:sz w:val="17"/>
        </w:rPr>
        <w:t>a </w:t>
      </w:r>
      <w:r>
        <w:rPr>
          <w:w w:val="105"/>
        </w:rPr>
        <w:t>life aged </w:t>
      </w:r>
      <w:r>
        <w:rPr>
          <w:rFonts w:ascii="Arial"/>
          <w:w w:val="105"/>
          <w:sz w:val="18"/>
        </w:rPr>
        <w:t>36 </w:t>
      </w:r>
      <w:r>
        <w:rPr>
          <w:w w:val="105"/>
        </w:rPr>
        <w:t>will  survive to age </w:t>
      </w:r>
      <w:r>
        <w:rPr>
          <w:rFonts w:ascii="Arial"/>
          <w:w w:val="105"/>
          <w:sz w:val="18"/>
        </w:rPr>
        <w:t>64   </w:t>
      </w:r>
      <w:r>
        <w:rPr>
          <w:w w:val="105"/>
        </w:rPr>
        <w:t>is</w:t>
      </w:r>
    </w:p>
    <w:p>
      <w:pPr>
        <w:spacing w:line="257" w:lineRule="exact" w:before="133"/>
        <w:ind w:left="74" w:right="123" w:firstLine="0"/>
        <w:jc w:val="center"/>
        <w:rPr>
          <w:rFonts w:ascii="Arial"/>
          <w:sz w:val="14"/>
        </w:rPr>
      </w:pPr>
      <w:r>
        <w:rPr/>
        <w:pict>
          <v:line style="position:absolute;mso-position-horizontal-relative:page;mso-position-vertical-relative:paragraph;z-index:-734680" from="176.940002pt,16.435936pt" to="178.200002pt,16.435936pt" stroked="true" strokeweight=".9pt" strokecolor="#000000">
            <w10:wrap type="none"/>
          </v:line>
        </w:pict>
      </w:r>
      <w:r>
        <w:rPr>
          <w:w w:val="120"/>
          <w:sz w:val="20"/>
        </w:rPr>
        <w:t>s(64)  _ </w:t>
      </w:r>
      <w:r>
        <w:rPr>
          <w:rFonts w:ascii="Arial"/>
          <w:w w:val="120"/>
          <w:position w:val="-7"/>
          <w:sz w:val="14"/>
        </w:rPr>
        <w:t>3</w:t>
      </w:r>
      <w:r>
        <w:rPr>
          <w:rFonts w:ascii="Arial"/>
          <w:w w:val="120"/>
          <w:sz w:val="14"/>
        </w:rPr>
        <w:t>/.</w:t>
      </w:r>
    </w:p>
    <w:p>
      <w:pPr>
        <w:spacing w:line="193" w:lineRule="exact" w:before="0"/>
        <w:ind w:left="74" w:right="50" w:firstLine="0"/>
        <w:jc w:val="center"/>
        <w:rPr>
          <w:rFonts w:ascii="Arial" w:hAnsi="Arial"/>
          <w:i/>
          <w:sz w:val="14"/>
        </w:rPr>
      </w:pPr>
      <w:r>
        <w:rPr>
          <w:rFonts w:ascii="Arial" w:hAnsi="Arial"/>
          <w:i/>
          <w:w w:val="105"/>
          <w:sz w:val="19"/>
        </w:rPr>
        <w:t>s (36)  </w:t>
      </w:r>
      <w:r>
        <w:rPr>
          <w:rFonts w:ascii="Arial" w:hAnsi="Arial"/>
          <w:w w:val="220"/>
          <w:sz w:val="19"/>
        </w:rPr>
        <w:t>-</w:t>
      </w:r>
      <w:r>
        <w:rPr>
          <w:rFonts w:ascii="Arial" w:hAnsi="Arial"/>
          <w:spacing w:val="-86"/>
          <w:w w:val="220"/>
          <w:sz w:val="19"/>
        </w:rPr>
        <w:t> </w:t>
      </w:r>
      <w:r>
        <w:rPr>
          <w:rFonts w:ascii="Arial" w:hAnsi="Arial"/>
          <w:i/>
          <w:w w:val="145"/>
          <w:position w:val="6"/>
          <w:sz w:val="14"/>
        </w:rPr>
        <w:t>74</w:t>
      </w:r>
      <w:r>
        <w:rPr>
          <w:rFonts w:ascii="Arial" w:hAnsi="Arial"/>
          <w:i/>
          <w:w w:val="145"/>
          <w:sz w:val="14"/>
        </w:rPr>
        <w:t>·</w:t>
      </w:r>
    </w:p>
    <w:p>
      <w:pPr>
        <w:pStyle w:val="BodyText"/>
        <w:spacing w:line="225" w:lineRule="exact" w:before="140"/>
        <w:ind w:left="149"/>
        <w:jc w:val="center"/>
      </w:pPr>
      <w:r>
        <w:rPr/>
        <w:t>The  probsbility  that  </w:t>
      </w:r>
      <w:r>
        <w:rPr>
          <w:rFonts w:ascii="Arial"/>
          <w:sz w:val="18"/>
        </w:rPr>
        <w:t>a </w:t>
      </w:r>
      <w:r>
        <w:rPr/>
        <w:t>life  aged  </w:t>
      </w:r>
      <w:r>
        <w:rPr>
          <w:rFonts w:ascii="Arial"/>
          <w:sz w:val="19"/>
        </w:rPr>
        <w:t>O </w:t>
      </w:r>
      <w:r>
        <w:rPr/>
        <w:t>will  die  between  ages  </w:t>
      </w:r>
      <w:r>
        <w:rPr>
          <w:rFonts w:ascii="Arial"/>
          <w:sz w:val="19"/>
        </w:rPr>
        <w:t>36 </w:t>
      </w:r>
      <w:r>
        <w:rPr/>
        <w:t>and</w:t>
      </w:r>
    </w:p>
    <w:p>
      <w:pPr>
        <w:spacing w:line="262" w:lineRule="exact" w:before="0"/>
        <w:ind w:left="101" w:right="739" w:firstLine="0"/>
        <w:jc w:val="left"/>
        <w:rPr>
          <w:rFonts w:ascii="Arial"/>
          <w:sz w:val="24"/>
        </w:rPr>
      </w:pPr>
      <w:r>
        <w:rPr>
          <w:rFonts w:ascii="Arial"/>
          <w:sz w:val="18"/>
        </w:rPr>
        <w:t>64 </w:t>
      </w:r>
      <w:r>
        <w:rPr>
          <w:sz w:val="20"/>
        </w:rPr>
        <w:t>is </w:t>
      </w:r>
      <w:r>
        <w:rPr>
          <w:rFonts w:ascii="Arial"/>
          <w:i/>
          <w:w w:val="115"/>
          <w:sz w:val="23"/>
        </w:rPr>
        <w:t>% </w:t>
      </w:r>
      <w:r>
        <w:rPr>
          <w:rFonts w:ascii="Arial"/>
          <w:w w:val="200"/>
          <w:sz w:val="23"/>
        </w:rPr>
        <w:t>- </w:t>
      </w:r>
      <w:r>
        <w:rPr>
          <w:rFonts w:ascii="Arial"/>
          <w:sz w:val="22"/>
        </w:rPr>
        <w:t>% </w:t>
      </w:r>
      <w:r>
        <w:rPr>
          <w:sz w:val="23"/>
        </w:rPr>
        <w:t>= </w:t>
      </w:r>
      <w:r>
        <w:rPr>
          <w:rFonts w:ascii="Arial"/>
          <w:sz w:val="24"/>
        </w:rPr>
        <w:t>}&amp;.</w:t>
      </w:r>
    </w:p>
    <w:p>
      <w:pPr>
        <w:pStyle w:val="BodyText"/>
        <w:spacing w:line="216" w:lineRule="auto" w:before="9"/>
        <w:ind w:left="101" w:right="138" w:firstLine="194"/>
        <w:rPr>
          <w:rFonts w:ascii="Arial"/>
          <w:sz w:val="25"/>
        </w:rPr>
      </w:pPr>
      <w:r>
        <w:rPr>
          <w:w w:val="115"/>
        </w:rPr>
        <w:t>The</w:t>
      </w:r>
      <w:r>
        <w:rPr>
          <w:spacing w:val="-23"/>
          <w:w w:val="115"/>
        </w:rPr>
        <w:t> </w:t>
      </w:r>
      <w:r>
        <w:rPr>
          <w:w w:val="115"/>
        </w:rPr>
        <w:t>probability</w:t>
      </w:r>
      <w:r>
        <w:rPr>
          <w:spacing w:val="-10"/>
          <w:w w:val="115"/>
        </w:rPr>
        <w:t> </w:t>
      </w:r>
      <w:r>
        <w:rPr>
          <w:w w:val="115"/>
        </w:rPr>
        <w:t>that</w:t>
      </w:r>
      <w:r>
        <w:rPr>
          <w:spacing w:val="-17"/>
          <w:w w:val="115"/>
        </w:rPr>
        <w:t> </w:t>
      </w:r>
      <w:r>
        <w:rPr>
          <w:w w:val="115"/>
        </w:rPr>
        <w:t>a</w:t>
      </w:r>
      <w:r>
        <w:rPr>
          <w:spacing w:val="-25"/>
          <w:w w:val="115"/>
        </w:rPr>
        <w:t> </w:t>
      </w:r>
      <w:r>
        <w:rPr>
          <w:w w:val="115"/>
        </w:rPr>
        <w:t>life</w:t>
      </w:r>
      <w:r>
        <w:rPr>
          <w:spacing w:val="-21"/>
          <w:w w:val="115"/>
        </w:rPr>
        <w:t> </w:t>
      </w:r>
      <w:r>
        <w:rPr>
          <w:w w:val="115"/>
        </w:rPr>
        <w:t>aged</w:t>
      </w:r>
      <w:r>
        <w:rPr>
          <w:spacing w:val="-15"/>
          <w:w w:val="115"/>
        </w:rPr>
        <w:t> </w:t>
      </w:r>
      <w:r>
        <w:rPr>
          <w:spacing w:val="-12"/>
          <w:w w:val="115"/>
        </w:rPr>
        <w:t>36</w:t>
      </w:r>
      <w:r>
        <w:rPr>
          <w:spacing w:val="-26"/>
          <w:w w:val="115"/>
        </w:rPr>
        <w:t> </w:t>
      </w:r>
      <w:r>
        <w:rPr>
          <w:w w:val="115"/>
        </w:rPr>
        <w:t>will</w:t>
      </w:r>
      <w:r>
        <w:rPr>
          <w:spacing w:val="-15"/>
          <w:w w:val="115"/>
        </w:rPr>
        <w:t> </w:t>
      </w:r>
      <w:r>
        <w:rPr>
          <w:w w:val="115"/>
        </w:rPr>
        <w:t>die</w:t>
      </w:r>
      <w:r>
        <w:rPr>
          <w:spacing w:val="-21"/>
          <w:w w:val="115"/>
        </w:rPr>
        <w:t> </w:t>
      </w:r>
      <w:r>
        <w:rPr>
          <w:w w:val="115"/>
        </w:rPr>
        <w:t>before</w:t>
      </w:r>
      <w:r>
        <w:rPr>
          <w:spacing w:val="-15"/>
          <w:w w:val="115"/>
        </w:rPr>
        <w:t> </w:t>
      </w:r>
      <w:r>
        <w:rPr>
          <w:w w:val="115"/>
        </w:rPr>
        <w:t>attaining</w:t>
      </w:r>
      <w:r>
        <w:rPr>
          <w:spacing w:val="-17"/>
          <w:w w:val="115"/>
        </w:rPr>
        <w:t> </w:t>
      </w:r>
      <w:r>
        <w:rPr>
          <w:w w:val="115"/>
        </w:rPr>
        <w:t>age </w:t>
      </w:r>
      <w:r>
        <w:rPr/>
        <w:t>o-4 </w:t>
      </w:r>
      <w:r>
        <w:rPr>
          <w:w w:val="115"/>
        </w:rPr>
        <w:t>is 1 </w:t>
      </w:r>
      <w:r>
        <w:rPr>
          <w:w w:val="240"/>
        </w:rPr>
        <w:t>-</w:t>
      </w:r>
      <w:r>
        <w:rPr>
          <w:spacing w:val="-94"/>
          <w:w w:val="240"/>
        </w:rPr>
        <w:t> </w:t>
      </w:r>
      <w:r>
        <w:rPr>
          <w:rFonts w:ascii="Arial"/>
          <w:w w:val="115"/>
          <w:sz w:val="24"/>
        </w:rPr>
        <w:t>% </w:t>
      </w:r>
      <w:r>
        <w:rPr>
          <w:w w:val="115"/>
          <w:sz w:val="10"/>
        </w:rPr>
        <w:t>:::z   </w:t>
      </w:r>
      <w:r>
        <w:rPr>
          <w:rFonts w:ascii="Arial"/>
          <w:spacing w:val="-13"/>
          <w:w w:val="115"/>
          <w:sz w:val="25"/>
        </w:rPr>
        <w:t>H.</w:t>
      </w:r>
    </w:p>
    <w:p>
      <w:pPr>
        <w:spacing w:after="0" w:line="216" w:lineRule="auto"/>
        <w:rPr>
          <w:rFonts w:ascii="Arial"/>
          <w:sz w:val="25"/>
        </w:rPr>
        <w:sectPr>
          <w:pgSz w:w="7200" w:h="11340"/>
          <w:pgMar w:top="500" w:bottom="280" w:left="680" w:right="540"/>
        </w:sectPr>
      </w:pPr>
    </w:p>
    <w:p>
      <w:pPr>
        <w:tabs>
          <w:tab w:pos="1977" w:val="left" w:leader="none"/>
          <w:tab w:pos="5832" w:val="right" w:leader="none"/>
        </w:tabs>
        <w:spacing w:before="59"/>
        <w:ind w:left="112" w:right="0" w:firstLine="0"/>
        <w:jc w:val="left"/>
        <w:rPr>
          <w:sz w:val="22"/>
        </w:rPr>
      </w:pPr>
      <w:r>
        <w:rPr>
          <w:color w:val="010101"/>
          <w:sz w:val="15"/>
        </w:rPr>
        <w:t>SEC. </w:t>
      </w:r>
      <w:r>
        <w:rPr>
          <w:color w:val="010101"/>
          <w:spacing w:val="29"/>
          <w:sz w:val="15"/>
        </w:rPr>
        <w:t> </w:t>
      </w:r>
      <w:r>
        <w:rPr>
          <w:rFonts w:ascii="Arial"/>
          <w:color w:val="010101"/>
          <w:sz w:val="19"/>
        </w:rPr>
        <w:t>3)</w:t>
        <w:tab/>
      </w:r>
      <w:r>
        <w:rPr>
          <w:b/>
          <w:color w:val="010101"/>
          <w:position w:val="1"/>
          <w:sz w:val="15"/>
        </w:rPr>
        <w:t>THE </w:t>
      </w:r>
      <w:r>
        <w:rPr>
          <w:b/>
          <w:color w:val="010101"/>
          <w:spacing w:val="18"/>
          <w:position w:val="1"/>
          <w:sz w:val="15"/>
        </w:rPr>
        <w:t> </w:t>
      </w:r>
      <w:r>
        <w:rPr>
          <w:b/>
          <w:color w:val="010101"/>
          <w:position w:val="1"/>
          <w:sz w:val="15"/>
        </w:rPr>
        <w:t>MORTALITY  </w:t>
      </w:r>
      <w:r>
        <w:rPr>
          <w:b/>
          <w:color w:val="010101"/>
          <w:spacing w:val="3"/>
          <w:position w:val="1"/>
          <w:sz w:val="15"/>
        </w:rPr>
        <w:t> </w:t>
      </w:r>
      <w:r>
        <w:rPr>
          <w:b/>
          <w:color w:val="010101"/>
          <w:position w:val="1"/>
          <w:sz w:val="15"/>
        </w:rPr>
        <w:t>TABLE</w:t>
      </w:r>
      <w:r>
        <w:rPr>
          <w:color w:val="010101"/>
          <w:sz w:val="22"/>
        </w:rPr>
        <w:tab/>
        <w:t>7</w:t>
      </w:r>
    </w:p>
    <w:p>
      <w:pPr>
        <w:pStyle w:val="BodyText"/>
        <w:spacing w:before="10"/>
        <w:rPr>
          <w:sz w:val="18"/>
        </w:rPr>
      </w:pPr>
    </w:p>
    <w:p>
      <w:pPr>
        <w:pStyle w:val="BodyText"/>
        <w:spacing w:line="249" w:lineRule="auto"/>
        <w:ind w:left="109" w:right="123" w:firstLine="207"/>
        <w:jc w:val="both"/>
      </w:pPr>
      <w:r>
        <w:rPr>
          <w:color w:val="010101"/>
          <w:w w:val="105"/>
          <w:sz w:val="22"/>
        </w:rPr>
        <w:t>It </w:t>
      </w:r>
      <w:r>
        <w:rPr>
          <w:color w:val="010101"/>
          <w:w w:val="105"/>
        </w:rPr>
        <w:t>should be clear from these cxamples that numerical measures  oí the probabilit.ies of living nd dying  are readily  calculated  in any instance where </w:t>
      </w:r>
      <w:r>
        <w:rPr>
          <w:rFonts w:ascii="Arial" w:hAnsi="Arial"/>
          <w:color w:val="010101"/>
          <w:w w:val="105"/>
          <w:sz w:val="18"/>
        </w:rPr>
        <w:t>a </w:t>
      </w:r>
      <w:r>
        <w:rPr>
          <w:color w:val="010101"/>
          <w:w w:val="105"/>
        </w:rPr>
        <w:t>survival function is known or can </w:t>
      </w:r>
      <w:r>
        <w:rPr>
          <w:color w:val="010101"/>
          <w:w w:val="105"/>
          <w:sz w:val="19"/>
        </w:rPr>
        <w:t>be</w:t>
      </w:r>
      <w:r>
        <w:rPr>
          <w:color w:val="010101"/>
          <w:spacing w:val="12"/>
          <w:w w:val="105"/>
          <w:sz w:val="19"/>
        </w:rPr>
        <w:t> </w:t>
      </w:r>
      <w:r>
        <w:rPr>
          <w:color w:val="010101"/>
          <w:w w:val="105"/>
        </w:rPr>
        <w:t>assumed.</w:t>
      </w:r>
    </w:p>
    <w:p>
      <w:pPr>
        <w:pStyle w:val="BodyText"/>
        <w:spacing w:before="10"/>
        <w:rPr>
          <w:sz w:val="21"/>
        </w:rPr>
      </w:pPr>
    </w:p>
    <w:p>
      <w:pPr>
        <w:pStyle w:val="ListParagraph"/>
        <w:numPr>
          <w:ilvl w:val="0"/>
          <w:numId w:val="2"/>
        </w:numPr>
        <w:tabs>
          <w:tab w:pos="325" w:val="left" w:leader="none"/>
        </w:tabs>
        <w:spacing w:line="240" w:lineRule="auto" w:before="0" w:after="0"/>
        <w:ind w:left="324" w:right="0" w:hanging="215"/>
        <w:jc w:val="left"/>
        <w:rPr>
          <w:b/>
          <w:color w:val="010101"/>
          <w:sz w:val="19"/>
        </w:rPr>
      </w:pPr>
      <w:r>
        <w:rPr>
          <w:b/>
          <w:color w:val="010101"/>
          <w:w w:val="115"/>
          <w:sz w:val="19"/>
        </w:rPr>
        <w:t>The  mortaJity</w:t>
      </w:r>
      <w:r>
        <w:rPr>
          <w:b/>
          <w:color w:val="010101"/>
          <w:spacing w:val="34"/>
          <w:w w:val="115"/>
          <w:sz w:val="19"/>
        </w:rPr>
        <w:t> </w:t>
      </w:r>
      <w:r>
        <w:rPr>
          <w:b/>
          <w:color w:val="010101"/>
          <w:w w:val="115"/>
          <w:sz w:val="19"/>
        </w:rPr>
        <w:t>table</w:t>
      </w:r>
    </w:p>
    <w:p>
      <w:pPr>
        <w:pStyle w:val="BodyText"/>
        <w:spacing w:line="249" w:lineRule="auto" w:before="109"/>
        <w:ind w:left="120" w:right="110" w:firstLine="193"/>
        <w:jc w:val="both"/>
      </w:pPr>
      <w:r>
        <w:rPr>
          <w:color w:val="010101"/>
          <w:w w:val="105"/>
        </w:rPr>
        <w:t>Suppose that we wish </w:t>
      </w:r>
      <w:r>
        <w:rPr>
          <w:color w:val="010101"/>
          <w:w w:val="105"/>
          <w:sz w:val="22"/>
        </w:rPr>
        <w:t>to </w:t>
      </w:r>
      <w:r>
        <w:rPr>
          <w:color w:val="010101"/>
          <w:w w:val="105"/>
        </w:rPr>
        <w:t>exhibit the effect of the survival func­ tion</w:t>
      </w:r>
    </w:p>
    <w:p>
      <w:pPr>
        <w:spacing w:before="82"/>
        <w:ind w:left="109" w:right="131" w:firstLine="0"/>
        <w:jc w:val="center"/>
        <w:rPr>
          <w:rFonts w:ascii="Arial"/>
          <w:b/>
          <w:i/>
          <w:sz w:val="14"/>
        </w:rPr>
      </w:pPr>
      <w:r>
        <w:rPr/>
        <w:pict>
          <v:line style="position:absolute;mso-position-horizontal-relative:page;mso-position-vertical-relative:paragraph;z-index:-734512" from="193.598404pt,7.259531pt" to="229.562604pt,7.259531pt" stroked="true" strokeweight=".715706pt" strokecolor="#000000">
            <w10:wrap type="none"/>
          </v:line>
        </w:pict>
      </w:r>
      <w:r>
        <w:rPr>
          <w:rFonts w:ascii="Arial"/>
          <w:i/>
          <w:color w:val="010101"/>
          <w:sz w:val="19"/>
        </w:rPr>
        <w:t>s </w:t>
      </w:r>
      <w:r>
        <w:rPr>
          <w:rFonts w:ascii="Arial"/>
          <w:i/>
          <w:color w:val="010101"/>
          <w:spacing w:val="3"/>
          <w:sz w:val="19"/>
        </w:rPr>
        <w:t>(x </w:t>
      </w:r>
      <w:r>
        <w:rPr>
          <w:rFonts w:ascii="Arial"/>
          <w:i/>
          <w:color w:val="010101"/>
          <w:sz w:val="19"/>
        </w:rPr>
        <w:t>)  </w:t>
      </w:r>
      <w:r>
        <w:rPr>
          <w:color w:val="010101"/>
          <w:sz w:val="26"/>
        </w:rPr>
        <w:t>= </w:t>
      </w:r>
      <w:r>
        <w:rPr>
          <w:b/>
          <w:color w:val="010101"/>
          <w:w w:val="120"/>
          <w:sz w:val="20"/>
        </w:rPr>
        <w:t>tfoV100 </w:t>
      </w:r>
      <w:r>
        <w:rPr>
          <w:color w:val="010101"/>
          <w:w w:val="260"/>
          <w:sz w:val="20"/>
        </w:rPr>
        <w:t>-</w:t>
      </w:r>
      <w:r>
        <w:rPr>
          <w:color w:val="010101"/>
          <w:spacing w:val="-98"/>
          <w:w w:val="260"/>
          <w:sz w:val="20"/>
        </w:rPr>
        <w:t> </w:t>
      </w:r>
      <w:r>
        <w:rPr>
          <w:rFonts w:ascii="Arial"/>
          <w:b/>
          <w:i/>
          <w:color w:val="010101"/>
          <w:sz w:val="14"/>
        </w:rPr>
        <w:t>X</w:t>
      </w:r>
    </w:p>
    <w:p>
      <w:pPr>
        <w:pStyle w:val="BodyText"/>
        <w:spacing w:before="1"/>
        <w:rPr>
          <w:rFonts w:ascii="Arial"/>
          <w:b/>
          <w:i/>
          <w:sz w:val="9"/>
        </w:rPr>
      </w:pPr>
    </w:p>
    <w:p>
      <w:pPr>
        <w:spacing w:before="82"/>
        <w:ind w:left="145" w:right="0" w:firstLine="0"/>
        <w:jc w:val="left"/>
        <w:rPr>
          <w:b/>
          <w:i/>
          <w:sz w:val="14"/>
        </w:rPr>
      </w:pPr>
      <w:r>
        <w:rPr/>
        <w:pict>
          <v:group style="position:absolute;margin-left:39.005959pt;margin-top:16.64876pt;width:246.85pt;height:160.1pt;mso-position-horizontal-relative:page;mso-position-vertical-relative:paragraph;z-index:1528;mso-wrap-distance-left:0;mso-wrap-distance-right:0" coordorigin="780,333" coordsize="4937,3202">
            <v:shape style="position:absolute;left:893;top:452;width:4824;height:3082" type="#_x0000_t75" stroked="false">
              <v:imagedata r:id="rId8" o:title=""/>
            </v:shape>
            <v:line style="position:absolute" from="916,3480" to="916,342" stroked="true" strokeweight=".894632pt" strokecolor="#000000"/>
            <v:line style="position:absolute" from="794,3371" to="2204,3371" stroked="true" strokeweight=".715706pt" strokecolor="#000000"/>
            <v:shape style="position:absolute;left:791;top:349;width:46;height:170" type="#_x0000_t202" filled="false" stroked="false">
              <v:textbox inset="0,0,0,0">
                <w:txbxContent>
                  <w:p>
                    <w:pPr>
                      <w:spacing w:line="170" w:lineRule="exact" w:before="0"/>
                      <w:ind w:left="0" w:right="0" w:firstLine="0"/>
                      <w:jc w:val="left"/>
                      <w:rPr>
                        <w:i/>
                        <w:sz w:val="17"/>
                      </w:rPr>
                    </w:pPr>
                    <w:r>
                      <w:rPr>
                        <w:i/>
                        <w:color w:val="010101"/>
                        <w:w w:val="79"/>
                        <w:sz w:val="17"/>
                      </w:rPr>
                      <w:t>I</w:t>
                    </w:r>
                  </w:p>
                </w:txbxContent>
              </v:textbox>
              <w10:wrap type="none"/>
            </v:shape>
            <v:shape style="position:absolute;left:780;top:3327;width:105;height:200" type="#_x0000_t202" filled="false" stroked="false">
              <v:textbox inset="0,0,0,0">
                <w:txbxContent>
                  <w:p>
                    <w:pPr>
                      <w:spacing w:line="200" w:lineRule="exact" w:before="0"/>
                      <w:ind w:left="0" w:right="0" w:firstLine="0"/>
                      <w:jc w:val="left"/>
                      <w:rPr>
                        <w:i/>
                        <w:sz w:val="20"/>
                      </w:rPr>
                    </w:pPr>
                    <w:r>
                      <w:rPr>
                        <w:i/>
                        <w:color w:val="010101"/>
                        <w:w w:val="105"/>
                        <w:sz w:val="20"/>
                      </w:rPr>
                      <w:t>o</w:t>
                    </w:r>
                  </w:p>
                </w:txbxContent>
              </v:textbox>
              <w10:wrap type="none"/>
            </v:shape>
            <v:shape style="position:absolute;left:1979;top:3385;width:194;height:140" type="#_x0000_t202" filled="false" stroked="false">
              <v:textbox inset="0,0,0,0">
                <w:txbxContent>
                  <w:p>
                    <w:pPr>
                      <w:spacing w:line="140" w:lineRule="exact" w:before="0"/>
                      <w:ind w:left="0" w:right="-13" w:firstLine="0"/>
                      <w:jc w:val="left"/>
                      <w:rPr>
                        <w:rFonts w:ascii="Arial"/>
                        <w:b/>
                        <w:i/>
                        <w:sz w:val="14"/>
                      </w:rPr>
                    </w:pPr>
                    <w:r>
                      <w:rPr>
                        <w:rFonts w:ascii="Arial"/>
                        <w:b/>
                        <w:i/>
                        <w:color w:val="010101"/>
                        <w:w w:val="120"/>
                        <w:sz w:val="14"/>
                      </w:rPr>
                      <w:t>25</w:t>
                    </w:r>
                  </w:p>
                </w:txbxContent>
              </v:textbox>
              <w10:wrap type="none"/>
            </v:shape>
            <v:shape style="position:absolute;left:4269;top:3385;width:194;height:150" type="#_x0000_t202" filled="false" stroked="false">
              <v:textbox inset="0,0,0,0">
                <w:txbxContent>
                  <w:p>
                    <w:pPr>
                      <w:spacing w:line="150" w:lineRule="exact" w:before="0"/>
                      <w:ind w:left="0" w:right="-14" w:firstLine="0"/>
                      <w:jc w:val="left"/>
                      <w:rPr>
                        <w:i/>
                        <w:sz w:val="15"/>
                      </w:rPr>
                    </w:pPr>
                    <w:r>
                      <w:rPr>
                        <w:i/>
                        <w:color w:val="010101"/>
                        <w:sz w:val="15"/>
                      </w:rPr>
                      <w:t>7.5</w:t>
                    </w:r>
                  </w:p>
                </w:txbxContent>
              </v:textbox>
              <w10:wrap type="none"/>
            </v:shape>
            <w10:wrap type="topAndBottom"/>
          </v:group>
        </w:pict>
      </w:r>
      <w:r>
        <w:rPr>
          <w:b/>
          <w:i/>
          <w:color w:val="010101"/>
          <w:w w:val="105"/>
          <w:sz w:val="14"/>
        </w:rPr>
        <w:t>S{x.)</w:t>
      </w:r>
    </w:p>
    <w:p>
      <w:pPr>
        <w:spacing w:before="97"/>
        <w:ind w:left="155" w:right="131" w:firstLine="0"/>
        <w:jc w:val="center"/>
        <w:rPr>
          <w:rFonts w:ascii="Arial"/>
          <w:sz w:val="15"/>
        </w:rPr>
      </w:pPr>
      <w:r>
        <w:rPr>
          <w:rFonts w:ascii="Arial"/>
          <w:color w:val="010101"/>
          <w:sz w:val="16"/>
        </w:rPr>
        <w:t>FIG. </w:t>
      </w:r>
      <w:r>
        <w:rPr>
          <w:rFonts w:ascii="Arial"/>
          <w:color w:val="010101"/>
          <w:sz w:val="15"/>
        </w:rPr>
        <w:t>3</w:t>
      </w:r>
    </w:p>
    <w:p>
      <w:pPr>
        <w:pStyle w:val="BodyText"/>
        <w:rPr>
          <w:rFonts w:ascii="Arial"/>
          <w:sz w:val="16"/>
        </w:rPr>
      </w:pPr>
    </w:p>
    <w:p>
      <w:pPr>
        <w:pStyle w:val="BodyText"/>
        <w:spacing w:line="247" w:lineRule="auto" w:before="141"/>
        <w:ind w:left="138" w:right="121"/>
        <w:jc w:val="both"/>
      </w:pPr>
      <w:r>
        <w:rPr>
          <w:color w:val="010101"/>
        </w:rPr>
        <w:t>on an assumed group of  </w:t>
      </w:r>
      <w:r>
        <w:rPr>
          <w:color w:val="010101"/>
          <w:sz w:val="19"/>
        </w:rPr>
        <w:t>100,000 </w:t>
      </w:r>
      <w:r>
        <w:rPr>
          <w:color w:val="010101"/>
        </w:rPr>
        <w:t>newly-born  Iives. Now  the number</w:t>
      </w:r>
      <w:r>
        <w:rPr>
          <w:color w:val="010101"/>
          <w:spacing w:val="50"/>
        </w:rPr>
        <w:t> </w:t>
      </w:r>
      <w:r>
        <w:rPr>
          <w:rFonts w:ascii="Arial"/>
          <w:color w:val="010101"/>
          <w:sz w:val="18"/>
        </w:rPr>
        <w:t>X </w:t>
      </w:r>
      <w:r>
        <w:rPr>
          <w:color w:val="010101"/>
          <w:w w:val="120"/>
          <w:position w:val="-2"/>
          <w:sz w:val="11"/>
        </w:rPr>
        <w:t>1 </w:t>
      </w:r>
      <w:r>
        <w:rPr>
          <w:color w:val="010101"/>
        </w:rPr>
        <w:t>of lives surviving to age </w:t>
      </w:r>
      <w:r>
        <w:rPr>
          <w:rFonts w:ascii="Arial"/>
          <w:color w:val="010101"/>
          <w:sz w:val="18"/>
        </w:rPr>
        <w:t>1 </w:t>
      </w:r>
      <w:r>
        <w:rPr>
          <w:color w:val="010101"/>
        </w:rPr>
        <w:t>is </w:t>
      </w:r>
      <w:r>
        <w:rPr>
          <w:rFonts w:ascii="Arial"/>
          <w:color w:val="010101"/>
          <w:sz w:val="17"/>
        </w:rPr>
        <w:t>a </w:t>
      </w:r>
      <w:r>
        <w:rPr>
          <w:color w:val="010101"/>
        </w:rPr>
        <w:t>random variable  with  expected value</w:t>
      </w:r>
    </w:p>
    <w:p>
      <w:pPr>
        <w:tabs>
          <w:tab w:pos="2735" w:val="left" w:leader="none"/>
        </w:tabs>
        <w:spacing w:before="108"/>
        <w:ind w:left="1895" w:right="0" w:firstLine="0"/>
        <w:jc w:val="left"/>
        <w:rPr>
          <w:sz w:val="20"/>
        </w:rPr>
      </w:pPr>
      <w:r>
        <w:rPr>
          <w:rFonts w:ascii="Arial"/>
          <w:i/>
          <w:color w:val="010101"/>
          <w:sz w:val="18"/>
        </w:rPr>
        <w:t>E(</w:t>
      </w:r>
      <w:r>
        <w:rPr>
          <w:rFonts w:ascii="Arial"/>
          <w:i/>
          <w:color w:val="010101"/>
          <w:spacing w:val="-8"/>
          <w:sz w:val="18"/>
        </w:rPr>
        <w:t> </w:t>
      </w:r>
      <w:r>
        <w:rPr>
          <w:color w:val="010101"/>
          <w:sz w:val="20"/>
        </w:rPr>
        <w:t>Xi)</w:t>
        <w:tab/>
      </w:r>
      <w:r>
        <w:rPr>
          <w:b/>
          <w:color w:val="010101"/>
          <w:sz w:val="20"/>
        </w:rPr>
        <w:t>100,000 </w:t>
      </w:r>
      <w:r>
        <w:rPr>
          <w:color w:val="010101"/>
          <w:sz w:val="20"/>
        </w:rPr>
        <w:t>s(</w:t>
      </w:r>
      <w:r>
        <w:rPr>
          <w:color w:val="010101"/>
          <w:spacing w:val="-6"/>
          <w:sz w:val="20"/>
        </w:rPr>
        <w:t> </w:t>
      </w:r>
      <w:r>
        <w:rPr>
          <w:color w:val="010101"/>
          <w:sz w:val="20"/>
        </w:rPr>
        <w:t>1)</w:t>
      </w:r>
    </w:p>
    <w:p>
      <w:pPr>
        <w:spacing w:line="264" w:lineRule="exact" w:before="169"/>
        <w:ind w:left="421" w:right="9" w:firstLine="0"/>
        <w:jc w:val="center"/>
        <w:rPr>
          <w:sz w:val="28"/>
        </w:rPr>
      </w:pPr>
      <w:r>
        <w:rPr/>
        <w:pict>
          <v:line style="position:absolute;mso-position-horizontal-relative:page;mso-position-vertical-relative:paragraph;z-index:-734488" from="217.395599pt,22.058916pt" to="221.153099pt,22.058916pt" stroked="true" strokeweight="1.073559pt" strokecolor="#000000">
            <w10:wrap type="none"/>
          </v:line>
        </w:pict>
      </w:r>
      <w:r>
        <w:rPr>
          <w:color w:val="010101"/>
          <w:w w:val="105"/>
          <w:sz w:val="26"/>
        </w:rPr>
        <w:t>= </w:t>
      </w:r>
      <w:r>
        <w:rPr>
          <w:color w:val="010101"/>
          <w:w w:val="105"/>
          <w:sz w:val="19"/>
        </w:rPr>
        <w:t>100000 ·</w:t>
      </w:r>
      <w:r>
        <w:rPr>
          <w:color w:val="010101"/>
          <w:w w:val="105"/>
          <w:sz w:val="28"/>
        </w:rPr>
        <w:t>v99</w:t>
      </w:r>
    </w:p>
    <w:p>
      <w:pPr>
        <w:tabs>
          <w:tab w:pos="1440" w:val="left" w:leader="none"/>
        </w:tabs>
        <w:spacing w:line="161" w:lineRule="exact" w:before="0"/>
        <w:ind w:left="867" w:right="0" w:firstLine="0"/>
        <w:jc w:val="center"/>
        <w:rPr>
          <w:sz w:val="19"/>
        </w:rPr>
      </w:pPr>
      <w:r>
        <w:rPr>
          <w:color w:val="010101"/>
          <w:w w:val="145"/>
          <w:sz w:val="19"/>
        </w:rPr>
        <w:t>'</w:t>
        <w:tab/>
      </w:r>
      <w:r>
        <w:rPr>
          <w:color w:val="010101"/>
          <w:w w:val="125"/>
          <w:sz w:val="19"/>
        </w:rPr>
        <w:t>10</w:t>
      </w:r>
    </w:p>
    <w:p>
      <w:pPr>
        <w:spacing w:before="125"/>
        <w:ind w:left="125" w:right="131" w:firstLine="0"/>
        <w:jc w:val="center"/>
        <w:rPr>
          <w:sz w:val="19"/>
        </w:rPr>
      </w:pPr>
      <w:r>
        <w:rPr>
          <w:color w:val="010101"/>
          <w:sz w:val="26"/>
        </w:rPr>
        <w:t>= </w:t>
      </w:r>
      <w:r>
        <w:rPr>
          <w:color w:val="010101"/>
          <w:sz w:val="19"/>
        </w:rPr>
        <w:t>99,499. </w:t>
      </w:r>
      <w:r>
        <w:rPr>
          <w:color w:val="2D2D2D"/>
          <w:w w:val="50"/>
          <w:sz w:val="19"/>
        </w:rPr>
        <w:t>_  </w:t>
      </w:r>
      <w:r>
        <w:rPr>
          <w:color w:val="545454"/>
          <w:w w:val="85"/>
          <w:sz w:val="19"/>
        </w:rPr>
        <w:t>.</w:t>
      </w:r>
    </w:p>
    <w:p>
      <w:pPr>
        <w:pStyle w:val="BodyText"/>
        <w:spacing w:line="225" w:lineRule="auto" w:before="163"/>
        <w:ind w:left="127" w:right="121" w:firstLine="207"/>
        <w:jc w:val="both"/>
      </w:pPr>
      <w:r>
        <w:rPr>
          <w:color w:val="010101"/>
        </w:rPr>
        <w:t>We denote this expected number of survivors by l1 </w:t>
      </w:r>
      <w:r>
        <w:rPr>
          <w:color w:val="010101"/>
          <w:w w:val="110"/>
        </w:rPr>
        <w:t>. </w:t>
      </w:r>
      <w:r>
        <w:rPr>
          <w:color w:val="010101"/>
        </w:rPr>
        <w:t>We can now compute the expected number  of  lives  dying  in  the  first  year  of life as 100,000  </w:t>
      </w:r>
      <w:r>
        <w:rPr>
          <w:color w:val="010101"/>
          <w:w w:val="240"/>
        </w:rPr>
        <w:t>- </w:t>
      </w:r>
      <w:r>
        <w:rPr>
          <w:color w:val="010101"/>
          <w:sz w:val="19"/>
        </w:rPr>
        <w:t>99,499  </w:t>
      </w:r>
      <w:r>
        <w:rPr>
          <w:color w:val="010101"/>
          <w:sz w:val="24"/>
        </w:rPr>
        <w:t>=  </w:t>
      </w:r>
      <w:r>
        <w:rPr>
          <w:color w:val="010101"/>
        </w:rPr>
        <w:t>501. 8imilarly,  the expected  number</w:t>
      </w:r>
      <w:r>
        <w:rPr>
          <w:color w:val="010101"/>
          <w:spacing w:val="41"/>
        </w:rPr>
        <w:t> </w:t>
      </w:r>
      <w:r>
        <w:rPr>
          <w:color w:val="010101"/>
        </w:rPr>
        <w:t>of</w:t>
      </w:r>
    </w:p>
    <w:p>
      <w:pPr>
        <w:spacing w:after="0" w:line="225" w:lineRule="auto"/>
        <w:jc w:val="both"/>
        <w:sectPr>
          <w:pgSz w:w="7200" w:h="11340"/>
          <w:pgMar w:top="500" w:bottom="280" w:left="660" w:right="580"/>
        </w:sectPr>
      </w:pPr>
    </w:p>
    <w:p>
      <w:pPr>
        <w:tabs>
          <w:tab w:pos="1497" w:val="left" w:leader="none"/>
          <w:tab w:pos="5369" w:val="left" w:leader="none"/>
        </w:tabs>
        <w:spacing w:before="44"/>
        <w:ind w:left="129" w:right="0" w:firstLine="0"/>
        <w:jc w:val="left"/>
        <w:rPr>
          <w:sz w:val="23"/>
        </w:rPr>
      </w:pPr>
      <w:r>
        <w:rPr>
          <w:rFonts w:ascii="Arial"/>
          <w:color w:val="010101"/>
          <w:position w:val="1"/>
          <w:sz w:val="21"/>
        </w:rPr>
        <w:t>8</w:t>
        <w:tab/>
      </w:r>
      <w:r>
        <w:rPr>
          <w:b/>
          <w:color w:val="010101"/>
          <w:position w:val="2"/>
          <w:sz w:val="15"/>
        </w:rPr>
        <w:t>THE   MEASUREMENT </w:t>
      </w:r>
      <w:r>
        <w:rPr>
          <w:b/>
          <w:color w:val="010101"/>
          <w:spacing w:val="21"/>
          <w:position w:val="2"/>
          <w:sz w:val="15"/>
        </w:rPr>
        <w:t> </w:t>
      </w:r>
      <w:r>
        <w:rPr>
          <w:b/>
          <w:color w:val="010101"/>
          <w:position w:val="2"/>
          <w:sz w:val="15"/>
        </w:rPr>
        <w:t>OF </w:t>
      </w:r>
      <w:r>
        <w:rPr>
          <w:b/>
          <w:color w:val="010101"/>
          <w:spacing w:val="16"/>
          <w:position w:val="2"/>
          <w:sz w:val="15"/>
        </w:rPr>
        <w:t> </w:t>
      </w:r>
      <w:r>
        <w:rPr>
          <w:b/>
          <w:color w:val="010101"/>
          <w:position w:val="2"/>
          <w:sz w:val="15"/>
        </w:rPr>
        <w:t>MORTALITY</w:t>
        <w:tab/>
      </w:r>
      <w:r>
        <w:rPr>
          <w:color w:val="010101"/>
          <w:sz w:val="23"/>
        </w:rPr>
        <w:t>rca.1</w:t>
      </w:r>
    </w:p>
    <w:p>
      <w:pPr>
        <w:pStyle w:val="BodyText"/>
        <w:rPr>
          <w:sz w:val="13"/>
        </w:rPr>
      </w:pPr>
    </w:p>
    <w:p>
      <w:pPr>
        <w:spacing w:after="0"/>
        <w:rPr>
          <w:sz w:val="13"/>
        </w:rPr>
        <w:sectPr>
          <w:pgSz w:w="7200" w:h="11340"/>
          <w:pgMar w:top="500" w:bottom="280" w:left="660" w:right="560"/>
        </w:sectPr>
      </w:pPr>
    </w:p>
    <w:p>
      <w:pPr>
        <w:pStyle w:val="BodyText"/>
        <w:spacing w:before="74"/>
        <w:ind w:left="126" w:right="-3"/>
      </w:pPr>
      <w:r>
        <w:rPr>
          <w:color w:val="010101"/>
          <w:w w:val="105"/>
        </w:rPr>
        <w:t>lives surviving to age </w:t>
      </w:r>
      <w:r>
        <w:rPr>
          <w:rFonts w:ascii="Arial"/>
          <w:color w:val="010101"/>
          <w:w w:val="105"/>
          <w:sz w:val="19"/>
        </w:rPr>
        <w:t>2</w:t>
      </w:r>
      <w:r>
        <w:rPr>
          <w:rFonts w:ascii="Arial"/>
          <w:color w:val="010101"/>
          <w:spacing w:val="54"/>
          <w:w w:val="105"/>
          <w:sz w:val="19"/>
        </w:rPr>
        <w:t> </w:t>
      </w:r>
      <w:r>
        <w:rPr>
          <w:color w:val="010101"/>
          <w:w w:val="105"/>
        </w:rPr>
        <w:t>is</w:t>
      </w:r>
    </w:p>
    <w:p>
      <w:pPr>
        <w:pStyle w:val="BodyText"/>
        <w:spacing w:before="3"/>
        <w:rPr>
          <w:sz w:val="17"/>
        </w:rPr>
      </w:pPr>
    </w:p>
    <w:p>
      <w:pPr>
        <w:spacing w:line="82" w:lineRule="exact" w:before="1"/>
        <w:ind w:left="1059" w:right="-3" w:firstLine="0"/>
        <w:jc w:val="left"/>
        <w:rPr>
          <w:sz w:val="20"/>
        </w:rPr>
      </w:pPr>
      <w:r>
        <w:rPr>
          <w:i/>
          <w:color w:val="010101"/>
          <w:sz w:val="21"/>
        </w:rPr>
        <w:t>l2 </w:t>
      </w:r>
      <w:r>
        <w:rPr>
          <w:color w:val="010101"/>
          <w:sz w:val="26"/>
        </w:rPr>
        <w:t>=  </w:t>
      </w:r>
      <w:r>
        <w:rPr>
          <w:rFonts w:ascii="Arial"/>
          <w:b/>
          <w:color w:val="010101"/>
          <w:spacing w:val="-3"/>
          <w:sz w:val="18"/>
        </w:rPr>
        <w:t>100,000 </w:t>
      </w:r>
      <w:r>
        <w:rPr>
          <w:rFonts w:ascii="Arial"/>
          <w:b/>
          <w:color w:val="010101"/>
          <w:sz w:val="18"/>
        </w:rPr>
        <w:t>&amp;(2)  </w:t>
      </w:r>
      <w:r>
        <w:rPr>
          <w:color w:val="010101"/>
          <w:sz w:val="26"/>
        </w:rPr>
        <w:t>= </w:t>
      </w:r>
      <w:r>
        <w:rPr>
          <w:color w:val="010101"/>
          <w:sz w:val="20"/>
        </w:rPr>
        <w:t>1</w:t>
      </w:r>
    </w:p>
    <w:p>
      <w:pPr>
        <w:pStyle w:val="BodyText"/>
        <w:spacing w:before="9"/>
        <w:rPr>
          <w:sz w:val="40"/>
        </w:rPr>
      </w:pPr>
      <w:r>
        <w:rPr/>
        <w:br w:type="column"/>
      </w:r>
      <w:r>
        <w:rPr>
          <w:sz w:val="40"/>
        </w:rPr>
      </w:r>
    </w:p>
    <w:p>
      <w:pPr>
        <w:spacing w:line="116" w:lineRule="exact" w:before="0"/>
        <w:ind w:left="126" w:right="0" w:firstLine="0"/>
        <w:jc w:val="left"/>
        <w:rPr>
          <w:sz w:val="20"/>
        </w:rPr>
      </w:pPr>
      <w:r>
        <w:rPr>
          <w:color w:val="010101"/>
          <w:w w:val="115"/>
          <w:position w:val="10"/>
          <w:sz w:val="19"/>
          <w:u w:val="thick" w:color="000000"/>
        </w:rPr>
        <w:t>v'98 </w:t>
      </w:r>
      <w:r>
        <w:rPr>
          <w:rFonts w:ascii="Arial"/>
          <w:color w:val="010101"/>
          <w:w w:val="95"/>
          <w:sz w:val="21"/>
        </w:rPr>
        <w:t>== </w:t>
      </w:r>
      <w:r>
        <w:rPr>
          <w:color w:val="010101"/>
          <w:sz w:val="20"/>
        </w:rPr>
        <w:t>98,995,</w:t>
      </w:r>
    </w:p>
    <w:p>
      <w:pPr>
        <w:spacing w:after="0" w:line="116" w:lineRule="exact"/>
        <w:jc w:val="left"/>
        <w:rPr>
          <w:sz w:val="20"/>
        </w:rPr>
        <w:sectPr>
          <w:type w:val="continuous"/>
          <w:pgSz w:w="7200" w:h="11340"/>
          <w:pgMar w:top="1100" w:bottom="0" w:left="660" w:right="560"/>
          <w:cols w:num="2" w:equalWidth="0">
            <w:col w:w="3007" w:space="474"/>
            <w:col w:w="2499"/>
          </w:cols>
        </w:sectPr>
      </w:pPr>
    </w:p>
    <w:p>
      <w:pPr>
        <w:pStyle w:val="BodyText"/>
        <w:spacing w:line="204" w:lineRule="exact"/>
        <w:ind w:left="2965" w:right="739"/>
      </w:pPr>
      <w:r>
        <w:rPr>
          <w:color w:val="010101"/>
          <w:w w:val="110"/>
        </w:rPr>
        <w:t>00,000·--ro-</w:t>
      </w:r>
    </w:p>
    <w:p>
      <w:pPr>
        <w:pStyle w:val="BodyText"/>
        <w:spacing w:before="10"/>
        <w:rPr>
          <w:sz w:val="12"/>
        </w:rPr>
      </w:pPr>
    </w:p>
    <w:p>
      <w:pPr>
        <w:pStyle w:val="BodyText"/>
        <w:spacing w:line="213" w:lineRule="auto" w:before="94"/>
        <w:ind w:left="115" w:right="113" w:firstLine="7"/>
        <w:jc w:val="both"/>
      </w:pPr>
      <w:r>
        <w:rPr>
          <w:color w:val="010101"/>
        </w:rPr>
        <w:t>and the expected number of lives dying in thc sccund year of </w:t>
      </w:r>
      <w:r>
        <w:rPr>
          <w:color w:val="010101"/>
          <w:sz w:val="21"/>
        </w:rPr>
        <w:t>life </w:t>
      </w:r>
      <w:r>
        <w:rPr>
          <w:color w:val="010101"/>
        </w:rPr>
        <w:t>is </w:t>
      </w:r>
      <w:r>
        <w:rPr>
          <w:color w:val="010101"/>
          <w:sz w:val="19"/>
        </w:rPr>
        <w:t>99,499 </w:t>
      </w:r>
      <w:r>
        <w:rPr>
          <w:color w:val="010101"/>
          <w:w w:val="255"/>
          <w:sz w:val="19"/>
        </w:rPr>
        <w:t>- </w:t>
      </w:r>
      <w:r>
        <w:rPr>
          <w:color w:val="010101"/>
          <w:sz w:val="19"/>
        </w:rPr>
        <w:t>98,995 </w:t>
      </w:r>
      <w:r>
        <w:rPr>
          <w:color w:val="010101"/>
          <w:sz w:val="26"/>
        </w:rPr>
        <w:t>= </w:t>
      </w:r>
      <w:r>
        <w:rPr>
          <w:color w:val="010101"/>
          <w:sz w:val="19"/>
        </w:rPr>
        <w:t>504. </w:t>
      </w:r>
      <w:r>
        <w:rPr>
          <w:color w:val="010101"/>
        </w:rPr>
        <w:t>Continuing this proccss, we have Table </w:t>
      </w:r>
      <w:r>
        <w:rPr>
          <w:color w:val="010101"/>
          <w:sz w:val="19"/>
        </w:rPr>
        <w:t>1, </w:t>
      </w:r>
      <w:r>
        <w:rPr>
          <w:color w:val="010101"/>
        </w:rPr>
        <w:t>where  the figures  in  the </w:t>
      </w:r>
      <w:r>
        <w:rPr>
          <w:rFonts w:ascii="Arial" w:hAnsi="Arial"/>
          <w:i/>
          <w:color w:val="010101"/>
          <w:sz w:val="19"/>
        </w:rPr>
        <w:t>l:i  </w:t>
      </w:r>
      <w:r>
        <w:rPr>
          <w:color w:val="010101"/>
        </w:rPr>
        <w:t>column  can  be  thought  of  as represent­</w:t>
      </w:r>
    </w:p>
    <w:p>
      <w:pPr>
        <w:pStyle w:val="BodyText"/>
        <w:spacing w:line="129" w:lineRule="auto" w:before="101"/>
        <w:ind w:left="122" w:right="123"/>
        <w:jc w:val="both"/>
      </w:pPr>
      <w:r>
        <w:rPr>
          <w:color w:val="010101"/>
        </w:rPr>
        <w:t>ing survivors at each age </w:t>
      </w:r>
      <w:r>
        <w:rPr>
          <w:rFonts w:ascii="Arial"/>
          <w:i/>
          <w:color w:val="010101"/>
          <w:sz w:val="17"/>
        </w:rPr>
        <w:t>x </w:t>
      </w:r>
      <w:r>
        <w:rPr>
          <w:color w:val="010101"/>
        </w:rPr>
        <w:t>and the </w:t>
      </w:r>
      <w:r>
        <w:rPr>
          <w:rFonts w:ascii="Arial"/>
          <w:i/>
          <w:color w:val="010101"/>
          <w:sz w:val="19"/>
        </w:rPr>
        <w:t>d:i </w:t>
      </w:r>
      <w:r>
        <w:rPr>
          <w:color w:val="010101"/>
        </w:rPr>
        <w:t>figures </w:t>
      </w:r>
      <w:r>
        <w:rPr>
          <w:rFonts w:ascii="Arial"/>
          <w:color w:val="010101"/>
          <w:sz w:val="17"/>
        </w:rPr>
        <w:t>as  </w:t>
      </w:r>
      <w:r>
        <w:rPr>
          <w:color w:val="010101"/>
        </w:rPr>
        <w:t>representing  deaths  in the year  of  e.ge </w:t>
      </w:r>
      <w:r>
        <w:rPr>
          <w:i/>
          <w:color w:val="010101"/>
          <w:sz w:val="21"/>
        </w:rPr>
        <w:t>x  </w:t>
      </w:r>
      <w:r>
        <w:rPr>
          <w:color w:val="010101"/>
        </w:rPr>
        <w:t>to </w:t>
      </w:r>
      <w:r>
        <w:rPr>
          <w:i/>
          <w:color w:val="010101"/>
          <w:sz w:val="21"/>
        </w:rPr>
        <w:t>x  </w:t>
      </w:r>
      <w:r>
        <w:rPr>
          <w:rFonts w:ascii="Arial"/>
          <w:color w:val="010101"/>
          <w:sz w:val="32"/>
        </w:rPr>
        <w:t>+</w:t>
      </w:r>
      <w:r>
        <w:rPr>
          <w:rFonts w:ascii="Arial"/>
          <w:color w:val="010101"/>
          <w:spacing w:val="-2"/>
          <w:sz w:val="32"/>
        </w:rPr>
        <w:t> </w:t>
      </w:r>
      <w:r>
        <w:rPr>
          <w:color w:val="010101"/>
          <w:w w:val="120"/>
        </w:rPr>
        <w:t>l.</w:t>
      </w:r>
    </w:p>
    <w:p>
      <w:pPr>
        <w:spacing w:line="201" w:lineRule="exact" w:before="252"/>
        <w:ind w:left="74" w:right="69" w:firstLine="0"/>
        <w:jc w:val="center"/>
        <w:rPr>
          <w:b/>
          <w:sz w:val="18"/>
        </w:rPr>
      </w:pPr>
      <w:r>
        <w:rPr>
          <w:b/>
          <w:color w:val="010101"/>
          <w:sz w:val="18"/>
        </w:rPr>
        <w:t>TABLE 1</w:t>
      </w:r>
    </w:p>
    <w:p>
      <w:pPr>
        <w:spacing w:line="255" w:lineRule="exact" w:before="0"/>
        <w:ind w:left="122" w:right="0" w:firstLine="0"/>
        <w:jc w:val="both"/>
        <w:rPr>
          <w:rFonts w:ascii="Arial"/>
          <w:i/>
          <w:sz w:val="16"/>
        </w:rPr>
      </w:pPr>
      <w:r>
        <w:rPr>
          <w:color w:val="010101"/>
          <w:w w:val="115"/>
          <w:sz w:val="13"/>
        </w:rPr>
        <w:t>SECTION OF HYPOTBETICAL MoRTALITY TABLE WITH </w:t>
      </w:r>
      <w:r>
        <w:rPr>
          <w:rFonts w:ascii="Arial"/>
          <w:i/>
          <w:color w:val="010101"/>
          <w:w w:val="115"/>
          <w:sz w:val="16"/>
        </w:rPr>
        <w:t>s(x) </w:t>
      </w:r>
      <w:r>
        <w:rPr>
          <w:color w:val="010101"/>
          <w:sz w:val="23"/>
        </w:rPr>
        <w:t>= Hov'IO</w:t>
      </w:r>
      <w:r>
        <w:rPr>
          <w:color w:val="010101"/>
          <w:sz w:val="23"/>
          <w:u w:val="thick" w:color="000000"/>
        </w:rPr>
        <w:t>O </w:t>
      </w:r>
      <w:r>
        <w:rPr>
          <w:color w:val="010101"/>
          <w:w w:val="165"/>
          <w:sz w:val="23"/>
        </w:rPr>
        <w:t>- </w:t>
      </w:r>
      <w:r>
        <w:rPr>
          <w:rFonts w:ascii="Arial"/>
          <w:i/>
          <w:color w:val="010101"/>
          <w:w w:val="115"/>
          <w:sz w:val="16"/>
        </w:rPr>
        <w:t>z,</w:t>
      </w:r>
    </w:p>
    <w:p>
      <w:pPr>
        <w:spacing w:line="192" w:lineRule="exact" w:before="0" w:after="57"/>
        <w:ind w:left="74" w:right="73" w:firstLine="0"/>
        <w:jc w:val="center"/>
        <w:rPr>
          <w:b/>
          <w:sz w:val="17"/>
        </w:rPr>
      </w:pPr>
      <w:r>
        <w:rPr>
          <w:i/>
          <w:color w:val="010101"/>
          <w:w w:val="95"/>
          <w:sz w:val="17"/>
        </w:rPr>
        <w:t>k  </w:t>
      </w:r>
      <w:r>
        <w:rPr>
          <w:rFonts w:ascii="Arial"/>
          <w:color w:val="010101"/>
          <w:w w:val="95"/>
          <w:sz w:val="16"/>
        </w:rPr>
        <w:t>== </w:t>
      </w:r>
      <w:r>
        <w:rPr>
          <w:b/>
          <w:color w:val="010101"/>
          <w:w w:val="95"/>
          <w:sz w:val="17"/>
        </w:rPr>
        <w:t>100,000</w:t>
      </w:r>
    </w:p>
    <w:tbl>
      <w:tblPr>
        <w:tblW w:w="0" w:type="auto"/>
        <w:jc w:val="left"/>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6"/>
        <w:gridCol w:w="994"/>
        <w:gridCol w:w="982"/>
        <w:gridCol w:w="1003"/>
        <w:gridCol w:w="992"/>
        <w:gridCol w:w="962"/>
      </w:tblGrid>
      <w:tr>
        <w:trPr>
          <w:trHeight w:val="403" w:hRule="exact"/>
        </w:trPr>
        <w:tc>
          <w:tcPr>
            <w:tcW w:w="756" w:type="dxa"/>
            <w:tcBorders>
              <w:left w:val="nil"/>
              <w:bottom w:val="single" w:sz="4" w:space="0" w:color="000000"/>
            </w:tcBorders>
          </w:tcPr>
          <w:p>
            <w:pPr>
              <w:pStyle w:val="TableParagraph"/>
              <w:spacing w:before="96"/>
              <w:ind w:left="166" w:right="166"/>
              <w:jc w:val="center"/>
              <w:rPr>
                <w:rFonts w:ascii="Times New Roman" w:hAnsi="Times New Roman"/>
                <w:b/>
                <w:sz w:val="17"/>
              </w:rPr>
            </w:pPr>
            <w:r>
              <w:rPr>
                <w:rFonts w:ascii="Times New Roman" w:hAnsi="Times New Roman"/>
                <w:b/>
                <w:color w:val="010101"/>
                <w:sz w:val="17"/>
              </w:rPr>
              <w:t>Ase </w:t>
            </w:r>
            <w:r>
              <w:rPr>
                <w:rFonts w:ascii="Times New Roman" w:hAnsi="Times New Roman"/>
                <w:b/>
                <w:color w:val="010101"/>
                <w:w w:val="115"/>
                <w:sz w:val="17"/>
              </w:rPr>
              <w:t>•</w:t>
            </w:r>
          </w:p>
        </w:tc>
        <w:tc>
          <w:tcPr>
            <w:tcW w:w="994" w:type="dxa"/>
            <w:tcBorders>
              <w:right w:val="single" w:sz="4" w:space="0" w:color="000000"/>
            </w:tcBorders>
          </w:tcPr>
          <w:p>
            <w:pPr>
              <w:pStyle w:val="TableParagraph"/>
              <w:spacing w:line="297" w:lineRule="exact"/>
              <w:ind w:left="387" w:right="287"/>
              <w:jc w:val="center"/>
              <w:rPr>
                <w:rFonts w:ascii="Arial"/>
                <w:sz w:val="40"/>
              </w:rPr>
            </w:pPr>
            <w:r>
              <w:rPr>
                <w:rFonts w:ascii="Arial"/>
                <w:color w:val="010101"/>
                <w:w w:val="120"/>
                <w:sz w:val="40"/>
              </w:rPr>
              <w:t>,.</w:t>
            </w:r>
          </w:p>
        </w:tc>
        <w:tc>
          <w:tcPr>
            <w:tcW w:w="982" w:type="dxa"/>
            <w:tcBorders>
              <w:left w:val="single" w:sz="4" w:space="0" w:color="000000"/>
              <w:right w:val="single" w:sz="13" w:space="0" w:color="000000"/>
            </w:tcBorders>
          </w:tcPr>
          <w:p>
            <w:pPr>
              <w:pStyle w:val="TableParagraph"/>
              <w:spacing w:before="2"/>
              <w:rPr>
                <w:rFonts w:ascii="Times New Roman"/>
                <w:b/>
                <w:sz w:val="10"/>
              </w:rPr>
            </w:pPr>
          </w:p>
          <w:p>
            <w:pPr>
              <w:pStyle w:val="TableParagraph"/>
              <w:ind w:left="423"/>
              <w:rPr>
                <w:rFonts w:ascii="Arial"/>
                <w:i/>
                <w:sz w:val="12"/>
              </w:rPr>
            </w:pPr>
            <w:r>
              <w:rPr>
                <w:rFonts w:ascii="Arial"/>
                <w:i/>
                <w:color w:val="010101"/>
                <w:w w:val="110"/>
                <w:sz w:val="12"/>
              </w:rPr>
              <w:t>d,,</w:t>
            </w:r>
          </w:p>
        </w:tc>
        <w:tc>
          <w:tcPr>
            <w:tcW w:w="1003" w:type="dxa"/>
            <w:tcBorders>
              <w:left w:val="single" w:sz="13" w:space="0" w:color="000000"/>
            </w:tcBorders>
          </w:tcPr>
          <w:p>
            <w:pPr>
              <w:pStyle w:val="TableParagraph"/>
              <w:spacing w:before="99"/>
              <w:ind w:left="302" w:right="274"/>
              <w:jc w:val="center"/>
              <w:rPr>
                <w:rFonts w:ascii="Times New Roman"/>
                <w:b/>
                <w:sz w:val="14"/>
              </w:rPr>
            </w:pPr>
            <w:r>
              <w:rPr>
                <w:rFonts w:ascii="Times New Roman"/>
                <w:b/>
                <w:color w:val="010101"/>
                <w:w w:val="135"/>
                <w:sz w:val="14"/>
              </w:rPr>
              <w:t>Ap s</w:t>
            </w:r>
          </w:p>
        </w:tc>
        <w:tc>
          <w:tcPr>
            <w:tcW w:w="992" w:type="dxa"/>
          </w:tcPr>
          <w:p>
            <w:pPr>
              <w:pStyle w:val="TableParagraph"/>
              <w:spacing w:line="298" w:lineRule="exact"/>
              <w:ind w:left="102" w:right="30"/>
              <w:jc w:val="center"/>
              <w:rPr>
                <w:rFonts w:ascii="Arial"/>
                <w:sz w:val="42"/>
              </w:rPr>
            </w:pPr>
            <w:r>
              <w:rPr>
                <w:rFonts w:ascii="Arial"/>
                <w:color w:val="010101"/>
                <w:w w:val="115"/>
                <w:sz w:val="42"/>
              </w:rPr>
              <w:t>,.</w:t>
            </w:r>
          </w:p>
        </w:tc>
        <w:tc>
          <w:tcPr>
            <w:tcW w:w="962" w:type="dxa"/>
            <w:tcBorders>
              <w:right w:val="nil"/>
            </w:tcBorders>
          </w:tcPr>
          <w:p>
            <w:pPr>
              <w:pStyle w:val="TableParagraph"/>
              <w:spacing w:line="390" w:lineRule="exact" w:before="38"/>
              <w:ind w:left="334" w:right="293"/>
              <w:jc w:val="center"/>
              <w:rPr>
                <w:rFonts w:ascii="Times New Roman"/>
                <w:sz w:val="39"/>
              </w:rPr>
            </w:pPr>
            <w:r>
              <w:rPr>
                <w:rFonts w:ascii="Times New Roman"/>
                <w:color w:val="010101"/>
                <w:w w:val="75"/>
                <w:sz w:val="39"/>
              </w:rPr>
              <w:t>"'</w:t>
            </w:r>
          </w:p>
        </w:tc>
      </w:tr>
      <w:tr>
        <w:trPr>
          <w:trHeight w:val="307" w:hRule="exact"/>
        </w:trPr>
        <w:tc>
          <w:tcPr>
            <w:tcW w:w="756" w:type="dxa"/>
            <w:tcBorders>
              <w:top w:val="single" w:sz="4" w:space="0" w:color="000000"/>
              <w:left w:val="nil"/>
              <w:bottom w:val="nil"/>
            </w:tcBorders>
          </w:tcPr>
          <w:p>
            <w:pPr>
              <w:pStyle w:val="TableParagraph"/>
              <w:spacing w:before="43"/>
              <w:ind w:right="5"/>
              <w:jc w:val="center"/>
              <w:rPr>
                <w:rFonts w:ascii="Arial"/>
                <w:sz w:val="22"/>
              </w:rPr>
            </w:pPr>
            <w:r>
              <w:rPr>
                <w:rFonts w:ascii="Arial"/>
                <w:color w:val="010101"/>
                <w:w w:val="71"/>
                <w:sz w:val="22"/>
              </w:rPr>
              <w:t>o</w:t>
            </w:r>
          </w:p>
        </w:tc>
        <w:tc>
          <w:tcPr>
            <w:tcW w:w="994" w:type="dxa"/>
            <w:tcBorders>
              <w:bottom w:val="nil"/>
              <w:right w:val="single" w:sz="4" w:space="0" w:color="000000"/>
            </w:tcBorders>
          </w:tcPr>
          <w:p>
            <w:pPr>
              <w:pStyle w:val="TableParagraph"/>
              <w:spacing w:before="89"/>
              <w:ind w:right="236"/>
              <w:jc w:val="right"/>
              <w:rPr>
                <w:rFonts w:ascii="Times New Roman"/>
                <w:b/>
                <w:sz w:val="17"/>
              </w:rPr>
            </w:pPr>
            <w:r>
              <w:rPr>
                <w:rFonts w:ascii="Times New Roman"/>
                <w:b/>
                <w:color w:val="010101"/>
                <w:sz w:val="17"/>
              </w:rPr>
              <w:t>100,000</w:t>
            </w:r>
          </w:p>
        </w:tc>
        <w:tc>
          <w:tcPr>
            <w:tcW w:w="982" w:type="dxa"/>
            <w:tcBorders>
              <w:left w:val="single" w:sz="4" w:space="0" w:color="000000"/>
              <w:bottom w:val="nil"/>
              <w:right w:val="single" w:sz="13" w:space="0" w:color="000000"/>
            </w:tcBorders>
          </w:tcPr>
          <w:p>
            <w:pPr>
              <w:pStyle w:val="TableParagraph"/>
              <w:spacing w:before="85"/>
              <w:ind w:left="380"/>
              <w:rPr>
                <w:rFonts w:ascii="Times New Roman"/>
                <w:b/>
                <w:sz w:val="17"/>
              </w:rPr>
            </w:pPr>
            <w:r>
              <w:rPr>
                <w:rFonts w:ascii="Times New Roman"/>
                <w:b/>
                <w:color w:val="010101"/>
                <w:sz w:val="17"/>
              </w:rPr>
              <w:t>501</w:t>
            </w:r>
          </w:p>
        </w:tc>
        <w:tc>
          <w:tcPr>
            <w:tcW w:w="1003" w:type="dxa"/>
            <w:tcBorders>
              <w:left w:val="single" w:sz="13" w:space="0" w:color="000000"/>
              <w:bottom w:val="nil"/>
            </w:tcBorders>
          </w:tcPr>
          <w:p>
            <w:pPr>
              <w:pStyle w:val="TableParagraph"/>
              <w:spacing w:before="83"/>
              <w:ind w:left="102"/>
              <w:jc w:val="center"/>
              <w:rPr>
                <w:rFonts w:ascii="Times New Roman"/>
                <w:sz w:val="18"/>
              </w:rPr>
            </w:pPr>
            <w:r>
              <w:rPr>
                <w:rFonts w:ascii="Times New Roman"/>
                <w:color w:val="010101"/>
                <w:w w:val="98"/>
                <w:sz w:val="18"/>
              </w:rPr>
              <w:t>6</w:t>
            </w:r>
          </w:p>
        </w:tc>
        <w:tc>
          <w:tcPr>
            <w:tcW w:w="992" w:type="dxa"/>
            <w:tcBorders>
              <w:bottom w:val="nil"/>
            </w:tcBorders>
          </w:tcPr>
          <w:p>
            <w:pPr>
              <w:pStyle w:val="TableParagraph"/>
              <w:spacing w:before="98"/>
              <w:ind w:left="61" w:right="41"/>
              <w:jc w:val="center"/>
              <w:rPr>
                <w:b/>
                <w:sz w:val="18"/>
              </w:rPr>
            </w:pPr>
            <w:r>
              <w:rPr>
                <w:b/>
                <w:color w:val="010101"/>
                <w:w w:val="90"/>
                <w:sz w:val="18"/>
              </w:rPr>
              <w:t>96,954</w:t>
            </w:r>
          </w:p>
        </w:tc>
        <w:tc>
          <w:tcPr>
            <w:tcW w:w="962" w:type="dxa"/>
            <w:tcBorders>
              <w:bottom w:val="nil"/>
              <w:right w:val="nil"/>
            </w:tcBorders>
          </w:tcPr>
          <w:p>
            <w:pPr>
              <w:pStyle w:val="TableParagraph"/>
              <w:spacing w:before="94"/>
              <w:ind w:left="345" w:right="293"/>
              <w:jc w:val="center"/>
              <w:rPr>
                <w:b/>
                <w:sz w:val="18"/>
              </w:rPr>
            </w:pPr>
            <w:r>
              <w:rPr>
                <w:b/>
                <w:color w:val="010101"/>
                <w:w w:val="85"/>
                <w:sz w:val="18"/>
              </w:rPr>
              <w:t>517</w:t>
            </w:r>
          </w:p>
        </w:tc>
      </w:tr>
      <w:tr>
        <w:trPr>
          <w:trHeight w:val="206" w:hRule="exact"/>
        </w:trPr>
        <w:tc>
          <w:tcPr>
            <w:tcW w:w="756" w:type="dxa"/>
            <w:tcBorders>
              <w:top w:val="nil"/>
              <w:left w:val="nil"/>
              <w:bottom w:val="nil"/>
            </w:tcBorders>
          </w:tcPr>
          <w:p>
            <w:pPr>
              <w:pStyle w:val="TableParagraph"/>
              <w:spacing w:line="188" w:lineRule="exact"/>
              <w:ind w:left="27"/>
              <w:jc w:val="center"/>
              <w:rPr>
                <w:rFonts w:ascii="Times New Roman"/>
                <w:sz w:val="18"/>
              </w:rPr>
            </w:pPr>
            <w:r>
              <w:rPr>
                <w:rFonts w:ascii="Times New Roman"/>
                <w:color w:val="010101"/>
                <w:w w:val="120"/>
                <w:sz w:val="18"/>
              </w:rPr>
              <w:t>1</w:t>
            </w:r>
          </w:p>
        </w:tc>
        <w:tc>
          <w:tcPr>
            <w:tcW w:w="994" w:type="dxa"/>
            <w:tcBorders>
              <w:top w:val="nil"/>
              <w:bottom w:val="nil"/>
              <w:right w:val="single" w:sz="4" w:space="0" w:color="000000"/>
            </w:tcBorders>
          </w:tcPr>
          <w:p>
            <w:pPr>
              <w:pStyle w:val="TableParagraph"/>
              <w:spacing w:before="3"/>
              <w:ind w:right="230"/>
              <w:jc w:val="right"/>
              <w:rPr>
                <w:b/>
                <w:sz w:val="18"/>
              </w:rPr>
            </w:pPr>
            <w:r>
              <w:rPr>
                <w:b/>
                <w:color w:val="010101"/>
                <w:w w:val="75"/>
                <w:sz w:val="18"/>
              </w:rPr>
              <w:t>99,499</w:t>
            </w:r>
          </w:p>
        </w:tc>
        <w:tc>
          <w:tcPr>
            <w:tcW w:w="982" w:type="dxa"/>
            <w:tcBorders>
              <w:top w:val="nil"/>
              <w:left w:val="single" w:sz="4" w:space="0" w:color="000000"/>
              <w:bottom w:val="nil"/>
              <w:right w:val="single" w:sz="13" w:space="0" w:color="000000"/>
            </w:tcBorders>
          </w:tcPr>
          <w:p>
            <w:pPr>
              <w:pStyle w:val="TableParagraph"/>
              <w:spacing w:line="190" w:lineRule="exact"/>
              <w:ind w:left="380"/>
              <w:rPr>
                <w:rFonts w:ascii="Times New Roman"/>
                <w:b/>
                <w:sz w:val="17"/>
              </w:rPr>
            </w:pPr>
            <w:r>
              <w:rPr>
                <w:rFonts w:ascii="Times New Roman"/>
                <w:b/>
                <w:color w:val="010101"/>
                <w:sz w:val="17"/>
              </w:rPr>
              <w:t>504</w:t>
            </w:r>
          </w:p>
        </w:tc>
        <w:tc>
          <w:tcPr>
            <w:tcW w:w="1003" w:type="dxa"/>
            <w:tcBorders>
              <w:top w:val="nil"/>
              <w:left w:val="single" w:sz="13" w:space="0" w:color="000000"/>
              <w:bottom w:val="nil"/>
            </w:tcBorders>
          </w:tcPr>
          <w:p>
            <w:pPr>
              <w:pStyle w:val="TableParagraph"/>
              <w:spacing w:line="210" w:lineRule="exact"/>
              <w:ind w:left="127"/>
              <w:jc w:val="center"/>
              <w:rPr>
                <w:sz w:val="19"/>
              </w:rPr>
            </w:pPr>
            <w:r>
              <w:rPr>
                <w:color w:val="010101"/>
                <w:w w:val="92"/>
                <w:sz w:val="19"/>
              </w:rPr>
              <w:t>7</w:t>
            </w:r>
          </w:p>
        </w:tc>
        <w:tc>
          <w:tcPr>
            <w:tcW w:w="992" w:type="dxa"/>
            <w:tcBorders>
              <w:top w:val="nil"/>
              <w:bottom w:val="nil"/>
            </w:tcBorders>
          </w:tcPr>
          <w:p>
            <w:pPr>
              <w:pStyle w:val="TableParagraph"/>
              <w:spacing w:line="200" w:lineRule="exact"/>
              <w:ind w:left="61" w:right="41"/>
              <w:jc w:val="center"/>
              <w:rPr>
                <w:b/>
                <w:sz w:val="18"/>
              </w:rPr>
            </w:pPr>
            <w:r>
              <w:rPr>
                <w:b/>
                <w:color w:val="010101"/>
                <w:w w:val="90"/>
                <w:sz w:val="18"/>
              </w:rPr>
              <w:t>96,437</w:t>
            </w:r>
          </w:p>
        </w:tc>
        <w:tc>
          <w:tcPr>
            <w:tcW w:w="962" w:type="dxa"/>
            <w:tcBorders>
              <w:top w:val="nil"/>
              <w:bottom w:val="nil"/>
              <w:right w:val="nil"/>
            </w:tcBorders>
          </w:tcPr>
          <w:p>
            <w:pPr>
              <w:pStyle w:val="TableParagraph"/>
              <w:spacing w:line="186" w:lineRule="exact"/>
              <w:ind w:left="341" w:right="293"/>
              <w:jc w:val="center"/>
              <w:rPr>
                <w:rFonts w:ascii="Times New Roman"/>
                <w:b/>
                <w:sz w:val="17"/>
              </w:rPr>
            </w:pPr>
            <w:r>
              <w:rPr>
                <w:rFonts w:ascii="Times New Roman"/>
                <w:b/>
                <w:color w:val="010101"/>
                <w:sz w:val="17"/>
              </w:rPr>
              <w:t>520</w:t>
            </w:r>
          </w:p>
        </w:tc>
      </w:tr>
      <w:tr>
        <w:trPr>
          <w:trHeight w:val="200" w:hRule="exact"/>
        </w:trPr>
        <w:tc>
          <w:tcPr>
            <w:tcW w:w="756" w:type="dxa"/>
            <w:tcBorders>
              <w:top w:val="nil"/>
              <w:left w:val="nil"/>
              <w:bottom w:val="nil"/>
            </w:tcBorders>
          </w:tcPr>
          <w:p>
            <w:pPr>
              <w:pStyle w:val="TableParagraph"/>
              <w:spacing w:line="175" w:lineRule="exact"/>
              <w:ind w:right="6"/>
              <w:jc w:val="center"/>
              <w:rPr>
                <w:rFonts w:ascii="Arial"/>
                <w:sz w:val="16"/>
              </w:rPr>
            </w:pPr>
            <w:r>
              <w:rPr>
                <w:rFonts w:ascii="Arial"/>
                <w:color w:val="010101"/>
                <w:w w:val="96"/>
                <w:sz w:val="16"/>
              </w:rPr>
              <w:t>2</w:t>
            </w:r>
          </w:p>
        </w:tc>
        <w:tc>
          <w:tcPr>
            <w:tcW w:w="994" w:type="dxa"/>
            <w:tcBorders>
              <w:top w:val="nil"/>
              <w:bottom w:val="nil"/>
              <w:right w:val="single" w:sz="4" w:space="0" w:color="000000"/>
            </w:tcBorders>
          </w:tcPr>
          <w:p>
            <w:pPr>
              <w:pStyle w:val="TableParagraph"/>
              <w:spacing w:line="202" w:lineRule="exact"/>
              <w:ind w:right="230"/>
              <w:jc w:val="right"/>
              <w:rPr>
                <w:b/>
                <w:sz w:val="18"/>
              </w:rPr>
            </w:pPr>
            <w:r>
              <w:rPr>
                <w:b/>
                <w:color w:val="010101"/>
                <w:w w:val="85"/>
                <w:sz w:val="18"/>
              </w:rPr>
              <w:t>98,995</w:t>
            </w:r>
          </w:p>
        </w:tc>
        <w:tc>
          <w:tcPr>
            <w:tcW w:w="982" w:type="dxa"/>
            <w:tcBorders>
              <w:top w:val="nil"/>
              <w:left w:val="single" w:sz="4" w:space="0" w:color="000000"/>
              <w:bottom w:val="nil"/>
              <w:right w:val="single" w:sz="13" w:space="0" w:color="000000"/>
            </w:tcBorders>
          </w:tcPr>
          <w:p>
            <w:pPr>
              <w:pStyle w:val="TableParagraph"/>
              <w:spacing w:line="187" w:lineRule="exact"/>
              <w:ind w:left="380"/>
              <w:rPr>
                <w:rFonts w:ascii="Times New Roman"/>
                <w:b/>
                <w:sz w:val="18"/>
              </w:rPr>
            </w:pPr>
            <w:r>
              <w:rPr>
                <w:rFonts w:ascii="Times New Roman"/>
                <w:b/>
                <w:color w:val="010101"/>
                <w:sz w:val="18"/>
              </w:rPr>
              <w:t>500</w:t>
            </w:r>
          </w:p>
        </w:tc>
        <w:tc>
          <w:tcPr>
            <w:tcW w:w="1003" w:type="dxa"/>
            <w:tcBorders>
              <w:top w:val="nil"/>
              <w:left w:val="single" w:sz="13" w:space="0" w:color="000000"/>
              <w:bottom w:val="nil"/>
            </w:tcBorders>
          </w:tcPr>
          <w:p>
            <w:pPr>
              <w:pStyle w:val="TableParagraph"/>
              <w:spacing w:line="182" w:lineRule="exact"/>
              <w:ind w:left="98"/>
              <w:jc w:val="center"/>
              <w:rPr>
                <w:rFonts w:ascii="Arial"/>
                <w:sz w:val="16"/>
              </w:rPr>
            </w:pPr>
            <w:r>
              <w:rPr>
                <w:rFonts w:ascii="Arial"/>
                <w:color w:val="010101"/>
                <w:w w:val="102"/>
                <w:sz w:val="16"/>
              </w:rPr>
              <w:t>8</w:t>
            </w:r>
          </w:p>
        </w:tc>
        <w:tc>
          <w:tcPr>
            <w:tcW w:w="992" w:type="dxa"/>
            <w:tcBorders>
              <w:top w:val="nil"/>
              <w:bottom w:val="nil"/>
            </w:tcBorders>
          </w:tcPr>
          <w:p>
            <w:pPr>
              <w:pStyle w:val="TableParagraph"/>
              <w:spacing w:line="201" w:lineRule="exact"/>
              <w:ind w:left="72" w:right="41"/>
              <w:jc w:val="center"/>
              <w:rPr>
                <w:sz w:val="19"/>
              </w:rPr>
            </w:pPr>
            <w:r>
              <w:rPr>
                <w:color w:val="010101"/>
                <w:sz w:val="19"/>
              </w:rPr>
              <w:t>95,917</w:t>
            </w:r>
          </w:p>
        </w:tc>
        <w:tc>
          <w:tcPr>
            <w:tcW w:w="962" w:type="dxa"/>
            <w:tcBorders>
              <w:top w:val="nil"/>
              <w:bottom w:val="nil"/>
              <w:right w:val="nil"/>
            </w:tcBorders>
          </w:tcPr>
          <w:p>
            <w:pPr>
              <w:pStyle w:val="TableParagraph"/>
              <w:spacing w:line="181" w:lineRule="exact"/>
              <w:ind w:left="338" w:right="293"/>
              <w:jc w:val="center"/>
              <w:rPr>
                <w:rFonts w:ascii="Times New Roman"/>
                <w:b/>
                <w:sz w:val="17"/>
              </w:rPr>
            </w:pPr>
            <w:r>
              <w:rPr>
                <w:rFonts w:ascii="Times New Roman"/>
                <w:b/>
                <w:color w:val="010101"/>
                <w:sz w:val="17"/>
              </w:rPr>
              <w:t>523</w:t>
            </w:r>
          </w:p>
        </w:tc>
      </w:tr>
      <w:tr>
        <w:trPr>
          <w:trHeight w:val="203" w:hRule="exact"/>
        </w:trPr>
        <w:tc>
          <w:tcPr>
            <w:tcW w:w="756" w:type="dxa"/>
            <w:tcBorders>
              <w:top w:val="nil"/>
              <w:left w:val="nil"/>
              <w:bottom w:val="nil"/>
            </w:tcBorders>
          </w:tcPr>
          <w:p>
            <w:pPr>
              <w:pStyle w:val="TableParagraph"/>
              <w:spacing w:line="183" w:lineRule="exact"/>
              <w:ind w:right="13"/>
              <w:jc w:val="center"/>
              <w:rPr>
                <w:rFonts w:ascii="Arial"/>
                <w:sz w:val="16"/>
              </w:rPr>
            </w:pPr>
            <w:r>
              <w:rPr>
                <w:rFonts w:ascii="Arial"/>
                <w:color w:val="010101"/>
                <w:w w:val="97"/>
                <w:sz w:val="16"/>
              </w:rPr>
              <w:t>3</w:t>
            </w:r>
          </w:p>
        </w:tc>
        <w:tc>
          <w:tcPr>
            <w:tcW w:w="994" w:type="dxa"/>
            <w:tcBorders>
              <w:top w:val="nil"/>
              <w:bottom w:val="nil"/>
              <w:right w:val="single" w:sz="4" w:space="0" w:color="000000"/>
            </w:tcBorders>
          </w:tcPr>
          <w:p>
            <w:pPr>
              <w:pStyle w:val="TableParagraph"/>
              <w:spacing w:line="203" w:lineRule="exact"/>
              <w:ind w:right="228"/>
              <w:jc w:val="right"/>
              <w:rPr>
                <w:b/>
                <w:sz w:val="18"/>
              </w:rPr>
            </w:pPr>
            <w:r>
              <w:rPr>
                <w:b/>
                <w:color w:val="010101"/>
                <w:w w:val="75"/>
                <w:sz w:val="18"/>
              </w:rPr>
              <w:t>98,489</w:t>
            </w:r>
          </w:p>
        </w:tc>
        <w:tc>
          <w:tcPr>
            <w:tcW w:w="982" w:type="dxa"/>
            <w:tcBorders>
              <w:top w:val="nil"/>
              <w:left w:val="single" w:sz="4" w:space="0" w:color="000000"/>
              <w:bottom w:val="nil"/>
              <w:right w:val="single" w:sz="13" w:space="0" w:color="000000"/>
            </w:tcBorders>
          </w:tcPr>
          <w:p>
            <w:pPr>
              <w:pStyle w:val="TableParagraph"/>
              <w:spacing w:line="188" w:lineRule="exact"/>
              <w:ind w:left="380"/>
              <w:rPr>
                <w:rFonts w:ascii="Times New Roman"/>
                <w:sz w:val="18"/>
              </w:rPr>
            </w:pPr>
            <w:r>
              <w:rPr>
                <w:rFonts w:ascii="Times New Roman"/>
                <w:color w:val="010101"/>
                <w:sz w:val="18"/>
              </w:rPr>
              <w:t>509</w:t>
            </w:r>
          </w:p>
        </w:tc>
        <w:tc>
          <w:tcPr>
            <w:tcW w:w="1003" w:type="dxa"/>
            <w:tcBorders>
              <w:top w:val="nil"/>
              <w:left w:val="single" w:sz="13" w:space="0" w:color="000000"/>
              <w:bottom w:val="nil"/>
            </w:tcBorders>
          </w:tcPr>
          <w:p>
            <w:pPr>
              <w:pStyle w:val="TableParagraph"/>
              <w:spacing w:line="206" w:lineRule="exact"/>
              <w:ind w:left="124"/>
              <w:jc w:val="center"/>
              <w:rPr>
                <w:sz w:val="19"/>
              </w:rPr>
            </w:pPr>
            <w:r>
              <w:rPr>
                <w:color w:val="010101"/>
                <w:w w:val="102"/>
                <w:sz w:val="19"/>
              </w:rPr>
              <w:t>9</w:t>
            </w:r>
          </w:p>
        </w:tc>
        <w:tc>
          <w:tcPr>
            <w:tcW w:w="992" w:type="dxa"/>
            <w:tcBorders>
              <w:top w:val="nil"/>
              <w:bottom w:val="nil"/>
            </w:tcBorders>
          </w:tcPr>
          <w:p>
            <w:pPr>
              <w:pStyle w:val="TableParagraph"/>
              <w:spacing w:line="180" w:lineRule="exact"/>
              <w:ind w:left="40" w:right="41"/>
              <w:jc w:val="center"/>
              <w:rPr>
                <w:rFonts w:ascii="Times New Roman"/>
                <w:sz w:val="16"/>
              </w:rPr>
            </w:pPr>
            <w:r>
              <w:rPr>
                <w:rFonts w:ascii="Times New Roman"/>
                <w:color w:val="010101"/>
                <w:w w:val="105"/>
                <w:sz w:val="16"/>
              </w:rPr>
              <w:t>95,394</w:t>
            </w:r>
          </w:p>
        </w:tc>
        <w:tc>
          <w:tcPr>
            <w:tcW w:w="962" w:type="dxa"/>
            <w:tcBorders>
              <w:top w:val="nil"/>
              <w:bottom w:val="nil"/>
              <w:right w:val="nil"/>
            </w:tcBorders>
          </w:tcPr>
          <w:p>
            <w:pPr>
              <w:pStyle w:val="TableParagraph"/>
              <w:spacing w:line="180" w:lineRule="exact"/>
              <w:ind w:left="334" w:right="293"/>
              <w:jc w:val="center"/>
              <w:rPr>
                <w:rFonts w:ascii="Times New Roman"/>
                <w:sz w:val="16"/>
              </w:rPr>
            </w:pPr>
            <w:r>
              <w:rPr>
                <w:rFonts w:ascii="Times New Roman"/>
                <w:color w:val="010101"/>
                <w:sz w:val="16"/>
              </w:rPr>
              <w:t>526</w:t>
            </w:r>
          </w:p>
        </w:tc>
      </w:tr>
      <w:tr>
        <w:trPr>
          <w:trHeight w:val="201" w:hRule="exact"/>
        </w:trPr>
        <w:tc>
          <w:tcPr>
            <w:tcW w:w="756" w:type="dxa"/>
            <w:tcBorders>
              <w:top w:val="nil"/>
              <w:left w:val="nil"/>
              <w:bottom w:val="nil"/>
            </w:tcBorders>
          </w:tcPr>
          <w:p>
            <w:pPr>
              <w:pStyle w:val="TableParagraph"/>
              <w:spacing w:line="178" w:lineRule="exact"/>
              <w:ind w:right="24"/>
              <w:jc w:val="center"/>
              <w:rPr>
                <w:rFonts w:ascii="Arial"/>
                <w:sz w:val="16"/>
              </w:rPr>
            </w:pPr>
            <w:r>
              <w:rPr>
                <w:rFonts w:ascii="Arial"/>
                <w:color w:val="010101"/>
                <w:w w:val="92"/>
                <w:sz w:val="16"/>
              </w:rPr>
              <w:t>4</w:t>
            </w:r>
          </w:p>
        </w:tc>
        <w:tc>
          <w:tcPr>
            <w:tcW w:w="994" w:type="dxa"/>
            <w:tcBorders>
              <w:top w:val="nil"/>
              <w:bottom w:val="nil"/>
              <w:right w:val="single" w:sz="4" w:space="0" w:color="000000"/>
            </w:tcBorders>
          </w:tcPr>
          <w:p>
            <w:pPr>
              <w:pStyle w:val="TableParagraph"/>
              <w:spacing w:line="205" w:lineRule="exact"/>
              <w:ind w:right="212"/>
              <w:jc w:val="right"/>
              <w:rPr>
                <w:sz w:val="19"/>
              </w:rPr>
            </w:pPr>
            <w:r>
              <w:rPr>
                <w:color w:val="010101"/>
                <w:w w:val="90"/>
                <w:sz w:val="19"/>
              </w:rPr>
              <w:t>97,980</w:t>
            </w:r>
          </w:p>
        </w:tc>
        <w:tc>
          <w:tcPr>
            <w:tcW w:w="982" w:type="dxa"/>
            <w:tcBorders>
              <w:top w:val="nil"/>
              <w:left w:val="single" w:sz="4" w:space="0" w:color="000000"/>
              <w:bottom w:val="nil"/>
              <w:right w:val="single" w:sz="13" w:space="0" w:color="000000"/>
            </w:tcBorders>
          </w:tcPr>
          <w:p>
            <w:pPr>
              <w:pStyle w:val="TableParagraph"/>
              <w:spacing w:line="198" w:lineRule="exact"/>
              <w:ind w:left="376"/>
              <w:rPr>
                <w:b/>
                <w:sz w:val="18"/>
              </w:rPr>
            </w:pPr>
            <w:r>
              <w:rPr>
                <w:b/>
                <w:color w:val="010101"/>
                <w:w w:val="90"/>
                <w:sz w:val="18"/>
              </w:rPr>
              <w:t>512</w:t>
            </w:r>
          </w:p>
        </w:tc>
        <w:tc>
          <w:tcPr>
            <w:tcW w:w="1003" w:type="dxa"/>
            <w:tcBorders>
              <w:top w:val="nil"/>
              <w:left w:val="single" w:sz="13" w:space="0" w:color="000000"/>
              <w:bottom w:val="nil"/>
            </w:tcBorders>
          </w:tcPr>
          <w:p>
            <w:pPr>
              <w:pStyle w:val="TableParagraph"/>
              <w:spacing w:line="187" w:lineRule="exact"/>
              <w:ind w:left="302" w:right="263"/>
              <w:jc w:val="center"/>
              <w:rPr>
                <w:rFonts w:ascii="Times New Roman"/>
                <w:sz w:val="18"/>
              </w:rPr>
            </w:pPr>
            <w:r>
              <w:rPr>
                <w:rFonts w:ascii="Times New Roman"/>
                <w:color w:val="010101"/>
                <w:sz w:val="18"/>
              </w:rPr>
              <w:t>10</w:t>
            </w:r>
          </w:p>
        </w:tc>
        <w:tc>
          <w:tcPr>
            <w:tcW w:w="992" w:type="dxa"/>
            <w:tcBorders>
              <w:top w:val="nil"/>
              <w:bottom w:val="nil"/>
            </w:tcBorders>
          </w:tcPr>
          <w:p>
            <w:pPr>
              <w:pStyle w:val="TableParagraph"/>
              <w:spacing w:line="179" w:lineRule="exact"/>
              <w:ind w:left="44" w:right="41"/>
              <w:jc w:val="center"/>
              <w:rPr>
                <w:rFonts w:ascii="Times New Roman"/>
                <w:b/>
                <w:sz w:val="16"/>
              </w:rPr>
            </w:pPr>
            <w:r>
              <w:rPr>
                <w:rFonts w:ascii="Times New Roman"/>
                <w:b/>
                <w:color w:val="010101"/>
                <w:w w:val="110"/>
                <w:sz w:val="16"/>
              </w:rPr>
              <w:t>94,868</w:t>
            </w:r>
          </w:p>
        </w:tc>
        <w:tc>
          <w:tcPr>
            <w:tcW w:w="962" w:type="dxa"/>
            <w:tcBorders>
              <w:top w:val="nil"/>
              <w:bottom w:val="nil"/>
              <w:right w:val="nil"/>
            </w:tcBorders>
          </w:tcPr>
          <w:p>
            <w:pPr>
              <w:pStyle w:val="TableParagraph"/>
              <w:spacing w:line="181" w:lineRule="exact"/>
              <w:ind w:left="331" w:right="293"/>
              <w:jc w:val="center"/>
              <w:rPr>
                <w:rFonts w:ascii="Times New Roman"/>
                <w:b/>
                <w:sz w:val="17"/>
              </w:rPr>
            </w:pPr>
            <w:r>
              <w:rPr>
                <w:rFonts w:ascii="Times New Roman"/>
                <w:b/>
                <w:color w:val="010101"/>
                <w:sz w:val="17"/>
              </w:rPr>
              <w:t>528</w:t>
            </w:r>
          </w:p>
        </w:tc>
      </w:tr>
      <w:tr>
        <w:trPr>
          <w:trHeight w:val="308" w:hRule="exact"/>
        </w:trPr>
        <w:tc>
          <w:tcPr>
            <w:tcW w:w="756" w:type="dxa"/>
            <w:tcBorders>
              <w:top w:val="nil"/>
              <w:left w:val="nil"/>
            </w:tcBorders>
          </w:tcPr>
          <w:p>
            <w:pPr>
              <w:pStyle w:val="TableParagraph"/>
              <w:spacing w:line="184" w:lineRule="exact"/>
              <w:ind w:right="9"/>
              <w:jc w:val="center"/>
              <w:rPr>
                <w:rFonts w:ascii="Arial"/>
                <w:sz w:val="17"/>
              </w:rPr>
            </w:pPr>
            <w:r>
              <w:rPr>
                <w:rFonts w:ascii="Arial"/>
                <w:color w:val="010101"/>
                <w:w w:val="95"/>
                <w:sz w:val="17"/>
              </w:rPr>
              <w:t>5</w:t>
            </w:r>
          </w:p>
        </w:tc>
        <w:tc>
          <w:tcPr>
            <w:tcW w:w="994" w:type="dxa"/>
            <w:tcBorders>
              <w:top w:val="nil"/>
              <w:right w:val="single" w:sz="4" w:space="0" w:color="000000"/>
            </w:tcBorders>
          </w:tcPr>
          <w:p>
            <w:pPr>
              <w:pStyle w:val="TableParagraph"/>
              <w:spacing w:line="187" w:lineRule="exact"/>
              <w:ind w:right="250"/>
              <w:jc w:val="right"/>
              <w:rPr>
                <w:rFonts w:ascii="Times New Roman"/>
                <w:sz w:val="18"/>
              </w:rPr>
            </w:pPr>
            <w:r>
              <w:rPr>
                <w:rFonts w:ascii="Times New Roman"/>
                <w:color w:val="010101"/>
                <w:w w:val="95"/>
                <w:sz w:val="18"/>
              </w:rPr>
              <w:t>97,468</w:t>
            </w:r>
          </w:p>
        </w:tc>
        <w:tc>
          <w:tcPr>
            <w:tcW w:w="982" w:type="dxa"/>
            <w:tcBorders>
              <w:top w:val="nil"/>
              <w:left w:val="single" w:sz="4" w:space="0" w:color="000000"/>
              <w:right w:val="single" w:sz="13" w:space="0" w:color="000000"/>
            </w:tcBorders>
          </w:tcPr>
          <w:p>
            <w:pPr>
              <w:pStyle w:val="TableParagraph"/>
              <w:spacing w:line="181" w:lineRule="exact"/>
              <w:ind w:left="376"/>
              <w:rPr>
                <w:rFonts w:ascii="Times New Roman"/>
                <w:b/>
                <w:sz w:val="17"/>
              </w:rPr>
            </w:pPr>
            <w:r>
              <w:rPr>
                <w:rFonts w:ascii="Times New Roman"/>
                <w:b/>
                <w:color w:val="010101"/>
                <w:sz w:val="17"/>
              </w:rPr>
              <w:t>514</w:t>
            </w:r>
          </w:p>
        </w:tc>
        <w:tc>
          <w:tcPr>
            <w:tcW w:w="1003" w:type="dxa"/>
            <w:tcBorders>
              <w:top w:val="nil"/>
              <w:left w:val="single" w:sz="13" w:space="0" w:color="000000"/>
            </w:tcBorders>
          </w:tcPr>
          <w:p>
            <w:pPr/>
          </w:p>
        </w:tc>
        <w:tc>
          <w:tcPr>
            <w:tcW w:w="992" w:type="dxa"/>
            <w:tcBorders>
              <w:top w:val="nil"/>
            </w:tcBorders>
          </w:tcPr>
          <w:p>
            <w:pPr/>
          </w:p>
        </w:tc>
        <w:tc>
          <w:tcPr>
            <w:tcW w:w="962" w:type="dxa"/>
            <w:tcBorders>
              <w:top w:val="nil"/>
              <w:right w:val="nil"/>
            </w:tcBorders>
          </w:tcPr>
          <w:p>
            <w:pPr/>
          </w:p>
        </w:tc>
      </w:tr>
    </w:tbl>
    <w:p>
      <w:pPr>
        <w:pStyle w:val="BodyText"/>
        <w:spacing w:before="11"/>
        <w:rPr>
          <w:b/>
          <w:sz w:val="14"/>
        </w:rPr>
      </w:pPr>
    </w:p>
    <w:p>
      <w:pPr>
        <w:spacing w:line="247" w:lineRule="auto" w:before="74"/>
        <w:ind w:left="115" w:right="147" w:firstLine="193"/>
        <w:jc w:val="both"/>
        <w:rPr>
          <w:sz w:val="20"/>
        </w:rPr>
      </w:pPr>
      <w:r>
        <w:rPr>
          <w:color w:val="010101"/>
          <w:sz w:val="20"/>
        </w:rPr>
        <w:t>This device for exhibiting mortality data  is  </w:t>
      </w:r>
      <w:r>
        <w:rPr>
          <w:color w:val="010101"/>
          <w:sz w:val="19"/>
        </w:rPr>
        <w:t>known  </w:t>
      </w:r>
      <w:r>
        <w:rPr>
          <w:color w:val="010101"/>
          <w:sz w:val="20"/>
        </w:rPr>
        <w:t>as  the  </w:t>
      </w:r>
      <w:r>
        <w:rPr>
          <w:color w:val="010101"/>
          <w:sz w:val="19"/>
        </w:rPr>
        <w:t>mor­ </w:t>
      </w:r>
      <w:r>
        <w:rPr>
          <w:i/>
          <w:color w:val="010101"/>
          <w:sz w:val="19"/>
        </w:rPr>
        <w:t>tality </w:t>
      </w:r>
      <w:r>
        <w:rPr>
          <w:i/>
          <w:color w:val="010101"/>
          <w:sz w:val="21"/>
        </w:rPr>
        <w:t>table </w:t>
      </w:r>
      <w:r>
        <w:rPr>
          <w:color w:val="010101"/>
          <w:sz w:val="20"/>
        </w:rPr>
        <w:t>or the </w:t>
      </w:r>
      <w:r>
        <w:rPr>
          <w:i/>
          <w:color w:val="010101"/>
          <w:sz w:val="21"/>
        </w:rPr>
        <w:t>lije table. </w:t>
      </w:r>
      <w:r>
        <w:rPr>
          <w:color w:val="010101"/>
          <w:sz w:val="20"/>
        </w:rPr>
        <w:t>The </w:t>
      </w:r>
      <w:r>
        <w:rPr>
          <w:i/>
          <w:color w:val="010101"/>
          <w:w w:val="90"/>
          <w:sz w:val="21"/>
        </w:rPr>
        <w:t>l:i </w:t>
      </w:r>
      <w:r>
        <w:rPr>
          <w:color w:val="010101"/>
          <w:sz w:val="20"/>
        </w:rPr>
        <w:t>and </w:t>
      </w:r>
      <w:r>
        <w:rPr>
          <w:i/>
          <w:color w:val="010101"/>
          <w:w w:val="90"/>
          <w:sz w:val="21"/>
        </w:rPr>
        <w:t>d:ii </w:t>
      </w:r>
      <w:r>
        <w:rPr>
          <w:color w:val="010101"/>
          <w:sz w:val="20"/>
        </w:rPr>
        <w:t>functions have the follow­ ing  definitions :</w:t>
      </w:r>
    </w:p>
    <w:p>
      <w:pPr>
        <w:tabs>
          <w:tab w:pos="4306" w:val="left" w:leader="none"/>
        </w:tabs>
        <w:spacing w:before="63"/>
        <w:ind w:left="0" w:right="134" w:firstLine="0"/>
        <w:jc w:val="right"/>
        <w:rPr>
          <w:sz w:val="20"/>
        </w:rPr>
      </w:pPr>
      <w:r>
        <w:rPr>
          <w:rFonts w:ascii="Arial" w:hAnsi="Arial"/>
          <w:i/>
          <w:color w:val="010101"/>
          <w:sz w:val="19"/>
        </w:rPr>
        <w:t>l:i  </w:t>
      </w:r>
      <w:r>
        <w:rPr>
          <w:color w:val="010101"/>
          <w:sz w:val="26"/>
        </w:rPr>
        <w:t>=  </w:t>
      </w:r>
      <w:r>
        <w:rPr>
          <w:rFonts w:ascii="Arial" w:hAnsi="Arial"/>
          <w:i/>
          <w:color w:val="010101"/>
          <w:sz w:val="19"/>
        </w:rPr>
        <w:t>k·s </w:t>
      </w:r>
      <w:r>
        <w:rPr>
          <w:rFonts w:ascii="Arial" w:hAnsi="Arial"/>
          <w:i/>
          <w:color w:val="010101"/>
          <w:spacing w:val="3"/>
          <w:sz w:val="19"/>
        </w:rPr>
        <w:t>(x </w:t>
      </w:r>
      <w:r>
        <w:rPr>
          <w:rFonts w:ascii="Arial" w:hAnsi="Arial"/>
          <w:i/>
          <w:color w:val="010101"/>
          <w:sz w:val="19"/>
        </w:rPr>
        <w:t>), </w:t>
      </w:r>
      <w:r>
        <w:rPr>
          <w:color w:val="010101"/>
          <w:sz w:val="20"/>
        </w:rPr>
        <w:t>where </w:t>
      </w:r>
      <w:r>
        <w:rPr>
          <w:rFonts w:ascii="Arial" w:hAnsi="Arial"/>
          <w:i/>
          <w:color w:val="010101"/>
          <w:sz w:val="19"/>
        </w:rPr>
        <w:t>k  </w:t>
      </w:r>
      <w:r>
        <w:rPr>
          <w:color w:val="010101"/>
          <w:sz w:val="20"/>
        </w:rPr>
        <w:t>is a</w:t>
      </w:r>
      <w:r>
        <w:rPr>
          <w:color w:val="010101"/>
          <w:spacing w:val="19"/>
          <w:sz w:val="20"/>
        </w:rPr>
        <w:t> </w:t>
      </w:r>
      <w:r>
        <w:rPr>
          <w:color w:val="010101"/>
          <w:sz w:val="20"/>
        </w:rPr>
        <w:t>positive</w:t>
      </w:r>
      <w:r>
        <w:rPr>
          <w:color w:val="010101"/>
          <w:spacing w:val="37"/>
          <w:sz w:val="20"/>
        </w:rPr>
        <w:t> </w:t>
      </w:r>
      <w:r>
        <w:rPr>
          <w:color w:val="010101"/>
          <w:sz w:val="20"/>
        </w:rPr>
        <w:t>constant,</w:t>
        <w:tab/>
        <w:t>{1.1)</w:t>
      </w:r>
    </w:p>
    <w:p>
      <w:pPr>
        <w:tabs>
          <w:tab w:pos="4360" w:val="left" w:leader="none"/>
        </w:tabs>
        <w:spacing w:before="118"/>
        <w:ind w:left="0" w:right="141" w:firstLine="0"/>
        <w:jc w:val="right"/>
        <w:rPr>
          <w:b/>
          <w:sz w:val="19"/>
        </w:rPr>
      </w:pPr>
      <w:r>
        <w:rPr>
          <w:b/>
          <w:i/>
          <w:color w:val="010101"/>
          <w:w w:val="95"/>
          <w:sz w:val="21"/>
        </w:rPr>
        <w:t>d:i </w:t>
      </w:r>
      <w:r>
        <w:rPr>
          <w:rFonts w:ascii="Arial"/>
          <w:color w:val="010101"/>
          <w:w w:val="120"/>
          <w:sz w:val="17"/>
        </w:rPr>
        <w:t>.= </w:t>
      </w:r>
      <w:r>
        <w:rPr>
          <w:b/>
          <w:i/>
          <w:color w:val="010101"/>
          <w:sz w:val="21"/>
        </w:rPr>
        <w:t>ls </w:t>
      </w:r>
      <w:r>
        <w:rPr>
          <w:color w:val="010101"/>
          <w:w w:val="225"/>
          <w:sz w:val="21"/>
        </w:rPr>
        <w:t>-</w:t>
      </w:r>
      <w:r>
        <w:rPr>
          <w:color w:val="010101"/>
          <w:spacing w:val="-43"/>
          <w:w w:val="225"/>
          <w:sz w:val="21"/>
        </w:rPr>
        <w:t> </w:t>
      </w:r>
      <w:r>
        <w:rPr>
          <w:b/>
          <w:i/>
          <w:color w:val="010101"/>
          <w:sz w:val="18"/>
        </w:rPr>
        <w:t>l:i+l</w:t>
      </w:r>
      <w:r>
        <w:rPr>
          <w:b/>
          <w:i/>
          <w:color w:val="010101"/>
          <w:spacing w:val="20"/>
          <w:sz w:val="18"/>
        </w:rPr>
        <w:t> </w:t>
      </w:r>
      <w:r>
        <w:rPr>
          <w:b/>
          <w:i/>
          <w:color w:val="010101"/>
          <w:sz w:val="18"/>
        </w:rPr>
        <w:t>.</w:t>
        <w:tab/>
      </w:r>
      <w:r>
        <w:rPr>
          <w:b/>
          <w:color w:val="010101"/>
          <w:sz w:val="19"/>
        </w:rPr>
        <w:t>{1.2)</w:t>
      </w:r>
    </w:p>
    <w:p>
      <w:pPr>
        <w:pStyle w:val="BodyText"/>
        <w:spacing w:before="98"/>
        <w:ind w:left="128" w:right="141"/>
        <w:jc w:val="right"/>
      </w:pPr>
      <w:r>
        <w:rPr>
          <w:color w:val="010101"/>
          <w:w w:val="105"/>
        </w:rPr>
        <w:t>The value of </w:t>
      </w:r>
      <w:r>
        <w:rPr>
          <w:i/>
          <w:color w:val="010101"/>
          <w:w w:val="105"/>
          <w:sz w:val="19"/>
        </w:rPr>
        <w:t>k </w:t>
      </w:r>
      <w:r>
        <w:rPr>
          <w:color w:val="010101"/>
          <w:w w:val="105"/>
        </w:rPr>
        <w:t>is called the </w:t>
      </w:r>
      <w:r>
        <w:rPr>
          <w:i/>
          <w:color w:val="010101"/>
          <w:w w:val="105"/>
          <w:sz w:val="19"/>
        </w:rPr>
        <w:t>radix  </w:t>
      </w:r>
      <w:r>
        <w:rPr>
          <w:color w:val="010101"/>
          <w:w w:val="105"/>
        </w:rPr>
        <w:t>of  the  table.  </w:t>
      </w:r>
      <w:r>
        <w:rPr>
          <w:color w:val="010101"/>
          <w:w w:val="105"/>
          <w:sz w:val="22"/>
        </w:rPr>
        <w:t>I</w:t>
      </w:r>
      <w:r>
        <w:rPr>
          <w:color w:val="010101"/>
          <w:w w:val="105"/>
        </w:rPr>
        <w:t>t corresponds to</w:t>
      </w:r>
      <w:r>
        <w:rPr>
          <w:color w:val="010101"/>
          <w:w w:val="107"/>
        </w:rPr>
        <w:t> </w:t>
      </w:r>
      <w:r>
        <w:rPr>
          <w:color w:val="010101"/>
          <w:w w:val="105"/>
        </w:rPr>
        <w:t>the value </w:t>
      </w:r>
      <w:r>
        <w:rPr>
          <w:color w:val="010101"/>
          <w:sz w:val="21"/>
        </w:rPr>
        <w:t>lo </w:t>
      </w:r>
      <w:r>
        <w:rPr>
          <w:color w:val="010101"/>
          <w:w w:val="105"/>
        </w:rPr>
        <w:t>and is generally taken to be some large round number.</w:t>
      </w:r>
      <w:r>
        <w:rPr>
          <w:color w:val="010101"/>
          <w:w w:val="104"/>
        </w:rPr>
        <w:t> </w:t>
      </w:r>
      <w:r>
        <w:rPr>
          <w:color w:val="010101"/>
          <w:w w:val="105"/>
        </w:rPr>
        <w:t>The interpretation of </w:t>
      </w:r>
      <w:r>
        <w:rPr>
          <w:i/>
          <w:color w:val="010101"/>
          <w:sz w:val="21"/>
        </w:rPr>
        <w:t>l:i </w:t>
      </w:r>
      <w:r>
        <w:rPr>
          <w:color w:val="010101"/>
          <w:w w:val="105"/>
        </w:rPr>
        <w:t>as a "number living" or "number sur­</w:t>
      </w:r>
      <w:r>
        <w:rPr>
          <w:color w:val="010101"/>
          <w:w w:val="103"/>
        </w:rPr>
        <w:t> </w:t>
      </w:r>
      <w:r>
        <w:rPr>
          <w:color w:val="010101"/>
          <w:w w:val="105"/>
        </w:rPr>
        <w:t>viving" and of </w:t>
      </w:r>
      <w:r>
        <w:rPr>
          <w:i/>
          <w:color w:val="010101"/>
          <w:w w:val="105"/>
        </w:rPr>
        <w:t>d. </w:t>
      </w:r>
      <w:r>
        <w:rPr>
          <w:color w:val="010101"/>
          <w:w w:val="105"/>
        </w:rPr>
        <w:t>as a "number dying" is a convenient aid in vis­</w:t>
      </w:r>
      <w:r>
        <w:rPr>
          <w:color w:val="010101"/>
          <w:w w:val="98"/>
        </w:rPr>
        <w:t> </w:t>
      </w:r>
      <w:r>
        <w:rPr>
          <w:color w:val="010101"/>
          <w:w w:val="105"/>
        </w:rPr>
        <w:t>ualizing  many  of  the  relations that  follow.  </w:t>
      </w:r>
      <w:r>
        <w:rPr>
          <w:color w:val="010101"/>
          <w:w w:val="105"/>
          <w:sz w:val="21"/>
        </w:rPr>
        <w:t>It </w:t>
      </w:r>
      <w:r>
        <w:rPr>
          <w:color w:val="010101"/>
          <w:w w:val="105"/>
        </w:rPr>
        <w:t>should  </w:t>
      </w:r>
      <w:r>
        <w:rPr>
          <w:color w:val="010101"/>
          <w:w w:val="105"/>
          <w:sz w:val="19"/>
        </w:rPr>
        <w:t>be </w:t>
      </w:r>
      <w:r>
        <w:rPr>
          <w:color w:val="010101"/>
          <w:w w:val="105"/>
        </w:rPr>
        <w:t>borne in</w:t>
      </w:r>
    </w:p>
    <w:p>
      <w:pPr>
        <w:pStyle w:val="BodyText"/>
        <w:spacing w:line="256" w:lineRule="exact"/>
        <w:ind w:left="115" w:hanging="4"/>
        <w:jc w:val="both"/>
      </w:pPr>
      <w:r>
        <w:rPr>
          <w:color w:val="010101"/>
        </w:rPr>
        <w:t>mind,  however,  that  neither  </w:t>
      </w:r>
      <w:r>
        <w:rPr>
          <w:i/>
          <w:color w:val="010101"/>
          <w:sz w:val="33"/>
        </w:rPr>
        <w:t>z. </w:t>
      </w:r>
      <w:r>
        <w:rPr>
          <w:color w:val="010101"/>
        </w:rPr>
        <w:t>nor  </w:t>
      </w:r>
      <w:r>
        <w:rPr>
          <w:i/>
          <w:color w:val="010101"/>
        </w:rPr>
        <w:t>dz  </w:t>
      </w:r>
      <w:r>
        <w:rPr>
          <w:color w:val="010101"/>
        </w:rPr>
        <w:t>has  any  absolute   meaning;</w:t>
      </w:r>
    </w:p>
    <w:p>
      <w:pPr>
        <w:pStyle w:val="BodyText"/>
        <w:spacing w:line="242" w:lineRule="auto"/>
        <w:ind w:left="111" w:right="147" w:firstLine="3"/>
        <w:jc w:val="both"/>
        <w:rPr>
          <w:i/>
          <w:sz w:val="22"/>
        </w:rPr>
      </w:pPr>
      <w:r>
        <w:rPr>
          <w:color w:val="010101"/>
          <w:w w:val="105"/>
        </w:rPr>
        <w:t>the values of both are dependent on the value of  thc radix  chosen in the construction of the table. </w:t>
      </w:r>
      <w:r>
        <w:rPr>
          <w:color w:val="010101"/>
          <w:w w:val="105"/>
          <w:sz w:val="22"/>
        </w:rPr>
        <w:t>It </w:t>
      </w:r>
      <w:r>
        <w:rPr>
          <w:color w:val="010101"/>
          <w:w w:val="105"/>
        </w:rPr>
        <w:t>should also </w:t>
      </w:r>
      <w:r>
        <w:rPr>
          <w:color w:val="010101"/>
          <w:w w:val="105"/>
          <w:sz w:val="19"/>
        </w:rPr>
        <w:t>be </w:t>
      </w:r>
      <w:r>
        <w:rPr>
          <w:color w:val="010101"/>
          <w:w w:val="105"/>
        </w:rPr>
        <w:t>remembered  that</w:t>
      </w:r>
      <w:r>
        <w:rPr>
          <w:color w:val="010101"/>
          <w:spacing w:val="52"/>
          <w:w w:val="105"/>
        </w:rPr>
        <w:t> </w:t>
      </w:r>
      <w:r>
        <w:rPr>
          <w:i/>
          <w:color w:val="010101"/>
          <w:w w:val="95"/>
        </w:rPr>
        <w:t>l:c </w:t>
      </w:r>
      <w:r>
        <w:rPr>
          <w:i/>
          <w:color w:val="010101"/>
          <w:w w:val="105"/>
        </w:rPr>
        <w:t>, </w:t>
      </w:r>
      <w:r>
        <w:rPr>
          <w:color w:val="010101"/>
          <w:w w:val="105"/>
        </w:rPr>
        <w:t>from definition </w:t>
      </w:r>
      <w:r>
        <w:rPr>
          <w:color w:val="010101"/>
          <w:w w:val="105"/>
          <w:sz w:val="19"/>
        </w:rPr>
        <w:t>{1.1), </w:t>
      </w:r>
      <w:r>
        <w:rPr>
          <w:color w:val="010101"/>
          <w:w w:val="105"/>
        </w:rPr>
        <w:t>is </w:t>
      </w:r>
      <w:r>
        <w:rPr>
          <w:rFonts w:ascii="Arial"/>
          <w:color w:val="010101"/>
          <w:w w:val="105"/>
          <w:sz w:val="17"/>
        </w:rPr>
        <w:t>a </w:t>
      </w:r>
      <w:r>
        <w:rPr>
          <w:color w:val="010101"/>
          <w:w w:val="105"/>
        </w:rPr>
        <w:t>continuous function of </w:t>
      </w:r>
      <w:r>
        <w:rPr>
          <w:i/>
          <w:color w:val="010101"/>
          <w:w w:val="105"/>
          <w:sz w:val="19"/>
        </w:rPr>
        <w:t>x , </w:t>
      </w:r>
      <w:r>
        <w:rPr>
          <w:color w:val="010101"/>
          <w:w w:val="105"/>
        </w:rPr>
        <w:t>although ta.bulated values appear </w:t>
      </w:r>
      <w:r>
        <w:rPr>
          <w:color w:val="010101"/>
          <w:w w:val="105"/>
          <w:sz w:val="19"/>
        </w:rPr>
        <w:t>in </w:t>
      </w:r>
      <w:r>
        <w:rPr>
          <w:color w:val="010101"/>
          <w:w w:val="105"/>
        </w:rPr>
        <w:t>mortality tables only for integral ve.lues of </w:t>
      </w:r>
      <w:r>
        <w:rPr>
          <w:i/>
          <w:color w:val="010101"/>
          <w:w w:val="105"/>
          <w:sz w:val="22"/>
        </w:rPr>
        <w:t>x.</w:t>
      </w:r>
    </w:p>
    <w:p>
      <w:pPr>
        <w:spacing w:after="0" w:line="242" w:lineRule="auto"/>
        <w:jc w:val="both"/>
        <w:rPr>
          <w:sz w:val="22"/>
        </w:rPr>
        <w:sectPr>
          <w:type w:val="continuous"/>
          <w:pgSz w:w="7200" w:h="11340"/>
          <w:pgMar w:top="1100" w:bottom="0" w:left="660" w:right="560"/>
        </w:sectPr>
      </w:pPr>
    </w:p>
    <w:p>
      <w:pPr>
        <w:tabs>
          <w:tab w:pos="1995" w:val="left" w:leader="none"/>
          <w:tab w:pos="5863" w:val="right" w:leader="none"/>
        </w:tabs>
        <w:spacing w:before="52"/>
        <w:ind w:left="122" w:right="0" w:firstLine="0"/>
        <w:jc w:val="left"/>
        <w:rPr>
          <w:rFonts w:ascii="Arial"/>
          <w:sz w:val="18"/>
        </w:rPr>
      </w:pPr>
      <w:r>
        <w:rPr>
          <w:b/>
          <w:color w:val="010101"/>
          <w:w w:val="105"/>
          <w:position w:val="1"/>
          <w:sz w:val="15"/>
        </w:rPr>
        <w:t>SEC,</w:t>
      </w:r>
      <w:r>
        <w:rPr>
          <w:b/>
          <w:color w:val="010101"/>
          <w:spacing w:val="20"/>
          <w:w w:val="105"/>
          <w:position w:val="1"/>
          <w:sz w:val="15"/>
        </w:rPr>
        <w:t> </w:t>
      </w:r>
      <w:r>
        <w:rPr>
          <w:rFonts w:ascii="Arial"/>
          <w:b/>
          <w:color w:val="010101"/>
          <w:w w:val="105"/>
          <w:position w:val="1"/>
          <w:sz w:val="20"/>
        </w:rPr>
        <w:t>3]</w:t>
        <w:tab/>
      </w:r>
      <w:r>
        <w:rPr>
          <w:b/>
          <w:color w:val="010101"/>
          <w:w w:val="105"/>
          <w:position w:val="1"/>
          <w:sz w:val="15"/>
        </w:rPr>
        <w:t>THE </w:t>
      </w:r>
      <w:r>
        <w:rPr>
          <w:b/>
          <w:color w:val="010101"/>
          <w:spacing w:val="8"/>
          <w:w w:val="105"/>
          <w:position w:val="1"/>
          <w:sz w:val="15"/>
        </w:rPr>
        <w:t> </w:t>
      </w:r>
      <w:r>
        <w:rPr>
          <w:b/>
          <w:color w:val="010101"/>
          <w:w w:val="105"/>
          <w:position w:val="1"/>
          <w:sz w:val="15"/>
        </w:rPr>
        <w:t>MORTALITY </w:t>
      </w:r>
      <w:r>
        <w:rPr>
          <w:b/>
          <w:color w:val="010101"/>
          <w:spacing w:val="30"/>
          <w:w w:val="105"/>
          <w:position w:val="1"/>
          <w:sz w:val="15"/>
        </w:rPr>
        <w:t> </w:t>
      </w:r>
      <w:r>
        <w:rPr>
          <w:b/>
          <w:color w:val="010101"/>
          <w:w w:val="105"/>
          <w:position w:val="1"/>
          <w:sz w:val="15"/>
        </w:rPr>
        <w:t>TABLE</w:t>
      </w:r>
      <w:r>
        <w:rPr>
          <w:rFonts w:ascii="Arial"/>
          <w:color w:val="010101"/>
          <w:w w:val="105"/>
          <w:sz w:val="18"/>
        </w:rPr>
        <w:tab/>
        <w:t>9</w:t>
      </w:r>
    </w:p>
    <w:p>
      <w:pPr>
        <w:pStyle w:val="BodyText"/>
        <w:spacing w:before="8"/>
        <w:rPr>
          <w:rFonts w:ascii="Arial"/>
          <w:sz w:val="21"/>
        </w:rPr>
      </w:pPr>
    </w:p>
    <w:p>
      <w:pPr>
        <w:pStyle w:val="BodyText"/>
        <w:spacing w:line="242" w:lineRule="auto"/>
        <w:ind w:left="126" w:right="115" w:firstLine="197"/>
        <w:jc w:val="both"/>
        <w:rPr>
          <w:i/>
          <w:sz w:val="21"/>
        </w:rPr>
      </w:pPr>
      <w:r>
        <w:rPr>
          <w:color w:val="010101"/>
          <w:w w:val="105"/>
        </w:rPr>
        <w:t>Probabilities of death and survival may be obtained  directly  from the </w:t>
      </w:r>
      <w:r>
        <w:rPr>
          <w:i/>
          <w:color w:val="010101"/>
          <w:w w:val="105"/>
        </w:rPr>
        <w:t>lz </w:t>
      </w:r>
      <w:r>
        <w:rPr>
          <w:color w:val="010101"/>
          <w:w w:val="105"/>
        </w:rPr>
        <w:t>and </w:t>
      </w:r>
      <w:r>
        <w:rPr>
          <w:i/>
          <w:color w:val="010101"/>
          <w:w w:val="105"/>
        </w:rPr>
        <w:t>dz </w:t>
      </w:r>
      <w:r>
        <w:rPr>
          <w:color w:val="010101"/>
          <w:w w:val="105"/>
        </w:rPr>
        <w:t>columns of the mortality table, and the relations exhihited below may be readily verified on the basis of elementary probability concepts. The symbol </w:t>
      </w:r>
      <w:r>
        <w:rPr>
          <w:rFonts w:ascii="Arial"/>
          <w:i/>
          <w:color w:val="010101"/>
          <w:spacing w:val="7"/>
          <w:w w:val="105"/>
          <w:sz w:val="19"/>
        </w:rPr>
        <w:t>(x)  </w:t>
      </w:r>
      <w:r>
        <w:rPr>
          <w:color w:val="010101"/>
          <w:w w:val="105"/>
        </w:rPr>
        <w:t>is used  hereafter  </w:t>
      </w:r>
      <w:r>
        <w:rPr>
          <w:color w:val="010101"/>
          <w:w w:val="105"/>
          <w:sz w:val="22"/>
        </w:rPr>
        <w:t>to </w:t>
      </w:r>
      <w:r>
        <w:rPr>
          <w:color w:val="010101"/>
          <w:w w:val="105"/>
        </w:rPr>
        <w:t>denote "a life  aged</w:t>
      </w:r>
      <w:r>
        <w:rPr>
          <w:color w:val="010101"/>
          <w:spacing w:val="25"/>
          <w:w w:val="105"/>
        </w:rPr>
        <w:t> </w:t>
      </w:r>
      <w:r>
        <w:rPr>
          <w:i/>
          <w:color w:val="010101"/>
          <w:w w:val="105"/>
          <w:sz w:val="21"/>
        </w:rPr>
        <w:t>x."</w:t>
      </w:r>
    </w:p>
    <w:p>
      <w:pPr>
        <w:pStyle w:val="BodyText"/>
        <w:spacing w:line="148" w:lineRule="auto" w:before="71"/>
        <w:ind w:left="129" w:right="113" w:firstLine="186"/>
        <w:jc w:val="both"/>
      </w:pPr>
      <w:r>
        <w:rPr>
          <w:color w:val="010101"/>
          <w:w w:val="105"/>
        </w:rPr>
        <w:t>The proba.bility that </w:t>
      </w:r>
      <w:r>
        <w:rPr>
          <w:rFonts w:ascii="Arial"/>
          <w:i/>
          <w:color w:val="010101"/>
          <w:w w:val="105"/>
          <w:sz w:val="19"/>
        </w:rPr>
        <w:t>(x ) </w:t>
      </w:r>
      <w:r>
        <w:rPr>
          <w:color w:val="010101"/>
          <w:w w:val="105"/>
          <w:sz w:val="21"/>
        </w:rPr>
        <w:t>will </w:t>
      </w:r>
      <w:r>
        <w:rPr>
          <w:color w:val="010101"/>
          <w:w w:val="105"/>
        </w:rPr>
        <w:t>survive at least 1year, that is, to attain age </w:t>
      </w:r>
      <w:r>
        <w:rPr>
          <w:rFonts w:ascii="Arial"/>
          <w:i/>
          <w:color w:val="010101"/>
          <w:w w:val="105"/>
          <w:sz w:val="17"/>
        </w:rPr>
        <w:t>x  </w:t>
      </w:r>
      <w:r>
        <w:rPr>
          <w:rFonts w:ascii="Arial"/>
          <w:color w:val="010101"/>
          <w:w w:val="105"/>
          <w:sz w:val="31"/>
        </w:rPr>
        <w:t>+ </w:t>
      </w:r>
      <w:r>
        <w:rPr>
          <w:b/>
          <w:color w:val="010101"/>
          <w:w w:val="105"/>
          <w:sz w:val="19"/>
        </w:rPr>
        <w:t>1, </w:t>
      </w:r>
      <w:r>
        <w:rPr>
          <w:color w:val="010101"/>
          <w:w w:val="105"/>
        </w:rPr>
        <w:t>is denoted  by Ps ,  and</w:t>
      </w:r>
    </w:p>
    <w:p>
      <w:pPr>
        <w:spacing w:line="119" w:lineRule="exact" w:before="137"/>
        <w:ind w:left="1485" w:right="1093" w:firstLine="0"/>
        <w:jc w:val="center"/>
        <w:rPr>
          <w:b/>
          <w:i/>
          <w:sz w:val="21"/>
        </w:rPr>
      </w:pPr>
      <w:r>
        <w:rPr>
          <w:b/>
          <w:i/>
          <w:color w:val="010101"/>
          <w:w w:val="95"/>
          <w:sz w:val="21"/>
        </w:rPr>
        <w:t>ls+i</w:t>
      </w:r>
    </w:p>
    <w:p>
      <w:pPr>
        <w:spacing w:after="0" w:line="119" w:lineRule="exact"/>
        <w:jc w:val="center"/>
        <w:rPr>
          <w:sz w:val="21"/>
        </w:rPr>
        <w:sectPr>
          <w:pgSz w:w="7200" w:h="11340"/>
          <w:pgMar w:top="480" w:bottom="280" w:left="660" w:right="560"/>
        </w:sectPr>
      </w:pPr>
    </w:p>
    <w:p>
      <w:pPr>
        <w:spacing w:line="296" w:lineRule="exact" w:before="0"/>
        <w:ind w:left="0" w:right="0" w:firstLine="0"/>
        <w:jc w:val="right"/>
        <w:rPr>
          <w:rFonts w:ascii="Arial" w:hAnsi="Arial"/>
          <w:i/>
          <w:sz w:val="29"/>
        </w:rPr>
      </w:pPr>
      <w:r>
        <w:rPr>
          <w:color w:val="010101"/>
          <w:w w:val="105"/>
          <w:sz w:val="20"/>
        </w:rPr>
        <w:t>Ps </w:t>
      </w:r>
      <w:r>
        <w:rPr>
          <w:color w:val="010101"/>
          <w:w w:val="105"/>
          <w:sz w:val="26"/>
        </w:rPr>
        <w:t>= </w:t>
      </w:r>
      <w:r>
        <w:rPr>
          <w:rFonts w:ascii="Arial" w:hAnsi="Arial"/>
          <w:i/>
          <w:color w:val="010101"/>
          <w:w w:val="105"/>
          <w:sz w:val="29"/>
        </w:rPr>
        <w:t>-¡;·</w:t>
      </w:r>
    </w:p>
    <w:p>
      <w:pPr>
        <w:pStyle w:val="BodyText"/>
        <w:spacing w:line="221" w:lineRule="exact"/>
        <w:ind w:right="121"/>
        <w:jc w:val="right"/>
      </w:pPr>
      <w:r>
        <w:rPr/>
        <w:br w:type="column"/>
      </w:r>
      <w:r>
        <w:rPr>
          <w:color w:val="010101"/>
          <w:w w:val="110"/>
        </w:rPr>
        <w:t>(1.3)</w:t>
      </w:r>
    </w:p>
    <w:p>
      <w:pPr>
        <w:spacing w:after="0" w:line="221" w:lineRule="exact"/>
        <w:jc w:val="right"/>
        <w:sectPr>
          <w:type w:val="continuous"/>
          <w:pgSz w:w="7200" w:h="11340"/>
          <w:pgMar w:top="1100" w:bottom="0" w:left="660" w:right="560"/>
          <w:cols w:num="2" w:equalWidth="0">
            <w:col w:w="3451" w:space="40"/>
            <w:col w:w="2489"/>
          </w:cols>
        </w:sectPr>
      </w:pPr>
    </w:p>
    <w:p>
      <w:pPr>
        <w:pStyle w:val="BodyText"/>
        <w:spacing w:before="95"/>
        <w:ind w:left="126" w:right="133" w:firstLine="193"/>
      </w:pPr>
      <w:r>
        <w:rPr>
          <w:color w:val="010101"/>
          <w:w w:val="105"/>
        </w:rPr>
        <w:t>The probability that  (.'t)  </w:t>
      </w:r>
      <w:r>
        <w:rPr>
          <w:color w:val="010101"/>
          <w:w w:val="105"/>
          <w:sz w:val="21"/>
        </w:rPr>
        <w:t>will  </w:t>
      </w:r>
      <w:r>
        <w:rPr>
          <w:color w:val="010101"/>
          <w:w w:val="105"/>
        </w:rPr>
        <w:t>survive  to age </w:t>
      </w:r>
      <w:r>
        <w:rPr>
          <w:i/>
          <w:color w:val="010101"/>
          <w:w w:val="105"/>
          <w:sz w:val="21"/>
        </w:rPr>
        <w:t>x  </w:t>
      </w:r>
      <w:r>
        <w:rPr>
          <w:color w:val="010101"/>
          <w:w w:val="105"/>
          <w:sz w:val="29"/>
        </w:rPr>
        <w:t>+ </w:t>
      </w:r>
      <w:r>
        <w:rPr>
          <w:i/>
          <w:color w:val="010101"/>
          <w:w w:val="105"/>
          <w:sz w:val="21"/>
        </w:rPr>
        <w:t>n </w:t>
      </w:r>
      <w:r>
        <w:rPr>
          <w:color w:val="010101"/>
          <w:w w:val="105"/>
        </w:rPr>
        <w:t>is denoted by </w:t>
      </w:r>
      <w:r>
        <w:rPr>
          <w:color w:val="010101"/>
        </w:rPr>
        <w:t>raPs </w:t>
      </w:r>
      <w:r>
        <w:rPr>
          <w:color w:val="010101"/>
          <w:w w:val="105"/>
        </w:rPr>
        <w:t>, and</w:t>
      </w:r>
    </w:p>
    <w:p>
      <w:pPr>
        <w:tabs>
          <w:tab w:pos="5434" w:val="left" w:leader="none"/>
        </w:tabs>
        <w:spacing w:before="127"/>
        <w:ind w:left="2484" w:right="0" w:firstLine="0"/>
        <w:jc w:val="left"/>
        <w:rPr>
          <w:sz w:val="19"/>
        </w:rPr>
      </w:pPr>
      <w:r>
        <w:rPr>
          <w:b/>
          <w:i/>
          <w:color w:val="010101"/>
          <w:w w:val="105"/>
          <w:sz w:val="27"/>
        </w:rPr>
        <w:t>.p.</w:t>
      </w:r>
      <w:r>
        <w:rPr>
          <w:b/>
          <w:i/>
          <w:color w:val="010101"/>
          <w:sz w:val="27"/>
        </w:rPr>
        <w:t> </w:t>
      </w:r>
      <w:r>
        <w:rPr>
          <w:b/>
          <w:i/>
          <w:color w:val="010101"/>
          <w:w w:val="92"/>
          <w:sz w:val="27"/>
        </w:rPr>
        <w:t>=</w:t>
      </w:r>
      <w:r>
        <w:rPr>
          <w:b/>
          <w:i/>
          <w:color w:val="010101"/>
          <w:spacing w:val="12"/>
          <w:sz w:val="27"/>
        </w:rPr>
        <w:t> </w:t>
      </w:r>
      <w:r>
        <w:rPr>
          <w:i/>
          <w:color w:val="010101"/>
          <w:spacing w:val="-25"/>
          <w:w w:val="78"/>
          <w:position w:val="14"/>
          <w:sz w:val="21"/>
        </w:rPr>
        <w:t>l</w:t>
      </w:r>
      <w:r>
        <w:rPr>
          <w:b/>
          <w:i/>
          <w:color w:val="010101"/>
          <w:spacing w:val="-72"/>
          <w:w w:val="106"/>
          <w:sz w:val="27"/>
        </w:rPr>
        <w:t>-</w:t>
      </w:r>
      <w:r>
        <w:rPr>
          <w:i/>
          <w:color w:val="010101"/>
          <w:w w:val="78"/>
          <w:position w:val="14"/>
          <w:sz w:val="21"/>
        </w:rPr>
        <w:t>s</w:t>
      </w:r>
      <w:r>
        <w:rPr>
          <w:i/>
          <w:color w:val="010101"/>
          <w:spacing w:val="-105"/>
          <w:w w:val="78"/>
          <w:position w:val="14"/>
          <w:sz w:val="21"/>
        </w:rPr>
        <w:t>+</w:t>
      </w:r>
      <w:r>
        <w:rPr>
          <w:b/>
          <w:i/>
          <w:color w:val="010101"/>
          <w:spacing w:val="-8"/>
          <w:w w:val="106"/>
          <w:sz w:val="27"/>
        </w:rPr>
        <w:t>¡</w:t>
      </w:r>
      <w:r>
        <w:rPr>
          <w:i/>
          <w:color w:val="010101"/>
          <w:spacing w:val="-76"/>
          <w:w w:val="79"/>
          <w:position w:val="14"/>
          <w:sz w:val="21"/>
        </w:rPr>
        <w:t>a</w:t>
      </w:r>
      <w:r>
        <w:rPr>
          <w:b/>
          <w:i/>
          <w:color w:val="010101"/>
          <w:w w:val="106"/>
          <w:sz w:val="27"/>
        </w:rPr>
        <w:t>;·</w:t>
      </w:r>
      <w:r>
        <w:rPr>
          <w:b/>
          <w:i/>
          <w:color w:val="010101"/>
          <w:sz w:val="27"/>
        </w:rPr>
        <w:tab/>
      </w:r>
      <w:r>
        <w:rPr>
          <w:color w:val="010101"/>
          <w:w w:val="109"/>
          <w:position w:val="4"/>
          <w:sz w:val="19"/>
        </w:rPr>
        <w:t>(</w:t>
      </w:r>
      <w:r>
        <w:rPr>
          <w:color w:val="010101"/>
          <w:spacing w:val="-13"/>
          <w:position w:val="4"/>
          <w:sz w:val="19"/>
        </w:rPr>
        <w:t> </w:t>
      </w:r>
      <w:r>
        <w:rPr>
          <w:color w:val="010101"/>
          <w:w w:val="109"/>
          <w:position w:val="4"/>
          <w:sz w:val="19"/>
        </w:rPr>
        <w:t>1.4)</w:t>
      </w:r>
    </w:p>
    <w:p>
      <w:pPr>
        <w:spacing w:line="238" w:lineRule="exact" w:before="195"/>
        <w:ind w:left="316" w:right="0" w:firstLine="0"/>
        <w:jc w:val="left"/>
        <w:rPr>
          <w:sz w:val="21"/>
        </w:rPr>
      </w:pPr>
      <w:r>
        <w:rPr>
          <w:color w:val="010101"/>
          <w:w w:val="105"/>
          <w:sz w:val="20"/>
        </w:rPr>
        <w:t>The probability  that  </w:t>
      </w:r>
      <w:r>
        <w:rPr>
          <w:rFonts w:ascii="Arial"/>
          <w:i/>
          <w:color w:val="010101"/>
          <w:w w:val="105"/>
          <w:sz w:val="19"/>
        </w:rPr>
        <w:t>(x) </w:t>
      </w:r>
      <w:r>
        <w:rPr>
          <w:color w:val="010101"/>
          <w:w w:val="105"/>
          <w:sz w:val="21"/>
        </w:rPr>
        <w:t>will </w:t>
      </w:r>
      <w:r>
        <w:rPr>
          <w:color w:val="010101"/>
          <w:w w:val="105"/>
          <w:sz w:val="20"/>
        </w:rPr>
        <w:t>die within  1year </w:t>
      </w:r>
      <w:r>
        <w:rPr>
          <w:rFonts w:ascii="Arial"/>
          <w:color w:val="010101"/>
          <w:w w:val="105"/>
          <w:sz w:val="19"/>
        </w:rPr>
        <w:t>is </w:t>
      </w:r>
      <w:r>
        <w:rPr>
          <w:color w:val="010101"/>
          <w:w w:val="105"/>
          <w:sz w:val="20"/>
        </w:rPr>
        <w:t>denoted by  </w:t>
      </w:r>
      <w:r>
        <w:rPr>
          <w:i/>
          <w:color w:val="010101"/>
          <w:w w:val="105"/>
          <w:sz w:val="21"/>
        </w:rPr>
        <w:t>qs </w:t>
      </w:r>
      <w:r>
        <w:rPr>
          <w:color w:val="010101"/>
          <w:w w:val="105"/>
          <w:sz w:val="21"/>
        </w:rPr>
        <w:t>,</w:t>
      </w:r>
    </w:p>
    <w:p>
      <w:pPr>
        <w:spacing w:line="250" w:lineRule="exact" w:before="0"/>
        <w:ind w:left="122" w:right="739" w:firstLine="0"/>
        <w:jc w:val="left"/>
        <w:rPr>
          <w:b/>
          <w:sz w:val="22"/>
        </w:rPr>
      </w:pPr>
      <w:r>
        <w:rPr>
          <w:b/>
          <w:color w:val="010101"/>
          <w:sz w:val="22"/>
        </w:rPr>
        <w:t>and</w:t>
      </w:r>
    </w:p>
    <w:p>
      <w:pPr>
        <w:tabs>
          <w:tab w:pos="5423" w:val="left" w:leader="none"/>
        </w:tabs>
        <w:spacing w:line="285" w:lineRule="exact" w:before="126"/>
        <w:ind w:left="1105" w:right="0" w:firstLine="0"/>
        <w:jc w:val="left"/>
        <w:rPr>
          <w:b/>
          <w:sz w:val="19"/>
        </w:rPr>
      </w:pPr>
      <w:r>
        <w:rPr>
          <w:b/>
          <w:i/>
          <w:color w:val="010101"/>
          <w:sz w:val="20"/>
        </w:rPr>
        <w:t>qs  </w:t>
      </w:r>
      <w:r>
        <w:rPr>
          <w:color w:val="010101"/>
          <w:sz w:val="28"/>
        </w:rPr>
        <w:t>= </w:t>
      </w:r>
      <w:r>
        <w:rPr>
          <w:b/>
          <w:color w:val="010101"/>
          <w:sz w:val="19"/>
        </w:rPr>
        <w:t>1  </w:t>
      </w:r>
      <w:r>
        <w:rPr>
          <w:color w:val="010101"/>
          <w:w w:val="125"/>
          <w:sz w:val="19"/>
        </w:rPr>
        <w:t>_ </w:t>
      </w:r>
      <w:r>
        <w:rPr>
          <w:b/>
          <w:color w:val="010101"/>
          <w:w w:val="115"/>
          <w:sz w:val="19"/>
        </w:rPr>
        <w:t>Ps </w:t>
      </w:r>
      <w:r>
        <w:rPr>
          <w:rFonts w:ascii="Arial" w:hAnsi="Arial"/>
          <w:color w:val="010101"/>
          <w:sz w:val="17"/>
        </w:rPr>
        <w:t>==  </w:t>
      </w:r>
      <w:r>
        <w:rPr>
          <w:b/>
          <w:color w:val="010101"/>
          <w:w w:val="125"/>
          <w:sz w:val="19"/>
        </w:rPr>
        <w:t>l  </w:t>
      </w:r>
      <w:r>
        <w:rPr>
          <w:color w:val="010101"/>
          <w:w w:val="125"/>
          <w:sz w:val="19"/>
        </w:rPr>
        <w:t>_ </w:t>
      </w:r>
      <w:r>
        <w:rPr>
          <w:b/>
          <w:color w:val="010101"/>
          <w:w w:val="115"/>
          <w:sz w:val="15"/>
          <w:u w:val="single" w:color="000000"/>
        </w:rPr>
        <w:t>l.+1  </w:t>
      </w:r>
      <w:r>
        <w:rPr>
          <w:color w:val="010101"/>
          <w:sz w:val="28"/>
        </w:rPr>
        <w:t>= </w:t>
      </w:r>
      <w:r>
        <w:rPr>
          <w:b/>
          <w:i/>
          <w:color w:val="010101"/>
          <w:w w:val="125"/>
          <w:sz w:val="22"/>
          <w:u w:val="single" w:color="000000"/>
        </w:rPr>
        <w:t>l. </w:t>
      </w:r>
      <w:r>
        <w:rPr>
          <w:color w:val="010101"/>
          <w:w w:val="240"/>
          <w:sz w:val="22"/>
          <w:u w:val="single" w:color="000000"/>
        </w:rPr>
        <w:t>- </w:t>
      </w:r>
      <w:r>
        <w:rPr>
          <w:b/>
          <w:color w:val="010101"/>
          <w:w w:val="115"/>
          <w:sz w:val="15"/>
          <w:u w:val="single" w:color="000000"/>
        </w:rPr>
        <w:t>l.+1  </w:t>
      </w:r>
      <w:r>
        <w:rPr>
          <w:color w:val="010101"/>
          <w:sz w:val="28"/>
        </w:rPr>
        <w:t>=</w:t>
      </w:r>
      <w:r>
        <w:rPr>
          <w:color w:val="010101"/>
          <w:spacing w:val="12"/>
          <w:sz w:val="28"/>
        </w:rPr>
        <w:t> </w:t>
      </w:r>
      <w:r>
        <w:rPr>
          <w:b/>
          <w:color w:val="010101"/>
          <w:sz w:val="19"/>
          <w:u w:val="single" w:color="000000"/>
        </w:rPr>
        <w:t>da</w:t>
      </w:r>
      <w:r>
        <w:rPr>
          <w:b/>
          <w:color w:val="010101"/>
          <w:spacing w:val="-2"/>
          <w:sz w:val="19"/>
          <w:u w:val="single" w:color="000000"/>
        </w:rPr>
        <w:t> </w:t>
      </w:r>
      <w:r>
        <w:rPr>
          <w:color w:val="010101"/>
          <w:sz w:val="19"/>
        </w:rPr>
        <w:t>•</w:t>
        <w:tab/>
      </w:r>
      <w:r>
        <w:rPr>
          <w:color w:val="010101"/>
          <w:w w:val="115"/>
          <w:sz w:val="19"/>
        </w:rPr>
        <w:t>(</w:t>
      </w:r>
      <w:r>
        <w:rPr>
          <w:color w:val="010101"/>
          <w:spacing w:val="-29"/>
          <w:w w:val="115"/>
          <w:sz w:val="19"/>
        </w:rPr>
        <w:t> </w:t>
      </w:r>
      <w:r>
        <w:rPr>
          <w:b/>
          <w:color w:val="010101"/>
          <w:w w:val="115"/>
          <w:sz w:val="19"/>
        </w:rPr>
        <w:t>l.S</w:t>
      </w:r>
      <w:r>
        <w:rPr>
          <w:b/>
          <w:color w:val="010101"/>
          <w:spacing w:val="-35"/>
          <w:w w:val="115"/>
          <w:sz w:val="19"/>
        </w:rPr>
        <w:t> </w:t>
      </w:r>
      <w:r>
        <w:rPr>
          <w:b/>
          <w:color w:val="010101"/>
          <w:sz w:val="19"/>
        </w:rPr>
        <w:t>)</w:t>
      </w:r>
    </w:p>
    <w:p>
      <w:pPr>
        <w:tabs>
          <w:tab w:pos="3865" w:val="left" w:leader="none"/>
          <w:tab w:pos="4605" w:val="left" w:leader="none"/>
        </w:tabs>
        <w:spacing w:line="205" w:lineRule="exact" w:before="0"/>
        <w:ind w:left="3036" w:right="739" w:firstLine="0"/>
        <w:jc w:val="left"/>
        <w:rPr>
          <w:b/>
          <w:i/>
          <w:sz w:val="21"/>
        </w:rPr>
      </w:pPr>
      <w:r>
        <w:rPr>
          <w:b/>
          <w:i/>
          <w:color w:val="010101"/>
          <w:w w:val="105"/>
          <w:sz w:val="21"/>
        </w:rPr>
        <w:t>ls</w:t>
        <w:tab/>
      </w:r>
      <w:r>
        <w:rPr>
          <w:b/>
          <w:i/>
          <w:color w:val="010101"/>
          <w:w w:val="125"/>
          <w:sz w:val="21"/>
        </w:rPr>
        <w:t>l.</w:t>
        <w:tab/>
      </w:r>
      <w:r>
        <w:rPr>
          <w:b/>
          <w:i/>
          <w:color w:val="010101"/>
          <w:w w:val="105"/>
          <w:sz w:val="21"/>
        </w:rPr>
        <w:t>lz</w:t>
      </w:r>
    </w:p>
    <w:p>
      <w:pPr>
        <w:pStyle w:val="BodyText"/>
        <w:spacing w:line="190" w:lineRule="exact" w:before="109"/>
        <w:ind w:left="312" w:right="133"/>
      </w:pPr>
      <w:r>
        <w:rPr>
          <w:color w:val="010101"/>
          <w:w w:val="105"/>
        </w:rPr>
        <w:t>The  probability  that.  </w:t>
      </w:r>
      <w:r>
        <w:rPr>
          <w:rFonts w:ascii="Arial"/>
          <w:i/>
          <w:color w:val="010101"/>
          <w:w w:val="105"/>
          <w:sz w:val="19"/>
        </w:rPr>
        <w:t>(x)  </w:t>
      </w:r>
      <w:r>
        <w:rPr>
          <w:color w:val="010101"/>
          <w:w w:val="105"/>
        </w:rPr>
        <w:t>will  die within  </w:t>
      </w:r>
      <w:r>
        <w:rPr>
          <w:rFonts w:ascii="Arial"/>
          <w:i/>
          <w:color w:val="010101"/>
          <w:w w:val="105"/>
          <w:sz w:val="19"/>
        </w:rPr>
        <w:t>n </w:t>
      </w:r>
      <w:r>
        <w:rPr>
          <w:color w:val="010101"/>
          <w:w w:val="105"/>
        </w:rPr>
        <w:t>years  is denoted by</w:t>
      </w:r>
    </w:p>
    <w:p>
      <w:pPr>
        <w:spacing w:line="293" w:lineRule="exact" w:before="0"/>
        <w:ind w:left="118" w:right="739" w:firstLine="0"/>
        <w:jc w:val="left"/>
        <w:rPr>
          <w:sz w:val="20"/>
        </w:rPr>
      </w:pPr>
      <w:r>
        <w:rPr>
          <w:i/>
          <w:color w:val="010101"/>
          <w:w w:val="90"/>
          <w:sz w:val="29"/>
        </w:rPr>
        <w:t>,,q. , </w:t>
      </w:r>
      <w:r>
        <w:rPr>
          <w:color w:val="010101"/>
          <w:w w:val="90"/>
          <w:sz w:val="20"/>
        </w:rPr>
        <w:t>and</w:t>
      </w:r>
    </w:p>
    <w:p>
      <w:pPr>
        <w:tabs>
          <w:tab w:pos="2106" w:val="left" w:leader="none"/>
          <w:tab w:pos="3208" w:val="left" w:leader="none"/>
        </w:tabs>
        <w:spacing w:line="161" w:lineRule="exact" w:before="73"/>
        <w:ind w:left="1485" w:right="0" w:firstLine="0"/>
        <w:jc w:val="center"/>
        <w:rPr>
          <w:b/>
          <w:sz w:val="18"/>
        </w:rPr>
      </w:pPr>
      <w:r>
        <w:rPr/>
        <w:pict>
          <v:shape style="position:absolute;margin-left:218.584198pt;margin-top:6.308568pt;width:55.9pt;height:18.5pt;mso-position-horizontal-relative:page;mso-position-vertical-relative:paragraph;z-index:-734440" type="#_x0000_t202" filled="false" stroked="false">
            <v:textbox inset="0,0,0,0">
              <w:txbxContent>
                <w:p>
                  <w:pPr>
                    <w:tabs>
                      <w:tab w:pos="868" w:val="left" w:leader="none"/>
                    </w:tabs>
                    <w:spacing w:line="370" w:lineRule="exact" w:before="0"/>
                    <w:ind w:left="0" w:right="0" w:firstLine="0"/>
                    <w:jc w:val="left"/>
                    <w:rPr>
                      <w:rFonts w:ascii="Arial"/>
                      <w:b/>
                      <w:sz w:val="32"/>
                    </w:rPr>
                  </w:pPr>
                  <w:r>
                    <w:rPr>
                      <w:rFonts w:ascii="Arial"/>
                      <w:color w:val="010101"/>
                      <w:spacing w:val="-102"/>
                      <w:w w:val="172"/>
                      <w:sz w:val="37"/>
                    </w:rPr>
                    <w:t>.</w:t>
                  </w:r>
                  <w:r>
                    <w:rPr>
                      <w:rFonts w:ascii="Arial"/>
                      <w:color w:val="010101"/>
                      <w:spacing w:val="-9"/>
                      <w:w w:val="48"/>
                      <w:sz w:val="37"/>
                    </w:rPr>
                    <w:t>+</w:t>
                  </w:r>
                  <w:r>
                    <w:rPr>
                      <w:rFonts w:ascii="Arial"/>
                      <w:color w:val="010101"/>
                      <w:w w:val="46"/>
                      <w:sz w:val="37"/>
                    </w:rPr>
                    <w:t>..</w:t>
                  </w:r>
                  <w:r>
                    <w:rPr>
                      <w:rFonts w:ascii="Arial"/>
                      <w:color w:val="010101"/>
                      <w:sz w:val="37"/>
                    </w:rPr>
                    <w:tab/>
                  </w:r>
                  <w:r>
                    <w:rPr>
                      <w:rFonts w:ascii="Arial"/>
                      <w:b/>
                      <w:color w:val="010101"/>
                      <w:w w:val="77"/>
                      <w:sz w:val="32"/>
                    </w:rPr>
                    <w:t>:E</w:t>
                  </w:r>
                </w:p>
              </w:txbxContent>
            </v:textbox>
            <w10:wrap type="none"/>
          </v:shape>
        </w:pict>
      </w:r>
      <w:r>
        <w:rPr>
          <w:rFonts w:ascii="Arial" w:hAnsi="Arial"/>
          <w:b/>
          <w:i/>
          <w:color w:val="010101"/>
          <w:w w:val="115"/>
          <w:sz w:val="20"/>
        </w:rPr>
        <w:t>l</w:t>
        <w:tab/>
        <w:t>l </w:t>
      </w:r>
      <w:r>
        <w:rPr>
          <w:rFonts w:ascii="Arial" w:hAnsi="Arial"/>
          <w:b/>
          <w:i/>
          <w:color w:val="010101"/>
          <w:spacing w:val="39"/>
          <w:w w:val="115"/>
          <w:sz w:val="20"/>
        </w:rPr>
        <w:t> </w:t>
      </w:r>
      <w:r>
        <w:rPr>
          <w:rFonts w:ascii="Arial" w:hAnsi="Arial"/>
          <w:color w:val="010101"/>
          <w:w w:val="235"/>
          <w:sz w:val="20"/>
        </w:rPr>
        <w:t>-</w:t>
      </w:r>
      <w:r>
        <w:rPr>
          <w:rFonts w:ascii="Arial" w:hAnsi="Arial"/>
          <w:color w:val="010101"/>
          <w:spacing w:val="-73"/>
          <w:w w:val="235"/>
          <w:sz w:val="20"/>
        </w:rPr>
        <w:t> </w:t>
      </w:r>
      <w:r>
        <w:rPr>
          <w:rFonts w:ascii="Arial" w:hAnsi="Arial"/>
          <w:b/>
          <w:i/>
          <w:color w:val="010101"/>
          <w:w w:val="115"/>
          <w:sz w:val="20"/>
        </w:rPr>
        <w:t>l</w:t>
        <w:tab/>
      </w:r>
      <w:r>
        <w:rPr>
          <w:b/>
          <w:color w:val="010101"/>
          <w:w w:val="110"/>
          <w:sz w:val="19"/>
        </w:rPr>
        <w:t>1</w:t>
      </w:r>
      <w:r>
        <w:rPr>
          <w:b/>
          <w:color w:val="010101"/>
          <w:spacing w:val="-30"/>
          <w:w w:val="110"/>
          <w:sz w:val="19"/>
        </w:rPr>
        <w:t> </w:t>
      </w:r>
      <w:r>
        <w:rPr>
          <w:b/>
          <w:color w:val="010101"/>
          <w:w w:val="110"/>
          <w:sz w:val="18"/>
        </w:rPr>
        <w:t>•+1t-l</w:t>
      </w:r>
    </w:p>
    <w:p>
      <w:pPr>
        <w:tabs>
          <w:tab w:pos="4052" w:val="left" w:leader="none"/>
          <w:tab w:pos="4957" w:val="left" w:leader="none"/>
        </w:tabs>
        <w:spacing w:line="237" w:lineRule="exact" w:before="0"/>
        <w:ind w:left="567" w:right="0" w:firstLine="0"/>
        <w:jc w:val="left"/>
        <w:rPr>
          <w:sz w:val="20"/>
        </w:rPr>
      </w:pPr>
      <w:r>
        <w:rPr>
          <w:b/>
          <w:i/>
          <w:color w:val="010101"/>
          <w:sz w:val="20"/>
        </w:rPr>
        <w:t>,.q. </w:t>
      </w:r>
      <w:r>
        <w:rPr>
          <w:color w:val="010101"/>
          <w:sz w:val="28"/>
        </w:rPr>
        <w:t>= </w:t>
      </w:r>
      <w:r>
        <w:rPr>
          <w:color w:val="010101"/>
          <w:w w:val="125"/>
          <w:sz w:val="20"/>
        </w:rPr>
        <w:t>1 </w:t>
      </w:r>
      <w:r>
        <w:rPr>
          <w:color w:val="010101"/>
          <w:w w:val="260"/>
          <w:sz w:val="20"/>
        </w:rPr>
        <w:t>- </w:t>
      </w:r>
      <w:r>
        <w:rPr>
          <w:b/>
          <w:i/>
          <w:color w:val="010101"/>
          <w:sz w:val="20"/>
        </w:rPr>
        <w:t>,,p. </w:t>
      </w:r>
      <w:r>
        <w:rPr>
          <w:color w:val="010101"/>
          <w:sz w:val="26"/>
        </w:rPr>
        <w:t>= </w:t>
      </w:r>
      <w:r>
        <w:rPr>
          <w:color w:val="010101"/>
          <w:w w:val="125"/>
          <w:sz w:val="20"/>
        </w:rPr>
        <w:t>1 </w:t>
      </w:r>
      <w:r>
        <w:rPr>
          <w:color w:val="010101"/>
          <w:w w:val="260"/>
          <w:sz w:val="20"/>
        </w:rPr>
        <w:t>- </w:t>
      </w:r>
      <w:r>
        <w:rPr>
          <w:i/>
          <w:color w:val="010101"/>
          <w:spacing w:val="-12"/>
          <w:sz w:val="18"/>
        </w:rPr>
        <w:t>.l+,a  </w:t>
      </w:r>
      <w:r>
        <w:rPr>
          <w:color w:val="010101"/>
          <w:sz w:val="28"/>
        </w:rPr>
        <w:t>= </w:t>
      </w:r>
      <w:r>
        <w:rPr>
          <w:color w:val="010101"/>
          <w:spacing w:val="22"/>
          <w:sz w:val="28"/>
        </w:rPr>
        <w:t> </w:t>
      </w:r>
      <w:r>
        <w:rPr>
          <w:color w:val="010101"/>
          <w:sz w:val="28"/>
        </w:rPr>
        <w:t>• </w:t>
      </w:r>
      <w:r>
        <w:rPr>
          <w:color w:val="010101"/>
          <w:spacing w:val="4"/>
          <w:sz w:val="28"/>
        </w:rPr>
        <w:t> </w:t>
      </w:r>
      <w:r>
        <w:rPr>
          <w:i/>
          <w:color w:val="010101"/>
          <w:w w:val="125"/>
          <w:sz w:val="18"/>
        </w:rPr>
        <w:t>l</w:t>
        <w:tab/>
      </w:r>
      <w:r>
        <w:rPr>
          <w:color w:val="010101"/>
          <w:sz w:val="28"/>
        </w:rPr>
        <w:t>=</w:t>
      </w:r>
      <w:r>
        <w:rPr>
          <w:color w:val="010101"/>
          <w:spacing w:val="13"/>
          <w:sz w:val="28"/>
        </w:rPr>
        <w:t> </w:t>
      </w:r>
      <w:r>
        <w:rPr>
          <w:i/>
          <w:color w:val="010101"/>
          <w:spacing w:val="-25"/>
          <w:w w:val="155"/>
          <w:sz w:val="18"/>
        </w:rPr>
        <w:t>l-</w:t>
        <w:tab/>
      </w:r>
      <w:r>
        <w:rPr>
          <w:rFonts w:ascii="Arial" w:hAnsi="Arial"/>
          <w:b/>
          <w:i/>
          <w:color w:val="010101"/>
          <w:w w:val="90"/>
          <w:sz w:val="26"/>
        </w:rPr>
        <w:t>&lt;4</w:t>
      </w:r>
      <w:r>
        <w:rPr>
          <w:rFonts w:ascii="Arial" w:hAnsi="Arial"/>
          <w:b/>
          <w:i/>
          <w:color w:val="010101"/>
          <w:spacing w:val="-40"/>
          <w:w w:val="90"/>
          <w:sz w:val="26"/>
        </w:rPr>
        <w:t> </w:t>
      </w:r>
      <w:r>
        <w:rPr>
          <w:rFonts w:ascii="Arial" w:hAnsi="Arial"/>
          <w:color w:val="010101"/>
          <w:w w:val="125"/>
          <w:sz w:val="26"/>
        </w:rPr>
        <w:t>.</w:t>
      </w:r>
      <w:r>
        <w:rPr>
          <w:rFonts w:ascii="Arial" w:hAnsi="Arial"/>
          <w:color w:val="010101"/>
          <w:spacing w:val="19"/>
          <w:w w:val="125"/>
          <w:sz w:val="26"/>
        </w:rPr>
        <w:t> </w:t>
      </w:r>
      <w:r>
        <w:rPr>
          <w:rFonts w:ascii="Arial" w:hAnsi="Arial"/>
          <w:color w:val="010101"/>
          <w:sz w:val="26"/>
        </w:rPr>
        <w:t>(</w:t>
      </w:r>
      <w:r>
        <w:rPr>
          <w:rFonts w:ascii="Arial" w:hAnsi="Arial"/>
          <w:color w:val="010101"/>
          <w:spacing w:val="-59"/>
          <w:sz w:val="26"/>
        </w:rPr>
        <w:t> </w:t>
      </w:r>
      <w:r>
        <w:rPr>
          <w:color w:val="010101"/>
          <w:sz w:val="20"/>
        </w:rPr>
        <w:t>1.6)</w:t>
      </w:r>
    </w:p>
    <w:p>
      <w:pPr>
        <w:tabs>
          <w:tab w:pos="2399" w:val="left" w:leader="none"/>
          <w:tab w:pos="3167" w:val="left" w:leader="none"/>
        </w:tabs>
        <w:spacing w:line="134" w:lineRule="exact" w:before="0"/>
        <w:ind w:left="1548" w:right="0" w:firstLine="0"/>
        <w:jc w:val="center"/>
        <w:rPr>
          <w:rFonts w:ascii="Arial"/>
          <w:b/>
          <w:sz w:val="9"/>
        </w:rPr>
      </w:pPr>
      <w:r>
        <w:rPr/>
        <w:pict>
          <v:line style="position:absolute;mso-position-horizontal-relative:page;mso-position-vertical-relative:paragraph;z-index:-734464" from="208.354904pt,3.497473pt" to="214.636104pt,3.497473pt" stroked="true" strokeweight="2.153539pt" strokecolor="#000000">
            <w10:wrap type="none"/>
          </v:line>
        </w:pict>
      </w:r>
      <w:r>
        <w:rPr>
          <w:b/>
          <w:color w:val="010101"/>
          <w:w w:val="130"/>
          <w:sz w:val="13"/>
        </w:rPr>
        <w:t>a</w:t>
        <w:tab/>
        <w:t>a</w:t>
        <w:tab/>
        <w:t>a   </w:t>
      </w:r>
      <w:r>
        <w:rPr>
          <w:b/>
          <w:color w:val="010101"/>
          <w:spacing w:val="6"/>
          <w:w w:val="130"/>
          <w:sz w:val="13"/>
        </w:rPr>
        <w:t> </w:t>
      </w:r>
      <w:r>
        <w:rPr>
          <w:rFonts w:ascii="Arial"/>
          <w:b/>
          <w:color w:val="010101"/>
          <w:w w:val="165"/>
          <w:sz w:val="9"/>
        </w:rPr>
        <w:t>,-is</w:t>
      </w:r>
    </w:p>
    <w:p>
      <w:pPr>
        <w:pStyle w:val="BodyText"/>
        <w:spacing w:line="194" w:lineRule="exact" w:before="99"/>
        <w:ind w:left="316" w:right="123"/>
      </w:pPr>
      <w:r>
        <w:rPr>
          <w:color w:val="010101"/>
          <w:w w:val="105"/>
        </w:rPr>
        <w:t>The probability  that  </w:t>
      </w:r>
      <w:r>
        <w:rPr>
          <w:rFonts w:ascii="Arial"/>
          <w:i/>
          <w:color w:val="010101"/>
          <w:w w:val="105"/>
          <w:sz w:val="19"/>
        </w:rPr>
        <w:t>(x)  </w:t>
      </w:r>
      <w:r>
        <w:rPr>
          <w:color w:val="010101"/>
          <w:w w:val="105"/>
          <w:sz w:val="21"/>
        </w:rPr>
        <w:t>will  </w:t>
      </w:r>
      <w:r>
        <w:rPr>
          <w:color w:val="010101"/>
          <w:w w:val="105"/>
        </w:rPr>
        <w:t>survive for </w:t>
      </w:r>
      <w:r>
        <w:rPr>
          <w:rFonts w:ascii="Arial"/>
          <w:i/>
          <w:color w:val="010101"/>
          <w:w w:val="105"/>
          <w:sz w:val="19"/>
        </w:rPr>
        <w:t>n </w:t>
      </w:r>
      <w:r>
        <w:rPr>
          <w:color w:val="010101"/>
          <w:w w:val="105"/>
        </w:rPr>
        <w:t>years and  die in  the</w:t>
      </w:r>
    </w:p>
    <w:p>
      <w:pPr>
        <w:pStyle w:val="BodyText"/>
        <w:spacing w:line="309" w:lineRule="exact"/>
        <w:ind w:left="154" w:right="739"/>
      </w:pPr>
      <w:r>
        <w:rPr>
          <w:rFonts w:ascii="Arial"/>
          <w:i/>
          <w:color w:val="010101"/>
          <w:w w:val="105"/>
          <w:sz w:val="19"/>
        </w:rPr>
        <w:t>(n </w:t>
      </w:r>
      <w:r>
        <w:rPr>
          <w:rFonts w:ascii="Arial"/>
          <w:color w:val="010101"/>
          <w:w w:val="105"/>
          <w:sz w:val="31"/>
        </w:rPr>
        <w:t>+ </w:t>
      </w:r>
      <w:r>
        <w:rPr>
          <w:color w:val="010101"/>
          <w:w w:val="105"/>
          <w:sz w:val="21"/>
        </w:rPr>
        <w:t>1</w:t>
      </w:r>
      <w:r>
        <w:rPr>
          <w:color w:val="010101"/>
          <w:w w:val="105"/>
        </w:rPr>
        <w:t>)-th year  is denoted  by  ,.</w:t>
      </w:r>
      <w:r>
        <w:rPr>
          <w:rFonts w:ascii="Arial"/>
          <w:color w:val="010101"/>
          <w:w w:val="105"/>
          <w:position w:val="-3"/>
          <w:sz w:val="10"/>
        </w:rPr>
        <w:t>1</w:t>
      </w:r>
      <w:r>
        <w:rPr>
          <w:color w:val="010101"/>
          <w:w w:val="105"/>
        </w:rPr>
        <w:t>q. , and</w:t>
      </w:r>
    </w:p>
    <w:p>
      <w:pPr>
        <w:pStyle w:val="BodyText"/>
        <w:spacing w:before="149"/>
        <w:ind w:left="2450"/>
      </w:pPr>
      <w:r>
        <w:rPr>
          <w:position w:val="-16"/>
        </w:rPr>
        <w:drawing>
          <wp:inline distT="0" distB="0" distL="0" distR="0">
            <wp:extent cx="694944" cy="274319"/>
            <wp:effectExtent l="0" t="0" r="0" b="0"/>
            <wp:docPr id="3" name="image5.png" descr=""/>
            <wp:cNvGraphicFramePr>
              <a:graphicFrameLocks noChangeAspect="1"/>
            </wp:cNvGraphicFramePr>
            <a:graphic>
              <a:graphicData uri="http://schemas.openxmlformats.org/drawingml/2006/picture">
                <pic:pic>
                  <pic:nvPicPr>
                    <pic:cNvPr id="4" name="image5.png"/>
                    <pic:cNvPicPr/>
                  </pic:nvPicPr>
                  <pic:blipFill>
                    <a:blip r:embed="rId9" cstate="print"/>
                    <a:stretch>
                      <a:fillRect/>
                    </a:stretch>
                  </pic:blipFill>
                  <pic:spPr>
                    <a:xfrm>
                      <a:off x="0" y="0"/>
                      <a:ext cx="694944" cy="274319"/>
                    </a:xfrm>
                    <a:prstGeom prst="rect">
                      <a:avLst/>
                    </a:prstGeom>
                  </pic:spPr>
                </pic:pic>
              </a:graphicData>
            </a:graphic>
          </wp:inline>
        </w:drawing>
      </w:r>
      <w:r>
        <w:rPr>
          <w:position w:val="-16"/>
        </w:rPr>
      </w:r>
      <w:r>
        <w:rPr/>
        <w:t>                                     </w:t>
      </w:r>
      <w:r>
        <w:rPr>
          <w:color w:val="010101"/>
        </w:rPr>
        <w:t>(</w:t>
      </w:r>
      <w:r>
        <w:rPr>
          <w:color w:val="010101"/>
          <w:spacing w:val="-5"/>
        </w:rPr>
        <w:t> </w:t>
      </w:r>
      <w:r>
        <w:rPr>
          <w:color w:val="010101"/>
        </w:rPr>
        <w:t>1.7)</w:t>
      </w:r>
    </w:p>
    <w:p>
      <w:pPr>
        <w:spacing w:line="302" w:lineRule="exact" w:before="15"/>
        <w:ind w:left="312" w:right="123" w:firstLine="0"/>
        <w:jc w:val="left"/>
        <w:rPr>
          <w:sz w:val="20"/>
        </w:rPr>
      </w:pPr>
      <w:r>
        <w:rPr>
          <w:color w:val="010101"/>
          <w:w w:val="105"/>
          <w:sz w:val="20"/>
        </w:rPr>
        <w:t>The  probability   that   </w:t>
      </w:r>
      <w:r>
        <w:rPr>
          <w:rFonts w:ascii="Arial"/>
          <w:i/>
          <w:color w:val="010101"/>
          <w:w w:val="105"/>
          <w:sz w:val="19"/>
        </w:rPr>
        <w:t>(x)  </w:t>
      </w:r>
      <w:r>
        <w:rPr>
          <w:color w:val="010101"/>
          <w:w w:val="105"/>
          <w:sz w:val="21"/>
        </w:rPr>
        <w:t>will  </w:t>
      </w:r>
      <w:r>
        <w:rPr>
          <w:color w:val="010101"/>
          <w:w w:val="105"/>
          <w:sz w:val="20"/>
        </w:rPr>
        <w:t>die  between  ages  </w:t>
      </w:r>
      <w:r>
        <w:rPr>
          <w:rFonts w:ascii="Arial"/>
          <w:i/>
          <w:color w:val="010101"/>
          <w:w w:val="105"/>
          <w:sz w:val="19"/>
        </w:rPr>
        <w:t>x   </w:t>
      </w:r>
      <w:r>
        <w:rPr>
          <w:rFonts w:ascii="Arial"/>
          <w:color w:val="010101"/>
          <w:w w:val="105"/>
          <w:sz w:val="31"/>
        </w:rPr>
        <w:t>+ </w:t>
      </w:r>
      <w:r>
        <w:rPr>
          <w:rFonts w:ascii="Arial"/>
          <w:i/>
          <w:color w:val="010101"/>
          <w:w w:val="105"/>
          <w:sz w:val="19"/>
        </w:rPr>
        <w:t>n  </w:t>
      </w:r>
      <w:r>
        <w:rPr>
          <w:color w:val="010101"/>
          <w:w w:val="105"/>
          <w:sz w:val="20"/>
        </w:rPr>
        <w:t>and</w:t>
      </w:r>
    </w:p>
    <w:p>
      <w:pPr>
        <w:spacing w:line="302" w:lineRule="exact" w:before="0"/>
        <w:ind w:left="111" w:right="739" w:firstLine="0"/>
        <w:jc w:val="left"/>
        <w:rPr>
          <w:sz w:val="20"/>
        </w:rPr>
      </w:pPr>
      <w:r>
        <w:rPr>
          <w:i/>
          <w:color w:val="010101"/>
          <w:sz w:val="21"/>
        </w:rPr>
        <w:t>x  </w:t>
      </w:r>
      <w:r>
        <w:rPr>
          <w:rFonts w:ascii="Arial" w:hAnsi="Arial"/>
          <w:color w:val="010101"/>
          <w:sz w:val="31"/>
        </w:rPr>
        <w:t>+ </w:t>
      </w:r>
      <w:r>
        <w:rPr>
          <w:i/>
          <w:color w:val="010101"/>
          <w:sz w:val="21"/>
        </w:rPr>
        <w:t>n </w:t>
      </w:r>
      <w:r>
        <w:rPr>
          <w:rFonts w:ascii="Arial" w:hAnsi="Arial"/>
          <w:color w:val="010101"/>
          <w:sz w:val="31"/>
        </w:rPr>
        <w:t>+ </w:t>
      </w:r>
      <w:r>
        <w:rPr>
          <w:color w:val="010101"/>
          <w:sz w:val="20"/>
        </w:rPr>
        <w:t>m is dcnotcd by </w:t>
      </w:r>
      <w:r>
        <w:rPr>
          <w:color w:val="010101"/>
          <w:w w:val="95"/>
          <w:sz w:val="19"/>
        </w:rPr>
        <w:t>•l111qz </w:t>
      </w:r>
      <w:r>
        <w:rPr>
          <w:color w:val="010101"/>
          <w:sz w:val="19"/>
        </w:rPr>
        <w:t>, </w:t>
      </w:r>
      <w:r>
        <w:rPr>
          <w:color w:val="010101"/>
          <w:sz w:val="20"/>
        </w:rPr>
        <w:t>and</w:t>
      </w:r>
    </w:p>
    <w:p>
      <w:pPr>
        <w:pStyle w:val="BodyText"/>
        <w:spacing w:before="129"/>
        <w:ind w:left="2003" w:right="133"/>
        <w:rPr>
          <w:rFonts w:ascii="Arial"/>
          <w:sz w:val="18"/>
        </w:rPr>
      </w:pPr>
      <w:r>
        <w:rPr>
          <w:position w:val="-17"/>
        </w:rPr>
        <w:drawing>
          <wp:inline distT="0" distB="0" distL="0" distR="0">
            <wp:extent cx="1252727" cy="283463"/>
            <wp:effectExtent l="0" t="0" r="0" b="0"/>
            <wp:docPr id="5" name="image6.png" descr=""/>
            <wp:cNvGraphicFramePr>
              <a:graphicFrameLocks noChangeAspect="1"/>
            </wp:cNvGraphicFramePr>
            <a:graphic>
              <a:graphicData uri="http://schemas.openxmlformats.org/drawingml/2006/picture">
                <pic:pic>
                  <pic:nvPicPr>
                    <pic:cNvPr id="6" name="image6.png"/>
                    <pic:cNvPicPr/>
                  </pic:nvPicPr>
                  <pic:blipFill>
                    <a:blip r:embed="rId10" cstate="print"/>
                    <a:stretch>
                      <a:fillRect/>
                    </a:stretch>
                  </pic:blipFill>
                  <pic:spPr>
                    <a:xfrm>
                      <a:off x="0" y="0"/>
                      <a:ext cx="1252727" cy="283463"/>
                    </a:xfrm>
                    <a:prstGeom prst="rect">
                      <a:avLst/>
                    </a:prstGeom>
                  </pic:spPr>
                </pic:pic>
              </a:graphicData>
            </a:graphic>
          </wp:inline>
        </w:drawing>
      </w:r>
      <w:r>
        <w:rPr>
          <w:position w:val="-17"/>
        </w:rPr>
      </w:r>
      <w:r>
        <w:rPr/>
        <w:t>                            </w:t>
      </w:r>
      <w:r>
        <w:rPr>
          <w:rFonts w:ascii="Arial"/>
          <w:color w:val="010101"/>
          <w:w w:val="110"/>
          <w:sz w:val="18"/>
        </w:rPr>
        <w:t>(</w:t>
      </w:r>
      <w:r>
        <w:rPr>
          <w:rFonts w:ascii="Arial"/>
          <w:color w:val="010101"/>
          <w:spacing w:val="-37"/>
          <w:w w:val="110"/>
          <w:sz w:val="18"/>
        </w:rPr>
        <w:t> </w:t>
      </w:r>
      <w:r>
        <w:rPr>
          <w:rFonts w:ascii="Arial"/>
          <w:color w:val="010101"/>
          <w:w w:val="110"/>
          <w:sz w:val="18"/>
        </w:rPr>
        <w:t>1.8)</w:t>
      </w:r>
    </w:p>
    <w:p>
      <w:pPr>
        <w:spacing w:line="253" w:lineRule="exact" w:before="80"/>
        <w:ind w:left="316" w:right="0" w:firstLine="0"/>
        <w:jc w:val="left"/>
        <w:rPr>
          <w:sz w:val="20"/>
        </w:rPr>
      </w:pPr>
      <w:r>
        <w:rPr>
          <w:color w:val="010101"/>
          <w:w w:val="105"/>
          <w:sz w:val="22"/>
        </w:rPr>
        <w:t>In </w:t>
      </w:r>
      <w:r>
        <w:rPr>
          <w:color w:val="010101"/>
          <w:w w:val="105"/>
          <w:sz w:val="20"/>
        </w:rPr>
        <w:t>formula  </w:t>
      </w:r>
      <w:r>
        <w:rPr>
          <w:color w:val="010101"/>
          <w:w w:val="105"/>
          <w:sz w:val="18"/>
        </w:rPr>
        <w:t>(1.4), </w:t>
      </w:r>
      <w:r>
        <w:rPr>
          <w:color w:val="010101"/>
          <w:w w:val="105"/>
          <w:sz w:val="20"/>
        </w:rPr>
        <w:t>when </w:t>
      </w:r>
      <w:r>
        <w:rPr>
          <w:rFonts w:ascii="Arial"/>
          <w:i/>
          <w:color w:val="010101"/>
          <w:w w:val="105"/>
          <w:sz w:val="16"/>
        </w:rPr>
        <w:t>x  </w:t>
      </w:r>
      <w:r>
        <w:rPr>
          <w:color w:val="010101"/>
          <w:w w:val="105"/>
          <w:sz w:val="24"/>
        </w:rPr>
        <w:t>= </w:t>
      </w:r>
      <w:r>
        <w:rPr>
          <w:color w:val="010101"/>
          <w:w w:val="105"/>
          <w:sz w:val="18"/>
        </w:rPr>
        <w:t>O, </w:t>
      </w:r>
      <w:r>
        <w:rPr>
          <w:i/>
          <w:color w:val="010101"/>
          <w:w w:val="105"/>
          <w:sz w:val="19"/>
        </w:rPr>
        <w:t>nPz </w:t>
      </w:r>
      <w:r>
        <w:rPr>
          <w:color w:val="010101"/>
          <w:w w:val="105"/>
          <w:sz w:val="20"/>
        </w:rPr>
        <w:t>becomes the survival </w:t>
      </w:r>
      <w:r>
        <w:rPr>
          <w:rFonts w:ascii="Arial"/>
          <w:color w:val="010101"/>
          <w:w w:val="105"/>
          <w:sz w:val="18"/>
        </w:rPr>
        <w:t>f</w:t>
      </w:r>
      <w:r>
        <w:rPr>
          <w:color w:val="010101"/>
          <w:w w:val="105"/>
          <w:sz w:val="20"/>
        </w:rPr>
        <w:t>unction:</w:t>
      </w:r>
    </w:p>
    <w:p>
      <w:pPr>
        <w:tabs>
          <w:tab w:pos="2135" w:val="left" w:leader="none"/>
        </w:tabs>
        <w:spacing w:line="250" w:lineRule="exact" w:before="0"/>
        <w:ind w:left="111" w:right="739" w:firstLine="0"/>
        <w:jc w:val="left"/>
        <w:rPr>
          <w:sz w:val="19"/>
        </w:rPr>
      </w:pPr>
      <w:r>
        <w:rPr>
          <w:b/>
          <w:color w:val="010101"/>
          <w:sz w:val="18"/>
        </w:rPr>
        <w:t>nPo  </w:t>
      </w:r>
      <w:r>
        <w:rPr>
          <w:color w:val="010101"/>
          <w:w w:val="105"/>
          <w:sz w:val="24"/>
        </w:rPr>
        <w:t>=</w:t>
      </w:r>
      <w:r>
        <w:rPr>
          <w:color w:val="010101"/>
          <w:spacing w:val="37"/>
          <w:w w:val="105"/>
          <w:sz w:val="24"/>
        </w:rPr>
        <w:t> </w:t>
      </w:r>
      <w:r>
        <w:rPr>
          <w:color w:val="010101"/>
          <w:spacing w:val="3"/>
          <w:w w:val="105"/>
          <w:sz w:val="19"/>
        </w:rPr>
        <w:t>s(n).</w:t>
        <w:tab/>
      </w:r>
      <w:r>
        <w:rPr>
          <w:color w:val="2F2F2F"/>
          <w:w w:val="105"/>
          <w:sz w:val="19"/>
        </w:rPr>
        <w:t>·</w:t>
      </w:r>
    </w:p>
    <w:p>
      <w:pPr>
        <w:spacing w:line="244" w:lineRule="auto" w:before="0"/>
        <w:ind w:left="111" w:right="140" w:firstLine="204"/>
        <w:jc w:val="left"/>
        <w:rPr>
          <w:sz w:val="20"/>
        </w:rPr>
      </w:pPr>
      <w:r>
        <w:rPr>
          <w:color w:val="010101"/>
          <w:w w:val="105"/>
          <w:sz w:val="21"/>
        </w:rPr>
        <w:t>It </w:t>
      </w:r>
      <w:r>
        <w:rPr>
          <w:color w:val="010101"/>
          <w:w w:val="105"/>
          <w:sz w:val="20"/>
        </w:rPr>
        <w:t>should </w:t>
      </w:r>
      <w:r>
        <w:rPr>
          <w:color w:val="010101"/>
          <w:w w:val="105"/>
          <w:sz w:val="19"/>
        </w:rPr>
        <w:t>be notc&lt;l  t.hat the </w:t>
      </w:r>
      <w:r>
        <w:rPr>
          <w:color w:val="010101"/>
          <w:w w:val="105"/>
          <w:sz w:val="20"/>
        </w:rPr>
        <w:t>above </w:t>
      </w:r>
      <w:r>
        <w:rPr>
          <w:color w:val="010101"/>
          <w:w w:val="105"/>
          <w:sz w:val="19"/>
        </w:rPr>
        <w:t>probabilities </w:t>
      </w:r>
      <w:r>
        <w:rPr>
          <w:color w:val="010101"/>
          <w:w w:val="105"/>
          <w:sz w:val="20"/>
        </w:rPr>
        <w:t>can be evaluate&lt;l</w:t>
      </w:r>
      <w:r>
        <w:rPr>
          <w:color w:val="010101"/>
          <w:spacing w:val="52"/>
          <w:w w:val="105"/>
          <w:sz w:val="20"/>
        </w:rPr>
        <w:t> </w:t>
      </w:r>
      <w:r>
        <w:rPr>
          <w:color w:val="010101"/>
          <w:w w:val="105"/>
          <w:sz w:val="20"/>
        </w:rPr>
        <w:t>f rom thc morta.lit.y  table only if x, n, and </w:t>
      </w:r>
      <w:r>
        <w:rPr>
          <w:rFonts w:ascii="Arial"/>
          <w:i/>
          <w:color w:val="010101"/>
          <w:w w:val="105"/>
          <w:sz w:val="17"/>
        </w:rPr>
        <w:t>m </w:t>
      </w:r>
      <w:r>
        <w:rPr>
          <w:color w:val="010101"/>
          <w:w w:val="105"/>
          <w:sz w:val="20"/>
        </w:rPr>
        <w:t>havc inf&lt;'gml </w:t>
      </w:r>
      <w:r>
        <w:rPr>
          <w:color w:val="010101"/>
          <w:spacing w:val="16"/>
          <w:w w:val="105"/>
          <w:sz w:val="20"/>
        </w:rPr>
        <w:t> </w:t>
      </w:r>
      <w:r>
        <w:rPr>
          <w:color w:val="010101"/>
          <w:w w:val="105"/>
          <w:sz w:val="20"/>
        </w:rPr>
        <w:t>values.</w:t>
      </w:r>
    </w:p>
    <w:p>
      <w:pPr>
        <w:spacing w:after="0" w:line="244" w:lineRule="auto"/>
        <w:jc w:val="left"/>
        <w:rPr>
          <w:sz w:val="20"/>
        </w:rPr>
        <w:sectPr>
          <w:type w:val="continuous"/>
          <w:pgSz w:w="7200" w:h="11340"/>
          <w:pgMar w:top="1100" w:bottom="0" w:left="660" w:right="560"/>
        </w:sectPr>
      </w:pPr>
    </w:p>
    <w:p>
      <w:pPr>
        <w:tabs>
          <w:tab w:pos="1539" w:val="left" w:leader="none"/>
          <w:tab w:pos="5414" w:val="left" w:leader="none"/>
        </w:tabs>
        <w:spacing w:before="47"/>
        <w:ind w:left="180" w:right="0" w:firstLine="14"/>
        <w:jc w:val="both"/>
        <w:rPr>
          <w:rFonts w:ascii="Arial"/>
          <w:b/>
          <w:sz w:val="19"/>
        </w:rPr>
      </w:pPr>
      <w:r>
        <w:rPr>
          <w:color w:val="030303"/>
          <w:w w:val="105"/>
          <w:sz w:val="19"/>
        </w:rPr>
        <w:t>10</w:t>
        <w:tab/>
      </w:r>
      <w:r>
        <w:rPr>
          <w:rFonts w:ascii="Arial"/>
          <w:b/>
          <w:color w:val="030303"/>
          <w:w w:val="105"/>
          <w:position w:val="1"/>
          <w:sz w:val="14"/>
        </w:rPr>
        <w:t>THE    MEA5UREMNT   </w:t>
      </w:r>
      <w:r>
        <w:rPr>
          <w:rFonts w:ascii="Arial"/>
          <w:b/>
          <w:color w:val="030303"/>
          <w:spacing w:val="12"/>
          <w:w w:val="105"/>
          <w:position w:val="1"/>
          <w:sz w:val="14"/>
        </w:rPr>
        <w:t> </w:t>
      </w:r>
      <w:r>
        <w:rPr>
          <w:rFonts w:ascii="Arial"/>
          <w:b/>
          <w:color w:val="030303"/>
          <w:w w:val="105"/>
          <w:position w:val="1"/>
          <w:sz w:val="14"/>
        </w:rPr>
        <w:t>OF   </w:t>
      </w:r>
      <w:r>
        <w:rPr>
          <w:rFonts w:ascii="Arial"/>
          <w:b/>
          <w:color w:val="030303"/>
          <w:spacing w:val="1"/>
          <w:w w:val="105"/>
          <w:position w:val="1"/>
          <w:sz w:val="14"/>
        </w:rPr>
        <w:t> </w:t>
      </w:r>
      <w:r>
        <w:rPr>
          <w:rFonts w:ascii="Arial"/>
          <w:b/>
          <w:color w:val="030303"/>
          <w:w w:val="105"/>
          <w:position w:val="1"/>
          <w:sz w:val="14"/>
        </w:rPr>
        <w:t>MORTALITY</w:t>
        <w:tab/>
      </w:r>
      <w:r>
        <w:rPr>
          <w:b/>
          <w:color w:val="030303"/>
          <w:w w:val="90"/>
          <w:position w:val="1"/>
          <w:sz w:val="19"/>
        </w:rPr>
        <w:t>[CH.</w:t>
      </w:r>
      <w:r>
        <w:rPr>
          <w:b/>
          <w:color w:val="030303"/>
          <w:spacing w:val="4"/>
          <w:w w:val="90"/>
          <w:position w:val="1"/>
          <w:sz w:val="19"/>
        </w:rPr>
        <w:t> </w:t>
      </w:r>
      <w:r>
        <w:rPr>
          <w:rFonts w:ascii="Arial"/>
          <w:b/>
          <w:color w:val="030303"/>
          <w:w w:val="90"/>
          <w:position w:val="1"/>
          <w:sz w:val="19"/>
        </w:rPr>
        <w:t>1</w:t>
      </w:r>
    </w:p>
    <w:p>
      <w:pPr>
        <w:pStyle w:val="BodyText"/>
        <w:spacing w:before="1"/>
        <w:rPr>
          <w:rFonts w:ascii="Arial"/>
          <w:b/>
          <w:sz w:val="21"/>
        </w:rPr>
      </w:pPr>
    </w:p>
    <w:p>
      <w:pPr>
        <w:pStyle w:val="BodyText"/>
        <w:spacing w:line="247" w:lineRule="auto" w:before="1"/>
        <w:ind w:left="172" w:right="113" w:firstLine="7"/>
        <w:jc w:val="both"/>
      </w:pPr>
      <w:r>
        <w:rPr>
          <w:color w:val="030303"/>
          <w:w w:val="105"/>
        </w:rPr>
        <w:t>Probabilit ies like </w:t>
      </w:r>
      <w:r>
        <w:rPr>
          <w:color w:val="030303"/>
          <w:w w:val="105"/>
          <w:sz w:val="13"/>
        </w:rPr>
        <w:t>2¡p24 </w:t>
      </w:r>
      <w:r>
        <w:rPr>
          <w:color w:val="030303"/>
          <w:w w:val="105"/>
        </w:rPr>
        <w:t>and </w:t>
      </w:r>
      <w:r>
        <w:rPr>
          <w:color w:val="030303"/>
          <w:w w:val="105"/>
          <w:sz w:val="13"/>
        </w:rPr>
        <w:t>1q21t </w:t>
      </w:r>
      <w:r>
        <w:rPr>
          <w:color w:val="030303"/>
          <w:w w:val="105"/>
        </w:rPr>
        <w:t>can be computed exactly from the survival function, but they can only be estimated from mortality table  data.</w:t>
      </w:r>
    </w:p>
    <w:p>
      <w:pPr>
        <w:pStyle w:val="BodyText"/>
        <w:spacing w:line="249" w:lineRule="auto"/>
        <w:ind w:left="165" w:right="105" w:firstLine="204"/>
        <w:jc w:val="both"/>
      </w:pPr>
      <w:r>
        <w:rPr>
          <w:color w:val="030303"/>
          <w:w w:val="105"/>
        </w:rPr>
        <w:t>Although we have defined the mortality table in tenns of its underlying </w:t>
      </w:r>
      <w:r>
        <w:rPr>
          <w:rFonts w:ascii="Arial"/>
          <w:i/>
          <w:color w:val="030303"/>
          <w:w w:val="105"/>
          <w:sz w:val="18"/>
        </w:rPr>
        <w:t>s (x ) </w:t>
      </w:r>
      <w:r>
        <w:rPr>
          <w:color w:val="030303"/>
          <w:w w:val="105"/>
        </w:rPr>
        <w:t>law, in practice these tables are usually constructed on a purely empirical  basis  from  statistical  studies  of  mortality </w:t>
      </w:r>
      <w:r>
        <w:rPr>
          <w:color w:val="030303"/>
          <w:w w:val="105"/>
          <w:sz w:val="19"/>
        </w:rPr>
        <w:t>dat a. </w:t>
      </w:r>
      <w:r>
        <w:rPr>
          <w:color w:val="030303"/>
          <w:w w:val="105"/>
        </w:rPr>
        <w:t>When this is done, the values </w:t>
      </w:r>
      <w:r>
        <w:rPr>
          <w:color w:val="030303"/>
          <w:w w:val="105"/>
          <w:sz w:val="19"/>
        </w:rPr>
        <w:t>of </w:t>
      </w:r>
      <w:r>
        <w:rPr>
          <w:i/>
          <w:color w:val="030303"/>
          <w:w w:val="105"/>
        </w:rPr>
        <w:t>qz </w:t>
      </w:r>
      <w:r>
        <w:rPr>
          <w:color w:val="030303"/>
          <w:w w:val="105"/>
        </w:rPr>
        <w:t>are developed </w:t>
      </w:r>
      <w:r>
        <w:rPr>
          <w:rFonts w:ascii="Arial"/>
          <w:color w:val="030303"/>
          <w:w w:val="105"/>
        </w:rPr>
        <w:t>f</w:t>
      </w:r>
      <w:r>
        <w:rPr>
          <w:color w:val="030303"/>
          <w:w w:val="105"/>
          <w:sz w:val="19"/>
        </w:rPr>
        <w:t>rom a </w:t>
      </w:r>
      <w:r>
        <w:rPr>
          <w:color w:val="030303"/>
          <w:w w:val="105"/>
        </w:rPr>
        <w:t>mortality investigation,  and these values are used  to construct  the </w:t>
      </w:r>
      <w:r>
        <w:rPr>
          <w:i/>
          <w:color w:val="030303"/>
          <w:w w:val="105"/>
        </w:rPr>
        <w:t>lz </w:t>
      </w:r>
      <w:r>
        <w:rPr>
          <w:color w:val="030303"/>
          <w:w w:val="105"/>
        </w:rPr>
        <w:t>and </w:t>
      </w:r>
      <w:r>
        <w:rPr>
          <w:i/>
          <w:color w:val="030303"/>
          <w:w w:val="105"/>
        </w:rPr>
        <w:t>dz </w:t>
      </w:r>
      <w:r>
        <w:rPr>
          <w:color w:val="030303"/>
          <w:w w:val="105"/>
        </w:rPr>
        <w:t>columns of  the mortality  table by the following   process.</w:t>
      </w:r>
    </w:p>
    <w:p>
      <w:pPr>
        <w:spacing w:line="223" w:lineRule="exact" w:before="0"/>
        <w:ind w:left="366" w:right="0" w:firstLine="0"/>
        <w:jc w:val="left"/>
        <w:rPr>
          <w:sz w:val="21"/>
        </w:rPr>
      </w:pPr>
      <w:r>
        <w:rPr>
          <w:color w:val="030303"/>
          <w:w w:val="105"/>
          <w:sz w:val="20"/>
        </w:rPr>
        <w:t>An  arbitrary value is chosen </w:t>
      </w:r>
      <w:r>
        <w:rPr>
          <w:color w:val="030303"/>
          <w:w w:val="105"/>
          <w:sz w:val="19"/>
        </w:rPr>
        <w:t>for </w:t>
      </w:r>
      <w:r>
        <w:rPr>
          <w:i/>
          <w:color w:val="030303"/>
          <w:sz w:val="21"/>
        </w:rPr>
        <w:t>lo</w:t>
      </w:r>
      <w:r>
        <w:rPr>
          <w:i/>
          <w:color w:val="030303"/>
          <w:spacing w:val="52"/>
          <w:sz w:val="21"/>
        </w:rPr>
        <w:t> </w:t>
      </w:r>
      <w:r>
        <w:rPr>
          <w:color w:val="030303"/>
          <w:w w:val="105"/>
          <w:sz w:val="21"/>
        </w:rPr>
        <w:t>.</w:t>
      </w:r>
    </w:p>
    <w:p>
      <w:pPr>
        <w:spacing w:line="253" w:lineRule="exact" w:before="0"/>
        <w:ind w:left="169" w:right="0" w:firstLine="0"/>
        <w:jc w:val="both"/>
        <w:rPr>
          <w:sz w:val="23"/>
        </w:rPr>
      </w:pPr>
      <w:r>
        <w:rPr>
          <w:color w:val="030303"/>
          <w:w w:val="95"/>
          <w:sz w:val="23"/>
        </w:rPr>
        <w:t>T'hen</w:t>
      </w:r>
    </w:p>
    <w:p>
      <w:pPr>
        <w:spacing w:after="0" w:line="253" w:lineRule="exact"/>
        <w:jc w:val="both"/>
        <w:rPr>
          <w:sz w:val="23"/>
        </w:rPr>
        <w:sectPr>
          <w:pgSz w:w="7200" w:h="11340"/>
          <w:pgMar w:top="520" w:bottom="280" w:left="620" w:right="56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6"/>
        </w:rPr>
      </w:pPr>
    </w:p>
    <w:p>
      <w:pPr>
        <w:spacing w:before="0"/>
        <w:ind w:left="158" w:right="-13" w:firstLine="0"/>
        <w:jc w:val="left"/>
        <w:rPr>
          <w:sz w:val="19"/>
        </w:rPr>
      </w:pPr>
      <w:r>
        <w:rPr>
          <w:color w:val="030303"/>
          <w:w w:val="110"/>
          <w:sz w:val="20"/>
        </w:rPr>
        <w:t>and </w:t>
      </w:r>
      <w:r>
        <w:rPr>
          <w:color w:val="030303"/>
          <w:w w:val="110"/>
          <w:sz w:val="19"/>
        </w:rPr>
        <w:t>generally,</w:t>
      </w:r>
    </w:p>
    <w:p>
      <w:pPr>
        <w:spacing w:before="109"/>
        <w:ind w:left="240" w:right="0" w:firstLine="0"/>
        <w:jc w:val="left"/>
        <w:rPr>
          <w:sz w:val="21"/>
        </w:rPr>
      </w:pPr>
      <w:r>
        <w:rPr/>
        <w:br w:type="column"/>
      </w:r>
      <w:r>
        <w:rPr>
          <w:i/>
          <w:color w:val="030303"/>
          <w:w w:val="95"/>
          <w:sz w:val="23"/>
        </w:rPr>
        <w:t>do </w:t>
      </w:r>
      <w:r>
        <w:rPr>
          <w:color w:val="030303"/>
          <w:sz w:val="13"/>
        </w:rPr>
        <w:t>:o: </w:t>
      </w:r>
      <w:r>
        <w:rPr>
          <w:i/>
          <w:color w:val="030303"/>
          <w:w w:val="95"/>
          <w:sz w:val="21"/>
        </w:rPr>
        <w:t>lo </w:t>
      </w:r>
      <w:r>
        <w:rPr>
          <w:color w:val="030303"/>
          <w:w w:val="95"/>
          <w:sz w:val="21"/>
        </w:rPr>
        <w:t>·</w:t>
      </w:r>
      <w:r>
        <w:rPr>
          <w:i/>
          <w:color w:val="030303"/>
          <w:w w:val="95"/>
          <w:sz w:val="21"/>
        </w:rPr>
        <w:t>qo </w:t>
      </w:r>
      <w:r>
        <w:rPr>
          <w:color w:val="030303"/>
          <w:w w:val="95"/>
          <w:sz w:val="21"/>
        </w:rPr>
        <w:t>,</w:t>
      </w:r>
    </w:p>
    <w:p>
      <w:pPr>
        <w:spacing w:before="47"/>
        <w:ind w:left="287" w:right="0" w:firstLine="0"/>
        <w:jc w:val="left"/>
        <w:rPr>
          <w:b/>
          <w:sz w:val="24"/>
        </w:rPr>
      </w:pPr>
      <w:r>
        <w:rPr>
          <w:b/>
          <w:color w:val="030303"/>
          <w:w w:val="65"/>
          <w:sz w:val="22"/>
        </w:rPr>
        <w:t>l1  </w:t>
      </w:r>
      <w:r>
        <w:rPr>
          <w:color w:val="030303"/>
          <w:sz w:val="15"/>
        </w:rPr>
        <w:t>:= </w:t>
      </w:r>
      <w:r>
        <w:rPr>
          <w:b/>
          <w:color w:val="030303"/>
          <w:w w:val="65"/>
          <w:sz w:val="27"/>
        </w:rPr>
        <w:t>lo </w:t>
      </w:r>
      <w:r>
        <w:rPr>
          <w:color w:val="030303"/>
          <w:w w:val="65"/>
          <w:sz w:val="27"/>
        </w:rPr>
        <w:t>..... </w:t>
      </w:r>
      <w:r>
        <w:rPr>
          <w:b/>
          <w:color w:val="030303"/>
          <w:w w:val="85"/>
          <w:sz w:val="24"/>
        </w:rPr>
        <w:t>do ,</w:t>
      </w:r>
    </w:p>
    <w:p>
      <w:pPr>
        <w:spacing w:before="52"/>
        <w:ind w:left="237" w:right="0" w:firstLine="0"/>
        <w:jc w:val="left"/>
        <w:rPr>
          <w:b/>
          <w:sz w:val="20"/>
        </w:rPr>
      </w:pPr>
      <w:r>
        <w:rPr>
          <w:b/>
          <w:color w:val="030303"/>
          <w:w w:val="95"/>
          <w:sz w:val="20"/>
        </w:rPr>
        <w:t>d1 </w:t>
      </w:r>
      <w:r>
        <w:rPr>
          <w:color w:val="030303"/>
          <w:w w:val="95"/>
          <w:sz w:val="29"/>
        </w:rPr>
        <w:t>= </w:t>
      </w:r>
      <w:r>
        <w:rPr>
          <w:b/>
          <w:color w:val="030303"/>
          <w:w w:val="95"/>
          <w:sz w:val="20"/>
        </w:rPr>
        <w:t>l1 ·q1 ;</w:t>
      </w:r>
    </w:p>
    <w:p>
      <w:pPr>
        <w:spacing w:before="35"/>
        <w:ind w:left="280" w:right="0" w:firstLine="0"/>
        <w:jc w:val="left"/>
        <w:rPr>
          <w:i/>
          <w:sz w:val="20"/>
        </w:rPr>
      </w:pPr>
      <w:r>
        <w:rPr>
          <w:b/>
          <w:i/>
          <w:color w:val="030303"/>
          <w:sz w:val="21"/>
        </w:rPr>
        <w:t>ls  </w:t>
      </w:r>
      <w:r>
        <w:rPr>
          <w:color w:val="030303"/>
          <w:sz w:val="28"/>
        </w:rPr>
        <w:t>= </w:t>
      </w:r>
      <w:r>
        <w:rPr>
          <w:color w:val="030303"/>
          <w:spacing w:val="-4"/>
          <w:sz w:val="21"/>
        </w:rPr>
        <w:t>l1 </w:t>
      </w:r>
      <w:r>
        <w:rPr>
          <w:color w:val="030303"/>
          <w:w w:val="240"/>
          <w:sz w:val="21"/>
        </w:rPr>
        <w:t>-</w:t>
      </w:r>
      <w:r>
        <w:rPr>
          <w:color w:val="030303"/>
          <w:spacing w:val="-87"/>
          <w:w w:val="240"/>
          <w:sz w:val="21"/>
        </w:rPr>
        <w:t> </w:t>
      </w:r>
      <w:r>
        <w:rPr>
          <w:i/>
          <w:color w:val="030303"/>
          <w:sz w:val="20"/>
        </w:rPr>
        <w:t>di </w:t>
      </w:r>
      <w:r>
        <w:rPr>
          <w:i/>
          <w:color w:val="030303"/>
          <w:w w:val="125"/>
          <w:sz w:val="20"/>
        </w:rPr>
        <w:t>,</w:t>
      </w:r>
    </w:p>
    <w:p>
      <w:pPr>
        <w:pStyle w:val="BodyText"/>
        <w:spacing w:before="5"/>
        <w:rPr>
          <w:i/>
          <w:sz w:val="35"/>
        </w:rPr>
      </w:pPr>
    </w:p>
    <w:p>
      <w:pPr>
        <w:spacing w:before="0"/>
        <w:ind w:left="280" w:right="0" w:firstLine="0"/>
        <w:jc w:val="left"/>
        <w:rPr>
          <w:rFonts w:ascii="Arial"/>
          <w:sz w:val="19"/>
        </w:rPr>
      </w:pPr>
      <w:r>
        <w:rPr>
          <w:b/>
          <w:i/>
          <w:color w:val="030303"/>
          <w:sz w:val="20"/>
        </w:rPr>
        <w:t>d., </w:t>
      </w:r>
      <w:r>
        <w:rPr>
          <w:color w:val="030303"/>
          <w:sz w:val="28"/>
        </w:rPr>
        <w:t>= </w:t>
      </w:r>
      <w:r>
        <w:rPr>
          <w:rFonts w:ascii="Arial"/>
          <w:b/>
          <w:i/>
          <w:color w:val="030303"/>
          <w:w w:val="85"/>
          <w:sz w:val="19"/>
        </w:rPr>
        <w:t>l:z </w:t>
      </w:r>
      <w:r>
        <w:rPr>
          <w:rFonts w:ascii="Arial"/>
          <w:color w:val="030303"/>
          <w:sz w:val="19"/>
        </w:rPr>
        <w:t>.</w:t>
      </w:r>
      <w:r>
        <w:rPr>
          <w:rFonts w:ascii="Arial"/>
          <w:b/>
          <w:i/>
          <w:color w:val="030303"/>
          <w:sz w:val="19"/>
        </w:rPr>
        <w:t>qz </w:t>
      </w:r>
      <w:r>
        <w:rPr>
          <w:rFonts w:ascii="Arial"/>
          <w:color w:val="030303"/>
          <w:w w:val="120"/>
          <w:sz w:val="19"/>
        </w:rPr>
        <w:t>'</w:t>
      </w:r>
    </w:p>
    <w:p>
      <w:pPr>
        <w:spacing w:before="65"/>
        <w:ind w:left="158" w:right="0" w:firstLine="0"/>
        <w:jc w:val="left"/>
        <w:rPr>
          <w:rFonts w:ascii="Arial"/>
          <w:sz w:val="20"/>
        </w:rPr>
      </w:pPr>
      <w:r>
        <w:rPr>
          <w:b/>
          <w:i/>
          <w:color w:val="030303"/>
          <w:sz w:val="17"/>
        </w:rPr>
        <w:t>lz+l  </w:t>
      </w:r>
      <w:r>
        <w:rPr>
          <w:rFonts w:ascii="Arial"/>
          <w:color w:val="030303"/>
          <w:w w:val="85"/>
          <w:sz w:val="23"/>
        </w:rPr>
        <w:t>== </w:t>
      </w:r>
      <w:r>
        <w:rPr>
          <w:b/>
          <w:i/>
          <w:color w:val="030303"/>
          <w:sz w:val="17"/>
        </w:rPr>
        <w:t>lz </w:t>
      </w:r>
      <w:r>
        <w:rPr>
          <w:color w:val="030303"/>
          <w:w w:val="85"/>
          <w:sz w:val="17"/>
        </w:rPr>
        <w:t>..... </w:t>
      </w:r>
      <w:r>
        <w:rPr>
          <w:rFonts w:ascii="Arial"/>
          <w:b/>
          <w:i/>
          <w:color w:val="030303"/>
          <w:w w:val="85"/>
          <w:sz w:val="20"/>
        </w:rPr>
        <w:t>d:i </w:t>
      </w:r>
      <w:r>
        <w:rPr>
          <w:rFonts w:ascii="Arial"/>
          <w:color w:val="030303"/>
          <w:sz w:val="20"/>
        </w:rPr>
        <w:t>,</w:t>
      </w:r>
    </w:p>
    <w:p>
      <w:pPr>
        <w:spacing w:after="0"/>
        <w:jc w:val="left"/>
        <w:rPr>
          <w:rFonts w:ascii="Arial"/>
          <w:sz w:val="20"/>
        </w:rPr>
        <w:sectPr>
          <w:type w:val="continuous"/>
          <w:pgSz w:w="7200" w:h="11340"/>
          <w:pgMar w:top="1100" w:bottom="0" w:left="620" w:right="560"/>
          <w:cols w:num="2" w:equalWidth="0">
            <w:col w:w="1368" w:space="842"/>
            <w:col w:w="3810"/>
          </w:cols>
        </w:sectPr>
      </w:pPr>
    </w:p>
    <w:p>
      <w:pPr>
        <w:pStyle w:val="BodyText"/>
        <w:spacing w:line="249" w:lineRule="auto" w:before="120"/>
        <w:ind w:left="165" w:right="133" w:firstLine="204"/>
        <w:jc w:val="both"/>
      </w:pPr>
      <w:r>
        <w:rPr>
          <w:color w:val="030303"/>
          <w:w w:val="105"/>
        </w:rPr>
        <w:t>It </w:t>
      </w:r>
      <w:r>
        <w:rPr>
          <w:color w:val="030303"/>
          <w:spacing w:val="4"/>
          <w:w w:val="105"/>
        </w:rPr>
        <w:t>oftcn </w:t>
      </w:r>
      <w:r>
        <w:rPr>
          <w:color w:val="030303"/>
          <w:w w:val="105"/>
        </w:rPr>
        <w:t>happcns in such  studies that  therc  is  iusufficiellt  data to define </w:t>
      </w:r>
      <w:r>
        <w:rPr>
          <w:i/>
          <w:color w:val="030303"/>
          <w:w w:val="105"/>
        </w:rPr>
        <w:t>qz </w:t>
      </w:r>
      <w:r>
        <w:rPr>
          <w:color w:val="030303"/>
          <w:w w:val="105"/>
        </w:rPr>
        <w:t>reliably for thc younger ages, and in many iwstances thc purpose for which the table is being prepared  is such that </w:t>
      </w:r>
      <w:r>
        <w:rPr>
          <w:color w:val="030303"/>
          <w:spacing w:val="33"/>
          <w:w w:val="105"/>
        </w:rPr>
        <w:t> </w:t>
      </w:r>
      <w:r>
        <w:rPr>
          <w:color w:val="030303"/>
          <w:w w:val="105"/>
        </w:rPr>
        <w:t>thcrc</w:t>
      </w:r>
    </w:p>
    <w:p>
      <w:pPr>
        <w:pStyle w:val="BodyText"/>
        <w:spacing w:line="249" w:lineRule="auto"/>
        <w:ind w:left="165" w:right="130" w:hanging="54"/>
        <w:jc w:val="both"/>
      </w:pPr>
      <w:r>
        <w:rPr>
          <w:color w:val="151515"/>
          <w:spacing w:val="4"/>
        </w:rPr>
        <w:t>·</w:t>
      </w:r>
      <w:r>
        <w:rPr>
          <w:color w:val="030303"/>
          <w:spacing w:val="4"/>
        </w:rPr>
        <w:t>is </w:t>
      </w:r>
      <w:r>
        <w:rPr>
          <w:color w:val="030303"/>
        </w:rPr>
        <w:t>no need to include values for these  ages  even  </w:t>
      </w:r>
      <w:r>
        <w:rPr>
          <w:color w:val="030303"/>
          <w:sz w:val="21"/>
        </w:rPr>
        <w:t>if  </w:t>
      </w:r>
      <w:r>
        <w:rPr>
          <w:color w:val="030303"/>
        </w:rPr>
        <w:t>available.  In  such cases, it is cust.omary to start the table  at  the earliest  signifi­ cant agc, perhaps  10 or  20,  and  the  arbitrarily  chosen  value  of  </w:t>
      </w:r>
      <w:r>
        <w:rPr>
          <w:i/>
          <w:color w:val="030303"/>
        </w:rPr>
        <w:t>lz </w:t>
      </w:r>
      <w:r>
        <w:rPr>
          <w:color w:val="030303"/>
        </w:rPr>
        <w:t>at  that  age will  be  called  the  radix  of  the</w:t>
      </w:r>
      <w:r>
        <w:rPr>
          <w:color w:val="030303"/>
          <w:spacing w:val="22"/>
        </w:rPr>
        <w:t> </w:t>
      </w:r>
      <w:r>
        <w:rPr>
          <w:color w:val="030303"/>
        </w:rPr>
        <w:t>table.</w:t>
      </w:r>
    </w:p>
    <w:p>
      <w:pPr>
        <w:pStyle w:val="BodyText"/>
        <w:spacing w:line="249" w:lineRule="auto"/>
        <w:ind w:left="162" w:right="126" w:firstLine="204"/>
        <w:jc w:val="both"/>
      </w:pPr>
      <w:r>
        <w:rPr>
          <w:color w:val="030303"/>
          <w:w w:val="105"/>
        </w:rPr>
        <w:t>When mortality tables are constructed in this way, </w:t>
      </w:r>
      <w:r>
        <w:rPr>
          <w:rFonts w:ascii="Arial" w:hAnsi="Arial"/>
          <w:color w:val="030303"/>
          <w:w w:val="110"/>
          <w:sz w:val="19"/>
        </w:rPr>
        <w:t>it </w:t>
      </w:r>
      <w:r>
        <w:rPr>
          <w:color w:val="030303"/>
          <w:w w:val="105"/>
        </w:rPr>
        <w:t>is not. usually possible to find a simple mathematical expression for </w:t>
      </w:r>
      <w:r>
        <w:rPr>
          <w:rFonts w:ascii="Arial" w:hAnsi="Arial"/>
          <w:i/>
          <w:color w:val="030303"/>
          <w:w w:val="105"/>
          <w:sz w:val="18"/>
        </w:rPr>
        <w:t>s (x ), </w:t>
      </w:r>
      <w:r>
        <w:rPr>
          <w:color w:val="030303"/>
          <w:w w:val="105"/>
        </w:rPr>
        <w:t>and the mortality table itself  then  constitutes  the entire definition of the mortality pattern. </w:t>
      </w:r>
      <w:r>
        <w:rPr>
          <w:color w:val="030303"/>
          <w:spacing w:val="7"/>
          <w:w w:val="105"/>
        </w:rPr>
        <w:t>We </w:t>
      </w:r>
      <w:r>
        <w:rPr>
          <w:color w:val="030303"/>
          <w:w w:val="105"/>
        </w:rPr>
        <w:t>shall nevertheless  find  it convenient  in the further development of the theory to keep in mind thc exist­ ence of an underlying continuous </w:t>
      </w:r>
      <w:r>
        <w:rPr>
          <w:color w:val="030303"/>
          <w:spacing w:val="4"/>
          <w:w w:val="105"/>
        </w:rPr>
        <w:t>s(x), </w:t>
      </w:r>
      <w:r>
        <w:rPr>
          <w:color w:val="030303"/>
          <w:w w:val="105"/>
        </w:rPr>
        <w:t>even when wc do not know its exact  mathematical </w:t>
      </w:r>
      <w:r>
        <w:rPr>
          <w:color w:val="030303"/>
          <w:spacing w:val="18"/>
          <w:w w:val="105"/>
        </w:rPr>
        <w:t> </w:t>
      </w:r>
      <w:r>
        <w:rPr>
          <w:color w:val="030303"/>
          <w:w w:val="105"/>
        </w:rPr>
        <w:t>fonn.</w:t>
      </w:r>
    </w:p>
    <w:p>
      <w:pPr>
        <w:pStyle w:val="BodyText"/>
        <w:spacing w:line="249" w:lineRule="auto" w:before="2"/>
        <w:ind w:left="165" w:right="160" w:firstLine="197"/>
        <w:jc w:val="both"/>
      </w:pPr>
      <w:r>
        <w:rPr>
          <w:color w:val="030303"/>
          <w:w w:val="105"/>
        </w:rPr>
        <w:t>An example of a table constructed from expcrience with </w:t>
      </w:r>
      <w:r>
        <w:rPr>
          <w:rFonts w:ascii="Arial"/>
          <w:i/>
          <w:color w:val="030303"/>
          <w:w w:val="105"/>
          <w:sz w:val="18"/>
        </w:rPr>
        <w:t>s (x ) </w:t>
      </w:r>
      <w:r>
        <w:rPr>
          <w:color w:val="030303"/>
          <w:w w:val="105"/>
        </w:rPr>
        <w:t>unknown is given in Table 2. This table is based on t.he mortality during the years 1959-61 of white male lives residcnt in the  United</w:t>
      </w:r>
    </w:p>
    <w:p>
      <w:pPr>
        <w:spacing w:after="0" w:line="249" w:lineRule="auto"/>
        <w:jc w:val="both"/>
        <w:sectPr>
          <w:type w:val="continuous"/>
          <w:pgSz w:w="7200" w:h="11340"/>
          <w:pgMar w:top="1100" w:bottom="0" w:left="620" w:right="560"/>
        </w:sectPr>
      </w:pPr>
    </w:p>
    <w:p>
      <w:pPr>
        <w:spacing w:line="200" w:lineRule="exact" w:before="63"/>
        <w:ind w:left="293" w:right="302" w:firstLine="0"/>
        <w:jc w:val="center"/>
        <w:rPr>
          <w:sz w:val="19"/>
        </w:rPr>
      </w:pPr>
      <w:r>
        <w:rPr/>
        <w:pict>
          <v:shape style="position:absolute;margin-left:39.779999pt;margin-top:39.555pt;width:289.45pt;height:505.65pt;mso-position-horizontal-relative:page;mso-position-vertical-relative:page;z-index:1648" type="#_x0000_t202" filled="false" stroked="false">
            <v:textbox inset="0,0,0,0">
              <w:txbxContent>
                <w:tbl>
                  <w:tblPr>
                    <w:tblW w:w="0" w:type="auto"/>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48"/>
                    <w:gridCol w:w="832"/>
                    <w:gridCol w:w="747"/>
                    <w:gridCol w:w="207"/>
                    <w:gridCol w:w="642"/>
                    <w:gridCol w:w="382"/>
                    <w:gridCol w:w="171"/>
                    <w:gridCol w:w="729"/>
                    <w:gridCol w:w="839"/>
                    <w:gridCol w:w="749"/>
                  </w:tblGrid>
                  <w:tr>
                    <w:trPr>
                      <w:trHeight w:val="300" w:hRule="exact"/>
                    </w:trPr>
                    <w:tc>
                      <w:tcPr>
                        <w:tcW w:w="448" w:type="dxa"/>
                        <w:vMerge w:val="restart"/>
                        <w:tcBorders>
                          <w:left w:val="nil"/>
                          <w:right w:val="single" w:sz="7" w:space="0" w:color="000000"/>
                        </w:tcBorders>
                      </w:tcPr>
                      <w:p>
                        <w:pPr>
                          <w:pStyle w:val="TableParagraph"/>
                          <w:spacing w:before="3"/>
                          <w:rPr>
                            <w:rFonts w:ascii="Arial"/>
                            <w:sz w:val="11"/>
                          </w:rPr>
                        </w:pPr>
                      </w:p>
                      <w:p>
                        <w:pPr>
                          <w:pStyle w:val="TableParagraph"/>
                          <w:spacing w:line="116" w:lineRule="exact"/>
                          <w:ind w:right="7"/>
                          <w:jc w:val="center"/>
                          <w:rPr>
                            <w:rFonts w:ascii="Arial"/>
                            <w:sz w:val="12"/>
                          </w:rPr>
                        </w:pPr>
                        <w:r>
                          <w:rPr>
                            <w:rFonts w:ascii="Arial"/>
                            <w:w w:val="116"/>
                            <w:sz w:val="12"/>
                          </w:rPr>
                          <w:t>s</w:t>
                        </w:r>
                      </w:p>
                      <w:p>
                        <w:pPr>
                          <w:pStyle w:val="TableParagraph"/>
                          <w:spacing w:line="276" w:lineRule="exact"/>
                          <w:ind w:left="14" w:right="-25"/>
                          <w:jc w:val="center"/>
                          <w:rPr>
                            <w:rFonts w:ascii="Times New Roman"/>
                            <w:sz w:val="26"/>
                          </w:rPr>
                        </w:pPr>
                        <w:r>
                          <w:rPr>
                            <w:rFonts w:ascii="Times New Roman"/>
                            <w:spacing w:val="-42"/>
                            <w:w w:val="305"/>
                            <w:sz w:val="26"/>
                          </w:rPr>
                          <w:t>--</w:t>
                        </w:r>
                      </w:p>
                    </w:tc>
                    <w:tc>
                      <w:tcPr>
                        <w:tcW w:w="832" w:type="dxa"/>
                        <w:tcBorders>
                          <w:left w:val="single" w:sz="7" w:space="0" w:color="000000"/>
                          <w:bottom w:val="single" w:sz="1" w:space="0" w:color="000000"/>
                          <w:right w:val="single" w:sz="7" w:space="0" w:color="000000"/>
                        </w:tcBorders>
                      </w:tcPr>
                      <w:p>
                        <w:pPr>
                          <w:pStyle w:val="TableParagraph"/>
                          <w:spacing w:line="320" w:lineRule="exact" w:before="11"/>
                          <w:ind w:left="146" w:right="120"/>
                          <w:jc w:val="center"/>
                          <w:rPr>
                            <w:rFonts w:ascii="Arial" w:hAnsi="Arial"/>
                            <w:sz w:val="35"/>
                          </w:rPr>
                        </w:pPr>
                        <w:r>
                          <w:rPr>
                            <w:rFonts w:ascii="Arial" w:hAnsi="Arial"/>
                            <w:w w:val="75"/>
                            <w:sz w:val="35"/>
                          </w:rPr>
                          <w:t>••</w:t>
                        </w:r>
                      </w:p>
                    </w:tc>
                    <w:tc>
                      <w:tcPr>
                        <w:tcW w:w="747" w:type="dxa"/>
                        <w:tcBorders>
                          <w:left w:val="single" w:sz="7" w:space="0" w:color="000000"/>
                          <w:bottom w:val="single" w:sz="1" w:space="0" w:color="000000"/>
                          <w:right w:val="single" w:sz="1" w:space="0" w:color="000000"/>
                        </w:tcBorders>
                      </w:tcPr>
                      <w:p>
                        <w:pPr>
                          <w:pStyle w:val="TableParagraph"/>
                          <w:spacing w:before="116"/>
                          <w:ind w:left="122" w:right="11"/>
                          <w:jc w:val="center"/>
                          <w:rPr>
                            <w:rFonts w:ascii="Arial"/>
                            <w:i/>
                            <w:sz w:val="15"/>
                          </w:rPr>
                        </w:pPr>
                        <w:r>
                          <w:rPr>
                            <w:rFonts w:ascii="Arial"/>
                            <w:i/>
                            <w:sz w:val="15"/>
                          </w:rPr>
                          <w:t>Is</w:t>
                        </w:r>
                      </w:p>
                    </w:tc>
                    <w:tc>
                      <w:tcPr>
                        <w:tcW w:w="850" w:type="dxa"/>
                        <w:gridSpan w:val="2"/>
                        <w:tcBorders>
                          <w:left w:val="single" w:sz="1" w:space="0" w:color="000000"/>
                          <w:bottom w:val="single" w:sz="1" w:space="0" w:color="000000"/>
                          <w:right w:val="single" w:sz="16" w:space="0" w:color="000000"/>
                        </w:tcBorders>
                      </w:tcPr>
                      <w:p>
                        <w:pPr>
                          <w:pStyle w:val="TableParagraph"/>
                          <w:spacing w:line="327" w:lineRule="exact"/>
                          <w:ind w:left="401" w:right="-9"/>
                          <w:rPr>
                            <w:rFonts w:ascii="Arial"/>
                            <w:sz w:val="52"/>
                          </w:rPr>
                        </w:pPr>
                        <w:r>
                          <w:rPr>
                            <w:rFonts w:ascii="Times New Roman"/>
                            <w:w w:val="125"/>
                            <w:sz w:val="37"/>
                          </w:rPr>
                          <w:t>,</w:t>
                        </w:r>
                        <w:r>
                          <w:rPr>
                            <w:rFonts w:ascii="Arial"/>
                            <w:w w:val="125"/>
                            <w:sz w:val="52"/>
                          </w:rPr>
                          <w:t>.</w:t>
                        </w:r>
                      </w:p>
                    </w:tc>
                    <w:tc>
                      <w:tcPr>
                        <w:tcW w:w="382" w:type="dxa"/>
                        <w:tcBorders>
                          <w:left w:val="single" w:sz="16" w:space="0" w:color="000000"/>
                          <w:bottom w:val="single" w:sz="1" w:space="0" w:color="000000"/>
                          <w:right w:val="single" w:sz="1" w:space="0" w:color="000000"/>
                        </w:tcBorders>
                      </w:tcPr>
                      <w:p>
                        <w:pPr>
                          <w:pStyle w:val="TableParagraph"/>
                          <w:spacing w:before="1"/>
                          <w:rPr>
                            <w:rFonts w:ascii="Arial"/>
                            <w:sz w:val="10"/>
                          </w:rPr>
                        </w:pPr>
                      </w:p>
                      <w:p>
                        <w:pPr>
                          <w:pStyle w:val="TableParagraph"/>
                          <w:ind w:left="156"/>
                          <w:rPr>
                            <w:rFonts w:ascii="Arial"/>
                            <w:b/>
                            <w:sz w:val="13"/>
                          </w:rPr>
                        </w:pPr>
                        <w:r>
                          <w:rPr>
                            <w:rFonts w:ascii="Arial"/>
                            <w:b/>
                            <w:w w:val="111"/>
                            <w:sz w:val="13"/>
                          </w:rPr>
                          <w:t>s</w:t>
                        </w:r>
                      </w:p>
                    </w:tc>
                    <w:tc>
                      <w:tcPr>
                        <w:tcW w:w="900" w:type="dxa"/>
                        <w:gridSpan w:val="2"/>
                        <w:tcBorders>
                          <w:left w:val="single" w:sz="1" w:space="0" w:color="000000"/>
                          <w:bottom w:val="single" w:sz="1" w:space="0" w:color="000000"/>
                        </w:tcBorders>
                      </w:tcPr>
                      <w:p>
                        <w:pPr>
                          <w:pStyle w:val="TableParagraph"/>
                          <w:spacing w:before="5"/>
                          <w:rPr>
                            <w:rFonts w:ascii="Arial"/>
                            <w:sz w:val="11"/>
                          </w:rPr>
                        </w:pPr>
                      </w:p>
                      <w:p>
                        <w:pPr>
                          <w:pStyle w:val="TableParagraph"/>
                          <w:ind w:left="394" w:right="326"/>
                          <w:jc w:val="center"/>
                          <w:rPr>
                            <w:rFonts w:ascii="Times New Roman"/>
                            <w:b/>
                            <w:sz w:val="13"/>
                          </w:rPr>
                        </w:pPr>
                        <w:r>
                          <w:rPr>
                            <w:rFonts w:ascii="Times New Roman"/>
                            <w:b/>
                            <w:w w:val="120"/>
                            <w:sz w:val="13"/>
                          </w:rPr>
                          <w:t>fa</w:t>
                        </w:r>
                      </w:p>
                    </w:tc>
                    <w:tc>
                      <w:tcPr>
                        <w:tcW w:w="839" w:type="dxa"/>
                        <w:tcBorders>
                          <w:bottom w:val="single" w:sz="1" w:space="0" w:color="000000"/>
                        </w:tcBorders>
                      </w:tcPr>
                      <w:p>
                        <w:pPr>
                          <w:pStyle w:val="TableParagraph"/>
                          <w:spacing w:before="105"/>
                          <w:ind w:left="56" w:right="36"/>
                          <w:jc w:val="center"/>
                          <w:rPr>
                            <w:rFonts w:ascii="Arial"/>
                            <w:i/>
                            <w:sz w:val="15"/>
                          </w:rPr>
                        </w:pPr>
                        <w:r>
                          <w:rPr>
                            <w:rFonts w:ascii="Arial"/>
                            <w:i/>
                            <w:sz w:val="15"/>
                          </w:rPr>
                          <w:t>ls</w:t>
                        </w:r>
                      </w:p>
                    </w:tc>
                    <w:tc>
                      <w:tcPr>
                        <w:tcW w:w="749" w:type="dxa"/>
                        <w:tcBorders>
                          <w:bottom w:val="single" w:sz="1" w:space="0" w:color="000000"/>
                          <w:right w:val="nil"/>
                        </w:tcBorders>
                      </w:tcPr>
                      <w:p>
                        <w:pPr/>
                      </w:p>
                    </w:tc>
                  </w:tr>
                  <w:tr>
                    <w:trPr>
                      <w:trHeight w:val="208" w:hRule="exact"/>
                    </w:trPr>
                    <w:tc>
                      <w:tcPr>
                        <w:tcW w:w="448" w:type="dxa"/>
                        <w:vMerge/>
                        <w:tcBorders>
                          <w:left w:val="nil"/>
                          <w:bottom w:val="nil"/>
                          <w:right w:val="single" w:sz="7" w:space="0" w:color="000000"/>
                        </w:tcBorders>
                      </w:tcPr>
                      <w:p>
                        <w:pPr/>
                      </w:p>
                    </w:tc>
                    <w:tc>
                      <w:tcPr>
                        <w:tcW w:w="832" w:type="dxa"/>
                        <w:tcBorders>
                          <w:top w:val="single" w:sz="1" w:space="0" w:color="000000"/>
                          <w:left w:val="single" w:sz="7" w:space="0" w:color="000000"/>
                          <w:bottom w:val="nil"/>
                          <w:right w:val="single" w:sz="7" w:space="0" w:color="000000"/>
                        </w:tcBorders>
                      </w:tcPr>
                      <w:p>
                        <w:pPr/>
                      </w:p>
                    </w:tc>
                    <w:tc>
                      <w:tcPr>
                        <w:tcW w:w="747" w:type="dxa"/>
                        <w:tcBorders>
                          <w:top w:val="single" w:sz="1" w:space="0" w:color="000000"/>
                          <w:left w:val="single" w:sz="7" w:space="0" w:color="000000"/>
                          <w:bottom w:val="nil"/>
                          <w:right w:val="single" w:sz="1" w:space="0" w:color="000000"/>
                        </w:tcBorders>
                      </w:tcPr>
                      <w:p>
                        <w:pPr/>
                      </w:p>
                    </w:tc>
                    <w:tc>
                      <w:tcPr>
                        <w:tcW w:w="850" w:type="dxa"/>
                        <w:gridSpan w:val="2"/>
                        <w:tcBorders>
                          <w:top w:val="single" w:sz="1" w:space="0" w:color="000000"/>
                          <w:left w:val="single" w:sz="1" w:space="0" w:color="000000"/>
                          <w:bottom w:val="nil"/>
                          <w:right w:val="single" w:sz="16" w:space="0" w:color="000000"/>
                        </w:tcBorders>
                      </w:tcPr>
                      <w:p>
                        <w:pPr/>
                      </w:p>
                    </w:tc>
                    <w:tc>
                      <w:tcPr>
                        <w:tcW w:w="382" w:type="dxa"/>
                        <w:tcBorders>
                          <w:top w:val="single" w:sz="1" w:space="0" w:color="000000"/>
                          <w:left w:val="single" w:sz="16" w:space="0" w:color="000000"/>
                          <w:bottom w:val="nil"/>
                          <w:right w:val="single" w:sz="1" w:space="0" w:color="000000"/>
                        </w:tcBorders>
                      </w:tcPr>
                      <w:p>
                        <w:pPr/>
                      </w:p>
                    </w:tc>
                    <w:tc>
                      <w:tcPr>
                        <w:tcW w:w="900" w:type="dxa"/>
                        <w:gridSpan w:val="2"/>
                        <w:tcBorders>
                          <w:top w:val="single" w:sz="1" w:space="0" w:color="000000"/>
                          <w:left w:val="single" w:sz="1" w:space="0" w:color="000000"/>
                          <w:bottom w:val="nil"/>
                        </w:tcBorders>
                      </w:tcPr>
                      <w:p>
                        <w:pPr/>
                      </w:p>
                    </w:tc>
                    <w:tc>
                      <w:tcPr>
                        <w:tcW w:w="839" w:type="dxa"/>
                        <w:tcBorders>
                          <w:top w:val="single" w:sz="1" w:space="0" w:color="000000"/>
                          <w:bottom w:val="nil"/>
                        </w:tcBorders>
                      </w:tcPr>
                      <w:p>
                        <w:pPr/>
                      </w:p>
                    </w:tc>
                    <w:tc>
                      <w:tcPr>
                        <w:tcW w:w="749" w:type="dxa"/>
                        <w:tcBorders>
                          <w:top w:val="single" w:sz="1" w:space="0" w:color="000000"/>
                          <w:bottom w:val="nil"/>
                          <w:right w:val="nil"/>
                        </w:tcBorders>
                      </w:tcPr>
                      <w:p>
                        <w:pPr/>
                      </w:p>
                    </w:tc>
                  </w:tr>
                  <w:tr>
                    <w:trPr>
                      <w:trHeight w:val="208" w:hRule="exact"/>
                    </w:trPr>
                    <w:tc>
                      <w:tcPr>
                        <w:tcW w:w="448" w:type="dxa"/>
                        <w:tcBorders>
                          <w:top w:val="nil"/>
                          <w:left w:val="nil"/>
                          <w:bottom w:val="nil"/>
                          <w:right w:val="single" w:sz="7" w:space="0" w:color="000000"/>
                        </w:tcBorders>
                      </w:tcPr>
                      <w:p>
                        <w:pPr>
                          <w:pStyle w:val="TableParagraph"/>
                          <w:spacing w:line="209" w:lineRule="exact"/>
                          <w:ind w:right="122"/>
                          <w:jc w:val="right"/>
                          <w:rPr>
                            <w:rFonts w:ascii="Arial"/>
                            <w:sz w:val="22"/>
                          </w:rPr>
                        </w:pPr>
                        <w:r>
                          <w:rPr>
                            <w:rFonts w:ascii="Arial"/>
                            <w:w w:val="74"/>
                            <w:sz w:val="22"/>
                          </w:rPr>
                          <w:t>o</w:t>
                        </w:r>
                      </w:p>
                    </w:tc>
                    <w:tc>
                      <w:tcPr>
                        <w:tcW w:w="832" w:type="dxa"/>
                        <w:tcBorders>
                          <w:top w:val="nil"/>
                          <w:left w:val="single" w:sz="7" w:space="0" w:color="000000"/>
                          <w:bottom w:val="nil"/>
                          <w:right w:val="single" w:sz="7" w:space="0" w:color="000000"/>
                        </w:tcBorders>
                      </w:tcPr>
                      <w:p>
                        <w:pPr>
                          <w:pStyle w:val="TableParagraph"/>
                          <w:ind w:left="157" w:right="112"/>
                          <w:jc w:val="center"/>
                          <w:rPr>
                            <w:rFonts w:ascii="Times New Roman"/>
                            <w:sz w:val="17"/>
                          </w:rPr>
                        </w:pPr>
                        <w:r>
                          <w:rPr>
                            <w:rFonts w:ascii="Times New Roman"/>
                            <w:sz w:val="17"/>
                          </w:rPr>
                          <w:t>.00592</w:t>
                        </w:r>
                      </w:p>
                    </w:tc>
                    <w:tc>
                      <w:tcPr>
                        <w:tcW w:w="747" w:type="dxa"/>
                        <w:tcBorders>
                          <w:top w:val="nil"/>
                          <w:left w:val="single" w:sz="7" w:space="0" w:color="000000"/>
                          <w:bottom w:val="nil"/>
                          <w:right w:val="single" w:sz="1" w:space="0" w:color="000000"/>
                        </w:tcBorders>
                      </w:tcPr>
                      <w:p>
                        <w:pPr>
                          <w:pStyle w:val="TableParagraph"/>
                          <w:spacing w:before="1"/>
                          <w:ind w:left="70" w:right="11"/>
                          <w:jc w:val="center"/>
                          <w:rPr>
                            <w:sz w:val="19"/>
                          </w:rPr>
                        </w:pPr>
                        <w:r>
                          <w:rPr>
                            <w:spacing w:val="-13"/>
                            <w:w w:val="85"/>
                            <w:sz w:val="19"/>
                          </w:rPr>
                          <w:t>100,000</w:t>
                        </w:r>
                      </w:p>
                    </w:tc>
                    <w:tc>
                      <w:tcPr>
                        <w:tcW w:w="850" w:type="dxa"/>
                        <w:gridSpan w:val="2"/>
                        <w:tcBorders>
                          <w:top w:val="nil"/>
                          <w:left w:val="single" w:sz="1" w:space="0" w:color="000000"/>
                          <w:bottom w:val="nil"/>
                          <w:right w:val="single" w:sz="16" w:space="0" w:color="000000"/>
                        </w:tcBorders>
                      </w:tcPr>
                      <w:p>
                        <w:pPr>
                          <w:pStyle w:val="TableParagraph"/>
                          <w:spacing w:line="209" w:lineRule="exact"/>
                          <w:ind w:left="275" w:right="-9"/>
                          <w:rPr>
                            <w:sz w:val="19"/>
                          </w:rPr>
                        </w:pPr>
                        <w:r>
                          <w:rPr>
                            <w:w w:val="95"/>
                            <w:sz w:val="19"/>
                          </w:rPr>
                          <w:t>2,592</w:t>
                        </w:r>
                      </w:p>
                    </w:tc>
                    <w:tc>
                      <w:tcPr>
                        <w:tcW w:w="382" w:type="dxa"/>
                        <w:tcBorders>
                          <w:top w:val="nil"/>
                          <w:left w:val="single" w:sz="16" w:space="0" w:color="000000"/>
                          <w:bottom w:val="nil"/>
                          <w:right w:val="single" w:sz="1" w:space="0" w:color="000000"/>
                        </w:tcBorders>
                      </w:tcPr>
                      <w:p>
                        <w:pPr>
                          <w:pStyle w:val="TableParagraph"/>
                          <w:spacing w:line="192" w:lineRule="exact"/>
                          <w:ind w:left="127" w:right="-13"/>
                          <w:rPr>
                            <w:rFonts w:ascii="Times New Roman"/>
                            <w:sz w:val="17"/>
                          </w:rPr>
                        </w:pPr>
                        <w:r>
                          <w:rPr>
                            <w:rFonts w:ascii="Times New Roman"/>
                            <w:w w:val="105"/>
                            <w:sz w:val="17"/>
                          </w:rPr>
                          <w:t>40</w:t>
                        </w:r>
                      </w:p>
                    </w:tc>
                    <w:tc>
                      <w:tcPr>
                        <w:tcW w:w="900" w:type="dxa"/>
                        <w:gridSpan w:val="2"/>
                        <w:tcBorders>
                          <w:top w:val="nil"/>
                          <w:left w:val="single" w:sz="1" w:space="0" w:color="000000"/>
                          <w:bottom w:val="nil"/>
                        </w:tcBorders>
                      </w:tcPr>
                      <w:p>
                        <w:pPr>
                          <w:pStyle w:val="TableParagraph"/>
                          <w:spacing w:line="205" w:lineRule="exact"/>
                          <w:ind w:left="268" w:right="-6"/>
                          <w:rPr>
                            <w:sz w:val="19"/>
                          </w:rPr>
                        </w:pPr>
                        <w:r>
                          <w:rPr>
                            <w:spacing w:val="-14"/>
                            <w:w w:val="95"/>
                            <w:sz w:val="19"/>
                          </w:rPr>
                          <w:t>.00032</w:t>
                        </w:r>
                      </w:p>
                    </w:tc>
                    <w:tc>
                      <w:tcPr>
                        <w:tcW w:w="839" w:type="dxa"/>
                        <w:tcBorders>
                          <w:top w:val="nil"/>
                          <w:bottom w:val="nil"/>
                        </w:tcBorders>
                      </w:tcPr>
                      <w:p>
                        <w:pPr>
                          <w:pStyle w:val="TableParagraph"/>
                          <w:spacing w:line="205" w:lineRule="exact"/>
                          <w:ind w:left="63" w:right="36"/>
                          <w:jc w:val="center"/>
                          <w:rPr>
                            <w:sz w:val="19"/>
                          </w:rPr>
                        </w:pPr>
                        <w:r>
                          <w:rPr>
                            <w:sz w:val="19"/>
                          </w:rPr>
                          <w:t>92,427</w:t>
                        </w:r>
                      </w:p>
                    </w:tc>
                    <w:tc>
                      <w:tcPr>
                        <w:tcW w:w="749" w:type="dxa"/>
                        <w:tcBorders>
                          <w:top w:val="nil"/>
                          <w:bottom w:val="nil"/>
                          <w:right w:val="nil"/>
                        </w:tcBorders>
                      </w:tcPr>
                      <w:p>
                        <w:pPr>
                          <w:pStyle w:val="TableParagraph"/>
                          <w:spacing w:line="205" w:lineRule="exact"/>
                          <w:ind w:right="141"/>
                          <w:jc w:val="right"/>
                          <w:rPr>
                            <w:sz w:val="19"/>
                          </w:rPr>
                        </w:pPr>
                        <w:r>
                          <w:rPr>
                            <w:w w:val="75"/>
                            <w:sz w:val="19"/>
                          </w:rPr>
                          <w:t>306</w:t>
                        </w:r>
                      </w:p>
                    </w:tc>
                  </w:tr>
                  <w:tr>
                    <w:trPr>
                      <w:trHeight w:val="607" w:hRule="exact"/>
                    </w:trPr>
                    <w:tc>
                      <w:tcPr>
                        <w:tcW w:w="448" w:type="dxa"/>
                        <w:tcBorders>
                          <w:top w:val="nil"/>
                          <w:left w:val="nil"/>
                          <w:bottom w:val="nil"/>
                          <w:right w:val="single" w:sz="7" w:space="0" w:color="000000"/>
                        </w:tcBorders>
                      </w:tcPr>
                      <w:p>
                        <w:pPr>
                          <w:pStyle w:val="TableParagraph"/>
                          <w:spacing w:line="207" w:lineRule="exact"/>
                          <w:ind w:left="230"/>
                          <w:rPr>
                            <w:sz w:val="19"/>
                          </w:rPr>
                        </w:pPr>
                        <w:r>
                          <w:rPr>
                            <w:w w:val="77"/>
                            <w:sz w:val="19"/>
                          </w:rPr>
                          <w:t>1</w:t>
                        </w:r>
                      </w:p>
                      <w:p>
                        <w:pPr>
                          <w:pStyle w:val="TableParagraph"/>
                          <w:spacing w:line="205" w:lineRule="exact"/>
                          <w:ind w:left="219"/>
                          <w:rPr>
                            <w:sz w:val="19"/>
                          </w:rPr>
                        </w:pPr>
                        <w:r>
                          <w:rPr>
                            <w:w w:val="103"/>
                            <w:sz w:val="19"/>
                          </w:rPr>
                          <w:t>2</w:t>
                        </w:r>
                      </w:p>
                      <w:p>
                        <w:pPr>
                          <w:pStyle w:val="TableParagraph"/>
                          <w:spacing w:line="192" w:lineRule="exact"/>
                          <w:ind w:left="215"/>
                          <w:rPr>
                            <w:rFonts w:ascii="Arial"/>
                            <w:sz w:val="17"/>
                          </w:rPr>
                        </w:pPr>
                        <w:r>
                          <w:rPr>
                            <w:rFonts w:ascii="Arial"/>
                            <w:w w:val="92"/>
                            <w:sz w:val="17"/>
                          </w:rPr>
                          <w:t>3</w:t>
                        </w:r>
                      </w:p>
                    </w:tc>
                    <w:tc>
                      <w:tcPr>
                        <w:tcW w:w="832" w:type="dxa"/>
                        <w:tcBorders>
                          <w:top w:val="nil"/>
                          <w:left w:val="single" w:sz="7" w:space="0" w:color="000000"/>
                          <w:bottom w:val="nil"/>
                          <w:right w:val="single" w:sz="7" w:space="0" w:color="000000"/>
                        </w:tcBorders>
                      </w:tcPr>
                      <w:p>
                        <w:pPr>
                          <w:pStyle w:val="TableParagraph"/>
                          <w:spacing w:line="207" w:lineRule="exact"/>
                          <w:ind w:left="194" w:right="-3"/>
                          <w:rPr>
                            <w:sz w:val="19"/>
                          </w:rPr>
                        </w:pPr>
                        <w:r>
                          <w:rPr>
                            <w:spacing w:val="-12"/>
                            <w:w w:val="80"/>
                            <w:sz w:val="19"/>
                          </w:rPr>
                          <w:t>.0015.1</w:t>
                        </w:r>
                      </w:p>
                      <w:p>
                        <w:pPr>
                          <w:pStyle w:val="TableParagraph"/>
                          <w:spacing w:line="198" w:lineRule="exact"/>
                          <w:ind w:left="190" w:right="-3"/>
                          <w:rPr>
                            <w:sz w:val="19"/>
                          </w:rPr>
                        </w:pPr>
                        <w:r>
                          <w:rPr>
                            <w:spacing w:val="-17"/>
                            <w:w w:val="95"/>
                            <w:sz w:val="19"/>
                          </w:rPr>
                          <w:t>.00101</w:t>
                        </w:r>
                      </w:p>
                      <w:p>
                        <w:pPr>
                          <w:pStyle w:val="TableParagraph"/>
                          <w:spacing w:line="197" w:lineRule="exact"/>
                          <w:ind w:left="194" w:right="-3"/>
                          <w:rPr>
                            <w:rFonts w:ascii="Times New Roman"/>
                            <w:b/>
                            <w:sz w:val="18"/>
                          </w:rPr>
                        </w:pPr>
                        <w:r>
                          <w:rPr>
                            <w:rFonts w:ascii="Times New Roman"/>
                            <w:b/>
                            <w:sz w:val="18"/>
                          </w:rPr>
                          <w:t>.00081</w:t>
                        </w:r>
                      </w:p>
                    </w:tc>
                    <w:tc>
                      <w:tcPr>
                        <w:tcW w:w="747" w:type="dxa"/>
                        <w:tcBorders>
                          <w:top w:val="nil"/>
                          <w:left w:val="single" w:sz="7" w:space="0" w:color="000000"/>
                          <w:bottom w:val="nil"/>
                          <w:right w:val="single" w:sz="1" w:space="0" w:color="000000"/>
                        </w:tcBorders>
                      </w:tcPr>
                      <w:p>
                        <w:pPr>
                          <w:pStyle w:val="TableParagraph"/>
                          <w:spacing w:line="198" w:lineRule="exact"/>
                          <w:ind w:left="169" w:right="-3"/>
                          <w:rPr>
                            <w:sz w:val="19"/>
                          </w:rPr>
                        </w:pPr>
                        <w:r>
                          <w:rPr>
                            <w:spacing w:val="-20"/>
                            <w:w w:val="95"/>
                            <w:sz w:val="19"/>
                          </w:rPr>
                          <w:t>97,403</w:t>
                        </w:r>
                      </w:p>
                      <w:p>
                        <w:pPr>
                          <w:pStyle w:val="TableParagraph"/>
                          <w:spacing w:line="195" w:lineRule="exact"/>
                          <w:ind w:left="169" w:right="-3"/>
                          <w:rPr>
                            <w:rFonts w:ascii="Times New Roman"/>
                            <w:sz w:val="18"/>
                          </w:rPr>
                        </w:pPr>
                        <w:r>
                          <w:rPr>
                            <w:rFonts w:ascii="Times New Roman"/>
                            <w:sz w:val="18"/>
                          </w:rPr>
                          <w:t>97,259</w:t>
                        </w:r>
                      </w:p>
                      <w:p>
                        <w:pPr>
                          <w:pStyle w:val="TableParagraph"/>
                          <w:spacing w:before="4"/>
                          <w:ind w:left="165" w:right="-3"/>
                          <w:rPr>
                            <w:sz w:val="19"/>
                          </w:rPr>
                        </w:pPr>
                        <w:r>
                          <w:rPr>
                            <w:spacing w:val="-16"/>
                            <w:w w:val="95"/>
                            <w:sz w:val="19"/>
                          </w:rPr>
                          <w:t>97,160</w:t>
                        </w:r>
                      </w:p>
                    </w:tc>
                    <w:tc>
                      <w:tcPr>
                        <w:tcW w:w="850" w:type="dxa"/>
                        <w:gridSpan w:val="2"/>
                        <w:tcBorders>
                          <w:top w:val="nil"/>
                          <w:left w:val="single" w:sz="1" w:space="0" w:color="000000"/>
                          <w:bottom w:val="nil"/>
                          <w:right w:val="single" w:sz="16" w:space="0" w:color="000000"/>
                        </w:tcBorders>
                      </w:tcPr>
                      <w:p>
                        <w:pPr>
                          <w:pStyle w:val="TableParagraph"/>
                          <w:spacing w:line="201" w:lineRule="exact"/>
                          <w:ind w:left="444" w:right="-9"/>
                          <w:rPr>
                            <w:sz w:val="19"/>
                          </w:rPr>
                        </w:pPr>
                        <w:r>
                          <w:rPr>
                            <w:sz w:val="19"/>
                          </w:rPr>
                          <w:t>149</w:t>
                        </w:r>
                      </w:p>
                      <w:p>
                        <w:pPr>
                          <w:pStyle w:val="TableParagraph"/>
                          <w:spacing w:line="202" w:lineRule="exact"/>
                          <w:ind w:left="505" w:right="-9"/>
                          <w:rPr>
                            <w:sz w:val="19"/>
                          </w:rPr>
                        </w:pPr>
                        <w:r>
                          <w:rPr>
                            <w:w w:val="95"/>
                            <w:sz w:val="19"/>
                          </w:rPr>
                          <w:t>99</w:t>
                        </w:r>
                      </w:p>
                      <w:p>
                        <w:pPr>
                          <w:pStyle w:val="TableParagraph"/>
                          <w:spacing w:line="207" w:lineRule="exact"/>
                          <w:ind w:left="509" w:right="-9"/>
                          <w:rPr>
                            <w:sz w:val="19"/>
                          </w:rPr>
                        </w:pPr>
                        <w:r>
                          <w:rPr>
                            <w:w w:val="110"/>
                            <w:sz w:val="19"/>
                          </w:rPr>
                          <w:t>78</w:t>
                        </w:r>
                      </w:p>
                    </w:tc>
                    <w:tc>
                      <w:tcPr>
                        <w:tcW w:w="382" w:type="dxa"/>
                        <w:tcBorders>
                          <w:top w:val="nil"/>
                          <w:left w:val="single" w:sz="16" w:space="0" w:color="000000"/>
                          <w:bottom w:val="nil"/>
                          <w:right w:val="single" w:sz="1" w:space="0" w:color="000000"/>
                        </w:tcBorders>
                      </w:tcPr>
                      <w:p>
                        <w:pPr>
                          <w:pStyle w:val="TableParagraph"/>
                          <w:spacing w:line="196" w:lineRule="exact"/>
                          <w:ind w:left="124" w:right="-13"/>
                          <w:rPr>
                            <w:sz w:val="19"/>
                          </w:rPr>
                        </w:pPr>
                        <w:r>
                          <w:rPr>
                            <w:sz w:val="19"/>
                          </w:rPr>
                          <w:t>41</w:t>
                        </w:r>
                      </w:p>
                      <w:p>
                        <w:pPr>
                          <w:pStyle w:val="TableParagraph"/>
                          <w:spacing w:line="205" w:lineRule="exact"/>
                          <w:ind w:left="120" w:right="-20"/>
                          <w:rPr>
                            <w:sz w:val="19"/>
                          </w:rPr>
                        </w:pPr>
                        <w:r>
                          <w:rPr>
                            <w:w w:val="105"/>
                            <w:sz w:val="19"/>
                          </w:rPr>
                          <w:t>42</w:t>
                        </w:r>
                      </w:p>
                      <w:p>
                        <w:pPr>
                          <w:pStyle w:val="TableParagraph"/>
                          <w:spacing w:line="212" w:lineRule="exact"/>
                          <w:ind w:left="124" w:right="-13"/>
                          <w:rPr>
                            <w:sz w:val="19"/>
                          </w:rPr>
                        </w:pPr>
                        <w:r>
                          <w:rPr>
                            <w:spacing w:val="-21"/>
                            <w:w w:val="105"/>
                            <w:sz w:val="19"/>
                          </w:rPr>
                          <w:t>43</w:t>
                        </w:r>
                      </w:p>
                    </w:tc>
                    <w:tc>
                      <w:tcPr>
                        <w:tcW w:w="900" w:type="dxa"/>
                        <w:gridSpan w:val="2"/>
                        <w:tcBorders>
                          <w:top w:val="nil"/>
                          <w:left w:val="single" w:sz="1" w:space="0" w:color="000000"/>
                          <w:bottom w:val="nil"/>
                        </w:tcBorders>
                      </w:tcPr>
                      <w:p>
                        <w:pPr>
                          <w:pStyle w:val="TableParagraph"/>
                          <w:spacing w:line="192" w:lineRule="exact"/>
                          <w:ind w:left="264" w:right="-6"/>
                          <w:rPr>
                            <w:sz w:val="20"/>
                          </w:rPr>
                        </w:pPr>
                        <w:r>
                          <w:rPr>
                            <w:w w:val="85"/>
                            <w:sz w:val="20"/>
                          </w:rPr>
                          <w:t>.OOJ68</w:t>
                        </w:r>
                      </w:p>
                      <w:p>
                        <w:pPr>
                          <w:pStyle w:val="TableParagraph"/>
                          <w:spacing w:line="188" w:lineRule="exact"/>
                          <w:ind w:left="264" w:right="-6"/>
                          <w:rPr>
                            <w:rFonts w:ascii="Times New Roman"/>
                            <w:sz w:val="18"/>
                          </w:rPr>
                        </w:pPr>
                        <w:r>
                          <w:rPr>
                            <w:rFonts w:ascii="Times New Roman"/>
                            <w:sz w:val="18"/>
                          </w:rPr>
                          <w:t>.00409</w:t>
                        </w:r>
                      </w:p>
                      <w:p>
                        <w:pPr>
                          <w:pStyle w:val="TableParagraph"/>
                          <w:spacing w:line="213" w:lineRule="exact"/>
                          <w:ind w:left="264" w:right="-6"/>
                          <w:rPr>
                            <w:rFonts w:ascii="Times New Roman"/>
                            <w:sz w:val="19"/>
                          </w:rPr>
                        </w:pPr>
                        <w:r>
                          <w:rPr>
                            <w:rFonts w:ascii="Times New Roman"/>
                            <w:sz w:val="19"/>
                          </w:rPr>
                          <w:t>.004M</w:t>
                        </w:r>
                      </w:p>
                    </w:tc>
                    <w:tc>
                      <w:tcPr>
                        <w:tcW w:w="839" w:type="dxa"/>
                        <w:tcBorders>
                          <w:top w:val="nil"/>
                          <w:bottom w:val="nil"/>
                        </w:tcBorders>
                      </w:tcPr>
                      <w:p>
                        <w:pPr>
                          <w:pStyle w:val="TableParagraph"/>
                          <w:spacing w:line="190" w:lineRule="exact"/>
                          <w:ind w:left="172" w:right="-18"/>
                          <w:rPr>
                            <w:sz w:val="19"/>
                          </w:rPr>
                        </w:pPr>
                        <w:r>
                          <w:rPr>
                            <w:spacing w:val="-22"/>
                            <w:sz w:val="19"/>
                          </w:rPr>
                          <w:t>92,121</w:t>
                        </w:r>
                      </w:p>
                      <w:p>
                        <w:pPr>
                          <w:pStyle w:val="TableParagraph"/>
                          <w:spacing w:line="205" w:lineRule="exact"/>
                          <w:ind w:left="172" w:right="-18"/>
                          <w:rPr>
                            <w:sz w:val="19"/>
                          </w:rPr>
                        </w:pPr>
                        <w:r>
                          <w:rPr>
                            <w:spacing w:val="-18"/>
                            <w:sz w:val="19"/>
                          </w:rPr>
                          <w:t>91,782</w:t>
                        </w:r>
                      </w:p>
                      <w:p>
                        <w:pPr>
                          <w:pStyle w:val="TableParagraph"/>
                          <w:spacing w:line="210" w:lineRule="exact"/>
                          <w:ind w:left="172" w:right="-18"/>
                          <w:rPr>
                            <w:sz w:val="19"/>
                          </w:rPr>
                        </w:pPr>
                        <w:r>
                          <w:rPr>
                            <w:w w:val="95"/>
                            <w:sz w:val="19"/>
                          </w:rPr>
                          <w:t>91,406</w:t>
                        </w:r>
                      </w:p>
                    </w:tc>
                    <w:tc>
                      <w:tcPr>
                        <w:tcW w:w="749" w:type="dxa"/>
                        <w:tcBorders>
                          <w:top w:val="nil"/>
                          <w:bottom w:val="nil"/>
                          <w:right w:val="nil"/>
                        </w:tcBorders>
                      </w:tcPr>
                      <w:p>
                        <w:pPr>
                          <w:pStyle w:val="TableParagraph"/>
                          <w:spacing w:line="190" w:lineRule="exact"/>
                          <w:ind w:left="327"/>
                          <w:rPr>
                            <w:sz w:val="19"/>
                          </w:rPr>
                        </w:pPr>
                        <w:r>
                          <w:rPr>
                            <w:sz w:val="19"/>
                          </w:rPr>
                          <w:t>339</w:t>
                        </w:r>
                      </w:p>
                      <w:p>
                        <w:pPr>
                          <w:pStyle w:val="TableParagraph"/>
                          <w:spacing w:line="200" w:lineRule="exact"/>
                          <w:ind w:left="327"/>
                          <w:rPr>
                            <w:sz w:val="19"/>
                          </w:rPr>
                        </w:pPr>
                        <w:r>
                          <w:rPr>
                            <w:w w:val="105"/>
                            <w:sz w:val="19"/>
                          </w:rPr>
                          <w:t>376</w:t>
                        </w:r>
                      </w:p>
                      <w:p>
                        <w:pPr>
                          <w:pStyle w:val="TableParagraph"/>
                          <w:spacing w:line="208" w:lineRule="exact"/>
                          <w:ind w:left="323"/>
                          <w:rPr>
                            <w:sz w:val="19"/>
                          </w:rPr>
                        </w:pPr>
                        <w:r>
                          <w:rPr>
                            <w:sz w:val="19"/>
                          </w:rPr>
                          <w:t>415</w:t>
                        </w:r>
                      </w:p>
                    </w:tc>
                  </w:tr>
                  <w:tr>
                    <w:trPr>
                      <w:trHeight w:val="304" w:hRule="exact"/>
                    </w:trPr>
                    <w:tc>
                      <w:tcPr>
                        <w:tcW w:w="448" w:type="dxa"/>
                        <w:tcBorders>
                          <w:top w:val="nil"/>
                          <w:left w:val="nil"/>
                          <w:bottom w:val="nil"/>
                          <w:right w:val="single" w:sz="7" w:space="0" w:color="000000"/>
                        </w:tcBorders>
                      </w:tcPr>
                      <w:p>
                        <w:pPr>
                          <w:pStyle w:val="TableParagraph"/>
                          <w:ind w:right="100"/>
                          <w:jc w:val="right"/>
                          <w:rPr>
                            <w:sz w:val="19"/>
                          </w:rPr>
                        </w:pPr>
                        <w:r>
                          <w:rPr>
                            <w:w w:val="108"/>
                            <w:sz w:val="19"/>
                          </w:rPr>
                          <w:t>4</w:t>
                        </w:r>
                      </w:p>
                    </w:tc>
                    <w:tc>
                      <w:tcPr>
                        <w:tcW w:w="832" w:type="dxa"/>
                        <w:tcBorders>
                          <w:top w:val="nil"/>
                          <w:left w:val="single" w:sz="7" w:space="0" w:color="000000"/>
                          <w:bottom w:val="nil"/>
                          <w:right w:val="single" w:sz="7" w:space="0" w:color="000000"/>
                        </w:tcBorders>
                      </w:tcPr>
                      <w:p>
                        <w:pPr>
                          <w:pStyle w:val="TableParagraph"/>
                          <w:spacing w:line="195" w:lineRule="exact"/>
                          <w:ind w:left="153" w:right="120"/>
                          <w:jc w:val="center"/>
                          <w:rPr>
                            <w:rFonts w:ascii="Times New Roman"/>
                            <w:sz w:val="17"/>
                          </w:rPr>
                        </w:pPr>
                        <w:r>
                          <w:rPr>
                            <w:rFonts w:ascii="Times New Roman"/>
                            <w:sz w:val="17"/>
                          </w:rPr>
                          <w:t>.00069</w:t>
                        </w:r>
                      </w:p>
                    </w:tc>
                    <w:tc>
                      <w:tcPr>
                        <w:tcW w:w="747" w:type="dxa"/>
                        <w:tcBorders>
                          <w:top w:val="nil"/>
                          <w:left w:val="single" w:sz="7" w:space="0" w:color="000000"/>
                          <w:bottom w:val="nil"/>
                          <w:right w:val="single" w:sz="1" w:space="0" w:color="000000"/>
                        </w:tcBorders>
                      </w:tcPr>
                      <w:p>
                        <w:pPr>
                          <w:pStyle w:val="TableParagraph"/>
                          <w:spacing w:line="208" w:lineRule="exact"/>
                          <w:ind w:left="139" w:right="11"/>
                          <w:jc w:val="center"/>
                          <w:rPr>
                            <w:sz w:val="19"/>
                          </w:rPr>
                        </w:pPr>
                        <w:r>
                          <w:rPr>
                            <w:spacing w:val="-23"/>
                            <w:sz w:val="19"/>
                          </w:rPr>
                          <w:t>97,082</w:t>
                        </w:r>
                      </w:p>
                    </w:tc>
                    <w:tc>
                      <w:tcPr>
                        <w:tcW w:w="850" w:type="dxa"/>
                        <w:gridSpan w:val="2"/>
                        <w:tcBorders>
                          <w:top w:val="nil"/>
                          <w:left w:val="single" w:sz="1" w:space="0" w:color="000000"/>
                          <w:bottom w:val="nil"/>
                          <w:right w:val="single" w:sz="16" w:space="0" w:color="000000"/>
                        </w:tcBorders>
                      </w:tcPr>
                      <w:p>
                        <w:pPr>
                          <w:pStyle w:val="TableParagraph"/>
                          <w:spacing w:line="204" w:lineRule="exact"/>
                          <w:ind w:left="509" w:right="-9"/>
                          <w:rPr>
                            <w:sz w:val="19"/>
                          </w:rPr>
                        </w:pPr>
                        <w:r>
                          <w:rPr>
                            <w:w w:val="110"/>
                            <w:sz w:val="19"/>
                          </w:rPr>
                          <w:t>67</w:t>
                        </w:r>
                      </w:p>
                    </w:tc>
                    <w:tc>
                      <w:tcPr>
                        <w:tcW w:w="382" w:type="dxa"/>
                        <w:tcBorders>
                          <w:top w:val="nil"/>
                          <w:left w:val="single" w:sz="16" w:space="0" w:color="000000"/>
                          <w:bottom w:val="nil"/>
                          <w:right w:val="single" w:sz="1" w:space="0" w:color="000000"/>
                        </w:tcBorders>
                      </w:tcPr>
                      <w:p>
                        <w:pPr>
                          <w:pStyle w:val="TableParagraph"/>
                          <w:spacing w:line="208" w:lineRule="exact"/>
                          <w:ind w:left="124" w:right="-1"/>
                          <w:rPr>
                            <w:sz w:val="19"/>
                          </w:rPr>
                        </w:pPr>
                        <w:r>
                          <w:rPr>
                            <w:w w:val="95"/>
                            <w:sz w:val="19"/>
                          </w:rPr>
                          <w:t>44</w:t>
                        </w:r>
                      </w:p>
                    </w:tc>
                    <w:tc>
                      <w:tcPr>
                        <w:tcW w:w="900" w:type="dxa"/>
                        <w:gridSpan w:val="2"/>
                        <w:tcBorders>
                          <w:top w:val="nil"/>
                          <w:left w:val="single" w:sz="1" w:space="0" w:color="000000"/>
                          <w:bottom w:val="nil"/>
                        </w:tcBorders>
                      </w:tcPr>
                      <w:p>
                        <w:pPr>
                          <w:pStyle w:val="TableParagraph"/>
                          <w:spacing w:line="201" w:lineRule="exact"/>
                          <w:ind w:left="260" w:right="-5"/>
                          <w:rPr>
                            <w:sz w:val="19"/>
                          </w:rPr>
                        </w:pPr>
                        <w:r>
                          <w:rPr>
                            <w:w w:val="90"/>
                            <w:sz w:val="19"/>
                          </w:rPr>
                          <w:t>.00604</w:t>
                        </w:r>
                      </w:p>
                    </w:tc>
                    <w:tc>
                      <w:tcPr>
                        <w:tcW w:w="839" w:type="dxa"/>
                        <w:tcBorders>
                          <w:top w:val="nil"/>
                          <w:bottom w:val="nil"/>
                        </w:tcBorders>
                      </w:tcPr>
                      <w:p>
                        <w:pPr>
                          <w:pStyle w:val="TableParagraph"/>
                          <w:spacing w:line="197" w:lineRule="exact"/>
                          <w:ind w:left="54" w:right="36"/>
                          <w:jc w:val="center"/>
                          <w:rPr>
                            <w:sz w:val="19"/>
                          </w:rPr>
                        </w:pPr>
                        <w:r>
                          <w:rPr>
                            <w:w w:val="90"/>
                            <w:sz w:val="19"/>
                          </w:rPr>
                          <w:t>90,991</w:t>
                        </w:r>
                      </w:p>
                    </w:tc>
                    <w:tc>
                      <w:tcPr>
                        <w:tcW w:w="749" w:type="dxa"/>
                        <w:tcBorders>
                          <w:top w:val="nil"/>
                          <w:bottom w:val="nil"/>
                          <w:right w:val="nil"/>
                        </w:tcBorders>
                      </w:tcPr>
                      <w:p>
                        <w:pPr>
                          <w:pStyle w:val="TableParagraph"/>
                          <w:spacing w:line="172" w:lineRule="exact"/>
                          <w:ind w:right="162"/>
                          <w:jc w:val="right"/>
                          <w:rPr>
                            <w:rFonts w:ascii="Arial"/>
                            <w:sz w:val="15"/>
                          </w:rPr>
                        </w:pPr>
                        <w:r>
                          <w:rPr>
                            <w:rFonts w:ascii="Arial"/>
                            <w:w w:val="105"/>
                            <w:sz w:val="15"/>
                          </w:rPr>
                          <w:t>4li8</w:t>
                        </w:r>
                      </w:p>
                    </w:tc>
                  </w:tr>
                  <w:tr>
                    <w:trPr>
                      <w:trHeight w:val="300" w:hRule="exact"/>
                    </w:trPr>
                    <w:tc>
                      <w:tcPr>
                        <w:tcW w:w="448" w:type="dxa"/>
                        <w:tcBorders>
                          <w:top w:val="nil"/>
                          <w:left w:val="nil"/>
                          <w:bottom w:val="nil"/>
                          <w:right w:val="single" w:sz="7" w:space="0" w:color="000000"/>
                        </w:tcBorders>
                      </w:tcPr>
                      <w:p>
                        <w:pPr>
                          <w:pStyle w:val="TableParagraph"/>
                          <w:spacing w:before="120"/>
                          <w:ind w:right="129"/>
                          <w:jc w:val="right"/>
                          <w:rPr>
                            <w:rFonts w:ascii="Arial"/>
                            <w:sz w:val="15"/>
                          </w:rPr>
                        </w:pPr>
                        <w:r>
                          <w:rPr>
                            <w:rFonts w:ascii="Arial"/>
                            <w:w w:val="113"/>
                            <w:sz w:val="15"/>
                          </w:rPr>
                          <w:t>5</w:t>
                        </w:r>
                      </w:p>
                    </w:tc>
                    <w:tc>
                      <w:tcPr>
                        <w:tcW w:w="832" w:type="dxa"/>
                        <w:tcBorders>
                          <w:top w:val="nil"/>
                          <w:left w:val="single" w:sz="7" w:space="0" w:color="000000"/>
                          <w:bottom w:val="nil"/>
                          <w:right w:val="single" w:sz="7" w:space="0" w:color="000000"/>
                        </w:tcBorders>
                      </w:tcPr>
                      <w:p>
                        <w:pPr>
                          <w:pStyle w:val="TableParagraph"/>
                          <w:spacing w:before="85"/>
                          <w:ind w:left="157" w:right="120"/>
                          <w:jc w:val="center"/>
                          <w:rPr>
                            <w:rFonts w:ascii="Times New Roman"/>
                            <w:b/>
                            <w:sz w:val="18"/>
                          </w:rPr>
                        </w:pPr>
                        <w:r>
                          <w:rPr>
                            <w:rFonts w:ascii="Times New Roman"/>
                            <w:b/>
                            <w:sz w:val="18"/>
                          </w:rPr>
                          <w:t>.00062</w:t>
                        </w:r>
                      </w:p>
                    </w:tc>
                    <w:tc>
                      <w:tcPr>
                        <w:tcW w:w="747" w:type="dxa"/>
                        <w:tcBorders>
                          <w:top w:val="nil"/>
                          <w:left w:val="single" w:sz="7" w:space="0" w:color="000000"/>
                          <w:bottom w:val="nil"/>
                          <w:right w:val="single" w:sz="1" w:space="0" w:color="000000"/>
                        </w:tcBorders>
                      </w:tcPr>
                      <w:p>
                        <w:pPr>
                          <w:pStyle w:val="TableParagraph"/>
                          <w:spacing w:before="91"/>
                          <w:ind w:left="126" w:right="11"/>
                          <w:jc w:val="center"/>
                          <w:rPr>
                            <w:sz w:val="19"/>
                          </w:rPr>
                        </w:pPr>
                        <w:r>
                          <w:rPr>
                            <w:spacing w:val="-26"/>
                            <w:sz w:val="19"/>
                          </w:rPr>
                          <w:t>97,015</w:t>
                        </w:r>
                      </w:p>
                    </w:tc>
                    <w:tc>
                      <w:tcPr>
                        <w:tcW w:w="850" w:type="dxa"/>
                        <w:gridSpan w:val="2"/>
                        <w:tcBorders>
                          <w:top w:val="nil"/>
                          <w:left w:val="single" w:sz="1" w:space="0" w:color="000000"/>
                          <w:bottom w:val="nil"/>
                          <w:right w:val="single" w:sz="16" w:space="0" w:color="000000"/>
                        </w:tcBorders>
                      </w:tcPr>
                      <w:p>
                        <w:pPr>
                          <w:pStyle w:val="TableParagraph"/>
                          <w:spacing w:before="91"/>
                          <w:ind w:left="509" w:right="-9"/>
                          <w:rPr>
                            <w:rFonts w:ascii="Times New Roman"/>
                            <w:sz w:val="17"/>
                          </w:rPr>
                        </w:pPr>
                        <w:r>
                          <w:rPr>
                            <w:rFonts w:ascii="Times New Roman"/>
                            <w:w w:val="105"/>
                            <w:sz w:val="17"/>
                          </w:rPr>
                          <w:t>60</w:t>
                        </w:r>
                      </w:p>
                    </w:tc>
                    <w:tc>
                      <w:tcPr>
                        <w:tcW w:w="382" w:type="dxa"/>
                        <w:tcBorders>
                          <w:top w:val="nil"/>
                          <w:left w:val="single" w:sz="16" w:space="0" w:color="000000"/>
                          <w:bottom w:val="nil"/>
                          <w:right w:val="single" w:sz="1" w:space="0" w:color="000000"/>
                        </w:tcBorders>
                      </w:tcPr>
                      <w:p>
                        <w:pPr>
                          <w:pStyle w:val="TableParagraph"/>
                          <w:spacing w:before="88"/>
                          <w:ind w:left="120" w:right="-20"/>
                          <w:rPr>
                            <w:sz w:val="19"/>
                          </w:rPr>
                        </w:pPr>
                        <w:r>
                          <w:rPr>
                            <w:w w:val="105"/>
                            <w:sz w:val="19"/>
                          </w:rPr>
                          <w:t>45</w:t>
                        </w:r>
                      </w:p>
                    </w:tc>
                    <w:tc>
                      <w:tcPr>
                        <w:tcW w:w="900" w:type="dxa"/>
                        <w:gridSpan w:val="2"/>
                        <w:tcBorders>
                          <w:top w:val="nil"/>
                          <w:left w:val="single" w:sz="1" w:space="0" w:color="000000"/>
                          <w:bottom w:val="nil"/>
                        </w:tcBorders>
                      </w:tcPr>
                      <w:p>
                        <w:pPr>
                          <w:pStyle w:val="TableParagraph"/>
                          <w:spacing w:before="76"/>
                          <w:ind w:left="260" w:right="-2"/>
                          <w:rPr>
                            <w:sz w:val="20"/>
                          </w:rPr>
                        </w:pPr>
                        <w:r>
                          <w:rPr>
                            <w:w w:val="85"/>
                            <w:sz w:val="20"/>
                          </w:rPr>
                          <w:t>.00558</w:t>
                        </w:r>
                      </w:p>
                    </w:tc>
                    <w:tc>
                      <w:tcPr>
                        <w:tcW w:w="839" w:type="dxa"/>
                        <w:tcBorders>
                          <w:top w:val="nil"/>
                          <w:bottom w:val="nil"/>
                        </w:tcBorders>
                      </w:tcPr>
                      <w:p>
                        <w:pPr>
                          <w:pStyle w:val="TableParagraph"/>
                          <w:spacing w:before="84"/>
                          <w:ind w:left="35" w:right="36"/>
                          <w:jc w:val="center"/>
                          <w:rPr>
                            <w:sz w:val="19"/>
                          </w:rPr>
                        </w:pPr>
                        <w:r>
                          <w:rPr>
                            <w:w w:val="80"/>
                            <w:sz w:val="19"/>
                          </w:rPr>
                          <w:t>90,5.13</w:t>
                        </w:r>
                      </w:p>
                    </w:tc>
                    <w:tc>
                      <w:tcPr>
                        <w:tcW w:w="749" w:type="dxa"/>
                        <w:tcBorders>
                          <w:top w:val="nil"/>
                          <w:bottom w:val="nil"/>
                          <w:right w:val="nil"/>
                        </w:tcBorders>
                      </w:tcPr>
                      <w:p>
                        <w:pPr>
                          <w:pStyle w:val="TableParagraph"/>
                          <w:spacing w:before="76"/>
                          <w:ind w:right="153"/>
                          <w:jc w:val="right"/>
                          <w:rPr>
                            <w:rFonts w:ascii="Times New Roman"/>
                            <w:sz w:val="17"/>
                          </w:rPr>
                        </w:pPr>
                        <w:r>
                          <w:rPr>
                            <w:rFonts w:ascii="Times New Roman"/>
                            <w:sz w:val="17"/>
                          </w:rPr>
                          <w:t>505</w:t>
                        </w:r>
                      </w:p>
                    </w:tc>
                  </w:tr>
                  <w:tr>
                    <w:trPr>
                      <w:trHeight w:val="919" w:hRule="exact"/>
                    </w:trPr>
                    <w:tc>
                      <w:tcPr>
                        <w:tcW w:w="448" w:type="dxa"/>
                        <w:tcBorders>
                          <w:top w:val="nil"/>
                          <w:left w:val="nil"/>
                          <w:bottom w:val="nil"/>
                          <w:right w:val="single" w:sz="7" w:space="0" w:color="000000"/>
                        </w:tcBorders>
                      </w:tcPr>
                      <w:p>
                        <w:pPr>
                          <w:pStyle w:val="TableParagraph"/>
                          <w:spacing w:before="21"/>
                          <w:ind w:left="215"/>
                          <w:rPr>
                            <w:rFonts w:ascii="Arial"/>
                            <w:sz w:val="15"/>
                          </w:rPr>
                        </w:pPr>
                        <w:r>
                          <w:rPr>
                            <w:rFonts w:ascii="Arial"/>
                            <w:w w:val="109"/>
                            <w:sz w:val="15"/>
                          </w:rPr>
                          <w:t>6</w:t>
                        </w:r>
                      </w:p>
                      <w:p>
                        <w:pPr>
                          <w:pStyle w:val="TableParagraph"/>
                          <w:spacing w:line="210" w:lineRule="exact" w:before="15"/>
                          <w:ind w:left="219"/>
                          <w:rPr>
                            <w:sz w:val="19"/>
                          </w:rPr>
                        </w:pPr>
                        <w:r>
                          <w:rPr>
                            <w:w w:val="98"/>
                            <w:sz w:val="19"/>
                          </w:rPr>
                          <w:t>7</w:t>
                        </w:r>
                      </w:p>
                      <w:p>
                        <w:pPr>
                          <w:pStyle w:val="TableParagraph"/>
                          <w:spacing w:line="205" w:lineRule="exact"/>
                          <w:ind w:left="215"/>
                          <w:rPr>
                            <w:sz w:val="19"/>
                          </w:rPr>
                        </w:pPr>
                        <w:r>
                          <w:rPr>
                            <w:w w:val="108"/>
                            <w:sz w:val="19"/>
                          </w:rPr>
                          <w:t>8</w:t>
                        </w:r>
                      </w:p>
                      <w:p>
                        <w:pPr>
                          <w:pStyle w:val="TableParagraph"/>
                          <w:spacing w:line="210" w:lineRule="exact"/>
                          <w:ind w:left="215"/>
                          <w:rPr>
                            <w:sz w:val="19"/>
                          </w:rPr>
                        </w:pPr>
                        <w:r>
                          <w:rPr>
                            <w:w w:val="108"/>
                            <w:sz w:val="19"/>
                          </w:rPr>
                          <w:t>9</w:t>
                        </w:r>
                      </w:p>
                    </w:tc>
                    <w:tc>
                      <w:tcPr>
                        <w:tcW w:w="832" w:type="dxa"/>
                        <w:tcBorders>
                          <w:top w:val="nil"/>
                          <w:left w:val="single" w:sz="7" w:space="0" w:color="000000"/>
                          <w:bottom w:val="nil"/>
                          <w:right w:val="single" w:sz="7" w:space="0" w:color="000000"/>
                        </w:tcBorders>
                      </w:tcPr>
                      <w:p>
                        <w:pPr>
                          <w:pStyle w:val="TableParagraph"/>
                          <w:ind w:left="198" w:right="-3"/>
                          <w:rPr>
                            <w:sz w:val="19"/>
                          </w:rPr>
                        </w:pPr>
                        <w:r>
                          <w:rPr>
                            <w:spacing w:val="-12"/>
                            <w:w w:val="90"/>
                            <w:sz w:val="19"/>
                          </w:rPr>
                          <w:t>.00057</w:t>
                        </w:r>
                      </w:p>
                      <w:p>
                        <w:pPr>
                          <w:pStyle w:val="TableParagraph"/>
                          <w:spacing w:before="5"/>
                          <w:ind w:left="198" w:right="-3"/>
                          <w:rPr>
                            <w:rFonts w:ascii="Times New Roman"/>
                            <w:sz w:val="13"/>
                          </w:rPr>
                        </w:pPr>
                        <w:r>
                          <w:rPr>
                            <w:rFonts w:ascii="Times New Roman"/>
                            <w:w w:val="105"/>
                            <w:sz w:val="13"/>
                          </w:rPr>
                          <w:t>,(XX)53</w:t>
                        </w:r>
                      </w:p>
                      <w:p>
                        <w:pPr>
                          <w:pStyle w:val="TableParagraph"/>
                          <w:spacing w:line="208" w:lineRule="exact" w:before="40"/>
                          <w:ind w:left="194" w:right="-3"/>
                          <w:rPr>
                            <w:sz w:val="19"/>
                          </w:rPr>
                        </w:pPr>
                        <w:r>
                          <w:rPr>
                            <w:spacing w:val="-11"/>
                            <w:w w:val="80"/>
                            <w:sz w:val="19"/>
                          </w:rPr>
                          <w:t>.&lt;XX&gt;49</w:t>
                        </w:r>
                      </w:p>
                      <w:p>
                        <w:pPr>
                          <w:pStyle w:val="TableParagraph"/>
                          <w:spacing w:line="208" w:lineRule="exact"/>
                          <w:ind w:left="198" w:right="-3"/>
                          <w:rPr>
                            <w:sz w:val="19"/>
                          </w:rPr>
                        </w:pPr>
                        <w:r>
                          <w:rPr>
                            <w:w w:val="75"/>
                            <w:sz w:val="19"/>
                          </w:rPr>
                          <w:t>.&lt;XX&gt;45</w:t>
                        </w:r>
                      </w:p>
                    </w:tc>
                    <w:tc>
                      <w:tcPr>
                        <w:tcW w:w="747" w:type="dxa"/>
                        <w:tcBorders>
                          <w:top w:val="nil"/>
                          <w:left w:val="single" w:sz="7" w:space="0" w:color="000000"/>
                          <w:bottom w:val="nil"/>
                          <w:right w:val="single" w:sz="1" w:space="0" w:color="000000"/>
                        </w:tcBorders>
                      </w:tcPr>
                      <w:p>
                        <w:pPr>
                          <w:pStyle w:val="TableParagraph"/>
                          <w:spacing w:line="208" w:lineRule="exact"/>
                          <w:ind w:left="172" w:right="-3"/>
                          <w:rPr>
                            <w:sz w:val="19"/>
                          </w:rPr>
                        </w:pPr>
                        <w:r>
                          <w:rPr>
                            <w:spacing w:val="-13"/>
                            <w:w w:val="90"/>
                            <w:sz w:val="19"/>
                          </w:rPr>
                          <w:t>96,955</w:t>
                        </w:r>
                      </w:p>
                      <w:p>
                        <w:pPr>
                          <w:pStyle w:val="TableParagraph"/>
                          <w:spacing w:line="203" w:lineRule="exact"/>
                          <w:ind w:left="172" w:right="-4"/>
                          <w:rPr>
                            <w:sz w:val="19"/>
                          </w:rPr>
                        </w:pPr>
                        <w:r>
                          <w:rPr>
                            <w:w w:val="80"/>
                            <w:sz w:val="19"/>
                          </w:rPr>
                          <w:t>96,900</w:t>
                        </w:r>
                      </w:p>
                      <w:p>
                        <w:pPr>
                          <w:pStyle w:val="TableParagraph"/>
                          <w:spacing w:line="203" w:lineRule="exact"/>
                          <w:ind w:left="172" w:right="-3"/>
                          <w:rPr>
                            <w:sz w:val="19"/>
                          </w:rPr>
                        </w:pPr>
                        <w:r>
                          <w:rPr>
                            <w:spacing w:val="-10"/>
                            <w:w w:val="85"/>
                            <w:sz w:val="19"/>
                          </w:rPr>
                          <w:t>96,848</w:t>
                        </w:r>
                      </w:p>
                      <w:p>
                        <w:pPr>
                          <w:pStyle w:val="TableParagraph"/>
                          <w:spacing w:line="208" w:lineRule="exact"/>
                          <w:ind w:left="176" w:right="-3"/>
                          <w:rPr>
                            <w:sz w:val="19"/>
                          </w:rPr>
                        </w:pPr>
                        <w:r>
                          <w:rPr>
                            <w:spacing w:val="-10"/>
                            <w:w w:val="85"/>
                            <w:sz w:val="19"/>
                          </w:rPr>
                          <w:t>96,801</w:t>
                        </w:r>
                      </w:p>
                    </w:tc>
                    <w:tc>
                      <w:tcPr>
                        <w:tcW w:w="850" w:type="dxa"/>
                        <w:gridSpan w:val="2"/>
                        <w:tcBorders>
                          <w:top w:val="nil"/>
                          <w:left w:val="single" w:sz="1" w:space="0" w:color="000000"/>
                          <w:bottom w:val="nil"/>
                          <w:right w:val="single" w:sz="16" w:space="0" w:color="000000"/>
                        </w:tcBorders>
                      </w:tcPr>
                      <w:p>
                        <w:pPr>
                          <w:pStyle w:val="TableParagraph"/>
                          <w:spacing w:line="194" w:lineRule="exact"/>
                          <w:ind w:left="513" w:right="-9"/>
                          <w:rPr>
                            <w:rFonts w:ascii="Times New Roman"/>
                            <w:sz w:val="18"/>
                          </w:rPr>
                        </w:pPr>
                        <w:r>
                          <w:rPr>
                            <w:rFonts w:ascii="Times New Roman"/>
                            <w:sz w:val="18"/>
                          </w:rPr>
                          <w:t>55</w:t>
                        </w:r>
                      </w:p>
                      <w:p>
                        <w:pPr>
                          <w:pStyle w:val="TableParagraph"/>
                          <w:spacing w:line="208" w:lineRule="exact" w:before="4"/>
                          <w:ind w:left="513" w:right="-9"/>
                          <w:rPr>
                            <w:sz w:val="19"/>
                          </w:rPr>
                        </w:pPr>
                        <w:r>
                          <w:rPr>
                            <w:w w:val="105"/>
                            <w:sz w:val="19"/>
                          </w:rPr>
                          <w:t>52</w:t>
                        </w:r>
                      </w:p>
                      <w:p>
                        <w:pPr>
                          <w:pStyle w:val="TableParagraph"/>
                          <w:spacing w:line="203" w:lineRule="exact"/>
                          <w:ind w:left="509" w:right="-9"/>
                          <w:rPr>
                            <w:sz w:val="19"/>
                          </w:rPr>
                        </w:pPr>
                        <w:r>
                          <w:rPr>
                            <w:w w:val="105"/>
                            <w:sz w:val="19"/>
                          </w:rPr>
                          <w:t>47</w:t>
                        </w:r>
                      </w:p>
                      <w:p>
                        <w:pPr>
                          <w:pStyle w:val="TableParagraph"/>
                          <w:spacing w:line="210" w:lineRule="exact"/>
                          <w:ind w:left="513" w:right="-9"/>
                          <w:rPr>
                            <w:sz w:val="19"/>
                          </w:rPr>
                        </w:pPr>
                        <w:r>
                          <w:rPr>
                            <w:sz w:val="19"/>
                          </w:rPr>
                          <w:t>43</w:t>
                        </w:r>
                      </w:p>
                    </w:tc>
                    <w:tc>
                      <w:tcPr>
                        <w:tcW w:w="382" w:type="dxa"/>
                        <w:tcBorders>
                          <w:top w:val="nil"/>
                          <w:left w:val="single" w:sz="16" w:space="0" w:color="000000"/>
                          <w:bottom w:val="nil"/>
                          <w:right w:val="single" w:sz="1" w:space="0" w:color="000000"/>
                        </w:tcBorders>
                      </w:tcPr>
                      <w:p>
                        <w:pPr>
                          <w:pStyle w:val="TableParagraph"/>
                          <w:spacing w:line="188" w:lineRule="exact"/>
                          <w:ind w:left="124" w:right="-13"/>
                          <w:rPr>
                            <w:rFonts w:ascii="Times New Roman"/>
                            <w:sz w:val="17"/>
                          </w:rPr>
                        </w:pPr>
                        <w:r>
                          <w:rPr>
                            <w:rFonts w:ascii="Times New Roman"/>
                            <w:sz w:val="17"/>
                          </w:rPr>
                          <w:t>46</w:t>
                        </w:r>
                      </w:p>
                      <w:p>
                        <w:pPr>
                          <w:pStyle w:val="TableParagraph"/>
                          <w:spacing w:line="212" w:lineRule="exact" w:before="6"/>
                          <w:ind w:left="127" w:right="-16"/>
                          <w:rPr>
                            <w:sz w:val="19"/>
                          </w:rPr>
                        </w:pPr>
                        <w:r>
                          <w:rPr>
                            <w:sz w:val="19"/>
                          </w:rPr>
                          <w:t>47</w:t>
                        </w:r>
                      </w:p>
                      <w:p>
                        <w:pPr>
                          <w:pStyle w:val="TableParagraph"/>
                          <w:spacing w:line="192" w:lineRule="exact"/>
                          <w:ind w:left="124" w:right="-13"/>
                          <w:rPr>
                            <w:rFonts w:ascii="Times New Roman"/>
                            <w:sz w:val="17"/>
                          </w:rPr>
                        </w:pPr>
                        <w:r>
                          <w:rPr>
                            <w:rFonts w:ascii="Times New Roman"/>
                            <w:sz w:val="17"/>
                          </w:rPr>
                          <w:t>48</w:t>
                        </w:r>
                      </w:p>
                      <w:p>
                        <w:pPr>
                          <w:pStyle w:val="TableParagraph"/>
                          <w:spacing w:before="6"/>
                          <w:ind w:left="127" w:right="-13"/>
                          <w:rPr>
                            <w:sz w:val="19"/>
                          </w:rPr>
                        </w:pPr>
                        <w:r>
                          <w:rPr>
                            <w:spacing w:val="-25"/>
                            <w:w w:val="110"/>
                            <w:sz w:val="19"/>
                          </w:rPr>
                          <w:t>49</w:t>
                        </w:r>
                      </w:p>
                    </w:tc>
                    <w:tc>
                      <w:tcPr>
                        <w:tcW w:w="900" w:type="dxa"/>
                        <w:gridSpan w:val="2"/>
                        <w:tcBorders>
                          <w:top w:val="nil"/>
                          <w:left w:val="single" w:sz="1" w:space="0" w:color="000000"/>
                          <w:bottom w:val="nil"/>
                        </w:tcBorders>
                      </w:tcPr>
                      <w:p>
                        <w:pPr>
                          <w:pStyle w:val="TableParagraph"/>
                          <w:spacing w:line="193" w:lineRule="exact"/>
                          <w:ind w:left="264" w:right="-6"/>
                          <w:rPr>
                            <w:sz w:val="19"/>
                          </w:rPr>
                        </w:pPr>
                        <w:r>
                          <w:rPr>
                            <w:w w:val="85"/>
                            <w:sz w:val="19"/>
                          </w:rPr>
                          <w:t>.00617</w:t>
                        </w:r>
                      </w:p>
                      <w:p>
                        <w:pPr>
                          <w:pStyle w:val="TableParagraph"/>
                          <w:spacing w:line="195" w:lineRule="exact"/>
                          <w:ind w:left="264" w:right="-6"/>
                          <w:rPr>
                            <w:rFonts w:ascii="Times New Roman"/>
                            <w:sz w:val="18"/>
                          </w:rPr>
                        </w:pPr>
                        <w:r>
                          <w:rPr>
                            <w:rFonts w:ascii="Times New Roman"/>
                            <w:sz w:val="18"/>
                          </w:rPr>
                          <w:t>.00686</w:t>
                        </w:r>
                      </w:p>
                      <w:p>
                        <w:pPr>
                          <w:pStyle w:val="TableParagraph"/>
                          <w:spacing w:before="8"/>
                          <w:ind w:left="260" w:right="-6"/>
                          <w:rPr>
                            <w:sz w:val="19"/>
                          </w:rPr>
                        </w:pPr>
                        <w:r>
                          <w:rPr>
                            <w:spacing w:val="-15"/>
                            <w:w w:val="95"/>
                            <w:sz w:val="19"/>
                          </w:rPr>
                          <w:t>.00766</w:t>
                        </w:r>
                      </w:p>
                    </w:tc>
                    <w:tc>
                      <w:tcPr>
                        <w:tcW w:w="839" w:type="dxa"/>
                        <w:tcBorders>
                          <w:top w:val="nil"/>
                          <w:bottom w:val="nil"/>
                        </w:tcBorders>
                      </w:tcPr>
                      <w:p>
                        <w:pPr>
                          <w:pStyle w:val="TableParagraph"/>
                          <w:spacing w:line="177" w:lineRule="exact"/>
                          <w:ind w:left="165" w:right="-18"/>
                          <w:rPr>
                            <w:rFonts w:ascii="Times New Roman"/>
                            <w:sz w:val="17"/>
                          </w:rPr>
                        </w:pPr>
                        <w:r>
                          <w:rPr>
                            <w:rFonts w:ascii="Times New Roman"/>
                            <w:w w:val="105"/>
                            <w:sz w:val="17"/>
                          </w:rPr>
                          <w:t>90,028</w:t>
                        </w:r>
                      </w:p>
                      <w:p>
                        <w:pPr>
                          <w:pStyle w:val="TableParagraph"/>
                          <w:spacing w:line="210" w:lineRule="exact" w:before="10"/>
                          <w:ind w:left="176" w:right="-18"/>
                          <w:rPr>
                            <w:sz w:val="19"/>
                          </w:rPr>
                        </w:pPr>
                        <w:r>
                          <w:rPr>
                            <w:spacing w:val="-17"/>
                            <w:sz w:val="19"/>
                          </w:rPr>
                          <w:t>89,472</w:t>
                        </w:r>
                      </w:p>
                      <w:p>
                        <w:pPr>
                          <w:pStyle w:val="TableParagraph"/>
                          <w:spacing w:line="155" w:lineRule="exact"/>
                          <w:ind w:left="172" w:right="-18"/>
                          <w:rPr>
                            <w:sz w:val="19"/>
                          </w:rPr>
                        </w:pPr>
                        <w:r>
                          <w:rPr>
                            <w:w w:val="90"/>
                            <w:sz w:val="19"/>
                          </w:rPr>
                          <w:t>88,859</w:t>
                        </w:r>
                      </w:p>
                      <w:p>
                        <w:pPr>
                          <w:pStyle w:val="TableParagraph"/>
                          <w:spacing w:line="267" w:lineRule="exact"/>
                          <w:ind w:left="-641" w:right="-18"/>
                          <w:rPr>
                            <w:sz w:val="19"/>
                          </w:rPr>
                        </w:pPr>
                        <w:r>
                          <w:rPr>
                            <w:rFonts w:ascii="Arial"/>
                            <w:w w:val="535"/>
                            <w:sz w:val="28"/>
                          </w:rPr>
                          <w:t>.</w:t>
                        </w:r>
                        <w:r>
                          <w:rPr>
                            <w:rFonts w:ascii="Arial"/>
                            <w:spacing w:val="-369"/>
                            <w:w w:val="535"/>
                            <w:sz w:val="28"/>
                          </w:rPr>
                          <w:t> </w:t>
                        </w:r>
                        <w:r>
                          <w:rPr>
                            <w:spacing w:val="-3"/>
                            <w:position w:val="1"/>
                            <w:sz w:val="19"/>
                          </w:rPr>
                          <w:t>88,178</w:t>
                        </w:r>
                      </w:p>
                    </w:tc>
                    <w:tc>
                      <w:tcPr>
                        <w:tcW w:w="749" w:type="dxa"/>
                        <w:tcBorders>
                          <w:top w:val="nil"/>
                          <w:bottom w:val="nil"/>
                          <w:right w:val="nil"/>
                        </w:tcBorders>
                      </w:tcPr>
                      <w:p>
                        <w:pPr>
                          <w:pStyle w:val="TableParagraph"/>
                          <w:spacing w:line="174" w:lineRule="exact"/>
                          <w:ind w:left="331"/>
                          <w:rPr>
                            <w:rFonts w:ascii="Times New Roman"/>
                            <w:sz w:val="17"/>
                          </w:rPr>
                        </w:pPr>
                        <w:r>
                          <w:rPr>
                            <w:rFonts w:ascii="Times New Roman"/>
                            <w:sz w:val="17"/>
                          </w:rPr>
                          <w:t>556</w:t>
                        </w:r>
                      </w:p>
                      <w:p>
                        <w:pPr>
                          <w:pStyle w:val="TableParagraph"/>
                          <w:spacing w:line="208" w:lineRule="exact" w:before="10"/>
                          <w:ind w:left="327"/>
                          <w:rPr>
                            <w:sz w:val="19"/>
                          </w:rPr>
                        </w:pPr>
                        <w:r>
                          <w:rPr>
                            <w:w w:val="95"/>
                            <w:sz w:val="19"/>
                          </w:rPr>
                          <w:t>613</w:t>
                        </w:r>
                      </w:p>
                      <w:p>
                        <w:pPr>
                          <w:pStyle w:val="TableParagraph"/>
                          <w:spacing w:line="203" w:lineRule="exact"/>
                          <w:ind w:left="331"/>
                          <w:rPr>
                            <w:sz w:val="19"/>
                          </w:rPr>
                        </w:pPr>
                        <w:r>
                          <w:rPr>
                            <w:w w:val="95"/>
                            <w:sz w:val="19"/>
                          </w:rPr>
                          <w:t>681</w:t>
                        </w:r>
                      </w:p>
                      <w:p>
                        <w:pPr>
                          <w:pStyle w:val="TableParagraph"/>
                          <w:spacing w:line="210" w:lineRule="exact"/>
                          <w:ind w:left="334"/>
                          <w:rPr>
                            <w:sz w:val="19"/>
                          </w:rPr>
                        </w:pPr>
                        <w:r>
                          <w:rPr>
                            <w:sz w:val="19"/>
                          </w:rPr>
                          <w:t>754</w:t>
                        </w:r>
                      </w:p>
                    </w:tc>
                  </w:tr>
                  <w:tr>
                    <w:trPr>
                      <w:trHeight w:val="1216" w:hRule="exact"/>
                    </w:trPr>
                    <w:tc>
                      <w:tcPr>
                        <w:tcW w:w="448" w:type="dxa"/>
                        <w:tcBorders>
                          <w:top w:val="nil"/>
                          <w:left w:val="nil"/>
                          <w:bottom w:val="nil"/>
                          <w:right w:val="single" w:sz="7" w:space="0" w:color="000000"/>
                        </w:tcBorders>
                      </w:tcPr>
                      <w:p>
                        <w:pPr>
                          <w:pStyle w:val="TableParagraph"/>
                          <w:spacing w:line="212" w:lineRule="exact" w:before="103"/>
                          <w:ind w:left="151"/>
                          <w:rPr>
                            <w:sz w:val="19"/>
                          </w:rPr>
                        </w:pPr>
                        <w:r>
                          <w:rPr>
                            <w:sz w:val="19"/>
                          </w:rPr>
                          <w:t>10</w:t>
                        </w:r>
                      </w:p>
                      <w:p>
                        <w:pPr>
                          <w:pStyle w:val="TableParagraph"/>
                          <w:spacing w:line="181" w:lineRule="exact"/>
                          <w:ind w:left="151"/>
                          <w:rPr>
                            <w:rFonts w:ascii="Arial"/>
                            <w:sz w:val="16"/>
                          </w:rPr>
                        </w:pPr>
                        <w:r>
                          <w:rPr>
                            <w:rFonts w:ascii="Arial"/>
                            <w:w w:val="105"/>
                            <w:sz w:val="16"/>
                          </w:rPr>
                          <w:t>11</w:t>
                        </w:r>
                      </w:p>
                      <w:p>
                        <w:pPr>
                          <w:pStyle w:val="TableParagraph"/>
                          <w:spacing w:line="210" w:lineRule="exact" w:before="9"/>
                          <w:ind w:left="151"/>
                          <w:rPr>
                            <w:sz w:val="19"/>
                          </w:rPr>
                        </w:pPr>
                        <w:r>
                          <w:rPr>
                            <w:sz w:val="19"/>
                          </w:rPr>
                          <w:t>12</w:t>
                        </w:r>
                      </w:p>
                      <w:p>
                        <w:pPr>
                          <w:pStyle w:val="TableParagraph"/>
                          <w:spacing w:line="203" w:lineRule="exact"/>
                          <w:ind w:left="147"/>
                          <w:rPr>
                            <w:sz w:val="19"/>
                          </w:rPr>
                        </w:pPr>
                        <w:r>
                          <w:rPr>
                            <w:sz w:val="19"/>
                          </w:rPr>
                          <w:t>13</w:t>
                        </w:r>
                      </w:p>
                      <w:p>
                        <w:pPr>
                          <w:pStyle w:val="TableParagraph"/>
                          <w:spacing w:line="208" w:lineRule="exact"/>
                          <w:ind w:left="151"/>
                          <w:rPr>
                            <w:sz w:val="19"/>
                          </w:rPr>
                        </w:pPr>
                        <w:r>
                          <w:rPr>
                            <w:sz w:val="19"/>
                          </w:rPr>
                          <w:t>14</w:t>
                        </w:r>
                      </w:p>
                    </w:tc>
                    <w:tc>
                      <w:tcPr>
                        <w:tcW w:w="832" w:type="dxa"/>
                        <w:tcBorders>
                          <w:top w:val="nil"/>
                          <w:left w:val="single" w:sz="7" w:space="0" w:color="000000"/>
                          <w:bottom w:val="nil"/>
                          <w:right w:val="single" w:sz="7" w:space="0" w:color="000000"/>
                        </w:tcBorders>
                      </w:tcPr>
                      <w:p>
                        <w:pPr>
                          <w:pStyle w:val="TableParagraph"/>
                          <w:spacing w:line="210" w:lineRule="exact" w:before="96"/>
                          <w:ind w:left="198" w:right="-3"/>
                          <w:rPr>
                            <w:sz w:val="19"/>
                          </w:rPr>
                        </w:pPr>
                        <w:r>
                          <w:rPr>
                            <w:w w:val="85"/>
                            <w:sz w:val="19"/>
                          </w:rPr>
                          <w:t>.00042</w:t>
                        </w:r>
                      </w:p>
                      <w:p>
                        <w:pPr>
                          <w:pStyle w:val="TableParagraph"/>
                          <w:spacing w:line="203" w:lineRule="exact"/>
                          <w:ind w:left="194" w:right="-17"/>
                          <w:rPr>
                            <w:sz w:val="19"/>
                          </w:rPr>
                        </w:pPr>
                        <w:r>
                          <w:rPr>
                            <w:w w:val="90"/>
                            <w:sz w:val="19"/>
                          </w:rPr>
                          <w:t>.00042</w:t>
                        </w:r>
                      </w:p>
                      <w:p>
                        <w:pPr>
                          <w:pStyle w:val="TableParagraph"/>
                          <w:spacing w:line="197" w:lineRule="exact"/>
                          <w:ind w:left="201" w:right="-3"/>
                          <w:rPr>
                            <w:sz w:val="19"/>
                          </w:rPr>
                        </w:pPr>
                        <w:r>
                          <w:rPr>
                            <w:spacing w:val="-11"/>
                            <w:w w:val="90"/>
                            <w:sz w:val="19"/>
                          </w:rPr>
                          <w:t>.00047</w:t>
                        </w:r>
                      </w:p>
                      <w:p>
                        <w:pPr>
                          <w:pStyle w:val="TableParagraph"/>
                          <w:spacing w:line="194" w:lineRule="exact"/>
                          <w:ind w:left="198" w:right="-3"/>
                          <w:rPr>
                            <w:rFonts w:ascii="Times New Roman"/>
                            <w:sz w:val="18"/>
                          </w:rPr>
                        </w:pPr>
                        <w:r>
                          <w:rPr>
                            <w:rFonts w:ascii="Times New Roman"/>
                            <w:sz w:val="18"/>
                          </w:rPr>
                          <w:t>.00059</w:t>
                        </w:r>
                      </w:p>
                      <w:p>
                        <w:pPr>
                          <w:pStyle w:val="TableParagraph"/>
                          <w:spacing w:line="214" w:lineRule="exact"/>
                          <w:ind w:left="201" w:right="-3"/>
                          <w:rPr>
                            <w:sz w:val="19"/>
                          </w:rPr>
                        </w:pPr>
                        <w:r>
                          <w:rPr>
                            <w:spacing w:val="-6"/>
                            <w:w w:val="60"/>
                            <w:sz w:val="19"/>
                          </w:rPr>
                          <w:t>.()()(115</w:t>
                        </w:r>
                      </w:p>
                    </w:tc>
                    <w:tc>
                      <w:tcPr>
                        <w:tcW w:w="747" w:type="dxa"/>
                        <w:tcBorders>
                          <w:top w:val="nil"/>
                          <w:left w:val="single" w:sz="7" w:space="0" w:color="000000"/>
                          <w:bottom w:val="nil"/>
                          <w:right w:val="single" w:sz="1" w:space="0" w:color="000000"/>
                        </w:tcBorders>
                      </w:tcPr>
                      <w:p>
                        <w:pPr>
                          <w:pStyle w:val="TableParagraph"/>
                          <w:spacing w:line="208" w:lineRule="exact" w:before="96"/>
                          <w:ind w:left="176" w:right="-8"/>
                          <w:rPr>
                            <w:sz w:val="19"/>
                          </w:rPr>
                        </w:pPr>
                        <w:r>
                          <w:rPr>
                            <w:w w:val="80"/>
                            <w:sz w:val="19"/>
                          </w:rPr>
                          <w:t>96,758</w:t>
                        </w:r>
                      </w:p>
                      <w:p>
                        <w:pPr>
                          <w:pStyle w:val="TableParagraph"/>
                          <w:spacing w:line="202" w:lineRule="exact"/>
                          <w:ind w:left="176" w:right="-3"/>
                          <w:rPr>
                            <w:sz w:val="19"/>
                          </w:rPr>
                        </w:pPr>
                        <w:r>
                          <w:rPr>
                            <w:spacing w:val="-8"/>
                            <w:w w:val="85"/>
                            <w:sz w:val="19"/>
                          </w:rPr>
                          <w:t>96,718</w:t>
                        </w:r>
                      </w:p>
                      <w:p>
                        <w:pPr>
                          <w:pStyle w:val="TableParagraph"/>
                          <w:spacing w:line="203" w:lineRule="exact"/>
                          <w:ind w:left="176" w:right="-2"/>
                          <w:rPr>
                            <w:sz w:val="19"/>
                          </w:rPr>
                        </w:pPr>
                        <w:r>
                          <w:rPr>
                            <w:spacing w:val="-18"/>
                            <w:w w:val="95"/>
                            <w:sz w:val="19"/>
                          </w:rPr>
                          <w:t>96,678</w:t>
                        </w:r>
                      </w:p>
                      <w:p>
                        <w:pPr>
                          <w:pStyle w:val="TableParagraph"/>
                          <w:spacing w:line="203" w:lineRule="exact"/>
                          <w:ind w:left="169" w:right="-3"/>
                          <w:rPr>
                            <w:sz w:val="19"/>
                          </w:rPr>
                        </w:pPr>
                        <w:r>
                          <w:rPr>
                            <w:spacing w:val="-6"/>
                            <w:w w:val="85"/>
                            <w:sz w:val="19"/>
                          </w:rPr>
                          <w:t>96,632</w:t>
                        </w:r>
                      </w:p>
                      <w:p>
                        <w:pPr>
                          <w:pStyle w:val="TableParagraph"/>
                          <w:spacing w:line="208" w:lineRule="exact"/>
                          <w:ind w:left="169" w:right="-3"/>
                          <w:rPr>
                            <w:sz w:val="19"/>
                          </w:rPr>
                        </w:pPr>
                        <w:r>
                          <w:rPr>
                            <w:spacing w:val="-18"/>
                            <w:w w:val="95"/>
                            <w:sz w:val="19"/>
                          </w:rPr>
                          <w:t>96,576</w:t>
                        </w:r>
                      </w:p>
                    </w:tc>
                    <w:tc>
                      <w:tcPr>
                        <w:tcW w:w="850" w:type="dxa"/>
                        <w:gridSpan w:val="2"/>
                        <w:tcBorders>
                          <w:top w:val="nil"/>
                          <w:left w:val="single" w:sz="1" w:space="0" w:color="000000"/>
                          <w:bottom w:val="nil"/>
                          <w:right w:val="single" w:sz="16" w:space="0" w:color="000000"/>
                        </w:tcBorders>
                      </w:tcPr>
                      <w:p>
                        <w:pPr>
                          <w:pStyle w:val="TableParagraph"/>
                          <w:spacing w:before="91"/>
                          <w:ind w:left="509" w:right="-9"/>
                          <w:rPr>
                            <w:rFonts w:ascii="Arial"/>
                            <w:sz w:val="17"/>
                          </w:rPr>
                        </w:pPr>
                        <w:r>
                          <w:rPr>
                            <w:rFonts w:ascii="Arial"/>
                            <w:sz w:val="17"/>
                          </w:rPr>
                          <w:t>40</w:t>
                        </w:r>
                      </w:p>
                      <w:p>
                        <w:pPr>
                          <w:pStyle w:val="TableParagraph"/>
                          <w:spacing w:before="6"/>
                          <w:ind w:left="509" w:right="-9"/>
                          <w:rPr>
                            <w:rFonts w:ascii="Arial"/>
                            <w:sz w:val="17"/>
                          </w:rPr>
                        </w:pPr>
                        <w:r>
                          <w:rPr>
                            <w:rFonts w:ascii="Arial"/>
                            <w:sz w:val="17"/>
                          </w:rPr>
                          <w:t>40</w:t>
                        </w:r>
                      </w:p>
                      <w:p>
                        <w:pPr>
                          <w:pStyle w:val="TableParagraph"/>
                          <w:spacing w:line="210" w:lineRule="exact" w:before="7"/>
                          <w:ind w:left="509" w:right="-9"/>
                          <w:rPr>
                            <w:sz w:val="19"/>
                          </w:rPr>
                        </w:pPr>
                        <w:r>
                          <w:rPr>
                            <w:w w:val="105"/>
                            <w:sz w:val="19"/>
                          </w:rPr>
                          <w:t>46</w:t>
                        </w:r>
                      </w:p>
                      <w:p>
                        <w:pPr>
                          <w:pStyle w:val="TableParagraph"/>
                          <w:spacing w:line="203" w:lineRule="exact"/>
                          <w:ind w:left="509" w:right="-9"/>
                          <w:rPr>
                            <w:sz w:val="19"/>
                          </w:rPr>
                        </w:pPr>
                        <w:r>
                          <w:rPr>
                            <w:w w:val="90"/>
                            <w:sz w:val="19"/>
                          </w:rPr>
                          <w:t>56</w:t>
                        </w:r>
                      </w:p>
                      <w:p>
                        <w:pPr>
                          <w:pStyle w:val="TableParagraph"/>
                          <w:spacing w:line="208" w:lineRule="exact"/>
                          <w:ind w:left="513" w:right="-9"/>
                          <w:rPr>
                            <w:sz w:val="19"/>
                          </w:rPr>
                        </w:pPr>
                        <w:r>
                          <w:rPr>
                            <w:sz w:val="19"/>
                          </w:rPr>
                          <w:t>73</w:t>
                        </w:r>
                      </w:p>
                    </w:tc>
                    <w:tc>
                      <w:tcPr>
                        <w:tcW w:w="382" w:type="dxa"/>
                        <w:tcBorders>
                          <w:top w:val="nil"/>
                          <w:left w:val="single" w:sz="16" w:space="0" w:color="000000"/>
                          <w:bottom w:val="nil"/>
                          <w:right w:val="single" w:sz="1" w:space="0" w:color="000000"/>
                        </w:tcBorders>
                      </w:tcPr>
                      <w:p>
                        <w:pPr>
                          <w:pStyle w:val="TableParagraph"/>
                          <w:spacing w:before="92"/>
                          <w:ind w:left="127" w:right="-13"/>
                          <w:rPr>
                            <w:rFonts w:ascii="Times New Roman"/>
                            <w:sz w:val="17"/>
                          </w:rPr>
                        </w:pPr>
                        <w:r>
                          <w:rPr>
                            <w:rFonts w:ascii="Times New Roman"/>
                            <w:sz w:val="17"/>
                          </w:rPr>
                          <w:t>50</w:t>
                        </w:r>
                      </w:p>
                      <w:p>
                        <w:pPr>
                          <w:pStyle w:val="TableParagraph"/>
                          <w:spacing w:line="208" w:lineRule="exact" w:before="6"/>
                          <w:ind w:left="127" w:right="-16"/>
                          <w:rPr>
                            <w:sz w:val="19"/>
                          </w:rPr>
                        </w:pPr>
                        <w:r>
                          <w:rPr>
                            <w:sz w:val="19"/>
                          </w:rPr>
                          <w:t>51</w:t>
                        </w:r>
                      </w:p>
                      <w:p>
                        <w:pPr>
                          <w:pStyle w:val="TableParagraph"/>
                          <w:spacing w:line="179" w:lineRule="exact"/>
                          <w:ind w:left="127" w:right="-16"/>
                          <w:rPr>
                            <w:sz w:val="19"/>
                          </w:rPr>
                        </w:pPr>
                        <w:r>
                          <w:rPr>
                            <w:sz w:val="19"/>
                          </w:rPr>
                          <w:t>52</w:t>
                        </w:r>
                      </w:p>
                      <w:p>
                        <w:pPr>
                          <w:pStyle w:val="TableParagraph"/>
                          <w:spacing w:line="189" w:lineRule="exact"/>
                          <w:ind w:left="124" w:right="-13"/>
                          <w:rPr>
                            <w:rFonts w:ascii="Times New Roman"/>
                            <w:sz w:val="19"/>
                          </w:rPr>
                        </w:pPr>
                        <w:r>
                          <w:rPr>
                            <w:rFonts w:ascii="Times New Roman"/>
                            <w:w w:val="105"/>
                            <w:sz w:val="19"/>
                          </w:rPr>
                          <w:t>s.,</w:t>
                        </w:r>
                      </w:p>
                      <w:p>
                        <w:pPr>
                          <w:pStyle w:val="TableParagraph"/>
                          <w:spacing w:before="31"/>
                          <w:ind w:left="124" w:right="-1"/>
                          <w:rPr>
                            <w:sz w:val="19"/>
                          </w:rPr>
                        </w:pPr>
                        <w:r>
                          <w:rPr>
                            <w:w w:val="95"/>
                            <w:sz w:val="19"/>
                          </w:rPr>
                          <w:t>54</w:t>
                        </w:r>
                      </w:p>
                    </w:tc>
                    <w:tc>
                      <w:tcPr>
                        <w:tcW w:w="900" w:type="dxa"/>
                        <w:gridSpan w:val="2"/>
                        <w:tcBorders>
                          <w:top w:val="nil"/>
                          <w:left w:val="single" w:sz="1" w:space="0" w:color="000000"/>
                          <w:bottom w:val="nil"/>
                        </w:tcBorders>
                      </w:tcPr>
                      <w:p>
                        <w:pPr>
                          <w:pStyle w:val="TableParagraph"/>
                          <w:spacing w:line="208" w:lineRule="exact" w:before="89"/>
                          <w:ind w:left="253" w:right="-6"/>
                          <w:rPr>
                            <w:sz w:val="19"/>
                          </w:rPr>
                        </w:pPr>
                        <w:r>
                          <w:rPr>
                            <w:spacing w:val="-81"/>
                            <w:w w:val="123"/>
                            <w:sz w:val="19"/>
                          </w:rPr>
                          <w:t>.</w:t>
                        </w:r>
                        <w:r>
                          <w:rPr>
                            <w:w w:val="73"/>
                            <w:sz w:val="19"/>
                          </w:rPr>
                          <w:t>00955</w:t>
                        </w:r>
                      </w:p>
                      <w:p>
                        <w:pPr>
                          <w:pStyle w:val="TableParagraph"/>
                          <w:spacing w:line="202" w:lineRule="exact"/>
                          <w:ind w:left="260" w:right="-6"/>
                          <w:rPr>
                            <w:sz w:val="19"/>
                          </w:rPr>
                        </w:pPr>
                        <w:r>
                          <w:rPr>
                            <w:spacing w:val="-24"/>
                            <w:sz w:val="19"/>
                          </w:rPr>
                          <w:t>.01058</w:t>
                        </w:r>
                      </w:p>
                      <w:p>
                        <w:pPr>
                          <w:pStyle w:val="TableParagraph"/>
                          <w:spacing w:line="202" w:lineRule="exact"/>
                          <w:ind w:left="264" w:right="-6"/>
                          <w:rPr>
                            <w:sz w:val="19"/>
                          </w:rPr>
                        </w:pPr>
                        <w:r>
                          <w:rPr>
                            <w:spacing w:val="-29"/>
                            <w:sz w:val="19"/>
                          </w:rPr>
                          <w:t>.01162</w:t>
                        </w:r>
                      </w:p>
                      <w:p>
                        <w:pPr>
                          <w:pStyle w:val="TableParagraph"/>
                          <w:spacing w:line="203" w:lineRule="exact"/>
                          <w:ind w:left="260" w:right="-6"/>
                          <w:rPr>
                            <w:sz w:val="19"/>
                          </w:rPr>
                        </w:pPr>
                        <w:r>
                          <w:rPr>
                            <w:spacing w:val="-17"/>
                            <w:w w:val="95"/>
                            <w:sz w:val="19"/>
                          </w:rPr>
                          <w:t>.01264</w:t>
                        </w:r>
                      </w:p>
                      <w:p>
                        <w:pPr>
                          <w:pStyle w:val="TableParagraph"/>
                          <w:spacing w:line="210" w:lineRule="exact"/>
                          <w:ind w:left="260" w:right="-6"/>
                          <w:rPr>
                            <w:sz w:val="19"/>
                          </w:rPr>
                        </w:pPr>
                        <w:r>
                          <w:rPr>
                            <w:spacing w:val="-22"/>
                            <w:sz w:val="19"/>
                          </w:rPr>
                          <w:t>.01368</w:t>
                        </w:r>
                      </w:p>
                    </w:tc>
                    <w:tc>
                      <w:tcPr>
                        <w:tcW w:w="839" w:type="dxa"/>
                        <w:tcBorders>
                          <w:top w:val="nil"/>
                          <w:bottom w:val="nil"/>
                        </w:tcBorders>
                      </w:tcPr>
                      <w:p>
                        <w:pPr>
                          <w:pStyle w:val="TableParagraph"/>
                          <w:spacing w:line="205" w:lineRule="exact" w:before="81"/>
                          <w:ind w:left="169" w:right="-18"/>
                          <w:rPr>
                            <w:sz w:val="19"/>
                          </w:rPr>
                        </w:pPr>
                        <w:r>
                          <w:rPr>
                            <w:w w:val="51"/>
                            <w:sz w:val="19"/>
                          </w:rPr>
                          <w:t>trl,</w:t>
                        </w:r>
                        <w:r>
                          <w:rPr>
                            <w:spacing w:val="-42"/>
                            <w:w w:val="108"/>
                            <w:sz w:val="19"/>
                          </w:rPr>
                          <w:t>4</w:t>
                        </w:r>
                        <w:r>
                          <w:rPr>
                            <w:w w:val="79"/>
                            <w:sz w:val="19"/>
                          </w:rPr>
                          <w:t>24</w:t>
                        </w:r>
                      </w:p>
                      <w:p>
                        <w:pPr>
                          <w:pStyle w:val="TableParagraph"/>
                          <w:spacing w:line="197" w:lineRule="exact"/>
                          <w:ind w:left="172" w:right="-18"/>
                          <w:rPr>
                            <w:rFonts w:ascii="Times New Roman"/>
                            <w:sz w:val="18"/>
                          </w:rPr>
                        </w:pPr>
                        <w:r>
                          <w:rPr>
                            <w:rFonts w:ascii="Times New Roman"/>
                            <w:sz w:val="18"/>
                          </w:rPr>
                          <w:t>86,589</w:t>
                        </w:r>
                      </w:p>
                      <w:p>
                        <w:pPr>
                          <w:pStyle w:val="TableParagraph"/>
                          <w:spacing w:line="208" w:lineRule="exact" w:before="4"/>
                          <w:ind w:left="172" w:right="-18"/>
                          <w:rPr>
                            <w:sz w:val="19"/>
                          </w:rPr>
                        </w:pPr>
                        <w:r>
                          <w:rPr>
                            <w:spacing w:val="-23"/>
                            <w:sz w:val="19"/>
                          </w:rPr>
                          <w:t>85,673</w:t>
                        </w:r>
                      </w:p>
                      <w:p>
                        <w:pPr>
                          <w:pStyle w:val="TableParagraph"/>
                          <w:spacing w:line="203" w:lineRule="exact"/>
                          <w:ind w:left="169" w:right="-18"/>
                          <w:rPr>
                            <w:sz w:val="19"/>
                          </w:rPr>
                        </w:pPr>
                        <w:r>
                          <w:rPr>
                            <w:spacing w:val="-23"/>
                            <w:sz w:val="19"/>
                          </w:rPr>
                          <w:t>84,678</w:t>
                        </w:r>
                      </w:p>
                      <w:p>
                        <w:pPr>
                          <w:pStyle w:val="TableParagraph"/>
                          <w:spacing w:line="210" w:lineRule="exact"/>
                          <w:ind w:left="172" w:right="-18"/>
                          <w:rPr>
                            <w:sz w:val="19"/>
                          </w:rPr>
                        </w:pPr>
                        <w:r>
                          <w:rPr>
                            <w:w w:val="85"/>
                            <w:sz w:val="19"/>
                          </w:rPr>
                          <w:t>83,607</w:t>
                        </w:r>
                      </w:p>
                    </w:tc>
                    <w:tc>
                      <w:tcPr>
                        <w:tcW w:w="749" w:type="dxa"/>
                        <w:tcBorders>
                          <w:top w:val="nil"/>
                          <w:bottom w:val="nil"/>
                          <w:right w:val="nil"/>
                        </w:tcBorders>
                      </w:tcPr>
                      <w:p>
                        <w:pPr>
                          <w:pStyle w:val="TableParagraph"/>
                          <w:spacing w:before="68"/>
                          <w:ind w:left="246" w:right="78"/>
                          <w:jc w:val="center"/>
                          <w:rPr>
                            <w:rFonts w:ascii="Times New Roman"/>
                            <w:sz w:val="18"/>
                          </w:rPr>
                        </w:pPr>
                        <w:r>
                          <w:rPr>
                            <w:rFonts w:ascii="Times New Roman"/>
                            <w:sz w:val="18"/>
                          </w:rPr>
                          <w:t>835</w:t>
                        </w:r>
                      </w:p>
                      <w:p>
                        <w:pPr>
                          <w:pStyle w:val="TableParagraph"/>
                          <w:spacing w:line="210" w:lineRule="exact" w:before="4"/>
                          <w:ind w:left="274" w:right="76"/>
                          <w:jc w:val="center"/>
                          <w:rPr>
                            <w:sz w:val="19"/>
                          </w:rPr>
                        </w:pPr>
                        <w:r>
                          <w:rPr>
                            <w:sz w:val="19"/>
                          </w:rPr>
                          <w:t>916</w:t>
                        </w:r>
                      </w:p>
                      <w:p>
                        <w:pPr>
                          <w:pStyle w:val="TableParagraph"/>
                          <w:spacing w:line="203" w:lineRule="exact"/>
                          <w:ind w:left="268" w:right="78"/>
                          <w:jc w:val="center"/>
                          <w:rPr>
                            <w:sz w:val="19"/>
                          </w:rPr>
                        </w:pPr>
                        <w:r>
                          <w:rPr>
                            <w:sz w:val="19"/>
                          </w:rPr>
                          <w:t>995</w:t>
                        </w:r>
                      </w:p>
                      <w:p>
                        <w:pPr>
                          <w:pStyle w:val="TableParagraph"/>
                          <w:spacing w:line="202" w:lineRule="exact"/>
                          <w:ind w:left="104" w:right="78"/>
                          <w:jc w:val="center"/>
                          <w:rPr>
                            <w:sz w:val="19"/>
                          </w:rPr>
                        </w:pPr>
                        <w:r>
                          <w:rPr>
                            <w:w w:val="90"/>
                            <w:sz w:val="19"/>
                          </w:rPr>
                          <w:t>1,071</w:t>
                        </w:r>
                      </w:p>
                      <w:p>
                        <w:pPr>
                          <w:pStyle w:val="TableParagraph"/>
                          <w:spacing w:line="208" w:lineRule="exact"/>
                          <w:ind w:left="107" w:right="76"/>
                          <w:jc w:val="center"/>
                          <w:rPr>
                            <w:sz w:val="19"/>
                          </w:rPr>
                        </w:pPr>
                        <w:r>
                          <w:rPr>
                            <w:w w:val="90"/>
                            <w:sz w:val="19"/>
                          </w:rPr>
                          <w:t>1,144</w:t>
                        </w:r>
                      </w:p>
                    </w:tc>
                  </w:tr>
                  <w:tr>
                    <w:trPr>
                      <w:trHeight w:val="1215" w:hRule="exact"/>
                    </w:trPr>
                    <w:tc>
                      <w:tcPr>
                        <w:tcW w:w="448" w:type="dxa"/>
                        <w:tcBorders>
                          <w:top w:val="nil"/>
                          <w:left w:val="nil"/>
                          <w:bottom w:val="nil"/>
                          <w:right w:val="single" w:sz="7" w:space="0" w:color="000000"/>
                        </w:tcBorders>
                      </w:tcPr>
                      <w:p>
                        <w:pPr>
                          <w:pStyle w:val="TableParagraph"/>
                          <w:spacing w:line="208" w:lineRule="exact" w:before="104"/>
                          <w:ind w:left="151"/>
                          <w:rPr>
                            <w:sz w:val="19"/>
                          </w:rPr>
                        </w:pPr>
                        <w:r>
                          <w:rPr>
                            <w:w w:val="85"/>
                            <w:sz w:val="19"/>
                          </w:rPr>
                          <w:t>15</w:t>
                        </w:r>
                      </w:p>
                      <w:p>
                        <w:pPr>
                          <w:pStyle w:val="TableParagraph"/>
                          <w:spacing w:line="202" w:lineRule="exact"/>
                          <w:ind w:left="151"/>
                          <w:rPr>
                            <w:sz w:val="19"/>
                          </w:rPr>
                        </w:pPr>
                        <w:r>
                          <w:rPr>
                            <w:sz w:val="19"/>
                          </w:rPr>
                          <w:t>16</w:t>
                        </w:r>
                      </w:p>
                      <w:p>
                        <w:pPr>
                          <w:pStyle w:val="TableParagraph"/>
                          <w:spacing w:line="202" w:lineRule="exact"/>
                          <w:ind w:left="151"/>
                          <w:rPr>
                            <w:sz w:val="19"/>
                          </w:rPr>
                        </w:pPr>
                        <w:r>
                          <w:rPr>
                            <w:sz w:val="19"/>
                          </w:rPr>
                          <w:t>17</w:t>
                        </w:r>
                      </w:p>
                      <w:p>
                        <w:pPr>
                          <w:pStyle w:val="TableParagraph"/>
                          <w:spacing w:line="203" w:lineRule="exact"/>
                          <w:ind w:left="151"/>
                          <w:rPr>
                            <w:sz w:val="19"/>
                          </w:rPr>
                        </w:pPr>
                        <w:r>
                          <w:rPr>
                            <w:sz w:val="19"/>
                          </w:rPr>
                          <w:t>18</w:t>
                        </w:r>
                      </w:p>
                      <w:p>
                        <w:pPr>
                          <w:pStyle w:val="TableParagraph"/>
                          <w:spacing w:line="210" w:lineRule="exact"/>
                          <w:ind w:left="151"/>
                          <w:rPr>
                            <w:sz w:val="19"/>
                          </w:rPr>
                        </w:pPr>
                        <w:r>
                          <w:rPr>
                            <w:sz w:val="19"/>
                          </w:rPr>
                          <w:t>19</w:t>
                        </w:r>
                      </w:p>
                    </w:tc>
                    <w:tc>
                      <w:tcPr>
                        <w:tcW w:w="832" w:type="dxa"/>
                        <w:tcBorders>
                          <w:top w:val="nil"/>
                          <w:left w:val="single" w:sz="7" w:space="0" w:color="000000"/>
                          <w:bottom w:val="nil"/>
                          <w:right w:val="single" w:sz="7" w:space="0" w:color="000000"/>
                        </w:tcBorders>
                      </w:tcPr>
                      <w:p>
                        <w:pPr>
                          <w:pStyle w:val="TableParagraph"/>
                          <w:spacing w:line="208" w:lineRule="exact" w:before="100"/>
                          <w:ind w:left="194" w:right="-3"/>
                          <w:rPr>
                            <w:sz w:val="19"/>
                          </w:rPr>
                        </w:pPr>
                        <w:r>
                          <w:rPr>
                            <w:spacing w:val="-10"/>
                            <w:w w:val="80"/>
                            <w:sz w:val="19"/>
                          </w:rPr>
                          <w:t>.&lt;XM&gt;93</w:t>
                        </w:r>
                      </w:p>
                      <w:p>
                        <w:pPr>
                          <w:pStyle w:val="TableParagraph"/>
                          <w:spacing w:line="188" w:lineRule="exact"/>
                          <w:ind w:left="198" w:right="-3"/>
                          <w:rPr>
                            <w:rFonts w:ascii="Times New Roman"/>
                            <w:sz w:val="17"/>
                          </w:rPr>
                        </w:pPr>
                        <w:r>
                          <w:rPr>
                            <w:rFonts w:ascii="Times New Roman"/>
                            <w:w w:val="115"/>
                            <w:sz w:val="17"/>
                          </w:rPr>
                          <w:t>.00111</w:t>
                        </w:r>
                      </w:p>
                      <w:p>
                        <w:pPr>
                          <w:pStyle w:val="TableParagraph"/>
                          <w:spacing w:line="208" w:lineRule="exact" w:before="6"/>
                          <w:ind w:left="198" w:right="-3"/>
                          <w:rPr>
                            <w:sz w:val="19"/>
                          </w:rPr>
                        </w:pPr>
                        <w:r>
                          <w:rPr>
                            <w:spacing w:val="-14"/>
                            <w:w w:val="90"/>
                            <w:sz w:val="19"/>
                          </w:rPr>
                          <w:t>.00126</w:t>
                        </w:r>
                      </w:p>
                      <w:p>
                        <w:pPr>
                          <w:pStyle w:val="TableParagraph"/>
                          <w:spacing w:line="202" w:lineRule="exact"/>
                          <w:ind w:left="198" w:right="-3"/>
                          <w:rPr>
                            <w:sz w:val="19"/>
                          </w:rPr>
                        </w:pPr>
                        <w:r>
                          <w:rPr>
                            <w:spacing w:val="-19"/>
                            <w:w w:val="95"/>
                            <w:sz w:val="19"/>
                          </w:rPr>
                          <w:t>.00139</w:t>
                        </w:r>
                      </w:p>
                      <w:p>
                        <w:pPr>
                          <w:pStyle w:val="TableParagraph"/>
                          <w:spacing w:line="208" w:lineRule="exact"/>
                          <w:ind w:left="201" w:right="-3"/>
                          <w:rPr>
                            <w:sz w:val="19"/>
                          </w:rPr>
                        </w:pPr>
                        <w:r>
                          <w:rPr>
                            <w:spacing w:val="-19"/>
                            <w:w w:val="95"/>
                            <w:sz w:val="19"/>
                          </w:rPr>
                          <w:t>.00149</w:t>
                        </w:r>
                      </w:p>
                    </w:tc>
                    <w:tc>
                      <w:tcPr>
                        <w:tcW w:w="747" w:type="dxa"/>
                        <w:tcBorders>
                          <w:top w:val="nil"/>
                          <w:left w:val="single" w:sz="7" w:space="0" w:color="000000"/>
                          <w:bottom w:val="nil"/>
                          <w:right w:val="single" w:sz="1" w:space="0" w:color="000000"/>
                        </w:tcBorders>
                      </w:tcPr>
                      <w:p>
                        <w:pPr>
                          <w:pStyle w:val="TableParagraph"/>
                          <w:spacing w:line="208" w:lineRule="exact" w:before="93"/>
                          <w:ind w:left="165" w:right="-3"/>
                          <w:rPr>
                            <w:sz w:val="19"/>
                          </w:rPr>
                        </w:pPr>
                        <w:r>
                          <w:rPr>
                            <w:w w:val="80"/>
                            <w:sz w:val="19"/>
                          </w:rPr>
                          <w:t>96,503</w:t>
                        </w:r>
                      </w:p>
                      <w:p>
                        <w:pPr>
                          <w:pStyle w:val="TableParagraph"/>
                          <w:spacing w:line="203" w:lineRule="exact"/>
                          <w:ind w:left="165" w:right="-3"/>
                          <w:rPr>
                            <w:sz w:val="19"/>
                          </w:rPr>
                        </w:pPr>
                        <w:r>
                          <w:rPr>
                            <w:spacing w:val="-13"/>
                            <w:w w:val="90"/>
                            <w:sz w:val="19"/>
                          </w:rPr>
                          <w:t>96,413</w:t>
                        </w:r>
                      </w:p>
                      <w:p>
                        <w:pPr>
                          <w:pStyle w:val="TableParagraph"/>
                          <w:spacing w:line="203" w:lineRule="exact"/>
                          <w:ind w:left="169" w:right="-1"/>
                          <w:rPr>
                            <w:sz w:val="19"/>
                          </w:rPr>
                        </w:pPr>
                        <w:r>
                          <w:rPr>
                            <w:w w:val="80"/>
                            <w:sz w:val="19"/>
                          </w:rPr>
                          <w:t>96,306</w:t>
                        </w:r>
                      </w:p>
                      <w:p>
                        <w:pPr>
                          <w:pStyle w:val="TableParagraph"/>
                          <w:spacing w:line="202" w:lineRule="exact"/>
                          <w:ind w:left="169" w:right="-3"/>
                          <w:rPr>
                            <w:sz w:val="19"/>
                          </w:rPr>
                        </w:pPr>
                        <w:r>
                          <w:rPr>
                            <w:spacing w:val="-8"/>
                            <w:w w:val="85"/>
                            <w:sz w:val="19"/>
                          </w:rPr>
                          <w:t>96,185</w:t>
                        </w:r>
                      </w:p>
                      <w:p>
                        <w:pPr>
                          <w:pStyle w:val="TableParagraph"/>
                          <w:spacing w:line="208" w:lineRule="exact"/>
                          <w:ind w:left="169" w:right="-3"/>
                          <w:rPr>
                            <w:sz w:val="19"/>
                          </w:rPr>
                        </w:pPr>
                        <w:r>
                          <w:rPr>
                            <w:spacing w:val="-8"/>
                            <w:w w:val="85"/>
                            <w:sz w:val="19"/>
                          </w:rPr>
                          <w:t>96,051</w:t>
                        </w:r>
                      </w:p>
                    </w:tc>
                    <w:tc>
                      <w:tcPr>
                        <w:tcW w:w="850" w:type="dxa"/>
                        <w:gridSpan w:val="2"/>
                        <w:tcBorders>
                          <w:top w:val="nil"/>
                          <w:left w:val="single" w:sz="1" w:space="0" w:color="000000"/>
                          <w:bottom w:val="nil"/>
                          <w:right w:val="single" w:sz="16" w:space="0" w:color="000000"/>
                        </w:tcBorders>
                      </w:tcPr>
                      <w:p>
                        <w:pPr>
                          <w:pStyle w:val="TableParagraph"/>
                          <w:spacing w:before="83"/>
                          <w:ind w:left="509" w:right="-9"/>
                          <w:rPr>
                            <w:rFonts w:ascii="Times New Roman"/>
                            <w:sz w:val="18"/>
                          </w:rPr>
                        </w:pPr>
                        <w:r>
                          <w:rPr>
                            <w:rFonts w:ascii="Times New Roman"/>
                            <w:sz w:val="18"/>
                          </w:rPr>
                          <w:t>90</w:t>
                        </w:r>
                      </w:p>
                      <w:p>
                        <w:pPr>
                          <w:pStyle w:val="TableParagraph"/>
                          <w:spacing w:line="207" w:lineRule="exact" w:before="4"/>
                          <w:ind w:left="437" w:right="-9"/>
                          <w:rPr>
                            <w:sz w:val="19"/>
                          </w:rPr>
                        </w:pPr>
                        <w:r>
                          <w:rPr>
                            <w:w w:val="95"/>
                            <w:sz w:val="19"/>
                          </w:rPr>
                          <w:t>107</w:t>
                        </w:r>
                      </w:p>
                      <w:p>
                        <w:pPr>
                          <w:pStyle w:val="TableParagraph"/>
                          <w:spacing w:line="203" w:lineRule="exact"/>
                          <w:ind w:left="444" w:right="-9"/>
                          <w:rPr>
                            <w:sz w:val="19"/>
                          </w:rPr>
                        </w:pPr>
                        <w:r>
                          <w:rPr>
                            <w:w w:val="90"/>
                            <w:sz w:val="19"/>
                          </w:rPr>
                          <w:t>121</w:t>
                        </w:r>
                      </w:p>
                      <w:p>
                        <w:pPr>
                          <w:pStyle w:val="TableParagraph"/>
                          <w:spacing w:line="203" w:lineRule="exact"/>
                          <w:ind w:left="440" w:right="-9"/>
                          <w:rPr>
                            <w:sz w:val="19"/>
                          </w:rPr>
                        </w:pPr>
                        <w:r>
                          <w:rPr>
                            <w:w w:val="95"/>
                            <w:sz w:val="19"/>
                          </w:rPr>
                          <w:t>134</w:t>
                        </w:r>
                      </w:p>
                      <w:p>
                        <w:pPr>
                          <w:pStyle w:val="TableParagraph"/>
                          <w:spacing w:line="207" w:lineRule="exact"/>
                          <w:ind w:left="440" w:right="-9"/>
                          <w:rPr>
                            <w:sz w:val="19"/>
                          </w:rPr>
                        </w:pPr>
                        <w:r>
                          <w:rPr>
                            <w:sz w:val="19"/>
                          </w:rPr>
                          <w:t>143</w:t>
                        </w:r>
                      </w:p>
                    </w:tc>
                    <w:tc>
                      <w:tcPr>
                        <w:tcW w:w="382" w:type="dxa"/>
                        <w:tcBorders>
                          <w:top w:val="nil"/>
                          <w:left w:val="single" w:sz="16" w:space="0" w:color="000000"/>
                          <w:bottom w:val="nil"/>
                          <w:right w:val="single" w:sz="1" w:space="0" w:color="000000"/>
                        </w:tcBorders>
                      </w:tcPr>
                      <w:p>
                        <w:pPr>
                          <w:pStyle w:val="TableParagraph"/>
                          <w:spacing w:line="210" w:lineRule="exact" w:before="90"/>
                          <w:ind w:left="120" w:right="-13"/>
                          <w:rPr>
                            <w:sz w:val="19"/>
                          </w:rPr>
                        </w:pPr>
                        <w:r>
                          <w:rPr>
                            <w:w w:val="95"/>
                            <w:sz w:val="19"/>
                          </w:rPr>
                          <w:t>55</w:t>
                        </w:r>
                      </w:p>
                      <w:p>
                        <w:pPr>
                          <w:pStyle w:val="TableParagraph"/>
                          <w:spacing w:line="190" w:lineRule="exact"/>
                          <w:ind w:left="127" w:right="-13"/>
                          <w:rPr>
                            <w:rFonts w:ascii="Times New Roman"/>
                            <w:sz w:val="17"/>
                          </w:rPr>
                        </w:pPr>
                        <w:r>
                          <w:rPr>
                            <w:rFonts w:ascii="Times New Roman"/>
                            <w:sz w:val="17"/>
                          </w:rPr>
                          <w:t>56</w:t>
                        </w:r>
                      </w:p>
                      <w:p>
                        <w:pPr>
                          <w:pStyle w:val="TableParagraph"/>
                          <w:spacing w:line="212" w:lineRule="exact" w:before="3"/>
                          <w:ind w:left="127" w:right="-13"/>
                          <w:rPr>
                            <w:sz w:val="19"/>
                          </w:rPr>
                        </w:pPr>
                        <w:r>
                          <w:rPr>
                            <w:spacing w:val="-21"/>
                            <w:w w:val="105"/>
                            <w:sz w:val="19"/>
                          </w:rPr>
                          <w:t>57</w:t>
                        </w:r>
                      </w:p>
                      <w:p>
                        <w:pPr>
                          <w:pStyle w:val="TableParagraph"/>
                          <w:spacing w:line="205" w:lineRule="exact"/>
                          <w:ind w:left="127" w:right="-4"/>
                          <w:rPr>
                            <w:sz w:val="19"/>
                          </w:rPr>
                        </w:pPr>
                        <w:r>
                          <w:rPr>
                            <w:w w:val="95"/>
                            <w:sz w:val="19"/>
                          </w:rPr>
                          <w:t>58</w:t>
                        </w:r>
                      </w:p>
                      <w:p>
                        <w:pPr>
                          <w:pStyle w:val="TableParagraph"/>
                          <w:spacing w:line="208" w:lineRule="exact"/>
                          <w:ind w:left="127" w:right="-13"/>
                          <w:rPr>
                            <w:sz w:val="19"/>
                          </w:rPr>
                        </w:pPr>
                        <w:r>
                          <w:rPr>
                            <w:w w:val="85"/>
                            <w:sz w:val="19"/>
                          </w:rPr>
                          <w:t>59</w:t>
                        </w:r>
                      </w:p>
                    </w:tc>
                    <w:tc>
                      <w:tcPr>
                        <w:tcW w:w="900" w:type="dxa"/>
                        <w:gridSpan w:val="2"/>
                        <w:tcBorders>
                          <w:top w:val="nil"/>
                          <w:left w:val="single" w:sz="1" w:space="0" w:color="000000"/>
                          <w:bottom w:val="nil"/>
                        </w:tcBorders>
                      </w:tcPr>
                      <w:p>
                        <w:pPr>
                          <w:pStyle w:val="TableParagraph"/>
                          <w:spacing w:line="210" w:lineRule="exact" w:before="82"/>
                          <w:ind w:left="257" w:right="-6"/>
                          <w:rPr>
                            <w:sz w:val="19"/>
                          </w:rPr>
                        </w:pPr>
                        <w:r>
                          <w:rPr>
                            <w:spacing w:val="-18"/>
                            <w:w w:val="95"/>
                            <w:sz w:val="19"/>
                          </w:rPr>
                          <w:t>.01475</w:t>
                        </w:r>
                      </w:p>
                      <w:p>
                        <w:pPr>
                          <w:pStyle w:val="TableParagraph"/>
                          <w:spacing w:line="190" w:lineRule="exact"/>
                          <w:ind w:left="264" w:right="-6"/>
                          <w:rPr>
                            <w:rFonts w:ascii="Times New Roman"/>
                            <w:sz w:val="17"/>
                          </w:rPr>
                        </w:pPr>
                        <w:r>
                          <w:rPr>
                            <w:rFonts w:ascii="Times New Roman"/>
                            <w:sz w:val="17"/>
                          </w:rPr>
                          <w:t>.01593</w:t>
                        </w:r>
                      </w:p>
                      <w:p>
                        <w:pPr>
                          <w:pStyle w:val="TableParagraph"/>
                          <w:spacing w:line="210" w:lineRule="exact" w:before="6"/>
                          <w:ind w:left="260" w:right="-6"/>
                          <w:rPr>
                            <w:sz w:val="19"/>
                          </w:rPr>
                        </w:pPr>
                        <w:r>
                          <w:rPr>
                            <w:spacing w:val="-20"/>
                            <w:sz w:val="19"/>
                          </w:rPr>
                          <w:t>.01730</w:t>
                        </w:r>
                      </w:p>
                      <w:p>
                        <w:pPr>
                          <w:pStyle w:val="TableParagraph"/>
                          <w:spacing w:line="203" w:lineRule="exact"/>
                          <w:ind w:left="260" w:right="-6"/>
                          <w:rPr>
                            <w:sz w:val="19"/>
                          </w:rPr>
                        </w:pPr>
                        <w:r>
                          <w:rPr>
                            <w:spacing w:val="-21"/>
                            <w:w w:val="95"/>
                            <w:sz w:val="19"/>
                          </w:rPr>
                          <w:t>.01891</w:t>
                        </w:r>
                      </w:p>
                      <w:p>
                        <w:pPr>
                          <w:pStyle w:val="TableParagraph"/>
                          <w:spacing w:line="188" w:lineRule="exact"/>
                          <w:ind w:left="260" w:right="-6"/>
                          <w:rPr>
                            <w:rFonts w:ascii="Times New Roman"/>
                            <w:sz w:val="17"/>
                          </w:rPr>
                        </w:pPr>
                        <w:r>
                          <w:rPr>
                            <w:rFonts w:ascii="Times New Roman"/>
                            <w:sz w:val="17"/>
                          </w:rPr>
                          <w:t>.02074</w:t>
                        </w:r>
                      </w:p>
                    </w:tc>
                    <w:tc>
                      <w:tcPr>
                        <w:tcW w:w="839" w:type="dxa"/>
                        <w:tcBorders>
                          <w:top w:val="nil"/>
                          <w:bottom w:val="nil"/>
                        </w:tcBorders>
                      </w:tcPr>
                      <w:p>
                        <w:pPr>
                          <w:pStyle w:val="TableParagraph"/>
                          <w:spacing w:line="208" w:lineRule="exact" w:before="82"/>
                          <w:ind w:left="172" w:right="-18"/>
                          <w:rPr>
                            <w:sz w:val="19"/>
                          </w:rPr>
                        </w:pPr>
                        <w:r>
                          <w:rPr>
                            <w:w w:val="90"/>
                            <w:sz w:val="19"/>
                          </w:rPr>
                          <w:t>82,463</w:t>
                        </w:r>
                      </w:p>
                      <w:p>
                        <w:pPr>
                          <w:pStyle w:val="TableParagraph"/>
                          <w:spacing w:line="202" w:lineRule="exact"/>
                          <w:ind w:left="172" w:right="-18"/>
                          <w:rPr>
                            <w:sz w:val="19"/>
                          </w:rPr>
                        </w:pPr>
                        <w:r>
                          <w:rPr>
                            <w:spacing w:val="-15"/>
                            <w:sz w:val="19"/>
                          </w:rPr>
                          <w:t>81,247</w:t>
                        </w:r>
                      </w:p>
                      <w:p>
                        <w:pPr>
                          <w:pStyle w:val="TableParagraph"/>
                          <w:spacing w:line="203" w:lineRule="exact"/>
                          <w:ind w:left="176" w:right="-18"/>
                          <w:rPr>
                            <w:sz w:val="19"/>
                          </w:rPr>
                        </w:pPr>
                        <w:r>
                          <w:rPr>
                            <w:spacing w:val="-25"/>
                            <w:sz w:val="19"/>
                          </w:rPr>
                          <w:t>79,952</w:t>
                        </w:r>
                      </w:p>
                      <w:p>
                        <w:pPr>
                          <w:pStyle w:val="TableParagraph"/>
                          <w:spacing w:line="203" w:lineRule="exact"/>
                          <w:ind w:left="176" w:right="-18"/>
                          <w:rPr>
                            <w:sz w:val="19"/>
                          </w:rPr>
                        </w:pPr>
                        <w:r>
                          <w:rPr>
                            <w:spacing w:val="-18"/>
                            <w:w w:val="95"/>
                            <w:sz w:val="19"/>
                          </w:rPr>
                          <w:t>78,569</w:t>
                        </w:r>
                      </w:p>
                      <w:p>
                        <w:pPr>
                          <w:pStyle w:val="TableParagraph"/>
                          <w:spacing w:line="208" w:lineRule="exact"/>
                          <w:ind w:left="176" w:right="-18"/>
                          <w:rPr>
                            <w:sz w:val="19"/>
                          </w:rPr>
                        </w:pPr>
                        <w:r>
                          <w:rPr>
                            <w:spacing w:val="-18"/>
                            <w:sz w:val="19"/>
                          </w:rPr>
                          <w:t>77,083</w:t>
                        </w:r>
                      </w:p>
                    </w:tc>
                    <w:tc>
                      <w:tcPr>
                        <w:tcW w:w="749" w:type="dxa"/>
                        <w:tcBorders>
                          <w:top w:val="nil"/>
                          <w:bottom w:val="nil"/>
                          <w:right w:val="nil"/>
                        </w:tcBorders>
                      </w:tcPr>
                      <w:p>
                        <w:pPr>
                          <w:pStyle w:val="TableParagraph"/>
                          <w:spacing w:line="208" w:lineRule="exact" w:before="75"/>
                          <w:ind w:left="176"/>
                          <w:rPr>
                            <w:sz w:val="19"/>
                          </w:rPr>
                        </w:pPr>
                        <w:r>
                          <w:rPr>
                            <w:spacing w:val="-17"/>
                            <w:sz w:val="19"/>
                          </w:rPr>
                          <w:t>1,216</w:t>
                        </w:r>
                      </w:p>
                      <w:p>
                        <w:pPr>
                          <w:pStyle w:val="TableParagraph"/>
                          <w:spacing w:line="203" w:lineRule="exact"/>
                          <w:ind w:left="176"/>
                          <w:rPr>
                            <w:sz w:val="19"/>
                          </w:rPr>
                        </w:pPr>
                        <w:r>
                          <w:rPr>
                            <w:w w:val="80"/>
                            <w:sz w:val="19"/>
                          </w:rPr>
                          <w:t>1,295</w:t>
                        </w:r>
                      </w:p>
                      <w:p>
                        <w:pPr>
                          <w:pStyle w:val="TableParagraph"/>
                          <w:spacing w:line="203" w:lineRule="exact"/>
                          <w:ind w:left="176"/>
                          <w:rPr>
                            <w:sz w:val="19"/>
                          </w:rPr>
                        </w:pPr>
                        <w:r>
                          <w:rPr>
                            <w:w w:val="80"/>
                            <w:sz w:val="19"/>
                          </w:rPr>
                          <w:t>1,383</w:t>
                        </w:r>
                      </w:p>
                      <w:p>
                        <w:pPr>
                          <w:pStyle w:val="TableParagraph"/>
                          <w:spacing w:line="202" w:lineRule="exact"/>
                          <w:ind w:left="176"/>
                          <w:rPr>
                            <w:sz w:val="19"/>
                          </w:rPr>
                        </w:pPr>
                        <w:r>
                          <w:rPr>
                            <w:w w:val="85"/>
                            <w:sz w:val="19"/>
                          </w:rPr>
                          <w:t>1,486</w:t>
                        </w:r>
                      </w:p>
                      <w:p>
                        <w:pPr>
                          <w:pStyle w:val="TableParagraph"/>
                          <w:spacing w:line="208" w:lineRule="exact"/>
                          <w:ind w:left="176"/>
                          <w:rPr>
                            <w:sz w:val="19"/>
                          </w:rPr>
                        </w:pPr>
                        <w:r>
                          <w:rPr>
                            <w:w w:val="95"/>
                            <w:sz w:val="19"/>
                          </w:rPr>
                          <w:t>1,598</w:t>
                        </w:r>
                      </w:p>
                    </w:tc>
                  </w:tr>
                  <w:tr>
                    <w:trPr>
                      <w:trHeight w:val="1213" w:hRule="exact"/>
                    </w:trPr>
                    <w:tc>
                      <w:tcPr>
                        <w:tcW w:w="448" w:type="dxa"/>
                        <w:tcBorders>
                          <w:top w:val="nil"/>
                          <w:left w:val="nil"/>
                          <w:bottom w:val="nil"/>
                          <w:right w:val="single" w:sz="7" w:space="0" w:color="000000"/>
                        </w:tcBorders>
                      </w:tcPr>
                      <w:p>
                        <w:pPr>
                          <w:pStyle w:val="TableParagraph"/>
                          <w:spacing w:before="5"/>
                          <w:rPr>
                            <w:rFonts w:ascii="Arial"/>
                            <w:sz w:val="26"/>
                          </w:rPr>
                        </w:pPr>
                      </w:p>
                      <w:p>
                        <w:pPr>
                          <w:pStyle w:val="TableParagraph"/>
                          <w:spacing w:line="208" w:lineRule="exact"/>
                          <w:ind w:left="140"/>
                          <w:rPr>
                            <w:sz w:val="19"/>
                          </w:rPr>
                        </w:pPr>
                        <w:r>
                          <w:rPr>
                            <w:sz w:val="19"/>
                          </w:rPr>
                          <w:t>21</w:t>
                        </w:r>
                      </w:p>
                      <w:p>
                        <w:pPr>
                          <w:pStyle w:val="TableParagraph"/>
                          <w:spacing w:line="188" w:lineRule="exact"/>
                          <w:ind w:left="144"/>
                          <w:rPr>
                            <w:rFonts w:ascii="Times New Roman"/>
                            <w:sz w:val="17"/>
                          </w:rPr>
                        </w:pPr>
                        <w:r>
                          <w:rPr>
                            <w:rFonts w:ascii="Times New Roman"/>
                            <w:sz w:val="17"/>
                          </w:rPr>
                          <w:t>22</w:t>
                        </w:r>
                      </w:p>
                      <w:p>
                        <w:pPr>
                          <w:pStyle w:val="TableParagraph"/>
                          <w:spacing w:line="208" w:lineRule="exact" w:before="14"/>
                          <w:ind w:left="144"/>
                          <w:rPr>
                            <w:sz w:val="19"/>
                          </w:rPr>
                        </w:pPr>
                        <w:r>
                          <w:rPr>
                            <w:w w:val="90"/>
                            <w:sz w:val="19"/>
                          </w:rPr>
                          <w:t>23</w:t>
                        </w:r>
                      </w:p>
                      <w:p>
                        <w:pPr>
                          <w:pStyle w:val="TableParagraph"/>
                          <w:spacing w:line="208" w:lineRule="exact"/>
                          <w:ind w:left="144"/>
                          <w:rPr>
                            <w:sz w:val="19"/>
                          </w:rPr>
                        </w:pPr>
                        <w:r>
                          <w:rPr>
                            <w:w w:val="90"/>
                            <w:sz w:val="19"/>
                          </w:rPr>
                          <w:t>24</w:t>
                        </w:r>
                      </w:p>
                    </w:tc>
                    <w:tc>
                      <w:tcPr>
                        <w:tcW w:w="832" w:type="dxa"/>
                        <w:tcBorders>
                          <w:top w:val="nil"/>
                          <w:left w:val="single" w:sz="7" w:space="0" w:color="000000"/>
                          <w:bottom w:val="nil"/>
                          <w:right w:val="single" w:sz="7" w:space="0" w:color="000000"/>
                        </w:tcBorders>
                      </w:tcPr>
                      <w:p>
                        <w:pPr>
                          <w:pStyle w:val="TableParagraph"/>
                          <w:spacing w:line="210" w:lineRule="exact" w:before="95"/>
                          <w:ind w:left="198" w:right="-3"/>
                          <w:rPr>
                            <w:sz w:val="19"/>
                          </w:rPr>
                        </w:pPr>
                        <w:r>
                          <w:rPr>
                            <w:spacing w:val="-19"/>
                            <w:w w:val="95"/>
                            <w:sz w:val="19"/>
                          </w:rPr>
                          <w:t>.00159</w:t>
                        </w:r>
                      </w:p>
                      <w:p>
                        <w:pPr>
                          <w:pStyle w:val="TableParagraph"/>
                          <w:spacing w:line="203" w:lineRule="exact"/>
                          <w:ind w:left="198" w:right="-3"/>
                          <w:rPr>
                            <w:sz w:val="19"/>
                          </w:rPr>
                        </w:pPr>
                        <w:r>
                          <w:rPr>
                            <w:spacing w:val="-20"/>
                            <w:w w:val="95"/>
                            <w:sz w:val="19"/>
                          </w:rPr>
                          <w:t>.00169</w:t>
                        </w:r>
                      </w:p>
                      <w:p>
                        <w:pPr>
                          <w:pStyle w:val="TableParagraph"/>
                          <w:spacing w:line="200" w:lineRule="exact"/>
                          <w:ind w:left="201" w:right="-3"/>
                          <w:rPr>
                            <w:sz w:val="19"/>
                          </w:rPr>
                        </w:pPr>
                        <w:r>
                          <w:rPr>
                            <w:spacing w:val="-27"/>
                            <w:sz w:val="19"/>
                          </w:rPr>
                          <w:t>.00174</w:t>
                        </w:r>
                      </w:p>
                      <w:p>
                        <w:pPr>
                          <w:pStyle w:val="TableParagraph"/>
                          <w:spacing w:line="202" w:lineRule="exact"/>
                          <w:ind w:left="205" w:right="-3"/>
                          <w:rPr>
                            <w:sz w:val="19"/>
                          </w:rPr>
                        </w:pPr>
                        <w:r>
                          <w:rPr>
                            <w:spacing w:val="-17"/>
                            <w:w w:val="95"/>
                            <w:sz w:val="19"/>
                          </w:rPr>
                          <w:t>.00172</w:t>
                        </w:r>
                      </w:p>
                      <w:p>
                        <w:pPr>
                          <w:pStyle w:val="TableParagraph"/>
                          <w:spacing w:line="210" w:lineRule="exact"/>
                          <w:ind w:left="201" w:right="-3"/>
                          <w:rPr>
                            <w:sz w:val="19"/>
                          </w:rPr>
                        </w:pPr>
                        <w:r>
                          <w:rPr>
                            <w:spacing w:val="-19"/>
                            <w:w w:val="95"/>
                            <w:sz w:val="19"/>
                          </w:rPr>
                          <w:t>.00165</w:t>
                        </w:r>
                      </w:p>
                    </w:tc>
                    <w:tc>
                      <w:tcPr>
                        <w:tcW w:w="747" w:type="dxa"/>
                        <w:tcBorders>
                          <w:top w:val="nil"/>
                          <w:left w:val="single" w:sz="7" w:space="0" w:color="000000"/>
                          <w:bottom w:val="nil"/>
                          <w:right w:val="single" w:sz="1" w:space="0" w:color="000000"/>
                        </w:tcBorders>
                      </w:tcPr>
                      <w:p>
                        <w:pPr>
                          <w:pStyle w:val="TableParagraph"/>
                          <w:spacing w:line="208" w:lineRule="exact" w:before="91"/>
                          <w:ind w:left="169" w:right="-3"/>
                          <w:rPr>
                            <w:sz w:val="19"/>
                          </w:rPr>
                        </w:pPr>
                        <w:r>
                          <w:rPr>
                            <w:spacing w:val="-16"/>
                            <w:w w:val="90"/>
                            <w:sz w:val="19"/>
                          </w:rPr>
                          <w:t>95,908</w:t>
                        </w:r>
                      </w:p>
                      <w:p>
                        <w:pPr>
                          <w:pStyle w:val="TableParagraph"/>
                          <w:spacing w:line="202" w:lineRule="exact"/>
                          <w:ind w:left="169" w:right="-1"/>
                          <w:rPr>
                            <w:sz w:val="19"/>
                          </w:rPr>
                        </w:pPr>
                        <w:r>
                          <w:rPr>
                            <w:w w:val="80"/>
                            <w:sz w:val="19"/>
                          </w:rPr>
                          <w:t>95,755</w:t>
                        </w:r>
                      </w:p>
                      <w:p>
                        <w:pPr>
                          <w:pStyle w:val="TableParagraph"/>
                          <w:spacing w:line="202" w:lineRule="exact"/>
                          <w:ind w:left="172" w:right="-3"/>
                          <w:rPr>
                            <w:sz w:val="19"/>
                          </w:rPr>
                        </w:pPr>
                        <w:r>
                          <w:rPr>
                            <w:spacing w:val="-20"/>
                            <w:w w:val="95"/>
                            <w:sz w:val="19"/>
                          </w:rPr>
                          <w:t>95,593</w:t>
                        </w:r>
                      </w:p>
                      <w:p>
                        <w:pPr>
                          <w:pStyle w:val="TableParagraph"/>
                          <w:spacing w:line="202" w:lineRule="exact"/>
                          <w:ind w:left="169" w:right="-3"/>
                          <w:rPr>
                            <w:sz w:val="19"/>
                          </w:rPr>
                        </w:pPr>
                        <w:r>
                          <w:rPr>
                            <w:spacing w:val="-22"/>
                            <w:w w:val="95"/>
                            <w:sz w:val="19"/>
                          </w:rPr>
                          <w:t>95,426</w:t>
                        </w:r>
                      </w:p>
                      <w:p>
                        <w:pPr>
                          <w:pStyle w:val="TableParagraph"/>
                          <w:spacing w:line="208" w:lineRule="exact"/>
                          <w:ind w:left="172" w:right="-3"/>
                          <w:rPr>
                            <w:sz w:val="19"/>
                          </w:rPr>
                        </w:pPr>
                        <w:r>
                          <w:rPr>
                            <w:spacing w:val="-10"/>
                            <w:w w:val="85"/>
                            <w:sz w:val="19"/>
                          </w:rPr>
                          <w:t>95,263</w:t>
                        </w:r>
                      </w:p>
                    </w:tc>
                    <w:tc>
                      <w:tcPr>
                        <w:tcW w:w="850" w:type="dxa"/>
                        <w:gridSpan w:val="2"/>
                        <w:tcBorders>
                          <w:top w:val="nil"/>
                          <w:left w:val="single" w:sz="1" w:space="0" w:color="000000"/>
                          <w:bottom w:val="nil"/>
                          <w:right w:val="single" w:sz="16" w:space="0" w:color="000000"/>
                        </w:tcBorders>
                      </w:tcPr>
                      <w:p>
                        <w:pPr>
                          <w:pStyle w:val="TableParagraph"/>
                          <w:spacing w:line="208" w:lineRule="exact" w:before="88"/>
                          <w:ind w:left="444" w:right="-9"/>
                          <w:rPr>
                            <w:sz w:val="19"/>
                          </w:rPr>
                        </w:pPr>
                        <w:r>
                          <w:rPr>
                            <w:w w:val="60"/>
                            <w:sz w:val="19"/>
                          </w:rPr>
                          <w:t>15.1</w:t>
                        </w:r>
                      </w:p>
                      <w:p>
                        <w:pPr>
                          <w:pStyle w:val="TableParagraph"/>
                          <w:spacing w:line="202" w:lineRule="exact"/>
                          <w:ind w:left="440" w:right="-9"/>
                          <w:rPr>
                            <w:sz w:val="19"/>
                          </w:rPr>
                        </w:pPr>
                        <w:r>
                          <w:rPr>
                            <w:sz w:val="19"/>
                          </w:rPr>
                          <w:t>162</w:t>
                        </w:r>
                      </w:p>
                      <w:p>
                        <w:pPr>
                          <w:pStyle w:val="TableParagraph"/>
                          <w:spacing w:line="202" w:lineRule="exact"/>
                          <w:ind w:left="444" w:right="-9"/>
                          <w:rPr>
                            <w:sz w:val="19"/>
                          </w:rPr>
                        </w:pPr>
                        <w:r>
                          <w:rPr>
                            <w:sz w:val="19"/>
                          </w:rPr>
                          <w:t>167</w:t>
                        </w:r>
                      </w:p>
                      <w:p>
                        <w:pPr>
                          <w:pStyle w:val="TableParagraph"/>
                          <w:spacing w:line="202" w:lineRule="exact"/>
                          <w:ind w:left="444" w:right="-9"/>
                          <w:rPr>
                            <w:sz w:val="19"/>
                          </w:rPr>
                        </w:pPr>
                        <w:r>
                          <w:rPr>
                            <w:w w:val="90"/>
                            <w:sz w:val="19"/>
                          </w:rPr>
                          <w:t>163</w:t>
                        </w:r>
                      </w:p>
                      <w:p>
                        <w:pPr>
                          <w:pStyle w:val="TableParagraph"/>
                          <w:spacing w:line="208" w:lineRule="exact"/>
                          <w:ind w:left="440" w:right="-9"/>
                          <w:rPr>
                            <w:sz w:val="19"/>
                          </w:rPr>
                        </w:pPr>
                        <w:r>
                          <w:rPr>
                            <w:sz w:val="19"/>
                          </w:rPr>
                          <w:t>157</w:t>
                        </w:r>
                      </w:p>
                    </w:tc>
                    <w:tc>
                      <w:tcPr>
                        <w:tcW w:w="382" w:type="dxa"/>
                        <w:tcBorders>
                          <w:top w:val="nil"/>
                          <w:left w:val="single" w:sz="16" w:space="0" w:color="000000"/>
                          <w:bottom w:val="nil"/>
                          <w:right w:val="single" w:sz="1" w:space="0" w:color="000000"/>
                        </w:tcBorders>
                      </w:tcPr>
                      <w:p>
                        <w:pPr>
                          <w:pStyle w:val="TableParagraph"/>
                          <w:spacing w:before="109"/>
                          <w:ind w:left="124" w:right="-13"/>
                          <w:rPr>
                            <w:rFonts w:ascii="Arial"/>
                            <w:sz w:val="15"/>
                          </w:rPr>
                        </w:pPr>
                        <w:r>
                          <w:rPr>
                            <w:rFonts w:ascii="Arial"/>
                            <w:w w:val="110"/>
                            <w:sz w:val="15"/>
                          </w:rPr>
                          <w:t>60</w:t>
                        </w:r>
                      </w:p>
                      <w:p>
                        <w:pPr>
                          <w:pStyle w:val="TableParagraph"/>
                          <w:spacing w:line="208" w:lineRule="exact" w:before="8"/>
                          <w:ind w:left="124" w:right="-13"/>
                          <w:rPr>
                            <w:sz w:val="19"/>
                          </w:rPr>
                        </w:pPr>
                        <w:r>
                          <w:rPr>
                            <w:sz w:val="19"/>
                          </w:rPr>
                          <w:t>61</w:t>
                        </w:r>
                      </w:p>
                      <w:p>
                        <w:pPr>
                          <w:pStyle w:val="TableParagraph"/>
                          <w:spacing w:line="205" w:lineRule="exact"/>
                          <w:ind w:left="127" w:right="-13"/>
                          <w:rPr>
                            <w:sz w:val="19"/>
                          </w:rPr>
                        </w:pPr>
                        <w:r>
                          <w:rPr>
                            <w:spacing w:val="-21"/>
                            <w:w w:val="105"/>
                            <w:sz w:val="19"/>
                          </w:rPr>
                          <w:t>62</w:t>
                        </w:r>
                      </w:p>
                      <w:p>
                        <w:pPr>
                          <w:pStyle w:val="TableParagraph"/>
                          <w:spacing w:line="203" w:lineRule="exact"/>
                          <w:ind w:left="127" w:right="-13"/>
                          <w:rPr>
                            <w:sz w:val="19"/>
                          </w:rPr>
                        </w:pPr>
                        <w:r>
                          <w:rPr>
                            <w:w w:val="90"/>
                            <w:sz w:val="19"/>
                          </w:rPr>
                          <w:t>63</w:t>
                        </w:r>
                      </w:p>
                      <w:p>
                        <w:pPr>
                          <w:pStyle w:val="TableParagraph"/>
                          <w:spacing w:line="187" w:lineRule="exact"/>
                          <w:ind w:left="127" w:right="-13"/>
                          <w:rPr>
                            <w:rFonts w:ascii="Times New Roman"/>
                            <w:sz w:val="17"/>
                          </w:rPr>
                        </w:pPr>
                        <w:r>
                          <w:rPr>
                            <w:rFonts w:ascii="Times New Roman"/>
                            <w:sz w:val="17"/>
                          </w:rPr>
                          <w:t>64</w:t>
                        </w:r>
                      </w:p>
                    </w:tc>
                    <w:tc>
                      <w:tcPr>
                        <w:tcW w:w="900" w:type="dxa"/>
                        <w:gridSpan w:val="2"/>
                        <w:tcBorders>
                          <w:top w:val="nil"/>
                          <w:left w:val="single" w:sz="1" w:space="0" w:color="000000"/>
                          <w:bottom w:val="nil"/>
                        </w:tcBorders>
                      </w:tcPr>
                      <w:p>
                        <w:pPr>
                          <w:pStyle w:val="TableParagraph"/>
                          <w:spacing w:line="208" w:lineRule="exact" w:before="84"/>
                          <w:ind w:left="264" w:right="-6"/>
                          <w:rPr>
                            <w:sz w:val="19"/>
                          </w:rPr>
                        </w:pPr>
                        <w:r>
                          <w:rPr>
                            <w:w w:val="85"/>
                            <w:sz w:val="19"/>
                          </w:rPr>
                          <w:t>.02271</w:t>
                        </w:r>
                      </w:p>
                      <w:p>
                        <w:pPr>
                          <w:pStyle w:val="TableParagraph"/>
                          <w:spacing w:line="201" w:lineRule="exact"/>
                          <w:ind w:left="264" w:right="-6"/>
                          <w:rPr>
                            <w:sz w:val="19"/>
                          </w:rPr>
                        </w:pPr>
                        <w:r>
                          <w:rPr>
                            <w:spacing w:val="-20"/>
                            <w:sz w:val="19"/>
                          </w:rPr>
                          <w:t>.02476</w:t>
                        </w:r>
                      </w:p>
                      <w:p>
                        <w:pPr>
                          <w:pStyle w:val="TableParagraph"/>
                          <w:spacing w:line="188" w:lineRule="exact"/>
                          <w:ind w:left="264" w:right="-6"/>
                          <w:rPr>
                            <w:rFonts w:ascii="Times New Roman"/>
                            <w:sz w:val="17"/>
                          </w:rPr>
                        </w:pPr>
                        <w:r>
                          <w:rPr>
                            <w:rFonts w:ascii="Times New Roman"/>
                            <w:sz w:val="17"/>
                          </w:rPr>
                          <w:t>.02690</w:t>
                        </w:r>
                      </w:p>
                      <w:p>
                        <w:pPr>
                          <w:pStyle w:val="TableParagraph"/>
                          <w:spacing w:line="210" w:lineRule="exact" w:before="6"/>
                          <w:ind w:left="264" w:right="-6"/>
                          <w:rPr>
                            <w:sz w:val="19"/>
                          </w:rPr>
                        </w:pPr>
                        <w:r>
                          <w:rPr>
                            <w:w w:val="85"/>
                            <w:sz w:val="19"/>
                          </w:rPr>
                          <w:t>.02912</w:t>
                        </w:r>
                      </w:p>
                      <w:p>
                        <w:pPr>
                          <w:pStyle w:val="TableParagraph"/>
                          <w:spacing w:line="210" w:lineRule="exact"/>
                          <w:ind w:left="264" w:right="-6"/>
                          <w:rPr>
                            <w:sz w:val="19"/>
                          </w:rPr>
                        </w:pPr>
                        <w:r>
                          <w:rPr>
                            <w:spacing w:val="-20"/>
                            <w:w w:val="95"/>
                            <w:sz w:val="19"/>
                          </w:rPr>
                          <w:t>.03143</w:t>
                        </w:r>
                      </w:p>
                    </w:tc>
                    <w:tc>
                      <w:tcPr>
                        <w:tcW w:w="839" w:type="dxa"/>
                        <w:tcBorders>
                          <w:top w:val="nil"/>
                          <w:bottom w:val="nil"/>
                        </w:tcBorders>
                      </w:tcPr>
                      <w:p>
                        <w:pPr>
                          <w:pStyle w:val="TableParagraph"/>
                          <w:spacing w:line="208" w:lineRule="exact" w:before="81"/>
                          <w:ind w:left="176" w:right="-18"/>
                          <w:rPr>
                            <w:sz w:val="19"/>
                          </w:rPr>
                        </w:pPr>
                        <w:r>
                          <w:rPr>
                            <w:spacing w:val="-15"/>
                            <w:w w:val="95"/>
                            <w:sz w:val="19"/>
                          </w:rPr>
                          <w:t>75,485</w:t>
                        </w:r>
                      </w:p>
                      <w:p>
                        <w:pPr>
                          <w:pStyle w:val="TableParagraph"/>
                          <w:spacing w:line="202" w:lineRule="exact"/>
                          <w:ind w:left="176" w:right="-18"/>
                          <w:rPr>
                            <w:sz w:val="19"/>
                          </w:rPr>
                        </w:pPr>
                        <w:r>
                          <w:rPr>
                            <w:spacing w:val="-18"/>
                            <w:w w:val="95"/>
                            <w:sz w:val="19"/>
                          </w:rPr>
                          <w:t>73,771</w:t>
                        </w:r>
                      </w:p>
                      <w:p>
                        <w:pPr>
                          <w:pStyle w:val="TableParagraph"/>
                          <w:spacing w:line="203" w:lineRule="exact"/>
                          <w:ind w:left="179" w:right="-18"/>
                          <w:rPr>
                            <w:sz w:val="19"/>
                          </w:rPr>
                        </w:pPr>
                        <w:r>
                          <w:rPr>
                            <w:w w:val="90"/>
                            <w:sz w:val="19"/>
                          </w:rPr>
                          <w:t>71,944</w:t>
                        </w:r>
                      </w:p>
                      <w:p>
                        <w:pPr>
                          <w:pStyle w:val="TableParagraph"/>
                          <w:spacing w:line="202" w:lineRule="exact"/>
                          <w:ind w:left="176" w:right="-18"/>
                          <w:rPr>
                            <w:sz w:val="19"/>
                          </w:rPr>
                        </w:pPr>
                        <w:r>
                          <w:rPr>
                            <w:spacing w:val="-17"/>
                            <w:w w:val="95"/>
                            <w:sz w:val="19"/>
                          </w:rPr>
                          <w:t>70,009</w:t>
                        </w:r>
                      </w:p>
                      <w:p>
                        <w:pPr>
                          <w:pStyle w:val="TableParagraph"/>
                          <w:spacing w:line="207" w:lineRule="exact"/>
                          <w:ind w:left="176" w:right="-18"/>
                          <w:rPr>
                            <w:sz w:val="19"/>
                          </w:rPr>
                        </w:pPr>
                        <w:r>
                          <w:rPr>
                            <w:spacing w:val="-31"/>
                            <w:w w:val="105"/>
                            <w:sz w:val="19"/>
                          </w:rPr>
                          <w:t>67,970</w:t>
                        </w:r>
                      </w:p>
                    </w:tc>
                    <w:tc>
                      <w:tcPr>
                        <w:tcW w:w="749" w:type="dxa"/>
                        <w:tcBorders>
                          <w:top w:val="nil"/>
                          <w:bottom w:val="nil"/>
                          <w:right w:val="nil"/>
                        </w:tcBorders>
                      </w:tcPr>
                      <w:p>
                        <w:pPr>
                          <w:pStyle w:val="TableParagraph"/>
                          <w:spacing w:line="208" w:lineRule="exact" w:before="73"/>
                          <w:ind w:left="180"/>
                          <w:rPr>
                            <w:sz w:val="19"/>
                          </w:rPr>
                        </w:pPr>
                        <w:r>
                          <w:rPr>
                            <w:w w:val="95"/>
                            <w:sz w:val="19"/>
                          </w:rPr>
                          <w:t>1,714</w:t>
                        </w:r>
                      </w:p>
                      <w:p>
                        <w:pPr>
                          <w:pStyle w:val="TableParagraph"/>
                          <w:spacing w:line="202" w:lineRule="exact"/>
                          <w:ind w:left="176"/>
                          <w:rPr>
                            <w:sz w:val="19"/>
                          </w:rPr>
                        </w:pPr>
                        <w:r>
                          <w:rPr>
                            <w:w w:val="95"/>
                            <w:sz w:val="19"/>
                          </w:rPr>
                          <w:t>1,827</w:t>
                        </w:r>
                      </w:p>
                      <w:p>
                        <w:pPr>
                          <w:pStyle w:val="TableParagraph"/>
                          <w:spacing w:line="203" w:lineRule="exact"/>
                          <w:ind w:left="180"/>
                          <w:rPr>
                            <w:sz w:val="19"/>
                          </w:rPr>
                        </w:pPr>
                        <w:r>
                          <w:rPr>
                            <w:w w:val="95"/>
                            <w:sz w:val="19"/>
                          </w:rPr>
                          <w:t>1,935</w:t>
                        </w:r>
                      </w:p>
                      <w:p>
                        <w:pPr>
                          <w:pStyle w:val="TableParagraph"/>
                          <w:spacing w:line="202" w:lineRule="exact"/>
                          <w:ind w:left="172"/>
                          <w:rPr>
                            <w:sz w:val="19"/>
                          </w:rPr>
                        </w:pPr>
                        <w:r>
                          <w:rPr>
                            <w:w w:val="95"/>
                            <w:sz w:val="19"/>
                          </w:rPr>
                          <w:t>2,039</w:t>
                        </w:r>
                      </w:p>
                      <w:p>
                        <w:pPr>
                          <w:pStyle w:val="TableParagraph"/>
                          <w:spacing w:line="207" w:lineRule="exact"/>
                          <w:ind w:left="176"/>
                          <w:rPr>
                            <w:sz w:val="19"/>
                          </w:rPr>
                        </w:pPr>
                        <w:r>
                          <w:rPr>
                            <w:w w:val="90"/>
                            <w:sz w:val="19"/>
                          </w:rPr>
                          <w:t>2,136</w:t>
                        </w:r>
                      </w:p>
                    </w:tc>
                  </w:tr>
                  <w:tr>
                    <w:trPr>
                      <w:trHeight w:val="1206" w:hRule="exact"/>
                    </w:trPr>
                    <w:tc>
                      <w:tcPr>
                        <w:tcW w:w="448" w:type="dxa"/>
                        <w:tcBorders>
                          <w:top w:val="nil"/>
                          <w:left w:val="nil"/>
                          <w:bottom w:val="nil"/>
                          <w:right w:val="single" w:sz="4" w:space="0" w:color="000000"/>
                        </w:tcBorders>
                      </w:tcPr>
                      <w:p>
                        <w:pPr>
                          <w:pStyle w:val="TableParagraph"/>
                          <w:spacing w:line="204" w:lineRule="exact" w:before="92"/>
                          <w:ind w:left="147"/>
                          <w:rPr>
                            <w:rFonts w:ascii="Times New Roman"/>
                            <w:sz w:val="18"/>
                          </w:rPr>
                        </w:pPr>
                        <w:r>
                          <w:rPr>
                            <w:rFonts w:ascii="Times New Roman"/>
                            <w:sz w:val="18"/>
                          </w:rPr>
                          <w:t>25</w:t>
                        </w:r>
                      </w:p>
                      <w:p>
                        <w:pPr>
                          <w:pStyle w:val="TableParagraph"/>
                          <w:spacing w:line="203" w:lineRule="exact"/>
                          <w:ind w:left="144"/>
                          <w:rPr>
                            <w:rFonts w:ascii="Times New Roman"/>
                            <w:sz w:val="18"/>
                          </w:rPr>
                        </w:pPr>
                        <w:r>
                          <w:rPr>
                            <w:rFonts w:ascii="Times New Roman"/>
                            <w:sz w:val="18"/>
                          </w:rPr>
                          <w:t>26</w:t>
                        </w:r>
                      </w:p>
                      <w:p>
                        <w:pPr>
                          <w:pStyle w:val="TableParagraph"/>
                          <w:spacing w:line="209" w:lineRule="exact"/>
                          <w:ind w:left="147"/>
                          <w:rPr>
                            <w:sz w:val="19"/>
                          </w:rPr>
                        </w:pPr>
                        <w:r>
                          <w:rPr>
                            <w:w w:val="90"/>
                            <w:sz w:val="19"/>
                          </w:rPr>
                          <w:t>27</w:t>
                        </w:r>
                      </w:p>
                      <w:p>
                        <w:pPr>
                          <w:pStyle w:val="TableParagraph"/>
                          <w:spacing w:line="205" w:lineRule="exact"/>
                          <w:ind w:left="144"/>
                          <w:rPr>
                            <w:sz w:val="19"/>
                          </w:rPr>
                        </w:pPr>
                        <w:r>
                          <w:rPr>
                            <w:w w:val="90"/>
                            <w:sz w:val="19"/>
                          </w:rPr>
                          <w:t>28</w:t>
                        </w:r>
                      </w:p>
                      <w:p>
                        <w:pPr>
                          <w:pStyle w:val="TableParagraph"/>
                          <w:spacing w:line="210" w:lineRule="exact"/>
                          <w:ind w:left="144"/>
                          <w:rPr>
                            <w:sz w:val="19"/>
                          </w:rPr>
                        </w:pPr>
                        <w:r>
                          <w:rPr>
                            <w:w w:val="85"/>
                            <w:sz w:val="19"/>
                          </w:rPr>
                          <w:t>29</w:t>
                        </w:r>
                      </w:p>
                    </w:tc>
                    <w:tc>
                      <w:tcPr>
                        <w:tcW w:w="832" w:type="dxa"/>
                        <w:tcBorders>
                          <w:top w:val="nil"/>
                          <w:left w:val="single" w:sz="4" w:space="0" w:color="000000"/>
                          <w:bottom w:val="nil"/>
                          <w:right w:val="single" w:sz="7" w:space="0" w:color="000000"/>
                        </w:tcBorders>
                      </w:tcPr>
                      <w:p>
                        <w:pPr>
                          <w:pStyle w:val="TableParagraph"/>
                          <w:spacing w:line="208" w:lineRule="exact" w:before="95"/>
                          <w:ind w:left="208" w:right="-17"/>
                          <w:rPr>
                            <w:sz w:val="19"/>
                          </w:rPr>
                        </w:pPr>
                        <w:r>
                          <w:rPr>
                            <w:spacing w:val="-13"/>
                            <w:w w:val="90"/>
                            <w:sz w:val="19"/>
                          </w:rPr>
                          <w:t>.00156</w:t>
                        </w:r>
                      </w:p>
                      <w:p>
                        <w:pPr>
                          <w:pStyle w:val="TableParagraph"/>
                          <w:spacing w:line="202" w:lineRule="exact"/>
                          <w:ind w:left="208" w:right="-17"/>
                          <w:rPr>
                            <w:sz w:val="19"/>
                          </w:rPr>
                        </w:pPr>
                        <w:r>
                          <w:rPr>
                            <w:spacing w:val="-25"/>
                            <w:sz w:val="19"/>
                          </w:rPr>
                          <w:t>.00149</w:t>
                        </w:r>
                      </w:p>
                      <w:p>
                        <w:pPr>
                          <w:pStyle w:val="TableParagraph"/>
                          <w:spacing w:line="202" w:lineRule="exact"/>
                          <w:ind w:left="212" w:right="-17"/>
                          <w:rPr>
                            <w:sz w:val="19"/>
                          </w:rPr>
                        </w:pPr>
                        <w:r>
                          <w:rPr>
                            <w:spacing w:val="-18"/>
                            <w:w w:val="95"/>
                            <w:sz w:val="19"/>
                          </w:rPr>
                          <w:t>.00145</w:t>
                        </w:r>
                      </w:p>
                      <w:p>
                        <w:pPr>
                          <w:pStyle w:val="TableParagraph"/>
                          <w:spacing w:line="202" w:lineRule="exact"/>
                          <w:ind w:left="208" w:right="-17"/>
                          <w:rPr>
                            <w:sz w:val="19"/>
                          </w:rPr>
                        </w:pPr>
                        <w:r>
                          <w:rPr>
                            <w:spacing w:val="-26"/>
                            <w:sz w:val="19"/>
                          </w:rPr>
                          <w:t>.00145</w:t>
                        </w:r>
                      </w:p>
                      <w:p>
                        <w:pPr>
                          <w:pStyle w:val="TableParagraph"/>
                          <w:spacing w:line="208" w:lineRule="exact"/>
                          <w:ind w:left="208" w:right="-17"/>
                          <w:rPr>
                            <w:sz w:val="19"/>
                          </w:rPr>
                        </w:pPr>
                        <w:r>
                          <w:rPr>
                            <w:spacing w:val="-20"/>
                            <w:sz w:val="19"/>
                          </w:rPr>
                          <w:t>.00149</w:t>
                        </w:r>
                      </w:p>
                    </w:tc>
                    <w:tc>
                      <w:tcPr>
                        <w:tcW w:w="747" w:type="dxa"/>
                        <w:tcBorders>
                          <w:top w:val="nil"/>
                          <w:left w:val="single" w:sz="7" w:space="0" w:color="000000"/>
                          <w:bottom w:val="nil"/>
                          <w:right w:val="single" w:sz="1" w:space="0" w:color="000000"/>
                        </w:tcBorders>
                      </w:tcPr>
                      <w:p>
                        <w:pPr>
                          <w:pStyle w:val="TableParagraph"/>
                          <w:spacing w:line="208" w:lineRule="exact" w:before="84"/>
                          <w:ind w:left="176" w:right="-3"/>
                          <w:rPr>
                            <w:sz w:val="19"/>
                          </w:rPr>
                        </w:pPr>
                        <w:r>
                          <w:rPr>
                            <w:spacing w:val="-13"/>
                            <w:w w:val="90"/>
                            <w:sz w:val="19"/>
                          </w:rPr>
                          <w:t>95,106</w:t>
                        </w:r>
                      </w:p>
                      <w:p>
                        <w:pPr>
                          <w:pStyle w:val="TableParagraph"/>
                          <w:spacing w:line="203" w:lineRule="exact"/>
                          <w:ind w:left="172" w:right="-3"/>
                          <w:rPr>
                            <w:sz w:val="19"/>
                          </w:rPr>
                        </w:pPr>
                        <w:r>
                          <w:rPr>
                            <w:spacing w:val="-18"/>
                            <w:w w:val="95"/>
                            <w:sz w:val="19"/>
                          </w:rPr>
                          <w:t>94,957</w:t>
                        </w:r>
                      </w:p>
                      <w:p>
                        <w:pPr>
                          <w:pStyle w:val="TableParagraph"/>
                          <w:spacing w:line="203" w:lineRule="exact"/>
                          <w:ind w:left="172" w:right="-3"/>
                          <w:rPr>
                            <w:sz w:val="19"/>
                          </w:rPr>
                        </w:pPr>
                        <w:r>
                          <w:rPr>
                            <w:spacing w:val="-14"/>
                            <w:w w:val="90"/>
                            <w:sz w:val="19"/>
                          </w:rPr>
                          <w:t>94,816</w:t>
                        </w:r>
                      </w:p>
                      <w:p>
                        <w:pPr>
                          <w:pStyle w:val="TableParagraph"/>
                          <w:spacing w:line="202" w:lineRule="exact"/>
                          <w:ind w:left="176" w:right="-3"/>
                          <w:rPr>
                            <w:sz w:val="19"/>
                          </w:rPr>
                        </w:pPr>
                        <w:r>
                          <w:rPr>
                            <w:spacing w:val="-26"/>
                            <w:sz w:val="19"/>
                          </w:rPr>
                          <w:t>94,679</w:t>
                        </w:r>
                      </w:p>
                      <w:p>
                        <w:pPr>
                          <w:pStyle w:val="TableParagraph"/>
                          <w:spacing w:line="208" w:lineRule="exact"/>
                          <w:ind w:left="176" w:right="-3"/>
                          <w:rPr>
                            <w:sz w:val="19"/>
                          </w:rPr>
                        </w:pPr>
                        <w:r>
                          <w:rPr>
                            <w:w w:val="75"/>
                            <w:sz w:val="19"/>
                          </w:rPr>
                          <w:t>94,542</w:t>
                        </w:r>
                      </w:p>
                    </w:tc>
                    <w:tc>
                      <w:tcPr>
                        <w:tcW w:w="850" w:type="dxa"/>
                        <w:gridSpan w:val="2"/>
                        <w:tcBorders>
                          <w:top w:val="nil"/>
                          <w:left w:val="single" w:sz="1" w:space="0" w:color="000000"/>
                          <w:bottom w:val="nil"/>
                          <w:right w:val="single" w:sz="16" w:space="0" w:color="000000"/>
                        </w:tcBorders>
                      </w:tcPr>
                      <w:p>
                        <w:pPr>
                          <w:pStyle w:val="TableParagraph"/>
                          <w:spacing w:line="208" w:lineRule="exact" w:before="81"/>
                          <w:ind w:left="444" w:right="-9"/>
                          <w:rPr>
                            <w:sz w:val="19"/>
                          </w:rPr>
                        </w:pPr>
                        <w:r>
                          <w:rPr>
                            <w:sz w:val="19"/>
                          </w:rPr>
                          <w:t>149</w:t>
                        </w:r>
                      </w:p>
                      <w:p>
                        <w:pPr>
                          <w:pStyle w:val="TableParagraph"/>
                          <w:spacing w:line="202" w:lineRule="exact"/>
                          <w:ind w:left="444" w:right="-9"/>
                          <w:rPr>
                            <w:sz w:val="19"/>
                          </w:rPr>
                        </w:pPr>
                        <w:r>
                          <w:rPr>
                            <w:sz w:val="19"/>
                          </w:rPr>
                          <w:t>141</w:t>
                        </w:r>
                      </w:p>
                      <w:p>
                        <w:pPr>
                          <w:pStyle w:val="TableParagraph"/>
                          <w:spacing w:line="202" w:lineRule="exact"/>
                          <w:ind w:left="444" w:right="-9"/>
                          <w:rPr>
                            <w:sz w:val="19"/>
                          </w:rPr>
                        </w:pPr>
                        <w:r>
                          <w:rPr>
                            <w:w w:val="95"/>
                            <w:sz w:val="19"/>
                          </w:rPr>
                          <w:t>137</w:t>
                        </w:r>
                      </w:p>
                      <w:p>
                        <w:pPr>
                          <w:pStyle w:val="TableParagraph"/>
                          <w:spacing w:line="200" w:lineRule="exact"/>
                          <w:ind w:left="444" w:right="-9"/>
                          <w:rPr>
                            <w:sz w:val="19"/>
                          </w:rPr>
                        </w:pPr>
                        <w:r>
                          <w:rPr>
                            <w:w w:val="95"/>
                            <w:sz w:val="19"/>
                          </w:rPr>
                          <w:t>137</w:t>
                        </w:r>
                      </w:p>
                      <w:p>
                        <w:pPr>
                          <w:pStyle w:val="TableParagraph"/>
                          <w:spacing w:line="207" w:lineRule="exact"/>
                          <w:ind w:left="444" w:right="-9"/>
                          <w:rPr>
                            <w:sz w:val="19"/>
                          </w:rPr>
                        </w:pPr>
                        <w:r>
                          <w:rPr>
                            <w:w w:val="85"/>
                            <w:sz w:val="19"/>
                          </w:rPr>
                          <w:t>141</w:t>
                        </w:r>
                      </w:p>
                    </w:tc>
                    <w:tc>
                      <w:tcPr>
                        <w:tcW w:w="382" w:type="dxa"/>
                        <w:tcBorders>
                          <w:top w:val="nil"/>
                          <w:left w:val="single" w:sz="16" w:space="0" w:color="000000"/>
                          <w:bottom w:val="nil"/>
                          <w:right w:val="single" w:sz="1" w:space="0" w:color="000000"/>
                        </w:tcBorders>
                      </w:tcPr>
                      <w:p>
                        <w:pPr>
                          <w:pStyle w:val="TableParagraph"/>
                          <w:spacing w:line="210" w:lineRule="exact" w:before="84"/>
                          <w:ind w:left="131" w:right="-13"/>
                          <w:rPr>
                            <w:sz w:val="19"/>
                          </w:rPr>
                        </w:pPr>
                        <w:r>
                          <w:rPr>
                            <w:w w:val="90"/>
                            <w:sz w:val="19"/>
                          </w:rPr>
                          <w:t>65</w:t>
                        </w:r>
                      </w:p>
                      <w:p>
                        <w:pPr>
                          <w:pStyle w:val="TableParagraph"/>
                          <w:spacing w:line="200" w:lineRule="exact"/>
                          <w:ind w:left="127" w:right="-4"/>
                          <w:rPr>
                            <w:sz w:val="19"/>
                          </w:rPr>
                        </w:pPr>
                        <w:r>
                          <w:rPr>
                            <w:w w:val="95"/>
                            <w:sz w:val="19"/>
                          </w:rPr>
                          <w:t>66</w:t>
                        </w:r>
                      </w:p>
                      <w:p>
                        <w:pPr>
                          <w:pStyle w:val="TableParagraph"/>
                          <w:spacing w:line="202" w:lineRule="exact"/>
                          <w:ind w:left="135" w:right="-13"/>
                          <w:rPr>
                            <w:sz w:val="19"/>
                          </w:rPr>
                        </w:pPr>
                        <w:r>
                          <w:rPr>
                            <w:spacing w:val="-23"/>
                            <w:w w:val="105"/>
                            <w:sz w:val="19"/>
                          </w:rPr>
                          <w:t>67</w:t>
                        </w:r>
                      </w:p>
                      <w:p>
                        <w:pPr>
                          <w:pStyle w:val="TableParagraph"/>
                          <w:spacing w:line="203" w:lineRule="exact"/>
                          <w:ind w:left="135" w:right="-1"/>
                          <w:rPr>
                            <w:sz w:val="19"/>
                          </w:rPr>
                        </w:pPr>
                        <w:r>
                          <w:rPr>
                            <w:w w:val="90"/>
                            <w:sz w:val="19"/>
                          </w:rPr>
                          <w:t>68</w:t>
                        </w:r>
                      </w:p>
                      <w:p>
                        <w:pPr>
                          <w:pStyle w:val="TableParagraph"/>
                          <w:spacing w:line="207" w:lineRule="exact"/>
                          <w:ind w:left="131" w:right="-13"/>
                          <w:rPr>
                            <w:sz w:val="19"/>
                          </w:rPr>
                        </w:pPr>
                        <w:r>
                          <w:rPr>
                            <w:w w:val="90"/>
                            <w:sz w:val="19"/>
                          </w:rPr>
                          <w:t>69</w:t>
                        </w:r>
                      </w:p>
                    </w:tc>
                    <w:tc>
                      <w:tcPr>
                        <w:tcW w:w="900" w:type="dxa"/>
                        <w:gridSpan w:val="2"/>
                        <w:tcBorders>
                          <w:top w:val="nil"/>
                          <w:left w:val="single" w:sz="1" w:space="0" w:color="000000"/>
                          <w:bottom w:val="nil"/>
                        </w:tcBorders>
                      </w:tcPr>
                      <w:p>
                        <w:pPr>
                          <w:pStyle w:val="TableParagraph"/>
                          <w:spacing w:before="74"/>
                          <w:ind w:left="268" w:right="-6"/>
                          <w:rPr>
                            <w:rFonts w:ascii="Times New Roman"/>
                            <w:sz w:val="18"/>
                          </w:rPr>
                        </w:pPr>
                        <w:r>
                          <w:rPr>
                            <w:rFonts w:ascii="Times New Roman"/>
                            <w:sz w:val="18"/>
                          </w:rPr>
                          <w:t>.00389</w:t>
                        </w:r>
                      </w:p>
                      <w:p>
                        <w:pPr>
                          <w:pStyle w:val="TableParagraph"/>
                          <w:spacing w:line="208" w:lineRule="exact" w:before="1"/>
                          <w:ind w:left="268" w:right="-13"/>
                          <w:rPr>
                            <w:sz w:val="19"/>
                          </w:rPr>
                        </w:pPr>
                        <w:r>
                          <w:rPr>
                            <w:w w:val="90"/>
                            <w:sz w:val="19"/>
                          </w:rPr>
                          <w:t>.03652</w:t>
                        </w:r>
                      </w:p>
                      <w:p>
                        <w:pPr>
                          <w:pStyle w:val="TableParagraph"/>
                          <w:spacing w:line="188" w:lineRule="exact"/>
                          <w:ind w:left="271" w:right="-6"/>
                          <w:rPr>
                            <w:rFonts w:ascii="Times New Roman"/>
                            <w:sz w:val="17"/>
                          </w:rPr>
                        </w:pPr>
                        <w:r>
                          <w:rPr>
                            <w:rFonts w:ascii="Times New Roman"/>
                            <w:sz w:val="17"/>
                          </w:rPr>
                          <w:t>.03930</w:t>
                        </w:r>
                      </w:p>
                      <w:p>
                        <w:pPr>
                          <w:pStyle w:val="TableParagraph"/>
                          <w:spacing w:line="208" w:lineRule="exact" w:before="6"/>
                          <w:ind w:left="268" w:right="-13"/>
                          <w:rPr>
                            <w:sz w:val="19"/>
                          </w:rPr>
                        </w:pPr>
                        <w:r>
                          <w:rPr>
                            <w:w w:val="90"/>
                            <w:sz w:val="19"/>
                          </w:rPr>
                          <w:t>.04225</w:t>
                        </w:r>
                      </w:p>
                      <w:p>
                        <w:pPr>
                          <w:pStyle w:val="TableParagraph"/>
                          <w:spacing w:line="208" w:lineRule="exact"/>
                          <w:ind w:left="268" w:right="-6"/>
                          <w:rPr>
                            <w:sz w:val="19"/>
                          </w:rPr>
                        </w:pPr>
                        <w:r>
                          <w:rPr>
                            <w:spacing w:val="-16"/>
                            <w:w w:val="95"/>
                            <w:sz w:val="19"/>
                          </w:rPr>
                          <w:t>.04538</w:t>
                        </w:r>
                      </w:p>
                    </w:tc>
                    <w:tc>
                      <w:tcPr>
                        <w:tcW w:w="839" w:type="dxa"/>
                        <w:tcBorders>
                          <w:top w:val="nil"/>
                          <w:bottom w:val="nil"/>
                          <w:right w:val="single" w:sz="10" w:space="0" w:color="000000"/>
                        </w:tcBorders>
                      </w:tcPr>
                      <w:p>
                        <w:pPr>
                          <w:pStyle w:val="TableParagraph"/>
                          <w:spacing w:before="76"/>
                          <w:ind w:left="176" w:right="-15"/>
                          <w:rPr>
                            <w:rFonts w:ascii="Times New Roman"/>
                            <w:sz w:val="17"/>
                          </w:rPr>
                        </w:pPr>
                        <w:r>
                          <w:rPr>
                            <w:rFonts w:ascii="Times New Roman"/>
                            <w:sz w:val="17"/>
                          </w:rPr>
                          <w:t>65,834</w:t>
                        </w:r>
                      </w:p>
                      <w:p>
                        <w:pPr>
                          <w:pStyle w:val="TableParagraph"/>
                          <w:spacing w:line="208" w:lineRule="exact" w:before="6"/>
                          <w:ind w:left="176" w:right="-15"/>
                          <w:rPr>
                            <w:sz w:val="19"/>
                          </w:rPr>
                        </w:pPr>
                        <w:r>
                          <w:rPr>
                            <w:w w:val="85"/>
                            <w:sz w:val="19"/>
                          </w:rPr>
                          <w:t>63,603</w:t>
                        </w:r>
                      </w:p>
                      <w:p>
                        <w:pPr>
                          <w:pStyle w:val="TableParagraph"/>
                          <w:spacing w:line="202" w:lineRule="exact"/>
                          <w:ind w:left="176" w:right="-15"/>
                          <w:rPr>
                            <w:sz w:val="19"/>
                          </w:rPr>
                        </w:pPr>
                        <w:r>
                          <w:rPr>
                            <w:w w:val="90"/>
                            <w:sz w:val="19"/>
                          </w:rPr>
                          <w:t>61,280</w:t>
                        </w:r>
                      </w:p>
                      <w:p>
                        <w:pPr>
                          <w:pStyle w:val="TableParagraph"/>
                          <w:spacing w:line="225" w:lineRule="auto" w:before="2"/>
                          <w:ind w:left="176" w:right="-15"/>
                          <w:rPr>
                            <w:sz w:val="19"/>
                          </w:rPr>
                        </w:pPr>
                        <w:r>
                          <w:rPr>
                            <w:w w:val="60"/>
                            <w:sz w:val="19"/>
                          </w:rPr>
                          <w:t>58,trll </w:t>
                        </w:r>
                        <w:r>
                          <w:rPr>
                            <w:w w:val="75"/>
                            <w:sz w:val="19"/>
                          </w:rPr>
                          <w:t>56,384</w:t>
                        </w:r>
                      </w:p>
                    </w:tc>
                    <w:tc>
                      <w:tcPr>
                        <w:tcW w:w="749" w:type="dxa"/>
                        <w:tcBorders>
                          <w:top w:val="nil"/>
                          <w:left w:val="single" w:sz="10" w:space="0" w:color="000000"/>
                          <w:bottom w:val="nil"/>
                          <w:right w:val="nil"/>
                        </w:tcBorders>
                      </w:tcPr>
                      <w:p>
                        <w:pPr>
                          <w:pStyle w:val="TableParagraph"/>
                          <w:spacing w:line="210" w:lineRule="exact" w:before="70"/>
                          <w:ind w:left="170" w:right="-3"/>
                          <w:rPr>
                            <w:sz w:val="19"/>
                          </w:rPr>
                        </w:pPr>
                        <w:r>
                          <w:rPr>
                            <w:w w:val="90"/>
                            <w:sz w:val="19"/>
                          </w:rPr>
                          <w:t>2,231</w:t>
                        </w:r>
                      </w:p>
                      <w:p>
                        <w:pPr>
                          <w:pStyle w:val="TableParagraph"/>
                          <w:spacing w:line="203" w:lineRule="exact"/>
                          <w:ind w:left="167" w:right="-3"/>
                          <w:rPr>
                            <w:sz w:val="19"/>
                          </w:rPr>
                        </w:pPr>
                        <w:r>
                          <w:rPr>
                            <w:w w:val="95"/>
                            <w:sz w:val="19"/>
                          </w:rPr>
                          <w:t>2,323</w:t>
                        </w:r>
                      </w:p>
                      <w:p>
                        <w:pPr>
                          <w:pStyle w:val="TableParagraph"/>
                          <w:spacing w:line="200" w:lineRule="exact"/>
                          <w:ind w:left="167" w:right="-3"/>
                          <w:rPr>
                            <w:sz w:val="19"/>
                          </w:rPr>
                        </w:pPr>
                        <w:r>
                          <w:rPr>
                            <w:w w:val="95"/>
                            <w:sz w:val="19"/>
                          </w:rPr>
                          <w:t>2,409</w:t>
                        </w:r>
                      </w:p>
                      <w:p>
                        <w:pPr>
                          <w:pStyle w:val="TableParagraph"/>
                          <w:spacing w:line="202" w:lineRule="exact"/>
                          <w:ind w:left="167" w:right="-3"/>
                          <w:rPr>
                            <w:sz w:val="19"/>
                          </w:rPr>
                        </w:pPr>
                        <w:r>
                          <w:rPr>
                            <w:spacing w:val="-18"/>
                            <w:sz w:val="19"/>
                          </w:rPr>
                          <w:t>2,487</w:t>
                        </w:r>
                      </w:p>
                      <w:p>
                        <w:pPr>
                          <w:pStyle w:val="TableParagraph"/>
                          <w:spacing w:line="210" w:lineRule="exact"/>
                          <w:ind w:left="170" w:right="-3"/>
                          <w:rPr>
                            <w:sz w:val="19"/>
                          </w:rPr>
                        </w:pPr>
                        <w:r>
                          <w:rPr>
                            <w:w w:val="90"/>
                            <w:sz w:val="19"/>
                          </w:rPr>
                          <w:t>2,559</w:t>
                        </w:r>
                      </w:p>
                    </w:tc>
                  </w:tr>
                  <w:tr>
                    <w:trPr>
                      <w:trHeight w:val="1195" w:hRule="exact"/>
                    </w:trPr>
                    <w:tc>
                      <w:tcPr>
                        <w:tcW w:w="448" w:type="dxa"/>
                        <w:tcBorders>
                          <w:top w:val="nil"/>
                          <w:left w:val="nil"/>
                          <w:bottom w:val="nil"/>
                          <w:right w:val="single" w:sz="4" w:space="0" w:color="000000"/>
                        </w:tcBorders>
                      </w:tcPr>
                      <w:p>
                        <w:pPr>
                          <w:pStyle w:val="TableParagraph"/>
                          <w:spacing w:before="107"/>
                          <w:ind w:left="147"/>
                          <w:rPr>
                            <w:rFonts w:ascii="Times New Roman"/>
                            <w:sz w:val="16"/>
                          </w:rPr>
                        </w:pPr>
                        <w:r>
                          <w:rPr>
                            <w:rFonts w:ascii="Times New Roman"/>
                            <w:w w:val="110"/>
                            <w:sz w:val="16"/>
                          </w:rPr>
                          <w:t>30</w:t>
                        </w:r>
                      </w:p>
                      <w:p>
                        <w:pPr>
                          <w:pStyle w:val="TableParagraph"/>
                          <w:spacing w:before="1"/>
                          <w:ind w:left="144"/>
                          <w:rPr>
                            <w:sz w:val="19"/>
                          </w:rPr>
                        </w:pPr>
                        <w:r>
                          <w:rPr>
                            <w:sz w:val="19"/>
                          </w:rPr>
                          <w:t>31</w:t>
                        </w:r>
                      </w:p>
                      <w:p>
                        <w:pPr>
                          <w:pStyle w:val="TableParagraph"/>
                          <w:spacing w:before="4"/>
                          <w:ind w:left="140"/>
                          <w:rPr>
                            <w:rFonts w:ascii="Arial"/>
                            <w:sz w:val="15"/>
                          </w:rPr>
                        </w:pPr>
                        <w:r>
                          <w:rPr>
                            <w:rFonts w:ascii="Arial"/>
                            <w:w w:val="105"/>
                            <w:sz w:val="15"/>
                          </w:rPr>
                          <w:t>32</w:t>
                        </w:r>
                      </w:p>
                      <w:p>
                        <w:pPr>
                          <w:pStyle w:val="TableParagraph"/>
                          <w:spacing w:before="19"/>
                          <w:ind w:left="144"/>
                          <w:rPr>
                            <w:rFonts w:ascii="Arial"/>
                            <w:sz w:val="16"/>
                          </w:rPr>
                        </w:pPr>
                        <w:r>
                          <w:rPr>
                            <w:rFonts w:ascii="Arial"/>
                            <w:sz w:val="16"/>
                          </w:rPr>
                          <w:t>33</w:t>
                        </w:r>
                      </w:p>
                      <w:p>
                        <w:pPr>
                          <w:pStyle w:val="TableParagraph"/>
                          <w:spacing w:before="11"/>
                          <w:ind w:left="144"/>
                          <w:rPr>
                            <w:rFonts w:ascii="Times New Roman"/>
                            <w:sz w:val="16"/>
                          </w:rPr>
                        </w:pPr>
                        <w:r>
                          <w:rPr>
                            <w:rFonts w:ascii="Times New Roman"/>
                            <w:w w:val="105"/>
                            <w:sz w:val="16"/>
                          </w:rPr>
                          <w:t>34</w:t>
                        </w:r>
                      </w:p>
                    </w:tc>
                    <w:tc>
                      <w:tcPr>
                        <w:tcW w:w="832" w:type="dxa"/>
                        <w:tcBorders>
                          <w:top w:val="nil"/>
                          <w:left w:val="single" w:sz="4" w:space="0" w:color="000000"/>
                          <w:bottom w:val="nil"/>
                          <w:right w:val="single" w:sz="7" w:space="0" w:color="000000"/>
                        </w:tcBorders>
                      </w:tcPr>
                      <w:p>
                        <w:pPr>
                          <w:pStyle w:val="TableParagraph"/>
                          <w:spacing w:line="208" w:lineRule="exact" w:before="95"/>
                          <w:ind w:left="212" w:right="-17"/>
                          <w:rPr>
                            <w:sz w:val="19"/>
                          </w:rPr>
                        </w:pPr>
                        <w:r>
                          <w:rPr>
                            <w:spacing w:val="-13"/>
                            <w:w w:val="90"/>
                            <w:sz w:val="19"/>
                          </w:rPr>
                          <w:t>.00156</w:t>
                        </w:r>
                      </w:p>
                      <w:p>
                        <w:pPr>
                          <w:pStyle w:val="TableParagraph"/>
                          <w:spacing w:line="200" w:lineRule="exact"/>
                          <w:ind w:left="212" w:right="-17"/>
                          <w:rPr>
                            <w:sz w:val="19"/>
                          </w:rPr>
                        </w:pPr>
                        <w:r>
                          <w:rPr>
                            <w:spacing w:val="-18"/>
                            <w:w w:val="95"/>
                            <w:sz w:val="19"/>
                          </w:rPr>
                          <w:t>.00163</w:t>
                        </w:r>
                      </w:p>
                      <w:p>
                        <w:pPr>
                          <w:pStyle w:val="TableParagraph"/>
                          <w:spacing w:line="200" w:lineRule="exact"/>
                          <w:ind w:left="208" w:right="-17"/>
                          <w:rPr>
                            <w:sz w:val="19"/>
                          </w:rPr>
                        </w:pPr>
                        <w:r>
                          <w:rPr>
                            <w:spacing w:val="-21"/>
                            <w:w w:val="95"/>
                            <w:sz w:val="19"/>
                          </w:rPr>
                          <w:t>.00171</w:t>
                        </w:r>
                      </w:p>
                      <w:p>
                        <w:pPr>
                          <w:pStyle w:val="TableParagraph"/>
                          <w:spacing w:line="200" w:lineRule="exact"/>
                          <w:ind w:left="212" w:right="-17"/>
                          <w:rPr>
                            <w:sz w:val="19"/>
                          </w:rPr>
                        </w:pPr>
                        <w:r>
                          <w:rPr>
                            <w:spacing w:val="-24"/>
                            <w:sz w:val="19"/>
                          </w:rPr>
                          <w:t>.00181</w:t>
                        </w:r>
                      </w:p>
                      <w:p>
                        <w:pPr>
                          <w:pStyle w:val="TableParagraph"/>
                          <w:spacing w:line="207" w:lineRule="exact"/>
                          <w:ind w:left="212" w:right="-17"/>
                          <w:rPr>
                            <w:sz w:val="19"/>
                          </w:rPr>
                        </w:pPr>
                        <w:r>
                          <w:rPr>
                            <w:spacing w:val="-22"/>
                            <w:sz w:val="19"/>
                          </w:rPr>
                          <w:t>.00193</w:t>
                        </w:r>
                      </w:p>
                    </w:tc>
                    <w:tc>
                      <w:tcPr>
                        <w:tcW w:w="747" w:type="dxa"/>
                        <w:tcBorders>
                          <w:top w:val="nil"/>
                          <w:left w:val="single" w:sz="7" w:space="0" w:color="000000"/>
                          <w:bottom w:val="nil"/>
                          <w:right w:val="single" w:sz="1" w:space="0" w:color="000000"/>
                        </w:tcBorders>
                      </w:tcPr>
                      <w:p>
                        <w:pPr>
                          <w:pStyle w:val="TableParagraph"/>
                          <w:spacing w:line="208" w:lineRule="exact" w:before="88"/>
                          <w:ind w:left="180" w:right="-3"/>
                          <w:rPr>
                            <w:sz w:val="19"/>
                          </w:rPr>
                        </w:pPr>
                        <w:r>
                          <w:rPr>
                            <w:spacing w:val="-18"/>
                            <w:w w:val="90"/>
                            <w:sz w:val="19"/>
                          </w:rPr>
                          <w:t>94,401</w:t>
                        </w:r>
                      </w:p>
                      <w:p>
                        <w:pPr>
                          <w:pStyle w:val="TableParagraph"/>
                          <w:spacing w:line="200" w:lineRule="exact"/>
                          <w:ind w:left="180" w:right="-12"/>
                          <w:rPr>
                            <w:sz w:val="19"/>
                          </w:rPr>
                        </w:pPr>
                        <w:r>
                          <w:rPr>
                            <w:w w:val="80"/>
                            <w:sz w:val="19"/>
                          </w:rPr>
                          <w:t>94,254</w:t>
                        </w:r>
                      </w:p>
                      <w:p>
                        <w:pPr>
                          <w:pStyle w:val="TableParagraph"/>
                          <w:spacing w:line="200" w:lineRule="exact"/>
                          <w:ind w:left="180" w:right="-3"/>
                          <w:rPr>
                            <w:sz w:val="19"/>
                          </w:rPr>
                        </w:pPr>
                        <w:r>
                          <w:rPr>
                            <w:spacing w:val="-10"/>
                            <w:w w:val="85"/>
                            <w:sz w:val="19"/>
                          </w:rPr>
                          <w:t>94,100</w:t>
                        </w:r>
                      </w:p>
                      <w:p>
                        <w:pPr>
                          <w:pStyle w:val="TableParagraph"/>
                          <w:spacing w:line="200" w:lineRule="exact"/>
                          <w:ind w:left="183" w:right="-3"/>
                          <w:rPr>
                            <w:sz w:val="19"/>
                          </w:rPr>
                        </w:pPr>
                        <w:r>
                          <w:rPr>
                            <w:spacing w:val="-19"/>
                            <w:w w:val="90"/>
                            <w:sz w:val="19"/>
                          </w:rPr>
                          <w:t>93,939</w:t>
                        </w:r>
                      </w:p>
                      <w:p>
                        <w:pPr>
                          <w:pStyle w:val="TableParagraph"/>
                          <w:spacing w:line="207" w:lineRule="exact"/>
                          <w:ind w:left="183" w:right="-3"/>
                          <w:rPr>
                            <w:sz w:val="19"/>
                          </w:rPr>
                        </w:pPr>
                        <w:r>
                          <w:rPr>
                            <w:spacing w:val="-14"/>
                            <w:w w:val="90"/>
                            <w:sz w:val="19"/>
                          </w:rPr>
                          <w:t>93,7G9</w:t>
                        </w:r>
                      </w:p>
                    </w:tc>
                    <w:tc>
                      <w:tcPr>
                        <w:tcW w:w="850" w:type="dxa"/>
                        <w:gridSpan w:val="2"/>
                        <w:tcBorders>
                          <w:top w:val="nil"/>
                          <w:left w:val="single" w:sz="1" w:space="0" w:color="000000"/>
                          <w:bottom w:val="nil"/>
                          <w:right w:val="single" w:sz="10" w:space="0" w:color="000000"/>
                        </w:tcBorders>
                      </w:tcPr>
                      <w:p>
                        <w:pPr>
                          <w:pStyle w:val="TableParagraph"/>
                          <w:spacing w:line="208" w:lineRule="exact" w:before="77"/>
                          <w:ind w:left="448"/>
                          <w:rPr>
                            <w:sz w:val="19"/>
                          </w:rPr>
                        </w:pPr>
                        <w:r>
                          <w:rPr>
                            <w:w w:val="90"/>
                            <w:sz w:val="19"/>
                          </w:rPr>
                          <w:t>147</w:t>
                        </w:r>
                      </w:p>
                      <w:p>
                        <w:pPr>
                          <w:pStyle w:val="TableParagraph"/>
                          <w:spacing w:line="202" w:lineRule="exact"/>
                          <w:ind w:left="448"/>
                          <w:rPr>
                            <w:sz w:val="19"/>
                          </w:rPr>
                        </w:pPr>
                        <w:r>
                          <w:rPr>
                            <w:w w:val="85"/>
                            <w:sz w:val="19"/>
                          </w:rPr>
                          <w:t>154</w:t>
                        </w:r>
                      </w:p>
                      <w:p>
                        <w:pPr>
                          <w:pStyle w:val="TableParagraph"/>
                          <w:spacing w:line="202" w:lineRule="exact"/>
                          <w:ind w:left="448"/>
                          <w:rPr>
                            <w:sz w:val="19"/>
                          </w:rPr>
                        </w:pPr>
                        <w:r>
                          <w:rPr>
                            <w:w w:val="85"/>
                            <w:sz w:val="19"/>
                          </w:rPr>
                          <w:t>161</w:t>
                        </w:r>
                      </w:p>
                      <w:p>
                        <w:pPr>
                          <w:pStyle w:val="TableParagraph"/>
                          <w:spacing w:line="200" w:lineRule="exact"/>
                          <w:ind w:left="448"/>
                          <w:rPr>
                            <w:sz w:val="19"/>
                          </w:rPr>
                        </w:pPr>
                        <w:r>
                          <w:rPr>
                            <w:sz w:val="19"/>
                          </w:rPr>
                          <w:t>170</w:t>
                        </w:r>
                      </w:p>
                      <w:p>
                        <w:pPr>
                          <w:pStyle w:val="TableParagraph"/>
                          <w:spacing w:line="207" w:lineRule="exact"/>
                          <w:ind w:left="451"/>
                          <w:rPr>
                            <w:sz w:val="19"/>
                          </w:rPr>
                        </w:pPr>
                        <w:r>
                          <w:rPr>
                            <w:w w:val="95"/>
                            <w:sz w:val="19"/>
                          </w:rPr>
                          <w:t>180</w:t>
                        </w:r>
                      </w:p>
                    </w:tc>
                    <w:tc>
                      <w:tcPr>
                        <w:tcW w:w="382" w:type="dxa"/>
                        <w:tcBorders>
                          <w:top w:val="nil"/>
                          <w:left w:val="single" w:sz="10" w:space="0" w:color="000000"/>
                          <w:bottom w:val="nil"/>
                          <w:right w:val="single" w:sz="1" w:space="0" w:color="000000"/>
                        </w:tcBorders>
                      </w:tcPr>
                      <w:p>
                        <w:pPr>
                          <w:pStyle w:val="TableParagraph"/>
                          <w:spacing w:line="207" w:lineRule="exact" w:before="84"/>
                          <w:ind w:left="142" w:right="-8"/>
                          <w:rPr>
                            <w:sz w:val="19"/>
                          </w:rPr>
                        </w:pPr>
                        <w:r>
                          <w:rPr>
                            <w:spacing w:val="-19"/>
                            <w:w w:val="110"/>
                            <w:sz w:val="19"/>
                          </w:rPr>
                          <w:t>70</w:t>
                        </w:r>
                      </w:p>
                      <w:p>
                        <w:pPr>
                          <w:pStyle w:val="TableParagraph"/>
                          <w:spacing w:line="200" w:lineRule="exact"/>
                          <w:ind w:left="142" w:right="-12"/>
                          <w:rPr>
                            <w:sz w:val="19"/>
                          </w:rPr>
                        </w:pPr>
                        <w:r>
                          <w:rPr>
                            <w:w w:val="95"/>
                            <w:sz w:val="19"/>
                          </w:rPr>
                          <w:t>71</w:t>
                        </w:r>
                      </w:p>
                      <w:p>
                        <w:pPr>
                          <w:pStyle w:val="TableParagraph"/>
                          <w:spacing w:line="202" w:lineRule="exact"/>
                          <w:ind w:left="142" w:right="-8"/>
                          <w:rPr>
                            <w:sz w:val="19"/>
                          </w:rPr>
                        </w:pPr>
                        <w:r>
                          <w:rPr>
                            <w:spacing w:val="-17"/>
                            <w:sz w:val="19"/>
                          </w:rPr>
                          <w:t>72</w:t>
                        </w:r>
                      </w:p>
                      <w:p>
                        <w:pPr>
                          <w:pStyle w:val="TableParagraph"/>
                          <w:spacing w:line="200" w:lineRule="exact"/>
                          <w:ind w:left="145" w:right="-8"/>
                          <w:rPr>
                            <w:sz w:val="19"/>
                          </w:rPr>
                        </w:pPr>
                        <w:r>
                          <w:rPr>
                            <w:spacing w:val="-19"/>
                            <w:sz w:val="19"/>
                          </w:rPr>
                          <w:t>73</w:t>
                        </w:r>
                      </w:p>
                      <w:p>
                        <w:pPr>
                          <w:pStyle w:val="TableParagraph"/>
                          <w:spacing w:line="207" w:lineRule="exact"/>
                          <w:ind w:left="145" w:right="-8"/>
                          <w:rPr>
                            <w:sz w:val="19"/>
                          </w:rPr>
                        </w:pPr>
                        <w:r>
                          <w:rPr>
                            <w:spacing w:val="-19"/>
                            <w:w w:val="105"/>
                            <w:sz w:val="19"/>
                          </w:rPr>
                          <w:t>74</w:t>
                        </w:r>
                      </w:p>
                    </w:tc>
                    <w:tc>
                      <w:tcPr>
                        <w:tcW w:w="900" w:type="dxa"/>
                        <w:gridSpan w:val="2"/>
                        <w:tcBorders>
                          <w:top w:val="nil"/>
                          <w:left w:val="single" w:sz="1" w:space="0" w:color="000000"/>
                          <w:bottom w:val="nil"/>
                        </w:tcBorders>
                      </w:tcPr>
                      <w:p>
                        <w:pPr>
                          <w:pStyle w:val="TableParagraph"/>
                          <w:spacing w:line="207" w:lineRule="exact" w:before="81"/>
                          <w:ind w:left="271" w:right="-6"/>
                          <w:rPr>
                            <w:sz w:val="19"/>
                          </w:rPr>
                        </w:pPr>
                        <w:r>
                          <w:rPr>
                            <w:w w:val="70"/>
                            <w:sz w:val="19"/>
                          </w:rPr>
                          <w:t>.04trll</w:t>
                        </w:r>
                      </w:p>
                      <w:p>
                        <w:pPr>
                          <w:pStyle w:val="TableParagraph"/>
                          <w:spacing w:line="200" w:lineRule="exact"/>
                          <w:ind w:left="275" w:right="-20"/>
                          <w:rPr>
                            <w:sz w:val="19"/>
                          </w:rPr>
                        </w:pPr>
                        <w:r>
                          <w:rPr>
                            <w:w w:val="90"/>
                            <w:sz w:val="19"/>
                          </w:rPr>
                          <w:t>.05230</w:t>
                        </w:r>
                      </w:p>
                      <w:p>
                        <w:pPr>
                          <w:pStyle w:val="TableParagraph"/>
                          <w:spacing w:line="197" w:lineRule="exact"/>
                          <w:ind w:left="275" w:right="-6"/>
                          <w:rPr>
                            <w:sz w:val="19"/>
                          </w:rPr>
                        </w:pPr>
                        <w:r>
                          <w:rPr>
                            <w:w w:val="80"/>
                            <w:sz w:val="19"/>
                          </w:rPr>
                          <w:t>.05623</w:t>
                        </w:r>
                      </w:p>
                      <w:p>
                        <w:pPr>
                          <w:pStyle w:val="TableParagraph"/>
                          <w:spacing w:line="195" w:lineRule="exact"/>
                          <w:ind w:left="275" w:right="-6"/>
                          <w:rPr>
                            <w:rFonts w:ascii="Times New Roman"/>
                            <w:sz w:val="18"/>
                          </w:rPr>
                        </w:pPr>
                        <w:r>
                          <w:rPr>
                            <w:rFonts w:ascii="Times New Roman"/>
                            <w:sz w:val="18"/>
                          </w:rPr>
                          <w:t>.06060</w:t>
                        </w:r>
                      </w:p>
                      <w:p>
                        <w:pPr>
                          <w:pStyle w:val="TableParagraph"/>
                          <w:ind w:left="275" w:right="-6"/>
                          <w:rPr>
                            <w:rFonts w:ascii="Times New Roman"/>
                            <w:sz w:val="17"/>
                          </w:rPr>
                        </w:pPr>
                        <w:r>
                          <w:rPr>
                            <w:rFonts w:ascii="Times New Roman"/>
                            <w:sz w:val="17"/>
                          </w:rPr>
                          <w:t>.06542</w:t>
                        </w:r>
                      </w:p>
                    </w:tc>
                    <w:tc>
                      <w:tcPr>
                        <w:tcW w:w="839" w:type="dxa"/>
                        <w:tcBorders>
                          <w:top w:val="nil"/>
                          <w:bottom w:val="nil"/>
                        </w:tcBorders>
                      </w:tcPr>
                      <w:p>
                        <w:pPr>
                          <w:pStyle w:val="TableParagraph"/>
                          <w:spacing w:line="207" w:lineRule="exact" w:before="77"/>
                          <w:ind w:left="179" w:right="-18"/>
                          <w:rPr>
                            <w:sz w:val="19"/>
                          </w:rPr>
                        </w:pPr>
                        <w:r>
                          <w:rPr>
                            <w:w w:val="85"/>
                            <w:sz w:val="19"/>
                          </w:rPr>
                          <w:t>53,825</w:t>
                        </w:r>
                      </w:p>
                      <w:p>
                        <w:pPr>
                          <w:pStyle w:val="TableParagraph"/>
                          <w:spacing w:line="200" w:lineRule="exact"/>
                          <w:ind w:left="179" w:right="-18"/>
                          <w:rPr>
                            <w:sz w:val="19"/>
                          </w:rPr>
                        </w:pPr>
                        <w:r>
                          <w:rPr>
                            <w:w w:val="85"/>
                            <w:sz w:val="19"/>
                          </w:rPr>
                          <w:t>51,204</w:t>
                        </w:r>
                      </w:p>
                      <w:p>
                        <w:pPr>
                          <w:pStyle w:val="TableParagraph"/>
                          <w:spacing w:line="200" w:lineRule="exact"/>
                          <w:ind w:left="176" w:right="-18"/>
                          <w:rPr>
                            <w:sz w:val="19"/>
                          </w:rPr>
                        </w:pPr>
                        <w:r>
                          <w:rPr>
                            <w:spacing w:val="-14"/>
                            <w:w w:val="95"/>
                            <w:sz w:val="19"/>
                          </w:rPr>
                          <w:t>48,526</w:t>
                        </w:r>
                      </w:p>
                      <w:p>
                        <w:pPr>
                          <w:pStyle w:val="TableParagraph"/>
                          <w:spacing w:line="204" w:lineRule="exact"/>
                          <w:ind w:left="179" w:right="-18"/>
                          <w:rPr>
                            <w:sz w:val="19"/>
                          </w:rPr>
                        </w:pPr>
                        <w:r>
                          <w:rPr>
                            <w:spacing w:val="-26"/>
                            <w:sz w:val="19"/>
                          </w:rPr>
                          <w:t>45,797</w:t>
                        </w:r>
                      </w:p>
                      <w:p>
                        <w:pPr>
                          <w:pStyle w:val="TableParagraph"/>
                          <w:spacing w:line="182" w:lineRule="exact"/>
                          <w:ind w:left="179" w:right="-18"/>
                          <w:rPr>
                            <w:rFonts w:ascii="Times New Roman"/>
                            <w:sz w:val="16"/>
                          </w:rPr>
                        </w:pPr>
                        <w:r>
                          <w:rPr>
                            <w:rFonts w:ascii="Times New Roman"/>
                            <w:w w:val="110"/>
                            <w:sz w:val="16"/>
                          </w:rPr>
                          <w:t>43,022</w:t>
                        </w:r>
                      </w:p>
                    </w:tc>
                    <w:tc>
                      <w:tcPr>
                        <w:tcW w:w="749" w:type="dxa"/>
                        <w:tcBorders>
                          <w:top w:val="nil"/>
                          <w:bottom w:val="nil"/>
                          <w:right w:val="nil"/>
                        </w:tcBorders>
                      </w:tcPr>
                      <w:p>
                        <w:pPr>
                          <w:pStyle w:val="TableParagraph"/>
                          <w:spacing w:line="208" w:lineRule="exact" w:before="70"/>
                          <w:ind w:left="180"/>
                          <w:rPr>
                            <w:sz w:val="19"/>
                          </w:rPr>
                        </w:pPr>
                        <w:r>
                          <w:rPr>
                            <w:spacing w:val="-25"/>
                            <w:sz w:val="19"/>
                          </w:rPr>
                          <w:t>2,621</w:t>
                        </w:r>
                      </w:p>
                      <w:p>
                        <w:pPr>
                          <w:pStyle w:val="TableParagraph"/>
                          <w:spacing w:line="202" w:lineRule="exact"/>
                          <w:ind w:left="180"/>
                          <w:rPr>
                            <w:sz w:val="19"/>
                          </w:rPr>
                        </w:pPr>
                        <w:r>
                          <w:rPr>
                            <w:spacing w:val="-16"/>
                            <w:sz w:val="19"/>
                          </w:rPr>
                          <w:t>2,678</w:t>
                        </w:r>
                      </w:p>
                      <w:p>
                        <w:pPr>
                          <w:pStyle w:val="TableParagraph"/>
                          <w:spacing w:line="200" w:lineRule="exact"/>
                          <w:ind w:left="176"/>
                          <w:rPr>
                            <w:sz w:val="19"/>
                          </w:rPr>
                        </w:pPr>
                        <w:r>
                          <w:rPr>
                            <w:w w:val="90"/>
                            <w:sz w:val="19"/>
                          </w:rPr>
                          <w:t>2,729</w:t>
                        </w:r>
                      </w:p>
                      <w:p>
                        <w:pPr>
                          <w:pStyle w:val="TableParagraph"/>
                          <w:spacing w:line="203" w:lineRule="exact"/>
                          <w:ind w:left="180"/>
                          <w:rPr>
                            <w:sz w:val="19"/>
                          </w:rPr>
                        </w:pPr>
                        <w:r>
                          <w:rPr>
                            <w:spacing w:val="-23"/>
                            <w:sz w:val="19"/>
                          </w:rPr>
                          <w:t>2,775</w:t>
                        </w:r>
                      </w:p>
                      <w:p>
                        <w:pPr>
                          <w:pStyle w:val="TableParagraph"/>
                          <w:spacing w:line="212" w:lineRule="exact"/>
                          <w:ind w:left="143"/>
                          <w:rPr>
                            <w:sz w:val="19"/>
                          </w:rPr>
                        </w:pPr>
                        <w:r>
                          <w:rPr>
                            <w:w w:val="55"/>
                            <w:sz w:val="19"/>
                          </w:rPr>
                          <w:t>_</w:t>
                        </w:r>
                        <w:r>
                          <w:rPr>
                            <w:spacing w:val="12"/>
                            <w:w w:val="55"/>
                            <w:sz w:val="19"/>
                          </w:rPr>
                          <w:t>2</w:t>
                        </w:r>
                        <w:r>
                          <w:rPr>
                            <w:spacing w:val="-29"/>
                            <w:w w:val="71"/>
                            <w:sz w:val="19"/>
                          </w:rPr>
                          <w:t>,</w:t>
                        </w:r>
                        <w:r>
                          <w:rPr>
                            <w:spacing w:val="-31"/>
                            <w:w w:val="108"/>
                            <w:sz w:val="19"/>
                          </w:rPr>
                          <w:t>8</w:t>
                        </w:r>
                        <w:r>
                          <w:rPr>
                            <w:w w:val="156"/>
                            <w:sz w:val="19"/>
                          </w:rPr>
                          <w:t>1</w:t>
                        </w:r>
                      </w:p>
                    </w:tc>
                  </w:tr>
                  <w:tr>
                    <w:trPr>
                      <w:trHeight w:val="502" w:hRule="exact"/>
                    </w:trPr>
                    <w:tc>
                      <w:tcPr>
                        <w:tcW w:w="448" w:type="dxa"/>
                        <w:vMerge w:val="restart"/>
                        <w:tcBorders>
                          <w:top w:val="nil"/>
                          <w:left w:val="nil"/>
                          <w:right w:val="single" w:sz="3" w:space="0" w:color="000000"/>
                        </w:tcBorders>
                      </w:tcPr>
                      <w:p>
                        <w:pPr>
                          <w:pStyle w:val="TableParagraph"/>
                          <w:spacing w:line="205" w:lineRule="exact" w:before="91"/>
                          <w:ind w:left="147"/>
                          <w:rPr>
                            <w:sz w:val="19"/>
                          </w:rPr>
                        </w:pPr>
                        <w:r>
                          <w:rPr>
                            <w:w w:val="95"/>
                            <w:sz w:val="19"/>
                          </w:rPr>
                          <w:t>35</w:t>
                        </w:r>
                      </w:p>
                      <w:p>
                        <w:pPr>
                          <w:pStyle w:val="TableParagraph"/>
                          <w:spacing w:line="196" w:lineRule="exact"/>
                          <w:ind w:left="147"/>
                          <w:rPr>
                            <w:sz w:val="19"/>
                          </w:rPr>
                        </w:pPr>
                        <w:r>
                          <w:rPr>
                            <w:sz w:val="19"/>
                          </w:rPr>
                          <w:t>36</w:t>
                        </w:r>
                      </w:p>
                      <w:p>
                        <w:pPr>
                          <w:pStyle w:val="TableParagraph"/>
                          <w:spacing w:line="202" w:lineRule="exact"/>
                          <w:ind w:left="147"/>
                          <w:rPr>
                            <w:sz w:val="19"/>
                          </w:rPr>
                        </w:pPr>
                        <w:r>
                          <w:rPr>
                            <w:sz w:val="19"/>
                          </w:rPr>
                          <w:t>37</w:t>
                        </w:r>
                      </w:p>
                      <w:p>
                        <w:pPr>
                          <w:pStyle w:val="TableParagraph"/>
                          <w:spacing w:line="180" w:lineRule="exact"/>
                          <w:ind w:left="151"/>
                          <w:rPr>
                            <w:rFonts w:ascii="Times New Roman"/>
                            <w:sz w:val="16"/>
                          </w:rPr>
                        </w:pPr>
                        <w:r>
                          <w:rPr>
                            <w:rFonts w:ascii="Times New Roman"/>
                            <w:w w:val="110"/>
                            <w:sz w:val="16"/>
                          </w:rPr>
                          <w:t>38</w:t>
                        </w:r>
                      </w:p>
                      <w:p>
                        <w:pPr>
                          <w:pStyle w:val="TableParagraph"/>
                          <w:spacing w:before="1"/>
                          <w:ind w:left="147"/>
                          <w:rPr>
                            <w:sz w:val="19"/>
                          </w:rPr>
                        </w:pPr>
                        <w:r>
                          <w:rPr>
                            <w:sz w:val="19"/>
                          </w:rPr>
                          <w:t>39</w:t>
                        </w:r>
                      </w:p>
                    </w:tc>
                    <w:tc>
                      <w:tcPr>
                        <w:tcW w:w="832" w:type="dxa"/>
                        <w:vMerge w:val="restart"/>
                        <w:tcBorders>
                          <w:top w:val="nil"/>
                          <w:left w:val="single" w:sz="3" w:space="0" w:color="000000"/>
                        </w:tcBorders>
                      </w:tcPr>
                      <w:p>
                        <w:pPr>
                          <w:pStyle w:val="TableParagraph"/>
                          <w:spacing w:line="198" w:lineRule="exact" w:before="103"/>
                          <w:ind w:left="217"/>
                          <w:rPr>
                            <w:sz w:val="18"/>
                          </w:rPr>
                        </w:pPr>
                        <w:r>
                          <w:rPr>
                            <w:w w:val="90"/>
                            <w:sz w:val="18"/>
                          </w:rPr>
                          <w:t>.00207</w:t>
                        </w:r>
                      </w:p>
                      <w:p>
                        <w:pPr>
                          <w:pStyle w:val="TableParagraph"/>
                          <w:spacing w:line="190" w:lineRule="exact"/>
                          <w:ind w:left="217"/>
                          <w:rPr>
                            <w:rFonts w:ascii="Times New Roman"/>
                            <w:sz w:val="17"/>
                          </w:rPr>
                        </w:pPr>
                        <w:r>
                          <w:rPr>
                            <w:rFonts w:ascii="Times New Roman"/>
                            <w:sz w:val="17"/>
                          </w:rPr>
                          <w:t>.00225</w:t>
                        </w:r>
                      </w:p>
                      <w:p>
                        <w:pPr>
                          <w:pStyle w:val="TableParagraph"/>
                          <w:spacing w:before="8"/>
                          <w:ind w:left="217"/>
                          <w:rPr>
                            <w:rFonts w:ascii="Times New Roman"/>
                            <w:sz w:val="16"/>
                          </w:rPr>
                        </w:pPr>
                        <w:r>
                          <w:rPr>
                            <w:rFonts w:ascii="Times New Roman"/>
                            <w:w w:val="105"/>
                            <w:sz w:val="16"/>
                          </w:rPr>
                          <w:t>.00246</w:t>
                        </w:r>
                      </w:p>
                      <w:p>
                        <w:pPr>
                          <w:pStyle w:val="TableParagraph"/>
                          <w:spacing w:before="14"/>
                          <w:ind w:left="221"/>
                          <w:rPr>
                            <w:rFonts w:ascii="Times New Roman"/>
                            <w:sz w:val="16"/>
                          </w:rPr>
                        </w:pPr>
                        <w:r>
                          <w:rPr>
                            <w:rFonts w:ascii="Times New Roman"/>
                            <w:w w:val="105"/>
                            <w:sz w:val="16"/>
                          </w:rPr>
                          <w:t>.00270</w:t>
                        </w:r>
                      </w:p>
                      <w:p>
                        <w:pPr>
                          <w:pStyle w:val="TableParagraph"/>
                          <w:spacing w:before="4"/>
                          <w:ind w:left="217"/>
                          <w:rPr>
                            <w:rFonts w:ascii="Times New Roman"/>
                            <w:sz w:val="17"/>
                          </w:rPr>
                        </w:pPr>
                        <w:r>
                          <w:rPr>
                            <w:rFonts w:ascii="Times New Roman"/>
                            <w:sz w:val="17"/>
                          </w:rPr>
                          <w:t>.00299</w:t>
                        </w:r>
                      </w:p>
                    </w:tc>
                    <w:tc>
                      <w:tcPr>
                        <w:tcW w:w="747" w:type="dxa"/>
                        <w:tcBorders>
                          <w:top w:val="nil"/>
                          <w:bottom w:val="nil"/>
                          <w:right w:val="single" w:sz="1" w:space="0" w:color="000000"/>
                        </w:tcBorders>
                      </w:tcPr>
                      <w:p>
                        <w:pPr>
                          <w:pStyle w:val="TableParagraph"/>
                          <w:spacing w:before="100"/>
                          <w:ind w:left="189" w:right="-19"/>
                          <w:rPr>
                            <w:rFonts w:ascii="Times New Roman"/>
                            <w:sz w:val="16"/>
                          </w:rPr>
                        </w:pPr>
                        <w:r>
                          <w:rPr>
                            <w:rFonts w:ascii="Times New Roman"/>
                            <w:w w:val="110"/>
                            <w:sz w:val="16"/>
                          </w:rPr>
                          <w:t>93,589</w:t>
                        </w:r>
                      </w:p>
                      <w:p>
                        <w:pPr>
                          <w:pStyle w:val="TableParagraph"/>
                          <w:spacing w:before="12"/>
                          <w:ind w:left="189" w:right="-19"/>
                          <w:rPr>
                            <w:sz w:val="19"/>
                          </w:rPr>
                        </w:pPr>
                        <w:r>
                          <w:rPr>
                            <w:w w:val="80"/>
                            <w:sz w:val="19"/>
                          </w:rPr>
                          <w:t>93,395</w:t>
                        </w:r>
                      </w:p>
                    </w:tc>
                    <w:tc>
                      <w:tcPr>
                        <w:tcW w:w="850" w:type="dxa"/>
                        <w:gridSpan w:val="2"/>
                        <w:tcBorders>
                          <w:top w:val="nil"/>
                          <w:left w:val="single" w:sz="1" w:space="0" w:color="000000"/>
                          <w:bottom w:val="nil"/>
                          <w:right w:val="single" w:sz="10" w:space="0" w:color="000000"/>
                        </w:tcBorders>
                      </w:tcPr>
                      <w:p>
                        <w:pPr>
                          <w:pStyle w:val="TableParagraph"/>
                          <w:spacing w:line="207" w:lineRule="exact" w:before="84"/>
                          <w:ind w:left="455"/>
                          <w:rPr>
                            <w:sz w:val="19"/>
                          </w:rPr>
                        </w:pPr>
                        <w:r>
                          <w:rPr>
                            <w:w w:val="90"/>
                            <w:sz w:val="19"/>
                          </w:rPr>
                          <w:t>194</w:t>
                        </w:r>
                      </w:p>
                      <w:p>
                        <w:pPr>
                          <w:pStyle w:val="TableParagraph"/>
                          <w:spacing w:line="207" w:lineRule="exact"/>
                          <w:ind w:left="448"/>
                          <w:rPr>
                            <w:sz w:val="19"/>
                          </w:rPr>
                        </w:pPr>
                        <w:r>
                          <w:rPr>
                            <w:w w:val="95"/>
                            <w:sz w:val="19"/>
                          </w:rPr>
                          <w:t>210</w:t>
                        </w:r>
                      </w:p>
                    </w:tc>
                    <w:tc>
                      <w:tcPr>
                        <w:tcW w:w="382" w:type="dxa"/>
                        <w:tcBorders>
                          <w:top w:val="nil"/>
                          <w:left w:val="single" w:sz="10" w:space="0" w:color="000000"/>
                          <w:bottom w:val="nil"/>
                          <w:right w:val="single" w:sz="1" w:space="0" w:color="000000"/>
                        </w:tcBorders>
                      </w:tcPr>
                      <w:p>
                        <w:pPr>
                          <w:pStyle w:val="TableParagraph"/>
                          <w:spacing w:line="207" w:lineRule="exact" w:before="88"/>
                          <w:ind w:left="149" w:right="-2"/>
                          <w:rPr>
                            <w:sz w:val="19"/>
                          </w:rPr>
                        </w:pPr>
                        <w:r>
                          <w:rPr>
                            <w:spacing w:val="-14"/>
                            <w:sz w:val="19"/>
                          </w:rPr>
                          <w:t>75</w:t>
                        </w:r>
                      </w:p>
                      <w:p>
                        <w:pPr>
                          <w:pStyle w:val="TableParagraph"/>
                          <w:spacing w:line="207" w:lineRule="exact"/>
                          <w:ind w:left="149" w:right="-4"/>
                          <w:rPr>
                            <w:sz w:val="19"/>
                          </w:rPr>
                        </w:pPr>
                        <w:r>
                          <w:rPr>
                            <w:spacing w:val="-19"/>
                            <w:w w:val="105"/>
                            <w:sz w:val="19"/>
                          </w:rPr>
                          <w:t>76</w:t>
                        </w:r>
                      </w:p>
                    </w:tc>
                    <w:tc>
                      <w:tcPr>
                        <w:tcW w:w="900" w:type="dxa"/>
                        <w:gridSpan w:val="2"/>
                        <w:tcBorders>
                          <w:top w:val="nil"/>
                          <w:left w:val="single" w:sz="1" w:space="0" w:color="000000"/>
                          <w:bottom w:val="nil"/>
                        </w:tcBorders>
                      </w:tcPr>
                      <w:p>
                        <w:pPr>
                          <w:pStyle w:val="TableParagraph"/>
                          <w:spacing w:line="207" w:lineRule="exact" w:before="84"/>
                          <w:ind w:left="282" w:right="-6"/>
                          <w:rPr>
                            <w:sz w:val="19"/>
                          </w:rPr>
                        </w:pPr>
                        <w:r>
                          <w:rPr>
                            <w:w w:val="85"/>
                            <w:sz w:val="19"/>
                          </w:rPr>
                          <w:t>.07006</w:t>
                        </w:r>
                      </w:p>
                      <w:p>
                        <w:pPr>
                          <w:pStyle w:val="TableParagraph"/>
                          <w:spacing w:line="207" w:lineRule="exact"/>
                          <w:ind w:left="282" w:right="-6"/>
                          <w:rPr>
                            <w:sz w:val="19"/>
                          </w:rPr>
                        </w:pPr>
                        <w:r>
                          <w:rPr>
                            <w:spacing w:val="-14"/>
                            <w:w w:val="90"/>
                            <w:sz w:val="19"/>
                          </w:rPr>
                          <w:t>.07636</w:t>
                        </w:r>
                      </w:p>
                    </w:tc>
                    <w:tc>
                      <w:tcPr>
                        <w:tcW w:w="839" w:type="dxa"/>
                        <w:vMerge w:val="restart"/>
                        <w:tcBorders>
                          <w:top w:val="nil"/>
                          <w:right w:val="single" w:sz="10" w:space="0" w:color="000000"/>
                        </w:tcBorders>
                      </w:tcPr>
                      <w:p>
                        <w:pPr>
                          <w:pStyle w:val="TableParagraph"/>
                          <w:spacing w:line="207" w:lineRule="exact" w:before="77"/>
                          <w:ind w:left="183" w:right="-15"/>
                          <w:rPr>
                            <w:sz w:val="19"/>
                          </w:rPr>
                        </w:pPr>
                        <w:r>
                          <w:rPr>
                            <w:w w:val="90"/>
                            <w:sz w:val="19"/>
                          </w:rPr>
                          <w:t>40,207</w:t>
                        </w:r>
                      </w:p>
                      <w:p>
                        <w:pPr>
                          <w:pStyle w:val="TableParagraph"/>
                          <w:spacing w:line="200" w:lineRule="exact"/>
                          <w:ind w:left="187" w:right="-15"/>
                          <w:rPr>
                            <w:sz w:val="19"/>
                          </w:rPr>
                        </w:pPr>
                        <w:r>
                          <w:rPr>
                            <w:spacing w:val="-16"/>
                            <w:w w:val="85"/>
                            <w:sz w:val="19"/>
                          </w:rPr>
                          <w:t>37,3f&gt;6</w:t>
                        </w:r>
                      </w:p>
                      <w:p>
                        <w:pPr>
                          <w:pStyle w:val="TableParagraph"/>
                          <w:spacing w:line="200" w:lineRule="exact"/>
                          <w:ind w:left="190" w:right="-15"/>
                          <w:rPr>
                            <w:sz w:val="19"/>
                          </w:rPr>
                        </w:pPr>
                        <w:r>
                          <w:rPr>
                            <w:w w:val="85"/>
                            <w:sz w:val="19"/>
                          </w:rPr>
                          <w:t>34,513</w:t>
                        </w:r>
                      </w:p>
                      <w:p>
                        <w:pPr>
                          <w:pStyle w:val="TableParagraph"/>
                          <w:spacing w:line="196" w:lineRule="exact"/>
                          <w:ind w:left="198" w:right="-15"/>
                          <w:rPr>
                            <w:sz w:val="19"/>
                          </w:rPr>
                        </w:pPr>
                        <w:r>
                          <w:rPr>
                            <w:w w:val="85"/>
                            <w:sz w:val="19"/>
                          </w:rPr>
                          <w:t>31,658</w:t>
                        </w:r>
                      </w:p>
                      <w:p>
                        <w:pPr>
                          <w:pStyle w:val="TableParagraph"/>
                          <w:spacing w:line="205" w:lineRule="exact"/>
                          <w:ind w:left="198" w:right="-15"/>
                          <w:rPr>
                            <w:sz w:val="19"/>
                          </w:rPr>
                        </w:pPr>
                        <w:r>
                          <w:rPr>
                            <w:w w:val="90"/>
                            <w:sz w:val="19"/>
                          </w:rPr>
                          <w:t>28,814</w:t>
                        </w:r>
                      </w:p>
                    </w:tc>
                    <w:tc>
                      <w:tcPr>
                        <w:tcW w:w="749" w:type="dxa"/>
                        <w:vMerge w:val="restart"/>
                        <w:tcBorders>
                          <w:top w:val="nil"/>
                          <w:left w:val="single" w:sz="10" w:space="0" w:color="000000"/>
                          <w:right w:val="nil"/>
                        </w:tcBorders>
                      </w:tcPr>
                      <w:p>
                        <w:pPr>
                          <w:pStyle w:val="TableParagraph"/>
                          <w:spacing w:line="208" w:lineRule="exact" w:before="73"/>
                          <w:ind w:left="181" w:right="-3"/>
                          <w:rPr>
                            <w:sz w:val="19"/>
                          </w:rPr>
                        </w:pPr>
                        <w:r>
                          <w:rPr>
                            <w:w w:val="85"/>
                            <w:sz w:val="19"/>
                          </w:rPr>
                          <w:t>2,841</w:t>
                        </w:r>
                      </w:p>
                      <w:p>
                        <w:pPr>
                          <w:pStyle w:val="TableParagraph"/>
                          <w:spacing w:line="200" w:lineRule="exact"/>
                          <w:ind w:left="181" w:right="-3"/>
                          <w:rPr>
                            <w:sz w:val="19"/>
                          </w:rPr>
                        </w:pPr>
                        <w:r>
                          <w:rPr>
                            <w:w w:val="85"/>
                            <w:sz w:val="19"/>
                          </w:rPr>
                          <w:t>2,853</w:t>
                        </w:r>
                      </w:p>
                      <w:p>
                        <w:pPr>
                          <w:pStyle w:val="TableParagraph"/>
                          <w:spacing w:line="198" w:lineRule="exact"/>
                          <w:ind w:left="181" w:right="-3"/>
                          <w:rPr>
                            <w:sz w:val="19"/>
                          </w:rPr>
                        </w:pPr>
                        <w:r>
                          <w:rPr>
                            <w:w w:val="85"/>
                            <w:sz w:val="19"/>
                          </w:rPr>
                          <w:t>2,855</w:t>
                        </w:r>
                      </w:p>
                      <w:p>
                        <w:pPr>
                          <w:pStyle w:val="TableParagraph"/>
                          <w:spacing w:line="194" w:lineRule="exact"/>
                          <w:ind w:left="181" w:right="-3"/>
                          <w:rPr>
                            <w:sz w:val="19"/>
                          </w:rPr>
                        </w:pPr>
                        <w:r>
                          <w:rPr>
                            <w:spacing w:val="-14"/>
                            <w:sz w:val="19"/>
                          </w:rPr>
                          <w:t>2,844</w:t>
                        </w:r>
                      </w:p>
                      <w:p>
                        <w:pPr>
                          <w:pStyle w:val="TableParagraph"/>
                          <w:spacing w:line="203" w:lineRule="exact"/>
                          <w:ind w:left="185" w:right="-11"/>
                          <w:rPr>
                            <w:sz w:val="19"/>
                          </w:rPr>
                        </w:pPr>
                        <w:r>
                          <w:rPr>
                            <w:w w:val="95"/>
                            <w:sz w:val="19"/>
                          </w:rPr>
                          <w:t>2,821</w:t>
                        </w:r>
                      </w:p>
                    </w:tc>
                  </w:tr>
                  <w:tr>
                    <w:trPr>
                      <w:trHeight w:val="693" w:hRule="exact"/>
                    </w:trPr>
                    <w:tc>
                      <w:tcPr>
                        <w:tcW w:w="448" w:type="dxa"/>
                        <w:vMerge/>
                        <w:tcBorders>
                          <w:left w:val="nil"/>
                          <w:bottom w:val="single" w:sz="12" w:space="0" w:color="000000"/>
                          <w:right w:val="single" w:sz="3" w:space="0" w:color="000000"/>
                        </w:tcBorders>
                      </w:tcPr>
                      <w:p>
                        <w:pPr/>
                      </w:p>
                    </w:tc>
                    <w:tc>
                      <w:tcPr>
                        <w:tcW w:w="832" w:type="dxa"/>
                        <w:vMerge/>
                        <w:tcBorders>
                          <w:left w:val="single" w:sz="3" w:space="0" w:color="000000"/>
                          <w:bottom w:val="single" w:sz="12" w:space="0" w:color="000000"/>
                        </w:tcBorders>
                      </w:tcPr>
                      <w:p>
                        <w:pPr/>
                      </w:p>
                    </w:tc>
                    <w:tc>
                      <w:tcPr>
                        <w:tcW w:w="747" w:type="dxa"/>
                        <w:tcBorders>
                          <w:top w:val="nil"/>
                          <w:right w:val="nil"/>
                        </w:tcBorders>
                      </w:tcPr>
                      <w:p>
                        <w:pPr>
                          <w:pStyle w:val="TableParagraph"/>
                          <w:spacing w:line="200" w:lineRule="exact"/>
                          <w:ind w:left="192" w:right="-20"/>
                          <w:rPr>
                            <w:sz w:val="19"/>
                          </w:rPr>
                        </w:pPr>
                        <w:r>
                          <w:rPr>
                            <w:w w:val="80"/>
                            <w:sz w:val="19"/>
                          </w:rPr>
                          <w:t>93,185</w:t>
                        </w:r>
                      </w:p>
                      <w:p>
                        <w:pPr>
                          <w:pStyle w:val="TableParagraph"/>
                          <w:spacing w:line="194" w:lineRule="exact"/>
                          <w:ind w:left="196" w:right="-20"/>
                          <w:rPr>
                            <w:sz w:val="19"/>
                          </w:rPr>
                        </w:pPr>
                        <w:r>
                          <w:rPr>
                            <w:spacing w:val="-19"/>
                            <w:w w:val="90"/>
                            <w:sz w:val="19"/>
                          </w:rPr>
                          <w:t>92,956</w:t>
                        </w:r>
                      </w:p>
                      <w:p>
                        <w:pPr>
                          <w:pStyle w:val="TableParagraph"/>
                          <w:spacing w:line="203" w:lineRule="exact"/>
                          <w:ind w:left="196" w:right="-20"/>
                          <w:rPr>
                            <w:sz w:val="19"/>
                          </w:rPr>
                        </w:pPr>
                        <w:r>
                          <w:rPr>
                            <w:spacing w:val="-38"/>
                            <w:w w:val="108"/>
                            <w:sz w:val="19"/>
                          </w:rPr>
                          <w:t>9</w:t>
                        </w:r>
                        <w:r>
                          <w:rPr>
                            <w:spacing w:val="-16"/>
                            <w:w w:val="98"/>
                            <w:sz w:val="19"/>
                          </w:rPr>
                          <w:t>2</w:t>
                        </w:r>
                        <w:r>
                          <w:rPr>
                            <w:w w:val="70"/>
                            <w:sz w:val="19"/>
                          </w:rPr>
                          <w:t>,</w:t>
                        </w:r>
                        <w:r>
                          <w:rPr>
                            <w:spacing w:val="-29"/>
                            <w:w w:val="70"/>
                            <w:sz w:val="19"/>
                          </w:rPr>
                          <w:t>7</w:t>
                        </w:r>
                        <w:r>
                          <w:rPr>
                            <w:w w:val="40"/>
                            <w:sz w:val="19"/>
                          </w:rPr>
                          <w:t>().5</w:t>
                        </w:r>
                      </w:p>
                    </w:tc>
                    <w:tc>
                      <w:tcPr>
                        <w:tcW w:w="207" w:type="dxa"/>
                        <w:tcBorders>
                          <w:top w:val="nil"/>
                          <w:left w:val="nil"/>
                          <w:right w:val="nil"/>
                        </w:tcBorders>
                      </w:tcPr>
                      <w:p>
                        <w:pPr>
                          <w:pStyle w:val="TableParagraph"/>
                          <w:rPr>
                            <w:rFonts w:ascii="Arial"/>
                            <w:sz w:val="10"/>
                          </w:rPr>
                        </w:pPr>
                      </w:p>
                      <w:p>
                        <w:pPr>
                          <w:pStyle w:val="TableParagraph"/>
                          <w:rPr>
                            <w:rFonts w:ascii="Arial"/>
                            <w:sz w:val="10"/>
                          </w:rPr>
                        </w:pPr>
                      </w:p>
                      <w:p>
                        <w:pPr>
                          <w:pStyle w:val="TableParagraph"/>
                          <w:spacing w:before="1"/>
                          <w:rPr>
                            <w:rFonts w:ascii="Arial"/>
                            <w:sz w:val="14"/>
                          </w:rPr>
                        </w:pPr>
                      </w:p>
                      <w:p>
                        <w:pPr>
                          <w:pStyle w:val="TableParagraph"/>
                          <w:ind w:left="30"/>
                          <w:jc w:val="center"/>
                          <w:rPr>
                            <w:rFonts w:ascii="Arial"/>
                            <w:sz w:val="10"/>
                          </w:rPr>
                        </w:pPr>
                        <w:r>
                          <w:rPr>
                            <w:rFonts w:ascii="Arial"/>
                            <w:w w:val="65"/>
                            <w:sz w:val="10"/>
                          </w:rPr>
                          <w:t>1</w:t>
                        </w:r>
                      </w:p>
                      <w:p>
                        <w:pPr>
                          <w:pStyle w:val="TableParagraph"/>
                          <w:spacing w:before="43"/>
                          <w:ind w:left="30"/>
                          <w:jc w:val="center"/>
                          <w:rPr>
                            <w:rFonts w:ascii="Arial"/>
                            <w:sz w:val="10"/>
                          </w:rPr>
                        </w:pPr>
                        <w:r>
                          <w:rPr>
                            <w:rFonts w:ascii="Arial"/>
                            <w:w w:val="65"/>
                            <w:sz w:val="10"/>
                          </w:rPr>
                          <w:t>1</w:t>
                        </w:r>
                      </w:p>
                    </w:tc>
                    <w:tc>
                      <w:tcPr>
                        <w:tcW w:w="642" w:type="dxa"/>
                        <w:tcBorders>
                          <w:top w:val="nil"/>
                          <w:left w:val="nil"/>
                          <w:right w:val="single" w:sz="10" w:space="0" w:color="000000"/>
                        </w:tcBorders>
                      </w:tcPr>
                      <w:p>
                        <w:pPr>
                          <w:pStyle w:val="TableParagraph"/>
                          <w:spacing w:line="181" w:lineRule="exact"/>
                          <w:ind w:left="242"/>
                          <w:rPr>
                            <w:rFonts w:ascii="Times New Roman"/>
                            <w:sz w:val="17"/>
                          </w:rPr>
                        </w:pPr>
                        <w:r>
                          <w:rPr>
                            <w:rFonts w:ascii="Times New Roman"/>
                            <w:sz w:val="17"/>
                          </w:rPr>
                          <w:t>229</w:t>
                        </w:r>
                      </w:p>
                      <w:p>
                        <w:pPr>
                          <w:pStyle w:val="TableParagraph"/>
                          <w:spacing w:line="197" w:lineRule="exact" w:before="11"/>
                          <w:ind w:left="246"/>
                          <w:rPr>
                            <w:sz w:val="18"/>
                          </w:rPr>
                        </w:pPr>
                        <w:r>
                          <w:rPr>
                            <w:w w:val="95"/>
                            <w:sz w:val="18"/>
                          </w:rPr>
                          <w:t>251</w:t>
                        </w:r>
                      </w:p>
                      <w:p>
                        <w:pPr>
                          <w:pStyle w:val="TableParagraph"/>
                          <w:spacing w:line="208" w:lineRule="exact"/>
                          <w:ind w:left="246"/>
                          <w:rPr>
                            <w:sz w:val="19"/>
                          </w:rPr>
                        </w:pPr>
                        <w:r>
                          <w:rPr>
                            <w:w w:val="95"/>
                            <w:sz w:val="19"/>
                          </w:rPr>
                          <w:t>278</w:t>
                        </w:r>
                      </w:p>
                    </w:tc>
                    <w:tc>
                      <w:tcPr>
                        <w:tcW w:w="382" w:type="dxa"/>
                        <w:tcBorders>
                          <w:top w:val="nil"/>
                          <w:left w:val="single" w:sz="10" w:space="0" w:color="000000"/>
                          <w:bottom w:val="single" w:sz="12" w:space="0" w:color="000000"/>
                          <w:right w:val="nil"/>
                        </w:tcBorders>
                      </w:tcPr>
                      <w:p>
                        <w:pPr>
                          <w:pStyle w:val="TableParagraph"/>
                          <w:spacing w:line="189" w:lineRule="exact"/>
                          <w:ind w:left="149" w:right="-1"/>
                          <w:rPr>
                            <w:sz w:val="19"/>
                          </w:rPr>
                        </w:pPr>
                        <w:r>
                          <w:rPr>
                            <w:spacing w:val="-17"/>
                            <w:sz w:val="19"/>
                          </w:rPr>
                          <w:t>77</w:t>
                        </w:r>
                      </w:p>
                      <w:p>
                        <w:pPr>
                          <w:pStyle w:val="TableParagraph"/>
                          <w:spacing w:line="198" w:lineRule="exact"/>
                          <w:ind w:left="153" w:right="-1"/>
                          <w:rPr>
                            <w:sz w:val="19"/>
                          </w:rPr>
                        </w:pPr>
                        <w:r>
                          <w:rPr>
                            <w:spacing w:val="-16"/>
                            <w:sz w:val="19"/>
                          </w:rPr>
                          <w:t>78</w:t>
                        </w:r>
                      </w:p>
                      <w:p>
                        <w:pPr>
                          <w:pStyle w:val="TableParagraph"/>
                          <w:spacing w:line="207" w:lineRule="exact"/>
                          <w:ind w:left="156" w:right="-1"/>
                          <w:rPr>
                            <w:sz w:val="19"/>
                          </w:rPr>
                        </w:pPr>
                        <w:r>
                          <w:rPr>
                            <w:spacing w:val="-18"/>
                            <w:sz w:val="19"/>
                          </w:rPr>
                          <w:t>79</w:t>
                        </w:r>
                      </w:p>
                    </w:tc>
                    <w:tc>
                      <w:tcPr>
                        <w:tcW w:w="171" w:type="dxa"/>
                        <w:tcBorders>
                          <w:top w:val="nil"/>
                          <w:left w:val="nil"/>
                          <w:bottom w:val="single" w:sz="12" w:space="0" w:color="000000"/>
                          <w:right w:val="nil"/>
                        </w:tcBorders>
                      </w:tcPr>
                      <w:p>
                        <w:pPr>
                          <w:pStyle w:val="TableParagraph"/>
                          <w:rPr>
                            <w:rFonts w:ascii="Arial"/>
                            <w:sz w:val="8"/>
                          </w:rPr>
                        </w:pPr>
                      </w:p>
                      <w:p>
                        <w:pPr>
                          <w:pStyle w:val="TableParagraph"/>
                          <w:rPr>
                            <w:rFonts w:ascii="Arial"/>
                            <w:sz w:val="8"/>
                          </w:rPr>
                        </w:pPr>
                      </w:p>
                      <w:p>
                        <w:pPr>
                          <w:pStyle w:val="TableParagraph"/>
                          <w:rPr>
                            <w:rFonts w:ascii="Arial"/>
                            <w:sz w:val="8"/>
                          </w:rPr>
                        </w:pPr>
                      </w:p>
                      <w:p>
                        <w:pPr>
                          <w:pStyle w:val="TableParagraph"/>
                          <w:rPr>
                            <w:rFonts w:ascii="Arial"/>
                            <w:sz w:val="8"/>
                          </w:rPr>
                        </w:pPr>
                      </w:p>
                      <w:p>
                        <w:pPr>
                          <w:pStyle w:val="TableParagraph"/>
                          <w:rPr>
                            <w:rFonts w:ascii="Arial"/>
                            <w:sz w:val="8"/>
                          </w:rPr>
                        </w:pPr>
                      </w:p>
                      <w:p>
                        <w:pPr>
                          <w:pStyle w:val="TableParagraph"/>
                          <w:spacing w:before="4"/>
                          <w:rPr>
                            <w:rFonts w:ascii="Arial"/>
                            <w:sz w:val="8"/>
                          </w:rPr>
                        </w:pPr>
                      </w:p>
                      <w:p>
                        <w:pPr>
                          <w:pStyle w:val="TableParagraph"/>
                          <w:ind w:right="24"/>
                          <w:jc w:val="center"/>
                          <w:rPr>
                            <w:rFonts w:ascii="Arial"/>
                            <w:sz w:val="9"/>
                          </w:rPr>
                        </w:pPr>
                        <w:r>
                          <w:rPr>
                            <w:rFonts w:ascii="Arial"/>
                            <w:w w:val="58"/>
                            <w:sz w:val="9"/>
                          </w:rPr>
                          <w:t>1</w:t>
                        </w:r>
                      </w:p>
                    </w:tc>
                    <w:tc>
                      <w:tcPr>
                        <w:tcW w:w="729" w:type="dxa"/>
                        <w:tcBorders>
                          <w:top w:val="nil"/>
                          <w:left w:val="nil"/>
                          <w:bottom w:val="single" w:sz="12" w:space="0" w:color="000000"/>
                        </w:tcBorders>
                      </w:tcPr>
                      <w:p>
                        <w:pPr>
                          <w:pStyle w:val="TableParagraph"/>
                          <w:spacing w:line="171" w:lineRule="exact"/>
                          <w:ind w:left="113"/>
                          <w:rPr>
                            <w:rFonts w:ascii="Times New Roman"/>
                            <w:sz w:val="16"/>
                          </w:rPr>
                        </w:pPr>
                        <w:r>
                          <w:rPr>
                            <w:rFonts w:ascii="Times New Roman"/>
                            <w:w w:val="105"/>
                            <w:sz w:val="16"/>
                          </w:rPr>
                          <w:t>.08271</w:t>
                        </w:r>
                      </w:p>
                      <w:p>
                        <w:pPr>
                          <w:pStyle w:val="TableParagraph"/>
                          <w:spacing w:before="4"/>
                          <w:ind w:left="116"/>
                          <w:rPr>
                            <w:rFonts w:ascii="Times New Roman"/>
                            <w:sz w:val="17"/>
                          </w:rPr>
                        </w:pPr>
                        <w:r>
                          <w:rPr>
                            <w:rFonts w:ascii="Times New Roman"/>
                            <w:sz w:val="17"/>
                          </w:rPr>
                          <w:t>.08986</w:t>
                        </w:r>
                      </w:p>
                      <w:p>
                        <w:pPr>
                          <w:pStyle w:val="TableParagraph"/>
                          <w:spacing w:before="12"/>
                          <w:ind w:left="116"/>
                          <w:rPr>
                            <w:rFonts w:ascii="Times New Roman"/>
                            <w:sz w:val="16"/>
                          </w:rPr>
                        </w:pPr>
                        <w:r>
                          <w:rPr>
                            <w:rFonts w:ascii="Times New Roman"/>
                            <w:w w:val="105"/>
                            <w:sz w:val="16"/>
                          </w:rPr>
                          <w:t>.09788</w:t>
                        </w:r>
                      </w:p>
                    </w:tc>
                    <w:tc>
                      <w:tcPr>
                        <w:tcW w:w="839" w:type="dxa"/>
                        <w:vMerge/>
                        <w:tcBorders>
                          <w:bottom w:val="single" w:sz="15" w:space="0" w:color="000000"/>
                          <w:right w:val="single" w:sz="10" w:space="0" w:color="000000"/>
                        </w:tcBorders>
                      </w:tcPr>
                      <w:p>
                        <w:pPr/>
                      </w:p>
                    </w:tc>
                    <w:tc>
                      <w:tcPr>
                        <w:tcW w:w="749" w:type="dxa"/>
                        <w:vMerge/>
                        <w:tcBorders>
                          <w:left w:val="single" w:sz="10" w:space="0" w:color="000000"/>
                          <w:bottom w:val="single" w:sz="12" w:space="0" w:color="000000"/>
                          <w:right w:val="nil"/>
                        </w:tcBorders>
                      </w:tcPr>
                      <w:p>
                        <w:pPr/>
                      </w:p>
                    </w:tc>
                  </w:tr>
                </w:tbl>
                <w:p>
                  <w:pPr>
                    <w:pStyle w:val="BodyText"/>
                  </w:pPr>
                </w:p>
              </w:txbxContent>
            </v:textbox>
            <w10:wrap type="none"/>
          </v:shape>
        </w:pict>
      </w:r>
      <w:r>
        <w:rPr>
          <w:sz w:val="19"/>
        </w:rPr>
        <w:t>TABLE 2</w:t>
      </w:r>
    </w:p>
    <w:p>
      <w:pPr>
        <w:spacing w:line="272" w:lineRule="exact" w:before="0"/>
        <w:ind w:left="293" w:right="303" w:firstLine="0"/>
        <w:jc w:val="center"/>
        <w:rPr>
          <w:rFonts w:ascii="Courier New"/>
          <w:sz w:val="19"/>
        </w:rPr>
      </w:pPr>
      <w:r>
        <w:rPr>
          <w:w w:val="105"/>
          <w:sz w:val="14"/>
        </w:rPr>
        <w:t>MORTALITY  </w:t>
      </w:r>
      <w:r>
        <w:rPr>
          <w:b/>
          <w:w w:val="105"/>
          <w:sz w:val="13"/>
        </w:rPr>
        <w:t>TABLS  </w:t>
      </w:r>
      <w:r>
        <w:rPr>
          <w:w w:val="105"/>
          <w:sz w:val="14"/>
        </w:rPr>
        <w:t>l'OB  </w:t>
      </w:r>
      <w:r>
        <w:rPr>
          <w:w w:val="105"/>
          <w:sz w:val="25"/>
        </w:rPr>
        <w:t>u. s. </w:t>
      </w:r>
      <w:r>
        <w:rPr>
          <w:w w:val="105"/>
          <w:sz w:val="14"/>
        </w:rPr>
        <w:t>WBITlll  MALES </w:t>
      </w:r>
      <w:r>
        <w:rPr>
          <w:rFonts w:ascii="Courier New"/>
          <w:sz w:val="19"/>
        </w:rPr>
        <w:t>1959-61</w:t>
      </w:r>
    </w:p>
    <w:p>
      <w:pPr>
        <w:spacing w:before="80"/>
        <w:ind w:left="0" w:right="416" w:firstLine="0"/>
        <w:jc w:val="right"/>
        <w:rPr>
          <w:sz w:val="40"/>
        </w:rPr>
      </w:pPr>
      <w:r>
        <w:rPr>
          <w:w w:val="65"/>
          <w:sz w:val="4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16"/>
        </w:rPr>
      </w:pPr>
    </w:p>
    <w:p>
      <w:pPr>
        <w:spacing w:before="80"/>
        <w:ind w:left="293" w:right="260" w:firstLine="0"/>
        <w:jc w:val="center"/>
        <w:rPr>
          <w:rFonts w:ascii="Arial"/>
          <w:sz w:val="16"/>
        </w:rPr>
      </w:pPr>
      <w:r>
        <w:rPr>
          <w:rFonts w:ascii="Arial"/>
          <w:w w:val="110"/>
          <w:sz w:val="16"/>
        </w:rPr>
        <w:t>11</w:t>
      </w:r>
    </w:p>
    <w:p>
      <w:pPr>
        <w:spacing w:after="0"/>
        <w:jc w:val="center"/>
        <w:rPr>
          <w:rFonts w:ascii="Arial"/>
          <w:sz w:val="16"/>
        </w:rPr>
        <w:sectPr>
          <w:pgSz w:w="7200" w:h="11340"/>
          <w:pgMar w:top="220" w:bottom="0" w:left="680" w:right="500"/>
        </w:sectPr>
      </w:pPr>
    </w:p>
    <w:p>
      <w:pPr>
        <w:tabs>
          <w:tab w:pos="1506" w:val="left" w:leader="none"/>
          <w:tab w:pos="5399" w:val="left" w:leader="none"/>
        </w:tabs>
        <w:spacing w:before="61"/>
        <w:ind w:left="143" w:right="0" w:firstLine="21"/>
        <w:jc w:val="both"/>
        <w:rPr>
          <w:b/>
          <w:sz w:val="20"/>
        </w:rPr>
      </w:pPr>
      <w:r>
        <w:rPr>
          <w:color w:val="010101"/>
          <w:spacing w:val="-21"/>
          <w:position w:val="2"/>
          <w:sz w:val="20"/>
        </w:rPr>
        <w:t>12</w:t>
        <w:tab/>
      </w:r>
      <w:r>
        <w:rPr>
          <w:b/>
          <w:color w:val="010101"/>
          <w:position w:val="1"/>
          <w:sz w:val="15"/>
        </w:rPr>
        <w:t>THE  MEASUREMENT  </w:t>
      </w:r>
      <w:r>
        <w:rPr>
          <w:b/>
          <w:color w:val="010101"/>
          <w:spacing w:val="5"/>
          <w:position w:val="1"/>
          <w:sz w:val="15"/>
        </w:rPr>
        <w:t> </w:t>
      </w:r>
      <w:r>
        <w:rPr>
          <w:b/>
          <w:color w:val="010101"/>
          <w:position w:val="1"/>
          <w:sz w:val="15"/>
        </w:rPr>
        <w:t>OF </w:t>
      </w:r>
      <w:r>
        <w:rPr>
          <w:b/>
          <w:color w:val="010101"/>
          <w:spacing w:val="13"/>
          <w:position w:val="1"/>
          <w:sz w:val="15"/>
        </w:rPr>
        <w:t> </w:t>
      </w:r>
      <w:r>
        <w:rPr>
          <w:b/>
          <w:color w:val="010101"/>
          <w:position w:val="1"/>
          <w:sz w:val="15"/>
        </w:rPr>
        <w:t>M.ORTALITY</w:t>
        <w:tab/>
      </w:r>
      <w:r>
        <w:rPr>
          <w:b/>
          <w:color w:val="010101"/>
          <w:w w:val="90"/>
          <w:sz w:val="19"/>
        </w:rPr>
        <w:t>(CH.</w:t>
      </w:r>
      <w:r>
        <w:rPr>
          <w:b/>
          <w:color w:val="010101"/>
          <w:spacing w:val="-6"/>
          <w:w w:val="90"/>
          <w:sz w:val="19"/>
        </w:rPr>
        <w:t> </w:t>
      </w:r>
      <w:r>
        <w:rPr>
          <w:b/>
          <w:color w:val="010101"/>
          <w:w w:val="90"/>
          <w:sz w:val="20"/>
        </w:rPr>
        <w:t>1</w:t>
      </w:r>
    </w:p>
    <w:p>
      <w:pPr>
        <w:pStyle w:val="BodyText"/>
        <w:spacing w:before="8"/>
        <w:rPr>
          <w:b/>
          <w:sz w:val="19"/>
        </w:rPr>
      </w:pPr>
    </w:p>
    <w:p>
      <w:pPr>
        <w:spacing w:line="235" w:lineRule="auto" w:before="0"/>
        <w:ind w:left="140" w:right="114" w:firstLine="3"/>
        <w:jc w:val="both"/>
        <w:rPr>
          <w:sz w:val="21"/>
        </w:rPr>
      </w:pPr>
      <w:r>
        <w:rPr>
          <w:color w:val="010101"/>
          <w:sz w:val="21"/>
        </w:rPr>
        <w:t>States. </w:t>
      </w:r>
      <w:r>
        <w:rPr>
          <w:color w:val="010101"/>
          <w:sz w:val="22"/>
        </w:rPr>
        <w:t>It </w:t>
      </w:r>
      <w:r>
        <w:rPr>
          <w:color w:val="010101"/>
          <w:sz w:val="21"/>
        </w:rPr>
        <w:t>is one of a series of tables constructed in connection with the nationa.l census of 1960. Although the original table includes data through a.ge 109, the values are shown in Table 2 only up through age 79. A mortality table covering the  entire  range  of ages,  the  Commissioners  1958 Standard  Ordinary  Mortality table</w:t>
      </w:r>
    </w:p>
    <w:p>
      <w:pPr>
        <w:spacing w:line="163" w:lineRule="auto" w:before="53"/>
        <w:ind w:left="140" w:right="114" w:firstLine="3"/>
        <w:jc w:val="both"/>
        <w:rPr>
          <w:sz w:val="29"/>
        </w:rPr>
      </w:pPr>
      <w:r>
        <w:rPr>
          <w:color w:val="010101"/>
          <w:w w:val="105"/>
          <w:sz w:val="21"/>
        </w:rPr>
        <w:t>for</w:t>
      </w:r>
      <w:r>
        <w:rPr>
          <w:color w:val="010101"/>
          <w:spacing w:val="-12"/>
          <w:w w:val="105"/>
          <w:sz w:val="21"/>
        </w:rPr>
        <w:t> </w:t>
      </w:r>
      <w:r>
        <w:rPr>
          <w:color w:val="010101"/>
          <w:w w:val="105"/>
          <w:sz w:val="21"/>
        </w:rPr>
        <w:t>male</w:t>
      </w:r>
      <w:r>
        <w:rPr>
          <w:color w:val="010101"/>
          <w:spacing w:val="-8"/>
          <w:w w:val="105"/>
          <w:sz w:val="21"/>
        </w:rPr>
        <w:t> </w:t>
      </w:r>
      <w:r>
        <w:rPr>
          <w:color w:val="010101"/>
          <w:w w:val="105"/>
          <w:sz w:val="21"/>
        </w:rPr>
        <w:t>lives,</w:t>
      </w:r>
      <w:r>
        <w:rPr>
          <w:color w:val="010101"/>
          <w:spacing w:val="-10"/>
          <w:w w:val="105"/>
          <w:sz w:val="21"/>
        </w:rPr>
        <w:t> </w:t>
      </w:r>
      <w:r>
        <w:rPr>
          <w:color w:val="010101"/>
          <w:w w:val="105"/>
          <w:sz w:val="21"/>
        </w:rPr>
        <w:t>may</w:t>
      </w:r>
      <w:r>
        <w:rPr>
          <w:color w:val="010101"/>
          <w:spacing w:val="-1"/>
          <w:w w:val="105"/>
          <w:sz w:val="21"/>
        </w:rPr>
        <w:t> </w:t>
      </w:r>
      <w:r>
        <w:rPr>
          <w:color w:val="010101"/>
          <w:w w:val="105"/>
          <w:sz w:val="21"/>
        </w:rPr>
        <w:t>be</w:t>
      </w:r>
      <w:r>
        <w:rPr>
          <w:color w:val="010101"/>
          <w:spacing w:val="-8"/>
          <w:w w:val="105"/>
          <w:sz w:val="21"/>
        </w:rPr>
        <w:t> </w:t>
      </w:r>
      <w:r>
        <w:rPr>
          <w:color w:val="010101"/>
          <w:w w:val="105"/>
          <w:sz w:val="21"/>
        </w:rPr>
        <w:t>seen</w:t>
      </w:r>
      <w:r>
        <w:rPr>
          <w:color w:val="010101"/>
          <w:spacing w:val="-4"/>
          <w:w w:val="105"/>
          <w:sz w:val="21"/>
        </w:rPr>
        <w:t> </w:t>
      </w:r>
      <w:r>
        <w:rPr>
          <w:color w:val="010101"/>
          <w:w w:val="105"/>
          <w:sz w:val="21"/>
        </w:rPr>
        <w:t>in</w:t>
      </w:r>
      <w:r>
        <w:rPr>
          <w:color w:val="010101"/>
          <w:spacing w:val="-12"/>
          <w:w w:val="105"/>
          <w:sz w:val="21"/>
        </w:rPr>
        <w:t> </w:t>
      </w:r>
      <w:r>
        <w:rPr>
          <w:color w:val="010101"/>
          <w:w w:val="105"/>
          <w:sz w:val="21"/>
        </w:rPr>
        <w:t>Table</w:t>
      </w:r>
      <w:r>
        <w:rPr>
          <w:color w:val="010101"/>
          <w:spacing w:val="-15"/>
          <w:w w:val="105"/>
          <w:sz w:val="21"/>
        </w:rPr>
        <w:t> </w:t>
      </w:r>
      <w:r>
        <w:rPr>
          <w:color w:val="010101"/>
          <w:w w:val="105"/>
          <w:sz w:val="21"/>
        </w:rPr>
        <w:t>A</w:t>
      </w:r>
      <w:r>
        <w:rPr>
          <w:color w:val="010101"/>
          <w:spacing w:val="-12"/>
          <w:w w:val="105"/>
          <w:sz w:val="21"/>
        </w:rPr>
        <w:t> </w:t>
      </w:r>
      <w:r>
        <w:rPr>
          <w:color w:val="010101"/>
          <w:w w:val="105"/>
          <w:sz w:val="21"/>
        </w:rPr>
        <w:t>of</w:t>
      </w:r>
      <w:r>
        <w:rPr>
          <w:color w:val="010101"/>
          <w:spacing w:val="-1"/>
          <w:w w:val="105"/>
          <w:sz w:val="21"/>
        </w:rPr>
        <w:t> </w:t>
      </w:r>
      <w:r>
        <w:rPr>
          <w:color w:val="010101"/>
          <w:w w:val="105"/>
          <w:sz w:val="21"/>
        </w:rPr>
        <w:t>Appendix</w:t>
      </w:r>
      <w:r>
        <w:rPr>
          <w:color w:val="010101"/>
          <w:spacing w:val="6"/>
          <w:w w:val="105"/>
          <w:sz w:val="21"/>
        </w:rPr>
        <w:t> </w:t>
      </w:r>
      <w:r>
        <w:rPr>
          <w:color w:val="010101"/>
          <w:w w:val="105"/>
          <w:sz w:val="21"/>
        </w:rPr>
        <w:t>l.</w:t>
      </w:r>
      <w:r>
        <w:rPr>
          <w:color w:val="010101"/>
          <w:spacing w:val="-16"/>
          <w:w w:val="105"/>
          <w:sz w:val="21"/>
        </w:rPr>
        <w:t> </w:t>
      </w:r>
      <w:r>
        <w:rPr>
          <w:color w:val="010101"/>
          <w:w w:val="105"/>
          <w:sz w:val="22"/>
        </w:rPr>
        <w:t>In</w:t>
      </w:r>
      <w:r>
        <w:rPr>
          <w:color w:val="010101"/>
          <w:spacing w:val="-10"/>
          <w:w w:val="105"/>
          <w:sz w:val="22"/>
        </w:rPr>
        <w:t> </w:t>
      </w:r>
      <w:r>
        <w:rPr>
          <w:color w:val="010101"/>
          <w:w w:val="105"/>
          <w:sz w:val="21"/>
        </w:rPr>
        <w:t>referring to this table, we shall usually abbreviate the na.me to </w:t>
      </w:r>
      <w:r>
        <w:rPr>
          <w:color w:val="010101"/>
          <w:spacing w:val="-10"/>
          <w:w w:val="105"/>
          <w:sz w:val="21"/>
        </w:rPr>
        <w:t>1958   </w:t>
      </w:r>
      <w:r>
        <w:rPr>
          <w:color w:val="010101"/>
          <w:spacing w:val="14"/>
          <w:w w:val="105"/>
          <w:sz w:val="21"/>
        </w:rPr>
        <w:t> </w:t>
      </w:r>
      <w:r>
        <w:rPr>
          <w:color w:val="010101"/>
          <w:w w:val="105"/>
          <w:sz w:val="29"/>
        </w:rPr>
        <w:t>eso</w:t>
      </w:r>
    </w:p>
    <w:p>
      <w:pPr>
        <w:spacing w:line="237" w:lineRule="auto" w:before="0"/>
        <w:ind w:left="132" w:right="116" w:firstLine="7"/>
        <w:jc w:val="both"/>
        <w:rPr>
          <w:sz w:val="21"/>
        </w:rPr>
      </w:pPr>
      <w:r>
        <w:rPr>
          <w:color w:val="010101"/>
          <w:sz w:val="21"/>
        </w:rPr>
        <w:t>table. The </w:t>
      </w:r>
      <w:r>
        <w:rPr>
          <w:color w:val="2A2A2A"/>
          <w:sz w:val="21"/>
        </w:rPr>
        <w:t>,</w:t>
      </w:r>
      <w:r>
        <w:rPr>
          <w:color w:val="010101"/>
          <w:sz w:val="21"/>
        </w:rPr>
        <w:t>complete published table shows values for fema.le lives also, but only the values for male lives are shown in Table </w:t>
      </w:r>
      <w:r>
        <w:rPr>
          <w:rFonts w:ascii="Arial"/>
          <w:b/>
          <w:color w:val="010101"/>
          <w:sz w:val="20"/>
        </w:rPr>
        <w:t>A. W</w:t>
      </w:r>
      <w:r>
        <w:rPr>
          <w:color w:val="010101"/>
          <w:sz w:val="21"/>
        </w:rPr>
        <w:t>e shall, unless otherwise specified, assume male mortality when reference is made, in the text or in the exercises, to either of the mortality  tables described  in this paragraph.</w:t>
      </w:r>
    </w:p>
    <w:p>
      <w:pPr>
        <w:numPr>
          <w:ilvl w:val="0"/>
          <w:numId w:val="2"/>
        </w:numPr>
        <w:tabs>
          <w:tab w:pos="352" w:val="left" w:leader="none"/>
        </w:tabs>
        <w:spacing w:before="174"/>
        <w:ind w:left="351" w:right="0" w:hanging="219"/>
        <w:jc w:val="both"/>
        <w:rPr>
          <w:b/>
          <w:color w:val="010101"/>
          <w:sz w:val="20"/>
        </w:rPr>
      </w:pPr>
      <w:r>
        <w:rPr>
          <w:b/>
          <w:color w:val="010101"/>
          <w:w w:val="115"/>
          <w:sz w:val="20"/>
        </w:rPr>
        <w:t>The force of</w:t>
      </w:r>
      <w:r>
        <w:rPr>
          <w:b/>
          <w:color w:val="010101"/>
          <w:spacing w:val="26"/>
          <w:w w:val="115"/>
          <w:sz w:val="20"/>
        </w:rPr>
        <w:t> </w:t>
      </w:r>
      <w:r>
        <w:rPr>
          <w:b/>
          <w:color w:val="010101"/>
          <w:w w:val="115"/>
          <w:sz w:val="20"/>
        </w:rPr>
        <w:t>mortality</w:t>
      </w:r>
    </w:p>
    <w:p>
      <w:pPr>
        <w:spacing w:line="240" w:lineRule="exact" w:before="81"/>
        <w:ind w:left="122" w:right="128" w:firstLine="204"/>
        <w:jc w:val="both"/>
        <w:rPr>
          <w:rFonts w:ascii="Arial" w:hAnsi="Arial"/>
          <w:i/>
          <w:sz w:val="17"/>
        </w:rPr>
      </w:pPr>
      <w:r>
        <w:rPr>
          <w:color w:val="010101"/>
          <w:sz w:val="21"/>
        </w:rPr>
        <w:t>The probability functions defined in the preceding section are useful for measuring mortality over specified </w:t>
      </w:r>
      <w:r>
        <w:rPr>
          <w:i/>
          <w:color w:val="010101"/>
          <w:sz w:val="22"/>
        </w:rPr>
        <w:t>intervals </w:t>
      </w:r>
      <w:r>
        <w:rPr>
          <w:color w:val="010101"/>
          <w:sz w:val="21"/>
        </w:rPr>
        <w:t>of time. The function </w:t>
      </w:r>
      <w:r>
        <w:rPr>
          <w:i/>
          <w:color w:val="010101"/>
          <w:sz w:val="21"/>
        </w:rPr>
        <w:t>qz </w:t>
      </w:r>
      <w:r>
        <w:rPr>
          <w:color w:val="010101"/>
          <w:sz w:val="21"/>
        </w:rPr>
        <w:t>, for example, which measures the probability of dying within  one year,  may  be regarded  as an index of  the </w:t>
      </w:r>
      <w:r>
        <w:rPr>
          <w:rFonts w:ascii="Arial" w:hAnsi="Arial"/>
          <w:i/>
          <w:color w:val="010101"/>
          <w:sz w:val="17"/>
        </w:rPr>
        <w:t>average </w:t>
      </w:r>
      <w:r>
        <w:rPr>
          <w:rFonts w:ascii="Arial" w:hAnsi="Arial"/>
          <w:i/>
          <w:color w:val="2A2A2A"/>
          <w:sz w:val="17"/>
        </w:rPr>
        <w:t>·</w:t>
      </w:r>
      <w:r>
        <w:rPr>
          <w:rFonts w:ascii="Arial" w:hAnsi="Arial"/>
          <w:i/>
          <w:color w:val="010101"/>
          <w:sz w:val="17"/>
        </w:rPr>
        <w:t>mor­</w:t>
      </w:r>
    </w:p>
    <w:p>
      <w:pPr>
        <w:spacing w:line="243" w:lineRule="exact" w:before="0"/>
        <w:ind w:left="122" w:right="0" w:firstLine="0"/>
        <w:jc w:val="both"/>
        <w:rPr>
          <w:sz w:val="21"/>
        </w:rPr>
      </w:pPr>
      <w:r>
        <w:rPr>
          <w:color w:val="010101"/>
          <w:sz w:val="21"/>
        </w:rPr>
        <w:t>tality  effective over the year  of  age </w:t>
      </w:r>
      <w:r>
        <w:rPr>
          <w:i/>
          <w:color w:val="010101"/>
          <w:sz w:val="19"/>
        </w:rPr>
        <w:t>x  </w:t>
      </w:r>
      <w:r>
        <w:rPr>
          <w:color w:val="010101"/>
          <w:sz w:val="21"/>
        </w:rPr>
        <w:t>to </w:t>
      </w:r>
      <w:r>
        <w:rPr>
          <w:i/>
          <w:color w:val="010101"/>
          <w:sz w:val="19"/>
        </w:rPr>
        <w:t>x  </w:t>
      </w:r>
      <w:r>
        <w:rPr>
          <w:color w:val="010101"/>
          <w:sz w:val="29"/>
        </w:rPr>
        <w:t>+ </w:t>
      </w:r>
      <w:r>
        <w:rPr>
          <w:rFonts w:ascii="Arial"/>
          <w:color w:val="010101"/>
          <w:sz w:val="19"/>
        </w:rPr>
        <w:t>1. </w:t>
      </w:r>
      <w:r>
        <w:rPr>
          <w:color w:val="010101"/>
          <w:sz w:val="21"/>
        </w:rPr>
        <w:t>In this sense, </w:t>
      </w:r>
      <w:r>
        <w:rPr>
          <w:i/>
          <w:color w:val="010101"/>
          <w:sz w:val="21"/>
        </w:rPr>
        <w:t>q.  </w:t>
      </w:r>
      <w:r>
        <w:rPr>
          <w:color w:val="010101"/>
          <w:sz w:val="21"/>
        </w:rPr>
        <w:t>is</w:t>
      </w:r>
    </w:p>
    <w:p>
      <w:pPr>
        <w:spacing w:line="231" w:lineRule="exact" w:before="0"/>
        <w:ind w:left="125" w:right="0" w:firstLine="0"/>
        <w:jc w:val="both"/>
        <w:rPr>
          <w:sz w:val="21"/>
        </w:rPr>
      </w:pPr>
      <w:r>
        <w:rPr>
          <w:color w:val="010101"/>
          <w:sz w:val="21"/>
        </w:rPr>
        <w:t>commonly  known  as the annual  rate of mortality.</w:t>
      </w:r>
    </w:p>
    <w:p>
      <w:pPr>
        <w:spacing w:line="237" w:lineRule="auto" w:before="0"/>
        <w:ind w:left="114" w:right="130" w:firstLine="211"/>
        <w:jc w:val="both"/>
        <w:rPr>
          <w:sz w:val="20"/>
        </w:rPr>
      </w:pPr>
      <w:r>
        <w:rPr>
          <w:color w:val="010101"/>
          <w:w w:val="110"/>
          <w:sz w:val="21"/>
        </w:rPr>
        <w:t>It </w:t>
      </w:r>
      <w:r>
        <w:rPr>
          <w:color w:val="010101"/>
          <w:sz w:val="21"/>
        </w:rPr>
        <w:t>is evident, however, that the intensity  of  mortality  is varying at each </w:t>
      </w:r>
      <w:r>
        <w:rPr>
          <w:i/>
          <w:color w:val="010101"/>
          <w:sz w:val="21"/>
        </w:rPr>
        <w:t>moment </w:t>
      </w:r>
      <w:r>
        <w:rPr>
          <w:color w:val="010101"/>
          <w:sz w:val="21"/>
        </w:rPr>
        <w:t>of age, and it is important </w:t>
      </w:r>
      <w:r>
        <w:rPr>
          <w:color w:val="010101"/>
          <w:sz w:val="22"/>
        </w:rPr>
        <w:t>to </w:t>
      </w:r>
      <w:r>
        <w:rPr>
          <w:color w:val="010101"/>
          <w:sz w:val="21"/>
        </w:rPr>
        <w:t>ha.ve sorne way of measuring this </w:t>
      </w:r>
      <w:r>
        <w:rPr>
          <w:i/>
          <w:color w:val="010101"/>
          <w:sz w:val="20"/>
        </w:rPr>
        <w:t>instanlaneous </w:t>
      </w:r>
      <w:r>
        <w:rPr>
          <w:color w:val="010101"/>
          <w:sz w:val="21"/>
        </w:rPr>
        <w:t>variation. The </w:t>
      </w:r>
      <w:r>
        <w:rPr>
          <w:rFonts w:ascii="Arial"/>
          <w:b/>
          <w:color w:val="010101"/>
          <w:sz w:val="18"/>
        </w:rPr>
        <w:t>graph  </w:t>
      </w:r>
      <w:r>
        <w:rPr>
          <w:color w:val="010101"/>
          <w:sz w:val="21"/>
        </w:rPr>
        <w:t>of  Figure  1,  with a change in the vertical sea.le, may be thought of as an </w:t>
      </w:r>
      <w:r>
        <w:rPr>
          <w:rFonts w:ascii="Arial"/>
          <w:color w:val="010101"/>
          <w:w w:val="90"/>
          <w:sz w:val="20"/>
        </w:rPr>
        <w:t>Zs </w:t>
      </w:r>
      <w:r>
        <w:rPr>
          <w:color w:val="010101"/>
          <w:sz w:val="21"/>
        </w:rPr>
        <w:t>curve. </w:t>
      </w:r>
      <w:r>
        <w:rPr>
          <w:color w:val="010101"/>
          <w:spacing w:val="4"/>
          <w:sz w:val="21"/>
        </w:rPr>
        <w:t>Now </w:t>
      </w:r>
      <w:r>
        <w:rPr>
          <w:color w:val="010101"/>
          <w:sz w:val="21"/>
        </w:rPr>
        <w:t>the slope of such a curve at any point is related to the number of deaths near that point, for the steeper the curve  the greater the numbcr of deaths. The slope is measured by the deriva... tive of the function, and it is therefore natural to study next the derivative of </w:t>
      </w:r>
      <w:r>
        <w:rPr>
          <w:i/>
          <w:color w:val="010101"/>
          <w:sz w:val="20"/>
        </w:rPr>
        <w:t>lz </w:t>
      </w:r>
      <w:r>
        <w:rPr>
          <w:i/>
          <w:color w:val="010101"/>
          <w:spacing w:val="1"/>
          <w:sz w:val="20"/>
        </w:rPr>
        <w:t> </w:t>
      </w:r>
      <w:r>
        <w:rPr>
          <w:color w:val="010101"/>
          <w:w w:val="110"/>
          <w:sz w:val="20"/>
        </w:rPr>
        <w:t>.</w:t>
      </w:r>
    </w:p>
    <w:p>
      <w:pPr>
        <w:spacing w:line="242" w:lineRule="auto" w:before="0"/>
        <w:ind w:left="114" w:right="142" w:firstLine="200"/>
        <w:jc w:val="both"/>
        <w:rPr>
          <w:sz w:val="21"/>
        </w:rPr>
      </w:pPr>
      <w:r>
        <w:rPr/>
        <w:pict>
          <v:line style="position:absolute;mso-position-horizontal-relative:page;mso-position-vertical-relative:paragraph;z-index:-734392" from="141.165894pt,22.840338pt" to="144.215194pt,22.840338pt" stroked="true" strokeweight="1.61435pt" strokecolor="#000000">
            <w10:wrap type="none"/>
          </v:line>
        </w:pict>
      </w:r>
      <w:r>
        <w:rPr>
          <w:color w:val="010101"/>
          <w:sz w:val="21"/>
        </w:rPr>
        <w:t>We</w:t>
      </w:r>
      <w:r>
        <w:rPr>
          <w:color w:val="010101"/>
          <w:spacing w:val="-7"/>
          <w:sz w:val="21"/>
        </w:rPr>
        <w:t> </w:t>
      </w:r>
      <w:r>
        <w:rPr>
          <w:color w:val="010101"/>
          <w:sz w:val="21"/>
        </w:rPr>
        <w:t>take</w:t>
      </w:r>
      <w:r>
        <w:rPr>
          <w:color w:val="010101"/>
          <w:spacing w:val="-5"/>
          <w:sz w:val="21"/>
        </w:rPr>
        <w:t> </w:t>
      </w:r>
      <w:r>
        <w:rPr>
          <w:color w:val="010101"/>
          <w:sz w:val="21"/>
        </w:rPr>
        <w:t>first</w:t>
      </w:r>
      <w:r>
        <w:rPr>
          <w:color w:val="010101"/>
          <w:spacing w:val="-2"/>
          <w:sz w:val="21"/>
        </w:rPr>
        <w:t> </w:t>
      </w:r>
      <w:r>
        <w:rPr>
          <w:color w:val="010101"/>
          <w:sz w:val="21"/>
        </w:rPr>
        <w:t>a</w:t>
      </w:r>
      <w:r>
        <w:rPr>
          <w:color w:val="010101"/>
          <w:spacing w:val="-14"/>
          <w:sz w:val="21"/>
        </w:rPr>
        <w:t> </w:t>
      </w:r>
      <w:r>
        <w:rPr>
          <w:color w:val="010101"/>
          <w:sz w:val="21"/>
        </w:rPr>
        <w:t>concrete</w:t>
      </w:r>
      <w:r>
        <w:rPr>
          <w:color w:val="010101"/>
          <w:spacing w:val="-1"/>
          <w:sz w:val="21"/>
        </w:rPr>
        <w:t> </w:t>
      </w:r>
      <w:r>
        <w:rPr>
          <w:color w:val="010101"/>
          <w:sz w:val="21"/>
        </w:rPr>
        <w:t>case</w:t>
      </w:r>
      <w:r>
        <w:rPr>
          <w:color w:val="010101"/>
          <w:spacing w:val="-16"/>
          <w:sz w:val="21"/>
        </w:rPr>
        <w:t> </w:t>
      </w:r>
      <w:r>
        <w:rPr>
          <w:color w:val="010101"/>
          <w:sz w:val="21"/>
        </w:rPr>
        <w:t>with</w:t>
      </w:r>
      <w:r>
        <w:rPr>
          <w:color w:val="010101"/>
          <w:spacing w:val="12"/>
          <w:sz w:val="21"/>
        </w:rPr>
        <w:t> </w:t>
      </w:r>
      <w:r>
        <w:rPr>
          <w:color w:val="010101"/>
          <w:sz w:val="21"/>
        </w:rPr>
        <w:t>a</w:t>
      </w:r>
      <w:r>
        <w:rPr>
          <w:color w:val="010101"/>
          <w:spacing w:val="-7"/>
          <w:sz w:val="21"/>
        </w:rPr>
        <w:t> </w:t>
      </w:r>
      <w:r>
        <w:rPr>
          <w:color w:val="010101"/>
          <w:sz w:val="21"/>
        </w:rPr>
        <w:t>k</w:t>
      </w:r>
      <w:r>
        <w:rPr>
          <w:color w:val="010101"/>
          <w:spacing w:val="-32"/>
          <w:sz w:val="21"/>
        </w:rPr>
        <w:t> </w:t>
      </w:r>
      <w:r>
        <w:rPr>
          <w:color w:val="010101"/>
          <w:sz w:val="21"/>
        </w:rPr>
        <w:t>nown </w:t>
      </w:r>
      <w:r>
        <w:rPr>
          <w:rFonts w:ascii="Arial" w:hAnsi="Arial"/>
          <w:i/>
          <w:color w:val="010101"/>
          <w:sz w:val="19"/>
        </w:rPr>
        <w:t>s</w:t>
      </w:r>
      <w:r>
        <w:rPr>
          <w:rFonts w:ascii="Arial" w:hAnsi="Arial"/>
          <w:i/>
          <w:color w:val="010101"/>
          <w:spacing w:val="-22"/>
          <w:sz w:val="19"/>
        </w:rPr>
        <w:t> </w:t>
      </w:r>
      <w:r>
        <w:rPr>
          <w:rFonts w:ascii="Arial" w:hAnsi="Arial"/>
          <w:i/>
          <w:color w:val="010101"/>
          <w:sz w:val="19"/>
        </w:rPr>
        <w:t>(x</w:t>
      </w:r>
      <w:r>
        <w:rPr>
          <w:rFonts w:ascii="Arial" w:hAnsi="Arial"/>
          <w:i/>
          <w:color w:val="010101"/>
          <w:spacing w:val="-30"/>
          <w:sz w:val="19"/>
        </w:rPr>
        <w:t> </w:t>
      </w:r>
      <w:r>
        <w:rPr>
          <w:rFonts w:ascii="Arial" w:hAnsi="Arial"/>
          <w:i/>
          <w:color w:val="010101"/>
          <w:sz w:val="19"/>
        </w:rPr>
        <w:t>)</w:t>
      </w:r>
      <w:r>
        <w:rPr>
          <w:rFonts w:ascii="Arial" w:hAnsi="Arial"/>
          <w:i/>
          <w:color w:val="010101"/>
          <w:spacing w:val="12"/>
          <w:sz w:val="19"/>
        </w:rPr>
        <w:t> </w:t>
      </w:r>
      <w:r>
        <w:rPr>
          <w:color w:val="010101"/>
          <w:sz w:val="21"/>
        </w:rPr>
        <w:t>so</w:t>
      </w:r>
      <w:r>
        <w:rPr>
          <w:color w:val="010101"/>
          <w:spacing w:val="-13"/>
          <w:sz w:val="21"/>
        </w:rPr>
        <w:t> </w:t>
      </w:r>
      <w:r>
        <w:rPr>
          <w:color w:val="010101"/>
          <w:sz w:val="21"/>
        </w:rPr>
        <w:t>that</w:t>
      </w:r>
      <w:r>
        <w:rPr>
          <w:color w:val="010101"/>
          <w:spacing w:val="-2"/>
          <w:sz w:val="21"/>
        </w:rPr>
        <w:t> </w:t>
      </w:r>
      <w:r>
        <w:rPr>
          <w:color w:val="010101"/>
          <w:sz w:val="21"/>
        </w:rPr>
        <w:t>the</w:t>
      </w:r>
      <w:r>
        <w:rPr>
          <w:color w:val="010101"/>
          <w:spacing w:val="-8"/>
          <w:sz w:val="21"/>
        </w:rPr>
        <w:t> </w:t>
      </w:r>
      <w:r>
        <w:rPr>
          <w:color w:val="010101"/>
          <w:sz w:val="21"/>
        </w:rPr>
        <w:t>diff</w:t>
      </w:r>
      <w:r>
        <w:rPr>
          <w:color w:val="010101"/>
          <w:spacing w:val="-27"/>
          <w:sz w:val="21"/>
        </w:rPr>
        <w:t> </w:t>
      </w:r>
      <w:r>
        <w:rPr>
          <w:color w:val="010101"/>
          <w:sz w:val="21"/>
        </w:rPr>
        <w:t>er­ cntiation  can  </w:t>
      </w:r>
      <w:r>
        <w:rPr>
          <w:color w:val="010101"/>
          <w:sz w:val="19"/>
        </w:rPr>
        <w:t>be  </w:t>
      </w:r>
      <w:r>
        <w:rPr>
          <w:color w:val="010101"/>
          <w:sz w:val="21"/>
        </w:rPr>
        <w:t>actually  carried</w:t>
      </w:r>
      <w:r>
        <w:rPr>
          <w:color w:val="010101"/>
          <w:spacing w:val="-11"/>
          <w:sz w:val="21"/>
        </w:rPr>
        <w:t> </w:t>
      </w:r>
      <w:r>
        <w:rPr>
          <w:color w:val="010101"/>
          <w:sz w:val="21"/>
        </w:rPr>
        <w:t>out.</w:t>
      </w:r>
    </w:p>
    <w:p>
      <w:pPr>
        <w:spacing w:line="247" w:lineRule="exact" w:before="0"/>
        <w:ind w:left="46" w:right="87" w:firstLine="0"/>
        <w:jc w:val="center"/>
        <w:rPr>
          <w:sz w:val="21"/>
        </w:rPr>
      </w:pPr>
      <w:r>
        <w:rPr>
          <w:color w:val="010101"/>
          <w:w w:val="110"/>
          <w:sz w:val="21"/>
        </w:rPr>
        <w:t>Let </w:t>
      </w:r>
      <w:r>
        <w:rPr>
          <w:rFonts w:ascii="Arial"/>
          <w:i/>
          <w:color w:val="010101"/>
          <w:sz w:val="19"/>
        </w:rPr>
        <w:t>s </w:t>
      </w:r>
      <w:r>
        <w:rPr>
          <w:rFonts w:ascii="Arial"/>
          <w:i/>
          <w:color w:val="010101"/>
          <w:spacing w:val="3"/>
          <w:sz w:val="19"/>
        </w:rPr>
        <w:t>(x </w:t>
      </w:r>
      <w:r>
        <w:rPr>
          <w:rFonts w:ascii="Arial"/>
          <w:i/>
          <w:color w:val="010101"/>
          <w:sz w:val="19"/>
        </w:rPr>
        <w:t>) </w:t>
      </w:r>
      <w:r>
        <w:rPr>
          <w:color w:val="010101"/>
          <w:w w:val="110"/>
          <w:sz w:val="23"/>
        </w:rPr>
        <w:t>= </w:t>
      </w:r>
      <w:r>
        <w:rPr>
          <w:color w:val="010101"/>
          <w:spacing w:val="-4"/>
          <w:w w:val="110"/>
          <w:sz w:val="25"/>
        </w:rPr>
        <w:t>H</w:t>
      </w:r>
      <w:r>
        <w:rPr>
          <w:color w:val="010101"/>
          <w:spacing w:val="-4"/>
          <w:w w:val="110"/>
          <w:sz w:val="21"/>
        </w:rPr>
        <w:t>ov'100 </w:t>
      </w:r>
      <w:r>
        <w:rPr>
          <w:color w:val="010101"/>
          <w:w w:val="245"/>
          <w:sz w:val="21"/>
        </w:rPr>
        <w:t>-</w:t>
      </w:r>
      <w:r>
        <w:rPr>
          <w:color w:val="010101"/>
          <w:spacing w:val="-97"/>
          <w:w w:val="245"/>
          <w:sz w:val="21"/>
        </w:rPr>
        <w:t> </w:t>
      </w:r>
      <w:r>
        <w:rPr>
          <w:rFonts w:ascii="Arial"/>
          <w:i/>
          <w:color w:val="010101"/>
          <w:w w:val="110"/>
          <w:sz w:val="19"/>
        </w:rPr>
        <w:t>x </w:t>
      </w:r>
      <w:r>
        <w:rPr>
          <w:color w:val="010101"/>
          <w:w w:val="110"/>
          <w:sz w:val="21"/>
        </w:rPr>
        <w:t>and let the radix be 10,000 so that</w:t>
      </w:r>
    </w:p>
    <w:p>
      <w:pPr>
        <w:spacing w:before="73"/>
        <w:ind w:left="44" w:right="87" w:firstLine="0"/>
        <w:jc w:val="center"/>
        <w:rPr>
          <w:i/>
          <w:sz w:val="21"/>
        </w:rPr>
      </w:pPr>
      <w:r>
        <w:rPr>
          <w:i/>
          <w:color w:val="010101"/>
          <w:w w:val="105"/>
          <w:sz w:val="20"/>
        </w:rPr>
        <w:t>lz </w:t>
      </w:r>
      <w:r>
        <w:rPr>
          <w:color w:val="010101"/>
          <w:w w:val="105"/>
          <w:sz w:val="26"/>
        </w:rPr>
        <w:t>= </w:t>
      </w:r>
      <w:r>
        <w:rPr>
          <w:color w:val="010101"/>
          <w:spacing w:val="-5"/>
          <w:w w:val="105"/>
          <w:sz w:val="21"/>
        </w:rPr>
        <w:t>1000,VlOO </w:t>
      </w:r>
      <w:r>
        <w:rPr>
          <w:color w:val="010101"/>
          <w:w w:val="245"/>
          <w:sz w:val="21"/>
        </w:rPr>
        <w:t>-</w:t>
      </w:r>
      <w:r>
        <w:rPr>
          <w:color w:val="010101"/>
          <w:spacing w:val="-54"/>
          <w:w w:val="245"/>
          <w:sz w:val="21"/>
        </w:rPr>
        <w:t> </w:t>
      </w:r>
      <w:r>
        <w:rPr>
          <w:i/>
          <w:color w:val="010101"/>
          <w:w w:val="105"/>
          <w:sz w:val="21"/>
        </w:rPr>
        <w:t>x.</w:t>
      </w:r>
    </w:p>
    <w:p>
      <w:pPr>
        <w:spacing w:before="93"/>
        <w:ind w:left="122" w:right="0" w:firstLine="0"/>
        <w:jc w:val="both"/>
        <w:rPr>
          <w:sz w:val="21"/>
        </w:rPr>
      </w:pPr>
      <w:r>
        <w:rPr>
          <w:color w:val="010101"/>
          <w:sz w:val="21"/>
        </w:rPr>
        <w:t>Denoting the derivative of </w:t>
      </w:r>
      <w:r>
        <w:rPr>
          <w:i/>
          <w:color w:val="010101"/>
          <w:sz w:val="20"/>
        </w:rPr>
        <w:t>lz </w:t>
      </w:r>
      <w:r>
        <w:rPr>
          <w:color w:val="010101"/>
          <w:sz w:val="21"/>
        </w:rPr>
        <w:t>with respect to </w:t>
      </w:r>
      <w:r>
        <w:rPr>
          <w:i/>
          <w:color w:val="010101"/>
          <w:sz w:val="20"/>
        </w:rPr>
        <w:t>x </w:t>
      </w:r>
      <w:r>
        <w:rPr>
          <w:color w:val="010101"/>
          <w:sz w:val="21"/>
        </w:rPr>
        <w:t>by </w:t>
      </w:r>
      <w:r>
        <w:rPr>
          <w:i/>
          <w:color w:val="010101"/>
          <w:sz w:val="20"/>
        </w:rPr>
        <w:t>Dl;,; , </w:t>
      </w:r>
      <w:r>
        <w:rPr>
          <w:color w:val="010101"/>
          <w:sz w:val="21"/>
        </w:rPr>
        <w:t>we  ha.ve</w:t>
      </w:r>
    </w:p>
    <w:p>
      <w:pPr>
        <w:spacing w:line="213" w:lineRule="exact" w:before="103"/>
        <w:ind w:left="799" w:right="87" w:firstLine="0"/>
        <w:jc w:val="center"/>
        <w:rPr>
          <w:sz w:val="21"/>
        </w:rPr>
      </w:pPr>
      <w:r>
        <w:rPr>
          <w:color w:val="010101"/>
          <w:sz w:val="21"/>
        </w:rPr>
        <w:t>500</w:t>
      </w:r>
    </w:p>
    <w:p>
      <w:pPr>
        <w:spacing w:line="247" w:lineRule="exact" w:before="0"/>
        <w:ind w:left="48" w:right="87" w:firstLine="0"/>
        <w:jc w:val="center"/>
        <w:rPr>
          <w:i/>
          <w:sz w:val="14"/>
        </w:rPr>
      </w:pPr>
      <w:r>
        <w:rPr>
          <w:rFonts w:ascii="Arial"/>
          <w:i/>
          <w:color w:val="010101"/>
          <w:w w:val="145"/>
          <w:sz w:val="21"/>
        </w:rPr>
        <w:t>Dl. </w:t>
      </w:r>
      <w:r>
        <w:rPr>
          <w:color w:val="010101"/>
          <w:w w:val="105"/>
          <w:sz w:val="24"/>
        </w:rPr>
        <w:t>= </w:t>
      </w:r>
      <w:r>
        <w:rPr>
          <w:color w:val="010101"/>
          <w:w w:val="200"/>
          <w:sz w:val="24"/>
        </w:rPr>
        <w:t>-</w:t>
      </w:r>
      <w:r>
        <w:rPr>
          <w:color w:val="010101"/>
          <w:spacing w:val="-92"/>
          <w:w w:val="200"/>
          <w:sz w:val="24"/>
        </w:rPr>
        <w:t> </w:t>
      </w:r>
      <w:r>
        <w:rPr>
          <w:color w:val="010101"/>
          <w:w w:val="105"/>
          <w:sz w:val="21"/>
        </w:rPr>
        <w:t>'VIOO </w:t>
      </w:r>
      <w:r>
        <w:rPr>
          <w:color w:val="010101"/>
          <w:w w:val="240"/>
          <w:sz w:val="21"/>
        </w:rPr>
        <w:t>-</w:t>
      </w:r>
      <w:r>
        <w:rPr>
          <w:color w:val="010101"/>
          <w:spacing w:val="-94"/>
          <w:w w:val="240"/>
          <w:sz w:val="21"/>
        </w:rPr>
        <w:t> </w:t>
      </w:r>
      <w:r>
        <w:rPr>
          <w:i/>
          <w:color w:val="010101"/>
          <w:w w:val="105"/>
          <w:sz w:val="14"/>
        </w:rPr>
        <w:t>X </w:t>
      </w:r>
      <w:r>
        <w:rPr>
          <w:i/>
          <w:color w:val="010101"/>
          <w:w w:val="200"/>
          <w:sz w:val="14"/>
        </w:rPr>
        <w:t>'</w:t>
      </w:r>
    </w:p>
    <w:p>
      <w:pPr>
        <w:spacing w:before="145"/>
        <w:ind w:left="111" w:right="0" w:firstLine="0"/>
        <w:jc w:val="both"/>
        <w:rPr>
          <w:sz w:val="21"/>
        </w:rPr>
      </w:pPr>
      <w:r>
        <w:rPr>
          <w:color w:val="010101"/>
          <w:sz w:val="21"/>
        </w:rPr>
        <w:t>and  this mcasures  the rate of  decrease of </w:t>
      </w:r>
      <w:r>
        <w:rPr>
          <w:i/>
          <w:color w:val="010101"/>
          <w:w w:val="90"/>
          <w:sz w:val="20"/>
        </w:rPr>
        <w:t>l;,; </w:t>
      </w:r>
      <w:r>
        <w:rPr>
          <w:color w:val="010101"/>
          <w:sz w:val="21"/>
        </w:rPr>
        <w:t>with  respect  to </w:t>
      </w:r>
      <w:r>
        <w:rPr>
          <w:i/>
          <w:color w:val="010101"/>
          <w:sz w:val="22"/>
        </w:rPr>
        <w:t>x. </w:t>
      </w:r>
      <w:r>
        <w:rPr>
          <w:color w:val="010101"/>
          <w:sz w:val="21"/>
        </w:rPr>
        <w:t>At</w:t>
      </w:r>
    </w:p>
    <w:p>
      <w:pPr>
        <w:spacing w:after="0"/>
        <w:jc w:val="both"/>
        <w:rPr>
          <w:sz w:val="21"/>
        </w:rPr>
        <w:sectPr>
          <w:pgSz w:w="7200" w:h="11340"/>
          <w:pgMar w:top="480" w:bottom="280" w:left="660" w:right="540"/>
        </w:sectPr>
      </w:pPr>
    </w:p>
    <w:p>
      <w:pPr>
        <w:tabs>
          <w:tab w:pos="1990" w:val="left" w:leader="none"/>
          <w:tab w:pos="5986" w:val="right" w:leader="none"/>
        </w:tabs>
        <w:spacing w:before="52"/>
        <w:ind w:left="234" w:right="0" w:firstLine="0"/>
        <w:jc w:val="left"/>
        <w:rPr>
          <w:sz w:val="20"/>
        </w:rPr>
      </w:pPr>
      <w:r>
        <w:rPr>
          <w:w w:val="110"/>
          <w:sz w:val="16"/>
        </w:rPr>
        <w:t>SEC.</w:t>
      </w:r>
      <w:r>
        <w:rPr>
          <w:spacing w:val="-3"/>
          <w:w w:val="110"/>
          <w:sz w:val="16"/>
        </w:rPr>
        <w:t> </w:t>
      </w:r>
      <w:r>
        <w:rPr>
          <w:rFonts w:ascii="Arial"/>
          <w:spacing w:val="-6"/>
          <w:w w:val="110"/>
          <w:sz w:val="20"/>
        </w:rPr>
        <w:t>4)</w:t>
        <w:tab/>
      </w:r>
      <w:r>
        <w:rPr>
          <w:rFonts w:ascii="Arial"/>
          <w:b/>
          <w:w w:val="110"/>
          <w:sz w:val="15"/>
        </w:rPr>
        <w:t>TBE  l'ORCE  01'</w:t>
      </w:r>
      <w:r>
        <w:rPr>
          <w:rFonts w:ascii="Arial"/>
          <w:b/>
          <w:spacing w:val="22"/>
          <w:w w:val="110"/>
          <w:sz w:val="15"/>
        </w:rPr>
        <w:t> </w:t>
      </w:r>
      <w:r>
        <w:rPr>
          <w:rFonts w:ascii="Arial"/>
          <w:b/>
          <w:w w:val="110"/>
          <w:sz w:val="15"/>
        </w:rPr>
        <w:t>MORTALITY </w:t>
      </w:r>
      <w:r>
        <w:rPr>
          <w:rFonts w:ascii="Arial"/>
          <w:b/>
          <w:spacing w:val="13"/>
          <w:w w:val="110"/>
          <w:sz w:val="15"/>
        </w:rPr>
        <w:t> </w:t>
      </w:r>
      <w:r>
        <w:rPr>
          <w:rFonts w:ascii="Arial"/>
          <w:color w:val="AAAAAA"/>
          <w:w w:val="85"/>
          <w:sz w:val="15"/>
        </w:rPr>
        <w:t>.</w:t>
      </w:r>
      <w:r>
        <w:rPr>
          <w:w w:val="85"/>
          <w:position w:val="1"/>
          <w:sz w:val="20"/>
        </w:rPr>
        <w:tab/>
      </w:r>
      <w:r>
        <w:rPr>
          <w:spacing w:val="-25"/>
          <w:w w:val="110"/>
          <w:position w:val="1"/>
          <w:sz w:val="20"/>
        </w:rPr>
        <w:t>13</w:t>
      </w:r>
    </w:p>
    <w:p>
      <w:pPr>
        <w:pStyle w:val="BodyText"/>
        <w:spacing w:before="10"/>
        <w:rPr>
          <w:sz w:val="21"/>
        </w:rPr>
      </w:pPr>
    </w:p>
    <w:p>
      <w:pPr>
        <w:pStyle w:val="BodyText"/>
        <w:ind w:left="244"/>
      </w:pPr>
      <w:r>
        <w:rPr>
          <w:w w:val="105"/>
        </w:rPr>
        <w:t>age 51,  for example,</w:t>
      </w:r>
    </w:p>
    <w:p>
      <w:pPr>
        <w:tabs>
          <w:tab w:pos="3857" w:val="left" w:leader="none"/>
        </w:tabs>
        <w:spacing w:line="210" w:lineRule="exact" w:before="92"/>
        <w:ind w:left="3152" w:right="0" w:firstLine="0"/>
        <w:jc w:val="left"/>
        <w:rPr>
          <w:sz w:val="22"/>
        </w:rPr>
      </w:pPr>
      <w:r>
        <w:rPr/>
        <w:pict>
          <v:shape style="position:absolute;margin-left:104.083504pt;margin-top:3.950862pt;width:46.45pt;height:25pt;mso-position-horizontal-relative:page;mso-position-vertical-relative:paragraph;z-index:1720" type="#_x0000_t202" filled="false" stroked="false">
            <v:textbox inset="0,0,0,0">
              <w:txbxContent>
                <w:p>
                  <w:pPr>
                    <w:spacing w:line="500" w:lineRule="exact" w:before="0"/>
                    <w:ind w:left="0" w:right="-18" w:firstLine="0"/>
                    <w:jc w:val="left"/>
                    <w:rPr>
                      <w:rFonts w:ascii="Arial"/>
                      <w:sz w:val="50"/>
                    </w:rPr>
                  </w:pPr>
                  <w:r>
                    <w:rPr>
                      <w:rFonts w:ascii="Arial"/>
                      <w:w w:val="49"/>
                      <w:sz w:val="50"/>
                    </w:rPr>
                    <w:t>D</w:t>
                  </w:r>
                  <w:r>
                    <w:rPr>
                      <w:rFonts w:ascii="Arial"/>
                      <w:spacing w:val="-36"/>
                      <w:w w:val="49"/>
                      <w:sz w:val="50"/>
                    </w:rPr>
                    <w:t>I</w:t>
                  </w:r>
                  <w:r>
                    <w:rPr>
                      <w:rFonts w:ascii="Arial"/>
                      <w:spacing w:val="-131"/>
                      <w:w w:val="140"/>
                      <w:sz w:val="50"/>
                    </w:rPr>
                    <w:t>.</w:t>
                  </w:r>
                  <w:r>
                    <w:rPr>
                      <w:rFonts w:ascii="Arial"/>
                      <w:spacing w:val="-40"/>
                      <w:w w:val="115"/>
                      <w:sz w:val="50"/>
                    </w:rPr>
                    <w:t>]</w:t>
                  </w:r>
                  <w:r>
                    <w:rPr>
                      <w:rFonts w:ascii="Arial"/>
                      <w:w w:val="93"/>
                      <w:sz w:val="50"/>
                    </w:rPr>
                    <w:t>_</w:t>
                  </w:r>
                  <w:r>
                    <w:rPr>
                      <w:rFonts w:ascii="Arial"/>
                      <w:spacing w:val="-36"/>
                      <w:sz w:val="50"/>
                    </w:rPr>
                    <w:t> </w:t>
                  </w:r>
                  <w:r>
                    <w:rPr>
                      <w:rFonts w:ascii="Arial"/>
                      <w:w w:val="55"/>
                      <w:sz w:val="50"/>
                    </w:rPr>
                    <w:t>=</w:t>
                  </w:r>
                </w:p>
              </w:txbxContent>
            </v:textbox>
            <w10:wrap type="none"/>
          </v:shape>
        </w:pict>
      </w:r>
      <w:r>
        <w:rPr>
          <w:sz w:val="22"/>
        </w:rPr>
        <w:t>500  </w:t>
      </w:r>
      <w:r>
        <w:rPr>
          <w:spacing w:val="11"/>
          <w:sz w:val="22"/>
        </w:rPr>
        <w:t> </w:t>
      </w:r>
      <w:r>
        <w:rPr>
          <w:sz w:val="22"/>
          <w:u w:val="single"/>
        </w:rPr>
        <w:t> </w:t>
        <w:tab/>
      </w:r>
    </w:p>
    <w:p>
      <w:pPr>
        <w:spacing w:line="314" w:lineRule="exact" w:before="0"/>
        <w:ind w:left="2784" w:right="0" w:firstLine="0"/>
        <w:jc w:val="left"/>
        <w:rPr>
          <w:sz w:val="20"/>
        </w:rPr>
      </w:pPr>
      <w:r>
        <w:rPr/>
        <w:pict>
          <v:shape style="position:absolute;margin-left:259.493286pt;margin-top:4.647141pt;width:3.25pt;height:10pt;mso-position-horizontal-relative:page;mso-position-vertical-relative:paragraph;z-index:-734368" type="#_x0000_t202" filled="false" stroked="false">
            <v:textbox inset="0,0,0,0">
              <w:txbxContent>
                <w:p>
                  <w:pPr>
                    <w:pStyle w:val="BodyText"/>
                    <w:spacing w:line="200" w:lineRule="exact"/>
                  </w:pPr>
                  <w:r>
                    <w:rPr>
                      <w:w w:val="178"/>
                    </w:rPr>
                    <w:t>'</w:t>
                  </w:r>
                </w:p>
              </w:txbxContent>
            </v:textbox>
            <w10:wrap type="none"/>
          </v:shape>
        </w:pict>
      </w:r>
      <w:r>
        <w:rPr>
          <w:spacing w:val="-11"/>
          <w:w w:val="130"/>
          <w:sz w:val="20"/>
        </w:rPr>
        <w:t>'\1100 </w:t>
      </w:r>
      <w:r>
        <w:rPr>
          <w:w w:val="265"/>
          <w:sz w:val="20"/>
        </w:rPr>
        <w:t>-</w:t>
      </w:r>
      <w:r>
        <w:rPr>
          <w:spacing w:val="-103"/>
          <w:w w:val="265"/>
          <w:sz w:val="20"/>
        </w:rPr>
        <w:t> </w:t>
      </w:r>
      <w:r>
        <w:rPr>
          <w:spacing w:val="-5"/>
          <w:w w:val="130"/>
          <w:sz w:val="20"/>
        </w:rPr>
        <w:t>51 </w:t>
      </w:r>
      <w:r>
        <w:rPr>
          <w:w w:val="110"/>
          <w:sz w:val="28"/>
        </w:rPr>
        <w:t>= </w:t>
      </w:r>
      <w:r>
        <w:rPr>
          <w:w w:val="180"/>
          <w:sz w:val="28"/>
        </w:rPr>
        <w:t>-</w:t>
      </w:r>
      <w:r>
        <w:rPr>
          <w:spacing w:val="-89"/>
          <w:w w:val="180"/>
          <w:sz w:val="28"/>
        </w:rPr>
        <w:t> </w:t>
      </w:r>
      <w:r>
        <w:rPr>
          <w:w w:val="130"/>
          <w:position w:val="11"/>
          <w:sz w:val="20"/>
        </w:rPr>
        <w:t>71</w:t>
      </w:r>
    </w:p>
    <w:p>
      <w:pPr>
        <w:pStyle w:val="BodyText"/>
        <w:spacing w:line="247" w:lineRule="auto" w:before="97"/>
        <w:ind w:left="237" w:right="136" w:firstLine="3"/>
      </w:pPr>
      <w:r>
        <w:rPr>
          <w:w w:val="115"/>
        </w:rPr>
        <w:t>to</w:t>
      </w:r>
      <w:r>
        <w:rPr>
          <w:spacing w:val="-26"/>
          <w:w w:val="115"/>
        </w:rPr>
        <w:t> </w:t>
      </w:r>
      <w:r>
        <w:rPr>
          <w:w w:val="115"/>
        </w:rPr>
        <w:t>the</w:t>
      </w:r>
      <w:r>
        <w:rPr>
          <w:spacing w:val="-28"/>
          <w:w w:val="115"/>
        </w:rPr>
        <w:t> </w:t>
      </w:r>
      <w:r>
        <w:rPr>
          <w:w w:val="115"/>
        </w:rPr>
        <w:t>nearest</w:t>
      </w:r>
      <w:r>
        <w:rPr>
          <w:spacing w:val="-17"/>
          <w:w w:val="115"/>
        </w:rPr>
        <w:t> </w:t>
      </w:r>
      <w:r>
        <w:rPr>
          <w:w w:val="115"/>
        </w:rPr>
        <w:t>integer.</w:t>
      </w:r>
      <w:r>
        <w:rPr>
          <w:spacing w:val="-26"/>
          <w:w w:val="115"/>
        </w:rPr>
        <w:t> </w:t>
      </w:r>
      <w:r>
        <w:rPr>
          <w:w w:val="115"/>
        </w:rPr>
        <w:t>This</w:t>
      </w:r>
      <w:r>
        <w:rPr>
          <w:spacing w:val="-33"/>
          <w:w w:val="115"/>
        </w:rPr>
        <w:t> </w:t>
      </w:r>
      <w:r>
        <w:rPr>
          <w:w w:val="115"/>
          <w:sz w:val="22"/>
        </w:rPr>
        <w:t>means</w:t>
      </w:r>
      <w:r>
        <w:rPr>
          <w:spacing w:val="-29"/>
          <w:w w:val="115"/>
          <w:sz w:val="22"/>
        </w:rPr>
        <w:t> </w:t>
      </w:r>
      <w:r>
        <w:rPr>
          <w:w w:val="115"/>
        </w:rPr>
        <w:t>that</w:t>
      </w:r>
      <w:r>
        <w:rPr>
          <w:spacing w:val="-19"/>
          <w:w w:val="115"/>
        </w:rPr>
        <w:t> </w:t>
      </w:r>
      <w:r>
        <w:rPr>
          <w:w w:val="115"/>
        </w:rPr>
        <w:t>at</w:t>
      </w:r>
      <w:r>
        <w:rPr>
          <w:spacing w:val="-27"/>
          <w:w w:val="115"/>
        </w:rPr>
        <w:t> </w:t>
      </w:r>
      <w:r>
        <w:rPr>
          <w:w w:val="115"/>
        </w:rPr>
        <w:t>age</w:t>
      </w:r>
      <w:r>
        <w:rPr>
          <w:spacing w:val="-28"/>
          <w:w w:val="115"/>
        </w:rPr>
        <w:t> </w:t>
      </w:r>
      <w:r>
        <w:rPr>
          <w:spacing w:val="2"/>
          <w:w w:val="115"/>
        </w:rPr>
        <w:t>51</w:t>
      </w:r>
      <w:r>
        <w:rPr>
          <w:rFonts w:ascii="Arial"/>
          <w:i/>
          <w:spacing w:val="2"/>
          <w:w w:val="115"/>
          <w:sz w:val="21"/>
        </w:rPr>
        <w:t>l.</w:t>
      </w:r>
      <w:r>
        <w:rPr>
          <w:rFonts w:ascii="Arial"/>
          <w:i/>
          <w:spacing w:val="-53"/>
          <w:w w:val="115"/>
          <w:sz w:val="21"/>
        </w:rPr>
        <w:t> </w:t>
      </w:r>
      <w:r>
        <w:rPr>
          <w:w w:val="115"/>
        </w:rPr>
        <w:t>is</w:t>
      </w:r>
      <w:r>
        <w:rPr>
          <w:spacing w:val="-30"/>
          <w:w w:val="115"/>
        </w:rPr>
        <w:t> </w:t>
      </w:r>
      <w:r>
        <w:rPr>
          <w:w w:val="115"/>
        </w:rPr>
        <w:t>decreasing</w:t>
      </w:r>
      <w:r>
        <w:rPr>
          <w:spacing w:val="-20"/>
          <w:w w:val="115"/>
        </w:rPr>
        <w:t> </w:t>
      </w:r>
      <w:r>
        <w:rPr>
          <w:w w:val="115"/>
        </w:rPr>
        <w:t>at the</w:t>
      </w:r>
      <w:r>
        <w:rPr>
          <w:spacing w:val="-21"/>
          <w:w w:val="115"/>
        </w:rPr>
        <w:t> </w:t>
      </w:r>
      <w:r>
        <w:rPr>
          <w:w w:val="115"/>
        </w:rPr>
        <w:t>rate</w:t>
      </w:r>
      <w:r>
        <w:rPr>
          <w:spacing w:val="-23"/>
          <w:w w:val="115"/>
        </w:rPr>
        <w:t> </w:t>
      </w:r>
      <w:r>
        <w:rPr>
          <w:w w:val="115"/>
        </w:rPr>
        <w:t>of</w:t>
      </w:r>
      <w:r>
        <w:rPr>
          <w:spacing w:val="-15"/>
          <w:w w:val="115"/>
        </w:rPr>
        <w:t> </w:t>
      </w:r>
      <w:r>
        <w:rPr>
          <w:w w:val="115"/>
        </w:rPr>
        <w:t>71</w:t>
      </w:r>
      <w:r>
        <w:rPr>
          <w:spacing w:val="-29"/>
          <w:w w:val="115"/>
        </w:rPr>
        <w:t> </w:t>
      </w:r>
      <w:r>
        <w:rPr>
          <w:w w:val="115"/>
        </w:rPr>
        <w:t>lives</w:t>
      </w:r>
      <w:r>
        <w:rPr>
          <w:spacing w:val="-22"/>
          <w:w w:val="115"/>
        </w:rPr>
        <w:t> </w:t>
      </w:r>
      <w:r>
        <w:rPr>
          <w:w w:val="115"/>
        </w:rPr>
        <w:t>per</w:t>
      </w:r>
      <w:r>
        <w:rPr>
          <w:spacing w:val="-22"/>
          <w:w w:val="115"/>
        </w:rPr>
        <w:t> </w:t>
      </w:r>
      <w:r>
        <w:rPr>
          <w:w w:val="115"/>
        </w:rPr>
        <w:t>year.</w:t>
      </w:r>
    </w:p>
    <w:p>
      <w:pPr>
        <w:pStyle w:val="BodyText"/>
        <w:spacing w:line="252" w:lineRule="auto" w:before="4"/>
        <w:ind w:left="244" w:right="136" w:firstLine="193"/>
      </w:pPr>
      <w:r>
        <w:rPr>
          <w:w w:val="105"/>
        </w:rPr>
        <w:t>As a measure of the .death rate, this figure is unsatisfe.ctory since it dependa upon the number  of  lives which  </w:t>
      </w:r>
      <w:r>
        <w:rPr>
          <w:rFonts w:ascii="Arial"/>
          <w:w w:val="105"/>
          <w:sz w:val="18"/>
        </w:rPr>
        <w:t>are </w:t>
      </w:r>
      <w:r>
        <w:rPr>
          <w:w w:val="105"/>
        </w:rPr>
        <w:t>subject to the  risk</w:t>
      </w:r>
    </w:p>
    <w:p>
      <w:pPr>
        <w:pStyle w:val="BodyText"/>
        <w:spacing w:line="184" w:lineRule="auto"/>
        <w:ind w:left="241" w:right="136" w:firstLine="3"/>
      </w:pPr>
      <w:r>
        <w:rPr>
          <w:w w:val="110"/>
        </w:rPr>
        <w:t>of death at age 51, namely,' </w:t>
      </w:r>
      <w:r>
        <w:rPr>
          <w:spacing w:val="-7"/>
          <w:w w:val="110"/>
        </w:rPr>
        <w:t>l</w:t>
      </w:r>
      <w:r>
        <w:rPr>
          <w:spacing w:val="-7"/>
          <w:w w:val="110"/>
          <w:position w:val="-2"/>
          <w:sz w:val="12"/>
        </w:rPr>
        <w:t>6</w:t>
      </w:r>
      <w:r>
        <w:rPr>
          <w:spacing w:val="-7"/>
          <w:w w:val="110"/>
          <w:sz w:val="12"/>
        </w:rPr>
        <w:t>1 </w:t>
      </w:r>
      <w:r>
        <w:rPr>
          <w:w w:val="110"/>
          <w:sz w:val="26"/>
        </w:rPr>
        <w:t>= </w:t>
      </w:r>
      <w:r>
        <w:rPr>
          <w:w w:val="110"/>
        </w:rPr>
        <w:t>7000. By dividing 71 by 7000, we obtain at age </w:t>
      </w:r>
      <w:r>
        <w:rPr>
          <w:spacing w:val="-6"/>
          <w:w w:val="110"/>
        </w:rPr>
        <w:t>51 </w:t>
      </w:r>
      <w:r>
        <w:rPr>
          <w:w w:val="110"/>
        </w:rPr>
        <w:t>a mortality index of 7Hooo </w:t>
      </w:r>
      <w:r>
        <w:rPr>
          <w:w w:val="110"/>
          <w:sz w:val="28"/>
        </w:rPr>
        <w:t>= </w:t>
      </w:r>
      <w:r>
        <w:rPr>
          <w:spacing w:val="-5"/>
          <w:w w:val="110"/>
        </w:rPr>
        <w:t>.0101, </w:t>
      </w:r>
      <w:r>
        <w:rPr>
          <w:w w:val="110"/>
        </w:rPr>
        <w:t>a</w:t>
      </w:r>
      <w:r>
        <w:rPr>
          <w:spacing w:val="53"/>
          <w:w w:val="110"/>
        </w:rPr>
        <w:t> </w:t>
      </w:r>
      <w:r>
        <w:rPr>
          <w:w w:val="110"/>
        </w:rPr>
        <w:t>result</w:t>
      </w:r>
    </w:p>
    <w:p>
      <w:pPr>
        <w:pStyle w:val="BodyText"/>
        <w:spacing w:before="3"/>
        <w:ind w:left="241"/>
      </w:pPr>
      <w:r>
        <w:rPr/>
        <w:t>which  is independent  of  the  number  of  Iives  attaining  a.ge 51.</w:t>
      </w:r>
    </w:p>
    <w:p>
      <w:pPr>
        <w:pStyle w:val="BodyText"/>
        <w:spacing w:before="1"/>
        <w:ind w:left="244" w:firstLine="196"/>
      </w:pPr>
      <w:r>
        <w:rPr>
          <w:w w:val="105"/>
        </w:rPr>
        <w:t>The mortality index just described is known as the </w:t>
      </w:r>
      <w:r>
        <w:rPr>
          <w:i/>
          <w:w w:val="105"/>
          <w:sz w:val="21"/>
        </w:rPr>
        <w:t>force of </w:t>
      </w:r>
      <w:r>
        <w:rPr>
          <w:i/>
          <w:w w:val="105"/>
          <w:sz w:val="21"/>
        </w:rPr>
        <w:t>mortaUty </w:t>
      </w:r>
      <w:r>
        <w:rPr>
          <w:w w:val="105"/>
        </w:rPr>
        <w:t>and is denoted by the symbol </w:t>
      </w:r>
      <w:r>
        <w:rPr>
          <w:i/>
          <w:w w:val="110"/>
          <w:sz w:val="18"/>
        </w:rPr>
        <w:t>µ• </w:t>
      </w:r>
      <w:r>
        <w:rPr>
          <w:i/>
          <w:w w:val="105"/>
          <w:sz w:val="18"/>
        </w:rPr>
        <w:t>• </w:t>
      </w:r>
      <w:r>
        <w:rPr>
          <w:w w:val="110"/>
        </w:rPr>
        <w:t>Its </w:t>
      </w:r>
      <w:r>
        <w:rPr>
          <w:w w:val="105"/>
        </w:rPr>
        <w:t>definition  is</w:t>
      </w:r>
    </w:p>
    <w:p>
      <w:pPr>
        <w:spacing w:line="180" w:lineRule="exact" w:before="124"/>
        <w:ind w:left="892" w:right="119" w:firstLine="0"/>
        <w:jc w:val="center"/>
        <w:rPr>
          <w:rFonts w:ascii="Arial"/>
          <w:i/>
          <w:sz w:val="21"/>
        </w:rPr>
      </w:pPr>
      <w:r>
        <w:rPr>
          <w:rFonts w:ascii="Arial"/>
          <w:i/>
          <w:w w:val="130"/>
          <w:sz w:val="21"/>
        </w:rPr>
        <w:t>Dl.</w:t>
      </w:r>
    </w:p>
    <w:p>
      <w:pPr>
        <w:tabs>
          <w:tab w:pos="5545" w:val="left" w:leader="none"/>
        </w:tabs>
        <w:spacing w:line="301" w:lineRule="exact" w:before="0"/>
        <w:ind w:left="2533" w:right="0" w:firstLine="0"/>
        <w:jc w:val="left"/>
        <w:rPr>
          <w:rFonts w:ascii="Arial" w:hAnsi="Arial"/>
          <w:sz w:val="20"/>
        </w:rPr>
      </w:pPr>
      <w:r>
        <w:rPr>
          <w:spacing w:val="-37"/>
          <w:w w:val="125"/>
          <w:sz w:val="28"/>
        </w:rPr>
        <w:t>"</w:t>
      </w:r>
      <w:r>
        <w:rPr>
          <w:spacing w:val="-61"/>
          <w:w w:val="233"/>
          <w:sz w:val="28"/>
        </w:rPr>
        <w:t>·</w:t>
      </w:r>
      <w:r>
        <w:rPr>
          <w:w w:val="89"/>
          <w:sz w:val="28"/>
        </w:rPr>
        <w:t>=</w:t>
      </w:r>
      <w:r>
        <w:rPr>
          <w:sz w:val="28"/>
        </w:rPr>
        <w:t> </w:t>
      </w:r>
      <w:r>
        <w:rPr>
          <w:spacing w:val="-21"/>
          <w:sz w:val="28"/>
        </w:rPr>
        <w:t> </w:t>
      </w:r>
      <w:r>
        <w:rPr>
          <w:w w:val="214"/>
          <w:sz w:val="28"/>
        </w:rPr>
        <w:t>-</w:t>
      </w:r>
      <w:r>
        <w:rPr>
          <w:spacing w:val="-28"/>
          <w:sz w:val="28"/>
        </w:rPr>
        <w:t> </w:t>
      </w:r>
      <w:r>
        <w:rPr>
          <w:i/>
          <w:w w:val="133"/>
          <w:sz w:val="30"/>
        </w:rPr>
        <w:t>T..</w:t>
      </w:r>
      <w:r>
        <w:rPr>
          <w:i/>
          <w:sz w:val="30"/>
        </w:rPr>
        <w:tab/>
      </w:r>
      <w:r>
        <w:rPr>
          <w:rFonts w:ascii="Arial" w:hAnsi="Arial"/>
          <w:w w:val="128"/>
          <w:position w:val="11"/>
          <w:sz w:val="20"/>
        </w:rPr>
        <w:t>(</w:t>
      </w:r>
      <w:r>
        <w:rPr>
          <w:rFonts w:ascii="Arial" w:hAnsi="Arial"/>
          <w:spacing w:val="-53"/>
          <w:w w:val="128"/>
          <w:position w:val="11"/>
          <w:sz w:val="20"/>
        </w:rPr>
        <w:t>1</w:t>
      </w:r>
      <w:r>
        <w:rPr>
          <w:rFonts w:ascii="Arial" w:hAnsi="Arial"/>
          <w:spacing w:val="-65"/>
          <w:w w:val="176"/>
          <w:position w:val="11"/>
          <w:sz w:val="20"/>
        </w:rPr>
        <w:t>.</w:t>
      </w:r>
      <w:r>
        <w:rPr>
          <w:rFonts w:ascii="Arial" w:hAnsi="Arial"/>
          <w:w w:val="112"/>
          <w:position w:val="11"/>
          <w:sz w:val="20"/>
        </w:rPr>
        <w:t>9</w:t>
      </w:r>
      <w:r>
        <w:rPr>
          <w:rFonts w:ascii="Arial" w:hAnsi="Arial"/>
          <w:w w:val="112"/>
          <w:position w:val="11"/>
          <w:sz w:val="20"/>
        </w:rPr>
        <w:t>)</w:t>
      </w:r>
    </w:p>
    <w:p>
      <w:pPr>
        <w:pStyle w:val="BodyText"/>
        <w:spacing w:before="125"/>
        <w:ind w:left="237"/>
      </w:pPr>
      <w:r>
        <w:rPr>
          <w:w w:val="105"/>
        </w:rPr>
        <w:t>An equivalent expression is</w:t>
      </w:r>
    </w:p>
    <w:p>
      <w:pPr>
        <w:spacing w:line="165" w:lineRule="exact" w:before="128"/>
        <w:ind w:left="811" w:right="119" w:firstLine="0"/>
        <w:jc w:val="center"/>
        <w:rPr>
          <w:rFonts w:ascii="Arial"/>
          <w:i/>
          <w:sz w:val="20"/>
        </w:rPr>
      </w:pPr>
      <w:r>
        <w:rPr>
          <w:rFonts w:ascii="Arial"/>
          <w:i/>
          <w:sz w:val="20"/>
        </w:rPr>
        <w:t>Da( x )</w:t>
      </w:r>
    </w:p>
    <w:p>
      <w:pPr>
        <w:spacing w:line="269" w:lineRule="exact" w:before="0"/>
        <w:ind w:left="229" w:right="119" w:firstLine="0"/>
        <w:jc w:val="center"/>
        <w:rPr>
          <w:sz w:val="20"/>
        </w:rPr>
      </w:pPr>
      <w:r>
        <w:rPr>
          <w:w w:val="95"/>
          <w:sz w:val="29"/>
        </w:rPr>
        <w:t>,,.. = </w:t>
      </w:r>
      <w:r>
        <w:rPr>
          <w:w w:val="170"/>
          <w:sz w:val="29"/>
        </w:rPr>
        <w:t>- </w:t>
      </w:r>
      <w:r>
        <w:rPr>
          <w:b/>
          <w:w w:val="95"/>
          <w:sz w:val="20"/>
          <w:u w:val="thick"/>
        </w:rPr>
        <w:t>1(%) </w:t>
      </w:r>
      <w:r>
        <w:rPr>
          <w:w w:val="170"/>
          <w:sz w:val="20"/>
        </w:rPr>
        <w:t>.</w:t>
      </w:r>
    </w:p>
    <w:p>
      <w:pPr>
        <w:pStyle w:val="BodyText"/>
        <w:spacing w:line="226" w:lineRule="exact" w:before="174"/>
        <w:ind w:left="241"/>
      </w:pPr>
      <w:r>
        <w:rPr>
          <w:w w:val="112"/>
        </w:rPr>
        <w:t>The</w:t>
      </w:r>
      <w:r>
        <w:rPr>
          <w:spacing w:val="10"/>
        </w:rPr>
        <w:t> </w:t>
      </w:r>
      <w:r>
        <w:rPr>
          <w:w w:val="98"/>
        </w:rPr>
        <w:t>following</w:t>
      </w:r>
      <w:r>
        <w:rPr>
          <w:spacing w:val="13"/>
        </w:rPr>
        <w:t> </w:t>
      </w:r>
      <w:r>
        <w:rPr>
          <w:w w:val="105"/>
        </w:rPr>
        <w:t>properties</w:t>
      </w:r>
      <w:r>
        <w:rPr>
          <w:spacing w:val="18"/>
        </w:rPr>
        <w:t> </w:t>
      </w:r>
      <w:r>
        <w:rPr>
          <w:w w:val="103"/>
        </w:rPr>
        <w:t>should</w:t>
      </w:r>
      <w:r>
        <w:rPr>
          <w:spacing w:val="24"/>
        </w:rPr>
        <w:t> </w:t>
      </w:r>
      <w:r>
        <w:rPr>
          <w:w w:val="102"/>
        </w:rPr>
        <w:t>be</w:t>
      </w:r>
      <w:r>
        <w:rPr>
          <w:spacing w:val="13"/>
        </w:rPr>
        <w:t> </w:t>
      </w:r>
      <w:r>
        <w:rPr>
          <w:w w:val="108"/>
        </w:rPr>
        <w:t>kept</w:t>
      </w:r>
      <w:r>
        <w:rPr/>
        <w:t> </w:t>
      </w:r>
      <w:r>
        <w:rPr>
          <w:spacing w:val="-21"/>
        </w:rPr>
        <w:t> </w:t>
      </w:r>
      <w:r>
        <w:rPr>
          <w:w w:val="101"/>
        </w:rPr>
        <w:t>in</w:t>
      </w:r>
      <w:r>
        <w:rPr>
          <w:spacing w:val="13"/>
        </w:rPr>
        <w:t> </w:t>
      </w:r>
      <w:r>
        <w:rPr>
          <w:w w:val="109"/>
        </w:rPr>
        <w:t>mind:</w:t>
      </w:r>
      <w:r>
        <w:rPr/>
        <w:t> </w:t>
      </w:r>
      <w:r>
        <w:rPr>
          <w:spacing w:val="-9"/>
        </w:rPr>
        <w:t> </w:t>
      </w:r>
      <w:r>
        <w:rPr>
          <w:rFonts w:ascii="Arial" w:hAnsi="Arial"/>
          <w:w w:val="117"/>
          <w:sz w:val="19"/>
        </w:rPr>
        <w:t>(</w:t>
      </w:r>
      <w:r>
        <w:rPr>
          <w:rFonts w:ascii="Arial" w:hAnsi="Arial"/>
          <w:spacing w:val="-14"/>
          <w:w w:val="117"/>
          <w:sz w:val="19"/>
        </w:rPr>
        <w:t>1</w:t>
      </w:r>
      <w:r>
        <w:rPr>
          <w:rFonts w:ascii="Arial" w:hAnsi="Arial"/>
          <w:w w:val="125"/>
          <w:sz w:val="19"/>
        </w:rPr>
        <w:t>)</w:t>
      </w:r>
      <w:r>
        <w:rPr>
          <w:rFonts w:ascii="Arial" w:hAnsi="Arial"/>
          <w:spacing w:val="-1"/>
          <w:sz w:val="19"/>
        </w:rPr>
        <w:t> </w:t>
      </w:r>
      <w:r>
        <w:rPr>
          <w:rFonts w:ascii="Arial" w:hAnsi="Arial"/>
          <w:w w:val="77"/>
          <w:sz w:val="19"/>
        </w:rPr>
        <w:t>,,</w:t>
      </w:r>
      <w:r>
        <w:rPr>
          <w:rFonts w:ascii="Arial" w:hAnsi="Arial"/>
          <w:spacing w:val="-20"/>
          <w:w w:val="77"/>
          <w:sz w:val="19"/>
        </w:rPr>
        <w:t>.</w:t>
      </w:r>
      <w:r>
        <w:rPr>
          <w:rFonts w:ascii="Arial" w:hAnsi="Arial"/>
          <w:spacing w:val="-42"/>
          <w:w w:val="335"/>
          <w:sz w:val="19"/>
        </w:rPr>
        <w:t>.</w:t>
      </w:r>
      <w:r>
        <w:rPr>
          <w:w w:val="101"/>
        </w:rPr>
        <w:t>is</w:t>
      </w:r>
      <w:r>
        <w:rPr>
          <w:spacing w:val="7"/>
        </w:rPr>
        <w:t> </w:t>
      </w:r>
      <w:r>
        <w:rPr>
          <w:rFonts w:ascii="Arial" w:hAnsi="Arial"/>
          <w:w w:val="103"/>
          <w:sz w:val="19"/>
        </w:rPr>
        <w:t>a</w:t>
      </w:r>
      <w:r>
        <w:rPr>
          <w:rFonts w:ascii="Arial" w:hAnsi="Arial"/>
          <w:spacing w:val="-6"/>
          <w:sz w:val="19"/>
        </w:rPr>
        <w:t> </w:t>
      </w:r>
      <w:r>
        <w:rPr>
          <w:w w:val="103"/>
        </w:rPr>
        <w:t>meas­</w:t>
      </w:r>
    </w:p>
    <w:p>
      <w:pPr>
        <w:spacing w:line="247" w:lineRule="exact" w:before="0"/>
        <w:ind w:left="84" w:right="119" w:firstLine="0"/>
        <w:jc w:val="center"/>
        <w:rPr>
          <w:i/>
          <w:sz w:val="16"/>
        </w:rPr>
      </w:pPr>
      <w:r>
        <w:rPr>
          <w:color w:val="232323"/>
          <w:sz w:val="20"/>
        </w:rPr>
        <w:t>. </w:t>
      </w:r>
      <w:r>
        <w:rPr>
          <w:sz w:val="20"/>
        </w:rPr>
        <w:t>ure of the mortality </w:t>
      </w:r>
      <w:r>
        <w:rPr>
          <w:i/>
          <w:sz w:val="16"/>
        </w:rPr>
        <w:t>al, </w:t>
      </w:r>
      <w:r>
        <w:rPr>
          <w:i/>
          <w:sz w:val="20"/>
        </w:rPr>
        <w:t>the </w:t>
      </w:r>
      <w:r>
        <w:rPr>
          <w:i/>
          <w:sz w:val="22"/>
        </w:rPr>
        <w:t>precise </w:t>
      </w:r>
      <w:r>
        <w:rPr>
          <w:rFonts w:ascii="Arial"/>
          <w:i/>
          <w:sz w:val="18"/>
        </w:rPr>
        <w:t>moment </w:t>
      </w:r>
      <w:r>
        <w:rPr>
          <w:i/>
          <w:sz w:val="21"/>
        </w:rPr>
        <w:t>of at,t.aining age x ; </w:t>
      </w:r>
      <w:r>
        <w:rPr>
          <w:sz w:val="20"/>
        </w:rPr>
        <w:t>(2) </w:t>
      </w:r>
      <w:r>
        <w:rPr>
          <w:i/>
          <w:sz w:val="16"/>
        </w:rPr>
        <w:t>P.z</w:t>
      </w:r>
    </w:p>
    <w:p>
      <w:pPr>
        <w:spacing w:line="240" w:lineRule="exact" w:before="0"/>
        <w:ind w:left="244" w:right="0" w:firstLine="0"/>
        <w:jc w:val="left"/>
        <w:rPr>
          <w:i/>
          <w:sz w:val="21"/>
        </w:rPr>
      </w:pPr>
      <w:r>
        <w:rPr>
          <w:w w:val="105"/>
          <w:sz w:val="20"/>
        </w:rPr>
        <w:t>expresses this mortality  in the form of an </w:t>
      </w:r>
      <w:r>
        <w:rPr>
          <w:i/>
          <w:w w:val="105"/>
          <w:sz w:val="21"/>
        </w:rPr>
        <w:t>annual rate.</w:t>
      </w:r>
    </w:p>
    <w:p>
      <w:pPr>
        <w:pStyle w:val="BodyText"/>
        <w:spacing w:before="2"/>
        <w:ind w:left="241" w:right="105" w:firstLine="200"/>
        <w:jc w:val="both"/>
      </w:pPr>
      <w:r>
        <w:rPr>
          <w:w w:val="105"/>
        </w:rPr>
        <w:t>The values of     are not confined  to the interval </w:t>
      </w:r>
      <w:r>
        <w:rPr>
          <w:w w:val="95"/>
          <w:sz w:val="21"/>
        </w:rPr>
        <w:t>O     ,,.      </w:t>
      </w:r>
      <w:r>
        <w:rPr>
          <w:spacing w:val="-19"/>
          <w:w w:val="105"/>
          <w:sz w:val="21"/>
        </w:rPr>
        <w:t>1,  </w:t>
      </w:r>
      <w:r>
        <w:rPr>
          <w:w w:val="105"/>
        </w:rPr>
        <w:t>in the way that probability functions </w:t>
      </w:r>
      <w:r>
        <w:rPr>
          <w:rFonts w:ascii="Arial" w:hAnsi="Arial"/>
          <w:w w:val="105"/>
          <w:sz w:val="18"/>
        </w:rPr>
        <w:t>are </w:t>
      </w:r>
      <w:r>
        <w:rPr>
          <w:w w:val="105"/>
        </w:rPr>
        <w:t>restricted, but may  assume any positive value. </w:t>
      </w:r>
      <w:r>
        <w:rPr>
          <w:w w:val="105"/>
          <w:sz w:val="22"/>
        </w:rPr>
        <w:t>It </w:t>
      </w:r>
      <w:r>
        <w:rPr>
          <w:w w:val="105"/>
        </w:rPr>
        <w:t>can be seen from fonnula </w:t>
      </w:r>
      <w:r>
        <w:rPr>
          <w:spacing w:val="-4"/>
          <w:w w:val="105"/>
        </w:rPr>
        <w:t>(1.9) </w:t>
      </w:r>
      <w:r>
        <w:rPr>
          <w:w w:val="105"/>
        </w:rPr>
        <w:t>that ,,.. will </w:t>
      </w:r>
      <w:r>
        <w:rPr>
          <w:w w:val="105"/>
          <w:sz w:val="21"/>
        </w:rPr>
        <w:t>exceed </w:t>
      </w:r>
      <w:r>
        <w:rPr>
          <w:w w:val="105"/>
        </w:rPr>
        <w:t>unity whenever the numerical value of the slope of the </w:t>
      </w:r>
      <w:r>
        <w:rPr>
          <w:rFonts w:ascii="Arial" w:hAnsi="Arial"/>
          <w:i/>
          <w:w w:val="125"/>
        </w:rPr>
        <w:t>l. </w:t>
      </w:r>
      <w:r>
        <w:rPr>
          <w:w w:val="106"/>
        </w:rPr>
        <w:t>curve </w:t>
      </w:r>
      <w:r>
        <w:rPr>
          <w:w w:val="99"/>
        </w:rPr>
        <w:t>exceeds </w:t>
      </w:r>
      <w:r>
        <w:rPr>
          <w:w w:val="112"/>
        </w:rPr>
        <w:t>the </w:t>
      </w:r>
      <w:r>
        <w:rPr>
          <w:w w:val="102"/>
        </w:rPr>
        <w:t>corresponding </w:t>
      </w:r>
      <w:r>
        <w:rPr>
          <w:w w:val="106"/>
        </w:rPr>
        <w:t>value </w:t>
      </w:r>
      <w:r>
        <w:rPr>
          <w:w w:val="88"/>
        </w:rPr>
        <w:t>of </w:t>
      </w:r>
      <w:r>
        <w:rPr>
          <w:rFonts w:ascii="Arial" w:hAnsi="Arial"/>
          <w:spacing w:val="-2"/>
          <w:w w:val="97"/>
        </w:rPr>
        <w:t>z•</w:t>
      </w:r>
      <w:r>
        <w:rPr>
          <w:rFonts w:ascii="Arial" w:hAnsi="Arial"/>
          <w:w w:val="97"/>
        </w:rPr>
        <w:t> </w:t>
      </w:r>
      <w:r>
        <w:rPr>
          <w:rFonts w:ascii="Arial" w:hAnsi="Arial"/>
          <w:w w:val="55"/>
        </w:rPr>
        <w:t>•  </w:t>
      </w:r>
      <w:r>
        <w:rPr>
          <w:w w:val="111"/>
        </w:rPr>
        <w:t>This </w:t>
      </w:r>
      <w:r>
        <w:rPr>
          <w:w w:val="107"/>
        </w:rPr>
        <w:t>nonnally  </w:t>
      </w:r>
      <w:r>
        <w:rPr>
          <w:w w:val="102"/>
        </w:rPr>
        <w:t>occurs </w:t>
      </w:r>
      <w:r>
        <w:rPr>
          <w:w w:val="105"/>
        </w:rPr>
        <w:t>at both ends of the life-span, in the first few days following birth, &amp;nd</w:t>
      </w:r>
      <w:r>
        <w:rPr>
          <w:spacing w:val="-6"/>
          <w:w w:val="105"/>
        </w:rPr>
        <w:t> </w:t>
      </w:r>
      <w:r>
        <w:rPr>
          <w:w w:val="105"/>
        </w:rPr>
        <w:t>again</w:t>
      </w:r>
      <w:r>
        <w:rPr>
          <w:spacing w:val="-10"/>
          <w:w w:val="105"/>
        </w:rPr>
        <w:t> </w:t>
      </w:r>
      <w:r>
        <w:rPr>
          <w:w w:val="105"/>
        </w:rPr>
        <w:t>in</w:t>
      </w:r>
      <w:r>
        <w:rPr>
          <w:spacing w:val="-16"/>
          <w:w w:val="105"/>
        </w:rPr>
        <w:t> </w:t>
      </w:r>
      <w:r>
        <w:rPr>
          <w:w w:val="105"/>
        </w:rPr>
        <w:t>the</w:t>
      </w:r>
      <w:r>
        <w:rPr>
          <w:spacing w:val="-21"/>
          <w:w w:val="105"/>
        </w:rPr>
        <w:t> </w:t>
      </w:r>
      <w:r>
        <w:rPr>
          <w:w w:val="105"/>
        </w:rPr>
        <w:t>year</w:t>
      </w:r>
      <w:r>
        <w:rPr>
          <w:spacing w:val="-11"/>
          <w:w w:val="105"/>
        </w:rPr>
        <w:t> </w:t>
      </w:r>
      <w:r>
        <w:rPr>
          <w:w w:val="105"/>
        </w:rPr>
        <w:t>of age</w:t>
      </w:r>
      <w:r>
        <w:rPr>
          <w:spacing w:val="-14"/>
          <w:w w:val="105"/>
        </w:rPr>
        <w:t> </w:t>
      </w:r>
      <w:r>
        <w:rPr>
          <w:w w:val="105"/>
        </w:rPr>
        <w:t>preceding</w:t>
      </w:r>
      <w:r>
        <w:rPr>
          <w:spacing w:val="3"/>
          <w:w w:val="105"/>
        </w:rPr>
        <w:t> </w:t>
      </w:r>
      <w:r>
        <w:rPr>
          <w:w w:val="105"/>
        </w:rPr>
        <w:t>age</w:t>
      </w:r>
      <w:r>
        <w:rPr>
          <w:spacing w:val="-22"/>
          <w:w w:val="105"/>
        </w:rPr>
        <w:t> </w:t>
      </w:r>
      <w:r>
        <w:rPr>
          <w:i/>
          <w:w w:val="105"/>
          <w:sz w:val="18"/>
        </w:rPr>
        <w:t>w.</w:t>
      </w:r>
      <w:r>
        <w:rPr>
          <w:i/>
          <w:spacing w:val="-14"/>
          <w:w w:val="105"/>
          <w:sz w:val="18"/>
        </w:rPr>
        <w:t> </w:t>
      </w:r>
      <w:r>
        <w:rPr>
          <w:w w:val="105"/>
          <w:sz w:val="22"/>
        </w:rPr>
        <w:t>In</w:t>
      </w:r>
      <w:r>
        <w:rPr>
          <w:spacing w:val="-16"/>
          <w:w w:val="105"/>
          <w:sz w:val="22"/>
        </w:rPr>
        <w:t> </w:t>
      </w:r>
      <w:r>
        <w:rPr>
          <w:spacing w:val="2"/>
          <w:w w:val="105"/>
        </w:rPr>
        <w:t>fact,</w:t>
      </w:r>
      <w:r>
        <w:rPr>
          <w:spacing w:val="-13"/>
          <w:w w:val="105"/>
        </w:rPr>
        <w:t> </w:t>
      </w:r>
      <w:r>
        <w:rPr>
          <w:w w:val="105"/>
        </w:rPr>
        <w:t>as</w:t>
      </w:r>
      <w:r>
        <w:rPr>
          <w:spacing w:val="-23"/>
          <w:w w:val="105"/>
        </w:rPr>
        <w:t> </w:t>
      </w:r>
      <w:r>
        <w:rPr>
          <w:rFonts w:ascii="Arial" w:hAnsi="Arial"/>
          <w:i/>
          <w:w w:val="105"/>
          <w:sz w:val="18"/>
        </w:rPr>
        <w:t>x</w:t>
      </w:r>
      <w:r>
        <w:rPr>
          <w:rFonts w:ascii="Arial" w:hAnsi="Arial"/>
          <w:i/>
          <w:spacing w:val="-1"/>
          <w:w w:val="105"/>
          <w:sz w:val="18"/>
        </w:rPr>
        <w:t> </w:t>
      </w:r>
      <w:r>
        <w:rPr>
          <w:w w:val="105"/>
        </w:rPr>
        <w:t>approaches</w:t>
      </w:r>
    </w:p>
    <w:p>
      <w:pPr>
        <w:spacing w:line="250" w:lineRule="exact" w:before="0"/>
        <w:ind w:left="244" w:right="0" w:firstLine="0"/>
        <w:jc w:val="left"/>
        <w:rPr>
          <w:sz w:val="20"/>
        </w:rPr>
      </w:pPr>
      <w:r>
        <w:rPr>
          <w:sz w:val="20"/>
        </w:rPr>
        <w:t>age </w:t>
      </w:r>
      <w:r>
        <w:rPr>
          <w:sz w:val="16"/>
        </w:rPr>
        <w:t>w, </w:t>
      </w:r>
      <w:r>
        <w:rPr>
          <w:rFonts w:ascii="Arial" w:hAnsi="Arial"/>
          <w:i/>
          <w:w w:val="130"/>
          <w:sz w:val="20"/>
        </w:rPr>
        <w:t>l. </w:t>
      </w:r>
      <w:r>
        <w:rPr>
          <w:sz w:val="20"/>
        </w:rPr>
        <w:t>approaches </w:t>
      </w:r>
      <w:r>
        <w:rPr>
          <w:rFonts w:ascii="Arial" w:hAnsi="Arial"/>
          <w:sz w:val="19"/>
        </w:rPr>
        <w:t>O </w:t>
      </w:r>
      <w:r>
        <w:rPr>
          <w:sz w:val="20"/>
        </w:rPr>
        <w:t>and </w:t>
      </w:r>
      <w:r>
        <w:rPr>
          <w:rFonts w:ascii="Arial" w:hAnsi="Arial"/>
          <w:w w:val="90"/>
          <w:sz w:val="31"/>
        </w:rPr>
        <w:t>"*• </w:t>
      </w:r>
      <w:r>
        <w:rPr>
          <w:sz w:val="20"/>
        </w:rPr>
        <w:t>becomes infinite.</w:t>
      </w:r>
    </w:p>
    <w:p>
      <w:pPr>
        <w:pStyle w:val="BodyText"/>
        <w:spacing w:line="235" w:lineRule="auto"/>
        <w:ind w:left="244" w:right="126" w:firstLine="207"/>
        <w:jc w:val="both"/>
      </w:pPr>
      <w:r>
        <w:rPr>
          <w:w w:val="125"/>
        </w:rPr>
        <w:t>It </w:t>
      </w:r>
      <w:r>
        <w:rPr>
          <w:w w:val="105"/>
        </w:rPr>
        <w:t>is now possible to write an </w:t>
      </w:r>
      <w:r>
        <w:rPr>
          <w:w w:val="125"/>
        </w:rPr>
        <w:t>exprion </w:t>
      </w:r>
      <w:r>
        <w:rPr>
          <w:w w:val="105"/>
        </w:rPr>
        <w:t>for the value of </w:t>
      </w:r>
      <w:r>
        <w:rPr>
          <w:rFonts w:ascii="Arial"/>
          <w:i/>
          <w:w w:val="125"/>
          <w:sz w:val="21"/>
        </w:rPr>
        <w:t>l. </w:t>
      </w:r>
      <w:r>
        <w:rPr>
          <w:w w:val="105"/>
        </w:rPr>
        <w:t>at a particular age </w:t>
      </w:r>
      <w:r>
        <w:rPr>
          <w:rFonts w:ascii="Arial"/>
          <w:i/>
          <w:w w:val="105"/>
          <w:sz w:val="19"/>
        </w:rPr>
        <w:t>y </w:t>
      </w:r>
      <w:r>
        <w:rPr>
          <w:w w:val="105"/>
        </w:rPr>
        <w:t>in terms of the function ,,.. </w:t>
      </w:r>
      <w:r>
        <w:rPr>
          <w:w w:val="125"/>
        </w:rPr>
        <w:t>. </w:t>
      </w:r>
      <w:r>
        <w:rPr>
          <w:w w:val="105"/>
          <w:sz w:val="22"/>
        </w:rPr>
        <w:t>I</w:t>
      </w:r>
      <w:r>
        <w:rPr>
          <w:w w:val="105"/>
        </w:rPr>
        <w:t>t will be seen from formula  (1.9)  that  an altemative expression  for     is</w:t>
      </w:r>
    </w:p>
    <w:p>
      <w:pPr>
        <w:tabs>
          <w:tab w:pos="5405" w:val="left" w:leader="none"/>
        </w:tabs>
        <w:spacing w:before="31"/>
        <w:ind w:left="2380" w:right="0" w:firstLine="0"/>
        <w:jc w:val="left"/>
        <w:rPr>
          <w:sz w:val="12"/>
        </w:rPr>
      </w:pPr>
      <w:r>
        <w:rPr>
          <w:i/>
          <w:w w:val="135"/>
          <w:sz w:val="17"/>
        </w:rPr>
        <w:t>µ. </w:t>
      </w:r>
      <w:r>
        <w:rPr>
          <w:sz w:val="26"/>
        </w:rPr>
        <w:t>=  </w:t>
      </w:r>
      <w:r>
        <w:rPr>
          <w:rFonts w:ascii="Arial" w:hAnsi="Arial"/>
          <w:i/>
          <w:w w:val="135"/>
          <w:sz w:val="20"/>
        </w:rPr>
        <w:t>-D</w:t>
      </w:r>
      <w:r>
        <w:rPr>
          <w:rFonts w:ascii="Arial" w:hAnsi="Arial"/>
          <w:i/>
          <w:spacing w:val="-29"/>
          <w:w w:val="135"/>
          <w:sz w:val="20"/>
        </w:rPr>
        <w:t> </w:t>
      </w:r>
      <w:r>
        <w:rPr>
          <w:sz w:val="20"/>
        </w:rPr>
        <w:t>log</w:t>
      </w:r>
      <w:r>
        <w:rPr>
          <w:spacing w:val="-4"/>
          <w:sz w:val="20"/>
        </w:rPr>
        <w:t> </w:t>
      </w:r>
      <w:r>
        <w:rPr>
          <w:sz w:val="31"/>
        </w:rPr>
        <w:t>z..</w:t>
        <w:tab/>
      </w:r>
      <w:r>
        <w:rPr>
          <w:sz w:val="20"/>
        </w:rPr>
        <w:t>(1.10)</w:t>
      </w:r>
      <w:r>
        <w:rPr>
          <w:spacing w:val="2"/>
          <w:sz w:val="20"/>
        </w:rPr>
        <w:t> </w:t>
      </w:r>
      <w:r>
        <w:rPr>
          <w:position w:val="10"/>
          <w:sz w:val="12"/>
        </w:rPr>
        <w:t>1</w:t>
      </w:r>
    </w:p>
    <w:p>
      <w:pPr>
        <w:pStyle w:val="BodyText"/>
        <w:spacing w:before="94"/>
        <w:ind w:left="238" w:right="119"/>
        <w:jc w:val="center"/>
      </w:pPr>
      <w:r>
        <w:rPr/>
        <w:t>Replacin</w:t>
      </w:r>
      <w:r>
        <w:rPr>
          <w:u w:val="thick"/>
        </w:rPr>
        <w:t>g  </w:t>
      </w:r>
      <w:r>
        <w:rPr>
          <w:rFonts w:ascii="Arial"/>
          <w:i/>
          <w:sz w:val="19"/>
        </w:rPr>
        <w:t>x  </w:t>
      </w:r>
      <w:r>
        <w:rPr/>
        <w:t>by  </w:t>
      </w:r>
      <w:r>
        <w:rPr>
          <w:rFonts w:ascii="Arial"/>
          <w:i/>
          <w:sz w:val="18"/>
        </w:rPr>
        <w:t>y  </w:t>
      </w:r>
      <w:r>
        <w:rPr/>
        <w:t>and  integrating  both  sides  between  the  limits  O</w:t>
      </w:r>
    </w:p>
    <w:p>
      <w:pPr>
        <w:spacing w:line="200" w:lineRule="exact" w:before="119"/>
        <w:ind w:left="419" w:right="119" w:firstLine="0"/>
        <w:jc w:val="center"/>
        <w:rPr>
          <w:sz w:val="18"/>
        </w:rPr>
      </w:pPr>
      <w:r>
        <w:rPr>
          <w:w w:val="105"/>
          <w:position w:val="6"/>
          <w:sz w:val="10"/>
        </w:rPr>
        <w:t>1 </w:t>
      </w:r>
      <w:r>
        <w:rPr>
          <w:w w:val="105"/>
          <w:sz w:val="18"/>
        </w:rPr>
        <w:t>The symbol  log is used  here to denote  a natural  logarithm.  Common</w:t>
      </w:r>
    </w:p>
    <w:p>
      <w:pPr>
        <w:spacing w:line="200" w:lineRule="exact" w:before="0"/>
        <w:ind w:left="248" w:right="0" w:firstLine="0"/>
        <w:jc w:val="left"/>
        <w:rPr>
          <w:rFonts w:ascii="Arial"/>
          <w:sz w:val="16"/>
        </w:rPr>
      </w:pPr>
      <w:r>
        <w:rPr>
          <w:b/>
          <w:w w:val="102"/>
          <w:sz w:val="17"/>
        </w:rPr>
        <w:t>logarithms</w:t>
      </w:r>
      <w:r>
        <w:rPr>
          <w:b/>
          <w:sz w:val="17"/>
        </w:rPr>
        <w:t> </w:t>
      </w:r>
      <w:r>
        <w:rPr>
          <w:b/>
          <w:spacing w:val="-2"/>
          <w:sz w:val="17"/>
        </w:rPr>
        <w:t> </w:t>
      </w:r>
      <w:r>
        <w:rPr>
          <w:w w:val="100"/>
          <w:sz w:val="17"/>
        </w:rPr>
        <w:t>will</w:t>
      </w:r>
      <w:r>
        <w:rPr>
          <w:sz w:val="17"/>
        </w:rPr>
        <w:t> </w:t>
      </w:r>
      <w:r>
        <w:rPr>
          <w:spacing w:val="-2"/>
          <w:sz w:val="17"/>
        </w:rPr>
        <w:t> </w:t>
      </w:r>
      <w:r>
        <w:rPr>
          <w:rFonts w:ascii="Arial"/>
          <w:w w:val="102"/>
          <w:sz w:val="16"/>
        </w:rPr>
        <w:t>be</w:t>
      </w:r>
      <w:r>
        <w:rPr>
          <w:rFonts w:ascii="Arial"/>
          <w:spacing w:val="19"/>
          <w:sz w:val="16"/>
        </w:rPr>
        <w:t> </w:t>
      </w:r>
      <w:r>
        <w:rPr>
          <w:w w:val="102"/>
          <w:sz w:val="18"/>
        </w:rPr>
        <w:t>denoted</w:t>
      </w:r>
      <w:r>
        <w:rPr>
          <w:sz w:val="18"/>
        </w:rPr>
        <w:t> </w:t>
      </w:r>
      <w:r>
        <w:rPr>
          <w:spacing w:val="-4"/>
          <w:sz w:val="18"/>
        </w:rPr>
        <w:t> </w:t>
      </w:r>
      <w:r>
        <w:rPr>
          <w:w w:val="102"/>
          <w:sz w:val="18"/>
        </w:rPr>
        <w:t>by</w:t>
      </w:r>
      <w:r>
        <w:rPr>
          <w:sz w:val="18"/>
        </w:rPr>
        <w:t> </w:t>
      </w:r>
      <w:r>
        <w:rPr>
          <w:spacing w:val="-17"/>
          <w:sz w:val="18"/>
        </w:rPr>
        <w:t> </w:t>
      </w:r>
      <w:r>
        <w:rPr>
          <w:rFonts w:ascii="Arial"/>
          <w:b/>
          <w:w w:val="86"/>
          <w:sz w:val="16"/>
        </w:rPr>
        <w:t>1</w:t>
      </w:r>
      <w:r>
        <w:rPr>
          <w:rFonts w:ascii="Arial"/>
          <w:b/>
          <w:spacing w:val="-16"/>
          <w:w w:val="86"/>
          <w:sz w:val="16"/>
        </w:rPr>
        <w:t>0</w:t>
      </w:r>
      <w:r>
        <w:rPr>
          <w:rFonts w:ascii="Arial"/>
          <w:b/>
          <w:spacing w:val="-51"/>
          <w:w w:val="168"/>
          <w:sz w:val="16"/>
        </w:rPr>
        <w:t>1</w:t>
      </w:r>
      <w:r>
        <w:rPr>
          <w:rFonts w:ascii="Arial"/>
          <w:b/>
          <w:w w:val="61"/>
          <w:sz w:val="16"/>
        </w:rPr>
        <w:t>10</w:t>
      </w:r>
      <w:r>
        <w:rPr>
          <w:rFonts w:ascii="Arial"/>
          <w:b/>
          <w:spacing w:val="-5"/>
          <w:sz w:val="16"/>
        </w:rPr>
        <w:t> </w:t>
      </w:r>
      <w:r>
        <w:rPr>
          <w:rFonts w:ascii="Arial"/>
          <w:w w:val="176"/>
          <w:sz w:val="16"/>
        </w:rPr>
        <w:t>.</w:t>
      </w:r>
    </w:p>
    <w:p>
      <w:pPr>
        <w:spacing w:after="0" w:line="200" w:lineRule="exact"/>
        <w:jc w:val="left"/>
        <w:rPr>
          <w:rFonts w:ascii="Arial"/>
          <w:sz w:val="16"/>
        </w:rPr>
        <w:sectPr>
          <w:pgSz w:w="7200" w:h="11340"/>
          <w:pgMar w:top="520" w:bottom="280" w:left="560" w:right="520"/>
        </w:sectPr>
      </w:pPr>
    </w:p>
    <w:p>
      <w:pPr>
        <w:tabs>
          <w:tab w:pos="1507" w:val="left" w:leader="none"/>
          <w:tab w:pos="5381" w:val="left" w:leader="none"/>
        </w:tabs>
        <w:spacing w:before="59"/>
        <w:ind w:left="166" w:right="0" w:firstLine="0"/>
        <w:jc w:val="left"/>
        <w:rPr>
          <w:sz w:val="20"/>
        </w:rPr>
      </w:pPr>
      <w:r>
        <w:rPr>
          <w:color w:val="010101"/>
          <w:spacing w:val="-29"/>
          <w:w w:val="110"/>
          <w:position w:val="3"/>
          <w:sz w:val="20"/>
        </w:rPr>
        <w:t>14</w:t>
        <w:tab/>
      </w:r>
      <w:r>
        <w:rPr>
          <w:color w:val="010101"/>
          <w:w w:val="110"/>
          <w:position w:val="1"/>
          <w:sz w:val="15"/>
        </w:rPr>
        <w:t>THE  MEASUREMENT </w:t>
      </w:r>
      <w:r>
        <w:rPr>
          <w:color w:val="010101"/>
          <w:spacing w:val="1"/>
          <w:w w:val="110"/>
          <w:position w:val="1"/>
          <w:sz w:val="15"/>
        </w:rPr>
        <w:t> </w:t>
      </w:r>
      <w:r>
        <w:rPr>
          <w:color w:val="010101"/>
          <w:w w:val="110"/>
          <w:position w:val="1"/>
          <w:sz w:val="15"/>
        </w:rPr>
        <w:t>OF</w:t>
      </w:r>
      <w:r>
        <w:rPr>
          <w:color w:val="010101"/>
          <w:spacing w:val="24"/>
          <w:w w:val="110"/>
          <w:position w:val="1"/>
          <w:sz w:val="15"/>
        </w:rPr>
        <w:t> </w:t>
      </w:r>
      <w:r>
        <w:rPr>
          <w:b/>
          <w:color w:val="010101"/>
          <w:w w:val="110"/>
          <w:position w:val="1"/>
          <w:sz w:val="15"/>
        </w:rPr>
        <w:t>M9RTALITY</w:t>
        <w:tab/>
      </w:r>
      <w:r>
        <w:rPr>
          <w:color w:val="010101"/>
          <w:w w:val="105"/>
          <w:sz w:val="19"/>
        </w:rPr>
        <w:t>(CH.</w:t>
      </w:r>
      <w:r>
        <w:rPr>
          <w:color w:val="010101"/>
          <w:spacing w:val="-18"/>
          <w:w w:val="105"/>
          <w:sz w:val="19"/>
        </w:rPr>
        <w:t> </w:t>
      </w:r>
      <w:r>
        <w:rPr>
          <w:color w:val="010101"/>
          <w:w w:val="105"/>
          <w:sz w:val="20"/>
        </w:rPr>
        <w:t>1</w:t>
      </w:r>
    </w:p>
    <w:p>
      <w:pPr>
        <w:pStyle w:val="BodyText"/>
        <w:spacing w:before="10"/>
        <w:rPr>
          <w:sz w:val="11"/>
        </w:rPr>
      </w:pPr>
    </w:p>
    <w:p>
      <w:pPr>
        <w:spacing w:after="0"/>
        <w:rPr>
          <w:sz w:val="11"/>
        </w:rPr>
        <w:sectPr>
          <w:pgSz w:w="7200" w:h="11340"/>
          <w:pgMar w:top="500" w:bottom="280" w:left="660" w:right="520"/>
        </w:sectPr>
      </w:pPr>
    </w:p>
    <w:p>
      <w:pPr>
        <w:spacing w:before="73"/>
        <w:ind w:left="151" w:right="-17" w:firstLine="0"/>
        <w:jc w:val="left"/>
        <w:rPr>
          <w:sz w:val="21"/>
        </w:rPr>
      </w:pPr>
      <w:r>
        <w:rPr>
          <w:color w:val="010101"/>
          <w:w w:val="105"/>
          <w:sz w:val="21"/>
        </w:rPr>
        <w:t>and</w:t>
      </w:r>
      <w:r>
        <w:rPr>
          <w:color w:val="010101"/>
          <w:spacing w:val="-4"/>
          <w:w w:val="105"/>
          <w:sz w:val="21"/>
        </w:rPr>
        <w:t> </w:t>
      </w:r>
      <w:r>
        <w:rPr>
          <w:color w:val="010101"/>
          <w:w w:val="105"/>
          <w:sz w:val="21"/>
        </w:rPr>
        <w:t>x,</w:t>
      </w:r>
    </w:p>
    <w:p>
      <w:pPr>
        <w:spacing w:before="182"/>
        <w:ind w:left="151" w:right="0" w:firstLine="0"/>
        <w:jc w:val="left"/>
        <w:rPr>
          <w:i/>
          <w:sz w:val="21"/>
        </w:rPr>
      </w:pPr>
      <w:r>
        <w:rPr/>
        <w:br w:type="column"/>
      </w:r>
      <w:r>
        <w:rPr>
          <w:color w:val="010101"/>
          <w:w w:val="90"/>
          <w:sz w:val="58"/>
        </w:rPr>
        <w:t>f</w:t>
      </w:r>
      <w:r>
        <w:rPr>
          <w:color w:val="010101"/>
          <w:spacing w:val="-49"/>
          <w:sz w:val="58"/>
        </w:rPr>
        <w:t> </w:t>
      </w:r>
      <w:r>
        <w:rPr>
          <w:color w:val="010101"/>
          <w:spacing w:val="-36"/>
          <w:w w:val="61"/>
          <w:sz w:val="58"/>
        </w:rPr>
        <w:t>"</w:t>
      </w:r>
      <w:r>
        <w:rPr>
          <w:color w:val="010101"/>
          <w:spacing w:val="16"/>
          <w:w w:val="103"/>
          <w:sz w:val="58"/>
        </w:rPr>
        <w:t>'</w:t>
      </w:r>
      <w:r>
        <w:rPr>
          <w:i/>
          <w:color w:val="010101"/>
          <w:spacing w:val="9"/>
          <w:w w:val="90"/>
          <w:sz w:val="21"/>
        </w:rPr>
        <w:t>d</w:t>
      </w:r>
      <w:r>
        <w:rPr>
          <w:i/>
          <w:color w:val="010101"/>
          <w:w w:val="86"/>
          <w:sz w:val="21"/>
        </w:rPr>
        <w:t>y</w:t>
      </w:r>
      <w:r>
        <w:rPr>
          <w:i/>
          <w:color w:val="010101"/>
          <w:sz w:val="21"/>
        </w:rPr>
        <w:t> </w:t>
      </w:r>
      <w:r>
        <w:rPr>
          <w:i/>
          <w:color w:val="010101"/>
          <w:spacing w:val="14"/>
          <w:sz w:val="21"/>
        </w:rPr>
        <w:t> </w:t>
      </w:r>
      <w:r>
        <w:rPr>
          <w:color w:val="010101"/>
          <w:w w:val="91"/>
          <w:sz w:val="26"/>
        </w:rPr>
        <w:t>=</w:t>
      </w:r>
      <w:r>
        <w:rPr>
          <w:color w:val="010101"/>
          <w:sz w:val="26"/>
        </w:rPr>
        <w:t> </w:t>
      </w:r>
      <w:r>
        <w:rPr>
          <w:color w:val="010101"/>
          <w:spacing w:val="-8"/>
          <w:sz w:val="26"/>
        </w:rPr>
        <w:t> </w:t>
      </w:r>
      <w:r>
        <w:rPr>
          <w:color w:val="010101"/>
          <w:w w:val="220"/>
          <w:sz w:val="26"/>
        </w:rPr>
        <w:t>-</w:t>
      </w:r>
      <w:r>
        <w:rPr>
          <w:color w:val="010101"/>
          <w:spacing w:val="-17"/>
          <w:sz w:val="26"/>
        </w:rPr>
        <w:t> </w:t>
      </w:r>
      <w:r>
        <w:rPr>
          <w:color w:val="010101"/>
          <w:w w:val="86"/>
          <w:sz w:val="59"/>
        </w:rPr>
        <w:t>f</w:t>
      </w:r>
      <w:r>
        <w:rPr>
          <w:color w:val="010101"/>
          <w:spacing w:val="-54"/>
          <w:sz w:val="59"/>
        </w:rPr>
        <w:t> </w:t>
      </w:r>
      <w:r>
        <w:rPr>
          <w:i/>
          <w:color w:val="010101"/>
          <w:w w:val="99"/>
          <w:sz w:val="21"/>
        </w:rPr>
        <w:t>D</w:t>
      </w:r>
      <w:r>
        <w:rPr>
          <w:i/>
          <w:color w:val="010101"/>
          <w:sz w:val="21"/>
        </w:rPr>
        <w:t> </w:t>
      </w:r>
      <w:r>
        <w:rPr>
          <w:i/>
          <w:color w:val="010101"/>
          <w:spacing w:val="-25"/>
          <w:sz w:val="21"/>
        </w:rPr>
        <w:t> </w:t>
      </w:r>
      <w:r>
        <w:rPr>
          <w:color w:val="010101"/>
          <w:w w:val="94"/>
          <w:sz w:val="21"/>
        </w:rPr>
        <w:t>log</w:t>
      </w:r>
      <w:r>
        <w:rPr>
          <w:color w:val="010101"/>
          <w:spacing w:val="11"/>
          <w:sz w:val="21"/>
        </w:rPr>
        <w:t> </w:t>
      </w:r>
      <w:r>
        <w:rPr>
          <w:color w:val="010101"/>
          <w:w w:val="51"/>
          <w:sz w:val="21"/>
        </w:rPr>
        <w:t>Z,,</w:t>
      </w:r>
      <w:r>
        <w:rPr>
          <w:color w:val="010101"/>
          <w:spacing w:val="5"/>
          <w:sz w:val="21"/>
        </w:rPr>
        <w:t> </w:t>
      </w:r>
      <w:r>
        <w:rPr>
          <w:i/>
          <w:color w:val="010101"/>
          <w:spacing w:val="12"/>
          <w:w w:val="87"/>
          <w:sz w:val="21"/>
        </w:rPr>
        <w:t>d</w:t>
      </w:r>
      <w:r>
        <w:rPr>
          <w:i/>
          <w:color w:val="010101"/>
          <w:w w:val="86"/>
          <w:sz w:val="21"/>
        </w:rPr>
        <w:t>y</w:t>
      </w:r>
    </w:p>
    <w:p>
      <w:pPr>
        <w:spacing w:before="3"/>
        <w:ind w:left="960" w:right="0" w:firstLine="0"/>
        <w:jc w:val="left"/>
        <w:rPr>
          <w:rFonts w:ascii="Arial" w:hAnsi="Arial"/>
          <w:i/>
          <w:sz w:val="41"/>
        </w:rPr>
      </w:pPr>
      <w:r>
        <w:rPr>
          <w:color w:val="010101"/>
          <w:w w:val="95"/>
          <w:sz w:val="26"/>
        </w:rPr>
        <w:t>= </w:t>
      </w:r>
      <w:r>
        <w:rPr>
          <w:color w:val="010101"/>
          <w:w w:val="120"/>
          <w:sz w:val="20"/>
        </w:rPr>
        <w:t>-log </w:t>
      </w:r>
      <w:r>
        <w:rPr>
          <w:rFonts w:ascii="Arial" w:hAnsi="Arial"/>
          <w:color w:val="010101"/>
          <w:spacing w:val="-37"/>
          <w:w w:val="95"/>
          <w:sz w:val="23"/>
        </w:rPr>
        <w:t>4</w:t>
      </w:r>
      <w:r>
        <w:rPr>
          <w:color w:val="010101"/>
          <w:spacing w:val="-37"/>
          <w:w w:val="95"/>
          <w:sz w:val="33"/>
        </w:rPr>
        <w:t>J</w:t>
      </w:r>
      <w:r>
        <w:rPr>
          <w:rFonts w:ascii="Arial" w:hAnsi="Arial"/>
          <w:color w:val="010101"/>
          <w:spacing w:val="-37"/>
          <w:w w:val="95"/>
          <w:position w:val="11"/>
          <w:sz w:val="31"/>
        </w:rPr>
        <w:t>T</w:t>
      </w:r>
      <w:r>
        <w:rPr>
          <w:color w:val="010101"/>
          <w:spacing w:val="-37"/>
          <w:w w:val="95"/>
          <w:sz w:val="33"/>
        </w:rPr>
        <w:t>o</w:t>
      </w:r>
      <w:r>
        <w:rPr>
          <w:rFonts w:ascii="Arial" w:hAnsi="Arial"/>
          <w:color w:val="010101"/>
          <w:spacing w:val="-37"/>
          <w:w w:val="95"/>
          <w:position w:val="11"/>
          <w:sz w:val="31"/>
        </w:rPr>
        <w:t>' </w:t>
      </w:r>
      <w:r>
        <w:rPr>
          <w:color w:val="010101"/>
          <w:w w:val="95"/>
          <w:sz w:val="26"/>
        </w:rPr>
        <w:t>= </w:t>
      </w:r>
      <w:r>
        <w:rPr>
          <w:color w:val="010101"/>
          <w:w w:val="120"/>
          <w:sz w:val="20"/>
        </w:rPr>
        <w:t>-log </w:t>
      </w:r>
      <w:r>
        <w:rPr>
          <w:rFonts w:ascii="Arial" w:hAnsi="Arial"/>
          <w:color w:val="010101"/>
          <w:spacing w:val="-19"/>
          <w:w w:val="85"/>
          <w:position w:val="11"/>
          <w:sz w:val="22"/>
        </w:rPr>
        <w:t>z</w:t>
      </w:r>
      <w:r>
        <w:rPr>
          <w:rFonts w:ascii="Arial" w:hAnsi="Arial"/>
          <w:i/>
          <w:color w:val="010101"/>
          <w:spacing w:val="-19"/>
          <w:w w:val="85"/>
          <w:sz w:val="41"/>
        </w:rPr>
        <w:t>¡;</w:t>
      </w:r>
      <w:r>
        <w:rPr>
          <w:rFonts w:ascii="Arial" w:hAnsi="Arial"/>
          <w:i/>
          <w:color w:val="010101"/>
          <w:spacing w:val="-78"/>
          <w:w w:val="85"/>
          <w:sz w:val="41"/>
        </w:rPr>
        <w:t> </w:t>
      </w:r>
      <w:r>
        <w:rPr>
          <w:rFonts w:ascii="Arial" w:hAnsi="Arial"/>
          <w:i/>
          <w:color w:val="010101"/>
          <w:w w:val="85"/>
          <w:sz w:val="41"/>
        </w:rPr>
        <w:t>,</w:t>
      </w:r>
    </w:p>
    <w:p>
      <w:pPr>
        <w:spacing w:after="0"/>
        <w:jc w:val="left"/>
        <w:rPr>
          <w:rFonts w:ascii="Arial" w:hAnsi="Arial"/>
          <w:sz w:val="41"/>
        </w:rPr>
        <w:sectPr>
          <w:type w:val="continuous"/>
          <w:pgSz w:w="7200" w:h="11340"/>
          <w:pgMar w:top="1100" w:bottom="0" w:left="660" w:right="520"/>
          <w:cols w:num="2" w:equalWidth="0">
            <w:col w:w="689" w:space="692"/>
            <w:col w:w="4639"/>
          </w:cols>
        </w:sectPr>
      </w:pPr>
    </w:p>
    <w:p>
      <w:pPr>
        <w:pStyle w:val="BodyText"/>
        <w:spacing w:before="128"/>
        <w:ind w:left="144"/>
      </w:pPr>
      <w:r>
        <w:rPr>
          <w:color w:val="010101"/>
          <w:w w:val="105"/>
        </w:rPr>
        <w:t>and hence we have</w:t>
      </w:r>
    </w:p>
    <w:p>
      <w:pPr>
        <w:pStyle w:val="BodyText"/>
        <w:spacing w:before="7"/>
        <w:rPr>
          <w:sz w:val="32"/>
        </w:rPr>
      </w:pPr>
      <w:r>
        <w:rPr/>
        <w:br w:type="column"/>
      </w:r>
      <w:r>
        <w:rPr>
          <w:sz w:val="32"/>
        </w:rPr>
      </w:r>
    </w:p>
    <w:p>
      <w:pPr>
        <w:tabs>
          <w:tab w:pos="781" w:val="left" w:leader="none"/>
          <w:tab w:pos="3152" w:val="left" w:leader="none"/>
        </w:tabs>
        <w:spacing w:before="1"/>
        <w:ind w:left="144" w:right="0" w:firstLine="0"/>
        <w:jc w:val="left"/>
        <w:rPr>
          <w:sz w:val="20"/>
        </w:rPr>
      </w:pPr>
      <w:r>
        <w:rPr>
          <w:i/>
          <w:color w:val="010101"/>
          <w:w w:val="66"/>
          <w:position w:val="1"/>
          <w:sz w:val="34"/>
        </w:rPr>
        <w:t>z.</w:t>
      </w:r>
      <w:r>
        <w:rPr>
          <w:i/>
          <w:color w:val="010101"/>
          <w:spacing w:val="-9"/>
          <w:position w:val="1"/>
          <w:sz w:val="34"/>
        </w:rPr>
        <w:t> </w:t>
      </w:r>
      <w:r>
        <w:rPr>
          <w:color w:val="010101"/>
          <w:w w:val="94"/>
          <w:position w:val="1"/>
          <w:sz w:val="26"/>
        </w:rPr>
        <w:t>=</w:t>
      </w:r>
      <w:r>
        <w:rPr>
          <w:color w:val="010101"/>
          <w:position w:val="1"/>
          <w:sz w:val="26"/>
        </w:rPr>
        <w:tab/>
      </w:r>
      <w:r>
        <w:rPr>
          <w:color w:val="010101"/>
          <w:spacing w:val="-23"/>
          <w:w w:val="149"/>
          <w:position w:val="1"/>
          <w:sz w:val="26"/>
        </w:rPr>
        <w:t>-</w:t>
      </w:r>
      <w:r>
        <w:rPr>
          <w:rFonts w:ascii="Arial" w:hAnsi="Arial"/>
          <w:color w:val="010101"/>
          <w:w w:val="64"/>
          <w:position w:val="1"/>
          <w:sz w:val="30"/>
        </w:rPr>
        <w:t>fo</w:t>
      </w:r>
      <w:r>
        <w:rPr>
          <w:rFonts w:ascii="Arial" w:hAnsi="Arial"/>
          <w:color w:val="010101"/>
          <w:spacing w:val="-32"/>
          <w:position w:val="1"/>
          <w:sz w:val="30"/>
        </w:rPr>
        <w:t> </w:t>
      </w:r>
      <w:r>
        <w:rPr>
          <w:rFonts w:ascii="Arial" w:hAnsi="Arial"/>
          <w:color w:val="010101"/>
          <w:w w:val="89"/>
          <w:position w:val="1"/>
          <w:sz w:val="30"/>
        </w:rPr>
        <w:t>-</w:t>
      </w:r>
      <w:r>
        <w:rPr>
          <w:rFonts w:ascii="Arial" w:hAnsi="Arial"/>
          <w:color w:val="010101"/>
          <w:spacing w:val="21"/>
          <w:w w:val="89"/>
          <w:position w:val="1"/>
          <w:sz w:val="30"/>
        </w:rPr>
        <w:t>.</w:t>
      </w:r>
      <w:r>
        <w:rPr>
          <w:rFonts w:ascii="Arial" w:hAnsi="Arial"/>
          <w:color w:val="010101"/>
          <w:spacing w:val="-22"/>
          <w:w w:val="83"/>
          <w:position w:val="1"/>
          <w:sz w:val="30"/>
        </w:rPr>
        <w:t>"</w:t>
      </w:r>
      <w:r>
        <w:rPr>
          <w:rFonts w:ascii="Arial" w:hAnsi="Arial"/>
          <w:color w:val="010101"/>
          <w:spacing w:val="-30"/>
          <w:w w:val="88"/>
          <w:position w:val="1"/>
          <w:sz w:val="30"/>
        </w:rPr>
        <w:t>•</w:t>
      </w:r>
      <w:r>
        <w:rPr>
          <w:rFonts w:ascii="Arial" w:hAnsi="Arial"/>
          <w:color w:val="010101"/>
          <w:w w:val="128"/>
          <w:position w:val="1"/>
          <w:sz w:val="30"/>
        </w:rPr>
        <w:t>.</w:t>
      </w:r>
      <w:r>
        <w:rPr>
          <w:rFonts w:ascii="Arial" w:hAnsi="Arial"/>
          <w:color w:val="010101"/>
          <w:position w:val="1"/>
          <w:sz w:val="30"/>
        </w:rPr>
        <w:tab/>
      </w:r>
      <w:r>
        <w:rPr>
          <w:color w:val="010101"/>
          <w:w w:val="90"/>
          <w:sz w:val="20"/>
        </w:rPr>
        <w:t>(</w:t>
      </w:r>
      <w:r>
        <w:rPr>
          <w:color w:val="010101"/>
          <w:spacing w:val="-15"/>
          <w:sz w:val="20"/>
        </w:rPr>
        <w:t> </w:t>
      </w:r>
      <w:r>
        <w:rPr>
          <w:color w:val="010101"/>
          <w:w w:val="102"/>
          <w:sz w:val="20"/>
        </w:rPr>
        <w:t>1.11)</w:t>
      </w:r>
    </w:p>
    <w:p>
      <w:pPr>
        <w:spacing w:after="0"/>
        <w:jc w:val="left"/>
        <w:rPr>
          <w:sz w:val="20"/>
        </w:rPr>
        <w:sectPr>
          <w:type w:val="continuous"/>
          <w:pgSz w:w="7200" w:h="11340"/>
          <w:pgMar w:top="1100" w:bottom="0" w:left="660" w:right="520"/>
          <w:cols w:num="2" w:equalWidth="0">
            <w:col w:w="1772" w:space="413"/>
            <w:col w:w="3835"/>
          </w:cols>
        </w:sectPr>
      </w:pPr>
    </w:p>
    <w:p>
      <w:pPr>
        <w:pStyle w:val="BodyText"/>
        <w:spacing w:line="244" w:lineRule="auto" w:before="96"/>
        <w:ind w:left="141" w:firstLine="200"/>
      </w:pPr>
      <w:r>
        <w:rPr>
          <w:color w:val="010101"/>
          <w:w w:val="125"/>
        </w:rPr>
        <w:t>It </w:t>
      </w:r>
      <w:r>
        <w:rPr>
          <w:color w:val="010101"/>
          <w:w w:val="105"/>
        </w:rPr>
        <w:t>is now easy </w:t>
      </w:r>
      <w:r>
        <w:rPr>
          <w:color w:val="010101"/>
          <w:w w:val="105"/>
          <w:sz w:val="21"/>
        </w:rPr>
        <w:t>to </w:t>
      </w:r>
      <w:r>
        <w:rPr>
          <w:color w:val="010101"/>
          <w:w w:val="105"/>
        </w:rPr>
        <w:t>obtain an expression for </w:t>
      </w:r>
      <w:r>
        <w:rPr>
          <w:i/>
          <w:color w:val="010101"/>
          <w:w w:val="105"/>
        </w:rPr>
        <w:t>,.pz </w:t>
      </w:r>
      <w:r>
        <w:rPr>
          <w:color w:val="010101"/>
          <w:w w:val="125"/>
        </w:rPr>
        <w:t>. </w:t>
      </w:r>
      <w:r>
        <w:rPr>
          <w:color w:val="010101"/>
          <w:w w:val="105"/>
        </w:rPr>
        <w:t>From (1.11), we ha.ve</w:t>
      </w:r>
    </w:p>
    <w:p>
      <w:pPr>
        <w:spacing w:after="0" w:line="244" w:lineRule="auto"/>
        <w:sectPr>
          <w:type w:val="continuous"/>
          <w:pgSz w:w="7200" w:h="11340"/>
          <w:pgMar w:top="1100" w:bottom="0" w:left="660" w:right="520"/>
        </w:sectPr>
      </w:pPr>
    </w:p>
    <w:p>
      <w:pPr>
        <w:pStyle w:val="BodyText"/>
      </w:pPr>
    </w:p>
    <w:p>
      <w:pPr>
        <w:pStyle w:val="BodyText"/>
        <w:spacing w:before="7"/>
        <w:rPr>
          <w:sz w:val="23"/>
        </w:rPr>
      </w:pPr>
    </w:p>
    <w:p>
      <w:pPr>
        <w:pStyle w:val="BodyText"/>
        <w:ind w:left="137" w:right="-20"/>
      </w:pPr>
      <w:r>
        <w:rPr>
          <w:color w:val="010101"/>
          <w:w w:val="110"/>
        </w:rPr>
        <w:t>Then</w:t>
      </w:r>
    </w:p>
    <w:p>
      <w:pPr>
        <w:pStyle w:val="BodyText"/>
        <w:rPr>
          <w:sz w:val="24"/>
        </w:rPr>
      </w:pPr>
      <w:r>
        <w:rPr/>
        <w:br w:type="column"/>
      </w:r>
      <w:r>
        <w:rPr>
          <w:sz w:val="24"/>
        </w:rPr>
      </w:r>
    </w:p>
    <w:p>
      <w:pPr>
        <w:pStyle w:val="BodyText"/>
        <w:rPr>
          <w:sz w:val="24"/>
        </w:rPr>
      </w:pPr>
    </w:p>
    <w:p>
      <w:pPr>
        <w:pStyle w:val="BodyText"/>
        <w:rPr>
          <w:sz w:val="24"/>
        </w:rPr>
      </w:pPr>
    </w:p>
    <w:p>
      <w:pPr>
        <w:spacing w:before="151"/>
        <w:ind w:left="137" w:right="-12" w:firstLine="0"/>
        <w:jc w:val="left"/>
        <w:rPr>
          <w:b/>
          <w:i/>
          <w:sz w:val="25"/>
        </w:rPr>
      </w:pPr>
      <w:r>
        <w:rPr>
          <w:b/>
          <w:i/>
          <w:color w:val="010101"/>
          <w:w w:val="105"/>
          <w:sz w:val="25"/>
        </w:rPr>
        <w:t>.p. =</w:t>
      </w:r>
    </w:p>
    <w:p>
      <w:pPr>
        <w:spacing w:line="478" w:lineRule="exact" w:before="0"/>
        <w:ind w:left="47" w:right="76" w:firstLine="0"/>
        <w:jc w:val="center"/>
        <w:rPr>
          <w:sz w:val="47"/>
        </w:rPr>
      </w:pPr>
      <w:r>
        <w:rPr/>
        <w:br w:type="column"/>
      </w:r>
      <w:r>
        <w:rPr>
          <w:b/>
          <w:i/>
          <w:color w:val="010101"/>
          <w:w w:val="60"/>
          <w:sz w:val="21"/>
        </w:rPr>
        <w:t>ls+ta   </w:t>
      </w:r>
      <w:r>
        <w:rPr>
          <w:color w:val="010101"/>
          <w:w w:val="60"/>
          <w:sz w:val="24"/>
        </w:rPr>
        <w:t>= </w:t>
      </w:r>
      <w:r>
        <w:rPr>
          <w:b/>
          <w:i/>
          <w:color w:val="010101"/>
          <w:w w:val="60"/>
          <w:sz w:val="47"/>
        </w:rPr>
        <w:t>loe-r.·</w:t>
      </w:r>
      <w:r>
        <w:rPr>
          <w:color w:val="010101"/>
          <w:w w:val="60"/>
          <w:sz w:val="47"/>
        </w:rPr>
        <w:t>"•"".</w:t>
      </w:r>
    </w:p>
    <w:p>
      <w:pPr>
        <w:tabs>
          <w:tab w:pos="669" w:val="left" w:leader="none"/>
          <w:tab w:pos="2128" w:val="left" w:leader="none"/>
        </w:tabs>
        <w:spacing w:line="451" w:lineRule="exact" w:before="99"/>
        <w:ind w:left="47" w:right="0" w:firstLine="0"/>
        <w:jc w:val="center"/>
        <w:rPr>
          <w:rFonts w:ascii="Arial" w:hAnsi="Arial"/>
          <w:b/>
          <w:i/>
          <w:sz w:val="37"/>
        </w:rPr>
      </w:pPr>
      <w:r>
        <w:rPr>
          <w:i/>
          <w:color w:val="010101"/>
          <w:w w:val="92"/>
          <w:position w:val="-7"/>
          <w:sz w:val="20"/>
        </w:rPr>
        <w:t>l</w:t>
      </w:r>
      <w:r>
        <w:rPr>
          <w:i/>
          <w:color w:val="010101"/>
          <w:position w:val="-7"/>
          <w:sz w:val="20"/>
        </w:rPr>
        <w:tab/>
      </w:r>
      <w:r>
        <w:rPr>
          <w:b/>
          <w:i/>
          <w:color w:val="010101"/>
          <w:spacing w:val="15"/>
          <w:w w:val="21"/>
          <w:sz w:val="47"/>
        </w:rPr>
        <w:t>1</w:t>
      </w:r>
      <w:r>
        <w:rPr>
          <w:b/>
          <w:i/>
          <w:color w:val="010101"/>
          <w:spacing w:val="18"/>
          <w:w w:val="41"/>
          <w:sz w:val="47"/>
        </w:rPr>
        <w:t>_</w:t>
      </w:r>
      <w:r>
        <w:rPr>
          <w:b/>
          <w:i/>
          <w:color w:val="010101"/>
          <w:w w:val="82"/>
          <w:sz w:val="47"/>
        </w:rPr>
        <w:t>-r</w:t>
      </w:r>
      <w:r>
        <w:rPr>
          <w:b/>
          <w:i/>
          <w:color w:val="010101"/>
          <w:spacing w:val="-26"/>
          <w:w w:val="83"/>
          <w:sz w:val="47"/>
        </w:rPr>
        <w:t>.</w:t>
      </w:r>
      <w:r>
        <w:rPr>
          <w:b/>
          <w:i/>
          <w:color w:val="010101"/>
          <w:spacing w:val="16"/>
          <w:w w:val="83"/>
          <w:sz w:val="47"/>
        </w:rPr>
        <w:t>·</w:t>
      </w:r>
      <w:r>
        <w:rPr>
          <w:color w:val="010101"/>
          <w:w w:val="30"/>
          <w:sz w:val="47"/>
        </w:rPr>
        <w:t>,,,,</w:t>
      </w:r>
      <w:r>
        <w:rPr>
          <w:color w:val="010101"/>
          <w:spacing w:val="-80"/>
          <w:sz w:val="47"/>
        </w:rPr>
        <w:t> </w:t>
      </w:r>
      <w:r>
        <w:rPr>
          <w:color w:val="010101"/>
          <w:w w:val="45"/>
          <w:sz w:val="47"/>
        </w:rPr>
        <w:t>,,,</w:t>
      </w:r>
      <w:r>
        <w:rPr>
          <w:color w:val="010101"/>
          <w:sz w:val="47"/>
        </w:rPr>
        <w:tab/>
      </w:r>
      <w:r>
        <w:rPr>
          <w:rFonts w:ascii="Arial" w:hAnsi="Arial"/>
          <w:b/>
          <w:i/>
          <w:color w:val="010101"/>
          <w:w w:val="74"/>
          <w:sz w:val="37"/>
        </w:rPr>
        <w:t>r</w:t>
      </w:r>
      <w:r>
        <w:rPr>
          <w:rFonts w:ascii="Arial" w:hAnsi="Arial"/>
          <w:b/>
          <w:i/>
          <w:color w:val="010101"/>
          <w:spacing w:val="-21"/>
          <w:w w:val="74"/>
          <w:sz w:val="37"/>
        </w:rPr>
        <w:t>.</w:t>
      </w:r>
      <w:r>
        <w:rPr>
          <w:rFonts w:ascii="Arial" w:hAnsi="Arial"/>
          <w:b/>
          <w:i/>
          <w:color w:val="010101"/>
          <w:w w:val="42"/>
          <w:sz w:val="37"/>
        </w:rPr>
        <w:t>+•</w:t>
      </w:r>
    </w:p>
    <w:p>
      <w:pPr>
        <w:tabs>
          <w:tab w:pos="784" w:val="left" w:leader="none"/>
        </w:tabs>
        <w:spacing w:line="440" w:lineRule="exact" w:before="0"/>
        <w:ind w:left="8" w:right="0" w:firstLine="0"/>
        <w:jc w:val="center"/>
        <w:rPr>
          <w:rFonts w:ascii="Arial" w:hAnsi="Arial"/>
          <w:sz w:val="18"/>
        </w:rPr>
      </w:pPr>
      <w:r>
        <w:rPr/>
        <w:pict>
          <v:shape style="position:absolute;margin-left:128.405396pt;margin-top:.919168pt;width:102.6pt;height:7.5pt;mso-position-horizontal-relative:page;mso-position-vertical-relative:paragraph;z-index:-734320" type="#_x0000_t202" filled="false" stroked="false">
            <v:textbox inset="0,0,0,0">
              <w:txbxContent>
                <w:p>
                  <w:pPr>
                    <w:tabs>
                      <w:tab w:pos="1920" w:val="left" w:leader="none"/>
                    </w:tabs>
                    <w:spacing w:line="150" w:lineRule="exact" w:before="0"/>
                    <w:ind w:left="0" w:right="0" w:firstLine="0"/>
                    <w:jc w:val="left"/>
                    <w:rPr>
                      <w:sz w:val="15"/>
                    </w:rPr>
                  </w:pPr>
                  <w:r>
                    <w:rPr>
                      <w:b/>
                      <w:color w:val="010101"/>
                      <w:w w:val="110"/>
                      <w:sz w:val="15"/>
                    </w:rPr>
                    <w:t>s+ta</w:t>
                    <w:tab/>
                  </w:r>
                  <w:r>
                    <w:rPr>
                      <w:color w:val="010101"/>
                      <w:w w:val="240"/>
                      <w:sz w:val="15"/>
                    </w:rPr>
                    <w:t>-</w:t>
                  </w:r>
                </w:p>
              </w:txbxContent>
            </v:textbox>
            <w10:wrap type="none"/>
          </v:shape>
        </w:pict>
      </w:r>
      <w:r>
        <w:rPr>
          <w:b/>
          <w:i/>
          <w:color w:val="010101"/>
          <w:w w:val="142"/>
          <w:sz w:val="21"/>
        </w:rPr>
        <w:t>l.</w:t>
      </w:r>
      <w:r>
        <w:rPr>
          <w:b/>
          <w:i/>
          <w:color w:val="010101"/>
          <w:sz w:val="21"/>
        </w:rPr>
        <w:t>  </w:t>
      </w:r>
      <w:r>
        <w:rPr>
          <w:b/>
          <w:i/>
          <w:color w:val="010101"/>
          <w:spacing w:val="-16"/>
          <w:sz w:val="21"/>
        </w:rPr>
        <w:t> </w:t>
      </w:r>
      <w:r>
        <w:rPr>
          <w:color w:val="010101"/>
          <w:w w:val="89"/>
          <w:position w:val="15"/>
          <w:sz w:val="28"/>
        </w:rPr>
        <w:t>=</w:t>
      </w:r>
      <w:r>
        <w:rPr>
          <w:color w:val="010101"/>
          <w:position w:val="15"/>
          <w:sz w:val="28"/>
        </w:rPr>
        <w:tab/>
      </w:r>
      <w:r>
        <w:rPr>
          <w:b/>
          <w:i/>
          <w:color w:val="010101"/>
          <w:w w:val="61"/>
          <w:sz w:val="48"/>
        </w:rPr>
        <w:t>-r</w:t>
      </w:r>
      <w:r>
        <w:rPr>
          <w:b/>
          <w:i/>
          <w:color w:val="010101"/>
          <w:spacing w:val="32"/>
          <w:w w:val="61"/>
          <w:sz w:val="48"/>
        </w:rPr>
        <w:t>.</w:t>
      </w:r>
      <w:r>
        <w:rPr>
          <w:color w:val="010101"/>
          <w:w w:val="30"/>
          <w:sz w:val="48"/>
        </w:rPr>
        <w:t>,.,,</w:t>
      </w:r>
      <w:r>
        <w:rPr>
          <w:color w:val="010101"/>
          <w:spacing w:val="-86"/>
          <w:sz w:val="48"/>
        </w:rPr>
        <w:t> </w:t>
      </w:r>
      <w:r>
        <w:rPr>
          <w:color w:val="010101"/>
          <w:w w:val="31"/>
          <w:sz w:val="48"/>
        </w:rPr>
        <w:t>,,,,</w:t>
      </w:r>
      <w:r>
        <w:rPr>
          <w:color w:val="010101"/>
          <w:spacing w:val="42"/>
          <w:sz w:val="48"/>
        </w:rPr>
        <w:t> </w:t>
      </w:r>
      <w:r>
        <w:rPr>
          <w:color w:val="010101"/>
          <w:w w:val="91"/>
          <w:position w:val="15"/>
          <w:sz w:val="26"/>
        </w:rPr>
        <w:t>=</w:t>
      </w:r>
      <w:r>
        <w:rPr>
          <w:color w:val="010101"/>
          <w:spacing w:val="25"/>
          <w:position w:val="15"/>
          <w:sz w:val="26"/>
        </w:rPr>
        <w:t> </w:t>
      </w:r>
      <w:r>
        <w:rPr>
          <w:rFonts w:ascii="Arial" w:hAnsi="Arial"/>
          <w:i/>
          <w:color w:val="010101"/>
          <w:w w:val="84"/>
          <w:position w:val="15"/>
          <w:sz w:val="18"/>
        </w:rPr>
        <w:t>e</w:t>
      </w:r>
      <w:r>
        <w:rPr>
          <w:rFonts w:ascii="Arial" w:hAnsi="Arial"/>
          <w:i/>
          <w:color w:val="010101"/>
          <w:position w:val="15"/>
          <w:sz w:val="18"/>
        </w:rPr>
        <w:t>   </w:t>
      </w:r>
      <w:r>
        <w:rPr>
          <w:rFonts w:ascii="Arial" w:hAnsi="Arial"/>
          <w:i/>
          <w:color w:val="010101"/>
          <w:spacing w:val="-7"/>
          <w:position w:val="15"/>
          <w:sz w:val="18"/>
        </w:rPr>
        <w:t> </w:t>
      </w:r>
      <w:r>
        <w:rPr>
          <w:rFonts w:ascii="Arial" w:hAnsi="Arial"/>
          <w:color w:val="010101"/>
          <w:w w:val="133"/>
          <w:position w:val="15"/>
          <w:sz w:val="18"/>
        </w:rPr>
        <w:t>•</w:t>
      </w:r>
    </w:p>
    <w:p>
      <w:pPr>
        <w:pStyle w:val="BodyText"/>
        <w:rPr>
          <w:rFonts w:ascii="Arial"/>
        </w:rPr>
      </w:pPr>
      <w:r>
        <w:rPr/>
        <w:br w:type="column"/>
      </w:r>
      <w:r>
        <w:rPr>
          <w:rFonts w:ascii="Arial"/>
        </w:rPr>
      </w:r>
    </w:p>
    <w:p>
      <w:pPr>
        <w:pStyle w:val="BodyText"/>
        <w:rPr>
          <w:rFonts w:ascii="Arial"/>
        </w:rPr>
      </w:pPr>
    </w:p>
    <w:p>
      <w:pPr>
        <w:pStyle w:val="BodyText"/>
        <w:rPr>
          <w:rFonts w:ascii="Arial"/>
        </w:rPr>
      </w:pPr>
    </w:p>
    <w:p>
      <w:pPr>
        <w:pStyle w:val="BodyText"/>
        <w:spacing w:before="2"/>
        <w:rPr>
          <w:rFonts w:ascii="Arial"/>
          <w:sz w:val="29"/>
        </w:rPr>
      </w:pPr>
    </w:p>
    <w:p>
      <w:pPr>
        <w:spacing w:before="1"/>
        <w:ind w:left="15" w:right="0" w:firstLine="0"/>
        <w:jc w:val="left"/>
        <w:rPr>
          <w:rFonts w:ascii="Arial" w:hAnsi="Arial"/>
          <w:sz w:val="18"/>
        </w:rPr>
      </w:pPr>
      <w:r>
        <w:rPr>
          <w:color w:val="010101"/>
          <w:w w:val="120"/>
          <w:sz w:val="15"/>
        </w:rPr>
        <w:t>,.</w:t>
      </w:r>
      <w:r>
        <w:rPr>
          <w:rFonts w:ascii="Arial" w:hAnsi="Arial"/>
          <w:color w:val="010101"/>
          <w:w w:val="120"/>
          <w:position w:val="-4"/>
          <w:sz w:val="18"/>
        </w:rPr>
        <w:t>., </w:t>
      </w:r>
      <w:r>
        <w:rPr>
          <w:color w:val="010101"/>
          <w:w w:val="120"/>
          <w:sz w:val="15"/>
        </w:rPr>
        <w:t>""</w:t>
      </w:r>
      <w:r>
        <w:rPr>
          <w:rFonts w:ascii="Arial" w:hAnsi="Arial"/>
          <w:color w:val="010101"/>
          <w:w w:val="120"/>
          <w:position w:val="-4"/>
          <w:sz w:val="18"/>
        </w:rPr>
        <w:t>•</w:t>
      </w:r>
    </w:p>
    <w:p>
      <w:pPr>
        <w:spacing w:after="0"/>
        <w:jc w:val="left"/>
        <w:rPr>
          <w:rFonts w:ascii="Arial" w:hAnsi="Arial"/>
          <w:sz w:val="18"/>
        </w:rPr>
        <w:sectPr>
          <w:type w:val="continuous"/>
          <w:pgSz w:w="7200" w:h="11340"/>
          <w:pgMar w:top="1100" w:bottom="0" w:left="660" w:right="520"/>
          <w:cols w:num="4" w:equalWidth="0">
            <w:col w:w="590" w:space="551"/>
            <w:col w:w="623" w:space="40"/>
            <w:col w:w="2442" w:space="40"/>
            <w:col w:w="1734"/>
          </w:cols>
        </w:sectPr>
      </w:pPr>
    </w:p>
    <w:p>
      <w:pPr>
        <w:spacing w:line="148" w:lineRule="auto" w:before="223"/>
        <w:ind w:left="126" w:right="183" w:firstLine="3"/>
        <w:jc w:val="both"/>
        <w:rPr>
          <w:sz w:val="20"/>
        </w:rPr>
      </w:pPr>
      <w:r>
        <w:rPr>
          <w:color w:val="010101"/>
          <w:sz w:val="21"/>
        </w:rPr>
        <w:t>In </w:t>
      </w:r>
      <w:r>
        <w:rPr>
          <w:color w:val="010101"/>
          <w:sz w:val="20"/>
        </w:rPr>
        <w:t>the definite integral, the values of </w:t>
      </w:r>
      <w:r>
        <w:rPr>
          <w:rFonts w:ascii="Arial" w:hAnsi="Arial"/>
          <w:i/>
          <w:color w:val="010101"/>
          <w:sz w:val="16"/>
        </w:rPr>
        <w:t>µ.., </w:t>
      </w:r>
      <w:r>
        <w:rPr>
          <w:color w:val="010101"/>
          <w:sz w:val="20"/>
        </w:rPr>
        <w:t>are needed only on the  interval </w:t>
      </w:r>
      <w:r>
        <w:rPr>
          <w:i/>
          <w:color w:val="010101"/>
          <w:sz w:val="21"/>
        </w:rPr>
        <w:t>x </w:t>
      </w:r>
      <w:r>
        <w:rPr>
          <w:rFonts w:ascii="Arial" w:hAnsi="Arial"/>
          <w:i/>
          <w:color w:val="010101"/>
          <w:sz w:val="18"/>
        </w:rPr>
        <w:t>y </w:t>
      </w:r>
      <w:r>
        <w:rPr>
          <w:i/>
          <w:color w:val="010101"/>
          <w:sz w:val="21"/>
        </w:rPr>
        <w:t>x </w:t>
      </w:r>
      <w:r>
        <w:rPr>
          <w:rFonts w:ascii="Arial" w:hAnsi="Arial"/>
          <w:color w:val="010101"/>
          <w:sz w:val="32"/>
        </w:rPr>
        <w:t>+ </w:t>
      </w:r>
      <w:r>
        <w:rPr>
          <w:i/>
          <w:color w:val="010101"/>
          <w:sz w:val="21"/>
        </w:rPr>
        <w:t>n, </w:t>
      </w:r>
      <w:r>
        <w:rPr>
          <w:color w:val="010101"/>
          <w:sz w:val="20"/>
        </w:rPr>
        <w:t>a.nd this suggests the change of variable </w:t>
      </w:r>
      <w:r>
        <w:rPr>
          <w:rFonts w:ascii="Arial" w:hAnsi="Arial"/>
          <w:i/>
          <w:color w:val="010101"/>
          <w:w w:val="93"/>
          <w:sz w:val="18"/>
        </w:rPr>
        <w:t>y  </w:t>
      </w:r>
      <w:r>
        <w:rPr>
          <w:color w:val="010101"/>
          <w:w w:val="89"/>
          <w:sz w:val="28"/>
        </w:rPr>
        <w:t>= </w:t>
      </w:r>
      <w:r>
        <w:rPr>
          <w:i/>
          <w:color w:val="010101"/>
          <w:w w:val="97"/>
          <w:sz w:val="22"/>
        </w:rPr>
        <w:t>x </w:t>
      </w:r>
      <w:r>
        <w:rPr>
          <w:rFonts w:ascii="Arial" w:hAnsi="Arial"/>
          <w:color w:val="010101"/>
          <w:w w:val="101"/>
          <w:sz w:val="32"/>
        </w:rPr>
        <w:t>+ </w:t>
      </w:r>
      <w:r>
        <w:rPr>
          <w:i/>
          <w:color w:val="010101"/>
          <w:w w:val="126"/>
          <w:sz w:val="21"/>
        </w:rPr>
        <w:t>t, </w:t>
      </w:r>
      <w:r>
        <w:rPr>
          <w:color w:val="010101"/>
          <w:w w:val="74"/>
          <w:sz w:val="20"/>
        </w:rPr>
        <w:t>O        </w:t>
      </w:r>
      <w:r>
        <w:rPr>
          <w:i/>
          <w:color w:val="010101"/>
          <w:w w:val="90"/>
          <w:sz w:val="21"/>
        </w:rPr>
        <w:t>t       </w:t>
      </w:r>
      <w:r>
        <w:rPr>
          <w:i/>
          <w:color w:val="010101"/>
          <w:w w:val="114"/>
          <w:sz w:val="22"/>
        </w:rPr>
        <w:t>n. </w:t>
      </w:r>
      <w:r>
        <w:rPr>
          <w:color w:val="010101"/>
          <w:w w:val="103"/>
          <w:sz w:val="20"/>
        </w:rPr>
        <w:t>We </w:t>
      </w:r>
      <w:r>
        <w:rPr>
          <w:color w:val="010101"/>
          <w:w w:val="112"/>
          <w:sz w:val="20"/>
        </w:rPr>
        <w:t>thus</w:t>
      </w:r>
      <w:r>
        <w:rPr>
          <w:color w:val="010101"/>
          <w:spacing w:val="4"/>
          <w:w w:val="112"/>
          <w:sz w:val="20"/>
        </w:rPr>
        <w:t> </w:t>
      </w:r>
      <w:r>
        <w:rPr>
          <w:color w:val="010101"/>
          <w:spacing w:val="-32"/>
          <w:w w:val="98"/>
          <w:sz w:val="20"/>
        </w:rPr>
        <w:t>ha</w:t>
      </w:r>
      <w:r>
        <w:rPr>
          <w:rFonts w:ascii="Arial" w:hAnsi="Arial"/>
          <w:color w:val="010101"/>
          <w:spacing w:val="-32"/>
          <w:w w:val="98"/>
          <w:position w:val="-22"/>
          <w:sz w:val="55"/>
        </w:rPr>
        <w:t>.</w:t>
      </w:r>
      <w:r>
        <w:rPr>
          <w:color w:val="010101"/>
          <w:spacing w:val="-32"/>
          <w:w w:val="98"/>
          <w:sz w:val="20"/>
        </w:rPr>
        <w:t>.ve</w:t>
      </w:r>
    </w:p>
    <w:p>
      <w:pPr>
        <w:spacing w:after="0" w:line="148" w:lineRule="auto"/>
        <w:jc w:val="both"/>
        <w:rPr>
          <w:sz w:val="20"/>
        </w:rPr>
        <w:sectPr>
          <w:type w:val="continuous"/>
          <w:pgSz w:w="7200" w:h="11340"/>
          <w:pgMar w:top="1100" w:bottom="0" w:left="660" w:right="520"/>
        </w:sectPr>
      </w:pPr>
    </w:p>
    <w:p>
      <w:pPr>
        <w:spacing w:line="86" w:lineRule="exact" w:before="0"/>
        <w:ind w:left="0" w:right="109" w:firstLine="0"/>
        <w:jc w:val="right"/>
        <w:rPr>
          <w:rFonts w:ascii="Arial"/>
          <w:sz w:val="12"/>
        </w:rPr>
      </w:pPr>
      <w:r>
        <w:rPr>
          <w:rFonts w:ascii="Arial"/>
          <w:color w:val="181818"/>
          <w:w w:val="234"/>
          <w:sz w:val="12"/>
        </w:rPr>
        <w:t>'</w:t>
      </w:r>
    </w:p>
    <w:p>
      <w:pPr>
        <w:tabs>
          <w:tab w:pos="3950" w:val="left" w:leader="none"/>
        </w:tabs>
        <w:spacing w:line="206" w:lineRule="exact" w:before="0"/>
        <w:ind w:left="2215" w:right="0" w:firstLine="0"/>
        <w:jc w:val="left"/>
        <w:rPr>
          <w:sz w:val="13"/>
        </w:rPr>
      </w:pPr>
      <w:r>
        <w:rPr/>
        <w:pict>
          <v:shape style="position:absolute;margin-left:161.490295pt;margin-top:2.700641pt;width:7.85pt;height:5.5pt;mso-position-horizontal-relative:page;mso-position-vertical-relative:paragraph;z-index:-734296" type="#_x0000_t202" filled="false" stroked="false">
            <v:textbox inset="0,0,0,0">
              <w:txbxContent>
                <w:p>
                  <w:pPr>
                    <w:spacing w:line="110" w:lineRule="exact" w:before="0"/>
                    <w:ind w:left="0" w:right="0" w:firstLine="0"/>
                    <w:jc w:val="left"/>
                    <w:rPr>
                      <w:rFonts w:ascii="Arial"/>
                      <w:sz w:val="11"/>
                    </w:rPr>
                  </w:pPr>
                  <w:r>
                    <w:rPr>
                      <w:rFonts w:ascii="Arial"/>
                      <w:color w:val="010101"/>
                      <w:w w:val="427"/>
                      <w:sz w:val="11"/>
                    </w:rPr>
                    <w:t>-</w:t>
                  </w:r>
                </w:p>
              </w:txbxContent>
            </v:textbox>
            <w10:wrap type="none"/>
          </v:shape>
        </w:pict>
      </w:r>
      <w:r>
        <w:rPr>
          <w:color w:val="010101"/>
          <w:w w:val="130"/>
          <w:position w:val="-7"/>
          <w:sz w:val="9"/>
        </w:rPr>
        <w:t>ti</w:t>
      </w:r>
      <w:r>
        <w:rPr>
          <w:rFonts w:ascii="Arial" w:hAnsi="Arial"/>
          <w:i/>
          <w:color w:val="010101"/>
          <w:w w:val="130"/>
          <w:position w:val="-9"/>
          <w:sz w:val="18"/>
        </w:rPr>
        <w:t>P</w:t>
      </w:r>
      <w:r>
        <w:rPr>
          <w:rFonts w:ascii="Arial" w:hAnsi="Arial"/>
          <w:color w:val="010101"/>
          <w:w w:val="130"/>
          <w:position w:val="-7"/>
          <w:sz w:val="11"/>
        </w:rPr>
        <w:t>s  </w:t>
      </w:r>
      <w:r>
        <w:rPr>
          <w:rFonts w:ascii="Arial" w:hAnsi="Arial"/>
          <w:color w:val="010101"/>
          <w:w w:val="235"/>
          <w:sz w:val="18"/>
        </w:rPr>
        <w:t>-</w:t>
      </w:r>
      <w:r>
        <w:rPr>
          <w:rFonts w:ascii="Arial" w:hAnsi="Arial"/>
          <w:color w:val="010101"/>
          <w:spacing w:val="-75"/>
          <w:w w:val="235"/>
          <w:sz w:val="18"/>
        </w:rPr>
        <w:t> </w:t>
      </w:r>
      <w:r>
        <w:rPr>
          <w:b/>
          <w:i/>
          <w:color w:val="010101"/>
          <w:sz w:val="21"/>
        </w:rPr>
        <w:t>e-fo </w:t>
      </w:r>
      <w:r>
        <w:rPr>
          <w:b/>
          <w:color w:val="010101"/>
          <w:sz w:val="13"/>
        </w:rPr>
        <w:t>J&amp;s+c</w:t>
      </w:r>
      <w:r>
        <w:rPr>
          <w:b/>
          <w:color w:val="010101"/>
          <w:spacing w:val="16"/>
          <w:sz w:val="13"/>
        </w:rPr>
        <w:t> </w:t>
      </w:r>
      <w:r>
        <w:rPr>
          <w:b/>
          <w:color w:val="010101"/>
          <w:w w:val="130"/>
          <w:sz w:val="13"/>
        </w:rPr>
        <w:t>di</w:t>
      </w:r>
      <w:r>
        <w:rPr>
          <w:rFonts w:ascii="Arial" w:hAnsi="Arial"/>
          <w:color w:val="010101"/>
          <w:w w:val="130"/>
          <w:position w:val="-7"/>
          <w:sz w:val="11"/>
        </w:rPr>
        <w:t>•</w:t>
        <w:tab/>
      </w:r>
      <w:r>
        <w:rPr>
          <w:color w:val="010101"/>
          <w:w w:val="110"/>
          <w:sz w:val="13"/>
        </w:rPr>
        <w:t>'</w:t>
      </w:r>
    </w:p>
    <w:p>
      <w:pPr>
        <w:pStyle w:val="BodyText"/>
        <w:spacing w:line="172" w:lineRule="exact"/>
        <w:ind w:left="1293"/>
      </w:pPr>
      <w:r>
        <w:rPr/>
        <w:br w:type="column"/>
      </w:r>
      <w:r>
        <w:rPr>
          <w:color w:val="010101"/>
          <w:w w:val="105"/>
        </w:rPr>
        <w:t>( 1.12)</w:t>
      </w:r>
    </w:p>
    <w:p>
      <w:pPr>
        <w:spacing w:after="0" w:line="172" w:lineRule="exact"/>
        <w:sectPr>
          <w:type w:val="continuous"/>
          <w:pgSz w:w="7200" w:h="11340"/>
          <w:pgMar w:top="1100" w:bottom="0" w:left="660" w:right="520"/>
          <w:cols w:num="2" w:equalWidth="0">
            <w:col w:w="3976" w:space="40"/>
            <w:col w:w="2004"/>
          </w:cols>
        </w:sectPr>
      </w:pPr>
    </w:p>
    <w:p>
      <w:pPr>
        <w:pStyle w:val="BodyText"/>
        <w:spacing w:before="92"/>
        <w:ind w:left="116"/>
      </w:pPr>
      <w:r>
        <w:rPr>
          <w:color w:val="010101"/>
        </w:rPr>
        <w:t>The probability  ,.q:r  may  then  be expressed as</w:t>
      </w:r>
    </w:p>
    <w:p>
      <w:pPr>
        <w:spacing w:before="92"/>
        <w:ind w:left="293" w:right="418" w:firstLine="0"/>
        <w:jc w:val="center"/>
        <w:rPr>
          <w:sz w:val="11"/>
        </w:rPr>
      </w:pPr>
      <w:r>
        <w:rPr/>
        <w:pict>
          <v:shape style="position:absolute;margin-left:226.766006pt;margin-top:11.167975pt;width:97.45pt;height:10pt;mso-position-horizontal-relative:page;mso-position-vertical-relative:paragraph;z-index:-734248" type="#_x0000_t202" filled="false" stroked="false">
            <v:textbox inset="0,0,0,0">
              <w:txbxContent>
                <w:p>
                  <w:pPr>
                    <w:tabs>
                      <w:tab w:pos="1423" w:val="left" w:leader="none"/>
                    </w:tabs>
                    <w:spacing w:line="200" w:lineRule="exact" w:before="0"/>
                    <w:ind w:left="0" w:right="0" w:firstLine="0"/>
                    <w:jc w:val="left"/>
                    <w:rPr>
                      <w:sz w:val="20"/>
                    </w:rPr>
                  </w:pPr>
                  <w:r>
                    <w:rPr>
                      <w:color w:val="010101"/>
                      <w:w w:val="270"/>
                      <w:position w:val="2"/>
                      <w:sz w:val="11"/>
                    </w:rPr>
                    <w:t>.</w:t>
                    <w:tab/>
                  </w:r>
                  <w:r>
                    <w:rPr>
                      <w:color w:val="010101"/>
                      <w:w w:val="105"/>
                      <w:sz w:val="20"/>
                    </w:rPr>
                    <w:t>(</w:t>
                  </w:r>
                  <w:r>
                    <w:rPr>
                      <w:color w:val="010101"/>
                      <w:spacing w:val="-36"/>
                      <w:w w:val="105"/>
                      <w:sz w:val="20"/>
                    </w:rPr>
                    <w:t> </w:t>
                  </w:r>
                  <w:r>
                    <w:rPr>
                      <w:color w:val="010101"/>
                      <w:w w:val="105"/>
                      <w:sz w:val="20"/>
                    </w:rPr>
                    <w:t>1.13)</w:t>
                  </w:r>
                </w:p>
              </w:txbxContent>
            </v:textbox>
            <w10:wrap type="none"/>
          </v:shape>
        </w:pict>
      </w:r>
      <w:r>
        <w:rPr>
          <w:i/>
          <w:color w:val="010101"/>
          <w:w w:val="87"/>
          <w:sz w:val="20"/>
        </w:rPr>
        <w:t>.,.q.</w:t>
      </w:r>
      <w:r>
        <w:rPr>
          <w:i/>
          <w:color w:val="010101"/>
          <w:spacing w:val="21"/>
          <w:sz w:val="20"/>
        </w:rPr>
        <w:t> </w:t>
      </w:r>
      <w:r>
        <w:rPr>
          <w:color w:val="010101"/>
          <w:w w:val="102"/>
          <w:sz w:val="24"/>
        </w:rPr>
        <w:t>=</w:t>
      </w:r>
      <w:r>
        <w:rPr>
          <w:color w:val="010101"/>
          <w:sz w:val="24"/>
        </w:rPr>
        <w:t> </w:t>
      </w:r>
      <w:r>
        <w:rPr>
          <w:color w:val="010101"/>
          <w:spacing w:val="-9"/>
          <w:sz w:val="24"/>
        </w:rPr>
        <w:t> </w:t>
      </w:r>
      <w:r>
        <w:rPr>
          <w:color w:val="010101"/>
          <w:w w:val="121"/>
          <w:sz w:val="20"/>
        </w:rPr>
        <w:t>1</w:t>
      </w:r>
      <w:r>
        <w:rPr>
          <w:color w:val="010101"/>
          <w:spacing w:val="7"/>
          <w:sz w:val="20"/>
        </w:rPr>
        <w:t> </w:t>
      </w:r>
      <w:r>
        <w:rPr>
          <w:color w:val="010101"/>
          <w:w w:val="273"/>
          <w:sz w:val="20"/>
        </w:rPr>
        <w:t>-</w:t>
      </w:r>
      <w:r>
        <w:rPr>
          <w:color w:val="010101"/>
          <w:spacing w:val="-4"/>
          <w:sz w:val="20"/>
        </w:rPr>
        <w:t> </w:t>
      </w:r>
      <w:r>
        <w:rPr>
          <w:color w:val="010101"/>
          <w:w w:val="86"/>
          <w:sz w:val="29"/>
        </w:rPr>
        <w:t>e-J:</w:t>
      </w:r>
      <w:r>
        <w:rPr>
          <w:color w:val="010101"/>
          <w:spacing w:val="-40"/>
          <w:sz w:val="29"/>
        </w:rPr>
        <w:t> </w:t>
      </w:r>
      <w:r>
        <w:rPr>
          <w:color w:val="010101"/>
          <w:w w:val="71"/>
          <w:position w:val="6"/>
          <w:sz w:val="11"/>
        </w:rPr>
        <w:t>1</w:t>
      </w:r>
      <w:r>
        <w:rPr>
          <w:color w:val="010101"/>
          <w:spacing w:val="-7"/>
          <w:w w:val="71"/>
          <w:position w:val="6"/>
          <w:sz w:val="11"/>
        </w:rPr>
        <w:t>1</w:t>
      </w:r>
      <w:r>
        <w:rPr>
          <w:rFonts w:ascii="Arial" w:hAnsi="Arial"/>
          <w:color w:val="010101"/>
          <w:w w:val="78"/>
          <w:sz w:val="26"/>
        </w:rPr>
        <w:t>•+'</w:t>
      </w:r>
      <w:r>
        <w:rPr>
          <w:rFonts w:ascii="Arial" w:hAnsi="Arial"/>
          <w:color w:val="010101"/>
          <w:spacing w:val="-28"/>
          <w:sz w:val="26"/>
        </w:rPr>
        <w:t> </w:t>
      </w:r>
      <w:r>
        <w:rPr>
          <w:rFonts w:ascii="Arial" w:hAnsi="Arial"/>
          <w:color w:val="010101"/>
          <w:spacing w:val="-4"/>
          <w:w w:val="92"/>
          <w:sz w:val="26"/>
        </w:rPr>
        <w:t>"</w:t>
      </w:r>
      <w:r>
        <w:rPr>
          <w:color w:val="010101"/>
          <w:w w:val="97"/>
          <w:position w:val="8"/>
          <w:sz w:val="11"/>
        </w:rPr>
        <w:t>1</w:t>
      </w:r>
    </w:p>
    <w:p>
      <w:pPr>
        <w:pStyle w:val="BodyText"/>
        <w:spacing w:line="252" w:lineRule="auto" w:before="124"/>
        <w:ind w:left="130" w:right="229" w:firstLine="178"/>
      </w:pPr>
      <w:r>
        <w:rPr>
          <w:color w:val="010101"/>
          <w:w w:val="105"/>
        </w:rPr>
        <w:t>An altemative expression may be derived for this probability from formula  (1.9). Writing  the formula  as</w:t>
      </w:r>
    </w:p>
    <w:p>
      <w:pPr>
        <w:spacing w:before="76"/>
        <w:ind w:left="293" w:right="363" w:firstLine="0"/>
        <w:jc w:val="center"/>
        <w:rPr>
          <w:i/>
          <w:sz w:val="22"/>
        </w:rPr>
      </w:pPr>
      <w:r>
        <w:rPr>
          <w:i/>
          <w:color w:val="010101"/>
          <w:w w:val="80"/>
          <w:sz w:val="24"/>
        </w:rPr>
        <w:t>4JJ.w </w:t>
      </w:r>
      <w:r>
        <w:rPr>
          <w:color w:val="010101"/>
          <w:w w:val="90"/>
          <w:sz w:val="26"/>
        </w:rPr>
        <w:t>= </w:t>
      </w:r>
      <w:r>
        <w:rPr>
          <w:i/>
          <w:color w:val="010101"/>
          <w:w w:val="90"/>
          <w:sz w:val="22"/>
        </w:rPr>
        <w:t>-DJ,,¡ ,</w:t>
      </w:r>
    </w:p>
    <w:p>
      <w:pPr>
        <w:pStyle w:val="BodyText"/>
        <w:spacing w:line="294" w:lineRule="exact" w:before="5"/>
        <w:ind w:left="112"/>
      </w:pPr>
      <w:r>
        <w:rPr>
          <w:color w:val="010101"/>
          <w:w w:val="110"/>
        </w:rPr>
        <w:t>and integrating between the Jimits </w:t>
      </w:r>
      <w:r>
        <w:rPr>
          <w:i/>
          <w:color w:val="010101"/>
          <w:w w:val="110"/>
        </w:rPr>
        <w:t>x </w:t>
      </w:r>
      <w:r>
        <w:rPr>
          <w:color w:val="010101"/>
          <w:w w:val="110"/>
        </w:rPr>
        <w:t>and </w:t>
      </w:r>
      <w:r>
        <w:rPr>
          <w:i/>
          <w:color w:val="010101"/>
          <w:w w:val="110"/>
        </w:rPr>
        <w:t>x </w:t>
      </w:r>
      <w:r>
        <w:rPr>
          <w:rFonts w:ascii="Arial"/>
          <w:color w:val="010101"/>
          <w:w w:val="110"/>
          <w:sz w:val="31"/>
        </w:rPr>
        <w:t>+</w:t>
      </w:r>
      <w:r>
        <w:rPr>
          <w:rFonts w:ascii="Arial"/>
          <w:color w:val="010101"/>
          <w:spacing w:val="-55"/>
          <w:w w:val="110"/>
          <w:sz w:val="31"/>
        </w:rPr>
        <w:t> </w:t>
      </w:r>
      <w:r>
        <w:rPr>
          <w:i/>
          <w:color w:val="010101"/>
          <w:w w:val="110"/>
        </w:rPr>
        <w:t>n, </w:t>
      </w:r>
      <w:r>
        <w:rPr>
          <w:color w:val="010101"/>
          <w:w w:val="110"/>
        </w:rPr>
        <w:t>we obtain</w:t>
      </w:r>
    </w:p>
    <w:p>
      <w:pPr>
        <w:spacing w:line="530" w:lineRule="exact" w:before="0"/>
        <w:ind w:left="58" w:right="894" w:firstLine="0"/>
        <w:jc w:val="center"/>
        <w:rPr>
          <w:i/>
          <w:sz w:val="21"/>
        </w:rPr>
      </w:pPr>
      <w:r>
        <w:rPr/>
        <w:pict>
          <v:shape style="position:absolute;margin-left:102.4739pt;margin-top:24.150108pt;width:83.05pt;height:6.5pt;mso-position-horizontal-relative:page;mso-position-vertical-relative:paragraph;z-index:-734272" type="#_x0000_t202" filled="false" stroked="false">
            <v:textbox inset="0,0,0,0">
              <w:txbxContent>
                <w:p>
                  <w:pPr>
                    <w:tabs>
                      <w:tab w:pos="1587" w:val="left" w:leader="none"/>
                    </w:tabs>
                    <w:spacing w:line="130" w:lineRule="exact" w:before="0"/>
                    <w:ind w:left="0" w:right="0" w:firstLine="0"/>
                    <w:jc w:val="left"/>
                    <w:rPr>
                      <w:sz w:val="8"/>
                    </w:rPr>
                  </w:pPr>
                  <w:r>
                    <w:rPr>
                      <w:rFonts w:ascii="Courier New"/>
                      <w:b/>
                      <w:color w:val="010101"/>
                      <w:w w:val="110"/>
                      <w:sz w:val="13"/>
                    </w:rPr>
                    <w:t>s</w:t>
                    <w:tab/>
                  </w:r>
                  <w:r>
                    <w:rPr>
                      <w:color w:val="010101"/>
                      <w:w w:val="110"/>
                      <w:sz w:val="8"/>
                    </w:rPr>
                    <w:t>%</w:t>
                  </w:r>
                </w:p>
              </w:txbxContent>
            </v:textbox>
            <w10:wrap type="none"/>
          </v:shape>
        </w:pict>
      </w:r>
      <w:r>
        <w:rPr>
          <w:i/>
          <w:color w:val="010101"/>
          <w:spacing w:val="11"/>
          <w:w w:val="98"/>
          <w:position w:val="-9"/>
          <w:sz w:val="52"/>
        </w:rPr>
        <w:t>l</w:t>
      </w:r>
      <w:r>
        <w:rPr>
          <w:i/>
          <w:color w:val="010101"/>
          <w:w w:val="101"/>
          <w:position w:val="9"/>
          <w:sz w:val="14"/>
        </w:rPr>
        <w:t>s+tt</w:t>
      </w:r>
      <w:r>
        <w:rPr>
          <w:i/>
          <w:color w:val="010101"/>
          <w:position w:val="9"/>
          <w:sz w:val="14"/>
        </w:rPr>
        <w:t> </w:t>
      </w:r>
      <w:r>
        <w:rPr>
          <w:i/>
          <w:color w:val="010101"/>
          <w:spacing w:val="-5"/>
          <w:position w:val="9"/>
          <w:sz w:val="14"/>
        </w:rPr>
        <w:t> </w:t>
      </w:r>
      <w:r>
        <w:rPr>
          <w:i/>
          <w:color w:val="010101"/>
          <w:w w:val="90"/>
          <w:sz w:val="21"/>
        </w:rPr>
        <w:t>l,</w:t>
      </w:r>
      <w:r>
        <w:rPr>
          <w:i/>
          <w:color w:val="010101"/>
          <w:spacing w:val="-27"/>
          <w:w w:val="91"/>
          <w:sz w:val="21"/>
        </w:rPr>
        <w:t>,</w:t>
      </w:r>
      <w:r>
        <w:rPr>
          <w:i/>
          <w:color w:val="010101"/>
          <w:w w:val="81"/>
          <w:sz w:val="21"/>
        </w:rPr>
        <w:t>µ,,</w:t>
      </w:r>
      <w:r>
        <w:rPr>
          <w:i/>
          <w:color w:val="010101"/>
          <w:spacing w:val="-6"/>
          <w:sz w:val="21"/>
        </w:rPr>
        <w:t> </w:t>
      </w:r>
      <w:r>
        <w:rPr>
          <w:i/>
          <w:color w:val="010101"/>
          <w:spacing w:val="11"/>
          <w:w w:val="84"/>
          <w:sz w:val="21"/>
        </w:rPr>
        <w:t>d</w:t>
      </w:r>
      <w:r>
        <w:rPr>
          <w:i/>
          <w:color w:val="010101"/>
          <w:w w:val="86"/>
          <w:sz w:val="21"/>
        </w:rPr>
        <w:t>y</w:t>
      </w:r>
      <w:r>
        <w:rPr>
          <w:i/>
          <w:color w:val="010101"/>
          <w:sz w:val="21"/>
        </w:rPr>
        <w:t> </w:t>
      </w:r>
      <w:r>
        <w:rPr>
          <w:i/>
          <w:color w:val="010101"/>
          <w:spacing w:val="10"/>
          <w:sz w:val="21"/>
        </w:rPr>
        <w:t> </w:t>
      </w:r>
      <w:r>
        <w:rPr>
          <w:color w:val="010101"/>
          <w:w w:val="91"/>
          <w:sz w:val="26"/>
        </w:rPr>
        <w:t>=</w:t>
      </w:r>
      <w:r>
        <w:rPr>
          <w:color w:val="010101"/>
          <w:sz w:val="26"/>
        </w:rPr>
        <w:t> </w:t>
      </w:r>
      <w:r>
        <w:rPr>
          <w:color w:val="010101"/>
          <w:spacing w:val="-8"/>
          <w:sz w:val="26"/>
        </w:rPr>
        <w:t> </w:t>
      </w:r>
      <w:r>
        <w:rPr>
          <w:color w:val="010101"/>
          <w:w w:val="214"/>
          <w:sz w:val="26"/>
        </w:rPr>
        <w:t>-</w:t>
      </w:r>
      <w:r>
        <w:rPr>
          <w:color w:val="010101"/>
          <w:spacing w:val="-19"/>
          <w:sz w:val="26"/>
        </w:rPr>
        <w:t> </w:t>
      </w:r>
      <w:r>
        <w:rPr>
          <w:color w:val="010101"/>
          <w:w w:val="51"/>
          <w:position w:val="9"/>
          <w:sz w:val="44"/>
        </w:rPr>
        <w:t>lª+tt</w:t>
      </w:r>
      <w:r>
        <w:rPr>
          <w:color w:val="010101"/>
          <w:spacing w:val="-45"/>
          <w:position w:val="9"/>
          <w:sz w:val="44"/>
        </w:rPr>
        <w:t> </w:t>
      </w:r>
      <w:r>
        <w:rPr>
          <w:i/>
          <w:color w:val="010101"/>
          <w:w w:val="90"/>
          <w:sz w:val="21"/>
        </w:rPr>
        <w:t>Dl,,</w:t>
      </w:r>
      <w:r>
        <w:rPr>
          <w:i/>
          <w:color w:val="010101"/>
          <w:sz w:val="21"/>
        </w:rPr>
        <w:t> </w:t>
      </w:r>
      <w:r>
        <w:rPr>
          <w:i/>
          <w:color w:val="010101"/>
          <w:spacing w:val="11"/>
          <w:w w:val="84"/>
          <w:sz w:val="21"/>
        </w:rPr>
        <w:t>d</w:t>
      </w:r>
      <w:r>
        <w:rPr>
          <w:i/>
          <w:color w:val="010101"/>
          <w:w w:val="86"/>
          <w:sz w:val="21"/>
        </w:rPr>
        <w:t>y</w:t>
      </w:r>
    </w:p>
    <w:p>
      <w:pPr>
        <w:spacing w:line="672" w:lineRule="exact" w:before="0"/>
        <w:ind w:left="2416" w:right="0" w:firstLine="0"/>
        <w:jc w:val="left"/>
        <w:rPr>
          <w:sz w:val="69"/>
        </w:rPr>
      </w:pPr>
      <w:r>
        <w:rPr>
          <w:color w:val="010101"/>
          <w:w w:val="105"/>
          <w:sz w:val="24"/>
        </w:rPr>
        <w:t>=</w:t>
      </w:r>
      <w:r>
        <w:rPr>
          <w:color w:val="010101"/>
          <w:sz w:val="24"/>
        </w:rPr>
        <w:t> </w:t>
      </w:r>
      <w:r>
        <w:rPr>
          <w:color w:val="010101"/>
          <w:spacing w:val="-6"/>
          <w:sz w:val="24"/>
        </w:rPr>
        <w:t> </w:t>
      </w:r>
      <w:r>
        <w:rPr>
          <w:color w:val="010101"/>
          <w:w w:val="51"/>
          <w:sz w:val="69"/>
        </w:rPr>
        <w:t>-1</w:t>
      </w:r>
      <w:r>
        <w:rPr>
          <w:color w:val="010101"/>
          <w:spacing w:val="-24"/>
          <w:w w:val="51"/>
          <w:sz w:val="69"/>
        </w:rPr>
        <w:t>.</w:t>
      </w:r>
      <w:r>
        <w:rPr>
          <w:color w:val="010101"/>
          <w:spacing w:val="4"/>
          <w:w w:val="106"/>
          <w:sz w:val="69"/>
        </w:rPr>
        <w:t>r</w:t>
      </w:r>
      <w:r>
        <w:rPr>
          <w:color w:val="282828"/>
          <w:spacing w:val="-43"/>
          <w:w w:val="27"/>
          <w:sz w:val="69"/>
        </w:rPr>
        <w:t>·</w:t>
      </w:r>
      <w:r>
        <w:rPr>
          <w:color w:val="010101"/>
          <w:spacing w:val="-79"/>
          <w:w w:val="108"/>
          <w:sz w:val="69"/>
        </w:rPr>
        <w:t>·</w:t>
      </w:r>
      <w:r>
        <w:rPr>
          <w:rFonts w:ascii="Arial" w:hAnsi="Arial"/>
          <w:i/>
          <w:color w:val="010101"/>
          <w:w w:val="134"/>
          <w:sz w:val="21"/>
        </w:rPr>
        <w:t>=</w:t>
      </w:r>
      <w:r>
        <w:rPr>
          <w:rFonts w:ascii="Arial" w:hAnsi="Arial"/>
          <w:i/>
          <w:color w:val="010101"/>
          <w:spacing w:val="12"/>
          <w:sz w:val="21"/>
        </w:rPr>
        <w:t> </w:t>
      </w:r>
      <w:r>
        <w:rPr>
          <w:rFonts w:ascii="Arial" w:hAnsi="Arial"/>
          <w:i/>
          <w:color w:val="010101"/>
          <w:w w:val="169"/>
          <w:sz w:val="21"/>
        </w:rPr>
        <w:t>l._</w:t>
      </w:r>
      <w:r>
        <w:rPr>
          <w:rFonts w:ascii="Arial" w:hAnsi="Arial"/>
          <w:i/>
          <w:color w:val="010101"/>
          <w:sz w:val="21"/>
        </w:rPr>
        <w:t> </w:t>
      </w:r>
      <w:r>
        <w:rPr>
          <w:rFonts w:ascii="Arial" w:hAnsi="Arial"/>
          <w:i/>
          <w:color w:val="010101"/>
          <w:spacing w:val="-29"/>
          <w:sz w:val="21"/>
        </w:rPr>
        <w:t> </w:t>
      </w:r>
      <w:r>
        <w:rPr>
          <w:color w:val="010101"/>
          <w:spacing w:val="-40"/>
          <w:w w:val="30"/>
          <w:sz w:val="69"/>
        </w:rPr>
        <w:t>1</w:t>
      </w:r>
      <w:r>
        <w:rPr>
          <w:color w:val="010101"/>
          <w:w w:val="40"/>
          <w:sz w:val="69"/>
        </w:rPr>
        <w:t>.....</w:t>
      </w:r>
    </w:p>
    <w:p>
      <w:pPr>
        <w:pStyle w:val="BodyText"/>
        <w:spacing w:line="189" w:lineRule="exact" w:before="88"/>
        <w:ind w:left="101"/>
      </w:pPr>
      <w:r>
        <w:rPr>
          <w:color w:val="010101"/>
          <w:w w:val="105"/>
        </w:rPr>
        <w:t>or, with a change of  variable,</w:t>
      </w:r>
    </w:p>
    <w:p>
      <w:pPr>
        <w:tabs>
          <w:tab w:pos="5277" w:val="left" w:leader="none"/>
        </w:tabs>
        <w:spacing w:line="546" w:lineRule="exact" w:before="0"/>
        <w:ind w:left="1797" w:right="0" w:firstLine="0"/>
        <w:jc w:val="left"/>
        <w:rPr>
          <w:sz w:val="20"/>
        </w:rPr>
      </w:pPr>
      <w:r>
        <w:rPr>
          <w:i/>
          <w:color w:val="010101"/>
          <w:w w:val="90"/>
          <w:sz w:val="21"/>
        </w:rPr>
        <w:t>la</w:t>
      </w:r>
      <w:r>
        <w:rPr>
          <w:i/>
          <w:color w:val="010101"/>
          <w:spacing w:val="7"/>
          <w:w w:val="90"/>
          <w:sz w:val="21"/>
        </w:rPr>
        <w:t> </w:t>
      </w:r>
      <w:r>
        <w:rPr>
          <w:color w:val="010101"/>
          <w:w w:val="250"/>
          <w:sz w:val="21"/>
        </w:rPr>
        <w:t>-</w:t>
      </w:r>
      <w:r>
        <w:rPr>
          <w:color w:val="010101"/>
          <w:spacing w:val="-104"/>
          <w:w w:val="250"/>
          <w:sz w:val="21"/>
        </w:rPr>
        <w:t> </w:t>
      </w:r>
      <w:r>
        <w:rPr>
          <w:i/>
          <w:color w:val="010101"/>
          <w:w w:val="90"/>
          <w:sz w:val="21"/>
        </w:rPr>
        <w:t>ls+ta</w:t>
      </w:r>
      <w:r>
        <w:rPr>
          <w:i/>
          <w:color w:val="010101"/>
          <w:spacing w:val="18"/>
          <w:w w:val="90"/>
          <w:sz w:val="21"/>
        </w:rPr>
        <w:t> </w:t>
      </w:r>
      <w:r>
        <w:rPr>
          <w:color w:val="010101"/>
          <w:w w:val="105"/>
          <w:sz w:val="26"/>
        </w:rPr>
        <w:t>=</w:t>
      </w:r>
      <w:r>
        <w:rPr>
          <w:color w:val="010101"/>
          <w:spacing w:val="-8"/>
          <w:w w:val="105"/>
          <w:sz w:val="26"/>
        </w:rPr>
        <w:t> </w:t>
      </w:r>
      <w:r>
        <w:rPr>
          <w:i/>
          <w:color w:val="010101"/>
          <w:w w:val="75"/>
          <w:sz w:val="51"/>
        </w:rPr>
        <w:t>l.,.</w:t>
      </w:r>
      <w:r>
        <w:rPr>
          <w:i/>
          <w:color w:val="010101"/>
          <w:spacing w:val="-71"/>
          <w:w w:val="75"/>
          <w:sz w:val="51"/>
        </w:rPr>
        <w:t> </w:t>
      </w:r>
      <w:r>
        <w:rPr>
          <w:i/>
          <w:color w:val="010101"/>
          <w:w w:val="90"/>
          <w:sz w:val="21"/>
        </w:rPr>
        <w:t>lr+t</w:t>
      </w:r>
      <w:r>
        <w:rPr>
          <w:i/>
          <w:color w:val="010101"/>
          <w:spacing w:val="-2"/>
          <w:w w:val="90"/>
          <w:sz w:val="21"/>
        </w:rPr>
        <w:t> </w:t>
      </w:r>
      <w:r>
        <w:rPr>
          <w:rFonts w:ascii="Arial"/>
          <w:i/>
          <w:color w:val="010101"/>
          <w:w w:val="105"/>
          <w:sz w:val="14"/>
        </w:rPr>
        <w:t>Jls+I</w:t>
      </w:r>
      <w:r>
        <w:rPr>
          <w:rFonts w:ascii="Arial"/>
          <w:i/>
          <w:color w:val="010101"/>
          <w:spacing w:val="11"/>
          <w:w w:val="105"/>
          <w:sz w:val="14"/>
        </w:rPr>
        <w:t> </w:t>
      </w:r>
      <w:r>
        <w:rPr>
          <w:rFonts w:ascii="Arial"/>
          <w:i/>
          <w:color w:val="010101"/>
          <w:w w:val="105"/>
          <w:sz w:val="19"/>
        </w:rPr>
        <w:t>dt.</w:t>
        <w:tab/>
      </w:r>
      <w:r>
        <w:rPr>
          <w:color w:val="010101"/>
          <w:sz w:val="20"/>
        </w:rPr>
        <w:t>(</w:t>
      </w:r>
      <w:r>
        <w:rPr>
          <w:color w:val="010101"/>
          <w:spacing w:val="-32"/>
          <w:sz w:val="20"/>
        </w:rPr>
        <w:t> </w:t>
      </w:r>
      <w:r>
        <w:rPr>
          <w:color w:val="010101"/>
          <w:sz w:val="20"/>
        </w:rPr>
        <w:t>1.14</w:t>
      </w:r>
      <w:r>
        <w:rPr>
          <w:color w:val="010101"/>
          <w:spacing w:val="-41"/>
          <w:sz w:val="20"/>
        </w:rPr>
        <w:t> </w:t>
      </w:r>
      <w:r>
        <w:rPr>
          <w:color w:val="010101"/>
          <w:sz w:val="20"/>
        </w:rPr>
        <w:t>)</w:t>
      </w:r>
    </w:p>
    <w:p>
      <w:pPr>
        <w:spacing w:after="0" w:line="546" w:lineRule="exact"/>
        <w:jc w:val="left"/>
        <w:rPr>
          <w:sz w:val="20"/>
        </w:rPr>
        <w:sectPr>
          <w:type w:val="continuous"/>
          <w:pgSz w:w="7200" w:h="11340"/>
          <w:pgMar w:top="1100" w:bottom="0" w:left="660" w:right="520"/>
        </w:sectPr>
      </w:pPr>
    </w:p>
    <w:p>
      <w:pPr>
        <w:tabs>
          <w:tab w:pos="1855" w:val="left" w:leader="none"/>
          <w:tab w:pos="5847" w:val="right" w:leader="none"/>
        </w:tabs>
        <w:spacing w:before="60"/>
        <w:ind w:left="100" w:right="0" w:firstLine="0"/>
        <w:jc w:val="left"/>
        <w:rPr>
          <w:sz w:val="20"/>
        </w:rPr>
      </w:pPr>
      <w:r>
        <w:rPr>
          <w:b/>
          <w:color w:val="010101"/>
          <w:sz w:val="15"/>
        </w:rPr>
        <w:t>SEC.</w:t>
      </w:r>
      <w:r>
        <w:rPr>
          <w:b/>
          <w:color w:val="010101"/>
          <w:spacing w:val="23"/>
          <w:sz w:val="15"/>
        </w:rPr>
        <w:t> </w:t>
      </w:r>
      <w:r>
        <w:rPr>
          <w:rFonts w:ascii="Arial"/>
          <w:b/>
          <w:color w:val="010101"/>
          <w:sz w:val="20"/>
        </w:rPr>
        <w:t>4)</w:t>
        <w:tab/>
      </w:r>
      <w:r>
        <w:rPr>
          <w:b/>
          <w:color w:val="010101"/>
          <w:sz w:val="15"/>
        </w:rPr>
        <w:t>THE   FORCE </w:t>
      </w:r>
      <w:r>
        <w:rPr>
          <w:b/>
          <w:color w:val="010101"/>
          <w:spacing w:val="10"/>
          <w:sz w:val="15"/>
        </w:rPr>
        <w:t> </w:t>
      </w:r>
      <w:r>
        <w:rPr>
          <w:b/>
          <w:color w:val="010101"/>
          <w:sz w:val="15"/>
        </w:rPr>
        <w:t>011' </w:t>
      </w:r>
      <w:r>
        <w:rPr>
          <w:b/>
          <w:color w:val="010101"/>
          <w:spacing w:val="9"/>
          <w:sz w:val="15"/>
        </w:rPr>
        <w:t> </w:t>
      </w:r>
      <w:r>
        <w:rPr>
          <w:b/>
          <w:color w:val="010101"/>
          <w:sz w:val="15"/>
        </w:rPr>
        <w:t>MORTALITY</w:t>
      </w:r>
      <w:r>
        <w:rPr>
          <w:color w:val="010101"/>
          <w:sz w:val="20"/>
        </w:rPr>
        <w:tab/>
      </w:r>
      <w:r>
        <w:rPr>
          <w:color w:val="010101"/>
          <w:spacing w:val="-25"/>
          <w:sz w:val="20"/>
        </w:rPr>
        <w:t>15</w:t>
      </w:r>
    </w:p>
    <w:p>
      <w:pPr>
        <w:spacing w:after="0"/>
        <w:jc w:val="left"/>
        <w:rPr>
          <w:sz w:val="20"/>
        </w:rPr>
        <w:sectPr>
          <w:pgSz w:w="7200" w:h="11340"/>
          <w:pgMar w:top="500" w:bottom="280" w:left="660" w:right="560"/>
        </w:sectPr>
      </w:pPr>
    </w:p>
    <w:p>
      <w:pPr>
        <w:pStyle w:val="BodyText"/>
        <w:spacing w:before="8"/>
      </w:pPr>
    </w:p>
    <w:p>
      <w:pPr>
        <w:spacing w:before="1"/>
        <w:ind w:left="111" w:right="0" w:firstLine="0"/>
        <w:jc w:val="left"/>
        <w:rPr>
          <w:sz w:val="21"/>
        </w:rPr>
      </w:pPr>
      <w:r>
        <w:rPr/>
        <w:pict>
          <v:shape style="position:absolute;margin-left:159.900299pt;margin-top:11.068665pt;width:83.75pt;height:21.5pt;mso-position-horizontal-relative:page;mso-position-vertical-relative:paragraph;z-index:-734176" type="#_x0000_t202" filled="false" stroked="false">
            <v:textbox inset="0,0,0,0">
              <w:txbxContent>
                <w:p>
                  <w:pPr>
                    <w:tabs>
                      <w:tab w:pos="1471" w:val="left" w:leader="none"/>
                    </w:tabs>
                    <w:spacing w:line="430" w:lineRule="exact" w:before="0"/>
                    <w:ind w:left="0" w:right="0" w:firstLine="0"/>
                    <w:jc w:val="left"/>
                    <w:rPr>
                      <w:i/>
                      <w:sz w:val="43"/>
                    </w:rPr>
                  </w:pPr>
                  <w:r>
                    <w:rPr>
                      <w:i/>
                      <w:color w:val="010101"/>
                      <w:w w:val="85"/>
                      <w:sz w:val="43"/>
                    </w:rPr>
                    <w:t>r·</w:t>
                    <w:tab/>
                  </w:r>
                  <w:r>
                    <w:rPr>
                      <w:i/>
                      <w:color w:val="010101"/>
                      <w:w w:val="70"/>
                      <w:sz w:val="43"/>
                    </w:rPr>
                    <w:t>r·</w:t>
                  </w:r>
                </w:p>
              </w:txbxContent>
            </v:textbox>
            <w10:wrap type="none"/>
          </v:shape>
        </w:pict>
      </w:r>
      <w:r>
        <w:rPr>
          <w:color w:val="010101"/>
          <w:sz w:val="20"/>
        </w:rPr>
        <w:t>Dividing by </w:t>
      </w:r>
      <w:r>
        <w:rPr>
          <w:i/>
          <w:color w:val="010101"/>
          <w:w w:val="80"/>
          <w:sz w:val="21"/>
        </w:rPr>
        <w:t>l:ic </w:t>
      </w:r>
      <w:r>
        <w:rPr>
          <w:color w:val="010101"/>
          <w:sz w:val="21"/>
        </w:rPr>
        <w:t>, </w:t>
      </w:r>
      <w:r>
        <w:rPr>
          <w:color w:val="010101"/>
          <w:sz w:val="20"/>
        </w:rPr>
        <w:t>we ha.ve the proba.bility  </w:t>
      </w:r>
      <w:r>
        <w:rPr>
          <w:i/>
          <w:color w:val="010101"/>
          <w:sz w:val="21"/>
        </w:rPr>
        <w:t>,.qs  </w:t>
      </w:r>
      <w:r>
        <w:rPr>
          <w:color w:val="010101"/>
          <w:w w:val="110"/>
          <w:sz w:val="21"/>
        </w:rPr>
        <w:t>:</w:t>
      </w:r>
    </w:p>
    <w:p>
      <w:pPr>
        <w:tabs>
          <w:tab w:pos="2311" w:val="left" w:leader="none"/>
        </w:tabs>
        <w:spacing w:line="166" w:lineRule="exact" w:before="138"/>
        <w:ind w:left="1217" w:right="0" w:firstLine="0"/>
        <w:jc w:val="left"/>
        <w:rPr>
          <w:sz w:val="20"/>
        </w:rPr>
      </w:pPr>
      <w:r>
        <w:rPr>
          <w:i/>
          <w:color w:val="010101"/>
          <w:w w:val="115"/>
          <w:sz w:val="20"/>
        </w:rPr>
        <w:t>ls</w:t>
      </w:r>
      <w:r>
        <w:rPr>
          <w:i/>
          <w:color w:val="010101"/>
          <w:spacing w:val="6"/>
          <w:w w:val="115"/>
          <w:sz w:val="20"/>
        </w:rPr>
        <w:t> </w:t>
      </w:r>
      <w:r>
        <w:rPr>
          <w:color w:val="010101"/>
          <w:w w:val="260"/>
          <w:sz w:val="20"/>
        </w:rPr>
        <w:t>-</w:t>
      </w:r>
      <w:r>
        <w:rPr>
          <w:color w:val="010101"/>
          <w:spacing w:val="-92"/>
          <w:w w:val="260"/>
          <w:sz w:val="20"/>
        </w:rPr>
        <w:t> </w:t>
      </w:r>
      <w:r>
        <w:rPr>
          <w:i/>
          <w:color w:val="010101"/>
          <w:w w:val="115"/>
          <w:sz w:val="20"/>
        </w:rPr>
        <w:t>lrl,t</w:t>
        <w:tab/>
      </w:r>
      <w:r>
        <w:rPr>
          <w:color w:val="010101"/>
          <w:w w:val="115"/>
          <w:sz w:val="20"/>
        </w:rPr>
        <w:t>1</w:t>
      </w:r>
    </w:p>
    <w:p>
      <w:pPr>
        <w:tabs>
          <w:tab w:pos="1529" w:val="left" w:leader="none"/>
          <w:tab w:pos="2064" w:val="left" w:leader="none"/>
        </w:tabs>
        <w:spacing w:line="200" w:lineRule="exact" w:before="0"/>
        <w:ind w:left="660" w:right="0" w:firstLine="0"/>
        <w:jc w:val="left"/>
        <w:rPr>
          <w:rFonts w:ascii="Arial"/>
          <w:i/>
          <w:sz w:val="20"/>
        </w:rPr>
      </w:pPr>
      <w:r>
        <w:rPr/>
        <w:pict>
          <v:shape style="position:absolute;margin-left:161.874405pt;margin-top:6.624949pt;width:77.5pt;height:8.5pt;mso-position-horizontal-relative:page;mso-position-vertical-relative:paragraph;z-index:-734200" type="#_x0000_t202" filled="false" stroked="false">
            <v:textbox inset="0,0,0,0">
              <w:txbxContent>
                <w:p>
                  <w:pPr>
                    <w:tabs>
                      <w:tab w:pos="1475" w:val="left" w:leader="none"/>
                    </w:tabs>
                    <w:spacing w:line="170" w:lineRule="exact" w:before="0"/>
                    <w:ind w:left="0" w:right="0" w:firstLine="0"/>
                    <w:jc w:val="left"/>
                    <w:rPr>
                      <w:b/>
                      <w:sz w:val="17"/>
                    </w:rPr>
                  </w:pPr>
                  <w:r>
                    <w:rPr>
                      <w:b/>
                      <w:color w:val="010101"/>
                      <w:w w:val="95"/>
                      <w:sz w:val="17"/>
                    </w:rPr>
                    <w:t>o</w:t>
                    <w:tab/>
                  </w:r>
                  <w:r>
                    <w:rPr>
                      <w:b/>
                      <w:color w:val="010101"/>
                      <w:w w:val="85"/>
                      <w:sz w:val="17"/>
                    </w:rPr>
                    <w:t>o</w:t>
                  </w:r>
                </w:p>
              </w:txbxContent>
            </v:textbox>
            <w10:wrap type="none"/>
          </v:shape>
        </w:pict>
      </w:r>
      <w:r>
        <w:rPr>
          <w:i/>
          <w:color w:val="010101"/>
          <w:w w:val="60"/>
          <w:sz w:val="21"/>
        </w:rPr>
        <w:t>"q:ic</w:t>
      </w:r>
      <w:r>
        <w:rPr>
          <w:i/>
          <w:color w:val="010101"/>
          <w:spacing w:val="25"/>
          <w:sz w:val="21"/>
        </w:rPr>
        <w:t> </w:t>
      </w:r>
      <w:r>
        <w:rPr>
          <w:color w:val="010101"/>
          <w:w w:val="101"/>
          <w:sz w:val="25"/>
        </w:rPr>
        <w:t>=</w:t>
      </w:r>
      <w:r>
        <w:rPr>
          <w:color w:val="010101"/>
          <w:sz w:val="25"/>
        </w:rPr>
        <w:tab/>
      </w:r>
      <w:r>
        <w:rPr>
          <w:i/>
          <w:color w:val="010101"/>
          <w:w w:val="94"/>
          <w:sz w:val="21"/>
        </w:rPr>
        <w:t>l</w:t>
      </w:r>
      <w:r>
        <w:rPr>
          <w:i/>
          <w:color w:val="010101"/>
          <w:sz w:val="21"/>
        </w:rPr>
        <w:tab/>
      </w:r>
      <w:r>
        <w:rPr>
          <w:color w:val="010101"/>
          <w:spacing w:val="-81"/>
          <w:w w:val="103"/>
          <w:sz w:val="25"/>
        </w:rPr>
        <w:t>=</w:t>
      </w:r>
      <w:r>
        <w:rPr>
          <w:i/>
          <w:color w:val="010101"/>
          <w:spacing w:val="-312"/>
          <w:w w:val="210"/>
          <w:sz w:val="21"/>
        </w:rPr>
        <w:t>-</w:t>
      </w:r>
      <w:r>
        <w:rPr>
          <w:i/>
          <w:color w:val="010101"/>
          <w:w w:val="94"/>
          <w:sz w:val="21"/>
        </w:rPr>
        <w:t>l</w:t>
      </w:r>
      <w:r>
        <w:rPr>
          <w:i/>
          <w:color w:val="010101"/>
          <w:sz w:val="21"/>
        </w:rPr>
        <w:t>  </w:t>
      </w:r>
      <w:r>
        <w:rPr>
          <w:i/>
          <w:color w:val="010101"/>
          <w:spacing w:val="-23"/>
          <w:sz w:val="21"/>
        </w:rPr>
        <w:t> </w:t>
      </w:r>
      <w:r>
        <w:rPr>
          <w:rFonts w:ascii="Arial"/>
          <w:color w:val="010101"/>
          <w:spacing w:val="-14"/>
          <w:w w:val="82"/>
          <w:sz w:val="26"/>
        </w:rPr>
        <w:t>J</w:t>
      </w:r>
      <w:r>
        <w:rPr>
          <w:rFonts w:ascii="Arial"/>
          <w:color w:val="010101"/>
          <w:w w:val="44"/>
          <w:sz w:val="26"/>
        </w:rPr>
        <w:t>,,</w:t>
      </w:r>
      <w:r>
        <w:rPr>
          <w:rFonts w:ascii="Arial"/>
          <w:color w:val="010101"/>
          <w:sz w:val="26"/>
        </w:rPr>
        <w:t> </w:t>
      </w:r>
      <w:r>
        <w:rPr>
          <w:rFonts w:ascii="Arial"/>
          <w:color w:val="010101"/>
          <w:spacing w:val="6"/>
          <w:sz w:val="26"/>
        </w:rPr>
        <w:t> </w:t>
      </w:r>
      <w:r>
        <w:rPr>
          <w:i/>
          <w:color w:val="010101"/>
          <w:w w:val="100"/>
          <w:sz w:val="21"/>
        </w:rPr>
        <w:t>l""'</w:t>
      </w:r>
      <w:r>
        <w:rPr>
          <w:i/>
          <w:color w:val="010101"/>
          <w:spacing w:val="13"/>
          <w:w w:val="100"/>
          <w:sz w:val="21"/>
        </w:rPr>
        <w:t>"</w:t>
      </w:r>
      <w:r>
        <w:rPr>
          <w:i/>
          <w:color w:val="010101"/>
          <w:w w:val="104"/>
          <w:sz w:val="21"/>
        </w:rPr>
        <w:t>""'</w:t>
      </w:r>
      <w:r>
        <w:rPr>
          <w:i/>
          <w:color w:val="010101"/>
          <w:spacing w:val="2"/>
          <w:sz w:val="21"/>
        </w:rPr>
        <w:t> </w:t>
      </w:r>
      <w:r>
        <w:rPr>
          <w:i/>
          <w:color w:val="010101"/>
          <w:w w:val="91"/>
          <w:sz w:val="22"/>
        </w:rPr>
        <w:t>dt</w:t>
      </w:r>
      <w:r>
        <w:rPr>
          <w:i/>
          <w:color w:val="010101"/>
          <w:sz w:val="22"/>
        </w:rPr>
        <w:t> </w:t>
      </w:r>
      <w:r>
        <w:rPr>
          <w:i/>
          <w:color w:val="010101"/>
          <w:spacing w:val="-9"/>
          <w:sz w:val="22"/>
        </w:rPr>
        <w:t> </w:t>
      </w:r>
      <w:r>
        <w:rPr>
          <w:color w:val="010101"/>
          <w:w w:val="103"/>
          <w:sz w:val="25"/>
        </w:rPr>
        <w:t>=</w:t>
      </w:r>
      <w:r>
        <w:rPr>
          <w:color w:val="010101"/>
          <w:spacing w:val="28"/>
          <w:sz w:val="25"/>
        </w:rPr>
        <w:t> </w:t>
      </w:r>
      <w:r>
        <w:rPr>
          <w:rFonts w:ascii="Arial"/>
          <w:color w:val="010101"/>
          <w:spacing w:val="-14"/>
          <w:w w:val="82"/>
          <w:sz w:val="26"/>
        </w:rPr>
        <w:t>J</w:t>
      </w:r>
      <w:r>
        <w:rPr>
          <w:rFonts w:ascii="Arial"/>
          <w:color w:val="010101"/>
          <w:w w:val="47"/>
          <w:sz w:val="26"/>
        </w:rPr>
        <w:t>,,</w:t>
      </w:r>
      <w:r>
        <w:rPr>
          <w:rFonts w:ascii="Arial"/>
          <w:color w:val="010101"/>
          <w:sz w:val="26"/>
        </w:rPr>
        <w:t> </w:t>
      </w:r>
      <w:r>
        <w:rPr>
          <w:rFonts w:ascii="Arial"/>
          <w:color w:val="010101"/>
          <w:spacing w:val="16"/>
          <w:sz w:val="26"/>
        </w:rPr>
        <w:t> </w:t>
      </w:r>
      <w:r>
        <w:rPr>
          <w:i/>
          <w:color w:val="010101"/>
          <w:spacing w:val="-25"/>
          <w:w w:val="129"/>
          <w:sz w:val="21"/>
        </w:rPr>
        <w:t>,</w:t>
      </w:r>
      <w:r>
        <w:rPr>
          <w:i/>
          <w:color w:val="010101"/>
          <w:w w:val="73"/>
          <w:sz w:val="21"/>
        </w:rPr>
        <w:t>P.P.rl-c</w:t>
      </w:r>
      <w:r>
        <w:rPr>
          <w:i/>
          <w:color w:val="010101"/>
          <w:sz w:val="21"/>
        </w:rPr>
        <w:t> </w:t>
      </w:r>
      <w:r>
        <w:rPr>
          <w:i/>
          <w:color w:val="010101"/>
          <w:spacing w:val="-26"/>
          <w:sz w:val="21"/>
        </w:rPr>
        <w:t> </w:t>
      </w:r>
      <w:r>
        <w:rPr>
          <w:rFonts w:ascii="Arial"/>
          <w:i/>
          <w:color w:val="010101"/>
          <w:w w:val="100"/>
          <w:sz w:val="20"/>
        </w:rPr>
        <w:t>dt.</w:t>
      </w:r>
    </w:p>
    <w:p>
      <w:pPr>
        <w:pStyle w:val="ListParagraph"/>
        <w:numPr>
          <w:ilvl w:val="0"/>
          <w:numId w:val="3"/>
        </w:numPr>
        <w:tabs>
          <w:tab w:pos="2352" w:val="left" w:leader="none"/>
        </w:tabs>
        <w:spacing w:line="92" w:lineRule="exact" w:before="0" w:after="0"/>
        <w:ind w:left="2351" w:right="0" w:hanging="768"/>
        <w:jc w:val="left"/>
        <w:rPr>
          <w:rFonts w:ascii="Arial"/>
          <w:sz w:val="11"/>
        </w:rPr>
      </w:pPr>
      <w:r>
        <w:rPr>
          <w:rFonts w:ascii="Arial"/>
          <w:b/>
          <w:color w:val="010101"/>
          <w:w w:val="118"/>
          <w:sz w:val="11"/>
        </w:rPr>
        <w:t>s</w:t>
      </w:r>
      <w:r>
        <w:rPr>
          <w:rFonts w:ascii="Arial"/>
          <w:sz w:val="11"/>
        </w:rPr>
      </w:r>
    </w:p>
    <w:p>
      <w:pPr>
        <w:pStyle w:val="BodyText"/>
        <w:rPr>
          <w:rFonts w:ascii="Arial"/>
          <w:b/>
          <w:sz w:val="18"/>
        </w:rPr>
      </w:pPr>
      <w:r>
        <w:rPr/>
        <w:br w:type="column"/>
      </w:r>
      <w:r>
        <w:rPr>
          <w:rFonts w:ascii="Arial"/>
          <w:b/>
          <w:sz w:val="18"/>
        </w:rPr>
      </w:r>
    </w:p>
    <w:p>
      <w:pPr>
        <w:pStyle w:val="BodyText"/>
        <w:rPr>
          <w:rFonts w:ascii="Arial"/>
          <w:b/>
          <w:sz w:val="18"/>
        </w:rPr>
      </w:pPr>
    </w:p>
    <w:p>
      <w:pPr>
        <w:pStyle w:val="BodyText"/>
        <w:rPr>
          <w:rFonts w:ascii="Arial"/>
          <w:b/>
          <w:sz w:val="18"/>
        </w:rPr>
      </w:pPr>
    </w:p>
    <w:p>
      <w:pPr>
        <w:spacing w:before="116"/>
        <w:ind w:left="111" w:right="0" w:firstLine="0"/>
        <w:jc w:val="left"/>
        <w:rPr>
          <w:rFonts w:ascii="Arial"/>
          <w:sz w:val="18"/>
        </w:rPr>
      </w:pPr>
      <w:r>
        <w:rPr>
          <w:rFonts w:ascii="Arial"/>
          <w:color w:val="010101"/>
          <w:w w:val="115"/>
          <w:sz w:val="18"/>
        </w:rPr>
        <w:t>( 1.15)</w:t>
      </w:r>
    </w:p>
    <w:p>
      <w:pPr>
        <w:spacing w:after="0"/>
        <w:jc w:val="left"/>
        <w:rPr>
          <w:rFonts w:ascii="Arial"/>
          <w:sz w:val="18"/>
        </w:rPr>
        <w:sectPr>
          <w:type w:val="continuous"/>
          <w:pgSz w:w="7200" w:h="11340"/>
          <w:pgMar w:top="1100" w:bottom="0" w:left="660" w:right="560"/>
          <w:cols w:num="2" w:equalWidth="0">
            <w:col w:w="5121" w:space="84"/>
            <w:col w:w="775"/>
          </w:cols>
        </w:sectPr>
      </w:pPr>
    </w:p>
    <w:p>
      <w:pPr>
        <w:pStyle w:val="BodyText"/>
        <w:spacing w:line="238" w:lineRule="exact" w:before="131"/>
        <w:ind w:left="301"/>
      </w:pPr>
      <w:r>
        <w:rPr>
          <w:color w:val="010101"/>
          <w:w w:val="112"/>
        </w:rPr>
        <w:t>The</w:t>
      </w:r>
      <w:r>
        <w:rPr>
          <w:color w:val="010101"/>
          <w:spacing w:val="1"/>
        </w:rPr>
        <w:t> </w:t>
      </w:r>
      <w:r>
        <w:rPr>
          <w:color w:val="010101"/>
          <w:w w:val="99"/>
        </w:rPr>
        <w:t>proba.bility</w:t>
      </w:r>
      <w:r>
        <w:rPr>
          <w:color w:val="010101"/>
        </w:rPr>
        <w:t> </w:t>
      </w:r>
      <w:r>
        <w:rPr>
          <w:color w:val="010101"/>
          <w:spacing w:val="-15"/>
        </w:rPr>
        <w:t> </w:t>
      </w:r>
      <w:r>
        <w:rPr>
          <w:i/>
          <w:color w:val="010101"/>
          <w:spacing w:val="-8"/>
          <w:w w:val="143"/>
        </w:rPr>
        <w:t>•</w:t>
      </w:r>
      <w:r>
        <w:rPr>
          <w:rFonts w:ascii="Arial" w:hAnsi="Arial"/>
          <w:i/>
          <w:color w:val="010101"/>
          <w:w w:val="65"/>
          <w:position w:val="-3"/>
          <w:sz w:val="8"/>
        </w:rPr>
        <w:t>1</w:t>
      </w:r>
      <w:r>
        <w:rPr>
          <w:rFonts w:ascii="Arial" w:hAnsi="Arial"/>
          <w:i/>
          <w:color w:val="010101"/>
          <w:spacing w:val="-5"/>
          <w:position w:val="-3"/>
          <w:sz w:val="8"/>
        </w:rPr>
        <w:t> </w:t>
      </w:r>
      <w:r>
        <w:rPr>
          <w:i/>
          <w:color w:val="010101"/>
          <w:w w:val="130"/>
        </w:rPr>
        <w:t>,</w:t>
      </w:r>
      <w:r>
        <w:rPr>
          <w:i/>
          <w:color w:val="010101"/>
          <w:spacing w:val="-30"/>
          <w:w w:val="130"/>
        </w:rPr>
        <w:t>.</w:t>
      </w:r>
      <w:r>
        <w:rPr>
          <w:i/>
          <w:color w:val="010101"/>
          <w:w w:val="124"/>
        </w:rPr>
        <w:t>q.</w:t>
      </w:r>
      <w:r>
        <w:rPr>
          <w:i/>
          <w:color w:val="010101"/>
          <w:spacing w:val="-25"/>
        </w:rPr>
        <w:t> </w:t>
      </w:r>
      <w:r>
        <w:rPr>
          <w:color w:val="010101"/>
          <w:w w:val="92"/>
        </w:rPr>
        <w:t>me.y</w:t>
      </w:r>
      <w:r>
        <w:rPr>
          <w:color w:val="010101"/>
          <w:spacing w:val="17"/>
        </w:rPr>
        <w:t> </w:t>
      </w:r>
      <w:r>
        <w:rPr>
          <w:color w:val="010101"/>
          <w:w w:val="103"/>
        </w:rPr>
        <w:t>similarly</w:t>
      </w:r>
      <w:r>
        <w:rPr>
          <w:color w:val="010101"/>
          <w:spacing w:val="15"/>
        </w:rPr>
        <w:t> </w:t>
      </w:r>
      <w:r>
        <w:rPr>
          <w:color w:val="010101"/>
          <w:w w:val="105"/>
        </w:rPr>
        <w:t>be</w:t>
      </w:r>
      <w:r>
        <w:rPr>
          <w:color w:val="010101"/>
          <w:spacing w:val="4"/>
        </w:rPr>
        <w:t> </w:t>
      </w:r>
      <w:r>
        <w:rPr>
          <w:color w:val="010101"/>
          <w:w w:val="102"/>
        </w:rPr>
        <w:t>expressed</w:t>
      </w:r>
      <w:r>
        <w:rPr>
          <w:color w:val="010101"/>
          <w:spacing w:val="21"/>
        </w:rPr>
        <w:t> </w:t>
      </w:r>
      <w:r>
        <w:rPr>
          <w:color w:val="010101"/>
          <w:w w:val="101"/>
        </w:rPr>
        <w:t>in</w:t>
      </w:r>
      <w:r>
        <w:rPr>
          <w:color w:val="010101"/>
          <w:spacing w:val="6"/>
        </w:rPr>
        <w:t> </w:t>
      </w:r>
      <w:r>
        <w:rPr>
          <w:color w:val="010101"/>
          <w:w w:val="102"/>
        </w:rPr>
        <w:t>definite</w:t>
      </w:r>
      <w:r>
        <w:rPr>
          <w:color w:val="010101"/>
          <w:spacing w:val="18"/>
        </w:rPr>
        <w:t> </w:t>
      </w:r>
      <w:r>
        <w:rPr>
          <w:color w:val="010101"/>
          <w:w w:val="104"/>
        </w:rPr>
        <w:t>inte­</w:t>
      </w:r>
    </w:p>
    <w:p>
      <w:pPr>
        <w:spacing w:line="222" w:lineRule="exact" w:before="0"/>
        <w:ind w:left="108" w:right="739" w:firstLine="0"/>
        <w:jc w:val="left"/>
        <w:rPr>
          <w:sz w:val="20"/>
        </w:rPr>
      </w:pPr>
      <w:r>
        <w:rPr>
          <w:b/>
          <w:color w:val="010101"/>
          <w:w w:val="105"/>
          <w:sz w:val="21"/>
        </w:rPr>
        <w:t>gral </w:t>
      </w:r>
      <w:r>
        <w:rPr>
          <w:color w:val="010101"/>
          <w:w w:val="105"/>
          <w:sz w:val="20"/>
        </w:rPr>
        <w:t>fonn as</w:t>
      </w:r>
    </w:p>
    <w:p>
      <w:pPr>
        <w:spacing w:line="113" w:lineRule="exact" w:before="0"/>
        <w:ind w:left="264" w:right="59" w:firstLine="0"/>
        <w:jc w:val="center"/>
        <w:rPr>
          <w:sz w:val="13"/>
        </w:rPr>
      </w:pPr>
      <w:r>
        <w:rPr>
          <w:color w:val="010101"/>
          <w:w w:val="105"/>
          <w:sz w:val="13"/>
        </w:rPr>
        <w:t>.L</w:t>
      </w:r>
    </w:p>
    <w:p>
      <w:pPr>
        <w:spacing w:line="140" w:lineRule="exact" w:before="0"/>
        <w:ind w:left="74" w:right="89" w:firstLine="0"/>
        <w:jc w:val="center"/>
        <w:rPr>
          <w:i/>
          <w:sz w:val="14"/>
        </w:rPr>
      </w:pPr>
      <w:r>
        <w:rPr/>
        <w:pict>
          <v:shape style="position:absolute;margin-left:167.258194pt;margin-top:.821845pt;width:10.050pt;height:26pt;mso-position-horizontal-relative:page;mso-position-vertical-relative:paragraph;z-index:-734152" type="#_x0000_t202" filled="false" stroked="false">
            <v:textbox inset="0,0,0,0">
              <w:txbxContent>
                <w:p>
                  <w:pPr>
                    <w:spacing w:line="520" w:lineRule="exact" w:before="0"/>
                    <w:ind w:left="0" w:right="0" w:firstLine="0"/>
                    <w:jc w:val="left"/>
                    <w:rPr>
                      <w:rFonts w:ascii="Arial"/>
                      <w:i/>
                      <w:sz w:val="52"/>
                    </w:rPr>
                  </w:pPr>
                  <w:r>
                    <w:rPr>
                      <w:rFonts w:ascii="Arial"/>
                      <w:i/>
                      <w:color w:val="010101"/>
                      <w:spacing w:val="-23"/>
                      <w:w w:val="76"/>
                      <w:sz w:val="52"/>
                    </w:rPr>
                    <w:t>1</w:t>
                  </w:r>
                </w:p>
              </w:txbxContent>
            </v:textbox>
            <w10:wrap type="none"/>
          </v:shape>
        </w:pict>
      </w:r>
      <w:r>
        <w:rPr>
          <w:i/>
          <w:color w:val="010101"/>
          <w:w w:val="110"/>
          <w:sz w:val="14"/>
        </w:rPr>
        <w:t>11+.</w:t>
      </w:r>
    </w:p>
    <w:p>
      <w:pPr>
        <w:tabs>
          <w:tab w:pos="2878" w:val="left" w:leader="none"/>
          <w:tab w:pos="3173" w:val="left" w:leader="none"/>
          <w:tab w:pos="5323" w:val="left" w:leader="none"/>
        </w:tabs>
        <w:spacing w:line="207" w:lineRule="exact" w:before="0"/>
        <w:ind w:left="1690" w:right="0" w:firstLine="0"/>
        <w:jc w:val="left"/>
        <w:rPr>
          <w:b/>
          <w:sz w:val="20"/>
        </w:rPr>
      </w:pPr>
      <w:r>
        <w:rPr>
          <w:color w:val="525252"/>
          <w:w w:val="328"/>
          <w:sz w:val="9"/>
        </w:rPr>
        <w:t>-</w:t>
      </w:r>
      <w:r>
        <w:rPr>
          <w:color w:val="525252"/>
          <w:sz w:val="9"/>
        </w:rPr>
        <w:t>       </w:t>
      </w:r>
      <w:r>
        <w:rPr>
          <w:color w:val="525252"/>
          <w:spacing w:val="-10"/>
          <w:sz w:val="9"/>
        </w:rPr>
        <w:t> </w:t>
      </w:r>
      <w:r>
        <w:rPr>
          <w:b/>
          <w:color w:val="010101"/>
          <w:w w:val="100"/>
          <w:sz w:val="9"/>
        </w:rPr>
        <w:t>t1</w:t>
      </w:r>
      <w:r>
        <w:rPr>
          <w:b/>
          <w:color w:val="010101"/>
          <w:spacing w:val="2"/>
          <w:sz w:val="9"/>
        </w:rPr>
        <w:t> </w:t>
      </w:r>
      <w:r>
        <w:rPr>
          <w:b/>
          <w:color w:val="010101"/>
          <w:spacing w:val="-25"/>
          <w:w w:val="600"/>
          <w:sz w:val="9"/>
        </w:rPr>
        <w:t>f</w:t>
      </w:r>
      <w:r>
        <w:rPr>
          <w:b/>
          <w:color w:val="010101"/>
          <w:w w:val="79"/>
          <w:sz w:val="9"/>
        </w:rPr>
        <w:t>:1t</w:t>
      </w:r>
      <w:r>
        <w:rPr>
          <w:b/>
          <w:color w:val="010101"/>
          <w:sz w:val="9"/>
        </w:rPr>
        <w:t>  </w:t>
      </w:r>
      <w:r>
        <w:rPr>
          <w:b/>
          <w:color w:val="010101"/>
          <w:spacing w:val="6"/>
          <w:sz w:val="9"/>
        </w:rPr>
        <w:t> </w:t>
      </w:r>
      <w:r>
        <w:rPr>
          <w:b/>
          <w:color w:val="010101"/>
          <w:w w:val="282"/>
          <w:sz w:val="9"/>
        </w:rPr>
        <w:t>;;</w:t>
      </w:r>
      <w:r>
        <w:rPr>
          <w:b/>
          <w:color w:val="010101"/>
          <w:sz w:val="9"/>
        </w:rPr>
        <w:tab/>
      </w:r>
      <w:r>
        <w:rPr>
          <w:color w:val="525252"/>
          <w:w w:val="113"/>
          <w:sz w:val="9"/>
        </w:rPr>
        <w:t>·</w:t>
      </w:r>
      <w:r>
        <w:rPr>
          <w:color w:val="525252"/>
          <w:sz w:val="9"/>
        </w:rPr>
        <w:tab/>
      </w:r>
      <w:r>
        <w:rPr>
          <w:b/>
          <w:color w:val="010101"/>
          <w:w w:val="75"/>
          <w:sz w:val="20"/>
        </w:rPr>
        <w:t>tPsP.s+e</w:t>
      </w:r>
      <w:r>
        <w:rPr>
          <w:b/>
          <w:color w:val="010101"/>
          <w:sz w:val="20"/>
        </w:rPr>
        <w:t> </w:t>
      </w:r>
      <w:r>
        <w:rPr>
          <w:b/>
          <w:color w:val="010101"/>
          <w:spacing w:val="-22"/>
          <w:sz w:val="20"/>
        </w:rPr>
        <w:t> </w:t>
      </w:r>
      <w:r>
        <w:rPr>
          <w:b/>
          <w:i/>
          <w:color w:val="010101"/>
          <w:w w:val="96"/>
          <w:sz w:val="22"/>
        </w:rPr>
        <w:t>dt.</w:t>
      </w:r>
      <w:r>
        <w:rPr>
          <w:b/>
          <w:i/>
          <w:color w:val="010101"/>
          <w:sz w:val="22"/>
        </w:rPr>
        <w:tab/>
      </w:r>
      <w:r>
        <w:rPr>
          <w:b/>
          <w:color w:val="010101"/>
          <w:sz w:val="20"/>
        </w:rPr>
        <w:t>(</w:t>
      </w:r>
      <w:r>
        <w:rPr>
          <w:b/>
          <w:color w:val="010101"/>
          <w:spacing w:val="-17"/>
          <w:sz w:val="20"/>
        </w:rPr>
        <w:t> </w:t>
      </w:r>
      <w:r>
        <w:rPr>
          <w:b/>
          <w:color w:val="010101"/>
          <w:w w:val="98"/>
          <w:sz w:val="20"/>
        </w:rPr>
        <w:t>1.16}</w:t>
      </w:r>
    </w:p>
    <w:p>
      <w:pPr>
        <w:spacing w:line="231" w:lineRule="exact" w:before="0"/>
        <w:ind w:left="0" w:right="313" w:firstLine="0"/>
        <w:jc w:val="center"/>
        <w:rPr>
          <w:rFonts w:ascii="Arial" w:hAnsi="Arial"/>
          <w:sz w:val="24"/>
        </w:rPr>
      </w:pPr>
      <w:r>
        <w:rPr>
          <w:rFonts w:ascii="Arial" w:hAnsi="Arial"/>
          <w:color w:val="010101"/>
          <w:w w:val="118"/>
          <w:sz w:val="24"/>
        </w:rPr>
        <w:t>•</w:t>
      </w:r>
    </w:p>
    <w:p>
      <w:pPr>
        <w:pStyle w:val="BodyText"/>
        <w:spacing w:before="35"/>
        <w:ind w:left="118" w:firstLine="193"/>
        <w:jc w:val="both"/>
      </w:pPr>
      <w:r>
        <w:rPr>
          <w:color w:val="010101"/>
          <w:w w:val="105"/>
        </w:rPr>
        <w:t>The form of the integrand in formulas  (1.15) and  (1.16 ) is easily</w:t>
      </w:r>
    </w:p>
    <w:p>
      <w:pPr>
        <w:pStyle w:val="BodyText"/>
        <w:spacing w:line="238" w:lineRule="exact" w:before="14"/>
        <w:ind w:left="118" w:right="133"/>
      </w:pPr>
      <w:r>
        <w:rPr>
          <w:color w:val="010101"/>
          <w:w w:val="105"/>
        </w:rPr>
        <w:t>remembered sincc the differential cxpression </w:t>
      </w:r>
      <w:r>
        <w:rPr>
          <w:i/>
          <w:color w:val="010101"/>
          <w:w w:val="105"/>
          <w:sz w:val="16"/>
        </w:rPr>
        <w:t>tPzllz+t dl </w:t>
      </w:r>
      <w:r>
        <w:rPr>
          <w:color w:val="010101"/>
          <w:w w:val="105"/>
        </w:rPr>
        <w:t>may be thought  of  as the probability  that  </w:t>
      </w:r>
      <w:r>
        <w:rPr>
          <w:rFonts w:ascii="Arial"/>
          <w:i/>
          <w:color w:val="010101"/>
          <w:w w:val="105"/>
          <w:sz w:val="19"/>
        </w:rPr>
        <w:t>(x )  </w:t>
      </w:r>
      <w:r>
        <w:rPr>
          <w:color w:val="010101"/>
          <w:w w:val="105"/>
          <w:sz w:val="21"/>
        </w:rPr>
        <w:t>will </w:t>
      </w:r>
      <w:r>
        <w:rPr>
          <w:color w:val="010101"/>
          <w:w w:val="105"/>
        </w:rPr>
        <w:t>survive for </w:t>
      </w:r>
      <w:r>
        <w:rPr>
          <w:rFonts w:ascii="Arial"/>
          <w:i/>
          <w:color w:val="010101"/>
          <w:w w:val="105"/>
          <w:sz w:val="18"/>
        </w:rPr>
        <w:t>t </w:t>
      </w:r>
      <w:r>
        <w:rPr>
          <w:color w:val="010101"/>
          <w:w w:val="105"/>
        </w:rPr>
        <w:t>years and</w:t>
      </w:r>
    </w:p>
    <w:p>
      <w:pPr>
        <w:pStyle w:val="BodyText"/>
        <w:spacing w:line="250" w:lineRule="exact"/>
        <w:ind w:left="115" w:firstLine="3"/>
      </w:pPr>
      <w:r>
        <w:rPr>
          <w:color w:val="010101"/>
          <w:w w:val="110"/>
        </w:rPr>
        <w:t>then die at the instant of attaining age </w:t>
      </w:r>
      <w:r>
        <w:rPr>
          <w:rFonts w:ascii="Arial" w:hAnsi="Arial"/>
          <w:i/>
          <w:color w:val="010101"/>
          <w:w w:val="110"/>
          <w:sz w:val="17"/>
        </w:rPr>
        <w:t>x  </w:t>
      </w:r>
      <w:r>
        <w:rPr>
          <w:rFonts w:ascii="Arial" w:hAnsi="Arial"/>
          <w:color w:val="010101"/>
          <w:w w:val="110"/>
          <w:sz w:val="32"/>
        </w:rPr>
        <w:t>+ </w:t>
      </w:r>
      <w:r>
        <w:rPr>
          <w:i/>
          <w:color w:val="010101"/>
          <w:w w:val="110"/>
          <w:sz w:val="22"/>
        </w:rPr>
        <w:t>t. </w:t>
      </w:r>
      <w:r>
        <w:rPr>
          <w:color w:val="010101"/>
          <w:w w:val="110"/>
        </w:rPr>
        <w:t>When this  expres­</w:t>
      </w:r>
    </w:p>
    <w:p>
      <w:pPr>
        <w:pStyle w:val="BodyText"/>
        <w:spacing w:line="249" w:lineRule="auto"/>
        <w:ind w:left="115" w:right="133"/>
      </w:pPr>
      <w:r>
        <w:rPr>
          <w:color w:val="010101"/>
          <w:w w:val="105"/>
        </w:rPr>
        <w:t>sion is integrated between limits for </w:t>
      </w:r>
      <w:r>
        <w:rPr>
          <w:color w:val="010101"/>
          <w:w w:val="105"/>
          <w:sz w:val="21"/>
        </w:rPr>
        <w:t>t, </w:t>
      </w:r>
      <w:r>
        <w:rPr>
          <w:color w:val="010101"/>
          <w:w w:val="105"/>
        </w:rPr>
        <w:t>it gives the probability of dying within the corresponding  period of  time.</w:t>
      </w:r>
    </w:p>
    <w:p>
      <w:pPr>
        <w:pStyle w:val="BodyText"/>
        <w:spacing w:line="242" w:lineRule="auto" w:before="2"/>
        <w:ind w:left="111" w:right="115" w:firstLine="197"/>
        <w:jc w:val="both"/>
      </w:pPr>
      <w:r>
        <w:rPr>
          <w:color w:val="010101"/>
        </w:rPr>
        <w:t>The role played  by  the  force of  mortality  in the mathematics  of  </w:t>
      </w:r>
      <w:r>
        <w:rPr>
          <w:color w:val="010101"/>
          <w:sz w:val="22"/>
        </w:rPr>
        <w:t>lif </w:t>
      </w:r>
      <w:r>
        <w:rPr>
          <w:color w:val="010101"/>
        </w:rPr>
        <w:t>e contingencies </w:t>
      </w:r>
      <w:r>
        <w:rPr>
          <w:color w:val="010101"/>
          <w:sz w:val="19"/>
        </w:rPr>
        <w:t>is </w:t>
      </w:r>
      <w:r>
        <w:rPr>
          <w:color w:val="010101"/>
        </w:rPr>
        <w:t>analogous to that played  by  the force of  inter­ est in compound  interest  theory.  Thís  wíll  be  apparent  in  the duality  exhibited </w:t>
      </w:r>
      <w:r>
        <w:rPr>
          <w:color w:val="010101"/>
          <w:spacing w:val="44"/>
        </w:rPr>
        <w:t> </w:t>
      </w:r>
      <w:r>
        <w:rPr>
          <w:color w:val="010101"/>
        </w:rPr>
        <w:t>below.</w:t>
      </w:r>
    </w:p>
    <w:p>
      <w:pPr>
        <w:spacing w:after="0" w:line="242" w:lineRule="auto"/>
        <w:jc w:val="both"/>
        <w:sectPr>
          <w:type w:val="continuous"/>
          <w:pgSz w:w="7200" w:h="11340"/>
          <w:pgMar w:top="1100" w:bottom="0" w:left="660" w:right="560"/>
        </w:sectPr>
      </w:pPr>
    </w:p>
    <w:p>
      <w:pPr>
        <w:spacing w:before="121"/>
        <w:ind w:left="131" w:right="42" w:firstLine="0"/>
        <w:jc w:val="center"/>
        <w:rPr>
          <w:b/>
          <w:i/>
          <w:sz w:val="18"/>
        </w:rPr>
      </w:pPr>
      <w:r>
        <w:rPr>
          <w:b/>
          <w:i/>
          <w:color w:val="010101"/>
          <w:w w:val="110"/>
          <w:sz w:val="18"/>
        </w:rPr>
        <w:t>lnterut</w:t>
      </w:r>
    </w:p>
    <w:p>
      <w:pPr>
        <w:spacing w:line="249" w:lineRule="auto" w:before="82"/>
        <w:ind w:left="122" w:right="28" w:firstLine="197"/>
        <w:jc w:val="right"/>
        <w:rPr>
          <w:rFonts w:ascii="Arial" w:hAnsi="Arial"/>
          <w:sz w:val="15"/>
        </w:rPr>
      </w:pPr>
      <w:r>
        <w:rPr>
          <w:color w:val="010101"/>
          <w:w w:val="105"/>
          <w:sz w:val="17"/>
        </w:rPr>
        <w:t>An original sum of </w:t>
      </w:r>
      <w:r>
        <w:rPr>
          <w:rFonts w:ascii="Arial" w:hAnsi="Arial"/>
          <w:i/>
          <w:color w:val="010101"/>
          <w:w w:val="105"/>
          <w:sz w:val="17"/>
        </w:rPr>
        <w:t>A </w:t>
      </w:r>
      <w:r>
        <w:rPr>
          <w:rFonts w:ascii="Arial" w:hAnsi="Arial"/>
          <w:color w:val="010101"/>
          <w:w w:val="105"/>
          <w:sz w:val="12"/>
        </w:rPr>
        <w:t>o </w:t>
      </w:r>
      <w:r>
        <w:rPr>
          <w:rFonts w:ascii="Arial" w:hAnsi="Arial"/>
          <w:color w:val="010101"/>
          <w:spacing w:val="2"/>
          <w:w w:val="105"/>
          <w:sz w:val="12"/>
        </w:rPr>
        <w:t> </w:t>
      </w:r>
      <w:r>
        <w:rPr>
          <w:color w:val="010101"/>
          <w:w w:val="105"/>
          <w:sz w:val="17"/>
        </w:rPr>
        <w:t>is</w:t>
      </w:r>
      <w:r>
        <w:rPr>
          <w:color w:val="010101"/>
          <w:spacing w:val="18"/>
          <w:w w:val="105"/>
          <w:sz w:val="17"/>
        </w:rPr>
        <w:t> </w:t>
      </w:r>
      <w:r>
        <w:rPr>
          <w:color w:val="010101"/>
          <w:w w:val="105"/>
          <w:sz w:val="17"/>
        </w:rPr>
        <w:t>subject</w:t>
      </w:r>
      <w:r>
        <w:rPr>
          <w:color w:val="010101"/>
          <w:w w:val="112"/>
          <w:sz w:val="17"/>
        </w:rPr>
        <w:t> </w:t>
      </w:r>
      <w:r>
        <w:rPr>
          <w:color w:val="010101"/>
          <w:w w:val="105"/>
          <w:sz w:val="17"/>
        </w:rPr>
        <w:t>to the incremental </w:t>
      </w:r>
      <w:r>
        <w:rPr>
          <w:color w:val="010101"/>
          <w:spacing w:val="2"/>
          <w:w w:val="105"/>
          <w:sz w:val="17"/>
        </w:rPr>
        <w:t>effect </w:t>
      </w:r>
      <w:r>
        <w:rPr>
          <w:color w:val="010101"/>
          <w:w w:val="105"/>
          <w:sz w:val="17"/>
        </w:rPr>
        <w:t>of</w:t>
      </w:r>
      <w:r>
        <w:rPr>
          <w:color w:val="010101"/>
          <w:spacing w:val="44"/>
          <w:w w:val="105"/>
          <w:sz w:val="17"/>
        </w:rPr>
        <w:t> </w:t>
      </w:r>
      <w:r>
        <w:rPr>
          <w:color w:val="010101"/>
          <w:w w:val="105"/>
          <w:sz w:val="17"/>
        </w:rPr>
        <w:t>the</w:t>
      </w:r>
      <w:r>
        <w:rPr>
          <w:color w:val="010101"/>
          <w:spacing w:val="13"/>
          <w:w w:val="105"/>
          <w:sz w:val="17"/>
        </w:rPr>
        <w:t> </w:t>
      </w:r>
      <w:r>
        <w:rPr>
          <w:color w:val="010101"/>
          <w:w w:val="105"/>
          <w:sz w:val="17"/>
        </w:rPr>
        <w:t>vary­</w:t>
      </w:r>
      <w:r>
        <w:rPr>
          <w:color w:val="010101"/>
          <w:w w:val="112"/>
          <w:sz w:val="17"/>
        </w:rPr>
        <w:t> </w:t>
      </w:r>
      <w:r>
        <w:rPr>
          <w:color w:val="010101"/>
          <w:w w:val="105"/>
          <w:sz w:val="17"/>
        </w:rPr>
        <w:t>ing  (or  constant)  force  of  interest </w:t>
      </w:r>
      <w:r>
        <w:rPr>
          <w:color w:val="010101"/>
          <w:spacing w:val="43"/>
          <w:w w:val="105"/>
          <w:sz w:val="17"/>
        </w:rPr>
        <w:t> </w:t>
      </w:r>
      <w:r>
        <w:rPr>
          <w:rFonts w:ascii="Arial" w:hAnsi="Arial"/>
          <w:color w:val="010101"/>
          <w:w w:val="110"/>
          <w:sz w:val="15"/>
        </w:rPr>
        <w:t>.</w:t>
      </w:r>
    </w:p>
    <w:p>
      <w:pPr>
        <w:spacing w:line="242" w:lineRule="auto" w:before="0"/>
        <w:ind w:left="129" w:right="0" w:firstLine="197"/>
        <w:jc w:val="left"/>
        <w:rPr>
          <w:i/>
          <w:sz w:val="18"/>
        </w:rPr>
      </w:pPr>
      <w:r>
        <w:rPr>
          <w:color w:val="010101"/>
          <w:w w:val="110"/>
          <w:sz w:val="18"/>
        </w:rPr>
        <w:t>Let </w:t>
      </w:r>
      <w:r>
        <w:rPr>
          <w:rFonts w:ascii="Arial"/>
          <w:i/>
          <w:color w:val="010101"/>
          <w:w w:val="110"/>
          <w:sz w:val="17"/>
        </w:rPr>
        <w:t>A , </w:t>
      </w:r>
      <w:r>
        <w:rPr>
          <w:color w:val="010101"/>
          <w:w w:val="110"/>
          <w:sz w:val="17"/>
        </w:rPr>
        <w:t>be the amount of the sum at  time </w:t>
      </w:r>
      <w:r>
        <w:rPr>
          <w:i/>
          <w:color w:val="010101"/>
          <w:w w:val="110"/>
          <w:sz w:val="18"/>
        </w:rPr>
        <w:t>t.</w:t>
      </w:r>
    </w:p>
    <w:p>
      <w:pPr>
        <w:spacing w:line="194" w:lineRule="exact" w:before="0"/>
        <w:ind w:left="323" w:right="0" w:firstLine="0"/>
        <w:jc w:val="left"/>
        <w:rPr>
          <w:sz w:val="17"/>
        </w:rPr>
      </w:pPr>
      <w:r>
        <w:rPr>
          <w:color w:val="010101"/>
          <w:w w:val="105"/>
          <w:sz w:val="17"/>
        </w:rPr>
        <w:t>The rate of  change of  </w:t>
      </w:r>
      <w:r>
        <w:rPr>
          <w:rFonts w:ascii="Arial"/>
          <w:i/>
          <w:color w:val="010101"/>
          <w:w w:val="105"/>
          <w:sz w:val="17"/>
        </w:rPr>
        <w:t>A , </w:t>
      </w:r>
      <w:r>
        <w:rPr>
          <w:color w:val="010101"/>
          <w:w w:val="105"/>
          <w:sz w:val="17"/>
        </w:rPr>
        <w:t>is given</w:t>
      </w:r>
    </w:p>
    <w:p>
      <w:pPr>
        <w:spacing w:before="9"/>
        <w:ind w:left="122" w:right="0" w:firstLine="0"/>
        <w:jc w:val="left"/>
        <w:rPr>
          <w:sz w:val="17"/>
        </w:rPr>
      </w:pPr>
      <w:r>
        <w:rPr>
          <w:color w:val="010101"/>
          <w:w w:val="110"/>
          <w:sz w:val="17"/>
        </w:rPr>
        <w:t>by</w:t>
      </w:r>
    </w:p>
    <w:p>
      <w:pPr>
        <w:spacing w:before="128"/>
        <w:ind w:left="184" w:right="42" w:firstLine="0"/>
        <w:jc w:val="center"/>
        <w:rPr>
          <w:b/>
          <w:i/>
          <w:sz w:val="18"/>
        </w:rPr>
      </w:pPr>
      <w:r>
        <w:rPr>
          <w:b/>
          <w:i/>
          <w:color w:val="010101"/>
          <w:spacing w:val="-80"/>
          <w:w w:val="115"/>
          <w:position w:val="14"/>
          <w:sz w:val="17"/>
        </w:rPr>
        <w:t>d</w:t>
      </w:r>
      <w:r>
        <w:rPr>
          <w:rFonts w:ascii="Arial"/>
          <w:i/>
          <w:color w:val="010101"/>
          <w:spacing w:val="-74"/>
          <w:w w:val="109"/>
          <w:sz w:val="25"/>
        </w:rPr>
        <w:t>d</w:t>
      </w:r>
      <w:r>
        <w:rPr>
          <w:b/>
          <w:i/>
          <w:color w:val="010101"/>
          <w:spacing w:val="-58"/>
          <w:w w:val="114"/>
          <w:position w:val="14"/>
          <w:sz w:val="17"/>
        </w:rPr>
        <w:t>A</w:t>
      </w:r>
      <w:r>
        <w:rPr>
          <w:rFonts w:ascii="Arial"/>
          <w:i/>
          <w:color w:val="010101"/>
          <w:spacing w:val="-20"/>
          <w:w w:val="109"/>
          <w:sz w:val="25"/>
        </w:rPr>
        <w:t>t</w:t>
      </w:r>
      <w:r>
        <w:rPr>
          <w:b/>
          <w:i/>
          <w:color w:val="010101"/>
          <w:w w:val="115"/>
          <w:position w:val="14"/>
          <w:sz w:val="17"/>
        </w:rPr>
        <w:t>,</w:t>
      </w:r>
      <w:r>
        <w:rPr>
          <w:b/>
          <w:i/>
          <w:color w:val="010101"/>
          <w:position w:val="14"/>
          <w:sz w:val="17"/>
        </w:rPr>
        <w:t> </w:t>
      </w:r>
      <w:r>
        <w:rPr>
          <w:b/>
          <w:i/>
          <w:color w:val="010101"/>
          <w:spacing w:val="-14"/>
          <w:position w:val="14"/>
          <w:sz w:val="17"/>
        </w:rPr>
        <w:t> </w:t>
      </w:r>
      <w:r>
        <w:rPr>
          <w:color w:val="010101"/>
          <w:w w:val="86"/>
          <w:sz w:val="23"/>
        </w:rPr>
        <w:t>=</w:t>
      </w:r>
      <w:r>
        <w:rPr>
          <w:color w:val="010101"/>
          <w:spacing w:val="16"/>
          <w:sz w:val="23"/>
        </w:rPr>
        <w:t> </w:t>
      </w:r>
      <w:r>
        <w:rPr>
          <w:b/>
          <w:i/>
          <w:color w:val="010101"/>
          <w:w w:val="70"/>
          <w:sz w:val="18"/>
        </w:rPr>
        <w:t>Ac&amp;,</w:t>
      </w:r>
      <w:r>
        <w:rPr>
          <w:b/>
          <w:i/>
          <w:color w:val="010101"/>
          <w:spacing w:val="15"/>
          <w:sz w:val="18"/>
        </w:rPr>
        <w:t> </w:t>
      </w:r>
      <w:r>
        <w:rPr>
          <w:b/>
          <w:i/>
          <w:color w:val="010101"/>
          <w:w w:val="85"/>
          <w:sz w:val="18"/>
        </w:rPr>
        <w:t>.</w:t>
      </w:r>
    </w:p>
    <w:p>
      <w:pPr>
        <w:spacing w:line="252" w:lineRule="auto" w:before="245"/>
        <w:ind w:left="129" w:right="0" w:firstLine="197"/>
        <w:jc w:val="left"/>
        <w:rPr>
          <w:sz w:val="17"/>
        </w:rPr>
      </w:pPr>
      <w:r>
        <w:rPr>
          <w:color w:val="010101"/>
          <w:w w:val="110"/>
          <w:sz w:val="17"/>
        </w:rPr>
        <w:t>The total increment to </w:t>
      </w:r>
      <w:r>
        <w:rPr>
          <w:rFonts w:ascii="Arial"/>
          <w:i/>
          <w:color w:val="010101"/>
          <w:w w:val="110"/>
          <w:sz w:val="16"/>
        </w:rPr>
        <w:t>A </w:t>
      </w:r>
      <w:r>
        <w:rPr>
          <w:color w:val="010101"/>
          <w:w w:val="110"/>
          <w:sz w:val="17"/>
        </w:rPr>
        <w:t>produced in </w:t>
      </w:r>
      <w:r>
        <w:rPr>
          <w:b/>
          <w:color w:val="010101"/>
          <w:w w:val="110"/>
          <w:sz w:val="17"/>
        </w:rPr>
        <w:t>a year </w:t>
      </w:r>
      <w:r>
        <w:rPr>
          <w:color w:val="010101"/>
          <w:w w:val="110"/>
          <w:sz w:val="17"/>
        </w:rPr>
        <w:t>is</w:t>
      </w:r>
    </w:p>
    <w:p>
      <w:pPr>
        <w:spacing w:before="88"/>
        <w:ind w:left="136" w:right="0" w:firstLine="0"/>
        <w:jc w:val="left"/>
        <w:rPr>
          <w:b/>
          <w:i/>
          <w:sz w:val="36"/>
        </w:rPr>
      </w:pPr>
      <w:r>
        <w:rPr>
          <w:rFonts w:ascii="Arial"/>
          <w:b/>
          <w:i/>
          <w:color w:val="010101"/>
          <w:w w:val="75"/>
          <w:sz w:val="37"/>
        </w:rPr>
        <w:t>J.' </w:t>
      </w:r>
      <w:r>
        <w:rPr>
          <w:rFonts w:ascii="Arial"/>
          <w:b/>
          <w:i/>
          <w:color w:val="010101"/>
          <w:w w:val="80"/>
          <w:sz w:val="17"/>
        </w:rPr>
        <w:t>A.&amp;, </w:t>
      </w:r>
      <w:r>
        <w:rPr>
          <w:rFonts w:ascii="Arial"/>
          <w:i/>
          <w:color w:val="010101"/>
          <w:w w:val="80"/>
          <w:sz w:val="16"/>
        </w:rPr>
        <w:t>dt </w:t>
      </w:r>
      <w:r>
        <w:rPr>
          <w:color w:val="010101"/>
          <w:w w:val="80"/>
          <w:sz w:val="24"/>
        </w:rPr>
        <w:t>= </w:t>
      </w:r>
      <w:r>
        <w:rPr>
          <w:b/>
          <w:i/>
          <w:color w:val="010101"/>
          <w:w w:val="75"/>
          <w:sz w:val="36"/>
        </w:rPr>
        <w:t>A.J:</w:t>
      </w:r>
    </w:p>
    <w:p>
      <w:pPr>
        <w:spacing w:before="145"/>
        <w:ind w:left="0" w:right="23" w:firstLine="0"/>
        <w:jc w:val="right"/>
        <w:rPr>
          <w:i/>
          <w:sz w:val="18"/>
        </w:rPr>
      </w:pPr>
      <w:r>
        <w:rPr>
          <w:color w:val="010101"/>
          <w:sz w:val="21"/>
        </w:rPr>
        <w:t>= </w:t>
      </w:r>
      <w:r>
        <w:rPr>
          <w:color w:val="010101"/>
          <w:sz w:val="17"/>
        </w:rPr>
        <w:t>A1 </w:t>
      </w:r>
      <w:r>
        <w:rPr>
          <w:color w:val="010101"/>
          <w:w w:val="250"/>
          <w:sz w:val="17"/>
        </w:rPr>
        <w:t>- </w:t>
      </w:r>
      <w:r>
        <w:rPr>
          <w:i/>
          <w:color w:val="010101"/>
          <w:sz w:val="18"/>
        </w:rPr>
        <w:t>Ao </w:t>
      </w:r>
      <w:r>
        <w:rPr>
          <w:color w:val="010101"/>
          <w:sz w:val="23"/>
        </w:rPr>
        <w:t>= </w:t>
      </w:r>
      <w:r>
        <w:rPr>
          <w:i/>
          <w:color w:val="010101"/>
          <w:w w:val="125"/>
          <w:sz w:val="18"/>
        </w:rPr>
        <w:t>I,</w:t>
      </w:r>
    </w:p>
    <w:p>
      <w:pPr>
        <w:spacing w:before="100"/>
        <w:ind w:left="126" w:right="42" w:firstLine="0"/>
        <w:jc w:val="center"/>
        <w:rPr>
          <w:sz w:val="17"/>
        </w:rPr>
      </w:pPr>
      <w:r>
        <w:rPr>
          <w:color w:val="010101"/>
          <w:w w:val="110"/>
          <w:sz w:val="17"/>
        </w:rPr>
        <w:t>and the annual increment per unit of</w:t>
      </w:r>
    </w:p>
    <w:p>
      <w:pPr>
        <w:spacing w:before="133"/>
        <w:ind w:left="4" w:right="127" w:firstLine="0"/>
        <w:jc w:val="center"/>
        <w:rPr>
          <w:i/>
          <w:sz w:val="17"/>
        </w:rPr>
      </w:pPr>
      <w:r>
        <w:rPr/>
        <w:br w:type="column"/>
      </w:r>
      <w:r>
        <w:rPr>
          <w:i/>
          <w:color w:val="010101"/>
          <w:w w:val="105"/>
          <w:sz w:val="17"/>
        </w:rPr>
        <w:t>Mortality</w:t>
      </w:r>
    </w:p>
    <w:p>
      <w:pPr>
        <w:spacing w:line="247" w:lineRule="auto" w:before="85"/>
        <w:ind w:left="110" w:right="113" w:firstLine="197"/>
        <w:jc w:val="both"/>
        <w:rPr>
          <w:rFonts w:ascii="Arial" w:hAnsi="Arial"/>
          <w:i/>
          <w:sz w:val="12"/>
        </w:rPr>
      </w:pPr>
      <w:r>
        <w:rPr/>
        <w:pict>
          <v:line style="position:absolute;mso-position-horizontal-relative:page;mso-position-vertical-relative:paragraph;z-index:1840" from="181.166504pt,214.608533pt" to="181.166504pt,-9.207267pt" stroked="true" strokeweight=".717846pt" strokecolor="#000000">
            <w10:wrap type="none"/>
          </v:line>
        </w:pict>
      </w:r>
      <w:r>
        <w:rPr>
          <w:color w:val="010101"/>
          <w:w w:val="110"/>
          <w:sz w:val="17"/>
        </w:rPr>
        <w:t>An original group of </w:t>
      </w:r>
      <w:r>
        <w:rPr>
          <w:i/>
          <w:color w:val="010101"/>
          <w:w w:val="110"/>
          <w:sz w:val="14"/>
        </w:rPr>
        <w:t>lz </w:t>
      </w:r>
      <w:r>
        <w:rPr>
          <w:color w:val="010101"/>
          <w:w w:val="110"/>
          <w:sz w:val="17"/>
        </w:rPr>
        <w:t>lives is subject to the decrementa! effect of the  varying  force  of  mortality </w:t>
      </w:r>
      <w:r>
        <w:rPr>
          <w:rFonts w:ascii="Arial" w:hAnsi="Arial"/>
          <w:i/>
          <w:color w:val="010101"/>
          <w:w w:val="110"/>
          <w:sz w:val="12"/>
        </w:rPr>
        <w:t>µ.</w:t>
      </w:r>
    </w:p>
    <w:p>
      <w:pPr>
        <w:spacing w:line="198" w:lineRule="exact" w:before="4"/>
        <w:ind w:left="118" w:right="123" w:firstLine="193"/>
        <w:jc w:val="both"/>
        <w:rPr>
          <w:i/>
          <w:sz w:val="18"/>
        </w:rPr>
      </w:pPr>
      <w:r>
        <w:rPr>
          <w:color w:val="010101"/>
          <w:w w:val="110"/>
          <w:sz w:val="17"/>
        </w:rPr>
        <w:t>Let </w:t>
      </w:r>
      <w:r>
        <w:rPr>
          <w:i/>
          <w:color w:val="010101"/>
          <w:w w:val="110"/>
          <w:sz w:val="14"/>
        </w:rPr>
        <w:t>lz+1 </w:t>
      </w:r>
      <w:r>
        <w:rPr>
          <w:color w:val="010101"/>
          <w:w w:val="110"/>
          <w:sz w:val="17"/>
        </w:rPr>
        <w:t>be the number of lives in the  group  at  time </w:t>
      </w:r>
      <w:r>
        <w:rPr>
          <w:i/>
          <w:color w:val="010101"/>
          <w:w w:val="110"/>
          <w:sz w:val="18"/>
        </w:rPr>
        <w:t>t.</w:t>
      </w:r>
    </w:p>
    <w:p>
      <w:pPr>
        <w:spacing w:line="195" w:lineRule="exact" w:before="10"/>
        <w:ind w:left="308" w:right="0" w:firstLine="0"/>
        <w:jc w:val="left"/>
        <w:rPr>
          <w:sz w:val="17"/>
        </w:rPr>
      </w:pPr>
      <w:r>
        <w:rPr>
          <w:color w:val="010101"/>
          <w:w w:val="110"/>
          <w:sz w:val="17"/>
        </w:rPr>
        <w:t>The rate of change of </w:t>
      </w:r>
      <w:r>
        <w:rPr>
          <w:i/>
          <w:color w:val="010101"/>
          <w:w w:val="110"/>
          <w:sz w:val="14"/>
        </w:rPr>
        <w:t>lz+t </w:t>
      </w:r>
      <w:r>
        <w:rPr>
          <w:color w:val="010101"/>
          <w:w w:val="110"/>
          <w:sz w:val="17"/>
        </w:rPr>
        <w:t>is  given</w:t>
      </w:r>
    </w:p>
    <w:p>
      <w:pPr>
        <w:spacing w:line="195" w:lineRule="exact" w:before="0"/>
        <w:ind w:left="118" w:right="0" w:firstLine="0"/>
        <w:jc w:val="left"/>
        <w:rPr>
          <w:sz w:val="17"/>
        </w:rPr>
      </w:pPr>
      <w:r>
        <w:rPr>
          <w:color w:val="010101"/>
          <w:w w:val="110"/>
          <w:sz w:val="17"/>
        </w:rPr>
        <w:t>by</w:t>
      </w:r>
    </w:p>
    <w:p>
      <w:pPr>
        <w:spacing w:before="129"/>
        <w:ind w:left="22" w:right="127" w:firstLine="0"/>
        <w:jc w:val="center"/>
        <w:rPr>
          <w:rFonts w:ascii="Arial" w:hAnsi="Arial"/>
          <w:sz w:val="15"/>
        </w:rPr>
      </w:pPr>
      <w:r>
        <w:rPr>
          <w:rFonts w:ascii="Arial" w:hAnsi="Arial"/>
          <w:i/>
          <w:color w:val="010101"/>
          <w:spacing w:val="-219"/>
          <w:w w:val="154"/>
          <w:sz w:val="25"/>
        </w:rPr>
        <w:t>d</w:t>
      </w:r>
      <w:r>
        <w:rPr>
          <w:b/>
          <w:i/>
          <w:color w:val="010101"/>
          <w:w w:val="83"/>
          <w:position w:val="14"/>
          <w:sz w:val="18"/>
        </w:rPr>
        <w:t>d</w:t>
      </w:r>
      <w:r>
        <w:rPr>
          <w:b/>
          <w:i/>
          <w:color w:val="010101"/>
          <w:w w:val="82"/>
          <w:position w:val="14"/>
          <w:sz w:val="18"/>
        </w:rPr>
        <w:t>lz</w:t>
      </w:r>
      <w:r>
        <w:rPr>
          <w:b/>
          <w:i/>
          <w:color w:val="010101"/>
          <w:spacing w:val="-44"/>
          <w:w w:val="82"/>
          <w:position w:val="14"/>
          <w:sz w:val="18"/>
        </w:rPr>
        <w:t>+</w:t>
      </w:r>
      <w:r>
        <w:rPr>
          <w:rFonts w:ascii="Arial" w:hAnsi="Arial"/>
          <w:i/>
          <w:color w:val="010101"/>
          <w:spacing w:val="-64"/>
          <w:w w:val="154"/>
          <w:sz w:val="25"/>
        </w:rPr>
        <w:t>t</w:t>
      </w:r>
      <w:r>
        <w:rPr>
          <w:b/>
          <w:i/>
          <w:color w:val="010101"/>
          <w:w w:val="83"/>
          <w:position w:val="14"/>
          <w:sz w:val="18"/>
        </w:rPr>
        <w:t>1</w:t>
      </w:r>
      <w:r>
        <w:rPr>
          <w:b/>
          <w:i/>
          <w:color w:val="010101"/>
          <w:position w:val="14"/>
          <w:sz w:val="18"/>
        </w:rPr>
        <w:t> </w:t>
      </w:r>
      <w:r>
        <w:rPr>
          <w:b/>
          <w:i/>
          <w:color w:val="010101"/>
          <w:spacing w:val="-4"/>
          <w:position w:val="14"/>
          <w:sz w:val="18"/>
        </w:rPr>
        <w:t> </w:t>
      </w:r>
      <w:r>
        <w:rPr>
          <w:color w:val="010101"/>
          <w:w w:val="86"/>
          <w:sz w:val="23"/>
        </w:rPr>
        <w:t>=</w:t>
      </w:r>
      <w:r>
        <w:rPr>
          <w:color w:val="010101"/>
          <w:sz w:val="23"/>
        </w:rPr>
        <w:t> </w:t>
      </w:r>
      <w:r>
        <w:rPr>
          <w:color w:val="010101"/>
          <w:spacing w:val="-16"/>
          <w:sz w:val="23"/>
        </w:rPr>
        <w:t> </w:t>
      </w:r>
      <w:r>
        <w:rPr>
          <w:rFonts w:ascii="Arial" w:hAnsi="Arial"/>
          <w:b/>
          <w:i/>
          <w:color w:val="010101"/>
          <w:w w:val="100"/>
          <w:sz w:val="15"/>
        </w:rPr>
        <w:t>-lz+ll':z+I</w:t>
      </w:r>
      <w:r>
        <w:rPr>
          <w:rFonts w:ascii="Arial" w:hAnsi="Arial"/>
          <w:b/>
          <w:i/>
          <w:color w:val="010101"/>
          <w:sz w:val="15"/>
        </w:rPr>
        <w:t> </w:t>
      </w:r>
      <w:r>
        <w:rPr>
          <w:rFonts w:ascii="Arial" w:hAnsi="Arial"/>
          <w:b/>
          <w:i/>
          <w:color w:val="010101"/>
          <w:spacing w:val="-20"/>
          <w:sz w:val="15"/>
        </w:rPr>
        <w:t> </w:t>
      </w:r>
      <w:r>
        <w:rPr>
          <w:rFonts w:ascii="Arial" w:hAnsi="Arial"/>
          <w:color w:val="010101"/>
          <w:w w:val="74"/>
          <w:sz w:val="15"/>
        </w:rPr>
        <w:t>•</w:t>
      </w:r>
    </w:p>
    <w:p>
      <w:pPr>
        <w:spacing w:line="242" w:lineRule="auto" w:before="237"/>
        <w:ind w:left="114" w:right="122" w:firstLine="186"/>
        <w:jc w:val="both"/>
        <w:rPr>
          <w:sz w:val="17"/>
        </w:rPr>
      </w:pPr>
      <w:r>
        <w:rPr>
          <w:color w:val="010101"/>
          <w:w w:val="110"/>
          <w:sz w:val="17"/>
        </w:rPr>
        <w:t>The total decrement from </w:t>
      </w:r>
      <w:r>
        <w:rPr>
          <w:i/>
          <w:color w:val="010101"/>
          <w:w w:val="110"/>
          <w:sz w:val="17"/>
        </w:rPr>
        <w:t>lr </w:t>
      </w:r>
      <w:r>
        <w:rPr>
          <w:color w:val="010101"/>
          <w:w w:val="110"/>
          <w:sz w:val="17"/>
        </w:rPr>
        <w:t>pro­ duced  in a year  is</w:t>
      </w:r>
    </w:p>
    <w:p>
      <w:pPr>
        <w:spacing w:line="561" w:lineRule="exact" w:before="0"/>
        <w:ind w:left="85" w:right="0" w:firstLine="0"/>
        <w:jc w:val="left"/>
        <w:rPr>
          <w:sz w:val="58"/>
        </w:rPr>
      </w:pPr>
      <w:r>
        <w:rPr>
          <w:rFonts w:ascii="Arial"/>
          <w:i/>
          <w:color w:val="010101"/>
          <w:w w:val="49"/>
          <w:sz w:val="41"/>
        </w:rPr>
        <w:t>J.'</w:t>
      </w:r>
      <w:r>
        <w:rPr>
          <w:rFonts w:ascii="Arial"/>
          <w:i/>
          <w:color w:val="010101"/>
          <w:spacing w:val="-25"/>
          <w:sz w:val="41"/>
        </w:rPr>
        <w:t> </w:t>
      </w:r>
      <w:r>
        <w:rPr>
          <w:color w:val="010101"/>
          <w:w w:val="122"/>
          <w:sz w:val="22"/>
        </w:rPr>
        <w:t>i.</w:t>
      </w:r>
      <w:r>
        <w:rPr>
          <w:color w:val="010101"/>
          <w:spacing w:val="-17"/>
          <w:w w:val="122"/>
          <w:sz w:val="22"/>
        </w:rPr>
        <w:t>.</w:t>
      </w:r>
      <w:r>
        <w:rPr>
          <w:color w:val="010101"/>
          <w:spacing w:val="-2"/>
          <w:w w:val="162"/>
          <w:sz w:val="22"/>
        </w:rPr>
        <w:t>.</w:t>
      </w:r>
      <w:r>
        <w:rPr>
          <w:color w:val="010101"/>
          <w:spacing w:val="6"/>
          <w:w w:val="162"/>
          <w:sz w:val="22"/>
        </w:rPr>
        <w:t>.</w:t>
      </w:r>
      <w:r>
        <w:rPr>
          <w:color w:val="010101"/>
          <w:w w:val="98"/>
          <w:sz w:val="22"/>
        </w:rPr>
        <w:t>.</w:t>
      </w:r>
      <w:r>
        <w:rPr>
          <w:color w:val="010101"/>
          <w:spacing w:val="-22"/>
          <w:w w:val="98"/>
          <w:sz w:val="22"/>
        </w:rPr>
        <w:t>.</w:t>
      </w:r>
      <w:r>
        <w:rPr>
          <w:color w:val="010101"/>
          <w:spacing w:val="18"/>
          <w:w w:val="149"/>
          <w:sz w:val="22"/>
        </w:rPr>
        <w:t>.</w:t>
      </w:r>
      <w:r>
        <w:rPr>
          <w:i/>
          <w:color w:val="010101"/>
          <w:w w:val="105"/>
          <w:sz w:val="18"/>
        </w:rPr>
        <w:t>dt</w:t>
      </w:r>
      <w:r>
        <w:rPr>
          <w:i/>
          <w:color w:val="010101"/>
          <w:sz w:val="18"/>
        </w:rPr>
        <w:t> </w:t>
      </w:r>
      <w:r>
        <w:rPr>
          <w:i/>
          <w:color w:val="010101"/>
          <w:spacing w:val="-9"/>
          <w:sz w:val="18"/>
        </w:rPr>
        <w:t> </w:t>
      </w:r>
      <w:r>
        <w:rPr>
          <w:color w:val="010101"/>
          <w:w w:val="82"/>
          <w:sz w:val="24"/>
        </w:rPr>
        <w:t>=</w:t>
      </w:r>
      <w:r>
        <w:rPr>
          <w:color w:val="010101"/>
          <w:sz w:val="24"/>
        </w:rPr>
        <w:t> </w:t>
      </w:r>
      <w:r>
        <w:rPr>
          <w:color w:val="010101"/>
          <w:spacing w:val="-17"/>
          <w:sz w:val="24"/>
        </w:rPr>
        <w:t> </w:t>
      </w:r>
      <w:r>
        <w:rPr>
          <w:rFonts w:ascii="Arial"/>
          <w:color w:val="010101"/>
          <w:w w:val="157"/>
          <w:sz w:val="18"/>
        </w:rPr>
        <w:t>-</w:t>
      </w:r>
      <w:r>
        <w:rPr>
          <w:rFonts w:ascii="Arial"/>
          <w:color w:val="010101"/>
          <w:spacing w:val="5"/>
          <w:w w:val="157"/>
          <w:sz w:val="18"/>
        </w:rPr>
        <w:t>1</w:t>
      </w:r>
      <w:r>
        <w:rPr>
          <w:rFonts w:ascii="Arial"/>
          <w:color w:val="010101"/>
          <w:w w:val="101"/>
          <w:sz w:val="18"/>
        </w:rPr>
        <w:t>..</w:t>
      </w:r>
      <w:r>
        <w:rPr>
          <w:rFonts w:ascii="Arial"/>
          <w:color w:val="010101"/>
          <w:spacing w:val="-24"/>
          <w:w w:val="101"/>
          <w:sz w:val="18"/>
        </w:rPr>
        <w:t>.</w:t>
      </w:r>
      <w:r>
        <w:rPr>
          <w:color w:val="010101"/>
          <w:w w:val="50"/>
          <w:sz w:val="58"/>
        </w:rPr>
        <w:t>J:</w:t>
      </w:r>
    </w:p>
    <w:p>
      <w:pPr>
        <w:spacing w:before="87"/>
        <w:ind w:left="1410" w:right="0" w:firstLine="0"/>
        <w:jc w:val="left"/>
        <w:rPr>
          <w:b/>
          <w:i/>
          <w:sz w:val="17"/>
        </w:rPr>
      </w:pPr>
      <w:r>
        <w:rPr>
          <w:color w:val="010101"/>
          <w:w w:val="105"/>
          <w:sz w:val="19"/>
        </w:rPr>
        <w:t>=  </w:t>
      </w:r>
      <w:r>
        <w:rPr>
          <w:b/>
          <w:color w:val="010101"/>
          <w:w w:val="105"/>
          <w:sz w:val="13"/>
        </w:rPr>
        <w:t>-Zz+t  </w:t>
      </w:r>
      <w:r>
        <w:rPr>
          <w:rFonts w:ascii="Arial"/>
          <w:color w:val="010101"/>
          <w:w w:val="105"/>
          <w:sz w:val="26"/>
        </w:rPr>
        <w:t>+ </w:t>
      </w:r>
      <w:r>
        <w:rPr>
          <w:b/>
          <w:i/>
          <w:color w:val="010101"/>
          <w:w w:val="95"/>
          <w:sz w:val="17"/>
        </w:rPr>
        <w:t>l,r  </w:t>
      </w:r>
      <w:r>
        <w:rPr>
          <w:color w:val="010101"/>
          <w:w w:val="95"/>
          <w:sz w:val="23"/>
        </w:rPr>
        <w:t>= </w:t>
      </w:r>
      <w:r>
        <w:rPr>
          <w:b/>
          <w:i/>
          <w:color w:val="010101"/>
          <w:w w:val="105"/>
          <w:sz w:val="17"/>
        </w:rPr>
        <w:t>dz </w:t>
      </w:r>
      <w:r>
        <w:rPr>
          <w:b/>
          <w:i/>
          <w:color w:val="010101"/>
          <w:w w:val="95"/>
          <w:sz w:val="17"/>
        </w:rPr>
        <w:t>,</w:t>
      </w:r>
    </w:p>
    <w:p>
      <w:pPr>
        <w:spacing w:before="88"/>
        <w:ind w:left="127" w:right="127" w:firstLine="0"/>
        <w:jc w:val="center"/>
        <w:rPr>
          <w:sz w:val="17"/>
        </w:rPr>
      </w:pPr>
      <w:r>
        <w:rPr>
          <w:color w:val="010101"/>
          <w:w w:val="110"/>
          <w:sz w:val="17"/>
        </w:rPr>
        <w:t>and  the  annual  decrement  per unit</w:t>
      </w:r>
    </w:p>
    <w:p>
      <w:pPr>
        <w:spacing w:after="0"/>
        <w:jc w:val="center"/>
        <w:rPr>
          <w:sz w:val="17"/>
        </w:rPr>
        <w:sectPr>
          <w:type w:val="continuous"/>
          <w:pgSz w:w="7200" w:h="11340"/>
          <w:pgMar w:top="1100" w:bottom="0" w:left="660" w:right="560"/>
          <w:cols w:num="2" w:equalWidth="0">
            <w:col w:w="2919" w:space="40"/>
            <w:col w:w="3021"/>
          </w:cols>
        </w:sectPr>
      </w:pPr>
    </w:p>
    <w:p>
      <w:pPr>
        <w:spacing w:line="189" w:lineRule="exact" w:before="7"/>
        <w:ind w:left="0" w:right="91" w:firstLine="0"/>
        <w:jc w:val="right"/>
        <w:rPr>
          <w:i/>
          <w:sz w:val="18"/>
        </w:rPr>
      </w:pPr>
      <w:r>
        <w:rPr/>
        <w:pict>
          <v:shape style="position:absolute;margin-left:39.48156pt;margin-top:6.903429pt;width:10.2pt;height:9pt;mso-position-horizontal-relative:page;mso-position-vertical-relative:paragraph;z-index:1936" type="#_x0000_t202" filled="false" stroked="false">
            <v:textbox inset="0,0,0,0">
              <w:txbxContent>
                <w:p>
                  <w:pPr>
                    <w:spacing w:line="180" w:lineRule="exact" w:before="0"/>
                    <w:ind w:left="0" w:right="-20" w:firstLine="0"/>
                    <w:jc w:val="left"/>
                    <w:rPr>
                      <w:rFonts w:ascii="Arial"/>
                      <w:sz w:val="13"/>
                    </w:rPr>
                  </w:pPr>
                  <w:r>
                    <w:rPr>
                      <w:i/>
                      <w:color w:val="010101"/>
                      <w:position w:val="1"/>
                      <w:sz w:val="18"/>
                    </w:rPr>
                    <w:t>A</w:t>
                  </w:r>
                  <w:r>
                    <w:rPr>
                      <w:i/>
                      <w:color w:val="010101"/>
                      <w:spacing w:val="-24"/>
                      <w:position w:val="1"/>
                      <w:sz w:val="18"/>
                    </w:rPr>
                    <w:t> </w:t>
                  </w:r>
                  <w:r>
                    <w:rPr>
                      <w:rFonts w:ascii="Arial"/>
                      <w:color w:val="010101"/>
                      <w:sz w:val="13"/>
                    </w:rPr>
                    <w:t>o</w:t>
                  </w:r>
                </w:p>
              </w:txbxContent>
            </v:textbox>
            <w10:wrap type="none"/>
          </v:shape>
        </w:pict>
      </w:r>
      <w:r>
        <w:rPr>
          <w:color w:val="010101"/>
          <w:w w:val="130"/>
          <w:sz w:val="18"/>
        </w:rPr>
        <w:t>.  </w:t>
      </w:r>
      <w:r>
        <w:rPr>
          <w:i/>
          <w:color w:val="010101"/>
          <w:w w:val="120"/>
          <w:sz w:val="18"/>
        </w:rPr>
        <w:t>I</w:t>
      </w:r>
    </w:p>
    <w:p>
      <w:pPr>
        <w:spacing w:line="91" w:lineRule="exact" w:before="0"/>
        <w:ind w:left="0" w:right="0" w:firstLine="0"/>
        <w:jc w:val="right"/>
        <w:rPr>
          <w:sz w:val="12"/>
        </w:rPr>
      </w:pPr>
      <w:r>
        <w:rPr>
          <w:color w:val="010101"/>
          <w:w w:val="150"/>
          <w:sz w:val="12"/>
        </w:rPr>
        <w:t>18 </w:t>
      </w:r>
      <w:r>
        <w:rPr>
          <w:color w:val="010101"/>
          <w:w w:val="520"/>
          <w:sz w:val="12"/>
        </w:rPr>
        <w:t>-</w:t>
      </w:r>
    </w:p>
    <w:p>
      <w:pPr>
        <w:spacing w:line="166" w:lineRule="exact" w:before="0"/>
        <w:ind w:left="0" w:right="11" w:firstLine="0"/>
        <w:jc w:val="right"/>
        <w:rPr>
          <w:sz w:val="17"/>
        </w:rPr>
      </w:pPr>
      <w:r>
        <w:rPr>
          <w:color w:val="010101"/>
          <w:w w:val="90"/>
          <w:sz w:val="17"/>
        </w:rPr>
        <w:t>A o</w:t>
      </w:r>
    </w:p>
    <w:p>
      <w:pPr>
        <w:spacing w:before="94"/>
        <w:ind w:left="23" w:right="-3" w:firstLine="0"/>
        <w:jc w:val="left"/>
        <w:rPr>
          <w:sz w:val="17"/>
        </w:rPr>
      </w:pPr>
      <w:r>
        <w:rPr/>
        <w:br w:type="column"/>
      </w:r>
      <w:r>
        <w:rPr>
          <w:color w:val="010101"/>
          <w:w w:val="110"/>
          <w:sz w:val="21"/>
        </w:rPr>
        <w:t>= </w:t>
      </w:r>
      <w:r>
        <w:rPr>
          <w:color w:val="010101"/>
          <w:w w:val="125"/>
          <w:sz w:val="17"/>
        </w:rPr>
        <w:t>i.</w:t>
      </w:r>
    </w:p>
    <w:p>
      <w:pPr>
        <w:spacing w:line="155" w:lineRule="exact" w:before="6"/>
        <w:ind w:left="528" w:right="0" w:firstLine="0"/>
        <w:jc w:val="left"/>
        <w:rPr>
          <w:b/>
          <w:i/>
          <w:sz w:val="17"/>
        </w:rPr>
      </w:pPr>
      <w:r>
        <w:rPr/>
        <w:br w:type="column"/>
      </w:r>
      <w:r>
        <w:rPr>
          <w:color w:val="010101"/>
          <w:w w:val="120"/>
          <w:sz w:val="16"/>
        </w:rPr>
        <w:t>.  </w:t>
      </w:r>
      <w:r>
        <w:rPr>
          <w:b/>
          <w:i/>
          <w:color w:val="010101"/>
          <w:w w:val="110"/>
          <w:sz w:val="17"/>
        </w:rPr>
        <w:t>dz</w:t>
      </w:r>
    </w:p>
    <w:p>
      <w:pPr>
        <w:tabs>
          <w:tab w:pos="937" w:val="left" w:leader="none"/>
        </w:tabs>
        <w:spacing w:line="167" w:lineRule="exact" w:before="0"/>
        <w:ind w:left="129" w:right="0" w:firstLine="0"/>
        <w:jc w:val="left"/>
        <w:rPr>
          <w:rFonts w:ascii="Arial"/>
          <w:sz w:val="15"/>
        </w:rPr>
      </w:pPr>
      <w:r>
        <w:rPr/>
        <w:pict>
          <v:shape style="position:absolute;margin-left:216.251297pt;margin-top:-4.476107pt;width:7.35pt;height:13.5pt;mso-position-horizontal-relative:page;mso-position-vertical-relative:paragraph;z-index:-734104" type="#_x0000_t202" filled="false" stroked="false">
            <v:textbox inset="0,0,0,0">
              <w:txbxContent>
                <w:p>
                  <w:pPr>
                    <w:spacing w:line="270" w:lineRule="exact" w:before="0"/>
                    <w:ind w:left="0" w:right="-14" w:firstLine="0"/>
                    <w:jc w:val="left"/>
                    <w:rPr>
                      <w:rFonts w:ascii="Arial" w:hAnsi="Arial"/>
                      <w:i/>
                      <w:sz w:val="27"/>
                    </w:rPr>
                  </w:pPr>
                  <w:r>
                    <w:rPr>
                      <w:rFonts w:ascii="Arial" w:hAnsi="Arial"/>
                      <w:i/>
                      <w:color w:val="010101"/>
                      <w:w w:val="85"/>
                      <w:sz w:val="27"/>
                    </w:rPr>
                    <w:t>¡;</w:t>
                  </w:r>
                </w:p>
              </w:txbxContent>
            </v:textbox>
            <w10:wrap type="none"/>
          </v:shape>
        </w:pict>
      </w:r>
      <w:r>
        <w:rPr>
          <w:color w:val="010101"/>
          <w:sz w:val="12"/>
        </w:rPr>
        <w:t>O</w:t>
      </w:r>
      <w:r>
        <w:rPr>
          <w:rFonts w:ascii="Arial"/>
          <w:color w:val="010101"/>
          <w:position w:val="1"/>
          <w:sz w:val="17"/>
        </w:rPr>
        <w:t>f</w:t>
      </w:r>
      <w:r>
        <w:rPr>
          <w:rFonts w:ascii="Arial"/>
          <w:color w:val="010101"/>
          <w:spacing w:val="22"/>
          <w:position w:val="1"/>
          <w:sz w:val="17"/>
        </w:rPr>
        <w:t> </w:t>
      </w:r>
      <w:r>
        <w:rPr>
          <w:i/>
          <w:color w:val="010101"/>
          <w:spacing w:val="2"/>
          <w:position w:val="1"/>
          <w:sz w:val="16"/>
        </w:rPr>
        <w:t>l</w:t>
      </w:r>
      <w:r>
        <w:rPr>
          <w:rFonts w:ascii="Arial"/>
          <w:b/>
          <w:i/>
          <w:color w:val="010101"/>
          <w:spacing w:val="2"/>
          <w:sz w:val="15"/>
        </w:rPr>
        <w:t>z</w:t>
      </w:r>
      <w:r>
        <w:rPr>
          <w:rFonts w:ascii="Arial"/>
          <w:b/>
          <w:i/>
          <w:color w:val="010101"/>
          <w:spacing w:val="28"/>
          <w:sz w:val="15"/>
        </w:rPr>
        <w:t> </w:t>
      </w:r>
      <w:r>
        <w:rPr>
          <w:rFonts w:ascii="Arial"/>
          <w:b/>
          <w:color w:val="010101"/>
          <w:sz w:val="11"/>
        </w:rPr>
        <w:t>18</w:t>
        <w:tab/>
      </w:r>
      <w:r>
        <w:rPr>
          <w:rFonts w:ascii="Arial"/>
          <w:color w:val="010101"/>
          <w:w w:val="80"/>
          <w:sz w:val="18"/>
        </w:rPr>
        <w:t>== </w:t>
      </w:r>
      <w:r>
        <w:rPr>
          <w:rFonts w:ascii="Arial"/>
          <w:b/>
          <w:i/>
          <w:color w:val="010101"/>
          <w:sz w:val="15"/>
        </w:rPr>
        <w:t>qz</w:t>
      </w:r>
      <w:r>
        <w:rPr>
          <w:rFonts w:ascii="Arial"/>
          <w:b/>
          <w:i/>
          <w:color w:val="010101"/>
          <w:spacing w:val="-2"/>
          <w:sz w:val="15"/>
        </w:rPr>
        <w:t> </w:t>
      </w:r>
      <w:r>
        <w:rPr>
          <w:rFonts w:ascii="Arial"/>
          <w:color w:val="282828"/>
          <w:w w:val="165"/>
          <w:sz w:val="15"/>
        </w:rPr>
        <w:t>.</w:t>
      </w:r>
    </w:p>
    <w:p>
      <w:pPr>
        <w:spacing w:after="0" w:line="167" w:lineRule="exact"/>
        <w:jc w:val="left"/>
        <w:rPr>
          <w:rFonts w:ascii="Arial"/>
          <w:sz w:val="15"/>
        </w:rPr>
        <w:sectPr>
          <w:type w:val="continuous"/>
          <w:pgSz w:w="7200" w:h="11340"/>
          <w:pgMar w:top="1100" w:bottom="0" w:left="660" w:right="560"/>
          <w:cols w:num="3" w:equalWidth="0">
            <w:col w:w="788" w:space="40"/>
            <w:col w:w="341" w:space="1789"/>
            <w:col w:w="3022"/>
          </w:cols>
        </w:sectPr>
      </w:pPr>
    </w:p>
    <w:p>
      <w:pPr>
        <w:pStyle w:val="BodyText"/>
        <w:spacing w:before="103"/>
        <w:ind w:left="334"/>
      </w:pPr>
      <w:r>
        <w:rPr>
          <w:color w:val="010101"/>
          <w:w w:val="110"/>
        </w:rPr>
        <w:t>Just as i represents the effective rate of interest  corresponding</w:t>
      </w:r>
    </w:p>
    <w:p>
      <w:pPr>
        <w:spacing w:after="0"/>
        <w:sectPr>
          <w:type w:val="continuous"/>
          <w:pgSz w:w="7200" w:h="11340"/>
          <w:pgMar w:top="1100" w:bottom="0" w:left="660" w:right="560"/>
        </w:sectPr>
      </w:pPr>
    </w:p>
    <w:p>
      <w:pPr>
        <w:tabs>
          <w:tab w:pos="1518" w:val="left" w:leader="none"/>
          <w:tab w:pos="5413" w:val="left" w:leader="none"/>
        </w:tabs>
        <w:spacing w:before="57"/>
        <w:ind w:left="143" w:right="0" w:firstLine="28"/>
        <w:jc w:val="both"/>
        <w:rPr>
          <w:sz w:val="20"/>
        </w:rPr>
      </w:pPr>
      <w:r>
        <w:rPr>
          <w:w w:val="110"/>
          <w:position w:val="2"/>
          <w:sz w:val="19"/>
        </w:rPr>
        <w:t>16</w:t>
        <w:tab/>
      </w:r>
      <w:r>
        <w:rPr>
          <w:b/>
          <w:w w:val="110"/>
          <w:position w:val="1"/>
          <w:sz w:val="15"/>
        </w:rPr>
        <w:t>THE  MEASUEMENT</w:t>
      </w:r>
      <w:r>
        <w:rPr>
          <w:b/>
          <w:spacing w:val="21"/>
          <w:w w:val="110"/>
          <w:position w:val="1"/>
          <w:sz w:val="15"/>
        </w:rPr>
        <w:t> </w:t>
      </w:r>
      <w:r>
        <w:rPr>
          <w:b/>
          <w:w w:val="110"/>
          <w:position w:val="1"/>
          <w:sz w:val="15"/>
        </w:rPr>
        <w:t>OF</w:t>
      </w:r>
      <w:r>
        <w:rPr>
          <w:b/>
          <w:spacing w:val="27"/>
          <w:w w:val="110"/>
          <w:position w:val="1"/>
          <w:sz w:val="15"/>
        </w:rPr>
        <w:t> </w:t>
      </w:r>
      <w:r>
        <w:rPr>
          <w:b/>
          <w:w w:val="110"/>
          <w:position w:val="1"/>
          <w:sz w:val="15"/>
        </w:rPr>
        <w:t>MORTALITY</w:t>
        <w:tab/>
      </w:r>
      <w:r>
        <w:rPr>
          <w:w w:val="110"/>
          <w:sz w:val="20"/>
        </w:rPr>
        <w:t>(cn.</w:t>
      </w:r>
      <w:r>
        <w:rPr>
          <w:spacing w:val="27"/>
          <w:w w:val="110"/>
          <w:sz w:val="20"/>
        </w:rPr>
        <w:t> </w:t>
      </w:r>
      <w:r>
        <w:rPr>
          <w:w w:val="110"/>
          <w:sz w:val="20"/>
        </w:rPr>
        <w:t>1</w:t>
      </w:r>
    </w:p>
    <w:p>
      <w:pPr>
        <w:pStyle w:val="BodyText"/>
        <w:spacing w:before="8"/>
      </w:pPr>
    </w:p>
    <w:p>
      <w:pPr>
        <w:pStyle w:val="BodyText"/>
        <w:ind w:left="132" w:right="144" w:firstLine="10"/>
        <w:jc w:val="both"/>
        <w:rPr>
          <w:i/>
          <w:sz w:val="16"/>
        </w:rPr>
      </w:pPr>
      <w:r>
        <w:rPr>
          <w:w w:val="105"/>
        </w:rPr>
        <w:t>to the operation of the varying (or constant) force throughout a yearly period, so </w:t>
      </w:r>
      <w:r>
        <w:rPr>
          <w:i/>
          <w:w w:val="90"/>
        </w:rPr>
        <w:t>q:z: </w:t>
      </w:r>
      <w:r>
        <w:rPr>
          <w:w w:val="105"/>
        </w:rPr>
        <w:t>may be interpreted as the effective annual rate of mortality  corresponding  </w:t>
      </w:r>
      <w:r>
        <w:rPr>
          <w:w w:val="105"/>
          <w:sz w:val="22"/>
        </w:rPr>
        <w:t>to </w:t>
      </w:r>
      <w:r>
        <w:rPr>
          <w:w w:val="105"/>
        </w:rPr>
        <w:t>the operation  of the varying  force </w:t>
      </w:r>
      <w:r>
        <w:rPr>
          <w:i/>
          <w:w w:val="105"/>
          <w:sz w:val="16"/>
        </w:rPr>
        <w:t>µ</w:t>
      </w:r>
    </w:p>
    <w:p>
      <w:pPr>
        <w:spacing w:line="249" w:lineRule="exact" w:before="0"/>
        <w:ind w:left="135" w:right="0" w:firstLine="0"/>
        <w:jc w:val="both"/>
        <w:rPr>
          <w:sz w:val="19"/>
        </w:rPr>
      </w:pPr>
      <w:r>
        <w:rPr>
          <w:w w:val="115"/>
          <w:sz w:val="20"/>
        </w:rPr>
        <w:t>throughout the year of age </w:t>
      </w:r>
      <w:r>
        <w:rPr>
          <w:i/>
          <w:w w:val="115"/>
          <w:sz w:val="20"/>
        </w:rPr>
        <w:t>x </w:t>
      </w:r>
      <w:r>
        <w:rPr>
          <w:w w:val="115"/>
          <w:sz w:val="22"/>
        </w:rPr>
        <w:t>to </w:t>
      </w:r>
      <w:r>
        <w:rPr>
          <w:i/>
          <w:w w:val="115"/>
          <w:sz w:val="20"/>
        </w:rPr>
        <w:t>x </w:t>
      </w:r>
      <w:r>
        <w:rPr>
          <w:w w:val="115"/>
          <w:sz w:val="29"/>
        </w:rPr>
        <w:t>+ </w:t>
      </w:r>
      <w:r>
        <w:rPr>
          <w:w w:val="125"/>
          <w:sz w:val="19"/>
        </w:rPr>
        <w:t>l.</w:t>
      </w:r>
    </w:p>
    <w:p>
      <w:pPr>
        <w:pStyle w:val="BodyText"/>
        <w:spacing w:line="247" w:lineRule="auto"/>
        <w:ind w:left="132" w:right="156" w:firstLine="205"/>
        <w:jc w:val="both"/>
      </w:pPr>
      <w:r>
        <w:rPr>
          <w:w w:val="105"/>
        </w:rPr>
        <w:t>Further insight into the nature of the force of mortality may be gained by analyzing formula (1.9) in terms of the definition of the derivative. The derivative of </w:t>
      </w:r>
      <w:r>
        <w:rPr>
          <w:i/>
          <w:w w:val="95"/>
          <w:sz w:val="16"/>
        </w:rPr>
        <w:t>l:z: </w:t>
      </w:r>
      <w:r>
        <w:rPr>
          <w:w w:val="105"/>
        </w:rPr>
        <w:t>may be expressed   as</w:t>
      </w:r>
    </w:p>
    <w:p>
      <w:pPr>
        <w:spacing w:line="356" w:lineRule="exact" w:before="138"/>
        <w:ind w:left="87" w:right="84" w:firstLine="0"/>
        <w:jc w:val="center"/>
        <w:rPr>
          <w:rFonts w:ascii="Arial" w:hAnsi="Arial"/>
          <w:sz w:val="20"/>
        </w:rPr>
      </w:pPr>
      <w:r>
        <w:rPr/>
        <w:pict>
          <v:shape style="position:absolute;margin-left:170.820007pt;margin-top:16.373167pt;width:35.450pt;height:10pt;mso-position-horizontal-relative:page;mso-position-vertical-relative:paragraph;z-index:-734080" type="#_x0000_t202" filled="false" stroked="false">
            <v:textbox inset="0,0,0,0">
              <w:txbxContent>
                <w:p>
                  <w:pPr>
                    <w:tabs>
                      <w:tab w:pos="604" w:val="left" w:leader="none"/>
                    </w:tabs>
                    <w:spacing w:line="200" w:lineRule="exact" w:before="0"/>
                    <w:ind w:left="0" w:right="0" w:firstLine="0"/>
                    <w:jc w:val="left"/>
                    <w:rPr>
                      <w:rFonts w:ascii="Arial"/>
                      <w:i/>
                      <w:sz w:val="20"/>
                    </w:rPr>
                  </w:pPr>
                  <w:r>
                    <w:rPr>
                      <w:w w:val="110"/>
                      <w:sz w:val="16"/>
                    </w:rPr>
                    <w:t>Im</w:t>
                    <w:tab/>
                  </w:r>
                  <w:r>
                    <w:rPr>
                      <w:rFonts w:ascii="Arial"/>
                      <w:i/>
                      <w:w w:val="90"/>
                      <w:sz w:val="20"/>
                    </w:rPr>
                    <w:t>h</w:t>
                  </w:r>
                </w:p>
              </w:txbxContent>
            </v:textbox>
            <w10:wrap type="none"/>
          </v:shape>
        </w:pict>
      </w:r>
      <w:r>
        <w:rPr>
          <w:i/>
          <w:w w:val="120"/>
          <w:position w:val="-6"/>
          <w:sz w:val="20"/>
        </w:rPr>
        <w:t>Dl </w:t>
      </w:r>
      <w:r>
        <w:rPr>
          <w:i/>
          <w:w w:val="80"/>
          <w:position w:val="-13"/>
          <w:sz w:val="16"/>
        </w:rPr>
        <w:t>:,;  </w:t>
      </w:r>
      <w:r>
        <w:rPr>
          <w:sz w:val="23"/>
        </w:rPr>
        <w:t>= </w:t>
      </w:r>
      <w:r>
        <w:rPr>
          <w:w w:val="120"/>
          <w:sz w:val="21"/>
        </w:rPr>
        <w:t>1·  </w:t>
      </w:r>
      <w:r>
        <w:rPr>
          <w:i/>
          <w:sz w:val="20"/>
          <w:u w:val="single"/>
        </w:rPr>
        <w:t>lz+h </w:t>
      </w:r>
      <w:r>
        <w:rPr>
          <w:w w:val="260"/>
          <w:sz w:val="20"/>
          <w:u w:val="single"/>
        </w:rPr>
        <w:t>- </w:t>
      </w:r>
      <w:r>
        <w:rPr>
          <w:i/>
          <w:w w:val="80"/>
          <w:sz w:val="20"/>
          <w:u w:val="single"/>
        </w:rPr>
        <w:t>l:,</w:t>
      </w:r>
      <w:r>
        <w:rPr>
          <w:i/>
          <w:w w:val="80"/>
          <w:sz w:val="20"/>
        </w:rPr>
        <w:t>: </w:t>
      </w:r>
      <w:r>
        <w:rPr>
          <w:rFonts w:ascii="Arial" w:hAnsi="Arial"/>
          <w:w w:val="155"/>
          <w:position w:val="-13"/>
          <w:sz w:val="20"/>
        </w:rPr>
        <w:t>'</w:t>
      </w:r>
    </w:p>
    <w:p>
      <w:pPr>
        <w:spacing w:line="97" w:lineRule="exact" w:before="0"/>
        <w:ind w:left="87" w:right="417" w:firstLine="0"/>
        <w:jc w:val="center"/>
        <w:rPr>
          <w:rFonts w:ascii="Arial"/>
          <w:b/>
          <w:i/>
          <w:sz w:val="12"/>
        </w:rPr>
      </w:pPr>
      <w:r>
        <w:rPr>
          <w:rFonts w:ascii="Arial"/>
          <w:b/>
          <w:i/>
          <w:w w:val="80"/>
          <w:sz w:val="12"/>
        </w:rPr>
        <w:t>h-+11</w:t>
      </w:r>
    </w:p>
    <w:p>
      <w:pPr>
        <w:pStyle w:val="BodyText"/>
        <w:spacing w:before="11"/>
        <w:rPr>
          <w:rFonts w:ascii="Arial"/>
          <w:b/>
          <w:i/>
          <w:sz w:val="10"/>
        </w:rPr>
      </w:pPr>
    </w:p>
    <w:p>
      <w:pPr>
        <w:spacing w:before="0"/>
        <w:ind w:left="125" w:right="0" w:firstLine="0"/>
        <w:jc w:val="both"/>
        <w:rPr>
          <w:sz w:val="20"/>
        </w:rPr>
      </w:pPr>
      <w:r>
        <w:rPr>
          <w:w w:val="105"/>
          <w:sz w:val="20"/>
        </w:rPr>
        <w:t>and </w:t>
      </w:r>
      <w:r>
        <w:rPr>
          <w:i/>
          <w:w w:val="85"/>
          <w:sz w:val="16"/>
        </w:rPr>
        <w:t>P.:z:  </w:t>
      </w:r>
      <w:r>
        <w:rPr>
          <w:i/>
          <w:w w:val="105"/>
          <w:sz w:val="16"/>
        </w:rPr>
        <w:t>,  </w:t>
      </w:r>
      <w:r>
        <w:rPr>
          <w:w w:val="105"/>
          <w:sz w:val="20"/>
        </w:rPr>
        <w:t>from  (1.9), may then be  written</w:t>
      </w:r>
    </w:p>
    <w:p>
      <w:pPr>
        <w:spacing w:after="0"/>
        <w:jc w:val="both"/>
        <w:rPr>
          <w:sz w:val="20"/>
        </w:rPr>
        <w:sectPr>
          <w:pgSz w:w="7200" w:h="11340"/>
          <w:pgMar w:top="480" w:bottom="280" w:left="620" w:right="520"/>
        </w:sectPr>
      </w:pPr>
    </w:p>
    <w:p>
      <w:pPr>
        <w:spacing w:line="252" w:lineRule="exact" w:before="162"/>
        <w:ind w:left="1712" w:right="-14" w:firstLine="0"/>
        <w:jc w:val="left"/>
        <w:rPr>
          <w:i/>
          <w:sz w:val="20"/>
        </w:rPr>
      </w:pPr>
      <w:r>
        <w:rPr>
          <w:i/>
          <w:w w:val="80"/>
          <w:position w:val="-9"/>
          <w:sz w:val="17"/>
        </w:rPr>
        <w:t>p.:z:</w:t>
      </w:r>
      <w:r>
        <w:rPr>
          <w:i/>
          <w:spacing w:val="2"/>
          <w:w w:val="80"/>
          <w:position w:val="-9"/>
          <w:sz w:val="17"/>
        </w:rPr>
        <w:t> </w:t>
      </w:r>
      <w:r>
        <w:rPr>
          <w:i/>
          <w:w w:val="125"/>
          <w:position w:val="-9"/>
          <w:sz w:val="17"/>
        </w:rPr>
        <w:t>=</w:t>
      </w:r>
      <w:r>
        <w:rPr>
          <w:i/>
          <w:spacing w:val="-29"/>
          <w:w w:val="125"/>
          <w:position w:val="-9"/>
          <w:sz w:val="17"/>
        </w:rPr>
        <w:t> </w:t>
      </w:r>
      <w:r>
        <w:rPr>
          <w:w w:val="115"/>
          <w:position w:val="-8"/>
          <w:sz w:val="21"/>
        </w:rPr>
        <w:t>li</w:t>
      </w:r>
      <w:r>
        <w:rPr>
          <w:rFonts w:ascii="Arial"/>
          <w:w w:val="115"/>
          <w:position w:val="-9"/>
          <w:sz w:val="17"/>
        </w:rPr>
        <w:t>m</w:t>
      </w:r>
      <w:r>
        <w:rPr>
          <w:rFonts w:ascii="Arial"/>
          <w:spacing w:val="-40"/>
          <w:w w:val="115"/>
          <w:position w:val="-9"/>
          <w:sz w:val="17"/>
        </w:rPr>
        <w:t> </w:t>
      </w:r>
      <w:r>
        <w:rPr>
          <w:i/>
          <w:w w:val="80"/>
          <w:sz w:val="20"/>
        </w:rPr>
        <w:t>l:z:</w:t>
      </w:r>
      <w:r>
        <w:rPr>
          <w:i/>
          <w:spacing w:val="-10"/>
          <w:w w:val="80"/>
          <w:sz w:val="20"/>
        </w:rPr>
        <w:t> </w:t>
      </w:r>
      <w:r>
        <w:rPr>
          <w:w w:val="240"/>
          <w:sz w:val="20"/>
        </w:rPr>
        <w:t>-</w:t>
      </w:r>
      <w:r>
        <w:rPr>
          <w:spacing w:val="-103"/>
          <w:w w:val="240"/>
          <w:sz w:val="20"/>
        </w:rPr>
        <w:t> </w:t>
      </w:r>
      <w:r>
        <w:rPr>
          <w:i/>
          <w:w w:val="80"/>
          <w:sz w:val="20"/>
        </w:rPr>
        <w:t>l:z:+h</w:t>
      </w:r>
    </w:p>
    <w:p>
      <w:pPr>
        <w:spacing w:line="188" w:lineRule="exact" w:before="153"/>
        <w:ind w:left="299" w:right="-19" w:firstLine="0"/>
        <w:jc w:val="left"/>
        <w:rPr>
          <w:i/>
          <w:sz w:val="20"/>
        </w:rPr>
      </w:pPr>
      <w:r>
        <w:rPr/>
        <w:br w:type="column"/>
      </w:r>
      <w:r>
        <w:rPr>
          <w:w w:val="85"/>
          <w:sz w:val="21"/>
        </w:rPr>
        <w:t>1·  </w:t>
      </w:r>
      <w:r>
        <w:rPr>
          <w:i/>
          <w:w w:val="75"/>
          <w:sz w:val="20"/>
        </w:rPr>
        <w:t>1iq:z:</w:t>
      </w:r>
    </w:p>
    <w:p>
      <w:pPr>
        <w:spacing w:line="73" w:lineRule="exact" w:before="0"/>
        <w:ind w:left="353" w:right="-19" w:firstLine="0"/>
        <w:jc w:val="left"/>
        <w:rPr>
          <w:rFonts w:ascii="Arial"/>
          <w:sz w:val="17"/>
        </w:rPr>
      </w:pPr>
      <w:r>
        <w:rPr/>
        <w:pict>
          <v:shape style="position:absolute;margin-left:201.059998pt;margin-top:-5.179923pt;width:6.85pt;height:13pt;mso-position-horizontal-relative:page;mso-position-vertical-relative:paragraph;z-index:-734056" type="#_x0000_t202" filled="false" stroked="false">
            <v:textbox inset="0,0,0,0">
              <w:txbxContent>
                <w:p>
                  <w:pPr>
                    <w:spacing w:line="260" w:lineRule="exact" w:before="0"/>
                    <w:ind w:left="0" w:right="0" w:firstLine="0"/>
                    <w:jc w:val="left"/>
                    <w:rPr>
                      <w:sz w:val="26"/>
                    </w:rPr>
                  </w:pPr>
                  <w:r>
                    <w:rPr>
                      <w:w w:val="92"/>
                      <w:sz w:val="26"/>
                    </w:rPr>
                    <w:t>=</w:t>
                  </w:r>
                </w:p>
              </w:txbxContent>
            </v:textbox>
            <w10:wrap type="none"/>
          </v:shape>
        </w:pict>
      </w:r>
      <w:r>
        <w:rPr>
          <w:rFonts w:ascii="Arial"/>
          <w:spacing w:val="-22"/>
          <w:w w:val="135"/>
          <w:sz w:val="17"/>
        </w:rPr>
        <w:t>1m</w:t>
      </w:r>
      <w:r>
        <w:rPr>
          <w:rFonts w:ascii="Arial"/>
          <w:spacing w:val="-36"/>
          <w:w w:val="135"/>
          <w:sz w:val="17"/>
        </w:rPr>
        <w:t> </w:t>
      </w:r>
      <w:r>
        <w:rPr>
          <w:rFonts w:ascii="Arial"/>
          <w:w w:val="340"/>
          <w:sz w:val="17"/>
        </w:rPr>
        <w:t>-.</w:t>
      </w:r>
    </w:p>
    <w:p>
      <w:pPr>
        <w:pStyle w:val="BodyText"/>
        <w:spacing w:before="8"/>
        <w:rPr>
          <w:rFonts w:ascii="Arial"/>
          <w:sz w:val="22"/>
        </w:rPr>
      </w:pPr>
      <w:r>
        <w:rPr/>
        <w:br w:type="column"/>
      </w:r>
      <w:r>
        <w:rPr>
          <w:rFonts w:ascii="Arial"/>
          <w:sz w:val="22"/>
        </w:rPr>
      </w:r>
    </w:p>
    <w:p>
      <w:pPr>
        <w:spacing w:line="152" w:lineRule="exact" w:before="0"/>
        <w:ind w:left="973" w:right="0" w:firstLine="0"/>
        <w:jc w:val="left"/>
        <w:rPr>
          <w:sz w:val="19"/>
        </w:rPr>
      </w:pPr>
      <w:r>
        <w:rPr>
          <w:w w:val="105"/>
          <w:sz w:val="19"/>
        </w:rPr>
        <w:t>(1.17 )</w:t>
      </w:r>
    </w:p>
    <w:p>
      <w:pPr>
        <w:spacing w:after="0" w:line="152" w:lineRule="exact"/>
        <w:jc w:val="left"/>
        <w:rPr>
          <w:sz w:val="19"/>
        </w:rPr>
        <w:sectPr>
          <w:type w:val="continuous"/>
          <w:pgSz w:w="7200" w:h="11340"/>
          <w:pgMar w:top="1100" w:bottom="0" w:left="620" w:right="520"/>
          <w:cols w:num="3" w:equalWidth="0">
            <w:col w:w="3300" w:space="40"/>
            <w:col w:w="1010" w:space="40"/>
            <w:col w:w="1670"/>
          </w:cols>
        </w:sectPr>
      </w:pPr>
    </w:p>
    <w:p>
      <w:pPr>
        <w:tabs>
          <w:tab w:pos="2778" w:val="left" w:leader="none"/>
          <w:tab w:pos="3642" w:val="left" w:leader="none"/>
        </w:tabs>
        <w:spacing w:line="214" w:lineRule="exact" w:before="0"/>
        <w:ind w:left="2220" w:right="0" w:firstLine="0"/>
        <w:jc w:val="left"/>
        <w:rPr>
          <w:b/>
          <w:i/>
          <w:sz w:val="21"/>
        </w:rPr>
      </w:pPr>
      <w:r>
        <w:rPr>
          <w:rFonts w:ascii="Arial" w:hAnsi="Arial"/>
          <w:b/>
          <w:i/>
          <w:w w:val="82"/>
          <w:sz w:val="12"/>
        </w:rPr>
        <w:t>h-+O</w:t>
      </w:r>
      <w:r>
        <w:rPr>
          <w:rFonts w:ascii="Arial" w:hAnsi="Arial"/>
          <w:b/>
          <w:i/>
          <w:sz w:val="12"/>
        </w:rPr>
        <w:tab/>
      </w:r>
      <w:r>
        <w:rPr>
          <w:b/>
          <w:i/>
          <w:w w:val="87"/>
          <w:sz w:val="21"/>
        </w:rPr>
        <w:t>h</w:t>
      </w:r>
      <w:r>
        <w:rPr>
          <w:b/>
          <w:i/>
          <w:spacing w:val="-26"/>
          <w:sz w:val="21"/>
        </w:rPr>
        <w:t> </w:t>
      </w:r>
      <w:r>
        <w:rPr>
          <w:spacing w:val="-12"/>
          <w:w w:val="114"/>
          <w:sz w:val="21"/>
        </w:rPr>
        <w:t>·</w:t>
      </w:r>
      <w:r>
        <w:rPr>
          <w:b/>
          <w:i/>
          <w:w w:val="41"/>
          <w:sz w:val="21"/>
        </w:rPr>
        <w:t>l:z:</w:t>
      </w:r>
      <w:r>
        <w:rPr>
          <w:b/>
          <w:i/>
          <w:sz w:val="21"/>
        </w:rPr>
        <w:tab/>
      </w:r>
      <w:r>
        <w:rPr>
          <w:rFonts w:ascii="Arial" w:hAnsi="Arial"/>
          <w:b/>
          <w:w w:val="79"/>
          <w:sz w:val="12"/>
        </w:rPr>
        <w:t>A-+O</w:t>
      </w:r>
      <w:r>
        <w:rPr>
          <w:rFonts w:ascii="Arial" w:hAnsi="Arial"/>
          <w:b/>
          <w:sz w:val="12"/>
        </w:rPr>
        <w:t>    </w:t>
      </w:r>
      <w:r>
        <w:rPr>
          <w:rFonts w:ascii="Arial" w:hAnsi="Arial"/>
          <w:b/>
          <w:spacing w:val="-10"/>
          <w:sz w:val="12"/>
        </w:rPr>
        <w:t> </w:t>
      </w:r>
      <w:r>
        <w:rPr>
          <w:b/>
          <w:i/>
          <w:w w:val="91"/>
          <w:sz w:val="21"/>
        </w:rPr>
        <w:t>h</w:t>
      </w:r>
    </w:p>
    <w:p>
      <w:pPr>
        <w:pStyle w:val="BodyText"/>
        <w:spacing w:before="9"/>
        <w:rPr>
          <w:b/>
          <w:i/>
          <w:sz w:val="12"/>
        </w:rPr>
      </w:pPr>
    </w:p>
    <w:p>
      <w:pPr>
        <w:pStyle w:val="BodyText"/>
        <w:spacing w:before="74"/>
        <w:ind w:left="114" w:firstLine="10"/>
        <w:jc w:val="both"/>
      </w:pPr>
      <w:r>
        <w:rPr>
          <w:w w:val="110"/>
        </w:rPr>
        <w:t>Now the expression </w:t>
      </w:r>
      <w:r>
        <w:rPr>
          <w:i/>
          <w:w w:val="95"/>
          <w:sz w:val="16"/>
        </w:rPr>
        <w:t>'/a!:z: </w:t>
      </w:r>
      <w:r>
        <w:rPr>
          <w:w w:val="110"/>
        </w:rPr>
        <w:t>may be regarded as an annal rate of mor­</w:t>
      </w:r>
    </w:p>
    <w:p>
      <w:pPr>
        <w:pStyle w:val="BodyText"/>
        <w:spacing w:line="241" w:lineRule="exact" w:before="29"/>
        <w:ind w:left="114"/>
        <w:jc w:val="both"/>
        <w:rPr>
          <w:rFonts w:ascii="Arial"/>
          <w:i/>
        </w:rPr>
      </w:pPr>
      <w:r>
        <w:rPr>
          <w:w w:val="110"/>
        </w:rPr>
        <w:t>tality based upon the mortality during the age interval </w:t>
      </w:r>
      <w:r>
        <w:rPr>
          <w:i/>
          <w:w w:val="110"/>
          <w:sz w:val="19"/>
        </w:rPr>
        <w:t>x </w:t>
      </w:r>
      <w:r>
        <w:rPr>
          <w:w w:val="110"/>
          <w:sz w:val="22"/>
        </w:rPr>
        <w:t>to </w:t>
      </w:r>
      <w:r>
        <w:rPr>
          <w:i/>
          <w:w w:val="110"/>
          <w:sz w:val="19"/>
        </w:rPr>
        <w:t>x </w:t>
      </w:r>
      <w:r>
        <w:rPr>
          <w:rFonts w:ascii="Arial"/>
          <w:w w:val="110"/>
          <w:sz w:val="31"/>
        </w:rPr>
        <w:t>+ </w:t>
      </w:r>
      <w:r>
        <w:rPr>
          <w:rFonts w:ascii="Arial"/>
          <w:i/>
          <w:w w:val="110"/>
        </w:rPr>
        <w:t>h.</w:t>
      </w:r>
    </w:p>
    <w:p>
      <w:pPr>
        <w:spacing w:line="540" w:lineRule="exact" w:before="0"/>
        <w:ind w:left="114" w:right="0" w:firstLine="7"/>
        <w:jc w:val="both"/>
        <w:rPr>
          <w:i/>
          <w:sz w:val="22"/>
        </w:rPr>
      </w:pPr>
      <w:r>
        <w:rPr>
          <w:w w:val="108"/>
          <w:sz w:val="20"/>
        </w:rPr>
        <w:t>For</w:t>
      </w:r>
      <w:r>
        <w:rPr>
          <w:sz w:val="20"/>
        </w:rPr>
        <w:t> </w:t>
      </w:r>
      <w:r>
        <w:rPr>
          <w:spacing w:val="7"/>
          <w:sz w:val="20"/>
        </w:rPr>
        <w:t> </w:t>
      </w:r>
      <w:r>
        <w:rPr>
          <w:w w:val="103"/>
          <w:sz w:val="20"/>
        </w:rPr>
        <w:t>example,</w:t>
      </w:r>
      <w:r>
        <w:rPr>
          <w:sz w:val="20"/>
        </w:rPr>
        <w:t> </w:t>
      </w:r>
      <w:r>
        <w:rPr>
          <w:spacing w:val="11"/>
          <w:sz w:val="20"/>
        </w:rPr>
        <w:t> </w:t>
      </w:r>
      <w:r>
        <w:rPr>
          <w:w w:val="84"/>
          <w:sz w:val="20"/>
        </w:rPr>
        <w:t>if</w:t>
      </w:r>
      <w:r>
        <w:rPr>
          <w:sz w:val="20"/>
        </w:rPr>
        <w:t> </w:t>
      </w:r>
      <w:r>
        <w:rPr>
          <w:spacing w:val="19"/>
          <w:sz w:val="20"/>
        </w:rPr>
        <w:t> </w:t>
      </w:r>
      <w:r>
        <w:rPr>
          <w:i/>
          <w:w w:val="95"/>
          <w:sz w:val="21"/>
        </w:rPr>
        <w:t>h</w:t>
      </w:r>
      <w:r>
        <w:rPr>
          <w:i/>
          <w:sz w:val="21"/>
        </w:rPr>
        <w:t> </w:t>
      </w:r>
      <w:r>
        <w:rPr>
          <w:i/>
          <w:spacing w:val="-18"/>
          <w:sz w:val="21"/>
        </w:rPr>
        <w:t> </w:t>
      </w:r>
      <w:r>
        <w:rPr>
          <w:spacing w:val="-45"/>
          <w:w w:val="92"/>
          <w:sz w:val="26"/>
        </w:rPr>
        <w:t>=</w:t>
      </w:r>
      <w:r>
        <w:rPr>
          <w:rFonts w:ascii="Arial" w:hAnsi="Arial"/>
          <w:spacing w:val="-235"/>
          <w:w w:val="359"/>
          <w:sz w:val="26"/>
        </w:rPr>
        <w:t>l</w:t>
      </w:r>
      <w:r>
        <w:rPr>
          <w:rFonts w:ascii="Arial" w:hAnsi="Arial"/>
          <w:w w:val="101"/>
          <w:sz w:val="26"/>
        </w:rPr>
        <w:t>,</w:t>
      </w:r>
      <w:r>
        <w:rPr>
          <w:rFonts w:ascii="Arial" w:hAnsi="Arial"/>
          <w:spacing w:val="-49"/>
          <w:sz w:val="26"/>
        </w:rPr>
        <w:t> </w:t>
      </w:r>
      <w:r>
        <w:rPr>
          <w:w w:val="60"/>
          <w:position w:val="11"/>
          <w:sz w:val="13"/>
        </w:rPr>
        <w:t>1</w:t>
      </w:r>
      <w:r>
        <w:rPr>
          <w:spacing w:val="-24"/>
          <w:w w:val="60"/>
          <w:position w:val="11"/>
          <w:sz w:val="13"/>
        </w:rPr>
        <w:t>1</w:t>
      </w:r>
      <w:r>
        <w:rPr>
          <w:w w:val="105"/>
          <w:sz w:val="57"/>
        </w:rPr>
        <w:t>t</w:t>
      </w:r>
      <w:r>
        <w:rPr>
          <w:spacing w:val="-84"/>
          <w:sz w:val="57"/>
        </w:rPr>
        <w:t> </w:t>
      </w:r>
      <w:r>
        <w:rPr>
          <w:w w:val="99"/>
          <w:sz w:val="20"/>
        </w:rPr>
        <w:t>becomes</w:t>
      </w:r>
      <w:r>
        <w:rPr>
          <w:sz w:val="20"/>
        </w:rPr>
        <w:t> </w:t>
      </w:r>
      <w:r>
        <w:rPr>
          <w:spacing w:val="-7"/>
          <w:sz w:val="20"/>
        </w:rPr>
        <w:t> </w:t>
      </w:r>
      <w:r>
        <w:rPr>
          <w:i/>
          <w:w w:val="71"/>
          <w:sz w:val="21"/>
        </w:rPr>
        <w:t>2·¡q:z:</w:t>
      </w:r>
      <w:r>
        <w:rPr>
          <w:i/>
          <w:spacing w:val="11"/>
          <w:sz w:val="21"/>
        </w:rPr>
        <w:t> </w:t>
      </w:r>
      <w:r>
        <w:rPr>
          <w:i/>
          <w:w w:val="106"/>
          <w:sz w:val="21"/>
        </w:rPr>
        <w:t>,</w:t>
      </w:r>
      <w:r>
        <w:rPr>
          <w:i/>
          <w:spacing w:val="17"/>
          <w:sz w:val="21"/>
        </w:rPr>
        <w:t> </w:t>
      </w:r>
      <w:r>
        <w:rPr>
          <w:w w:val="101"/>
          <w:sz w:val="20"/>
        </w:rPr>
        <w:t>which</w:t>
      </w:r>
      <w:r>
        <w:rPr>
          <w:sz w:val="20"/>
        </w:rPr>
        <w:t> </w:t>
      </w:r>
      <w:r>
        <w:rPr>
          <w:spacing w:val="-1"/>
          <w:sz w:val="20"/>
        </w:rPr>
        <w:t> </w:t>
      </w:r>
      <w:r>
        <w:rPr>
          <w:w w:val="105"/>
          <w:sz w:val="20"/>
        </w:rPr>
        <w:t>represents</w:t>
      </w:r>
      <w:r>
        <w:rPr>
          <w:spacing w:val="20"/>
          <w:sz w:val="20"/>
        </w:rPr>
        <w:t> </w:t>
      </w:r>
      <w:r>
        <w:rPr>
          <w:i/>
          <w:w w:val="83"/>
          <w:sz w:val="22"/>
        </w:rPr>
        <w:t>·twice</w:t>
      </w:r>
    </w:p>
    <w:p>
      <w:pPr>
        <w:pStyle w:val="BodyText"/>
        <w:spacing w:line="247" w:lineRule="auto" w:before="42"/>
        <w:ind w:left="110" w:right="185" w:firstLine="3"/>
        <w:jc w:val="both"/>
        <w:rPr>
          <w:i/>
        </w:rPr>
      </w:pPr>
      <w:r>
        <w:rPr>
          <w:w w:val="105"/>
        </w:rPr>
        <w:t>the probability that </w:t>
      </w:r>
      <w:r>
        <w:rPr>
          <w:rFonts w:ascii="Arial" w:hAnsi="Arial"/>
          <w:i/>
          <w:w w:val="105"/>
          <w:sz w:val="19"/>
        </w:rPr>
        <w:t>(x) </w:t>
      </w:r>
      <w:r>
        <w:rPr>
          <w:w w:val="105"/>
        </w:rPr>
        <w:t>will die within </w:t>
      </w:r>
      <w:r>
        <w:rPr>
          <w:i/>
          <w:w w:val="105"/>
        </w:rPr>
        <w:t>half </w:t>
      </w:r>
      <w:r>
        <w:rPr>
          <w:w w:val="105"/>
        </w:rPr>
        <w:t>a year. As </w:t>
      </w:r>
      <w:r>
        <w:rPr>
          <w:i/>
          <w:w w:val="105"/>
        </w:rPr>
        <w:t>h </w:t>
      </w:r>
      <w:r>
        <w:rPr>
          <w:w w:val="105"/>
        </w:rPr>
        <w:t>approaches </w:t>
      </w:r>
      <w:r>
        <w:rPr>
          <w:w w:val="105"/>
          <w:sz w:val="21"/>
        </w:rPr>
        <w:t>O, </w:t>
      </w:r>
      <w:r>
        <w:rPr>
          <w:w w:val="105"/>
        </w:rPr>
        <w:t>the limit of this expression, the force of mortality, may </w:t>
      </w:r>
      <w:r>
        <w:rPr>
          <w:w w:val="105"/>
          <w:sz w:val="19"/>
        </w:rPr>
        <w:t>be </w:t>
      </w:r>
      <w:r>
        <w:rPr>
          <w:w w:val="105"/>
        </w:rPr>
        <w:t>de­ scribed as the nominal annual rate of mortality based upon the intensity  of  mortality  at the </w:t>
      </w:r>
      <w:r>
        <w:rPr>
          <w:i/>
          <w:w w:val="105"/>
        </w:rPr>
        <w:t>instant  </w:t>
      </w:r>
      <w:r>
        <w:rPr>
          <w:w w:val="105"/>
        </w:rPr>
        <w:t>of  attaining age </w:t>
      </w:r>
      <w:r>
        <w:rPr>
          <w:i/>
          <w:w w:val="105"/>
        </w:rPr>
        <w:t>x.</w:t>
      </w:r>
    </w:p>
    <w:p>
      <w:pPr>
        <w:pStyle w:val="BodyText"/>
        <w:spacing w:line="252" w:lineRule="auto" w:before="3"/>
        <w:ind w:left="107" w:right="181" w:firstLine="208"/>
        <w:jc w:val="both"/>
      </w:pPr>
      <w:r>
        <w:rPr>
          <w:w w:val="110"/>
        </w:rPr>
        <w:t>It </w:t>
      </w:r>
      <w:r>
        <w:rPr>
          <w:rFonts w:ascii="Arial" w:hAnsi="Arial"/>
          <w:w w:val="105"/>
        </w:rPr>
        <w:t>is </w:t>
      </w:r>
      <w:r>
        <w:rPr>
          <w:w w:val="105"/>
        </w:rPr>
        <w:t>now easy to </w:t>
      </w:r>
      <w:r>
        <w:rPr>
          <w:w w:val="105"/>
          <w:sz w:val="19"/>
        </w:rPr>
        <w:t>see </w:t>
      </w:r>
      <w:r>
        <w:rPr>
          <w:w w:val="105"/>
        </w:rPr>
        <w:t>why the values of </w:t>
      </w:r>
      <w:r>
        <w:rPr>
          <w:i/>
          <w:w w:val="90"/>
          <w:sz w:val="16"/>
        </w:rPr>
        <w:t>P.:z: </w:t>
      </w:r>
      <w:r>
        <w:rPr>
          <w:w w:val="105"/>
        </w:rPr>
        <w:t>normally exceed 1 </w:t>
      </w:r>
      <w:r>
        <w:rPr>
          <w:w w:val="110"/>
        </w:rPr>
        <w:t>at </w:t>
      </w:r>
      <w:r>
        <w:rPr>
          <w:w w:val="105"/>
        </w:rPr>
        <w:t>the beginning and end of the mortality table. Infant mortality  is  high in the period immediately following birth.  Considering  the first  </w:t>
      </w:r>
      <w:r>
        <w:rPr>
          <w:rFonts w:ascii="Arial" w:hAnsi="Arial"/>
          <w:w w:val="105"/>
          <w:sz w:val="17"/>
        </w:rPr>
        <w:t>24 </w:t>
      </w:r>
      <w:r>
        <w:rPr>
          <w:w w:val="105"/>
        </w:rPr>
        <w:t>hours of  life,  for example,  the value  of  :sl,qº may</w:t>
      </w:r>
      <w:r>
        <w:rPr>
          <w:spacing w:val="27"/>
          <w:w w:val="105"/>
        </w:rPr>
        <w:t> </w:t>
      </w:r>
      <w:r>
        <w:rPr>
          <w:w w:val="105"/>
        </w:rPr>
        <w:t>exceed</w:t>
      </w:r>
    </w:p>
    <w:p>
      <w:pPr>
        <w:pStyle w:val="BodyText"/>
        <w:spacing w:line="407" w:lineRule="exact"/>
        <w:ind w:left="107"/>
        <w:jc w:val="both"/>
      </w:pPr>
      <w:r>
        <w:rPr>
          <w:sz w:val="26"/>
        </w:rPr>
        <w:t>H</w:t>
      </w:r>
      <w:r>
        <w:rPr>
          <w:rFonts w:ascii="Arial"/>
          <w:position w:val="-3"/>
          <w:sz w:val="15"/>
        </w:rPr>
        <w:t>65  </w:t>
      </w:r>
      <w:r>
        <w:rPr/>
        <w:t>so that the ratio  </w:t>
      </w:r>
      <w:r>
        <w:rPr>
          <w:rFonts w:ascii="Arial"/>
          <w:sz w:val="48"/>
        </w:rPr>
        <w:t>"t </w:t>
      </w:r>
      <w:r>
        <w:rPr/>
        <w:t>exceeds  1. As shorter intervals of  time  are</w:t>
      </w:r>
    </w:p>
    <w:p>
      <w:pPr>
        <w:pStyle w:val="BodyText"/>
        <w:spacing w:line="242" w:lineRule="exact" w:before="61"/>
        <w:ind w:left="107" w:right="186"/>
        <w:jc w:val="both"/>
      </w:pPr>
      <w:r>
        <w:rPr>
          <w:w w:val="105"/>
        </w:rPr>
        <w:t>taken, the ratio may increase still more. Now consider the upper  end of the mortality table. Since there are no  survivors  at  age </w:t>
      </w:r>
      <w:r>
        <w:rPr>
          <w:i/>
          <w:w w:val="105"/>
          <w:sz w:val="17"/>
        </w:rPr>
        <w:t>w,  </w:t>
      </w:r>
      <w:r>
        <w:rPr>
          <w:w w:val="105"/>
        </w:rPr>
        <w:t>we may write </w:t>
      </w:r>
      <w:r>
        <w:rPr>
          <w:i/>
          <w:w w:val="80"/>
        </w:rPr>
        <w:t>.,_:z;q:z: </w:t>
      </w:r>
      <w:r>
        <w:rPr>
          <w:w w:val="105"/>
          <w:sz w:val="23"/>
        </w:rPr>
        <w:t>= </w:t>
      </w:r>
      <w:r>
        <w:rPr>
          <w:w w:val="105"/>
        </w:rPr>
        <w:t>1, which is true for all </w:t>
      </w:r>
      <w:r>
        <w:rPr>
          <w:i/>
          <w:w w:val="105"/>
        </w:rPr>
        <w:t>x. </w:t>
      </w:r>
      <w:r>
        <w:rPr>
          <w:w w:val="105"/>
        </w:rPr>
        <w:t>Now if </w:t>
      </w:r>
      <w:r>
        <w:rPr>
          <w:i/>
          <w:w w:val="105"/>
        </w:rPr>
        <w:t>x  </w:t>
      </w:r>
      <w:r>
        <w:rPr>
          <w:w w:val="105"/>
        </w:rPr>
        <w:t>is such  an age that </w:t>
      </w:r>
      <w:r>
        <w:rPr>
          <w:i/>
          <w:w w:val="105"/>
          <w:sz w:val="17"/>
        </w:rPr>
        <w:t>w  </w:t>
      </w:r>
      <w:r>
        <w:rPr>
          <w:w w:val="285"/>
          <w:sz w:val="17"/>
        </w:rPr>
        <w:t>- </w:t>
      </w:r>
      <w:r>
        <w:rPr>
          <w:i/>
          <w:w w:val="105"/>
        </w:rPr>
        <w:t>x  </w:t>
      </w:r>
      <w:r>
        <w:rPr>
          <w:w w:val="105"/>
        </w:rPr>
        <w:t>is less than  1, it will  follow</w:t>
      </w:r>
      <w:r>
        <w:rPr>
          <w:spacing w:val="11"/>
          <w:w w:val="105"/>
        </w:rPr>
        <w:t> </w:t>
      </w:r>
      <w:r>
        <w:rPr>
          <w:w w:val="105"/>
        </w:rPr>
        <w:t>that</w:t>
      </w:r>
    </w:p>
    <w:p>
      <w:pPr>
        <w:spacing w:line="276" w:lineRule="exact" w:before="118"/>
        <w:ind w:left="87" w:right="88" w:firstLine="0"/>
        <w:jc w:val="center"/>
        <w:rPr>
          <w:b/>
          <w:sz w:val="20"/>
        </w:rPr>
      </w:pPr>
      <w:r>
        <w:rPr>
          <w:rFonts w:ascii="Arial"/>
          <w:b/>
          <w:i/>
          <w:w w:val="85"/>
          <w:sz w:val="18"/>
          <w:u w:val="single"/>
        </w:rPr>
        <w:t>,,,_:,:q:,: </w:t>
      </w:r>
      <w:r>
        <w:rPr>
          <w:w w:val="90"/>
          <w:sz w:val="25"/>
        </w:rPr>
        <w:t>&gt; </w:t>
      </w:r>
      <w:r>
        <w:rPr>
          <w:b/>
          <w:w w:val="90"/>
          <w:sz w:val="20"/>
        </w:rPr>
        <w:t>1,</w:t>
      </w:r>
    </w:p>
    <w:p>
      <w:pPr>
        <w:spacing w:line="226" w:lineRule="exact" w:before="0"/>
        <w:ind w:left="87" w:right="642" w:firstLine="0"/>
        <w:jc w:val="center"/>
        <w:rPr>
          <w:rFonts w:ascii="Courier New"/>
          <w:b/>
          <w:i/>
          <w:sz w:val="21"/>
        </w:rPr>
      </w:pPr>
      <w:r>
        <w:rPr>
          <w:rFonts w:ascii="Courier New"/>
          <w:b/>
          <w:i/>
          <w:sz w:val="21"/>
        </w:rPr>
        <w:t>w </w:t>
      </w:r>
      <w:r>
        <w:rPr>
          <w:rFonts w:ascii="Courier New"/>
          <w:b/>
          <w:i/>
          <w:w w:val="135"/>
          <w:sz w:val="21"/>
        </w:rPr>
        <w:t>-</w:t>
      </w:r>
      <w:r>
        <w:rPr>
          <w:rFonts w:ascii="Courier New"/>
          <w:b/>
          <w:i/>
          <w:spacing w:val="-144"/>
          <w:w w:val="135"/>
          <w:sz w:val="21"/>
        </w:rPr>
        <w:t> </w:t>
      </w:r>
      <w:r>
        <w:rPr>
          <w:rFonts w:ascii="Courier New"/>
          <w:b/>
          <w:i/>
          <w:sz w:val="21"/>
        </w:rPr>
        <w:t>x</w:t>
      </w:r>
    </w:p>
    <w:p>
      <w:pPr>
        <w:pStyle w:val="BodyText"/>
        <w:spacing w:before="106"/>
        <w:ind w:left="110"/>
        <w:jc w:val="both"/>
      </w:pPr>
      <w:r>
        <w:rPr/>
        <w:t>and  hence  values  of</w:t>
      </w:r>
      <w:r>
        <w:rPr>
          <w:spacing w:val="50"/>
        </w:rPr>
        <w:t> </w:t>
      </w:r>
      <w:r>
        <w:rPr>
          <w:i/>
          <w:w w:val="75"/>
        </w:rPr>
        <w:t>P.:z:  </w:t>
      </w:r>
      <w:r>
        <w:rPr/>
        <w:t>exceeding  1 will  occur  in  the year  of age</w:t>
      </w:r>
    </w:p>
    <w:p>
      <w:pPr>
        <w:spacing w:before="15"/>
        <w:ind w:left="110" w:right="0" w:firstLine="0"/>
        <w:jc w:val="both"/>
        <w:rPr>
          <w:i/>
          <w:sz w:val="17"/>
        </w:rPr>
      </w:pPr>
      <w:r>
        <w:rPr>
          <w:rFonts w:ascii="Arial"/>
          <w:i/>
          <w:w w:val="120"/>
          <w:sz w:val="15"/>
        </w:rPr>
        <w:t>w </w:t>
      </w:r>
      <w:r>
        <w:rPr>
          <w:rFonts w:ascii="Arial"/>
          <w:w w:val="315"/>
          <w:sz w:val="15"/>
        </w:rPr>
        <w:t>-</w:t>
      </w:r>
      <w:r>
        <w:rPr>
          <w:rFonts w:ascii="Arial"/>
          <w:spacing w:val="-65"/>
          <w:w w:val="315"/>
          <w:sz w:val="15"/>
        </w:rPr>
        <w:t> </w:t>
      </w:r>
      <w:r>
        <w:rPr>
          <w:w w:val="120"/>
          <w:sz w:val="20"/>
        </w:rPr>
        <w:t>1 to </w:t>
      </w:r>
      <w:r>
        <w:rPr>
          <w:i/>
          <w:w w:val="120"/>
          <w:sz w:val="17"/>
        </w:rPr>
        <w:t>w.</w:t>
      </w:r>
    </w:p>
    <w:p>
      <w:pPr>
        <w:pStyle w:val="BodyText"/>
        <w:spacing w:before="7"/>
        <w:ind w:left="81"/>
        <w:jc w:val="center"/>
      </w:pPr>
      <w:r>
        <w:rPr/>
        <w:t>Values  of  </w:t>
      </w:r>
      <w:r>
        <w:rPr>
          <w:i/>
          <w:w w:val="90"/>
          <w:sz w:val="16"/>
        </w:rPr>
        <w:t>P.:z:   </w:t>
      </w:r>
      <w:r>
        <w:rPr/>
        <w:t>greater  than  </w:t>
      </w:r>
      <w:r>
        <w:rPr>
          <w:sz w:val="19"/>
        </w:rPr>
        <w:t>1 </w:t>
      </w:r>
      <w:r>
        <w:rPr/>
        <w:t>are  occasionally  encountered  when</w:t>
      </w:r>
    </w:p>
    <w:p>
      <w:pPr>
        <w:spacing w:after="0"/>
        <w:jc w:val="center"/>
        <w:sectPr>
          <w:type w:val="continuous"/>
          <w:pgSz w:w="7200" w:h="11340"/>
          <w:pgMar w:top="1100" w:bottom="0" w:left="620" w:right="520"/>
        </w:sectPr>
      </w:pPr>
    </w:p>
    <w:p>
      <w:pPr>
        <w:tabs>
          <w:tab w:pos="2194" w:val="left" w:leader="none"/>
          <w:tab w:pos="5861" w:val="right" w:leader="none"/>
        </w:tabs>
        <w:spacing w:before="58"/>
        <w:ind w:left="106" w:right="0" w:firstLine="0"/>
        <w:jc w:val="left"/>
        <w:rPr>
          <w:sz w:val="20"/>
        </w:rPr>
      </w:pPr>
      <w:r>
        <w:rPr>
          <w:sz w:val="16"/>
        </w:rPr>
        <w:t>SEC.</w:t>
      </w:r>
      <w:r>
        <w:rPr>
          <w:spacing w:val="25"/>
          <w:sz w:val="16"/>
        </w:rPr>
        <w:t> </w:t>
      </w:r>
      <w:r>
        <w:rPr>
          <w:sz w:val="20"/>
        </w:rPr>
        <w:t>5]</w:t>
        <w:tab/>
      </w:r>
      <w:r>
        <w:rPr>
          <w:b/>
          <w:sz w:val="16"/>
        </w:rPr>
        <w:t>ESTDlATION </w:t>
      </w:r>
      <w:r>
        <w:rPr>
          <w:b/>
          <w:spacing w:val="19"/>
          <w:sz w:val="16"/>
        </w:rPr>
        <w:t> </w:t>
      </w:r>
      <w:r>
        <w:rPr>
          <w:b/>
          <w:sz w:val="16"/>
        </w:rPr>
        <w:t>OF </w:t>
      </w:r>
      <w:r>
        <w:rPr>
          <w:b/>
          <w:spacing w:val="8"/>
          <w:sz w:val="16"/>
        </w:rPr>
        <w:t> </w:t>
      </w:r>
      <w:r>
        <w:rPr>
          <w:b/>
          <w:sz w:val="13"/>
        </w:rPr>
        <w:t>JJ,a</w:t>
      </w:r>
      <w:r>
        <w:rPr>
          <w:sz w:val="20"/>
        </w:rPr>
        <w:tab/>
      </w:r>
      <w:r>
        <w:rPr>
          <w:spacing w:val="-25"/>
          <w:sz w:val="20"/>
        </w:rPr>
        <w:t>17</w:t>
      </w:r>
    </w:p>
    <w:p>
      <w:pPr>
        <w:spacing w:line="242" w:lineRule="exact" w:before="242"/>
        <w:ind w:left="106" w:right="133" w:hanging="4"/>
        <w:jc w:val="left"/>
        <w:rPr>
          <w:sz w:val="21"/>
        </w:rPr>
      </w:pPr>
      <w:r>
        <w:rPr>
          <w:sz w:val="21"/>
        </w:rPr>
        <w:t>we a.re dea.ling with hypothetical survival functions not closely rela.ted  </w:t>
      </w:r>
      <w:r>
        <w:rPr>
          <w:sz w:val="22"/>
        </w:rPr>
        <w:t>to </w:t>
      </w:r>
      <w:r>
        <w:rPr>
          <w:sz w:val="21"/>
        </w:rPr>
        <w:t>the normal pa.ttem of mortality. For example,    if</w:t>
      </w:r>
    </w:p>
    <w:p>
      <w:pPr>
        <w:spacing w:after="0" w:line="242" w:lineRule="exact"/>
        <w:jc w:val="left"/>
        <w:rPr>
          <w:sz w:val="21"/>
        </w:rPr>
        <w:sectPr>
          <w:pgSz w:w="7200" w:h="11340"/>
          <w:pgMar w:top="500" w:bottom="280" w:left="660" w:right="560"/>
        </w:sectPr>
      </w:pPr>
    </w:p>
    <w:p>
      <w:pPr>
        <w:spacing w:line="60" w:lineRule="exact" w:before="61"/>
        <w:ind w:left="1374" w:right="-16" w:firstLine="0"/>
        <w:jc w:val="left"/>
        <w:rPr>
          <w:rFonts w:ascii="Arial"/>
          <w:sz w:val="14"/>
        </w:rPr>
      </w:pPr>
      <w:r>
        <w:rPr>
          <w:rFonts w:ascii="Arial"/>
          <w:i/>
          <w:w w:val="145"/>
          <w:sz w:val="21"/>
        </w:rPr>
        <w:t>l. </w:t>
      </w:r>
      <w:r>
        <w:rPr>
          <w:w w:val="110"/>
          <w:sz w:val="28"/>
        </w:rPr>
        <w:t>= </w:t>
      </w:r>
      <w:r>
        <w:rPr>
          <w:b/>
          <w:w w:val="110"/>
          <w:sz w:val="20"/>
        </w:rPr>
        <w:t>(100 </w:t>
      </w:r>
      <w:r>
        <w:rPr>
          <w:w w:val="240"/>
          <w:sz w:val="20"/>
        </w:rPr>
        <w:t>-</w:t>
      </w:r>
      <w:r>
        <w:rPr>
          <w:spacing w:val="-72"/>
          <w:w w:val="240"/>
          <w:sz w:val="20"/>
        </w:rPr>
        <w:t> </w:t>
      </w:r>
      <w:r>
        <w:rPr>
          <w:rFonts w:ascii="Arial"/>
          <w:i/>
          <w:w w:val="110"/>
          <w:sz w:val="14"/>
        </w:rPr>
        <w:t>X </w:t>
      </w:r>
      <w:r>
        <w:rPr>
          <w:rFonts w:ascii="Arial"/>
          <w:w w:val="160"/>
          <w:sz w:val="14"/>
        </w:rPr>
        <w:t>)</w:t>
      </w:r>
    </w:p>
    <w:p>
      <w:pPr>
        <w:tabs>
          <w:tab w:pos="562" w:val="left" w:leader="none"/>
          <w:tab w:pos="1001" w:val="left" w:leader="none"/>
          <w:tab w:pos="1451" w:val="left" w:leader="none"/>
        </w:tabs>
        <w:spacing w:line="21" w:lineRule="exact" w:before="121"/>
        <w:ind w:left="123" w:right="0" w:firstLine="0"/>
        <w:jc w:val="left"/>
        <w:rPr>
          <w:b/>
          <w:sz w:val="20"/>
        </w:rPr>
      </w:pPr>
      <w:r>
        <w:rPr/>
        <w:br w:type="column"/>
      </w:r>
      <w:r>
        <w:rPr>
          <w:w w:val="195"/>
          <w:position w:val="1"/>
          <w:sz w:val="12"/>
        </w:rPr>
        <w:t>,</w:t>
        <w:tab/>
      </w:r>
      <w:r>
        <w:rPr>
          <w:b/>
          <w:w w:val="110"/>
          <w:sz w:val="20"/>
        </w:rPr>
        <w:t>0</w:t>
        <w:tab/>
      </w:r>
      <w:r>
        <w:rPr>
          <w:rFonts w:ascii="Arial"/>
          <w:i/>
          <w:w w:val="110"/>
          <w:sz w:val="14"/>
        </w:rPr>
        <w:t>X</w:t>
        <w:tab/>
      </w:r>
      <w:r>
        <w:rPr>
          <w:b/>
          <w:w w:val="110"/>
          <w:sz w:val="20"/>
        </w:rPr>
        <w:t>100,</w:t>
      </w:r>
    </w:p>
    <w:p>
      <w:pPr>
        <w:spacing w:after="0" w:line="21" w:lineRule="exact"/>
        <w:jc w:val="left"/>
        <w:rPr>
          <w:sz w:val="20"/>
        </w:rPr>
        <w:sectPr>
          <w:type w:val="continuous"/>
          <w:pgSz w:w="7200" w:h="11340"/>
          <w:pgMar w:top="1100" w:bottom="0" w:left="660" w:right="560"/>
          <w:cols w:num="2" w:equalWidth="0">
            <w:col w:w="2752" w:space="40"/>
            <w:col w:w="3188"/>
          </w:cols>
        </w:sectPr>
      </w:pPr>
    </w:p>
    <w:p>
      <w:pPr>
        <w:spacing w:line="101" w:lineRule="exact" w:before="0"/>
        <w:ind w:left="74" w:right="374" w:firstLine="0"/>
        <w:jc w:val="center"/>
        <w:rPr>
          <w:sz w:val="12"/>
        </w:rPr>
      </w:pPr>
      <w:r>
        <w:rPr>
          <w:w w:val="120"/>
          <w:sz w:val="12"/>
        </w:rPr>
        <w:t>191</w:t>
      </w:r>
    </w:p>
    <w:p>
      <w:pPr>
        <w:pStyle w:val="BodyText"/>
        <w:spacing w:before="10"/>
        <w:rPr>
          <w:sz w:val="19"/>
        </w:rPr>
      </w:pPr>
    </w:p>
    <w:p>
      <w:pPr>
        <w:spacing w:before="1"/>
        <w:ind w:left="106" w:right="739" w:firstLine="0"/>
        <w:jc w:val="left"/>
        <w:rPr>
          <w:sz w:val="22"/>
        </w:rPr>
      </w:pPr>
      <w:r>
        <w:rPr>
          <w:sz w:val="22"/>
        </w:rPr>
        <w:t>it </w:t>
      </w:r>
      <w:r>
        <w:rPr>
          <w:rFonts w:ascii="Arial" w:hAnsi="Arial"/>
          <w:sz w:val="19"/>
        </w:rPr>
        <w:t>is </w:t>
      </w:r>
      <w:r>
        <w:rPr>
          <w:sz w:val="21"/>
        </w:rPr>
        <w:t>easy </w:t>
      </w:r>
      <w:r>
        <w:rPr>
          <w:sz w:val="22"/>
        </w:rPr>
        <w:t>to </w:t>
      </w:r>
      <w:r>
        <w:rPr>
          <w:sz w:val="21"/>
        </w:rPr>
        <w:t>verify tha.t </w:t>
      </w:r>
      <w:r>
        <w:rPr>
          <w:i/>
          <w:w w:val="115"/>
          <w:sz w:val="17"/>
        </w:rPr>
        <w:t>µ. </w:t>
      </w:r>
      <w:r>
        <w:rPr>
          <w:rFonts w:ascii="Arial" w:hAnsi="Arial"/>
          <w:sz w:val="19"/>
        </w:rPr>
        <w:t>is </w:t>
      </w:r>
      <w:r>
        <w:rPr>
          <w:sz w:val="21"/>
        </w:rPr>
        <w:t>gres.ter than  1 </w:t>
      </w:r>
      <w:r>
        <w:rPr>
          <w:sz w:val="22"/>
        </w:rPr>
        <w:t>at </w:t>
      </w:r>
      <w:r>
        <w:rPr>
          <w:sz w:val="21"/>
        </w:rPr>
        <w:t>a.ll </w:t>
      </w:r>
      <w:r>
        <w:rPr>
          <w:sz w:val="22"/>
        </w:rPr>
        <w:t>a.ges.</w:t>
      </w:r>
    </w:p>
    <w:p>
      <w:pPr>
        <w:spacing w:before="174"/>
        <w:ind w:left="103" w:right="739" w:firstLine="0"/>
        <w:jc w:val="left"/>
        <w:rPr>
          <w:b/>
          <w:sz w:val="19"/>
        </w:rPr>
      </w:pPr>
      <w:r>
        <w:rPr>
          <w:b/>
          <w:w w:val="115"/>
          <w:sz w:val="19"/>
        </w:rPr>
        <w:t>S.  Estimation  of </w:t>
      </w:r>
      <w:r>
        <w:rPr>
          <w:i/>
          <w:sz w:val="15"/>
        </w:rPr>
        <w:t>JJ,s   </w:t>
      </w:r>
      <w:r>
        <w:rPr>
          <w:b/>
          <w:w w:val="115"/>
          <w:sz w:val="19"/>
        </w:rPr>
        <w:t>from  the mortality table</w:t>
      </w:r>
    </w:p>
    <w:p>
      <w:pPr>
        <w:spacing w:line="242" w:lineRule="auto" w:before="118"/>
        <w:ind w:left="106" w:right="119" w:firstLine="205"/>
        <w:jc w:val="both"/>
        <w:rPr>
          <w:sz w:val="21"/>
        </w:rPr>
      </w:pPr>
      <w:r>
        <w:rPr>
          <w:sz w:val="21"/>
        </w:rPr>
        <w:t>When </w:t>
      </w:r>
      <w:r>
        <w:rPr>
          <w:rFonts w:ascii="Arial" w:hAnsi="Arial"/>
          <w:i/>
          <w:w w:val="115"/>
          <w:sz w:val="21"/>
        </w:rPr>
        <w:t>l. </w:t>
      </w:r>
      <w:r>
        <w:rPr>
          <w:sz w:val="20"/>
        </w:rPr>
        <w:t>is </w:t>
      </w:r>
      <w:r>
        <w:rPr>
          <w:sz w:val="21"/>
        </w:rPr>
        <w:t>defined in terms of a mortality table and the under­ lying mathematica.l law is unknown, values of </w:t>
      </w:r>
      <w:r>
        <w:rPr>
          <w:i/>
          <w:sz w:val="17"/>
        </w:rPr>
        <w:t>µ.. </w:t>
      </w:r>
      <w:r>
        <w:rPr>
          <w:sz w:val="21"/>
        </w:rPr>
        <w:t>can be determined only approxima.tely.</w:t>
      </w:r>
    </w:p>
    <w:p>
      <w:pPr>
        <w:spacing w:line="250" w:lineRule="exact" w:before="0"/>
        <w:ind w:left="315" w:right="739" w:firstLine="0"/>
        <w:jc w:val="left"/>
        <w:rPr>
          <w:sz w:val="20"/>
        </w:rPr>
      </w:pPr>
      <w:r>
        <w:rPr>
          <w:w w:val="105"/>
          <w:sz w:val="21"/>
        </w:rPr>
        <w:t>From formula  </w:t>
      </w:r>
      <w:r>
        <w:rPr>
          <w:w w:val="105"/>
          <w:sz w:val="20"/>
        </w:rPr>
        <w:t>{1.12) </w:t>
      </w:r>
      <w:r>
        <w:rPr>
          <w:w w:val="105"/>
          <w:sz w:val="21"/>
        </w:rPr>
        <w:t>with </w:t>
      </w:r>
      <w:r>
        <w:rPr>
          <w:i/>
          <w:w w:val="105"/>
          <w:sz w:val="22"/>
        </w:rPr>
        <w:t>n </w:t>
      </w:r>
      <w:r>
        <w:rPr>
          <w:w w:val="105"/>
          <w:sz w:val="26"/>
        </w:rPr>
        <w:t>=  </w:t>
      </w:r>
      <w:r>
        <w:rPr>
          <w:w w:val="105"/>
          <w:sz w:val="20"/>
        </w:rPr>
        <w:t>1,</w:t>
      </w:r>
    </w:p>
    <w:p>
      <w:pPr>
        <w:spacing w:before="128"/>
        <w:ind w:left="74" w:right="79" w:firstLine="0"/>
        <w:jc w:val="center"/>
        <w:rPr>
          <w:rFonts w:ascii="Arial" w:hAnsi="Arial"/>
          <w:sz w:val="16"/>
        </w:rPr>
      </w:pPr>
      <w:r>
        <w:rPr/>
        <w:pict>
          <v:shape style="position:absolute;margin-left:183.960007pt;margin-top:13.719812pt;width:3.45pt;height:8pt;mso-position-horizontal-relative:page;mso-position-vertical-relative:paragraph;z-index:-733984" type="#_x0000_t202" filled="false" stroked="false">
            <v:textbox inset="0,0,0,0">
              <w:txbxContent>
                <w:p>
                  <w:pPr>
                    <w:spacing w:line="160" w:lineRule="exact" w:before="0"/>
                    <w:ind w:left="0" w:right="0" w:firstLine="0"/>
                    <w:jc w:val="left"/>
                    <w:rPr>
                      <w:rFonts w:ascii="Arial"/>
                      <w:sz w:val="16"/>
                    </w:rPr>
                  </w:pPr>
                  <w:r>
                    <w:rPr>
                      <w:rFonts w:ascii="Arial"/>
                      <w:w w:val="76"/>
                      <w:sz w:val="16"/>
                    </w:rPr>
                    <w:t>o</w:t>
                  </w:r>
                </w:p>
              </w:txbxContent>
            </v:textbox>
            <w10:wrap type="none"/>
          </v:shape>
        </w:pict>
      </w:r>
      <w:r>
        <w:rPr>
          <w:rFonts w:ascii="Arial" w:hAnsi="Arial"/>
          <w:i/>
          <w:w w:val="147"/>
          <w:position w:val="-10"/>
          <w:sz w:val="19"/>
        </w:rPr>
        <w:t>p.=</w:t>
      </w:r>
      <w:r>
        <w:rPr>
          <w:rFonts w:ascii="Arial" w:hAnsi="Arial"/>
          <w:i/>
          <w:position w:val="-10"/>
          <w:sz w:val="19"/>
        </w:rPr>
        <w:t> </w:t>
      </w:r>
      <w:r>
        <w:rPr>
          <w:rFonts w:ascii="Arial" w:hAnsi="Arial"/>
          <w:i/>
          <w:spacing w:val="-22"/>
          <w:position w:val="-10"/>
          <w:sz w:val="19"/>
        </w:rPr>
        <w:t> </w:t>
      </w:r>
      <w:r>
        <w:rPr>
          <w:i/>
          <w:spacing w:val="-7"/>
          <w:w w:val="87"/>
          <w:position w:val="-10"/>
          <w:sz w:val="22"/>
        </w:rPr>
        <w:t>e</w:t>
      </w:r>
      <w:r>
        <w:rPr>
          <w:b/>
          <w:i/>
          <w:spacing w:val="-5"/>
          <w:w w:val="174"/>
          <w:sz w:val="18"/>
        </w:rPr>
        <w:t>-</w:t>
      </w:r>
      <w:r>
        <w:rPr>
          <w:b/>
          <w:i/>
          <w:w w:val="80"/>
          <w:sz w:val="18"/>
        </w:rPr>
        <w:t>f</w:t>
      </w:r>
      <w:r>
        <w:rPr>
          <w:b/>
          <w:i/>
          <w:spacing w:val="14"/>
          <w:sz w:val="18"/>
        </w:rPr>
        <w:t> </w:t>
      </w:r>
      <w:r>
        <w:rPr>
          <w:b/>
          <w:i/>
          <w:w w:val="89"/>
          <w:sz w:val="18"/>
        </w:rPr>
        <w:t>l"•+t</w:t>
      </w:r>
      <w:r>
        <w:rPr>
          <w:b/>
          <w:i/>
          <w:sz w:val="18"/>
        </w:rPr>
        <w:t>  </w:t>
      </w:r>
      <w:r>
        <w:rPr>
          <w:b/>
          <w:i/>
          <w:spacing w:val="-18"/>
          <w:sz w:val="18"/>
        </w:rPr>
        <w:t> </w:t>
      </w:r>
      <w:r>
        <w:rPr>
          <w:b/>
          <w:w w:val="97"/>
          <w:sz w:val="13"/>
        </w:rPr>
        <w:t>de</w:t>
      </w:r>
      <w:r>
        <w:rPr>
          <w:b/>
          <w:spacing w:val="9"/>
          <w:sz w:val="13"/>
        </w:rPr>
        <w:t> </w:t>
      </w:r>
      <w:r>
        <w:rPr>
          <w:rFonts w:ascii="Arial" w:hAnsi="Arial"/>
          <w:w w:val="244"/>
          <w:position w:val="-10"/>
          <w:sz w:val="16"/>
        </w:rPr>
        <w:t>'</w:t>
      </w:r>
    </w:p>
    <w:p>
      <w:pPr>
        <w:spacing w:line="217" w:lineRule="exact" w:before="143"/>
        <w:ind w:left="110" w:right="739" w:firstLine="0"/>
        <w:jc w:val="left"/>
        <w:rPr>
          <w:sz w:val="21"/>
        </w:rPr>
      </w:pPr>
      <w:r>
        <w:rPr>
          <w:sz w:val="21"/>
        </w:rPr>
        <w:t>whence, taking logarithms, we ha.ve</w:t>
      </w:r>
    </w:p>
    <w:p>
      <w:pPr>
        <w:spacing w:after="0" w:line="217" w:lineRule="exact"/>
        <w:jc w:val="left"/>
        <w:rPr>
          <w:sz w:val="21"/>
        </w:rPr>
        <w:sectPr>
          <w:type w:val="continuous"/>
          <w:pgSz w:w="7200" w:h="11340"/>
          <w:pgMar w:top="1100" w:bottom="0" w:left="660" w:right="560"/>
        </w:sectPr>
      </w:pPr>
    </w:p>
    <w:p>
      <w:pPr>
        <w:spacing w:line="613" w:lineRule="exact" w:before="0"/>
        <w:ind w:left="2000" w:right="0" w:firstLine="0"/>
        <w:jc w:val="left"/>
        <w:rPr>
          <w:rFonts w:ascii="Arial"/>
          <w:i/>
          <w:sz w:val="21"/>
        </w:rPr>
      </w:pPr>
      <w:r>
        <w:rPr>
          <w:b/>
          <w:w w:val="105"/>
          <w:sz w:val="23"/>
        </w:rPr>
        <w:t>log </w:t>
      </w:r>
      <w:r>
        <w:rPr>
          <w:b/>
          <w:i/>
          <w:w w:val="105"/>
          <w:sz w:val="20"/>
        </w:rPr>
        <w:t>p. </w:t>
      </w:r>
      <w:r>
        <w:rPr>
          <w:w w:val="105"/>
          <w:sz w:val="26"/>
        </w:rPr>
        <w:t>= </w:t>
      </w:r>
      <w:r>
        <w:rPr>
          <w:w w:val="190"/>
          <w:sz w:val="26"/>
        </w:rPr>
        <w:t>-</w:t>
      </w:r>
      <w:r>
        <w:rPr>
          <w:spacing w:val="-92"/>
          <w:w w:val="190"/>
          <w:sz w:val="26"/>
        </w:rPr>
        <w:t> </w:t>
      </w:r>
      <w:r>
        <w:rPr>
          <w:rFonts w:ascii="Arial"/>
          <w:w w:val="105"/>
          <w:sz w:val="60"/>
        </w:rPr>
        <w:t>f</w:t>
      </w:r>
      <w:r>
        <w:rPr>
          <w:rFonts w:ascii="Arial"/>
          <w:spacing w:val="-121"/>
          <w:w w:val="105"/>
          <w:sz w:val="60"/>
        </w:rPr>
        <w:t> </w:t>
      </w:r>
      <w:r>
        <w:rPr>
          <w:w w:val="85"/>
          <w:sz w:val="17"/>
        </w:rPr>
        <w:t>J.&amp;:n-e </w:t>
      </w:r>
      <w:r>
        <w:rPr>
          <w:rFonts w:ascii="Arial"/>
          <w:i/>
          <w:w w:val="105"/>
          <w:sz w:val="21"/>
        </w:rPr>
        <w:t>dt.</w:t>
      </w:r>
    </w:p>
    <w:p>
      <w:pPr>
        <w:pStyle w:val="BodyText"/>
        <w:spacing w:before="1"/>
        <w:rPr>
          <w:rFonts w:ascii="Arial"/>
          <w:i/>
          <w:sz w:val="25"/>
        </w:rPr>
      </w:pPr>
      <w:r>
        <w:rPr/>
        <w:br w:type="column"/>
      </w:r>
      <w:r>
        <w:rPr>
          <w:rFonts w:ascii="Arial"/>
          <w:i/>
          <w:sz w:val="25"/>
        </w:rPr>
      </w:r>
    </w:p>
    <w:p>
      <w:pPr>
        <w:spacing w:before="0"/>
        <w:ind w:left="0" w:right="110" w:firstLine="0"/>
        <w:jc w:val="right"/>
        <w:rPr>
          <w:rFonts w:ascii="Arial"/>
          <w:sz w:val="18"/>
        </w:rPr>
      </w:pPr>
      <w:r>
        <w:rPr>
          <w:rFonts w:ascii="Arial"/>
          <w:w w:val="105"/>
          <w:sz w:val="18"/>
        </w:rPr>
        <w:t>( 1.18)</w:t>
      </w:r>
    </w:p>
    <w:p>
      <w:pPr>
        <w:spacing w:after="0"/>
        <w:jc w:val="right"/>
        <w:rPr>
          <w:rFonts w:ascii="Arial"/>
          <w:sz w:val="18"/>
        </w:rPr>
        <w:sectPr>
          <w:type w:val="continuous"/>
          <w:pgSz w:w="7200" w:h="11340"/>
          <w:pgMar w:top="1100" w:bottom="0" w:left="660" w:right="560"/>
          <w:cols w:num="2" w:equalWidth="0">
            <w:col w:w="3989" w:space="40"/>
            <w:col w:w="1951"/>
          </w:cols>
        </w:sectPr>
      </w:pPr>
    </w:p>
    <w:p>
      <w:pPr>
        <w:spacing w:line="139" w:lineRule="auto" w:before="223"/>
        <w:ind w:left="110" w:right="94" w:firstLine="0"/>
        <w:jc w:val="left"/>
        <w:rPr>
          <w:sz w:val="21"/>
        </w:rPr>
      </w:pPr>
      <w:r>
        <w:rPr>
          <w:sz w:val="21"/>
        </w:rPr>
        <w:t>The definite integral represents the mea.n value of </w:t>
      </w:r>
      <w:r>
        <w:rPr>
          <w:rFonts w:ascii="Arial" w:hAnsi="Arial"/>
          <w:i/>
          <w:sz w:val="15"/>
        </w:rPr>
        <w:t>µ. </w:t>
      </w:r>
      <w:r>
        <w:rPr>
          <w:sz w:val="21"/>
        </w:rPr>
        <w:t>between the ages </w:t>
      </w:r>
      <w:r>
        <w:rPr>
          <w:i/>
          <w:sz w:val="19"/>
        </w:rPr>
        <w:t>x  </w:t>
      </w:r>
      <w:r>
        <w:rPr>
          <w:sz w:val="21"/>
        </w:rPr>
        <w:t>and </w:t>
      </w:r>
      <w:r>
        <w:rPr>
          <w:i/>
          <w:sz w:val="19"/>
        </w:rPr>
        <w:t>x  </w:t>
      </w:r>
      <w:r>
        <w:rPr>
          <w:rFonts w:ascii="Arial" w:hAnsi="Arial"/>
          <w:sz w:val="32"/>
        </w:rPr>
        <w:t>+ </w:t>
      </w:r>
      <w:r>
        <w:rPr>
          <w:sz w:val="20"/>
        </w:rPr>
        <w:t>1. </w:t>
      </w:r>
      <w:r>
        <w:rPr>
          <w:sz w:val="21"/>
        </w:rPr>
        <w:t>If  we approximate  this mean value  by  </w:t>
      </w:r>
      <w:r>
        <w:rPr>
          <w:rFonts w:ascii="Arial" w:hAnsi="Arial"/>
          <w:spacing w:val="-5"/>
          <w:sz w:val="15"/>
        </w:rPr>
        <w:t>µ:i:+t  </w:t>
      </w:r>
      <w:r>
        <w:rPr>
          <w:rFonts w:ascii="Arial" w:hAnsi="Arial"/>
          <w:w w:val="170"/>
          <w:sz w:val="15"/>
        </w:rPr>
        <w:t>,</w:t>
      </w:r>
      <w:r>
        <w:rPr>
          <w:rFonts w:ascii="Arial" w:hAnsi="Arial"/>
          <w:spacing w:val="-57"/>
          <w:w w:val="170"/>
          <w:sz w:val="15"/>
        </w:rPr>
        <w:t> </w:t>
      </w:r>
      <w:r>
        <w:rPr>
          <w:sz w:val="21"/>
        </w:rPr>
        <w:t>we</w:t>
      </w:r>
    </w:p>
    <w:p>
      <w:pPr>
        <w:spacing w:before="6"/>
        <w:ind w:left="114" w:right="739" w:firstLine="0"/>
        <w:jc w:val="left"/>
        <w:rPr>
          <w:rFonts w:ascii="Arial"/>
          <w:sz w:val="11"/>
        </w:rPr>
      </w:pPr>
      <w:r>
        <w:rPr>
          <w:w w:val="105"/>
          <w:sz w:val="21"/>
        </w:rPr>
        <w:t>have</w:t>
      </w:r>
      <w:r>
        <w:rPr>
          <w:rFonts w:ascii="Arial"/>
          <w:w w:val="105"/>
          <w:position w:val="9"/>
          <w:sz w:val="11"/>
        </w:rPr>
        <w:t>2</w:t>
      </w:r>
    </w:p>
    <w:p>
      <w:pPr>
        <w:spacing w:after="0"/>
        <w:jc w:val="left"/>
        <w:rPr>
          <w:rFonts w:ascii="Arial"/>
          <w:sz w:val="11"/>
        </w:rPr>
        <w:sectPr>
          <w:type w:val="continuous"/>
          <w:pgSz w:w="7200" w:h="11340"/>
          <w:pgMar w:top="1100" w:bottom="0" w:left="660" w:right="560"/>
        </w:sectPr>
      </w:pPr>
    </w:p>
    <w:p>
      <w:pPr>
        <w:spacing w:before="81"/>
        <w:ind w:left="1524" w:right="405" w:firstLine="0"/>
        <w:jc w:val="center"/>
        <w:rPr>
          <w:rFonts w:ascii="Arial" w:hAnsi="Arial"/>
          <w:sz w:val="19"/>
        </w:rPr>
      </w:pPr>
      <w:r>
        <w:rPr>
          <w:i/>
          <w:w w:val="118"/>
          <w:sz w:val="15"/>
        </w:rPr>
        <w:t>l'z+t</w:t>
      </w:r>
      <w:r>
        <w:rPr>
          <w:i/>
          <w:sz w:val="15"/>
        </w:rPr>
        <w:t>  </w:t>
      </w:r>
      <w:r>
        <w:rPr>
          <w:i/>
          <w:spacing w:val="-11"/>
          <w:sz w:val="15"/>
        </w:rPr>
        <w:t> </w:t>
      </w:r>
      <w:r>
        <w:rPr>
          <w:rFonts w:ascii="Arial" w:hAnsi="Arial"/>
          <w:w w:val="70"/>
          <w:sz w:val="26"/>
        </w:rPr>
        <w:t>=:</w:t>
      </w:r>
      <w:r>
        <w:rPr>
          <w:rFonts w:ascii="Arial" w:hAnsi="Arial"/>
          <w:spacing w:val="31"/>
          <w:sz w:val="26"/>
        </w:rPr>
        <w:t> </w:t>
      </w:r>
      <w:r>
        <w:rPr>
          <w:rFonts w:ascii="Arial" w:hAnsi="Arial"/>
          <w:spacing w:val="1"/>
          <w:w w:val="201"/>
          <w:sz w:val="26"/>
        </w:rPr>
        <w:t>-</w:t>
      </w:r>
      <w:r>
        <w:rPr>
          <w:w w:val="96"/>
          <w:sz w:val="21"/>
        </w:rPr>
        <w:t>log</w:t>
      </w:r>
      <w:r>
        <w:rPr>
          <w:spacing w:val="-7"/>
          <w:sz w:val="21"/>
        </w:rPr>
        <w:t> </w:t>
      </w:r>
      <w:r>
        <w:rPr>
          <w:rFonts w:ascii="Arial" w:hAnsi="Arial"/>
          <w:i/>
          <w:spacing w:val="3"/>
          <w:w w:val="101"/>
          <w:sz w:val="19"/>
        </w:rPr>
        <w:t>p</w:t>
      </w:r>
      <w:r>
        <w:rPr>
          <w:rFonts w:ascii="Arial" w:hAnsi="Arial"/>
          <w:i/>
          <w:w w:val="142"/>
          <w:sz w:val="19"/>
        </w:rPr>
        <w:t>•</w:t>
      </w:r>
      <w:r>
        <w:rPr>
          <w:rFonts w:ascii="Arial" w:hAnsi="Arial"/>
          <w:i/>
          <w:spacing w:val="-15"/>
          <w:sz w:val="19"/>
        </w:rPr>
        <w:t> </w:t>
      </w:r>
      <w:r>
        <w:rPr>
          <w:rFonts w:ascii="Arial" w:hAnsi="Arial"/>
          <w:w w:val="186"/>
          <w:sz w:val="19"/>
        </w:rPr>
        <w:t>.</w:t>
      </w:r>
    </w:p>
    <w:p>
      <w:pPr>
        <w:spacing w:line="237" w:lineRule="exact" w:before="92"/>
        <w:ind w:left="117" w:right="-14" w:firstLine="0"/>
        <w:jc w:val="left"/>
        <w:rPr>
          <w:sz w:val="21"/>
        </w:rPr>
      </w:pPr>
      <w:r>
        <w:rPr>
          <w:w w:val="105"/>
          <w:sz w:val="22"/>
        </w:rPr>
        <w:t>If </w:t>
      </w:r>
      <w:r>
        <w:rPr>
          <w:w w:val="105"/>
          <w:sz w:val="21"/>
        </w:rPr>
        <w:t>we integrate </w:t>
      </w:r>
      <w:r>
        <w:rPr>
          <w:i/>
          <w:w w:val="105"/>
          <w:sz w:val="15"/>
        </w:rPr>
        <w:t>Jl.z+e  </w:t>
      </w:r>
      <w:r>
        <w:rPr>
          <w:w w:val="105"/>
          <w:sz w:val="21"/>
        </w:rPr>
        <w:t>between </w:t>
      </w:r>
      <w:r>
        <w:rPr>
          <w:i/>
          <w:w w:val="105"/>
          <w:sz w:val="22"/>
        </w:rPr>
        <w:t>t </w:t>
      </w:r>
      <w:r>
        <w:rPr>
          <w:rFonts w:ascii="Arial"/>
          <w:w w:val="135"/>
          <w:sz w:val="17"/>
        </w:rPr>
        <w:t>= </w:t>
      </w:r>
      <w:r>
        <w:rPr>
          <w:rFonts w:ascii="Arial"/>
          <w:w w:val="135"/>
          <w:sz w:val="19"/>
        </w:rPr>
        <w:t>-1</w:t>
      </w:r>
      <w:r>
        <w:rPr>
          <w:w w:val="135"/>
          <w:sz w:val="21"/>
        </w:rPr>
        <w:t>and </w:t>
      </w:r>
      <w:r>
        <w:rPr>
          <w:i/>
          <w:w w:val="105"/>
          <w:sz w:val="22"/>
        </w:rPr>
        <w:t>t </w:t>
      </w:r>
      <w:r>
        <w:rPr>
          <w:rFonts w:ascii="Arial"/>
          <w:w w:val="135"/>
          <w:sz w:val="17"/>
        </w:rPr>
        <w:t>= </w:t>
      </w:r>
      <w:r>
        <w:rPr>
          <w:rFonts w:ascii="Arial"/>
          <w:spacing w:val="-5"/>
          <w:w w:val="105"/>
          <w:sz w:val="19"/>
        </w:rPr>
        <w:t>1,</w:t>
      </w:r>
      <w:r>
        <w:rPr>
          <w:spacing w:val="-5"/>
          <w:w w:val="105"/>
          <w:sz w:val="21"/>
        </w:rPr>
        <w:t>we</w:t>
      </w:r>
      <w:r>
        <w:rPr>
          <w:spacing w:val="-13"/>
          <w:w w:val="105"/>
          <w:sz w:val="21"/>
        </w:rPr>
        <w:t> </w:t>
      </w:r>
      <w:r>
        <w:rPr>
          <w:w w:val="105"/>
          <w:sz w:val="21"/>
        </w:rPr>
        <w:t>find</w:t>
      </w:r>
    </w:p>
    <w:p>
      <w:pPr>
        <w:spacing w:line="582" w:lineRule="exact" w:before="0"/>
        <w:ind w:left="1524" w:right="456" w:firstLine="0"/>
        <w:jc w:val="center"/>
        <w:rPr>
          <w:rFonts w:ascii="Arial"/>
          <w:i/>
          <w:sz w:val="18"/>
        </w:rPr>
      </w:pPr>
      <w:r>
        <w:rPr>
          <w:rFonts w:ascii="Arial"/>
          <w:i/>
          <w:w w:val="50"/>
          <w:sz w:val="52"/>
        </w:rPr>
        <w:t>L:</w:t>
      </w:r>
      <w:r>
        <w:rPr>
          <w:rFonts w:ascii="Arial"/>
          <w:i/>
          <w:spacing w:val="-96"/>
          <w:sz w:val="52"/>
        </w:rPr>
        <w:t> </w:t>
      </w:r>
      <w:r>
        <w:rPr>
          <w:rFonts w:ascii="Arial"/>
          <w:w w:val="83"/>
          <w:sz w:val="15"/>
        </w:rPr>
        <w:t>P:i:+e</w:t>
      </w:r>
      <w:r>
        <w:rPr>
          <w:rFonts w:ascii="Arial"/>
          <w:spacing w:val="18"/>
          <w:sz w:val="15"/>
        </w:rPr>
        <w:t> </w:t>
      </w:r>
      <w:r>
        <w:rPr>
          <w:rFonts w:ascii="Arial"/>
          <w:i/>
          <w:w w:val="89"/>
          <w:sz w:val="21"/>
        </w:rPr>
        <w:t>dt</w:t>
      </w:r>
      <w:r>
        <w:rPr>
          <w:rFonts w:ascii="Arial"/>
          <w:i/>
          <w:sz w:val="21"/>
        </w:rPr>
        <w:t> </w:t>
      </w:r>
      <w:r>
        <w:rPr>
          <w:rFonts w:ascii="Arial"/>
          <w:i/>
          <w:spacing w:val="-15"/>
          <w:sz w:val="21"/>
        </w:rPr>
        <w:t> </w:t>
      </w:r>
      <w:r>
        <w:rPr>
          <w:w w:val="92"/>
          <w:sz w:val="26"/>
        </w:rPr>
        <w:t>=</w:t>
      </w:r>
      <w:r>
        <w:rPr>
          <w:sz w:val="26"/>
        </w:rPr>
        <w:t> </w:t>
      </w:r>
      <w:r>
        <w:rPr>
          <w:spacing w:val="-4"/>
          <w:sz w:val="26"/>
        </w:rPr>
        <w:t> </w:t>
      </w:r>
      <w:r>
        <w:rPr>
          <w:spacing w:val="-12"/>
          <w:w w:val="216"/>
          <w:sz w:val="26"/>
        </w:rPr>
        <w:t>-</w:t>
      </w:r>
      <w:r>
        <w:rPr>
          <w:w w:val="93"/>
          <w:sz w:val="21"/>
        </w:rPr>
        <w:t>log</w:t>
      </w:r>
      <w:r>
        <w:rPr>
          <w:spacing w:val="12"/>
          <w:sz w:val="21"/>
        </w:rPr>
        <w:t> </w:t>
      </w:r>
      <w:r>
        <w:rPr>
          <w:i/>
          <w:w w:val="105"/>
          <w:sz w:val="20"/>
        </w:rPr>
        <w:t>Pz</w:t>
      </w:r>
      <w:r>
        <w:rPr>
          <w:i/>
          <w:spacing w:val="2"/>
          <w:w w:val="105"/>
          <w:sz w:val="20"/>
        </w:rPr>
        <w:t>-</w:t>
      </w:r>
      <w:r>
        <w:rPr>
          <w:i/>
          <w:w w:val="64"/>
          <w:sz w:val="20"/>
        </w:rPr>
        <w:t>1</w:t>
      </w:r>
      <w:r>
        <w:rPr>
          <w:i/>
          <w:sz w:val="20"/>
        </w:rPr>
        <w:t> </w:t>
      </w:r>
      <w:r>
        <w:rPr>
          <w:i/>
          <w:spacing w:val="-20"/>
          <w:sz w:val="20"/>
        </w:rPr>
        <w:t> </w:t>
      </w:r>
      <w:r>
        <w:rPr>
          <w:w w:val="282"/>
          <w:sz w:val="20"/>
        </w:rPr>
        <w:t>-</w:t>
      </w:r>
      <w:r>
        <w:rPr>
          <w:spacing w:val="6"/>
          <w:sz w:val="20"/>
        </w:rPr>
        <w:t> </w:t>
      </w:r>
      <w:r>
        <w:rPr>
          <w:w w:val="96"/>
          <w:sz w:val="21"/>
        </w:rPr>
        <w:t>log</w:t>
      </w:r>
      <w:r>
        <w:rPr>
          <w:spacing w:val="4"/>
          <w:sz w:val="21"/>
        </w:rPr>
        <w:t> </w:t>
      </w:r>
      <w:r>
        <w:rPr>
          <w:rFonts w:ascii="Arial"/>
          <w:i/>
          <w:w w:val="134"/>
          <w:sz w:val="18"/>
        </w:rPr>
        <w:t>p.</w:t>
      </w:r>
    </w:p>
    <w:p>
      <w:pPr>
        <w:spacing w:before="136"/>
        <w:ind w:left="117" w:right="0" w:firstLine="0"/>
        <w:jc w:val="left"/>
        <w:rPr>
          <w:rFonts w:ascii="Arial"/>
          <w:sz w:val="19"/>
        </w:rPr>
      </w:pPr>
      <w:r>
        <w:rPr/>
        <w:br w:type="column"/>
      </w:r>
      <w:r>
        <w:rPr>
          <w:rFonts w:ascii="Arial"/>
          <w:w w:val="105"/>
          <w:sz w:val="19"/>
        </w:rPr>
        <w:t>(1.19a)</w:t>
      </w:r>
    </w:p>
    <w:p>
      <w:pPr>
        <w:spacing w:after="0"/>
        <w:jc w:val="left"/>
        <w:rPr>
          <w:rFonts w:ascii="Arial"/>
          <w:sz w:val="19"/>
        </w:rPr>
        <w:sectPr>
          <w:type w:val="continuous"/>
          <w:pgSz w:w="7200" w:h="11340"/>
          <w:pgMar w:top="1100" w:bottom="0" w:left="660" w:right="560"/>
          <w:cols w:num="2" w:equalWidth="0">
            <w:col w:w="4881" w:space="245"/>
            <w:col w:w="854"/>
          </w:cols>
        </w:sectPr>
      </w:pPr>
    </w:p>
    <w:p>
      <w:pPr>
        <w:spacing w:line="189" w:lineRule="exact" w:before="154"/>
        <w:ind w:left="114" w:right="0" w:firstLine="0"/>
        <w:jc w:val="left"/>
        <w:rPr>
          <w:sz w:val="21"/>
        </w:rPr>
      </w:pPr>
      <w:r>
        <w:rPr>
          <w:w w:val="105"/>
          <w:sz w:val="21"/>
        </w:rPr>
        <w:t>and this is twice the mean valuc of </w:t>
      </w:r>
      <w:r>
        <w:rPr>
          <w:i/>
          <w:w w:val="105"/>
          <w:sz w:val="17"/>
        </w:rPr>
        <w:t>µ </w:t>
      </w:r>
      <w:r>
        <w:rPr>
          <w:w w:val="105"/>
          <w:sz w:val="21"/>
        </w:rPr>
        <w:t>between the </w:t>
      </w:r>
      <w:r>
        <w:rPr>
          <w:w w:val="105"/>
          <w:sz w:val="20"/>
        </w:rPr>
        <w:t>ages </w:t>
      </w:r>
      <w:r>
        <w:rPr>
          <w:rFonts w:ascii="Arial" w:hAnsi="Arial"/>
          <w:i/>
          <w:w w:val="105"/>
          <w:sz w:val="17"/>
        </w:rPr>
        <w:t>x  </w:t>
      </w:r>
      <w:r>
        <w:rPr>
          <w:rFonts w:ascii="Arial" w:hAnsi="Arial"/>
          <w:w w:val="275"/>
          <w:sz w:val="17"/>
        </w:rPr>
        <w:t>- </w:t>
      </w:r>
      <w:r>
        <w:rPr>
          <w:w w:val="105"/>
          <w:sz w:val="20"/>
        </w:rPr>
        <w:t>1 </w:t>
      </w:r>
      <w:r>
        <w:rPr>
          <w:w w:val="105"/>
          <w:sz w:val="21"/>
        </w:rPr>
        <w:t>and</w:t>
      </w:r>
    </w:p>
    <w:p>
      <w:pPr>
        <w:spacing w:line="316" w:lineRule="exact" w:before="0"/>
        <w:ind w:left="110" w:right="739" w:firstLine="0"/>
        <w:jc w:val="left"/>
        <w:rPr>
          <w:sz w:val="21"/>
        </w:rPr>
      </w:pPr>
      <w:r>
        <w:rPr>
          <w:i/>
          <w:w w:val="105"/>
          <w:sz w:val="20"/>
        </w:rPr>
        <w:t>x </w:t>
      </w:r>
      <w:r>
        <w:rPr>
          <w:rFonts w:ascii="Arial"/>
          <w:w w:val="105"/>
          <w:sz w:val="32"/>
        </w:rPr>
        <w:t>+</w:t>
      </w:r>
      <w:r>
        <w:rPr>
          <w:rFonts w:ascii="Arial"/>
          <w:spacing w:val="-69"/>
          <w:w w:val="105"/>
          <w:sz w:val="32"/>
        </w:rPr>
        <w:t> </w:t>
      </w:r>
      <w:r>
        <w:rPr>
          <w:w w:val="105"/>
          <w:sz w:val="20"/>
        </w:rPr>
        <w:t>1. </w:t>
      </w:r>
      <w:r>
        <w:rPr>
          <w:w w:val="105"/>
          <w:sz w:val="21"/>
        </w:rPr>
        <w:t>This leads </w:t>
      </w:r>
      <w:r>
        <w:rPr>
          <w:w w:val="105"/>
          <w:sz w:val="22"/>
        </w:rPr>
        <w:t>to </w:t>
      </w:r>
      <w:r>
        <w:rPr>
          <w:w w:val="105"/>
          <w:sz w:val="21"/>
        </w:rPr>
        <w:t>the following approximation:</w:t>
      </w:r>
    </w:p>
    <w:p>
      <w:pPr>
        <w:spacing w:line="305" w:lineRule="exact" w:before="46"/>
        <w:ind w:left="74" w:right="41" w:firstLine="0"/>
        <w:jc w:val="center"/>
        <w:rPr>
          <w:i/>
          <w:sz w:val="20"/>
        </w:rPr>
      </w:pPr>
      <w:r>
        <w:rPr>
          <w:i/>
          <w:w w:val="42"/>
          <w:sz w:val="20"/>
        </w:rPr>
        <w:t>J.&amp;z</w:t>
      </w:r>
      <w:r>
        <w:rPr>
          <w:i/>
          <w:sz w:val="20"/>
        </w:rPr>
        <w:t> </w:t>
      </w:r>
      <w:r>
        <w:rPr>
          <w:i/>
          <w:spacing w:val="6"/>
          <w:sz w:val="20"/>
        </w:rPr>
        <w:t> </w:t>
      </w:r>
      <w:r>
        <w:rPr>
          <w:rFonts w:ascii="Arial"/>
          <w:w w:val="88"/>
          <w:sz w:val="21"/>
        </w:rPr>
        <w:t>=;</w:t>
      </w:r>
      <w:r>
        <w:rPr>
          <w:rFonts w:ascii="Arial"/>
          <w:sz w:val="21"/>
        </w:rPr>
        <w:t> </w:t>
      </w:r>
      <w:r>
        <w:rPr>
          <w:rFonts w:ascii="Arial"/>
          <w:spacing w:val="-19"/>
          <w:sz w:val="21"/>
        </w:rPr>
        <w:t> </w:t>
      </w:r>
      <w:r>
        <w:rPr>
          <w:rFonts w:ascii="Arial"/>
          <w:spacing w:val="9"/>
          <w:w w:val="243"/>
          <w:sz w:val="21"/>
        </w:rPr>
        <w:t>-</w:t>
      </w:r>
      <w:r>
        <w:rPr>
          <w:w w:val="103"/>
          <w:sz w:val="29"/>
        </w:rPr>
        <w:t>t</w:t>
      </w:r>
      <w:r>
        <w:rPr>
          <w:spacing w:val="-31"/>
          <w:sz w:val="29"/>
        </w:rPr>
        <w:t> </w:t>
      </w:r>
      <w:r>
        <w:rPr>
          <w:w w:val="95"/>
          <w:sz w:val="21"/>
        </w:rPr>
        <w:t>(</w:t>
      </w:r>
      <w:r>
        <w:rPr>
          <w:w w:val="95"/>
          <w:sz w:val="21"/>
        </w:rPr>
        <w:t>log</w:t>
      </w:r>
      <w:r>
        <w:rPr>
          <w:spacing w:val="-7"/>
          <w:sz w:val="21"/>
        </w:rPr>
        <w:t> </w:t>
      </w:r>
      <w:r>
        <w:rPr>
          <w:rFonts w:ascii="Arial"/>
          <w:w w:val="84"/>
          <w:sz w:val="19"/>
        </w:rPr>
        <w:t>P:i:</w:t>
      </w:r>
      <w:r>
        <w:rPr>
          <w:rFonts w:ascii="Arial"/>
          <w:spacing w:val="-6"/>
          <w:w w:val="84"/>
          <w:sz w:val="19"/>
        </w:rPr>
        <w:t>-</w:t>
      </w:r>
      <w:r>
        <w:rPr>
          <w:rFonts w:ascii="Arial"/>
          <w:w w:val="97"/>
          <w:sz w:val="19"/>
        </w:rPr>
        <w:t>1</w:t>
      </w:r>
      <w:r>
        <w:rPr>
          <w:rFonts w:ascii="Arial"/>
          <w:spacing w:val="-20"/>
          <w:sz w:val="19"/>
        </w:rPr>
        <w:t> </w:t>
      </w:r>
      <w:r>
        <w:rPr>
          <w:rFonts w:ascii="Arial"/>
          <w:w w:val="102"/>
          <w:sz w:val="32"/>
        </w:rPr>
        <w:t>+</w:t>
      </w:r>
      <w:r>
        <w:rPr>
          <w:rFonts w:ascii="Arial"/>
          <w:spacing w:val="-30"/>
          <w:sz w:val="32"/>
        </w:rPr>
        <w:t> </w:t>
      </w:r>
      <w:r>
        <w:rPr>
          <w:w w:val="95"/>
          <w:sz w:val="21"/>
        </w:rPr>
        <w:t>log</w:t>
      </w:r>
      <w:r>
        <w:rPr>
          <w:spacing w:val="-4"/>
          <w:sz w:val="21"/>
        </w:rPr>
        <w:t> </w:t>
      </w:r>
      <w:r>
        <w:rPr>
          <w:i/>
          <w:w w:val="83"/>
          <w:sz w:val="20"/>
        </w:rPr>
        <w:t>Pz</w:t>
      </w:r>
      <w:r>
        <w:rPr>
          <w:i/>
          <w:spacing w:val="-13"/>
          <w:sz w:val="20"/>
        </w:rPr>
        <w:t> </w:t>
      </w:r>
      <w:r>
        <w:rPr>
          <w:i/>
          <w:w w:val="69"/>
          <w:sz w:val="20"/>
        </w:rPr>
        <w:t>)</w:t>
      </w:r>
    </w:p>
    <w:p>
      <w:pPr>
        <w:spacing w:after="0" w:line="305" w:lineRule="exact"/>
        <w:jc w:val="center"/>
        <w:rPr>
          <w:sz w:val="20"/>
        </w:rPr>
        <w:sectPr>
          <w:type w:val="continuous"/>
          <w:pgSz w:w="7200" w:h="11340"/>
          <w:pgMar w:top="1100" w:bottom="0" w:left="660" w:right="560"/>
        </w:sectPr>
      </w:pPr>
    </w:p>
    <w:p>
      <w:pPr>
        <w:spacing w:before="90"/>
        <w:ind w:left="2058" w:right="0" w:firstLine="0"/>
        <w:jc w:val="left"/>
        <w:rPr>
          <w:rFonts w:ascii="Arial"/>
          <w:sz w:val="19"/>
        </w:rPr>
      </w:pPr>
      <w:r>
        <w:rPr>
          <w:w w:val="85"/>
          <w:sz w:val="28"/>
        </w:rPr>
        <w:t>=</w:t>
      </w:r>
      <w:r>
        <w:rPr>
          <w:spacing w:val="-24"/>
          <w:sz w:val="28"/>
        </w:rPr>
        <w:t> </w:t>
      </w:r>
      <w:r>
        <w:rPr>
          <w:spacing w:val="-172"/>
          <w:w w:val="264"/>
          <w:sz w:val="27"/>
        </w:rPr>
        <w:t>!</w:t>
      </w:r>
      <w:r>
        <w:rPr>
          <w:w w:val="94"/>
          <w:sz w:val="21"/>
        </w:rPr>
        <w:t>(</w:t>
      </w:r>
      <w:r>
        <w:rPr>
          <w:w w:val="94"/>
          <w:sz w:val="21"/>
        </w:rPr>
        <w:t>lo</w:t>
      </w:r>
      <w:r>
        <w:rPr>
          <w:spacing w:val="-19"/>
          <w:w w:val="94"/>
          <w:sz w:val="21"/>
        </w:rPr>
        <w:t>g</w:t>
      </w:r>
      <w:r>
        <w:rPr>
          <w:rFonts w:ascii="Arial"/>
          <w:spacing w:val="-148"/>
          <w:w w:val="298"/>
          <w:sz w:val="19"/>
        </w:rPr>
        <w:t>l</w:t>
      </w:r>
      <w:r>
        <w:rPr>
          <w:rFonts w:ascii="Arial"/>
          <w:w w:val="81"/>
          <w:sz w:val="19"/>
        </w:rPr>
        <w:t>:i:</w:t>
      </w:r>
      <w:r>
        <w:rPr>
          <w:rFonts w:ascii="Arial"/>
          <w:spacing w:val="-11"/>
          <w:w w:val="81"/>
          <w:sz w:val="19"/>
        </w:rPr>
        <w:t>-</w:t>
      </w:r>
      <w:r>
        <w:rPr>
          <w:rFonts w:ascii="Arial"/>
          <w:w w:val="97"/>
          <w:sz w:val="19"/>
        </w:rPr>
        <w:t>1</w:t>
      </w:r>
      <w:r>
        <w:rPr>
          <w:rFonts w:ascii="Arial"/>
          <w:spacing w:val="-9"/>
          <w:sz w:val="19"/>
        </w:rPr>
        <w:t> </w:t>
      </w:r>
      <w:r>
        <w:rPr>
          <w:rFonts w:ascii="Arial"/>
          <w:w w:val="262"/>
          <w:sz w:val="19"/>
        </w:rPr>
        <w:t>-</w:t>
      </w:r>
      <w:r>
        <w:rPr>
          <w:rFonts w:ascii="Arial"/>
          <w:spacing w:val="18"/>
          <w:sz w:val="19"/>
        </w:rPr>
        <w:t> </w:t>
      </w:r>
      <w:r>
        <w:rPr>
          <w:w w:val="96"/>
          <w:sz w:val="21"/>
        </w:rPr>
        <w:t>lo</w:t>
      </w:r>
      <w:r>
        <w:rPr>
          <w:spacing w:val="-65"/>
          <w:w w:val="97"/>
          <w:sz w:val="21"/>
        </w:rPr>
        <w:t>g</w:t>
      </w:r>
      <w:r>
        <w:rPr>
          <w:rFonts w:ascii="Arial"/>
          <w:spacing w:val="-193"/>
          <w:w w:val="320"/>
          <w:sz w:val="19"/>
        </w:rPr>
        <w:t>l</w:t>
      </w:r>
      <w:r>
        <w:rPr>
          <w:rFonts w:ascii="Arial"/>
          <w:w w:val="72"/>
          <w:sz w:val="19"/>
        </w:rPr>
        <w:t>:i:</w:t>
      </w:r>
      <w:r>
        <w:rPr>
          <w:rFonts w:ascii="Arial"/>
          <w:spacing w:val="-13"/>
          <w:w w:val="72"/>
          <w:sz w:val="19"/>
        </w:rPr>
        <w:t>+</w:t>
      </w:r>
      <w:r>
        <w:rPr>
          <w:rFonts w:ascii="Arial"/>
          <w:w w:val="102"/>
          <w:sz w:val="19"/>
        </w:rPr>
        <w:t>1</w:t>
      </w:r>
      <w:r>
        <w:rPr>
          <w:rFonts w:ascii="Arial"/>
          <w:w w:val="102"/>
          <w:sz w:val="19"/>
        </w:rPr>
        <w:t>)</w:t>
      </w:r>
      <w:r>
        <w:rPr>
          <w:rFonts w:ascii="Arial"/>
          <w:w w:val="102"/>
          <w:sz w:val="19"/>
        </w:rPr>
        <w:t>.</w:t>
      </w:r>
    </w:p>
    <w:p>
      <w:pPr>
        <w:pStyle w:val="BodyText"/>
        <w:spacing w:line="204" w:lineRule="exact"/>
        <w:ind w:left="1020"/>
      </w:pPr>
      <w:r>
        <w:rPr/>
        <w:br w:type="column"/>
      </w:r>
      <w:r>
        <w:rPr>
          <w:w w:val="110"/>
        </w:rPr>
        <w:t>(1.19b)</w:t>
      </w:r>
    </w:p>
    <w:p>
      <w:pPr>
        <w:spacing w:after="0" w:line="204" w:lineRule="exact"/>
        <w:sectPr>
          <w:type w:val="continuous"/>
          <w:pgSz w:w="7200" w:h="11340"/>
          <w:pgMar w:top="1100" w:bottom="0" w:left="660" w:right="560"/>
          <w:cols w:num="2" w:equalWidth="0">
            <w:col w:w="4184" w:space="40"/>
            <w:col w:w="1756"/>
          </w:cols>
        </w:sectPr>
      </w:pPr>
    </w:p>
    <w:p>
      <w:pPr>
        <w:spacing w:line="238" w:lineRule="exact" w:before="138"/>
        <w:ind w:left="114" w:right="0" w:hanging="4"/>
        <w:jc w:val="left"/>
        <w:rPr>
          <w:sz w:val="21"/>
        </w:rPr>
      </w:pPr>
      <w:r>
        <w:rPr>
          <w:sz w:val="21"/>
        </w:rPr>
        <w:t>Other approximations for </w:t>
      </w:r>
      <w:r>
        <w:rPr>
          <w:rFonts w:ascii="Arial"/>
          <w:w w:val="90"/>
          <w:sz w:val="15"/>
        </w:rPr>
        <w:t>J.&amp;:i: </w:t>
      </w:r>
      <w:r>
        <w:rPr>
          <w:sz w:val="21"/>
        </w:rPr>
        <w:t>can be derived by the use of numerical methods. A simple approximation  for </w:t>
      </w:r>
      <w:r>
        <w:rPr>
          <w:rFonts w:ascii="Arial"/>
          <w:i/>
          <w:sz w:val="24"/>
        </w:rPr>
        <w:t>DJ. </w:t>
      </w:r>
      <w:r>
        <w:rPr>
          <w:sz w:val="21"/>
        </w:rPr>
        <w:t>is</w:t>
      </w:r>
    </w:p>
    <w:p>
      <w:pPr>
        <w:pStyle w:val="BodyText"/>
        <w:spacing w:before="7"/>
        <w:rPr>
          <w:sz w:val="10"/>
        </w:rPr>
      </w:pPr>
      <w:r>
        <w:rPr/>
        <w:drawing>
          <wp:anchor distT="0" distB="0" distL="0" distR="0" allowOverlap="1" layoutInCell="1" locked="0" behindDoc="0" simplePos="0" relativeHeight="2032">
            <wp:simplePos x="0" y="0"/>
            <wp:positionH relativeFrom="page">
              <wp:posOffset>1645920</wp:posOffset>
            </wp:positionH>
            <wp:positionV relativeFrom="paragraph">
              <wp:posOffset>102361</wp:posOffset>
            </wp:positionV>
            <wp:extent cx="1316735" cy="274319"/>
            <wp:effectExtent l="0" t="0" r="0" b="0"/>
            <wp:wrapTopAndBottom/>
            <wp:docPr id="7" name="image7.png" descr=""/>
            <wp:cNvGraphicFramePr>
              <a:graphicFrameLocks noChangeAspect="1"/>
            </wp:cNvGraphicFramePr>
            <a:graphic>
              <a:graphicData uri="http://schemas.openxmlformats.org/drawingml/2006/picture">
                <pic:pic>
                  <pic:nvPicPr>
                    <pic:cNvPr id="8" name="image7.png"/>
                    <pic:cNvPicPr/>
                  </pic:nvPicPr>
                  <pic:blipFill>
                    <a:blip r:embed="rId11" cstate="print"/>
                    <a:stretch>
                      <a:fillRect/>
                    </a:stretch>
                  </pic:blipFill>
                  <pic:spPr>
                    <a:xfrm>
                      <a:off x="0" y="0"/>
                      <a:ext cx="1316735" cy="274319"/>
                    </a:xfrm>
                    <a:prstGeom prst="rect">
                      <a:avLst/>
                    </a:prstGeom>
                  </pic:spPr>
                </pic:pic>
              </a:graphicData>
            </a:graphic>
          </wp:anchor>
        </w:drawing>
      </w:r>
    </w:p>
    <w:p>
      <w:pPr>
        <w:pStyle w:val="BodyText"/>
        <w:spacing w:before="6"/>
        <w:rPr>
          <w:sz w:val="6"/>
        </w:rPr>
      </w:pPr>
    </w:p>
    <w:p>
      <w:pPr>
        <w:pStyle w:val="BodyText"/>
        <w:spacing w:line="20" w:lineRule="exact"/>
        <w:ind w:left="268"/>
        <w:rPr>
          <w:sz w:val="2"/>
        </w:rPr>
      </w:pPr>
      <w:r>
        <w:rPr>
          <w:sz w:val="2"/>
        </w:rPr>
        <w:pict>
          <v:group style="width:27.6pt;height:.75pt;mso-position-horizontal-relative:char;mso-position-vertical-relative:line" coordorigin="0,0" coordsize="552,15">
            <v:line style="position:absolute" from="8,8" to="544,8" stroked="true" strokeweight=".72pt" strokecolor="#000000"/>
          </v:group>
        </w:pict>
      </w:r>
      <w:r>
        <w:rPr>
          <w:sz w:val="2"/>
        </w:rPr>
      </w:r>
    </w:p>
    <w:p>
      <w:pPr>
        <w:spacing w:before="88"/>
        <w:ind w:left="322" w:right="739" w:firstLine="0"/>
        <w:jc w:val="left"/>
        <w:rPr>
          <w:sz w:val="17"/>
        </w:rPr>
      </w:pPr>
      <w:r>
        <w:rPr>
          <w:w w:val="135"/>
          <w:position w:val="5"/>
          <w:sz w:val="10"/>
        </w:rPr>
        <w:t>1 </w:t>
      </w:r>
      <w:r>
        <w:rPr>
          <w:w w:val="110"/>
          <w:sz w:val="17"/>
        </w:rPr>
        <w:t>The sign  </w:t>
      </w:r>
      <w:r>
        <w:rPr>
          <w:rFonts w:ascii="Arial"/>
          <w:sz w:val="15"/>
        </w:rPr>
        <w:t>="!  </w:t>
      </w:r>
      <w:r>
        <w:rPr>
          <w:w w:val="110"/>
          <w:sz w:val="17"/>
        </w:rPr>
        <w:t>is used to denote an approximation.</w:t>
      </w:r>
    </w:p>
    <w:p>
      <w:pPr>
        <w:spacing w:after="0"/>
        <w:jc w:val="left"/>
        <w:rPr>
          <w:sz w:val="17"/>
        </w:rPr>
        <w:sectPr>
          <w:type w:val="continuous"/>
          <w:pgSz w:w="7200" w:h="11340"/>
          <w:pgMar w:top="1100" w:bottom="0" w:left="660" w:right="560"/>
        </w:sectPr>
      </w:pPr>
    </w:p>
    <w:p>
      <w:pPr>
        <w:tabs>
          <w:tab w:pos="1501" w:val="left" w:leader="none"/>
          <w:tab w:pos="5382" w:val="left" w:leader="none"/>
        </w:tabs>
        <w:spacing w:before="62"/>
        <w:ind w:left="155" w:right="0" w:firstLine="0"/>
        <w:jc w:val="left"/>
        <w:rPr>
          <w:b/>
          <w:sz w:val="20"/>
        </w:rPr>
      </w:pPr>
      <w:r>
        <w:rPr>
          <w:rFonts w:ascii="Arial"/>
          <w:b/>
          <w:spacing w:val="-17"/>
          <w:position w:val="1"/>
          <w:sz w:val="19"/>
        </w:rPr>
        <w:t>18</w:t>
        <w:tab/>
      </w:r>
      <w:r>
        <w:rPr>
          <w:b/>
          <w:sz w:val="15"/>
        </w:rPr>
        <w:t>THE   MEASUREMENT </w:t>
      </w:r>
      <w:r>
        <w:rPr>
          <w:b/>
          <w:spacing w:val="34"/>
          <w:sz w:val="15"/>
        </w:rPr>
        <w:t> </w:t>
      </w:r>
      <w:r>
        <w:rPr>
          <w:b/>
          <w:sz w:val="15"/>
        </w:rPr>
        <w:t>OF </w:t>
      </w:r>
      <w:r>
        <w:rPr>
          <w:b/>
          <w:spacing w:val="23"/>
          <w:sz w:val="15"/>
        </w:rPr>
        <w:t> </w:t>
      </w:r>
      <w:r>
        <w:rPr>
          <w:b/>
          <w:sz w:val="15"/>
        </w:rPr>
        <w:t>MORTALITY</w:t>
        <w:tab/>
      </w:r>
      <w:r>
        <w:rPr>
          <w:rFonts w:ascii="Arial"/>
          <w:b/>
          <w:w w:val="95"/>
          <w:sz w:val="19"/>
        </w:rPr>
        <w:t>[CH.</w:t>
      </w:r>
      <w:r>
        <w:rPr>
          <w:rFonts w:ascii="Arial"/>
          <w:b/>
          <w:spacing w:val="-18"/>
          <w:w w:val="95"/>
          <w:sz w:val="19"/>
        </w:rPr>
        <w:t> </w:t>
      </w:r>
      <w:r>
        <w:rPr>
          <w:b/>
          <w:w w:val="95"/>
          <w:sz w:val="20"/>
        </w:rPr>
        <w:t>1</w:t>
      </w:r>
    </w:p>
    <w:p>
      <w:pPr>
        <w:spacing w:before="170"/>
        <w:ind w:left="126" w:right="0" w:firstLine="0"/>
        <w:jc w:val="left"/>
        <w:rPr>
          <w:sz w:val="20"/>
        </w:rPr>
      </w:pPr>
      <w:r>
        <w:rPr>
          <w:sz w:val="20"/>
        </w:rPr>
        <w:t>Using </w:t>
      </w:r>
      <w:r>
        <w:rPr>
          <w:rFonts w:ascii="Arial"/>
          <w:i/>
          <w:sz w:val="20"/>
        </w:rPr>
        <w:t>h  </w:t>
      </w:r>
      <w:r>
        <w:rPr>
          <w:sz w:val="28"/>
        </w:rPr>
        <w:t>=</w:t>
      </w:r>
      <w:r>
        <w:rPr>
          <w:spacing w:val="53"/>
          <w:sz w:val="28"/>
        </w:rPr>
        <w:t> </w:t>
      </w:r>
      <w:r>
        <w:rPr>
          <w:spacing w:val="-18"/>
          <w:sz w:val="20"/>
        </w:rPr>
        <w:t>1,</w:t>
      </w:r>
    </w:p>
    <w:p>
      <w:pPr>
        <w:spacing w:after="0"/>
        <w:jc w:val="left"/>
        <w:rPr>
          <w:sz w:val="20"/>
        </w:rPr>
        <w:sectPr>
          <w:pgSz w:w="7200" w:h="11340"/>
          <w:pgMar w:top="480" w:bottom="280" w:left="640" w:right="560"/>
        </w:sectPr>
      </w:pPr>
    </w:p>
    <w:p>
      <w:pPr>
        <w:spacing w:line="331" w:lineRule="exact" w:before="67"/>
        <w:ind w:left="1073" w:right="0" w:firstLine="0"/>
        <w:jc w:val="left"/>
        <w:rPr>
          <w:sz w:val="21"/>
        </w:rPr>
      </w:pPr>
      <w:r>
        <w:rPr>
          <w:b/>
          <w:i/>
          <w:w w:val="62"/>
          <w:sz w:val="21"/>
        </w:rPr>
        <w:t>P.z</w:t>
      </w:r>
      <w:r>
        <w:rPr>
          <w:b/>
          <w:i/>
          <w:sz w:val="21"/>
        </w:rPr>
        <w:t> </w:t>
      </w:r>
      <w:r>
        <w:rPr>
          <w:b/>
          <w:i/>
          <w:spacing w:val="-4"/>
          <w:sz w:val="21"/>
        </w:rPr>
        <w:t> </w:t>
      </w:r>
      <w:r>
        <w:rPr>
          <w:w w:val="92"/>
          <w:sz w:val="26"/>
        </w:rPr>
        <w:t>=</w:t>
      </w:r>
      <w:r>
        <w:rPr>
          <w:sz w:val="26"/>
        </w:rPr>
        <w:t> </w:t>
      </w:r>
      <w:r>
        <w:rPr>
          <w:spacing w:val="-18"/>
          <w:sz w:val="26"/>
        </w:rPr>
        <w:t> </w:t>
      </w:r>
      <w:r>
        <w:rPr>
          <w:spacing w:val="-29"/>
          <w:w w:val="105"/>
          <w:sz w:val="26"/>
        </w:rPr>
        <w:t>_</w:t>
      </w:r>
      <w:r>
        <w:rPr>
          <w:spacing w:val="-285"/>
          <w:w w:val="303"/>
          <w:sz w:val="31"/>
        </w:rPr>
        <w:t>!</w:t>
      </w:r>
      <w:r>
        <w:rPr>
          <w:b/>
          <w:i/>
          <w:w w:val="90"/>
          <w:sz w:val="21"/>
        </w:rPr>
        <w:t>Dlz</w:t>
      </w:r>
      <w:r>
        <w:rPr>
          <w:b/>
          <w:i/>
          <w:sz w:val="21"/>
        </w:rPr>
        <w:t> </w:t>
      </w:r>
      <w:r>
        <w:rPr>
          <w:b/>
          <w:i/>
          <w:spacing w:val="14"/>
          <w:sz w:val="21"/>
        </w:rPr>
        <w:t> </w:t>
      </w:r>
      <w:r>
        <w:rPr>
          <w:rFonts w:ascii="Arial"/>
          <w:w w:val="52"/>
          <w:sz w:val="23"/>
        </w:rPr>
        <w:t>==</w:t>
      </w:r>
      <w:r>
        <w:rPr>
          <w:rFonts w:ascii="Arial"/>
          <w:spacing w:val="20"/>
          <w:sz w:val="23"/>
        </w:rPr>
        <w:t> </w:t>
      </w:r>
      <w:r>
        <w:rPr>
          <w:b/>
          <w:i/>
          <w:w w:val="88"/>
          <w:sz w:val="21"/>
          <w:u w:val="single"/>
        </w:rPr>
        <w:t>lz-</w:t>
      </w:r>
      <w:r>
        <w:rPr>
          <w:b/>
          <w:i/>
          <w:w w:val="89"/>
          <w:sz w:val="21"/>
          <w:u w:val="single"/>
        </w:rPr>
        <w:t>1</w:t>
      </w:r>
      <w:r>
        <w:rPr>
          <w:b/>
          <w:i/>
          <w:sz w:val="21"/>
          <w:u w:val="single"/>
        </w:rPr>
        <w:t> </w:t>
      </w:r>
      <w:r>
        <w:rPr>
          <w:b/>
          <w:i/>
          <w:spacing w:val="-22"/>
          <w:sz w:val="21"/>
          <w:u w:val="single"/>
        </w:rPr>
        <w:t> </w:t>
      </w:r>
      <w:r>
        <w:rPr>
          <w:w w:val="268"/>
          <w:sz w:val="21"/>
          <w:u w:val="single"/>
        </w:rPr>
        <w:t>-</w:t>
      </w:r>
      <w:r>
        <w:rPr>
          <w:sz w:val="21"/>
        </w:rPr>
        <w:t> </w:t>
      </w:r>
      <w:r>
        <w:rPr>
          <w:spacing w:val="26"/>
          <w:sz w:val="21"/>
        </w:rPr>
        <w:t> </w:t>
      </w:r>
      <w:r>
        <w:rPr>
          <w:rFonts w:ascii="Arial"/>
          <w:b/>
          <w:i/>
          <w:w w:val="152"/>
          <w:sz w:val="13"/>
          <w:u w:val="single"/>
        </w:rPr>
        <w:t>lrH</w:t>
      </w:r>
      <w:r>
        <w:rPr>
          <w:rFonts w:ascii="Arial"/>
          <w:b/>
          <w:i/>
          <w:sz w:val="13"/>
        </w:rPr>
        <w:t>  </w:t>
      </w:r>
      <w:r>
        <w:rPr>
          <w:rFonts w:ascii="Arial"/>
          <w:b/>
          <w:i/>
          <w:spacing w:val="-14"/>
          <w:sz w:val="13"/>
        </w:rPr>
        <w:t> </w:t>
      </w:r>
      <w:r>
        <w:rPr>
          <w:w w:val="104"/>
          <w:sz w:val="23"/>
        </w:rPr>
        <w:t>=</w:t>
      </w:r>
      <w:r>
        <w:rPr>
          <w:sz w:val="23"/>
        </w:rPr>
        <w:t> </w:t>
      </w:r>
      <w:r>
        <w:rPr>
          <w:spacing w:val="-25"/>
          <w:sz w:val="23"/>
        </w:rPr>
        <w:t> </w:t>
      </w:r>
      <w:r>
        <w:rPr>
          <w:b/>
          <w:w w:val="86"/>
          <w:sz w:val="21"/>
          <w:u w:val="single"/>
        </w:rPr>
        <w:t>dz-</w:t>
      </w:r>
      <w:r>
        <w:rPr>
          <w:b/>
          <w:w w:val="87"/>
          <w:sz w:val="21"/>
          <w:u w:val="single"/>
        </w:rPr>
        <w:t>1</w:t>
      </w:r>
      <w:r>
        <w:rPr>
          <w:b/>
          <w:spacing w:val="13"/>
          <w:sz w:val="21"/>
          <w:u w:val="single"/>
        </w:rPr>
        <w:t> </w:t>
      </w:r>
      <w:r>
        <w:rPr>
          <w:w w:val="101"/>
          <w:sz w:val="29"/>
          <w:u w:val="single"/>
        </w:rPr>
        <w:t>+</w:t>
      </w:r>
      <w:r>
        <w:rPr>
          <w:spacing w:val="3"/>
          <w:sz w:val="29"/>
          <w:u w:val="single"/>
        </w:rPr>
        <w:t> </w:t>
      </w:r>
      <w:r>
        <w:rPr>
          <w:b/>
          <w:i/>
          <w:w w:val="89"/>
          <w:sz w:val="21"/>
          <w:u w:val="single"/>
        </w:rPr>
        <w:t>dz</w:t>
      </w:r>
      <w:r>
        <w:rPr>
          <w:b/>
          <w:i/>
          <w:spacing w:val="6"/>
          <w:sz w:val="21"/>
        </w:rPr>
        <w:t> </w:t>
      </w:r>
      <w:r>
        <w:rPr>
          <w:w w:val="141"/>
          <w:sz w:val="21"/>
        </w:rPr>
        <w:t>.</w:t>
      </w:r>
    </w:p>
    <w:p>
      <w:pPr>
        <w:tabs>
          <w:tab w:pos="2484" w:val="left" w:leader="none"/>
          <w:tab w:pos="2848" w:val="left" w:leader="none"/>
          <w:tab w:pos="4115" w:val="left" w:leader="none"/>
        </w:tabs>
        <w:spacing w:line="193" w:lineRule="exact" w:before="0"/>
        <w:ind w:left="1815" w:right="0" w:firstLine="0"/>
        <w:jc w:val="left"/>
        <w:rPr>
          <w:b/>
          <w:i/>
          <w:sz w:val="19"/>
        </w:rPr>
      </w:pPr>
      <w:r>
        <w:rPr>
          <w:b/>
          <w:i/>
          <w:w w:val="140"/>
          <w:sz w:val="19"/>
        </w:rPr>
        <w:t>l.</w:t>
        <w:tab/>
      </w:r>
      <w:r>
        <w:rPr>
          <w:w w:val="140"/>
          <w:sz w:val="19"/>
        </w:rPr>
        <w:t>·</w:t>
        <w:tab/>
      </w:r>
      <w:r>
        <w:rPr>
          <w:b/>
          <w:i/>
          <w:w w:val="115"/>
          <w:sz w:val="19"/>
        </w:rPr>
        <w:t>2ls</w:t>
        <w:tab/>
        <w:t>2lz</w:t>
      </w:r>
    </w:p>
    <w:p>
      <w:pPr>
        <w:pStyle w:val="BodyText"/>
        <w:spacing w:before="10"/>
        <w:rPr>
          <w:b/>
          <w:i/>
          <w:sz w:val="18"/>
        </w:rPr>
      </w:pPr>
      <w:r>
        <w:rPr/>
        <w:br w:type="column"/>
      </w:r>
      <w:r>
        <w:rPr>
          <w:b/>
          <w:i/>
          <w:sz w:val="18"/>
        </w:rPr>
      </w:r>
    </w:p>
    <w:p>
      <w:pPr>
        <w:pStyle w:val="BodyText"/>
        <w:ind w:left="544"/>
      </w:pPr>
      <w:r>
        <w:rPr>
          <w:w w:val="105"/>
        </w:rPr>
        <w:t>( 1.20)</w:t>
      </w:r>
    </w:p>
    <w:p>
      <w:pPr>
        <w:spacing w:after="0"/>
        <w:sectPr>
          <w:type w:val="continuous"/>
          <w:pgSz w:w="7200" w:h="11340"/>
          <w:pgMar w:top="1100" w:bottom="0" w:left="640" w:right="560"/>
          <w:cols w:num="2" w:equalWidth="0">
            <w:col w:w="4770" w:space="40"/>
            <w:col w:w="1190"/>
          </w:cols>
        </w:sectPr>
      </w:pPr>
    </w:p>
    <w:p>
      <w:pPr>
        <w:pStyle w:val="BodyText"/>
        <w:spacing w:line="247" w:lineRule="auto" w:before="110"/>
        <w:ind w:left="123" w:right="127" w:firstLine="3"/>
        <w:jc w:val="both"/>
      </w:pPr>
      <w:r>
        <w:rPr/>
        <w:t>The formula. is exact if </w:t>
      </w:r>
      <w:r>
        <w:rPr>
          <w:i/>
        </w:rPr>
        <w:t>lz </w:t>
      </w:r>
      <w:r>
        <w:rPr>
          <w:rFonts w:ascii="Arial" w:hAnsi="Arial"/>
          <w:sz w:val="19"/>
        </w:rPr>
        <w:t>is </w:t>
      </w:r>
      <w:r>
        <w:rPr/>
        <w:t>a polynomial of  the  second  degree.  If  we assume that </w:t>
      </w:r>
      <w:r>
        <w:rPr>
          <w:i/>
        </w:rPr>
        <w:t>lz </w:t>
      </w:r>
      <w:r>
        <w:rPr>
          <w:rFonts w:ascii="Arial" w:hAnsi="Arial"/>
          <w:sz w:val="19"/>
        </w:rPr>
        <w:t>is </w:t>
      </w:r>
      <w:r>
        <w:rPr/>
        <w:t>a polynomial of  the fourth  degree,  the follow­  ing  formula  can  be </w:t>
      </w:r>
      <w:r>
        <w:rPr>
          <w:spacing w:val="4"/>
        </w:rPr>
        <w:t> </w:t>
      </w:r>
      <w:r>
        <w:rPr/>
        <w:t>derived:</w:t>
      </w:r>
    </w:p>
    <w:p>
      <w:pPr>
        <w:spacing w:line="140" w:lineRule="exact" w:before="128"/>
        <w:ind w:left="1671" w:right="0" w:firstLine="0"/>
        <w:jc w:val="left"/>
        <w:rPr>
          <w:b/>
          <w:sz w:val="21"/>
        </w:rPr>
      </w:pPr>
      <w:r>
        <w:rPr>
          <w:w w:val="110"/>
          <w:sz w:val="21"/>
        </w:rPr>
        <w:t>. </w:t>
      </w:r>
      <w:r>
        <w:rPr>
          <w:b/>
          <w:w w:val="110"/>
          <w:sz w:val="21"/>
        </w:rPr>
        <w:t>8(lz-1 </w:t>
      </w:r>
      <w:r>
        <w:rPr>
          <w:w w:val="260"/>
          <w:sz w:val="21"/>
        </w:rPr>
        <w:t>-</w:t>
      </w:r>
      <w:r>
        <w:rPr>
          <w:spacing w:val="-116"/>
          <w:w w:val="260"/>
          <w:sz w:val="21"/>
        </w:rPr>
        <w:t> </w:t>
      </w:r>
      <w:r>
        <w:rPr>
          <w:b/>
          <w:w w:val="95"/>
          <w:sz w:val="21"/>
        </w:rPr>
        <w:t>ls+-1 </w:t>
      </w:r>
      <w:r>
        <w:rPr>
          <w:b/>
          <w:w w:val="110"/>
          <w:sz w:val="21"/>
        </w:rPr>
        <w:t>) </w:t>
      </w:r>
      <w:r>
        <w:rPr>
          <w:w w:val="260"/>
          <w:sz w:val="21"/>
        </w:rPr>
        <w:t>-</w:t>
      </w:r>
      <w:r>
        <w:rPr>
          <w:spacing w:val="-106"/>
          <w:w w:val="260"/>
          <w:sz w:val="21"/>
        </w:rPr>
        <w:t> </w:t>
      </w:r>
      <w:r>
        <w:rPr>
          <w:b/>
          <w:w w:val="150"/>
          <w:sz w:val="19"/>
        </w:rPr>
        <w:t>(f-2 </w:t>
      </w:r>
      <w:r>
        <w:rPr>
          <w:w w:val="260"/>
          <w:sz w:val="19"/>
        </w:rPr>
        <w:t>-</w:t>
      </w:r>
      <w:r>
        <w:rPr>
          <w:spacing w:val="-102"/>
          <w:w w:val="260"/>
          <w:sz w:val="19"/>
        </w:rPr>
        <w:t> </w:t>
      </w:r>
      <w:r>
        <w:rPr>
          <w:b/>
          <w:w w:val="95"/>
          <w:sz w:val="21"/>
        </w:rPr>
        <w:t>ls+-</w:t>
      </w:r>
      <w:r>
        <w:rPr>
          <w:b/>
          <w:w w:val="95"/>
          <w:sz w:val="21"/>
          <w:u w:val="single"/>
        </w:rPr>
        <w:t>2 </w:t>
      </w:r>
      <w:r>
        <w:rPr>
          <w:b/>
          <w:w w:val="110"/>
          <w:sz w:val="21"/>
        </w:rPr>
        <w:t>)</w:t>
      </w:r>
    </w:p>
    <w:p>
      <w:pPr>
        <w:spacing w:after="0" w:line="140" w:lineRule="exact"/>
        <w:jc w:val="left"/>
        <w:rPr>
          <w:sz w:val="21"/>
        </w:rPr>
        <w:sectPr>
          <w:type w:val="continuous"/>
          <w:pgSz w:w="7200" w:h="11340"/>
          <w:pgMar w:top="1100" w:bottom="0" w:left="640" w:right="560"/>
        </w:sectPr>
      </w:pPr>
    </w:p>
    <w:p>
      <w:pPr>
        <w:tabs>
          <w:tab w:pos="3057" w:val="left" w:leader="none"/>
          <w:tab w:pos="4576" w:val="left" w:leader="none"/>
        </w:tabs>
        <w:spacing w:before="35"/>
        <w:ind w:left="1394" w:right="0" w:firstLine="0"/>
        <w:jc w:val="left"/>
        <w:rPr>
          <w:sz w:val="20"/>
        </w:rPr>
      </w:pPr>
      <w:r>
        <w:rPr>
          <w:w w:val="95"/>
          <w:sz w:val="13"/>
        </w:rPr>
        <w:t>1/,:c </w:t>
      </w:r>
      <w:r>
        <w:rPr>
          <w:spacing w:val="17"/>
          <w:w w:val="95"/>
          <w:sz w:val="13"/>
        </w:rPr>
        <w:t> </w:t>
      </w:r>
      <w:r>
        <w:rPr>
          <w:w w:val="95"/>
          <w:sz w:val="20"/>
        </w:rPr>
        <w:t>=:  </w:t>
      </w:r>
      <w:r>
        <w:rPr>
          <w:spacing w:val="1"/>
          <w:w w:val="95"/>
          <w:sz w:val="20"/>
        </w:rPr>
        <w:t> </w:t>
      </w:r>
      <w:r>
        <w:rPr>
          <w:w w:val="85"/>
          <w:sz w:val="20"/>
        </w:rPr>
        <w:t>.</w:t>
        <w:tab/>
      </w:r>
      <w:r>
        <w:rPr>
          <w:spacing w:val="-8"/>
          <w:w w:val="95"/>
          <w:sz w:val="20"/>
        </w:rPr>
        <w:t>12la.</w:t>
        <w:tab/>
      </w:r>
      <w:r>
        <w:rPr>
          <w:sz w:val="20"/>
        </w:rPr>
        <w:t>.</w:t>
      </w:r>
    </w:p>
    <w:p>
      <w:pPr>
        <w:pStyle w:val="BodyText"/>
        <w:spacing w:line="204" w:lineRule="exact"/>
        <w:ind w:left="664"/>
      </w:pPr>
      <w:r>
        <w:rPr/>
        <w:br w:type="column"/>
      </w:r>
      <w:r>
        <w:rPr>
          <w:w w:val="110"/>
        </w:rPr>
        <w:t>( 1.21)</w:t>
      </w:r>
    </w:p>
    <w:p>
      <w:pPr>
        <w:spacing w:after="0" w:line="204" w:lineRule="exact"/>
        <w:sectPr>
          <w:type w:val="continuous"/>
          <w:pgSz w:w="7200" w:h="11340"/>
          <w:pgMar w:top="1100" w:bottom="0" w:left="640" w:right="560"/>
          <w:cols w:num="2" w:equalWidth="0">
            <w:col w:w="4642" w:space="40"/>
            <w:col w:w="1318"/>
          </w:cols>
        </w:sectPr>
      </w:pPr>
    </w:p>
    <w:p>
      <w:pPr>
        <w:pStyle w:val="BodyText"/>
        <w:spacing w:before="5"/>
        <w:rPr>
          <w:sz w:val="10"/>
        </w:rPr>
      </w:pPr>
    </w:p>
    <w:p>
      <w:pPr>
        <w:pStyle w:val="BodyText"/>
        <w:spacing w:line="252" w:lineRule="auto" w:before="75"/>
        <w:ind w:left="130" w:right="241" w:firstLine="194"/>
        <w:rPr>
          <w:sz w:val="19"/>
        </w:rPr>
      </w:pPr>
      <w:r>
        <w:rPr>
          <w:w w:val="105"/>
        </w:rPr>
        <w:t>Othcr formulas may be obtained by using the relation  connect­ ing the diff erential opcrator with the finite diff erence operator </w:t>
      </w:r>
      <w:r>
        <w:rPr>
          <w:w w:val="105"/>
          <w:sz w:val="19"/>
        </w:rPr>
        <w:t>A:</w:t>
      </w:r>
    </w:p>
    <w:p>
      <w:pPr>
        <w:tabs>
          <w:tab w:pos="4090" w:val="left" w:leader="none"/>
        </w:tabs>
        <w:spacing w:line="78" w:lineRule="exact" w:before="105"/>
        <w:ind w:left="3593" w:right="0" w:firstLine="0"/>
        <w:jc w:val="left"/>
        <w:rPr>
          <w:rFonts w:ascii="Arial"/>
          <w:sz w:val="11"/>
        </w:rPr>
      </w:pPr>
      <w:r>
        <w:rPr/>
        <w:pict>
          <v:shape style="position:absolute;margin-left:205.559998pt;margin-top:8.156115pt;width:30.85pt;height:9.050pt;mso-position-horizontal-relative:page;mso-position-vertical-relative:paragraph;z-index:-733936" type="#_x0000_t202" filled="false" stroked="false">
            <v:textbox inset="0,0,0,0">
              <w:txbxContent>
                <w:p>
                  <w:pPr>
                    <w:tabs>
                      <w:tab w:pos="493" w:val="left" w:leader="none"/>
                    </w:tabs>
                    <w:spacing w:line="181" w:lineRule="exact" w:before="0"/>
                    <w:ind w:left="0" w:right="0" w:firstLine="0"/>
                    <w:jc w:val="left"/>
                    <w:rPr>
                      <w:sz w:val="18"/>
                    </w:rPr>
                  </w:pPr>
                  <w:r>
                    <w:rPr>
                      <w:rFonts w:ascii="Arial"/>
                      <w:w w:val="110"/>
                      <w:sz w:val="18"/>
                    </w:rPr>
                    <w:t>A</w:t>
                    <w:tab/>
                  </w:r>
                  <w:r>
                    <w:rPr>
                      <w:w w:val="110"/>
                      <w:sz w:val="18"/>
                    </w:rPr>
                    <w:t>tl</w:t>
                  </w:r>
                </w:p>
              </w:txbxContent>
            </v:textbox>
            <w10:wrap type="none"/>
          </v:shape>
        </w:pict>
      </w:r>
      <w:r>
        <w:rPr>
          <w:rFonts w:ascii="Arial"/>
          <w:sz w:val="11"/>
        </w:rPr>
        <w:t>2</w:t>
        <w:tab/>
        <w:t>3</w:t>
      </w:r>
    </w:p>
    <w:p>
      <w:pPr>
        <w:spacing w:line="437" w:lineRule="exact" w:before="0"/>
        <w:ind w:left="1113" w:right="0" w:firstLine="0"/>
        <w:jc w:val="left"/>
        <w:rPr>
          <w:rFonts w:ascii="Arial"/>
          <w:sz w:val="26"/>
        </w:rPr>
      </w:pPr>
      <w:r>
        <w:rPr>
          <w:i/>
          <w:w w:val="105"/>
          <w:sz w:val="22"/>
        </w:rPr>
        <w:t>D </w:t>
      </w:r>
      <w:r>
        <w:rPr>
          <w:w w:val="105"/>
          <w:sz w:val="23"/>
        </w:rPr>
        <w:t>= </w:t>
      </w:r>
      <w:r>
        <w:rPr>
          <w:w w:val="105"/>
          <w:sz w:val="20"/>
        </w:rPr>
        <w:t>log ( </w:t>
      </w:r>
      <w:r>
        <w:rPr>
          <w:w w:val="125"/>
          <w:sz w:val="19"/>
        </w:rPr>
        <w:t>1 </w:t>
      </w:r>
      <w:r>
        <w:rPr>
          <w:rFonts w:ascii="Arial"/>
          <w:w w:val="105"/>
          <w:sz w:val="32"/>
        </w:rPr>
        <w:t>+ </w:t>
      </w:r>
      <w:r>
        <w:rPr>
          <w:w w:val="105"/>
          <w:sz w:val="19"/>
        </w:rPr>
        <w:t>A ) </w:t>
      </w:r>
      <w:r>
        <w:rPr>
          <w:w w:val="105"/>
          <w:sz w:val="26"/>
        </w:rPr>
        <w:t>= </w:t>
      </w:r>
      <w:r>
        <w:rPr>
          <w:w w:val="105"/>
          <w:sz w:val="19"/>
        </w:rPr>
        <w:t>A  </w:t>
      </w:r>
      <w:r>
        <w:rPr>
          <w:w w:val="270"/>
          <w:sz w:val="19"/>
        </w:rPr>
        <w:t>-</w:t>
      </w:r>
      <w:r>
        <w:rPr>
          <w:spacing w:val="-102"/>
          <w:w w:val="270"/>
          <w:sz w:val="19"/>
        </w:rPr>
        <w:t> </w:t>
      </w:r>
      <w:r>
        <w:rPr>
          <w:rFonts w:ascii="Arial"/>
          <w:w w:val="125"/>
          <w:position w:val="-12"/>
          <w:sz w:val="26"/>
        </w:rPr>
        <w:t>2 </w:t>
      </w:r>
      <w:r>
        <w:rPr>
          <w:rFonts w:ascii="Arial"/>
          <w:w w:val="105"/>
          <w:sz w:val="32"/>
        </w:rPr>
        <w:t>+ </w:t>
      </w:r>
      <w:r>
        <w:rPr>
          <w:rFonts w:ascii="Arial"/>
          <w:w w:val="125"/>
          <w:position w:val="-12"/>
          <w:sz w:val="26"/>
        </w:rPr>
        <w:t>3 </w:t>
      </w:r>
      <w:r>
        <w:rPr>
          <w:rFonts w:ascii="Arial"/>
          <w:w w:val="180"/>
          <w:sz w:val="26"/>
        </w:rPr>
        <w:t>-</w:t>
      </w:r>
    </w:p>
    <w:p>
      <w:pPr>
        <w:pStyle w:val="BodyText"/>
        <w:spacing w:before="103"/>
        <w:ind w:left="126"/>
      </w:pPr>
      <w:r>
        <w:rPr>
          <w:w w:val="105"/>
        </w:rPr>
        <w:t>For example,</w:t>
      </w:r>
    </w:p>
    <w:p>
      <w:pPr>
        <w:pStyle w:val="BodyText"/>
        <w:spacing w:before="4"/>
        <w:rPr>
          <w:sz w:val="10"/>
        </w:rPr>
      </w:pPr>
    </w:p>
    <w:p>
      <w:pPr>
        <w:spacing w:after="0"/>
        <w:rPr>
          <w:sz w:val="10"/>
        </w:rPr>
        <w:sectPr>
          <w:type w:val="continuous"/>
          <w:pgSz w:w="7200" w:h="11340"/>
          <w:pgMar w:top="1100" w:bottom="0" w:left="640" w:right="560"/>
        </w:sectPr>
      </w:pPr>
    </w:p>
    <w:p>
      <w:pPr>
        <w:tabs>
          <w:tab w:pos="2398" w:val="left" w:leader="none"/>
          <w:tab w:pos="3229" w:val="left" w:leader="none"/>
          <w:tab w:pos="3935" w:val="left" w:leader="none"/>
          <w:tab w:pos="4705" w:val="left" w:leader="none"/>
        </w:tabs>
        <w:spacing w:line="197" w:lineRule="exact" w:before="73"/>
        <w:ind w:left="1350" w:right="0" w:firstLine="0"/>
        <w:jc w:val="left"/>
        <w:rPr>
          <w:rFonts w:ascii="Arial" w:hAnsi="Arial"/>
          <w:i/>
          <w:sz w:val="19"/>
        </w:rPr>
      </w:pPr>
      <w:r>
        <w:rPr/>
        <w:pict>
          <v:shape style="position:absolute;margin-left:74.699997pt;margin-top:5.840291pt;width:198.55pt;height:15.5pt;mso-position-horizontal-relative:page;mso-position-vertical-relative:paragraph;z-index:-733912" type="#_x0000_t202" filled="false" stroked="false">
            <v:textbox inset="0,0,0,0">
              <w:txbxContent>
                <w:p>
                  <w:pPr>
                    <w:tabs>
                      <w:tab w:pos="1033" w:val="left" w:leader="none"/>
                      <w:tab w:pos="2131" w:val="left" w:leader="none"/>
                      <w:tab w:pos="2825" w:val="left" w:leader="none"/>
                      <w:tab w:pos="3653" w:val="left" w:leader="none"/>
                    </w:tabs>
                    <w:spacing w:line="310" w:lineRule="exact" w:before="0"/>
                    <w:ind w:left="0" w:right="0" w:firstLine="0"/>
                    <w:jc w:val="left"/>
                    <w:rPr>
                      <w:rFonts w:ascii="Arial"/>
                      <w:sz w:val="27"/>
                    </w:rPr>
                  </w:pPr>
                  <w:r>
                    <w:rPr>
                      <w:w w:val="105"/>
                      <w:sz w:val="23"/>
                    </w:rPr>
                    <w:t>= </w:t>
                  </w:r>
                  <w:r>
                    <w:rPr>
                      <w:spacing w:val="3"/>
                      <w:w w:val="105"/>
                      <w:sz w:val="23"/>
                    </w:rPr>
                    <w:t> </w:t>
                  </w:r>
                  <w:r>
                    <w:rPr>
                      <w:w w:val="220"/>
                      <w:sz w:val="23"/>
                    </w:rPr>
                    <w:t>-</w:t>
                  </w:r>
                  <w:r>
                    <w:rPr>
                      <w:spacing w:val="-80"/>
                      <w:w w:val="220"/>
                      <w:sz w:val="23"/>
                    </w:rPr>
                    <w:t> </w:t>
                  </w:r>
                  <w:r>
                    <w:rPr>
                      <w:i/>
                      <w:w w:val="165"/>
                      <w:sz w:val="31"/>
                    </w:rPr>
                    <w:t>i</w:t>
                    <w:tab/>
                  </w:r>
                  <w:r>
                    <w:rPr>
                      <w:w w:val="105"/>
                      <w:sz w:val="23"/>
                    </w:rPr>
                    <w:t>=  </w:t>
                  </w:r>
                  <w:r>
                    <w:rPr>
                      <w:w w:val="230"/>
                      <w:sz w:val="23"/>
                    </w:rPr>
                    <w:t>-</w:t>
                  </w:r>
                  <w:r>
                    <w:rPr>
                      <w:spacing w:val="-100"/>
                      <w:w w:val="230"/>
                      <w:sz w:val="23"/>
                    </w:rPr>
                    <w:t> </w:t>
                  </w:r>
                  <w:r>
                    <w:rPr>
                      <w:rFonts w:ascii="Arial"/>
                      <w:i/>
                      <w:w w:val="105"/>
                      <w:sz w:val="27"/>
                    </w:rPr>
                    <w:t>i:</w:t>
                  </w:r>
                  <w:r>
                    <w:rPr>
                      <w:rFonts w:ascii="Arial"/>
                      <w:i/>
                      <w:spacing w:val="63"/>
                      <w:w w:val="105"/>
                      <w:sz w:val="27"/>
                    </w:rPr>
                    <w:t> </w:t>
                  </w:r>
                  <w:r>
                    <w:rPr>
                      <w:w w:val="105"/>
                      <w:sz w:val="19"/>
                    </w:rPr>
                    <w:t>A</w:t>
                    <w:tab/>
                  </w:r>
                  <w:r>
                    <w:rPr>
                      <w:w w:val="270"/>
                      <w:sz w:val="19"/>
                    </w:rPr>
                    <w:t>-</w:t>
                  </w:r>
                  <w:r>
                    <w:rPr>
                      <w:spacing w:val="-77"/>
                      <w:w w:val="270"/>
                      <w:sz w:val="19"/>
                    </w:rPr>
                    <w:t> </w:t>
                  </w:r>
                  <w:r>
                    <w:rPr>
                      <w:w w:val="105"/>
                      <w:sz w:val="19"/>
                    </w:rPr>
                    <w:t>iA</w:t>
                    <w:tab/>
                  </w:r>
                  <w:r>
                    <w:rPr>
                      <w:w w:val="105"/>
                      <w:sz w:val="29"/>
                    </w:rPr>
                    <w:t>+</w:t>
                    <w:tab/>
                  </w:r>
                  <w:r>
                    <w:rPr>
                      <w:rFonts w:ascii="Arial"/>
                      <w:w w:val="210"/>
                      <w:sz w:val="27"/>
                    </w:rPr>
                    <w:t>7</w:t>
                  </w:r>
                </w:p>
              </w:txbxContent>
            </v:textbox>
            <w10:wrap type="none"/>
          </v:shape>
        </w:pict>
      </w:r>
      <w:r>
        <w:rPr>
          <w:w w:val="115"/>
          <w:sz w:val="20"/>
        </w:rPr>
        <w:t>1</w:t>
      </w:r>
      <w:r>
        <w:rPr>
          <w:spacing w:val="-11"/>
          <w:sz w:val="20"/>
        </w:rPr>
        <w:t> </w:t>
      </w:r>
      <w:r>
        <w:rPr>
          <w:rFonts w:ascii="Arial" w:hAnsi="Arial"/>
          <w:i/>
          <w:w w:val="110"/>
          <w:sz w:val="20"/>
        </w:rPr>
        <w:t>Dl</w:t>
      </w:r>
      <w:r>
        <w:rPr>
          <w:rFonts w:ascii="Arial" w:hAnsi="Arial"/>
          <w:i/>
          <w:sz w:val="20"/>
        </w:rPr>
        <w:tab/>
      </w:r>
      <w:r>
        <w:rPr>
          <w:w w:val="115"/>
          <w:sz w:val="20"/>
        </w:rPr>
        <w:t>1</w:t>
      </w:r>
      <w:r>
        <w:rPr>
          <w:spacing w:val="11"/>
          <w:sz w:val="20"/>
        </w:rPr>
        <w:t> </w:t>
      </w:r>
      <w:r>
        <w:rPr>
          <w:w w:val="104"/>
          <w:sz w:val="20"/>
        </w:rPr>
        <w:t>(</w:t>
      </w:r>
      <w:r>
        <w:rPr>
          <w:sz w:val="20"/>
        </w:rPr>
        <w:t>  </w:t>
      </w:r>
      <w:r>
        <w:rPr>
          <w:spacing w:val="-12"/>
          <w:sz w:val="20"/>
        </w:rPr>
        <w:t> </w:t>
      </w:r>
      <w:r>
        <w:rPr>
          <w:rFonts w:ascii="Arial" w:hAnsi="Arial"/>
          <w:i/>
          <w:w w:val="103"/>
          <w:sz w:val="20"/>
        </w:rPr>
        <w:t>l</w:t>
      </w:r>
      <w:r>
        <w:rPr>
          <w:rFonts w:ascii="Arial" w:hAnsi="Arial"/>
          <w:i/>
          <w:sz w:val="20"/>
        </w:rPr>
        <w:tab/>
      </w:r>
      <w:r>
        <w:rPr>
          <w:w w:val="158"/>
          <w:sz w:val="12"/>
        </w:rPr>
        <w:t>1</w:t>
      </w:r>
      <w:r>
        <w:rPr>
          <w:sz w:val="12"/>
        </w:rPr>
        <w:t>   </w:t>
      </w:r>
      <w:r>
        <w:rPr>
          <w:spacing w:val="-10"/>
          <w:sz w:val="12"/>
        </w:rPr>
        <w:t> </w:t>
      </w:r>
      <w:r>
        <w:rPr>
          <w:i/>
          <w:w w:val="60"/>
          <w:sz w:val="21"/>
        </w:rPr>
        <w:t>2l</w:t>
      </w:r>
      <w:r>
        <w:rPr>
          <w:i/>
          <w:sz w:val="21"/>
        </w:rPr>
        <w:tab/>
      </w:r>
      <w:r>
        <w:rPr>
          <w:i/>
          <w:w w:val="83"/>
          <w:sz w:val="13"/>
        </w:rPr>
        <w:t>1</w:t>
      </w:r>
      <w:r>
        <w:rPr>
          <w:i/>
          <w:spacing w:val="-8"/>
          <w:sz w:val="13"/>
        </w:rPr>
        <w:t> </w:t>
      </w:r>
      <w:r>
        <w:rPr>
          <w:i/>
          <w:w w:val="127"/>
          <w:sz w:val="13"/>
        </w:rPr>
        <w:t>L</w:t>
      </w:r>
      <w:r>
        <w:rPr>
          <w:i/>
          <w:sz w:val="13"/>
        </w:rPr>
        <w:t>    </w:t>
      </w:r>
      <w:r>
        <w:rPr>
          <w:rFonts w:ascii="Arial" w:hAnsi="Arial"/>
          <w:i/>
          <w:w w:val="94"/>
          <w:sz w:val="20"/>
        </w:rPr>
        <w:t>ªl</w:t>
      </w:r>
      <w:r>
        <w:rPr>
          <w:rFonts w:ascii="Arial" w:hAnsi="Arial"/>
          <w:i/>
          <w:sz w:val="20"/>
        </w:rPr>
        <w:tab/>
      </w:r>
      <w:r>
        <w:rPr>
          <w:rFonts w:ascii="Arial" w:hAnsi="Arial"/>
          <w:i/>
          <w:w w:val="105"/>
          <w:sz w:val="19"/>
        </w:rPr>
        <w:t>l¡</w:t>
      </w:r>
      <w:r>
        <w:rPr>
          <w:rFonts w:ascii="Arial" w:hAnsi="Arial"/>
          <w:i/>
          <w:spacing w:val="-17"/>
          <w:sz w:val="19"/>
        </w:rPr>
        <w:t> </w:t>
      </w:r>
      <w:r>
        <w:rPr>
          <w:rFonts w:ascii="Arial" w:hAnsi="Arial"/>
          <w:i/>
          <w:w w:val="145"/>
          <w:sz w:val="19"/>
        </w:rPr>
        <w:t>Í'</w:t>
      </w:r>
      <w:r>
        <w:rPr>
          <w:rFonts w:ascii="Arial" w:hAnsi="Arial"/>
          <w:i/>
          <w:spacing w:val="13"/>
          <w:w w:val="145"/>
          <w:sz w:val="19"/>
        </w:rPr>
        <w:t>/</w:t>
      </w:r>
      <w:r>
        <w:rPr>
          <w:rFonts w:ascii="Arial" w:hAnsi="Arial"/>
          <w:i/>
          <w:spacing w:val="-39"/>
          <w:w w:val="83"/>
          <w:sz w:val="19"/>
        </w:rPr>
        <w:t>)</w:t>
      </w:r>
      <w:r>
        <w:rPr>
          <w:rFonts w:ascii="Arial" w:hAnsi="Arial"/>
          <w:i/>
          <w:w w:val="31"/>
          <w:sz w:val="19"/>
        </w:rPr>
        <w:t>1</w:t>
      </w:r>
    </w:p>
    <w:p>
      <w:pPr>
        <w:tabs>
          <w:tab w:pos="1725" w:val="left" w:leader="none"/>
          <w:tab w:pos="3546" w:val="left" w:leader="none"/>
          <w:tab w:pos="3917" w:val="left" w:leader="none"/>
        </w:tabs>
        <w:spacing w:line="128" w:lineRule="exact" w:before="0"/>
        <w:ind w:left="598" w:right="0" w:firstLine="0"/>
        <w:jc w:val="left"/>
        <w:rPr>
          <w:rFonts w:ascii="Arial"/>
          <w:b/>
          <w:i/>
          <w:sz w:val="11"/>
        </w:rPr>
      </w:pPr>
      <w:r>
        <w:rPr>
          <w:rFonts w:ascii="Arial"/>
          <w:w w:val="115"/>
          <w:sz w:val="12"/>
        </w:rPr>
        <w:t>/Jz</w:t>
        <w:tab/>
      </w:r>
      <w:r>
        <w:rPr>
          <w:i/>
          <w:w w:val="115"/>
          <w:sz w:val="14"/>
        </w:rPr>
        <w:t>z</w:t>
        <w:tab/>
      </w:r>
      <w:r>
        <w:rPr>
          <w:rFonts w:ascii="Arial"/>
          <w:w w:val="115"/>
          <w:sz w:val="12"/>
        </w:rPr>
        <w:t>s</w:t>
        <w:tab/>
      </w:r>
      <w:r>
        <w:rPr>
          <w:rFonts w:ascii="Arial"/>
          <w:w w:val="115"/>
          <w:sz w:val="15"/>
        </w:rPr>
        <w:t>73A </w:t>
      </w:r>
      <w:r>
        <w:rPr>
          <w:rFonts w:ascii="Arial"/>
          <w:spacing w:val="28"/>
          <w:w w:val="115"/>
          <w:sz w:val="15"/>
        </w:rPr>
        <w:t> </w:t>
      </w:r>
      <w:r>
        <w:rPr>
          <w:rFonts w:ascii="Arial"/>
          <w:b/>
          <w:i/>
          <w:w w:val="115"/>
          <w:sz w:val="11"/>
        </w:rPr>
        <w:t>z</w:t>
      </w:r>
    </w:p>
    <w:p>
      <w:pPr>
        <w:pStyle w:val="BodyText"/>
        <w:rPr>
          <w:rFonts w:ascii="Arial"/>
          <w:b/>
          <w:i/>
          <w:sz w:val="14"/>
        </w:rPr>
      </w:pPr>
    </w:p>
    <w:p>
      <w:pPr>
        <w:spacing w:before="86"/>
        <w:ind w:left="1883" w:right="0" w:firstLine="0"/>
        <w:jc w:val="left"/>
        <w:rPr>
          <w:sz w:val="21"/>
        </w:rPr>
      </w:pPr>
      <w:r>
        <w:rPr>
          <w:w w:val="104"/>
          <w:sz w:val="23"/>
        </w:rPr>
        <w:t>=</w:t>
      </w:r>
      <w:r>
        <w:rPr>
          <w:sz w:val="23"/>
        </w:rPr>
        <w:t> </w:t>
      </w:r>
      <w:r>
        <w:rPr>
          <w:spacing w:val="-21"/>
          <w:sz w:val="23"/>
        </w:rPr>
        <w:t> </w:t>
      </w:r>
      <w:r>
        <w:rPr>
          <w:rFonts w:ascii="Arial" w:hAnsi="Arial"/>
          <w:b/>
          <w:i/>
          <w:spacing w:val="-46"/>
          <w:w w:val="97"/>
          <w:sz w:val="22"/>
        </w:rPr>
        <w:t>Í</w:t>
      </w:r>
      <w:r>
        <w:rPr>
          <w:rFonts w:ascii="Courier New" w:hAnsi="Courier New"/>
          <w:spacing w:val="-61"/>
          <w:w w:val="79"/>
          <w:position w:val="10"/>
          <w:sz w:val="22"/>
        </w:rPr>
        <w:t>1</w:t>
      </w:r>
      <w:r>
        <w:rPr>
          <w:rFonts w:ascii="Arial" w:hAnsi="Arial"/>
          <w:b/>
          <w:i/>
          <w:w w:val="97"/>
          <w:sz w:val="22"/>
        </w:rPr>
        <w:t>:</w:t>
      </w:r>
      <w:r>
        <w:rPr>
          <w:rFonts w:ascii="Arial" w:hAnsi="Arial"/>
          <w:b/>
          <w:i/>
          <w:spacing w:val="1"/>
          <w:sz w:val="22"/>
        </w:rPr>
        <w:t> </w:t>
      </w:r>
      <w:r>
        <w:rPr>
          <w:rFonts w:ascii="Courier New" w:hAnsi="Courier New"/>
          <w:spacing w:val="-125"/>
          <w:w w:val="156"/>
          <w:position w:val="10"/>
          <w:sz w:val="22"/>
        </w:rPr>
        <w:t>(</w:t>
      </w:r>
      <w:r>
        <w:rPr>
          <w:b/>
          <w:i/>
          <w:w w:val="89"/>
          <w:sz w:val="21"/>
        </w:rPr>
        <w:t>dz</w:t>
      </w:r>
      <w:r>
        <w:rPr>
          <w:b/>
          <w:i/>
          <w:sz w:val="21"/>
        </w:rPr>
        <w:t> </w:t>
      </w:r>
      <w:r>
        <w:rPr>
          <w:b/>
          <w:i/>
          <w:spacing w:val="-25"/>
          <w:sz w:val="21"/>
        </w:rPr>
        <w:t> </w:t>
      </w:r>
      <w:r>
        <w:rPr>
          <w:w w:val="268"/>
          <w:sz w:val="21"/>
        </w:rPr>
        <w:t>-</w:t>
      </w:r>
      <w:r>
        <w:rPr>
          <w:spacing w:val="-14"/>
          <w:sz w:val="21"/>
        </w:rPr>
        <w:t> </w:t>
      </w:r>
      <w:r>
        <w:rPr>
          <w:b/>
          <w:w w:val="201"/>
          <w:sz w:val="26"/>
        </w:rPr>
        <w:t>!</w:t>
      </w:r>
      <w:r>
        <w:rPr>
          <w:b/>
          <w:sz w:val="26"/>
        </w:rPr>
        <w:t> </w:t>
      </w:r>
      <w:r>
        <w:rPr>
          <w:b/>
          <w:spacing w:val="15"/>
          <w:sz w:val="26"/>
        </w:rPr>
        <w:t> </w:t>
      </w:r>
      <w:r>
        <w:rPr>
          <w:b/>
          <w:w w:val="57"/>
          <w:sz w:val="26"/>
        </w:rPr>
        <w:t>z</w:t>
      </w:r>
      <w:r>
        <w:rPr>
          <w:b/>
          <w:spacing w:val="5"/>
          <w:sz w:val="26"/>
        </w:rPr>
        <w:t> </w:t>
      </w:r>
      <w:r>
        <w:rPr>
          <w:rFonts w:ascii="Arial" w:hAnsi="Arial"/>
          <w:w w:val="102"/>
          <w:sz w:val="32"/>
        </w:rPr>
        <w:t>+</w:t>
      </w:r>
      <w:r>
        <w:rPr>
          <w:rFonts w:ascii="Arial" w:hAnsi="Arial"/>
          <w:spacing w:val="-44"/>
          <w:sz w:val="32"/>
        </w:rPr>
        <w:t> </w:t>
      </w:r>
      <w:r>
        <w:rPr>
          <w:b/>
          <w:w w:val="75"/>
          <w:sz w:val="27"/>
        </w:rPr>
        <w:t>H</w:t>
      </w:r>
      <w:r>
        <w:rPr>
          <w:b/>
          <w:spacing w:val="12"/>
          <w:w w:val="75"/>
          <w:sz w:val="27"/>
        </w:rPr>
        <w:t>A</w:t>
      </w:r>
      <w:r>
        <w:rPr>
          <w:spacing w:val="-14"/>
          <w:w w:val="94"/>
          <w:position w:val="10"/>
          <w:sz w:val="12"/>
        </w:rPr>
        <w:t>2</w:t>
      </w:r>
      <w:r>
        <w:rPr>
          <w:b/>
          <w:i/>
          <w:w w:val="91"/>
          <w:sz w:val="21"/>
        </w:rPr>
        <w:t>dz</w:t>
      </w:r>
      <w:r>
        <w:rPr>
          <w:b/>
          <w:i/>
          <w:sz w:val="21"/>
        </w:rPr>
        <w:t> </w:t>
      </w:r>
      <w:r>
        <w:rPr>
          <w:b/>
          <w:i/>
          <w:spacing w:val="-22"/>
          <w:sz w:val="21"/>
        </w:rPr>
        <w:t> </w:t>
      </w:r>
      <w:r>
        <w:rPr>
          <w:w w:val="261"/>
          <w:sz w:val="21"/>
        </w:rPr>
        <w:t>-</w:t>
      </w:r>
      <w:r>
        <w:rPr>
          <w:spacing w:val="23"/>
          <w:sz w:val="21"/>
        </w:rPr>
        <w:t> </w:t>
      </w:r>
      <w:r>
        <w:rPr>
          <w:spacing w:val="9"/>
          <w:w w:val="130"/>
          <w:sz w:val="21"/>
        </w:rPr>
        <w:t>·</w:t>
      </w:r>
      <w:r>
        <w:rPr>
          <w:spacing w:val="5"/>
          <w:w w:val="130"/>
          <w:sz w:val="21"/>
        </w:rPr>
        <w:t>·</w:t>
      </w:r>
      <w:r>
        <w:rPr>
          <w:w w:val="136"/>
          <w:sz w:val="21"/>
        </w:rPr>
        <w:t>'</w:t>
      </w:r>
      <w:r>
        <w:rPr>
          <w:spacing w:val="-11"/>
          <w:sz w:val="21"/>
        </w:rPr>
        <w:t> </w:t>
      </w:r>
      <w:r>
        <w:rPr>
          <w:w w:val="92"/>
          <w:sz w:val="21"/>
        </w:rPr>
        <w:t>)</w:t>
      </w:r>
      <w:r>
        <w:rPr>
          <w:spacing w:val="22"/>
          <w:sz w:val="21"/>
        </w:rPr>
        <w:t> </w:t>
      </w:r>
      <w:r>
        <w:rPr>
          <w:w w:val="60"/>
          <w:sz w:val="21"/>
        </w:rPr>
        <w:t>•</w:t>
      </w:r>
    </w:p>
    <w:p>
      <w:pPr>
        <w:pStyle w:val="BodyText"/>
        <w:rPr>
          <w:sz w:val="18"/>
        </w:rPr>
      </w:pPr>
      <w:r>
        <w:rPr/>
        <w:br w:type="column"/>
      </w:r>
      <w:r>
        <w:rPr>
          <w:sz w:val="18"/>
        </w:rPr>
      </w:r>
    </w:p>
    <w:p>
      <w:pPr>
        <w:pStyle w:val="BodyText"/>
        <w:rPr>
          <w:sz w:val="18"/>
        </w:rPr>
      </w:pPr>
    </w:p>
    <w:p>
      <w:pPr>
        <w:pStyle w:val="BodyText"/>
        <w:rPr>
          <w:sz w:val="18"/>
        </w:rPr>
      </w:pPr>
    </w:p>
    <w:p>
      <w:pPr>
        <w:spacing w:before="123"/>
        <w:ind w:left="174" w:right="0" w:firstLine="0"/>
        <w:jc w:val="left"/>
        <w:rPr>
          <w:b/>
          <w:sz w:val="19"/>
        </w:rPr>
      </w:pPr>
      <w:r>
        <w:rPr>
          <w:w w:val="110"/>
          <w:sz w:val="19"/>
        </w:rPr>
        <w:t>( </w:t>
      </w:r>
      <w:r>
        <w:rPr>
          <w:b/>
          <w:w w:val="110"/>
          <w:sz w:val="19"/>
        </w:rPr>
        <w:t>1.22)</w:t>
      </w:r>
    </w:p>
    <w:p>
      <w:pPr>
        <w:spacing w:after="0"/>
        <w:jc w:val="left"/>
        <w:rPr>
          <w:sz w:val="19"/>
        </w:rPr>
        <w:sectPr>
          <w:type w:val="continuous"/>
          <w:pgSz w:w="7200" w:h="11340"/>
          <w:pgMar w:top="1100" w:bottom="0" w:left="640" w:right="560"/>
          <w:cols w:num="2" w:equalWidth="0">
            <w:col w:w="5122" w:space="40"/>
            <w:col w:w="838"/>
          </w:cols>
        </w:sectPr>
      </w:pPr>
    </w:p>
    <w:p>
      <w:pPr>
        <w:pStyle w:val="BodyText"/>
        <w:spacing w:before="6"/>
        <w:rPr>
          <w:b/>
          <w:sz w:val="13"/>
        </w:rPr>
      </w:pPr>
    </w:p>
    <w:p>
      <w:pPr>
        <w:spacing w:before="74"/>
        <w:ind w:left="119" w:right="0" w:firstLine="0"/>
        <w:jc w:val="both"/>
        <w:rPr>
          <w:b/>
          <w:sz w:val="19"/>
        </w:rPr>
      </w:pPr>
      <w:r>
        <w:rPr>
          <w:b/>
          <w:w w:val="115"/>
          <w:sz w:val="19"/>
        </w:rPr>
        <w:t>6. Methods  for </w:t>
      </w:r>
      <w:r>
        <w:rPr>
          <w:w w:val="115"/>
          <w:sz w:val="19"/>
        </w:rPr>
        <w:t>·</w:t>
      </w:r>
      <w:r>
        <w:rPr>
          <w:b/>
          <w:w w:val="115"/>
          <w:sz w:val="21"/>
        </w:rPr>
        <w:t>f</w:t>
      </w:r>
      <w:r>
        <w:rPr>
          <w:b/>
          <w:w w:val="115"/>
          <w:sz w:val="19"/>
        </w:rPr>
        <w:t>ractional ages</w:t>
      </w:r>
    </w:p>
    <w:p>
      <w:pPr>
        <w:pStyle w:val="BodyText"/>
        <w:spacing w:line="252" w:lineRule="auto" w:before="92"/>
        <w:ind w:left="123" w:right="126" w:firstLine="205"/>
        <w:jc w:val="both"/>
      </w:pPr>
      <w:r>
        <w:rPr/>
        <w:t>Consider the problem of evaluating the  probability  </w:t>
      </w:r>
      <w:r>
        <w:rPr>
          <w:sz w:val="18"/>
        </w:rPr>
        <w:t>l/3Pao  </w:t>
      </w:r>
      <w:r>
        <w:rPr/>
        <w:t>that  a life aged 30  will  survive  at  least  4  months.  If  the  mathematical  law for </w:t>
      </w:r>
      <w:r>
        <w:rPr>
          <w:i/>
        </w:rPr>
        <w:t>lz </w:t>
      </w:r>
      <w:r>
        <w:rPr/>
        <w:t>is known, we can readily compute </w:t>
      </w:r>
      <w:r>
        <w:rPr>
          <w:i/>
        </w:rPr>
        <w:t>l3') </w:t>
      </w:r>
      <w:r>
        <w:rPr/>
        <w:t>and </w:t>
      </w:r>
      <w:r>
        <w:rPr>
          <w:i/>
        </w:rPr>
        <w:t>lao </w:t>
      </w:r>
      <w:r>
        <w:rPr>
          <w:sz w:val="14"/>
        </w:rPr>
        <w:t>t/3  ,  </w:t>
      </w:r>
      <w:r>
        <w:rPr/>
        <w:t>and </w:t>
      </w:r>
      <w:r>
        <w:rPr>
          <w:spacing w:val="5"/>
        </w:rPr>
        <w:t> </w:t>
      </w:r>
      <w:r>
        <w:rPr/>
        <w:t>hence</w:t>
      </w:r>
    </w:p>
    <w:p>
      <w:pPr>
        <w:pStyle w:val="BodyText"/>
        <w:spacing w:line="402" w:lineRule="exact"/>
        <w:ind w:left="130" w:hanging="4"/>
        <w:jc w:val="both"/>
        <w:rPr>
          <w:i/>
        </w:rPr>
      </w:pPr>
      <w:r>
        <w:rPr/>
        <w:pict>
          <v:line style="position:absolute;mso-position-horizontal-relative:page;mso-position-vertical-relative:paragraph;z-index:-733960" from="244.979996pt,18.973209pt" to="260.819996pt,18.973209pt" stroked="true" strokeweight="7.74pt" strokecolor="#000000">
            <w10:wrap type="none"/>
          </v:line>
        </w:pict>
      </w:r>
      <w:r>
        <w:rPr>
          <w:w w:val="105"/>
        </w:rPr>
        <w:t>determine</w:t>
      </w:r>
      <w:r>
        <w:rPr/>
        <w:t> </w:t>
      </w:r>
      <w:r>
        <w:rPr>
          <w:spacing w:val="-18"/>
        </w:rPr>
        <w:t> </w:t>
      </w:r>
      <w:r>
        <w:rPr>
          <w:w w:val="111"/>
        </w:rPr>
        <w:t>the</w:t>
      </w:r>
      <w:r>
        <w:rPr/>
        <w:t> </w:t>
      </w:r>
      <w:r>
        <w:rPr>
          <w:spacing w:val="-25"/>
        </w:rPr>
        <w:t> </w:t>
      </w:r>
      <w:r>
        <w:rPr>
          <w:w w:val="103"/>
        </w:rPr>
        <w:t>required</w:t>
      </w:r>
      <w:r>
        <w:rPr/>
        <w:t> </w:t>
      </w:r>
      <w:r>
        <w:rPr>
          <w:spacing w:val="-5"/>
        </w:rPr>
        <w:t> </w:t>
      </w:r>
      <w:r>
        <w:rPr>
          <w:w w:val="104"/>
        </w:rPr>
        <w:t>probability</w:t>
      </w:r>
      <w:r>
        <w:rPr/>
        <w:t> </w:t>
      </w:r>
      <w:r>
        <w:rPr>
          <w:spacing w:val="5"/>
        </w:rPr>
        <w:t> </w:t>
      </w:r>
      <w:r>
        <w:rPr>
          <w:w w:val="103"/>
        </w:rPr>
        <w:t>exactly</w:t>
      </w:r>
      <w:r>
        <w:rPr/>
        <w:t> </w:t>
      </w:r>
      <w:r>
        <w:rPr>
          <w:spacing w:val="-16"/>
        </w:rPr>
        <w:t> </w:t>
      </w:r>
      <w:r>
        <w:rPr>
          <w:w w:val="110"/>
        </w:rPr>
        <w:t>as</w:t>
      </w:r>
      <w:r>
        <w:rPr>
          <w:spacing w:val="17"/>
        </w:rPr>
        <w:t> </w:t>
      </w:r>
      <w:r>
        <w:rPr>
          <w:i/>
          <w:w w:val="53"/>
          <w:sz w:val="46"/>
        </w:rPr>
        <w:t>la</w:t>
      </w:r>
      <w:r>
        <w:rPr>
          <w:i/>
          <w:spacing w:val="8"/>
          <w:w w:val="53"/>
          <w:sz w:val="46"/>
        </w:rPr>
        <w:t>;</w:t>
      </w:r>
      <w:r>
        <w:rPr>
          <w:i/>
          <w:w w:val="79"/>
          <w:position w:val="9"/>
          <w:sz w:val="14"/>
        </w:rPr>
        <w:t>1</w:t>
      </w:r>
      <w:r>
        <w:rPr>
          <w:i/>
          <w:spacing w:val="4"/>
          <w:w w:val="79"/>
          <w:position w:val="9"/>
          <w:sz w:val="14"/>
        </w:rPr>
        <w:t>3</w:t>
      </w:r>
      <w:r>
        <w:rPr>
          <w:i/>
          <w:w w:val="81"/>
          <w:sz w:val="14"/>
        </w:rPr>
        <w:t>•</w:t>
      </w:r>
      <w:r>
        <w:rPr>
          <w:i/>
          <w:sz w:val="14"/>
        </w:rPr>
        <w:t> </w:t>
      </w:r>
      <w:r>
        <w:rPr>
          <w:i/>
          <w:spacing w:val="1"/>
          <w:sz w:val="14"/>
        </w:rPr>
        <w:t> </w:t>
      </w:r>
      <w:r>
        <w:rPr>
          <w:w w:val="113"/>
        </w:rPr>
        <w:t>Howe</w:t>
      </w:r>
      <w:r>
        <w:rPr>
          <w:spacing w:val="1"/>
          <w:w w:val="113"/>
        </w:rPr>
        <w:t>;</w:t>
      </w:r>
      <w:r>
        <w:rPr>
          <w:w w:val="102"/>
        </w:rPr>
        <w:t>er,</w:t>
      </w:r>
      <w:r>
        <w:rPr/>
        <w:t> </w:t>
      </w:r>
      <w:r>
        <w:rPr>
          <w:spacing w:val="-20"/>
        </w:rPr>
        <w:t> </w:t>
      </w:r>
      <w:r>
        <w:rPr>
          <w:w w:val="81"/>
        </w:rPr>
        <w:t>if</w:t>
      </w:r>
      <w:r>
        <w:rPr/>
        <w:t> </w:t>
      </w:r>
      <w:r>
        <w:rPr>
          <w:spacing w:val="-21"/>
        </w:rPr>
        <w:t> </w:t>
      </w:r>
      <w:r>
        <w:rPr>
          <w:i/>
          <w:w w:val="88"/>
        </w:rPr>
        <w:t>lz</w:t>
      </w:r>
    </w:p>
    <w:p>
      <w:pPr>
        <w:pStyle w:val="BodyText"/>
        <w:spacing w:line="247" w:lineRule="auto" w:before="73"/>
        <w:ind w:left="123" w:right="129" w:firstLine="7"/>
        <w:jc w:val="both"/>
      </w:pPr>
      <w:r>
        <w:rPr/>
        <w:t>is defined only by a mortality  table,  it  becomes  necessary  to  ob­  tain a value for </w:t>
      </w:r>
      <w:r>
        <w:rPr>
          <w:sz w:val="18"/>
        </w:rPr>
        <w:t>lao </w:t>
      </w:r>
      <w:r>
        <w:rPr>
          <w:sz w:val="15"/>
        </w:rPr>
        <w:t>11a </w:t>
      </w:r>
      <w:r>
        <w:rPr/>
        <w:t>by sorne  approximation  method.  Using  the  data of Table 2, we note that </w:t>
      </w:r>
      <w:r>
        <w:rPr>
          <w:sz w:val="18"/>
        </w:rPr>
        <w:t>lao </w:t>
      </w:r>
      <w:r>
        <w:rPr>
          <w:rFonts w:ascii="Arial" w:hAnsi="Arial"/>
          <w:w w:val="135"/>
          <w:sz w:val="16"/>
        </w:rPr>
        <w:t>= </w:t>
      </w:r>
      <w:r>
        <w:rPr/>
        <w:t>94,401 and </w:t>
      </w:r>
      <w:r>
        <w:rPr>
          <w:spacing w:val="-12"/>
          <w:sz w:val="18"/>
        </w:rPr>
        <w:t>1</w:t>
      </w:r>
      <w:r>
        <w:rPr>
          <w:spacing w:val="-12"/>
          <w:position w:val="-2"/>
          <w:sz w:val="12"/>
        </w:rPr>
        <w:t>31 </w:t>
      </w:r>
      <w:r>
        <w:rPr>
          <w:rFonts w:ascii="Arial" w:hAnsi="Arial"/>
          <w:w w:val="135"/>
          <w:sz w:val="16"/>
        </w:rPr>
        <w:t>= </w:t>
      </w:r>
      <w:r>
        <w:rPr/>
        <w:t>94,254. The simplest  solution  is  to  interpolate  linearly  between   these  two </w:t>
      </w:r>
      <w:r>
        <w:rPr>
          <w:spacing w:val="31"/>
        </w:rPr>
        <w:t> </w:t>
      </w:r>
      <w:r>
        <w:rPr/>
        <w:t>val­</w:t>
      </w:r>
    </w:p>
    <w:p>
      <w:pPr>
        <w:spacing w:line="246" w:lineRule="exact" w:before="0"/>
        <w:ind w:left="123" w:right="0" w:firstLine="0"/>
        <w:jc w:val="both"/>
        <w:rPr>
          <w:sz w:val="20"/>
        </w:rPr>
      </w:pPr>
      <w:r>
        <w:rPr>
          <w:sz w:val="20"/>
        </w:rPr>
        <w:t>ues, obtaining </w:t>
      </w:r>
      <w:r>
        <w:rPr>
          <w:sz w:val="19"/>
        </w:rPr>
        <w:t>l30 </w:t>
      </w:r>
      <w:r>
        <w:rPr>
          <w:sz w:val="15"/>
        </w:rPr>
        <w:t>11a  </w:t>
      </w:r>
      <w:r>
        <w:rPr>
          <w:rFonts w:ascii="Arial"/>
          <w:sz w:val="26"/>
        </w:rPr>
        <w:t>=: </w:t>
      </w:r>
      <w:r>
        <w:rPr>
          <w:sz w:val="19"/>
        </w:rPr>
        <w:t>lao </w:t>
      </w:r>
      <w:r>
        <w:rPr>
          <w:w w:val="255"/>
          <w:sz w:val="19"/>
        </w:rPr>
        <w:t>- </w:t>
      </w:r>
      <w:r>
        <w:rPr>
          <w:w w:val="135"/>
          <w:sz w:val="19"/>
        </w:rPr>
        <w:t>} </w:t>
      </w:r>
      <w:r>
        <w:rPr>
          <w:sz w:val="15"/>
        </w:rPr>
        <w:t>(l30  </w:t>
      </w:r>
      <w:r>
        <w:rPr>
          <w:w w:val="330"/>
          <w:sz w:val="15"/>
        </w:rPr>
        <w:t>- </w:t>
      </w:r>
      <w:r>
        <w:rPr>
          <w:sz w:val="19"/>
        </w:rPr>
        <w:t>la1)  </w:t>
      </w:r>
      <w:r>
        <w:rPr>
          <w:sz w:val="28"/>
        </w:rPr>
        <w:t>= </w:t>
      </w:r>
      <w:r>
        <w:rPr>
          <w:sz w:val="20"/>
        </w:rPr>
        <w:t>94,352.</w:t>
      </w:r>
    </w:p>
    <w:p>
      <w:pPr>
        <w:pStyle w:val="BodyText"/>
        <w:spacing w:line="228" w:lineRule="exact"/>
        <w:ind w:left="126" w:firstLine="205"/>
        <w:jc w:val="both"/>
      </w:pPr>
      <w:r>
        <w:rPr>
          <w:w w:val="105"/>
          <w:sz w:val="21"/>
        </w:rPr>
        <w:t>It </w:t>
      </w:r>
      <w:r>
        <w:rPr>
          <w:w w:val="105"/>
        </w:rPr>
        <w:t>is of  course possible  to  improve  this estímate  by  examining</w:t>
      </w:r>
    </w:p>
    <w:p>
      <w:pPr>
        <w:pStyle w:val="BodyText"/>
        <w:spacing w:line="249" w:lineRule="auto" w:before="9"/>
        <w:ind w:left="126" w:right="134"/>
        <w:jc w:val="both"/>
      </w:pPr>
      <w:r>
        <w:rPr/>
        <w:t>the differences of </w:t>
      </w:r>
      <w:r>
        <w:rPr>
          <w:i/>
        </w:rPr>
        <w:t>lz </w:t>
      </w:r>
      <w:r>
        <w:rPr/>
        <w:t>in the neighborhood of </w:t>
      </w:r>
      <w:r>
        <w:rPr>
          <w:sz w:val="18"/>
        </w:rPr>
        <w:t>lao </w:t>
      </w:r>
      <w:r>
        <w:rPr/>
        <w:t>and adopting an appropriate numerical formula. The linear interpolation  is  widely used, however, and is considered to  be  sufficiently  accurate  for  many practica} purposes.  Since we shall have frequent  use for it in  our later  theory,  let  us  examine  the  nature  of  the  assumption  that </w:t>
      </w:r>
      <w:r>
        <w:rPr>
          <w:sz w:val="21"/>
        </w:rPr>
        <w:t>it</w:t>
      </w:r>
      <w:r>
        <w:rPr>
          <w:spacing w:val="42"/>
          <w:sz w:val="21"/>
        </w:rPr>
        <w:t> </w:t>
      </w:r>
      <w:r>
        <w:rPr/>
        <w:t>involves.</w:t>
      </w:r>
    </w:p>
    <w:p>
      <w:pPr>
        <w:spacing w:after="0" w:line="249" w:lineRule="auto"/>
        <w:jc w:val="both"/>
        <w:sectPr>
          <w:type w:val="continuous"/>
          <w:pgSz w:w="7200" w:h="11340"/>
          <w:pgMar w:top="1100" w:bottom="0" w:left="640" w:right="560"/>
        </w:sectPr>
      </w:pPr>
    </w:p>
    <w:p>
      <w:pPr>
        <w:tabs>
          <w:tab w:pos="1566" w:val="left" w:leader="none"/>
          <w:tab w:pos="5861" w:val="right" w:leader="none"/>
        </w:tabs>
        <w:spacing w:before="60"/>
        <w:ind w:left="124" w:right="0" w:firstLine="0"/>
        <w:jc w:val="left"/>
        <w:rPr>
          <w:sz w:val="20"/>
        </w:rPr>
      </w:pPr>
      <w:r>
        <w:rPr>
          <w:b/>
          <w:color w:val="010101"/>
          <w:sz w:val="15"/>
        </w:rPr>
        <w:t>SEC.</w:t>
      </w:r>
      <w:r>
        <w:rPr>
          <w:b/>
          <w:color w:val="010101"/>
          <w:spacing w:val="32"/>
          <w:sz w:val="15"/>
        </w:rPr>
        <w:t> </w:t>
      </w:r>
      <w:r>
        <w:rPr>
          <w:rFonts w:ascii="Arial"/>
          <w:b/>
          <w:color w:val="010101"/>
          <w:sz w:val="19"/>
        </w:rPr>
        <w:t>6]</w:t>
        <w:tab/>
      </w:r>
      <w:r>
        <w:rPr>
          <w:b/>
          <w:color w:val="010101"/>
          <w:sz w:val="15"/>
        </w:rPr>
        <w:t>METHODS   FOR </w:t>
      </w:r>
      <w:r>
        <w:rPr>
          <w:b/>
          <w:color w:val="010101"/>
          <w:spacing w:val="25"/>
          <w:sz w:val="15"/>
        </w:rPr>
        <w:t> </w:t>
      </w:r>
      <w:r>
        <w:rPr>
          <w:b/>
          <w:color w:val="010101"/>
          <w:sz w:val="15"/>
        </w:rPr>
        <w:t>FRACTIONAL </w:t>
      </w:r>
      <w:r>
        <w:rPr>
          <w:b/>
          <w:color w:val="010101"/>
          <w:spacing w:val="29"/>
          <w:sz w:val="15"/>
        </w:rPr>
        <w:t> </w:t>
      </w:r>
      <w:r>
        <w:rPr>
          <w:b/>
          <w:color w:val="010101"/>
          <w:sz w:val="15"/>
        </w:rPr>
        <w:t>AGES</w:t>
      </w:r>
      <w:r>
        <w:rPr>
          <w:color w:val="010101"/>
          <w:sz w:val="20"/>
        </w:rPr>
        <w:tab/>
      </w:r>
      <w:r>
        <w:rPr>
          <w:color w:val="010101"/>
          <w:spacing w:val="-21"/>
          <w:sz w:val="20"/>
        </w:rPr>
        <w:t>19</w:t>
      </w:r>
    </w:p>
    <w:p>
      <w:pPr>
        <w:pStyle w:val="BodyText"/>
        <w:rPr>
          <w:sz w:val="21"/>
        </w:rPr>
      </w:pPr>
    </w:p>
    <w:p>
      <w:pPr>
        <w:pStyle w:val="BodyText"/>
        <w:spacing w:line="239" w:lineRule="exact"/>
        <w:ind w:left="321"/>
        <w:rPr>
          <w:b/>
          <w:sz w:val="21"/>
        </w:rPr>
      </w:pPr>
      <w:r>
        <w:rPr>
          <w:color w:val="010101"/>
          <w:w w:val="105"/>
        </w:rPr>
        <w:t>The  approximation  which  </w:t>
      </w:r>
      <w:r>
        <w:rPr>
          <w:color w:val="010101"/>
          <w:w w:val="105"/>
          <w:sz w:val="21"/>
        </w:rPr>
        <w:t>it  </w:t>
      </w:r>
      <w:r>
        <w:rPr>
          <w:color w:val="010101"/>
          <w:w w:val="105"/>
        </w:rPr>
        <w:t>produces  may  </w:t>
      </w:r>
      <w:r>
        <w:rPr>
          <w:color w:val="010101"/>
          <w:w w:val="105"/>
          <w:sz w:val="19"/>
        </w:rPr>
        <w:t>be  </w:t>
      </w:r>
      <w:r>
        <w:rPr>
          <w:color w:val="010101"/>
          <w:w w:val="105"/>
        </w:rPr>
        <w:t>expressed </w:t>
      </w:r>
      <w:r>
        <w:rPr>
          <w:b/>
          <w:color w:val="010101"/>
          <w:w w:val="105"/>
          <w:sz w:val="21"/>
        </w:rPr>
        <w:t>ana-</w:t>
      </w:r>
    </w:p>
    <w:p>
      <w:pPr>
        <w:pStyle w:val="BodyText"/>
        <w:tabs>
          <w:tab w:pos="4116" w:val="left" w:leader="none"/>
        </w:tabs>
        <w:spacing w:line="227" w:lineRule="exact"/>
        <w:ind w:left="121"/>
        <w:jc w:val="both"/>
      </w:pPr>
      <w:r>
        <w:rPr>
          <w:color w:val="010101"/>
        </w:rPr>
        <w:t>lytically </w:t>
      </w:r>
      <w:r>
        <w:rPr>
          <w:color w:val="010101"/>
          <w:spacing w:val="8"/>
        </w:rPr>
        <w:t> </w:t>
      </w:r>
      <w:r>
        <w:rPr>
          <w:color w:val="010101"/>
        </w:rPr>
        <w:t>as</w:t>
        <w:tab/>
      </w:r>
      <w:r>
        <w:rPr>
          <w:color w:val="2F2F2F"/>
        </w:rPr>
        <w:t>·</w:t>
      </w:r>
    </w:p>
    <w:p>
      <w:pPr>
        <w:spacing w:line="173" w:lineRule="exact" w:before="150"/>
        <w:ind w:left="3529" w:right="739" w:firstLine="0"/>
        <w:jc w:val="left"/>
        <w:rPr>
          <w:rFonts w:ascii="Arial"/>
          <w:i/>
          <w:sz w:val="20"/>
        </w:rPr>
      </w:pPr>
      <w:r>
        <w:rPr/>
        <w:drawing>
          <wp:anchor distT="0" distB="0" distL="0" distR="0" allowOverlap="1" layoutInCell="1" locked="0" behindDoc="1" simplePos="0" relativeHeight="267701567">
            <wp:simplePos x="0" y="0"/>
            <wp:positionH relativeFrom="page">
              <wp:posOffset>1060703</wp:posOffset>
            </wp:positionH>
            <wp:positionV relativeFrom="paragraph">
              <wp:posOffset>182674</wp:posOffset>
            </wp:positionV>
            <wp:extent cx="1307592" cy="137160"/>
            <wp:effectExtent l="0" t="0" r="0" b="0"/>
            <wp:wrapNone/>
            <wp:docPr id="9" name="image8.png" descr=""/>
            <wp:cNvGraphicFramePr>
              <a:graphicFrameLocks noChangeAspect="1"/>
            </wp:cNvGraphicFramePr>
            <a:graphic>
              <a:graphicData uri="http://schemas.openxmlformats.org/drawingml/2006/picture">
                <pic:pic>
                  <pic:nvPicPr>
                    <pic:cNvPr id="10" name="image8.png"/>
                    <pic:cNvPicPr/>
                  </pic:nvPicPr>
                  <pic:blipFill>
                    <a:blip r:embed="rId12" cstate="print"/>
                    <a:stretch>
                      <a:fillRect/>
                    </a:stretch>
                  </pic:blipFill>
                  <pic:spPr>
                    <a:xfrm>
                      <a:off x="0" y="0"/>
                      <a:ext cx="1307592" cy="137160"/>
                    </a:xfrm>
                    <a:prstGeom prst="rect">
                      <a:avLst/>
                    </a:prstGeom>
                  </pic:spPr>
                </pic:pic>
              </a:graphicData>
            </a:graphic>
          </wp:anchor>
        </w:drawing>
      </w:r>
      <w:r>
        <w:rPr>
          <w:color w:val="414141"/>
          <w:w w:val="90"/>
          <w:sz w:val="19"/>
        </w:rPr>
        <w:t>.  </w:t>
      </w:r>
      <w:r>
        <w:rPr>
          <w:color w:val="010101"/>
          <w:sz w:val="19"/>
        </w:rPr>
        <w:t>for  </w:t>
      </w:r>
      <w:r>
        <w:rPr>
          <w:color w:val="010101"/>
          <w:sz w:val="20"/>
        </w:rPr>
        <w:t>integral </w:t>
      </w:r>
      <w:r>
        <w:rPr>
          <w:rFonts w:ascii="Arial"/>
          <w:i/>
          <w:color w:val="010101"/>
          <w:sz w:val="20"/>
        </w:rPr>
        <w:t>x</w:t>
      </w:r>
    </w:p>
    <w:p>
      <w:pPr>
        <w:tabs>
          <w:tab w:pos="4456" w:val="left" w:leader="none"/>
          <w:tab w:pos="4846" w:val="left" w:leader="none"/>
          <w:tab w:pos="5221" w:val="left" w:leader="none"/>
        </w:tabs>
        <w:spacing w:line="302" w:lineRule="exact" w:before="0"/>
        <w:ind w:left="128" w:right="133" w:firstLine="3515"/>
        <w:jc w:val="left"/>
        <w:rPr>
          <w:sz w:val="20"/>
        </w:rPr>
      </w:pPr>
      <w:r>
        <w:rPr>
          <w:color w:val="010101"/>
          <w:w w:val="105"/>
          <w:position w:val="-12"/>
          <w:sz w:val="20"/>
        </w:rPr>
        <w:t>and</w:t>
      </w:r>
      <w:r>
        <w:rPr>
          <w:color w:val="010101"/>
          <w:spacing w:val="-2"/>
          <w:w w:val="105"/>
          <w:position w:val="-12"/>
          <w:sz w:val="20"/>
        </w:rPr>
        <w:t> </w:t>
      </w:r>
      <w:r>
        <w:rPr>
          <w:rFonts w:ascii="Arial"/>
          <w:color w:val="010101"/>
          <w:w w:val="105"/>
          <w:position w:val="-12"/>
          <w:sz w:val="19"/>
        </w:rPr>
        <w:t>O</w:t>
        <w:tab/>
      </w:r>
      <w:r>
        <w:rPr>
          <w:rFonts w:ascii="Arial"/>
          <w:i/>
          <w:color w:val="010101"/>
          <w:w w:val="105"/>
          <w:position w:val="-12"/>
          <w:sz w:val="17"/>
        </w:rPr>
        <w:t>t</w:t>
        <w:tab/>
      </w:r>
      <w:r>
        <w:rPr>
          <w:color w:val="010101"/>
          <w:w w:val="130"/>
          <w:position w:val="-12"/>
          <w:sz w:val="20"/>
        </w:rPr>
        <w:t>l.</w:t>
        <w:tab/>
      </w:r>
      <w:r>
        <w:rPr>
          <w:color w:val="010101"/>
          <w:spacing w:val="-3"/>
          <w:w w:val="105"/>
          <w:sz w:val="20"/>
        </w:rPr>
        <w:t>(1.23a)</w:t>
      </w:r>
    </w:p>
    <w:p>
      <w:pPr>
        <w:pStyle w:val="BodyText"/>
        <w:spacing w:line="244" w:lineRule="auto" w:before="119"/>
        <w:ind w:left="128" w:right="126"/>
        <w:jc w:val="both"/>
      </w:pPr>
      <w:r>
        <w:rPr>
          <w:color w:val="010101"/>
          <w:w w:val="105"/>
        </w:rPr>
        <w:t>Graphically, the as.5umption involves the replacement </w:t>
      </w:r>
      <w:r>
        <w:rPr>
          <w:color w:val="010101"/>
          <w:w w:val="105"/>
          <w:sz w:val="21"/>
        </w:rPr>
        <w:t>of the </w:t>
      </w:r>
      <w:r>
        <w:rPr>
          <w:i/>
          <w:color w:val="010101"/>
          <w:w w:val="105"/>
          <w:sz w:val="21"/>
        </w:rPr>
        <w:t>lz </w:t>
      </w:r>
      <w:r>
        <w:rPr>
          <w:color w:val="010101"/>
          <w:w w:val="105"/>
        </w:rPr>
        <w:t>curve by a polygonal graph consisting of straight-line segments joining  </w:t>
      </w:r>
      <w:r>
        <w:rPr>
          <w:color w:val="010101"/>
          <w:w w:val="105"/>
          <w:sz w:val="21"/>
        </w:rPr>
        <w:t>the </w:t>
      </w:r>
      <w:r>
        <w:rPr>
          <w:color w:val="010101"/>
          <w:w w:val="105"/>
        </w:rPr>
        <w:t>points at integral a.ges.</w:t>
      </w:r>
    </w:p>
    <w:p>
      <w:pPr>
        <w:pStyle w:val="BodyText"/>
        <w:spacing w:line="249" w:lineRule="exact"/>
        <w:ind w:left="332" w:right="739"/>
      </w:pPr>
      <w:r>
        <w:rPr>
          <w:color w:val="010101"/>
          <w:sz w:val="27"/>
        </w:rPr>
        <w:t>Ir' </w:t>
      </w:r>
      <w:r>
        <w:rPr>
          <w:color w:val="010101"/>
        </w:rPr>
        <w:t>we write  (1.23a) as</w:t>
      </w:r>
    </w:p>
    <w:p>
      <w:pPr>
        <w:tabs>
          <w:tab w:pos="3862" w:val="left" w:leader="none"/>
          <w:tab w:pos="4255" w:val="left" w:leader="none"/>
          <w:tab w:pos="5228" w:val="left" w:leader="none"/>
        </w:tabs>
        <w:spacing w:before="108"/>
        <w:ind w:left="1580" w:right="123" w:firstLine="0"/>
        <w:jc w:val="left"/>
        <w:rPr>
          <w:sz w:val="20"/>
        </w:rPr>
      </w:pPr>
      <w:r>
        <w:rPr>
          <w:position w:val="-3"/>
        </w:rPr>
        <w:drawing>
          <wp:inline distT="0" distB="0" distL="0" distR="0">
            <wp:extent cx="941831" cy="128015"/>
            <wp:effectExtent l="0" t="0" r="0" b="0"/>
            <wp:docPr id="11" name="image9.png" descr=""/>
            <wp:cNvGraphicFramePr>
              <a:graphicFrameLocks noChangeAspect="1"/>
            </wp:cNvGraphicFramePr>
            <a:graphic>
              <a:graphicData uri="http://schemas.openxmlformats.org/drawingml/2006/picture">
                <pic:pic>
                  <pic:nvPicPr>
                    <pic:cNvPr id="12" name="image9.png"/>
                    <pic:cNvPicPr/>
                  </pic:nvPicPr>
                  <pic:blipFill>
                    <a:blip r:embed="rId13" cstate="print"/>
                    <a:stretch>
                      <a:fillRect/>
                    </a:stretch>
                  </pic:blipFill>
                  <pic:spPr>
                    <a:xfrm>
                      <a:off x="0" y="0"/>
                      <a:ext cx="941831" cy="128015"/>
                    </a:xfrm>
                    <a:prstGeom prst="rect">
                      <a:avLst/>
                    </a:prstGeom>
                  </pic:spPr>
                </pic:pic>
              </a:graphicData>
            </a:graphic>
          </wp:inline>
        </w:drawing>
      </w:r>
      <w:r>
        <w:rPr>
          <w:position w:val="-3"/>
        </w:rPr>
      </w:r>
      <w:r>
        <w:rPr>
          <w:sz w:val="20"/>
        </w:rPr>
        <w:t>      </w:t>
      </w:r>
      <w:r>
        <w:rPr>
          <w:color w:val="010101"/>
          <w:sz w:val="21"/>
        </w:rPr>
        <w:t>O</w:t>
        <w:tab/>
      </w:r>
      <w:r>
        <w:rPr>
          <w:i/>
          <w:color w:val="010101"/>
          <w:sz w:val="21"/>
        </w:rPr>
        <w:t>t</w:t>
        <w:tab/>
      </w:r>
      <w:r>
        <w:rPr>
          <w:color w:val="010101"/>
          <w:spacing w:val="-18"/>
          <w:sz w:val="21"/>
        </w:rPr>
        <w:t>1,</w:t>
        <w:tab/>
      </w:r>
      <w:r>
        <w:rPr>
          <w:color w:val="010101"/>
          <w:position w:val="2"/>
          <w:sz w:val="20"/>
        </w:rPr>
        <w:t>(1.23b)</w:t>
      </w:r>
    </w:p>
    <w:p>
      <w:pPr>
        <w:pStyle w:val="BodyText"/>
        <w:spacing w:line="189" w:lineRule="exact" w:before="107"/>
        <w:ind w:left="135"/>
        <w:jc w:val="both"/>
      </w:pPr>
      <w:r>
        <w:rPr>
          <w:color w:val="010101"/>
          <w:w w:val="105"/>
        </w:rPr>
        <w:t>it is apparent that </w:t>
      </w:r>
      <w:r>
        <w:rPr>
          <w:rFonts w:ascii="Arial"/>
          <w:color w:val="010101"/>
          <w:w w:val="105"/>
          <w:sz w:val="19"/>
        </w:rPr>
        <w:t>a </w:t>
      </w:r>
      <w:r>
        <w:rPr>
          <w:color w:val="010101"/>
          <w:w w:val="105"/>
        </w:rPr>
        <w:t>t-th part </w:t>
      </w:r>
      <w:r>
        <w:rPr>
          <w:rFonts w:ascii="Arial"/>
          <w:color w:val="010101"/>
          <w:w w:val="105"/>
          <w:sz w:val="19"/>
        </w:rPr>
        <w:t>of </w:t>
      </w:r>
      <w:r>
        <w:rPr>
          <w:color w:val="010101"/>
          <w:w w:val="105"/>
        </w:rPr>
        <w:t>the total deaths </w:t>
      </w:r>
      <w:r>
        <w:rPr>
          <w:i/>
          <w:color w:val="010101"/>
          <w:w w:val="105"/>
          <w:sz w:val="21"/>
        </w:rPr>
        <w:t>dz </w:t>
      </w:r>
      <w:r>
        <w:rPr>
          <w:color w:val="010101"/>
          <w:w w:val="105"/>
        </w:rPr>
        <w:t>in the year of a.ge</w:t>
      </w:r>
    </w:p>
    <w:p>
      <w:pPr>
        <w:pStyle w:val="BodyText"/>
        <w:spacing w:line="304" w:lineRule="exact"/>
        <w:ind w:left="131" w:hanging="8"/>
        <w:jc w:val="both"/>
      </w:pPr>
      <w:r>
        <w:rPr>
          <w:i/>
          <w:color w:val="010101"/>
          <w:w w:val="105"/>
        </w:rPr>
        <w:t>x </w:t>
      </w:r>
      <w:r>
        <w:rPr>
          <w:color w:val="010101"/>
          <w:w w:val="105"/>
        </w:rPr>
        <w:t>to </w:t>
      </w:r>
      <w:r>
        <w:rPr>
          <w:i/>
          <w:color w:val="010101"/>
          <w:w w:val="105"/>
        </w:rPr>
        <w:t>x  </w:t>
      </w:r>
      <w:r>
        <w:rPr>
          <w:rFonts w:ascii="Arial"/>
          <w:color w:val="010101"/>
          <w:w w:val="105"/>
          <w:sz w:val="32"/>
        </w:rPr>
        <w:t>+ </w:t>
      </w:r>
      <w:r>
        <w:rPr>
          <w:color w:val="010101"/>
          <w:w w:val="105"/>
        </w:rPr>
        <w:t>1 are assumed  to occur in </w:t>
      </w:r>
      <w:r>
        <w:rPr>
          <w:rFonts w:ascii="Arial"/>
          <w:color w:val="010101"/>
          <w:w w:val="105"/>
          <w:sz w:val="18"/>
        </w:rPr>
        <w:t>a </w:t>
      </w:r>
      <w:r>
        <w:rPr>
          <w:color w:val="010101"/>
          <w:w w:val="105"/>
        </w:rPr>
        <w:t>Hh part of that year. </w:t>
      </w:r>
      <w:r>
        <w:rPr>
          <w:color w:val="010101"/>
          <w:w w:val="105"/>
          <w:sz w:val="22"/>
        </w:rPr>
        <w:t>In </w:t>
      </w:r>
      <w:r>
        <w:rPr>
          <w:color w:val="010101"/>
          <w:w w:val="105"/>
        </w:rPr>
        <w:t>other</w:t>
      </w:r>
    </w:p>
    <w:p>
      <w:pPr>
        <w:pStyle w:val="BodyText"/>
        <w:spacing w:line="247" w:lineRule="auto"/>
        <w:ind w:left="128" w:right="126" w:firstLine="3"/>
        <w:jc w:val="both"/>
      </w:pPr>
      <w:r>
        <w:rPr>
          <w:color w:val="010101"/>
        </w:rPr>
        <w:t>words, we are making the assumption of a </w:t>
      </w:r>
      <w:r>
        <w:rPr>
          <w:i/>
          <w:color w:val="010101"/>
          <w:sz w:val="21"/>
        </w:rPr>
        <w:t>unif orm distribution of </w:t>
      </w:r>
      <w:r>
        <w:rPr>
          <w:rFonts w:ascii="Arial"/>
          <w:i/>
          <w:color w:val="010101"/>
        </w:rPr>
        <w:t>deaths </w:t>
      </w:r>
      <w:r>
        <w:rPr>
          <w:i/>
          <w:color w:val="010101"/>
          <w:sz w:val="21"/>
        </w:rPr>
        <w:t>throughout the year of age. </w:t>
      </w:r>
      <w:r>
        <w:rPr>
          <w:color w:val="010101"/>
        </w:rPr>
        <w:t>Actually, </w:t>
      </w:r>
      <w:r>
        <w:rPr>
          <w:rFonts w:ascii="Arial"/>
          <w:color w:val="010101"/>
          <w:sz w:val="19"/>
        </w:rPr>
        <w:t>of </w:t>
      </w:r>
      <w:r>
        <w:rPr>
          <w:color w:val="010101"/>
        </w:rPr>
        <w:t>com'Se, the deaths in any year of age are not spread evenly  throughout  the year,  and  in  any case where  close  accuracy  is important,  the size and  direction  of  the  error  introduced  by  this  assumption  should  be </w:t>
      </w:r>
      <w:r>
        <w:rPr>
          <w:color w:val="010101"/>
          <w:spacing w:val="2"/>
        </w:rPr>
        <w:t> </w:t>
      </w:r>
      <w:r>
        <w:rPr>
          <w:color w:val="010101"/>
        </w:rPr>
        <w:t>considered.</w:t>
      </w:r>
    </w:p>
    <w:p>
      <w:pPr>
        <w:pStyle w:val="BodyText"/>
        <w:spacing w:line="249" w:lineRule="auto" w:before="3"/>
        <w:ind w:left="135" w:right="123" w:firstLine="196"/>
        <w:jc w:val="both"/>
      </w:pPr>
      <w:r>
        <w:rPr>
          <w:rFonts w:ascii="Arial" w:hAnsi="Arial"/>
          <w:color w:val="010101"/>
          <w:w w:val="105"/>
        </w:rPr>
        <w:t>1t </w:t>
      </w:r>
      <w:r>
        <w:rPr>
          <w:color w:val="010101"/>
          <w:w w:val="105"/>
        </w:rPr>
        <w:t>is important to note the approximations for certain other func­ tions that result from this assumption. The following relations fol­ low directly from  (1.23b):</w:t>
      </w:r>
    </w:p>
    <w:p>
      <w:pPr>
        <w:spacing w:after="0" w:line="249" w:lineRule="auto"/>
        <w:jc w:val="both"/>
        <w:sectPr>
          <w:pgSz w:w="7200" w:h="11340"/>
          <w:pgMar w:top="500" w:bottom="280" w:left="680" w:right="540"/>
        </w:sectPr>
      </w:pPr>
    </w:p>
    <w:p>
      <w:pPr>
        <w:pStyle w:val="BodyText"/>
      </w:pPr>
    </w:p>
    <w:p>
      <w:pPr>
        <w:pStyle w:val="BodyText"/>
        <w:spacing w:before="3"/>
        <w:rPr>
          <w:sz w:val="22"/>
        </w:rPr>
      </w:pPr>
    </w:p>
    <w:p>
      <w:pPr>
        <w:pStyle w:val="BodyText"/>
        <w:ind w:left="135" w:right="-20"/>
      </w:pPr>
      <w:r>
        <w:rPr>
          <w:color w:val="010101"/>
          <w:w w:val="110"/>
        </w:rPr>
        <w:t>and</w:t>
      </w:r>
    </w:p>
    <w:p>
      <w:pPr>
        <w:pStyle w:val="BodyText"/>
        <w:spacing w:before="124"/>
        <w:ind w:left="135"/>
      </w:pPr>
      <w:r>
        <w:rPr/>
        <w:br w:type="column"/>
      </w:r>
      <w:r>
        <w:rPr>
          <w:position w:val="-6"/>
        </w:rPr>
        <w:drawing>
          <wp:inline distT="0" distB="0" distL="0" distR="0">
            <wp:extent cx="832104" cy="137160"/>
            <wp:effectExtent l="0" t="0" r="0" b="0"/>
            <wp:docPr id="13" name="image10.png" descr=""/>
            <wp:cNvGraphicFramePr>
              <a:graphicFrameLocks noChangeAspect="1"/>
            </wp:cNvGraphicFramePr>
            <a:graphic>
              <a:graphicData uri="http://schemas.openxmlformats.org/drawingml/2006/picture">
                <pic:pic>
                  <pic:nvPicPr>
                    <pic:cNvPr id="14" name="image10.png"/>
                    <pic:cNvPicPr/>
                  </pic:nvPicPr>
                  <pic:blipFill>
                    <a:blip r:embed="rId14" cstate="print"/>
                    <a:stretch>
                      <a:fillRect/>
                    </a:stretch>
                  </pic:blipFill>
                  <pic:spPr>
                    <a:xfrm>
                      <a:off x="0" y="0"/>
                      <a:ext cx="832104" cy="137160"/>
                    </a:xfrm>
                    <a:prstGeom prst="rect">
                      <a:avLst/>
                    </a:prstGeom>
                  </pic:spPr>
                </pic:pic>
              </a:graphicData>
            </a:graphic>
          </wp:inline>
        </w:drawing>
      </w:r>
      <w:r>
        <w:rPr>
          <w:position w:val="-6"/>
        </w:rPr>
      </w:r>
      <w:r>
        <w:rPr/>
        <w:t>                                              </w:t>
      </w:r>
      <w:r>
        <w:rPr>
          <w:color w:val="010101"/>
        </w:rPr>
        <w:t>(1.23c)</w:t>
      </w:r>
    </w:p>
    <w:p>
      <w:pPr>
        <w:pStyle w:val="BodyText"/>
        <w:rPr>
          <w:sz w:val="22"/>
        </w:rPr>
      </w:pPr>
    </w:p>
    <w:p>
      <w:pPr>
        <w:pStyle w:val="BodyText"/>
        <w:spacing w:before="4"/>
        <w:rPr>
          <w:sz w:val="17"/>
        </w:rPr>
      </w:pPr>
    </w:p>
    <w:p>
      <w:pPr>
        <w:tabs>
          <w:tab w:pos="1987" w:val="left" w:leader="none"/>
          <w:tab w:pos="2417" w:val="left" w:leader="none"/>
          <w:tab w:pos="2824" w:val="left" w:leader="none"/>
          <w:tab w:pos="3783" w:val="left" w:leader="none"/>
        </w:tabs>
        <w:spacing w:before="0"/>
        <w:ind w:left="1362" w:right="0" w:firstLine="0"/>
        <w:jc w:val="left"/>
        <w:rPr>
          <w:sz w:val="20"/>
        </w:rPr>
      </w:pPr>
      <w:r>
        <w:rPr/>
        <w:drawing>
          <wp:anchor distT="0" distB="0" distL="0" distR="0" allowOverlap="1" layoutInCell="1" locked="0" behindDoc="0" simplePos="0" relativeHeight="2200">
            <wp:simplePos x="0" y="0"/>
            <wp:positionH relativeFrom="page">
              <wp:posOffset>1435608</wp:posOffset>
            </wp:positionH>
            <wp:positionV relativeFrom="paragraph">
              <wp:posOffset>41744</wp:posOffset>
            </wp:positionV>
            <wp:extent cx="539496" cy="128016"/>
            <wp:effectExtent l="0" t="0" r="0" b="0"/>
            <wp:wrapNone/>
            <wp:docPr id="15" name="image11.png" descr=""/>
            <wp:cNvGraphicFramePr>
              <a:graphicFrameLocks noChangeAspect="1"/>
            </wp:cNvGraphicFramePr>
            <a:graphic>
              <a:graphicData uri="http://schemas.openxmlformats.org/drawingml/2006/picture">
                <pic:pic>
                  <pic:nvPicPr>
                    <pic:cNvPr id="16" name="image11.png"/>
                    <pic:cNvPicPr/>
                  </pic:nvPicPr>
                  <pic:blipFill>
                    <a:blip r:embed="rId15" cstate="print"/>
                    <a:stretch>
                      <a:fillRect/>
                    </a:stretch>
                  </pic:blipFill>
                  <pic:spPr>
                    <a:xfrm>
                      <a:off x="0" y="0"/>
                      <a:ext cx="539496" cy="128016"/>
                    </a:xfrm>
                    <a:prstGeom prst="rect">
                      <a:avLst/>
                    </a:prstGeom>
                  </pic:spPr>
                </pic:pic>
              </a:graphicData>
            </a:graphic>
          </wp:anchor>
        </w:drawing>
      </w:r>
      <w:r>
        <w:rPr>
          <w:color w:val="010101"/>
          <w:sz w:val="20"/>
        </w:rPr>
        <w:t>for</w:t>
        <w:tab/>
      </w:r>
      <w:r>
        <w:rPr>
          <w:color w:val="010101"/>
          <w:position w:val="-1"/>
          <w:sz w:val="21"/>
        </w:rPr>
        <w:t>O</w:t>
        <w:tab/>
        <w:t>t</w:t>
        <w:tab/>
      </w:r>
      <w:r>
        <w:rPr>
          <w:color w:val="010101"/>
          <w:w w:val="115"/>
          <w:position w:val="-1"/>
          <w:sz w:val="21"/>
        </w:rPr>
        <w:t>l.</w:t>
        <w:tab/>
      </w:r>
      <w:r>
        <w:rPr>
          <w:color w:val="010101"/>
          <w:sz w:val="20"/>
        </w:rPr>
        <w:t>(1.23d)</w:t>
      </w:r>
    </w:p>
    <w:p>
      <w:pPr>
        <w:spacing w:after="0"/>
        <w:jc w:val="left"/>
        <w:rPr>
          <w:sz w:val="20"/>
        </w:rPr>
        <w:sectPr>
          <w:type w:val="continuous"/>
          <w:pgSz w:w="7200" w:h="11340"/>
          <w:pgMar w:top="1100" w:bottom="0" w:left="680" w:right="540"/>
          <w:cols w:num="2" w:equalWidth="0">
            <w:col w:w="453" w:space="992"/>
            <w:col w:w="4535"/>
          </w:cols>
        </w:sectPr>
      </w:pPr>
    </w:p>
    <w:p>
      <w:pPr>
        <w:pStyle w:val="BodyText"/>
        <w:spacing w:line="254" w:lineRule="auto" w:before="114"/>
        <w:ind w:left="135" w:right="133" w:firstLine="193"/>
      </w:pPr>
      <w:r>
        <w:rPr>
          <w:color w:val="010101"/>
          <w:w w:val="105"/>
        </w:rPr>
        <w:t>A consistent approximation for the force of mortality at frac­ tional  ages may  also be derived. We first write</w:t>
      </w:r>
    </w:p>
    <w:p>
      <w:pPr>
        <w:spacing w:line="206" w:lineRule="exact" w:before="113"/>
        <w:ind w:left="1485" w:right="801" w:firstLine="0"/>
        <w:jc w:val="center"/>
        <w:rPr>
          <w:i/>
          <w:sz w:val="21"/>
        </w:rPr>
      </w:pPr>
      <w:r>
        <w:rPr>
          <w:i/>
          <w:color w:val="010101"/>
          <w:sz w:val="21"/>
        </w:rPr>
        <w:t>Dln-c</w:t>
      </w:r>
    </w:p>
    <w:p>
      <w:pPr>
        <w:spacing w:line="141" w:lineRule="exact" w:before="0"/>
        <w:ind w:left="74" w:right="60" w:firstLine="0"/>
        <w:jc w:val="center"/>
        <w:rPr>
          <w:sz w:val="17"/>
        </w:rPr>
      </w:pPr>
      <w:r>
        <w:rPr>
          <w:b/>
          <w:color w:val="010101"/>
          <w:w w:val="85"/>
          <w:sz w:val="17"/>
        </w:rPr>
        <w:t>P.n-c</w:t>
      </w:r>
      <w:r>
        <w:rPr>
          <w:b/>
          <w:color w:val="010101"/>
          <w:spacing w:val="5"/>
          <w:sz w:val="17"/>
        </w:rPr>
        <w:t> </w:t>
      </w:r>
      <w:r>
        <w:rPr>
          <w:b/>
          <w:color w:val="2F2F2F"/>
          <w:w w:val="46"/>
          <w:sz w:val="17"/>
        </w:rPr>
        <w:t>·</w:t>
      </w:r>
      <w:r>
        <w:rPr>
          <w:b/>
          <w:color w:val="2F2F2F"/>
          <w:spacing w:val="-20"/>
          <w:sz w:val="17"/>
        </w:rPr>
        <w:t> </w:t>
      </w:r>
      <w:r>
        <w:rPr>
          <w:b/>
          <w:color w:val="010101"/>
          <w:w w:val="147"/>
          <w:sz w:val="17"/>
        </w:rPr>
        <w:t>=</w:t>
      </w:r>
      <w:r>
        <w:rPr>
          <w:b/>
          <w:color w:val="010101"/>
          <w:sz w:val="17"/>
        </w:rPr>
        <w:t>  </w:t>
      </w:r>
      <w:r>
        <w:rPr>
          <w:b/>
          <w:color w:val="010101"/>
          <w:spacing w:val="-10"/>
          <w:sz w:val="17"/>
        </w:rPr>
        <w:t> </w:t>
      </w:r>
      <w:r>
        <w:rPr>
          <w:color w:val="010101"/>
          <w:spacing w:val="-10"/>
          <w:w w:val="449"/>
          <w:sz w:val="17"/>
        </w:rPr>
        <w:t>-</w:t>
      </w:r>
      <w:r>
        <w:rPr>
          <w:color w:val="010101"/>
          <w:spacing w:val="-69"/>
          <w:w w:val="449"/>
          <w:sz w:val="17"/>
        </w:rPr>
        <w:t>-</w:t>
      </w:r>
      <w:r>
        <w:rPr>
          <w:color w:val="010101"/>
          <w:w w:val="338"/>
          <w:sz w:val="17"/>
        </w:rPr>
        <w:t>-</w:t>
      </w:r>
      <w:r>
        <w:rPr>
          <w:color w:val="010101"/>
          <w:spacing w:val="-24"/>
          <w:sz w:val="17"/>
        </w:rPr>
        <w:t> </w:t>
      </w:r>
      <w:r>
        <w:rPr>
          <w:color w:val="010101"/>
          <w:w w:val="212"/>
          <w:sz w:val="17"/>
        </w:rPr>
        <w:t>.</w:t>
      </w:r>
    </w:p>
    <w:p>
      <w:pPr>
        <w:spacing w:line="142" w:lineRule="exact" w:before="0"/>
        <w:ind w:left="1485" w:right="786" w:firstLine="0"/>
        <w:jc w:val="center"/>
        <w:rPr>
          <w:b/>
          <w:i/>
          <w:sz w:val="14"/>
        </w:rPr>
      </w:pPr>
      <w:r>
        <w:rPr>
          <w:b/>
          <w:i/>
          <w:color w:val="010101"/>
          <w:w w:val="120"/>
          <w:sz w:val="14"/>
        </w:rPr>
        <w:t>la+i</w:t>
      </w:r>
    </w:p>
    <w:p>
      <w:pPr>
        <w:pStyle w:val="BodyText"/>
        <w:spacing w:line="238" w:lineRule="exact" w:before="113"/>
        <w:ind w:left="128" w:right="134" w:firstLine="10"/>
        <w:jc w:val="both"/>
      </w:pPr>
      <w:r>
        <w:rPr>
          <w:color w:val="010101"/>
          <w:spacing w:val="2"/>
        </w:rPr>
        <w:t>Now </w:t>
      </w:r>
      <w:r>
        <w:rPr>
          <w:color w:val="010101"/>
        </w:rPr>
        <w:t>under our assumption the derivative </w:t>
      </w:r>
      <w:r>
        <w:rPr>
          <w:i/>
          <w:color w:val="010101"/>
          <w:sz w:val="21"/>
        </w:rPr>
        <w:t>Dl:i:+i </w:t>
      </w:r>
      <w:r>
        <w:rPr>
          <w:color w:val="010101"/>
        </w:rPr>
        <w:t>has the constant value </w:t>
      </w:r>
      <w:r>
        <w:rPr>
          <w:i/>
          <w:color w:val="010101"/>
          <w:w w:val="110"/>
        </w:rPr>
        <w:t>-dz </w:t>
      </w:r>
      <w:r>
        <w:rPr>
          <w:color w:val="010101"/>
        </w:rPr>
        <w:t>for O </w:t>
      </w:r>
      <w:r>
        <w:rPr>
          <w:rFonts w:ascii="Arial"/>
          <w:color w:val="010101"/>
          <w:sz w:val="25"/>
        </w:rPr>
        <w:t>&lt; </w:t>
      </w:r>
      <w:r>
        <w:rPr>
          <w:i/>
          <w:color w:val="010101"/>
          <w:sz w:val="21"/>
        </w:rPr>
        <w:t>t </w:t>
      </w:r>
      <w:r>
        <w:rPr>
          <w:rFonts w:ascii="Arial"/>
          <w:color w:val="010101"/>
          <w:sz w:val="25"/>
        </w:rPr>
        <w:t>&lt; </w:t>
      </w:r>
      <w:r>
        <w:rPr>
          <w:color w:val="010101"/>
        </w:rPr>
        <w:t>1, as may </w:t>
      </w:r>
      <w:r>
        <w:rPr>
          <w:color w:val="010101"/>
          <w:sz w:val="19"/>
        </w:rPr>
        <w:t>be </w:t>
      </w:r>
      <w:r>
        <w:rPr>
          <w:color w:val="010101"/>
        </w:rPr>
        <w:t>seen by differentiating  (1.23b)  with  respect  to  </w:t>
      </w:r>
      <w:r>
        <w:rPr>
          <w:i/>
          <w:color w:val="010101"/>
          <w:sz w:val="22"/>
        </w:rPr>
        <w:t>t.</w:t>
      </w:r>
      <w:r>
        <w:rPr>
          <w:i/>
          <w:color w:val="010101"/>
          <w:spacing w:val="12"/>
          <w:sz w:val="22"/>
        </w:rPr>
        <w:t> </w:t>
      </w:r>
      <w:r>
        <w:rPr>
          <w:color w:val="010101"/>
        </w:rPr>
        <w:t>Then</w:t>
      </w:r>
    </w:p>
    <w:p>
      <w:pPr>
        <w:spacing w:before="174"/>
        <w:ind w:left="112" w:right="0" w:firstLine="0"/>
        <w:jc w:val="both"/>
        <w:rPr>
          <w:b/>
          <w:sz w:val="19"/>
        </w:rPr>
      </w:pPr>
      <w:r>
        <w:rPr>
          <w:position w:val="-20"/>
        </w:rPr>
        <w:drawing>
          <wp:inline distT="0" distB="0" distL="0" distR="0">
            <wp:extent cx="3090672" cy="292608"/>
            <wp:effectExtent l="0" t="0" r="0" b="0"/>
            <wp:docPr id="17" name="image12.png" descr=""/>
            <wp:cNvGraphicFramePr>
              <a:graphicFrameLocks noChangeAspect="1"/>
            </wp:cNvGraphicFramePr>
            <a:graphic>
              <a:graphicData uri="http://schemas.openxmlformats.org/drawingml/2006/picture">
                <pic:pic>
                  <pic:nvPicPr>
                    <pic:cNvPr id="18" name="image12.png"/>
                    <pic:cNvPicPr/>
                  </pic:nvPicPr>
                  <pic:blipFill>
                    <a:blip r:embed="rId16" cstate="print"/>
                    <a:stretch>
                      <a:fillRect/>
                    </a:stretch>
                  </pic:blipFill>
                  <pic:spPr>
                    <a:xfrm>
                      <a:off x="0" y="0"/>
                      <a:ext cx="3090672" cy="292608"/>
                    </a:xfrm>
                    <a:prstGeom prst="rect">
                      <a:avLst/>
                    </a:prstGeom>
                  </pic:spPr>
                </pic:pic>
              </a:graphicData>
            </a:graphic>
          </wp:inline>
        </w:drawing>
      </w:r>
      <w:r>
        <w:rPr>
          <w:position w:val="-20"/>
        </w:rPr>
      </w:r>
      <w:r>
        <w:rPr>
          <w:sz w:val="20"/>
        </w:rPr>
        <w:t>    </w:t>
      </w:r>
      <w:r>
        <w:rPr>
          <w:color w:val="010101"/>
          <w:w w:val="105"/>
          <w:sz w:val="19"/>
        </w:rPr>
        <w:t>(</w:t>
      </w:r>
      <w:r>
        <w:rPr>
          <w:color w:val="010101"/>
          <w:spacing w:val="-17"/>
          <w:w w:val="105"/>
          <w:sz w:val="19"/>
        </w:rPr>
        <w:t> </w:t>
      </w:r>
      <w:r>
        <w:rPr>
          <w:b/>
          <w:color w:val="010101"/>
          <w:w w:val="105"/>
          <w:sz w:val="19"/>
        </w:rPr>
        <w:t>1.24a)</w:t>
      </w:r>
    </w:p>
    <w:p>
      <w:pPr>
        <w:pStyle w:val="BodyText"/>
        <w:spacing w:line="228" w:lineRule="auto" w:before="91"/>
        <w:ind w:left="131" w:right="125" w:hanging="8"/>
        <w:jc w:val="both"/>
      </w:pPr>
      <w:r>
        <w:rPr>
          <w:color w:val="010101"/>
        </w:rPr>
        <w:t>This approximation  for </w:t>
      </w:r>
      <w:r>
        <w:rPr>
          <w:i/>
          <w:color w:val="010101"/>
          <w:sz w:val="14"/>
        </w:rPr>
        <w:t>1,&amp;z+t   </w:t>
      </w:r>
      <w:r>
        <w:rPr>
          <w:color w:val="010101"/>
        </w:rPr>
        <w:t>is not  uniformly  good  for all values of </w:t>
      </w:r>
      <w:r>
        <w:rPr>
          <w:i/>
          <w:color w:val="010101"/>
          <w:sz w:val="21"/>
        </w:rPr>
        <w:t>t </w:t>
      </w:r>
      <w:r>
        <w:rPr>
          <w:color w:val="010101"/>
        </w:rPr>
        <w:t>in the interval O </w:t>
      </w:r>
      <w:r>
        <w:rPr>
          <w:color w:val="010101"/>
          <w:sz w:val="23"/>
        </w:rPr>
        <w:t>&lt; </w:t>
      </w:r>
      <w:r>
        <w:rPr>
          <w:i/>
          <w:color w:val="010101"/>
          <w:sz w:val="22"/>
        </w:rPr>
        <w:t>t </w:t>
      </w:r>
      <w:r>
        <w:rPr>
          <w:color w:val="010101"/>
          <w:sz w:val="23"/>
        </w:rPr>
        <w:t>&lt;  </w:t>
      </w:r>
      <w:r>
        <w:rPr>
          <w:color w:val="010101"/>
          <w:w w:val="125"/>
          <w:sz w:val="19"/>
        </w:rPr>
        <w:t>l. </w:t>
      </w:r>
      <w:r>
        <w:rPr>
          <w:color w:val="010101"/>
          <w:sz w:val="21"/>
        </w:rPr>
        <w:t>It  </w:t>
      </w:r>
      <w:r>
        <w:rPr>
          <w:color w:val="010101"/>
        </w:rPr>
        <w:t>produces  a  good  estimate  when applied  </w:t>
      </w:r>
      <w:r>
        <w:rPr>
          <w:color w:val="010101"/>
          <w:sz w:val="19"/>
        </w:rPr>
        <w:t>in  </w:t>
      </w:r>
      <w:r>
        <w:rPr>
          <w:color w:val="010101"/>
        </w:rPr>
        <w:t>the  middle  portion  of  the  year  of  age  where  the </w:t>
      </w:r>
      <w:r>
        <w:rPr>
          <w:color w:val="010101"/>
          <w:spacing w:val="47"/>
        </w:rPr>
        <w:t> </w:t>
      </w:r>
      <w:r>
        <w:rPr>
          <w:color w:val="010101"/>
        </w:rPr>
        <w:t>slope</w:t>
      </w:r>
    </w:p>
    <w:p>
      <w:pPr>
        <w:spacing w:after="0" w:line="228" w:lineRule="auto"/>
        <w:jc w:val="both"/>
        <w:sectPr>
          <w:type w:val="continuous"/>
          <w:pgSz w:w="7200" w:h="11340"/>
          <w:pgMar w:top="1100" w:bottom="0" w:left="680" w:right="540"/>
        </w:sectPr>
      </w:pPr>
    </w:p>
    <w:p>
      <w:pPr>
        <w:tabs>
          <w:tab w:pos="1356" w:val="left" w:leader="none"/>
          <w:tab w:pos="5218" w:val="left" w:leader="none"/>
        </w:tabs>
        <w:spacing w:before="62"/>
        <w:ind w:left="0" w:right="117" w:firstLine="0"/>
        <w:jc w:val="right"/>
        <w:rPr>
          <w:rFonts w:ascii="Arial"/>
          <w:b/>
          <w:sz w:val="18"/>
        </w:rPr>
      </w:pPr>
      <w:r>
        <w:rPr>
          <w:rFonts w:ascii="Arial"/>
          <w:color w:val="010101"/>
          <w:w w:val="105"/>
          <w:position w:val="2"/>
          <w:sz w:val="19"/>
        </w:rPr>
        <w:t>20</w:t>
        <w:tab/>
      </w:r>
      <w:r>
        <w:rPr>
          <w:color w:val="010101"/>
          <w:w w:val="105"/>
          <w:position w:val="1"/>
          <w:sz w:val="16"/>
        </w:rPr>
        <w:t>THE  MEASUREKENT  </w:t>
      </w:r>
      <w:r>
        <w:rPr>
          <w:color w:val="010101"/>
          <w:spacing w:val="8"/>
          <w:w w:val="105"/>
          <w:position w:val="1"/>
          <w:sz w:val="16"/>
        </w:rPr>
        <w:t> </w:t>
      </w:r>
      <w:r>
        <w:rPr>
          <w:rFonts w:ascii="Arial"/>
          <w:b/>
          <w:color w:val="010101"/>
          <w:spacing w:val="-7"/>
          <w:w w:val="105"/>
          <w:position w:val="1"/>
          <w:sz w:val="15"/>
        </w:rPr>
        <w:t>01' </w:t>
      </w:r>
      <w:r>
        <w:rPr>
          <w:rFonts w:ascii="Arial"/>
          <w:b/>
          <w:color w:val="010101"/>
          <w:spacing w:val="-3"/>
          <w:w w:val="105"/>
          <w:position w:val="1"/>
          <w:sz w:val="15"/>
        </w:rPr>
        <w:t> </w:t>
      </w:r>
      <w:r>
        <w:rPr>
          <w:rFonts w:ascii="Arial"/>
          <w:b/>
          <w:color w:val="010101"/>
          <w:w w:val="105"/>
          <w:position w:val="1"/>
          <w:sz w:val="15"/>
        </w:rPr>
        <w:t>MORTALITY</w:t>
        <w:tab/>
      </w:r>
      <w:r>
        <w:rPr>
          <w:rFonts w:ascii="Arial"/>
          <w:b/>
          <w:color w:val="010101"/>
          <w:w w:val="95"/>
          <w:sz w:val="20"/>
        </w:rPr>
        <w:t>[CH.</w:t>
      </w:r>
      <w:r>
        <w:rPr>
          <w:rFonts w:ascii="Arial"/>
          <w:b/>
          <w:color w:val="010101"/>
          <w:spacing w:val="-26"/>
          <w:w w:val="95"/>
          <w:sz w:val="20"/>
        </w:rPr>
        <w:t> </w:t>
      </w:r>
      <w:r>
        <w:rPr>
          <w:rFonts w:ascii="Arial"/>
          <w:b/>
          <w:color w:val="010101"/>
          <w:w w:val="95"/>
          <w:sz w:val="18"/>
        </w:rPr>
        <w:t>1</w:t>
      </w:r>
    </w:p>
    <w:p>
      <w:pPr>
        <w:pStyle w:val="BodyText"/>
        <w:spacing w:before="4"/>
        <w:rPr>
          <w:rFonts w:ascii="Arial"/>
          <w:b/>
          <w:sz w:val="19"/>
        </w:rPr>
      </w:pPr>
    </w:p>
    <w:p>
      <w:pPr>
        <w:pStyle w:val="BodyText"/>
        <w:spacing w:line="247" w:lineRule="auto"/>
        <w:ind w:left="136" w:right="140" w:firstLine="7"/>
        <w:jc w:val="right"/>
        <w:rPr>
          <w:b/>
          <w:sz w:val="21"/>
        </w:rPr>
      </w:pPr>
      <w:r>
        <w:rPr>
          <w:color w:val="010101"/>
          <w:w w:val="105"/>
        </w:rPr>
        <w:t>of the </w:t>
      </w:r>
      <w:r>
        <w:rPr>
          <w:color w:val="010101"/>
        </w:rPr>
        <w:t>&amp;8SUIIled </w:t>
      </w:r>
      <w:r>
        <w:rPr>
          <w:color w:val="010101"/>
          <w:w w:val="105"/>
        </w:rPr>
        <w:t>straight-line segment does not</w:t>
      </w:r>
      <w:r>
        <w:rPr>
          <w:color w:val="010101"/>
          <w:spacing w:val="5"/>
          <w:w w:val="105"/>
        </w:rPr>
        <w:t> </w:t>
      </w:r>
      <w:r>
        <w:rPr>
          <w:rFonts w:ascii="Arial" w:hAnsi="Arial"/>
          <w:color w:val="010101"/>
          <w:w w:val="105"/>
          <w:sz w:val="21"/>
        </w:rPr>
        <w:t>cliff</w:t>
      </w:r>
      <w:r>
        <w:rPr>
          <w:b/>
          <w:color w:val="010101"/>
          <w:w w:val="105"/>
          <w:sz w:val="22"/>
        </w:rPr>
        <w:t>er</w:t>
      </w:r>
      <w:r>
        <w:rPr>
          <w:b/>
          <w:color w:val="010101"/>
          <w:spacing w:val="15"/>
          <w:w w:val="105"/>
          <w:sz w:val="22"/>
        </w:rPr>
        <w:t> </w:t>
      </w:r>
      <w:r>
        <w:rPr>
          <w:rFonts w:ascii="Arial" w:hAnsi="Arial"/>
          <w:b/>
          <w:color w:val="010101"/>
          <w:w w:val="105"/>
          <w:sz w:val="18"/>
        </w:rPr>
        <w:t>materially</w:t>
      </w:r>
      <w:r>
        <w:rPr>
          <w:rFonts w:ascii="Arial" w:hAnsi="Arial"/>
          <w:b/>
          <w:color w:val="010101"/>
          <w:w w:val="102"/>
          <w:sz w:val="18"/>
        </w:rPr>
        <w:t> </w:t>
      </w:r>
      <w:r>
        <w:rPr>
          <w:color w:val="010101"/>
          <w:w w:val="105"/>
        </w:rPr>
        <w:t>from the slope of the true </w:t>
      </w:r>
      <w:r>
        <w:rPr>
          <w:i/>
          <w:color w:val="010101"/>
          <w:w w:val="105"/>
        </w:rPr>
        <w:t>lz </w:t>
      </w:r>
      <w:r>
        <w:rPr>
          <w:color w:val="010101"/>
          <w:w w:val="105"/>
        </w:rPr>
        <w:t>curve, but</w:t>
      </w:r>
      <w:r>
        <w:rPr>
          <w:color w:val="010101"/>
          <w:spacing w:val="6"/>
          <w:w w:val="105"/>
        </w:rPr>
        <w:t> </w:t>
      </w:r>
      <w:r>
        <w:rPr>
          <w:color w:val="010101"/>
          <w:w w:val="105"/>
        </w:rPr>
        <w:t>yields only </w:t>
      </w:r>
      <w:r>
        <w:rPr>
          <w:b/>
          <w:color w:val="010101"/>
          <w:w w:val="105"/>
        </w:rPr>
        <w:t>a rough</w:t>
      </w:r>
      <w:r>
        <w:rPr>
          <w:b/>
          <w:color w:val="010101"/>
          <w:spacing w:val="21"/>
          <w:w w:val="105"/>
        </w:rPr>
        <w:t> </w:t>
      </w:r>
      <w:r>
        <w:rPr>
          <w:b/>
          <w:color w:val="010101"/>
          <w:w w:val="105"/>
        </w:rPr>
        <w:t>esti­</w:t>
      </w:r>
      <w:r>
        <w:rPr>
          <w:b/>
          <w:color w:val="010101"/>
          <w:w w:val="101"/>
        </w:rPr>
        <w:t> </w:t>
      </w:r>
      <w:r>
        <w:rPr>
          <w:color w:val="010101"/>
          <w:w w:val="105"/>
        </w:rPr>
        <w:t>mate near the ends of the interval where the slope of </w:t>
      </w:r>
      <w:r>
        <w:rPr>
          <w:rFonts w:ascii="Arial" w:hAnsi="Arial"/>
          <w:i/>
          <w:color w:val="010101"/>
          <w:w w:val="125"/>
        </w:rPr>
        <w:t>l.</w:t>
      </w:r>
      <w:r>
        <w:rPr>
          <w:rFonts w:ascii="Arial" w:hAnsi="Arial"/>
          <w:i/>
          <w:color w:val="010101"/>
          <w:spacing w:val="-48"/>
          <w:w w:val="125"/>
        </w:rPr>
        <w:t> </w:t>
      </w:r>
      <w:r>
        <w:rPr>
          <w:rFonts w:ascii="Arial" w:hAnsi="Arial"/>
          <w:color w:val="010101"/>
          <w:w w:val="105"/>
          <w:sz w:val="19"/>
        </w:rPr>
        <w:t>is</w:t>
      </w:r>
      <w:r>
        <w:rPr>
          <w:rFonts w:ascii="Arial" w:hAnsi="Arial"/>
          <w:color w:val="010101"/>
          <w:spacing w:val="7"/>
          <w:w w:val="105"/>
          <w:sz w:val="19"/>
        </w:rPr>
        <w:t> </w:t>
      </w:r>
      <w:r>
        <w:rPr>
          <w:color w:val="010101"/>
          <w:w w:val="105"/>
        </w:rPr>
        <w:t>more</w:t>
      </w:r>
      <w:r>
        <w:rPr>
          <w:color w:val="010101"/>
          <w:w w:val="103"/>
        </w:rPr>
        <w:t> </w:t>
      </w:r>
      <w:r>
        <w:rPr>
          <w:color w:val="010101"/>
          <w:w w:val="105"/>
        </w:rPr>
        <w:t>greatly distorted by the nature of the underlying</w:t>
      </w:r>
      <w:r>
        <w:rPr>
          <w:color w:val="010101"/>
          <w:spacing w:val="36"/>
          <w:w w:val="105"/>
        </w:rPr>
        <w:t> </w:t>
      </w:r>
      <w:r>
        <w:rPr>
          <w:color w:val="010101"/>
          <w:w w:val="105"/>
        </w:rPr>
        <w:t>assumption.</w:t>
      </w:r>
      <w:r>
        <w:rPr>
          <w:color w:val="010101"/>
          <w:spacing w:val="45"/>
          <w:w w:val="105"/>
        </w:rPr>
        <w:t> </w:t>
      </w:r>
      <w:r>
        <w:rPr>
          <w:color w:val="010101"/>
          <w:w w:val="105"/>
        </w:rPr>
        <w:t>In</w:t>
      </w:r>
      <w:r>
        <w:rPr>
          <w:color w:val="010101"/>
          <w:w w:val="111"/>
        </w:rPr>
        <w:t> </w:t>
      </w:r>
      <w:r>
        <w:rPr>
          <w:color w:val="010101"/>
          <w:w w:val="105"/>
        </w:rPr>
        <w:t>fa.et,</w:t>
      </w:r>
      <w:r>
        <w:rPr>
          <w:color w:val="010101"/>
          <w:spacing w:val="-8"/>
          <w:w w:val="105"/>
        </w:rPr>
        <w:t> </w:t>
      </w:r>
      <w:r>
        <w:rPr>
          <w:color w:val="010101"/>
          <w:w w:val="105"/>
        </w:rPr>
        <w:t>as</w:t>
      </w:r>
      <w:r>
        <w:rPr>
          <w:color w:val="010101"/>
          <w:spacing w:val="-15"/>
          <w:w w:val="105"/>
        </w:rPr>
        <w:t> </w:t>
      </w:r>
      <w:r>
        <w:rPr>
          <w:rFonts w:ascii="Arial" w:hAnsi="Arial"/>
          <w:i/>
          <w:color w:val="010101"/>
          <w:w w:val="105"/>
          <w:sz w:val="18"/>
        </w:rPr>
        <w:t>t</w:t>
      </w:r>
      <w:r>
        <w:rPr>
          <w:rFonts w:ascii="Arial" w:hAnsi="Arial"/>
          <w:i/>
          <w:color w:val="010101"/>
          <w:spacing w:val="-5"/>
          <w:w w:val="105"/>
          <w:sz w:val="18"/>
        </w:rPr>
        <w:t> </w:t>
      </w:r>
      <w:r>
        <w:rPr>
          <w:color w:val="010101"/>
          <w:w w:val="105"/>
        </w:rPr>
        <w:t>approaches</w:t>
      </w:r>
      <w:r>
        <w:rPr>
          <w:color w:val="010101"/>
          <w:spacing w:val="-11"/>
          <w:w w:val="105"/>
        </w:rPr>
        <w:t> </w:t>
      </w:r>
      <w:r>
        <w:rPr>
          <w:color w:val="010101"/>
        </w:rPr>
        <w:t>O</w:t>
      </w:r>
      <w:r>
        <w:rPr>
          <w:color w:val="010101"/>
          <w:spacing w:val="-10"/>
        </w:rPr>
        <w:t> </w:t>
      </w:r>
      <w:r>
        <w:rPr>
          <w:color w:val="010101"/>
          <w:w w:val="105"/>
        </w:rPr>
        <w:t>in</w:t>
      </w:r>
      <w:r>
        <w:rPr>
          <w:color w:val="010101"/>
          <w:spacing w:val="15"/>
          <w:w w:val="105"/>
        </w:rPr>
        <w:t> </w:t>
      </w:r>
      <w:r>
        <w:rPr>
          <w:color w:val="010101"/>
          <w:w w:val="105"/>
        </w:rPr>
        <w:t>(1.24a),</w:t>
      </w:r>
      <w:r>
        <w:rPr>
          <w:color w:val="010101"/>
          <w:spacing w:val="-13"/>
          <w:w w:val="105"/>
        </w:rPr>
        <w:t> </w:t>
      </w:r>
      <w:r>
        <w:rPr>
          <w:color w:val="010101"/>
          <w:w w:val="105"/>
        </w:rPr>
        <w:t>we</w:t>
      </w:r>
      <w:r>
        <w:rPr>
          <w:color w:val="010101"/>
          <w:spacing w:val="-14"/>
          <w:w w:val="105"/>
        </w:rPr>
        <w:t> </w:t>
      </w:r>
      <w:r>
        <w:rPr>
          <w:color w:val="010101"/>
          <w:w w:val="105"/>
        </w:rPr>
        <w:t>find</w:t>
      </w:r>
      <w:r>
        <w:rPr>
          <w:color w:val="010101"/>
          <w:spacing w:val="-6"/>
          <w:w w:val="105"/>
        </w:rPr>
        <w:t> </w:t>
      </w:r>
      <w:r>
        <w:rPr>
          <w:color w:val="010101"/>
          <w:w w:val="105"/>
        </w:rPr>
        <w:t>that</w:t>
      </w:r>
      <w:r>
        <w:rPr>
          <w:color w:val="010101"/>
          <w:spacing w:val="-8"/>
          <w:w w:val="105"/>
        </w:rPr>
        <w:t> </w:t>
      </w:r>
      <w:r>
        <w:rPr>
          <w:color w:val="010101"/>
          <w:sz w:val="16"/>
        </w:rPr>
        <w:t>J.&amp;s+c</w:t>
      </w:r>
      <w:r>
        <w:rPr>
          <w:color w:val="010101"/>
          <w:spacing w:val="4"/>
          <w:sz w:val="16"/>
        </w:rPr>
        <w:t> </w:t>
      </w:r>
      <w:r>
        <w:rPr>
          <w:color w:val="010101"/>
          <w:w w:val="105"/>
        </w:rPr>
        <w:t>a.pproaches</w:t>
      </w:r>
      <w:r>
        <w:rPr>
          <w:color w:val="010101"/>
          <w:spacing w:val="-9"/>
          <w:w w:val="105"/>
        </w:rPr>
        <w:t> </w:t>
      </w:r>
      <w:r>
        <w:rPr>
          <w:rFonts w:ascii="Arial" w:hAnsi="Arial"/>
          <w:i/>
          <w:color w:val="010101"/>
          <w:spacing w:val="-5"/>
          <w:w w:val="105"/>
          <w:sz w:val="19"/>
        </w:rPr>
        <w:t>q•</w:t>
      </w:r>
      <w:r>
        <w:rPr>
          <w:rFonts w:ascii="Arial" w:hAnsi="Arial"/>
          <w:i/>
          <w:color w:val="010101"/>
          <w:spacing w:val="-28"/>
          <w:w w:val="105"/>
          <w:sz w:val="19"/>
        </w:rPr>
        <w:t> </w:t>
      </w:r>
      <w:r>
        <w:rPr>
          <w:rFonts w:ascii="Arial" w:hAnsi="Arial"/>
          <w:color w:val="010101"/>
          <w:sz w:val="19"/>
        </w:rPr>
        <w:t>•</w:t>
      </w:r>
      <w:r>
        <w:rPr>
          <w:rFonts w:ascii="Arial" w:hAnsi="Arial"/>
          <w:color w:val="010101"/>
          <w:w w:val="73"/>
          <w:sz w:val="19"/>
        </w:rPr>
        <w:t> </w:t>
      </w:r>
      <w:r>
        <w:rPr>
          <w:color w:val="010101"/>
          <w:w w:val="105"/>
        </w:rPr>
        <w:t>The expression </w:t>
      </w:r>
      <w:r>
        <w:rPr>
          <w:i/>
          <w:color w:val="010101"/>
          <w:sz w:val="16"/>
        </w:rPr>
        <w:t>1PzJ.&amp;z+1 </w:t>
      </w:r>
      <w:r>
        <w:rPr>
          <w:color w:val="010101"/>
          <w:w w:val="105"/>
        </w:rPr>
        <w:t>occurs frequently, a.nd from </w:t>
      </w:r>
      <w:r>
        <w:rPr>
          <w:b/>
          <w:color w:val="010101"/>
          <w:w w:val="105"/>
          <w:sz w:val="21"/>
        </w:rPr>
        <w:t>(1.24a)</w:t>
      </w:r>
      <w:r>
        <w:rPr>
          <w:b/>
          <w:color w:val="010101"/>
          <w:spacing w:val="23"/>
          <w:w w:val="105"/>
          <w:sz w:val="21"/>
        </w:rPr>
        <w:t> </w:t>
      </w:r>
      <w:r>
        <w:rPr>
          <w:b/>
          <w:color w:val="010101"/>
          <w:w w:val="105"/>
          <w:sz w:val="21"/>
        </w:rPr>
        <w:t>we</w:t>
      </w:r>
    </w:p>
    <w:p>
      <w:pPr>
        <w:pStyle w:val="BodyText"/>
        <w:spacing w:line="214" w:lineRule="exact"/>
        <w:ind w:left="136"/>
      </w:pPr>
      <w:r>
        <w:rPr>
          <w:color w:val="010101"/>
        </w:rPr>
        <w:t>ha.ve</w:t>
      </w:r>
    </w:p>
    <w:p>
      <w:pPr>
        <w:tabs>
          <w:tab w:pos="2925" w:val="left" w:leader="none"/>
          <w:tab w:pos="5240" w:val="left" w:leader="none"/>
        </w:tabs>
        <w:spacing w:line="330" w:lineRule="atLeast" w:before="66"/>
        <w:ind w:left="327" w:right="151" w:firstLine="1356"/>
        <w:jc w:val="left"/>
        <w:rPr>
          <w:sz w:val="20"/>
        </w:rPr>
      </w:pPr>
      <w:r>
        <w:rPr>
          <w:i/>
          <w:color w:val="010101"/>
          <w:sz w:val="16"/>
        </w:rPr>
        <w:t>tPzJ.&amp;z+I</w:t>
      </w:r>
      <w:r>
        <w:rPr>
          <w:i/>
          <w:color w:val="010101"/>
          <w:spacing w:val="25"/>
          <w:sz w:val="16"/>
        </w:rPr>
        <w:t> </w:t>
      </w:r>
      <w:r>
        <w:rPr>
          <w:rFonts w:ascii="Arial"/>
          <w:color w:val="010101"/>
          <w:sz w:val="21"/>
        </w:rPr>
        <w:t>=;</w:t>
      </w:r>
      <w:r>
        <w:rPr>
          <w:rFonts w:ascii="Arial"/>
          <w:color w:val="010101"/>
          <w:spacing w:val="-14"/>
          <w:sz w:val="21"/>
        </w:rPr>
        <w:t> </w:t>
      </w:r>
      <w:r>
        <w:rPr>
          <w:i/>
          <w:color w:val="010101"/>
          <w:sz w:val="16"/>
        </w:rPr>
        <w:t>qz</w:t>
        <w:tab/>
      </w:r>
      <w:r>
        <w:rPr>
          <w:color w:val="010101"/>
          <w:sz w:val="20"/>
        </w:rPr>
        <w:t>for    </w:t>
      </w:r>
      <w:r>
        <w:rPr>
          <w:rFonts w:ascii="Arial"/>
          <w:color w:val="010101"/>
          <w:sz w:val="19"/>
        </w:rPr>
        <w:t>O  </w:t>
      </w:r>
      <w:r>
        <w:rPr>
          <w:rFonts w:ascii="Arial"/>
          <w:color w:val="010101"/>
          <w:sz w:val="26"/>
        </w:rPr>
        <w:t>&lt; </w:t>
      </w:r>
      <w:r>
        <w:rPr>
          <w:rFonts w:ascii="Arial"/>
          <w:i/>
          <w:color w:val="010101"/>
          <w:sz w:val="17"/>
        </w:rPr>
        <w:t>t</w:t>
      </w:r>
      <w:r>
        <w:rPr>
          <w:rFonts w:ascii="Arial"/>
          <w:i/>
          <w:color w:val="010101"/>
          <w:spacing w:val="40"/>
          <w:sz w:val="17"/>
        </w:rPr>
        <w:t> </w:t>
      </w:r>
      <w:r>
        <w:rPr>
          <w:rFonts w:ascii="Arial"/>
          <w:color w:val="010101"/>
          <w:sz w:val="26"/>
        </w:rPr>
        <w:t>&lt;</w:t>
      </w:r>
      <w:r>
        <w:rPr>
          <w:rFonts w:ascii="Arial"/>
          <w:color w:val="010101"/>
          <w:spacing w:val="10"/>
          <w:sz w:val="26"/>
        </w:rPr>
        <w:t> </w:t>
      </w:r>
      <w:r>
        <w:rPr>
          <w:color w:val="010101"/>
          <w:w w:val="130"/>
          <w:sz w:val="20"/>
        </w:rPr>
        <w:t>l.</w:t>
        <w:tab/>
      </w:r>
      <w:r>
        <w:rPr>
          <w:color w:val="010101"/>
          <w:sz w:val="20"/>
        </w:rPr>
        <w:t>(1.24b) Another  a.ssumption  </w:t>
      </w:r>
      <w:r>
        <w:rPr>
          <w:color w:val="010101"/>
          <w:spacing w:val="-3"/>
          <w:sz w:val="20"/>
        </w:rPr>
        <w:t>wh1ch  </w:t>
      </w:r>
      <w:r>
        <w:rPr>
          <w:color w:val="010101"/>
          <w:sz w:val="20"/>
        </w:rPr>
        <w:t>has  proved  valuable  in  dealing</w:t>
      </w:r>
      <w:r>
        <w:rPr>
          <w:color w:val="010101"/>
          <w:spacing w:val="27"/>
          <w:sz w:val="20"/>
        </w:rPr>
        <w:t> </w:t>
      </w:r>
      <w:r>
        <w:rPr>
          <w:color w:val="010101"/>
          <w:sz w:val="20"/>
        </w:rPr>
        <w:t>with</w:t>
      </w:r>
    </w:p>
    <w:p>
      <w:pPr>
        <w:pStyle w:val="BodyText"/>
        <w:tabs>
          <w:tab w:pos="4336" w:val="left" w:leader="none"/>
          <w:tab w:pos="4720" w:val="left" w:leader="none"/>
        </w:tabs>
        <w:spacing w:line="235" w:lineRule="auto" w:before="11"/>
        <w:ind w:left="133" w:right="241" w:hanging="4"/>
      </w:pPr>
      <w:r>
        <w:rPr>
          <w:color w:val="151515"/>
          <w:spacing w:val="-7"/>
          <w:w w:val="105"/>
        </w:rPr>
        <w:t>·nortality </w:t>
      </w:r>
      <w:r>
        <w:rPr>
          <w:color w:val="010101"/>
          <w:w w:val="105"/>
        </w:rPr>
        <w:t>functions at fractional ages is the a.ssumption that the </w:t>
      </w:r>
      <w:r>
        <w:rPr>
          <w:color w:val="010101"/>
          <w:spacing w:val="-2"/>
          <w:w w:val="105"/>
        </w:rPr>
        <w:t>reciproca.!of</w:t>
      </w:r>
      <w:r>
        <w:rPr>
          <w:color w:val="010101"/>
          <w:w w:val="105"/>
        </w:rPr>
        <w:t> </w:t>
      </w:r>
      <w:r>
        <w:rPr>
          <w:i/>
          <w:color w:val="010101"/>
          <w:w w:val="78"/>
        </w:rPr>
        <w:t>la+•  </w:t>
      </w:r>
      <w:r>
        <w:rPr>
          <w:rFonts w:ascii="Arial" w:hAnsi="Arial"/>
          <w:color w:val="010101"/>
          <w:w w:val="104"/>
          <w:sz w:val="19"/>
        </w:rPr>
        <w:t>is </w:t>
      </w:r>
      <w:r>
        <w:rPr>
          <w:color w:val="010101"/>
          <w:w w:val="116"/>
        </w:rPr>
        <w:t>a </w:t>
      </w:r>
      <w:r>
        <w:rPr>
          <w:color w:val="010101"/>
          <w:w w:val="106"/>
        </w:rPr>
        <w:t>linear </w:t>
      </w:r>
      <w:r>
        <w:rPr>
          <w:color w:val="010101"/>
          <w:w w:val="105"/>
        </w:rPr>
        <w:t>function </w:t>
      </w:r>
      <w:r>
        <w:rPr>
          <w:color w:val="010101"/>
          <w:w w:val="89"/>
        </w:rPr>
        <w:t>of  </w:t>
      </w:r>
      <w:r>
        <w:rPr>
          <w:i/>
          <w:color w:val="010101"/>
          <w:w w:val="92"/>
          <w:sz w:val="22"/>
        </w:rPr>
        <w:t>t</w:t>
      </w:r>
      <w:r>
        <w:rPr>
          <w:i/>
          <w:color w:val="010101"/>
          <w:spacing w:val="-4"/>
          <w:w w:val="92"/>
          <w:sz w:val="22"/>
        </w:rPr>
        <w:t> </w:t>
      </w:r>
      <w:r>
        <w:rPr>
          <w:color w:val="010101"/>
          <w:w w:val="103"/>
        </w:rPr>
        <w:t>for</w:t>
      </w:r>
      <w:r>
        <w:rPr>
          <w:color w:val="010101"/>
          <w:spacing w:val="-2"/>
          <w:w w:val="103"/>
        </w:rPr>
        <w:t> </w:t>
      </w:r>
      <w:r>
        <w:rPr>
          <w:color w:val="010101"/>
          <w:w w:val="77"/>
        </w:rPr>
        <w:t>O</w:t>
        <w:tab/>
      </w:r>
      <w:r>
        <w:rPr>
          <w:i/>
          <w:color w:val="010101"/>
          <w:w w:val="86"/>
          <w:sz w:val="22"/>
        </w:rPr>
        <w:t>t</w:t>
        <w:tab/>
      </w:r>
      <w:r>
        <w:rPr>
          <w:color w:val="010101"/>
          <w:spacing w:val="-9"/>
          <w:w w:val="145"/>
        </w:rPr>
        <w:t>1:</w:t>
      </w:r>
    </w:p>
    <w:p>
      <w:pPr>
        <w:pStyle w:val="BodyText"/>
        <w:spacing w:before="5"/>
        <w:rPr>
          <w:sz w:val="9"/>
        </w:rPr>
      </w:pPr>
    </w:p>
    <w:p>
      <w:pPr>
        <w:tabs>
          <w:tab w:pos="3815" w:val="left" w:leader="none"/>
          <w:tab w:pos="4246" w:val="left" w:leader="none"/>
          <w:tab w:pos="4651" w:val="left" w:leader="none"/>
        </w:tabs>
        <w:spacing w:before="94"/>
        <w:ind w:left="1202" w:right="0" w:firstLine="0"/>
        <w:jc w:val="left"/>
        <w:rPr>
          <w:sz w:val="20"/>
        </w:rPr>
      </w:pPr>
      <w:r>
        <w:rPr/>
        <w:pict>
          <v:shape style="position:absolute;margin-left:98.703888pt;margin-top:5.003866pt;width:101.35pt;height:10.5pt;mso-position-horizontal-relative:page;mso-position-vertical-relative:paragraph;z-index:-733840" type="#_x0000_t202" filled="false" stroked="false">
            <v:textbox inset="0,0,0,0">
              <w:txbxContent>
                <w:p>
                  <w:pPr>
                    <w:tabs>
                      <w:tab w:pos="1062" w:val="left" w:leader="none"/>
                      <w:tab w:pos="1722" w:val="left" w:leader="none"/>
                    </w:tabs>
                    <w:spacing w:line="210" w:lineRule="exact" w:before="0"/>
                    <w:ind w:left="0" w:right="0" w:firstLine="0"/>
                    <w:jc w:val="left"/>
                    <w:rPr>
                      <w:sz w:val="21"/>
                    </w:rPr>
                  </w:pPr>
                  <w:r>
                    <w:rPr>
                      <w:color w:val="010101"/>
                      <w:w w:val="135"/>
                      <w:sz w:val="21"/>
                    </w:rPr>
                    <w:t>1</w:t>
                  </w:r>
                  <w:r>
                    <w:rPr>
                      <w:color w:val="010101"/>
                      <w:spacing w:val="54"/>
                      <w:w w:val="135"/>
                      <w:sz w:val="21"/>
                    </w:rPr>
                    <w:t> </w:t>
                  </w:r>
                  <w:r>
                    <w:rPr>
                      <w:color w:val="010101"/>
                      <w:w w:val="135"/>
                      <w:sz w:val="21"/>
                    </w:rPr>
                    <w:t>. </w:t>
                  </w:r>
                  <w:r>
                    <w:rPr>
                      <w:color w:val="010101"/>
                      <w:spacing w:val="19"/>
                      <w:w w:val="135"/>
                      <w:sz w:val="21"/>
                    </w:rPr>
                    <w:t> </w:t>
                  </w:r>
                  <w:r>
                    <w:rPr>
                      <w:color w:val="010101"/>
                      <w:w w:val="135"/>
                      <w:sz w:val="21"/>
                    </w:rPr>
                    <w:t>1</w:t>
                    <w:tab/>
                    <w:t>(1</w:t>
                    <w:tab/>
                    <w:t>1</w:t>
                  </w:r>
                  <w:r>
                    <w:rPr>
                      <w:color w:val="010101"/>
                      <w:spacing w:val="-25"/>
                      <w:w w:val="135"/>
                      <w:sz w:val="21"/>
                    </w:rPr>
                    <w:t> </w:t>
                  </w:r>
                  <w:r>
                    <w:rPr>
                      <w:color w:val="010101"/>
                      <w:w w:val="165"/>
                      <w:sz w:val="21"/>
                    </w:rPr>
                    <w:t>)</w:t>
                  </w:r>
                </w:p>
              </w:txbxContent>
            </v:textbox>
            <w10:wrap type="none"/>
          </v:shape>
        </w:pict>
      </w:r>
      <w:r>
        <w:rPr>
          <w:b/>
          <w:i/>
          <w:color w:val="010101"/>
          <w:spacing w:val="-1"/>
          <w:w w:val="394"/>
          <w:sz w:val="21"/>
          <w:u w:val="thick" w:color="000000"/>
        </w:rPr>
        <w:t>l</w:t>
      </w:r>
      <w:r>
        <w:rPr>
          <w:b/>
          <w:i/>
          <w:color w:val="010101"/>
          <w:w w:val="99"/>
          <w:sz w:val="21"/>
        </w:rPr>
        <w:t>,</w:t>
      </w:r>
      <w:r>
        <w:rPr>
          <w:b/>
          <w:i/>
          <w:color w:val="010101"/>
          <w:sz w:val="21"/>
        </w:rPr>
        <w:t> </w:t>
      </w:r>
      <w:r>
        <w:rPr>
          <w:b/>
          <w:i/>
          <w:color w:val="010101"/>
          <w:spacing w:val="-10"/>
          <w:sz w:val="21"/>
        </w:rPr>
        <w:t> </w:t>
      </w:r>
      <w:r>
        <w:rPr>
          <w:color w:val="010101"/>
          <w:w w:val="113"/>
          <w:sz w:val="15"/>
        </w:rPr>
        <w:t>=;</w:t>
      </w:r>
      <w:r>
        <w:rPr>
          <w:color w:val="010101"/>
          <w:sz w:val="15"/>
        </w:rPr>
        <w:t> </w:t>
      </w:r>
      <w:r>
        <w:rPr>
          <w:color w:val="010101"/>
          <w:spacing w:val="7"/>
          <w:sz w:val="15"/>
        </w:rPr>
        <w:t> </w:t>
      </w:r>
      <w:r>
        <w:rPr>
          <w:i/>
          <w:color w:val="010101"/>
          <w:w w:val="175"/>
          <w:sz w:val="31"/>
        </w:rPr>
        <w:t>i</w:t>
      </w:r>
      <w:r>
        <w:rPr>
          <w:i/>
          <w:color w:val="010101"/>
          <w:spacing w:val="-17"/>
          <w:sz w:val="31"/>
        </w:rPr>
        <w:t> </w:t>
      </w:r>
      <w:r>
        <w:rPr>
          <w:color w:val="010101"/>
          <w:w w:val="180"/>
          <w:sz w:val="31"/>
        </w:rPr>
        <w:t>-</w:t>
      </w:r>
      <w:r>
        <w:rPr>
          <w:color w:val="010101"/>
          <w:spacing w:val="-32"/>
          <w:sz w:val="31"/>
        </w:rPr>
        <w:t> </w:t>
      </w:r>
      <w:r>
        <w:rPr>
          <w:i/>
          <w:color w:val="010101"/>
          <w:w w:val="103"/>
          <w:sz w:val="21"/>
        </w:rPr>
        <w:t>t</w:t>
      </w:r>
      <w:r>
        <w:rPr>
          <w:i/>
          <w:color w:val="010101"/>
          <w:sz w:val="21"/>
        </w:rPr>
        <w:t>  </w:t>
      </w:r>
      <w:r>
        <w:rPr>
          <w:i/>
          <w:color w:val="010101"/>
          <w:spacing w:val="18"/>
          <w:sz w:val="21"/>
        </w:rPr>
        <w:t> </w:t>
      </w:r>
      <w:r>
        <w:rPr>
          <w:rFonts w:ascii="Arial"/>
          <w:i/>
          <w:color w:val="010101"/>
          <w:w w:val="92"/>
          <w:sz w:val="28"/>
        </w:rPr>
        <w:t>l:</w:t>
      </w:r>
      <w:r>
        <w:rPr>
          <w:rFonts w:ascii="Arial"/>
          <w:i/>
          <w:color w:val="010101"/>
          <w:spacing w:val="4"/>
          <w:sz w:val="28"/>
        </w:rPr>
        <w:t> </w:t>
      </w:r>
      <w:r>
        <w:rPr>
          <w:rFonts w:ascii="Arial"/>
          <w:color w:val="010101"/>
          <w:w w:val="186"/>
          <w:sz w:val="28"/>
        </w:rPr>
        <w:t>-</w:t>
      </w:r>
      <w:r>
        <w:rPr>
          <w:rFonts w:ascii="Arial"/>
          <w:color w:val="010101"/>
          <w:spacing w:val="-23"/>
          <w:sz w:val="28"/>
        </w:rPr>
        <w:t> </w:t>
      </w:r>
      <w:r>
        <w:rPr>
          <w:b/>
          <w:i/>
          <w:color w:val="010101"/>
          <w:spacing w:val="-1"/>
          <w:w w:val="387"/>
          <w:sz w:val="21"/>
          <w:u w:val="thick" w:color="000000"/>
        </w:rPr>
        <w:t>l</w:t>
      </w:r>
      <w:r>
        <w:rPr>
          <w:b/>
          <w:i/>
          <w:color w:val="010101"/>
          <w:w w:val="54"/>
          <w:sz w:val="21"/>
          <w:u w:val="thick" w:color="000000"/>
        </w:rPr>
        <w:t>1</w:t>
      </w:r>
      <w:r>
        <w:rPr>
          <w:b/>
          <w:i/>
          <w:color w:val="010101"/>
          <w:sz w:val="21"/>
        </w:rPr>
        <w:t>  </w:t>
      </w:r>
      <w:r>
        <w:rPr>
          <w:b/>
          <w:i/>
          <w:color w:val="010101"/>
          <w:spacing w:val="15"/>
          <w:sz w:val="21"/>
        </w:rPr>
        <w:t> </w:t>
      </w:r>
      <w:r>
        <w:rPr>
          <w:color w:val="010101"/>
          <w:w w:val="187"/>
          <w:sz w:val="21"/>
        </w:rPr>
        <w:t>'</w:t>
      </w:r>
      <w:r>
        <w:rPr>
          <w:color w:val="010101"/>
          <w:sz w:val="21"/>
        </w:rPr>
        <w:tab/>
      </w:r>
      <w:r>
        <w:rPr>
          <w:rFonts w:ascii="Arial"/>
          <w:color w:val="010101"/>
          <w:w w:val="74"/>
          <w:position w:val="8"/>
          <w:sz w:val="27"/>
        </w:rPr>
        <w:t>o</w:t>
      </w:r>
      <w:r>
        <w:rPr>
          <w:rFonts w:ascii="Arial"/>
          <w:color w:val="010101"/>
          <w:position w:val="8"/>
          <w:sz w:val="27"/>
        </w:rPr>
        <w:tab/>
      </w:r>
      <w:r>
        <w:rPr>
          <w:i/>
          <w:color w:val="010101"/>
          <w:w w:val="103"/>
          <w:position w:val="8"/>
          <w:sz w:val="21"/>
        </w:rPr>
        <w:t>t</w:t>
      </w:r>
      <w:r>
        <w:rPr>
          <w:i/>
          <w:color w:val="010101"/>
          <w:position w:val="8"/>
          <w:sz w:val="21"/>
        </w:rPr>
        <w:tab/>
      </w:r>
      <w:r>
        <w:rPr>
          <w:color w:val="010101"/>
          <w:w w:val="141"/>
          <w:position w:val="8"/>
          <w:sz w:val="20"/>
        </w:rPr>
        <w:t>l.</w:t>
      </w:r>
    </w:p>
    <w:p>
      <w:pPr>
        <w:pStyle w:val="BodyText"/>
        <w:spacing w:line="230" w:lineRule="exact" w:before="133"/>
        <w:ind w:left="129" w:firstLine="3"/>
      </w:pPr>
      <w:r>
        <w:rPr>
          <w:color w:val="010101"/>
          <w:w w:val="105"/>
        </w:rPr>
        <w:t>Under this a.ssumption, the proba.bility </w:t>
      </w:r>
      <w:r>
        <w:rPr>
          <w:color w:val="010101"/>
          <w:w w:val="105"/>
          <w:position w:val="-2"/>
          <w:sz w:val="13"/>
        </w:rPr>
        <w:t>1</w:t>
      </w:r>
      <w:r>
        <w:rPr>
          <w:color w:val="010101"/>
          <w:w w:val="105"/>
          <w:sz w:val="16"/>
        </w:rPr>
        <w:t>_,q•+c </w:t>
      </w:r>
      <w:r>
        <w:rPr>
          <w:color w:val="010101"/>
          <w:w w:val="105"/>
        </w:rPr>
        <w:t>takes on a. particu­ larly simple form:</w:t>
      </w:r>
    </w:p>
    <w:p>
      <w:pPr>
        <w:spacing w:before="107"/>
        <w:ind w:left="122" w:right="0" w:firstLine="1319"/>
        <w:jc w:val="left"/>
        <w:rPr>
          <w:sz w:val="24"/>
        </w:rPr>
      </w:pPr>
      <w:r>
        <w:rPr>
          <w:position w:val="-6"/>
        </w:rPr>
        <w:drawing>
          <wp:inline distT="0" distB="0" distL="0" distR="0">
            <wp:extent cx="1984248" cy="155448"/>
            <wp:effectExtent l="0" t="0" r="0" b="0"/>
            <wp:docPr id="19" name="image13.png" descr=""/>
            <wp:cNvGraphicFramePr>
              <a:graphicFrameLocks noChangeAspect="1"/>
            </wp:cNvGraphicFramePr>
            <a:graphic>
              <a:graphicData uri="http://schemas.openxmlformats.org/drawingml/2006/picture">
                <pic:pic>
                  <pic:nvPicPr>
                    <pic:cNvPr id="20" name="image13.png"/>
                    <pic:cNvPicPr/>
                  </pic:nvPicPr>
                  <pic:blipFill>
                    <a:blip r:embed="rId17" cstate="print"/>
                    <a:stretch>
                      <a:fillRect/>
                    </a:stretch>
                  </pic:blipFill>
                  <pic:spPr>
                    <a:xfrm>
                      <a:off x="0" y="0"/>
                      <a:ext cx="1984248" cy="155448"/>
                    </a:xfrm>
                    <a:prstGeom prst="rect">
                      <a:avLst/>
                    </a:prstGeom>
                  </pic:spPr>
                </pic:pic>
              </a:graphicData>
            </a:graphic>
          </wp:inline>
        </w:drawing>
      </w:r>
      <w:r>
        <w:rPr>
          <w:position w:val="-6"/>
        </w:rPr>
      </w:r>
      <w:r>
        <w:rPr>
          <w:sz w:val="20"/>
        </w:rPr>
        <w:t>              </w:t>
      </w:r>
      <w:r>
        <w:rPr>
          <w:color w:val="010101"/>
          <w:spacing w:val="-3"/>
          <w:w w:val="105"/>
          <w:sz w:val="24"/>
        </w:rPr>
        <w:t>n.2s)</w:t>
      </w:r>
    </w:p>
    <w:p>
      <w:pPr>
        <w:pStyle w:val="BodyText"/>
        <w:spacing w:line="247" w:lineRule="auto" w:before="79"/>
        <w:ind w:left="122" w:right="156" w:firstLine="3"/>
        <w:jc w:val="both"/>
      </w:pPr>
      <w:r>
        <w:rPr>
          <w:color w:val="010101"/>
          <w:w w:val="105"/>
        </w:rPr>
        <w:t>Formula (1.25) is known as the Ba.lducci hypothesi. . </w:t>
      </w:r>
      <w:r>
        <w:rPr>
          <w:color w:val="010101"/>
          <w:w w:val="105"/>
          <w:sz w:val="22"/>
        </w:rPr>
        <w:t>It </w:t>
      </w:r>
      <w:r>
        <w:rPr>
          <w:rFonts w:ascii="Arial" w:hAnsi="Arial"/>
          <w:color w:val="010101"/>
          <w:w w:val="105"/>
          <w:sz w:val="21"/>
        </w:rPr>
        <w:t>is </w:t>
      </w:r>
      <w:r>
        <w:rPr>
          <w:color w:val="010101"/>
          <w:w w:val="105"/>
        </w:rPr>
        <w:t>espe­ cially useful in the theory underlying the constfuction of mortality tables.  Its properties will be explored  further in the  exercises.</w:t>
      </w:r>
    </w:p>
    <w:p>
      <w:pPr>
        <w:pStyle w:val="BodyText"/>
        <w:spacing w:line="249" w:lineRule="auto" w:before="4"/>
        <w:ind w:left="118" w:right="158" w:firstLine="197"/>
        <w:jc w:val="both"/>
      </w:pPr>
      <w:r>
        <w:rPr>
          <w:color w:val="010101"/>
          <w:w w:val="105"/>
        </w:rPr>
        <w:t>The student should realize that ali the formulas of this section, although written as approximations, are exact mathematical rela­ tions under the assumptions specified. They have been designated  as approximations beca.use the assumptions themselves are only approximate descriptions of the usual behavior of mortality  </w:t>
      </w:r>
      <w:r>
        <w:rPr>
          <w:color w:val="010101"/>
          <w:spacing w:val="42"/>
          <w:w w:val="105"/>
        </w:rPr>
        <w:t> </w:t>
      </w:r>
      <w:r>
        <w:rPr>
          <w:color w:val="010101"/>
          <w:w w:val="105"/>
        </w:rPr>
        <w:t>data.</w:t>
      </w:r>
    </w:p>
    <w:p>
      <w:pPr>
        <w:spacing w:before="158"/>
        <w:ind w:left="118" w:right="0" w:firstLine="0"/>
        <w:jc w:val="both"/>
        <w:rPr>
          <w:b/>
          <w:sz w:val="19"/>
        </w:rPr>
      </w:pPr>
      <w:r>
        <w:rPr>
          <w:color w:val="010101"/>
          <w:w w:val="120"/>
          <w:sz w:val="21"/>
        </w:rPr>
        <w:t>7. </w:t>
      </w:r>
      <w:r>
        <w:rPr>
          <w:b/>
          <w:color w:val="010101"/>
          <w:w w:val="120"/>
          <w:sz w:val="19"/>
        </w:rPr>
        <w:t>Sorne famous laws oí mortality</w:t>
      </w:r>
    </w:p>
    <w:p>
      <w:pPr>
        <w:pStyle w:val="BodyText"/>
        <w:spacing w:line="249" w:lineRule="auto" w:before="65"/>
        <w:ind w:left="115" w:right="157" w:firstLine="201"/>
        <w:jc w:val="both"/>
      </w:pPr>
      <w:r>
        <w:rPr>
          <w:color w:val="010101"/>
          <w:w w:val="105"/>
        </w:rPr>
        <w:t>The ma.thematical expressions that we ha.ve been using </w:t>
      </w:r>
      <w:r>
        <w:rPr>
          <w:i/>
          <w:color w:val="010101"/>
          <w:w w:val="105"/>
          <w:sz w:val="22"/>
        </w:rPr>
        <w:t>as </w:t>
      </w:r>
      <w:r>
        <w:rPr>
          <w:color w:val="010101"/>
          <w:w w:val="105"/>
        </w:rPr>
        <w:t>sur­ vival functions are admittedly artificial. Mathematicians ha.ve long been intrigued with the problem of constructing ana.lytic functions which closely reproduce the typica.l </w:t>
      </w:r>
      <w:r>
        <w:rPr>
          <w:rFonts w:ascii="Arial" w:hAnsi="Arial"/>
          <w:i/>
          <w:color w:val="010101"/>
          <w:w w:val="130"/>
        </w:rPr>
        <w:t>l. </w:t>
      </w:r>
      <w:r>
        <w:rPr>
          <w:color w:val="010101"/>
          <w:w w:val="105"/>
        </w:rPr>
        <w:t>curve. It is a twisted, de­ scending</w:t>
      </w:r>
      <w:r>
        <w:rPr>
          <w:color w:val="010101"/>
          <w:spacing w:val="-7"/>
          <w:w w:val="105"/>
        </w:rPr>
        <w:t> </w:t>
      </w:r>
      <w:r>
        <w:rPr>
          <w:color w:val="010101"/>
          <w:w w:val="105"/>
        </w:rPr>
        <w:t>curve,</w:t>
      </w:r>
      <w:r>
        <w:rPr>
          <w:color w:val="010101"/>
          <w:spacing w:val="-7"/>
          <w:w w:val="105"/>
        </w:rPr>
        <w:t> </w:t>
      </w:r>
      <w:r>
        <w:rPr>
          <w:color w:val="010101"/>
          <w:w w:val="105"/>
        </w:rPr>
        <w:t>a.nd</w:t>
      </w:r>
      <w:r>
        <w:rPr>
          <w:color w:val="010101"/>
          <w:spacing w:val="-4"/>
          <w:w w:val="105"/>
        </w:rPr>
        <w:t> </w:t>
      </w:r>
      <w:r>
        <w:rPr>
          <w:color w:val="010101"/>
          <w:w w:val="105"/>
        </w:rPr>
        <w:t>the</w:t>
      </w:r>
      <w:r>
        <w:rPr>
          <w:color w:val="010101"/>
          <w:spacing w:val="-8"/>
          <w:w w:val="105"/>
        </w:rPr>
        <w:t> </w:t>
      </w:r>
      <w:r>
        <w:rPr>
          <w:color w:val="010101"/>
          <w:w w:val="105"/>
        </w:rPr>
        <w:t>presence</w:t>
      </w:r>
      <w:r>
        <w:rPr>
          <w:color w:val="010101"/>
          <w:spacing w:val="1"/>
          <w:w w:val="105"/>
        </w:rPr>
        <w:t> </w:t>
      </w:r>
      <w:r>
        <w:rPr>
          <w:color w:val="010101"/>
          <w:w w:val="105"/>
        </w:rPr>
        <w:t>of</w:t>
      </w:r>
      <w:r>
        <w:rPr>
          <w:color w:val="010101"/>
          <w:spacing w:val="1"/>
          <w:w w:val="105"/>
        </w:rPr>
        <w:t> </w:t>
      </w:r>
      <w:r>
        <w:rPr>
          <w:color w:val="010101"/>
          <w:w w:val="105"/>
        </w:rPr>
        <w:t>at</w:t>
      </w:r>
      <w:r>
        <w:rPr>
          <w:color w:val="010101"/>
          <w:spacing w:val="-15"/>
          <w:w w:val="105"/>
        </w:rPr>
        <w:t> </w:t>
      </w:r>
      <w:r>
        <w:rPr>
          <w:color w:val="010101"/>
          <w:w w:val="105"/>
        </w:rPr>
        <w:t>lea.st</w:t>
      </w:r>
      <w:r>
        <w:rPr>
          <w:color w:val="010101"/>
          <w:spacing w:val="-5"/>
          <w:w w:val="105"/>
        </w:rPr>
        <w:t> </w:t>
      </w:r>
      <w:r>
        <w:rPr>
          <w:color w:val="010101"/>
          <w:w w:val="105"/>
        </w:rPr>
        <w:t>two</w:t>
      </w:r>
      <w:r>
        <w:rPr>
          <w:color w:val="010101"/>
          <w:spacing w:val="-10"/>
          <w:w w:val="105"/>
        </w:rPr>
        <w:t> </w:t>
      </w:r>
      <w:r>
        <w:rPr>
          <w:color w:val="010101"/>
          <w:w w:val="105"/>
        </w:rPr>
        <w:t>points</w:t>
      </w:r>
      <w:r>
        <w:rPr>
          <w:color w:val="010101"/>
          <w:spacing w:val="-10"/>
          <w:w w:val="105"/>
        </w:rPr>
        <w:t> </w:t>
      </w:r>
      <w:r>
        <w:rPr>
          <w:color w:val="010101"/>
          <w:w w:val="105"/>
        </w:rPr>
        <w:t>of</w:t>
      </w:r>
      <w:r>
        <w:rPr>
          <w:color w:val="010101"/>
          <w:spacing w:val="-1"/>
          <w:w w:val="105"/>
        </w:rPr>
        <w:t> </w:t>
      </w:r>
      <w:r>
        <w:rPr>
          <w:color w:val="010101"/>
          <w:w w:val="105"/>
        </w:rPr>
        <w:t>inflection makes it a difficult curve to fit with a.ny simple formula.. We ex­ amine here sorne of the more importa.nt solutions that have been proposed.</w:t>
      </w:r>
    </w:p>
    <w:p>
      <w:pPr>
        <w:pStyle w:val="BodyText"/>
        <w:spacing w:line="247" w:lineRule="auto" w:before="2"/>
        <w:ind w:left="122" w:right="160" w:firstLine="190"/>
        <w:jc w:val="both"/>
      </w:pPr>
      <w:r>
        <w:rPr>
          <w:color w:val="010101"/>
          <w:w w:val="105"/>
        </w:rPr>
        <w:t>The earliest and simplest proposal was that of Abraham de Moivre  (1724 ) who  suggested that </w:t>
      </w:r>
      <w:r>
        <w:rPr>
          <w:rFonts w:ascii="Arial"/>
          <w:i/>
          <w:color w:val="010101"/>
          <w:w w:val="125"/>
        </w:rPr>
        <w:t>l. </w:t>
      </w:r>
      <w:r>
        <w:rPr>
          <w:color w:val="010101"/>
          <w:w w:val="105"/>
        </w:rPr>
        <w:t>be represented  by  a straight</w:t>
      </w:r>
    </w:p>
    <w:p>
      <w:pPr>
        <w:spacing w:after="0" w:line="247" w:lineRule="auto"/>
        <w:jc w:val="both"/>
        <w:sectPr>
          <w:pgSz w:w="7200" w:h="11340"/>
          <w:pgMar w:top="480" w:bottom="280" w:left="660" w:right="540"/>
        </w:sectPr>
      </w:pPr>
    </w:p>
    <w:p>
      <w:pPr>
        <w:tabs>
          <w:tab w:pos="1442" w:val="left" w:leader="none"/>
          <w:tab w:pos="5888" w:val="right" w:leader="none"/>
        </w:tabs>
        <w:spacing w:before="49"/>
        <w:ind w:left="114" w:right="0" w:firstLine="0"/>
        <w:jc w:val="left"/>
        <w:rPr>
          <w:sz w:val="19"/>
        </w:rPr>
      </w:pPr>
      <w:r>
        <w:rPr>
          <w:b/>
          <w:sz w:val="15"/>
        </w:rPr>
        <w:t>SEC.</w:t>
      </w:r>
      <w:r>
        <w:rPr>
          <w:b/>
          <w:spacing w:val="32"/>
          <w:sz w:val="15"/>
        </w:rPr>
        <w:t> </w:t>
      </w:r>
      <w:r>
        <w:rPr>
          <w:b/>
          <w:sz w:val="22"/>
        </w:rPr>
        <w:t>7]</w:t>
        <w:tab/>
      </w:r>
      <w:r>
        <w:rPr>
          <w:b/>
          <w:sz w:val="15"/>
        </w:rPr>
        <w:t>SOME   FAMOUS   LA.WS </w:t>
      </w:r>
      <w:r>
        <w:rPr>
          <w:b/>
          <w:spacing w:val="6"/>
          <w:sz w:val="15"/>
        </w:rPr>
        <w:t> </w:t>
      </w:r>
      <w:r>
        <w:rPr>
          <w:b/>
          <w:sz w:val="15"/>
        </w:rPr>
        <w:t>OF </w:t>
      </w:r>
      <w:r>
        <w:rPr>
          <w:b/>
          <w:spacing w:val="17"/>
          <w:sz w:val="15"/>
        </w:rPr>
        <w:t> </w:t>
      </w:r>
      <w:r>
        <w:rPr>
          <w:b/>
          <w:sz w:val="15"/>
        </w:rPr>
        <w:t>MORTALITY</w:t>
      </w:r>
      <w:r>
        <w:rPr>
          <w:sz w:val="19"/>
        </w:rPr>
        <w:tab/>
        <w:t>21</w:t>
      </w:r>
    </w:p>
    <w:p>
      <w:pPr>
        <w:pStyle w:val="BodyText"/>
        <w:spacing w:line="242" w:lineRule="auto" w:before="244"/>
        <w:ind w:left="110" w:right="130" w:hanging="4"/>
        <w:jc w:val="both"/>
      </w:pPr>
      <w:r>
        <w:rPr>
          <w:w w:val="105"/>
        </w:rPr>
        <w:t>line. De Moivre recognized that this was a very rough approxima­ tion. His objective, however, was the practical one of simplifying  the calculation of life annuity values, which in those days was an arduous task. He recommended that his assumption  be used  only for the range of ages from about </w:t>
      </w:r>
      <w:r>
        <w:rPr>
          <w:spacing w:val="-20"/>
          <w:w w:val="105"/>
          <w:sz w:val="19"/>
        </w:rPr>
        <w:t>12 </w:t>
      </w:r>
      <w:r>
        <w:rPr>
          <w:w w:val="105"/>
          <w:sz w:val="22"/>
        </w:rPr>
        <w:t>to </w:t>
      </w:r>
      <w:r>
        <w:rPr>
          <w:w w:val="105"/>
          <w:sz w:val="19"/>
        </w:rPr>
        <w:t>86. </w:t>
      </w:r>
      <w:r>
        <w:rPr>
          <w:w w:val="105"/>
        </w:rPr>
        <w:t>The fo1mula met with ready acceptance and  was widely  used  for  </w:t>
      </w:r>
      <w:r>
        <w:rPr>
          <w:w w:val="135"/>
          <w:sz w:val="21"/>
        </w:rPr>
        <w:t>th </w:t>
      </w:r>
      <w:r>
        <w:rPr>
          <w:w w:val="105"/>
        </w:rPr>
        <w:t>purpose  intended. </w:t>
      </w:r>
      <w:r>
        <w:rPr>
          <w:w w:val="105"/>
          <w:sz w:val="22"/>
        </w:rPr>
        <w:t>It </w:t>
      </w:r>
      <w:r>
        <w:rPr>
          <w:w w:val="105"/>
        </w:rPr>
        <w:t>may  </w:t>
      </w:r>
      <w:r>
        <w:rPr>
          <w:rFonts w:ascii="Arial" w:hAnsi="Arial"/>
          <w:w w:val="105"/>
          <w:sz w:val="19"/>
        </w:rPr>
        <w:t>be </w:t>
      </w:r>
      <w:r>
        <w:rPr>
          <w:w w:val="105"/>
        </w:rPr>
        <w:t>expressed</w:t>
      </w:r>
      <w:r>
        <w:rPr>
          <w:spacing w:val="18"/>
          <w:w w:val="105"/>
        </w:rPr>
        <w:t> </w:t>
      </w:r>
      <w:r>
        <w:rPr>
          <w:w w:val="105"/>
        </w:rPr>
        <w:t>as</w:t>
      </w:r>
    </w:p>
    <w:p>
      <w:pPr>
        <w:tabs>
          <w:tab w:pos="5373" w:val="left" w:leader="none"/>
        </w:tabs>
        <w:spacing w:before="117"/>
        <w:ind w:left="2324" w:right="0" w:firstLine="0"/>
        <w:jc w:val="left"/>
        <w:rPr>
          <w:sz w:val="20"/>
        </w:rPr>
      </w:pPr>
      <w:r>
        <w:rPr>
          <w:b/>
          <w:i/>
          <w:sz w:val="13"/>
        </w:rPr>
        <w:t>l:r:  </w:t>
      </w:r>
      <w:r>
        <w:rPr>
          <w:w w:val="110"/>
          <w:sz w:val="26"/>
        </w:rPr>
        <w:t>= </w:t>
      </w:r>
      <w:r>
        <w:rPr>
          <w:i/>
          <w:w w:val="110"/>
          <w:sz w:val="20"/>
        </w:rPr>
        <w:t>k (w </w:t>
      </w:r>
      <w:r>
        <w:rPr>
          <w:w w:val="240"/>
          <w:sz w:val="20"/>
        </w:rPr>
        <w:t>-</w:t>
      </w:r>
      <w:r>
        <w:rPr>
          <w:spacing w:val="-58"/>
          <w:w w:val="240"/>
          <w:sz w:val="20"/>
        </w:rPr>
        <w:t> </w:t>
      </w:r>
      <w:r>
        <w:rPr>
          <w:rFonts w:ascii="Arial"/>
          <w:i/>
          <w:w w:val="110"/>
          <w:sz w:val="19"/>
        </w:rPr>
        <w:t>x</w:t>
      </w:r>
      <w:r>
        <w:rPr>
          <w:rFonts w:ascii="Arial"/>
          <w:i/>
          <w:spacing w:val="-32"/>
          <w:w w:val="110"/>
          <w:sz w:val="19"/>
        </w:rPr>
        <w:t> </w:t>
      </w:r>
      <w:r>
        <w:rPr>
          <w:rFonts w:ascii="Arial"/>
          <w:i/>
          <w:w w:val="110"/>
          <w:sz w:val="19"/>
        </w:rPr>
        <w:t>).</w:t>
        <w:tab/>
      </w:r>
      <w:r>
        <w:rPr>
          <w:w w:val="110"/>
          <w:sz w:val="20"/>
        </w:rPr>
        <w:t>(1.26)</w:t>
      </w:r>
    </w:p>
    <w:p>
      <w:pPr>
        <w:spacing w:line="289" w:lineRule="exact" w:before="100"/>
        <w:ind w:left="106" w:right="0" w:firstLine="0"/>
        <w:jc w:val="left"/>
        <w:rPr>
          <w:sz w:val="19"/>
        </w:rPr>
      </w:pPr>
      <w:r>
        <w:rPr>
          <w:w w:val="105"/>
          <w:sz w:val="20"/>
        </w:rPr>
        <w:t>Figure </w:t>
      </w:r>
      <w:r>
        <w:rPr>
          <w:w w:val="105"/>
          <w:sz w:val="19"/>
        </w:rPr>
        <w:t>2 </w:t>
      </w:r>
      <w:r>
        <w:rPr>
          <w:w w:val="105"/>
          <w:sz w:val="20"/>
        </w:rPr>
        <w:t>is based upon  this law, with </w:t>
      </w:r>
      <w:r>
        <w:rPr>
          <w:rFonts w:ascii="Arial"/>
          <w:i/>
          <w:w w:val="105"/>
          <w:sz w:val="15"/>
        </w:rPr>
        <w:t>w  </w:t>
      </w:r>
      <w:r>
        <w:rPr>
          <w:w w:val="105"/>
          <w:sz w:val="26"/>
        </w:rPr>
        <w:t>= </w:t>
      </w:r>
      <w:r>
        <w:rPr>
          <w:spacing w:val="65"/>
          <w:w w:val="105"/>
          <w:sz w:val="26"/>
        </w:rPr>
        <w:t> </w:t>
      </w:r>
      <w:r>
        <w:rPr>
          <w:w w:val="105"/>
          <w:sz w:val="19"/>
        </w:rPr>
        <w:t>105.</w:t>
      </w:r>
    </w:p>
    <w:p>
      <w:pPr>
        <w:pStyle w:val="BodyText"/>
        <w:spacing w:line="252" w:lineRule="auto"/>
        <w:ind w:left="103" w:right="116" w:firstLine="212"/>
        <w:jc w:val="both"/>
      </w:pPr>
      <w:r>
        <w:rPr>
          <w:sz w:val="22"/>
        </w:rPr>
        <w:t>In </w:t>
      </w:r>
      <w:r>
        <w:rPr>
          <w:spacing w:val="-10"/>
          <w:sz w:val="19"/>
        </w:rPr>
        <w:t>1825, </w:t>
      </w:r>
      <w:r>
        <w:rPr/>
        <w:t>Benjamín Gompertz, in a celebrated actuaria! paper, examined the  eff ect  of  assuming  "the  average  exhaustion  of  </w:t>
      </w:r>
      <w:r>
        <w:rPr>
          <w:rFonts w:ascii="Arial" w:hAnsi="Arial"/>
          <w:sz w:val="17"/>
        </w:rPr>
        <w:t>a </w:t>
      </w:r>
      <w:r>
        <w:rPr/>
        <w:t>man's power to avoid death to </w:t>
      </w:r>
      <w:r>
        <w:rPr>
          <w:rFonts w:ascii="Arial" w:hAnsi="Arial"/>
          <w:sz w:val="19"/>
        </w:rPr>
        <w:t>be </w:t>
      </w:r>
      <w:r>
        <w:rPr/>
        <w:t>such that at the end  of  equal  infinitely small intervals of time he lost equal portions of his rc­  maining power to oppose destruction which he had at the com­ mencement of these  intervals."  Thus  he  assumed  that  man's  power to  resist  death  decreases  at  a  rate  proportional  to  itself . Since  </w:t>
      </w:r>
      <w:r>
        <w:rPr>
          <w:rFonts w:ascii="Arial" w:hAnsi="Arial"/>
          <w:i/>
          <w:sz w:val="15"/>
        </w:rPr>
        <w:t>µ.z  </w:t>
      </w:r>
      <w:r>
        <w:rPr/>
        <w:t>is  </w:t>
      </w:r>
      <w:r>
        <w:rPr>
          <w:rFonts w:ascii="Arial" w:hAnsi="Arial"/>
          <w:sz w:val="18"/>
        </w:rPr>
        <w:t>a  </w:t>
      </w:r>
      <w:r>
        <w:rPr/>
        <w:t>measure  of  man's  susceptibility   to  death,   Gompertz  used </w:t>
      </w:r>
      <w:r>
        <w:rPr>
          <w:spacing w:val="35"/>
        </w:rPr>
        <w:t> </w:t>
      </w:r>
      <w:r>
        <w:rPr/>
        <w:t>the</w:t>
      </w:r>
    </w:p>
    <w:p>
      <w:pPr>
        <w:pStyle w:val="BodyText"/>
        <w:spacing w:line="151" w:lineRule="exact"/>
        <w:ind w:left="1053"/>
      </w:pPr>
      <w:r>
        <w:rPr>
          <w:w w:val="129"/>
        </w:rPr>
        <w:t>1</w:t>
      </w:r>
    </w:p>
    <w:p>
      <w:pPr>
        <w:pStyle w:val="BodyText"/>
        <w:spacing w:line="190" w:lineRule="exact"/>
        <w:ind w:left="106"/>
      </w:pPr>
      <w:r>
        <w:rPr>
          <w:w w:val="104"/>
        </w:rPr>
        <w:t>reciproca!</w:t>
      </w:r>
      <w:r>
        <w:rPr>
          <w:spacing w:val="10"/>
        </w:rPr>
        <w:t> </w:t>
      </w:r>
      <w:r>
        <w:rPr>
          <w:spacing w:val="9"/>
          <w:w w:val="331"/>
        </w:rPr>
        <w:t>-</w:t>
      </w:r>
      <w:r>
        <w:rPr>
          <w:w w:val="104"/>
          <w:sz w:val="22"/>
        </w:rPr>
        <w:t>to</w:t>
      </w:r>
      <w:r>
        <w:rPr>
          <w:spacing w:val="-1"/>
          <w:sz w:val="22"/>
        </w:rPr>
        <w:t> </w:t>
      </w:r>
      <w:r>
        <w:rPr>
          <w:w w:val="104"/>
        </w:rPr>
        <w:t>measure</w:t>
      </w:r>
      <w:r>
        <w:rPr>
          <w:spacing w:val="17"/>
        </w:rPr>
        <w:t> </w:t>
      </w:r>
      <w:r>
        <w:rPr>
          <w:w w:val="109"/>
        </w:rPr>
        <w:t>man's</w:t>
      </w:r>
      <w:r>
        <w:rPr>
          <w:spacing w:val="18"/>
        </w:rPr>
        <w:t> </w:t>
      </w:r>
      <w:r>
        <w:rPr>
          <w:w w:val="104"/>
        </w:rPr>
        <w:t>resistance</w:t>
      </w:r>
      <w:r>
        <w:rPr>
          <w:spacing w:val="19"/>
        </w:rPr>
        <w:t> </w:t>
      </w:r>
      <w:r>
        <w:rPr>
          <w:w w:val="110"/>
        </w:rPr>
        <w:t>to</w:t>
      </w:r>
      <w:r>
        <w:rPr>
          <w:spacing w:val="7"/>
        </w:rPr>
        <w:t> </w:t>
      </w:r>
      <w:r>
        <w:rPr>
          <w:w w:val="112"/>
        </w:rPr>
        <w:t>death.</w:t>
      </w:r>
      <w:r>
        <w:rPr>
          <w:spacing w:val="9"/>
        </w:rPr>
        <w:t> </w:t>
      </w:r>
      <w:r>
        <w:rPr>
          <w:w w:val="106"/>
        </w:rPr>
        <w:t>His</w:t>
      </w:r>
      <w:r>
        <w:rPr>
          <w:spacing w:val="5"/>
        </w:rPr>
        <w:t> </w:t>
      </w:r>
      <w:r>
        <w:rPr>
          <w:w w:val="106"/>
        </w:rPr>
        <w:t>assumption</w:t>
      </w:r>
    </w:p>
    <w:p>
      <w:pPr>
        <w:spacing w:line="137" w:lineRule="exact" w:before="0"/>
        <w:ind w:left="293" w:right="4135" w:firstLine="0"/>
        <w:jc w:val="center"/>
        <w:rPr>
          <w:b/>
          <w:i/>
          <w:sz w:val="13"/>
        </w:rPr>
      </w:pPr>
      <w:r>
        <w:rPr>
          <w:b/>
          <w:i/>
          <w:w w:val="75"/>
          <w:sz w:val="13"/>
        </w:rPr>
        <w:t>P.:r:</w:t>
      </w:r>
    </w:p>
    <w:p>
      <w:pPr>
        <w:pStyle w:val="BodyText"/>
        <w:spacing w:before="1"/>
        <w:ind w:left="103"/>
      </w:pPr>
      <w:r>
        <w:rPr>
          <w:w w:val="105"/>
        </w:rPr>
        <w:t>may  </w:t>
      </w:r>
      <w:r>
        <w:rPr>
          <w:w w:val="105"/>
          <w:sz w:val="19"/>
        </w:rPr>
        <w:t>be </w:t>
      </w:r>
      <w:r>
        <w:rPr>
          <w:w w:val="105"/>
        </w:rPr>
        <w:t>expressed as</w:t>
      </w:r>
    </w:p>
    <w:p>
      <w:pPr>
        <w:spacing w:line="524" w:lineRule="exact" w:before="62"/>
        <w:ind w:left="293" w:right="329" w:firstLine="0"/>
        <w:jc w:val="center"/>
        <w:rPr>
          <w:sz w:val="22"/>
        </w:rPr>
      </w:pPr>
      <w:r>
        <w:rPr>
          <w:rFonts w:ascii="Arial" w:hAnsi="Arial"/>
          <w:i/>
          <w:sz w:val="21"/>
        </w:rPr>
        <w:t>D </w:t>
      </w:r>
      <w:r>
        <w:rPr>
          <w:spacing w:val="-4"/>
          <w:w w:val="80"/>
          <w:sz w:val="50"/>
        </w:rPr>
        <w:t>(!..)</w:t>
      </w:r>
      <w:r>
        <w:rPr>
          <w:spacing w:val="-65"/>
          <w:w w:val="80"/>
          <w:sz w:val="50"/>
        </w:rPr>
        <w:t> </w:t>
      </w:r>
      <w:r>
        <w:rPr>
          <w:sz w:val="26"/>
        </w:rPr>
        <w:t>= </w:t>
      </w:r>
      <w:r>
        <w:rPr>
          <w:rFonts w:ascii="Arial" w:hAnsi="Arial"/>
          <w:i/>
          <w:w w:val="120"/>
          <w:sz w:val="21"/>
        </w:rPr>
        <w:t>-h· </w:t>
      </w:r>
      <w:r>
        <w:rPr>
          <w:w w:val="80"/>
          <w:sz w:val="22"/>
        </w:rPr>
        <w:t>_!_</w:t>
      </w:r>
    </w:p>
    <w:p>
      <w:pPr>
        <w:tabs>
          <w:tab w:pos="1358" w:val="left" w:leader="none"/>
        </w:tabs>
        <w:spacing w:line="122" w:lineRule="exact" w:before="0"/>
        <w:ind w:left="293" w:right="0" w:firstLine="0"/>
        <w:jc w:val="center"/>
        <w:rPr>
          <w:b/>
          <w:i/>
          <w:sz w:val="13"/>
        </w:rPr>
      </w:pPr>
      <w:r>
        <w:rPr>
          <w:rFonts w:ascii="Arial"/>
          <w:b/>
          <w:i/>
          <w:w w:val="75"/>
          <w:sz w:val="15"/>
        </w:rPr>
        <w:t>/Jz</w:t>
        <w:tab/>
      </w:r>
      <w:r>
        <w:rPr>
          <w:b/>
          <w:i/>
          <w:w w:val="75"/>
          <w:sz w:val="13"/>
        </w:rPr>
        <w:t>/J,:r:</w:t>
      </w:r>
    </w:p>
    <w:p>
      <w:pPr>
        <w:pStyle w:val="BodyText"/>
        <w:spacing w:before="3"/>
        <w:rPr>
          <w:b/>
          <w:i/>
          <w:sz w:val="16"/>
        </w:rPr>
      </w:pPr>
    </w:p>
    <w:p>
      <w:pPr>
        <w:pStyle w:val="BodyText"/>
        <w:spacing w:line="252" w:lineRule="auto"/>
        <w:ind w:left="110" w:right="1628" w:hanging="8"/>
      </w:pPr>
      <w:r>
        <w:rPr>
          <w:w w:val="105"/>
        </w:rPr>
        <w:t>whcrc </w:t>
      </w:r>
      <w:r>
        <w:rPr>
          <w:rFonts w:ascii="Arial"/>
          <w:i/>
          <w:w w:val="105"/>
        </w:rPr>
        <w:t>h </w:t>
      </w:r>
      <w:r>
        <w:rPr>
          <w:w w:val="105"/>
        </w:rPr>
        <w:t>is thc com;taut of proportionality. lntegrating,</w:t>
      </w:r>
    </w:p>
    <w:p>
      <w:pPr>
        <w:pStyle w:val="BodyText"/>
        <w:spacing w:before="3"/>
        <w:rPr>
          <w:sz w:val="22"/>
        </w:rPr>
      </w:pPr>
    </w:p>
    <w:p>
      <w:pPr>
        <w:spacing w:before="0"/>
        <w:ind w:left="293" w:right="313" w:firstLine="0"/>
        <w:jc w:val="center"/>
        <w:rPr>
          <w:rFonts w:ascii="Arial"/>
          <w:i/>
          <w:sz w:val="21"/>
        </w:rPr>
      </w:pPr>
      <w:r>
        <w:rPr>
          <w:w w:val="105"/>
          <w:sz w:val="19"/>
        </w:rPr>
        <w:t>log</w:t>
      </w:r>
      <w:r>
        <w:rPr>
          <w:spacing w:val="-30"/>
          <w:sz w:val="19"/>
        </w:rPr>
        <w:t> </w:t>
      </w:r>
      <w:r>
        <w:rPr>
          <w:spacing w:val="-111"/>
          <w:w w:val="262"/>
          <w:sz w:val="19"/>
        </w:rPr>
        <w:t>(</w:t>
      </w:r>
      <w:r>
        <w:rPr>
          <w:spacing w:val="-158"/>
          <w:w w:val="262"/>
          <w:sz w:val="19"/>
        </w:rPr>
        <w:t>:</w:t>
      </w:r>
      <w:r>
        <w:rPr>
          <w:w w:val="199"/>
          <w:sz w:val="19"/>
        </w:rPr>
        <w:t>.)</w:t>
      </w:r>
      <w:r>
        <w:rPr>
          <w:spacing w:val="5"/>
          <w:sz w:val="19"/>
        </w:rPr>
        <w:t> </w:t>
      </w:r>
      <w:r>
        <w:rPr>
          <w:w w:val="90"/>
          <w:sz w:val="28"/>
        </w:rPr>
        <w:t>=</w:t>
      </w:r>
      <w:r>
        <w:rPr>
          <w:sz w:val="28"/>
        </w:rPr>
        <w:t> </w:t>
      </w:r>
      <w:r>
        <w:rPr>
          <w:spacing w:val="-18"/>
          <w:sz w:val="28"/>
        </w:rPr>
        <w:t> </w:t>
      </w:r>
      <w:r>
        <w:rPr>
          <w:i/>
          <w:w w:val="137"/>
          <w:sz w:val="21"/>
        </w:rPr>
        <w:t>-hx</w:t>
      </w:r>
      <w:r>
        <w:rPr>
          <w:i/>
          <w:sz w:val="21"/>
        </w:rPr>
        <w:t> </w:t>
      </w:r>
      <w:r>
        <w:rPr>
          <w:i/>
          <w:spacing w:val="-14"/>
          <w:sz w:val="21"/>
        </w:rPr>
        <w:t> </w:t>
      </w:r>
      <w:r>
        <w:rPr>
          <w:w w:val="282"/>
          <w:sz w:val="21"/>
        </w:rPr>
        <w:t>-</w:t>
      </w:r>
      <w:r>
        <w:rPr>
          <w:spacing w:val="-6"/>
          <w:sz w:val="21"/>
        </w:rPr>
        <w:t> </w:t>
      </w:r>
      <w:r>
        <w:rPr>
          <w:w w:val="108"/>
          <w:sz w:val="19"/>
        </w:rPr>
        <w:t>log</w:t>
      </w:r>
      <w:r>
        <w:rPr>
          <w:spacing w:val="12"/>
          <w:sz w:val="19"/>
        </w:rPr>
        <w:t> </w:t>
      </w:r>
      <w:r>
        <w:rPr>
          <w:rFonts w:ascii="Arial"/>
          <w:i/>
          <w:w w:val="109"/>
          <w:sz w:val="21"/>
        </w:rPr>
        <w:t>B,</w:t>
      </w:r>
    </w:p>
    <w:p>
      <w:pPr>
        <w:pStyle w:val="BodyText"/>
        <w:spacing w:before="11"/>
        <w:rPr>
          <w:rFonts w:ascii="Arial"/>
          <w:i/>
          <w:sz w:val="17"/>
        </w:rPr>
      </w:pPr>
    </w:p>
    <w:p>
      <w:pPr>
        <w:spacing w:after="0"/>
        <w:rPr>
          <w:rFonts w:ascii="Arial"/>
          <w:sz w:val="17"/>
        </w:rPr>
        <w:sectPr>
          <w:pgSz w:w="7200" w:h="11340"/>
          <w:pgMar w:top="480" w:bottom="280" w:left="660" w:right="520"/>
        </w:sectPr>
      </w:pPr>
    </w:p>
    <w:p>
      <w:pPr>
        <w:pStyle w:val="BodyText"/>
        <w:spacing w:line="220" w:lineRule="exact" w:before="73"/>
        <w:ind w:left="103"/>
      </w:pPr>
      <w:r>
        <w:rPr>
          <w:w w:val="110"/>
          <w:sz w:val="21"/>
        </w:rPr>
        <w:t>where  </w:t>
      </w:r>
      <w:r>
        <w:rPr>
          <w:w w:val="110"/>
        </w:rPr>
        <w:t>-log B is thc constant of integration.</w:t>
      </w:r>
    </w:p>
    <w:p>
      <w:pPr>
        <w:spacing w:line="267" w:lineRule="exact" w:before="0"/>
        <w:ind w:left="103" w:right="0" w:firstLine="0"/>
        <w:jc w:val="left"/>
        <w:rPr>
          <w:sz w:val="21"/>
        </w:rPr>
      </w:pPr>
      <w:r>
        <w:rPr/>
        <w:drawing>
          <wp:anchor distT="0" distB="0" distL="0" distR="0" allowOverlap="1" layoutInCell="1" locked="0" behindDoc="0" simplePos="0" relativeHeight="2248">
            <wp:simplePos x="0" y="0"/>
            <wp:positionH relativeFrom="page">
              <wp:posOffset>2048255</wp:posOffset>
            </wp:positionH>
            <wp:positionV relativeFrom="paragraph">
              <wp:posOffset>284058</wp:posOffset>
            </wp:positionV>
            <wp:extent cx="539495" cy="128015"/>
            <wp:effectExtent l="0" t="0" r="0" b="0"/>
            <wp:wrapNone/>
            <wp:docPr id="21" name="image14.png" descr=""/>
            <wp:cNvGraphicFramePr>
              <a:graphicFrameLocks noChangeAspect="1"/>
            </wp:cNvGraphicFramePr>
            <a:graphic>
              <a:graphicData uri="http://schemas.openxmlformats.org/drawingml/2006/picture">
                <pic:pic>
                  <pic:nvPicPr>
                    <pic:cNvPr id="22" name="image14.png"/>
                    <pic:cNvPicPr/>
                  </pic:nvPicPr>
                  <pic:blipFill>
                    <a:blip r:embed="rId18" cstate="print"/>
                    <a:stretch>
                      <a:fillRect/>
                    </a:stretch>
                  </pic:blipFill>
                  <pic:spPr>
                    <a:xfrm>
                      <a:off x="0" y="0"/>
                      <a:ext cx="539495" cy="128015"/>
                    </a:xfrm>
                    <a:prstGeom prst="rect">
                      <a:avLst/>
                    </a:prstGeom>
                  </pic:spPr>
                </pic:pic>
              </a:graphicData>
            </a:graphic>
          </wp:anchor>
        </w:drawing>
      </w:r>
      <w:r>
        <w:rPr>
          <w:sz w:val="21"/>
        </w:rPr>
        <w:t>Then, </w:t>
      </w:r>
      <w:r>
        <w:rPr>
          <w:sz w:val="20"/>
        </w:rPr>
        <w:t>with </w:t>
      </w:r>
      <w:r>
        <w:rPr>
          <w:rFonts w:ascii="Arial"/>
          <w:i/>
          <w:w w:val="85"/>
          <w:sz w:val="25"/>
        </w:rPr>
        <w:t>e"' </w:t>
      </w:r>
      <w:r>
        <w:rPr>
          <w:sz w:val="25"/>
        </w:rPr>
        <w:t>=</w:t>
      </w:r>
      <w:r>
        <w:rPr>
          <w:spacing w:val="59"/>
          <w:sz w:val="25"/>
        </w:rPr>
        <w:t> </w:t>
      </w:r>
      <w:r>
        <w:rPr>
          <w:sz w:val="21"/>
        </w:rPr>
        <w:t>e,</w:t>
      </w:r>
    </w:p>
    <w:p>
      <w:pPr>
        <w:pStyle w:val="BodyText"/>
      </w:pPr>
      <w:r>
        <w:rPr/>
        <w:br w:type="column"/>
      </w:r>
      <w:r>
        <w:rPr/>
      </w:r>
    </w:p>
    <w:p>
      <w:pPr>
        <w:pStyle w:val="BodyText"/>
      </w:pPr>
    </w:p>
    <w:p>
      <w:pPr>
        <w:pStyle w:val="BodyText"/>
        <w:spacing w:before="10"/>
        <w:rPr>
          <w:sz w:val="22"/>
        </w:rPr>
      </w:pPr>
    </w:p>
    <w:p>
      <w:pPr>
        <w:pStyle w:val="BodyText"/>
        <w:ind w:left="103"/>
      </w:pPr>
      <w:r>
        <w:rPr/>
        <w:t>(1.27 )</w:t>
      </w:r>
    </w:p>
    <w:p>
      <w:pPr>
        <w:spacing w:after="0"/>
        <w:sectPr>
          <w:type w:val="continuous"/>
          <w:pgSz w:w="7200" w:h="11340"/>
          <w:pgMar w:top="1100" w:bottom="0" w:left="660" w:right="520"/>
          <w:cols w:num="2" w:equalWidth="0">
            <w:col w:w="3992" w:space="1271"/>
            <w:col w:w="757"/>
          </w:cols>
        </w:sectPr>
      </w:pPr>
    </w:p>
    <w:p>
      <w:pPr>
        <w:pStyle w:val="BodyText"/>
        <w:spacing w:line="244" w:lineRule="auto" w:before="162"/>
        <w:ind w:left="103" w:right="127" w:firstLine="7"/>
        <w:jc w:val="both"/>
      </w:pPr>
      <w:r>
        <w:rPr>
          <w:w w:val="120"/>
        </w:rPr>
        <w:t>lt </w:t>
      </w:r>
      <w:r>
        <w:rPr>
          <w:w w:val="105"/>
        </w:rPr>
        <w:t>thus appears that Gompertz,s hypothcsis is equivalent to thc a.ssumption that the fotce of mortality increases in gcometric pro­ gression. We may now derive </w:t>
      </w:r>
      <w:r>
        <w:rPr>
          <w:w w:val="105"/>
          <w:sz w:val="19"/>
        </w:rPr>
        <w:t>Gompcrtz':,; </w:t>
      </w:r>
      <w:r>
        <w:rPr>
          <w:w w:val="105"/>
        </w:rPr>
        <w:t>cxprcssion </w:t>
      </w:r>
      <w:r>
        <w:rPr>
          <w:w w:val="105"/>
          <w:sz w:val="19"/>
        </w:rPr>
        <w:t>for </w:t>
      </w:r>
      <w:r>
        <w:rPr>
          <w:i/>
          <w:w w:val="105"/>
        </w:rPr>
        <w:t>lx , </w:t>
      </w:r>
      <w:r>
        <w:rPr>
          <w:w w:val="105"/>
        </w:rPr>
        <w:t>using formula  (1.11).</w:t>
      </w:r>
    </w:p>
    <w:p>
      <w:pPr>
        <w:spacing w:after="0" w:line="244" w:lineRule="auto"/>
        <w:jc w:val="both"/>
        <w:sectPr>
          <w:type w:val="continuous"/>
          <w:pgSz w:w="7200" w:h="11340"/>
          <w:pgMar w:top="1100" w:bottom="0" w:left="660" w:right="520"/>
        </w:sectPr>
      </w:pPr>
    </w:p>
    <w:p>
      <w:pPr>
        <w:tabs>
          <w:tab w:pos="1489" w:val="left" w:leader="none"/>
          <w:tab w:pos="5369" w:val="left" w:leader="none"/>
        </w:tabs>
        <w:spacing w:before="48"/>
        <w:ind w:left="136" w:right="0" w:firstLine="0"/>
        <w:jc w:val="left"/>
        <w:rPr>
          <w:b/>
          <w:sz w:val="20"/>
        </w:rPr>
      </w:pPr>
      <w:r>
        <w:rPr>
          <w:color w:val="010101"/>
          <w:sz w:val="21"/>
        </w:rPr>
        <w:t>22</w:t>
        <w:tab/>
      </w:r>
      <w:r>
        <w:rPr>
          <w:b/>
          <w:color w:val="010101"/>
          <w:sz w:val="15"/>
        </w:rPr>
        <w:t>THE-  MEASUREMENT  </w:t>
      </w:r>
      <w:r>
        <w:rPr>
          <w:b/>
          <w:color w:val="010101"/>
          <w:spacing w:val="1"/>
          <w:sz w:val="15"/>
        </w:rPr>
        <w:t> </w:t>
      </w:r>
      <w:r>
        <w:rPr>
          <w:b/>
          <w:color w:val="010101"/>
          <w:sz w:val="15"/>
        </w:rPr>
        <w:t>OF </w:t>
      </w:r>
      <w:r>
        <w:rPr>
          <w:b/>
          <w:color w:val="010101"/>
          <w:spacing w:val="9"/>
          <w:sz w:val="15"/>
        </w:rPr>
        <w:t> </w:t>
      </w:r>
      <w:r>
        <w:rPr>
          <w:b/>
          <w:color w:val="010101"/>
          <w:sz w:val="15"/>
        </w:rPr>
        <w:t>MORTALITY</w:t>
        <w:tab/>
      </w:r>
      <w:r>
        <w:rPr>
          <w:b/>
          <w:color w:val="010101"/>
          <w:w w:val="85"/>
          <w:sz w:val="21"/>
        </w:rPr>
        <w:t>(CH.</w:t>
      </w:r>
      <w:r>
        <w:rPr>
          <w:b/>
          <w:color w:val="010101"/>
          <w:spacing w:val="-12"/>
          <w:w w:val="85"/>
          <w:sz w:val="21"/>
        </w:rPr>
        <w:t> </w:t>
      </w:r>
      <w:r>
        <w:rPr>
          <w:b/>
          <w:color w:val="010101"/>
          <w:w w:val="85"/>
          <w:sz w:val="20"/>
        </w:rPr>
        <w:t>1</w:t>
      </w:r>
    </w:p>
    <w:p>
      <w:pPr>
        <w:pStyle w:val="BodyText"/>
        <w:spacing w:before="6"/>
        <w:rPr>
          <w:b/>
          <w:sz w:val="12"/>
        </w:rPr>
      </w:pPr>
    </w:p>
    <w:p>
      <w:pPr>
        <w:spacing w:after="0"/>
        <w:rPr>
          <w:sz w:val="12"/>
        </w:rPr>
        <w:sectPr>
          <w:pgSz w:w="7200" w:h="11340"/>
          <w:pgMar w:top="500" w:bottom="280" w:left="660" w:right="520"/>
        </w:sectPr>
      </w:pPr>
    </w:p>
    <w:p>
      <w:pPr>
        <w:spacing w:before="72"/>
        <w:ind w:left="337" w:right="-15" w:firstLine="0"/>
        <w:jc w:val="left"/>
        <w:rPr>
          <w:b/>
          <w:sz w:val="22"/>
        </w:rPr>
      </w:pPr>
      <w:r>
        <w:rPr>
          <w:b/>
          <w:color w:val="010101"/>
          <w:w w:val="90"/>
          <w:sz w:val="22"/>
        </w:rPr>
        <w:t>First,</w:t>
      </w:r>
    </w:p>
    <w:p>
      <w:pPr>
        <w:spacing w:line="597" w:lineRule="exact" w:before="79"/>
        <w:ind w:left="337" w:right="-15" w:firstLine="0"/>
        <w:jc w:val="left"/>
        <w:rPr>
          <w:rFonts w:ascii="Arial" w:hAnsi="Arial"/>
          <w:i/>
          <w:sz w:val="51"/>
        </w:rPr>
      </w:pPr>
      <w:r>
        <w:rPr/>
        <w:br w:type="column"/>
      </w:r>
      <w:r>
        <w:rPr>
          <w:i/>
          <w:color w:val="010101"/>
          <w:spacing w:val="-22"/>
          <w:w w:val="108"/>
          <w:position w:val="-7"/>
          <w:sz w:val="57"/>
        </w:rPr>
        <w:t>i</w:t>
      </w:r>
      <w:r>
        <w:rPr>
          <w:i/>
          <w:color w:val="010101"/>
          <w:spacing w:val="3"/>
          <w:w w:val="46"/>
          <w:position w:val="12"/>
          <w:sz w:val="57"/>
        </w:rPr>
        <w:t>•</w:t>
      </w:r>
      <w:r>
        <w:rPr>
          <w:i/>
          <w:color w:val="858585"/>
          <w:spacing w:val="7"/>
          <w:w w:val="41"/>
          <w:sz w:val="17"/>
        </w:rPr>
        <w:t>.</w:t>
      </w:r>
      <w:r>
        <w:rPr>
          <w:i/>
          <w:color w:val="010101"/>
          <w:w w:val="92"/>
          <w:sz w:val="17"/>
        </w:rPr>
        <w:t>P..</w:t>
      </w:r>
      <w:r>
        <w:rPr>
          <w:i/>
          <w:color w:val="010101"/>
          <w:spacing w:val="15"/>
          <w:sz w:val="17"/>
        </w:rPr>
        <w:t> </w:t>
      </w:r>
      <w:r>
        <w:rPr>
          <w:i/>
          <w:color w:val="010101"/>
          <w:spacing w:val="12"/>
          <w:w w:val="93"/>
          <w:sz w:val="19"/>
        </w:rPr>
        <w:t>d</w:t>
      </w:r>
      <w:r>
        <w:rPr>
          <w:i/>
          <w:color w:val="010101"/>
          <w:w w:val="99"/>
          <w:sz w:val="19"/>
        </w:rPr>
        <w:t>y</w:t>
      </w:r>
      <w:r>
        <w:rPr>
          <w:i/>
          <w:color w:val="010101"/>
          <w:sz w:val="19"/>
        </w:rPr>
        <w:t> </w:t>
      </w:r>
      <w:r>
        <w:rPr>
          <w:i/>
          <w:color w:val="010101"/>
          <w:spacing w:val="21"/>
          <w:sz w:val="19"/>
        </w:rPr>
        <w:t> </w:t>
      </w:r>
      <w:r>
        <w:rPr>
          <w:color w:val="010101"/>
          <w:w w:val="104"/>
          <w:sz w:val="23"/>
        </w:rPr>
        <w:t>=</w:t>
      </w:r>
      <w:r>
        <w:rPr>
          <w:color w:val="010101"/>
          <w:sz w:val="23"/>
        </w:rPr>
        <w:t> </w:t>
      </w:r>
      <w:r>
        <w:rPr>
          <w:color w:val="010101"/>
          <w:spacing w:val="-18"/>
          <w:sz w:val="23"/>
        </w:rPr>
        <w:t> </w:t>
      </w:r>
      <w:r>
        <w:rPr>
          <w:rFonts w:ascii="Arial" w:hAnsi="Arial"/>
          <w:i/>
          <w:color w:val="010101"/>
          <w:spacing w:val="-175"/>
          <w:w w:val="108"/>
          <w:position w:val="12"/>
          <w:sz w:val="51"/>
        </w:rPr>
        <w:t>¡</w:t>
      </w:r>
    </w:p>
    <w:p>
      <w:pPr>
        <w:pStyle w:val="BodyText"/>
        <w:rPr>
          <w:rFonts w:ascii="Arial"/>
          <w:i/>
          <w:sz w:val="22"/>
        </w:rPr>
      </w:pPr>
      <w:r>
        <w:rPr/>
        <w:br w:type="column"/>
      </w:r>
      <w:r>
        <w:rPr>
          <w:rFonts w:ascii="Arial"/>
          <w:i/>
          <w:sz w:val="22"/>
        </w:rPr>
      </w:r>
    </w:p>
    <w:p>
      <w:pPr>
        <w:pStyle w:val="BodyText"/>
        <w:spacing w:before="10"/>
        <w:rPr>
          <w:rFonts w:ascii="Arial"/>
          <w:i/>
          <w:sz w:val="22"/>
        </w:rPr>
      </w:pPr>
    </w:p>
    <w:p>
      <w:pPr>
        <w:pStyle w:val="ListParagraph"/>
        <w:numPr>
          <w:ilvl w:val="0"/>
          <w:numId w:val="4"/>
        </w:numPr>
        <w:tabs>
          <w:tab w:pos="222" w:val="left" w:leader="none"/>
        </w:tabs>
        <w:spacing w:line="160" w:lineRule="exact" w:before="0" w:after="0"/>
        <w:ind w:left="221" w:right="0" w:hanging="158"/>
        <w:jc w:val="left"/>
        <w:rPr>
          <w:sz w:val="23"/>
        </w:rPr>
      </w:pPr>
      <w:r>
        <w:rPr/>
        <w:pict>
          <v:shape style="position:absolute;margin-left:160.977097pt;margin-top:-16.038910pt;width:5.9pt;height:25.5pt;mso-position-horizontal-relative:page;mso-position-vertical-relative:paragraph;z-index:-733792" type="#_x0000_t202" filled="false" stroked="false">
            <v:textbox inset="0,0,0,0">
              <w:txbxContent>
                <w:p>
                  <w:pPr>
                    <w:spacing w:line="510" w:lineRule="exact" w:before="0"/>
                    <w:ind w:left="0" w:right="0" w:firstLine="0"/>
                    <w:jc w:val="left"/>
                    <w:rPr>
                      <w:rFonts w:ascii="Arial" w:hAnsi="Arial"/>
                      <w:i/>
                      <w:sz w:val="51"/>
                    </w:rPr>
                  </w:pPr>
                  <w:r>
                    <w:rPr>
                      <w:rFonts w:ascii="Arial" w:hAnsi="Arial"/>
                      <w:i/>
                      <w:color w:val="010101"/>
                      <w:spacing w:val="-67"/>
                      <w:w w:val="107"/>
                      <w:sz w:val="51"/>
                    </w:rPr>
                    <w:t>·</w:t>
                  </w:r>
                </w:p>
              </w:txbxContent>
            </v:textbox>
            <w10:wrap type="none"/>
          </v:shape>
        </w:pict>
      </w:r>
      <w:r>
        <w:rPr>
          <w:i/>
          <w:color w:val="010101"/>
          <w:w w:val="97"/>
          <w:sz w:val="21"/>
        </w:rPr>
        <w:t>B</w:t>
      </w:r>
      <w:r>
        <w:rPr>
          <w:i/>
          <w:color w:val="010101"/>
          <w:spacing w:val="9"/>
          <w:w w:val="97"/>
          <w:sz w:val="21"/>
        </w:rPr>
        <w:t>e</w:t>
      </w:r>
      <w:r>
        <w:rPr>
          <w:i/>
          <w:color w:val="010101"/>
          <w:w w:val="221"/>
          <w:sz w:val="21"/>
        </w:rPr>
        <w:t>'</w:t>
      </w:r>
      <w:r>
        <w:rPr>
          <w:i/>
          <w:color w:val="010101"/>
          <w:spacing w:val="-30"/>
          <w:sz w:val="21"/>
        </w:rPr>
        <w:t> </w:t>
      </w:r>
      <w:r>
        <w:rPr>
          <w:i/>
          <w:color w:val="010101"/>
          <w:spacing w:val="12"/>
          <w:sz w:val="19"/>
        </w:rPr>
        <w:t>d</w:t>
      </w:r>
      <w:r>
        <w:rPr>
          <w:i/>
          <w:color w:val="010101"/>
          <w:w w:val="92"/>
          <w:sz w:val="19"/>
        </w:rPr>
        <w:t>y</w:t>
      </w:r>
      <w:r>
        <w:rPr>
          <w:i/>
          <w:color w:val="010101"/>
          <w:sz w:val="19"/>
        </w:rPr>
        <w:t> </w:t>
      </w:r>
      <w:r>
        <w:rPr>
          <w:i/>
          <w:color w:val="010101"/>
          <w:spacing w:val="20"/>
          <w:sz w:val="19"/>
        </w:rPr>
        <w:t> </w:t>
      </w:r>
      <w:r>
        <w:rPr>
          <w:color w:val="010101"/>
          <w:w w:val="104"/>
          <w:sz w:val="23"/>
        </w:rPr>
        <w:t>=</w:t>
      </w:r>
    </w:p>
    <w:p>
      <w:pPr>
        <w:pStyle w:val="BodyText"/>
        <w:spacing w:before="8"/>
        <w:rPr>
          <w:sz w:val="36"/>
        </w:rPr>
      </w:pPr>
      <w:r>
        <w:rPr/>
        <w:br w:type="column"/>
      </w:r>
      <w:r>
        <w:rPr>
          <w:sz w:val="36"/>
        </w:rPr>
      </w:r>
    </w:p>
    <w:p>
      <w:pPr>
        <w:spacing w:line="254" w:lineRule="exact" w:before="0"/>
        <w:ind w:left="107" w:right="0" w:firstLine="0"/>
        <w:jc w:val="left"/>
        <w:rPr>
          <w:b/>
          <w:i/>
          <w:sz w:val="20"/>
        </w:rPr>
      </w:pPr>
      <w:r>
        <w:rPr>
          <w:b/>
          <w:i/>
          <w:color w:val="010101"/>
          <w:w w:val="105"/>
          <w:sz w:val="20"/>
        </w:rPr>
        <w:t>Be•   </w:t>
      </w:r>
      <w:r>
        <w:rPr>
          <w:color w:val="010101"/>
          <w:w w:val="230"/>
          <w:position w:val="-11"/>
          <w:sz w:val="23"/>
        </w:rPr>
        <w:t>- </w:t>
      </w:r>
      <w:r>
        <w:rPr>
          <w:b/>
          <w:i/>
          <w:color w:val="010101"/>
          <w:w w:val="105"/>
          <w:sz w:val="20"/>
        </w:rPr>
        <w:t>B</w:t>
      </w:r>
    </w:p>
    <w:p>
      <w:pPr>
        <w:spacing w:after="0" w:line="254" w:lineRule="exact"/>
        <w:jc w:val="left"/>
        <w:rPr>
          <w:sz w:val="20"/>
        </w:rPr>
        <w:sectPr>
          <w:type w:val="continuous"/>
          <w:pgSz w:w="7200" w:h="11340"/>
          <w:pgMar w:top="1100" w:bottom="0" w:left="660" w:right="520"/>
          <w:cols w:num="4" w:equalWidth="0">
            <w:col w:w="799" w:space="231"/>
            <w:col w:w="1390" w:space="40"/>
            <w:col w:w="1008" w:space="40"/>
            <w:col w:w="2512"/>
          </w:cols>
        </w:sectPr>
      </w:pPr>
    </w:p>
    <w:p>
      <w:pPr>
        <w:pStyle w:val="BodyText"/>
        <w:rPr>
          <w:b/>
          <w:i/>
        </w:rPr>
      </w:pPr>
    </w:p>
    <w:p>
      <w:pPr>
        <w:pStyle w:val="BodyText"/>
        <w:rPr>
          <w:b/>
          <w:i/>
        </w:rPr>
      </w:pPr>
    </w:p>
    <w:p>
      <w:pPr>
        <w:pStyle w:val="BodyText"/>
        <w:spacing w:before="7"/>
        <w:rPr>
          <w:b/>
          <w:i/>
          <w:sz w:val="18"/>
        </w:rPr>
      </w:pPr>
    </w:p>
    <w:p>
      <w:pPr>
        <w:spacing w:before="1"/>
        <w:ind w:left="129" w:right="-15" w:firstLine="0"/>
        <w:jc w:val="left"/>
        <w:rPr>
          <w:b/>
          <w:sz w:val="21"/>
        </w:rPr>
      </w:pPr>
      <w:r>
        <w:rPr>
          <w:b/>
          <w:color w:val="010101"/>
          <w:w w:val="90"/>
          <w:sz w:val="21"/>
        </w:rPr>
        <w:t>where</w:t>
      </w:r>
    </w:p>
    <w:p>
      <w:pPr>
        <w:tabs>
          <w:tab w:pos="1170" w:val="left" w:leader="none"/>
          <w:tab w:pos="2232" w:val="left" w:leader="none"/>
          <w:tab w:pos="2950" w:val="left" w:leader="none"/>
        </w:tabs>
        <w:spacing w:line="225" w:lineRule="exact" w:before="0"/>
        <w:ind w:left="129" w:right="0" w:firstLine="0"/>
        <w:jc w:val="left"/>
        <w:rPr>
          <w:i/>
          <w:sz w:val="22"/>
        </w:rPr>
      </w:pPr>
      <w:r>
        <w:rPr/>
        <w:br w:type="column"/>
      </w:r>
      <w:r>
        <w:rPr>
          <w:color w:val="010101"/>
          <w:w w:val="95"/>
          <w:sz w:val="18"/>
        </w:rPr>
        <w:t>o</w:t>
        <w:tab/>
        <w:t>o</w:t>
        <w:tab/>
      </w:r>
      <w:r>
        <w:rPr>
          <w:color w:val="010101"/>
          <w:w w:val="95"/>
          <w:sz w:val="20"/>
        </w:rPr>
        <w:t>log</w:t>
      </w:r>
      <w:r>
        <w:rPr>
          <w:color w:val="010101"/>
          <w:spacing w:val="17"/>
          <w:w w:val="95"/>
          <w:sz w:val="20"/>
        </w:rPr>
        <w:t> </w:t>
      </w:r>
      <w:r>
        <w:rPr>
          <w:i/>
          <w:color w:val="010101"/>
          <w:w w:val="95"/>
          <w:sz w:val="22"/>
        </w:rPr>
        <w:t>e</w:t>
        <w:tab/>
      </w:r>
      <w:r>
        <w:rPr>
          <w:color w:val="010101"/>
          <w:w w:val="95"/>
          <w:sz w:val="20"/>
        </w:rPr>
        <w:t>log</w:t>
      </w:r>
      <w:r>
        <w:rPr>
          <w:color w:val="010101"/>
          <w:spacing w:val="21"/>
          <w:w w:val="95"/>
          <w:sz w:val="20"/>
        </w:rPr>
        <w:t> </w:t>
      </w:r>
      <w:r>
        <w:rPr>
          <w:i/>
          <w:color w:val="010101"/>
          <w:w w:val="95"/>
          <w:sz w:val="22"/>
        </w:rPr>
        <w:t>e</w:t>
      </w:r>
    </w:p>
    <w:p>
      <w:pPr>
        <w:spacing w:before="68"/>
        <w:ind w:left="825" w:right="0" w:firstLine="0"/>
        <w:jc w:val="left"/>
        <w:rPr>
          <w:sz w:val="12"/>
        </w:rPr>
      </w:pPr>
      <w:r>
        <w:rPr>
          <w:color w:val="010101"/>
          <w:w w:val="115"/>
          <w:sz w:val="23"/>
        </w:rPr>
        <w:t>=  </w:t>
      </w:r>
      <w:r>
        <w:rPr>
          <w:i/>
          <w:color w:val="010101"/>
          <w:w w:val="140"/>
          <w:sz w:val="20"/>
        </w:rPr>
        <w:t>-( </w:t>
      </w:r>
      <w:r>
        <w:rPr>
          <w:i/>
          <w:color w:val="010101"/>
          <w:w w:val="135"/>
          <w:sz w:val="20"/>
        </w:rPr>
        <w:t>e· </w:t>
      </w:r>
      <w:r>
        <w:rPr>
          <w:color w:val="010101"/>
          <w:w w:val="245"/>
          <w:sz w:val="20"/>
        </w:rPr>
        <w:t>-</w:t>
      </w:r>
      <w:r>
        <w:rPr>
          <w:color w:val="010101"/>
          <w:spacing w:val="-80"/>
          <w:w w:val="245"/>
          <w:sz w:val="20"/>
        </w:rPr>
        <w:t> </w:t>
      </w:r>
      <w:r>
        <w:rPr>
          <w:color w:val="010101"/>
          <w:w w:val="135"/>
          <w:sz w:val="20"/>
        </w:rPr>
        <w:t>1) </w:t>
      </w:r>
      <w:r>
        <w:rPr>
          <w:color w:val="010101"/>
          <w:w w:val="115"/>
          <w:sz w:val="20"/>
        </w:rPr>
        <w:t>log </w:t>
      </w:r>
      <w:r>
        <w:rPr>
          <w:rFonts w:ascii="Arial" w:hAnsi="Arial"/>
          <w:i/>
          <w:color w:val="010101"/>
          <w:w w:val="115"/>
          <w:sz w:val="17"/>
        </w:rPr>
        <w:t>g </w:t>
      </w:r>
      <w:r>
        <w:rPr>
          <w:color w:val="010101"/>
          <w:w w:val="115"/>
          <w:sz w:val="23"/>
        </w:rPr>
        <w:t>= </w:t>
      </w:r>
      <w:r>
        <w:rPr>
          <w:color w:val="010101"/>
          <w:w w:val="135"/>
          <w:sz w:val="20"/>
        </w:rPr>
        <w:t>-log </w:t>
      </w:r>
      <w:r>
        <w:rPr>
          <w:color w:val="010101"/>
          <w:spacing w:val="-3"/>
          <w:w w:val="135"/>
          <w:sz w:val="18"/>
        </w:rPr>
        <w:t>gcz-</w:t>
      </w:r>
      <w:r>
        <w:rPr>
          <w:color w:val="010101"/>
          <w:spacing w:val="-3"/>
          <w:w w:val="135"/>
          <w:position w:val="5"/>
          <w:sz w:val="12"/>
        </w:rPr>
        <w:t>1</w:t>
      </w:r>
      <w:r>
        <w:rPr>
          <w:color w:val="010101"/>
          <w:spacing w:val="-3"/>
          <w:w w:val="135"/>
          <w:sz w:val="12"/>
        </w:rPr>
        <w:t>,</w:t>
      </w:r>
    </w:p>
    <w:p>
      <w:pPr>
        <w:pStyle w:val="BodyText"/>
        <w:rPr>
          <w:sz w:val="22"/>
        </w:rPr>
      </w:pPr>
    </w:p>
    <w:p>
      <w:pPr>
        <w:pStyle w:val="BodyText"/>
        <w:rPr>
          <w:sz w:val="22"/>
        </w:rPr>
      </w:pPr>
    </w:p>
    <w:p>
      <w:pPr>
        <w:pStyle w:val="BodyText"/>
        <w:tabs>
          <w:tab w:pos="2365" w:val="left" w:leader="none"/>
        </w:tabs>
        <w:spacing w:line="151" w:lineRule="auto" w:before="161"/>
        <w:ind w:left="1909" w:right="2250" w:hanging="984"/>
        <w:rPr>
          <w:rFonts w:ascii="Arial"/>
          <w:i/>
          <w:sz w:val="19"/>
        </w:rPr>
      </w:pPr>
      <w:r>
        <w:rPr>
          <w:color w:val="010101"/>
        </w:rPr>
        <w:t>log g</w:t>
      </w:r>
      <w:r>
        <w:rPr>
          <w:color w:val="010101"/>
          <w:spacing w:val="42"/>
        </w:rPr>
        <w:t> </w:t>
      </w:r>
      <w:r>
        <w:rPr>
          <w:color w:val="010101"/>
          <w:w w:val="135"/>
        </w:rPr>
        <w:t>=</w:t>
      </w:r>
      <w:r>
        <w:rPr>
          <w:color w:val="010101"/>
          <w:spacing w:val="48"/>
          <w:w w:val="135"/>
        </w:rPr>
        <w:t> </w:t>
      </w:r>
      <w:r>
        <w:rPr>
          <w:color w:val="010101"/>
          <w:w w:val="260"/>
        </w:rPr>
        <w:t>-</w:t>
        <w:tab/>
        <w:tab/>
      </w:r>
      <w:r>
        <w:rPr>
          <w:color w:val="010101"/>
          <w:w w:val="135"/>
        </w:rPr>
        <w:t>. </w:t>
      </w:r>
      <w:r>
        <w:rPr>
          <w:color w:val="010101"/>
        </w:rPr>
        <w:t>log</w:t>
      </w:r>
      <w:r>
        <w:rPr>
          <w:color w:val="010101"/>
          <w:spacing w:val="-9"/>
        </w:rPr>
        <w:t> </w:t>
      </w:r>
      <w:r>
        <w:rPr>
          <w:rFonts w:ascii="Arial"/>
          <w:i/>
          <w:color w:val="010101"/>
          <w:sz w:val="19"/>
        </w:rPr>
        <w:t>e</w:t>
      </w:r>
    </w:p>
    <w:p>
      <w:pPr>
        <w:spacing w:after="0" w:line="151" w:lineRule="auto"/>
        <w:rPr>
          <w:rFonts w:ascii="Arial"/>
          <w:sz w:val="19"/>
        </w:rPr>
        <w:sectPr>
          <w:type w:val="continuous"/>
          <w:pgSz w:w="7200" w:h="11340"/>
          <w:pgMar w:top="1100" w:bottom="0" w:left="660" w:right="520"/>
          <w:cols w:num="2" w:equalWidth="0">
            <w:col w:w="628" w:space="700"/>
            <w:col w:w="4692"/>
          </w:cols>
        </w:sectPr>
      </w:pPr>
    </w:p>
    <w:p>
      <w:pPr>
        <w:spacing w:before="164"/>
        <w:ind w:left="118" w:right="-14" w:firstLine="0"/>
        <w:jc w:val="left"/>
        <w:rPr>
          <w:i/>
          <w:sz w:val="15"/>
        </w:rPr>
      </w:pPr>
      <w:r>
        <w:rPr>
          <w:color w:val="010101"/>
          <w:w w:val="109"/>
          <w:sz w:val="20"/>
        </w:rPr>
        <w:t>Then</w:t>
      </w:r>
      <w:r>
        <w:rPr>
          <w:color w:val="010101"/>
          <w:spacing w:val="15"/>
          <w:sz w:val="20"/>
        </w:rPr>
        <w:t> </w:t>
      </w:r>
      <w:r>
        <w:rPr>
          <w:rFonts w:ascii="Arial" w:hAnsi="Arial"/>
          <w:color w:val="010101"/>
          <w:w w:val="52"/>
          <w:sz w:val="20"/>
        </w:rPr>
        <w:t>Zz</w:t>
      </w:r>
      <w:r>
        <w:rPr>
          <w:rFonts w:ascii="Arial" w:hAnsi="Arial"/>
          <w:color w:val="010101"/>
          <w:sz w:val="20"/>
        </w:rPr>
        <w:t> </w:t>
      </w:r>
      <w:r>
        <w:rPr>
          <w:rFonts w:ascii="Arial" w:hAnsi="Arial"/>
          <w:color w:val="010101"/>
          <w:spacing w:val="-18"/>
          <w:sz w:val="20"/>
        </w:rPr>
        <w:t> </w:t>
      </w:r>
      <w:r>
        <w:rPr>
          <w:color w:val="010101"/>
          <w:w w:val="95"/>
          <w:sz w:val="25"/>
        </w:rPr>
        <w:t>=</w:t>
      </w:r>
      <w:r>
        <w:rPr>
          <w:color w:val="010101"/>
          <w:sz w:val="25"/>
        </w:rPr>
        <w:t> </w:t>
      </w:r>
      <w:r>
        <w:rPr>
          <w:color w:val="010101"/>
          <w:spacing w:val="-31"/>
          <w:sz w:val="25"/>
        </w:rPr>
        <w:t> </w:t>
      </w:r>
      <w:r>
        <w:rPr>
          <w:rFonts w:ascii="Arial" w:hAnsi="Arial"/>
          <w:i/>
          <w:color w:val="010101"/>
          <w:w w:val="66"/>
          <w:sz w:val="26"/>
        </w:rPr>
        <w:t>'loe-J:</w:t>
      </w:r>
      <w:r>
        <w:rPr>
          <w:rFonts w:ascii="Arial" w:hAnsi="Arial"/>
          <w:i/>
          <w:color w:val="010101"/>
          <w:spacing w:val="-22"/>
          <w:sz w:val="26"/>
        </w:rPr>
        <w:t> </w:t>
      </w:r>
      <w:r>
        <w:rPr>
          <w:rFonts w:ascii="Arial" w:hAnsi="Arial"/>
          <w:i/>
          <w:color w:val="010101"/>
          <w:w w:val="69"/>
          <w:sz w:val="26"/>
        </w:rPr>
        <w:t>""</w:t>
      </w:r>
      <w:r>
        <w:rPr>
          <w:rFonts w:ascii="Arial" w:hAnsi="Arial"/>
          <w:i/>
          <w:color w:val="010101"/>
          <w:spacing w:val="-4"/>
          <w:sz w:val="26"/>
        </w:rPr>
        <w:t> </w:t>
      </w:r>
      <w:r>
        <w:rPr>
          <w:rFonts w:ascii="Arial" w:hAnsi="Arial"/>
          <w:i/>
          <w:color w:val="010101"/>
          <w:w w:val="116"/>
          <w:sz w:val="12"/>
        </w:rPr>
        <w:t>d,,</w:t>
      </w:r>
      <w:r>
        <w:rPr>
          <w:rFonts w:ascii="Arial" w:hAnsi="Arial"/>
          <w:i/>
          <w:color w:val="010101"/>
          <w:sz w:val="12"/>
        </w:rPr>
        <w:t>  </w:t>
      </w:r>
      <w:r>
        <w:rPr>
          <w:rFonts w:ascii="Arial" w:hAnsi="Arial"/>
          <w:i/>
          <w:color w:val="010101"/>
          <w:spacing w:val="-2"/>
          <w:sz w:val="12"/>
        </w:rPr>
        <w:t> </w:t>
      </w:r>
      <w:r>
        <w:rPr>
          <w:color w:val="010101"/>
          <w:w w:val="90"/>
          <w:sz w:val="25"/>
        </w:rPr>
        <w:t>=</w:t>
      </w:r>
      <w:r>
        <w:rPr>
          <w:color w:val="010101"/>
          <w:sz w:val="25"/>
        </w:rPr>
        <w:t> </w:t>
      </w:r>
      <w:r>
        <w:rPr>
          <w:color w:val="010101"/>
          <w:spacing w:val="-24"/>
          <w:sz w:val="25"/>
        </w:rPr>
        <w:t> </w:t>
      </w:r>
      <w:r>
        <w:rPr>
          <w:color w:val="010101"/>
          <w:spacing w:val="14"/>
          <w:w w:val="262"/>
          <w:sz w:val="16"/>
        </w:rPr>
        <w:t>z</w:t>
      </w:r>
      <w:r>
        <w:rPr>
          <w:color w:val="010101"/>
          <w:w w:val="84"/>
          <w:sz w:val="16"/>
        </w:rPr>
        <w:t>1°s</w:t>
      </w:r>
      <w:r>
        <w:rPr>
          <w:color w:val="010101"/>
          <w:spacing w:val="-7"/>
          <w:sz w:val="16"/>
        </w:rPr>
        <w:t> </w:t>
      </w:r>
      <w:r>
        <w:rPr>
          <w:color w:val="010101"/>
          <w:w w:val="106"/>
          <w:sz w:val="15"/>
        </w:rPr>
        <w:t>"cZ</w:t>
      </w:r>
      <w:r>
        <w:rPr>
          <w:color w:val="010101"/>
          <w:spacing w:val="6"/>
          <w:w w:val="106"/>
          <w:sz w:val="15"/>
        </w:rPr>
        <w:t>-</w:t>
      </w:r>
      <w:r>
        <w:rPr>
          <w:color w:val="010101"/>
          <w:w w:val="84"/>
          <w:position w:val="8"/>
          <w:sz w:val="16"/>
        </w:rPr>
        <w:t>1</w:t>
      </w:r>
      <w:r>
        <w:rPr>
          <w:color w:val="010101"/>
          <w:position w:val="8"/>
          <w:sz w:val="16"/>
        </w:rPr>
        <w:t> </w:t>
      </w:r>
      <w:r>
        <w:rPr>
          <w:color w:val="010101"/>
          <w:spacing w:val="-4"/>
          <w:position w:val="8"/>
          <w:sz w:val="16"/>
        </w:rPr>
        <w:t> </w:t>
      </w:r>
      <w:r>
        <w:rPr>
          <w:color w:val="010101"/>
          <w:w w:val="91"/>
          <w:sz w:val="26"/>
        </w:rPr>
        <w:t>=</w:t>
      </w:r>
      <w:r>
        <w:rPr>
          <w:color w:val="010101"/>
          <w:spacing w:val="30"/>
          <w:sz w:val="26"/>
        </w:rPr>
        <w:t> </w:t>
      </w:r>
      <w:r>
        <w:rPr>
          <w:i/>
          <w:color w:val="010101"/>
          <w:w w:val="101"/>
          <w:sz w:val="15"/>
        </w:rPr>
        <w:t>lofJcz-1.</w:t>
      </w:r>
    </w:p>
    <w:p>
      <w:pPr>
        <w:pStyle w:val="BodyText"/>
        <w:spacing w:before="152"/>
        <w:ind w:left="122" w:right="-14"/>
      </w:pPr>
      <w:r>
        <w:rPr>
          <w:color w:val="010101"/>
          <w:w w:val="110"/>
        </w:rPr>
        <w:t>This is usually written as</w:t>
      </w:r>
    </w:p>
    <w:p>
      <w:pPr>
        <w:pStyle w:val="BodyText"/>
        <w:spacing w:before="8"/>
        <w:rPr>
          <w:sz w:val="11"/>
        </w:rPr>
      </w:pPr>
    </w:p>
    <w:p>
      <w:pPr>
        <w:pStyle w:val="BodyText"/>
        <w:spacing w:line="230" w:lineRule="exact"/>
        <w:ind w:left="2580"/>
      </w:pPr>
      <w:r>
        <w:rPr>
          <w:position w:val="-4"/>
        </w:rPr>
        <w:drawing>
          <wp:inline distT="0" distB="0" distL="0" distR="0">
            <wp:extent cx="521208" cy="146303"/>
            <wp:effectExtent l="0" t="0" r="0" b="0"/>
            <wp:docPr id="23" name="image15.png" descr=""/>
            <wp:cNvGraphicFramePr>
              <a:graphicFrameLocks noChangeAspect="1"/>
            </wp:cNvGraphicFramePr>
            <a:graphic>
              <a:graphicData uri="http://schemas.openxmlformats.org/drawingml/2006/picture">
                <pic:pic>
                  <pic:nvPicPr>
                    <pic:cNvPr id="24" name="image15.png"/>
                    <pic:cNvPicPr/>
                  </pic:nvPicPr>
                  <pic:blipFill>
                    <a:blip r:embed="rId19" cstate="print"/>
                    <a:stretch>
                      <a:fillRect/>
                    </a:stretch>
                  </pic:blipFill>
                  <pic:spPr>
                    <a:xfrm>
                      <a:off x="0" y="0"/>
                      <a:ext cx="521208" cy="146303"/>
                    </a:xfrm>
                    <a:prstGeom prst="rect">
                      <a:avLst/>
                    </a:prstGeom>
                  </pic:spPr>
                </pic:pic>
              </a:graphicData>
            </a:graphic>
          </wp:inline>
        </w:drawing>
      </w:r>
      <w:r>
        <w:rPr>
          <w:position w:val="-4"/>
        </w:rPr>
      </w:r>
    </w:p>
    <w:p>
      <w:pPr>
        <w:spacing w:line="335" w:lineRule="exact" w:before="113"/>
        <w:ind w:left="122" w:right="-14" w:firstLine="0"/>
        <w:jc w:val="left"/>
        <w:rPr>
          <w:sz w:val="28"/>
        </w:rPr>
      </w:pPr>
      <w:r>
        <w:rPr>
          <w:color w:val="010101"/>
          <w:w w:val="101"/>
          <w:sz w:val="20"/>
        </w:rPr>
        <w:t>where</w:t>
      </w:r>
      <w:r>
        <w:rPr>
          <w:color w:val="010101"/>
          <w:sz w:val="20"/>
        </w:rPr>
        <w:t> </w:t>
      </w:r>
      <w:r>
        <w:rPr>
          <w:color w:val="010101"/>
          <w:spacing w:val="-21"/>
          <w:sz w:val="20"/>
        </w:rPr>
        <w:t> </w:t>
      </w:r>
      <w:r>
        <w:rPr>
          <w:i/>
          <w:color w:val="010101"/>
          <w:w w:val="95"/>
          <w:sz w:val="20"/>
        </w:rPr>
        <w:t>k</w:t>
      </w:r>
      <w:r>
        <w:rPr>
          <w:i/>
          <w:color w:val="010101"/>
          <w:sz w:val="20"/>
        </w:rPr>
        <w:t> </w:t>
      </w:r>
      <w:r>
        <w:rPr>
          <w:i/>
          <w:color w:val="010101"/>
          <w:spacing w:val="1"/>
          <w:sz w:val="20"/>
        </w:rPr>
        <w:t> </w:t>
      </w:r>
      <w:r>
        <w:rPr>
          <w:color w:val="010101"/>
          <w:w w:val="87"/>
          <w:sz w:val="28"/>
        </w:rPr>
        <w:t>=</w:t>
      </w:r>
      <w:r>
        <w:rPr>
          <w:color w:val="010101"/>
          <w:spacing w:val="13"/>
          <w:sz w:val="28"/>
        </w:rPr>
        <w:t> </w:t>
      </w:r>
      <w:r>
        <w:rPr>
          <w:i/>
          <w:color w:val="010101"/>
          <w:spacing w:val="-43"/>
          <w:w w:val="67"/>
          <w:position w:val="10"/>
          <w:sz w:val="24"/>
        </w:rPr>
        <w:t>l</w:t>
      </w:r>
      <w:r>
        <w:rPr>
          <w:color w:val="010101"/>
          <w:spacing w:val="-95"/>
          <w:w w:val="144"/>
          <w:sz w:val="28"/>
        </w:rPr>
        <w:t>-</w:t>
      </w:r>
      <w:r>
        <w:rPr>
          <w:i/>
          <w:color w:val="010101"/>
          <w:w w:val="68"/>
          <w:position w:val="10"/>
          <w:sz w:val="24"/>
        </w:rPr>
        <w:t>o</w:t>
      </w:r>
      <w:r>
        <w:rPr>
          <w:i/>
          <w:color w:val="010101"/>
          <w:spacing w:val="-15"/>
          <w:position w:val="10"/>
          <w:sz w:val="24"/>
        </w:rPr>
        <w:t> </w:t>
      </w:r>
      <w:r>
        <w:rPr>
          <w:color w:val="010101"/>
          <w:w w:val="117"/>
          <w:sz w:val="28"/>
        </w:rPr>
        <w:t>.</w:t>
      </w:r>
    </w:p>
    <w:p>
      <w:pPr>
        <w:spacing w:line="157" w:lineRule="exact" w:before="0"/>
        <w:ind w:left="1113" w:right="0" w:firstLine="0"/>
        <w:jc w:val="left"/>
        <w:rPr>
          <w:rFonts w:ascii="Arial"/>
          <w:i/>
          <w:sz w:val="18"/>
        </w:rPr>
      </w:pPr>
      <w:r>
        <w:rPr>
          <w:rFonts w:ascii="Arial"/>
          <w:i/>
          <w:color w:val="010101"/>
          <w:w w:val="89"/>
          <w:sz w:val="18"/>
        </w:rPr>
        <w:t>g</w:t>
      </w:r>
    </w:p>
    <w:p>
      <w:pPr>
        <w:pStyle w:val="BodyText"/>
        <w:rPr>
          <w:rFonts w:ascii="Arial"/>
          <w:i/>
          <w:sz w:val="18"/>
        </w:rPr>
      </w:pPr>
      <w:r>
        <w:rPr/>
        <w:br w:type="column"/>
      </w:r>
      <w:r>
        <w:rPr>
          <w:rFonts w:ascii="Arial"/>
          <w:i/>
          <w:sz w:val="18"/>
        </w:rPr>
      </w:r>
    </w:p>
    <w:p>
      <w:pPr>
        <w:pStyle w:val="BodyText"/>
        <w:rPr>
          <w:rFonts w:ascii="Arial"/>
          <w:i/>
          <w:sz w:val="18"/>
        </w:rPr>
      </w:pPr>
    </w:p>
    <w:p>
      <w:pPr>
        <w:pStyle w:val="BodyText"/>
        <w:rPr>
          <w:rFonts w:ascii="Arial"/>
          <w:i/>
          <w:sz w:val="18"/>
        </w:rPr>
      </w:pPr>
    </w:p>
    <w:p>
      <w:pPr>
        <w:pStyle w:val="BodyText"/>
        <w:rPr>
          <w:rFonts w:ascii="Arial"/>
          <w:i/>
          <w:sz w:val="18"/>
        </w:rPr>
      </w:pPr>
    </w:p>
    <w:p>
      <w:pPr>
        <w:spacing w:before="160"/>
        <w:ind w:left="118" w:right="0" w:firstLine="0"/>
        <w:jc w:val="left"/>
        <w:rPr>
          <w:rFonts w:ascii="Arial"/>
          <w:sz w:val="19"/>
        </w:rPr>
      </w:pPr>
      <w:r>
        <w:rPr>
          <w:rFonts w:ascii="Arial"/>
          <w:color w:val="010101"/>
          <w:sz w:val="19"/>
        </w:rPr>
        <w:t>(1.28)</w:t>
      </w:r>
    </w:p>
    <w:p>
      <w:pPr>
        <w:spacing w:after="0"/>
        <w:jc w:val="left"/>
        <w:rPr>
          <w:rFonts w:ascii="Arial"/>
          <w:sz w:val="19"/>
        </w:rPr>
        <w:sectPr>
          <w:type w:val="continuous"/>
          <w:pgSz w:w="7200" w:h="11340"/>
          <w:pgMar w:top="1100" w:bottom="0" w:left="660" w:right="520"/>
          <w:cols w:num="2" w:equalWidth="0">
            <w:col w:w="3868" w:space="1347"/>
            <w:col w:w="805"/>
          </w:cols>
        </w:sectPr>
      </w:pPr>
    </w:p>
    <w:p>
      <w:pPr>
        <w:pStyle w:val="BodyText"/>
        <w:spacing w:line="237" w:lineRule="auto" w:before="109"/>
        <w:ind w:left="115" w:right="99"/>
      </w:pPr>
      <w:r>
        <w:rPr>
          <w:color w:val="010101"/>
          <w:w w:val="105"/>
          <w:sz w:val="21"/>
        </w:rPr>
        <w:t>By </w:t>
      </w:r>
      <w:r>
        <w:rPr>
          <w:color w:val="010101"/>
          <w:w w:val="105"/>
        </w:rPr>
        <w:t>suitable choice of the constants </w:t>
      </w:r>
      <w:r>
        <w:rPr>
          <w:rFonts w:ascii="Arial" w:hAnsi="Arial"/>
          <w:i/>
          <w:color w:val="010101"/>
          <w:w w:val="105"/>
          <w:sz w:val="17"/>
        </w:rPr>
        <w:t>g </w:t>
      </w:r>
      <w:r>
        <w:rPr>
          <w:color w:val="010101"/>
          <w:w w:val="105"/>
        </w:rPr>
        <w:t>and e, the formula can be  made to follow closely the typical </w:t>
      </w:r>
      <w:r>
        <w:rPr>
          <w:i/>
          <w:color w:val="010101"/>
          <w:w w:val="105"/>
        </w:rPr>
        <w:t>lz </w:t>
      </w:r>
      <w:r>
        <w:rPr>
          <w:color w:val="010101"/>
          <w:w w:val="105"/>
        </w:rPr>
        <w:t>curve over a considerable.  range of  ages.  </w:t>
      </w:r>
      <w:r>
        <w:rPr>
          <w:color w:val="010101"/>
          <w:w w:val="105"/>
          <w:sz w:val="22"/>
        </w:rPr>
        <w:t>In </w:t>
      </w:r>
      <w:r>
        <w:rPr>
          <w:color w:val="010101"/>
          <w:w w:val="105"/>
        </w:rPr>
        <w:t>his original  paper,  Gompertz  restricted  the  use of the formula </w:t>
      </w:r>
      <w:r>
        <w:rPr>
          <w:rFonts w:ascii="Arial" w:hAnsi="Arial"/>
          <w:color w:val="010101"/>
          <w:w w:val="105"/>
          <w:sz w:val="23"/>
        </w:rPr>
        <w:t>to </w:t>
      </w:r>
      <w:r>
        <w:rPr>
          <w:color w:val="010101"/>
          <w:w w:val="105"/>
        </w:rPr>
        <w:t>the ·period from about age 10 or 15 </w:t>
      </w:r>
      <w:r>
        <w:rPr>
          <w:color w:val="010101"/>
          <w:w w:val="105"/>
          <w:sz w:val="22"/>
        </w:rPr>
        <w:t>to </w:t>
      </w:r>
      <w:r>
        <w:rPr>
          <w:color w:val="010101"/>
          <w:w w:val="105"/>
        </w:rPr>
        <w:t>age 55 or 60, and it  is not  possiblé  to use the formula  over the entire range  of ages without making a change </w:t>
      </w:r>
      <w:r>
        <w:rPr>
          <w:color w:val="010101"/>
          <w:w w:val="105"/>
          <w:sz w:val="21"/>
        </w:rPr>
        <w:t>in </w:t>
      </w:r>
      <w:r>
        <w:rPr>
          <w:color w:val="010101"/>
          <w:w w:val="105"/>
        </w:rPr>
        <w:t>the constants at sorne point, usually between ages 50 and 60. Indeed, it would not be expected that a single two-parameter formula would fit the twisted </w:t>
      </w:r>
      <w:r>
        <w:rPr>
          <w:i/>
          <w:color w:val="010101"/>
          <w:w w:val="90"/>
          <w:sz w:val="23"/>
        </w:rPr>
        <w:t>l:z </w:t>
      </w:r>
      <w:r>
        <w:rPr>
          <w:color w:val="010101"/>
          <w:w w:val="105"/>
        </w:rPr>
        <w:t>curve over its entire </w:t>
      </w:r>
      <w:r>
        <w:rPr>
          <w:color w:val="010101"/>
          <w:spacing w:val="4"/>
          <w:w w:val="105"/>
        </w:rPr>
        <w:t> </w:t>
      </w:r>
      <w:r>
        <w:rPr>
          <w:color w:val="010101"/>
          <w:w w:val="105"/>
        </w:rPr>
        <w:t>range.</w:t>
      </w:r>
    </w:p>
    <w:p>
      <w:pPr>
        <w:pStyle w:val="BodyText"/>
        <w:spacing w:line="247" w:lineRule="auto" w:before="2"/>
        <w:ind w:left="115" w:right="169" w:firstLine="208"/>
        <w:jc w:val="both"/>
      </w:pPr>
      <w:r>
        <w:rPr>
          <w:color w:val="010101"/>
          <w:w w:val="109"/>
        </w:rPr>
        <w:t>In </w:t>
      </w:r>
      <w:r>
        <w:rPr>
          <w:color w:val="010101"/>
          <w:w w:val="103"/>
        </w:rPr>
        <w:t>presenting </w:t>
      </w:r>
      <w:r>
        <w:rPr>
          <w:color w:val="010101"/>
          <w:w w:val="102"/>
        </w:rPr>
        <w:t>his </w:t>
      </w:r>
      <w:r>
        <w:rPr>
          <w:color w:val="010101"/>
          <w:w w:val="104"/>
        </w:rPr>
        <w:t>formula, </w:t>
      </w:r>
      <w:r>
        <w:rPr>
          <w:color w:val="010101"/>
          <w:w w:val="103"/>
        </w:rPr>
        <w:t>Gompertz </w:t>
      </w:r>
      <w:r>
        <w:rPr>
          <w:color w:val="010101"/>
          <w:w w:val="110"/>
        </w:rPr>
        <w:t>stated, </w:t>
      </w:r>
      <w:r>
        <w:rPr>
          <w:color w:val="010101"/>
          <w:w w:val="126"/>
          <w:sz w:val="21"/>
        </w:rPr>
        <w:t>"It </w:t>
      </w:r>
      <w:r>
        <w:rPr>
          <w:color w:val="010101"/>
          <w:w w:val="96"/>
        </w:rPr>
        <w:t>is </w:t>
      </w:r>
      <w:r>
        <w:rPr>
          <w:color w:val="010101"/>
          <w:w w:val="97"/>
        </w:rPr>
        <w:t>possible </w:t>
      </w:r>
      <w:r>
        <w:rPr>
          <w:color w:val="313131"/>
          <w:spacing w:val="2"/>
          <w:w w:val="100"/>
        </w:rPr>
        <w:t>-</w:t>
      </w:r>
      <w:r>
        <w:rPr>
          <w:color w:val="010101"/>
          <w:spacing w:val="2"/>
          <w:w w:val="100"/>
        </w:rPr>
        <w:t>that</w:t>
      </w:r>
      <w:r>
        <w:rPr>
          <w:color w:val="010101"/>
          <w:w w:val="100"/>
        </w:rPr>
        <w:t> </w:t>
      </w:r>
      <w:r>
        <w:rPr>
          <w:color w:val="010101"/>
          <w:w w:val="105"/>
        </w:rPr>
        <w:t>death may be the consequence of two generally coexisting causes: the one, chance, without previous disposition to death or deteriora­ tion; the other, a deterioration, or increased inability to withstand destruction." </w:t>
      </w:r>
      <w:r>
        <w:rPr>
          <w:color w:val="010101"/>
          <w:w w:val="105"/>
          <w:sz w:val="21"/>
        </w:rPr>
        <w:t>In </w:t>
      </w:r>
      <w:r>
        <w:rPr>
          <w:color w:val="010101"/>
          <w:w w:val="105"/>
        </w:rPr>
        <w:t>deriving his law of mortality, however, he took account of only the second of these causes. </w:t>
      </w:r>
      <w:r>
        <w:rPr>
          <w:color w:val="010101"/>
          <w:w w:val="105"/>
          <w:sz w:val="21"/>
        </w:rPr>
        <w:t>It </w:t>
      </w:r>
      <w:r>
        <w:rPr>
          <w:color w:val="010101"/>
          <w:w w:val="105"/>
        </w:rPr>
        <w:t>remaincd for Make­ ham </w:t>
      </w:r>
      <w:r>
        <w:rPr>
          <w:color w:val="010101"/>
          <w:spacing w:val="-3"/>
          <w:w w:val="105"/>
        </w:rPr>
        <w:t>(1860) </w:t>
      </w:r>
      <w:r>
        <w:rPr>
          <w:color w:val="010101"/>
          <w:w w:val="105"/>
        </w:rPr>
        <w:t>to combine the two causes. The eff ect of  the first cause, chance, would be to make a constant addition to the Gom­ pertz force of mortality. Hence, Makeham's assumption may be written </w:t>
      </w:r>
      <w:r>
        <w:rPr>
          <w:color w:val="010101"/>
          <w:spacing w:val="7"/>
          <w:w w:val="105"/>
        </w:rPr>
        <w:t> </w:t>
      </w:r>
      <w:r>
        <w:rPr>
          <w:color w:val="010101"/>
          <w:w w:val="105"/>
        </w:rPr>
        <w:t>as</w:t>
      </w:r>
    </w:p>
    <w:p>
      <w:pPr>
        <w:spacing w:after="0" w:line="247" w:lineRule="auto"/>
        <w:jc w:val="both"/>
        <w:sectPr>
          <w:type w:val="continuous"/>
          <w:pgSz w:w="7200" w:h="11340"/>
          <w:pgMar w:top="1100" w:bottom="0" w:left="660" w:right="520"/>
        </w:sectPr>
      </w:pPr>
    </w:p>
    <w:p>
      <w:pPr>
        <w:spacing w:before="24"/>
        <w:ind w:left="2322" w:right="-19" w:firstLine="0"/>
        <w:jc w:val="left"/>
        <w:rPr>
          <w:i/>
          <w:sz w:val="19"/>
        </w:rPr>
      </w:pPr>
      <w:r>
        <w:rPr>
          <w:i/>
          <w:color w:val="010101"/>
          <w:w w:val="105"/>
          <w:sz w:val="15"/>
        </w:rPr>
        <w:t>µz   </w:t>
      </w:r>
      <w:r>
        <w:rPr>
          <w:color w:val="010101"/>
          <w:w w:val="105"/>
          <w:sz w:val="21"/>
        </w:rPr>
        <w:t>=  </w:t>
      </w:r>
      <w:r>
        <w:rPr>
          <w:i/>
          <w:color w:val="010101"/>
          <w:w w:val="105"/>
          <w:sz w:val="19"/>
        </w:rPr>
        <w:t>A  </w:t>
      </w:r>
      <w:r>
        <w:rPr>
          <w:rFonts w:ascii="Arial" w:hAnsi="Arial"/>
          <w:color w:val="010101"/>
          <w:w w:val="105"/>
          <w:sz w:val="30"/>
        </w:rPr>
        <w:t>+ </w:t>
      </w:r>
      <w:r>
        <w:rPr>
          <w:i/>
          <w:color w:val="010101"/>
          <w:w w:val="105"/>
          <w:sz w:val="19"/>
        </w:rPr>
        <w:t>Be•.</w:t>
      </w:r>
    </w:p>
    <w:p>
      <w:pPr>
        <w:pStyle w:val="BodyText"/>
        <w:spacing w:before="109"/>
        <w:ind w:left="115" w:right="-19"/>
      </w:pPr>
      <w:r>
        <w:rPr>
          <w:color w:val="010101"/>
        </w:rPr>
        <w:t>To  derive  the  expression  for  </w:t>
      </w:r>
      <w:r>
        <w:rPr>
          <w:i/>
          <w:color w:val="010101"/>
          <w:sz w:val="19"/>
        </w:rPr>
        <w:t>lz </w:t>
      </w:r>
      <w:r>
        <w:rPr>
          <w:color w:val="010101"/>
          <w:sz w:val="19"/>
        </w:rPr>
        <w:t>, </w:t>
      </w:r>
      <w:r>
        <w:rPr>
          <w:color w:val="010101"/>
        </w:rPr>
        <w:t>we  first evaluate</w:t>
      </w:r>
    </w:p>
    <w:p>
      <w:pPr>
        <w:spacing w:before="125"/>
        <w:ind w:left="115" w:right="0" w:firstLine="0"/>
        <w:jc w:val="left"/>
        <w:rPr>
          <w:sz w:val="19"/>
        </w:rPr>
      </w:pPr>
      <w:r>
        <w:rPr/>
        <w:br w:type="column"/>
      </w:r>
      <w:r>
        <w:rPr>
          <w:color w:val="010101"/>
          <w:sz w:val="19"/>
        </w:rPr>
        <w:t>(1.29 )</w:t>
      </w:r>
    </w:p>
    <w:p>
      <w:pPr>
        <w:spacing w:after="0"/>
        <w:jc w:val="left"/>
        <w:rPr>
          <w:sz w:val="19"/>
        </w:rPr>
        <w:sectPr>
          <w:type w:val="continuous"/>
          <w:pgSz w:w="7200" w:h="11340"/>
          <w:pgMar w:top="1100" w:bottom="0" w:left="660" w:right="520"/>
          <w:cols w:num="2" w:equalWidth="0">
            <w:col w:w="4312" w:space="896"/>
            <w:col w:w="812"/>
          </w:cols>
        </w:sectPr>
      </w:pPr>
    </w:p>
    <w:p>
      <w:pPr>
        <w:tabs>
          <w:tab w:pos="1471" w:val="left" w:leader="none"/>
          <w:tab w:pos="5893" w:val="right" w:leader="none"/>
        </w:tabs>
        <w:spacing w:before="49"/>
        <w:ind w:left="151" w:right="0" w:firstLine="0"/>
        <w:jc w:val="left"/>
        <w:rPr>
          <w:rFonts w:ascii="Arial"/>
          <w:sz w:val="20"/>
        </w:rPr>
      </w:pPr>
      <w:r>
        <w:rPr>
          <w:b/>
          <w:color w:val="010101"/>
          <w:sz w:val="15"/>
        </w:rPr>
        <w:t>8EC.</w:t>
      </w:r>
      <w:r>
        <w:rPr>
          <w:b/>
          <w:color w:val="010101"/>
          <w:spacing w:val="32"/>
          <w:sz w:val="15"/>
        </w:rPr>
        <w:t> </w:t>
      </w:r>
      <w:r>
        <w:rPr>
          <w:rFonts w:ascii="Arial"/>
          <w:b/>
          <w:color w:val="010101"/>
          <w:sz w:val="20"/>
        </w:rPr>
        <w:t>7)</w:t>
        <w:tab/>
      </w:r>
      <w:r>
        <w:rPr>
          <w:b/>
          <w:color w:val="010101"/>
          <w:position w:val="1"/>
          <w:sz w:val="15"/>
        </w:rPr>
        <w:t>SOIIE   FAMOUS   LAWS</w:t>
      </w:r>
      <w:r>
        <w:rPr>
          <w:b/>
          <w:color w:val="010101"/>
          <w:spacing w:val="33"/>
          <w:position w:val="1"/>
          <w:sz w:val="15"/>
        </w:rPr>
        <w:t> </w:t>
      </w:r>
      <w:r>
        <w:rPr>
          <w:b/>
          <w:color w:val="010101"/>
          <w:position w:val="1"/>
          <w:sz w:val="15"/>
        </w:rPr>
        <w:t>OF </w:t>
      </w:r>
      <w:r>
        <w:rPr>
          <w:b/>
          <w:color w:val="010101"/>
          <w:spacing w:val="15"/>
          <w:position w:val="1"/>
          <w:sz w:val="15"/>
        </w:rPr>
        <w:t> </w:t>
      </w:r>
      <w:r>
        <w:rPr>
          <w:b/>
          <w:color w:val="010101"/>
          <w:position w:val="1"/>
          <w:sz w:val="15"/>
        </w:rPr>
        <w:t>MORTALITY</w:t>
      </w:r>
      <w:r>
        <w:rPr>
          <w:rFonts w:ascii="Arial"/>
          <w:color w:val="010101"/>
          <w:position w:val="1"/>
          <w:sz w:val="20"/>
        </w:rPr>
        <w:tab/>
        <w:t>23</w:t>
      </w:r>
    </w:p>
    <w:p>
      <w:pPr>
        <w:spacing w:after="0"/>
        <w:jc w:val="left"/>
        <w:rPr>
          <w:rFonts w:ascii="Arial"/>
          <w:sz w:val="20"/>
        </w:rPr>
        <w:sectPr>
          <w:pgSz w:w="7200" w:h="11340"/>
          <w:pgMar w:top="480" w:bottom="280" w:left="620" w:right="56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5"/>
        <w:rPr>
          <w:rFonts w:ascii="Arial"/>
          <w:sz w:val="25"/>
        </w:rPr>
      </w:pPr>
    </w:p>
    <w:p>
      <w:pPr>
        <w:pStyle w:val="BodyText"/>
        <w:ind w:left="147" w:right="-5"/>
      </w:pPr>
      <w:r>
        <w:rPr>
          <w:color w:val="010101"/>
        </w:rPr>
        <w:t>where</w:t>
      </w:r>
    </w:p>
    <w:p>
      <w:pPr>
        <w:spacing w:line="571" w:lineRule="exact" w:before="0"/>
        <w:ind w:left="188" w:right="-10" w:firstLine="0"/>
        <w:jc w:val="left"/>
        <w:rPr>
          <w:rFonts w:ascii="Arial" w:hAnsi="Arial"/>
          <w:sz w:val="32"/>
        </w:rPr>
      </w:pPr>
      <w:r>
        <w:rPr/>
        <w:br w:type="column"/>
      </w:r>
      <w:r>
        <w:rPr>
          <w:b/>
          <w:i/>
          <w:color w:val="010101"/>
          <w:w w:val="70"/>
          <w:position w:val="13"/>
          <w:sz w:val="52"/>
        </w:rPr>
        <w:t>s </w:t>
      </w:r>
      <w:r>
        <w:rPr>
          <w:color w:val="010101"/>
          <w:sz w:val="19"/>
        </w:rPr>
        <w:t>,,.. </w:t>
      </w:r>
      <w:r>
        <w:rPr>
          <w:i/>
          <w:color w:val="010101"/>
          <w:spacing w:val="4"/>
          <w:sz w:val="19"/>
        </w:rPr>
        <w:t>dy </w:t>
      </w:r>
      <w:r>
        <w:rPr>
          <w:color w:val="010101"/>
          <w:sz w:val="28"/>
        </w:rPr>
        <w:t>= </w:t>
      </w:r>
      <w:r>
        <w:rPr>
          <w:b/>
          <w:i/>
          <w:color w:val="010101"/>
          <w:w w:val="70"/>
          <w:position w:val="13"/>
          <w:sz w:val="52"/>
        </w:rPr>
        <w:t>1s </w:t>
      </w:r>
      <w:r>
        <w:rPr>
          <w:i/>
          <w:color w:val="010101"/>
          <w:sz w:val="19"/>
        </w:rPr>
        <w:t>( A </w:t>
      </w:r>
      <w:r>
        <w:rPr>
          <w:rFonts w:ascii="Arial" w:hAnsi="Arial"/>
          <w:color w:val="010101"/>
          <w:sz w:val="32"/>
        </w:rPr>
        <w:t>+ </w:t>
      </w:r>
      <w:r>
        <w:rPr>
          <w:i/>
          <w:color w:val="010101"/>
          <w:sz w:val="21"/>
        </w:rPr>
        <w:t>Be• </w:t>
      </w:r>
      <w:r>
        <w:rPr>
          <w:i/>
          <w:color w:val="010101"/>
          <w:w w:val="70"/>
          <w:sz w:val="21"/>
        </w:rPr>
        <w:t>) </w:t>
      </w:r>
      <w:r>
        <w:rPr>
          <w:i/>
          <w:color w:val="010101"/>
          <w:spacing w:val="2"/>
          <w:sz w:val="19"/>
        </w:rPr>
        <w:t>dy  </w:t>
      </w:r>
      <w:r>
        <w:rPr>
          <w:color w:val="010101"/>
          <w:sz w:val="26"/>
        </w:rPr>
        <w:t>=</w:t>
      </w:r>
      <w:r>
        <w:rPr>
          <w:color w:val="010101"/>
          <w:spacing w:val="-35"/>
          <w:sz w:val="26"/>
        </w:rPr>
        <w:t> </w:t>
      </w:r>
      <w:r>
        <w:rPr>
          <w:i/>
          <w:color w:val="010101"/>
          <w:sz w:val="21"/>
        </w:rPr>
        <w:t>Ax </w:t>
      </w:r>
      <w:r>
        <w:rPr>
          <w:rFonts w:ascii="Arial" w:hAnsi="Arial"/>
          <w:color w:val="010101"/>
          <w:sz w:val="32"/>
        </w:rPr>
        <w:t>+</w:t>
      </w:r>
    </w:p>
    <w:p>
      <w:pPr>
        <w:tabs>
          <w:tab w:pos="1164" w:val="left" w:leader="none"/>
        </w:tabs>
        <w:spacing w:line="152" w:lineRule="exact" w:before="0"/>
        <w:ind w:left="128" w:right="0" w:firstLine="0"/>
        <w:jc w:val="left"/>
        <w:rPr>
          <w:sz w:val="18"/>
        </w:rPr>
      </w:pPr>
      <w:r>
        <w:rPr/>
        <w:pict>
          <v:shape style="position:absolute;margin-left:67.443947pt;margin-top:-16.347656pt;width:8.2pt;height:26pt;mso-position-horizontal-relative:page;mso-position-vertical-relative:paragraph;z-index:-733744" type="#_x0000_t202" filled="false" stroked="false">
            <v:textbox inset="0,0,0,0">
              <w:txbxContent>
                <w:p>
                  <w:pPr>
                    <w:spacing w:line="520" w:lineRule="exact" w:before="0"/>
                    <w:ind w:left="0" w:right="0" w:firstLine="0"/>
                    <w:jc w:val="left"/>
                    <w:rPr>
                      <w:b/>
                      <w:i/>
                      <w:sz w:val="52"/>
                    </w:rPr>
                  </w:pPr>
                  <w:r>
                    <w:rPr>
                      <w:b/>
                      <w:i/>
                      <w:color w:val="010101"/>
                      <w:w w:val="63"/>
                      <w:sz w:val="52"/>
                    </w:rPr>
                    <w:t>1</w:t>
                  </w:r>
                </w:p>
              </w:txbxContent>
            </v:textbox>
            <w10:wrap type="none"/>
          </v:shape>
        </w:pict>
      </w:r>
      <w:r>
        <w:rPr>
          <w:color w:val="010101"/>
          <w:w w:val="90"/>
          <w:sz w:val="18"/>
        </w:rPr>
        <w:t>o</w:t>
        <w:tab/>
        <w:t>o</w:t>
      </w:r>
    </w:p>
    <w:p>
      <w:pPr>
        <w:spacing w:before="53"/>
        <w:ind w:left="813" w:right="700" w:firstLine="0"/>
        <w:jc w:val="center"/>
        <w:rPr>
          <w:sz w:val="12"/>
        </w:rPr>
      </w:pPr>
      <w:r>
        <w:rPr>
          <w:color w:val="010101"/>
          <w:w w:val="94"/>
          <w:sz w:val="26"/>
        </w:rPr>
        <w:t>=</w:t>
      </w:r>
      <w:r>
        <w:rPr>
          <w:color w:val="010101"/>
          <w:sz w:val="26"/>
        </w:rPr>
        <w:t> </w:t>
      </w:r>
      <w:r>
        <w:rPr>
          <w:color w:val="010101"/>
          <w:spacing w:val="-8"/>
          <w:sz w:val="26"/>
        </w:rPr>
        <w:t> </w:t>
      </w:r>
      <w:r>
        <w:rPr>
          <w:color w:val="010101"/>
          <w:spacing w:val="-15"/>
          <w:w w:val="215"/>
          <w:sz w:val="26"/>
        </w:rPr>
        <w:t>-</w:t>
      </w:r>
      <w:r>
        <w:rPr>
          <w:color w:val="010101"/>
          <w:w w:val="99"/>
          <w:sz w:val="20"/>
        </w:rPr>
        <w:t>log</w:t>
      </w:r>
      <w:r>
        <w:rPr>
          <w:color w:val="010101"/>
          <w:spacing w:val="10"/>
          <w:sz w:val="20"/>
        </w:rPr>
        <w:t> </w:t>
      </w:r>
      <w:r>
        <w:rPr>
          <w:color w:val="010101"/>
          <w:spacing w:val="-25"/>
          <w:w w:val="148"/>
          <w:sz w:val="14"/>
        </w:rPr>
        <w:t>3</w:t>
      </w:r>
      <w:r>
        <w:rPr>
          <w:color w:val="010101"/>
          <w:w w:val="162"/>
          <w:sz w:val="14"/>
        </w:rPr>
        <w:t>"</w:t>
      </w:r>
      <w:r>
        <w:rPr>
          <w:color w:val="010101"/>
          <w:sz w:val="14"/>
        </w:rPr>
        <w:t> </w:t>
      </w:r>
      <w:r>
        <w:rPr>
          <w:color w:val="010101"/>
          <w:spacing w:val="-13"/>
          <w:sz w:val="14"/>
        </w:rPr>
        <w:t> </w:t>
      </w:r>
      <w:r>
        <w:rPr>
          <w:color w:val="010101"/>
          <w:spacing w:val="-13"/>
          <w:w w:val="402"/>
          <w:sz w:val="14"/>
        </w:rPr>
        <w:t>-</w:t>
      </w:r>
      <w:r>
        <w:rPr>
          <w:color w:val="010101"/>
          <w:w w:val="98"/>
          <w:sz w:val="20"/>
        </w:rPr>
        <w:t>log</w:t>
      </w:r>
      <w:r>
        <w:rPr>
          <w:color w:val="010101"/>
          <w:spacing w:val="5"/>
          <w:sz w:val="20"/>
        </w:rPr>
        <w:t> </w:t>
      </w:r>
      <w:r>
        <w:rPr>
          <w:color w:val="010101"/>
          <w:w w:val="76"/>
          <w:sz w:val="24"/>
        </w:rPr>
        <w:t>,r%</w:t>
      </w:r>
      <w:r>
        <w:rPr>
          <w:color w:val="010101"/>
          <w:spacing w:val="-1"/>
          <w:w w:val="76"/>
          <w:sz w:val="24"/>
        </w:rPr>
        <w:t>-</w:t>
      </w:r>
      <w:r>
        <w:rPr>
          <w:color w:val="010101"/>
          <w:spacing w:val="-31"/>
          <w:w w:val="135"/>
          <w:position w:val="5"/>
          <w:sz w:val="12"/>
        </w:rPr>
        <w:t>1</w:t>
      </w:r>
      <w:r>
        <w:rPr>
          <w:color w:val="010101"/>
          <w:w w:val="223"/>
          <w:sz w:val="12"/>
        </w:rPr>
        <w:t>,</w:t>
      </w:r>
    </w:p>
    <w:p>
      <w:pPr>
        <w:pStyle w:val="BodyText"/>
        <w:spacing w:before="4"/>
        <w:rPr>
          <w:sz w:val="19"/>
        </w:rPr>
      </w:pPr>
      <w:r>
        <w:rPr/>
        <w:br w:type="column"/>
      </w:r>
      <w:r>
        <w:rPr>
          <w:sz w:val="19"/>
        </w:rPr>
      </w:r>
    </w:p>
    <w:p>
      <w:pPr>
        <w:spacing w:line="200" w:lineRule="exact" w:before="1"/>
        <w:ind w:left="65" w:right="0" w:firstLine="0"/>
        <w:jc w:val="left"/>
        <w:rPr>
          <w:b/>
          <w:i/>
          <w:sz w:val="22"/>
        </w:rPr>
      </w:pPr>
      <w:r>
        <w:rPr>
          <w:b/>
          <w:i/>
          <w:color w:val="010101"/>
          <w:w w:val="90"/>
          <w:sz w:val="22"/>
        </w:rPr>
        <w:t>Be"</w:t>
      </w:r>
    </w:p>
    <w:p>
      <w:pPr>
        <w:pStyle w:val="BodyText"/>
        <w:spacing w:line="125" w:lineRule="exact"/>
        <w:ind w:left="22"/>
        <w:rPr>
          <w:rFonts w:ascii="Arial"/>
        </w:rPr>
      </w:pPr>
      <w:r>
        <w:rPr>
          <w:rFonts w:ascii="Arial"/>
          <w:color w:val="010101"/>
          <w:spacing w:val="17"/>
          <w:w w:val="600"/>
        </w:rPr>
        <w:t>-</w:t>
      </w:r>
      <w:r>
        <w:rPr>
          <w:rFonts w:ascii="Arial"/>
          <w:color w:val="010101"/>
          <w:w w:val="261"/>
        </w:rPr>
        <w:t>-</w:t>
      </w:r>
    </w:p>
    <w:p>
      <w:pPr>
        <w:pStyle w:val="BodyText"/>
        <w:spacing w:line="179" w:lineRule="exact"/>
        <w:ind w:left="8"/>
      </w:pPr>
      <w:r>
        <w:rPr>
          <w:rFonts w:ascii="Arial"/>
          <w:color w:val="010101"/>
        </w:rPr>
        <w:t>1</w:t>
      </w:r>
      <w:r>
        <w:rPr>
          <w:color w:val="010101"/>
        </w:rPr>
        <w:t>og e</w:t>
      </w:r>
    </w:p>
    <w:p>
      <w:pPr>
        <w:spacing w:line="326" w:lineRule="exact" w:before="223"/>
        <w:ind w:left="15" w:right="0" w:firstLine="0"/>
        <w:jc w:val="left"/>
        <w:rPr>
          <w:b/>
          <w:i/>
          <w:sz w:val="22"/>
        </w:rPr>
      </w:pPr>
      <w:r>
        <w:rPr/>
        <w:br w:type="column"/>
      </w:r>
      <w:r>
        <w:rPr>
          <w:rFonts w:ascii="Arial"/>
          <w:color w:val="010101"/>
          <w:spacing w:val="-95"/>
          <w:w w:val="340"/>
          <w:position w:val="-12"/>
          <w:sz w:val="20"/>
        </w:rPr>
        <w:t>-</w:t>
      </w:r>
      <w:r>
        <w:rPr>
          <w:b/>
          <w:i/>
          <w:color w:val="010101"/>
          <w:w w:val="94"/>
          <w:sz w:val="22"/>
        </w:rPr>
        <w:t>B</w:t>
      </w:r>
    </w:p>
    <w:p>
      <w:pPr>
        <w:pStyle w:val="BodyText"/>
        <w:spacing w:line="178" w:lineRule="exact"/>
        <w:ind w:left="72"/>
      </w:pPr>
      <w:r>
        <w:rPr/>
        <w:pict>
          <v:shape style="position:absolute;margin-left:276.591888pt;margin-top:-7.65484pt;width:20.95pt;height:16.1500pt;mso-position-horizontal-relative:page;mso-position-vertical-relative:paragraph;z-index:-733720" type="#_x0000_t202" filled="false" stroked="false">
            <v:textbox inset="0,0,0,0">
              <w:txbxContent>
                <w:p>
                  <w:pPr>
                    <w:pStyle w:val="BodyText"/>
                    <w:spacing w:line="322" w:lineRule="exact"/>
                    <w:ind w:right="-18"/>
                    <w:rPr>
                      <w:rFonts w:ascii="Arial"/>
                    </w:rPr>
                  </w:pPr>
                  <w:r>
                    <w:rPr>
                      <w:rFonts w:ascii="Arial"/>
                      <w:color w:val="010101"/>
                      <w:w w:val="120"/>
                      <w:position w:val="-11"/>
                    </w:rPr>
                    <w:t>1</w:t>
                  </w:r>
                  <w:r>
                    <w:rPr>
                      <w:rFonts w:ascii="Arial"/>
                      <w:color w:val="010101"/>
                      <w:spacing w:val="-3"/>
                      <w:w w:val="120"/>
                      <w:position w:val="-11"/>
                    </w:rPr>
                    <w:t> </w:t>
                  </w:r>
                  <w:r>
                    <w:rPr>
                      <w:rFonts w:ascii="Arial"/>
                      <w:color w:val="010101"/>
                      <w:w w:val="330"/>
                    </w:rPr>
                    <w:t>-</w:t>
                  </w:r>
                </w:p>
              </w:txbxContent>
            </v:textbox>
            <w10:wrap type="none"/>
          </v:shape>
        </w:pict>
      </w:r>
      <w:r>
        <w:rPr>
          <w:color w:val="010101"/>
          <w:w w:val="105"/>
        </w:rPr>
        <w:t>og e</w:t>
      </w:r>
    </w:p>
    <w:p>
      <w:pPr>
        <w:spacing w:after="0" w:line="178" w:lineRule="exact"/>
        <w:sectPr>
          <w:type w:val="continuous"/>
          <w:pgSz w:w="7200" w:h="11340"/>
          <w:pgMar w:top="1100" w:bottom="0" w:left="620" w:right="560"/>
          <w:cols w:num="4" w:equalWidth="0">
            <w:col w:w="651" w:space="40"/>
            <w:col w:w="3453" w:space="40"/>
            <w:col w:w="675" w:space="40"/>
            <w:col w:w="1121"/>
          </w:cols>
        </w:sectPr>
      </w:pPr>
    </w:p>
    <w:p>
      <w:pPr>
        <w:spacing w:before="170"/>
        <w:ind w:left="1514" w:right="0" w:firstLine="0"/>
        <w:jc w:val="left"/>
        <w:rPr>
          <w:sz w:val="28"/>
        </w:rPr>
      </w:pPr>
      <w:r>
        <w:rPr>
          <w:color w:val="010101"/>
          <w:w w:val="105"/>
          <w:sz w:val="21"/>
        </w:rPr>
        <w:t>log s =  </w:t>
      </w:r>
      <w:r>
        <w:rPr>
          <w:color w:val="010101"/>
          <w:w w:val="130"/>
          <w:sz w:val="21"/>
        </w:rPr>
        <w:t>-A </w:t>
      </w:r>
      <w:r>
        <w:rPr>
          <w:color w:val="010101"/>
          <w:w w:val="105"/>
          <w:sz w:val="21"/>
        </w:rPr>
        <w:t>and log g   </w:t>
      </w:r>
      <w:r>
        <w:rPr>
          <w:color w:val="010101"/>
          <w:w w:val="105"/>
          <w:sz w:val="28"/>
        </w:rPr>
        <w:t>=  </w:t>
      </w:r>
      <w:r>
        <w:rPr>
          <w:color w:val="010101"/>
          <w:w w:val="180"/>
          <w:sz w:val="28"/>
        </w:rPr>
        <w:t>-</w:t>
      </w:r>
    </w:p>
    <w:p>
      <w:pPr>
        <w:spacing w:line="330" w:lineRule="exact" w:before="109"/>
        <w:ind w:left="142" w:right="0" w:firstLine="0"/>
        <w:jc w:val="left"/>
        <w:rPr>
          <w:sz w:val="28"/>
        </w:rPr>
      </w:pPr>
      <w:r>
        <w:rPr/>
        <w:br w:type="column"/>
      </w:r>
      <w:r>
        <w:rPr>
          <w:i/>
          <w:color w:val="010101"/>
          <w:w w:val="105"/>
          <w:sz w:val="21"/>
        </w:rPr>
        <w:t>B   </w:t>
      </w:r>
      <w:r>
        <w:rPr>
          <w:color w:val="010101"/>
          <w:w w:val="105"/>
          <w:position w:val="-12"/>
          <w:sz w:val="28"/>
        </w:rPr>
        <w:t>.</w:t>
      </w:r>
    </w:p>
    <w:p>
      <w:pPr>
        <w:spacing w:line="162" w:lineRule="exact" w:before="0"/>
        <w:ind w:left="9" w:right="0" w:firstLine="0"/>
        <w:jc w:val="left"/>
        <w:rPr>
          <w:rFonts w:ascii="Arial"/>
          <w:i/>
          <w:sz w:val="17"/>
        </w:rPr>
      </w:pPr>
      <w:r>
        <w:rPr>
          <w:color w:val="010101"/>
          <w:w w:val="105"/>
          <w:sz w:val="19"/>
        </w:rPr>
        <w:t>log </w:t>
      </w:r>
      <w:r>
        <w:rPr>
          <w:rFonts w:ascii="Arial"/>
          <w:i/>
          <w:color w:val="010101"/>
          <w:w w:val="105"/>
          <w:sz w:val="17"/>
        </w:rPr>
        <w:t>e</w:t>
      </w:r>
    </w:p>
    <w:p>
      <w:pPr>
        <w:spacing w:after="0" w:line="162" w:lineRule="exact"/>
        <w:jc w:val="left"/>
        <w:rPr>
          <w:rFonts w:ascii="Arial"/>
          <w:sz w:val="17"/>
        </w:rPr>
        <w:sectPr>
          <w:type w:val="continuous"/>
          <w:pgSz w:w="7200" w:h="11340"/>
          <w:pgMar w:top="1100" w:bottom="0" w:left="620" w:right="560"/>
          <w:cols w:num="2" w:equalWidth="0">
            <w:col w:w="4070" w:space="40"/>
            <w:col w:w="1910"/>
          </w:cols>
        </w:sectPr>
      </w:pPr>
    </w:p>
    <w:p>
      <w:pPr>
        <w:spacing w:before="107"/>
        <w:ind w:left="101" w:right="-8" w:firstLine="0"/>
        <w:jc w:val="left"/>
        <w:rPr>
          <w:sz w:val="19"/>
        </w:rPr>
      </w:pPr>
      <w:r>
        <w:rPr>
          <w:color w:val="151515"/>
          <w:sz w:val="20"/>
        </w:rPr>
        <w:t>·Then</w:t>
      </w:r>
      <w:r>
        <w:rPr>
          <w:color w:val="151515"/>
          <w:spacing w:val="-30"/>
          <w:sz w:val="20"/>
        </w:rPr>
        <w:t> </w:t>
      </w:r>
      <w:r>
        <w:rPr>
          <w:i/>
          <w:color w:val="010101"/>
          <w:w w:val="205"/>
          <w:sz w:val="21"/>
        </w:rPr>
        <w:t>l</w:t>
      </w:r>
      <w:r>
        <w:rPr>
          <w:i/>
          <w:color w:val="010101"/>
          <w:spacing w:val="-74"/>
          <w:w w:val="205"/>
          <w:sz w:val="21"/>
        </w:rPr>
        <w:t> </w:t>
      </w:r>
      <w:r>
        <w:rPr>
          <w:color w:val="010101"/>
          <w:w w:val="90"/>
          <w:sz w:val="26"/>
        </w:rPr>
        <w:t>=</w:t>
      </w:r>
      <w:r>
        <w:rPr>
          <w:color w:val="010101"/>
          <w:spacing w:val="-16"/>
          <w:w w:val="90"/>
          <w:sz w:val="26"/>
        </w:rPr>
        <w:t> </w:t>
      </w:r>
      <w:r>
        <w:rPr>
          <w:color w:val="010101"/>
          <w:w w:val="90"/>
          <w:sz w:val="30"/>
        </w:rPr>
        <w:t>loe-fo</w:t>
      </w:r>
      <w:r>
        <w:rPr>
          <w:color w:val="010101"/>
          <w:spacing w:val="-45"/>
          <w:w w:val="90"/>
          <w:sz w:val="30"/>
        </w:rPr>
        <w:t> </w:t>
      </w:r>
      <w:r>
        <w:rPr>
          <w:color w:val="010101"/>
          <w:w w:val="90"/>
          <w:sz w:val="30"/>
        </w:rPr>
        <w:t>,.,,,,,</w:t>
      </w:r>
      <w:r>
        <w:rPr>
          <w:color w:val="010101"/>
          <w:spacing w:val="-30"/>
          <w:w w:val="90"/>
          <w:sz w:val="30"/>
        </w:rPr>
        <w:t> </w:t>
      </w:r>
      <w:r>
        <w:rPr>
          <w:color w:val="010101"/>
          <w:w w:val="90"/>
          <w:sz w:val="28"/>
        </w:rPr>
        <w:t>=</w:t>
      </w:r>
      <w:r>
        <w:rPr>
          <w:color w:val="010101"/>
          <w:spacing w:val="-19"/>
          <w:w w:val="90"/>
          <w:sz w:val="28"/>
        </w:rPr>
        <w:t> </w:t>
      </w:r>
      <w:r>
        <w:rPr>
          <w:color w:val="010101"/>
          <w:w w:val="90"/>
          <w:sz w:val="16"/>
        </w:rPr>
        <w:t>toetoc</w:t>
      </w:r>
      <w:r>
        <w:rPr>
          <w:color w:val="010101"/>
          <w:spacing w:val="-11"/>
          <w:w w:val="90"/>
          <w:sz w:val="16"/>
        </w:rPr>
        <w:t> </w:t>
      </w:r>
      <w:r>
        <w:rPr>
          <w:color w:val="010101"/>
          <w:sz w:val="16"/>
        </w:rPr>
        <w:t>•z+</w:t>
      </w:r>
      <w:r>
        <w:rPr>
          <w:color w:val="010101"/>
          <w:spacing w:val="-12"/>
          <w:sz w:val="16"/>
        </w:rPr>
        <w:t> </w:t>
      </w:r>
      <w:r>
        <w:rPr>
          <w:color w:val="010101"/>
          <w:w w:val="90"/>
          <w:sz w:val="16"/>
        </w:rPr>
        <w:t>ioc</w:t>
      </w:r>
      <w:r>
        <w:rPr>
          <w:color w:val="010101"/>
          <w:spacing w:val="-12"/>
          <w:w w:val="90"/>
          <w:sz w:val="16"/>
        </w:rPr>
        <w:t> </w:t>
      </w:r>
      <w:r>
        <w:rPr>
          <w:color w:val="010101"/>
          <w:w w:val="90"/>
          <w:sz w:val="19"/>
        </w:rPr>
        <w:t>"c:S-1</w:t>
      </w:r>
      <w:r>
        <w:rPr>
          <w:color w:val="010101"/>
          <w:spacing w:val="-11"/>
          <w:w w:val="90"/>
          <w:sz w:val="19"/>
        </w:rPr>
        <w:t> </w:t>
      </w:r>
      <w:r>
        <w:rPr>
          <w:color w:val="010101"/>
          <w:w w:val="90"/>
          <w:sz w:val="28"/>
        </w:rPr>
        <w:t>=</w:t>
      </w:r>
      <w:r>
        <w:rPr>
          <w:color w:val="010101"/>
          <w:spacing w:val="-20"/>
          <w:w w:val="90"/>
          <w:sz w:val="28"/>
        </w:rPr>
        <w:t> </w:t>
      </w:r>
      <w:r>
        <w:rPr>
          <w:color w:val="010101"/>
          <w:w w:val="90"/>
          <w:sz w:val="19"/>
        </w:rPr>
        <w:t>Lo.,sgcZ-</w:t>
      </w:r>
      <w:r>
        <w:rPr>
          <w:color w:val="010101"/>
          <w:spacing w:val="-34"/>
          <w:w w:val="90"/>
          <w:sz w:val="19"/>
        </w:rPr>
        <w:t> </w:t>
      </w:r>
      <w:r>
        <w:rPr>
          <w:color w:val="010101"/>
          <w:w w:val="90"/>
          <w:sz w:val="19"/>
        </w:rPr>
        <w:t>1.</w:t>
      </w:r>
    </w:p>
    <w:p>
      <w:pPr>
        <w:pStyle w:val="BodyText"/>
        <w:spacing w:before="162"/>
        <w:ind w:left="154" w:right="-8"/>
      </w:pPr>
      <w:r>
        <w:rPr/>
        <w:drawing>
          <wp:anchor distT="0" distB="0" distL="0" distR="0" allowOverlap="1" layoutInCell="1" locked="0" behindDoc="0" simplePos="0" relativeHeight="2296">
            <wp:simplePos x="0" y="0"/>
            <wp:positionH relativeFrom="page">
              <wp:posOffset>2011679</wp:posOffset>
            </wp:positionH>
            <wp:positionV relativeFrom="paragraph">
              <wp:posOffset>340208</wp:posOffset>
            </wp:positionV>
            <wp:extent cx="612648" cy="146303"/>
            <wp:effectExtent l="0" t="0" r="0" b="0"/>
            <wp:wrapNone/>
            <wp:docPr id="25" name="image16.png" descr=""/>
            <wp:cNvGraphicFramePr>
              <a:graphicFrameLocks noChangeAspect="1"/>
            </wp:cNvGraphicFramePr>
            <a:graphic>
              <a:graphicData uri="http://schemas.openxmlformats.org/drawingml/2006/picture">
                <pic:pic>
                  <pic:nvPicPr>
                    <pic:cNvPr id="26" name="image16.png"/>
                    <pic:cNvPicPr/>
                  </pic:nvPicPr>
                  <pic:blipFill>
                    <a:blip r:embed="rId20" cstate="print"/>
                    <a:stretch>
                      <a:fillRect/>
                    </a:stretch>
                  </pic:blipFill>
                  <pic:spPr>
                    <a:xfrm>
                      <a:off x="0" y="0"/>
                      <a:ext cx="612648" cy="146303"/>
                    </a:xfrm>
                    <a:prstGeom prst="rect">
                      <a:avLst/>
                    </a:prstGeom>
                  </pic:spPr>
                </pic:pic>
              </a:graphicData>
            </a:graphic>
          </wp:anchor>
        </w:drawing>
      </w:r>
      <w:r>
        <w:rPr>
          <w:color w:val="010101"/>
          <w:w w:val="110"/>
        </w:rPr>
        <w:t>This is usually written as</w:t>
      </w:r>
    </w:p>
    <w:p>
      <w:pPr>
        <w:pStyle w:val="BodyText"/>
      </w:pPr>
      <w:r>
        <w:rPr/>
        <w:br w:type="column"/>
      </w:r>
      <w:r>
        <w:rPr/>
      </w:r>
    </w:p>
    <w:p>
      <w:pPr>
        <w:pStyle w:val="BodyText"/>
      </w:pPr>
    </w:p>
    <w:p>
      <w:pPr>
        <w:pStyle w:val="BodyText"/>
      </w:pPr>
    </w:p>
    <w:p>
      <w:pPr>
        <w:pStyle w:val="BodyText"/>
        <w:spacing w:before="3"/>
        <w:rPr>
          <w:sz w:val="24"/>
        </w:rPr>
      </w:pPr>
    </w:p>
    <w:p>
      <w:pPr>
        <w:pStyle w:val="BodyText"/>
        <w:spacing w:before="1"/>
        <w:ind w:left="101"/>
      </w:pPr>
      <w:r>
        <w:rPr>
          <w:color w:val="010101"/>
          <w:w w:val="105"/>
        </w:rPr>
        <w:t>(1.30)</w:t>
      </w:r>
    </w:p>
    <w:p>
      <w:pPr>
        <w:spacing w:after="0"/>
        <w:sectPr>
          <w:type w:val="continuous"/>
          <w:pgSz w:w="7200" w:h="11340"/>
          <w:pgMar w:top="1100" w:bottom="0" w:left="620" w:right="560"/>
          <w:cols w:num="2" w:equalWidth="0">
            <w:col w:w="4574" w:space="721"/>
            <w:col w:w="725"/>
          </w:cols>
        </w:sectPr>
      </w:pPr>
    </w:p>
    <w:p>
      <w:pPr>
        <w:pStyle w:val="BodyText"/>
        <w:spacing w:before="8"/>
        <w:rPr>
          <w:sz w:val="9"/>
        </w:rPr>
      </w:pPr>
    </w:p>
    <w:p>
      <w:pPr>
        <w:spacing w:after="0"/>
        <w:rPr>
          <w:sz w:val="9"/>
        </w:rPr>
        <w:sectPr>
          <w:type w:val="continuous"/>
          <w:pgSz w:w="7200" w:h="11340"/>
          <w:pgMar w:top="1100" w:bottom="0" w:left="620" w:right="560"/>
        </w:sectPr>
      </w:pPr>
    </w:p>
    <w:p>
      <w:pPr>
        <w:spacing w:before="73"/>
        <w:ind w:left="162" w:right="0" w:firstLine="0"/>
        <w:jc w:val="left"/>
        <w:rPr>
          <w:i/>
          <w:sz w:val="19"/>
        </w:rPr>
      </w:pPr>
      <w:r>
        <w:rPr>
          <w:rFonts w:ascii="Arial"/>
          <w:color w:val="010101"/>
          <w:spacing w:val="-17"/>
          <w:w w:val="105"/>
          <w:position w:val="-7"/>
          <w:sz w:val="19"/>
        </w:rPr>
        <w:t>w1</w:t>
      </w:r>
      <w:r>
        <w:rPr>
          <w:color w:val="010101"/>
          <w:spacing w:val="-17"/>
          <w:w w:val="105"/>
          <w:sz w:val="21"/>
        </w:rPr>
        <w:t>.</w:t>
      </w:r>
      <w:r>
        <w:rPr>
          <w:rFonts w:ascii="Arial"/>
          <w:color w:val="010101"/>
          <w:spacing w:val="-17"/>
          <w:w w:val="105"/>
          <w:position w:val="-7"/>
          <w:sz w:val="19"/>
        </w:rPr>
        <w:t>t</w:t>
      </w:r>
      <w:r>
        <w:rPr>
          <w:color w:val="010101"/>
          <w:spacing w:val="-17"/>
          <w:w w:val="105"/>
          <w:sz w:val="21"/>
        </w:rPr>
        <w:t>h </w:t>
      </w:r>
      <w:r>
        <w:rPr>
          <w:i/>
          <w:color w:val="010101"/>
          <w:spacing w:val="-17"/>
          <w:w w:val="105"/>
          <w:sz w:val="19"/>
        </w:rPr>
        <w:t>k</w:t>
      </w:r>
    </w:p>
    <w:p>
      <w:pPr>
        <w:spacing w:line="276" w:lineRule="exact" w:before="69"/>
        <w:ind w:left="131" w:right="4785" w:firstLine="0"/>
        <w:jc w:val="center"/>
        <w:rPr>
          <w:sz w:val="24"/>
        </w:rPr>
      </w:pPr>
      <w:r>
        <w:rPr/>
        <w:br w:type="column"/>
      </w:r>
      <w:r>
        <w:rPr>
          <w:color w:val="010101"/>
          <w:spacing w:val="-75"/>
          <w:w w:val="102"/>
          <w:sz w:val="24"/>
        </w:rPr>
        <w:t>=</w:t>
      </w:r>
      <w:r>
        <w:rPr>
          <w:color w:val="010101"/>
          <w:spacing w:val="-368"/>
          <w:w w:val="239"/>
          <w:sz w:val="24"/>
        </w:rPr>
        <w:t>-</w:t>
      </w:r>
      <w:r>
        <w:rPr>
          <w:color w:val="010101"/>
          <w:w w:val="74"/>
          <w:position w:val="8"/>
          <w:sz w:val="21"/>
        </w:rPr>
        <w:t>l</w:t>
      </w:r>
      <w:r>
        <w:rPr>
          <w:color w:val="010101"/>
          <w:w w:val="75"/>
          <w:position w:val="8"/>
          <w:sz w:val="21"/>
        </w:rPr>
        <w:t>o</w:t>
      </w:r>
      <w:r>
        <w:rPr>
          <w:color w:val="010101"/>
          <w:spacing w:val="4"/>
          <w:position w:val="8"/>
          <w:sz w:val="21"/>
        </w:rPr>
        <w:t> </w:t>
      </w:r>
      <w:r>
        <w:rPr>
          <w:color w:val="010101"/>
          <w:w w:val="136"/>
          <w:sz w:val="24"/>
        </w:rPr>
        <w:t>.</w:t>
      </w:r>
    </w:p>
    <w:p>
      <w:pPr>
        <w:spacing w:line="166" w:lineRule="exact" w:before="0"/>
        <w:ind w:left="0" w:right="4602" w:firstLine="0"/>
        <w:jc w:val="center"/>
        <w:rPr>
          <w:rFonts w:ascii="Arial"/>
          <w:i/>
          <w:sz w:val="19"/>
        </w:rPr>
      </w:pPr>
      <w:r>
        <w:rPr>
          <w:rFonts w:ascii="Arial"/>
          <w:i/>
          <w:color w:val="010101"/>
          <w:w w:val="88"/>
          <w:sz w:val="19"/>
        </w:rPr>
        <w:t>g</w:t>
      </w:r>
    </w:p>
    <w:p>
      <w:pPr>
        <w:spacing w:after="0" w:line="166" w:lineRule="exact"/>
        <w:jc w:val="center"/>
        <w:rPr>
          <w:rFonts w:ascii="Arial"/>
          <w:sz w:val="19"/>
        </w:rPr>
        <w:sectPr>
          <w:type w:val="continuous"/>
          <w:pgSz w:w="7200" w:h="11340"/>
          <w:pgMar w:top="1100" w:bottom="0" w:left="620" w:right="560"/>
          <w:cols w:num="2" w:equalWidth="0">
            <w:col w:w="699" w:space="40"/>
            <w:col w:w="5281"/>
          </w:cols>
        </w:sectPr>
      </w:pPr>
    </w:p>
    <w:p>
      <w:pPr>
        <w:pStyle w:val="BodyText"/>
        <w:spacing w:line="252" w:lineRule="auto" w:before="114"/>
        <w:ind w:left="162" w:right="108" w:firstLine="204"/>
        <w:jc w:val="both"/>
      </w:pPr>
      <w:r>
        <w:rPr>
          <w:color w:val="010101"/>
          <w:w w:val="105"/>
        </w:rPr>
        <w:t>Makcham's law turne&lt;l out to be a rcmarkable improvement on Gompertz's assumption, and the formula,  with  proper  choice  of the constants. </w:t>
      </w:r>
      <w:r>
        <w:rPr>
          <w:color w:val="010101"/>
          <w:w w:val="105"/>
          <w:sz w:val="19"/>
        </w:rPr>
        <w:t>g, </w:t>
      </w:r>
      <w:r>
        <w:rPr>
          <w:i/>
          <w:color w:val="010101"/>
          <w:w w:val="105"/>
        </w:rPr>
        <w:t>e, </w:t>
      </w:r>
      <w:r>
        <w:rPr>
          <w:color w:val="010101"/>
          <w:w w:val="105"/>
        </w:rPr>
        <w:t>and </w:t>
      </w:r>
      <w:r>
        <w:rPr>
          <w:color w:val="010101"/>
          <w:w w:val="105"/>
          <w:sz w:val="19"/>
        </w:rPr>
        <w:t>s, </w:t>
      </w:r>
      <w:r>
        <w:rPr>
          <w:color w:val="010101"/>
          <w:w w:val="105"/>
        </w:rPr>
        <w:t>can of ten be applied from about age </w:t>
      </w:r>
      <w:r>
        <w:rPr>
          <w:color w:val="010101"/>
          <w:w w:val="105"/>
          <w:sz w:val="19"/>
        </w:rPr>
        <w:t>20 </w:t>
      </w:r>
      <w:r>
        <w:rPr>
          <w:color w:val="010101"/>
          <w:w w:val="105"/>
        </w:rPr>
        <w:t>almost to the end of  life.</w:t>
      </w:r>
    </w:p>
    <w:p>
      <w:pPr>
        <w:pStyle w:val="BodyText"/>
        <w:spacing w:line="249" w:lineRule="auto"/>
        <w:ind w:left="162" w:right="100" w:firstLine="197"/>
        <w:jc w:val="both"/>
        <w:rPr>
          <w:sz w:val="19"/>
        </w:rPr>
      </w:pPr>
      <w:r>
        <w:rPr>
          <w:color w:val="010101"/>
          <w:w w:val="105"/>
        </w:rPr>
        <w:t>Both Gompertz's and Makeham's laws possess properties which </w:t>
      </w:r>
      <w:r>
        <w:rPr>
          <w:color w:val="010101"/>
          <w:w w:val="110"/>
        </w:rPr>
        <w:t>are </w:t>
      </w:r>
      <w:r>
        <w:rPr>
          <w:rFonts w:ascii="Arial" w:hAnsi="Arial"/>
          <w:color w:val="010101"/>
          <w:w w:val="92"/>
        </w:rPr>
        <w:t>of </w:t>
      </w:r>
      <w:r>
        <w:rPr>
          <w:color w:val="010101"/>
          <w:w w:val="108"/>
        </w:rPr>
        <w:t>great </w:t>
      </w:r>
      <w:r>
        <w:rPr>
          <w:color w:val="010101"/>
          <w:spacing w:val="-1"/>
          <w:w w:val="112"/>
        </w:rPr>
        <w:t>practica!importance</w:t>
      </w:r>
      <w:r>
        <w:rPr>
          <w:color w:val="010101"/>
          <w:w w:val="112"/>
        </w:rPr>
        <w:t> </w:t>
      </w:r>
      <w:r>
        <w:rPr>
          <w:color w:val="010101"/>
          <w:w w:val="99"/>
        </w:rPr>
        <w:t>in </w:t>
      </w:r>
      <w:r>
        <w:rPr>
          <w:color w:val="010101"/>
          <w:w w:val="109"/>
        </w:rPr>
        <w:t>the </w:t>
      </w:r>
      <w:r>
        <w:rPr>
          <w:color w:val="010101"/>
          <w:w w:val="101"/>
        </w:rPr>
        <w:t>simplification </w:t>
      </w:r>
      <w:r>
        <w:rPr>
          <w:color w:val="010101"/>
          <w:w w:val="91"/>
        </w:rPr>
        <w:t>of </w:t>
      </w:r>
      <w:r>
        <w:rPr>
          <w:color w:val="010101"/>
          <w:w w:val="102"/>
        </w:rPr>
        <w:t>compound </w:t>
      </w:r>
      <w:r>
        <w:rPr>
          <w:color w:val="010101"/>
          <w:w w:val="105"/>
        </w:rPr>
        <w:t>probabilities involving the survival of more than one  lif e,  and these will be noted later. Bccause of their practica! application in this connection, both laws continue </w:t>
      </w:r>
      <w:r>
        <w:rPr>
          <w:color w:val="010101"/>
          <w:w w:val="105"/>
          <w:sz w:val="21"/>
        </w:rPr>
        <w:t>to </w:t>
      </w:r>
      <w:r>
        <w:rPr>
          <w:color w:val="010101"/>
          <w:w w:val="105"/>
          <w:sz w:val="19"/>
        </w:rPr>
        <w:t>be </w:t>
      </w:r>
      <w:r>
        <w:rPr>
          <w:color w:val="010101"/>
          <w:w w:val="105"/>
        </w:rPr>
        <w:t>uscd today. Gompertz's law was employed in </w:t>
      </w:r>
      <w:r>
        <w:rPr>
          <w:color w:val="010101"/>
          <w:w w:val="105"/>
          <w:sz w:val="19"/>
        </w:rPr>
        <w:t>the </w:t>
      </w:r>
      <w:r>
        <w:rPr>
          <w:color w:val="010101"/>
          <w:w w:val="105"/>
        </w:rPr>
        <w:t>construction of thc </w:t>
      </w:r>
      <w:r>
        <w:rPr>
          <w:color w:val="010101"/>
          <w:w w:val="105"/>
          <w:sz w:val="19"/>
        </w:rPr>
        <w:t>1937 </w:t>
      </w:r>
      <w:r>
        <w:rPr>
          <w:color w:val="010101"/>
          <w:w w:val="105"/>
        </w:rPr>
        <w:t>Standard An­ nuity Table, and Makeham's law was used in connection with the Commissioners </w:t>
      </w:r>
      <w:r>
        <w:rPr>
          <w:color w:val="010101"/>
          <w:w w:val="105"/>
          <w:sz w:val="19"/>
        </w:rPr>
        <w:t>1941 </w:t>
      </w:r>
      <w:r>
        <w:rPr>
          <w:color w:val="010101"/>
          <w:w w:val="105"/>
        </w:rPr>
        <w:t>Standard Ordinary Mortality Table and also with  the Annuity  Table for</w:t>
      </w:r>
      <w:r>
        <w:rPr>
          <w:color w:val="010101"/>
          <w:spacing w:val="49"/>
          <w:w w:val="105"/>
        </w:rPr>
        <w:t> </w:t>
      </w:r>
      <w:r>
        <w:rPr>
          <w:color w:val="010101"/>
          <w:w w:val="105"/>
          <w:sz w:val="19"/>
        </w:rPr>
        <w:t>1949.</w:t>
      </w:r>
    </w:p>
    <w:p>
      <w:pPr>
        <w:pStyle w:val="BodyText"/>
        <w:spacing w:line="247" w:lineRule="auto"/>
        <w:ind w:left="162" w:right="99" w:firstLine="204"/>
        <w:jc w:val="both"/>
      </w:pPr>
      <w:r>
        <w:rPr>
          <w:color w:val="010101"/>
          <w:w w:val="105"/>
        </w:rPr>
        <w:t>Each of thesc laws involves a certain number of unspecificd paramcters, and hence each gives rise to an infinite number of different survival functions. These laws of mortality thus  define only the </w:t>
      </w:r>
      <w:r>
        <w:rPr>
          <w:i/>
          <w:color w:val="010101"/>
          <w:w w:val="105"/>
          <w:sz w:val="19"/>
        </w:rPr>
        <w:t>f </w:t>
      </w:r>
      <w:r>
        <w:rPr>
          <w:rFonts w:ascii="Arial"/>
          <w:i/>
          <w:color w:val="010101"/>
          <w:w w:val="105"/>
          <w:sz w:val="17"/>
        </w:rPr>
        <w:t>orm </w:t>
      </w:r>
      <w:r>
        <w:rPr>
          <w:color w:val="010101"/>
          <w:w w:val="105"/>
        </w:rPr>
        <w:t>of the mathcmatical functions to be assumed and </w:t>
      </w:r>
      <w:r>
        <w:rPr>
          <w:color w:val="010101"/>
          <w:w w:val="105"/>
          <w:sz w:val="19"/>
        </w:rPr>
        <w:t>do </w:t>
      </w:r>
      <w:r>
        <w:rPr>
          <w:color w:val="010101"/>
          <w:w w:val="105"/>
        </w:rPr>
        <w:t>not yield numerical measurements of mortality until appropriate values are chosen for the parameters. </w:t>
      </w:r>
      <w:r>
        <w:rPr>
          <w:color w:val="010101"/>
          <w:w w:val="105"/>
          <w:sz w:val="21"/>
        </w:rPr>
        <w:t>It </w:t>
      </w:r>
      <w:r>
        <w:rPr>
          <w:color w:val="010101"/>
          <w:w w:val="105"/>
        </w:rPr>
        <w:t>will </w:t>
      </w:r>
      <w:r>
        <w:rPr>
          <w:color w:val="010101"/>
          <w:w w:val="105"/>
          <w:sz w:val="19"/>
        </w:rPr>
        <w:t>be </w:t>
      </w:r>
      <w:r>
        <w:rPr>
          <w:color w:val="010101"/>
          <w:w w:val="105"/>
        </w:rPr>
        <w:t>found  that  the values of each paramcter lie within a certain restrictcd range whcn thc survival function follows the usual  mortality  pattcrn  closely. </w:t>
      </w:r>
      <w:r>
        <w:rPr>
          <w:color w:val="010101"/>
          <w:w w:val="105"/>
          <w:sz w:val="19"/>
        </w:rPr>
        <w:t>For  example,  </w:t>
      </w:r>
      <w:r>
        <w:rPr>
          <w:color w:val="010101"/>
          <w:w w:val="105"/>
        </w:rPr>
        <w:t>with  Makcham's law,</w:t>
      </w:r>
    </w:p>
    <w:p>
      <w:pPr>
        <w:spacing w:before="53"/>
        <w:ind w:left="293" w:right="249" w:firstLine="0"/>
        <w:jc w:val="center"/>
        <w:rPr>
          <w:i/>
          <w:sz w:val="21"/>
        </w:rPr>
      </w:pPr>
      <w:r>
        <w:rPr>
          <w:color w:val="010101"/>
          <w:w w:val="115"/>
          <w:sz w:val="16"/>
        </w:rPr>
        <w:t>l'z</w:t>
      </w:r>
      <w:r>
        <w:rPr>
          <w:color w:val="010101"/>
          <w:sz w:val="16"/>
        </w:rPr>
        <w:t> </w:t>
      </w:r>
      <w:r>
        <w:rPr>
          <w:color w:val="010101"/>
          <w:spacing w:val="11"/>
          <w:sz w:val="16"/>
        </w:rPr>
        <w:t> </w:t>
      </w:r>
      <w:r>
        <w:rPr>
          <w:color w:val="010101"/>
          <w:w w:val="91"/>
          <w:sz w:val="26"/>
        </w:rPr>
        <w:t>=</w:t>
      </w:r>
      <w:r>
        <w:rPr>
          <w:color w:val="010101"/>
          <w:spacing w:val="29"/>
          <w:sz w:val="26"/>
        </w:rPr>
        <w:t> </w:t>
      </w:r>
      <w:r>
        <w:rPr>
          <w:i/>
          <w:color w:val="010101"/>
          <w:w w:val="100"/>
          <w:sz w:val="21"/>
        </w:rPr>
        <w:t>A</w:t>
      </w:r>
      <w:r>
        <w:rPr>
          <w:i/>
          <w:color w:val="010101"/>
          <w:sz w:val="21"/>
        </w:rPr>
        <w:t> </w:t>
      </w:r>
      <w:r>
        <w:rPr>
          <w:i/>
          <w:color w:val="010101"/>
          <w:spacing w:val="2"/>
          <w:sz w:val="21"/>
        </w:rPr>
        <w:t> </w:t>
      </w:r>
      <w:r>
        <w:rPr>
          <w:color w:val="010101"/>
          <w:spacing w:val="-2"/>
          <w:w w:val="103"/>
          <w:sz w:val="29"/>
        </w:rPr>
        <w:t>+</w:t>
      </w:r>
      <w:r>
        <w:rPr>
          <w:color w:val="282828"/>
          <w:w w:val="33"/>
          <w:sz w:val="29"/>
        </w:rPr>
        <w:t>·</w:t>
      </w:r>
      <w:r>
        <w:rPr>
          <w:color w:val="282828"/>
          <w:spacing w:val="-27"/>
          <w:sz w:val="29"/>
        </w:rPr>
        <w:t> </w:t>
      </w:r>
      <w:r>
        <w:rPr>
          <w:i/>
          <w:color w:val="010101"/>
          <w:w w:val="116"/>
          <w:sz w:val="21"/>
        </w:rPr>
        <w:t>Be</w:t>
      </w:r>
      <w:r>
        <w:rPr>
          <w:i/>
          <w:color w:val="010101"/>
          <w:w w:val="116"/>
          <w:sz w:val="21"/>
        </w:rPr>
        <w:t>\</w:t>
      </w:r>
    </w:p>
    <w:p>
      <w:pPr>
        <w:spacing w:after="0"/>
        <w:jc w:val="center"/>
        <w:rPr>
          <w:sz w:val="21"/>
        </w:rPr>
        <w:sectPr>
          <w:type w:val="continuous"/>
          <w:pgSz w:w="7200" w:h="11340"/>
          <w:pgMar w:top="1100" w:bottom="0" w:left="620" w:right="560"/>
        </w:sectPr>
      </w:pPr>
    </w:p>
    <w:p>
      <w:pPr>
        <w:tabs>
          <w:tab w:pos="1507" w:val="left" w:leader="none"/>
          <w:tab w:pos="5380" w:val="left" w:leader="none"/>
        </w:tabs>
        <w:spacing w:before="60"/>
        <w:ind w:left="140" w:right="0" w:firstLine="0"/>
        <w:jc w:val="both"/>
        <w:rPr>
          <w:sz w:val="19"/>
        </w:rPr>
      </w:pPr>
      <w:r>
        <w:rPr>
          <w:color w:val="030303"/>
          <w:w w:val="105"/>
          <w:sz w:val="19"/>
        </w:rPr>
        <w:t>24</w:t>
        <w:tab/>
      </w:r>
      <w:r>
        <w:rPr>
          <w:b/>
          <w:color w:val="030303"/>
          <w:w w:val="105"/>
          <w:sz w:val="15"/>
        </w:rPr>
        <w:t>THE  MEASUREMENT</w:t>
      </w:r>
      <w:r>
        <w:rPr>
          <w:b/>
          <w:color w:val="030303"/>
          <w:spacing w:val="27"/>
          <w:w w:val="105"/>
          <w:sz w:val="15"/>
        </w:rPr>
        <w:t> </w:t>
      </w:r>
      <w:r>
        <w:rPr>
          <w:b/>
          <w:color w:val="030303"/>
          <w:w w:val="105"/>
          <w:sz w:val="15"/>
        </w:rPr>
        <w:t>OF</w:t>
      </w:r>
      <w:r>
        <w:rPr>
          <w:b/>
          <w:color w:val="030303"/>
          <w:spacing w:val="26"/>
          <w:w w:val="105"/>
          <w:sz w:val="15"/>
        </w:rPr>
        <w:t> </w:t>
      </w:r>
      <w:r>
        <w:rPr>
          <w:b/>
          <w:color w:val="030303"/>
          <w:w w:val="105"/>
          <w:sz w:val="15"/>
        </w:rPr>
        <w:t>MORTALITY</w:t>
        <w:tab/>
      </w:r>
      <w:r>
        <w:rPr>
          <w:color w:val="030303"/>
          <w:w w:val="105"/>
          <w:position w:val="1"/>
          <w:sz w:val="15"/>
        </w:rPr>
        <w:t>[CH, </w:t>
      </w:r>
      <w:r>
        <w:rPr>
          <w:color w:val="030303"/>
          <w:spacing w:val="28"/>
          <w:w w:val="105"/>
          <w:position w:val="1"/>
          <w:sz w:val="15"/>
        </w:rPr>
        <w:t> </w:t>
      </w:r>
      <w:r>
        <w:rPr>
          <w:color w:val="030303"/>
          <w:w w:val="105"/>
          <w:position w:val="1"/>
          <w:sz w:val="19"/>
        </w:rPr>
        <w:t>l</w:t>
      </w:r>
    </w:p>
    <w:p>
      <w:pPr>
        <w:pStyle w:val="BodyText"/>
        <w:spacing w:before="1"/>
        <w:rPr>
          <w:sz w:val="21"/>
        </w:rPr>
      </w:pPr>
    </w:p>
    <w:p>
      <w:pPr>
        <w:pStyle w:val="BodyText"/>
        <w:ind w:left="133"/>
        <w:jc w:val="both"/>
      </w:pPr>
      <w:r>
        <w:rPr>
          <w:color w:val="030303"/>
          <w:w w:val="105"/>
        </w:rPr>
        <w:t>the parameters are usually  confined to the ranges shown   below :</w:t>
      </w:r>
    </w:p>
    <w:p>
      <w:pPr>
        <w:spacing w:line="248" w:lineRule="exact" w:before="93"/>
        <w:ind w:left="177" w:right="131" w:firstLine="0"/>
        <w:jc w:val="center"/>
        <w:rPr>
          <w:sz w:val="19"/>
        </w:rPr>
      </w:pPr>
      <w:r>
        <w:rPr>
          <w:color w:val="030303"/>
          <w:w w:val="105"/>
          <w:sz w:val="19"/>
        </w:rPr>
        <w:t>.001  </w:t>
      </w:r>
      <w:r>
        <w:rPr>
          <w:color w:val="030303"/>
          <w:w w:val="105"/>
          <w:sz w:val="25"/>
        </w:rPr>
        <w:t>&lt; </w:t>
      </w:r>
      <w:r>
        <w:rPr>
          <w:rFonts w:ascii="Arial"/>
          <w:i/>
          <w:color w:val="030303"/>
          <w:w w:val="105"/>
          <w:sz w:val="20"/>
        </w:rPr>
        <w:t>A  </w:t>
      </w:r>
      <w:r>
        <w:rPr>
          <w:color w:val="030303"/>
          <w:w w:val="105"/>
          <w:sz w:val="25"/>
        </w:rPr>
        <w:t>&lt;  </w:t>
      </w:r>
      <w:r>
        <w:rPr>
          <w:color w:val="030303"/>
          <w:w w:val="105"/>
          <w:sz w:val="19"/>
        </w:rPr>
        <w:t>.003,</w:t>
      </w:r>
    </w:p>
    <w:p>
      <w:pPr>
        <w:spacing w:line="242" w:lineRule="exact" w:before="0"/>
        <w:ind w:left="197" w:right="131" w:firstLine="0"/>
        <w:jc w:val="center"/>
        <w:rPr>
          <w:rFonts w:ascii="Arial"/>
          <w:sz w:val="12"/>
        </w:rPr>
      </w:pPr>
      <w:r>
        <w:rPr>
          <w:color w:val="030303"/>
          <w:w w:val="113"/>
          <w:sz w:val="21"/>
        </w:rPr>
        <w:t>10</w:t>
      </w:r>
      <w:r>
        <w:rPr>
          <w:color w:val="030303"/>
          <w:spacing w:val="-22"/>
          <w:w w:val="113"/>
          <w:sz w:val="21"/>
        </w:rPr>
        <w:t>-</w:t>
      </w:r>
      <w:r>
        <w:rPr>
          <w:rFonts w:ascii="Arial"/>
          <w:color w:val="030303"/>
          <w:w w:val="52"/>
          <w:position w:val="9"/>
          <w:sz w:val="12"/>
        </w:rPr>
        <w:t>11</w:t>
      </w:r>
      <w:r>
        <w:rPr>
          <w:rFonts w:ascii="Arial"/>
          <w:color w:val="030303"/>
          <w:position w:val="9"/>
          <w:sz w:val="12"/>
        </w:rPr>
        <w:t>  </w:t>
      </w:r>
      <w:r>
        <w:rPr>
          <w:rFonts w:ascii="Arial"/>
          <w:color w:val="030303"/>
          <w:spacing w:val="-10"/>
          <w:position w:val="9"/>
          <w:sz w:val="12"/>
        </w:rPr>
        <w:t> </w:t>
      </w:r>
      <w:r>
        <w:rPr>
          <w:color w:val="030303"/>
          <w:w w:val="100"/>
          <w:sz w:val="24"/>
        </w:rPr>
        <w:t>&lt;</w:t>
      </w:r>
      <w:r>
        <w:rPr>
          <w:color w:val="030303"/>
          <w:spacing w:val="18"/>
          <w:sz w:val="24"/>
        </w:rPr>
        <w:t> </w:t>
      </w:r>
      <w:r>
        <w:rPr>
          <w:i/>
          <w:color w:val="030303"/>
          <w:w w:val="103"/>
          <w:sz w:val="22"/>
        </w:rPr>
        <w:t>B</w:t>
      </w:r>
      <w:r>
        <w:rPr>
          <w:i/>
          <w:color w:val="030303"/>
          <w:sz w:val="22"/>
        </w:rPr>
        <w:t> </w:t>
      </w:r>
      <w:r>
        <w:rPr>
          <w:i/>
          <w:color w:val="030303"/>
          <w:spacing w:val="1"/>
          <w:sz w:val="22"/>
        </w:rPr>
        <w:t> </w:t>
      </w:r>
      <w:r>
        <w:rPr>
          <w:rFonts w:ascii="Arial"/>
          <w:color w:val="030303"/>
          <w:w w:val="105"/>
          <w:sz w:val="26"/>
        </w:rPr>
        <w:t>&lt;</w:t>
      </w:r>
      <w:r>
        <w:rPr>
          <w:rFonts w:ascii="Arial"/>
          <w:color w:val="030303"/>
          <w:spacing w:val="3"/>
          <w:sz w:val="26"/>
        </w:rPr>
        <w:t> </w:t>
      </w:r>
      <w:r>
        <w:rPr>
          <w:color w:val="030303"/>
          <w:w w:val="110"/>
          <w:sz w:val="21"/>
        </w:rPr>
        <w:t>10</w:t>
      </w:r>
      <w:r>
        <w:rPr>
          <w:color w:val="030303"/>
          <w:spacing w:val="-28"/>
          <w:w w:val="110"/>
          <w:sz w:val="21"/>
        </w:rPr>
        <w:t>-</w:t>
      </w:r>
      <w:r>
        <w:rPr>
          <w:rFonts w:ascii="Arial"/>
          <w:color w:val="030303"/>
          <w:spacing w:val="5"/>
          <w:w w:val="93"/>
          <w:position w:val="8"/>
          <w:sz w:val="12"/>
        </w:rPr>
        <w:t>3</w:t>
      </w:r>
      <w:r>
        <w:rPr>
          <w:rFonts w:ascii="Arial"/>
          <w:color w:val="030303"/>
          <w:w w:val="223"/>
          <w:sz w:val="12"/>
        </w:rPr>
        <w:t>,</w:t>
      </w:r>
    </w:p>
    <w:p>
      <w:pPr>
        <w:spacing w:line="271" w:lineRule="exact" w:before="0"/>
        <w:ind w:left="185" w:right="131" w:firstLine="0"/>
        <w:jc w:val="center"/>
        <w:rPr>
          <w:rFonts w:ascii="Arial"/>
          <w:sz w:val="18"/>
        </w:rPr>
      </w:pPr>
      <w:r>
        <w:rPr>
          <w:rFonts w:ascii="Arial"/>
          <w:color w:val="030303"/>
          <w:sz w:val="18"/>
        </w:rPr>
        <w:t>1.08  </w:t>
      </w:r>
      <w:r>
        <w:rPr>
          <w:rFonts w:ascii="Arial"/>
          <w:color w:val="030303"/>
          <w:sz w:val="25"/>
        </w:rPr>
        <w:t>&lt; </w:t>
      </w:r>
      <w:r>
        <w:rPr>
          <w:i/>
          <w:color w:val="030303"/>
          <w:sz w:val="20"/>
        </w:rPr>
        <w:t>e   </w:t>
      </w:r>
      <w:r>
        <w:rPr>
          <w:color w:val="030303"/>
          <w:sz w:val="25"/>
        </w:rPr>
        <w:t>&lt; </w:t>
      </w:r>
      <w:r>
        <w:rPr>
          <w:rFonts w:ascii="Arial"/>
          <w:color w:val="030303"/>
          <w:sz w:val="18"/>
        </w:rPr>
        <w:t>1.12.</w:t>
      </w:r>
    </w:p>
    <w:p>
      <w:pPr>
        <w:pStyle w:val="ListParagraph"/>
        <w:numPr>
          <w:ilvl w:val="0"/>
          <w:numId w:val="5"/>
        </w:numPr>
        <w:tabs>
          <w:tab w:pos="349" w:val="left" w:leader="none"/>
        </w:tabs>
        <w:spacing w:line="240" w:lineRule="auto" w:before="193" w:after="0"/>
        <w:ind w:left="348" w:right="0" w:hanging="226"/>
        <w:jc w:val="both"/>
        <w:rPr>
          <w:b/>
          <w:color w:val="030303"/>
          <w:sz w:val="19"/>
        </w:rPr>
      </w:pPr>
      <w:r>
        <w:rPr>
          <w:b/>
          <w:color w:val="030303"/>
          <w:w w:val="120"/>
          <w:sz w:val="19"/>
        </w:rPr>
        <w:t>Select  mortality</w:t>
      </w:r>
      <w:r>
        <w:rPr>
          <w:b/>
          <w:color w:val="030303"/>
          <w:spacing w:val="24"/>
          <w:w w:val="120"/>
          <w:sz w:val="19"/>
        </w:rPr>
        <w:t> </w:t>
      </w:r>
      <w:r>
        <w:rPr>
          <w:b/>
          <w:color w:val="030303"/>
          <w:w w:val="120"/>
          <w:sz w:val="19"/>
        </w:rPr>
        <w:t>tables</w:t>
      </w:r>
    </w:p>
    <w:p>
      <w:pPr>
        <w:pStyle w:val="BodyText"/>
        <w:spacing w:line="249" w:lineRule="auto" w:before="88"/>
        <w:ind w:left="118" w:right="105" w:firstLine="197"/>
        <w:jc w:val="both"/>
      </w:pPr>
      <w:r>
        <w:rPr>
          <w:color w:val="030303"/>
          <w:w w:val="105"/>
        </w:rPr>
        <w:t>The mortality </w:t>
      </w:r>
      <w:r>
        <w:rPr>
          <w:rFonts w:ascii="Arial" w:hAnsi="Arial"/>
          <w:color w:val="030303"/>
          <w:w w:val="105"/>
          <w:sz w:val="19"/>
        </w:rPr>
        <w:t>of </w:t>
      </w:r>
      <w:r>
        <w:rPr>
          <w:color w:val="030303"/>
          <w:w w:val="105"/>
        </w:rPr>
        <w:t>a group of insured lives exhibits certain dis­ tinctive characteristics which derive from the special  nature  of  such a group. Before an insurance policy is issued, the insurer must be satisfied that the applicant meets certain underwriting stand­ ards. Sorne applicants, because of health conditions or other factors, </w:t>
      </w:r>
      <w:r>
        <w:rPr>
          <w:color w:val="030303"/>
          <w:w w:val="105"/>
          <w:sz w:val="21"/>
        </w:rPr>
        <w:t>will </w:t>
      </w:r>
      <w:r>
        <w:rPr>
          <w:color w:val="030303"/>
          <w:w w:val="105"/>
        </w:rPr>
        <w:t>not be </w:t>
      </w:r>
      <w:r>
        <w:rPr>
          <w:color w:val="030303"/>
          <w:spacing w:val="2"/>
          <w:w w:val="105"/>
        </w:rPr>
        <w:t>offered </w:t>
      </w:r>
      <w:r>
        <w:rPr>
          <w:color w:val="030303"/>
          <w:w w:val="105"/>
        </w:rPr>
        <w:t>insurance on a standard basis, and some others may be considered uninsurablc. As a result of this selcction process, a group of lives insurcd on a standard basis &lt;loes not constitute a random group, but rather a select </w:t>
      </w:r>
      <w:r>
        <w:rPr>
          <w:color w:val="030303"/>
          <w:spacing w:val="4"/>
          <w:w w:val="105"/>
        </w:rPr>
        <w:t>group </w:t>
      </w:r>
      <w:r>
        <w:rPr>
          <w:color w:val="030303"/>
          <w:w w:val="105"/>
        </w:rPr>
        <w:t>ali the members of which have initially satisfied certain criteria of   insurability.</w:t>
      </w:r>
    </w:p>
    <w:p>
      <w:pPr>
        <w:pStyle w:val="BodyText"/>
        <w:spacing w:line="252" w:lineRule="auto" w:before="2"/>
        <w:ind w:left="115" w:right="117" w:firstLine="204"/>
        <w:jc w:val="both"/>
      </w:pPr>
      <w:r>
        <w:rPr>
          <w:color w:val="030303"/>
          <w:w w:val="115"/>
        </w:rPr>
        <w:t>lt </w:t>
      </w:r>
      <w:r>
        <w:rPr>
          <w:color w:val="030303"/>
          <w:w w:val="105"/>
        </w:rPr>
        <w:t>follows that the mortality in such a group will vary not  only  by age, but  also by  the duration  of the insurance.  Thus, a </w:t>
      </w:r>
      <w:r>
        <w:rPr>
          <w:color w:val="030303"/>
          <w:spacing w:val="4"/>
          <w:w w:val="105"/>
        </w:rPr>
        <w:t>group  </w:t>
      </w:r>
      <w:r>
        <w:rPr>
          <w:color w:val="030303"/>
          <w:w w:val="105"/>
        </w:rPr>
        <w:t>of lives just insured on a standard basis at age 30 will be subject to  a lower rate of mortality during the following year than anothcr group of lives aged 30 who were similarly insured a year ago and are now in the second year of insurance, and the mortalit.y of both of  these groups will be lower than that among a third group agrd  30 who were insured two ycars ago at age </w:t>
      </w:r>
      <w:r>
        <w:rPr>
          <w:color w:val="030303"/>
          <w:spacing w:val="32"/>
          <w:w w:val="105"/>
        </w:rPr>
        <w:t> </w:t>
      </w:r>
      <w:r>
        <w:rPr>
          <w:color w:val="030303"/>
          <w:w w:val="105"/>
        </w:rPr>
        <w:t>28.</w:t>
      </w:r>
    </w:p>
    <w:p>
      <w:pPr>
        <w:spacing w:line="247" w:lineRule="exact" w:before="0"/>
        <w:ind w:left="122" w:right="0" w:firstLine="197"/>
        <w:jc w:val="both"/>
        <w:rPr>
          <w:i/>
          <w:sz w:val="19"/>
        </w:rPr>
      </w:pPr>
      <w:r>
        <w:rPr>
          <w:color w:val="030303"/>
          <w:w w:val="105"/>
          <w:sz w:val="21"/>
        </w:rPr>
        <w:t>If </w:t>
      </w:r>
      <w:r>
        <w:rPr>
          <w:color w:val="030303"/>
          <w:w w:val="105"/>
          <w:sz w:val="20"/>
        </w:rPr>
        <w:t>we write </w:t>
      </w:r>
      <w:r>
        <w:rPr>
          <w:color w:val="030303"/>
          <w:w w:val="105"/>
          <w:sz w:val="15"/>
        </w:rPr>
        <w:t>q¡zJ </w:t>
      </w:r>
      <w:r>
        <w:rPr>
          <w:i/>
          <w:color w:val="030303"/>
          <w:w w:val="105"/>
          <w:sz w:val="16"/>
        </w:rPr>
        <w:t>+n </w:t>
      </w:r>
      <w:r>
        <w:rPr>
          <w:color w:val="030303"/>
          <w:w w:val="105"/>
          <w:sz w:val="20"/>
        </w:rPr>
        <w:t>for the rate of mortality  at attaincd age </w:t>
      </w:r>
      <w:r>
        <w:rPr>
          <w:i/>
          <w:color w:val="030303"/>
          <w:w w:val="105"/>
          <w:sz w:val="19"/>
        </w:rPr>
        <w:t>x  </w:t>
      </w:r>
      <w:r>
        <w:rPr>
          <w:rFonts w:ascii="Arial" w:hAnsi="Arial"/>
          <w:color w:val="030303"/>
          <w:w w:val="105"/>
          <w:sz w:val="30"/>
        </w:rPr>
        <w:t>+  </w:t>
      </w:r>
      <w:r>
        <w:rPr>
          <w:i/>
          <w:color w:val="030303"/>
          <w:w w:val="105"/>
          <w:sz w:val="19"/>
        </w:rPr>
        <w:t>n</w:t>
      </w:r>
    </w:p>
    <w:p>
      <w:pPr>
        <w:pStyle w:val="BodyText"/>
        <w:spacing w:line="254" w:lineRule="auto"/>
        <w:ind w:left="118" w:right="129" w:firstLine="3"/>
        <w:jc w:val="both"/>
      </w:pPr>
      <w:r>
        <w:rPr>
          <w:color w:val="030303"/>
          <w:w w:val="105"/>
        </w:rPr>
        <w:t>among a group of lives insured at age x, the tendency dcscríhed above may be expressed mathematicaJly by the series of inequali­ ties</w:t>
      </w:r>
    </w:p>
    <w:p>
      <w:pPr>
        <w:spacing w:before="119"/>
        <w:ind w:left="1568" w:right="0" w:firstLine="0"/>
        <w:jc w:val="left"/>
        <w:rPr>
          <w:rFonts w:ascii="Arial" w:hAnsi="Arial"/>
          <w:sz w:val="24"/>
        </w:rPr>
      </w:pPr>
      <w:r>
        <w:rPr>
          <w:b/>
          <w:color w:val="030303"/>
          <w:w w:val="125"/>
          <w:sz w:val="12"/>
        </w:rPr>
        <w:t>q(z]  </w:t>
      </w:r>
      <w:r>
        <w:rPr>
          <w:rFonts w:ascii="Arial" w:hAnsi="Arial"/>
          <w:color w:val="030303"/>
          <w:w w:val="125"/>
          <w:sz w:val="25"/>
        </w:rPr>
        <w:t>&lt; </w:t>
      </w:r>
      <w:r>
        <w:rPr>
          <w:b/>
          <w:color w:val="030303"/>
          <w:w w:val="125"/>
          <w:sz w:val="12"/>
        </w:rPr>
        <w:t>q¡z-1) </w:t>
      </w:r>
      <w:r>
        <w:rPr>
          <w:b/>
          <w:color w:val="030303"/>
          <w:w w:val="125"/>
          <w:sz w:val="14"/>
        </w:rPr>
        <w:t>+l  </w:t>
      </w:r>
      <w:r>
        <w:rPr>
          <w:rFonts w:ascii="Arial" w:hAnsi="Arial"/>
          <w:color w:val="030303"/>
          <w:w w:val="125"/>
          <w:sz w:val="24"/>
        </w:rPr>
        <w:t>&lt; </w:t>
      </w:r>
      <w:r>
        <w:rPr>
          <w:b/>
          <w:color w:val="030303"/>
          <w:w w:val="125"/>
          <w:sz w:val="12"/>
        </w:rPr>
        <w:t>q¡z-2)+2  </w:t>
      </w:r>
      <w:r>
        <w:rPr>
          <w:rFonts w:ascii="Arial" w:hAnsi="Arial"/>
          <w:color w:val="030303"/>
          <w:w w:val="125"/>
          <w:sz w:val="24"/>
        </w:rPr>
        <w:t>&lt; ·' ' </w:t>
      </w:r>
      <w:r>
        <w:rPr>
          <w:rFonts w:ascii="Arial" w:hAnsi="Arial"/>
          <w:color w:val="030303"/>
          <w:w w:val="85"/>
          <w:sz w:val="24"/>
        </w:rPr>
        <w:t>•</w:t>
      </w:r>
    </w:p>
    <w:p>
      <w:pPr>
        <w:pStyle w:val="BodyText"/>
        <w:spacing w:line="247" w:lineRule="auto" w:before="145"/>
        <w:ind w:left="108" w:right="119" w:firstLine="10"/>
        <w:jc w:val="both"/>
        <w:rPr>
          <w:i/>
          <w:sz w:val="19"/>
        </w:rPr>
      </w:pPr>
      <w:r>
        <w:rPr>
          <w:color w:val="030303"/>
        </w:rPr>
        <w:t>Normal1y the difference </w:t>
      </w:r>
      <w:r>
        <w:rPr>
          <w:i/>
          <w:color w:val="030303"/>
          <w:sz w:val="16"/>
        </w:rPr>
        <w:t>q</w:t>
      </w:r>
      <w:r>
        <w:rPr>
          <w:rFonts w:ascii="Arial" w:hAnsi="Arial"/>
          <w:i/>
          <w:color w:val="030303"/>
          <w:position w:val="-2"/>
          <w:sz w:val="14"/>
        </w:rPr>
        <w:t>1</w:t>
      </w:r>
      <w:r>
        <w:rPr>
          <w:i/>
          <w:color w:val="030303"/>
          <w:sz w:val="16"/>
        </w:rPr>
        <w:t>x-nJ+n </w:t>
      </w:r>
      <w:r>
        <w:rPr>
          <w:color w:val="030303"/>
          <w:w w:val="305"/>
          <w:sz w:val="16"/>
        </w:rPr>
        <w:t>- </w:t>
      </w:r>
      <w:r>
        <w:rPr>
          <w:i/>
          <w:color w:val="030303"/>
          <w:sz w:val="16"/>
        </w:rPr>
        <w:t>q¡x-n+ii+ </w:t>
      </w:r>
      <w:r>
        <w:rPr>
          <w:rFonts w:ascii="Arial" w:hAnsi="Arial"/>
          <w:color w:val="030303"/>
          <w:w w:val="145"/>
          <w:sz w:val="11"/>
        </w:rPr>
        <w:t>n-1 </w:t>
      </w:r>
      <w:r>
        <w:rPr>
          <w:color w:val="030303"/>
        </w:rPr>
        <w:t>dimiu ishes </w:t>
      </w:r>
      <w:r>
        <w:rPr>
          <w:color w:val="030303"/>
          <w:spacing w:val="3"/>
        </w:rPr>
        <w:t>quite </w:t>
      </w:r>
      <w:r>
        <w:rPr>
          <w:color w:val="030303"/>
        </w:rPr>
        <w:t>rapidly and becomes negligible for practica! purposcs af ter sorne years. Thus, there will probably be no appreciablc variat ion </w:t>
      </w:r>
      <w:r>
        <w:rPr>
          <w:color w:val="030303"/>
          <w:w w:val="85"/>
        </w:rPr>
        <w:t>i </w:t>
      </w:r>
      <w:r>
        <w:rPr>
          <w:color w:val="030303"/>
        </w:rPr>
        <w:t>n the mortality expcrienccd by  insured  groups  of  thc  samc  age  which have been insured for </w:t>
      </w:r>
      <w:r>
        <w:rPr>
          <w:color w:val="030303"/>
          <w:spacing w:val="2"/>
        </w:rPr>
        <w:t>durations </w:t>
      </w:r>
      <w:r>
        <w:rPr>
          <w:color w:val="030303"/>
        </w:rPr>
        <w:t>greater thau 10 or </w:t>
      </w:r>
      <w:r>
        <w:rPr>
          <w:color w:val="030303"/>
          <w:w w:val="85"/>
        </w:rPr>
        <w:t>1!&gt; </w:t>
      </w:r>
      <w:r>
        <w:rPr>
          <w:color w:val="030303"/>
        </w:rPr>
        <w:t>years.  </w:t>
      </w:r>
      <w:r>
        <w:rPr>
          <w:color w:val="030303"/>
          <w:spacing w:val="6"/>
        </w:rPr>
        <w:t>Thr </w:t>
      </w:r>
      <w:r>
        <w:rPr>
          <w:color w:val="030303"/>
        </w:rPr>
        <w:t>period of time during which thc cff ects of Relcction are st ill sign ifi­ cant  is called  thc </w:t>
      </w:r>
      <w:r>
        <w:rPr>
          <w:i/>
          <w:color w:val="030303"/>
          <w:sz w:val="19"/>
        </w:rPr>
        <w:t>select </w:t>
      </w:r>
      <w:r>
        <w:rPr>
          <w:i/>
          <w:color w:val="030303"/>
          <w:spacing w:val="1"/>
          <w:sz w:val="19"/>
        </w:rPr>
        <w:t> </w:t>
      </w:r>
      <w:r>
        <w:rPr>
          <w:i/>
          <w:color w:val="030303"/>
          <w:sz w:val="19"/>
        </w:rPr>
        <w:t>períod.</w:t>
      </w:r>
    </w:p>
    <w:p>
      <w:pPr>
        <w:pStyle w:val="BodyText"/>
        <w:spacing w:line="227" w:lineRule="exact"/>
        <w:ind w:left="316"/>
      </w:pPr>
      <w:r>
        <w:rPr>
          <w:color w:val="030303"/>
        </w:rPr>
        <w:t>This  feature  of   the  mortality   among  insured   livcs  is  onc  t hat</w:t>
      </w:r>
    </w:p>
    <w:p>
      <w:pPr>
        <w:spacing w:after="0" w:line="227" w:lineRule="exact"/>
        <w:sectPr>
          <w:pgSz w:w="7200" w:h="11340"/>
          <w:pgMar w:top="500" w:bottom="280" w:left="660" w:right="580"/>
        </w:sectPr>
      </w:pPr>
    </w:p>
    <w:p>
      <w:pPr>
        <w:tabs>
          <w:tab w:pos="1785" w:val="left" w:leader="none"/>
        </w:tabs>
        <w:spacing w:before="53"/>
        <w:ind w:left="110" w:right="0" w:firstLine="0"/>
        <w:jc w:val="both"/>
        <w:rPr>
          <w:rFonts w:ascii="Courier New"/>
          <w:sz w:val="22"/>
        </w:rPr>
      </w:pPr>
      <w:r>
        <w:rPr>
          <w:b/>
          <w:color w:val="010101"/>
          <w:w w:val="105"/>
          <w:sz w:val="15"/>
        </w:rPr>
        <w:t>SEC.</w:t>
      </w:r>
      <w:r>
        <w:rPr>
          <w:b/>
          <w:color w:val="010101"/>
          <w:spacing w:val="21"/>
          <w:w w:val="105"/>
          <w:sz w:val="15"/>
        </w:rPr>
        <w:t> </w:t>
      </w:r>
      <w:r>
        <w:rPr>
          <w:b/>
          <w:color w:val="010101"/>
          <w:w w:val="105"/>
          <w:sz w:val="20"/>
        </w:rPr>
        <w:t>8]</w:t>
        <w:tab/>
      </w:r>
      <w:r>
        <w:rPr>
          <w:b/>
          <w:color w:val="010101"/>
          <w:w w:val="105"/>
          <w:position w:val="1"/>
          <w:sz w:val="15"/>
        </w:rPr>
        <w:t>SELECT  MORTA LITY  </w:t>
      </w:r>
      <w:r>
        <w:rPr>
          <w:b/>
          <w:color w:val="010101"/>
          <w:spacing w:val="-5"/>
          <w:w w:val="105"/>
          <w:position w:val="1"/>
          <w:sz w:val="15"/>
        </w:rPr>
        <w:t>T</w:t>
      </w:r>
      <w:r>
        <w:rPr>
          <w:b/>
          <w:color w:val="1D1D1D"/>
          <w:spacing w:val="-5"/>
          <w:w w:val="105"/>
          <w:position w:val="1"/>
          <w:sz w:val="15"/>
        </w:rPr>
        <w:t>.</w:t>
      </w:r>
      <w:r>
        <w:rPr>
          <w:b/>
          <w:color w:val="010101"/>
          <w:spacing w:val="-5"/>
          <w:w w:val="105"/>
          <w:position w:val="1"/>
          <w:sz w:val="15"/>
        </w:rPr>
        <w:t>.\BLES                                        </w:t>
      </w:r>
      <w:r>
        <w:rPr>
          <w:b/>
          <w:color w:val="010101"/>
          <w:spacing w:val="27"/>
          <w:w w:val="105"/>
          <w:position w:val="1"/>
          <w:sz w:val="15"/>
        </w:rPr>
        <w:t> </w:t>
      </w:r>
      <w:r>
        <w:rPr>
          <w:rFonts w:ascii="Courier New"/>
          <w:color w:val="010101"/>
          <w:spacing w:val="-19"/>
          <w:w w:val="105"/>
          <w:sz w:val="22"/>
        </w:rPr>
        <w:t>25</w:t>
      </w:r>
    </w:p>
    <w:p>
      <w:pPr>
        <w:pStyle w:val="BodyText"/>
        <w:rPr>
          <w:rFonts w:ascii="Courier New"/>
          <w:sz w:val="19"/>
        </w:rPr>
      </w:pPr>
    </w:p>
    <w:p>
      <w:pPr>
        <w:spacing w:before="0"/>
        <w:ind w:left="110" w:right="143" w:firstLine="0"/>
        <w:jc w:val="both"/>
        <w:rPr>
          <w:sz w:val="21"/>
        </w:rPr>
      </w:pPr>
      <w:r>
        <w:rPr>
          <w:color w:val="010101"/>
          <w:sz w:val="21"/>
        </w:rPr>
        <w:t>must often be recognized in the construction of mortality tables. </w:t>
      </w:r>
      <w:r>
        <w:rPr>
          <w:i/>
          <w:color w:val="010101"/>
          <w:sz w:val="19"/>
        </w:rPr>
        <w:t>Selecl mortality tabl,es, </w:t>
      </w:r>
      <w:r>
        <w:rPr>
          <w:color w:val="010101"/>
          <w:sz w:val="21"/>
        </w:rPr>
        <w:t>which show the mortality variation bot.h by age and  duration,  are therefore prepared.</w:t>
      </w:r>
    </w:p>
    <w:p>
      <w:pPr>
        <w:spacing w:line="240" w:lineRule="auto" w:before="0"/>
        <w:ind w:left="107" w:right="119" w:firstLine="196"/>
        <w:jc w:val="both"/>
        <w:rPr>
          <w:sz w:val="21"/>
        </w:rPr>
      </w:pPr>
      <w:r>
        <w:rPr>
          <w:color w:val="010101"/>
          <w:sz w:val="21"/>
        </w:rPr>
        <w:t>A completely select table would consist of a set of mortality tables, one for each age at issue. It is not usually necessary to pre­ pare tables in this extensive form, however, since it is generally possible to assume a unifom1 select period for  ali ages at  issue, and condense the table into a </w:t>
      </w:r>
      <w:r>
        <w:rPr>
          <w:i/>
          <w:color w:val="010101"/>
          <w:sz w:val="19"/>
        </w:rPr>
        <w:t>select and ultimate </w:t>
      </w:r>
      <w:r>
        <w:rPr>
          <w:color w:val="010101"/>
          <w:sz w:val="21"/>
        </w:rPr>
        <w:t>form. </w:t>
      </w:r>
      <w:r>
        <w:rPr>
          <w:color w:val="010101"/>
          <w:sz w:val="19"/>
        </w:rPr>
        <w:t>If </w:t>
      </w:r>
      <w:r>
        <w:rPr>
          <w:color w:val="010101"/>
          <w:sz w:val="21"/>
        </w:rPr>
        <w:t>it can be assumed, for example, that the effects of selection disappear in 3 years, the table can be shown in the select and ultimate form illus­ trated in Table 3. The first column, headed </w:t>
      </w:r>
      <w:r>
        <w:rPr>
          <w:color w:val="010101"/>
          <w:sz w:val="15"/>
        </w:rPr>
        <w:t>lizJ </w:t>
      </w:r>
      <w:r>
        <w:rPr>
          <w:color w:val="010101"/>
          <w:w w:val="115"/>
          <w:sz w:val="15"/>
        </w:rPr>
        <w:t>, </w:t>
      </w:r>
      <w:r>
        <w:rPr>
          <w:color w:val="010101"/>
          <w:sz w:val="21"/>
        </w:rPr>
        <w:t>represents the number of lives insured at age x, the symbol [x] denoting a life newly  insured  at age </w:t>
      </w:r>
      <w:r>
        <w:rPr>
          <w:i/>
          <w:color w:val="010101"/>
          <w:sz w:val="21"/>
        </w:rPr>
        <w:t>x. </w:t>
      </w:r>
      <w:r>
        <w:rPr>
          <w:color w:val="010101"/>
          <w:sz w:val="21"/>
        </w:rPr>
        <w:t>The second column,  </w:t>
      </w:r>
      <w:r>
        <w:rPr>
          <w:color w:val="010101"/>
          <w:sz w:val="15"/>
        </w:rPr>
        <w:t>Zczl+t  </w:t>
      </w:r>
      <w:r>
        <w:rPr>
          <w:color w:val="010101"/>
          <w:w w:val="115"/>
          <w:sz w:val="15"/>
        </w:rPr>
        <w:t>,  </w:t>
      </w:r>
      <w:r>
        <w:rPr>
          <w:color w:val="010101"/>
          <w:sz w:val="21"/>
        </w:rPr>
        <w:t>represents </w:t>
      </w:r>
      <w:r>
        <w:rPr>
          <w:color w:val="010101"/>
          <w:spacing w:val="19"/>
          <w:sz w:val="21"/>
        </w:rPr>
        <w:t> </w:t>
      </w:r>
      <w:r>
        <w:rPr>
          <w:color w:val="010101"/>
          <w:sz w:val="21"/>
        </w:rPr>
        <w:t>the</w:t>
      </w:r>
    </w:p>
    <w:p>
      <w:pPr>
        <w:spacing w:line="250" w:lineRule="exact" w:before="0"/>
        <w:ind w:left="114" w:right="0" w:firstLine="3"/>
        <w:jc w:val="both"/>
        <w:rPr>
          <w:sz w:val="21"/>
        </w:rPr>
      </w:pPr>
      <w:r>
        <w:rPr>
          <w:color w:val="010101"/>
          <w:sz w:val="21"/>
        </w:rPr>
        <w:t>number of  survivors at age </w:t>
      </w:r>
      <w:r>
        <w:rPr>
          <w:rFonts w:ascii="Arial"/>
          <w:i/>
          <w:color w:val="010101"/>
          <w:sz w:val="17"/>
        </w:rPr>
        <w:t>x  </w:t>
      </w:r>
      <w:r>
        <w:rPr>
          <w:rFonts w:ascii="Arial"/>
          <w:color w:val="010101"/>
          <w:sz w:val="31"/>
        </w:rPr>
        <w:t>+ </w:t>
      </w:r>
      <w:r>
        <w:rPr>
          <w:color w:val="010101"/>
          <w:w w:val="110"/>
          <w:sz w:val="15"/>
        </w:rPr>
        <w:t>I  </w:t>
      </w:r>
      <w:r>
        <w:rPr>
          <w:color w:val="010101"/>
          <w:sz w:val="21"/>
        </w:rPr>
        <w:t>of the </w:t>
      </w:r>
      <w:r>
        <w:rPr>
          <w:color w:val="010101"/>
          <w:sz w:val="15"/>
        </w:rPr>
        <w:t>lczJ  </w:t>
      </w:r>
      <w:r>
        <w:rPr>
          <w:color w:val="010101"/>
          <w:sz w:val="21"/>
        </w:rPr>
        <w:t>lives insured  at age  :r.</w:t>
      </w:r>
    </w:p>
    <w:p>
      <w:pPr>
        <w:spacing w:line="232" w:lineRule="auto" w:before="0"/>
        <w:ind w:left="110" w:right="131" w:firstLine="3"/>
        <w:jc w:val="both"/>
        <w:rPr>
          <w:sz w:val="21"/>
        </w:rPr>
      </w:pPr>
      <w:r>
        <w:rPr>
          <w:color w:val="010101"/>
          <w:sz w:val="21"/>
        </w:rPr>
        <w:t>The columns headed </w:t>
      </w:r>
      <w:r>
        <w:rPr>
          <w:color w:val="010101"/>
          <w:spacing w:val="-5"/>
          <w:sz w:val="15"/>
        </w:rPr>
        <w:t>l¡z1+2 </w:t>
      </w:r>
      <w:r>
        <w:rPr>
          <w:color w:val="010101"/>
          <w:sz w:val="21"/>
        </w:rPr>
        <w:t>and </w:t>
      </w:r>
      <w:r>
        <w:rPr>
          <w:i/>
          <w:color w:val="010101"/>
          <w:sz w:val="15"/>
        </w:rPr>
        <w:t>lz+3 </w:t>
      </w:r>
      <w:r>
        <w:rPr>
          <w:color w:val="010101"/>
          <w:sz w:val="21"/>
        </w:rPr>
        <w:t>represent the corresponding numbers of survivors of the original </w:t>
      </w:r>
      <w:r>
        <w:rPr>
          <w:color w:val="010101"/>
          <w:spacing w:val="-6"/>
          <w:sz w:val="15"/>
        </w:rPr>
        <w:t>l¡zJ </w:t>
      </w:r>
      <w:r>
        <w:rPr>
          <w:color w:val="010101"/>
          <w:sz w:val="21"/>
        </w:rPr>
        <w:t>lives at the two succeeding years of age. The select symbol [xl is not used in the </w:t>
      </w:r>
      <w:r>
        <w:rPr>
          <w:i/>
          <w:color w:val="010101"/>
          <w:sz w:val="16"/>
        </w:rPr>
        <w:t>lz+a </w:t>
      </w:r>
      <w:r>
        <w:rPr>
          <w:color w:val="010101"/>
          <w:sz w:val="21"/>
        </w:rPr>
        <w:t>column, since the effects of selection do not carry over into the fourth year, and </w:t>
      </w:r>
      <w:r>
        <w:rPr>
          <w:color w:val="010101"/>
          <w:sz w:val="15"/>
        </w:rPr>
        <w:t>Zz+3 </w:t>
      </w:r>
      <w:r>
        <w:rPr>
          <w:color w:val="010101"/>
          <w:sz w:val="21"/>
        </w:rPr>
        <w:t>is therefore equally representative of the number of sur­ vivors of the </w:t>
      </w:r>
      <w:r>
        <w:rPr>
          <w:color w:val="010101"/>
          <w:spacing w:val="-7"/>
          <w:sz w:val="15"/>
        </w:rPr>
        <w:t>l¡zJ</w:t>
      </w:r>
      <w:r>
        <w:rPr>
          <w:color w:val="010101"/>
          <w:spacing w:val="23"/>
          <w:sz w:val="15"/>
        </w:rPr>
        <w:t> </w:t>
      </w:r>
      <w:r>
        <w:rPr>
          <w:color w:val="010101"/>
          <w:sz w:val="21"/>
        </w:rPr>
        <w:t>lives insured 3 years previously, the </w:t>
      </w:r>
      <w:r>
        <w:rPr>
          <w:color w:val="010101"/>
          <w:sz w:val="15"/>
        </w:rPr>
        <w:t>liz-tJ </w:t>
      </w:r>
      <w:r>
        <w:rPr>
          <w:color w:val="010101"/>
          <w:sz w:val="21"/>
        </w:rPr>
        <w:t>lives in­ sured 4 years previously, and so on, and this column constitutes an </w:t>
      </w:r>
      <w:r>
        <w:rPr>
          <w:i/>
          <w:color w:val="010101"/>
          <w:sz w:val="19"/>
        </w:rPr>
        <w:t>ultimate </w:t>
      </w:r>
      <w:r>
        <w:rPr>
          <w:color w:val="010101"/>
          <w:sz w:val="21"/>
        </w:rPr>
        <w:t>mortality table. The value of </w:t>
      </w:r>
      <w:r>
        <w:rPr>
          <w:i/>
          <w:color w:val="010101"/>
          <w:sz w:val="16"/>
        </w:rPr>
        <w:t>lz-H  </w:t>
      </w:r>
      <w:r>
        <w:rPr>
          <w:color w:val="010101"/>
          <w:sz w:val="21"/>
        </w:rPr>
        <w:t>is found  directly  below </w:t>
      </w:r>
      <w:r>
        <w:rPr>
          <w:i/>
          <w:color w:val="010101"/>
          <w:sz w:val="15"/>
        </w:rPr>
        <w:t>lz+3 </w:t>
      </w:r>
      <w:r>
        <w:rPr>
          <w:color w:val="010101"/>
          <w:sz w:val="21"/>
        </w:rPr>
        <w:t>in the ultimate column. The complete set of values for age at issue </w:t>
      </w:r>
      <w:r>
        <w:rPr>
          <w:rFonts w:ascii="Arial" w:hAnsi="Arial"/>
          <w:i/>
          <w:color w:val="010101"/>
          <w:sz w:val="18"/>
        </w:rPr>
        <w:t>x </w:t>
      </w:r>
      <w:r>
        <w:rPr>
          <w:color w:val="010101"/>
          <w:sz w:val="21"/>
        </w:rPr>
        <w:t>is thus obtained by reading the select values horizontally </w:t>
      </w:r>
      <w:r>
        <w:rPr>
          <w:color w:val="010101"/>
          <w:w w:val="106"/>
          <w:sz w:val="21"/>
        </w:rPr>
        <w:t>starting </w:t>
      </w:r>
      <w:r>
        <w:rPr>
          <w:color w:val="010101"/>
          <w:w w:val="97"/>
          <w:sz w:val="21"/>
        </w:rPr>
        <w:t>with </w:t>
      </w:r>
      <w:r>
        <w:rPr>
          <w:color w:val="010101"/>
          <w:spacing w:val="-4"/>
          <w:w w:val="82"/>
          <w:sz w:val="15"/>
        </w:rPr>
        <w:t>l¡;i;J</w:t>
      </w:r>
      <w:r>
        <w:rPr>
          <w:color w:val="010101"/>
          <w:w w:val="82"/>
          <w:sz w:val="15"/>
        </w:rPr>
        <w:t> </w:t>
      </w:r>
      <w:r>
        <w:rPr>
          <w:color w:val="010101"/>
          <w:w w:val="102"/>
          <w:sz w:val="21"/>
        </w:rPr>
        <w:t>and </w:t>
      </w:r>
      <w:r>
        <w:rPr>
          <w:color w:val="010101"/>
          <w:w w:val="105"/>
          <w:sz w:val="21"/>
        </w:rPr>
        <w:t>the </w:t>
      </w:r>
      <w:r>
        <w:rPr>
          <w:color w:val="010101"/>
          <w:w w:val="102"/>
          <w:sz w:val="21"/>
        </w:rPr>
        <w:t>ultimate </w:t>
      </w:r>
      <w:r>
        <w:rPr>
          <w:color w:val="010101"/>
          <w:w w:val="100"/>
          <w:sz w:val="21"/>
        </w:rPr>
        <w:t>values </w:t>
      </w:r>
      <w:r>
        <w:rPr>
          <w:color w:val="010101"/>
          <w:w w:val="99"/>
          <w:sz w:val="21"/>
        </w:rPr>
        <w:t>vertically </w:t>
      </w:r>
      <w:r>
        <w:rPr>
          <w:color w:val="010101"/>
          <w:w w:val="96"/>
          <w:sz w:val="21"/>
        </w:rPr>
        <w:t>from </w:t>
      </w:r>
      <w:r>
        <w:rPr>
          <w:i/>
          <w:color w:val="010101"/>
          <w:w w:val="103"/>
          <w:sz w:val="15"/>
        </w:rPr>
        <w:t>lz+3 </w:t>
      </w:r>
      <w:r>
        <w:rPr>
          <w:i/>
          <w:color w:val="010101"/>
          <w:w w:val="166"/>
          <w:sz w:val="15"/>
        </w:rPr>
        <w:t>. </w:t>
      </w:r>
      <w:r>
        <w:rPr>
          <w:color w:val="010101"/>
          <w:w w:val="100"/>
          <w:sz w:val="21"/>
        </w:rPr>
        <w:t>At  </w:t>
      </w:r>
      <w:r>
        <w:rPr>
          <w:color w:val="010101"/>
          <w:sz w:val="21"/>
        </w:rPr>
        <w:t>age </w:t>
      </w:r>
      <w:r>
        <w:rPr>
          <w:color w:val="010101"/>
          <w:sz w:val="19"/>
        </w:rPr>
        <w:t>21, </w:t>
      </w:r>
      <w:r>
        <w:rPr>
          <w:color w:val="010101"/>
          <w:sz w:val="21"/>
        </w:rPr>
        <w:t>for example, there are </w:t>
      </w:r>
      <w:r>
        <w:rPr>
          <w:color w:val="010101"/>
          <w:sz w:val="19"/>
        </w:rPr>
        <w:t>944,710 </w:t>
      </w:r>
      <w:r>
        <w:rPr>
          <w:color w:val="010101"/>
          <w:sz w:val="21"/>
        </w:rPr>
        <w:t>lives insured. The number of survivors at age 23 is found by reading </w:t>
      </w:r>
      <w:r>
        <w:rPr>
          <w:color w:val="010101"/>
          <w:w w:val="95"/>
          <w:sz w:val="21"/>
        </w:rPr>
        <w:t>l</w:t>
      </w:r>
      <w:r>
        <w:rPr>
          <w:rFonts w:ascii="Arial" w:hAnsi="Arial"/>
          <w:color w:val="010101"/>
          <w:w w:val="95"/>
          <w:position w:val="-3"/>
          <w:sz w:val="15"/>
        </w:rPr>
        <w:t>1</w:t>
      </w:r>
      <w:r>
        <w:rPr>
          <w:color w:val="010101"/>
          <w:w w:val="95"/>
          <w:sz w:val="15"/>
        </w:rPr>
        <w:t>21J </w:t>
      </w:r>
      <w:r>
        <w:rPr>
          <w:color w:val="010101"/>
          <w:sz w:val="15"/>
        </w:rPr>
        <w:t>+2 </w:t>
      </w:r>
      <w:r>
        <w:rPr>
          <w:color w:val="010101"/>
          <w:sz w:val="23"/>
        </w:rPr>
        <w:t>= </w:t>
      </w:r>
      <w:r>
        <w:rPr>
          <w:color w:val="010101"/>
          <w:sz w:val="19"/>
        </w:rPr>
        <w:t>941,916 </w:t>
      </w:r>
      <w:r>
        <w:rPr>
          <w:color w:val="010101"/>
          <w:sz w:val="21"/>
        </w:rPr>
        <w:t>from the third column of the select portion of the table; and the number of survivors at age 25 is found by reading </w:t>
      </w:r>
      <w:r>
        <w:rPr>
          <w:i/>
          <w:color w:val="010101"/>
          <w:w w:val="95"/>
          <w:sz w:val="20"/>
        </w:rPr>
        <w:t>l'lb </w:t>
      </w:r>
      <w:r>
        <w:rPr>
          <w:color w:val="010101"/>
          <w:sz w:val="22"/>
        </w:rPr>
        <w:t>= </w:t>
      </w:r>
      <w:r>
        <w:rPr>
          <w:color w:val="010101"/>
          <w:spacing w:val="-3"/>
          <w:sz w:val="19"/>
        </w:rPr>
        <w:t>938,359 </w:t>
      </w:r>
      <w:r>
        <w:rPr>
          <w:color w:val="010101"/>
          <w:sz w:val="21"/>
        </w:rPr>
        <w:t>from the ultimate column. Note that this same value for </w:t>
      </w:r>
      <w:r>
        <w:rPr>
          <w:i/>
          <w:color w:val="010101"/>
          <w:spacing w:val="3"/>
          <w:w w:val="95"/>
          <w:sz w:val="21"/>
        </w:rPr>
        <w:t>[</w:t>
      </w:r>
      <w:r>
        <w:rPr>
          <w:i/>
          <w:color w:val="010101"/>
          <w:spacing w:val="3"/>
          <w:w w:val="95"/>
          <w:position w:val="-2"/>
          <w:sz w:val="13"/>
        </w:rPr>
        <w:t>26  </w:t>
      </w:r>
      <w:r>
        <w:rPr>
          <w:color w:val="010101"/>
          <w:sz w:val="21"/>
        </w:rPr>
        <w:t>also represents the number of survivors at age 25 of the l</w:t>
      </w:r>
      <w:r>
        <w:rPr>
          <w:color w:val="010101"/>
          <w:position w:val="-3"/>
          <w:sz w:val="15"/>
        </w:rPr>
        <w:t>1</w:t>
      </w:r>
      <w:r>
        <w:rPr>
          <w:color w:val="010101"/>
          <w:sz w:val="11"/>
        </w:rPr>
        <w:t>20</w:t>
      </w:r>
      <w:r>
        <w:rPr>
          <w:color w:val="010101"/>
          <w:position w:val="-3"/>
          <w:sz w:val="15"/>
        </w:rPr>
        <w:t>1 </w:t>
      </w:r>
      <w:r>
        <w:rPr>
          <w:color w:val="010101"/>
          <w:sz w:val="21"/>
        </w:rPr>
        <w:t>lives insured at age 20 and of the </w:t>
      </w:r>
      <w:r>
        <w:rPr>
          <w:rFonts w:ascii="Arial" w:hAnsi="Arial"/>
          <w:i/>
          <w:color w:val="010101"/>
          <w:sz w:val="15"/>
        </w:rPr>
        <w:t>l¡2'lJ  </w:t>
      </w:r>
      <w:r>
        <w:rPr>
          <w:color w:val="010101"/>
          <w:sz w:val="21"/>
        </w:rPr>
        <w:t>lives insured at age</w:t>
      </w:r>
      <w:r>
        <w:rPr>
          <w:color w:val="010101"/>
          <w:spacing w:val="34"/>
          <w:sz w:val="21"/>
        </w:rPr>
        <w:t> </w:t>
      </w:r>
      <w:r>
        <w:rPr>
          <w:color w:val="010101"/>
          <w:sz w:val="21"/>
        </w:rPr>
        <w:t>22.</w:t>
      </w:r>
    </w:p>
    <w:p>
      <w:pPr>
        <w:spacing w:line="232" w:lineRule="auto" w:before="0"/>
        <w:ind w:left="114" w:right="135" w:firstLine="207"/>
        <w:jc w:val="both"/>
        <w:rPr>
          <w:sz w:val="21"/>
        </w:rPr>
      </w:pPr>
      <w:r>
        <w:rPr>
          <w:color w:val="010101"/>
          <w:sz w:val="22"/>
        </w:rPr>
        <w:t>In </w:t>
      </w:r>
      <w:r>
        <w:rPr>
          <w:color w:val="010101"/>
          <w:sz w:val="21"/>
        </w:rPr>
        <w:t>order to construct a select table in this form, it is first neces­ </w:t>
      </w:r>
      <w:r>
        <w:rPr>
          <w:color w:val="010101"/>
          <w:spacing w:val="-3"/>
          <w:w w:val="90"/>
          <w:sz w:val="20"/>
        </w:rPr>
        <w:t>sary</w:t>
      </w:r>
      <w:r>
        <w:rPr>
          <w:color w:val="1D1D1D"/>
          <w:spacing w:val="-3"/>
          <w:w w:val="90"/>
          <w:sz w:val="20"/>
        </w:rPr>
        <w:t>_</w:t>
      </w:r>
      <w:r>
        <w:rPr>
          <w:color w:val="1D1D1D"/>
          <w:w w:val="90"/>
          <w:sz w:val="20"/>
        </w:rPr>
        <w:t> </w:t>
      </w:r>
      <w:r>
        <w:rPr>
          <w:color w:val="010101"/>
          <w:w w:val="106"/>
          <w:sz w:val="21"/>
        </w:rPr>
        <w:t>to </w:t>
      </w:r>
      <w:r>
        <w:rPr>
          <w:color w:val="010101"/>
          <w:w w:val="100"/>
          <w:sz w:val="21"/>
        </w:rPr>
        <w:t>havc </w:t>
      </w:r>
      <w:r>
        <w:rPr>
          <w:color w:val="010101"/>
          <w:w w:val="100"/>
          <w:sz w:val="21"/>
        </w:rPr>
        <w:t>values </w:t>
      </w:r>
      <w:r>
        <w:rPr>
          <w:color w:val="010101"/>
          <w:w w:val="84"/>
          <w:sz w:val="21"/>
        </w:rPr>
        <w:t>of </w:t>
      </w:r>
      <w:r>
        <w:rPr>
          <w:color w:val="010101"/>
          <w:spacing w:val="-5"/>
          <w:w w:val="103"/>
          <w:sz w:val="15"/>
        </w:rPr>
        <w:t>q¡zJ</w:t>
      </w:r>
      <w:r>
        <w:rPr>
          <w:color w:val="010101"/>
          <w:w w:val="103"/>
          <w:sz w:val="15"/>
        </w:rPr>
        <w:t> </w:t>
      </w:r>
      <w:r>
        <w:rPr>
          <w:color w:val="010101"/>
          <w:w w:val="145"/>
          <w:sz w:val="15"/>
        </w:rPr>
        <w:t>, </w:t>
      </w:r>
      <w:r>
        <w:rPr>
          <w:color w:val="010101"/>
          <w:spacing w:val="-3"/>
          <w:w w:val="107"/>
          <w:sz w:val="15"/>
        </w:rPr>
        <w:t>q¡z1+1</w:t>
      </w:r>
      <w:r>
        <w:rPr>
          <w:color w:val="010101"/>
          <w:w w:val="107"/>
          <w:sz w:val="15"/>
        </w:rPr>
        <w:t> </w:t>
      </w:r>
      <w:r>
        <w:rPr>
          <w:color w:val="010101"/>
          <w:w w:val="161"/>
          <w:sz w:val="15"/>
        </w:rPr>
        <w:t>, </w:t>
      </w:r>
      <w:r>
        <w:rPr>
          <w:color w:val="010101"/>
          <w:w w:val="101"/>
          <w:sz w:val="21"/>
        </w:rPr>
        <w:t>and </w:t>
      </w:r>
      <w:r>
        <w:rPr>
          <w:color w:val="010101"/>
          <w:w w:val="120"/>
          <w:sz w:val="15"/>
        </w:rPr>
        <w:t>q </w:t>
      </w:r>
      <w:r>
        <w:rPr>
          <w:color w:val="010101"/>
          <w:spacing w:val="-2"/>
          <w:w w:val="73"/>
          <w:position w:val="-2"/>
          <w:sz w:val="15"/>
        </w:rPr>
        <w:t>1</w:t>
      </w:r>
      <w:r>
        <w:rPr>
          <w:color w:val="010101"/>
          <w:spacing w:val="-2"/>
          <w:w w:val="73"/>
          <w:sz w:val="15"/>
        </w:rPr>
        <w:t>z</w:t>
      </w:r>
      <w:r>
        <w:rPr>
          <w:color w:val="010101"/>
          <w:spacing w:val="-2"/>
          <w:w w:val="73"/>
          <w:position w:val="-2"/>
          <w:sz w:val="15"/>
        </w:rPr>
        <w:t>1</w:t>
      </w:r>
      <w:r>
        <w:rPr>
          <w:color w:val="010101"/>
          <w:w w:val="73"/>
          <w:position w:val="-2"/>
          <w:sz w:val="15"/>
        </w:rPr>
        <w:t> </w:t>
      </w:r>
      <w:r>
        <w:rPr>
          <w:color w:val="010101"/>
          <w:w w:val="95"/>
          <w:sz w:val="15"/>
        </w:rPr>
        <w:t>+2 </w:t>
      </w:r>
      <w:r>
        <w:rPr>
          <w:color w:val="010101"/>
          <w:w w:val="96"/>
          <w:sz w:val="21"/>
        </w:rPr>
        <w:t>for </w:t>
      </w:r>
      <w:r>
        <w:rPr>
          <w:color w:val="010101"/>
          <w:w w:val="96"/>
          <w:sz w:val="21"/>
        </w:rPr>
        <w:t>each </w:t>
      </w:r>
      <w:r>
        <w:rPr>
          <w:color w:val="010101"/>
          <w:w w:val="97"/>
          <w:sz w:val="21"/>
        </w:rPr>
        <w:t>age </w:t>
      </w:r>
      <w:r>
        <w:rPr>
          <w:color w:val="010101"/>
          <w:w w:val="111"/>
          <w:sz w:val="21"/>
        </w:rPr>
        <w:t>at </w:t>
      </w:r>
      <w:r>
        <w:rPr>
          <w:color w:val="010101"/>
          <w:w w:val="95"/>
          <w:sz w:val="21"/>
        </w:rPr>
        <w:t>issue  </w:t>
      </w:r>
      <w:r>
        <w:rPr>
          <w:color w:val="010101"/>
          <w:sz w:val="21"/>
        </w:rPr>
        <w:t>for the select portion, and a complete set of values of </w:t>
      </w:r>
      <w:r>
        <w:rPr>
          <w:i/>
          <w:color w:val="010101"/>
          <w:sz w:val="18"/>
        </w:rPr>
        <w:t>qz+a </w:t>
      </w:r>
      <w:r>
        <w:rPr>
          <w:color w:val="010101"/>
          <w:sz w:val="21"/>
        </w:rPr>
        <w:t>for the ultimate section (assuming a 3-year select  period ). Suppose  that the earliest age at issue is 20. A convenient radix is then assumed  for </w:t>
      </w:r>
      <w:r>
        <w:rPr>
          <w:color w:val="010101"/>
          <w:sz w:val="15"/>
        </w:rPr>
        <w:t>lt201 </w:t>
      </w:r>
      <w:r>
        <w:rPr>
          <w:color w:val="010101"/>
          <w:w w:val="130"/>
          <w:sz w:val="15"/>
        </w:rPr>
        <w:t>, </w:t>
      </w:r>
      <w:r>
        <w:rPr>
          <w:color w:val="010101"/>
          <w:sz w:val="21"/>
        </w:rPr>
        <w:t>and the complete mortality table for this age at issue is constructed using the values of </w:t>
      </w:r>
      <w:r>
        <w:rPr>
          <w:color w:val="010101"/>
          <w:w w:val="130"/>
          <w:sz w:val="15"/>
        </w:rPr>
        <w:t>q </w:t>
      </w:r>
      <w:r>
        <w:rPr>
          <w:color w:val="010101"/>
          <w:spacing w:val="-5"/>
          <w:position w:val="-3"/>
          <w:sz w:val="15"/>
        </w:rPr>
        <w:t>1</w:t>
      </w:r>
      <w:r>
        <w:rPr>
          <w:color w:val="010101"/>
          <w:spacing w:val="-5"/>
          <w:sz w:val="15"/>
        </w:rPr>
        <w:t>20</w:t>
      </w:r>
      <w:r>
        <w:rPr>
          <w:color w:val="010101"/>
          <w:spacing w:val="-5"/>
          <w:position w:val="-3"/>
          <w:sz w:val="15"/>
        </w:rPr>
        <w:t>1 </w:t>
      </w:r>
      <w:r>
        <w:rPr>
          <w:color w:val="010101"/>
          <w:w w:val="130"/>
          <w:sz w:val="15"/>
        </w:rPr>
        <w:t>, </w:t>
      </w:r>
      <w:r>
        <w:rPr>
          <w:color w:val="010101"/>
          <w:sz w:val="15"/>
        </w:rPr>
        <w:t>qt20J +1 ,  </w:t>
      </w:r>
      <w:r>
        <w:rPr>
          <w:color w:val="010101"/>
          <w:spacing w:val="-3"/>
          <w:sz w:val="15"/>
        </w:rPr>
        <w:t>q¡20J </w:t>
      </w:r>
      <w:r>
        <w:rPr>
          <w:color w:val="010101"/>
          <w:sz w:val="15"/>
        </w:rPr>
        <w:t>+2 </w:t>
      </w:r>
      <w:r>
        <w:rPr>
          <w:color w:val="010101"/>
          <w:w w:val="130"/>
          <w:sz w:val="15"/>
        </w:rPr>
        <w:t>, </w:t>
      </w:r>
      <w:r>
        <w:rPr>
          <w:color w:val="010101"/>
          <w:sz w:val="19"/>
        </w:rPr>
        <w:t>q23 , q24 ,</w:t>
      </w:r>
      <w:r>
        <w:rPr>
          <w:color w:val="010101"/>
          <w:spacing w:val="27"/>
          <w:sz w:val="19"/>
        </w:rPr>
        <w:t> </w:t>
      </w:r>
      <w:r>
        <w:rPr>
          <w:color w:val="010101"/>
          <w:sz w:val="21"/>
        </w:rPr>
        <w:t>etc.</w:t>
      </w:r>
    </w:p>
    <w:p>
      <w:pPr>
        <w:spacing w:after="0" w:line="232" w:lineRule="auto"/>
        <w:jc w:val="both"/>
        <w:rPr>
          <w:sz w:val="21"/>
        </w:rPr>
        <w:sectPr>
          <w:pgSz w:w="7200" w:h="11340"/>
          <w:pgMar w:top="500" w:bottom="280" w:left="680" w:right="540"/>
        </w:sectPr>
      </w:pPr>
    </w:p>
    <w:p>
      <w:pPr>
        <w:tabs>
          <w:tab w:pos="1486" w:val="left" w:leader="none"/>
          <w:tab w:pos="5373" w:val="left" w:leader="none"/>
        </w:tabs>
        <w:spacing w:before="51"/>
        <w:ind w:left="129" w:right="0" w:firstLine="0"/>
        <w:jc w:val="left"/>
        <w:rPr>
          <w:sz w:val="20"/>
        </w:rPr>
      </w:pPr>
      <w:r>
        <w:rPr/>
        <w:pict>
          <v:shape style="position:absolute;margin-left:38.943169pt;margin-top:76.763145pt;width:287.350pt;height:426.1pt;mso-position-horizontal-relative:page;mso-position-vertical-relative:page;z-index:2368" type="#_x0000_t202" filled="false" stroked="false">
            <v:textbox inset="0,0,0,0">
              <w:txbxContent>
                <w:tbl>
                  <w:tblPr>
                    <w:tblW w:w="0" w:type="auto"/>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4"/>
                    <w:gridCol w:w="995"/>
                    <w:gridCol w:w="992"/>
                    <w:gridCol w:w="992"/>
                    <w:gridCol w:w="992"/>
                    <w:gridCol w:w="978"/>
                  </w:tblGrid>
                  <w:tr>
                    <w:trPr>
                      <w:trHeight w:val="378" w:hRule="exact"/>
                    </w:trPr>
                    <w:tc>
                      <w:tcPr>
                        <w:tcW w:w="774" w:type="dxa"/>
                        <w:vMerge w:val="restart"/>
                        <w:tcBorders>
                          <w:left w:val="nil"/>
                        </w:tcBorders>
                      </w:tcPr>
                      <w:p>
                        <w:pPr>
                          <w:pStyle w:val="TableParagraph"/>
                          <w:spacing w:line="180" w:lineRule="exact" w:before="124"/>
                          <w:ind w:left="113" w:right="96"/>
                          <w:jc w:val="center"/>
                          <w:rPr>
                            <w:rFonts w:ascii="Times New Roman"/>
                            <w:sz w:val="16"/>
                          </w:rPr>
                        </w:pPr>
                        <w:r>
                          <w:rPr>
                            <w:rFonts w:ascii="Times New Roman"/>
                            <w:color w:val="010101"/>
                            <w:w w:val="105"/>
                            <w:sz w:val="16"/>
                          </w:rPr>
                          <w:t>[x]</w:t>
                        </w:r>
                      </w:p>
                      <w:p>
                        <w:pPr>
                          <w:pStyle w:val="TableParagraph"/>
                          <w:spacing w:line="260" w:lineRule="exact"/>
                          <w:ind w:left="14"/>
                          <w:rPr>
                            <w:rFonts w:ascii="Times New Roman"/>
                            <w:sz w:val="23"/>
                          </w:rPr>
                        </w:pPr>
                        <w:r>
                          <w:rPr>
                            <w:rFonts w:ascii="Times New Roman"/>
                            <w:color w:val="010101"/>
                            <w:spacing w:val="-44"/>
                            <w:w w:val="379"/>
                            <w:sz w:val="23"/>
                          </w:rPr>
                          <w:t>-</w:t>
                        </w:r>
                        <w:r>
                          <w:rPr>
                            <w:rFonts w:ascii="Times New Roman"/>
                            <w:color w:val="010101"/>
                            <w:spacing w:val="-297"/>
                            <w:w w:val="404"/>
                            <w:sz w:val="23"/>
                          </w:rPr>
                          <w:t>-</w:t>
                        </w:r>
                      </w:p>
                    </w:tc>
                    <w:tc>
                      <w:tcPr>
                        <w:tcW w:w="995" w:type="dxa"/>
                        <w:tcBorders>
                          <w:bottom w:val="single" w:sz="1" w:space="0" w:color="000000"/>
                        </w:tcBorders>
                      </w:tcPr>
                      <w:p>
                        <w:pPr>
                          <w:pStyle w:val="TableParagraph"/>
                          <w:spacing w:before="8"/>
                          <w:rPr>
                            <w:rFonts w:ascii="Times New Roman"/>
                            <w:sz w:val="14"/>
                          </w:rPr>
                        </w:pPr>
                      </w:p>
                      <w:p>
                        <w:pPr>
                          <w:pStyle w:val="TableParagraph"/>
                          <w:spacing w:before="1"/>
                          <w:ind w:left="327" w:right="327"/>
                          <w:jc w:val="center"/>
                          <w:rPr>
                            <w:rFonts w:ascii="Times New Roman"/>
                            <w:b/>
                            <w:sz w:val="13"/>
                          </w:rPr>
                        </w:pPr>
                        <w:r>
                          <w:rPr>
                            <w:rFonts w:ascii="Times New Roman"/>
                            <w:b/>
                            <w:color w:val="010101"/>
                            <w:w w:val="115"/>
                            <w:sz w:val="13"/>
                          </w:rPr>
                          <w:t>l(z)</w:t>
                        </w:r>
                      </w:p>
                    </w:tc>
                    <w:tc>
                      <w:tcPr>
                        <w:tcW w:w="992" w:type="dxa"/>
                        <w:tcBorders>
                          <w:bottom w:val="single" w:sz="1" w:space="0" w:color="000000"/>
                        </w:tcBorders>
                      </w:tcPr>
                      <w:p>
                        <w:pPr>
                          <w:pStyle w:val="TableParagraph"/>
                          <w:rPr>
                            <w:rFonts w:ascii="Times New Roman"/>
                            <w:sz w:val="16"/>
                          </w:rPr>
                        </w:pPr>
                      </w:p>
                      <w:p>
                        <w:pPr>
                          <w:pStyle w:val="TableParagraph"/>
                          <w:ind w:left="326" w:right="-17"/>
                          <w:rPr>
                            <w:rFonts w:ascii="Times New Roman" w:hAnsi="Times New Roman"/>
                            <w:b/>
                            <w:sz w:val="13"/>
                          </w:rPr>
                        </w:pPr>
                        <w:r>
                          <w:rPr>
                            <w:rFonts w:ascii="Times New Roman" w:hAnsi="Times New Roman"/>
                            <w:b/>
                            <w:color w:val="010101"/>
                            <w:sz w:val="13"/>
                          </w:rPr>
                          <w:t>l¡.rJ+l</w:t>
                        </w:r>
                      </w:p>
                    </w:tc>
                    <w:tc>
                      <w:tcPr>
                        <w:tcW w:w="992" w:type="dxa"/>
                        <w:tcBorders>
                          <w:bottom w:val="single" w:sz="1" w:space="0" w:color="000000"/>
                        </w:tcBorders>
                      </w:tcPr>
                      <w:p>
                        <w:pPr>
                          <w:pStyle w:val="TableParagraph"/>
                          <w:spacing w:before="7"/>
                          <w:rPr>
                            <w:rFonts w:ascii="Times New Roman"/>
                            <w:sz w:val="16"/>
                          </w:rPr>
                        </w:pPr>
                      </w:p>
                      <w:p>
                        <w:pPr>
                          <w:pStyle w:val="TableParagraph"/>
                          <w:ind w:left="52" w:right="41"/>
                          <w:jc w:val="center"/>
                          <w:rPr>
                            <w:rFonts w:ascii="Times New Roman" w:hAnsi="Times New Roman"/>
                            <w:b/>
                            <w:sz w:val="13"/>
                          </w:rPr>
                        </w:pPr>
                        <w:r>
                          <w:rPr>
                            <w:rFonts w:ascii="Times New Roman" w:hAnsi="Times New Roman"/>
                            <w:b/>
                            <w:color w:val="010101"/>
                            <w:sz w:val="13"/>
                          </w:rPr>
                          <w:t>Z¡zJ+t</w:t>
                        </w:r>
                      </w:p>
                    </w:tc>
                    <w:tc>
                      <w:tcPr>
                        <w:tcW w:w="992" w:type="dxa"/>
                        <w:tcBorders>
                          <w:bottom w:val="single" w:sz="1" w:space="0" w:color="000000"/>
                        </w:tcBorders>
                      </w:tcPr>
                      <w:p>
                        <w:pPr>
                          <w:pStyle w:val="TableParagraph"/>
                          <w:spacing w:before="2"/>
                          <w:rPr>
                            <w:rFonts w:ascii="Times New Roman"/>
                            <w:sz w:val="15"/>
                          </w:rPr>
                        </w:pPr>
                      </w:p>
                      <w:p>
                        <w:pPr>
                          <w:pStyle w:val="TableParagraph"/>
                          <w:ind w:left="68" w:right="41"/>
                          <w:jc w:val="center"/>
                          <w:rPr>
                            <w:rFonts w:ascii="Times New Roman"/>
                            <w:sz w:val="14"/>
                          </w:rPr>
                        </w:pPr>
                        <w:r>
                          <w:rPr>
                            <w:rFonts w:ascii="Times New Roman"/>
                            <w:color w:val="010101"/>
                            <w:sz w:val="14"/>
                          </w:rPr>
                          <w:t>Z.+3</w:t>
                        </w:r>
                      </w:p>
                    </w:tc>
                    <w:tc>
                      <w:tcPr>
                        <w:tcW w:w="978" w:type="dxa"/>
                        <w:tcBorders>
                          <w:bottom w:val="single" w:sz="1" w:space="0" w:color="000000"/>
                          <w:right w:val="nil"/>
                        </w:tcBorders>
                      </w:tcPr>
                      <w:p>
                        <w:pPr>
                          <w:pStyle w:val="TableParagraph"/>
                          <w:spacing w:before="65"/>
                          <w:ind w:left="251" w:right="185"/>
                          <w:jc w:val="center"/>
                          <w:rPr>
                            <w:rFonts w:ascii="Times New Roman"/>
                            <w:sz w:val="25"/>
                          </w:rPr>
                        </w:pPr>
                        <w:r>
                          <w:rPr>
                            <w:rFonts w:ascii="Times New Roman"/>
                            <w:color w:val="010101"/>
                            <w:w w:val="90"/>
                            <w:sz w:val="25"/>
                          </w:rPr>
                          <w:t>x + 3</w:t>
                        </w:r>
                      </w:p>
                    </w:tc>
                  </w:tr>
                  <w:tr>
                    <w:trPr>
                      <w:trHeight w:val="203" w:hRule="exact"/>
                    </w:trPr>
                    <w:tc>
                      <w:tcPr>
                        <w:tcW w:w="774" w:type="dxa"/>
                        <w:vMerge/>
                        <w:tcBorders>
                          <w:left w:val="nil"/>
                          <w:bottom w:val="nil"/>
                        </w:tcBorders>
                      </w:tcPr>
                      <w:p>
                        <w:pPr/>
                      </w:p>
                    </w:tc>
                    <w:tc>
                      <w:tcPr>
                        <w:tcW w:w="995" w:type="dxa"/>
                        <w:tcBorders>
                          <w:top w:val="single" w:sz="1" w:space="0" w:color="000000"/>
                          <w:bottom w:val="nil"/>
                        </w:tcBorders>
                      </w:tcPr>
                      <w:p>
                        <w:pPr>
                          <w:pStyle w:val="TableParagraph"/>
                          <w:spacing w:line="192" w:lineRule="exact"/>
                          <w:ind w:left="-283" w:right="-15"/>
                          <w:rPr>
                            <w:rFonts w:ascii="Times New Roman"/>
                            <w:sz w:val="18"/>
                          </w:rPr>
                        </w:pPr>
                        <w:r>
                          <w:rPr>
                            <w:rFonts w:ascii="Times New Roman"/>
                            <w:color w:val="010101"/>
                            <w:w w:val="416"/>
                            <w:sz w:val="23"/>
                          </w:rPr>
                          <w:t>-</w:t>
                        </w:r>
                        <w:r>
                          <w:rPr>
                            <w:rFonts w:ascii="Times New Roman"/>
                            <w:color w:val="010101"/>
                            <w:spacing w:val="-45"/>
                            <w:w w:val="415"/>
                            <w:position w:val="2"/>
                            <w:sz w:val="18"/>
                          </w:rPr>
                          <w:t>-</w:t>
                        </w:r>
                        <w:r>
                          <w:rPr>
                            <w:rFonts w:ascii="Times New Roman"/>
                            <w:color w:val="010101"/>
                            <w:w w:val="44"/>
                            <w:position w:val="2"/>
                            <w:sz w:val="18"/>
                          </w:rPr>
                          <w:t>-</w:t>
                        </w:r>
                      </w:p>
                    </w:tc>
                    <w:tc>
                      <w:tcPr>
                        <w:tcW w:w="992" w:type="dxa"/>
                        <w:tcBorders>
                          <w:top w:val="single" w:sz="1" w:space="0" w:color="000000"/>
                          <w:bottom w:val="nil"/>
                        </w:tcBorders>
                      </w:tcPr>
                      <w:p>
                        <w:pPr/>
                      </w:p>
                    </w:tc>
                    <w:tc>
                      <w:tcPr>
                        <w:tcW w:w="992" w:type="dxa"/>
                        <w:tcBorders>
                          <w:top w:val="single" w:sz="1" w:space="0" w:color="000000"/>
                          <w:bottom w:val="nil"/>
                        </w:tcBorders>
                      </w:tcPr>
                      <w:p>
                        <w:pPr/>
                      </w:p>
                    </w:tc>
                    <w:tc>
                      <w:tcPr>
                        <w:tcW w:w="992" w:type="dxa"/>
                        <w:tcBorders>
                          <w:top w:val="single" w:sz="1" w:space="0" w:color="000000"/>
                          <w:bottom w:val="nil"/>
                        </w:tcBorders>
                      </w:tcPr>
                      <w:p>
                        <w:pPr/>
                      </w:p>
                    </w:tc>
                    <w:tc>
                      <w:tcPr>
                        <w:tcW w:w="978" w:type="dxa"/>
                        <w:tcBorders>
                          <w:top w:val="single" w:sz="1" w:space="0" w:color="000000"/>
                          <w:bottom w:val="nil"/>
                          <w:right w:val="nil"/>
                        </w:tcBorders>
                      </w:tcPr>
                      <w:p>
                        <w:pPr/>
                      </w:p>
                    </w:tc>
                  </w:tr>
                  <w:tr>
                    <w:trPr>
                      <w:trHeight w:val="210" w:hRule="exact"/>
                    </w:trPr>
                    <w:tc>
                      <w:tcPr>
                        <w:tcW w:w="774" w:type="dxa"/>
                        <w:tcBorders>
                          <w:top w:val="nil"/>
                          <w:left w:val="nil"/>
                          <w:bottom w:val="nil"/>
                        </w:tcBorders>
                      </w:tcPr>
                      <w:p>
                        <w:pPr>
                          <w:pStyle w:val="TableParagraph"/>
                          <w:spacing w:line="177" w:lineRule="exact"/>
                          <w:ind w:left="308"/>
                          <w:rPr>
                            <w:rFonts w:ascii="Times New Roman"/>
                            <w:sz w:val="16"/>
                          </w:rPr>
                        </w:pPr>
                        <w:r>
                          <w:rPr>
                            <w:rFonts w:ascii="Times New Roman"/>
                            <w:color w:val="010101"/>
                            <w:w w:val="105"/>
                            <w:sz w:val="16"/>
                          </w:rPr>
                          <w:t>20</w:t>
                        </w:r>
                      </w:p>
                    </w:tc>
                    <w:tc>
                      <w:tcPr>
                        <w:tcW w:w="995" w:type="dxa"/>
                        <w:tcBorders>
                          <w:top w:val="nil"/>
                          <w:bottom w:val="nil"/>
                        </w:tcBorders>
                      </w:tcPr>
                      <w:p>
                        <w:pPr>
                          <w:pStyle w:val="TableParagraph"/>
                          <w:spacing w:line="200" w:lineRule="exact"/>
                          <w:ind w:left="219" w:right="-15"/>
                          <w:rPr>
                            <w:sz w:val="18"/>
                          </w:rPr>
                        </w:pPr>
                        <w:r>
                          <w:rPr>
                            <w:color w:val="010101"/>
                            <w:sz w:val="18"/>
                          </w:rPr>
                          <w:t>946,394</w:t>
                        </w:r>
                      </w:p>
                    </w:tc>
                    <w:tc>
                      <w:tcPr>
                        <w:tcW w:w="992" w:type="dxa"/>
                        <w:tcBorders>
                          <w:top w:val="nil"/>
                          <w:bottom w:val="nil"/>
                        </w:tcBorders>
                      </w:tcPr>
                      <w:p>
                        <w:pPr>
                          <w:pStyle w:val="TableParagraph"/>
                          <w:ind w:left="218" w:right="-17"/>
                          <w:rPr>
                            <w:b/>
                            <w:sz w:val="18"/>
                          </w:rPr>
                        </w:pPr>
                        <w:r>
                          <w:rPr>
                            <w:b/>
                            <w:color w:val="010101"/>
                            <w:w w:val="85"/>
                            <w:sz w:val="18"/>
                          </w:rPr>
                          <w:t>945,145</w:t>
                        </w:r>
                      </w:p>
                    </w:tc>
                    <w:tc>
                      <w:tcPr>
                        <w:tcW w:w="992" w:type="dxa"/>
                        <w:tcBorders>
                          <w:top w:val="nil"/>
                          <w:bottom w:val="nil"/>
                        </w:tcBorders>
                      </w:tcPr>
                      <w:p>
                        <w:pPr>
                          <w:pStyle w:val="TableParagraph"/>
                          <w:spacing w:before="10"/>
                          <w:ind w:left="72" w:right="41"/>
                          <w:jc w:val="center"/>
                          <w:rPr>
                            <w:sz w:val="18"/>
                          </w:rPr>
                        </w:pPr>
                        <w:r>
                          <w:rPr>
                            <w:color w:val="010101"/>
                            <w:sz w:val="18"/>
                          </w:rPr>
                          <w:t>943,671</w:t>
                        </w:r>
                      </w:p>
                    </w:tc>
                    <w:tc>
                      <w:tcPr>
                        <w:tcW w:w="992" w:type="dxa"/>
                        <w:tcBorders>
                          <w:top w:val="nil"/>
                          <w:bottom w:val="nil"/>
                        </w:tcBorders>
                      </w:tcPr>
                      <w:p>
                        <w:pPr>
                          <w:pStyle w:val="TableParagraph"/>
                          <w:spacing w:before="7"/>
                          <w:ind w:left="222" w:right="-17"/>
                          <w:rPr>
                            <w:sz w:val="18"/>
                          </w:rPr>
                        </w:pPr>
                        <w:r>
                          <w:rPr>
                            <w:color w:val="010101"/>
                            <w:w w:val="95"/>
                            <w:sz w:val="18"/>
                          </w:rPr>
                          <w:t>942,001</w:t>
                        </w:r>
                      </w:p>
                    </w:tc>
                    <w:tc>
                      <w:tcPr>
                        <w:tcW w:w="978" w:type="dxa"/>
                        <w:tcBorders>
                          <w:top w:val="nil"/>
                          <w:bottom w:val="nil"/>
                          <w:right w:val="nil"/>
                        </w:tcBorders>
                      </w:tcPr>
                      <w:p>
                        <w:pPr>
                          <w:pStyle w:val="TableParagraph"/>
                          <w:spacing w:before="3"/>
                          <w:ind w:left="251" w:right="187"/>
                          <w:jc w:val="center"/>
                          <w:rPr>
                            <w:sz w:val="18"/>
                          </w:rPr>
                        </w:pPr>
                        <w:r>
                          <w:rPr>
                            <w:color w:val="010101"/>
                            <w:w w:val="90"/>
                            <w:sz w:val="18"/>
                          </w:rPr>
                          <w:t>23</w:t>
                        </w:r>
                      </w:p>
                    </w:tc>
                  </w:tr>
                  <w:tr>
                    <w:trPr>
                      <w:trHeight w:val="198" w:hRule="exact"/>
                    </w:trPr>
                    <w:tc>
                      <w:tcPr>
                        <w:tcW w:w="774" w:type="dxa"/>
                        <w:tcBorders>
                          <w:top w:val="nil"/>
                          <w:left w:val="nil"/>
                          <w:bottom w:val="nil"/>
                        </w:tcBorders>
                      </w:tcPr>
                      <w:p>
                        <w:pPr>
                          <w:pStyle w:val="TableParagraph"/>
                          <w:spacing w:line="188" w:lineRule="exact"/>
                          <w:ind w:left="308"/>
                          <w:rPr>
                            <w:b/>
                            <w:sz w:val="18"/>
                          </w:rPr>
                        </w:pPr>
                        <w:r>
                          <w:rPr>
                            <w:b/>
                            <w:color w:val="010101"/>
                            <w:w w:val="80"/>
                            <w:sz w:val="18"/>
                          </w:rPr>
                          <w:t>21</w:t>
                        </w:r>
                      </w:p>
                    </w:tc>
                    <w:tc>
                      <w:tcPr>
                        <w:tcW w:w="995" w:type="dxa"/>
                        <w:tcBorders>
                          <w:top w:val="nil"/>
                          <w:bottom w:val="nil"/>
                        </w:tcBorders>
                      </w:tcPr>
                      <w:p>
                        <w:pPr>
                          <w:pStyle w:val="TableParagraph"/>
                          <w:spacing w:line="188" w:lineRule="exact"/>
                          <w:ind w:left="216" w:right="-15"/>
                          <w:rPr>
                            <w:sz w:val="18"/>
                          </w:rPr>
                        </w:pPr>
                        <w:r>
                          <w:rPr>
                            <w:color w:val="010101"/>
                            <w:w w:val="90"/>
                            <w:sz w:val="18"/>
                          </w:rPr>
                          <w:t>944,710</w:t>
                        </w:r>
                      </w:p>
                    </w:tc>
                    <w:tc>
                      <w:tcPr>
                        <w:tcW w:w="992" w:type="dxa"/>
                        <w:tcBorders>
                          <w:top w:val="nil"/>
                          <w:bottom w:val="nil"/>
                        </w:tcBorders>
                      </w:tcPr>
                      <w:p>
                        <w:pPr>
                          <w:pStyle w:val="TableParagraph"/>
                          <w:spacing w:line="195" w:lineRule="exact"/>
                          <w:ind w:left="218" w:right="-17"/>
                          <w:rPr>
                            <w:sz w:val="18"/>
                          </w:rPr>
                        </w:pPr>
                        <w:r>
                          <w:rPr>
                            <w:color w:val="010101"/>
                            <w:sz w:val="18"/>
                          </w:rPr>
                          <w:t>943,435</w:t>
                        </w:r>
                      </w:p>
                    </w:tc>
                    <w:tc>
                      <w:tcPr>
                        <w:tcW w:w="992" w:type="dxa"/>
                        <w:tcBorders>
                          <w:top w:val="nil"/>
                          <w:bottom w:val="nil"/>
                        </w:tcBorders>
                      </w:tcPr>
                      <w:p>
                        <w:pPr>
                          <w:pStyle w:val="TableParagraph"/>
                          <w:spacing w:line="202" w:lineRule="exact"/>
                          <w:ind w:left="77" w:right="41"/>
                          <w:jc w:val="center"/>
                          <w:rPr>
                            <w:sz w:val="18"/>
                          </w:rPr>
                        </w:pPr>
                        <w:r>
                          <w:rPr>
                            <w:color w:val="010101"/>
                            <w:sz w:val="18"/>
                          </w:rPr>
                          <w:t>941,916</w:t>
                        </w:r>
                      </w:p>
                    </w:tc>
                    <w:tc>
                      <w:tcPr>
                        <w:tcW w:w="992" w:type="dxa"/>
                        <w:tcBorders>
                          <w:top w:val="nil"/>
                          <w:bottom w:val="nil"/>
                        </w:tcBorders>
                      </w:tcPr>
                      <w:p>
                        <w:pPr>
                          <w:pStyle w:val="TableParagraph"/>
                          <w:spacing w:line="199" w:lineRule="exact"/>
                          <w:ind w:left="222" w:right="-17"/>
                          <w:rPr>
                            <w:sz w:val="18"/>
                          </w:rPr>
                        </w:pPr>
                        <w:r>
                          <w:rPr>
                            <w:color w:val="010101"/>
                            <w:spacing w:val="-13"/>
                            <w:sz w:val="18"/>
                          </w:rPr>
                          <w:t>940,202</w:t>
                        </w:r>
                      </w:p>
                    </w:tc>
                    <w:tc>
                      <w:tcPr>
                        <w:tcW w:w="978" w:type="dxa"/>
                        <w:tcBorders>
                          <w:top w:val="nil"/>
                          <w:bottom w:val="nil"/>
                          <w:right w:val="nil"/>
                        </w:tcBorders>
                      </w:tcPr>
                      <w:p>
                        <w:pPr>
                          <w:pStyle w:val="TableParagraph"/>
                          <w:spacing w:line="192" w:lineRule="exact"/>
                          <w:ind w:left="250" w:right="196"/>
                          <w:jc w:val="center"/>
                          <w:rPr>
                            <w:b/>
                            <w:sz w:val="18"/>
                          </w:rPr>
                        </w:pPr>
                        <w:r>
                          <w:rPr>
                            <w:b/>
                            <w:color w:val="010101"/>
                            <w:sz w:val="18"/>
                          </w:rPr>
                          <w:t>24</w:t>
                        </w:r>
                      </w:p>
                    </w:tc>
                  </w:tr>
                  <w:tr>
                    <w:trPr>
                      <w:trHeight w:val="205" w:hRule="exact"/>
                    </w:trPr>
                    <w:tc>
                      <w:tcPr>
                        <w:tcW w:w="774" w:type="dxa"/>
                        <w:tcBorders>
                          <w:top w:val="nil"/>
                          <w:left w:val="nil"/>
                          <w:bottom w:val="nil"/>
                        </w:tcBorders>
                      </w:tcPr>
                      <w:p>
                        <w:pPr>
                          <w:pStyle w:val="TableParagraph"/>
                          <w:spacing w:line="188" w:lineRule="exact"/>
                          <w:ind w:left="308"/>
                          <w:rPr>
                            <w:sz w:val="18"/>
                          </w:rPr>
                        </w:pPr>
                        <w:r>
                          <w:rPr>
                            <w:color w:val="010101"/>
                            <w:sz w:val="18"/>
                          </w:rPr>
                          <w:t>22</w:t>
                        </w:r>
                      </w:p>
                    </w:tc>
                    <w:tc>
                      <w:tcPr>
                        <w:tcW w:w="995" w:type="dxa"/>
                        <w:tcBorders>
                          <w:top w:val="nil"/>
                          <w:bottom w:val="nil"/>
                        </w:tcBorders>
                      </w:tcPr>
                      <w:p>
                        <w:pPr>
                          <w:pStyle w:val="TableParagraph"/>
                          <w:spacing w:line="192" w:lineRule="exact"/>
                          <w:ind w:left="212" w:right="-15"/>
                          <w:rPr>
                            <w:b/>
                            <w:sz w:val="18"/>
                          </w:rPr>
                        </w:pPr>
                        <w:r>
                          <w:rPr>
                            <w:b/>
                            <w:color w:val="010101"/>
                            <w:w w:val="85"/>
                            <w:sz w:val="18"/>
                          </w:rPr>
                          <w:t>942,944</w:t>
                        </w:r>
                      </w:p>
                    </w:tc>
                    <w:tc>
                      <w:tcPr>
                        <w:tcW w:w="992" w:type="dxa"/>
                        <w:tcBorders>
                          <w:top w:val="nil"/>
                          <w:bottom w:val="nil"/>
                        </w:tcBorders>
                      </w:tcPr>
                      <w:p>
                        <w:pPr>
                          <w:pStyle w:val="TableParagraph"/>
                          <w:spacing w:line="195" w:lineRule="exact"/>
                          <w:ind w:left="218" w:right="-17"/>
                          <w:rPr>
                            <w:sz w:val="18"/>
                          </w:rPr>
                        </w:pPr>
                        <w:r>
                          <w:rPr>
                            <w:color w:val="010101"/>
                            <w:sz w:val="18"/>
                          </w:rPr>
                          <w:t>941,652</w:t>
                        </w:r>
                      </w:p>
                    </w:tc>
                    <w:tc>
                      <w:tcPr>
                        <w:tcW w:w="992" w:type="dxa"/>
                        <w:tcBorders>
                          <w:top w:val="nil"/>
                          <w:bottom w:val="nil"/>
                        </w:tcBorders>
                      </w:tcPr>
                      <w:p>
                        <w:pPr>
                          <w:pStyle w:val="TableParagraph"/>
                          <w:spacing w:before="2"/>
                          <w:ind w:left="81" w:right="41"/>
                          <w:jc w:val="center"/>
                          <w:rPr>
                            <w:sz w:val="18"/>
                          </w:rPr>
                        </w:pPr>
                        <w:r>
                          <w:rPr>
                            <w:color w:val="010101"/>
                            <w:sz w:val="18"/>
                          </w:rPr>
                          <w:t>940,108</w:t>
                        </w:r>
                      </w:p>
                    </w:tc>
                    <w:tc>
                      <w:tcPr>
                        <w:tcW w:w="992" w:type="dxa"/>
                        <w:tcBorders>
                          <w:top w:val="nil"/>
                          <w:bottom w:val="nil"/>
                        </w:tcBorders>
                      </w:tcPr>
                      <w:p>
                        <w:pPr>
                          <w:pStyle w:val="TableParagraph"/>
                          <w:spacing w:before="2"/>
                          <w:ind w:left="218" w:right="-17"/>
                          <w:rPr>
                            <w:sz w:val="18"/>
                          </w:rPr>
                        </w:pPr>
                        <w:r>
                          <w:rPr>
                            <w:color w:val="010101"/>
                            <w:sz w:val="18"/>
                          </w:rPr>
                          <w:t>938,359</w:t>
                        </w:r>
                      </w:p>
                    </w:tc>
                    <w:tc>
                      <w:tcPr>
                        <w:tcW w:w="978" w:type="dxa"/>
                        <w:tcBorders>
                          <w:top w:val="nil"/>
                          <w:bottom w:val="nil"/>
                          <w:right w:val="nil"/>
                        </w:tcBorders>
                      </w:tcPr>
                      <w:p>
                        <w:pPr>
                          <w:pStyle w:val="TableParagraph"/>
                          <w:spacing w:line="182" w:lineRule="exact"/>
                          <w:ind w:left="232" w:right="196"/>
                          <w:jc w:val="center"/>
                          <w:rPr>
                            <w:rFonts w:ascii="Arial"/>
                            <w:sz w:val="16"/>
                          </w:rPr>
                        </w:pPr>
                        <w:r>
                          <w:rPr>
                            <w:rFonts w:ascii="Arial"/>
                            <w:color w:val="010101"/>
                            <w:sz w:val="16"/>
                          </w:rPr>
                          <w:t>25</w:t>
                        </w:r>
                      </w:p>
                    </w:tc>
                  </w:tr>
                  <w:tr>
                    <w:trPr>
                      <w:trHeight w:val="194" w:hRule="exact"/>
                    </w:trPr>
                    <w:tc>
                      <w:tcPr>
                        <w:tcW w:w="774" w:type="dxa"/>
                        <w:tcBorders>
                          <w:top w:val="nil"/>
                          <w:left w:val="nil"/>
                          <w:bottom w:val="nil"/>
                        </w:tcBorders>
                      </w:tcPr>
                      <w:p>
                        <w:pPr>
                          <w:pStyle w:val="TableParagraph"/>
                          <w:spacing w:line="192" w:lineRule="exact"/>
                          <w:ind w:left="308"/>
                          <w:rPr>
                            <w:sz w:val="18"/>
                          </w:rPr>
                        </w:pPr>
                        <w:r>
                          <w:rPr>
                            <w:color w:val="010101"/>
                            <w:w w:val="90"/>
                            <w:sz w:val="18"/>
                          </w:rPr>
                          <w:t>23</w:t>
                        </w:r>
                      </w:p>
                    </w:tc>
                    <w:tc>
                      <w:tcPr>
                        <w:tcW w:w="995" w:type="dxa"/>
                        <w:tcBorders>
                          <w:top w:val="nil"/>
                          <w:bottom w:val="nil"/>
                        </w:tcBorders>
                      </w:tcPr>
                      <w:p>
                        <w:pPr>
                          <w:pStyle w:val="TableParagraph"/>
                          <w:spacing w:line="169" w:lineRule="exact"/>
                          <w:ind w:left="216" w:right="-15"/>
                          <w:rPr>
                            <w:rFonts w:ascii="Times New Roman"/>
                            <w:b/>
                            <w:sz w:val="16"/>
                          </w:rPr>
                        </w:pPr>
                        <w:r>
                          <w:rPr>
                            <w:rFonts w:ascii="Times New Roman"/>
                            <w:b/>
                            <w:color w:val="010101"/>
                            <w:w w:val="105"/>
                            <w:sz w:val="16"/>
                          </w:rPr>
                          <w:t>941 ,143</w:t>
                        </w:r>
                      </w:p>
                    </w:tc>
                    <w:tc>
                      <w:tcPr>
                        <w:tcW w:w="992" w:type="dxa"/>
                        <w:tcBorders>
                          <w:top w:val="nil"/>
                          <w:bottom w:val="nil"/>
                        </w:tcBorders>
                      </w:tcPr>
                      <w:p>
                        <w:pPr>
                          <w:pStyle w:val="TableParagraph"/>
                          <w:spacing w:line="192" w:lineRule="exact"/>
                          <w:ind w:left="218" w:right="-17"/>
                          <w:rPr>
                            <w:sz w:val="18"/>
                          </w:rPr>
                        </w:pPr>
                        <w:r>
                          <w:rPr>
                            <w:color w:val="010101"/>
                            <w:sz w:val="18"/>
                          </w:rPr>
                          <w:t>939,835</w:t>
                        </w:r>
                      </w:p>
                    </w:tc>
                    <w:tc>
                      <w:tcPr>
                        <w:tcW w:w="992" w:type="dxa"/>
                        <w:tcBorders>
                          <w:top w:val="nil"/>
                          <w:bottom w:val="nil"/>
                        </w:tcBorders>
                      </w:tcPr>
                      <w:p>
                        <w:pPr>
                          <w:pStyle w:val="TableParagraph"/>
                          <w:spacing w:line="182" w:lineRule="exact"/>
                          <w:ind w:left="60" w:right="41"/>
                          <w:jc w:val="center"/>
                          <w:rPr>
                            <w:rFonts w:ascii="Times New Roman"/>
                            <w:b/>
                            <w:sz w:val="17"/>
                          </w:rPr>
                        </w:pPr>
                        <w:r>
                          <w:rPr>
                            <w:rFonts w:ascii="Times New Roman"/>
                            <w:b/>
                            <w:color w:val="010101"/>
                            <w:sz w:val="17"/>
                          </w:rPr>
                          <w:t>938,265</w:t>
                        </w:r>
                      </w:p>
                    </w:tc>
                    <w:tc>
                      <w:tcPr>
                        <w:tcW w:w="992" w:type="dxa"/>
                        <w:tcBorders>
                          <w:top w:val="nil"/>
                          <w:bottom w:val="nil"/>
                        </w:tcBorders>
                      </w:tcPr>
                      <w:p>
                        <w:pPr>
                          <w:pStyle w:val="TableParagraph"/>
                          <w:spacing w:line="195" w:lineRule="exact"/>
                          <w:ind w:left="218" w:right="-17"/>
                          <w:rPr>
                            <w:sz w:val="18"/>
                          </w:rPr>
                        </w:pPr>
                        <w:r>
                          <w:rPr>
                            <w:color w:val="010101"/>
                            <w:sz w:val="18"/>
                          </w:rPr>
                          <w:t>936,482</w:t>
                        </w:r>
                      </w:p>
                    </w:tc>
                    <w:tc>
                      <w:tcPr>
                        <w:tcW w:w="978" w:type="dxa"/>
                        <w:tcBorders>
                          <w:top w:val="nil"/>
                          <w:bottom w:val="nil"/>
                          <w:right w:val="nil"/>
                        </w:tcBorders>
                      </w:tcPr>
                      <w:p>
                        <w:pPr>
                          <w:pStyle w:val="TableParagraph"/>
                          <w:spacing w:line="195" w:lineRule="exact"/>
                          <w:ind w:left="247" w:right="196"/>
                          <w:jc w:val="center"/>
                          <w:rPr>
                            <w:sz w:val="18"/>
                          </w:rPr>
                        </w:pPr>
                        <w:r>
                          <w:rPr>
                            <w:color w:val="010101"/>
                            <w:w w:val="95"/>
                            <w:sz w:val="18"/>
                          </w:rPr>
                          <w:t>26</w:t>
                        </w:r>
                      </w:p>
                    </w:tc>
                  </w:tr>
                  <w:tr>
                    <w:trPr>
                      <w:trHeight w:val="205" w:hRule="exact"/>
                    </w:trPr>
                    <w:tc>
                      <w:tcPr>
                        <w:tcW w:w="774" w:type="dxa"/>
                        <w:tcBorders>
                          <w:top w:val="nil"/>
                          <w:left w:val="nil"/>
                          <w:bottom w:val="nil"/>
                        </w:tcBorders>
                      </w:tcPr>
                      <w:p>
                        <w:pPr>
                          <w:pStyle w:val="TableParagraph"/>
                          <w:spacing w:line="192" w:lineRule="exact"/>
                          <w:ind w:left="308"/>
                          <w:rPr>
                            <w:sz w:val="18"/>
                          </w:rPr>
                        </w:pPr>
                        <w:r>
                          <w:rPr>
                            <w:color w:val="010101"/>
                            <w:sz w:val="18"/>
                          </w:rPr>
                          <w:t>24</w:t>
                        </w:r>
                      </w:p>
                    </w:tc>
                    <w:tc>
                      <w:tcPr>
                        <w:tcW w:w="995" w:type="dxa"/>
                        <w:tcBorders>
                          <w:top w:val="nil"/>
                          <w:bottom w:val="nil"/>
                        </w:tcBorders>
                      </w:tcPr>
                      <w:p>
                        <w:pPr>
                          <w:pStyle w:val="TableParagraph"/>
                          <w:spacing w:line="199" w:lineRule="exact"/>
                          <w:ind w:left="212" w:right="-8"/>
                          <w:rPr>
                            <w:sz w:val="18"/>
                          </w:rPr>
                        </w:pPr>
                        <w:r>
                          <w:rPr>
                            <w:color w:val="010101"/>
                            <w:sz w:val="18"/>
                          </w:rPr>
                          <w:t>939,279</w:t>
                        </w:r>
                      </w:p>
                    </w:tc>
                    <w:tc>
                      <w:tcPr>
                        <w:tcW w:w="992" w:type="dxa"/>
                        <w:tcBorders>
                          <w:top w:val="nil"/>
                          <w:bottom w:val="nil"/>
                        </w:tcBorders>
                      </w:tcPr>
                      <w:p>
                        <w:pPr>
                          <w:pStyle w:val="TableParagraph"/>
                          <w:spacing w:line="195" w:lineRule="exact"/>
                          <w:ind w:left="218" w:right="-17"/>
                          <w:rPr>
                            <w:sz w:val="18"/>
                          </w:rPr>
                        </w:pPr>
                        <w:r>
                          <w:rPr>
                            <w:color w:val="010101"/>
                            <w:sz w:val="18"/>
                          </w:rPr>
                          <w:t>937,964</w:t>
                        </w:r>
                      </w:p>
                    </w:tc>
                    <w:tc>
                      <w:tcPr>
                        <w:tcW w:w="992" w:type="dxa"/>
                        <w:tcBorders>
                          <w:top w:val="nil"/>
                          <w:bottom w:val="nil"/>
                        </w:tcBorders>
                      </w:tcPr>
                      <w:p>
                        <w:pPr>
                          <w:pStyle w:val="TableParagraph"/>
                          <w:spacing w:before="2"/>
                          <w:ind w:left="95" w:right="41"/>
                          <w:jc w:val="center"/>
                          <w:rPr>
                            <w:sz w:val="18"/>
                          </w:rPr>
                        </w:pPr>
                        <w:r>
                          <w:rPr>
                            <w:color w:val="010101"/>
                            <w:sz w:val="18"/>
                          </w:rPr>
                          <w:t>936,379</w:t>
                        </w:r>
                      </w:p>
                    </w:tc>
                    <w:tc>
                      <w:tcPr>
                        <w:tcW w:w="992" w:type="dxa"/>
                        <w:tcBorders>
                          <w:top w:val="nil"/>
                          <w:bottom w:val="nil"/>
                        </w:tcBorders>
                      </w:tcPr>
                      <w:p>
                        <w:pPr>
                          <w:pStyle w:val="TableParagraph"/>
                          <w:spacing w:line="202" w:lineRule="exact"/>
                          <w:ind w:left="222" w:right="-17"/>
                          <w:rPr>
                            <w:sz w:val="18"/>
                          </w:rPr>
                        </w:pPr>
                        <w:r>
                          <w:rPr>
                            <w:color w:val="010101"/>
                            <w:spacing w:val="-13"/>
                            <w:sz w:val="18"/>
                          </w:rPr>
                          <w:t>934,572</w:t>
                        </w:r>
                      </w:p>
                    </w:tc>
                    <w:tc>
                      <w:tcPr>
                        <w:tcW w:w="978" w:type="dxa"/>
                        <w:tcBorders>
                          <w:top w:val="nil"/>
                          <w:bottom w:val="nil"/>
                          <w:right w:val="nil"/>
                        </w:tcBorders>
                      </w:tcPr>
                      <w:p>
                        <w:pPr>
                          <w:pStyle w:val="TableParagraph"/>
                          <w:spacing w:line="199" w:lineRule="exact"/>
                          <w:ind w:left="248" w:right="196"/>
                          <w:jc w:val="center"/>
                          <w:rPr>
                            <w:sz w:val="18"/>
                          </w:rPr>
                        </w:pPr>
                        <w:r>
                          <w:rPr>
                            <w:color w:val="010101"/>
                            <w:w w:val="90"/>
                            <w:sz w:val="18"/>
                          </w:rPr>
                          <w:t>27</w:t>
                        </w:r>
                      </w:p>
                    </w:tc>
                  </w:tr>
                  <w:tr>
                    <w:trPr>
                      <w:trHeight w:val="201" w:hRule="exact"/>
                    </w:trPr>
                    <w:tc>
                      <w:tcPr>
                        <w:tcW w:w="774" w:type="dxa"/>
                        <w:tcBorders>
                          <w:top w:val="nil"/>
                          <w:left w:val="nil"/>
                          <w:bottom w:val="nil"/>
                        </w:tcBorders>
                      </w:tcPr>
                      <w:p>
                        <w:pPr>
                          <w:pStyle w:val="TableParagraph"/>
                          <w:spacing w:line="171" w:lineRule="exact"/>
                          <w:ind w:left="308"/>
                          <w:rPr>
                            <w:rFonts w:ascii="Arial"/>
                            <w:sz w:val="16"/>
                          </w:rPr>
                        </w:pPr>
                        <w:r>
                          <w:rPr>
                            <w:rFonts w:ascii="Arial"/>
                            <w:color w:val="010101"/>
                            <w:sz w:val="16"/>
                          </w:rPr>
                          <w:t>25</w:t>
                        </w:r>
                      </w:p>
                    </w:tc>
                    <w:tc>
                      <w:tcPr>
                        <w:tcW w:w="995" w:type="dxa"/>
                        <w:tcBorders>
                          <w:top w:val="nil"/>
                          <w:bottom w:val="nil"/>
                        </w:tcBorders>
                      </w:tcPr>
                      <w:p>
                        <w:pPr>
                          <w:pStyle w:val="TableParagraph"/>
                          <w:spacing w:line="195" w:lineRule="exact"/>
                          <w:ind w:left="212" w:right="-8"/>
                          <w:rPr>
                            <w:sz w:val="18"/>
                          </w:rPr>
                        </w:pPr>
                        <w:r>
                          <w:rPr>
                            <w:color w:val="010101"/>
                            <w:sz w:val="18"/>
                          </w:rPr>
                          <w:t>937,373</w:t>
                        </w:r>
                      </w:p>
                    </w:tc>
                    <w:tc>
                      <w:tcPr>
                        <w:tcW w:w="992" w:type="dxa"/>
                        <w:tcBorders>
                          <w:top w:val="nil"/>
                          <w:bottom w:val="nil"/>
                        </w:tcBorders>
                      </w:tcPr>
                      <w:p>
                        <w:pPr>
                          <w:pStyle w:val="TableParagraph"/>
                          <w:spacing w:line="192" w:lineRule="exact"/>
                          <w:ind w:left="218" w:right="-17"/>
                          <w:rPr>
                            <w:sz w:val="18"/>
                          </w:rPr>
                        </w:pPr>
                        <w:r>
                          <w:rPr>
                            <w:color w:val="010101"/>
                            <w:w w:val="95"/>
                            <w:sz w:val="18"/>
                          </w:rPr>
                          <w:t>936,061</w:t>
                        </w:r>
                      </w:p>
                    </w:tc>
                    <w:tc>
                      <w:tcPr>
                        <w:tcW w:w="992" w:type="dxa"/>
                        <w:tcBorders>
                          <w:top w:val="nil"/>
                          <w:bottom w:val="nil"/>
                        </w:tcBorders>
                      </w:tcPr>
                      <w:p>
                        <w:pPr>
                          <w:pStyle w:val="TableParagraph"/>
                          <w:spacing w:line="202" w:lineRule="exact"/>
                          <w:ind w:left="102" w:right="30"/>
                          <w:jc w:val="center"/>
                          <w:rPr>
                            <w:sz w:val="18"/>
                          </w:rPr>
                        </w:pPr>
                        <w:r>
                          <w:rPr>
                            <w:color w:val="010101"/>
                            <w:sz w:val="18"/>
                          </w:rPr>
                          <w:t>934,460</w:t>
                        </w:r>
                      </w:p>
                    </w:tc>
                    <w:tc>
                      <w:tcPr>
                        <w:tcW w:w="992" w:type="dxa"/>
                        <w:tcBorders>
                          <w:top w:val="nil"/>
                          <w:bottom w:val="nil"/>
                        </w:tcBorders>
                      </w:tcPr>
                      <w:p>
                        <w:pPr>
                          <w:pStyle w:val="TableParagraph"/>
                          <w:spacing w:line="199" w:lineRule="exact"/>
                          <w:ind w:left="222" w:right="-17"/>
                          <w:rPr>
                            <w:sz w:val="18"/>
                          </w:rPr>
                        </w:pPr>
                        <w:r>
                          <w:rPr>
                            <w:color w:val="010101"/>
                            <w:spacing w:val="-21"/>
                            <w:sz w:val="18"/>
                          </w:rPr>
                          <w:t>932,628</w:t>
                        </w:r>
                      </w:p>
                    </w:tc>
                    <w:tc>
                      <w:tcPr>
                        <w:tcW w:w="978" w:type="dxa"/>
                        <w:tcBorders>
                          <w:top w:val="nil"/>
                          <w:bottom w:val="nil"/>
                          <w:right w:val="nil"/>
                        </w:tcBorders>
                      </w:tcPr>
                      <w:p>
                        <w:pPr>
                          <w:pStyle w:val="TableParagraph"/>
                          <w:spacing w:line="199" w:lineRule="exact"/>
                          <w:ind w:left="247" w:right="196"/>
                          <w:jc w:val="center"/>
                          <w:rPr>
                            <w:sz w:val="18"/>
                          </w:rPr>
                        </w:pPr>
                        <w:r>
                          <w:rPr>
                            <w:color w:val="010101"/>
                            <w:w w:val="95"/>
                            <w:sz w:val="18"/>
                          </w:rPr>
                          <w:t>28</w:t>
                        </w:r>
                      </w:p>
                    </w:tc>
                  </w:tr>
                  <w:tr>
                    <w:trPr>
                      <w:trHeight w:val="201" w:hRule="exact"/>
                    </w:trPr>
                    <w:tc>
                      <w:tcPr>
                        <w:tcW w:w="774" w:type="dxa"/>
                        <w:tcBorders>
                          <w:top w:val="nil"/>
                          <w:left w:val="nil"/>
                          <w:bottom w:val="nil"/>
                        </w:tcBorders>
                      </w:tcPr>
                      <w:p>
                        <w:pPr>
                          <w:pStyle w:val="TableParagraph"/>
                          <w:spacing w:line="192" w:lineRule="exact"/>
                          <w:ind w:left="308"/>
                          <w:rPr>
                            <w:sz w:val="18"/>
                          </w:rPr>
                        </w:pPr>
                        <w:r>
                          <w:rPr>
                            <w:color w:val="010101"/>
                            <w:w w:val="105"/>
                            <w:sz w:val="18"/>
                          </w:rPr>
                          <w:t>26</w:t>
                        </w:r>
                      </w:p>
                    </w:tc>
                    <w:tc>
                      <w:tcPr>
                        <w:tcW w:w="995" w:type="dxa"/>
                        <w:tcBorders>
                          <w:top w:val="nil"/>
                          <w:bottom w:val="nil"/>
                        </w:tcBorders>
                      </w:tcPr>
                      <w:p>
                        <w:pPr>
                          <w:pStyle w:val="TableParagraph"/>
                          <w:spacing w:line="192" w:lineRule="exact"/>
                          <w:ind w:left="212" w:right="-8"/>
                          <w:rPr>
                            <w:sz w:val="18"/>
                          </w:rPr>
                        </w:pPr>
                        <w:r>
                          <w:rPr>
                            <w:color w:val="010101"/>
                            <w:sz w:val="18"/>
                          </w:rPr>
                          <w:t>935,433</w:t>
                        </w:r>
                      </w:p>
                    </w:tc>
                    <w:tc>
                      <w:tcPr>
                        <w:tcW w:w="992" w:type="dxa"/>
                        <w:tcBorders>
                          <w:top w:val="nil"/>
                          <w:bottom w:val="nil"/>
                        </w:tcBorders>
                      </w:tcPr>
                      <w:p>
                        <w:pPr>
                          <w:pStyle w:val="TableParagraph"/>
                          <w:spacing w:line="192" w:lineRule="exact"/>
                          <w:ind w:left="218" w:right="-17"/>
                          <w:rPr>
                            <w:sz w:val="18"/>
                          </w:rPr>
                        </w:pPr>
                        <w:r>
                          <w:rPr>
                            <w:color w:val="010101"/>
                            <w:w w:val="95"/>
                            <w:sz w:val="18"/>
                          </w:rPr>
                          <w:t>934,123</w:t>
                        </w:r>
                      </w:p>
                    </w:tc>
                    <w:tc>
                      <w:tcPr>
                        <w:tcW w:w="992" w:type="dxa"/>
                        <w:tcBorders>
                          <w:top w:val="nil"/>
                          <w:bottom w:val="nil"/>
                        </w:tcBorders>
                      </w:tcPr>
                      <w:p>
                        <w:pPr>
                          <w:pStyle w:val="TableParagraph"/>
                          <w:spacing w:line="202" w:lineRule="exact"/>
                          <w:ind w:left="76" w:right="41"/>
                          <w:jc w:val="center"/>
                          <w:rPr>
                            <w:sz w:val="18"/>
                          </w:rPr>
                        </w:pPr>
                        <w:r>
                          <w:rPr>
                            <w:color w:val="010101"/>
                            <w:w w:val="95"/>
                            <w:sz w:val="18"/>
                          </w:rPr>
                          <w:t>932,507</w:t>
                        </w:r>
                      </w:p>
                    </w:tc>
                    <w:tc>
                      <w:tcPr>
                        <w:tcW w:w="992" w:type="dxa"/>
                        <w:tcBorders>
                          <w:top w:val="nil"/>
                          <w:bottom w:val="nil"/>
                        </w:tcBorders>
                      </w:tcPr>
                      <w:p>
                        <w:pPr>
                          <w:pStyle w:val="TableParagraph"/>
                          <w:spacing w:line="199" w:lineRule="exact"/>
                          <w:ind w:left="218" w:right="-17"/>
                          <w:rPr>
                            <w:sz w:val="18"/>
                          </w:rPr>
                        </w:pPr>
                        <w:r>
                          <w:rPr>
                            <w:color w:val="010101"/>
                            <w:sz w:val="18"/>
                          </w:rPr>
                          <w:t>930,651</w:t>
                        </w:r>
                      </w:p>
                    </w:tc>
                    <w:tc>
                      <w:tcPr>
                        <w:tcW w:w="978" w:type="dxa"/>
                        <w:tcBorders>
                          <w:top w:val="nil"/>
                          <w:bottom w:val="nil"/>
                          <w:right w:val="nil"/>
                        </w:tcBorders>
                      </w:tcPr>
                      <w:p>
                        <w:pPr>
                          <w:pStyle w:val="TableParagraph"/>
                          <w:spacing w:line="182" w:lineRule="exact"/>
                          <w:ind w:left="226" w:right="196"/>
                          <w:jc w:val="center"/>
                          <w:rPr>
                            <w:rFonts w:ascii="Times New Roman"/>
                            <w:sz w:val="17"/>
                          </w:rPr>
                        </w:pPr>
                        <w:r>
                          <w:rPr>
                            <w:rFonts w:ascii="Times New Roman"/>
                            <w:color w:val="010101"/>
                            <w:sz w:val="17"/>
                          </w:rPr>
                          <w:t>29</w:t>
                        </w:r>
                      </w:p>
                    </w:tc>
                  </w:tr>
                  <w:tr>
                    <w:trPr>
                      <w:trHeight w:val="200" w:hRule="exact"/>
                    </w:trPr>
                    <w:tc>
                      <w:tcPr>
                        <w:tcW w:w="774" w:type="dxa"/>
                        <w:tcBorders>
                          <w:top w:val="nil"/>
                          <w:left w:val="nil"/>
                          <w:bottom w:val="nil"/>
                        </w:tcBorders>
                      </w:tcPr>
                      <w:p>
                        <w:pPr>
                          <w:pStyle w:val="TableParagraph"/>
                          <w:spacing w:line="192" w:lineRule="exact"/>
                          <w:ind w:left="308"/>
                          <w:rPr>
                            <w:sz w:val="18"/>
                          </w:rPr>
                        </w:pPr>
                        <w:r>
                          <w:rPr>
                            <w:color w:val="010101"/>
                            <w:w w:val="90"/>
                            <w:sz w:val="18"/>
                          </w:rPr>
                          <w:t>27</w:t>
                        </w:r>
                      </w:p>
                    </w:tc>
                    <w:tc>
                      <w:tcPr>
                        <w:tcW w:w="995" w:type="dxa"/>
                        <w:tcBorders>
                          <w:top w:val="nil"/>
                          <w:bottom w:val="nil"/>
                        </w:tcBorders>
                      </w:tcPr>
                      <w:p>
                        <w:pPr>
                          <w:pStyle w:val="TableParagraph"/>
                          <w:spacing w:line="195" w:lineRule="exact"/>
                          <w:ind w:left="212" w:right="-8"/>
                          <w:rPr>
                            <w:sz w:val="18"/>
                          </w:rPr>
                        </w:pPr>
                        <w:r>
                          <w:rPr>
                            <w:color w:val="010101"/>
                            <w:sz w:val="18"/>
                          </w:rPr>
                          <w:t>933,467</w:t>
                        </w:r>
                      </w:p>
                    </w:tc>
                    <w:tc>
                      <w:tcPr>
                        <w:tcW w:w="992" w:type="dxa"/>
                        <w:tcBorders>
                          <w:top w:val="nil"/>
                          <w:bottom w:val="nil"/>
                        </w:tcBorders>
                      </w:tcPr>
                      <w:p>
                        <w:pPr>
                          <w:pStyle w:val="TableParagraph"/>
                          <w:spacing w:line="192" w:lineRule="exact"/>
                          <w:ind w:left="211" w:right="-17"/>
                          <w:rPr>
                            <w:sz w:val="18"/>
                          </w:rPr>
                        </w:pPr>
                        <w:r>
                          <w:rPr>
                            <w:color w:val="010101"/>
                            <w:w w:val="95"/>
                            <w:sz w:val="18"/>
                          </w:rPr>
                          <w:t>932,151</w:t>
                        </w:r>
                      </w:p>
                    </w:tc>
                    <w:tc>
                      <w:tcPr>
                        <w:tcW w:w="992" w:type="dxa"/>
                        <w:tcBorders>
                          <w:top w:val="nil"/>
                          <w:bottom w:val="nil"/>
                        </w:tcBorders>
                      </w:tcPr>
                      <w:p>
                        <w:pPr>
                          <w:pStyle w:val="TableParagraph"/>
                          <w:spacing w:line="199" w:lineRule="exact"/>
                          <w:ind w:left="102" w:right="41"/>
                          <w:jc w:val="center"/>
                          <w:rPr>
                            <w:sz w:val="18"/>
                          </w:rPr>
                        </w:pPr>
                        <w:r>
                          <w:rPr>
                            <w:color w:val="010101"/>
                            <w:w w:val="105"/>
                            <w:sz w:val="18"/>
                          </w:rPr>
                          <w:t>930,520</w:t>
                        </w:r>
                      </w:p>
                    </w:tc>
                    <w:tc>
                      <w:tcPr>
                        <w:tcW w:w="992" w:type="dxa"/>
                        <w:tcBorders>
                          <w:top w:val="nil"/>
                          <w:bottom w:val="nil"/>
                        </w:tcBorders>
                      </w:tcPr>
                      <w:p>
                        <w:pPr>
                          <w:pStyle w:val="TableParagraph"/>
                          <w:spacing w:line="199" w:lineRule="exact"/>
                          <w:ind w:left="222" w:right="-17"/>
                          <w:rPr>
                            <w:sz w:val="18"/>
                          </w:rPr>
                        </w:pPr>
                        <w:r>
                          <w:rPr>
                            <w:color w:val="010101"/>
                            <w:w w:val="90"/>
                            <w:sz w:val="18"/>
                          </w:rPr>
                          <w:t>928,631</w:t>
                        </w:r>
                      </w:p>
                    </w:tc>
                    <w:tc>
                      <w:tcPr>
                        <w:tcW w:w="978" w:type="dxa"/>
                        <w:tcBorders>
                          <w:top w:val="nil"/>
                          <w:bottom w:val="nil"/>
                          <w:right w:val="nil"/>
                        </w:tcBorders>
                      </w:tcPr>
                      <w:p>
                        <w:pPr>
                          <w:pStyle w:val="TableParagraph"/>
                          <w:spacing w:line="199" w:lineRule="exact"/>
                          <w:ind w:left="251" w:right="176"/>
                          <w:jc w:val="center"/>
                          <w:rPr>
                            <w:sz w:val="18"/>
                          </w:rPr>
                        </w:pPr>
                        <w:r>
                          <w:rPr>
                            <w:color w:val="010101"/>
                            <w:w w:val="105"/>
                            <w:sz w:val="18"/>
                          </w:rPr>
                          <w:t>30</w:t>
                        </w:r>
                      </w:p>
                    </w:tc>
                  </w:tr>
                  <w:tr>
                    <w:trPr>
                      <w:trHeight w:val="203" w:hRule="exact"/>
                    </w:trPr>
                    <w:tc>
                      <w:tcPr>
                        <w:tcW w:w="774" w:type="dxa"/>
                        <w:tcBorders>
                          <w:top w:val="nil"/>
                          <w:left w:val="nil"/>
                          <w:bottom w:val="nil"/>
                        </w:tcBorders>
                      </w:tcPr>
                      <w:p>
                        <w:pPr>
                          <w:pStyle w:val="TableParagraph"/>
                          <w:spacing w:line="197" w:lineRule="exact"/>
                          <w:ind w:left="305"/>
                          <w:rPr>
                            <w:sz w:val="18"/>
                          </w:rPr>
                        </w:pPr>
                        <w:r>
                          <w:rPr>
                            <w:color w:val="010101"/>
                            <w:w w:val="95"/>
                            <w:sz w:val="18"/>
                          </w:rPr>
                          <w:t>28</w:t>
                        </w:r>
                      </w:p>
                    </w:tc>
                    <w:tc>
                      <w:tcPr>
                        <w:tcW w:w="995" w:type="dxa"/>
                        <w:tcBorders>
                          <w:top w:val="nil"/>
                          <w:bottom w:val="nil"/>
                        </w:tcBorders>
                      </w:tcPr>
                      <w:p>
                        <w:pPr>
                          <w:pStyle w:val="TableParagraph"/>
                          <w:spacing w:line="197" w:lineRule="exact"/>
                          <w:ind w:left="212" w:right="-8"/>
                          <w:rPr>
                            <w:sz w:val="18"/>
                          </w:rPr>
                        </w:pPr>
                        <w:r>
                          <w:rPr>
                            <w:color w:val="010101"/>
                            <w:sz w:val="18"/>
                          </w:rPr>
                          <w:t>931,488</w:t>
                        </w:r>
                      </w:p>
                    </w:tc>
                    <w:tc>
                      <w:tcPr>
                        <w:tcW w:w="992" w:type="dxa"/>
                        <w:tcBorders>
                          <w:top w:val="nil"/>
                          <w:bottom w:val="nil"/>
                        </w:tcBorders>
                      </w:tcPr>
                      <w:p>
                        <w:pPr>
                          <w:pStyle w:val="TableParagraph"/>
                          <w:spacing w:line="193" w:lineRule="exact"/>
                          <w:ind w:left="215" w:right="-17"/>
                          <w:rPr>
                            <w:sz w:val="18"/>
                          </w:rPr>
                        </w:pPr>
                        <w:r>
                          <w:rPr>
                            <w:color w:val="010101"/>
                            <w:w w:val="95"/>
                            <w:sz w:val="18"/>
                          </w:rPr>
                          <w:t>930,156</w:t>
                        </w:r>
                      </w:p>
                    </w:tc>
                    <w:tc>
                      <w:tcPr>
                        <w:tcW w:w="992" w:type="dxa"/>
                        <w:tcBorders>
                          <w:top w:val="nil"/>
                          <w:bottom w:val="nil"/>
                        </w:tcBorders>
                      </w:tcPr>
                      <w:p>
                        <w:pPr>
                          <w:pStyle w:val="TableParagraph"/>
                          <w:spacing w:line="201" w:lineRule="exact"/>
                          <w:ind w:left="72" w:right="41"/>
                          <w:jc w:val="center"/>
                          <w:rPr>
                            <w:sz w:val="18"/>
                          </w:rPr>
                        </w:pPr>
                        <w:r>
                          <w:rPr>
                            <w:color w:val="010101"/>
                            <w:sz w:val="18"/>
                          </w:rPr>
                          <w:t>928,491</w:t>
                        </w:r>
                      </w:p>
                    </w:tc>
                    <w:tc>
                      <w:tcPr>
                        <w:tcW w:w="992" w:type="dxa"/>
                        <w:tcBorders>
                          <w:top w:val="nil"/>
                          <w:bottom w:val="nil"/>
                        </w:tcBorders>
                      </w:tcPr>
                      <w:p>
                        <w:pPr>
                          <w:pStyle w:val="TableParagraph"/>
                          <w:spacing w:line="201" w:lineRule="exact"/>
                          <w:ind w:left="222" w:right="-17"/>
                          <w:rPr>
                            <w:sz w:val="18"/>
                          </w:rPr>
                        </w:pPr>
                        <w:r>
                          <w:rPr>
                            <w:color w:val="010101"/>
                            <w:w w:val="90"/>
                            <w:sz w:val="18"/>
                          </w:rPr>
                          <w:t>926,560</w:t>
                        </w:r>
                      </w:p>
                    </w:tc>
                    <w:tc>
                      <w:tcPr>
                        <w:tcW w:w="978" w:type="dxa"/>
                        <w:tcBorders>
                          <w:top w:val="nil"/>
                          <w:bottom w:val="nil"/>
                          <w:right w:val="nil"/>
                        </w:tcBorders>
                      </w:tcPr>
                      <w:p>
                        <w:pPr>
                          <w:pStyle w:val="TableParagraph"/>
                          <w:spacing w:line="181" w:lineRule="exact"/>
                          <w:ind w:left="217" w:right="196"/>
                          <w:jc w:val="center"/>
                          <w:rPr>
                            <w:rFonts w:ascii="Times New Roman"/>
                            <w:b/>
                            <w:sz w:val="16"/>
                          </w:rPr>
                        </w:pPr>
                        <w:r>
                          <w:rPr>
                            <w:rFonts w:ascii="Times New Roman"/>
                            <w:b/>
                            <w:color w:val="010101"/>
                            <w:sz w:val="16"/>
                          </w:rPr>
                          <w:t>31</w:t>
                        </w:r>
                      </w:p>
                    </w:tc>
                  </w:tr>
                  <w:tr>
                    <w:trPr>
                      <w:trHeight w:val="201" w:hRule="exact"/>
                    </w:trPr>
                    <w:tc>
                      <w:tcPr>
                        <w:tcW w:w="774" w:type="dxa"/>
                        <w:tcBorders>
                          <w:top w:val="nil"/>
                          <w:left w:val="nil"/>
                          <w:bottom w:val="nil"/>
                        </w:tcBorders>
                      </w:tcPr>
                      <w:p>
                        <w:pPr>
                          <w:pStyle w:val="TableParagraph"/>
                          <w:spacing w:line="195" w:lineRule="exact"/>
                          <w:ind w:left="305"/>
                          <w:rPr>
                            <w:sz w:val="18"/>
                          </w:rPr>
                        </w:pPr>
                        <w:r>
                          <w:rPr>
                            <w:color w:val="010101"/>
                            <w:w w:val="90"/>
                            <w:sz w:val="18"/>
                          </w:rPr>
                          <w:t>29</w:t>
                        </w:r>
                      </w:p>
                    </w:tc>
                    <w:tc>
                      <w:tcPr>
                        <w:tcW w:w="995" w:type="dxa"/>
                        <w:tcBorders>
                          <w:top w:val="nil"/>
                          <w:bottom w:val="nil"/>
                        </w:tcBorders>
                      </w:tcPr>
                      <w:p>
                        <w:pPr>
                          <w:pStyle w:val="TableParagraph"/>
                          <w:spacing w:line="195" w:lineRule="exact"/>
                          <w:ind w:left="212" w:right="-15"/>
                          <w:rPr>
                            <w:sz w:val="18"/>
                          </w:rPr>
                        </w:pPr>
                        <w:r>
                          <w:rPr>
                            <w:color w:val="010101"/>
                            <w:w w:val="95"/>
                            <w:sz w:val="18"/>
                          </w:rPr>
                          <w:t>929,476</w:t>
                        </w:r>
                      </w:p>
                    </w:tc>
                    <w:tc>
                      <w:tcPr>
                        <w:tcW w:w="992" w:type="dxa"/>
                        <w:tcBorders>
                          <w:top w:val="nil"/>
                          <w:bottom w:val="nil"/>
                        </w:tcBorders>
                      </w:tcPr>
                      <w:p>
                        <w:pPr>
                          <w:pStyle w:val="TableParagraph"/>
                          <w:spacing w:line="195" w:lineRule="exact"/>
                          <w:ind w:left="211" w:right="-17"/>
                          <w:rPr>
                            <w:sz w:val="18"/>
                          </w:rPr>
                        </w:pPr>
                        <w:r>
                          <w:rPr>
                            <w:color w:val="010101"/>
                            <w:w w:val="90"/>
                            <w:sz w:val="18"/>
                          </w:rPr>
                          <w:t>928,119</w:t>
                        </w:r>
                      </w:p>
                    </w:tc>
                    <w:tc>
                      <w:tcPr>
                        <w:tcW w:w="992" w:type="dxa"/>
                        <w:tcBorders>
                          <w:top w:val="nil"/>
                          <w:bottom w:val="nil"/>
                        </w:tcBorders>
                      </w:tcPr>
                      <w:p>
                        <w:pPr>
                          <w:pStyle w:val="TableParagraph"/>
                          <w:spacing w:line="199" w:lineRule="exact"/>
                          <w:ind w:left="72" w:right="41"/>
                          <w:jc w:val="center"/>
                          <w:rPr>
                            <w:sz w:val="18"/>
                          </w:rPr>
                        </w:pPr>
                        <w:r>
                          <w:rPr>
                            <w:color w:val="010101"/>
                            <w:sz w:val="18"/>
                          </w:rPr>
                          <w:t>926,421</w:t>
                        </w:r>
                      </w:p>
                    </w:tc>
                    <w:tc>
                      <w:tcPr>
                        <w:tcW w:w="992" w:type="dxa"/>
                        <w:tcBorders>
                          <w:top w:val="nil"/>
                          <w:bottom w:val="nil"/>
                        </w:tcBorders>
                      </w:tcPr>
                      <w:p>
                        <w:pPr>
                          <w:pStyle w:val="TableParagraph"/>
                          <w:spacing w:line="195" w:lineRule="exact"/>
                          <w:ind w:left="215" w:right="-17"/>
                          <w:rPr>
                            <w:sz w:val="18"/>
                          </w:rPr>
                        </w:pPr>
                        <w:r>
                          <w:rPr>
                            <w:color w:val="010101"/>
                            <w:w w:val="95"/>
                            <w:sz w:val="18"/>
                          </w:rPr>
                          <w:t>924,429</w:t>
                        </w:r>
                      </w:p>
                    </w:tc>
                    <w:tc>
                      <w:tcPr>
                        <w:tcW w:w="978" w:type="dxa"/>
                        <w:tcBorders>
                          <w:top w:val="nil"/>
                          <w:bottom w:val="nil"/>
                          <w:right w:val="nil"/>
                        </w:tcBorders>
                      </w:tcPr>
                      <w:p>
                        <w:pPr>
                          <w:pStyle w:val="TableParagraph"/>
                          <w:spacing w:line="199" w:lineRule="exact"/>
                          <w:ind w:left="251" w:right="189"/>
                          <w:jc w:val="center"/>
                          <w:rPr>
                            <w:sz w:val="18"/>
                          </w:rPr>
                        </w:pPr>
                        <w:r>
                          <w:rPr>
                            <w:color w:val="010101"/>
                            <w:sz w:val="18"/>
                          </w:rPr>
                          <w:t>32</w:t>
                        </w:r>
                      </w:p>
                    </w:tc>
                  </w:tr>
                  <w:tr>
                    <w:trPr>
                      <w:trHeight w:val="296" w:hRule="exact"/>
                    </w:trPr>
                    <w:tc>
                      <w:tcPr>
                        <w:tcW w:w="774" w:type="dxa"/>
                        <w:tcBorders>
                          <w:top w:val="nil"/>
                          <w:left w:val="nil"/>
                          <w:bottom w:val="single" w:sz="4" w:space="0" w:color="000000"/>
                        </w:tcBorders>
                      </w:tcPr>
                      <w:p>
                        <w:pPr>
                          <w:pStyle w:val="TableParagraph"/>
                          <w:spacing w:line="199" w:lineRule="exact"/>
                          <w:ind w:left="301"/>
                          <w:rPr>
                            <w:sz w:val="18"/>
                          </w:rPr>
                        </w:pPr>
                        <w:r>
                          <w:rPr>
                            <w:color w:val="010101"/>
                            <w:w w:val="105"/>
                            <w:sz w:val="18"/>
                          </w:rPr>
                          <w:t>30</w:t>
                        </w:r>
                      </w:p>
                    </w:tc>
                    <w:tc>
                      <w:tcPr>
                        <w:tcW w:w="995" w:type="dxa"/>
                        <w:tcBorders>
                          <w:top w:val="nil"/>
                          <w:bottom w:val="single" w:sz="4" w:space="0" w:color="000000"/>
                        </w:tcBorders>
                      </w:tcPr>
                      <w:p>
                        <w:pPr>
                          <w:pStyle w:val="TableParagraph"/>
                          <w:spacing w:line="195" w:lineRule="exact"/>
                          <w:ind w:left="212" w:right="-8"/>
                          <w:rPr>
                            <w:sz w:val="18"/>
                          </w:rPr>
                        </w:pPr>
                        <w:r>
                          <w:rPr>
                            <w:color w:val="010101"/>
                            <w:sz w:val="18"/>
                          </w:rPr>
                          <w:t>927,422</w:t>
                        </w:r>
                      </w:p>
                    </w:tc>
                    <w:tc>
                      <w:tcPr>
                        <w:tcW w:w="992" w:type="dxa"/>
                        <w:tcBorders>
                          <w:top w:val="nil"/>
                          <w:bottom w:val="single" w:sz="4" w:space="0" w:color="000000"/>
                        </w:tcBorders>
                      </w:tcPr>
                      <w:p>
                        <w:pPr>
                          <w:pStyle w:val="TableParagraph"/>
                          <w:spacing w:line="195" w:lineRule="exact"/>
                          <w:ind w:left="211" w:right="-10"/>
                          <w:rPr>
                            <w:sz w:val="18"/>
                          </w:rPr>
                        </w:pPr>
                        <w:r>
                          <w:rPr>
                            <w:color w:val="010101"/>
                            <w:sz w:val="18"/>
                          </w:rPr>
                          <w:t>926,040</w:t>
                        </w:r>
                      </w:p>
                    </w:tc>
                    <w:tc>
                      <w:tcPr>
                        <w:tcW w:w="992" w:type="dxa"/>
                        <w:tcBorders>
                          <w:top w:val="nil"/>
                          <w:bottom w:val="single" w:sz="4" w:space="0" w:color="000000"/>
                        </w:tcBorders>
                      </w:tcPr>
                      <w:p>
                        <w:pPr>
                          <w:pStyle w:val="TableParagraph"/>
                          <w:spacing w:line="199" w:lineRule="exact"/>
                          <w:ind w:left="102" w:right="39"/>
                          <w:jc w:val="center"/>
                          <w:rPr>
                            <w:sz w:val="18"/>
                          </w:rPr>
                        </w:pPr>
                        <w:r>
                          <w:rPr>
                            <w:color w:val="010101"/>
                            <w:sz w:val="18"/>
                          </w:rPr>
                          <w:t>924,290</w:t>
                        </w:r>
                      </w:p>
                    </w:tc>
                    <w:tc>
                      <w:tcPr>
                        <w:tcW w:w="992" w:type="dxa"/>
                        <w:tcBorders>
                          <w:top w:val="nil"/>
                          <w:bottom w:val="single" w:sz="4" w:space="0" w:color="000000"/>
                        </w:tcBorders>
                      </w:tcPr>
                      <w:p>
                        <w:pPr>
                          <w:pStyle w:val="TableParagraph"/>
                          <w:spacing w:line="199" w:lineRule="exact"/>
                          <w:ind w:left="218" w:right="-17"/>
                          <w:rPr>
                            <w:sz w:val="18"/>
                          </w:rPr>
                        </w:pPr>
                        <w:r>
                          <w:rPr>
                            <w:color w:val="010101"/>
                            <w:sz w:val="18"/>
                          </w:rPr>
                          <w:t>922,220</w:t>
                        </w:r>
                      </w:p>
                    </w:tc>
                    <w:tc>
                      <w:tcPr>
                        <w:tcW w:w="978" w:type="dxa"/>
                        <w:tcBorders>
                          <w:top w:val="nil"/>
                          <w:bottom w:val="single" w:sz="4" w:space="0" w:color="000000"/>
                          <w:right w:val="nil"/>
                        </w:tcBorders>
                      </w:tcPr>
                      <w:p>
                        <w:pPr>
                          <w:pStyle w:val="TableParagraph"/>
                          <w:spacing w:line="189" w:lineRule="exact"/>
                          <w:ind w:left="231" w:right="196"/>
                          <w:jc w:val="center"/>
                          <w:rPr>
                            <w:rFonts w:ascii="Times New Roman"/>
                            <w:sz w:val="17"/>
                          </w:rPr>
                        </w:pPr>
                        <w:r>
                          <w:rPr>
                            <w:rFonts w:ascii="Times New Roman"/>
                            <w:color w:val="010101"/>
                            <w:w w:val="105"/>
                            <w:sz w:val="17"/>
                          </w:rPr>
                          <w:t>33</w:t>
                        </w:r>
                      </w:p>
                    </w:tc>
                  </w:tr>
                  <w:tr>
                    <w:trPr>
                      <w:trHeight w:val="404" w:hRule="exact"/>
                    </w:trPr>
                    <w:tc>
                      <w:tcPr>
                        <w:tcW w:w="774" w:type="dxa"/>
                        <w:tcBorders>
                          <w:top w:val="single" w:sz="4" w:space="0" w:color="000000"/>
                          <w:left w:val="nil"/>
                          <w:bottom w:val="single" w:sz="4" w:space="0" w:color="000000"/>
                        </w:tcBorders>
                      </w:tcPr>
                      <w:p>
                        <w:pPr>
                          <w:pStyle w:val="TableParagraph"/>
                          <w:spacing w:before="80"/>
                          <w:ind w:left="290"/>
                          <w:rPr>
                            <w:rFonts w:ascii="Times New Roman"/>
                            <w:sz w:val="17"/>
                          </w:rPr>
                        </w:pPr>
                        <w:r>
                          <w:rPr>
                            <w:rFonts w:ascii="Times New Roman"/>
                            <w:color w:val="010101"/>
                            <w:w w:val="90"/>
                            <w:sz w:val="17"/>
                          </w:rPr>
                          <w:t>(:e]</w:t>
                        </w:r>
                      </w:p>
                    </w:tc>
                    <w:tc>
                      <w:tcPr>
                        <w:tcW w:w="995" w:type="dxa"/>
                        <w:tcBorders>
                          <w:top w:val="single" w:sz="4" w:space="0" w:color="000000"/>
                          <w:bottom w:val="single" w:sz="4" w:space="0" w:color="000000"/>
                        </w:tcBorders>
                      </w:tcPr>
                      <w:p>
                        <w:pPr>
                          <w:pStyle w:val="TableParagraph"/>
                          <w:spacing w:before="3"/>
                          <w:rPr>
                            <w:rFonts w:ascii="Times New Roman"/>
                            <w:sz w:val="11"/>
                          </w:rPr>
                        </w:pPr>
                      </w:p>
                      <w:p>
                        <w:pPr>
                          <w:pStyle w:val="TableParagraph"/>
                          <w:ind w:left="327" w:right="341"/>
                          <w:jc w:val="center"/>
                          <w:rPr>
                            <w:rFonts w:ascii="Times New Roman"/>
                            <w:sz w:val="14"/>
                          </w:rPr>
                        </w:pPr>
                        <w:r>
                          <w:rPr>
                            <w:rFonts w:ascii="Times New Roman"/>
                            <w:color w:val="010101"/>
                            <w:sz w:val="14"/>
                          </w:rPr>
                          <w:t>d1ir)</w:t>
                        </w:r>
                      </w:p>
                    </w:tc>
                    <w:tc>
                      <w:tcPr>
                        <w:tcW w:w="992" w:type="dxa"/>
                        <w:tcBorders>
                          <w:top w:val="single" w:sz="4" w:space="0" w:color="000000"/>
                          <w:bottom w:val="single" w:sz="4" w:space="0" w:color="000000"/>
                        </w:tcBorders>
                      </w:tcPr>
                      <w:p>
                        <w:pPr>
                          <w:pStyle w:val="TableParagraph"/>
                          <w:spacing w:before="10"/>
                          <w:rPr>
                            <w:rFonts w:ascii="Times New Roman"/>
                            <w:sz w:val="11"/>
                          </w:rPr>
                        </w:pPr>
                      </w:p>
                      <w:p>
                        <w:pPr>
                          <w:pStyle w:val="TableParagraph"/>
                          <w:ind w:left="294" w:right="-17"/>
                          <w:rPr>
                            <w:rFonts w:ascii="Times New Roman"/>
                            <w:sz w:val="14"/>
                          </w:rPr>
                        </w:pPr>
                        <w:r>
                          <w:rPr>
                            <w:rFonts w:ascii="Times New Roman"/>
                            <w:color w:val="010101"/>
                            <w:w w:val="105"/>
                            <w:sz w:val="14"/>
                          </w:rPr>
                          <w:t>d1.1+1</w:t>
                        </w:r>
                      </w:p>
                    </w:tc>
                    <w:tc>
                      <w:tcPr>
                        <w:tcW w:w="992" w:type="dxa"/>
                        <w:tcBorders>
                          <w:top w:val="single" w:sz="4" w:space="0" w:color="000000"/>
                          <w:bottom w:val="single" w:sz="4" w:space="0" w:color="000000"/>
                        </w:tcBorders>
                      </w:tcPr>
                      <w:p>
                        <w:pPr>
                          <w:pStyle w:val="TableParagraph"/>
                          <w:spacing w:before="4"/>
                          <w:rPr>
                            <w:rFonts w:ascii="Times New Roman"/>
                            <w:sz w:val="12"/>
                          </w:rPr>
                        </w:pPr>
                      </w:p>
                      <w:p>
                        <w:pPr>
                          <w:pStyle w:val="TableParagraph"/>
                          <w:spacing w:before="1"/>
                          <w:ind w:left="36" w:right="41"/>
                          <w:jc w:val="center"/>
                          <w:rPr>
                            <w:rFonts w:ascii="Times New Roman" w:hAnsi="Times New Roman"/>
                            <w:b/>
                            <w:sz w:val="13"/>
                          </w:rPr>
                        </w:pPr>
                        <w:r>
                          <w:rPr>
                            <w:rFonts w:ascii="Times New Roman" w:hAnsi="Times New Roman"/>
                            <w:b/>
                            <w:color w:val="010101"/>
                            <w:sz w:val="13"/>
                          </w:rPr>
                          <w:t>d¡irJ+2</w:t>
                        </w:r>
                      </w:p>
                    </w:tc>
                    <w:tc>
                      <w:tcPr>
                        <w:tcW w:w="992" w:type="dxa"/>
                        <w:tcBorders>
                          <w:top w:val="single" w:sz="4" w:space="0" w:color="000000"/>
                          <w:bottom w:val="single" w:sz="4" w:space="0" w:color="000000"/>
                        </w:tcBorders>
                      </w:tcPr>
                      <w:p>
                        <w:pPr>
                          <w:pStyle w:val="TableParagraph"/>
                          <w:spacing w:before="124"/>
                          <w:ind w:left="43" w:right="41"/>
                          <w:jc w:val="center"/>
                          <w:rPr>
                            <w:rFonts w:ascii="Times New Roman"/>
                            <w:b/>
                            <w:sz w:val="15"/>
                          </w:rPr>
                        </w:pPr>
                        <w:r>
                          <w:rPr>
                            <w:rFonts w:ascii="Times New Roman"/>
                            <w:b/>
                            <w:color w:val="010101"/>
                            <w:sz w:val="15"/>
                          </w:rPr>
                          <w:t>ds+a</w:t>
                        </w:r>
                      </w:p>
                    </w:tc>
                    <w:tc>
                      <w:tcPr>
                        <w:tcW w:w="978" w:type="dxa"/>
                        <w:tcBorders>
                          <w:top w:val="single" w:sz="4" w:space="0" w:color="000000"/>
                          <w:bottom w:val="single" w:sz="4" w:space="0" w:color="000000"/>
                          <w:right w:val="nil"/>
                        </w:tcBorders>
                      </w:tcPr>
                      <w:p>
                        <w:pPr>
                          <w:pStyle w:val="TableParagraph"/>
                          <w:spacing w:before="107"/>
                          <w:ind w:left="251" w:right="196"/>
                          <w:jc w:val="center"/>
                          <w:rPr>
                            <w:sz w:val="18"/>
                          </w:rPr>
                        </w:pPr>
                        <w:r>
                          <w:rPr>
                            <w:color w:val="010101"/>
                            <w:w w:val="110"/>
                            <w:sz w:val="18"/>
                          </w:rPr>
                          <w:t>x</w:t>
                        </w:r>
                        <w:r>
                          <w:rPr>
                            <w:color w:val="010101"/>
                            <w:spacing w:val="-66"/>
                            <w:w w:val="110"/>
                            <w:sz w:val="18"/>
                          </w:rPr>
                          <w:t> </w:t>
                        </w:r>
                        <w:r>
                          <w:rPr>
                            <w:color w:val="010101"/>
                            <w:w w:val="145"/>
                            <w:sz w:val="18"/>
                          </w:rPr>
                          <w:t>+</w:t>
                        </w:r>
                        <w:r>
                          <w:rPr>
                            <w:color w:val="010101"/>
                            <w:spacing w:val="-121"/>
                            <w:w w:val="145"/>
                            <w:sz w:val="18"/>
                          </w:rPr>
                          <w:t> </w:t>
                        </w:r>
                        <w:r>
                          <w:rPr>
                            <w:color w:val="010101"/>
                            <w:w w:val="110"/>
                            <w:sz w:val="18"/>
                          </w:rPr>
                          <w:t>3</w:t>
                        </w:r>
                      </w:p>
                    </w:tc>
                  </w:tr>
                  <w:tr>
                    <w:trPr>
                      <w:trHeight w:val="312" w:hRule="exact"/>
                    </w:trPr>
                    <w:tc>
                      <w:tcPr>
                        <w:tcW w:w="774" w:type="dxa"/>
                        <w:tcBorders>
                          <w:top w:val="single" w:sz="4" w:space="0" w:color="000000"/>
                          <w:left w:val="nil"/>
                          <w:bottom w:val="nil"/>
                        </w:tcBorders>
                      </w:tcPr>
                      <w:p>
                        <w:pPr>
                          <w:pStyle w:val="TableParagraph"/>
                          <w:spacing w:before="80"/>
                          <w:ind w:left="305"/>
                          <w:rPr>
                            <w:rFonts w:ascii="Times New Roman"/>
                            <w:sz w:val="18"/>
                          </w:rPr>
                        </w:pPr>
                        <w:r>
                          <w:rPr>
                            <w:rFonts w:ascii="Times New Roman"/>
                            <w:color w:val="010101"/>
                            <w:sz w:val="18"/>
                          </w:rPr>
                          <w:t>20</w:t>
                        </w:r>
                      </w:p>
                    </w:tc>
                    <w:tc>
                      <w:tcPr>
                        <w:tcW w:w="995" w:type="dxa"/>
                        <w:tcBorders>
                          <w:top w:val="single" w:sz="4" w:space="0" w:color="000000"/>
                          <w:bottom w:val="nil"/>
                        </w:tcBorders>
                      </w:tcPr>
                      <w:p>
                        <w:pPr>
                          <w:pStyle w:val="TableParagraph"/>
                          <w:spacing w:before="94"/>
                          <w:ind w:left="302" w:right="-15"/>
                          <w:rPr>
                            <w:sz w:val="18"/>
                          </w:rPr>
                        </w:pPr>
                        <w:r>
                          <w:rPr>
                            <w:color w:val="010101"/>
                            <w:w w:val="90"/>
                            <w:sz w:val="18"/>
                          </w:rPr>
                          <w:t>1,249</w:t>
                        </w:r>
                      </w:p>
                    </w:tc>
                    <w:tc>
                      <w:tcPr>
                        <w:tcW w:w="992" w:type="dxa"/>
                        <w:tcBorders>
                          <w:top w:val="single" w:sz="4" w:space="0" w:color="000000"/>
                          <w:bottom w:val="nil"/>
                        </w:tcBorders>
                      </w:tcPr>
                      <w:p>
                        <w:pPr>
                          <w:pStyle w:val="TableParagraph"/>
                          <w:spacing w:before="94"/>
                          <w:ind w:left="301" w:right="-17"/>
                          <w:rPr>
                            <w:sz w:val="18"/>
                          </w:rPr>
                        </w:pPr>
                        <w:r>
                          <w:rPr>
                            <w:color w:val="010101"/>
                            <w:sz w:val="18"/>
                          </w:rPr>
                          <w:t>1,474</w:t>
                        </w:r>
                      </w:p>
                    </w:tc>
                    <w:tc>
                      <w:tcPr>
                        <w:tcW w:w="992" w:type="dxa"/>
                        <w:tcBorders>
                          <w:top w:val="single" w:sz="4" w:space="0" w:color="000000"/>
                          <w:bottom w:val="nil"/>
                        </w:tcBorders>
                      </w:tcPr>
                      <w:p>
                        <w:pPr>
                          <w:pStyle w:val="TableParagraph"/>
                          <w:spacing w:before="98"/>
                          <w:ind w:left="102" w:right="36"/>
                          <w:jc w:val="center"/>
                          <w:rPr>
                            <w:sz w:val="18"/>
                          </w:rPr>
                        </w:pPr>
                        <w:r>
                          <w:rPr>
                            <w:color w:val="010101"/>
                            <w:sz w:val="18"/>
                          </w:rPr>
                          <w:t>1,670</w:t>
                        </w:r>
                      </w:p>
                    </w:tc>
                    <w:tc>
                      <w:tcPr>
                        <w:tcW w:w="992" w:type="dxa"/>
                        <w:tcBorders>
                          <w:top w:val="single" w:sz="4" w:space="0" w:color="000000"/>
                          <w:bottom w:val="nil"/>
                        </w:tcBorders>
                      </w:tcPr>
                      <w:p>
                        <w:pPr>
                          <w:pStyle w:val="TableParagraph"/>
                          <w:spacing w:before="98"/>
                          <w:ind w:left="305" w:right="-17"/>
                          <w:rPr>
                            <w:sz w:val="18"/>
                          </w:rPr>
                        </w:pPr>
                        <w:r>
                          <w:rPr>
                            <w:color w:val="010101"/>
                            <w:w w:val="90"/>
                            <w:sz w:val="18"/>
                          </w:rPr>
                          <w:t>1,799</w:t>
                        </w:r>
                      </w:p>
                    </w:tc>
                    <w:tc>
                      <w:tcPr>
                        <w:tcW w:w="978" w:type="dxa"/>
                        <w:tcBorders>
                          <w:top w:val="single" w:sz="4" w:space="0" w:color="000000"/>
                          <w:bottom w:val="nil"/>
                          <w:right w:val="nil"/>
                        </w:tcBorders>
                      </w:tcPr>
                      <w:p>
                        <w:pPr>
                          <w:pStyle w:val="TableParagraph"/>
                          <w:spacing w:before="102"/>
                          <w:ind w:left="229" w:right="196"/>
                          <w:jc w:val="center"/>
                          <w:rPr>
                            <w:sz w:val="18"/>
                          </w:rPr>
                        </w:pPr>
                        <w:r>
                          <w:rPr>
                            <w:color w:val="010101"/>
                            <w:w w:val="90"/>
                            <w:sz w:val="18"/>
                          </w:rPr>
                          <w:t>23</w:t>
                        </w:r>
                      </w:p>
                    </w:tc>
                  </w:tr>
                  <w:tr>
                    <w:trPr>
                      <w:trHeight w:val="200" w:hRule="exact"/>
                    </w:trPr>
                    <w:tc>
                      <w:tcPr>
                        <w:tcW w:w="774" w:type="dxa"/>
                        <w:tcBorders>
                          <w:top w:val="nil"/>
                          <w:left w:val="nil"/>
                          <w:bottom w:val="nil"/>
                        </w:tcBorders>
                      </w:tcPr>
                      <w:p>
                        <w:pPr>
                          <w:pStyle w:val="TableParagraph"/>
                          <w:spacing w:line="193" w:lineRule="exact"/>
                          <w:ind w:left="308"/>
                          <w:rPr>
                            <w:sz w:val="18"/>
                          </w:rPr>
                        </w:pPr>
                        <w:r>
                          <w:rPr>
                            <w:color w:val="010101"/>
                            <w:sz w:val="18"/>
                          </w:rPr>
                          <w:t>21</w:t>
                        </w:r>
                      </w:p>
                    </w:tc>
                    <w:tc>
                      <w:tcPr>
                        <w:tcW w:w="995" w:type="dxa"/>
                        <w:tcBorders>
                          <w:top w:val="nil"/>
                          <w:bottom w:val="nil"/>
                        </w:tcBorders>
                      </w:tcPr>
                      <w:p>
                        <w:pPr>
                          <w:pStyle w:val="TableParagraph"/>
                          <w:spacing w:line="197" w:lineRule="exact"/>
                          <w:ind w:left="302" w:right="-15"/>
                          <w:rPr>
                            <w:sz w:val="18"/>
                          </w:rPr>
                        </w:pPr>
                        <w:r>
                          <w:rPr>
                            <w:color w:val="010101"/>
                            <w:w w:val="85"/>
                            <w:sz w:val="18"/>
                          </w:rPr>
                          <w:t>1,275</w:t>
                        </w:r>
                      </w:p>
                    </w:tc>
                    <w:tc>
                      <w:tcPr>
                        <w:tcW w:w="992" w:type="dxa"/>
                        <w:tcBorders>
                          <w:top w:val="nil"/>
                          <w:bottom w:val="nil"/>
                        </w:tcBorders>
                      </w:tcPr>
                      <w:p>
                        <w:pPr>
                          <w:pStyle w:val="TableParagraph"/>
                          <w:spacing w:line="193" w:lineRule="exact"/>
                          <w:ind w:left="301" w:right="-17"/>
                          <w:rPr>
                            <w:sz w:val="18"/>
                          </w:rPr>
                        </w:pPr>
                        <w:r>
                          <w:rPr>
                            <w:color w:val="010101"/>
                            <w:w w:val="85"/>
                            <w:sz w:val="18"/>
                          </w:rPr>
                          <w:t>1,519</w:t>
                        </w:r>
                      </w:p>
                    </w:tc>
                    <w:tc>
                      <w:tcPr>
                        <w:tcW w:w="992" w:type="dxa"/>
                        <w:tcBorders>
                          <w:top w:val="nil"/>
                          <w:bottom w:val="nil"/>
                        </w:tcBorders>
                      </w:tcPr>
                      <w:p>
                        <w:pPr>
                          <w:pStyle w:val="TableParagraph"/>
                          <w:spacing w:line="197" w:lineRule="exact"/>
                          <w:ind w:left="69" w:right="41"/>
                          <w:jc w:val="center"/>
                          <w:rPr>
                            <w:sz w:val="18"/>
                          </w:rPr>
                        </w:pPr>
                        <w:r>
                          <w:rPr>
                            <w:color w:val="010101"/>
                            <w:w w:val="85"/>
                            <w:sz w:val="18"/>
                          </w:rPr>
                          <w:t>1,714</w:t>
                        </w:r>
                      </w:p>
                    </w:tc>
                    <w:tc>
                      <w:tcPr>
                        <w:tcW w:w="992" w:type="dxa"/>
                        <w:tcBorders>
                          <w:top w:val="nil"/>
                          <w:bottom w:val="nil"/>
                        </w:tcBorders>
                      </w:tcPr>
                      <w:p>
                        <w:pPr>
                          <w:pStyle w:val="TableParagraph"/>
                          <w:spacing w:line="197" w:lineRule="exact"/>
                          <w:ind w:left="301" w:right="-17"/>
                          <w:rPr>
                            <w:sz w:val="18"/>
                          </w:rPr>
                        </w:pPr>
                        <w:r>
                          <w:rPr>
                            <w:color w:val="010101"/>
                            <w:w w:val="90"/>
                            <w:sz w:val="18"/>
                          </w:rPr>
                          <w:t>1,843</w:t>
                        </w:r>
                      </w:p>
                    </w:tc>
                    <w:tc>
                      <w:tcPr>
                        <w:tcW w:w="978" w:type="dxa"/>
                        <w:tcBorders>
                          <w:top w:val="nil"/>
                          <w:bottom w:val="nil"/>
                          <w:right w:val="nil"/>
                        </w:tcBorders>
                      </w:tcPr>
                      <w:p>
                        <w:pPr>
                          <w:pStyle w:val="TableParagraph"/>
                          <w:spacing w:line="197" w:lineRule="exact"/>
                          <w:ind w:left="224" w:right="196"/>
                          <w:jc w:val="center"/>
                          <w:rPr>
                            <w:sz w:val="18"/>
                          </w:rPr>
                        </w:pPr>
                        <w:r>
                          <w:rPr>
                            <w:color w:val="010101"/>
                            <w:w w:val="90"/>
                            <w:sz w:val="18"/>
                          </w:rPr>
                          <w:t>24</w:t>
                        </w:r>
                      </w:p>
                    </w:tc>
                  </w:tr>
                  <w:tr>
                    <w:trPr>
                      <w:trHeight w:val="203" w:hRule="exact"/>
                    </w:trPr>
                    <w:tc>
                      <w:tcPr>
                        <w:tcW w:w="774" w:type="dxa"/>
                        <w:tcBorders>
                          <w:top w:val="nil"/>
                          <w:left w:val="nil"/>
                          <w:bottom w:val="nil"/>
                        </w:tcBorders>
                      </w:tcPr>
                      <w:p>
                        <w:pPr>
                          <w:pStyle w:val="TableParagraph"/>
                          <w:spacing w:line="195" w:lineRule="exact"/>
                          <w:ind w:left="308"/>
                          <w:rPr>
                            <w:sz w:val="18"/>
                          </w:rPr>
                        </w:pPr>
                        <w:r>
                          <w:rPr>
                            <w:color w:val="010101"/>
                            <w:w w:val="105"/>
                            <w:sz w:val="18"/>
                          </w:rPr>
                          <w:t>22</w:t>
                        </w:r>
                      </w:p>
                    </w:tc>
                    <w:tc>
                      <w:tcPr>
                        <w:tcW w:w="995" w:type="dxa"/>
                        <w:tcBorders>
                          <w:top w:val="nil"/>
                          <w:bottom w:val="nil"/>
                        </w:tcBorders>
                      </w:tcPr>
                      <w:p>
                        <w:pPr>
                          <w:pStyle w:val="TableParagraph"/>
                          <w:spacing w:line="199" w:lineRule="exact"/>
                          <w:ind w:left="302" w:right="-15"/>
                          <w:rPr>
                            <w:sz w:val="18"/>
                          </w:rPr>
                        </w:pPr>
                        <w:r>
                          <w:rPr>
                            <w:color w:val="010101"/>
                            <w:w w:val="85"/>
                            <w:sz w:val="18"/>
                          </w:rPr>
                          <w:t>1,292</w:t>
                        </w:r>
                      </w:p>
                    </w:tc>
                    <w:tc>
                      <w:tcPr>
                        <w:tcW w:w="992" w:type="dxa"/>
                        <w:tcBorders>
                          <w:top w:val="nil"/>
                          <w:bottom w:val="nil"/>
                        </w:tcBorders>
                      </w:tcPr>
                      <w:p>
                        <w:pPr>
                          <w:pStyle w:val="TableParagraph"/>
                          <w:spacing w:line="199" w:lineRule="exact"/>
                          <w:ind w:left="305" w:right="-17"/>
                          <w:rPr>
                            <w:sz w:val="18"/>
                          </w:rPr>
                        </w:pPr>
                        <w:r>
                          <w:rPr>
                            <w:color w:val="010101"/>
                            <w:w w:val="90"/>
                            <w:sz w:val="18"/>
                          </w:rPr>
                          <w:t>1,544</w:t>
                        </w:r>
                      </w:p>
                    </w:tc>
                    <w:tc>
                      <w:tcPr>
                        <w:tcW w:w="992" w:type="dxa"/>
                        <w:tcBorders>
                          <w:top w:val="nil"/>
                          <w:bottom w:val="nil"/>
                        </w:tcBorders>
                      </w:tcPr>
                      <w:p>
                        <w:pPr>
                          <w:pStyle w:val="TableParagraph"/>
                          <w:spacing w:line="199" w:lineRule="exact"/>
                          <w:ind w:left="92" w:right="41"/>
                          <w:jc w:val="center"/>
                          <w:rPr>
                            <w:sz w:val="18"/>
                          </w:rPr>
                        </w:pPr>
                        <w:r>
                          <w:rPr>
                            <w:color w:val="010101"/>
                            <w:sz w:val="18"/>
                          </w:rPr>
                          <w:t>1,749</w:t>
                        </w:r>
                      </w:p>
                    </w:tc>
                    <w:tc>
                      <w:tcPr>
                        <w:tcW w:w="992" w:type="dxa"/>
                        <w:tcBorders>
                          <w:top w:val="nil"/>
                          <w:bottom w:val="nil"/>
                        </w:tcBorders>
                      </w:tcPr>
                      <w:p>
                        <w:pPr>
                          <w:pStyle w:val="TableParagraph"/>
                          <w:spacing w:line="199" w:lineRule="exact"/>
                          <w:ind w:left="305" w:right="-17"/>
                          <w:rPr>
                            <w:sz w:val="18"/>
                          </w:rPr>
                        </w:pPr>
                        <w:r>
                          <w:rPr>
                            <w:color w:val="010101"/>
                            <w:w w:val="95"/>
                            <w:sz w:val="18"/>
                          </w:rPr>
                          <w:t>1,877</w:t>
                        </w:r>
                      </w:p>
                    </w:tc>
                    <w:tc>
                      <w:tcPr>
                        <w:tcW w:w="978" w:type="dxa"/>
                        <w:tcBorders>
                          <w:top w:val="nil"/>
                          <w:bottom w:val="nil"/>
                          <w:right w:val="nil"/>
                        </w:tcBorders>
                      </w:tcPr>
                      <w:p>
                        <w:pPr>
                          <w:pStyle w:val="TableParagraph"/>
                          <w:spacing w:line="199" w:lineRule="exact"/>
                          <w:ind w:left="238" w:right="196"/>
                          <w:jc w:val="center"/>
                          <w:rPr>
                            <w:sz w:val="18"/>
                          </w:rPr>
                        </w:pPr>
                        <w:r>
                          <w:rPr>
                            <w:color w:val="010101"/>
                            <w:w w:val="105"/>
                            <w:sz w:val="18"/>
                          </w:rPr>
                          <w:t>25</w:t>
                        </w:r>
                      </w:p>
                    </w:tc>
                  </w:tr>
                  <w:tr>
                    <w:trPr>
                      <w:trHeight w:val="203" w:hRule="exact"/>
                    </w:trPr>
                    <w:tc>
                      <w:tcPr>
                        <w:tcW w:w="774" w:type="dxa"/>
                        <w:tcBorders>
                          <w:top w:val="nil"/>
                          <w:left w:val="nil"/>
                          <w:bottom w:val="nil"/>
                        </w:tcBorders>
                      </w:tcPr>
                      <w:p>
                        <w:pPr>
                          <w:pStyle w:val="TableParagraph"/>
                          <w:spacing w:line="201" w:lineRule="exact"/>
                          <w:ind w:left="308"/>
                          <w:rPr>
                            <w:sz w:val="18"/>
                          </w:rPr>
                        </w:pPr>
                        <w:r>
                          <w:rPr>
                            <w:color w:val="010101"/>
                            <w:w w:val="90"/>
                            <w:sz w:val="18"/>
                          </w:rPr>
                          <w:t>23</w:t>
                        </w:r>
                      </w:p>
                    </w:tc>
                    <w:tc>
                      <w:tcPr>
                        <w:tcW w:w="995" w:type="dxa"/>
                        <w:tcBorders>
                          <w:top w:val="nil"/>
                          <w:bottom w:val="nil"/>
                        </w:tcBorders>
                      </w:tcPr>
                      <w:p>
                        <w:pPr>
                          <w:pStyle w:val="TableParagraph"/>
                          <w:spacing w:line="197" w:lineRule="exact"/>
                          <w:ind w:left="305" w:right="-15"/>
                          <w:rPr>
                            <w:sz w:val="18"/>
                          </w:rPr>
                        </w:pPr>
                        <w:r>
                          <w:rPr>
                            <w:color w:val="010101"/>
                            <w:w w:val="95"/>
                            <w:sz w:val="18"/>
                          </w:rPr>
                          <w:t>1,308</w:t>
                        </w:r>
                      </w:p>
                    </w:tc>
                    <w:tc>
                      <w:tcPr>
                        <w:tcW w:w="992" w:type="dxa"/>
                        <w:tcBorders>
                          <w:top w:val="nil"/>
                          <w:bottom w:val="nil"/>
                        </w:tcBorders>
                      </w:tcPr>
                      <w:p>
                        <w:pPr>
                          <w:pStyle w:val="TableParagraph"/>
                          <w:spacing w:line="197" w:lineRule="exact"/>
                          <w:ind w:left="308" w:right="-17"/>
                          <w:rPr>
                            <w:sz w:val="18"/>
                          </w:rPr>
                        </w:pPr>
                        <w:r>
                          <w:rPr>
                            <w:color w:val="010101"/>
                            <w:sz w:val="18"/>
                          </w:rPr>
                          <w:t>1,570</w:t>
                        </w:r>
                      </w:p>
                    </w:tc>
                    <w:tc>
                      <w:tcPr>
                        <w:tcW w:w="992" w:type="dxa"/>
                        <w:tcBorders>
                          <w:top w:val="nil"/>
                          <w:bottom w:val="nil"/>
                        </w:tcBorders>
                      </w:tcPr>
                      <w:p>
                        <w:pPr>
                          <w:pStyle w:val="TableParagraph"/>
                          <w:spacing w:line="197" w:lineRule="exact"/>
                          <w:ind w:left="82" w:right="41"/>
                          <w:jc w:val="center"/>
                          <w:rPr>
                            <w:sz w:val="18"/>
                          </w:rPr>
                        </w:pPr>
                        <w:r>
                          <w:rPr>
                            <w:color w:val="010101"/>
                            <w:w w:val="90"/>
                            <w:sz w:val="18"/>
                          </w:rPr>
                          <w:t>1,783</w:t>
                        </w:r>
                      </w:p>
                    </w:tc>
                    <w:tc>
                      <w:tcPr>
                        <w:tcW w:w="992" w:type="dxa"/>
                        <w:tcBorders>
                          <w:top w:val="nil"/>
                          <w:bottom w:val="nil"/>
                        </w:tcBorders>
                      </w:tcPr>
                      <w:p>
                        <w:pPr>
                          <w:pStyle w:val="TableParagraph"/>
                          <w:spacing w:line="197" w:lineRule="exact"/>
                          <w:ind w:left="305" w:right="-17"/>
                          <w:rPr>
                            <w:sz w:val="18"/>
                          </w:rPr>
                        </w:pPr>
                        <w:r>
                          <w:rPr>
                            <w:color w:val="010101"/>
                            <w:w w:val="95"/>
                            <w:sz w:val="18"/>
                          </w:rPr>
                          <w:t>1,910</w:t>
                        </w:r>
                      </w:p>
                    </w:tc>
                    <w:tc>
                      <w:tcPr>
                        <w:tcW w:w="978" w:type="dxa"/>
                        <w:tcBorders>
                          <w:top w:val="nil"/>
                          <w:bottom w:val="nil"/>
                          <w:right w:val="nil"/>
                        </w:tcBorders>
                      </w:tcPr>
                      <w:p>
                        <w:pPr>
                          <w:pStyle w:val="TableParagraph"/>
                          <w:spacing w:line="201" w:lineRule="exact"/>
                          <w:ind w:left="217" w:right="196"/>
                          <w:jc w:val="center"/>
                          <w:rPr>
                            <w:sz w:val="18"/>
                          </w:rPr>
                        </w:pPr>
                        <w:r>
                          <w:rPr>
                            <w:color w:val="010101"/>
                            <w:w w:val="90"/>
                            <w:sz w:val="18"/>
                          </w:rPr>
                          <w:t>26</w:t>
                        </w:r>
                      </w:p>
                    </w:tc>
                  </w:tr>
                  <w:tr>
                    <w:trPr>
                      <w:trHeight w:val="198" w:hRule="exact"/>
                    </w:trPr>
                    <w:tc>
                      <w:tcPr>
                        <w:tcW w:w="774" w:type="dxa"/>
                        <w:tcBorders>
                          <w:top w:val="nil"/>
                          <w:left w:val="nil"/>
                          <w:bottom w:val="nil"/>
                        </w:tcBorders>
                      </w:tcPr>
                      <w:p>
                        <w:pPr>
                          <w:pStyle w:val="TableParagraph"/>
                          <w:spacing w:line="195" w:lineRule="exact"/>
                          <w:ind w:left="305"/>
                          <w:rPr>
                            <w:sz w:val="18"/>
                          </w:rPr>
                        </w:pPr>
                        <w:r>
                          <w:rPr>
                            <w:color w:val="010101"/>
                            <w:w w:val="90"/>
                            <w:sz w:val="18"/>
                          </w:rPr>
                          <w:t>24</w:t>
                        </w:r>
                      </w:p>
                    </w:tc>
                    <w:tc>
                      <w:tcPr>
                        <w:tcW w:w="995" w:type="dxa"/>
                        <w:tcBorders>
                          <w:top w:val="nil"/>
                          <w:bottom w:val="nil"/>
                        </w:tcBorders>
                      </w:tcPr>
                      <w:p>
                        <w:pPr>
                          <w:pStyle w:val="TableParagraph"/>
                          <w:spacing w:line="195" w:lineRule="exact"/>
                          <w:ind w:left="302" w:right="-15"/>
                          <w:rPr>
                            <w:sz w:val="18"/>
                          </w:rPr>
                        </w:pPr>
                        <w:r>
                          <w:rPr>
                            <w:color w:val="010101"/>
                            <w:w w:val="85"/>
                            <w:sz w:val="18"/>
                          </w:rPr>
                          <w:t>1,315</w:t>
                        </w:r>
                      </w:p>
                    </w:tc>
                    <w:tc>
                      <w:tcPr>
                        <w:tcW w:w="992" w:type="dxa"/>
                        <w:tcBorders>
                          <w:top w:val="nil"/>
                          <w:bottom w:val="nil"/>
                        </w:tcBorders>
                      </w:tcPr>
                      <w:p>
                        <w:pPr>
                          <w:pStyle w:val="TableParagraph"/>
                          <w:spacing w:line="195" w:lineRule="exact"/>
                          <w:ind w:left="305" w:right="-17"/>
                          <w:rPr>
                            <w:sz w:val="18"/>
                          </w:rPr>
                        </w:pPr>
                        <w:r>
                          <w:rPr>
                            <w:color w:val="010101"/>
                            <w:w w:val="90"/>
                            <w:sz w:val="18"/>
                          </w:rPr>
                          <w:t>1,5&amp;5</w:t>
                        </w:r>
                      </w:p>
                    </w:tc>
                    <w:tc>
                      <w:tcPr>
                        <w:tcW w:w="992" w:type="dxa"/>
                        <w:tcBorders>
                          <w:top w:val="nil"/>
                          <w:bottom w:val="nil"/>
                        </w:tcBorders>
                      </w:tcPr>
                      <w:p>
                        <w:pPr>
                          <w:pStyle w:val="TableParagraph"/>
                          <w:spacing w:line="195" w:lineRule="exact"/>
                          <w:ind w:left="76" w:right="41"/>
                          <w:jc w:val="center"/>
                          <w:rPr>
                            <w:sz w:val="18"/>
                          </w:rPr>
                        </w:pPr>
                        <w:r>
                          <w:rPr>
                            <w:color w:val="010101"/>
                            <w:w w:val="85"/>
                            <w:sz w:val="18"/>
                          </w:rPr>
                          <w:t>1,807</w:t>
                        </w:r>
                      </w:p>
                    </w:tc>
                    <w:tc>
                      <w:tcPr>
                        <w:tcW w:w="992" w:type="dxa"/>
                        <w:tcBorders>
                          <w:top w:val="nil"/>
                          <w:bottom w:val="nil"/>
                        </w:tcBorders>
                      </w:tcPr>
                      <w:p>
                        <w:pPr>
                          <w:pStyle w:val="TableParagraph"/>
                          <w:spacing w:line="195" w:lineRule="exact"/>
                          <w:ind w:left="308" w:right="-17"/>
                          <w:rPr>
                            <w:sz w:val="18"/>
                          </w:rPr>
                        </w:pPr>
                        <w:r>
                          <w:rPr>
                            <w:color w:val="010101"/>
                            <w:sz w:val="18"/>
                          </w:rPr>
                          <w:t>1,944</w:t>
                        </w:r>
                      </w:p>
                    </w:tc>
                    <w:tc>
                      <w:tcPr>
                        <w:tcW w:w="978" w:type="dxa"/>
                        <w:tcBorders>
                          <w:top w:val="nil"/>
                          <w:bottom w:val="nil"/>
                          <w:right w:val="nil"/>
                        </w:tcBorders>
                      </w:tcPr>
                      <w:p>
                        <w:pPr>
                          <w:pStyle w:val="TableParagraph"/>
                          <w:spacing w:line="195" w:lineRule="exact"/>
                          <w:ind w:left="236" w:right="196"/>
                          <w:jc w:val="center"/>
                          <w:rPr>
                            <w:sz w:val="18"/>
                          </w:rPr>
                        </w:pPr>
                        <w:r>
                          <w:rPr>
                            <w:color w:val="010101"/>
                            <w:sz w:val="18"/>
                          </w:rPr>
                          <w:t>27</w:t>
                        </w:r>
                      </w:p>
                    </w:tc>
                  </w:tr>
                  <w:tr>
                    <w:trPr>
                      <w:trHeight w:val="206" w:hRule="exact"/>
                    </w:trPr>
                    <w:tc>
                      <w:tcPr>
                        <w:tcW w:w="774" w:type="dxa"/>
                        <w:tcBorders>
                          <w:top w:val="nil"/>
                          <w:left w:val="nil"/>
                          <w:bottom w:val="nil"/>
                        </w:tcBorders>
                      </w:tcPr>
                      <w:p>
                        <w:pPr>
                          <w:pStyle w:val="TableParagraph"/>
                          <w:spacing w:line="182" w:lineRule="exact"/>
                          <w:ind w:left="308"/>
                          <w:rPr>
                            <w:rFonts w:ascii="Arial"/>
                            <w:sz w:val="16"/>
                          </w:rPr>
                        </w:pPr>
                        <w:r>
                          <w:rPr>
                            <w:rFonts w:ascii="Arial"/>
                            <w:color w:val="010101"/>
                            <w:sz w:val="16"/>
                          </w:rPr>
                          <w:t>25</w:t>
                        </w:r>
                      </w:p>
                    </w:tc>
                    <w:tc>
                      <w:tcPr>
                        <w:tcW w:w="995" w:type="dxa"/>
                        <w:tcBorders>
                          <w:top w:val="nil"/>
                          <w:bottom w:val="nil"/>
                        </w:tcBorders>
                      </w:tcPr>
                      <w:p>
                        <w:pPr>
                          <w:pStyle w:val="TableParagraph"/>
                          <w:spacing w:line="199" w:lineRule="exact"/>
                          <w:ind w:left="305" w:right="-15"/>
                          <w:rPr>
                            <w:sz w:val="18"/>
                          </w:rPr>
                        </w:pPr>
                        <w:r>
                          <w:rPr>
                            <w:color w:val="010101"/>
                            <w:w w:val="90"/>
                            <w:sz w:val="18"/>
                          </w:rPr>
                          <w:t>1,312</w:t>
                        </w:r>
                      </w:p>
                    </w:tc>
                    <w:tc>
                      <w:tcPr>
                        <w:tcW w:w="992" w:type="dxa"/>
                        <w:tcBorders>
                          <w:top w:val="nil"/>
                          <w:bottom w:val="nil"/>
                        </w:tcBorders>
                      </w:tcPr>
                      <w:p>
                        <w:pPr>
                          <w:pStyle w:val="TableParagraph"/>
                          <w:spacing w:line="195" w:lineRule="exact"/>
                          <w:ind w:left="308" w:right="-17"/>
                          <w:rPr>
                            <w:sz w:val="18"/>
                          </w:rPr>
                        </w:pPr>
                        <w:r>
                          <w:rPr>
                            <w:color w:val="010101"/>
                            <w:w w:val="85"/>
                            <w:sz w:val="18"/>
                          </w:rPr>
                          <w:t>1,601</w:t>
                        </w:r>
                      </w:p>
                    </w:tc>
                    <w:tc>
                      <w:tcPr>
                        <w:tcW w:w="992" w:type="dxa"/>
                        <w:tcBorders>
                          <w:top w:val="nil"/>
                          <w:bottom w:val="nil"/>
                        </w:tcBorders>
                      </w:tcPr>
                      <w:p>
                        <w:pPr>
                          <w:pStyle w:val="TableParagraph"/>
                          <w:spacing w:line="199" w:lineRule="exact"/>
                          <w:ind w:left="81" w:right="41"/>
                          <w:jc w:val="center"/>
                          <w:rPr>
                            <w:sz w:val="18"/>
                          </w:rPr>
                        </w:pPr>
                        <w:r>
                          <w:rPr>
                            <w:color w:val="010101"/>
                            <w:w w:val="85"/>
                            <w:sz w:val="18"/>
                          </w:rPr>
                          <w:t>1,832</w:t>
                        </w:r>
                      </w:p>
                    </w:tc>
                    <w:tc>
                      <w:tcPr>
                        <w:tcW w:w="992" w:type="dxa"/>
                        <w:tcBorders>
                          <w:top w:val="nil"/>
                          <w:bottom w:val="nil"/>
                        </w:tcBorders>
                      </w:tcPr>
                      <w:p>
                        <w:pPr>
                          <w:pStyle w:val="TableParagraph"/>
                          <w:spacing w:line="199" w:lineRule="exact"/>
                          <w:ind w:left="308" w:right="-17"/>
                          <w:rPr>
                            <w:sz w:val="18"/>
                          </w:rPr>
                        </w:pPr>
                        <w:r>
                          <w:rPr>
                            <w:color w:val="010101"/>
                            <w:w w:val="95"/>
                            <w:sz w:val="18"/>
                          </w:rPr>
                          <w:t>1,977</w:t>
                        </w:r>
                      </w:p>
                    </w:tc>
                    <w:tc>
                      <w:tcPr>
                        <w:tcW w:w="978" w:type="dxa"/>
                        <w:tcBorders>
                          <w:top w:val="nil"/>
                          <w:bottom w:val="nil"/>
                          <w:right w:val="nil"/>
                        </w:tcBorders>
                      </w:tcPr>
                      <w:p>
                        <w:pPr>
                          <w:pStyle w:val="TableParagraph"/>
                          <w:spacing w:before="2"/>
                          <w:ind w:left="226" w:right="196"/>
                          <w:jc w:val="center"/>
                          <w:rPr>
                            <w:sz w:val="18"/>
                          </w:rPr>
                        </w:pPr>
                        <w:r>
                          <w:rPr>
                            <w:color w:val="010101"/>
                            <w:w w:val="95"/>
                            <w:sz w:val="18"/>
                          </w:rPr>
                          <w:t>28</w:t>
                        </w:r>
                      </w:p>
                    </w:tc>
                  </w:tr>
                  <w:tr>
                    <w:trPr>
                      <w:trHeight w:val="200" w:hRule="exact"/>
                    </w:trPr>
                    <w:tc>
                      <w:tcPr>
                        <w:tcW w:w="774" w:type="dxa"/>
                        <w:tcBorders>
                          <w:top w:val="nil"/>
                          <w:left w:val="nil"/>
                          <w:bottom w:val="nil"/>
                        </w:tcBorders>
                      </w:tcPr>
                      <w:p>
                        <w:pPr>
                          <w:pStyle w:val="TableParagraph"/>
                          <w:spacing w:line="180" w:lineRule="exact"/>
                          <w:ind w:left="312"/>
                          <w:rPr>
                            <w:rFonts w:ascii="Times New Roman"/>
                            <w:sz w:val="17"/>
                          </w:rPr>
                        </w:pPr>
                        <w:r>
                          <w:rPr>
                            <w:rFonts w:ascii="Times New Roman"/>
                            <w:color w:val="010101"/>
                            <w:sz w:val="17"/>
                          </w:rPr>
                          <w:t>26</w:t>
                        </w:r>
                      </w:p>
                    </w:tc>
                    <w:tc>
                      <w:tcPr>
                        <w:tcW w:w="995" w:type="dxa"/>
                        <w:tcBorders>
                          <w:top w:val="nil"/>
                          <w:bottom w:val="nil"/>
                        </w:tcBorders>
                      </w:tcPr>
                      <w:p>
                        <w:pPr>
                          <w:pStyle w:val="TableParagraph"/>
                          <w:spacing w:line="197" w:lineRule="exact"/>
                          <w:ind w:left="305" w:right="-15"/>
                          <w:rPr>
                            <w:sz w:val="18"/>
                          </w:rPr>
                        </w:pPr>
                        <w:r>
                          <w:rPr>
                            <w:color w:val="010101"/>
                            <w:w w:val="85"/>
                            <w:sz w:val="18"/>
                          </w:rPr>
                          <w:t>1,310</w:t>
                        </w:r>
                      </w:p>
                    </w:tc>
                    <w:tc>
                      <w:tcPr>
                        <w:tcW w:w="992" w:type="dxa"/>
                        <w:tcBorders>
                          <w:top w:val="nil"/>
                          <w:bottom w:val="nil"/>
                        </w:tcBorders>
                      </w:tcPr>
                      <w:p>
                        <w:pPr>
                          <w:pStyle w:val="TableParagraph"/>
                          <w:spacing w:line="194" w:lineRule="exact"/>
                          <w:ind w:left="312" w:right="-17"/>
                          <w:rPr>
                            <w:sz w:val="18"/>
                          </w:rPr>
                        </w:pPr>
                        <w:r>
                          <w:rPr>
                            <w:color w:val="010101"/>
                            <w:w w:val="95"/>
                            <w:sz w:val="18"/>
                          </w:rPr>
                          <w:t>1,616</w:t>
                        </w:r>
                      </w:p>
                    </w:tc>
                    <w:tc>
                      <w:tcPr>
                        <w:tcW w:w="992" w:type="dxa"/>
                        <w:tcBorders>
                          <w:top w:val="nil"/>
                          <w:bottom w:val="nil"/>
                        </w:tcBorders>
                      </w:tcPr>
                      <w:p>
                        <w:pPr>
                          <w:pStyle w:val="TableParagraph"/>
                          <w:spacing w:line="194" w:lineRule="exact"/>
                          <w:ind w:left="78" w:right="41"/>
                          <w:jc w:val="center"/>
                          <w:rPr>
                            <w:sz w:val="18"/>
                          </w:rPr>
                        </w:pPr>
                        <w:r>
                          <w:rPr>
                            <w:color w:val="010101"/>
                            <w:w w:val="85"/>
                            <w:sz w:val="18"/>
                          </w:rPr>
                          <w:t>1,856</w:t>
                        </w:r>
                      </w:p>
                    </w:tc>
                    <w:tc>
                      <w:tcPr>
                        <w:tcW w:w="992" w:type="dxa"/>
                        <w:tcBorders>
                          <w:top w:val="nil"/>
                          <w:bottom w:val="nil"/>
                        </w:tcBorders>
                      </w:tcPr>
                      <w:p>
                        <w:pPr>
                          <w:pStyle w:val="TableParagraph"/>
                          <w:spacing w:line="194" w:lineRule="exact"/>
                          <w:ind w:left="305" w:right="-17"/>
                          <w:rPr>
                            <w:sz w:val="18"/>
                          </w:rPr>
                        </w:pPr>
                        <w:r>
                          <w:rPr>
                            <w:color w:val="010101"/>
                            <w:w w:val="75"/>
                            <w:sz w:val="18"/>
                          </w:rPr>
                          <w:t>2,0'20</w:t>
                        </w:r>
                      </w:p>
                    </w:tc>
                    <w:tc>
                      <w:tcPr>
                        <w:tcW w:w="978" w:type="dxa"/>
                        <w:tcBorders>
                          <w:top w:val="nil"/>
                          <w:bottom w:val="nil"/>
                          <w:right w:val="nil"/>
                        </w:tcBorders>
                      </w:tcPr>
                      <w:p>
                        <w:pPr>
                          <w:pStyle w:val="TableParagraph"/>
                          <w:spacing w:line="201" w:lineRule="exact"/>
                          <w:ind w:left="219" w:right="196"/>
                          <w:jc w:val="center"/>
                          <w:rPr>
                            <w:sz w:val="18"/>
                          </w:rPr>
                        </w:pPr>
                        <w:r>
                          <w:rPr>
                            <w:color w:val="010101"/>
                            <w:w w:val="90"/>
                            <w:sz w:val="18"/>
                          </w:rPr>
                          <w:t>29</w:t>
                        </w:r>
                      </w:p>
                    </w:tc>
                  </w:tr>
                  <w:tr>
                    <w:trPr>
                      <w:trHeight w:val="203" w:hRule="exact"/>
                    </w:trPr>
                    <w:tc>
                      <w:tcPr>
                        <w:tcW w:w="774" w:type="dxa"/>
                        <w:tcBorders>
                          <w:top w:val="nil"/>
                          <w:left w:val="nil"/>
                          <w:bottom w:val="nil"/>
                        </w:tcBorders>
                      </w:tcPr>
                      <w:p>
                        <w:pPr>
                          <w:pStyle w:val="TableParagraph"/>
                          <w:spacing w:line="195" w:lineRule="exact"/>
                          <w:ind w:left="308"/>
                          <w:rPr>
                            <w:sz w:val="18"/>
                          </w:rPr>
                        </w:pPr>
                        <w:r>
                          <w:rPr>
                            <w:color w:val="010101"/>
                            <w:sz w:val="18"/>
                          </w:rPr>
                          <w:t>2i</w:t>
                        </w:r>
                      </w:p>
                    </w:tc>
                    <w:tc>
                      <w:tcPr>
                        <w:tcW w:w="995" w:type="dxa"/>
                        <w:tcBorders>
                          <w:top w:val="nil"/>
                          <w:bottom w:val="nil"/>
                        </w:tcBorders>
                      </w:tcPr>
                      <w:p>
                        <w:pPr>
                          <w:pStyle w:val="TableParagraph"/>
                          <w:spacing w:line="195" w:lineRule="exact"/>
                          <w:ind w:left="309" w:right="-15"/>
                          <w:rPr>
                            <w:sz w:val="18"/>
                          </w:rPr>
                        </w:pPr>
                        <w:r>
                          <w:rPr>
                            <w:color w:val="010101"/>
                            <w:w w:val="85"/>
                            <w:sz w:val="18"/>
                          </w:rPr>
                          <w:t>1,316</w:t>
                        </w:r>
                      </w:p>
                    </w:tc>
                    <w:tc>
                      <w:tcPr>
                        <w:tcW w:w="992" w:type="dxa"/>
                        <w:tcBorders>
                          <w:top w:val="nil"/>
                          <w:bottom w:val="nil"/>
                        </w:tcBorders>
                      </w:tcPr>
                      <w:p>
                        <w:pPr>
                          <w:pStyle w:val="TableParagraph"/>
                          <w:spacing w:line="192" w:lineRule="exact"/>
                          <w:ind w:left="312" w:right="-17"/>
                          <w:rPr>
                            <w:sz w:val="18"/>
                          </w:rPr>
                        </w:pPr>
                        <w:r>
                          <w:rPr>
                            <w:color w:val="010101"/>
                            <w:w w:val="90"/>
                            <w:sz w:val="18"/>
                          </w:rPr>
                          <w:t>1,631</w:t>
                        </w:r>
                      </w:p>
                    </w:tc>
                    <w:tc>
                      <w:tcPr>
                        <w:tcW w:w="992" w:type="dxa"/>
                        <w:tcBorders>
                          <w:top w:val="nil"/>
                          <w:bottom w:val="nil"/>
                        </w:tcBorders>
                      </w:tcPr>
                      <w:p>
                        <w:pPr>
                          <w:pStyle w:val="TableParagraph"/>
                          <w:spacing w:line="195" w:lineRule="exact"/>
                          <w:ind w:left="78" w:right="41"/>
                          <w:jc w:val="center"/>
                          <w:rPr>
                            <w:sz w:val="18"/>
                          </w:rPr>
                        </w:pPr>
                        <w:r>
                          <w:rPr>
                            <w:color w:val="010101"/>
                            <w:w w:val="85"/>
                            <w:sz w:val="18"/>
                          </w:rPr>
                          <w:t>1,889</w:t>
                        </w:r>
                      </w:p>
                    </w:tc>
                    <w:tc>
                      <w:tcPr>
                        <w:tcW w:w="992" w:type="dxa"/>
                        <w:tcBorders>
                          <w:top w:val="nil"/>
                          <w:bottom w:val="nil"/>
                        </w:tcBorders>
                      </w:tcPr>
                      <w:p>
                        <w:pPr>
                          <w:pStyle w:val="TableParagraph"/>
                          <w:spacing w:line="192" w:lineRule="exact"/>
                          <w:ind w:left="301" w:right="-17"/>
                          <w:rPr>
                            <w:sz w:val="18"/>
                          </w:rPr>
                        </w:pPr>
                        <w:r>
                          <w:rPr>
                            <w:color w:val="010101"/>
                            <w:w w:val="85"/>
                            <w:sz w:val="18"/>
                          </w:rPr>
                          <w:t>2,071</w:t>
                        </w:r>
                      </w:p>
                    </w:tc>
                    <w:tc>
                      <w:tcPr>
                        <w:tcW w:w="978" w:type="dxa"/>
                        <w:tcBorders>
                          <w:top w:val="nil"/>
                          <w:bottom w:val="nil"/>
                          <w:right w:val="nil"/>
                        </w:tcBorders>
                      </w:tcPr>
                      <w:p>
                        <w:pPr>
                          <w:pStyle w:val="TableParagraph"/>
                          <w:spacing w:line="202" w:lineRule="exact"/>
                          <w:ind w:left="246" w:right="196"/>
                          <w:jc w:val="center"/>
                          <w:rPr>
                            <w:sz w:val="18"/>
                          </w:rPr>
                        </w:pPr>
                        <w:r>
                          <w:rPr>
                            <w:color w:val="010101"/>
                            <w:w w:val="110"/>
                            <w:sz w:val="18"/>
                          </w:rPr>
                          <w:t>30</w:t>
                        </w:r>
                      </w:p>
                    </w:tc>
                  </w:tr>
                  <w:tr>
                    <w:trPr>
                      <w:trHeight w:val="200" w:hRule="exact"/>
                    </w:trPr>
                    <w:tc>
                      <w:tcPr>
                        <w:tcW w:w="774" w:type="dxa"/>
                        <w:tcBorders>
                          <w:top w:val="nil"/>
                          <w:left w:val="nil"/>
                          <w:bottom w:val="nil"/>
                        </w:tcBorders>
                      </w:tcPr>
                      <w:p>
                        <w:pPr>
                          <w:pStyle w:val="TableParagraph"/>
                          <w:spacing w:line="178" w:lineRule="exact"/>
                          <w:ind w:left="312"/>
                          <w:rPr>
                            <w:rFonts w:ascii="Times New Roman"/>
                            <w:sz w:val="16"/>
                          </w:rPr>
                        </w:pPr>
                        <w:r>
                          <w:rPr>
                            <w:rFonts w:ascii="Times New Roman"/>
                            <w:color w:val="010101"/>
                            <w:w w:val="105"/>
                            <w:sz w:val="16"/>
                          </w:rPr>
                          <w:t>28</w:t>
                        </w:r>
                      </w:p>
                    </w:tc>
                    <w:tc>
                      <w:tcPr>
                        <w:tcW w:w="995" w:type="dxa"/>
                        <w:tcBorders>
                          <w:top w:val="nil"/>
                          <w:bottom w:val="nil"/>
                        </w:tcBorders>
                      </w:tcPr>
                      <w:p>
                        <w:pPr>
                          <w:pStyle w:val="TableParagraph"/>
                          <w:spacing w:line="197" w:lineRule="exact"/>
                          <w:ind w:left="309" w:right="-15"/>
                          <w:rPr>
                            <w:sz w:val="18"/>
                          </w:rPr>
                        </w:pPr>
                        <w:r>
                          <w:rPr>
                            <w:color w:val="010101"/>
                            <w:w w:val="90"/>
                            <w:sz w:val="18"/>
                          </w:rPr>
                          <w:t>1,332</w:t>
                        </w:r>
                      </w:p>
                    </w:tc>
                    <w:tc>
                      <w:tcPr>
                        <w:tcW w:w="992" w:type="dxa"/>
                        <w:tcBorders>
                          <w:top w:val="nil"/>
                          <w:bottom w:val="nil"/>
                        </w:tcBorders>
                      </w:tcPr>
                      <w:p>
                        <w:pPr>
                          <w:pStyle w:val="TableParagraph"/>
                          <w:spacing w:line="193" w:lineRule="exact"/>
                          <w:ind w:left="312" w:right="-17"/>
                          <w:rPr>
                            <w:sz w:val="18"/>
                          </w:rPr>
                        </w:pPr>
                        <w:r>
                          <w:rPr>
                            <w:color w:val="010101"/>
                            <w:w w:val="85"/>
                            <w:sz w:val="18"/>
                          </w:rPr>
                          <w:t>1,665</w:t>
                        </w:r>
                      </w:p>
                    </w:tc>
                    <w:tc>
                      <w:tcPr>
                        <w:tcW w:w="992" w:type="dxa"/>
                        <w:tcBorders>
                          <w:top w:val="nil"/>
                          <w:bottom w:val="nil"/>
                        </w:tcBorders>
                      </w:tcPr>
                      <w:p>
                        <w:pPr>
                          <w:pStyle w:val="TableParagraph"/>
                          <w:spacing w:line="193" w:lineRule="exact"/>
                          <w:ind w:left="71" w:right="41"/>
                          <w:jc w:val="center"/>
                          <w:rPr>
                            <w:sz w:val="18"/>
                          </w:rPr>
                        </w:pPr>
                        <w:r>
                          <w:rPr>
                            <w:color w:val="010101"/>
                            <w:w w:val="95"/>
                            <w:sz w:val="18"/>
                          </w:rPr>
                          <w:t>1,931</w:t>
                        </w:r>
                      </w:p>
                    </w:tc>
                    <w:tc>
                      <w:tcPr>
                        <w:tcW w:w="992" w:type="dxa"/>
                        <w:tcBorders>
                          <w:top w:val="nil"/>
                          <w:bottom w:val="nil"/>
                        </w:tcBorders>
                      </w:tcPr>
                      <w:p>
                        <w:pPr>
                          <w:pStyle w:val="TableParagraph"/>
                          <w:spacing w:line="193" w:lineRule="exact"/>
                          <w:ind w:left="301" w:right="-17"/>
                          <w:rPr>
                            <w:sz w:val="18"/>
                          </w:rPr>
                        </w:pPr>
                        <w:r>
                          <w:rPr>
                            <w:color w:val="010101"/>
                            <w:w w:val="85"/>
                            <w:sz w:val="18"/>
                          </w:rPr>
                          <w:t>2,131</w:t>
                        </w:r>
                      </w:p>
                    </w:tc>
                    <w:tc>
                      <w:tcPr>
                        <w:tcW w:w="978" w:type="dxa"/>
                        <w:tcBorders>
                          <w:top w:val="nil"/>
                          <w:bottom w:val="nil"/>
                          <w:right w:val="nil"/>
                        </w:tcBorders>
                      </w:tcPr>
                      <w:p>
                        <w:pPr>
                          <w:pStyle w:val="TableParagraph"/>
                          <w:spacing w:line="197" w:lineRule="exact"/>
                          <w:ind w:left="222" w:right="196"/>
                          <w:jc w:val="center"/>
                          <w:rPr>
                            <w:sz w:val="18"/>
                          </w:rPr>
                        </w:pPr>
                        <w:r>
                          <w:rPr>
                            <w:color w:val="010101"/>
                            <w:w w:val="90"/>
                            <w:sz w:val="18"/>
                          </w:rPr>
                          <w:t>31</w:t>
                        </w:r>
                      </w:p>
                    </w:tc>
                  </w:tr>
                  <w:tr>
                    <w:trPr>
                      <w:trHeight w:val="201" w:hRule="exact"/>
                    </w:trPr>
                    <w:tc>
                      <w:tcPr>
                        <w:tcW w:w="774" w:type="dxa"/>
                        <w:tcBorders>
                          <w:top w:val="nil"/>
                          <w:left w:val="nil"/>
                          <w:bottom w:val="nil"/>
                        </w:tcBorders>
                      </w:tcPr>
                      <w:p>
                        <w:pPr>
                          <w:pStyle w:val="TableParagraph"/>
                          <w:spacing w:line="185" w:lineRule="exact"/>
                          <w:ind w:left="312"/>
                          <w:rPr>
                            <w:rFonts w:ascii="Times New Roman"/>
                            <w:sz w:val="17"/>
                          </w:rPr>
                        </w:pPr>
                        <w:r>
                          <w:rPr>
                            <w:rFonts w:ascii="Times New Roman"/>
                            <w:color w:val="010101"/>
                            <w:sz w:val="17"/>
                          </w:rPr>
                          <w:t>29</w:t>
                        </w:r>
                      </w:p>
                    </w:tc>
                    <w:tc>
                      <w:tcPr>
                        <w:tcW w:w="995" w:type="dxa"/>
                        <w:tcBorders>
                          <w:top w:val="nil"/>
                          <w:bottom w:val="nil"/>
                        </w:tcBorders>
                      </w:tcPr>
                      <w:p>
                        <w:pPr>
                          <w:pStyle w:val="TableParagraph"/>
                          <w:spacing w:line="199" w:lineRule="exact"/>
                          <w:ind w:left="309" w:right="-15"/>
                          <w:rPr>
                            <w:sz w:val="18"/>
                          </w:rPr>
                        </w:pPr>
                        <w:r>
                          <w:rPr>
                            <w:color w:val="010101"/>
                            <w:w w:val="90"/>
                            <w:sz w:val="18"/>
                          </w:rPr>
                          <w:t>1,357</w:t>
                        </w:r>
                      </w:p>
                    </w:tc>
                    <w:tc>
                      <w:tcPr>
                        <w:tcW w:w="992" w:type="dxa"/>
                        <w:tcBorders>
                          <w:top w:val="nil"/>
                          <w:bottom w:val="nil"/>
                        </w:tcBorders>
                      </w:tcPr>
                      <w:p>
                        <w:pPr>
                          <w:pStyle w:val="TableParagraph"/>
                          <w:spacing w:line="195" w:lineRule="exact"/>
                          <w:ind w:left="312" w:right="-17"/>
                          <w:rPr>
                            <w:sz w:val="18"/>
                          </w:rPr>
                        </w:pPr>
                        <w:r>
                          <w:rPr>
                            <w:color w:val="010101"/>
                            <w:sz w:val="18"/>
                          </w:rPr>
                          <w:t>1,698</w:t>
                        </w:r>
                      </w:p>
                    </w:tc>
                    <w:tc>
                      <w:tcPr>
                        <w:tcW w:w="992" w:type="dxa"/>
                        <w:tcBorders>
                          <w:top w:val="nil"/>
                          <w:bottom w:val="nil"/>
                        </w:tcBorders>
                      </w:tcPr>
                      <w:p>
                        <w:pPr>
                          <w:pStyle w:val="TableParagraph"/>
                          <w:spacing w:line="199" w:lineRule="exact"/>
                          <w:ind w:left="96" w:right="41"/>
                          <w:jc w:val="center"/>
                          <w:rPr>
                            <w:sz w:val="18"/>
                          </w:rPr>
                        </w:pPr>
                        <w:r>
                          <w:rPr>
                            <w:color w:val="010101"/>
                            <w:w w:val="90"/>
                            <w:sz w:val="18"/>
                          </w:rPr>
                          <w:t>1,992</w:t>
                        </w:r>
                      </w:p>
                    </w:tc>
                    <w:tc>
                      <w:tcPr>
                        <w:tcW w:w="992" w:type="dxa"/>
                        <w:tcBorders>
                          <w:top w:val="nil"/>
                          <w:bottom w:val="nil"/>
                        </w:tcBorders>
                      </w:tcPr>
                      <w:p>
                        <w:pPr>
                          <w:pStyle w:val="TableParagraph"/>
                          <w:spacing w:line="195" w:lineRule="exact"/>
                          <w:ind w:left="301" w:right="-17"/>
                          <w:rPr>
                            <w:sz w:val="18"/>
                          </w:rPr>
                        </w:pPr>
                        <w:r>
                          <w:rPr>
                            <w:color w:val="010101"/>
                            <w:w w:val="90"/>
                            <w:sz w:val="18"/>
                          </w:rPr>
                          <w:t>2,209</w:t>
                        </w:r>
                      </w:p>
                    </w:tc>
                    <w:tc>
                      <w:tcPr>
                        <w:tcW w:w="978" w:type="dxa"/>
                        <w:tcBorders>
                          <w:top w:val="nil"/>
                          <w:bottom w:val="nil"/>
                          <w:right w:val="nil"/>
                        </w:tcBorders>
                      </w:tcPr>
                      <w:p>
                        <w:pPr>
                          <w:pStyle w:val="TableParagraph"/>
                          <w:spacing w:line="199" w:lineRule="exact"/>
                          <w:ind w:left="230" w:right="196"/>
                          <w:jc w:val="center"/>
                          <w:rPr>
                            <w:sz w:val="18"/>
                          </w:rPr>
                        </w:pPr>
                        <w:r>
                          <w:rPr>
                            <w:color w:val="010101"/>
                            <w:w w:val="95"/>
                            <w:sz w:val="18"/>
                          </w:rPr>
                          <w:t>32</w:t>
                        </w:r>
                      </w:p>
                    </w:tc>
                  </w:tr>
                  <w:tr>
                    <w:trPr>
                      <w:trHeight w:val="217" w:hRule="exact"/>
                    </w:trPr>
                    <w:tc>
                      <w:tcPr>
                        <w:tcW w:w="774" w:type="dxa"/>
                        <w:vMerge w:val="restart"/>
                        <w:tcBorders>
                          <w:top w:val="nil"/>
                          <w:left w:val="nil"/>
                        </w:tcBorders>
                      </w:tcPr>
                      <w:p>
                        <w:pPr>
                          <w:pStyle w:val="TableParagraph"/>
                          <w:spacing w:line="170" w:lineRule="exact"/>
                          <w:ind w:left="122" w:right="62"/>
                          <w:jc w:val="center"/>
                          <w:rPr>
                            <w:sz w:val="18"/>
                          </w:rPr>
                        </w:pPr>
                        <w:r>
                          <w:rPr>
                            <w:color w:val="010101"/>
                            <w:w w:val="105"/>
                            <w:sz w:val="18"/>
                          </w:rPr>
                          <w:t>30</w:t>
                        </w:r>
                      </w:p>
                      <w:p>
                        <w:pPr>
                          <w:pStyle w:val="TableParagraph"/>
                          <w:spacing w:line="233" w:lineRule="exact"/>
                          <w:ind w:left="122" w:right="96"/>
                          <w:jc w:val="center"/>
                          <w:rPr>
                            <w:rFonts w:ascii="Times New Roman"/>
                            <w:sz w:val="19"/>
                          </w:rPr>
                        </w:pPr>
                        <w:r>
                          <w:rPr>
                            <w:rFonts w:ascii="Times New Roman"/>
                            <w:color w:val="010101"/>
                            <w:spacing w:val="-86"/>
                            <w:w w:val="262"/>
                            <w:sz w:val="23"/>
                          </w:rPr>
                          <w:t>-</w:t>
                        </w:r>
                        <w:r>
                          <w:rPr>
                            <w:rFonts w:ascii="Times New Roman"/>
                            <w:color w:val="010101"/>
                            <w:spacing w:val="-137"/>
                            <w:w w:val="478"/>
                            <w:sz w:val="23"/>
                          </w:rPr>
                          <w:t>-</w:t>
                        </w:r>
                        <w:r>
                          <w:rPr>
                            <w:rFonts w:ascii="Times New Roman"/>
                            <w:color w:val="010101"/>
                            <w:spacing w:val="-218"/>
                            <w:w w:val="497"/>
                            <w:sz w:val="23"/>
                          </w:rPr>
                          <w:t>-</w:t>
                        </w:r>
                        <w:r>
                          <w:rPr>
                            <w:rFonts w:ascii="Times New Roman"/>
                            <w:color w:val="010101"/>
                            <w:spacing w:val="-587"/>
                            <w:w w:val="600"/>
                            <w:position w:val="1"/>
                            <w:sz w:val="19"/>
                          </w:rPr>
                          <w:t>-</w:t>
                        </w:r>
                      </w:p>
                    </w:tc>
                    <w:tc>
                      <w:tcPr>
                        <w:tcW w:w="995" w:type="dxa"/>
                        <w:vMerge w:val="restart"/>
                        <w:tcBorders>
                          <w:top w:val="nil"/>
                        </w:tcBorders>
                      </w:tcPr>
                      <w:p>
                        <w:pPr>
                          <w:pStyle w:val="TableParagraph"/>
                          <w:spacing w:line="180" w:lineRule="exact"/>
                          <w:ind w:left="309" w:right="-15"/>
                          <w:rPr>
                            <w:sz w:val="18"/>
                          </w:rPr>
                        </w:pPr>
                        <w:r>
                          <w:rPr>
                            <w:color w:val="010101"/>
                            <w:w w:val="95"/>
                            <w:sz w:val="18"/>
                          </w:rPr>
                          <w:t>1,382</w:t>
                        </w:r>
                      </w:p>
                      <w:p>
                        <w:pPr>
                          <w:pStyle w:val="TableParagraph"/>
                          <w:spacing w:line="200" w:lineRule="exact"/>
                          <w:ind w:left="176" w:right="341"/>
                          <w:jc w:val="center"/>
                          <w:rPr>
                            <w:rFonts w:ascii="Times New Roman"/>
                            <w:sz w:val="19"/>
                          </w:rPr>
                        </w:pPr>
                        <w:r>
                          <w:rPr>
                            <w:rFonts w:ascii="Times New Roman"/>
                            <w:color w:val="010101"/>
                            <w:spacing w:val="-91"/>
                            <w:w w:val="311"/>
                            <w:sz w:val="19"/>
                          </w:rPr>
                          <w:t>-</w:t>
                        </w:r>
                        <w:r>
                          <w:rPr>
                            <w:rFonts w:ascii="Times New Roman"/>
                            <w:color w:val="010101"/>
                            <w:spacing w:val="-363"/>
                            <w:w w:val="490"/>
                            <w:sz w:val="19"/>
                          </w:rPr>
                          <w:t>-</w:t>
                        </w:r>
                      </w:p>
                    </w:tc>
                    <w:tc>
                      <w:tcPr>
                        <w:tcW w:w="992" w:type="dxa"/>
                        <w:tcBorders>
                          <w:top w:val="nil"/>
                          <w:bottom w:val="single" w:sz="1" w:space="0" w:color="000000"/>
                        </w:tcBorders>
                      </w:tcPr>
                      <w:p>
                        <w:pPr>
                          <w:pStyle w:val="TableParagraph"/>
                          <w:spacing w:line="195" w:lineRule="exact"/>
                          <w:ind w:left="312" w:right="-17"/>
                          <w:rPr>
                            <w:sz w:val="18"/>
                          </w:rPr>
                        </w:pPr>
                        <w:r>
                          <w:rPr>
                            <w:color w:val="010101"/>
                            <w:w w:val="95"/>
                            <w:sz w:val="18"/>
                          </w:rPr>
                          <w:t>1,750</w:t>
                        </w:r>
                      </w:p>
                    </w:tc>
                    <w:tc>
                      <w:tcPr>
                        <w:tcW w:w="992" w:type="dxa"/>
                        <w:tcBorders>
                          <w:top w:val="nil"/>
                          <w:bottom w:val="single" w:sz="1" w:space="0" w:color="000000"/>
                        </w:tcBorders>
                      </w:tcPr>
                      <w:p>
                        <w:pPr>
                          <w:pStyle w:val="TableParagraph"/>
                          <w:spacing w:line="199" w:lineRule="exact"/>
                          <w:ind w:left="102" w:right="41"/>
                          <w:jc w:val="center"/>
                          <w:rPr>
                            <w:sz w:val="18"/>
                          </w:rPr>
                        </w:pPr>
                        <w:r>
                          <w:rPr>
                            <w:color w:val="010101"/>
                            <w:sz w:val="18"/>
                          </w:rPr>
                          <w:t>2,070</w:t>
                        </w:r>
                      </w:p>
                    </w:tc>
                    <w:tc>
                      <w:tcPr>
                        <w:tcW w:w="992" w:type="dxa"/>
                        <w:tcBorders>
                          <w:top w:val="nil"/>
                          <w:bottom w:val="single" w:sz="1" w:space="0" w:color="000000"/>
                        </w:tcBorders>
                      </w:tcPr>
                      <w:p>
                        <w:pPr>
                          <w:pStyle w:val="TableParagraph"/>
                          <w:spacing w:line="199" w:lineRule="exact"/>
                          <w:ind w:left="301" w:right="-17"/>
                          <w:rPr>
                            <w:sz w:val="18"/>
                          </w:rPr>
                        </w:pPr>
                        <w:r>
                          <w:rPr>
                            <w:color w:val="010101"/>
                            <w:w w:val="95"/>
                            <w:sz w:val="18"/>
                          </w:rPr>
                          <w:t>2,306</w:t>
                        </w:r>
                      </w:p>
                    </w:tc>
                    <w:tc>
                      <w:tcPr>
                        <w:tcW w:w="978" w:type="dxa"/>
                        <w:tcBorders>
                          <w:top w:val="nil"/>
                          <w:bottom w:val="single" w:sz="1" w:space="0" w:color="000000"/>
                          <w:right w:val="nil"/>
                        </w:tcBorders>
                      </w:tcPr>
                      <w:p>
                        <w:pPr>
                          <w:pStyle w:val="TableParagraph"/>
                          <w:spacing w:line="202" w:lineRule="exact"/>
                          <w:ind w:left="236" w:right="196"/>
                          <w:jc w:val="center"/>
                          <w:rPr>
                            <w:sz w:val="18"/>
                          </w:rPr>
                        </w:pPr>
                        <w:r>
                          <w:rPr>
                            <w:color w:val="010101"/>
                            <w:sz w:val="18"/>
                          </w:rPr>
                          <w:t>33</w:t>
                        </w:r>
                      </w:p>
                    </w:tc>
                  </w:tr>
                  <w:tr>
                    <w:trPr>
                      <w:trHeight w:val="188" w:hRule="exact"/>
                    </w:trPr>
                    <w:tc>
                      <w:tcPr>
                        <w:tcW w:w="774" w:type="dxa"/>
                        <w:vMerge/>
                        <w:tcBorders>
                          <w:left w:val="nil"/>
                          <w:bottom w:val="nil"/>
                        </w:tcBorders>
                      </w:tcPr>
                      <w:p>
                        <w:pPr/>
                      </w:p>
                    </w:tc>
                    <w:tc>
                      <w:tcPr>
                        <w:tcW w:w="995" w:type="dxa"/>
                        <w:vMerge/>
                        <w:tcBorders>
                          <w:bottom w:val="nil"/>
                        </w:tcBorders>
                      </w:tcPr>
                      <w:p>
                        <w:pPr/>
                      </w:p>
                    </w:tc>
                    <w:tc>
                      <w:tcPr>
                        <w:tcW w:w="992" w:type="dxa"/>
                        <w:vMerge w:val="restart"/>
                        <w:tcBorders>
                          <w:top w:val="single" w:sz="1" w:space="0" w:color="000000"/>
                        </w:tcBorders>
                      </w:tcPr>
                      <w:p>
                        <w:pPr>
                          <w:pStyle w:val="TableParagraph"/>
                          <w:spacing w:line="162" w:lineRule="exact"/>
                          <w:ind w:left="-273"/>
                          <w:rPr>
                            <w:rFonts w:ascii="Times New Roman"/>
                            <w:sz w:val="19"/>
                          </w:rPr>
                        </w:pPr>
                        <w:r>
                          <w:rPr>
                            <w:rFonts w:ascii="Times New Roman"/>
                            <w:color w:val="010101"/>
                            <w:w w:val="490"/>
                            <w:sz w:val="19"/>
                          </w:rPr>
                          <w:t>-</w:t>
                        </w:r>
                      </w:p>
                      <w:p>
                        <w:pPr>
                          <w:pStyle w:val="TableParagraph"/>
                          <w:spacing w:before="75"/>
                          <w:ind w:left="279" w:right="-17"/>
                          <w:rPr>
                            <w:rFonts w:ascii="Times New Roman"/>
                            <w:sz w:val="11"/>
                          </w:rPr>
                        </w:pPr>
                        <w:r>
                          <w:rPr>
                            <w:rFonts w:ascii="Times New Roman"/>
                            <w:color w:val="010101"/>
                            <w:w w:val="140"/>
                            <w:sz w:val="11"/>
                          </w:rPr>
                          <w:t>q[z)+l</w:t>
                        </w:r>
                      </w:p>
                    </w:tc>
                    <w:tc>
                      <w:tcPr>
                        <w:tcW w:w="992" w:type="dxa"/>
                        <w:vMerge w:val="restart"/>
                        <w:tcBorders>
                          <w:top w:val="single" w:sz="1" w:space="0" w:color="000000"/>
                        </w:tcBorders>
                      </w:tcPr>
                      <w:p>
                        <w:pPr>
                          <w:pStyle w:val="TableParagraph"/>
                          <w:rPr>
                            <w:rFonts w:ascii="Times New Roman"/>
                            <w:sz w:val="10"/>
                          </w:rPr>
                        </w:pPr>
                      </w:p>
                      <w:p>
                        <w:pPr>
                          <w:pStyle w:val="TableParagraph"/>
                          <w:spacing w:before="9"/>
                          <w:rPr>
                            <w:rFonts w:ascii="Times New Roman"/>
                            <w:sz w:val="11"/>
                          </w:rPr>
                        </w:pPr>
                      </w:p>
                      <w:p>
                        <w:pPr>
                          <w:pStyle w:val="TableParagraph"/>
                          <w:spacing w:before="1"/>
                          <w:ind w:left="296" w:right="-17"/>
                          <w:rPr>
                            <w:rFonts w:ascii="Times New Roman"/>
                            <w:sz w:val="11"/>
                          </w:rPr>
                        </w:pPr>
                        <w:r>
                          <w:rPr>
                            <w:rFonts w:ascii="Times New Roman"/>
                            <w:color w:val="010101"/>
                            <w:w w:val="105"/>
                            <w:sz w:val="11"/>
                          </w:rPr>
                          <w:t>q12:J+2</w:t>
                        </w:r>
                      </w:p>
                    </w:tc>
                    <w:tc>
                      <w:tcPr>
                        <w:tcW w:w="992" w:type="dxa"/>
                        <w:vMerge w:val="restart"/>
                        <w:tcBorders>
                          <w:top w:val="single" w:sz="1" w:space="0" w:color="000000"/>
                        </w:tcBorders>
                      </w:tcPr>
                      <w:p>
                        <w:pPr>
                          <w:pStyle w:val="TableParagraph"/>
                          <w:rPr>
                            <w:rFonts w:ascii="Times New Roman"/>
                            <w:sz w:val="12"/>
                          </w:rPr>
                        </w:pPr>
                      </w:p>
                      <w:p>
                        <w:pPr>
                          <w:pStyle w:val="TableParagraph"/>
                          <w:spacing w:before="84"/>
                          <w:ind w:left="41" w:right="41"/>
                          <w:jc w:val="center"/>
                          <w:rPr>
                            <w:rFonts w:ascii="Times New Roman"/>
                            <w:b/>
                            <w:sz w:val="13"/>
                          </w:rPr>
                        </w:pPr>
                        <w:r>
                          <w:rPr>
                            <w:rFonts w:ascii="Times New Roman"/>
                            <w:b/>
                            <w:color w:val="010101"/>
                            <w:sz w:val="13"/>
                          </w:rPr>
                          <w:t>q,.+a</w:t>
                        </w:r>
                      </w:p>
                    </w:tc>
                    <w:tc>
                      <w:tcPr>
                        <w:tcW w:w="978" w:type="dxa"/>
                        <w:vMerge w:val="restart"/>
                        <w:tcBorders>
                          <w:top w:val="single" w:sz="1" w:space="0" w:color="000000"/>
                          <w:right w:val="nil"/>
                        </w:tcBorders>
                      </w:tcPr>
                      <w:p>
                        <w:pPr>
                          <w:pStyle w:val="TableParagraph"/>
                          <w:spacing w:before="110"/>
                          <w:ind w:left="263"/>
                          <w:rPr>
                            <w:rFonts w:ascii="Times New Roman"/>
                            <w:sz w:val="25"/>
                          </w:rPr>
                        </w:pPr>
                        <w:r>
                          <w:rPr>
                            <w:rFonts w:ascii="Times New Roman"/>
                            <w:color w:val="010101"/>
                            <w:w w:val="90"/>
                            <w:sz w:val="25"/>
                          </w:rPr>
                          <w:t>x + a</w:t>
                        </w:r>
                      </w:p>
                    </w:tc>
                  </w:tr>
                  <w:tr>
                    <w:trPr>
                      <w:trHeight w:val="294" w:hRule="exact"/>
                    </w:trPr>
                    <w:tc>
                      <w:tcPr>
                        <w:tcW w:w="774" w:type="dxa"/>
                        <w:tcBorders>
                          <w:top w:val="nil"/>
                          <w:left w:val="nil"/>
                        </w:tcBorders>
                      </w:tcPr>
                      <w:p>
                        <w:pPr>
                          <w:pStyle w:val="TableParagraph"/>
                          <w:spacing w:line="180" w:lineRule="exact"/>
                          <w:ind w:left="297"/>
                          <w:rPr>
                            <w:rFonts w:ascii="Times New Roman"/>
                            <w:sz w:val="17"/>
                          </w:rPr>
                        </w:pPr>
                        <w:r>
                          <w:rPr>
                            <w:rFonts w:ascii="Times New Roman"/>
                            <w:color w:val="010101"/>
                            <w:w w:val="90"/>
                            <w:sz w:val="17"/>
                          </w:rPr>
                          <w:t>(:e]</w:t>
                        </w:r>
                      </w:p>
                    </w:tc>
                    <w:tc>
                      <w:tcPr>
                        <w:tcW w:w="995" w:type="dxa"/>
                        <w:tcBorders>
                          <w:top w:val="nil"/>
                        </w:tcBorders>
                      </w:tcPr>
                      <w:p>
                        <w:pPr>
                          <w:pStyle w:val="TableParagraph"/>
                          <w:spacing w:before="51"/>
                          <w:ind w:left="327" w:right="330"/>
                          <w:jc w:val="center"/>
                          <w:rPr>
                            <w:rFonts w:ascii="Times New Roman"/>
                            <w:sz w:val="11"/>
                          </w:rPr>
                        </w:pPr>
                        <w:r>
                          <w:rPr>
                            <w:rFonts w:ascii="Times New Roman"/>
                            <w:color w:val="010101"/>
                            <w:w w:val="110"/>
                            <w:sz w:val="11"/>
                          </w:rPr>
                          <w:t>q(:,;)</w:t>
                        </w:r>
                      </w:p>
                    </w:tc>
                    <w:tc>
                      <w:tcPr>
                        <w:tcW w:w="992" w:type="dxa"/>
                        <w:vMerge/>
                      </w:tcPr>
                      <w:p>
                        <w:pPr/>
                      </w:p>
                    </w:tc>
                    <w:tc>
                      <w:tcPr>
                        <w:tcW w:w="992" w:type="dxa"/>
                        <w:vMerge/>
                      </w:tcPr>
                      <w:p>
                        <w:pPr/>
                      </w:p>
                    </w:tc>
                    <w:tc>
                      <w:tcPr>
                        <w:tcW w:w="992" w:type="dxa"/>
                        <w:vMerge/>
                      </w:tcPr>
                      <w:p>
                        <w:pPr/>
                      </w:p>
                    </w:tc>
                    <w:tc>
                      <w:tcPr>
                        <w:tcW w:w="978" w:type="dxa"/>
                        <w:vMerge/>
                        <w:tcBorders>
                          <w:right w:val="nil"/>
                        </w:tcBorders>
                      </w:tcPr>
                      <w:p>
                        <w:pPr/>
                      </w:p>
                    </w:tc>
                  </w:tr>
                  <w:tr>
                    <w:trPr>
                      <w:trHeight w:val="310" w:hRule="exact"/>
                    </w:trPr>
                    <w:tc>
                      <w:tcPr>
                        <w:tcW w:w="774" w:type="dxa"/>
                        <w:tcBorders>
                          <w:left w:val="nil"/>
                          <w:bottom w:val="nil"/>
                        </w:tcBorders>
                      </w:tcPr>
                      <w:p>
                        <w:pPr>
                          <w:pStyle w:val="TableParagraph"/>
                          <w:spacing w:before="89"/>
                          <w:ind w:left="312"/>
                          <w:rPr>
                            <w:rFonts w:ascii="Times New Roman"/>
                            <w:sz w:val="17"/>
                          </w:rPr>
                        </w:pPr>
                        <w:r>
                          <w:rPr>
                            <w:rFonts w:ascii="Times New Roman"/>
                            <w:color w:val="010101"/>
                            <w:sz w:val="17"/>
                          </w:rPr>
                          <w:t>20</w:t>
                        </w:r>
                      </w:p>
                    </w:tc>
                    <w:tc>
                      <w:tcPr>
                        <w:tcW w:w="995" w:type="dxa"/>
                        <w:tcBorders>
                          <w:bottom w:val="nil"/>
                        </w:tcBorders>
                      </w:tcPr>
                      <w:p>
                        <w:pPr>
                          <w:pStyle w:val="TableParagraph"/>
                          <w:spacing w:before="91"/>
                          <w:ind w:left="280" w:right="-15"/>
                          <w:rPr>
                            <w:sz w:val="18"/>
                          </w:rPr>
                        </w:pPr>
                        <w:r>
                          <w:rPr>
                            <w:color w:val="010101"/>
                            <w:sz w:val="18"/>
                          </w:rPr>
                          <w:t>.00132</w:t>
                        </w:r>
                      </w:p>
                    </w:tc>
                    <w:tc>
                      <w:tcPr>
                        <w:tcW w:w="992" w:type="dxa"/>
                        <w:tcBorders>
                          <w:bottom w:val="nil"/>
                        </w:tcBorders>
                      </w:tcPr>
                      <w:p>
                        <w:pPr>
                          <w:pStyle w:val="TableParagraph"/>
                          <w:spacing w:before="87"/>
                          <w:ind w:left="283" w:right="-17"/>
                          <w:rPr>
                            <w:sz w:val="18"/>
                          </w:rPr>
                        </w:pPr>
                        <w:r>
                          <w:rPr>
                            <w:color w:val="010101"/>
                            <w:w w:val="85"/>
                            <w:sz w:val="18"/>
                          </w:rPr>
                          <w:t>.00156</w:t>
                        </w:r>
                      </w:p>
                    </w:tc>
                    <w:tc>
                      <w:tcPr>
                        <w:tcW w:w="992" w:type="dxa"/>
                        <w:tcBorders>
                          <w:bottom w:val="nil"/>
                        </w:tcBorders>
                      </w:tcPr>
                      <w:p>
                        <w:pPr>
                          <w:pStyle w:val="TableParagraph"/>
                          <w:spacing w:before="98"/>
                          <w:ind w:left="85" w:right="41"/>
                          <w:jc w:val="center"/>
                          <w:rPr>
                            <w:sz w:val="18"/>
                          </w:rPr>
                        </w:pPr>
                        <w:r>
                          <w:rPr>
                            <w:color w:val="010101"/>
                            <w:w w:val="95"/>
                            <w:sz w:val="18"/>
                          </w:rPr>
                          <w:t>.00177</w:t>
                        </w:r>
                      </w:p>
                    </w:tc>
                    <w:tc>
                      <w:tcPr>
                        <w:tcW w:w="992" w:type="dxa"/>
                        <w:tcBorders>
                          <w:bottom w:val="nil"/>
                        </w:tcBorders>
                      </w:tcPr>
                      <w:p>
                        <w:pPr>
                          <w:pStyle w:val="TableParagraph"/>
                          <w:spacing w:before="94"/>
                          <w:ind w:left="269" w:right="-17"/>
                          <w:rPr>
                            <w:sz w:val="18"/>
                          </w:rPr>
                        </w:pPr>
                        <w:r>
                          <w:rPr>
                            <w:color w:val="010101"/>
                            <w:sz w:val="18"/>
                          </w:rPr>
                          <w:t>.00191</w:t>
                        </w:r>
                      </w:p>
                    </w:tc>
                    <w:tc>
                      <w:tcPr>
                        <w:tcW w:w="978" w:type="dxa"/>
                        <w:tcBorders>
                          <w:bottom w:val="nil"/>
                          <w:right w:val="nil"/>
                        </w:tcBorders>
                      </w:tcPr>
                      <w:p>
                        <w:pPr>
                          <w:pStyle w:val="TableParagraph"/>
                          <w:spacing w:before="98"/>
                          <w:ind w:left="212" w:right="196"/>
                          <w:jc w:val="center"/>
                          <w:rPr>
                            <w:sz w:val="18"/>
                          </w:rPr>
                        </w:pPr>
                        <w:r>
                          <w:rPr>
                            <w:color w:val="010101"/>
                            <w:w w:val="90"/>
                            <w:sz w:val="18"/>
                          </w:rPr>
                          <w:t>23</w:t>
                        </w:r>
                      </w:p>
                    </w:tc>
                  </w:tr>
                  <w:tr>
                    <w:trPr>
                      <w:trHeight w:val="201" w:hRule="exact"/>
                    </w:trPr>
                    <w:tc>
                      <w:tcPr>
                        <w:tcW w:w="774" w:type="dxa"/>
                        <w:tcBorders>
                          <w:top w:val="nil"/>
                          <w:left w:val="nil"/>
                          <w:bottom w:val="nil"/>
                        </w:tcBorders>
                      </w:tcPr>
                      <w:p>
                        <w:pPr>
                          <w:pStyle w:val="TableParagraph"/>
                          <w:spacing w:line="197" w:lineRule="exact"/>
                          <w:ind w:left="312"/>
                          <w:rPr>
                            <w:sz w:val="18"/>
                          </w:rPr>
                        </w:pPr>
                        <w:r>
                          <w:rPr>
                            <w:color w:val="010101"/>
                            <w:sz w:val="18"/>
                          </w:rPr>
                          <w:t>21</w:t>
                        </w:r>
                      </w:p>
                    </w:tc>
                    <w:tc>
                      <w:tcPr>
                        <w:tcW w:w="995" w:type="dxa"/>
                        <w:tcBorders>
                          <w:top w:val="nil"/>
                          <w:bottom w:val="nil"/>
                        </w:tcBorders>
                      </w:tcPr>
                      <w:p>
                        <w:pPr>
                          <w:pStyle w:val="TableParagraph"/>
                          <w:spacing w:line="193" w:lineRule="exact"/>
                          <w:ind w:left="280" w:right="-15"/>
                          <w:rPr>
                            <w:sz w:val="18"/>
                          </w:rPr>
                        </w:pPr>
                        <w:r>
                          <w:rPr>
                            <w:color w:val="010101"/>
                            <w:w w:val="85"/>
                            <w:sz w:val="18"/>
                          </w:rPr>
                          <w:t>.00135</w:t>
                        </w:r>
                      </w:p>
                    </w:tc>
                    <w:tc>
                      <w:tcPr>
                        <w:tcW w:w="992" w:type="dxa"/>
                        <w:tcBorders>
                          <w:top w:val="nil"/>
                          <w:bottom w:val="nil"/>
                        </w:tcBorders>
                      </w:tcPr>
                      <w:p>
                        <w:pPr>
                          <w:pStyle w:val="TableParagraph"/>
                          <w:spacing w:line="193" w:lineRule="exact"/>
                          <w:ind w:left="283" w:right="-17"/>
                          <w:rPr>
                            <w:sz w:val="18"/>
                          </w:rPr>
                        </w:pPr>
                        <w:r>
                          <w:rPr>
                            <w:color w:val="212121"/>
                            <w:w w:val="85"/>
                            <w:sz w:val="18"/>
                          </w:rPr>
                          <w:t>.</w:t>
                        </w:r>
                        <w:r>
                          <w:rPr>
                            <w:color w:val="010101"/>
                            <w:w w:val="85"/>
                            <w:sz w:val="18"/>
                          </w:rPr>
                          <w:t>00161</w:t>
                        </w:r>
                      </w:p>
                    </w:tc>
                    <w:tc>
                      <w:tcPr>
                        <w:tcW w:w="992" w:type="dxa"/>
                        <w:tcBorders>
                          <w:top w:val="nil"/>
                          <w:bottom w:val="nil"/>
                        </w:tcBorders>
                      </w:tcPr>
                      <w:p>
                        <w:pPr>
                          <w:pStyle w:val="TableParagraph"/>
                          <w:spacing w:line="201" w:lineRule="exact"/>
                          <w:ind w:left="88" w:right="41"/>
                          <w:jc w:val="center"/>
                          <w:rPr>
                            <w:sz w:val="18"/>
                          </w:rPr>
                        </w:pPr>
                        <w:r>
                          <w:rPr>
                            <w:color w:val="010101"/>
                            <w:w w:val="90"/>
                            <w:sz w:val="18"/>
                          </w:rPr>
                          <w:t>.00182</w:t>
                        </w:r>
                      </w:p>
                    </w:tc>
                    <w:tc>
                      <w:tcPr>
                        <w:tcW w:w="992" w:type="dxa"/>
                        <w:tcBorders>
                          <w:top w:val="nil"/>
                          <w:bottom w:val="nil"/>
                        </w:tcBorders>
                      </w:tcPr>
                      <w:p>
                        <w:pPr>
                          <w:pStyle w:val="TableParagraph"/>
                          <w:spacing w:line="197" w:lineRule="exact"/>
                          <w:ind w:left="272" w:right="-17"/>
                          <w:rPr>
                            <w:sz w:val="18"/>
                          </w:rPr>
                        </w:pPr>
                        <w:r>
                          <w:rPr>
                            <w:color w:val="010101"/>
                            <w:w w:val="90"/>
                            <w:sz w:val="18"/>
                          </w:rPr>
                          <w:t>.00196</w:t>
                        </w:r>
                      </w:p>
                    </w:tc>
                    <w:tc>
                      <w:tcPr>
                        <w:tcW w:w="978" w:type="dxa"/>
                        <w:tcBorders>
                          <w:top w:val="nil"/>
                          <w:bottom w:val="nil"/>
                          <w:right w:val="nil"/>
                        </w:tcBorders>
                      </w:tcPr>
                      <w:p>
                        <w:pPr>
                          <w:pStyle w:val="TableParagraph"/>
                          <w:spacing w:line="201" w:lineRule="exact"/>
                          <w:ind w:left="216" w:right="196"/>
                          <w:jc w:val="center"/>
                          <w:rPr>
                            <w:sz w:val="18"/>
                          </w:rPr>
                        </w:pPr>
                        <w:r>
                          <w:rPr>
                            <w:color w:val="010101"/>
                            <w:w w:val="90"/>
                            <w:sz w:val="18"/>
                          </w:rPr>
                          <w:t>24</w:t>
                        </w:r>
                      </w:p>
                    </w:tc>
                  </w:tr>
                  <w:tr>
                    <w:trPr>
                      <w:trHeight w:val="201" w:hRule="exact"/>
                    </w:trPr>
                    <w:tc>
                      <w:tcPr>
                        <w:tcW w:w="774" w:type="dxa"/>
                        <w:tcBorders>
                          <w:top w:val="nil"/>
                          <w:left w:val="nil"/>
                          <w:bottom w:val="nil"/>
                        </w:tcBorders>
                      </w:tcPr>
                      <w:p>
                        <w:pPr>
                          <w:pStyle w:val="TableParagraph"/>
                          <w:spacing w:line="201" w:lineRule="exact"/>
                          <w:ind w:left="312"/>
                          <w:rPr>
                            <w:sz w:val="18"/>
                          </w:rPr>
                        </w:pPr>
                        <w:r>
                          <w:rPr>
                            <w:color w:val="010101"/>
                            <w:sz w:val="18"/>
                          </w:rPr>
                          <w:t>22</w:t>
                        </w:r>
                      </w:p>
                    </w:tc>
                    <w:tc>
                      <w:tcPr>
                        <w:tcW w:w="995" w:type="dxa"/>
                        <w:tcBorders>
                          <w:top w:val="nil"/>
                          <w:bottom w:val="nil"/>
                        </w:tcBorders>
                      </w:tcPr>
                      <w:p>
                        <w:pPr>
                          <w:pStyle w:val="TableParagraph"/>
                          <w:spacing w:line="193" w:lineRule="exact"/>
                          <w:ind w:left="280" w:right="-15"/>
                          <w:rPr>
                            <w:sz w:val="18"/>
                          </w:rPr>
                        </w:pPr>
                        <w:r>
                          <w:rPr>
                            <w:color w:val="212121"/>
                            <w:w w:val="95"/>
                            <w:sz w:val="18"/>
                          </w:rPr>
                          <w:t>.</w:t>
                        </w:r>
                        <w:r>
                          <w:rPr>
                            <w:color w:val="010101"/>
                            <w:w w:val="95"/>
                            <w:sz w:val="18"/>
                          </w:rPr>
                          <w:t>00137</w:t>
                        </w:r>
                      </w:p>
                    </w:tc>
                    <w:tc>
                      <w:tcPr>
                        <w:tcW w:w="992" w:type="dxa"/>
                        <w:tcBorders>
                          <w:top w:val="nil"/>
                          <w:bottom w:val="nil"/>
                        </w:tcBorders>
                      </w:tcPr>
                      <w:p>
                        <w:pPr>
                          <w:pStyle w:val="TableParagraph"/>
                          <w:spacing w:line="193" w:lineRule="exact"/>
                          <w:ind w:left="283" w:right="-17"/>
                          <w:rPr>
                            <w:sz w:val="18"/>
                          </w:rPr>
                        </w:pPr>
                        <w:r>
                          <w:rPr>
                            <w:color w:val="010101"/>
                            <w:w w:val="80"/>
                            <w:sz w:val="18"/>
                          </w:rPr>
                          <w:t>.00164</w:t>
                        </w:r>
                      </w:p>
                    </w:tc>
                    <w:tc>
                      <w:tcPr>
                        <w:tcW w:w="992" w:type="dxa"/>
                        <w:tcBorders>
                          <w:top w:val="nil"/>
                          <w:bottom w:val="nil"/>
                        </w:tcBorders>
                      </w:tcPr>
                      <w:p>
                        <w:pPr>
                          <w:pStyle w:val="TableParagraph"/>
                          <w:spacing w:line="201" w:lineRule="exact"/>
                          <w:ind w:left="98" w:right="41"/>
                          <w:jc w:val="center"/>
                          <w:rPr>
                            <w:sz w:val="18"/>
                          </w:rPr>
                        </w:pPr>
                        <w:r>
                          <w:rPr>
                            <w:color w:val="010101"/>
                            <w:w w:val="90"/>
                            <w:sz w:val="18"/>
                          </w:rPr>
                          <w:t>.00186</w:t>
                        </w:r>
                      </w:p>
                    </w:tc>
                    <w:tc>
                      <w:tcPr>
                        <w:tcW w:w="992" w:type="dxa"/>
                        <w:tcBorders>
                          <w:top w:val="nil"/>
                          <w:bottom w:val="nil"/>
                        </w:tcBorders>
                      </w:tcPr>
                      <w:p>
                        <w:pPr>
                          <w:pStyle w:val="TableParagraph"/>
                          <w:spacing w:line="201" w:lineRule="exact"/>
                          <w:ind w:left="279" w:right="-17"/>
                          <w:rPr>
                            <w:sz w:val="18"/>
                          </w:rPr>
                        </w:pPr>
                        <w:r>
                          <w:rPr>
                            <w:color w:val="212121"/>
                            <w:w w:val="90"/>
                            <w:sz w:val="18"/>
                          </w:rPr>
                          <w:t>.</w:t>
                        </w:r>
                        <w:r>
                          <w:rPr>
                            <w:color w:val="010101"/>
                            <w:w w:val="90"/>
                            <w:sz w:val="18"/>
                          </w:rPr>
                          <w:t>00200</w:t>
                        </w:r>
                      </w:p>
                    </w:tc>
                    <w:tc>
                      <w:tcPr>
                        <w:tcW w:w="978" w:type="dxa"/>
                        <w:tcBorders>
                          <w:top w:val="nil"/>
                          <w:bottom w:val="nil"/>
                          <w:right w:val="nil"/>
                        </w:tcBorders>
                      </w:tcPr>
                      <w:p>
                        <w:pPr>
                          <w:pStyle w:val="TableParagraph"/>
                          <w:spacing w:line="180" w:lineRule="exact"/>
                          <w:ind w:left="203" w:right="196"/>
                          <w:jc w:val="center"/>
                          <w:rPr>
                            <w:rFonts w:ascii="Arial"/>
                            <w:sz w:val="16"/>
                          </w:rPr>
                        </w:pPr>
                        <w:r>
                          <w:rPr>
                            <w:rFonts w:ascii="Arial"/>
                            <w:color w:val="010101"/>
                            <w:sz w:val="16"/>
                          </w:rPr>
                          <w:t>25</w:t>
                        </w:r>
                      </w:p>
                    </w:tc>
                  </w:tr>
                  <w:tr>
                    <w:trPr>
                      <w:trHeight w:val="200" w:hRule="exact"/>
                    </w:trPr>
                    <w:tc>
                      <w:tcPr>
                        <w:tcW w:w="774" w:type="dxa"/>
                        <w:tcBorders>
                          <w:top w:val="nil"/>
                          <w:left w:val="nil"/>
                          <w:bottom w:val="nil"/>
                        </w:tcBorders>
                      </w:tcPr>
                      <w:p>
                        <w:pPr>
                          <w:pStyle w:val="TableParagraph"/>
                          <w:ind w:left="315"/>
                          <w:rPr>
                            <w:sz w:val="18"/>
                          </w:rPr>
                        </w:pPr>
                        <w:r>
                          <w:rPr>
                            <w:color w:val="010101"/>
                            <w:w w:val="90"/>
                            <w:sz w:val="18"/>
                          </w:rPr>
                          <w:t>23</w:t>
                        </w:r>
                      </w:p>
                    </w:tc>
                    <w:tc>
                      <w:tcPr>
                        <w:tcW w:w="995" w:type="dxa"/>
                        <w:tcBorders>
                          <w:top w:val="nil"/>
                          <w:bottom w:val="nil"/>
                        </w:tcBorders>
                      </w:tcPr>
                      <w:p>
                        <w:pPr>
                          <w:pStyle w:val="TableParagraph"/>
                          <w:spacing w:line="193" w:lineRule="exact"/>
                          <w:ind w:left="288" w:right="-15"/>
                          <w:rPr>
                            <w:sz w:val="18"/>
                          </w:rPr>
                        </w:pPr>
                        <w:r>
                          <w:rPr>
                            <w:color w:val="010101"/>
                            <w:w w:val="90"/>
                            <w:sz w:val="18"/>
                          </w:rPr>
                          <w:t>.00139</w:t>
                        </w:r>
                      </w:p>
                    </w:tc>
                    <w:tc>
                      <w:tcPr>
                        <w:tcW w:w="992" w:type="dxa"/>
                        <w:tcBorders>
                          <w:top w:val="nil"/>
                          <w:bottom w:val="nil"/>
                        </w:tcBorders>
                      </w:tcPr>
                      <w:p>
                        <w:pPr>
                          <w:pStyle w:val="TableParagraph"/>
                          <w:spacing w:line="197" w:lineRule="exact"/>
                          <w:ind w:left="287" w:right="-17"/>
                          <w:rPr>
                            <w:sz w:val="18"/>
                          </w:rPr>
                        </w:pPr>
                        <w:r>
                          <w:rPr>
                            <w:color w:val="010101"/>
                            <w:w w:val="80"/>
                            <w:sz w:val="18"/>
                          </w:rPr>
                          <w:t>.001G7</w:t>
                        </w:r>
                      </w:p>
                    </w:tc>
                    <w:tc>
                      <w:tcPr>
                        <w:tcW w:w="992" w:type="dxa"/>
                        <w:tcBorders>
                          <w:top w:val="nil"/>
                          <w:bottom w:val="nil"/>
                        </w:tcBorders>
                      </w:tcPr>
                      <w:p>
                        <w:pPr>
                          <w:pStyle w:val="TableParagraph"/>
                          <w:ind w:left="102" w:right="40"/>
                          <w:jc w:val="center"/>
                          <w:rPr>
                            <w:sz w:val="18"/>
                          </w:rPr>
                        </w:pPr>
                        <w:r>
                          <w:rPr>
                            <w:color w:val="010101"/>
                            <w:w w:val="90"/>
                            <w:sz w:val="18"/>
                          </w:rPr>
                          <w:t>.00190</w:t>
                        </w:r>
                      </w:p>
                    </w:tc>
                    <w:tc>
                      <w:tcPr>
                        <w:tcW w:w="992" w:type="dxa"/>
                        <w:tcBorders>
                          <w:top w:val="nil"/>
                          <w:bottom w:val="nil"/>
                        </w:tcBorders>
                      </w:tcPr>
                      <w:p>
                        <w:pPr>
                          <w:pStyle w:val="TableParagraph"/>
                          <w:spacing w:line="183" w:lineRule="exact"/>
                          <w:ind w:left="279" w:right="-17"/>
                          <w:rPr>
                            <w:rFonts w:ascii="Times New Roman"/>
                            <w:sz w:val="17"/>
                          </w:rPr>
                        </w:pPr>
                        <w:r>
                          <w:rPr>
                            <w:rFonts w:ascii="Times New Roman"/>
                            <w:color w:val="212121"/>
                            <w:sz w:val="17"/>
                          </w:rPr>
                          <w:t>.</w:t>
                        </w:r>
                        <w:r>
                          <w:rPr>
                            <w:rFonts w:ascii="Times New Roman"/>
                            <w:color w:val="010101"/>
                            <w:sz w:val="17"/>
                          </w:rPr>
                          <w:t>00204</w:t>
                        </w:r>
                      </w:p>
                    </w:tc>
                    <w:tc>
                      <w:tcPr>
                        <w:tcW w:w="978" w:type="dxa"/>
                        <w:tcBorders>
                          <w:top w:val="nil"/>
                          <w:bottom w:val="nil"/>
                          <w:right w:val="nil"/>
                        </w:tcBorders>
                      </w:tcPr>
                      <w:p>
                        <w:pPr>
                          <w:pStyle w:val="TableParagraph"/>
                          <w:spacing w:line="183" w:lineRule="exact"/>
                          <w:ind w:left="208" w:right="196"/>
                          <w:jc w:val="center"/>
                          <w:rPr>
                            <w:rFonts w:ascii="Times New Roman"/>
                            <w:sz w:val="17"/>
                          </w:rPr>
                        </w:pPr>
                        <w:r>
                          <w:rPr>
                            <w:rFonts w:ascii="Times New Roman"/>
                            <w:color w:val="010101"/>
                            <w:sz w:val="17"/>
                          </w:rPr>
                          <w:t>26</w:t>
                        </w:r>
                      </w:p>
                    </w:tc>
                  </w:tr>
                  <w:tr>
                    <w:trPr>
                      <w:trHeight w:val="204" w:hRule="exact"/>
                    </w:trPr>
                    <w:tc>
                      <w:tcPr>
                        <w:tcW w:w="774" w:type="dxa"/>
                        <w:tcBorders>
                          <w:top w:val="nil"/>
                          <w:left w:val="nil"/>
                          <w:bottom w:val="nil"/>
                        </w:tcBorders>
                      </w:tcPr>
                      <w:p>
                        <w:pPr>
                          <w:pStyle w:val="TableParagraph"/>
                          <w:spacing w:line="201" w:lineRule="exact"/>
                          <w:ind w:left="315"/>
                          <w:rPr>
                            <w:sz w:val="18"/>
                          </w:rPr>
                        </w:pPr>
                        <w:r>
                          <w:rPr>
                            <w:color w:val="010101"/>
                            <w:w w:val="90"/>
                            <w:sz w:val="18"/>
                          </w:rPr>
                          <w:t>24</w:t>
                        </w:r>
                      </w:p>
                    </w:tc>
                    <w:tc>
                      <w:tcPr>
                        <w:tcW w:w="995" w:type="dxa"/>
                        <w:tcBorders>
                          <w:top w:val="nil"/>
                          <w:bottom w:val="nil"/>
                        </w:tcBorders>
                      </w:tcPr>
                      <w:p>
                        <w:pPr>
                          <w:pStyle w:val="TableParagraph"/>
                          <w:spacing w:line="194" w:lineRule="exact"/>
                          <w:ind w:left="288" w:right="-15"/>
                          <w:rPr>
                            <w:sz w:val="18"/>
                          </w:rPr>
                        </w:pPr>
                        <w:r>
                          <w:rPr>
                            <w:color w:val="010101"/>
                            <w:w w:val="95"/>
                            <w:sz w:val="18"/>
                          </w:rPr>
                          <w:t>.00140</w:t>
                        </w:r>
                      </w:p>
                    </w:tc>
                    <w:tc>
                      <w:tcPr>
                        <w:tcW w:w="992" w:type="dxa"/>
                        <w:tcBorders>
                          <w:top w:val="nil"/>
                          <w:bottom w:val="nil"/>
                        </w:tcBorders>
                      </w:tcPr>
                      <w:p>
                        <w:pPr>
                          <w:pStyle w:val="TableParagraph"/>
                          <w:spacing w:line="198" w:lineRule="exact"/>
                          <w:ind w:left="287" w:right="-17"/>
                          <w:rPr>
                            <w:sz w:val="18"/>
                          </w:rPr>
                        </w:pPr>
                        <w:r>
                          <w:rPr>
                            <w:color w:val="010101"/>
                            <w:w w:val="90"/>
                            <w:sz w:val="18"/>
                          </w:rPr>
                          <w:t>.00169</w:t>
                        </w:r>
                      </w:p>
                    </w:tc>
                    <w:tc>
                      <w:tcPr>
                        <w:tcW w:w="992" w:type="dxa"/>
                        <w:tcBorders>
                          <w:top w:val="nil"/>
                          <w:bottom w:val="nil"/>
                        </w:tcBorders>
                      </w:tcPr>
                      <w:p>
                        <w:pPr>
                          <w:pStyle w:val="TableParagraph"/>
                          <w:spacing w:before="1"/>
                          <w:ind w:left="89" w:right="41"/>
                          <w:jc w:val="center"/>
                          <w:rPr>
                            <w:sz w:val="18"/>
                          </w:rPr>
                        </w:pPr>
                        <w:r>
                          <w:rPr>
                            <w:color w:val="010101"/>
                            <w:w w:val="90"/>
                            <w:sz w:val="18"/>
                          </w:rPr>
                          <w:t>.00193</w:t>
                        </w:r>
                      </w:p>
                    </w:tc>
                    <w:tc>
                      <w:tcPr>
                        <w:tcW w:w="992" w:type="dxa"/>
                        <w:tcBorders>
                          <w:top w:val="nil"/>
                          <w:bottom w:val="nil"/>
                        </w:tcBorders>
                      </w:tcPr>
                      <w:p>
                        <w:pPr>
                          <w:pStyle w:val="TableParagraph"/>
                          <w:spacing w:line="186" w:lineRule="exact"/>
                          <w:ind w:left="276" w:right="-17"/>
                          <w:rPr>
                            <w:rFonts w:ascii="Times New Roman"/>
                            <w:sz w:val="18"/>
                          </w:rPr>
                        </w:pPr>
                        <w:r>
                          <w:rPr>
                            <w:rFonts w:ascii="Times New Roman"/>
                            <w:color w:val="212121"/>
                            <w:sz w:val="18"/>
                          </w:rPr>
                          <w:t>.</w:t>
                        </w:r>
                        <w:r>
                          <w:rPr>
                            <w:rFonts w:ascii="Times New Roman"/>
                            <w:color w:val="010101"/>
                            <w:sz w:val="18"/>
                          </w:rPr>
                          <w:t>00208</w:t>
                        </w:r>
                      </w:p>
                    </w:tc>
                    <w:tc>
                      <w:tcPr>
                        <w:tcW w:w="978" w:type="dxa"/>
                        <w:tcBorders>
                          <w:top w:val="nil"/>
                          <w:bottom w:val="nil"/>
                          <w:right w:val="nil"/>
                        </w:tcBorders>
                      </w:tcPr>
                      <w:p>
                        <w:pPr>
                          <w:pStyle w:val="TableParagraph"/>
                          <w:spacing w:before="1"/>
                          <w:ind w:left="224" w:right="196"/>
                          <w:jc w:val="center"/>
                          <w:rPr>
                            <w:sz w:val="18"/>
                          </w:rPr>
                        </w:pPr>
                        <w:r>
                          <w:rPr>
                            <w:color w:val="010101"/>
                            <w:w w:val="90"/>
                            <w:sz w:val="18"/>
                          </w:rPr>
                          <w:t>27</w:t>
                        </w:r>
                      </w:p>
                    </w:tc>
                  </w:tr>
                  <w:tr>
                    <w:trPr>
                      <w:trHeight w:val="200" w:hRule="exact"/>
                    </w:trPr>
                    <w:tc>
                      <w:tcPr>
                        <w:tcW w:w="774" w:type="dxa"/>
                        <w:tcBorders>
                          <w:top w:val="nil"/>
                          <w:left w:val="nil"/>
                          <w:bottom w:val="nil"/>
                        </w:tcBorders>
                      </w:tcPr>
                      <w:p>
                        <w:pPr>
                          <w:pStyle w:val="TableParagraph"/>
                          <w:spacing w:line="182" w:lineRule="exact"/>
                          <w:ind w:left="315"/>
                          <w:rPr>
                            <w:rFonts w:ascii="Arial"/>
                            <w:sz w:val="16"/>
                          </w:rPr>
                        </w:pPr>
                        <w:r>
                          <w:rPr>
                            <w:rFonts w:ascii="Arial"/>
                            <w:color w:val="010101"/>
                            <w:sz w:val="16"/>
                          </w:rPr>
                          <w:t>25</w:t>
                        </w:r>
                      </w:p>
                    </w:tc>
                    <w:tc>
                      <w:tcPr>
                        <w:tcW w:w="995" w:type="dxa"/>
                        <w:tcBorders>
                          <w:top w:val="nil"/>
                          <w:bottom w:val="nil"/>
                        </w:tcBorders>
                      </w:tcPr>
                      <w:p>
                        <w:pPr>
                          <w:pStyle w:val="TableParagraph"/>
                          <w:spacing w:line="192" w:lineRule="exact"/>
                          <w:ind w:left="288" w:right="-15"/>
                          <w:rPr>
                            <w:sz w:val="18"/>
                          </w:rPr>
                        </w:pPr>
                        <w:r>
                          <w:rPr>
                            <w:color w:val="010101"/>
                            <w:w w:val="95"/>
                            <w:sz w:val="18"/>
                          </w:rPr>
                          <w:t>.00140</w:t>
                        </w:r>
                      </w:p>
                    </w:tc>
                    <w:tc>
                      <w:tcPr>
                        <w:tcW w:w="992" w:type="dxa"/>
                        <w:tcBorders>
                          <w:top w:val="nil"/>
                          <w:bottom w:val="nil"/>
                        </w:tcBorders>
                      </w:tcPr>
                      <w:p>
                        <w:pPr>
                          <w:pStyle w:val="TableParagraph"/>
                          <w:spacing w:line="192" w:lineRule="exact"/>
                          <w:ind w:left="287" w:right="-17"/>
                          <w:rPr>
                            <w:sz w:val="18"/>
                          </w:rPr>
                        </w:pPr>
                        <w:r>
                          <w:rPr>
                            <w:color w:val="010101"/>
                            <w:w w:val="85"/>
                            <w:sz w:val="18"/>
                          </w:rPr>
                          <w:t>.00171</w:t>
                        </w:r>
                      </w:p>
                    </w:tc>
                    <w:tc>
                      <w:tcPr>
                        <w:tcW w:w="992" w:type="dxa"/>
                        <w:tcBorders>
                          <w:top w:val="nil"/>
                          <w:bottom w:val="nil"/>
                        </w:tcBorders>
                      </w:tcPr>
                      <w:p>
                        <w:pPr>
                          <w:pStyle w:val="TableParagraph"/>
                          <w:spacing w:line="202" w:lineRule="exact"/>
                          <w:ind w:left="102" w:right="38"/>
                          <w:jc w:val="center"/>
                          <w:rPr>
                            <w:sz w:val="18"/>
                          </w:rPr>
                        </w:pPr>
                        <w:r>
                          <w:rPr>
                            <w:color w:val="010101"/>
                            <w:sz w:val="18"/>
                          </w:rPr>
                          <w:t>.00196</w:t>
                        </w:r>
                      </w:p>
                    </w:tc>
                    <w:tc>
                      <w:tcPr>
                        <w:tcW w:w="992" w:type="dxa"/>
                        <w:tcBorders>
                          <w:top w:val="nil"/>
                          <w:bottom w:val="nil"/>
                        </w:tcBorders>
                      </w:tcPr>
                      <w:p>
                        <w:pPr>
                          <w:pStyle w:val="TableParagraph"/>
                          <w:spacing w:line="195" w:lineRule="exact"/>
                          <w:ind w:left="279" w:right="-17"/>
                          <w:rPr>
                            <w:sz w:val="18"/>
                          </w:rPr>
                        </w:pPr>
                        <w:r>
                          <w:rPr>
                            <w:color w:val="010101"/>
                            <w:w w:val="95"/>
                            <w:sz w:val="18"/>
                          </w:rPr>
                          <w:t>.00212</w:t>
                        </w:r>
                      </w:p>
                    </w:tc>
                    <w:tc>
                      <w:tcPr>
                        <w:tcW w:w="978" w:type="dxa"/>
                        <w:tcBorders>
                          <w:top w:val="nil"/>
                          <w:bottom w:val="nil"/>
                          <w:right w:val="nil"/>
                        </w:tcBorders>
                      </w:tcPr>
                      <w:p>
                        <w:pPr>
                          <w:pStyle w:val="TableParagraph"/>
                          <w:spacing w:line="199" w:lineRule="exact"/>
                          <w:ind w:left="226" w:right="196"/>
                          <w:jc w:val="center"/>
                          <w:rPr>
                            <w:sz w:val="18"/>
                          </w:rPr>
                        </w:pPr>
                        <w:r>
                          <w:rPr>
                            <w:color w:val="010101"/>
                            <w:w w:val="95"/>
                            <w:sz w:val="18"/>
                          </w:rPr>
                          <w:t>28</w:t>
                        </w:r>
                      </w:p>
                    </w:tc>
                  </w:tr>
                  <w:tr>
                    <w:trPr>
                      <w:trHeight w:val="201" w:hRule="exact"/>
                    </w:trPr>
                    <w:tc>
                      <w:tcPr>
                        <w:tcW w:w="774" w:type="dxa"/>
                        <w:tcBorders>
                          <w:top w:val="nil"/>
                          <w:left w:val="nil"/>
                          <w:bottom w:val="nil"/>
                        </w:tcBorders>
                      </w:tcPr>
                      <w:p>
                        <w:pPr>
                          <w:pStyle w:val="TableParagraph"/>
                          <w:spacing w:line="201" w:lineRule="exact"/>
                          <w:ind w:left="319"/>
                          <w:rPr>
                            <w:sz w:val="18"/>
                          </w:rPr>
                        </w:pPr>
                        <w:r>
                          <w:rPr>
                            <w:color w:val="010101"/>
                            <w:w w:val="105"/>
                            <w:sz w:val="18"/>
                          </w:rPr>
                          <w:t>26</w:t>
                        </w:r>
                      </w:p>
                    </w:tc>
                    <w:tc>
                      <w:tcPr>
                        <w:tcW w:w="995" w:type="dxa"/>
                        <w:tcBorders>
                          <w:top w:val="nil"/>
                          <w:bottom w:val="nil"/>
                        </w:tcBorders>
                      </w:tcPr>
                      <w:p>
                        <w:pPr>
                          <w:pStyle w:val="TableParagraph"/>
                          <w:spacing w:line="190" w:lineRule="exact"/>
                          <w:ind w:left="284" w:right="-15"/>
                          <w:rPr>
                            <w:sz w:val="18"/>
                          </w:rPr>
                        </w:pPr>
                        <w:r>
                          <w:rPr>
                            <w:color w:val="010101"/>
                            <w:w w:val="90"/>
                            <w:sz w:val="18"/>
                          </w:rPr>
                          <w:t>.00140</w:t>
                        </w:r>
                      </w:p>
                    </w:tc>
                    <w:tc>
                      <w:tcPr>
                        <w:tcW w:w="992" w:type="dxa"/>
                        <w:tcBorders>
                          <w:top w:val="nil"/>
                          <w:bottom w:val="nil"/>
                        </w:tcBorders>
                      </w:tcPr>
                      <w:p>
                        <w:pPr>
                          <w:pStyle w:val="TableParagraph"/>
                          <w:spacing w:line="193" w:lineRule="exact"/>
                          <w:ind w:left="287" w:right="-17"/>
                          <w:rPr>
                            <w:sz w:val="18"/>
                          </w:rPr>
                        </w:pPr>
                        <w:r>
                          <w:rPr>
                            <w:color w:val="010101"/>
                            <w:w w:val="85"/>
                            <w:sz w:val="18"/>
                          </w:rPr>
                          <w:t>.00173</w:t>
                        </w:r>
                      </w:p>
                    </w:tc>
                    <w:tc>
                      <w:tcPr>
                        <w:tcW w:w="992" w:type="dxa"/>
                        <w:tcBorders>
                          <w:top w:val="nil"/>
                          <w:bottom w:val="nil"/>
                        </w:tcBorders>
                      </w:tcPr>
                      <w:p>
                        <w:pPr>
                          <w:pStyle w:val="TableParagraph"/>
                          <w:spacing w:line="201" w:lineRule="exact"/>
                          <w:ind w:left="94" w:right="41"/>
                          <w:jc w:val="center"/>
                          <w:rPr>
                            <w:sz w:val="18"/>
                          </w:rPr>
                        </w:pPr>
                        <w:r>
                          <w:rPr>
                            <w:color w:val="010101"/>
                            <w:w w:val="90"/>
                            <w:sz w:val="18"/>
                          </w:rPr>
                          <w:t>.00199</w:t>
                        </w:r>
                      </w:p>
                    </w:tc>
                    <w:tc>
                      <w:tcPr>
                        <w:tcW w:w="992" w:type="dxa"/>
                        <w:tcBorders>
                          <w:top w:val="nil"/>
                          <w:bottom w:val="nil"/>
                          <w:right w:val="single" w:sz="4" w:space="0" w:color="000000"/>
                        </w:tcBorders>
                      </w:tcPr>
                      <w:p>
                        <w:pPr>
                          <w:pStyle w:val="TableParagraph"/>
                          <w:spacing w:line="197" w:lineRule="exact"/>
                          <w:ind w:left="279"/>
                          <w:rPr>
                            <w:sz w:val="18"/>
                          </w:rPr>
                        </w:pPr>
                        <w:r>
                          <w:rPr>
                            <w:color w:val="010101"/>
                            <w:w w:val="85"/>
                            <w:sz w:val="18"/>
                          </w:rPr>
                          <w:t>.00217</w:t>
                        </w:r>
                      </w:p>
                    </w:tc>
                    <w:tc>
                      <w:tcPr>
                        <w:tcW w:w="978" w:type="dxa"/>
                        <w:tcBorders>
                          <w:top w:val="nil"/>
                          <w:left w:val="single" w:sz="4" w:space="0" w:color="000000"/>
                          <w:bottom w:val="nil"/>
                          <w:right w:val="nil"/>
                        </w:tcBorders>
                      </w:tcPr>
                      <w:p>
                        <w:pPr>
                          <w:pStyle w:val="TableParagraph"/>
                          <w:spacing w:line="201" w:lineRule="exact"/>
                          <w:ind w:left="344" w:right="319"/>
                          <w:jc w:val="center"/>
                          <w:rPr>
                            <w:sz w:val="18"/>
                          </w:rPr>
                        </w:pPr>
                        <w:r>
                          <w:rPr>
                            <w:color w:val="010101"/>
                            <w:w w:val="90"/>
                            <w:sz w:val="18"/>
                          </w:rPr>
                          <w:t>29</w:t>
                        </w:r>
                      </w:p>
                    </w:tc>
                  </w:tr>
                  <w:tr>
                    <w:trPr>
                      <w:trHeight w:val="204" w:hRule="exact"/>
                    </w:trPr>
                    <w:tc>
                      <w:tcPr>
                        <w:tcW w:w="774" w:type="dxa"/>
                        <w:tcBorders>
                          <w:top w:val="nil"/>
                          <w:left w:val="nil"/>
                          <w:bottom w:val="nil"/>
                        </w:tcBorders>
                      </w:tcPr>
                      <w:p>
                        <w:pPr>
                          <w:pStyle w:val="TableParagraph"/>
                          <w:ind w:left="315"/>
                          <w:rPr>
                            <w:sz w:val="18"/>
                          </w:rPr>
                        </w:pPr>
                        <w:r>
                          <w:rPr>
                            <w:color w:val="010101"/>
                            <w:w w:val="90"/>
                            <w:sz w:val="18"/>
                          </w:rPr>
                          <w:t>27</w:t>
                        </w:r>
                      </w:p>
                    </w:tc>
                    <w:tc>
                      <w:tcPr>
                        <w:tcW w:w="995" w:type="dxa"/>
                        <w:tcBorders>
                          <w:top w:val="nil"/>
                          <w:bottom w:val="nil"/>
                        </w:tcBorders>
                      </w:tcPr>
                      <w:p>
                        <w:pPr>
                          <w:pStyle w:val="TableParagraph"/>
                          <w:spacing w:line="193" w:lineRule="exact"/>
                          <w:ind w:left="288" w:right="-15"/>
                          <w:rPr>
                            <w:sz w:val="18"/>
                          </w:rPr>
                        </w:pPr>
                        <w:r>
                          <w:rPr>
                            <w:color w:val="010101"/>
                            <w:w w:val="90"/>
                            <w:sz w:val="18"/>
                          </w:rPr>
                          <w:t>.00141</w:t>
                        </w:r>
                      </w:p>
                    </w:tc>
                    <w:tc>
                      <w:tcPr>
                        <w:tcW w:w="992" w:type="dxa"/>
                        <w:tcBorders>
                          <w:top w:val="nil"/>
                          <w:bottom w:val="nil"/>
                        </w:tcBorders>
                      </w:tcPr>
                      <w:p>
                        <w:pPr>
                          <w:pStyle w:val="TableParagraph"/>
                          <w:spacing w:line="193" w:lineRule="exact"/>
                          <w:ind w:left="287" w:right="-17"/>
                          <w:rPr>
                            <w:sz w:val="18"/>
                          </w:rPr>
                        </w:pPr>
                        <w:r>
                          <w:rPr>
                            <w:color w:val="010101"/>
                            <w:w w:val="90"/>
                            <w:sz w:val="18"/>
                          </w:rPr>
                          <w:t>.00175</w:t>
                        </w:r>
                      </w:p>
                    </w:tc>
                    <w:tc>
                      <w:tcPr>
                        <w:tcW w:w="992" w:type="dxa"/>
                        <w:tcBorders>
                          <w:top w:val="nil"/>
                          <w:bottom w:val="nil"/>
                        </w:tcBorders>
                      </w:tcPr>
                      <w:p>
                        <w:pPr>
                          <w:pStyle w:val="TableParagraph"/>
                          <w:spacing w:line="207" w:lineRule="exact"/>
                          <w:ind w:left="91" w:right="41"/>
                          <w:jc w:val="center"/>
                          <w:rPr>
                            <w:sz w:val="19"/>
                          </w:rPr>
                        </w:pPr>
                        <w:r>
                          <w:rPr>
                            <w:color w:val="010101"/>
                            <w:w w:val="80"/>
                            <w:sz w:val="19"/>
                          </w:rPr>
                          <w:t>.00203</w:t>
                        </w:r>
                      </w:p>
                    </w:tc>
                    <w:tc>
                      <w:tcPr>
                        <w:tcW w:w="992" w:type="dxa"/>
                        <w:tcBorders>
                          <w:top w:val="nil"/>
                          <w:bottom w:val="nil"/>
                          <w:right w:val="single" w:sz="4" w:space="0" w:color="000000"/>
                        </w:tcBorders>
                      </w:tcPr>
                      <w:p>
                        <w:pPr>
                          <w:pStyle w:val="TableParagraph"/>
                          <w:spacing w:line="197" w:lineRule="exact"/>
                          <w:ind w:left="279"/>
                          <w:rPr>
                            <w:sz w:val="18"/>
                          </w:rPr>
                        </w:pPr>
                        <w:r>
                          <w:rPr>
                            <w:color w:val="010101"/>
                            <w:w w:val="85"/>
                            <w:sz w:val="18"/>
                          </w:rPr>
                          <w:t>.00223</w:t>
                        </w:r>
                      </w:p>
                    </w:tc>
                    <w:tc>
                      <w:tcPr>
                        <w:tcW w:w="978" w:type="dxa"/>
                        <w:tcBorders>
                          <w:top w:val="nil"/>
                          <w:left w:val="single" w:sz="4" w:space="0" w:color="000000"/>
                          <w:bottom w:val="nil"/>
                          <w:right w:val="nil"/>
                        </w:tcBorders>
                      </w:tcPr>
                      <w:p>
                        <w:pPr>
                          <w:pStyle w:val="TableParagraph"/>
                          <w:spacing w:line="201" w:lineRule="exact"/>
                          <w:ind w:left="376" w:right="319"/>
                          <w:jc w:val="center"/>
                          <w:rPr>
                            <w:sz w:val="18"/>
                          </w:rPr>
                        </w:pPr>
                        <w:r>
                          <w:rPr>
                            <w:color w:val="010101"/>
                            <w:w w:val="110"/>
                            <w:sz w:val="18"/>
                          </w:rPr>
                          <w:t>30</w:t>
                        </w:r>
                      </w:p>
                    </w:tc>
                  </w:tr>
                  <w:tr>
                    <w:trPr>
                      <w:trHeight w:val="198" w:hRule="exact"/>
                    </w:trPr>
                    <w:tc>
                      <w:tcPr>
                        <w:tcW w:w="774" w:type="dxa"/>
                        <w:tcBorders>
                          <w:top w:val="nil"/>
                          <w:left w:val="nil"/>
                          <w:bottom w:val="nil"/>
                        </w:tcBorders>
                      </w:tcPr>
                      <w:p>
                        <w:pPr>
                          <w:pStyle w:val="TableParagraph"/>
                          <w:spacing w:line="201" w:lineRule="exact"/>
                          <w:ind w:left="315"/>
                          <w:rPr>
                            <w:sz w:val="18"/>
                          </w:rPr>
                        </w:pPr>
                        <w:r>
                          <w:rPr>
                            <w:color w:val="010101"/>
                            <w:w w:val="90"/>
                            <w:sz w:val="18"/>
                          </w:rPr>
                          <w:t>28</w:t>
                        </w:r>
                      </w:p>
                    </w:tc>
                    <w:tc>
                      <w:tcPr>
                        <w:tcW w:w="995" w:type="dxa"/>
                        <w:tcBorders>
                          <w:top w:val="nil"/>
                          <w:bottom w:val="nil"/>
                        </w:tcBorders>
                      </w:tcPr>
                      <w:p>
                        <w:pPr>
                          <w:pStyle w:val="TableParagraph"/>
                          <w:spacing w:line="190" w:lineRule="exact"/>
                          <w:ind w:left="284" w:right="-15"/>
                          <w:rPr>
                            <w:sz w:val="18"/>
                          </w:rPr>
                        </w:pPr>
                        <w:r>
                          <w:rPr>
                            <w:color w:val="010101"/>
                            <w:w w:val="95"/>
                            <w:sz w:val="18"/>
                          </w:rPr>
                          <w:t>.00143</w:t>
                        </w:r>
                      </w:p>
                    </w:tc>
                    <w:tc>
                      <w:tcPr>
                        <w:tcW w:w="992" w:type="dxa"/>
                        <w:tcBorders>
                          <w:top w:val="nil"/>
                          <w:bottom w:val="nil"/>
                        </w:tcBorders>
                      </w:tcPr>
                      <w:p>
                        <w:pPr>
                          <w:pStyle w:val="TableParagraph"/>
                          <w:spacing w:line="190" w:lineRule="exact"/>
                          <w:ind w:left="287" w:right="-17"/>
                          <w:rPr>
                            <w:sz w:val="18"/>
                          </w:rPr>
                        </w:pPr>
                        <w:r>
                          <w:rPr>
                            <w:color w:val="010101"/>
                            <w:w w:val="90"/>
                            <w:sz w:val="18"/>
                          </w:rPr>
                          <w:t>.00179</w:t>
                        </w:r>
                      </w:p>
                    </w:tc>
                    <w:tc>
                      <w:tcPr>
                        <w:tcW w:w="992" w:type="dxa"/>
                        <w:tcBorders>
                          <w:top w:val="nil"/>
                          <w:bottom w:val="nil"/>
                        </w:tcBorders>
                      </w:tcPr>
                      <w:p>
                        <w:pPr>
                          <w:pStyle w:val="TableParagraph"/>
                          <w:spacing w:line="201" w:lineRule="exact"/>
                          <w:ind w:left="91" w:right="41"/>
                          <w:jc w:val="center"/>
                          <w:rPr>
                            <w:sz w:val="18"/>
                          </w:rPr>
                        </w:pPr>
                        <w:r>
                          <w:rPr>
                            <w:color w:val="010101"/>
                            <w:w w:val="85"/>
                            <w:sz w:val="18"/>
                          </w:rPr>
                          <w:t>.00208</w:t>
                        </w:r>
                      </w:p>
                    </w:tc>
                    <w:tc>
                      <w:tcPr>
                        <w:tcW w:w="992" w:type="dxa"/>
                        <w:tcBorders>
                          <w:top w:val="nil"/>
                          <w:bottom w:val="nil"/>
                          <w:right w:val="single" w:sz="4" w:space="0" w:color="000000"/>
                        </w:tcBorders>
                      </w:tcPr>
                      <w:p>
                        <w:pPr>
                          <w:pStyle w:val="TableParagraph"/>
                          <w:spacing w:line="194" w:lineRule="exact"/>
                          <w:ind w:left="276"/>
                          <w:rPr>
                            <w:sz w:val="18"/>
                          </w:rPr>
                        </w:pPr>
                        <w:r>
                          <w:rPr>
                            <w:color w:val="010101"/>
                            <w:w w:val="90"/>
                            <w:sz w:val="18"/>
                          </w:rPr>
                          <w:t>.00230</w:t>
                        </w:r>
                      </w:p>
                    </w:tc>
                    <w:tc>
                      <w:tcPr>
                        <w:tcW w:w="978" w:type="dxa"/>
                        <w:tcBorders>
                          <w:top w:val="nil"/>
                          <w:left w:val="single" w:sz="4" w:space="0" w:color="000000"/>
                          <w:bottom w:val="nil"/>
                          <w:right w:val="nil"/>
                        </w:tcBorders>
                      </w:tcPr>
                      <w:p>
                        <w:pPr>
                          <w:pStyle w:val="TableParagraph"/>
                          <w:spacing w:line="194" w:lineRule="exact"/>
                          <w:ind w:left="347" w:right="319"/>
                          <w:jc w:val="center"/>
                          <w:rPr>
                            <w:sz w:val="18"/>
                          </w:rPr>
                        </w:pPr>
                        <w:r>
                          <w:rPr>
                            <w:color w:val="010101"/>
                            <w:w w:val="90"/>
                            <w:sz w:val="18"/>
                          </w:rPr>
                          <w:t>31</w:t>
                        </w:r>
                      </w:p>
                    </w:tc>
                  </w:tr>
                  <w:tr>
                    <w:trPr>
                      <w:trHeight w:val="203" w:hRule="exact"/>
                    </w:trPr>
                    <w:tc>
                      <w:tcPr>
                        <w:tcW w:w="774" w:type="dxa"/>
                        <w:tcBorders>
                          <w:top w:val="nil"/>
                          <w:left w:val="nil"/>
                          <w:bottom w:val="nil"/>
                        </w:tcBorders>
                      </w:tcPr>
                      <w:p>
                        <w:pPr>
                          <w:pStyle w:val="TableParagraph"/>
                          <w:spacing w:before="4"/>
                          <w:ind w:left="315"/>
                          <w:rPr>
                            <w:sz w:val="18"/>
                          </w:rPr>
                        </w:pPr>
                        <w:r>
                          <w:rPr>
                            <w:color w:val="010101"/>
                            <w:w w:val="90"/>
                            <w:sz w:val="18"/>
                          </w:rPr>
                          <w:t>29</w:t>
                        </w:r>
                      </w:p>
                    </w:tc>
                    <w:tc>
                      <w:tcPr>
                        <w:tcW w:w="995" w:type="dxa"/>
                        <w:tcBorders>
                          <w:top w:val="nil"/>
                          <w:bottom w:val="nil"/>
                        </w:tcBorders>
                      </w:tcPr>
                      <w:p>
                        <w:pPr>
                          <w:pStyle w:val="TableParagraph"/>
                          <w:spacing w:line="193" w:lineRule="exact"/>
                          <w:ind w:left="284" w:right="-15"/>
                          <w:rPr>
                            <w:sz w:val="18"/>
                          </w:rPr>
                        </w:pPr>
                        <w:r>
                          <w:rPr>
                            <w:color w:val="010101"/>
                            <w:w w:val="95"/>
                            <w:sz w:val="18"/>
                          </w:rPr>
                          <w:t>.00146</w:t>
                        </w:r>
                      </w:p>
                    </w:tc>
                    <w:tc>
                      <w:tcPr>
                        <w:tcW w:w="992" w:type="dxa"/>
                        <w:tcBorders>
                          <w:top w:val="nil"/>
                          <w:bottom w:val="nil"/>
                        </w:tcBorders>
                      </w:tcPr>
                      <w:p>
                        <w:pPr>
                          <w:pStyle w:val="TableParagraph"/>
                          <w:spacing w:line="190" w:lineRule="exact"/>
                          <w:ind w:left="287" w:right="-17"/>
                          <w:rPr>
                            <w:sz w:val="18"/>
                          </w:rPr>
                        </w:pPr>
                        <w:r>
                          <w:rPr>
                            <w:color w:val="010101"/>
                            <w:w w:val="85"/>
                            <w:sz w:val="18"/>
                          </w:rPr>
                          <w:t>.00183</w:t>
                        </w:r>
                      </w:p>
                    </w:tc>
                    <w:tc>
                      <w:tcPr>
                        <w:tcW w:w="992" w:type="dxa"/>
                        <w:tcBorders>
                          <w:top w:val="nil"/>
                          <w:bottom w:val="nil"/>
                        </w:tcBorders>
                      </w:tcPr>
                      <w:p>
                        <w:pPr>
                          <w:pStyle w:val="TableParagraph"/>
                          <w:ind w:left="87" w:right="41"/>
                          <w:jc w:val="center"/>
                          <w:rPr>
                            <w:sz w:val="18"/>
                          </w:rPr>
                        </w:pPr>
                        <w:r>
                          <w:rPr>
                            <w:color w:val="010101"/>
                            <w:sz w:val="18"/>
                          </w:rPr>
                          <w:t>.00215</w:t>
                        </w:r>
                      </w:p>
                    </w:tc>
                    <w:tc>
                      <w:tcPr>
                        <w:tcW w:w="992" w:type="dxa"/>
                        <w:tcBorders>
                          <w:top w:val="nil"/>
                          <w:bottom w:val="nil"/>
                          <w:right w:val="single" w:sz="4" w:space="0" w:color="000000"/>
                        </w:tcBorders>
                      </w:tcPr>
                      <w:p>
                        <w:pPr>
                          <w:pStyle w:val="TableParagraph"/>
                          <w:spacing w:line="197" w:lineRule="exact"/>
                          <w:ind w:left="279"/>
                          <w:rPr>
                            <w:sz w:val="18"/>
                          </w:rPr>
                        </w:pPr>
                        <w:r>
                          <w:rPr>
                            <w:color w:val="010101"/>
                            <w:w w:val="90"/>
                            <w:sz w:val="18"/>
                          </w:rPr>
                          <w:t>.00239</w:t>
                        </w:r>
                      </w:p>
                    </w:tc>
                    <w:tc>
                      <w:tcPr>
                        <w:tcW w:w="978" w:type="dxa"/>
                        <w:tcBorders>
                          <w:top w:val="nil"/>
                          <w:left w:val="single" w:sz="4" w:space="0" w:color="000000"/>
                          <w:bottom w:val="nil"/>
                          <w:right w:val="nil"/>
                        </w:tcBorders>
                      </w:tcPr>
                      <w:p>
                        <w:pPr>
                          <w:pStyle w:val="TableParagraph"/>
                          <w:spacing w:line="197" w:lineRule="exact"/>
                          <w:ind w:left="366" w:right="319"/>
                          <w:jc w:val="center"/>
                          <w:rPr>
                            <w:sz w:val="18"/>
                          </w:rPr>
                        </w:pPr>
                        <w:r>
                          <w:rPr>
                            <w:color w:val="010101"/>
                            <w:sz w:val="18"/>
                          </w:rPr>
                          <w:t>32</w:t>
                        </w:r>
                      </w:p>
                    </w:tc>
                  </w:tr>
                  <w:tr>
                    <w:trPr>
                      <w:trHeight w:val="267" w:hRule="exact"/>
                    </w:trPr>
                    <w:tc>
                      <w:tcPr>
                        <w:tcW w:w="774" w:type="dxa"/>
                        <w:tcBorders>
                          <w:top w:val="nil"/>
                          <w:left w:val="nil"/>
                          <w:bottom w:val="nil"/>
                        </w:tcBorders>
                      </w:tcPr>
                      <w:p>
                        <w:pPr>
                          <w:pStyle w:val="TableParagraph"/>
                          <w:spacing w:line="202" w:lineRule="exact"/>
                          <w:ind w:left="312"/>
                          <w:rPr>
                            <w:sz w:val="18"/>
                          </w:rPr>
                        </w:pPr>
                        <w:r>
                          <w:rPr>
                            <w:color w:val="010101"/>
                            <w:w w:val="110"/>
                            <w:sz w:val="18"/>
                          </w:rPr>
                          <w:t>30</w:t>
                        </w:r>
                      </w:p>
                    </w:tc>
                    <w:tc>
                      <w:tcPr>
                        <w:tcW w:w="995" w:type="dxa"/>
                        <w:tcBorders>
                          <w:top w:val="nil"/>
                          <w:bottom w:val="nil"/>
                        </w:tcBorders>
                      </w:tcPr>
                      <w:p>
                        <w:pPr>
                          <w:pStyle w:val="TableParagraph"/>
                          <w:spacing w:line="192" w:lineRule="exact"/>
                          <w:ind w:left="284" w:right="-15"/>
                          <w:rPr>
                            <w:sz w:val="18"/>
                          </w:rPr>
                        </w:pPr>
                        <w:r>
                          <w:rPr>
                            <w:color w:val="010101"/>
                            <w:spacing w:val="-10"/>
                            <w:w w:val="85"/>
                            <w:sz w:val="18"/>
                          </w:rPr>
                          <w:t>.00149 </w:t>
                        </w:r>
                        <w:r>
                          <w:rPr>
                            <w:color w:val="010101"/>
                            <w:w w:val="85"/>
                            <w:sz w:val="18"/>
                          </w:rPr>
                          <w:t>·</w:t>
                        </w:r>
                      </w:p>
                    </w:tc>
                    <w:tc>
                      <w:tcPr>
                        <w:tcW w:w="992" w:type="dxa"/>
                        <w:tcBorders>
                          <w:top w:val="nil"/>
                          <w:bottom w:val="nil"/>
                        </w:tcBorders>
                      </w:tcPr>
                      <w:p>
                        <w:pPr>
                          <w:pStyle w:val="TableParagraph"/>
                          <w:spacing w:line="188" w:lineRule="exact"/>
                          <w:ind w:left="283" w:right="-17"/>
                          <w:rPr>
                            <w:sz w:val="18"/>
                          </w:rPr>
                        </w:pPr>
                        <w:r>
                          <w:rPr>
                            <w:color w:val="212121"/>
                            <w:sz w:val="18"/>
                          </w:rPr>
                          <w:t>.</w:t>
                        </w:r>
                        <w:r>
                          <w:rPr>
                            <w:color w:val="010101"/>
                            <w:sz w:val="18"/>
                          </w:rPr>
                          <w:t>00189</w:t>
                        </w:r>
                      </w:p>
                    </w:tc>
                    <w:tc>
                      <w:tcPr>
                        <w:tcW w:w="992" w:type="dxa"/>
                        <w:tcBorders>
                          <w:top w:val="nil"/>
                          <w:bottom w:val="nil"/>
                        </w:tcBorders>
                      </w:tcPr>
                      <w:p>
                        <w:pPr>
                          <w:pStyle w:val="TableParagraph"/>
                          <w:spacing w:line="183" w:lineRule="exact"/>
                          <w:ind w:left="65" w:right="41"/>
                          <w:jc w:val="center"/>
                          <w:rPr>
                            <w:rFonts w:ascii="Times New Roman"/>
                            <w:sz w:val="16"/>
                          </w:rPr>
                        </w:pPr>
                        <w:r>
                          <w:rPr>
                            <w:rFonts w:ascii="Times New Roman"/>
                            <w:color w:val="010101"/>
                            <w:w w:val="105"/>
                            <w:sz w:val="16"/>
                          </w:rPr>
                          <w:t>.00224</w:t>
                        </w:r>
                      </w:p>
                    </w:tc>
                    <w:tc>
                      <w:tcPr>
                        <w:tcW w:w="992" w:type="dxa"/>
                        <w:tcBorders>
                          <w:top w:val="nil"/>
                          <w:bottom w:val="nil"/>
                          <w:right w:val="single" w:sz="4" w:space="0" w:color="000000"/>
                        </w:tcBorders>
                      </w:tcPr>
                      <w:p>
                        <w:pPr>
                          <w:pStyle w:val="TableParagraph"/>
                          <w:spacing w:line="176" w:lineRule="exact"/>
                          <w:ind w:left="276"/>
                          <w:rPr>
                            <w:rFonts w:ascii="Times New Roman"/>
                            <w:sz w:val="16"/>
                          </w:rPr>
                        </w:pPr>
                        <w:r>
                          <w:rPr>
                            <w:rFonts w:ascii="Times New Roman"/>
                            <w:color w:val="010101"/>
                            <w:w w:val="105"/>
                            <w:sz w:val="16"/>
                          </w:rPr>
                          <w:t>.00250</w:t>
                        </w:r>
                      </w:p>
                    </w:tc>
                    <w:tc>
                      <w:tcPr>
                        <w:tcW w:w="978" w:type="dxa"/>
                        <w:tcBorders>
                          <w:top w:val="nil"/>
                          <w:left w:val="single" w:sz="4" w:space="0" w:color="000000"/>
                          <w:bottom w:val="nil"/>
                          <w:right w:val="nil"/>
                        </w:tcBorders>
                      </w:tcPr>
                      <w:p>
                        <w:pPr>
                          <w:pStyle w:val="TableParagraph"/>
                          <w:spacing w:line="202" w:lineRule="exact"/>
                          <w:ind w:left="351" w:right="319"/>
                          <w:jc w:val="center"/>
                          <w:rPr>
                            <w:sz w:val="18"/>
                          </w:rPr>
                        </w:pPr>
                        <w:r>
                          <w:rPr>
                            <w:color w:val="010101"/>
                            <w:w w:val="95"/>
                            <w:sz w:val="18"/>
                          </w:rPr>
                          <w:t>33</w:t>
                        </w:r>
                      </w:p>
                    </w:tc>
                  </w:tr>
                </w:tbl>
                <w:p>
                  <w:pPr>
                    <w:pStyle w:val="BodyText"/>
                  </w:pPr>
                </w:p>
              </w:txbxContent>
            </v:textbox>
            <w10:wrap type="none"/>
          </v:shape>
        </w:pict>
      </w:r>
      <w:r>
        <w:rPr>
          <w:color w:val="010101"/>
          <w:w w:val="105"/>
          <w:position w:val="1"/>
          <w:sz w:val="19"/>
        </w:rPr>
        <w:t>26</w:t>
        <w:tab/>
      </w:r>
      <w:r>
        <w:rPr>
          <w:color w:val="010101"/>
          <w:w w:val="105"/>
          <w:sz w:val="15"/>
        </w:rPr>
        <w:t>THE   MEASUREMENT </w:t>
      </w:r>
      <w:r>
        <w:rPr>
          <w:color w:val="010101"/>
          <w:spacing w:val="35"/>
          <w:w w:val="105"/>
          <w:sz w:val="15"/>
        </w:rPr>
        <w:t> </w:t>
      </w:r>
      <w:r>
        <w:rPr>
          <w:color w:val="010101"/>
          <w:w w:val="105"/>
          <w:sz w:val="15"/>
        </w:rPr>
        <w:t>OF </w:t>
      </w:r>
      <w:r>
        <w:rPr>
          <w:color w:val="010101"/>
          <w:spacing w:val="15"/>
          <w:w w:val="105"/>
          <w:sz w:val="15"/>
        </w:rPr>
        <w:t> </w:t>
      </w:r>
      <w:r>
        <w:rPr>
          <w:color w:val="010101"/>
          <w:w w:val="105"/>
          <w:sz w:val="15"/>
        </w:rPr>
        <w:t>'MORTALITY</w:t>
        <w:tab/>
      </w:r>
      <w:r>
        <w:rPr>
          <w:color w:val="010101"/>
          <w:w w:val="105"/>
          <w:sz w:val="19"/>
        </w:rPr>
        <w:t>[CH.</w:t>
      </w:r>
      <w:r>
        <w:rPr>
          <w:color w:val="010101"/>
          <w:spacing w:val="-19"/>
          <w:w w:val="105"/>
          <w:sz w:val="19"/>
        </w:rPr>
        <w:t> </w:t>
      </w:r>
      <w:r>
        <w:rPr>
          <w:color w:val="010101"/>
          <w:w w:val="105"/>
          <w:sz w:val="20"/>
        </w:rPr>
        <w:t>1</w:t>
      </w:r>
    </w:p>
    <w:p>
      <w:pPr>
        <w:pStyle w:val="BodyText"/>
        <w:spacing w:before="8"/>
      </w:pPr>
    </w:p>
    <w:p>
      <w:pPr>
        <w:spacing w:before="0"/>
        <w:ind w:left="293" w:right="297" w:firstLine="0"/>
        <w:jc w:val="center"/>
        <w:rPr>
          <w:sz w:val="18"/>
        </w:rPr>
      </w:pPr>
      <w:r>
        <w:rPr>
          <w:color w:val="010101"/>
          <w:w w:val="105"/>
          <w:sz w:val="18"/>
        </w:rPr>
        <w:t>TABLE 3</w:t>
      </w:r>
    </w:p>
    <w:p>
      <w:pPr>
        <w:spacing w:before="86"/>
        <w:ind w:left="293" w:right="317" w:firstLine="0"/>
        <w:jc w:val="center"/>
        <w:rPr>
          <w:rFonts w:ascii="Arial"/>
          <w:b/>
          <w:sz w:val="12"/>
        </w:rPr>
      </w:pPr>
      <w:r>
        <w:rPr>
          <w:rFonts w:ascii="Arial"/>
          <w:b/>
          <w:color w:val="010101"/>
          <w:w w:val="120"/>
          <w:sz w:val="12"/>
        </w:rPr>
        <w:t>8ECTION  OF  8ELECT  ANO  ULTIMATE  TABLE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
        <w:rPr>
          <w:rFonts w:ascii="Arial"/>
          <w:b/>
          <w:sz w:val="18"/>
        </w:rPr>
      </w:pPr>
    </w:p>
    <w:p>
      <w:pPr>
        <w:tabs>
          <w:tab w:pos="2412" w:val="left" w:leader="none"/>
          <w:tab w:pos="2934" w:val="left" w:leader="none"/>
          <w:tab w:pos="3169" w:val="left" w:leader="none"/>
          <w:tab w:pos="3554" w:val="left" w:leader="none"/>
          <w:tab w:pos="3869" w:val="left" w:leader="none"/>
          <w:tab w:pos="5758" w:val="left" w:leader="none"/>
        </w:tabs>
        <w:spacing w:before="0"/>
        <w:ind w:left="140" w:right="0" w:firstLine="0"/>
        <w:jc w:val="left"/>
        <w:rPr>
          <w:sz w:val="18"/>
        </w:rPr>
      </w:pPr>
      <w:r>
        <w:rPr>
          <w:color w:val="010101"/>
          <w:sz w:val="18"/>
          <w:u w:val="thick" w:color="000000"/>
        </w:rPr>
        <w:t> </w:t>
        <w:tab/>
      </w:r>
      <w:r>
        <w:rPr>
          <w:color w:val="010101"/>
          <w:w w:val="115"/>
          <w:sz w:val="18"/>
          <w:u w:val="thick" w:color="000000"/>
        </w:rPr>
        <w:t>-</w:t>
      </w:r>
      <w:r>
        <w:rPr>
          <w:color w:val="010101"/>
          <w:sz w:val="18"/>
          <w:u w:val="thick" w:color="000000"/>
        </w:rPr>
        <w:tab/>
      </w:r>
      <w:r>
        <w:rPr>
          <w:color w:val="010101"/>
          <w:sz w:val="18"/>
        </w:rPr>
        <w:tab/>
      </w:r>
      <w:r>
        <w:rPr>
          <w:color w:val="010101"/>
          <w:sz w:val="18"/>
          <w:u w:val="single" w:color="000000"/>
        </w:rPr>
        <w:t> </w:t>
        <w:tab/>
      </w:r>
      <w:r>
        <w:rPr>
          <w:color w:val="010101"/>
          <w:sz w:val="18"/>
        </w:rPr>
        <w:tab/>
      </w:r>
      <w:r>
        <w:rPr>
          <w:color w:val="010101"/>
          <w:sz w:val="18"/>
          <w:u w:val="single" w:color="000000"/>
        </w:rPr>
        <w:t> </w:t>
        <w:tab/>
      </w:r>
    </w:p>
    <w:p>
      <w:pPr>
        <w:spacing w:after="0"/>
        <w:jc w:val="left"/>
        <w:rPr>
          <w:sz w:val="18"/>
        </w:rPr>
        <w:sectPr>
          <w:pgSz w:w="7200" w:h="11340"/>
          <w:pgMar w:top="520" w:bottom="280" w:left="660" w:right="520"/>
        </w:sectPr>
      </w:pPr>
    </w:p>
    <w:p>
      <w:pPr>
        <w:tabs>
          <w:tab w:pos="1791" w:val="left" w:leader="none"/>
        </w:tabs>
        <w:spacing w:before="57"/>
        <w:ind w:left="104" w:right="0" w:firstLine="0"/>
        <w:jc w:val="both"/>
        <w:rPr>
          <w:b/>
          <w:sz w:val="15"/>
        </w:rPr>
      </w:pPr>
      <w:r>
        <w:rPr>
          <w:b/>
          <w:color w:val="010101"/>
          <w:w w:val="105"/>
          <w:sz w:val="15"/>
        </w:rPr>
        <w:t>SEC.</w:t>
      </w:r>
      <w:r>
        <w:rPr>
          <w:b/>
          <w:color w:val="010101"/>
          <w:spacing w:val="26"/>
          <w:w w:val="105"/>
          <w:sz w:val="15"/>
        </w:rPr>
        <w:t> </w:t>
      </w:r>
      <w:r>
        <w:rPr>
          <w:b/>
          <w:color w:val="010101"/>
          <w:w w:val="105"/>
          <w:sz w:val="20"/>
        </w:rPr>
        <w:t>8]</w:t>
        <w:tab/>
      </w:r>
      <w:r>
        <w:rPr>
          <w:b/>
          <w:color w:val="010101"/>
          <w:w w:val="105"/>
          <w:position w:val="1"/>
          <w:sz w:val="15"/>
        </w:rPr>
        <w:t>SELECT MORTALITY</w:t>
      </w:r>
      <w:r>
        <w:rPr>
          <w:b/>
          <w:color w:val="010101"/>
          <w:spacing w:val="37"/>
          <w:w w:val="105"/>
          <w:position w:val="1"/>
          <w:sz w:val="15"/>
        </w:rPr>
        <w:t> </w:t>
      </w:r>
      <w:r>
        <w:rPr>
          <w:b/>
          <w:color w:val="010101"/>
          <w:w w:val="105"/>
          <w:position w:val="1"/>
          <w:sz w:val="15"/>
        </w:rPr>
        <w:t>TABLES</w:t>
      </w:r>
    </w:p>
    <w:p>
      <w:pPr>
        <w:pStyle w:val="BodyText"/>
        <w:spacing w:before="7"/>
        <w:rPr>
          <w:b/>
        </w:rPr>
      </w:pPr>
    </w:p>
    <w:p>
      <w:pPr>
        <w:spacing w:line="237" w:lineRule="auto" w:before="0"/>
        <w:ind w:left="104" w:right="108" w:firstLine="0"/>
        <w:jc w:val="both"/>
        <w:rPr>
          <w:sz w:val="21"/>
        </w:rPr>
      </w:pPr>
      <w:r>
        <w:rPr>
          <w:color w:val="010101"/>
          <w:sz w:val="21"/>
        </w:rPr>
        <w:t>This produces the entire ultimate colunm. The select  values  for ages at issue over 20 must now </w:t>
      </w:r>
      <w:r>
        <w:rPr>
          <w:color w:val="010101"/>
          <w:sz w:val="19"/>
        </w:rPr>
        <w:t>be </w:t>
      </w:r>
      <w:r>
        <w:rPr>
          <w:color w:val="010101"/>
          <w:sz w:val="21"/>
        </w:rPr>
        <w:t>filled in so that the ultimate  values already obtained represent the correct number of survivors for each age at issue. This is done by working backwards from the ultimate  values.  To fill  in the select values </w:t>
      </w:r>
      <w:r>
        <w:rPr>
          <w:color w:val="010101"/>
          <w:sz w:val="19"/>
        </w:rPr>
        <w:t>for  </w:t>
      </w:r>
      <w:r>
        <w:rPr>
          <w:color w:val="010101"/>
          <w:sz w:val="21"/>
        </w:rPr>
        <w:t>age  at issue </w:t>
      </w:r>
      <w:r>
        <w:rPr>
          <w:color w:val="010101"/>
          <w:sz w:val="19"/>
        </w:rPr>
        <w:t>21, </w:t>
      </w:r>
      <w:r>
        <w:rPr>
          <w:color w:val="010101"/>
          <w:spacing w:val="17"/>
          <w:sz w:val="19"/>
        </w:rPr>
        <w:t> </w:t>
      </w:r>
      <w:r>
        <w:rPr>
          <w:color w:val="010101"/>
          <w:sz w:val="21"/>
        </w:rPr>
        <w:t>we</w:t>
      </w:r>
    </w:p>
    <w:p>
      <w:pPr>
        <w:spacing w:line="170" w:lineRule="exact" w:before="109"/>
        <w:ind w:left="0" w:right="1392" w:firstLine="0"/>
        <w:jc w:val="right"/>
        <w:rPr>
          <w:rFonts w:ascii="Arial"/>
          <w:b/>
          <w:i/>
          <w:sz w:val="20"/>
        </w:rPr>
      </w:pPr>
      <w:r>
        <w:rPr>
          <w:rFonts w:ascii="Arial"/>
          <w:b/>
          <w:i/>
          <w:color w:val="010101"/>
          <w:w w:val="95"/>
          <w:sz w:val="20"/>
        </w:rPr>
        <w:t>lu</w:t>
      </w:r>
    </w:p>
    <w:p>
      <w:pPr>
        <w:spacing w:line="204" w:lineRule="exact" w:before="0"/>
        <w:ind w:left="111" w:right="0" w:firstLine="0"/>
        <w:jc w:val="both"/>
        <w:rPr>
          <w:sz w:val="21"/>
        </w:rPr>
      </w:pPr>
      <w:r>
        <w:rPr>
          <w:color w:val="010101"/>
          <w:sz w:val="21"/>
        </w:rPr>
        <w:t>compute   </w:t>
      </w:r>
      <w:r>
        <w:rPr>
          <w:color w:val="010101"/>
          <w:sz w:val="20"/>
        </w:rPr>
        <w:t>p</w:t>
      </w:r>
      <w:r>
        <w:rPr>
          <w:color w:val="010101"/>
          <w:position w:val="-3"/>
          <w:sz w:val="15"/>
        </w:rPr>
        <w:t>1</w:t>
      </w:r>
      <w:r>
        <w:rPr>
          <w:color w:val="010101"/>
          <w:sz w:val="15"/>
        </w:rPr>
        <w:t>211+2   </w:t>
      </w:r>
      <w:r>
        <w:rPr>
          <w:color w:val="010101"/>
          <w:sz w:val="21"/>
        </w:rPr>
        <w:t>and   then   obtain   </w:t>
      </w:r>
      <w:r>
        <w:rPr>
          <w:color w:val="010101"/>
          <w:sz w:val="15"/>
        </w:rPr>
        <w:t>l1211 +2    </w:t>
      </w:r>
      <w:r>
        <w:rPr>
          <w:color w:val="010101"/>
          <w:sz w:val="24"/>
        </w:rPr>
        <w:t>=   </w:t>
      </w:r>
      <w:r>
        <w:rPr>
          <w:color w:val="010101"/>
          <w:spacing w:val="-37"/>
          <w:w w:val="365"/>
          <w:sz w:val="24"/>
        </w:rPr>
        <w:t>-- </w:t>
      </w:r>
      <w:r>
        <w:rPr>
          <w:color w:val="010101"/>
          <w:sz w:val="21"/>
        </w:rPr>
        <w:t>Similarly,</w:t>
      </w:r>
    </w:p>
    <w:p>
      <w:pPr>
        <w:spacing w:line="140" w:lineRule="exact" w:before="0"/>
        <w:ind w:left="0" w:right="1214" w:firstLine="0"/>
        <w:jc w:val="right"/>
        <w:rPr>
          <w:sz w:val="15"/>
        </w:rPr>
      </w:pPr>
      <w:r>
        <w:rPr>
          <w:color w:val="010101"/>
          <w:w w:val="95"/>
          <w:sz w:val="15"/>
        </w:rPr>
        <w:t>P1211+2</w:t>
      </w:r>
    </w:p>
    <w:p>
      <w:pPr>
        <w:pStyle w:val="BodyText"/>
        <w:spacing w:before="5"/>
        <w:rPr>
          <w:sz w:val="13"/>
        </w:rPr>
      </w:pPr>
    </w:p>
    <w:p>
      <w:pPr>
        <w:tabs>
          <w:tab w:pos="2433" w:val="left" w:leader="none"/>
        </w:tabs>
        <w:spacing w:line="125" w:lineRule="exact" w:before="0"/>
        <w:ind w:left="890" w:right="739" w:firstLine="0"/>
        <w:jc w:val="left"/>
        <w:rPr>
          <w:sz w:val="15"/>
        </w:rPr>
      </w:pPr>
      <w:r>
        <w:rPr>
          <w:color w:val="010101"/>
          <w:w w:val="85"/>
          <w:sz w:val="15"/>
        </w:rPr>
        <w:t>Z1211+2</w:t>
        <w:tab/>
      </w:r>
      <w:r>
        <w:rPr>
          <w:color w:val="010101"/>
          <w:w w:val="95"/>
          <w:sz w:val="15"/>
        </w:rPr>
        <w:t>l1211+1</w:t>
      </w:r>
    </w:p>
    <w:p>
      <w:pPr>
        <w:spacing w:line="144" w:lineRule="exact" w:before="0"/>
        <w:ind w:left="122" w:right="0" w:firstLine="0"/>
        <w:jc w:val="both"/>
        <w:rPr>
          <w:rFonts w:ascii="Arial"/>
          <w:sz w:val="17"/>
        </w:rPr>
      </w:pPr>
      <w:r>
        <w:rPr>
          <w:color w:val="010101"/>
          <w:w w:val="85"/>
          <w:sz w:val="15"/>
        </w:rPr>
        <w:t>l121</w:t>
      </w:r>
      <w:r>
        <w:rPr>
          <w:color w:val="010101"/>
          <w:w w:val="100"/>
          <w:sz w:val="15"/>
        </w:rPr>
        <w:t>1+1</w:t>
      </w:r>
      <w:r>
        <w:rPr>
          <w:color w:val="010101"/>
          <w:sz w:val="15"/>
        </w:rPr>
        <w:t> </w:t>
      </w:r>
      <w:r>
        <w:rPr>
          <w:color w:val="010101"/>
          <w:spacing w:val="-7"/>
          <w:sz w:val="15"/>
        </w:rPr>
        <w:t> </w:t>
      </w:r>
      <w:r>
        <w:rPr>
          <w:rFonts w:ascii="Arial"/>
          <w:color w:val="010101"/>
          <w:w w:val="158"/>
          <w:sz w:val="17"/>
        </w:rPr>
        <w:t>=</w:t>
      </w:r>
      <w:r>
        <w:rPr>
          <w:rFonts w:ascii="Arial"/>
          <w:color w:val="010101"/>
          <w:sz w:val="17"/>
        </w:rPr>
        <w:t> </w:t>
      </w:r>
      <w:r>
        <w:rPr>
          <w:rFonts w:ascii="Arial"/>
          <w:color w:val="010101"/>
          <w:spacing w:val="-8"/>
          <w:sz w:val="17"/>
        </w:rPr>
        <w:t> </w:t>
      </w:r>
      <w:r>
        <w:rPr>
          <w:rFonts w:ascii="Arial"/>
          <w:color w:val="010101"/>
          <w:spacing w:val="-51"/>
          <w:w w:val="494"/>
          <w:sz w:val="17"/>
        </w:rPr>
        <w:t>-</w:t>
      </w:r>
      <w:r>
        <w:rPr>
          <w:rFonts w:ascii="Arial"/>
          <w:color w:val="010101"/>
          <w:w w:val="494"/>
          <w:sz w:val="17"/>
        </w:rPr>
        <w:t>-</w:t>
      </w:r>
      <w:r>
        <w:rPr>
          <w:rFonts w:ascii="Arial"/>
          <w:color w:val="010101"/>
          <w:spacing w:val="-12"/>
          <w:sz w:val="17"/>
        </w:rPr>
        <w:t> </w:t>
      </w:r>
      <w:r>
        <w:rPr>
          <w:color w:val="010101"/>
          <w:w w:val="104"/>
          <w:sz w:val="21"/>
        </w:rPr>
        <w:t>and</w:t>
      </w:r>
      <w:r>
        <w:rPr>
          <w:color w:val="010101"/>
          <w:spacing w:val="16"/>
          <w:sz w:val="21"/>
        </w:rPr>
        <w:t> </w:t>
      </w:r>
      <w:r>
        <w:rPr>
          <w:color w:val="010101"/>
          <w:w w:val="74"/>
          <w:sz w:val="15"/>
        </w:rPr>
        <w:t>11211</w:t>
      </w:r>
      <w:r>
        <w:rPr>
          <w:color w:val="010101"/>
          <w:sz w:val="15"/>
        </w:rPr>
        <w:t> </w:t>
      </w:r>
      <w:r>
        <w:rPr>
          <w:color w:val="010101"/>
          <w:spacing w:val="17"/>
          <w:sz w:val="15"/>
        </w:rPr>
        <w:t> </w:t>
      </w:r>
      <w:r>
        <w:rPr>
          <w:rFonts w:ascii="Arial"/>
          <w:color w:val="010101"/>
          <w:w w:val="158"/>
          <w:sz w:val="17"/>
        </w:rPr>
        <w:t>=</w:t>
      </w:r>
      <w:r>
        <w:rPr>
          <w:rFonts w:ascii="Arial"/>
          <w:color w:val="010101"/>
          <w:spacing w:val="-12"/>
          <w:sz w:val="17"/>
        </w:rPr>
        <w:t> </w:t>
      </w:r>
      <w:r>
        <w:rPr>
          <w:rFonts w:ascii="Arial"/>
          <w:color w:val="010101"/>
          <w:spacing w:val="-91"/>
          <w:w w:val="600"/>
          <w:sz w:val="17"/>
        </w:rPr>
        <w:t>-</w:t>
      </w:r>
      <w:r>
        <w:rPr>
          <w:rFonts w:ascii="Arial"/>
          <w:color w:val="010101"/>
          <w:w w:val="315"/>
          <w:sz w:val="17"/>
        </w:rPr>
        <w:t>-</w:t>
      </w:r>
      <w:r>
        <w:rPr>
          <w:rFonts w:ascii="Arial"/>
          <w:color w:val="010101"/>
          <w:spacing w:val="3"/>
          <w:sz w:val="17"/>
        </w:rPr>
        <w:t> </w:t>
      </w:r>
      <w:r>
        <w:rPr>
          <w:rFonts w:ascii="Arial"/>
          <w:color w:val="010101"/>
          <w:w w:val="208"/>
          <w:sz w:val="17"/>
        </w:rPr>
        <w:t>.</w:t>
      </w:r>
    </w:p>
    <w:p>
      <w:pPr>
        <w:tabs>
          <w:tab w:pos="2476" w:val="left" w:leader="none"/>
        </w:tabs>
        <w:spacing w:line="180" w:lineRule="exact" w:before="0"/>
        <w:ind w:left="890" w:right="739" w:firstLine="0"/>
        <w:jc w:val="left"/>
        <w:rPr>
          <w:rFonts w:ascii="Arial"/>
          <w:b/>
          <w:sz w:val="12"/>
        </w:rPr>
      </w:pPr>
      <w:r>
        <w:rPr>
          <w:b/>
          <w:i/>
          <w:color w:val="010101"/>
          <w:sz w:val="20"/>
        </w:rPr>
        <w:t>p</w:t>
      </w:r>
      <w:r>
        <w:rPr>
          <w:b/>
          <w:i/>
          <w:color w:val="010101"/>
          <w:spacing w:val="-10"/>
          <w:sz w:val="20"/>
        </w:rPr>
        <w:t> </w:t>
      </w:r>
      <w:r>
        <w:rPr>
          <w:rFonts w:ascii="Arial"/>
          <w:b/>
          <w:color w:val="010101"/>
          <w:sz w:val="12"/>
        </w:rPr>
        <w:t>(21)</w:t>
      </w:r>
      <w:r>
        <w:rPr>
          <w:rFonts w:ascii="Arial"/>
          <w:b/>
          <w:color w:val="010101"/>
          <w:spacing w:val="-12"/>
          <w:sz w:val="12"/>
        </w:rPr>
        <w:t> </w:t>
      </w:r>
      <w:r>
        <w:rPr>
          <w:b/>
          <w:color w:val="010101"/>
          <w:sz w:val="16"/>
        </w:rPr>
        <w:t>+l</w:t>
        <w:tab/>
      </w:r>
      <w:r>
        <w:rPr>
          <w:b/>
          <w:i/>
          <w:color w:val="010101"/>
          <w:w w:val="95"/>
          <w:sz w:val="20"/>
        </w:rPr>
        <w:t>p</w:t>
      </w:r>
      <w:r>
        <w:rPr>
          <w:b/>
          <w:i/>
          <w:color w:val="010101"/>
          <w:spacing w:val="-20"/>
          <w:w w:val="95"/>
          <w:sz w:val="20"/>
        </w:rPr>
        <w:t> </w:t>
      </w:r>
      <w:r>
        <w:rPr>
          <w:rFonts w:ascii="Arial"/>
          <w:b/>
          <w:color w:val="010101"/>
          <w:w w:val="95"/>
          <w:sz w:val="12"/>
        </w:rPr>
        <w:t>[21)</w:t>
      </w:r>
    </w:p>
    <w:p>
      <w:pPr>
        <w:spacing w:before="89"/>
        <w:ind w:left="122" w:right="133" w:firstLine="197"/>
        <w:jc w:val="left"/>
        <w:rPr>
          <w:sz w:val="21"/>
        </w:rPr>
      </w:pPr>
      <w:r>
        <w:rPr>
          <w:color w:val="010101"/>
          <w:sz w:val="21"/>
        </w:rPr>
        <w:t>When the complete </w:t>
      </w:r>
      <w:r>
        <w:rPr>
          <w:color w:val="010101"/>
          <w:w w:val="95"/>
          <w:sz w:val="22"/>
        </w:rPr>
        <w:t>Zr </w:t>
      </w:r>
      <w:r>
        <w:rPr>
          <w:color w:val="010101"/>
          <w:sz w:val="21"/>
        </w:rPr>
        <w:t>table has been  constructed  in  this way. the </w:t>
      </w:r>
      <w:r>
        <w:rPr>
          <w:color w:val="010101"/>
          <w:sz w:val="19"/>
        </w:rPr>
        <w:t>dr  </w:t>
      </w:r>
      <w:r>
        <w:rPr>
          <w:color w:val="010101"/>
          <w:sz w:val="21"/>
        </w:rPr>
        <w:t>table is fom1ed  </w:t>
      </w:r>
      <w:r>
        <w:rPr>
          <w:rFonts w:ascii="Arial"/>
          <w:i/>
          <w:color w:val="010101"/>
          <w:sz w:val="20"/>
        </w:rPr>
        <w:t>f </w:t>
      </w:r>
      <w:r>
        <w:rPr>
          <w:color w:val="010101"/>
          <w:sz w:val="21"/>
        </w:rPr>
        <w:t>rom  the relations,</w:t>
      </w:r>
    </w:p>
    <w:p>
      <w:pPr>
        <w:spacing w:line="295" w:lineRule="auto" w:before="108"/>
        <w:ind w:left="1999" w:right="1942" w:firstLine="165"/>
        <w:jc w:val="left"/>
        <w:rPr>
          <w:sz w:val="16"/>
        </w:rPr>
      </w:pPr>
      <w:r>
        <w:rPr>
          <w:rFonts w:ascii="Arial" w:hAnsi="Arial"/>
          <w:b/>
          <w:i/>
          <w:color w:val="010101"/>
          <w:w w:val="130"/>
          <w:sz w:val="14"/>
        </w:rPr>
        <w:t>d </w:t>
      </w:r>
      <w:r>
        <w:rPr>
          <w:rFonts w:ascii="Arial" w:hAnsi="Arial"/>
          <w:b/>
          <w:i/>
          <w:color w:val="010101"/>
          <w:sz w:val="14"/>
        </w:rPr>
        <w:t>¡z] </w:t>
      </w:r>
      <w:r>
        <w:rPr>
          <w:color w:val="010101"/>
          <w:sz w:val="24"/>
        </w:rPr>
        <w:t>= </w:t>
      </w:r>
      <w:r>
        <w:rPr>
          <w:b/>
          <w:color w:val="010101"/>
          <w:sz w:val="16"/>
        </w:rPr>
        <w:t>lcrJ </w:t>
      </w:r>
      <w:r>
        <w:rPr>
          <w:color w:val="010101"/>
          <w:w w:val="340"/>
          <w:sz w:val="16"/>
        </w:rPr>
        <w:t>- </w:t>
      </w:r>
      <w:r>
        <w:rPr>
          <w:b/>
          <w:color w:val="010101"/>
          <w:sz w:val="16"/>
        </w:rPr>
        <w:t>l1r1+1 </w:t>
      </w:r>
      <w:r>
        <w:rPr>
          <w:color w:val="010101"/>
          <w:w w:val="130"/>
          <w:sz w:val="16"/>
        </w:rPr>
        <w:t>, </w:t>
      </w:r>
      <w:r>
        <w:rPr>
          <w:b/>
          <w:color w:val="010101"/>
          <w:sz w:val="16"/>
        </w:rPr>
        <w:t>dcr)+l</w:t>
      </w:r>
      <w:r>
        <w:rPr>
          <w:b/>
          <w:color w:val="010101"/>
          <w:spacing w:val="8"/>
          <w:sz w:val="16"/>
        </w:rPr>
        <w:t> </w:t>
      </w:r>
      <w:r>
        <w:rPr>
          <w:color w:val="010101"/>
          <w:sz w:val="26"/>
        </w:rPr>
        <w:t>=</w:t>
      </w:r>
      <w:r>
        <w:rPr>
          <w:color w:val="010101"/>
          <w:spacing w:val="-13"/>
          <w:sz w:val="26"/>
        </w:rPr>
        <w:t> </w:t>
      </w:r>
      <w:r>
        <w:rPr>
          <w:color w:val="010101"/>
          <w:sz w:val="21"/>
        </w:rPr>
        <w:t>lcrJ</w:t>
      </w:r>
      <w:r>
        <w:rPr>
          <w:color w:val="010101"/>
          <w:spacing w:val="-35"/>
          <w:sz w:val="21"/>
        </w:rPr>
        <w:t> </w:t>
      </w:r>
      <w:r>
        <w:rPr>
          <w:color w:val="010101"/>
          <w:sz w:val="21"/>
        </w:rPr>
        <w:t>+t</w:t>
      </w:r>
      <w:r>
        <w:rPr>
          <w:color w:val="010101"/>
          <w:spacing w:val="-6"/>
          <w:sz w:val="21"/>
        </w:rPr>
        <w:t> </w:t>
      </w:r>
      <w:r>
        <w:rPr>
          <w:color w:val="010101"/>
          <w:w w:val="245"/>
          <w:sz w:val="21"/>
        </w:rPr>
        <w:t>-</w:t>
      </w:r>
      <w:r>
        <w:rPr>
          <w:color w:val="010101"/>
          <w:spacing w:val="-105"/>
          <w:w w:val="245"/>
          <w:sz w:val="21"/>
        </w:rPr>
        <w:t> </w:t>
      </w:r>
      <w:r>
        <w:rPr>
          <w:color w:val="010101"/>
          <w:sz w:val="21"/>
        </w:rPr>
        <w:t>lcr)</w:t>
      </w:r>
      <w:r>
        <w:rPr>
          <w:color w:val="010101"/>
          <w:spacing w:val="-40"/>
          <w:sz w:val="21"/>
        </w:rPr>
        <w:t> </w:t>
      </w:r>
      <w:r>
        <w:rPr>
          <w:color w:val="010101"/>
          <w:sz w:val="21"/>
        </w:rPr>
        <w:t>+2</w:t>
      </w:r>
      <w:r>
        <w:rPr>
          <w:color w:val="010101"/>
          <w:spacing w:val="-24"/>
          <w:sz w:val="21"/>
        </w:rPr>
        <w:t> </w:t>
      </w:r>
      <w:r>
        <w:rPr>
          <w:color w:val="010101"/>
          <w:w w:val="150"/>
          <w:sz w:val="21"/>
        </w:rPr>
        <w:t>' </w:t>
      </w:r>
      <w:r>
        <w:rPr>
          <w:color w:val="010101"/>
          <w:sz w:val="15"/>
        </w:rPr>
        <w:t>d1r1+2  </w:t>
      </w:r>
      <w:r>
        <w:rPr>
          <w:color w:val="010101"/>
          <w:sz w:val="26"/>
        </w:rPr>
        <w:t>= </w:t>
      </w:r>
      <w:r>
        <w:rPr>
          <w:color w:val="010101"/>
          <w:sz w:val="15"/>
        </w:rPr>
        <w:t>lcr1+2 </w:t>
      </w:r>
      <w:r>
        <w:rPr>
          <w:color w:val="010101"/>
          <w:w w:val="340"/>
          <w:sz w:val="15"/>
        </w:rPr>
        <w:t>- </w:t>
      </w:r>
      <w:r>
        <w:rPr>
          <w:color w:val="010101"/>
          <w:sz w:val="16"/>
        </w:rPr>
        <w:t>Z:s+a </w:t>
      </w:r>
      <w:r>
        <w:rPr>
          <w:color w:val="010101"/>
          <w:w w:val="130"/>
          <w:sz w:val="16"/>
        </w:rPr>
        <w:t>,</w:t>
      </w:r>
    </w:p>
    <w:p>
      <w:pPr>
        <w:spacing w:before="23"/>
        <w:ind w:left="118" w:right="0" w:firstLine="0"/>
        <w:jc w:val="both"/>
        <w:rPr>
          <w:sz w:val="21"/>
        </w:rPr>
      </w:pPr>
      <w:r>
        <w:rPr>
          <w:color w:val="010101"/>
          <w:w w:val="105"/>
          <w:sz w:val="21"/>
        </w:rPr>
        <w:t>and in the ultimate column</w:t>
      </w:r>
    </w:p>
    <w:p>
      <w:pPr>
        <w:spacing w:before="78"/>
        <w:ind w:left="1543" w:right="739" w:firstLine="0"/>
        <w:jc w:val="left"/>
        <w:rPr>
          <w:sz w:val="20"/>
        </w:rPr>
      </w:pPr>
      <w:r>
        <w:rPr>
          <w:position w:val="-4"/>
        </w:rPr>
        <w:drawing>
          <wp:inline distT="0" distB="0" distL="0" distR="0">
            <wp:extent cx="1216152" cy="137160"/>
            <wp:effectExtent l="0" t="0" r="0" b="0"/>
            <wp:docPr id="27" name="image17.png" descr=""/>
            <wp:cNvGraphicFramePr>
              <a:graphicFrameLocks noChangeAspect="1"/>
            </wp:cNvGraphicFramePr>
            <a:graphic>
              <a:graphicData uri="http://schemas.openxmlformats.org/drawingml/2006/picture">
                <pic:pic>
                  <pic:nvPicPr>
                    <pic:cNvPr id="28" name="image17.png"/>
                    <pic:cNvPicPr/>
                  </pic:nvPicPr>
                  <pic:blipFill>
                    <a:blip r:embed="rId21" cstate="print"/>
                    <a:stretch>
                      <a:fillRect/>
                    </a:stretch>
                  </pic:blipFill>
                  <pic:spPr>
                    <a:xfrm>
                      <a:off x="0" y="0"/>
                      <a:ext cx="1216152" cy="137160"/>
                    </a:xfrm>
                    <a:prstGeom prst="rect">
                      <a:avLst/>
                    </a:prstGeom>
                  </pic:spPr>
                </pic:pic>
              </a:graphicData>
            </a:graphic>
          </wp:inline>
        </w:drawing>
      </w:r>
      <w:r>
        <w:rPr>
          <w:position w:val="-4"/>
        </w:rPr>
      </w:r>
      <w:r>
        <w:rPr>
          <w:sz w:val="20"/>
        </w:rPr>
        <w:t>       </w:t>
      </w:r>
      <w:r>
        <w:rPr>
          <w:i/>
          <w:color w:val="010101"/>
          <w:w w:val="105"/>
          <w:sz w:val="21"/>
        </w:rPr>
        <w:t>n  </w:t>
      </w:r>
      <w:r>
        <w:rPr>
          <w:color w:val="010101"/>
          <w:w w:val="105"/>
          <w:sz w:val="26"/>
        </w:rPr>
        <w:t>&gt; </w:t>
      </w:r>
      <w:r>
        <w:rPr>
          <w:color w:val="010101"/>
          <w:w w:val="105"/>
          <w:sz w:val="20"/>
        </w:rPr>
        <w:t>2.</w:t>
      </w:r>
    </w:p>
    <w:p>
      <w:pPr>
        <w:spacing w:line="235" w:lineRule="auto" w:before="96"/>
        <w:ind w:left="118" w:right="104" w:firstLine="197"/>
        <w:jc w:val="both"/>
        <w:rPr>
          <w:sz w:val="21"/>
        </w:rPr>
      </w:pPr>
      <w:r>
        <w:rPr>
          <w:color w:val="010101"/>
          <w:w w:val="105"/>
          <w:sz w:val="21"/>
        </w:rPr>
        <w:t>Table </w:t>
      </w:r>
      <w:r>
        <w:rPr>
          <w:color w:val="010101"/>
          <w:w w:val="105"/>
          <w:sz w:val="19"/>
        </w:rPr>
        <w:t>3 </w:t>
      </w:r>
      <w:r>
        <w:rPr>
          <w:color w:val="010101"/>
          <w:w w:val="105"/>
          <w:sz w:val="21"/>
        </w:rPr>
        <w:t>is based on the actual experience </w:t>
      </w:r>
      <w:r>
        <w:rPr>
          <w:rFonts w:ascii="Arial"/>
          <w:color w:val="010101"/>
          <w:w w:val="105"/>
          <w:sz w:val="18"/>
        </w:rPr>
        <w:t>of </w:t>
      </w:r>
      <w:r>
        <w:rPr>
          <w:color w:val="010101"/>
          <w:w w:val="105"/>
          <w:sz w:val="21"/>
        </w:rPr>
        <w:t>a group of insured lives.</w:t>
      </w:r>
      <w:r>
        <w:rPr>
          <w:color w:val="010101"/>
          <w:spacing w:val="-12"/>
          <w:w w:val="105"/>
          <w:sz w:val="21"/>
        </w:rPr>
        <w:t> </w:t>
      </w:r>
      <w:r>
        <w:rPr>
          <w:color w:val="010101"/>
          <w:w w:val="105"/>
          <w:sz w:val="21"/>
        </w:rPr>
        <w:t>The</w:t>
      </w:r>
      <w:r>
        <w:rPr>
          <w:color w:val="010101"/>
          <w:spacing w:val="-9"/>
          <w:w w:val="105"/>
          <w:sz w:val="21"/>
        </w:rPr>
        <w:t> </w:t>
      </w:r>
      <w:r>
        <w:rPr>
          <w:color w:val="010101"/>
          <w:w w:val="105"/>
          <w:sz w:val="21"/>
        </w:rPr>
        <w:t>degree</w:t>
      </w:r>
      <w:r>
        <w:rPr>
          <w:color w:val="010101"/>
          <w:spacing w:val="-7"/>
          <w:w w:val="105"/>
          <w:sz w:val="21"/>
        </w:rPr>
        <w:t> </w:t>
      </w:r>
      <w:r>
        <w:rPr>
          <w:color w:val="010101"/>
          <w:w w:val="105"/>
          <w:sz w:val="21"/>
        </w:rPr>
        <w:t>of</w:t>
      </w:r>
      <w:r>
        <w:rPr>
          <w:color w:val="010101"/>
          <w:spacing w:val="1"/>
          <w:w w:val="105"/>
          <w:sz w:val="21"/>
        </w:rPr>
        <w:t> </w:t>
      </w:r>
      <w:r>
        <w:rPr>
          <w:color w:val="010101"/>
          <w:w w:val="105"/>
          <w:sz w:val="21"/>
        </w:rPr>
        <w:t>selection</w:t>
      </w:r>
      <w:r>
        <w:rPr>
          <w:color w:val="010101"/>
          <w:spacing w:val="1"/>
          <w:w w:val="105"/>
          <w:sz w:val="21"/>
        </w:rPr>
        <w:t> </w:t>
      </w:r>
      <w:r>
        <w:rPr>
          <w:color w:val="010101"/>
          <w:w w:val="105"/>
          <w:sz w:val="21"/>
        </w:rPr>
        <w:t>inherent</w:t>
      </w:r>
      <w:r>
        <w:rPr>
          <w:color w:val="010101"/>
          <w:spacing w:val="5"/>
          <w:w w:val="105"/>
          <w:sz w:val="21"/>
        </w:rPr>
        <w:t> </w:t>
      </w:r>
      <w:r>
        <w:rPr>
          <w:color w:val="010101"/>
          <w:w w:val="105"/>
          <w:sz w:val="21"/>
        </w:rPr>
        <w:t>in</w:t>
      </w:r>
      <w:r>
        <w:rPr>
          <w:color w:val="010101"/>
          <w:spacing w:val="-8"/>
          <w:w w:val="105"/>
          <w:sz w:val="21"/>
        </w:rPr>
        <w:t> </w:t>
      </w:r>
      <w:r>
        <w:rPr>
          <w:color w:val="010101"/>
          <w:w w:val="105"/>
          <w:sz w:val="21"/>
        </w:rPr>
        <w:t>this</w:t>
      </w:r>
      <w:r>
        <w:rPr>
          <w:color w:val="010101"/>
          <w:spacing w:val="-5"/>
          <w:w w:val="105"/>
          <w:sz w:val="21"/>
        </w:rPr>
        <w:t> </w:t>
      </w:r>
      <w:r>
        <w:rPr>
          <w:color w:val="010101"/>
          <w:w w:val="105"/>
          <w:sz w:val="21"/>
        </w:rPr>
        <w:t>table</w:t>
      </w:r>
      <w:r>
        <w:rPr>
          <w:color w:val="010101"/>
          <w:spacing w:val="-9"/>
          <w:w w:val="105"/>
          <w:sz w:val="21"/>
        </w:rPr>
        <w:t> </w:t>
      </w:r>
      <w:r>
        <w:rPr>
          <w:color w:val="010101"/>
          <w:w w:val="105"/>
          <w:sz w:val="21"/>
        </w:rPr>
        <w:t>can</w:t>
      </w:r>
      <w:r>
        <w:rPr>
          <w:color w:val="010101"/>
          <w:spacing w:val="-5"/>
          <w:w w:val="105"/>
          <w:sz w:val="21"/>
        </w:rPr>
        <w:t> </w:t>
      </w:r>
      <w:r>
        <w:rPr>
          <w:color w:val="010101"/>
          <w:w w:val="105"/>
          <w:sz w:val="21"/>
        </w:rPr>
        <w:t>be</w:t>
      </w:r>
      <w:r>
        <w:rPr>
          <w:color w:val="010101"/>
          <w:spacing w:val="-7"/>
          <w:w w:val="105"/>
          <w:sz w:val="21"/>
        </w:rPr>
        <w:t> </w:t>
      </w:r>
      <w:r>
        <w:rPr>
          <w:color w:val="010101"/>
          <w:w w:val="105"/>
          <w:sz w:val="21"/>
        </w:rPr>
        <w:t>seen</w:t>
      </w:r>
      <w:r>
        <w:rPr>
          <w:color w:val="010101"/>
          <w:spacing w:val="-10"/>
          <w:w w:val="105"/>
          <w:sz w:val="21"/>
        </w:rPr>
        <w:t> </w:t>
      </w:r>
      <w:r>
        <w:rPr>
          <w:color w:val="010101"/>
          <w:w w:val="105"/>
          <w:sz w:val="21"/>
        </w:rPr>
        <w:t>by inspection. At age </w:t>
      </w:r>
      <w:r>
        <w:rPr>
          <w:color w:val="010101"/>
          <w:w w:val="105"/>
          <w:sz w:val="19"/>
        </w:rPr>
        <w:t>25, </w:t>
      </w:r>
      <w:r>
        <w:rPr>
          <w:color w:val="010101"/>
          <w:w w:val="105"/>
          <w:sz w:val="21"/>
        </w:rPr>
        <w:t>for example, the select </w:t>
      </w:r>
      <w:r>
        <w:rPr>
          <w:color w:val="010101"/>
          <w:w w:val="105"/>
          <w:sz w:val="15"/>
        </w:rPr>
        <w:t>ql26J </w:t>
      </w:r>
      <w:r>
        <w:rPr>
          <w:color w:val="010101"/>
          <w:w w:val="105"/>
          <w:sz w:val="21"/>
        </w:rPr>
        <w:t>is seen to be just </w:t>
      </w:r>
      <w:r>
        <w:rPr>
          <w:color w:val="010101"/>
          <w:w w:val="105"/>
          <w:sz w:val="19"/>
        </w:rPr>
        <w:t>70 </w:t>
      </w:r>
      <w:r>
        <w:rPr>
          <w:rFonts w:ascii="Arial"/>
          <w:color w:val="010101"/>
          <w:w w:val="105"/>
          <w:sz w:val="18"/>
        </w:rPr>
        <w:t>% </w:t>
      </w:r>
      <w:r>
        <w:rPr>
          <w:color w:val="010101"/>
          <w:w w:val="105"/>
          <w:sz w:val="21"/>
        </w:rPr>
        <w:t>of the ultimate rate </w:t>
      </w:r>
      <w:r>
        <w:rPr>
          <w:i/>
          <w:color w:val="010101"/>
          <w:w w:val="105"/>
          <w:sz w:val="20"/>
        </w:rPr>
        <w:t>qu </w:t>
      </w:r>
      <w:r>
        <w:rPr>
          <w:i/>
          <w:color w:val="010101"/>
          <w:w w:val="170"/>
          <w:sz w:val="20"/>
        </w:rPr>
        <w:t>. </w:t>
      </w:r>
      <w:r>
        <w:rPr>
          <w:color w:val="010101"/>
          <w:w w:val="105"/>
          <w:sz w:val="21"/>
        </w:rPr>
        <w:t>Similarly, </w:t>
      </w:r>
      <w:r>
        <w:rPr>
          <w:rFonts w:ascii="Arial"/>
          <w:color w:val="010101"/>
          <w:w w:val="105"/>
          <w:sz w:val="18"/>
        </w:rPr>
        <w:t>q</w:t>
      </w:r>
      <w:r>
        <w:rPr>
          <w:color w:val="010101"/>
          <w:w w:val="105"/>
          <w:position w:val="-3"/>
          <w:sz w:val="15"/>
        </w:rPr>
        <w:t>1</w:t>
      </w:r>
      <w:r>
        <w:rPr>
          <w:color w:val="010101"/>
          <w:w w:val="105"/>
          <w:sz w:val="19"/>
        </w:rPr>
        <w:t>u</w:t>
      </w:r>
      <w:r>
        <w:rPr>
          <w:color w:val="010101"/>
          <w:w w:val="105"/>
          <w:position w:val="-3"/>
          <w:sz w:val="15"/>
        </w:rPr>
        <w:t>1 </w:t>
      </w:r>
      <w:r>
        <w:rPr>
          <w:color w:val="010101"/>
          <w:spacing w:val="5"/>
          <w:w w:val="105"/>
          <w:sz w:val="17"/>
        </w:rPr>
        <w:t>+</w:t>
      </w:r>
      <w:r>
        <w:rPr>
          <w:color w:val="010101"/>
          <w:spacing w:val="5"/>
          <w:w w:val="105"/>
          <w:position w:val="-2"/>
          <w:sz w:val="11"/>
        </w:rPr>
        <w:t>1 </w:t>
      </w:r>
      <w:r>
        <w:rPr>
          <w:color w:val="010101"/>
          <w:w w:val="105"/>
          <w:sz w:val="21"/>
        </w:rPr>
        <w:t>is </w:t>
      </w:r>
      <w:r>
        <w:rPr>
          <w:color w:val="010101"/>
          <w:w w:val="105"/>
          <w:sz w:val="19"/>
        </w:rPr>
        <w:t>84 </w:t>
      </w:r>
      <w:r>
        <w:rPr>
          <w:rFonts w:ascii="Arial"/>
          <w:color w:val="010101"/>
          <w:w w:val="105"/>
          <w:sz w:val="18"/>
        </w:rPr>
        <w:t>% </w:t>
      </w:r>
      <w:r>
        <w:rPr>
          <w:color w:val="010101"/>
          <w:w w:val="105"/>
          <w:sz w:val="21"/>
        </w:rPr>
        <w:t>of </w:t>
      </w:r>
      <w:r>
        <w:rPr>
          <w:rFonts w:ascii="Arial"/>
          <w:color w:val="010101"/>
          <w:spacing w:val="-6"/>
          <w:w w:val="105"/>
          <w:sz w:val="18"/>
        </w:rPr>
        <w:t>q</w:t>
      </w:r>
      <w:r>
        <w:rPr>
          <w:color w:val="010101"/>
          <w:spacing w:val="-6"/>
          <w:w w:val="105"/>
          <w:position w:val="-2"/>
          <w:sz w:val="11"/>
        </w:rPr>
        <w:t>26 </w:t>
      </w:r>
      <w:r>
        <w:rPr>
          <w:color w:val="010101"/>
          <w:w w:val="170"/>
          <w:sz w:val="11"/>
        </w:rPr>
        <w:t>, </w:t>
      </w:r>
      <w:r>
        <w:rPr>
          <w:color w:val="010101"/>
          <w:w w:val="105"/>
          <w:sz w:val="21"/>
        </w:rPr>
        <w:t>and</w:t>
      </w:r>
      <w:r>
        <w:rPr>
          <w:color w:val="010101"/>
          <w:spacing w:val="-18"/>
          <w:w w:val="105"/>
          <w:sz w:val="21"/>
        </w:rPr>
        <w:t> </w:t>
      </w:r>
      <w:r>
        <w:rPr>
          <w:rFonts w:ascii="Arial"/>
          <w:color w:val="010101"/>
          <w:spacing w:val="-3"/>
          <w:w w:val="105"/>
          <w:sz w:val="14"/>
        </w:rPr>
        <w:t>q!UJ+t</w:t>
      </w:r>
      <w:r>
        <w:rPr>
          <w:rFonts w:ascii="Arial"/>
          <w:color w:val="010101"/>
          <w:spacing w:val="-6"/>
          <w:w w:val="105"/>
          <w:sz w:val="14"/>
        </w:rPr>
        <w:t> </w:t>
      </w:r>
      <w:r>
        <w:rPr>
          <w:color w:val="010101"/>
          <w:w w:val="105"/>
          <w:sz w:val="21"/>
        </w:rPr>
        <w:t>is</w:t>
      </w:r>
      <w:r>
        <w:rPr>
          <w:color w:val="010101"/>
          <w:spacing w:val="-27"/>
          <w:w w:val="105"/>
          <w:sz w:val="21"/>
        </w:rPr>
        <w:t> </w:t>
      </w:r>
      <w:r>
        <w:rPr>
          <w:color w:val="010101"/>
          <w:w w:val="105"/>
          <w:sz w:val="21"/>
        </w:rPr>
        <w:t>94</w:t>
      </w:r>
      <w:r>
        <w:rPr>
          <w:color w:val="010101"/>
          <w:spacing w:val="-30"/>
          <w:w w:val="105"/>
          <w:sz w:val="21"/>
        </w:rPr>
        <w:t> </w:t>
      </w:r>
      <w:r>
        <w:rPr>
          <w:rFonts w:ascii="Arial"/>
          <w:color w:val="010101"/>
          <w:w w:val="105"/>
          <w:sz w:val="18"/>
        </w:rPr>
        <w:t>%</w:t>
      </w:r>
      <w:r>
        <w:rPr>
          <w:rFonts w:ascii="Arial"/>
          <w:color w:val="010101"/>
          <w:spacing w:val="-24"/>
          <w:w w:val="105"/>
          <w:sz w:val="18"/>
        </w:rPr>
        <w:t> </w:t>
      </w:r>
      <w:r>
        <w:rPr>
          <w:color w:val="010101"/>
          <w:w w:val="105"/>
          <w:sz w:val="21"/>
        </w:rPr>
        <w:t>of</w:t>
      </w:r>
      <w:r>
        <w:rPr>
          <w:color w:val="010101"/>
          <w:spacing w:val="-10"/>
          <w:w w:val="105"/>
          <w:sz w:val="21"/>
        </w:rPr>
        <w:t> </w:t>
      </w:r>
      <w:r>
        <w:rPr>
          <w:i/>
          <w:color w:val="010101"/>
          <w:sz w:val="20"/>
        </w:rPr>
        <w:t>q21</w:t>
      </w:r>
      <w:r>
        <w:rPr>
          <w:i/>
          <w:color w:val="010101"/>
          <w:spacing w:val="-13"/>
          <w:sz w:val="20"/>
        </w:rPr>
        <w:t> </w:t>
      </w:r>
      <w:r>
        <w:rPr>
          <w:i/>
          <w:color w:val="010101"/>
          <w:w w:val="105"/>
          <w:sz w:val="20"/>
        </w:rPr>
        <w:t>,</w:t>
      </w:r>
      <w:r>
        <w:rPr>
          <w:i/>
          <w:color w:val="010101"/>
          <w:spacing w:val="-22"/>
          <w:w w:val="105"/>
          <w:sz w:val="20"/>
        </w:rPr>
        <w:t> </w:t>
      </w:r>
      <w:r>
        <w:rPr>
          <w:color w:val="010101"/>
          <w:w w:val="105"/>
          <w:sz w:val="21"/>
        </w:rPr>
        <w:t>and</w:t>
      </w:r>
      <w:r>
        <w:rPr>
          <w:color w:val="010101"/>
          <w:spacing w:val="-14"/>
          <w:w w:val="105"/>
          <w:sz w:val="21"/>
        </w:rPr>
        <w:t> </w:t>
      </w:r>
      <w:r>
        <w:rPr>
          <w:color w:val="010101"/>
          <w:w w:val="105"/>
          <w:sz w:val="21"/>
        </w:rPr>
        <w:t>these</w:t>
      </w:r>
      <w:r>
        <w:rPr>
          <w:color w:val="010101"/>
          <w:spacing w:val="-17"/>
          <w:w w:val="105"/>
          <w:sz w:val="21"/>
        </w:rPr>
        <w:t> </w:t>
      </w:r>
      <w:r>
        <w:rPr>
          <w:color w:val="010101"/>
          <w:w w:val="105"/>
          <w:sz w:val="21"/>
        </w:rPr>
        <w:t>ratios</w:t>
      </w:r>
      <w:r>
        <w:rPr>
          <w:color w:val="010101"/>
          <w:spacing w:val="-12"/>
          <w:w w:val="105"/>
          <w:sz w:val="21"/>
        </w:rPr>
        <w:t> </w:t>
      </w:r>
      <w:r>
        <w:rPr>
          <w:color w:val="010101"/>
          <w:w w:val="105"/>
          <w:sz w:val="21"/>
        </w:rPr>
        <w:t>illustrate</w:t>
      </w:r>
      <w:r>
        <w:rPr>
          <w:color w:val="010101"/>
          <w:spacing w:val="-13"/>
          <w:w w:val="105"/>
          <w:sz w:val="21"/>
        </w:rPr>
        <w:t> </w:t>
      </w:r>
      <w:r>
        <w:rPr>
          <w:color w:val="010101"/>
          <w:w w:val="105"/>
          <w:sz w:val="21"/>
        </w:rPr>
        <w:t>the</w:t>
      </w:r>
      <w:r>
        <w:rPr>
          <w:color w:val="010101"/>
          <w:spacing w:val="-21"/>
          <w:w w:val="105"/>
          <w:sz w:val="21"/>
        </w:rPr>
        <w:t> </w:t>
      </w:r>
      <w:r>
        <w:rPr>
          <w:color w:val="010101"/>
          <w:w w:val="105"/>
          <w:sz w:val="21"/>
        </w:rPr>
        <w:t>way</w:t>
      </w:r>
      <w:r>
        <w:rPr>
          <w:color w:val="010101"/>
          <w:spacing w:val="-10"/>
          <w:w w:val="105"/>
          <w:sz w:val="21"/>
        </w:rPr>
        <w:t> </w:t>
      </w:r>
      <w:r>
        <w:rPr>
          <w:color w:val="010101"/>
          <w:w w:val="105"/>
          <w:sz w:val="21"/>
        </w:rPr>
        <w:t>in</w:t>
      </w:r>
      <w:r>
        <w:rPr>
          <w:color w:val="010101"/>
          <w:spacing w:val="-22"/>
          <w:w w:val="105"/>
          <w:sz w:val="21"/>
        </w:rPr>
        <w:t> </w:t>
      </w:r>
      <w:r>
        <w:rPr>
          <w:color w:val="010101"/>
          <w:w w:val="105"/>
          <w:sz w:val="21"/>
        </w:rPr>
        <w:t>which the</w:t>
      </w:r>
      <w:r>
        <w:rPr>
          <w:color w:val="010101"/>
          <w:spacing w:val="-32"/>
          <w:w w:val="105"/>
          <w:sz w:val="21"/>
        </w:rPr>
        <w:t> </w:t>
      </w:r>
      <w:r>
        <w:rPr>
          <w:color w:val="010101"/>
          <w:w w:val="105"/>
          <w:sz w:val="21"/>
        </w:rPr>
        <w:t>influence</w:t>
      </w:r>
      <w:r>
        <w:rPr>
          <w:color w:val="010101"/>
          <w:spacing w:val="-29"/>
          <w:w w:val="105"/>
          <w:sz w:val="21"/>
        </w:rPr>
        <w:t> </w:t>
      </w:r>
      <w:r>
        <w:rPr>
          <w:color w:val="010101"/>
          <w:w w:val="105"/>
          <w:sz w:val="21"/>
        </w:rPr>
        <w:t>of</w:t>
      </w:r>
      <w:r>
        <w:rPr>
          <w:color w:val="010101"/>
          <w:spacing w:val="-26"/>
          <w:w w:val="105"/>
          <w:sz w:val="21"/>
        </w:rPr>
        <w:t> </w:t>
      </w:r>
      <w:r>
        <w:rPr>
          <w:color w:val="010101"/>
          <w:w w:val="105"/>
          <w:sz w:val="21"/>
        </w:rPr>
        <w:t>initial</w:t>
      </w:r>
      <w:r>
        <w:rPr>
          <w:color w:val="010101"/>
          <w:spacing w:val="-33"/>
          <w:w w:val="105"/>
          <w:sz w:val="21"/>
        </w:rPr>
        <w:t> </w:t>
      </w:r>
      <w:r>
        <w:rPr>
          <w:color w:val="010101"/>
          <w:w w:val="105"/>
          <w:sz w:val="21"/>
        </w:rPr>
        <w:t>selection</w:t>
      </w:r>
      <w:r>
        <w:rPr>
          <w:color w:val="010101"/>
          <w:spacing w:val="-26"/>
          <w:w w:val="105"/>
          <w:sz w:val="21"/>
        </w:rPr>
        <w:t> </w:t>
      </w:r>
      <w:r>
        <w:rPr>
          <w:color w:val="010101"/>
          <w:w w:val="105"/>
          <w:sz w:val="21"/>
        </w:rPr>
        <w:t>diminishes.</w:t>
      </w:r>
    </w:p>
    <w:p>
      <w:pPr>
        <w:spacing w:line="237" w:lineRule="auto" w:before="2"/>
        <w:ind w:left="115" w:right="115" w:firstLine="208"/>
        <w:jc w:val="both"/>
        <w:rPr>
          <w:sz w:val="21"/>
        </w:rPr>
      </w:pPr>
      <w:r>
        <w:rPr>
          <w:color w:val="010101"/>
          <w:sz w:val="21"/>
        </w:rPr>
        <w:t>In evaluating probabilities of death or survival involving select lives, carc should be taken to relate all select functions to the cor­ rect age at entry. Note thc following examples  based  on  the data  of  Table</w:t>
      </w:r>
      <w:r>
        <w:rPr>
          <w:color w:val="010101"/>
          <w:spacing w:val="-2"/>
          <w:sz w:val="21"/>
        </w:rPr>
        <w:t> </w:t>
      </w:r>
      <w:r>
        <w:rPr>
          <w:color w:val="010101"/>
          <w:sz w:val="21"/>
        </w:rPr>
        <w:t>3:</w:t>
      </w:r>
    </w:p>
    <w:p>
      <w:pPr>
        <w:tabs>
          <w:tab w:pos="3564" w:val="left" w:leader="none"/>
        </w:tabs>
        <w:spacing w:line="183" w:lineRule="exact" w:before="112"/>
        <w:ind w:left="2706" w:right="739" w:firstLine="0"/>
        <w:jc w:val="left"/>
        <w:rPr>
          <w:sz w:val="19"/>
        </w:rPr>
      </w:pPr>
      <w:r>
        <w:rPr/>
        <w:pict>
          <v:line style="position:absolute;mso-position-horizontal-relative:page;mso-position-vertical-relative:paragraph;z-index:-733672" from="226.660004pt,15.008547pt" to="227.916304pt,15.008547pt" stroked="true" strokeweight="1.07677pt" strokecolor="#000000">
            <w10:wrap type="none"/>
          </v:line>
        </w:pict>
      </w:r>
      <w:r>
        <w:rPr>
          <w:color w:val="010101"/>
          <w:w w:val="95"/>
          <w:sz w:val="16"/>
        </w:rPr>
        <w:t>lc221+2</w:t>
        <w:tab/>
      </w:r>
      <w:r>
        <w:rPr>
          <w:color w:val="010101"/>
          <w:sz w:val="19"/>
        </w:rPr>
        <w:t>940,108</w:t>
      </w:r>
    </w:p>
    <w:p>
      <w:pPr>
        <w:tabs>
          <w:tab w:pos="3331" w:val="left" w:leader="none"/>
        </w:tabs>
        <w:spacing w:line="240" w:lineRule="exact" w:before="0"/>
        <w:ind w:left="1902" w:right="739" w:firstLine="0"/>
        <w:jc w:val="left"/>
        <w:rPr>
          <w:sz w:val="21"/>
        </w:rPr>
      </w:pPr>
      <w:r>
        <w:rPr>
          <w:rFonts w:ascii="Arial"/>
          <w:color w:val="010101"/>
          <w:w w:val="105"/>
          <w:position w:val="6"/>
          <w:sz w:val="11"/>
        </w:rPr>
        <w:t>2</w:t>
      </w:r>
      <w:r>
        <w:rPr>
          <w:color w:val="010101"/>
          <w:w w:val="105"/>
          <w:sz w:val="16"/>
        </w:rPr>
        <w:t>Pcni </w:t>
      </w:r>
      <w:r>
        <w:rPr>
          <w:color w:val="010101"/>
          <w:spacing w:val="27"/>
          <w:w w:val="105"/>
          <w:sz w:val="16"/>
        </w:rPr>
        <w:t> </w:t>
      </w:r>
      <w:r>
        <w:rPr>
          <w:color w:val="010101"/>
          <w:w w:val="105"/>
          <w:sz w:val="24"/>
        </w:rPr>
        <w:t>=</w:t>
        <w:tab/>
      </w:r>
      <w:r>
        <w:rPr>
          <w:color w:val="010101"/>
          <w:sz w:val="24"/>
        </w:rPr>
        <w:t>=</w:t>
      </w:r>
      <w:r>
        <w:rPr>
          <w:color w:val="010101"/>
          <w:spacing w:val="-14"/>
          <w:sz w:val="24"/>
        </w:rPr>
        <w:t> </w:t>
      </w:r>
      <w:r>
        <w:rPr>
          <w:color w:val="010101"/>
          <w:sz w:val="21"/>
        </w:rPr>
        <w:t>942,944</w:t>
      </w:r>
    </w:p>
    <w:p>
      <w:pPr>
        <w:tabs>
          <w:tab w:pos="1041" w:val="left" w:leader="none"/>
        </w:tabs>
        <w:spacing w:line="217" w:lineRule="exact" w:before="98"/>
        <w:ind w:left="503" w:right="0" w:firstLine="0"/>
        <w:jc w:val="center"/>
        <w:rPr>
          <w:sz w:val="19"/>
        </w:rPr>
      </w:pPr>
      <w:r>
        <w:rPr/>
        <w:pict>
          <v:line style="position:absolute;mso-position-horizontal-relative:page;mso-position-vertical-relative:paragraph;z-index:-733648" from="215.712906pt,15.708833pt" to="217.328006pt,15.708833pt" stroked="true" strokeweight="1.07677pt" strokecolor="#000000">
            <w10:wrap type="none"/>
          </v:line>
        </w:pict>
      </w:r>
      <w:r>
        <w:rPr>
          <w:i/>
          <w:color w:val="010101"/>
          <w:w w:val="105"/>
          <w:sz w:val="22"/>
        </w:rPr>
        <w:t>lu</w:t>
        <w:tab/>
      </w:r>
      <w:r>
        <w:rPr>
          <w:color w:val="010101"/>
          <w:w w:val="105"/>
          <w:sz w:val="19"/>
        </w:rPr>
        <w:t>938,359</w:t>
      </w:r>
    </w:p>
    <w:p>
      <w:pPr>
        <w:spacing w:line="263" w:lineRule="exact" w:before="0"/>
        <w:ind w:left="1881" w:right="739" w:firstLine="0"/>
        <w:jc w:val="left"/>
        <w:rPr>
          <w:sz w:val="19"/>
        </w:rPr>
      </w:pPr>
      <w:r>
        <w:rPr>
          <w:color w:val="010101"/>
          <w:sz w:val="16"/>
        </w:rPr>
        <w:t>•Pc</w:t>
      </w:r>
      <w:r>
        <w:rPr>
          <w:color w:val="010101"/>
          <w:position w:val="9"/>
          <w:sz w:val="16"/>
        </w:rPr>
        <w:t>201 </w:t>
      </w:r>
      <w:r>
        <w:rPr>
          <w:color w:val="010101"/>
          <w:sz w:val="26"/>
        </w:rPr>
        <w:t>= </w:t>
      </w:r>
      <w:r>
        <w:rPr>
          <w:color w:val="010101"/>
          <w:w w:val="95"/>
          <w:sz w:val="16"/>
          <w:u w:val="thick" w:color="000000"/>
        </w:rPr>
        <w:t>Zc201 </w:t>
      </w:r>
      <w:r>
        <w:rPr>
          <w:color w:val="010101"/>
          <w:sz w:val="25"/>
        </w:rPr>
        <w:t>= </w:t>
      </w:r>
      <w:r>
        <w:rPr>
          <w:color w:val="010101"/>
          <w:sz w:val="19"/>
        </w:rPr>
        <w:t>946,394</w:t>
      </w:r>
    </w:p>
    <w:p>
      <w:pPr>
        <w:tabs>
          <w:tab w:pos="3542" w:val="left" w:leader="none"/>
        </w:tabs>
        <w:spacing w:line="174" w:lineRule="exact" w:before="111"/>
        <w:ind w:left="2692" w:right="739" w:firstLine="0"/>
        <w:jc w:val="left"/>
        <w:rPr>
          <w:sz w:val="19"/>
        </w:rPr>
      </w:pPr>
      <w:r>
        <w:rPr>
          <w:color w:val="010101"/>
          <w:w w:val="90"/>
          <w:sz w:val="16"/>
        </w:rPr>
        <w:t>ZcH1+2</w:t>
        <w:tab/>
      </w:r>
      <w:r>
        <w:rPr>
          <w:color w:val="010101"/>
          <w:spacing w:val="-3"/>
          <w:sz w:val="19"/>
        </w:rPr>
        <w:t>936,379</w:t>
      </w:r>
    </w:p>
    <w:p>
      <w:pPr>
        <w:spacing w:after="0" w:line="174" w:lineRule="exact"/>
        <w:jc w:val="left"/>
        <w:rPr>
          <w:sz w:val="19"/>
        </w:rPr>
        <w:sectPr>
          <w:pgSz w:w="7200" w:h="11340"/>
          <w:pgMar w:top="500" w:bottom="280" w:left="660" w:right="560"/>
        </w:sectPr>
      </w:pPr>
    </w:p>
    <w:p>
      <w:pPr>
        <w:spacing w:line="115" w:lineRule="exact" w:before="0"/>
        <w:ind w:left="0" w:right="0" w:firstLine="0"/>
        <w:jc w:val="right"/>
        <w:rPr>
          <w:sz w:val="16"/>
        </w:rPr>
      </w:pPr>
      <w:r>
        <w:rPr/>
        <w:pict>
          <v:line style="position:absolute;mso-position-horizontal-relative:page;mso-position-vertical-relative:paragraph;z-index:-733624" from="225.403793pt,.68471pt" to="226.659993pt,.68471pt" stroked="true" strokeweight="1.07677pt" strokecolor="#000000">
            <w10:wrap type="none"/>
          </v:line>
        </w:pict>
      </w:r>
      <w:r>
        <w:rPr>
          <w:color w:val="010101"/>
          <w:w w:val="70"/>
          <w:sz w:val="16"/>
        </w:rPr>
        <w:t>241</w:t>
      </w:r>
    </w:p>
    <w:p>
      <w:pPr>
        <w:spacing w:line="135" w:lineRule="exact" w:before="0"/>
        <w:ind w:left="0" w:right="158" w:firstLine="0"/>
        <w:jc w:val="right"/>
        <w:rPr>
          <w:sz w:val="16"/>
        </w:rPr>
      </w:pPr>
      <w:r>
        <w:rPr>
          <w:color w:val="010101"/>
          <w:w w:val="125"/>
          <w:sz w:val="16"/>
        </w:rPr>
        <w:t>p¡</w:t>
      </w:r>
    </w:p>
    <w:p>
      <w:pPr>
        <w:spacing w:line="267" w:lineRule="exact" w:before="0"/>
        <w:ind w:left="-34" w:right="0" w:firstLine="0"/>
        <w:jc w:val="left"/>
        <w:rPr>
          <w:sz w:val="19"/>
        </w:rPr>
      </w:pPr>
      <w:r>
        <w:rPr/>
        <w:br w:type="column"/>
      </w:r>
      <w:r>
        <w:rPr>
          <w:color w:val="010101"/>
          <w:w w:val="135"/>
          <w:sz w:val="13"/>
        </w:rPr>
        <w:t>+i</w:t>
      </w:r>
      <w:r>
        <w:rPr>
          <w:color w:val="010101"/>
          <w:sz w:val="13"/>
        </w:rPr>
        <w:t>  </w:t>
      </w:r>
      <w:r>
        <w:rPr>
          <w:color w:val="010101"/>
          <w:spacing w:val="1"/>
          <w:sz w:val="13"/>
        </w:rPr>
        <w:t> </w:t>
      </w:r>
      <w:r>
        <w:rPr>
          <w:color w:val="010101"/>
          <w:w w:val="102"/>
          <w:sz w:val="24"/>
        </w:rPr>
        <w:t>=</w:t>
      </w:r>
      <w:r>
        <w:rPr>
          <w:color w:val="010101"/>
          <w:sz w:val="24"/>
        </w:rPr>
        <w:t>  </w:t>
      </w:r>
      <w:r>
        <w:rPr>
          <w:color w:val="010101"/>
          <w:spacing w:val="-18"/>
          <w:sz w:val="24"/>
        </w:rPr>
        <w:t> </w:t>
      </w:r>
      <w:r>
        <w:rPr>
          <w:color w:val="010101"/>
          <w:w w:val="136"/>
          <w:sz w:val="16"/>
          <w:u w:val="thick" w:color="000000"/>
        </w:rPr>
        <w:t>l</w:t>
      </w:r>
      <w:r>
        <w:rPr>
          <w:color w:val="010101"/>
          <w:spacing w:val="-23"/>
          <w:w w:val="136"/>
          <w:sz w:val="16"/>
          <w:u w:val="thick" w:color="000000"/>
        </w:rPr>
        <w:t>¡</w:t>
      </w:r>
      <w:r>
        <w:rPr>
          <w:color w:val="010101"/>
          <w:w w:val="66"/>
          <w:sz w:val="16"/>
          <w:u w:val="thick" w:color="000000"/>
        </w:rPr>
        <w:t>24</w:t>
      </w:r>
      <w:r>
        <w:rPr>
          <w:color w:val="010101"/>
          <w:w w:val="65"/>
          <w:sz w:val="16"/>
          <w:u w:val="thick" w:color="000000"/>
        </w:rPr>
        <w:t>J</w:t>
      </w:r>
      <w:r>
        <w:rPr>
          <w:color w:val="010101"/>
          <w:spacing w:val="-21"/>
          <w:sz w:val="16"/>
          <w:u w:val="thick" w:color="000000"/>
        </w:rPr>
        <w:t> </w:t>
      </w:r>
      <w:r>
        <w:rPr>
          <w:color w:val="010101"/>
          <w:w w:val="105"/>
          <w:sz w:val="14"/>
          <w:u w:val="thick" w:color="000000"/>
        </w:rPr>
        <w:t>+1</w:t>
      </w:r>
      <w:r>
        <w:rPr>
          <w:color w:val="010101"/>
          <w:sz w:val="14"/>
        </w:rPr>
        <w:t>    </w:t>
      </w:r>
      <w:r>
        <w:rPr>
          <w:color w:val="010101"/>
          <w:spacing w:val="4"/>
          <w:sz w:val="14"/>
        </w:rPr>
        <w:t> </w:t>
      </w:r>
      <w:r>
        <w:rPr>
          <w:color w:val="010101"/>
          <w:w w:val="102"/>
          <w:sz w:val="24"/>
        </w:rPr>
        <w:t>=</w:t>
      </w:r>
      <w:r>
        <w:rPr>
          <w:color w:val="010101"/>
          <w:spacing w:val="26"/>
          <w:sz w:val="24"/>
        </w:rPr>
        <w:t> </w:t>
      </w:r>
      <w:r>
        <w:rPr>
          <w:color w:val="010101"/>
          <w:w w:val="103"/>
          <w:sz w:val="19"/>
        </w:rPr>
        <w:t>937,964</w:t>
      </w:r>
    </w:p>
    <w:p>
      <w:pPr>
        <w:tabs>
          <w:tab w:pos="1298" w:val="left" w:leader="none"/>
        </w:tabs>
        <w:spacing w:line="202" w:lineRule="exact" w:before="79"/>
        <w:ind w:left="551" w:right="0" w:firstLine="0"/>
        <w:jc w:val="left"/>
        <w:rPr>
          <w:sz w:val="19"/>
        </w:rPr>
      </w:pPr>
      <w:r>
        <w:rPr>
          <w:rFonts w:ascii="Arial"/>
          <w:i/>
          <w:color w:val="010101"/>
          <w:w w:val="90"/>
          <w:sz w:val="22"/>
        </w:rPr>
        <w:t>di&amp;</w:t>
        <w:tab/>
      </w:r>
      <w:r>
        <w:rPr>
          <w:color w:val="010101"/>
          <w:sz w:val="19"/>
        </w:rPr>
        <w:t>1,910</w:t>
      </w:r>
    </w:p>
    <w:p>
      <w:pPr>
        <w:spacing w:after="0" w:line="202" w:lineRule="exact"/>
        <w:jc w:val="left"/>
        <w:rPr>
          <w:sz w:val="19"/>
        </w:rPr>
        <w:sectPr>
          <w:type w:val="continuous"/>
          <w:pgSz w:w="7200" w:h="11340"/>
          <w:pgMar w:top="1100" w:bottom="0" w:left="660" w:right="560"/>
          <w:cols w:num="2" w:equalWidth="0">
            <w:col w:w="2133" w:space="40"/>
            <w:col w:w="3807"/>
          </w:cols>
        </w:sectPr>
      </w:pPr>
    </w:p>
    <w:p>
      <w:pPr>
        <w:spacing w:line="265" w:lineRule="exact" w:before="0"/>
        <w:ind w:left="1683" w:right="739" w:firstLine="0"/>
        <w:jc w:val="left"/>
        <w:rPr>
          <w:sz w:val="21"/>
        </w:rPr>
      </w:pPr>
      <w:r>
        <w:rPr>
          <w:rFonts w:ascii="Arial" w:hAnsi="Arial"/>
          <w:b/>
          <w:color w:val="010101"/>
          <w:position w:val="6"/>
          <w:sz w:val="14"/>
        </w:rPr>
        <w:t>21</w:t>
      </w:r>
      <w:r>
        <w:rPr>
          <w:b/>
          <w:color w:val="010101"/>
          <w:sz w:val="15"/>
        </w:rPr>
        <w:t>q¡n)+i   </w:t>
      </w:r>
      <w:r>
        <w:rPr>
          <w:color w:val="010101"/>
          <w:sz w:val="26"/>
        </w:rPr>
        <w:t>= </w:t>
      </w:r>
      <w:r>
        <w:rPr>
          <w:color w:val="010101"/>
          <w:sz w:val="15"/>
          <w:u w:val="thick" w:color="000000"/>
        </w:rPr>
        <w:t>l1n1+1  </w:t>
      </w:r>
      <w:r>
        <w:rPr>
          <w:color w:val="010101"/>
          <w:sz w:val="26"/>
        </w:rPr>
        <w:t>= </w:t>
      </w:r>
      <w:r>
        <w:rPr>
          <w:color w:val="010101"/>
          <w:sz w:val="21"/>
          <w:u w:val="thick" w:color="000000"/>
        </w:rPr>
        <w:t>939,835</w:t>
      </w:r>
    </w:p>
    <w:p>
      <w:pPr>
        <w:spacing w:after="0" w:line="265" w:lineRule="exact"/>
        <w:jc w:val="left"/>
        <w:rPr>
          <w:sz w:val="21"/>
        </w:rPr>
        <w:sectPr>
          <w:type w:val="continuous"/>
          <w:pgSz w:w="7200" w:h="11340"/>
          <w:pgMar w:top="1100" w:bottom="0" w:left="660" w:right="560"/>
        </w:sectPr>
      </w:pPr>
    </w:p>
    <w:p>
      <w:pPr>
        <w:tabs>
          <w:tab w:pos="1467" w:val="left" w:leader="none"/>
          <w:tab w:pos="5369" w:val="left" w:leader="none"/>
        </w:tabs>
        <w:spacing w:before="57"/>
        <w:ind w:left="308" w:right="0" w:hanging="202"/>
        <w:jc w:val="left"/>
        <w:rPr>
          <w:b/>
          <w:sz w:val="20"/>
        </w:rPr>
      </w:pPr>
      <w:r>
        <w:rPr>
          <w:rFonts w:ascii="Arial"/>
          <w:sz w:val="18"/>
        </w:rPr>
        <w:t>28</w:t>
        <w:tab/>
      </w:r>
      <w:r>
        <w:rPr>
          <w:b/>
          <w:sz w:val="15"/>
        </w:rPr>
        <w:t>THE   IIEASUREMENT  </w:t>
      </w:r>
      <w:r>
        <w:rPr>
          <w:b/>
          <w:spacing w:val="14"/>
          <w:sz w:val="15"/>
        </w:rPr>
        <w:t> </w:t>
      </w:r>
      <w:r>
        <w:rPr>
          <w:b/>
          <w:sz w:val="15"/>
        </w:rPr>
        <w:t>OF </w:t>
      </w:r>
      <w:r>
        <w:rPr>
          <w:b/>
          <w:spacing w:val="33"/>
          <w:sz w:val="15"/>
        </w:rPr>
        <w:t> </w:t>
      </w:r>
      <w:r>
        <w:rPr>
          <w:b/>
          <w:sz w:val="15"/>
        </w:rPr>
        <w:t>MORTALITY</w:t>
        <w:tab/>
      </w:r>
      <w:r>
        <w:rPr>
          <w:rFonts w:ascii="Arial"/>
          <w:b/>
          <w:w w:val="95"/>
          <w:position w:val="1"/>
          <w:sz w:val="19"/>
        </w:rPr>
        <w:t>[CH.</w:t>
      </w:r>
      <w:r>
        <w:rPr>
          <w:rFonts w:ascii="Arial"/>
          <w:b/>
          <w:spacing w:val="-12"/>
          <w:w w:val="95"/>
          <w:position w:val="1"/>
          <w:sz w:val="19"/>
        </w:rPr>
        <w:t> </w:t>
      </w:r>
      <w:r>
        <w:rPr>
          <w:b/>
          <w:w w:val="95"/>
          <w:position w:val="1"/>
          <w:sz w:val="20"/>
        </w:rPr>
        <w:t>1</w:t>
      </w:r>
    </w:p>
    <w:p>
      <w:pPr>
        <w:pStyle w:val="BodyText"/>
        <w:spacing w:before="9"/>
        <w:rPr>
          <w:b/>
        </w:rPr>
      </w:pPr>
    </w:p>
    <w:p>
      <w:pPr>
        <w:spacing w:line="237" w:lineRule="auto" w:before="0"/>
        <w:ind w:left="106" w:right="102" w:firstLine="201"/>
        <w:jc w:val="both"/>
        <w:rPr>
          <w:sz w:val="21"/>
        </w:rPr>
      </w:pPr>
      <w:r>
        <w:rPr>
          <w:sz w:val="21"/>
        </w:rPr>
        <w:t>Although the table we have used here for illustration involves a select period of three years, it should not be  inferred  that  this </w:t>
      </w:r>
      <w:r>
        <w:rPr>
          <w:w w:val="70"/>
          <w:sz w:val="21"/>
        </w:rPr>
        <w:t>· </w:t>
      </w:r>
      <w:r>
        <w:rPr>
          <w:sz w:val="21"/>
        </w:rPr>
        <w:t>is the normal period during which the effects of selection are signifi­ rant. The length of the select period depends on the nature of the underlying data, and the effects of selection may persist noticeably for many years. A number of standard American tables havc 5-year select periods; one of the classical British tables was constructed with a 10-year select period ; and the continuous mortality inves­ tigation carried on by the Society of Actuaries maintains a 15-year select period.</w:t>
      </w:r>
    </w:p>
    <w:p>
      <w:pPr>
        <w:spacing w:line="240" w:lineRule="auto" w:before="0"/>
        <w:ind w:left="106" w:right="117" w:firstLine="201"/>
        <w:jc w:val="both"/>
        <w:rPr>
          <w:sz w:val="21"/>
        </w:rPr>
      </w:pPr>
      <w:r>
        <w:rPr>
          <w:sz w:val="21"/>
        </w:rPr>
        <w:t>Although the above discussion has been concerned with the mor­ tality of insured lives, the analysis is perfectly  general  and applies to any group in which mortality varíes by duration as well  as by  age. Select mortality is found in  the same </w:t>
      </w:r>
      <w:r>
        <w:rPr>
          <w:sz w:val="20"/>
        </w:rPr>
        <w:t>fonn  </w:t>
      </w:r>
      <w:r>
        <w:rPr>
          <w:sz w:val="21"/>
        </w:rPr>
        <w:t>among  annuitants  as among insured lives, although in this case the eff ect is produced by self-selection on the part of the annuitants themselves, since usually only those persons who think themselves to be in good health  will  consider the purchase  of  an</w:t>
      </w:r>
      <w:r>
        <w:rPr>
          <w:spacing w:val="-24"/>
          <w:sz w:val="21"/>
        </w:rPr>
        <w:t> </w:t>
      </w:r>
      <w:r>
        <w:rPr>
          <w:sz w:val="21"/>
        </w:rPr>
        <w:t>annuity.</w:t>
      </w:r>
    </w:p>
    <w:p>
      <w:pPr>
        <w:spacing w:before="0"/>
        <w:ind w:left="110" w:right="136" w:firstLine="190"/>
        <w:jc w:val="both"/>
        <w:rPr>
          <w:sz w:val="21"/>
        </w:rPr>
      </w:pPr>
      <w:r>
        <w:rPr>
          <w:sz w:val="21"/>
        </w:rPr>
        <w:t>Values of the force of mortality at select ages may </w:t>
      </w:r>
      <w:r>
        <w:rPr>
          <w:rFonts w:ascii="Arial"/>
          <w:sz w:val="18"/>
        </w:rPr>
        <w:t>be </w:t>
      </w:r>
      <w:r>
        <w:rPr>
          <w:sz w:val="21"/>
        </w:rPr>
        <w:t>estimated from mortality table data by using the methods of Section 5. Using the analogue of formula  (1.21 ), for example,</w:t>
      </w:r>
    </w:p>
    <w:p>
      <w:pPr>
        <w:spacing w:line="200" w:lineRule="exact" w:before="138"/>
        <w:ind w:left="1690" w:right="0" w:firstLine="0"/>
        <w:jc w:val="left"/>
        <w:rPr>
          <w:b/>
          <w:sz w:val="20"/>
        </w:rPr>
      </w:pPr>
      <w:r>
        <w:rPr>
          <w:w w:val="125"/>
          <w:sz w:val="20"/>
        </w:rPr>
        <w:t>. </w:t>
      </w:r>
      <w:r>
        <w:rPr>
          <w:b/>
          <w:w w:val="125"/>
          <w:sz w:val="20"/>
        </w:rPr>
        <w:t>8( </w:t>
      </w:r>
      <w:r>
        <w:rPr>
          <w:b/>
          <w:sz w:val="20"/>
        </w:rPr>
        <w:t>l</w:t>
      </w:r>
      <w:r>
        <w:rPr>
          <w:b/>
          <w:sz w:val="20"/>
          <w:u w:val="thick"/>
        </w:rPr>
        <w:t>cs]+l </w:t>
      </w:r>
      <w:r>
        <w:rPr>
          <w:w w:val="260"/>
          <w:sz w:val="20"/>
        </w:rPr>
        <w:t>-</w:t>
      </w:r>
      <w:r>
        <w:rPr>
          <w:spacing w:val="-103"/>
          <w:w w:val="260"/>
          <w:sz w:val="20"/>
        </w:rPr>
        <w:t> </w:t>
      </w:r>
      <w:r>
        <w:rPr>
          <w:b/>
          <w:sz w:val="20"/>
        </w:rPr>
        <w:t>l1s1+a) </w:t>
      </w:r>
      <w:r>
        <w:rPr>
          <w:w w:val="260"/>
          <w:sz w:val="20"/>
        </w:rPr>
        <w:t>-</w:t>
      </w:r>
      <w:r>
        <w:rPr>
          <w:spacing w:val="-92"/>
          <w:w w:val="260"/>
          <w:sz w:val="20"/>
        </w:rPr>
        <w:t> </w:t>
      </w:r>
      <w:r>
        <w:rPr>
          <w:b/>
          <w:sz w:val="20"/>
        </w:rPr>
        <w:t>( l¡s] </w:t>
      </w:r>
      <w:r>
        <w:rPr>
          <w:w w:val="260"/>
          <w:sz w:val="20"/>
        </w:rPr>
        <w:t>-</w:t>
      </w:r>
      <w:r>
        <w:rPr>
          <w:spacing w:val="-100"/>
          <w:w w:val="260"/>
          <w:sz w:val="20"/>
        </w:rPr>
        <w:t> </w:t>
      </w:r>
      <w:r>
        <w:rPr>
          <w:b/>
          <w:sz w:val="20"/>
        </w:rPr>
        <w:t>l¡s]H)</w:t>
      </w:r>
    </w:p>
    <w:p>
      <w:pPr>
        <w:tabs>
          <w:tab w:pos="3087" w:val="left" w:leader="none"/>
        </w:tabs>
        <w:spacing w:line="144" w:lineRule="exact" w:before="0"/>
        <w:ind w:left="1179" w:right="0" w:firstLine="0"/>
        <w:jc w:val="left"/>
        <w:rPr>
          <w:b/>
          <w:sz w:val="20"/>
        </w:rPr>
      </w:pPr>
      <w:r>
        <w:rPr>
          <w:rFonts w:ascii="Arial"/>
          <w:b/>
          <w:w w:val="115"/>
          <w:sz w:val="11"/>
        </w:rPr>
        <w:t>l"[z)+2 </w:t>
      </w:r>
      <w:r>
        <w:rPr>
          <w:rFonts w:ascii="Arial"/>
          <w:b/>
          <w:spacing w:val="17"/>
          <w:w w:val="115"/>
          <w:sz w:val="11"/>
        </w:rPr>
        <w:t> </w:t>
      </w:r>
      <w:r>
        <w:rPr>
          <w:w w:val="115"/>
          <w:sz w:val="15"/>
        </w:rPr>
        <w:t>=;</w:t>
        <w:tab/>
      </w:r>
      <w:r>
        <w:rPr>
          <w:b/>
          <w:w w:val="115"/>
          <w:sz w:val="20"/>
        </w:rPr>
        <w:t>12l</w:t>
      </w:r>
    </w:p>
    <w:p>
      <w:pPr>
        <w:spacing w:line="143" w:lineRule="exact" w:before="0"/>
        <w:ind w:left="1100" w:right="87" w:firstLine="0"/>
        <w:jc w:val="center"/>
        <w:rPr>
          <w:b/>
          <w:sz w:val="14"/>
        </w:rPr>
      </w:pPr>
      <w:r>
        <w:rPr>
          <w:b/>
          <w:sz w:val="14"/>
        </w:rPr>
        <w:t>(zl +2</w:t>
      </w:r>
    </w:p>
    <w:p>
      <w:pPr>
        <w:spacing w:line="237" w:lineRule="auto" w:before="110"/>
        <w:ind w:left="110" w:right="131" w:firstLine="32"/>
        <w:jc w:val="both"/>
        <w:rPr>
          <w:sz w:val="21"/>
        </w:rPr>
      </w:pPr>
      <w:r>
        <w:rPr>
          <w:w w:val="105"/>
          <w:sz w:val="21"/>
        </w:rPr>
        <w:t>(assuming the select period to be greater than 4 years). Note that this</w:t>
      </w:r>
      <w:r>
        <w:rPr>
          <w:spacing w:val="-22"/>
          <w:w w:val="105"/>
          <w:sz w:val="21"/>
        </w:rPr>
        <w:t> </w:t>
      </w:r>
      <w:r>
        <w:rPr>
          <w:w w:val="105"/>
          <w:sz w:val="21"/>
        </w:rPr>
        <w:t>formula</w:t>
      </w:r>
      <w:r>
        <w:rPr>
          <w:spacing w:val="-19"/>
          <w:w w:val="105"/>
          <w:sz w:val="21"/>
        </w:rPr>
        <w:t> </w:t>
      </w:r>
      <w:r>
        <w:rPr>
          <w:w w:val="105"/>
          <w:sz w:val="21"/>
        </w:rPr>
        <w:t>could</w:t>
      </w:r>
      <w:r>
        <w:rPr>
          <w:spacing w:val="-16"/>
          <w:w w:val="105"/>
          <w:sz w:val="21"/>
        </w:rPr>
        <w:t> </w:t>
      </w:r>
      <w:r>
        <w:rPr>
          <w:w w:val="105"/>
          <w:sz w:val="21"/>
        </w:rPr>
        <w:t>not</w:t>
      </w:r>
      <w:r>
        <w:rPr>
          <w:spacing w:val="-17"/>
          <w:w w:val="105"/>
          <w:sz w:val="21"/>
        </w:rPr>
        <w:t> </w:t>
      </w:r>
      <w:r>
        <w:rPr>
          <w:sz w:val="21"/>
        </w:rPr>
        <w:t>b.e</w:t>
      </w:r>
      <w:r>
        <w:rPr>
          <w:spacing w:val="-17"/>
          <w:sz w:val="21"/>
        </w:rPr>
        <w:t> </w:t>
      </w:r>
      <w:r>
        <w:rPr>
          <w:w w:val="105"/>
          <w:sz w:val="21"/>
        </w:rPr>
        <w:t>used</w:t>
      </w:r>
      <w:r>
        <w:rPr>
          <w:spacing w:val="-14"/>
          <w:w w:val="105"/>
          <w:sz w:val="21"/>
        </w:rPr>
        <w:t> </w:t>
      </w:r>
      <w:r>
        <w:rPr>
          <w:w w:val="105"/>
          <w:sz w:val="21"/>
        </w:rPr>
        <w:t>to</w:t>
      </w:r>
      <w:r>
        <w:rPr>
          <w:spacing w:val="-24"/>
          <w:w w:val="105"/>
          <w:sz w:val="21"/>
        </w:rPr>
        <w:t> </w:t>
      </w:r>
      <w:r>
        <w:rPr>
          <w:w w:val="105"/>
          <w:sz w:val="21"/>
        </w:rPr>
        <w:t>approximate</w:t>
      </w:r>
      <w:r>
        <w:rPr>
          <w:spacing w:val="-22"/>
          <w:w w:val="105"/>
          <w:sz w:val="21"/>
        </w:rPr>
        <w:t> </w:t>
      </w:r>
      <w:r>
        <w:rPr>
          <w:w w:val="105"/>
          <w:sz w:val="15"/>
        </w:rPr>
        <w:t>J.ilzl+l</w:t>
      </w:r>
      <w:r>
        <w:rPr>
          <w:spacing w:val="4"/>
          <w:w w:val="105"/>
          <w:sz w:val="15"/>
        </w:rPr>
        <w:t> </w:t>
      </w:r>
      <w:r>
        <w:rPr>
          <w:w w:val="120"/>
          <w:sz w:val="15"/>
        </w:rPr>
        <w:t>,</w:t>
      </w:r>
      <w:r>
        <w:rPr>
          <w:spacing w:val="-19"/>
          <w:w w:val="120"/>
          <w:sz w:val="15"/>
        </w:rPr>
        <w:t> </w:t>
      </w:r>
      <w:r>
        <w:rPr>
          <w:w w:val="105"/>
          <w:sz w:val="21"/>
        </w:rPr>
        <w:t>since</w:t>
      </w:r>
      <w:r>
        <w:rPr>
          <w:spacing w:val="-25"/>
          <w:w w:val="105"/>
          <w:sz w:val="21"/>
        </w:rPr>
        <w:t> </w:t>
      </w:r>
      <w:r>
        <w:rPr>
          <w:w w:val="105"/>
          <w:sz w:val="21"/>
        </w:rPr>
        <w:t>it</w:t>
      </w:r>
      <w:r>
        <w:rPr>
          <w:spacing w:val="-27"/>
          <w:w w:val="105"/>
          <w:sz w:val="21"/>
        </w:rPr>
        <w:t> </w:t>
      </w:r>
      <w:r>
        <w:rPr>
          <w:w w:val="105"/>
          <w:sz w:val="21"/>
        </w:rPr>
        <w:t>would then involve the meaningless symbol </w:t>
      </w:r>
      <w:r>
        <w:rPr>
          <w:w w:val="120"/>
          <w:sz w:val="15"/>
        </w:rPr>
        <w:t>lizJ-1 </w:t>
      </w:r>
      <w:r>
        <w:rPr>
          <w:w w:val="145"/>
          <w:sz w:val="15"/>
        </w:rPr>
        <w:t>. </w:t>
      </w:r>
      <w:r>
        <w:rPr>
          <w:w w:val="105"/>
          <w:sz w:val="21"/>
        </w:rPr>
        <w:t>The analogue </w:t>
      </w:r>
      <w:r>
        <w:rPr>
          <w:sz w:val="21"/>
        </w:rPr>
        <w:t>of </w:t>
      </w:r>
      <w:r>
        <w:rPr>
          <w:w w:val="105"/>
          <w:sz w:val="21"/>
        </w:rPr>
        <w:t>for­ mula (1.22) could be uscd in this</w:t>
      </w:r>
      <w:r>
        <w:rPr>
          <w:spacing w:val="-12"/>
          <w:w w:val="105"/>
          <w:sz w:val="21"/>
        </w:rPr>
        <w:t> </w:t>
      </w:r>
      <w:r>
        <w:rPr>
          <w:w w:val="105"/>
          <w:sz w:val="21"/>
        </w:rPr>
        <w:t>case.</w:t>
      </w:r>
    </w:p>
    <w:p>
      <w:pPr>
        <w:spacing w:line="237" w:lineRule="auto" w:before="2"/>
        <w:ind w:left="106" w:right="131" w:firstLine="198"/>
        <w:jc w:val="both"/>
        <w:rPr>
          <w:sz w:val="21"/>
        </w:rPr>
      </w:pPr>
      <w:r>
        <w:rPr>
          <w:sz w:val="21"/>
        </w:rPr>
        <w:t>A mortality table which is constructed from records of insured lives without rcgard to age at issue, all durations from  zero  on being included, and all lives of the same attained age being grouped togethcr, is called an </w:t>
      </w:r>
      <w:r>
        <w:rPr>
          <w:i/>
          <w:sz w:val="20"/>
        </w:rPr>
        <w:t>aggregate </w:t>
      </w:r>
      <w:r>
        <w:rPr>
          <w:sz w:val="21"/>
        </w:rPr>
        <w:t>table. Another type of  mortality table is the </w:t>
      </w:r>
      <w:r>
        <w:rPr>
          <w:i/>
          <w:sz w:val="20"/>
        </w:rPr>
        <w:t>ultimate </w:t>
      </w:r>
      <w:r>
        <w:rPr>
          <w:sz w:val="21"/>
        </w:rPr>
        <w:t>table, which is constructed from records of insured lives with the experience of the first years after issue  omitted in ordet to eliminate the eff ects of selection. The ultimate column of any select and ultimate table constitutes in itself an ultimate rnortality table. The American Experience  table,  one of the earliest tables to be used extensively for insurance purposes in the United States, is a well-known  example of an ultimate  </w:t>
      </w:r>
      <w:r>
        <w:rPr>
          <w:spacing w:val="3"/>
          <w:sz w:val="21"/>
        </w:rPr>
        <w:t> </w:t>
      </w:r>
      <w:r>
        <w:rPr>
          <w:sz w:val="21"/>
        </w:rPr>
        <w:t>table.</w:t>
      </w:r>
    </w:p>
    <w:p>
      <w:pPr>
        <w:spacing w:after="0" w:line="237" w:lineRule="auto"/>
        <w:jc w:val="both"/>
        <w:rPr>
          <w:sz w:val="21"/>
        </w:rPr>
        <w:sectPr>
          <w:pgSz w:w="7200" w:h="11340"/>
          <w:pgMar w:top="480" w:bottom="280" w:left="660" w:right="540"/>
        </w:sectPr>
      </w:pPr>
    </w:p>
    <w:p>
      <w:pPr>
        <w:tabs>
          <w:tab w:pos="1111" w:val="left" w:leader="none"/>
          <w:tab w:pos="5890" w:val="right" w:leader="none"/>
        </w:tabs>
        <w:spacing w:before="64"/>
        <w:ind w:left="124" w:right="0" w:firstLine="0"/>
        <w:jc w:val="left"/>
        <w:rPr>
          <w:sz w:val="20"/>
        </w:rPr>
      </w:pPr>
      <w:r>
        <w:rPr>
          <w:b/>
          <w:color w:val="010101"/>
          <w:w w:val="105"/>
          <w:sz w:val="15"/>
        </w:rPr>
        <w:t>SEC.</w:t>
      </w:r>
      <w:r>
        <w:rPr>
          <w:b/>
          <w:color w:val="010101"/>
          <w:spacing w:val="20"/>
          <w:w w:val="105"/>
          <w:sz w:val="15"/>
        </w:rPr>
        <w:t> </w:t>
      </w:r>
      <w:r>
        <w:rPr>
          <w:rFonts w:ascii="Arial"/>
          <w:b/>
          <w:color w:val="010101"/>
          <w:w w:val="105"/>
          <w:sz w:val="20"/>
        </w:rPr>
        <w:t>9]</w:t>
        <w:tab/>
      </w:r>
      <w:r>
        <w:rPr>
          <w:b/>
          <w:color w:val="010101"/>
          <w:w w:val="105"/>
          <w:sz w:val="15"/>
        </w:rPr>
        <w:t>THE  INTERNATIONAL </w:t>
      </w:r>
      <w:r>
        <w:rPr>
          <w:b/>
          <w:color w:val="010101"/>
          <w:spacing w:val="34"/>
          <w:w w:val="105"/>
          <w:sz w:val="15"/>
        </w:rPr>
        <w:t> </w:t>
      </w:r>
      <w:r>
        <w:rPr>
          <w:b/>
          <w:color w:val="010101"/>
          <w:w w:val="105"/>
          <w:sz w:val="15"/>
        </w:rPr>
        <w:t>ACTUARIAL </w:t>
      </w:r>
      <w:r>
        <w:rPr>
          <w:b/>
          <w:color w:val="010101"/>
          <w:spacing w:val="17"/>
          <w:w w:val="105"/>
          <w:sz w:val="15"/>
        </w:rPr>
        <w:t> </w:t>
      </w:r>
      <w:r>
        <w:rPr>
          <w:b/>
          <w:color w:val="010101"/>
          <w:w w:val="105"/>
          <w:sz w:val="15"/>
        </w:rPr>
        <w:t>NOTATION</w:t>
      </w:r>
      <w:r>
        <w:rPr>
          <w:color w:val="010101"/>
          <w:w w:val="105"/>
          <w:sz w:val="20"/>
        </w:rPr>
        <w:tab/>
        <w:t>29</w:t>
      </w:r>
    </w:p>
    <w:p>
      <w:pPr>
        <w:pStyle w:val="BodyText"/>
        <w:spacing w:before="10"/>
        <w:rPr>
          <w:sz w:val="21"/>
        </w:rPr>
      </w:pPr>
    </w:p>
    <w:p>
      <w:pPr>
        <w:numPr>
          <w:ilvl w:val="0"/>
          <w:numId w:val="5"/>
        </w:numPr>
        <w:tabs>
          <w:tab w:pos="348" w:val="left" w:leader="none"/>
        </w:tabs>
        <w:spacing w:before="0"/>
        <w:ind w:left="347" w:right="0" w:hanging="219"/>
        <w:jc w:val="left"/>
        <w:rPr>
          <w:b/>
          <w:color w:val="010101"/>
          <w:sz w:val="20"/>
        </w:rPr>
      </w:pPr>
      <w:r>
        <w:rPr>
          <w:b/>
          <w:color w:val="010101"/>
          <w:w w:val="115"/>
          <w:sz w:val="20"/>
        </w:rPr>
        <w:t>The lnternational  Actuarial</w:t>
      </w:r>
      <w:r>
        <w:rPr>
          <w:b/>
          <w:color w:val="010101"/>
          <w:spacing w:val="35"/>
          <w:w w:val="115"/>
          <w:sz w:val="20"/>
        </w:rPr>
        <w:t> </w:t>
      </w:r>
      <w:r>
        <w:rPr>
          <w:b/>
          <w:color w:val="010101"/>
          <w:w w:val="115"/>
          <w:sz w:val="20"/>
        </w:rPr>
        <w:t>Notation</w:t>
      </w:r>
    </w:p>
    <w:p>
      <w:pPr>
        <w:spacing w:line="240" w:lineRule="exact" w:before="77"/>
        <w:ind w:left="128" w:right="109" w:firstLine="197"/>
        <w:jc w:val="both"/>
        <w:rPr>
          <w:sz w:val="21"/>
        </w:rPr>
      </w:pPr>
      <w:r>
        <w:rPr>
          <w:color w:val="010101"/>
          <w:sz w:val="21"/>
        </w:rPr>
        <w:t>The Intemational Congress of Actuaries adopted in </w:t>
      </w:r>
      <w:r>
        <w:rPr>
          <w:color w:val="010101"/>
          <w:spacing w:val="-17"/>
          <w:sz w:val="21"/>
        </w:rPr>
        <w:t>1898 </w:t>
      </w:r>
      <w:r>
        <w:rPr>
          <w:color w:val="010101"/>
          <w:sz w:val="21"/>
        </w:rPr>
        <w:t>a sys­ tem of notation for actuarial literature. In addition to prescribing definite symbols for the common actuaria! functions, this code indicates the notational principies to be followed in adopting sym­ bols for new functions that may be needed. </w:t>
      </w:r>
      <w:r>
        <w:rPr>
          <w:color w:val="010101"/>
          <w:sz w:val="22"/>
        </w:rPr>
        <w:t>In </w:t>
      </w:r>
      <w:r>
        <w:rPr>
          <w:color w:val="010101"/>
          <w:sz w:val="21"/>
        </w:rPr>
        <w:t>this way, it provides for the development of a consistent actuaria} notation that will always be intelligible to anyone familiar with  the </w:t>
      </w:r>
      <w:r>
        <w:rPr>
          <w:color w:val="010101"/>
          <w:spacing w:val="25"/>
          <w:sz w:val="21"/>
        </w:rPr>
        <w:t> </w:t>
      </w:r>
      <w:r>
        <w:rPr>
          <w:color w:val="010101"/>
          <w:sz w:val="21"/>
        </w:rPr>
        <w:t>code.</w:t>
      </w:r>
    </w:p>
    <w:p>
      <w:pPr>
        <w:spacing w:line="240" w:lineRule="exact" w:before="4"/>
        <w:ind w:left="128" w:right="117" w:firstLine="197"/>
        <w:jc w:val="both"/>
        <w:rPr>
          <w:sz w:val="21"/>
        </w:rPr>
      </w:pPr>
      <w:r>
        <w:rPr>
          <w:color w:val="010101"/>
          <w:sz w:val="21"/>
        </w:rPr>
        <w:t>At the end of each  chapter the notational  ideas first introduced  in that chapter will be summarized.  These summaries will  consist of three parts:  (1)  the fundamental  principies,  (2) the application of these principies </w:t>
      </w:r>
      <w:r>
        <w:rPr>
          <w:color w:val="010101"/>
          <w:sz w:val="22"/>
        </w:rPr>
        <w:t>to </w:t>
      </w:r>
      <w:r>
        <w:rPr>
          <w:color w:val="010101"/>
          <w:sz w:val="21"/>
        </w:rPr>
        <w:t>the specific types of function discussed in the current  chapter,  (3)  consideration  of  any exceptional</w:t>
      </w:r>
      <w:r>
        <w:rPr>
          <w:color w:val="010101"/>
          <w:spacing w:val="-11"/>
          <w:sz w:val="21"/>
        </w:rPr>
        <w:t> </w:t>
      </w:r>
      <w:r>
        <w:rPr>
          <w:color w:val="010101"/>
          <w:sz w:val="21"/>
        </w:rPr>
        <w:t>points.</w:t>
      </w:r>
    </w:p>
    <w:p>
      <w:pPr>
        <w:spacing w:before="173"/>
        <w:ind w:left="120" w:right="0" w:firstLine="0"/>
        <w:jc w:val="left"/>
        <w:rPr>
          <w:i/>
          <w:sz w:val="19"/>
        </w:rPr>
      </w:pPr>
      <w:r>
        <w:rPr>
          <w:i/>
          <w:color w:val="010101"/>
          <w:w w:val="105"/>
          <w:sz w:val="19"/>
        </w:rPr>
        <w:t>Fundamental  rwtational  principles  used in Chapter 1</w:t>
      </w:r>
    </w:p>
    <w:p>
      <w:pPr>
        <w:numPr>
          <w:ilvl w:val="1"/>
          <w:numId w:val="5"/>
        </w:numPr>
        <w:tabs>
          <w:tab w:pos="617" w:val="left" w:leader="none"/>
        </w:tabs>
        <w:spacing w:line="237" w:lineRule="auto" w:before="85"/>
        <w:ind w:left="120" w:right="115" w:firstLine="201"/>
        <w:jc w:val="both"/>
        <w:rPr>
          <w:sz w:val="21"/>
        </w:rPr>
      </w:pPr>
      <w:r>
        <w:rPr>
          <w:color w:val="010101"/>
          <w:sz w:val="21"/>
        </w:rPr>
        <w:t>Actuaria} functions are represented by  a  </w:t>
      </w:r>
      <w:r>
        <w:rPr>
          <w:i/>
          <w:color w:val="010101"/>
          <w:sz w:val="19"/>
        </w:rPr>
        <w:t>principal  symbol  </w:t>
      </w:r>
      <w:r>
        <w:rPr>
          <w:color w:val="010101"/>
          <w:sz w:val="21"/>
        </w:rPr>
        <w:t>with associated </w:t>
      </w:r>
      <w:r>
        <w:rPr>
          <w:i/>
          <w:color w:val="010101"/>
          <w:sz w:val="19"/>
        </w:rPr>
        <w:t>prefixes and sujfixes </w:t>
      </w:r>
      <w:r>
        <w:rPr>
          <w:color w:val="010101"/>
          <w:sz w:val="21"/>
        </w:rPr>
        <w:t>which  may be either </w:t>
      </w:r>
      <w:r>
        <w:rPr>
          <w:i/>
          <w:color w:val="010101"/>
          <w:sz w:val="19"/>
        </w:rPr>
        <w:t>subscripts  </w:t>
      </w:r>
      <w:r>
        <w:rPr>
          <w:color w:val="010101"/>
          <w:sz w:val="21"/>
        </w:rPr>
        <w:t>or </w:t>
      </w:r>
      <w:r>
        <w:rPr>
          <w:i/>
          <w:color w:val="010101"/>
          <w:sz w:val="19"/>
        </w:rPr>
        <w:t>superscripts. </w:t>
      </w:r>
      <w:r>
        <w:rPr>
          <w:color w:val="010101"/>
          <w:sz w:val="21"/>
        </w:rPr>
        <w:t>The principal symbol  expresses  the general  nature of the function. The prefixes and suffixes each limit sorne phase oí the generalization, so that the completed symbol constitutes a pre­ cise definition of the </w:t>
      </w:r>
      <w:r>
        <w:rPr>
          <w:color w:val="010101"/>
          <w:spacing w:val="1"/>
          <w:sz w:val="21"/>
        </w:rPr>
        <w:t> </w:t>
      </w:r>
      <w:r>
        <w:rPr>
          <w:color w:val="010101"/>
          <w:sz w:val="21"/>
        </w:rPr>
        <w:t>function.</w:t>
      </w:r>
    </w:p>
    <w:p>
      <w:pPr>
        <w:pStyle w:val="ListParagraph"/>
        <w:numPr>
          <w:ilvl w:val="0"/>
          <w:numId w:val="6"/>
        </w:numPr>
        <w:tabs>
          <w:tab w:pos="617" w:val="left" w:leader="none"/>
        </w:tabs>
        <w:spacing w:line="240" w:lineRule="auto" w:before="0" w:after="0"/>
        <w:ind w:left="124" w:right="120" w:firstLine="197"/>
        <w:jc w:val="both"/>
        <w:rPr>
          <w:sz w:val="21"/>
        </w:rPr>
      </w:pPr>
      <w:r>
        <w:rPr>
          <w:rFonts w:ascii="Arial"/>
          <w:b/>
          <w:color w:val="010101"/>
          <w:sz w:val="20"/>
        </w:rPr>
        <w:t>A </w:t>
      </w:r>
      <w:r>
        <w:rPr>
          <w:i/>
          <w:color w:val="010101"/>
          <w:sz w:val="19"/>
        </w:rPr>
        <w:t>sujfixed subscript  </w:t>
      </w:r>
      <w:r>
        <w:rPr>
          <w:color w:val="010101"/>
          <w:sz w:val="21"/>
        </w:rPr>
        <w:t>(appearing at the lower right-hand  comer of the principal symbol ) indicates the conditions relative  to ages and the otder of succession of  the </w:t>
      </w:r>
      <w:r>
        <w:rPr>
          <w:color w:val="010101"/>
          <w:spacing w:val="27"/>
          <w:sz w:val="21"/>
        </w:rPr>
        <w:t> </w:t>
      </w:r>
      <w:r>
        <w:rPr>
          <w:color w:val="010101"/>
          <w:sz w:val="21"/>
        </w:rPr>
        <w:t>events.</w:t>
      </w:r>
    </w:p>
    <w:p>
      <w:pPr>
        <w:pStyle w:val="ListParagraph"/>
        <w:numPr>
          <w:ilvl w:val="0"/>
          <w:numId w:val="6"/>
        </w:numPr>
        <w:tabs>
          <w:tab w:pos="620" w:val="left" w:leader="none"/>
        </w:tabs>
        <w:spacing w:line="232" w:lineRule="auto" w:before="1" w:after="0"/>
        <w:ind w:left="128" w:right="136" w:firstLine="197"/>
        <w:jc w:val="both"/>
        <w:rPr>
          <w:sz w:val="21"/>
        </w:rPr>
      </w:pPr>
      <w:r>
        <w:rPr>
          <w:rFonts w:ascii="Arial"/>
          <w:b/>
          <w:color w:val="010101"/>
          <w:sz w:val="20"/>
        </w:rPr>
        <w:t>A </w:t>
      </w:r>
      <w:r>
        <w:rPr>
          <w:i/>
          <w:color w:val="010101"/>
          <w:sz w:val="19"/>
        </w:rPr>
        <w:t>prefixed subscript </w:t>
      </w:r>
      <w:r>
        <w:rPr>
          <w:color w:val="010101"/>
          <w:sz w:val="21"/>
        </w:rPr>
        <w:t>(appearing at the lower lcft-hand comer) indicates the conditions relative </w:t>
      </w:r>
      <w:r>
        <w:rPr>
          <w:color w:val="010101"/>
          <w:sz w:val="22"/>
        </w:rPr>
        <w:t>to </w:t>
      </w:r>
      <w:r>
        <w:rPr>
          <w:color w:val="010101"/>
          <w:sz w:val="21"/>
        </w:rPr>
        <w:t>the duration of the operations and to their  position  with  regard  to</w:t>
      </w:r>
      <w:r>
        <w:rPr>
          <w:color w:val="010101"/>
          <w:spacing w:val="-16"/>
          <w:sz w:val="21"/>
        </w:rPr>
        <w:t> </w:t>
      </w:r>
      <w:r>
        <w:rPr>
          <w:color w:val="010101"/>
          <w:sz w:val="21"/>
        </w:rPr>
        <w:t>time.</w:t>
      </w:r>
    </w:p>
    <w:p>
      <w:pPr>
        <w:pStyle w:val="ListParagraph"/>
        <w:numPr>
          <w:ilvl w:val="0"/>
          <w:numId w:val="7"/>
        </w:numPr>
        <w:tabs>
          <w:tab w:pos="635" w:val="left" w:leader="none"/>
        </w:tabs>
        <w:spacing w:line="238" w:lineRule="exact" w:before="6" w:after="0"/>
        <w:ind w:left="124" w:right="122" w:firstLine="201"/>
        <w:jc w:val="both"/>
        <w:rPr>
          <w:sz w:val="21"/>
        </w:rPr>
      </w:pPr>
      <w:r>
        <w:rPr>
          <w:color w:val="010101"/>
          <w:w w:val="105"/>
          <w:sz w:val="21"/>
        </w:rPr>
        <w:t>A</w:t>
      </w:r>
      <w:r>
        <w:rPr>
          <w:color w:val="010101"/>
          <w:spacing w:val="-7"/>
          <w:w w:val="105"/>
          <w:sz w:val="21"/>
        </w:rPr>
        <w:t> </w:t>
      </w:r>
      <w:r>
        <w:rPr>
          <w:color w:val="010101"/>
          <w:w w:val="105"/>
          <w:sz w:val="21"/>
        </w:rPr>
        <w:t>vertical</w:t>
      </w:r>
      <w:r>
        <w:rPr>
          <w:color w:val="010101"/>
          <w:spacing w:val="-6"/>
          <w:w w:val="105"/>
          <w:sz w:val="21"/>
        </w:rPr>
        <w:t> </w:t>
      </w:r>
      <w:r>
        <w:rPr>
          <w:color w:val="010101"/>
          <w:w w:val="105"/>
          <w:sz w:val="21"/>
        </w:rPr>
        <w:t>bar</w:t>
      </w:r>
      <w:r>
        <w:rPr>
          <w:color w:val="010101"/>
          <w:spacing w:val="-8"/>
          <w:w w:val="105"/>
          <w:sz w:val="21"/>
        </w:rPr>
        <w:t> </w:t>
      </w:r>
      <w:r>
        <w:rPr>
          <w:color w:val="010101"/>
          <w:w w:val="105"/>
          <w:sz w:val="21"/>
        </w:rPr>
        <w:t>with</w:t>
      </w:r>
      <w:r>
        <w:rPr>
          <w:color w:val="010101"/>
          <w:spacing w:val="-1"/>
          <w:w w:val="105"/>
          <w:sz w:val="21"/>
        </w:rPr>
        <w:t> </w:t>
      </w:r>
      <w:r>
        <w:rPr>
          <w:color w:val="010101"/>
          <w:w w:val="105"/>
          <w:sz w:val="21"/>
        </w:rPr>
        <w:t>a</w:t>
      </w:r>
      <w:r>
        <w:rPr>
          <w:color w:val="010101"/>
          <w:spacing w:val="-13"/>
          <w:w w:val="105"/>
          <w:sz w:val="21"/>
        </w:rPr>
        <w:t> </w:t>
      </w:r>
      <w:r>
        <w:rPr>
          <w:color w:val="010101"/>
          <w:w w:val="105"/>
          <w:sz w:val="21"/>
        </w:rPr>
        <w:t>prefixed</w:t>
      </w:r>
      <w:r>
        <w:rPr>
          <w:color w:val="010101"/>
          <w:spacing w:val="3"/>
          <w:w w:val="105"/>
          <w:sz w:val="21"/>
        </w:rPr>
        <w:t> </w:t>
      </w:r>
      <w:r>
        <w:rPr>
          <w:color w:val="010101"/>
          <w:w w:val="105"/>
          <w:sz w:val="21"/>
        </w:rPr>
        <w:t>subscript indicates</w:t>
      </w:r>
      <w:r>
        <w:rPr>
          <w:color w:val="010101"/>
          <w:spacing w:val="-10"/>
          <w:w w:val="105"/>
          <w:sz w:val="21"/>
        </w:rPr>
        <w:t> </w:t>
      </w:r>
      <w:r>
        <w:rPr>
          <w:color w:val="010101"/>
          <w:w w:val="105"/>
          <w:sz w:val="21"/>
        </w:rPr>
        <w:t>a</w:t>
      </w:r>
      <w:r>
        <w:rPr>
          <w:color w:val="010101"/>
          <w:spacing w:val="-13"/>
          <w:w w:val="105"/>
          <w:sz w:val="21"/>
        </w:rPr>
        <w:t> </w:t>
      </w:r>
      <w:r>
        <w:rPr>
          <w:color w:val="010101"/>
          <w:w w:val="105"/>
          <w:sz w:val="21"/>
        </w:rPr>
        <w:t>period</w:t>
      </w:r>
      <w:r>
        <w:rPr>
          <w:color w:val="010101"/>
          <w:spacing w:val="-1"/>
          <w:w w:val="105"/>
          <w:sz w:val="21"/>
        </w:rPr>
        <w:t> </w:t>
      </w:r>
      <w:r>
        <w:rPr>
          <w:color w:val="010101"/>
          <w:w w:val="105"/>
          <w:sz w:val="21"/>
        </w:rPr>
        <w:t>oí defennent.</w:t>
      </w:r>
    </w:p>
    <w:p>
      <w:pPr>
        <w:spacing w:before="164"/>
        <w:ind w:left="117" w:right="0" w:firstLine="0"/>
        <w:jc w:val="left"/>
        <w:rPr>
          <w:i/>
          <w:sz w:val="19"/>
        </w:rPr>
      </w:pPr>
      <w:r>
        <w:rPr>
          <w:i/>
          <w:color w:val="010101"/>
          <w:sz w:val="19"/>
        </w:rPr>
        <w:t>Application   to mortality  </w:t>
      </w:r>
      <w:r>
        <w:rPr>
          <w:rFonts w:ascii="Arial"/>
          <w:i/>
          <w:color w:val="010101"/>
          <w:sz w:val="20"/>
        </w:rPr>
        <w:t>tab'le </w:t>
      </w:r>
      <w:r>
        <w:rPr>
          <w:i/>
          <w:color w:val="010101"/>
          <w:sz w:val="19"/>
        </w:rPr>
        <w:t>functions</w:t>
      </w:r>
    </w:p>
    <w:p>
      <w:pPr>
        <w:numPr>
          <w:ilvl w:val="1"/>
          <w:numId w:val="7"/>
        </w:numPr>
        <w:tabs>
          <w:tab w:pos="570" w:val="left" w:leader="none"/>
        </w:tabs>
        <w:spacing w:line="241" w:lineRule="exact" w:before="78"/>
        <w:ind w:left="569" w:right="0" w:hanging="237"/>
        <w:jc w:val="left"/>
        <w:rPr>
          <w:sz w:val="21"/>
        </w:rPr>
      </w:pPr>
      <w:r>
        <w:rPr>
          <w:color w:val="010101"/>
          <w:sz w:val="21"/>
        </w:rPr>
        <w:t>The following principal  symbols are used  in this</w:t>
      </w:r>
      <w:r>
        <w:rPr>
          <w:color w:val="010101"/>
          <w:spacing w:val="5"/>
          <w:sz w:val="21"/>
        </w:rPr>
        <w:t> </w:t>
      </w:r>
      <w:r>
        <w:rPr>
          <w:color w:val="010101"/>
          <w:sz w:val="21"/>
        </w:rPr>
        <w:t>chapter:</w:t>
      </w:r>
    </w:p>
    <w:p>
      <w:pPr>
        <w:spacing w:line="237" w:lineRule="exact" w:before="0"/>
        <w:ind w:left="1897" w:right="0" w:firstLine="0"/>
        <w:jc w:val="left"/>
        <w:rPr>
          <w:sz w:val="21"/>
        </w:rPr>
      </w:pPr>
      <w:r>
        <w:rPr>
          <w:rFonts w:ascii="Arial"/>
          <w:i/>
          <w:color w:val="010101"/>
          <w:w w:val="110"/>
          <w:sz w:val="20"/>
        </w:rPr>
        <w:t>l, </w:t>
      </w:r>
      <w:r>
        <w:rPr>
          <w:color w:val="010101"/>
          <w:w w:val="110"/>
          <w:sz w:val="21"/>
        </w:rPr>
        <w:t>a number living;</w:t>
      </w:r>
    </w:p>
    <w:p>
      <w:pPr>
        <w:spacing w:line="236" w:lineRule="exact" w:before="0"/>
        <w:ind w:left="1897" w:right="0" w:firstLine="0"/>
        <w:jc w:val="left"/>
        <w:rPr>
          <w:sz w:val="21"/>
        </w:rPr>
      </w:pPr>
      <w:r>
        <w:rPr>
          <w:rFonts w:ascii="Arial"/>
          <w:i/>
          <w:color w:val="010101"/>
          <w:w w:val="105"/>
          <w:sz w:val="20"/>
        </w:rPr>
        <w:t>d, </w:t>
      </w:r>
      <w:r>
        <w:rPr>
          <w:color w:val="010101"/>
          <w:w w:val="105"/>
          <w:sz w:val="21"/>
        </w:rPr>
        <w:t>a number dying;</w:t>
      </w:r>
    </w:p>
    <w:p>
      <w:pPr>
        <w:spacing w:line="237" w:lineRule="exact" w:before="0"/>
        <w:ind w:left="1893" w:right="0" w:firstLine="0"/>
        <w:jc w:val="left"/>
        <w:rPr>
          <w:sz w:val="21"/>
        </w:rPr>
      </w:pPr>
      <w:r>
        <w:rPr>
          <w:rFonts w:ascii="Arial"/>
          <w:i/>
          <w:color w:val="010101"/>
          <w:sz w:val="18"/>
        </w:rPr>
        <w:t>p, </w:t>
      </w:r>
      <w:r>
        <w:rPr>
          <w:color w:val="010101"/>
          <w:sz w:val="21"/>
        </w:rPr>
        <w:t>a probability  of  living;</w:t>
      </w:r>
    </w:p>
    <w:p>
      <w:pPr>
        <w:spacing w:line="239" w:lineRule="exact" w:before="0"/>
        <w:ind w:left="1897" w:right="0" w:firstLine="0"/>
        <w:jc w:val="left"/>
        <w:rPr>
          <w:sz w:val="21"/>
        </w:rPr>
      </w:pPr>
      <w:r>
        <w:rPr>
          <w:i/>
          <w:color w:val="010101"/>
          <w:sz w:val="19"/>
        </w:rPr>
        <w:t>q, </w:t>
      </w:r>
      <w:r>
        <w:rPr>
          <w:color w:val="010101"/>
          <w:sz w:val="21"/>
        </w:rPr>
        <w:t>a probability  of  dying;</w:t>
      </w:r>
    </w:p>
    <w:p>
      <w:pPr>
        <w:spacing w:line="237" w:lineRule="exact" w:before="0"/>
        <w:ind w:left="1890" w:right="0" w:firstLine="0"/>
        <w:jc w:val="left"/>
        <w:rPr>
          <w:sz w:val="21"/>
        </w:rPr>
      </w:pPr>
      <w:r>
        <w:rPr>
          <w:i/>
          <w:color w:val="010101"/>
          <w:sz w:val="17"/>
        </w:rPr>
        <w:t>µ., </w:t>
      </w:r>
      <w:r>
        <w:rPr>
          <w:color w:val="010101"/>
          <w:sz w:val="21"/>
        </w:rPr>
        <w:t>a force of  mortality.</w:t>
      </w:r>
    </w:p>
    <w:p>
      <w:pPr>
        <w:pStyle w:val="ListParagraph"/>
        <w:numPr>
          <w:ilvl w:val="0"/>
          <w:numId w:val="8"/>
        </w:numPr>
        <w:tabs>
          <w:tab w:pos="570" w:val="left" w:leader="none"/>
        </w:tabs>
        <w:spacing w:line="238" w:lineRule="exact" w:before="1" w:after="0"/>
        <w:ind w:left="117" w:right="135" w:firstLine="197"/>
        <w:jc w:val="both"/>
        <w:rPr>
          <w:color w:val="010101"/>
          <w:sz w:val="21"/>
        </w:rPr>
      </w:pPr>
      <w:r>
        <w:rPr>
          <w:color w:val="010101"/>
          <w:w w:val="105"/>
          <w:sz w:val="21"/>
        </w:rPr>
        <w:t>With the above principal symbols, a suffixed subscript indi­ cates</w:t>
      </w:r>
      <w:r>
        <w:rPr>
          <w:color w:val="010101"/>
          <w:spacing w:val="-16"/>
          <w:w w:val="105"/>
          <w:sz w:val="21"/>
        </w:rPr>
        <w:t> </w:t>
      </w:r>
      <w:r>
        <w:rPr>
          <w:color w:val="010101"/>
          <w:w w:val="105"/>
          <w:sz w:val="21"/>
        </w:rPr>
        <w:t>the</w:t>
      </w:r>
      <w:r>
        <w:rPr>
          <w:color w:val="010101"/>
          <w:spacing w:val="-13"/>
          <w:w w:val="105"/>
          <w:sz w:val="21"/>
        </w:rPr>
        <w:t> </w:t>
      </w:r>
      <w:r>
        <w:rPr>
          <w:color w:val="010101"/>
          <w:w w:val="105"/>
          <w:sz w:val="21"/>
        </w:rPr>
        <w:t>age</w:t>
      </w:r>
      <w:r>
        <w:rPr>
          <w:color w:val="010101"/>
          <w:spacing w:val="-18"/>
          <w:w w:val="105"/>
          <w:sz w:val="21"/>
        </w:rPr>
        <w:t> </w:t>
      </w:r>
      <w:r>
        <w:rPr>
          <w:color w:val="010101"/>
          <w:w w:val="105"/>
          <w:sz w:val="21"/>
        </w:rPr>
        <w:t>of</w:t>
      </w:r>
      <w:r>
        <w:rPr>
          <w:color w:val="010101"/>
          <w:spacing w:val="-7"/>
          <w:w w:val="105"/>
          <w:sz w:val="21"/>
        </w:rPr>
        <w:t> </w:t>
      </w:r>
      <w:r>
        <w:rPr>
          <w:color w:val="010101"/>
          <w:w w:val="105"/>
          <w:sz w:val="21"/>
        </w:rPr>
        <w:t>the</w:t>
      </w:r>
      <w:r>
        <w:rPr>
          <w:color w:val="010101"/>
          <w:spacing w:val="-16"/>
          <w:w w:val="105"/>
          <w:sz w:val="21"/>
        </w:rPr>
        <w:t> </w:t>
      </w:r>
      <w:r>
        <w:rPr>
          <w:color w:val="010101"/>
          <w:w w:val="105"/>
          <w:sz w:val="21"/>
        </w:rPr>
        <w:t>life</w:t>
      </w:r>
      <w:r>
        <w:rPr>
          <w:color w:val="010101"/>
          <w:spacing w:val="-18"/>
          <w:w w:val="105"/>
          <w:sz w:val="21"/>
        </w:rPr>
        <w:t> </w:t>
      </w:r>
      <w:r>
        <w:rPr>
          <w:color w:val="010101"/>
          <w:w w:val="105"/>
          <w:sz w:val="21"/>
        </w:rPr>
        <w:t>involved</w:t>
      </w:r>
      <w:r>
        <w:rPr>
          <w:color w:val="010101"/>
          <w:spacing w:val="21"/>
          <w:w w:val="105"/>
          <w:sz w:val="21"/>
        </w:rPr>
        <w:t> </w:t>
      </w:r>
      <w:r>
        <w:rPr>
          <w:color w:val="010101"/>
          <w:w w:val="105"/>
          <w:sz w:val="21"/>
        </w:rPr>
        <w:t>(Principie</w:t>
      </w:r>
      <w:r>
        <w:rPr>
          <w:color w:val="010101"/>
          <w:spacing w:val="-9"/>
          <w:w w:val="105"/>
          <w:sz w:val="21"/>
        </w:rPr>
        <w:t> </w:t>
      </w:r>
      <w:r>
        <w:rPr>
          <w:color w:val="010101"/>
          <w:w w:val="105"/>
          <w:sz w:val="21"/>
        </w:rPr>
        <w:t>B)</w:t>
      </w:r>
      <w:r>
        <w:rPr>
          <w:color w:val="010101"/>
          <w:spacing w:val="-30"/>
          <w:w w:val="105"/>
          <w:sz w:val="21"/>
        </w:rPr>
        <w:t> </w:t>
      </w:r>
      <w:r>
        <w:rPr>
          <w:color w:val="010101"/>
          <w:w w:val="105"/>
          <w:sz w:val="21"/>
        </w:rPr>
        <w:t>;</w:t>
      </w:r>
      <w:r>
        <w:rPr>
          <w:color w:val="010101"/>
          <w:spacing w:val="-27"/>
          <w:w w:val="105"/>
          <w:sz w:val="21"/>
        </w:rPr>
        <w:t> </w:t>
      </w:r>
      <w:r>
        <w:rPr>
          <w:color w:val="010101"/>
          <w:w w:val="105"/>
          <w:sz w:val="21"/>
        </w:rPr>
        <w:t>e.g.,</w:t>
      </w:r>
      <w:r>
        <w:rPr>
          <w:color w:val="010101"/>
          <w:spacing w:val="-13"/>
          <w:w w:val="105"/>
          <w:sz w:val="21"/>
        </w:rPr>
        <w:t> </w:t>
      </w:r>
      <w:r>
        <w:rPr>
          <w:rFonts w:ascii="Arial" w:hAnsi="Arial"/>
          <w:i/>
          <w:color w:val="010101"/>
          <w:w w:val="90"/>
          <w:sz w:val="20"/>
        </w:rPr>
        <w:t>l:r:</w:t>
      </w:r>
      <w:r>
        <w:rPr>
          <w:rFonts w:ascii="Arial" w:hAnsi="Arial"/>
          <w:i/>
          <w:color w:val="010101"/>
          <w:spacing w:val="-3"/>
          <w:w w:val="90"/>
          <w:sz w:val="20"/>
        </w:rPr>
        <w:t> </w:t>
      </w:r>
      <w:r>
        <w:rPr>
          <w:rFonts w:ascii="Arial" w:hAnsi="Arial"/>
          <w:i/>
          <w:color w:val="010101"/>
          <w:w w:val="105"/>
          <w:sz w:val="20"/>
        </w:rPr>
        <w:t>.</w:t>
      </w:r>
      <w:r>
        <w:rPr>
          <w:rFonts w:ascii="Arial" w:hAnsi="Arial"/>
          <w:i/>
          <w:color w:val="010101"/>
          <w:spacing w:val="-35"/>
          <w:w w:val="105"/>
          <w:sz w:val="20"/>
        </w:rPr>
        <w:t> </w:t>
      </w:r>
      <w:r>
        <w:rPr>
          <w:color w:val="010101"/>
          <w:w w:val="105"/>
          <w:sz w:val="20"/>
        </w:rPr>
        <w:t>If</w:t>
      </w:r>
      <w:r>
        <w:rPr>
          <w:color w:val="010101"/>
          <w:spacing w:val="-3"/>
          <w:w w:val="105"/>
          <w:sz w:val="20"/>
        </w:rPr>
        <w:t> </w:t>
      </w:r>
      <w:r>
        <w:rPr>
          <w:color w:val="010101"/>
          <w:w w:val="105"/>
          <w:sz w:val="21"/>
        </w:rPr>
        <w:t>the</w:t>
      </w:r>
      <w:r>
        <w:rPr>
          <w:color w:val="010101"/>
          <w:spacing w:val="-10"/>
          <w:w w:val="105"/>
          <w:sz w:val="21"/>
        </w:rPr>
        <w:t> </w:t>
      </w:r>
      <w:r>
        <w:rPr>
          <w:color w:val="010101"/>
          <w:w w:val="105"/>
          <w:sz w:val="21"/>
        </w:rPr>
        <w:t>sub-</w:t>
      </w:r>
    </w:p>
    <w:p>
      <w:pPr>
        <w:spacing w:after="0" w:line="238" w:lineRule="exact"/>
        <w:jc w:val="both"/>
        <w:rPr>
          <w:sz w:val="21"/>
        </w:rPr>
        <w:sectPr>
          <w:pgSz w:w="7200" w:h="11340"/>
          <w:pgMar w:top="500" w:bottom="280" w:left="640" w:right="560"/>
        </w:sectPr>
      </w:pPr>
    </w:p>
    <w:p>
      <w:pPr>
        <w:tabs>
          <w:tab w:pos="1475" w:val="left" w:leader="none"/>
          <w:tab w:pos="5357" w:val="left" w:leader="none"/>
        </w:tabs>
        <w:spacing w:before="48"/>
        <w:ind w:left="120" w:right="0" w:firstLine="0"/>
        <w:jc w:val="both"/>
        <w:rPr>
          <w:rFonts w:ascii="Arial"/>
          <w:b/>
          <w:sz w:val="18"/>
        </w:rPr>
      </w:pPr>
      <w:r>
        <w:rPr>
          <w:color w:val="010101"/>
          <w:sz w:val="20"/>
        </w:rPr>
        <w:t>30</w:t>
        <w:tab/>
      </w:r>
      <w:r>
        <w:rPr>
          <w:b/>
          <w:color w:val="010101"/>
          <w:position w:val="1"/>
          <w:sz w:val="15"/>
        </w:rPr>
        <w:t>THE  MEASUREMENT </w:t>
      </w:r>
      <w:r>
        <w:rPr>
          <w:b/>
          <w:color w:val="010101"/>
          <w:spacing w:val="20"/>
          <w:position w:val="1"/>
          <w:sz w:val="15"/>
        </w:rPr>
        <w:t> </w:t>
      </w:r>
      <w:r>
        <w:rPr>
          <w:b/>
          <w:color w:val="010101"/>
          <w:position w:val="1"/>
          <w:sz w:val="15"/>
        </w:rPr>
        <w:t>OJI' </w:t>
      </w:r>
      <w:r>
        <w:rPr>
          <w:b/>
          <w:color w:val="010101"/>
          <w:spacing w:val="4"/>
          <w:position w:val="1"/>
          <w:sz w:val="15"/>
        </w:rPr>
        <w:t> </w:t>
      </w:r>
      <w:r>
        <w:rPr>
          <w:b/>
          <w:color w:val="010101"/>
          <w:position w:val="1"/>
          <w:sz w:val="15"/>
        </w:rPr>
        <w:t>MORTALITY</w:t>
        <w:tab/>
      </w:r>
      <w:r>
        <w:rPr>
          <w:b/>
          <w:color w:val="010101"/>
          <w:position w:val="1"/>
          <w:sz w:val="17"/>
        </w:rPr>
        <w:t>(CH.</w:t>
      </w:r>
      <w:r>
        <w:rPr>
          <w:b/>
          <w:color w:val="010101"/>
          <w:spacing w:val="17"/>
          <w:position w:val="1"/>
          <w:sz w:val="17"/>
        </w:rPr>
        <w:t> </w:t>
      </w:r>
      <w:r>
        <w:rPr>
          <w:rFonts w:ascii="Arial"/>
          <w:b/>
          <w:color w:val="010101"/>
          <w:position w:val="1"/>
          <w:sz w:val="18"/>
        </w:rPr>
        <w:t>1</w:t>
      </w:r>
    </w:p>
    <w:p>
      <w:pPr>
        <w:pStyle w:val="BodyText"/>
        <w:spacing w:before="7"/>
        <w:rPr>
          <w:rFonts w:ascii="Arial"/>
          <w:b/>
        </w:rPr>
      </w:pPr>
    </w:p>
    <w:p>
      <w:pPr>
        <w:pStyle w:val="BodyText"/>
        <w:spacing w:line="244" w:lineRule="auto"/>
        <w:ind w:left="112" w:right="120" w:firstLine="7"/>
        <w:jc w:val="both"/>
      </w:pPr>
      <w:r>
        <w:rPr>
          <w:color w:val="010101"/>
        </w:rPr>
        <w:t>script </w:t>
      </w:r>
      <w:r>
        <w:rPr>
          <w:rFonts w:ascii="Arial" w:hAnsi="Arial"/>
          <w:i/>
          <w:color w:val="010101"/>
          <w:sz w:val="18"/>
        </w:rPr>
        <w:t>x </w:t>
      </w:r>
      <w:r>
        <w:rPr>
          <w:color w:val="010101"/>
        </w:rPr>
        <w:t>is enclosed in square brackets, it  indicates  select  mortality with duration measured from age </w:t>
      </w:r>
      <w:r>
        <w:rPr>
          <w:rFonts w:ascii="Arial" w:hAnsi="Arial"/>
          <w:i/>
          <w:color w:val="010101"/>
          <w:sz w:val="18"/>
        </w:rPr>
        <w:t>x ; </w:t>
      </w:r>
      <w:r>
        <w:rPr>
          <w:color w:val="010101"/>
        </w:rPr>
        <w:t>e.g., dczJ • To  this  may  be added, outside the  brackets,  the  number  of  years  which  have elapsed  since  age  </w:t>
      </w:r>
      <w:r>
        <w:rPr>
          <w:i/>
          <w:color w:val="010101"/>
          <w:sz w:val="21"/>
        </w:rPr>
        <w:t>x,  </w:t>
      </w:r>
      <w:r>
        <w:rPr>
          <w:color w:val="010101"/>
        </w:rPr>
        <w:t>so  that   the  total  suffix  denotes  the   </w:t>
      </w:r>
      <w:r>
        <w:rPr>
          <w:color w:val="010101"/>
          <w:spacing w:val="8"/>
        </w:rPr>
        <w:t> </w:t>
      </w:r>
      <w:r>
        <w:rPr>
          <w:color w:val="010101"/>
        </w:rPr>
        <w:t>attained</w:t>
      </w:r>
    </w:p>
    <w:p>
      <w:pPr>
        <w:pStyle w:val="BodyText"/>
        <w:spacing w:line="238" w:lineRule="exact"/>
        <w:ind w:left="116" w:right="120" w:firstLine="7"/>
        <w:jc w:val="both"/>
      </w:pPr>
      <w:r>
        <w:rPr>
          <w:color w:val="010101"/>
          <w:w w:val="105"/>
        </w:rPr>
        <w:t>age; </w:t>
      </w:r>
      <w:r>
        <w:rPr>
          <w:b/>
          <w:color w:val="010101"/>
          <w:w w:val="105"/>
          <w:sz w:val="19"/>
        </w:rPr>
        <w:t>e.g., </w:t>
      </w:r>
      <w:r>
        <w:rPr>
          <w:color w:val="010101"/>
          <w:w w:val="105"/>
        </w:rPr>
        <w:t>d</w:t>
      </w:r>
      <w:r>
        <w:rPr>
          <w:color w:val="010101"/>
          <w:w w:val="105"/>
          <w:position w:val="-3"/>
          <w:sz w:val="17"/>
        </w:rPr>
        <w:t>1 </w:t>
      </w:r>
      <w:r>
        <w:rPr>
          <w:color w:val="010101"/>
          <w:w w:val="105"/>
          <w:sz w:val="17"/>
        </w:rPr>
        <w:t>1+e </w:t>
      </w:r>
      <w:r>
        <w:rPr>
          <w:color w:val="010101"/>
          <w:w w:val="125"/>
          <w:sz w:val="17"/>
        </w:rPr>
        <w:t>. </w:t>
      </w:r>
      <w:r>
        <w:rPr>
          <w:color w:val="010101"/>
          <w:w w:val="105"/>
        </w:rPr>
        <w:t>The symbol </w:t>
      </w:r>
      <w:r>
        <w:rPr>
          <w:rFonts w:ascii="Arial"/>
          <w:i/>
          <w:color w:val="010101"/>
          <w:w w:val="105"/>
          <w:sz w:val="16"/>
        </w:rPr>
        <w:t>w </w:t>
      </w:r>
      <w:r>
        <w:rPr>
          <w:rFonts w:ascii="Arial"/>
          <w:color w:val="010101"/>
          <w:w w:val="105"/>
          <w:sz w:val="19"/>
        </w:rPr>
        <w:t>is </w:t>
      </w:r>
      <w:r>
        <w:rPr>
          <w:color w:val="010101"/>
          <w:w w:val="105"/>
        </w:rPr>
        <w:t>used to indicate the first age at which  there  are no  survivors;  i.e.,  </w:t>
      </w:r>
      <w:r>
        <w:rPr>
          <w:rFonts w:ascii="Arial"/>
          <w:i/>
          <w:color w:val="010101"/>
          <w:w w:val="105"/>
          <w:sz w:val="15"/>
        </w:rPr>
        <w:t>w  </w:t>
      </w:r>
      <w:r>
        <w:rPr>
          <w:color w:val="010101"/>
          <w:w w:val="105"/>
        </w:rPr>
        <w:t>is  the  smallest  </w:t>
      </w:r>
      <w:r>
        <w:rPr>
          <w:rFonts w:ascii="Arial"/>
          <w:i/>
          <w:color w:val="010101"/>
          <w:w w:val="105"/>
          <w:sz w:val="18"/>
        </w:rPr>
        <w:t>x  </w:t>
      </w:r>
      <w:r>
        <w:rPr>
          <w:color w:val="010101"/>
          <w:w w:val="105"/>
        </w:rPr>
        <w:t>for which</w:t>
      </w:r>
    </w:p>
    <w:p>
      <w:pPr>
        <w:spacing w:line="251" w:lineRule="exact" w:before="0"/>
        <w:ind w:left="116" w:right="0" w:firstLine="0"/>
        <w:jc w:val="both"/>
        <w:rPr>
          <w:sz w:val="30"/>
        </w:rPr>
      </w:pPr>
      <w:r>
        <w:rPr>
          <w:rFonts w:ascii="Arial"/>
          <w:i/>
          <w:color w:val="010101"/>
          <w:w w:val="150"/>
          <w:sz w:val="20"/>
        </w:rPr>
        <w:t>l.= </w:t>
      </w:r>
      <w:r>
        <w:rPr>
          <w:color w:val="010101"/>
          <w:sz w:val="30"/>
        </w:rPr>
        <w:t>o.</w:t>
      </w:r>
    </w:p>
    <w:p>
      <w:pPr>
        <w:pStyle w:val="ListParagraph"/>
        <w:numPr>
          <w:ilvl w:val="0"/>
          <w:numId w:val="8"/>
        </w:numPr>
        <w:tabs>
          <w:tab w:pos="565" w:val="left" w:leader="none"/>
        </w:tabs>
        <w:spacing w:line="240" w:lineRule="auto" w:before="0" w:after="0"/>
        <w:ind w:left="112" w:right="128" w:firstLine="198"/>
        <w:jc w:val="both"/>
        <w:rPr>
          <w:b/>
          <w:i/>
          <w:color w:val="010101"/>
          <w:sz w:val="20"/>
        </w:rPr>
      </w:pPr>
      <w:r>
        <w:rPr>
          <w:color w:val="010101"/>
          <w:w w:val="105"/>
          <w:sz w:val="20"/>
        </w:rPr>
        <w:t>With the principal symbols </w:t>
      </w:r>
      <w:r>
        <w:rPr>
          <w:rFonts w:ascii="Arial" w:hAnsi="Arial"/>
          <w:i/>
          <w:color w:val="010101"/>
          <w:w w:val="105"/>
          <w:sz w:val="18"/>
        </w:rPr>
        <w:t>p </w:t>
      </w:r>
      <w:r>
        <w:rPr>
          <w:color w:val="010101"/>
          <w:w w:val="105"/>
          <w:sz w:val="20"/>
        </w:rPr>
        <w:t>and </w:t>
      </w:r>
      <w:r>
        <w:rPr>
          <w:rFonts w:ascii="Arial" w:hAnsi="Arial"/>
          <w:i/>
          <w:color w:val="010101"/>
          <w:w w:val="105"/>
          <w:sz w:val="18"/>
        </w:rPr>
        <w:t>q, </w:t>
      </w:r>
      <w:r>
        <w:rPr>
          <w:color w:val="010101"/>
          <w:w w:val="105"/>
          <w:sz w:val="20"/>
        </w:rPr>
        <w:t>a prefixed subcript de­ notes the time interval over which the probability is taken (Prin­ cipies</w:t>
      </w:r>
      <w:r>
        <w:rPr>
          <w:color w:val="010101"/>
          <w:spacing w:val="-6"/>
          <w:w w:val="105"/>
          <w:sz w:val="20"/>
        </w:rPr>
        <w:t> </w:t>
      </w:r>
      <w:r>
        <w:rPr>
          <w:color w:val="010101"/>
          <w:w w:val="105"/>
          <w:sz w:val="20"/>
        </w:rPr>
        <w:t>C</w:t>
      </w:r>
      <w:r>
        <w:rPr>
          <w:color w:val="010101"/>
          <w:spacing w:val="-8"/>
          <w:w w:val="105"/>
          <w:sz w:val="20"/>
        </w:rPr>
        <w:t> </w:t>
      </w:r>
      <w:r>
        <w:rPr>
          <w:color w:val="010101"/>
          <w:w w:val="105"/>
          <w:sz w:val="20"/>
        </w:rPr>
        <w:t>and</w:t>
      </w:r>
      <w:r>
        <w:rPr>
          <w:color w:val="010101"/>
          <w:spacing w:val="-2"/>
          <w:w w:val="105"/>
          <w:sz w:val="20"/>
        </w:rPr>
        <w:t> </w:t>
      </w:r>
      <w:r>
        <w:rPr>
          <w:rFonts w:ascii="Arial" w:hAnsi="Arial"/>
          <w:color w:val="010101"/>
          <w:w w:val="115"/>
          <w:sz w:val="19"/>
        </w:rPr>
        <w:t>D);</w:t>
      </w:r>
      <w:r>
        <w:rPr>
          <w:rFonts w:ascii="Arial" w:hAnsi="Arial"/>
          <w:color w:val="010101"/>
          <w:spacing w:val="-42"/>
          <w:w w:val="115"/>
          <w:sz w:val="19"/>
        </w:rPr>
        <w:t> </w:t>
      </w:r>
      <w:r>
        <w:rPr>
          <w:color w:val="010101"/>
          <w:w w:val="105"/>
          <w:sz w:val="20"/>
        </w:rPr>
        <w:t>e.g.,</w:t>
      </w:r>
      <w:r>
        <w:rPr>
          <w:color w:val="010101"/>
          <w:spacing w:val="-3"/>
          <w:w w:val="105"/>
          <w:sz w:val="20"/>
        </w:rPr>
        <w:t> </w:t>
      </w:r>
      <w:r>
        <w:rPr>
          <w:i/>
          <w:color w:val="010101"/>
          <w:sz w:val="19"/>
        </w:rPr>
        <w:t>t1Pz</w:t>
      </w:r>
      <w:r>
        <w:rPr>
          <w:i/>
          <w:color w:val="010101"/>
          <w:spacing w:val="6"/>
          <w:sz w:val="19"/>
        </w:rPr>
        <w:t> </w:t>
      </w:r>
      <w:r>
        <w:rPr>
          <w:color w:val="010101"/>
          <w:w w:val="105"/>
          <w:sz w:val="20"/>
        </w:rPr>
        <w:t>and</w:t>
      </w:r>
      <w:r>
        <w:rPr>
          <w:color w:val="010101"/>
          <w:spacing w:val="4"/>
          <w:w w:val="105"/>
          <w:sz w:val="20"/>
        </w:rPr>
        <w:t> </w:t>
      </w:r>
      <w:r>
        <w:rPr>
          <w:i/>
          <w:color w:val="010101"/>
          <w:sz w:val="19"/>
        </w:rPr>
        <w:t>ml</w:t>
      </w:r>
      <w:r>
        <w:rPr>
          <w:i/>
          <w:color w:val="010101"/>
          <w:spacing w:val="-20"/>
          <w:sz w:val="19"/>
        </w:rPr>
        <w:t> </w:t>
      </w:r>
      <w:r>
        <w:rPr>
          <w:i/>
          <w:color w:val="010101"/>
          <w:sz w:val="19"/>
        </w:rPr>
        <w:t>nqz</w:t>
      </w:r>
      <w:r>
        <w:rPr>
          <w:i/>
          <w:color w:val="010101"/>
          <w:spacing w:val="11"/>
          <w:sz w:val="19"/>
        </w:rPr>
        <w:t> </w:t>
      </w:r>
      <w:r>
        <w:rPr>
          <w:color w:val="010101"/>
          <w:w w:val="115"/>
          <w:sz w:val="19"/>
        </w:rPr>
        <w:t>.</w:t>
      </w:r>
      <w:r>
        <w:rPr>
          <w:color w:val="010101"/>
          <w:spacing w:val="-21"/>
          <w:w w:val="115"/>
          <w:sz w:val="19"/>
        </w:rPr>
        <w:t> </w:t>
      </w:r>
      <w:r>
        <w:rPr>
          <w:color w:val="010101"/>
          <w:w w:val="105"/>
          <w:sz w:val="20"/>
        </w:rPr>
        <w:t>When</w:t>
      </w:r>
      <w:r>
        <w:rPr>
          <w:color w:val="010101"/>
          <w:spacing w:val="1"/>
          <w:w w:val="105"/>
          <w:sz w:val="20"/>
        </w:rPr>
        <w:t> </w:t>
      </w:r>
      <w:r>
        <w:rPr>
          <w:i/>
          <w:color w:val="010101"/>
          <w:w w:val="105"/>
          <w:sz w:val="22"/>
        </w:rPr>
        <w:t>n</w:t>
      </w:r>
      <w:r>
        <w:rPr>
          <w:i/>
          <w:color w:val="010101"/>
          <w:spacing w:val="10"/>
          <w:w w:val="105"/>
          <w:sz w:val="22"/>
        </w:rPr>
        <w:t> </w:t>
      </w:r>
      <w:r>
        <w:rPr>
          <w:color w:val="010101"/>
          <w:w w:val="105"/>
          <w:sz w:val="23"/>
        </w:rPr>
        <w:t>=</w:t>
      </w:r>
      <w:r>
        <w:rPr>
          <w:color w:val="010101"/>
          <w:spacing w:val="28"/>
          <w:w w:val="105"/>
          <w:sz w:val="23"/>
        </w:rPr>
        <w:t> </w:t>
      </w:r>
      <w:r>
        <w:rPr>
          <w:color w:val="010101"/>
          <w:w w:val="105"/>
          <w:sz w:val="20"/>
        </w:rPr>
        <w:t>1</w:t>
      </w:r>
      <w:r>
        <w:rPr>
          <w:color w:val="010101"/>
          <w:spacing w:val="-26"/>
          <w:w w:val="105"/>
          <w:sz w:val="20"/>
        </w:rPr>
        <w:t> </w:t>
      </w:r>
      <w:r>
        <w:rPr>
          <w:color w:val="010101"/>
          <w:w w:val="105"/>
          <w:sz w:val="20"/>
        </w:rPr>
        <w:t>in</w:t>
      </w:r>
      <w:r>
        <w:rPr>
          <w:color w:val="010101"/>
          <w:spacing w:val="3"/>
          <w:w w:val="105"/>
          <w:sz w:val="20"/>
        </w:rPr>
        <w:t> </w:t>
      </w:r>
      <w:r>
        <w:rPr>
          <w:color w:val="010101"/>
          <w:w w:val="105"/>
          <w:sz w:val="20"/>
        </w:rPr>
        <w:t>these symbols, it </w:t>
      </w:r>
      <w:r>
        <w:rPr>
          <w:rFonts w:ascii="Arial" w:hAnsi="Arial"/>
          <w:color w:val="010101"/>
          <w:w w:val="105"/>
          <w:sz w:val="19"/>
        </w:rPr>
        <w:t>is </w:t>
      </w:r>
      <w:r>
        <w:rPr>
          <w:color w:val="010101"/>
          <w:w w:val="105"/>
          <w:sz w:val="20"/>
        </w:rPr>
        <w:t>customarily omitted: </w:t>
      </w:r>
      <w:r>
        <w:rPr>
          <w:i/>
          <w:color w:val="010101"/>
          <w:w w:val="105"/>
          <w:sz w:val="19"/>
        </w:rPr>
        <w:t>Pz , </w:t>
      </w:r>
      <w:r>
        <w:rPr>
          <w:b/>
          <w:i/>
          <w:color w:val="010101"/>
          <w:sz w:val="15"/>
        </w:rPr>
        <w:t>,n¡q.e </w:t>
      </w:r>
      <w:r>
        <w:rPr>
          <w:b/>
          <w:i/>
          <w:color w:val="010101"/>
          <w:spacing w:val="21"/>
          <w:sz w:val="15"/>
        </w:rPr>
        <w:t> </w:t>
      </w:r>
      <w:r>
        <w:rPr>
          <w:b/>
          <w:i/>
          <w:color w:val="010101"/>
          <w:w w:val="105"/>
          <w:sz w:val="15"/>
        </w:rPr>
        <w:t>.</w:t>
      </w:r>
    </w:p>
    <w:p>
      <w:pPr>
        <w:pStyle w:val="ListParagraph"/>
        <w:numPr>
          <w:ilvl w:val="0"/>
          <w:numId w:val="8"/>
        </w:numPr>
        <w:tabs>
          <w:tab w:pos="551" w:val="left" w:leader="none"/>
        </w:tabs>
        <w:spacing w:line="229" w:lineRule="exact" w:before="7" w:after="0"/>
        <w:ind w:left="550" w:right="0" w:hanging="251"/>
        <w:jc w:val="left"/>
        <w:rPr>
          <w:i/>
          <w:color w:val="010101"/>
          <w:sz w:val="20"/>
        </w:rPr>
      </w:pPr>
      <w:r>
        <w:rPr>
          <w:color w:val="010101"/>
          <w:w w:val="105"/>
          <w:sz w:val="20"/>
        </w:rPr>
        <w:t>The special symbol  </w:t>
      </w:r>
      <w:r>
        <w:rPr>
          <w:i/>
          <w:color w:val="010101"/>
          <w:spacing w:val="5"/>
          <w:w w:val="105"/>
          <w:sz w:val="19"/>
        </w:rPr>
        <w:t>(x </w:t>
      </w:r>
      <w:r>
        <w:rPr>
          <w:i/>
          <w:color w:val="010101"/>
          <w:sz w:val="19"/>
        </w:rPr>
        <w:t>)  </w:t>
      </w:r>
      <w:r>
        <w:rPr>
          <w:color w:val="010101"/>
          <w:w w:val="105"/>
          <w:sz w:val="20"/>
        </w:rPr>
        <w:t>denotes  "a life aged</w:t>
      </w:r>
      <w:r>
        <w:rPr>
          <w:color w:val="010101"/>
          <w:spacing w:val="51"/>
          <w:w w:val="105"/>
          <w:sz w:val="20"/>
        </w:rPr>
        <w:t> </w:t>
      </w:r>
      <w:r>
        <w:rPr>
          <w:i/>
          <w:color w:val="010101"/>
          <w:spacing w:val="3"/>
          <w:w w:val="105"/>
          <w:sz w:val="19"/>
        </w:rPr>
        <w:t>x."</w:t>
      </w:r>
    </w:p>
    <w:p>
      <w:pPr>
        <w:pStyle w:val="BodyText"/>
        <w:spacing w:line="240" w:lineRule="exact" w:before="3"/>
        <w:ind w:left="109" w:right="130" w:firstLine="190"/>
        <w:jc w:val="both"/>
      </w:pPr>
      <w:r>
        <w:rPr>
          <w:i/>
          <w:color w:val="010101"/>
          <w:w w:val="105"/>
          <w:sz w:val="21"/>
        </w:rPr>
        <w:t>N </w:t>
      </w:r>
      <w:r>
        <w:rPr>
          <w:rFonts w:ascii="Arial" w:hAnsi="Arial"/>
          <w:i/>
          <w:color w:val="010101"/>
          <w:w w:val="105"/>
          <w:sz w:val="19"/>
        </w:rPr>
        <w:t>of,e: </w:t>
      </w:r>
      <w:r>
        <w:rPr>
          <w:color w:val="010101"/>
          <w:w w:val="105"/>
        </w:rPr>
        <w:t>The symbol s </w:t>
      </w:r>
      <w:r>
        <w:rPr>
          <w:rFonts w:ascii="Arial" w:hAnsi="Arial"/>
          <w:i/>
          <w:color w:val="010101"/>
          <w:spacing w:val="5"/>
          <w:w w:val="105"/>
          <w:sz w:val="19"/>
        </w:rPr>
        <w:t>(x </w:t>
      </w:r>
      <w:r>
        <w:rPr>
          <w:rFonts w:ascii="Arial" w:hAnsi="Arial"/>
          <w:i/>
          <w:color w:val="010101"/>
          <w:w w:val="105"/>
          <w:sz w:val="19"/>
        </w:rPr>
        <w:t>) </w:t>
      </w:r>
      <w:r>
        <w:rPr>
          <w:color w:val="010101"/>
          <w:w w:val="105"/>
        </w:rPr>
        <w:t>is not defined in the International </w:t>
      </w:r>
      <w:r>
        <w:rPr>
          <w:rFonts w:ascii="Arial" w:hAnsi="Arial"/>
          <w:color w:val="010101"/>
          <w:spacing w:val="2"/>
          <w:w w:val="105"/>
          <w:sz w:val="19"/>
        </w:rPr>
        <w:t>'!\</w:t>
      </w:r>
      <w:r>
        <w:rPr>
          <w:color w:val="010101"/>
          <w:spacing w:val="2"/>
          <w:w w:val="105"/>
        </w:rPr>
        <w:t>ota­ </w:t>
      </w:r>
      <w:r>
        <w:rPr>
          <w:color w:val="010101"/>
          <w:w w:val="105"/>
        </w:rPr>
        <w:t>tion. </w:t>
      </w:r>
      <w:r>
        <w:rPr>
          <w:color w:val="010101"/>
          <w:w w:val="105"/>
          <w:sz w:val="22"/>
        </w:rPr>
        <w:t>In </w:t>
      </w:r>
      <w:r>
        <w:rPr>
          <w:color w:val="010101"/>
          <w:w w:val="105"/>
        </w:rPr>
        <w:t>demographic literature, it is called the  "survival  factor"  and is denoted  by </w:t>
      </w:r>
      <w:r>
        <w:rPr>
          <w:i/>
          <w:color w:val="010101"/>
          <w:w w:val="105"/>
        </w:rPr>
        <w:t>l </w:t>
      </w:r>
      <w:r>
        <w:rPr>
          <w:color w:val="010101"/>
          <w:w w:val="105"/>
        </w:rPr>
        <w:t>(x) or </w:t>
      </w:r>
      <w:r>
        <w:rPr>
          <w:rFonts w:ascii="Arial" w:hAnsi="Arial"/>
          <w:i/>
          <w:color w:val="010101"/>
          <w:w w:val="105"/>
          <w:sz w:val="18"/>
        </w:rPr>
        <w:t>p </w:t>
      </w:r>
      <w:r>
        <w:rPr>
          <w:rFonts w:ascii="Arial" w:hAnsi="Arial"/>
          <w:i/>
          <w:color w:val="010101"/>
          <w:spacing w:val="14"/>
          <w:w w:val="105"/>
          <w:sz w:val="18"/>
        </w:rPr>
        <w:t> </w:t>
      </w:r>
      <w:r>
        <w:rPr>
          <w:color w:val="010101"/>
          <w:w w:val="105"/>
        </w:rPr>
        <w:t>(x).</w:t>
      </w:r>
    </w:p>
    <w:p>
      <w:pPr>
        <w:spacing w:before="177"/>
        <w:ind w:left="105" w:right="0" w:firstLine="0"/>
        <w:jc w:val="both"/>
        <w:rPr>
          <w:b/>
          <w:sz w:val="19"/>
        </w:rPr>
      </w:pPr>
      <w:r>
        <w:rPr>
          <w:b/>
          <w:color w:val="010101"/>
          <w:w w:val="115"/>
          <w:sz w:val="19"/>
        </w:rPr>
        <w:t>References</w:t>
      </w:r>
    </w:p>
    <w:p>
      <w:pPr>
        <w:pStyle w:val="BodyText"/>
        <w:spacing w:line="247" w:lineRule="auto" w:before="70"/>
        <w:ind w:left="109" w:right="130" w:firstLine="197"/>
        <w:jc w:val="right"/>
      </w:pPr>
      <w:r>
        <w:rPr>
          <w:color w:val="010101"/>
          <w:w w:val="105"/>
          <w:sz w:val="22"/>
        </w:rPr>
        <w:t>In </w:t>
      </w:r>
      <w:r>
        <w:rPr>
          <w:color w:val="010101"/>
          <w:w w:val="105"/>
        </w:rPr>
        <w:t>addition to the general texts on life contingencies by King</w:t>
      </w:r>
      <w:r>
        <w:rPr>
          <w:color w:val="010101"/>
          <w:w w:val="103"/>
        </w:rPr>
        <w:t> </w:t>
      </w:r>
      <w:r>
        <w:rPr>
          <w:color w:val="010101"/>
          <w:w w:val="105"/>
          <w:sz w:val="19"/>
        </w:rPr>
        <w:t>(1902), </w:t>
      </w:r>
      <w:r>
        <w:rPr>
          <w:color w:val="010101"/>
          <w:w w:val="105"/>
        </w:rPr>
        <w:t>Spurgeon </w:t>
      </w:r>
      <w:r>
        <w:rPr>
          <w:color w:val="010101"/>
          <w:w w:val="105"/>
          <w:sz w:val="19"/>
        </w:rPr>
        <w:t>(1932), </w:t>
      </w:r>
      <w:r>
        <w:rPr>
          <w:color w:val="010101"/>
          <w:w w:val="105"/>
        </w:rPr>
        <w:t>and Hooker and Longley-Cook </w:t>
      </w:r>
      <w:r>
        <w:rPr>
          <w:color w:val="010101"/>
          <w:w w:val="105"/>
          <w:sz w:val="19"/>
        </w:rPr>
        <w:t>(1953,</w:t>
      </w:r>
      <w:r>
        <w:rPr>
          <w:color w:val="010101"/>
          <w:w w:val="106"/>
          <w:sz w:val="19"/>
        </w:rPr>
        <w:t> </w:t>
      </w:r>
      <w:r>
        <w:rPr>
          <w:color w:val="010101"/>
          <w:w w:val="105"/>
          <w:sz w:val="19"/>
        </w:rPr>
        <w:t>1957 ), </w:t>
      </w:r>
      <w:r>
        <w:rPr>
          <w:color w:val="010101"/>
          <w:w w:val="105"/>
        </w:rPr>
        <w:t>there are numerous articles in the actuaria) journals which</w:t>
      </w:r>
      <w:r>
        <w:rPr>
          <w:color w:val="010101"/>
          <w:w w:val="99"/>
        </w:rPr>
        <w:t> </w:t>
      </w:r>
      <w:r>
        <w:rPr>
          <w:color w:val="010101"/>
          <w:w w:val="105"/>
        </w:rPr>
        <w:t>bear on the material of this chapter. A few of thesc </w:t>
      </w:r>
      <w:r>
        <w:rPr>
          <w:color w:val="010101"/>
          <w:w w:val="105"/>
          <w:sz w:val="21"/>
        </w:rPr>
        <w:t>will </w:t>
      </w:r>
      <w:r>
        <w:rPr>
          <w:color w:val="010101"/>
          <w:w w:val="105"/>
        </w:rPr>
        <w:t>be cited as</w:t>
      </w:r>
      <w:r>
        <w:rPr>
          <w:color w:val="010101"/>
          <w:w w:val="110"/>
        </w:rPr>
        <w:t> </w:t>
      </w:r>
      <w:r>
        <w:rPr>
          <w:color w:val="010101"/>
          <w:w w:val="105"/>
        </w:rPr>
        <w:t>being of particular interest either as original sources or modem</w:t>
      </w:r>
      <w:r>
        <w:rPr>
          <w:color w:val="010101"/>
          <w:w w:val="103"/>
        </w:rPr>
        <w:t> </w:t>
      </w:r>
      <w:r>
        <w:rPr>
          <w:color w:val="010101"/>
          <w:w w:val="105"/>
        </w:rPr>
        <w:t>interpretations. The comments bclow are  arranged  according  to</w:t>
      </w:r>
      <w:r>
        <w:rPr>
          <w:color w:val="010101"/>
          <w:w w:val="109"/>
        </w:rPr>
        <w:t> </w:t>
      </w:r>
      <w:r>
        <w:rPr>
          <w:color w:val="010101"/>
          <w:w w:val="105"/>
        </w:rPr>
        <w:t>the sections of  this  chapter  to  which  thcy  refer.  The complete</w:t>
      </w:r>
      <w:r>
        <w:rPr>
          <w:color w:val="010101"/>
          <w:w w:val="103"/>
        </w:rPr>
        <w:t> </w:t>
      </w:r>
      <w:r>
        <w:rPr>
          <w:color w:val="010101"/>
          <w:w w:val="105"/>
        </w:rPr>
        <w:t>ref erence will </w:t>
      </w:r>
      <w:r>
        <w:rPr>
          <w:color w:val="010101"/>
          <w:w w:val="105"/>
          <w:sz w:val="19"/>
        </w:rPr>
        <w:t>be </w:t>
      </w:r>
      <w:r>
        <w:rPr>
          <w:color w:val="010101"/>
          <w:w w:val="105"/>
        </w:rPr>
        <w:t>found in the Bibliography at thc end of the book.</w:t>
      </w:r>
      <w:r>
        <w:rPr>
          <w:color w:val="010101"/>
          <w:w w:val="102"/>
        </w:rPr>
        <w:t> </w:t>
      </w:r>
      <w:r>
        <w:rPr>
          <w:color w:val="010101"/>
          <w:w w:val="105"/>
        </w:rPr>
        <w:t>1, 2.  The biometric  background,  including thc survival function,</w:t>
      </w:r>
    </w:p>
    <w:p>
      <w:pPr>
        <w:spacing w:line="227" w:lineRule="exact" w:before="0"/>
        <w:ind w:left="109" w:right="0" w:firstLine="0"/>
        <w:jc w:val="both"/>
        <w:rPr>
          <w:sz w:val="20"/>
        </w:rPr>
      </w:pPr>
      <w:r>
        <w:rPr>
          <w:color w:val="010101"/>
          <w:w w:val="105"/>
          <w:sz w:val="20"/>
        </w:rPr>
        <w:t>is given by  Lotka  </w:t>
      </w:r>
      <w:r>
        <w:rPr>
          <w:color w:val="010101"/>
          <w:w w:val="105"/>
          <w:sz w:val="19"/>
        </w:rPr>
        <w:t>(195</w:t>
      </w:r>
      <w:r>
        <w:rPr>
          <w:color w:val="313131"/>
          <w:w w:val="105"/>
          <w:sz w:val="19"/>
        </w:rPr>
        <w:t>.</w:t>
      </w:r>
      <w:r>
        <w:rPr>
          <w:color w:val="010101"/>
          <w:w w:val="105"/>
          <w:sz w:val="19"/>
        </w:rPr>
        <w:t>6),  </w:t>
      </w:r>
      <w:r>
        <w:rPr>
          <w:color w:val="010101"/>
          <w:w w:val="105"/>
          <w:sz w:val="20"/>
        </w:rPr>
        <w:t>Chapter 9.</w:t>
      </w:r>
    </w:p>
    <w:p>
      <w:pPr>
        <w:pStyle w:val="BodyText"/>
        <w:spacing w:line="249" w:lineRule="auto" w:before="18"/>
        <w:ind w:left="102" w:right="136" w:firstLine="197"/>
        <w:jc w:val="both"/>
        <w:rPr>
          <w:sz w:val="19"/>
        </w:rPr>
      </w:pPr>
      <w:r>
        <w:rPr>
          <w:color w:val="010101"/>
        </w:rPr>
        <w:t>3. The data for Table 2  and  for  Table  B  in  thc  Appendix  is  taken from "Life Tables for 1959-61," Volume  I,  o.  1, National Center for Health Statistics, Public  Health  Service,  U.S.  Depart­  ment of Health, Education, and  </w:t>
      </w:r>
      <w:r>
        <w:rPr>
          <w:color w:val="010101"/>
          <w:spacing w:val="3"/>
        </w:rPr>
        <w:t>Welf </w:t>
      </w:r>
      <w:r>
        <w:rPr>
          <w:color w:val="010101"/>
        </w:rPr>
        <w:t>are.  The  general  character­ istics of these  tables  are  discussed  by  Myers  and  Bayo  </w:t>
      </w:r>
      <w:r>
        <w:rPr>
          <w:color w:val="010101"/>
          <w:sz w:val="19"/>
        </w:rPr>
        <w:t>(1964 ) </w:t>
      </w:r>
      <w:r>
        <w:rPr>
          <w:color w:val="1F1F1F"/>
          <w:sz w:val="19"/>
        </w:rPr>
        <w:t>. </w:t>
      </w:r>
      <w:r>
        <w:rPr>
          <w:color w:val="010101"/>
        </w:rPr>
        <w:t>The Commissioners 1958 Standard Ordinary l\fortality Table is described in TSA 10 </w:t>
      </w:r>
      <w:r>
        <w:rPr>
          <w:color w:val="010101"/>
          <w:sz w:val="19"/>
        </w:rPr>
        <w:t>(1958), </w:t>
      </w:r>
      <w:r>
        <w:rPr>
          <w:color w:val="010101"/>
        </w:rPr>
        <w:t>pp. f&gt;86·-706. Thc  tcchnical  methods used in the construction of such tables are treated in the text by Spiegelman  </w:t>
      </w:r>
      <w:r>
        <w:rPr>
          <w:color w:val="010101"/>
          <w:spacing w:val="39"/>
        </w:rPr>
        <w:t> </w:t>
      </w:r>
      <w:r>
        <w:rPr>
          <w:color w:val="010101"/>
          <w:sz w:val="19"/>
        </w:rPr>
        <w:t>(1955).</w:t>
      </w:r>
    </w:p>
    <w:p>
      <w:pPr>
        <w:pStyle w:val="BodyText"/>
        <w:spacing w:line="249" w:lineRule="auto"/>
        <w:ind w:left="109" w:right="148" w:firstLine="200"/>
        <w:jc w:val="both"/>
      </w:pPr>
      <w:r>
        <w:rPr>
          <w:b/>
          <w:color w:val="010101"/>
          <w:sz w:val="21"/>
        </w:rPr>
        <w:t>4. A </w:t>
      </w:r>
      <w:r>
        <w:rPr>
          <w:color w:val="010101"/>
        </w:rPr>
        <w:t>mathematical trC'atment  of  the  force  of  mortality  is given by Smith </w:t>
      </w:r>
      <w:r>
        <w:rPr>
          <w:b/>
          <w:color w:val="010101"/>
          <w:sz w:val="19"/>
        </w:rPr>
        <w:t>(1948) </w:t>
      </w:r>
      <w:r>
        <w:rPr>
          <w:color w:val="010101"/>
        </w:rPr>
        <w:t>and by  Ilrillingrr  </w:t>
      </w:r>
      <w:r>
        <w:rPr>
          <w:color w:val="010101"/>
          <w:sz w:val="19"/>
        </w:rPr>
        <w:t>(19f&gt;l ).  </w:t>
      </w:r>
      <w:r>
        <w:rPr>
          <w:color w:val="010101"/>
        </w:rPr>
        <w:t>Thc  relationship  hc­ tween the theories of compound intcrest and lifc contingencics is developed  more fully by  Allen  ( 1907).</w:t>
      </w:r>
    </w:p>
    <w:p>
      <w:pPr>
        <w:spacing w:after="0" w:line="249" w:lineRule="auto"/>
        <w:jc w:val="both"/>
        <w:sectPr>
          <w:pgSz w:w="7200" w:h="11340"/>
          <w:pgMar w:top="520" w:bottom="280" w:left="680" w:right="540"/>
        </w:sectPr>
      </w:pPr>
    </w:p>
    <w:p>
      <w:pPr>
        <w:tabs>
          <w:tab w:pos="5908" w:val="right" w:leader="none"/>
        </w:tabs>
        <w:spacing w:before="58"/>
        <w:ind w:left="2556" w:right="0" w:firstLine="0"/>
        <w:jc w:val="left"/>
        <w:rPr>
          <w:sz w:val="20"/>
        </w:rPr>
      </w:pPr>
      <w:r>
        <w:rPr>
          <w:b/>
          <w:w w:val="105"/>
          <w:sz w:val="15"/>
        </w:rPr>
        <w:t>EXERCISES</w:t>
      </w:r>
      <w:r>
        <w:rPr>
          <w:w w:val="105"/>
          <w:sz w:val="20"/>
        </w:rPr>
        <w:tab/>
        <w:t>31</w:t>
      </w:r>
    </w:p>
    <w:p>
      <w:pPr>
        <w:pStyle w:val="BodyText"/>
        <w:spacing w:before="9"/>
      </w:pPr>
    </w:p>
    <w:p>
      <w:pPr>
        <w:spacing w:before="0"/>
        <w:ind w:left="119" w:right="122" w:firstLine="198"/>
        <w:jc w:val="both"/>
        <w:rPr>
          <w:sz w:val="21"/>
        </w:rPr>
      </w:pPr>
      <w:r>
        <w:rPr>
          <w:b/>
          <w:sz w:val="20"/>
        </w:rPr>
        <w:t>5, 6. </w:t>
      </w:r>
      <w:r>
        <w:rPr>
          <w:sz w:val="21"/>
        </w:rPr>
        <w:t>Techniques of numerical diff erentiation are treated in all standard texts on finite differences and numerical analysis; e.g., Freeman (1960), Froberg (1965). The approximations for  frac­ tional ages are examined  in detail by  Mereu  (1961 ).</w:t>
      </w:r>
    </w:p>
    <w:p>
      <w:pPr>
        <w:spacing w:before="0"/>
        <w:ind w:left="126" w:right="124" w:firstLine="198"/>
        <w:jc w:val="both"/>
        <w:rPr>
          <w:sz w:val="21"/>
        </w:rPr>
      </w:pPr>
      <w:r>
        <w:rPr>
          <w:w w:val="130"/>
          <w:sz w:val="21"/>
        </w:rPr>
        <w:t>7. </w:t>
      </w:r>
      <w:r>
        <w:rPr>
          <w:sz w:val="21"/>
        </w:rPr>
        <w:t>The original papers on the laws of mortality are Gompertz (1825) and Makeham (1860, 1889). Other mathematical laws are surveyed by Elston (1923}. See also Wolfenden {1942 ), p. 77. A modern interpretation, from the point of view of statistical </w:t>
      </w:r>
      <w:r>
        <w:rPr>
          <w:sz w:val="20"/>
        </w:rPr>
        <w:t>lifc </w:t>
      </w:r>
      <w:r>
        <w:rPr>
          <w:sz w:val="21"/>
        </w:rPr>
        <w:t>testing, is given by Brillinger  {1961) .</w:t>
      </w:r>
    </w:p>
    <w:p>
      <w:pPr>
        <w:spacing w:before="3"/>
        <w:ind w:left="123" w:right="143" w:firstLine="194"/>
        <w:jc w:val="both"/>
        <w:rPr>
          <w:sz w:val="21"/>
        </w:rPr>
      </w:pPr>
      <w:r>
        <w:rPr>
          <w:rFonts w:ascii="Arial" w:hAnsi="Arial"/>
          <w:b/>
          <w:sz w:val="20"/>
        </w:rPr>
        <w:t>8. </w:t>
      </w:r>
      <w:r>
        <w:rPr>
          <w:sz w:val="21"/>
        </w:rPr>
        <w:t>Discussions of the effects of selection may be found in Thomp­ son  {1934), Williamson  {1942), and Jenkins   {1943).</w:t>
      </w:r>
    </w:p>
    <w:p>
      <w:pPr>
        <w:spacing w:line="242" w:lineRule="exact" w:before="2"/>
        <w:ind w:left="123" w:right="141" w:firstLine="194"/>
        <w:jc w:val="both"/>
        <w:rPr>
          <w:sz w:val="21"/>
        </w:rPr>
      </w:pPr>
      <w:r>
        <w:rPr>
          <w:b/>
          <w:sz w:val="21"/>
        </w:rPr>
        <w:t>9. </w:t>
      </w:r>
      <w:r>
        <w:rPr>
          <w:sz w:val="20"/>
        </w:rPr>
        <w:t>An </w:t>
      </w:r>
      <w:r>
        <w:rPr>
          <w:sz w:val="21"/>
        </w:rPr>
        <w:t>outline of the International Actuaria! Notation, with revisions, appears in TASA 48 (1947 ), p. 166. </w:t>
      </w:r>
      <w:r>
        <w:rPr>
          <w:sz w:val="22"/>
        </w:rPr>
        <w:t>It </w:t>
      </w:r>
      <w:r>
        <w:rPr>
          <w:sz w:val="21"/>
        </w:rPr>
        <w:t>is also given by Hooker and Longley-Cook  {1953, 1957 ).</w:t>
      </w:r>
    </w:p>
    <w:p>
      <w:pPr>
        <w:spacing w:before="158"/>
        <w:ind w:left="293" w:right="322" w:firstLine="0"/>
        <w:jc w:val="center"/>
        <w:rPr>
          <w:sz w:val="18"/>
        </w:rPr>
      </w:pPr>
      <w:r>
        <w:rPr>
          <w:w w:val="105"/>
          <w:sz w:val="18"/>
        </w:rPr>
        <w:t>EXERCISES</w:t>
      </w:r>
    </w:p>
    <w:p>
      <w:pPr>
        <w:pStyle w:val="BodyText"/>
        <w:spacing w:before="10"/>
        <w:rPr>
          <w:sz w:val="15"/>
        </w:rPr>
      </w:pPr>
    </w:p>
    <w:p>
      <w:pPr>
        <w:spacing w:before="0"/>
        <w:ind w:left="126" w:right="0" w:firstLine="0"/>
        <w:jc w:val="left"/>
        <w:rPr>
          <w:b/>
          <w:sz w:val="16"/>
        </w:rPr>
      </w:pPr>
      <w:r>
        <w:rPr>
          <w:b/>
          <w:w w:val="125"/>
          <w:sz w:val="16"/>
        </w:rPr>
        <w:t>l.  Introduction;  </w:t>
      </w:r>
      <w:r>
        <w:rPr>
          <w:rFonts w:ascii="Arial"/>
          <w:b/>
          <w:w w:val="125"/>
          <w:sz w:val="15"/>
        </w:rPr>
        <w:t>2. </w:t>
      </w:r>
      <w:r>
        <w:rPr>
          <w:b/>
          <w:w w:val="125"/>
          <w:sz w:val="16"/>
        </w:rPr>
        <w:t>The  survival function</w:t>
      </w:r>
    </w:p>
    <w:p>
      <w:pPr>
        <w:spacing w:after="0"/>
        <w:jc w:val="left"/>
        <w:rPr>
          <w:sz w:val="16"/>
        </w:rPr>
        <w:sectPr>
          <w:pgSz w:w="7200" w:h="11340"/>
          <w:pgMar w:top="500" w:bottom="280" w:left="640" w:right="540"/>
        </w:sectPr>
      </w:pPr>
    </w:p>
    <w:p>
      <w:pPr>
        <w:pStyle w:val="BodyText"/>
        <w:spacing w:before="2"/>
        <w:rPr>
          <w:b/>
          <w:sz w:val="14"/>
        </w:rPr>
      </w:pPr>
    </w:p>
    <w:p>
      <w:pPr>
        <w:spacing w:line="143" w:lineRule="exact" w:before="0"/>
        <w:ind w:left="0" w:right="130" w:firstLine="0"/>
        <w:jc w:val="right"/>
        <w:rPr>
          <w:sz w:val="17"/>
        </w:rPr>
      </w:pPr>
      <w:r>
        <w:rPr>
          <w:w w:val="155"/>
          <w:sz w:val="17"/>
        </w:rPr>
        <w:t>.</w:t>
      </w:r>
    </w:p>
    <w:p>
      <w:pPr>
        <w:spacing w:line="143" w:lineRule="exact" w:before="0"/>
        <w:ind w:left="292" w:right="-19" w:firstLine="0"/>
        <w:jc w:val="left"/>
        <w:rPr>
          <w:sz w:val="17"/>
        </w:rPr>
      </w:pPr>
      <w:r>
        <w:rPr>
          <w:w w:val="125"/>
          <w:sz w:val="16"/>
        </w:rPr>
        <w:t>l.</w:t>
      </w:r>
      <w:r>
        <w:rPr>
          <w:spacing w:val="-10"/>
          <w:w w:val="125"/>
          <w:sz w:val="16"/>
        </w:rPr>
        <w:t> </w:t>
      </w:r>
      <w:r>
        <w:rPr>
          <w:w w:val="125"/>
          <w:sz w:val="17"/>
        </w:rPr>
        <w:t>Venfy</w:t>
      </w:r>
    </w:p>
    <w:p>
      <w:pPr>
        <w:tabs>
          <w:tab w:pos="528" w:val="left" w:leader="none"/>
          <w:tab w:pos="1201" w:val="left" w:leader="none"/>
          <w:tab w:pos="1489" w:val="left" w:leader="none"/>
          <w:tab w:pos="3275" w:val="left" w:leader="none"/>
        </w:tabs>
        <w:spacing w:line="153" w:lineRule="exact" w:before="153"/>
        <w:ind w:left="121" w:right="0" w:firstLine="0"/>
        <w:jc w:val="left"/>
        <w:rPr>
          <w:sz w:val="18"/>
        </w:rPr>
      </w:pPr>
      <w:r>
        <w:rPr/>
        <w:br w:type="column"/>
      </w:r>
      <w:r>
        <w:rPr>
          <w:sz w:val="17"/>
        </w:rPr>
        <w:t>h</w:t>
        <w:tab/>
      </w:r>
      <w:r>
        <w:rPr>
          <w:w w:val="130"/>
          <w:sz w:val="17"/>
        </w:rPr>
        <w:t>h</w:t>
        <w:tab/>
        <w:t>.</w:t>
        <w:tab/>
      </w:r>
      <w:r>
        <w:rPr>
          <w:b/>
          <w:sz w:val="17"/>
        </w:rPr>
        <w:t>20,000 </w:t>
      </w:r>
      <w:r>
        <w:rPr>
          <w:w w:val="245"/>
          <w:sz w:val="17"/>
        </w:rPr>
        <w:t>- </w:t>
      </w:r>
      <w:r>
        <w:rPr>
          <w:b/>
          <w:sz w:val="17"/>
        </w:rPr>
        <w:t>lOOx</w:t>
      </w:r>
      <w:r>
        <w:rPr>
          <w:b/>
          <w:spacing w:val="-21"/>
          <w:sz w:val="17"/>
        </w:rPr>
        <w:t> </w:t>
      </w:r>
      <w:r>
        <w:rPr>
          <w:w w:val="245"/>
          <w:sz w:val="17"/>
        </w:rPr>
        <w:t>-</w:t>
      </w:r>
      <w:r>
        <w:rPr>
          <w:spacing w:val="-68"/>
          <w:w w:val="245"/>
          <w:sz w:val="17"/>
        </w:rPr>
        <w:t> </w:t>
      </w:r>
      <w:r>
        <w:rPr>
          <w:i/>
          <w:w w:val="130"/>
          <w:sz w:val="17"/>
        </w:rPr>
        <w:t>xi</w:t>
        <w:tab/>
      </w:r>
      <w:r>
        <w:rPr>
          <w:w w:val="140"/>
          <w:sz w:val="17"/>
        </w:rPr>
        <w:t>.</w:t>
      </w:r>
      <w:r>
        <w:rPr>
          <w:spacing w:val="-14"/>
          <w:w w:val="140"/>
          <w:sz w:val="17"/>
        </w:rPr>
        <w:t> </w:t>
      </w:r>
      <w:r>
        <w:rPr>
          <w:sz w:val="18"/>
        </w:rPr>
        <w:t>fi</w:t>
      </w:r>
    </w:p>
    <w:p>
      <w:pPr>
        <w:tabs>
          <w:tab w:pos="3044" w:val="left" w:leader="none"/>
        </w:tabs>
        <w:spacing w:line="105" w:lineRule="exact" w:before="0"/>
        <w:ind w:left="621" w:right="0" w:firstLine="0"/>
        <w:jc w:val="left"/>
        <w:rPr>
          <w:sz w:val="17"/>
        </w:rPr>
      </w:pPr>
      <w:r>
        <w:rPr/>
        <w:pict>
          <v:shape style="position:absolute;margin-left:84.959999pt;margin-top:-1.595332pt;width:23.45pt;height:8.5pt;mso-position-horizontal-relative:page;mso-position-vertical-relative:paragraph;z-index:-733600" type="#_x0000_t202" filled="false" stroked="false">
            <v:textbox inset="0,0,0,0">
              <w:txbxContent>
                <w:p>
                  <w:pPr>
                    <w:spacing w:line="170" w:lineRule="exact" w:before="0"/>
                    <w:ind w:left="0" w:right="0" w:firstLine="0"/>
                    <w:jc w:val="left"/>
                    <w:rPr>
                      <w:sz w:val="17"/>
                    </w:rPr>
                  </w:pPr>
                  <w:r>
                    <w:rPr>
                      <w:w w:val="125"/>
                      <w:sz w:val="17"/>
                    </w:rPr>
                    <w:t>t  at t</w:t>
                  </w:r>
                </w:p>
              </w:txbxContent>
            </v:textbox>
            <w10:wrap type="none"/>
          </v:shape>
        </w:pict>
      </w:r>
      <w:r>
        <w:rPr>
          <w:w w:val="110"/>
          <w:sz w:val="17"/>
        </w:rPr>
        <w:t>e</w:t>
      </w:r>
      <w:r>
        <w:rPr>
          <w:spacing w:val="16"/>
          <w:w w:val="110"/>
          <w:sz w:val="17"/>
        </w:rPr>
        <w:t> </w:t>
      </w:r>
      <w:r>
        <w:rPr>
          <w:w w:val="110"/>
          <w:sz w:val="17"/>
        </w:rPr>
        <w:t>funct1on</w:t>
        <w:tab/>
        <w:t>satis </w:t>
      </w:r>
      <w:r>
        <w:rPr>
          <w:spacing w:val="11"/>
          <w:w w:val="110"/>
          <w:sz w:val="17"/>
        </w:rPr>
        <w:t> </w:t>
      </w:r>
      <w:r>
        <w:rPr>
          <w:w w:val="110"/>
          <w:sz w:val="17"/>
        </w:rPr>
        <w:t>es</w:t>
      </w:r>
    </w:p>
    <w:p>
      <w:pPr>
        <w:spacing w:line="159" w:lineRule="exact" w:before="0"/>
        <w:ind w:left="2011" w:right="0" w:firstLine="0"/>
        <w:jc w:val="left"/>
        <w:rPr>
          <w:b/>
          <w:sz w:val="17"/>
        </w:rPr>
      </w:pPr>
      <w:r>
        <w:rPr>
          <w:b/>
          <w:sz w:val="17"/>
        </w:rPr>
        <w:t>20,000</w:t>
      </w:r>
    </w:p>
    <w:p>
      <w:pPr>
        <w:pStyle w:val="BodyText"/>
        <w:spacing w:before="2"/>
        <w:rPr>
          <w:b/>
          <w:sz w:val="14"/>
        </w:rPr>
      </w:pPr>
      <w:r>
        <w:rPr/>
        <w:br w:type="column"/>
      </w:r>
      <w:r>
        <w:rPr>
          <w:b/>
          <w:sz w:val="14"/>
        </w:rPr>
      </w:r>
    </w:p>
    <w:p>
      <w:pPr>
        <w:tabs>
          <w:tab w:pos="672" w:val="left" w:leader="none"/>
        </w:tabs>
        <w:spacing w:line="143" w:lineRule="exact" w:before="0"/>
        <w:ind w:left="132" w:right="0" w:firstLine="0"/>
        <w:jc w:val="left"/>
        <w:rPr>
          <w:sz w:val="17"/>
        </w:rPr>
      </w:pPr>
      <w:r>
        <w:rPr>
          <w:w w:val="120"/>
          <w:sz w:val="17"/>
        </w:rPr>
        <w:t>h</w:t>
        <w:tab/>
        <w:t>d.</w:t>
      </w:r>
      <w:r>
        <w:rPr>
          <w:spacing w:val="25"/>
          <w:w w:val="120"/>
          <w:sz w:val="17"/>
        </w:rPr>
        <w:t> </w:t>
      </w:r>
      <w:r>
        <w:rPr>
          <w:w w:val="120"/>
          <w:sz w:val="17"/>
        </w:rPr>
        <w:t>.</w:t>
      </w:r>
    </w:p>
    <w:p>
      <w:pPr>
        <w:spacing w:line="143" w:lineRule="exact" w:before="0"/>
        <w:ind w:left="773" w:right="0" w:firstLine="0"/>
        <w:jc w:val="left"/>
        <w:rPr>
          <w:sz w:val="17"/>
        </w:rPr>
      </w:pPr>
      <w:r>
        <w:rPr/>
        <w:pict>
          <v:shape style="position:absolute;margin-left:269.459991pt;margin-top:-1.541255pt;width:30.35pt;height:8.5pt;mso-position-horizontal-relative:page;mso-position-vertical-relative:paragraph;z-index:-733576" type="#_x0000_t202" filled="false" stroked="false">
            <v:textbox inset="0,0,0,0">
              <w:txbxContent>
                <w:p>
                  <w:pPr>
                    <w:spacing w:line="170" w:lineRule="exact" w:before="0"/>
                    <w:ind w:left="0" w:right="-5" w:firstLine="0"/>
                    <w:jc w:val="left"/>
                    <w:rPr>
                      <w:sz w:val="17"/>
                    </w:rPr>
                  </w:pPr>
                  <w:r>
                    <w:rPr>
                      <w:w w:val="110"/>
                      <w:sz w:val="17"/>
                    </w:rPr>
                    <w:t>t  e  con</w:t>
                  </w:r>
                </w:p>
              </w:txbxContent>
            </v:textbox>
            <w10:wrap type="none"/>
          </v:shape>
        </w:pict>
      </w:r>
      <w:r>
        <w:rPr>
          <w:sz w:val="17"/>
        </w:rPr>
        <w:t>1t10ns</w:t>
      </w:r>
    </w:p>
    <w:p>
      <w:pPr>
        <w:spacing w:after="0" w:line="143" w:lineRule="exact"/>
        <w:jc w:val="left"/>
        <w:rPr>
          <w:sz w:val="17"/>
        </w:rPr>
        <w:sectPr>
          <w:type w:val="continuous"/>
          <w:pgSz w:w="7200" w:h="11340"/>
          <w:pgMar w:top="1100" w:bottom="0" w:left="640" w:right="540"/>
          <w:cols w:num="3" w:equalWidth="0">
            <w:col w:w="970" w:space="40"/>
            <w:col w:w="3639" w:space="40"/>
            <w:col w:w="1331"/>
          </w:cols>
        </w:sectPr>
      </w:pPr>
    </w:p>
    <w:p>
      <w:pPr>
        <w:spacing w:before="117"/>
        <w:ind w:left="126" w:right="0" w:firstLine="0"/>
        <w:jc w:val="left"/>
        <w:rPr>
          <w:i/>
          <w:sz w:val="17"/>
        </w:rPr>
      </w:pPr>
      <w:r>
        <w:rPr>
          <w:w w:val="110"/>
          <w:sz w:val="17"/>
        </w:rPr>
        <w:t>on </w:t>
      </w:r>
      <w:r>
        <w:rPr>
          <w:w w:val="110"/>
          <w:sz w:val="16"/>
        </w:rPr>
        <w:t>s(x). </w:t>
      </w:r>
      <w:r>
        <w:rPr>
          <w:w w:val="110"/>
          <w:sz w:val="17"/>
        </w:rPr>
        <w:t>What  is </w:t>
      </w:r>
      <w:r>
        <w:rPr>
          <w:i/>
          <w:w w:val="110"/>
          <w:sz w:val="17"/>
        </w:rPr>
        <w:t>w?</w:t>
      </w:r>
    </w:p>
    <w:p>
      <w:pPr>
        <w:spacing w:before="6"/>
        <w:ind w:left="277" w:right="0" w:firstLine="0"/>
        <w:jc w:val="left"/>
        <w:rPr>
          <w:sz w:val="17"/>
        </w:rPr>
      </w:pPr>
      <w:r>
        <w:rPr>
          <w:w w:val="105"/>
          <w:sz w:val="17"/>
        </w:rPr>
        <w:t>Use  the  f unction  to  calcula.te  the  following probabilities:</w:t>
      </w:r>
    </w:p>
    <w:p>
      <w:pPr>
        <w:pStyle w:val="ListParagraph"/>
        <w:numPr>
          <w:ilvl w:val="0"/>
          <w:numId w:val="9"/>
        </w:numPr>
        <w:tabs>
          <w:tab w:pos="761" w:val="left" w:leader="none"/>
          <w:tab w:pos="5145" w:val="left" w:leader="none"/>
        </w:tabs>
        <w:spacing w:line="240" w:lineRule="auto" w:before="6" w:after="0"/>
        <w:ind w:left="760" w:right="0" w:hanging="295"/>
        <w:jc w:val="left"/>
        <w:rPr>
          <w:sz w:val="16"/>
        </w:rPr>
      </w:pPr>
      <w:r>
        <w:rPr>
          <w:w w:val="110"/>
          <w:sz w:val="17"/>
        </w:rPr>
        <w:t>the probability  of surviving from birth  to</w:t>
      </w:r>
      <w:r>
        <w:rPr>
          <w:spacing w:val="39"/>
          <w:w w:val="110"/>
          <w:sz w:val="17"/>
        </w:rPr>
        <w:t> </w:t>
      </w:r>
      <w:r>
        <w:rPr>
          <w:w w:val="110"/>
          <w:sz w:val="17"/>
        </w:rPr>
        <w:t>age</w:t>
      </w:r>
      <w:r>
        <w:rPr>
          <w:spacing w:val="7"/>
          <w:w w:val="110"/>
          <w:sz w:val="17"/>
        </w:rPr>
        <w:t> </w:t>
      </w:r>
      <w:r>
        <w:rPr>
          <w:w w:val="110"/>
          <w:sz w:val="16"/>
        </w:rPr>
        <w:t>20;</w:t>
        <w:tab/>
      </w:r>
      <w:r>
        <w:rPr>
          <w:spacing w:val="3"/>
          <w:w w:val="110"/>
          <w:sz w:val="17"/>
        </w:rPr>
        <w:t>(Ans.</w:t>
      </w:r>
      <w:r>
        <w:rPr>
          <w:spacing w:val="-1"/>
          <w:w w:val="110"/>
          <w:sz w:val="17"/>
        </w:rPr>
        <w:t> </w:t>
      </w:r>
      <w:r>
        <w:rPr>
          <w:spacing w:val="-5"/>
          <w:w w:val="110"/>
          <w:sz w:val="17"/>
        </w:rPr>
        <w:t>.</w:t>
      </w:r>
      <w:r>
        <w:rPr>
          <w:spacing w:val="-5"/>
          <w:w w:val="110"/>
          <w:sz w:val="16"/>
        </w:rPr>
        <w:t>88)</w:t>
      </w:r>
    </w:p>
    <w:p>
      <w:pPr>
        <w:pStyle w:val="ListParagraph"/>
        <w:numPr>
          <w:ilvl w:val="0"/>
          <w:numId w:val="9"/>
        </w:numPr>
        <w:tabs>
          <w:tab w:pos="761" w:val="left" w:leader="none"/>
        </w:tabs>
        <w:spacing w:line="240" w:lineRule="auto" w:before="9" w:after="0"/>
        <w:ind w:left="760" w:right="0" w:hanging="299"/>
        <w:jc w:val="left"/>
        <w:rPr>
          <w:sz w:val="16"/>
        </w:rPr>
      </w:pPr>
      <w:r>
        <w:rPr>
          <w:w w:val="115"/>
          <w:sz w:val="17"/>
        </w:rPr>
        <w:t>the probability that a life aged </w:t>
      </w:r>
      <w:r>
        <w:rPr>
          <w:w w:val="115"/>
          <w:sz w:val="16"/>
        </w:rPr>
        <w:t>20 will </w:t>
      </w:r>
      <w:r>
        <w:rPr>
          <w:w w:val="115"/>
          <w:sz w:val="17"/>
        </w:rPr>
        <w:t>survive to a.ge </w:t>
      </w:r>
      <w:r>
        <w:rPr>
          <w:spacing w:val="15"/>
          <w:w w:val="115"/>
          <w:sz w:val="17"/>
        </w:rPr>
        <w:t> </w:t>
      </w:r>
      <w:r>
        <w:rPr>
          <w:w w:val="115"/>
          <w:sz w:val="16"/>
        </w:rPr>
        <w:t>40;</w:t>
      </w:r>
    </w:p>
    <w:p>
      <w:pPr>
        <w:spacing w:before="9"/>
        <w:ind w:left="0" w:right="140" w:firstLine="0"/>
        <w:jc w:val="right"/>
        <w:rPr>
          <w:sz w:val="16"/>
        </w:rPr>
      </w:pPr>
      <w:r>
        <w:rPr>
          <w:w w:val="110"/>
          <w:sz w:val="17"/>
        </w:rPr>
        <w:t>(Ans. </w:t>
      </w:r>
      <w:r>
        <w:rPr>
          <w:w w:val="110"/>
          <w:sz w:val="16"/>
        </w:rPr>
        <w:t>%1)</w:t>
      </w:r>
    </w:p>
    <w:p>
      <w:pPr>
        <w:spacing w:line="185" w:lineRule="exact" w:before="2"/>
        <w:ind w:left="458" w:right="0" w:firstLine="0"/>
        <w:jc w:val="left"/>
        <w:rPr>
          <w:sz w:val="16"/>
        </w:rPr>
      </w:pPr>
      <w:r>
        <w:rPr>
          <w:w w:val="110"/>
          <w:sz w:val="16"/>
        </w:rPr>
        <w:t>(e)  </w:t>
      </w:r>
      <w:r>
        <w:rPr>
          <w:w w:val="110"/>
          <w:sz w:val="17"/>
        </w:rPr>
        <w:t>the probability  that  a life aged </w:t>
      </w:r>
      <w:r>
        <w:rPr>
          <w:w w:val="110"/>
          <w:sz w:val="16"/>
        </w:rPr>
        <w:t>20 will  </w:t>
      </w:r>
      <w:r>
        <w:rPr>
          <w:w w:val="110"/>
          <w:sz w:val="17"/>
        </w:rPr>
        <w:t>die between  </w:t>
      </w:r>
      <w:r>
        <w:rPr>
          <w:w w:val="110"/>
          <w:sz w:val="16"/>
        </w:rPr>
        <w:t>30 </w:t>
      </w:r>
      <w:r>
        <w:rPr>
          <w:w w:val="110"/>
          <w:sz w:val="17"/>
        </w:rPr>
        <w:t>and   </w:t>
      </w:r>
      <w:r>
        <w:rPr>
          <w:w w:val="110"/>
          <w:sz w:val="16"/>
        </w:rPr>
        <w:t>40.</w:t>
      </w:r>
    </w:p>
    <w:p>
      <w:pPr>
        <w:tabs>
          <w:tab w:pos="1853" w:val="left" w:leader="none"/>
        </w:tabs>
        <w:spacing w:line="186" w:lineRule="exact" w:before="0"/>
        <w:ind w:left="0" w:right="146" w:firstLine="0"/>
        <w:jc w:val="right"/>
        <w:rPr>
          <w:sz w:val="16"/>
        </w:rPr>
      </w:pPr>
      <w:r>
        <w:rPr>
          <w:sz w:val="17"/>
        </w:rPr>
        <w:t>.</w:t>
        <w:tab/>
        <w:t>(Ans. </w:t>
      </w:r>
      <w:r>
        <w:rPr>
          <w:spacing w:val="21"/>
          <w:sz w:val="17"/>
        </w:rPr>
        <w:t> </w:t>
      </w:r>
      <w:r>
        <w:rPr>
          <w:spacing w:val="-4"/>
          <w:position w:val="3"/>
          <w:sz w:val="16"/>
        </w:rPr>
        <w:t>1</w:t>
      </w:r>
      <w:r>
        <w:rPr>
          <w:spacing w:val="-4"/>
          <w:sz w:val="16"/>
        </w:rPr>
        <w:t>'.!-ú6)</w:t>
      </w:r>
    </w:p>
    <w:p>
      <w:pPr>
        <w:pStyle w:val="ListParagraph"/>
        <w:numPr>
          <w:ilvl w:val="0"/>
          <w:numId w:val="10"/>
        </w:numPr>
        <w:tabs>
          <w:tab w:pos="487" w:val="left" w:leader="none"/>
        </w:tabs>
        <w:spacing w:line="245" w:lineRule="exact" w:before="0" w:after="0"/>
        <w:ind w:left="119" w:right="0" w:firstLine="159"/>
        <w:jc w:val="left"/>
        <w:rPr>
          <w:sz w:val="16"/>
        </w:rPr>
      </w:pPr>
      <w:r>
        <w:rPr>
          <w:w w:val="120"/>
          <w:sz w:val="17"/>
        </w:rPr>
        <w:t>Given</w:t>
      </w:r>
      <w:r>
        <w:rPr>
          <w:spacing w:val="7"/>
          <w:w w:val="120"/>
          <w:sz w:val="17"/>
        </w:rPr>
        <w:t> </w:t>
      </w:r>
      <w:r>
        <w:rPr>
          <w:w w:val="120"/>
          <w:sz w:val="16"/>
        </w:rPr>
        <w:t>s(x)</w:t>
      </w:r>
      <w:r>
        <w:rPr>
          <w:spacing w:val="13"/>
          <w:w w:val="120"/>
          <w:sz w:val="16"/>
        </w:rPr>
        <w:t> </w:t>
      </w:r>
      <w:r>
        <w:rPr>
          <w:w w:val="120"/>
          <w:sz w:val="19"/>
        </w:rPr>
        <w:t>=</w:t>
      </w:r>
      <w:r>
        <w:rPr>
          <w:spacing w:val="7"/>
          <w:w w:val="120"/>
          <w:sz w:val="19"/>
        </w:rPr>
        <w:t> </w:t>
      </w:r>
      <w:r>
        <w:rPr>
          <w:w w:val="120"/>
          <w:sz w:val="16"/>
        </w:rPr>
        <w:t>H</w:t>
      </w:r>
      <w:r>
        <w:rPr>
          <w:w w:val="120"/>
          <w:sz w:val="16"/>
          <w:u w:val="single"/>
        </w:rPr>
        <w:t>o</w:t>
      </w:r>
      <w:r>
        <w:rPr>
          <w:w w:val="120"/>
          <w:sz w:val="16"/>
        </w:rPr>
        <w:t>v'lOO</w:t>
      </w:r>
      <w:r>
        <w:rPr>
          <w:spacing w:val="8"/>
          <w:w w:val="120"/>
          <w:sz w:val="16"/>
        </w:rPr>
        <w:t> </w:t>
      </w:r>
      <w:r>
        <w:rPr>
          <w:w w:val="245"/>
          <w:sz w:val="16"/>
        </w:rPr>
        <w:t>-</w:t>
      </w:r>
      <w:r>
        <w:rPr>
          <w:spacing w:val="-68"/>
          <w:w w:val="245"/>
          <w:sz w:val="16"/>
        </w:rPr>
        <w:t> </w:t>
      </w:r>
      <w:r>
        <w:rPr>
          <w:i/>
          <w:w w:val="120"/>
          <w:sz w:val="18"/>
        </w:rPr>
        <w:t>x,</w:t>
      </w:r>
      <w:r>
        <w:rPr>
          <w:i/>
          <w:spacing w:val="-17"/>
          <w:w w:val="120"/>
          <w:sz w:val="18"/>
        </w:rPr>
        <w:t> </w:t>
      </w:r>
      <w:r>
        <w:rPr>
          <w:sz w:val="16"/>
        </w:rPr>
        <w:t>O</w:t>
      </w:r>
      <w:r>
        <w:rPr>
          <w:spacing w:val="9"/>
          <w:sz w:val="16"/>
        </w:rPr>
        <w:t> </w:t>
      </w:r>
      <w:r>
        <w:rPr>
          <w:rFonts w:ascii="Arial"/>
          <w:w w:val="120"/>
          <w:sz w:val="24"/>
        </w:rPr>
        <w:t>&lt;</w:t>
      </w:r>
      <w:r>
        <w:rPr>
          <w:rFonts w:ascii="Arial"/>
          <w:spacing w:val="-41"/>
          <w:w w:val="120"/>
          <w:sz w:val="24"/>
        </w:rPr>
        <w:t> </w:t>
      </w:r>
      <w:r>
        <w:rPr>
          <w:i/>
          <w:w w:val="120"/>
          <w:sz w:val="18"/>
        </w:rPr>
        <w:t>x</w:t>
      </w:r>
      <w:r>
        <w:rPr>
          <w:i/>
          <w:spacing w:val="12"/>
          <w:w w:val="120"/>
          <w:sz w:val="18"/>
        </w:rPr>
        <w:t> </w:t>
      </w:r>
      <w:r>
        <w:rPr>
          <w:rFonts w:ascii="Arial"/>
          <w:w w:val="120"/>
          <w:sz w:val="24"/>
        </w:rPr>
        <w:t>&lt;</w:t>
      </w:r>
      <w:r>
        <w:rPr>
          <w:rFonts w:ascii="Arial"/>
          <w:spacing w:val="-34"/>
          <w:w w:val="120"/>
          <w:sz w:val="24"/>
        </w:rPr>
        <w:t> </w:t>
      </w:r>
      <w:r>
        <w:rPr>
          <w:spacing w:val="-9"/>
          <w:w w:val="120"/>
          <w:sz w:val="16"/>
        </w:rPr>
        <w:t>100.</w:t>
      </w:r>
    </w:p>
    <w:p>
      <w:pPr>
        <w:pStyle w:val="ListParagraph"/>
        <w:numPr>
          <w:ilvl w:val="1"/>
          <w:numId w:val="10"/>
        </w:numPr>
        <w:tabs>
          <w:tab w:pos="757" w:val="left" w:leader="none"/>
          <w:tab w:pos="5116" w:val="left" w:leader="none"/>
        </w:tabs>
        <w:spacing w:line="228" w:lineRule="auto" w:before="0" w:after="0"/>
        <w:ind w:left="746" w:right="143" w:hanging="281"/>
        <w:jc w:val="left"/>
        <w:rPr>
          <w:rFonts w:ascii="Arial"/>
          <w:sz w:val="19"/>
        </w:rPr>
      </w:pPr>
      <w:r>
        <w:rPr>
          <w:w w:val="105"/>
          <w:sz w:val="17"/>
        </w:rPr>
        <w:t>Find the probability that </w:t>
      </w:r>
      <w:r>
        <w:rPr>
          <w:rFonts w:ascii="Arial"/>
          <w:w w:val="105"/>
          <w:sz w:val="16"/>
        </w:rPr>
        <w:t>a </w:t>
      </w:r>
      <w:r>
        <w:rPr>
          <w:w w:val="105"/>
          <w:sz w:val="17"/>
        </w:rPr>
        <w:t>Iife aged </w:t>
      </w:r>
      <w:r>
        <w:rPr>
          <w:sz w:val="17"/>
        </w:rPr>
        <w:t>O </w:t>
      </w:r>
      <w:r>
        <w:rPr>
          <w:w w:val="105"/>
          <w:sz w:val="17"/>
        </w:rPr>
        <w:t>will die between  age  </w:t>
      </w:r>
      <w:r>
        <w:rPr>
          <w:spacing w:val="-20"/>
          <w:w w:val="105"/>
          <w:sz w:val="17"/>
        </w:rPr>
        <w:t>19  </w:t>
      </w:r>
      <w:r>
        <w:rPr>
          <w:w w:val="105"/>
          <w:sz w:val="17"/>
        </w:rPr>
        <w:t>and  a.ge</w:t>
      </w:r>
      <w:r>
        <w:rPr>
          <w:spacing w:val="5"/>
          <w:w w:val="105"/>
          <w:sz w:val="17"/>
        </w:rPr>
        <w:t> </w:t>
      </w:r>
      <w:r>
        <w:rPr>
          <w:w w:val="105"/>
          <w:sz w:val="16"/>
        </w:rPr>
        <w:t>36.</w:t>
        <w:tab/>
      </w:r>
      <w:r>
        <w:rPr>
          <w:w w:val="105"/>
          <w:sz w:val="17"/>
        </w:rPr>
        <w:t>(Ans. </w:t>
      </w:r>
      <w:r>
        <w:rPr>
          <w:spacing w:val="39"/>
          <w:w w:val="105"/>
          <w:sz w:val="17"/>
        </w:rPr>
        <w:t> </w:t>
      </w:r>
      <w:r>
        <w:rPr>
          <w:rFonts w:ascii="Arial"/>
          <w:w w:val="105"/>
          <w:sz w:val="19"/>
        </w:rPr>
        <w:t>fo)</w:t>
      </w:r>
    </w:p>
    <w:p>
      <w:pPr>
        <w:spacing w:before="1"/>
        <w:ind w:left="458" w:right="0" w:firstLine="0"/>
        <w:jc w:val="left"/>
        <w:rPr>
          <w:sz w:val="17"/>
        </w:rPr>
      </w:pPr>
      <w:r>
        <w:rPr>
          <w:w w:val="110"/>
          <w:sz w:val="17"/>
        </w:rPr>
        <w:t>(b)  Find the probability  that  a life aged  19 </w:t>
      </w:r>
      <w:r>
        <w:rPr>
          <w:w w:val="110"/>
          <w:sz w:val="16"/>
        </w:rPr>
        <w:t>will  </w:t>
      </w:r>
      <w:r>
        <w:rPr>
          <w:w w:val="110"/>
          <w:sz w:val="17"/>
        </w:rPr>
        <w:t>die before a.ge 36.</w:t>
      </w:r>
    </w:p>
    <w:p>
      <w:pPr>
        <w:spacing w:before="2"/>
        <w:ind w:left="0" w:right="140" w:firstLine="0"/>
        <w:jc w:val="right"/>
        <w:rPr>
          <w:sz w:val="17"/>
        </w:rPr>
      </w:pPr>
      <w:r>
        <w:rPr>
          <w:w w:val="115"/>
          <w:sz w:val="17"/>
        </w:rPr>
        <w:t>(Ans. } )</w:t>
      </w:r>
    </w:p>
    <w:p>
      <w:pPr>
        <w:pStyle w:val="ListParagraph"/>
        <w:numPr>
          <w:ilvl w:val="0"/>
          <w:numId w:val="10"/>
        </w:numPr>
        <w:tabs>
          <w:tab w:pos="494" w:val="left" w:leader="none"/>
        </w:tabs>
        <w:spacing w:line="247" w:lineRule="auto" w:before="9" w:after="0"/>
        <w:ind w:left="119" w:right="131" w:firstLine="169"/>
        <w:jc w:val="both"/>
        <w:rPr>
          <w:sz w:val="17"/>
        </w:rPr>
      </w:pPr>
      <w:r>
        <w:rPr>
          <w:w w:val="110"/>
          <w:sz w:val="17"/>
        </w:rPr>
        <w:t>The mortality pattern of a certain population may be described as follows: Out of every 98 lives born together one dies annually until  there  are  no</w:t>
      </w:r>
      <w:r>
        <w:rPr>
          <w:spacing w:val="11"/>
          <w:w w:val="110"/>
          <w:sz w:val="17"/>
        </w:rPr>
        <w:t> </w:t>
      </w:r>
      <w:r>
        <w:rPr>
          <w:w w:val="110"/>
          <w:sz w:val="17"/>
        </w:rPr>
        <w:t>survivors.</w:t>
      </w:r>
    </w:p>
    <w:p>
      <w:pPr>
        <w:pStyle w:val="ListParagraph"/>
        <w:numPr>
          <w:ilvl w:val="0"/>
          <w:numId w:val="11"/>
        </w:numPr>
        <w:tabs>
          <w:tab w:pos="754" w:val="left" w:leader="none"/>
        </w:tabs>
        <w:spacing w:line="192" w:lineRule="exact" w:before="0" w:after="0"/>
        <w:ind w:left="742" w:right="0" w:hanging="281"/>
        <w:jc w:val="left"/>
        <w:rPr>
          <w:sz w:val="17"/>
        </w:rPr>
      </w:pPr>
      <w:r>
        <w:rPr>
          <w:w w:val="110"/>
          <w:sz w:val="17"/>
        </w:rPr>
        <w:t>Find a simple function that can be used  as </w:t>
      </w:r>
      <w:r>
        <w:rPr>
          <w:rFonts w:ascii="Arial"/>
          <w:i/>
          <w:w w:val="110"/>
          <w:sz w:val="15"/>
        </w:rPr>
        <w:t>s(x )  </w:t>
      </w:r>
      <w:r>
        <w:rPr>
          <w:w w:val="110"/>
          <w:sz w:val="17"/>
        </w:rPr>
        <w:t>for this</w:t>
      </w:r>
      <w:r>
        <w:rPr>
          <w:spacing w:val="38"/>
          <w:w w:val="110"/>
          <w:sz w:val="17"/>
        </w:rPr>
        <w:t> </w:t>
      </w:r>
      <w:r>
        <w:rPr>
          <w:w w:val="110"/>
          <w:sz w:val="17"/>
        </w:rPr>
        <w:t>population.</w:t>
      </w:r>
    </w:p>
    <w:p>
      <w:pPr>
        <w:pStyle w:val="ListParagraph"/>
        <w:numPr>
          <w:ilvl w:val="0"/>
          <w:numId w:val="11"/>
        </w:numPr>
        <w:tabs>
          <w:tab w:pos="754" w:val="left" w:leader="none"/>
          <w:tab w:pos="5037" w:val="left" w:leader="none"/>
        </w:tabs>
        <w:spacing w:line="252" w:lineRule="auto" w:before="6" w:after="0"/>
        <w:ind w:left="742" w:right="134" w:hanging="277"/>
        <w:jc w:val="left"/>
        <w:rPr>
          <w:b/>
          <w:sz w:val="16"/>
        </w:rPr>
      </w:pPr>
      <w:r>
        <w:rPr>
          <w:b/>
          <w:w w:val="110"/>
          <w:sz w:val="16"/>
        </w:rPr>
        <w:t>What </w:t>
      </w:r>
      <w:r>
        <w:rPr>
          <w:w w:val="110"/>
          <w:sz w:val="17"/>
        </w:rPr>
        <w:t>is the probability that a life  aged  30 </w:t>
      </w:r>
      <w:r>
        <w:rPr>
          <w:w w:val="110"/>
          <w:sz w:val="16"/>
        </w:rPr>
        <w:t>will  </w:t>
      </w:r>
      <w:r>
        <w:rPr>
          <w:w w:val="110"/>
          <w:sz w:val="17"/>
        </w:rPr>
        <w:t>survive  to  attain a.ge</w:t>
      </w:r>
      <w:r>
        <w:rPr>
          <w:spacing w:val="-11"/>
          <w:w w:val="110"/>
          <w:sz w:val="17"/>
        </w:rPr>
        <w:t> </w:t>
      </w:r>
      <w:r>
        <w:rPr>
          <w:w w:val="110"/>
          <w:sz w:val="17"/>
        </w:rPr>
        <w:t>35?</w:t>
        <w:tab/>
        <w:t>(Ans. </w:t>
      </w:r>
      <w:r>
        <w:rPr>
          <w:rFonts w:ascii="Arial"/>
          <w:b/>
          <w:w w:val="110"/>
          <w:position w:val="4"/>
          <w:sz w:val="11"/>
        </w:rPr>
        <w:t>6</w:t>
      </w:r>
      <w:r>
        <w:rPr>
          <w:rFonts w:ascii="Arial"/>
          <w:b/>
          <w:spacing w:val="-16"/>
          <w:w w:val="110"/>
          <w:position w:val="4"/>
          <w:sz w:val="11"/>
        </w:rPr>
        <w:t> </w:t>
      </w:r>
      <w:r>
        <w:rPr>
          <w:b/>
          <w:w w:val="110"/>
          <w:sz w:val="16"/>
        </w:rPr>
        <w:t>%s)</w:t>
      </w:r>
    </w:p>
    <w:p>
      <w:pPr>
        <w:spacing w:line="141" w:lineRule="exact" w:before="104"/>
        <w:ind w:left="0" w:right="212" w:firstLine="0"/>
        <w:jc w:val="center"/>
        <w:rPr>
          <w:i/>
          <w:sz w:val="17"/>
        </w:rPr>
      </w:pPr>
      <w:r>
        <w:rPr>
          <w:i/>
          <w:w w:val="86"/>
          <w:sz w:val="17"/>
        </w:rPr>
        <w:t>d</w:t>
      </w:r>
    </w:p>
    <w:p>
      <w:pPr>
        <w:spacing w:after="0" w:line="141" w:lineRule="exact"/>
        <w:jc w:val="center"/>
        <w:rPr>
          <w:sz w:val="17"/>
        </w:rPr>
        <w:sectPr>
          <w:type w:val="continuous"/>
          <w:pgSz w:w="7200" w:h="11340"/>
          <w:pgMar w:top="1100" w:bottom="0" w:left="640" w:right="540"/>
        </w:sectPr>
      </w:pPr>
    </w:p>
    <w:p>
      <w:pPr>
        <w:pStyle w:val="ListParagraph"/>
        <w:numPr>
          <w:ilvl w:val="0"/>
          <w:numId w:val="10"/>
        </w:numPr>
        <w:tabs>
          <w:tab w:pos="484" w:val="left" w:leader="none"/>
        </w:tabs>
        <w:spacing w:line="174" w:lineRule="exact" w:before="0" w:after="0"/>
        <w:ind w:left="483" w:right="0" w:hanging="213"/>
        <w:jc w:val="left"/>
        <w:rPr>
          <w:rFonts w:ascii="Arial"/>
          <w:i/>
          <w:sz w:val="15"/>
        </w:rPr>
      </w:pPr>
      <w:r>
        <w:rPr>
          <w:sz w:val="17"/>
        </w:rPr>
        <w:t>Given  the   function  </w:t>
      </w:r>
      <w:r>
        <w:rPr>
          <w:rFonts w:ascii="Arial"/>
          <w:i/>
          <w:sz w:val="15"/>
        </w:rPr>
        <w:t>.p( x</w:t>
      </w:r>
      <w:r>
        <w:rPr>
          <w:rFonts w:ascii="Arial"/>
          <w:i/>
          <w:spacing w:val="-23"/>
          <w:sz w:val="15"/>
        </w:rPr>
        <w:t> </w:t>
      </w:r>
      <w:r>
        <w:rPr>
          <w:rFonts w:ascii="Arial"/>
          <w:i/>
          <w:sz w:val="15"/>
        </w:rPr>
        <w:t>)</w:t>
      </w:r>
    </w:p>
    <w:p>
      <w:pPr>
        <w:spacing w:line="137" w:lineRule="exact" w:before="0"/>
        <w:ind w:left="270" w:right="0" w:firstLine="0"/>
        <w:jc w:val="left"/>
        <w:rPr>
          <w:sz w:val="17"/>
        </w:rPr>
      </w:pPr>
      <w:r>
        <w:rPr/>
        <w:br w:type="column"/>
      </w:r>
      <w:r>
        <w:rPr>
          <w:rFonts w:ascii="Arial"/>
          <w:w w:val="320"/>
          <w:sz w:val="15"/>
        </w:rPr>
        <w:t>--</w:t>
      </w:r>
      <w:r>
        <w:rPr>
          <w:rFonts w:ascii="Arial"/>
          <w:spacing w:val="-84"/>
          <w:w w:val="320"/>
          <w:sz w:val="15"/>
        </w:rPr>
        <w:t> </w:t>
      </w:r>
      <w:r>
        <w:rPr>
          <w:rFonts w:ascii="Arial"/>
          <w:i/>
          <w:w w:val="115"/>
          <w:sz w:val="15"/>
        </w:rPr>
        <w:t>s(x.). </w:t>
      </w:r>
      <w:r>
        <w:rPr>
          <w:w w:val="115"/>
          <w:sz w:val="17"/>
        </w:rPr>
        <w:t>Show that</w:t>
      </w:r>
    </w:p>
    <w:p>
      <w:pPr>
        <w:spacing w:line="159" w:lineRule="exact" w:before="0"/>
        <w:ind w:left="403" w:right="0" w:firstLine="0"/>
        <w:jc w:val="left"/>
        <w:rPr>
          <w:i/>
          <w:sz w:val="17"/>
        </w:rPr>
      </w:pPr>
      <w:r>
        <w:rPr>
          <w:i/>
          <w:w w:val="105"/>
          <w:sz w:val="17"/>
        </w:rPr>
        <w:t>dx</w:t>
      </w:r>
    </w:p>
    <w:p>
      <w:pPr>
        <w:spacing w:after="0" w:line="159" w:lineRule="exact"/>
        <w:jc w:val="left"/>
        <w:rPr>
          <w:sz w:val="17"/>
        </w:rPr>
        <w:sectPr>
          <w:type w:val="continuous"/>
          <w:pgSz w:w="7200" w:h="11340"/>
          <w:pgMar w:top="1100" w:bottom="0" w:left="640" w:right="540"/>
          <w:cols w:num="2" w:equalWidth="0">
            <w:col w:w="2333" w:space="82"/>
            <w:col w:w="3605"/>
          </w:cols>
        </w:sectPr>
      </w:pPr>
    </w:p>
    <w:p>
      <w:pPr>
        <w:pStyle w:val="BodyText"/>
        <w:spacing w:before="1"/>
        <w:rPr>
          <w:i/>
          <w:sz w:val="13"/>
        </w:rPr>
      </w:pPr>
    </w:p>
    <w:p>
      <w:pPr>
        <w:spacing w:before="74"/>
        <w:ind w:left="447" w:right="0" w:firstLine="0"/>
        <w:jc w:val="left"/>
        <w:rPr>
          <w:b/>
          <w:sz w:val="16"/>
        </w:rPr>
      </w:pPr>
      <w:r>
        <w:rPr>
          <w:b/>
          <w:w w:val="115"/>
          <w:sz w:val="16"/>
        </w:rPr>
        <w:t>(a) </w:t>
      </w:r>
      <w:r>
        <w:rPr>
          <w:i/>
          <w:w w:val="225"/>
          <w:sz w:val="16"/>
        </w:rPr>
        <w:t>{' </w:t>
      </w:r>
      <w:r>
        <w:rPr>
          <w:b/>
          <w:w w:val="115"/>
          <w:sz w:val="16"/>
        </w:rPr>
        <w:t>.,(y) </w:t>
      </w:r>
      <w:r>
        <w:rPr>
          <w:b/>
          <w:i/>
          <w:w w:val="115"/>
          <w:sz w:val="16"/>
        </w:rPr>
        <w:t>dy  </w:t>
      </w:r>
      <w:r>
        <w:rPr>
          <w:w w:val="115"/>
          <w:sz w:val="21"/>
        </w:rPr>
        <w:t>= </w:t>
      </w:r>
      <w:r>
        <w:rPr>
          <w:b/>
          <w:w w:val="135"/>
          <w:sz w:val="16"/>
        </w:rPr>
        <w:t>l;</w:t>
      </w:r>
    </w:p>
    <w:p>
      <w:pPr>
        <w:spacing w:after="0"/>
        <w:jc w:val="left"/>
        <w:rPr>
          <w:sz w:val="16"/>
        </w:rPr>
        <w:sectPr>
          <w:type w:val="continuous"/>
          <w:pgSz w:w="7200" w:h="11340"/>
          <w:pgMar w:top="1100" w:bottom="0" w:left="640" w:right="540"/>
        </w:sectPr>
      </w:pPr>
    </w:p>
    <w:p>
      <w:pPr>
        <w:tabs>
          <w:tab w:pos="1499" w:val="left" w:leader="none"/>
          <w:tab w:pos="5395" w:val="left" w:leader="none"/>
        </w:tabs>
        <w:spacing w:before="61"/>
        <w:ind w:left="139" w:right="0" w:firstLine="0"/>
        <w:jc w:val="left"/>
        <w:rPr>
          <w:sz w:val="20"/>
        </w:rPr>
      </w:pPr>
      <w:r>
        <w:rPr>
          <w:rFonts w:ascii="Courier New" w:hAnsi="Courier New"/>
          <w:spacing w:val="-20"/>
          <w:w w:val="115"/>
          <w:sz w:val="22"/>
        </w:rPr>
        <w:t>32</w:t>
        <w:tab/>
      </w:r>
      <w:r>
        <w:rPr>
          <w:w w:val="115"/>
          <w:sz w:val="15"/>
        </w:rPr>
        <w:t>THE MEASUREMENT  OF</w:t>
      </w:r>
      <w:r>
        <w:rPr>
          <w:spacing w:val="26"/>
          <w:w w:val="115"/>
          <w:sz w:val="15"/>
        </w:rPr>
        <w:t> </w:t>
      </w:r>
      <w:r>
        <w:rPr>
          <w:w w:val="115"/>
          <w:sz w:val="15"/>
        </w:rPr>
        <w:t>MORTALITY</w:t>
      </w:r>
      <w:r>
        <w:rPr>
          <w:spacing w:val="1"/>
          <w:w w:val="115"/>
          <w:sz w:val="15"/>
        </w:rPr>
        <w:t> </w:t>
      </w:r>
      <w:r>
        <w:rPr>
          <w:w w:val="130"/>
          <w:sz w:val="15"/>
        </w:rPr>
        <w:t>·</w:t>
        <w:tab/>
      </w:r>
      <w:r>
        <w:rPr>
          <w:w w:val="115"/>
          <w:position w:val="1"/>
          <w:sz w:val="16"/>
        </w:rPr>
        <w:t>[CH.</w:t>
      </w:r>
      <w:r>
        <w:rPr>
          <w:spacing w:val="-6"/>
          <w:w w:val="115"/>
          <w:position w:val="1"/>
          <w:sz w:val="16"/>
        </w:rPr>
        <w:t> </w:t>
      </w:r>
      <w:r>
        <w:rPr>
          <w:w w:val="115"/>
          <w:position w:val="1"/>
          <w:sz w:val="20"/>
        </w:rPr>
        <w:t>1</w:t>
      </w:r>
    </w:p>
    <w:p>
      <w:pPr>
        <w:pStyle w:val="BodyText"/>
        <w:spacing w:before="11"/>
        <w:rPr>
          <w:sz w:val="10"/>
        </w:rPr>
      </w:pPr>
    </w:p>
    <w:p>
      <w:pPr>
        <w:spacing w:after="0"/>
        <w:rPr>
          <w:sz w:val="10"/>
        </w:rPr>
        <w:sectPr>
          <w:pgSz w:w="7200" w:h="11340"/>
          <w:pgMar w:top="480" w:bottom="280" w:left="660" w:right="520"/>
        </w:sectPr>
      </w:pPr>
    </w:p>
    <w:p>
      <w:pPr>
        <w:pStyle w:val="BodyText"/>
        <w:spacing w:before="3"/>
        <w:rPr>
          <w:sz w:val="21"/>
        </w:rPr>
      </w:pPr>
    </w:p>
    <w:p>
      <w:pPr>
        <w:spacing w:line="206" w:lineRule="exact" w:before="1"/>
        <w:ind w:left="0" w:right="0" w:firstLine="0"/>
        <w:jc w:val="right"/>
        <w:rPr>
          <w:rFonts w:ascii="Arial"/>
          <w:i/>
          <w:sz w:val="19"/>
        </w:rPr>
      </w:pPr>
      <w:r>
        <w:rPr>
          <w:w w:val="130"/>
          <w:sz w:val="16"/>
        </w:rPr>
        <w:t>(b) </w:t>
      </w:r>
      <w:r>
        <w:rPr>
          <w:rFonts w:ascii="Arial"/>
          <w:i/>
          <w:w w:val="255"/>
          <w:position w:val="-2"/>
          <w:sz w:val="19"/>
        </w:rPr>
        <w:t>[</w:t>
      </w:r>
    </w:p>
    <w:p>
      <w:pPr>
        <w:spacing w:line="124" w:lineRule="exact" w:before="0"/>
        <w:ind w:left="0" w:right="1" w:firstLine="0"/>
        <w:jc w:val="right"/>
        <w:rPr>
          <w:rFonts w:ascii="Arial"/>
          <w:b/>
          <w:sz w:val="12"/>
        </w:rPr>
      </w:pPr>
      <w:r>
        <w:rPr>
          <w:rFonts w:ascii="Arial"/>
          <w:b/>
          <w:w w:val="115"/>
          <w:sz w:val="12"/>
        </w:rPr>
        <w:t>s</w:t>
      </w:r>
    </w:p>
    <w:p>
      <w:pPr>
        <w:spacing w:line="185" w:lineRule="exact" w:before="76"/>
        <w:ind w:left="29" w:right="0" w:firstLine="0"/>
        <w:jc w:val="left"/>
        <w:rPr>
          <w:rFonts w:ascii="Arial"/>
          <w:i/>
          <w:sz w:val="19"/>
        </w:rPr>
      </w:pPr>
      <w:r>
        <w:rPr/>
        <w:br w:type="column"/>
      </w:r>
      <w:r>
        <w:rPr>
          <w:rFonts w:ascii="Arial"/>
          <w:i/>
          <w:w w:val="105"/>
          <w:sz w:val="19"/>
        </w:rPr>
        <w:t>+"</w:t>
      </w:r>
    </w:p>
    <w:p>
      <w:pPr>
        <w:spacing w:line="173" w:lineRule="exact" w:before="0"/>
        <w:ind w:left="273" w:right="0" w:firstLine="0"/>
        <w:jc w:val="left"/>
        <w:rPr>
          <w:sz w:val="16"/>
        </w:rPr>
      </w:pPr>
      <w:r>
        <w:rPr>
          <w:w w:val="110"/>
          <w:sz w:val="16"/>
        </w:rPr>
        <w:t>cp(y)  </w:t>
      </w:r>
      <w:r>
        <w:rPr>
          <w:i/>
          <w:w w:val="110"/>
          <w:sz w:val="17"/>
        </w:rPr>
        <w:t>dy </w:t>
      </w:r>
      <w:r>
        <w:rPr>
          <w:w w:val="110"/>
          <w:sz w:val="16"/>
        </w:rPr>
        <w:t>is the probability  that  a life aged  </w:t>
      </w:r>
      <w:r>
        <w:rPr>
          <w:rFonts w:ascii="Arial"/>
          <w:w w:val="105"/>
          <w:sz w:val="16"/>
        </w:rPr>
        <w:t>O </w:t>
      </w:r>
      <w:r>
        <w:rPr>
          <w:w w:val="110"/>
          <w:sz w:val="18"/>
        </w:rPr>
        <w:t>will </w:t>
      </w:r>
      <w:r>
        <w:rPr>
          <w:w w:val="110"/>
          <w:sz w:val="16"/>
        </w:rPr>
        <w:t>die   between</w:t>
      </w:r>
    </w:p>
    <w:p>
      <w:pPr>
        <w:spacing w:after="0" w:line="173" w:lineRule="exact"/>
        <w:jc w:val="left"/>
        <w:rPr>
          <w:sz w:val="16"/>
        </w:rPr>
        <w:sectPr>
          <w:type w:val="continuous"/>
          <w:pgSz w:w="7200" w:h="11340"/>
          <w:pgMar w:top="1100" w:bottom="0" w:left="660" w:right="520"/>
          <w:cols w:num="2" w:equalWidth="0">
            <w:col w:w="906" w:space="40"/>
            <w:col w:w="5074"/>
          </w:cols>
        </w:sectPr>
      </w:pPr>
    </w:p>
    <w:p>
      <w:pPr>
        <w:spacing w:before="36"/>
        <w:ind w:left="758" w:right="0" w:firstLine="0"/>
        <w:jc w:val="left"/>
        <w:rPr>
          <w:i/>
          <w:sz w:val="18"/>
        </w:rPr>
      </w:pPr>
      <w:r>
        <w:rPr>
          <w:w w:val="105"/>
          <w:sz w:val="16"/>
        </w:rPr>
        <w:t>age </w:t>
      </w:r>
      <w:r>
        <w:rPr>
          <w:i/>
          <w:w w:val="105"/>
          <w:sz w:val="18"/>
        </w:rPr>
        <w:t>x  </w:t>
      </w:r>
      <w:r>
        <w:rPr>
          <w:w w:val="105"/>
          <w:sz w:val="16"/>
        </w:rPr>
        <w:t>and  a.ge </w:t>
      </w:r>
      <w:r>
        <w:rPr>
          <w:i/>
          <w:w w:val="105"/>
          <w:sz w:val="18"/>
        </w:rPr>
        <w:t>x  </w:t>
      </w:r>
      <w:r>
        <w:rPr>
          <w:rFonts w:ascii="Arial"/>
          <w:w w:val="105"/>
          <w:sz w:val="26"/>
        </w:rPr>
        <w:t>+ </w:t>
      </w:r>
      <w:r>
        <w:rPr>
          <w:i/>
          <w:w w:val="105"/>
          <w:sz w:val="18"/>
        </w:rPr>
        <w:t>n;</w:t>
      </w:r>
    </w:p>
    <w:p>
      <w:pPr>
        <w:spacing w:before="191"/>
        <w:ind w:left="459" w:right="0" w:firstLine="0"/>
        <w:jc w:val="left"/>
        <w:rPr>
          <w:i/>
          <w:sz w:val="17"/>
        </w:rPr>
      </w:pPr>
      <w:r>
        <w:rPr>
          <w:w w:val="105"/>
          <w:sz w:val="16"/>
        </w:rPr>
        <w:t>(e)  8(:t)  </w:t>
      </w:r>
      <w:r>
        <w:rPr>
          <w:w w:val="105"/>
          <w:sz w:val="23"/>
        </w:rPr>
        <w:t>= </w:t>
      </w:r>
      <w:r>
        <w:rPr>
          <w:w w:val="145"/>
          <w:sz w:val="18"/>
        </w:rPr>
        <w:t>1 </w:t>
      </w:r>
      <w:r>
        <w:rPr>
          <w:w w:val="230"/>
          <w:sz w:val="18"/>
        </w:rPr>
        <w:t>- </w:t>
      </w:r>
      <w:r>
        <w:rPr>
          <w:i/>
          <w:w w:val="230"/>
          <w:sz w:val="18"/>
        </w:rPr>
        <w:t>[ </w:t>
      </w:r>
      <w:r>
        <w:rPr>
          <w:w w:val="105"/>
          <w:sz w:val="16"/>
        </w:rPr>
        <w:t>..,(y) </w:t>
      </w:r>
      <w:r>
        <w:rPr>
          <w:i/>
          <w:w w:val="105"/>
          <w:sz w:val="17"/>
        </w:rPr>
        <w:t>dy.</w:t>
      </w:r>
    </w:p>
    <w:p>
      <w:pPr>
        <w:pStyle w:val="BodyText"/>
        <w:spacing w:before="8"/>
        <w:rPr>
          <w:i/>
          <w:sz w:val="18"/>
        </w:rPr>
      </w:pPr>
    </w:p>
    <w:p>
      <w:pPr>
        <w:tabs>
          <w:tab w:pos="1683" w:val="left" w:leader="none"/>
        </w:tabs>
        <w:spacing w:before="0"/>
        <w:ind w:left="452" w:right="0" w:firstLine="0"/>
        <w:jc w:val="left"/>
        <w:rPr>
          <w:rFonts w:ascii="Arial"/>
          <w:sz w:val="16"/>
        </w:rPr>
      </w:pPr>
      <w:r>
        <w:rPr>
          <w:w w:val="111"/>
          <w:sz w:val="16"/>
        </w:rPr>
        <w:t>(d)</w:t>
      </w:r>
      <w:r>
        <w:rPr>
          <w:sz w:val="16"/>
        </w:rPr>
        <w:t> </w:t>
      </w:r>
      <w:r>
        <w:rPr>
          <w:spacing w:val="2"/>
          <w:sz w:val="16"/>
        </w:rPr>
        <w:t> </w:t>
      </w:r>
      <w:r>
        <w:rPr>
          <w:w w:val="94"/>
          <w:sz w:val="18"/>
        </w:rPr>
        <w:t>If</w:t>
      </w:r>
      <w:r>
        <w:rPr>
          <w:spacing w:val="17"/>
          <w:sz w:val="18"/>
        </w:rPr>
        <w:t> </w:t>
      </w:r>
      <w:r>
        <w:rPr>
          <w:rFonts w:ascii="Arial"/>
          <w:w w:val="101"/>
          <w:sz w:val="16"/>
        </w:rPr>
        <w:t>9'</w:t>
      </w:r>
      <w:r>
        <w:rPr>
          <w:rFonts w:ascii="Arial"/>
          <w:w w:val="101"/>
          <w:sz w:val="16"/>
        </w:rPr>
        <w:t>(z)</w:t>
      </w:r>
      <w:r>
        <w:rPr>
          <w:rFonts w:ascii="Arial"/>
          <w:sz w:val="16"/>
        </w:rPr>
        <w:t> </w:t>
      </w:r>
      <w:r>
        <w:rPr>
          <w:rFonts w:ascii="Arial"/>
          <w:spacing w:val="2"/>
          <w:sz w:val="16"/>
        </w:rPr>
        <w:t> </w:t>
      </w:r>
      <w:r>
        <w:rPr>
          <w:w w:val="92"/>
          <w:sz w:val="21"/>
        </w:rPr>
        <w:t>=</w:t>
      </w:r>
      <w:r>
        <w:rPr>
          <w:sz w:val="21"/>
        </w:rPr>
        <w:tab/>
      </w:r>
      <w:r>
        <w:rPr>
          <w:w w:val="107"/>
          <w:position w:val="-3"/>
          <w:sz w:val="14"/>
        </w:rPr>
        <w:t>4</w:t>
      </w:r>
      <w:r>
        <w:rPr>
          <w:spacing w:val="16"/>
          <w:position w:val="-3"/>
          <w:sz w:val="14"/>
        </w:rPr>
        <w:t> </w:t>
      </w:r>
      <w:r>
        <w:rPr>
          <w:rFonts w:ascii="Arial"/>
          <w:w w:val="124"/>
          <w:sz w:val="16"/>
        </w:rPr>
        <w:t>x</w:t>
      </w:r>
      <w:r>
        <w:rPr>
          <w:rFonts w:ascii="Arial"/>
          <w:spacing w:val="2"/>
          <w:w w:val="124"/>
          <w:sz w:val="16"/>
        </w:rPr>
        <w:t>-</w:t>
      </w:r>
      <w:r>
        <w:rPr>
          <w:spacing w:val="-28"/>
          <w:w w:val="163"/>
          <w:position w:val="5"/>
          <w:sz w:val="10"/>
        </w:rPr>
        <w:t>1</w:t>
      </w:r>
      <w:r>
        <w:rPr>
          <w:spacing w:val="-21"/>
          <w:w w:val="86"/>
          <w:sz w:val="14"/>
        </w:rPr>
        <w:t>1</w:t>
      </w:r>
      <w:r>
        <w:rPr>
          <w:spacing w:val="-28"/>
          <w:w w:val="163"/>
          <w:position w:val="4"/>
          <w:sz w:val="10"/>
        </w:rPr>
        <w:t>1</w:t>
      </w:r>
      <w:r>
        <w:rPr>
          <w:w w:val="195"/>
          <w:sz w:val="10"/>
        </w:rPr>
        <w:t>,</w:t>
      </w:r>
      <w:r>
        <w:rPr>
          <w:sz w:val="10"/>
        </w:rPr>
        <w:t> </w:t>
      </w:r>
      <w:r>
        <w:rPr>
          <w:spacing w:val="2"/>
          <w:sz w:val="10"/>
        </w:rPr>
        <w:t> </w:t>
      </w:r>
      <w:r>
        <w:rPr>
          <w:w w:val="110"/>
          <w:sz w:val="16"/>
        </w:rPr>
        <w:t>find</w:t>
      </w:r>
      <w:r>
        <w:rPr>
          <w:sz w:val="16"/>
        </w:rPr>
        <w:t> </w:t>
      </w:r>
      <w:r>
        <w:rPr>
          <w:spacing w:val="-14"/>
          <w:sz w:val="16"/>
        </w:rPr>
        <w:t> </w:t>
      </w:r>
      <w:r>
        <w:rPr>
          <w:rFonts w:ascii="Arial"/>
          <w:w w:val="114"/>
          <w:sz w:val="16"/>
        </w:rPr>
        <w:t>a</w:t>
      </w:r>
      <w:r>
        <w:rPr>
          <w:rFonts w:ascii="Arial"/>
          <w:w w:val="114"/>
          <w:sz w:val="16"/>
        </w:rPr>
        <w:t>(x)</w:t>
      </w:r>
      <w:r>
        <w:rPr>
          <w:rFonts w:ascii="Arial"/>
          <w:w w:val="114"/>
          <w:sz w:val="16"/>
        </w:rPr>
        <w:t>.</w:t>
      </w:r>
      <w:r>
        <w:rPr>
          <w:rFonts w:ascii="Arial"/>
          <w:sz w:val="16"/>
        </w:rPr>
        <w:t> </w:t>
      </w:r>
      <w:r>
        <w:rPr>
          <w:rFonts w:ascii="Arial"/>
          <w:spacing w:val="-18"/>
          <w:sz w:val="16"/>
        </w:rPr>
        <w:t> </w:t>
      </w:r>
      <w:r>
        <w:rPr>
          <w:w w:val="116"/>
          <w:sz w:val="16"/>
        </w:rPr>
        <w:t>What</w:t>
      </w:r>
      <w:r>
        <w:rPr>
          <w:sz w:val="16"/>
        </w:rPr>
        <w:t> </w:t>
      </w:r>
      <w:r>
        <w:rPr>
          <w:spacing w:val="-3"/>
          <w:sz w:val="16"/>
        </w:rPr>
        <w:t> </w:t>
      </w:r>
      <w:r>
        <w:rPr>
          <w:w w:val="128"/>
          <w:sz w:val="16"/>
        </w:rPr>
        <w:t>is</w:t>
      </w:r>
      <w:r>
        <w:rPr>
          <w:spacing w:val="16"/>
          <w:sz w:val="16"/>
        </w:rPr>
        <w:t> </w:t>
      </w:r>
      <w:r>
        <w:rPr>
          <w:w w:val="125"/>
          <w:sz w:val="16"/>
        </w:rPr>
        <w:t>the</w:t>
      </w:r>
      <w:r>
        <w:rPr>
          <w:sz w:val="16"/>
        </w:rPr>
        <w:t> </w:t>
      </w:r>
      <w:r>
        <w:rPr>
          <w:spacing w:val="-13"/>
          <w:sz w:val="16"/>
        </w:rPr>
        <w:t> </w:t>
      </w:r>
      <w:r>
        <w:rPr>
          <w:w w:val="116"/>
          <w:sz w:val="16"/>
        </w:rPr>
        <w:t>value</w:t>
      </w:r>
      <w:r>
        <w:rPr>
          <w:sz w:val="16"/>
        </w:rPr>
        <w:t> </w:t>
      </w:r>
      <w:r>
        <w:rPr>
          <w:spacing w:val="-10"/>
          <w:sz w:val="16"/>
        </w:rPr>
        <w:t> </w:t>
      </w:r>
      <w:r>
        <w:rPr>
          <w:w w:val="95"/>
          <w:sz w:val="16"/>
        </w:rPr>
        <w:t>of</w:t>
      </w:r>
      <w:r>
        <w:rPr>
          <w:sz w:val="16"/>
        </w:rPr>
        <w:t> </w:t>
      </w:r>
      <w:r>
        <w:rPr>
          <w:spacing w:val="-14"/>
          <w:sz w:val="16"/>
        </w:rPr>
        <w:t> </w:t>
      </w:r>
      <w:r>
        <w:rPr>
          <w:rFonts w:ascii="Arial"/>
          <w:w w:val="85"/>
          <w:sz w:val="16"/>
        </w:rPr>
        <w:t>w?</w:t>
      </w:r>
    </w:p>
    <w:p>
      <w:pPr>
        <w:pStyle w:val="ListParagraph"/>
        <w:numPr>
          <w:ilvl w:val="0"/>
          <w:numId w:val="12"/>
        </w:numPr>
        <w:tabs>
          <w:tab w:pos="323" w:val="left" w:leader="none"/>
        </w:tabs>
        <w:spacing w:line="240" w:lineRule="auto" w:before="140" w:after="0"/>
        <w:ind w:left="322" w:right="0" w:hanging="201"/>
        <w:jc w:val="left"/>
        <w:rPr>
          <w:b/>
          <w:sz w:val="16"/>
        </w:rPr>
      </w:pPr>
      <w:r>
        <w:rPr>
          <w:b/>
          <w:w w:val="125"/>
          <w:sz w:val="16"/>
        </w:rPr>
        <w:t>Tbe  mortality</w:t>
      </w:r>
      <w:r>
        <w:rPr>
          <w:b/>
          <w:spacing w:val="35"/>
          <w:w w:val="125"/>
          <w:sz w:val="16"/>
        </w:rPr>
        <w:t> </w:t>
      </w:r>
      <w:r>
        <w:rPr>
          <w:b/>
          <w:w w:val="125"/>
          <w:sz w:val="16"/>
        </w:rPr>
        <w:t>table</w:t>
      </w:r>
    </w:p>
    <w:p>
      <w:pPr>
        <w:spacing w:line="232" w:lineRule="auto" w:before="34"/>
        <w:ind w:left="128" w:right="0" w:firstLine="162"/>
        <w:jc w:val="left"/>
        <w:rPr>
          <w:sz w:val="17"/>
        </w:rPr>
      </w:pPr>
      <w:r>
        <w:rPr>
          <w:w w:val="110"/>
          <w:sz w:val="16"/>
        </w:rPr>
        <w:t>5..Given </w:t>
      </w:r>
      <w:r>
        <w:rPr>
          <w:rFonts w:ascii="Arial"/>
          <w:w w:val="110"/>
          <w:sz w:val="16"/>
        </w:rPr>
        <w:t>s(x) </w:t>
      </w:r>
      <w:r>
        <w:rPr>
          <w:w w:val="110"/>
          <w:sz w:val="23"/>
        </w:rPr>
        <w:t>= </w:t>
      </w:r>
      <w:r>
        <w:rPr>
          <w:w w:val="110"/>
          <w:sz w:val="16"/>
        </w:rPr>
        <w:t>1 </w:t>
      </w:r>
      <w:r>
        <w:rPr>
          <w:w w:val="260"/>
          <w:sz w:val="16"/>
        </w:rPr>
        <w:t>- </w:t>
      </w:r>
      <w:r>
        <w:rPr>
          <w:rFonts w:ascii="Arial"/>
          <w:i/>
          <w:w w:val="110"/>
          <w:sz w:val="16"/>
        </w:rPr>
        <w:t>.005x </w:t>
      </w:r>
      <w:r>
        <w:rPr>
          <w:rFonts w:ascii="Arial"/>
          <w:w w:val="260"/>
          <w:sz w:val="16"/>
        </w:rPr>
        <w:t>- </w:t>
      </w:r>
      <w:r>
        <w:rPr>
          <w:w w:val="110"/>
          <w:sz w:val="18"/>
        </w:rPr>
        <w:t>.00005x</w:t>
      </w:r>
      <w:r>
        <w:rPr>
          <w:rFonts w:ascii="Arial"/>
          <w:w w:val="110"/>
          <w:position w:val="4"/>
          <w:sz w:val="10"/>
        </w:rPr>
        <w:t>2 </w:t>
      </w:r>
      <w:r>
        <w:rPr>
          <w:rFonts w:ascii="Arial"/>
          <w:w w:val="260"/>
          <w:sz w:val="10"/>
        </w:rPr>
        <w:t>, </w:t>
      </w:r>
      <w:r>
        <w:rPr>
          <w:w w:val="110"/>
          <w:sz w:val="16"/>
        </w:rPr>
        <w:t>construct the </w:t>
      </w:r>
      <w:r>
        <w:rPr>
          <w:i/>
          <w:w w:val="110"/>
          <w:sz w:val="17"/>
        </w:rPr>
        <w:t>lz </w:t>
      </w:r>
      <w:r>
        <w:rPr>
          <w:w w:val="110"/>
          <w:sz w:val="16"/>
        </w:rPr>
        <w:t>and </w:t>
      </w:r>
      <w:r>
        <w:rPr>
          <w:i/>
          <w:w w:val="110"/>
          <w:sz w:val="17"/>
        </w:rPr>
        <w:t>dz </w:t>
      </w:r>
      <w:r>
        <w:rPr>
          <w:w w:val="110"/>
          <w:sz w:val="16"/>
        </w:rPr>
        <w:t>columna of the  corresponding  mortality  table  for  a.ges  </w:t>
      </w:r>
      <w:r>
        <w:rPr>
          <w:w w:val="110"/>
          <w:sz w:val="17"/>
        </w:rPr>
        <w:t>0-2,  </w:t>
      </w:r>
      <w:r>
        <w:rPr>
          <w:w w:val="110"/>
          <w:sz w:val="16"/>
        </w:rPr>
        <w:t>using  </w:t>
      </w:r>
      <w:r>
        <w:rPr>
          <w:rFonts w:ascii="Arial"/>
          <w:w w:val="110"/>
          <w:sz w:val="15"/>
        </w:rPr>
        <w:t>a </w:t>
      </w:r>
      <w:r>
        <w:rPr>
          <w:w w:val="110"/>
          <w:sz w:val="16"/>
        </w:rPr>
        <w:t>radix  of </w:t>
      </w:r>
      <w:r>
        <w:rPr>
          <w:w w:val="110"/>
          <w:sz w:val="17"/>
        </w:rPr>
        <w:t>100,000.</w:t>
      </w:r>
    </w:p>
    <w:p>
      <w:pPr>
        <w:pStyle w:val="ListParagraph"/>
        <w:numPr>
          <w:ilvl w:val="1"/>
          <w:numId w:val="12"/>
        </w:numPr>
        <w:tabs>
          <w:tab w:pos="496" w:val="left" w:leader="none"/>
        </w:tabs>
        <w:spacing w:line="259" w:lineRule="auto" w:before="0" w:after="0"/>
        <w:ind w:left="132" w:right="136" w:firstLine="154"/>
        <w:jc w:val="left"/>
        <w:rPr>
          <w:sz w:val="18"/>
        </w:rPr>
      </w:pPr>
      <w:r>
        <w:rPr/>
        <w:pict>
          <v:group style="position:absolute;margin-left:136.244995pt;margin-top:26.852339pt;width:94.55pt;height:54.4pt;mso-position-horizontal-relative:page;mso-position-vertical-relative:paragraph;z-index:2584;mso-wrap-distance-left:0;mso-wrap-distance-right:0" coordorigin="2725,537" coordsize="1891,1088">
            <v:line style="position:absolute" from="2732,955" to="4608,955" stroked="true" strokeweight=".72pt" strokecolor="#000000"/>
            <v:line style="position:absolute" from="3641,1615" to="3641,546" stroked="true" strokeweight=".9pt" strokecolor="#000000"/>
            <v:shape style="position:absolute;left:3118;top:715;width:123;height:855" type="#_x0000_t202" filled="false" stroked="false">
              <v:textbox inset="0,0,0,0">
                <w:txbxContent>
                  <w:p>
                    <w:pPr>
                      <w:spacing w:line="232" w:lineRule="exact" w:before="0"/>
                      <w:ind w:left="21" w:right="0" w:firstLine="0"/>
                      <w:jc w:val="left"/>
                      <w:rPr>
                        <w:rFonts w:ascii="Arial"/>
                        <w:sz w:val="24"/>
                      </w:rPr>
                    </w:pPr>
                    <w:r>
                      <w:rPr>
                        <w:rFonts w:ascii="Arial"/>
                        <w:w w:val="106"/>
                        <w:sz w:val="24"/>
                      </w:rPr>
                      <w:t>"</w:t>
                    </w:r>
                  </w:p>
                  <w:p>
                    <w:pPr>
                      <w:spacing w:line="233" w:lineRule="exact" w:before="0"/>
                      <w:ind w:left="0" w:right="0" w:firstLine="0"/>
                      <w:jc w:val="left"/>
                      <w:rPr>
                        <w:rFonts w:ascii="Arial"/>
                        <w:sz w:val="22"/>
                      </w:rPr>
                    </w:pPr>
                    <w:r>
                      <w:rPr>
                        <w:rFonts w:ascii="Arial"/>
                        <w:w w:val="78"/>
                        <w:sz w:val="22"/>
                      </w:rPr>
                      <w:t>o</w:t>
                    </w:r>
                  </w:p>
                  <w:p>
                    <w:pPr>
                      <w:spacing w:line="200" w:lineRule="exact" w:before="0"/>
                      <w:ind w:left="7" w:right="0" w:firstLine="0"/>
                      <w:jc w:val="left"/>
                      <w:rPr>
                        <w:sz w:val="18"/>
                      </w:rPr>
                    </w:pPr>
                    <w:r>
                      <w:rPr>
                        <w:w w:val="128"/>
                        <w:sz w:val="18"/>
                      </w:rPr>
                      <w:t>1</w:t>
                    </w:r>
                  </w:p>
                  <w:p>
                    <w:pPr>
                      <w:spacing w:line="180" w:lineRule="exact" w:before="9"/>
                      <w:ind w:left="3" w:right="0" w:firstLine="0"/>
                      <w:jc w:val="left"/>
                      <w:rPr>
                        <w:rFonts w:ascii="Arial"/>
                        <w:sz w:val="16"/>
                      </w:rPr>
                    </w:pPr>
                    <w:r>
                      <w:rPr>
                        <w:rFonts w:ascii="Arial"/>
                        <w:w w:val="101"/>
                        <w:sz w:val="16"/>
                      </w:rPr>
                      <w:t>2</w:t>
                    </w:r>
                  </w:p>
                </w:txbxContent>
              </v:textbox>
              <w10:wrap type="none"/>
            </v:shape>
            <v:shape style="position:absolute;left:4079;top:711;width:130;height:130" type="#_x0000_t202" filled="false" stroked="false">
              <v:textbox inset="0,0,0,0">
                <w:txbxContent>
                  <w:p>
                    <w:pPr>
                      <w:spacing w:line="130" w:lineRule="exact" w:before="0"/>
                      <w:ind w:left="0" w:right="-17" w:firstLine="0"/>
                      <w:jc w:val="left"/>
                      <w:rPr>
                        <w:b/>
                        <w:sz w:val="13"/>
                      </w:rPr>
                    </w:pPr>
                    <w:r>
                      <w:rPr>
                        <w:b/>
                        <w:w w:val="135"/>
                        <w:sz w:val="13"/>
                      </w:rPr>
                      <w:t>fs</w:t>
                    </w:r>
                  </w:p>
                </w:txbxContent>
              </v:textbox>
              <w10:wrap type="none"/>
            </v:shape>
            <v:shape style="position:absolute;left:4007;top:1004;width:329;height:571" type="#_x0000_t202" filled="false" stroked="false">
              <v:textbox inset="0,0,0,0">
                <w:txbxContent>
                  <w:p>
                    <w:pPr>
                      <w:spacing w:line="163" w:lineRule="exact" w:before="0"/>
                      <w:ind w:left="3" w:right="-17" w:firstLine="0"/>
                      <w:jc w:val="left"/>
                      <w:rPr>
                        <w:sz w:val="16"/>
                      </w:rPr>
                    </w:pPr>
                    <w:r>
                      <w:rPr>
                        <w:spacing w:val="-7"/>
                        <w:w w:val="125"/>
                        <w:sz w:val="16"/>
                      </w:rPr>
                      <w:t>.011</w:t>
                    </w:r>
                  </w:p>
                  <w:p>
                    <w:pPr>
                      <w:spacing w:line="205" w:lineRule="exact" w:before="9"/>
                      <w:ind w:left="0" w:right="-11" w:firstLine="0"/>
                      <w:jc w:val="left"/>
                      <w:rPr>
                        <w:rFonts w:ascii="Courier New"/>
                        <w:sz w:val="19"/>
                      </w:rPr>
                    </w:pPr>
                    <w:r>
                      <w:rPr>
                        <w:rFonts w:ascii="Courier New"/>
                        <w:w w:val="70"/>
                        <w:sz w:val="19"/>
                      </w:rPr>
                      <w:t>.005</w:t>
                    </w:r>
                  </w:p>
                  <w:p>
                    <w:pPr>
                      <w:spacing w:line="193" w:lineRule="exact" w:before="0"/>
                      <w:ind w:left="3" w:right="-9" w:firstLine="0"/>
                      <w:jc w:val="left"/>
                      <w:rPr>
                        <w:sz w:val="18"/>
                      </w:rPr>
                    </w:pPr>
                    <w:r>
                      <w:rPr>
                        <w:sz w:val="18"/>
                      </w:rPr>
                      <w:t>.003</w:t>
                    </w:r>
                  </w:p>
                </w:txbxContent>
              </v:textbox>
              <w10:wrap type="none"/>
            </v:shape>
            <w10:wrap type="topAndBottom"/>
          </v:group>
        </w:pict>
      </w:r>
      <w:r>
        <w:rPr>
          <w:w w:val="115"/>
          <w:sz w:val="16"/>
        </w:rPr>
        <w:t>The following values of </w:t>
      </w:r>
      <w:r>
        <w:rPr>
          <w:i/>
          <w:w w:val="115"/>
          <w:sz w:val="16"/>
        </w:rPr>
        <w:t>qz </w:t>
      </w:r>
      <w:r>
        <w:rPr>
          <w:w w:val="115"/>
          <w:sz w:val="16"/>
        </w:rPr>
        <w:t>ha.ve been derived from a mortality experi- ence:</w:t>
      </w:r>
    </w:p>
    <w:p>
      <w:pPr>
        <w:pStyle w:val="BodyText"/>
        <w:spacing w:before="8"/>
        <w:rPr>
          <w:sz w:val="3"/>
        </w:rPr>
      </w:pPr>
    </w:p>
    <w:p>
      <w:pPr>
        <w:pStyle w:val="BodyText"/>
        <w:spacing w:line="20" w:lineRule="exact"/>
        <w:ind w:left="2039"/>
        <w:rPr>
          <w:sz w:val="2"/>
        </w:rPr>
      </w:pPr>
      <w:r>
        <w:rPr>
          <w:sz w:val="2"/>
        </w:rPr>
        <w:pict>
          <v:group style="width:95.1pt;height:.75pt;mso-position-horizontal-relative:char;mso-position-vertical-relative:line" coordorigin="0,0" coordsize="1902,15">
            <v:line style="position:absolute" from="8,8" to="1894,8" stroked="true" strokeweight=".72pt" strokecolor="#000000"/>
          </v:group>
        </w:pict>
      </w:r>
      <w:r>
        <w:rPr>
          <w:sz w:val="2"/>
        </w:rPr>
      </w:r>
    </w:p>
    <w:p>
      <w:pPr>
        <w:spacing w:before="122"/>
        <w:ind w:left="128" w:right="0" w:firstLine="0"/>
        <w:jc w:val="left"/>
        <w:rPr>
          <w:b/>
          <w:sz w:val="17"/>
        </w:rPr>
      </w:pPr>
      <w:r>
        <w:rPr>
          <w:w w:val="110"/>
          <w:sz w:val="16"/>
        </w:rPr>
        <w:t>Construct  the corresponding  </w:t>
      </w:r>
      <w:r>
        <w:rPr>
          <w:i/>
          <w:w w:val="110"/>
          <w:sz w:val="17"/>
        </w:rPr>
        <w:t>lz </w:t>
      </w:r>
      <w:r>
        <w:rPr>
          <w:w w:val="110"/>
          <w:sz w:val="16"/>
        </w:rPr>
        <w:t>and </w:t>
      </w:r>
      <w:r>
        <w:rPr>
          <w:i/>
          <w:w w:val="110"/>
          <w:sz w:val="17"/>
        </w:rPr>
        <w:t>ds </w:t>
      </w:r>
      <w:r>
        <w:rPr>
          <w:w w:val="110"/>
          <w:sz w:val="16"/>
        </w:rPr>
        <w:t>columns,  using  a radix  of    </w:t>
      </w:r>
      <w:r>
        <w:rPr>
          <w:b/>
          <w:w w:val="110"/>
          <w:sz w:val="17"/>
        </w:rPr>
        <w:t>10,000.</w:t>
      </w:r>
    </w:p>
    <w:p>
      <w:pPr>
        <w:pStyle w:val="ListParagraph"/>
        <w:numPr>
          <w:ilvl w:val="1"/>
          <w:numId w:val="12"/>
        </w:numPr>
        <w:tabs>
          <w:tab w:pos="503" w:val="left" w:leader="none"/>
        </w:tabs>
        <w:spacing w:line="268" w:lineRule="auto" w:before="12" w:after="0"/>
        <w:ind w:left="124" w:right="149" w:firstLine="170"/>
        <w:jc w:val="left"/>
        <w:rPr>
          <w:sz w:val="16"/>
        </w:rPr>
      </w:pPr>
      <w:r>
        <w:rPr>
          <w:w w:val="120"/>
          <w:sz w:val="16"/>
        </w:rPr>
        <w:t>Use Table 2 to calculate the following probabilities (answers may be left in fractional form)</w:t>
      </w:r>
      <w:r>
        <w:rPr>
          <w:spacing w:val="28"/>
          <w:w w:val="120"/>
          <w:sz w:val="16"/>
        </w:rPr>
        <w:t> </w:t>
      </w:r>
      <w:r>
        <w:rPr>
          <w:w w:val="120"/>
          <w:sz w:val="16"/>
        </w:rPr>
        <w:t>:</w:t>
      </w:r>
    </w:p>
    <w:p>
      <w:pPr>
        <w:pStyle w:val="ListParagraph"/>
        <w:numPr>
          <w:ilvl w:val="2"/>
          <w:numId w:val="12"/>
        </w:numPr>
        <w:tabs>
          <w:tab w:pos="752" w:val="left" w:leader="none"/>
        </w:tabs>
        <w:spacing w:line="180" w:lineRule="exact" w:before="0" w:after="0"/>
        <w:ind w:left="751" w:right="0" w:hanging="288"/>
        <w:jc w:val="left"/>
        <w:rPr>
          <w:sz w:val="16"/>
        </w:rPr>
      </w:pPr>
      <w:r>
        <w:rPr>
          <w:w w:val="120"/>
          <w:sz w:val="16"/>
        </w:rPr>
        <w:t>that  (35) will live at least </w:t>
      </w:r>
      <w:r>
        <w:rPr>
          <w:spacing w:val="-12"/>
          <w:w w:val="120"/>
          <w:sz w:val="16"/>
        </w:rPr>
        <w:t>30  </w:t>
      </w:r>
      <w:r>
        <w:rPr>
          <w:spacing w:val="-5"/>
          <w:w w:val="120"/>
          <w:sz w:val="16"/>
        </w:rPr>
        <w:t> </w:t>
      </w:r>
      <w:r>
        <w:rPr>
          <w:w w:val="120"/>
          <w:sz w:val="16"/>
        </w:rPr>
        <w:t>years;</w:t>
      </w:r>
    </w:p>
    <w:p>
      <w:pPr>
        <w:pStyle w:val="ListParagraph"/>
        <w:numPr>
          <w:ilvl w:val="2"/>
          <w:numId w:val="12"/>
        </w:numPr>
        <w:tabs>
          <w:tab w:pos="759" w:val="left" w:leader="none"/>
        </w:tabs>
        <w:spacing w:line="240" w:lineRule="auto" w:before="14" w:after="0"/>
        <w:ind w:left="758" w:right="0" w:hanging="299"/>
        <w:jc w:val="left"/>
        <w:rPr>
          <w:sz w:val="16"/>
        </w:rPr>
      </w:pPr>
      <w:r>
        <w:rPr>
          <w:w w:val="115"/>
          <w:sz w:val="16"/>
        </w:rPr>
        <w:t>that  (35) will die within  </w:t>
      </w:r>
      <w:r>
        <w:rPr>
          <w:spacing w:val="-12"/>
          <w:w w:val="115"/>
          <w:sz w:val="16"/>
        </w:rPr>
        <w:t>30 </w:t>
      </w:r>
      <w:r>
        <w:rPr>
          <w:spacing w:val="9"/>
          <w:w w:val="115"/>
          <w:sz w:val="16"/>
        </w:rPr>
        <w:t> </w:t>
      </w:r>
      <w:r>
        <w:rPr>
          <w:w w:val="115"/>
          <w:sz w:val="16"/>
        </w:rPr>
        <w:t>yea.rs;</w:t>
      </w:r>
    </w:p>
    <w:p>
      <w:pPr>
        <w:spacing w:line="183" w:lineRule="exact" w:before="21"/>
        <w:ind w:left="459" w:right="0" w:firstLine="0"/>
        <w:jc w:val="left"/>
        <w:rPr>
          <w:sz w:val="16"/>
        </w:rPr>
      </w:pPr>
      <w:r>
        <w:rPr>
          <w:w w:val="115"/>
          <w:sz w:val="16"/>
        </w:rPr>
        <w:t>(e)  that  (35)  will  die in  the  tbirtieth  year hence;</w:t>
      </w:r>
    </w:p>
    <w:p>
      <w:pPr>
        <w:pStyle w:val="ListParagraph"/>
        <w:numPr>
          <w:ilvl w:val="0"/>
          <w:numId w:val="13"/>
        </w:numPr>
        <w:tabs>
          <w:tab w:pos="752" w:val="left" w:leader="none"/>
        </w:tabs>
        <w:spacing w:line="204" w:lineRule="exact" w:before="0" w:after="0"/>
        <w:ind w:left="751" w:right="0" w:hanging="292"/>
        <w:jc w:val="left"/>
        <w:rPr>
          <w:sz w:val="16"/>
        </w:rPr>
      </w:pPr>
      <w:r>
        <w:rPr>
          <w:w w:val="105"/>
          <w:sz w:val="16"/>
        </w:rPr>
        <w:t>that   (35)  </w:t>
      </w:r>
      <w:r>
        <w:rPr>
          <w:w w:val="105"/>
          <w:sz w:val="18"/>
        </w:rPr>
        <w:t>will  </w:t>
      </w:r>
      <w:r>
        <w:rPr>
          <w:w w:val="105"/>
          <w:sz w:val="16"/>
        </w:rPr>
        <w:t>die  between  a.ges  55  and</w:t>
      </w:r>
      <w:r>
        <w:rPr>
          <w:spacing w:val="7"/>
          <w:w w:val="105"/>
          <w:sz w:val="16"/>
        </w:rPr>
        <w:t> </w:t>
      </w:r>
      <w:r>
        <w:rPr>
          <w:w w:val="105"/>
          <w:sz w:val="16"/>
        </w:rPr>
        <w:t>65;</w:t>
      </w:r>
    </w:p>
    <w:p>
      <w:pPr>
        <w:pStyle w:val="ListParagraph"/>
        <w:numPr>
          <w:ilvl w:val="0"/>
          <w:numId w:val="13"/>
        </w:numPr>
        <w:tabs>
          <w:tab w:pos="748" w:val="left" w:leader="none"/>
        </w:tabs>
        <w:spacing w:line="204" w:lineRule="exact" w:before="0" w:after="0"/>
        <w:ind w:left="747" w:right="0" w:hanging="284"/>
        <w:jc w:val="left"/>
        <w:rPr>
          <w:sz w:val="16"/>
        </w:rPr>
      </w:pPr>
      <w:r>
        <w:rPr>
          <w:w w:val="110"/>
          <w:sz w:val="16"/>
        </w:rPr>
        <w:t>that  (35)  </w:t>
      </w:r>
      <w:r>
        <w:rPr>
          <w:w w:val="110"/>
          <w:sz w:val="18"/>
        </w:rPr>
        <w:t>will  </w:t>
      </w:r>
      <w:r>
        <w:rPr>
          <w:w w:val="110"/>
          <w:sz w:val="16"/>
        </w:rPr>
        <w:t>not  die between  55 and</w:t>
      </w:r>
      <w:r>
        <w:rPr>
          <w:spacing w:val="42"/>
          <w:w w:val="110"/>
          <w:sz w:val="16"/>
        </w:rPr>
        <w:t> </w:t>
      </w:r>
      <w:r>
        <w:rPr>
          <w:w w:val="110"/>
          <w:sz w:val="16"/>
        </w:rPr>
        <w:t>65.</w:t>
      </w:r>
    </w:p>
    <w:p>
      <w:pPr>
        <w:pStyle w:val="ListParagraph"/>
        <w:numPr>
          <w:ilvl w:val="1"/>
          <w:numId w:val="12"/>
        </w:numPr>
        <w:tabs>
          <w:tab w:pos="496" w:val="left" w:leader="none"/>
        </w:tabs>
        <w:spacing w:line="178" w:lineRule="exact" w:before="17" w:after="0"/>
        <w:ind w:left="495" w:right="0" w:hanging="212"/>
        <w:jc w:val="left"/>
        <w:rPr>
          <w:sz w:val="16"/>
        </w:rPr>
      </w:pPr>
      <w:r>
        <w:rPr>
          <w:w w:val="120"/>
          <w:sz w:val="16"/>
        </w:rPr>
        <w:t>Show</w:t>
      </w:r>
      <w:r>
        <w:rPr>
          <w:spacing w:val="-5"/>
          <w:w w:val="120"/>
          <w:sz w:val="16"/>
        </w:rPr>
        <w:t> </w:t>
      </w:r>
      <w:r>
        <w:rPr>
          <w:w w:val="120"/>
          <w:sz w:val="16"/>
        </w:rPr>
        <w:t>that</w:t>
      </w:r>
    </w:p>
    <w:p>
      <w:pPr>
        <w:spacing w:line="218" w:lineRule="exact" w:before="0"/>
        <w:ind w:left="463" w:right="0" w:firstLine="0"/>
        <w:jc w:val="left"/>
        <w:rPr>
          <w:sz w:val="16"/>
        </w:rPr>
      </w:pPr>
      <w:r>
        <w:rPr>
          <w:rFonts w:ascii="Arial" w:hAnsi="Arial"/>
          <w:w w:val="120"/>
          <w:sz w:val="15"/>
        </w:rPr>
        <w:t>(a) </w:t>
      </w:r>
      <w:r>
        <w:rPr>
          <w:i/>
          <w:sz w:val="16"/>
        </w:rPr>
        <w:t>,.¡,,,qz </w:t>
      </w:r>
      <w:r>
        <w:rPr>
          <w:sz w:val="21"/>
        </w:rPr>
        <w:t>= </w:t>
      </w:r>
      <w:r>
        <w:rPr>
          <w:i/>
          <w:sz w:val="16"/>
        </w:rPr>
        <w:t>nPz </w:t>
      </w:r>
      <w:r>
        <w:rPr>
          <w:w w:val="255"/>
          <w:sz w:val="16"/>
        </w:rPr>
        <w:t>- </w:t>
      </w:r>
      <w:r>
        <w:rPr>
          <w:i/>
          <w:sz w:val="16"/>
        </w:rPr>
        <w:t>"+"'Pz </w:t>
      </w:r>
      <w:r>
        <w:rPr>
          <w:w w:val="120"/>
          <w:sz w:val="16"/>
        </w:rPr>
        <w:t>;</w:t>
      </w:r>
    </w:p>
    <w:p>
      <w:pPr>
        <w:spacing w:line="205" w:lineRule="exact" w:before="0"/>
        <w:ind w:left="463" w:right="0" w:firstLine="0"/>
        <w:jc w:val="left"/>
        <w:rPr>
          <w:sz w:val="15"/>
        </w:rPr>
      </w:pPr>
      <w:r>
        <w:rPr>
          <w:sz w:val="16"/>
        </w:rPr>
        <w:t>(b)  </w:t>
      </w:r>
      <w:r>
        <w:rPr>
          <w:b/>
          <w:sz w:val="16"/>
        </w:rPr>
        <w:t>,.,qs  </w:t>
      </w:r>
      <w:r>
        <w:rPr>
          <w:sz w:val="21"/>
        </w:rPr>
        <w:t>= </w:t>
      </w:r>
      <w:r>
        <w:rPr>
          <w:i/>
          <w:sz w:val="17"/>
        </w:rPr>
        <w:t>•P• </w:t>
      </w:r>
      <w:r>
        <w:rPr>
          <w:sz w:val="17"/>
        </w:rPr>
        <w:t>·</w:t>
      </w:r>
      <w:r>
        <w:rPr>
          <w:b/>
          <w:sz w:val="16"/>
        </w:rPr>
        <w:t>fs+t1 </w:t>
      </w:r>
      <w:r>
        <w:rPr>
          <w:sz w:val="15"/>
        </w:rPr>
        <w:t>i</w:t>
      </w:r>
    </w:p>
    <w:p>
      <w:pPr>
        <w:spacing w:line="226" w:lineRule="exact" w:before="0"/>
        <w:ind w:left="463" w:right="0" w:firstLine="0"/>
        <w:jc w:val="left"/>
        <w:rPr>
          <w:sz w:val="17"/>
        </w:rPr>
      </w:pPr>
      <w:r>
        <w:rPr>
          <w:sz w:val="16"/>
        </w:rPr>
        <w:t>(e) </w:t>
      </w:r>
      <w:r>
        <w:rPr>
          <w:i/>
          <w:sz w:val="17"/>
        </w:rPr>
        <w:t>"+"'Ps </w:t>
      </w:r>
      <w:r>
        <w:rPr>
          <w:sz w:val="23"/>
        </w:rPr>
        <w:t>= </w:t>
      </w:r>
      <w:r>
        <w:rPr>
          <w:sz w:val="16"/>
        </w:rPr>
        <w:t>•Ps ·</w:t>
      </w:r>
      <w:r>
        <w:rPr>
          <w:i/>
          <w:sz w:val="17"/>
        </w:rPr>
        <w:t>"'P"+" </w:t>
      </w:r>
      <w:r>
        <w:rPr>
          <w:w w:val="115"/>
          <w:sz w:val="17"/>
        </w:rPr>
        <w:t>·</w:t>
      </w:r>
    </w:p>
    <w:p>
      <w:pPr>
        <w:spacing w:line="164" w:lineRule="exact" w:before="0"/>
        <w:ind w:left="124" w:right="0" w:firstLine="0"/>
        <w:jc w:val="left"/>
        <w:rPr>
          <w:sz w:val="16"/>
        </w:rPr>
      </w:pPr>
      <w:r>
        <w:rPr>
          <w:w w:val="115"/>
          <w:sz w:val="16"/>
        </w:rPr>
        <w:t>Justify ea.ch one by general  reasoning.</w:t>
      </w:r>
    </w:p>
    <w:p>
      <w:pPr>
        <w:pStyle w:val="BodyText"/>
        <w:spacing w:before="3"/>
        <w:rPr>
          <w:sz w:val="15"/>
        </w:rPr>
      </w:pPr>
    </w:p>
    <w:p>
      <w:pPr>
        <w:spacing w:before="0"/>
        <w:ind w:left="114" w:right="0" w:firstLine="0"/>
        <w:jc w:val="left"/>
        <w:rPr>
          <w:b/>
          <w:sz w:val="16"/>
        </w:rPr>
      </w:pPr>
      <w:r>
        <w:rPr>
          <w:b/>
          <w:w w:val="125"/>
          <w:sz w:val="16"/>
        </w:rPr>
        <w:t>4. 1'he force of mortality</w:t>
      </w:r>
    </w:p>
    <w:p>
      <w:pPr>
        <w:spacing w:before="97"/>
        <w:ind w:left="283" w:right="0" w:firstLine="0"/>
        <w:jc w:val="left"/>
        <w:rPr>
          <w:sz w:val="16"/>
        </w:rPr>
      </w:pPr>
      <w:r>
        <w:rPr>
          <w:w w:val="110"/>
          <w:sz w:val="16"/>
        </w:rPr>
        <w:t>9.  Obtain  an  expression  for </w:t>
      </w:r>
      <w:r>
        <w:rPr>
          <w:w w:val="110"/>
          <w:sz w:val="12"/>
        </w:rPr>
        <w:t>/Jz  </w:t>
      </w:r>
      <w:r>
        <w:rPr>
          <w:w w:val="110"/>
          <w:sz w:val="16"/>
        </w:rPr>
        <w:t>if</w:t>
      </w:r>
    </w:p>
    <w:p>
      <w:pPr>
        <w:spacing w:before="102"/>
        <w:ind w:left="293" w:right="303" w:firstLine="0"/>
        <w:jc w:val="center"/>
        <w:rPr>
          <w:sz w:val="19"/>
        </w:rPr>
      </w:pPr>
      <w:r>
        <w:rPr>
          <w:i/>
          <w:sz w:val="17"/>
        </w:rPr>
        <w:t>lz  </w:t>
      </w:r>
      <w:r>
        <w:rPr>
          <w:sz w:val="19"/>
        </w:rPr>
        <w:t>=  </w:t>
      </w:r>
      <w:r>
        <w:rPr>
          <w:rFonts w:ascii="Arial"/>
          <w:i/>
          <w:sz w:val="19"/>
        </w:rPr>
        <w:t>k. "w</w:t>
      </w:r>
      <w:r>
        <w:rPr>
          <w:i/>
          <w:position w:val="9"/>
          <w:sz w:val="10"/>
        </w:rPr>
        <w:t>2</w:t>
      </w:r>
      <w:r>
        <w:rPr>
          <w:sz w:val="19"/>
        </w:rPr>
        <w:t>,rs.</w:t>
      </w:r>
    </w:p>
    <w:p>
      <w:pPr>
        <w:spacing w:line="252" w:lineRule="auto" w:before="133"/>
        <w:ind w:left="297" w:right="1628" w:hanging="159"/>
        <w:jc w:val="left"/>
        <w:rPr>
          <w:sz w:val="17"/>
        </w:rPr>
      </w:pPr>
      <w:r>
        <w:rPr>
          <w:w w:val="115"/>
          <w:sz w:val="16"/>
        </w:rPr>
        <w:t>Is formula (1.9) or (1.10) more convenient  in this case? 10.  Obtain  an expression  for </w:t>
      </w:r>
      <w:r>
        <w:rPr>
          <w:i/>
          <w:w w:val="115"/>
          <w:sz w:val="17"/>
        </w:rPr>
        <w:t>lz </w:t>
      </w:r>
      <w:r>
        <w:rPr>
          <w:w w:val="115"/>
          <w:sz w:val="17"/>
        </w:rPr>
        <w:t>if</w:t>
      </w:r>
    </w:p>
    <w:p>
      <w:pPr>
        <w:pStyle w:val="BodyText"/>
        <w:spacing w:before="2"/>
        <w:rPr>
          <w:sz w:val="9"/>
        </w:rPr>
      </w:pPr>
      <w:r>
        <w:rPr/>
        <w:drawing>
          <wp:anchor distT="0" distB="0" distL="0" distR="0" allowOverlap="1" layoutInCell="1" locked="0" behindDoc="0" simplePos="0" relativeHeight="2632">
            <wp:simplePos x="0" y="0"/>
            <wp:positionH relativeFrom="page">
              <wp:posOffset>1956816</wp:posOffset>
            </wp:positionH>
            <wp:positionV relativeFrom="paragraph">
              <wp:posOffset>91830</wp:posOffset>
            </wp:positionV>
            <wp:extent cx="704088" cy="237744"/>
            <wp:effectExtent l="0" t="0" r="0" b="0"/>
            <wp:wrapTopAndBottom/>
            <wp:docPr id="29" name="image18.png" descr=""/>
            <wp:cNvGraphicFramePr>
              <a:graphicFrameLocks noChangeAspect="1"/>
            </wp:cNvGraphicFramePr>
            <a:graphic>
              <a:graphicData uri="http://schemas.openxmlformats.org/drawingml/2006/picture">
                <pic:pic>
                  <pic:nvPicPr>
                    <pic:cNvPr id="30" name="image18.png"/>
                    <pic:cNvPicPr/>
                  </pic:nvPicPr>
                  <pic:blipFill>
                    <a:blip r:embed="rId22" cstate="print"/>
                    <a:stretch>
                      <a:fillRect/>
                    </a:stretch>
                  </pic:blipFill>
                  <pic:spPr>
                    <a:xfrm>
                      <a:off x="0" y="0"/>
                      <a:ext cx="704088" cy="237744"/>
                    </a:xfrm>
                    <a:prstGeom prst="rect">
                      <a:avLst/>
                    </a:prstGeom>
                  </pic:spPr>
                </pic:pic>
              </a:graphicData>
            </a:graphic>
          </wp:anchor>
        </w:drawing>
      </w:r>
    </w:p>
    <w:p>
      <w:pPr>
        <w:spacing w:after="0"/>
        <w:rPr>
          <w:sz w:val="9"/>
        </w:rPr>
        <w:sectPr>
          <w:type w:val="continuous"/>
          <w:pgSz w:w="7200" w:h="11340"/>
          <w:pgMar w:top="1100" w:bottom="0" w:left="660" w:right="520"/>
        </w:sectPr>
      </w:pPr>
    </w:p>
    <w:p>
      <w:pPr>
        <w:tabs>
          <w:tab w:pos="5890" w:val="right" w:leader="none"/>
        </w:tabs>
        <w:spacing w:before="51"/>
        <w:ind w:left="2527" w:right="0" w:firstLine="0"/>
        <w:jc w:val="left"/>
        <w:rPr>
          <w:rFonts w:ascii="Courier New"/>
          <w:sz w:val="22"/>
        </w:rPr>
      </w:pPr>
      <w:r>
        <w:rPr>
          <w:w w:val="110"/>
          <w:sz w:val="15"/>
        </w:rPr>
        <w:t>EXERCISES</w:t>
      </w:r>
      <w:r>
        <w:rPr>
          <w:rFonts w:ascii="Courier New"/>
          <w:w w:val="110"/>
          <w:sz w:val="22"/>
        </w:rPr>
        <w:tab/>
      </w:r>
      <w:r>
        <w:rPr>
          <w:rFonts w:ascii="Courier New"/>
          <w:spacing w:val="-19"/>
          <w:w w:val="110"/>
          <w:sz w:val="22"/>
        </w:rPr>
        <w:t>33</w:t>
      </w:r>
    </w:p>
    <w:p>
      <w:pPr>
        <w:pStyle w:val="BodyText"/>
        <w:spacing w:before="4"/>
        <w:rPr>
          <w:rFonts w:ascii="Courier New"/>
          <w:sz w:val="19"/>
        </w:rPr>
      </w:pPr>
    </w:p>
    <w:p>
      <w:pPr>
        <w:pStyle w:val="ListParagraph"/>
        <w:numPr>
          <w:ilvl w:val="0"/>
          <w:numId w:val="14"/>
        </w:numPr>
        <w:tabs>
          <w:tab w:pos="552" w:val="left" w:leader="none"/>
        </w:tabs>
        <w:spacing w:line="240" w:lineRule="auto" w:before="0" w:after="0"/>
        <w:ind w:left="551" w:right="0" w:hanging="285"/>
        <w:jc w:val="left"/>
        <w:rPr>
          <w:sz w:val="18"/>
        </w:rPr>
      </w:pPr>
      <w:r>
        <w:rPr>
          <w:w w:val="105"/>
          <w:sz w:val="18"/>
        </w:rPr>
        <w:t>Show</w:t>
      </w:r>
      <w:r>
        <w:rPr>
          <w:spacing w:val="19"/>
          <w:w w:val="105"/>
          <w:sz w:val="18"/>
        </w:rPr>
        <w:t> </w:t>
      </w:r>
      <w:r>
        <w:rPr>
          <w:w w:val="105"/>
          <w:sz w:val="18"/>
        </w:rPr>
        <w:t>that</w:t>
      </w:r>
    </w:p>
    <w:p>
      <w:pPr>
        <w:pStyle w:val="BodyText"/>
        <w:spacing w:before="10"/>
        <w:rPr>
          <w:sz w:val="13"/>
        </w:rPr>
      </w:pPr>
      <w:r>
        <w:rPr/>
        <w:drawing>
          <wp:anchor distT="0" distB="0" distL="0" distR="0" allowOverlap="1" layoutInCell="1" locked="0" behindDoc="0" simplePos="0" relativeHeight="2656">
            <wp:simplePos x="0" y="0"/>
            <wp:positionH relativeFrom="page">
              <wp:posOffset>694944</wp:posOffset>
            </wp:positionH>
            <wp:positionV relativeFrom="paragraph">
              <wp:posOffset>126152</wp:posOffset>
            </wp:positionV>
            <wp:extent cx="1316735" cy="310896"/>
            <wp:effectExtent l="0" t="0" r="0" b="0"/>
            <wp:wrapTopAndBottom/>
            <wp:docPr id="31" name="image19.png" descr=""/>
            <wp:cNvGraphicFramePr>
              <a:graphicFrameLocks noChangeAspect="1"/>
            </wp:cNvGraphicFramePr>
            <a:graphic>
              <a:graphicData uri="http://schemas.openxmlformats.org/drawingml/2006/picture">
                <pic:pic>
                  <pic:nvPicPr>
                    <pic:cNvPr id="32" name="image19.png"/>
                    <pic:cNvPicPr/>
                  </pic:nvPicPr>
                  <pic:blipFill>
                    <a:blip r:embed="rId23" cstate="print"/>
                    <a:stretch>
                      <a:fillRect/>
                    </a:stretch>
                  </pic:blipFill>
                  <pic:spPr>
                    <a:xfrm>
                      <a:off x="0" y="0"/>
                      <a:ext cx="1316735" cy="310896"/>
                    </a:xfrm>
                    <a:prstGeom prst="rect">
                      <a:avLst/>
                    </a:prstGeom>
                  </pic:spPr>
                </pic:pic>
              </a:graphicData>
            </a:graphic>
          </wp:anchor>
        </w:drawing>
      </w:r>
    </w:p>
    <w:p>
      <w:pPr>
        <w:spacing w:line="502" w:lineRule="exact" w:before="10"/>
        <w:ind w:left="428" w:right="0" w:firstLine="0"/>
        <w:jc w:val="left"/>
        <w:rPr>
          <w:rFonts w:ascii="Arial" w:hAnsi="Arial"/>
          <w:sz w:val="16"/>
        </w:rPr>
      </w:pPr>
      <w:r>
        <w:rPr>
          <w:rFonts w:ascii="Arial" w:hAnsi="Arial"/>
          <w:w w:val="109"/>
          <w:sz w:val="16"/>
        </w:rPr>
        <w:t>(</w:t>
      </w:r>
      <w:r>
        <w:rPr>
          <w:rFonts w:ascii="Arial" w:hAnsi="Arial"/>
          <w:w w:val="109"/>
          <w:sz w:val="16"/>
        </w:rPr>
        <w:t>b</w:t>
      </w:r>
      <w:r>
        <w:rPr>
          <w:rFonts w:ascii="Arial" w:hAnsi="Arial"/>
          <w:w w:val="109"/>
          <w:sz w:val="16"/>
        </w:rPr>
        <w:t>)</w:t>
      </w:r>
      <w:r>
        <w:rPr>
          <w:rFonts w:ascii="Arial" w:hAnsi="Arial"/>
          <w:sz w:val="16"/>
        </w:rPr>
        <w:t>   </w:t>
      </w:r>
      <w:r>
        <w:rPr>
          <w:rFonts w:ascii="Arial" w:hAnsi="Arial"/>
          <w:spacing w:val="-1"/>
          <w:sz w:val="16"/>
        </w:rPr>
        <w:t> </w:t>
      </w:r>
      <w:r>
        <w:rPr>
          <w:b/>
          <w:spacing w:val="-130"/>
          <w:w w:val="193"/>
          <w:sz w:val="44"/>
        </w:rPr>
        <w:t>¡</w:t>
      </w:r>
      <w:r>
        <w:rPr>
          <w:b/>
          <w:w w:val="34"/>
          <w:sz w:val="44"/>
        </w:rPr>
        <w:t>w-s</w:t>
      </w:r>
      <w:r>
        <w:rPr>
          <w:b/>
          <w:spacing w:val="-27"/>
          <w:sz w:val="44"/>
        </w:rPr>
        <w:t> </w:t>
      </w:r>
      <w:r>
        <w:rPr>
          <w:i/>
          <w:w w:val="252"/>
          <w:sz w:val="13"/>
        </w:rPr>
        <w:t>t</w:t>
      </w:r>
      <w:r>
        <w:rPr>
          <w:i/>
          <w:spacing w:val="-8"/>
          <w:w w:val="252"/>
          <w:sz w:val="13"/>
        </w:rPr>
        <w:t>P</w:t>
      </w:r>
      <w:r>
        <w:rPr>
          <w:i/>
          <w:spacing w:val="-6"/>
          <w:w w:val="385"/>
          <w:sz w:val="13"/>
        </w:rPr>
        <w:t>*</w:t>
      </w:r>
      <w:r>
        <w:rPr>
          <w:rFonts w:ascii="Arial" w:hAnsi="Arial"/>
          <w:i/>
          <w:w w:val="106"/>
          <w:sz w:val="16"/>
        </w:rPr>
        <w:t>dt</w:t>
      </w:r>
      <w:r>
        <w:rPr>
          <w:rFonts w:ascii="Arial" w:hAnsi="Arial"/>
          <w:i/>
          <w:sz w:val="16"/>
        </w:rPr>
        <w:t> </w:t>
      </w:r>
      <w:r>
        <w:rPr>
          <w:rFonts w:ascii="Arial" w:hAnsi="Arial"/>
          <w:i/>
          <w:spacing w:val="-5"/>
          <w:sz w:val="16"/>
        </w:rPr>
        <w:t> </w:t>
      </w:r>
      <w:r>
        <w:rPr>
          <w:w w:val="86"/>
          <w:sz w:val="23"/>
        </w:rPr>
        <w:t>=</w:t>
      </w:r>
      <w:r>
        <w:rPr>
          <w:sz w:val="23"/>
        </w:rPr>
        <w:t> </w:t>
      </w:r>
      <w:r>
        <w:rPr>
          <w:spacing w:val="-27"/>
          <w:sz w:val="23"/>
        </w:rPr>
        <w:t> </w:t>
      </w:r>
      <w:r>
        <w:rPr>
          <w:rFonts w:ascii="Arial" w:hAnsi="Arial"/>
          <w:spacing w:val="-45"/>
          <w:w w:val="142"/>
          <w:sz w:val="16"/>
        </w:rPr>
        <w:t>1</w:t>
      </w:r>
      <w:r>
        <w:rPr>
          <w:rFonts w:ascii="Arial" w:hAnsi="Arial"/>
          <w:w w:val="146"/>
          <w:sz w:val="16"/>
        </w:rPr>
        <w:t>,</w:t>
      </w:r>
    </w:p>
    <w:p>
      <w:pPr>
        <w:spacing w:line="165" w:lineRule="exact" w:before="0"/>
        <w:ind w:left="914" w:right="0" w:firstLine="0"/>
        <w:jc w:val="left"/>
        <w:rPr>
          <w:b/>
          <w:sz w:val="15"/>
        </w:rPr>
      </w:pPr>
      <w:r>
        <w:rPr>
          <w:b/>
          <w:w w:val="82"/>
          <w:sz w:val="15"/>
        </w:rPr>
        <w:t>o</w:t>
      </w:r>
    </w:p>
    <w:p>
      <w:pPr>
        <w:tabs>
          <w:tab w:pos="831" w:val="left" w:leader="none"/>
        </w:tabs>
        <w:spacing w:line="152" w:lineRule="exact" w:before="0"/>
        <w:ind w:left="439" w:right="0" w:firstLine="0"/>
        <w:jc w:val="left"/>
        <w:rPr>
          <w:rFonts w:ascii="Arial"/>
          <w:b/>
          <w:i/>
          <w:sz w:val="51"/>
        </w:rPr>
      </w:pPr>
      <w:r>
        <w:rPr>
          <w:sz w:val="16"/>
        </w:rPr>
        <w:t>(e)</w:t>
        <w:tab/>
      </w:r>
      <w:r>
        <w:rPr>
          <w:rFonts w:ascii="Arial"/>
          <w:b/>
          <w:i/>
          <w:w w:val="95"/>
          <w:sz w:val="51"/>
        </w:rPr>
        <w:t>f</w:t>
      </w:r>
    </w:p>
    <w:p>
      <w:pPr>
        <w:spacing w:line="95" w:lineRule="exact" w:before="0"/>
        <w:ind w:left="1001" w:right="0" w:firstLine="0"/>
        <w:jc w:val="left"/>
        <w:rPr>
          <w:sz w:val="11"/>
        </w:rPr>
      </w:pPr>
      <w:r>
        <w:rPr>
          <w:w w:val="135"/>
          <w:sz w:val="11"/>
        </w:rPr>
        <w:t>1</w:t>
      </w:r>
    </w:p>
    <w:p>
      <w:pPr>
        <w:spacing w:line="274" w:lineRule="exact" w:before="0"/>
        <w:ind w:left="1123" w:right="0" w:firstLine="0"/>
        <w:jc w:val="left"/>
        <w:rPr>
          <w:sz w:val="17"/>
        </w:rPr>
      </w:pPr>
      <w:r>
        <w:rPr>
          <w:i/>
          <w:sz w:val="11"/>
        </w:rPr>
        <w:t>VA.r+t   </w:t>
      </w:r>
      <w:r>
        <w:rPr>
          <w:rFonts w:ascii="Arial"/>
          <w:sz w:val="26"/>
        </w:rPr>
        <w:t>+ </w:t>
      </w:r>
      <w:r>
        <w:rPr>
          <w:rFonts w:ascii="Arial"/>
          <w:sz w:val="16"/>
        </w:rPr>
        <w:t>&amp;) </w:t>
      </w:r>
      <w:r>
        <w:rPr>
          <w:b/>
          <w:i/>
          <w:sz w:val="18"/>
        </w:rPr>
        <w:t>dt  </w:t>
      </w:r>
      <w:r>
        <w:rPr>
          <w:sz w:val="23"/>
        </w:rPr>
        <w:t>=  </w:t>
      </w:r>
      <w:r>
        <w:rPr>
          <w:b/>
          <w:w w:val="115"/>
          <w:sz w:val="17"/>
        </w:rPr>
        <w:t>-log </w:t>
      </w:r>
      <w:r>
        <w:rPr>
          <w:sz w:val="17"/>
        </w:rPr>
        <w:t>"Pz ,</w:t>
      </w:r>
    </w:p>
    <w:p>
      <w:pPr>
        <w:spacing w:line="175" w:lineRule="exact" w:before="0"/>
        <w:ind w:left="925" w:right="0" w:firstLine="0"/>
        <w:jc w:val="left"/>
        <w:rPr>
          <w:b/>
          <w:sz w:val="16"/>
        </w:rPr>
      </w:pPr>
      <w:r>
        <w:rPr>
          <w:b/>
          <w:w w:val="77"/>
          <w:sz w:val="16"/>
        </w:rPr>
        <w:t>o</w:t>
      </w:r>
    </w:p>
    <w:p>
      <w:pPr>
        <w:pStyle w:val="BodyText"/>
        <w:spacing w:before="5"/>
        <w:rPr>
          <w:b/>
          <w:sz w:val="14"/>
        </w:rPr>
      </w:pPr>
    </w:p>
    <w:p>
      <w:pPr>
        <w:spacing w:line="636" w:lineRule="auto" w:before="0"/>
        <w:ind w:left="439" w:right="2956" w:firstLine="151"/>
        <w:jc w:val="left"/>
        <w:rPr>
          <w:sz w:val="17"/>
        </w:rPr>
      </w:pPr>
      <w:r>
        <w:rPr/>
        <w:drawing>
          <wp:anchor distT="0" distB="0" distL="0" distR="0" allowOverlap="1" layoutInCell="1" locked="0" behindDoc="1" simplePos="0" relativeHeight="267702095">
            <wp:simplePos x="0" y="0"/>
            <wp:positionH relativeFrom="page">
              <wp:posOffset>950975</wp:posOffset>
            </wp:positionH>
            <wp:positionV relativeFrom="paragraph">
              <wp:posOffset>283661</wp:posOffset>
            </wp:positionV>
            <wp:extent cx="1133856" cy="237744"/>
            <wp:effectExtent l="0" t="0" r="0" b="0"/>
            <wp:wrapNone/>
            <wp:docPr id="33" name="image20.png" descr=""/>
            <wp:cNvGraphicFramePr>
              <a:graphicFrameLocks noChangeAspect="1"/>
            </wp:cNvGraphicFramePr>
            <a:graphic>
              <a:graphicData uri="http://schemas.openxmlformats.org/drawingml/2006/picture">
                <pic:pic>
                  <pic:nvPicPr>
                    <pic:cNvPr id="34" name="image20.png"/>
                    <pic:cNvPicPr/>
                  </pic:nvPicPr>
                  <pic:blipFill>
                    <a:blip r:embed="rId24" cstate="print"/>
                    <a:stretch>
                      <a:fillRect/>
                    </a:stretch>
                  </pic:blipFill>
                  <pic:spPr>
                    <a:xfrm>
                      <a:off x="0" y="0"/>
                      <a:ext cx="1133856" cy="237744"/>
                    </a:xfrm>
                    <a:prstGeom prst="rect">
                      <a:avLst/>
                    </a:prstGeom>
                  </pic:spPr>
                </pic:pic>
              </a:graphicData>
            </a:graphic>
          </wp:anchor>
        </w:drawing>
      </w:r>
      <w:r>
        <w:rPr>
          <w:w w:val="105"/>
          <w:sz w:val="17"/>
        </w:rPr>
        <w:t>where </w:t>
      </w:r>
      <w:r>
        <w:rPr>
          <w:rFonts w:ascii="Arial"/>
          <w:i/>
          <w:w w:val="105"/>
          <w:sz w:val="14"/>
        </w:rPr>
        <w:t>&amp; </w:t>
      </w:r>
      <w:r>
        <w:rPr>
          <w:w w:val="105"/>
          <w:sz w:val="17"/>
        </w:rPr>
        <w:t>is the force of interest., (d)</w:t>
      </w:r>
    </w:p>
    <w:p>
      <w:pPr>
        <w:spacing w:line="209" w:lineRule="exact" w:before="44"/>
        <w:ind w:left="846" w:right="0" w:firstLine="0"/>
        <w:jc w:val="left"/>
        <w:rPr>
          <w:sz w:val="24"/>
        </w:rPr>
      </w:pPr>
      <w:r>
        <w:rPr>
          <w:w w:val="74"/>
          <w:sz w:val="24"/>
        </w:rPr>
        <w:t>a</w:t>
      </w:r>
    </w:p>
    <w:p>
      <w:pPr>
        <w:spacing w:line="209" w:lineRule="exact" w:before="0"/>
        <w:ind w:left="446" w:right="0" w:firstLine="0"/>
        <w:jc w:val="left"/>
        <w:rPr>
          <w:sz w:val="13"/>
        </w:rPr>
      </w:pPr>
      <w:r>
        <w:rPr>
          <w:w w:val="110"/>
          <w:position w:val="3"/>
          <w:sz w:val="16"/>
        </w:rPr>
        <w:t>(e)    </w:t>
      </w:r>
      <w:r>
        <w:rPr>
          <w:rFonts w:ascii="Arial" w:hAnsi="Arial"/>
          <w:i/>
          <w:w w:val="90"/>
          <w:sz w:val="24"/>
        </w:rPr>
        <w:t>aL </w:t>
      </w:r>
      <w:r>
        <w:rPr>
          <w:i/>
          <w:w w:val="90"/>
          <w:sz w:val="13"/>
        </w:rPr>
        <w:t>tP.r  </w:t>
      </w:r>
      <w:r>
        <w:rPr>
          <w:w w:val="90"/>
          <w:sz w:val="23"/>
        </w:rPr>
        <w:t>= </w:t>
      </w:r>
      <w:r>
        <w:rPr>
          <w:i/>
          <w:w w:val="110"/>
          <w:sz w:val="13"/>
        </w:rPr>
        <w:t>-iP.rl'z+I </w:t>
      </w:r>
      <w:r>
        <w:rPr>
          <w:w w:val="90"/>
          <w:sz w:val="13"/>
        </w:rPr>
        <w:t>•</w:t>
      </w:r>
    </w:p>
    <w:p>
      <w:pPr>
        <w:pStyle w:val="BodyText"/>
        <w:rPr>
          <w:sz w:val="25"/>
        </w:rPr>
      </w:pPr>
    </w:p>
    <w:p>
      <w:pPr>
        <w:pStyle w:val="ListParagraph"/>
        <w:numPr>
          <w:ilvl w:val="0"/>
          <w:numId w:val="14"/>
        </w:numPr>
        <w:tabs>
          <w:tab w:pos="566" w:val="left" w:leader="none"/>
        </w:tabs>
        <w:spacing w:line="240" w:lineRule="auto" w:before="79" w:after="0"/>
        <w:ind w:left="565" w:right="0" w:hanging="284"/>
        <w:jc w:val="left"/>
        <w:rPr>
          <w:sz w:val="17"/>
        </w:rPr>
      </w:pPr>
      <w:r>
        <w:rPr>
          <w:w w:val="105"/>
          <w:sz w:val="17"/>
        </w:rPr>
        <w:t>A life aged 40 is subject  to an extra hazard  during the year of  age 40 </w:t>
      </w:r>
      <w:r>
        <w:rPr>
          <w:spacing w:val="42"/>
          <w:w w:val="105"/>
          <w:sz w:val="17"/>
        </w:rPr>
        <w:t> </w:t>
      </w:r>
      <w:r>
        <w:rPr>
          <w:w w:val="105"/>
          <w:sz w:val="17"/>
        </w:rPr>
        <w:t>to</w:t>
      </w:r>
    </w:p>
    <w:p>
      <w:pPr>
        <w:spacing w:line="242" w:lineRule="auto" w:before="9"/>
        <w:ind w:left="115" w:right="136" w:firstLine="0"/>
        <w:jc w:val="both"/>
        <w:rPr>
          <w:rFonts w:ascii="Arial"/>
          <w:sz w:val="15"/>
        </w:rPr>
      </w:pPr>
      <w:r>
        <w:rPr>
          <w:rFonts w:ascii="Arial"/>
          <w:w w:val="105"/>
          <w:sz w:val="15"/>
        </w:rPr>
        <w:t>41. </w:t>
      </w:r>
      <w:r>
        <w:rPr>
          <w:w w:val="105"/>
          <w:sz w:val="17"/>
        </w:rPr>
        <w:t>lf the normal probability of survival from age 40 to 41 is .992 and if the  extra risk may be expressed by an addition to the normal force of mortality which decreases uniformly from </w:t>
      </w:r>
      <w:r>
        <w:rPr>
          <w:w w:val="105"/>
          <w:sz w:val="18"/>
        </w:rPr>
        <w:t>.06 </w:t>
      </w:r>
      <w:r>
        <w:rPr>
          <w:w w:val="105"/>
          <w:sz w:val="17"/>
        </w:rPr>
        <w:t>at the beginning of  the year  to </w:t>
      </w:r>
      <w:r>
        <w:rPr>
          <w:sz w:val="18"/>
        </w:rPr>
        <w:t>O </w:t>
      </w:r>
      <w:r>
        <w:rPr>
          <w:w w:val="105"/>
          <w:sz w:val="17"/>
        </w:rPr>
        <w:t>at the end  of  the  year,  find  the  probability  that  the life will  not  survive to age</w:t>
      </w:r>
      <w:r>
        <w:rPr>
          <w:spacing w:val="-10"/>
          <w:w w:val="105"/>
          <w:sz w:val="17"/>
        </w:rPr>
        <w:t> </w:t>
      </w:r>
      <w:r>
        <w:rPr>
          <w:rFonts w:ascii="Arial"/>
          <w:w w:val="105"/>
          <w:sz w:val="15"/>
        </w:rPr>
        <w:t>41.</w:t>
      </w:r>
    </w:p>
    <w:p>
      <w:pPr>
        <w:pStyle w:val="BodyText"/>
        <w:spacing w:before="9"/>
        <w:rPr>
          <w:rFonts w:ascii="Arial"/>
        </w:rPr>
      </w:pPr>
    </w:p>
    <w:p>
      <w:pPr>
        <w:spacing w:before="0"/>
        <w:ind w:left="119" w:right="0" w:firstLine="0"/>
        <w:jc w:val="both"/>
        <w:rPr>
          <w:b/>
          <w:sz w:val="16"/>
        </w:rPr>
      </w:pPr>
      <w:r>
        <w:rPr>
          <w:b/>
          <w:w w:val="115"/>
          <w:sz w:val="18"/>
        </w:rPr>
        <w:t>S.  </w:t>
      </w:r>
      <w:r>
        <w:rPr>
          <w:b/>
          <w:w w:val="115"/>
          <w:sz w:val="16"/>
        </w:rPr>
        <w:t>Estim.ation   of  </w:t>
      </w:r>
      <w:r>
        <w:rPr>
          <w:w w:val="115"/>
          <w:sz w:val="13"/>
        </w:rPr>
        <w:t>l'z   </w:t>
      </w:r>
      <w:r>
        <w:rPr>
          <w:b/>
          <w:w w:val="115"/>
          <w:sz w:val="16"/>
        </w:rPr>
        <w:t>from  the  mortality  table</w:t>
      </w:r>
    </w:p>
    <w:p>
      <w:pPr>
        <w:tabs>
          <w:tab w:pos="5101" w:val="left" w:leader="none"/>
        </w:tabs>
        <w:spacing w:line="202" w:lineRule="exact" w:before="116"/>
        <w:ind w:left="122" w:right="124" w:firstLine="158"/>
        <w:jc w:val="both"/>
        <w:rPr>
          <w:rFonts w:ascii="Arial" w:hAnsi="Arial"/>
          <w:sz w:val="12"/>
        </w:rPr>
      </w:pPr>
      <w:r>
        <w:rPr/>
        <w:pict>
          <v:line style="position:absolute;mso-position-horizontal-relative:page;mso-position-vertical-relative:paragraph;z-index:-733336" from="146.520004pt,14.149996pt" to="149.760004pt,14.149996pt" stroked="true" strokeweight=".54pt" strokecolor="#000000">
            <w10:wrap type="none"/>
          </v:line>
        </w:pict>
      </w:r>
      <w:r>
        <w:rPr>
          <w:spacing w:val="-15"/>
          <w:w w:val="105"/>
          <w:sz w:val="18"/>
        </w:rPr>
        <w:t>13. </w:t>
      </w:r>
      <w:r>
        <w:rPr>
          <w:w w:val="105"/>
          <w:sz w:val="17"/>
        </w:rPr>
        <w:t>If </w:t>
      </w:r>
      <w:r>
        <w:rPr>
          <w:w w:val="90"/>
          <w:sz w:val="18"/>
        </w:rPr>
        <w:t>Zs </w:t>
      </w:r>
      <w:r>
        <w:rPr>
          <w:w w:val="105"/>
          <w:sz w:val="19"/>
        </w:rPr>
        <w:t>= </w:t>
      </w:r>
      <w:r>
        <w:rPr>
          <w:w w:val="105"/>
          <w:sz w:val="17"/>
        </w:rPr>
        <w:t>lOOOylOO </w:t>
      </w:r>
      <w:r>
        <w:rPr>
          <w:w w:val="245"/>
          <w:sz w:val="17"/>
        </w:rPr>
        <w:t>- </w:t>
      </w:r>
      <w:r>
        <w:rPr>
          <w:w w:val="90"/>
          <w:sz w:val="17"/>
        </w:rPr>
        <w:t>:z:, </w:t>
      </w:r>
      <w:r>
        <w:rPr>
          <w:w w:val="105"/>
          <w:sz w:val="17"/>
        </w:rPr>
        <w:t>compute </w:t>
      </w:r>
      <w:r>
        <w:rPr>
          <w:rFonts w:ascii="Arial" w:hAnsi="Arial"/>
          <w:i/>
          <w:w w:val="145"/>
          <w:sz w:val="12"/>
        </w:rPr>
        <w:t>µu </w:t>
      </w:r>
      <w:r>
        <w:rPr>
          <w:w w:val="105"/>
          <w:sz w:val="17"/>
        </w:rPr>
        <w:t>exactly and compare  with  the value  given  </w:t>
      </w:r>
      <w:r>
        <w:rPr>
          <w:w w:val="105"/>
          <w:sz w:val="16"/>
        </w:rPr>
        <w:t>by</w:t>
      </w:r>
      <w:r>
        <w:rPr>
          <w:spacing w:val="9"/>
          <w:w w:val="105"/>
          <w:sz w:val="16"/>
        </w:rPr>
        <w:t> </w:t>
      </w:r>
      <w:r>
        <w:rPr>
          <w:w w:val="105"/>
          <w:sz w:val="17"/>
        </w:rPr>
        <w:t>formula </w:t>
      </w:r>
      <w:r>
        <w:rPr>
          <w:spacing w:val="12"/>
          <w:w w:val="105"/>
          <w:sz w:val="17"/>
        </w:rPr>
        <w:t> </w:t>
      </w:r>
      <w:r>
        <w:rPr>
          <w:w w:val="105"/>
          <w:sz w:val="16"/>
        </w:rPr>
        <w:t>(1.20).</w:t>
        <w:tab/>
      </w:r>
      <w:r>
        <w:rPr>
          <w:b/>
          <w:w w:val="105"/>
          <w:sz w:val="17"/>
        </w:rPr>
        <w:t>(Ans. </w:t>
      </w:r>
      <w:r>
        <w:rPr>
          <w:b/>
          <w:spacing w:val="7"/>
          <w:w w:val="105"/>
          <w:sz w:val="17"/>
        </w:rPr>
        <w:t> </w:t>
      </w:r>
      <w:r>
        <w:rPr>
          <w:w w:val="145"/>
          <w:sz w:val="21"/>
        </w:rPr>
        <w:t>J</w:t>
      </w:r>
      <w:r>
        <w:rPr>
          <w:rFonts w:ascii="Arial" w:hAnsi="Arial"/>
          <w:w w:val="145"/>
          <w:position w:val="-2"/>
          <w:sz w:val="12"/>
        </w:rPr>
        <w:t>8</w:t>
      </w:r>
      <w:r>
        <w:rPr>
          <w:rFonts w:ascii="Arial" w:hAnsi="Arial"/>
          <w:w w:val="145"/>
          <w:sz w:val="12"/>
        </w:rPr>
        <w:t>)</w:t>
      </w:r>
    </w:p>
    <w:p>
      <w:pPr>
        <w:spacing w:before="2"/>
        <w:ind w:left="284" w:right="0" w:firstLine="0"/>
        <w:jc w:val="left"/>
        <w:rPr>
          <w:sz w:val="17"/>
        </w:rPr>
      </w:pPr>
      <w:r>
        <w:rPr>
          <w:rFonts w:ascii="Arial"/>
          <w:b/>
          <w:w w:val="110"/>
          <w:sz w:val="14"/>
        </w:rPr>
        <w:t>14.   </w:t>
      </w:r>
      <w:r>
        <w:rPr>
          <w:w w:val="110"/>
          <w:sz w:val="17"/>
        </w:rPr>
        <w:t>Show that  (1.21)  can be written  as</w:t>
      </w:r>
    </w:p>
    <w:p>
      <w:pPr>
        <w:pStyle w:val="BodyText"/>
        <w:spacing w:before="5"/>
        <w:rPr>
          <w:sz w:val="18"/>
        </w:rPr>
      </w:pPr>
      <w:r>
        <w:rPr/>
        <w:drawing>
          <wp:anchor distT="0" distB="0" distL="0" distR="0" allowOverlap="1" layoutInCell="1" locked="0" behindDoc="0" simplePos="0" relativeHeight="2680">
            <wp:simplePos x="0" y="0"/>
            <wp:positionH relativeFrom="page">
              <wp:posOffset>1472183</wp:posOffset>
            </wp:positionH>
            <wp:positionV relativeFrom="paragraph">
              <wp:posOffset>159529</wp:posOffset>
            </wp:positionV>
            <wp:extent cx="1664208" cy="265175"/>
            <wp:effectExtent l="0" t="0" r="0" b="0"/>
            <wp:wrapTopAndBottom/>
            <wp:docPr id="35" name="image21.png" descr=""/>
            <wp:cNvGraphicFramePr>
              <a:graphicFrameLocks noChangeAspect="1"/>
            </wp:cNvGraphicFramePr>
            <a:graphic>
              <a:graphicData uri="http://schemas.openxmlformats.org/drawingml/2006/picture">
                <pic:pic>
                  <pic:nvPicPr>
                    <pic:cNvPr id="36" name="image21.png"/>
                    <pic:cNvPicPr/>
                  </pic:nvPicPr>
                  <pic:blipFill>
                    <a:blip r:embed="rId25" cstate="print"/>
                    <a:stretch>
                      <a:fillRect/>
                    </a:stretch>
                  </pic:blipFill>
                  <pic:spPr>
                    <a:xfrm>
                      <a:off x="0" y="0"/>
                      <a:ext cx="1664208" cy="265175"/>
                    </a:xfrm>
                    <a:prstGeom prst="rect">
                      <a:avLst/>
                    </a:prstGeom>
                  </pic:spPr>
                </pic:pic>
              </a:graphicData>
            </a:graphic>
          </wp:anchor>
        </w:drawing>
      </w:r>
    </w:p>
    <w:p>
      <w:pPr>
        <w:pStyle w:val="BodyText"/>
        <w:spacing w:before="1"/>
        <w:rPr>
          <w:sz w:val="23"/>
        </w:rPr>
      </w:pPr>
    </w:p>
    <w:p>
      <w:pPr>
        <w:spacing w:line="242" w:lineRule="auto" w:before="0"/>
        <w:ind w:left="122" w:right="123" w:firstLine="169"/>
        <w:jc w:val="both"/>
        <w:rPr>
          <w:sz w:val="17"/>
        </w:rPr>
      </w:pPr>
      <w:r>
        <w:rPr>
          <w:spacing w:val="-12"/>
          <w:w w:val="115"/>
          <w:sz w:val="17"/>
        </w:rPr>
        <w:t>15. </w:t>
      </w:r>
      <w:r>
        <w:rPr>
          <w:w w:val="115"/>
          <w:sz w:val="17"/>
        </w:rPr>
        <w:t>Would you expect (1.22) to produce a satisfactory value for </w:t>
      </w:r>
      <w:r>
        <w:rPr>
          <w:i/>
          <w:spacing w:val="5"/>
          <w:w w:val="115"/>
          <w:sz w:val="13"/>
        </w:rPr>
        <w:t>µ</w:t>
      </w:r>
      <w:r>
        <w:rPr>
          <w:rFonts w:ascii="Arial" w:hAnsi="Arial"/>
          <w:i/>
          <w:spacing w:val="5"/>
          <w:w w:val="115"/>
          <w:position w:val="-1"/>
          <w:sz w:val="10"/>
        </w:rPr>
        <w:t>0 </w:t>
      </w:r>
      <w:r>
        <w:rPr>
          <w:w w:val="115"/>
          <w:sz w:val="15"/>
        </w:rPr>
        <w:t>? </w:t>
      </w:r>
      <w:r>
        <w:rPr>
          <w:w w:val="115"/>
          <w:sz w:val="17"/>
        </w:rPr>
        <w:t>Ex­ plain.</w:t>
      </w:r>
      <w:r>
        <w:rPr>
          <w:spacing w:val="-12"/>
          <w:w w:val="115"/>
          <w:sz w:val="17"/>
        </w:rPr>
        <w:t> </w:t>
      </w:r>
      <w:r>
        <w:rPr>
          <w:w w:val="115"/>
          <w:sz w:val="17"/>
        </w:rPr>
        <w:t>What</w:t>
      </w:r>
      <w:r>
        <w:rPr>
          <w:spacing w:val="-3"/>
          <w:w w:val="115"/>
          <w:sz w:val="17"/>
        </w:rPr>
        <w:t> </w:t>
      </w:r>
      <w:r>
        <w:rPr>
          <w:w w:val="115"/>
          <w:sz w:val="17"/>
        </w:rPr>
        <w:t>additional</w:t>
      </w:r>
      <w:r>
        <w:rPr>
          <w:spacing w:val="6"/>
          <w:w w:val="115"/>
          <w:sz w:val="17"/>
        </w:rPr>
        <w:t> </w:t>
      </w:r>
      <w:r>
        <w:rPr>
          <w:w w:val="115"/>
          <w:sz w:val="17"/>
        </w:rPr>
        <w:t>data</w:t>
      </w:r>
      <w:r>
        <w:rPr>
          <w:spacing w:val="-8"/>
          <w:w w:val="115"/>
          <w:sz w:val="17"/>
        </w:rPr>
        <w:t> </w:t>
      </w:r>
      <w:r>
        <w:rPr>
          <w:w w:val="115"/>
          <w:sz w:val="17"/>
        </w:rPr>
        <w:t>would</w:t>
      </w:r>
      <w:r>
        <w:rPr>
          <w:spacing w:val="3"/>
          <w:w w:val="115"/>
          <w:sz w:val="17"/>
        </w:rPr>
        <w:t> </w:t>
      </w:r>
      <w:r>
        <w:rPr>
          <w:w w:val="115"/>
          <w:sz w:val="17"/>
        </w:rPr>
        <w:t>you require</w:t>
      </w:r>
      <w:r>
        <w:rPr>
          <w:spacing w:val="-6"/>
          <w:w w:val="115"/>
          <w:sz w:val="17"/>
        </w:rPr>
        <w:t> </w:t>
      </w:r>
      <w:r>
        <w:rPr>
          <w:w w:val="115"/>
          <w:sz w:val="17"/>
        </w:rPr>
        <w:t>in</w:t>
      </w:r>
      <w:r>
        <w:rPr>
          <w:spacing w:val="-9"/>
          <w:w w:val="115"/>
          <w:sz w:val="17"/>
        </w:rPr>
        <w:t> </w:t>
      </w:r>
      <w:r>
        <w:rPr>
          <w:w w:val="115"/>
          <w:sz w:val="17"/>
        </w:rPr>
        <w:t>order</w:t>
      </w:r>
      <w:r>
        <w:rPr>
          <w:spacing w:val="-6"/>
          <w:w w:val="115"/>
          <w:sz w:val="17"/>
        </w:rPr>
        <w:t> </w:t>
      </w:r>
      <w:r>
        <w:rPr>
          <w:w w:val="115"/>
          <w:sz w:val="17"/>
        </w:rPr>
        <w:t>to</w:t>
      </w:r>
      <w:r>
        <w:rPr>
          <w:spacing w:val="-9"/>
          <w:w w:val="115"/>
          <w:sz w:val="17"/>
        </w:rPr>
        <w:t> </w:t>
      </w:r>
      <w:r>
        <w:rPr>
          <w:w w:val="115"/>
          <w:sz w:val="17"/>
        </w:rPr>
        <w:t>produce</w:t>
      </w:r>
      <w:r>
        <w:rPr>
          <w:spacing w:val="2"/>
          <w:w w:val="115"/>
          <w:sz w:val="17"/>
        </w:rPr>
        <w:t> </w:t>
      </w:r>
      <w:r>
        <w:rPr>
          <w:w w:val="115"/>
          <w:sz w:val="17"/>
        </w:rPr>
        <w:t>a</w:t>
      </w:r>
      <w:r>
        <w:rPr>
          <w:spacing w:val="-11"/>
          <w:w w:val="115"/>
          <w:sz w:val="17"/>
        </w:rPr>
        <w:t> </w:t>
      </w:r>
      <w:r>
        <w:rPr>
          <w:w w:val="115"/>
          <w:sz w:val="17"/>
        </w:rPr>
        <w:t>better estimate?</w:t>
      </w:r>
    </w:p>
    <w:p>
      <w:pPr>
        <w:pStyle w:val="BodyText"/>
        <w:spacing w:before="3"/>
        <w:rPr>
          <w:sz w:val="15"/>
        </w:rPr>
      </w:pPr>
    </w:p>
    <w:p>
      <w:pPr>
        <w:pStyle w:val="ListParagraph"/>
        <w:numPr>
          <w:ilvl w:val="0"/>
          <w:numId w:val="15"/>
        </w:numPr>
        <w:tabs>
          <w:tab w:pos="318" w:val="left" w:leader="none"/>
        </w:tabs>
        <w:spacing w:line="240" w:lineRule="auto" w:before="0" w:after="0"/>
        <w:ind w:left="317" w:right="0" w:hanging="198"/>
        <w:jc w:val="both"/>
        <w:rPr>
          <w:b/>
          <w:sz w:val="16"/>
        </w:rPr>
      </w:pPr>
      <w:r>
        <w:rPr>
          <w:b/>
          <w:w w:val="125"/>
          <w:sz w:val="16"/>
        </w:rPr>
        <w:t>Methods  for  fractional</w:t>
      </w:r>
      <w:r>
        <w:rPr>
          <w:b/>
          <w:spacing w:val="7"/>
          <w:w w:val="125"/>
          <w:sz w:val="16"/>
        </w:rPr>
        <w:t> </w:t>
      </w:r>
      <w:r>
        <w:rPr>
          <w:b/>
          <w:w w:val="125"/>
          <w:sz w:val="16"/>
        </w:rPr>
        <w:t>ages</w:t>
      </w:r>
    </w:p>
    <w:p>
      <w:pPr>
        <w:pStyle w:val="ListParagraph"/>
        <w:numPr>
          <w:ilvl w:val="1"/>
          <w:numId w:val="15"/>
        </w:numPr>
        <w:tabs>
          <w:tab w:pos="573" w:val="left" w:leader="none"/>
        </w:tabs>
        <w:spacing w:line="198" w:lineRule="exact" w:before="80" w:after="0"/>
        <w:ind w:left="126" w:right="127" w:firstLine="169"/>
        <w:jc w:val="both"/>
        <w:rPr>
          <w:sz w:val="17"/>
        </w:rPr>
      </w:pPr>
      <w:r>
        <w:rPr>
          <w:w w:val="110"/>
          <w:sz w:val="17"/>
        </w:rPr>
        <w:t>The table below gives expressions for various mortality functions on the basis of two different assumptions. Verify the expressions in the table, assuming </w:t>
      </w:r>
      <w:r>
        <w:rPr>
          <w:sz w:val="17"/>
        </w:rPr>
        <w:t>O  </w:t>
      </w:r>
      <w:r>
        <w:rPr>
          <w:rFonts w:ascii="Arial"/>
          <w:w w:val="110"/>
          <w:sz w:val="21"/>
        </w:rPr>
        <w:t>&lt; </w:t>
      </w:r>
      <w:r>
        <w:rPr>
          <w:i/>
          <w:sz w:val="18"/>
        </w:rPr>
        <w:t>t  </w:t>
      </w:r>
      <w:r>
        <w:rPr>
          <w:rFonts w:ascii="Arial"/>
          <w:w w:val="110"/>
          <w:sz w:val="21"/>
        </w:rPr>
        <w:t>&lt;</w:t>
      </w:r>
      <w:r>
        <w:rPr>
          <w:rFonts w:ascii="Arial"/>
          <w:spacing w:val="-7"/>
          <w:w w:val="110"/>
          <w:sz w:val="21"/>
        </w:rPr>
        <w:t> </w:t>
      </w:r>
      <w:r>
        <w:rPr>
          <w:w w:val="130"/>
          <w:sz w:val="16"/>
        </w:rPr>
        <w:t>l.</w:t>
      </w:r>
    </w:p>
    <w:p>
      <w:pPr>
        <w:spacing w:after="0" w:line="198" w:lineRule="exact"/>
        <w:jc w:val="both"/>
        <w:rPr>
          <w:sz w:val="17"/>
        </w:rPr>
        <w:sectPr>
          <w:pgSz w:w="7200" w:h="11340"/>
          <w:pgMar w:top="500" w:bottom="280" w:left="680" w:right="520"/>
        </w:sectPr>
      </w:pPr>
    </w:p>
    <w:p>
      <w:pPr>
        <w:tabs>
          <w:tab w:pos="1479" w:val="left" w:leader="none"/>
          <w:tab w:pos="5351" w:val="left" w:leader="none"/>
        </w:tabs>
        <w:spacing w:before="64"/>
        <w:ind w:left="126" w:right="0" w:firstLine="0"/>
        <w:jc w:val="left"/>
        <w:rPr>
          <w:sz w:val="20"/>
        </w:rPr>
      </w:pPr>
      <w:r>
        <w:rPr>
          <w:rFonts w:ascii="Arial"/>
          <w:color w:val="010101"/>
          <w:w w:val="110"/>
          <w:sz w:val="18"/>
        </w:rPr>
        <w:t>34</w:t>
        <w:tab/>
      </w:r>
      <w:r>
        <w:rPr>
          <w:rFonts w:ascii="Arial"/>
          <w:color w:val="010101"/>
          <w:w w:val="110"/>
          <w:sz w:val="14"/>
        </w:rPr>
        <w:t>THE   MEASUREMENT   OF</w:t>
      </w:r>
      <w:r>
        <w:rPr>
          <w:rFonts w:ascii="Arial"/>
          <w:color w:val="010101"/>
          <w:spacing w:val="36"/>
          <w:w w:val="110"/>
          <w:sz w:val="14"/>
        </w:rPr>
        <w:t> </w:t>
      </w:r>
      <w:r>
        <w:rPr>
          <w:rFonts w:ascii="Arial"/>
          <w:color w:val="010101"/>
          <w:w w:val="110"/>
          <w:sz w:val="14"/>
        </w:rPr>
        <w:t>MORTAL</w:t>
      </w:r>
      <w:r>
        <w:rPr>
          <w:rFonts w:ascii="Arial"/>
          <w:color w:val="010101"/>
          <w:spacing w:val="28"/>
          <w:w w:val="110"/>
          <w:sz w:val="14"/>
        </w:rPr>
        <w:t> </w:t>
      </w:r>
      <w:r>
        <w:rPr>
          <w:rFonts w:ascii="Arial"/>
          <w:color w:val="010101"/>
          <w:w w:val="110"/>
          <w:sz w:val="14"/>
        </w:rPr>
        <w:t>TY</w:t>
        <w:tab/>
      </w:r>
      <w:r>
        <w:rPr>
          <w:color w:val="010101"/>
          <w:position w:val="1"/>
          <w:sz w:val="20"/>
        </w:rPr>
        <w:t>[CH.</w:t>
      </w:r>
      <w:r>
        <w:rPr>
          <w:color w:val="010101"/>
          <w:spacing w:val="-8"/>
          <w:position w:val="1"/>
          <w:sz w:val="20"/>
        </w:rPr>
        <w:t> </w:t>
      </w:r>
      <w:r>
        <w:rPr>
          <w:color w:val="010101"/>
          <w:position w:val="1"/>
          <w:sz w:val="20"/>
        </w:rPr>
        <w:t>1</w:t>
      </w:r>
    </w:p>
    <w:p>
      <w:pPr>
        <w:pStyle w:val="BodyText"/>
        <w:spacing w:before="11"/>
        <w:rPr>
          <w:sz w:val="12"/>
        </w:rPr>
      </w:pPr>
    </w:p>
    <w:p>
      <w:pPr>
        <w:tabs>
          <w:tab w:pos="3977" w:val="left" w:leader="none"/>
        </w:tabs>
        <w:spacing w:before="143"/>
        <w:ind w:left="2258" w:right="0" w:firstLine="0"/>
        <w:jc w:val="left"/>
        <w:rPr>
          <w:sz w:val="17"/>
        </w:rPr>
      </w:pPr>
      <w:r>
        <w:rPr/>
        <w:pict>
          <v:shape style="position:absolute;margin-left:138.544403pt;margin-top:5.009917pt;width:67.95pt;height:8.5pt;mso-position-horizontal-relative:page;mso-position-vertical-relative:paragraph;z-index:-733168" type="#_x0000_t202" filled="false" stroked="false">
            <v:textbox inset="0,0,0,0">
              <w:txbxContent>
                <w:p>
                  <w:pPr>
                    <w:spacing w:line="170" w:lineRule="exact" w:before="0"/>
                    <w:ind w:left="0" w:right="0" w:firstLine="0"/>
                    <w:jc w:val="left"/>
                    <w:rPr>
                      <w:sz w:val="17"/>
                    </w:rPr>
                  </w:pPr>
                  <w:r>
                    <w:rPr>
                      <w:color w:val="010101"/>
                      <w:w w:val="110"/>
                      <w:sz w:val="17"/>
                    </w:rPr>
                    <w:t>Uniform distribu­</w:t>
                  </w:r>
                </w:p>
              </w:txbxContent>
            </v:textbox>
            <w10:wrap type="none"/>
          </v:shape>
        </w:pict>
      </w:r>
      <w:r>
        <w:rPr>
          <w:color w:val="010101"/>
          <w:w w:val="105"/>
          <w:position w:val="-8"/>
          <w:sz w:val="17"/>
          <w:u w:val="single" w:color="000000"/>
        </w:rPr>
        <w:t>tion </w:t>
      </w:r>
      <w:r>
        <w:rPr>
          <w:color w:val="010101"/>
          <w:spacing w:val="1"/>
          <w:w w:val="105"/>
          <w:position w:val="-8"/>
          <w:sz w:val="17"/>
          <w:u w:val="single" w:color="000000"/>
        </w:rPr>
        <w:t> </w:t>
      </w:r>
      <w:r>
        <w:rPr>
          <w:color w:val="010101"/>
          <w:w w:val="105"/>
          <w:position w:val="-8"/>
          <w:sz w:val="17"/>
          <w:u w:val="single" w:color="000000"/>
        </w:rPr>
        <w:t>of</w:t>
      </w:r>
      <w:r>
        <w:rPr>
          <w:color w:val="010101"/>
          <w:spacing w:val="33"/>
          <w:w w:val="105"/>
          <w:position w:val="-8"/>
          <w:sz w:val="17"/>
          <w:u w:val="single" w:color="000000"/>
        </w:rPr>
        <w:t> </w:t>
      </w:r>
      <w:r>
        <w:rPr>
          <w:color w:val="010101"/>
          <w:w w:val="105"/>
          <w:position w:val="-8"/>
          <w:sz w:val="17"/>
          <w:u w:val="single" w:color="000000"/>
        </w:rPr>
        <w:t>deaths</w:t>
      </w:r>
      <w:r>
        <w:rPr>
          <w:color w:val="010101"/>
          <w:w w:val="105"/>
          <w:position w:val="-8"/>
          <w:sz w:val="17"/>
        </w:rPr>
        <w:tab/>
      </w:r>
      <w:r>
        <w:rPr>
          <w:color w:val="010101"/>
          <w:spacing w:val="2"/>
          <w:w w:val="105"/>
          <w:sz w:val="17"/>
          <w:u w:val="single" w:color="000000"/>
        </w:rPr>
        <w:t>B</w:t>
      </w:r>
      <w:r>
        <w:rPr>
          <w:color w:val="010101"/>
          <w:spacing w:val="2"/>
          <w:w w:val="105"/>
          <w:sz w:val="17"/>
        </w:rPr>
        <w:t>alducci </w:t>
      </w:r>
      <w:r>
        <w:rPr>
          <w:color w:val="010101"/>
          <w:spacing w:val="43"/>
          <w:w w:val="105"/>
          <w:sz w:val="17"/>
        </w:rPr>
        <w:t> </w:t>
      </w:r>
      <w:r>
        <w:rPr>
          <w:color w:val="010101"/>
          <w:w w:val="105"/>
          <w:sz w:val="17"/>
        </w:rPr>
        <w:t>hypothesis</w:t>
      </w:r>
    </w:p>
    <w:p>
      <w:pPr>
        <w:spacing w:before="93" w:after="13"/>
        <w:ind w:left="0" w:right="1078" w:firstLine="0"/>
        <w:jc w:val="right"/>
        <w:rPr>
          <w:i/>
          <w:sz w:val="18"/>
        </w:rPr>
      </w:pPr>
      <w:r>
        <w:rPr>
          <w:i/>
          <w:color w:val="010101"/>
          <w:sz w:val="18"/>
        </w:rPr>
        <w:t>t·q.,</w:t>
      </w:r>
    </w:p>
    <w:p>
      <w:pPr>
        <w:pStyle w:val="BodyText"/>
        <w:spacing w:line="20" w:lineRule="exact"/>
        <w:ind w:left="4239"/>
        <w:rPr>
          <w:sz w:val="2"/>
        </w:rPr>
      </w:pPr>
      <w:r>
        <w:rPr>
          <w:sz w:val="2"/>
        </w:rPr>
        <w:pict>
          <v:group style="width:52.8pt;height:.75pt;mso-position-horizontal-relative:char;mso-position-vertical-relative:line" coordorigin="0,0" coordsize="1056,15">
            <v:line style="position:absolute" from="8,7" to="1048,7" stroked="true" strokeweight=".717846pt" strokecolor="#000000"/>
          </v:group>
        </w:pict>
      </w:r>
      <w:r>
        <w:rPr>
          <w:sz w:val="2"/>
        </w:rPr>
      </w:r>
    </w:p>
    <w:p>
      <w:pPr>
        <w:spacing w:before="3"/>
        <w:ind w:left="0" w:right="728" w:firstLine="0"/>
        <w:jc w:val="right"/>
        <w:rPr>
          <w:i/>
          <w:sz w:val="17"/>
        </w:rPr>
      </w:pPr>
      <w:r>
        <w:rPr>
          <w:b/>
          <w:color w:val="010101"/>
          <w:sz w:val="17"/>
        </w:rPr>
        <w:t>1 </w:t>
      </w:r>
      <w:r>
        <w:rPr>
          <w:color w:val="010101"/>
          <w:w w:val="270"/>
          <w:sz w:val="17"/>
        </w:rPr>
        <w:t>-</w:t>
      </w:r>
      <w:r>
        <w:rPr>
          <w:color w:val="010101"/>
          <w:spacing w:val="-67"/>
          <w:w w:val="270"/>
          <w:sz w:val="17"/>
        </w:rPr>
        <w:t> </w:t>
      </w:r>
      <w:r>
        <w:rPr>
          <w:rFonts w:ascii="Arial"/>
          <w:color w:val="010101"/>
          <w:sz w:val="16"/>
        </w:rPr>
        <w:t>(1 </w:t>
      </w:r>
      <w:r>
        <w:rPr>
          <w:rFonts w:ascii="Arial"/>
          <w:color w:val="010101"/>
          <w:w w:val="270"/>
          <w:sz w:val="16"/>
        </w:rPr>
        <w:t>-</w:t>
      </w:r>
      <w:r>
        <w:rPr>
          <w:rFonts w:ascii="Arial"/>
          <w:color w:val="010101"/>
          <w:spacing w:val="-60"/>
          <w:w w:val="270"/>
          <w:sz w:val="16"/>
        </w:rPr>
        <w:t> </w:t>
      </w:r>
      <w:r>
        <w:rPr>
          <w:i/>
          <w:color w:val="010101"/>
          <w:sz w:val="17"/>
        </w:rPr>
        <w:t>t)q.,</w:t>
      </w:r>
    </w:p>
    <w:p>
      <w:pPr>
        <w:pStyle w:val="BodyText"/>
        <w:spacing w:before="11"/>
        <w:rPr>
          <w:i/>
          <w:sz w:val="8"/>
        </w:rPr>
      </w:pPr>
      <w:r>
        <w:rPr/>
        <w:drawing>
          <wp:anchor distT="0" distB="0" distL="0" distR="0" allowOverlap="1" layoutInCell="1" locked="0" behindDoc="0" simplePos="0" relativeHeight="2776">
            <wp:simplePos x="0" y="0"/>
            <wp:positionH relativeFrom="page">
              <wp:posOffset>1984248</wp:posOffset>
            </wp:positionH>
            <wp:positionV relativeFrom="paragraph">
              <wp:posOffset>90157</wp:posOffset>
            </wp:positionV>
            <wp:extent cx="438911" cy="274320"/>
            <wp:effectExtent l="0" t="0" r="0" b="0"/>
            <wp:wrapTopAndBottom/>
            <wp:docPr id="37" name="image22.png" descr=""/>
            <wp:cNvGraphicFramePr>
              <a:graphicFrameLocks noChangeAspect="1"/>
            </wp:cNvGraphicFramePr>
            <a:graphic>
              <a:graphicData uri="http://schemas.openxmlformats.org/drawingml/2006/picture">
                <pic:pic>
                  <pic:nvPicPr>
                    <pic:cNvPr id="38" name="image22.png"/>
                    <pic:cNvPicPr/>
                  </pic:nvPicPr>
                  <pic:blipFill>
                    <a:blip r:embed="rId26" cstate="print"/>
                    <a:stretch>
                      <a:fillRect/>
                    </a:stretch>
                  </pic:blipFill>
                  <pic:spPr>
                    <a:xfrm>
                      <a:off x="0" y="0"/>
                      <a:ext cx="438911" cy="274320"/>
                    </a:xfrm>
                    <a:prstGeom prst="rect">
                      <a:avLst/>
                    </a:prstGeom>
                  </pic:spPr>
                </pic:pic>
              </a:graphicData>
            </a:graphic>
          </wp:anchor>
        </w:drawing>
      </w:r>
      <w:r>
        <w:rPr/>
        <w:drawing>
          <wp:anchor distT="0" distB="0" distL="0" distR="0" allowOverlap="1" layoutInCell="1" locked="0" behindDoc="0" simplePos="0" relativeHeight="2800">
            <wp:simplePos x="0" y="0"/>
            <wp:positionH relativeFrom="page">
              <wp:posOffset>3236976</wp:posOffset>
            </wp:positionH>
            <wp:positionV relativeFrom="paragraph">
              <wp:posOffset>163309</wp:posOffset>
            </wp:positionV>
            <wp:extent cx="438911" cy="118872"/>
            <wp:effectExtent l="0" t="0" r="0" b="0"/>
            <wp:wrapTopAndBottom/>
            <wp:docPr id="39" name="image23.png" descr=""/>
            <wp:cNvGraphicFramePr>
              <a:graphicFrameLocks noChangeAspect="1"/>
            </wp:cNvGraphicFramePr>
            <a:graphic>
              <a:graphicData uri="http://schemas.openxmlformats.org/drawingml/2006/picture">
                <pic:pic>
                  <pic:nvPicPr>
                    <pic:cNvPr id="40" name="image23.png"/>
                    <pic:cNvPicPr/>
                  </pic:nvPicPr>
                  <pic:blipFill>
                    <a:blip r:embed="rId27" cstate="print"/>
                    <a:stretch>
                      <a:fillRect/>
                    </a:stretch>
                  </pic:blipFill>
                  <pic:spPr>
                    <a:xfrm>
                      <a:off x="0" y="0"/>
                      <a:ext cx="438911" cy="118872"/>
                    </a:xfrm>
                    <a:prstGeom prst="rect">
                      <a:avLst/>
                    </a:prstGeom>
                  </pic:spPr>
                </pic:pic>
              </a:graphicData>
            </a:graphic>
          </wp:anchor>
        </w:drawing>
      </w:r>
    </w:p>
    <w:p>
      <w:pPr>
        <w:spacing w:after="0"/>
        <w:rPr>
          <w:sz w:val="8"/>
        </w:rPr>
        <w:sectPr>
          <w:pgSz w:w="7200" w:h="11340"/>
          <w:pgMar w:top="480" w:bottom="280" w:left="660" w:right="540"/>
        </w:sectPr>
      </w:pPr>
    </w:p>
    <w:p>
      <w:pPr>
        <w:spacing w:line="236" w:lineRule="exact" w:before="112"/>
        <w:ind w:left="0" w:right="352" w:firstLine="0"/>
        <w:jc w:val="right"/>
        <w:rPr>
          <w:sz w:val="23"/>
        </w:rPr>
      </w:pPr>
      <w:r>
        <w:rPr>
          <w:color w:val="010101"/>
          <w:w w:val="404"/>
          <w:sz w:val="23"/>
        </w:rPr>
        <w:t>-</w:t>
      </w:r>
    </w:p>
    <w:p>
      <w:pPr>
        <w:spacing w:line="167" w:lineRule="exact" w:before="0"/>
        <w:ind w:left="0" w:right="38" w:firstLine="0"/>
        <w:jc w:val="right"/>
        <w:rPr>
          <w:i/>
          <w:sz w:val="17"/>
        </w:rPr>
      </w:pPr>
      <w:r>
        <w:rPr>
          <w:b/>
          <w:color w:val="010101"/>
          <w:w w:val="120"/>
          <w:sz w:val="15"/>
        </w:rPr>
        <w:t>1 </w:t>
      </w:r>
      <w:r>
        <w:rPr>
          <w:color w:val="010101"/>
          <w:w w:val="290"/>
          <w:sz w:val="15"/>
        </w:rPr>
        <w:t>-</w:t>
      </w:r>
      <w:r>
        <w:rPr>
          <w:color w:val="010101"/>
          <w:spacing w:val="-55"/>
          <w:w w:val="290"/>
          <w:sz w:val="15"/>
        </w:rPr>
        <w:t> </w:t>
      </w:r>
      <w:r>
        <w:rPr>
          <w:i/>
          <w:color w:val="010101"/>
          <w:w w:val="120"/>
          <w:sz w:val="17"/>
        </w:rPr>
        <w:t>t·qz</w:t>
      </w:r>
    </w:p>
    <w:p>
      <w:pPr>
        <w:spacing w:before="97"/>
        <w:ind w:left="1035" w:right="703" w:firstLine="0"/>
        <w:jc w:val="center"/>
        <w:rPr>
          <w:rFonts w:ascii="Arial"/>
          <w:b/>
          <w:i/>
          <w:sz w:val="15"/>
        </w:rPr>
      </w:pPr>
      <w:r>
        <w:rPr/>
        <w:br w:type="column"/>
      </w:r>
      <w:r>
        <w:rPr>
          <w:rFonts w:ascii="Arial"/>
          <w:b/>
          <w:i/>
          <w:color w:val="010101"/>
          <w:w w:val="95"/>
          <w:sz w:val="15"/>
        </w:rPr>
        <w:t>q,,</w:t>
      </w:r>
    </w:p>
    <w:p>
      <w:pPr>
        <w:pStyle w:val="BodyText"/>
        <w:spacing w:line="20" w:lineRule="exact"/>
        <w:ind w:left="1043"/>
        <w:rPr>
          <w:rFonts w:ascii="Arial"/>
          <w:sz w:val="2"/>
        </w:rPr>
      </w:pPr>
      <w:r>
        <w:rPr>
          <w:rFonts w:ascii="Arial"/>
          <w:sz w:val="2"/>
        </w:rPr>
        <w:pict>
          <v:group style="width:52.3pt;height:.75pt;mso-position-horizontal-relative:char;mso-position-vertical-relative:line" coordorigin="0,0" coordsize="1046,15">
            <v:line style="position:absolute" from="8,7" to="1038,7" stroked="true" strokeweight=".717846pt" strokecolor="#000000"/>
          </v:group>
        </w:pict>
      </w:r>
      <w:r>
        <w:rPr>
          <w:rFonts w:ascii="Arial"/>
          <w:sz w:val="2"/>
        </w:rPr>
      </w:r>
    </w:p>
    <w:p>
      <w:pPr>
        <w:spacing w:before="27"/>
        <w:ind w:left="1035" w:right="733" w:firstLine="0"/>
        <w:jc w:val="center"/>
        <w:rPr>
          <w:i/>
          <w:sz w:val="17"/>
        </w:rPr>
      </w:pPr>
      <w:r>
        <w:rPr>
          <w:b/>
          <w:color w:val="010101"/>
          <w:sz w:val="17"/>
        </w:rPr>
        <w:t>1 </w:t>
      </w:r>
      <w:r>
        <w:rPr>
          <w:color w:val="010101"/>
          <w:w w:val="260"/>
          <w:sz w:val="17"/>
        </w:rPr>
        <w:t>- </w:t>
      </w:r>
      <w:r>
        <w:rPr>
          <w:b/>
          <w:color w:val="010101"/>
          <w:sz w:val="17"/>
        </w:rPr>
        <w:t>(1 </w:t>
      </w:r>
      <w:r>
        <w:rPr>
          <w:color w:val="010101"/>
          <w:w w:val="260"/>
          <w:sz w:val="17"/>
        </w:rPr>
        <w:t>-</w:t>
      </w:r>
      <w:r>
        <w:rPr>
          <w:color w:val="010101"/>
          <w:spacing w:val="-87"/>
          <w:w w:val="260"/>
          <w:sz w:val="17"/>
        </w:rPr>
        <w:t> </w:t>
      </w:r>
      <w:r>
        <w:rPr>
          <w:i/>
          <w:color w:val="010101"/>
          <w:sz w:val="17"/>
        </w:rPr>
        <w:t>t)qz</w:t>
      </w:r>
    </w:p>
    <w:p>
      <w:pPr>
        <w:spacing w:before="134"/>
        <w:ind w:left="1035" w:right="703" w:firstLine="0"/>
        <w:jc w:val="center"/>
        <w:rPr>
          <w:sz w:val="15"/>
        </w:rPr>
      </w:pPr>
      <w:r>
        <w:rPr>
          <w:color w:val="010101"/>
          <w:w w:val="110"/>
          <w:sz w:val="16"/>
        </w:rPr>
        <w:t>q.,(1 </w:t>
      </w:r>
      <w:r>
        <w:rPr>
          <w:color w:val="010101"/>
          <w:w w:val="255"/>
          <w:sz w:val="16"/>
        </w:rPr>
        <w:t>-</w:t>
      </w:r>
      <w:r>
        <w:rPr>
          <w:color w:val="010101"/>
          <w:spacing w:val="-62"/>
          <w:w w:val="255"/>
          <w:sz w:val="16"/>
        </w:rPr>
        <w:t> </w:t>
      </w:r>
      <w:r>
        <w:rPr>
          <w:color w:val="010101"/>
          <w:w w:val="110"/>
          <w:sz w:val="15"/>
        </w:rPr>
        <w:t>9z)</w:t>
      </w:r>
    </w:p>
    <w:p>
      <w:pPr>
        <w:spacing w:after="0"/>
        <w:jc w:val="center"/>
        <w:rPr>
          <w:sz w:val="15"/>
        </w:rPr>
        <w:sectPr>
          <w:type w:val="continuous"/>
          <w:pgSz w:w="7200" w:h="11340"/>
          <w:pgMar w:top="1100" w:bottom="0" w:left="660" w:right="540"/>
          <w:cols w:num="2" w:equalWidth="0">
            <w:col w:w="3156" w:space="40"/>
            <w:col w:w="2804"/>
          </w:cols>
        </w:sectPr>
      </w:pPr>
    </w:p>
    <w:p>
      <w:pPr>
        <w:pStyle w:val="BodyText"/>
        <w:spacing w:line="229" w:lineRule="exact"/>
        <w:ind w:left="4177"/>
      </w:pPr>
      <w:r>
        <w:rPr>
          <w:position w:val="-4"/>
        </w:rPr>
        <w:pict>
          <v:group style="width:60.55pt;height:11.5pt;mso-position-horizontal-relative:char;mso-position-vertical-relative:line" coordorigin="0,0" coordsize="1211,230">
            <v:shape style="position:absolute;left:15;top:42;width:1195;height:187" type="#_x0000_t75" stroked="false">
              <v:imagedata r:id="rId28" o:title=""/>
            </v:shape>
            <v:line style="position:absolute" from="8,8" to="1181,8" stroked="true" strokeweight=".717846pt" strokecolor="#000000"/>
          </v:group>
        </w:pict>
      </w:r>
      <w:r>
        <w:rPr>
          <w:position w:val="-4"/>
        </w:rPr>
      </w:r>
    </w:p>
    <w:p>
      <w:pPr>
        <w:pStyle w:val="BodyText"/>
        <w:spacing w:before="1"/>
        <w:rPr>
          <w:sz w:val="17"/>
        </w:rPr>
      </w:pPr>
    </w:p>
    <w:p>
      <w:pPr>
        <w:pStyle w:val="ListParagraph"/>
        <w:numPr>
          <w:ilvl w:val="1"/>
          <w:numId w:val="15"/>
        </w:numPr>
        <w:tabs>
          <w:tab w:pos="572" w:val="left" w:leader="none"/>
        </w:tabs>
        <w:spacing w:line="247" w:lineRule="auto" w:before="78" w:after="0"/>
        <w:ind w:left="133" w:right="154" w:firstLine="158"/>
        <w:jc w:val="left"/>
        <w:rPr>
          <w:color w:val="010101"/>
          <w:sz w:val="17"/>
        </w:rPr>
      </w:pPr>
      <w:r>
        <w:rPr>
          <w:color w:val="010101"/>
          <w:w w:val="105"/>
          <w:sz w:val="17"/>
        </w:rPr>
        <w:t>Assuming a uniform &lt;list ribution of deaths, calculate from Table 2 thc values</w:t>
      </w:r>
      <w:r>
        <w:rPr>
          <w:color w:val="010101"/>
          <w:spacing w:val="7"/>
          <w:w w:val="105"/>
          <w:sz w:val="17"/>
        </w:rPr>
        <w:t> </w:t>
      </w:r>
      <w:r>
        <w:rPr>
          <w:color w:val="010101"/>
          <w:w w:val="105"/>
          <w:sz w:val="17"/>
        </w:rPr>
        <w:t>of</w:t>
      </w:r>
    </w:p>
    <w:p>
      <w:pPr>
        <w:pStyle w:val="ListParagraph"/>
        <w:numPr>
          <w:ilvl w:val="2"/>
          <w:numId w:val="15"/>
        </w:numPr>
        <w:tabs>
          <w:tab w:pos="740" w:val="left" w:leader="none"/>
        </w:tabs>
        <w:spacing w:line="240" w:lineRule="auto" w:before="13" w:after="0"/>
        <w:ind w:left="739" w:right="0" w:hanging="283"/>
        <w:jc w:val="left"/>
        <w:rPr>
          <w:color w:val="010101"/>
          <w:sz w:val="16"/>
        </w:rPr>
      </w:pPr>
      <w:r>
        <w:rPr>
          <w:color w:val="010101"/>
          <w:w w:val="115"/>
          <w:sz w:val="16"/>
        </w:rPr>
        <w:t>11.qu</w:t>
      </w:r>
      <w:r>
        <w:rPr>
          <w:color w:val="010101"/>
          <w:spacing w:val="-29"/>
          <w:w w:val="115"/>
          <w:sz w:val="16"/>
        </w:rPr>
        <w:t> </w:t>
      </w:r>
      <w:r>
        <w:rPr>
          <w:color w:val="010101"/>
          <w:w w:val="115"/>
          <w:sz w:val="16"/>
        </w:rPr>
        <w:t>,</w:t>
      </w:r>
    </w:p>
    <w:p>
      <w:pPr>
        <w:pStyle w:val="ListParagraph"/>
        <w:numPr>
          <w:ilvl w:val="2"/>
          <w:numId w:val="15"/>
        </w:numPr>
        <w:tabs>
          <w:tab w:pos="755" w:val="left" w:leader="none"/>
        </w:tabs>
        <w:spacing w:line="240" w:lineRule="auto" w:before="28" w:after="0"/>
        <w:ind w:left="754" w:right="0" w:hanging="302"/>
        <w:jc w:val="left"/>
        <w:rPr>
          <w:color w:val="010101"/>
          <w:sz w:val="16"/>
        </w:rPr>
      </w:pPr>
      <w:r>
        <w:rPr>
          <w:color w:val="010101"/>
          <w:sz w:val="16"/>
        </w:rPr>
        <w:t>1tP•o</w:t>
      </w:r>
      <w:r>
        <w:rPr>
          <w:color w:val="010101"/>
          <w:spacing w:val="-7"/>
          <w:sz w:val="16"/>
        </w:rPr>
        <w:t> </w:t>
      </w:r>
      <w:r>
        <w:rPr>
          <w:color w:val="010101"/>
          <w:sz w:val="16"/>
        </w:rPr>
        <w:t>,</w:t>
      </w:r>
    </w:p>
    <w:p>
      <w:pPr>
        <w:spacing w:line="134" w:lineRule="exact" w:before="41"/>
        <w:ind w:left="456" w:right="0" w:firstLine="0"/>
        <w:jc w:val="left"/>
        <w:rPr>
          <w:sz w:val="13"/>
        </w:rPr>
      </w:pPr>
      <w:r>
        <w:rPr>
          <w:color w:val="010101"/>
          <w:sz w:val="13"/>
        </w:rPr>
        <w:t>(C)   P.H  1/a •</w:t>
      </w:r>
    </w:p>
    <w:p>
      <w:pPr>
        <w:pStyle w:val="ListParagraph"/>
        <w:numPr>
          <w:ilvl w:val="1"/>
          <w:numId w:val="15"/>
        </w:numPr>
        <w:tabs>
          <w:tab w:pos="572" w:val="left" w:leader="none"/>
        </w:tabs>
        <w:spacing w:line="184" w:lineRule="auto" w:before="30" w:after="0"/>
        <w:ind w:left="122" w:right="169" w:firstLine="165"/>
        <w:jc w:val="left"/>
        <w:rPr>
          <w:rFonts w:ascii="Arial"/>
          <w:i/>
          <w:color w:val="010101"/>
          <w:sz w:val="17"/>
        </w:rPr>
      </w:pPr>
      <w:r>
        <w:rPr>
          <w:color w:val="010101"/>
          <w:w w:val="105"/>
          <w:sz w:val="17"/>
        </w:rPr>
        <w:t>For a certain  value  of  </w:t>
      </w:r>
      <w:r>
        <w:rPr>
          <w:rFonts w:ascii="Arial"/>
          <w:i/>
          <w:color w:val="010101"/>
          <w:w w:val="105"/>
          <w:sz w:val="14"/>
        </w:rPr>
        <w:t>x  </w:t>
      </w:r>
      <w:r>
        <w:rPr>
          <w:color w:val="010101"/>
          <w:w w:val="105"/>
          <w:sz w:val="17"/>
        </w:rPr>
        <w:t>it is known  that  </w:t>
      </w:r>
      <w:r>
        <w:rPr>
          <w:i/>
          <w:color w:val="010101"/>
          <w:w w:val="105"/>
          <w:sz w:val="17"/>
        </w:rPr>
        <w:t>,qz  </w:t>
      </w:r>
      <w:r>
        <w:rPr>
          <w:color w:val="010101"/>
          <w:w w:val="105"/>
          <w:sz w:val="21"/>
        </w:rPr>
        <w:t>=  </w:t>
      </w:r>
      <w:r>
        <w:rPr>
          <w:i/>
          <w:color w:val="010101"/>
          <w:w w:val="105"/>
          <w:sz w:val="16"/>
        </w:rPr>
        <w:t>kt  </w:t>
      </w:r>
      <w:r>
        <w:rPr>
          <w:color w:val="010101"/>
          <w:w w:val="105"/>
          <w:sz w:val="17"/>
        </w:rPr>
        <w:t>over the  </w:t>
      </w:r>
      <w:r>
        <w:rPr>
          <w:color w:val="010101"/>
          <w:sz w:val="17"/>
        </w:rPr>
        <w:t>i </w:t>
      </w:r>
      <w:r>
        <w:rPr>
          <w:color w:val="010101"/>
          <w:w w:val="105"/>
          <w:sz w:val="17"/>
        </w:rPr>
        <w:t>nterval   </w:t>
      </w:r>
      <w:r>
        <w:rPr>
          <w:color w:val="010101"/>
          <w:sz w:val="17"/>
        </w:rPr>
        <w:t>O  </w:t>
      </w:r>
      <w:r>
        <w:rPr>
          <w:rFonts w:ascii="Arial"/>
          <w:color w:val="010101"/>
          <w:w w:val="105"/>
          <w:sz w:val="23"/>
        </w:rPr>
        <w:t>&lt; </w:t>
      </w:r>
      <w:r>
        <w:rPr>
          <w:rFonts w:ascii="Arial"/>
          <w:i/>
          <w:color w:val="010101"/>
          <w:w w:val="105"/>
          <w:sz w:val="15"/>
        </w:rPr>
        <w:t>t  </w:t>
      </w:r>
      <w:r>
        <w:rPr>
          <w:rFonts w:ascii="Arial"/>
          <w:color w:val="010101"/>
          <w:w w:val="105"/>
          <w:sz w:val="23"/>
        </w:rPr>
        <w:t>&lt; </w:t>
      </w:r>
      <w:r>
        <w:rPr>
          <w:color w:val="010101"/>
          <w:w w:val="105"/>
          <w:sz w:val="17"/>
        </w:rPr>
        <w:t>3, where  </w:t>
      </w:r>
      <w:r>
        <w:rPr>
          <w:rFonts w:ascii="Arial"/>
          <w:i/>
          <w:color w:val="010101"/>
          <w:w w:val="105"/>
          <w:sz w:val="15"/>
        </w:rPr>
        <w:t>k  </w:t>
      </w:r>
      <w:r>
        <w:rPr>
          <w:color w:val="010101"/>
          <w:w w:val="105"/>
          <w:sz w:val="17"/>
        </w:rPr>
        <w:t>is a const ant. Express </w:t>
      </w:r>
      <w:r>
        <w:rPr>
          <w:color w:val="010101"/>
          <w:w w:val="105"/>
          <w:sz w:val="11"/>
        </w:rPr>
        <w:t>P.z+2   </w:t>
      </w:r>
      <w:r>
        <w:rPr>
          <w:color w:val="010101"/>
          <w:w w:val="105"/>
          <w:sz w:val="17"/>
        </w:rPr>
        <w:t>in terms </w:t>
      </w:r>
      <w:r>
        <w:rPr>
          <w:color w:val="010101"/>
          <w:w w:val="105"/>
          <w:sz w:val="18"/>
        </w:rPr>
        <w:t>of </w:t>
      </w:r>
      <w:r>
        <w:rPr>
          <w:color w:val="010101"/>
          <w:spacing w:val="7"/>
          <w:w w:val="105"/>
          <w:sz w:val="18"/>
        </w:rPr>
        <w:t> </w:t>
      </w:r>
      <w:r>
        <w:rPr>
          <w:rFonts w:ascii="Arial"/>
          <w:i/>
          <w:color w:val="010101"/>
          <w:w w:val="105"/>
          <w:sz w:val="15"/>
        </w:rPr>
        <w:t>k.</w:t>
      </w:r>
    </w:p>
    <w:p>
      <w:pPr>
        <w:spacing w:line="206" w:lineRule="exact" w:before="0"/>
        <w:ind w:left="287" w:right="0" w:firstLine="0"/>
        <w:jc w:val="left"/>
        <w:rPr>
          <w:sz w:val="17"/>
        </w:rPr>
      </w:pPr>
      <w:r>
        <w:rPr>
          <w:color w:val="010101"/>
          <w:w w:val="103"/>
          <w:sz w:val="17"/>
        </w:rPr>
        <w:t>19.</w:t>
      </w:r>
      <w:r>
        <w:rPr>
          <w:color w:val="010101"/>
          <w:spacing w:val="18"/>
          <w:sz w:val="17"/>
        </w:rPr>
        <w:t> </w:t>
      </w:r>
      <w:r>
        <w:rPr>
          <w:color w:val="010101"/>
          <w:w w:val="106"/>
          <w:sz w:val="17"/>
        </w:rPr>
        <w:t>Given</w:t>
      </w:r>
      <w:r>
        <w:rPr>
          <w:color w:val="010101"/>
          <w:sz w:val="17"/>
        </w:rPr>
        <w:t> </w:t>
      </w:r>
      <w:r>
        <w:rPr>
          <w:color w:val="010101"/>
          <w:spacing w:val="-13"/>
          <w:sz w:val="17"/>
        </w:rPr>
        <w:t> </w:t>
      </w:r>
      <w:r>
        <w:rPr>
          <w:i/>
          <w:color w:val="010101"/>
          <w:w w:val="156"/>
          <w:sz w:val="17"/>
        </w:rPr>
        <w:t>l</w:t>
      </w:r>
      <w:r>
        <w:rPr>
          <w:i/>
          <w:color w:val="010101"/>
          <w:spacing w:val="-30"/>
          <w:w w:val="157"/>
          <w:sz w:val="17"/>
        </w:rPr>
        <w:t>,</w:t>
      </w:r>
      <w:r>
        <w:rPr>
          <w:i/>
          <w:color w:val="010101"/>
          <w:w w:val="61"/>
          <w:sz w:val="17"/>
        </w:rPr>
        <w:t>o</w:t>
      </w:r>
      <w:r>
        <w:rPr>
          <w:i/>
          <w:color w:val="010101"/>
          <w:sz w:val="17"/>
        </w:rPr>
        <w:t> </w:t>
      </w:r>
      <w:r>
        <w:rPr>
          <w:i/>
          <w:color w:val="010101"/>
          <w:spacing w:val="-1"/>
          <w:sz w:val="17"/>
        </w:rPr>
        <w:t> </w:t>
      </w:r>
      <w:r>
        <w:rPr>
          <w:color w:val="010101"/>
          <w:w w:val="85"/>
          <w:sz w:val="21"/>
        </w:rPr>
        <w:t>=</w:t>
      </w:r>
      <w:r>
        <w:rPr>
          <w:color w:val="010101"/>
          <w:sz w:val="21"/>
        </w:rPr>
        <w:t> </w:t>
      </w:r>
      <w:r>
        <w:rPr>
          <w:color w:val="010101"/>
          <w:spacing w:val="-13"/>
          <w:sz w:val="21"/>
        </w:rPr>
        <w:t> </w:t>
      </w:r>
      <w:r>
        <w:rPr>
          <w:color w:val="010101"/>
          <w:w w:val="96"/>
          <w:sz w:val="17"/>
        </w:rPr>
        <w:t>7,746</w:t>
      </w:r>
      <w:r>
        <w:rPr>
          <w:color w:val="010101"/>
          <w:spacing w:val="21"/>
          <w:sz w:val="17"/>
        </w:rPr>
        <w:t> </w:t>
      </w:r>
      <w:r>
        <w:rPr>
          <w:color w:val="010101"/>
          <w:w w:val="111"/>
          <w:sz w:val="17"/>
        </w:rPr>
        <w:t>and</w:t>
      </w:r>
      <w:r>
        <w:rPr>
          <w:color w:val="010101"/>
          <w:sz w:val="17"/>
        </w:rPr>
        <w:t> </w:t>
      </w:r>
      <w:r>
        <w:rPr>
          <w:color w:val="010101"/>
          <w:spacing w:val="-19"/>
          <w:sz w:val="17"/>
        </w:rPr>
        <w:t> </w:t>
      </w:r>
      <w:r>
        <w:rPr>
          <w:i/>
          <w:color w:val="010101"/>
          <w:w w:val="120"/>
          <w:sz w:val="17"/>
        </w:rPr>
        <w:t>lu</w:t>
      </w:r>
      <w:r>
        <w:rPr>
          <w:i/>
          <w:color w:val="010101"/>
          <w:sz w:val="17"/>
        </w:rPr>
        <w:t> </w:t>
      </w:r>
      <w:r>
        <w:rPr>
          <w:i/>
          <w:color w:val="010101"/>
          <w:spacing w:val="-5"/>
          <w:sz w:val="17"/>
        </w:rPr>
        <w:t> </w:t>
      </w:r>
      <w:r>
        <w:rPr>
          <w:color w:val="010101"/>
          <w:w w:val="88"/>
          <w:sz w:val="21"/>
        </w:rPr>
        <w:t>=</w:t>
      </w:r>
      <w:r>
        <w:rPr>
          <w:color w:val="010101"/>
          <w:sz w:val="21"/>
        </w:rPr>
        <w:t> </w:t>
      </w:r>
      <w:r>
        <w:rPr>
          <w:color w:val="010101"/>
          <w:spacing w:val="-17"/>
          <w:sz w:val="21"/>
        </w:rPr>
        <w:t> </w:t>
      </w:r>
      <w:r>
        <w:rPr>
          <w:color w:val="010101"/>
          <w:w w:val="98"/>
          <w:sz w:val="17"/>
        </w:rPr>
        <w:t>7,681.</w:t>
      </w:r>
    </w:p>
    <w:p>
      <w:pPr>
        <w:spacing w:before="1"/>
        <w:ind w:left="438" w:right="0" w:firstLine="0"/>
        <w:jc w:val="left"/>
        <w:rPr>
          <w:sz w:val="10"/>
        </w:rPr>
      </w:pPr>
      <w:r>
        <w:rPr>
          <w:color w:val="010101"/>
          <w:w w:val="125"/>
          <w:sz w:val="17"/>
        </w:rPr>
        <w:t>Compute </w:t>
      </w:r>
      <w:r>
        <w:rPr>
          <w:rFonts w:ascii="Arial" w:hAnsi="Arial"/>
          <w:i/>
          <w:color w:val="010101"/>
          <w:w w:val="125"/>
          <w:sz w:val="12"/>
        </w:rPr>
        <w:t>µu </w:t>
      </w:r>
      <w:r>
        <w:rPr>
          <w:color w:val="010101"/>
          <w:w w:val="125"/>
          <w:sz w:val="10"/>
        </w:rPr>
        <w:t>1/6</w:t>
      </w:r>
    </w:p>
    <w:p>
      <w:pPr>
        <w:spacing w:after="0"/>
        <w:jc w:val="left"/>
        <w:rPr>
          <w:sz w:val="10"/>
        </w:rPr>
        <w:sectPr>
          <w:type w:val="continuous"/>
          <w:pgSz w:w="7200" w:h="11340"/>
          <w:pgMar w:top="1100" w:bottom="0" w:left="660" w:right="540"/>
        </w:sectPr>
      </w:pPr>
    </w:p>
    <w:p>
      <w:pPr>
        <w:pStyle w:val="ListParagraph"/>
        <w:numPr>
          <w:ilvl w:val="2"/>
          <w:numId w:val="15"/>
        </w:numPr>
        <w:tabs>
          <w:tab w:pos="758" w:val="left" w:leader="none"/>
        </w:tabs>
        <w:spacing w:line="194" w:lineRule="exact" w:before="0" w:after="0"/>
        <w:ind w:left="757" w:right="0" w:hanging="294"/>
        <w:jc w:val="left"/>
        <w:rPr>
          <w:color w:val="010101"/>
          <w:sz w:val="17"/>
        </w:rPr>
      </w:pPr>
      <w:r>
        <w:rPr>
          <w:color w:val="010101"/>
          <w:w w:val="110"/>
          <w:sz w:val="17"/>
        </w:rPr>
        <w:t>assuming  </w:t>
      </w:r>
      <w:r>
        <w:rPr>
          <w:rFonts w:ascii="Arial"/>
          <w:color w:val="010101"/>
          <w:w w:val="110"/>
          <w:sz w:val="15"/>
        </w:rPr>
        <w:t>a </w:t>
      </w:r>
      <w:r>
        <w:rPr>
          <w:color w:val="010101"/>
          <w:w w:val="110"/>
          <w:sz w:val="17"/>
        </w:rPr>
        <w:t>uniform  distribution  of</w:t>
      </w:r>
      <w:r>
        <w:rPr>
          <w:color w:val="010101"/>
          <w:spacing w:val="-11"/>
          <w:w w:val="110"/>
          <w:sz w:val="17"/>
        </w:rPr>
        <w:t> </w:t>
      </w:r>
      <w:r>
        <w:rPr>
          <w:color w:val="010101"/>
          <w:w w:val="110"/>
          <w:sz w:val="17"/>
        </w:rPr>
        <w:t>deaths,</w:t>
      </w:r>
    </w:p>
    <w:p>
      <w:pPr>
        <w:pStyle w:val="ListParagraph"/>
        <w:numPr>
          <w:ilvl w:val="2"/>
          <w:numId w:val="15"/>
        </w:numPr>
        <w:tabs>
          <w:tab w:pos="755" w:val="left" w:leader="none"/>
        </w:tabs>
        <w:spacing w:line="240" w:lineRule="auto" w:before="6" w:after="0"/>
        <w:ind w:left="754" w:right="0" w:hanging="295"/>
        <w:jc w:val="left"/>
        <w:rPr>
          <w:color w:val="010101"/>
          <w:sz w:val="16"/>
        </w:rPr>
      </w:pPr>
      <w:r>
        <w:rPr>
          <w:color w:val="010101"/>
          <w:w w:val="110"/>
          <w:sz w:val="17"/>
        </w:rPr>
        <w:t>using the Balducci </w:t>
      </w:r>
      <w:r>
        <w:rPr>
          <w:color w:val="010101"/>
          <w:spacing w:val="16"/>
          <w:w w:val="110"/>
          <w:sz w:val="17"/>
        </w:rPr>
        <w:t> </w:t>
      </w:r>
      <w:r>
        <w:rPr>
          <w:color w:val="010101"/>
          <w:w w:val="110"/>
          <w:sz w:val="17"/>
        </w:rPr>
        <w:t>hypothesis,</w:t>
      </w:r>
    </w:p>
    <w:p>
      <w:pPr>
        <w:spacing w:line="185" w:lineRule="exact" w:before="6"/>
        <w:ind w:left="459" w:right="0" w:firstLine="0"/>
        <w:jc w:val="left"/>
        <w:rPr>
          <w:sz w:val="17"/>
        </w:rPr>
      </w:pPr>
      <w:r>
        <w:rPr>
          <w:color w:val="010101"/>
          <w:w w:val="105"/>
          <w:sz w:val="17"/>
        </w:rPr>
        <w:t>(e)  using    the    fact    tha.t    the    given    values   a.re</w:t>
      </w:r>
    </w:p>
    <w:p>
      <w:pPr>
        <w:spacing w:line="231" w:lineRule="exact" w:before="0"/>
        <w:ind w:left="739" w:right="0" w:firstLine="0"/>
        <w:jc w:val="left"/>
        <w:rPr>
          <w:i/>
          <w:sz w:val="18"/>
        </w:rPr>
      </w:pPr>
      <w:r>
        <w:rPr/>
        <w:pict>
          <v:line style="position:absolute;mso-position-horizontal-relative:page;mso-position-vertical-relative:paragraph;z-index:-733192" from="139.800598pt,9.464996pt" to="142.492498pt,9.464996pt" stroked="true" strokeweight=".358923pt" strokecolor="#000000">
            <w10:wrap type="none"/>
          </v:line>
        </w:pict>
      </w:r>
      <w:r>
        <w:rPr>
          <w:b/>
          <w:i/>
          <w:color w:val="010101"/>
          <w:w w:val="105"/>
          <w:sz w:val="18"/>
        </w:rPr>
        <w:t>lz </w:t>
      </w:r>
      <w:r>
        <w:rPr>
          <w:color w:val="010101"/>
          <w:w w:val="105"/>
          <w:sz w:val="21"/>
        </w:rPr>
        <w:t>= </w:t>
      </w:r>
      <w:r>
        <w:rPr>
          <w:b/>
          <w:color w:val="010101"/>
          <w:w w:val="105"/>
          <w:sz w:val="18"/>
        </w:rPr>
        <w:t>1ooov100 </w:t>
      </w:r>
      <w:r>
        <w:rPr>
          <w:color w:val="010101"/>
          <w:w w:val="220"/>
          <w:sz w:val="18"/>
        </w:rPr>
        <w:t>- </w:t>
      </w:r>
      <w:r>
        <w:rPr>
          <w:i/>
          <w:color w:val="010101"/>
          <w:w w:val="105"/>
          <w:sz w:val="18"/>
        </w:rPr>
        <w:t>x.</w:t>
      </w:r>
    </w:p>
    <w:p>
      <w:pPr>
        <w:spacing w:before="2"/>
        <w:ind w:left="327" w:right="0" w:firstLine="0"/>
        <w:jc w:val="left"/>
        <w:rPr>
          <w:sz w:val="17"/>
        </w:rPr>
      </w:pPr>
      <w:r>
        <w:rPr/>
        <w:br w:type="column"/>
      </w:r>
      <w:r>
        <w:rPr>
          <w:color w:val="010101"/>
          <w:sz w:val="17"/>
        </w:rPr>
        <w:t>(Ans. .00841)</w:t>
      </w:r>
    </w:p>
    <w:p>
      <w:pPr>
        <w:spacing w:before="6"/>
        <w:ind w:left="320" w:right="0" w:firstLine="0"/>
        <w:jc w:val="left"/>
        <w:rPr>
          <w:sz w:val="15"/>
        </w:rPr>
      </w:pPr>
      <w:r>
        <w:rPr>
          <w:color w:val="010101"/>
          <w:w w:val="110"/>
          <w:sz w:val="17"/>
        </w:rPr>
        <w:t>(Ans. .</w:t>
      </w:r>
      <w:r>
        <w:rPr>
          <w:color w:val="010101"/>
          <w:w w:val="110"/>
          <w:sz w:val="15"/>
        </w:rPr>
        <w:t>00844)</w:t>
      </w:r>
    </w:p>
    <w:p>
      <w:pPr>
        <w:spacing w:line="242" w:lineRule="auto" w:before="9"/>
        <w:ind w:left="327" w:right="0" w:hanging="205"/>
        <w:jc w:val="left"/>
        <w:rPr>
          <w:sz w:val="17"/>
        </w:rPr>
      </w:pPr>
      <w:r>
        <w:rPr>
          <w:color w:val="010101"/>
          <w:w w:val="105"/>
          <w:sz w:val="17"/>
        </w:rPr>
        <w:t>obtained from </w:t>
      </w:r>
      <w:r>
        <w:rPr>
          <w:color w:val="010101"/>
          <w:sz w:val="17"/>
        </w:rPr>
        <w:t>(Ans</w:t>
      </w:r>
      <w:r>
        <w:rPr>
          <w:color w:val="212121"/>
          <w:sz w:val="17"/>
        </w:rPr>
        <w:t>. </w:t>
      </w:r>
      <w:r>
        <w:rPr>
          <w:color w:val="010101"/>
          <w:sz w:val="17"/>
        </w:rPr>
        <w:t>.00837)</w:t>
      </w:r>
    </w:p>
    <w:p>
      <w:pPr>
        <w:spacing w:after="0" w:line="242" w:lineRule="auto"/>
        <w:jc w:val="left"/>
        <w:rPr>
          <w:sz w:val="17"/>
        </w:rPr>
        <w:sectPr>
          <w:type w:val="continuous"/>
          <w:pgSz w:w="7200" w:h="11340"/>
          <w:pgMar w:top="1100" w:bottom="0" w:left="660" w:right="540"/>
          <w:cols w:num="2" w:equalWidth="0">
            <w:col w:w="4511" w:space="40"/>
            <w:col w:w="1449"/>
          </w:cols>
        </w:sectPr>
      </w:pPr>
    </w:p>
    <w:p>
      <w:pPr>
        <w:pStyle w:val="BodyText"/>
        <w:spacing w:before="6"/>
        <w:rPr>
          <w:sz w:val="9"/>
        </w:rPr>
      </w:pPr>
    </w:p>
    <w:p>
      <w:pPr>
        <w:spacing w:before="78"/>
        <w:ind w:left="115" w:right="0" w:firstLine="0"/>
        <w:jc w:val="left"/>
        <w:rPr>
          <w:b/>
          <w:sz w:val="16"/>
        </w:rPr>
      </w:pPr>
      <w:r>
        <w:rPr>
          <w:color w:val="010101"/>
          <w:w w:val="120"/>
          <w:sz w:val="17"/>
        </w:rPr>
        <w:t>7.  </w:t>
      </w:r>
      <w:r>
        <w:rPr>
          <w:b/>
          <w:color w:val="010101"/>
          <w:w w:val="120"/>
          <w:sz w:val="16"/>
        </w:rPr>
        <w:t>Some famous laws of mortaJity</w:t>
      </w:r>
    </w:p>
    <w:p>
      <w:pPr>
        <w:spacing w:line="198" w:lineRule="exact" w:before="89"/>
        <w:ind w:left="126" w:right="182" w:firstLine="154"/>
        <w:jc w:val="both"/>
        <w:rPr>
          <w:i/>
          <w:sz w:val="18"/>
        </w:rPr>
      </w:pPr>
      <w:r>
        <w:rPr>
          <w:color w:val="010101"/>
          <w:w w:val="110"/>
          <w:sz w:val="17"/>
        </w:rPr>
        <w:t>20. Show that under de Moivre's law the probability </w:t>
      </w:r>
      <w:r>
        <w:rPr>
          <w:i/>
          <w:color w:val="010101"/>
          <w:w w:val="110"/>
          <w:sz w:val="17"/>
        </w:rPr>
        <w:t>,.,qz </w:t>
      </w:r>
      <w:r>
        <w:rPr>
          <w:color w:val="010101"/>
          <w:w w:val="110"/>
          <w:sz w:val="17"/>
        </w:rPr>
        <w:t>is independent  of</w:t>
      </w:r>
      <w:r>
        <w:rPr>
          <w:color w:val="010101"/>
          <w:spacing w:val="13"/>
          <w:w w:val="110"/>
          <w:sz w:val="17"/>
        </w:rPr>
        <w:t> </w:t>
      </w:r>
      <w:r>
        <w:rPr>
          <w:i/>
          <w:color w:val="010101"/>
          <w:w w:val="110"/>
          <w:sz w:val="18"/>
        </w:rPr>
        <w:t>n.</w:t>
      </w:r>
    </w:p>
    <w:p>
      <w:pPr>
        <w:spacing w:before="3"/>
        <w:ind w:left="291" w:right="0" w:firstLine="0"/>
        <w:jc w:val="left"/>
        <w:rPr>
          <w:sz w:val="17"/>
        </w:rPr>
      </w:pPr>
      <w:r>
        <w:rPr>
          <w:rFonts w:ascii="Arial"/>
          <w:color w:val="010101"/>
          <w:w w:val="105"/>
          <w:sz w:val="16"/>
        </w:rPr>
        <w:t>21.  </w:t>
      </w:r>
      <w:r>
        <w:rPr>
          <w:color w:val="010101"/>
          <w:w w:val="105"/>
          <w:sz w:val="17"/>
        </w:rPr>
        <w:t>For  a mortality  table  based  on  Gompertz's  law, evaluate</w:t>
      </w:r>
    </w:p>
    <w:p>
      <w:pPr>
        <w:pStyle w:val="BodyText"/>
        <w:spacing w:before="9"/>
        <w:rPr>
          <w:sz w:val="12"/>
        </w:rPr>
      </w:pPr>
    </w:p>
    <w:p>
      <w:pPr>
        <w:tabs>
          <w:tab w:pos="800" w:val="left" w:leader="none"/>
        </w:tabs>
        <w:spacing w:before="0"/>
        <w:ind w:left="108" w:right="0" w:firstLine="0"/>
        <w:jc w:val="center"/>
        <w:rPr>
          <w:i/>
          <w:sz w:val="16"/>
        </w:rPr>
      </w:pPr>
      <w:r>
        <w:rPr/>
        <w:pict>
          <v:shape style="position:absolute;margin-left:148.414703pt;margin-top:.024701pt;width:7.95pt;height:26.5pt;mso-position-horizontal-relative:page;mso-position-vertical-relative:paragraph;z-index:-733144" type="#_x0000_t202" filled="false" stroked="false">
            <v:textbox inset="0,0,0,0">
              <w:txbxContent>
                <w:p>
                  <w:pPr>
                    <w:spacing w:line="530" w:lineRule="exact" w:before="0"/>
                    <w:ind w:left="0" w:right="0" w:firstLine="0"/>
                    <w:jc w:val="left"/>
                    <w:rPr>
                      <w:sz w:val="53"/>
                    </w:rPr>
                  </w:pPr>
                  <w:r>
                    <w:rPr>
                      <w:color w:val="010101"/>
                      <w:w w:val="107"/>
                      <w:sz w:val="53"/>
                    </w:rPr>
                    <w:t>l</w:t>
                  </w:r>
                </w:p>
              </w:txbxContent>
            </v:textbox>
            <w10:wrap type="none"/>
          </v:shape>
        </w:pict>
      </w:r>
      <w:r>
        <w:rPr>
          <w:color w:val="010101"/>
          <w:w w:val="115"/>
          <w:position w:val="11"/>
          <w:sz w:val="12"/>
        </w:rPr>
        <w:t>z+l</w:t>
      </w:r>
      <w:r>
        <w:rPr>
          <w:color w:val="010101"/>
          <w:spacing w:val="27"/>
          <w:w w:val="115"/>
          <w:position w:val="11"/>
          <w:sz w:val="12"/>
        </w:rPr>
        <w:t> </w:t>
      </w:r>
      <w:r>
        <w:rPr>
          <w:color w:val="010101"/>
          <w:sz w:val="12"/>
          <w:u w:val="single" w:color="000000"/>
        </w:rPr>
        <w:t>/J.v</w:t>
      </w:r>
      <w:r>
        <w:rPr>
          <w:color w:val="010101"/>
          <w:sz w:val="12"/>
        </w:rPr>
        <w:tab/>
      </w:r>
      <w:r>
        <w:rPr>
          <w:color w:val="010101"/>
          <w:w w:val="95"/>
          <w:sz w:val="12"/>
          <w:u w:val="single" w:color="000000"/>
        </w:rPr>
        <w:t>1'11+</w:t>
      </w:r>
      <w:r>
        <w:rPr>
          <w:color w:val="010101"/>
          <w:w w:val="95"/>
          <w:sz w:val="12"/>
        </w:rPr>
        <w:t>1 </w:t>
      </w:r>
      <w:r>
        <w:rPr>
          <w:i/>
          <w:color w:val="010101"/>
          <w:w w:val="95"/>
          <w:sz w:val="16"/>
        </w:rPr>
        <w:t>d</w:t>
      </w:r>
      <w:r>
        <w:rPr>
          <w:i/>
          <w:color w:val="010101"/>
          <w:spacing w:val="-34"/>
          <w:w w:val="95"/>
          <w:sz w:val="16"/>
        </w:rPr>
        <w:t> </w:t>
      </w:r>
      <w:r>
        <w:rPr>
          <w:i/>
          <w:color w:val="010101"/>
          <w:w w:val="95"/>
          <w:sz w:val="16"/>
        </w:rPr>
        <w:t>y</w:t>
      </w:r>
    </w:p>
    <w:p>
      <w:pPr>
        <w:tabs>
          <w:tab w:pos="2864" w:val="left" w:leader="none"/>
        </w:tabs>
        <w:spacing w:before="19"/>
        <w:ind w:left="2383" w:right="0" w:firstLine="0"/>
        <w:jc w:val="left"/>
        <w:rPr>
          <w:i/>
          <w:sz w:val="17"/>
        </w:rPr>
      </w:pPr>
      <w:r>
        <w:rPr>
          <w:color w:val="010101"/>
          <w:sz w:val="12"/>
        </w:rPr>
        <w:t>z</w:t>
        <w:tab/>
      </w:r>
      <w:r>
        <w:rPr>
          <w:color w:val="010101"/>
          <w:w w:val="85"/>
          <w:sz w:val="17"/>
        </w:rPr>
        <w:t>log</w:t>
      </w:r>
      <w:r>
        <w:rPr>
          <w:color w:val="010101"/>
          <w:spacing w:val="-7"/>
          <w:w w:val="85"/>
          <w:sz w:val="17"/>
        </w:rPr>
        <w:t> </w:t>
      </w:r>
      <w:r>
        <w:rPr>
          <w:i/>
          <w:color w:val="010101"/>
          <w:w w:val="80"/>
          <w:sz w:val="17"/>
        </w:rPr>
        <w:t>P11</w:t>
      </w:r>
    </w:p>
    <w:p>
      <w:pPr>
        <w:spacing w:before="129"/>
        <w:ind w:left="129" w:right="0" w:firstLine="0"/>
        <w:jc w:val="left"/>
        <w:rPr>
          <w:i/>
          <w:sz w:val="18"/>
        </w:rPr>
      </w:pPr>
      <w:r>
        <w:rPr>
          <w:color w:val="010101"/>
          <w:w w:val="105"/>
          <w:sz w:val="17"/>
        </w:rPr>
        <w:t>in terms of  the parameters  </w:t>
      </w:r>
      <w:r>
        <w:rPr>
          <w:rFonts w:ascii="Arial"/>
          <w:i/>
          <w:color w:val="010101"/>
          <w:w w:val="105"/>
          <w:sz w:val="15"/>
        </w:rPr>
        <w:t>g </w:t>
      </w:r>
      <w:r>
        <w:rPr>
          <w:color w:val="010101"/>
          <w:w w:val="105"/>
          <w:sz w:val="17"/>
        </w:rPr>
        <w:t>and    </w:t>
      </w:r>
      <w:r>
        <w:rPr>
          <w:i/>
          <w:color w:val="010101"/>
          <w:w w:val="105"/>
          <w:sz w:val="18"/>
        </w:rPr>
        <w:t>c.</w:t>
      </w:r>
    </w:p>
    <w:p>
      <w:pPr>
        <w:pStyle w:val="ListParagraph"/>
        <w:numPr>
          <w:ilvl w:val="0"/>
          <w:numId w:val="16"/>
        </w:numPr>
        <w:tabs>
          <w:tab w:pos="575" w:val="left" w:leader="none"/>
        </w:tabs>
        <w:spacing w:line="244" w:lineRule="auto" w:before="3" w:after="0"/>
        <w:ind w:left="129" w:right="161" w:firstLine="162"/>
        <w:jc w:val="both"/>
        <w:rPr>
          <w:sz w:val="17"/>
        </w:rPr>
      </w:pPr>
      <w:r>
        <w:rPr>
          <w:color w:val="010101"/>
          <w:w w:val="105"/>
          <w:sz w:val="17"/>
        </w:rPr>
        <w:t>Makeham derived a Second  Law  from  the  assumption  that  the  force of  mortality  consists  of  three  elements,  one  constant,  another  increasing  in arithrnetical progression throughout life, and the third increasing </w:t>
      </w:r>
      <w:r>
        <w:rPr>
          <w:color w:val="010101"/>
          <w:sz w:val="17"/>
        </w:rPr>
        <w:t>i </w:t>
      </w:r>
      <w:r>
        <w:rPr>
          <w:color w:val="010101"/>
          <w:w w:val="105"/>
          <w:sz w:val="17"/>
        </w:rPr>
        <w:t>n geometrical   progression   </w:t>
      </w:r>
      <w:r>
        <w:rPr>
          <w:color w:val="010101"/>
          <w:w w:val="105"/>
          <w:sz w:val="16"/>
        </w:rPr>
        <w:t>t </w:t>
      </w:r>
      <w:r>
        <w:rPr>
          <w:color w:val="010101"/>
          <w:w w:val="105"/>
          <w:sz w:val="17"/>
        </w:rPr>
        <w:t>hroughout   life.   Show   that   this   implies   </w:t>
      </w:r>
      <w:r>
        <w:rPr>
          <w:rFonts w:ascii="Arial"/>
          <w:color w:val="010101"/>
          <w:w w:val="105"/>
          <w:sz w:val="13"/>
        </w:rPr>
        <w:t>t</w:t>
      </w:r>
      <w:r>
        <w:rPr>
          <w:rFonts w:ascii="Arial"/>
          <w:color w:val="010101"/>
          <w:spacing w:val="20"/>
          <w:w w:val="105"/>
          <w:sz w:val="13"/>
        </w:rPr>
        <w:t> </w:t>
      </w:r>
      <w:r>
        <w:rPr>
          <w:color w:val="010101"/>
          <w:w w:val="105"/>
          <w:sz w:val="17"/>
        </w:rPr>
        <w:t>hn.t</w:t>
      </w:r>
    </w:p>
    <w:p>
      <w:pPr>
        <w:spacing w:line="206" w:lineRule="exact" w:before="0"/>
        <w:ind w:left="118" w:right="0" w:firstLine="0"/>
        <w:jc w:val="left"/>
        <w:rPr>
          <w:sz w:val="17"/>
        </w:rPr>
      </w:pPr>
      <w:r>
        <w:rPr>
          <w:i/>
          <w:color w:val="010101"/>
          <w:w w:val="110"/>
          <w:sz w:val="13"/>
        </w:rPr>
        <w:t>µ.,</w:t>
      </w:r>
      <w:r>
        <w:rPr>
          <w:i/>
          <w:color w:val="010101"/>
          <w:sz w:val="13"/>
        </w:rPr>
        <w:t>  </w:t>
      </w:r>
      <w:r>
        <w:rPr>
          <w:i/>
          <w:color w:val="010101"/>
          <w:spacing w:val="-13"/>
          <w:sz w:val="13"/>
        </w:rPr>
        <w:t> </w:t>
      </w:r>
      <w:r>
        <w:rPr>
          <w:color w:val="010101"/>
          <w:w w:val="91"/>
          <w:sz w:val="21"/>
        </w:rPr>
        <w:t>=</w:t>
      </w:r>
      <w:r>
        <w:rPr>
          <w:color w:val="010101"/>
          <w:sz w:val="21"/>
        </w:rPr>
        <w:t> </w:t>
      </w:r>
      <w:r>
        <w:rPr>
          <w:color w:val="010101"/>
          <w:spacing w:val="-17"/>
          <w:sz w:val="21"/>
        </w:rPr>
        <w:t> </w:t>
      </w:r>
      <w:r>
        <w:rPr>
          <w:i/>
          <w:color w:val="010101"/>
          <w:w w:val="110"/>
          <w:sz w:val="16"/>
        </w:rPr>
        <w:t>A</w:t>
      </w:r>
      <w:r>
        <w:rPr>
          <w:i/>
          <w:color w:val="010101"/>
          <w:sz w:val="16"/>
        </w:rPr>
        <w:t> </w:t>
      </w:r>
      <w:r>
        <w:rPr>
          <w:i/>
          <w:color w:val="010101"/>
          <w:spacing w:val="16"/>
          <w:sz w:val="16"/>
        </w:rPr>
        <w:t> </w:t>
      </w:r>
      <w:r>
        <w:rPr>
          <w:color w:val="010101"/>
          <w:w w:val="96"/>
          <w:sz w:val="24"/>
        </w:rPr>
        <w:t>+</w:t>
      </w:r>
      <w:r>
        <w:rPr>
          <w:color w:val="010101"/>
          <w:spacing w:val="17"/>
          <w:sz w:val="24"/>
        </w:rPr>
        <w:t> </w:t>
      </w:r>
      <w:r>
        <w:rPr>
          <w:i/>
          <w:color w:val="010101"/>
          <w:w w:val="96"/>
          <w:sz w:val="16"/>
        </w:rPr>
        <w:t>H</w:t>
      </w:r>
      <w:r>
        <w:rPr>
          <w:i/>
          <w:color w:val="010101"/>
          <w:spacing w:val="-9"/>
          <w:sz w:val="16"/>
        </w:rPr>
        <w:t> </w:t>
      </w:r>
      <w:r>
        <w:rPr>
          <w:i/>
          <w:color w:val="010101"/>
          <w:w w:val="101"/>
          <w:sz w:val="16"/>
        </w:rPr>
        <w:t>x</w:t>
      </w:r>
      <w:r>
        <w:rPr>
          <w:i/>
          <w:color w:val="010101"/>
          <w:sz w:val="16"/>
        </w:rPr>
        <w:t> </w:t>
      </w:r>
      <w:r>
        <w:rPr>
          <w:i/>
          <w:color w:val="010101"/>
          <w:spacing w:val="2"/>
          <w:sz w:val="16"/>
        </w:rPr>
        <w:t> </w:t>
      </w:r>
      <w:r>
        <w:rPr>
          <w:color w:val="010101"/>
          <w:w w:val="102"/>
          <w:sz w:val="24"/>
        </w:rPr>
        <w:t>+</w:t>
      </w:r>
      <w:r>
        <w:rPr>
          <w:color w:val="010101"/>
          <w:spacing w:val="19"/>
          <w:sz w:val="24"/>
        </w:rPr>
        <w:t> </w:t>
      </w:r>
      <w:r>
        <w:rPr>
          <w:i/>
          <w:color w:val="010101"/>
          <w:w w:val="109"/>
          <w:sz w:val="16"/>
        </w:rPr>
        <w:t>Be",</w:t>
      </w:r>
      <w:r>
        <w:rPr>
          <w:i/>
          <w:color w:val="010101"/>
          <w:sz w:val="16"/>
        </w:rPr>
        <w:t> </w:t>
      </w:r>
      <w:r>
        <w:rPr>
          <w:i/>
          <w:color w:val="010101"/>
          <w:spacing w:val="-3"/>
          <w:sz w:val="16"/>
        </w:rPr>
        <w:t> </w:t>
      </w:r>
      <w:r>
        <w:rPr>
          <w:color w:val="010101"/>
          <w:w w:val="109"/>
          <w:sz w:val="17"/>
        </w:rPr>
        <w:t>and</w:t>
      </w:r>
      <w:r>
        <w:rPr>
          <w:color w:val="010101"/>
          <w:sz w:val="17"/>
        </w:rPr>
        <w:t> </w:t>
      </w:r>
      <w:r>
        <w:rPr>
          <w:color w:val="010101"/>
          <w:spacing w:val="-11"/>
          <w:sz w:val="17"/>
        </w:rPr>
        <w:t> </w:t>
      </w:r>
      <w:r>
        <w:rPr>
          <w:color w:val="010101"/>
          <w:w w:val="108"/>
          <w:sz w:val="17"/>
        </w:rPr>
        <w:t>derive</w:t>
      </w:r>
      <w:r>
        <w:rPr>
          <w:color w:val="010101"/>
          <w:sz w:val="17"/>
        </w:rPr>
        <w:t> </w:t>
      </w:r>
      <w:r>
        <w:rPr>
          <w:color w:val="010101"/>
          <w:spacing w:val="-10"/>
          <w:sz w:val="17"/>
        </w:rPr>
        <w:t> </w:t>
      </w:r>
      <w:r>
        <w:rPr>
          <w:color w:val="010101"/>
          <w:w w:val="113"/>
          <w:sz w:val="17"/>
        </w:rPr>
        <w:t>the</w:t>
      </w:r>
      <w:r>
        <w:rPr>
          <w:color w:val="010101"/>
          <w:sz w:val="17"/>
        </w:rPr>
        <w:t> </w:t>
      </w:r>
      <w:r>
        <w:rPr>
          <w:color w:val="010101"/>
          <w:spacing w:val="-17"/>
          <w:sz w:val="17"/>
        </w:rPr>
        <w:t> </w:t>
      </w:r>
      <w:r>
        <w:rPr>
          <w:color w:val="010101"/>
          <w:w w:val="105"/>
          <w:sz w:val="17"/>
        </w:rPr>
        <w:t>expression</w:t>
      </w:r>
      <w:r>
        <w:rPr>
          <w:color w:val="010101"/>
          <w:sz w:val="17"/>
        </w:rPr>
        <w:t> </w:t>
      </w:r>
      <w:r>
        <w:rPr>
          <w:color w:val="010101"/>
          <w:spacing w:val="-5"/>
          <w:sz w:val="17"/>
        </w:rPr>
        <w:t> </w:t>
      </w:r>
      <w:r>
        <w:rPr>
          <w:i/>
          <w:color w:val="010101"/>
          <w:w w:val="102"/>
          <w:sz w:val="16"/>
        </w:rPr>
        <w:t>l.,</w:t>
      </w:r>
      <w:r>
        <w:rPr>
          <w:i/>
          <w:color w:val="010101"/>
          <w:sz w:val="16"/>
        </w:rPr>
        <w:t> </w:t>
      </w:r>
      <w:r>
        <w:rPr>
          <w:i/>
          <w:color w:val="010101"/>
          <w:spacing w:val="-8"/>
          <w:sz w:val="16"/>
        </w:rPr>
        <w:t> </w:t>
      </w:r>
      <w:r>
        <w:rPr>
          <w:color w:val="010101"/>
          <w:w w:val="88"/>
          <w:sz w:val="21"/>
        </w:rPr>
        <w:t>=</w:t>
      </w:r>
      <w:r>
        <w:rPr>
          <w:color w:val="010101"/>
          <w:sz w:val="21"/>
        </w:rPr>
        <w:t> </w:t>
      </w:r>
      <w:r>
        <w:rPr>
          <w:color w:val="010101"/>
          <w:spacing w:val="-6"/>
          <w:sz w:val="21"/>
        </w:rPr>
        <w:t> </w:t>
      </w:r>
      <w:r>
        <w:rPr>
          <w:i/>
          <w:color w:val="010101"/>
          <w:w w:val="107"/>
          <w:sz w:val="16"/>
        </w:rPr>
        <w:t>k</w:t>
      </w:r>
      <w:r>
        <w:rPr>
          <w:i/>
          <w:color w:val="010101"/>
          <w:spacing w:val="6"/>
          <w:w w:val="107"/>
          <w:sz w:val="16"/>
        </w:rPr>
        <w:t>s</w:t>
      </w:r>
      <w:r>
        <w:rPr>
          <w:i/>
          <w:color w:val="010101"/>
          <w:w w:val="82"/>
          <w:position w:val="5"/>
          <w:sz w:val="8"/>
        </w:rPr>
        <w:t>1</w:t>
      </w:r>
      <w:r>
        <w:rPr>
          <w:i/>
          <w:color w:val="010101"/>
          <w:spacing w:val="-5"/>
          <w:w w:val="82"/>
          <w:position w:val="5"/>
          <w:sz w:val="8"/>
        </w:rPr>
        <w:t>1</w:t>
      </w:r>
      <w:r>
        <w:rPr>
          <w:i/>
          <w:color w:val="010101"/>
          <w:spacing w:val="7"/>
          <w:w w:val="122"/>
          <w:sz w:val="21"/>
        </w:rPr>
        <w:t>w</w:t>
      </w:r>
      <w:r>
        <w:rPr>
          <w:i/>
          <w:color w:val="010101"/>
          <w:spacing w:val="-11"/>
          <w:w w:val="124"/>
          <w:position w:val="9"/>
          <w:sz w:val="8"/>
        </w:rPr>
        <w:t>1</w:t>
      </w:r>
      <w:r>
        <w:rPr>
          <w:i/>
          <w:color w:val="010101"/>
          <w:w w:val="89"/>
          <w:sz w:val="16"/>
        </w:rPr>
        <w:t>gcz</w:t>
      </w:r>
      <w:r>
        <w:rPr>
          <w:i/>
          <w:color w:val="010101"/>
          <w:spacing w:val="-10"/>
          <w:sz w:val="16"/>
        </w:rPr>
        <w:t> </w:t>
      </w:r>
      <w:r>
        <w:rPr>
          <w:i/>
          <w:color w:val="010101"/>
          <w:w w:val="123"/>
          <w:sz w:val="16"/>
        </w:rPr>
        <w:t>,</w:t>
      </w:r>
      <w:r>
        <w:rPr>
          <w:i/>
          <w:color w:val="010101"/>
          <w:spacing w:val="14"/>
          <w:sz w:val="16"/>
        </w:rPr>
        <w:t> </w:t>
      </w:r>
      <w:r>
        <w:rPr>
          <w:color w:val="010101"/>
          <w:w w:val="102"/>
          <w:sz w:val="17"/>
        </w:rPr>
        <w:t>givi</w:t>
      </w:r>
      <w:r>
        <w:rPr>
          <w:color w:val="010101"/>
          <w:spacing w:val="-21"/>
          <w:sz w:val="17"/>
        </w:rPr>
        <w:t> </w:t>
      </w:r>
      <w:r>
        <w:rPr>
          <w:color w:val="010101"/>
          <w:sz w:val="17"/>
        </w:rPr>
        <w:t>ng </w:t>
      </w:r>
      <w:r>
        <w:rPr>
          <w:color w:val="010101"/>
          <w:spacing w:val="-11"/>
          <w:sz w:val="17"/>
        </w:rPr>
        <w:t> </w:t>
      </w:r>
      <w:r>
        <w:rPr>
          <w:color w:val="010101"/>
          <w:w w:val="106"/>
          <w:sz w:val="17"/>
        </w:rPr>
        <w:t>t</w:t>
      </w:r>
      <w:r>
        <w:rPr>
          <w:color w:val="010101"/>
          <w:spacing w:val="-18"/>
          <w:sz w:val="17"/>
        </w:rPr>
        <w:t> </w:t>
      </w:r>
      <w:r>
        <w:rPr>
          <w:color w:val="010101"/>
          <w:w w:val="95"/>
          <w:sz w:val="17"/>
        </w:rPr>
        <w:t>he</w:t>
      </w:r>
    </w:p>
    <w:p>
      <w:pPr>
        <w:spacing w:line="189" w:lineRule="exact" w:before="0"/>
        <w:ind w:left="143" w:right="0" w:firstLine="0"/>
        <w:jc w:val="left"/>
        <w:rPr>
          <w:i/>
          <w:sz w:val="17"/>
        </w:rPr>
      </w:pPr>
      <w:r>
        <w:rPr>
          <w:color w:val="010101"/>
          <w:w w:val="105"/>
          <w:sz w:val="17"/>
        </w:rPr>
        <w:t>relations  between  the constants  </w:t>
      </w:r>
      <w:r>
        <w:rPr>
          <w:i/>
          <w:color w:val="010101"/>
          <w:w w:val="105"/>
          <w:sz w:val="16"/>
        </w:rPr>
        <w:t>s , </w:t>
      </w:r>
      <w:r>
        <w:rPr>
          <w:i/>
          <w:color w:val="010101"/>
          <w:w w:val="105"/>
          <w:sz w:val="17"/>
        </w:rPr>
        <w:t>w, </w:t>
      </w:r>
      <w:r>
        <w:rPr>
          <w:rFonts w:ascii="Arial"/>
          <w:i/>
          <w:color w:val="010101"/>
          <w:w w:val="105"/>
          <w:sz w:val="14"/>
        </w:rPr>
        <w:t>g, </w:t>
      </w:r>
      <w:r>
        <w:rPr>
          <w:i/>
          <w:color w:val="010101"/>
          <w:w w:val="105"/>
          <w:sz w:val="16"/>
        </w:rPr>
        <w:t>e  </w:t>
      </w:r>
      <w:r>
        <w:rPr>
          <w:color w:val="010101"/>
          <w:w w:val="105"/>
          <w:sz w:val="17"/>
        </w:rPr>
        <w:t>and </w:t>
      </w:r>
      <w:r>
        <w:rPr>
          <w:rFonts w:ascii="Arial"/>
          <w:b/>
          <w:i/>
          <w:color w:val="010101"/>
          <w:w w:val="105"/>
          <w:sz w:val="16"/>
        </w:rPr>
        <w:t>A , H , </w:t>
      </w:r>
      <w:r>
        <w:rPr>
          <w:i/>
          <w:color w:val="010101"/>
          <w:w w:val="105"/>
          <w:sz w:val="17"/>
        </w:rPr>
        <w:t>B.</w:t>
      </w:r>
    </w:p>
    <w:p>
      <w:pPr>
        <w:pStyle w:val="BodyText"/>
        <w:spacing w:before="10"/>
        <w:rPr>
          <w:i/>
          <w:sz w:val="11"/>
        </w:rPr>
      </w:pPr>
    </w:p>
    <w:p>
      <w:pPr>
        <w:spacing w:after="0"/>
        <w:rPr>
          <w:sz w:val="11"/>
        </w:rPr>
        <w:sectPr>
          <w:type w:val="continuous"/>
          <w:pgSz w:w="7200" w:h="11340"/>
          <w:pgMar w:top="1100" w:bottom="0" w:left="660" w:right="540"/>
        </w:sectPr>
      </w:pPr>
    </w:p>
    <w:p>
      <w:pPr>
        <w:pStyle w:val="BodyText"/>
        <w:spacing w:before="4"/>
        <w:rPr>
          <w:i/>
          <w:sz w:val="17"/>
        </w:rPr>
      </w:pPr>
    </w:p>
    <w:p>
      <w:pPr>
        <w:pStyle w:val="ListParagraph"/>
        <w:numPr>
          <w:ilvl w:val="0"/>
          <w:numId w:val="16"/>
        </w:numPr>
        <w:tabs>
          <w:tab w:pos="564" w:val="left" w:leader="none"/>
        </w:tabs>
        <w:spacing w:line="240" w:lineRule="auto" w:before="0" w:after="0"/>
        <w:ind w:left="563" w:right="0" w:hanging="280"/>
        <w:jc w:val="left"/>
        <w:rPr>
          <w:sz w:val="13"/>
        </w:rPr>
      </w:pPr>
      <w:r>
        <w:rPr>
          <w:color w:val="010101"/>
          <w:sz w:val="17"/>
        </w:rPr>
        <w:t>Find </w:t>
      </w:r>
      <w:r>
        <w:rPr>
          <w:i/>
          <w:color w:val="010101"/>
          <w:sz w:val="17"/>
        </w:rPr>
        <w:t>l </w:t>
      </w:r>
      <w:r>
        <w:rPr>
          <w:i/>
          <w:color w:val="010101"/>
          <w:w w:val="95"/>
          <w:sz w:val="17"/>
        </w:rPr>
        <w:t>z  </w:t>
      </w:r>
      <w:r>
        <w:rPr>
          <w:color w:val="010101"/>
          <w:sz w:val="17"/>
        </w:rPr>
        <w:t>if</w:t>
      </w:r>
      <w:r>
        <w:rPr>
          <w:color w:val="010101"/>
          <w:spacing w:val="-3"/>
          <w:sz w:val="17"/>
        </w:rPr>
        <w:t> </w:t>
      </w:r>
      <w:r>
        <w:rPr>
          <w:color w:val="010101"/>
          <w:sz w:val="13"/>
        </w:rPr>
        <w:t>P.z</w:t>
      </w:r>
    </w:p>
    <w:p>
      <w:pPr>
        <w:spacing w:line="166" w:lineRule="exact" w:before="80"/>
        <w:ind w:left="230" w:right="3628" w:firstLine="0"/>
        <w:jc w:val="center"/>
        <w:rPr>
          <w:i/>
          <w:sz w:val="16"/>
        </w:rPr>
      </w:pPr>
      <w:r>
        <w:rPr/>
        <w:br w:type="column"/>
      </w:r>
      <w:r>
        <w:rPr>
          <w:i/>
          <w:color w:val="010101"/>
          <w:w w:val="110"/>
          <w:sz w:val="16"/>
        </w:rPr>
        <w:t>Acz</w:t>
      </w:r>
    </w:p>
    <w:p>
      <w:pPr>
        <w:spacing w:line="270" w:lineRule="exact" w:before="0"/>
        <w:ind w:left="233" w:right="3628" w:firstLine="0"/>
        <w:jc w:val="center"/>
        <w:rPr>
          <w:b/>
          <w:i/>
          <w:sz w:val="17"/>
        </w:rPr>
      </w:pPr>
      <w:r>
        <w:rPr>
          <w:b/>
          <w:color w:val="010101"/>
          <w:sz w:val="17"/>
        </w:rPr>
        <w:t>1 </w:t>
      </w:r>
      <w:r>
        <w:rPr>
          <w:rFonts w:ascii="Arial"/>
          <w:color w:val="010101"/>
          <w:sz w:val="25"/>
        </w:rPr>
        <w:t>+ </w:t>
      </w:r>
      <w:r>
        <w:rPr>
          <w:b/>
          <w:i/>
          <w:color w:val="010101"/>
          <w:sz w:val="17"/>
        </w:rPr>
        <w:t>Bcz</w:t>
      </w:r>
    </w:p>
    <w:p>
      <w:pPr>
        <w:spacing w:after="0" w:line="270" w:lineRule="exact"/>
        <w:jc w:val="center"/>
        <w:rPr>
          <w:sz w:val="17"/>
        </w:rPr>
        <w:sectPr>
          <w:type w:val="continuous"/>
          <w:pgSz w:w="7200" w:h="11340"/>
          <w:pgMar w:top="1100" w:bottom="0" w:left="660" w:right="540"/>
          <w:cols w:num="2" w:equalWidth="0">
            <w:col w:w="1461" w:space="40"/>
            <w:col w:w="4499"/>
          </w:cols>
        </w:sectPr>
      </w:pPr>
    </w:p>
    <w:p>
      <w:pPr>
        <w:tabs>
          <w:tab w:pos="5906" w:val="right" w:leader="none"/>
        </w:tabs>
        <w:spacing w:before="65"/>
        <w:ind w:left="2572" w:right="0" w:firstLine="0"/>
        <w:jc w:val="left"/>
        <w:rPr>
          <w:rFonts w:ascii="Courier New"/>
          <w:sz w:val="22"/>
        </w:rPr>
      </w:pPr>
      <w:r>
        <w:rPr>
          <w:b/>
          <w:color w:val="010101"/>
          <w:position w:val="1"/>
          <w:sz w:val="15"/>
        </w:rPr>
        <w:t>EXERCISES</w:t>
      </w:r>
      <w:r>
        <w:rPr>
          <w:rFonts w:ascii="Courier New"/>
          <w:color w:val="010101"/>
          <w:sz w:val="22"/>
        </w:rPr>
        <w:tab/>
      </w:r>
      <w:r>
        <w:rPr>
          <w:rFonts w:ascii="Courier New"/>
          <w:color w:val="010101"/>
          <w:spacing w:val="-15"/>
          <w:sz w:val="22"/>
        </w:rPr>
        <w:t>35</w:t>
      </w:r>
    </w:p>
    <w:p>
      <w:pPr>
        <w:pStyle w:val="BodyText"/>
        <w:spacing w:before="3"/>
        <w:rPr>
          <w:rFonts w:ascii="Courier New"/>
        </w:rPr>
      </w:pPr>
    </w:p>
    <w:p>
      <w:pPr>
        <w:pStyle w:val="ListParagraph"/>
        <w:numPr>
          <w:ilvl w:val="0"/>
          <w:numId w:val="17"/>
        </w:numPr>
        <w:tabs>
          <w:tab w:pos="334" w:val="left" w:leader="none"/>
        </w:tabs>
        <w:spacing w:line="240" w:lineRule="auto" w:before="1" w:after="0"/>
        <w:ind w:left="333" w:right="0" w:hanging="204"/>
        <w:jc w:val="left"/>
        <w:rPr>
          <w:b/>
          <w:sz w:val="16"/>
        </w:rPr>
      </w:pPr>
      <w:r>
        <w:rPr>
          <w:b/>
          <w:color w:val="010101"/>
          <w:w w:val="125"/>
          <w:sz w:val="16"/>
        </w:rPr>
        <w:t>Select mortality </w:t>
      </w:r>
      <w:r>
        <w:rPr>
          <w:b/>
          <w:color w:val="010101"/>
          <w:spacing w:val="6"/>
          <w:w w:val="125"/>
          <w:sz w:val="16"/>
        </w:rPr>
        <w:t> </w:t>
      </w:r>
      <w:r>
        <w:rPr>
          <w:b/>
          <w:color w:val="010101"/>
          <w:w w:val="125"/>
          <w:sz w:val="16"/>
        </w:rPr>
        <w:t>tables</w:t>
      </w:r>
    </w:p>
    <w:p>
      <w:pPr>
        <w:pStyle w:val="ListParagraph"/>
        <w:numPr>
          <w:ilvl w:val="1"/>
          <w:numId w:val="17"/>
        </w:numPr>
        <w:tabs>
          <w:tab w:pos="582" w:val="left" w:leader="none"/>
        </w:tabs>
        <w:spacing w:line="242" w:lineRule="auto" w:before="87" w:after="0"/>
        <w:ind w:left="132" w:right="180" w:firstLine="162"/>
        <w:jc w:val="left"/>
        <w:rPr>
          <w:sz w:val="17"/>
        </w:rPr>
      </w:pPr>
      <w:r>
        <w:rPr>
          <w:color w:val="010101"/>
          <w:w w:val="109"/>
          <w:sz w:val="17"/>
        </w:rPr>
        <w:t>Write </w:t>
      </w:r>
      <w:r>
        <w:rPr>
          <w:color w:val="010101"/>
          <w:w w:val="109"/>
          <w:sz w:val="17"/>
        </w:rPr>
        <w:t>an </w:t>
      </w:r>
      <w:r>
        <w:rPr>
          <w:color w:val="010101"/>
          <w:w w:val="106"/>
          <w:sz w:val="17"/>
        </w:rPr>
        <w:t>expression </w:t>
      </w:r>
      <w:r>
        <w:rPr>
          <w:color w:val="010101"/>
          <w:w w:val="105"/>
          <w:sz w:val="17"/>
        </w:rPr>
        <w:t>for </w:t>
      </w:r>
      <w:r>
        <w:rPr>
          <w:color w:val="010101"/>
          <w:w w:val="91"/>
          <w:sz w:val="13"/>
        </w:rPr>
        <w:t>2¡ </w:t>
      </w:r>
      <w:r>
        <w:rPr>
          <w:color w:val="010101"/>
          <w:spacing w:val="-5"/>
          <w:w w:val="123"/>
          <w:sz w:val="13"/>
        </w:rPr>
        <w:t>,q¡10J+2</w:t>
      </w:r>
      <w:r>
        <w:rPr>
          <w:color w:val="010101"/>
          <w:w w:val="123"/>
          <w:sz w:val="13"/>
        </w:rPr>
        <w:t> </w:t>
      </w:r>
      <w:r>
        <w:rPr>
          <w:color w:val="010101"/>
          <w:w w:val="108"/>
          <w:sz w:val="17"/>
        </w:rPr>
        <w:t>in </w:t>
      </w:r>
      <w:r>
        <w:rPr>
          <w:color w:val="010101"/>
          <w:w w:val="110"/>
          <w:sz w:val="17"/>
        </w:rPr>
        <w:t>terms </w:t>
      </w:r>
      <w:r>
        <w:rPr>
          <w:color w:val="010101"/>
          <w:w w:val="93"/>
          <w:sz w:val="17"/>
        </w:rPr>
        <w:t>of </w:t>
      </w:r>
      <w:r>
        <w:rPr>
          <w:color w:val="010101"/>
          <w:w w:val="63"/>
          <w:sz w:val="17"/>
        </w:rPr>
        <w:t>Z, </w:t>
      </w:r>
      <w:r>
        <w:rPr>
          <w:color w:val="010101"/>
          <w:w w:val="107"/>
          <w:sz w:val="17"/>
        </w:rPr>
        <w:t>assuming </w:t>
      </w:r>
      <w:r>
        <w:rPr>
          <w:color w:val="010101"/>
          <w:w w:val="111"/>
          <w:sz w:val="17"/>
        </w:rPr>
        <w:t>a </w:t>
      </w:r>
      <w:r>
        <w:rPr>
          <w:color w:val="010101"/>
          <w:w w:val="108"/>
          <w:sz w:val="17"/>
        </w:rPr>
        <w:t>select </w:t>
      </w:r>
      <w:r>
        <w:rPr>
          <w:color w:val="010101"/>
          <w:w w:val="105"/>
          <w:sz w:val="17"/>
        </w:rPr>
        <w:t>period </w:t>
      </w:r>
      <w:r>
        <w:rPr>
          <w:color w:val="010101"/>
          <w:w w:val="105"/>
          <w:sz w:val="17"/>
        </w:rPr>
        <w:t>of  5</w:t>
      </w:r>
      <w:r>
        <w:rPr>
          <w:color w:val="010101"/>
          <w:spacing w:val="2"/>
          <w:w w:val="105"/>
          <w:sz w:val="17"/>
        </w:rPr>
        <w:t> </w:t>
      </w:r>
      <w:r>
        <w:rPr>
          <w:color w:val="010101"/>
          <w:w w:val="105"/>
          <w:sz w:val="17"/>
        </w:rPr>
        <w:t>years.</w:t>
      </w:r>
    </w:p>
    <w:p>
      <w:pPr>
        <w:pStyle w:val="ListParagraph"/>
        <w:numPr>
          <w:ilvl w:val="1"/>
          <w:numId w:val="17"/>
        </w:numPr>
        <w:tabs>
          <w:tab w:pos="585" w:val="left" w:leader="none"/>
        </w:tabs>
        <w:spacing w:line="244" w:lineRule="auto" w:before="0" w:after="0"/>
        <w:ind w:left="129" w:right="165" w:firstLine="172"/>
        <w:jc w:val="left"/>
        <w:rPr>
          <w:sz w:val="17"/>
        </w:rPr>
      </w:pPr>
      <w:r>
        <w:rPr>
          <w:color w:val="010101"/>
          <w:w w:val="110"/>
          <w:sz w:val="17"/>
        </w:rPr>
        <w:t>Explain why the following probabilities </w:t>
      </w:r>
      <w:r>
        <w:rPr>
          <w:color w:val="010101"/>
          <w:w w:val="110"/>
          <w:sz w:val="18"/>
        </w:rPr>
        <w:t>will </w:t>
      </w:r>
      <w:r>
        <w:rPr>
          <w:color w:val="010101"/>
          <w:w w:val="110"/>
          <w:sz w:val="17"/>
        </w:rPr>
        <w:t>differ on the basis of a select </w:t>
      </w:r>
      <w:r>
        <w:rPr>
          <w:color w:val="010101"/>
          <w:spacing w:val="5"/>
          <w:w w:val="110"/>
          <w:sz w:val="17"/>
        </w:rPr>
        <w:t> </w:t>
      </w:r>
      <w:r>
        <w:rPr>
          <w:color w:val="010101"/>
          <w:w w:val="110"/>
          <w:sz w:val="17"/>
        </w:rPr>
        <w:t>table:</w:t>
      </w:r>
    </w:p>
    <w:p>
      <w:pPr>
        <w:pStyle w:val="ListParagraph"/>
        <w:numPr>
          <w:ilvl w:val="2"/>
          <w:numId w:val="17"/>
        </w:numPr>
        <w:tabs>
          <w:tab w:pos="768" w:val="left" w:leader="none"/>
        </w:tabs>
        <w:spacing w:line="244" w:lineRule="auto" w:before="0" w:after="0"/>
        <w:ind w:left="760" w:right="176" w:hanging="283"/>
        <w:jc w:val="left"/>
        <w:rPr>
          <w:rFonts w:ascii="Courier New"/>
          <w:i/>
          <w:sz w:val="19"/>
        </w:rPr>
      </w:pPr>
      <w:r>
        <w:rPr>
          <w:color w:val="010101"/>
          <w:w w:val="105"/>
          <w:sz w:val="17"/>
        </w:rPr>
        <w:t>the probability that a newly insured life aged 23 </w:t>
      </w:r>
      <w:r>
        <w:rPr>
          <w:color w:val="010101"/>
          <w:w w:val="105"/>
          <w:sz w:val="18"/>
        </w:rPr>
        <w:t>will </w:t>
      </w:r>
      <w:r>
        <w:rPr>
          <w:color w:val="010101"/>
          <w:w w:val="105"/>
          <w:sz w:val="17"/>
        </w:rPr>
        <w:t>die before </w:t>
      </w:r>
      <w:r>
        <w:rPr>
          <w:color w:val="010101"/>
          <w:sz w:val="17"/>
        </w:rPr>
        <w:t>attaining age</w:t>
      </w:r>
      <w:r>
        <w:rPr>
          <w:color w:val="010101"/>
          <w:spacing w:val="-19"/>
          <w:sz w:val="17"/>
        </w:rPr>
        <w:t> </w:t>
      </w:r>
      <w:r>
        <w:rPr>
          <w:rFonts w:ascii="Courier New"/>
          <w:i/>
          <w:color w:val="010101"/>
          <w:w w:val="95"/>
          <w:sz w:val="19"/>
        </w:rPr>
        <w:t>'Zl;</w:t>
      </w:r>
    </w:p>
    <w:p>
      <w:pPr>
        <w:pStyle w:val="ListParagraph"/>
        <w:numPr>
          <w:ilvl w:val="2"/>
          <w:numId w:val="17"/>
        </w:numPr>
        <w:tabs>
          <w:tab w:pos="765" w:val="left" w:leader="none"/>
        </w:tabs>
        <w:spacing w:line="177" w:lineRule="exact" w:before="0" w:after="0"/>
        <w:ind w:left="764" w:right="0" w:hanging="291"/>
        <w:jc w:val="left"/>
        <w:rPr>
          <w:sz w:val="17"/>
        </w:rPr>
      </w:pPr>
      <w:r>
        <w:rPr>
          <w:color w:val="010101"/>
          <w:w w:val="110"/>
          <w:sz w:val="17"/>
        </w:rPr>
        <w:t>the proba.bility  that a life </w:t>
      </w:r>
      <w:r>
        <w:rPr>
          <w:rFonts w:ascii="Arial"/>
          <w:b/>
          <w:color w:val="010101"/>
          <w:w w:val="110"/>
          <w:sz w:val="15"/>
        </w:rPr>
        <w:t>aged </w:t>
      </w:r>
      <w:r>
        <w:rPr>
          <w:color w:val="010101"/>
          <w:w w:val="110"/>
          <w:sz w:val="17"/>
        </w:rPr>
        <w:t>23 which  was insured  three </w:t>
      </w:r>
      <w:r>
        <w:rPr>
          <w:color w:val="010101"/>
          <w:spacing w:val="23"/>
          <w:w w:val="110"/>
          <w:sz w:val="17"/>
        </w:rPr>
        <w:t> </w:t>
      </w:r>
      <w:r>
        <w:rPr>
          <w:color w:val="010101"/>
          <w:w w:val="110"/>
          <w:sz w:val="17"/>
        </w:rPr>
        <w:t>years</w:t>
      </w:r>
    </w:p>
    <w:p>
      <w:pPr>
        <w:spacing w:before="9"/>
        <w:ind w:left="760" w:right="0" w:firstLine="0"/>
        <w:jc w:val="left"/>
        <w:rPr>
          <w:rFonts w:ascii="Arial"/>
          <w:i/>
          <w:sz w:val="16"/>
        </w:rPr>
      </w:pPr>
      <w:r>
        <w:rPr>
          <w:color w:val="010101"/>
          <w:w w:val="105"/>
          <w:sz w:val="17"/>
        </w:rPr>
        <w:t>ago  will  die  before  attaining  age </w:t>
      </w:r>
      <w:r>
        <w:rPr>
          <w:rFonts w:ascii="Arial"/>
          <w:i/>
          <w:color w:val="010101"/>
          <w:w w:val="105"/>
          <w:sz w:val="16"/>
        </w:rPr>
        <w:t>Zl .</w:t>
      </w:r>
    </w:p>
    <w:p>
      <w:pPr>
        <w:spacing w:before="6"/>
        <w:ind w:left="140" w:right="0" w:firstLine="0"/>
        <w:jc w:val="left"/>
        <w:rPr>
          <w:sz w:val="17"/>
        </w:rPr>
      </w:pPr>
      <w:r>
        <w:rPr>
          <w:color w:val="010101"/>
          <w:w w:val="110"/>
          <w:sz w:val="17"/>
        </w:rPr>
        <w:t>Calculate both probabilities  using Table 3.</w:t>
      </w:r>
    </w:p>
    <w:p>
      <w:pPr>
        <w:pStyle w:val="ListParagraph"/>
        <w:numPr>
          <w:ilvl w:val="1"/>
          <w:numId w:val="17"/>
        </w:numPr>
        <w:tabs>
          <w:tab w:pos="589" w:val="left" w:leader="none"/>
        </w:tabs>
        <w:spacing w:line="247" w:lineRule="auto" w:before="9" w:after="0"/>
        <w:ind w:left="448" w:right="1920" w:hanging="147"/>
        <w:jc w:val="left"/>
        <w:rPr>
          <w:sz w:val="17"/>
        </w:rPr>
      </w:pPr>
      <w:r>
        <w:rPr>
          <w:color w:val="010101"/>
          <w:w w:val="110"/>
          <w:sz w:val="17"/>
        </w:rPr>
        <w:t>Consider the three following mortality tables: Table A, a select and ultimate </w:t>
      </w:r>
      <w:r>
        <w:rPr>
          <w:color w:val="010101"/>
          <w:spacing w:val="42"/>
          <w:w w:val="110"/>
          <w:sz w:val="17"/>
        </w:rPr>
        <w:t> </w:t>
      </w:r>
      <w:r>
        <w:rPr>
          <w:color w:val="010101"/>
          <w:w w:val="110"/>
          <w:sz w:val="17"/>
        </w:rPr>
        <w:t>table;</w:t>
      </w:r>
    </w:p>
    <w:p>
      <w:pPr>
        <w:spacing w:line="247" w:lineRule="auto" w:before="4"/>
        <w:ind w:left="764" w:right="229" w:hanging="316"/>
        <w:jc w:val="left"/>
        <w:rPr>
          <w:sz w:val="17"/>
        </w:rPr>
      </w:pPr>
      <w:r>
        <w:rPr>
          <w:color w:val="010101"/>
          <w:w w:val="110"/>
          <w:sz w:val="17"/>
        </w:rPr>
        <w:t>Table B, an ultimate table cohsisting of the ultimate column  of Table  A;</w:t>
      </w:r>
      <w:r>
        <w:rPr>
          <w:color w:val="010101"/>
          <w:spacing w:val="10"/>
          <w:w w:val="110"/>
          <w:sz w:val="17"/>
        </w:rPr>
        <w:t> </w:t>
      </w:r>
      <w:r>
        <w:rPr>
          <w:color w:val="010101"/>
          <w:w w:val="110"/>
          <w:sz w:val="17"/>
        </w:rPr>
        <w:t>and</w:t>
      </w:r>
    </w:p>
    <w:p>
      <w:pPr>
        <w:spacing w:before="0"/>
        <w:ind w:left="444" w:right="0" w:firstLine="0"/>
        <w:jc w:val="left"/>
        <w:rPr>
          <w:sz w:val="17"/>
        </w:rPr>
      </w:pPr>
      <w:r>
        <w:rPr>
          <w:color w:val="010101"/>
          <w:w w:val="110"/>
          <w:sz w:val="17"/>
        </w:rPr>
        <w:t>Table C, an aggregate table constructed  from the data   on which Table</w:t>
      </w:r>
    </w:p>
    <w:p>
      <w:pPr>
        <w:spacing w:before="6"/>
        <w:ind w:left="760" w:right="0" w:firstLine="0"/>
        <w:jc w:val="left"/>
        <w:rPr>
          <w:sz w:val="17"/>
        </w:rPr>
      </w:pPr>
      <w:r>
        <w:rPr>
          <w:rFonts w:ascii="Arial"/>
          <w:b/>
          <w:color w:val="010101"/>
          <w:w w:val="105"/>
          <w:sz w:val="15"/>
        </w:rPr>
        <w:t>A  </w:t>
      </w:r>
      <w:r>
        <w:rPr>
          <w:color w:val="010101"/>
          <w:w w:val="105"/>
          <w:sz w:val="17"/>
        </w:rPr>
        <w:t>is based.</w:t>
      </w:r>
    </w:p>
    <w:p>
      <w:pPr>
        <w:spacing w:line="247" w:lineRule="auto" w:before="6"/>
        <w:ind w:left="129" w:right="229" w:hanging="4"/>
        <w:jc w:val="left"/>
        <w:rPr>
          <w:sz w:val="17"/>
        </w:rPr>
      </w:pPr>
      <w:r>
        <w:rPr>
          <w:color w:val="010101"/>
          <w:sz w:val="17"/>
        </w:rPr>
        <w:t>Wha.t  will  be  the  relative  magnitudes  oí  the  following  f unctions  on  the  basis  of  the  three  </w:t>
      </w:r>
      <w:r>
        <w:rPr>
          <w:color w:val="010101"/>
          <w:spacing w:val="9"/>
          <w:sz w:val="17"/>
        </w:rPr>
        <w:t> </w:t>
      </w:r>
      <w:r>
        <w:rPr>
          <w:color w:val="010101"/>
          <w:sz w:val="17"/>
        </w:rPr>
        <w:t>ta.bles?</w:t>
      </w:r>
    </w:p>
    <w:p>
      <w:pPr>
        <w:pStyle w:val="ListParagraph"/>
        <w:numPr>
          <w:ilvl w:val="2"/>
          <w:numId w:val="17"/>
        </w:numPr>
        <w:tabs>
          <w:tab w:pos="754" w:val="left" w:leader="none"/>
        </w:tabs>
        <w:spacing w:line="240" w:lineRule="auto" w:before="7" w:after="0"/>
        <w:ind w:left="753" w:right="0" w:hanging="287"/>
        <w:jc w:val="left"/>
        <w:rPr>
          <w:sz w:val="17"/>
        </w:rPr>
      </w:pPr>
      <w:r>
        <w:rPr>
          <w:color w:val="010101"/>
          <w:w w:val="105"/>
          <w:sz w:val="13"/>
        </w:rPr>
        <w:t>nPlzJ  </w:t>
      </w:r>
      <w:r>
        <w:rPr>
          <w:color w:val="010101"/>
          <w:w w:val="105"/>
          <w:sz w:val="17"/>
        </w:rPr>
        <w:t>in Table  A  compared  with  </w:t>
      </w:r>
      <w:r>
        <w:rPr>
          <w:i/>
          <w:color w:val="010101"/>
          <w:w w:val="105"/>
          <w:sz w:val="16"/>
        </w:rPr>
        <w:t>»Pz  </w:t>
      </w:r>
      <w:r>
        <w:rPr>
          <w:color w:val="010101"/>
          <w:w w:val="105"/>
          <w:sz w:val="17"/>
        </w:rPr>
        <w:t>in</w:t>
      </w:r>
      <w:r>
        <w:rPr>
          <w:color w:val="010101"/>
          <w:spacing w:val="9"/>
          <w:w w:val="105"/>
          <w:sz w:val="17"/>
        </w:rPr>
        <w:t> </w:t>
      </w:r>
      <w:r>
        <w:rPr>
          <w:color w:val="010101"/>
          <w:w w:val="105"/>
          <w:sz w:val="17"/>
        </w:rPr>
        <w:t>B;</w:t>
      </w:r>
    </w:p>
    <w:p>
      <w:pPr>
        <w:pStyle w:val="ListParagraph"/>
        <w:numPr>
          <w:ilvl w:val="2"/>
          <w:numId w:val="17"/>
        </w:numPr>
        <w:tabs>
          <w:tab w:pos="754" w:val="left" w:leader="none"/>
        </w:tabs>
        <w:spacing w:line="240" w:lineRule="auto" w:before="2" w:after="0"/>
        <w:ind w:left="753" w:right="0" w:hanging="291"/>
        <w:jc w:val="left"/>
        <w:rPr>
          <w:sz w:val="17"/>
        </w:rPr>
      </w:pPr>
      <w:r>
        <w:rPr>
          <w:color w:val="010101"/>
          <w:spacing w:val="-3"/>
          <w:w w:val="105"/>
          <w:sz w:val="13"/>
        </w:rPr>
        <w:t>q¡zJ   </w:t>
      </w:r>
      <w:r>
        <w:rPr>
          <w:color w:val="010101"/>
          <w:w w:val="105"/>
          <w:sz w:val="17"/>
        </w:rPr>
        <w:t>in Table  A  compared  with  </w:t>
      </w:r>
      <w:r>
        <w:rPr>
          <w:i/>
          <w:color w:val="010101"/>
          <w:w w:val="105"/>
          <w:sz w:val="17"/>
        </w:rPr>
        <w:t>qz  </w:t>
      </w:r>
      <w:r>
        <w:rPr>
          <w:color w:val="010101"/>
          <w:w w:val="105"/>
          <w:sz w:val="17"/>
        </w:rPr>
        <w:t>in  B  and</w:t>
      </w:r>
      <w:r>
        <w:rPr>
          <w:color w:val="010101"/>
          <w:spacing w:val="-18"/>
          <w:w w:val="105"/>
          <w:sz w:val="17"/>
        </w:rPr>
        <w:t> </w:t>
      </w:r>
      <w:r>
        <w:rPr>
          <w:color w:val="010101"/>
          <w:w w:val="105"/>
          <w:sz w:val="17"/>
        </w:rPr>
        <w:t>C;</w:t>
      </w:r>
    </w:p>
    <w:p>
      <w:pPr>
        <w:spacing w:before="22"/>
        <w:ind w:left="459" w:right="0" w:firstLine="0"/>
        <w:jc w:val="left"/>
        <w:rPr>
          <w:sz w:val="12"/>
        </w:rPr>
      </w:pPr>
      <w:r>
        <w:rPr>
          <w:color w:val="010101"/>
          <w:sz w:val="16"/>
        </w:rPr>
        <w:t>(e)  </w:t>
      </w:r>
      <w:r>
        <w:rPr>
          <w:color w:val="010101"/>
          <w:sz w:val="12"/>
        </w:rPr>
        <w:t>P.z  •</w:t>
      </w:r>
    </w:p>
    <w:p>
      <w:pPr>
        <w:pStyle w:val="BodyText"/>
        <w:spacing w:before="11"/>
        <w:rPr>
          <w:sz w:val="14"/>
        </w:rPr>
      </w:pPr>
    </w:p>
    <w:p>
      <w:pPr>
        <w:pStyle w:val="ListParagraph"/>
        <w:numPr>
          <w:ilvl w:val="0"/>
          <w:numId w:val="17"/>
        </w:numPr>
        <w:tabs>
          <w:tab w:pos="323" w:val="left" w:leader="none"/>
        </w:tabs>
        <w:spacing w:line="240" w:lineRule="auto" w:before="0" w:after="0"/>
        <w:ind w:left="322" w:right="0" w:hanging="204"/>
        <w:jc w:val="left"/>
        <w:rPr>
          <w:b/>
          <w:sz w:val="16"/>
        </w:rPr>
      </w:pPr>
      <w:r>
        <w:rPr>
          <w:b/>
          <w:color w:val="010101"/>
          <w:w w:val="125"/>
          <w:sz w:val="16"/>
        </w:rPr>
        <w:t>The lnternational  Actuaria(</w:t>
      </w:r>
      <w:r>
        <w:rPr>
          <w:b/>
          <w:color w:val="010101"/>
          <w:spacing w:val="19"/>
          <w:w w:val="125"/>
          <w:sz w:val="16"/>
        </w:rPr>
        <w:t> </w:t>
      </w:r>
      <w:r>
        <w:rPr>
          <w:b/>
          <w:color w:val="010101"/>
          <w:w w:val="125"/>
          <w:sz w:val="16"/>
        </w:rPr>
        <w:t>Notation</w:t>
      </w:r>
    </w:p>
    <w:p>
      <w:pPr>
        <w:spacing w:line="194" w:lineRule="exact" w:before="87"/>
        <w:ind w:left="287" w:right="0" w:firstLine="0"/>
        <w:jc w:val="left"/>
        <w:rPr>
          <w:sz w:val="17"/>
        </w:rPr>
      </w:pPr>
      <w:r>
        <w:rPr>
          <w:rFonts w:ascii="Arial"/>
          <w:i/>
          <w:color w:val="010101"/>
          <w:w w:val="105"/>
          <w:sz w:val="16"/>
        </w:rPr>
        <w:t>Zl. </w:t>
      </w:r>
      <w:r>
        <w:rPr>
          <w:color w:val="010101"/>
          <w:w w:val="105"/>
          <w:sz w:val="17"/>
        </w:rPr>
        <w:t>Express  ea.ch  of  the  following  by  a single symbol:</w:t>
      </w:r>
    </w:p>
    <w:p>
      <w:pPr>
        <w:pStyle w:val="ListParagraph"/>
        <w:numPr>
          <w:ilvl w:val="0"/>
          <w:numId w:val="18"/>
        </w:numPr>
        <w:tabs>
          <w:tab w:pos="761" w:val="left" w:leader="none"/>
        </w:tabs>
        <w:spacing w:line="244" w:lineRule="auto" w:before="0" w:after="0"/>
        <w:ind w:left="749" w:right="172" w:hanging="283"/>
        <w:jc w:val="both"/>
        <w:rPr>
          <w:sz w:val="17"/>
        </w:rPr>
      </w:pPr>
      <w:r>
        <w:rPr>
          <w:color w:val="010101"/>
          <w:w w:val="105"/>
          <w:sz w:val="17"/>
        </w:rPr>
        <w:t>the probability that a life  now  aged  50,  insured  3 years  ago,  </w:t>
      </w:r>
      <w:r>
        <w:rPr>
          <w:b/>
          <w:color w:val="010101"/>
          <w:w w:val="105"/>
          <w:sz w:val="18"/>
        </w:rPr>
        <w:t>will </w:t>
      </w:r>
      <w:r>
        <w:rPr>
          <w:color w:val="010101"/>
          <w:w w:val="105"/>
          <w:sz w:val="17"/>
        </w:rPr>
        <w:t>die in his 59th year, i.e., between a.ges 58 and 59 (assuming a 5-year select  period)</w:t>
      </w:r>
      <w:r>
        <w:rPr>
          <w:color w:val="010101"/>
          <w:spacing w:val="9"/>
          <w:w w:val="105"/>
          <w:sz w:val="17"/>
        </w:rPr>
        <w:t> </w:t>
      </w:r>
      <w:r>
        <w:rPr>
          <w:color w:val="010101"/>
          <w:w w:val="105"/>
          <w:sz w:val="17"/>
        </w:rPr>
        <w:t>;</w:t>
      </w:r>
    </w:p>
    <w:p>
      <w:pPr>
        <w:pStyle w:val="ListParagraph"/>
        <w:numPr>
          <w:ilvl w:val="0"/>
          <w:numId w:val="18"/>
        </w:numPr>
        <w:tabs>
          <w:tab w:pos="754" w:val="left" w:leader="none"/>
        </w:tabs>
        <w:spacing w:line="252" w:lineRule="auto" w:before="2" w:after="0"/>
        <w:ind w:left="742" w:right="187" w:hanging="280"/>
        <w:jc w:val="left"/>
        <w:rPr>
          <w:sz w:val="17"/>
        </w:rPr>
      </w:pPr>
      <w:r>
        <w:rPr>
          <w:color w:val="010101"/>
          <w:sz w:val="17"/>
        </w:rPr>
        <w:t>the probability that a new  life  aged  O  will  die  between  ages 67  and 72;</w:t>
      </w:r>
    </w:p>
    <w:p>
      <w:pPr>
        <w:spacing w:line="247" w:lineRule="auto" w:before="0"/>
        <w:ind w:left="746" w:right="229" w:hanging="291"/>
        <w:jc w:val="left"/>
        <w:rPr>
          <w:sz w:val="17"/>
        </w:rPr>
      </w:pPr>
      <w:r>
        <w:rPr>
          <w:color w:val="010101"/>
          <w:w w:val="105"/>
          <w:sz w:val="17"/>
        </w:rPr>
        <w:t>(e) the number of deaths occurring between age 29  and  age 30 in  the third  year  of  insurance  (assuming  a 3-year  select</w:t>
      </w:r>
      <w:r>
        <w:rPr>
          <w:color w:val="010101"/>
          <w:spacing w:val="22"/>
          <w:w w:val="105"/>
          <w:sz w:val="17"/>
        </w:rPr>
        <w:t> </w:t>
      </w:r>
      <w:r>
        <w:rPr>
          <w:color w:val="010101"/>
          <w:w w:val="105"/>
          <w:sz w:val="17"/>
        </w:rPr>
        <w:t>period).</w:t>
      </w:r>
    </w:p>
    <w:p>
      <w:pPr>
        <w:pStyle w:val="BodyText"/>
        <w:spacing w:before="10"/>
        <w:rPr>
          <w:sz w:val="14"/>
        </w:rPr>
      </w:pPr>
    </w:p>
    <w:p>
      <w:pPr>
        <w:spacing w:before="0"/>
        <w:ind w:left="111" w:right="0" w:firstLine="0"/>
        <w:jc w:val="left"/>
        <w:rPr>
          <w:b/>
          <w:sz w:val="16"/>
        </w:rPr>
      </w:pPr>
      <w:r>
        <w:rPr>
          <w:b/>
          <w:color w:val="010101"/>
          <w:w w:val="125"/>
          <w:sz w:val="16"/>
        </w:rPr>
        <w:t>Miscellaneous problems</w:t>
      </w:r>
    </w:p>
    <w:p>
      <w:pPr>
        <w:pStyle w:val="ListParagraph"/>
        <w:numPr>
          <w:ilvl w:val="0"/>
          <w:numId w:val="19"/>
        </w:numPr>
        <w:tabs>
          <w:tab w:pos="575" w:val="left" w:leader="none"/>
        </w:tabs>
        <w:spacing w:line="247" w:lineRule="auto" w:before="83" w:after="0"/>
        <w:ind w:left="122" w:right="165" w:firstLine="161"/>
        <w:jc w:val="left"/>
        <w:rPr>
          <w:color w:val="010101"/>
          <w:sz w:val="17"/>
        </w:rPr>
      </w:pPr>
      <w:r>
        <w:rPr>
          <w:i/>
          <w:color w:val="010101"/>
          <w:w w:val="110"/>
          <w:sz w:val="17"/>
        </w:rPr>
        <w:t>qz </w:t>
      </w:r>
      <w:r>
        <w:rPr>
          <w:color w:val="010101"/>
          <w:w w:val="110"/>
          <w:sz w:val="17"/>
        </w:rPr>
        <w:t>has been defined as "the complement of the reciprocal of the anti­ log  of  the  arithmetic  mean  oí the  dea.th  rates  operating  at  each</w:t>
      </w:r>
      <w:r>
        <w:rPr>
          <w:color w:val="010101"/>
          <w:spacing w:val="26"/>
          <w:w w:val="110"/>
          <w:sz w:val="17"/>
        </w:rPr>
        <w:t> </w:t>
      </w:r>
      <w:r>
        <w:rPr>
          <w:color w:val="010101"/>
          <w:w w:val="110"/>
          <w:sz w:val="17"/>
        </w:rPr>
        <w:t>instant</w:t>
      </w:r>
    </w:p>
    <w:p>
      <w:pPr>
        <w:spacing w:line="208" w:lineRule="exact" w:before="0"/>
        <w:ind w:left="132" w:right="0" w:firstLine="0"/>
        <w:jc w:val="left"/>
        <w:rPr>
          <w:sz w:val="17"/>
        </w:rPr>
      </w:pPr>
      <w:r>
        <w:rPr>
          <w:color w:val="010101"/>
          <w:w w:val="110"/>
          <w:sz w:val="17"/>
        </w:rPr>
        <w:t>throughout the age interval </w:t>
      </w:r>
      <w:r>
        <w:rPr>
          <w:i/>
          <w:color w:val="010101"/>
          <w:w w:val="110"/>
          <w:sz w:val="18"/>
        </w:rPr>
        <w:t>x </w:t>
      </w:r>
      <w:r>
        <w:rPr>
          <w:color w:val="010101"/>
          <w:w w:val="110"/>
          <w:sz w:val="17"/>
        </w:rPr>
        <w:t>to </w:t>
      </w:r>
      <w:r>
        <w:rPr>
          <w:i/>
          <w:color w:val="010101"/>
          <w:w w:val="110"/>
          <w:sz w:val="18"/>
        </w:rPr>
        <w:t>x </w:t>
      </w:r>
      <w:r>
        <w:rPr>
          <w:rFonts w:ascii="Arial" w:hAnsi="Arial"/>
          <w:color w:val="010101"/>
          <w:w w:val="110"/>
          <w:sz w:val="26"/>
        </w:rPr>
        <w:t>+ </w:t>
      </w:r>
      <w:r>
        <w:rPr>
          <w:color w:val="010101"/>
          <w:w w:val="125"/>
          <w:sz w:val="16"/>
        </w:rPr>
        <w:t>l." </w:t>
      </w:r>
      <w:r>
        <w:rPr>
          <w:color w:val="010101"/>
          <w:w w:val="110"/>
          <w:sz w:val="17"/>
        </w:rPr>
        <w:t>(Weck , 1947) Demonstrate mathe­</w:t>
      </w:r>
    </w:p>
    <w:p>
      <w:pPr>
        <w:spacing w:line="189" w:lineRule="exact" w:before="0"/>
        <w:ind w:left="118" w:right="0" w:firstLine="0"/>
        <w:jc w:val="left"/>
        <w:rPr>
          <w:sz w:val="17"/>
        </w:rPr>
      </w:pPr>
      <w:r>
        <w:rPr>
          <w:color w:val="010101"/>
          <w:w w:val="105"/>
          <w:sz w:val="17"/>
        </w:rPr>
        <w:t>matica.lly  the  accuracy  of  the definition.</w:t>
      </w:r>
    </w:p>
    <w:p>
      <w:pPr>
        <w:pStyle w:val="ListParagraph"/>
        <w:numPr>
          <w:ilvl w:val="0"/>
          <w:numId w:val="19"/>
        </w:numPr>
        <w:tabs>
          <w:tab w:pos="571" w:val="left" w:leader="none"/>
        </w:tabs>
        <w:spacing w:line="240" w:lineRule="auto" w:before="2" w:after="0"/>
        <w:ind w:left="570" w:right="0" w:hanging="287"/>
        <w:jc w:val="left"/>
        <w:rPr>
          <w:color w:val="010101"/>
          <w:sz w:val="17"/>
        </w:rPr>
      </w:pPr>
      <w:r>
        <w:rPr>
          <w:color w:val="010101"/>
          <w:w w:val="105"/>
          <w:sz w:val="17"/>
        </w:rPr>
        <w:t>The probability  </w:t>
      </w:r>
      <w:r>
        <w:rPr>
          <w:i/>
          <w:color w:val="010101"/>
          <w:w w:val="105"/>
          <w:sz w:val="17"/>
        </w:rPr>
        <w:t>,.qz  </w:t>
      </w:r>
      <w:r>
        <w:rPr>
          <w:color w:val="010101"/>
          <w:w w:val="105"/>
          <w:sz w:val="17"/>
        </w:rPr>
        <w:t>may  be expressed  in the following  different</w:t>
      </w:r>
      <w:r>
        <w:rPr>
          <w:color w:val="010101"/>
          <w:spacing w:val="22"/>
          <w:w w:val="105"/>
          <w:sz w:val="17"/>
        </w:rPr>
        <w:t> </w:t>
      </w:r>
      <w:r>
        <w:rPr>
          <w:color w:val="010101"/>
          <w:w w:val="105"/>
          <w:sz w:val="17"/>
        </w:rPr>
        <w:t>ways:</w:t>
      </w:r>
    </w:p>
    <w:p>
      <w:pPr>
        <w:pStyle w:val="BodyText"/>
        <w:spacing w:before="8"/>
        <w:rPr>
          <w:sz w:val="12"/>
        </w:rPr>
      </w:pPr>
    </w:p>
    <w:p>
      <w:pPr>
        <w:tabs>
          <w:tab w:pos="5531" w:val="left" w:leader="none"/>
        </w:tabs>
        <w:spacing w:line="266" w:lineRule="exact" w:before="0"/>
        <w:ind w:left="2059" w:right="0" w:firstLine="0"/>
        <w:jc w:val="left"/>
        <w:rPr>
          <w:sz w:val="15"/>
        </w:rPr>
      </w:pPr>
      <w:r>
        <w:rPr>
          <w:i/>
          <w:color w:val="010101"/>
          <w:spacing w:val="-205"/>
          <w:w w:val="339"/>
          <w:position w:val="-10"/>
          <w:sz w:val="17"/>
        </w:rPr>
        <w:t>.</w:t>
      </w:r>
      <w:r>
        <w:rPr>
          <w:i/>
          <w:color w:val="010101"/>
          <w:w w:val="126"/>
          <w:position w:val="-10"/>
          <w:sz w:val="17"/>
        </w:rPr>
        <w:t>q.</w:t>
      </w:r>
      <w:r>
        <w:rPr>
          <w:i/>
          <w:color w:val="010101"/>
          <w:spacing w:val="15"/>
          <w:position w:val="-10"/>
          <w:sz w:val="17"/>
        </w:rPr>
        <w:t> </w:t>
      </w:r>
      <w:r>
        <w:rPr>
          <w:color w:val="010101"/>
          <w:w w:val="105"/>
          <w:position w:val="-10"/>
          <w:sz w:val="19"/>
        </w:rPr>
        <w:t>=</w:t>
      </w:r>
      <w:r>
        <w:rPr>
          <w:color w:val="010101"/>
          <w:position w:val="-10"/>
          <w:sz w:val="19"/>
        </w:rPr>
        <w:t> </w:t>
      </w:r>
      <w:r>
        <w:rPr>
          <w:color w:val="010101"/>
          <w:spacing w:val="-8"/>
          <w:position w:val="-10"/>
          <w:sz w:val="19"/>
        </w:rPr>
        <w:t> </w:t>
      </w:r>
      <w:r>
        <w:rPr>
          <w:i/>
          <w:color w:val="010101"/>
          <w:w w:val="85"/>
          <w:sz w:val="17"/>
        </w:rPr>
        <w:t>l</w:t>
      </w:r>
      <w:r>
        <w:rPr>
          <w:i/>
          <w:color w:val="010101"/>
          <w:spacing w:val="-30"/>
          <w:sz w:val="17"/>
        </w:rPr>
        <w:t> </w:t>
      </w:r>
      <w:r>
        <w:rPr>
          <w:i/>
          <w:color w:val="010101"/>
          <w:w w:val="62"/>
          <w:sz w:val="17"/>
        </w:rPr>
        <w:t>z</w:t>
      </w:r>
      <w:r>
        <w:rPr>
          <w:i/>
          <w:color w:val="010101"/>
          <w:sz w:val="17"/>
        </w:rPr>
        <w:t> </w:t>
      </w:r>
      <w:r>
        <w:rPr>
          <w:i/>
          <w:color w:val="010101"/>
          <w:spacing w:val="6"/>
          <w:sz w:val="17"/>
        </w:rPr>
        <w:t> </w:t>
      </w:r>
      <w:r>
        <w:rPr>
          <w:color w:val="010101"/>
          <w:w w:val="281"/>
          <w:sz w:val="17"/>
        </w:rPr>
        <w:t>-</w:t>
      </w:r>
      <w:r>
        <w:rPr>
          <w:color w:val="010101"/>
          <w:spacing w:val="2"/>
          <w:sz w:val="17"/>
        </w:rPr>
        <w:t> </w:t>
      </w:r>
      <w:r>
        <w:rPr>
          <w:i/>
          <w:color w:val="010101"/>
          <w:w w:val="81"/>
          <w:sz w:val="17"/>
        </w:rPr>
        <w:t>lz+"</w:t>
      </w:r>
      <w:r>
        <w:rPr>
          <w:i/>
          <w:color w:val="010101"/>
          <w:sz w:val="17"/>
        </w:rPr>
        <w:tab/>
      </w:r>
      <w:r>
        <w:rPr>
          <w:color w:val="010101"/>
          <w:w w:val="104"/>
          <w:position w:val="-7"/>
          <w:sz w:val="15"/>
        </w:rPr>
        <w:t>(1.6)</w:t>
      </w:r>
    </w:p>
    <w:p>
      <w:pPr>
        <w:spacing w:line="152" w:lineRule="exact" w:before="0"/>
        <w:ind w:left="293" w:right="323" w:firstLine="0"/>
        <w:jc w:val="center"/>
        <w:rPr>
          <w:i/>
          <w:sz w:val="17"/>
        </w:rPr>
      </w:pPr>
      <w:r>
        <w:rPr>
          <w:i/>
          <w:color w:val="010101"/>
          <w:sz w:val="17"/>
        </w:rPr>
        <w:t>lz</w:t>
      </w:r>
    </w:p>
    <w:p>
      <w:pPr>
        <w:spacing w:line="66" w:lineRule="exact" w:before="54"/>
        <w:ind w:left="1455" w:right="894" w:firstLine="0"/>
        <w:jc w:val="center"/>
        <w:rPr>
          <w:b/>
          <w:sz w:val="8"/>
        </w:rPr>
      </w:pPr>
      <w:r>
        <w:rPr>
          <w:b/>
          <w:color w:val="010101"/>
          <w:sz w:val="8"/>
        </w:rPr>
        <w:t>11</w:t>
      </w:r>
    </w:p>
    <w:p>
      <w:pPr>
        <w:tabs>
          <w:tab w:pos="5463" w:val="left" w:leader="none"/>
        </w:tabs>
        <w:spacing w:line="196" w:lineRule="exact" w:before="0"/>
        <w:ind w:left="2661" w:right="0" w:firstLine="0"/>
        <w:jc w:val="left"/>
        <w:rPr>
          <w:sz w:val="15"/>
        </w:rPr>
      </w:pPr>
      <w:r>
        <w:rPr>
          <w:color w:val="010101"/>
          <w:w w:val="130"/>
          <w:sz w:val="17"/>
        </w:rPr>
        <w:t>1 </w:t>
      </w:r>
      <w:r>
        <w:rPr>
          <w:color w:val="010101"/>
          <w:w w:val="235"/>
          <w:sz w:val="17"/>
        </w:rPr>
        <w:t>-</w:t>
      </w:r>
      <w:r>
        <w:rPr>
          <w:color w:val="010101"/>
          <w:spacing w:val="-69"/>
          <w:w w:val="235"/>
          <w:sz w:val="17"/>
        </w:rPr>
        <w:t> </w:t>
      </w:r>
      <w:r>
        <w:rPr>
          <w:i/>
          <w:color w:val="010101"/>
          <w:sz w:val="21"/>
        </w:rPr>
        <w:t>e-f </w:t>
      </w:r>
      <w:r>
        <w:rPr>
          <w:color w:val="010101"/>
          <w:sz w:val="13"/>
        </w:rPr>
        <w:t>o"z </w:t>
      </w:r>
      <w:r>
        <w:rPr>
          <w:i/>
          <w:color w:val="010101"/>
          <w:w w:val="130"/>
          <w:sz w:val="11"/>
        </w:rPr>
        <w:t>+I</w:t>
      </w:r>
      <w:r>
        <w:rPr>
          <w:i/>
          <w:color w:val="010101"/>
          <w:spacing w:val="3"/>
          <w:w w:val="130"/>
          <w:sz w:val="11"/>
        </w:rPr>
        <w:t> </w:t>
      </w:r>
      <w:r>
        <w:rPr>
          <w:i/>
          <w:color w:val="010101"/>
          <w:w w:val="130"/>
          <w:sz w:val="12"/>
        </w:rPr>
        <w:t>di</w:t>
        <w:tab/>
      </w:r>
      <w:r>
        <w:rPr>
          <w:color w:val="010101"/>
          <w:position w:val="-4"/>
          <w:sz w:val="15"/>
        </w:rPr>
        <w:t>(1.13)</w:t>
      </w:r>
    </w:p>
    <w:p>
      <w:pPr>
        <w:tabs>
          <w:tab w:pos="5452" w:val="left" w:leader="none"/>
        </w:tabs>
        <w:spacing w:line="599" w:lineRule="exact" w:before="0"/>
        <w:ind w:left="2658" w:right="0" w:firstLine="0"/>
        <w:jc w:val="left"/>
        <w:rPr>
          <w:sz w:val="17"/>
        </w:rPr>
      </w:pPr>
      <w:r>
        <w:rPr>
          <w:rFonts w:ascii="Arial"/>
          <w:b/>
          <w:i/>
          <w:color w:val="010101"/>
          <w:spacing w:val="31"/>
          <w:w w:val="86"/>
          <w:sz w:val="57"/>
        </w:rPr>
        <w:t>l</w:t>
      </w:r>
      <w:r>
        <w:rPr>
          <w:b/>
          <w:color w:val="010101"/>
          <w:w w:val="112"/>
          <w:sz w:val="12"/>
        </w:rPr>
        <w:t>n</w:t>
      </w:r>
      <w:r>
        <w:rPr>
          <w:b/>
          <w:color w:val="010101"/>
          <w:sz w:val="12"/>
        </w:rPr>
        <w:t> </w:t>
      </w:r>
      <w:r>
        <w:rPr>
          <w:b/>
          <w:color w:val="010101"/>
          <w:spacing w:val="11"/>
          <w:sz w:val="12"/>
        </w:rPr>
        <w:t> </w:t>
      </w:r>
      <w:r>
        <w:rPr>
          <w:color w:val="010101"/>
          <w:w w:val="102"/>
          <w:sz w:val="12"/>
        </w:rPr>
        <w:t>tPzP.s+C</w:t>
      </w:r>
      <w:r>
        <w:rPr>
          <w:color w:val="010101"/>
          <w:sz w:val="12"/>
        </w:rPr>
        <w:t> </w:t>
      </w:r>
      <w:r>
        <w:rPr>
          <w:color w:val="010101"/>
          <w:spacing w:val="6"/>
          <w:sz w:val="12"/>
        </w:rPr>
        <w:t> </w:t>
      </w:r>
      <w:r>
        <w:rPr>
          <w:i/>
          <w:color w:val="010101"/>
          <w:w w:val="111"/>
          <w:sz w:val="18"/>
        </w:rPr>
        <w:t>dt.</w:t>
      </w:r>
      <w:r>
        <w:rPr>
          <w:i/>
          <w:color w:val="010101"/>
          <w:sz w:val="18"/>
        </w:rPr>
        <w:tab/>
      </w:r>
      <w:r>
        <w:rPr>
          <w:color w:val="010101"/>
          <w:spacing w:val="-36"/>
          <w:w w:val="113"/>
          <w:position w:val="2"/>
          <w:sz w:val="17"/>
        </w:rPr>
        <w:t>{</w:t>
      </w:r>
      <w:r>
        <w:rPr>
          <w:color w:val="010101"/>
          <w:w w:val="94"/>
          <w:position w:val="2"/>
          <w:sz w:val="17"/>
        </w:rPr>
        <w:t>1.15)</w:t>
      </w:r>
    </w:p>
    <w:p>
      <w:pPr>
        <w:spacing w:after="0" w:line="599" w:lineRule="exact"/>
        <w:jc w:val="left"/>
        <w:rPr>
          <w:sz w:val="17"/>
        </w:rPr>
        <w:sectPr>
          <w:pgSz w:w="7200" w:h="11340"/>
          <w:pgMar w:top="500" w:bottom="280" w:left="660" w:right="520"/>
        </w:sectPr>
      </w:pPr>
    </w:p>
    <w:p>
      <w:pPr>
        <w:tabs>
          <w:tab w:pos="1470" w:val="left" w:leader="none"/>
          <w:tab w:pos="5330" w:val="left" w:leader="none"/>
        </w:tabs>
        <w:spacing w:before="51"/>
        <w:ind w:left="257" w:right="0" w:hanging="148"/>
        <w:jc w:val="left"/>
        <w:rPr>
          <w:sz w:val="19"/>
        </w:rPr>
      </w:pPr>
      <w:r>
        <w:rPr>
          <w:color w:val="030303"/>
          <w:w w:val="105"/>
          <w:sz w:val="19"/>
        </w:rPr>
        <w:t>36</w:t>
        <w:tab/>
      </w:r>
      <w:r>
        <w:rPr>
          <w:color w:val="030303"/>
          <w:w w:val="105"/>
          <w:sz w:val="15"/>
        </w:rPr>
        <w:t>THE   MEASUREMENT  </w:t>
      </w:r>
      <w:r>
        <w:rPr>
          <w:color w:val="030303"/>
          <w:spacing w:val="25"/>
          <w:w w:val="105"/>
          <w:sz w:val="15"/>
        </w:rPr>
        <w:t> </w:t>
      </w:r>
      <w:r>
        <w:rPr>
          <w:color w:val="030303"/>
          <w:w w:val="105"/>
          <w:sz w:val="15"/>
        </w:rPr>
        <w:t>OF </w:t>
      </w:r>
      <w:r>
        <w:rPr>
          <w:color w:val="030303"/>
          <w:spacing w:val="26"/>
          <w:w w:val="105"/>
          <w:sz w:val="15"/>
        </w:rPr>
        <w:t> </w:t>
      </w:r>
      <w:r>
        <w:rPr>
          <w:color w:val="030303"/>
          <w:w w:val="105"/>
          <w:sz w:val="15"/>
        </w:rPr>
        <w:t>MqRTALITY</w:t>
        <w:tab/>
      </w:r>
      <w:r>
        <w:rPr>
          <w:color w:val="030303"/>
          <w:position w:val="1"/>
          <w:sz w:val="19"/>
        </w:rPr>
        <w:t>[CH.</w:t>
      </w:r>
      <w:r>
        <w:rPr>
          <w:color w:val="030303"/>
          <w:spacing w:val="2"/>
          <w:position w:val="1"/>
          <w:sz w:val="19"/>
        </w:rPr>
        <w:t> </w:t>
      </w:r>
      <w:r>
        <w:rPr>
          <w:color w:val="030303"/>
          <w:position w:val="1"/>
          <w:sz w:val="19"/>
        </w:rPr>
        <w:t>1</w:t>
      </w:r>
    </w:p>
    <w:p>
      <w:pPr>
        <w:pStyle w:val="BodyText"/>
        <w:spacing w:before="3"/>
      </w:pPr>
    </w:p>
    <w:p>
      <w:pPr>
        <w:spacing w:line="204" w:lineRule="exact" w:before="0"/>
        <w:ind w:left="257" w:right="0" w:firstLine="0"/>
        <w:jc w:val="left"/>
        <w:rPr>
          <w:rFonts w:ascii="Arial"/>
          <w:sz w:val="15"/>
        </w:rPr>
      </w:pPr>
      <w:r>
        <w:rPr>
          <w:color w:val="030303"/>
          <w:w w:val="110"/>
          <w:sz w:val="17"/>
        </w:rPr>
        <w:t>Assuming the survival function </w:t>
      </w:r>
      <w:r>
        <w:rPr>
          <w:rFonts w:ascii="Arial"/>
          <w:i/>
          <w:color w:val="030303"/>
          <w:w w:val="110"/>
          <w:sz w:val="15"/>
        </w:rPr>
        <w:t>s(x) </w:t>
      </w:r>
      <w:r>
        <w:rPr>
          <w:color w:val="030303"/>
          <w:w w:val="110"/>
          <w:sz w:val="18"/>
        </w:rPr>
        <w:t>=   </w:t>
      </w:r>
      <w:r>
        <w:rPr>
          <w:color w:val="030303"/>
          <w:w w:val="110"/>
          <w:sz w:val="17"/>
        </w:rPr>
        <w:t>foo </w:t>
      </w:r>
      <w:r>
        <w:rPr>
          <w:b/>
          <w:color w:val="030303"/>
          <w:w w:val="110"/>
          <w:sz w:val="16"/>
        </w:rPr>
        <w:t>(100 </w:t>
      </w:r>
      <w:r>
        <w:rPr>
          <w:color w:val="030303"/>
          <w:w w:val="255"/>
          <w:sz w:val="16"/>
        </w:rPr>
        <w:t>- </w:t>
      </w:r>
      <w:r>
        <w:rPr>
          <w:color w:val="030303"/>
          <w:w w:val="110"/>
          <w:sz w:val="17"/>
        </w:rPr>
        <w:t>x), show tha.t ea.ch </w:t>
      </w:r>
      <w:r>
        <w:rPr>
          <w:rFonts w:ascii="Arial"/>
          <w:color w:val="030303"/>
          <w:w w:val="110"/>
          <w:sz w:val="15"/>
        </w:rPr>
        <w:t>of</w:t>
      </w:r>
    </w:p>
    <w:p>
      <w:pPr>
        <w:spacing w:line="144" w:lineRule="exact" w:before="0"/>
        <w:ind w:left="1568" w:right="0" w:firstLine="0"/>
        <w:jc w:val="center"/>
        <w:rPr>
          <w:i/>
          <w:sz w:val="18"/>
        </w:rPr>
      </w:pPr>
      <w:r>
        <w:rPr>
          <w:i/>
          <w:color w:val="030303"/>
          <w:w w:val="123"/>
          <w:sz w:val="18"/>
        </w:rPr>
        <w:t>n</w:t>
      </w:r>
    </w:p>
    <w:p>
      <w:pPr>
        <w:spacing w:line="145" w:lineRule="exact" w:before="0"/>
        <w:ind w:left="103" w:right="0" w:firstLine="0"/>
        <w:jc w:val="left"/>
        <w:rPr>
          <w:sz w:val="21"/>
        </w:rPr>
      </w:pPr>
      <w:r>
        <w:rPr>
          <w:color w:val="030303"/>
          <w:w w:val="105"/>
          <w:sz w:val="17"/>
        </w:rPr>
        <w:t>the a.hove formulas leads to the  result  </w:t>
      </w:r>
      <w:r>
        <w:rPr>
          <w:i/>
          <w:color w:val="030303"/>
          <w:sz w:val="17"/>
        </w:rPr>
        <w:t>,.q,,  </w:t>
      </w:r>
      <w:r>
        <w:rPr>
          <w:color w:val="030303"/>
          <w:w w:val="105"/>
          <w:sz w:val="21"/>
        </w:rPr>
        <w:t>=  </w:t>
      </w:r>
      <w:r>
        <w:rPr>
          <w:color w:val="030303"/>
          <w:spacing w:val="-45"/>
          <w:w w:val="320"/>
          <w:sz w:val="21"/>
        </w:rPr>
        <w:t>---</w:t>
      </w:r>
    </w:p>
    <w:p>
      <w:pPr>
        <w:spacing w:line="148" w:lineRule="exact" w:before="0"/>
        <w:ind w:left="1689" w:right="131" w:firstLine="0"/>
        <w:jc w:val="center"/>
        <w:rPr>
          <w:rFonts w:ascii="Arial"/>
          <w:i/>
          <w:sz w:val="11"/>
        </w:rPr>
      </w:pPr>
      <w:r>
        <w:rPr>
          <w:b/>
          <w:color w:val="030303"/>
          <w:w w:val="110"/>
          <w:sz w:val="16"/>
        </w:rPr>
        <w:t>100 </w:t>
      </w:r>
      <w:r>
        <w:rPr>
          <w:color w:val="030303"/>
          <w:w w:val="250"/>
          <w:sz w:val="16"/>
        </w:rPr>
        <w:t>-</w:t>
      </w:r>
      <w:r>
        <w:rPr>
          <w:color w:val="030303"/>
          <w:spacing w:val="-64"/>
          <w:w w:val="250"/>
          <w:sz w:val="16"/>
        </w:rPr>
        <w:t> </w:t>
      </w:r>
      <w:r>
        <w:rPr>
          <w:rFonts w:ascii="Arial"/>
          <w:i/>
          <w:color w:val="030303"/>
          <w:w w:val="110"/>
          <w:sz w:val="11"/>
        </w:rPr>
        <w:t>X</w:t>
      </w:r>
    </w:p>
    <w:p>
      <w:pPr>
        <w:pStyle w:val="ListParagraph"/>
        <w:numPr>
          <w:ilvl w:val="0"/>
          <w:numId w:val="19"/>
        </w:numPr>
        <w:tabs>
          <w:tab w:pos="563" w:val="left" w:leader="none"/>
        </w:tabs>
        <w:spacing w:line="240" w:lineRule="auto" w:before="1" w:after="0"/>
        <w:ind w:left="562" w:right="0" w:hanging="294"/>
        <w:jc w:val="left"/>
        <w:rPr>
          <w:color w:val="030303"/>
          <w:sz w:val="16"/>
        </w:rPr>
      </w:pPr>
      <w:r>
        <w:rPr>
          <w:color w:val="030303"/>
          <w:w w:val="115"/>
          <w:sz w:val="17"/>
        </w:rPr>
        <w:t>From  </w:t>
      </w:r>
      <w:r>
        <w:rPr>
          <w:color w:val="030303"/>
          <w:w w:val="115"/>
          <w:sz w:val="16"/>
        </w:rPr>
        <w:t>a  </w:t>
      </w:r>
      <w:r>
        <w:rPr>
          <w:color w:val="030303"/>
          <w:w w:val="115"/>
          <w:sz w:val="17"/>
        </w:rPr>
        <w:t>standard  mortality  table,  </w:t>
      </w:r>
      <w:r>
        <w:rPr>
          <w:color w:val="030303"/>
          <w:w w:val="115"/>
          <w:sz w:val="16"/>
        </w:rPr>
        <w:t>a  </w:t>
      </w:r>
      <w:r>
        <w:rPr>
          <w:color w:val="030303"/>
          <w:w w:val="115"/>
          <w:sz w:val="17"/>
        </w:rPr>
        <w:t>second  table  </w:t>
      </w:r>
      <w:r>
        <w:rPr>
          <w:color w:val="030303"/>
          <w:w w:val="115"/>
          <w:sz w:val="16"/>
        </w:rPr>
        <w:t>is  </w:t>
      </w:r>
      <w:r>
        <w:rPr>
          <w:color w:val="030303"/>
          <w:w w:val="115"/>
          <w:sz w:val="17"/>
        </w:rPr>
        <w:t>prepared</w:t>
      </w:r>
      <w:r>
        <w:rPr>
          <w:color w:val="030303"/>
          <w:spacing w:val="17"/>
          <w:w w:val="115"/>
          <w:sz w:val="17"/>
        </w:rPr>
        <w:t> </w:t>
      </w:r>
      <w:r>
        <w:rPr>
          <w:color w:val="030303"/>
          <w:w w:val="115"/>
          <w:sz w:val="17"/>
        </w:rPr>
        <w:t>by</w:t>
      </w:r>
    </w:p>
    <w:p>
      <w:pPr>
        <w:spacing w:line="175" w:lineRule="auto" w:before="48"/>
        <w:ind w:left="117" w:right="134" w:hanging="8"/>
        <w:jc w:val="left"/>
        <w:rPr>
          <w:sz w:val="17"/>
        </w:rPr>
      </w:pPr>
      <w:r>
        <w:rPr>
          <w:color w:val="030303"/>
          <w:w w:val="110"/>
          <w:sz w:val="17"/>
        </w:rPr>
        <w:t>doubling the force of mortality of the standard table. Is the rate of mor­  tality </w:t>
      </w:r>
      <w:r>
        <w:rPr>
          <w:i/>
          <w:color w:val="030303"/>
          <w:w w:val="105"/>
          <w:sz w:val="23"/>
        </w:rPr>
        <w:t>q; </w:t>
      </w:r>
      <w:r>
        <w:rPr>
          <w:color w:val="030303"/>
          <w:w w:val="110"/>
          <w:sz w:val="17"/>
        </w:rPr>
        <w:t>at a.ny given age under the new table more than double, less  </w:t>
      </w:r>
      <w:r>
        <w:rPr>
          <w:color w:val="030303"/>
          <w:spacing w:val="19"/>
          <w:w w:val="110"/>
          <w:sz w:val="17"/>
        </w:rPr>
        <w:t> </w:t>
      </w:r>
      <w:r>
        <w:rPr>
          <w:color w:val="030303"/>
          <w:w w:val="110"/>
          <w:sz w:val="17"/>
        </w:rPr>
        <w:t>than</w:t>
      </w:r>
    </w:p>
    <w:p>
      <w:pPr>
        <w:spacing w:before="10"/>
        <w:ind w:left="121" w:right="0" w:firstLine="0"/>
        <w:jc w:val="left"/>
        <w:rPr>
          <w:sz w:val="17"/>
        </w:rPr>
      </w:pPr>
      <w:r>
        <w:rPr>
          <w:color w:val="030303"/>
          <w:w w:val="110"/>
          <w:sz w:val="17"/>
        </w:rPr>
        <w:t>double, or exactly double tbe mortality  rate </w:t>
      </w:r>
      <w:r>
        <w:rPr>
          <w:i/>
          <w:color w:val="030303"/>
          <w:w w:val="110"/>
          <w:sz w:val="11"/>
        </w:rPr>
        <w:t>Qz  </w:t>
      </w:r>
      <w:r>
        <w:rPr>
          <w:color w:val="030303"/>
          <w:w w:val="110"/>
          <w:sz w:val="17"/>
        </w:rPr>
        <w:t>of  the standard   table?</w:t>
      </w:r>
    </w:p>
    <w:p>
      <w:pPr>
        <w:spacing w:before="2"/>
        <w:ind w:left="261" w:right="0" w:firstLine="0"/>
        <w:jc w:val="left"/>
        <w:rPr>
          <w:sz w:val="17"/>
        </w:rPr>
      </w:pPr>
      <w:r>
        <w:rPr>
          <w:rFonts w:ascii="Arial" w:hAnsi="Arial"/>
          <w:color w:val="030303"/>
          <w:w w:val="105"/>
          <w:sz w:val="16"/>
        </w:rPr>
        <w:t>31.  </w:t>
      </w:r>
      <w:r>
        <w:rPr>
          <w:color w:val="030303"/>
          <w:w w:val="105"/>
          <w:sz w:val="17"/>
        </w:rPr>
        <w:t>Find </w:t>
      </w:r>
      <w:r>
        <w:rPr>
          <w:rFonts w:ascii="Arial" w:hAnsi="Arial"/>
          <w:color w:val="030303"/>
          <w:w w:val="105"/>
          <w:sz w:val="12"/>
        </w:rPr>
        <w:t>µ.3s </w:t>
      </w:r>
      <w:r>
        <w:rPr>
          <w:color w:val="030303"/>
          <w:w w:val="105"/>
          <w:sz w:val="17"/>
        </w:rPr>
        <w:t>to four significant  figures, given  that</w:t>
      </w:r>
    </w:p>
    <w:p>
      <w:pPr>
        <w:spacing w:after="0"/>
        <w:jc w:val="left"/>
        <w:rPr>
          <w:sz w:val="17"/>
        </w:rPr>
        <w:sectPr>
          <w:pgSz w:w="7200" w:h="11340"/>
          <w:pgMar w:top="520" w:bottom="280" w:left="700" w:right="540"/>
        </w:sectPr>
      </w:pPr>
    </w:p>
    <w:p>
      <w:pPr>
        <w:spacing w:before="68"/>
        <w:ind w:left="1534" w:right="0" w:firstLine="0"/>
        <w:jc w:val="center"/>
        <w:rPr>
          <w:i/>
          <w:sz w:val="17"/>
        </w:rPr>
      </w:pPr>
      <w:r>
        <w:rPr>
          <w:i/>
          <w:color w:val="030303"/>
          <w:sz w:val="11"/>
        </w:rPr>
        <w:t>JJ,z   </w:t>
      </w:r>
      <w:r>
        <w:rPr>
          <w:color w:val="030303"/>
          <w:sz w:val="23"/>
        </w:rPr>
        <w:t>= </w:t>
      </w:r>
      <w:r>
        <w:rPr>
          <w:i/>
          <w:color w:val="030303"/>
          <w:sz w:val="16"/>
        </w:rPr>
        <w:t>k  </w:t>
      </w:r>
      <w:r>
        <w:rPr>
          <w:color w:val="030303"/>
          <w:sz w:val="17"/>
        </w:rPr>
        <w:t>log </w:t>
      </w:r>
      <w:r>
        <w:rPr>
          <w:i/>
          <w:color w:val="030303"/>
          <w:sz w:val="17"/>
        </w:rPr>
        <w:t>x ,</w:t>
      </w:r>
    </w:p>
    <w:p>
      <w:pPr>
        <w:spacing w:before="48"/>
        <w:ind w:left="1377" w:right="0" w:firstLine="0"/>
        <w:jc w:val="center"/>
        <w:rPr>
          <w:sz w:val="17"/>
        </w:rPr>
      </w:pPr>
      <w:r>
        <w:rPr>
          <w:color w:val="030303"/>
          <w:sz w:val="17"/>
        </w:rPr>
        <w:t>log 2  </w:t>
      </w:r>
      <w:r>
        <w:rPr>
          <w:color w:val="030303"/>
          <w:sz w:val="23"/>
        </w:rPr>
        <w:t>= </w:t>
      </w:r>
      <w:r>
        <w:rPr>
          <w:color w:val="030303"/>
          <w:sz w:val="17"/>
        </w:rPr>
        <w:t>.69315,</w:t>
      </w:r>
    </w:p>
    <w:p>
      <w:pPr>
        <w:spacing w:line="331" w:lineRule="auto" w:before="122"/>
        <w:ind w:left="261" w:right="0" w:firstLine="10"/>
        <w:jc w:val="left"/>
        <w:rPr>
          <w:sz w:val="16"/>
        </w:rPr>
      </w:pPr>
      <w:r>
        <w:rPr/>
        <w:br w:type="column"/>
      </w:r>
      <w:r>
        <w:rPr>
          <w:color w:val="030303"/>
          <w:w w:val="104"/>
          <w:sz w:val="17"/>
        </w:rPr>
        <w:t>log </w:t>
      </w:r>
      <w:r>
        <w:rPr>
          <w:color w:val="030303"/>
          <w:w w:val="89"/>
          <w:sz w:val="16"/>
        </w:rPr>
        <w:t>•P2 </w:t>
      </w:r>
      <w:r>
        <w:rPr>
          <w:color w:val="030303"/>
          <w:w w:val="99"/>
          <w:sz w:val="18"/>
        </w:rPr>
        <w:t>= </w:t>
      </w:r>
      <w:r>
        <w:rPr>
          <w:color w:val="030303"/>
          <w:w w:val="109"/>
          <w:sz w:val="18"/>
        </w:rPr>
        <w:t>-</w:t>
      </w:r>
      <w:r>
        <w:rPr>
          <w:color w:val="030303"/>
          <w:w w:val="109"/>
          <w:sz w:val="17"/>
        </w:rPr>
        <w:t>.00536426, </w:t>
      </w:r>
      <w:r>
        <w:rPr>
          <w:color w:val="030303"/>
          <w:w w:val="105"/>
          <w:sz w:val="17"/>
        </w:rPr>
        <w:t>log </w:t>
      </w:r>
      <w:r>
        <w:rPr>
          <w:color w:val="030303"/>
          <w:w w:val="105"/>
          <w:sz w:val="16"/>
        </w:rPr>
        <w:t>3 </w:t>
      </w:r>
      <w:r>
        <w:rPr>
          <w:color w:val="030303"/>
          <w:w w:val="105"/>
          <w:sz w:val="21"/>
        </w:rPr>
        <w:t>=  </w:t>
      </w:r>
      <w:r>
        <w:rPr>
          <w:color w:val="030303"/>
          <w:w w:val="105"/>
          <w:sz w:val="16"/>
        </w:rPr>
        <w:t>1.09861.</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2"/>
        <w:rPr>
          <w:sz w:val="18"/>
        </w:rPr>
      </w:pPr>
    </w:p>
    <w:p>
      <w:pPr>
        <w:spacing w:before="0"/>
        <w:ind w:left="198" w:right="0" w:firstLine="0"/>
        <w:jc w:val="left"/>
        <w:rPr>
          <w:sz w:val="17"/>
        </w:rPr>
      </w:pPr>
      <w:r>
        <w:rPr>
          <w:color w:val="030303"/>
          <w:sz w:val="17"/>
        </w:rPr>
        <w:t>(Ans. .003584</w:t>
      </w:r>
    </w:p>
    <w:p>
      <w:pPr>
        <w:spacing w:after="0"/>
        <w:jc w:val="left"/>
        <w:rPr>
          <w:sz w:val="17"/>
        </w:rPr>
        <w:sectPr>
          <w:type w:val="continuous"/>
          <w:pgSz w:w="7200" w:h="11340"/>
          <w:pgMar w:top="1100" w:bottom="0" w:left="700" w:right="540"/>
          <w:cols w:num="3" w:equalWidth="0">
            <w:col w:w="2554" w:space="40"/>
            <w:col w:w="1942" w:space="40"/>
            <w:col w:w="1384"/>
          </w:cols>
        </w:sectPr>
      </w:pPr>
    </w:p>
    <w:p>
      <w:pPr>
        <w:pStyle w:val="BodyText"/>
      </w:pPr>
    </w:p>
    <w:p>
      <w:pPr>
        <w:pStyle w:val="BodyText"/>
      </w:pPr>
    </w:p>
    <w:p>
      <w:pPr>
        <w:pStyle w:val="BodyText"/>
        <w:spacing w:before="2"/>
        <w:rPr>
          <w:sz w:val="19"/>
        </w:rPr>
      </w:pPr>
    </w:p>
    <w:p>
      <w:pPr>
        <w:spacing w:before="75"/>
        <w:ind w:left="25" w:right="87" w:firstLine="0"/>
        <w:jc w:val="center"/>
        <w:rPr>
          <w:rFonts w:ascii="Arial" w:hAnsi="Arial"/>
          <w:b/>
          <w:sz w:val="20"/>
        </w:rPr>
      </w:pPr>
      <w:bookmarkStart w:name="2. Life Annuities" w:id="7"/>
      <w:bookmarkEnd w:id="7"/>
      <w:r>
        <w:rPr/>
      </w:r>
      <w:r>
        <w:rPr>
          <w:b/>
          <w:color w:val="030303"/>
          <w:w w:val="110"/>
          <w:sz w:val="15"/>
        </w:rPr>
        <w:t>ÜIAPTER  </w:t>
      </w:r>
      <w:r>
        <w:rPr>
          <w:rFonts w:ascii="Arial" w:hAnsi="Arial"/>
          <w:b/>
          <w:color w:val="030303"/>
          <w:w w:val="110"/>
          <w:sz w:val="20"/>
        </w:rPr>
        <w:t>2</w:t>
      </w:r>
    </w:p>
    <w:p>
      <w:pPr>
        <w:spacing w:before="121"/>
        <w:ind w:left="73" w:right="87" w:firstLine="0"/>
        <w:jc w:val="center"/>
        <w:rPr>
          <w:sz w:val="21"/>
        </w:rPr>
      </w:pPr>
      <w:r>
        <w:rPr>
          <w:color w:val="030303"/>
          <w:w w:val="110"/>
          <w:sz w:val="21"/>
        </w:rPr>
        <w:t>LIFE ANNUITIES</w:t>
      </w:r>
    </w:p>
    <w:p>
      <w:pPr>
        <w:pStyle w:val="BodyText"/>
        <w:spacing w:before="2"/>
        <w:rPr>
          <w:sz w:val="21"/>
        </w:rPr>
      </w:pPr>
    </w:p>
    <w:p>
      <w:pPr>
        <w:spacing w:before="0"/>
        <w:ind w:left="113" w:right="0" w:firstLine="0"/>
        <w:jc w:val="both"/>
        <w:rPr>
          <w:b/>
          <w:sz w:val="19"/>
        </w:rPr>
      </w:pPr>
      <w:r>
        <w:rPr>
          <w:b/>
          <w:color w:val="030303"/>
          <w:w w:val="125"/>
          <w:sz w:val="21"/>
        </w:rPr>
        <w:t>l. </w:t>
      </w:r>
      <w:r>
        <w:rPr>
          <w:b/>
          <w:color w:val="030303"/>
          <w:w w:val="125"/>
          <w:sz w:val="19"/>
        </w:rPr>
        <w:t>Pure endowments</w:t>
      </w:r>
    </w:p>
    <w:p>
      <w:pPr>
        <w:pStyle w:val="BodyText"/>
        <w:spacing w:line="242" w:lineRule="auto" w:before="84"/>
        <w:ind w:left="113" w:right="145" w:firstLine="197"/>
        <w:jc w:val="both"/>
      </w:pPr>
      <w:r>
        <w:rPr>
          <w:color w:val="030303"/>
          <w:w w:val="105"/>
        </w:rPr>
        <w:t>The student will recall from bis study of probability that if </w:t>
      </w:r>
      <w:r>
        <w:rPr>
          <w:rFonts w:ascii="Arial" w:hAnsi="Arial"/>
          <w:i/>
          <w:color w:val="030303"/>
          <w:w w:val="105"/>
          <w:sz w:val="18"/>
        </w:rPr>
        <w:t>p </w:t>
      </w:r>
      <w:r>
        <w:rPr>
          <w:color w:val="030303"/>
          <w:w w:val="105"/>
        </w:rPr>
        <w:t>is  the chance that a person </w:t>
      </w:r>
      <w:r>
        <w:rPr>
          <w:color w:val="030303"/>
          <w:w w:val="105"/>
          <w:sz w:val="21"/>
        </w:rPr>
        <w:t>will  </w:t>
      </w:r>
      <w:r>
        <w:rPr>
          <w:color w:val="030303"/>
          <w:w w:val="105"/>
        </w:rPr>
        <w:t>receive  a certain  payment  of  value </w:t>
      </w:r>
      <w:r>
        <w:rPr>
          <w:i/>
          <w:color w:val="030303"/>
          <w:w w:val="105"/>
        </w:rPr>
        <w:t>K , </w:t>
      </w:r>
      <w:r>
        <w:rPr>
          <w:color w:val="030303"/>
          <w:w w:val="105"/>
        </w:rPr>
        <w:t>the product </w:t>
      </w:r>
      <w:r>
        <w:rPr>
          <w:i/>
          <w:color w:val="030303"/>
          <w:spacing w:val="10"/>
          <w:w w:val="105"/>
        </w:rPr>
        <w:t>Kp </w:t>
      </w:r>
      <w:r>
        <w:rPr>
          <w:color w:val="030303"/>
          <w:w w:val="105"/>
        </w:rPr>
        <w:t>is said to be his expectation. </w:t>
      </w:r>
      <w:r>
        <w:rPr>
          <w:color w:val="030303"/>
          <w:w w:val="105"/>
          <w:sz w:val="18"/>
        </w:rPr>
        <w:t>If </w:t>
      </w:r>
      <w:r>
        <w:rPr>
          <w:color w:val="030303"/>
          <w:w w:val="105"/>
        </w:rPr>
        <w:t>the payment is deferred for </w:t>
      </w:r>
      <w:r>
        <w:rPr>
          <w:i/>
          <w:color w:val="030303"/>
          <w:w w:val="105"/>
          <w:sz w:val="22"/>
        </w:rPr>
        <w:t>n </w:t>
      </w:r>
      <w:r>
        <w:rPr>
          <w:color w:val="030303"/>
          <w:w w:val="105"/>
        </w:rPr>
        <w:t>years, the present value of thc expcctation is </w:t>
      </w:r>
      <w:r>
        <w:rPr>
          <w:i/>
          <w:color w:val="030303"/>
          <w:w w:val="105"/>
        </w:rPr>
        <w:t>K </w:t>
      </w:r>
      <w:r>
        <w:rPr>
          <w:color w:val="030303"/>
          <w:spacing w:val="-4"/>
          <w:w w:val="105"/>
        </w:rPr>
        <w:t>·</w:t>
      </w:r>
      <w:r>
        <w:rPr>
          <w:i/>
          <w:color w:val="030303"/>
          <w:spacing w:val="-4"/>
          <w:w w:val="105"/>
        </w:rPr>
        <w:t>vn </w:t>
      </w:r>
      <w:r>
        <w:rPr>
          <w:color w:val="030303"/>
          <w:spacing w:val="-7"/>
          <w:w w:val="105"/>
        </w:rPr>
        <w:t>·</w:t>
      </w:r>
      <w:r>
        <w:rPr>
          <w:rFonts w:ascii="Arial" w:hAnsi="Arial"/>
          <w:i/>
          <w:color w:val="030303"/>
          <w:spacing w:val="-7"/>
          <w:w w:val="105"/>
          <w:sz w:val="18"/>
        </w:rPr>
        <w:t>p, </w:t>
      </w:r>
      <w:r>
        <w:rPr>
          <w:color w:val="030303"/>
          <w:w w:val="105"/>
        </w:rPr>
        <w:t>where </w:t>
      </w:r>
      <w:r>
        <w:rPr>
          <w:i/>
          <w:color w:val="030303"/>
          <w:w w:val="105"/>
          <w:sz w:val="21"/>
        </w:rPr>
        <w:t>vn </w:t>
      </w:r>
      <w:r>
        <w:rPr>
          <w:color w:val="030303"/>
          <w:w w:val="105"/>
        </w:rPr>
        <w:t>is the usual discount factor computed at an appropriatc rate of </w:t>
      </w:r>
      <w:r>
        <w:rPr>
          <w:color w:val="030303"/>
          <w:spacing w:val="14"/>
          <w:w w:val="105"/>
        </w:rPr>
        <w:t> </w:t>
      </w:r>
      <w:r>
        <w:rPr>
          <w:color w:val="030303"/>
          <w:w w:val="105"/>
        </w:rPr>
        <w:t>interest.</w:t>
      </w:r>
    </w:p>
    <w:p>
      <w:pPr>
        <w:pStyle w:val="BodyText"/>
        <w:spacing w:line="242" w:lineRule="auto" w:before="5"/>
        <w:ind w:left="113" w:right="142" w:firstLine="197"/>
        <w:jc w:val="both"/>
        <w:rPr>
          <w:rFonts w:ascii="Arial" w:hAnsi="Arial"/>
          <w:b/>
          <w:i/>
        </w:rPr>
      </w:pPr>
      <w:r>
        <w:rPr>
          <w:color w:val="030303"/>
          <w:w w:val="105"/>
        </w:rPr>
        <w:t>Suppose now that </w:t>
      </w:r>
      <w:r>
        <w:rPr>
          <w:rFonts w:ascii="Arial" w:hAnsi="Arial"/>
          <w:i/>
          <w:color w:val="030303"/>
          <w:w w:val="105"/>
          <w:sz w:val="19"/>
        </w:rPr>
        <w:t>(x </w:t>
      </w:r>
      <w:r>
        <w:rPr>
          <w:rFonts w:ascii="Arial" w:hAnsi="Arial"/>
          <w:i/>
          <w:color w:val="030303"/>
          <w:sz w:val="19"/>
        </w:rPr>
        <w:t>)  </w:t>
      </w:r>
      <w:r>
        <w:rPr>
          <w:color w:val="030303"/>
          <w:w w:val="105"/>
        </w:rPr>
        <w:t>is to  receive  a payment  </w:t>
      </w:r>
      <w:r>
        <w:rPr>
          <w:color w:val="030303"/>
        </w:rPr>
        <w:t>of  </w:t>
      </w:r>
      <w:r>
        <w:rPr>
          <w:i/>
          <w:color w:val="030303"/>
          <w:w w:val="105"/>
        </w:rPr>
        <w:t>K  </w:t>
      </w:r>
      <w:r>
        <w:rPr>
          <w:color w:val="030303"/>
          <w:w w:val="105"/>
        </w:rPr>
        <w:t>at the end </w:t>
      </w:r>
      <w:r>
        <w:rPr>
          <w:color w:val="030303"/>
        </w:rPr>
        <w:t>of </w:t>
      </w:r>
      <w:r>
        <w:rPr>
          <w:i/>
          <w:color w:val="030303"/>
          <w:w w:val="105"/>
          <w:sz w:val="22"/>
        </w:rPr>
        <w:t>n </w:t>
      </w:r>
      <w:r>
        <w:rPr>
          <w:color w:val="030303"/>
          <w:w w:val="105"/>
        </w:rPr>
        <w:t>years </w:t>
      </w:r>
      <w:r>
        <w:rPr>
          <w:rFonts w:ascii="Arial" w:hAnsi="Arial"/>
          <w:color w:val="030303"/>
          <w:w w:val="105"/>
        </w:rPr>
        <w:t>if </w:t>
      </w:r>
      <w:r>
        <w:rPr>
          <w:color w:val="030303"/>
          <w:w w:val="105"/>
        </w:rPr>
        <w:t>he is then living. It </w:t>
      </w:r>
      <w:r>
        <w:rPr>
          <w:color w:val="030303"/>
          <w:w w:val="105"/>
          <w:sz w:val="18"/>
        </w:rPr>
        <w:t>will </w:t>
      </w:r>
      <w:r>
        <w:rPr>
          <w:color w:val="030303"/>
          <w:w w:val="105"/>
          <w:sz w:val="19"/>
        </w:rPr>
        <w:t>be </w:t>
      </w:r>
      <w:r>
        <w:rPr>
          <w:color w:val="030303"/>
          <w:w w:val="105"/>
        </w:rPr>
        <w:t>seen that this situation is similar to the one described above. </w:t>
      </w:r>
      <w:r>
        <w:rPr>
          <w:color w:val="030303"/>
          <w:w w:val="105"/>
          <w:sz w:val="21"/>
        </w:rPr>
        <w:t>In </w:t>
      </w:r>
      <w:r>
        <w:rPr>
          <w:color w:val="030303"/>
          <w:w w:val="105"/>
        </w:rPr>
        <w:t>this case the probability in­ volved is the chance that </w:t>
      </w:r>
      <w:r>
        <w:rPr>
          <w:rFonts w:ascii="Arial" w:hAnsi="Arial"/>
          <w:i/>
          <w:color w:val="030303"/>
          <w:w w:val="105"/>
          <w:sz w:val="19"/>
        </w:rPr>
        <w:t>(x </w:t>
      </w:r>
      <w:r>
        <w:rPr>
          <w:rFonts w:ascii="Arial" w:hAnsi="Arial"/>
          <w:i/>
          <w:color w:val="030303"/>
          <w:sz w:val="19"/>
        </w:rPr>
        <w:t>) </w:t>
      </w:r>
      <w:r>
        <w:rPr>
          <w:color w:val="030303"/>
          <w:w w:val="105"/>
        </w:rPr>
        <w:t>will survive </w:t>
      </w:r>
      <w:r>
        <w:rPr>
          <w:rFonts w:ascii="Arial" w:hAnsi="Arial"/>
          <w:i/>
          <w:color w:val="030303"/>
          <w:w w:val="105"/>
          <w:sz w:val="19"/>
        </w:rPr>
        <w:t>n </w:t>
      </w:r>
      <w:r>
        <w:rPr>
          <w:color w:val="030303"/>
          <w:w w:val="105"/>
        </w:rPr>
        <w:t>years, </w:t>
      </w:r>
      <w:r>
        <w:rPr>
          <w:i/>
          <w:color w:val="030303"/>
        </w:rPr>
        <w:t>nPz , </w:t>
      </w:r>
      <w:r>
        <w:rPr>
          <w:color w:val="030303"/>
          <w:w w:val="105"/>
        </w:rPr>
        <w:t>and the present value can </w:t>
      </w:r>
      <w:r>
        <w:rPr>
          <w:color w:val="030303"/>
          <w:w w:val="105"/>
          <w:sz w:val="19"/>
        </w:rPr>
        <w:t>be </w:t>
      </w:r>
      <w:r>
        <w:rPr>
          <w:color w:val="030303"/>
          <w:w w:val="105"/>
        </w:rPr>
        <w:t>expressed as </w:t>
      </w:r>
      <w:r>
        <w:rPr>
          <w:i/>
          <w:color w:val="030303"/>
          <w:w w:val="105"/>
        </w:rPr>
        <w:t>K </w:t>
      </w:r>
      <w:r>
        <w:rPr>
          <w:color w:val="030303"/>
          <w:w w:val="105"/>
        </w:rPr>
        <w:t>·</w:t>
      </w:r>
      <w:r>
        <w:rPr>
          <w:i/>
          <w:color w:val="030303"/>
          <w:w w:val="105"/>
        </w:rPr>
        <w:t>vn </w:t>
      </w:r>
      <w:r>
        <w:rPr>
          <w:color w:val="030303"/>
          <w:w w:val="105"/>
        </w:rPr>
        <w:t>·</w:t>
      </w:r>
      <w:r>
        <w:rPr>
          <w:i/>
          <w:color w:val="030303"/>
          <w:w w:val="105"/>
        </w:rPr>
        <w:t>nPz </w:t>
      </w:r>
      <w:r>
        <w:rPr>
          <w:color w:val="030303"/>
          <w:w w:val="105"/>
        </w:rPr>
        <w:t>. This typc </w:t>
      </w:r>
      <w:r>
        <w:rPr>
          <w:color w:val="030303"/>
        </w:rPr>
        <w:t>of </w:t>
      </w:r>
      <w:r>
        <w:rPr>
          <w:color w:val="030303"/>
          <w:w w:val="105"/>
        </w:rPr>
        <w:t>deferred payment is called an </w:t>
      </w:r>
      <w:r>
        <w:rPr>
          <w:i/>
          <w:color w:val="030303"/>
          <w:w w:val="105"/>
          <w:sz w:val="19"/>
        </w:rPr>
        <w:t>n-year pure endowment </w:t>
      </w:r>
      <w:r>
        <w:rPr>
          <w:i/>
          <w:color w:val="030303"/>
          <w:sz w:val="19"/>
        </w:rPr>
        <w:t>of </w:t>
      </w:r>
      <w:r>
        <w:rPr>
          <w:rFonts w:ascii="Arial" w:hAnsi="Arial"/>
          <w:b/>
          <w:i/>
          <w:color w:val="030303"/>
          <w:w w:val="105"/>
        </w:rPr>
        <w:t>K .</w:t>
      </w:r>
    </w:p>
    <w:p>
      <w:pPr>
        <w:pStyle w:val="BodyText"/>
        <w:spacing w:before="8"/>
        <w:ind w:left="289" w:right="87"/>
        <w:jc w:val="center"/>
      </w:pPr>
      <w:r>
        <w:rPr>
          <w:color w:val="030303"/>
          <w:w w:val="105"/>
        </w:rPr>
        <w:t>The present  value  at  age </w:t>
      </w:r>
      <w:r>
        <w:rPr>
          <w:rFonts w:ascii="Arial"/>
          <w:i/>
          <w:color w:val="030303"/>
          <w:w w:val="105"/>
          <w:sz w:val="16"/>
        </w:rPr>
        <w:t>x  </w:t>
      </w:r>
      <w:r>
        <w:rPr>
          <w:color w:val="030303"/>
          <w:w w:val="105"/>
        </w:rPr>
        <w:t>of  an n-year  pure  endowment  of  1</w:t>
      </w:r>
    </w:p>
    <w:p>
      <w:pPr>
        <w:spacing w:before="53"/>
        <w:ind w:left="124" w:right="0" w:firstLine="0"/>
        <w:jc w:val="both"/>
        <w:rPr>
          <w:sz w:val="14"/>
        </w:rPr>
      </w:pPr>
      <w:r>
        <w:rPr>
          <w:rFonts w:ascii="Arial" w:hAnsi="Arial"/>
          <w:b/>
          <w:color w:val="030303"/>
          <w:spacing w:val="-71"/>
          <w:w w:val="111"/>
          <w:sz w:val="13"/>
        </w:rPr>
        <w:t>1</w:t>
      </w:r>
      <w:r>
        <w:rPr>
          <w:rFonts w:ascii="Arial" w:hAnsi="Arial"/>
          <w:color w:val="030303"/>
          <w:spacing w:val="-43"/>
          <w:w w:val="129"/>
          <w:position w:val="6"/>
          <w:sz w:val="19"/>
        </w:rPr>
        <w:t>·</w:t>
      </w:r>
      <w:r>
        <w:rPr>
          <w:rFonts w:ascii="Arial" w:hAnsi="Arial"/>
          <w:b/>
          <w:color w:val="030303"/>
          <w:w w:val="120"/>
          <w:sz w:val="13"/>
        </w:rPr>
        <w:t>8</w:t>
      </w:r>
      <w:r>
        <w:rPr>
          <w:rFonts w:ascii="Arial" w:hAnsi="Arial"/>
          <w:b/>
          <w:color w:val="030303"/>
          <w:sz w:val="13"/>
        </w:rPr>
        <w:t> </w:t>
      </w:r>
      <w:r>
        <w:rPr>
          <w:rFonts w:ascii="Arial" w:hAnsi="Arial"/>
          <w:b/>
          <w:color w:val="030303"/>
          <w:spacing w:val="1"/>
          <w:sz w:val="13"/>
        </w:rPr>
        <w:t> </w:t>
      </w:r>
      <w:r>
        <w:rPr>
          <w:rFonts w:ascii="Arial" w:hAnsi="Arial"/>
          <w:b/>
          <w:color w:val="030303"/>
          <w:spacing w:val="-15"/>
          <w:w w:val="101"/>
          <w:position w:val="6"/>
          <w:sz w:val="19"/>
        </w:rPr>
        <w:t>d</w:t>
      </w:r>
      <w:r>
        <w:rPr>
          <w:b/>
          <w:color w:val="030303"/>
          <w:w w:val="101"/>
          <w:sz w:val="20"/>
        </w:rPr>
        <w:t>enot</w:t>
      </w:r>
      <w:r>
        <w:rPr>
          <w:b/>
          <w:color w:val="030303"/>
          <w:spacing w:val="2"/>
          <w:w w:val="101"/>
          <w:sz w:val="20"/>
        </w:rPr>
        <w:t>e</w:t>
      </w:r>
      <w:r>
        <w:rPr>
          <w:rFonts w:ascii="Arial" w:hAnsi="Arial"/>
          <w:b/>
          <w:color w:val="030303"/>
          <w:w w:val="98"/>
          <w:position w:val="6"/>
          <w:sz w:val="19"/>
        </w:rPr>
        <w:t>d</w:t>
      </w:r>
      <w:r>
        <w:rPr>
          <w:rFonts w:ascii="Arial" w:hAnsi="Arial"/>
          <w:b/>
          <w:color w:val="030303"/>
          <w:spacing w:val="22"/>
          <w:position w:val="6"/>
          <w:sz w:val="19"/>
        </w:rPr>
        <w:t> </w:t>
      </w:r>
      <w:r>
        <w:rPr>
          <w:rFonts w:ascii="Arial" w:hAnsi="Arial"/>
          <w:b/>
          <w:color w:val="030303"/>
          <w:spacing w:val="-18"/>
          <w:w w:val="98"/>
          <w:position w:val="6"/>
          <w:sz w:val="19"/>
        </w:rPr>
        <w:t>b</w:t>
      </w:r>
      <w:r>
        <w:rPr>
          <w:rFonts w:ascii="Arial" w:hAnsi="Arial"/>
          <w:b/>
          <w:color w:val="030303"/>
          <w:w w:val="109"/>
          <w:sz w:val="18"/>
        </w:rPr>
        <w:t>y</w:t>
      </w:r>
      <w:r>
        <w:rPr>
          <w:rFonts w:ascii="Arial" w:hAnsi="Arial"/>
          <w:b/>
          <w:color w:val="030303"/>
          <w:sz w:val="18"/>
        </w:rPr>
        <w:t> </w:t>
      </w:r>
      <w:r>
        <w:rPr>
          <w:rFonts w:ascii="Arial" w:hAnsi="Arial"/>
          <w:b/>
          <w:color w:val="030303"/>
          <w:spacing w:val="-20"/>
          <w:sz w:val="18"/>
        </w:rPr>
        <w:t> </w:t>
      </w:r>
      <w:r>
        <w:rPr>
          <w:b/>
          <w:i/>
          <w:color w:val="030303"/>
          <w:spacing w:val="2"/>
          <w:w w:val="100"/>
          <w:sz w:val="13"/>
        </w:rPr>
        <w:t>n</w:t>
      </w:r>
      <w:r>
        <w:rPr>
          <w:b/>
          <w:i/>
          <w:color w:val="030303"/>
          <w:spacing w:val="11"/>
          <w:w w:val="98"/>
          <w:position w:val="6"/>
          <w:sz w:val="20"/>
        </w:rPr>
        <w:t>E</w:t>
      </w:r>
      <w:r>
        <w:rPr>
          <w:b/>
          <w:color w:val="030303"/>
          <w:w w:val="116"/>
          <w:sz w:val="13"/>
        </w:rPr>
        <w:t>z</w:t>
      </w:r>
      <w:r>
        <w:rPr>
          <w:b/>
          <w:color w:val="030303"/>
          <w:sz w:val="13"/>
        </w:rPr>
        <w:t> </w:t>
      </w:r>
      <w:r>
        <w:rPr>
          <w:b/>
          <w:color w:val="030303"/>
          <w:spacing w:val="-4"/>
          <w:sz w:val="13"/>
        </w:rPr>
        <w:t> </w:t>
      </w:r>
      <w:r>
        <w:rPr>
          <w:color w:val="131313"/>
          <w:w w:val="228"/>
          <w:sz w:val="13"/>
        </w:rPr>
        <w:t>.</w:t>
      </w:r>
      <w:r>
        <w:rPr>
          <w:color w:val="131313"/>
          <w:spacing w:val="15"/>
          <w:sz w:val="13"/>
        </w:rPr>
        <w:t> </w:t>
      </w:r>
      <w:r>
        <w:rPr>
          <w:rFonts w:ascii="Arial" w:hAnsi="Arial"/>
          <w:b/>
          <w:color w:val="030303"/>
          <w:spacing w:val="5"/>
          <w:w w:val="91"/>
          <w:position w:val="6"/>
          <w:sz w:val="19"/>
        </w:rPr>
        <w:t>S</w:t>
      </w:r>
      <w:r>
        <w:rPr>
          <w:b/>
          <w:color w:val="030303"/>
          <w:spacing w:val="-153"/>
          <w:w w:val="95"/>
          <w:sz w:val="20"/>
        </w:rPr>
        <w:t>m</w:t>
      </w:r>
      <w:r>
        <w:rPr>
          <w:rFonts w:ascii="Arial" w:hAnsi="Arial"/>
          <w:color w:val="030303"/>
          <w:w w:val="110"/>
          <w:position w:val="6"/>
          <w:sz w:val="19"/>
        </w:rPr>
        <w:t>·</w:t>
      </w:r>
      <w:r>
        <w:rPr>
          <w:rFonts w:ascii="Arial" w:hAnsi="Arial"/>
          <w:color w:val="030303"/>
          <w:position w:val="6"/>
          <w:sz w:val="19"/>
        </w:rPr>
        <w:t> </w:t>
      </w:r>
      <w:r>
        <w:rPr>
          <w:rFonts w:ascii="Arial" w:hAnsi="Arial"/>
          <w:color w:val="030303"/>
          <w:spacing w:val="-24"/>
          <w:position w:val="6"/>
          <w:sz w:val="19"/>
        </w:rPr>
        <w:t> </w:t>
      </w:r>
      <w:r>
        <w:rPr>
          <w:b/>
          <w:color w:val="030303"/>
          <w:w w:val="95"/>
          <w:sz w:val="20"/>
        </w:rPr>
        <w:t>ee</w:t>
      </w:r>
      <w:r>
        <w:rPr>
          <w:b/>
          <w:color w:val="030303"/>
          <w:sz w:val="20"/>
        </w:rPr>
        <w:t> </w:t>
      </w:r>
      <w:r>
        <w:rPr>
          <w:b/>
          <w:color w:val="030303"/>
          <w:spacing w:val="-25"/>
          <w:sz w:val="20"/>
        </w:rPr>
        <w:t> </w:t>
      </w:r>
      <w:r>
        <w:rPr>
          <w:b/>
          <w:i/>
          <w:color w:val="030303"/>
          <w:spacing w:val="9"/>
          <w:w w:val="95"/>
          <w:sz w:val="13"/>
        </w:rPr>
        <w:t>n</w:t>
      </w:r>
      <w:r>
        <w:rPr>
          <w:b/>
          <w:i/>
          <w:color w:val="030303"/>
          <w:w w:val="93"/>
          <w:position w:val="6"/>
          <w:sz w:val="20"/>
        </w:rPr>
        <w:t>E</w:t>
      </w:r>
      <w:r>
        <w:rPr>
          <w:b/>
          <w:i/>
          <w:color w:val="030303"/>
          <w:spacing w:val="-32"/>
          <w:position w:val="6"/>
          <w:sz w:val="20"/>
        </w:rPr>
        <w:t> </w:t>
      </w:r>
      <w:r>
        <w:rPr>
          <w:color w:val="030303"/>
          <w:w w:val="122"/>
          <w:sz w:val="12"/>
        </w:rPr>
        <w:t>z</w:t>
      </w:r>
      <w:r>
        <w:rPr>
          <w:color w:val="030303"/>
          <w:sz w:val="12"/>
        </w:rPr>
        <w:t>   </w:t>
      </w:r>
      <w:r>
        <w:rPr>
          <w:color w:val="030303"/>
          <w:spacing w:val="-14"/>
          <w:sz w:val="12"/>
        </w:rPr>
        <w:t> </w:t>
      </w:r>
      <w:r>
        <w:rPr>
          <w:color w:val="030303"/>
          <w:w w:val="91"/>
          <w:sz w:val="24"/>
        </w:rPr>
        <w:t>=</w:t>
      </w:r>
      <w:r>
        <w:rPr>
          <w:color w:val="030303"/>
          <w:sz w:val="24"/>
        </w:rPr>
        <w:t> </w:t>
      </w:r>
      <w:r>
        <w:rPr>
          <w:color w:val="030303"/>
          <w:spacing w:val="-1"/>
          <w:sz w:val="24"/>
        </w:rPr>
        <w:t> </w:t>
      </w:r>
      <w:r>
        <w:rPr>
          <w:rFonts w:ascii="Arial" w:hAnsi="Arial"/>
          <w:b/>
          <w:i/>
          <w:color w:val="030303"/>
          <w:spacing w:val="6"/>
          <w:w w:val="78"/>
          <w:sz w:val="13"/>
        </w:rPr>
        <w:t>V</w:t>
      </w:r>
      <w:r>
        <w:rPr>
          <w:b/>
          <w:i/>
          <w:color w:val="030303"/>
          <w:spacing w:val="5"/>
          <w:w w:val="109"/>
          <w:position w:val="6"/>
          <w:sz w:val="12"/>
        </w:rPr>
        <w:t>n</w:t>
      </w:r>
      <w:r>
        <w:rPr>
          <w:b/>
          <w:i/>
          <w:color w:val="030303"/>
          <w:w w:val="77"/>
          <w:sz w:val="20"/>
        </w:rPr>
        <w:t>nPz</w:t>
      </w:r>
      <w:r>
        <w:rPr>
          <w:b/>
          <w:i/>
          <w:color w:val="030303"/>
          <w:sz w:val="20"/>
        </w:rPr>
        <w:t> </w:t>
      </w:r>
      <w:r>
        <w:rPr>
          <w:b/>
          <w:i/>
          <w:color w:val="030303"/>
          <w:spacing w:val="12"/>
          <w:sz w:val="20"/>
        </w:rPr>
        <w:t> </w:t>
      </w:r>
      <w:r>
        <w:rPr>
          <w:color w:val="030303"/>
          <w:w w:val="101"/>
          <w:sz w:val="23"/>
        </w:rPr>
        <w:t>=</w:t>
      </w:r>
      <w:r>
        <w:rPr>
          <w:color w:val="030303"/>
          <w:sz w:val="23"/>
        </w:rPr>
        <w:t> </w:t>
      </w:r>
      <w:r>
        <w:rPr>
          <w:color w:val="030303"/>
          <w:spacing w:val="-29"/>
          <w:sz w:val="23"/>
        </w:rPr>
        <w:t> </w:t>
      </w:r>
      <w:r>
        <w:rPr>
          <w:rFonts w:ascii="Arial" w:hAnsi="Arial"/>
          <w:b/>
          <w:i/>
          <w:color w:val="030303"/>
          <w:spacing w:val="-62"/>
          <w:w w:val="82"/>
          <w:position w:val="6"/>
          <w:sz w:val="13"/>
        </w:rPr>
        <w:t>V</w:t>
      </w:r>
      <w:r>
        <w:rPr>
          <w:i/>
          <w:color w:val="030303"/>
          <w:spacing w:val="-7"/>
          <w:w w:val="102"/>
          <w:sz w:val="29"/>
        </w:rPr>
        <w:t>-</w:t>
      </w:r>
      <w:r>
        <w:rPr>
          <w:b/>
          <w:i/>
          <w:color w:val="030303"/>
          <w:spacing w:val="-56"/>
          <w:w w:val="91"/>
          <w:position w:val="6"/>
          <w:sz w:val="12"/>
        </w:rPr>
        <w:t>n</w:t>
      </w:r>
      <w:r>
        <w:rPr>
          <w:i/>
          <w:color w:val="030303"/>
          <w:spacing w:val="-67"/>
          <w:w w:val="102"/>
          <w:sz w:val="29"/>
        </w:rPr>
        <w:t>y</w:t>
      </w:r>
      <w:r>
        <w:rPr>
          <w:b/>
          <w:i/>
          <w:color w:val="030303"/>
          <w:w w:val="83"/>
          <w:position w:val="6"/>
          <w:sz w:val="20"/>
        </w:rPr>
        <w:t>l</w:t>
      </w:r>
      <w:r>
        <w:rPr>
          <w:b/>
          <w:i/>
          <w:color w:val="030303"/>
          <w:spacing w:val="-46"/>
          <w:w w:val="83"/>
          <w:position w:val="6"/>
          <w:sz w:val="20"/>
        </w:rPr>
        <w:t>z</w:t>
      </w:r>
      <w:r>
        <w:rPr>
          <w:i/>
          <w:color w:val="030303"/>
          <w:spacing w:val="-55"/>
          <w:w w:val="102"/>
          <w:sz w:val="29"/>
        </w:rPr>
        <w:t>;</w:t>
      </w:r>
      <w:r>
        <w:rPr>
          <w:b/>
          <w:i/>
          <w:color w:val="030303"/>
          <w:spacing w:val="-42"/>
          <w:w w:val="83"/>
          <w:position w:val="6"/>
          <w:sz w:val="20"/>
        </w:rPr>
        <w:t>+</w:t>
      </w:r>
      <w:r>
        <w:rPr>
          <w:i/>
          <w:color w:val="030303"/>
          <w:spacing w:val="-59"/>
          <w:w w:val="102"/>
          <w:sz w:val="29"/>
        </w:rPr>
        <w:t>-</w:t>
      </w:r>
      <w:r>
        <w:rPr>
          <w:b/>
          <w:i/>
          <w:color w:val="030303"/>
          <w:w w:val="83"/>
          <w:position w:val="6"/>
          <w:sz w:val="20"/>
        </w:rPr>
        <w:t>n</w:t>
      </w:r>
      <w:r>
        <w:rPr>
          <w:b/>
          <w:i/>
          <w:color w:val="030303"/>
          <w:spacing w:val="-3"/>
          <w:position w:val="6"/>
          <w:sz w:val="20"/>
        </w:rPr>
        <w:t> </w:t>
      </w:r>
      <w:r>
        <w:rPr>
          <w:color w:val="030303"/>
          <w:w w:val="74"/>
          <w:sz w:val="29"/>
        </w:rPr>
        <w:t>,</w:t>
      </w:r>
      <w:r>
        <w:rPr>
          <w:color w:val="030303"/>
          <w:spacing w:val="-1"/>
          <w:sz w:val="29"/>
        </w:rPr>
        <w:t> </w:t>
      </w:r>
      <w:r>
        <w:rPr>
          <w:b/>
          <w:color w:val="030303"/>
          <w:spacing w:val="2"/>
          <w:w w:val="109"/>
          <w:sz w:val="20"/>
        </w:rPr>
        <w:t>t</w:t>
      </w:r>
      <w:r>
        <w:rPr>
          <w:rFonts w:ascii="Arial" w:hAnsi="Arial"/>
          <w:b/>
          <w:color w:val="030303"/>
          <w:spacing w:val="-4"/>
          <w:w w:val="101"/>
          <w:position w:val="6"/>
          <w:sz w:val="19"/>
        </w:rPr>
        <w:t>h</w:t>
      </w:r>
      <w:r>
        <w:rPr>
          <w:color w:val="030303"/>
          <w:w w:val="108"/>
          <w:sz w:val="18"/>
        </w:rPr>
        <w:t>e</w:t>
      </w:r>
      <w:r>
        <w:rPr>
          <w:color w:val="030303"/>
          <w:sz w:val="18"/>
        </w:rPr>
        <w:t> </w:t>
      </w:r>
      <w:r>
        <w:rPr>
          <w:color w:val="030303"/>
          <w:spacing w:val="-16"/>
          <w:sz w:val="18"/>
        </w:rPr>
        <w:t> </w:t>
      </w:r>
      <w:r>
        <w:rPr>
          <w:b/>
          <w:color w:val="030303"/>
          <w:w w:val="103"/>
          <w:sz w:val="20"/>
        </w:rPr>
        <w:t>v</w:t>
      </w:r>
      <w:r>
        <w:rPr>
          <w:b/>
          <w:color w:val="030303"/>
          <w:spacing w:val="9"/>
          <w:w w:val="103"/>
          <w:sz w:val="20"/>
        </w:rPr>
        <w:t>a</w:t>
      </w:r>
      <w:r>
        <w:rPr>
          <w:rFonts w:ascii="Arial" w:hAnsi="Arial"/>
          <w:b/>
          <w:color w:val="030303"/>
          <w:spacing w:val="11"/>
          <w:w w:val="53"/>
          <w:position w:val="6"/>
          <w:sz w:val="14"/>
        </w:rPr>
        <w:t>J</w:t>
      </w:r>
      <w:r>
        <w:rPr>
          <w:b/>
          <w:color w:val="030303"/>
          <w:w w:val="96"/>
          <w:sz w:val="20"/>
        </w:rPr>
        <w:t>uc</w:t>
      </w:r>
      <w:r>
        <w:rPr>
          <w:b/>
          <w:color w:val="030303"/>
          <w:sz w:val="20"/>
        </w:rPr>
        <w:t> </w:t>
      </w:r>
      <w:r>
        <w:rPr>
          <w:b/>
          <w:color w:val="030303"/>
          <w:spacing w:val="-25"/>
          <w:sz w:val="20"/>
        </w:rPr>
        <w:t> </w:t>
      </w:r>
      <w:r>
        <w:rPr>
          <w:rFonts w:ascii="Arial" w:hAnsi="Arial"/>
          <w:b/>
          <w:color w:val="030303"/>
          <w:w w:val="100"/>
          <w:sz w:val="17"/>
        </w:rPr>
        <w:t>can</w:t>
      </w:r>
      <w:r>
        <w:rPr>
          <w:rFonts w:ascii="Arial" w:hAnsi="Arial"/>
          <w:b/>
          <w:color w:val="030303"/>
          <w:sz w:val="17"/>
        </w:rPr>
        <w:t> </w:t>
      </w:r>
      <w:r>
        <w:rPr>
          <w:rFonts w:ascii="Arial" w:hAnsi="Arial"/>
          <w:b/>
          <w:color w:val="030303"/>
          <w:spacing w:val="-10"/>
          <w:sz w:val="17"/>
        </w:rPr>
        <w:t> </w:t>
      </w:r>
      <w:r>
        <w:rPr>
          <w:rFonts w:ascii="Arial" w:hAnsi="Arial"/>
          <w:b/>
          <w:color w:val="030303"/>
          <w:spacing w:val="-7"/>
          <w:w w:val="101"/>
          <w:position w:val="6"/>
          <w:sz w:val="19"/>
        </w:rPr>
        <w:t>b</w:t>
      </w:r>
      <w:r>
        <w:rPr>
          <w:color w:val="030303"/>
          <w:w w:val="143"/>
          <w:sz w:val="14"/>
        </w:rPr>
        <w:t>l'</w:t>
      </w:r>
    </w:p>
    <w:p>
      <w:pPr>
        <w:pStyle w:val="BodyText"/>
        <w:spacing w:line="252" w:lineRule="auto" w:before="103"/>
        <w:ind w:left="124" w:right="152"/>
        <w:jc w:val="both"/>
      </w:pPr>
      <w:r>
        <w:rPr>
          <w:color w:val="030303"/>
          <w:w w:val="105"/>
        </w:rPr>
        <w:t>calculated directly from mortality and  interest  tables.  However, the computation involved in such calculations can be reduccd by  the use of </w:t>
      </w:r>
      <w:r>
        <w:rPr>
          <w:i/>
          <w:color w:val="030303"/>
          <w:w w:val="105"/>
          <w:sz w:val="19"/>
        </w:rPr>
        <w:t>commut.ation functwns.  </w:t>
      </w:r>
      <w:r>
        <w:rPr>
          <w:color w:val="030303"/>
          <w:w w:val="105"/>
        </w:rPr>
        <w:t>We first</w:t>
      </w:r>
      <w:r>
        <w:rPr>
          <w:color w:val="030303"/>
          <w:spacing w:val="47"/>
          <w:w w:val="105"/>
        </w:rPr>
        <w:t> </w:t>
      </w:r>
      <w:r>
        <w:rPr>
          <w:color w:val="030303"/>
          <w:w w:val="105"/>
        </w:rPr>
        <w:t>write</w:t>
      </w:r>
    </w:p>
    <w:p>
      <w:pPr>
        <w:tabs>
          <w:tab w:pos="1130" w:val="left" w:leader="none"/>
        </w:tabs>
        <w:spacing w:line="166" w:lineRule="exact" w:before="50"/>
        <w:ind w:left="363" w:right="0" w:firstLine="0"/>
        <w:jc w:val="center"/>
        <w:rPr>
          <w:b/>
          <w:sz w:val="16"/>
        </w:rPr>
      </w:pPr>
      <w:r>
        <w:rPr>
          <w:b/>
          <w:i/>
          <w:color w:val="030303"/>
          <w:w w:val="95"/>
          <w:sz w:val="20"/>
        </w:rPr>
        <w:t>nl</w:t>
        <w:tab/>
      </w:r>
      <w:r>
        <w:rPr>
          <w:b/>
          <w:color w:val="030303"/>
          <w:w w:val="95"/>
          <w:sz w:val="16"/>
        </w:rPr>
        <w:t>z+nz</w:t>
      </w:r>
    </w:p>
    <w:p>
      <w:pPr>
        <w:spacing w:line="175" w:lineRule="exact" w:before="0"/>
        <w:ind w:left="1953" w:right="0" w:firstLine="0"/>
        <w:jc w:val="left"/>
        <w:rPr>
          <w:sz w:val="23"/>
        </w:rPr>
      </w:pPr>
      <w:r>
        <w:rPr>
          <w:b/>
          <w:i/>
          <w:color w:val="030303"/>
          <w:sz w:val="22"/>
        </w:rPr>
        <w:t>"Ez </w:t>
      </w:r>
      <w:r>
        <w:rPr>
          <w:color w:val="030303"/>
          <w:sz w:val="26"/>
        </w:rPr>
        <w:t>= </w:t>
      </w:r>
      <w:r>
        <w:rPr>
          <w:i/>
          <w:color w:val="030303"/>
          <w:sz w:val="14"/>
        </w:rPr>
        <w:t>V   </w:t>
      </w:r>
      <w:r>
        <w:rPr>
          <w:i/>
          <w:color w:val="030303"/>
          <w:sz w:val="20"/>
        </w:rPr>
        <w:t>z+n </w:t>
      </w:r>
      <w:r>
        <w:rPr>
          <w:color w:val="030303"/>
          <w:sz w:val="23"/>
        </w:rPr>
        <w:t>=</w:t>
      </w:r>
    </w:p>
    <w:p>
      <w:pPr>
        <w:tabs>
          <w:tab w:pos="3542" w:val="left" w:leader="none"/>
          <w:tab w:pos="4030" w:val="left" w:leader="none"/>
        </w:tabs>
        <w:spacing w:line="182" w:lineRule="exact" w:before="0"/>
        <w:ind w:left="2742" w:right="0" w:firstLine="0"/>
        <w:jc w:val="left"/>
        <w:rPr>
          <w:sz w:val="21"/>
        </w:rPr>
      </w:pPr>
      <w:r>
        <w:rPr>
          <w:i/>
          <w:color w:val="030303"/>
          <w:spacing w:val="4"/>
          <w:w w:val="75"/>
          <w:sz w:val="20"/>
        </w:rPr>
        <w:t>lx</w:t>
        <w:tab/>
      </w:r>
      <w:r>
        <w:rPr>
          <w:i/>
          <w:color w:val="030303"/>
          <w:w w:val="75"/>
          <w:sz w:val="21"/>
        </w:rPr>
        <w:t>vrz:,;</w:t>
        <w:tab/>
      </w:r>
      <w:r>
        <w:rPr>
          <w:color w:val="030303"/>
          <w:w w:val="75"/>
          <w:sz w:val="21"/>
        </w:rPr>
        <w:t>•</w:t>
      </w:r>
    </w:p>
    <w:p>
      <w:pPr>
        <w:pStyle w:val="BodyText"/>
        <w:spacing w:line="247" w:lineRule="auto" w:before="178"/>
        <w:ind w:left="127" w:right="151" w:hanging="4"/>
        <w:jc w:val="both"/>
      </w:pPr>
      <w:r>
        <w:rPr>
          <w:color w:val="030303"/>
          <w:w w:val="105"/>
        </w:rPr>
        <w:t>This produces a symmetry in numerator and denominator which suggests the definition of a commutation function</w:t>
      </w:r>
    </w:p>
    <w:p>
      <w:pPr>
        <w:pStyle w:val="BodyText"/>
        <w:spacing w:before="6"/>
        <w:rPr>
          <w:sz w:val="9"/>
        </w:rPr>
      </w:pPr>
      <w:r>
        <w:rPr/>
        <w:drawing>
          <wp:anchor distT="0" distB="0" distL="0" distR="0" allowOverlap="1" layoutInCell="1" locked="0" behindDoc="0" simplePos="0" relativeHeight="2944">
            <wp:simplePos x="0" y="0"/>
            <wp:positionH relativeFrom="page">
              <wp:posOffset>2011679</wp:posOffset>
            </wp:positionH>
            <wp:positionV relativeFrom="paragraph">
              <wp:posOffset>94598</wp:posOffset>
            </wp:positionV>
            <wp:extent cx="594359" cy="128015"/>
            <wp:effectExtent l="0" t="0" r="0" b="0"/>
            <wp:wrapTopAndBottom/>
            <wp:docPr id="41" name="image25.png" descr=""/>
            <wp:cNvGraphicFramePr>
              <a:graphicFrameLocks noChangeAspect="1"/>
            </wp:cNvGraphicFramePr>
            <a:graphic>
              <a:graphicData uri="http://schemas.openxmlformats.org/drawingml/2006/picture">
                <pic:pic>
                  <pic:nvPicPr>
                    <pic:cNvPr id="42" name="image25.png"/>
                    <pic:cNvPicPr/>
                  </pic:nvPicPr>
                  <pic:blipFill>
                    <a:blip r:embed="rId29" cstate="print"/>
                    <a:stretch>
                      <a:fillRect/>
                    </a:stretch>
                  </pic:blipFill>
                  <pic:spPr>
                    <a:xfrm>
                      <a:off x="0" y="0"/>
                      <a:ext cx="594359" cy="128015"/>
                    </a:xfrm>
                    <a:prstGeom prst="rect">
                      <a:avLst/>
                    </a:prstGeom>
                  </pic:spPr>
                </pic:pic>
              </a:graphicData>
            </a:graphic>
          </wp:anchor>
        </w:drawing>
      </w:r>
    </w:p>
    <w:p>
      <w:pPr>
        <w:spacing w:after="0"/>
        <w:rPr>
          <w:sz w:val="9"/>
        </w:rPr>
        <w:sectPr>
          <w:pgSz w:w="7200" w:h="11340"/>
          <w:pgMar w:top="1060" w:bottom="0" w:left="640" w:right="560"/>
        </w:sectPr>
      </w:pPr>
    </w:p>
    <w:p>
      <w:pPr>
        <w:pStyle w:val="BodyText"/>
        <w:spacing w:before="90"/>
        <w:ind w:left="134" w:right="-17"/>
        <w:rPr>
          <w:sz w:val="21"/>
        </w:rPr>
      </w:pPr>
      <w:r>
        <w:rPr>
          <w:rFonts w:ascii="Arial"/>
          <w:b/>
          <w:color w:val="030303"/>
          <w:spacing w:val="2"/>
          <w:w w:val="110"/>
          <w:sz w:val="19"/>
        </w:rPr>
        <w:t>W</w:t>
      </w:r>
      <w:r>
        <w:rPr>
          <w:color w:val="030303"/>
          <w:spacing w:val="2"/>
          <w:w w:val="110"/>
        </w:rPr>
        <w:t>e </w:t>
      </w:r>
      <w:r>
        <w:rPr>
          <w:color w:val="030303"/>
          <w:w w:val="110"/>
        </w:rPr>
        <w:t>can then</w:t>
      </w:r>
      <w:r>
        <w:rPr>
          <w:color w:val="030303"/>
          <w:spacing w:val="-10"/>
          <w:w w:val="110"/>
        </w:rPr>
        <w:t> </w:t>
      </w:r>
      <w:r>
        <w:rPr>
          <w:color w:val="030303"/>
          <w:w w:val="110"/>
        </w:rPr>
        <w:t>wri</w:t>
      </w:r>
      <w:r>
        <w:rPr>
          <w:color w:val="030303"/>
          <w:w w:val="110"/>
          <w:sz w:val="21"/>
        </w:rPr>
        <w:t>te</w:t>
      </w:r>
    </w:p>
    <w:p>
      <w:pPr>
        <w:pStyle w:val="BodyText"/>
        <w:rPr>
          <w:sz w:val="28"/>
        </w:rPr>
      </w:pPr>
      <w:r>
        <w:rPr/>
        <w:br w:type="column"/>
      </w:r>
      <w:r>
        <w:rPr>
          <w:sz w:val="28"/>
        </w:rPr>
      </w:r>
    </w:p>
    <w:p>
      <w:pPr>
        <w:pStyle w:val="BodyText"/>
        <w:spacing w:before="4"/>
        <w:rPr>
          <w:sz w:val="25"/>
        </w:rPr>
      </w:pPr>
    </w:p>
    <w:p>
      <w:pPr>
        <w:spacing w:before="0"/>
        <w:ind w:left="134" w:right="-16" w:firstLine="0"/>
        <w:jc w:val="left"/>
        <w:rPr>
          <w:i/>
          <w:sz w:val="22"/>
        </w:rPr>
      </w:pPr>
      <w:r>
        <w:rPr>
          <w:color w:val="030303"/>
          <w:spacing w:val="-3"/>
          <w:w w:val="95"/>
          <w:sz w:val="22"/>
        </w:rPr>
        <w:t>"</w:t>
      </w:r>
      <w:r>
        <w:rPr>
          <w:i/>
          <w:color w:val="030303"/>
          <w:spacing w:val="-3"/>
          <w:w w:val="95"/>
          <w:position w:val="9"/>
          <w:sz w:val="20"/>
        </w:rPr>
        <w:t>E</w:t>
      </w:r>
      <w:r>
        <w:rPr>
          <w:i/>
          <w:color w:val="030303"/>
          <w:spacing w:val="-3"/>
          <w:w w:val="95"/>
          <w:sz w:val="22"/>
        </w:rPr>
        <w:t>z</w:t>
      </w:r>
    </w:p>
    <w:p>
      <w:pPr>
        <w:pStyle w:val="BodyText"/>
        <w:rPr>
          <w:i/>
          <w:sz w:val="28"/>
        </w:rPr>
      </w:pPr>
      <w:r>
        <w:rPr/>
        <w:br w:type="column"/>
      </w:r>
      <w:r>
        <w:rPr>
          <w:i/>
          <w:sz w:val="28"/>
        </w:rPr>
      </w:r>
    </w:p>
    <w:p>
      <w:pPr>
        <w:pStyle w:val="BodyText"/>
        <w:spacing w:before="5"/>
        <w:rPr>
          <w:i/>
          <w:sz w:val="25"/>
        </w:rPr>
      </w:pPr>
    </w:p>
    <w:p>
      <w:pPr>
        <w:tabs>
          <w:tab w:pos="2674" w:val="left" w:leader="none"/>
        </w:tabs>
        <w:spacing w:before="0"/>
        <w:ind w:left="382" w:right="0" w:firstLine="0"/>
        <w:jc w:val="left"/>
        <w:rPr>
          <w:rFonts w:ascii="Arial"/>
          <w:sz w:val="19"/>
        </w:rPr>
      </w:pPr>
      <w:r>
        <w:rPr/>
        <w:pict>
          <v:shape style="position:absolute;margin-left:173.452896pt;margin-top:-5.411631pt;width:30.15pt;height:14pt;mso-position-horizontal-relative:page;mso-position-vertical-relative:paragraph;z-index:-733072" type="#_x0000_t202" filled="false" stroked="false">
            <v:textbox inset="0,0,0,0">
              <w:txbxContent>
                <w:p>
                  <w:pPr>
                    <w:spacing w:line="280" w:lineRule="exact" w:before="0"/>
                    <w:ind w:left="0" w:right="-19" w:firstLine="0"/>
                    <w:jc w:val="left"/>
                    <w:rPr>
                      <w:b/>
                      <w:i/>
                      <w:sz w:val="20"/>
                    </w:rPr>
                  </w:pPr>
                  <w:r>
                    <w:rPr>
                      <w:color w:val="030303"/>
                      <w:w w:val="90"/>
                      <w:sz w:val="28"/>
                    </w:rPr>
                    <w:t>=</w:t>
                  </w:r>
                  <w:r>
                    <w:rPr>
                      <w:color w:val="030303"/>
                      <w:spacing w:val="-6"/>
                      <w:w w:val="90"/>
                      <w:sz w:val="28"/>
                    </w:rPr>
                    <w:t> </w:t>
                  </w:r>
                  <w:r>
                    <w:rPr>
                      <w:b/>
                      <w:i/>
                      <w:color w:val="030303"/>
                      <w:w w:val="90"/>
                      <w:sz w:val="20"/>
                      <w:u w:val="single" w:color="000000"/>
                    </w:rPr>
                    <w:t>Dz+n</w:t>
                  </w:r>
                </w:p>
              </w:txbxContent>
            </v:textbox>
            <w10:wrap type="none"/>
          </v:shape>
        </w:pict>
      </w:r>
      <w:r>
        <w:rPr>
          <w:i/>
          <w:color w:val="030303"/>
          <w:w w:val="105"/>
          <w:position w:val="-9"/>
          <w:sz w:val="22"/>
        </w:rPr>
        <w:t>Dz </w:t>
      </w:r>
      <w:r>
        <w:rPr>
          <w:i/>
          <w:color w:val="030303"/>
          <w:spacing w:val="26"/>
          <w:w w:val="105"/>
          <w:position w:val="-9"/>
          <w:sz w:val="22"/>
        </w:rPr>
        <w:t> </w:t>
      </w:r>
      <w:r>
        <w:rPr>
          <w:color w:val="030303"/>
          <w:w w:val="105"/>
          <w:position w:val="-9"/>
          <w:sz w:val="22"/>
        </w:rPr>
        <w:t>.</w:t>
        <w:tab/>
      </w:r>
      <w:r>
        <w:rPr>
          <w:rFonts w:ascii="Arial"/>
          <w:color w:val="030303"/>
          <w:w w:val="105"/>
          <w:sz w:val="19"/>
        </w:rPr>
        <w:t>(2.1)</w:t>
      </w:r>
    </w:p>
    <w:p>
      <w:pPr>
        <w:spacing w:after="0"/>
        <w:jc w:val="left"/>
        <w:rPr>
          <w:rFonts w:ascii="Arial"/>
          <w:sz w:val="19"/>
        </w:rPr>
        <w:sectPr>
          <w:type w:val="continuous"/>
          <w:pgSz w:w="7200" w:h="11340"/>
          <w:pgMar w:top="1100" w:bottom="0" w:left="640" w:right="560"/>
          <w:cols w:num="3" w:equalWidth="0">
            <w:col w:w="1737" w:space="573"/>
            <w:col w:w="412" w:space="40"/>
            <w:col w:w="3238"/>
          </w:cols>
        </w:sectPr>
      </w:pPr>
    </w:p>
    <w:p>
      <w:pPr>
        <w:pStyle w:val="BodyText"/>
        <w:rPr>
          <w:rFonts w:ascii="Arial"/>
          <w:sz w:val="10"/>
        </w:rPr>
      </w:pPr>
    </w:p>
    <w:p>
      <w:pPr>
        <w:pStyle w:val="BodyText"/>
        <w:spacing w:line="98" w:lineRule="auto" w:before="185"/>
        <w:ind w:left="142" w:right="125" w:hanging="3"/>
        <w:jc w:val="center"/>
      </w:pPr>
      <w:r>
        <w:rPr/>
        <w:pict>
          <v:line style="position:absolute;mso-position-horizontal-relative:page;mso-position-vertical-relative:paragraph;z-index:2968" from="229.237701pt,34.495399pt" to="256.502201pt,34.495399pt" stroked="true" strokeweight="7.892377pt" strokecolor="#000000">
            <w10:wrap type="none"/>
          </v:line>
        </w:pict>
      </w:r>
      <w:r>
        <w:rPr>
          <w:color w:val="030303"/>
        </w:rPr>
        <w:t>Note that thc computation of </w:t>
      </w:r>
      <w:r>
        <w:rPr>
          <w:rFonts w:ascii="Arial" w:hAnsi="Arial"/>
          <w:i/>
          <w:color w:val="030303"/>
          <w:w w:val="85"/>
        </w:rPr>
        <w:t>,.E:,; </w:t>
      </w:r>
      <w:r>
        <w:rPr>
          <w:color w:val="030303"/>
        </w:rPr>
        <w:t>from the basic mortality data </w:t>
      </w:r>
      <w:r>
        <w:rPr>
          <w:color w:val="030303"/>
          <w:w w:val="101"/>
        </w:rPr>
        <w:t>involves </w:t>
      </w:r>
      <w:r>
        <w:rPr>
          <w:color w:val="030303"/>
          <w:w w:val="107"/>
        </w:rPr>
        <w:t>a </w:t>
      </w:r>
      <w:r>
        <w:rPr>
          <w:color w:val="030303"/>
          <w:w w:val="104"/>
        </w:rPr>
        <w:t>multiplication  </w:t>
      </w:r>
      <w:r>
        <w:rPr>
          <w:color w:val="030303"/>
          <w:w w:val="106"/>
        </w:rPr>
        <w:t>and </w:t>
      </w:r>
      <w:r>
        <w:rPr>
          <w:color w:val="030303"/>
          <w:w w:val="112"/>
        </w:rPr>
        <w:t>a </w:t>
      </w:r>
      <w:r>
        <w:rPr>
          <w:color w:val="030303"/>
          <w:w w:val="100"/>
        </w:rPr>
        <w:t>division </w:t>
      </w:r>
      <w:r>
        <w:rPr>
          <w:color w:val="030303"/>
          <w:w w:val="122"/>
        </w:rPr>
        <w:t>(</w:t>
      </w:r>
      <w:r>
        <w:rPr>
          <w:i/>
          <w:color w:val="030303"/>
          <w:w w:val="122"/>
        </w:rPr>
        <w:t>v" </w:t>
      </w:r>
      <w:r>
        <w:rPr>
          <w:rFonts w:ascii="Arial" w:hAnsi="Arial"/>
          <w:i/>
          <w:color w:val="030303"/>
          <w:w w:val="54"/>
          <w:sz w:val="47"/>
        </w:rPr>
        <w:t>·l;+n),  </w:t>
      </w:r>
      <w:r>
        <w:rPr>
          <w:color w:val="030303"/>
          <w:w w:val="104"/>
        </w:rPr>
        <w:t>and  </w:t>
      </w:r>
      <w:r>
        <w:rPr>
          <w:color w:val="030303"/>
          <w:w w:val="114"/>
        </w:rPr>
        <w:t>that  </w:t>
      </w:r>
      <w:r>
        <w:rPr>
          <w:color w:val="030303"/>
          <w:w w:val="109"/>
        </w:rPr>
        <w:t>this</w:t>
      </w:r>
    </w:p>
    <w:p>
      <w:pPr>
        <w:spacing w:before="196"/>
        <w:ind w:left="96" w:right="87" w:firstLine="0"/>
        <w:jc w:val="center"/>
        <w:rPr>
          <w:b/>
          <w:sz w:val="15"/>
        </w:rPr>
      </w:pPr>
      <w:r>
        <w:rPr>
          <w:b/>
          <w:color w:val="030303"/>
          <w:w w:val="105"/>
          <w:sz w:val="15"/>
        </w:rPr>
        <w:t>37</w:t>
      </w:r>
    </w:p>
    <w:p>
      <w:pPr>
        <w:spacing w:after="0"/>
        <w:jc w:val="center"/>
        <w:rPr>
          <w:sz w:val="15"/>
        </w:rPr>
        <w:sectPr>
          <w:type w:val="continuous"/>
          <w:pgSz w:w="7200" w:h="11340"/>
          <w:pgMar w:top="1100" w:bottom="0" w:left="640" w:right="560"/>
        </w:sectPr>
      </w:pPr>
    </w:p>
    <w:p>
      <w:pPr>
        <w:tabs>
          <w:tab w:pos="2309" w:val="left" w:leader="none"/>
          <w:tab w:pos="5373" w:val="left" w:leader="none"/>
        </w:tabs>
        <w:spacing w:before="54"/>
        <w:ind w:left="124" w:right="0" w:hanging="8"/>
        <w:jc w:val="both"/>
        <w:rPr>
          <w:rFonts w:ascii="Arial"/>
          <w:b/>
          <w:sz w:val="19"/>
        </w:rPr>
      </w:pPr>
      <w:r>
        <w:rPr>
          <w:spacing w:val="-10"/>
          <w:w w:val="110"/>
          <w:sz w:val="20"/>
        </w:rPr>
        <w:t>38</w:t>
        <w:tab/>
      </w:r>
      <w:r>
        <w:rPr>
          <w:b/>
          <w:w w:val="110"/>
          <w:sz w:val="15"/>
        </w:rPr>
        <w:t>LIFE </w:t>
      </w:r>
      <w:r>
        <w:rPr>
          <w:b/>
          <w:spacing w:val="35"/>
          <w:w w:val="110"/>
          <w:sz w:val="15"/>
        </w:rPr>
        <w:t> </w:t>
      </w:r>
      <w:r>
        <w:rPr>
          <w:b/>
          <w:w w:val="110"/>
          <w:sz w:val="15"/>
        </w:rPr>
        <w:t>ANNUITIE</w:t>
        <w:tab/>
      </w:r>
      <w:r>
        <w:rPr>
          <w:b/>
          <w:w w:val="110"/>
          <w:position w:val="2"/>
          <w:sz w:val="15"/>
        </w:rPr>
        <w:t>[CH.</w:t>
      </w:r>
      <w:r>
        <w:rPr>
          <w:b/>
          <w:spacing w:val="-16"/>
          <w:w w:val="110"/>
          <w:position w:val="2"/>
          <w:sz w:val="15"/>
        </w:rPr>
        <w:t> </w:t>
      </w:r>
      <w:r>
        <w:rPr>
          <w:rFonts w:ascii="Arial"/>
          <w:b/>
          <w:w w:val="110"/>
          <w:position w:val="2"/>
          <w:sz w:val="19"/>
        </w:rPr>
        <w:t>2</w:t>
      </w:r>
    </w:p>
    <w:p>
      <w:pPr>
        <w:pStyle w:val="BodyText"/>
        <w:rPr>
          <w:rFonts w:ascii="Arial"/>
          <w:b/>
          <w:sz w:val="21"/>
        </w:rPr>
      </w:pPr>
    </w:p>
    <w:p>
      <w:pPr>
        <w:pStyle w:val="BodyText"/>
        <w:spacing w:line="174" w:lineRule="exact"/>
        <w:ind w:left="124"/>
        <w:jc w:val="both"/>
      </w:pPr>
      <w:r>
        <w:rPr/>
        <w:t>is reduced  by  the use  of  commutation  functions  to a single  division</w:t>
      </w:r>
    </w:p>
    <w:p>
      <w:pPr>
        <w:pStyle w:val="BodyText"/>
        <w:spacing w:line="473" w:lineRule="exact"/>
        <w:ind w:left="121"/>
        <w:jc w:val="both"/>
      </w:pPr>
      <w:r>
        <w:rPr/>
        <w:pict>
          <v:line style="position:absolute;mso-position-horizontal-relative:page;mso-position-vertical-relative:paragraph;z-index:-733048" from="49.139999pt,22.395313pt" to="70.559999pt,22.395313pt" stroked="true" strokeweight="7.2pt" strokecolor="#000000">
            <w10:wrap type="none"/>
          </v:line>
        </w:pict>
      </w:r>
      <w:r>
        <w:rPr>
          <w:rFonts w:ascii="Arial"/>
          <w:spacing w:val="-18"/>
          <w:w w:val="93"/>
          <w:sz w:val="46"/>
        </w:rPr>
        <w:t>(</w:t>
      </w:r>
      <w:r>
        <w:rPr>
          <w:rFonts w:ascii="Arial"/>
          <w:i/>
          <w:spacing w:val="-74"/>
          <w:w w:val="44"/>
          <w:sz w:val="46"/>
        </w:rPr>
        <w:t>D</w:t>
      </w:r>
      <w:r>
        <w:rPr>
          <w:rFonts w:ascii="Arial"/>
          <w:i/>
          <w:w w:val="65"/>
          <w:sz w:val="46"/>
        </w:rPr>
        <w:t>n</w:t>
      </w:r>
      <w:r>
        <w:rPr>
          <w:rFonts w:ascii="Arial"/>
          <w:i/>
          <w:spacing w:val="-1"/>
          <w:w w:val="65"/>
          <w:sz w:val="46"/>
        </w:rPr>
        <w:t>:</w:t>
      </w:r>
      <w:r>
        <w:rPr>
          <w:rFonts w:ascii="Arial"/>
          <w:i/>
          <w:spacing w:val="-3"/>
          <w:w w:val="45"/>
          <w:sz w:val="46"/>
        </w:rPr>
        <w:t>"</w:t>
      </w:r>
      <w:r>
        <w:rPr>
          <w:rFonts w:ascii="Arial"/>
          <w:i/>
          <w:w w:val="61"/>
          <w:sz w:val="46"/>
        </w:rPr>
        <w:t>)</w:t>
      </w:r>
      <w:r>
        <w:rPr>
          <w:rFonts w:ascii="Arial"/>
          <w:i/>
          <w:w w:val="61"/>
          <w:sz w:val="46"/>
        </w:rPr>
        <w:t>.</w:t>
      </w:r>
      <w:r>
        <w:rPr>
          <w:rFonts w:ascii="Arial"/>
          <w:i/>
          <w:spacing w:val="-3"/>
          <w:sz w:val="46"/>
        </w:rPr>
        <w:t> </w:t>
      </w:r>
      <w:r>
        <w:rPr>
          <w:w w:val="141"/>
        </w:rPr>
        <w:t>lt</w:t>
      </w:r>
      <w:r>
        <w:rPr/>
        <w:t> </w:t>
      </w:r>
      <w:r>
        <w:rPr>
          <w:spacing w:val="12"/>
        </w:rPr>
        <w:t> </w:t>
      </w:r>
      <w:r>
        <w:rPr>
          <w:w w:val="95"/>
        </w:rPr>
        <w:t>will</w:t>
      </w:r>
      <w:r>
        <w:rPr/>
        <w:t>  </w:t>
      </w:r>
      <w:r>
        <w:rPr>
          <w:spacing w:val="-20"/>
        </w:rPr>
        <w:t> </w:t>
      </w:r>
      <w:r>
        <w:rPr>
          <w:w w:val="99"/>
        </w:rPr>
        <w:t>be</w:t>
      </w:r>
      <w:r>
        <w:rPr/>
        <w:t> </w:t>
      </w:r>
      <w:r>
        <w:rPr>
          <w:spacing w:val="21"/>
        </w:rPr>
        <w:t> </w:t>
      </w:r>
      <w:r>
        <w:rPr>
          <w:w w:val="101"/>
        </w:rPr>
        <w:t>found</w:t>
      </w:r>
      <w:r>
        <w:rPr/>
        <w:t>  </w:t>
      </w:r>
      <w:r>
        <w:rPr>
          <w:spacing w:val="-22"/>
        </w:rPr>
        <w:t> </w:t>
      </w:r>
      <w:r>
        <w:rPr>
          <w:w w:val="114"/>
        </w:rPr>
        <w:t>that</w:t>
      </w:r>
      <w:r>
        <w:rPr/>
        <w:t>  </w:t>
      </w:r>
      <w:r>
        <w:rPr>
          <w:spacing w:val="-20"/>
        </w:rPr>
        <w:t> </w:t>
      </w:r>
      <w:r>
        <w:rPr>
          <w:w w:val="105"/>
        </w:rPr>
        <w:t>commutation</w:t>
      </w:r>
      <w:r>
        <w:rPr/>
        <w:t>  </w:t>
      </w:r>
      <w:r>
        <w:rPr>
          <w:spacing w:val="-15"/>
        </w:rPr>
        <w:t> </w:t>
      </w:r>
      <w:r>
        <w:rPr>
          <w:spacing w:val="18"/>
          <w:w w:val="74"/>
        </w:rPr>
        <w:t>f</w:t>
      </w:r>
      <w:r>
        <w:rPr>
          <w:w w:val="111"/>
        </w:rPr>
        <w:t>undions</w:t>
      </w:r>
      <w:r>
        <w:rPr/>
        <w:t>  </w:t>
      </w:r>
      <w:r>
        <w:rPr>
          <w:spacing w:val="-21"/>
        </w:rPr>
        <w:t> </w:t>
      </w:r>
      <w:r>
        <w:rPr>
          <w:w w:val="100"/>
        </w:rPr>
        <w:t>produee</w:t>
      </w:r>
    </w:p>
    <w:p>
      <w:pPr>
        <w:pStyle w:val="BodyText"/>
        <w:spacing w:line="232" w:lineRule="auto" w:before="70"/>
        <w:ind w:left="114" w:right="121" w:firstLine="7"/>
        <w:jc w:val="both"/>
      </w:pPr>
      <w:r>
        <w:rPr>
          <w:w w:val="105"/>
        </w:rPr>
        <w:t>even greater simplifications when used to evaluate fuuctions which are more complex in form than </w:t>
      </w:r>
      <w:r>
        <w:rPr>
          <w:sz w:val="24"/>
        </w:rPr>
        <w:t>n.Ez </w:t>
      </w:r>
      <w:r>
        <w:rPr>
          <w:w w:val="105"/>
          <w:sz w:val="24"/>
        </w:rPr>
        <w:t>. </w:t>
      </w:r>
      <w:r>
        <w:rPr>
          <w:w w:val="105"/>
        </w:rPr>
        <w:t>Values of </w:t>
      </w:r>
      <w:r>
        <w:rPr>
          <w:i/>
          <w:w w:val="105"/>
          <w:sz w:val="21"/>
        </w:rPr>
        <w:t>Dx </w:t>
      </w:r>
      <w:r>
        <w:rPr>
          <w:w w:val="105"/>
          <w:sz w:val="21"/>
        </w:rPr>
        <w:t>, </w:t>
      </w:r>
      <w:r>
        <w:rPr>
          <w:w w:val="105"/>
        </w:rPr>
        <w:t>and of other commutation </w:t>
      </w:r>
      <w:r>
        <w:rPr>
          <w:rFonts w:ascii="Arial"/>
          <w:w w:val="105"/>
          <w:sz w:val="18"/>
        </w:rPr>
        <w:t>f</w:t>
      </w:r>
      <w:r>
        <w:rPr>
          <w:w w:val="105"/>
        </w:rPr>
        <w:t>unctions whieh will be dcfined as the nced for them arises, are tabulated  for all values of </w:t>
      </w:r>
      <w:r>
        <w:rPr>
          <w:rFonts w:ascii="Arial"/>
          <w:i/>
          <w:w w:val="105"/>
          <w:sz w:val="17"/>
        </w:rPr>
        <w:t>x  </w:t>
      </w:r>
      <w:r>
        <w:rPr>
          <w:w w:val="105"/>
        </w:rPr>
        <w:t>for all mortality  tables  that</w:t>
      </w:r>
    </w:p>
    <w:p>
      <w:pPr>
        <w:pStyle w:val="BodyText"/>
        <w:spacing w:before="12"/>
        <w:ind w:left="124"/>
        <w:jc w:val="both"/>
      </w:pPr>
      <w:r>
        <w:rPr>
          <w:w w:val="105"/>
        </w:rPr>
        <w:t>form the basis of extensive monetary </w:t>
      </w:r>
      <w:r>
        <w:rPr>
          <w:spacing w:val="51"/>
          <w:w w:val="105"/>
        </w:rPr>
        <w:t> </w:t>
      </w:r>
      <w:r>
        <w:rPr>
          <w:w w:val="105"/>
        </w:rPr>
        <w:t>calculations.</w:t>
      </w:r>
    </w:p>
    <w:p>
      <w:pPr>
        <w:pStyle w:val="BodyText"/>
        <w:spacing w:line="252" w:lineRule="auto" w:before="7"/>
        <w:ind w:left="117" w:right="124" w:firstLine="194"/>
        <w:jc w:val="both"/>
      </w:pPr>
      <w:r>
        <w:rPr>
          <w:w w:val="105"/>
        </w:rPr>
        <w:t>The importance of commutation functions as a labor-saving de­ vice has been diminished to sorne extent  by  the wide-spread  use  of digital computers. When an entire series of calculations can be carried out automatically at high  speed, the additional  time savcd by the use of commutation functions is sometimes uniroportant. Aside from their computational advantagcs, however, concimtation functions are useful in simplifying the construction and manipula­ tion of  actuaria!</w:t>
      </w:r>
      <w:r>
        <w:rPr>
          <w:spacing w:val="6"/>
          <w:w w:val="105"/>
        </w:rPr>
        <w:t> </w:t>
      </w:r>
      <w:r>
        <w:rPr>
          <w:w w:val="105"/>
        </w:rPr>
        <w:t>formulas.</w:t>
      </w:r>
    </w:p>
    <w:p>
      <w:pPr>
        <w:spacing w:line="231" w:lineRule="exact" w:before="0"/>
        <w:ind w:left="124" w:right="0" w:firstLine="187"/>
        <w:jc w:val="both"/>
        <w:rPr>
          <w:sz w:val="20"/>
        </w:rPr>
      </w:pPr>
      <w:r>
        <w:rPr>
          <w:i/>
          <w:w w:val="105"/>
          <w:sz w:val="22"/>
        </w:rPr>
        <w:t>nEx </w:t>
      </w:r>
      <w:r>
        <w:rPr>
          <w:w w:val="105"/>
          <w:sz w:val="20"/>
        </w:rPr>
        <w:t>may be called the </w:t>
      </w:r>
      <w:r>
        <w:rPr>
          <w:i/>
          <w:w w:val="105"/>
          <w:sz w:val="19"/>
        </w:rPr>
        <w:t>net  single premium  </w:t>
      </w:r>
      <w:r>
        <w:rPr>
          <w:w w:val="105"/>
          <w:sz w:val="20"/>
        </w:rPr>
        <w:t>at age </w:t>
      </w:r>
      <w:r>
        <w:rPr>
          <w:i/>
          <w:w w:val="105"/>
          <w:sz w:val="19"/>
        </w:rPr>
        <w:t>x  </w:t>
      </w:r>
      <w:r>
        <w:rPr>
          <w:w w:val="105"/>
          <w:sz w:val="20"/>
        </w:rPr>
        <w:t>for an  n-year</w:t>
      </w:r>
    </w:p>
    <w:p>
      <w:pPr>
        <w:pStyle w:val="BodyText"/>
        <w:spacing w:line="249" w:lineRule="auto" w:before="7"/>
        <w:ind w:left="114" w:right="122" w:firstLine="10"/>
        <w:jc w:val="both"/>
      </w:pPr>
      <w:r>
        <w:rPr>
          <w:w w:val="105"/>
        </w:rPr>
        <w:t>pure endowment of </w:t>
      </w:r>
      <w:r>
        <w:rPr>
          <w:w w:val="120"/>
          <w:sz w:val="19"/>
        </w:rPr>
        <w:t>l. </w:t>
      </w:r>
      <w:r>
        <w:rPr>
          <w:w w:val="120"/>
        </w:rPr>
        <w:t>It </w:t>
      </w:r>
      <w:r>
        <w:rPr>
          <w:w w:val="105"/>
        </w:rPr>
        <w:t>represents the single payment which </w:t>
      </w:r>
      <w:r>
        <w:rPr>
          <w:rFonts w:ascii="Arial"/>
          <w:i/>
          <w:spacing w:val="3"/>
          <w:w w:val="105"/>
          <w:sz w:val="19"/>
        </w:rPr>
        <w:t>(x </w:t>
      </w:r>
      <w:r>
        <w:rPr>
          <w:rFonts w:ascii="Arial"/>
          <w:i/>
          <w:w w:val="105"/>
          <w:sz w:val="19"/>
        </w:rPr>
        <w:t>) </w:t>
      </w:r>
      <w:r>
        <w:rPr>
          <w:w w:val="105"/>
        </w:rPr>
        <w:t>should make in return for an insurer's promise to pay him the sum  of 1 at the end of </w:t>
      </w:r>
      <w:r>
        <w:rPr>
          <w:i/>
          <w:w w:val="105"/>
          <w:sz w:val="19"/>
        </w:rPr>
        <w:t>n </w:t>
      </w:r>
      <w:r>
        <w:rPr>
          <w:w w:val="105"/>
        </w:rPr>
        <w:t>years if he is then alive. The word </w:t>
      </w:r>
      <w:r>
        <w:rPr>
          <w:i/>
          <w:w w:val="105"/>
          <w:sz w:val="19"/>
        </w:rPr>
        <w:t>net </w:t>
      </w:r>
      <w:r>
        <w:rPr>
          <w:w w:val="105"/>
        </w:rPr>
        <w:t>indicates that no provision is being made for the expense involved in the transaction.</w:t>
      </w:r>
    </w:p>
    <w:p>
      <w:pPr>
        <w:spacing w:before="170"/>
        <w:ind w:left="117" w:right="0" w:firstLine="0"/>
        <w:jc w:val="both"/>
        <w:rPr>
          <w:i/>
          <w:sz w:val="19"/>
        </w:rPr>
      </w:pPr>
      <w:r>
        <w:rPr>
          <w:i/>
          <w:w w:val="105"/>
          <w:sz w:val="19"/>
        </w:rPr>
        <w:t>Example</w:t>
      </w:r>
    </w:p>
    <w:p>
      <w:pPr>
        <w:pStyle w:val="BodyText"/>
        <w:spacing w:line="252" w:lineRule="auto" w:before="89"/>
        <w:ind w:left="121" w:right="123" w:firstLine="198"/>
        <w:jc w:val="both"/>
      </w:pPr>
      <w:r>
        <w:rPr>
          <w:w w:val="105"/>
        </w:rPr>
        <w:t>What is the net single premium at age 35 for a 20-year pure endowment of </w:t>
      </w:r>
      <w:r>
        <w:rPr>
          <w:rFonts w:ascii="Arial" w:hAnsi="Arial"/>
          <w:b/>
          <w:w w:val="105"/>
          <w:sz w:val="18"/>
        </w:rPr>
        <w:t>$1000 </w:t>
      </w:r>
      <w:r>
        <w:rPr>
          <w:w w:val="105"/>
        </w:rPr>
        <w:t>according to the Commissioners </w:t>
      </w:r>
      <w:r>
        <w:rPr>
          <w:spacing w:val="-10"/>
          <w:w w:val="105"/>
          <w:sz w:val="19"/>
        </w:rPr>
        <w:t>1958 </w:t>
      </w:r>
      <w:r>
        <w:rPr>
          <w:w w:val="105"/>
        </w:rPr>
        <w:t>Stand­ ard  Ordinary  Mortality  Table  with  </w:t>
      </w:r>
      <w:r>
        <w:rPr>
          <w:rFonts w:ascii="Arial" w:hAnsi="Arial"/>
          <w:w w:val="105"/>
          <w:sz w:val="18"/>
        </w:rPr>
        <w:t>3 %</w:t>
      </w:r>
      <w:r>
        <w:rPr>
          <w:rFonts w:ascii="Arial" w:hAnsi="Arial"/>
          <w:spacing w:val="52"/>
          <w:w w:val="105"/>
          <w:sz w:val="18"/>
        </w:rPr>
        <w:t> </w:t>
      </w:r>
      <w:r>
        <w:rPr>
          <w:w w:val="105"/>
        </w:rPr>
        <w:t>interest?</w:t>
      </w:r>
    </w:p>
    <w:p>
      <w:pPr>
        <w:pStyle w:val="BodyText"/>
        <w:spacing w:line="232" w:lineRule="exact"/>
        <w:ind w:left="319" w:right="133"/>
        <w:rPr>
          <w:sz w:val="21"/>
        </w:rPr>
      </w:pPr>
      <w:r>
        <w:rPr>
          <w:w w:val="105"/>
        </w:rPr>
        <w:t>Referring  to the </w:t>
      </w:r>
      <w:r>
        <w:rPr>
          <w:i/>
          <w:w w:val="105"/>
          <w:sz w:val="21"/>
        </w:rPr>
        <w:t>Dx  </w:t>
      </w:r>
      <w:r>
        <w:rPr>
          <w:w w:val="105"/>
        </w:rPr>
        <w:t>columns for </w:t>
      </w:r>
      <w:r>
        <w:rPr>
          <w:w w:val="105"/>
          <w:sz w:val="21"/>
        </w:rPr>
        <w:t>3</w:t>
      </w:r>
      <w:r>
        <w:rPr>
          <w:rFonts w:ascii="Arial"/>
          <w:w w:val="105"/>
          <w:sz w:val="18"/>
        </w:rPr>
        <w:t>% </w:t>
      </w:r>
      <w:r>
        <w:rPr>
          <w:w w:val="105"/>
        </w:rPr>
        <w:t>in Table A of  Appendix  </w:t>
      </w:r>
      <w:r>
        <w:rPr>
          <w:w w:val="105"/>
          <w:sz w:val="21"/>
        </w:rPr>
        <w:t>I,</w:t>
      </w:r>
    </w:p>
    <w:p>
      <w:pPr>
        <w:pStyle w:val="BodyText"/>
        <w:spacing w:before="9"/>
        <w:ind w:left="124"/>
        <w:jc w:val="both"/>
      </w:pPr>
      <w:r>
        <w:rPr/>
        <w:t>we find</w:t>
      </w:r>
    </w:p>
    <w:p>
      <w:pPr>
        <w:spacing w:line="281" w:lineRule="exact" w:before="113"/>
        <w:ind w:left="19" w:right="21" w:firstLine="0"/>
        <w:jc w:val="center"/>
        <w:rPr>
          <w:sz w:val="19"/>
        </w:rPr>
      </w:pPr>
      <w:r>
        <w:rPr>
          <w:b/>
          <w:sz w:val="21"/>
        </w:rPr>
        <w:t>lOOO </w:t>
      </w:r>
      <w:r>
        <w:rPr>
          <w:rFonts w:ascii="Arial" w:hAnsi="Arial"/>
          <w:spacing w:val="-15"/>
          <w:w w:val="155"/>
          <w:sz w:val="19"/>
        </w:rPr>
        <w:t>,J¡¡ </w:t>
      </w:r>
      <w:r>
        <w:rPr>
          <w:w w:val="110"/>
          <w:sz w:val="26"/>
        </w:rPr>
        <w:t>= </w:t>
      </w:r>
      <w:r>
        <w:rPr>
          <w:i/>
          <w:w w:val="110"/>
          <w:sz w:val="19"/>
          <w:u w:val="single"/>
        </w:rPr>
        <w:t>1000D" </w:t>
      </w:r>
      <w:r>
        <w:rPr>
          <w:w w:val="110"/>
          <w:sz w:val="26"/>
        </w:rPr>
        <w:t>= </w:t>
      </w:r>
      <w:r>
        <w:rPr>
          <w:w w:val="110"/>
          <w:sz w:val="19"/>
          <w:u w:val="single"/>
        </w:rPr>
        <w:t>1000( </w:t>
      </w:r>
      <w:r>
        <w:rPr>
          <w:spacing w:val="-3"/>
          <w:w w:val="110"/>
          <w:sz w:val="19"/>
          <w:u w:val="single"/>
        </w:rPr>
        <w:t>1,639,329.7)</w:t>
      </w:r>
    </w:p>
    <w:p>
      <w:pPr>
        <w:tabs>
          <w:tab w:pos="2169" w:val="left" w:leader="none"/>
        </w:tabs>
        <w:spacing w:line="234" w:lineRule="exact" w:before="0"/>
        <w:ind w:left="1092" w:right="0" w:firstLine="0"/>
        <w:jc w:val="center"/>
        <w:rPr>
          <w:sz w:val="20"/>
        </w:rPr>
      </w:pPr>
      <w:r>
        <w:rPr>
          <w:i/>
          <w:sz w:val="21"/>
        </w:rPr>
        <w:t>D</w:t>
      </w:r>
      <w:r>
        <w:rPr>
          <w:i/>
          <w:spacing w:val="-37"/>
          <w:sz w:val="21"/>
        </w:rPr>
        <w:t> </w:t>
      </w:r>
      <w:r>
        <w:rPr>
          <w:i/>
          <w:position w:val="-2"/>
          <w:sz w:val="12"/>
        </w:rPr>
        <w:t>36</w:t>
        <w:tab/>
      </w:r>
      <w:r>
        <w:rPr>
          <w:sz w:val="20"/>
        </w:rPr>
        <w:t>3,331,295.4</w:t>
      </w:r>
    </w:p>
    <w:p>
      <w:pPr>
        <w:spacing w:before="82"/>
        <w:ind w:left="1485" w:right="389" w:firstLine="0"/>
        <w:jc w:val="center"/>
        <w:rPr>
          <w:sz w:val="19"/>
        </w:rPr>
      </w:pPr>
      <w:r>
        <w:rPr>
          <w:sz w:val="23"/>
        </w:rPr>
        <w:t>=  </w:t>
      </w:r>
      <w:r>
        <w:rPr>
          <w:sz w:val="19"/>
        </w:rPr>
        <w:t>$492.10.</w:t>
      </w:r>
    </w:p>
    <w:p>
      <w:pPr>
        <w:pStyle w:val="BodyText"/>
        <w:spacing w:line="242" w:lineRule="auto" w:before="103"/>
        <w:ind w:left="132" w:right="111" w:firstLine="201"/>
        <w:jc w:val="both"/>
      </w:pPr>
      <w:r>
        <w:rPr>
          <w:w w:val="110"/>
          <w:sz w:val="21"/>
        </w:rPr>
        <w:t>lt </w:t>
      </w:r>
      <w:r>
        <w:rPr>
          <w:w w:val="110"/>
        </w:rPr>
        <w:t>is illuminating to check this result from elementary prin­ cipies. Referring </w:t>
      </w:r>
      <w:r>
        <w:rPr>
          <w:w w:val="110"/>
          <w:sz w:val="21"/>
        </w:rPr>
        <w:t>to </w:t>
      </w:r>
      <w:r>
        <w:rPr>
          <w:w w:val="110"/>
        </w:rPr>
        <w:t>the </w:t>
      </w:r>
      <w:r>
        <w:rPr>
          <w:spacing w:val="-12"/>
          <w:w w:val="110"/>
        </w:rPr>
        <w:t>1958 </w:t>
      </w:r>
      <w:r>
        <w:rPr>
          <w:w w:val="110"/>
        </w:rPr>
        <w:t>CSO table, we note that </w:t>
      </w:r>
      <w:r>
        <w:rPr>
          <w:rFonts w:ascii="Arial" w:hAnsi="Arial"/>
          <w:i/>
          <w:w w:val="110"/>
          <w:sz w:val="19"/>
        </w:rPr>
        <w:t>l» </w:t>
      </w:r>
      <w:r>
        <w:rPr>
          <w:w w:val="110"/>
        </w:rPr>
        <w:t>equals 9,373,807.</w:t>
      </w:r>
      <w:r>
        <w:rPr>
          <w:spacing w:val="-39"/>
          <w:w w:val="110"/>
        </w:rPr>
        <w:t> </w:t>
      </w:r>
      <w:r>
        <w:rPr>
          <w:w w:val="110"/>
        </w:rPr>
        <w:t>Suppose</w:t>
      </w:r>
      <w:r>
        <w:rPr>
          <w:spacing w:val="-38"/>
          <w:w w:val="110"/>
        </w:rPr>
        <w:t> </w:t>
      </w:r>
      <w:r>
        <w:rPr>
          <w:w w:val="110"/>
        </w:rPr>
        <w:t>that</w:t>
      </w:r>
      <w:r>
        <w:rPr>
          <w:spacing w:val="-33"/>
          <w:w w:val="110"/>
        </w:rPr>
        <w:t> </w:t>
      </w:r>
      <w:r>
        <w:rPr>
          <w:w w:val="110"/>
        </w:rPr>
        <w:t>each</w:t>
      </w:r>
      <w:r>
        <w:rPr>
          <w:spacing w:val="-34"/>
          <w:w w:val="110"/>
        </w:rPr>
        <w:t> </w:t>
      </w:r>
      <w:r>
        <w:rPr>
          <w:w w:val="110"/>
        </w:rPr>
        <w:t>of</w:t>
      </w:r>
      <w:r>
        <w:rPr>
          <w:spacing w:val="-34"/>
          <w:w w:val="110"/>
        </w:rPr>
        <w:t> </w:t>
      </w:r>
      <w:r>
        <w:rPr>
          <w:w w:val="110"/>
        </w:rPr>
        <w:t>9,373,807</w:t>
      </w:r>
      <w:r>
        <w:rPr>
          <w:spacing w:val="-34"/>
          <w:w w:val="110"/>
        </w:rPr>
        <w:t> </w:t>
      </w:r>
      <w:r>
        <w:rPr>
          <w:w w:val="110"/>
        </w:rPr>
        <w:t>lives</w:t>
      </w:r>
      <w:r>
        <w:rPr>
          <w:spacing w:val="-38"/>
          <w:w w:val="110"/>
        </w:rPr>
        <w:t> </w:t>
      </w:r>
      <w:r>
        <w:rPr>
          <w:w w:val="110"/>
        </w:rPr>
        <w:t>at</w:t>
      </w:r>
      <w:r>
        <w:rPr>
          <w:spacing w:val="-36"/>
          <w:w w:val="110"/>
        </w:rPr>
        <w:t> </w:t>
      </w:r>
      <w:r>
        <w:rPr>
          <w:w w:val="110"/>
        </w:rPr>
        <w:t>age</w:t>
      </w:r>
      <w:r>
        <w:rPr>
          <w:spacing w:val="-40"/>
          <w:w w:val="110"/>
        </w:rPr>
        <w:t> </w:t>
      </w:r>
      <w:r>
        <w:rPr>
          <w:spacing w:val="-10"/>
          <w:w w:val="110"/>
        </w:rPr>
        <w:t>35</w:t>
      </w:r>
      <w:r>
        <w:rPr>
          <w:spacing w:val="-44"/>
          <w:w w:val="110"/>
        </w:rPr>
        <w:t> </w:t>
      </w:r>
      <w:r>
        <w:rPr>
          <w:w w:val="110"/>
        </w:rPr>
        <w:t>contributes</w:t>
      </w:r>
    </w:p>
    <w:p>
      <w:pPr>
        <w:pStyle w:val="BodyText"/>
        <w:spacing w:line="252" w:lineRule="auto" w:before="5"/>
        <w:ind w:left="128" w:right="107" w:firstLine="10"/>
        <w:jc w:val="center"/>
      </w:pPr>
      <w:r>
        <w:rPr>
          <w:w w:val="105"/>
        </w:rPr>
        <w:t>$492.10 to a fund which is left at 3 </w:t>
      </w:r>
      <w:r>
        <w:rPr>
          <w:rFonts w:ascii="Arial"/>
          <w:w w:val="105"/>
          <w:sz w:val="18"/>
        </w:rPr>
        <w:t>% </w:t>
      </w:r>
      <w:r>
        <w:rPr>
          <w:w w:val="105"/>
        </w:rPr>
        <w:t>interest until the end of 20 years, at which time the accumulation is divided equally among  the</w:t>
      </w:r>
    </w:p>
    <w:p>
      <w:pPr>
        <w:spacing w:after="0" w:line="252" w:lineRule="auto"/>
        <w:jc w:val="center"/>
        <w:sectPr>
          <w:pgSz w:w="7200" w:h="11340"/>
          <w:pgMar w:top="500" w:bottom="280" w:left="660" w:right="560"/>
        </w:sectPr>
      </w:pPr>
    </w:p>
    <w:p>
      <w:pPr>
        <w:tabs>
          <w:tab w:pos="1150" w:val="left" w:leader="none"/>
          <w:tab w:pos="5863" w:val="right" w:leader="none"/>
        </w:tabs>
        <w:spacing w:before="50"/>
        <w:ind w:left="110" w:right="0" w:firstLine="0"/>
        <w:jc w:val="left"/>
        <w:rPr>
          <w:sz w:val="19"/>
        </w:rPr>
      </w:pPr>
      <w:r>
        <w:rPr>
          <w:w w:val="110"/>
          <w:sz w:val="15"/>
        </w:rPr>
        <w:t>SEC.</w:t>
      </w:r>
      <w:r>
        <w:rPr>
          <w:spacing w:val="5"/>
          <w:w w:val="110"/>
          <w:sz w:val="15"/>
        </w:rPr>
        <w:t> </w:t>
      </w:r>
      <w:r>
        <w:rPr>
          <w:rFonts w:ascii="Arial"/>
          <w:w w:val="110"/>
          <w:sz w:val="20"/>
        </w:rPr>
        <w:t>2}</w:t>
        <w:tab/>
      </w:r>
      <w:r>
        <w:rPr>
          <w:w w:val="110"/>
          <w:position w:val="1"/>
          <w:sz w:val="15"/>
        </w:rPr>
        <w:t>LIFE  ANNUITIES   WITH </w:t>
      </w:r>
      <w:r>
        <w:rPr>
          <w:spacing w:val="26"/>
          <w:w w:val="110"/>
          <w:position w:val="1"/>
          <w:sz w:val="15"/>
        </w:rPr>
        <w:t> </w:t>
      </w:r>
      <w:r>
        <w:rPr>
          <w:w w:val="110"/>
          <w:position w:val="1"/>
          <w:sz w:val="15"/>
        </w:rPr>
        <w:t>ANNUAL </w:t>
      </w:r>
      <w:r>
        <w:rPr>
          <w:spacing w:val="25"/>
          <w:w w:val="110"/>
          <w:position w:val="1"/>
          <w:sz w:val="15"/>
        </w:rPr>
        <w:t> </w:t>
      </w:r>
      <w:r>
        <w:rPr>
          <w:w w:val="110"/>
          <w:position w:val="1"/>
          <w:sz w:val="15"/>
        </w:rPr>
        <w:t>PAYMENTS</w:t>
      </w:r>
      <w:r>
        <w:rPr>
          <w:w w:val="110"/>
          <w:position w:val="1"/>
          <w:sz w:val="19"/>
        </w:rPr>
        <w:tab/>
      </w:r>
      <w:r>
        <w:rPr>
          <w:spacing w:val="-17"/>
          <w:w w:val="110"/>
          <w:position w:val="1"/>
          <w:sz w:val="19"/>
        </w:rPr>
        <w:t>39</w:t>
      </w:r>
    </w:p>
    <w:p>
      <w:pPr>
        <w:spacing w:line="235" w:lineRule="auto" w:before="237"/>
        <w:ind w:left="103" w:right="139" w:firstLine="3"/>
        <w:jc w:val="both"/>
        <w:rPr>
          <w:sz w:val="21"/>
        </w:rPr>
      </w:pPr>
      <w:r>
        <w:rPr>
          <w:sz w:val="21"/>
        </w:rPr>
        <w:t>survivors at a.ge 55. </w:t>
      </w:r>
      <w:r>
        <w:rPr>
          <w:sz w:val="19"/>
        </w:rPr>
        <w:t>If </w:t>
      </w:r>
      <w:r>
        <w:rPr>
          <w:sz w:val="21"/>
        </w:rPr>
        <w:t>our previous calculation is correct, the pro­ ceeds should </w:t>
      </w:r>
      <w:r>
        <w:rPr>
          <w:sz w:val="19"/>
        </w:rPr>
        <w:t>be </w:t>
      </w:r>
      <w:r>
        <w:rPr>
          <w:sz w:val="21"/>
        </w:rPr>
        <w:t>sufficient </w:t>
      </w:r>
      <w:r>
        <w:rPr>
          <w:sz w:val="22"/>
        </w:rPr>
        <w:t>to </w:t>
      </w:r>
      <w:r>
        <w:rPr>
          <w:sz w:val="21"/>
        </w:rPr>
        <w:t>provide $1000 for ea.ch of the sur­ vivors.</w:t>
      </w:r>
    </w:p>
    <w:p>
      <w:pPr>
        <w:spacing w:after="0" w:line="235" w:lineRule="auto"/>
        <w:jc w:val="both"/>
        <w:rPr>
          <w:sz w:val="21"/>
        </w:rPr>
        <w:sectPr>
          <w:pgSz w:w="7200" w:h="11340"/>
          <w:pgMar w:top="500" w:bottom="280" w:left="660" w:right="540"/>
        </w:sectPr>
      </w:pPr>
    </w:p>
    <w:p>
      <w:pPr>
        <w:spacing w:line="204" w:lineRule="exact" w:before="118"/>
        <w:ind w:left="420" w:right="0" w:firstLine="0"/>
        <w:jc w:val="left"/>
        <w:rPr>
          <w:sz w:val="18"/>
        </w:rPr>
      </w:pPr>
      <w:r>
        <w:rPr>
          <w:w w:val="105"/>
          <w:sz w:val="18"/>
        </w:rPr>
        <w:t>Original</w:t>
      </w:r>
      <w:r>
        <w:rPr>
          <w:spacing w:val="25"/>
          <w:w w:val="105"/>
          <w:sz w:val="18"/>
        </w:rPr>
        <w:t> </w:t>
      </w:r>
      <w:r>
        <w:rPr>
          <w:w w:val="105"/>
          <w:sz w:val="18"/>
        </w:rPr>
        <w:t>lives</w:t>
      </w:r>
      <w:r>
        <w:rPr>
          <w:spacing w:val="17"/>
          <w:w w:val="105"/>
          <w:sz w:val="18"/>
        </w:rPr>
        <w:t> </w:t>
      </w:r>
      <w:r>
        <w:rPr>
          <w:w w:val="105"/>
          <w:sz w:val="18"/>
        </w:rPr>
        <w:t>at</w:t>
      </w:r>
      <w:r>
        <w:rPr>
          <w:spacing w:val="13"/>
          <w:w w:val="105"/>
          <w:sz w:val="18"/>
        </w:rPr>
        <w:t> </w:t>
      </w:r>
      <w:r>
        <w:rPr>
          <w:rFonts w:ascii="Arial"/>
          <w:w w:val="105"/>
          <w:sz w:val="15"/>
        </w:rPr>
        <w:t>age</w:t>
      </w:r>
      <w:r>
        <w:rPr>
          <w:rFonts w:ascii="Arial"/>
          <w:spacing w:val="20"/>
          <w:w w:val="105"/>
          <w:sz w:val="15"/>
        </w:rPr>
        <w:t> </w:t>
      </w:r>
      <w:r>
        <w:rPr>
          <w:w w:val="105"/>
          <w:sz w:val="18"/>
        </w:rPr>
        <w:t>35</w:t>
      </w:r>
      <w:r>
        <w:rPr>
          <w:spacing w:val="-28"/>
          <w:w w:val="105"/>
          <w:sz w:val="18"/>
        </w:rPr>
        <w:t> </w:t>
      </w:r>
      <w:r>
        <w:rPr>
          <w:w w:val="105"/>
          <w:sz w:val="18"/>
        </w:rPr>
        <w:t>.</w:t>
      </w:r>
      <w:r>
        <w:rPr>
          <w:spacing w:val="-11"/>
          <w:w w:val="105"/>
          <w:sz w:val="18"/>
        </w:rPr>
        <w:t> </w:t>
      </w:r>
      <w:r>
        <w:rPr>
          <w:w w:val="120"/>
          <w:sz w:val="18"/>
        </w:rPr>
        <w:t>.</w:t>
      </w:r>
      <w:r>
        <w:rPr>
          <w:spacing w:val="-19"/>
          <w:w w:val="120"/>
          <w:sz w:val="18"/>
        </w:rPr>
        <w:t> </w:t>
      </w:r>
      <w:r>
        <w:rPr>
          <w:w w:val="105"/>
          <w:sz w:val="18"/>
        </w:rPr>
        <w:t>.</w:t>
      </w:r>
      <w:r>
        <w:rPr>
          <w:spacing w:val="-14"/>
          <w:w w:val="105"/>
          <w:sz w:val="18"/>
        </w:rPr>
        <w:t> </w:t>
      </w:r>
      <w:r>
        <w:rPr>
          <w:w w:val="105"/>
          <w:sz w:val="18"/>
        </w:rPr>
        <w:t>.</w:t>
      </w:r>
      <w:r>
        <w:rPr>
          <w:spacing w:val="-14"/>
          <w:w w:val="105"/>
          <w:sz w:val="18"/>
        </w:rPr>
        <w:t> </w:t>
      </w:r>
      <w:r>
        <w:rPr>
          <w:w w:val="105"/>
          <w:sz w:val="18"/>
        </w:rPr>
        <w:t>.</w:t>
      </w:r>
      <w:r>
        <w:rPr>
          <w:spacing w:val="-13"/>
          <w:w w:val="105"/>
          <w:sz w:val="18"/>
        </w:rPr>
        <w:t> </w:t>
      </w:r>
      <w:r>
        <w:rPr>
          <w:spacing w:val="6"/>
          <w:w w:val="120"/>
          <w:sz w:val="18"/>
        </w:rPr>
        <w:t>...</w:t>
      </w:r>
      <w:r>
        <w:rPr>
          <w:spacing w:val="-21"/>
          <w:w w:val="120"/>
          <w:sz w:val="18"/>
        </w:rPr>
        <w:t> </w:t>
      </w:r>
      <w:r>
        <w:rPr>
          <w:w w:val="105"/>
          <w:sz w:val="18"/>
        </w:rPr>
        <w:t>.</w:t>
      </w:r>
      <w:r>
        <w:rPr>
          <w:spacing w:val="-16"/>
          <w:w w:val="105"/>
          <w:sz w:val="18"/>
        </w:rPr>
        <w:t> </w:t>
      </w:r>
      <w:r>
        <w:rPr>
          <w:w w:val="105"/>
          <w:sz w:val="18"/>
        </w:rPr>
        <w:t>.</w:t>
      </w:r>
      <w:r>
        <w:rPr>
          <w:spacing w:val="-22"/>
          <w:w w:val="105"/>
          <w:sz w:val="18"/>
        </w:rPr>
        <w:t> </w:t>
      </w:r>
      <w:r>
        <w:rPr>
          <w:w w:val="105"/>
          <w:sz w:val="18"/>
        </w:rPr>
        <w:t>.</w:t>
      </w:r>
      <w:r>
        <w:rPr>
          <w:spacing w:val="-14"/>
          <w:w w:val="105"/>
          <w:sz w:val="18"/>
        </w:rPr>
        <w:t> </w:t>
      </w:r>
      <w:r>
        <w:rPr>
          <w:w w:val="105"/>
          <w:sz w:val="18"/>
        </w:rPr>
        <w:t>.</w:t>
      </w:r>
      <w:r>
        <w:rPr>
          <w:spacing w:val="-17"/>
          <w:w w:val="105"/>
          <w:sz w:val="18"/>
        </w:rPr>
        <w:t> </w:t>
      </w:r>
      <w:r>
        <w:rPr>
          <w:w w:val="105"/>
          <w:sz w:val="18"/>
        </w:rPr>
        <w:t>.</w:t>
      </w:r>
      <w:r>
        <w:rPr>
          <w:spacing w:val="-13"/>
          <w:w w:val="105"/>
          <w:sz w:val="18"/>
        </w:rPr>
        <w:t> </w:t>
      </w:r>
      <w:r>
        <w:rPr>
          <w:w w:val="105"/>
          <w:sz w:val="18"/>
        </w:rPr>
        <w:t>.</w:t>
      </w:r>
      <w:r>
        <w:rPr>
          <w:spacing w:val="-10"/>
          <w:w w:val="105"/>
          <w:sz w:val="18"/>
        </w:rPr>
        <w:t> </w:t>
      </w:r>
      <w:r>
        <w:rPr>
          <w:sz w:val="18"/>
        </w:rPr>
        <w:t>.</w:t>
      </w:r>
      <w:r>
        <w:rPr>
          <w:spacing w:val="-2"/>
          <w:sz w:val="18"/>
        </w:rPr>
        <w:t> </w:t>
      </w:r>
      <w:r>
        <w:rPr>
          <w:w w:val="105"/>
          <w:sz w:val="18"/>
        </w:rPr>
        <w:t>.</w:t>
      </w:r>
      <w:r>
        <w:rPr>
          <w:spacing w:val="-6"/>
          <w:w w:val="105"/>
          <w:sz w:val="18"/>
        </w:rPr>
        <w:t> </w:t>
      </w:r>
      <w:r>
        <w:rPr>
          <w:sz w:val="18"/>
        </w:rPr>
        <w:t>.</w:t>
      </w:r>
      <w:r>
        <w:rPr>
          <w:spacing w:val="-6"/>
          <w:sz w:val="18"/>
        </w:rPr>
        <w:t> </w:t>
      </w:r>
      <w:r>
        <w:rPr>
          <w:w w:val="105"/>
          <w:sz w:val="18"/>
        </w:rPr>
        <w:t>.</w:t>
      </w:r>
      <w:r>
        <w:rPr>
          <w:spacing w:val="-10"/>
          <w:w w:val="105"/>
          <w:sz w:val="18"/>
        </w:rPr>
        <w:t> </w:t>
      </w:r>
      <w:r>
        <w:rPr>
          <w:w w:val="105"/>
          <w:sz w:val="18"/>
        </w:rPr>
        <w:t>.</w:t>
      </w:r>
      <w:r>
        <w:rPr>
          <w:spacing w:val="-21"/>
          <w:w w:val="105"/>
          <w:sz w:val="18"/>
        </w:rPr>
        <w:t> </w:t>
      </w:r>
      <w:r>
        <w:rPr>
          <w:w w:val="105"/>
          <w:sz w:val="18"/>
        </w:rPr>
        <w:t>.</w:t>
      </w:r>
      <w:r>
        <w:rPr>
          <w:spacing w:val="-14"/>
          <w:w w:val="105"/>
          <w:sz w:val="18"/>
        </w:rPr>
        <w:t> </w:t>
      </w:r>
      <w:r>
        <w:rPr>
          <w:w w:val="105"/>
          <w:sz w:val="18"/>
        </w:rPr>
        <w:t>.</w:t>
      </w:r>
      <w:r>
        <w:rPr>
          <w:spacing w:val="-21"/>
          <w:w w:val="105"/>
          <w:sz w:val="18"/>
        </w:rPr>
        <w:t> </w:t>
      </w:r>
      <w:r>
        <w:rPr>
          <w:w w:val="105"/>
          <w:sz w:val="18"/>
        </w:rPr>
        <w:t>.</w:t>
      </w:r>
      <w:r>
        <w:rPr>
          <w:spacing w:val="-14"/>
          <w:w w:val="105"/>
          <w:sz w:val="18"/>
        </w:rPr>
        <w:t> </w:t>
      </w:r>
      <w:r>
        <w:rPr>
          <w:w w:val="105"/>
          <w:sz w:val="18"/>
        </w:rPr>
        <w:t>.</w:t>
      </w:r>
      <w:r>
        <w:rPr>
          <w:spacing w:val="-17"/>
          <w:w w:val="105"/>
          <w:sz w:val="18"/>
        </w:rPr>
        <w:t> </w:t>
      </w:r>
      <w:r>
        <w:rPr>
          <w:w w:val="105"/>
          <w:sz w:val="18"/>
        </w:rPr>
        <w:t>.</w:t>
      </w:r>
      <w:r>
        <w:rPr>
          <w:spacing w:val="-9"/>
          <w:w w:val="105"/>
          <w:sz w:val="18"/>
        </w:rPr>
        <w:t> </w:t>
      </w:r>
      <w:r>
        <w:rPr>
          <w:w w:val="105"/>
          <w:sz w:val="18"/>
        </w:rPr>
        <w:t>.</w:t>
      </w:r>
      <w:r>
        <w:rPr>
          <w:spacing w:val="-17"/>
          <w:w w:val="105"/>
          <w:sz w:val="18"/>
        </w:rPr>
        <w:t> </w:t>
      </w:r>
      <w:r>
        <w:rPr>
          <w:w w:val="105"/>
          <w:sz w:val="18"/>
        </w:rPr>
        <w:t>.</w:t>
      </w:r>
      <w:r>
        <w:rPr>
          <w:spacing w:val="-14"/>
          <w:w w:val="105"/>
          <w:sz w:val="18"/>
        </w:rPr>
        <w:t> </w:t>
      </w:r>
      <w:r>
        <w:rPr>
          <w:w w:val="105"/>
          <w:sz w:val="18"/>
        </w:rPr>
        <w:t>.</w:t>
      </w:r>
    </w:p>
    <w:p>
      <w:pPr>
        <w:spacing w:line="204" w:lineRule="exact" w:before="0"/>
        <w:ind w:left="420" w:right="0" w:firstLine="0"/>
        <w:jc w:val="left"/>
        <w:rPr>
          <w:sz w:val="18"/>
        </w:rPr>
      </w:pPr>
      <w:r>
        <w:rPr>
          <w:sz w:val="18"/>
        </w:rPr>
        <w:t>Contribution</w:t>
      </w:r>
      <w:r>
        <w:rPr>
          <w:spacing w:val="29"/>
          <w:sz w:val="18"/>
        </w:rPr>
        <w:t> </w:t>
      </w:r>
      <w:r>
        <w:rPr>
          <w:sz w:val="18"/>
        </w:rPr>
        <w:t>of  eacb</w:t>
      </w:r>
      <w:r>
        <w:rPr>
          <w:spacing w:val="18"/>
          <w:sz w:val="18"/>
        </w:rPr>
        <w:t> </w:t>
      </w:r>
      <w:r>
        <w:rPr>
          <w:sz w:val="18"/>
        </w:rPr>
        <w:t>member</w:t>
      </w:r>
      <w:r>
        <w:rPr>
          <w:spacing w:val="12"/>
          <w:sz w:val="18"/>
        </w:rPr>
        <w:t> </w:t>
      </w:r>
      <w:r>
        <w:rPr>
          <w:sz w:val="18"/>
        </w:rPr>
        <w:t>.</w:t>
      </w:r>
      <w:r>
        <w:rPr>
          <w:spacing w:val="8"/>
          <w:sz w:val="18"/>
        </w:rPr>
        <w:t> </w:t>
      </w:r>
      <w:r>
        <w:rPr>
          <w:sz w:val="18"/>
        </w:rPr>
        <w:t>.</w:t>
      </w:r>
      <w:r>
        <w:rPr>
          <w:spacing w:val="-12"/>
          <w:sz w:val="18"/>
        </w:rPr>
        <w:t> </w:t>
      </w:r>
      <w:r>
        <w:rPr>
          <w:sz w:val="18"/>
        </w:rPr>
        <w:t>.</w:t>
      </w:r>
      <w:r>
        <w:rPr>
          <w:spacing w:val="-9"/>
          <w:sz w:val="18"/>
        </w:rPr>
        <w:t> </w:t>
      </w:r>
      <w:r>
        <w:rPr>
          <w:sz w:val="18"/>
        </w:rPr>
        <w:t>.</w:t>
      </w:r>
      <w:r>
        <w:rPr>
          <w:spacing w:val="-9"/>
          <w:sz w:val="18"/>
        </w:rPr>
        <w:t> </w:t>
      </w:r>
      <w:r>
        <w:rPr>
          <w:sz w:val="18"/>
        </w:rPr>
        <w:t>.</w:t>
      </w:r>
      <w:r>
        <w:rPr>
          <w:spacing w:val="-3"/>
          <w:sz w:val="18"/>
        </w:rPr>
        <w:t> </w:t>
      </w:r>
      <w:r>
        <w:rPr>
          <w:sz w:val="18"/>
        </w:rPr>
        <w:t>.</w:t>
      </w:r>
      <w:r>
        <w:rPr>
          <w:spacing w:val="-17"/>
          <w:sz w:val="18"/>
        </w:rPr>
        <w:t> </w:t>
      </w:r>
      <w:r>
        <w:rPr>
          <w:sz w:val="18"/>
        </w:rPr>
        <w:t>.</w:t>
      </w:r>
      <w:r>
        <w:rPr>
          <w:spacing w:val="-9"/>
          <w:sz w:val="18"/>
        </w:rPr>
        <w:t> </w:t>
      </w:r>
      <w:r>
        <w:rPr>
          <w:sz w:val="18"/>
        </w:rPr>
        <w:t>.</w:t>
      </w:r>
      <w:r>
        <w:rPr>
          <w:spacing w:val="-17"/>
          <w:sz w:val="18"/>
        </w:rPr>
        <w:t> </w:t>
      </w:r>
      <w:r>
        <w:rPr>
          <w:sz w:val="18"/>
        </w:rPr>
        <w:t>.</w:t>
      </w:r>
      <w:r>
        <w:rPr>
          <w:spacing w:val="-9"/>
          <w:sz w:val="18"/>
        </w:rPr>
        <w:t> </w:t>
      </w:r>
      <w:r>
        <w:rPr>
          <w:sz w:val="18"/>
        </w:rPr>
        <w:t>.</w:t>
      </w:r>
      <w:r>
        <w:rPr>
          <w:spacing w:val="-9"/>
          <w:sz w:val="18"/>
        </w:rPr>
        <w:t> </w:t>
      </w:r>
      <w:r>
        <w:rPr>
          <w:sz w:val="18"/>
        </w:rPr>
        <w:t>.</w:t>
      </w:r>
      <w:r>
        <w:rPr>
          <w:spacing w:val="2"/>
          <w:sz w:val="18"/>
        </w:rPr>
        <w:t> </w:t>
      </w:r>
      <w:r>
        <w:rPr>
          <w:sz w:val="18"/>
        </w:rPr>
        <w:t>.</w:t>
      </w:r>
      <w:r>
        <w:rPr>
          <w:spacing w:val="-12"/>
          <w:sz w:val="18"/>
        </w:rPr>
        <w:t> </w:t>
      </w:r>
      <w:r>
        <w:rPr>
          <w:sz w:val="18"/>
        </w:rPr>
        <w:t>.</w:t>
      </w:r>
      <w:r>
        <w:rPr>
          <w:spacing w:val="-12"/>
          <w:sz w:val="18"/>
        </w:rPr>
        <w:t> </w:t>
      </w:r>
      <w:r>
        <w:rPr>
          <w:sz w:val="18"/>
        </w:rPr>
        <w:t>.</w:t>
      </w:r>
      <w:r>
        <w:rPr>
          <w:spacing w:val="-9"/>
          <w:sz w:val="18"/>
        </w:rPr>
        <w:t> </w:t>
      </w:r>
      <w:r>
        <w:rPr>
          <w:sz w:val="18"/>
        </w:rPr>
        <w:t>.</w:t>
      </w:r>
      <w:r>
        <w:rPr>
          <w:spacing w:val="-8"/>
          <w:sz w:val="18"/>
        </w:rPr>
        <w:t> </w:t>
      </w:r>
      <w:r>
        <w:rPr>
          <w:sz w:val="18"/>
        </w:rPr>
        <w:t>.</w:t>
      </w:r>
      <w:r>
        <w:rPr>
          <w:spacing w:val="-9"/>
          <w:sz w:val="18"/>
        </w:rPr>
        <w:t> </w:t>
      </w:r>
      <w:r>
        <w:rPr>
          <w:sz w:val="18"/>
        </w:rPr>
        <w:t>. .</w:t>
      </w:r>
      <w:r>
        <w:rPr>
          <w:spacing w:val="-8"/>
          <w:sz w:val="18"/>
        </w:rPr>
        <w:t> </w:t>
      </w:r>
      <w:r>
        <w:rPr>
          <w:sz w:val="18"/>
        </w:rPr>
        <w:t>.</w:t>
      </w:r>
      <w:r>
        <w:rPr>
          <w:spacing w:val="-9"/>
          <w:sz w:val="18"/>
        </w:rPr>
        <w:t> </w:t>
      </w:r>
      <w:r>
        <w:rPr>
          <w:sz w:val="18"/>
        </w:rPr>
        <w:t>.</w:t>
      </w:r>
      <w:r>
        <w:rPr>
          <w:spacing w:val="2"/>
          <w:sz w:val="18"/>
        </w:rPr>
        <w:t> </w:t>
      </w:r>
      <w:r>
        <w:rPr>
          <w:sz w:val="18"/>
        </w:rPr>
        <w:t>.</w:t>
      </w:r>
    </w:p>
    <w:p>
      <w:pPr>
        <w:spacing w:before="115"/>
        <w:ind w:left="353" w:right="0" w:firstLine="0"/>
        <w:jc w:val="left"/>
        <w:rPr>
          <w:sz w:val="18"/>
        </w:rPr>
      </w:pPr>
      <w:r>
        <w:rPr/>
        <w:br w:type="column"/>
      </w:r>
      <w:r>
        <w:rPr>
          <w:sz w:val="18"/>
        </w:rPr>
        <w:t>9,373,8(17</w:t>
      </w:r>
    </w:p>
    <w:p>
      <w:pPr>
        <w:spacing w:before="2"/>
        <w:ind w:left="371" w:right="0" w:firstLine="0"/>
        <w:jc w:val="left"/>
        <w:rPr>
          <w:sz w:val="18"/>
        </w:rPr>
      </w:pPr>
      <w:r>
        <w:rPr>
          <w:sz w:val="18"/>
        </w:rPr>
        <w:t>X  492.10</w:t>
      </w:r>
    </w:p>
    <w:p>
      <w:pPr>
        <w:spacing w:after="0"/>
        <w:jc w:val="left"/>
        <w:rPr>
          <w:sz w:val="18"/>
        </w:rPr>
        <w:sectPr>
          <w:type w:val="continuous"/>
          <w:pgSz w:w="7200" w:h="11340"/>
          <w:pgMar w:top="1100" w:bottom="0" w:left="660" w:right="540"/>
          <w:cols w:num="2" w:equalWidth="0">
            <w:col w:w="4426" w:space="40"/>
            <w:col w:w="1534"/>
          </w:cols>
        </w:sectPr>
      </w:pPr>
    </w:p>
    <w:p>
      <w:pPr>
        <w:pStyle w:val="BodyText"/>
        <w:spacing w:before="1"/>
        <w:rPr>
          <w:sz w:val="9"/>
        </w:rPr>
      </w:pPr>
    </w:p>
    <w:p>
      <w:pPr>
        <w:pStyle w:val="BodyText"/>
        <w:spacing w:line="20" w:lineRule="exact"/>
        <w:ind w:left="4491"/>
        <w:rPr>
          <w:sz w:val="2"/>
        </w:rPr>
      </w:pPr>
      <w:r>
        <w:rPr>
          <w:sz w:val="2"/>
        </w:rPr>
        <w:pict>
          <v:group style="width:52.8pt;height:.75pt;mso-position-horizontal-relative:char;mso-position-vertical-relative:line" coordorigin="0,0" coordsize="1056,15">
            <v:line style="position:absolute" from="8,8" to="1048,8" stroked="true" strokeweight=".72pt" strokecolor="#000000"/>
          </v:group>
        </w:pict>
      </w:r>
      <w:r>
        <w:rPr>
          <w:sz w:val="2"/>
        </w:rPr>
      </w:r>
    </w:p>
    <w:p>
      <w:pPr>
        <w:spacing w:line="204" w:lineRule="exact" w:before="68"/>
        <w:ind w:left="47" w:right="87" w:firstLine="0"/>
        <w:jc w:val="center"/>
        <w:rPr>
          <w:sz w:val="18"/>
        </w:rPr>
      </w:pPr>
      <w:r>
        <w:rPr>
          <w:sz w:val="18"/>
        </w:rPr>
        <w:t>Total amount  of original fund . . . . . . . . . . . . . . . . . . </w:t>
      </w:r>
      <w:r>
        <w:rPr>
          <w:color w:val="7E7E7E"/>
          <w:sz w:val="18"/>
        </w:rPr>
        <w:t>. </w:t>
      </w:r>
      <w:r>
        <w:rPr>
          <w:sz w:val="18"/>
        </w:rPr>
        <w:t>. .  4,612,850,425</w:t>
      </w:r>
    </w:p>
    <w:p>
      <w:pPr>
        <w:tabs>
          <w:tab w:pos="4312" w:val="left" w:leader="none"/>
        </w:tabs>
        <w:spacing w:line="204" w:lineRule="exact" w:before="0"/>
        <w:ind w:left="0" w:right="17" w:firstLine="0"/>
        <w:jc w:val="center"/>
        <w:rPr>
          <w:rFonts w:ascii="Arial"/>
          <w:sz w:val="10"/>
        </w:rPr>
      </w:pPr>
      <w:r>
        <w:rPr/>
        <w:pict>
          <v:line style="position:absolute;mso-position-horizontal-relative:page;mso-position-vertical-relative:paragraph;z-index:3064;mso-wrap-distance-left:0;mso-wrap-distance-right:0" from="258.119995pt,15.827788pt" to="309.959995pt,15.827788pt" stroked="true" strokeweight=".54pt" strokecolor="#000000">
            <w10:wrap type="topAndBottom"/>
          </v:line>
        </w:pict>
      </w:r>
      <w:r>
        <w:rPr>
          <w:sz w:val="18"/>
        </w:rPr>
        <w:t>20-year</w:t>
      </w:r>
      <w:r>
        <w:rPr>
          <w:spacing w:val="26"/>
          <w:sz w:val="18"/>
        </w:rPr>
        <w:t> </w:t>
      </w:r>
      <w:r>
        <w:rPr>
          <w:sz w:val="18"/>
        </w:rPr>
        <w:t>accumulation</w:t>
      </w:r>
      <w:r>
        <w:rPr>
          <w:spacing w:val="40"/>
          <w:sz w:val="18"/>
        </w:rPr>
        <w:t> </w:t>
      </w:r>
      <w:r>
        <w:rPr>
          <w:sz w:val="18"/>
        </w:rPr>
        <w:t>factor.</w:t>
      </w:r>
      <w:r>
        <w:rPr>
          <w:spacing w:val="2"/>
          <w:sz w:val="18"/>
        </w:rPr>
        <w:t> </w:t>
      </w:r>
      <w:r>
        <w:rPr>
          <w:sz w:val="18"/>
        </w:rPr>
        <w:t>.</w:t>
      </w:r>
      <w:r>
        <w:rPr>
          <w:spacing w:val="-12"/>
          <w:sz w:val="18"/>
        </w:rPr>
        <w:t> </w:t>
      </w:r>
      <w:r>
        <w:rPr>
          <w:sz w:val="18"/>
        </w:rPr>
        <w:t>.</w:t>
      </w:r>
      <w:r>
        <w:rPr>
          <w:spacing w:val="-11"/>
          <w:sz w:val="18"/>
        </w:rPr>
        <w:t> </w:t>
      </w:r>
      <w:r>
        <w:rPr>
          <w:sz w:val="18"/>
        </w:rPr>
        <w:t>.</w:t>
      </w:r>
      <w:r>
        <w:rPr>
          <w:spacing w:val="-7"/>
          <w:sz w:val="18"/>
        </w:rPr>
        <w:t> </w:t>
      </w:r>
      <w:r>
        <w:rPr>
          <w:sz w:val="18"/>
        </w:rPr>
        <w:t>.</w:t>
      </w:r>
      <w:r>
        <w:rPr>
          <w:spacing w:val="-12"/>
          <w:sz w:val="18"/>
        </w:rPr>
        <w:t> </w:t>
      </w:r>
      <w:r>
        <w:rPr>
          <w:sz w:val="18"/>
        </w:rPr>
        <w:t>.</w:t>
      </w:r>
      <w:r>
        <w:rPr>
          <w:spacing w:val="-7"/>
          <w:sz w:val="18"/>
        </w:rPr>
        <w:t> </w:t>
      </w:r>
      <w:r>
        <w:rPr>
          <w:sz w:val="18"/>
        </w:rPr>
        <w:t>.</w:t>
      </w:r>
      <w:r>
        <w:rPr>
          <w:spacing w:val="-15"/>
          <w:sz w:val="18"/>
        </w:rPr>
        <w:t> </w:t>
      </w:r>
      <w:r>
        <w:rPr>
          <w:sz w:val="18"/>
        </w:rPr>
        <w:t>.</w:t>
      </w:r>
      <w:r>
        <w:rPr>
          <w:spacing w:val="-7"/>
          <w:sz w:val="18"/>
        </w:rPr>
        <w:t> </w:t>
      </w:r>
      <w:r>
        <w:rPr>
          <w:sz w:val="18"/>
        </w:rPr>
        <w:t>.</w:t>
      </w:r>
      <w:r>
        <w:rPr>
          <w:spacing w:val="-7"/>
          <w:sz w:val="18"/>
        </w:rPr>
        <w:t> </w:t>
      </w:r>
      <w:r>
        <w:rPr>
          <w:sz w:val="18"/>
        </w:rPr>
        <w:t>.</w:t>
      </w:r>
      <w:r>
        <w:rPr>
          <w:spacing w:val="-7"/>
          <w:sz w:val="18"/>
        </w:rPr>
        <w:t> </w:t>
      </w:r>
      <w:r>
        <w:rPr>
          <w:sz w:val="18"/>
        </w:rPr>
        <w:t>.</w:t>
      </w:r>
      <w:r>
        <w:rPr>
          <w:spacing w:val="-4"/>
          <w:sz w:val="18"/>
        </w:rPr>
        <w:t> </w:t>
      </w:r>
      <w:r>
        <w:rPr>
          <w:sz w:val="18"/>
        </w:rPr>
        <w:t>.</w:t>
      </w:r>
      <w:r>
        <w:rPr>
          <w:spacing w:val="-2"/>
          <w:sz w:val="18"/>
        </w:rPr>
        <w:t> </w:t>
      </w:r>
      <w:r>
        <w:rPr>
          <w:sz w:val="18"/>
        </w:rPr>
        <w:t>.</w:t>
      </w:r>
      <w:r>
        <w:rPr>
          <w:spacing w:val="-4"/>
          <w:sz w:val="18"/>
        </w:rPr>
        <w:t> </w:t>
      </w:r>
      <w:r>
        <w:rPr>
          <w:sz w:val="18"/>
        </w:rPr>
        <w:t>.</w:t>
      </w:r>
      <w:r>
        <w:rPr>
          <w:spacing w:val="-7"/>
          <w:sz w:val="18"/>
        </w:rPr>
        <w:t> </w:t>
      </w:r>
      <w:r>
        <w:rPr>
          <w:sz w:val="18"/>
        </w:rPr>
        <w:t>.</w:t>
      </w:r>
      <w:r>
        <w:rPr>
          <w:spacing w:val="-7"/>
          <w:sz w:val="18"/>
        </w:rPr>
        <w:t> </w:t>
      </w:r>
      <w:r>
        <w:rPr>
          <w:sz w:val="18"/>
        </w:rPr>
        <w:t>.</w:t>
      </w:r>
      <w:r>
        <w:rPr>
          <w:spacing w:val="-4"/>
          <w:sz w:val="18"/>
        </w:rPr>
        <w:t> </w:t>
      </w:r>
      <w:r>
        <w:rPr>
          <w:sz w:val="18"/>
        </w:rPr>
        <w:t>.</w:t>
      </w:r>
      <w:r>
        <w:rPr>
          <w:spacing w:val="-2"/>
          <w:sz w:val="18"/>
        </w:rPr>
        <w:t> </w:t>
      </w:r>
      <w:r>
        <w:rPr>
          <w:sz w:val="18"/>
        </w:rPr>
        <w:t>.</w:t>
      </w:r>
      <w:r>
        <w:rPr>
          <w:spacing w:val="-7"/>
          <w:sz w:val="18"/>
        </w:rPr>
        <w:t> </w:t>
      </w:r>
      <w:r>
        <w:rPr>
          <w:sz w:val="18"/>
        </w:rPr>
        <w:t>.</w:t>
      </w:r>
      <w:r>
        <w:rPr>
          <w:spacing w:val="-15"/>
          <w:sz w:val="18"/>
        </w:rPr>
        <w:t> </w:t>
      </w:r>
      <w:r>
        <w:rPr>
          <w:color w:val="7E7E7E"/>
          <w:sz w:val="18"/>
        </w:rPr>
        <w:t>.</w:t>
      </w:r>
      <w:r>
        <w:rPr>
          <w:color w:val="7E7E7E"/>
          <w:spacing w:val="-12"/>
          <w:sz w:val="18"/>
        </w:rPr>
        <w:t> </w:t>
      </w:r>
      <w:r>
        <w:rPr>
          <w:sz w:val="18"/>
        </w:rPr>
        <w:t>.</w:t>
      </w:r>
      <w:r>
        <w:rPr>
          <w:spacing w:val="-2"/>
          <w:sz w:val="18"/>
        </w:rPr>
        <w:t> </w:t>
      </w:r>
      <w:r>
        <w:rPr>
          <w:sz w:val="18"/>
        </w:rPr>
        <w:t>.</w:t>
      </w:r>
      <w:r>
        <w:rPr>
          <w:spacing w:val="-4"/>
          <w:sz w:val="18"/>
        </w:rPr>
        <w:t> </w:t>
      </w:r>
      <w:r>
        <w:rPr>
          <w:sz w:val="18"/>
        </w:rPr>
        <w:t>.</w:t>
        <w:tab/>
        <w:t>X  </w:t>
      </w:r>
      <w:r>
        <w:rPr>
          <w:spacing w:val="8"/>
          <w:sz w:val="18"/>
        </w:rPr>
        <w:t> </w:t>
      </w:r>
      <w:r>
        <w:rPr>
          <w:sz w:val="18"/>
        </w:rPr>
        <w:t>(1.03)</w:t>
      </w:r>
      <w:r>
        <w:rPr>
          <w:rFonts w:ascii="Arial"/>
          <w:position w:val="5"/>
          <w:sz w:val="10"/>
        </w:rPr>
        <w:t>10</w:t>
      </w:r>
    </w:p>
    <w:p>
      <w:pPr>
        <w:spacing w:line="199" w:lineRule="exact" w:before="49"/>
        <w:ind w:left="50" w:right="87" w:firstLine="0"/>
        <w:jc w:val="center"/>
        <w:rPr>
          <w:sz w:val="18"/>
        </w:rPr>
      </w:pPr>
      <w:r>
        <w:rPr>
          <w:sz w:val="18"/>
        </w:rPr>
        <w:t>Total amount after 20 years </w:t>
      </w:r>
      <w:r>
        <w:rPr>
          <w:w w:val="120"/>
          <w:sz w:val="18"/>
        </w:rPr>
        <w:t>... </w:t>
      </w:r>
      <w:r>
        <w:rPr>
          <w:sz w:val="18"/>
        </w:rPr>
        <w:t>. . . . . . . . . . . . . . . . . . . .  8,331,319,894</w:t>
      </w:r>
    </w:p>
    <w:p>
      <w:pPr>
        <w:spacing w:line="211" w:lineRule="exact" w:before="0"/>
        <w:ind w:left="58" w:right="87" w:firstLine="0"/>
        <w:jc w:val="center"/>
        <w:rPr>
          <w:sz w:val="18"/>
        </w:rPr>
      </w:pPr>
      <w:r>
        <w:rPr/>
        <w:pict>
          <v:line style="position:absolute;mso-position-horizontal-relative:page;mso-position-vertical-relative:paragraph;z-index:3088;mso-wrap-distance-left:0;mso-wrap-distance-right:0" from="258.119995pt,16.262054pt" to="309.959995pt,16.262054pt" stroked="true" strokeweight=".54pt" strokecolor="#000000">
            <w10:wrap type="topAndBottom"/>
          </v:line>
        </w:pict>
      </w:r>
      <w:r>
        <w:rPr>
          <w:w w:val="105"/>
          <w:sz w:val="18"/>
        </w:rPr>
        <w:t>Survivors at age 55. . . . . . . </w:t>
      </w:r>
      <w:r>
        <w:rPr>
          <w:sz w:val="18"/>
        </w:rPr>
        <w:t>. </w:t>
      </w:r>
      <w:r>
        <w:rPr>
          <w:w w:val="105"/>
          <w:sz w:val="18"/>
        </w:rPr>
        <w:t>. . . . . . . </w:t>
      </w:r>
      <w:r>
        <w:rPr>
          <w:sz w:val="18"/>
        </w:rPr>
        <w:t>. </w:t>
      </w:r>
      <w:r>
        <w:rPr>
          <w:w w:val="105"/>
          <w:sz w:val="18"/>
        </w:rPr>
        <w:t>. </w:t>
      </w:r>
      <w:r>
        <w:rPr>
          <w:sz w:val="18"/>
        </w:rPr>
        <w:t>. </w:t>
      </w:r>
      <w:r>
        <w:rPr>
          <w:w w:val="105"/>
          <w:sz w:val="18"/>
        </w:rPr>
        <w:t>. . . . </w:t>
      </w:r>
      <w:r>
        <w:rPr>
          <w:sz w:val="18"/>
        </w:rPr>
        <w:t>. </w:t>
      </w:r>
      <w:r>
        <w:rPr>
          <w:w w:val="105"/>
          <w:sz w:val="18"/>
        </w:rPr>
        <w:t>. . . . . . . .   </w:t>
      </w:r>
      <w:r>
        <w:rPr>
          <w:rFonts w:ascii="Arial"/>
          <w:w w:val="105"/>
          <w:sz w:val="19"/>
        </w:rPr>
        <w:t>+ </w:t>
      </w:r>
      <w:r>
        <w:rPr>
          <w:w w:val="105"/>
          <w:sz w:val="18"/>
        </w:rPr>
        <w:t>8,331,317</w:t>
      </w:r>
    </w:p>
    <w:p>
      <w:pPr>
        <w:tabs>
          <w:tab w:pos="4492" w:val="left" w:leader="none"/>
        </w:tabs>
        <w:spacing w:before="49"/>
        <w:ind w:left="0" w:right="11" w:firstLine="0"/>
        <w:jc w:val="center"/>
        <w:rPr>
          <w:b/>
          <w:sz w:val="16"/>
        </w:rPr>
      </w:pPr>
      <w:r>
        <w:rPr>
          <w:sz w:val="18"/>
        </w:rPr>
        <w:t>Share</w:t>
      </w:r>
      <w:r>
        <w:rPr>
          <w:spacing w:val="11"/>
          <w:sz w:val="18"/>
        </w:rPr>
        <w:t> </w:t>
      </w:r>
      <w:r>
        <w:rPr>
          <w:sz w:val="18"/>
        </w:rPr>
        <w:t>of</w:t>
      </w:r>
      <w:r>
        <w:rPr>
          <w:spacing w:val="19"/>
          <w:sz w:val="18"/>
        </w:rPr>
        <w:t> </w:t>
      </w:r>
      <w:r>
        <w:rPr>
          <w:sz w:val="18"/>
        </w:rPr>
        <w:t>each</w:t>
      </w:r>
      <w:r>
        <w:rPr>
          <w:spacing w:val="13"/>
          <w:sz w:val="18"/>
        </w:rPr>
        <w:t> </w:t>
      </w:r>
      <w:r>
        <w:rPr>
          <w:sz w:val="18"/>
        </w:rPr>
        <w:t>survivor</w:t>
      </w:r>
      <w:r>
        <w:rPr>
          <w:spacing w:val="-5"/>
          <w:sz w:val="18"/>
        </w:rPr>
        <w:t> </w:t>
      </w:r>
      <w:r>
        <w:rPr>
          <w:sz w:val="18"/>
        </w:rPr>
        <w:t>.</w:t>
      </w:r>
      <w:r>
        <w:rPr>
          <w:spacing w:val="-5"/>
          <w:sz w:val="18"/>
        </w:rPr>
        <w:t> </w:t>
      </w:r>
      <w:r>
        <w:rPr>
          <w:sz w:val="18"/>
        </w:rPr>
        <w:t>.</w:t>
      </w:r>
      <w:r>
        <w:rPr>
          <w:spacing w:val="-11"/>
          <w:sz w:val="18"/>
        </w:rPr>
        <w:t> </w:t>
      </w:r>
      <w:r>
        <w:rPr>
          <w:sz w:val="18"/>
        </w:rPr>
        <w:t>.</w:t>
      </w:r>
      <w:r>
        <w:rPr>
          <w:spacing w:val="-11"/>
          <w:sz w:val="18"/>
        </w:rPr>
        <w:t> </w:t>
      </w:r>
      <w:r>
        <w:rPr>
          <w:sz w:val="18"/>
        </w:rPr>
        <w:t>.</w:t>
      </w:r>
      <w:r>
        <w:rPr>
          <w:spacing w:val="-11"/>
          <w:sz w:val="18"/>
        </w:rPr>
        <w:t> </w:t>
      </w:r>
      <w:r>
        <w:rPr>
          <w:sz w:val="18"/>
        </w:rPr>
        <w:t>.</w:t>
      </w:r>
      <w:r>
        <w:rPr>
          <w:spacing w:val="-11"/>
          <w:sz w:val="18"/>
        </w:rPr>
        <w:t> </w:t>
      </w:r>
      <w:r>
        <w:rPr>
          <w:sz w:val="18"/>
        </w:rPr>
        <w:t>.</w:t>
      </w:r>
      <w:r>
        <w:rPr>
          <w:spacing w:val="-8"/>
          <w:sz w:val="18"/>
        </w:rPr>
        <w:t> </w:t>
      </w:r>
      <w:r>
        <w:rPr>
          <w:sz w:val="18"/>
        </w:rPr>
        <w:t>.</w:t>
      </w:r>
      <w:r>
        <w:rPr>
          <w:spacing w:val="-15"/>
          <w:sz w:val="18"/>
        </w:rPr>
        <w:t> </w:t>
      </w:r>
      <w:r>
        <w:rPr>
          <w:sz w:val="18"/>
        </w:rPr>
        <w:t>.</w:t>
      </w:r>
      <w:r>
        <w:rPr>
          <w:spacing w:val="-8"/>
          <w:sz w:val="18"/>
        </w:rPr>
        <w:t> </w:t>
      </w:r>
      <w:r>
        <w:rPr>
          <w:sz w:val="18"/>
        </w:rPr>
        <w:t>.</w:t>
      </w:r>
      <w:r>
        <w:rPr>
          <w:spacing w:val="-6"/>
          <w:sz w:val="18"/>
        </w:rPr>
        <w:t> </w:t>
      </w:r>
      <w:r>
        <w:rPr>
          <w:sz w:val="18"/>
        </w:rPr>
        <w:t>.</w:t>
      </w:r>
      <w:r>
        <w:rPr>
          <w:spacing w:val="-8"/>
          <w:sz w:val="18"/>
        </w:rPr>
        <w:t> </w:t>
      </w:r>
      <w:r>
        <w:rPr>
          <w:sz w:val="18"/>
        </w:rPr>
        <w:t>.</w:t>
      </w:r>
      <w:r>
        <w:rPr>
          <w:spacing w:val="-11"/>
          <w:sz w:val="18"/>
        </w:rPr>
        <w:t> </w:t>
      </w:r>
      <w:r>
        <w:rPr>
          <w:sz w:val="18"/>
        </w:rPr>
        <w:t>.</w:t>
      </w:r>
      <w:r>
        <w:rPr>
          <w:spacing w:val="-6"/>
          <w:sz w:val="18"/>
        </w:rPr>
        <w:t> </w:t>
      </w:r>
      <w:r>
        <w:rPr>
          <w:sz w:val="18"/>
        </w:rPr>
        <w:t>.</w:t>
      </w:r>
      <w:r>
        <w:rPr>
          <w:spacing w:val="-8"/>
          <w:sz w:val="18"/>
        </w:rPr>
        <w:t> </w:t>
      </w:r>
      <w:r>
        <w:rPr>
          <w:sz w:val="18"/>
        </w:rPr>
        <w:t>.</w:t>
      </w:r>
      <w:r>
        <w:rPr>
          <w:spacing w:val="-11"/>
          <w:sz w:val="18"/>
        </w:rPr>
        <w:t> </w:t>
      </w:r>
      <w:r>
        <w:rPr>
          <w:sz w:val="18"/>
        </w:rPr>
        <w:t>.</w:t>
      </w:r>
      <w:r>
        <w:rPr>
          <w:spacing w:val="-4"/>
          <w:sz w:val="18"/>
        </w:rPr>
        <w:t> </w:t>
      </w:r>
      <w:r>
        <w:rPr>
          <w:sz w:val="18"/>
        </w:rPr>
        <w:t>.</w:t>
      </w:r>
      <w:r>
        <w:rPr>
          <w:spacing w:val="-8"/>
          <w:sz w:val="18"/>
        </w:rPr>
        <w:t> </w:t>
      </w:r>
      <w:r>
        <w:rPr>
          <w:sz w:val="18"/>
        </w:rPr>
        <w:t>.</w:t>
      </w:r>
      <w:r>
        <w:rPr>
          <w:spacing w:val="-6"/>
          <w:sz w:val="18"/>
        </w:rPr>
        <w:t> </w:t>
      </w:r>
      <w:r>
        <w:rPr>
          <w:sz w:val="18"/>
        </w:rPr>
        <w:t>.</w:t>
      </w:r>
      <w:r>
        <w:rPr>
          <w:spacing w:val="-8"/>
          <w:sz w:val="18"/>
        </w:rPr>
        <w:t> </w:t>
      </w:r>
      <w:r>
        <w:rPr>
          <w:sz w:val="18"/>
        </w:rPr>
        <w:t>. .</w:t>
      </w:r>
      <w:r>
        <w:rPr>
          <w:spacing w:val="-6"/>
          <w:sz w:val="18"/>
        </w:rPr>
        <w:t> </w:t>
      </w:r>
      <w:r>
        <w:rPr>
          <w:sz w:val="18"/>
        </w:rPr>
        <w:t>.</w:t>
      </w:r>
      <w:r>
        <w:rPr>
          <w:spacing w:val="-8"/>
          <w:sz w:val="18"/>
        </w:rPr>
        <w:t> </w:t>
      </w:r>
      <w:r>
        <w:rPr>
          <w:sz w:val="18"/>
        </w:rPr>
        <w:t>.</w:t>
      </w:r>
      <w:r>
        <w:rPr>
          <w:spacing w:val="-6"/>
          <w:sz w:val="18"/>
        </w:rPr>
        <w:t> </w:t>
      </w:r>
      <w:r>
        <w:rPr>
          <w:sz w:val="18"/>
        </w:rPr>
        <w:t>.</w:t>
      </w:r>
      <w:r>
        <w:rPr>
          <w:spacing w:val="-11"/>
          <w:sz w:val="18"/>
        </w:rPr>
        <w:t> </w:t>
      </w:r>
      <w:r>
        <w:rPr>
          <w:sz w:val="18"/>
        </w:rPr>
        <w:t>.</w:t>
      </w:r>
      <w:r>
        <w:rPr>
          <w:spacing w:val="-8"/>
          <w:sz w:val="18"/>
        </w:rPr>
        <w:t> </w:t>
      </w:r>
      <w:r>
        <w:rPr>
          <w:sz w:val="18"/>
        </w:rPr>
        <w:t>.</w:t>
      </w:r>
      <w:r>
        <w:rPr>
          <w:spacing w:val="-4"/>
          <w:sz w:val="18"/>
        </w:rPr>
        <w:t> </w:t>
      </w:r>
      <w:r>
        <w:rPr>
          <w:sz w:val="18"/>
        </w:rPr>
        <w:t>.</w:t>
      </w:r>
      <w:r>
        <w:rPr>
          <w:spacing w:val="-4"/>
          <w:sz w:val="18"/>
        </w:rPr>
        <w:t> </w:t>
      </w:r>
      <w:r>
        <w:rPr>
          <w:sz w:val="18"/>
        </w:rPr>
        <w:t>.</w:t>
      </w:r>
      <w:r>
        <w:rPr>
          <w:spacing w:val="-4"/>
          <w:sz w:val="18"/>
        </w:rPr>
        <w:t> </w:t>
      </w:r>
      <w:r>
        <w:rPr>
          <w:sz w:val="18"/>
        </w:rPr>
        <w:t>.</w:t>
        <w:tab/>
      </w:r>
      <w:r>
        <w:rPr>
          <w:b/>
          <w:sz w:val="16"/>
        </w:rPr>
        <w:t>1,000.</w:t>
      </w:r>
      <w:r>
        <w:rPr>
          <w:b/>
          <w:spacing w:val="32"/>
          <w:sz w:val="16"/>
        </w:rPr>
        <w:t> </w:t>
      </w:r>
      <w:r>
        <w:rPr>
          <w:b/>
          <w:sz w:val="16"/>
        </w:rPr>
        <w:t>00</w:t>
      </w:r>
    </w:p>
    <w:p>
      <w:pPr>
        <w:spacing w:line="240" w:lineRule="auto" w:before="114"/>
        <w:ind w:left="106" w:right="120" w:firstLine="201"/>
        <w:jc w:val="both"/>
        <w:rPr>
          <w:sz w:val="20"/>
        </w:rPr>
      </w:pPr>
      <w:r>
        <w:rPr>
          <w:sz w:val="21"/>
        </w:rPr>
        <w:t>This calculation illustrates what it means to accumulate a fund </w:t>
      </w:r>
      <w:r>
        <w:rPr>
          <w:i/>
          <w:sz w:val="20"/>
        </w:rPr>
        <w:t>with </w:t>
      </w:r>
      <w:r>
        <w:rPr>
          <w:i/>
          <w:sz w:val="21"/>
        </w:rPr>
        <w:t>benejit </w:t>
      </w:r>
      <w:r>
        <w:rPr>
          <w:i/>
          <w:sz w:val="20"/>
        </w:rPr>
        <w:t>of survivorship. </w:t>
      </w:r>
      <w:r>
        <w:rPr>
          <w:sz w:val="21"/>
        </w:rPr>
        <w:t>The share of each individual who sur­ vives to age 55 includes a portion of the shares which are forfeited by those who die before attaining age 55, so that the share of a survivor includes a greater increment than it would receive from interest alone. At </w:t>
      </w:r>
      <w:r>
        <w:rPr>
          <w:spacing w:val="9"/>
          <w:sz w:val="21"/>
        </w:rPr>
        <w:t>3</w:t>
      </w:r>
      <w:r>
        <w:rPr>
          <w:rFonts w:ascii="Arial" w:hAnsi="Arial"/>
          <w:spacing w:val="9"/>
          <w:sz w:val="19"/>
        </w:rPr>
        <w:t>% </w:t>
      </w:r>
      <w:r>
        <w:rPr>
          <w:sz w:val="21"/>
        </w:rPr>
        <w:t>interest, a sum of $492.10 accumulates in 20 years to $888.79. With benefit of interest </w:t>
      </w:r>
      <w:r>
        <w:rPr>
          <w:i/>
          <w:sz w:val="20"/>
        </w:rPr>
        <w:t>and survivorship, </w:t>
      </w:r>
      <w:r>
        <w:rPr>
          <w:sz w:val="21"/>
        </w:rPr>
        <w:t>$492.10 at a.ge 35 accumulates  in 20 years  to  </w:t>
      </w:r>
      <w:r>
        <w:rPr>
          <w:spacing w:val="-9"/>
          <w:sz w:val="21"/>
        </w:rPr>
        <w:t>$1000,  </w:t>
      </w:r>
      <w:r>
        <w:rPr>
          <w:sz w:val="21"/>
        </w:rPr>
        <w:t>using  the  </w:t>
      </w:r>
      <w:r>
        <w:rPr>
          <w:spacing w:val="-8"/>
          <w:sz w:val="21"/>
        </w:rPr>
        <w:t>1958 </w:t>
      </w:r>
      <w:r>
        <w:rPr>
          <w:sz w:val="21"/>
        </w:rPr>
        <w:t>CSO </w:t>
      </w:r>
      <w:r>
        <w:rPr>
          <w:rFonts w:ascii="Arial" w:hAnsi="Arial"/>
          <w:sz w:val="20"/>
        </w:rPr>
        <w:t>3 % </w:t>
      </w:r>
      <w:r>
        <w:rPr>
          <w:sz w:val="20"/>
        </w:rPr>
        <w:t>basis.</w:t>
      </w:r>
    </w:p>
    <w:p>
      <w:pPr>
        <w:spacing w:line="237" w:lineRule="auto" w:before="0"/>
        <w:ind w:left="121" w:right="113" w:firstLine="198"/>
        <w:jc w:val="both"/>
        <w:rPr>
          <w:sz w:val="21"/>
        </w:rPr>
      </w:pPr>
      <w:r>
        <w:rPr>
          <w:w w:val="105"/>
          <w:sz w:val="21"/>
        </w:rPr>
        <w:t>Generalizing,</w:t>
      </w:r>
      <w:r>
        <w:rPr>
          <w:spacing w:val="-12"/>
          <w:w w:val="105"/>
          <w:sz w:val="21"/>
        </w:rPr>
        <w:t> </w:t>
      </w:r>
      <w:r>
        <w:rPr>
          <w:w w:val="105"/>
          <w:sz w:val="21"/>
        </w:rPr>
        <w:t>we</w:t>
      </w:r>
      <w:r>
        <w:rPr>
          <w:spacing w:val="-20"/>
          <w:w w:val="105"/>
          <w:sz w:val="21"/>
        </w:rPr>
        <w:t> </w:t>
      </w:r>
      <w:r>
        <w:rPr>
          <w:w w:val="105"/>
          <w:sz w:val="21"/>
        </w:rPr>
        <w:t>may</w:t>
      </w:r>
      <w:r>
        <w:rPr>
          <w:spacing w:val="-15"/>
          <w:w w:val="105"/>
          <w:sz w:val="21"/>
        </w:rPr>
        <w:t> </w:t>
      </w:r>
      <w:r>
        <w:rPr>
          <w:w w:val="105"/>
          <w:sz w:val="21"/>
        </w:rPr>
        <w:t>say</w:t>
      </w:r>
      <w:r>
        <w:rPr>
          <w:spacing w:val="-21"/>
          <w:w w:val="105"/>
          <w:sz w:val="21"/>
        </w:rPr>
        <w:t> </w:t>
      </w:r>
      <w:r>
        <w:rPr>
          <w:w w:val="105"/>
          <w:sz w:val="21"/>
        </w:rPr>
        <w:t>that</w:t>
      </w:r>
      <w:r>
        <w:rPr>
          <w:spacing w:val="-14"/>
          <w:w w:val="105"/>
          <w:sz w:val="21"/>
        </w:rPr>
        <w:t> </w:t>
      </w:r>
      <w:r>
        <w:rPr>
          <w:w w:val="105"/>
          <w:sz w:val="21"/>
        </w:rPr>
        <w:t>a</w:t>
      </w:r>
      <w:r>
        <w:rPr>
          <w:spacing w:val="-21"/>
          <w:w w:val="105"/>
          <w:sz w:val="21"/>
        </w:rPr>
        <w:t> </w:t>
      </w:r>
      <w:r>
        <w:rPr>
          <w:w w:val="105"/>
          <w:sz w:val="21"/>
        </w:rPr>
        <w:t>sum</w:t>
      </w:r>
      <w:r>
        <w:rPr>
          <w:spacing w:val="-19"/>
          <w:w w:val="105"/>
          <w:sz w:val="21"/>
        </w:rPr>
        <w:t> </w:t>
      </w:r>
      <w:r>
        <w:rPr>
          <w:w w:val="105"/>
          <w:sz w:val="21"/>
        </w:rPr>
        <w:t>of</w:t>
      </w:r>
      <w:r>
        <w:rPr>
          <w:spacing w:val="-12"/>
          <w:w w:val="105"/>
          <w:sz w:val="21"/>
        </w:rPr>
        <w:t> </w:t>
      </w:r>
      <w:r>
        <w:rPr>
          <w:i/>
          <w:w w:val="105"/>
          <w:sz w:val="21"/>
        </w:rPr>
        <w:t>nEz</w:t>
      </w:r>
      <w:r>
        <w:rPr>
          <w:i/>
          <w:spacing w:val="-12"/>
          <w:w w:val="105"/>
          <w:sz w:val="21"/>
        </w:rPr>
        <w:t> </w:t>
      </w:r>
      <w:r>
        <w:rPr>
          <w:w w:val="105"/>
          <w:sz w:val="21"/>
        </w:rPr>
        <w:t>at</w:t>
      </w:r>
      <w:r>
        <w:rPr>
          <w:spacing w:val="-17"/>
          <w:w w:val="105"/>
          <w:sz w:val="21"/>
        </w:rPr>
        <w:t> </w:t>
      </w:r>
      <w:r>
        <w:rPr>
          <w:w w:val="105"/>
          <w:sz w:val="21"/>
        </w:rPr>
        <w:t>age</w:t>
      </w:r>
      <w:r>
        <w:rPr>
          <w:spacing w:val="-26"/>
          <w:w w:val="105"/>
          <w:sz w:val="21"/>
        </w:rPr>
        <w:t> </w:t>
      </w:r>
      <w:r>
        <w:rPr>
          <w:rFonts w:ascii="Arial"/>
          <w:i/>
          <w:w w:val="105"/>
          <w:sz w:val="18"/>
        </w:rPr>
        <w:t>x</w:t>
      </w:r>
      <w:r>
        <w:rPr>
          <w:rFonts w:ascii="Arial"/>
          <w:i/>
          <w:spacing w:val="-6"/>
          <w:w w:val="105"/>
          <w:sz w:val="18"/>
        </w:rPr>
        <w:t> </w:t>
      </w:r>
      <w:r>
        <w:rPr>
          <w:w w:val="105"/>
          <w:sz w:val="21"/>
        </w:rPr>
        <w:t>accumulates in </w:t>
      </w:r>
      <w:r>
        <w:rPr>
          <w:i/>
          <w:w w:val="105"/>
          <w:sz w:val="22"/>
        </w:rPr>
        <w:t>n </w:t>
      </w:r>
      <w:r>
        <w:rPr>
          <w:w w:val="105"/>
          <w:sz w:val="21"/>
        </w:rPr>
        <w:t>years with benefit of interest and survivorship to the amount </w:t>
      </w:r>
      <w:r>
        <w:rPr>
          <w:spacing w:val="6"/>
          <w:w w:val="120"/>
          <w:sz w:val="21"/>
        </w:rPr>
        <w:t>ofl. </w:t>
      </w:r>
      <w:r>
        <w:rPr>
          <w:w w:val="105"/>
          <w:sz w:val="21"/>
        </w:rPr>
        <w:t>This may </w:t>
      </w:r>
      <w:r>
        <w:rPr>
          <w:w w:val="105"/>
          <w:sz w:val="19"/>
        </w:rPr>
        <w:t>be </w:t>
      </w:r>
      <w:r>
        <w:rPr>
          <w:w w:val="120"/>
          <w:sz w:val="21"/>
        </w:rPr>
        <w:t>expred </w:t>
      </w:r>
      <w:r>
        <w:rPr>
          <w:w w:val="105"/>
          <w:sz w:val="21"/>
        </w:rPr>
        <w:t>altematively by saying that </w:t>
      </w:r>
      <w:r>
        <w:rPr>
          <w:i/>
          <w:w w:val="105"/>
          <w:sz w:val="21"/>
        </w:rPr>
        <w:t>nEz </w:t>
      </w:r>
      <w:r>
        <w:rPr>
          <w:w w:val="105"/>
          <w:sz w:val="21"/>
        </w:rPr>
        <w:t>is the present value at age </w:t>
      </w:r>
      <w:r>
        <w:rPr>
          <w:i/>
          <w:w w:val="105"/>
          <w:sz w:val="20"/>
        </w:rPr>
        <w:t>x </w:t>
      </w:r>
      <w:r>
        <w:rPr>
          <w:w w:val="105"/>
          <w:sz w:val="21"/>
        </w:rPr>
        <w:t>of a payment of 1 at the end of </w:t>
      </w:r>
      <w:r>
        <w:rPr>
          <w:i/>
          <w:w w:val="105"/>
          <w:sz w:val="20"/>
        </w:rPr>
        <w:t>n </w:t>
      </w:r>
      <w:r>
        <w:rPr>
          <w:w w:val="105"/>
          <w:sz w:val="21"/>
        </w:rPr>
        <w:t>years discounted with interest and survivorship. Thus, we may use </w:t>
      </w:r>
      <w:r>
        <w:rPr>
          <w:i/>
          <w:w w:val="105"/>
          <w:sz w:val="21"/>
        </w:rPr>
        <w:t>nEs </w:t>
      </w:r>
      <w:r>
        <w:rPr>
          <w:w w:val="105"/>
          <w:sz w:val="21"/>
        </w:rPr>
        <w:t>as</w:t>
      </w:r>
      <w:r>
        <w:rPr>
          <w:spacing w:val="-21"/>
          <w:w w:val="105"/>
          <w:sz w:val="21"/>
        </w:rPr>
        <w:t> </w:t>
      </w:r>
      <w:r>
        <w:rPr>
          <w:w w:val="105"/>
          <w:sz w:val="21"/>
        </w:rPr>
        <w:t>a</w:t>
      </w:r>
      <w:r>
        <w:rPr>
          <w:spacing w:val="-18"/>
          <w:w w:val="105"/>
          <w:sz w:val="21"/>
        </w:rPr>
        <w:t> </w:t>
      </w:r>
      <w:r>
        <w:rPr>
          <w:w w:val="105"/>
          <w:sz w:val="21"/>
        </w:rPr>
        <w:t>discount</w:t>
      </w:r>
      <w:r>
        <w:rPr>
          <w:spacing w:val="-6"/>
          <w:w w:val="105"/>
          <w:sz w:val="21"/>
        </w:rPr>
        <w:t> </w:t>
      </w:r>
      <w:r>
        <w:rPr>
          <w:w w:val="105"/>
          <w:sz w:val="21"/>
        </w:rPr>
        <w:t>factor</w:t>
      </w:r>
      <w:r>
        <w:rPr>
          <w:spacing w:val="-11"/>
          <w:w w:val="105"/>
          <w:sz w:val="21"/>
        </w:rPr>
        <w:t> </w:t>
      </w:r>
      <w:r>
        <w:rPr>
          <w:w w:val="105"/>
          <w:sz w:val="21"/>
        </w:rPr>
        <w:t>for</w:t>
      </w:r>
      <w:r>
        <w:rPr>
          <w:spacing w:val="-17"/>
          <w:w w:val="105"/>
          <w:sz w:val="21"/>
        </w:rPr>
        <w:t> </w:t>
      </w:r>
      <w:r>
        <w:rPr>
          <w:w w:val="105"/>
          <w:sz w:val="21"/>
        </w:rPr>
        <w:t>interest</w:t>
      </w:r>
      <w:r>
        <w:rPr>
          <w:spacing w:val="-6"/>
          <w:w w:val="105"/>
          <w:sz w:val="21"/>
        </w:rPr>
        <w:t> </w:t>
      </w:r>
      <w:r>
        <w:rPr>
          <w:w w:val="105"/>
          <w:sz w:val="21"/>
        </w:rPr>
        <w:t>and</w:t>
      </w:r>
      <w:r>
        <w:rPr>
          <w:spacing w:val="-13"/>
          <w:w w:val="105"/>
          <w:sz w:val="21"/>
        </w:rPr>
        <w:t> </w:t>
      </w:r>
      <w:r>
        <w:rPr>
          <w:w w:val="105"/>
          <w:sz w:val="21"/>
        </w:rPr>
        <w:t>survivorship,</w:t>
      </w:r>
      <w:r>
        <w:rPr>
          <w:spacing w:val="-7"/>
          <w:w w:val="105"/>
          <w:sz w:val="21"/>
        </w:rPr>
        <w:t> </w:t>
      </w:r>
      <w:r>
        <w:rPr>
          <w:w w:val="105"/>
          <w:sz w:val="21"/>
        </w:rPr>
        <w:t>corresponding</w:t>
      </w:r>
      <w:r>
        <w:rPr>
          <w:spacing w:val="-4"/>
          <w:w w:val="105"/>
          <w:sz w:val="21"/>
        </w:rPr>
        <w:t> </w:t>
      </w:r>
      <w:r>
        <w:rPr>
          <w:w w:val="105"/>
          <w:sz w:val="21"/>
        </w:rPr>
        <w:t>to</w:t>
      </w:r>
    </w:p>
    <w:p>
      <w:pPr>
        <w:spacing w:before="119"/>
        <w:ind w:left="84" w:right="87" w:firstLine="0"/>
        <w:jc w:val="center"/>
        <w:rPr>
          <w:sz w:val="21"/>
        </w:rPr>
      </w:pPr>
      <w:r>
        <w:rPr>
          <w:i/>
          <w:w w:val="85"/>
          <w:sz w:val="21"/>
        </w:rPr>
        <w:t>v"</w:t>
      </w:r>
      <w:r>
        <w:rPr>
          <w:i/>
          <w:spacing w:val="18"/>
          <w:sz w:val="21"/>
        </w:rPr>
        <w:t> </w:t>
      </w:r>
      <w:r>
        <w:rPr>
          <w:w w:val="100"/>
          <w:sz w:val="21"/>
        </w:rPr>
        <w:t>for</w:t>
      </w:r>
      <w:r>
        <w:rPr>
          <w:spacing w:val="6"/>
          <w:sz w:val="21"/>
        </w:rPr>
        <w:t> </w:t>
      </w:r>
      <w:r>
        <w:rPr>
          <w:w w:val="101"/>
          <w:sz w:val="21"/>
        </w:rPr>
        <w:t>interest</w:t>
      </w:r>
      <w:r>
        <w:rPr>
          <w:spacing w:val="23"/>
          <w:sz w:val="21"/>
        </w:rPr>
        <w:t> </w:t>
      </w:r>
      <w:r>
        <w:rPr>
          <w:w w:val="97"/>
          <w:sz w:val="21"/>
        </w:rPr>
        <w:t>alone.</w:t>
      </w:r>
      <w:r>
        <w:rPr>
          <w:spacing w:val="12"/>
          <w:sz w:val="21"/>
        </w:rPr>
        <w:t> </w:t>
      </w:r>
      <w:r>
        <w:rPr>
          <w:w w:val="98"/>
          <w:sz w:val="21"/>
        </w:rPr>
        <w:t>Similarly,</w:t>
      </w:r>
      <w:r>
        <w:rPr>
          <w:spacing w:val="11"/>
          <w:sz w:val="21"/>
        </w:rPr>
        <w:t> </w:t>
      </w:r>
      <w:r>
        <w:rPr>
          <w:w w:val="94"/>
          <w:sz w:val="21"/>
        </w:rPr>
        <w:t>we</w:t>
      </w:r>
      <w:r>
        <w:rPr>
          <w:spacing w:val="6"/>
          <w:sz w:val="21"/>
        </w:rPr>
        <w:t> </w:t>
      </w:r>
      <w:r>
        <w:rPr>
          <w:w w:val="101"/>
          <w:sz w:val="21"/>
        </w:rPr>
        <w:t>may</w:t>
      </w:r>
      <w:r>
        <w:rPr>
          <w:spacing w:val="21"/>
          <w:sz w:val="21"/>
        </w:rPr>
        <w:t> </w:t>
      </w:r>
      <w:r>
        <w:rPr>
          <w:w w:val="96"/>
          <w:sz w:val="21"/>
        </w:rPr>
        <w:t>use</w:t>
      </w:r>
      <w:r>
        <w:rPr>
          <w:sz w:val="21"/>
        </w:rPr>
        <w:t> </w:t>
      </w:r>
      <w:r>
        <w:rPr>
          <w:spacing w:val="19"/>
          <w:sz w:val="21"/>
        </w:rPr>
        <w:t> </w:t>
      </w:r>
      <w:r>
        <w:rPr>
          <w:spacing w:val="-110"/>
          <w:w w:val="121"/>
          <w:sz w:val="21"/>
        </w:rPr>
        <w:t>E</w:t>
      </w:r>
      <w:r>
        <w:rPr>
          <w:w w:val="125"/>
          <w:sz w:val="21"/>
        </w:rPr>
        <w:t>l</w:t>
      </w:r>
      <w:r>
        <w:rPr>
          <w:sz w:val="21"/>
        </w:rPr>
        <w:t>  </w:t>
      </w:r>
      <w:r>
        <w:rPr>
          <w:spacing w:val="6"/>
          <w:sz w:val="21"/>
        </w:rPr>
        <w:t> </w:t>
      </w:r>
      <w:r>
        <w:rPr>
          <w:w w:val="103"/>
          <w:sz w:val="21"/>
        </w:rPr>
        <w:t>as</w:t>
      </w:r>
      <w:r>
        <w:rPr>
          <w:spacing w:val="3"/>
          <w:sz w:val="21"/>
        </w:rPr>
        <w:t> </w:t>
      </w:r>
      <w:r>
        <w:rPr>
          <w:w w:val="105"/>
          <w:sz w:val="21"/>
        </w:rPr>
        <w:t>an</w:t>
      </w:r>
      <w:r>
        <w:rPr>
          <w:spacing w:val="11"/>
          <w:sz w:val="21"/>
        </w:rPr>
        <w:t> </w:t>
      </w:r>
      <w:r>
        <w:rPr>
          <w:w w:val="99"/>
          <w:sz w:val="21"/>
        </w:rPr>
        <w:t>accumulation</w:t>
      </w:r>
    </w:p>
    <w:p>
      <w:pPr>
        <w:spacing w:after="0"/>
        <w:jc w:val="center"/>
        <w:rPr>
          <w:sz w:val="21"/>
        </w:rPr>
        <w:sectPr>
          <w:type w:val="continuous"/>
          <w:pgSz w:w="7200" w:h="11340"/>
          <w:pgMar w:top="1100" w:bottom="0" w:left="660" w:right="540"/>
        </w:sectPr>
      </w:pPr>
    </w:p>
    <w:p>
      <w:pPr>
        <w:spacing w:line="82" w:lineRule="exact" w:before="66"/>
        <w:ind w:left="0" w:right="1408" w:firstLine="0"/>
        <w:jc w:val="right"/>
        <w:rPr>
          <w:rFonts w:ascii="Arial"/>
          <w:i/>
          <w:sz w:val="10"/>
        </w:rPr>
      </w:pPr>
      <w:r>
        <w:rPr/>
        <w:pict>
          <v:shape style="position:absolute;margin-left:286.380005pt;margin-top:2.584904pt;width:9.65pt;height:16pt;mso-position-horizontal-relative:page;mso-position-vertical-relative:paragraph;z-index:-732952" type="#_x0000_t202" filled="false" stroked="false">
            <v:textbox inset="0,0,0,0">
              <w:txbxContent>
                <w:p>
                  <w:pPr>
                    <w:spacing w:line="320" w:lineRule="exact" w:before="0"/>
                    <w:ind w:left="0" w:right="0" w:firstLine="0"/>
                    <w:jc w:val="left"/>
                    <w:rPr>
                      <w:rFonts w:ascii="Arial"/>
                      <w:sz w:val="32"/>
                    </w:rPr>
                  </w:pPr>
                  <w:r>
                    <w:rPr>
                      <w:rFonts w:ascii="Arial"/>
                      <w:w w:val="102"/>
                      <w:sz w:val="32"/>
                    </w:rPr>
                    <w:t>+</w:t>
                  </w:r>
                </w:p>
              </w:txbxContent>
            </v:textbox>
            <w10:wrap type="none"/>
          </v:shape>
        </w:pict>
      </w:r>
      <w:r>
        <w:rPr>
          <w:rFonts w:ascii="Arial"/>
          <w:w w:val="250"/>
          <w:sz w:val="10"/>
        </w:rPr>
        <w:t>" </w:t>
      </w:r>
      <w:r>
        <w:rPr>
          <w:rFonts w:ascii="Arial"/>
          <w:i/>
          <w:sz w:val="10"/>
        </w:rPr>
        <w:t>:e</w:t>
      </w:r>
    </w:p>
    <w:p>
      <w:pPr>
        <w:tabs>
          <w:tab w:pos="5319" w:val="left" w:leader="none"/>
        </w:tabs>
        <w:spacing w:line="208" w:lineRule="exact" w:before="0"/>
        <w:ind w:left="132" w:right="0" w:firstLine="0"/>
        <w:jc w:val="left"/>
        <w:rPr>
          <w:i/>
          <w:sz w:val="12"/>
        </w:rPr>
      </w:pPr>
      <w:r>
        <w:rPr>
          <w:sz w:val="21"/>
        </w:rPr>
        <w:t>factor for interest  and survivorship,  corresponding</w:t>
      </w:r>
      <w:r>
        <w:rPr>
          <w:spacing w:val="31"/>
          <w:sz w:val="21"/>
        </w:rPr>
        <w:t> </w:t>
      </w:r>
      <w:r>
        <w:rPr>
          <w:sz w:val="21"/>
        </w:rPr>
        <w:t>to  (1</w:t>
        <w:tab/>
      </w:r>
      <w:r>
        <w:rPr>
          <w:spacing w:val="6"/>
          <w:sz w:val="20"/>
        </w:rPr>
        <w:t>i)</w:t>
      </w:r>
      <w:r>
        <w:rPr>
          <w:i/>
          <w:spacing w:val="6"/>
          <w:sz w:val="12"/>
        </w:rPr>
        <w:t>n</w:t>
      </w:r>
    </w:p>
    <w:p>
      <w:pPr>
        <w:spacing w:before="115"/>
        <w:ind w:left="31" w:right="0" w:firstLine="0"/>
        <w:jc w:val="left"/>
        <w:rPr>
          <w:sz w:val="21"/>
        </w:rPr>
      </w:pPr>
      <w:r>
        <w:rPr/>
        <w:br w:type="column"/>
      </w:r>
      <w:r>
        <w:rPr>
          <w:sz w:val="21"/>
        </w:rPr>
        <w:t>for</w:t>
      </w:r>
    </w:p>
    <w:p>
      <w:pPr>
        <w:spacing w:after="0"/>
        <w:jc w:val="left"/>
        <w:rPr>
          <w:sz w:val="21"/>
        </w:rPr>
        <w:sectPr>
          <w:type w:val="continuous"/>
          <w:pgSz w:w="7200" w:h="11340"/>
          <w:pgMar w:top="1100" w:bottom="0" w:left="660" w:right="540"/>
          <w:cols w:num="2" w:equalWidth="0">
            <w:col w:w="5569" w:space="40"/>
            <w:col w:w="391"/>
          </w:cols>
        </w:sectPr>
      </w:pPr>
    </w:p>
    <w:p>
      <w:pPr>
        <w:spacing w:line="238" w:lineRule="exact" w:before="0"/>
        <w:ind w:left="135" w:right="0" w:firstLine="0"/>
        <w:jc w:val="left"/>
        <w:rPr>
          <w:sz w:val="21"/>
        </w:rPr>
      </w:pPr>
      <w:r>
        <w:rPr>
          <w:sz w:val="21"/>
        </w:rPr>
        <w:t>interest alone.</w:t>
      </w:r>
    </w:p>
    <w:p>
      <w:pPr>
        <w:spacing w:before="179"/>
        <w:ind w:left="128" w:right="0" w:firstLine="0"/>
        <w:jc w:val="left"/>
        <w:rPr>
          <w:b/>
          <w:sz w:val="19"/>
        </w:rPr>
      </w:pPr>
      <w:r>
        <w:rPr>
          <w:rFonts w:ascii="Arial"/>
          <w:b/>
          <w:w w:val="120"/>
          <w:sz w:val="19"/>
        </w:rPr>
        <w:t>2. </w:t>
      </w:r>
      <w:r>
        <w:rPr>
          <w:b/>
          <w:w w:val="120"/>
          <w:sz w:val="19"/>
        </w:rPr>
        <w:t>Life annuities  with  annual payments</w:t>
      </w:r>
    </w:p>
    <w:p>
      <w:pPr>
        <w:spacing w:line="230" w:lineRule="auto" w:before="84"/>
        <w:ind w:left="135" w:right="114" w:firstLine="198"/>
        <w:jc w:val="both"/>
        <w:rPr>
          <w:sz w:val="21"/>
        </w:rPr>
      </w:pPr>
      <w:r>
        <w:rPr>
          <w:sz w:val="21"/>
        </w:rPr>
        <w:t>A </w:t>
      </w:r>
      <w:r>
        <w:rPr>
          <w:i/>
          <w:sz w:val="20"/>
        </w:rPr>
        <w:t>lif e annuity </w:t>
      </w:r>
      <w:r>
        <w:rPr>
          <w:sz w:val="21"/>
        </w:rPr>
        <w:t>of 1 payable annually to (x ) is a series of annual p&amp;yments of 1 commencing at the end of one year if </w:t>
      </w:r>
      <w:r>
        <w:rPr>
          <w:rFonts w:ascii="Arial"/>
          <w:i/>
          <w:sz w:val="18"/>
        </w:rPr>
        <w:t>(x ) </w:t>
      </w:r>
      <w:r>
        <w:rPr>
          <w:sz w:val="21"/>
        </w:rPr>
        <w:t>is then </w:t>
      </w:r>
      <w:r>
        <w:rPr>
          <w:b/>
          <w:sz w:val="22"/>
        </w:rPr>
        <w:t>living </w:t>
      </w:r>
      <w:r>
        <w:rPr>
          <w:sz w:val="21"/>
        </w:rPr>
        <w:t>and continuing throughout his lifetime. Its present value, denoted </w:t>
      </w:r>
      <w:r>
        <w:rPr>
          <w:sz w:val="20"/>
        </w:rPr>
        <w:t>by </w:t>
      </w:r>
      <w:r>
        <w:rPr>
          <w:i/>
          <w:w w:val="155"/>
          <w:sz w:val="19"/>
        </w:rPr>
        <w:t>a </w:t>
      </w:r>
      <w:r>
        <w:rPr>
          <w:w w:val="105"/>
          <w:sz w:val="19"/>
        </w:rPr>
        <w:t>, </w:t>
      </w:r>
      <w:r>
        <w:rPr>
          <w:sz w:val="21"/>
        </w:rPr>
        <w:t>may </w:t>
      </w:r>
      <w:r>
        <w:rPr>
          <w:sz w:val="19"/>
        </w:rPr>
        <w:t>be </w:t>
      </w:r>
      <w:r>
        <w:rPr>
          <w:sz w:val="21"/>
        </w:rPr>
        <w:t>expressed as the sum of a series of pure endowment values:</w:t>
      </w:r>
    </w:p>
    <w:p>
      <w:pPr>
        <w:spacing w:after="0" w:line="230" w:lineRule="auto"/>
        <w:jc w:val="both"/>
        <w:rPr>
          <w:sz w:val="21"/>
        </w:rPr>
        <w:sectPr>
          <w:type w:val="continuous"/>
          <w:pgSz w:w="7200" w:h="11340"/>
          <w:pgMar w:top="1100" w:bottom="0" w:left="660" w:right="540"/>
        </w:sectPr>
      </w:pPr>
    </w:p>
    <w:p>
      <w:pPr>
        <w:tabs>
          <w:tab w:pos="2306" w:val="left" w:leader="none"/>
          <w:tab w:pos="5366" w:val="left" w:leader="none"/>
        </w:tabs>
        <w:spacing w:before="45"/>
        <w:ind w:left="117" w:right="0" w:firstLine="0"/>
        <w:jc w:val="left"/>
        <w:rPr>
          <w:b/>
          <w:sz w:val="21"/>
        </w:rPr>
      </w:pPr>
      <w:r>
        <w:rPr>
          <w:b/>
          <w:sz w:val="21"/>
        </w:rPr>
        <w:t>40</w:t>
        <w:tab/>
      </w:r>
      <w:r>
        <w:rPr>
          <w:b/>
          <w:sz w:val="14"/>
        </w:rPr>
        <w:t>LJFE  </w:t>
      </w:r>
      <w:r>
        <w:rPr>
          <w:b/>
          <w:spacing w:val="4"/>
          <w:sz w:val="14"/>
        </w:rPr>
        <w:t> </w:t>
      </w:r>
      <w:r>
        <w:rPr>
          <w:b/>
          <w:sz w:val="14"/>
        </w:rPr>
        <w:t>AN'NUITJE.&lt;;</w:t>
        <w:tab/>
        <w:t>[CH. </w:t>
      </w:r>
      <w:r>
        <w:rPr>
          <w:b/>
          <w:spacing w:val="29"/>
          <w:sz w:val="14"/>
        </w:rPr>
        <w:t> </w:t>
      </w:r>
      <w:r>
        <w:rPr>
          <w:b/>
          <w:sz w:val="21"/>
        </w:rPr>
        <w:t>2</w:t>
      </w:r>
    </w:p>
    <w:p>
      <w:pPr>
        <w:pStyle w:val="BodyText"/>
        <w:spacing w:before="6"/>
        <w:rPr>
          <w:b/>
          <w:sz w:val="19"/>
        </w:rPr>
      </w:pPr>
      <w:r>
        <w:rPr/>
        <w:drawing>
          <wp:anchor distT="0" distB="0" distL="0" distR="0" allowOverlap="1" layoutInCell="1" locked="0" behindDoc="0" simplePos="0" relativeHeight="3136">
            <wp:simplePos x="0" y="0"/>
            <wp:positionH relativeFrom="page">
              <wp:posOffset>1252727</wp:posOffset>
            </wp:positionH>
            <wp:positionV relativeFrom="paragraph">
              <wp:posOffset>167751</wp:posOffset>
            </wp:positionV>
            <wp:extent cx="2240280" cy="502920"/>
            <wp:effectExtent l="0" t="0" r="0" b="0"/>
            <wp:wrapTopAndBottom/>
            <wp:docPr id="43" name="image26.png" descr=""/>
            <wp:cNvGraphicFramePr>
              <a:graphicFrameLocks noChangeAspect="1"/>
            </wp:cNvGraphicFramePr>
            <a:graphic>
              <a:graphicData uri="http://schemas.openxmlformats.org/drawingml/2006/picture">
                <pic:pic>
                  <pic:nvPicPr>
                    <pic:cNvPr id="44" name="image26.png"/>
                    <pic:cNvPicPr/>
                  </pic:nvPicPr>
                  <pic:blipFill>
                    <a:blip r:embed="rId30" cstate="print"/>
                    <a:stretch>
                      <a:fillRect/>
                    </a:stretch>
                  </pic:blipFill>
                  <pic:spPr>
                    <a:xfrm>
                      <a:off x="0" y="0"/>
                      <a:ext cx="2240280" cy="502920"/>
                    </a:xfrm>
                    <a:prstGeom prst="rect">
                      <a:avLst/>
                    </a:prstGeom>
                  </pic:spPr>
                </pic:pic>
              </a:graphicData>
            </a:graphic>
          </wp:anchor>
        </w:drawing>
      </w:r>
    </w:p>
    <w:p>
      <w:pPr>
        <w:pStyle w:val="BodyText"/>
        <w:spacing w:before="115" w:after="130"/>
        <w:ind w:left="114" w:right="739"/>
      </w:pPr>
      <w:r>
        <w:rPr>
          <w:w w:val="105"/>
        </w:rPr>
        <w:t>The swnmat ion may  also </w:t>
      </w:r>
      <w:r>
        <w:rPr>
          <w:w w:val="105"/>
          <w:sz w:val="19"/>
        </w:rPr>
        <w:t>he </w:t>
      </w:r>
      <w:r>
        <w:rPr>
          <w:w w:val="105"/>
        </w:rPr>
        <w:t>writteu  in thc two   fonns:</w:t>
      </w:r>
    </w:p>
    <w:p>
      <w:pPr>
        <w:pStyle w:val="BodyText"/>
        <w:ind w:left="1658"/>
      </w:pPr>
      <w:r>
        <w:rPr/>
        <w:drawing>
          <wp:inline distT="0" distB="0" distL="0" distR="0">
            <wp:extent cx="1655063" cy="292608"/>
            <wp:effectExtent l="0" t="0" r="0" b="0"/>
            <wp:docPr id="45" name="image27.png" descr=""/>
            <wp:cNvGraphicFramePr>
              <a:graphicFrameLocks noChangeAspect="1"/>
            </wp:cNvGraphicFramePr>
            <a:graphic>
              <a:graphicData uri="http://schemas.openxmlformats.org/drawingml/2006/picture">
                <pic:pic>
                  <pic:nvPicPr>
                    <pic:cNvPr id="46" name="image27.png"/>
                    <pic:cNvPicPr/>
                  </pic:nvPicPr>
                  <pic:blipFill>
                    <a:blip r:embed="rId31" cstate="print"/>
                    <a:stretch>
                      <a:fillRect/>
                    </a:stretch>
                  </pic:blipFill>
                  <pic:spPr>
                    <a:xfrm>
                      <a:off x="0" y="0"/>
                      <a:ext cx="1655063" cy="292608"/>
                    </a:xfrm>
                    <a:prstGeom prst="rect">
                      <a:avLst/>
                    </a:prstGeom>
                  </pic:spPr>
                </pic:pic>
              </a:graphicData>
            </a:graphic>
          </wp:inline>
        </w:drawing>
      </w:r>
      <w:r>
        <w:rPr/>
      </w:r>
    </w:p>
    <w:p>
      <w:pPr>
        <w:pStyle w:val="BodyText"/>
        <w:spacing w:before="140"/>
        <w:ind w:left="117" w:right="739"/>
      </w:pPr>
      <w:r>
        <w:rPr>
          <w:w w:val="105"/>
        </w:rPr>
        <w:t>By defining a new commutation  function,</w:t>
      </w:r>
    </w:p>
    <w:p>
      <w:pPr>
        <w:spacing w:after="0"/>
        <w:sectPr>
          <w:pgSz w:w="7200" w:h="11340"/>
          <w:pgMar w:top="500" w:bottom="280" w:left="660" w:right="560"/>
        </w:sectPr>
      </w:pPr>
    </w:p>
    <w:p>
      <w:pPr>
        <w:pStyle w:val="BodyText"/>
      </w:pPr>
    </w:p>
    <w:p>
      <w:pPr>
        <w:pStyle w:val="BodyText"/>
      </w:pPr>
    </w:p>
    <w:p>
      <w:pPr>
        <w:pStyle w:val="BodyText"/>
        <w:spacing w:before="2"/>
        <w:rPr>
          <w:sz w:val="24"/>
        </w:rPr>
      </w:pPr>
    </w:p>
    <w:p>
      <w:pPr>
        <w:pStyle w:val="BodyText"/>
        <w:ind w:left="117" w:right="-15"/>
      </w:pPr>
      <w:r>
        <w:rPr>
          <w:w w:val="105"/>
        </w:rPr>
        <w:t>the formula becomes</w:t>
      </w:r>
    </w:p>
    <w:p>
      <w:pPr>
        <w:spacing w:line="92" w:lineRule="exact" w:before="107"/>
        <w:ind w:left="693" w:right="-17" w:firstLine="0"/>
        <w:jc w:val="left"/>
        <w:rPr>
          <w:rFonts w:ascii="Arial"/>
          <w:b/>
          <w:sz w:val="12"/>
        </w:rPr>
      </w:pPr>
      <w:r>
        <w:rPr/>
        <w:br w:type="column"/>
      </w:r>
      <w:r>
        <w:rPr>
          <w:rFonts w:ascii="Arial"/>
          <w:b/>
          <w:w w:val="145"/>
          <w:sz w:val="12"/>
        </w:rPr>
        <w:t>(11--1</w:t>
      </w:r>
    </w:p>
    <w:p>
      <w:pPr>
        <w:tabs>
          <w:tab w:pos="801" w:val="left" w:leader="none"/>
        </w:tabs>
        <w:spacing w:line="430" w:lineRule="exact" w:before="0"/>
        <w:ind w:left="117" w:right="0" w:firstLine="0"/>
        <w:jc w:val="left"/>
        <w:rPr>
          <w:b/>
          <w:sz w:val="22"/>
        </w:rPr>
      </w:pPr>
      <w:r>
        <w:rPr>
          <w:b/>
          <w:i/>
          <w:w w:val="94"/>
          <w:sz w:val="21"/>
        </w:rPr>
        <w:t>Ns</w:t>
      </w:r>
      <w:r>
        <w:rPr>
          <w:b/>
          <w:i/>
          <w:sz w:val="21"/>
        </w:rPr>
        <w:t> </w:t>
      </w:r>
      <w:r>
        <w:rPr>
          <w:b/>
          <w:i/>
          <w:spacing w:val="-3"/>
          <w:sz w:val="21"/>
        </w:rPr>
        <w:t> </w:t>
      </w:r>
      <w:r>
        <w:rPr>
          <w:b/>
          <w:i/>
          <w:w w:val="113"/>
          <w:sz w:val="21"/>
        </w:rPr>
        <w:t>=</w:t>
      </w:r>
      <w:r>
        <w:rPr>
          <w:b/>
          <w:i/>
          <w:sz w:val="21"/>
        </w:rPr>
        <w:tab/>
      </w:r>
      <w:r>
        <w:rPr>
          <w:b/>
          <w:i/>
          <w:spacing w:val="-185"/>
          <w:w w:val="105"/>
          <w:sz w:val="33"/>
        </w:rPr>
        <w:t>L</w:t>
      </w:r>
      <w:r>
        <w:rPr>
          <w:b/>
          <w:w w:val="94"/>
          <w:position w:val="-11"/>
          <w:sz w:val="22"/>
        </w:rPr>
        <w:t>,-o</w:t>
      </w:r>
    </w:p>
    <w:p>
      <w:pPr>
        <w:pStyle w:val="BodyText"/>
        <w:rPr>
          <w:b/>
          <w:sz w:val="23"/>
        </w:rPr>
      </w:pPr>
      <w:r>
        <w:rPr/>
        <w:br w:type="column"/>
      </w:r>
      <w:r>
        <w:rPr>
          <w:b/>
          <w:sz w:val="23"/>
        </w:rPr>
      </w:r>
    </w:p>
    <w:p>
      <w:pPr>
        <w:spacing w:before="0"/>
        <w:ind w:left="-29" w:right="0" w:firstLine="0"/>
        <w:jc w:val="left"/>
        <w:rPr>
          <w:b/>
          <w:i/>
          <w:sz w:val="21"/>
        </w:rPr>
      </w:pPr>
      <w:r>
        <w:rPr>
          <w:b/>
          <w:i/>
          <w:w w:val="90"/>
          <w:sz w:val="21"/>
        </w:rPr>
        <w:t>Ds+t ,</w:t>
      </w:r>
    </w:p>
    <w:p>
      <w:pPr>
        <w:spacing w:after="0"/>
        <w:jc w:val="left"/>
        <w:rPr>
          <w:sz w:val="21"/>
        </w:rPr>
        <w:sectPr>
          <w:type w:val="continuous"/>
          <w:pgSz w:w="7200" w:h="11340"/>
          <w:pgMar w:top="1100" w:bottom="0" w:left="660" w:right="560"/>
          <w:cols w:num="3" w:equalWidth="0">
            <w:col w:w="1883" w:space="205"/>
            <w:col w:w="1161" w:space="40"/>
            <w:col w:w="2691"/>
          </w:cols>
        </w:sectPr>
      </w:pPr>
    </w:p>
    <w:p>
      <w:pPr>
        <w:pStyle w:val="BodyText"/>
        <w:spacing w:before="6"/>
        <w:rPr>
          <w:b/>
          <w:i/>
          <w:sz w:val="15"/>
        </w:rPr>
      </w:pPr>
    </w:p>
    <w:p>
      <w:pPr>
        <w:spacing w:before="76"/>
        <w:ind w:left="0" w:right="146" w:firstLine="0"/>
        <w:jc w:val="right"/>
        <w:rPr>
          <w:sz w:val="19"/>
        </w:rPr>
      </w:pPr>
      <w:r>
        <w:rPr/>
        <w:drawing>
          <wp:anchor distT="0" distB="0" distL="0" distR="0" allowOverlap="1" layoutInCell="1" locked="0" behindDoc="0" simplePos="0" relativeHeight="3160">
            <wp:simplePos x="0" y="0"/>
            <wp:positionH relativeFrom="page">
              <wp:posOffset>1984248</wp:posOffset>
            </wp:positionH>
            <wp:positionV relativeFrom="paragraph">
              <wp:posOffset>-12837</wp:posOffset>
            </wp:positionV>
            <wp:extent cx="640080" cy="283463"/>
            <wp:effectExtent l="0" t="0" r="0" b="0"/>
            <wp:wrapNone/>
            <wp:docPr id="47" name="image28.png" descr=""/>
            <wp:cNvGraphicFramePr>
              <a:graphicFrameLocks noChangeAspect="1"/>
            </wp:cNvGraphicFramePr>
            <a:graphic>
              <a:graphicData uri="http://schemas.openxmlformats.org/drawingml/2006/picture">
                <pic:pic>
                  <pic:nvPicPr>
                    <pic:cNvPr id="48" name="image28.png"/>
                    <pic:cNvPicPr/>
                  </pic:nvPicPr>
                  <pic:blipFill>
                    <a:blip r:embed="rId32" cstate="print"/>
                    <a:stretch>
                      <a:fillRect/>
                    </a:stretch>
                  </pic:blipFill>
                  <pic:spPr>
                    <a:xfrm>
                      <a:off x="0" y="0"/>
                      <a:ext cx="640080" cy="283463"/>
                    </a:xfrm>
                    <a:prstGeom prst="rect">
                      <a:avLst/>
                    </a:prstGeom>
                  </pic:spPr>
                </pic:pic>
              </a:graphicData>
            </a:graphic>
          </wp:anchor>
        </w:drawing>
      </w:r>
      <w:r>
        <w:rPr>
          <w:sz w:val="19"/>
        </w:rPr>
        <w:t>(2.2)</w:t>
      </w:r>
    </w:p>
    <w:p>
      <w:pPr>
        <w:pStyle w:val="BodyText"/>
        <w:spacing w:before="7"/>
        <w:rPr>
          <w:sz w:val="16"/>
        </w:rPr>
      </w:pPr>
    </w:p>
    <w:p>
      <w:pPr>
        <w:pStyle w:val="BodyText"/>
        <w:spacing w:line="240" w:lineRule="atLeast" w:before="64"/>
        <w:ind w:left="110" w:right="135" w:firstLine="201"/>
        <w:jc w:val="both"/>
      </w:pPr>
      <w:r>
        <w:rPr>
          <w:w w:val="105"/>
        </w:rPr>
        <w:t>Commutation functions here confer a very real advantage, for without  their  use  it would  be  necessary  to compute  the value of</w:t>
      </w:r>
    </w:p>
    <w:p>
      <w:pPr>
        <w:spacing w:line="132" w:lineRule="exact" w:before="0"/>
        <w:ind w:left="3724" w:right="739" w:firstLine="0"/>
        <w:jc w:val="left"/>
        <w:rPr>
          <w:b/>
          <w:i/>
          <w:sz w:val="21"/>
        </w:rPr>
      </w:pPr>
      <w:r>
        <w:rPr/>
        <w:pict>
          <v:shape style="position:absolute;margin-left:225pt;margin-top:3.097044pt;width:14.1pt;height:15.5pt;mso-position-horizontal-relative:page;mso-position-vertical-relative:paragraph;z-index:-732832" type="#_x0000_t202" filled="false" stroked="false">
            <v:textbox inset="0,0,0,0">
              <w:txbxContent>
                <w:p>
                  <w:pPr>
                    <w:spacing w:line="310" w:lineRule="exact" w:before="0"/>
                    <w:ind w:left="0" w:right="0" w:firstLine="0"/>
                    <w:jc w:val="left"/>
                    <w:rPr>
                      <w:rFonts w:ascii="Arial" w:hAnsi="Arial"/>
                      <w:sz w:val="31"/>
                    </w:rPr>
                  </w:pPr>
                  <w:r>
                    <w:rPr>
                      <w:rFonts w:ascii="Arial" w:hAnsi="Arial"/>
                      <w:w w:val="148"/>
                      <w:sz w:val="31"/>
                    </w:rPr>
                    <w:t>¿</w:t>
                  </w:r>
                </w:p>
              </w:txbxContent>
            </v:textbox>
            <w10:wrap type="none"/>
          </v:shape>
        </w:pict>
      </w:r>
      <w:r>
        <w:rPr>
          <w:rFonts w:ascii="Arial"/>
          <w:b/>
          <w:w w:val="149"/>
          <w:sz w:val="12"/>
        </w:rPr>
        <w:t>.</w:t>
      </w:r>
      <w:r>
        <w:rPr>
          <w:rFonts w:ascii="Arial"/>
          <w:b/>
          <w:spacing w:val="-10"/>
          <w:w w:val="149"/>
          <w:sz w:val="12"/>
        </w:rPr>
        <w:t>.</w:t>
      </w:r>
      <w:r>
        <w:rPr>
          <w:rFonts w:ascii="Arial"/>
          <w:b/>
          <w:spacing w:val="-26"/>
          <w:w w:val="486"/>
          <w:sz w:val="12"/>
        </w:rPr>
        <w:t>-</w:t>
      </w:r>
      <w:r>
        <w:rPr>
          <w:rFonts w:ascii="Arial"/>
          <w:b/>
          <w:w w:val="194"/>
          <w:sz w:val="12"/>
        </w:rPr>
        <w:t>-1</w:t>
      </w:r>
      <w:r>
        <w:rPr>
          <w:rFonts w:ascii="Arial"/>
          <w:b/>
          <w:sz w:val="12"/>
        </w:rPr>
        <w:t>  </w:t>
      </w:r>
      <w:r>
        <w:rPr>
          <w:rFonts w:ascii="Arial"/>
          <w:b/>
          <w:spacing w:val="15"/>
          <w:sz w:val="12"/>
        </w:rPr>
        <w:t> </w:t>
      </w:r>
      <w:r>
        <w:rPr>
          <w:b/>
          <w:i/>
          <w:spacing w:val="5"/>
          <w:w w:val="95"/>
          <w:sz w:val="21"/>
        </w:rPr>
        <w:t>'</w:t>
      </w:r>
      <w:r>
        <w:rPr>
          <w:b/>
          <w:i/>
          <w:w w:val="69"/>
          <w:sz w:val="21"/>
        </w:rPr>
        <w:t>l</w:t>
      </w:r>
    </w:p>
    <w:p>
      <w:pPr>
        <w:tabs>
          <w:tab w:pos="4214" w:val="left" w:leader="none"/>
        </w:tabs>
        <w:spacing w:line="225" w:lineRule="exact" w:before="0"/>
        <w:ind w:left="110" w:right="0" w:firstLine="0"/>
        <w:jc w:val="both"/>
        <w:rPr>
          <w:sz w:val="20"/>
        </w:rPr>
      </w:pPr>
      <w:r>
        <w:rPr/>
        <w:pict>
          <v:rect style="position:absolute;margin-left:251.100006pt;margin-top:9.055939pt;width:5.94pt;height:7.02pt;mso-position-horizontal-relative:page;mso-position-vertical-relative:paragraph;z-index:-732856" filled="true" fillcolor="#000000" stroked="false">
            <v:fill type="solid"/>
            <w10:wrap type="none"/>
          </v:rect>
        </w:pict>
      </w:r>
      <w:r>
        <w:rPr>
          <w:w w:val="105"/>
          <w:sz w:val="19"/>
        </w:rPr>
        <w:t>az  </w:t>
      </w:r>
      <w:r>
        <w:rPr>
          <w:w w:val="105"/>
          <w:sz w:val="20"/>
        </w:rPr>
        <w:t>from  the  unwieldy  expression </w:t>
      </w:r>
      <w:r>
        <w:rPr>
          <w:spacing w:val="4"/>
          <w:w w:val="105"/>
          <w:sz w:val="20"/>
        </w:rPr>
        <w:t> </w:t>
      </w:r>
      <w:r>
        <w:rPr>
          <w:w w:val="105"/>
          <w:sz w:val="19"/>
        </w:rPr>
        <w:t>az </w:t>
      </w:r>
      <w:r>
        <w:rPr>
          <w:spacing w:val="8"/>
          <w:w w:val="105"/>
          <w:sz w:val="19"/>
        </w:rPr>
        <w:t> </w:t>
      </w:r>
      <w:r>
        <w:rPr>
          <w:w w:val="105"/>
          <w:sz w:val="24"/>
        </w:rPr>
        <w:t>=</w:t>
        <w:tab/>
      </w:r>
      <w:r>
        <w:rPr>
          <w:rFonts w:ascii="Arial"/>
          <w:i/>
          <w:w w:val="105"/>
          <w:sz w:val="18"/>
        </w:rPr>
        <w:t>v </w:t>
      </w:r>
      <w:r>
        <w:rPr>
          <w:i/>
          <w:w w:val="105"/>
          <w:sz w:val="17"/>
        </w:rPr>
        <w:t>l.z+t </w:t>
      </w:r>
      <w:r>
        <w:rPr>
          <w:w w:val="125"/>
          <w:sz w:val="17"/>
        </w:rPr>
        <w:t>. </w:t>
      </w:r>
      <w:r>
        <w:rPr>
          <w:w w:val="105"/>
          <w:sz w:val="22"/>
        </w:rPr>
        <w:t>In </w:t>
      </w:r>
      <w:r>
        <w:rPr>
          <w:spacing w:val="19"/>
          <w:w w:val="105"/>
          <w:sz w:val="22"/>
        </w:rPr>
        <w:t> </w:t>
      </w:r>
      <w:r>
        <w:rPr>
          <w:w w:val="105"/>
          <w:sz w:val="20"/>
        </w:rPr>
        <w:t>formula</w:t>
      </w:r>
    </w:p>
    <w:p>
      <w:pPr>
        <w:tabs>
          <w:tab w:pos="4419" w:val="left" w:leader="none"/>
        </w:tabs>
        <w:spacing w:line="130" w:lineRule="exact" w:before="0"/>
        <w:ind w:left="3865" w:right="739" w:firstLine="0"/>
        <w:jc w:val="left"/>
        <w:rPr>
          <w:rFonts w:ascii="Arial"/>
          <w:sz w:val="11"/>
        </w:rPr>
      </w:pPr>
      <w:r>
        <w:rPr>
          <w:rFonts w:ascii="Arial"/>
          <w:b/>
          <w:w w:val="120"/>
          <w:sz w:val="12"/>
        </w:rPr>
        <w:t>1-1</w:t>
        <w:tab/>
      </w:r>
      <w:r>
        <w:rPr>
          <w:rFonts w:ascii="Arial"/>
          <w:w w:val="105"/>
          <w:sz w:val="11"/>
        </w:rPr>
        <w:t>.z</w:t>
      </w:r>
    </w:p>
    <w:p>
      <w:pPr>
        <w:pStyle w:val="BodyText"/>
        <w:spacing w:line="247" w:lineRule="auto" w:before="7"/>
        <w:ind w:left="110" w:right="125" w:firstLine="36"/>
        <w:jc w:val="both"/>
      </w:pPr>
      <w:r>
        <w:rPr>
          <w:w w:val="105"/>
        </w:rPr>
        <w:t>(2.2 ), by thc use of commutation functions, this calculation is re­ duced to a single division. Complete columns of </w:t>
      </w:r>
      <w:r>
        <w:rPr>
          <w:i/>
          <w:w w:val="105"/>
          <w:sz w:val="21"/>
        </w:rPr>
        <w:t>N </w:t>
      </w:r>
      <w:r>
        <w:rPr>
          <w:i/>
          <w:w w:val="105"/>
          <w:sz w:val="14"/>
        </w:rPr>
        <w:t>z </w:t>
      </w:r>
      <w:r>
        <w:rPr>
          <w:w w:val="105"/>
        </w:rPr>
        <w:t>are easily tabulated for this purpose by summing the </w:t>
      </w:r>
      <w:r>
        <w:rPr>
          <w:i/>
          <w:w w:val="105"/>
          <w:sz w:val="17"/>
        </w:rPr>
        <w:t>Dz </w:t>
      </w:r>
      <w:r>
        <w:rPr>
          <w:w w:val="105"/>
        </w:rPr>
        <w:t>values  from  the oldest  age  back  to  the  youngest  age.  This  convenient continued</w:t>
      </w:r>
    </w:p>
    <w:p>
      <w:pPr>
        <w:spacing w:line="250" w:lineRule="exact" w:before="0"/>
        <w:ind w:left="106" w:right="0" w:firstLine="7"/>
        <w:jc w:val="both"/>
        <w:rPr>
          <w:sz w:val="20"/>
        </w:rPr>
      </w:pPr>
      <w:r>
        <w:rPr>
          <w:w w:val="105"/>
          <w:sz w:val="20"/>
        </w:rPr>
        <w:t>process is based on the relation </w:t>
      </w:r>
      <w:r>
        <w:rPr>
          <w:i/>
          <w:w w:val="105"/>
          <w:sz w:val="21"/>
        </w:rPr>
        <w:t>N </w:t>
      </w:r>
      <w:r>
        <w:rPr>
          <w:w w:val="105"/>
          <w:sz w:val="15"/>
        </w:rPr>
        <w:t>z  </w:t>
      </w:r>
      <w:r>
        <w:rPr>
          <w:w w:val="105"/>
          <w:sz w:val="23"/>
        </w:rPr>
        <w:t>= </w:t>
      </w:r>
      <w:r>
        <w:rPr>
          <w:i/>
          <w:w w:val="105"/>
          <w:sz w:val="21"/>
        </w:rPr>
        <w:t>N </w:t>
      </w:r>
      <w:r>
        <w:rPr>
          <w:w w:val="105"/>
          <w:sz w:val="15"/>
        </w:rPr>
        <w:t>z+1  </w:t>
      </w:r>
      <w:r>
        <w:rPr>
          <w:rFonts w:ascii="Arial" w:hAnsi="Arial"/>
          <w:w w:val="105"/>
          <w:sz w:val="32"/>
        </w:rPr>
        <w:t>+ </w:t>
      </w:r>
      <w:r>
        <w:rPr>
          <w:i/>
          <w:sz w:val="21"/>
        </w:rPr>
        <w:t>D:z </w:t>
      </w:r>
      <w:r>
        <w:rPr>
          <w:w w:val="105"/>
          <w:sz w:val="21"/>
        </w:rPr>
        <w:t>. </w:t>
      </w:r>
      <w:r>
        <w:rPr>
          <w:w w:val="105"/>
          <w:sz w:val="20"/>
        </w:rPr>
        <w:t>Once this pre­</w:t>
      </w:r>
    </w:p>
    <w:p>
      <w:pPr>
        <w:pStyle w:val="BodyText"/>
        <w:spacing w:line="228" w:lineRule="exact"/>
        <w:ind w:left="106"/>
        <w:jc w:val="both"/>
      </w:pPr>
      <w:r>
        <w:rPr/>
        <w:t>liininary   tabulation   has   been   perfonned,   the   value   of   </w:t>
      </w:r>
      <w:r>
        <w:rPr>
          <w:i/>
          <w:sz w:val="21"/>
        </w:rPr>
        <w:t>a:z   </w:t>
      </w:r>
      <w:r>
        <w:rPr/>
        <w:t>can</w:t>
      </w:r>
    </w:p>
    <w:p>
      <w:pPr>
        <w:pStyle w:val="BodyText"/>
        <w:spacing w:before="9"/>
        <w:ind w:left="114"/>
        <w:jc w:val="both"/>
      </w:pPr>
      <w:r>
        <w:rPr>
          <w:w w:val="105"/>
        </w:rPr>
        <w:t>readily  be determined  for any  desired age.</w:t>
      </w:r>
    </w:p>
    <w:p>
      <w:pPr>
        <w:pStyle w:val="BodyText"/>
        <w:spacing w:line="247" w:lineRule="auto" w:before="7"/>
        <w:ind w:left="103" w:right="119" w:firstLine="201"/>
        <w:jc w:val="both"/>
      </w:pPr>
      <w:r>
        <w:rPr>
          <w:w w:val="105"/>
        </w:rPr>
        <w:t>Another </w:t>
      </w:r>
      <w:r>
        <w:rPr>
          <w:spacing w:val="2"/>
          <w:w w:val="105"/>
        </w:rPr>
        <w:t>fom1of </w:t>
      </w:r>
      <w:r>
        <w:rPr>
          <w:w w:val="105"/>
        </w:rPr>
        <w:t>life annuity has payments limited to a specified maximum period. This is the </w:t>
      </w:r>
      <w:r>
        <w:rPr>
          <w:i/>
          <w:w w:val="105"/>
        </w:rPr>
        <w:t>n-year </w:t>
      </w:r>
      <w:r>
        <w:rPr>
          <w:i/>
          <w:spacing w:val="2"/>
          <w:w w:val="105"/>
        </w:rPr>
        <w:t>temporary </w:t>
      </w:r>
      <w:r>
        <w:rPr>
          <w:rFonts w:ascii="Arial" w:hAnsi="Arial"/>
          <w:i/>
          <w:w w:val="105"/>
        </w:rPr>
        <w:t>lif</w:t>
      </w:r>
      <w:r>
        <w:rPr>
          <w:i/>
          <w:w w:val="105"/>
        </w:rPr>
        <w:t>e annuity, </w:t>
      </w:r>
      <w:r>
        <w:rPr>
          <w:w w:val="105"/>
        </w:rPr>
        <w:t>which provides payments at the end of each year for </w:t>
      </w:r>
      <w:r>
        <w:rPr>
          <w:rFonts w:ascii="Arial" w:hAnsi="Arial"/>
          <w:i/>
          <w:w w:val="105"/>
          <w:sz w:val="18"/>
        </w:rPr>
        <w:t>n </w:t>
      </w:r>
      <w:r>
        <w:rPr>
          <w:w w:val="105"/>
        </w:rPr>
        <w:t>years </w:t>
      </w:r>
      <w:r>
        <w:rPr>
          <w:b/>
          <w:w w:val="105"/>
          <w:sz w:val="21"/>
        </w:rPr>
        <w:t>if </w:t>
      </w:r>
      <w:r>
        <w:rPr>
          <w:rFonts w:ascii="Arial" w:hAnsi="Arial"/>
          <w:i/>
          <w:spacing w:val="7"/>
          <w:w w:val="105"/>
          <w:sz w:val="18"/>
        </w:rPr>
        <w:t>(x) </w:t>
      </w:r>
      <w:r>
        <w:rPr>
          <w:w w:val="105"/>
        </w:rPr>
        <w:t>sur­ vives. </w:t>
      </w:r>
      <w:r>
        <w:rPr>
          <w:w w:val="105"/>
          <w:sz w:val="21"/>
        </w:rPr>
        <w:t>If </w:t>
      </w:r>
      <w:r>
        <w:rPr>
          <w:w w:val="105"/>
        </w:rPr>
        <w:t>the annual payment is 1, its present  value,  denoted  by </w:t>
      </w:r>
      <w:r>
        <w:rPr>
          <w:w w:val="105"/>
          <w:sz w:val="19"/>
        </w:rPr>
        <w:t>az:;i  </w:t>
      </w:r>
      <w:r>
        <w:rPr>
          <w:w w:val="105"/>
        </w:rPr>
        <w:t>(or by </w:t>
      </w:r>
      <w:r>
        <w:rPr>
          <w:w w:val="105"/>
          <w:sz w:val="19"/>
        </w:rPr>
        <w:t>naz), </w:t>
      </w:r>
      <w:r>
        <w:rPr>
          <w:w w:val="105"/>
        </w:rPr>
        <w:t>may be cxprcsscd as</w:t>
      </w:r>
      <w:r>
        <w:rPr>
          <w:spacing w:val="52"/>
          <w:w w:val="105"/>
        </w:rPr>
        <w:t> </w:t>
      </w:r>
      <w:r>
        <w:rPr>
          <w:w w:val="105"/>
        </w:rPr>
        <w:t>follows:</w:t>
      </w:r>
    </w:p>
    <w:p>
      <w:pPr>
        <w:tabs>
          <w:tab w:pos="1496" w:val="left" w:leader="none"/>
        </w:tabs>
        <w:spacing w:line="245" w:lineRule="exact" w:before="43"/>
        <w:ind w:left="539" w:right="0" w:firstLine="0"/>
        <w:jc w:val="center"/>
        <w:rPr>
          <w:b/>
          <w:sz w:val="16"/>
        </w:rPr>
      </w:pPr>
      <w:r>
        <w:rPr/>
        <w:pict>
          <v:shape style="position:absolute;margin-left:202.139999pt;margin-top:9.036396pt;width:10.4pt;height:16.5pt;mso-position-horizontal-relative:page;mso-position-vertical-relative:paragraph;z-index:-732808" type="#_x0000_t202" filled="false" stroked="false">
            <v:textbox inset="0,0,0,0">
              <w:txbxContent>
                <w:p>
                  <w:pPr>
                    <w:spacing w:line="330" w:lineRule="exact" w:before="0"/>
                    <w:ind w:left="0" w:right="0" w:firstLine="0"/>
                    <w:jc w:val="left"/>
                    <w:rPr>
                      <w:b/>
                      <w:i/>
                      <w:sz w:val="33"/>
                    </w:rPr>
                  </w:pPr>
                  <w:r>
                    <w:rPr>
                      <w:b/>
                      <w:i/>
                      <w:w w:val="102"/>
                      <w:sz w:val="33"/>
                    </w:rPr>
                    <w:t>L</w:t>
                  </w:r>
                </w:p>
              </w:txbxContent>
            </v:textbox>
            <w10:wrap type="none"/>
          </v:shape>
        </w:pict>
      </w:r>
      <w:r>
        <w:rPr>
          <w:w w:val="80"/>
          <w:sz w:val="27"/>
        </w:rPr>
        <w:t>.¿...</w:t>
        <w:tab/>
      </w:r>
      <w:r>
        <w:rPr>
          <w:b/>
          <w:sz w:val="16"/>
        </w:rPr>
        <w:t>n  </w:t>
      </w:r>
      <w:r>
        <w:rPr>
          <w:b/>
          <w:spacing w:val="23"/>
          <w:sz w:val="16"/>
        </w:rPr>
        <w:t> </w:t>
      </w:r>
      <w:r>
        <w:rPr>
          <w:b/>
          <w:sz w:val="16"/>
        </w:rPr>
        <w:t>J)z+t</w:t>
      </w:r>
    </w:p>
    <w:p>
      <w:pPr>
        <w:tabs>
          <w:tab w:pos="1925" w:val="left" w:leader="none"/>
          <w:tab w:pos="2292" w:val="left" w:leader="none"/>
        </w:tabs>
        <w:spacing w:line="188" w:lineRule="exact" w:before="0"/>
        <w:ind w:left="13" w:right="0" w:firstLine="0"/>
        <w:jc w:val="center"/>
        <w:rPr>
          <w:sz w:val="21"/>
        </w:rPr>
      </w:pPr>
      <w:r>
        <w:rPr>
          <w:b/>
          <w:w w:val="105"/>
          <w:sz w:val="15"/>
        </w:rPr>
        <w:t>az:n]  </w:t>
      </w:r>
      <w:r>
        <w:rPr>
          <w:w w:val="105"/>
          <w:sz w:val="24"/>
        </w:rPr>
        <w:t>= </w:t>
      </w:r>
      <w:r>
        <w:rPr>
          <w:b/>
          <w:i/>
          <w:w w:val="105"/>
          <w:sz w:val="16"/>
        </w:rPr>
        <w:t>LJ </w:t>
      </w:r>
      <w:r>
        <w:rPr>
          <w:b/>
          <w:i/>
          <w:spacing w:val="31"/>
          <w:w w:val="105"/>
          <w:sz w:val="16"/>
        </w:rPr>
        <w:t> </w:t>
      </w:r>
      <w:r>
        <w:rPr>
          <w:b/>
          <w:i/>
          <w:w w:val="105"/>
          <w:sz w:val="21"/>
        </w:rPr>
        <w:t>,Ez</w:t>
      </w:r>
      <w:r>
        <w:rPr>
          <w:b/>
          <w:i/>
          <w:spacing w:val="50"/>
          <w:w w:val="105"/>
          <w:sz w:val="21"/>
        </w:rPr>
        <w:t> </w:t>
      </w:r>
      <w:r>
        <w:rPr>
          <w:w w:val="105"/>
          <w:sz w:val="24"/>
        </w:rPr>
        <w:t>=</w:t>
        <w:tab/>
      </w:r>
      <w:r>
        <w:rPr>
          <w:b/>
          <w:i/>
          <w:w w:val="105"/>
          <w:sz w:val="21"/>
        </w:rPr>
        <w:t>D</w:t>
        <w:tab/>
      </w:r>
      <w:r>
        <w:rPr>
          <w:w w:val="110"/>
          <w:sz w:val="21"/>
        </w:rPr>
        <w:t>.</w:t>
      </w:r>
    </w:p>
    <w:p>
      <w:pPr>
        <w:tabs>
          <w:tab w:pos="1364" w:val="left" w:leader="none"/>
          <w:tab w:pos="1875" w:val="left" w:leader="none"/>
        </w:tabs>
        <w:spacing w:line="115" w:lineRule="exact" w:before="0"/>
        <w:ind w:left="475" w:right="0" w:firstLine="0"/>
        <w:jc w:val="center"/>
        <w:rPr>
          <w:i/>
          <w:sz w:val="12"/>
        </w:rPr>
      </w:pPr>
      <w:r>
        <w:rPr>
          <w:b/>
          <w:w w:val="155"/>
          <w:sz w:val="11"/>
        </w:rPr>
        <w:t>t-1</w:t>
        <w:tab/>
        <w:t>t=l</w:t>
        <w:tab/>
      </w:r>
      <w:r>
        <w:rPr>
          <w:i/>
          <w:w w:val="155"/>
          <w:sz w:val="12"/>
        </w:rPr>
        <w:t>r</w:t>
      </w:r>
    </w:p>
    <w:p>
      <w:pPr>
        <w:spacing w:after="0" w:line="115" w:lineRule="exact"/>
        <w:jc w:val="center"/>
        <w:rPr>
          <w:sz w:val="12"/>
        </w:rPr>
        <w:sectPr>
          <w:type w:val="continuous"/>
          <w:pgSz w:w="7200" w:h="11340"/>
          <w:pgMar w:top="1100" w:bottom="0" w:left="660" w:right="560"/>
        </w:sectPr>
      </w:pPr>
    </w:p>
    <w:p>
      <w:pPr>
        <w:spacing w:line="359" w:lineRule="exact" w:before="119"/>
        <w:ind w:left="0" w:right="62" w:firstLine="0"/>
        <w:jc w:val="right"/>
        <w:rPr>
          <w:rFonts w:ascii="Arial" w:hAnsi="Arial"/>
          <w:sz w:val="23"/>
        </w:rPr>
      </w:pPr>
      <w:r>
        <w:rPr>
          <w:w w:val="101"/>
          <w:sz w:val="20"/>
        </w:rPr>
        <w:t>Since</w:t>
      </w:r>
      <w:r>
        <w:rPr>
          <w:spacing w:val="-17"/>
          <w:sz w:val="20"/>
        </w:rPr>
        <w:t> </w:t>
      </w:r>
      <w:r>
        <w:rPr>
          <w:rFonts w:ascii="Arial" w:hAnsi="Arial"/>
          <w:spacing w:val="-287"/>
          <w:w w:val="143"/>
          <w:sz w:val="31"/>
        </w:rPr>
        <w:t>¿</w:t>
      </w:r>
      <w:r>
        <w:rPr>
          <w:rFonts w:ascii="Arial" w:hAnsi="Arial"/>
          <w:w w:val="116"/>
          <w:position w:val="10"/>
          <w:sz w:val="23"/>
        </w:rPr>
        <w:t>"</w:t>
      </w:r>
    </w:p>
    <w:p>
      <w:pPr>
        <w:spacing w:line="116" w:lineRule="exact" w:before="0"/>
        <w:ind w:left="0" w:right="0" w:firstLine="0"/>
        <w:jc w:val="right"/>
        <w:rPr>
          <w:b/>
          <w:sz w:val="12"/>
        </w:rPr>
      </w:pPr>
      <w:r>
        <w:rPr>
          <w:b/>
          <w:spacing w:val="-6"/>
          <w:w w:val="535"/>
          <w:sz w:val="12"/>
        </w:rPr>
        <w:t>,</w:t>
      </w:r>
      <w:r>
        <w:rPr>
          <w:b/>
          <w:w w:val="99"/>
          <w:sz w:val="12"/>
        </w:rPr>
        <w:t>1</w:t>
      </w:r>
    </w:p>
    <w:p>
      <w:pPr>
        <w:pStyle w:val="BodyText"/>
        <w:spacing w:before="6"/>
        <w:rPr>
          <w:b/>
          <w:sz w:val="21"/>
        </w:rPr>
      </w:pPr>
      <w:r>
        <w:rPr/>
        <w:br w:type="column"/>
      </w:r>
      <w:r>
        <w:rPr>
          <w:b/>
          <w:sz w:val="21"/>
        </w:rPr>
      </w:r>
    </w:p>
    <w:p>
      <w:pPr>
        <w:spacing w:before="0"/>
        <w:ind w:left="0" w:right="132" w:firstLine="0"/>
        <w:jc w:val="right"/>
        <w:rPr>
          <w:sz w:val="20"/>
        </w:rPr>
      </w:pPr>
      <w:r>
        <w:rPr>
          <w:i/>
          <w:w w:val="105"/>
          <w:sz w:val="17"/>
        </w:rPr>
        <w:t>Dz+t  </w:t>
      </w:r>
      <w:r>
        <w:rPr>
          <w:w w:val="105"/>
          <w:sz w:val="20"/>
        </w:rPr>
        <w:t>is thc difference between </w:t>
      </w:r>
      <w:r>
        <w:rPr>
          <w:i/>
          <w:w w:val="105"/>
          <w:sz w:val="17"/>
        </w:rPr>
        <w:t>N r+1 </w:t>
      </w:r>
      <w:r>
        <w:rPr>
          <w:w w:val="105"/>
          <w:sz w:val="20"/>
        </w:rPr>
        <w:t>and </w:t>
      </w:r>
      <w:r>
        <w:rPr>
          <w:w w:val="105"/>
          <w:sz w:val="15"/>
        </w:rPr>
        <w:t>Nz+n +1 </w:t>
      </w:r>
      <w:r>
        <w:rPr>
          <w:w w:val="115"/>
          <w:sz w:val="15"/>
        </w:rPr>
        <w:t>, </w:t>
      </w:r>
      <w:r>
        <w:rPr>
          <w:w w:val="105"/>
          <w:sz w:val="20"/>
        </w:rPr>
        <w:t>we  have</w:t>
      </w:r>
    </w:p>
    <w:p>
      <w:pPr>
        <w:pStyle w:val="BodyText"/>
      </w:pPr>
    </w:p>
    <w:p>
      <w:pPr>
        <w:spacing w:before="142"/>
        <w:ind w:left="0" w:right="133" w:firstLine="0"/>
        <w:jc w:val="right"/>
        <w:rPr>
          <w:rFonts w:ascii="Arial"/>
          <w:sz w:val="19"/>
        </w:rPr>
      </w:pPr>
      <w:r>
        <w:rPr/>
        <w:drawing>
          <wp:anchor distT="0" distB="0" distL="0" distR="0" allowOverlap="1" layoutInCell="1" locked="0" behindDoc="0" simplePos="0" relativeHeight="3184">
            <wp:simplePos x="0" y="0"/>
            <wp:positionH relativeFrom="page">
              <wp:posOffset>1645920</wp:posOffset>
            </wp:positionH>
            <wp:positionV relativeFrom="paragraph">
              <wp:posOffset>18172</wp:posOffset>
            </wp:positionV>
            <wp:extent cx="1271016" cy="283464"/>
            <wp:effectExtent l="0" t="0" r="0" b="0"/>
            <wp:wrapNone/>
            <wp:docPr id="49" name="image29.png" descr=""/>
            <wp:cNvGraphicFramePr>
              <a:graphicFrameLocks noChangeAspect="1"/>
            </wp:cNvGraphicFramePr>
            <a:graphic>
              <a:graphicData uri="http://schemas.openxmlformats.org/drawingml/2006/picture">
                <pic:pic>
                  <pic:nvPicPr>
                    <pic:cNvPr id="50" name="image29.png"/>
                    <pic:cNvPicPr/>
                  </pic:nvPicPr>
                  <pic:blipFill>
                    <a:blip r:embed="rId33" cstate="print"/>
                    <a:stretch>
                      <a:fillRect/>
                    </a:stretch>
                  </pic:blipFill>
                  <pic:spPr>
                    <a:xfrm>
                      <a:off x="0" y="0"/>
                      <a:ext cx="1271016" cy="283464"/>
                    </a:xfrm>
                    <a:prstGeom prst="rect">
                      <a:avLst/>
                    </a:prstGeom>
                  </pic:spPr>
                </pic:pic>
              </a:graphicData>
            </a:graphic>
          </wp:anchor>
        </w:drawing>
      </w:r>
      <w:r>
        <w:rPr>
          <w:rFonts w:ascii="Arial"/>
          <w:w w:val="110"/>
          <w:sz w:val="19"/>
        </w:rPr>
        <w:t>(2.3)</w:t>
      </w:r>
    </w:p>
    <w:p>
      <w:pPr>
        <w:spacing w:after="0"/>
        <w:jc w:val="right"/>
        <w:rPr>
          <w:rFonts w:ascii="Arial"/>
          <w:sz w:val="19"/>
        </w:rPr>
        <w:sectPr>
          <w:type w:val="continuous"/>
          <w:pgSz w:w="7200" w:h="11340"/>
          <w:pgMar w:top="1100" w:bottom="0" w:left="660" w:right="560"/>
          <w:cols w:num="2" w:equalWidth="0">
            <w:col w:w="854" w:space="40"/>
            <w:col w:w="5086"/>
          </w:cols>
        </w:sectPr>
      </w:pPr>
    </w:p>
    <w:p>
      <w:pPr>
        <w:tabs>
          <w:tab w:pos="1151" w:val="left" w:leader="none"/>
          <w:tab w:pos="5846" w:val="right" w:leader="none"/>
        </w:tabs>
        <w:spacing w:before="49"/>
        <w:ind w:left="121" w:right="0" w:firstLine="0"/>
        <w:jc w:val="left"/>
        <w:rPr>
          <w:b/>
          <w:sz w:val="20"/>
        </w:rPr>
      </w:pPr>
      <w:r>
        <w:rPr>
          <w:b/>
          <w:color w:val="030303"/>
          <w:w w:val="105"/>
          <w:sz w:val="15"/>
        </w:rPr>
        <w:t>SEC.</w:t>
      </w:r>
      <w:r>
        <w:rPr>
          <w:b/>
          <w:color w:val="030303"/>
          <w:spacing w:val="23"/>
          <w:w w:val="105"/>
          <w:sz w:val="15"/>
        </w:rPr>
        <w:t> </w:t>
      </w:r>
      <w:r>
        <w:rPr>
          <w:rFonts w:ascii="Arial"/>
          <w:b/>
          <w:color w:val="030303"/>
          <w:w w:val="105"/>
          <w:sz w:val="19"/>
        </w:rPr>
        <w:t>2)</w:t>
        <w:tab/>
      </w:r>
      <w:r>
        <w:rPr>
          <w:b/>
          <w:color w:val="030303"/>
          <w:w w:val="105"/>
          <w:sz w:val="15"/>
        </w:rPr>
        <w:t>LIFE   ANNUITIES   WITH</w:t>
      </w:r>
      <w:r>
        <w:rPr>
          <w:b/>
          <w:color w:val="030303"/>
          <w:spacing w:val="35"/>
          <w:w w:val="105"/>
          <w:sz w:val="15"/>
        </w:rPr>
        <w:t> </w:t>
      </w:r>
      <w:r>
        <w:rPr>
          <w:b/>
          <w:color w:val="030303"/>
          <w:w w:val="105"/>
          <w:sz w:val="15"/>
        </w:rPr>
        <w:t>ANNUAL </w:t>
      </w:r>
      <w:r>
        <w:rPr>
          <w:b/>
          <w:color w:val="030303"/>
          <w:spacing w:val="31"/>
          <w:w w:val="105"/>
          <w:sz w:val="15"/>
        </w:rPr>
        <w:t> </w:t>
      </w:r>
      <w:r>
        <w:rPr>
          <w:b/>
          <w:color w:val="030303"/>
          <w:w w:val="105"/>
          <w:sz w:val="15"/>
        </w:rPr>
        <w:t>PAYMENTS</w:t>
      </w:r>
      <w:r>
        <w:rPr>
          <w:b/>
          <w:color w:val="030303"/>
          <w:w w:val="105"/>
          <w:sz w:val="20"/>
        </w:rPr>
        <w:tab/>
        <w:t>41</w:t>
      </w:r>
    </w:p>
    <w:p>
      <w:pPr>
        <w:pStyle w:val="BodyText"/>
        <w:spacing w:before="2"/>
        <w:rPr>
          <w:b/>
          <w:sz w:val="21"/>
        </w:rPr>
      </w:pPr>
    </w:p>
    <w:p>
      <w:pPr>
        <w:spacing w:line="252" w:lineRule="auto" w:before="0"/>
        <w:ind w:left="121" w:right="98" w:firstLine="193"/>
        <w:jc w:val="both"/>
        <w:rPr>
          <w:sz w:val="20"/>
        </w:rPr>
      </w:pPr>
      <w:r>
        <w:rPr>
          <w:color w:val="030303"/>
          <w:sz w:val="19"/>
        </w:rPr>
        <w:t>A </w:t>
      </w:r>
      <w:r>
        <w:rPr>
          <w:color w:val="030303"/>
          <w:sz w:val="20"/>
        </w:rPr>
        <w:t>third type is the </w:t>
      </w:r>
      <w:r>
        <w:rPr>
          <w:i/>
          <w:color w:val="030303"/>
          <w:sz w:val="20"/>
        </w:rPr>
        <w:t>n-year def erred lif e </w:t>
      </w:r>
      <w:r>
        <w:rPr>
          <w:i/>
          <w:color w:val="030303"/>
          <w:spacing w:val="2"/>
          <w:sz w:val="20"/>
        </w:rPr>
        <w:t>annuity. </w:t>
      </w:r>
      <w:r>
        <w:rPr>
          <w:color w:val="030303"/>
          <w:sz w:val="20"/>
        </w:rPr>
        <w:t>This is a  </w:t>
      </w:r>
      <w:r>
        <w:rPr>
          <w:color w:val="030303"/>
          <w:sz w:val="19"/>
        </w:rPr>
        <w:t>life  </w:t>
      </w:r>
      <w:r>
        <w:rPr>
          <w:color w:val="030303"/>
          <w:sz w:val="20"/>
        </w:rPr>
        <w:t>annuity with the first </w:t>
      </w:r>
      <w:r>
        <w:rPr>
          <w:i/>
          <w:color w:val="030303"/>
          <w:sz w:val="20"/>
        </w:rPr>
        <w:t>n  </w:t>
      </w:r>
      <w:r>
        <w:rPr>
          <w:color w:val="030303"/>
          <w:sz w:val="20"/>
        </w:rPr>
        <w:t>payments  omitted.  Thus,  an  n-year  de­ ferred  life  annuity  to   </w:t>
      </w:r>
      <w:r>
        <w:rPr>
          <w:rFonts w:ascii="Arial" w:hAnsi="Arial"/>
          <w:i/>
          <w:color w:val="030303"/>
          <w:sz w:val="19"/>
        </w:rPr>
        <w:t>(x )   </w:t>
      </w:r>
      <w:r>
        <w:rPr>
          <w:color w:val="030303"/>
          <w:sz w:val="20"/>
        </w:rPr>
        <w:t>provides  payments  commencing  at </w:t>
      </w:r>
      <w:r>
        <w:rPr>
          <w:color w:val="030303"/>
          <w:spacing w:val="26"/>
          <w:sz w:val="20"/>
        </w:rPr>
        <w:t> </w:t>
      </w:r>
      <w:r>
        <w:rPr>
          <w:color w:val="030303"/>
          <w:sz w:val="20"/>
        </w:rPr>
        <w:t>age</w:t>
      </w:r>
    </w:p>
    <w:p>
      <w:pPr>
        <w:spacing w:line="253" w:lineRule="exact" w:before="0"/>
        <w:ind w:left="121" w:right="0" w:firstLine="0"/>
        <w:jc w:val="left"/>
        <w:rPr>
          <w:sz w:val="20"/>
        </w:rPr>
      </w:pPr>
      <w:r>
        <w:rPr>
          <w:i/>
          <w:color w:val="030303"/>
          <w:w w:val="110"/>
          <w:sz w:val="20"/>
        </w:rPr>
        <w:t>x </w:t>
      </w:r>
      <w:r>
        <w:rPr>
          <w:rFonts w:ascii="Arial"/>
          <w:color w:val="030303"/>
          <w:w w:val="110"/>
          <w:sz w:val="31"/>
        </w:rPr>
        <w:t>+ </w:t>
      </w:r>
      <w:r>
        <w:rPr>
          <w:i/>
          <w:color w:val="030303"/>
          <w:w w:val="110"/>
          <w:sz w:val="20"/>
        </w:rPr>
        <w:t>n </w:t>
      </w:r>
      <w:r>
        <w:rPr>
          <w:rFonts w:ascii="Arial"/>
          <w:color w:val="030303"/>
          <w:w w:val="110"/>
          <w:sz w:val="31"/>
        </w:rPr>
        <w:t>+ </w:t>
      </w:r>
      <w:r>
        <w:rPr>
          <w:color w:val="030303"/>
          <w:w w:val="160"/>
          <w:sz w:val="19"/>
        </w:rPr>
        <w:t>l. </w:t>
      </w:r>
      <w:r>
        <w:rPr>
          <w:color w:val="030303"/>
          <w:w w:val="110"/>
          <w:sz w:val="20"/>
        </w:rPr>
        <w:t>Its present value, denoted by </w:t>
      </w:r>
      <w:r>
        <w:rPr>
          <w:rFonts w:ascii="Arial"/>
          <w:color w:val="030303"/>
          <w:w w:val="110"/>
          <w:sz w:val="14"/>
        </w:rPr>
        <w:t>nlaz </w:t>
      </w:r>
      <w:r>
        <w:rPr>
          <w:rFonts w:ascii="Arial"/>
          <w:color w:val="030303"/>
          <w:w w:val="160"/>
          <w:sz w:val="14"/>
        </w:rPr>
        <w:t>, </w:t>
      </w:r>
      <w:r>
        <w:rPr>
          <w:color w:val="030303"/>
          <w:w w:val="110"/>
          <w:sz w:val="20"/>
        </w:rPr>
        <w:t>may be expressed</w:t>
      </w:r>
    </w:p>
    <w:p>
      <w:pPr>
        <w:spacing w:line="215" w:lineRule="exact" w:before="0"/>
        <w:ind w:left="124" w:right="0" w:firstLine="0"/>
        <w:jc w:val="left"/>
        <w:rPr>
          <w:sz w:val="19"/>
        </w:rPr>
      </w:pPr>
      <w:r>
        <w:rPr>
          <w:color w:val="030303"/>
          <w:w w:val="110"/>
          <w:sz w:val="19"/>
        </w:rPr>
        <w:t>as follows:</w:t>
      </w:r>
    </w:p>
    <w:p>
      <w:pPr>
        <w:pStyle w:val="BodyText"/>
        <w:spacing w:before="133"/>
        <w:ind w:left="1076"/>
      </w:pPr>
      <w:r>
        <w:rPr>
          <w:position w:val="-15"/>
        </w:rPr>
        <w:drawing>
          <wp:inline distT="0" distB="0" distL="0" distR="0">
            <wp:extent cx="2450592" cy="301751"/>
            <wp:effectExtent l="0" t="0" r="0" b="0"/>
            <wp:docPr id="51" name="image30.png" descr=""/>
            <wp:cNvGraphicFramePr>
              <a:graphicFrameLocks noChangeAspect="1"/>
            </wp:cNvGraphicFramePr>
            <a:graphic>
              <a:graphicData uri="http://schemas.openxmlformats.org/drawingml/2006/picture">
                <pic:pic>
                  <pic:nvPicPr>
                    <pic:cNvPr id="52" name="image30.png"/>
                    <pic:cNvPicPr/>
                  </pic:nvPicPr>
                  <pic:blipFill>
                    <a:blip r:embed="rId34" cstate="print"/>
                    <a:stretch>
                      <a:fillRect/>
                    </a:stretch>
                  </pic:blipFill>
                  <pic:spPr>
                    <a:xfrm>
                      <a:off x="0" y="0"/>
                      <a:ext cx="2450592" cy="301751"/>
                    </a:xfrm>
                    <a:prstGeom prst="rect">
                      <a:avLst/>
                    </a:prstGeom>
                  </pic:spPr>
                </pic:pic>
              </a:graphicData>
            </a:graphic>
          </wp:inline>
        </w:drawing>
      </w:r>
      <w:r>
        <w:rPr>
          <w:position w:val="-15"/>
        </w:rPr>
      </w:r>
      <w:r>
        <w:rPr/>
        <w:t>         </w:t>
      </w:r>
      <w:r>
        <w:rPr>
          <w:color w:val="030303"/>
          <w:w w:val="110"/>
        </w:rPr>
        <w:t>(2.4)</w:t>
      </w:r>
    </w:p>
    <w:p>
      <w:pPr>
        <w:pStyle w:val="BodyText"/>
        <w:spacing w:line="252" w:lineRule="auto" w:before="130"/>
        <w:ind w:left="121" w:right="108" w:firstLine="211"/>
        <w:jc w:val="both"/>
      </w:pPr>
      <w:r>
        <w:rPr>
          <w:color w:val="030303"/>
          <w:w w:val="105"/>
        </w:rPr>
        <w:t>Formula (2.4) may be obtained in other ways. The series of payments provided by the n-year deferre&lt;l life annuity is easily  seen to be equivalent to the difference between </w:t>
      </w:r>
      <w:r>
        <w:rPr>
          <w:color w:val="030303"/>
          <w:w w:val="105"/>
          <w:sz w:val="19"/>
        </w:rPr>
        <w:t>the </w:t>
      </w:r>
      <w:r>
        <w:rPr>
          <w:color w:val="030303"/>
          <w:w w:val="105"/>
        </w:rPr>
        <w:t>life annuity and thc n-year  temporary  life annuity.</w:t>
      </w:r>
      <w:r>
        <w:rPr>
          <w:color w:val="030303"/>
          <w:spacing w:val="44"/>
          <w:w w:val="105"/>
        </w:rPr>
        <w:t> </w:t>
      </w:r>
      <w:r>
        <w:rPr>
          <w:color w:val="030303"/>
          <w:w w:val="105"/>
        </w:rPr>
        <w:t>Hence,</w:t>
      </w:r>
    </w:p>
    <w:p>
      <w:pPr>
        <w:pStyle w:val="BodyText"/>
        <w:spacing w:before="1"/>
        <w:rPr>
          <w:sz w:val="10"/>
        </w:rPr>
      </w:pPr>
      <w:r>
        <w:rPr/>
        <w:drawing>
          <wp:anchor distT="0" distB="0" distL="0" distR="0" allowOverlap="1" layoutInCell="1" locked="0" behindDoc="0" simplePos="0" relativeHeight="3280">
            <wp:simplePos x="0" y="0"/>
            <wp:positionH relativeFrom="page">
              <wp:posOffset>795527</wp:posOffset>
            </wp:positionH>
            <wp:positionV relativeFrom="paragraph">
              <wp:posOffset>98967</wp:posOffset>
            </wp:positionV>
            <wp:extent cx="1426464" cy="283463"/>
            <wp:effectExtent l="0" t="0" r="0" b="0"/>
            <wp:wrapTopAndBottom/>
            <wp:docPr id="53" name="image31.png" descr=""/>
            <wp:cNvGraphicFramePr>
              <a:graphicFrameLocks noChangeAspect="1"/>
            </wp:cNvGraphicFramePr>
            <a:graphic>
              <a:graphicData uri="http://schemas.openxmlformats.org/drawingml/2006/picture">
                <pic:pic>
                  <pic:nvPicPr>
                    <pic:cNvPr id="54" name="image31.png"/>
                    <pic:cNvPicPr/>
                  </pic:nvPicPr>
                  <pic:blipFill>
                    <a:blip r:embed="rId35" cstate="print"/>
                    <a:stretch>
                      <a:fillRect/>
                    </a:stretch>
                  </pic:blipFill>
                  <pic:spPr>
                    <a:xfrm>
                      <a:off x="0" y="0"/>
                      <a:ext cx="1426464" cy="283463"/>
                    </a:xfrm>
                    <a:prstGeom prst="rect">
                      <a:avLst/>
                    </a:prstGeom>
                  </pic:spPr>
                </pic:pic>
              </a:graphicData>
            </a:graphic>
          </wp:anchor>
        </w:drawing>
      </w:r>
      <w:r>
        <w:rPr/>
        <w:drawing>
          <wp:anchor distT="0" distB="0" distL="0" distR="0" allowOverlap="1" layoutInCell="1" locked="0" behindDoc="0" simplePos="0" relativeHeight="3304">
            <wp:simplePos x="0" y="0"/>
            <wp:positionH relativeFrom="page">
              <wp:posOffset>2414016</wp:posOffset>
            </wp:positionH>
            <wp:positionV relativeFrom="paragraph">
              <wp:posOffset>98967</wp:posOffset>
            </wp:positionV>
            <wp:extent cx="1399032" cy="283463"/>
            <wp:effectExtent l="0" t="0" r="0" b="0"/>
            <wp:wrapTopAndBottom/>
            <wp:docPr id="55" name="image32.png" descr=""/>
            <wp:cNvGraphicFramePr>
              <a:graphicFrameLocks noChangeAspect="1"/>
            </wp:cNvGraphicFramePr>
            <a:graphic>
              <a:graphicData uri="http://schemas.openxmlformats.org/drawingml/2006/picture">
                <pic:pic>
                  <pic:nvPicPr>
                    <pic:cNvPr id="56" name="image32.png"/>
                    <pic:cNvPicPr/>
                  </pic:nvPicPr>
                  <pic:blipFill>
                    <a:blip r:embed="rId36" cstate="print"/>
                    <a:stretch>
                      <a:fillRect/>
                    </a:stretch>
                  </pic:blipFill>
                  <pic:spPr>
                    <a:xfrm>
                      <a:off x="0" y="0"/>
                      <a:ext cx="1399032" cy="283463"/>
                    </a:xfrm>
                    <a:prstGeom prst="rect">
                      <a:avLst/>
                    </a:prstGeom>
                  </pic:spPr>
                </pic:pic>
              </a:graphicData>
            </a:graphic>
          </wp:anchor>
        </w:drawing>
      </w:r>
    </w:p>
    <w:p>
      <w:pPr>
        <w:pStyle w:val="BodyText"/>
        <w:spacing w:line="148" w:lineRule="auto" w:before="155"/>
        <w:ind w:left="114" w:right="104" w:firstLine="200"/>
        <w:jc w:val="both"/>
        <w:rPr>
          <w:i/>
          <w:sz w:val="21"/>
        </w:rPr>
      </w:pPr>
      <w:r>
        <w:rPr>
          <w:color w:val="030303"/>
          <w:w w:val="105"/>
          <w:sz w:val="19"/>
        </w:rPr>
        <w:t>A </w:t>
      </w:r>
      <w:r>
        <w:rPr>
          <w:color w:val="030303"/>
          <w:w w:val="105"/>
        </w:rPr>
        <w:t>third derivation of </w:t>
      </w:r>
      <w:r>
        <w:rPr>
          <w:color w:val="030303"/>
          <w:w w:val="105"/>
          <w:sz w:val="19"/>
        </w:rPr>
        <w:t>(2.4 ) </w:t>
      </w:r>
      <w:r>
        <w:rPr>
          <w:color w:val="030303"/>
          <w:w w:val="105"/>
        </w:rPr>
        <w:t>depends on the use of </w:t>
      </w:r>
      <w:r>
        <w:rPr>
          <w:i/>
          <w:color w:val="030303"/>
          <w:w w:val="105"/>
          <w:sz w:val="21"/>
        </w:rPr>
        <w:t>nEz </w:t>
      </w:r>
      <w:r>
        <w:rPr>
          <w:color w:val="030303"/>
          <w:w w:val="105"/>
        </w:rPr>
        <w:t>as a dis­ count  factor. At  age </w:t>
      </w:r>
      <w:r>
        <w:rPr>
          <w:i/>
          <w:color w:val="030303"/>
          <w:w w:val="105"/>
          <w:sz w:val="21"/>
        </w:rPr>
        <w:t>x  </w:t>
      </w:r>
      <w:r>
        <w:rPr>
          <w:rFonts w:ascii="Arial" w:hAnsi="Arial"/>
          <w:color w:val="030303"/>
          <w:w w:val="105"/>
          <w:sz w:val="31"/>
        </w:rPr>
        <w:t>+ </w:t>
      </w:r>
      <w:r>
        <w:rPr>
          <w:i/>
          <w:color w:val="030303"/>
          <w:w w:val="105"/>
          <w:sz w:val="21"/>
        </w:rPr>
        <w:t>n, </w:t>
      </w:r>
      <w:r>
        <w:rPr>
          <w:color w:val="030303"/>
          <w:w w:val="105"/>
        </w:rPr>
        <w:t>the series of  payments  under  the  </w:t>
      </w:r>
      <w:r>
        <w:rPr>
          <w:i/>
          <w:color w:val="030303"/>
          <w:w w:val="105"/>
          <w:sz w:val="21"/>
        </w:rPr>
        <w:t>n­</w:t>
      </w:r>
    </w:p>
    <w:p>
      <w:pPr>
        <w:pStyle w:val="BodyText"/>
        <w:spacing w:before="9"/>
        <w:ind w:left="114"/>
      </w:pPr>
      <w:r>
        <w:rPr>
          <w:color w:val="030303"/>
          <w:w w:val="105"/>
        </w:rPr>
        <w:t>year deferred life annuity has the present value </w:t>
      </w:r>
      <w:r>
        <w:rPr>
          <w:i/>
          <w:color w:val="030303"/>
          <w:w w:val="105"/>
          <w:sz w:val="17"/>
        </w:rPr>
        <w:t>az+n    </w:t>
      </w:r>
      <w:r>
        <w:rPr>
          <w:color w:val="030303"/>
          <w:w w:val="105"/>
          <w:sz w:val="17"/>
        </w:rPr>
        <w:t>. </w:t>
      </w:r>
      <w:r>
        <w:rPr>
          <w:color w:val="030303"/>
          <w:w w:val="105"/>
        </w:rPr>
        <w:t>Discounting</w:t>
      </w:r>
    </w:p>
    <w:p>
      <w:pPr>
        <w:pStyle w:val="BodyText"/>
        <w:spacing w:before="1"/>
        <w:ind w:left="121"/>
      </w:pPr>
      <w:r>
        <w:rPr>
          <w:color w:val="030303"/>
          <w:w w:val="105"/>
          <w:sz w:val="21"/>
        </w:rPr>
        <w:t>to </w:t>
      </w:r>
      <w:r>
        <w:rPr>
          <w:color w:val="030303"/>
          <w:w w:val="105"/>
        </w:rPr>
        <w:t>age </w:t>
      </w:r>
      <w:r>
        <w:rPr>
          <w:rFonts w:ascii="Arial"/>
          <w:i/>
          <w:color w:val="030303"/>
          <w:w w:val="105"/>
          <w:sz w:val="16"/>
        </w:rPr>
        <w:t>x  </w:t>
      </w:r>
      <w:r>
        <w:rPr>
          <w:color w:val="030303"/>
          <w:w w:val="105"/>
        </w:rPr>
        <w:t>with  interest  and survivorship, we have</w:t>
      </w:r>
    </w:p>
    <w:p>
      <w:pPr>
        <w:spacing w:line="244" w:lineRule="exact" w:before="176"/>
        <w:ind w:left="31" w:right="131" w:firstLine="0"/>
        <w:jc w:val="center"/>
        <w:rPr>
          <w:i/>
          <w:sz w:val="17"/>
        </w:rPr>
      </w:pPr>
      <w:r>
        <w:rPr>
          <w:rFonts w:ascii="Arial" w:hAnsi="Arial"/>
          <w:color w:val="030303"/>
          <w:sz w:val="14"/>
        </w:rPr>
        <w:t>n¡az   </w:t>
      </w:r>
      <w:r>
        <w:rPr>
          <w:color w:val="030303"/>
          <w:sz w:val="24"/>
        </w:rPr>
        <w:t>=  </w:t>
      </w:r>
      <w:r>
        <w:rPr>
          <w:i/>
          <w:color w:val="030303"/>
          <w:sz w:val="17"/>
        </w:rPr>
        <w:t>nEz ·az+n  </w:t>
      </w:r>
      <w:r>
        <w:rPr>
          <w:color w:val="030303"/>
          <w:sz w:val="24"/>
        </w:rPr>
        <w:t>= </w:t>
      </w:r>
      <w:r>
        <w:rPr>
          <w:i/>
          <w:color w:val="030303"/>
          <w:sz w:val="17"/>
        </w:rPr>
        <w:t>Dz+n .N</w:t>
      </w:r>
      <w:r>
        <w:rPr>
          <w:i/>
          <w:color w:val="030303"/>
          <w:sz w:val="17"/>
          <w:u w:val="single" w:color="000000"/>
        </w:rPr>
        <w:t>z+n+1  </w:t>
      </w:r>
      <w:r>
        <w:rPr>
          <w:color w:val="030303"/>
          <w:sz w:val="24"/>
        </w:rPr>
        <w:t>=  </w:t>
      </w:r>
      <w:r>
        <w:rPr>
          <w:i/>
          <w:color w:val="030303"/>
          <w:sz w:val="17"/>
          <w:u w:val="single" w:color="000000"/>
        </w:rPr>
        <w:t>N z+</w:t>
      </w:r>
      <w:r>
        <w:rPr>
          <w:i/>
          <w:color w:val="030303"/>
          <w:sz w:val="17"/>
        </w:rPr>
        <w:t>n+1</w:t>
      </w:r>
    </w:p>
    <w:p>
      <w:pPr>
        <w:tabs>
          <w:tab w:pos="3383" w:val="left" w:leader="none"/>
          <w:tab w:pos="4359" w:val="left" w:leader="none"/>
        </w:tabs>
        <w:spacing w:line="209" w:lineRule="exact" w:before="0"/>
        <w:ind w:left="2886" w:right="0" w:firstLine="0"/>
        <w:jc w:val="left"/>
        <w:rPr>
          <w:b/>
          <w:i/>
          <w:sz w:val="21"/>
        </w:rPr>
      </w:pPr>
      <w:r>
        <w:rPr>
          <w:b/>
          <w:i/>
          <w:color w:val="030303"/>
          <w:w w:val="95"/>
          <w:sz w:val="21"/>
        </w:rPr>
        <w:t>Dz</w:t>
        <w:tab/>
        <w:t>Dz+n</w:t>
        <w:tab/>
        <w:t>Dz</w:t>
      </w:r>
    </w:p>
    <w:p>
      <w:pPr>
        <w:pStyle w:val="BodyText"/>
        <w:spacing w:line="186" w:lineRule="exact" w:before="104"/>
        <w:ind w:left="317"/>
      </w:pPr>
      <w:r>
        <w:rPr>
          <w:rFonts w:ascii="Arial"/>
          <w:b/>
          <w:color w:val="030303"/>
        </w:rPr>
        <w:t>A  </w:t>
      </w:r>
      <w:r>
        <w:rPr>
          <w:color w:val="030303"/>
        </w:rPr>
        <w:t>series  of  annual  payments  to   </w:t>
      </w:r>
      <w:r>
        <w:rPr>
          <w:rFonts w:ascii="Arial"/>
          <w:i/>
          <w:color w:val="030303"/>
          <w:sz w:val="19"/>
        </w:rPr>
        <w:t>(x )   </w:t>
      </w:r>
      <w:r>
        <w:rPr>
          <w:color w:val="030303"/>
        </w:rPr>
        <w:t>which  commences  at   age</w:t>
      </w:r>
    </w:p>
    <w:p>
      <w:pPr>
        <w:spacing w:line="304" w:lineRule="exact" w:before="0"/>
        <w:ind w:left="121" w:right="0" w:hanging="8"/>
        <w:jc w:val="left"/>
        <w:rPr>
          <w:sz w:val="20"/>
        </w:rPr>
      </w:pPr>
      <w:r>
        <w:rPr>
          <w:rFonts w:ascii="Arial" w:hAnsi="Arial"/>
          <w:i/>
          <w:color w:val="030303"/>
          <w:w w:val="101"/>
          <w:sz w:val="18"/>
        </w:rPr>
        <w:t>x</w:t>
      </w:r>
      <w:r>
        <w:rPr>
          <w:rFonts w:ascii="Arial" w:hAnsi="Arial"/>
          <w:i/>
          <w:color w:val="030303"/>
          <w:sz w:val="18"/>
        </w:rPr>
        <w:t> </w:t>
      </w:r>
      <w:r>
        <w:rPr>
          <w:rFonts w:ascii="Arial" w:hAnsi="Arial"/>
          <w:i/>
          <w:color w:val="030303"/>
          <w:spacing w:val="5"/>
          <w:sz w:val="18"/>
        </w:rPr>
        <w:t> </w:t>
      </w:r>
      <w:r>
        <w:rPr>
          <w:rFonts w:ascii="Arial" w:hAnsi="Arial"/>
          <w:color w:val="030303"/>
          <w:w w:val="104"/>
          <w:sz w:val="31"/>
        </w:rPr>
        <w:t>+</w:t>
      </w:r>
      <w:r>
        <w:rPr>
          <w:rFonts w:ascii="Arial" w:hAnsi="Arial"/>
          <w:color w:val="030303"/>
          <w:spacing w:val="-26"/>
          <w:sz w:val="31"/>
        </w:rPr>
        <w:t> </w:t>
      </w:r>
      <w:r>
        <w:rPr>
          <w:rFonts w:ascii="Arial" w:hAnsi="Arial"/>
          <w:i/>
          <w:color w:val="030303"/>
          <w:w w:val="120"/>
          <w:sz w:val="18"/>
        </w:rPr>
        <w:t>n</w:t>
      </w:r>
      <w:r>
        <w:rPr>
          <w:rFonts w:ascii="Arial" w:hAnsi="Arial"/>
          <w:i/>
          <w:color w:val="030303"/>
          <w:sz w:val="18"/>
        </w:rPr>
        <w:t> </w:t>
      </w:r>
      <w:r>
        <w:rPr>
          <w:rFonts w:ascii="Arial" w:hAnsi="Arial"/>
          <w:i/>
          <w:color w:val="030303"/>
          <w:spacing w:val="-18"/>
          <w:sz w:val="18"/>
        </w:rPr>
        <w:t> </w:t>
      </w:r>
      <w:r>
        <w:rPr>
          <w:rFonts w:ascii="Arial" w:hAnsi="Arial"/>
          <w:color w:val="030303"/>
          <w:w w:val="104"/>
          <w:sz w:val="31"/>
        </w:rPr>
        <w:t>+</w:t>
      </w:r>
      <w:r>
        <w:rPr>
          <w:rFonts w:ascii="Arial" w:hAnsi="Arial"/>
          <w:color w:val="030303"/>
          <w:spacing w:val="-5"/>
          <w:sz w:val="31"/>
        </w:rPr>
        <w:t> </w:t>
      </w:r>
      <w:r>
        <w:rPr>
          <w:color w:val="030303"/>
          <w:spacing w:val="-21"/>
          <w:w w:val="114"/>
          <w:sz w:val="20"/>
        </w:rPr>
        <w:t>1</w:t>
      </w:r>
      <w:r>
        <w:rPr>
          <w:color w:val="808080"/>
          <w:w w:val="32"/>
          <w:sz w:val="20"/>
        </w:rPr>
        <w:t>·</w:t>
      </w:r>
      <w:r>
        <w:rPr>
          <w:color w:val="808080"/>
          <w:spacing w:val="-4"/>
          <w:sz w:val="20"/>
        </w:rPr>
        <w:t> </w:t>
      </w:r>
      <w:r>
        <w:rPr>
          <w:color w:val="030303"/>
          <w:w w:val="106"/>
          <w:sz w:val="20"/>
        </w:rPr>
        <w:t>and</w:t>
      </w:r>
      <w:r>
        <w:rPr>
          <w:color w:val="030303"/>
          <w:sz w:val="20"/>
        </w:rPr>
        <w:t> </w:t>
      </w:r>
      <w:r>
        <w:rPr>
          <w:color w:val="030303"/>
          <w:spacing w:val="-16"/>
          <w:sz w:val="20"/>
        </w:rPr>
        <w:t> </w:t>
      </w:r>
      <w:r>
        <w:rPr>
          <w:color w:val="030303"/>
          <w:w w:val="104"/>
          <w:sz w:val="20"/>
        </w:rPr>
        <w:t>continues</w:t>
      </w:r>
      <w:r>
        <w:rPr>
          <w:color w:val="030303"/>
          <w:sz w:val="20"/>
        </w:rPr>
        <w:t> </w:t>
      </w:r>
      <w:r>
        <w:rPr>
          <w:color w:val="030303"/>
          <w:spacing w:val="-21"/>
          <w:sz w:val="20"/>
        </w:rPr>
        <w:t> </w:t>
      </w:r>
      <w:r>
        <w:rPr>
          <w:color w:val="030303"/>
          <w:w w:val="100"/>
          <w:sz w:val="20"/>
        </w:rPr>
        <w:t>for</w:t>
      </w:r>
      <w:r>
        <w:rPr>
          <w:color w:val="030303"/>
          <w:spacing w:val="22"/>
          <w:sz w:val="20"/>
        </w:rPr>
        <w:t> </w:t>
      </w:r>
      <w:r>
        <w:rPr>
          <w:rFonts w:ascii="Arial" w:hAnsi="Arial"/>
          <w:i/>
          <w:color w:val="030303"/>
          <w:w w:val="97"/>
          <w:sz w:val="18"/>
        </w:rPr>
        <w:t>rn</w:t>
      </w:r>
      <w:r>
        <w:rPr>
          <w:rFonts w:ascii="Arial" w:hAnsi="Arial"/>
          <w:i/>
          <w:color w:val="030303"/>
          <w:spacing w:val="22"/>
          <w:sz w:val="18"/>
        </w:rPr>
        <w:t> </w:t>
      </w:r>
      <w:r>
        <w:rPr>
          <w:color w:val="030303"/>
          <w:w w:val="103"/>
          <w:sz w:val="20"/>
        </w:rPr>
        <w:t>ycars</w:t>
      </w:r>
      <w:r>
        <w:rPr>
          <w:color w:val="030303"/>
          <w:sz w:val="20"/>
        </w:rPr>
        <w:t> </w:t>
      </w:r>
      <w:r>
        <w:rPr>
          <w:color w:val="030303"/>
          <w:spacing w:val="-10"/>
          <w:sz w:val="20"/>
        </w:rPr>
        <w:t> </w:t>
      </w:r>
      <w:r>
        <w:rPr>
          <w:color w:val="030303"/>
          <w:w w:val="78"/>
          <w:sz w:val="20"/>
        </w:rPr>
        <w:t>if</w:t>
      </w:r>
      <w:r>
        <w:rPr>
          <w:color w:val="030303"/>
          <w:sz w:val="20"/>
        </w:rPr>
        <w:t>  </w:t>
      </w:r>
      <w:r>
        <w:rPr>
          <w:color w:val="030303"/>
          <w:spacing w:val="-22"/>
          <w:sz w:val="20"/>
        </w:rPr>
        <w:t> </w:t>
      </w:r>
      <w:r>
        <w:rPr>
          <w:rFonts w:ascii="Arial" w:hAnsi="Arial"/>
          <w:i/>
          <w:color w:val="030303"/>
          <w:w w:val="103"/>
          <w:sz w:val="18"/>
        </w:rPr>
        <w:t>(x</w:t>
      </w:r>
      <w:r>
        <w:rPr>
          <w:rFonts w:ascii="Arial" w:hAnsi="Arial"/>
          <w:i/>
          <w:color w:val="030303"/>
          <w:spacing w:val="-24"/>
          <w:sz w:val="18"/>
        </w:rPr>
        <w:t> </w:t>
      </w:r>
      <w:r>
        <w:rPr>
          <w:rFonts w:ascii="Arial" w:hAnsi="Arial"/>
          <w:i/>
          <w:color w:val="030303"/>
          <w:w w:val="88"/>
          <w:sz w:val="18"/>
        </w:rPr>
        <w:t>)</w:t>
      </w:r>
      <w:r>
        <w:rPr>
          <w:rFonts w:ascii="Arial" w:hAnsi="Arial"/>
          <w:i/>
          <w:color w:val="030303"/>
          <w:sz w:val="18"/>
        </w:rPr>
        <w:t> </w:t>
      </w:r>
      <w:r>
        <w:rPr>
          <w:rFonts w:ascii="Arial" w:hAnsi="Arial"/>
          <w:i/>
          <w:color w:val="030303"/>
          <w:spacing w:val="-4"/>
          <w:sz w:val="18"/>
        </w:rPr>
        <w:t> </w:t>
      </w:r>
      <w:r>
        <w:rPr>
          <w:color w:val="030303"/>
          <w:w w:val="104"/>
          <w:sz w:val="20"/>
        </w:rPr>
        <w:t>survivcs</w:t>
      </w:r>
      <w:r>
        <w:rPr>
          <w:color w:val="030303"/>
          <w:sz w:val="20"/>
        </w:rPr>
        <w:t> </w:t>
      </w:r>
      <w:r>
        <w:rPr>
          <w:color w:val="030303"/>
          <w:spacing w:val="-17"/>
          <w:sz w:val="20"/>
        </w:rPr>
        <w:t> </w:t>
      </w:r>
      <w:r>
        <w:rPr>
          <w:color w:val="030303"/>
          <w:w w:val="95"/>
          <w:sz w:val="20"/>
        </w:rPr>
        <w:t>is</w:t>
      </w:r>
      <w:r>
        <w:rPr>
          <w:color w:val="030303"/>
          <w:spacing w:val="22"/>
          <w:sz w:val="20"/>
        </w:rPr>
        <w:t> </w:t>
      </w:r>
      <w:r>
        <w:rPr>
          <w:color w:val="030303"/>
          <w:w w:val="99"/>
          <w:sz w:val="20"/>
        </w:rPr>
        <w:t>called</w:t>
      </w:r>
      <w:r>
        <w:rPr>
          <w:color w:val="030303"/>
          <w:sz w:val="20"/>
        </w:rPr>
        <w:t> </w:t>
      </w:r>
      <w:r>
        <w:rPr>
          <w:color w:val="030303"/>
          <w:spacing w:val="-12"/>
          <w:sz w:val="20"/>
        </w:rPr>
        <w:t> </w:t>
      </w:r>
      <w:r>
        <w:rPr>
          <w:color w:val="030303"/>
          <w:w w:val="106"/>
          <w:sz w:val="20"/>
        </w:rPr>
        <w:t>an</w:t>
      </w:r>
    </w:p>
    <w:p>
      <w:pPr>
        <w:spacing w:line="254" w:lineRule="auto" w:before="0"/>
        <w:ind w:left="124" w:right="0" w:hanging="4"/>
        <w:jc w:val="left"/>
        <w:rPr>
          <w:sz w:val="20"/>
        </w:rPr>
      </w:pPr>
      <w:r>
        <w:rPr/>
        <w:drawing>
          <wp:anchor distT="0" distB="0" distL="0" distR="0" allowOverlap="1" layoutInCell="1" locked="0" behindDoc="0" simplePos="0" relativeHeight="3328">
            <wp:simplePos x="0" y="0"/>
            <wp:positionH relativeFrom="page">
              <wp:posOffset>1353311</wp:posOffset>
            </wp:positionH>
            <wp:positionV relativeFrom="paragraph">
              <wp:posOffset>393616</wp:posOffset>
            </wp:positionV>
            <wp:extent cx="1911096" cy="301751"/>
            <wp:effectExtent l="0" t="0" r="0" b="0"/>
            <wp:wrapTopAndBottom/>
            <wp:docPr id="57" name="image33.png" descr=""/>
            <wp:cNvGraphicFramePr>
              <a:graphicFrameLocks noChangeAspect="1"/>
            </wp:cNvGraphicFramePr>
            <a:graphic>
              <a:graphicData uri="http://schemas.openxmlformats.org/drawingml/2006/picture">
                <pic:pic>
                  <pic:nvPicPr>
                    <pic:cNvPr id="58" name="image33.png"/>
                    <pic:cNvPicPr/>
                  </pic:nvPicPr>
                  <pic:blipFill>
                    <a:blip r:embed="rId37" cstate="print"/>
                    <a:stretch>
                      <a:fillRect/>
                    </a:stretch>
                  </pic:blipFill>
                  <pic:spPr>
                    <a:xfrm>
                      <a:off x="0" y="0"/>
                      <a:ext cx="1911096" cy="301751"/>
                    </a:xfrm>
                    <a:prstGeom prst="rect">
                      <a:avLst/>
                    </a:prstGeom>
                  </pic:spPr>
                </pic:pic>
              </a:graphicData>
            </a:graphic>
          </wp:anchor>
        </w:drawing>
      </w:r>
      <w:r>
        <w:rPr>
          <w:i/>
          <w:color w:val="030303"/>
          <w:w w:val="105"/>
          <w:sz w:val="20"/>
        </w:rPr>
        <w:t>n-year deferred m-year lemporary lif e annuity. </w:t>
      </w:r>
      <w:r>
        <w:rPr>
          <w:color w:val="030303"/>
          <w:w w:val="110"/>
          <w:sz w:val="20"/>
        </w:rPr>
        <w:t>lts </w:t>
      </w:r>
      <w:r>
        <w:rPr>
          <w:color w:val="030303"/>
          <w:w w:val="105"/>
          <w:sz w:val="20"/>
        </w:rPr>
        <w:t>present value is denotcd by  </w:t>
      </w:r>
      <w:r>
        <w:rPr>
          <w:rFonts w:ascii="Arial"/>
          <w:color w:val="030303"/>
          <w:w w:val="105"/>
          <w:sz w:val="14"/>
        </w:rPr>
        <w:t>nlmaz  </w:t>
      </w:r>
      <w:r>
        <w:rPr>
          <w:rFonts w:ascii="Arial"/>
          <w:color w:val="030303"/>
          <w:w w:val="160"/>
          <w:sz w:val="14"/>
        </w:rPr>
        <w:t>, </w:t>
      </w:r>
      <w:r>
        <w:rPr>
          <w:color w:val="030303"/>
          <w:w w:val="105"/>
          <w:sz w:val="20"/>
        </w:rPr>
        <w:t>and</w:t>
      </w:r>
    </w:p>
    <w:p>
      <w:pPr>
        <w:spacing w:after="0" w:line="254" w:lineRule="auto"/>
        <w:jc w:val="left"/>
        <w:rPr>
          <w:sz w:val="20"/>
        </w:rPr>
        <w:sectPr>
          <w:pgSz w:w="7200" w:h="11340"/>
          <w:pgMar w:top="500" w:bottom="280" w:left="680" w:right="560"/>
        </w:sectPr>
      </w:pPr>
    </w:p>
    <w:p>
      <w:pPr>
        <w:tabs>
          <w:tab w:pos="2433" w:val="left" w:leader="none"/>
        </w:tabs>
        <w:spacing w:before="103"/>
        <w:ind w:left="1524" w:right="0" w:firstLine="0"/>
        <w:jc w:val="center"/>
        <w:rPr>
          <w:b/>
          <w:sz w:val="13"/>
        </w:rPr>
      </w:pPr>
      <w:r>
        <w:rPr>
          <w:rFonts w:ascii="Arial"/>
          <w:b/>
          <w:i/>
          <w:color w:val="030303"/>
          <w:w w:val="120"/>
          <w:sz w:val="20"/>
          <w:u w:val="single" w:color="000000"/>
        </w:rPr>
        <w:t>N</w:t>
      </w:r>
      <w:r>
        <w:rPr>
          <w:b/>
          <w:color w:val="030303"/>
          <w:w w:val="120"/>
          <w:sz w:val="13"/>
          <w:u w:val="single" w:color="000000"/>
        </w:rPr>
        <w:t>z+n+l</w:t>
      </w:r>
      <w:r>
        <w:rPr>
          <w:b/>
          <w:color w:val="030303"/>
          <w:w w:val="120"/>
          <w:sz w:val="13"/>
        </w:rPr>
        <w:tab/>
      </w:r>
      <w:r>
        <w:rPr>
          <w:rFonts w:ascii="Arial"/>
          <w:b/>
          <w:i/>
          <w:color w:val="030303"/>
          <w:w w:val="120"/>
          <w:sz w:val="20"/>
          <w:u w:val="single" w:color="000000"/>
        </w:rPr>
        <w:t>N</w:t>
      </w:r>
      <w:r>
        <w:rPr>
          <w:b/>
          <w:color w:val="030303"/>
          <w:w w:val="120"/>
          <w:sz w:val="13"/>
          <w:u w:val="single" w:color="000000"/>
        </w:rPr>
        <w:t>z+n+m+</w:t>
      </w:r>
      <w:r>
        <w:rPr>
          <w:b/>
          <w:color w:val="030303"/>
          <w:w w:val="120"/>
          <w:sz w:val="13"/>
        </w:rPr>
        <w:t>l</w:t>
      </w:r>
    </w:p>
    <w:p>
      <w:pPr>
        <w:spacing w:before="2"/>
        <w:ind w:left="1526" w:right="0" w:firstLine="0"/>
        <w:jc w:val="center"/>
        <w:rPr>
          <w:i/>
          <w:sz w:val="21"/>
        </w:rPr>
      </w:pPr>
      <w:r>
        <w:rPr>
          <w:i/>
          <w:color w:val="030303"/>
          <w:sz w:val="21"/>
        </w:rPr>
        <w:t>Dx</w:t>
      </w:r>
    </w:p>
    <w:p>
      <w:pPr>
        <w:pStyle w:val="BodyText"/>
        <w:spacing w:before="3"/>
        <w:rPr>
          <w:i/>
          <w:sz w:val="18"/>
        </w:rPr>
      </w:pPr>
      <w:r>
        <w:rPr/>
        <w:br w:type="column"/>
      </w:r>
      <w:r>
        <w:rPr>
          <w:i/>
          <w:sz w:val="18"/>
        </w:rPr>
      </w:r>
    </w:p>
    <w:p>
      <w:pPr>
        <w:spacing w:before="0"/>
        <w:ind w:left="917" w:right="0" w:firstLine="0"/>
        <w:jc w:val="left"/>
        <w:rPr>
          <w:sz w:val="19"/>
        </w:rPr>
      </w:pPr>
      <w:r>
        <w:rPr>
          <w:color w:val="030303"/>
          <w:w w:val="105"/>
          <w:sz w:val="19"/>
        </w:rPr>
        <w:t>( 2.5)</w:t>
      </w:r>
    </w:p>
    <w:p>
      <w:pPr>
        <w:spacing w:after="0"/>
        <w:jc w:val="left"/>
        <w:rPr>
          <w:sz w:val="19"/>
        </w:rPr>
        <w:sectPr>
          <w:type w:val="continuous"/>
          <w:pgSz w:w="7200" w:h="11340"/>
          <w:pgMar w:top="1100" w:bottom="0" w:left="680" w:right="560"/>
          <w:cols w:num="2" w:equalWidth="0">
            <w:col w:w="4461" w:space="40"/>
            <w:col w:w="1459"/>
          </w:cols>
        </w:sectPr>
      </w:pPr>
    </w:p>
    <w:p>
      <w:pPr>
        <w:pStyle w:val="BodyText"/>
        <w:spacing w:line="247" w:lineRule="auto" w:before="105"/>
        <w:ind w:left="117" w:right="103" w:firstLine="196"/>
        <w:jc w:val="both"/>
        <w:rPr>
          <w:rFonts w:ascii="Arial" w:hAnsi="Arial"/>
          <w:sz w:val="17"/>
        </w:rPr>
      </w:pPr>
      <w:r>
        <w:rPr>
          <w:color w:val="030303"/>
          <w:w w:val="105"/>
        </w:rPr>
        <w:t>The life annuities defined thus far provide that the first payment </w:t>
      </w:r>
      <w:r>
        <w:rPr>
          <w:color w:val="030303"/>
          <w:w w:val="105"/>
          <w:sz w:val="19"/>
        </w:rPr>
        <w:t>he </w:t>
      </w:r>
      <w:r>
        <w:rPr>
          <w:color w:val="030303"/>
          <w:w w:val="105"/>
        </w:rPr>
        <w:t>made at the </w:t>
      </w:r>
      <w:r>
        <w:rPr>
          <w:rFonts w:ascii="Arial" w:hAnsi="Arial"/>
          <w:i/>
          <w:color w:val="030303"/>
          <w:w w:val="105"/>
          <w:sz w:val="19"/>
        </w:rPr>
        <w:t>end </w:t>
      </w:r>
      <w:r>
        <w:rPr>
          <w:color w:val="030303"/>
          <w:w w:val="105"/>
        </w:rPr>
        <w:t>of a payment period. Any annuity of  this type  is callcd an </w:t>
      </w:r>
      <w:r>
        <w:rPr>
          <w:i/>
          <w:color w:val="030303"/>
          <w:w w:val="105"/>
        </w:rPr>
        <w:t>immediate </w:t>
      </w:r>
      <w:r>
        <w:rPr>
          <w:color w:val="030303"/>
          <w:w w:val="105"/>
        </w:rPr>
        <w:t>annuity. When the series of payments com­ </w:t>
      </w:r>
      <w:r>
        <w:rPr>
          <w:color w:val="030303"/>
          <w:w w:val="100"/>
        </w:rPr>
        <w:t>menccs </w:t>
      </w:r>
      <w:r>
        <w:rPr>
          <w:color w:val="030303"/>
          <w:w w:val="117"/>
        </w:rPr>
        <w:t>at </w:t>
      </w:r>
      <w:r>
        <w:rPr>
          <w:color w:val="030303"/>
          <w:w w:val="109"/>
        </w:rPr>
        <w:t>thc </w:t>
      </w:r>
      <w:r>
        <w:rPr>
          <w:i/>
          <w:color w:val="030303"/>
          <w:spacing w:val="-1"/>
          <w:w w:val="89"/>
        </w:rPr>
        <w:t>beg</w:t>
      </w:r>
      <w:r>
        <w:rPr>
          <w:i/>
          <w:color w:val="1C1C1C"/>
          <w:spacing w:val="-1"/>
          <w:w w:val="89"/>
        </w:rPr>
        <w:t>-</w:t>
      </w:r>
      <w:r>
        <w:rPr>
          <w:i/>
          <w:color w:val="030303"/>
          <w:spacing w:val="-1"/>
          <w:w w:val="89"/>
        </w:rPr>
        <w:t>inning</w:t>
      </w:r>
      <w:r>
        <w:rPr>
          <w:i/>
          <w:color w:val="030303"/>
          <w:w w:val="89"/>
        </w:rPr>
        <w:t> </w:t>
      </w:r>
      <w:r>
        <w:rPr>
          <w:color w:val="030303"/>
          <w:w w:val="86"/>
        </w:rPr>
        <w:t>of </w:t>
      </w:r>
      <w:r>
        <w:rPr>
          <w:color w:val="030303"/>
          <w:w w:val="110"/>
        </w:rPr>
        <w:t>the </w:t>
      </w:r>
      <w:r>
        <w:rPr>
          <w:color w:val="030303"/>
          <w:w w:val="105"/>
        </w:rPr>
        <w:t>paymcnt </w:t>
      </w:r>
      <w:r>
        <w:rPr>
          <w:color w:val="030303"/>
          <w:w w:val="100"/>
        </w:rPr>
        <w:t>pcriod,  </w:t>
      </w:r>
      <w:r>
        <w:rPr>
          <w:color w:val="030303"/>
          <w:w w:val="110"/>
        </w:rPr>
        <w:t>the  </w:t>
      </w:r>
      <w:r>
        <w:rPr>
          <w:color w:val="030303"/>
          <w:w w:val="108"/>
        </w:rPr>
        <w:t>annuity  </w:t>
      </w:r>
      <w:r>
        <w:rPr>
          <w:color w:val="030303"/>
          <w:w w:val="98"/>
        </w:rPr>
        <w:t>is </w:t>
      </w:r>
      <w:r>
        <w:rPr>
          <w:color w:val="030303"/>
          <w:w w:val="105"/>
        </w:rPr>
        <w:t>calle&lt;l </w:t>
      </w:r>
      <w:r>
        <w:rPr>
          <w:rFonts w:ascii="Arial" w:hAnsi="Arial"/>
          <w:color w:val="030303"/>
          <w:w w:val="105"/>
          <w:sz w:val="17"/>
        </w:rPr>
        <w:t>an </w:t>
      </w:r>
      <w:r>
        <w:rPr>
          <w:i/>
          <w:color w:val="030303"/>
          <w:w w:val="105"/>
        </w:rPr>
        <w:t>annuity-due, </w:t>
      </w:r>
      <w:r>
        <w:rPr>
          <w:rFonts w:ascii="Arial" w:hAnsi="Arial"/>
          <w:color w:val="030303"/>
          <w:w w:val="105"/>
          <w:sz w:val="17"/>
        </w:rPr>
        <w:t>an&lt;l </w:t>
      </w:r>
      <w:r>
        <w:rPr>
          <w:color w:val="030303"/>
          <w:w w:val="105"/>
        </w:rPr>
        <w:t>its prcsent  </w:t>
      </w:r>
      <w:r>
        <w:rPr>
          <w:color w:val="030303"/>
          <w:spacing w:val="4"/>
          <w:w w:val="105"/>
        </w:rPr>
        <w:t>value </w:t>
      </w:r>
      <w:r>
        <w:rPr>
          <w:color w:val="030303"/>
          <w:w w:val="105"/>
        </w:rPr>
        <w:t>is</w:t>
      </w:r>
      <w:r>
        <w:rPr>
          <w:color w:val="1C1C1C"/>
          <w:w w:val="105"/>
        </w:rPr>
        <w:t>·</w:t>
      </w:r>
      <w:r>
        <w:rPr>
          <w:color w:val="030303"/>
          <w:w w:val="105"/>
        </w:rPr>
        <w:t>distinguished  by </w:t>
      </w:r>
      <w:r>
        <w:rPr>
          <w:color w:val="030303"/>
          <w:spacing w:val="12"/>
          <w:w w:val="105"/>
        </w:rPr>
        <w:t> </w:t>
      </w:r>
      <w:r>
        <w:rPr>
          <w:rFonts w:ascii="Arial" w:hAnsi="Arial"/>
          <w:color w:val="030303"/>
          <w:w w:val="105"/>
          <w:sz w:val="17"/>
        </w:rPr>
        <w:t>a</w:t>
      </w:r>
    </w:p>
    <w:p>
      <w:pPr>
        <w:pStyle w:val="BodyText"/>
        <w:spacing w:line="243" w:lineRule="exact"/>
        <w:ind w:left="117"/>
        <w:rPr>
          <w:i/>
          <w:sz w:val="25"/>
        </w:rPr>
      </w:pPr>
      <w:r>
        <w:rPr>
          <w:color w:val="030303"/>
        </w:rPr>
        <w:t>double dot  (dicresis)  over the </w:t>
      </w:r>
      <w:r>
        <w:rPr>
          <w:i/>
          <w:color w:val="030303"/>
          <w:sz w:val="19"/>
        </w:rPr>
        <w:t>a, </w:t>
      </w:r>
      <w:r>
        <w:rPr>
          <w:color w:val="030303"/>
        </w:rPr>
        <w:t>for exam ple </w:t>
      </w:r>
      <w:r>
        <w:rPr>
          <w:i/>
          <w:color w:val="030303"/>
          <w:sz w:val="25"/>
        </w:rPr>
        <w:t>az .</w:t>
      </w:r>
    </w:p>
    <w:p>
      <w:pPr>
        <w:pStyle w:val="BodyText"/>
        <w:spacing w:line="244" w:lineRule="auto"/>
        <w:ind w:left="121" w:right="124" w:firstLine="196"/>
        <w:jc w:val="both"/>
      </w:pPr>
      <w:r>
        <w:rPr>
          <w:color w:val="030303"/>
        </w:rPr>
        <w:t>Whcn paymcntH are ma&lt;lc annually, the payments of the ain­ nuity-due  conunence  one year  earlicr  than  those  of  the correspond-</w:t>
      </w:r>
    </w:p>
    <w:p>
      <w:pPr>
        <w:spacing w:after="0" w:line="244" w:lineRule="auto"/>
        <w:jc w:val="both"/>
        <w:sectPr>
          <w:type w:val="continuous"/>
          <w:pgSz w:w="7200" w:h="11340"/>
          <w:pgMar w:top="1100" w:bottom="0" w:left="680" w:right="560"/>
        </w:sectPr>
      </w:pPr>
    </w:p>
    <w:p>
      <w:pPr>
        <w:tabs>
          <w:tab w:pos="2297" w:val="left" w:leader="none"/>
          <w:tab w:pos="5357" w:val="left" w:leader="none"/>
        </w:tabs>
        <w:spacing w:before="61"/>
        <w:ind w:left="123" w:right="0" w:hanging="8"/>
        <w:jc w:val="left"/>
        <w:rPr>
          <w:rFonts w:ascii="Arial"/>
          <w:sz w:val="19"/>
        </w:rPr>
      </w:pPr>
      <w:r>
        <w:rPr>
          <w:color w:val="010101"/>
          <w:w w:val="105"/>
          <w:sz w:val="20"/>
        </w:rPr>
        <w:t>42</w:t>
        <w:tab/>
      </w:r>
      <w:r>
        <w:rPr>
          <w:b/>
          <w:color w:val="010101"/>
          <w:w w:val="105"/>
          <w:position w:val="1"/>
          <w:sz w:val="15"/>
        </w:rPr>
        <w:t>LIFE </w:t>
      </w:r>
      <w:r>
        <w:rPr>
          <w:b/>
          <w:color w:val="010101"/>
          <w:spacing w:val="21"/>
          <w:w w:val="105"/>
          <w:position w:val="1"/>
          <w:sz w:val="15"/>
        </w:rPr>
        <w:t> </w:t>
      </w:r>
      <w:r>
        <w:rPr>
          <w:b/>
          <w:color w:val="010101"/>
          <w:w w:val="105"/>
          <w:position w:val="1"/>
          <w:sz w:val="15"/>
        </w:rPr>
        <w:t>ANNUITIES </w:t>
      </w:r>
      <w:r>
        <w:rPr>
          <w:b/>
          <w:color w:val="010101"/>
          <w:spacing w:val="20"/>
          <w:w w:val="105"/>
          <w:position w:val="1"/>
          <w:sz w:val="15"/>
        </w:rPr>
        <w:t> </w:t>
      </w:r>
      <w:r>
        <w:rPr>
          <w:color w:val="010101"/>
          <w:w w:val="125"/>
          <w:position w:val="1"/>
          <w:sz w:val="15"/>
        </w:rPr>
        <w:t>.</w:t>
        <w:tab/>
      </w:r>
      <w:r>
        <w:rPr>
          <w:color w:val="010101"/>
          <w:w w:val="95"/>
          <w:sz w:val="20"/>
        </w:rPr>
        <w:t>(CH.</w:t>
      </w:r>
      <w:r>
        <w:rPr>
          <w:color w:val="010101"/>
          <w:spacing w:val="-17"/>
          <w:w w:val="95"/>
          <w:sz w:val="20"/>
        </w:rPr>
        <w:t> </w:t>
      </w:r>
      <w:r>
        <w:rPr>
          <w:rFonts w:ascii="Arial"/>
          <w:color w:val="010101"/>
          <w:w w:val="95"/>
          <w:sz w:val="19"/>
        </w:rPr>
        <w:t>2</w:t>
      </w:r>
    </w:p>
    <w:p>
      <w:pPr>
        <w:pStyle w:val="BodyText"/>
        <w:spacing w:before="4"/>
        <w:rPr>
          <w:rFonts w:ascii="Arial"/>
        </w:rPr>
      </w:pPr>
    </w:p>
    <w:p>
      <w:pPr>
        <w:pStyle w:val="BodyText"/>
        <w:spacing w:line="247" w:lineRule="auto"/>
        <w:ind w:left="120" w:right="133" w:firstLine="3"/>
      </w:pPr>
      <w:r>
        <w:rPr>
          <w:color w:val="010101"/>
          <w:w w:val="105"/>
        </w:rPr>
        <w:t>ing immcdiate aunuity. The following formulas may </w:t>
      </w:r>
      <w:r>
        <w:rPr>
          <w:color w:val="010101"/>
          <w:w w:val="105"/>
          <w:sz w:val="19"/>
        </w:rPr>
        <w:t>be </w:t>
      </w:r>
      <w:r>
        <w:rPr>
          <w:color w:val="010101"/>
          <w:w w:val="105"/>
        </w:rPr>
        <w:t>readily verified:</w:t>
      </w:r>
    </w:p>
    <w:p>
      <w:pPr>
        <w:pStyle w:val="BodyText"/>
        <w:spacing w:before="4"/>
      </w:pPr>
    </w:p>
    <w:p>
      <w:pPr>
        <w:pStyle w:val="BodyText"/>
        <w:ind w:right="135"/>
        <w:jc w:val="right"/>
      </w:pPr>
      <w:r>
        <w:rPr/>
        <w:drawing>
          <wp:anchor distT="0" distB="0" distL="0" distR="0" allowOverlap="1" layoutInCell="1" locked="0" behindDoc="0" simplePos="0" relativeHeight="3376">
            <wp:simplePos x="0" y="0"/>
            <wp:positionH relativeFrom="page">
              <wp:posOffset>1764792</wp:posOffset>
            </wp:positionH>
            <wp:positionV relativeFrom="paragraph">
              <wp:posOffset>-49435</wp:posOffset>
            </wp:positionV>
            <wp:extent cx="539495" cy="274320"/>
            <wp:effectExtent l="0" t="0" r="0" b="0"/>
            <wp:wrapNone/>
            <wp:docPr id="59" name="image34.png" descr=""/>
            <wp:cNvGraphicFramePr>
              <a:graphicFrameLocks noChangeAspect="1"/>
            </wp:cNvGraphicFramePr>
            <a:graphic>
              <a:graphicData uri="http://schemas.openxmlformats.org/drawingml/2006/picture">
                <pic:pic>
                  <pic:nvPicPr>
                    <pic:cNvPr id="60" name="image34.png"/>
                    <pic:cNvPicPr/>
                  </pic:nvPicPr>
                  <pic:blipFill>
                    <a:blip r:embed="rId38" cstate="print"/>
                    <a:stretch>
                      <a:fillRect/>
                    </a:stretch>
                  </pic:blipFill>
                  <pic:spPr>
                    <a:xfrm>
                      <a:off x="0" y="0"/>
                      <a:ext cx="539495" cy="274320"/>
                    </a:xfrm>
                    <a:prstGeom prst="rect">
                      <a:avLst/>
                    </a:prstGeom>
                  </pic:spPr>
                </pic:pic>
              </a:graphicData>
            </a:graphic>
          </wp:anchor>
        </w:drawing>
      </w:r>
      <w:r>
        <w:rPr>
          <w:color w:val="010101"/>
          <w:w w:val="115"/>
        </w:rPr>
        <w:t>(2.6)</w:t>
      </w:r>
    </w:p>
    <w:p>
      <w:pPr>
        <w:pStyle w:val="BodyText"/>
        <w:spacing w:before="7"/>
        <w:rPr>
          <w:sz w:val="14"/>
        </w:rPr>
      </w:pPr>
    </w:p>
    <w:p>
      <w:pPr>
        <w:spacing w:after="0"/>
        <w:rPr>
          <w:sz w:val="14"/>
        </w:rPr>
        <w:sectPr>
          <w:pgSz w:w="7200" w:h="11340"/>
          <w:pgMar w:top="500" w:bottom="280" w:left="680" w:right="540"/>
        </w:sectPr>
      </w:pPr>
    </w:p>
    <w:p>
      <w:pPr>
        <w:tabs>
          <w:tab w:pos="2609" w:val="left" w:leader="none"/>
        </w:tabs>
        <w:spacing w:line="201" w:lineRule="exact" w:before="72"/>
        <w:ind w:left="1960" w:right="0" w:firstLine="0"/>
        <w:jc w:val="left"/>
        <w:rPr>
          <w:i/>
          <w:sz w:val="22"/>
        </w:rPr>
      </w:pPr>
      <w:r>
        <w:rPr>
          <w:color w:val="010101"/>
          <w:w w:val="75"/>
          <w:sz w:val="22"/>
        </w:rPr>
        <w:t>_</w:t>
        <w:tab/>
      </w:r>
      <w:r>
        <w:rPr>
          <w:i/>
          <w:color w:val="010101"/>
          <w:w w:val="95"/>
          <w:sz w:val="22"/>
        </w:rPr>
        <w:t>N11</w:t>
      </w:r>
      <w:r>
        <w:rPr>
          <w:i/>
          <w:color w:val="010101"/>
          <w:spacing w:val="-21"/>
          <w:w w:val="95"/>
          <w:sz w:val="22"/>
        </w:rPr>
        <w:t> </w:t>
      </w:r>
      <w:r>
        <w:rPr>
          <w:color w:val="010101"/>
          <w:w w:val="135"/>
          <w:sz w:val="22"/>
        </w:rPr>
        <w:t>-</w:t>
      </w:r>
      <w:r>
        <w:rPr>
          <w:color w:val="010101"/>
          <w:spacing w:val="-56"/>
          <w:w w:val="135"/>
          <w:sz w:val="22"/>
        </w:rPr>
        <w:t> </w:t>
      </w:r>
      <w:r>
        <w:rPr>
          <w:i/>
          <w:color w:val="010101"/>
          <w:w w:val="95"/>
          <w:sz w:val="22"/>
          <w:u w:val="thick" w:color="000000"/>
        </w:rPr>
        <w:t>Nz+,</w:t>
      </w:r>
      <w:r>
        <w:rPr>
          <w:i/>
          <w:color w:val="010101"/>
          <w:w w:val="95"/>
          <w:sz w:val="22"/>
        </w:rPr>
        <w:t>.</w:t>
      </w:r>
    </w:p>
    <w:p>
      <w:pPr>
        <w:tabs>
          <w:tab w:pos="2975" w:val="left" w:leader="none"/>
        </w:tabs>
        <w:spacing w:line="235" w:lineRule="exact" w:before="0"/>
        <w:ind w:left="1917" w:right="0" w:firstLine="0"/>
        <w:jc w:val="left"/>
        <w:rPr>
          <w:i/>
          <w:sz w:val="21"/>
        </w:rPr>
      </w:pPr>
      <w:r>
        <w:rPr>
          <w:rFonts w:ascii="Arial"/>
          <w:color w:val="010101"/>
          <w:sz w:val="17"/>
        </w:rPr>
        <w:t>az:i"f  </w:t>
      </w:r>
      <w:r>
        <w:rPr>
          <w:color w:val="010101"/>
          <w:sz w:val="25"/>
        </w:rPr>
        <w:t>=</w:t>
        <w:tab/>
      </w:r>
      <w:r>
        <w:rPr>
          <w:i/>
          <w:color w:val="010101"/>
          <w:sz w:val="21"/>
        </w:rPr>
        <w:t>Dz</w:t>
      </w:r>
    </w:p>
    <w:p>
      <w:pPr>
        <w:tabs>
          <w:tab w:pos="1635" w:val="left" w:leader="none"/>
        </w:tabs>
        <w:spacing w:line="138" w:lineRule="exact" w:before="213"/>
        <w:ind w:left="1219" w:right="0" w:firstLine="0"/>
        <w:jc w:val="center"/>
        <w:rPr>
          <w:b/>
          <w:i/>
          <w:sz w:val="16"/>
        </w:rPr>
      </w:pPr>
      <w:r>
        <w:rPr>
          <w:color w:val="161616"/>
          <w:sz w:val="16"/>
        </w:rPr>
        <w:t>_</w:t>
        <w:tab/>
      </w:r>
      <w:r>
        <w:rPr>
          <w:b/>
          <w:i/>
          <w:color w:val="010101"/>
          <w:w w:val="115"/>
          <w:sz w:val="16"/>
        </w:rPr>
        <w:t>Nz+.</w:t>
      </w:r>
    </w:p>
    <w:p>
      <w:pPr>
        <w:spacing w:line="264" w:lineRule="exact" w:before="0"/>
        <w:ind w:left="1178" w:right="0" w:firstLine="0"/>
        <w:jc w:val="center"/>
        <w:rPr>
          <w:sz w:val="21"/>
        </w:rPr>
      </w:pPr>
      <w:r>
        <w:rPr>
          <w:i/>
          <w:color w:val="010101"/>
          <w:w w:val="85"/>
          <w:sz w:val="27"/>
        </w:rPr>
        <w:t>,.,az </w:t>
      </w:r>
      <w:r>
        <w:rPr>
          <w:i/>
          <w:color w:val="010101"/>
          <w:w w:val="105"/>
          <w:sz w:val="27"/>
        </w:rPr>
        <w:t>= </w:t>
      </w:r>
      <w:r>
        <w:rPr>
          <w:i/>
          <w:color w:val="010101"/>
          <w:w w:val="105"/>
          <w:sz w:val="21"/>
          <w:u w:val="thick" w:color="000000"/>
        </w:rPr>
        <w:t>Dz  </w:t>
      </w:r>
      <w:r>
        <w:rPr>
          <w:color w:val="010101"/>
          <w:w w:val="140"/>
          <w:sz w:val="21"/>
        </w:rPr>
        <w:t>'</w:t>
      </w:r>
    </w:p>
    <w:p>
      <w:pPr>
        <w:tabs>
          <w:tab w:pos="2606" w:val="left" w:leader="none"/>
        </w:tabs>
        <w:spacing w:line="157" w:lineRule="exact" w:before="196"/>
        <w:ind w:left="2143" w:right="0" w:firstLine="0"/>
        <w:jc w:val="left"/>
        <w:rPr>
          <w:i/>
          <w:sz w:val="19"/>
        </w:rPr>
      </w:pPr>
      <w:r>
        <w:rPr>
          <w:color w:val="010101"/>
          <w:spacing w:val="-15"/>
          <w:w w:val="110"/>
          <w:sz w:val="19"/>
        </w:rPr>
        <w:t>..</w:t>
        <w:tab/>
      </w:r>
      <w:r>
        <w:rPr>
          <w:i/>
          <w:color w:val="010101"/>
          <w:spacing w:val="6"/>
          <w:w w:val="110"/>
          <w:sz w:val="19"/>
          <w:u w:val="single" w:color="000000"/>
        </w:rPr>
        <w:t>Nz+•</w:t>
      </w:r>
      <w:r>
        <w:rPr>
          <w:i/>
          <w:color w:val="010101"/>
          <w:spacing w:val="-6"/>
          <w:w w:val="110"/>
          <w:sz w:val="19"/>
          <w:u w:val="single" w:color="000000"/>
        </w:rPr>
        <w:t> </w:t>
      </w:r>
      <w:r>
        <w:rPr>
          <w:color w:val="010101"/>
          <w:w w:val="275"/>
          <w:sz w:val="19"/>
          <w:u w:val="single" w:color="000000"/>
        </w:rPr>
        <w:t>-</w:t>
      </w:r>
      <w:r>
        <w:rPr>
          <w:color w:val="010101"/>
          <w:sz w:val="19"/>
        </w:rPr>
        <w:t>   </w:t>
      </w:r>
      <w:r>
        <w:rPr>
          <w:color w:val="010101"/>
          <w:spacing w:val="9"/>
          <w:sz w:val="19"/>
        </w:rPr>
        <w:t> </w:t>
      </w:r>
      <w:r>
        <w:rPr>
          <w:i/>
          <w:color w:val="010101"/>
          <w:w w:val="110"/>
          <w:sz w:val="19"/>
          <w:u w:val="single" w:color="000000"/>
        </w:rPr>
        <w:t>Ns+.+-</w:t>
      </w:r>
    </w:p>
    <w:p>
      <w:pPr>
        <w:tabs>
          <w:tab w:pos="2576" w:val="left" w:leader="none"/>
        </w:tabs>
        <w:spacing w:line="261" w:lineRule="exact" w:before="0"/>
        <w:ind w:left="1285" w:right="0" w:firstLine="0"/>
        <w:jc w:val="center"/>
        <w:rPr>
          <w:b/>
          <w:i/>
          <w:sz w:val="22"/>
        </w:rPr>
      </w:pPr>
      <w:r>
        <w:rPr>
          <w:rFonts w:ascii="Arial" w:hAnsi="Arial"/>
          <w:i/>
          <w:color w:val="010101"/>
          <w:w w:val="105"/>
          <w:sz w:val="24"/>
        </w:rPr>
        <w:t>•</w:t>
      </w:r>
      <w:r>
        <w:rPr>
          <w:rFonts w:ascii="Arial" w:hAnsi="Arial"/>
          <w:i/>
          <w:color w:val="010101"/>
          <w:w w:val="77"/>
          <w:sz w:val="24"/>
        </w:rPr>
        <w:t>1</w:t>
      </w:r>
      <w:r>
        <w:rPr>
          <w:rFonts w:ascii="Arial" w:hAnsi="Arial"/>
          <w:i/>
          <w:color w:val="010101"/>
          <w:spacing w:val="-30"/>
          <w:w w:val="77"/>
          <w:sz w:val="24"/>
        </w:rPr>
        <w:t>•</w:t>
      </w:r>
      <w:r>
        <w:rPr>
          <w:rFonts w:ascii="Arial" w:hAnsi="Arial"/>
          <w:i/>
          <w:color w:val="010101"/>
          <w:spacing w:val="-7"/>
          <w:w w:val="120"/>
          <w:sz w:val="24"/>
        </w:rPr>
        <w:t>ª</w:t>
      </w:r>
      <w:r>
        <w:rPr>
          <w:rFonts w:ascii="Arial" w:hAnsi="Arial"/>
          <w:i/>
          <w:color w:val="010101"/>
          <w:w w:val="27"/>
          <w:sz w:val="24"/>
        </w:rPr>
        <w:t>11</w:t>
      </w:r>
      <w:r>
        <w:rPr>
          <w:rFonts w:ascii="Arial" w:hAnsi="Arial"/>
          <w:i/>
          <w:color w:val="010101"/>
          <w:sz w:val="24"/>
        </w:rPr>
        <w:t> </w:t>
      </w:r>
      <w:r>
        <w:rPr>
          <w:rFonts w:ascii="Arial" w:hAnsi="Arial"/>
          <w:i/>
          <w:color w:val="010101"/>
          <w:spacing w:val="-33"/>
          <w:sz w:val="24"/>
        </w:rPr>
        <w:t> </w:t>
      </w:r>
      <w:r>
        <w:rPr>
          <w:color w:val="010101"/>
          <w:w w:val="87"/>
          <w:sz w:val="28"/>
        </w:rPr>
        <w:t>=</w:t>
      </w:r>
      <w:r>
        <w:rPr>
          <w:color w:val="010101"/>
          <w:sz w:val="28"/>
        </w:rPr>
        <w:tab/>
      </w:r>
      <w:r>
        <w:rPr>
          <w:b/>
          <w:i/>
          <w:color w:val="010101"/>
          <w:w w:val="91"/>
          <w:sz w:val="22"/>
        </w:rPr>
        <w:t>Ds</w:t>
      </w:r>
    </w:p>
    <w:p>
      <w:pPr>
        <w:pStyle w:val="BodyText"/>
        <w:spacing w:before="1"/>
        <w:rPr>
          <w:b/>
          <w:i/>
          <w:sz w:val="18"/>
        </w:rPr>
      </w:pPr>
      <w:r>
        <w:rPr/>
        <w:br w:type="column"/>
      </w:r>
      <w:r>
        <w:rPr>
          <w:b/>
          <w:i/>
          <w:sz w:val="18"/>
        </w:rPr>
      </w:r>
    </w:p>
    <w:p>
      <w:pPr>
        <w:spacing w:before="0"/>
        <w:ind w:left="0" w:right="142" w:firstLine="0"/>
        <w:jc w:val="right"/>
        <w:rPr>
          <w:sz w:val="19"/>
        </w:rPr>
      </w:pPr>
      <w:r>
        <w:rPr>
          <w:color w:val="010101"/>
          <w:w w:val="105"/>
          <w:sz w:val="19"/>
        </w:rPr>
        <w:t>( 2.7)</w:t>
      </w:r>
    </w:p>
    <w:p>
      <w:pPr>
        <w:pStyle w:val="BodyText"/>
        <w:rPr>
          <w:sz w:val="18"/>
        </w:rPr>
      </w:pPr>
    </w:p>
    <w:p>
      <w:pPr>
        <w:pStyle w:val="BodyText"/>
        <w:spacing w:before="5"/>
        <w:rPr>
          <w:sz w:val="15"/>
        </w:rPr>
      </w:pPr>
    </w:p>
    <w:p>
      <w:pPr>
        <w:spacing w:before="0"/>
        <w:ind w:left="0" w:right="139" w:firstLine="0"/>
        <w:jc w:val="right"/>
        <w:rPr>
          <w:rFonts w:ascii="Arial"/>
          <w:sz w:val="19"/>
        </w:rPr>
      </w:pPr>
      <w:r>
        <w:rPr>
          <w:rFonts w:ascii="Arial"/>
          <w:color w:val="010101"/>
          <w:w w:val="115"/>
          <w:sz w:val="19"/>
        </w:rPr>
        <w:t>(2.8)</w:t>
      </w:r>
    </w:p>
    <w:p>
      <w:pPr>
        <w:pStyle w:val="BodyText"/>
        <w:rPr>
          <w:rFonts w:ascii="Arial"/>
          <w:sz w:val="18"/>
        </w:rPr>
      </w:pPr>
    </w:p>
    <w:p>
      <w:pPr>
        <w:pStyle w:val="BodyText"/>
        <w:spacing w:before="5"/>
        <w:rPr>
          <w:rFonts w:ascii="Arial"/>
          <w:sz w:val="14"/>
        </w:rPr>
      </w:pPr>
    </w:p>
    <w:p>
      <w:pPr>
        <w:pStyle w:val="BodyText"/>
        <w:ind w:right="150"/>
        <w:jc w:val="right"/>
      </w:pPr>
      <w:r>
        <w:rPr>
          <w:color w:val="010101"/>
        </w:rPr>
        <w:t>( 2.9)</w:t>
      </w:r>
    </w:p>
    <w:p>
      <w:pPr>
        <w:spacing w:after="0"/>
        <w:jc w:val="right"/>
        <w:sectPr>
          <w:type w:val="continuous"/>
          <w:pgSz w:w="7200" w:h="11340"/>
          <w:pgMar w:top="1100" w:bottom="0" w:left="680" w:right="540"/>
          <w:cols w:num="2" w:equalWidth="0">
            <w:col w:w="3980" w:space="40"/>
            <w:col w:w="1960"/>
          </w:cols>
        </w:sectPr>
      </w:pPr>
    </w:p>
    <w:p>
      <w:pPr>
        <w:pStyle w:val="BodyText"/>
        <w:spacing w:before="9"/>
        <w:rPr>
          <w:sz w:val="10"/>
        </w:rPr>
      </w:pPr>
    </w:p>
    <w:p>
      <w:pPr>
        <w:pStyle w:val="BodyText"/>
        <w:spacing w:line="249" w:lineRule="auto" w:before="74"/>
        <w:ind w:left="116" w:right="139" w:firstLine="193"/>
      </w:pPr>
      <w:r>
        <w:rPr>
          <w:color w:val="010101"/>
          <w:w w:val="105"/>
        </w:rPr>
        <w:t>Thc foJlowing relations between immediate annuities and an­ nuities-due </w:t>
      </w:r>
      <w:r>
        <w:rPr>
          <w:color w:val="010101"/>
          <w:w w:val="105"/>
          <w:sz w:val="19"/>
        </w:rPr>
        <w:t>will also </w:t>
      </w:r>
      <w:r>
        <w:rPr>
          <w:rFonts w:ascii="Arial" w:hAnsi="Arial"/>
          <w:color w:val="010101"/>
          <w:w w:val="105"/>
        </w:rPr>
        <w:t>be </w:t>
      </w:r>
      <w:r>
        <w:rPr>
          <w:color w:val="010101"/>
          <w:w w:val="105"/>
        </w:rPr>
        <w:t>evident:</w:t>
      </w:r>
    </w:p>
    <w:p>
      <w:pPr>
        <w:tabs>
          <w:tab w:pos="2991" w:val="left" w:leader="none"/>
        </w:tabs>
        <w:spacing w:before="68"/>
        <w:ind w:left="0" w:right="164" w:firstLine="0"/>
        <w:jc w:val="right"/>
        <w:rPr>
          <w:sz w:val="20"/>
        </w:rPr>
      </w:pPr>
      <w:r>
        <w:rPr>
          <w:color w:val="010101"/>
          <w:sz w:val="17"/>
        </w:rPr>
        <w:t>éi:r  </w:t>
      </w:r>
      <w:r>
        <w:rPr>
          <w:color w:val="010101"/>
          <w:sz w:val="26"/>
        </w:rPr>
        <w:t>= </w:t>
      </w:r>
      <w:r>
        <w:rPr>
          <w:color w:val="010101"/>
          <w:w w:val="115"/>
          <w:sz w:val="20"/>
        </w:rPr>
        <w:t>1 </w:t>
      </w:r>
      <w:r>
        <w:rPr>
          <w:rFonts w:ascii="Arial" w:hAnsi="Arial"/>
          <w:color w:val="010101"/>
          <w:sz w:val="32"/>
        </w:rPr>
        <w:t>+</w:t>
      </w:r>
      <w:r>
        <w:rPr>
          <w:rFonts w:ascii="Arial" w:hAnsi="Arial"/>
          <w:color w:val="010101"/>
          <w:spacing w:val="-38"/>
          <w:sz w:val="32"/>
        </w:rPr>
        <w:t> </w:t>
      </w:r>
      <w:r>
        <w:rPr>
          <w:color w:val="010101"/>
          <w:sz w:val="17"/>
        </w:rPr>
        <w:t>a:r</w:t>
      </w:r>
      <w:r>
        <w:rPr>
          <w:color w:val="010101"/>
          <w:spacing w:val="13"/>
          <w:sz w:val="17"/>
        </w:rPr>
        <w:t> </w:t>
      </w:r>
      <w:r>
        <w:rPr>
          <w:color w:val="010101"/>
          <w:w w:val="115"/>
          <w:sz w:val="17"/>
        </w:rPr>
        <w:t>,</w:t>
        <w:tab/>
      </w:r>
      <w:r>
        <w:rPr>
          <w:color w:val="010101"/>
          <w:position w:val="2"/>
          <w:sz w:val="20"/>
        </w:rPr>
        <w:t>(2.10)</w:t>
      </w:r>
    </w:p>
    <w:p>
      <w:pPr>
        <w:pStyle w:val="BodyText"/>
        <w:spacing w:before="83"/>
        <w:ind w:right="139"/>
        <w:jc w:val="right"/>
      </w:pPr>
      <w:r>
        <w:rPr>
          <w:position w:val="-5"/>
        </w:rPr>
        <w:drawing>
          <wp:inline distT="0" distB="0" distL="0" distR="0">
            <wp:extent cx="1133856" cy="128015"/>
            <wp:effectExtent l="0" t="0" r="0" b="0"/>
            <wp:docPr id="61" name="image35.png" descr=""/>
            <wp:cNvGraphicFramePr>
              <a:graphicFrameLocks noChangeAspect="1"/>
            </wp:cNvGraphicFramePr>
            <a:graphic>
              <a:graphicData uri="http://schemas.openxmlformats.org/drawingml/2006/picture">
                <pic:pic>
                  <pic:nvPicPr>
                    <pic:cNvPr id="62" name="image35.png"/>
                    <pic:cNvPicPr/>
                  </pic:nvPicPr>
                  <pic:blipFill>
                    <a:blip r:embed="rId39" cstate="print"/>
                    <a:stretch>
                      <a:fillRect/>
                    </a:stretch>
                  </pic:blipFill>
                  <pic:spPr>
                    <a:xfrm>
                      <a:off x="0" y="0"/>
                      <a:ext cx="1133856" cy="128015"/>
                    </a:xfrm>
                    <a:prstGeom prst="rect">
                      <a:avLst/>
                    </a:prstGeom>
                  </pic:spPr>
                </pic:pic>
              </a:graphicData>
            </a:graphic>
          </wp:inline>
        </w:drawing>
      </w:r>
      <w:r>
        <w:rPr>
          <w:position w:val="-5"/>
        </w:rPr>
      </w:r>
      <w:r>
        <w:rPr/>
        <w:t>                            </w:t>
      </w:r>
      <w:r>
        <w:rPr>
          <w:color w:val="010101"/>
          <w:w w:val="105"/>
        </w:rPr>
        <w:t>(2.11)</w:t>
      </w:r>
    </w:p>
    <w:p>
      <w:pPr>
        <w:pStyle w:val="BodyText"/>
        <w:spacing w:before="114"/>
        <w:ind w:right="165"/>
        <w:jc w:val="right"/>
      </w:pPr>
      <w:r>
        <w:rPr/>
        <w:drawing>
          <wp:anchor distT="0" distB="0" distL="0" distR="0" allowOverlap="1" layoutInCell="1" locked="0" behindDoc="0" simplePos="0" relativeHeight="3400">
            <wp:simplePos x="0" y="0"/>
            <wp:positionH relativeFrom="page">
              <wp:posOffset>1819655</wp:posOffset>
            </wp:positionH>
            <wp:positionV relativeFrom="paragraph">
              <wp:posOffset>109770</wp:posOffset>
            </wp:positionV>
            <wp:extent cx="758951" cy="118872"/>
            <wp:effectExtent l="0" t="0" r="0" b="0"/>
            <wp:wrapNone/>
            <wp:docPr id="63" name="image36.png" descr=""/>
            <wp:cNvGraphicFramePr>
              <a:graphicFrameLocks noChangeAspect="1"/>
            </wp:cNvGraphicFramePr>
            <a:graphic>
              <a:graphicData uri="http://schemas.openxmlformats.org/drawingml/2006/picture">
                <pic:pic>
                  <pic:nvPicPr>
                    <pic:cNvPr id="64" name="image36.png"/>
                    <pic:cNvPicPr/>
                  </pic:nvPicPr>
                  <pic:blipFill>
                    <a:blip r:embed="rId40" cstate="print"/>
                    <a:stretch>
                      <a:fillRect/>
                    </a:stretch>
                  </pic:blipFill>
                  <pic:spPr>
                    <a:xfrm>
                      <a:off x="0" y="0"/>
                      <a:ext cx="758951" cy="118872"/>
                    </a:xfrm>
                    <a:prstGeom prst="rect">
                      <a:avLst/>
                    </a:prstGeom>
                  </pic:spPr>
                </pic:pic>
              </a:graphicData>
            </a:graphic>
          </wp:anchor>
        </w:drawing>
      </w:r>
      <w:r>
        <w:rPr>
          <w:color w:val="010101"/>
        </w:rPr>
        <w:t>(2.12)</w:t>
      </w:r>
    </w:p>
    <w:p>
      <w:pPr>
        <w:spacing w:after="0"/>
        <w:jc w:val="right"/>
        <w:sectPr>
          <w:type w:val="continuous"/>
          <w:pgSz w:w="7200" w:h="11340"/>
          <w:pgMar w:top="1100" w:bottom="0" w:left="680" w:right="540"/>
        </w:sectPr>
      </w:pPr>
    </w:p>
    <w:p>
      <w:pPr>
        <w:spacing w:before="141"/>
        <w:ind w:left="2078" w:right="-17" w:firstLine="0"/>
        <w:jc w:val="left"/>
        <w:rPr>
          <w:sz w:val="17"/>
        </w:rPr>
      </w:pPr>
      <w:r>
        <w:rPr>
          <w:rFonts w:ascii="Arial" w:hAnsi="Arial"/>
          <w:b/>
          <w:color w:val="010101"/>
          <w:w w:val="110"/>
          <w:sz w:val="15"/>
        </w:rPr>
        <w:t>•I.Ó:r</w:t>
      </w:r>
      <w:r>
        <w:rPr>
          <w:rFonts w:ascii="Arial" w:hAnsi="Arial"/>
          <w:b/>
          <w:color w:val="010101"/>
          <w:sz w:val="15"/>
        </w:rPr>
        <w:t> </w:t>
      </w:r>
      <w:r>
        <w:rPr>
          <w:rFonts w:ascii="Arial" w:hAnsi="Arial"/>
          <w:b/>
          <w:color w:val="010101"/>
          <w:spacing w:val="18"/>
          <w:sz w:val="15"/>
        </w:rPr>
        <w:t> </w:t>
      </w:r>
      <w:r>
        <w:rPr>
          <w:color w:val="010101"/>
          <w:w w:val="104"/>
          <w:sz w:val="23"/>
        </w:rPr>
        <w:t>=</w:t>
      </w:r>
      <w:r>
        <w:rPr>
          <w:color w:val="010101"/>
          <w:sz w:val="23"/>
        </w:rPr>
        <w:t> </w:t>
      </w:r>
      <w:r>
        <w:rPr>
          <w:color w:val="010101"/>
          <w:spacing w:val="-22"/>
          <w:sz w:val="23"/>
        </w:rPr>
        <w:t> </w:t>
      </w:r>
      <w:r>
        <w:rPr>
          <w:color w:val="010101"/>
          <w:w w:val="169"/>
          <w:sz w:val="17"/>
        </w:rPr>
        <w:t>•</w:t>
      </w:r>
      <w:r>
        <w:rPr>
          <w:color w:val="010101"/>
          <w:spacing w:val="-22"/>
          <w:w w:val="169"/>
          <w:sz w:val="17"/>
        </w:rPr>
        <w:t>-</w:t>
      </w:r>
      <w:r>
        <w:rPr>
          <w:color w:val="010101"/>
          <w:spacing w:val="-27"/>
          <w:w w:val="111"/>
          <w:sz w:val="17"/>
        </w:rPr>
        <w:t>1</w:t>
      </w:r>
      <w:r>
        <w:rPr>
          <w:color w:val="010101"/>
          <w:w w:val="76"/>
          <w:sz w:val="17"/>
        </w:rPr>
        <w:t>1.&lt;J.z</w:t>
      </w:r>
      <w:r>
        <w:rPr>
          <w:color w:val="010101"/>
          <w:spacing w:val="17"/>
          <w:sz w:val="17"/>
        </w:rPr>
        <w:t> </w:t>
      </w:r>
      <w:r>
        <w:rPr>
          <w:color w:val="010101"/>
          <w:w w:val="75"/>
          <w:sz w:val="17"/>
        </w:rPr>
        <w:t>•</w:t>
      </w:r>
    </w:p>
    <w:p>
      <w:pPr>
        <w:pStyle w:val="BodyText"/>
        <w:spacing w:before="133"/>
        <w:ind w:right="166"/>
        <w:jc w:val="right"/>
      </w:pPr>
      <w:r>
        <w:rPr/>
        <w:br w:type="column"/>
      </w:r>
      <w:r>
        <w:rPr>
          <w:color w:val="010101"/>
          <w:w w:val="105"/>
        </w:rPr>
        <w:t>(2.13)</w:t>
      </w:r>
    </w:p>
    <w:p>
      <w:pPr>
        <w:spacing w:after="0"/>
        <w:jc w:val="right"/>
        <w:sectPr>
          <w:type w:val="continuous"/>
          <w:pgSz w:w="7200" w:h="11340"/>
          <w:pgMar w:top="1100" w:bottom="0" w:left="680" w:right="540"/>
          <w:cols w:num="2" w:equalWidth="0">
            <w:col w:w="3473" w:space="40"/>
            <w:col w:w="2467"/>
          </w:cols>
        </w:sectPr>
      </w:pPr>
    </w:p>
    <w:p>
      <w:pPr>
        <w:pStyle w:val="BodyText"/>
        <w:spacing w:line="379" w:lineRule="auto" w:before="130"/>
        <w:ind w:left="34" w:right="151" w:firstLine="204"/>
        <w:jc w:val="right"/>
      </w:pPr>
      <w:r>
        <w:rPr/>
        <w:pict>
          <v:shape style="position:absolute;margin-left:221.165894pt;margin-top:12.525293pt;width:8.75pt;height:26.5pt;mso-position-horizontal-relative:page;mso-position-vertical-relative:paragraph;z-index:-732640" type="#_x0000_t202" filled="false" stroked="false">
            <v:textbox inset="0,0,0,0">
              <w:txbxContent>
                <w:p>
                  <w:pPr>
                    <w:spacing w:line="530" w:lineRule="exact" w:before="0"/>
                    <w:ind w:left="0" w:right="0" w:firstLine="0"/>
                    <w:jc w:val="left"/>
                    <w:rPr>
                      <w:rFonts w:ascii="Arial"/>
                      <w:sz w:val="53"/>
                    </w:rPr>
                  </w:pPr>
                  <w:r>
                    <w:rPr>
                      <w:rFonts w:ascii="Arial"/>
                      <w:color w:val="010101"/>
                      <w:spacing w:val="-32"/>
                      <w:w w:val="69"/>
                      <w:sz w:val="53"/>
                    </w:rPr>
                    <w:t>1</w:t>
                  </w:r>
                </w:p>
              </w:txbxContent>
            </v:textbox>
            <w10:wrap type="none"/>
          </v:shape>
        </w:pict>
      </w:r>
      <w:r>
        <w:rPr>
          <w:color w:val="010101"/>
          <w:w w:val="110"/>
        </w:rPr>
        <w:t>Lifc unnuities are occasionally encountered which providc that</w:t>
      </w:r>
      <w:r>
        <w:rPr>
          <w:color w:val="010101"/>
          <w:w w:val="116"/>
        </w:rPr>
        <w:t> </w:t>
      </w:r>
      <w:r>
        <w:rPr>
          <w:color w:val="010101"/>
          <w:w w:val="110"/>
        </w:rPr>
        <w:t>payments be made at the end of a fraction of a year and annua11y</w:t>
      </w:r>
      <w:r>
        <w:rPr>
          <w:color w:val="010101"/>
          <w:w w:val="93"/>
        </w:rPr>
        <w:t> </w:t>
      </w:r>
      <w:r>
        <w:rPr>
          <w:color w:val="010101"/>
          <w:w w:val="110"/>
        </w:rPr>
        <w:t>thcreaftr. These may </w:t>
      </w:r>
      <w:r>
        <w:rPr>
          <w:color w:val="010101"/>
          <w:w w:val="110"/>
          <w:sz w:val="19"/>
        </w:rPr>
        <w:t>be </w:t>
      </w:r>
      <w:r>
        <w:rPr>
          <w:color w:val="010101"/>
          <w:w w:val="110"/>
        </w:rPr>
        <w:t>regarded as annuities-due deferrcd for</w:t>
      </w:r>
      <w:r>
        <w:rPr>
          <w:color w:val="010101"/>
          <w:w w:val="101"/>
        </w:rPr>
        <w:t> </w:t>
      </w:r>
      <w:r>
        <w:rPr>
          <w:color w:val="010101"/>
          <w:w w:val="110"/>
        </w:rPr>
        <w:t>yean:;. The present value, </w:t>
      </w:r>
      <w:r>
        <w:rPr>
          <w:color w:val="010101"/>
          <w:w w:val="110"/>
          <w:sz w:val="14"/>
        </w:rPr>
        <w:t>1/tidz </w:t>
      </w:r>
      <w:r>
        <w:rPr>
          <w:color w:val="010101"/>
          <w:w w:val="145"/>
          <w:sz w:val="14"/>
        </w:rPr>
        <w:t>, </w:t>
      </w:r>
      <w:r>
        <w:rPr>
          <w:color w:val="010101"/>
          <w:w w:val="110"/>
        </w:rPr>
        <w:t>of such an annuity may </w:t>
      </w:r>
      <w:r>
        <w:rPr>
          <w:rFonts w:ascii="Arial" w:hAnsi="Arial"/>
          <w:color w:val="010101"/>
          <w:w w:val="110"/>
        </w:rPr>
        <w:t>be </w:t>
      </w:r>
      <w:r>
        <w:rPr>
          <w:color w:val="010101"/>
          <w:w w:val="110"/>
        </w:rPr>
        <w:t>ap­</w:t>
      </w:r>
    </w:p>
    <w:p>
      <w:pPr>
        <w:pStyle w:val="BodyText"/>
        <w:spacing w:line="247" w:lineRule="auto"/>
        <w:ind w:left="105" w:right="162" w:firstLine="3"/>
        <w:jc w:val="both"/>
        <w:rPr>
          <w:b/>
        </w:rPr>
      </w:pPr>
      <w:r>
        <w:rPr>
          <w:color w:val="010101"/>
        </w:rPr>
        <w:t>proximated by intcrpolating  linearly  between  the  prcscnt  value  </w:t>
      </w:r>
      <w:r>
        <w:rPr>
          <w:i/>
          <w:color w:val="010101"/>
          <w:sz w:val="17"/>
        </w:rPr>
        <w:t>á:z </w:t>
      </w:r>
      <w:r>
        <w:rPr>
          <w:color w:val="010101"/>
          <w:sz w:val="19"/>
        </w:rPr>
        <w:t>of the </w:t>
      </w:r>
      <w:r>
        <w:rPr>
          <w:color w:val="010101"/>
        </w:rPr>
        <w:t>annuity-due (first payment deferred O years) and the present value </w:t>
      </w:r>
      <w:r>
        <w:rPr>
          <w:i/>
          <w:color w:val="010101"/>
          <w:sz w:val="21"/>
        </w:rPr>
        <w:t>az </w:t>
      </w:r>
      <w:r>
        <w:rPr>
          <w:color w:val="010101"/>
        </w:rPr>
        <w:t>of  thc  immediate  annuity   (first  payment  deferred  </w:t>
      </w:r>
      <w:r>
        <w:rPr>
          <w:rFonts w:ascii="Arial" w:hAnsi="Arial"/>
          <w:b/>
          <w:color w:val="010101"/>
          <w:sz w:val="18"/>
        </w:rPr>
        <w:t>1</w:t>
      </w:r>
      <w:r>
        <w:rPr>
          <w:rFonts w:ascii="Arial" w:hAnsi="Arial"/>
          <w:b/>
          <w:color w:val="010101"/>
          <w:spacing w:val="-22"/>
          <w:sz w:val="18"/>
        </w:rPr>
        <w:t> </w:t>
      </w:r>
      <w:r>
        <w:rPr>
          <w:b/>
          <w:color w:val="010101"/>
        </w:rPr>
        <w:t>year).</w:t>
      </w:r>
    </w:p>
    <w:p>
      <w:pPr>
        <w:pStyle w:val="BodyText"/>
        <w:spacing w:before="2"/>
        <w:ind w:left="302" w:right="739"/>
      </w:pPr>
      <w:r>
        <w:rPr/>
        <w:drawing>
          <wp:anchor distT="0" distB="0" distL="0" distR="0" allowOverlap="1" layoutInCell="1" locked="0" behindDoc="0" simplePos="0" relativeHeight="3352">
            <wp:simplePos x="0" y="0"/>
            <wp:positionH relativeFrom="page">
              <wp:posOffset>1517903</wp:posOffset>
            </wp:positionH>
            <wp:positionV relativeFrom="paragraph">
              <wp:posOffset>232448</wp:posOffset>
            </wp:positionV>
            <wp:extent cx="1591056" cy="310896"/>
            <wp:effectExtent l="0" t="0" r="0" b="0"/>
            <wp:wrapTopAndBottom/>
            <wp:docPr id="65" name="image37.png" descr=""/>
            <wp:cNvGraphicFramePr>
              <a:graphicFrameLocks noChangeAspect="1"/>
            </wp:cNvGraphicFramePr>
            <a:graphic>
              <a:graphicData uri="http://schemas.openxmlformats.org/drawingml/2006/picture">
                <pic:pic>
                  <pic:nvPicPr>
                    <pic:cNvPr id="66" name="image37.png"/>
                    <pic:cNvPicPr/>
                  </pic:nvPicPr>
                  <pic:blipFill>
                    <a:blip r:embed="rId41" cstate="print"/>
                    <a:stretch>
                      <a:fillRect/>
                    </a:stretch>
                  </pic:blipFill>
                  <pic:spPr>
                    <a:xfrm>
                      <a:off x="0" y="0"/>
                      <a:ext cx="1591056" cy="310896"/>
                    </a:xfrm>
                    <a:prstGeom prst="rect">
                      <a:avLst/>
                    </a:prstGeom>
                  </pic:spPr>
                </pic:pic>
              </a:graphicData>
            </a:graphic>
          </wp:anchor>
        </w:drawing>
      </w:r>
      <w:r>
        <w:rPr>
          <w:color w:val="010101"/>
          <w:w w:val="110"/>
        </w:rPr>
        <w:t>Thus,</w:t>
      </w:r>
    </w:p>
    <w:p>
      <w:pPr>
        <w:spacing w:after="0"/>
        <w:sectPr>
          <w:type w:val="continuous"/>
          <w:pgSz w:w="7200" w:h="11340"/>
          <w:pgMar w:top="1100" w:bottom="0" w:left="680" w:right="540"/>
        </w:sectPr>
      </w:pPr>
    </w:p>
    <w:p>
      <w:pPr>
        <w:pStyle w:val="BodyText"/>
        <w:spacing w:before="77"/>
        <w:ind w:left="105" w:right="-18"/>
      </w:pPr>
      <w:r>
        <w:rPr>
          <w:color w:val="010101"/>
          <w:w w:val="105"/>
        </w:rPr>
        <w:t>or, since</w:t>
      </w:r>
    </w:p>
    <w:p>
      <w:pPr>
        <w:pStyle w:val="BodyText"/>
        <w:spacing w:before="5"/>
        <w:rPr>
          <w:sz w:val="34"/>
        </w:rPr>
      </w:pPr>
      <w:r>
        <w:rPr/>
        <w:br w:type="column"/>
      </w:r>
      <w:r>
        <w:rPr>
          <w:sz w:val="34"/>
        </w:rPr>
      </w:r>
    </w:p>
    <w:p>
      <w:pPr>
        <w:tabs>
          <w:tab w:pos="1654" w:val="left" w:leader="none"/>
        </w:tabs>
        <w:spacing w:before="0"/>
        <w:ind w:left="900" w:right="0" w:firstLine="0"/>
        <w:jc w:val="left"/>
        <w:rPr>
          <w:sz w:val="19"/>
        </w:rPr>
      </w:pPr>
      <w:r>
        <w:rPr>
          <w:b/>
          <w:i/>
          <w:color w:val="010101"/>
          <w:sz w:val="21"/>
        </w:rPr>
        <w:t>az</w:t>
      </w:r>
      <w:r>
        <w:rPr>
          <w:b/>
          <w:i/>
          <w:color w:val="010101"/>
          <w:spacing w:val="38"/>
          <w:sz w:val="21"/>
        </w:rPr>
        <w:t> </w:t>
      </w:r>
      <w:r>
        <w:rPr>
          <w:color w:val="010101"/>
          <w:sz w:val="24"/>
        </w:rPr>
        <w:t>=</w:t>
        <w:tab/>
      </w:r>
      <w:r>
        <w:rPr>
          <w:color w:val="010101"/>
          <w:w w:val="210"/>
          <w:sz w:val="24"/>
        </w:rPr>
        <w:t>-</w:t>
      </w:r>
      <w:r>
        <w:rPr>
          <w:color w:val="010101"/>
          <w:spacing w:val="-61"/>
          <w:w w:val="210"/>
          <w:sz w:val="24"/>
        </w:rPr>
        <w:t> </w:t>
      </w:r>
      <w:r>
        <w:rPr>
          <w:color w:val="010101"/>
          <w:spacing w:val="-17"/>
          <w:w w:val="140"/>
          <w:sz w:val="19"/>
        </w:rPr>
        <w:t>1,</w:t>
      </w:r>
    </w:p>
    <w:p>
      <w:pPr>
        <w:spacing w:after="0"/>
        <w:jc w:val="left"/>
        <w:rPr>
          <w:sz w:val="19"/>
        </w:rPr>
        <w:sectPr>
          <w:type w:val="continuous"/>
          <w:pgSz w:w="7200" w:h="11340"/>
          <w:pgMar w:top="1100" w:bottom="0" w:left="680" w:right="540"/>
          <w:cols w:num="2" w:equalWidth="0">
            <w:col w:w="819" w:space="786"/>
            <w:col w:w="4375"/>
          </w:cols>
        </w:sectPr>
      </w:pPr>
    </w:p>
    <w:p>
      <w:pPr>
        <w:pStyle w:val="BodyText"/>
        <w:spacing w:before="1"/>
        <w:rPr>
          <w:sz w:val="14"/>
        </w:rPr>
      </w:pPr>
    </w:p>
    <w:p>
      <w:pPr>
        <w:pStyle w:val="BodyText"/>
        <w:ind w:left="2243"/>
      </w:pPr>
      <w:r>
        <w:rPr/>
        <w:drawing>
          <wp:inline distT="0" distB="0" distL="0" distR="0">
            <wp:extent cx="905256" cy="256031"/>
            <wp:effectExtent l="0" t="0" r="0" b="0"/>
            <wp:docPr id="67" name="image38.png" descr=""/>
            <wp:cNvGraphicFramePr>
              <a:graphicFrameLocks noChangeAspect="1"/>
            </wp:cNvGraphicFramePr>
            <a:graphic>
              <a:graphicData uri="http://schemas.openxmlformats.org/drawingml/2006/picture">
                <pic:pic>
                  <pic:nvPicPr>
                    <pic:cNvPr id="68" name="image38.png"/>
                    <pic:cNvPicPr/>
                  </pic:nvPicPr>
                  <pic:blipFill>
                    <a:blip r:embed="rId42" cstate="print"/>
                    <a:stretch>
                      <a:fillRect/>
                    </a:stretch>
                  </pic:blipFill>
                  <pic:spPr>
                    <a:xfrm>
                      <a:off x="0" y="0"/>
                      <a:ext cx="905256" cy="256031"/>
                    </a:xfrm>
                    <a:prstGeom prst="rect">
                      <a:avLst/>
                    </a:prstGeom>
                  </pic:spPr>
                </pic:pic>
              </a:graphicData>
            </a:graphic>
          </wp:inline>
        </w:drawing>
      </w:r>
      <w:r>
        <w:rPr/>
      </w:r>
    </w:p>
    <w:p>
      <w:pPr>
        <w:spacing w:after="0"/>
        <w:sectPr>
          <w:type w:val="continuous"/>
          <w:pgSz w:w="7200" w:h="11340"/>
          <w:pgMar w:top="1100" w:bottom="0" w:left="680" w:right="540"/>
        </w:sectPr>
      </w:pPr>
    </w:p>
    <w:p>
      <w:pPr>
        <w:tabs>
          <w:tab w:pos="1161" w:val="left" w:leader="none"/>
          <w:tab w:pos="5874" w:val="right" w:leader="none"/>
        </w:tabs>
        <w:spacing w:before="54"/>
        <w:ind w:left="117" w:right="0" w:firstLine="0"/>
        <w:jc w:val="left"/>
        <w:rPr>
          <w:rFonts w:ascii="Arial"/>
          <w:b/>
          <w:sz w:val="18"/>
        </w:rPr>
      </w:pPr>
      <w:r>
        <w:rPr>
          <w:b/>
          <w:w w:val="105"/>
          <w:sz w:val="15"/>
        </w:rPr>
        <w:t>SEC.</w:t>
      </w:r>
      <w:r>
        <w:rPr>
          <w:b/>
          <w:spacing w:val="23"/>
          <w:w w:val="105"/>
          <w:sz w:val="15"/>
        </w:rPr>
        <w:t> </w:t>
      </w:r>
      <w:r>
        <w:rPr>
          <w:b/>
          <w:w w:val="105"/>
          <w:sz w:val="21"/>
        </w:rPr>
        <w:t>2]</w:t>
        <w:tab/>
      </w:r>
      <w:r>
        <w:rPr>
          <w:b/>
          <w:w w:val="105"/>
          <w:position w:val="1"/>
          <w:sz w:val="15"/>
        </w:rPr>
        <w:t>LIFE   ANNUITIES   WITH</w:t>
      </w:r>
      <w:r>
        <w:rPr>
          <w:b/>
          <w:spacing w:val="34"/>
          <w:w w:val="105"/>
          <w:position w:val="1"/>
          <w:sz w:val="15"/>
        </w:rPr>
        <w:t> </w:t>
      </w:r>
      <w:r>
        <w:rPr>
          <w:b/>
          <w:w w:val="105"/>
          <w:position w:val="1"/>
          <w:sz w:val="15"/>
        </w:rPr>
        <w:t>ANNUAL </w:t>
      </w:r>
      <w:r>
        <w:rPr>
          <w:b/>
          <w:spacing w:val="33"/>
          <w:w w:val="105"/>
          <w:position w:val="1"/>
          <w:sz w:val="15"/>
        </w:rPr>
        <w:t> </w:t>
      </w:r>
      <w:r>
        <w:rPr>
          <w:b/>
          <w:w w:val="105"/>
          <w:position w:val="1"/>
          <w:sz w:val="15"/>
        </w:rPr>
        <w:t>PAYMENTS</w:t>
      </w:r>
      <w:r>
        <w:rPr>
          <w:rFonts w:ascii="Arial"/>
          <w:b/>
          <w:w w:val="105"/>
          <w:sz w:val="18"/>
        </w:rPr>
        <w:tab/>
        <w:t>43</w:t>
      </w:r>
    </w:p>
    <w:p>
      <w:pPr>
        <w:pStyle w:val="BodyText"/>
        <w:spacing w:before="1"/>
        <w:rPr>
          <w:rFonts w:ascii="Arial"/>
          <w:b/>
          <w:sz w:val="21"/>
        </w:rPr>
      </w:pPr>
    </w:p>
    <w:p>
      <w:pPr>
        <w:pStyle w:val="BodyText"/>
        <w:spacing w:line="259" w:lineRule="auto"/>
        <w:ind w:left="128" w:right="116"/>
        <w:jc w:val="both"/>
      </w:pPr>
      <w:r>
        <w:rPr>
          <w:w w:val="105"/>
        </w:rPr>
        <w:t>Formulas for other types of life annuity may be obtained by a simi­ lar interpolation.</w:t>
      </w:r>
    </w:p>
    <w:p>
      <w:pPr>
        <w:pStyle w:val="BodyText"/>
        <w:spacing w:line="221" w:lineRule="exact"/>
        <w:ind w:left="132" w:firstLine="201"/>
      </w:pPr>
      <w:r>
        <w:rPr>
          <w:w w:val="105"/>
          <w:sz w:val="22"/>
        </w:rPr>
        <w:t>It  </w:t>
      </w:r>
      <w:r>
        <w:rPr>
          <w:w w:val="105"/>
        </w:rPr>
        <w:t>is sometimes  necessary  to  use  a function  which  is obtained</w:t>
      </w:r>
    </w:p>
    <w:p>
      <w:pPr>
        <w:pStyle w:val="BodyText"/>
        <w:spacing w:line="244" w:lineRule="auto" w:before="7"/>
        <w:ind w:left="124" w:right="108" w:firstLine="7"/>
        <w:jc w:val="both"/>
        <w:rPr>
          <w:b/>
          <w:i/>
          <w:sz w:val="15"/>
        </w:rPr>
      </w:pPr>
      <w:r>
        <w:rPr>
          <w:w w:val="105"/>
        </w:rPr>
        <w:t>by examining the temporary life annuity from a somewhat different point  of view. Suppose that each member of  a group of lives aged  </w:t>
      </w:r>
      <w:r>
        <w:rPr>
          <w:rFonts w:ascii="Arial" w:hAnsi="Arial"/>
          <w:i/>
          <w:w w:val="105"/>
          <w:sz w:val="17"/>
        </w:rPr>
        <w:t>x </w:t>
      </w:r>
      <w:r>
        <w:rPr>
          <w:w w:val="105"/>
        </w:rPr>
        <w:t>agrees </w:t>
      </w:r>
      <w:r>
        <w:rPr>
          <w:w w:val="105"/>
          <w:sz w:val="21"/>
        </w:rPr>
        <w:t>to </w:t>
      </w:r>
      <w:r>
        <w:rPr>
          <w:w w:val="105"/>
        </w:rPr>
        <w:t>make a payment of </w:t>
      </w:r>
      <w:r>
        <w:rPr>
          <w:rFonts w:ascii="Arial" w:hAnsi="Arial"/>
          <w:b/>
          <w:w w:val="105"/>
          <w:sz w:val="18"/>
        </w:rPr>
        <w:t>1 </w:t>
      </w:r>
      <w:r>
        <w:rPr>
          <w:w w:val="105"/>
        </w:rPr>
        <w:t>into a fund at the end of each year, provided he is then alive. </w:t>
      </w:r>
      <w:r>
        <w:rPr>
          <w:w w:val="105"/>
          <w:sz w:val="21"/>
        </w:rPr>
        <w:t>If </w:t>
      </w:r>
      <w:r>
        <w:rPr>
          <w:w w:val="105"/>
        </w:rPr>
        <w:t>these payments are accumulated in the fund for </w:t>
      </w:r>
      <w:r>
        <w:rPr>
          <w:i/>
          <w:w w:val="105"/>
          <w:sz w:val="21"/>
        </w:rPr>
        <w:t>n </w:t>
      </w:r>
      <w:r>
        <w:rPr>
          <w:w w:val="105"/>
        </w:rPr>
        <w:t>years, the share of each survivor in the total fund at the end</w:t>
      </w:r>
      <w:r>
        <w:rPr>
          <w:spacing w:val="-8"/>
          <w:w w:val="105"/>
        </w:rPr>
        <w:t> </w:t>
      </w:r>
      <w:r>
        <w:rPr>
          <w:w w:val="105"/>
        </w:rPr>
        <w:t>of</w:t>
      </w:r>
      <w:r>
        <w:rPr>
          <w:spacing w:val="5"/>
          <w:w w:val="105"/>
        </w:rPr>
        <w:t> </w:t>
      </w:r>
      <w:r>
        <w:rPr>
          <w:w w:val="105"/>
        </w:rPr>
        <w:t>that time</w:t>
      </w:r>
      <w:r>
        <w:rPr>
          <w:spacing w:val="-3"/>
          <w:w w:val="105"/>
        </w:rPr>
        <w:t> </w:t>
      </w:r>
      <w:r>
        <w:rPr>
          <w:w w:val="105"/>
        </w:rPr>
        <w:t>is</w:t>
      </w:r>
      <w:r>
        <w:rPr>
          <w:spacing w:val="-23"/>
          <w:w w:val="105"/>
        </w:rPr>
        <w:t> </w:t>
      </w:r>
      <w:r>
        <w:rPr>
          <w:w w:val="105"/>
        </w:rPr>
        <w:t>known</w:t>
      </w:r>
      <w:r>
        <w:rPr>
          <w:spacing w:val="-4"/>
          <w:w w:val="105"/>
        </w:rPr>
        <w:t> </w:t>
      </w:r>
      <w:r>
        <w:rPr>
          <w:w w:val="105"/>
        </w:rPr>
        <w:t>as</w:t>
      </w:r>
      <w:r>
        <w:rPr>
          <w:spacing w:val="-15"/>
          <w:w w:val="105"/>
        </w:rPr>
        <w:t> </w:t>
      </w:r>
      <w:r>
        <w:rPr>
          <w:w w:val="105"/>
        </w:rPr>
        <w:t>an</w:t>
      </w:r>
      <w:r>
        <w:rPr>
          <w:spacing w:val="-16"/>
          <w:w w:val="105"/>
        </w:rPr>
        <w:t> </w:t>
      </w:r>
      <w:r>
        <w:rPr>
          <w:w w:val="105"/>
        </w:rPr>
        <w:t>n-year</w:t>
      </w:r>
      <w:r>
        <w:rPr>
          <w:spacing w:val="-29"/>
          <w:w w:val="105"/>
        </w:rPr>
        <w:t> </w:t>
      </w:r>
      <w:r>
        <w:rPr>
          <w:i/>
          <w:w w:val="105"/>
          <w:sz w:val="21"/>
        </w:rPr>
        <w:t>forborne</w:t>
      </w:r>
      <w:r>
        <w:rPr>
          <w:i/>
          <w:spacing w:val="27"/>
          <w:w w:val="105"/>
          <w:sz w:val="21"/>
        </w:rPr>
        <w:t> </w:t>
      </w:r>
      <w:r>
        <w:rPr>
          <w:w w:val="105"/>
        </w:rPr>
        <w:t>life</w:t>
      </w:r>
      <w:r>
        <w:rPr>
          <w:spacing w:val="-13"/>
          <w:w w:val="105"/>
        </w:rPr>
        <w:t> </w:t>
      </w:r>
      <w:r>
        <w:rPr>
          <w:w w:val="105"/>
        </w:rPr>
        <w:t>annuity, denoted </w:t>
      </w:r>
      <w:r>
        <w:rPr>
          <w:b/>
          <w:sz w:val="21"/>
        </w:rPr>
        <w:t>by</w:t>
      </w:r>
      <w:r>
        <w:rPr>
          <w:b/>
          <w:spacing w:val="-28"/>
          <w:sz w:val="21"/>
        </w:rPr>
        <w:t> </w:t>
      </w:r>
      <w:r>
        <w:rPr>
          <w:b/>
          <w:i/>
          <w:sz w:val="15"/>
        </w:rPr>
        <w:t>S:e:ñ'] .</w:t>
      </w:r>
    </w:p>
    <w:p>
      <w:pPr>
        <w:spacing w:line="222" w:lineRule="exact" w:before="0"/>
        <w:ind w:left="128" w:right="0" w:firstLine="198"/>
        <w:jc w:val="left"/>
        <w:rPr>
          <w:sz w:val="20"/>
        </w:rPr>
      </w:pPr>
      <w:r>
        <w:rPr>
          <w:w w:val="105"/>
          <w:sz w:val="20"/>
        </w:rPr>
        <w:t>A formula for </w:t>
      </w:r>
      <w:r>
        <w:rPr>
          <w:w w:val="105"/>
          <w:sz w:val="13"/>
        </w:rPr>
        <w:t>Sz:-;-J   </w:t>
      </w:r>
      <w:r>
        <w:rPr>
          <w:w w:val="105"/>
          <w:sz w:val="20"/>
        </w:rPr>
        <w:t>may  </w:t>
      </w:r>
      <w:r>
        <w:rPr>
          <w:w w:val="105"/>
          <w:sz w:val="21"/>
        </w:rPr>
        <w:t>be  </w:t>
      </w:r>
      <w:r>
        <w:rPr>
          <w:w w:val="105"/>
          <w:sz w:val="20"/>
        </w:rPr>
        <w:t>derived by summing the amounts  to</w:t>
      </w:r>
    </w:p>
    <w:p>
      <w:pPr>
        <w:pStyle w:val="BodyText"/>
        <w:ind w:left="135" w:right="109" w:hanging="8"/>
        <w:jc w:val="both"/>
      </w:pPr>
      <w:r>
        <w:rPr>
          <w:w w:val="105"/>
        </w:rPr>
        <w:t>which each of the individual payments of </w:t>
      </w:r>
      <w:r>
        <w:rPr>
          <w:w w:val="105"/>
          <w:sz w:val="19"/>
        </w:rPr>
        <w:t>1 </w:t>
      </w:r>
      <w:r>
        <w:rPr>
          <w:w w:val="105"/>
          <w:sz w:val="21"/>
        </w:rPr>
        <w:t>will </w:t>
      </w:r>
      <w:r>
        <w:rPr>
          <w:w w:val="105"/>
        </w:rPr>
        <w:t>accumulate at the end of  </w:t>
      </w:r>
      <w:r>
        <w:rPr>
          <w:i/>
          <w:w w:val="105"/>
          <w:sz w:val="21"/>
        </w:rPr>
        <w:t>n </w:t>
      </w:r>
      <w:r>
        <w:rPr>
          <w:w w:val="105"/>
        </w:rPr>
        <w:t>years with  benefit  of  interest  and  survivorship. The first</w:t>
      </w:r>
    </w:p>
    <w:p>
      <w:pPr>
        <w:spacing w:line="344" w:lineRule="exact" w:before="18"/>
        <w:ind w:left="135" w:right="0" w:firstLine="0"/>
        <w:jc w:val="both"/>
        <w:rPr>
          <w:sz w:val="20"/>
        </w:rPr>
      </w:pPr>
      <w:r>
        <w:rPr/>
        <w:pict>
          <v:shape style="position:absolute;margin-left:280.799988pt;margin-top:.5234pt;width:5.45pt;height:9.5pt;mso-position-horizontal-relative:page;mso-position-vertical-relative:paragraph;z-index:-732568" type="#_x0000_t202" filled="false" stroked="false">
            <v:textbox inset="0,0,0,0">
              <w:txbxContent>
                <w:p>
                  <w:pPr>
                    <w:spacing w:line="190" w:lineRule="exact" w:before="0"/>
                    <w:ind w:left="0" w:right="0" w:firstLine="0"/>
                    <w:jc w:val="left"/>
                    <w:rPr>
                      <w:sz w:val="19"/>
                    </w:rPr>
                  </w:pPr>
                  <w:r>
                    <w:rPr>
                      <w:w w:val="114"/>
                      <w:sz w:val="19"/>
                    </w:rPr>
                    <w:t>1</w:t>
                  </w:r>
                </w:p>
              </w:txbxContent>
            </v:textbox>
            <w10:wrap type="none"/>
          </v:shape>
        </w:pict>
      </w:r>
      <w:r>
        <w:rPr>
          <w:w w:val="105"/>
          <w:sz w:val="20"/>
        </w:rPr>
        <w:t>payment</w:t>
      </w:r>
      <w:r>
        <w:rPr>
          <w:sz w:val="20"/>
        </w:rPr>
        <w:t> </w:t>
      </w:r>
      <w:r>
        <w:rPr>
          <w:spacing w:val="-9"/>
          <w:sz w:val="20"/>
        </w:rPr>
        <w:t> </w:t>
      </w:r>
      <w:r>
        <w:rPr>
          <w:rFonts w:ascii="Arial"/>
          <w:w w:val="105"/>
          <w:sz w:val="18"/>
        </w:rPr>
        <w:t>of</w:t>
      </w:r>
      <w:r>
        <w:rPr>
          <w:rFonts w:ascii="Arial"/>
          <w:sz w:val="18"/>
        </w:rPr>
        <w:t> </w:t>
      </w:r>
      <w:r>
        <w:rPr>
          <w:rFonts w:ascii="Arial"/>
          <w:spacing w:val="-22"/>
          <w:sz w:val="18"/>
        </w:rPr>
        <w:t> </w:t>
      </w:r>
      <w:r>
        <w:rPr>
          <w:w w:val="115"/>
          <w:sz w:val="20"/>
        </w:rPr>
        <w:t>1</w:t>
      </w:r>
      <w:r>
        <w:rPr>
          <w:spacing w:val="-11"/>
          <w:sz w:val="20"/>
        </w:rPr>
        <w:t> </w:t>
      </w:r>
      <w:r>
        <w:rPr>
          <w:w w:val="104"/>
          <w:sz w:val="20"/>
        </w:rPr>
        <w:t>made</w:t>
      </w:r>
      <w:r>
        <w:rPr>
          <w:spacing w:val="17"/>
          <w:sz w:val="20"/>
        </w:rPr>
        <w:t> </w:t>
      </w:r>
      <w:r>
        <w:rPr>
          <w:w w:val="117"/>
          <w:sz w:val="20"/>
        </w:rPr>
        <w:t>at</w:t>
      </w:r>
      <w:r>
        <w:rPr>
          <w:spacing w:val="17"/>
          <w:sz w:val="20"/>
        </w:rPr>
        <w:t> </w:t>
      </w:r>
      <w:r>
        <w:rPr>
          <w:w w:val="103"/>
          <w:sz w:val="20"/>
        </w:rPr>
        <w:t>age</w:t>
      </w:r>
      <w:r>
        <w:rPr>
          <w:spacing w:val="7"/>
          <w:sz w:val="20"/>
        </w:rPr>
        <w:t> </w:t>
      </w:r>
      <w:r>
        <w:rPr>
          <w:rFonts w:ascii="Arial"/>
          <w:w w:val="107"/>
          <w:sz w:val="16"/>
        </w:rPr>
        <w:t>:r</w:t>
      </w:r>
      <w:r>
        <w:rPr>
          <w:rFonts w:ascii="Arial"/>
          <w:sz w:val="16"/>
        </w:rPr>
        <w:t> </w:t>
      </w:r>
      <w:r>
        <w:rPr>
          <w:rFonts w:ascii="Arial"/>
          <w:spacing w:val="-15"/>
          <w:sz w:val="16"/>
        </w:rPr>
        <w:t> </w:t>
      </w:r>
      <w:r>
        <w:rPr>
          <w:rFonts w:ascii="Arial"/>
          <w:w w:val="102"/>
          <w:sz w:val="32"/>
        </w:rPr>
        <w:t>+</w:t>
      </w:r>
      <w:r>
        <w:rPr>
          <w:rFonts w:ascii="Arial"/>
          <w:spacing w:val="-26"/>
          <w:sz w:val="32"/>
        </w:rPr>
        <w:t> </w:t>
      </w:r>
      <w:r>
        <w:rPr>
          <w:w w:val="122"/>
          <w:sz w:val="20"/>
        </w:rPr>
        <w:t>1</w:t>
      </w:r>
      <w:r>
        <w:rPr>
          <w:spacing w:val="-21"/>
          <w:sz w:val="20"/>
        </w:rPr>
        <w:t> </w:t>
      </w:r>
      <w:r>
        <w:rPr>
          <w:w w:val="89"/>
          <w:sz w:val="21"/>
        </w:rPr>
        <w:t>will</w:t>
      </w:r>
      <w:r>
        <w:rPr>
          <w:sz w:val="21"/>
        </w:rPr>
        <w:t> </w:t>
      </w:r>
      <w:r>
        <w:rPr>
          <w:spacing w:val="-25"/>
          <w:sz w:val="21"/>
        </w:rPr>
        <w:t> </w:t>
      </w:r>
      <w:r>
        <w:rPr>
          <w:w w:val="105"/>
          <w:sz w:val="20"/>
        </w:rPr>
        <w:t>accumulate</w:t>
      </w:r>
      <w:r>
        <w:rPr>
          <w:sz w:val="20"/>
        </w:rPr>
        <w:t> </w:t>
      </w:r>
      <w:r>
        <w:rPr>
          <w:spacing w:val="-20"/>
          <w:sz w:val="20"/>
        </w:rPr>
        <w:t> </w:t>
      </w:r>
      <w:r>
        <w:rPr>
          <w:w w:val="110"/>
          <w:sz w:val="20"/>
        </w:rPr>
        <w:t>to</w:t>
      </w:r>
      <w:r>
        <w:rPr>
          <w:spacing w:val="18"/>
          <w:sz w:val="20"/>
        </w:rPr>
        <w:t> </w:t>
      </w:r>
      <w:r>
        <w:rPr>
          <w:i/>
          <w:spacing w:val="-48"/>
          <w:w w:val="369"/>
          <w:sz w:val="22"/>
        </w:rPr>
        <w:t>-</w:t>
      </w:r>
      <w:r>
        <w:rPr>
          <w:i/>
          <w:spacing w:val="-125"/>
          <w:w w:val="92"/>
          <w:sz w:val="22"/>
        </w:rPr>
        <w:t>E</w:t>
      </w:r>
      <w:r>
        <w:rPr>
          <w:i/>
          <w:spacing w:val="-48"/>
          <w:w w:val="369"/>
          <w:sz w:val="22"/>
        </w:rPr>
        <w:t>-</w:t>
      </w:r>
      <w:r>
        <w:rPr>
          <w:i/>
          <w:w w:val="207"/>
          <w:sz w:val="22"/>
        </w:rPr>
        <w:t>-</w:t>
      </w:r>
      <w:r>
        <w:rPr>
          <w:i/>
          <w:spacing w:val="8"/>
          <w:sz w:val="22"/>
        </w:rPr>
        <w:t> </w:t>
      </w:r>
      <w:r>
        <w:rPr>
          <w:w w:val="117"/>
          <w:sz w:val="20"/>
        </w:rPr>
        <w:t>at</w:t>
      </w:r>
      <w:r>
        <w:rPr>
          <w:spacing w:val="17"/>
          <w:sz w:val="20"/>
        </w:rPr>
        <w:t> </w:t>
      </w:r>
      <w:r>
        <w:rPr>
          <w:w w:val="103"/>
          <w:sz w:val="20"/>
        </w:rPr>
        <w:t>age</w:t>
      </w:r>
    </w:p>
    <w:p>
      <w:pPr>
        <w:spacing w:line="125" w:lineRule="exact" w:before="0"/>
        <w:ind w:left="0" w:right="710" w:firstLine="0"/>
        <w:jc w:val="right"/>
        <w:rPr>
          <w:b/>
          <w:sz w:val="13"/>
        </w:rPr>
      </w:pPr>
      <w:r>
        <w:rPr>
          <w:b/>
          <w:w w:val="130"/>
          <w:sz w:val="13"/>
        </w:rPr>
        <w:t>n-1   z+l</w:t>
      </w:r>
    </w:p>
    <w:p>
      <w:pPr>
        <w:pStyle w:val="BodyText"/>
        <w:spacing w:line="345" w:lineRule="exact" w:before="13"/>
        <w:ind w:left="12"/>
        <w:jc w:val="center"/>
      </w:pPr>
      <w:r>
        <w:rPr/>
        <w:pict>
          <v:shape style="position:absolute;margin-left:256.859985pt;margin-top:.273405pt;width:5.75pt;height:9.5pt;mso-position-horizontal-relative:page;mso-position-vertical-relative:paragraph;z-index:-732544" type="#_x0000_t202" filled="false" stroked="false">
            <v:textbox inset="0,0,0,0">
              <w:txbxContent>
                <w:p>
                  <w:pPr>
                    <w:spacing w:line="190" w:lineRule="exact" w:before="0"/>
                    <w:ind w:left="0" w:right="0" w:firstLine="0"/>
                    <w:jc w:val="left"/>
                    <w:rPr>
                      <w:sz w:val="19"/>
                    </w:rPr>
                  </w:pPr>
                  <w:r>
                    <w:rPr>
                      <w:w w:val="121"/>
                      <w:sz w:val="19"/>
                    </w:rPr>
                    <w:t>1</w:t>
                  </w:r>
                </w:p>
              </w:txbxContent>
            </v:textbox>
            <w10:wrap type="none"/>
          </v:shape>
        </w:pict>
      </w:r>
      <w:r>
        <w:rPr>
          <w:rFonts w:ascii="Arial" w:hAnsi="Arial"/>
          <w:i/>
          <w:w w:val="115"/>
          <w:sz w:val="17"/>
        </w:rPr>
        <w:t>x </w:t>
      </w:r>
      <w:r>
        <w:rPr>
          <w:rFonts w:ascii="Arial" w:hAnsi="Arial"/>
          <w:w w:val="115"/>
          <w:sz w:val="32"/>
        </w:rPr>
        <w:t>+</w:t>
      </w:r>
      <w:r>
        <w:rPr>
          <w:rFonts w:ascii="Arial" w:hAnsi="Arial"/>
          <w:spacing w:val="-75"/>
          <w:w w:val="115"/>
          <w:sz w:val="32"/>
        </w:rPr>
        <w:t> </w:t>
      </w:r>
      <w:r>
        <w:rPr>
          <w:rFonts w:ascii="Arial" w:hAnsi="Arial"/>
          <w:i/>
          <w:w w:val="115"/>
          <w:sz w:val="17"/>
        </w:rPr>
        <w:t>n; </w:t>
      </w:r>
      <w:r>
        <w:rPr>
          <w:w w:val="115"/>
        </w:rPr>
        <w:t>the second payment will accumulate to </w:t>
      </w:r>
      <w:r>
        <w:rPr>
          <w:w w:val="220"/>
        </w:rPr>
        <w:t>-,¡-</w:t>
      </w:r>
      <w:r>
        <w:rPr>
          <w:spacing w:val="-76"/>
          <w:w w:val="220"/>
        </w:rPr>
        <w:t> </w:t>
      </w:r>
      <w:r>
        <w:rPr>
          <w:w w:val="115"/>
        </w:rPr>
        <w:t>; and so on.</w:t>
      </w:r>
    </w:p>
    <w:p>
      <w:pPr>
        <w:tabs>
          <w:tab w:pos="1450" w:val="left" w:leader="none"/>
        </w:tabs>
        <w:spacing w:line="80" w:lineRule="exact" w:before="0"/>
        <w:ind w:left="0" w:right="243" w:firstLine="0"/>
        <w:jc w:val="right"/>
        <w:rPr>
          <w:sz w:val="13"/>
        </w:rPr>
      </w:pPr>
      <w:r>
        <w:rPr>
          <w:b/>
          <w:w w:val="145"/>
          <w:sz w:val="13"/>
        </w:rPr>
        <w:t>n-2=z+2</w:t>
        <w:tab/>
      </w:r>
      <w:r>
        <w:rPr>
          <w:w w:val="210"/>
          <w:sz w:val="13"/>
        </w:rPr>
        <w:t>·</w:t>
      </w:r>
    </w:p>
    <w:p>
      <w:pPr>
        <w:pStyle w:val="BodyText"/>
        <w:spacing w:line="248" w:lineRule="exact"/>
        <w:ind w:right="203"/>
        <w:jc w:val="right"/>
      </w:pPr>
      <w:r>
        <w:rPr>
          <w:w w:val="105"/>
        </w:rPr>
        <w:t>Thus,  the total  accumulation  for  a life surviving  at age </w:t>
      </w:r>
      <w:r>
        <w:rPr>
          <w:i/>
          <w:w w:val="105"/>
          <w:sz w:val="19"/>
        </w:rPr>
        <w:t>x  </w:t>
      </w:r>
      <w:r>
        <w:rPr>
          <w:rFonts w:ascii="Arial"/>
          <w:w w:val="105"/>
          <w:sz w:val="30"/>
        </w:rPr>
        <w:t>+ </w:t>
      </w:r>
      <w:r>
        <w:rPr>
          <w:i/>
          <w:w w:val="105"/>
          <w:sz w:val="19"/>
        </w:rPr>
        <w:t>n </w:t>
      </w:r>
      <w:r>
        <w:rPr>
          <w:w w:val="105"/>
        </w:rPr>
        <w:t>is</w:t>
      </w:r>
    </w:p>
    <w:p>
      <w:pPr>
        <w:tabs>
          <w:tab w:pos="5359" w:val="left" w:leader="none"/>
        </w:tabs>
        <w:spacing w:line="502" w:lineRule="exact" w:before="0"/>
        <w:ind w:left="848" w:right="0" w:firstLine="0"/>
        <w:jc w:val="left"/>
        <w:rPr>
          <w:rFonts w:ascii="Arial" w:hAnsi="Arial"/>
          <w:sz w:val="19"/>
        </w:rPr>
      </w:pPr>
      <w:r>
        <w:rPr>
          <w:b/>
          <w:w w:val="95"/>
          <w:sz w:val="15"/>
        </w:rPr>
        <w:t>Sz:-;i</w:t>
      </w:r>
      <w:r>
        <w:rPr>
          <w:b/>
          <w:sz w:val="15"/>
        </w:rPr>
        <w:t>  </w:t>
      </w:r>
      <w:r>
        <w:rPr>
          <w:b/>
          <w:spacing w:val="-1"/>
          <w:sz w:val="15"/>
        </w:rPr>
        <w:t> </w:t>
      </w:r>
      <w:r>
        <w:rPr>
          <w:w w:val="101"/>
          <w:sz w:val="23"/>
        </w:rPr>
        <w:t>=</w:t>
      </w:r>
      <w:r>
        <w:rPr>
          <w:sz w:val="23"/>
        </w:rPr>
        <w:t> </w:t>
      </w:r>
      <w:r>
        <w:rPr>
          <w:spacing w:val="-14"/>
          <w:sz w:val="23"/>
        </w:rPr>
        <w:t> </w:t>
      </w:r>
      <w:r>
        <w:rPr>
          <w:b/>
          <w:w w:val="145"/>
          <w:sz w:val="47"/>
        </w:rPr>
        <w:t>t</w:t>
      </w:r>
      <w:r>
        <w:rPr>
          <w:b/>
          <w:spacing w:val="-55"/>
          <w:sz w:val="47"/>
        </w:rPr>
        <w:t> </w:t>
      </w:r>
      <w:r>
        <w:rPr>
          <w:b/>
          <w:spacing w:val="-36"/>
          <w:w w:val="169"/>
          <w:sz w:val="47"/>
        </w:rPr>
        <w:t>-</w:t>
      </w:r>
      <w:r>
        <w:rPr>
          <w:b/>
          <w:spacing w:val="-103"/>
          <w:w w:val="83"/>
          <w:sz w:val="47"/>
        </w:rPr>
        <w:t>-</w:t>
      </w:r>
      <w:r>
        <w:rPr>
          <w:b/>
          <w:w w:val="90"/>
          <w:sz w:val="47"/>
        </w:rPr>
        <w:t>1-</w:t>
      </w:r>
      <w:r>
        <w:rPr>
          <w:b/>
          <w:spacing w:val="-49"/>
          <w:sz w:val="47"/>
        </w:rPr>
        <w:t> </w:t>
      </w:r>
      <w:r>
        <w:rPr>
          <w:w w:val="101"/>
          <w:sz w:val="23"/>
        </w:rPr>
        <w:t>=</w:t>
      </w:r>
      <w:r>
        <w:rPr>
          <w:sz w:val="23"/>
        </w:rPr>
        <w:t> </w:t>
      </w:r>
      <w:r>
        <w:rPr>
          <w:spacing w:val="-10"/>
          <w:sz w:val="23"/>
        </w:rPr>
        <w:t> </w:t>
      </w:r>
      <w:r>
        <w:rPr>
          <w:b/>
          <w:i/>
          <w:w w:val="137"/>
          <w:sz w:val="51"/>
        </w:rPr>
        <w:t>t</w:t>
      </w:r>
      <w:r>
        <w:rPr>
          <w:b/>
          <w:i/>
          <w:spacing w:val="-46"/>
          <w:sz w:val="51"/>
        </w:rPr>
        <w:t> </w:t>
      </w:r>
      <w:r>
        <w:rPr>
          <w:b/>
          <w:i/>
          <w:w w:val="92"/>
          <w:sz w:val="16"/>
          <w:u w:val="single"/>
        </w:rPr>
        <w:t>D:e+t</w:t>
      </w:r>
      <w:r>
        <w:rPr>
          <w:b/>
          <w:i/>
          <w:sz w:val="16"/>
        </w:rPr>
        <w:t>   </w:t>
      </w:r>
      <w:r>
        <w:rPr>
          <w:b/>
          <w:i/>
          <w:spacing w:val="-5"/>
          <w:sz w:val="16"/>
        </w:rPr>
        <w:t> </w:t>
      </w:r>
      <w:r>
        <w:rPr>
          <w:w w:val="101"/>
          <w:sz w:val="23"/>
        </w:rPr>
        <w:t>=</w:t>
      </w:r>
      <w:r>
        <w:rPr>
          <w:sz w:val="23"/>
        </w:rPr>
        <w:t> </w:t>
      </w:r>
      <w:r>
        <w:rPr>
          <w:spacing w:val="-21"/>
          <w:sz w:val="23"/>
        </w:rPr>
        <w:t> </w:t>
      </w:r>
      <w:r>
        <w:rPr>
          <w:b/>
          <w:w w:val="126"/>
          <w:sz w:val="15"/>
          <w:u w:val="single"/>
        </w:rPr>
        <w:t>Nz+</w:t>
      </w:r>
      <w:r>
        <w:rPr>
          <w:b/>
          <w:w w:val="126"/>
          <w:sz w:val="15"/>
          <w:u w:val="single"/>
        </w:rPr>
        <w:t>l</w:t>
      </w:r>
      <w:r>
        <w:rPr>
          <w:b/>
          <w:sz w:val="15"/>
          <w:u w:val="single"/>
        </w:rPr>
        <w:t> </w:t>
      </w:r>
      <w:r>
        <w:rPr>
          <w:b/>
          <w:spacing w:val="-4"/>
          <w:sz w:val="15"/>
          <w:u w:val="single"/>
        </w:rPr>
        <w:t> </w:t>
      </w:r>
      <w:r>
        <w:rPr>
          <w:b/>
          <w:spacing w:val="1"/>
          <w:sz w:val="15"/>
        </w:rPr>
        <w:t> </w:t>
      </w:r>
      <w:r>
        <w:rPr>
          <w:w w:val="367"/>
          <w:sz w:val="15"/>
        </w:rPr>
        <w:t>-</w:t>
      </w:r>
      <w:r>
        <w:rPr>
          <w:spacing w:val="12"/>
          <w:sz w:val="15"/>
        </w:rPr>
        <w:t> </w:t>
      </w:r>
      <w:r>
        <w:rPr>
          <w:b/>
          <w:i/>
          <w:w w:val="103"/>
          <w:sz w:val="15"/>
        </w:rPr>
        <w:t>N:e+n+l</w:t>
      </w:r>
      <w:r>
        <w:rPr>
          <w:b/>
          <w:i/>
          <w:sz w:val="15"/>
        </w:rPr>
        <w:t> </w:t>
      </w:r>
      <w:r>
        <w:rPr>
          <w:b/>
          <w:i/>
          <w:spacing w:val="13"/>
          <w:sz w:val="15"/>
        </w:rPr>
        <w:t> </w:t>
      </w:r>
      <w:r>
        <w:rPr>
          <w:w w:val="85"/>
          <w:sz w:val="15"/>
        </w:rPr>
        <w:t>•</w:t>
      </w:r>
      <w:r>
        <w:rPr>
          <w:sz w:val="15"/>
        </w:rPr>
        <w:tab/>
      </w:r>
      <w:r>
        <w:rPr>
          <w:w w:val="121"/>
          <w:sz w:val="15"/>
        </w:rPr>
        <w:t>(</w:t>
      </w:r>
      <w:r>
        <w:rPr>
          <w:spacing w:val="-16"/>
          <w:sz w:val="15"/>
        </w:rPr>
        <w:t> </w:t>
      </w:r>
      <w:r>
        <w:rPr>
          <w:rFonts w:ascii="Arial" w:hAnsi="Arial"/>
          <w:spacing w:val="5"/>
          <w:w w:val="93"/>
          <w:position w:val="-3"/>
          <w:sz w:val="19"/>
        </w:rPr>
        <w:t>2</w:t>
      </w:r>
      <w:r>
        <w:rPr>
          <w:rFonts w:ascii="Arial" w:hAnsi="Arial"/>
          <w:w w:val="120"/>
          <w:sz w:val="19"/>
        </w:rPr>
        <w:t>.</w:t>
      </w:r>
      <w:r>
        <w:rPr>
          <w:rFonts w:ascii="Arial" w:hAnsi="Arial"/>
          <w:spacing w:val="-4"/>
          <w:w w:val="120"/>
          <w:sz w:val="19"/>
        </w:rPr>
        <w:t>}</w:t>
      </w:r>
      <w:r>
        <w:rPr>
          <w:rFonts w:ascii="Arial" w:hAnsi="Arial"/>
          <w:w w:val="93"/>
          <w:position w:val="-3"/>
          <w:sz w:val="19"/>
        </w:rPr>
        <w:t>4</w:t>
      </w:r>
      <w:r>
        <w:rPr>
          <w:rFonts w:ascii="Arial" w:hAnsi="Arial"/>
          <w:spacing w:val="-23"/>
          <w:position w:val="-3"/>
          <w:sz w:val="19"/>
        </w:rPr>
        <w:t> </w:t>
      </w:r>
      <w:r>
        <w:rPr>
          <w:rFonts w:ascii="Arial" w:hAnsi="Arial"/>
          <w:w w:val="101"/>
          <w:sz w:val="19"/>
        </w:rPr>
        <w:t>)</w:t>
      </w:r>
    </w:p>
    <w:p>
      <w:pPr>
        <w:tabs>
          <w:tab w:pos="1311" w:val="left" w:leader="none"/>
          <w:tab w:pos="2751" w:val="left" w:leader="none"/>
        </w:tabs>
        <w:spacing w:line="150" w:lineRule="exact" w:before="0"/>
        <w:ind w:left="98" w:right="0" w:firstLine="0"/>
        <w:jc w:val="center"/>
        <w:rPr>
          <w:b/>
          <w:i/>
          <w:sz w:val="16"/>
        </w:rPr>
      </w:pPr>
      <w:r>
        <w:rPr>
          <w:rFonts w:ascii="Arial"/>
          <w:b/>
          <w:w w:val="150"/>
          <w:sz w:val="11"/>
        </w:rPr>
        <w:t>t-1</w:t>
      </w:r>
      <w:r>
        <w:rPr>
          <w:rFonts w:ascii="Arial"/>
          <w:b/>
          <w:spacing w:val="3"/>
          <w:w w:val="150"/>
          <w:sz w:val="11"/>
        </w:rPr>
        <w:t> </w:t>
      </w:r>
      <w:r>
        <w:rPr>
          <w:b/>
          <w:i/>
          <w:w w:val="110"/>
          <w:sz w:val="16"/>
        </w:rPr>
        <w:t>n-tE:r+t</w:t>
        <w:tab/>
      </w:r>
      <w:r>
        <w:rPr>
          <w:b/>
          <w:i/>
          <w:w w:val="110"/>
          <w:sz w:val="12"/>
        </w:rPr>
        <w:t>t  </w:t>
      </w:r>
      <w:r>
        <w:rPr>
          <w:b/>
          <w:i/>
          <w:spacing w:val="29"/>
          <w:w w:val="110"/>
          <w:sz w:val="12"/>
        </w:rPr>
        <w:t> </w:t>
      </w:r>
      <w:r>
        <w:rPr>
          <w:b/>
          <w:i/>
          <w:w w:val="110"/>
          <w:sz w:val="12"/>
        </w:rPr>
        <w:t>l </w:t>
      </w:r>
      <w:r>
        <w:rPr>
          <w:b/>
          <w:i/>
          <w:spacing w:val="4"/>
          <w:w w:val="110"/>
          <w:sz w:val="12"/>
        </w:rPr>
        <w:t> </w:t>
      </w:r>
      <w:r>
        <w:rPr>
          <w:b/>
          <w:i/>
          <w:w w:val="110"/>
          <w:sz w:val="16"/>
        </w:rPr>
        <w:t>Dz+n</w:t>
        <w:tab/>
        <w:t>D:e+n</w:t>
      </w:r>
    </w:p>
    <w:p>
      <w:pPr>
        <w:pStyle w:val="BodyText"/>
        <w:spacing w:line="249" w:lineRule="auto" w:before="143"/>
        <w:ind w:left="128" w:right="106" w:firstLine="205"/>
        <w:jc w:val="both"/>
      </w:pPr>
      <w:r>
        <w:rPr>
          <w:sz w:val="21"/>
        </w:rPr>
        <w:t>It will </w:t>
      </w:r>
      <w:r>
        <w:rPr/>
        <w:t>be seen that </w:t>
      </w:r>
      <w:r>
        <w:rPr>
          <w:sz w:val="13"/>
        </w:rPr>
        <w:t>Sz:-;i  </w:t>
      </w:r>
      <w:r>
        <w:rPr/>
        <w:t>represents  the  accumulated  value  at  the end of </w:t>
      </w:r>
      <w:r>
        <w:rPr>
          <w:i/>
        </w:rPr>
        <w:t>n </w:t>
      </w:r>
      <w:r>
        <w:rPr/>
        <w:t>years of the series of payments for which </w:t>
      </w:r>
      <w:r>
        <w:rPr>
          <w:i/>
          <w:w w:val="205"/>
          <w:sz w:val="12"/>
        </w:rPr>
        <w:t>ax: </w:t>
      </w:r>
      <w:r>
        <w:rPr/>
        <w:t>denotes the prcHcnt value at a.ge  </w:t>
      </w:r>
      <w:r>
        <w:rPr>
          <w:spacing w:val="-16"/>
          <w:sz w:val="19"/>
        </w:rPr>
        <w:t>:r,</w:t>
      </w:r>
      <w:r>
        <w:rPr>
          <w:spacing w:val="15"/>
          <w:sz w:val="19"/>
        </w:rPr>
        <w:t> </w:t>
      </w:r>
      <w:r>
        <w:rPr/>
        <w:t>and,  if  this  present  value  is  accumulated  for </w:t>
      </w:r>
      <w:r>
        <w:rPr>
          <w:i/>
          <w:sz w:val="21"/>
        </w:rPr>
        <w:t>n </w:t>
      </w:r>
      <w:r>
        <w:rPr/>
        <w:t>ycars,  the value  of  </w:t>
      </w:r>
      <w:r>
        <w:rPr>
          <w:rFonts w:ascii="Arial"/>
          <w:i/>
          <w:sz w:val="13"/>
        </w:rPr>
        <w:t>Sx :-;;i   </w:t>
      </w:r>
      <w:r>
        <w:rPr/>
        <w:t>is</w:t>
      </w:r>
      <w:r>
        <w:rPr>
          <w:spacing w:val="6"/>
        </w:rPr>
        <w:t> </w:t>
      </w:r>
      <w:r>
        <w:rPr/>
        <w:t>obtained.</w:t>
      </w:r>
    </w:p>
    <w:p>
      <w:pPr>
        <w:pStyle w:val="BodyText"/>
        <w:spacing w:before="8"/>
      </w:pPr>
    </w:p>
    <w:p>
      <w:pPr>
        <w:spacing w:line="290" w:lineRule="exact" w:before="1"/>
        <w:ind w:left="916" w:right="0" w:firstLine="0"/>
        <w:jc w:val="left"/>
        <w:rPr>
          <w:i/>
          <w:sz w:val="22"/>
        </w:rPr>
      </w:pPr>
      <w:r>
        <w:rPr/>
        <w:pict>
          <v:shape style="position:absolute;margin-left:140.759995pt;margin-top:-2.88002pt;width:6.1pt;height:10pt;mso-position-horizontal-relative:page;mso-position-vertical-relative:paragraph;z-index:-732520" type="#_x0000_t202" filled="false" stroked="false">
            <v:textbox inset="0,0,0,0">
              <w:txbxContent>
                <w:p>
                  <w:pPr>
                    <w:pStyle w:val="BodyText"/>
                    <w:spacing w:line="200" w:lineRule="exact"/>
                  </w:pPr>
                  <w:r>
                    <w:rPr>
                      <w:w w:val="122"/>
                    </w:rPr>
                    <w:t>1</w:t>
                  </w:r>
                </w:p>
              </w:txbxContent>
            </v:textbox>
            <w10:wrap type="none"/>
          </v:shape>
        </w:pict>
      </w:r>
      <w:r>
        <w:rPr>
          <w:w w:val="95"/>
          <w:sz w:val="13"/>
        </w:rPr>
        <w:t>S:z::-;i   </w:t>
      </w:r>
      <w:r>
        <w:rPr>
          <w:w w:val="95"/>
          <w:sz w:val="26"/>
        </w:rPr>
        <w:t>= </w:t>
      </w:r>
      <w:r>
        <w:rPr>
          <w:w w:val="95"/>
          <w:sz w:val="16"/>
        </w:rPr>
        <w:t>a:z;;-;;i </w:t>
      </w:r>
      <w:r>
        <w:rPr>
          <w:w w:val="115"/>
          <w:sz w:val="16"/>
        </w:rPr>
        <w:t>. </w:t>
      </w:r>
      <w:r>
        <w:rPr>
          <w:i/>
          <w:w w:val="95"/>
          <w:sz w:val="22"/>
        </w:rPr>
        <w:t>E</w:t>
      </w:r>
    </w:p>
    <w:p>
      <w:pPr>
        <w:spacing w:line="95" w:lineRule="exact" w:before="0"/>
        <w:ind w:left="32" w:right="1648" w:firstLine="0"/>
        <w:jc w:val="center"/>
        <w:rPr>
          <w:rFonts w:ascii="Arial"/>
          <w:i/>
          <w:sz w:val="8"/>
        </w:rPr>
      </w:pPr>
      <w:r>
        <w:rPr>
          <w:b/>
          <w:w w:val="105"/>
          <w:sz w:val="9"/>
        </w:rPr>
        <w:t>,a      </w:t>
      </w:r>
      <w:r>
        <w:rPr>
          <w:rFonts w:ascii="Arial"/>
          <w:i/>
          <w:w w:val="105"/>
          <w:sz w:val="8"/>
        </w:rPr>
        <w:t>X</w:t>
      </w:r>
    </w:p>
    <w:p>
      <w:pPr>
        <w:pStyle w:val="BodyText"/>
        <w:spacing w:before="7"/>
        <w:rPr>
          <w:rFonts w:ascii="Arial"/>
          <w:i/>
          <w:sz w:val="9"/>
        </w:rPr>
      </w:pPr>
    </w:p>
    <w:p>
      <w:pPr>
        <w:tabs>
          <w:tab w:pos="3703" w:val="left" w:leader="none"/>
        </w:tabs>
        <w:spacing w:before="75"/>
        <w:ind w:left="1593" w:right="0" w:firstLine="0"/>
        <w:jc w:val="left"/>
        <w:rPr>
          <w:b/>
          <w:sz w:val="13"/>
        </w:rPr>
      </w:pPr>
      <w:r>
        <w:rPr/>
        <w:pict>
          <v:line style="position:absolute;mso-position-horizontal-relative:page;mso-position-vertical-relative:paragraph;z-index:-732616" from="120.959999pt,13.399876pt" to="123.479999pt,13.399876pt" stroked="true" strokeweight=".54pt" strokecolor="#000000">
            <w10:wrap type="none"/>
          </v:line>
        </w:pict>
      </w:r>
      <w:r>
        <w:rPr>
          <w:rFonts w:ascii="Arial"/>
          <w:i/>
          <w:w w:val="115"/>
          <w:sz w:val="20"/>
        </w:rPr>
        <w:t>N</w:t>
      </w:r>
      <w:r>
        <w:rPr>
          <w:w w:val="115"/>
          <w:sz w:val="13"/>
        </w:rPr>
        <w:t>:e+J  </w:t>
      </w:r>
      <w:r>
        <w:rPr>
          <w:w w:val="395"/>
          <w:sz w:val="13"/>
        </w:rPr>
        <w:t>-</w:t>
      </w:r>
      <w:r>
        <w:rPr>
          <w:spacing w:val="-71"/>
          <w:w w:val="395"/>
          <w:sz w:val="13"/>
        </w:rPr>
        <w:t> </w:t>
      </w:r>
      <w:r>
        <w:rPr>
          <w:rFonts w:ascii="Arial"/>
          <w:i/>
          <w:w w:val="115"/>
          <w:sz w:val="20"/>
        </w:rPr>
        <w:t>N</w:t>
      </w:r>
      <w:r>
        <w:rPr>
          <w:w w:val="115"/>
          <w:sz w:val="13"/>
        </w:rPr>
        <w:t>:z:+n+l   </w:t>
      </w:r>
      <w:r>
        <w:rPr>
          <w:spacing w:val="6"/>
          <w:w w:val="115"/>
          <w:sz w:val="13"/>
        </w:rPr>
        <w:t> </w:t>
      </w:r>
      <w:r>
        <w:rPr>
          <w:b/>
          <w:i/>
          <w:w w:val="115"/>
          <w:sz w:val="16"/>
        </w:rPr>
        <w:t>Dx</w:t>
        <w:tab/>
      </w:r>
      <w:r>
        <w:rPr>
          <w:rFonts w:ascii="Arial"/>
          <w:i/>
          <w:w w:val="115"/>
          <w:sz w:val="20"/>
        </w:rPr>
        <w:t>N</w:t>
      </w:r>
      <w:r>
        <w:rPr>
          <w:w w:val="115"/>
          <w:sz w:val="13"/>
        </w:rPr>
        <w:t>:e+l   </w:t>
      </w:r>
      <w:r>
        <w:rPr>
          <w:w w:val="395"/>
          <w:sz w:val="13"/>
        </w:rPr>
        <w:t>-</w:t>
      </w:r>
      <w:r>
        <w:rPr>
          <w:spacing w:val="-77"/>
          <w:w w:val="395"/>
          <w:sz w:val="13"/>
        </w:rPr>
        <w:t> </w:t>
      </w:r>
      <w:r>
        <w:rPr>
          <w:rFonts w:ascii="Arial"/>
          <w:b/>
          <w:i/>
          <w:spacing w:val="2"/>
          <w:w w:val="115"/>
          <w:sz w:val="20"/>
        </w:rPr>
        <w:t>N</w:t>
      </w:r>
      <w:r>
        <w:rPr>
          <w:b/>
          <w:spacing w:val="2"/>
          <w:w w:val="115"/>
          <w:sz w:val="13"/>
        </w:rPr>
        <w:t>z+n+l</w:t>
      </w:r>
    </w:p>
    <w:p>
      <w:pPr>
        <w:tabs>
          <w:tab w:pos="3703" w:val="left" w:leader="none"/>
          <w:tab w:pos="4970" w:val="left" w:leader="none"/>
        </w:tabs>
        <w:spacing w:line="32" w:lineRule="exact" w:before="0"/>
        <w:ind w:left="2918" w:right="0" w:firstLine="0"/>
        <w:jc w:val="left"/>
        <w:rPr>
          <w:rFonts w:ascii="Arial"/>
          <w:i/>
          <w:sz w:val="3"/>
        </w:rPr>
      </w:pPr>
      <w:r>
        <w:rPr>
          <w:rFonts w:ascii="Arial"/>
          <w:i/>
          <w:w w:val="190"/>
          <w:sz w:val="3"/>
        </w:rPr>
        <w:t>0</w:t>
      </w:r>
      <w:r>
        <w:rPr>
          <w:rFonts w:ascii="Arial"/>
          <w:i/>
          <w:sz w:val="3"/>
        </w:rPr>
        <w:tab/>
      </w:r>
      <w:r>
        <w:rPr>
          <w:rFonts w:ascii="Arial"/>
          <w:i/>
          <w:w w:val="99"/>
          <w:sz w:val="3"/>
          <w:u w:val="single"/>
        </w:rPr>
        <w:t> </w:t>
      </w:r>
      <w:r>
        <w:rPr>
          <w:rFonts w:ascii="Arial"/>
          <w:i/>
          <w:sz w:val="3"/>
          <w:u w:val="single"/>
        </w:rPr>
        <w:tab/>
      </w:r>
    </w:p>
    <w:p>
      <w:pPr>
        <w:spacing w:after="0" w:line="32" w:lineRule="exact"/>
        <w:jc w:val="left"/>
        <w:rPr>
          <w:rFonts w:ascii="Arial"/>
          <w:sz w:val="3"/>
        </w:rPr>
        <w:sectPr>
          <w:pgSz w:w="7200" w:h="11340"/>
          <w:pgMar w:top="480" w:bottom="280" w:left="660" w:right="540"/>
        </w:sectPr>
      </w:pPr>
    </w:p>
    <w:p>
      <w:pPr>
        <w:spacing w:line="226" w:lineRule="exact" w:before="0"/>
        <w:ind w:left="0" w:right="0" w:firstLine="0"/>
        <w:jc w:val="right"/>
        <w:rPr>
          <w:i/>
          <w:sz w:val="21"/>
        </w:rPr>
      </w:pPr>
      <w:r>
        <w:rPr>
          <w:i/>
          <w:w w:val="65"/>
          <w:sz w:val="21"/>
        </w:rPr>
        <w:t>D:r</w:t>
      </w:r>
    </w:p>
    <w:p>
      <w:pPr>
        <w:spacing w:line="226" w:lineRule="exact" w:before="0"/>
        <w:ind w:left="613" w:right="-13" w:firstLine="0"/>
        <w:jc w:val="left"/>
        <w:rPr>
          <w:i/>
          <w:sz w:val="21"/>
        </w:rPr>
      </w:pPr>
      <w:r>
        <w:rPr/>
        <w:br w:type="column"/>
      </w:r>
      <w:r>
        <w:rPr>
          <w:i/>
          <w:w w:val="60"/>
          <w:sz w:val="21"/>
        </w:rPr>
        <w:t>D:z:+n</w:t>
      </w:r>
    </w:p>
    <w:p>
      <w:pPr>
        <w:spacing w:before="35"/>
        <w:ind w:left="744" w:right="0" w:firstLine="0"/>
        <w:jc w:val="left"/>
        <w:rPr>
          <w:b/>
          <w:i/>
          <w:sz w:val="16"/>
        </w:rPr>
      </w:pPr>
      <w:r>
        <w:rPr/>
        <w:br w:type="column"/>
      </w:r>
      <w:r>
        <w:rPr>
          <w:b/>
          <w:i/>
          <w:w w:val="105"/>
          <w:sz w:val="16"/>
        </w:rPr>
        <w:t>Dx+n</w:t>
      </w:r>
    </w:p>
    <w:p>
      <w:pPr>
        <w:spacing w:after="0"/>
        <w:jc w:val="left"/>
        <w:rPr>
          <w:sz w:val="16"/>
        </w:rPr>
        <w:sectPr>
          <w:type w:val="continuous"/>
          <w:pgSz w:w="7200" w:h="11340"/>
          <w:pgMar w:top="1100" w:bottom="0" w:left="660" w:right="540"/>
          <w:cols w:num="3" w:equalWidth="0">
            <w:col w:w="2331" w:space="40"/>
            <w:col w:w="992" w:space="40"/>
            <w:col w:w="2597"/>
          </w:cols>
        </w:sectPr>
      </w:pPr>
    </w:p>
    <w:p>
      <w:pPr>
        <w:pStyle w:val="BodyText"/>
        <w:spacing w:before="131"/>
        <w:ind w:left="322"/>
        <w:rPr>
          <w:sz w:val="19"/>
        </w:rPr>
      </w:pPr>
      <w:r>
        <w:rPr/>
        <w:pict>
          <v:line style="position:absolute;mso-position-horizontal-relative:page;mso-position-vertical-relative:paragraph;z-index:-732592" from="190.259995pt,-2.114061pt" to="192.059995pt,-2.114061pt" stroked="true" strokeweight=".36pt" strokecolor="#000000">
            <w10:wrap type="none"/>
          </v:line>
        </w:pict>
      </w:r>
      <w:r>
        <w:rPr>
          <w:w w:val="105"/>
        </w:rPr>
        <w:t>The  accumulated   valuc  </w:t>
      </w:r>
      <w:r>
        <w:rPr>
          <w:w w:val="105"/>
          <w:sz w:val="19"/>
        </w:rPr>
        <w:t>of  </w:t>
      </w:r>
      <w:r>
        <w:rPr>
          <w:i/>
          <w:w w:val="105"/>
        </w:rPr>
        <w:t>n  </w:t>
      </w:r>
      <w:r>
        <w:rPr>
          <w:w w:val="105"/>
        </w:rPr>
        <w:t>annuity-&lt;luc   payments   may  </w:t>
      </w:r>
      <w:r>
        <w:rPr>
          <w:w w:val="105"/>
          <w:sz w:val="19"/>
        </w:rPr>
        <w:t>be</w:t>
      </w:r>
    </w:p>
    <w:p>
      <w:pPr>
        <w:spacing w:before="7"/>
        <w:ind w:left="128" w:right="0" w:firstLine="0"/>
        <w:jc w:val="left"/>
        <w:rPr>
          <w:sz w:val="19"/>
        </w:rPr>
      </w:pPr>
      <w:r>
        <w:rPr>
          <w:w w:val="105"/>
          <w:sz w:val="20"/>
        </w:rPr>
        <w:t>similarly  obtained.  Thc </w:t>
      </w:r>
      <w:r>
        <w:rPr>
          <w:w w:val="105"/>
          <w:sz w:val="19"/>
        </w:rPr>
        <w:t>formula is</w:t>
      </w:r>
    </w:p>
    <w:p>
      <w:pPr>
        <w:pStyle w:val="BodyText"/>
        <w:rPr>
          <w:sz w:val="12"/>
        </w:rPr>
      </w:pPr>
    </w:p>
    <w:p>
      <w:pPr>
        <w:spacing w:after="0"/>
        <w:rPr>
          <w:sz w:val="12"/>
        </w:rPr>
        <w:sectPr>
          <w:type w:val="continuous"/>
          <w:pgSz w:w="7200" w:h="11340"/>
          <w:pgMar w:top="1100" w:bottom="0" w:left="660" w:right="540"/>
        </w:sectPr>
      </w:pPr>
    </w:p>
    <w:p>
      <w:pPr>
        <w:spacing w:line="150" w:lineRule="exact" w:before="79"/>
        <w:ind w:left="0" w:right="34" w:firstLine="0"/>
        <w:jc w:val="right"/>
        <w:rPr>
          <w:b/>
          <w:i/>
          <w:sz w:val="16"/>
        </w:rPr>
      </w:pPr>
      <w:r>
        <w:rPr/>
        <w:pict>
          <v:shape style="position:absolute;margin-left:162.179993pt;margin-top:8.062666pt;width:61pt;height:12pt;mso-position-horizontal-relative:page;mso-position-vertical-relative:paragraph;z-index:-732496" type="#_x0000_t202" filled="false" stroked="false">
            <v:textbox inset="0,0,0,0">
              <w:txbxContent>
                <w:p>
                  <w:pPr>
                    <w:spacing w:line="240" w:lineRule="exact" w:before="0"/>
                    <w:ind w:left="0" w:right="-19" w:firstLine="0"/>
                    <w:jc w:val="left"/>
                    <w:rPr>
                      <w:sz w:val="24"/>
                    </w:rPr>
                  </w:pPr>
                  <w:r>
                    <w:rPr>
                      <w:w w:val="125"/>
                      <w:sz w:val="24"/>
                    </w:rPr>
                    <w:t>=</w:t>
                  </w:r>
                  <w:r>
                    <w:rPr>
                      <w:spacing w:val="60"/>
                      <w:w w:val="125"/>
                      <w:sz w:val="24"/>
                    </w:rPr>
                    <w:t> </w:t>
                  </w:r>
                  <w:r>
                    <w:rPr>
                      <w:spacing w:val="-53"/>
                      <w:w w:val="295"/>
                      <w:sz w:val="24"/>
                    </w:rPr>
                    <w:t>----­</w:t>
                  </w:r>
                </w:p>
              </w:txbxContent>
            </v:textbox>
            <w10:wrap type="none"/>
          </v:shape>
        </w:pict>
      </w:r>
      <w:r>
        <w:rPr>
          <w:b/>
          <w:i/>
          <w:w w:val="105"/>
          <w:sz w:val="16"/>
        </w:rPr>
        <w:t>N z  </w:t>
      </w:r>
      <w:r>
        <w:rPr>
          <w:w w:val="325"/>
          <w:sz w:val="16"/>
        </w:rPr>
        <w:t>-</w:t>
      </w:r>
      <w:r>
        <w:rPr>
          <w:spacing w:val="-102"/>
          <w:w w:val="325"/>
          <w:sz w:val="16"/>
        </w:rPr>
        <w:t> </w:t>
      </w:r>
      <w:r>
        <w:rPr>
          <w:b/>
          <w:i/>
          <w:w w:val="105"/>
          <w:sz w:val="16"/>
        </w:rPr>
        <w:t>N:e+n</w:t>
      </w:r>
    </w:p>
    <w:p>
      <w:pPr>
        <w:spacing w:line="138" w:lineRule="exact" w:before="0"/>
        <w:ind w:left="2119" w:right="1296" w:firstLine="0"/>
        <w:jc w:val="center"/>
        <w:rPr>
          <w:rFonts w:ascii="Arial"/>
          <w:sz w:val="17"/>
        </w:rPr>
      </w:pPr>
      <w:r>
        <w:rPr>
          <w:i/>
          <w:w w:val="70"/>
          <w:sz w:val="17"/>
        </w:rPr>
        <w:t>Sr: </w:t>
      </w:r>
      <w:r>
        <w:rPr>
          <w:rFonts w:ascii="Arial"/>
          <w:w w:val="70"/>
          <w:sz w:val="17"/>
        </w:rPr>
        <w:t>-;;1</w:t>
      </w:r>
    </w:p>
    <w:p>
      <w:pPr>
        <w:spacing w:line="159" w:lineRule="exact" w:before="0"/>
        <w:ind w:left="0" w:right="326" w:firstLine="0"/>
        <w:jc w:val="right"/>
        <w:rPr>
          <w:b/>
          <w:i/>
          <w:sz w:val="16"/>
        </w:rPr>
      </w:pPr>
      <w:r>
        <w:rPr>
          <w:b/>
          <w:i/>
          <w:w w:val="75"/>
          <w:sz w:val="16"/>
        </w:rPr>
        <w:t>D..r:+n</w:t>
      </w:r>
    </w:p>
    <w:p>
      <w:pPr>
        <w:pStyle w:val="BodyText"/>
        <w:spacing w:before="143"/>
        <w:ind w:right="135"/>
        <w:jc w:val="right"/>
      </w:pPr>
      <w:r>
        <w:rPr/>
        <w:br w:type="column"/>
      </w:r>
      <w:r>
        <w:rPr/>
        <w:t>( 2.15)</w:t>
      </w:r>
    </w:p>
    <w:p>
      <w:pPr>
        <w:spacing w:after="0"/>
        <w:jc w:val="right"/>
        <w:sectPr>
          <w:type w:val="continuous"/>
          <w:pgSz w:w="7200" w:h="11340"/>
          <w:pgMar w:top="1100" w:bottom="0" w:left="660" w:right="540"/>
          <w:cols w:num="2" w:equalWidth="0">
            <w:col w:w="3804" w:space="40"/>
            <w:col w:w="2156"/>
          </w:cols>
        </w:sectPr>
      </w:pPr>
    </w:p>
    <w:p>
      <w:pPr>
        <w:spacing w:line="229" w:lineRule="exact" w:before="142"/>
        <w:ind w:left="121" w:right="0" w:firstLine="0"/>
        <w:jc w:val="left"/>
        <w:rPr>
          <w:sz w:val="17"/>
        </w:rPr>
      </w:pPr>
      <w:r>
        <w:rPr>
          <w:w w:val="105"/>
          <w:sz w:val="19"/>
        </w:rPr>
        <w:t>Thc oldcr syrnhol  </w:t>
      </w:r>
      <w:r>
        <w:rPr>
          <w:i/>
          <w:w w:val="105"/>
          <w:sz w:val="12"/>
        </w:rPr>
        <w:t>n1tz   </w:t>
      </w:r>
      <w:r>
        <w:rPr>
          <w:w w:val="105"/>
          <w:sz w:val="19"/>
        </w:rPr>
        <w:t>has  bccn  commonly  uscd  </w:t>
      </w:r>
      <w:r>
        <w:rPr>
          <w:w w:val="105"/>
          <w:sz w:val="20"/>
        </w:rPr>
        <w:t>in  </w:t>
      </w:r>
      <w:r>
        <w:rPr>
          <w:w w:val="105"/>
          <w:sz w:val="19"/>
        </w:rPr>
        <w:t>place  of  </w:t>
      </w:r>
      <w:r>
        <w:rPr>
          <w:w w:val="105"/>
          <w:sz w:val="17"/>
        </w:rPr>
        <w:t>Sz:;-J .</w:t>
      </w:r>
    </w:p>
    <w:p>
      <w:pPr>
        <w:spacing w:before="0"/>
        <w:ind w:left="124" w:right="241" w:firstLine="205"/>
        <w:jc w:val="left"/>
        <w:rPr>
          <w:sz w:val="20"/>
        </w:rPr>
      </w:pPr>
      <w:r>
        <w:rPr>
          <w:w w:val="105"/>
          <w:sz w:val="21"/>
        </w:rPr>
        <w:t>It </w:t>
      </w:r>
      <w:r>
        <w:rPr>
          <w:w w:val="105"/>
          <w:sz w:val="19"/>
        </w:rPr>
        <w:t>shoul&lt;l he notcd that all </w:t>
      </w:r>
      <w:r>
        <w:rPr>
          <w:w w:val="105"/>
          <w:sz w:val="20"/>
        </w:rPr>
        <w:t>of  thc </w:t>
      </w:r>
      <w:r>
        <w:rPr>
          <w:spacing w:val="2"/>
          <w:w w:val="105"/>
          <w:sz w:val="20"/>
        </w:rPr>
        <w:t>annuity  </w:t>
      </w:r>
      <w:r>
        <w:rPr>
          <w:w w:val="105"/>
          <w:sz w:val="19"/>
        </w:rPr>
        <w:t>formulas </w:t>
      </w:r>
      <w:r>
        <w:rPr>
          <w:w w:val="105"/>
          <w:sz w:val="20"/>
        </w:rPr>
        <w:t>derive&lt;! </w:t>
      </w:r>
      <w:r>
        <w:rPr>
          <w:w w:val="105"/>
          <w:sz w:val="19"/>
        </w:rPr>
        <w:t>m</w:t>
      </w:r>
      <w:r>
        <w:rPr>
          <w:spacing w:val="49"/>
          <w:w w:val="105"/>
          <w:sz w:val="19"/>
        </w:rPr>
        <w:t> </w:t>
      </w:r>
      <w:r>
        <w:rPr>
          <w:w w:val="105"/>
          <w:sz w:val="19"/>
        </w:rPr>
        <w:t>thi8 8edion </w:t>
      </w:r>
      <w:r>
        <w:rPr>
          <w:spacing w:val="6"/>
          <w:w w:val="105"/>
          <w:sz w:val="19"/>
        </w:rPr>
        <w:t>are </w:t>
      </w:r>
      <w:r>
        <w:rPr>
          <w:w w:val="105"/>
          <w:sz w:val="19"/>
        </w:rPr>
        <w:t>of the gen&lt;'ral </w:t>
      </w:r>
      <w:r>
        <w:rPr>
          <w:spacing w:val="22"/>
          <w:w w:val="105"/>
          <w:sz w:val="19"/>
        </w:rPr>
        <w:t> </w:t>
      </w:r>
      <w:r>
        <w:rPr>
          <w:w w:val="105"/>
          <w:sz w:val="20"/>
        </w:rPr>
        <w:t>form</w:t>
      </w:r>
    </w:p>
    <w:p>
      <w:pPr>
        <w:spacing w:after="0"/>
        <w:jc w:val="left"/>
        <w:rPr>
          <w:sz w:val="20"/>
        </w:rPr>
        <w:sectPr>
          <w:type w:val="continuous"/>
          <w:pgSz w:w="7200" w:h="11340"/>
          <w:pgMar w:top="1100" w:bottom="0" w:left="660" w:right="540"/>
        </w:sectPr>
      </w:pPr>
    </w:p>
    <w:p>
      <w:pPr>
        <w:tabs>
          <w:tab w:pos="2333" w:val="left" w:leader="none"/>
        </w:tabs>
        <w:spacing w:before="51"/>
        <w:ind w:left="137" w:right="0" w:firstLine="0"/>
        <w:jc w:val="left"/>
        <w:rPr>
          <w:b/>
          <w:sz w:val="15"/>
        </w:rPr>
      </w:pPr>
      <w:r>
        <w:rPr>
          <w:rFonts w:ascii="Courier New"/>
          <w:spacing w:val="-21"/>
          <w:sz w:val="22"/>
        </w:rPr>
        <w:t>44</w:t>
        <w:tab/>
      </w:r>
      <w:r>
        <w:rPr>
          <w:b/>
          <w:sz w:val="15"/>
        </w:rPr>
        <w:t>Lll"E </w:t>
      </w:r>
      <w:r>
        <w:rPr>
          <w:b/>
          <w:spacing w:val="22"/>
          <w:sz w:val="15"/>
        </w:rPr>
        <w:t> </w:t>
      </w:r>
      <w:r>
        <w:rPr>
          <w:b/>
          <w:sz w:val="15"/>
        </w:rPr>
        <w:t>ANN1JITl'ES</w:t>
      </w:r>
    </w:p>
    <w:p>
      <w:pPr>
        <w:pStyle w:val="BodyText"/>
        <w:spacing w:before="3"/>
        <w:rPr>
          <w:b/>
          <w:sz w:val="18"/>
        </w:rPr>
      </w:pPr>
    </w:p>
    <w:p>
      <w:pPr>
        <w:spacing w:line="251" w:lineRule="exact" w:before="1"/>
        <w:ind w:left="2427" w:right="1089" w:firstLine="0"/>
        <w:jc w:val="center"/>
        <w:rPr>
          <w:b/>
          <w:i/>
          <w:sz w:val="18"/>
        </w:rPr>
      </w:pPr>
      <w:r>
        <w:rPr>
          <w:i/>
          <w:w w:val="115"/>
          <w:sz w:val="22"/>
        </w:rPr>
        <w:t>N </w:t>
      </w:r>
      <w:r>
        <w:rPr>
          <w:i/>
          <w:sz w:val="22"/>
        </w:rPr>
        <w:t>,, </w:t>
      </w:r>
      <w:r>
        <w:rPr>
          <w:w w:val="230"/>
          <w:sz w:val="22"/>
        </w:rPr>
        <w:t>-</w:t>
      </w:r>
      <w:r>
        <w:rPr>
          <w:spacing w:val="-93"/>
          <w:w w:val="230"/>
          <w:sz w:val="22"/>
        </w:rPr>
        <w:t> </w:t>
      </w:r>
      <w:r>
        <w:rPr>
          <w:b/>
          <w:i/>
          <w:w w:val="115"/>
          <w:sz w:val="18"/>
        </w:rPr>
        <w:t>N.+</w:t>
      </w:r>
      <w:r>
        <w:rPr>
          <w:b/>
          <w:i/>
          <w:w w:val="115"/>
          <w:sz w:val="18"/>
          <w:u w:val="thick"/>
        </w:rPr>
        <w:t>,</w:t>
      </w:r>
      <w:r>
        <w:rPr>
          <w:b/>
          <w:i/>
          <w:w w:val="115"/>
          <w:sz w:val="18"/>
        </w:rPr>
        <w:t>.</w:t>
      </w:r>
    </w:p>
    <w:p>
      <w:pPr>
        <w:spacing w:line="251" w:lineRule="exact" w:before="0"/>
        <w:ind w:left="2427" w:right="1085" w:firstLine="0"/>
        <w:jc w:val="center"/>
        <w:rPr>
          <w:i/>
          <w:sz w:val="22"/>
        </w:rPr>
      </w:pPr>
      <w:r>
        <w:rPr>
          <w:i/>
          <w:w w:val="85"/>
          <w:sz w:val="22"/>
        </w:rPr>
        <w:t>Dz-</w:t>
      </w:r>
    </w:p>
    <w:p>
      <w:pPr>
        <w:pStyle w:val="BodyText"/>
        <w:spacing w:line="229" w:lineRule="exact" w:before="100"/>
        <w:ind w:left="134"/>
      </w:pPr>
      <w:r>
        <w:rPr>
          <w:w w:val="105"/>
        </w:rPr>
        <w:t>where </w:t>
      </w:r>
      <w:r>
        <w:rPr>
          <w:rFonts w:ascii="Arial"/>
          <w:i/>
          <w:w w:val="105"/>
          <w:sz w:val="18"/>
        </w:rPr>
        <w:t>y </w:t>
      </w:r>
      <w:r>
        <w:rPr>
          <w:rFonts w:ascii="Arial"/>
          <w:w w:val="105"/>
          <w:sz w:val="19"/>
        </w:rPr>
        <w:t>is </w:t>
      </w:r>
      <w:r>
        <w:rPr>
          <w:w w:val="105"/>
        </w:rPr>
        <w:t>the age at which the first payment  is due,</w:t>
      </w:r>
    </w:p>
    <w:p>
      <w:pPr>
        <w:pStyle w:val="BodyText"/>
        <w:spacing w:line="241" w:lineRule="exact"/>
        <w:ind w:left="695"/>
      </w:pPr>
      <w:r>
        <w:rPr>
          <w:i/>
          <w:w w:val="110"/>
          <w:sz w:val="21"/>
        </w:rPr>
        <w:t>n </w:t>
      </w:r>
      <w:r>
        <w:rPr>
          <w:rFonts w:ascii="Arial"/>
          <w:w w:val="110"/>
          <w:sz w:val="19"/>
        </w:rPr>
        <w:t>is </w:t>
      </w:r>
      <w:r>
        <w:rPr>
          <w:w w:val="110"/>
        </w:rPr>
        <w:t>the number of payments, and</w:t>
      </w:r>
    </w:p>
    <w:p>
      <w:pPr>
        <w:pStyle w:val="BodyText"/>
        <w:rPr>
          <w:sz w:val="18"/>
        </w:rPr>
      </w:pPr>
      <w:r>
        <w:rPr/>
        <w:br w:type="column"/>
      </w:r>
      <w:r>
        <w:rPr>
          <w:sz w:val="18"/>
        </w:rPr>
      </w:r>
    </w:p>
    <w:p>
      <w:pPr>
        <w:pStyle w:val="BodyText"/>
        <w:rPr>
          <w:sz w:val="18"/>
        </w:rPr>
      </w:pPr>
    </w:p>
    <w:p>
      <w:pPr>
        <w:pStyle w:val="BodyText"/>
        <w:spacing w:before="7"/>
        <w:rPr>
          <w:sz w:val="19"/>
        </w:rPr>
      </w:pPr>
    </w:p>
    <w:p>
      <w:pPr>
        <w:spacing w:before="0"/>
        <w:ind w:left="133" w:right="0" w:firstLine="0"/>
        <w:jc w:val="left"/>
        <w:rPr>
          <w:b/>
          <w:sz w:val="19"/>
        </w:rPr>
      </w:pPr>
      <w:r>
        <w:rPr>
          <w:b/>
          <w:w w:val="105"/>
          <w:sz w:val="19"/>
        </w:rPr>
        <w:t>(2.I6:)</w:t>
      </w:r>
    </w:p>
    <w:p>
      <w:pPr>
        <w:spacing w:after="0"/>
        <w:jc w:val="left"/>
        <w:rPr>
          <w:sz w:val="19"/>
        </w:rPr>
        <w:sectPr>
          <w:pgSz w:w="7200" w:h="11340"/>
          <w:pgMar w:top="500" w:bottom="280" w:left="640" w:right="540"/>
          <w:cols w:num="2" w:equalWidth="0">
            <w:col w:w="4579" w:space="666"/>
            <w:col w:w="775"/>
          </w:cols>
        </w:sectPr>
      </w:pPr>
    </w:p>
    <w:p>
      <w:pPr>
        <w:pStyle w:val="BodyText"/>
        <w:spacing w:before="9"/>
        <w:ind w:left="695"/>
      </w:pPr>
      <w:r>
        <w:rPr>
          <w:rFonts w:ascii="Arial"/>
          <w:i/>
          <w:w w:val="110"/>
          <w:sz w:val="17"/>
        </w:rPr>
        <w:t>x </w:t>
      </w:r>
      <w:r>
        <w:rPr>
          <w:w w:val="110"/>
        </w:rPr>
        <w:t>is the age at which the value of the payments </w:t>
      </w:r>
      <w:r>
        <w:rPr>
          <w:rFonts w:ascii="Arial"/>
          <w:w w:val="110"/>
          <w:sz w:val="19"/>
        </w:rPr>
        <w:t>is</w:t>
      </w:r>
      <w:r>
        <w:rPr>
          <w:rFonts w:ascii="Arial"/>
          <w:spacing w:val="50"/>
          <w:w w:val="110"/>
          <w:sz w:val="19"/>
        </w:rPr>
        <w:t> </w:t>
      </w:r>
      <w:r>
        <w:rPr>
          <w:w w:val="110"/>
        </w:rPr>
        <w:t>desircd.</w:t>
      </w:r>
    </w:p>
    <w:p>
      <w:pPr>
        <w:pStyle w:val="BodyText"/>
        <w:spacing w:line="247" w:lineRule="auto" w:before="77"/>
        <w:ind w:left="119" w:right="114" w:firstLine="14"/>
        <w:jc w:val="both"/>
      </w:pPr>
      <w:r>
        <w:rPr>
          <w:w w:val="105"/>
          <w:sz w:val="21"/>
        </w:rPr>
        <w:t>It </w:t>
      </w:r>
      <w:r>
        <w:rPr>
          <w:w w:val="105"/>
        </w:rPr>
        <w:t>is thus unnecessary to memorize individual formulas for each different type. The present value, or net single premium, </w:t>
      </w:r>
      <w:r>
        <w:rPr>
          <w:rFonts w:ascii="Arial"/>
          <w:w w:val="105"/>
          <w:sz w:val="19"/>
        </w:rPr>
        <w:t>for- </w:t>
      </w:r>
      <w:r>
        <w:rPr>
          <w:w w:val="105"/>
        </w:rPr>
        <w:t>a 10- year deferred 15-year temporary </w:t>
      </w:r>
      <w:r>
        <w:rPr>
          <w:w w:val="105"/>
          <w:sz w:val="19"/>
        </w:rPr>
        <w:t>life </w:t>
      </w:r>
      <w:r>
        <w:rPr>
          <w:w w:val="105"/>
        </w:rPr>
        <w:t>annuity </w:t>
      </w:r>
      <w:r>
        <w:rPr>
          <w:w w:val="105"/>
          <w:sz w:val="19"/>
        </w:rPr>
        <w:t>to </w:t>
      </w:r>
      <w:r>
        <w:rPr>
          <w:w w:val="105"/>
        </w:rPr>
        <w:t>(36), for example, may </w:t>
      </w:r>
      <w:r>
        <w:rPr>
          <w:w w:val="105"/>
          <w:sz w:val="19"/>
        </w:rPr>
        <w:t>be </w:t>
      </w:r>
      <w:r>
        <w:rPr>
          <w:w w:val="105"/>
        </w:rPr>
        <w:t>immediately written  down by  formula  (2.16). Noting   that</w:t>
      </w:r>
    </w:p>
    <w:p>
      <w:pPr>
        <w:pStyle w:val="BodyText"/>
        <w:spacing w:line="240" w:lineRule="exact"/>
        <w:ind w:left="123"/>
        <w:jc w:val="both"/>
      </w:pPr>
      <w:r>
        <w:rPr>
          <w:w w:val="105"/>
        </w:rPr>
        <w:t>the first  annuity  payment  will  </w:t>
      </w:r>
      <w:r>
        <w:rPr>
          <w:w w:val="105"/>
          <w:sz w:val="19"/>
        </w:rPr>
        <w:t>be  </w:t>
      </w:r>
      <w:r>
        <w:rPr>
          <w:w w:val="105"/>
        </w:rPr>
        <w:t>due at age 47, we have </w:t>
      </w:r>
      <w:r>
        <w:rPr>
          <w:i/>
          <w:w w:val="105"/>
          <w:sz w:val="19"/>
        </w:rPr>
        <w:t>y  </w:t>
      </w:r>
      <w:r>
        <w:rPr>
          <w:w w:val="105"/>
          <w:sz w:val="24"/>
        </w:rPr>
        <w:t>=  </w:t>
      </w:r>
      <w:r>
        <w:rPr>
          <w:w w:val="105"/>
        </w:rPr>
        <w:t>47,</w:t>
      </w:r>
    </w:p>
    <w:p>
      <w:pPr>
        <w:spacing w:line="238" w:lineRule="exact" w:before="0"/>
        <w:ind w:left="119" w:right="0" w:firstLine="0"/>
        <w:jc w:val="both"/>
        <w:rPr>
          <w:sz w:val="21"/>
        </w:rPr>
      </w:pPr>
      <w:r>
        <w:rPr>
          <w:i/>
          <w:w w:val="120"/>
          <w:sz w:val="20"/>
        </w:rPr>
        <w:t>n </w:t>
      </w:r>
      <w:r>
        <w:rPr>
          <w:rFonts w:ascii="Arial"/>
          <w:w w:val="145"/>
          <w:sz w:val="16"/>
        </w:rPr>
        <w:t>= </w:t>
      </w:r>
      <w:r>
        <w:rPr>
          <w:w w:val="120"/>
          <w:sz w:val="20"/>
        </w:rPr>
        <w:t>15, and </w:t>
      </w:r>
      <w:r>
        <w:rPr>
          <w:i/>
          <w:w w:val="120"/>
          <w:sz w:val="20"/>
        </w:rPr>
        <w:t>x  </w:t>
      </w:r>
      <w:r>
        <w:rPr>
          <w:rFonts w:ascii="Arial"/>
          <w:w w:val="145"/>
          <w:sz w:val="16"/>
        </w:rPr>
        <w:t>= </w:t>
      </w:r>
      <w:r>
        <w:rPr>
          <w:w w:val="120"/>
          <w:sz w:val="20"/>
        </w:rPr>
        <w:t>36, so </w:t>
      </w:r>
      <w:r>
        <w:rPr>
          <w:w w:val="120"/>
          <w:sz w:val="21"/>
        </w:rPr>
        <w:t>that</w:t>
      </w:r>
    </w:p>
    <w:p>
      <w:pPr>
        <w:spacing w:line="176" w:lineRule="exact" w:before="130"/>
        <w:ind w:left="1601" w:right="894" w:firstLine="0"/>
        <w:jc w:val="center"/>
        <w:rPr>
          <w:rFonts w:ascii="Arial"/>
          <w:b/>
          <w:i/>
          <w:sz w:val="20"/>
        </w:rPr>
      </w:pPr>
      <w:r>
        <w:rPr>
          <w:rFonts w:ascii="Arial"/>
          <w:b/>
          <w:i/>
          <w:w w:val="125"/>
          <w:sz w:val="20"/>
        </w:rPr>
        <w:t>N., </w:t>
      </w:r>
      <w:r>
        <w:rPr>
          <w:rFonts w:ascii="Arial"/>
          <w:w w:val="225"/>
          <w:sz w:val="20"/>
        </w:rPr>
        <w:t>-</w:t>
      </w:r>
      <w:r>
        <w:rPr>
          <w:rFonts w:ascii="Arial"/>
          <w:spacing w:val="-76"/>
          <w:w w:val="225"/>
          <w:sz w:val="20"/>
        </w:rPr>
        <w:t> </w:t>
      </w:r>
      <w:r>
        <w:rPr>
          <w:rFonts w:ascii="Arial"/>
          <w:b/>
          <w:i/>
          <w:w w:val="125"/>
          <w:sz w:val="20"/>
        </w:rPr>
        <w:t>N</w:t>
      </w:r>
      <w:r>
        <w:rPr>
          <w:rFonts w:ascii="Arial"/>
          <w:b/>
          <w:i/>
          <w:w w:val="125"/>
          <w:sz w:val="20"/>
          <w:u w:val="thick"/>
        </w:rPr>
        <w:t>e</w:t>
      </w:r>
    </w:p>
    <w:p>
      <w:pPr>
        <w:spacing w:line="222" w:lineRule="exact" w:before="0"/>
        <w:ind w:left="293" w:right="1400" w:firstLine="0"/>
        <w:jc w:val="center"/>
        <w:rPr>
          <w:sz w:val="24"/>
        </w:rPr>
      </w:pPr>
      <w:r>
        <w:rPr>
          <w:b/>
          <w:w w:val="95"/>
          <w:sz w:val="13"/>
        </w:rPr>
        <w:t>10116'131 </w:t>
      </w:r>
      <w:r>
        <w:rPr>
          <w:w w:val="95"/>
          <w:sz w:val="24"/>
        </w:rPr>
        <w:t>=</w:t>
      </w:r>
    </w:p>
    <w:p>
      <w:pPr>
        <w:pStyle w:val="BodyText"/>
        <w:spacing w:line="252" w:lineRule="auto" w:before="195"/>
        <w:ind w:left="123" w:right="138" w:firstLine="10"/>
        <w:jc w:val="both"/>
      </w:pPr>
      <w:r>
        <w:rPr>
          <w:w w:val="105"/>
          <w:sz w:val="21"/>
        </w:rPr>
        <w:t>If </w:t>
      </w:r>
      <w:r>
        <w:rPr>
          <w:w w:val="105"/>
        </w:rPr>
        <w:t>the accumulated valuc of the annuity at age 62 </w:t>
      </w:r>
      <w:r>
        <w:rPr>
          <w:rFonts w:ascii="Arial"/>
          <w:w w:val="105"/>
          <w:sz w:val="19"/>
        </w:rPr>
        <w:t>is </w:t>
      </w:r>
      <w:r>
        <w:rPr>
          <w:w w:val="105"/>
        </w:rPr>
        <w:t>required, wc simply write</w:t>
      </w:r>
    </w:p>
    <w:p>
      <w:pPr>
        <w:pStyle w:val="BodyText"/>
        <w:spacing w:before="9"/>
        <w:rPr>
          <w:sz w:val="8"/>
        </w:rPr>
      </w:pPr>
      <w:r>
        <w:rPr/>
        <w:drawing>
          <wp:anchor distT="0" distB="0" distL="0" distR="0" allowOverlap="1" layoutInCell="1" locked="0" behindDoc="0" simplePos="0" relativeHeight="3592">
            <wp:simplePos x="0" y="0"/>
            <wp:positionH relativeFrom="page">
              <wp:posOffset>1993392</wp:posOffset>
            </wp:positionH>
            <wp:positionV relativeFrom="paragraph">
              <wp:posOffset>88940</wp:posOffset>
            </wp:positionV>
            <wp:extent cx="576071" cy="283463"/>
            <wp:effectExtent l="0" t="0" r="0" b="0"/>
            <wp:wrapTopAndBottom/>
            <wp:docPr id="69" name="image39.png" descr=""/>
            <wp:cNvGraphicFramePr>
              <a:graphicFrameLocks noChangeAspect="1"/>
            </wp:cNvGraphicFramePr>
            <a:graphic>
              <a:graphicData uri="http://schemas.openxmlformats.org/drawingml/2006/picture">
                <pic:pic>
                  <pic:nvPicPr>
                    <pic:cNvPr id="70" name="image39.png"/>
                    <pic:cNvPicPr/>
                  </pic:nvPicPr>
                  <pic:blipFill>
                    <a:blip r:embed="rId43" cstate="print"/>
                    <a:stretch>
                      <a:fillRect/>
                    </a:stretch>
                  </pic:blipFill>
                  <pic:spPr>
                    <a:xfrm>
                      <a:off x="0" y="0"/>
                      <a:ext cx="576071" cy="283463"/>
                    </a:xfrm>
                    <a:prstGeom prst="rect">
                      <a:avLst/>
                    </a:prstGeom>
                  </pic:spPr>
                </pic:pic>
              </a:graphicData>
            </a:graphic>
          </wp:anchor>
        </w:drawing>
      </w:r>
    </w:p>
    <w:p>
      <w:pPr>
        <w:pStyle w:val="BodyText"/>
        <w:spacing w:line="244" w:lineRule="auto" w:before="101"/>
        <w:ind w:left="115" w:right="142" w:firstLine="205"/>
        <w:jc w:val="both"/>
      </w:pPr>
      <w:r>
        <w:rPr>
          <w:w w:val="109"/>
        </w:rPr>
        <w:t>In </w:t>
      </w:r>
      <w:r>
        <w:rPr>
          <w:w w:val="95"/>
        </w:rPr>
        <w:t>&lt;·alculating </w:t>
      </w:r>
      <w:r>
        <w:rPr>
          <w:w w:val="95"/>
        </w:rPr>
        <w:t>lifc </w:t>
      </w:r>
      <w:r>
        <w:rPr>
          <w:w w:val="110"/>
        </w:rPr>
        <w:t>annuity </w:t>
      </w:r>
      <w:r>
        <w:rPr>
          <w:w w:val="96"/>
        </w:rPr>
        <w:t>va}ucs </w:t>
      </w:r>
      <w:r>
        <w:rPr>
          <w:w w:val="92"/>
        </w:rPr>
        <w:t>from. </w:t>
      </w:r>
      <w:r>
        <w:rPr>
          <w:w w:val="101"/>
        </w:rPr>
        <w:t>select </w:t>
      </w:r>
      <w:r>
        <w:rPr>
          <w:w w:val="106"/>
        </w:rPr>
        <w:t>tables, </w:t>
      </w:r>
      <w:r>
        <w:rPr>
          <w:w w:val="113"/>
        </w:rPr>
        <w:t>it </w:t>
      </w:r>
      <w:r>
        <w:rPr>
          <w:w w:val="73"/>
        </w:rPr>
        <w:t>iti </w:t>
      </w:r>
      <w:r>
        <w:rPr>
          <w:w w:val="100"/>
        </w:rPr>
        <w:t>con­ </w:t>
      </w:r>
      <w:r>
        <w:rPr/>
        <w:t>venieut to use select  commutation  functions.  The  values  of  </w:t>
      </w:r>
      <w:r>
        <w:rPr>
          <w:b/>
          <w:i/>
          <w:sz w:val="21"/>
        </w:rPr>
        <w:t>D  </w:t>
      </w:r>
      <w:r>
        <w:rPr/>
        <w:t>can </w:t>
      </w:r>
      <w:r>
        <w:rPr>
          <w:rFonts w:ascii="Arial" w:hAnsi="Arial"/>
          <w:sz w:val="18"/>
        </w:rPr>
        <w:t>be </w:t>
      </w:r>
      <w:r>
        <w:rPr/>
        <w:t>computed in the U'.)Ual </w:t>
      </w:r>
      <w:r>
        <w:rPr>
          <w:rFonts w:ascii="Arial" w:hAnsi="Arial"/>
          <w:b/>
          <w:sz w:val="17"/>
        </w:rPr>
        <w:t>way. </w:t>
      </w:r>
      <w:r>
        <w:rPr>
          <w:sz w:val="21"/>
        </w:rPr>
        <w:t>If </w:t>
      </w:r>
      <w:r>
        <w:rPr/>
        <w:t>the select period ís </w:t>
      </w:r>
      <w:r>
        <w:rPr>
          <w:rFonts w:ascii="Arial" w:hAnsi="Arial"/>
          <w:i/>
          <w:sz w:val="19"/>
        </w:rPr>
        <w:t>k </w:t>
      </w:r>
      <w:r>
        <w:rPr/>
        <w:t>yea.rs, </w:t>
      </w:r>
      <w:r>
        <w:rPr>
          <w:w w:val="145"/>
        </w:rPr>
        <w:t>th </w:t>
      </w:r>
      <w:r>
        <w:rPr/>
        <w:t>formulas  are</w:t>
      </w:r>
    </w:p>
    <w:p>
      <w:pPr>
        <w:spacing w:after="0" w:line="244" w:lineRule="auto"/>
        <w:jc w:val="both"/>
        <w:sectPr>
          <w:type w:val="continuous"/>
          <w:pgSz w:w="7200" w:h="11340"/>
          <w:pgMar w:top="1100" w:bottom="0" w:left="640" w:right="540"/>
        </w:sectPr>
      </w:pPr>
    </w:p>
    <w:p>
      <w:pPr>
        <w:pStyle w:val="BodyText"/>
      </w:pPr>
    </w:p>
    <w:p>
      <w:pPr>
        <w:pStyle w:val="BodyText"/>
        <w:spacing w:before="6"/>
        <w:rPr>
          <w:sz w:val="22"/>
        </w:rPr>
      </w:pPr>
    </w:p>
    <w:p>
      <w:pPr>
        <w:pStyle w:val="BodyText"/>
        <w:ind w:left="115" w:right="-19"/>
      </w:pPr>
      <w:r>
        <w:rPr>
          <w:w w:val="110"/>
        </w:rPr>
        <w:t>and</w:t>
      </w:r>
    </w:p>
    <w:p>
      <w:pPr>
        <w:spacing w:before="74"/>
        <w:ind w:left="115" w:right="-18" w:firstLine="0"/>
        <w:jc w:val="left"/>
        <w:rPr>
          <w:i/>
          <w:sz w:val="16"/>
        </w:rPr>
      </w:pPr>
      <w:r>
        <w:rPr/>
        <w:br w:type="column"/>
      </w:r>
      <w:r>
        <w:rPr>
          <w:w w:val="115"/>
          <w:sz w:val="13"/>
        </w:rPr>
        <w:t>D1%)H  </w:t>
      </w:r>
      <w:r>
        <w:rPr>
          <w:w w:val="115"/>
          <w:sz w:val="24"/>
        </w:rPr>
        <w:t>= </w:t>
      </w:r>
      <w:r>
        <w:rPr>
          <w:i/>
          <w:w w:val="115"/>
          <w:sz w:val="16"/>
        </w:rPr>
        <w:t>vr+tl(zl+t</w:t>
      </w:r>
    </w:p>
    <w:p>
      <w:pPr>
        <w:spacing w:before="77"/>
        <w:ind w:left="425" w:right="-18" w:firstLine="0"/>
        <w:jc w:val="left"/>
        <w:rPr>
          <w:i/>
          <w:sz w:val="16"/>
        </w:rPr>
      </w:pPr>
      <w:r>
        <w:rPr>
          <w:spacing w:val="-3"/>
          <w:sz w:val="22"/>
        </w:rPr>
        <w:t>D,,+, </w:t>
      </w:r>
      <w:r>
        <w:rPr>
          <w:sz w:val="24"/>
        </w:rPr>
        <w:t>=</w:t>
      </w:r>
      <w:r>
        <w:rPr>
          <w:spacing w:val="50"/>
          <w:sz w:val="24"/>
        </w:rPr>
        <w:t> </w:t>
      </w:r>
      <w:r>
        <w:rPr>
          <w:i/>
          <w:sz w:val="16"/>
        </w:rPr>
        <w:t>vz+i¡s+t</w:t>
      </w:r>
    </w:p>
    <w:p>
      <w:pPr>
        <w:spacing w:before="118"/>
        <w:ind w:left="116" w:right="-13" w:firstLine="0"/>
        <w:jc w:val="left"/>
        <w:rPr>
          <w:sz w:val="20"/>
        </w:rPr>
      </w:pPr>
      <w:r>
        <w:rPr/>
        <w:br w:type="column"/>
      </w:r>
      <w:r>
        <w:rPr>
          <w:w w:val="105"/>
          <w:sz w:val="20"/>
        </w:rPr>
        <w:t>for</w:t>
      </w:r>
    </w:p>
    <w:p>
      <w:pPr>
        <w:spacing w:before="143"/>
        <w:ind w:left="206" w:right="-13" w:firstLine="0"/>
        <w:jc w:val="left"/>
        <w:rPr>
          <w:sz w:val="19"/>
        </w:rPr>
      </w:pPr>
      <w:r>
        <w:rPr>
          <w:w w:val="105"/>
          <w:sz w:val="19"/>
        </w:rPr>
        <w:t>for</w:t>
      </w:r>
    </w:p>
    <w:p>
      <w:pPr>
        <w:tabs>
          <w:tab w:pos="447" w:val="left" w:leader="none"/>
        </w:tabs>
        <w:spacing w:before="68"/>
        <w:ind w:left="115" w:right="0" w:firstLine="0"/>
        <w:jc w:val="left"/>
        <w:rPr>
          <w:rFonts w:ascii="Arial"/>
          <w:i/>
          <w:sz w:val="19"/>
        </w:rPr>
      </w:pPr>
      <w:r>
        <w:rPr/>
        <w:br w:type="column"/>
      </w:r>
      <w:r>
        <w:rPr>
          <w:rFonts w:ascii="Arial"/>
          <w:sz w:val="26"/>
        </w:rPr>
        <w:t>o</w:t>
        <w:tab/>
      </w:r>
      <w:r>
        <w:rPr>
          <w:rFonts w:ascii="Arial"/>
          <w:w w:val="80"/>
          <w:sz w:val="26"/>
        </w:rPr>
        <w:t>. </w:t>
      </w:r>
      <w:r>
        <w:rPr>
          <w:i/>
          <w:w w:val="105"/>
          <w:sz w:val="22"/>
        </w:rPr>
        <w:t>t </w:t>
      </w:r>
      <w:r>
        <w:rPr>
          <w:w w:val="105"/>
          <w:sz w:val="24"/>
        </w:rPr>
        <w:t>&lt;</w:t>
      </w:r>
      <w:r>
        <w:rPr>
          <w:spacing w:val="60"/>
          <w:w w:val="105"/>
          <w:sz w:val="24"/>
        </w:rPr>
        <w:t> </w:t>
      </w:r>
      <w:r>
        <w:rPr>
          <w:rFonts w:ascii="Arial"/>
          <w:i/>
          <w:w w:val="105"/>
          <w:sz w:val="19"/>
        </w:rPr>
        <w:t>k,</w:t>
      </w:r>
    </w:p>
    <w:p>
      <w:pPr>
        <w:tabs>
          <w:tab w:pos="598" w:val="left" w:leader="none"/>
        </w:tabs>
        <w:spacing w:before="103"/>
        <w:ind w:left="216" w:right="0" w:firstLine="0"/>
        <w:jc w:val="left"/>
        <w:rPr>
          <w:rFonts w:ascii="Arial"/>
          <w:i/>
          <w:sz w:val="19"/>
        </w:rPr>
      </w:pPr>
      <w:r>
        <w:rPr>
          <w:i/>
          <w:w w:val="105"/>
          <w:sz w:val="22"/>
        </w:rPr>
        <w:t>t</w:t>
        <w:tab/>
      </w:r>
      <w:r>
        <w:rPr>
          <w:rFonts w:ascii="Arial"/>
          <w:i/>
          <w:w w:val="105"/>
          <w:sz w:val="19"/>
        </w:rPr>
        <w:t>k.</w:t>
      </w:r>
    </w:p>
    <w:p>
      <w:pPr>
        <w:spacing w:after="0"/>
        <w:jc w:val="left"/>
        <w:rPr>
          <w:rFonts w:ascii="Arial"/>
          <w:sz w:val="19"/>
        </w:rPr>
        <w:sectPr>
          <w:type w:val="continuous"/>
          <w:pgSz w:w="7200" w:h="11340"/>
          <w:pgMar w:top="1100" w:bottom="0" w:left="640" w:right="540"/>
          <w:cols w:num="4" w:equalWidth="0">
            <w:col w:w="434" w:space="664"/>
            <w:col w:w="1721" w:space="198"/>
            <w:col w:w="446" w:space="181"/>
            <w:col w:w="2376"/>
          </w:cols>
        </w:sectPr>
      </w:pPr>
    </w:p>
    <w:p>
      <w:pPr>
        <w:pStyle w:val="BodyText"/>
        <w:spacing w:before="121"/>
        <w:ind w:left="115"/>
      </w:pPr>
      <w:r>
        <w:rPr>
          <w:w w:val="105"/>
        </w:rPr>
        <w:t>Thc  </w:t>
      </w:r>
      <w:r>
        <w:rPr>
          <w:rFonts w:ascii="Arial"/>
          <w:i/>
          <w:w w:val="105"/>
        </w:rPr>
        <w:t>N  </w:t>
      </w:r>
      <w:r>
        <w:rPr>
          <w:w w:val="105"/>
        </w:rPr>
        <w:t>columns  are  then  obtained  </w:t>
      </w:r>
      <w:r>
        <w:rPr>
          <w:w w:val="105"/>
          <w:sz w:val="19"/>
        </w:rPr>
        <w:t>by  </w:t>
      </w:r>
      <w:r>
        <w:rPr>
          <w:w w:val="105"/>
        </w:rPr>
        <w:t>summing  thc  </w:t>
      </w:r>
      <w:r>
        <w:rPr>
          <w:rFonts w:ascii="Arial"/>
          <w:i/>
          <w:w w:val="105"/>
        </w:rPr>
        <w:t>D </w:t>
      </w:r>
      <w:r>
        <w:rPr>
          <w:w w:val="105"/>
        </w:rPr>
        <w:t>valucs for</w:t>
      </w:r>
    </w:p>
    <w:p>
      <w:pPr>
        <w:spacing w:before="38"/>
        <w:ind w:left="115" w:right="0" w:firstLine="0"/>
        <w:jc w:val="left"/>
        <w:rPr>
          <w:rFonts w:ascii="Arial"/>
          <w:b/>
          <w:sz w:val="17"/>
        </w:rPr>
      </w:pPr>
      <w:r>
        <w:rPr>
          <w:rFonts w:ascii="Arial"/>
          <w:b/>
          <w:w w:val="105"/>
          <w:sz w:val="17"/>
        </w:rPr>
        <w:t>each age at i&amp;;ue:</w:t>
      </w:r>
    </w:p>
    <w:p>
      <w:pPr>
        <w:spacing w:after="0"/>
        <w:jc w:val="left"/>
        <w:rPr>
          <w:rFonts w:ascii="Arial"/>
          <w:sz w:val="17"/>
        </w:rPr>
        <w:sectPr>
          <w:type w:val="continuous"/>
          <w:pgSz w:w="7200" w:h="11340"/>
          <w:pgMar w:top="1100" w:bottom="0" w:left="640" w:right="540"/>
        </w:sectPr>
      </w:pPr>
    </w:p>
    <w:p>
      <w:pPr>
        <w:pStyle w:val="BodyText"/>
        <w:spacing w:before="7"/>
        <w:rPr>
          <w:rFonts w:ascii="Arial"/>
          <w:b/>
          <w:sz w:val="9"/>
        </w:rPr>
      </w:pPr>
    </w:p>
    <w:p>
      <w:pPr>
        <w:tabs>
          <w:tab w:pos="2509" w:val="left" w:leader="none"/>
        </w:tabs>
        <w:spacing w:line="92" w:lineRule="exact" w:before="0"/>
        <w:ind w:left="1376" w:right="0" w:firstLine="0"/>
        <w:jc w:val="left"/>
        <w:rPr>
          <w:b/>
          <w:sz w:val="12"/>
        </w:rPr>
      </w:pPr>
      <w:r>
        <w:rPr>
          <w:b/>
          <w:w w:val="125"/>
          <w:sz w:val="12"/>
        </w:rPr>
        <w:t>.lr-1</w:t>
        <w:tab/>
        <w:t>tt-.1:-l</w:t>
      </w:r>
    </w:p>
    <w:p>
      <w:pPr>
        <w:tabs>
          <w:tab w:pos="3010" w:val="left" w:leader="none"/>
        </w:tabs>
        <w:spacing w:line="241" w:lineRule="exact" w:before="0"/>
        <w:ind w:left="548" w:right="0" w:firstLine="0"/>
        <w:jc w:val="left"/>
        <w:rPr>
          <w:i/>
          <w:sz w:val="16"/>
        </w:rPr>
      </w:pPr>
      <w:r>
        <w:rPr>
          <w:sz w:val="16"/>
        </w:rPr>
        <w:t>Nc:11l </w:t>
      </w:r>
      <w:r>
        <w:rPr>
          <w:w w:val="105"/>
          <w:sz w:val="16"/>
        </w:rPr>
        <w:t>+t  </w:t>
      </w:r>
      <w:r>
        <w:rPr>
          <w:w w:val="105"/>
          <w:sz w:val="24"/>
        </w:rPr>
        <w:t>=  </w:t>
      </w:r>
      <w:r>
        <w:rPr>
          <w:i/>
          <w:w w:val="105"/>
          <w:sz w:val="34"/>
        </w:rPr>
        <w:t>L</w:t>
      </w:r>
      <w:r>
        <w:rPr>
          <w:i/>
          <w:spacing w:val="-41"/>
          <w:w w:val="105"/>
          <w:sz w:val="34"/>
        </w:rPr>
        <w:t> </w:t>
      </w:r>
      <w:r>
        <w:rPr>
          <w:w w:val="115"/>
          <w:sz w:val="13"/>
        </w:rPr>
        <w:t>D[z}+r </w:t>
      </w:r>
      <w:r>
        <w:rPr>
          <w:spacing w:val="4"/>
          <w:w w:val="115"/>
          <w:sz w:val="13"/>
        </w:rPr>
        <w:t> </w:t>
      </w:r>
      <w:r>
        <w:rPr>
          <w:rFonts w:ascii="Arial"/>
          <w:w w:val="105"/>
          <w:sz w:val="31"/>
        </w:rPr>
        <w:t>+</w:t>
        <w:tab/>
      </w:r>
      <w:r>
        <w:rPr>
          <w:i/>
          <w:w w:val="105"/>
          <w:sz w:val="16"/>
        </w:rPr>
        <w:t>Dz+r</w:t>
      </w:r>
    </w:p>
    <w:p>
      <w:pPr>
        <w:pStyle w:val="BodyText"/>
        <w:spacing w:before="6"/>
        <w:rPr>
          <w:i/>
          <w:sz w:val="22"/>
        </w:rPr>
      </w:pPr>
      <w:r>
        <w:rPr/>
        <w:br w:type="column"/>
      </w:r>
      <w:r>
        <w:rPr>
          <w:i/>
          <w:sz w:val="22"/>
        </w:rPr>
      </w:r>
    </w:p>
    <w:p>
      <w:pPr>
        <w:pStyle w:val="BodyText"/>
        <w:spacing w:line="185" w:lineRule="exact"/>
        <w:ind w:left="375"/>
      </w:pPr>
      <w:r>
        <w:rPr/>
        <w:drawing>
          <wp:anchor distT="0" distB="0" distL="0" distR="0" allowOverlap="1" layoutInCell="1" locked="0" behindDoc="0" simplePos="0" relativeHeight="3616">
            <wp:simplePos x="0" y="0"/>
            <wp:positionH relativeFrom="page">
              <wp:posOffset>3209544</wp:posOffset>
            </wp:positionH>
            <wp:positionV relativeFrom="paragraph">
              <wp:posOffset>20268</wp:posOffset>
            </wp:positionV>
            <wp:extent cx="640080" cy="128016"/>
            <wp:effectExtent l="0" t="0" r="0" b="0"/>
            <wp:wrapNone/>
            <wp:docPr id="71" name="image40.png" descr=""/>
            <wp:cNvGraphicFramePr>
              <a:graphicFrameLocks noChangeAspect="1"/>
            </wp:cNvGraphicFramePr>
            <a:graphic>
              <a:graphicData uri="http://schemas.openxmlformats.org/drawingml/2006/picture">
                <pic:pic>
                  <pic:nvPicPr>
                    <pic:cNvPr id="72" name="image40.png"/>
                    <pic:cNvPicPr/>
                  </pic:nvPicPr>
                  <pic:blipFill>
                    <a:blip r:embed="rId44" cstate="print"/>
                    <a:stretch>
                      <a:fillRect/>
                    </a:stretch>
                  </pic:blipFill>
                  <pic:spPr>
                    <a:xfrm>
                      <a:off x="0" y="0"/>
                      <a:ext cx="640080" cy="128016"/>
                    </a:xfrm>
                    <a:prstGeom prst="rect">
                      <a:avLst/>
                    </a:prstGeom>
                  </pic:spPr>
                </pic:pic>
              </a:graphicData>
            </a:graphic>
          </wp:anchor>
        </w:drawing>
      </w:r>
      <w:r>
        <w:rPr>
          <w:w w:val="105"/>
        </w:rPr>
        <w:t>for</w:t>
      </w:r>
    </w:p>
    <w:p>
      <w:pPr>
        <w:spacing w:after="0" w:line="185" w:lineRule="exact"/>
        <w:sectPr>
          <w:type w:val="continuous"/>
          <w:pgSz w:w="7200" w:h="11340"/>
          <w:pgMar w:top="1100" w:bottom="0" w:left="640" w:right="540"/>
          <w:cols w:num="2" w:equalWidth="0">
            <w:col w:w="3376" w:space="40"/>
            <w:col w:w="2604"/>
          </w:cols>
        </w:sectPr>
      </w:pPr>
    </w:p>
    <w:p>
      <w:pPr>
        <w:tabs>
          <w:tab w:pos="2614" w:val="left" w:leader="none"/>
        </w:tabs>
        <w:spacing w:line="153" w:lineRule="exact" w:before="0"/>
        <w:ind w:left="1383" w:right="0" w:firstLine="0"/>
        <w:jc w:val="left"/>
        <w:rPr>
          <w:sz w:val="15"/>
        </w:rPr>
      </w:pPr>
      <w:r>
        <w:rPr>
          <w:w w:val="145"/>
          <w:sz w:val="15"/>
        </w:rPr>
        <w:t>,-e</w:t>
        <w:tab/>
      </w:r>
      <w:r>
        <w:rPr>
          <w:w w:val="145"/>
          <w:sz w:val="15"/>
        </w:rPr>
        <w:t>.</w:t>
      </w:r>
    </w:p>
    <w:p>
      <w:pPr>
        <w:spacing w:after="0" w:line="153" w:lineRule="exact"/>
        <w:jc w:val="left"/>
        <w:rPr>
          <w:sz w:val="15"/>
        </w:rPr>
        <w:sectPr>
          <w:type w:val="continuous"/>
          <w:pgSz w:w="7200" w:h="11340"/>
          <w:pgMar w:top="1100" w:bottom="0" w:left="640" w:right="540"/>
        </w:sectPr>
      </w:pPr>
    </w:p>
    <w:p>
      <w:pPr>
        <w:pStyle w:val="BodyText"/>
        <w:spacing w:before="5"/>
        <w:rPr>
          <w:sz w:val="23"/>
        </w:rPr>
      </w:pPr>
    </w:p>
    <w:p>
      <w:pPr>
        <w:pStyle w:val="BodyText"/>
        <w:spacing w:before="1"/>
        <w:ind w:left="115" w:right="-10"/>
      </w:pPr>
      <w:r>
        <w:rPr>
          <w:w w:val="110"/>
        </w:rPr>
        <w:t>and</w:t>
      </w:r>
    </w:p>
    <w:p>
      <w:pPr>
        <w:pStyle w:val="BodyText"/>
        <w:spacing w:before="2"/>
        <w:rPr>
          <w:sz w:val="21"/>
        </w:rPr>
      </w:pPr>
      <w:r>
        <w:rPr/>
        <w:br w:type="column"/>
      </w:r>
      <w:r>
        <w:rPr>
          <w:sz w:val="21"/>
        </w:rPr>
      </w:r>
    </w:p>
    <w:p>
      <w:pPr>
        <w:spacing w:before="0"/>
        <w:ind w:left="115" w:right="0" w:firstLine="0"/>
        <w:jc w:val="left"/>
        <w:rPr>
          <w:sz w:val="24"/>
        </w:rPr>
      </w:pPr>
      <w:r>
        <w:rPr>
          <w:b/>
          <w:sz w:val="16"/>
        </w:rPr>
        <w:t>N%+l </w:t>
      </w:r>
      <w:r>
        <w:rPr>
          <w:sz w:val="24"/>
        </w:rPr>
        <w:t>=</w:t>
      </w:r>
    </w:p>
    <w:p>
      <w:pPr>
        <w:pStyle w:val="BodyText"/>
        <w:spacing w:before="9"/>
        <w:rPr>
          <w:sz w:val="10"/>
        </w:rPr>
      </w:pPr>
      <w:r>
        <w:rPr/>
        <w:br w:type="column"/>
      </w:r>
      <w:r>
        <w:rPr>
          <w:sz w:val="10"/>
        </w:rPr>
      </w:r>
    </w:p>
    <w:p>
      <w:pPr>
        <w:spacing w:before="0"/>
        <w:ind w:left="61" w:right="0" w:firstLine="0"/>
        <w:jc w:val="center"/>
        <w:rPr>
          <w:b/>
          <w:sz w:val="11"/>
        </w:rPr>
      </w:pPr>
      <w:r>
        <w:rPr>
          <w:b/>
          <w:w w:val="80"/>
          <w:sz w:val="11"/>
        </w:rPr>
        <w:t>1.,1-.:111-l</w:t>
      </w:r>
    </w:p>
    <w:p>
      <w:pPr>
        <w:spacing w:before="20"/>
        <w:ind w:left="89" w:right="0" w:firstLine="0"/>
        <w:jc w:val="center"/>
        <w:rPr>
          <w:sz w:val="28"/>
        </w:rPr>
      </w:pPr>
      <w:r>
        <w:rPr>
          <w:w w:val="80"/>
          <w:sz w:val="28"/>
        </w:rPr>
        <w:t>,._,</w:t>
      </w:r>
    </w:p>
    <w:p>
      <w:pPr>
        <w:pStyle w:val="BodyText"/>
        <w:rPr>
          <w:sz w:val="16"/>
        </w:rPr>
      </w:pPr>
      <w:r>
        <w:rPr/>
        <w:br w:type="column"/>
      </w:r>
      <w:r>
        <w:rPr>
          <w:sz w:val="16"/>
        </w:rPr>
      </w:r>
    </w:p>
    <w:p>
      <w:pPr>
        <w:spacing w:before="134"/>
        <w:ind w:left="42" w:right="-10" w:firstLine="0"/>
        <w:jc w:val="left"/>
        <w:rPr>
          <w:b/>
          <w:i/>
          <w:sz w:val="16"/>
        </w:rPr>
      </w:pPr>
      <w:r>
        <w:rPr>
          <w:b/>
          <w:i/>
          <w:w w:val="110"/>
          <w:sz w:val="16"/>
        </w:rPr>
        <w:t>Dz+r</w:t>
      </w:r>
    </w:p>
    <w:p>
      <w:pPr>
        <w:pStyle w:val="BodyText"/>
        <w:spacing w:before="7"/>
        <w:rPr>
          <w:b/>
          <w:i/>
          <w:sz w:val="22"/>
        </w:rPr>
      </w:pPr>
      <w:r>
        <w:rPr/>
        <w:br w:type="column"/>
      </w:r>
      <w:r>
        <w:rPr>
          <w:b/>
          <w:i/>
          <w:sz w:val="22"/>
        </w:rPr>
      </w:r>
    </w:p>
    <w:p>
      <w:pPr>
        <w:tabs>
          <w:tab w:pos="753" w:val="left" w:leader="none"/>
          <w:tab w:pos="1141" w:val="left" w:leader="none"/>
        </w:tabs>
        <w:spacing w:before="0"/>
        <w:ind w:left="115" w:right="0" w:firstLine="0"/>
        <w:jc w:val="left"/>
        <w:rPr>
          <w:rFonts w:ascii="Arial"/>
          <w:i/>
          <w:sz w:val="19"/>
        </w:rPr>
      </w:pPr>
      <w:r>
        <w:rPr>
          <w:w w:val="105"/>
          <w:position w:val="1"/>
          <w:sz w:val="20"/>
        </w:rPr>
        <w:t>for</w:t>
        <w:tab/>
      </w:r>
      <w:r>
        <w:rPr>
          <w:rFonts w:ascii="Arial"/>
          <w:i/>
          <w:w w:val="105"/>
          <w:sz w:val="17"/>
        </w:rPr>
        <w:t>t</w:t>
        <w:tab/>
      </w:r>
      <w:r>
        <w:rPr>
          <w:rFonts w:ascii="Arial"/>
          <w:i/>
          <w:w w:val="105"/>
          <w:sz w:val="19"/>
        </w:rPr>
        <w:t>k</w:t>
      </w:r>
      <w:r>
        <w:rPr>
          <w:rFonts w:ascii="Arial"/>
          <w:i/>
          <w:spacing w:val="-29"/>
          <w:w w:val="105"/>
          <w:sz w:val="19"/>
        </w:rPr>
        <w:t> </w:t>
      </w:r>
      <w:r>
        <w:rPr>
          <w:rFonts w:ascii="Arial"/>
          <w:i/>
          <w:w w:val="110"/>
          <w:sz w:val="19"/>
        </w:rPr>
        <w:t>.</w:t>
      </w:r>
    </w:p>
    <w:p>
      <w:pPr>
        <w:spacing w:after="0"/>
        <w:jc w:val="left"/>
        <w:rPr>
          <w:rFonts w:ascii="Arial"/>
          <w:sz w:val="19"/>
        </w:rPr>
        <w:sectPr>
          <w:type w:val="continuous"/>
          <w:pgSz w:w="7200" w:h="11340"/>
          <w:pgMar w:top="1100" w:bottom="0" w:left="640" w:right="540"/>
          <w:cols w:num="5" w:equalWidth="0">
            <w:col w:w="443" w:space="828"/>
            <w:col w:w="743" w:space="40"/>
            <w:col w:w="480" w:space="40"/>
            <w:col w:w="417" w:space="291"/>
            <w:col w:w="2738"/>
          </w:cols>
        </w:sectPr>
      </w:pPr>
    </w:p>
    <w:p>
      <w:pPr>
        <w:pStyle w:val="BodyText"/>
        <w:spacing w:line="249" w:lineRule="auto" w:before="148"/>
        <w:ind w:left="115" w:right="156" w:firstLine="201"/>
        <w:jc w:val="both"/>
      </w:pPr>
      <w:r>
        <w:rPr>
          <w:w w:val="105"/>
        </w:rPr>
        <w:t>Formulas </w:t>
      </w:r>
      <w:r>
        <w:rPr>
          <w:w w:val="105"/>
          <w:sz w:val="19"/>
        </w:rPr>
        <w:t>for </w:t>
      </w:r>
      <w:r>
        <w:rPr>
          <w:w w:val="105"/>
        </w:rPr>
        <w:t>select annuity values may then </w:t>
      </w:r>
      <w:r>
        <w:rPr>
          <w:w w:val="105"/>
          <w:sz w:val="19"/>
        </w:rPr>
        <w:t>he </w:t>
      </w:r>
      <w:r>
        <w:rPr>
          <w:w w:val="105"/>
        </w:rPr>
        <w:t>convenicntly expressed in commutation symbols. t'or cxamplc, consider  an </w:t>
      </w:r>
      <w:r>
        <w:rPr>
          <w:rFonts w:ascii="Arial" w:hAnsi="Arial"/>
          <w:i/>
          <w:w w:val="105"/>
          <w:sz w:val="18"/>
        </w:rPr>
        <w:t>n­ </w:t>
      </w:r>
      <w:r>
        <w:rPr>
          <w:w w:val="105"/>
        </w:rPr>
        <w:t>year deferred Iife annuity to  (xJ:</w:t>
      </w:r>
    </w:p>
    <w:p>
      <w:pPr>
        <w:spacing w:after="0" w:line="249" w:lineRule="auto"/>
        <w:jc w:val="both"/>
        <w:sectPr>
          <w:type w:val="continuous"/>
          <w:pgSz w:w="7200" w:h="11340"/>
          <w:pgMar w:top="1100" w:bottom="0" w:left="640" w:right="540"/>
        </w:sectPr>
      </w:pPr>
    </w:p>
    <w:p>
      <w:pPr>
        <w:tabs>
          <w:tab w:pos="941" w:val="left" w:leader="none"/>
          <w:tab w:pos="5903" w:val="right" w:leader="none"/>
        </w:tabs>
        <w:spacing w:before="52"/>
        <w:ind w:left="151" w:right="0" w:firstLine="0"/>
        <w:jc w:val="left"/>
        <w:rPr>
          <w:rFonts w:ascii="Arial"/>
          <w:b/>
          <w:sz w:val="18"/>
        </w:rPr>
      </w:pPr>
      <w:r>
        <w:rPr>
          <w:b/>
          <w:color w:val="010101"/>
          <w:w w:val="105"/>
          <w:sz w:val="15"/>
        </w:rPr>
        <w:t>SEC.</w:t>
      </w:r>
      <w:r>
        <w:rPr>
          <w:b/>
          <w:color w:val="010101"/>
          <w:spacing w:val="28"/>
          <w:w w:val="105"/>
          <w:sz w:val="15"/>
        </w:rPr>
        <w:t> </w:t>
      </w:r>
      <w:r>
        <w:rPr>
          <w:rFonts w:ascii="Arial"/>
          <w:b/>
          <w:color w:val="010101"/>
          <w:w w:val="105"/>
          <w:sz w:val="18"/>
        </w:rPr>
        <w:t>3]</w:t>
        <w:tab/>
      </w:r>
      <w:r>
        <w:rPr>
          <w:b/>
          <w:color w:val="010101"/>
          <w:w w:val="105"/>
          <w:sz w:val="15"/>
        </w:rPr>
        <w:t>ANNUITIES   PAYABLE  MORE  THAN   ONCE </w:t>
      </w:r>
      <w:r>
        <w:rPr>
          <w:b/>
          <w:color w:val="010101"/>
          <w:spacing w:val="8"/>
          <w:w w:val="105"/>
          <w:sz w:val="15"/>
        </w:rPr>
        <w:t> </w:t>
      </w:r>
      <w:r>
        <w:rPr>
          <w:b/>
          <w:color w:val="010101"/>
          <w:w w:val="105"/>
          <w:sz w:val="15"/>
        </w:rPr>
        <w:t>A </w:t>
      </w:r>
      <w:r>
        <w:rPr>
          <w:b/>
          <w:color w:val="010101"/>
          <w:spacing w:val="23"/>
          <w:w w:val="105"/>
          <w:sz w:val="15"/>
        </w:rPr>
        <w:t> </w:t>
      </w:r>
      <w:r>
        <w:rPr>
          <w:b/>
          <w:color w:val="010101"/>
          <w:w w:val="105"/>
          <w:sz w:val="15"/>
        </w:rPr>
        <w:t>YEAR</w:t>
      </w:r>
      <w:r>
        <w:rPr>
          <w:rFonts w:ascii="Arial"/>
          <w:b/>
          <w:color w:val="010101"/>
          <w:w w:val="105"/>
          <w:sz w:val="18"/>
        </w:rPr>
        <w:tab/>
        <w:t>45</w:t>
      </w:r>
    </w:p>
    <w:p>
      <w:pPr>
        <w:spacing w:after="0"/>
        <w:jc w:val="left"/>
        <w:rPr>
          <w:rFonts w:ascii="Arial"/>
          <w:sz w:val="18"/>
        </w:rPr>
        <w:sectPr>
          <w:pgSz w:w="7200" w:h="11340"/>
          <w:pgMar w:top="520" w:bottom="280" w:left="620" w:right="500"/>
        </w:sectPr>
      </w:pPr>
    </w:p>
    <w:p>
      <w:pPr>
        <w:spacing w:before="465"/>
        <w:ind w:left="0" w:right="0" w:firstLine="0"/>
        <w:jc w:val="right"/>
        <w:rPr>
          <w:rFonts w:ascii="Arial"/>
          <w:b/>
          <w:sz w:val="13"/>
        </w:rPr>
      </w:pPr>
      <w:r>
        <w:rPr>
          <w:rFonts w:ascii="Arial"/>
          <w:b/>
          <w:color w:val="010101"/>
          <w:sz w:val="13"/>
        </w:rPr>
        <w:t>nlG(sJ</w:t>
      </w:r>
    </w:p>
    <w:p>
      <w:pPr>
        <w:pStyle w:val="BodyText"/>
        <w:spacing w:before="8"/>
        <w:rPr>
          <w:rFonts w:ascii="Arial"/>
          <w:b/>
          <w:sz w:val="27"/>
        </w:rPr>
      </w:pPr>
      <w:r>
        <w:rPr/>
        <w:br w:type="column"/>
      </w:r>
      <w:r>
        <w:rPr>
          <w:rFonts w:ascii="Arial"/>
          <w:b/>
          <w:sz w:val="27"/>
        </w:rPr>
      </w:r>
    </w:p>
    <w:p>
      <w:pPr>
        <w:tabs>
          <w:tab w:pos="1356" w:val="left" w:leader="none"/>
          <w:tab w:pos="2002" w:val="left" w:leader="none"/>
        </w:tabs>
        <w:spacing w:line="241" w:lineRule="exact" w:before="1"/>
        <w:ind w:left="287" w:right="0" w:firstLine="0"/>
        <w:jc w:val="left"/>
        <w:rPr>
          <w:i/>
          <w:sz w:val="21"/>
        </w:rPr>
      </w:pPr>
      <w:r>
        <w:rPr>
          <w:color w:val="010101"/>
          <w:w w:val="125"/>
          <w:sz w:val="16"/>
          <w:u w:val="single" w:color="000000"/>
        </w:rPr>
        <w:t>Nrs1+.+1</w:t>
      </w:r>
      <w:r>
        <w:rPr>
          <w:color w:val="010101"/>
          <w:w w:val="125"/>
          <w:sz w:val="16"/>
        </w:rPr>
        <w:tab/>
      </w:r>
      <w:r>
        <w:rPr>
          <w:color w:val="010101"/>
          <w:w w:val="125"/>
          <w:position w:val="-9"/>
          <w:sz w:val="20"/>
        </w:rPr>
        <w:t>for</w:t>
        <w:tab/>
      </w:r>
      <w:r>
        <w:rPr>
          <w:i/>
          <w:color w:val="010101"/>
          <w:w w:val="125"/>
          <w:position w:val="-9"/>
          <w:sz w:val="21"/>
        </w:rPr>
        <w:t>n &lt; </w:t>
      </w:r>
      <w:r>
        <w:rPr>
          <w:i/>
          <w:color w:val="010101"/>
          <w:w w:val="105"/>
          <w:position w:val="-9"/>
          <w:sz w:val="21"/>
        </w:rPr>
        <w:t>k  </w:t>
      </w:r>
      <w:r>
        <w:rPr>
          <w:i/>
          <w:color w:val="010101"/>
          <w:w w:val="220"/>
          <w:position w:val="-9"/>
          <w:sz w:val="21"/>
        </w:rPr>
        <w:t>-</w:t>
      </w:r>
      <w:r>
        <w:rPr>
          <w:i/>
          <w:color w:val="010101"/>
          <w:spacing w:val="-41"/>
          <w:w w:val="220"/>
          <w:position w:val="-9"/>
          <w:sz w:val="21"/>
        </w:rPr>
        <w:t> </w:t>
      </w:r>
      <w:r>
        <w:rPr>
          <w:i/>
          <w:color w:val="010101"/>
          <w:w w:val="105"/>
          <w:position w:val="-9"/>
          <w:sz w:val="21"/>
        </w:rPr>
        <w:t>1</w:t>
      </w:r>
    </w:p>
    <w:p>
      <w:pPr>
        <w:spacing w:line="210" w:lineRule="exact" w:before="0"/>
        <w:ind w:left="455" w:right="0" w:firstLine="0"/>
        <w:jc w:val="left"/>
        <w:rPr>
          <w:sz w:val="23"/>
        </w:rPr>
      </w:pPr>
      <w:r>
        <w:rPr>
          <w:color w:val="010101"/>
          <w:w w:val="85"/>
          <w:sz w:val="23"/>
        </w:rPr>
        <w:t>DrzJ</w:t>
      </w:r>
    </w:p>
    <w:p>
      <w:pPr>
        <w:tabs>
          <w:tab w:pos="1238" w:val="left" w:leader="none"/>
          <w:tab w:pos="1884" w:val="left" w:leader="none"/>
          <w:tab w:pos="2336" w:val="left" w:leader="none"/>
        </w:tabs>
        <w:spacing w:line="224" w:lineRule="exact" w:before="144"/>
        <w:ind w:left="287" w:right="0" w:firstLine="0"/>
        <w:jc w:val="left"/>
        <w:rPr>
          <w:i/>
          <w:sz w:val="21"/>
        </w:rPr>
      </w:pPr>
      <w:r>
        <w:rPr>
          <w:color w:val="010101"/>
          <w:w w:val="115"/>
          <w:position w:val="11"/>
          <w:sz w:val="16"/>
        </w:rPr>
        <w:t>Ns+.+1</w:t>
        <w:tab/>
      </w:r>
      <w:r>
        <w:rPr>
          <w:color w:val="010101"/>
          <w:w w:val="115"/>
          <w:sz w:val="20"/>
        </w:rPr>
        <w:t>for</w:t>
        <w:tab/>
      </w:r>
      <w:r>
        <w:rPr>
          <w:i/>
          <w:color w:val="010101"/>
          <w:w w:val="115"/>
          <w:sz w:val="21"/>
        </w:rPr>
        <w:t>n</w:t>
        <w:tab/>
        <w:t>k  </w:t>
      </w:r>
      <w:r>
        <w:rPr>
          <w:i/>
          <w:color w:val="010101"/>
          <w:w w:val="220"/>
          <w:sz w:val="21"/>
        </w:rPr>
        <w:t>-</w:t>
      </w:r>
      <w:r>
        <w:rPr>
          <w:i/>
          <w:color w:val="010101"/>
          <w:spacing w:val="-77"/>
          <w:w w:val="220"/>
          <w:sz w:val="21"/>
        </w:rPr>
        <w:t> </w:t>
      </w:r>
      <w:r>
        <w:rPr>
          <w:i/>
          <w:color w:val="010101"/>
          <w:w w:val="115"/>
          <w:sz w:val="21"/>
        </w:rPr>
        <w:t>1.</w:t>
      </w:r>
    </w:p>
    <w:p>
      <w:pPr>
        <w:spacing w:line="218" w:lineRule="exact" w:before="0"/>
        <w:ind w:left="61" w:right="0" w:firstLine="0"/>
        <w:jc w:val="left"/>
        <w:rPr>
          <w:sz w:val="16"/>
        </w:rPr>
      </w:pPr>
      <w:r>
        <w:rPr>
          <w:color w:val="010101"/>
          <w:sz w:val="26"/>
        </w:rPr>
        <w:t>=   </w:t>
      </w:r>
      <w:r>
        <w:rPr>
          <w:color w:val="010101"/>
          <w:sz w:val="16"/>
        </w:rPr>
        <w:t>D1</w:t>
      </w:r>
      <w:r>
        <w:rPr>
          <w:color w:val="010101"/>
          <w:sz w:val="16"/>
          <w:u w:val="thick" w:color="000000"/>
        </w:rPr>
        <w:t>s</w:t>
      </w:r>
      <w:r>
        <w:rPr>
          <w:color w:val="010101"/>
          <w:sz w:val="16"/>
        </w:rPr>
        <w:t>1</w:t>
      </w:r>
    </w:p>
    <w:p>
      <w:pPr>
        <w:spacing w:after="0" w:line="218" w:lineRule="exact"/>
        <w:jc w:val="left"/>
        <w:rPr>
          <w:sz w:val="16"/>
        </w:rPr>
        <w:sectPr>
          <w:type w:val="continuous"/>
          <w:pgSz w:w="7200" w:h="11340"/>
          <w:pgMar w:top="1100" w:bottom="0" w:left="620" w:right="500"/>
          <w:cols w:num="2" w:equalWidth="0">
            <w:col w:w="1727" w:space="40"/>
            <w:col w:w="4313"/>
          </w:cols>
        </w:sectPr>
      </w:pPr>
    </w:p>
    <w:p>
      <w:pPr>
        <w:spacing w:line="249" w:lineRule="auto" w:before="90"/>
        <w:ind w:left="169" w:right="151" w:firstLine="197"/>
        <w:jc w:val="both"/>
        <w:rPr>
          <w:sz w:val="20"/>
        </w:rPr>
      </w:pPr>
      <w:r>
        <w:rPr>
          <w:color w:val="010101"/>
          <w:w w:val="105"/>
          <w:sz w:val="22"/>
        </w:rPr>
        <w:t>In </w:t>
      </w:r>
      <w:r>
        <w:rPr>
          <w:color w:val="010101"/>
          <w:w w:val="105"/>
          <w:sz w:val="20"/>
        </w:rPr>
        <w:t>the following pages, the word </w:t>
      </w:r>
      <w:r>
        <w:rPr>
          <w:i/>
          <w:color w:val="010101"/>
          <w:spacing w:val="2"/>
          <w:w w:val="105"/>
          <w:sz w:val="21"/>
        </w:rPr>
        <w:t>annuity </w:t>
      </w:r>
      <w:r>
        <w:rPr>
          <w:color w:val="010101"/>
          <w:w w:val="105"/>
          <w:sz w:val="20"/>
        </w:rPr>
        <w:t>will nonnally ref er to a </w:t>
      </w:r>
      <w:r>
        <w:rPr>
          <w:rFonts w:ascii="Arial"/>
          <w:i/>
          <w:color w:val="010101"/>
          <w:spacing w:val="3"/>
          <w:w w:val="105"/>
          <w:sz w:val="20"/>
        </w:rPr>
        <w:t>lif</w:t>
      </w:r>
      <w:r>
        <w:rPr>
          <w:rFonts w:ascii="Arial"/>
          <w:i/>
          <w:color w:val="010101"/>
          <w:spacing w:val="3"/>
          <w:w w:val="105"/>
          <w:sz w:val="17"/>
        </w:rPr>
        <w:t>e </w:t>
      </w:r>
      <w:r>
        <w:rPr>
          <w:color w:val="010101"/>
          <w:w w:val="105"/>
          <w:sz w:val="20"/>
        </w:rPr>
        <w:t>annuity. Whenever life contingencies are  not  involved,  the tenn  </w:t>
      </w:r>
      <w:r>
        <w:rPr>
          <w:i/>
          <w:color w:val="010101"/>
          <w:w w:val="105"/>
          <w:sz w:val="20"/>
        </w:rPr>
        <w:t>annuity-certain  </w:t>
      </w:r>
      <w:r>
        <w:rPr>
          <w:color w:val="010101"/>
          <w:w w:val="105"/>
          <w:sz w:val="20"/>
        </w:rPr>
        <w:t>will </w:t>
      </w:r>
      <w:r>
        <w:rPr>
          <w:color w:val="010101"/>
          <w:w w:val="105"/>
          <w:sz w:val="19"/>
        </w:rPr>
        <w:t>be</w:t>
      </w:r>
      <w:r>
        <w:rPr>
          <w:color w:val="010101"/>
          <w:spacing w:val="4"/>
          <w:w w:val="105"/>
          <w:sz w:val="19"/>
        </w:rPr>
        <w:t> </w:t>
      </w:r>
      <w:r>
        <w:rPr>
          <w:color w:val="010101"/>
          <w:w w:val="105"/>
          <w:sz w:val="20"/>
        </w:rPr>
        <w:t>used.</w:t>
      </w:r>
    </w:p>
    <w:p>
      <w:pPr>
        <w:pStyle w:val="ListParagraph"/>
        <w:numPr>
          <w:ilvl w:val="0"/>
          <w:numId w:val="20"/>
        </w:numPr>
        <w:tabs>
          <w:tab w:pos="389" w:val="left" w:leader="none"/>
        </w:tabs>
        <w:spacing w:line="240" w:lineRule="auto" w:before="173" w:after="0"/>
        <w:ind w:left="388" w:right="0" w:hanging="219"/>
        <w:jc w:val="left"/>
        <w:rPr>
          <w:b/>
          <w:color w:val="010101"/>
          <w:sz w:val="19"/>
        </w:rPr>
      </w:pPr>
      <w:r>
        <w:rPr>
          <w:b/>
          <w:color w:val="010101"/>
          <w:w w:val="120"/>
          <w:sz w:val="19"/>
        </w:rPr>
        <w:t>Annuities payable more frequently than once a</w:t>
      </w:r>
      <w:r>
        <w:rPr>
          <w:b/>
          <w:color w:val="010101"/>
          <w:spacing w:val="56"/>
          <w:w w:val="120"/>
          <w:sz w:val="19"/>
        </w:rPr>
        <w:t> </w:t>
      </w:r>
      <w:r>
        <w:rPr>
          <w:b/>
          <w:color w:val="010101"/>
          <w:w w:val="120"/>
          <w:sz w:val="19"/>
        </w:rPr>
        <w:t>year</w:t>
      </w:r>
    </w:p>
    <w:p>
      <w:pPr>
        <w:pStyle w:val="BodyText"/>
        <w:spacing w:line="249" w:lineRule="auto" w:before="70"/>
        <w:ind w:left="166" w:right="161" w:firstLine="211"/>
        <w:jc w:val="both"/>
      </w:pPr>
      <w:r>
        <w:rPr>
          <w:color w:val="010101"/>
          <w:w w:val="105"/>
          <w:sz w:val="22"/>
        </w:rPr>
        <w:t>In </w:t>
      </w:r>
      <w:r>
        <w:rPr>
          <w:color w:val="010101"/>
          <w:w w:val="105"/>
        </w:rPr>
        <w:t>practice, life annuities are often payable on a semi-annual, quarterly, or monthly basis. The  present  value  of  an  immediate lüe annuity of  1 paya.ble </w:t>
      </w:r>
      <w:r>
        <w:rPr>
          <w:rFonts w:ascii="Arial" w:hAnsi="Arial"/>
          <w:i/>
          <w:color w:val="010101"/>
          <w:w w:val="105"/>
          <w:sz w:val="18"/>
        </w:rPr>
        <w:t>m </w:t>
      </w:r>
      <w:r>
        <w:rPr>
          <w:color w:val="010101"/>
          <w:w w:val="105"/>
        </w:rPr>
        <w:t>time.s a year to a life aged </w:t>
      </w:r>
      <w:r>
        <w:rPr>
          <w:rFonts w:ascii="Arial" w:hAnsi="Arial"/>
          <w:i/>
          <w:color w:val="010101"/>
          <w:w w:val="105"/>
          <w:sz w:val="18"/>
        </w:rPr>
        <w:t>x </w:t>
      </w:r>
      <w:r>
        <w:rPr>
          <w:color w:val="010101"/>
          <w:w w:val="105"/>
        </w:rPr>
        <w:t>is  denoted</w:t>
      </w:r>
    </w:p>
    <w:p>
      <w:pPr>
        <w:pStyle w:val="BodyText"/>
        <w:spacing w:line="241" w:lineRule="exact"/>
        <w:ind w:left="176"/>
      </w:pPr>
      <w:r>
        <w:rPr>
          <w:color w:val="010101"/>
        </w:rPr>
        <w:t>by  </w:t>
      </w:r>
      <w:r>
        <w:rPr>
          <w:rFonts w:ascii="Arial"/>
          <w:i/>
          <w:color w:val="010101"/>
          <w:w w:val="90"/>
          <w:sz w:val="28"/>
        </w:rPr>
        <w:t>a! </w:t>
      </w:r>
      <w:r>
        <w:rPr>
          <w:rFonts w:ascii="Arial"/>
          <w:i/>
          <w:color w:val="010101"/>
          <w:w w:val="90"/>
          <w:sz w:val="19"/>
        </w:rPr>
        <w:t>m&gt; </w:t>
      </w:r>
      <w:r>
        <w:rPr>
          <w:rFonts w:ascii="Arial"/>
          <w:i/>
          <w:color w:val="010101"/>
          <w:sz w:val="19"/>
        </w:rPr>
        <w:t>. </w:t>
      </w:r>
      <w:r>
        <w:rPr>
          <w:color w:val="010101"/>
        </w:rPr>
        <w:t>This  serie.s  of  payments,  contingent  on  the  survival  of</w:t>
      </w:r>
    </w:p>
    <w:p>
      <w:pPr>
        <w:tabs>
          <w:tab w:pos="3324" w:val="left" w:leader="none"/>
          <w:tab w:pos="4674" w:val="left" w:leader="none"/>
        </w:tabs>
        <w:spacing w:line="168" w:lineRule="exact" w:before="0"/>
        <w:ind w:left="995" w:right="0" w:firstLine="0"/>
        <w:jc w:val="left"/>
        <w:rPr>
          <w:rFonts w:ascii="Arial"/>
          <w:sz w:val="19"/>
        </w:rPr>
      </w:pPr>
      <w:r>
        <w:rPr/>
        <w:pict>
          <v:shape style="position:absolute;margin-left:251.605194pt;margin-top:2.996215pt;width:20.350pt;height:15.5pt;mso-position-horizontal-relative:page;mso-position-vertical-relative:paragraph;z-index:-732352" type="#_x0000_t202" filled="false" stroked="false">
            <v:textbox inset="0,0,0,0">
              <w:txbxContent>
                <w:p>
                  <w:pPr>
                    <w:spacing w:line="310" w:lineRule="exact" w:before="0"/>
                    <w:ind w:left="0" w:right="-19" w:firstLine="0"/>
                    <w:jc w:val="left"/>
                    <w:rPr>
                      <w:rFonts w:ascii="Arial"/>
                      <w:sz w:val="31"/>
                    </w:rPr>
                  </w:pPr>
                  <w:r>
                    <w:rPr>
                      <w:rFonts w:ascii="Arial"/>
                      <w:color w:val="010101"/>
                      <w:w w:val="125"/>
                      <w:sz w:val="31"/>
                    </w:rPr>
                    <w:t>+</w:t>
                  </w:r>
                  <w:r>
                    <w:rPr>
                      <w:rFonts w:ascii="Arial"/>
                      <w:color w:val="010101"/>
                      <w:spacing w:val="-63"/>
                      <w:w w:val="125"/>
                      <w:sz w:val="31"/>
                    </w:rPr>
                    <w:t> </w:t>
                  </w:r>
                  <w:r>
                    <w:rPr>
                      <w:rFonts w:ascii="Arial"/>
                      <w:color w:val="010101"/>
                      <w:w w:val="130"/>
                      <w:sz w:val="31"/>
                    </w:rPr>
                    <w:t>-</w:t>
                  </w:r>
                </w:p>
              </w:txbxContent>
            </v:textbox>
            <w10:wrap type="none"/>
          </v:shape>
        </w:pict>
      </w:r>
      <w:r>
        <w:rPr>
          <w:rFonts w:ascii="Arial"/>
          <w:color w:val="010101"/>
          <w:w w:val="135"/>
          <w:sz w:val="19"/>
        </w:rPr>
        <w:t>.</w:t>
        <w:tab/>
        <w:t>1</w:t>
        <w:tab/>
        <w:t>1</w:t>
      </w:r>
    </w:p>
    <w:p>
      <w:pPr>
        <w:pStyle w:val="BodyText"/>
        <w:tabs>
          <w:tab w:pos="4907" w:val="left" w:leader="none"/>
        </w:tabs>
        <w:spacing w:line="133" w:lineRule="exact"/>
        <w:ind w:left="209"/>
      </w:pPr>
      <w:r>
        <w:rPr>
          <w:color w:val="010101"/>
          <w:w w:val="110"/>
        </w:rPr>
        <w:t>(x), consists of  a first  payment  of </w:t>
      </w:r>
      <w:r>
        <w:rPr>
          <w:color w:val="010101"/>
          <w:w w:val="225"/>
        </w:rPr>
        <w:t>- </w:t>
      </w:r>
      <w:r>
        <w:rPr>
          <w:color w:val="010101"/>
          <w:w w:val="110"/>
        </w:rPr>
        <w:t>at</w:t>
      </w:r>
      <w:r>
        <w:rPr>
          <w:color w:val="010101"/>
          <w:spacing w:val="14"/>
          <w:w w:val="110"/>
        </w:rPr>
        <w:t> </w:t>
      </w:r>
      <w:r>
        <w:rPr>
          <w:color w:val="010101"/>
          <w:w w:val="110"/>
        </w:rPr>
        <w:t>age</w:t>
      </w:r>
      <w:r>
        <w:rPr>
          <w:color w:val="010101"/>
          <w:spacing w:val="10"/>
          <w:w w:val="110"/>
        </w:rPr>
        <w:t> </w:t>
      </w:r>
      <w:r>
        <w:rPr>
          <w:i/>
          <w:color w:val="010101"/>
          <w:w w:val="110"/>
        </w:rPr>
        <w:t>x</w:t>
        <w:tab/>
      </w:r>
      <w:r>
        <w:rPr>
          <w:color w:val="010101"/>
          <w:w w:val="105"/>
        </w:rPr>
        <w:t>followed</w:t>
      </w:r>
      <w:r>
        <w:rPr>
          <w:color w:val="010101"/>
          <w:spacing w:val="-1"/>
          <w:w w:val="105"/>
        </w:rPr>
        <w:t> </w:t>
      </w:r>
      <w:r>
        <w:rPr>
          <w:color w:val="010101"/>
          <w:w w:val="105"/>
        </w:rPr>
        <w:t>by</w:t>
      </w:r>
    </w:p>
    <w:p>
      <w:pPr>
        <w:tabs>
          <w:tab w:pos="4659" w:val="left" w:leader="none"/>
        </w:tabs>
        <w:spacing w:line="184" w:lineRule="exact" w:before="0"/>
        <w:ind w:left="3310" w:right="0" w:firstLine="0"/>
        <w:jc w:val="left"/>
        <w:rPr>
          <w:rFonts w:ascii="Courier New"/>
          <w:i/>
          <w:sz w:val="22"/>
        </w:rPr>
      </w:pPr>
      <w:r>
        <w:rPr>
          <w:rFonts w:ascii="Courier New"/>
          <w:i/>
          <w:color w:val="010101"/>
          <w:w w:val="120"/>
          <w:sz w:val="22"/>
        </w:rPr>
        <w:t>m</w:t>
        <w:tab/>
        <w:t>m</w:t>
      </w:r>
    </w:p>
    <w:p>
      <w:pPr>
        <w:pStyle w:val="BodyText"/>
        <w:spacing w:line="163" w:lineRule="exact"/>
        <w:ind w:left="208"/>
        <w:jc w:val="center"/>
      </w:pPr>
      <w:r>
        <w:rPr>
          <w:color w:val="010101"/>
          <w:w w:val="128"/>
        </w:rPr>
        <w:t>1</w:t>
      </w:r>
    </w:p>
    <w:p>
      <w:pPr>
        <w:pStyle w:val="BodyText"/>
        <w:spacing w:line="144" w:lineRule="exact"/>
        <w:ind w:left="64" w:right="50"/>
        <w:jc w:val="center"/>
      </w:pPr>
      <w:r>
        <w:rPr>
          <w:color w:val="010101"/>
          <w:w w:val="110"/>
        </w:rPr>
        <w:t>similar payments at intervals of </w:t>
      </w:r>
      <w:r>
        <w:rPr>
          <w:color w:val="010101"/>
          <w:w w:val="205"/>
        </w:rPr>
        <w:t>- </w:t>
      </w:r>
      <w:r>
        <w:rPr>
          <w:color w:val="010101"/>
          <w:w w:val="110"/>
        </w:rPr>
        <w:t>years. The present value  may</w:t>
      </w:r>
    </w:p>
    <w:p>
      <w:pPr>
        <w:spacing w:line="162" w:lineRule="exact" w:before="0"/>
        <w:ind w:left="202" w:right="0" w:firstLine="0"/>
        <w:jc w:val="center"/>
        <w:rPr>
          <w:rFonts w:ascii="Arial"/>
          <w:i/>
          <w:sz w:val="18"/>
        </w:rPr>
      </w:pPr>
      <w:r>
        <w:rPr>
          <w:rFonts w:ascii="Arial"/>
          <w:i/>
          <w:color w:val="010101"/>
          <w:w w:val="104"/>
          <w:sz w:val="18"/>
        </w:rPr>
        <w:t>m</w:t>
      </w:r>
    </w:p>
    <w:p>
      <w:pPr>
        <w:pStyle w:val="BodyText"/>
        <w:spacing w:before="16"/>
        <w:ind w:left="176"/>
      </w:pPr>
      <w:r>
        <w:rPr/>
        <w:drawing>
          <wp:anchor distT="0" distB="0" distL="0" distR="0" allowOverlap="1" layoutInCell="1" locked="0" behindDoc="0" simplePos="0" relativeHeight="3640">
            <wp:simplePos x="0" y="0"/>
            <wp:positionH relativeFrom="page">
              <wp:posOffset>1289303</wp:posOffset>
            </wp:positionH>
            <wp:positionV relativeFrom="paragraph">
              <wp:posOffset>50918</wp:posOffset>
            </wp:positionV>
            <wp:extent cx="2414016" cy="493776"/>
            <wp:effectExtent l="0" t="0" r="0" b="0"/>
            <wp:wrapNone/>
            <wp:docPr id="73" name="image41.png" descr=""/>
            <wp:cNvGraphicFramePr>
              <a:graphicFrameLocks noChangeAspect="1"/>
            </wp:cNvGraphicFramePr>
            <a:graphic>
              <a:graphicData uri="http://schemas.openxmlformats.org/drawingml/2006/picture">
                <pic:pic>
                  <pic:nvPicPr>
                    <pic:cNvPr id="74" name="image41.png"/>
                    <pic:cNvPicPr/>
                  </pic:nvPicPr>
                  <pic:blipFill>
                    <a:blip r:embed="rId45" cstate="print"/>
                    <a:stretch>
                      <a:fillRect/>
                    </a:stretch>
                  </pic:blipFill>
                  <pic:spPr>
                    <a:xfrm>
                      <a:off x="0" y="0"/>
                      <a:ext cx="2414016" cy="493776"/>
                    </a:xfrm>
                    <a:prstGeom prst="rect">
                      <a:avLst/>
                    </a:prstGeom>
                  </pic:spPr>
                </pic:pic>
              </a:graphicData>
            </a:graphic>
          </wp:anchor>
        </w:drawing>
      </w:r>
      <w:r>
        <w:rPr>
          <w:color w:val="010101"/>
          <w:w w:val="105"/>
        </w:rPr>
        <w:t>be written</w:t>
      </w:r>
    </w:p>
    <w:p>
      <w:pPr>
        <w:pStyle w:val="BodyText"/>
        <w:spacing w:before="8"/>
        <w:rPr>
          <w:sz w:val="28"/>
        </w:rPr>
      </w:pPr>
    </w:p>
    <w:p>
      <w:pPr>
        <w:spacing w:before="1"/>
        <w:ind w:left="338" w:right="0" w:firstLine="0"/>
        <w:jc w:val="left"/>
        <w:rPr>
          <w:i/>
          <w:sz w:val="15"/>
        </w:rPr>
      </w:pPr>
      <w:r>
        <w:rPr>
          <w:i/>
          <w:color w:val="010101"/>
          <w:w w:val="171"/>
          <w:sz w:val="15"/>
        </w:rPr>
        <w:t>r</w:t>
      </w:r>
    </w:p>
    <w:p>
      <w:pPr>
        <w:pStyle w:val="BodyText"/>
        <w:spacing w:before="5"/>
        <w:rPr>
          <w:i/>
          <w:sz w:val="13"/>
        </w:rPr>
      </w:pPr>
    </w:p>
    <w:p>
      <w:pPr>
        <w:pStyle w:val="BodyText"/>
        <w:spacing w:line="242" w:lineRule="auto" w:before="75"/>
        <w:ind w:left="169" w:right="151"/>
        <w:jc w:val="both"/>
      </w:pPr>
      <w:r>
        <w:rPr>
          <w:color w:val="010101"/>
        </w:rPr>
        <w:t>The upper limit of </w:t>
      </w:r>
      <w:r>
        <w:rPr>
          <w:rFonts w:ascii="Arial" w:hAnsi="Arial"/>
          <w:i/>
          <w:color w:val="010101"/>
          <w:sz w:val="18"/>
        </w:rPr>
        <w:t>m </w:t>
      </w:r>
      <w:r>
        <w:rPr>
          <w:i/>
          <w:color w:val="010101"/>
        </w:rPr>
        <w:t>(w </w:t>
      </w:r>
      <w:r>
        <w:rPr>
          <w:color w:val="010101"/>
          <w:w w:val="255"/>
        </w:rPr>
        <w:t>- </w:t>
      </w:r>
      <w:r>
        <w:rPr>
          <w:color w:val="010101"/>
        </w:rPr>
        <w:t>x) has been written as </w:t>
      </w:r>
      <w:r>
        <w:rPr>
          <w:color w:val="010101"/>
          <w:sz w:val="17"/>
        </w:rPr>
        <w:t>oo </w:t>
      </w:r>
      <w:r>
        <w:rPr>
          <w:color w:val="010101"/>
          <w:w w:val="130"/>
          <w:sz w:val="17"/>
        </w:rPr>
        <w:t>. </w:t>
      </w:r>
      <w:r>
        <w:rPr>
          <w:color w:val="010101"/>
        </w:rPr>
        <w:t>This </w:t>
      </w:r>
      <w:r>
        <w:rPr>
          <w:rFonts w:ascii="Arial" w:hAnsi="Arial"/>
          <w:color w:val="010101"/>
        </w:rPr>
        <w:t>is </w:t>
      </w:r>
      <w:r>
        <w:rPr>
          <w:color w:val="010101"/>
        </w:rPr>
        <w:t>a con­ venient device which </w:t>
      </w:r>
      <w:r>
        <w:rPr>
          <w:rFonts w:ascii="Arial" w:hAnsi="Arial"/>
          <w:color w:val="010101"/>
        </w:rPr>
        <w:t>is </w:t>
      </w:r>
      <w:r>
        <w:rPr>
          <w:color w:val="010101"/>
        </w:rPr>
        <w:t>often used to indicate that a  summation extends to the upper limit of the life-span. The value of the  sum­ mation  </w:t>
      </w:r>
      <w:r>
        <w:rPr>
          <w:color w:val="010101"/>
          <w:sz w:val="19"/>
        </w:rPr>
        <w:t>is  </w:t>
      </w:r>
      <w:r>
        <w:rPr>
          <w:color w:val="010101"/>
        </w:rPr>
        <w:t>not  affected,  since </w:t>
      </w:r>
      <w:r>
        <w:rPr>
          <w:i/>
          <w:color w:val="010101"/>
          <w:spacing w:val="3"/>
          <w:sz w:val="16"/>
        </w:rPr>
        <w:t>Ds+tfm   </w:t>
      </w:r>
      <w:r>
        <w:rPr>
          <w:color w:val="010101"/>
          <w:sz w:val="23"/>
        </w:rPr>
        <w:t>=  </w:t>
      </w:r>
      <w:r>
        <w:rPr>
          <w:color w:val="010101"/>
        </w:rPr>
        <w:t>O for  </w:t>
      </w:r>
      <w:r>
        <w:rPr>
          <w:i/>
          <w:color w:val="010101"/>
          <w:sz w:val="21"/>
        </w:rPr>
        <w:t>t       </w:t>
      </w:r>
      <w:r>
        <w:rPr>
          <w:rFonts w:ascii="Arial" w:hAnsi="Arial"/>
          <w:i/>
          <w:color w:val="010101"/>
          <w:sz w:val="19"/>
        </w:rPr>
        <w:t>m(w  </w:t>
      </w:r>
      <w:r>
        <w:rPr>
          <w:rFonts w:ascii="Arial" w:hAnsi="Arial"/>
          <w:color w:val="010101"/>
          <w:w w:val="255"/>
          <w:sz w:val="19"/>
        </w:rPr>
        <w:t>-</w:t>
      </w:r>
      <w:r>
        <w:rPr>
          <w:rFonts w:ascii="Arial" w:hAnsi="Arial"/>
          <w:color w:val="010101"/>
          <w:spacing w:val="-85"/>
          <w:w w:val="255"/>
          <w:sz w:val="19"/>
        </w:rPr>
        <w:t> </w:t>
      </w:r>
      <w:r>
        <w:rPr>
          <w:color w:val="010101"/>
        </w:rPr>
        <w:t>x).</w:t>
      </w:r>
    </w:p>
    <w:p>
      <w:pPr>
        <w:pStyle w:val="BodyText"/>
        <w:spacing w:line="240" w:lineRule="exact"/>
        <w:ind w:left="169" w:firstLine="208"/>
      </w:pPr>
      <w:r>
        <w:rPr>
          <w:color w:val="010101"/>
          <w:sz w:val="21"/>
        </w:rPr>
        <w:t>If  </w:t>
      </w:r>
      <w:r>
        <w:rPr>
          <w:color w:val="010101"/>
        </w:rPr>
        <w:t>it is necessary  to evaluate </w:t>
      </w:r>
      <w:r>
        <w:rPr>
          <w:rFonts w:ascii="Arial"/>
          <w:i/>
          <w:color w:val="010101"/>
          <w:w w:val="90"/>
          <w:sz w:val="28"/>
        </w:rPr>
        <w:t>a!"'&gt; </w:t>
      </w:r>
      <w:r>
        <w:rPr>
          <w:color w:val="010101"/>
        </w:rPr>
        <w:t>in terms of mortality  table  data</w:t>
      </w:r>
    </w:p>
    <w:p>
      <w:pPr>
        <w:pStyle w:val="BodyText"/>
        <w:spacing w:line="254" w:lineRule="auto"/>
        <w:ind w:left="169" w:right="154"/>
        <w:jc w:val="both"/>
      </w:pPr>
      <w:r>
        <w:rPr>
          <w:color w:val="010101"/>
          <w:w w:val="105"/>
        </w:rPr>
        <w:t>for which the mathematical fonn of  </w:t>
      </w:r>
      <w:r>
        <w:rPr>
          <w:i/>
          <w:color w:val="010101"/>
          <w:w w:val="105"/>
        </w:rPr>
        <w:t>ls  </w:t>
      </w:r>
      <w:r>
        <w:rPr>
          <w:color w:val="010101"/>
          <w:w w:val="105"/>
        </w:rPr>
        <w:t>is unknown,  as  is usually the case in practice,  a difficulty  arises in that </w:t>
      </w:r>
      <w:r>
        <w:rPr>
          <w:i/>
          <w:color w:val="010101"/>
          <w:w w:val="105"/>
          <w:sz w:val="16"/>
        </w:rPr>
        <w:t>Ds+t/m  </w:t>
      </w:r>
      <w:r>
        <w:rPr>
          <w:color w:val="010101"/>
          <w:w w:val="105"/>
        </w:rPr>
        <w:t>is not  defined</w:t>
      </w:r>
    </w:p>
    <w:p>
      <w:pPr>
        <w:spacing w:line="300" w:lineRule="exact" w:before="8"/>
        <w:ind w:left="173" w:right="0" w:firstLine="0"/>
        <w:jc w:val="both"/>
        <w:rPr>
          <w:sz w:val="20"/>
        </w:rPr>
      </w:pPr>
      <w:r>
        <w:rPr>
          <w:b/>
          <w:color w:val="010101"/>
          <w:sz w:val="19"/>
        </w:rPr>
        <w:t>when </w:t>
      </w:r>
      <w:r>
        <w:rPr>
          <w:i/>
          <w:color w:val="010101"/>
          <w:sz w:val="20"/>
        </w:rPr>
        <w:t>x  </w:t>
      </w:r>
      <w:r>
        <w:rPr>
          <w:rFonts w:ascii="Arial" w:hAnsi="Arial"/>
          <w:color w:val="010101"/>
          <w:sz w:val="31"/>
        </w:rPr>
        <w:t>+ </w:t>
      </w:r>
      <w:r>
        <w:rPr>
          <w:rFonts w:ascii="Arial" w:hAnsi="Arial"/>
          <w:i/>
          <w:color w:val="010101"/>
          <w:sz w:val="21"/>
        </w:rPr>
        <w:t>.!_ </w:t>
      </w:r>
      <w:r>
        <w:rPr>
          <w:rFonts w:ascii="Arial" w:hAnsi="Arial"/>
          <w:color w:val="010101"/>
          <w:sz w:val="20"/>
        </w:rPr>
        <w:t>is </w:t>
      </w:r>
      <w:r>
        <w:rPr>
          <w:color w:val="010101"/>
          <w:sz w:val="20"/>
        </w:rPr>
        <w:t>fractional. However,  the expression  </w:t>
      </w:r>
      <w:r>
        <w:rPr>
          <w:color w:val="010101"/>
          <w:sz w:val="19"/>
        </w:rPr>
        <w:t>L;°_1 </w:t>
      </w:r>
      <w:r>
        <w:rPr>
          <w:i/>
          <w:color w:val="010101"/>
          <w:sz w:val="16"/>
        </w:rPr>
        <w:t>Dz+t/m </w:t>
      </w:r>
      <w:r>
        <w:rPr>
          <w:color w:val="010101"/>
          <w:sz w:val="20"/>
        </w:rPr>
        <w:t>can</w:t>
      </w:r>
    </w:p>
    <w:p>
      <w:pPr>
        <w:spacing w:line="151" w:lineRule="exact" w:before="0"/>
        <w:ind w:left="1077" w:right="0" w:firstLine="0"/>
        <w:jc w:val="left"/>
        <w:rPr>
          <w:rFonts w:ascii="Arial"/>
          <w:i/>
          <w:sz w:val="18"/>
        </w:rPr>
      </w:pPr>
      <w:r>
        <w:rPr>
          <w:rFonts w:ascii="Arial"/>
          <w:i/>
          <w:color w:val="010101"/>
          <w:w w:val="104"/>
          <w:sz w:val="18"/>
        </w:rPr>
        <w:t>m</w:t>
      </w:r>
    </w:p>
    <w:p>
      <w:pPr>
        <w:pStyle w:val="BodyText"/>
        <w:spacing w:line="247" w:lineRule="auto" w:before="9"/>
        <w:ind w:left="169" w:right="153"/>
        <w:jc w:val="both"/>
      </w:pPr>
      <w:r>
        <w:rPr>
          <w:color w:val="010101"/>
          <w:w w:val="105"/>
        </w:rPr>
        <w:t>be approximated </w:t>
      </w:r>
      <w:r>
        <w:rPr>
          <w:color w:val="010101"/>
          <w:w w:val="105"/>
          <w:sz w:val="19"/>
        </w:rPr>
        <w:t>in </w:t>
      </w:r>
      <w:r>
        <w:rPr>
          <w:color w:val="010101"/>
          <w:w w:val="105"/>
        </w:rPr>
        <w:t>severa} ways. Using Woolhouse's formula, for example, we may write</w:t>
      </w:r>
    </w:p>
    <w:p>
      <w:pPr>
        <w:tabs>
          <w:tab w:pos="668" w:val="left" w:leader="none"/>
        </w:tabs>
        <w:spacing w:before="52"/>
        <w:ind w:left="323" w:right="0" w:firstLine="0"/>
        <w:jc w:val="left"/>
        <w:rPr>
          <w:rFonts w:ascii="Arial"/>
          <w:b/>
          <w:sz w:val="8"/>
        </w:rPr>
      </w:pPr>
      <w:r>
        <w:rPr>
          <w:b/>
          <w:color w:val="010101"/>
          <w:w w:val="90"/>
          <w:sz w:val="21"/>
        </w:rPr>
        <w:t>1</w:t>
        <w:tab/>
      </w:r>
      <w:r>
        <w:rPr>
          <w:rFonts w:ascii="Arial"/>
          <w:b/>
          <w:color w:val="010101"/>
          <w:w w:val="90"/>
          <w:sz w:val="8"/>
        </w:rPr>
        <w:t>CIO</w:t>
      </w:r>
    </w:p>
    <w:p>
      <w:pPr>
        <w:spacing w:before="1"/>
        <w:ind w:left="158" w:right="0" w:firstLine="0"/>
        <w:jc w:val="both"/>
        <w:rPr>
          <w:b/>
          <w:i/>
          <w:sz w:val="17"/>
        </w:rPr>
      </w:pPr>
      <w:r>
        <w:rPr/>
        <w:pict>
          <v:line style="position:absolute;mso-position-horizontal-relative:page;mso-position-vertical-relative:paragraph;z-index:-732400" from="38.943169pt,10.322604pt" to="54.376869pt,10.322604pt" stroked="true" strokeweight="4.666002pt" strokecolor="#000000">
            <w10:wrap type="none"/>
          </v:line>
        </w:pict>
      </w:r>
      <w:r>
        <w:rPr>
          <w:i/>
          <w:color w:val="010101"/>
          <w:position w:val="-8"/>
          <w:sz w:val="21"/>
        </w:rPr>
        <w:t>mD</w:t>
      </w:r>
      <w:r>
        <w:rPr>
          <w:color w:val="010101"/>
          <w:position w:val="-10"/>
          <w:sz w:val="12"/>
        </w:rPr>
        <w:t>z  </w:t>
      </w:r>
      <w:r>
        <w:rPr>
          <w:rFonts w:ascii="Arial"/>
          <w:b/>
          <w:color w:val="010101"/>
          <w:position w:val="-10"/>
          <w:sz w:val="23"/>
        </w:rPr>
        <w:t>,-1</w:t>
      </w:r>
      <w:r>
        <w:rPr>
          <w:b/>
          <w:i/>
          <w:color w:val="010101"/>
          <w:sz w:val="17"/>
        </w:rPr>
        <w:t>Dz+t /m</w:t>
      </w:r>
    </w:p>
    <w:p>
      <w:pPr>
        <w:tabs>
          <w:tab w:pos="2814" w:val="left" w:leader="none"/>
          <w:tab w:pos="4006" w:val="left" w:leader="none"/>
        </w:tabs>
        <w:spacing w:line="269" w:lineRule="exact" w:before="76"/>
        <w:ind w:left="1486" w:right="0" w:firstLine="0"/>
        <w:jc w:val="left"/>
        <w:rPr>
          <w:i/>
          <w:sz w:val="16"/>
        </w:rPr>
      </w:pPr>
      <w:r>
        <w:rPr/>
        <w:pict>
          <v:shape style="position:absolute;margin-left:302.572296pt;margin-top:2.686054pt;width:27.25pt;height:31pt;mso-position-horizontal-relative:page;mso-position-vertical-relative:paragraph;z-index:3736" type="#_x0000_t202" filled="false" stroked="false">
            <v:textbox inset="0,0,0,0">
              <w:txbxContent>
                <w:p>
                  <w:pPr>
                    <w:spacing w:line="620" w:lineRule="exact" w:before="0"/>
                    <w:ind w:left="0" w:right="-19" w:firstLine="0"/>
                    <w:jc w:val="left"/>
                    <w:rPr>
                      <w:rFonts w:ascii="Arial" w:hAnsi="Arial"/>
                      <w:sz w:val="62"/>
                    </w:rPr>
                  </w:pPr>
                  <w:r>
                    <w:rPr>
                      <w:rFonts w:ascii="Arial" w:hAnsi="Arial"/>
                      <w:color w:val="010101"/>
                      <w:spacing w:val="32"/>
                      <w:w w:val="32"/>
                      <w:sz w:val="62"/>
                    </w:rPr>
                    <w:t>·</w:t>
                  </w:r>
                  <w:r>
                    <w:rPr>
                      <w:rFonts w:ascii="Arial" w:hAnsi="Arial"/>
                      <w:color w:val="010101"/>
                      <w:spacing w:val="25"/>
                      <w:w w:val="32"/>
                      <w:sz w:val="62"/>
                    </w:rPr>
                    <w:t>·</w:t>
                  </w:r>
                  <w:r>
                    <w:rPr>
                      <w:rFonts w:ascii="Arial" w:hAnsi="Arial"/>
                      <w:color w:val="010101"/>
                      <w:w w:val="113"/>
                      <w:sz w:val="62"/>
                    </w:rPr>
                    <w:t>J</w:t>
                  </w:r>
                </w:p>
              </w:txbxContent>
            </v:textbox>
            <w10:wrap type="none"/>
          </v:shape>
        </w:pict>
      </w:r>
      <w:r>
        <w:rPr>
          <w:color w:val="010101"/>
          <w:w w:val="115"/>
          <w:sz w:val="20"/>
        </w:rPr>
        <w:t>1</w:t>
      </w:r>
      <w:r>
        <w:rPr>
          <w:color w:val="010101"/>
          <w:spacing w:val="47"/>
          <w:w w:val="115"/>
          <w:sz w:val="20"/>
        </w:rPr>
        <w:t> </w:t>
      </w:r>
      <w:r>
        <w:rPr>
          <w:color w:val="010101"/>
          <w:w w:val="580"/>
          <w:sz w:val="20"/>
        </w:rPr>
        <w:t>[</w:t>
        <w:tab/>
      </w:r>
      <w:r>
        <w:rPr>
          <w:i/>
          <w:color w:val="010101"/>
          <w:w w:val="115"/>
          <w:sz w:val="22"/>
        </w:rPr>
        <w:t>m</w:t>
      </w:r>
      <w:r>
        <w:rPr>
          <w:i/>
          <w:color w:val="010101"/>
          <w:spacing w:val="27"/>
          <w:w w:val="115"/>
          <w:sz w:val="22"/>
        </w:rPr>
        <w:t> </w:t>
      </w:r>
      <w:r>
        <w:rPr>
          <w:color w:val="010101"/>
          <w:w w:val="235"/>
          <w:sz w:val="22"/>
        </w:rPr>
        <w:t>-</w:t>
      </w:r>
      <w:r>
        <w:rPr>
          <w:color w:val="010101"/>
          <w:spacing w:val="-69"/>
          <w:w w:val="235"/>
          <w:sz w:val="22"/>
        </w:rPr>
        <w:t> </w:t>
      </w:r>
      <w:r>
        <w:rPr>
          <w:color w:val="010101"/>
          <w:w w:val="115"/>
          <w:sz w:val="20"/>
        </w:rPr>
        <w:t>1</w:t>
        <w:tab/>
      </w:r>
      <w:r>
        <w:rPr>
          <w:i/>
          <w:color w:val="010101"/>
          <w:w w:val="115"/>
          <w:sz w:val="22"/>
        </w:rPr>
        <w:t>m</w:t>
      </w:r>
      <w:r>
        <w:rPr>
          <w:i/>
          <w:color w:val="010101"/>
          <w:w w:val="115"/>
          <w:position w:val="12"/>
          <w:sz w:val="12"/>
        </w:rPr>
        <w:t>2   </w:t>
      </w:r>
      <w:r>
        <w:rPr>
          <w:color w:val="010101"/>
          <w:w w:val="440"/>
          <w:sz w:val="12"/>
        </w:rPr>
        <w:t>-</w:t>
      </w:r>
      <w:r>
        <w:rPr>
          <w:color w:val="010101"/>
          <w:spacing w:val="-77"/>
          <w:w w:val="440"/>
          <w:sz w:val="12"/>
        </w:rPr>
        <w:t> </w:t>
      </w:r>
      <w:r>
        <w:rPr>
          <w:color w:val="010101"/>
          <w:w w:val="115"/>
          <w:sz w:val="20"/>
        </w:rPr>
        <w:t>1 </w:t>
      </w:r>
      <w:r>
        <w:rPr>
          <w:i/>
          <w:color w:val="010101"/>
          <w:w w:val="115"/>
          <w:sz w:val="16"/>
        </w:rPr>
        <w:t>dDz</w:t>
      </w:r>
    </w:p>
    <w:p>
      <w:pPr>
        <w:tabs>
          <w:tab w:pos="3076" w:val="left" w:leader="none"/>
          <w:tab w:pos="4318" w:val="left" w:leader="none"/>
          <w:tab w:pos="4907" w:val="left" w:leader="none"/>
        </w:tabs>
        <w:spacing w:line="148" w:lineRule="exact" w:before="0"/>
        <w:ind w:left="1576" w:right="0" w:firstLine="0"/>
        <w:jc w:val="left"/>
        <w:rPr>
          <w:rFonts w:ascii="Arial"/>
          <w:i/>
          <w:sz w:val="18"/>
        </w:rPr>
      </w:pPr>
      <w:r>
        <w:rPr>
          <w:color w:val="010101"/>
          <w:sz w:val="13"/>
        </w:rPr>
        <w:t>z  </w:t>
      </w:r>
      <w:r>
        <w:rPr>
          <w:color w:val="010101"/>
          <w:spacing w:val="32"/>
          <w:sz w:val="13"/>
        </w:rPr>
        <w:t> </w:t>
      </w:r>
      <w:r>
        <w:rPr>
          <w:rFonts w:ascii="Courier New"/>
          <w:color w:val="010101"/>
          <w:spacing w:val="-19"/>
          <w:w w:val="90"/>
          <w:sz w:val="25"/>
        </w:rPr>
        <w:t>,-1</w:t>
        <w:tab/>
      </w:r>
      <w:r>
        <w:rPr>
          <w:rFonts w:ascii="Arial"/>
          <w:i/>
          <w:color w:val="010101"/>
          <w:sz w:val="18"/>
        </w:rPr>
        <w:t>m</w:t>
        <w:tab/>
        <w:t>m</w:t>
        <w:tab/>
        <w:t>x</w:t>
      </w:r>
    </w:p>
    <w:p>
      <w:pPr>
        <w:spacing w:after="0" w:line="148" w:lineRule="exact"/>
        <w:jc w:val="left"/>
        <w:rPr>
          <w:rFonts w:ascii="Arial"/>
          <w:sz w:val="18"/>
        </w:rPr>
        <w:sectPr>
          <w:type w:val="continuous"/>
          <w:pgSz w:w="7200" w:h="11340"/>
          <w:pgMar w:top="1100" w:bottom="0" w:left="620" w:right="500"/>
        </w:sectPr>
      </w:pPr>
    </w:p>
    <w:p>
      <w:pPr>
        <w:tabs>
          <w:tab w:pos="1834" w:val="left" w:leader="none"/>
          <w:tab w:pos="2979" w:val="left" w:leader="none"/>
        </w:tabs>
        <w:spacing w:line="169" w:lineRule="exact" w:before="0"/>
        <w:ind w:left="1192" w:right="0" w:firstLine="0"/>
        <w:jc w:val="left"/>
        <w:rPr>
          <w:rFonts w:ascii="Arial" w:hAnsi="Arial"/>
          <w:i/>
          <w:sz w:val="19"/>
        </w:rPr>
      </w:pPr>
      <w:r>
        <w:rPr/>
        <w:pict>
          <v:line style="position:absolute;mso-position-horizontal-relative:page;mso-position-vertical-relative:paragraph;z-index:-732376" from="101.7547pt,7.339298pt" to="109.4716pt,7.339298pt" stroked="true" strokeweight="4.307079pt" strokecolor="#000000">
            <w10:wrap type="none"/>
          </v:line>
        </w:pict>
      </w:r>
      <w:r>
        <w:rPr>
          <w:color w:val="010101"/>
          <w:w w:val="101"/>
          <w:sz w:val="23"/>
        </w:rPr>
        <w:t>=</w:t>
      </w:r>
      <w:r>
        <w:rPr>
          <w:color w:val="010101"/>
          <w:sz w:val="23"/>
        </w:rPr>
        <w:t> </w:t>
      </w:r>
      <w:r>
        <w:rPr>
          <w:color w:val="010101"/>
          <w:spacing w:val="-25"/>
          <w:sz w:val="23"/>
        </w:rPr>
        <w:t> </w:t>
      </w:r>
      <w:r>
        <w:rPr>
          <w:rFonts w:ascii="Arial" w:hAnsi="Arial"/>
          <w:i/>
          <w:color w:val="010101"/>
          <w:w w:val="119"/>
          <w:sz w:val="19"/>
        </w:rPr>
        <w:t>D</w:t>
      </w:r>
      <w:r>
        <w:rPr>
          <w:rFonts w:ascii="Arial" w:hAnsi="Arial"/>
          <w:i/>
          <w:color w:val="010101"/>
          <w:sz w:val="19"/>
        </w:rPr>
        <w:tab/>
      </w:r>
      <w:r>
        <w:rPr>
          <w:rFonts w:ascii="Arial" w:hAnsi="Arial"/>
          <w:i/>
          <w:color w:val="010101"/>
          <w:w w:val="81"/>
          <w:sz w:val="19"/>
        </w:rPr>
        <w:t>L.J</w:t>
      </w:r>
      <w:r>
        <w:rPr>
          <w:rFonts w:ascii="Arial" w:hAnsi="Arial"/>
          <w:i/>
          <w:color w:val="010101"/>
          <w:spacing w:val="15"/>
          <w:sz w:val="19"/>
        </w:rPr>
        <w:t> </w:t>
      </w:r>
      <w:r>
        <w:rPr>
          <w:rFonts w:ascii="Arial" w:hAnsi="Arial"/>
          <w:i/>
          <w:color w:val="010101"/>
          <w:w w:val="79"/>
          <w:sz w:val="19"/>
        </w:rPr>
        <w:t>D:i:+t</w:t>
      </w:r>
      <w:r>
        <w:rPr>
          <w:rFonts w:ascii="Arial" w:hAnsi="Arial"/>
          <w:i/>
          <w:color w:val="010101"/>
          <w:sz w:val="19"/>
        </w:rPr>
        <w:t> </w:t>
      </w:r>
      <w:r>
        <w:rPr>
          <w:rFonts w:ascii="Arial" w:hAnsi="Arial"/>
          <w:i/>
          <w:color w:val="010101"/>
          <w:spacing w:val="-5"/>
          <w:sz w:val="19"/>
        </w:rPr>
        <w:t> </w:t>
      </w:r>
      <w:r>
        <w:rPr>
          <w:color w:val="010101"/>
          <w:w w:val="140"/>
          <w:sz w:val="21"/>
        </w:rPr>
        <w:t>+</w:t>
      </w:r>
      <w:r>
        <w:rPr>
          <w:color w:val="010101"/>
          <w:sz w:val="21"/>
        </w:rPr>
        <w:tab/>
      </w:r>
      <w:r>
        <w:rPr>
          <w:color w:val="010101"/>
          <w:w w:val="166"/>
          <w:sz w:val="21"/>
        </w:rPr>
        <w:t>2-Dz</w:t>
      </w:r>
      <w:r>
        <w:rPr>
          <w:color w:val="010101"/>
          <w:sz w:val="21"/>
        </w:rPr>
        <w:t> </w:t>
      </w:r>
      <w:r>
        <w:rPr>
          <w:color w:val="010101"/>
          <w:spacing w:val="-20"/>
          <w:sz w:val="21"/>
        </w:rPr>
        <w:t> </w:t>
      </w:r>
      <w:r>
        <w:rPr>
          <w:rFonts w:ascii="Arial" w:hAnsi="Arial"/>
          <w:color w:val="010101"/>
          <w:w w:val="105"/>
          <w:sz w:val="31"/>
        </w:rPr>
        <w:t>+</w:t>
      </w:r>
      <w:r>
        <w:rPr>
          <w:rFonts w:ascii="Arial" w:hAnsi="Arial"/>
          <w:color w:val="010101"/>
          <w:sz w:val="31"/>
        </w:rPr>
        <w:t> </w:t>
      </w:r>
      <w:r>
        <w:rPr>
          <w:rFonts w:ascii="Arial" w:hAnsi="Arial"/>
          <w:color w:val="010101"/>
          <w:spacing w:val="9"/>
          <w:sz w:val="31"/>
        </w:rPr>
        <w:t> </w:t>
      </w:r>
      <w:r>
        <w:rPr>
          <w:color w:val="010101"/>
          <w:w w:val="102"/>
          <w:sz w:val="20"/>
        </w:rPr>
        <w:t>12</w:t>
      </w:r>
      <w:r>
        <w:rPr>
          <w:color w:val="010101"/>
          <w:sz w:val="20"/>
        </w:rPr>
        <w:t>  </w:t>
      </w:r>
      <w:r>
        <w:rPr>
          <w:color w:val="010101"/>
          <w:spacing w:val="-21"/>
          <w:sz w:val="20"/>
        </w:rPr>
        <w:t> </w:t>
      </w:r>
      <w:r>
        <w:rPr>
          <w:rFonts w:ascii="Arial" w:hAnsi="Arial"/>
          <w:color w:val="010101"/>
          <w:spacing w:val="-34"/>
          <w:w w:val="100"/>
          <w:sz w:val="11"/>
        </w:rPr>
        <w:t>2</w:t>
      </w:r>
      <w:r>
        <w:rPr>
          <w:rFonts w:ascii="Arial" w:hAnsi="Arial"/>
          <w:i/>
          <w:color w:val="010101"/>
          <w:spacing w:val="-419"/>
          <w:w w:val="370"/>
          <w:sz w:val="19"/>
        </w:rPr>
        <w:t>·</w:t>
      </w:r>
    </w:p>
    <w:p>
      <w:pPr>
        <w:spacing w:line="144" w:lineRule="exact" w:before="0"/>
        <w:ind w:left="82" w:right="-15" w:firstLine="0"/>
        <w:jc w:val="left"/>
        <w:rPr>
          <w:rFonts w:ascii="Arial"/>
          <w:sz w:val="19"/>
        </w:rPr>
      </w:pPr>
      <w:r>
        <w:rPr/>
        <w:br w:type="column"/>
      </w:r>
      <w:r>
        <w:rPr>
          <w:rFonts w:ascii="Arial"/>
          <w:i/>
          <w:color w:val="010101"/>
          <w:spacing w:val="12"/>
          <w:w w:val="94"/>
          <w:sz w:val="19"/>
        </w:rPr>
        <w:t>d</w:t>
      </w:r>
      <w:r>
        <w:rPr>
          <w:rFonts w:ascii="Arial"/>
          <w:i/>
          <w:color w:val="010101"/>
          <w:w w:val="370"/>
          <w:sz w:val="19"/>
        </w:rPr>
        <w:t>-</w:t>
      </w:r>
      <w:r>
        <w:rPr>
          <w:rFonts w:ascii="Arial"/>
          <w:color w:val="010101"/>
          <w:w w:val="275"/>
          <w:sz w:val="19"/>
        </w:rPr>
        <w:t>-</w:t>
      </w:r>
    </w:p>
    <w:p>
      <w:pPr>
        <w:spacing w:after="0" w:line="144" w:lineRule="exact"/>
        <w:jc w:val="left"/>
        <w:rPr>
          <w:rFonts w:ascii="Arial"/>
          <w:sz w:val="19"/>
        </w:rPr>
        <w:sectPr>
          <w:type w:val="continuous"/>
          <w:pgSz w:w="7200" w:h="11340"/>
          <w:pgMar w:top="1100" w:bottom="0" w:left="620" w:right="500"/>
          <w:cols w:num="2" w:equalWidth="0">
            <w:col w:w="4685" w:space="40"/>
            <w:col w:w="1355"/>
          </w:cols>
        </w:sectPr>
      </w:pPr>
    </w:p>
    <w:p>
      <w:pPr>
        <w:tabs>
          <w:tab w:pos="2308" w:val="left" w:leader="none"/>
          <w:tab w:pos="5366" w:val="left" w:leader="none"/>
        </w:tabs>
        <w:spacing w:before="60"/>
        <w:ind w:left="126" w:right="0" w:hanging="8"/>
        <w:jc w:val="left"/>
        <w:rPr>
          <w:rFonts w:ascii="Arial"/>
          <w:b/>
          <w:sz w:val="18"/>
        </w:rPr>
      </w:pPr>
      <w:r>
        <w:rPr>
          <w:rFonts w:ascii="Courier New"/>
          <w:color w:val="010101"/>
          <w:spacing w:val="-22"/>
          <w:sz w:val="22"/>
        </w:rPr>
        <w:t>46</w:t>
        <w:tab/>
      </w:r>
      <w:r>
        <w:rPr>
          <w:b/>
          <w:color w:val="010101"/>
          <w:sz w:val="15"/>
        </w:rPr>
        <w:t>LIFE  </w:t>
      </w:r>
      <w:r>
        <w:rPr>
          <w:b/>
          <w:color w:val="010101"/>
          <w:spacing w:val="2"/>
          <w:sz w:val="15"/>
        </w:rPr>
        <w:t> </w:t>
      </w:r>
      <w:r>
        <w:rPr>
          <w:b/>
          <w:color w:val="010101"/>
          <w:sz w:val="15"/>
        </w:rPr>
        <w:t>ANNUITIES   </w:t>
      </w:r>
      <w:r>
        <w:rPr>
          <w:b/>
          <w:color w:val="010101"/>
          <w:spacing w:val="10"/>
          <w:sz w:val="15"/>
        </w:rPr>
        <w:t> </w:t>
      </w:r>
      <w:r>
        <w:rPr>
          <w:color w:val="1C1C1C"/>
          <w:w w:val="125"/>
          <w:sz w:val="15"/>
        </w:rPr>
        <w:t>.</w:t>
        <w:tab/>
      </w:r>
      <w:r>
        <w:rPr>
          <w:b/>
          <w:color w:val="010101"/>
          <w:w w:val="90"/>
          <w:position w:val="1"/>
          <w:sz w:val="20"/>
        </w:rPr>
        <w:t>(CH.</w:t>
      </w:r>
      <w:r>
        <w:rPr>
          <w:b/>
          <w:color w:val="010101"/>
          <w:spacing w:val="-17"/>
          <w:w w:val="90"/>
          <w:position w:val="1"/>
          <w:sz w:val="20"/>
        </w:rPr>
        <w:t> </w:t>
      </w:r>
      <w:r>
        <w:rPr>
          <w:rFonts w:ascii="Arial"/>
          <w:b/>
          <w:color w:val="010101"/>
          <w:w w:val="90"/>
          <w:position w:val="1"/>
          <w:sz w:val="18"/>
        </w:rPr>
        <w:t>2</w:t>
      </w:r>
    </w:p>
    <w:p>
      <w:pPr>
        <w:pStyle w:val="BodyText"/>
        <w:spacing w:before="4"/>
        <w:rPr>
          <w:rFonts w:ascii="Arial"/>
          <w:b/>
          <w:sz w:val="17"/>
        </w:rPr>
      </w:pPr>
    </w:p>
    <w:p>
      <w:pPr>
        <w:pStyle w:val="BodyText"/>
        <w:spacing w:line="251" w:lineRule="exact"/>
        <w:ind w:left="126"/>
        <w:rPr>
          <w:sz w:val="22"/>
        </w:rPr>
      </w:pPr>
      <w:r>
        <w:rPr>
          <w:color w:val="010101"/>
          <w:w w:val="105"/>
        </w:rPr>
        <w:t>To  simplify  the expression,  we must  find  the  derivative  of  </w:t>
      </w:r>
      <w:r>
        <w:rPr>
          <w:i/>
          <w:color w:val="010101"/>
          <w:w w:val="105"/>
          <w:sz w:val="22"/>
        </w:rPr>
        <w:t>Ds </w:t>
      </w:r>
      <w:r>
        <w:rPr>
          <w:color w:val="010101"/>
          <w:w w:val="105"/>
          <w:sz w:val="22"/>
        </w:rPr>
        <w:t>.</w:t>
      </w:r>
    </w:p>
    <w:p>
      <w:pPr>
        <w:pStyle w:val="BodyText"/>
        <w:tabs>
          <w:tab w:pos="4512" w:val="left" w:leader="none"/>
        </w:tabs>
        <w:spacing w:line="228" w:lineRule="exact"/>
        <w:ind w:left="126" w:right="739"/>
      </w:pPr>
      <w:r>
        <w:rPr>
          <w:color w:val="010101"/>
        </w:rPr>
        <w:t>Using</w:t>
      </w:r>
      <w:r>
        <w:rPr>
          <w:color w:val="010101"/>
          <w:spacing w:val="35"/>
        </w:rPr>
        <w:t> </w:t>
      </w:r>
      <w:r>
        <w:rPr>
          <w:color w:val="010101"/>
        </w:rPr>
        <w:t>elementary </w:t>
      </w:r>
      <w:r>
        <w:rPr>
          <w:color w:val="010101"/>
          <w:spacing w:val="3"/>
        </w:rPr>
        <w:t> </w:t>
      </w:r>
      <w:r>
        <w:rPr>
          <w:color w:val="010101"/>
        </w:rPr>
        <w:t>calculus,</w:t>
        <w:tab/>
      </w:r>
      <w:r>
        <w:rPr>
          <w:color w:val="505050"/>
          <w:w w:val="90"/>
        </w:rPr>
        <w:t>·</w:t>
      </w:r>
    </w:p>
    <w:p>
      <w:pPr>
        <w:spacing w:line="318" w:lineRule="exact" w:before="25"/>
        <w:ind w:left="74" w:right="119" w:firstLine="0"/>
        <w:jc w:val="center"/>
        <w:rPr>
          <w:sz w:val="20"/>
        </w:rPr>
      </w:pPr>
      <w:r>
        <w:rPr>
          <w:i/>
          <w:color w:val="010101"/>
          <w:sz w:val="19"/>
          <w:u w:val="single" w:color="000000"/>
        </w:rPr>
        <w:t>dDs  </w:t>
      </w:r>
      <w:r>
        <w:rPr>
          <w:color w:val="010101"/>
          <w:sz w:val="23"/>
        </w:rPr>
        <w:t>=   </w:t>
      </w:r>
      <w:r>
        <w:rPr>
          <w:color w:val="010101"/>
          <w:w w:val="115"/>
          <w:sz w:val="13"/>
        </w:rPr>
        <w:t>r </w:t>
      </w:r>
      <w:r>
        <w:rPr>
          <w:i/>
          <w:color w:val="010101"/>
          <w:sz w:val="19"/>
          <w:u w:val="single" w:color="000000"/>
        </w:rPr>
        <w:t>dls  </w:t>
      </w:r>
      <w:r>
        <w:rPr>
          <w:rFonts w:ascii="Arial"/>
          <w:color w:val="010101"/>
          <w:sz w:val="31"/>
        </w:rPr>
        <w:t>+ </w:t>
      </w:r>
      <w:r>
        <w:rPr>
          <w:i/>
          <w:color w:val="010101"/>
          <w:sz w:val="19"/>
        </w:rPr>
        <w:t>l  </w:t>
      </w:r>
      <w:r>
        <w:rPr>
          <w:i/>
          <w:color w:val="010101"/>
          <w:sz w:val="20"/>
          <w:u w:val="single" w:color="000000"/>
        </w:rPr>
        <w:t>dvs </w:t>
      </w:r>
      <w:r>
        <w:rPr>
          <w:color w:val="363636"/>
          <w:w w:val="85"/>
          <w:sz w:val="20"/>
        </w:rPr>
        <w:t>.</w:t>
      </w:r>
    </w:p>
    <w:p>
      <w:pPr>
        <w:tabs>
          <w:tab w:pos="635" w:val="left" w:leader="none"/>
          <w:tab w:pos="1450" w:val="left" w:leader="none"/>
        </w:tabs>
        <w:spacing w:line="180" w:lineRule="exact" w:before="0"/>
        <w:ind w:left="57" w:right="0" w:firstLine="0"/>
        <w:jc w:val="center"/>
        <w:rPr>
          <w:i/>
          <w:sz w:val="19"/>
        </w:rPr>
      </w:pPr>
      <w:r>
        <w:rPr>
          <w:i/>
          <w:color w:val="010101"/>
          <w:sz w:val="19"/>
        </w:rPr>
        <w:t>dx</w:t>
        <w:tab/>
        <w:t>v </w:t>
      </w:r>
      <w:r>
        <w:rPr>
          <w:i/>
          <w:color w:val="010101"/>
          <w:spacing w:val="32"/>
          <w:sz w:val="19"/>
        </w:rPr>
        <w:t> </w:t>
      </w:r>
      <w:r>
        <w:rPr>
          <w:i/>
          <w:color w:val="010101"/>
          <w:sz w:val="19"/>
        </w:rPr>
        <w:t>dx</w:t>
        <w:tab/>
        <w:t>z dx </w:t>
      </w:r>
      <w:r>
        <w:rPr>
          <w:i/>
          <w:color w:val="010101"/>
          <w:spacing w:val="9"/>
          <w:sz w:val="19"/>
        </w:rPr>
        <w:t> </w:t>
      </w:r>
      <w:r>
        <w:rPr>
          <w:i/>
          <w:color w:val="010101"/>
          <w:sz w:val="19"/>
        </w:rPr>
        <w:t>•</w:t>
      </w:r>
    </w:p>
    <w:p>
      <w:pPr>
        <w:spacing w:line="214" w:lineRule="exact" w:before="128"/>
        <w:ind w:left="115" w:right="133" w:firstLine="0"/>
        <w:jc w:val="left"/>
        <w:rPr>
          <w:sz w:val="20"/>
        </w:rPr>
      </w:pPr>
      <w:r>
        <w:rPr>
          <w:color w:val="010101"/>
          <w:sz w:val="20"/>
        </w:rPr>
        <w:t>Since  the  derivative   of   </w:t>
      </w:r>
      <w:r>
        <w:rPr>
          <w:i/>
          <w:color w:val="010101"/>
          <w:sz w:val="19"/>
        </w:rPr>
        <w:t>lz   </w:t>
      </w:r>
      <w:r>
        <w:rPr>
          <w:color w:val="010101"/>
          <w:sz w:val="20"/>
        </w:rPr>
        <w:t>is   </w:t>
      </w:r>
      <w:r>
        <w:rPr>
          <w:i/>
          <w:color w:val="010101"/>
          <w:sz w:val="19"/>
        </w:rPr>
        <w:t>-lzP.s   </w:t>
      </w:r>
      <w:r>
        <w:rPr>
          <w:color w:val="010101"/>
          <w:sz w:val="20"/>
        </w:rPr>
        <w:t>and   the  derivative  of   </w:t>
      </w:r>
      <w:r>
        <w:rPr>
          <w:i/>
          <w:color w:val="010101"/>
          <w:sz w:val="20"/>
        </w:rPr>
        <w:t>vz  </w:t>
      </w:r>
      <w:r>
        <w:rPr>
          <w:color w:val="010101"/>
          <w:sz w:val="20"/>
        </w:rPr>
        <w:t>is</w:t>
      </w:r>
    </w:p>
    <w:p>
      <w:pPr>
        <w:spacing w:line="249" w:lineRule="exact" w:before="0"/>
        <w:ind w:left="111" w:right="739" w:firstLine="0"/>
        <w:jc w:val="left"/>
        <w:rPr>
          <w:sz w:val="20"/>
        </w:rPr>
      </w:pPr>
      <w:r>
        <w:rPr>
          <w:i/>
          <w:color w:val="010101"/>
          <w:sz w:val="21"/>
        </w:rPr>
        <w:t>vr </w:t>
      </w:r>
      <w:r>
        <w:rPr>
          <w:color w:val="010101"/>
          <w:sz w:val="20"/>
        </w:rPr>
        <w:t>log </w:t>
      </w:r>
      <w:r>
        <w:rPr>
          <w:rFonts w:ascii="Arial"/>
          <w:i/>
          <w:color w:val="010101"/>
          <w:sz w:val="18"/>
        </w:rPr>
        <w:t>v  </w:t>
      </w:r>
      <w:r>
        <w:rPr>
          <w:color w:val="010101"/>
          <w:sz w:val="23"/>
        </w:rPr>
        <w:t>=  </w:t>
      </w:r>
      <w:r>
        <w:rPr>
          <w:color w:val="010101"/>
          <w:sz w:val="18"/>
        </w:rPr>
        <w:t>-vrc5, </w:t>
      </w:r>
      <w:r>
        <w:rPr>
          <w:color w:val="010101"/>
          <w:sz w:val="20"/>
        </w:rPr>
        <w:t>we  have</w:t>
      </w:r>
    </w:p>
    <w:p>
      <w:pPr>
        <w:spacing w:line="205" w:lineRule="exact" w:before="107"/>
        <w:ind w:left="74" w:right="1668" w:firstLine="0"/>
        <w:jc w:val="center"/>
        <w:rPr>
          <w:i/>
          <w:sz w:val="19"/>
        </w:rPr>
      </w:pPr>
      <w:r>
        <w:rPr/>
        <w:drawing>
          <wp:anchor distT="0" distB="0" distL="0" distR="0" allowOverlap="1" layoutInCell="1" locked="0" behindDoc="0" simplePos="0" relativeHeight="3760">
            <wp:simplePos x="0" y="0"/>
            <wp:positionH relativeFrom="page">
              <wp:posOffset>2130551</wp:posOffset>
            </wp:positionH>
            <wp:positionV relativeFrom="paragraph">
              <wp:posOffset>153187</wp:posOffset>
            </wp:positionV>
            <wp:extent cx="832103" cy="128015"/>
            <wp:effectExtent l="0" t="0" r="0" b="0"/>
            <wp:wrapNone/>
            <wp:docPr id="75" name="image42.png" descr=""/>
            <wp:cNvGraphicFramePr>
              <a:graphicFrameLocks noChangeAspect="1"/>
            </wp:cNvGraphicFramePr>
            <a:graphic>
              <a:graphicData uri="http://schemas.openxmlformats.org/drawingml/2006/picture">
                <pic:pic>
                  <pic:nvPicPr>
                    <pic:cNvPr id="76" name="image42.png"/>
                    <pic:cNvPicPr/>
                  </pic:nvPicPr>
                  <pic:blipFill>
                    <a:blip r:embed="rId46" cstate="print"/>
                    <a:stretch>
                      <a:fillRect/>
                    </a:stretch>
                  </pic:blipFill>
                  <pic:spPr>
                    <a:xfrm>
                      <a:off x="0" y="0"/>
                      <a:ext cx="832103" cy="128015"/>
                    </a:xfrm>
                    <a:prstGeom prst="rect">
                      <a:avLst/>
                    </a:prstGeom>
                  </pic:spPr>
                </pic:pic>
              </a:graphicData>
            </a:graphic>
          </wp:anchor>
        </w:drawing>
      </w:r>
      <w:r>
        <w:rPr>
          <w:i/>
          <w:color w:val="010101"/>
          <w:w w:val="125"/>
          <w:sz w:val="19"/>
        </w:rPr>
        <w:t>dD.</w:t>
      </w:r>
    </w:p>
    <w:p>
      <w:pPr>
        <w:spacing w:line="274" w:lineRule="exact" w:before="0"/>
        <w:ind w:left="74" w:right="1706" w:firstLine="0"/>
        <w:jc w:val="center"/>
        <w:rPr>
          <w:rFonts w:ascii="Arial"/>
          <w:i/>
          <w:sz w:val="25"/>
        </w:rPr>
      </w:pPr>
      <w:r>
        <w:rPr>
          <w:rFonts w:ascii="Arial"/>
          <w:i/>
          <w:color w:val="010101"/>
          <w:w w:val="115"/>
          <w:sz w:val="25"/>
        </w:rPr>
        <w:t>dx</w:t>
      </w:r>
    </w:p>
    <w:p>
      <w:pPr>
        <w:spacing w:line="338" w:lineRule="exact" w:before="0"/>
        <w:ind w:left="1485" w:right="895" w:firstLine="0"/>
        <w:jc w:val="center"/>
        <w:rPr>
          <w:b/>
          <w:sz w:val="20"/>
        </w:rPr>
      </w:pPr>
      <w:r>
        <w:rPr>
          <w:b/>
          <w:i/>
          <w:color w:val="010101"/>
          <w:w w:val="105"/>
          <w:sz w:val="20"/>
        </w:rPr>
        <w:t>-vzlz </w:t>
      </w:r>
      <w:r>
        <w:rPr>
          <w:b/>
          <w:i/>
          <w:color w:val="010101"/>
          <w:w w:val="95"/>
          <w:sz w:val="20"/>
        </w:rPr>
        <w:t>(µz </w:t>
      </w:r>
      <w:r>
        <w:rPr>
          <w:rFonts w:ascii="Arial" w:hAnsi="Arial"/>
          <w:color w:val="010101"/>
          <w:w w:val="105"/>
          <w:sz w:val="31"/>
        </w:rPr>
        <w:t>+</w:t>
      </w:r>
      <w:r>
        <w:rPr>
          <w:rFonts w:ascii="Arial" w:hAnsi="Arial"/>
          <w:color w:val="010101"/>
          <w:spacing w:val="-78"/>
          <w:w w:val="105"/>
          <w:sz w:val="31"/>
        </w:rPr>
        <w:t> </w:t>
      </w:r>
      <w:r>
        <w:rPr>
          <w:b/>
          <w:color w:val="010101"/>
          <w:w w:val="75"/>
          <w:sz w:val="20"/>
        </w:rPr>
        <w:t>c5 </w:t>
      </w:r>
      <w:r>
        <w:rPr>
          <w:b/>
          <w:color w:val="010101"/>
          <w:w w:val="95"/>
          <w:sz w:val="20"/>
        </w:rPr>
        <w:t>)</w:t>
      </w:r>
    </w:p>
    <w:p>
      <w:pPr>
        <w:tabs>
          <w:tab w:pos="5333" w:val="left" w:leader="none"/>
        </w:tabs>
        <w:spacing w:line="344" w:lineRule="exact" w:before="0"/>
        <w:ind w:left="2699" w:right="0" w:firstLine="0"/>
        <w:jc w:val="left"/>
        <w:rPr>
          <w:sz w:val="20"/>
        </w:rPr>
      </w:pPr>
      <w:r>
        <w:rPr>
          <w:b/>
          <w:i/>
          <w:color w:val="010101"/>
          <w:w w:val="185"/>
          <w:sz w:val="20"/>
        </w:rPr>
        <w:t>-</w:t>
      </w:r>
      <w:r>
        <w:rPr>
          <w:b/>
          <w:i/>
          <w:color w:val="010101"/>
          <w:spacing w:val="-77"/>
          <w:w w:val="185"/>
          <w:sz w:val="20"/>
        </w:rPr>
        <w:t> </w:t>
      </w:r>
      <w:r>
        <w:rPr>
          <w:b/>
          <w:i/>
          <w:color w:val="010101"/>
          <w:w w:val="105"/>
          <w:sz w:val="20"/>
        </w:rPr>
        <w:t>Dz</w:t>
      </w:r>
      <w:r>
        <w:rPr>
          <w:b/>
          <w:i/>
          <w:color w:val="010101"/>
          <w:spacing w:val="-17"/>
          <w:w w:val="105"/>
          <w:sz w:val="20"/>
        </w:rPr>
        <w:t> </w:t>
      </w:r>
      <w:r>
        <w:rPr>
          <w:b/>
          <w:i/>
          <w:color w:val="010101"/>
          <w:w w:val="105"/>
          <w:sz w:val="20"/>
        </w:rPr>
        <w:t>(µz</w:t>
      </w:r>
      <w:r>
        <w:rPr>
          <w:b/>
          <w:i/>
          <w:color w:val="010101"/>
          <w:spacing w:val="5"/>
          <w:w w:val="105"/>
          <w:sz w:val="20"/>
        </w:rPr>
        <w:t> </w:t>
      </w:r>
      <w:r>
        <w:rPr>
          <w:rFonts w:ascii="Arial" w:hAnsi="Arial"/>
          <w:color w:val="010101"/>
          <w:w w:val="105"/>
          <w:sz w:val="31"/>
        </w:rPr>
        <w:t>+</w:t>
      </w:r>
      <w:r>
        <w:rPr>
          <w:rFonts w:ascii="Arial" w:hAnsi="Arial"/>
          <w:color w:val="010101"/>
          <w:spacing w:val="-50"/>
          <w:w w:val="105"/>
          <w:sz w:val="31"/>
        </w:rPr>
        <w:t> </w:t>
      </w:r>
      <w:r>
        <w:rPr>
          <w:b/>
          <w:color w:val="010101"/>
          <w:w w:val="70"/>
          <w:sz w:val="20"/>
        </w:rPr>
        <w:t>c5</w:t>
      </w:r>
      <w:r>
        <w:rPr>
          <w:b/>
          <w:color w:val="010101"/>
          <w:spacing w:val="-19"/>
          <w:w w:val="70"/>
          <w:sz w:val="20"/>
        </w:rPr>
        <w:t> </w:t>
      </w:r>
      <w:r>
        <w:rPr>
          <w:b/>
          <w:color w:val="010101"/>
          <w:w w:val="105"/>
          <w:sz w:val="20"/>
        </w:rPr>
        <w:t>).</w:t>
        <w:tab/>
      </w:r>
      <w:r>
        <w:rPr>
          <w:color w:val="010101"/>
          <w:position w:val="1"/>
          <w:sz w:val="20"/>
        </w:rPr>
        <w:t>(2.17</w:t>
      </w:r>
      <w:r>
        <w:rPr>
          <w:color w:val="010101"/>
          <w:spacing w:val="-36"/>
          <w:position w:val="1"/>
          <w:sz w:val="20"/>
        </w:rPr>
        <w:t> </w:t>
      </w:r>
      <w:r>
        <w:rPr>
          <w:color w:val="010101"/>
          <w:position w:val="1"/>
          <w:sz w:val="20"/>
        </w:rPr>
        <w:t>)</w:t>
      </w:r>
    </w:p>
    <w:p>
      <w:pPr>
        <w:pStyle w:val="BodyText"/>
        <w:spacing w:line="177" w:lineRule="auto" w:before="109"/>
        <w:ind w:left="115" w:right="133" w:hanging="4"/>
      </w:pPr>
      <w:r>
        <w:rPr>
          <w:color w:val="010101"/>
          <w:w w:val="105"/>
        </w:rPr>
        <w:t>With this substitution, the first three terms of the </w:t>
      </w:r>
      <w:r>
        <w:rPr>
          <w:rFonts w:ascii="Arial" w:hAnsi="Arial"/>
          <w:b/>
          <w:color w:val="010101"/>
          <w:w w:val="105"/>
          <w:sz w:val="18"/>
        </w:rPr>
        <w:t>W</w:t>
      </w:r>
      <w:r>
        <w:rPr>
          <w:color w:val="010101"/>
          <w:w w:val="105"/>
        </w:rPr>
        <w:t>oolhouse ex­ </w:t>
      </w:r>
      <w:r>
        <w:rPr>
          <w:color w:val="010101"/>
          <w:w w:val="98"/>
        </w:rPr>
        <w:t>pression  </w:t>
      </w:r>
      <w:r>
        <w:rPr>
          <w:color w:val="010101"/>
          <w:w w:val="100"/>
        </w:rPr>
        <w:t>for </w:t>
      </w:r>
      <w:r>
        <w:rPr>
          <w:rFonts w:ascii="Arial" w:hAnsi="Arial"/>
          <w:color w:val="010101"/>
          <w:w w:val="62"/>
          <w:sz w:val="27"/>
        </w:rPr>
        <w:t>a.!•&gt;  </w:t>
      </w:r>
      <w:r>
        <w:rPr>
          <w:color w:val="010101"/>
          <w:w w:val="101"/>
        </w:rPr>
        <w:t>reduce </w:t>
      </w:r>
      <w:r>
        <w:rPr>
          <w:color w:val="010101"/>
          <w:w w:val="114"/>
        </w:rPr>
        <w:t>to</w:t>
      </w:r>
    </w:p>
    <w:p>
      <w:pPr>
        <w:tabs>
          <w:tab w:pos="2333" w:val="left" w:leader="none"/>
          <w:tab w:pos="3234" w:val="left" w:leader="none"/>
        </w:tabs>
        <w:spacing w:line="93" w:lineRule="exact" w:before="66"/>
        <w:ind w:left="1317" w:right="739" w:firstLine="0"/>
        <w:jc w:val="left"/>
        <w:rPr>
          <w:rFonts w:ascii="Arial" w:hAnsi="Arial"/>
          <w:b/>
          <w:sz w:val="19"/>
        </w:rPr>
      </w:pPr>
      <w:r>
        <w:rPr>
          <w:b/>
          <w:color w:val="010101"/>
          <w:w w:val="110"/>
          <w:sz w:val="12"/>
        </w:rPr>
        <w:t>(m)  </w:t>
      </w:r>
      <w:r>
        <w:rPr>
          <w:b/>
          <w:color w:val="010101"/>
          <w:spacing w:val="3"/>
          <w:w w:val="110"/>
          <w:sz w:val="12"/>
        </w:rPr>
        <w:t> </w:t>
      </w:r>
      <w:r>
        <w:rPr>
          <w:color w:val="010101"/>
          <w:w w:val="110"/>
          <w:sz w:val="12"/>
        </w:rPr>
        <w:t>•</w:t>
        <w:tab/>
      </w:r>
      <w:r>
        <w:rPr>
          <w:b/>
          <w:color w:val="010101"/>
          <w:w w:val="110"/>
          <w:sz w:val="19"/>
        </w:rPr>
        <w:t>m</w:t>
      </w:r>
      <w:r>
        <w:rPr>
          <w:b/>
          <w:color w:val="010101"/>
          <w:spacing w:val="37"/>
          <w:w w:val="110"/>
          <w:sz w:val="19"/>
        </w:rPr>
        <w:t> </w:t>
      </w:r>
      <w:r>
        <w:rPr>
          <w:color w:val="010101"/>
          <w:w w:val="270"/>
          <w:sz w:val="19"/>
        </w:rPr>
        <w:t>-</w:t>
      </w:r>
      <w:r>
        <w:rPr>
          <w:color w:val="010101"/>
          <w:spacing w:val="-62"/>
          <w:w w:val="270"/>
          <w:sz w:val="19"/>
        </w:rPr>
        <w:t> </w:t>
      </w:r>
      <w:r>
        <w:rPr>
          <w:rFonts w:ascii="Arial" w:hAnsi="Arial"/>
          <w:b/>
          <w:color w:val="010101"/>
          <w:w w:val="110"/>
          <w:sz w:val="19"/>
        </w:rPr>
        <w:t>1</w:t>
        <w:tab/>
      </w:r>
      <w:r>
        <w:rPr>
          <w:b/>
          <w:color w:val="010101"/>
          <w:spacing w:val="-3"/>
          <w:w w:val="110"/>
          <w:sz w:val="19"/>
        </w:rPr>
        <w:t>m</w:t>
      </w:r>
      <w:r>
        <w:rPr>
          <w:rFonts w:ascii="Arial" w:hAnsi="Arial"/>
          <w:b/>
          <w:color w:val="010101"/>
          <w:spacing w:val="-3"/>
          <w:w w:val="110"/>
          <w:position w:val="11"/>
          <w:sz w:val="12"/>
        </w:rPr>
        <w:t>2  </w:t>
      </w:r>
      <w:r>
        <w:rPr>
          <w:rFonts w:ascii="Arial" w:hAnsi="Arial"/>
          <w:color w:val="010101"/>
          <w:w w:val="415"/>
          <w:sz w:val="12"/>
        </w:rPr>
        <w:t>-</w:t>
      </w:r>
      <w:r>
        <w:rPr>
          <w:rFonts w:ascii="Arial" w:hAnsi="Arial"/>
          <w:color w:val="010101"/>
          <w:spacing w:val="-70"/>
          <w:w w:val="415"/>
          <w:sz w:val="12"/>
        </w:rPr>
        <w:t> </w:t>
      </w:r>
      <w:r>
        <w:rPr>
          <w:rFonts w:ascii="Arial" w:hAnsi="Arial"/>
          <w:b/>
          <w:color w:val="010101"/>
          <w:w w:val="110"/>
          <w:sz w:val="19"/>
        </w:rPr>
        <w:t>1</w:t>
      </w:r>
    </w:p>
    <w:p>
      <w:pPr>
        <w:spacing w:after="0" w:line="93" w:lineRule="exact"/>
        <w:jc w:val="left"/>
        <w:rPr>
          <w:rFonts w:ascii="Arial" w:hAnsi="Arial"/>
          <w:sz w:val="19"/>
        </w:rPr>
        <w:sectPr>
          <w:pgSz w:w="7200" w:h="11340"/>
          <w:pgMar w:top="480" w:bottom="280" w:left="660" w:right="560"/>
        </w:sectPr>
      </w:pPr>
    </w:p>
    <w:p>
      <w:pPr>
        <w:tabs>
          <w:tab w:pos="1619" w:val="left" w:leader="none"/>
          <w:tab w:pos="3008" w:val="left" w:leader="none"/>
        </w:tabs>
        <w:spacing w:line="220" w:lineRule="exact" w:before="0"/>
        <w:ind w:left="1199" w:right="0" w:firstLine="0"/>
        <w:jc w:val="left"/>
        <w:rPr>
          <w:rFonts w:ascii="Arial"/>
          <w:sz w:val="32"/>
        </w:rPr>
      </w:pPr>
      <w:r>
        <w:rPr>
          <w:b/>
          <w:i/>
          <w:color w:val="010101"/>
          <w:w w:val="105"/>
          <w:sz w:val="19"/>
        </w:rPr>
        <w:t>a;</w:t>
        <w:tab/>
      </w:r>
      <w:r>
        <w:rPr>
          <w:color w:val="010101"/>
          <w:w w:val="105"/>
          <w:sz w:val="19"/>
        </w:rPr>
        <w:t>=:</w:t>
      </w:r>
      <w:r>
        <w:rPr>
          <w:color w:val="010101"/>
          <w:spacing w:val="25"/>
          <w:w w:val="105"/>
          <w:sz w:val="19"/>
        </w:rPr>
        <w:t> </w:t>
      </w:r>
      <w:r>
        <w:rPr>
          <w:b/>
          <w:i/>
          <w:color w:val="010101"/>
          <w:w w:val="105"/>
          <w:sz w:val="20"/>
        </w:rPr>
        <w:t>as</w:t>
      </w:r>
      <w:r>
        <w:rPr>
          <w:b/>
          <w:i/>
          <w:color w:val="010101"/>
          <w:spacing w:val="15"/>
          <w:w w:val="105"/>
          <w:sz w:val="20"/>
        </w:rPr>
        <w:t> </w:t>
      </w:r>
      <w:r>
        <w:rPr>
          <w:rFonts w:ascii="Arial"/>
          <w:color w:val="010101"/>
          <w:w w:val="105"/>
          <w:sz w:val="32"/>
        </w:rPr>
        <w:t>+</w:t>
        <w:tab/>
      </w:r>
      <w:r>
        <w:rPr>
          <w:rFonts w:ascii="Arial"/>
          <w:color w:val="010101"/>
          <w:w w:val="145"/>
          <w:sz w:val="32"/>
        </w:rPr>
        <w:t>-</w:t>
      </w:r>
    </w:p>
    <w:p>
      <w:pPr>
        <w:tabs>
          <w:tab w:pos="730" w:val="left" w:leader="none"/>
          <w:tab w:pos="2090" w:val="left" w:leader="none"/>
        </w:tabs>
        <w:spacing w:line="220" w:lineRule="exact" w:before="0"/>
        <w:ind w:left="324" w:right="0" w:firstLine="0"/>
        <w:jc w:val="left"/>
        <w:rPr>
          <w:rFonts w:ascii="Arial" w:hAnsi="Arial"/>
          <w:b/>
          <w:sz w:val="19"/>
        </w:rPr>
      </w:pPr>
      <w:r>
        <w:rPr/>
        <w:br w:type="column"/>
      </w:r>
      <w:r>
        <w:rPr>
          <w:b/>
          <w:color w:val="010101"/>
          <w:sz w:val="19"/>
        </w:rPr>
        <w:t>m</w:t>
        <w:tab/>
      </w:r>
      <w:r>
        <w:rPr>
          <w:i/>
          <w:color w:val="010101"/>
          <w:sz w:val="20"/>
        </w:rPr>
        <w:t>( µz</w:t>
      </w:r>
      <w:r>
        <w:rPr>
          <w:i/>
          <w:color w:val="010101"/>
          <w:spacing w:val="2"/>
          <w:sz w:val="20"/>
        </w:rPr>
        <w:t> </w:t>
      </w:r>
      <w:r>
        <w:rPr>
          <w:color w:val="010101"/>
          <w:sz w:val="29"/>
        </w:rPr>
        <w:t>+ </w:t>
      </w:r>
      <w:r>
        <w:rPr>
          <w:color w:val="010101"/>
          <w:spacing w:val="1"/>
          <w:sz w:val="29"/>
        </w:rPr>
        <w:t> </w:t>
      </w:r>
      <w:r>
        <w:rPr>
          <w:color w:val="010101"/>
          <w:sz w:val="29"/>
        </w:rPr>
        <w:t>).</w:t>
        <w:tab/>
      </w:r>
      <w:r>
        <w:rPr>
          <w:rFonts w:ascii="Arial" w:hAnsi="Arial"/>
          <w:b/>
          <w:color w:val="010101"/>
          <w:sz w:val="19"/>
        </w:rPr>
        <w:t>(2.18)</w:t>
      </w:r>
    </w:p>
    <w:p>
      <w:pPr>
        <w:spacing w:after="0" w:line="220" w:lineRule="exact"/>
        <w:jc w:val="left"/>
        <w:rPr>
          <w:rFonts w:ascii="Arial" w:hAnsi="Arial"/>
          <w:sz w:val="19"/>
        </w:rPr>
        <w:sectPr>
          <w:type w:val="continuous"/>
          <w:pgSz w:w="7200" w:h="11340"/>
          <w:pgMar w:top="1100" w:bottom="0" w:left="660" w:right="560"/>
          <w:cols w:num="2" w:equalWidth="0">
            <w:col w:w="3182" w:space="40"/>
            <w:col w:w="2758"/>
          </w:cols>
        </w:sectPr>
      </w:pPr>
    </w:p>
    <w:p>
      <w:pPr>
        <w:spacing w:line="194" w:lineRule="exact" w:before="0"/>
        <w:ind w:left="1485" w:right="343" w:firstLine="0"/>
        <w:jc w:val="center"/>
        <w:rPr>
          <w:b/>
          <w:sz w:val="12"/>
        </w:rPr>
      </w:pPr>
      <w:r>
        <w:rPr/>
        <w:pict>
          <v:line style="position:absolute;mso-position-horizontal-relative:page;mso-position-vertical-relative:paragraph;z-index:-732280" from="201.176498pt,4.828043pt" to="220.558298pt,4.828043pt" stroked="true" strokeweight="5.742772pt" strokecolor="#000000">
            <w10:wrap type="none"/>
          </v:line>
        </w:pict>
      </w:r>
      <w:r>
        <w:rPr>
          <w:rFonts w:ascii="Arial"/>
          <w:b/>
          <w:color w:val="010101"/>
          <w:sz w:val="19"/>
        </w:rPr>
        <w:t>12  </w:t>
      </w:r>
      <w:r>
        <w:rPr>
          <w:b/>
          <w:color w:val="010101"/>
          <w:position w:val="6"/>
          <w:sz w:val="12"/>
        </w:rPr>
        <w:t>2</w:t>
      </w:r>
    </w:p>
    <w:p>
      <w:pPr>
        <w:pStyle w:val="BodyText"/>
        <w:spacing w:line="252" w:lineRule="auto" w:before="78"/>
        <w:ind w:left="111" w:right="152" w:firstLine="3"/>
        <w:jc w:val="both"/>
      </w:pPr>
      <w:r>
        <w:rPr>
          <w:color w:val="010101"/>
          <w:w w:val="105"/>
        </w:rPr>
        <w:t>In practice, the approximation given by the first two tenns  of  (2.18) is usually regarded as sufficiently accurate, and the result­ ing simple</w:t>
      </w:r>
      <w:r>
        <w:rPr>
          <w:color w:val="010101"/>
          <w:spacing w:val="-26"/>
          <w:w w:val="105"/>
        </w:rPr>
        <w:t> </w:t>
      </w:r>
      <w:r>
        <w:rPr>
          <w:color w:val="010101"/>
          <w:w w:val="105"/>
        </w:rPr>
        <w:t>formula</w:t>
      </w:r>
    </w:p>
    <w:p>
      <w:pPr>
        <w:tabs>
          <w:tab w:pos="2523" w:val="left" w:leader="none"/>
          <w:tab w:pos="5315" w:val="left" w:leader="none"/>
        </w:tabs>
        <w:spacing w:before="194"/>
        <w:ind w:left="2103" w:right="133" w:firstLine="0"/>
        <w:jc w:val="left"/>
        <w:rPr>
          <w:sz w:val="20"/>
        </w:rPr>
      </w:pPr>
      <w:r>
        <w:rPr/>
        <w:pict>
          <v:shape style="position:absolute;margin-left:144.107697pt;margin-top:2.341271pt;width:83.05pt;height:15.5pt;mso-position-horizontal-relative:page;mso-position-vertical-relative:paragraph;z-index:-732208" type="#_x0000_t202" filled="false" stroked="false">
            <v:textbox inset="0,0,0,0">
              <w:txbxContent>
                <w:p>
                  <w:pPr>
                    <w:tabs>
                      <w:tab w:pos="800" w:val="left" w:leader="none"/>
                    </w:tabs>
                    <w:spacing w:line="310" w:lineRule="exact" w:before="0"/>
                    <w:ind w:left="0" w:right="0" w:firstLine="0"/>
                    <w:jc w:val="left"/>
                    <w:rPr>
                      <w:sz w:val="20"/>
                    </w:rPr>
                  </w:pPr>
                  <w:r>
                    <w:rPr>
                      <w:b/>
                      <w:color w:val="010101"/>
                      <w:w w:val="120"/>
                      <w:sz w:val="12"/>
                    </w:rPr>
                    <w:t>(m) </w:t>
                  </w:r>
                  <w:r>
                    <w:rPr>
                      <w:b/>
                      <w:color w:val="010101"/>
                      <w:spacing w:val="26"/>
                      <w:w w:val="120"/>
                      <w:sz w:val="12"/>
                    </w:rPr>
                    <w:t> </w:t>
                  </w:r>
                  <w:r>
                    <w:rPr>
                      <w:b/>
                      <w:color w:val="010101"/>
                      <w:w w:val="150"/>
                      <w:sz w:val="12"/>
                    </w:rPr>
                    <w:t>.</w:t>
                    <w:tab/>
                  </w:r>
                  <w:r>
                    <w:rPr>
                      <w:rFonts w:ascii="Arial"/>
                      <w:color w:val="010101"/>
                      <w:w w:val="120"/>
                      <w:sz w:val="31"/>
                    </w:rPr>
                    <w:t>+</w:t>
                  </w:r>
                  <w:r>
                    <w:rPr>
                      <w:rFonts w:ascii="Arial"/>
                      <w:color w:val="010101"/>
                      <w:spacing w:val="-66"/>
                      <w:w w:val="120"/>
                      <w:sz w:val="31"/>
                    </w:rPr>
                    <w:t> </w:t>
                  </w:r>
                  <w:r>
                    <w:rPr>
                      <w:color w:val="010101"/>
                      <w:w w:val="120"/>
                      <w:sz w:val="19"/>
                    </w:rPr>
                    <w:t>m</w:t>
                  </w:r>
                  <w:r>
                    <w:rPr>
                      <w:color w:val="010101"/>
                      <w:spacing w:val="23"/>
                      <w:w w:val="120"/>
                      <w:sz w:val="19"/>
                    </w:rPr>
                    <w:t> </w:t>
                  </w:r>
                  <w:r>
                    <w:rPr>
                      <w:color w:val="010101"/>
                      <w:w w:val="275"/>
                      <w:sz w:val="19"/>
                    </w:rPr>
                    <w:t>-</w:t>
                  </w:r>
                  <w:r>
                    <w:rPr>
                      <w:color w:val="010101"/>
                      <w:spacing w:val="-79"/>
                      <w:w w:val="275"/>
                      <w:sz w:val="19"/>
                    </w:rPr>
                    <w:t> </w:t>
                  </w:r>
                  <w:r>
                    <w:rPr>
                      <w:color w:val="010101"/>
                      <w:w w:val="120"/>
                      <w:sz w:val="20"/>
                    </w:rPr>
                    <w:t>1</w:t>
                  </w:r>
                </w:p>
              </w:txbxContent>
            </v:textbox>
            <w10:wrap type="none"/>
          </v:shape>
        </w:pict>
      </w:r>
      <w:r>
        <w:rPr>
          <w:i/>
          <w:color w:val="010101"/>
          <w:position w:val="-3"/>
          <w:sz w:val="20"/>
        </w:rPr>
        <w:t>a;</w:t>
        <w:tab/>
      </w:r>
      <w:r>
        <w:rPr>
          <w:color w:val="010101"/>
          <w:position w:val="-3"/>
          <w:sz w:val="19"/>
        </w:rPr>
        <w:t>=:</w:t>
      </w:r>
      <w:r>
        <w:rPr>
          <w:color w:val="010101"/>
          <w:spacing w:val="39"/>
          <w:position w:val="-3"/>
          <w:sz w:val="19"/>
        </w:rPr>
        <w:t> </w:t>
      </w:r>
      <w:r>
        <w:rPr>
          <w:i/>
          <w:color w:val="010101"/>
          <w:position w:val="-3"/>
          <w:sz w:val="21"/>
        </w:rPr>
        <w:t>az</w:t>
        <w:tab/>
      </w:r>
      <w:r>
        <w:rPr>
          <w:color w:val="010101"/>
          <w:sz w:val="20"/>
        </w:rPr>
        <w:t>(2.19)</w:t>
      </w:r>
    </w:p>
    <w:p>
      <w:pPr>
        <w:pStyle w:val="BodyText"/>
        <w:spacing w:line="259" w:lineRule="auto" w:before="157"/>
        <w:ind w:left="108" w:right="127" w:firstLine="10"/>
        <w:jc w:val="both"/>
        <w:rPr>
          <w:i/>
        </w:rPr>
      </w:pPr>
      <w:r>
        <w:rPr>
          <w:color w:val="010101"/>
          <w:w w:val="105"/>
        </w:rPr>
        <w:t>is almost universally used. Formula (2.19) can also be derived </w:t>
      </w:r>
      <w:r>
        <w:rPr>
          <w:color w:val="010101"/>
          <w:w w:val="105"/>
          <w:position w:val="10"/>
          <w:sz w:val="11"/>
        </w:rPr>
        <w:t>1 </w:t>
      </w:r>
      <w:r>
        <w:rPr>
          <w:color w:val="010101"/>
          <w:w w:val="105"/>
        </w:rPr>
        <w:t>under  the  simple  assumption  that  </w:t>
      </w:r>
      <w:r>
        <w:rPr>
          <w:i/>
          <w:color w:val="010101"/>
          <w:w w:val="105"/>
          <w:sz w:val="16"/>
        </w:rPr>
        <w:t>Dz+t  </w:t>
      </w:r>
      <w:r>
        <w:rPr>
          <w:color w:val="010101"/>
          <w:w w:val="105"/>
        </w:rPr>
        <w:t>is  a  linear  function  for</w:t>
      </w:r>
      <w:r>
        <w:rPr>
          <w:color w:val="010101"/>
          <w:spacing w:val="52"/>
          <w:w w:val="105"/>
        </w:rPr>
        <w:t> </w:t>
      </w:r>
      <w:r>
        <w:rPr>
          <w:i/>
          <w:color w:val="010101"/>
        </w:rPr>
        <w:t>O      </w:t>
      </w:r>
      <w:r>
        <w:rPr>
          <w:i/>
          <w:color w:val="010101"/>
          <w:w w:val="105"/>
        </w:rPr>
        <w:t>t     </w:t>
      </w:r>
      <w:r>
        <w:rPr>
          <w:i/>
          <w:color w:val="010101"/>
          <w:spacing w:val="34"/>
          <w:w w:val="105"/>
        </w:rPr>
        <w:t> </w:t>
      </w:r>
      <w:r>
        <w:rPr>
          <w:i/>
          <w:color w:val="010101"/>
          <w:w w:val="135"/>
        </w:rPr>
        <w:t>l.</w:t>
      </w:r>
    </w:p>
    <w:p>
      <w:pPr>
        <w:pStyle w:val="BodyText"/>
        <w:spacing w:line="206" w:lineRule="exact"/>
        <w:ind w:left="111" w:right="133" w:firstLine="201"/>
      </w:pPr>
      <w:r>
        <w:rPr>
          <w:color w:val="010101"/>
          <w:w w:val="105"/>
          <w:sz w:val="22"/>
        </w:rPr>
        <w:t>In </w:t>
      </w:r>
      <w:r>
        <w:rPr>
          <w:color w:val="010101"/>
          <w:w w:val="105"/>
        </w:rPr>
        <w:t>deriving formulas for deferred  and temporary  annuities  pay­</w:t>
      </w:r>
    </w:p>
    <w:p>
      <w:pPr>
        <w:pStyle w:val="BodyText"/>
        <w:spacing w:line="249" w:lineRule="auto"/>
        <w:ind w:left="115" w:right="147" w:hanging="4"/>
        <w:jc w:val="both"/>
        <w:rPr>
          <w:rFonts w:ascii="Arial" w:hAnsi="Arial"/>
          <w:i/>
          <w:sz w:val="19"/>
        </w:rPr>
      </w:pPr>
      <w:r>
        <w:rPr>
          <w:color w:val="010101"/>
        </w:rPr>
        <w:t>able </w:t>
      </w:r>
      <w:r>
        <w:rPr>
          <w:rFonts w:ascii="Arial" w:hAnsi="Arial"/>
          <w:i/>
          <w:color w:val="010101"/>
          <w:sz w:val="17"/>
        </w:rPr>
        <w:t>m </w:t>
      </w:r>
      <w:r>
        <w:rPr>
          <w:color w:val="010101"/>
        </w:rPr>
        <w:t>times a year, we </w:t>
      </w:r>
      <w:r>
        <w:rPr>
          <w:color w:val="010101"/>
          <w:sz w:val="21"/>
        </w:rPr>
        <w:t>will </w:t>
      </w:r>
      <w:r>
        <w:rPr>
          <w:color w:val="010101"/>
        </w:rPr>
        <w:t>consider only the practica} approxima</w:t>
      </w:r>
      <w:r>
        <w:rPr>
          <w:color w:val="1C1C1C"/>
        </w:rPr>
        <w:t>­ </w:t>
      </w:r>
      <w:r>
        <w:rPr>
          <w:color w:val="010101"/>
          <w:w w:val="105"/>
        </w:rPr>
        <w:t>tions </w:t>
      </w:r>
      <w:r>
        <w:rPr>
          <w:color w:val="010101"/>
          <w:w w:val="98"/>
        </w:rPr>
        <w:t>which  </w:t>
      </w:r>
      <w:r>
        <w:rPr>
          <w:color w:val="010101"/>
          <w:w w:val="101"/>
        </w:rPr>
        <w:t>correspond  </w:t>
      </w:r>
      <w:r>
        <w:rPr>
          <w:color w:val="010101"/>
          <w:w w:val="107"/>
        </w:rPr>
        <w:t>to </w:t>
      </w:r>
      <w:r>
        <w:rPr>
          <w:color w:val="010101"/>
          <w:w w:val="103"/>
        </w:rPr>
        <w:t>formula  </w:t>
      </w:r>
      <w:r>
        <w:rPr>
          <w:color w:val="010101"/>
          <w:w w:val="101"/>
        </w:rPr>
        <w:t>(2.19)  </w:t>
      </w:r>
      <w:r>
        <w:rPr>
          <w:color w:val="010101"/>
          <w:w w:val="101"/>
        </w:rPr>
        <w:t>for </w:t>
      </w:r>
      <w:r>
        <w:rPr>
          <w:rFonts w:ascii="Arial" w:hAnsi="Arial"/>
          <w:i/>
          <w:color w:val="010101"/>
          <w:w w:val="90"/>
          <w:sz w:val="19"/>
        </w:rPr>
        <w:t>a"'&gt; </w:t>
      </w:r>
      <w:r>
        <w:rPr>
          <w:rFonts w:ascii="Arial" w:hAnsi="Arial"/>
          <w:i/>
          <w:color w:val="010101"/>
          <w:w w:val="106"/>
          <w:sz w:val="19"/>
        </w:rPr>
        <w:t>.</w:t>
      </w:r>
    </w:p>
    <w:p>
      <w:pPr>
        <w:pStyle w:val="BodyText"/>
        <w:spacing w:before="5"/>
        <w:ind w:left="316" w:right="739"/>
      </w:pPr>
      <w:r>
        <w:rPr/>
        <w:pict>
          <v:shape style="position:absolute;margin-left:92.781647pt;margin-top:9.958941pt;width:179.7pt;height:23.5pt;mso-position-horizontal-relative:page;mso-position-vertical-relative:paragraph;z-index:-732184" type="#_x0000_t202" filled="false" stroked="false">
            <v:textbox inset="0,0,0,0">
              <w:txbxContent>
                <w:p>
                  <w:pPr>
                    <w:tabs>
                      <w:tab w:pos="728" w:val="left" w:leader="none"/>
                      <w:tab w:pos="1155" w:val="left" w:leader="none"/>
                      <w:tab w:pos="1826" w:val="left" w:leader="none"/>
                      <w:tab w:pos="2867" w:val="left" w:leader="none"/>
                    </w:tabs>
                    <w:spacing w:line="470" w:lineRule="exact" w:before="0"/>
                    <w:ind w:left="0" w:right="0" w:firstLine="0"/>
                    <w:jc w:val="left"/>
                    <w:rPr>
                      <w:rFonts w:ascii="Arial" w:hAnsi="Arial"/>
                      <w:b/>
                      <w:sz w:val="47"/>
                    </w:rPr>
                  </w:pPr>
                  <w:r>
                    <w:rPr>
                      <w:rFonts w:ascii="Arial" w:hAnsi="Arial"/>
                      <w:i/>
                      <w:color w:val="010101"/>
                      <w:spacing w:val="17"/>
                      <w:w w:val="83"/>
                      <w:sz w:val="20"/>
                    </w:rPr>
                    <w:t>n</w:t>
                  </w:r>
                  <w:r>
                    <w:rPr>
                      <w:rFonts w:ascii="Arial" w:hAnsi="Arial"/>
                      <w:i/>
                      <w:color w:val="010101"/>
                      <w:w w:val="47"/>
                      <w:sz w:val="20"/>
                    </w:rPr>
                    <w:t>&lt;m&gt;</w:t>
                  </w:r>
                  <w:r>
                    <w:rPr>
                      <w:rFonts w:ascii="Arial" w:hAnsi="Arial"/>
                      <w:i/>
                      <w:color w:val="010101"/>
                      <w:sz w:val="20"/>
                    </w:rPr>
                    <w:tab/>
                  </w:r>
                  <w:r>
                    <w:rPr>
                      <w:i/>
                      <w:color w:val="010101"/>
                      <w:w w:val="97"/>
                      <w:sz w:val="22"/>
                    </w:rPr>
                    <w:t>E</w:t>
                  </w:r>
                  <w:r>
                    <w:rPr>
                      <w:i/>
                      <w:color w:val="010101"/>
                      <w:sz w:val="22"/>
                    </w:rPr>
                    <w:tab/>
                  </w:r>
                  <w:r>
                    <w:rPr>
                      <w:rFonts w:ascii="Arial" w:hAnsi="Arial"/>
                      <w:color w:val="010101"/>
                      <w:w w:val="82"/>
                      <w:sz w:val="21"/>
                    </w:rPr>
                    <w:t>&lt;</w:t>
                  </w:r>
                  <w:r>
                    <w:rPr>
                      <w:rFonts w:ascii="Arial" w:hAnsi="Arial"/>
                      <w:color w:val="010101"/>
                      <w:spacing w:val="2"/>
                      <w:w w:val="82"/>
                      <w:sz w:val="21"/>
                    </w:rPr>
                    <w:t>•</w:t>
                  </w:r>
                  <w:r>
                    <w:rPr>
                      <w:rFonts w:ascii="Arial" w:hAnsi="Arial"/>
                      <w:color w:val="010101"/>
                      <w:w w:val="37"/>
                      <w:sz w:val="21"/>
                    </w:rPr>
                    <w:t>&gt;</w:t>
                  </w:r>
                  <w:r>
                    <w:rPr>
                      <w:rFonts w:ascii="Arial" w:hAnsi="Arial"/>
                      <w:color w:val="010101"/>
                      <w:sz w:val="21"/>
                    </w:rPr>
                    <w:t> </w:t>
                  </w:r>
                  <w:r>
                    <w:rPr>
                      <w:rFonts w:ascii="Arial" w:hAnsi="Arial"/>
                      <w:color w:val="010101"/>
                      <w:spacing w:val="23"/>
                      <w:sz w:val="21"/>
                    </w:rPr>
                    <w:t> </w:t>
                  </w:r>
                  <w:r>
                    <w:rPr>
                      <w:rFonts w:ascii="Arial" w:hAnsi="Arial"/>
                      <w:color w:val="010101"/>
                      <w:w w:val="134"/>
                      <w:sz w:val="21"/>
                    </w:rPr>
                    <w:t>.</w:t>
                  </w:r>
                  <w:r>
                    <w:rPr>
                      <w:rFonts w:ascii="Arial" w:hAnsi="Arial"/>
                      <w:color w:val="010101"/>
                      <w:sz w:val="21"/>
                    </w:rPr>
                    <w:tab/>
                  </w:r>
                  <w:r>
                    <w:rPr>
                      <w:i/>
                      <w:color w:val="010101"/>
                      <w:w w:val="89"/>
                      <w:sz w:val="22"/>
                    </w:rPr>
                    <w:t>E</w:t>
                  </w:r>
                  <w:r>
                    <w:rPr>
                      <w:i/>
                      <w:color w:val="010101"/>
                      <w:sz w:val="22"/>
                    </w:rPr>
                    <w:t>  </w:t>
                  </w:r>
                  <w:r>
                    <w:rPr>
                      <w:i/>
                      <w:color w:val="010101"/>
                      <w:spacing w:val="-21"/>
                      <w:sz w:val="22"/>
                    </w:rPr>
                    <w:t> </w:t>
                  </w:r>
                  <w:r>
                    <w:rPr>
                      <w:color w:val="010101"/>
                      <w:w w:val="178"/>
                      <w:sz w:val="22"/>
                    </w:rPr>
                    <w:t>(</w:t>
                  </w:r>
                  <w:r>
                    <w:rPr>
                      <w:color w:val="010101"/>
                      <w:sz w:val="22"/>
                    </w:rPr>
                    <w:tab/>
                  </w:r>
                  <w:r>
                    <w:rPr>
                      <w:rFonts w:ascii="Arial" w:hAnsi="Arial"/>
                      <w:i/>
                      <w:color w:val="010101"/>
                      <w:w w:val="107"/>
                      <w:sz w:val="18"/>
                    </w:rPr>
                    <w:t>m</w:t>
                  </w:r>
                  <w:r>
                    <w:rPr>
                      <w:rFonts w:ascii="Arial" w:hAnsi="Arial"/>
                      <w:i/>
                      <w:color w:val="010101"/>
                      <w:sz w:val="18"/>
                    </w:rPr>
                    <w:t>  </w:t>
                  </w:r>
                  <w:r>
                    <w:rPr>
                      <w:rFonts w:ascii="Arial" w:hAnsi="Arial"/>
                      <w:color w:val="010101"/>
                      <w:w w:val="276"/>
                      <w:sz w:val="18"/>
                    </w:rPr>
                    <w:t>-</w:t>
                  </w:r>
                  <w:r>
                    <w:rPr>
                      <w:rFonts w:ascii="Arial" w:hAnsi="Arial"/>
                      <w:color w:val="010101"/>
                      <w:sz w:val="18"/>
                    </w:rPr>
                    <w:t> </w:t>
                  </w:r>
                  <w:r>
                    <w:rPr>
                      <w:rFonts w:ascii="Arial" w:hAnsi="Arial"/>
                      <w:color w:val="010101"/>
                      <w:spacing w:val="-12"/>
                      <w:sz w:val="18"/>
                    </w:rPr>
                    <w:t> </w:t>
                  </w:r>
                  <w:r>
                    <w:rPr>
                      <w:rFonts w:ascii="Arial" w:hAnsi="Arial"/>
                      <w:b/>
                      <w:color w:val="010101"/>
                      <w:w w:val="49"/>
                      <w:sz w:val="47"/>
                    </w:rPr>
                    <w:t>1</w:t>
                  </w:r>
                  <w:r>
                    <w:rPr>
                      <w:rFonts w:ascii="Arial" w:hAnsi="Arial"/>
                      <w:b/>
                      <w:color w:val="010101"/>
                      <w:w w:val="49"/>
                      <w:sz w:val="47"/>
                    </w:rPr>
                    <w:t>)</w:t>
                  </w:r>
                </w:p>
              </w:txbxContent>
            </v:textbox>
            <w10:wrap type="none"/>
          </v:shape>
        </w:pict>
      </w:r>
      <w:r>
        <w:rPr>
          <w:color w:val="010101"/>
          <w:w w:val="105"/>
        </w:rPr>
        <w:t>For the deferred annuity payable </w:t>
      </w:r>
      <w:r>
        <w:rPr>
          <w:rFonts w:ascii="Arial"/>
          <w:i/>
          <w:color w:val="010101"/>
          <w:w w:val="105"/>
          <w:sz w:val="18"/>
        </w:rPr>
        <w:t>m </w:t>
      </w:r>
      <w:r>
        <w:rPr>
          <w:color w:val="010101"/>
          <w:w w:val="105"/>
        </w:rPr>
        <w:t>times a   year,</w:t>
      </w:r>
    </w:p>
    <w:p>
      <w:pPr>
        <w:tabs>
          <w:tab w:pos="552" w:val="left" w:leader="none"/>
          <w:tab w:pos="3782" w:val="left" w:leader="none"/>
        </w:tabs>
        <w:spacing w:before="129"/>
        <w:ind w:left="0" w:right="3" w:firstLine="0"/>
        <w:jc w:val="center"/>
        <w:rPr>
          <w:rFonts w:ascii="Arial" w:hAnsi="Arial"/>
          <w:sz w:val="31"/>
        </w:rPr>
      </w:pPr>
      <w:r>
        <w:rPr>
          <w:rFonts w:ascii="Arial" w:hAnsi="Arial"/>
          <w:b/>
          <w:color w:val="010101"/>
          <w:sz w:val="8"/>
        </w:rPr>
        <w:t>11!""%</w:t>
        <w:tab/>
      </w:r>
      <w:r>
        <w:rPr>
          <w:color w:val="010101"/>
          <w:sz w:val="23"/>
        </w:rPr>
        <w:t>=  </w:t>
      </w:r>
      <w:r>
        <w:rPr>
          <w:rFonts w:ascii="Arial" w:hAnsi="Arial"/>
          <w:b/>
          <w:color w:val="010101"/>
          <w:sz w:val="8"/>
        </w:rPr>
        <w:t>71      </w:t>
      </w:r>
      <w:r>
        <w:rPr>
          <w:b/>
          <w:color w:val="010101"/>
          <w:sz w:val="18"/>
        </w:rPr>
        <w:t>s·a.;+,.  </w:t>
      </w:r>
      <w:r>
        <w:rPr>
          <w:color w:val="010101"/>
          <w:sz w:val="19"/>
        </w:rPr>
        <w:t>=:  </w:t>
      </w:r>
      <w:r>
        <w:rPr>
          <w:b/>
          <w:color w:val="010101"/>
          <w:sz w:val="18"/>
        </w:rPr>
        <w:t>n   </w:t>
      </w:r>
      <w:r>
        <w:rPr>
          <w:rFonts w:ascii="Arial" w:hAnsi="Arial"/>
          <w:b/>
          <w:color w:val="010101"/>
          <w:w w:val="110"/>
          <w:sz w:val="8"/>
        </w:rPr>
        <w:t>S   </w:t>
      </w:r>
      <w:r>
        <w:rPr>
          <w:rFonts w:ascii="Arial" w:hAnsi="Arial"/>
          <w:b/>
          <w:color w:val="010101"/>
          <w:spacing w:val="23"/>
          <w:w w:val="110"/>
          <w:sz w:val="8"/>
        </w:rPr>
        <w:t> </w:t>
      </w:r>
      <w:r>
        <w:rPr>
          <w:b/>
          <w:i/>
          <w:color w:val="010101"/>
          <w:sz w:val="16"/>
        </w:rPr>
        <w:t>a.i:+n </w:t>
      </w:r>
      <w:r>
        <w:rPr>
          <w:b/>
          <w:i/>
          <w:color w:val="010101"/>
          <w:spacing w:val="12"/>
          <w:sz w:val="16"/>
        </w:rPr>
        <w:t> </w:t>
      </w:r>
      <w:r>
        <w:rPr>
          <w:rFonts w:ascii="Arial" w:hAnsi="Arial"/>
          <w:color w:val="010101"/>
          <w:sz w:val="31"/>
        </w:rPr>
        <w:t>+</w:t>
        <w:tab/>
        <w:t>,</w:t>
      </w:r>
    </w:p>
    <w:p>
      <w:pPr>
        <w:pStyle w:val="BodyText"/>
        <w:tabs>
          <w:tab w:pos="1730" w:val="left" w:leader="none"/>
        </w:tabs>
        <w:spacing w:before="208"/>
        <w:ind w:left="104"/>
        <w:jc w:val="both"/>
      </w:pPr>
      <w:r>
        <w:rPr>
          <w:color w:val="010101"/>
        </w:rPr>
        <w:t>whence</w:t>
        <w:tab/>
      </w:r>
      <w:r>
        <w:rPr>
          <w:color w:val="010101"/>
          <w:position w:val="-13"/>
        </w:rPr>
        <w:drawing>
          <wp:inline distT="0" distB="0" distL="0" distR="0">
            <wp:extent cx="1581911" cy="256032"/>
            <wp:effectExtent l="0" t="0" r="0" b="0"/>
            <wp:docPr id="77" name="image43.png" descr=""/>
            <wp:cNvGraphicFramePr>
              <a:graphicFrameLocks noChangeAspect="1"/>
            </wp:cNvGraphicFramePr>
            <a:graphic>
              <a:graphicData uri="http://schemas.openxmlformats.org/drawingml/2006/picture">
                <pic:pic>
                  <pic:nvPicPr>
                    <pic:cNvPr id="78" name="image43.png"/>
                    <pic:cNvPicPr/>
                  </pic:nvPicPr>
                  <pic:blipFill>
                    <a:blip r:embed="rId47" cstate="print"/>
                    <a:stretch>
                      <a:fillRect/>
                    </a:stretch>
                  </pic:blipFill>
                  <pic:spPr>
                    <a:xfrm>
                      <a:off x="0" y="0"/>
                      <a:ext cx="1581911" cy="256032"/>
                    </a:xfrm>
                    <a:prstGeom prst="rect">
                      <a:avLst/>
                    </a:prstGeom>
                  </pic:spPr>
                </pic:pic>
              </a:graphicData>
            </a:graphic>
          </wp:inline>
        </w:drawing>
      </w:r>
      <w:r>
        <w:rPr>
          <w:color w:val="010101"/>
          <w:position w:val="-13"/>
        </w:rPr>
      </w:r>
      <w:r>
        <w:rPr>
          <w:color w:val="010101"/>
        </w:rPr>
        <w:t>                     (</w:t>
      </w:r>
      <w:r>
        <w:rPr>
          <w:color w:val="010101"/>
          <w:spacing w:val="-35"/>
        </w:rPr>
        <w:t> </w:t>
      </w:r>
      <w:r>
        <w:rPr>
          <w:color w:val="010101"/>
        </w:rPr>
        <w:t>2.20)</w:t>
      </w:r>
    </w:p>
    <w:p>
      <w:pPr>
        <w:pStyle w:val="BodyText"/>
        <w:spacing w:line="200" w:lineRule="exact" w:before="103"/>
        <w:ind w:left="309" w:right="739"/>
      </w:pPr>
      <w:r>
        <w:rPr>
          <w:color w:val="010101"/>
          <w:w w:val="105"/>
        </w:rPr>
        <w:t>For the temporary  annuity payable  </w:t>
      </w:r>
      <w:r>
        <w:rPr>
          <w:rFonts w:ascii="Arial"/>
          <w:i/>
          <w:color w:val="010101"/>
          <w:w w:val="105"/>
          <w:sz w:val="18"/>
        </w:rPr>
        <w:t>m </w:t>
      </w:r>
      <w:r>
        <w:rPr>
          <w:color w:val="010101"/>
          <w:w w:val="105"/>
        </w:rPr>
        <w:t>times a  year,</w:t>
      </w:r>
    </w:p>
    <w:p>
      <w:pPr>
        <w:spacing w:line="545" w:lineRule="exact" w:before="0"/>
        <w:ind w:left="108" w:right="0" w:firstLine="0"/>
        <w:jc w:val="both"/>
        <w:rPr>
          <w:sz w:val="49"/>
        </w:rPr>
      </w:pPr>
      <w:r>
        <w:rPr/>
        <w:pict>
          <v:line style="position:absolute;mso-position-horizontal-relative:page;mso-position-vertical-relative:paragraph;z-index:-732256" from="183.230301pt,24.790386pt" to="208.893301pt,24.790386pt" stroked="true" strokeweight="5.922233pt" strokecolor="#000000">
            <w10:wrap type="none"/>
          </v:line>
        </w:pict>
      </w:r>
      <w:r>
        <w:rPr/>
        <w:pict>
          <v:line style="position:absolute;mso-position-horizontal-relative:page;mso-position-vertical-relative:paragraph;z-index:-732232" from="270.987pt,25.419586pt" to="283.5494pt,25.419586pt" stroked="true" strokeweight="5.024925pt" strokecolor="#000000">
            <w10:wrap type="none"/>
          </v:line>
        </w:pict>
      </w:r>
      <w:r>
        <w:rPr>
          <w:rFonts w:ascii="Arial" w:hAnsi="Arial"/>
          <w:b/>
          <w:i/>
          <w:color w:val="010101"/>
          <w:spacing w:val="-18"/>
          <w:w w:val="68"/>
          <w:sz w:val="29"/>
          <w:u w:val="thick" w:color="000000"/>
        </w:rPr>
        <w:t>a</w:t>
      </w:r>
      <w:r>
        <w:rPr>
          <w:rFonts w:ascii="Arial" w:hAnsi="Arial"/>
          <w:b/>
          <w:i/>
          <w:color w:val="010101"/>
          <w:spacing w:val="-37"/>
          <w:w w:val="186"/>
          <w:sz w:val="29"/>
          <w:u w:val="thick" w:color="000000"/>
        </w:rPr>
        <w:t>t</w:t>
      </w:r>
      <w:r>
        <w:rPr>
          <w:rFonts w:ascii="Arial" w:hAnsi="Arial"/>
          <w:b/>
          <w:i/>
          <w:color w:val="010101"/>
          <w:w w:val="45"/>
          <w:sz w:val="29"/>
          <w:u w:val="thick" w:color="000000"/>
        </w:rPr>
        <w:t>;/</w:t>
      </w:r>
      <w:r>
        <w:rPr>
          <w:rFonts w:ascii="Arial" w:hAnsi="Arial"/>
          <w:b/>
          <w:i/>
          <w:color w:val="010101"/>
          <w:w w:val="45"/>
          <w:sz w:val="29"/>
        </w:rPr>
        <w:t>¡</w:t>
      </w:r>
      <w:r>
        <w:rPr>
          <w:rFonts w:ascii="Arial" w:hAnsi="Arial"/>
          <w:b/>
          <w:i/>
          <w:color w:val="010101"/>
          <w:spacing w:val="16"/>
          <w:sz w:val="29"/>
        </w:rPr>
        <w:t> </w:t>
      </w:r>
      <w:r>
        <w:rPr>
          <w:color w:val="010101"/>
          <w:w w:val="85"/>
          <w:sz w:val="28"/>
        </w:rPr>
        <w:t>=</w:t>
      </w:r>
      <w:r>
        <w:rPr>
          <w:color w:val="010101"/>
          <w:spacing w:val="24"/>
          <w:sz w:val="28"/>
        </w:rPr>
        <w:t> </w:t>
      </w:r>
      <w:r>
        <w:rPr>
          <w:color w:val="010101"/>
          <w:w w:val="62"/>
          <w:sz w:val="29"/>
        </w:rPr>
        <w:t>tJ</w:t>
      </w:r>
      <w:r>
        <w:rPr>
          <w:color w:val="010101"/>
          <w:spacing w:val="-18"/>
          <w:w w:val="62"/>
          <w:sz w:val="29"/>
        </w:rPr>
        <w:t>!</w:t>
      </w:r>
      <w:r>
        <w:rPr>
          <w:color w:val="010101"/>
          <w:spacing w:val="-48"/>
          <w:w w:val="138"/>
          <w:sz w:val="29"/>
        </w:rPr>
        <w:t>•</w:t>
      </w:r>
      <w:r>
        <w:rPr>
          <w:color w:val="010101"/>
          <w:w w:val="62"/>
          <w:sz w:val="29"/>
        </w:rPr>
        <w:t>l</w:t>
      </w:r>
      <w:r>
        <w:rPr>
          <w:color w:val="010101"/>
          <w:spacing w:val="34"/>
          <w:sz w:val="29"/>
        </w:rPr>
        <w:t> </w:t>
      </w:r>
      <w:r>
        <w:rPr>
          <w:color w:val="010101"/>
          <w:w w:val="193"/>
          <w:sz w:val="29"/>
        </w:rPr>
        <w:t>-</w:t>
      </w:r>
      <w:r>
        <w:rPr>
          <w:color w:val="010101"/>
          <w:spacing w:val="-23"/>
          <w:sz w:val="29"/>
        </w:rPr>
        <w:t> </w:t>
      </w:r>
      <w:r>
        <w:rPr>
          <w:color w:val="010101"/>
          <w:spacing w:val="-55"/>
          <w:w w:val="204"/>
          <w:sz w:val="29"/>
        </w:rPr>
        <w:t>.</w:t>
      </w:r>
      <w:r>
        <w:rPr>
          <w:color w:val="010101"/>
          <w:w w:val="61"/>
          <w:sz w:val="29"/>
        </w:rPr>
        <w:t>,tJ</w:t>
      </w:r>
      <w:r>
        <w:rPr>
          <w:color w:val="010101"/>
          <w:spacing w:val="-17"/>
          <w:w w:val="61"/>
          <w:sz w:val="29"/>
        </w:rPr>
        <w:t>!</w:t>
      </w:r>
      <w:r>
        <w:rPr>
          <w:color w:val="010101"/>
          <w:spacing w:val="-41"/>
          <w:w w:val="138"/>
          <w:sz w:val="29"/>
        </w:rPr>
        <w:t>•</w:t>
      </w:r>
      <w:r>
        <w:rPr>
          <w:color w:val="010101"/>
          <w:w w:val="52"/>
          <w:sz w:val="29"/>
        </w:rPr>
        <w:t>l</w:t>
      </w:r>
      <w:r>
        <w:rPr>
          <w:color w:val="010101"/>
          <w:spacing w:val="35"/>
          <w:sz w:val="29"/>
        </w:rPr>
        <w:t> </w:t>
      </w:r>
      <w:r>
        <w:rPr>
          <w:rFonts w:ascii="Arial" w:hAnsi="Arial"/>
          <w:color w:val="010101"/>
          <w:w w:val="103"/>
          <w:sz w:val="18"/>
        </w:rPr>
        <w:t>=;</w:t>
      </w:r>
      <w:r>
        <w:rPr>
          <w:rFonts w:ascii="Arial" w:hAnsi="Arial"/>
          <w:color w:val="010101"/>
          <w:spacing w:val="18"/>
          <w:sz w:val="18"/>
        </w:rPr>
        <w:t> </w:t>
      </w:r>
      <w:r>
        <w:rPr>
          <w:i/>
          <w:color w:val="010101"/>
          <w:spacing w:val="22"/>
          <w:w w:val="60"/>
          <w:sz w:val="49"/>
        </w:rPr>
        <w:t>(</w:t>
      </w:r>
      <w:r>
        <w:rPr>
          <w:i/>
          <w:color w:val="010101"/>
          <w:w w:val="58"/>
          <w:sz w:val="49"/>
        </w:rPr>
        <w:t>a.+</w:t>
      </w:r>
      <w:r>
        <w:rPr>
          <w:i/>
          <w:color w:val="010101"/>
          <w:spacing w:val="-61"/>
          <w:sz w:val="49"/>
        </w:rPr>
        <w:t> </w:t>
      </w:r>
      <w:r>
        <w:rPr>
          <w:i/>
          <w:color w:val="010101"/>
          <w:spacing w:val="4"/>
          <w:w w:val="110"/>
          <w:sz w:val="21"/>
        </w:rPr>
        <w:t>m</w:t>
      </w:r>
      <w:r>
        <w:rPr>
          <w:color w:val="010101"/>
          <w:w w:val="42"/>
          <w:sz w:val="49"/>
        </w:rPr>
        <w:t>2</w:t>
      </w:r>
      <w:r>
        <w:rPr>
          <w:color w:val="010101"/>
          <w:sz w:val="49"/>
        </w:rPr>
        <w:t> </w:t>
      </w:r>
      <w:r>
        <w:rPr>
          <w:color w:val="010101"/>
          <w:spacing w:val="-18"/>
          <w:sz w:val="49"/>
        </w:rPr>
        <w:t> </w:t>
      </w:r>
      <w:r>
        <w:rPr>
          <w:color w:val="010101"/>
          <w:w w:val="57"/>
          <w:sz w:val="49"/>
        </w:rPr>
        <w:t>1)</w:t>
      </w:r>
      <w:r>
        <w:rPr>
          <w:color w:val="010101"/>
          <w:spacing w:val="-68"/>
          <w:sz w:val="49"/>
        </w:rPr>
        <w:t> </w:t>
      </w:r>
      <w:r>
        <w:rPr>
          <w:color w:val="010101"/>
          <w:w w:val="113"/>
          <w:sz w:val="49"/>
        </w:rPr>
        <w:t>-</w:t>
      </w:r>
      <w:r>
        <w:rPr>
          <w:color w:val="010101"/>
          <w:spacing w:val="-72"/>
          <w:sz w:val="49"/>
        </w:rPr>
        <w:t> </w:t>
      </w:r>
      <w:r>
        <w:rPr>
          <w:color w:val="010101"/>
          <w:spacing w:val="-23"/>
          <w:w w:val="77"/>
          <w:sz w:val="50"/>
        </w:rPr>
        <w:t>(</w:t>
      </w:r>
      <w:r>
        <w:rPr>
          <w:color w:val="010101"/>
          <w:spacing w:val="-64"/>
          <w:w w:val="131"/>
          <w:sz w:val="50"/>
        </w:rPr>
        <w:t>.</w:t>
      </w:r>
      <w:r>
        <w:rPr>
          <w:color w:val="010101"/>
          <w:w w:val="45"/>
          <w:sz w:val="50"/>
        </w:rPr>
        <w:t>,a,</w:t>
      </w:r>
      <w:r>
        <w:rPr>
          <w:color w:val="010101"/>
          <w:spacing w:val="-55"/>
          <w:sz w:val="50"/>
        </w:rPr>
        <w:t> </w:t>
      </w:r>
      <w:r>
        <w:rPr>
          <w:color w:val="010101"/>
          <w:w w:val="57"/>
          <w:sz w:val="50"/>
        </w:rPr>
        <w:t>+</w:t>
      </w:r>
      <w:r>
        <w:rPr>
          <w:color w:val="010101"/>
          <w:spacing w:val="-52"/>
          <w:sz w:val="50"/>
        </w:rPr>
        <w:t> </w:t>
      </w:r>
      <w:r>
        <w:rPr>
          <w:i/>
          <w:color w:val="010101"/>
          <w:spacing w:val="11"/>
          <w:w w:val="105"/>
          <w:sz w:val="21"/>
        </w:rPr>
        <w:t>m</w:t>
      </w:r>
      <w:r>
        <w:rPr>
          <w:color w:val="010101"/>
          <w:w w:val="42"/>
          <w:sz w:val="49"/>
        </w:rPr>
        <w:t>2</w:t>
      </w:r>
      <w:r>
        <w:rPr>
          <w:color w:val="010101"/>
          <w:sz w:val="49"/>
        </w:rPr>
        <w:t> </w:t>
      </w:r>
      <w:r>
        <w:rPr>
          <w:color w:val="010101"/>
          <w:spacing w:val="-18"/>
          <w:sz w:val="49"/>
        </w:rPr>
        <w:t> </w:t>
      </w:r>
      <w:r>
        <w:rPr>
          <w:color w:val="010101"/>
          <w:spacing w:val="4"/>
          <w:w w:val="48"/>
          <w:sz w:val="49"/>
        </w:rPr>
        <w:t>1</w:t>
      </w:r>
      <w:r>
        <w:rPr>
          <w:color w:val="010101"/>
          <w:w w:val="76"/>
          <w:sz w:val="49"/>
        </w:rPr>
        <w:t>.</w:t>
      </w:r>
      <w:r>
        <w:rPr>
          <w:color w:val="010101"/>
          <w:spacing w:val="-36"/>
          <w:w w:val="76"/>
          <w:sz w:val="49"/>
        </w:rPr>
        <w:t>.</w:t>
      </w:r>
      <w:r>
        <w:rPr>
          <w:color w:val="010101"/>
          <w:spacing w:val="-14"/>
          <w:w w:val="49"/>
          <w:sz w:val="49"/>
        </w:rPr>
        <w:t>E</w:t>
      </w:r>
      <w:r>
        <w:rPr>
          <w:color w:val="010101"/>
          <w:spacing w:val="-49"/>
          <w:w w:val="98"/>
          <w:sz w:val="49"/>
        </w:rPr>
        <w:t>,</w:t>
      </w:r>
      <w:r>
        <w:rPr>
          <w:color w:val="010101"/>
          <w:w w:val="78"/>
          <w:sz w:val="49"/>
        </w:rPr>
        <w:t>)</w:t>
      </w:r>
      <w:r>
        <w:rPr>
          <w:color w:val="010101"/>
          <w:spacing w:val="-65"/>
          <w:sz w:val="49"/>
        </w:rPr>
        <w:t> </w:t>
      </w:r>
      <w:r>
        <w:rPr>
          <w:color w:val="010101"/>
          <w:w w:val="56"/>
          <w:sz w:val="49"/>
        </w:rPr>
        <w:t>'</w:t>
      </w:r>
    </w:p>
    <w:p>
      <w:pPr>
        <w:spacing w:before="166"/>
        <w:ind w:left="316" w:right="739" w:firstLine="0"/>
        <w:jc w:val="left"/>
        <w:rPr>
          <w:sz w:val="18"/>
        </w:rPr>
      </w:pPr>
      <w:r>
        <w:rPr>
          <w:color w:val="010101"/>
          <w:w w:val="110"/>
          <w:sz w:val="10"/>
        </w:rPr>
        <w:t>1 </w:t>
      </w:r>
      <w:r>
        <w:rPr>
          <w:color w:val="010101"/>
          <w:w w:val="110"/>
          <w:sz w:val="18"/>
        </w:rPr>
        <w:t>See Exercise 9.</w:t>
      </w:r>
    </w:p>
    <w:p>
      <w:pPr>
        <w:spacing w:after="0"/>
        <w:jc w:val="left"/>
        <w:rPr>
          <w:sz w:val="18"/>
        </w:rPr>
        <w:sectPr>
          <w:type w:val="continuous"/>
          <w:pgSz w:w="7200" w:h="11340"/>
          <w:pgMar w:top="1100" w:bottom="0" w:left="660" w:right="560"/>
        </w:sectPr>
      </w:pPr>
    </w:p>
    <w:p>
      <w:pPr>
        <w:tabs>
          <w:tab w:pos="902" w:val="left" w:leader="none"/>
          <w:tab w:pos="5873" w:val="right" w:leader="none"/>
        </w:tabs>
        <w:spacing w:before="54"/>
        <w:ind w:left="107" w:right="0" w:firstLine="0"/>
        <w:jc w:val="left"/>
        <w:rPr>
          <w:rFonts w:ascii="Courier New"/>
          <w:sz w:val="23"/>
        </w:rPr>
      </w:pPr>
      <w:r>
        <w:rPr>
          <w:b/>
          <w:color w:val="010101"/>
          <w:w w:val="105"/>
          <w:sz w:val="15"/>
        </w:rPr>
        <w:t>SEC.</w:t>
      </w:r>
      <w:r>
        <w:rPr>
          <w:b/>
          <w:color w:val="010101"/>
          <w:spacing w:val="19"/>
          <w:w w:val="105"/>
          <w:sz w:val="15"/>
        </w:rPr>
        <w:t> </w:t>
      </w:r>
      <w:r>
        <w:rPr>
          <w:rFonts w:ascii="Arial"/>
          <w:b/>
          <w:color w:val="010101"/>
          <w:w w:val="105"/>
          <w:sz w:val="20"/>
        </w:rPr>
        <w:t>3]</w:t>
        <w:tab/>
      </w:r>
      <w:r>
        <w:rPr>
          <w:b/>
          <w:color w:val="010101"/>
          <w:w w:val="105"/>
          <w:sz w:val="15"/>
        </w:rPr>
        <w:t>ANNUITIES   PAYABLE  MORE  THAN   ONCE </w:t>
      </w:r>
      <w:r>
        <w:rPr>
          <w:b/>
          <w:color w:val="010101"/>
          <w:spacing w:val="5"/>
          <w:w w:val="105"/>
          <w:sz w:val="15"/>
        </w:rPr>
        <w:t> </w:t>
      </w:r>
      <w:r>
        <w:rPr>
          <w:b/>
          <w:color w:val="010101"/>
          <w:w w:val="105"/>
          <w:sz w:val="15"/>
        </w:rPr>
        <w:t>A </w:t>
      </w:r>
      <w:r>
        <w:rPr>
          <w:b/>
          <w:color w:val="010101"/>
          <w:spacing w:val="17"/>
          <w:w w:val="105"/>
          <w:sz w:val="15"/>
        </w:rPr>
        <w:t> </w:t>
      </w:r>
      <w:r>
        <w:rPr>
          <w:b/>
          <w:color w:val="010101"/>
          <w:w w:val="105"/>
          <w:sz w:val="15"/>
        </w:rPr>
        <w:t>YEAR</w:t>
      </w:r>
      <w:r>
        <w:rPr>
          <w:rFonts w:ascii="Courier New"/>
          <w:color w:val="010101"/>
          <w:w w:val="105"/>
          <w:sz w:val="23"/>
        </w:rPr>
        <w:tab/>
      </w:r>
      <w:r>
        <w:rPr>
          <w:rFonts w:ascii="Courier New"/>
          <w:color w:val="010101"/>
          <w:spacing w:val="-28"/>
          <w:w w:val="105"/>
          <w:sz w:val="23"/>
        </w:rPr>
        <w:t>47</w:t>
      </w:r>
    </w:p>
    <w:p>
      <w:pPr>
        <w:spacing w:after="0"/>
        <w:jc w:val="left"/>
        <w:rPr>
          <w:rFonts w:ascii="Courier New"/>
          <w:sz w:val="23"/>
        </w:rPr>
        <w:sectPr>
          <w:pgSz w:w="7200" w:h="11340"/>
          <w:pgMar w:top="500" w:bottom="280" w:left="660" w:right="540"/>
        </w:sectPr>
      </w:pPr>
    </w:p>
    <w:p>
      <w:pPr>
        <w:spacing w:line="187" w:lineRule="exact" w:before="237"/>
        <w:ind w:left="0" w:right="104" w:firstLine="0"/>
        <w:jc w:val="right"/>
        <w:rPr>
          <w:rFonts w:ascii="Arial" w:hAnsi="Arial"/>
          <w:sz w:val="22"/>
        </w:rPr>
      </w:pPr>
      <w:r>
        <w:rPr/>
        <w:pict>
          <v:shape style="position:absolute;margin-left:38.533199pt;margin-top:19.277712pt;width:74.350pt;height:10.5pt;mso-position-horizontal-relative:page;mso-position-vertical-relative:paragraph;z-index:-732112" type="#_x0000_t202" filled="false" stroked="false">
            <v:textbox inset="0,0,0,0">
              <w:txbxContent>
                <w:p>
                  <w:pPr>
                    <w:tabs>
                      <w:tab w:pos="1369" w:val="left" w:leader="none"/>
                    </w:tabs>
                    <w:spacing w:line="210" w:lineRule="exact" w:before="0"/>
                    <w:ind w:left="0" w:right="0" w:firstLine="0"/>
                    <w:jc w:val="left"/>
                    <w:rPr>
                      <w:rFonts w:ascii="Arial"/>
                      <w:b/>
                      <w:sz w:val="18"/>
                    </w:rPr>
                  </w:pPr>
                  <w:r>
                    <w:rPr>
                      <w:color w:val="010101"/>
                      <w:w w:val="105"/>
                      <w:sz w:val="21"/>
                    </w:rPr>
                    <w:t>whence</w:t>
                    <w:tab/>
                  </w:r>
                  <w:r>
                    <w:rPr>
                      <w:rFonts w:ascii="Arial"/>
                      <w:b/>
                      <w:color w:val="010101"/>
                      <w:w w:val="105"/>
                      <w:sz w:val="18"/>
                    </w:rPr>
                    <w:t>a</w:t>
                  </w:r>
                </w:p>
              </w:txbxContent>
            </v:textbox>
            <w10:wrap type="none"/>
          </v:shape>
        </w:pict>
      </w:r>
      <w:r>
        <w:rPr>
          <w:rFonts w:ascii="Arial" w:hAnsi="Arial"/>
          <w:color w:val="010101"/>
          <w:w w:val="79"/>
          <w:sz w:val="22"/>
        </w:rPr>
        <w:t>&lt;</w:t>
      </w:r>
      <w:r>
        <w:rPr>
          <w:rFonts w:ascii="Arial" w:hAnsi="Arial"/>
          <w:color w:val="010101"/>
          <w:spacing w:val="-4"/>
          <w:w w:val="79"/>
          <w:sz w:val="22"/>
        </w:rPr>
        <w:t>•</w:t>
      </w:r>
      <w:r>
        <w:rPr>
          <w:rFonts w:ascii="Arial" w:hAnsi="Arial"/>
          <w:color w:val="010101"/>
          <w:w w:val="38"/>
          <w:sz w:val="22"/>
        </w:rPr>
        <w:t>&gt;</w:t>
      </w:r>
      <w:r>
        <w:rPr>
          <w:rFonts w:ascii="Arial" w:hAnsi="Arial"/>
          <w:color w:val="010101"/>
          <w:sz w:val="22"/>
        </w:rPr>
        <w:t> </w:t>
      </w:r>
      <w:r>
        <w:rPr>
          <w:rFonts w:ascii="Arial" w:hAnsi="Arial"/>
          <w:color w:val="010101"/>
          <w:spacing w:val="6"/>
          <w:sz w:val="22"/>
        </w:rPr>
        <w:t> </w:t>
      </w:r>
      <w:r>
        <w:rPr>
          <w:rFonts w:ascii="Arial" w:hAnsi="Arial"/>
          <w:color w:val="010101"/>
          <w:w w:val="56"/>
          <w:sz w:val="22"/>
        </w:rPr>
        <w:t>•</w:t>
      </w:r>
    </w:p>
    <w:p>
      <w:pPr>
        <w:spacing w:line="176" w:lineRule="exact" w:before="0"/>
        <w:ind w:left="0" w:right="0" w:firstLine="0"/>
        <w:jc w:val="right"/>
        <w:rPr>
          <w:sz w:val="21"/>
        </w:rPr>
      </w:pPr>
      <w:r>
        <w:rPr>
          <w:rFonts w:ascii="Arial"/>
          <w:b/>
          <w:color w:val="010101"/>
          <w:w w:val="90"/>
          <w:sz w:val="18"/>
        </w:rPr>
        <w:t>s:i'J </w:t>
      </w:r>
      <w:r>
        <w:rPr>
          <w:color w:val="010101"/>
          <w:w w:val="90"/>
          <w:sz w:val="21"/>
        </w:rPr>
        <w:t>=:</w:t>
      </w:r>
    </w:p>
    <w:p>
      <w:pPr>
        <w:spacing w:before="238"/>
        <w:ind w:left="41" w:right="-15" w:firstLine="0"/>
        <w:jc w:val="left"/>
        <w:rPr>
          <w:sz w:val="19"/>
        </w:rPr>
      </w:pPr>
      <w:r>
        <w:rPr/>
        <w:br w:type="column"/>
      </w:r>
      <w:r>
        <w:rPr>
          <w:color w:val="010101"/>
          <w:w w:val="106"/>
          <w:sz w:val="18"/>
        </w:rPr>
        <w:t>a.r:;i</w:t>
      </w:r>
      <w:r>
        <w:rPr>
          <w:color w:val="010101"/>
          <w:sz w:val="18"/>
        </w:rPr>
        <w:t> </w:t>
      </w:r>
      <w:r>
        <w:rPr>
          <w:color w:val="010101"/>
          <w:spacing w:val="-2"/>
          <w:sz w:val="18"/>
        </w:rPr>
        <w:t> </w:t>
      </w:r>
      <w:r>
        <w:rPr>
          <w:rFonts w:ascii="Arial" w:hAnsi="Arial"/>
          <w:color w:val="010101"/>
          <w:spacing w:val="-83"/>
          <w:w w:val="106"/>
          <w:sz w:val="31"/>
        </w:rPr>
        <w:t>+</w:t>
      </w:r>
      <w:r>
        <w:rPr>
          <w:rFonts w:ascii="Arial" w:hAnsi="Arial"/>
          <w:color w:val="3F3F3F"/>
          <w:w w:val="46"/>
          <w:position w:val="11"/>
          <w:sz w:val="22"/>
        </w:rPr>
        <w:t>·</w:t>
      </w:r>
      <w:r>
        <w:rPr>
          <w:rFonts w:ascii="Arial" w:hAnsi="Arial"/>
          <w:color w:val="3F3F3F"/>
          <w:spacing w:val="29"/>
          <w:position w:val="11"/>
          <w:sz w:val="22"/>
        </w:rPr>
        <w:t> </w:t>
      </w:r>
      <w:r>
        <w:rPr>
          <w:rFonts w:ascii="Arial" w:hAnsi="Arial"/>
          <w:b/>
          <w:i/>
          <w:color w:val="010101"/>
          <w:w w:val="104"/>
          <w:position w:val="11"/>
          <w:sz w:val="18"/>
        </w:rPr>
        <w:t>m</w:t>
      </w:r>
      <w:r>
        <w:rPr>
          <w:rFonts w:ascii="Arial" w:hAnsi="Arial"/>
          <w:b/>
          <w:i/>
          <w:color w:val="010101"/>
          <w:position w:val="11"/>
          <w:sz w:val="18"/>
        </w:rPr>
        <w:t> </w:t>
      </w:r>
      <w:r>
        <w:rPr>
          <w:rFonts w:ascii="Arial" w:hAnsi="Arial"/>
          <w:b/>
          <w:i/>
          <w:color w:val="010101"/>
          <w:spacing w:val="-15"/>
          <w:position w:val="11"/>
          <w:sz w:val="18"/>
        </w:rPr>
        <w:t> </w:t>
      </w:r>
      <w:r>
        <w:rPr>
          <w:rFonts w:ascii="Arial" w:hAnsi="Arial"/>
          <w:color w:val="010101"/>
          <w:w w:val="296"/>
          <w:position w:val="11"/>
          <w:sz w:val="18"/>
        </w:rPr>
        <w:t>-</w:t>
      </w:r>
      <w:r>
        <w:rPr>
          <w:rFonts w:ascii="Arial" w:hAnsi="Arial"/>
          <w:color w:val="010101"/>
          <w:position w:val="11"/>
          <w:sz w:val="18"/>
        </w:rPr>
        <w:t> </w:t>
      </w:r>
      <w:r>
        <w:rPr>
          <w:rFonts w:ascii="Arial" w:hAnsi="Arial"/>
          <w:color w:val="010101"/>
          <w:spacing w:val="-25"/>
          <w:position w:val="11"/>
          <w:sz w:val="18"/>
        </w:rPr>
        <w:t> </w:t>
      </w:r>
      <w:r>
        <w:rPr>
          <w:color w:val="010101"/>
          <w:w w:val="127"/>
          <w:position w:val="11"/>
          <w:sz w:val="20"/>
        </w:rPr>
        <w:t>1</w:t>
      </w:r>
      <w:r>
        <w:rPr>
          <w:color w:val="010101"/>
          <w:spacing w:val="-17"/>
          <w:position w:val="11"/>
          <w:sz w:val="20"/>
        </w:rPr>
        <w:t> </w:t>
      </w:r>
      <w:r>
        <w:rPr>
          <w:color w:val="010101"/>
          <w:w w:val="109"/>
          <w:position w:val="11"/>
          <w:sz w:val="20"/>
        </w:rPr>
        <w:t>(</w:t>
      </w:r>
      <w:r>
        <w:rPr>
          <w:color w:val="010101"/>
          <w:spacing w:val="-20"/>
          <w:position w:val="11"/>
          <w:sz w:val="20"/>
        </w:rPr>
        <w:t> </w:t>
      </w:r>
      <w:r>
        <w:rPr>
          <w:color w:val="010101"/>
          <w:w w:val="115"/>
          <w:sz w:val="21"/>
        </w:rPr>
        <w:t>1</w:t>
      </w:r>
      <w:r>
        <w:rPr>
          <w:color w:val="010101"/>
          <w:spacing w:val="5"/>
          <w:sz w:val="21"/>
        </w:rPr>
        <w:t> </w:t>
      </w:r>
      <w:r>
        <w:rPr>
          <w:color w:val="010101"/>
          <w:w w:val="259"/>
          <w:sz w:val="21"/>
        </w:rPr>
        <w:t>-</w:t>
      </w:r>
      <w:r>
        <w:rPr>
          <w:color w:val="010101"/>
          <w:spacing w:val="-3"/>
          <w:sz w:val="21"/>
        </w:rPr>
        <w:t> </w:t>
      </w:r>
      <w:r>
        <w:rPr>
          <w:i/>
          <w:color w:val="010101"/>
          <w:w w:val="99"/>
          <w:sz w:val="19"/>
        </w:rPr>
        <w:t>nEz</w:t>
      </w:r>
      <w:r>
        <w:rPr>
          <w:i/>
          <w:color w:val="010101"/>
          <w:spacing w:val="-19"/>
          <w:sz w:val="19"/>
        </w:rPr>
        <w:t> </w:t>
      </w:r>
      <w:r>
        <w:rPr>
          <w:color w:val="010101"/>
          <w:spacing w:val="9"/>
          <w:w w:val="103"/>
          <w:position w:val="11"/>
          <w:sz w:val="20"/>
        </w:rPr>
        <w:t>)</w:t>
      </w:r>
      <w:r>
        <w:rPr>
          <w:color w:val="010101"/>
          <w:w w:val="154"/>
          <w:sz w:val="19"/>
        </w:rPr>
        <w:t>.</w:t>
      </w:r>
    </w:p>
    <w:p>
      <w:pPr>
        <w:pStyle w:val="BodyText"/>
        <w:spacing w:before="339"/>
        <w:ind w:left="110"/>
      </w:pPr>
      <w:r>
        <w:rPr/>
        <w:br w:type="column"/>
      </w:r>
      <w:r>
        <w:rPr>
          <w:color w:val="010101"/>
          <w:w w:val="105"/>
        </w:rPr>
        <w:t>(2.21)</w:t>
      </w:r>
    </w:p>
    <w:p>
      <w:pPr>
        <w:spacing w:after="0"/>
        <w:sectPr>
          <w:type w:val="continuous"/>
          <w:pgSz w:w="7200" w:h="11340"/>
          <w:pgMar w:top="1100" w:bottom="0" w:left="660" w:right="540"/>
          <w:cols w:num="3" w:equalWidth="0">
            <w:col w:w="2088" w:space="40"/>
            <w:col w:w="2371" w:space="708"/>
            <w:col w:w="793"/>
          </w:cols>
        </w:sectPr>
      </w:pPr>
    </w:p>
    <w:p>
      <w:pPr>
        <w:spacing w:before="197"/>
        <w:ind w:left="121" w:right="153" w:firstLine="192"/>
        <w:jc w:val="both"/>
        <w:rPr>
          <w:sz w:val="21"/>
        </w:rPr>
      </w:pPr>
      <w:r>
        <w:rPr>
          <w:color w:val="010101"/>
          <w:sz w:val="21"/>
        </w:rPr>
        <w:t>The corresponding annuity-due formulas may now </w:t>
      </w:r>
      <w:r>
        <w:rPr>
          <w:color w:val="010101"/>
          <w:sz w:val="19"/>
        </w:rPr>
        <w:t>be </w:t>
      </w:r>
      <w:r>
        <w:rPr>
          <w:color w:val="010101"/>
          <w:sz w:val="21"/>
        </w:rPr>
        <w:t>easily derived. The annuity-due paya.ble </w:t>
      </w:r>
      <w:r>
        <w:rPr>
          <w:rFonts w:ascii="Arial"/>
          <w:i/>
          <w:color w:val="010101"/>
          <w:sz w:val="18"/>
        </w:rPr>
        <w:t>m </w:t>
      </w:r>
      <w:r>
        <w:rPr>
          <w:color w:val="010101"/>
          <w:sz w:val="21"/>
        </w:rPr>
        <w:t>times a year differs from the immediate annuity    </w:t>
      </w:r>
      <w:r>
        <w:rPr>
          <w:rFonts w:ascii="Arial"/>
          <w:color w:val="010101"/>
          <w:sz w:val="19"/>
        </w:rPr>
        <w:t>"'&gt; </w:t>
      </w:r>
      <w:r>
        <w:rPr>
          <w:color w:val="010101"/>
          <w:sz w:val="21"/>
        </w:rPr>
        <w:t>only by the amount of the initial    payment</w:t>
      </w:r>
    </w:p>
    <w:p>
      <w:pPr>
        <w:spacing w:line="169" w:lineRule="exact" w:before="0"/>
        <w:ind w:left="117" w:right="0" w:firstLine="0"/>
        <w:jc w:val="left"/>
        <w:rPr>
          <w:rFonts w:ascii="Arial"/>
          <w:sz w:val="20"/>
        </w:rPr>
      </w:pPr>
      <w:r>
        <w:rPr>
          <w:color w:val="010101"/>
          <w:spacing w:val="-2"/>
          <w:sz w:val="21"/>
        </w:rPr>
        <w:t>o</w:t>
      </w:r>
      <w:r>
        <w:rPr>
          <w:rFonts w:ascii="Arial"/>
          <w:color w:val="010101"/>
          <w:w w:val="92"/>
          <w:position w:val="1"/>
          <w:sz w:val="21"/>
        </w:rPr>
        <w:t>f</w:t>
      </w:r>
      <w:r>
        <w:rPr>
          <w:rFonts w:ascii="Arial"/>
          <w:color w:val="010101"/>
          <w:spacing w:val="-10"/>
          <w:position w:val="1"/>
          <w:sz w:val="21"/>
        </w:rPr>
        <w:t> </w:t>
      </w:r>
      <w:r>
        <w:rPr>
          <w:color w:val="010101"/>
          <w:spacing w:val="-163"/>
          <w:w w:val="134"/>
          <w:position w:val="10"/>
          <w:sz w:val="20"/>
        </w:rPr>
        <w:t>1</w:t>
      </w:r>
      <w:r>
        <w:rPr>
          <w:color w:val="010101"/>
          <w:spacing w:val="-38"/>
          <w:w w:val="252"/>
          <w:sz w:val="21"/>
        </w:rPr>
        <w:t>-</w:t>
      </w:r>
      <w:r>
        <w:rPr>
          <w:color w:val="010101"/>
          <w:spacing w:val="10"/>
          <w:w w:val="171"/>
          <w:sz w:val="21"/>
        </w:rPr>
        <w:t>.</w:t>
      </w:r>
      <w:r>
        <w:rPr>
          <w:color w:val="010101"/>
          <w:w w:val="110"/>
          <w:position w:val="10"/>
          <w:sz w:val="20"/>
        </w:rPr>
        <w:t>T</w:t>
      </w:r>
      <w:r>
        <w:rPr>
          <w:color w:val="010101"/>
          <w:spacing w:val="6"/>
          <w:w w:val="110"/>
          <w:position w:val="10"/>
          <w:sz w:val="20"/>
        </w:rPr>
        <w:t>h</w:t>
      </w:r>
      <w:r>
        <w:rPr>
          <w:color w:val="010101"/>
          <w:w w:val="94"/>
          <w:sz w:val="21"/>
        </w:rPr>
        <w:t>us,</w:t>
      </w:r>
      <w:r>
        <w:rPr>
          <w:color w:val="010101"/>
          <w:spacing w:val="9"/>
          <w:sz w:val="21"/>
        </w:rPr>
        <w:t> </w:t>
      </w:r>
      <w:r>
        <w:rPr>
          <w:rFonts w:ascii="Arial"/>
          <w:color w:val="010101"/>
          <w:spacing w:val="-29"/>
          <w:w w:val="54"/>
          <w:sz w:val="22"/>
        </w:rPr>
        <w:t>a</w:t>
      </w:r>
      <w:r>
        <w:rPr>
          <w:color w:val="010101"/>
          <w:spacing w:val="-6"/>
          <w:w w:val="68"/>
          <w:position w:val="10"/>
          <w:sz w:val="20"/>
        </w:rPr>
        <w:t>.</w:t>
      </w:r>
      <w:r>
        <w:rPr>
          <w:rFonts w:ascii="Arial"/>
          <w:color w:val="010101"/>
          <w:spacing w:val="-28"/>
          <w:w w:val="54"/>
          <w:sz w:val="22"/>
        </w:rPr>
        <w:t>.</w:t>
      </w:r>
      <w:r>
        <w:rPr>
          <w:color w:val="010101"/>
          <w:spacing w:val="-7"/>
          <w:w w:val="68"/>
          <w:position w:val="10"/>
          <w:sz w:val="20"/>
        </w:rPr>
        <w:t>.</w:t>
      </w:r>
      <w:r>
        <w:rPr>
          <w:rFonts w:ascii="Arial"/>
          <w:color w:val="010101"/>
          <w:spacing w:val="-48"/>
          <w:w w:val="55"/>
          <w:sz w:val="22"/>
        </w:rPr>
        <w:t>s</w:t>
      </w:r>
      <w:r>
        <w:rPr>
          <w:color w:val="010101"/>
          <w:spacing w:val="13"/>
          <w:w w:val="70"/>
          <w:position w:val="10"/>
          <w:sz w:val="20"/>
        </w:rPr>
        <w:t>(</w:t>
      </w:r>
      <w:r>
        <w:rPr>
          <w:rFonts w:ascii="Arial"/>
          <w:color w:val="010101"/>
          <w:w w:val="124"/>
          <w:position w:val="10"/>
          <w:sz w:val="10"/>
        </w:rPr>
        <w:t>ffl</w:t>
      </w:r>
      <w:r>
        <w:rPr>
          <w:rFonts w:ascii="Arial"/>
          <w:color w:val="010101"/>
          <w:w w:val="124"/>
          <w:position w:val="10"/>
          <w:sz w:val="10"/>
        </w:rPr>
        <w:t>)</w:t>
      </w:r>
      <w:r>
        <w:rPr>
          <w:rFonts w:ascii="Arial"/>
          <w:color w:val="010101"/>
          <w:position w:val="10"/>
          <w:sz w:val="10"/>
        </w:rPr>
        <w:t>  </w:t>
      </w:r>
      <w:r>
        <w:rPr>
          <w:rFonts w:ascii="Arial"/>
          <w:color w:val="010101"/>
          <w:spacing w:val="9"/>
          <w:position w:val="10"/>
          <w:sz w:val="10"/>
        </w:rPr>
        <w:t> </w:t>
      </w:r>
      <w:r>
        <w:rPr>
          <w:color w:val="010101"/>
          <w:w w:val="102"/>
          <w:sz w:val="24"/>
        </w:rPr>
        <w:t>=</w:t>
      </w:r>
      <w:r>
        <w:rPr>
          <w:color w:val="010101"/>
          <w:spacing w:val="25"/>
          <w:sz w:val="24"/>
        </w:rPr>
        <w:t> </w:t>
      </w:r>
      <w:r>
        <w:rPr>
          <w:rFonts w:ascii="Arial"/>
          <w:color w:val="010101"/>
          <w:w w:val="54"/>
          <w:sz w:val="22"/>
        </w:rPr>
        <w:t>a.</w:t>
      </w:r>
      <w:r>
        <w:rPr>
          <w:rFonts w:ascii="Arial"/>
          <w:color w:val="010101"/>
          <w:spacing w:val="-51"/>
          <w:w w:val="55"/>
          <w:sz w:val="22"/>
        </w:rPr>
        <w:t>s</w:t>
      </w:r>
      <w:r>
        <w:rPr>
          <w:rFonts w:ascii="Arial"/>
          <w:color w:val="010101"/>
          <w:w w:val="50"/>
          <w:position w:val="10"/>
          <w:sz w:val="17"/>
        </w:rPr>
        <w:t>&lt;</w:t>
      </w:r>
      <w:r>
        <w:rPr>
          <w:rFonts w:ascii="Arial"/>
          <w:color w:val="010101"/>
          <w:spacing w:val="-30"/>
          <w:position w:val="10"/>
          <w:sz w:val="17"/>
        </w:rPr>
        <w:t> </w:t>
      </w:r>
      <w:r>
        <w:rPr>
          <w:rFonts w:ascii="Arial"/>
          <w:color w:val="010101"/>
          <w:w w:val="121"/>
          <w:position w:val="10"/>
          <w:sz w:val="10"/>
        </w:rPr>
        <w:t>m)</w:t>
      </w:r>
      <w:r>
        <w:rPr>
          <w:rFonts w:ascii="Arial"/>
          <w:color w:val="010101"/>
          <w:position w:val="10"/>
          <w:sz w:val="10"/>
        </w:rPr>
        <w:t>  </w:t>
      </w:r>
      <w:r>
        <w:rPr>
          <w:rFonts w:ascii="Arial"/>
          <w:color w:val="010101"/>
          <w:spacing w:val="-8"/>
          <w:position w:val="10"/>
          <w:sz w:val="10"/>
        </w:rPr>
        <w:t> </w:t>
      </w:r>
      <w:r>
        <w:rPr>
          <w:rFonts w:ascii="Arial"/>
          <w:color w:val="010101"/>
          <w:spacing w:val="19"/>
          <w:w w:val="106"/>
          <w:position w:val="10"/>
          <w:sz w:val="31"/>
        </w:rPr>
        <w:t>+</w:t>
      </w:r>
      <w:r>
        <w:rPr>
          <w:color w:val="010101"/>
          <w:spacing w:val="-172"/>
          <w:w w:val="134"/>
          <w:position w:val="10"/>
          <w:sz w:val="20"/>
        </w:rPr>
        <w:t>1</w:t>
      </w:r>
      <w:r>
        <w:rPr>
          <w:rFonts w:ascii="Arial"/>
          <w:color w:val="010101"/>
          <w:w w:val="200"/>
          <w:sz w:val="22"/>
        </w:rPr>
        <w:t>-</w:t>
      </w:r>
      <w:r>
        <w:rPr>
          <w:rFonts w:ascii="Arial"/>
          <w:color w:val="010101"/>
          <w:spacing w:val="-4"/>
          <w:sz w:val="22"/>
        </w:rPr>
        <w:t> </w:t>
      </w:r>
      <w:r>
        <w:rPr>
          <w:color w:val="010101"/>
          <w:spacing w:val="-85"/>
          <w:w w:val="130"/>
          <w:position w:val="10"/>
          <w:sz w:val="20"/>
        </w:rPr>
        <w:t>.</w:t>
      </w:r>
      <w:r>
        <w:rPr>
          <w:color w:val="010101"/>
          <w:w w:val="82"/>
          <w:sz w:val="21"/>
        </w:rPr>
        <w:t>=:</w:t>
      </w:r>
      <w:r>
        <w:rPr>
          <w:color w:val="010101"/>
          <w:spacing w:val="18"/>
          <w:sz w:val="21"/>
        </w:rPr>
        <w:t> </w:t>
      </w:r>
      <w:r>
        <w:rPr>
          <w:i/>
          <w:color w:val="010101"/>
          <w:w w:val="96"/>
          <w:sz w:val="19"/>
        </w:rPr>
        <w:t>az</w:t>
      </w:r>
      <w:r>
        <w:rPr>
          <w:i/>
          <w:color w:val="010101"/>
          <w:spacing w:val="20"/>
          <w:sz w:val="19"/>
        </w:rPr>
        <w:t> </w:t>
      </w:r>
      <w:r>
        <w:rPr>
          <w:color w:val="010101"/>
          <w:w w:val="100"/>
          <w:sz w:val="29"/>
        </w:rPr>
        <w:t>+</w:t>
      </w:r>
      <w:r>
        <w:rPr>
          <w:color w:val="010101"/>
          <w:spacing w:val="4"/>
          <w:sz w:val="29"/>
        </w:rPr>
        <w:t> </w:t>
      </w:r>
      <w:r>
        <w:rPr>
          <w:rFonts w:ascii="Arial"/>
          <w:i/>
          <w:color w:val="010101"/>
          <w:spacing w:val="-13"/>
          <w:w w:val="109"/>
          <w:position w:val="10"/>
          <w:sz w:val="18"/>
        </w:rPr>
        <w:t>m</w:t>
      </w:r>
      <w:r>
        <w:rPr>
          <w:rFonts w:ascii="Arial"/>
          <w:color w:val="010101"/>
          <w:spacing w:val="-36"/>
          <w:w w:val="95"/>
          <w:sz w:val="20"/>
        </w:rPr>
        <w:t>2</w:t>
      </w:r>
      <w:r>
        <w:rPr>
          <w:rFonts w:ascii="Arial"/>
          <w:color w:val="010101"/>
          <w:w w:val="106"/>
          <w:position w:val="10"/>
          <w:sz w:val="31"/>
        </w:rPr>
        <w:t>+</w:t>
      </w:r>
      <w:r>
        <w:rPr>
          <w:rFonts w:ascii="Arial"/>
          <w:color w:val="010101"/>
          <w:spacing w:val="-30"/>
          <w:position w:val="10"/>
          <w:sz w:val="31"/>
        </w:rPr>
        <w:t> </w:t>
      </w:r>
      <w:r>
        <w:rPr>
          <w:color w:val="010101"/>
          <w:w w:val="127"/>
          <w:position w:val="10"/>
          <w:sz w:val="20"/>
        </w:rPr>
        <w:t>1</w:t>
      </w:r>
      <w:r>
        <w:rPr>
          <w:color w:val="010101"/>
          <w:position w:val="10"/>
          <w:sz w:val="20"/>
        </w:rPr>
        <w:t> </w:t>
      </w:r>
      <w:r>
        <w:rPr>
          <w:color w:val="010101"/>
          <w:spacing w:val="-21"/>
          <w:position w:val="10"/>
          <w:sz w:val="20"/>
        </w:rPr>
        <w:t> </w:t>
      </w:r>
      <w:r>
        <w:rPr>
          <w:color w:val="010101"/>
          <w:sz w:val="21"/>
        </w:rPr>
        <w:t>or,</w:t>
      </w:r>
      <w:r>
        <w:rPr>
          <w:color w:val="010101"/>
          <w:spacing w:val="5"/>
          <w:sz w:val="21"/>
        </w:rPr>
        <w:t> </w:t>
      </w:r>
      <w:r>
        <w:rPr>
          <w:color w:val="010101"/>
          <w:w w:val="92"/>
          <w:sz w:val="21"/>
        </w:rPr>
        <w:t>s</w:t>
      </w:r>
      <w:r>
        <w:rPr>
          <w:color w:val="010101"/>
          <w:spacing w:val="-146"/>
          <w:w w:val="92"/>
          <w:sz w:val="21"/>
        </w:rPr>
        <w:t>m</w:t>
      </w:r>
      <w:r>
        <w:rPr>
          <w:color w:val="010101"/>
          <w:w w:val="147"/>
          <w:position w:val="10"/>
          <w:sz w:val="20"/>
        </w:rPr>
        <w:t>.</w:t>
      </w:r>
      <w:r>
        <w:rPr>
          <w:color w:val="010101"/>
          <w:spacing w:val="22"/>
          <w:position w:val="10"/>
          <w:sz w:val="20"/>
        </w:rPr>
        <w:t> </w:t>
      </w:r>
      <w:r>
        <w:rPr>
          <w:color w:val="010101"/>
          <w:w w:val="92"/>
          <w:sz w:val="21"/>
        </w:rPr>
        <w:t>ce</w:t>
      </w:r>
      <w:r>
        <w:rPr>
          <w:color w:val="010101"/>
          <w:spacing w:val="-15"/>
          <w:sz w:val="21"/>
        </w:rPr>
        <w:t> </w:t>
      </w:r>
      <w:r>
        <w:rPr>
          <w:i/>
          <w:color w:val="010101"/>
          <w:w w:val="96"/>
          <w:sz w:val="19"/>
        </w:rPr>
        <w:t>az</w:t>
      </w:r>
      <w:r>
        <w:rPr>
          <w:i/>
          <w:color w:val="010101"/>
          <w:sz w:val="19"/>
        </w:rPr>
        <w:t> </w:t>
      </w:r>
      <w:r>
        <w:rPr>
          <w:i/>
          <w:color w:val="010101"/>
          <w:spacing w:val="-17"/>
          <w:sz w:val="19"/>
        </w:rPr>
        <w:t> </w:t>
      </w:r>
      <w:r>
        <w:rPr>
          <w:color w:val="010101"/>
          <w:w w:val="102"/>
          <w:sz w:val="24"/>
        </w:rPr>
        <w:t>=</w:t>
      </w:r>
      <w:r>
        <w:rPr>
          <w:color w:val="010101"/>
          <w:spacing w:val="25"/>
          <w:sz w:val="24"/>
        </w:rPr>
        <w:t> </w:t>
      </w:r>
      <w:r>
        <w:rPr>
          <w:i/>
          <w:color w:val="010101"/>
          <w:w w:val="94"/>
          <w:sz w:val="19"/>
        </w:rPr>
        <w:t>dz</w:t>
      </w:r>
      <w:r>
        <w:rPr>
          <w:i/>
          <w:color w:val="010101"/>
          <w:sz w:val="19"/>
        </w:rPr>
        <w:t> </w:t>
      </w:r>
      <w:r>
        <w:rPr>
          <w:i/>
          <w:color w:val="010101"/>
          <w:spacing w:val="-17"/>
          <w:sz w:val="19"/>
        </w:rPr>
        <w:t> </w:t>
      </w:r>
      <w:r>
        <w:rPr>
          <w:color w:val="010101"/>
          <w:spacing w:val="-27"/>
          <w:w w:val="286"/>
          <w:sz w:val="19"/>
        </w:rPr>
        <w:t>-</w:t>
      </w:r>
      <w:r>
        <w:rPr>
          <w:rFonts w:ascii="Arial"/>
          <w:color w:val="010101"/>
          <w:spacing w:val="-156"/>
          <w:w w:val="362"/>
          <w:sz w:val="20"/>
        </w:rPr>
        <w:t>l</w:t>
      </w:r>
      <w:r>
        <w:rPr>
          <w:rFonts w:ascii="Arial"/>
          <w:color w:val="010101"/>
          <w:w w:val="148"/>
          <w:sz w:val="20"/>
        </w:rPr>
        <w:t>,</w:t>
      </w:r>
    </w:p>
    <w:p>
      <w:pPr>
        <w:tabs>
          <w:tab w:pos="2419" w:val="left" w:leader="none"/>
          <w:tab w:pos="2806" w:val="left" w:leader="none"/>
        </w:tabs>
        <w:spacing w:line="320" w:lineRule="exact" w:before="0"/>
        <w:ind w:left="342" w:right="0" w:firstLine="0"/>
        <w:jc w:val="left"/>
        <w:rPr>
          <w:rFonts w:ascii="Arial"/>
          <w:sz w:val="20"/>
        </w:rPr>
      </w:pPr>
      <w:r>
        <w:rPr>
          <w:i/>
          <w:color w:val="010101"/>
          <w:w w:val="102"/>
          <w:position w:val="-10"/>
          <w:sz w:val="22"/>
        </w:rPr>
        <w:t>m</w:t>
      </w:r>
      <w:r>
        <w:rPr>
          <w:i/>
          <w:color w:val="010101"/>
          <w:position w:val="-10"/>
          <w:sz w:val="22"/>
        </w:rPr>
        <w:tab/>
      </w:r>
      <w:r>
        <w:rPr>
          <w:i/>
          <w:color w:val="010101"/>
          <w:w w:val="102"/>
          <w:position w:val="-10"/>
          <w:sz w:val="22"/>
        </w:rPr>
        <w:t>m</w:t>
      </w:r>
      <w:r>
        <w:rPr>
          <w:i/>
          <w:color w:val="010101"/>
          <w:position w:val="-10"/>
          <w:sz w:val="22"/>
        </w:rPr>
        <w:tab/>
      </w:r>
      <w:r>
        <w:rPr>
          <w:rFonts w:ascii="Arial"/>
          <w:color w:val="010101"/>
          <w:spacing w:val="-1039"/>
          <w:w w:val="404"/>
          <w:sz w:val="20"/>
        </w:rPr>
        <w:t>-</w:t>
      </w:r>
      <w:r>
        <w:rPr>
          <w:i/>
          <w:color w:val="010101"/>
          <w:w w:val="104"/>
          <w:position w:val="-10"/>
          <w:sz w:val="22"/>
        </w:rPr>
        <w:t>m</w:t>
      </w:r>
      <w:r>
        <w:rPr>
          <w:i/>
          <w:color w:val="010101"/>
          <w:spacing w:val="-12"/>
          <w:position w:val="-10"/>
          <w:sz w:val="22"/>
        </w:rPr>
        <w:t> </w:t>
      </w:r>
      <w:r>
        <w:rPr>
          <w:rFonts w:ascii="Arial"/>
          <w:color w:val="010101"/>
          <w:w w:val="160"/>
          <w:sz w:val="20"/>
        </w:rPr>
        <w:t>-,</w:t>
      </w:r>
    </w:p>
    <w:p>
      <w:pPr>
        <w:spacing w:after="0" w:line="320" w:lineRule="exact"/>
        <w:jc w:val="left"/>
        <w:rPr>
          <w:rFonts w:ascii="Arial"/>
          <w:sz w:val="20"/>
        </w:rPr>
        <w:sectPr>
          <w:type w:val="continuous"/>
          <w:pgSz w:w="7200" w:h="11340"/>
          <w:pgMar w:top="1100" w:bottom="0" w:left="660" w:right="540"/>
        </w:sectPr>
      </w:pPr>
    </w:p>
    <w:p>
      <w:pPr>
        <w:tabs>
          <w:tab w:pos="649" w:val="left" w:leader="none"/>
        </w:tabs>
        <w:spacing w:line="159" w:lineRule="exact" w:before="156"/>
        <w:ind w:left="0" w:right="78" w:firstLine="0"/>
        <w:jc w:val="right"/>
        <w:rPr>
          <w:sz w:val="19"/>
        </w:rPr>
      </w:pPr>
      <w:r>
        <w:rPr/>
        <w:pict>
          <v:shape style="position:absolute;margin-left:137.185303pt;margin-top:12.93047pt;width:7.9pt;height:12pt;mso-position-horizontal-relative:page;mso-position-vertical-relative:paragraph;z-index:-732088" type="#_x0000_t202" filled="false" stroked="false">
            <v:textbox inset="0,0,0,0">
              <w:txbxContent>
                <w:p>
                  <w:pPr>
                    <w:spacing w:line="240" w:lineRule="exact" w:before="0"/>
                    <w:ind w:left="0" w:right="-18" w:firstLine="0"/>
                    <w:jc w:val="left"/>
                    <w:rPr>
                      <w:sz w:val="24"/>
                    </w:rPr>
                  </w:pPr>
                  <w:r>
                    <w:rPr>
                      <w:color w:val="010101"/>
                      <w:w w:val="60"/>
                      <w:sz w:val="24"/>
                    </w:rPr>
                    <w:t>a.s</w:t>
                  </w:r>
                </w:p>
              </w:txbxContent>
            </v:textbox>
            <w10:wrap type="none"/>
          </v:shape>
        </w:pict>
      </w:r>
      <w:r>
        <w:rPr>
          <w:color w:val="010101"/>
          <w:w w:val="90"/>
          <w:sz w:val="19"/>
        </w:rPr>
        <w:t>-Cm&gt;</w:t>
      </w:r>
      <w:r>
        <w:rPr>
          <w:color w:val="010101"/>
          <w:spacing w:val="-7"/>
          <w:w w:val="90"/>
          <w:sz w:val="19"/>
        </w:rPr>
        <w:t> </w:t>
      </w:r>
      <w:r>
        <w:rPr>
          <w:color w:val="010101"/>
          <w:w w:val="90"/>
          <w:sz w:val="19"/>
        </w:rPr>
        <w:t>•</w:t>
        <w:tab/>
        <w:t>-</w:t>
      </w:r>
    </w:p>
    <w:p>
      <w:pPr>
        <w:spacing w:line="255" w:lineRule="exact" w:before="0"/>
        <w:ind w:left="0" w:right="0" w:firstLine="0"/>
        <w:jc w:val="right"/>
        <w:rPr>
          <w:rFonts w:ascii="Arial"/>
          <w:sz w:val="18"/>
        </w:rPr>
      </w:pPr>
      <w:r>
        <w:rPr>
          <w:color w:val="010101"/>
          <w:sz w:val="21"/>
        </w:rPr>
        <w:t>=: </w:t>
      </w:r>
      <w:r>
        <w:rPr>
          <w:i/>
          <w:color w:val="010101"/>
          <w:sz w:val="19"/>
        </w:rPr>
        <w:t>az</w:t>
      </w:r>
      <w:r>
        <w:rPr>
          <w:rFonts w:ascii="Arial"/>
          <w:color w:val="232323"/>
          <w:position w:val="-7"/>
          <w:sz w:val="18"/>
        </w:rPr>
        <w:t>.</w:t>
      </w:r>
    </w:p>
    <w:p>
      <w:pPr>
        <w:spacing w:line="178" w:lineRule="exact" w:before="147"/>
        <w:ind w:left="232" w:right="-17" w:firstLine="0"/>
        <w:jc w:val="left"/>
        <w:rPr>
          <w:sz w:val="20"/>
        </w:rPr>
      </w:pPr>
      <w:r>
        <w:rPr/>
        <w:br w:type="column"/>
      </w:r>
      <w:r>
        <w:rPr>
          <w:rFonts w:ascii="Arial"/>
          <w:i/>
          <w:color w:val="3F3F3F"/>
          <w:spacing w:val="-8"/>
          <w:w w:val="105"/>
          <w:sz w:val="18"/>
        </w:rPr>
        <w:t>.</w:t>
      </w:r>
      <w:r>
        <w:rPr>
          <w:rFonts w:ascii="Arial"/>
          <w:i/>
          <w:color w:val="010101"/>
          <w:spacing w:val="-8"/>
          <w:w w:val="105"/>
          <w:sz w:val="18"/>
        </w:rPr>
        <w:t>m  </w:t>
      </w:r>
      <w:r>
        <w:rPr>
          <w:rFonts w:ascii="Arial"/>
          <w:color w:val="010101"/>
          <w:w w:val="285"/>
          <w:sz w:val="18"/>
        </w:rPr>
        <w:t>-</w:t>
      </w:r>
      <w:r>
        <w:rPr>
          <w:rFonts w:ascii="Arial"/>
          <w:color w:val="010101"/>
          <w:spacing w:val="-94"/>
          <w:w w:val="285"/>
          <w:sz w:val="18"/>
        </w:rPr>
        <w:t> </w:t>
      </w:r>
      <w:r>
        <w:rPr>
          <w:color w:val="010101"/>
          <w:w w:val="155"/>
          <w:sz w:val="20"/>
        </w:rPr>
        <w:t>1</w:t>
      </w:r>
    </w:p>
    <w:p>
      <w:pPr>
        <w:spacing w:line="245" w:lineRule="exact" w:before="0"/>
        <w:ind w:left="169" w:right="-17" w:firstLine="0"/>
        <w:jc w:val="left"/>
        <w:rPr>
          <w:rFonts w:ascii="Arial"/>
          <w:sz w:val="19"/>
        </w:rPr>
      </w:pPr>
      <w:r>
        <w:rPr/>
        <w:pict>
          <v:shape style="position:absolute;margin-left:182.497498pt;margin-top:-1.365384pt;width:47.45pt;height:9.6pt;mso-position-horizontal-relative:page;mso-position-vertical-relative:paragraph;z-index:-732064" type="#_x0000_t202" filled="false" stroked="false">
            <v:textbox inset="0,0,0,0">
              <w:txbxContent>
                <w:p>
                  <w:pPr>
                    <w:tabs>
                      <w:tab w:pos="395" w:val="left" w:leader="none"/>
                      <w:tab w:pos="870" w:val="left" w:leader="none"/>
                    </w:tabs>
                    <w:spacing w:line="191" w:lineRule="exact" w:before="0"/>
                    <w:ind w:left="0" w:right="0" w:firstLine="0"/>
                    <w:jc w:val="left"/>
                    <w:rPr>
                      <w:rFonts w:ascii="Arial"/>
                      <w:sz w:val="19"/>
                    </w:rPr>
                  </w:pPr>
                  <w:r>
                    <w:rPr>
                      <w:color w:val="010101"/>
                      <w:w w:val="275"/>
                      <w:sz w:val="19"/>
                    </w:rPr>
                    <w:t>-</w:t>
                    <w:tab/>
                  </w:r>
                  <w:r>
                    <w:rPr>
                      <w:rFonts w:ascii="Arial"/>
                      <w:color w:val="010101"/>
                      <w:w w:val="120"/>
                      <w:sz w:val="19"/>
                    </w:rPr>
                    <w:t>2</w:t>
                    <w:tab/>
                  </w:r>
                  <w:r>
                    <w:rPr>
                      <w:rFonts w:ascii="Arial"/>
                      <w:color w:val="010101"/>
                      <w:w w:val="145"/>
                      <w:sz w:val="19"/>
                    </w:rPr>
                    <w:t>.</w:t>
                  </w:r>
                </w:p>
              </w:txbxContent>
            </v:textbox>
            <w10:wrap type="none"/>
          </v:shape>
        </w:pict>
      </w:r>
      <w:r>
        <w:rPr>
          <w:rFonts w:ascii="Arial"/>
          <w:color w:val="232323"/>
          <w:w w:val="180"/>
          <w:sz w:val="19"/>
        </w:rPr>
        <w:t>,</w:t>
      </w:r>
      <w:r>
        <w:rPr>
          <w:rFonts w:ascii="Arial"/>
          <w:color w:val="232323"/>
          <w:spacing w:val="-61"/>
          <w:w w:val="180"/>
          <w:sz w:val="19"/>
        </w:rPr>
        <w:t> </w:t>
      </w:r>
      <w:r>
        <w:rPr>
          <w:rFonts w:ascii="Arial"/>
          <w:i/>
          <w:color w:val="010101"/>
          <w:w w:val="125"/>
          <w:position w:val="-7"/>
          <w:sz w:val="18"/>
        </w:rPr>
        <w:t>m </w:t>
      </w:r>
      <w:r>
        <w:rPr>
          <w:rFonts w:ascii="Arial"/>
          <w:color w:val="010101"/>
          <w:w w:val="215"/>
          <w:sz w:val="19"/>
        </w:rPr>
        <w:t>-</w:t>
      </w:r>
    </w:p>
    <w:p>
      <w:pPr>
        <w:pStyle w:val="BodyText"/>
        <w:spacing w:before="244"/>
        <w:ind w:left="1344"/>
      </w:pPr>
      <w:r>
        <w:rPr/>
        <w:br w:type="column"/>
      </w:r>
      <w:r>
        <w:rPr>
          <w:color w:val="010101"/>
          <w:w w:val="110"/>
        </w:rPr>
        <w:t>(2.22)</w:t>
      </w:r>
    </w:p>
    <w:p>
      <w:pPr>
        <w:spacing w:after="0"/>
        <w:sectPr>
          <w:type w:val="continuous"/>
          <w:pgSz w:w="7200" w:h="11340"/>
          <w:pgMar w:top="1100" w:bottom="0" w:left="660" w:right="540"/>
          <w:cols w:num="3" w:equalWidth="0">
            <w:col w:w="2922" w:space="40"/>
            <w:col w:w="978" w:space="40"/>
            <w:col w:w="2020"/>
          </w:cols>
        </w:sectPr>
      </w:pPr>
    </w:p>
    <w:p>
      <w:pPr>
        <w:spacing w:before="191"/>
        <w:ind w:left="328" w:right="0" w:firstLine="0"/>
        <w:jc w:val="left"/>
        <w:rPr>
          <w:sz w:val="21"/>
        </w:rPr>
      </w:pPr>
      <w:r>
        <w:rPr>
          <w:color w:val="010101"/>
          <w:sz w:val="21"/>
        </w:rPr>
        <w:t>For the deferred annuity-due paya.ble </w:t>
      </w:r>
      <w:r>
        <w:rPr>
          <w:rFonts w:ascii="Arial"/>
          <w:i/>
          <w:color w:val="010101"/>
          <w:sz w:val="18"/>
        </w:rPr>
        <w:t>m </w:t>
      </w:r>
      <w:r>
        <w:rPr>
          <w:color w:val="010101"/>
          <w:sz w:val="21"/>
        </w:rPr>
        <w:t>times a   year,</w:t>
      </w:r>
    </w:p>
    <w:p>
      <w:pPr>
        <w:spacing w:before="176"/>
        <w:ind w:left="941" w:right="0" w:firstLine="0"/>
        <w:jc w:val="left"/>
        <w:rPr>
          <w:sz w:val="20"/>
        </w:rPr>
      </w:pPr>
      <w:r>
        <w:rPr/>
        <w:pict>
          <v:line style="position:absolute;mso-position-horizontal-relative:page;mso-position-vertical-relative:paragraph;z-index:-732136" from="245.113998pt,27.915323pt" to="276.332998pt,27.915323pt" stroked="true" strokeweight="5.530228pt" strokecolor="#000000">
            <w10:wrap type="none"/>
          </v:line>
        </w:pict>
      </w:r>
      <w:r>
        <w:rPr/>
        <w:pict>
          <v:shape style="position:absolute;margin-left:265.807709pt;margin-top:17.089188pt;width:7pt;height:10pt;mso-position-horizontal-relative:page;mso-position-vertical-relative:paragraph;z-index:-731920" type="#_x0000_t202" filled="false" stroked="false">
            <v:textbox inset="0,0,0,0">
              <w:txbxContent>
                <w:p>
                  <w:pPr>
                    <w:pStyle w:val="BodyText"/>
                    <w:spacing w:line="200" w:lineRule="exact"/>
                  </w:pPr>
                  <w:r>
                    <w:rPr>
                      <w:color w:val="010101"/>
                      <w:w w:val="208"/>
                    </w:rPr>
                    <w:t>)</w:t>
                  </w:r>
                </w:p>
              </w:txbxContent>
            </v:textbox>
            <w10:wrap type="none"/>
          </v:shape>
        </w:pict>
      </w:r>
      <w:r>
        <w:rPr>
          <w:rFonts w:ascii="Arial" w:hAnsi="Arial"/>
          <w:color w:val="010101"/>
          <w:spacing w:val="-249"/>
          <w:w w:val="299"/>
          <w:sz w:val="26"/>
        </w:rPr>
        <w:t>.</w:t>
      </w:r>
      <w:r>
        <w:rPr>
          <w:rFonts w:ascii="Arial" w:hAnsi="Arial"/>
          <w:color w:val="010101"/>
          <w:w w:val="61"/>
          <w:sz w:val="26"/>
        </w:rPr>
        <w:t>14</w:t>
      </w:r>
      <w:r>
        <w:rPr>
          <w:rFonts w:ascii="Arial" w:hAnsi="Arial"/>
          <w:color w:val="010101"/>
          <w:spacing w:val="-17"/>
          <w:w w:val="61"/>
          <w:sz w:val="26"/>
        </w:rPr>
        <w:t>!</w:t>
      </w:r>
      <w:r>
        <w:rPr>
          <w:rFonts w:ascii="Arial" w:hAnsi="Arial"/>
          <w:color w:val="010101"/>
          <w:spacing w:val="-37"/>
          <w:w w:val="141"/>
          <w:sz w:val="26"/>
        </w:rPr>
        <w:t>•</w:t>
      </w:r>
      <w:r>
        <w:rPr>
          <w:rFonts w:ascii="Arial" w:hAnsi="Arial"/>
          <w:color w:val="010101"/>
          <w:w w:val="38"/>
          <w:sz w:val="26"/>
        </w:rPr>
        <w:t>&gt;</w:t>
      </w:r>
      <w:r>
        <w:rPr>
          <w:rFonts w:ascii="Arial" w:hAnsi="Arial"/>
          <w:color w:val="010101"/>
          <w:spacing w:val="25"/>
          <w:sz w:val="26"/>
        </w:rPr>
        <w:t> </w:t>
      </w:r>
      <w:r>
        <w:rPr>
          <w:color w:val="010101"/>
          <w:w w:val="110"/>
          <w:sz w:val="24"/>
        </w:rPr>
        <w:t>=</w:t>
      </w:r>
      <w:r>
        <w:rPr>
          <w:color w:val="010101"/>
          <w:spacing w:val="25"/>
          <w:sz w:val="24"/>
        </w:rPr>
        <w:t> </w:t>
      </w:r>
      <w:r>
        <w:rPr>
          <w:b/>
          <w:i/>
          <w:color w:val="010101"/>
          <w:w w:val="91"/>
          <w:sz w:val="29"/>
        </w:rPr>
        <w:t>.E</w:t>
      </w:r>
      <w:r>
        <w:rPr>
          <w:b/>
          <w:i/>
          <w:color w:val="010101"/>
          <w:spacing w:val="10"/>
          <w:w w:val="91"/>
          <w:sz w:val="29"/>
        </w:rPr>
        <w:t>.</w:t>
      </w:r>
      <w:r>
        <w:rPr>
          <w:b/>
          <w:i/>
          <w:color w:val="010101"/>
          <w:spacing w:val="10"/>
          <w:w w:val="74"/>
          <w:sz w:val="29"/>
        </w:rPr>
        <w:t>·</w:t>
      </w:r>
      <w:r>
        <w:rPr>
          <w:b/>
          <w:i/>
          <w:color w:val="010101"/>
          <w:w w:val="65"/>
          <w:sz w:val="29"/>
        </w:rPr>
        <w:t>á</w:t>
      </w:r>
      <w:r>
        <w:rPr>
          <w:b/>
          <w:i/>
          <w:color w:val="010101"/>
          <w:spacing w:val="-7"/>
          <w:w w:val="65"/>
          <w:sz w:val="29"/>
        </w:rPr>
        <w:t>!</w:t>
      </w:r>
      <w:r>
        <w:rPr>
          <w:b/>
          <w:i/>
          <w:color w:val="010101"/>
          <w:w w:val="49"/>
          <w:sz w:val="29"/>
        </w:rPr>
        <w:t>'i'</w:t>
      </w:r>
      <w:r>
        <w:rPr>
          <w:b/>
          <w:i/>
          <w:color w:val="010101"/>
          <w:sz w:val="29"/>
        </w:rPr>
        <w:t> </w:t>
      </w:r>
      <w:r>
        <w:rPr>
          <w:b/>
          <w:i/>
          <w:color w:val="010101"/>
          <w:spacing w:val="34"/>
          <w:sz w:val="29"/>
        </w:rPr>
        <w:t> </w:t>
      </w:r>
      <w:r>
        <w:rPr>
          <w:rFonts w:ascii="Arial" w:hAnsi="Arial"/>
          <w:color w:val="010101"/>
          <w:w w:val="87"/>
          <w:sz w:val="20"/>
        </w:rPr>
        <w:t>=</w:t>
      </w:r>
      <w:r>
        <w:rPr>
          <w:rFonts w:ascii="Arial" w:hAnsi="Arial"/>
          <w:color w:val="010101"/>
          <w:spacing w:val="-5"/>
          <w:w w:val="87"/>
          <w:sz w:val="20"/>
        </w:rPr>
        <w:t>¡</w:t>
      </w:r>
      <w:r>
        <w:rPr>
          <w:rFonts w:ascii="Arial" w:hAnsi="Arial"/>
          <w:i/>
          <w:color w:val="010101"/>
          <w:spacing w:val="-156"/>
          <w:w w:val="278"/>
          <w:sz w:val="21"/>
        </w:rPr>
        <w:t>.</w:t>
      </w:r>
      <w:r>
        <w:rPr>
          <w:rFonts w:ascii="Arial" w:hAnsi="Arial"/>
          <w:i/>
          <w:color w:val="010101"/>
          <w:w w:val="125"/>
          <w:sz w:val="21"/>
        </w:rPr>
        <w:t>E</w:t>
      </w:r>
      <w:r>
        <w:rPr>
          <w:rFonts w:ascii="Arial" w:hAnsi="Arial"/>
          <w:i/>
          <w:color w:val="010101"/>
          <w:spacing w:val="-14"/>
          <w:w w:val="125"/>
          <w:sz w:val="21"/>
        </w:rPr>
        <w:t>,</w:t>
      </w:r>
      <w:r>
        <w:rPr>
          <w:rFonts w:ascii="Arial" w:hAnsi="Arial"/>
          <w:color w:val="010101"/>
          <w:spacing w:val="-80"/>
          <w:w w:val="227"/>
          <w:sz w:val="21"/>
        </w:rPr>
        <w:t>(</w:t>
      </w:r>
      <w:r>
        <w:rPr>
          <w:color w:val="010101"/>
          <w:w w:val="80"/>
          <w:sz w:val="22"/>
        </w:rPr>
        <w:t>11.+.</w:t>
      </w:r>
      <w:r>
        <w:rPr>
          <w:color w:val="010101"/>
          <w:spacing w:val="12"/>
          <w:sz w:val="22"/>
        </w:rPr>
        <w:t> </w:t>
      </w:r>
      <w:r>
        <w:rPr>
          <w:color w:val="010101"/>
          <w:w w:val="266"/>
          <w:sz w:val="22"/>
        </w:rPr>
        <w:t>-</w:t>
      </w:r>
      <w:r>
        <w:rPr>
          <w:color w:val="010101"/>
          <w:spacing w:val="12"/>
          <w:sz w:val="22"/>
        </w:rPr>
        <w:t> </w:t>
      </w:r>
      <w:r>
        <w:rPr>
          <w:color w:val="010101"/>
          <w:spacing w:val="-409"/>
          <w:w w:val="600"/>
          <w:sz w:val="22"/>
        </w:rPr>
        <w:t>:</w:t>
      </w:r>
      <w:r>
        <w:rPr>
          <w:color w:val="010101"/>
          <w:w w:val="134"/>
          <w:position w:val="14"/>
          <w:sz w:val="20"/>
        </w:rPr>
        <w:t>1</w:t>
      </w:r>
      <w:r>
        <w:rPr>
          <w:color w:val="010101"/>
          <w:position w:val="14"/>
          <w:sz w:val="20"/>
        </w:rPr>
        <w:t>  </w:t>
      </w:r>
      <w:r>
        <w:rPr>
          <w:color w:val="010101"/>
          <w:spacing w:val="-13"/>
          <w:position w:val="14"/>
          <w:sz w:val="20"/>
        </w:rPr>
        <w:t> </w:t>
      </w:r>
      <w:r>
        <w:rPr>
          <w:color w:val="010101"/>
          <w:w w:val="96"/>
          <w:sz w:val="20"/>
        </w:rPr>
        <w:t>,</w:t>
      </w:r>
    </w:p>
    <w:p>
      <w:pPr>
        <w:spacing w:after="0"/>
        <w:jc w:val="left"/>
        <w:rPr>
          <w:sz w:val="20"/>
        </w:rPr>
        <w:sectPr>
          <w:type w:val="continuous"/>
          <w:pgSz w:w="7200" w:h="11340"/>
          <w:pgMar w:top="1100" w:bottom="0" w:left="660" w:right="540"/>
        </w:sectPr>
      </w:pPr>
    </w:p>
    <w:p>
      <w:pPr>
        <w:spacing w:before="361"/>
        <w:ind w:left="124" w:right="-7" w:firstLine="0"/>
        <w:jc w:val="left"/>
        <w:rPr>
          <w:sz w:val="21"/>
        </w:rPr>
      </w:pPr>
      <w:r>
        <w:rPr>
          <w:color w:val="010101"/>
          <w:w w:val="95"/>
          <w:sz w:val="21"/>
        </w:rPr>
        <w:t>whence</w:t>
      </w:r>
    </w:p>
    <w:p>
      <w:pPr>
        <w:tabs>
          <w:tab w:pos="831" w:val="left" w:leader="none"/>
          <w:tab w:pos="1273" w:val="left" w:leader="none"/>
        </w:tabs>
        <w:spacing w:line="175" w:lineRule="exact" w:before="282"/>
        <w:ind w:left="0" w:right="1679" w:firstLine="0"/>
        <w:jc w:val="center"/>
        <w:rPr>
          <w:i/>
          <w:sz w:val="21"/>
        </w:rPr>
      </w:pPr>
      <w:r>
        <w:rPr/>
        <w:br w:type="column"/>
      </w:r>
      <w:r>
        <w:rPr>
          <w:rFonts w:ascii="Arial" w:hAnsi="Arial"/>
          <w:color w:val="010101"/>
          <w:w w:val="93"/>
          <w:sz w:val="21"/>
        </w:rPr>
        <w:t>.;&lt;</w:t>
      </w:r>
      <w:r>
        <w:rPr>
          <w:rFonts w:ascii="Arial" w:hAnsi="Arial"/>
          <w:color w:val="010101"/>
          <w:spacing w:val="-23"/>
          <w:w w:val="93"/>
          <w:sz w:val="21"/>
        </w:rPr>
        <w:t>•</w:t>
      </w:r>
      <w:r>
        <w:rPr>
          <w:rFonts w:ascii="Arial" w:hAnsi="Arial"/>
          <w:color w:val="010101"/>
          <w:w w:val="37"/>
          <w:sz w:val="21"/>
        </w:rPr>
        <w:t>&gt;</w:t>
      </w:r>
      <w:r>
        <w:rPr>
          <w:rFonts w:ascii="Arial" w:hAnsi="Arial"/>
          <w:color w:val="010101"/>
          <w:sz w:val="21"/>
        </w:rPr>
        <w:t> </w:t>
      </w:r>
      <w:r>
        <w:rPr>
          <w:rFonts w:ascii="Arial" w:hAnsi="Arial"/>
          <w:color w:val="010101"/>
          <w:spacing w:val="-10"/>
          <w:sz w:val="21"/>
        </w:rPr>
        <w:t> </w:t>
      </w:r>
      <w:r>
        <w:rPr>
          <w:rFonts w:ascii="Arial" w:hAnsi="Arial"/>
          <w:color w:val="010101"/>
          <w:w w:val="133"/>
          <w:sz w:val="21"/>
        </w:rPr>
        <w:t>.</w:t>
      </w:r>
      <w:r>
        <w:rPr>
          <w:rFonts w:ascii="Arial" w:hAnsi="Arial"/>
          <w:color w:val="010101"/>
          <w:sz w:val="21"/>
        </w:rPr>
        <w:tab/>
      </w:r>
      <w:r>
        <w:rPr>
          <w:rFonts w:ascii="Arial" w:hAnsi="Arial"/>
          <w:color w:val="010101"/>
          <w:w w:val="84"/>
          <w:sz w:val="21"/>
        </w:rPr>
        <w:t>-</w:t>
      </w:r>
      <w:r>
        <w:rPr>
          <w:rFonts w:ascii="Arial" w:hAnsi="Arial"/>
          <w:color w:val="010101"/>
          <w:sz w:val="21"/>
        </w:rPr>
        <w:tab/>
      </w:r>
      <w:r>
        <w:rPr>
          <w:rFonts w:ascii="Arial" w:hAnsi="Arial"/>
          <w:i/>
          <w:color w:val="010101"/>
          <w:w w:val="103"/>
          <w:sz w:val="19"/>
        </w:rPr>
        <w:t>m</w:t>
      </w:r>
      <w:r>
        <w:rPr>
          <w:rFonts w:ascii="Arial" w:hAnsi="Arial"/>
          <w:i/>
          <w:color w:val="010101"/>
          <w:sz w:val="19"/>
        </w:rPr>
        <w:t> </w:t>
      </w:r>
      <w:r>
        <w:rPr>
          <w:rFonts w:ascii="Arial" w:hAnsi="Arial"/>
          <w:i/>
          <w:color w:val="010101"/>
          <w:spacing w:val="-21"/>
          <w:sz w:val="19"/>
        </w:rPr>
        <w:t> </w:t>
      </w:r>
      <w:r>
        <w:rPr>
          <w:rFonts w:ascii="Arial" w:hAnsi="Arial"/>
          <w:color w:val="010101"/>
          <w:w w:val="280"/>
          <w:sz w:val="19"/>
        </w:rPr>
        <w:t>-</w:t>
      </w:r>
      <w:r>
        <w:rPr>
          <w:rFonts w:ascii="Arial" w:hAnsi="Arial"/>
          <w:color w:val="010101"/>
          <w:spacing w:val="19"/>
          <w:sz w:val="19"/>
        </w:rPr>
        <w:t> </w:t>
      </w:r>
      <w:r>
        <w:rPr>
          <w:color w:val="010101"/>
          <w:w w:val="134"/>
          <w:sz w:val="20"/>
        </w:rPr>
        <w:t>1</w:t>
      </w:r>
      <w:r>
        <w:rPr>
          <w:color w:val="010101"/>
          <w:sz w:val="20"/>
        </w:rPr>
        <w:t>  </w:t>
      </w:r>
      <w:r>
        <w:rPr>
          <w:color w:val="010101"/>
          <w:spacing w:val="-20"/>
          <w:sz w:val="20"/>
        </w:rPr>
        <w:t> </w:t>
      </w:r>
      <w:r>
        <w:rPr>
          <w:i/>
          <w:color w:val="010101"/>
          <w:w w:val="103"/>
          <w:sz w:val="21"/>
        </w:rPr>
        <w:t>E</w:t>
      </w:r>
    </w:p>
    <w:p>
      <w:pPr>
        <w:tabs>
          <w:tab w:pos="556" w:val="left" w:leader="none"/>
          <w:tab w:pos="2094" w:val="left" w:leader="none"/>
        </w:tabs>
        <w:spacing w:line="175" w:lineRule="exact" w:before="0"/>
        <w:ind w:left="0" w:right="1651" w:firstLine="0"/>
        <w:jc w:val="center"/>
        <w:rPr>
          <w:rFonts w:ascii="Arial" w:hAnsi="Arial"/>
          <w:sz w:val="12"/>
        </w:rPr>
      </w:pPr>
      <w:r>
        <w:rPr/>
        <w:pict>
          <v:shape style="position:absolute;margin-left:191.595596pt;margin-top:-4.078598pt;width:133.1pt;height:13pt;mso-position-horizontal-relative:page;mso-position-vertical-relative:paragraph;z-index:-732040" type="#_x0000_t202" filled="false" stroked="false">
            <v:textbox inset="0,0,0,0">
              <w:txbxContent>
                <w:p>
                  <w:pPr>
                    <w:tabs>
                      <w:tab w:pos="2154" w:val="left" w:leader="none"/>
                    </w:tabs>
                    <w:spacing w:line="260" w:lineRule="exact" w:before="0"/>
                    <w:ind w:left="0" w:right="0" w:firstLine="0"/>
                    <w:jc w:val="left"/>
                    <w:rPr>
                      <w:sz w:val="20"/>
                    </w:rPr>
                  </w:pPr>
                  <w:r>
                    <w:rPr>
                      <w:rFonts w:ascii="Arial" w:hAnsi="Arial"/>
                      <w:b/>
                      <w:i/>
                      <w:color w:val="010101"/>
                      <w:w w:val="130"/>
                      <w:position w:val="-2"/>
                      <w:sz w:val="26"/>
                    </w:rPr>
                    <w:t>2m</w:t>
                  </w:r>
                  <w:r>
                    <w:rPr>
                      <w:rFonts w:ascii="Arial" w:hAnsi="Arial"/>
                      <w:b/>
                      <w:i/>
                      <w:color w:val="010101"/>
                      <w:spacing w:val="-37"/>
                      <w:w w:val="130"/>
                      <w:position w:val="-2"/>
                      <w:sz w:val="26"/>
                    </w:rPr>
                    <w:t> </w:t>
                  </w:r>
                  <w:r>
                    <w:rPr>
                      <w:rFonts w:ascii="Arial" w:hAnsi="Arial"/>
                      <w:color w:val="010101"/>
                      <w:w w:val="120"/>
                      <w:position w:val="-2"/>
                      <w:sz w:val="26"/>
                    </w:rPr>
                    <w:t>·</w:t>
                    <w:tab/>
                  </w:r>
                  <w:r>
                    <w:rPr>
                      <w:color w:val="010101"/>
                      <w:spacing w:val="-3"/>
                      <w:w w:val="105"/>
                      <w:sz w:val="20"/>
                    </w:rPr>
                    <w:t>(2.23)</w:t>
                  </w:r>
                </w:p>
              </w:txbxContent>
            </v:textbox>
            <w10:wrap type="none"/>
          </v:shape>
        </w:pict>
      </w:r>
      <w:r>
        <w:rPr>
          <w:b/>
          <w:color w:val="010101"/>
          <w:sz w:val="13"/>
        </w:rPr>
        <w:t>nlU.:Z</w:t>
        <w:tab/>
      </w:r>
      <w:r>
        <w:rPr>
          <w:color w:val="010101"/>
          <w:sz w:val="21"/>
        </w:rPr>
        <w:t>=:</w:t>
      </w:r>
      <w:r>
        <w:rPr>
          <w:color w:val="010101"/>
          <w:spacing w:val="4"/>
          <w:sz w:val="21"/>
        </w:rPr>
        <w:t> </w:t>
      </w:r>
      <w:r>
        <w:rPr>
          <w:b/>
          <w:color w:val="010101"/>
          <w:sz w:val="14"/>
        </w:rPr>
        <w:t>111Gz</w:t>
      </w:r>
      <w:r>
        <w:rPr>
          <w:b/>
          <w:color w:val="010101"/>
          <w:spacing w:val="23"/>
          <w:sz w:val="14"/>
        </w:rPr>
        <w:t> </w:t>
      </w:r>
      <w:r>
        <w:rPr>
          <w:color w:val="010101"/>
          <w:w w:val="390"/>
          <w:sz w:val="14"/>
        </w:rPr>
        <w:t>-</w:t>
        <w:tab/>
      </w:r>
      <w:r>
        <w:rPr>
          <w:i/>
          <w:color w:val="010101"/>
          <w:w w:val="125"/>
          <w:sz w:val="13"/>
        </w:rPr>
        <w:t>n   </w:t>
      </w:r>
      <w:r>
        <w:rPr>
          <w:rFonts w:ascii="Arial" w:hAnsi="Arial"/>
          <w:b/>
          <w:i/>
          <w:color w:val="010101"/>
          <w:w w:val="125"/>
          <w:sz w:val="12"/>
        </w:rPr>
        <w:t>z</w:t>
      </w:r>
      <w:r>
        <w:rPr>
          <w:rFonts w:ascii="Arial" w:hAnsi="Arial"/>
          <w:b/>
          <w:i/>
          <w:color w:val="010101"/>
          <w:spacing w:val="12"/>
          <w:w w:val="125"/>
          <w:sz w:val="12"/>
        </w:rPr>
        <w:t> </w:t>
      </w:r>
      <w:r>
        <w:rPr>
          <w:rFonts w:ascii="Arial" w:hAnsi="Arial"/>
          <w:color w:val="010101"/>
          <w:sz w:val="12"/>
        </w:rPr>
        <w:t>•</w:t>
      </w:r>
    </w:p>
    <w:p>
      <w:pPr>
        <w:spacing w:after="0" w:line="175" w:lineRule="exact"/>
        <w:jc w:val="center"/>
        <w:rPr>
          <w:rFonts w:ascii="Arial" w:hAnsi="Arial"/>
          <w:sz w:val="12"/>
        </w:rPr>
        <w:sectPr>
          <w:type w:val="continuous"/>
          <w:pgSz w:w="7200" w:h="11340"/>
          <w:pgMar w:top="1100" w:bottom="0" w:left="660" w:right="540"/>
          <w:cols w:num="2" w:equalWidth="0">
            <w:col w:w="747" w:space="880"/>
            <w:col w:w="4373"/>
          </w:cols>
        </w:sectPr>
      </w:pPr>
    </w:p>
    <w:p>
      <w:pPr>
        <w:pStyle w:val="BodyText"/>
        <w:spacing w:before="8"/>
        <w:rPr>
          <w:rFonts w:ascii="Arial"/>
          <w:sz w:val="21"/>
        </w:rPr>
      </w:pPr>
    </w:p>
    <w:p>
      <w:pPr>
        <w:spacing w:before="0"/>
        <w:ind w:left="328" w:right="0" w:firstLine="0"/>
        <w:jc w:val="left"/>
        <w:rPr>
          <w:sz w:val="21"/>
        </w:rPr>
      </w:pPr>
      <w:r>
        <w:rPr/>
        <w:pict>
          <v:shape style="position:absolute;margin-left:39.78196pt;margin-top:12.459203pt;width:277.05pt;height:25pt;mso-position-horizontal-relative:page;mso-position-vertical-relative:paragraph;z-index:-731992" type="#_x0000_t202" filled="false" stroked="false">
            <v:textbox inset="0,0,0,0">
              <w:txbxContent>
                <w:p>
                  <w:pPr>
                    <w:tabs>
                      <w:tab w:pos="1509" w:val="left" w:leader="none"/>
                      <w:tab w:pos="2718" w:val="left" w:leader="none"/>
                      <w:tab w:pos="3742" w:val="left" w:leader="none"/>
                      <w:tab w:pos="4474" w:val="left" w:leader="none"/>
                    </w:tabs>
                    <w:spacing w:line="500" w:lineRule="exact" w:before="0"/>
                    <w:ind w:left="0" w:right="0" w:firstLine="0"/>
                    <w:jc w:val="left"/>
                    <w:rPr>
                      <w:i/>
                      <w:sz w:val="46"/>
                    </w:rPr>
                  </w:pPr>
                  <w:r>
                    <w:rPr>
                      <w:rFonts w:ascii="Arial" w:hAnsi="Arial"/>
                      <w:color w:val="010101"/>
                      <w:w w:val="75"/>
                      <w:sz w:val="22"/>
                    </w:rPr>
                    <w:t>A&lt;•&gt; </w:t>
                  </w:r>
                  <w:r>
                    <w:rPr>
                      <w:rFonts w:ascii="Arial" w:hAnsi="Arial"/>
                      <w:color w:val="010101"/>
                      <w:spacing w:val="25"/>
                      <w:w w:val="75"/>
                      <w:sz w:val="22"/>
                    </w:rPr>
                    <w:t> </w:t>
                  </w:r>
                  <w:r>
                    <w:rPr>
                      <w:rFonts w:ascii="Arial" w:hAnsi="Arial"/>
                      <w:color w:val="010101"/>
                      <w:w w:val="110"/>
                      <w:sz w:val="22"/>
                    </w:rPr>
                    <w:t>_</w:t>
                  </w:r>
                  <w:r>
                    <w:rPr>
                      <w:rFonts w:ascii="Arial" w:hAnsi="Arial"/>
                      <w:color w:val="010101"/>
                      <w:spacing w:val="61"/>
                      <w:w w:val="110"/>
                      <w:sz w:val="22"/>
                    </w:rPr>
                    <w:t> </w:t>
                  </w:r>
                  <w:r>
                    <w:rPr>
                      <w:rFonts w:ascii="Arial" w:hAnsi="Arial"/>
                      <w:color w:val="010101"/>
                      <w:w w:val="75"/>
                      <w:sz w:val="21"/>
                    </w:rPr>
                    <w:t>-&lt;•&gt;</w:t>
                    <w:tab/>
                  </w:r>
                  <w:r>
                    <w:rPr>
                      <w:color w:val="010101"/>
                      <w:w w:val="110"/>
                      <w:sz w:val="13"/>
                    </w:rPr>
                    <w:t>-Cm)  </w:t>
                  </w:r>
                  <w:r>
                    <w:rPr>
                      <w:color w:val="010101"/>
                      <w:spacing w:val="1"/>
                      <w:w w:val="110"/>
                      <w:sz w:val="13"/>
                    </w:rPr>
                    <w:t> </w:t>
                  </w:r>
                  <w:r>
                    <w:rPr>
                      <w:color w:val="010101"/>
                      <w:w w:val="110"/>
                      <w:sz w:val="13"/>
                    </w:rPr>
                    <w:t>•   </w:t>
                  </w:r>
                  <w:r>
                    <w:rPr>
                      <w:color w:val="010101"/>
                      <w:spacing w:val="31"/>
                      <w:w w:val="110"/>
                      <w:sz w:val="13"/>
                    </w:rPr>
                    <w:t> </w:t>
                  </w:r>
                  <w:r>
                    <w:rPr>
                      <w:color w:val="010101"/>
                      <w:w w:val="255"/>
                      <w:sz w:val="13"/>
                    </w:rPr>
                    <w:t>(-</w:t>
                    <w:tab/>
                  </w:r>
                  <w:r>
                    <w:rPr>
                      <w:i/>
                      <w:color w:val="010101"/>
                      <w:w w:val="110"/>
                      <w:sz w:val="22"/>
                    </w:rPr>
                    <w:t>m</w:t>
                  </w:r>
                  <w:r>
                    <w:rPr>
                      <w:i/>
                      <w:color w:val="010101"/>
                      <w:spacing w:val="4"/>
                      <w:w w:val="110"/>
                      <w:sz w:val="22"/>
                    </w:rPr>
                    <w:t> </w:t>
                  </w:r>
                  <w:r>
                    <w:rPr>
                      <w:color w:val="010101"/>
                      <w:w w:val="255"/>
                      <w:sz w:val="22"/>
                    </w:rPr>
                    <w:t>-</w:t>
                  </w:r>
                  <w:r>
                    <w:rPr>
                      <w:color w:val="010101"/>
                      <w:spacing w:val="-96"/>
                      <w:w w:val="255"/>
                      <w:sz w:val="22"/>
                    </w:rPr>
                    <w:t> </w:t>
                  </w:r>
                  <w:r>
                    <w:rPr>
                      <w:color w:val="010101"/>
                      <w:w w:val="75"/>
                      <w:sz w:val="50"/>
                    </w:rPr>
                    <w:t>1)</w:t>
                    <w:tab/>
                    <w:t>(</w:t>
                  </w:r>
                  <w:r>
                    <w:rPr>
                      <w:color w:val="010101"/>
                      <w:spacing w:val="39"/>
                      <w:w w:val="75"/>
                      <w:sz w:val="50"/>
                    </w:rPr>
                    <w:t> </w:t>
                  </w:r>
                  <w:r>
                    <w:rPr>
                      <w:color w:val="010101"/>
                      <w:w w:val="50"/>
                      <w:sz w:val="50"/>
                    </w:rPr>
                    <w:t>_</w:t>
                    <w:tab/>
                  </w:r>
                  <w:r>
                    <w:rPr>
                      <w:i/>
                      <w:color w:val="010101"/>
                      <w:w w:val="110"/>
                      <w:sz w:val="22"/>
                    </w:rPr>
                    <w:t>m</w:t>
                  </w:r>
                  <w:r>
                    <w:rPr>
                      <w:i/>
                      <w:color w:val="010101"/>
                      <w:spacing w:val="-21"/>
                      <w:w w:val="110"/>
                      <w:sz w:val="22"/>
                    </w:rPr>
                    <w:t> </w:t>
                  </w:r>
                  <w:r>
                    <w:rPr>
                      <w:color w:val="010101"/>
                      <w:w w:val="255"/>
                      <w:sz w:val="22"/>
                    </w:rPr>
                    <w:t>-</w:t>
                  </w:r>
                  <w:r>
                    <w:rPr>
                      <w:color w:val="010101"/>
                      <w:spacing w:val="-108"/>
                      <w:w w:val="255"/>
                      <w:sz w:val="22"/>
                    </w:rPr>
                    <w:t> </w:t>
                  </w:r>
                  <w:r>
                    <w:rPr>
                      <w:color w:val="010101"/>
                      <w:w w:val="75"/>
                      <w:sz w:val="50"/>
                    </w:rPr>
                    <w:t>1</w:t>
                  </w:r>
                  <w:r>
                    <w:rPr>
                      <w:color w:val="010101"/>
                      <w:spacing w:val="-19"/>
                      <w:w w:val="75"/>
                      <w:sz w:val="50"/>
                    </w:rPr>
                    <w:t> </w:t>
                  </w:r>
                  <w:r>
                    <w:rPr>
                      <w:i/>
                      <w:color w:val="010101"/>
                      <w:w w:val="75"/>
                      <w:sz w:val="46"/>
                    </w:rPr>
                    <w:t>E</w:t>
                  </w:r>
                  <w:r>
                    <w:rPr>
                      <w:i/>
                      <w:color w:val="010101"/>
                      <w:spacing w:val="-46"/>
                      <w:w w:val="75"/>
                      <w:sz w:val="46"/>
                    </w:rPr>
                    <w:t> </w:t>
                  </w:r>
                  <w:r>
                    <w:rPr>
                      <w:i/>
                      <w:color w:val="010101"/>
                      <w:w w:val="75"/>
                      <w:sz w:val="46"/>
                    </w:rPr>
                    <w:t>)</w:t>
                  </w:r>
                </w:p>
              </w:txbxContent>
            </v:textbox>
            <w10:wrap type="none"/>
          </v:shape>
        </w:pict>
      </w:r>
      <w:r>
        <w:rPr>
          <w:color w:val="010101"/>
          <w:sz w:val="21"/>
        </w:rPr>
        <w:t>For the temporary  annuity-due paya.ble </w:t>
      </w:r>
      <w:r>
        <w:rPr>
          <w:rFonts w:ascii="Arial"/>
          <w:i/>
          <w:color w:val="010101"/>
          <w:sz w:val="18"/>
        </w:rPr>
        <w:t>m </w:t>
      </w:r>
      <w:r>
        <w:rPr>
          <w:color w:val="010101"/>
          <w:sz w:val="21"/>
        </w:rPr>
        <w:t>times a  year,</w:t>
      </w:r>
    </w:p>
    <w:p>
      <w:pPr>
        <w:pStyle w:val="BodyText"/>
        <w:spacing w:before="1"/>
      </w:pPr>
    </w:p>
    <w:p>
      <w:pPr>
        <w:tabs>
          <w:tab w:pos="1238" w:val="left" w:leader="none"/>
          <w:tab w:pos="2030" w:val="left" w:leader="none"/>
          <w:tab w:pos="5230" w:val="left" w:leader="none"/>
        </w:tabs>
        <w:spacing w:before="0"/>
        <w:ind w:left="128" w:right="0" w:firstLine="0"/>
        <w:jc w:val="left"/>
        <w:rPr>
          <w:sz w:val="8"/>
        </w:rPr>
      </w:pPr>
      <w:r>
        <w:rPr>
          <w:b/>
          <w:color w:val="010101"/>
          <w:w w:val="110"/>
          <w:sz w:val="14"/>
        </w:rPr>
        <w:t>1.ts:il </w:t>
      </w:r>
      <w:r>
        <w:rPr>
          <w:b/>
          <w:color w:val="010101"/>
          <w:spacing w:val="15"/>
          <w:w w:val="110"/>
          <w:sz w:val="14"/>
        </w:rPr>
        <w:t> </w:t>
      </w:r>
      <w:r>
        <w:rPr>
          <w:color w:val="010101"/>
          <w:w w:val="330"/>
          <w:sz w:val="14"/>
        </w:rPr>
        <w:t>-</w:t>
      </w:r>
      <w:r>
        <w:rPr>
          <w:color w:val="010101"/>
          <w:spacing w:val="-60"/>
          <w:w w:val="330"/>
          <w:sz w:val="14"/>
        </w:rPr>
        <w:t> </w:t>
      </w:r>
      <w:r>
        <w:rPr>
          <w:b/>
          <w:color w:val="010101"/>
          <w:w w:val="110"/>
          <w:sz w:val="16"/>
        </w:rPr>
        <w:t>Os</w:t>
        <w:tab/>
      </w:r>
      <w:r>
        <w:rPr>
          <w:color w:val="010101"/>
          <w:w w:val="330"/>
          <w:sz w:val="16"/>
        </w:rPr>
        <w:t>-</w:t>
      </w:r>
      <w:r>
        <w:rPr>
          <w:color w:val="010101"/>
          <w:spacing w:val="-109"/>
          <w:w w:val="330"/>
          <w:sz w:val="16"/>
        </w:rPr>
        <w:t> </w:t>
      </w:r>
      <w:r>
        <w:rPr>
          <w:i/>
          <w:color w:val="010101"/>
          <w:w w:val="95"/>
          <w:sz w:val="33"/>
        </w:rPr>
        <w:t>"'ªz</w:t>
        <w:tab/>
      </w:r>
      <w:r>
        <w:rPr>
          <w:rFonts w:ascii="Arial" w:hAnsi="Arial"/>
          <w:color w:val="010101"/>
          <w:w w:val="110"/>
          <w:sz w:val="18"/>
        </w:rPr>
        <w:t>=:   </w:t>
      </w:r>
      <w:r>
        <w:rPr>
          <w:i/>
          <w:color w:val="010101"/>
          <w:w w:val="110"/>
          <w:sz w:val="21"/>
        </w:rPr>
        <w:t>az </w:t>
      </w:r>
      <w:r>
        <w:rPr>
          <w:color w:val="010101"/>
          <w:w w:val="245"/>
          <w:sz w:val="21"/>
        </w:rPr>
        <w:t>- </w:t>
      </w:r>
      <w:r>
        <w:rPr>
          <w:rFonts w:ascii="Arial" w:hAnsi="Arial"/>
          <w:i/>
          <w:color w:val="010101"/>
          <w:w w:val="180"/>
          <w:sz w:val="26"/>
        </w:rPr>
        <w:t>2m </w:t>
      </w:r>
      <w:r>
        <w:rPr>
          <w:rFonts w:ascii="Arial" w:hAnsi="Arial"/>
          <w:color w:val="010101"/>
          <w:w w:val="180"/>
          <w:sz w:val="26"/>
        </w:rPr>
        <w:t>-</w:t>
      </w:r>
      <w:r>
        <w:rPr>
          <w:rFonts w:ascii="Arial" w:hAnsi="Arial"/>
          <w:color w:val="010101"/>
          <w:spacing w:val="-71"/>
          <w:w w:val="180"/>
          <w:sz w:val="26"/>
        </w:rPr>
        <w:t> </w:t>
      </w:r>
      <w:r>
        <w:rPr>
          <w:i/>
          <w:color w:val="010101"/>
          <w:w w:val="95"/>
          <w:sz w:val="33"/>
        </w:rPr>
        <w:t>"'ªz</w:t>
      </w:r>
      <w:r>
        <w:rPr>
          <w:i/>
          <w:color w:val="010101"/>
          <w:spacing w:val="3"/>
          <w:w w:val="95"/>
          <w:sz w:val="33"/>
        </w:rPr>
        <w:t> </w:t>
      </w:r>
      <w:r>
        <w:rPr>
          <w:color w:val="010101"/>
          <w:w w:val="180"/>
          <w:sz w:val="33"/>
        </w:rPr>
        <w:t>-</w:t>
        <w:tab/>
      </w:r>
      <w:r>
        <w:rPr>
          <w:i/>
          <w:color w:val="010101"/>
          <w:w w:val="95"/>
          <w:sz w:val="33"/>
        </w:rPr>
        <w:t>·n </w:t>
      </w:r>
      <w:r>
        <w:rPr>
          <w:i/>
          <w:color w:val="010101"/>
          <w:w w:val="110"/>
          <w:sz w:val="8"/>
        </w:rPr>
        <w:t>%     </w:t>
      </w:r>
      <w:r>
        <w:rPr>
          <w:i/>
          <w:color w:val="010101"/>
          <w:spacing w:val="19"/>
          <w:w w:val="110"/>
          <w:sz w:val="8"/>
        </w:rPr>
        <w:t> </w:t>
      </w:r>
      <w:r>
        <w:rPr>
          <w:color w:val="010101"/>
          <w:w w:val="465"/>
          <w:sz w:val="8"/>
        </w:rPr>
        <w:t>'</w:t>
      </w:r>
    </w:p>
    <w:p>
      <w:pPr>
        <w:pStyle w:val="BodyText"/>
        <w:spacing w:before="3"/>
        <w:rPr>
          <w:sz w:val="26"/>
        </w:rPr>
      </w:pPr>
    </w:p>
    <w:p>
      <w:pPr>
        <w:tabs>
          <w:tab w:pos="3806" w:val="left" w:leader="none"/>
          <w:tab w:pos="5326" w:val="left" w:leader="none"/>
        </w:tabs>
        <w:spacing w:before="0"/>
        <w:ind w:left="335" w:right="0" w:firstLine="1159"/>
        <w:jc w:val="left"/>
        <w:rPr>
          <w:sz w:val="21"/>
        </w:rPr>
      </w:pPr>
      <w:r>
        <w:rPr/>
        <w:pict>
          <v:shape style="position:absolute;margin-left:39.603569pt;margin-top:-2.264374pt;width:215.1pt;height:14.7pt;mso-position-horizontal-relative:page;mso-position-vertical-relative:paragraph;z-index:-732016" type="#_x0000_t202" filled="false" stroked="false">
            <v:textbox inset="0,0,0,0">
              <w:txbxContent>
                <w:p>
                  <w:pPr>
                    <w:tabs>
                      <w:tab w:pos="1405" w:val="left" w:leader="none"/>
                      <w:tab w:pos="2094" w:val="left" w:leader="none"/>
                      <w:tab w:pos="2740" w:val="left" w:leader="none"/>
                      <w:tab w:pos="3995" w:val="left" w:leader="none"/>
                    </w:tabs>
                    <w:spacing w:line="294" w:lineRule="exact" w:before="0"/>
                    <w:ind w:left="0" w:right="0" w:firstLine="0"/>
                    <w:jc w:val="left"/>
                    <w:rPr>
                      <w:rFonts w:ascii="Arial" w:hAnsi="Arial"/>
                      <w:sz w:val="19"/>
                    </w:rPr>
                  </w:pPr>
                  <w:r>
                    <w:rPr>
                      <w:color w:val="010101"/>
                      <w:w w:val="95"/>
                      <w:position w:val="-7"/>
                      <w:sz w:val="21"/>
                    </w:rPr>
                    <w:t>whence</w:t>
                  </w:r>
                  <w:r>
                    <w:rPr>
                      <w:color w:val="010101"/>
                      <w:position w:val="-7"/>
                      <w:sz w:val="21"/>
                    </w:rPr>
                    <w:tab/>
                  </w:r>
                  <w:r>
                    <w:rPr>
                      <w:rFonts w:ascii="Arial" w:hAnsi="Arial"/>
                      <w:color w:val="010101"/>
                      <w:spacing w:val="-30"/>
                      <w:w w:val="99"/>
                      <w:sz w:val="21"/>
                    </w:rPr>
                    <w:t>.</w:t>
                  </w:r>
                  <w:r>
                    <w:rPr>
                      <w:rFonts w:ascii="Arial" w:hAnsi="Arial"/>
                      <w:color w:val="010101"/>
                      <w:spacing w:val="-28"/>
                      <w:w w:val="133"/>
                      <w:sz w:val="21"/>
                    </w:rPr>
                    <w:t>.</w:t>
                  </w:r>
                  <w:r>
                    <w:rPr>
                      <w:rFonts w:ascii="Arial" w:hAnsi="Arial"/>
                      <w:color w:val="010101"/>
                      <w:w w:val="83"/>
                      <w:sz w:val="21"/>
                    </w:rPr>
                    <w:t>&lt;</w:t>
                  </w:r>
                  <w:r>
                    <w:rPr>
                      <w:rFonts w:ascii="Arial" w:hAnsi="Arial"/>
                      <w:color w:val="010101"/>
                      <w:spacing w:val="-8"/>
                      <w:w w:val="83"/>
                      <w:sz w:val="21"/>
                    </w:rPr>
                    <w:t>•</w:t>
                  </w:r>
                  <w:r>
                    <w:rPr>
                      <w:rFonts w:ascii="Arial" w:hAnsi="Arial"/>
                      <w:color w:val="010101"/>
                      <w:w w:val="44"/>
                      <w:sz w:val="21"/>
                    </w:rPr>
                    <w:t>&gt;</w:t>
                  </w:r>
                  <w:r>
                    <w:rPr>
                      <w:rFonts w:ascii="Arial" w:hAnsi="Arial"/>
                      <w:color w:val="010101"/>
                      <w:sz w:val="21"/>
                    </w:rPr>
                    <w:t> </w:t>
                  </w:r>
                  <w:r>
                    <w:rPr>
                      <w:rFonts w:ascii="Arial" w:hAnsi="Arial"/>
                      <w:color w:val="010101"/>
                      <w:spacing w:val="10"/>
                      <w:sz w:val="21"/>
                    </w:rPr>
                    <w:t> </w:t>
                  </w:r>
                  <w:r>
                    <w:rPr>
                      <w:rFonts w:ascii="Arial" w:hAnsi="Arial"/>
                      <w:color w:val="010101"/>
                      <w:w w:val="66"/>
                      <w:sz w:val="21"/>
                    </w:rPr>
                    <w:t>•</w:t>
                  </w:r>
                  <w:r>
                    <w:rPr>
                      <w:rFonts w:ascii="Arial" w:hAnsi="Arial"/>
                      <w:color w:val="010101"/>
                      <w:sz w:val="21"/>
                    </w:rPr>
                    <w:tab/>
                  </w:r>
                  <w:r>
                    <w:rPr>
                      <w:rFonts w:ascii="Arial" w:hAnsi="Arial"/>
                      <w:imprint/>
                      <w:color w:val="010101"/>
                      <w:w w:val="116"/>
                      <w:sz w:val="21"/>
                    </w:rPr>
                    <w:t>.</w:t>
                  </w:r>
                  <w:r>
                    <w:rPr>
                      <w:rFonts w:ascii="Arial" w:hAnsi="Arial"/>
                      <w:shadow w:val="0"/>
                      <w:color w:val="010101"/>
                      <w:sz w:val="21"/>
                    </w:rPr>
                    <w:tab/>
                  </w:r>
                  <w:r>
                    <w:rPr>
                      <w:rFonts w:ascii="Arial" w:hAnsi="Arial"/>
                      <w:i/>
                      <w:shadow w:val="0"/>
                      <w:color w:val="010101"/>
                      <w:w w:val="106"/>
                      <w:sz w:val="18"/>
                    </w:rPr>
                    <w:t>m</w:t>
                  </w:r>
                  <w:r>
                    <w:rPr>
                      <w:rFonts w:ascii="Arial" w:hAnsi="Arial"/>
                      <w:i/>
                      <w:shadow w:val="0"/>
                      <w:color w:val="010101"/>
                      <w:sz w:val="18"/>
                    </w:rPr>
                    <w:t> </w:t>
                  </w:r>
                  <w:r>
                    <w:rPr>
                      <w:rFonts w:ascii="Arial" w:hAnsi="Arial"/>
                      <w:i/>
                      <w:shadow w:val="0"/>
                      <w:color w:val="010101"/>
                      <w:spacing w:val="-11"/>
                      <w:sz w:val="18"/>
                    </w:rPr>
                    <w:t> </w:t>
                  </w:r>
                  <w:r>
                    <w:rPr>
                      <w:rFonts w:ascii="Arial" w:hAnsi="Arial"/>
                      <w:shadow w:val="0"/>
                      <w:color w:val="010101"/>
                      <w:w w:val="288"/>
                      <w:sz w:val="18"/>
                    </w:rPr>
                    <w:t>-</w:t>
                  </w:r>
                  <w:r>
                    <w:rPr>
                      <w:rFonts w:ascii="Arial" w:hAnsi="Arial"/>
                      <w:shadow w:val="0"/>
                      <w:color w:val="010101"/>
                      <w:sz w:val="18"/>
                    </w:rPr>
                    <w:t> </w:t>
                  </w:r>
                  <w:r>
                    <w:rPr>
                      <w:rFonts w:ascii="Arial" w:hAnsi="Arial"/>
                      <w:shadow w:val="0"/>
                      <w:color w:val="010101"/>
                      <w:spacing w:val="-20"/>
                      <w:sz w:val="18"/>
                    </w:rPr>
                    <w:t> </w:t>
                  </w:r>
                  <w:r>
                    <w:rPr>
                      <w:shadow w:val="0"/>
                      <w:color w:val="010101"/>
                      <w:w w:val="121"/>
                      <w:sz w:val="20"/>
                    </w:rPr>
                    <w:t>1</w:t>
                  </w:r>
                  <w:r>
                    <w:rPr>
                      <w:shadow w:val="0"/>
                      <w:color w:val="010101"/>
                      <w:spacing w:val="-18"/>
                      <w:sz w:val="20"/>
                    </w:rPr>
                    <w:t> </w:t>
                  </w:r>
                  <w:r>
                    <w:rPr>
                      <w:shadow w:val="0"/>
                      <w:color w:val="010101"/>
                      <w:w w:val="103"/>
                      <w:sz w:val="20"/>
                    </w:rPr>
                    <w:t>(</w:t>
                  </w:r>
                  <w:r>
                    <w:rPr>
                      <w:shadow w:val="0"/>
                      <w:color w:val="010101"/>
                      <w:spacing w:val="-16"/>
                      <w:sz w:val="20"/>
                    </w:rPr>
                    <w:t> </w:t>
                  </w:r>
                  <w:r>
                    <w:rPr>
                      <w:shadow w:val="0"/>
                      <w:color w:val="010101"/>
                      <w:w w:val="114"/>
                      <w:sz w:val="20"/>
                    </w:rPr>
                    <w:t>1</w:t>
                  </w:r>
                  <w:r>
                    <w:rPr>
                      <w:shadow w:val="0"/>
                      <w:color w:val="010101"/>
                      <w:sz w:val="20"/>
                    </w:rPr>
                    <w:tab/>
                  </w:r>
                  <w:r>
                    <w:rPr>
                      <w:rFonts w:ascii="Arial" w:hAnsi="Arial"/>
                      <w:i/>
                      <w:shadow w:val="0"/>
                      <w:color w:val="010101"/>
                      <w:w w:val="104"/>
                      <w:sz w:val="19"/>
                    </w:rPr>
                    <w:t>E</w:t>
                  </w:r>
                  <w:r>
                    <w:rPr>
                      <w:rFonts w:ascii="Arial" w:hAnsi="Arial"/>
                      <w:i/>
                      <w:shadow w:val="0"/>
                      <w:color w:val="010101"/>
                      <w:sz w:val="19"/>
                    </w:rPr>
                    <w:t> </w:t>
                  </w:r>
                  <w:r>
                    <w:rPr>
                      <w:rFonts w:ascii="Arial" w:hAnsi="Arial"/>
                      <w:i/>
                      <w:shadow w:val="0"/>
                      <w:color w:val="010101"/>
                      <w:spacing w:val="-7"/>
                      <w:sz w:val="19"/>
                    </w:rPr>
                    <w:t> </w:t>
                  </w:r>
                  <w:r>
                    <w:rPr>
                      <w:rFonts w:ascii="Arial" w:hAnsi="Arial"/>
                      <w:shadow w:val="0"/>
                      <w:color w:val="010101"/>
                      <w:w w:val="116"/>
                      <w:sz w:val="19"/>
                    </w:rPr>
                    <w:t>)</w:t>
                  </w:r>
                </w:p>
              </w:txbxContent>
            </v:textbox>
            <w10:wrap type="none"/>
          </v:shape>
        </w:pict>
      </w:r>
      <w:r>
        <w:rPr>
          <w:rFonts w:ascii="Arial" w:hAnsi="Arial"/>
          <w:color w:val="010101"/>
          <w:spacing w:val="-3"/>
          <w:w w:val="120"/>
          <w:sz w:val="18"/>
        </w:rPr>
        <w:t>ªz:•I </w:t>
      </w:r>
      <w:r>
        <w:rPr>
          <w:color w:val="010101"/>
          <w:w w:val="105"/>
          <w:sz w:val="21"/>
        </w:rPr>
        <w:t>=:</w:t>
      </w:r>
      <w:r>
        <w:rPr>
          <w:color w:val="010101"/>
          <w:spacing w:val="19"/>
          <w:w w:val="105"/>
          <w:sz w:val="21"/>
        </w:rPr>
        <w:t> </w:t>
      </w:r>
      <w:r>
        <w:rPr>
          <w:color w:val="010101"/>
          <w:w w:val="120"/>
          <w:sz w:val="20"/>
        </w:rPr>
        <w:t>as:il</w:t>
      </w:r>
      <w:r>
        <w:rPr>
          <w:color w:val="010101"/>
          <w:spacing w:val="31"/>
          <w:w w:val="120"/>
          <w:sz w:val="20"/>
        </w:rPr>
        <w:t> </w:t>
      </w:r>
      <w:r>
        <w:rPr>
          <w:color w:val="010101"/>
          <w:w w:val="250"/>
          <w:sz w:val="20"/>
        </w:rPr>
        <w:t>-</w:t>
        <w:tab/>
        <w:t>-</w:t>
      </w:r>
      <w:r>
        <w:rPr>
          <w:color w:val="010101"/>
          <w:spacing w:val="-61"/>
          <w:w w:val="250"/>
          <w:sz w:val="20"/>
        </w:rPr>
        <w:t> </w:t>
      </w:r>
      <w:r>
        <w:rPr>
          <w:rFonts w:ascii="Arial" w:hAnsi="Arial"/>
          <w:i/>
          <w:color w:val="010101"/>
          <w:w w:val="120"/>
          <w:sz w:val="11"/>
        </w:rPr>
        <w:t>n  i z   </w:t>
      </w:r>
      <w:r>
        <w:rPr>
          <w:rFonts w:ascii="Arial" w:hAnsi="Arial"/>
          <w:color w:val="010101"/>
          <w:w w:val="120"/>
          <w:sz w:val="11"/>
        </w:rPr>
        <w:t>•</w:t>
        <w:tab/>
      </w:r>
      <w:r>
        <w:rPr>
          <w:color w:val="010101"/>
          <w:w w:val="95"/>
          <w:position w:val="4"/>
          <w:sz w:val="21"/>
        </w:rPr>
        <w:t>(2.24</w:t>
      </w:r>
      <w:r>
        <w:rPr>
          <w:color w:val="010101"/>
          <w:spacing w:val="-27"/>
          <w:w w:val="95"/>
          <w:position w:val="4"/>
          <w:sz w:val="21"/>
        </w:rPr>
        <w:t> </w:t>
      </w:r>
      <w:r>
        <w:rPr>
          <w:color w:val="010101"/>
          <w:w w:val="95"/>
          <w:position w:val="4"/>
          <w:sz w:val="21"/>
        </w:rPr>
        <w:t>)</w:t>
      </w:r>
    </w:p>
    <w:p>
      <w:pPr>
        <w:pStyle w:val="BodyText"/>
        <w:spacing w:before="4"/>
        <w:rPr>
          <w:sz w:val="21"/>
        </w:rPr>
      </w:pPr>
    </w:p>
    <w:p>
      <w:pPr>
        <w:spacing w:before="0"/>
        <w:ind w:left="335" w:right="0" w:firstLine="0"/>
        <w:jc w:val="left"/>
        <w:rPr>
          <w:sz w:val="20"/>
        </w:rPr>
      </w:pPr>
      <w:r>
        <w:rPr>
          <w:color w:val="010101"/>
          <w:sz w:val="21"/>
        </w:rPr>
        <w:t>In  </w:t>
      </w:r>
      <w:r>
        <w:rPr>
          <w:color w:val="010101"/>
          <w:sz w:val="20"/>
        </w:rPr>
        <w:t>tenns  of  </w:t>
      </w:r>
      <w:r>
        <w:rPr>
          <w:color w:val="010101"/>
          <w:sz w:val="21"/>
        </w:rPr>
        <w:t>commutation  functions,  these  formulas  appear   </w:t>
      </w:r>
      <w:r>
        <w:rPr>
          <w:color w:val="010101"/>
          <w:sz w:val="20"/>
        </w:rPr>
        <w:t>as</w:t>
      </w:r>
    </w:p>
    <w:p>
      <w:pPr>
        <w:spacing w:before="2"/>
        <w:ind w:left="135" w:right="0" w:firstLine="0"/>
        <w:jc w:val="left"/>
        <w:rPr>
          <w:sz w:val="21"/>
        </w:rPr>
      </w:pPr>
      <w:r>
        <w:rPr>
          <w:color w:val="010101"/>
          <w:sz w:val="21"/>
        </w:rPr>
        <w:t>follows:</w:t>
      </w:r>
    </w:p>
    <w:p>
      <w:pPr>
        <w:spacing w:after="0"/>
        <w:jc w:val="left"/>
        <w:rPr>
          <w:sz w:val="21"/>
        </w:rPr>
        <w:sectPr>
          <w:type w:val="continuous"/>
          <w:pgSz w:w="7200" w:h="11340"/>
          <w:pgMar w:top="1100" w:bottom="0" w:left="660" w:right="540"/>
        </w:sectPr>
      </w:pPr>
    </w:p>
    <w:p>
      <w:pPr>
        <w:pStyle w:val="BodyText"/>
      </w:pPr>
    </w:p>
    <w:p>
      <w:pPr>
        <w:pStyle w:val="BodyText"/>
      </w:pPr>
    </w:p>
    <w:p>
      <w:pPr>
        <w:pStyle w:val="BodyText"/>
        <w:spacing w:before="5"/>
        <w:rPr>
          <w:sz w:val="22"/>
        </w:rPr>
      </w:pPr>
    </w:p>
    <w:p>
      <w:pPr>
        <w:pStyle w:val="BodyText"/>
        <w:ind w:left="146" w:right="-1"/>
      </w:pPr>
      <w:r>
        <w:rPr>
          <w:color w:val="010101"/>
          <w:spacing w:val="-8"/>
          <w:w w:val="115"/>
        </w:rPr>
        <w:t>(2.19)</w:t>
      </w:r>
    </w:p>
    <w:p>
      <w:pPr>
        <w:spacing w:before="127"/>
        <w:ind w:left="146" w:right="0" w:firstLine="0"/>
        <w:jc w:val="left"/>
        <w:rPr>
          <w:b/>
          <w:i/>
          <w:sz w:val="18"/>
        </w:rPr>
      </w:pPr>
      <w:r>
        <w:rPr/>
        <w:br w:type="column"/>
      </w:r>
      <w:r>
        <w:rPr>
          <w:b/>
          <w:i/>
          <w:color w:val="010101"/>
          <w:sz w:val="18"/>
        </w:rPr>
        <w:t>lmmediate Annuities</w:t>
      </w:r>
    </w:p>
    <w:p>
      <w:pPr>
        <w:spacing w:after="0"/>
        <w:jc w:val="left"/>
        <w:rPr>
          <w:sz w:val="18"/>
        </w:rPr>
        <w:sectPr>
          <w:type w:val="continuous"/>
          <w:pgSz w:w="7200" w:h="11340"/>
          <w:pgMar w:top="1100" w:bottom="0" w:left="660" w:right="540"/>
          <w:cols w:num="2" w:equalWidth="0">
            <w:col w:w="673" w:space="1378"/>
            <w:col w:w="3949"/>
          </w:cols>
        </w:sectPr>
      </w:pPr>
    </w:p>
    <w:p>
      <w:pPr>
        <w:pStyle w:val="BodyText"/>
        <w:spacing w:before="11"/>
        <w:rPr>
          <w:b/>
          <w:i/>
          <w:sz w:val="29"/>
        </w:rPr>
      </w:pPr>
    </w:p>
    <w:p>
      <w:pPr>
        <w:spacing w:after="0"/>
        <w:rPr>
          <w:sz w:val="29"/>
        </w:rPr>
        <w:sectPr>
          <w:type w:val="continuous"/>
          <w:pgSz w:w="7200" w:h="11340"/>
          <w:pgMar w:top="1100" w:bottom="0" w:left="660" w:right="540"/>
        </w:sectPr>
      </w:pPr>
    </w:p>
    <w:p>
      <w:pPr>
        <w:pStyle w:val="BodyText"/>
        <w:spacing w:before="2"/>
        <w:rPr>
          <w:b/>
          <w:i/>
          <w:sz w:val="25"/>
        </w:rPr>
      </w:pPr>
    </w:p>
    <w:p>
      <w:pPr>
        <w:pStyle w:val="BodyText"/>
        <w:spacing w:line="212" w:lineRule="exact"/>
        <w:ind w:left="149" w:right="-16"/>
      </w:pPr>
      <w:r>
        <w:rPr>
          <w:color w:val="010101"/>
          <w:w w:val="105"/>
        </w:rPr>
        <w:t>(2.20)</w:t>
      </w:r>
    </w:p>
    <w:p>
      <w:pPr>
        <w:spacing w:line="184" w:lineRule="exact" w:before="74"/>
        <w:ind w:left="1034" w:right="0" w:firstLine="0"/>
        <w:jc w:val="center"/>
        <w:rPr>
          <w:sz w:val="20"/>
        </w:rPr>
      </w:pPr>
      <w:r>
        <w:rPr/>
        <w:br w:type="column"/>
      </w:r>
      <w:r>
        <w:rPr>
          <w:rFonts w:ascii="Arial"/>
          <w:i/>
          <w:color w:val="010101"/>
          <w:w w:val="120"/>
          <w:sz w:val="18"/>
        </w:rPr>
        <w:t>m </w:t>
      </w:r>
      <w:r>
        <w:rPr>
          <w:rFonts w:ascii="Arial"/>
          <w:color w:val="010101"/>
          <w:w w:val="265"/>
          <w:sz w:val="18"/>
        </w:rPr>
        <w:t>-</w:t>
      </w:r>
      <w:r>
        <w:rPr>
          <w:rFonts w:ascii="Arial"/>
          <w:color w:val="010101"/>
          <w:spacing w:val="-35"/>
          <w:w w:val="265"/>
          <w:sz w:val="18"/>
        </w:rPr>
        <w:t> </w:t>
      </w:r>
      <w:r>
        <w:rPr>
          <w:color w:val="010101"/>
          <w:w w:val="120"/>
          <w:sz w:val="20"/>
        </w:rPr>
        <w:t>1</w:t>
      </w:r>
    </w:p>
    <w:p>
      <w:pPr>
        <w:spacing w:line="138" w:lineRule="exact" w:before="0"/>
        <w:ind w:left="0" w:right="194" w:firstLine="0"/>
        <w:jc w:val="right"/>
        <w:rPr>
          <w:sz w:val="21"/>
        </w:rPr>
      </w:pPr>
      <w:r>
        <w:rPr/>
        <w:drawing>
          <wp:anchor distT="0" distB="0" distL="0" distR="0" allowOverlap="1" layoutInCell="1" locked="0" behindDoc="0" simplePos="0" relativeHeight="3904">
            <wp:simplePos x="0" y="0"/>
            <wp:positionH relativeFrom="page">
              <wp:posOffset>2029967</wp:posOffset>
            </wp:positionH>
            <wp:positionV relativeFrom="paragraph">
              <wp:posOffset>-630159</wp:posOffset>
            </wp:positionV>
            <wp:extent cx="1014983" cy="420624"/>
            <wp:effectExtent l="0" t="0" r="0" b="0"/>
            <wp:wrapNone/>
            <wp:docPr id="79" name="image44.png" descr=""/>
            <wp:cNvGraphicFramePr>
              <a:graphicFrameLocks noChangeAspect="1"/>
            </wp:cNvGraphicFramePr>
            <a:graphic>
              <a:graphicData uri="http://schemas.openxmlformats.org/drawingml/2006/picture">
                <pic:pic>
                  <pic:nvPicPr>
                    <pic:cNvPr id="80" name="image44.png"/>
                    <pic:cNvPicPr/>
                  </pic:nvPicPr>
                  <pic:blipFill>
                    <a:blip r:embed="rId48" cstate="print"/>
                    <a:stretch>
                      <a:fillRect/>
                    </a:stretch>
                  </pic:blipFill>
                  <pic:spPr>
                    <a:xfrm>
                      <a:off x="0" y="0"/>
                      <a:ext cx="1014983" cy="420624"/>
                    </a:xfrm>
                    <a:prstGeom prst="rect">
                      <a:avLst/>
                    </a:prstGeom>
                  </pic:spPr>
                </pic:pic>
              </a:graphicData>
            </a:graphic>
          </wp:anchor>
        </w:drawing>
      </w:r>
      <w:r>
        <w:rPr/>
        <w:pict>
          <v:shape style="position:absolute;margin-left:156.808701pt;margin-top:-4.171994pt;width:40.550pt;height:14.5pt;mso-position-horizontal-relative:page;mso-position-vertical-relative:paragraph;z-index:4096" type="#_x0000_t202" filled="false" stroked="false">
            <v:textbox inset="0,0,0,0">
              <w:txbxContent>
                <w:p>
                  <w:pPr>
                    <w:spacing w:line="290" w:lineRule="exact" w:before="0"/>
                    <w:ind w:left="0" w:right="0" w:firstLine="0"/>
                    <w:jc w:val="left"/>
                    <w:rPr>
                      <w:sz w:val="29"/>
                    </w:rPr>
                  </w:pPr>
                  <w:r>
                    <w:rPr>
                      <w:color w:val="010101"/>
                      <w:sz w:val="17"/>
                    </w:rPr>
                    <w:t>N.+w+1 </w:t>
                  </w:r>
                  <w:r>
                    <w:rPr>
                      <w:color w:val="010101"/>
                      <w:sz w:val="29"/>
                    </w:rPr>
                    <w:t>+</w:t>
                  </w:r>
                </w:p>
              </w:txbxContent>
            </v:textbox>
            <w10:wrap type="none"/>
          </v:shape>
        </w:pict>
      </w:r>
      <w:r>
        <w:rPr>
          <w:color w:val="010101"/>
          <w:w w:val="93"/>
          <w:sz w:val="21"/>
        </w:rPr>
        <w:t>m</w:t>
      </w:r>
    </w:p>
    <w:p>
      <w:pPr>
        <w:spacing w:line="105" w:lineRule="exact" w:before="0"/>
        <w:ind w:left="0" w:right="340" w:firstLine="0"/>
        <w:jc w:val="right"/>
        <w:rPr>
          <w:rFonts w:ascii="Arial"/>
          <w:sz w:val="18"/>
        </w:rPr>
      </w:pPr>
      <w:r>
        <w:rPr>
          <w:rFonts w:ascii="Arial"/>
          <w:color w:val="010101"/>
          <w:w w:val="106"/>
          <w:sz w:val="18"/>
        </w:rPr>
        <w:t>2</w:t>
      </w:r>
    </w:p>
    <w:p>
      <w:pPr>
        <w:pStyle w:val="BodyText"/>
        <w:spacing w:before="1"/>
        <w:rPr>
          <w:rFonts w:ascii="Arial"/>
        </w:rPr>
      </w:pPr>
      <w:r>
        <w:rPr/>
        <w:br w:type="column"/>
      </w:r>
      <w:r>
        <w:rPr>
          <w:rFonts w:ascii="Arial"/>
        </w:rPr>
      </w:r>
    </w:p>
    <w:p>
      <w:pPr>
        <w:spacing w:before="0"/>
        <w:ind w:left="-15" w:right="-19" w:firstLine="0"/>
        <w:jc w:val="left"/>
        <w:rPr>
          <w:i/>
          <w:sz w:val="19"/>
        </w:rPr>
      </w:pPr>
      <w:r>
        <w:rPr>
          <w:i/>
          <w:color w:val="010101"/>
          <w:sz w:val="19"/>
        </w:rPr>
        <w:t>Dz+n</w:t>
      </w:r>
    </w:p>
    <w:p>
      <w:pPr>
        <w:spacing w:after="0"/>
        <w:jc w:val="left"/>
        <w:rPr>
          <w:sz w:val="19"/>
        </w:rPr>
        <w:sectPr>
          <w:type w:val="continuous"/>
          <w:pgSz w:w="7200" w:h="11340"/>
          <w:pgMar w:top="1100" w:bottom="0" w:left="660" w:right="540"/>
          <w:cols w:num="3" w:equalWidth="0">
            <w:col w:w="661" w:space="1665"/>
            <w:col w:w="1652" w:space="40"/>
            <w:col w:w="1982"/>
          </w:cols>
        </w:sectPr>
      </w:pPr>
    </w:p>
    <w:p>
      <w:pPr>
        <w:tabs>
          <w:tab w:pos="2708" w:val="left" w:leader="none"/>
        </w:tabs>
        <w:spacing w:line="218" w:lineRule="exact" w:before="0"/>
        <w:ind w:left="1701" w:right="0" w:firstLine="0"/>
        <w:jc w:val="left"/>
        <w:rPr>
          <w:sz w:val="12"/>
        </w:rPr>
      </w:pPr>
      <w:r>
        <w:rPr>
          <w:color w:val="010101"/>
          <w:w w:val="96"/>
          <w:position w:val="-7"/>
          <w:sz w:val="19"/>
        </w:rPr>
        <w:t>•</w:t>
      </w:r>
      <w:r>
        <w:rPr>
          <w:color w:val="010101"/>
          <w:w w:val="96"/>
          <w:position w:val="-7"/>
          <w:sz w:val="19"/>
        </w:rPr>
        <w:t>(</w:t>
      </w:r>
      <w:r>
        <w:rPr>
          <w:color w:val="010101"/>
          <w:position w:val="-7"/>
          <w:sz w:val="19"/>
        </w:rPr>
        <w:t>   </w:t>
      </w:r>
      <w:r>
        <w:rPr>
          <w:color w:val="010101"/>
          <w:spacing w:val="-13"/>
          <w:position w:val="-7"/>
          <w:sz w:val="19"/>
        </w:rPr>
        <w:t> </w:t>
      </w:r>
      <w:r>
        <w:rPr>
          <w:b/>
          <w:i/>
          <w:color w:val="010101"/>
          <w:w w:val="97"/>
          <w:sz w:val="12"/>
        </w:rPr>
        <w:t>,n</w:t>
      </w:r>
      <w:r>
        <w:rPr>
          <w:b/>
          <w:i/>
          <w:color w:val="010101"/>
          <w:w w:val="97"/>
          <w:sz w:val="12"/>
        </w:rPr>
        <w:t>)</w:t>
      </w:r>
      <w:r>
        <w:rPr>
          <w:b/>
          <w:i/>
          <w:color w:val="010101"/>
          <w:sz w:val="12"/>
        </w:rPr>
        <w:t>  </w:t>
      </w:r>
      <w:r>
        <w:rPr>
          <w:b/>
          <w:i/>
          <w:color w:val="010101"/>
          <w:spacing w:val="-5"/>
          <w:sz w:val="12"/>
        </w:rPr>
        <w:t> </w:t>
      </w:r>
      <w:r>
        <w:rPr>
          <w:color w:val="010101"/>
          <w:spacing w:val="-73"/>
          <w:w w:val="147"/>
          <w:sz w:val="12"/>
        </w:rPr>
        <w:t>:</w:t>
      </w:r>
      <w:r>
        <w:rPr>
          <w:color w:val="010101"/>
          <w:spacing w:val="-55"/>
          <w:w w:val="138"/>
          <w:position w:val="-7"/>
          <w:sz w:val="19"/>
        </w:rPr>
        <w:t>-</w:t>
      </w:r>
      <w:r>
        <w:rPr>
          <w:color w:val="010101"/>
          <w:spacing w:val="-43"/>
          <w:w w:val="148"/>
          <w:sz w:val="12"/>
        </w:rPr>
        <w:t>.</w:t>
      </w:r>
      <w:r>
        <w:rPr>
          <w:color w:val="010101"/>
          <w:spacing w:val="-89"/>
          <w:w w:val="138"/>
          <w:position w:val="-7"/>
          <w:sz w:val="19"/>
        </w:rPr>
        <w:t>;</w:t>
      </w:r>
      <w:r>
        <w:rPr>
          <w:color w:val="010101"/>
          <w:w w:val="147"/>
          <w:sz w:val="12"/>
        </w:rPr>
        <w:t>-</w:t>
      </w:r>
      <w:r>
        <w:rPr>
          <w:color w:val="010101"/>
          <w:sz w:val="12"/>
        </w:rPr>
        <w:tab/>
      </w:r>
      <w:r>
        <w:rPr>
          <w:color w:val="010101"/>
          <w:spacing w:val="-105"/>
          <w:w w:val="600"/>
          <w:sz w:val="12"/>
        </w:rPr>
        <w:t>-</w:t>
      </w:r>
      <w:r>
        <w:rPr>
          <w:i/>
          <w:color w:val="010101"/>
          <w:w w:val="97"/>
          <w:position w:val="-7"/>
          <w:sz w:val="19"/>
        </w:rPr>
        <w:t>D</w:t>
      </w:r>
      <w:r>
        <w:rPr>
          <w:i/>
          <w:color w:val="010101"/>
          <w:w w:val="97"/>
          <w:position w:val="-7"/>
          <w:sz w:val="19"/>
        </w:rPr>
        <w:t>z</w:t>
      </w:r>
      <w:r>
        <w:rPr>
          <w:i/>
          <w:color w:val="010101"/>
          <w:spacing w:val="17"/>
          <w:position w:val="-7"/>
          <w:sz w:val="19"/>
        </w:rPr>
        <w:t> </w:t>
      </w:r>
      <w:r>
        <w:rPr>
          <w:color w:val="010101"/>
          <w:spacing w:val="-496"/>
          <w:w w:val="600"/>
          <w:sz w:val="12"/>
        </w:rPr>
        <w:t>-</w:t>
      </w:r>
      <w:r>
        <w:rPr>
          <w:color w:val="010101"/>
          <w:spacing w:val="-283"/>
          <w:w w:val="600"/>
          <w:sz w:val="12"/>
        </w:rPr>
        <w:t>-</w:t>
      </w:r>
      <w:r>
        <w:rPr>
          <w:color w:val="010101"/>
          <w:w w:val="455"/>
          <w:sz w:val="12"/>
        </w:rPr>
        <w:t>-</w:t>
      </w:r>
    </w:p>
    <w:p>
      <w:pPr>
        <w:pStyle w:val="BodyText"/>
        <w:spacing w:before="6"/>
        <w:rPr>
          <w:sz w:val="13"/>
        </w:rPr>
      </w:pPr>
    </w:p>
    <w:p>
      <w:pPr>
        <w:spacing w:after="0"/>
        <w:rPr>
          <w:sz w:val="13"/>
        </w:rPr>
        <w:sectPr>
          <w:type w:val="continuous"/>
          <w:pgSz w:w="7200" w:h="11340"/>
          <w:pgMar w:top="1100" w:bottom="0" w:left="660" w:right="540"/>
        </w:sectPr>
      </w:pPr>
    </w:p>
    <w:p>
      <w:pPr>
        <w:pStyle w:val="BodyText"/>
        <w:spacing w:before="6"/>
        <w:rPr>
          <w:sz w:val="24"/>
        </w:rPr>
      </w:pPr>
    </w:p>
    <w:p>
      <w:pPr>
        <w:pStyle w:val="BodyText"/>
        <w:spacing w:line="179" w:lineRule="exact"/>
        <w:ind w:left="146" w:right="-15"/>
      </w:pPr>
      <w:r>
        <w:rPr>
          <w:color w:val="010101"/>
          <w:w w:val="105"/>
        </w:rPr>
        <w:t>(2.21)</w:t>
      </w:r>
    </w:p>
    <w:p>
      <w:pPr>
        <w:pStyle w:val="BodyText"/>
        <w:spacing w:before="5"/>
        <w:rPr>
          <w:sz w:val="29"/>
        </w:rPr>
      </w:pPr>
      <w:r>
        <w:rPr/>
        <w:br w:type="column"/>
      </w:r>
      <w:r>
        <w:rPr>
          <w:sz w:val="29"/>
        </w:rPr>
      </w:r>
    </w:p>
    <w:p>
      <w:pPr>
        <w:pStyle w:val="BodyText"/>
        <w:spacing w:line="123" w:lineRule="exact"/>
        <w:ind w:left="146" w:right="-20"/>
        <w:rPr>
          <w:rFonts w:ascii="Arial" w:hAnsi="Arial"/>
        </w:rPr>
      </w:pPr>
      <w:r>
        <w:rPr>
          <w:rFonts w:ascii="Arial" w:hAnsi="Arial"/>
          <w:color w:val="010101"/>
          <w:w w:val="85"/>
        </w:rPr>
        <w:t>&lt;•</w:t>
      </w:r>
      <w:r>
        <w:rPr>
          <w:rFonts w:ascii="Arial" w:hAnsi="Arial"/>
          <w:color w:val="010101"/>
          <w:w w:val="39"/>
        </w:rPr>
        <w:t>&gt;</w:t>
      </w:r>
      <w:r>
        <w:rPr>
          <w:rFonts w:ascii="Arial" w:hAnsi="Arial"/>
          <w:color w:val="010101"/>
        </w:rPr>
        <w:t> </w:t>
      </w:r>
      <w:r>
        <w:rPr>
          <w:rFonts w:ascii="Arial" w:hAnsi="Arial"/>
          <w:color w:val="010101"/>
          <w:spacing w:val="17"/>
        </w:rPr>
        <w:t> </w:t>
      </w:r>
      <w:r>
        <w:rPr>
          <w:rFonts w:ascii="Arial" w:hAnsi="Arial"/>
          <w:color w:val="010101"/>
          <w:w w:val="69"/>
        </w:rPr>
        <w:t>•</w:t>
      </w:r>
    </w:p>
    <w:p>
      <w:pPr>
        <w:spacing w:line="186" w:lineRule="exact" w:before="74"/>
        <w:ind w:left="0" w:right="0" w:firstLine="0"/>
        <w:jc w:val="right"/>
        <w:rPr>
          <w:sz w:val="20"/>
        </w:rPr>
      </w:pPr>
      <w:r>
        <w:rPr/>
        <w:br w:type="column"/>
      </w:r>
      <w:r>
        <w:rPr>
          <w:rFonts w:ascii="Arial"/>
          <w:i/>
          <w:color w:val="010101"/>
          <w:w w:val="120"/>
          <w:sz w:val="18"/>
        </w:rPr>
        <w:t>m </w:t>
      </w:r>
      <w:r>
        <w:rPr>
          <w:rFonts w:ascii="Arial"/>
          <w:color w:val="010101"/>
          <w:w w:val="265"/>
          <w:sz w:val="18"/>
        </w:rPr>
        <w:t>- </w:t>
      </w:r>
      <w:r>
        <w:rPr>
          <w:color w:val="010101"/>
          <w:w w:val="120"/>
          <w:sz w:val="20"/>
        </w:rPr>
        <w:t>1</w:t>
      </w:r>
    </w:p>
    <w:p>
      <w:pPr>
        <w:tabs>
          <w:tab w:pos="2008" w:val="left" w:leader="none"/>
        </w:tabs>
        <w:spacing w:line="125" w:lineRule="exact" w:before="0"/>
        <w:ind w:left="142" w:right="0" w:firstLine="0"/>
        <w:jc w:val="left"/>
        <w:rPr>
          <w:sz w:val="19"/>
        </w:rPr>
      </w:pPr>
      <w:r>
        <w:rPr/>
        <w:pict>
          <v:shape style="position:absolute;margin-left:183.746307pt;margin-top:-4.997378pt;width:8.25pt;height:14.5pt;mso-position-horizontal-relative:page;mso-position-vertical-relative:paragraph;z-index:-731944" type="#_x0000_t202" filled="false" stroked="false">
            <v:textbox inset="0,0,0,0">
              <w:txbxContent>
                <w:p>
                  <w:pPr>
                    <w:spacing w:line="290" w:lineRule="exact" w:before="0"/>
                    <w:ind w:left="0" w:right="0" w:firstLine="0"/>
                    <w:jc w:val="left"/>
                    <w:rPr>
                      <w:sz w:val="29"/>
                    </w:rPr>
                  </w:pPr>
                  <w:r>
                    <w:rPr>
                      <w:color w:val="010101"/>
                      <w:w w:val="100"/>
                      <w:sz w:val="29"/>
                    </w:rPr>
                    <w:t>+</w:t>
                  </w:r>
                </w:p>
              </w:txbxContent>
            </v:textbox>
            <w10:wrap type="none"/>
          </v:shape>
        </w:pict>
      </w:r>
      <w:r>
        <w:rPr>
          <w:i/>
          <w:color w:val="010101"/>
          <w:w w:val="125"/>
          <w:sz w:val="19"/>
        </w:rPr>
        <w:t>N</w:t>
      </w:r>
      <w:r>
        <w:rPr>
          <w:i/>
          <w:color w:val="010101"/>
          <w:spacing w:val="-47"/>
          <w:w w:val="125"/>
          <w:sz w:val="19"/>
        </w:rPr>
        <w:t> </w:t>
      </w:r>
      <w:r>
        <w:rPr>
          <w:i/>
          <w:color w:val="010101"/>
          <w:sz w:val="19"/>
        </w:rPr>
        <w:t>z+l</w:t>
      </w:r>
      <w:r>
        <w:rPr>
          <w:i/>
          <w:color w:val="010101"/>
          <w:spacing w:val="-1"/>
          <w:sz w:val="19"/>
        </w:rPr>
        <w:t> </w:t>
      </w:r>
      <w:r>
        <w:rPr>
          <w:color w:val="010101"/>
          <w:w w:val="260"/>
          <w:sz w:val="19"/>
        </w:rPr>
        <w:t>-</w:t>
      </w:r>
      <w:r>
        <w:rPr>
          <w:color w:val="010101"/>
          <w:spacing w:val="-99"/>
          <w:w w:val="260"/>
          <w:sz w:val="19"/>
        </w:rPr>
        <w:t> </w:t>
      </w:r>
      <w:r>
        <w:rPr>
          <w:i/>
          <w:color w:val="010101"/>
          <w:w w:val="125"/>
          <w:sz w:val="19"/>
        </w:rPr>
        <w:t>N</w:t>
      </w:r>
      <w:r>
        <w:rPr>
          <w:i/>
          <w:color w:val="010101"/>
          <w:spacing w:val="-45"/>
          <w:w w:val="125"/>
          <w:sz w:val="19"/>
        </w:rPr>
        <w:t> </w:t>
      </w:r>
      <w:r>
        <w:rPr>
          <w:i/>
          <w:color w:val="010101"/>
          <w:sz w:val="19"/>
        </w:rPr>
        <w:t>s+n+l</w:t>
        <w:tab/>
      </w:r>
      <w:r>
        <w:rPr>
          <w:color w:val="010101"/>
          <w:w w:val="125"/>
          <w:sz w:val="19"/>
        </w:rPr>
        <w:t>m</w:t>
      </w:r>
    </w:p>
    <w:p>
      <w:pPr>
        <w:spacing w:line="76" w:lineRule="exact" w:before="0"/>
        <w:ind w:left="0" w:right="343" w:firstLine="0"/>
        <w:jc w:val="right"/>
        <w:rPr>
          <w:rFonts w:ascii="Arial"/>
          <w:sz w:val="18"/>
        </w:rPr>
      </w:pPr>
      <w:r>
        <w:rPr>
          <w:rFonts w:ascii="Arial"/>
          <w:color w:val="010101"/>
          <w:w w:val="106"/>
          <w:sz w:val="18"/>
        </w:rPr>
        <w:t>2</w:t>
      </w:r>
    </w:p>
    <w:p>
      <w:pPr>
        <w:pStyle w:val="BodyText"/>
        <w:spacing w:before="9"/>
        <w:rPr>
          <w:rFonts w:ascii="Arial"/>
          <w:sz w:val="18"/>
        </w:rPr>
      </w:pPr>
      <w:r>
        <w:rPr/>
        <w:br w:type="column"/>
      </w:r>
      <w:r>
        <w:rPr>
          <w:rFonts w:ascii="Arial"/>
          <w:sz w:val="18"/>
        </w:rPr>
      </w:r>
    </w:p>
    <w:p>
      <w:pPr>
        <w:spacing w:before="0"/>
        <w:ind w:left="-1" w:right="0" w:firstLine="0"/>
        <w:jc w:val="left"/>
        <w:rPr>
          <w:i/>
          <w:sz w:val="19"/>
        </w:rPr>
      </w:pPr>
      <w:r>
        <w:rPr>
          <w:i/>
          <w:color w:val="010101"/>
          <w:sz w:val="19"/>
        </w:rPr>
        <w:t>( Dz </w:t>
      </w:r>
      <w:r>
        <w:rPr>
          <w:color w:val="010101"/>
          <w:w w:val="260"/>
          <w:sz w:val="19"/>
        </w:rPr>
        <w:t>-</w:t>
      </w:r>
      <w:r>
        <w:rPr>
          <w:color w:val="010101"/>
          <w:spacing w:val="-106"/>
          <w:w w:val="260"/>
          <w:sz w:val="19"/>
        </w:rPr>
        <w:t> </w:t>
      </w:r>
      <w:r>
        <w:rPr>
          <w:i/>
          <w:color w:val="010101"/>
          <w:sz w:val="19"/>
        </w:rPr>
        <w:t>Ds+n )</w:t>
      </w:r>
    </w:p>
    <w:p>
      <w:pPr>
        <w:spacing w:after="0"/>
        <w:jc w:val="left"/>
        <w:rPr>
          <w:sz w:val="19"/>
        </w:rPr>
        <w:sectPr>
          <w:type w:val="continuous"/>
          <w:pgSz w:w="7200" w:h="11340"/>
          <w:pgMar w:top="1100" w:bottom="0" w:left="660" w:right="540"/>
          <w:cols w:num="4" w:equalWidth="0">
            <w:col w:w="659" w:space="276"/>
            <w:col w:w="531" w:space="40"/>
            <w:col w:w="2366" w:space="40"/>
            <w:col w:w="2088"/>
          </w:cols>
        </w:sectPr>
      </w:pPr>
    </w:p>
    <w:p>
      <w:pPr>
        <w:spacing w:line="161" w:lineRule="exact" w:before="0"/>
        <w:ind w:left="970" w:right="0" w:firstLine="0"/>
        <w:jc w:val="left"/>
        <w:rPr>
          <w:rFonts w:ascii="Courier New"/>
          <w:b/>
          <w:sz w:val="22"/>
        </w:rPr>
      </w:pPr>
      <w:r>
        <w:rPr>
          <w:rFonts w:ascii="Courier New"/>
          <w:b/>
          <w:color w:val="010101"/>
          <w:spacing w:val="-21"/>
          <w:w w:val="82"/>
          <w:sz w:val="22"/>
        </w:rPr>
        <w:t>a</w:t>
      </w:r>
      <w:r>
        <w:rPr>
          <w:rFonts w:ascii="Courier New"/>
          <w:b/>
          <w:color w:val="010101"/>
          <w:spacing w:val="-4"/>
          <w:w w:val="61"/>
          <w:sz w:val="22"/>
        </w:rPr>
        <w:t>s</w:t>
      </w:r>
      <w:r>
        <w:rPr>
          <w:rFonts w:ascii="Courier New"/>
          <w:b/>
          <w:color w:val="010101"/>
          <w:spacing w:val="-8"/>
          <w:w w:val="218"/>
          <w:sz w:val="22"/>
        </w:rPr>
        <w:t>:</w:t>
      </w:r>
      <w:r>
        <w:rPr>
          <w:rFonts w:ascii="Courier New"/>
          <w:b/>
          <w:color w:val="010101"/>
          <w:w w:val="60"/>
          <w:sz w:val="22"/>
        </w:rPr>
        <w:t>=:</w:t>
      </w:r>
      <w:r>
        <w:rPr>
          <w:rFonts w:ascii="Courier New"/>
          <w:b/>
          <w:color w:val="010101"/>
          <w:spacing w:val="-69"/>
          <w:sz w:val="22"/>
        </w:rPr>
        <w:t> </w:t>
      </w:r>
      <w:r>
        <w:rPr>
          <w:rFonts w:ascii="Courier New"/>
          <w:b/>
          <w:color w:val="010101"/>
          <w:spacing w:val="-91"/>
          <w:w w:val="230"/>
          <w:sz w:val="22"/>
        </w:rPr>
        <w:t>-</w:t>
      </w:r>
      <w:r>
        <w:rPr>
          <w:rFonts w:ascii="Courier New"/>
          <w:b/>
          <w:color w:val="010101"/>
          <w:spacing w:val="-95"/>
          <w:w w:val="238"/>
          <w:sz w:val="22"/>
        </w:rPr>
        <w:t>------</w:t>
      </w:r>
      <w:r>
        <w:rPr>
          <w:rFonts w:ascii="Courier New"/>
          <w:b/>
          <w:color w:val="010101"/>
          <w:w w:val="96"/>
          <w:sz w:val="22"/>
        </w:rPr>
        <w:t>-</w:t>
      </w:r>
      <w:r>
        <w:rPr>
          <w:rFonts w:ascii="Courier New"/>
          <w:b/>
          <w:color w:val="010101"/>
          <w:spacing w:val="-35"/>
          <w:w w:val="96"/>
          <w:sz w:val="22"/>
        </w:rPr>
        <w:t>-</w:t>
      </w:r>
      <w:r>
        <w:rPr>
          <w:rFonts w:ascii="Courier New"/>
          <w:b/>
          <w:color w:val="010101"/>
          <w:spacing w:val="-95"/>
          <w:w w:val="238"/>
          <w:sz w:val="22"/>
        </w:rPr>
        <w:t>---</w:t>
      </w:r>
      <w:r>
        <w:rPr>
          <w:rFonts w:ascii="Courier New"/>
          <w:b/>
          <w:color w:val="010101"/>
          <w:w w:val="96"/>
          <w:sz w:val="22"/>
        </w:rPr>
        <w:t>-</w:t>
      </w:r>
      <w:r>
        <w:rPr>
          <w:rFonts w:ascii="Courier New"/>
          <w:b/>
          <w:color w:val="010101"/>
          <w:spacing w:val="-35"/>
          <w:w w:val="96"/>
          <w:sz w:val="22"/>
        </w:rPr>
        <w:t>-</w:t>
      </w:r>
      <w:r>
        <w:rPr>
          <w:rFonts w:ascii="Courier New"/>
          <w:b/>
          <w:color w:val="010101"/>
          <w:w w:val="96"/>
          <w:sz w:val="22"/>
        </w:rPr>
        <w:t>-</w:t>
      </w:r>
      <w:r>
        <w:rPr>
          <w:rFonts w:ascii="Courier New"/>
          <w:b/>
          <w:color w:val="010101"/>
          <w:spacing w:val="-35"/>
          <w:w w:val="96"/>
          <w:sz w:val="22"/>
        </w:rPr>
        <w:t>-</w:t>
      </w:r>
      <w:r>
        <w:rPr>
          <w:rFonts w:ascii="Courier New"/>
          <w:b/>
          <w:color w:val="010101"/>
          <w:w w:val="238"/>
          <w:sz w:val="22"/>
        </w:rPr>
        <w:t>-</w:t>
      </w:r>
    </w:p>
    <w:p>
      <w:pPr>
        <w:spacing w:line="175" w:lineRule="exact" w:before="0"/>
        <w:ind w:left="785" w:right="87" w:firstLine="0"/>
        <w:jc w:val="center"/>
        <w:rPr>
          <w:sz w:val="21"/>
        </w:rPr>
      </w:pPr>
      <w:r>
        <w:rPr>
          <w:color w:val="010101"/>
          <w:sz w:val="21"/>
        </w:rPr>
        <w:t>Ds</w:t>
      </w:r>
    </w:p>
    <w:p>
      <w:pPr>
        <w:spacing w:after="0" w:line="175" w:lineRule="exact"/>
        <w:jc w:val="center"/>
        <w:rPr>
          <w:sz w:val="21"/>
        </w:rPr>
        <w:sectPr>
          <w:type w:val="continuous"/>
          <w:pgSz w:w="7200" w:h="11340"/>
          <w:pgMar w:top="1100" w:bottom="0" w:left="660" w:right="540"/>
        </w:sectPr>
      </w:pPr>
    </w:p>
    <w:p>
      <w:pPr>
        <w:tabs>
          <w:tab w:pos="2333" w:val="left" w:leader="none"/>
          <w:tab w:pos="5411" w:val="left" w:leader="none"/>
        </w:tabs>
        <w:spacing w:before="49"/>
        <w:ind w:left="130" w:right="0" w:firstLine="0"/>
        <w:jc w:val="left"/>
        <w:rPr>
          <w:rFonts w:ascii="Arial"/>
          <w:sz w:val="19"/>
        </w:rPr>
      </w:pPr>
      <w:r>
        <w:rPr>
          <w:rFonts w:ascii="Courier New"/>
          <w:b/>
          <w:spacing w:val="-17"/>
          <w:w w:val="115"/>
          <w:sz w:val="22"/>
        </w:rPr>
        <w:t>48</w:t>
        <w:tab/>
      </w:r>
      <w:r>
        <w:rPr>
          <w:rFonts w:ascii="Arial"/>
          <w:b/>
          <w:spacing w:val="-21"/>
          <w:w w:val="165"/>
          <w:sz w:val="20"/>
        </w:rPr>
        <w:t>un</w:t>
      </w:r>
      <w:r>
        <w:rPr>
          <w:rFonts w:ascii="Arial"/>
          <w:b/>
          <w:spacing w:val="-62"/>
          <w:w w:val="165"/>
          <w:sz w:val="20"/>
        </w:rPr>
        <w:t> </w:t>
      </w:r>
      <w:r>
        <w:rPr>
          <w:b/>
          <w:w w:val="115"/>
          <w:sz w:val="15"/>
        </w:rPr>
        <w:t>ANNlJJTIES</w:t>
        <w:tab/>
      </w:r>
      <w:r>
        <w:rPr>
          <w:rFonts w:ascii="Arial"/>
          <w:w w:val="115"/>
          <w:position w:val="1"/>
          <w:sz w:val="19"/>
        </w:rPr>
        <w:t>(cu.</w:t>
      </w:r>
      <w:r>
        <w:rPr>
          <w:rFonts w:ascii="Arial"/>
          <w:spacing w:val="-34"/>
          <w:w w:val="115"/>
          <w:position w:val="1"/>
          <w:sz w:val="19"/>
        </w:rPr>
        <w:t> </w:t>
      </w:r>
      <w:r>
        <w:rPr>
          <w:rFonts w:ascii="Arial"/>
          <w:w w:val="115"/>
          <w:position w:val="1"/>
          <w:sz w:val="19"/>
        </w:rPr>
        <w:t>2</w:t>
      </w:r>
    </w:p>
    <w:p>
      <w:pPr>
        <w:pStyle w:val="BodyText"/>
        <w:spacing w:before="10"/>
        <w:rPr>
          <w:rFonts w:ascii="Arial"/>
          <w:sz w:val="9"/>
        </w:rPr>
      </w:pPr>
    </w:p>
    <w:p>
      <w:pPr>
        <w:spacing w:before="77"/>
        <w:ind w:left="505" w:right="543" w:firstLine="0"/>
        <w:jc w:val="center"/>
        <w:rPr>
          <w:b/>
          <w:i/>
          <w:sz w:val="18"/>
        </w:rPr>
      </w:pPr>
      <w:r>
        <w:rPr>
          <w:rFonts w:ascii="Arial" w:hAnsi="Arial"/>
          <w:b/>
          <w:i/>
          <w:sz w:val="16"/>
        </w:rPr>
        <w:t>A</w:t>
      </w:r>
      <w:r>
        <w:rPr>
          <w:b/>
          <w:i/>
          <w:sz w:val="18"/>
        </w:rPr>
        <w:t>anuitie•-Due</w:t>
      </w:r>
    </w:p>
    <w:p>
      <w:pPr>
        <w:spacing w:line="132" w:lineRule="exact" w:before="105"/>
        <w:ind w:left="1044" w:right="543" w:firstLine="0"/>
        <w:jc w:val="center"/>
        <w:rPr>
          <w:sz w:val="20"/>
        </w:rPr>
      </w:pPr>
      <w:r>
        <w:rPr>
          <w:b/>
          <w:w w:val="110"/>
          <w:position w:val="-11"/>
          <w:sz w:val="22"/>
        </w:rPr>
        <w:t>Ns </w:t>
      </w:r>
      <w:r>
        <w:rPr>
          <w:b/>
          <w:w w:val="205"/>
          <w:position w:val="-11"/>
          <w:sz w:val="22"/>
        </w:rPr>
        <w:t>- </w:t>
      </w:r>
      <w:r>
        <w:rPr>
          <w:rFonts w:ascii="Arial"/>
          <w:i/>
          <w:w w:val="110"/>
          <w:sz w:val="18"/>
        </w:rPr>
        <w:t>m </w:t>
      </w:r>
      <w:r>
        <w:rPr>
          <w:rFonts w:ascii="Arial"/>
          <w:w w:val="270"/>
          <w:sz w:val="18"/>
        </w:rPr>
        <w:t>-</w:t>
      </w:r>
      <w:r>
        <w:rPr>
          <w:rFonts w:ascii="Arial"/>
          <w:spacing w:val="-77"/>
          <w:w w:val="270"/>
          <w:sz w:val="18"/>
        </w:rPr>
        <w:t> </w:t>
      </w:r>
      <w:r>
        <w:rPr>
          <w:w w:val="155"/>
          <w:sz w:val="20"/>
        </w:rPr>
        <w:t>1</w:t>
      </w:r>
    </w:p>
    <w:p>
      <w:pPr>
        <w:spacing w:after="0" w:line="132" w:lineRule="exact"/>
        <w:jc w:val="center"/>
        <w:rPr>
          <w:sz w:val="20"/>
        </w:rPr>
        <w:sectPr>
          <w:pgSz w:w="7200" w:h="11340"/>
          <w:pgMar w:top="500" w:bottom="280" w:left="640" w:right="520"/>
        </w:sectPr>
      </w:pPr>
    </w:p>
    <w:p>
      <w:pPr>
        <w:pStyle w:val="BodyText"/>
        <w:spacing w:before="87"/>
        <w:ind w:left="144" w:right="-19"/>
      </w:pPr>
      <w:r>
        <w:rPr>
          <w:w w:val="110"/>
        </w:rPr>
        <w:t>(2.22)</w:t>
      </w:r>
    </w:p>
    <w:p>
      <w:pPr>
        <w:spacing w:before="120"/>
        <w:ind w:left="144" w:right="-18" w:firstLine="0"/>
        <w:jc w:val="left"/>
        <w:rPr>
          <w:rFonts w:ascii="Arial" w:hAnsi="Arial"/>
          <w:sz w:val="26"/>
        </w:rPr>
      </w:pPr>
      <w:r>
        <w:rPr/>
        <w:br w:type="column"/>
      </w:r>
      <w:r>
        <w:rPr>
          <w:rFonts w:ascii="Arial" w:hAnsi="Arial"/>
          <w:w w:val="88"/>
          <w:sz w:val="26"/>
        </w:rPr>
        <w:t>a</w:t>
      </w:r>
      <w:r>
        <w:rPr>
          <w:rFonts w:ascii="Arial" w:hAnsi="Arial"/>
          <w:spacing w:val="-24"/>
          <w:w w:val="88"/>
          <w:sz w:val="26"/>
        </w:rPr>
        <w:t>!</w:t>
      </w:r>
      <w:r>
        <w:rPr>
          <w:rFonts w:ascii="Arial" w:hAnsi="Arial"/>
          <w:spacing w:val="-43"/>
          <w:w w:val="153"/>
          <w:sz w:val="26"/>
        </w:rPr>
        <w:t>•</w:t>
      </w:r>
      <w:r>
        <w:rPr>
          <w:rFonts w:ascii="Arial" w:hAnsi="Arial"/>
          <w:w w:val="41"/>
          <w:sz w:val="26"/>
        </w:rPr>
        <w:t>&gt;</w:t>
      </w:r>
      <w:r>
        <w:rPr>
          <w:rFonts w:ascii="Arial" w:hAnsi="Arial"/>
          <w:spacing w:val="15"/>
          <w:sz w:val="26"/>
        </w:rPr>
        <w:t> </w:t>
      </w:r>
      <w:r>
        <w:rPr>
          <w:rFonts w:ascii="Arial" w:hAnsi="Arial"/>
          <w:w w:val="76"/>
          <w:sz w:val="26"/>
        </w:rPr>
        <w:t>=:</w:t>
      </w:r>
    </w:p>
    <w:p>
      <w:pPr>
        <w:spacing w:line="196" w:lineRule="exact" w:before="0"/>
        <w:ind w:left="144" w:right="0" w:firstLine="0"/>
        <w:jc w:val="left"/>
        <w:rPr>
          <w:b/>
          <w:sz w:val="22"/>
        </w:rPr>
      </w:pPr>
      <w:r>
        <w:rPr/>
        <w:br w:type="column"/>
      </w:r>
      <w:r>
        <w:rPr>
          <w:b/>
          <w:spacing w:val="-46"/>
          <w:w w:val="445"/>
          <w:sz w:val="22"/>
        </w:rPr>
        <w:t>-</w:t>
      </w:r>
      <w:r>
        <w:rPr>
          <w:b/>
          <w:w w:val="189"/>
          <w:sz w:val="22"/>
        </w:rPr>
        <w:t>-Ds</w:t>
      </w:r>
    </w:p>
    <w:p>
      <w:pPr>
        <w:spacing w:line="183" w:lineRule="exact" w:before="0"/>
        <w:ind w:left="301" w:right="2353" w:firstLine="0"/>
        <w:jc w:val="center"/>
        <w:rPr>
          <w:i/>
          <w:sz w:val="21"/>
        </w:rPr>
      </w:pPr>
      <w:r>
        <w:rPr>
          <w:i/>
          <w:sz w:val="21"/>
          <w:u w:val="single"/>
        </w:rPr>
        <w:t>2m</w:t>
      </w:r>
    </w:p>
    <w:p>
      <w:pPr>
        <w:spacing w:line="223" w:lineRule="exact" w:before="0"/>
        <w:ind w:left="180" w:right="0" w:firstLine="0"/>
        <w:jc w:val="left"/>
        <w:rPr>
          <w:b/>
          <w:i/>
          <w:sz w:val="22"/>
        </w:rPr>
      </w:pPr>
      <w:r>
        <w:rPr>
          <w:b/>
          <w:i/>
          <w:sz w:val="22"/>
        </w:rPr>
        <w:t>Ds</w:t>
      </w:r>
    </w:p>
    <w:p>
      <w:pPr>
        <w:spacing w:line="164" w:lineRule="exact" w:before="112"/>
        <w:ind w:left="209" w:right="0" w:firstLine="0"/>
        <w:jc w:val="left"/>
        <w:rPr>
          <w:rFonts w:ascii="Arial"/>
          <w:sz w:val="19"/>
        </w:rPr>
      </w:pPr>
      <w:r>
        <w:rPr>
          <w:rFonts w:ascii="Arial"/>
          <w:w w:val="135"/>
          <w:sz w:val="19"/>
        </w:rPr>
        <w:t>m </w:t>
      </w:r>
      <w:r>
        <w:rPr>
          <w:rFonts w:ascii="Arial"/>
          <w:w w:val="265"/>
          <w:sz w:val="19"/>
        </w:rPr>
        <w:t>-</w:t>
      </w:r>
      <w:r>
        <w:rPr>
          <w:rFonts w:ascii="Arial"/>
          <w:spacing w:val="-91"/>
          <w:w w:val="265"/>
          <w:sz w:val="19"/>
        </w:rPr>
        <w:t> </w:t>
      </w:r>
      <w:r>
        <w:rPr>
          <w:rFonts w:ascii="Arial"/>
          <w:w w:val="135"/>
          <w:sz w:val="19"/>
        </w:rPr>
        <w:t>1</w:t>
      </w:r>
    </w:p>
    <w:p>
      <w:pPr>
        <w:spacing w:after="0" w:line="164" w:lineRule="exact"/>
        <w:jc w:val="left"/>
        <w:rPr>
          <w:rFonts w:ascii="Arial"/>
          <w:sz w:val="19"/>
        </w:rPr>
        <w:sectPr>
          <w:type w:val="continuous"/>
          <w:pgSz w:w="7200" w:h="11340"/>
          <w:pgMar w:top="1100" w:bottom="0" w:left="640" w:right="520"/>
          <w:cols w:num="3" w:equalWidth="0">
            <w:col w:w="677" w:space="1202"/>
            <w:col w:w="735" w:space="475"/>
            <w:col w:w="2951"/>
          </w:cols>
        </w:sectPr>
      </w:pPr>
    </w:p>
    <w:p>
      <w:pPr>
        <w:pStyle w:val="BodyText"/>
        <w:spacing w:line="213" w:lineRule="exact" w:before="50"/>
        <w:ind w:left="141" w:right="-5"/>
      </w:pPr>
      <w:r>
        <w:rPr>
          <w:spacing w:val="-3"/>
          <w:w w:val="110"/>
        </w:rPr>
        <w:t>(2.23)</w:t>
      </w:r>
    </w:p>
    <w:p>
      <w:pPr>
        <w:spacing w:line="156" w:lineRule="exact" w:before="107"/>
        <w:ind w:left="141" w:right="0" w:firstLine="0"/>
        <w:jc w:val="left"/>
        <w:rPr>
          <w:rFonts w:ascii="Arial" w:hAnsi="Arial"/>
          <w:sz w:val="20"/>
        </w:rPr>
      </w:pPr>
      <w:r>
        <w:rPr/>
        <w:br w:type="column"/>
      </w:r>
      <w:r>
        <w:rPr>
          <w:rFonts w:ascii="Arial" w:hAnsi="Arial"/>
          <w:b/>
          <w:w w:val="170"/>
          <w:sz w:val="11"/>
        </w:rPr>
        <w:t>ñ(•) </w:t>
      </w:r>
      <w:r>
        <w:rPr>
          <w:rFonts w:ascii="Arial" w:hAnsi="Arial"/>
          <w:w w:val="105"/>
          <w:sz w:val="20"/>
        </w:rPr>
        <w:t>=-</w:t>
      </w:r>
    </w:p>
    <w:p>
      <w:pPr>
        <w:tabs>
          <w:tab w:pos="949" w:val="left" w:leader="none"/>
          <w:tab w:pos="1424" w:val="left" w:leader="none"/>
        </w:tabs>
        <w:spacing w:line="263" w:lineRule="exact" w:before="0"/>
        <w:ind w:left="41" w:right="0" w:firstLine="0"/>
        <w:jc w:val="left"/>
        <w:rPr>
          <w:sz w:val="20"/>
        </w:rPr>
      </w:pPr>
      <w:r>
        <w:rPr/>
        <w:br w:type="column"/>
      </w:r>
      <w:r>
        <w:rPr>
          <w:b/>
          <w:i/>
          <w:w w:val="115"/>
          <w:sz w:val="21"/>
        </w:rPr>
        <w:t>N""</w:t>
      </w:r>
      <w:r>
        <w:rPr>
          <w:b/>
          <w:i/>
          <w:spacing w:val="41"/>
          <w:w w:val="115"/>
          <w:sz w:val="21"/>
        </w:rPr>
        <w:t> </w:t>
      </w:r>
      <w:r>
        <w:rPr>
          <w:w w:val="235"/>
          <w:sz w:val="21"/>
        </w:rPr>
        <w:t>-</w:t>
        <w:tab/>
      </w:r>
      <w:r>
        <w:rPr>
          <w:spacing w:val="-8"/>
          <w:w w:val="115"/>
          <w:position w:val="-8"/>
          <w:sz w:val="20"/>
        </w:rPr>
        <w:t>2</w:t>
      </w:r>
      <w:r>
        <w:rPr>
          <w:spacing w:val="-8"/>
          <w:w w:val="115"/>
          <w:sz w:val="20"/>
        </w:rPr>
        <w:t>m</w:t>
        <w:tab/>
      </w:r>
      <w:r>
        <w:rPr>
          <w:w w:val="115"/>
          <w:sz w:val="20"/>
        </w:rPr>
        <w:t>Ds+.</w:t>
      </w:r>
    </w:p>
    <w:p>
      <w:pPr>
        <w:spacing w:after="0" w:line="263" w:lineRule="exact"/>
        <w:jc w:val="left"/>
        <w:rPr>
          <w:sz w:val="20"/>
        </w:rPr>
        <w:sectPr>
          <w:type w:val="continuous"/>
          <w:pgSz w:w="7200" w:h="11340"/>
          <w:pgMar w:top="1100" w:bottom="0" w:left="640" w:right="520"/>
          <w:cols w:num="3" w:equalWidth="0">
            <w:col w:w="670" w:space="1101"/>
            <w:col w:w="715" w:space="40"/>
            <w:col w:w="3514"/>
          </w:cols>
        </w:sectPr>
      </w:pPr>
    </w:p>
    <w:p>
      <w:pPr>
        <w:tabs>
          <w:tab w:pos="2461" w:val="left" w:leader="none"/>
        </w:tabs>
        <w:spacing w:line="163" w:lineRule="exact" w:before="0"/>
        <w:ind w:left="1779" w:right="0" w:firstLine="0"/>
        <w:jc w:val="left"/>
        <w:rPr>
          <w:sz w:val="16"/>
        </w:rPr>
      </w:pPr>
      <w:r>
        <w:rPr>
          <w:b/>
          <w:w w:val="105"/>
          <w:sz w:val="16"/>
        </w:rPr>
        <w:t>•1-..z</w:t>
        <w:tab/>
      </w:r>
      <w:r>
        <w:rPr>
          <w:spacing w:val="-311"/>
          <w:w w:val="555"/>
          <w:sz w:val="16"/>
        </w:rPr>
        <w:t>---</w:t>
      </w:r>
    </w:p>
    <w:p>
      <w:pPr>
        <w:spacing w:line="296" w:lineRule="exact" w:before="0"/>
        <w:ind w:left="266" w:right="0" w:firstLine="0"/>
        <w:jc w:val="left"/>
        <w:rPr>
          <w:sz w:val="16"/>
        </w:rPr>
      </w:pPr>
      <w:r>
        <w:rPr/>
        <w:br w:type="column"/>
      </w:r>
      <w:r>
        <w:rPr>
          <w:b/>
          <w:w w:val="91"/>
          <w:position w:val="-11"/>
          <w:sz w:val="22"/>
        </w:rPr>
        <w:t>D</w:t>
      </w:r>
      <w:r>
        <w:rPr>
          <w:b/>
          <w:w w:val="91"/>
          <w:position w:val="-11"/>
          <w:sz w:val="22"/>
        </w:rPr>
        <w:t>s</w:t>
      </w:r>
      <w:r>
        <w:rPr>
          <w:b/>
          <w:spacing w:val="5"/>
          <w:position w:val="-11"/>
          <w:sz w:val="22"/>
        </w:rPr>
        <w:t> </w:t>
      </w:r>
      <w:r>
        <w:rPr>
          <w:spacing w:val="-318"/>
          <w:w w:val="584"/>
          <w:sz w:val="16"/>
        </w:rPr>
        <w:t>-</w:t>
      </w:r>
      <w:r>
        <w:rPr>
          <w:spacing w:val="-196"/>
          <w:w w:val="584"/>
          <w:sz w:val="16"/>
        </w:rPr>
        <w:t>-</w:t>
      </w:r>
      <w:r>
        <w:rPr>
          <w:w w:val="282"/>
          <w:sz w:val="16"/>
        </w:rPr>
        <w:t>-</w:t>
      </w:r>
    </w:p>
    <w:p>
      <w:pPr>
        <w:spacing w:after="0" w:line="296" w:lineRule="exact"/>
        <w:jc w:val="left"/>
        <w:rPr>
          <w:sz w:val="16"/>
        </w:rPr>
        <w:sectPr>
          <w:type w:val="continuous"/>
          <w:pgSz w:w="7200" w:h="11340"/>
          <w:pgMar w:top="1100" w:bottom="0" w:left="640" w:right="520"/>
          <w:cols w:num="2" w:equalWidth="0">
            <w:col w:w="3047" w:space="40"/>
            <w:col w:w="2953"/>
          </w:cols>
        </w:sectPr>
      </w:pPr>
    </w:p>
    <w:p>
      <w:pPr>
        <w:pStyle w:val="BodyText"/>
        <w:spacing w:before="10"/>
        <w:rPr>
          <w:sz w:val="21"/>
        </w:rPr>
      </w:pPr>
    </w:p>
    <w:p>
      <w:pPr>
        <w:pStyle w:val="BodyText"/>
        <w:spacing w:before="74"/>
        <w:ind w:left="137"/>
      </w:pPr>
      <w:r>
        <w:rPr/>
        <w:drawing>
          <wp:anchor distT="0" distB="0" distL="0" distR="0" allowOverlap="1" layoutInCell="1" locked="0" behindDoc="0" simplePos="0" relativeHeight="4168">
            <wp:simplePos x="0" y="0"/>
            <wp:positionH relativeFrom="page">
              <wp:posOffset>1133855</wp:posOffset>
            </wp:positionH>
            <wp:positionV relativeFrom="paragraph">
              <wp:posOffset>-76759</wp:posOffset>
            </wp:positionV>
            <wp:extent cx="2432304" cy="420624"/>
            <wp:effectExtent l="0" t="0" r="0" b="0"/>
            <wp:wrapNone/>
            <wp:docPr id="81" name="image45.png" descr=""/>
            <wp:cNvGraphicFramePr>
              <a:graphicFrameLocks noChangeAspect="1"/>
            </wp:cNvGraphicFramePr>
            <a:graphic>
              <a:graphicData uri="http://schemas.openxmlformats.org/drawingml/2006/picture">
                <pic:pic>
                  <pic:nvPicPr>
                    <pic:cNvPr id="82" name="image45.png"/>
                    <pic:cNvPicPr/>
                  </pic:nvPicPr>
                  <pic:blipFill>
                    <a:blip r:embed="rId49" cstate="print"/>
                    <a:stretch>
                      <a:fillRect/>
                    </a:stretch>
                  </pic:blipFill>
                  <pic:spPr>
                    <a:xfrm>
                      <a:off x="0" y="0"/>
                      <a:ext cx="2432304" cy="420624"/>
                    </a:xfrm>
                    <a:prstGeom prst="rect">
                      <a:avLst/>
                    </a:prstGeom>
                  </pic:spPr>
                </pic:pic>
              </a:graphicData>
            </a:graphic>
          </wp:anchor>
        </w:drawing>
      </w:r>
      <w:r>
        <w:rPr>
          <w:w w:val="110"/>
        </w:rPr>
        <w:t>(2.24)</w:t>
      </w:r>
    </w:p>
    <w:p>
      <w:pPr>
        <w:pStyle w:val="BodyText"/>
        <w:spacing w:before="5"/>
        <w:rPr>
          <w:sz w:val="29"/>
        </w:rPr>
      </w:pPr>
    </w:p>
    <w:p>
      <w:pPr>
        <w:pStyle w:val="ListParagraph"/>
        <w:numPr>
          <w:ilvl w:val="0"/>
          <w:numId w:val="20"/>
        </w:numPr>
        <w:tabs>
          <w:tab w:pos="347" w:val="left" w:leader="none"/>
        </w:tabs>
        <w:spacing w:line="240" w:lineRule="auto" w:before="74" w:after="0"/>
        <w:ind w:left="346" w:right="0" w:hanging="223"/>
        <w:jc w:val="both"/>
        <w:rPr>
          <w:b/>
          <w:sz w:val="21"/>
        </w:rPr>
      </w:pPr>
      <w:r>
        <w:rPr>
          <w:b/>
          <w:w w:val="125"/>
          <w:sz w:val="19"/>
        </w:rPr>
        <w:t>Continuous</w:t>
      </w:r>
      <w:r>
        <w:rPr>
          <w:b/>
          <w:spacing w:val="-23"/>
          <w:w w:val="125"/>
          <w:sz w:val="19"/>
        </w:rPr>
        <w:t> </w:t>
      </w:r>
      <w:r>
        <w:rPr>
          <w:b/>
          <w:w w:val="125"/>
          <w:sz w:val="19"/>
        </w:rPr>
        <w:t>annuities</w:t>
      </w:r>
    </w:p>
    <w:p>
      <w:pPr>
        <w:pStyle w:val="BodyText"/>
        <w:spacing w:before="84"/>
        <w:ind w:left="123" w:right="169" w:firstLine="198"/>
      </w:pPr>
      <w:r>
        <w:rPr>
          <w:w w:val="105"/>
        </w:rPr>
        <w:t>When the frequency of payment </w:t>
      </w:r>
      <w:r>
        <w:rPr>
          <w:rFonts w:ascii="Arial" w:hAnsi="Arial"/>
          <w:i/>
          <w:w w:val="105"/>
          <w:sz w:val="18"/>
        </w:rPr>
        <w:t>m </w:t>
      </w:r>
      <w:r>
        <w:rPr>
          <w:w w:val="105"/>
        </w:rPr>
        <w:t>becomes infinite, the result­ ing annuity </w:t>
      </w:r>
      <w:r>
        <w:rPr>
          <w:rFonts w:ascii="Arial" w:hAnsi="Arial"/>
          <w:w w:val="105"/>
        </w:rPr>
        <w:t>is </w:t>
      </w:r>
      <w:r>
        <w:rPr>
          <w:w w:val="105"/>
        </w:rPr>
        <w:t>called a </w:t>
      </w:r>
      <w:r>
        <w:rPr>
          <w:i/>
          <w:w w:val="105"/>
          <w:sz w:val="21"/>
        </w:rPr>
        <w:t>continuous </w:t>
      </w:r>
      <w:r>
        <w:rPr>
          <w:w w:val="105"/>
        </w:rPr>
        <w:t>annuity. </w:t>
      </w:r>
      <w:r>
        <w:rPr>
          <w:rFonts w:ascii="Arial" w:hAnsi="Arial"/>
          <w:w w:val="105"/>
        </w:rPr>
        <w:t>W</w:t>
      </w:r>
      <w:r>
        <w:rPr>
          <w:w w:val="105"/>
        </w:rPr>
        <w:t>e define</w:t>
      </w:r>
    </w:p>
    <w:p>
      <w:pPr>
        <w:tabs>
          <w:tab w:pos="1144" w:val="left" w:leader="none"/>
        </w:tabs>
        <w:spacing w:line="309" w:lineRule="exact" w:before="56"/>
        <w:ind w:left="0" w:right="37" w:firstLine="0"/>
        <w:jc w:val="center"/>
        <w:rPr>
          <w:rFonts w:ascii="Arial"/>
          <w:sz w:val="26"/>
        </w:rPr>
      </w:pPr>
      <w:r>
        <w:rPr>
          <w:b/>
          <w:w w:val="95"/>
          <w:sz w:val="18"/>
        </w:rPr>
        <w:t>tls</w:t>
      </w:r>
      <w:r>
        <w:rPr>
          <w:b/>
          <w:spacing w:val="40"/>
          <w:w w:val="95"/>
          <w:sz w:val="18"/>
        </w:rPr>
        <w:t> </w:t>
      </w:r>
      <w:r>
        <w:rPr>
          <w:w w:val="95"/>
          <w:sz w:val="28"/>
        </w:rPr>
        <w:t>= </w:t>
      </w:r>
      <w:r>
        <w:rPr>
          <w:spacing w:val="16"/>
          <w:w w:val="95"/>
          <w:sz w:val="28"/>
        </w:rPr>
        <w:t> </w:t>
      </w:r>
      <w:r>
        <w:rPr>
          <w:b/>
          <w:w w:val="95"/>
          <w:sz w:val="22"/>
        </w:rPr>
        <w:t>lim</w:t>
        <w:tab/>
      </w:r>
      <w:r>
        <w:rPr>
          <w:rFonts w:ascii="Arial"/>
          <w:w w:val="95"/>
          <w:sz w:val="26"/>
        </w:rPr>
        <w:t>-&gt;,</w:t>
      </w:r>
    </w:p>
    <w:p>
      <w:pPr>
        <w:spacing w:line="125" w:lineRule="exact" w:before="0"/>
        <w:ind w:left="558" w:right="543" w:firstLine="0"/>
        <w:jc w:val="center"/>
        <w:rPr>
          <w:b/>
          <w:sz w:val="12"/>
        </w:rPr>
      </w:pPr>
      <w:r>
        <w:rPr>
          <w:b/>
          <w:w w:val="115"/>
          <w:sz w:val="12"/>
        </w:rPr>
        <w:t>•-+ao</w:t>
      </w:r>
    </w:p>
    <w:p>
      <w:pPr>
        <w:pStyle w:val="BodyText"/>
        <w:spacing w:before="3"/>
        <w:rPr>
          <w:b/>
          <w:sz w:val="10"/>
        </w:rPr>
      </w:pPr>
    </w:p>
    <w:p>
      <w:pPr>
        <w:pStyle w:val="BodyText"/>
        <w:spacing w:line="242" w:lineRule="exact" w:before="1"/>
        <w:ind w:left="115" w:right="143" w:firstLine="3"/>
        <w:jc w:val="both"/>
      </w:pPr>
      <w:r>
        <w:rPr>
          <w:w w:val="115"/>
        </w:rPr>
        <w:t>and call </w:t>
      </w:r>
      <w:r>
        <w:rPr>
          <w:w w:val="115"/>
          <w:sz w:val="18"/>
        </w:rPr>
        <w:t>iis </w:t>
      </w:r>
      <w:r>
        <w:rPr>
          <w:w w:val="115"/>
        </w:rPr>
        <w:t>the present value </w:t>
      </w:r>
      <w:r>
        <w:rPr>
          <w:rFonts w:ascii="Arial" w:hAnsi="Arial"/>
          <w:w w:val="115"/>
          <w:sz w:val="18"/>
        </w:rPr>
        <w:t>of a </w:t>
      </w:r>
      <w:r>
        <w:rPr>
          <w:w w:val="115"/>
        </w:rPr>
        <w:t>continuous life annuity </w:t>
      </w:r>
      <w:r>
        <w:rPr>
          <w:rFonts w:ascii="Arial" w:hAnsi="Arial"/>
          <w:w w:val="115"/>
          <w:sz w:val="18"/>
        </w:rPr>
        <w:t>of </w:t>
      </w:r>
      <w:r>
        <w:rPr>
          <w:w w:val="115"/>
          <w:sz w:val="21"/>
        </w:rPr>
        <w:t>1</w:t>
      </w:r>
      <w:r>
        <w:rPr>
          <w:spacing w:val="-42"/>
          <w:w w:val="115"/>
          <w:sz w:val="21"/>
        </w:rPr>
        <w:t> </w:t>
      </w:r>
      <w:r>
        <w:rPr>
          <w:w w:val="115"/>
        </w:rPr>
        <w:t>to </w:t>
      </w:r>
      <w:r>
        <w:rPr>
          <w:rFonts w:ascii="Arial" w:hAnsi="Arial"/>
          <w:i/>
          <w:w w:val="115"/>
          <w:sz w:val="17"/>
        </w:rPr>
        <w:t>(x </w:t>
      </w:r>
      <w:r>
        <w:rPr>
          <w:rFonts w:ascii="Arial" w:hAnsi="Arial"/>
          <w:w w:val="115"/>
          <w:sz w:val="17"/>
        </w:rPr>
        <w:t>). </w:t>
      </w:r>
      <w:r>
        <w:rPr>
          <w:w w:val="115"/>
        </w:rPr>
        <w:t>We may regard the continuous annuity </w:t>
      </w:r>
      <w:r>
        <w:rPr>
          <w:rFonts w:ascii="Arial" w:hAnsi="Arial"/>
          <w:w w:val="115"/>
          <w:sz w:val="17"/>
        </w:rPr>
        <w:t>as </w:t>
      </w:r>
      <w:r>
        <w:rPr>
          <w:w w:val="115"/>
        </w:rPr>
        <w:t>being payable momently</w:t>
      </w:r>
      <w:r>
        <w:rPr>
          <w:spacing w:val="-14"/>
          <w:w w:val="115"/>
        </w:rPr>
        <w:t> </w:t>
      </w:r>
      <w:r>
        <w:rPr>
          <w:w w:val="115"/>
        </w:rPr>
        <w:t>throughout</w:t>
      </w:r>
      <w:r>
        <w:rPr>
          <w:spacing w:val="-12"/>
          <w:w w:val="115"/>
        </w:rPr>
        <w:t> </w:t>
      </w:r>
      <w:r>
        <w:rPr>
          <w:w w:val="115"/>
        </w:rPr>
        <w:t>the</w:t>
      </w:r>
      <w:r>
        <w:rPr>
          <w:spacing w:val="-30"/>
          <w:w w:val="115"/>
        </w:rPr>
        <w:t> </w:t>
      </w:r>
      <w:r>
        <w:rPr>
          <w:w w:val="115"/>
        </w:rPr>
        <w:t>year</w:t>
      </w:r>
      <w:r>
        <w:rPr>
          <w:spacing w:val="-18"/>
          <w:w w:val="115"/>
        </w:rPr>
        <w:t> </w:t>
      </w:r>
      <w:r>
        <w:rPr>
          <w:w w:val="115"/>
        </w:rPr>
        <w:t>in</w:t>
      </w:r>
      <w:r>
        <w:rPr>
          <w:spacing w:val="-24"/>
          <w:w w:val="115"/>
        </w:rPr>
        <w:t> </w:t>
      </w:r>
      <w:r>
        <w:rPr>
          <w:w w:val="115"/>
        </w:rPr>
        <w:t>such</w:t>
      </w:r>
      <w:r>
        <w:rPr>
          <w:spacing w:val="-19"/>
          <w:w w:val="115"/>
        </w:rPr>
        <w:t> </w:t>
      </w:r>
      <w:r>
        <w:rPr>
          <w:rFonts w:ascii="Arial" w:hAnsi="Arial"/>
          <w:w w:val="115"/>
          <w:sz w:val="18"/>
        </w:rPr>
        <w:t>a</w:t>
      </w:r>
      <w:r>
        <w:rPr>
          <w:rFonts w:ascii="Arial" w:hAnsi="Arial"/>
          <w:spacing w:val="-36"/>
          <w:w w:val="115"/>
          <w:sz w:val="18"/>
        </w:rPr>
        <w:t> </w:t>
      </w:r>
      <w:r>
        <w:rPr>
          <w:w w:val="115"/>
        </w:rPr>
        <w:t>way</w:t>
      </w:r>
      <w:r>
        <w:rPr>
          <w:spacing w:val="-18"/>
          <w:w w:val="115"/>
        </w:rPr>
        <w:t> </w:t>
      </w:r>
      <w:r>
        <w:rPr>
          <w:w w:val="115"/>
        </w:rPr>
        <w:t>that</w:t>
      </w:r>
      <w:r>
        <w:rPr>
          <w:spacing w:val="-18"/>
          <w:w w:val="115"/>
        </w:rPr>
        <w:t> </w:t>
      </w:r>
      <w:r>
        <w:rPr>
          <w:w w:val="115"/>
        </w:rPr>
        <w:t>the</w:t>
      </w:r>
      <w:r>
        <w:rPr>
          <w:spacing w:val="-23"/>
          <w:w w:val="115"/>
        </w:rPr>
        <w:t> </w:t>
      </w:r>
      <w:r>
        <w:rPr>
          <w:w w:val="115"/>
        </w:rPr>
        <w:t>total</w:t>
      </w:r>
      <w:r>
        <w:rPr>
          <w:spacing w:val="-19"/>
          <w:w w:val="115"/>
        </w:rPr>
        <w:t> </w:t>
      </w:r>
      <w:r>
        <w:rPr>
          <w:w w:val="115"/>
        </w:rPr>
        <w:t>annual payment</w:t>
      </w:r>
      <w:r>
        <w:rPr>
          <w:spacing w:val="-8"/>
          <w:w w:val="115"/>
        </w:rPr>
        <w:t> </w:t>
      </w:r>
      <w:r>
        <w:rPr>
          <w:w w:val="115"/>
        </w:rPr>
        <w:t>is</w:t>
      </w:r>
      <w:r>
        <w:rPr>
          <w:spacing w:val="-26"/>
          <w:w w:val="115"/>
        </w:rPr>
        <w:t> </w:t>
      </w:r>
      <w:r>
        <w:rPr>
          <w:w w:val="130"/>
          <w:sz w:val="19"/>
        </w:rPr>
        <w:t>l.</w:t>
      </w:r>
      <w:r>
        <w:rPr>
          <w:spacing w:val="-35"/>
          <w:w w:val="130"/>
          <w:sz w:val="19"/>
        </w:rPr>
        <w:t> </w:t>
      </w:r>
      <w:r>
        <w:rPr>
          <w:w w:val="115"/>
        </w:rPr>
        <w:t>This</w:t>
      </w:r>
      <w:r>
        <w:rPr>
          <w:spacing w:val="-25"/>
          <w:w w:val="115"/>
        </w:rPr>
        <w:t> </w:t>
      </w:r>
      <w:r>
        <w:rPr>
          <w:w w:val="115"/>
        </w:rPr>
        <w:t>is</w:t>
      </w:r>
      <w:r>
        <w:rPr>
          <w:spacing w:val="-30"/>
          <w:w w:val="115"/>
        </w:rPr>
        <w:t> </w:t>
      </w:r>
      <w:r>
        <w:rPr>
          <w:w w:val="115"/>
        </w:rPr>
        <w:t>admittedly</w:t>
      </w:r>
      <w:r>
        <w:rPr>
          <w:spacing w:val="-18"/>
          <w:w w:val="115"/>
        </w:rPr>
        <w:t> </w:t>
      </w:r>
      <w:r>
        <w:rPr>
          <w:w w:val="115"/>
        </w:rPr>
        <w:t>an</w:t>
      </w:r>
      <w:r>
        <w:rPr>
          <w:spacing w:val="-21"/>
          <w:w w:val="115"/>
        </w:rPr>
        <w:t> </w:t>
      </w:r>
      <w:r>
        <w:rPr>
          <w:w w:val="115"/>
        </w:rPr>
        <w:t>artificial</w:t>
      </w:r>
      <w:r>
        <w:rPr>
          <w:spacing w:val="-17"/>
          <w:w w:val="115"/>
        </w:rPr>
        <w:t> </w:t>
      </w:r>
      <w:r>
        <w:rPr>
          <w:w w:val="115"/>
        </w:rPr>
        <w:t>concept.</w:t>
      </w:r>
      <w:r>
        <w:rPr>
          <w:spacing w:val="-18"/>
          <w:w w:val="115"/>
        </w:rPr>
        <w:t> </w:t>
      </w:r>
      <w:r>
        <w:rPr>
          <w:w w:val="115"/>
        </w:rPr>
        <w:t>It</w:t>
      </w:r>
      <w:r>
        <w:rPr>
          <w:spacing w:val="-26"/>
          <w:w w:val="115"/>
        </w:rPr>
        <w:t> </w:t>
      </w:r>
      <w:r>
        <w:rPr>
          <w:w w:val="115"/>
        </w:rPr>
        <w:t>has,</w:t>
      </w:r>
      <w:r>
        <w:rPr>
          <w:spacing w:val="-24"/>
          <w:w w:val="115"/>
        </w:rPr>
        <w:t> </w:t>
      </w:r>
      <w:r>
        <w:rPr>
          <w:w w:val="115"/>
        </w:rPr>
        <w:t>how­ </w:t>
      </w:r>
      <w:r>
        <w:rPr>
          <w:w w:val="110"/>
        </w:rPr>
        <w:t>everi</w:t>
      </w:r>
      <w:r>
        <w:rPr>
          <w:spacing w:val="-16"/>
          <w:w w:val="110"/>
        </w:rPr>
        <w:t> </w:t>
      </w:r>
      <w:r>
        <w:rPr>
          <w:w w:val="110"/>
        </w:rPr>
        <w:t>considerable</w:t>
      </w:r>
      <w:r>
        <w:rPr>
          <w:spacing w:val="-13"/>
          <w:w w:val="110"/>
        </w:rPr>
        <w:t> </w:t>
      </w:r>
      <w:r>
        <w:rPr>
          <w:w w:val="110"/>
        </w:rPr>
        <w:t>theoretical</w:t>
      </w:r>
      <w:r>
        <w:rPr>
          <w:spacing w:val="-1"/>
          <w:w w:val="110"/>
        </w:rPr>
        <w:t> </w:t>
      </w:r>
      <w:r>
        <w:rPr>
          <w:w w:val="110"/>
        </w:rPr>
        <w:t>interest,</w:t>
      </w:r>
      <w:r>
        <w:rPr>
          <w:spacing w:val="-10"/>
          <w:w w:val="110"/>
        </w:rPr>
        <w:t> </w:t>
      </w:r>
      <w:r>
        <w:rPr>
          <w:w w:val="110"/>
        </w:rPr>
        <w:t>and</w:t>
      </w:r>
      <w:r>
        <w:rPr>
          <w:spacing w:val="-14"/>
          <w:w w:val="110"/>
        </w:rPr>
        <w:t> </w:t>
      </w:r>
      <w:r>
        <w:rPr>
          <w:w w:val="110"/>
        </w:rPr>
        <w:t>is</w:t>
      </w:r>
      <w:r>
        <w:rPr>
          <w:spacing w:val="-20"/>
          <w:w w:val="110"/>
        </w:rPr>
        <w:t> </w:t>
      </w:r>
      <w:r>
        <w:rPr>
          <w:w w:val="110"/>
        </w:rPr>
        <w:t>useful</w:t>
      </w:r>
      <w:r>
        <w:rPr>
          <w:spacing w:val="-8"/>
          <w:w w:val="110"/>
        </w:rPr>
        <w:t> </w:t>
      </w:r>
      <w:r>
        <w:rPr>
          <w:w w:val="110"/>
        </w:rPr>
        <w:t>in</w:t>
      </w:r>
      <w:r>
        <w:rPr>
          <w:spacing w:val="-14"/>
          <w:w w:val="110"/>
        </w:rPr>
        <w:t> </w:t>
      </w:r>
      <w:r>
        <w:rPr>
          <w:w w:val="110"/>
        </w:rPr>
        <w:t>affording</w:t>
      </w:r>
      <w:r>
        <w:rPr>
          <w:spacing w:val="-15"/>
          <w:w w:val="110"/>
        </w:rPr>
        <w:t> </w:t>
      </w:r>
      <w:r>
        <w:rPr>
          <w:w w:val="110"/>
        </w:rPr>
        <w:t>an </w:t>
      </w:r>
      <w:r>
        <w:rPr>
          <w:w w:val="115"/>
        </w:rPr>
        <w:t>approximation</w:t>
      </w:r>
      <w:r>
        <w:rPr>
          <w:spacing w:val="-22"/>
          <w:w w:val="115"/>
        </w:rPr>
        <w:t> </w:t>
      </w:r>
      <w:r>
        <w:rPr>
          <w:w w:val="115"/>
        </w:rPr>
        <w:t>to</w:t>
      </w:r>
      <w:r>
        <w:rPr>
          <w:spacing w:val="-30"/>
          <w:w w:val="115"/>
        </w:rPr>
        <w:t> </w:t>
      </w:r>
      <w:r>
        <w:rPr>
          <w:w w:val="115"/>
        </w:rPr>
        <w:t>annuities</w:t>
      </w:r>
      <w:r>
        <w:rPr>
          <w:spacing w:val="-26"/>
          <w:w w:val="115"/>
        </w:rPr>
        <w:t> </w:t>
      </w:r>
      <w:r>
        <w:rPr>
          <w:w w:val="115"/>
        </w:rPr>
        <w:t>payable</w:t>
      </w:r>
      <w:r>
        <w:rPr>
          <w:spacing w:val="-23"/>
          <w:w w:val="115"/>
        </w:rPr>
        <w:t> </w:t>
      </w:r>
      <w:r>
        <w:rPr>
          <w:w w:val="115"/>
        </w:rPr>
        <w:t>as</w:t>
      </w:r>
      <w:r>
        <w:rPr>
          <w:spacing w:val="-35"/>
          <w:w w:val="115"/>
        </w:rPr>
        <w:t> </w:t>
      </w:r>
      <w:r>
        <w:rPr>
          <w:w w:val="115"/>
        </w:rPr>
        <w:t>often</w:t>
      </w:r>
      <w:r>
        <w:rPr>
          <w:spacing w:val="-25"/>
          <w:w w:val="115"/>
        </w:rPr>
        <w:t> </w:t>
      </w:r>
      <w:r>
        <w:rPr>
          <w:w w:val="115"/>
        </w:rPr>
        <w:t>as</w:t>
      </w:r>
      <w:r>
        <w:rPr>
          <w:spacing w:val="-35"/>
          <w:w w:val="115"/>
        </w:rPr>
        <w:t> </w:t>
      </w:r>
      <w:r>
        <w:rPr>
          <w:w w:val="115"/>
        </w:rPr>
        <w:t>weekly</w:t>
      </w:r>
      <w:r>
        <w:rPr>
          <w:spacing w:val="-23"/>
          <w:w w:val="115"/>
        </w:rPr>
        <w:t> </w:t>
      </w:r>
      <w:r>
        <w:rPr>
          <w:w w:val="115"/>
        </w:rPr>
        <w:t>or</w:t>
      </w:r>
      <w:r>
        <w:rPr>
          <w:spacing w:val="-33"/>
          <w:w w:val="115"/>
        </w:rPr>
        <w:t> </w:t>
      </w:r>
      <w:r>
        <w:rPr>
          <w:w w:val="115"/>
        </w:rPr>
        <w:t>daily.</w:t>
      </w:r>
    </w:p>
    <w:p>
      <w:pPr>
        <w:spacing w:after="0" w:line="242" w:lineRule="exact"/>
        <w:jc w:val="both"/>
        <w:sectPr>
          <w:type w:val="continuous"/>
          <w:pgSz w:w="7200" w:h="11340"/>
          <w:pgMar w:top="1100" w:bottom="0" w:left="640" w:right="520"/>
        </w:sectPr>
      </w:pPr>
    </w:p>
    <w:p>
      <w:pPr>
        <w:spacing w:line="407" w:lineRule="exact" w:before="0"/>
        <w:ind w:left="314" w:right="0" w:firstLine="0"/>
        <w:jc w:val="left"/>
        <w:rPr>
          <w:sz w:val="21"/>
        </w:rPr>
      </w:pPr>
      <w:r>
        <w:rPr>
          <w:w w:val="103"/>
          <w:sz w:val="20"/>
        </w:rPr>
        <w:t>Since</w:t>
      </w:r>
      <w:r>
        <w:rPr>
          <w:spacing w:val="6"/>
          <w:sz w:val="20"/>
        </w:rPr>
        <w:t> </w:t>
      </w:r>
      <w:r>
        <w:rPr>
          <w:w w:val="68"/>
          <w:sz w:val="30"/>
        </w:rPr>
        <w:t>as</w:t>
      </w:r>
      <w:r>
        <w:rPr>
          <w:spacing w:val="8"/>
          <w:sz w:val="30"/>
        </w:rPr>
        <w:t> </w:t>
      </w:r>
      <w:r>
        <w:rPr>
          <w:spacing w:val="-64"/>
          <w:w w:val="94"/>
          <w:sz w:val="26"/>
        </w:rPr>
        <w:t>=</w:t>
      </w:r>
      <w:r>
        <w:rPr>
          <w:spacing w:val="-418"/>
          <w:w w:val="205"/>
          <w:position w:val="-11"/>
          <w:sz w:val="45"/>
        </w:rPr>
        <w:t>.</w:t>
      </w:r>
      <w:r>
        <w:rPr>
          <w:w w:val="103"/>
          <w:sz w:val="20"/>
        </w:rPr>
        <w:t>l</w:t>
      </w:r>
      <w:r>
        <w:rPr>
          <w:spacing w:val="-29"/>
          <w:w w:val="103"/>
          <w:sz w:val="20"/>
        </w:rPr>
        <w:t>i</w:t>
      </w:r>
      <w:r>
        <w:rPr>
          <w:spacing w:val="-10"/>
          <w:w w:val="34"/>
          <w:position w:val="-11"/>
          <w:sz w:val="45"/>
        </w:rPr>
        <w:t>.</w:t>
      </w:r>
      <w:r>
        <w:rPr>
          <w:spacing w:val="-153"/>
          <w:w w:val="103"/>
          <w:sz w:val="20"/>
        </w:rPr>
        <w:t>m</w:t>
      </w:r>
      <w:r>
        <w:rPr>
          <w:w w:val="34"/>
          <w:position w:val="-11"/>
          <w:sz w:val="45"/>
        </w:rPr>
        <w:t>.</w:t>
      </w:r>
      <w:r>
        <w:rPr>
          <w:spacing w:val="-14"/>
          <w:w w:val="34"/>
          <w:position w:val="-11"/>
          <w:sz w:val="45"/>
        </w:rPr>
        <w:t>.</w:t>
      </w:r>
      <w:r>
        <w:rPr>
          <w:w w:val="72"/>
          <w:position w:val="-11"/>
          <w:sz w:val="21"/>
        </w:rPr>
        <w:t>..,</w:t>
      </w:r>
    </w:p>
    <w:p>
      <w:pPr>
        <w:spacing w:line="240" w:lineRule="exact" w:before="0"/>
        <w:ind w:left="62" w:right="-19" w:firstLine="0"/>
        <w:jc w:val="left"/>
        <w:rPr>
          <w:sz w:val="20"/>
        </w:rPr>
      </w:pPr>
      <w:r>
        <w:rPr/>
        <w:br w:type="column"/>
      </w:r>
      <w:r>
        <w:rPr>
          <w:rFonts w:ascii="Arial" w:hAnsi="Arial"/>
          <w:i/>
          <w:w w:val="102"/>
          <w:sz w:val="24"/>
        </w:rPr>
        <w:t>a;</w:t>
      </w:r>
      <w:r>
        <w:rPr>
          <w:rFonts w:ascii="Arial" w:hAnsi="Arial"/>
          <w:i/>
          <w:spacing w:val="-12"/>
          <w:w w:val="102"/>
          <w:sz w:val="24"/>
        </w:rPr>
        <w:t>•</w:t>
      </w:r>
      <w:r>
        <w:rPr>
          <w:rFonts w:ascii="Arial" w:hAnsi="Arial"/>
          <w:i/>
          <w:w w:val="29"/>
          <w:sz w:val="24"/>
        </w:rPr>
        <w:t>&gt;</w:t>
      </w:r>
      <w:r>
        <w:rPr>
          <w:rFonts w:ascii="Arial" w:hAnsi="Arial"/>
          <w:i/>
          <w:spacing w:val="-41"/>
          <w:sz w:val="24"/>
        </w:rPr>
        <w:t> </w:t>
      </w:r>
      <w:r>
        <w:rPr>
          <w:rFonts w:ascii="Arial" w:hAnsi="Arial"/>
          <w:i/>
          <w:w w:val="76"/>
          <w:sz w:val="24"/>
        </w:rPr>
        <w:t>,</w:t>
      </w:r>
      <w:r>
        <w:rPr>
          <w:rFonts w:ascii="Arial" w:hAnsi="Arial"/>
          <w:i/>
          <w:spacing w:val="-18"/>
          <w:sz w:val="24"/>
        </w:rPr>
        <w:t> </w:t>
      </w:r>
      <w:r>
        <w:rPr>
          <w:w w:val="102"/>
          <w:sz w:val="20"/>
        </w:rPr>
        <w:t>we</w:t>
      </w:r>
      <w:r>
        <w:rPr>
          <w:spacing w:val="12"/>
          <w:sz w:val="20"/>
        </w:rPr>
        <w:t> </w:t>
      </w:r>
      <w:r>
        <w:rPr>
          <w:w w:val="106"/>
          <w:sz w:val="20"/>
        </w:rPr>
        <w:t>may</w:t>
      </w:r>
      <w:r>
        <w:rPr>
          <w:spacing w:val="21"/>
          <w:sz w:val="20"/>
        </w:rPr>
        <w:t> </w:t>
      </w:r>
      <w:r>
        <w:rPr>
          <w:w w:val="106"/>
          <w:sz w:val="20"/>
        </w:rPr>
        <w:t>write</w:t>
      </w:r>
    </w:p>
    <w:p>
      <w:pPr>
        <w:spacing w:line="404" w:lineRule="exact" w:before="195"/>
        <w:ind w:left="321" w:right="-19" w:firstLine="0"/>
        <w:jc w:val="left"/>
        <w:rPr>
          <w:sz w:val="22"/>
        </w:rPr>
      </w:pPr>
      <w:r>
        <w:rPr>
          <w:w w:val="80"/>
          <w:sz w:val="22"/>
        </w:rPr>
        <w:t>&lt;is </w:t>
      </w:r>
      <w:r>
        <w:rPr>
          <w:sz w:val="23"/>
        </w:rPr>
        <w:t>= </w:t>
      </w:r>
      <w:r>
        <w:rPr>
          <w:sz w:val="20"/>
        </w:rPr>
        <w:t>lim </w:t>
      </w:r>
      <w:r>
        <w:rPr>
          <w:w w:val="80"/>
          <w:sz w:val="23"/>
        </w:rPr>
        <w:t>!._ </w:t>
      </w:r>
      <w:r>
        <w:rPr>
          <w:b/>
          <w:sz w:val="38"/>
        </w:rPr>
        <w:t>f, </w:t>
      </w:r>
      <w:r>
        <w:rPr>
          <w:sz w:val="22"/>
        </w:rPr>
        <w:t>,,,,.Es </w:t>
      </w:r>
      <w:r>
        <w:rPr>
          <w:w w:val="120"/>
          <w:sz w:val="22"/>
        </w:rPr>
        <w:t>.</w:t>
      </w:r>
    </w:p>
    <w:p>
      <w:pPr>
        <w:pStyle w:val="ListParagraph"/>
        <w:numPr>
          <w:ilvl w:val="1"/>
          <w:numId w:val="20"/>
        </w:numPr>
        <w:tabs>
          <w:tab w:pos="923" w:val="left" w:leader="none"/>
        </w:tabs>
        <w:spacing w:line="128" w:lineRule="exact" w:before="0" w:after="0"/>
        <w:ind w:left="923" w:right="0" w:hanging="113"/>
        <w:jc w:val="left"/>
        <w:rPr>
          <w:b/>
          <w:sz w:val="12"/>
        </w:rPr>
      </w:pPr>
      <w:r>
        <w:rPr>
          <w:rFonts w:ascii="Arial"/>
          <w:w w:val="120"/>
          <w:sz w:val="10"/>
        </w:rPr>
        <w:t>-+IO  </w:t>
      </w:r>
      <w:r>
        <w:rPr>
          <w:b/>
          <w:w w:val="120"/>
          <w:sz w:val="14"/>
        </w:rPr>
        <w:t>ffl</w:t>
      </w:r>
      <w:r>
        <w:rPr>
          <w:b/>
          <w:spacing w:val="16"/>
          <w:w w:val="120"/>
          <w:sz w:val="14"/>
        </w:rPr>
        <w:t> </w:t>
      </w:r>
      <w:r>
        <w:rPr>
          <w:b/>
          <w:w w:val="135"/>
          <w:sz w:val="12"/>
        </w:rPr>
        <w:t>t-1</w:t>
      </w:r>
    </w:p>
    <w:p>
      <w:pPr>
        <w:spacing w:after="0" w:line="128" w:lineRule="exact"/>
        <w:jc w:val="left"/>
        <w:rPr>
          <w:sz w:val="12"/>
        </w:rPr>
        <w:sectPr>
          <w:type w:val="continuous"/>
          <w:pgSz w:w="7200" w:h="11340"/>
          <w:pgMar w:top="1100" w:bottom="0" w:left="640" w:right="520"/>
          <w:cols w:num="2" w:equalWidth="0">
            <w:col w:w="1688" w:space="40"/>
            <w:col w:w="4312"/>
          </w:cols>
        </w:sectPr>
      </w:pPr>
    </w:p>
    <w:p>
      <w:pPr>
        <w:pStyle w:val="BodyText"/>
        <w:spacing w:before="121"/>
        <w:ind w:right="158"/>
        <w:jc w:val="right"/>
        <w:rPr>
          <w:rFonts w:ascii="Arial"/>
          <w:sz w:val="18"/>
        </w:rPr>
      </w:pPr>
      <w:r>
        <w:rPr>
          <w:w w:val="105"/>
        </w:rPr>
        <w:t>Since  the  right-hand  side  is  equivalent  to  a  definite  integral, </w:t>
      </w:r>
      <w:r>
        <w:rPr>
          <w:rFonts w:ascii="Arial"/>
          <w:w w:val="105"/>
          <w:sz w:val="18"/>
        </w:rPr>
        <w:t>we</w:t>
      </w:r>
    </w:p>
    <w:p>
      <w:pPr>
        <w:pStyle w:val="BodyText"/>
        <w:spacing w:before="11"/>
        <w:ind w:left="108"/>
      </w:pPr>
      <w:r>
        <w:rPr>
          <w:w w:val="110"/>
        </w:rPr>
        <w:t>have</w:t>
      </w:r>
    </w:p>
    <w:p>
      <w:pPr>
        <w:pStyle w:val="BodyText"/>
        <w:spacing w:before="100"/>
        <w:ind w:right="167"/>
        <w:jc w:val="right"/>
      </w:pPr>
      <w:r>
        <w:rPr>
          <w:position w:val="-14"/>
        </w:rPr>
        <w:drawing>
          <wp:inline distT="0" distB="0" distL="0" distR="0">
            <wp:extent cx="886968" cy="283464"/>
            <wp:effectExtent l="0" t="0" r="0" b="0"/>
            <wp:docPr id="83" name="image46.png" descr=""/>
            <wp:cNvGraphicFramePr>
              <a:graphicFrameLocks noChangeAspect="1"/>
            </wp:cNvGraphicFramePr>
            <a:graphic>
              <a:graphicData uri="http://schemas.openxmlformats.org/drawingml/2006/picture">
                <pic:pic>
                  <pic:nvPicPr>
                    <pic:cNvPr id="84" name="image46.png"/>
                    <pic:cNvPicPr/>
                  </pic:nvPicPr>
                  <pic:blipFill>
                    <a:blip r:embed="rId50" cstate="print"/>
                    <a:stretch>
                      <a:fillRect/>
                    </a:stretch>
                  </pic:blipFill>
                  <pic:spPr>
                    <a:xfrm>
                      <a:off x="0" y="0"/>
                      <a:ext cx="886968" cy="283464"/>
                    </a:xfrm>
                    <a:prstGeom prst="rect">
                      <a:avLst/>
                    </a:prstGeom>
                  </pic:spPr>
                </pic:pic>
              </a:graphicData>
            </a:graphic>
          </wp:inline>
        </w:drawing>
      </w:r>
      <w:r>
        <w:rPr>
          <w:position w:val="-14"/>
        </w:rPr>
      </w:r>
      <w:r>
        <w:rPr/>
        <w:t>                               </w:t>
      </w:r>
      <w:r>
        <w:rPr>
          <w:spacing w:val="-1"/>
          <w:w w:val="105"/>
        </w:rPr>
        <w:t>(2.25a)</w:t>
      </w:r>
    </w:p>
    <w:p>
      <w:pPr>
        <w:pStyle w:val="BodyText"/>
        <w:spacing w:before="151"/>
        <w:ind w:left="115"/>
      </w:pPr>
      <w:r>
        <w:rPr>
          <w:w w:val="110"/>
        </w:rPr>
        <w:t>and this may be written in the alternative forms</w:t>
      </w:r>
    </w:p>
    <w:p>
      <w:pPr>
        <w:pStyle w:val="BodyText"/>
        <w:spacing w:before="4"/>
        <w:rPr>
          <w:sz w:val="22"/>
        </w:rPr>
      </w:pPr>
    </w:p>
    <w:p>
      <w:pPr>
        <w:spacing w:before="0"/>
        <w:ind w:left="0" w:right="180" w:firstLine="0"/>
        <w:jc w:val="right"/>
        <w:rPr>
          <w:rFonts w:ascii="Arial"/>
          <w:sz w:val="19"/>
        </w:rPr>
      </w:pPr>
      <w:r>
        <w:rPr/>
        <w:drawing>
          <wp:anchor distT="0" distB="0" distL="0" distR="0" allowOverlap="1" layoutInCell="1" locked="0" behindDoc="0" simplePos="0" relativeHeight="4192">
            <wp:simplePos x="0" y="0"/>
            <wp:positionH relativeFrom="page">
              <wp:posOffset>1764792</wp:posOffset>
            </wp:positionH>
            <wp:positionV relativeFrom="paragraph">
              <wp:posOffset>-76569</wp:posOffset>
            </wp:positionV>
            <wp:extent cx="1078992" cy="658368"/>
            <wp:effectExtent l="0" t="0" r="0" b="0"/>
            <wp:wrapNone/>
            <wp:docPr id="85" name="image47.png" descr=""/>
            <wp:cNvGraphicFramePr>
              <a:graphicFrameLocks noChangeAspect="1"/>
            </wp:cNvGraphicFramePr>
            <a:graphic>
              <a:graphicData uri="http://schemas.openxmlformats.org/drawingml/2006/picture">
                <pic:pic>
                  <pic:nvPicPr>
                    <pic:cNvPr id="86" name="image47.png"/>
                    <pic:cNvPicPr/>
                  </pic:nvPicPr>
                  <pic:blipFill>
                    <a:blip r:embed="rId51" cstate="print"/>
                    <a:stretch>
                      <a:fillRect/>
                    </a:stretch>
                  </pic:blipFill>
                  <pic:spPr>
                    <a:xfrm>
                      <a:off x="0" y="0"/>
                      <a:ext cx="1078992" cy="658368"/>
                    </a:xfrm>
                    <a:prstGeom prst="rect">
                      <a:avLst/>
                    </a:prstGeom>
                  </pic:spPr>
                </pic:pic>
              </a:graphicData>
            </a:graphic>
          </wp:anchor>
        </w:drawing>
      </w:r>
      <w:r>
        <w:rPr>
          <w:rFonts w:ascii="Arial"/>
          <w:w w:val="115"/>
          <w:sz w:val="19"/>
        </w:rPr>
        <w:t>(2.25b)</w:t>
      </w:r>
    </w:p>
    <w:p>
      <w:pPr>
        <w:pStyle w:val="BodyText"/>
        <w:rPr>
          <w:rFonts w:ascii="Arial"/>
          <w:sz w:val="18"/>
        </w:rPr>
      </w:pPr>
    </w:p>
    <w:p>
      <w:pPr>
        <w:pStyle w:val="BodyText"/>
        <w:spacing w:before="6"/>
        <w:rPr>
          <w:rFonts w:ascii="Arial"/>
          <w:sz w:val="14"/>
        </w:rPr>
      </w:pPr>
    </w:p>
    <w:p>
      <w:pPr>
        <w:pStyle w:val="BodyText"/>
        <w:ind w:right="171"/>
        <w:jc w:val="right"/>
      </w:pPr>
      <w:r>
        <w:rPr>
          <w:w w:val="105"/>
        </w:rPr>
        <w:t>(2.25c)</w:t>
      </w:r>
    </w:p>
    <w:p>
      <w:pPr>
        <w:spacing w:after="0"/>
        <w:jc w:val="right"/>
        <w:sectPr>
          <w:type w:val="continuous"/>
          <w:pgSz w:w="7200" w:h="11340"/>
          <w:pgMar w:top="1100" w:bottom="0" w:left="640" w:right="520"/>
        </w:sectPr>
      </w:pPr>
    </w:p>
    <w:p>
      <w:pPr>
        <w:tabs>
          <w:tab w:pos="1954" w:val="left" w:leader="none"/>
          <w:tab w:pos="5894" w:val="right" w:leader="none"/>
        </w:tabs>
        <w:spacing w:before="61"/>
        <w:ind w:left="109" w:right="0" w:firstLine="0"/>
        <w:jc w:val="left"/>
        <w:rPr>
          <w:rFonts w:ascii="Courier New"/>
          <w:sz w:val="22"/>
        </w:rPr>
      </w:pPr>
      <w:r>
        <w:rPr>
          <w:b/>
          <w:color w:val="010101"/>
          <w:sz w:val="15"/>
        </w:rPr>
        <w:t>SEC.</w:t>
      </w:r>
      <w:r>
        <w:rPr>
          <w:b/>
          <w:color w:val="010101"/>
          <w:spacing w:val="28"/>
          <w:sz w:val="15"/>
        </w:rPr>
        <w:t> </w:t>
      </w:r>
      <w:r>
        <w:rPr>
          <w:rFonts w:ascii="Arial"/>
          <w:b/>
          <w:color w:val="010101"/>
          <w:sz w:val="19"/>
        </w:rPr>
        <w:t>4)</w:t>
        <w:tab/>
      </w:r>
      <w:r>
        <w:rPr>
          <w:b/>
          <w:color w:val="010101"/>
          <w:position w:val="1"/>
          <w:sz w:val="15"/>
        </w:rPr>
        <w:t>CONTINUOUS  </w:t>
      </w:r>
      <w:r>
        <w:rPr>
          <w:b/>
          <w:color w:val="010101"/>
          <w:spacing w:val="11"/>
          <w:position w:val="1"/>
          <w:sz w:val="15"/>
        </w:rPr>
        <w:t> </w:t>
      </w:r>
      <w:r>
        <w:rPr>
          <w:b/>
          <w:color w:val="010101"/>
          <w:position w:val="1"/>
          <w:sz w:val="15"/>
        </w:rPr>
        <w:t>ANNUITIES</w:t>
      </w:r>
      <w:r>
        <w:rPr>
          <w:rFonts w:ascii="Courier New"/>
          <w:color w:val="010101"/>
          <w:sz w:val="22"/>
        </w:rPr>
        <w:tab/>
      </w:r>
      <w:r>
        <w:rPr>
          <w:rFonts w:ascii="Courier New"/>
          <w:color w:val="010101"/>
          <w:spacing w:val="-19"/>
          <w:sz w:val="22"/>
        </w:rPr>
        <w:t>49</w:t>
      </w:r>
    </w:p>
    <w:p>
      <w:pPr>
        <w:pStyle w:val="BodyText"/>
        <w:rPr>
          <w:rFonts w:ascii="Courier New"/>
          <w:sz w:val="19"/>
        </w:rPr>
      </w:pPr>
    </w:p>
    <w:p>
      <w:pPr>
        <w:spacing w:line="244" w:lineRule="auto" w:before="1"/>
        <w:ind w:left="113" w:right="143" w:firstLine="7"/>
        <w:jc w:val="both"/>
        <w:rPr>
          <w:sz w:val="19"/>
        </w:rPr>
      </w:pPr>
      <w:r>
        <w:rPr>
          <w:color w:val="010101"/>
          <w:w w:val="110"/>
          <w:sz w:val="21"/>
        </w:rPr>
        <w:t>It </w:t>
      </w:r>
      <w:r>
        <w:rPr>
          <w:color w:val="010101"/>
          <w:w w:val="110"/>
          <w:sz w:val="19"/>
        </w:rPr>
        <w:t>will </w:t>
      </w:r>
      <w:r>
        <w:rPr>
          <w:rFonts w:ascii="Arial"/>
          <w:color w:val="010101"/>
          <w:w w:val="110"/>
          <w:sz w:val="20"/>
        </w:rPr>
        <w:t>be </w:t>
      </w:r>
      <w:r>
        <w:rPr>
          <w:color w:val="010101"/>
          <w:w w:val="110"/>
          <w:sz w:val="19"/>
        </w:rPr>
        <w:t>recalled that the </w:t>
      </w:r>
      <w:r>
        <w:rPr>
          <w:b/>
          <w:color w:val="010101"/>
          <w:w w:val="110"/>
          <w:sz w:val="19"/>
        </w:rPr>
        <w:t>upper </w:t>
      </w:r>
      <w:r>
        <w:rPr>
          <w:color w:val="010101"/>
          <w:w w:val="110"/>
          <w:sz w:val="19"/>
        </w:rPr>
        <w:t>limit of  </w:t>
      </w:r>
      <w:r>
        <w:rPr>
          <w:rFonts w:ascii="Arial"/>
          <w:color w:val="010101"/>
          <w:w w:val="110"/>
          <w:sz w:val="14"/>
        </w:rPr>
        <w:t>co  </w:t>
      </w:r>
      <w:r>
        <w:rPr>
          <w:color w:val="010101"/>
          <w:w w:val="110"/>
          <w:sz w:val="19"/>
        </w:rPr>
        <w:t>is used  to  indicate that the summation extends </w:t>
      </w:r>
      <w:r>
        <w:rPr>
          <w:color w:val="010101"/>
          <w:w w:val="110"/>
          <w:sz w:val="21"/>
        </w:rPr>
        <w:t>to </w:t>
      </w:r>
      <w:r>
        <w:rPr>
          <w:color w:val="010101"/>
          <w:w w:val="110"/>
          <w:sz w:val="19"/>
        </w:rPr>
        <w:t>the end of the life-span. Thus the symbol </w:t>
      </w:r>
      <w:r>
        <w:rPr>
          <w:rFonts w:ascii="Arial"/>
          <w:color w:val="010101"/>
          <w:w w:val="110"/>
          <w:sz w:val="14"/>
        </w:rPr>
        <w:t>oo </w:t>
      </w:r>
      <w:r>
        <w:rPr>
          <w:color w:val="010101"/>
          <w:w w:val="110"/>
          <w:sz w:val="21"/>
        </w:rPr>
        <w:t>is </w:t>
      </w:r>
      <w:r>
        <w:rPr>
          <w:color w:val="010101"/>
          <w:w w:val="110"/>
          <w:sz w:val="19"/>
        </w:rPr>
        <w:t>used as an abbreviation for a more complicated finite expression, and the integrals  in such formulas as  (2.25)  need  not </w:t>
      </w:r>
      <w:r>
        <w:rPr>
          <w:color w:val="010101"/>
          <w:w w:val="110"/>
          <w:sz w:val="21"/>
        </w:rPr>
        <w:t>be </w:t>
      </w:r>
      <w:r>
        <w:rPr>
          <w:color w:val="010101"/>
          <w:w w:val="110"/>
          <w:sz w:val="19"/>
        </w:rPr>
        <w:t>regarded as improper integrals.</w:t>
      </w:r>
    </w:p>
    <w:p>
      <w:pPr>
        <w:spacing w:line="252" w:lineRule="auto" w:before="17"/>
        <w:ind w:left="116" w:right="137" w:firstLine="197"/>
        <w:jc w:val="both"/>
        <w:rPr>
          <w:sz w:val="19"/>
        </w:rPr>
      </w:pPr>
      <w:r>
        <w:rPr>
          <w:color w:val="010101"/>
          <w:w w:val="110"/>
          <w:sz w:val="19"/>
        </w:rPr>
        <w:t>The values of </w:t>
      </w:r>
      <w:r>
        <w:rPr>
          <w:i/>
          <w:color w:val="010101"/>
          <w:sz w:val="17"/>
        </w:rPr>
        <w:t>á:,: </w:t>
      </w:r>
      <w:r>
        <w:rPr>
          <w:color w:val="010101"/>
          <w:w w:val="110"/>
          <w:sz w:val="19"/>
        </w:rPr>
        <w:t>cannot be directly calculated from tlie above formulas unless we are given a survival function which is simple enough </w:t>
      </w:r>
      <w:r>
        <w:rPr>
          <w:color w:val="010101"/>
          <w:w w:val="110"/>
          <w:sz w:val="21"/>
        </w:rPr>
        <w:t>to </w:t>
      </w:r>
      <w:r>
        <w:rPr>
          <w:color w:val="010101"/>
          <w:w w:val="110"/>
          <w:sz w:val="19"/>
        </w:rPr>
        <w:t>permit the integration in  {2.25c) to be carried out. This  is not usually thc case, and an approximate method must be used. The simplest device is </w:t>
      </w:r>
      <w:r>
        <w:rPr>
          <w:color w:val="010101"/>
          <w:w w:val="110"/>
          <w:sz w:val="21"/>
        </w:rPr>
        <w:t>to </w:t>
      </w:r>
      <w:r>
        <w:rPr>
          <w:color w:val="010101"/>
          <w:w w:val="110"/>
          <w:sz w:val="19"/>
        </w:rPr>
        <w:t>let </w:t>
      </w:r>
      <w:r>
        <w:rPr>
          <w:rFonts w:ascii="Arial" w:hAnsi="Arial"/>
          <w:i/>
          <w:color w:val="010101"/>
          <w:w w:val="110"/>
          <w:sz w:val="18"/>
        </w:rPr>
        <w:t>m </w:t>
      </w:r>
      <w:r>
        <w:rPr>
          <w:color w:val="010101"/>
          <w:w w:val="110"/>
          <w:sz w:val="19"/>
        </w:rPr>
        <w:t>become infinite in the formulas al­ </w:t>
      </w:r>
      <w:r>
        <w:rPr>
          <w:color w:val="010101"/>
          <w:w w:val="109"/>
          <w:sz w:val="19"/>
        </w:rPr>
        <w:t>ready  </w:t>
      </w:r>
      <w:r>
        <w:rPr>
          <w:color w:val="010101"/>
          <w:w w:val="107"/>
          <w:sz w:val="19"/>
        </w:rPr>
        <w:t>derived  </w:t>
      </w:r>
      <w:r>
        <w:rPr>
          <w:color w:val="010101"/>
          <w:w w:val="109"/>
          <w:sz w:val="19"/>
        </w:rPr>
        <w:t>for </w:t>
      </w:r>
      <w:r>
        <w:rPr>
          <w:i/>
          <w:color w:val="010101"/>
          <w:spacing w:val="6"/>
          <w:w w:val="91"/>
          <w:sz w:val="19"/>
        </w:rPr>
        <w:t>am&gt;</w:t>
      </w:r>
      <w:r>
        <w:rPr>
          <w:i/>
          <w:color w:val="010101"/>
          <w:w w:val="91"/>
          <w:sz w:val="19"/>
        </w:rPr>
        <w:t> </w:t>
      </w:r>
      <w:r>
        <w:rPr>
          <w:i/>
          <w:color w:val="010101"/>
          <w:w w:val="151"/>
          <w:sz w:val="19"/>
        </w:rPr>
        <w:t>. </w:t>
      </w:r>
      <w:r>
        <w:rPr>
          <w:color w:val="010101"/>
          <w:w w:val="110"/>
          <w:sz w:val="19"/>
        </w:rPr>
        <w:t>From  </w:t>
      </w:r>
      <w:r>
        <w:rPr>
          <w:color w:val="010101"/>
          <w:spacing w:val="-2"/>
          <w:w w:val="110"/>
          <w:sz w:val="19"/>
        </w:rPr>
        <w:t>(2.18)</w:t>
      </w:r>
      <w:r>
        <w:rPr>
          <w:color w:val="010101"/>
          <w:w w:val="110"/>
          <w:sz w:val="19"/>
        </w:rPr>
        <w:t> </w:t>
      </w:r>
      <w:r>
        <w:rPr>
          <w:color w:val="010101"/>
          <w:w w:val="113"/>
          <w:sz w:val="19"/>
        </w:rPr>
        <w:t>and  </w:t>
      </w:r>
      <w:r>
        <w:rPr>
          <w:color w:val="010101"/>
          <w:w w:val="105"/>
          <w:sz w:val="19"/>
        </w:rPr>
        <w:t>(2.19)  </w:t>
      </w:r>
      <w:r>
        <w:rPr>
          <w:color w:val="010101"/>
          <w:w w:val="104"/>
          <w:sz w:val="19"/>
        </w:rPr>
        <w:t>we  </w:t>
      </w:r>
      <w:r>
        <w:rPr>
          <w:color w:val="010101"/>
          <w:w w:val="115"/>
          <w:sz w:val="19"/>
        </w:rPr>
        <w:t>thus</w:t>
      </w:r>
      <w:r>
        <w:rPr>
          <w:color w:val="010101"/>
          <w:spacing w:val="-15"/>
          <w:w w:val="115"/>
          <w:sz w:val="19"/>
        </w:rPr>
        <w:t> </w:t>
      </w:r>
      <w:r>
        <w:rPr>
          <w:color w:val="010101"/>
          <w:w w:val="113"/>
          <w:sz w:val="19"/>
        </w:rPr>
        <w:t>obtain</w:t>
      </w:r>
    </w:p>
    <w:p>
      <w:pPr>
        <w:spacing w:before="137"/>
        <w:ind w:left="0" w:right="156" w:firstLine="0"/>
        <w:jc w:val="right"/>
        <w:rPr>
          <w:sz w:val="19"/>
        </w:rPr>
      </w:pPr>
      <w:r>
        <w:rPr/>
        <w:drawing>
          <wp:anchor distT="0" distB="0" distL="0" distR="0" allowOverlap="1" layoutInCell="1" locked="0" behindDoc="0" simplePos="0" relativeHeight="4216">
            <wp:simplePos x="0" y="0"/>
            <wp:positionH relativeFrom="page">
              <wp:posOffset>1536191</wp:posOffset>
            </wp:positionH>
            <wp:positionV relativeFrom="paragraph">
              <wp:posOffset>95411</wp:posOffset>
            </wp:positionV>
            <wp:extent cx="1572768" cy="137160"/>
            <wp:effectExtent l="0" t="0" r="0" b="0"/>
            <wp:wrapNone/>
            <wp:docPr id="87" name="image48.png" descr=""/>
            <wp:cNvGraphicFramePr>
              <a:graphicFrameLocks noChangeAspect="1"/>
            </wp:cNvGraphicFramePr>
            <a:graphic>
              <a:graphicData uri="http://schemas.openxmlformats.org/drawingml/2006/picture">
                <pic:pic>
                  <pic:nvPicPr>
                    <pic:cNvPr id="88" name="image48.png"/>
                    <pic:cNvPicPr/>
                  </pic:nvPicPr>
                  <pic:blipFill>
                    <a:blip r:embed="rId52" cstate="print"/>
                    <a:stretch>
                      <a:fillRect/>
                    </a:stretch>
                  </pic:blipFill>
                  <pic:spPr>
                    <a:xfrm>
                      <a:off x="0" y="0"/>
                      <a:ext cx="1572768" cy="137160"/>
                    </a:xfrm>
                    <a:prstGeom prst="rect">
                      <a:avLst/>
                    </a:prstGeom>
                  </pic:spPr>
                </pic:pic>
              </a:graphicData>
            </a:graphic>
          </wp:anchor>
        </w:drawing>
      </w:r>
      <w:r>
        <w:rPr>
          <w:color w:val="010101"/>
          <w:sz w:val="19"/>
        </w:rPr>
        <w:t>(2.26 )</w:t>
      </w:r>
    </w:p>
    <w:p>
      <w:pPr>
        <w:spacing w:after="0"/>
        <w:jc w:val="right"/>
        <w:rPr>
          <w:sz w:val="19"/>
        </w:rPr>
        <w:sectPr>
          <w:pgSz w:w="7200" w:h="11340"/>
          <w:pgMar w:top="500" w:bottom="280" w:left="680" w:right="520"/>
        </w:sectPr>
      </w:pPr>
    </w:p>
    <w:p>
      <w:pPr>
        <w:tabs>
          <w:tab w:pos="1739" w:val="left" w:leader="none"/>
        </w:tabs>
        <w:spacing w:before="144"/>
        <w:ind w:left="127" w:right="0" w:firstLine="0"/>
        <w:jc w:val="left"/>
        <w:rPr>
          <w:sz w:val="19"/>
        </w:rPr>
      </w:pPr>
      <w:r>
        <w:rPr>
          <w:color w:val="010101"/>
          <w:w w:val="110"/>
          <w:sz w:val="19"/>
        </w:rPr>
        <w:t>and</w:t>
        <w:tab/>
      </w:r>
      <w:r>
        <w:rPr>
          <w:color w:val="010101"/>
          <w:position w:val="-4"/>
          <w:sz w:val="19"/>
        </w:rPr>
        <w:drawing>
          <wp:inline distT="0" distB="0" distL="0" distR="0">
            <wp:extent cx="722376" cy="128015"/>
            <wp:effectExtent l="0" t="0" r="0" b="0"/>
            <wp:docPr id="89" name="image49.png" descr=""/>
            <wp:cNvGraphicFramePr>
              <a:graphicFrameLocks noChangeAspect="1"/>
            </wp:cNvGraphicFramePr>
            <a:graphic>
              <a:graphicData uri="http://schemas.openxmlformats.org/drawingml/2006/picture">
                <pic:pic>
                  <pic:nvPicPr>
                    <pic:cNvPr id="90" name="image49.png"/>
                    <pic:cNvPicPr/>
                  </pic:nvPicPr>
                  <pic:blipFill>
                    <a:blip r:embed="rId53" cstate="print"/>
                    <a:stretch>
                      <a:fillRect/>
                    </a:stretch>
                  </pic:blipFill>
                  <pic:spPr>
                    <a:xfrm>
                      <a:off x="0" y="0"/>
                      <a:ext cx="722376" cy="128015"/>
                    </a:xfrm>
                    <a:prstGeom prst="rect">
                      <a:avLst/>
                    </a:prstGeom>
                  </pic:spPr>
                </pic:pic>
              </a:graphicData>
            </a:graphic>
          </wp:inline>
        </w:drawing>
      </w:r>
      <w:r>
        <w:rPr>
          <w:color w:val="010101"/>
          <w:position w:val="-4"/>
          <w:sz w:val="19"/>
        </w:rPr>
      </w:r>
    </w:p>
    <w:p>
      <w:pPr>
        <w:spacing w:before="130"/>
        <w:ind w:left="134" w:right="0" w:firstLine="0"/>
        <w:jc w:val="left"/>
        <w:rPr>
          <w:sz w:val="19"/>
        </w:rPr>
      </w:pPr>
      <w:r>
        <w:rPr>
          <w:color w:val="010101"/>
          <w:w w:val="110"/>
          <w:sz w:val="19"/>
        </w:rPr>
        <w:t>formula  (2.27 ) being thc usual  practical approximation.</w:t>
      </w:r>
    </w:p>
    <w:p>
      <w:pPr>
        <w:spacing w:before="148"/>
        <w:ind w:left="127" w:right="-4" w:firstLine="0"/>
        <w:jc w:val="left"/>
        <w:rPr>
          <w:sz w:val="19"/>
        </w:rPr>
      </w:pPr>
      <w:r>
        <w:rPr/>
        <w:br w:type="column"/>
      </w:r>
      <w:r>
        <w:rPr>
          <w:color w:val="010101"/>
          <w:sz w:val="19"/>
        </w:rPr>
        <w:t>(2.27 )</w:t>
      </w:r>
    </w:p>
    <w:p>
      <w:pPr>
        <w:spacing w:after="0"/>
        <w:jc w:val="left"/>
        <w:rPr>
          <w:sz w:val="19"/>
        </w:rPr>
        <w:sectPr>
          <w:type w:val="continuous"/>
          <w:pgSz w:w="7200" w:h="11340"/>
          <w:pgMar w:top="1100" w:bottom="0" w:left="680" w:right="520"/>
          <w:cols w:num="2" w:equalWidth="0">
            <w:col w:w="4971" w:space="244"/>
            <w:col w:w="785"/>
          </w:cols>
        </w:sectPr>
      </w:pPr>
    </w:p>
    <w:p>
      <w:pPr>
        <w:spacing w:line="264" w:lineRule="auto" w:before="26"/>
        <w:ind w:left="134" w:right="0" w:firstLine="193"/>
        <w:jc w:val="left"/>
        <w:rPr>
          <w:sz w:val="19"/>
        </w:rPr>
      </w:pPr>
      <w:r>
        <w:rPr>
          <w:color w:val="010101"/>
          <w:w w:val="110"/>
          <w:sz w:val="19"/>
        </w:rPr>
        <w:t>The calculation of continuous annuities is facilitated by the preparation  of  special commutation  columns. We define</w:t>
      </w:r>
    </w:p>
    <w:p>
      <w:pPr>
        <w:tabs>
          <w:tab w:pos="5331" w:val="left" w:leader="none"/>
        </w:tabs>
        <w:spacing w:line="565" w:lineRule="exact" w:before="0"/>
        <w:ind w:left="2277" w:right="0" w:firstLine="0"/>
        <w:jc w:val="left"/>
        <w:rPr>
          <w:sz w:val="19"/>
        </w:rPr>
      </w:pPr>
      <w:r>
        <w:rPr>
          <w:color w:val="010101"/>
          <w:sz w:val="26"/>
        </w:rPr>
        <w:t>Dz·= </w:t>
      </w:r>
      <w:r>
        <w:rPr>
          <w:rFonts w:ascii="Arial" w:hAnsi="Arial"/>
          <w:color w:val="010101"/>
          <w:sz w:val="60"/>
        </w:rPr>
        <w:t>f</w:t>
      </w:r>
      <w:r>
        <w:rPr>
          <w:rFonts w:ascii="Arial" w:hAnsi="Arial"/>
          <w:color w:val="010101"/>
          <w:spacing w:val="-73"/>
          <w:sz w:val="60"/>
        </w:rPr>
        <w:t> </w:t>
      </w:r>
      <w:r>
        <w:rPr>
          <w:i/>
          <w:color w:val="010101"/>
          <w:sz w:val="17"/>
        </w:rPr>
        <w:t>Dz+t</w:t>
      </w:r>
      <w:r>
        <w:rPr>
          <w:i/>
          <w:color w:val="010101"/>
          <w:spacing w:val="28"/>
          <w:sz w:val="17"/>
        </w:rPr>
        <w:t> </w:t>
      </w:r>
      <w:r>
        <w:rPr>
          <w:i/>
          <w:color w:val="010101"/>
          <w:sz w:val="21"/>
        </w:rPr>
        <w:t>dt</w:t>
        <w:tab/>
      </w:r>
      <w:r>
        <w:rPr>
          <w:color w:val="010101"/>
          <w:spacing w:val="-3"/>
          <w:sz w:val="19"/>
        </w:rPr>
        <w:t>(2.28)</w:t>
      </w:r>
    </w:p>
    <w:p>
      <w:pPr>
        <w:tabs>
          <w:tab w:pos="5245" w:val="left" w:leader="none"/>
        </w:tabs>
        <w:spacing w:before="277"/>
        <w:ind w:left="120" w:right="0" w:firstLine="0"/>
        <w:jc w:val="left"/>
        <w:rPr>
          <w:sz w:val="19"/>
        </w:rPr>
      </w:pPr>
      <w:r>
        <w:rPr/>
        <w:drawing>
          <wp:anchor distT="0" distB="0" distL="0" distR="0" allowOverlap="1" layoutInCell="1" locked="0" behindDoc="1" simplePos="0" relativeHeight="267703631">
            <wp:simplePos x="0" y="0"/>
            <wp:positionH relativeFrom="page">
              <wp:posOffset>1865376</wp:posOffset>
            </wp:positionH>
            <wp:positionV relativeFrom="paragraph">
              <wp:posOffset>104022</wp:posOffset>
            </wp:positionV>
            <wp:extent cx="868680" cy="292608"/>
            <wp:effectExtent l="0" t="0" r="0" b="0"/>
            <wp:wrapNone/>
            <wp:docPr id="91" name="image50.png" descr=""/>
            <wp:cNvGraphicFramePr>
              <a:graphicFrameLocks noChangeAspect="1"/>
            </wp:cNvGraphicFramePr>
            <a:graphic>
              <a:graphicData uri="http://schemas.openxmlformats.org/drawingml/2006/picture">
                <pic:pic>
                  <pic:nvPicPr>
                    <pic:cNvPr id="92" name="image50.png"/>
                    <pic:cNvPicPr/>
                  </pic:nvPicPr>
                  <pic:blipFill>
                    <a:blip r:embed="rId54" cstate="print"/>
                    <a:stretch>
                      <a:fillRect/>
                    </a:stretch>
                  </pic:blipFill>
                  <pic:spPr>
                    <a:xfrm>
                      <a:off x="0" y="0"/>
                      <a:ext cx="868680" cy="292608"/>
                    </a:xfrm>
                    <a:prstGeom prst="rect">
                      <a:avLst/>
                    </a:prstGeom>
                  </pic:spPr>
                </pic:pic>
              </a:graphicData>
            </a:graphic>
          </wp:anchor>
        </w:drawing>
      </w:r>
      <w:r>
        <w:rPr>
          <w:rFonts w:ascii="Courier New"/>
          <w:b/>
          <w:color w:val="010101"/>
          <w:position w:val="1"/>
          <w:sz w:val="21"/>
        </w:rPr>
        <w:t>and</w:t>
        <w:tab/>
      </w:r>
      <w:r>
        <w:rPr>
          <w:color w:val="010101"/>
          <w:sz w:val="19"/>
        </w:rPr>
        <w:t>(2.29a</w:t>
      </w:r>
      <w:r>
        <w:rPr>
          <w:color w:val="010101"/>
          <w:spacing w:val="8"/>
          <w:sz w:val="19"/>
        </w:rPr>
        <w:t> </w:t>
      </w:r>
      <w:r>
        <w:rPr>
          <w:color w:val="010101"/>
          <w:sz w:val="19"/>
        </w:rPr>
        <w:t>)</w:t>
      </w:r>
    </w:p>
    <w:p>
      <w:pPr>
        <w:spacing w:after="0"/>
        <w:jc w:val="left"/>
        <w:rPr>
          <w:sz w:val="19"/>
        </w:rPr>
        <w:sectPr>
          <w:type w:val="continuous"/>
          <w:pgSz w:w="7200" w:h="11340"/>
          <w:pgMar w:top="1100" w:bottom="0" w:left="680" w:right="520"/>
        </w:sectPr>
      </w:pPr>
    </w:p>
    <w:p>
      <w:pPr>
        <w:spacing w:before="105"/>
        <w:ind w:left="131" w:right="-14" w:firstLine="0"/>
        <w:jc w:val="left"/>
        <w:rPr>
          <w:i/>
          <w:sz w:val="22"/>
        </w:rPr>
      </w:pPr>
      <w:r>
        <w:rPr>
          <w:color w:val="010101"/>
          <w:w w:val="116"/>
          <w:sz w:val="22"/>
        </w:rPr>
        <w:t>It</w:t>
      </w:r>
      <w:r>
        <w:rPr>
          <w:color w:val="010101"/>
          <w:sz w:val="22"/>
        </w:rPr>
        <w:t> </w:t>
      </w:r>
      <w:r>
        <w:rPr>
          <w:color w:val="010101"/>
          <w:spacing w:val="-27"/>
          <w:sz w:val="22"/>
        </w:rPr>
        <w:t> </w:t>
      </w:r>
      <w:r>
        <w:rPr>
          <w:color w:val="010101"/>
          <w:w w:val="91"/>
          <w:sz w:val="21"/>
        </w:rPr>
        <w:t>will</w:t>
      </w:r>
      <w:r>
        <w:rPr>
          <w:color w:val="010101"/>
          <w:sz w:val="21"/>
        </w:rPr>
        <w:t> </w:t>
      </w:r>
      <w:r>
        <w:rPr>
          <w:color w:val="010101"/>
          <w:spacing w:val="-14"/>
          <w:sz w:val="21"/>
        </w:rPr>
        <w:t> </w:t>
      </w:r>
      <w:r>
        <w:rPr>
          <w:color w:val="010101"/>
          <w:w w:val="113"/>
          <w:sz w:val="19"/>
        </w:rPr>
        <w:t>then</w:t>
      </w:r>
      <w:r>
        <w:rPr>
          <w:color w:val="010101"/>
          <w:sz w:val="19"/>
        </w:rPr>
        <w:t> </w:t>
      </w:r>
      <w:r>
        <w:rPr>
          <w:color w:val="010101"/>
          <w:spacing w:val="2"/>
          <w:sz w:val="19"/>
        </w:rPr>
        <w:t> </w:t>
      </w:r>
      <w:r>
        <w:rPr>
          <w:rFonts w:ascii="Arial" w:hAnsi="Arial"/>
          <w:color w:val="010101"/>
          <w:w w:val="90"/>
          <w:sz w:val="20"/>
        </w:rPr>
        <w:t>be</w:t>
      </w:r>
      <w:r>
        <w:rPr>
          <w:rFonts w:ascii="Arial" w:hAnsi="Arial"/>
          <w:color w:val="010101"/>
          <w:spacing w:val="11"/>
          <w:sz w:val="20"/>
        </w:rPr>
        <w:t> </w:t>
      </w:r>
      <w:r>
        <w:rPr>
          <w:color w:val="010101"/>
          <w:w w:val="105"/>
          <w:sz w:val="19"/>
        </w:rPr>
        <w:t>scen</w:t>
      </w:r>
      <w:r>
        <w:rPr>
          <w:color w:val="010101"/>
          <w:sz w:val="19"/>
        </w:rPr>
        <w:t> </w:t>
      </w:r>
      <w:r>
        <w:rPr>
          <w:color w:val="010101"/>
          <w:spacing w:val="-8"/>
          <w:sz w:val="19"/>
        </w:rPr>
        <w:t> </w:t>
      </w:r>
      <w:r>
        <w:rPr>
          <w:color w:val="010101"/>
          <w:w w:val="121"/>
          <w:sz w:val="19"/>
        </w:rPr>
        <w:t>that</w:t>
      </w:r>
      <w:r>
        <w:rPr>
          <w:color w:val="010101"/>
          <w:sz w:val="19"/>
        </w:rPr>
        <w:t> </w:t>
      </w:r>
      <w:r>
        <w:rPr>
          <w:color w:val="010101"/>
          <w:spacing w:val="-5"/>
          <w:sz w:val="19"/>
        </w:rPr>
        <w:t> </w:t>
      </w:r>
      <w:r>
        <w:rPr>
          <w:i/>
          <w:color w:val="010101"/>
          <w:w w:val="156"/>
          <w:sz w:val="23"/>
        </w:rPr>
        <w:t>l</w:t>
      </w:r>
      <w:r>
        <w:rPr>
          <w:i/>
          <w:color w:val="010101"/>
          <w:spacing w:val="4"/>
          <w:sz w:val="23"/>
        </w:rPr>
        <w:t> </w:t>
      </w:r>
      <w:r>
        <w:rPr>
          <w:i/>
          <w:color w:val="010101"/>
          <w:w w:val="64"/>
          <w:sz w:val="23"/>
        </w:rPr>
        <w:t>z</w:t>
      </w:r>
      <w:r>
        <w:rPr>
          <w:i/>
          <w:color w:val="010101"/>
          <w:sz w:val="23"/>
        </w:rPr>
        <w:t> </w:t>
      </w:r>
      <w:r>
        <w:rPr>
          <w:i/>
          <w:color w:val="010101"/>
          <w:spacing w:val="-1"/>
          <w:sz w:val="23"/>
        </w:rPr>
        <w:t> </w:t>
      </w:r>
      <w:r>
        <w:rPr>
          <w:color w:val="010101"/>
          <w:w w:val="101"/>
          <w:sz w:val="23"/>
        </w:rPr>
        <w:t>=</w:t>
      </w:r>
      <w:r>
        <w:rPr>
          <w:color w:val="010101"/>
          <w:sz w:val="23"/>
        </w:rPr>
        <w:t> </w:t>
      </w:r>
      <w:r>
        <w:rPr>
          <w:color w:val="010101"/>
          <w:spacing w:val="-18"/>
          <w:sz w:val="23"/>
        </w:rPr>
        <w:t> </w:t>
      </w:r>
      <w:r>
        <w:rPr>
          <w:i/>
          <w:color w:val="010101"/>
          <w:spacing w:val="-25"/>
          <w:w w:val="142"/>
          <w:sz w:val="47"/>
        </w:rPr>
        <w:t>i</w:t>
      </w:r>
      <w:r>
        <w:rPr>
          <w:i/>
          <w:color w:val="010101"/>
          <w:w w:val="23"/>
          <w:sz w:val="47"/>
        </w:rPr>
        <w:t>«i</w:t>
      </w:r>
      <w:r>
        <w:rPr>
          <w:i/>
          <w:color w:val="010101"/>
          <w:spacing w:val="-58"/>
          <w:sz w:val="47"/>
        </w:rPr>
        <w:t> </w:t>
      </w:r>
      <w:r>
        <w:rPr>
          <w:i/>
          <w:color w:val="010101"/>
          <w:w w:val="102"/>
          <w:sz w:val="17"/>
        </w:rPr>
        <w:t>Dz+t</w:t>
      </w:r>
      <w:r>
        <w:rPr>
          <w:i/>
          <w:color w:val="010101"/>
          <w:sz w:val="17"/>
        </w:rPr>
        <w:t> </w:t>
      </w:r>
      <w:r>
        <w:rPr>
          <w:i/>
          <w:color w:val="010101"/>
          <w:spacing w:val="-9"/>
          <w:sz w:val="17"/>
        </w:rPr>
        <w:t> </w:t>
      </w:r>
      <w:r>
        <w:rPr>
          <w:i/>
          <w:color w:val="010101"/>
          <w:w w:val="81"/>
          <w:sz w:val="22"/>
        </w:rPr>
        <w:t>dt</w:t>
      </w:r>
      <w:r>
        <w:rPr>
          <w:i/>
          <w:color w:val="010101"/>
          <w:spacing w:val="-34"/>
          <w:sz w:val="22"/>
        </w:rPr>
        <w:t> </w:t>
      </w:r>
      <w:r>
        <w:rPr>
          <w:i/>
          <w:color w:val="010101"/>
          <w:w w:val="101"/>
          <w:sz w:val="22"/>
        </w:rPr>
        <w:t>,</w:t>
      </w:r>
    </w:p>
    <w:p>
      <w:pPr>
        <w:spacing w:before="62"/>
        <w:ind w:left="127" w:right="-14" w:firstLine="0"/>
        <w:jc w:val="left"/>
        <w:rPr>
          <w:sz w:val="19"/>
        </w:rPr>
      </w:pPr>
      <w:r>
        <w:rPr>
          <w:color w:val="010101"/>
          <w:w w:val="110"/>
          <w:sz w:val="21"/>
        </w:rPr>
        <w:t>so </w:t>
      </w:r>
      <w:r>
        <w:rPr>
          <w:color w:val="010101"/>
          <w:w w:val="110"/>
          <w:sz w:val="19"/>
        </w:rPr>
        <w:t>that we may  write</w:t>
      </w:r>
    </w:p>
    <w:p>
      <w:pPr>
        <w:pStyle w:val="BodyText"/>
        <w:rPr>
          <w:sz w:val="18"/>
        </w:rPr>
      </w:pPr>
      <w:r>
        <w:rPr/>
        <w:br w:type="column"/>
      </w:r>
      <w:r>
        <w:rPr>
          <w:sz w:val="18"/>
        </w:rPr>
      </w:r>
    </w:p>
    <w:p>
      <w:pPr>
        <w:pStyle w:val="BodyText"/>
        <w:spacing w:before="5"/>
        <w:rPr>
          <w:sz w:val="14"/>
        </w:rPr>
      </w:pPr>
    </w:p>
    <w:p>
      <w:pPr>
        <w:spacing w:before="0"/>
        <w:ind w:left="127" w:right="0" w:firstLine="0"/>
        <w:jc w:val="left"/>
        <w:rPr>
          <w:sz w:val="19"/>
        </w:rPr>
      </w:pPr>
      <w:r>
        <w:rPr>
          <w:color w:val="010101"/>
          <w:w w:val="110"/>
          <w:sz w:val="19"/>
        </w:rPr>
        <w:t>(2.29b)</w:t>
      </w:r>
    </w:p>
    <w:p>
      <w:pPr>
        <w:spacing w:after="0"/>
        <w:jc w:val="left"/>
        <w:rPr>
          <w:sz w:val="19"/>
        </w:rPr>
        <w:sectPr>
          <w:type w:val="continuous"/>
          <w:pgSz w:w="7200" w:h="11340"/>
          <w:pgMar w:top="1100" w:bottom="0" w:left="680" w:right="520"/>
          <w:cols w:num="2" w:equalWidth="0">
            <w:col w:w="3913" w:space="1195"/>
            <w:col w:w="892"/>
          </w:cols>
        </w:sectPr>
      </w:pPr>
    </w:p>
    <w:p>
      <w:pPr>
        <w:pStyle w:val="BodyText"/>
        <w:spacing w:before="8"/>
        <w:rPr>
          <w:sz w:val="12"/>
        </w:rPr>
      </w:pPr>
    </w:p>
    <w:p>
      <w:pPr>
        <w:spacing w:before="76"/>
        <w:ind w:left="0" w:right="157" w:firstLine="0"/>
        <w:jc w:val="right"/>
        <w:rPr>
          <w:rFonts w:ascii="Arial"/>
          <w:sz w:val="19"/>
        </w:rPr>
      </w:pPr>
      <w:r>
        <w:rPr/>
        <w:drawing>
          <wp:anchor distT="0" distB="0" distL="0" distR="0" allowOverlap="1" layoutInCell="1" locked="0" behindDoc="0" simplePos="0" relativeHeight="4264">
            <wp:simplePos x="0" y="0"/>
            <wp:positionH relativeFrom="page">
              <wp:posOffset>2057400</wp:posOffset>
            </wp:positionH>
            <wp:positionV relativeFrom="paragraph">
              <wp:posOffset>-31252</wp:posOffset>
            </wp:positionV>
            <wp:extent cx="539495" cy="301751"/>
            <wp:effectExtent l="0" t="0" r="0" b="0"/>
            <wp:wrapNone/>
            <wp:docPr id="93" name="image51.png" descr=""/>
            <wp:cNvGraphicFramePr>
              <a:graphicFrameLocks noChangeAspect="1"/>
            </wp:cNvGraphicFramePr>
            <a:graphic>
              <a:graphicData uri="http://schemas.openxmlformats.org/drawingml/2006/picture">
                <pic:pic>
                  <pic:nvPicPr>
                    <pic:cNvPr id="94" name="image51.png"/>
                    <pic:cNvPicPr/>
                  </pic:nvPicPr>
                  <pic:blipFill>
                    <a:blip r:embed="rId55" cstate="print"/>
                    <a:stretch>
                      <a:fillRect/>
                    </a:stretch>
                  </pic:blipFill>
                  <pic:spPr>
                    <a:xfrm>
                      <a:off x="0" y="0"/>
                      <a:ext cx="539495" cy="301751"/>
                    </a:xfrm>
                    <a:prstGeom prst="rect">
                      <a:avLst/>
                    </a:prstGeom>
                  </pic:spPr>
                </pic:pic>
              </a:graphicData>
            </a:graphic>
          </wp:anchor>
        </w:drawing>
      </w:r>
      <w:r>
        <w:rPr>
          <w:rFonts w:ascii="Arial"/>
          <w:color w:val="010101"/>
          <w:w w:val="105"/>
          <w:sz w:val="19"/>
        </w:rPr>
        <w:t>(2.30)</w:t>
      </w:r>
    </w:p>
    <w:p>
      <w:pPr>
        <w:pStyle w:val="BodyText"/>
        <w:spacing w:before="2"/>
        <w:rPr>
          <w:rFonts w:ascii="Arial"/>
          <w:sz w:val="17"/>
        </w:rPr>
      </w:pPr>
    </w:p>
    <w:p>
      <w:pPr>
        <w:spacing w:line="237" w:lineRule="auto" w:before="0"/>
        <w:ind w:left="120" w:right="123" w:firstLine="204"/>
        <w:jc w:val="both"/>
        <w:rPr>
          <w:sz w:val="19"/>
        </w:rPr>
      </w:pPr>
      <w:r>
        <w:rPr>
          <w:color w:val="010101"/>
          <w:w w:val="105"/>
          <w:sz w:val="19"/>
        </w:rPr>
        <w:t>In computing the </w:t>
      </w:r>
      <w:r>
        <w:rPr>
          <w:color w:val="010101"/>
          <w:spacing w:val="3"/>
          <w:w w:val="105"/>
          <w:sz w:val="19"/>
        </w:rPr>
        <w:t>values </w:t>
      </w:r>
      <w:r>
        <w:rPr>
          <w:color w:val="010101"/>
          <w:w w:val="105"/>
          <w:sz w:val="19"/>
        </w:rPr>
        <w:t>of  </w:t>
      </w:r>
      <w:r>
        <w:rPr>
          <w:i/>
          <w:color w:val="010101"/>
          <w:sz w:val="26"/>
        </w:rPr>
        <w:t>Ds </w:t>
      </w:r>
      <w:r>
        <w:rPr>
          <w:color w:val="010101"/>
          <w:w w:val="105"/>
          <w:sz w:val="19"/>
        </w:rPr>
        <w:t>and </w:t>
      </w:r>
      <w:r>
        <w:rPr>
          <w:i/>
          <w:color w:val="010101"/>
          <w:sz w:val="19"/>
        </w:rPr>
        <w:t>Ñ:,: </w:t>
      </w:r>
      <w:r>
        <w:rPr>
          <w:color w:val="010101"/>
          <w:w w:val="110"/>
          <w:sz w:val="19"/>
        </w:rPr>
        <w:t>, </w:t>
      </w:r>
      <w:r>
        <w:rPr>
          <w:color w:val="010101"/>
          <w:w w:val="105"/>
          <w:sz w:val="19"/>
        </w:rPr>
        <w:t>it  is necessary  to adopt</w:t>
      </w:r>
      <w:r>
        <w:rPr>
          <w:color w:val="010101"/>
          <w:spacing w:val="49"/>
          <w:w w:val="105"/>
          <w:sz w:val="19"/>
        </w:rPr>
        <w:t> </w:t>
      </w:r>
      <w:r>
        <w:rPr>
          <w:color w:val="010101"/>
          <w:w w:val="105"/>
          <w:sz w:val="19"/>
        </w:rPr>
        <w:t>an approximati&lt;m for formula </w:t>
      </w:r>
      <w:r>
        <w:rPr>
          <w:color w:val="010101"/>
          <w:spacing w:val="-3"/>
          <w:w w:val="105"/>
          <w:sz w:val="19"/>
        </w:rPr>
        <w:t>(2.28). </w:t>
      </w:r>
      <w:r>
        <w:rPr>
          <w:color w:val="010101"/>
          <w:w w:val="105"/>
          <w:sz w:val="21"/>
        </w:rPr>
        <w:t>If  </w:t>
      </w:r>
      <w:r>
        <w:rPr>
          <w:color w:val="010101"/>
          <w:w w:val="105"/>
          <w:sz w:val="19"/>
        </w:rPr>
        <w:t>we  assume  that  </w:t>
      </w:r>
      <w:r>
        <w:rPr>
          <w:color w:val="010101"/>
          <w:w w:val="105"/>
          <w:sz w:val="14"/>
        </w:rPr>
        <w:t>Dz+e</w:t>
      </w:r>
      <w:r>
        <w:rPr>
          <w:color w:val="010101"/>
          <w:spacing w:val="36"/>
          <w:w w:val="105"/>
          <w:sz w:val="14"/>
        </w:rPr>
        <w:t> </w:t>
      </w:r>
      <w:r>
        <w:rPr>
          <w:color w:val="010101"/>
          <w:w w:val="105"/>
          <w:sz w:val="19"/>
        </w:rPr>
        <w:t>is  </w:t>
      </w:r>
      <w:r>
        <w:rPr>
          <w:color w:val="010101"/>
          <w:w w:val="105"/>
          <w:sz w:val="20"/>
        </w:rPr>
        <w:t>linear </w:t>
      </w:r>
      <w:r>
        <w:rPr>
          <w:color w:val="010101"/>
          <w:w w:val="105"/>
          <w:sz w:val="19"/>
        </w:rPr>
        <w:t>for </w:t>
      </w:r>
      <w:r>
        <w:rPr>
          <w:color w:val="010101"/>
          <w:sz w:val="20"/>
        </w:rPr>
        <w:t>O      </w:t>
      </w:r>
      <w:r>
        <w:rPr>
          <w:rFonts w:ascii="Arial" w:hAnsi="Arial"/>
          <w:i/>
          <w:color w:val="010101"/>
          <w:w w:val="105"/>
          <w:sz w:val="18"/>
        </w:rPr>
        <w:t>t      </w:t>
      </w:r>
      <w:r>
        <w:rPr>
          <w:color w:val="010101"/>
          <w:w w:val="105"/>
          <w:sz w:val="20"/>
        </w:rPr>
        <w:t>1, </w:t>
      </w:r>
      <w:r>
        <w:rPr>
          <w:color w:val="010101"/>
          <w:w w:val="105"/>
          <w:sz w:val="19"/>
        </w:rPr>
        <w:t>wc</w:t>
      </w:r>
      <w:r>
        <w:rPr>
          <w:color w:val="010101"/>
          <w:spacing w:val="29"/>
          <w:w w:val="105"/>
          <w:sz w:val="19"/>
        </w:rPr>
        <w:t> </w:t>
      </w:r>
      <w:r>
        <w:rPr>
          <w:color w:val="010101"/>
          <w:w w:val="105"/>
          <w:sz w:val="19"/>
        </w:rPr>
        <w:t>ha.ve</w:t>
      </w:r>
    </w:p>
    <w:p>
      <w:pPr>
        <w:spacing w:line="580" w:lineRule="exact" w:before="0"/>
        <w:ind w:left="1333" w:right="0" w:firstLine="0"/>
        <w:jc w:val="left"/>
        <w:rPr>
          <w:b/>
          <w:sz w:val="20"/>
        </w:rPr>
      </w:pPr>
      <w:r>
        <w:rPr>
          <w:rFonts w:ascii="Arial"/>
          <w:b/>
          <w:color w:val="010101"/>
          <w:sz w:val="58"/>
        </w:rPr>
        <w:t>f </w:t>
      </w:r>
      <w:r>
        <w:rPr>
          <w:b/>
          <w:i/>
          <w:color w:val="010101"/>
          <w:sz w:val="16"/>
        </w:rPr>
        <w:t>Dz+i  </w:t>
      </w:r>
      <w:r>
        <w:rPr>
          <w:b/>
          <w:i/>
          <w:color w:val="010101"/>
          <w:sz w:val="21"/>
        </w:rPr>
        <w:t>dt  </w:t>
      </w:r>
      <w:r>
        <w:rPr>
          <w:rFonts w:ascii="Arial"/>
          <w:color w:val="010101"/>
          <w:w w:val="95"/>
          <w:sz w:val="25"/>
        </w:rPr>
        <w:t>=: </w:t>
      </w:r>
      <w:r>
        <w:rPr>
          <w:color w:val="010101"/>
          <w:w w:val="130"/>
          <w:sz w:val="14"/>
        </w:rPr>
        <w:t>Drll/2 </w:t>
      </w:r>
      <w:r>
        <w:rPr>
          <w:color w:val="010101"/>
          <w:w w:val="95"/>
          <w:sz w:val="28"/>
        </w:rPr>
        <w:t>=: </w:t>
      </w:r>
      <w:r>
        <w:rPr>
          <w:b/>
          <w:color w:val="010101"/>
          <w:sz w:val="20"/>
        </w:rPr>
        <w:t>!(Dz </w:t>
      </w:r>
      <w:r>
        <w:rPr>
          <w:rFonts w:ascii="Arial"/>
          <w:color w:val="010101"/>
          <w:sz w:val="31"/>
        </w:rPr>
        <w:t>+ </w:t>
      </w:r>
      <w:r>
        <w:rPr>
          <w:b/>
          <w:color w:val="010101"/>
          <w:sz w:val="20"/>
        </w:rPr>
        <w:t>Dz+i ),</w:t>
      </w:r>
    </w:p>
    <w:p>
      <w:pPr>
        <w:tabs>
          <w:tab w:pos="2012" w:val="left" w:leader="none"/>
        </w:tabs>
        <w:spacing w:before="86"/>
        <w:ind w:left="123" w:right="0" w:firstLine="0"/>
        <w:jc w:val="left"/>
        <w:rPr>
          <w:rFonts w:ascii="Courier New"/>
          <w:sz w:val="22"/>
        </w:rPr>
      </w:pPr>
      <w:r>
        <w:rPr>
          <w:rFonts w:ascii="Courier New"/>
          <w:color w:val="010101"/>
          <w:spacing w:val="-1"/>
          <w:w w:val="75"/>
          <w:sz w:val="22"/>
        </w:rPr>
        <w:t>nnd</w:t>
        <w:tab/>
      </w:r>
      <w:r>
        <w:rPr>
          <w:rFonts w:ascii="Courier New"/>
          <w:color w:val="010101"/>
          <w:position w:val="-7"/>
          <w:sz w:val="22"/>
        </w:rPr>
        <w:drawing>
          <wp:inline distT="0" distB="0" distL="0" distR="0">
            <wp:extent cx="1152144" cy="155447"/>
            <wp:effectExtent l="0" t="0" r="0" b="0"/>
            <wp:docPr id="95" name="image52.png" descr=""/>
            <wp:cNvGraphicFramePr>
              <a:graphicFrameLocks noChangeAspect="1"/>
            </wp:cNvGraphicFramePr>
            <a:graphic>
              <a:graphicData uri="http://schemas.openxmlformats.org/drawingml/2006/picture">
                <pic:pic>
                  <pic:nvPicPr>
                    <pic:cNvPr id="96" name="image52.png"/>
                    <pic:cNvPicPr/>
                  </pic:nvPicPr>
                  <pic:blipFill>
                    <a:blip r:embed="rId56" cstate="print"/>
                    <a:stretch>
                      <a:fillRect/>
                    </a:stretch>
                  </pic:blipFill>
                  <pic:spPr>
                    <a:xfrm>
                      <a:off x="0" y="0"/>
                      <a:ext cx="1152144" cy="155447"/>
                    </a:xfrm>
                    <a:prstGeom prst="rect">
                      <a:avLst/>
                    </a:prstGeom>
                  </pic:spPr>
                </pic:pic>
              </a:graphicData>
            </a:graphic>
          </wp:inline>
        </w:drawing>
      </w:r>
      <w:r>
        <w:rPr>
          <w:rFonts w:ascii="Courier New"/>
          <w:color w:val="010101"/>
          <w:position w:val="-7"/>
          <w:sz w:val="22"/>
        </w:rPr>
      </w:r>
    </w:p>
    <w:p>
      <w:pPr>
        <w:tabs>
          <w:tab w:pos="1319" w:val="left" w:leader="none"/>
        </w:tabs>
        <w:spacing w:line="313" w:lineRule="exact" w:before="50"/>
        <w:ind w:left="113" w:right="0" w:firstLine="0"/>
        <w:jc w:val="left"/>
        <w:rPr>
          <w:sz w:val="21"/>
        </w:rPr>
      </w:pPr>
      <w:r>
        <w:rPr>
          <w:color w:val="010101"/>
          <w:w w:val="114"/>
          <w:sz w:val="19"/>
        </w:rPr>
        <w:t>Then</w:t>
      </w:r>
      <w:r>
        <w:rPr>
          <w:color w:val="010101"/>
          <w:spacing w:val="20"/>
          <w:sz w:val="19"/>
        </w:rPr>
        <w:t> </w:t>
      </w:r>
      <w:r>
        <w:rPr>
          <w:color w:val="010101"/>
          <w:w w:val="83"/>
          <w:sz w:val="21"/>
        </w:rPr>
        <w:t>J</w:t>
      </w:r>
      <w:r>
        <w:rPr>
          <w:color w:val="010101"/>
          <w:w w:val="83"/>
          <w:sz w:val="21"/>
        </w:rPr>
        <w:t>\</w:t>
      </w:r>
      <w:r>
        <w:rPr>
          <w:color w:val="010101"/>
          <w:w w:val="83"/>
          <w:sz w:val="21"/>
        </w:rPr>
        <w:t>'z</w:t>
      </w:r>
      <w:r>
        <w:rPr>
          <w:color w:val="010101"/>
          <w:sz w:val="21"/>
        </w:rPr>
        <w:t> </w:t>
      </w:r>
      <w:r>
        <w:rPr>
          <w:color w:val="010101"/>
          <w:spacing w:val="-13"/>
          <w:sz w:val="21"/>
        </w:rPr>
        <w:t> </w:t>
      </w:r>
      <w:r>
        <w:rPr>
          <w:color w:val="010101"/>
          <w:w w:val="61"/>
          <w:sz w:val="28"/>
        </w:rPr>
        <w:t>=:</w:t>
      </w:r>
      <w:r>
        <w:rPr>
          <w:color w:val="010101"/>
          <w:sz w:val="28"/>
        </w:rPr>
        <w:tab/>
      </w:r>
      <w:r>
        <w:rPr>
          <w:color w:val="010101"/>
          <w:w w:val="92"/>
          <w:sz w:val="21"/>
        </w:rPr>
        <w:t>(</w:t>
      </w:r>
      <w:r>
        <w:rPr>
          <w:color w:val="010101"/>
          <w:w w:val="92"/>
          <w:sz w:val="21"/>
        </w:rPr>
        <w:t>Nz</w:t>
      </w:r>
      <w:r>
        <w:rPr>
          <w:color w:val="010101"/>
          <w:spacing w:val="24"/>
          <w:sz w:val="21"/>
        </w:rPr>
        <w:t> </w:t>
      </w:r>
      <w:r>
        <w:rPr>
          <w:color w:val="010101"/>
          <w:w w:val="104"/>
          <w:sz w:val="28"/>
        </w:rPr>
        <w:t>+</w:t>
      </w:r>
      <w:r>
        <w:rPr>
          <w:color w:val="010101"/>
          <w:spacing w:val="12"/>
          <w:sz w:val="28"/>
        </w:rPr>
        <w:t> </w:t>
      </w:r>
      <w:r>
        <w:rPr>
          <w:color w:val="010101"/>
          <w:w w:val="95"/>
          <w:sz w:val="21"/>
        </w:rPr>
        <w:t>Nz+d</w:t>
      </w:r>
      <w:r>
        <w:rPr>
          <w:color w:val="010101"/>
          <w:sz w:val="21"/>
        </w:rPr>
        <w:t> </w:t>
      </w:r>
      <w:r>
        <w:rPr>
          <w:color w:val="010101"/>
          <w:spacing w:val="23"/>
          <w:sz w:val="21"/>
        </w:rPr>
        <w:t> </w:t>
      </w:r>
      <w:r>
        <w:rPr>
          <w:color w:val="010101"/>
          <w:w w:val="94"/>
          <w:sz w:val="24"/>
        </w:rPr>
        <w:t>=</w:t>
      </w:r>
      <w:r>
        <w:rPr>
          <w:color w:val="010101"/>
          <w:sz w:val="24"/>
        </w:rPr>
        <w:t> </w:t>
      </w:r>
      <w:r>
        <w:rPr>
          <w:color w:val="010101"/>
          <w:spacing w:val="-16"/>
          <w:sz w:val="24"/>
        </w:rPr>
        <w:t> </w:t>
      </w:r>
      <w:r>
        <w:rPr>
          <w:i/>
          <w:color w:val="010101"/>
          <w:w w:val="93"/>
          <w:sz w:val="20"/>
        </w:rPr>
        <w:t>N</w:t>
      </w:r>
      <w:r>
        <w:rPr>
          <w:i/>
          <w:color w:val="010101"/>
          <w:spacing w:val="-14"/>
          <w:sz w:val="20"/>
        </w:rPr>
        <w:t> </w:t>
      </w:r>
      <w:r>
        <w:rPr>
          <w:i/>
          <w:color w:val="010101"/>
          <w:w w:val="65"/>
          <w:sz w:val="20"/>
        </w:rPr>
        <w:t>z</w:t>
      </w:r>
      <w:r>
        <w:rPr>
          <w:i/>
          <w:color w:val="010101"/>
          <w:sz w:val="20"/>
        </w:rPr>
        <w:t> </w:t>
      </w:r>
      <w:r>
        <w:rPr>
          <w:i/>
          <w:color w:val="010101"/>
          <w:spacing w:val="-5"/>
          <w:sz w:val="20"/>
        </w:rPr>
        <w:t> </w:t>
      </w:r>
      <w:r>
        <w:rPr>
          <w:color w:val="010101"/>
          <w:spacing w:val="-23"/>
          <w:w w:val="274"/>
          <w:sz w:val="20"/>
        </w:rPr>
        <w:t>-</w:t>
      </w:r>
      <w:r>
        <w:rPr>
          <w:color w:val="010101"/>
          <w:spacing w:val="-188"/>
          <w:w w:val="277"/>
          <w:sz w:val="21"/>
        </w:rPr>
        <w:t>!</w:t>
      </w:r>
      <w:r>
        <w:rPr>
          <w:color w:val="010101"/>
          <w:w w:val="86"/>
          <w:sz w:val="21"/>
        </w:rPr>
        <w:t>Dz</w:t>
      </w:r>
      <w:r>
        <w:rPr>
          <w:color w:val="010101"/>
          <w:sz w:val="21"/>
        </w:rPr>
        <w:t> </w:t>
      </w:r>
      <w:r>
        <w:rPr>
          <w:color w:val="010101"/>
          <w:spacing w:val="-13"/>
          <w:sz w:val="21"/>
        </w:rPr>
        <w:t> </w:t>
      </w:r>
      <w:r>
        <w:rPr>
          <w:color w:val="010101"/>
          <w:w w:val="89"/>
          <w:sz w:val="26"/>
        </w:rPr>
        <w:t>=</w:t>
      </w:r>
      <w:r>
        <w:rPr>
          <w:color w:val="010101"/>
          <w:sz w:val="26"/>
        </w:rPr>
        <w:t> </w:t>
      </w:r>
      <w:r>
        <w:rPr>
          <w:color w:val="010101"/>
          <w:spacing w:val="-29"/>
          <w:sz w:val="26"/>
        </w:rPr>
        <w:t> </w:t>
      </w:r>
      <w:r>
        <w:rPr>
          <w:color w:val="010101"/>
          <w:w w:val="82"/>
          <w:sz w:val="21"/>
        </w:rPr>
        <w:t>Nz+1</w:t>
      </w:r>
      <w:r>
        <w:rPr>
          <w:color w:val="010101"/>
          <w:sz w:val="21"/>
        </w:rPr>
        <w:t> </w:t>
      </w:r>
      <w:r>
        <w:rPr>
          <w:color w:val="010101"/>
          <w:spacing w:val="-24"/>
          <w:sz w:val="21"/>
        </w:rPr>
        <w:t> </w:t>
      </w:r>
      <w:r>
        <w:rPr>
          <w:color w:val="010101"/>
          <w:spacing w:val="-78"/>
          <w:w w:val="102"/>
          <w:sz w:val="28"/>
        </w:rPr>
        <w:t>+</w:t>
      </w:r>
      <w:r>
        <w:rPr>
          <w:color w:val="010101"/>
          <w:spacing w:val="-287"/>
          <w:w w:val="308"/>
          <w:sz w:val="21"/>
        </w:rPr>
        <w:t>!</w:t>
      </w:r>
      <w:r>
        <w:rPr>
          <w:color w:val="010101"/>
          <w:w w:val="94"/>
          <w:sz w:val="21"/>
        </w:rPr>
        <w:t>Ds</w:t>
      </w:r>
      <w:r>
        <w:rPr>
          <w:color w:val="010101"/>
          <w:spacing w:val="2"/>
          <w:sz w:val="21"/>
        </w:rPr>
        <w:t> </w:t>
      </w:r>
      <w:r>
        <w:rPr>
          <w:color w:val="010101"/>
          <w:w w:val="156"/>
          <w:sz w:val="21"/>
        </w:rPr>
        <w:t>.</w:t>
      </w:r>
    </w:p>
    <w:p>
      <w:pPr>
        <w:spacing w:line="249" w:lineRule="auto" w:before="0"/>
        <w:ind w:left="123" w:right="0" w:hanging="4"/>
        <w:jc w:val="left"/>
        <w:rPr>
          <w:sz w:val="19"/>
        </w:rPr>
      </w:pPr>
      <w:r>
        <w:rPr>
          <w:color w:val="010101"/>
          <w:w w:val="105"/>
          <w:sz w:val="19"/>
        </w:rPr>
        <w:t>This assumption proclu&lt;·C8 valucs of </w:t>
      </w:r>
      <w:r>
        <w:rPr>
          <w:color w:val="010101"/>
          <w:w w:val="105"/>
          <w:sz w:val="16"/>
        </w:rPr>
        <w:t>dz </w:t>
      </w:r>
      <w:r>
        <w:rPr>
          <w:color w:val="010101"/>
          <w:w w:val="105"/>
          <w:sz w:val="19"/>
        </w:rPr>
        <w:t>which are ronsistent with formula   (2.27 ).</w:t>
      </w:r>
    </w:p>
    <w:p>
      <w:pPr>
        <w:spacing w:after="0" w:line="249" w:lineRule="auto"/>
        <w:jc w:val="left"/>
        <w:rPr>
          <w:sz w:val="19"/>
        </w:rPr>
        <w:sectPr>
          <w:type w:val="continuous"/>
          <w:pgSz w:w="7200" w:h="11340"/>
          <w:pgMar w:top="1100" w:bottom="0" w:left="680" w:right="520"/>
        </w:sectPr>
      </w:pPr>
    </w:p>
    <w:p>
      <w:pPr>
        <w:tabs>
          <w:tab w:pos="5363" w:val="left" w:leader="none"/>
        </w:tabs>
        <w:spacing w:before="46"/>
        <w:ind w:left="134" w:right="0" w:firstLine="0"/>
        <w:jc w:val="left"/>
        <w:rPr>
          <w:rFonts w:ascii="Arial"/>
          <w:sz w:val="19"/>
        </w:rPr>
      </w:pPr>
      <w:r>
        <w:rPr/>
        <w:drawing>
          <wp:anchor distT="0" distB="0" distL="0" distR="0" allowOverlap="1" layoutInCell="1" locked="0" behindDoc="1" simplePos="0" relativeHeight="267703703">
            <wp:simplePos x="0" y="0"/>
            <wp:positionH relativeFrom="page">
              <wp:posOffset>1892807</wp:posOffset>
            </wp:positionH>
            <wp:positionV relativeFrom="paragraph">
              <wp:posOffset>81134</wp:posOffset>
            </wp:positionV>
            <wp:extent cx="877824" cy="91440"/>
            <wp:effectExtent l="0" t="0" r="0" b="0"/>
            <wp:wrapNone/>
            <wp:docPr id="97" name="image53.png" descr=""/>
            <wp:cNvGraphicFramePr>
              <a:graphicFrameLocks noChangeAspect="1"/>
            </wp:cNvGraphicFramePr>
            <a:graphic>
              <a:graphicData uri="http://schemas.openxmlformats.org/drawingml/2006/picture">
                <pic:pic>
                  <pic:nvPicPr>
                    <pic:cNvPr id="98" name="image53.png"/>
                    <pic:cNvPicPr/>
                  </pic:nvPicPr>
                  <pic:blipFill>
                    <a:blip r:embed="rId57" cstate="print"/>
                    <a:stretch>
                      <a:fillRect/>
                    </a:stretch>
                  </pic:blipFill>
                  <pic:spPr>
                    <a:xfrm>
                      <a:off x="0" y="0"/>
                      <a:ext cx="877824" cy="91440"/>
                    </a:xfrm>
                    <a:prstGeom prst="rect">
                      <a:avLst/>
                    </a:prstGeom>
                  </pic:spPr>
                </pic:pic>
              </a:graphicData>
            </a:graphic>
          </wp:anchor>
        </w:drawing>
      </w:r>
      <w:r>
        <w:rPr>
          <w:rFonts w:ascii="Arial"/>
          <w:color w:val="010101"/>
          <w:sz w:val="19"/>
        </w:rPr>
        <w:t>50</w:t>
        <w:tab/>
      </w:r>
      <w:r>
        <w:rPr>
          <w:color w:val="010101"/>
          <w:spacing w:val="-10"/>
          <w:position w:val="1"/>
          <w:sz w:val="21"/>
        </w:rPr>
        <w:t>[CH.</w:t>
      </w:r>
      <w:r>
        <w:rPr>
          <w:color w:val="010101"/>
          <w:spacing w:val="-24"/>
          <w:position w:val="1"/>
          <w:sz w:val="21"/>
        </w:rPr>
        <w:t> </w:t>
      </w:r>
      <w:r>
        <w:rPr>
          <w:rFonts w:ascii="Arial"/>
          <w:color w:val="010101"/>
          <w:position w:val="1"/>
          <w:sz w:val="19"/>
        </w:rPr>
        <w:t>2</w:t>
      </w:r>
    </w:p>
    <w:p>
      <w:pPr>
        <w:pStyle w:val="BodyText"/>
        <w:spacing w:before="11"/>
        <w:rPr>
          <w:rFonts w:ascii="Arial"/>
          <w:sz w:val="19"/>
        </w:rPr>
      </w:pPr>
    </w:p>
    <w:p>
      <w:pPr>
        <w:pStyle w:val="BodyText"/>
        <w:spacing w:line="240" w:lineRule="atLeast"/>
        <w:ind w:left="137" w:right="206" w:firstLine="193"/>
      </w:pPr>
      <w:r>
        <w:rPr>
          <w:color w:val="010101"/>
          <w:w w:val="105"/>
        </w:rPr>
        <w:t>The various types of continuous annuity can now  be expressed  in both  integral  and  commutation</w:t>
      </w:r>
      <w:r>
        <w:rPr>
          <w:color w:val="010101"/>
          <w:spacing w:val="5"/>
          <w:w w:val="105"/>
        </w:rPr>
        <w:t> </w:t>
      </w:r>
      <w:r>
        <w:rPr>
          <w:color w:val="010101"/>
          <w:w w:val="105"/>
        </w:rPr>
        <w:t>fonn:</w:t>
      </w:r>
    </w:p>
    <w:p>
      <w:pPr>
        <w:spacing w:after="0" w:line="240" w:lineRule="atLeast"/>
        <w:sectPr>
          <w:pgSz w:w="7200" w:h="11340"/>
          <w:pgMar w:top="520" w:bottom="280" w:left="660" w:right="560"/>
        </w:sectPr>
      </w:pPr>
    </w:p>
    <w:p>
      <w:pPr>
        <w:spacing w:line="704" w:lineRule="exact" w:before="0"/>
        <w:ind w:left="1700" w:right="-15" w:firstLine="0"/>
        <w:jc w:val="left"/>
        <w:rPr>
          <w:i/>
          <w:sz w:val="19"/>
        </w:rPr>
      </w:pPr>
      <w:r>
        <w:rPr/>
        <w:pict>
          <v:shape style="position:absolute;margin-left:142.891205pt;margin-top:35.199417pt;width:67.45pt;height:27pt;mso-position-horizontal-relative:page;mso-position-vertical-relative:paragraph;z-index:-731632" type="#_x0000_t202" filled="false" stroked="false">
            <v:textbox inset="0,0,0,0">
              <w:txbxContent>
                <w:p>
                  <w:pPr>
                    <w:tabs>
                      <w:tab w:pos="733" w:val="left" w:leader="none"/>
                      <w:tab w:pos="1212" w:val="left" w:leader="none"/>
                    </w:tabs>
                    <w:spacing w:line="540" w:lineRule="exact" w:before="0"/>
                    <w:ind w:left="0" w:right="0" w:firstLine="0"/>
                    <w:jc w:val="left"/>
                    <w:rPr>
                      <w:b/>
                      <w:i/>
                      <w:sz w:val="21"/>
                    </w:rPr>
                  </w:pPr>
                  <w:r>
                    <w:rPr>
                      <w:color w:val="010101"/>
                      <w:position w:val="-18"/>
                      <w:sz w:val="54"/>
                    </w:rPr>
                    <w:t>1</w:t>
                  </w:r>
                  <w:r>
                    <w:rPr>
                      <w:color w:val="010101"/>
                      <w:spacing w:val="-32"/>
                      <w:position w:val="-18"/>
                      <w:sz w:val="54"/>
                    </w:rPr>
                    <w:t> </w:t>
                  </w:r>
                  <w:r>
                    <w:rPr>
                      <w:b/>
                      <w:color w:val="010101"/>
                      <w:sz w:val="15"/>
                    </w:rPr>
                    <w:t>e</w:t>
                    <w:tab/>
                  </w:r>
                  <w:r>
                    <w:rPr>
                      <w:b/>
                      <w:i/>
                      <w:color w:val="010101"/>
                      <w:sz w:val="21"/>
                    </w:rPr>
                    <w:t>dt</w:t>
                    <w:tab/>
                  </w:r>
                  <w:r>
                    <w:rPr>
                      <w:b/>
                      <w:i/>
                      <w:color w:val="010101"/>
                      <w:w w:val="90"/>
                      <w:sz w:val="21"/>
                    </w:rPr>
                    <w:t>Ñ</w:t>
                  </w:r>
                </w:p>
              </w:txbxContent>
            </v:textbox>
            <w10:wrap type="none"/>
          </v:shape>
        </w:pict>
      </w:r>
      <w:r>
        <w:rPr>
          <w:b/>
          <w:i/>
          <w:color w:val="010101"/>
          <w:w w:val="50"/>
          <w:sz w:val="18"/>
        </w:rPr>
        <w:t>li:,:;</w:t>
      </w:r>
      <w:r>
        <w:rPr>
          <w:b/>
          <w:i/>
          <w:color w:val="010101"/>
          <w:sz w:val="18"/>
        </w:rPr>
        <w:t> </w:t>
      </w:r>
      <w:r>
        <w:rPr>
          <w:b/>
          <w:i/>
          <w:color w:val="010101"/>
          <w:spacing w:val="5"/>
          <w:sz w:val="18"/>
        </w:rPr>
        <w:t> </w:t>
      </w:r>
      <w:r>
        <w:rPr>
          <w:color w:val="010101"/>
          <w:w w:val="107"/>
          <w:sz w:val="24"/>
        </w:rPr>
        <w:t>=</w:t>
      </w:r>
      <w:r>
        <w:rPr>
          <w:color w:val="010101"/>
          <w:spacing w:val="19"/>
          <w:sz w:val="24"/>
        </w:rPr>
        <w:t> </w:t>
      </w:r>
      <w:r>
        <w:rPr>
          <w:rFonts w:ascii="Arial"/>
          <w:i/>
          <w:color w:val="010101"/>
          <w:spacing w:val="-145"/>
          <w:w w:val="80"/>
          <w:position w:val="-7"/>
          <w:sz w:val="52"/>
        </w:rPr>
        <w:t>1</w:t>
      </w:r>
      <w:r>
        <w:rPr>
          <w:rFonts w:ascii="Arial"/>
          <w:color w:val="010101"/>
          <w:spacing w:val="-103"/>
          <w:w w:val="72"/>
          <w:position w:val="-9"/>
          <w:sz w:val="86"/>
        </w:rPr>
        <w:t>.</w:t>
      </w:r>
      <w:r>
        <w:rPr>
          <w:rFonts w:ascii="Arial"/>
          <w:i/>
          <w:color w:val="010101"/>
          <w:w w:val="44"/>
          <w:position w:val="14"/>
          <w:sz w:val="52"/>
        </w:rPr>
        <w:t>.</w:t>
      </w:r>
      <w:r>
        <w:rPr>
          <w:rFonts w:ascii="Arial"/>
          <w:i/>
          <w:color w:val="010101"/>
          <w:spacing w:val="24"/>
          <w:w w:val="44"/>
          <w:position w:val="14"/>
          <w:sz w:val="52"/>
        </w:rPr>
        <w:t>,</w:t>
      </w:r>
      <w:r>
        <w:rPr>
          <w:color w:val="010101"/>
          <w:spacing w:val="-33"/>
          <w:w w:val="120"/>
          <w:sz w:val="24"/>
        </w:rPr>
        <w:t>"</w:t>
      </w:r>
      <w:r>
        <w:rPr>
          <w:i/>
          <w:color w:val="010101"/>
          <w:spacing w:val="11"/>
          <w:w w:val="125"/>
          <w:position w:val="14"/>
          <w:sz w:val="13"/>
        </w:rPr>
        <w:t>t</w:t>
      </w:r>
      <w:r>
        <w:rPr>
          <w:b/>
          <w:i/>
          <w:color w:val="010101"/>
          <w:w w:val="65"/>
          <w:sz w:val="19"/>
        </w:rPr>
        <w:t>4&gt;:s</w:t>
      </w:r>
      <w:r>
        <w:rPr>
          <w:b/>
          <w:i/>
          <w:color w:val="010101"/>
          <w:spacing w:val="10"/>
          <w:sz w:val="19"/>
        </w:rPr>
        <w:t> </w:t>
      </w:r>
      <w:r>
        <w:rPr>
          <w:i/>
          <w:color w:val="010101"/>
          <w:w w:val="108"/>
          <w:position w:val="14"/>
          <w:sz w:val="19"/>
        </w:rPr>
        <w:t>dt</w:t>
      </w:r>
    </w:p>
    <w:p>
      <w:pPr>
        <w:spacing w:line="329" w:lineRule="exact" w:before="135"/>
        <w:ind w:left="60" w:right="0" w:firstLine="0"/>
        <w:jc w:val="center"/>
        <w:rPr>
          <w:sz w:val="24"/>
        </w:rPr>
      </w:pPr>
      <w:r>
        <w:rPr/>
        <w:br w:type="column"/>
      </w:r>
      <w:r>
        <w:rPr>
          <w:color w:val="010101"/>
          <w:w w:val="115"/>
          <w:position w:val="-13"/>
          <w:sz w:val="24"/>
        </w:rPr>
        <w:t>= </w:t>
      </w:r>
      <w:r>
        <w:rPr>
          <w:rFonts w:ascii="Arial" w:hAnsi="Arial"/>
          <w:i/>
          <w:color w:val="010101"/>
          <w:w w:val="120"/>
          <w:sz w:val="20"/>
        </w:rPr>
        <w:t>Ñ.</w:t>
      </w:r>
      <w:r>
        <w:rPr>
          <w:rFonts w:ascii="Arial" w:hAnsi="Arial"/>
          <w:i/>
          <w:color w:val="010101"/>
          <w:spacing w:val="-24"/>
          <w:w w:val="120"/>
          <w:sz w:val="20"/>
        </w:rPr>
        <w:t> </w:t>
      </w:r>
      <w:r>
        <w:rPr>
          <w:color w:val="010101"/>
          <w:w w:val="115"/>
          <w:position w:val="-13"/>
          <w:sz w:val="24"/>
        </w:rPr>
        <w:t>;</w:t>
      </w:r>
    </w:p>
    <w:p>
      <w:pPr>
        <w:spacing w:line="133" w:lineRule="exact" w:before="0"/>
        <w:ind w:left="159" w:right="0" w:firstLine="0"/>
        <w:jc w:val="center"/>
        <w:rPr>
          <w:rFonts w:ascii="Arial"/>
          <w:i/>
          <w:sz w:val="16"/>
        </w:rPr>
      </w:pPr>
      <w:r>
        <w:rPr/>
        <w:pict>
          <v:shape style="position:absolute;margin-left:204.411301pt;margin-top:-9.534534pt;width:13.15pt;height:12pt;mso-position-horizontal-relative:page;mso-position-vertical-relative:paragraph;z-index:-731656" type="#_x0000_t202" filled="false" stroked="false">
            <v:textbox inset="0,0,0,0">
              <w:txbxContent>
                <w:p>
                  <w:pPr>
                    <w:spacing w:line="240" w:lineRule="exact" w:before="0"/>
                    <w:ind w:left="0" w:right="0" w:firstLine="0"/>
                    <w:jc w:val="left"/>
                    <w:rPr>
                      <w:sz w:val="24"/>
                    </w:rPr>
                  </w:pPr>
                  <w:r>
                    <w:rPr>
                      <w:color w:val="010101"/>
                      <w:w w:val="327"/>
                      <w:sz w:val="24"/>
                    </w:rPr>
                    <w:t>-</w:t>
                  </w:r>
                </w:p>
              </w:txbxContent>
            </v:textbox>
            <w10:wrap type="none"/>
          </v:shape>
        </w:pict>
      </w:r>
      <w:r>
        <w:rPr>
          <w:rFonts w:ascii="Arial"/>
          <w:i/>
          <w:color w:val="010101"/>
          <w:w w:val="90"/>
          <w:sz w:val="16"/>
        </w:rPr>
        <w:t>/):,:;</w:t>
      </w:r>
    </w:p>
    <w:p>
      <w:pPr>
        <w:pStyle w:val="BodyText"/>
        <w:spacing w:before="7"/>
        <w:rPr>
          <w:rFonts w:ascii="Arial"/>
          <w:i/>
        </w:rPr>
      </w:pPr>
      <w:r>
        <w:rPr/>
        <w:br w:type="column"/>
      </w:r>
      <w:r>
        <w:rPr>
          <w:rFonts w:ascii="Arial"/>
          <w:i/>
        </w:rPr>
      </w:r>
    </w:p>
    <w:p>
      <w:pPr>
        <w:pStyle w:val="BodyText"/>
        <w:ind w:right="128"/>
        <w:jc w:val="right"/>
      </w:pPr>
      <w:r>
        <w:rPr>
          <w:color w:val="010101"/>
          <w:w w:val="105"/>
        </w:rPr>
        <w:t>(2.31)</w:t>
      </w:r>
    </w:p>
    <w:p>
      <w:pPr>
        <w:spacing w:after="0"/>
        <w:jc w:val="right"/>
        <w:sectPr>
          <w:type w:val="continuous"/>
          <w:pgSz w:w="7200" w:h="11340"/>
          <w:pgMar w:top="1100" w:bottom="0" w:left="660" w:right="560"/>
          <w:cols w:num="3" w:equalWidth="0">
            <w:col w:w="3089" w:space="40"/>
            <w:col w:w="646" w:space="40"/>
            <w:col w:w="2165"/>
          </w:cols>
        </w:sectPr>
      </w:pPr>
    </w:p>
    <w:p>
      <w:pPr>
        <w:spacing w:line="74" w:lineRule="exact" w:before="43"/>
        <w:ind w:left="2362" w:right="0" w:firstLine="0"/>
        <w:jc w:val="left"/>
        <w:rPr>
          <w:sz w:val="8"/>
        </w:rPr>
      </w:pPr>
      <w:r>
        <w:rPr>
          <w:color w:val="010101"/>
          <w:w w:val="110"/>
          <w:sz w:val="8"/>
        </w:rPr>
        <w:t>11</w:t>
      </w:r>
    </w:p>
    <w:p>
      <w:pPr>
        <w:tabs>
          <w:tab w:pos="2498" w:val="left" w:leader="none"/>
          <w:tab w:pos="3184" w:val="left" w:leader="none"/>
          <w:tab w:pos="3578" w:val="left" w:leader="none"/>
        </w:tabs>
        <w:spacing w:line="215" w:lineRule="exact" w:before="0"/>
        <w:ind w:left="1493" w:right="0" w:firstLine="0"/>
        <w:jc w:val="left"/>
        <w:rPr>
          <w:b/>
          <w:sz w:val="12"/>
        </w:rPr>
      </w:pPr>
      <w:r>
        <w:rPr>
          <w:i/>
          <w:color w:val="010101"/>
          <w:spacing w:val="2"/>
          <w:sz w:val="29"/>
        </w:rPr>
        <w:t>aa.i</w:t>
      </w:r>
      <w:r>
        <w:rPr>
          <w:i/>
          <w:color w:val="010101"/>
          <w:spacing w:val="-3"/>
          <w:sz w:val="29"/>
        </w:rPr>
        <w:t> </w:t>
      </w:r>
      <w:r>
        <w:rPr>
          <w:color w:val="010101"/>
          <w:sz w:val="24"/>
        </w:rPr>
        <w:t>=</w:t>
        <w:tab/>
      </w:r>
      <w:r>
        <w:rPr>
          <w:rFonts w:ascii="Arial" w:hAnsi="Arial"/>
          <w:i/>
          <w:color w:val="010101"/>
          <w:sz w:val="19"/>
        </w:rPr>
        <w:t>v</w:t>
      </w:r>
      <w:r>
        <w:rPr>
          <w:rFonts w:ascii="Arial" w:hAnsi="Arial"/>
          <w:i/>
          <w:color w:val="010101"/>
          <w:spacing w:val="-1"/>
          <w:sz w:val="19"/>
        </w:rPr>
        <w:t> </w:t>
      </w:r>
      <w:r>
        <w:rPr>
          <w:color w:val="010101"/>
          <w:sz w:val="21"/>
        </w:rPr>
        <w:t>•Ps</w:t>
        <w:tab/>
      </w:r>
      <w:r>
        <w:rPr>
          <w:color w:val="010101"/>
          <w:sz w:val="24"/>
        </w:rPr>
        <w:t>=</w:t>
        <w:tab/>
      </w:r>
      <w:r>
        <w:rPr>
          <w:b/>
          <w:color w:val="010101"/>
          <w:w w:val="105"/>
          <w:position w:val="12"/>
          <w:sz w:val="12"/>
        </w:rPr>
        <w:t>z</w:t>
      </w:r>
    </w:p>
    <w:p>
      <w:pPr>
        <w:spacing w:line="281" w:lineRule="exact" w:before="51"/>
        <w:ind w:left="92" w:right="-17" w:firstLine="0"/>
        <w:jc w:val="left"/>
        <w:rPr>
          <w:sz w:val="21"/>
        </w:rPr>
      </w:pPr>
      <w:r>
        <w:rPr/>
        <w:br w:type="column"/>
      </w:r>
      <w:r>
        <w:rPr>
          <w:i/>
          <w:color w:val="010101"/>
          <w:w w:val="105"/>
          <w:position w:val="-11"/>
          <w:sz w:val="21"/>
        </w:rPr>
        <w:t>D</w:t>
      </w:r>
      <w:r>
        <w:rPr>
          <w:i/>
          <w:color w:val="010101"/>
          <w:spacing w:val="-30"/>
          <w:w w:val="105"/>
          <w:position w:val="-11"/>
          <w:sz w:val="21"/>
        </w:rPr>
        <w:t> </w:t>
      </w:r>
      <w:r>
        <w:rPr>
          <w:b/>
          <w:i/>
          <w:color w:val="010101"/>
          <w:w w:val="105"/>
          <w:sz w:val="21"/>
        </w:rPr>
        <w:t>Ñ</w:t>
      </w:r>
      <w:r>
        <w:rPr>
          <w:b/>
          <w:i/>
          <w:color w:val="010101"/>
          <w:spacing w:val="-31"/>
          <w:w w:val="105"/>
          <w:sz w:val="21"/>
        </w:rPr>
        <w:t> </w:t>
      </w:r>
      <w:r>
        <w:rPr>
          <w:rFonts w:ascii="Arial" w:hAnsi="Arial"/>
          <w:b/>
          <w:color w:val="010101"/>
          <w:w w:val="105"/>
          <w:sz w:val="14"/>
        </w:rPr>
        <w:t>s+a</w:t>
      </w:r>
      <w:r>
        <w:rPr>
          <w:rFonts w:ascii="Arial" w:hAnsi="Arial"/>
          <w:b/>
          <w:color w:val="010101"/>
          <w:spacing w:val="3"/>
          <w:w w:val="105"/>
          <w:sz w:val="14"/>
        </w:rPr>
        <w:t> </w:t>
      </w:r>
      <w:r>
        <w:rPr>
          <w:color w:val="010101"/>
          <w:w w:val="105"/>
          <w:position w:val="-11"/>
          <w:sz w:val="21"/>
        </w:rPr>
        <w:t>;</w:t>
      </w:r>
    </w:p>
    <w:p>
      <w:pPr>
        <w:pStyle w:val="BodyText"/>
        <w:spacing w:line="200" w:lineRule="exact" w:before="133"/>
        <w:ind w:left="780"/>
      </w:pPr>
      <w:r>
        <w:rPr/>
        <w:br w:type="column"/>
      </w:r>
      <w:r>
        <w:rPr>
          <w:color w:val="010101"/>
          <w:w w:val="110"/>
        </w:rPr>
        <w:t>(2.32)</w:t>
      </w:r>
    </w:p>
    <w:p>
      <w:pPr>
        <w:spacing w:after="0" w:line="200" w:lineRule="exact"/>
        <w:sectPr>
          <w:type w:val="continuous"/>
          <w:pgSz w:w="7200" w:h="11340"/>
          <w:pgMar w:top="1100" w:bottom="0" w:left="660" w:right="560"/>
          <w:cols w:num="3" w:equalWidth="0">
            <w:col w:w="3650" w:space="40"/>
            <w:col w:w="818" w:space="40"/>
            <w:col w:w="1432"/>
          </w:cols>
        </w:sectPr>
      </w:pPr>
    </w:p>
    <w:p>
      <w:pPr>
        <w:tabs>
          <w:tab w:pos="3939" w:val="left" w:leader="none"/>
        </w:tabs>
        <w:spacing w:line="128" w:lineRule="exact" w:before="0"/>
        <w:ind w:left="2283" w:right="0" w:firstLine="0"/>
        <w:jc w:val="left"/>
        <w:rPr>
          <w:sz w:val="12"/>
        </w:rPr>
      </w:pPr>
      <w:r>
        <w:rPr/>
        <w:pict>
          <v:rect style="position:absolute;margin-left:222.116196pt;margin-top:1.864357pt;width:8.047700pt;height:4.828614pt;mso-position-horizontal-relative:page;mso-position-vertical-relative:paragraph;z-index:-731728" filled="true" fillcolor="#000000" stroked="false">
            <v:fill type="solid"/>
            <w10:wrap type="none"/>
          </v:rect>
        </w:pict>
      </w:r>
      <w:r>
        <w:rPr>
          <w:b/>
          <w:color w:val="010101"/>
          <w:sz w:val="18"/>
        </w:rPr>
        <w:t>o</w:t>
        <w:tab/>
      </w:r>
      <w:r>
        <w:rPr>
          <w:color w:val="010101"/>
          <w:w w:val="110"/>
          <w:sz w:val="12"/>
        </w:rPr>
        <w:t>z</w:t>
      </w:r>
    </w:p>
    <w:p>
      <w:pPr>
        <w:spacing w:line="528" w:lineRule="exact" w:before="0"/>
        <w:ind w:left="1568" w:right="0" w:firstLine="0"/>
        <w:jc w:val="left"/>
        <w:rPr>
          <w:rFonts w:ascii="Arial" w:hAnsi="Arial"/>
          <w:sz w:val="16"/>
        </w:rPr>
      </w:pPr>
      <w:r>
        <w:rPr>
          <w:i/>
          <w:color w:val="010101"/>
          <w:w w:val="106"/>
          <w:sz w:val="24"/>
        </w:rPr>
        <w:t>•t</w:t>
      </w:r>
      <w:r>
        <w:rPr>
          <w:i/>
          <w:color w:val="010101"/>
          <w:spacing w:val="-60"/>
          <w:w w:val="106"/>
          <w:sz w:val="24"/>
        </w:rPr>
        <w:t>ª</w:t>
      </w:r>
      <w:r>
        <w:rPr>
          <w:rFonts w:ascii="Arial" w:hAnsi="Arial"/>
          <w:color w:val="010101"/>
          <w:spacing w:val="-17"/>
          <w:w w:val="43"/>
          <w:position w:val="8"/>
          <w:sz w:val="52"/>
        </w:rPr>
        <w:t>-</w:t>
      </w:r>
      <w:r>
        <w:rPr>
          <w:i/>
          <w:color w:val="010101"/>
          <w:w w:val="106"/>
          <w:sz w:val="24"/>
        </w:rPr>
        <w:t>•</w:t>
      </w:r>
      <w:r>
        <w:rPr>
          <w:i/>
          <w:color w:val="010101"/>
          <w:spacing w:val="15"/>
          <w:sz w:val="24"/>
        </w:rPr>
        <w:t> </w:t>
      </w:r>
      <w:r>
        <w:rPr>
          <w:rFonts w:ascii="Arial" w:hAnsi="Arial"/>
          <w:color w:val="010101"/>
          <w:w w:val="149"/>
          <w:sz w:val="18"/>
        </w:rPr>
        <w:t>=</w:t>
      </w:r>
      <w:r>
        <w:rPr>
          <w:rFonts w:ascii="Arial" w:hAnsi="Arial"/>
          <w:color w:val="010101"/>
          <w:spacing w:val="17"/>
          <w:sz w:val="18"/>
        </w:rPr>
        <w:t> </w:t>
      </w:r>
      <w:r>
        <w:rPr>
          <w:rFonts w:ascii="Arial" w:hAnsi="Arial"/>
          <w:i/>
          <w:color w:val="010101"/>
          <w:spacing w:val="-74"/>
          <w:w w:val="80"/>
          <w:position w:val="8"/>
          <w:sz w:val="52"/>
        </w:rPr>
        <w:t>1</w:t>
      </w:r>
      <w:r>
        <w:rPr>
          <w:rFonts w:ascii="Arial" w:hAnsi="Arial"/>
          <w:i/>
          <w:color w:val="010101"/>
          <w:spacing w:val="-115"/>
          <w:w w:val="150"/>
          <w:position w:val="8"/>
          <w:sz w:val="52"/>
        </w:rPr>
        <w:t>·</w:t>
      </w:r>
      <w:r>
        <w:rPr>
          <w:rFonts w:ascii="Arial" w:hAnsi="Arial"/>
          <w:color w:val="010101"/>
          <w:spacing w:val="-13"/>
          <w:w w:val="164"/>
          <w:sz w:val="18"/>
        </w:rPr>
        <w:t>"</w:t>
      </w:r>
      <w:r>
        <w:rPr>
          <w:rFonts w:ascii="Arial" w:hAnsi="Arial"/>
          <w:color w:val="010101"/>
          <w:spacing w:val="-10"/>
          <w:w w:val="59"/>
          <w:position w:val="8"/>
          <w:sz w:val="52"/>
        </w:rPr>
        <w:t>'</w:t>
      </w:r>
      <w:r>
        <w:rPr>
          <w:i/>
          <w:color w:val="010101"/>
          <w:w w:val="101"/>
          <w:sz w:val="14"/>
        </w:rPr>
        <w:t>tP:s</w:t>
      </w:r>
      <w:r>
        <w:rPr>
          <w:i/>
          <w:color w:val="010101"/>
          <w:sz w:val="14"/>
        </w:rPr>
        <w:t> </w:t>
      </w:r>
      <w:r>
        <w:rPr>
          <w:i/>
          <w:color w:val="010101"/>
          <w:spacing w:val="-14"/>
          <w:sz w:val="14"/>
        </w:rPr>
        <w:t> </w:t>
      </w:r>
      <w:r>
        <w:rPr>
          <w:i/>
          <w:color w:val="010101"/>
          <w:w w:val="91"/>
          <w:sz w:val="21"/>
        </w:rPr>
        <w:t>dt</w:t>
      </w:r>
      <w:r>
        <w:rPr>
          <w:i/>
          <w:color w:val="010101"/>
          <w:sz w:val="21"/>
        </w:rPr>
        <w:t> </w:t>
      </w:r>
      <w:r>
        <w:rPr>
          <w:i/>
          <w:color w:val="010101"/>
          <w:spacing w:val="-2"/>
          <w:sz w:val="21"/>
        </w:rPr>
        <w:t> </w:t>
      </w:r>
      <w:r>
        <w:rPr>
          <w:rFonts w:ascii="Arial" w:hAnsi="Arial"/>
          <w:color w:val="010101"/>
          <w:w w:val="149"/>
          <w:sz w:val="18"/>
        </w:rPr>
        <w:t>=</w:t>
      </w:r>
      <w:r>
        <w:rPr>
          <w:rFonts w:ascii="Arial" w:hAnsi="Arial"/>
          <w:color w:val="010101"/>
          <w:spacing w:val="14"/>
          <w:sz w:val="18"/>
        </w:rPr>
        <w:t> </w:t>
      </w:r>
      <w:r>
        <w:rPr>
          <w:i/>
          <w:color w:val="010101"/>
          <w:spacing w:val="-41"/>
          <w:w w:val="107"/>
          <w:position w:val="8"/>
          <w:sz w:val="19"/>
        </w:rPr>
        <w:t>Ñ</w:t>
      </w:r>
      <w:r>
        <w:rPr>
          <w:rFonts w:ascii="Arial" w:hAnsi="Arial"/>
          <w:i/>
          <w:color w:val="010101"/>
          <w:spacing w:val="-58"/>
          <w:w w:val="144"/>
          <w:sz w:val="16"/>
        </w:rPr>
        <w:t>1</w:t>
      </w:r>
      <w:r>
        <w:rPr>
          <w:i/>
          <w:color w:val="010101"/>
          <w:spacing w:val="-28"/>
          <w:w w:val="100"/>
          <w:position w:val="8"/>
          <w:sz w:val="19"/>
        </w:rPr>
        <w:t>s</w:t>
      </w:r>
      <w:r>
        <w:rPr>
          <w:rFonts w:ascii="Arial" w:hAnsi="Arial"/>
          <w:i/>
          <w:color w:val="010101"/>
          <w:spacing w:val="-70"/>
          <w:w w:val="144"/>
          <w:sz w:val="16"/>
        </w:rPr>
        <w:t>)</w:t>
      </w:r>
      <w:r>
        <w:rPr>
          <w:i/>
          <w:color w:val="010101"/>
          <w:w w:val="100"/>
          <w:position w:val="8"/>
          <w:sz w:val="19"/>
        </w:rPr>
        <w:t>+.</w:t>
      </w:r>
      <w:r>
        <w:rPr>
          <w:i/>
          <w:color w:val="010101"/>
          <w:spacing w:val="15"/>
          <w:position w:val="8"/>
          <w:sz w:val="19"/>
        </w:rPr>
        <w:t> </w:t>
      </w:r>
      <w:r>
        <w:rPr>
          <w:rFonts w:ascii="Arial" w:hAnsi="Arial"/>
          <w:color w:val="010101"/>
          <w:w w:val="221"/>
          <w:sz w:val="16"/>
        </w:rPr>
        <w:t>.</w:t>
      </w:r>
    </w:p>
    <w:p>
      <w:pPr>
        <w:pStyle w:val="ListParagraph"/>
        <w:numPr>
          <w:ilvl w:val="2"/>
          <w:numId w:val="20"/>
        </w:numPr>
        <w:tabs>
          <w:tab w:pos="3658" w:val="left" w:leader="none"/>
        </w:tabs>
        <w:spacing w:line="113" w:lineRule="exact" w:before="0" w:after="0"/>
        <w:ind w:left="3657" w:right="0" w:hanging="1370"/>
        <w:jc w:val="left"/>
        <w:rPr>
          <w:sz w:val="13"/>
        </w:rPr>
      </w:pPr>
      <w:r>
        <w:rPr>
          <w:color w:val="010101"/>
          <w:w w:val="118"/>
          <w:sz w:val="13"/>
        </w:rPr>
        <w:t>z</w:t>
      </w:r>
      <w:r>
        <w:rPr>
          <w:sz w:val="13"/>
        </w:rPr>
      </w:r>
    </w:p>
    <w:p>
      <w:pPr>
        <w:pStyle w:val="BodyText"/>
      </w:pPr>
      <w:r>
        <w:rPr/>
        <w:br w:type="column"/>
      </w:r>
      <w:r>
        <w:rPr/>
      </w:r>
    </w:p>
    <w:p>
      <w:pPr>
        <w:pStyle w:val="BodyText"/>
        <w:spacing w:before="170"/>
        <w:ind w:left="1279"/>
      </w:pPr>
      <w:r>
        <w:rPr>
          <w:color w:val="010101"/>
          <w:w w:val="120"/>
        </w:rPr>
        <w:t>(2.33)</w:t>
      </w:r>
    </w:p>
    <w:p>
      <w:pPr>
        <w:spacing w:after="0"/>
        <w:sectPr>
          <w:type w:val="continuous"/>
          <w:pgSz w:w="7200" w:h="11340"/>
          <w:pgMar w:top="1100" w:bottom="0" w:left="660" w:right="560"/>
          <w:cols w:num="2" w:equalWidth="0">
            <w:col w:w="4009" w:space="40"/>
            <w:col w:w="1931"/>
          </w:cols>
        </w:sectPr>
      </w:pPr>
    </w:p>
    <w:p>
      <w:pPr>
        <w:pStyle w:val="BodyText"/>
        <w:spacing w:line="247" w:lineRule="auto" w:before="115"/>
        <w:ind w:left="126" w:right="137" w:firstLine="200"/>
        <w:jc w:val="both"/>
      </w:pPr>
      <w:r>
        <w:rPr>
          <w:color w:val="010101"/>
          <w:w w:val="105"/>
        </w:rPr>
        <w:t>We shall frequently need the derivatives of actuaria! functions which are expressed as integrals. </w:t>
      </w:r>
      <w:r>
        <w:rPr>
          <w:color w:val="010101"/>
          <w:w w:val="110"/>
        </w:rPr>
        <w:t>lt </w:t>
      </w:r>
      <w:r>
        <w:rPr>
          <w:color w:val="010101"/>
          <w:w w:val="105"/>
        </w:rPr>
        <w:t>is helpful to recall the following </w:t>
      </w:r>
      <w:r>
        <w:rPr>
          <w:color w:val="010101"/>
          <w:sz w:val="21"/>
        </w:rPr>
        <w:t>caJcuJus </w:t>
      </w:r>
      <w:r>
        <w:rPr>
          <w:color w:val="010101"/>
        </w:rPr>
        <w:t>principie:</w:t>
      </w:r>
    </w:p>
    <w:p>
      <w:pPr>
        <w:spacing w:after="0" w:line="247" w:lineRule="auto"/>
        <w:jc w:val="both"/>
        <w:sectPr>
          <w:type w:val="continuous"/>
          <w:pgSz w:w="7200" w:h="11340"/>
          <w:pgMar w:top="1100" w:bottom="0" w:left="660" w:right="560"/>
        </w:sectPr>
      </w:pPr>
    </w:p>
    <w:p>
      <w:pPr>
        <w:tabs>
          <w:tab w:pos="681" w:val="left" w:leader="none"/>
        </w:tabs>
        <w:spacing w:line="475" w:lineRule="exact" w:before="0"/>
        <w:ind w:left="327" w:right="0" w:firstLine="0"/>
        <w:jc w:val="center"/>
        <w:rPr>
          <w:sz w:val="20"/>
        </w:rPr>
      </w:pPr>
      <w:r>
        <w:rPr>
          <w:color w:val="010101"/>
          <w:sz w:val="22"/>
        </w:rPr>
        <w:t>If</w:t>
        <w:tab/>
      </w:r>
      <w:r>
        <w:rPr>
          <w:rFonts w:ascii="Arial"/>
          <w:i/>
          <w:color w:val="010101"/>
          <w:sz w:val="18"/>
        </w:rPr>
        <w:t>F( x )  </w:t>
      </w:r>
      <w:r>
        <w:rPr>
          <w:color w:val="010101"/>
          <w:sz w:val="26"/>
        </w:rPr>
        <w:t>= </w:t>
      </w:r>
      <w:r>
        <w:rPr>
          <w:color w:val="010101"/>
          <w:sz w:val="50"/>
        </w:rPr>
        <w:t>f </w:t>
      </w:r>
      <w:r>
        <w:rPr>
          <w:i/>
          <w:color w:val="010101"/>
          <w:sz w:val="20"/>
        </w:rPr>
        <w:t>J( y )  </w:t>
      </w:r>
      <w:r>
        <w:rPr>
          <w:i/>
          <w:color w:val="010101"/>
          <w:spacing w:val="5"/>
          <w:sz w:val="20"/>
        </w:rPr>
        <w:t>dy, </w:t>
      </w:r>
      <w:r>
        <w:rPr>
          <w:i/>
          <w:color w:val="010101"/>
          <w:spacing w:val="31"/>
          <w:sz w:val="20"/>
        </w:rPr>
        <w:t> </w:t>
      </w:r>
      <w:r>
        <w:rPr>
          <w:color w:val="010101"/>
          <w:sz w:val="20"/>
        </w:rPr>
        <w:t>then</w:t>
      </w:r>
    </w:p>
    <w:p>
      <w:pPr>
        <w:spacing w:line="207" w:lineRule="exact" w:before="0"/>
        <w:ind w:left="156" w:right="0" w:firstLine="0"/>
        <w:jc w:val="center"/>
        <w:rPr>
          <w:sz w:val="24"/>
        </w:rPr>
      </w:pPr>
      <w:r>
        <w:rPr>
          <w:color w:val="010101"/>
          <w:w w:val="106"/>
          <w:sz w:val="24"/>
        </w:rPr>
        <w:t>•</w:t>
      </w:r>
    </w:p>
    <w:p>
      <w:pPr>
        <w:spacing w:line="288" w:lineRule="exact" w:before="100"/>
        <w:ind w:left="309" w:right="0" w:firstLine="0"/>
        <w:jc w:val="center"/>
        <w:rPr>
          <w:sz w:val="20"/>
        </w:rPr>
      </w:pPr>
      <w:r>
        <w:rPr>
          <w:color w:val="010101"/>
          <w:w w:val="101"/>
          <w:sz w:val="19"/>
        </w:rPr>
        <w:t>If</w:t>
      </w:r>
      <w:r>
        <w:rPr>
          <w:color w:val="010101"/>
          <w:spacing w:val="-19"/>
          <w:sz w:val="19"/>
        </w:rPr>
        <w:t> </w:t>
      </w:r>
      <w:r>
        <w:rPr>
          <w:color w:val="010101"/>
          <w:spacing w:val="-275"/>
          <w:w w:val="425"/>
          <w:sz w:val="20"/>
        </w:rPr>
        <w:t>;</w:t>
      </w:r>
      <w:r>
        <w:rPr>
          <w:color w:val="010101"/>
          <w:w w:val="109"/>
          <w:sz w:val="20"/>
        </w:rPr>
        <w:t>(x</w:t>
      </w:r>
      <w:r>
        <w:rPr>
          <w:color w:val="010101"/>
          <w:spacing w:val="-19"/>
          <w:sz w:val="20"/>
        </w:rPr>
        <w:t> </w:t>
      </w:r>
      <w:r>
        <w:rPr>
          <w:color w:val="010101"/>
          <w:w w:val="83"/>
          <w:sz w:val="20"/>
        </w:rPr>
        <w:t>)</w:t>
      </w:r>
      <w:r>
        <w:rPr>
          <w:color w:val="010101"/>
          <w:sz w:val="20"/>
        </w:rPr>
        <w:t> </w:t>
      </w:r>
      <w:r>
        <w:rPr>
          <w:color w:val="010101"/>
          <w:spacing w:val="12"/>
          <w:sz w:val="20"/>
        </w:rPr>
        <w:t> </w:t>
      </w:r>
      <w:r>
        <w:rPr>
          <w:color w:val="010101"/>
          <w:w w:val="91"/>
          <w:sz w:val="26"/>
        </w:rPr>
        <w:t>=</w:t>
      </w:r>
      <w:r>
        <w:rPr>
          <w:color w:val="010101"/>
          <w:sz w:val="26"/>
        </w:rPr>
        <w:t> </w:t>
      </w:r>
      <w:r>
        <w:rPr>
          <w:color w:val="010101"/>
          <w:spacing w:val="-29"/>
          <w:sz w:val="26"/>
        </w:rPr>
        <w:t> </w:t>
      </w:r>
      <w:r>
        <w:rPr>
          <w:i/>
          <w:color w:val="010101"/>
          <w:w w:val="99"/>
          <w:sz w:val="26"/>
        </w:rPr>
        <w:t>["</w:t>
      </w:r>
      <w:r>
        <w:rPr>
          <w:i/>
          <w:color w:val="010101"/>
          <w:spacing w:val="-32"/>
          <w:sz w:val="26"/>
        </w:rPr>
        <w:t> </w:t>
      </w:r>
      <w:r>
        <w:rPr>
          <w:i/>
          <w:color w:val="010101"/>
          <w:w w:val="85"/>
          <w:sz w:val="20"/>
        </w:rPr>
        <w:t>f</w:t>
      </w:r>
      <w:r>
        <w:rPr>
          <w:i/>
          <w:color w:val="010101"/>
          <w:w w:val="85"/>
          <w:sz w:val="20"/>
        </w:rPr>
        <w:t>(</w:t>
      </w:r>
      <w:r>
        <w:rPr>
          <w:i/>
          <w:color w:val="010101"/>
          <w:sz w:val="20"/>
        </w:rPr>
        <w:t> </w:t>
      </w:r>
      <w:r>
        <w:rPr>
          <w:i/>
          <w:color w:val="010101"/>
          <w:spacing w:val="-16"/>
          <w:sz w:val="20"/>
        </w:rPr>
        <w:t> </w:t>
      </w:r>
      <w:r>
        <w:rPr>
          <w:i/>
          <w:color w:val="010101"/>
          <w:w w:val="93"/>
          <w:sz w:val="20"/>
        </w:rPr>
        <w:t>y</w:t>
      </w:r>
      <w:r>
        <w:rPr>
          <w:i/>
          <w:color w:val="010101"/>
          <w:spacing w:val="-12"/>
          <w:sz w:val="20"/>
        </w:rPr>
        <w:t> </w:t>
      </w:r>
      <w:r>
        <w:rPr>
          <w:i/>
          <w:color w:val="010101"/>
          <w:w w:val="74"/>
          <w:sz w:val="20"/>
        </w:rPr>
        <w:t>)</w:t>
      </w:r>
      <w:r>
        <w:rPr>
          <w:i/>
          <w:color w:val="010101"/>
          <w:sz w:val="20"/>
        </w:rPr>
        <w:t> </w:t>
      </w:r>
      <w:r>
        <w:rPr>
          <w:i/>
          <w:color w:val="010101"/>
          <w:spacing w:val="-15"/>
          <w:sz w:val="20"/>
        </w:rPr>
        <w:t> </w:t>
      </w:r>
      <w:r>
        <w:rPr>
          <w:i/>
          <w:color w:val="010101"/>
          <w:spacing w:val="12"/>
          <w:w w:val="91"/>
          <w:sz w:val="20"/>
        </w:rPr>
        <w:t>d</w:t>
      </w:r>
      <w:r>
        <w:rPr>
          <w:i/>
          <w:color w:val="010101"/>
          <w:w w:val="103"/>
          <w:sz w:val="20"/>
        </w:rPr>
        <w:t>y,</w:t>
      </w:r>
      <w:r>
        <w:rPr>
          <w:i/>
          <w:color w:val="010101"/>
          <w:sz w:val="20"/>
        </w:rPr>
        <w:t>   </w:t>
      </w:r>
      <w:r>
        <w:rPr>
          <w:i/>
          <w:color w:val="010101"/>
          <w:spacing w:val="-1"/>
          <w:sz w:val="20"/>
        </w:rPr>
        <w:t> </w:t>
      </w:r>
      <w:r>
        <w:rPr>
          <w:color w:val="010101"/>
          <w:w w:val="107"/>
          <w:sz w:val="20"/>
        </w:rPr>
        <w:t>then</w:t>
      </w:r>
    </w:p>
    <w:p>
      <w:pPr>
        <w:spacing w:line="127" w:lineRule="exact" w:before="0"/>
        <w:ind w:left="92" w:right="0" w:firstLine="0"/>
        <w:jc w:val="center"/>
        <w:rPr>
          <w:sz w:val="12"/>
        </w:rPr>
      </w:pPr>
      <w:r>
        <w:rPr>
          <w:color w:val="010101"/>
          <w:w w:val="128"/>
          <w:sz w:val="12"/>
        </w:rPr>
        <w:t>z</w:t>
      </w:r>
    </w:p>
    <w:p>
      <w:pPr>
        <w:tabs>
          <w:tab w:pos="1262" w:val="left" w:leader="none"/>
        </w:tabs>
        <w:spacing w:before="149"/>
        <w:ind w:left="225" w:right="0" w:firstLine="0"/>
        <w:jc w:val="left"/>
        <w:rPr>
          <w:rFonts w:ascii="Arial"/>
          <w:i/>
          <w:sz w:val="18"/>
        </w:rPr>
      </w:pPr>
      <w:r>
        <w:rPr/>
        <w:br w:type="column"/>
      </w:r>
      <w:r>
        <w:rPr>
          <w:rFonts w:ascii="Arial"/>
          <w:i/>
          <w:color w:val="010101"/>
          <w:spacing w:val="-72"/>
          <w:w w:val="396"/>
          <w:sz w:val="18"/>
        </w:rPr>
        <w:t>d</w:t>
      </w:r>
      <w:r>
        <w:rPr>
          <w:rFonts w:ascii="Arial"/>
          <w:i/>
          <w:color w:val="010101"/>
          <w:w w:val="101"/>
          <w:sz w:val="18"/>
        </w:rPr>
        <w:t>x</w:t>
      </w:r>
      <w:r>
        <w:rPr>
          <w:rFonts w:ascii="Arial"/>
          <w:i/>
          <w:color w:val="010101"/>
          <w:spacing w:val="-16"/>
          <w:sz w:val="18"/>
        </w:rPr>
        <w:t> </w:t>
      </w:r>
      <w:r>
        <w:rPr>
          <w:rFonts w:ascii="Arial"/>
          <w:i/>
          <w:color w:val="010101"/>
          <w:w w:val="106"/>
          <w:sz w:val="18"/>
        </w:rPr>
        <w:t>)</w:t>
      </w:r>
      <w:r>
        <w:rPr>
          <w:rFonts w:ascii="Arial"/>
          <w:i/>
          <w:color w:val="010101"/>
          <w:sz w:val="18"/>
        </w:rPr>
        <w:t> </w:t>
      </w:r>
      <w:r>
        <w:rPr>
          <w:rFonts w:ascii="Arial"/>
          <w:i/>
          <w:color w:val="010101"/>
          <w:spacing w:val="3"/>
          <w:sz w:val="18"/>
        </w:rPr>
        <w:t> </w:t>
      </w:r>
      <w:r>
        <w:rPr>
          <w:color w:val="010101"/>
          <w:w w:val="89"/>
          <w:sz w:val="28"/>
        </w:rPr>
        <w:t>=</w:t>
      </w:r>
      <w:r>
        <w:rPr>
          <w:color w:val="010101"/>
          <w:sz w:val="28"/>
        </w:rPr>
        <w:tab/>
      </w:r>
      <w:r>
        <w:rPr>
          <w:rFonts w:ascii="Arial"/>
          <w:i/>
          <w:color w:val="010101"/>
          <w:w w:val="97"/>
          <w:sz w:val="18"/>
        </w:rPr>
        <w:t>J(</w:t>
      </w:r>
      <w:r>
        <w:rPr>
          <w:rFonts w:ascii="Arial"/>
          <w:i/>
          <w:color w:val="010101"/>
          <w:spacing w:val="-10"/>
          <w:sz w:val="18"/>
        </w:rPr>
        <w:t> </w:t>
      </w:r>
      <w:r>
        <w:rPr>
          <w:rFonts w:ascii="Arial"/>
          <w:i/>
          <w:color w:val="010101"/>
          <w:spacing w:val="27"/>
          <w:w w:val="109"/>
          <w:sz w:val="18"/>
        </w:rPr>
        <w:t>x</w:t>
      </w:r>
      <w:r>
        <w:rPr>
          <w:rFonts w:ascii="Arial"/>
          <w:i/>
          <w:color w:val="010101"/>
          <w:w w:val="106"/>
          <w:sz w:val="18"/>
        </w:rPr>
        <w:t>)</w:t>
      </w:r>
      <w:r>
        <w:rPr>
          <w:rFonts w:ascii="Arial"/>
          <w:i/>
          <w:color w:val="010101"/>
          <w:w w:val="106"/>
          <w:sz w:val="18"/>
        </w:rPr>
        <w:t>.</w:t>
      </w:r>
    </w:p>
    <w:p>
      <w:pPr>
        <w:pStyle w:val="BodyText"/>
        <w:spacing w:line="93" w:lineRule="exact"/>
        <w:ind w:left="343"/>
        <w:rPr>
          <w:rFonts w:ascii="Arial"/>
          <w:sz w:val="9"/>
        </w:rPr>
      </w:pPr>
      <w:r>
        <w:rPr>
          <w:rFonts w:ascii="Arial"/>
          <w:position w:val="-1"/>
          <w:sz w:val="9"/>
        </w:rPr>
        <w:pict>
          <v:group style="width:14.5pt;height:4.650pt;mso-position-horizontal-relative:char;mso-position-vertical-relative:line" coordorigin="0,0" coordsize="290,93">
            <v:line style="position:absolute" from="47,47" to="243,47" stroked="true" strokeweight="4.649776pt" strokecolor="#000000"/>
          </v:group>
        </w:pict>
      </w:r>
      <w:r>
        <w:rPr>
          <w:rFonts w:ascii="Arial"/>
          <w:position w:val="-1"/>
          <w:sz w:val="9"/>
        </w:rPr>
      </w:r>
    </w:p>
    <w:p>
      <w:pPr>
        <w:spacing w:before="222"/>
        <w:ind w:left="200" w:right="-16" w:firstLine="0"/>
        <w:jc w:val="left"/>
        <w:rPr>
          <w:rFonts w:ascii="Arial"/>
          <w:i/>
          <w:sz w:val="18"/>
        </w:rPr>
      </w:pPr>
      <w:r>
        <w:rPr/>
        <w:pict>
          <v:rect style="position:absolute;margin-left:201.371094pt;margin-top:25.007418pt;width:9.4784pt;height:4.828614pt;mso-position-horizontal-relative:page;mso-position-vertical-relative:paragraph;z-index:4360" filled="true" fillcolor="#000000" stroked="false">
            <v:fill type="solid"/>
            <w10:wrap type="none"/>
          </v:rect>
        </w:pict>
      </w:r>
      <w:r>
        <w:rPr>
          <w:rFonts w:ascii="Arial"/>
          <w:i/>
          <w:color w:val="010101"/>
          <w:spacing w:val="-72"/>
          <w:w w:val="396"/>
          <w:sz w:val="18"/>
        </w:rPr>
        <w:t>d</w:t>
      </w:r>
      <w:r>
        <w:rPr>
          <w:rFonts w:ascii="Arial"/>
          <w:i/>
          <w:color w:val="010101"/>
          <w:w w:val="101"/>
          <w:sz w:val="18"/>
        </w:rPr>
        <w:t>x</w:t>
      </w:r>
      <w:r>
        <w:rPr>
          <w:rFonts w:ascii="Arial"/>
          <w:i/>
          <w:color w:val="010101"/>
          <w:spacing w:val="-9"/>
          <w:sz w:val="18"/>
        </w:rPr>
        <w:t> </w:t>
      </w:r>
      <w:r>
        <w:rPr>
          <w:rFonts w:ascii="Arial"/>
          <w:i/>
          <w:color w:val="010101"/>
          <w:w w:val="88"/>
          <w:sz w:val="18"/>
        </w:rPr>
        <w:t>)</w:t>
      </w:r>
      <w:r>
        <w:rPr>
          <w:rFonts w:ascii="Arial"/>
          <w:i/>
          <w:color w:val="010101"/>
          <w:sz w:val="18"/>
        </w:rPr>
        <w:t>  </w:t>
      </w:r>
      <w:r>
        <w:rPr>
          <w:color w:val="010101"/>
          <w:w w:val="107"/>
          <w:sz w:val="24"/>
        </w:rPr>
        <w:t>=</w:t>
      </w:r>
      <w:r>
        <w:rPr>
          <w:color w:val="010101"/>
          <w:sz w:val="24"/>
        </w:rPr>
        <w:t> </w:t>
      </w:r>
      <w:r>
        <w:rPr>
          <w:color w:val="010101"/>
          <w:spacing w:val="-5"/>
          <w:sz w:val="24"/>
        </w:rPr>
        <w:t> </w:t>
      </w:r>
      <w:r>
        <w:rPr>
          <w:color w:val="010101"/>
          <w:w w:val="233"/>
          <w:sz w:val="24"/>
        </w:rPr>
        <w:t>-</w:t>
      </w:r>
      <w:r>
        <w:rPr>
          <w:color w:val="010101"/>
          <w:spacing w:val="-33"/>
          <w:sz w:val="24"/>
        </w:rPr>
        <w:t> </w:t>
      </w:r>
      <w:r>
        <w:rPr>
          <w:rFonts w:ascii="Arial"/>
          <w:i/>
          <w:color w:val="010101"/>
          <w:w w:val="132"/>
          <w:sz w:val="18"/>
        </w:rPr>
        <w:t>f</w:t>
      </w:r>
      <w:r>
        <w:rPr>
          <w:rFonts w:ascii="Arial"/>
          <w:i/>
          <w:color w:val="010101"/>
          <w:w w:val="132"/>
          <w:sz w:val="18"/>
        </w:rPr>
        <w:t>(</w:t>
      </w:r>
      <w:r>
        <w:rPr>
          <w:rFonts w:ascii="Arial"/>
          <w:i/>
          <w:color w:val="010101"/>
          <w:spacing w:val="-11"/>
          <w:sz w:val="18"/>
        </w:rPr>
        <w:t> </w:t>
      </w:r>
      <w:r>
        <w:rPr>
          <w:rFonts w:ascii="Arial"/>
          <w:i/>
          <w:color w:val="010101"/>
          <w:w w:val="101"/>
          <w:sz w:val="18"/>
        </w:rPr>
        <w:t>x</w:t>
      </w:r>
      <w:r>
        <w:rPr>
          <w:rFonts w:ascii="Arial"/>
          <w:i/>
          <w:color w:val="010101"/>
          <w:spacing w:val="-13"/>
          <w:sz w:val="18"/>
        </w:rPr>
        <w:t> </w:t>
      </w:r>
      <w:r>
        <w:rPr>
          <w:rFonts w:ascii="Arial"/>
          <w:i/>
          <w:color w:val="010101"/>
          <w:sz w:val="18"/>
        </w:rPr>
        <w:t>)</w:t>
      </w:r>
      <w:r>
        <w:rPr>
          <w:rFonts w:ascii="Arial"/>
          <w:i/>
          <w:color w:val="010101"/>
          <w:w w:val="99"/>
          <w:sz w:val="18"/>
        </w:rPr>
        <w:t>.</w:t>
      </w:r>
    </w:p>
    <w:p>
      <w:pPr>
        <w:pStyle w:val="BodyText"/>
        <w:spacing w:before="5"/>
        <w:rPr>
          <w:rFonts w:ascii="Arial"/>
          <w:i/>
        </w:rPr>
      </w:pPr>
      <w:r>
        <w:rPr/>
        <w:br w:type="column"/>
      </w:r>
      <w:r>
        <w:rPr>
          <w:rFonts w:ascii="Arial"/>
          <w:i/>
        </w:rPr>
      </w:r>
    </w:p>
    <w:p>
      <w:pPr>
        <w:pStyle w:val="BodyText"/>
        <w:ind w:left="341"/>
      </w:pPr>
      <w:r>
        <w:rPr>
          <w:color w:val="010101"/>
          <w:w w:val="105"/>
        </w:rPr>
        <w:t>( 2.34a)</w:t>
      </w:r>
    </w:p>
    <w:p>
      <w:pPr>
        <w:pStyle w:val="BodyText"/>
      </w:pPr>
    </w:p>
    <w:p>
      <w:pPr>
        <w:pStyle w:val="BodyText"/>
        <w:spacing w:before="143"/>
        <w:ind w:left="327"/>
      </w:pPr>
      <w:r>
        <w:rPr>
          <w:color w:val="010101"/>
          <w:w w:val="105"/>
        </w:rPr>
        <w:t>(2.34b)</w:t>
      </w:r>
    </w:p>
    <w:p>
      <w:pPr>
        <w:spacing w:after="0"/>
        <w:sectPr>
          <w:type w:val="continuous"/>
          <w:pgSz w:w="7200" w:h="11340"/>
          <w:pgMar w:top="1100" w:bottom="0" w:left="660" w:right="560"/>
          <w:cols w:num="3" w:equalWidth="0">
            <w:col w:w="2956" w:space="40"/>
            <w:col w:w="1713" w:space="163"/>
            <w:col w:w="1108"/>
          </w:cols>
        </w:sectPr>
      </w:pPr>
    </w:p>
    <w:p>
      <w:pPr>
        <w:pStyle w:val="BodyText"/>
        <w:spacing w:line="244" w:lineRule="auto" w:before="97"/>
        <w:ind w:left="166" w:right="133" w:firstLine="157"/>
      </w:pPr>
      <w:r>
        <w:rPr>
          <w:color w:val="010101"/>
          <w:w w:val="105"/>
        </w:rPr>
        <w:t>An application can </w:t>
      </w:r>
      <w:r>
        <w:rPr>
          <w:color w:val="010101"/>
          <w:w w:val="105"/>
          <w:sz w:val="19"/>
        </w:rPr>
        <w:t>be </w:t>
      </w:r>
      <w:r>
        <w:rPr>
          <w:color w:val="010101"/>
          <w:w w:val="105"/>
        </w:rPr>
        <w:t>made to tbe function </w:t>
      </w:r>
      <w:r>
        <w:rPr>
          <w:i/>
          <w:color w:val="010101"/>
          <w:w w:val="105"/>
          <w:sz w:val="23"/>
        </w:rPr>
        <w:t>lvz . </w:t>
      </w:r>
      <w:r>
        <w:rPr>
          <w:color w:val="010101"/>
          <w:w w:val="105"/>
        </w:rPr>
        <w:t>Since formula (2.29b)  can </w:t>
      </w:r>
      <w:r>
        <w:rPr>
          <w:color w:val="010101"/>
          <w:w w:val="105"/>
          <w:sz w:val="19"/>
        </w:rPr>
        <w:t>be </w:t>
      </w:r>
      <w:r>
        <w:rPr>
          <w:color w:val="010101"/>
          <w:w w:val="105"/>
        </w:rPr>
        <w:t>written as</w:t>
      </w:r>
    </w:p>
    <w:p>
      <w:pPr>
        <w:pStyle w:val="BodyText"/>
        <w:spacing w:before="9"/>
        <w:rPr>
          <w:sz w:val="13"/>
        </w:rPr>
      </w:pPr>
    </w:p>
    <w:p>
      <w:pPr>
        <w:spacing w:after="0"/>
        <w:rPr>
          <w:sz w:val="13"/>
        </w:rPr>
        <w:sectPr>
          <w:type w:val="continuous"/>
          <w:pgSz w:w="7200" w:h="11340"/>
          <w:pgMar w:top="1100" w:bottom="0" w:left="660" w:right="560"/>
        </w:sectPr>
      </w:pPr>
    </w:p>
    <w:p>
      <w:pPr>
        <w:pStyle w:val="BodyText"/>
      </w:pPr>
    </w:p>
    <w:p>
      <w:pPr>
        <w:pStyle w:val="BodyText"/>
        <w:spacing w:before="8"/>
        <w:rPr>
          <w:sz w:val="28"/>
        </w:rPr>
      </w:pPr>
    </w:p>
    <w:p>
      <w:pPr>
        <w:spacing w:before="0"/>
        <w:ind w:left="126" w:right="-17" w:firstLine="0"/>
        <w:jc w:val="left"/>
        <w:rPr>
          <w:sz w:val="21"/>
        </w:rPr>
      </w:pPr>
      <w:r>
        <w:rPr>
          <w:color w:val="010101"/>
          <w:sz w:val="21"/>
        </w:rPr>
        <w:t>we use </w:t>
      </w:r>
      <w:r>
        <w:rPr>
          <w:color w:val="010101"/>
          <w:sz w:val="20"/>
        </w:rPr>
        <w:t>(2.: 4b) </w:t>
      </w:r>
      <w:r>
        <w:rPr>
          <w:color w:val="010101"/>
          <w:sz w:val="21"/>
        </w:rPr>
        <w:t>to fin&lt;l</w:t>
      </w:r>
    </w:p>
    <w:p>
      <w:pPr>
        <w:spacing w:line="276" w:lineRule="exact" w:before="69"/>
        <w:ind w:left="126" w:right="0" w:firstLine="0"/>
        <w:jc w:val="center"/>
        <w:rPr>
          <w:i/>
          <w:sz w:val="21"/>
        </w:rPr>
      </w:pPr>
      <w:r>
        <w:rPr/>
        <w:br w:type="column"/>
      </w:r>
      <w:r>
        <w:rPr>
          <w:i/>
          <w:color w:val="010101"/>
          <w:w w:val="80"/>
          <w:sz w:val="21"/>
        </w:rPr>
        <w:t>Ñ:s  </w:t>
      </w:r>
      <w:r>
        <w:rPr>
          <w:color w:val="010101"/>
          <w:sz w:val="24"/>
        </w:rPr>
        <w:t>= </w:t>
      </w:r>
      <w:r>
        <w:rPr>
          <w:i/>
          <w:color w:val="010101"/>
          <w:w w:val="200"/>
          <w:sz w:val="24"/>
        </w:rPr>
        <w:t>[ </w:t>
      </w:r>
      <w:r>
        <w:rPr>
          <w:i/>
          <w:color w:val="010101"/>
          <w:w w:val="80"/>
          <w:sz w:val="21"/>
        </w:rPr>
        <w:t>D11 </w:t>
      </w:r>
      <w:r>
        <w:rPr>
          <w:i/>
          <w:color w:val="010101"/>
          <w:sz w:val="21"/>
        </w:rPr>
        <w:t>dY</w:t>
      </w:r>
      <w:r>
        <w:rPr>
          <w:i/>
          <w:color w:val="010101"/>
          <w:spacing w:val="-8"/>
          <w:sz w:val="21"/>
        </w:rPr>
        <w:t> </w:t>
      </w:r>
      <w:r>
        <w:rPr>
          <w:i/>
          <w:color w:val="010101"/>
          <w:w w:val="115"/>
          <w:sz w:val="21"/>
        </w:rPr>
        <w:t>,</w:t>
      </w:r>
    </w:p>
    <w:p>
      <w:pPr>
        <w:spacing w:line="92" w:lineRule="exact" w:before="0"/>
        <w:ind w:left="0" w:right="6" w:firstLine="0"/>
        <w:jc w:val="center"/>
        <w:rPr>
          <w:sz w:val="8"/>
        </w:rPr>
      </w:pPr>
      <w:r>
        <w:rPr>
          <w:color w:val="010101"/>
          <w:w w:val="96"/>
          <w:sz w:val="8"/>
        </w:rPr>
        <w:t>%</w:t>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3"/>
        <w:rPr>
          <w:sz w:val="6"/>
        </w:rPr>
      </w:pPr>
    </w:p>
    <w:p>
      <w:pPr>
        <w:tabs>
          <w:tab w:pos="1135" w:val="left" w:leader="none"/>
        </w:tabs>
        <w:spacing w:line="198" w:lineRule="exact" w:before="0"/>
        <w:ind w:left="223" w:right="0" w:firstLine="0"/>
        <w:jc w:val="left"/>
        <w:rPr>
          <w:i/>
          <w:sz w:val="20"/>
        </w:rPr>
      </w:pPr>
      <w:r>
        <w:rPr/>
        <w:pict>
          <v:shape style="position:absolute;margin-left:172.041702pt;margin-top:6.23878pt;width:22pt;height:13pt;mso-position-horizontal-relative:page;mso-position-vertical-relative:paragraph;z-index:-731608" type="#_x0000_t202" filled="false" stroked="false">
            <v:textbox inset="0,0,0,0">
              <w:txbxContent>
                <w:p>
                  <w:pPr>
                    <w:spacing w:line="260" w:lineRule="exact" w:before="0"/>
                    <w:ind w:left="0" w:right="0" w:firstLine="0"/>
                    <w:jc w:val="left"/>
                    <w:rPr>
                      <w:sz w:val="26"/>
                    </w:rPr>
                  </w:pPr>
                  <w:r>
                    <w:rPr>
                      <w:color w:val="010101"/>
                      <w:w w:val="110"/>
                      <w:sz w:val="26"/>
                    </w:rPr>
                    <w:t>= </w:t>
                  </w:r>
                  <w:r>
                    <w:rPr>
                      <w:color w:val="010101"/>
                      <w:w w:val="190"/>
                      <w:sz w:val="26"/>
                    </w:rPr>
                    <w:t>-</w:t>
                  </w:r>
                </w:p>
              </w:txbxContent>
            </v:textbox>
            <w10:wrap type="none"/>
          </v:shape>
        </w:pict>
      </w:r>
      <w:r>
        <w:rPr>
          <w:i/>
          <w:color w:val="010101"/>
          <w:sz w:val="20"/>
        </w:rPr>
        <w:t>d</w:t>
      </w:r>
      <w:r>
        <w:rPr>
          <w:i/>
          <w:color w:val="010101"/>
          <w:spacing w:val="-35"/>
          <w:sz w:val="20"/>
        </w:rPr>
        <w:t> </w:t>
      </w:r>
      <w:r>
        <w:rPr>
          <w:i/>
          <w:color w:val="010101"/>
          <w:sz w:val="20"/>
        </w:rPr>
        <w:t>Ñ</w:t>
      </w:r>
      <w:r>
        <w:rPr>
          <w:i/>
          <w:color w:val="010101"/>
          <w:spacing w:val="-24"/>
          <w:sz w:val="20"/>
        </w:rPr>
        <w:t> </w:t>
      </w:r>
      <w:r>
        <w:rPr>
          <w:i/>
          <w:color w:val="010101"/>
          <w:sz w:val="20"/>
        </w:rPr>
        <w:t>z</w:t>
        <w:tab/>
        <w:t>D</w:t>
      </w:r>
    </w:p>
    <w:p>
      <w:pPr>
        <w:tabs>
          <w:tab w:pos="1156" w:val="left" w:leader="none"/>
        </w:tabs>
        <w:spacing w:line="175" w:lineRule="exact" w:before="0"/>
        <w:ind w:left="148" w:right="0" w:firstLine="0"/>
        <w:jc w:val="center"/>
        <w:rPr>
          <w:rFonts w:ascii="Arial" w:hAnsi="Arial"/>
          <w:sz w:val="12"/>
        </w:rPr>
      </w:pPr>
      <w:r>
        <w:rPr>
          <w:rFonts w:ascii="Arial" w:hAnsi="Arial"/>
          <w:i/>
          <w:color w:val="010101"/>
          <w:w w:val="115"/>
          <w:sz w:val="18"/>
          <w:u w:val="thick" w:color="000000"/>
        </w:rPr>
        <w:t>dx</w:t>
      </w:r>
      <w:r>
        <w:rPr>
          <w:rFonts w:ascii="Arial" w:hAnsi="Arial"/>
          <w:i/>
          <w:color w:val="010101"/>
          <w:w w:val="115"/>
          <w:sz w:val="18"/>
        </w:rPr>
        <w:tab/>
      </w:r>
      <w:r>
        <w:rPr>
          <w:rFonts w:ascii="Arial" w:hAnsi="Arial"/>
          <w:color w:val="010101"/>
          <w:w w:val="115"/>
          <w:sz w:val="12"/>
        </w:rPr>
        <w:t>z</w:t>
      </w:r>
      <w:r>
        <w:rPr>
          <w:rFonts w:ascii="Arial" w:hAnsi="Arial"/>
          <w:color w:val="010101"/>
          <w:spacing w:val="14"/>
          <w:w w:val="115"/>
          <w:sz w:val="12"/>
        </w:rPr>
        <w:t> </w:t>
      </w:r>
      <w:r>
        <w:rPr>
          <w:rFonts w:ascii="Arial" w:hAnsi="Arial"/>
          <w:color w:val="010101"/>
          <w:w w:val="115"/>
          <w:sz w:val="12"/>
        </w:rPr>
        <w:t>•</w:t>
      </w:r>
    </w:p>
    <w:p>
      <w:pPr>
        <w:pStyle w:val="BodyText"/>
        <w:spacing w:before="85"/>
        <w:ind w:left="126"/>
      </w:pPr>
      <w:r>
        <w:rPr/>
        <w:br w:type="column"/>
      </w:r>
      <w:r>
        <w:rPr>
          <w:color w:val="010101"/>
          <w:w w:val="105"/>
        </w:rPr>
        <w:t>( 2.35)</w:t>
      </w:r>
    </w:p>
    <w:p>
      <w:pPr>
        <w:pStyle w:val="BodyText"/>
      </w:pPr>
    </w:p>
    <w:p>
      <w:pPr>
        <w:pStyle w:val="BodyText"/>
      </w:pPr>
    </w:p>
    <w:p>
      <w:pPr>
        <w:pStyle w:val="BodyText"/>
        <w:rPr>
          <w:sz w:val="24"/>
        </w:rPr>
      </w:pPr>
    </w:p>
    <w:p>
      <w:pPr>
        <w:pStyle w:val="BodyText"/>
        <w:ind w:left="126"/>
      </w:pPr>
      <w:r>
        <w:rPr>
          <w:color w:val="010101"/>
        </w:rPr>
        <w:t>( 2.36 )</w:t>
      </w:r>
    </w:p>
    <w:p>
      <w:pPr>
        <w:spacing w:after="0"/>
        <w:sectPr>
          <w:type w:val="continuous"/>
          <w:pgSz w:w="7200" w:h="11340"/>
          <w:pgMar w:top="1100" w:bottom="0" w:left="660" w:right="560"/>
          <w:cols w:num="3" w:equalWidth="0">
            <w:col w:w="2024" w:space="111"/>
            <w:col w:w="1608" w:space="1439"/>
            <w:col w:w="798"/>
          </w:cols>
        </w:sectPr>
      </w:pPr>
    </w:p>
    <w:p>
      <w:pPr>
        <w:spacing w:line="277" w:lineRule="exact" w:before="123"/>
        <w:ind w:left="327" w:right="739" w:firstLine="0"/>
        <w:jc w:val="left"/>
        <w:rPr>
          <w:rFonts w:ascii="Arial" w:hAnsi="Arial"/>
          <w:sz w:val="13"/>
        </w:rPr>
      </w:pPr>
      <w:r>
        <w:rPr>
          <w:rFonts w:ascii="Arial" w:hAnsi="Arial"/>
          <w:b/>
          <w:color w:val="010101"/>
          <w:sz w:val="28"/>
        </w:rPr>
        <w:t>w</w:t>
      </w:r>
      <w:r>
        <w:rPr>
          <w:color w:val="010101"/>
          <w:sz w:val="20"/>
        </w:rPr>
        <w:t>e can now  find thc derivativc of </w:t>
      </w:r>
      <w:r>
        <w:rPr>
          <w:rFonts w:ascii="Arial" w:hAnsi="Arial"/>
          <w:color w:val="010101"/>
          <w:sz w:val="13"/>
        </w:rPr>
        <w:t>Ó:,;    </w:t>
      </w:r>
      <w:r>
        <w:rPr>
          <w:rFonts w:ascii="Arial" w:hAnsi="Arial"/>
          <w:color w:val="010101"/>
          <w:w w:val="190"/>
          <w:sz w:val="13"/>
        </w:rPr>
        <w:t>:</w:t>
      </w:r>
    </w:p>
    <w:p>
      <w:pPr>
        <w:tabs>
          <w:tab w:pos="2787" w:val="left" w:leader="none"/>
        </w:tabs>
        <w:spacing w:line="454" w:lineRule="exact" w:before="0"/>
        <w:ind w:left="985" w:right="739" w:firstLine="0"/>
        <w:jc w:val="left"/>
        <w:rPr>
          <w:b/>
          <w:i/>
          <w:sz w:val="21"/>
        </w:rPr>
      </w:pPr>
      <w:r>
        <w:rPr/>
        <w:pict>
          <v:rect style="position:absolute;margin-left:82.265282pt;margin-top:20.838516pt;width:93.35322pt;height:9.120715pt;mso-position-horizontal-relative:page;mso-position-vertical-relative:paragraph;z-index:-731680" filled="true" fillcolor="#000000" stroked="false">
            <v:fill type="solid"/>
            <w10:wrap type="none"/>
          </v:rect>
        </w:pict>
      </w:r>
      <w:r>
        <w:rPr>
          <w:b/>
          <w:color w:val="010101"/>
          <w:w w:val="60"/>
          <w:sz w:val="49"/>
        </w:rPr>
        <w:t>das _ </w:t>
      </w:r>
      <w:r>
        <w:rPr>
          <w:b/>
          <w:i/>
          <w:color w:val="010101"/>
          <w:w w:val="95"/>
          <w:sz w:val="21"/>
        </w:rPr>
        <w:t>d</w:t>
      </w:r>
      <w:r>
        <w:rPr>
          <w:b/>
          <w:i/>
          <w:color w:val="010101"/>
          <w:spacing w:val="21"/>
          <w:w w:val="95"/>
          <w:sz w:val="21"/>
        </w:rPr>
        <w:t> </w:t>
      </w:r>
      <w:r>
        <w:rPr>
          <w:b/>
          <w:color w:val="010101"/>
          <w:w w:val="60"/>
          <w:sz w:val="49"/>
        </w:rPr>
        <w:t>(Ñz)</w:t>
      </w:r>
      <w:r>
        <w:rPr>
          <w:b/>
          <w:color w:val="010101"/>
          <w:spacing w:val="-15"/>
          <w:w w:val="60"/>
          <w:sz w:val="49"/>
        </w:rPr>
        <w:t> </w:t>
      </w:r>
      <w:r>
        <w:rPr>
          <w:b/>
          <w:color w:val="010101"/>
          <w:w w:val="95"/>
          <w:sz w:val="49"/>
        </w:rPr>
        <w:t>-</w:t>
        <w:tab/>
      </w:r>
      <w:r>
        <w:rPr>
          <w:b/>
          <w:color w:val="010101"/>
          <w:w w:val="60"/>
          <w:sz w:val="45"/>
        </w:rPr>
        <w:t>1 - (D </w:t>
      </w:r>
      <w:r>
        <w:rPr>
          <w:b/>
          <w:i/>
          <w:color w:val="161616"/>
          <w:w w:val="95"/>
          <w:sz w:val="21"/>
        </w:rPr>
        <w:t>.</w:t>
      </w:r>
      <w:r>
        <w:rPr>
          <w:b/>
          <w:i/>
          <w:color w:val="161616"/>
          <w:w w:val="95"/>
          <w:sz w:val="21"/>
          <w:u w:val="single" w:color="000000"/>
        </w:rPr>
        <w:t>dÑ:,</w:t>
      </w:r>
      <w:r>
        <w:rPr>
          <w:b/>
          <w:i/>
          <w:color w:val="161616"/>
          <w:w w:val="95"/>
          <w:sz w:val="21"/>
        </w:rPr>
        <w:t>; </w:t>
      </w:r>
      <w:r>
        <w:rPr>
          <w:color w:val="010101"/>
          <w:sz w:val="21"/>
        </w:rPr>
        <w:t>_ </w:t>
      </w:r>
      <w:r>
        <w:rPr>
          <w:rFonts w:ascii="Arial" w:hAnsi="Arial"/>
          <w:b/>
          <w:i/>
          <w:color w:val="010101"/>
          <w:w w:val="95"/>
          <w:sz w:val="20"/>
        </w:rPr>
        <w:t>Ñ</w:t>
      </w:r>
      <w:r>
        <w:rPr>
          <w:rFonts w:ascii="Arial" w:hAnsi="Arial"/>
          <w:b/>
          <w:i/>
          <w:color w:val="010101"/>
          <w:spacing w:val="42"/>
          <w:w w:val="95"/>
          <w:sz w:val="20"/>
        </w:rPr>
        <w:t> </w:t>
      </w:r>
      <w:r>
        <w:rPr>
          <w:b/>
          <w:i/>
          <w:color w:val="010101"/>
          <w:w w:val="95"/>
          <w:sz w:val="21"/>
        </w:rPr>
        <w:t>.dD:s)</w:t>
      </w:r>
    </w:p>
    <w:p>
      <w:pPr>
        <w:tabs>
          <w:tab w:pos="1564" w:val="left" w:leader="none"/>
          <w:tab w:pos="2619" w:val="left" w:leader="none"/>
          <w:tab w:pos="3370" w:val="left" w:leader="none"/>
          <w:tab w:pos="4336" w:val="left" w:leader="none"/>
        </w:tabs>
        <w:spacing w:line="177" w:lineRule="exact" w:before="0"/>
        <w:ind w:left="1021" w:right="739" w:firstLine="0"/>
        <w:jc w:val="left"/>
        <w:rPr>
          <w:rFonts w:ascii="Arial" w:hAnsi="Arial"/>
          <w:sz w:val="18"/>
        </w:rPr>
      </w:pPr>
      <w:r>
        <w:rPr>
          <w:i/>
          <w:color w:val="010101"/>
          <w:sz w:val="19"/>
        </w:rPr>
        <w:t>dx</w:t>
        <w:tab/>
      </w:r>
      <w:r>
        <w:rPr>
          <w:i/>
          <w:color w:val="010101"/>
          <w:sz w:val="20"/>
        </w:rPr>
        <w:t>dx  </w:t>
      </w:r>
      <w:r>
        <w:rPr>
          <w:i/>
          <w:color w:val="010101"/>
          <w:spacing w:val="23"/>
          <w:sz w:val="20"/>
        </w:rPr>
        <w:t> </w:t>
      </w:r>
      <w:r>
        <w:rPr>
          <w:i/>
          <w:color w:val="010101"/>
          <w:sz w:val="21"/>
        </w:rPr>
        <w:t>Dz</w:t>
        <w:tab/>
      </w:r>
      <w:r>
        <w:rPr>
          <w:color w:val="010101"/>
          <w:sz w:val="20"/>
        </w:rPr>
        <w:t>(D:s)"</w:t>
        <w:tab/>
        <w:t>• </w:t>
      </w:r>
      <w:r>
        <w:rPr>
          <w:color w:val="010101"/>
          <w:spacing w:val="49"/>
          <w:sz w:val="20"/>
        </w:rPr>
        <w:t> </w:t>
      </w:r>
      <w:r>
        <w:rPr>
          <w:i/>
          <w:color w:val="010101"/>
          <w:sz w:val="20"/>
        </w:rPr>
        <w:t>dx</w:t>
        <w:tab/>
      </w:r>
      <w:r>
        <w:rPr>
          <w:rFonts w:ascii="Arial" w:hAnsi="Arial"/>
          <w:i/>
          <w:color w:val="010101"/>
          <w:sz w:val="11"/>
        </w:rPr>
        <w:t>:s      </w:t>
      </w:r>
      <w:r>
        <w:rPr>
          <w:rFonts w:ascii="Arial" w:hAnsi="Arial"/>
          <w:i/>
          <w:color w:val="010101"/>
          <w:sz w:val="18"/>
          <w:shd w:fill="000000" w:color="auto" w:val="clear"/>
        </w:rPr>
        <w:t>dx   </w:t>
      </w:r>
      <w:r>
        <w:rPr>
          <w:rFonts w:ascii="Arial" w:hAnsi="Arial"/>
          <w:i/>
          <w:color w:val="010101"/>
          <w:spacing w:val="24"/>
          <w:sz w:val="18"/>
          <w:shd w:fill="000000" w:color="auto" w:val="clear"/>
        </w:rPr>
        <w:t> </w:t>
      </w:r>
      <w:r>
        <w:rPr>
          <w:rFonts w:ascii="Arial" w:hAnsi="Arial"/>
          <w:color w:val="010101"/>
          <w:sz w:val="18"/>
        </w:rPr>
        <w:t>•</w:t>
      </w:r>
    </w:p>
    <w:p>
      <w:pPr>
        <w:pStyle w:val="BodyText"/>
        <w:spacing w:before="130"/>
        <w:ind w:left="116" w:right="133"/>
      </w:pPr>
      <w:r>
        <w:rPr>
          <w:color w:val="010101"/>
          <w:w w:val="105"/>
        </w:rPr>
        <w:t>Substituting  from  (2.17)  and  (2.36)  and símplifying,  we havc</w:t>
      </w:r>
    </w:p>
    <w:p>
      <w:pPr>
        <w:pStyle w:val="BodyText"/>
        <w:spacing w:before="174"/>
        <w:ind w:left="1960" w:right="133"/>
      </w:pPr>
      <w:r>
        <w:rPr>
          <w:position w:val="-15"/>
        </w:rPr>
        <w:drawing>
          <wp:inline distT="0" distB="0" distL="0" distR="0">
            <wp:extent cx="1316736" cy="265175"/>
            <wp:effectExtent l="0" t="0" r="0" b="0"/>
            <wp:docPr id="99" name="image54.png" descr=""/>
            <wp:cNvGraphicFramePr>
              <a:graphicFrameLocks noChangeAspect="1"/>
            </wp:cNvGraphicFramePr>
            <a:graphic>
              <a:graphicData uri="http://schemas.openxmlformats.org/drawingml/2006/picture">
                <pic:pic>
                  <pic:nvPicPr>
                    <pic:cNvPr id="100" name="image54.png"/>
                    <pic:cNvPicPr/>
                  </pic:nvPicPr>
                  <pic:blipFill>
                    <a:blip r:embed="rId58" cstate="print"/>
                    <a:stretch>
                      <a:fillRect/>
                    </a:stretch>
                  </pic:blipFill>
                  <pic:spPr>
                    <a:xfrm>
                      <a:off x="0" y="0"/>
                      <a:ext cx="1316736" cy="265175"/>
                    </a:xfrm>
                    <a:prstGeom prst="rect">
                      <a:avLst/>
                    </a:prstGeom>
                  </pic:spPr>
                </pic:pic>
              </a:graphicData>
            </a:graphic>
          </wp:inline>
        </w:drawing>
      </w:r>
      <w:r>
        <w:rPr>
          <w:position w:val="-15"/>
        </w:rPr>
      </w:r>
      <w:r>
        <w:rPr/>
        <w:t>                         </w:t>
      </w:r>
      <w:r>
        <w:rPr>
          <w:color w:val="010101"/>
          <w:w w:val="105"/>
        </w:rPr>
        <w:t>(2.37)</w:t>
      </w:r>
    </w:p>
    <w:p>
      <w:pPr>
        <w:pStyle w:val="ListParagraph"/>
        <w:numPr>
          <w:ilvl w:val="0"/>
          <w:numId w:val="21"/>
        </w:numPr>
        <w:tabs>
          <w:tab w:pos="335" w:val="left" w:leader="none"/>
        </w:tabs>
        <w:spacing w:line="240" w:lineRule="auto" w:before="179" w:after="0"/>
        <w:ind w:left="334" w:right="0" w:hanging="222"/>
        <w:jc w:val="left"/>
        <w:rPr>
          <w:b/>
          <w:sz w:val="19"/>
        </w:rPr>
      </w:pPr>
      <w:r>
        <w:rPr>
          <w:b/>
          <w:color w:val="010101"/>
          <w:w w:val="120"/>
          <w:sz w:val="19"/>
        </w:rPr>
        <w:t>Varying</w:t>
      </w:r>
      <w:r>
        <w:rPr>
          <w:b/>
          <w:color w:val="010101"/>
          <w:spacing w:val="-4"/>
          <w:w w:val="120"/>
          <w:sz w:val="19"/>
        </w:rPr>
        <w:t> </w:t>
      </w:r>
      <w:r>
        <w:rPr>
          <w:b/>
          <w:color w:val="010101"/>
          <w:w w:val="120"/>
          <w:sz w:val="19"/>
        </w:rPr>
        <w:t>annuities</w:t>
      </w:r>
    </w:p>
    <w:p>
      <w:pPr>
        <w:pStyle w:val="BodyText"/>
        <w:spacing w:before="8"/>
        <w:rPr>
          <w:b/>
          <w:sz w:val="18"/>
        </w:rPr>
      </w:pPr>
    </w:p>
    <w:p>
      <w:pPr>
        <w:pStyle w:val="BodyText"/>
        <w:spacing w:line="81" w:lineRule="auto"/>
        <w:ind w:left="123" w:right="150" w:firstLine="189"/>
        <w:rPr>
          <w:i/>
          <w:sz w:val="21"/>
        </w:rPr>
      </w:pPr>
      <w:r>
        <w:rPr>
          <w:color w:val="010101"/>
        </w:rPr>
        <w:t>Annuity fonns  are frequcntly  cncountered  under  which  thc  rate  of  payment  varies  from  time to time. Thesc are known </w:t>
      </w:r>
      <w:r>
        <w:rPr>
          <w:color w:val="010101"/>
          <w:sz w:val="37"/>
        </w:rPr>
        <w:t>as</w:t>
      </w:r>
      <w:r>
        <w:rPr>
          <w:color w:val="010101"/>
          <w:spacing w:val="47"/>
          <w:sz w:val="37"/>
        </w:rPr>
        <w:t> </w:t>
      </w:r>
      <w:r>
        <w:rPr>
          <w:i/>
          <w:color w:val="010101"/>
          <w:sz w:val="21"/>
        </w:rPr>
        <w:t>varying</w:t>
      </w:r>
    </w:p>
    <w:p>
      <w:pPr>
        <w:pStyle w:val="BodyText"/>
        <w:spacing w:before="26"/>
        <w:ind w:left="123" w:right="739"/>
      </w:pPr>
      <w:r>
        <w:rPr>
          <w:color w:val="010101"/>
          <w:w w:val="105"/>
        </w:rPr>
        <w:t>annuities.</w:t>
      </w:r>
    </w:p>
    <w:p>
      <w:pPr>
        <w:spacing w:after="0"/>
        <w:sectPr>
          <w:type w:val="continuous"/>
          <w:pgSz w:w="7200" w:h="11340"/>
          <w:pgMar w:top="1100" w:bottom="0" w:left="660" w:right="560"/>
        </w:sectPr>
      </w:pPr>
    </w:p>
    <w:p>
      <w:pPr>
        <w:tabs>
          <w:tab w:pos="1989" w:val="left" w:leader="none"/>
          <w:tab w:pos="5869" w:val="right" w:leader="none"/>
        </w:tabs>
        <w:spacing w:before="64"/>
        <w:ind w:left="103" w:right="0" w:firstLine="0"/>
        <w:jc w:val="left"/>
        <w:rPr>
          <w:sz w:val="20"/>
        </w:rPr>
      </w:pPr>
      <w:r>
        <w:rPr>
          <w:b/>
          <w:w w:val="105"/>
          <w:sz w:val="15"/>
        </w:rPr>
        <w:t>SEC.</w:t>
      </w:r>
      <w:r>
        <w:rPr>
          <w:b/>
          <w:spacing w:val="29"/>
          <w:w w:val="105"/>
          <w:sz w:val="15"/>
        </w:rPr>
        <w:t> </w:t>
      </w:r>
      <w:r>
        <w:rPr>
          <w:w w:val="105"/>
          <w:sz w:val="19"/>
        </w:rPr>
        <w:t>5]</w:t>
        <w:tab/>
      </w:r>
      <w:r>
        <w:rPr>
          <w:b/>
          <w:w w:val="105"/>
          <w:position w:val="1"/>
          <w:sz w:val="15"/>
        </w:rPr>
        <w:t>VARYING </w:t>
      </w:r>
      <w:r>
        <w:rPr>
          <w:b/>
          <w:spacing w:val="28"/>
          <w:w w:val="105"/>
          <w:position w:val="1"/>
          <w:sz w:val="15"/>
        </w:rPr>
        <w:t> </w:t>
      </w:r>
      <w:r>
        <w:rPr>
          <w:b/>
          <w:w w:val="105"/>
          <w:position w:val="1"/>
          <w:sz w:val="15"/>
        </w:rPr>
        <w:t>ANNUITIES</w:t>
      </w:r>
      <w:r>
        <w:rPr>
          <w:w w:val="105"/>
          <w:sz w:val="20"/>
        </w:rPr>
        <w:tab/>
        <w:t>51</w:t>
      </w:r>
    </w:p>
    <w:p>
      <w:pPr>
        <w:pStyle w:val="BodyText"/>
        <w:spacing w:before="2"/>
      </w:pPr>
    </w:p>
    <w:p>
      <w:pPr>
        <w:pStyle w:val="BodyText"/>
        <w:spacing w:line="249" w:lineRule="auto"/>
        <w:ind w:left="103" w:right="110" w:firstLine="194"/>
        <w:jc w:val="both"/>
      </w:pPr>
      <w:r>
        <w:rPr/>
        <w:t>The present value of </w:t>
      </w:r>
      <w:r>
        <w:rPr>
          <w:sz w:val="21"/>
        </w:rPr>
        <w:t>a. </w:t>
      </w:r>
      <w:r>
        <w:rPr/>
        <w:t>varying annuity  may  usually  be expressed as a combination of the present values of certain level annuities. Consider, for example, a varying annuity  to  </w:t>
      </w:r>
      <w:r>
        <w:rPr>
          <w:rFonts w:ascii="Arial"/>
          <w:i/>
          <w:spacing w:val="7"/>
          <w:sz w:val="17"/>
        </w:rPr>
        <w:t>(x)  </w:t>
      </w:r>
      <w:r>
        <w:rPr/>
        <w:t>which  provides  annual payments of </w:t>
      </w:r>
      <w:r>
        <w:rPr>
          <w:spacing w:val="3"/>
        </w:rPr>
        <w:t>1for </w:t>
      </w:r>
      <w:r>
        <w:rPr>
          <w:i/>
        </w:rPr>
        <w:t>n </w:t>
      </w:r>
      <w:r>
        <w:rPr/>
        <w:t>years followed by payments of 2 for the balance of  the  lifetime  of  </w:t>
      </w:r>
      <w:r>
        <w:rPr>
          <w:rFonts w:ascii="Arial"/>
          <w:i/>
          <w:sz w:val="19"/>
        </w:rPr>
        <w:t>(x </w:t>
      </w:r>
      <w:r>
        <w:rPr>
          <w:rFonts w:ascii="Arial"/>
          <w:w w:val="105"/>
          <w:sz w:val="19"/>
        </w:rPr>
        <w:t>). </w:t>
      </w:r>
      <w:r>
        <w:rPr/>
        <w:t>Its  present  value  is obviously  equal </w:t>
      </w:r>
      <w:r>
        <w:rPr>
          <w:sz w:val="21"/>
        </w:rPr>
        <w:t>to </w:t>
      </w:r>
      <w:r>
        <w:rPr/>
        <w:t>the sum of  the  present  values  of  a life annuity  of  </w:t>
      </w:r>
      <w:r>
        <w:rPr>
          <w:spacing w:val="3"/>
        </w:rPr>
        <w:t>1and </w:t>
      </w:r>
      <w:r>
        <w:rPr/>
        <w:t>an </w:t>
      </w:r>
      <w:r>
        <w:rPr>
          <w:spacing w:val="21"/>
        </w:rPr>
        <w:t> </w:t>
      </w:r>
      <w:r>
        <w:rPr/>
        <w:t>n-year</w:t>
      </w:r>
    </w:p>
    <w:p>
      <w:pPr>
        <w:spacing w:line="249" w:lineRule="exact" w:before="0"/>
        <w:ind w:left="110" w:right="0" w:firstLine="3"/>
        <w:jc w:val="left"/>
        <w:rPr>
          <w:sz w:val="20"/>
        </w:rPr>
      </w:pPr>
      <w:r>
        <w:rPr>
          <w:w w:val="105"/>
          <w:sz w:val="20"/>
        </w:rPr>
        <w:t>deferred  life  annuity  of  </w:t>
      </w:r>
      <w:r>
        <w:rPr>
          <w:w w:val="105"/>
          <w:sz w:val="19"/>
        </w:rPr>
        <w:t>1, </w:t>
      </w:r>
      <w:r>
        <w:rPr>
          <w:i/>
          <w:w w:val="105"/>
          <w:sz w:val="16"/>
        </w:rPr>
        <w:t>ax  </w:t>
      </w:r>
      <w:r>
        <w:rPr>
          <w:rFonts w:ascii="Arial"/>
          <w:w w:val="105"/>
          <w:sz w:val="32"/>
        </w:rPr>
        <w:t>+ </w:t>
      </w:r>
      <w:r>
        <w:rPr>
          <w:i/>
          <w:w w:val="105"/>
          <w:sz w:val="16"/>
        </w:rPr>
        <w:t>ni ax  </w:t>
      </w:r>
      <w:r>
        <w:rPr>
          <w:w w:val="105"/>
          <w:sz w:val="16"/>
        </w:rPr>
        <w:t>;  </w:t>
      </w:r>
      <w:r>
        <w:rPr>
          <w:w w:val="105"/>
          <w:sz w:val="20"/>
        </w:rPr>
        <w:t>or  it may  be  expressed as</w:t>
      </w:r>
    </w:p>
    <w:p>
      <w:pPr>
        <w:pStyle w:val="BodyText"/>
        <w:spacing w:line="148" w:lineRule="auto" w:before="62"/>
        <w:ind w:left="110"/>
      </w:pPr>
      <w:r>
        <w:rPr/>
        <w:t>the sum of an n-year temporary annuity of 1 plus an n-year de­ </w:t>
      </w:r>
      <w:r>
        <w:rPr>
          <w:w w:val="103"/>
        </w:rPr>
        <w:t>ferred </w:t>
      </w:r>
      <w:r>
        <w:rPr>
          <w:w w:val="109"/>
        </w:rPr>
        <w:t>annuity </w:t>
      </w:r>
      <w:r>
        <w:rPr>
          <w:w w:val="87"/>
        </w:rPr>
        <w:t>of  </w:t>
      </w:r>
      <w:r>
        <w:rPr>
          <w:w w:val="110"/>
          <w:sz w:val="19"/>
        </w:rPr>
        <w:t>2,  </w:t>
      </w:r>
      <w:r>
        <w:rPr>
          <w:rFonts w:ascii="Arial" w:hAnsi="Arial"/>
          <w:i/>
          <w:w w:val="89"/>
          <w:sz w:val="19"/>
        </w:rPr>
        <w:t>a=ñl  </w:t>
      </w:r>
      <w:r>
        <w:rPr>
          <w:rFonts w:ascii="Arial" w:hAnsi="Arial"/>
          <w:w w:val="102"/>
          <w:sz w:val="32"/>
        </w:rPr>
        <w:t>+ </w:t>
      </w:r>
      <w:r>
        <w:rPr>
          <w:w w:val="66"/>
        </w:rPr>
        <w:t>2111ª2:  </w:t>
      </w:r>
      <w:r>
        <w:rPr>
          <w:w w:val="56"/>
        </w:rPr>
        <w:t>•</w:t>
      </w:r>
    </w:p>
    <w:p>
      <w:pPr>
        <w:pStyle w:val="BodyText"/>
        <w:spacing w:line="249" w:lineRule="auto"/>
        <w:ind w:left="114" w:right="116" w:firstLine="198"/>
        <w:jc w:val="both"/>
      </w:pPr>
      <w:r>
        <w:rPr>
          <w:w w:val="110"/>
        </w:rPr>
        <w:t>As a second example, let </w:t>
      </w:r>
      <w:r>
        <w:rPr>
          <w:w w:val="110"/>
          <w:sz w:val="19"/>
        </w:rPr>
        <w:t>us </w:t>
      </w:r>
      <w:r>
        <w:rPr>
          <w:w w:val="110"/>
        </w:rPr>
        <w:t>suppose that a varying annuity-due provides annual payments of 1 for </w:t>
      </w:r>
      <w:r>
        <w:rPr>
          <w:w w:val="145"/>
        </w:rPr>
        <w:t>th </w:t>
      </w:r>
      <w:r>
        <w:rPr>
          <w:w w:val="110"/>
        </w:rPr>
        <w:t>first </w:t>
      </w:r>
      <w:r>
        <w:rPr>
          <w:i/>
          <w:w w:val="110"/>
          <w:sz w:val="21"/>
        </w:rPr>
        <w:t>n </w:t>
      </w:r>
      <w:r>
        <w:rPr>
          <w:w w:val="110"/>
        </w:rPr>
        <w:t>years, payments of</w:t>
      </w:r>
      <w:r>
        <w:rPr>
          <w:spacing w:val="-11"/>
          <w:w w:val="110"/>
        </w:rPr>
        <w:t> </w:t>
      </w:r>
      <w:r>
        <w:rPr>
          <w:w w:val="110"/>
        </w:rPr>
        <w:t>2 for the next </w:t>
      </w:r>
      <w:r>
        <w:rPr>
          <w:rFonts w:ascii="Arial" w:hAnsi="Arial"/>
          <w:i/>
          <w:w w:val="110"/>
          <w:sz w:val="18"/>
        </w:rPr>
        <w:t>m </w:t>
      </w:r>
      <w:r>
        <w:rPr>
          <w:w w:val="110"/>
        </w:rPr>
        <w:t>years, and payments of 1 again for the balance of the lifetime of </w:t>
      </w:r>
      <w:r>
        <w:rPr>
          <w:rFonts w:ascii="Arial" w:hAnsi="Arial"/>
          <w:i/>
          <w:w w:val="110"/>
          <w:sz w:val="19"/>
        </w:rPr>
        <w:t>(x ). </w:t>
      </w:r>
      <w:r>
        <w:rPr>
          <w:w w:val="110"/>
        </w:rPr>
        <w:t>This -series of payments is evidently the</w:t>
      </w:r>
      <w:r>
        <w:rPr>
          <w:spacing w:val="-22"/>
          <w:w w:val="110"/>
        </w:rPr>
        <w:t> </w:t>
      </w:r>
      <w:r>
        <w:rPr>
          <w:w w:val="110"/>
        </w:rPr>
        <w:t>same as would </w:t>
      </w:r>
      <w:r>
        <w:rPr>
          <w:w w:val="110"/>
          <w:sz w:val="19"/>
        </w:rPr>
        <w:t>be </w:t>
      </w:r>
      <w:r>
        <w:rPr>
          <w:w w:val="110"/>
        </w:rPr>
        <w:t>provided by a life annuity-due of 1 plus an</w:t>
      </w:r>
      <w:r>
        <w:rPr>
          <w:spacing w:val="-40"/>
          <w:w w:val="110"/>
        </w:rPr>
        <w:t> </w:t>
      </w:r>
      <w:r>
        <w:rPr>
          <w:w w:val="110"/>
        </w:rPr>
        <w:t>n-year de­</w:t>
      </w:r>
    </w:p>
    <w:p>
      <w:pPr>
        <w:spacing w:line="248" w:lineRule="exact" w:before="0"/>
        <w:ind w:left="121" w:right="0" w:firstLine="0"/>
        <w:jc w:val="left"/>
        <w:rPr>
          <w:rFonts w:ascii="Arial"/>
          <w:sz w:val="15"/>
        </w:rPr>
      </w:pPr>
      <w:r>
        <w:rPr>
          <w:w w:val="110"/>
          <w:sz w:val="20"/>
        </w:rPr>
        <w:t>ferred m-year temporary annuity-due of 1, </w:t>
      </w:r>
      <w:r>
        <w:rPr>
          <w:i/>
          <w:w w:val="110"/>
          <w:sz w:val="19"/>
        </w:rPr>
        <w:t>iix </w:t>
      </w:r>
      <w:r>
        <w:rPr>
          <w:rFonts w:ascii="Arial"/>
          <w:w w:val="110"/>
          <w:sz w:val="32"/>
        </w:rPr>
        <w:t>+</w:t>
      </w:r>
      <w:r>
        <w:rPr>
          <w:rFonts w:ascii="Arial"/>
          <w:spacing w:val="-66"/>
          <w:w w:val="110"/>
          <w:sz w:val="32"/>
        </w:rPr>
        <w:t> </w:t>
      </w:r>
      <w:r>
        <w:rPr>
          <w:rFonts w:ascii="Arial"/>
          <w:w w:val="110"/>
          <w:sz w:val="15"/>
        </w:rPr>
        <w:t>nlindz </w:t>
      </w:r>
      <w:r>
        <w:rPr>
          <w:rFonts w:ascii="Arial"/>
          <w:w w:val="210"/>
          <w:sz w:val="15"/>
        </w:rPr>
        <w:t>.</w:t>
      </w:r>
    </w:p>
    <w:p>
      <w:pPr>
        <w:pStyle w:val="BodyText"/>
        <w:spacing w:line="249" w:lineRule="auto"/>
        <w:ind w:left="117" w:right="121" w:firstLine="201"/>
        <w:jc w:val="both"/>
      </w:pPr>
      <w:r>
        <w:rPr>
          <w:w w:val="105"/>
        </w:rPr>
        <w:t>Special symbols have been assigned to certain common forms of varying annuity in which the payment pattern follows sorne regular law. The case in which the annual  payments  increase or decrease  in arithmetical  progression  is of  particular</w:t>
      </w:r>
      <w:r>
        <w:rPr>
          <w:spacing w:val="40"/>
          <w:w w:val="105"/>
        </w:rPr>
        <w:t> </w:t>
      </w:r>
      <w:r>
        <w:rPr>
          <w:w w:val="105"/>
        </w:rPr>
        <w:t>importance.</w:t>
      </w:r>
    </w:p>
    <w:p>
      <w:pPr>
        <w:spacing w:line="146" w:lineRule="auto" w:before="75"/>
        <w:ind w:left="117" w:right="105" w:firstLine="201"/>
        <w:jc w:val="both"/>
        <w:rPr>
          <w:sz w:val="20"/>
        </w:rPr>
      </w:pPr>
      <w:r>
        <w:rPr>
          <w:w w:val="105"/>
          <w:sz w:val="20"/>
        </w:rPr>
        <w:t>The symbol </w:t>
      </w:r>
      <w:r>
        <w:rPr>
          <w:i/>
          <w:w w:val="105"/>
          <w:sz w:val="19"/>
        </w:rPr>
        <w:t>(la)x </w:t>
      </w:r>
      <w:r>
        <w:rPr>
          <w:w w:val="105"/>
          <w:sz w:val="20"/>
        </w:rPr>
        <w:t>denotes the present value at age </w:t>
      </w:r>
      <w:r>
        <w:rPr>
          <w:i/>
          <w:w w:val="105"/>
          <w:sz w:val="20"/>
        </w:rPr>
        <w:t>x </w:t>
      </w:r>
      <w:r>
        <w:rPr>
          <w:w w:val="105"/>
          <w:sz w:val="20"/>
        </w:rPr>
        <w:t>of an </w:t>
      </w:r>
      <w:r>
        <w:rPr>
          <w:i/>
          <w:w w:val="105"/>
          <w:sz w:val="20"/>
        </w:rPr>
        <w:t>in­ </w:t>
      </w:r>
      <w:r>
        <w:rPr>
          <w:i/>
          <w:w w:val="105"/>
          <w:sz w:val="20"/>
        </w:rPr>
        <w:t>creasing lije annuity  </w:t>
      </w:r>
      <w:r>
        <w:rPr>
          <w:w w:val="105"/>
          <w:sz w:val="20"/>
        </w:rPr>
        <w:t>which  provides payments of  1 at age </w:t>
      </w:r>
      <w:r>
        <w:rPr>
          <w:i/>
          <w:w w:val="105"/>
          <w:sz w:val="20"/>
        </w:rPr>
        <w:t>x  </w:t>
      </w:r>
      <w:r>
        <w:rPr>
          <w:rFonts w:ascii="Arial" w:hAnsi="Arial"/>
          <w:w w:val="105"/>
          <w:sz w:val="32"/>
        </w:rPr>
        <w:t>+ </w:t>
      </w:r>
      <w:r>
        <w:rPr>
          <w:w w:val="105"/>
          <w:sz w:val="20"/>
        </w:rPr>
        <w:t>1, 2 at age </w:t>
      </w:r>
      <w:r>
        <w:rPr>
          <w:i/>
          <w:w w:val="105"/>
          <w:sz w:val="21"/>
        </w:rPr>
        <w:t>x  </w:t>
      </w:r>
      <w:r>
        <w:rPr>
          <w:rFonts w:ascii="Arial" w:hAnsi="Arial"/>
          <w:w w:val="105"/>
          <w:sz w:val="30"/>
        </w:rPr>
        <w:t>+ </w:t>
      </w:r>
      <w:r>
        <w:rPr>
          <w:w w:val="105"/>
          <w:sz w:val="20"/>
        </w:rPr>
        <w:t>2, 3 at age </w:t>
      </w:r>
      <w:r>
        <w:rPr>
          <w:i/>
          <w:w w:val="105"/>
          <w:sz w:val="21"/>
        </w:rPr>
        <w:t>x  </w:t>
      </w:r>
      <w:r>
        <w:rPr>
          <w:rFonts w:ascii="Arial" w:hAnsi="Arial"/>
          <w:w w:val="105"/>
          <w:sz w:val="32"/>
        </w:rPr>
        <w:t>+ </w:t>
      </w:r>
      <w:r>
        <w:rPr>
          <w:w w:val="105"/>
          <w:sz w:val="20"/>
        </w:rPr>
        <w:t>3, increasing  by  1 for each year that</w:t>
      </w:r>
    </w:p>
    <w:p>
      <w:pPr>
        <w:spacing w:before="9"/>
        <w:ind w:left="157" w:right="0" w:firstLine="0"/>
        <w:jc w:val="left"/>
        <w:rPr>
          <w:sz w:val="20"/>
        </w:rPr>
      </w:pPr>
      <w:r>
        <w:rPr>
          <w:rFonts w:ascii="Arial"/>
          <w:i/>
          <w:w w:val="105"/>
          <w:sz w:val="19"/>
        </w:rPr>
        <w:t>(x) </w:t>
      </w:r>
      <w:r>
        <w:rPr>
          <w:w w:val="105"/>
          <w:sz w:val="20"/>
        </w:rPr>
        <w:t>survives. Thus,</w:t>
      </w:r>
    </w:p>
    <w:p>
      <w:pPr>
        <w:spacing w:after="0"/>
        <w:jc w:val="left"/>
        <w:rPr>
          <w:sz w:val="20"/>
        </w:rPr>
        <w:sectPr>
          <w:pgSz w:w="7200" w:h="11340"/>
          <w:pgMar w:top="480" w:bottom="280" w:left="660" w:right="540"/>
        </w:sectPr>
      </w:pPr>
    </w:p>
    <w:p>
      <w:pPr>
        <w:pStyle w:val="BodyText"/>
        <w:rPr>
          <w:sz w:val="8"/>
        </w:rPr>
      </w:pPr>
    </w:p>
    <w:p>
      <w:pPr>
        <w:pStyle w:val="BodyText"/>
        <w:spacing w:before="3"/>
        <w:rPr>
          <w:sz w:val="6"/>
        </w:rPr>
      </w:pPr>
    </w:p>
    <w:p>
      <w:pPr>
        <w:spacing w:line="91" w:lineRule="exact" w:before="0"/>
        <w:ind w:left="0" w:right="702" w:firstLine="0"/>
        <w:jc w:val="right"/>
        <w:rPr>
          <w:sz w:val="9"/>
        </w:rPr>
      </w:pPr>
      <w:r>
        <w:rPr/>
        <w:pict>
          <v:shape style="position:absolute;margin-left:181.440002pt;margin-top:2.401715pt;width:10.6pt;height:17pt;mso-position-horizontal-relative:page;mso-position-vertical-relative:paragraph;z-index:-731512" type="#_x0000_t202" filled="false" stroked="false">
            <v:textbox inset="0,0,0,0">
              <w:txbxContent>
                <w:p>
                  <w:pPr>
                    <w:spacing w:line="340" w:lineRule="exact" w:before="0"/>
                    <w:ind w:left="0" w:right="0" w:firstLine="0"/>
                    <w:jc w:val="left"/>
                    <w:rPr>
                      <w:i/>
                      <w:sz w:val="34"/>
                    </w:rPr>
                  </w:pPr>
                  <w:r>
                    <w:rPr>
                      <w:i/>
                      <w:w w:val="111"/>
                      <w:sz w:val="34"/>
                    </w:rPr>
                    <w:t>L</w:t>
                  </w:r>
                </w:p>
              </w:txbxContent>
            </v:textbox>
            <w10:wrap type="none"/>
          </v:shape>
        </w:pict>
      </w:r>
      <w:r>
        <w:rPr>
          <w:w w:val="105"/>
          <w:sz w:val="9"/>
        </w:rPr>
        <w:t>IO</w:t>
      </w:r>
    </w:p>
    <w:p>
      <w:pPr>
        <w:tabs>
          <w:tab w:pos="3249" w:val="left" w:leader="none"/>
        </w:tabs>
        <w:spacing w:line="271" w:lineRule="exact" w:before="0"/>
        <w:ind w:left="2194" w:right="0" w:firstLine="0"/>
        <w:jc w:val="center"/>
        <w:rPr>
          <w:i/>
          <w:sz w:val="20"/>
        </w:rPr>
      </w:pPr>
      <w:r>
        <w:rPr>
          <w:rFonts w:ascii="Arial"/>
          <w:i/>
          <w:w w:val="132"/>
          <w:sz w:val="19"/>
        </w:rPr>
        <w:t>(</w:t>
      </w:r>
      <w:r>
        <w:rPr>
          <w:rFonts w:ascii="Arial"/>
          <w:i/>
          <w:w w:val="132"/>
          <w:sz w:val="19"/>
        </w:rPr>
        <w:t>l</w:t>
      </w:r>
      <w:r>
        <w:rPr>
          <w:rFonts w:ascii="Arial"/>
          <w:i/>
          <w:spacing w:val="3"/>
          <w:w w:val="132"/>
          <w:sz w:val="19"/>
        </w:rPr>
        <w:t>a</w:t>
      </w:r>
      <w:r>
        <w:rPr>
          <w:rFonts w:ascii="Arial"/>
          <w:i/>
          <w:w w:val="54"/>
          <w:sz w:val="19"/>
        </w:rPr>
        <w:t>)%</w:t>
      </w:r>
      <w:r>
        <w:rPr>
          <w:rFonts w:ascii="Arial"/>
          <w:i/>
          <w:sz w:val="19"/>
        </w:rPr>
        <w:t> </w:t>
      </w:r>
      <w:r>
        <w:rPr>
          <w:rFonts w:ascii="Arial"/>
          <w:i/>
          <w:spacing w:val="-7"/>
          <w:sz w:val="19"/>
        </w:rPr>
        <w:t> </w:t>
      </w:r>
      <w:r>
        <w:rPr>
          <w:w w:val="94"/>
          <w:sz w:val="26"/>
        </w:rPr>
        <w:t>=</w:t>
      </w:r>
      <w:r>
        <w:rPr>
          <w:sz w:val="26"/>
        </w:rPr>
        <w:tab/>
      </w:r>
      <w:r>
        <w:rPr>
          <w:i/>
          <w:w w:val="91"/>
          <w:sz w:val="20"/>
        </w:rPr>
        <w:t>tvttPs</w:t>
      </w:r>
      <w:r>
        <w:rPr>
          <w:i/>
          <w:spacing w:val="10"/>
          <w:sz w:val="20"/>
        </w:rPr>
        <w:t> </w:t>
      </w:r>
      <w:r>
        <w:rPr>
          <w:i/>
          <w:w w:val="143"/>
          <w:sz w:val="20"/>
        </w:rPr>
        <w:t>.</w:t>
      </w:r>
    </w:p>
    <w:p>
      <w:pPr>
        <w:spacing w:line="122" w:lineRule="exact" w:before="0"/>
        <w:ind w:left="0" w:right="615" w:firstLine="0"/>
        <w:jc w:val="right"/>
        <w:rPr>
          <w:rFonts w:ascii="Arial"/>
          <w:b/>
          <w:sz w:val="12"/>
        </w:rPr>
      </w:pPr>
      <w:r>
        <w:rPr>
          <w:rFonts w:ascii="Arial"/>
          <w:b/>
          <w:w w:val="165"/>
          <w:sz w:val="12"/>
        </w:rPr>
        <w:t>t-1</w:t>
      </w:r>
    </w:p>
    <w:p>
      <w:pPr>
        <w:pStyle w:val="BodyText"/>
        <w:spacing w:before="4"/>
        <w:rPr>
          <w:rFonts w:ascii="Arial"/>
          <w:b/>
          <w:sz w:val="25"/>
        </w:rPr>
      </w:pPr>
      <w:r>
        <w:rPr/>
        <w:br w:type="column"/>
      </w:r>
      <w:r>
        <w:rPr>
          <w:rFonts w:ascii="Arial"/>
          <w:b/>
          <w:sz w:val="25"/>
        </w:rPr>
      </w:r>
    </w:p>
    <w:p>
      <w:pPr>
        <w:pStyle w:val="BodyText"/>
        <w:ind w:right="132"/>
        <w:jc w:val="right"/>
      </w:pPr>
      <w:r>
        <w:rPr>
          <w:w w:val="105"/>
        </w:rPr>
        <w:t>(2.38)</w:t>
      </w:r>
    </w:p>
    <w:p>
      <w:pPr>
        <w:spacing w:after="0"/>
        <w:jc w:val="right"/>
        <w:sectPr>
          <w:type w:val="continuous"/>
          <w:pgSz w:w="7200" w:h="11340"/>
          <w:pgMar w:top="1100" w:bottom="0" w:left="660" w:right="540"/>
          <w:cols w:num="2" w:equalWidth="0">
            <w:col w:w="3800" w:space="40"/>
            <w:col w:w="2160"/>
          </w:cols>
        </w:sectPr>
      </w:pPr>
    </w:p>
    <w:p>
      <w:pPr>
        <w:pStyle w:val="BodyText"/>
        <w:spacing w:before="162"/>
        <w:ind w:left="121" w:right="121"/>
        <w:jc w:val="both"/>
      </w:pPr>
      <w:r>
        <w:rPr>
          <w:w w:val="105"/>
        </w:rPr>
        <w:t>This pattem of payments is clearly equivalent to that provided by  the following series of level annuities: an annuity of 1 </w:t>
      </w:r>
      <w:r>
        <w:rPr>
          <w:w w:val="105"/>
          <w:sz w:val="19"/>
        </w:rPr>
        <w:t>(ax ), </w:t>
      </w:r>
      <w:r>
        <w:rPr>
          <w:w w:val="105"/>
        </w:rPr>
        <w:t>an annuity of 1 deferred </w:t>
      </w:r>
      <w:r>
        <w:rPr>
          <w:spacing w:val="3"/>
          <w:w w:val="105"/>
        </w:rPr>
        <w:t>1year </w:t>
      </w:r>
      <w:r>
        <w:rPr>
          <w:spacing w:val="-6"/>
          <w:w w:val="105"/>
        </w:rPr>
        <w:t>(</w:t>
      </w:r>
      <w:r>
        <w:rPr>
          <w:spacing w:val="-6"/>
          <w:w w:val="105"/>
          <w:position w:val="-3"/>
          <w:sz w:val="16"/>
        </w:rPr>
        <w:t>11</w:t>
      </w:r>
      <w:r>
        <w:rPr>
          <w:spacing w:val="-6"/>
          <w:w w:val="105"/>
        </w:rPr>
        <w:t>as), </w:t>
      </w:r>
      <w:r>
        <w:rPr>
          <w:w w:val="105"/>
        </w:rPr>
        <w:t>an annuity of 1deferred 2 years (21as), and so on. From this point </w:t>
      </w:r>
      <w:r>
        <w:rPr>
          <w:rFonts w:ascii="Arial"/>
          <w:w w:val="105"/>
        </w:rPr>
        <w:t>of</w:t>
      </w:r>
      <w:r>
        <w:rPr>
          <w:rFonts w:ascii="Arial"/>
          <w:spacing w:val="-34"/>
          <w:w w:val="105"/>
        </w:rPr>
        <w:t> </w:t>
      </w:r>
      <w:r>
        <w:rPr>
          <w:w w:val="105"/>
        </w:rPr>
        <w:t>view,</w:t>
      </w:r>
    </w:p>
    <w:p>
      <w:pPr>
        <w:pStyle w:val="BodyText"/>
        <w:spacing w:before="7"/>
        <w:rPr>
          <w:sz w:val="11"/>
        </w:rPr>
      </w:pPr>
      <w:r>
        <w:rPr/>
        <w:drawing>
          <wp:anchor distT="0" distB="0" distL="0" distR="0" allowOverlap="1" layoutInCell="1" locked="0" behindDoc="0" simplePos="0" relativeHeight="4480">
            <wp:simplePos x="0" y="0"/>
            <wp:positionH relativeFrom="page">
              <wp:posOffset>1773935</wp:posOffset>
            </wp:positionH>
            <wp:positionV relativeFrom="paragraph">
              <wp:posOffset>109688</wp:posOffset>
            </wp:positionV>
            <wp:extent cx="868680" cy="292607"/>
            <wp:effectExtent l="0" t="0" r="0" b="0"/>
            <wp:wrapTopAndBottom/>
            <wp:docPr id="101" name="image55.png" descr=""/>
            <wp:cNvGraphicFramePr>
              <a:graphicFrameLocks noChangeAspect="1"/>
            </wp:cNvGraphicFramePr>
            <a:graphic>
              <a:graphicData uri="http://schemas.openxmlformats.org/drawingml/2006/picture">
                <pic:pic>
                  <pic:nvPicPr>
                    <pic:cNvPr id="102" name="image55.png"/>
                    <pic:cNvPicPr/>
                  </pic:nvPicPr>
                  <pic:blipFill>
                    <a:blip r:embed="rId59" cstate="print"/>
                    <a:stretch>
                      <a:fillRect/>
                    </a:stretch>
                  </pic:blipFill>
                  <pic:spPr>
                    <a:xfrm>
                      <a:off x="0" y="0"/>
                      <a:ext cx="868680" cy="292607"/>
                    </a:xfrm>
                    <a:prstGeom prst="rect">
                      <a:avLst/>
                    </a:prstGeom>
                  </pic:spPr>
                </pic:pic>
              </a:graphicData>
            </a:graphic>
          </wp:anchor>
        </w:drawing>
      </w:r>
      <w:r>
        <w:rPr/>
        <w:drawing>
          <wp:anchor distT="0" distB="0" distL="0" distR="0" allowOverlap="1" layoutInCell="1" locked="0" behindDoc="0" simplePos="0" relativeHeight="4504">
            <wp:simplePos x="0" y="0"/>
            <wp:positionH relativeFrom="page">
              <wp:posOffset>2121407</wp:posOffset>
            </wp:positionH>
            <wp:positionV relativeFrom="paragraph">
              <wp:posOffset>521168</wp:posOffset>
            </wp:positionV>
            <wp:extent cx="749807" cy="292607"/>
            <wp:effectExtent l="0" t="0" r="0" b="0"/>
            <wp:wrapTopAndBottom/>
            <wp:docPr id="103" name="image56.png" descr=""/>
            <wp:cNvGraphicFramePr>
              <a:graphicFrameLocks noChangeAspect="1"/>
            </wp:cNvGraphicFramePr>
            <a:graphic>
              <a:graphicData uri="http://schemas.openxmlformats.org/drawingml/2006/picture">
                <pic:pic>
                  <pic:nvPicPr>
                    <pic:cNvPr id="104" name="image56.png"/>
                    <pic:cNvPicPr/>
                  </pic:nvPicPr>
                  <pic:blipFill>
                    <a:blip r:embed="rId60" cstate="print"/>
                    <a:stretch>
                      <a:fillRect/>
                    </a:stretch>
                  </pic:blipFill>
                  <pic:spPr>
                    <a:xfrm>
                      <a:off x="0" y="0"/>
                      <a:ext cx="749807" cy="292607"/>
                    </a:xfrm>
                    <a:prstGeom prst="rect">
                      <a:avLst/>
                    </a:prstGeom>
                  </pic:spPr>
                </pic:pic>
              </a:graphicData>
            </a:graphic>
          </wp:anchor>
        </w:drawing>
      </w:r>
    </w:p>
    <w:p>
      <w:pPr>
        <w:pStyle w:val="BodyText"/>
        <w:spacing w:before="4"/>
        <w:rPr>
          <w:sz w:val="10"/>
        </w:rPr>
      </w:pPr>
    </w:p>
    <w:p>
      <w:pPr>
        <w:pStyle w:val="BodyText"/>
        <w:spacing w:before="124"/>
        <w:ind w:left="128"/>
        <w:jc w:val="both"/>
      </w:pPr>
      <w:r>
        <w:rPr>
          <w:w w:val="105"/>
          <w:sz w:val="21"/>
        </w:rPr>
        <w:t>If </w:t>
      </w:r>
      <w:r>
        <w:rPr>
          <w:w w:val="105"/>
        </w:rPr>
        <w:t>now we define thc new commutation  function,</w:t>
      </w:r>
    </w:p>
    <w:p>
      <w:pPr>
        <w:pStyle w:val="BodyText"/>
        <w:spacing w:before="1"/>
        <w:rPr>
          <w:sz w:val="11"/>
        </w:rPr>
      </w:pPr>
      <w:r>
        <w:rPr/>
        <w:drawing>
          <wp:anchor distT="0" distB="0" distL="0" distR="0" allowOverlap="1" layoutInCell="1" locked="0" behindDoc="0" simplePos="0" relativeHeight="4528">
            <wp:simplePos x="0" y="0"/>
            <wp:positionH relativeFrom="page">
              <wp:posOffset>1865376</wp:posOffset>
            </wp:positionH>
            <wp:positionV relativeFrom="paragraph">
              <wp:posOffset>106029</wp:posOffset>
            </wp:positionV>
            <wp:extent cx="841248" cy="283464"/>
            <wp:effectExtent l="0" t="0" r="0" b="0"/>
            <wp:wrapTopAndBottom/>
            <wp:docPr id="105" name="image57.png" descr=""/>
            <wp:cNvGraphicFramePr>
              <a:graphicFrameLocks noChangeAspect="1"/>
            </wp:cNvGraphicFramePr>
            <a:graphic>
              <a:graphicData uri="http://schemas.openxmlformats.org/drawingml/2006/picture">
                <pic:pic>
                  <pic:nvPicPr>
                    <pic:cNvPr id="106" name="image57.png"/>
                    <pic:cNvPicPr/>
                  </pic:nvPicPr>
                  <pic:blipFill>
                    <a:blip r:embed="rId61" cstate="print"/>
                    <a:stretch>
                      <a:fillRect/>
                    </a:stretch>
                  </pic:blipFill>
                  <pic:spPr>
                    <a:xfrm>
                      <a:off x="0" y="0"/>
                      <a:ext cx="841248" cy="283464"/>
                    </a:xfrm>
                    <a:prstGeom prst="rect">
                      <a:avLst/>
                    </a:prstGeom>
                  </pic:spPr>
                </pic:pic>
              </a:graphicData>
            </a:graphic>
          </wp:anchor>
        </w:drawing>
      </w:r>
    </w:p>
    <w:p>
      <w:pPr>
        <w:spacing w:after="0"/>
        <w:rPr>
          <w:sz w:val="11"/>
        </w:rPr>
        <w:sectPr>
          <w:type w:val="continuous"/>
          <w:pgSz w:w="7200" w:h="11340"/>
          <w:pgMar w:top="1100" w:bottom="0" w:left="660" w:right="540"/>
        </w:sectPr>
      </w:pPr>
    </w:p>
    <w:p>
      <w:pPr>
        <w:tabs>
          <w:tab w:pos="2319" w:val="left" w:leader="none"/>
          <w:tab w:pos="5400" w:val="left" w:leader="none"/>
        </w:tabs>
        <w:spacing w:before="46"/>
        <w:ind w:left="130" w:right="0" w:firstLine="0"/>
        <w:jc w:val="left"/>
        <w:rPr>
          <w:rFonts w:ascii="Arial"/>
          <w:b/>
          <w:sz w:val="17"/>
        </w:rPr>
      </w:pPr>
      <w:r>
        <w:rPr>
          <w:rFonts w:ascii="Courier New"/>
          <w:spacing w:val="-20"/>
          <w:sz w:val="22"/>
        </w:rPr>
        <w:t>52</w:t>
        <w:tab/>
      </w:r>
      <w:r>
        <w:rPr>
          <w:b/>
          <w:sz w:val="15"/>
        </w:rPr>
        <w:t>LIFE  </w:t>
      </w:r>
      <w:r>
        <w:rPr>
          <w:b/>
          <w:spacing w:val="17"/>
          <w:sz w:val="15"/>
        </w:rPr>
        <w:t> </w:t>
      </w:r>
      <w:r>
        <w:rPr>
          <w:b/>
          <w:sz w:val="15"/>
        </w:rPr>
        <w:t>ANNUITIES</w:t>
        <w:tab/>
      </w:r>
      <w:r>
        <w:rPr>
          <w:b/>
          <w:w w:val="85"/>
          <w:position w:val="1"/>
          <w:sz w:val="21"/>
        </w:rPr>
        <w:t>(CH.</w:t>
      </w:r>
      <w:r>
        <w:rPr>
          <w:b/>
          <w:spacing w:val="-10"/>
          <w:w w:val="85"/>
          <w:position w:val="1"/>
          <w:sz w:val="21"/>
        </w:rPr>
        <w:t> </w:t>
      </w:r>
      <w:r>
        <w:rPr>
          <w:rFonts w:ascii="Arial"/>
          <w:b/>
          <w:w w:val="85"/>
          <w:position w:val="1"/>
          <w:sz w:val="17"/>
        </w:rPr>
        <w:t>2</w:t>
      </w:r>
    </w:p>
    <w:p>
      <w:pPr>
        <w:pStyle w:val="BodyText"/>
        <w:spacing w:before="4"/>
        <w:rPr>
          <w:rFonts w:ascii="Arial"/>
          <w:b/>
        </w:rPr>
      </w:pPr>
    </w:p>
    <w:p>
      <w:pPr>
        <w:spacing w:after="0"/>
        <w:rPr>
          <w:rFonts w:ascii="Arial"/>
        </w:rPr>
        <w:sectPr>
          <w:pgSz w:w="7200" w:h="11340"/>
          <w:pgMar w:top="500" w:bottom="280" w:left="640" w:right="560"/>
        </w:sectPr>
      </w:pPr>
    </w:p>
    <w:p>
      <w:pPr>
        <w:spacing w:before="84"/>
        <w:ind w:left="130" w:right="0" w:firstLine="0"/>
        <w:jc w:val="left"/>
        <w:rPr>
          <w:sz w:val="12"/>
        </w:rPr>
      </w:pPr>
      <w:r>
        <w:rPr/>
        <w:pict>
          <v:rect style="position:absolute;margin-left:203.759995pt;margin-top:15.403116pt;width:10.8pt;height:6.84pt;mso-position-horizontal-relative:page;mso-position-vertical-relative:paragraph;z-index:-731416" filled="true" fillcolor="#000000" stroked="false">
            <v:fill type="solid"/>
            <w10:wrap type="none"/>
          </v:rect>
        </w:pict>
      </w:r>
      <w:r>
        <w:rPr>
          <w:w w:val="110"/>
          <w:sz w:val="20"/>
        </w:rPr>
        <w:t>the</w:t>
      </w:r>
      <w:r>
        <w:rPr>
          <w:spacing w:val="17"/>
          <w:sz w:val="20"/>
        </w:rPr>
        <w:t> </w:t>
      </w:r>
      <w:r>
        <w:rPr>
          <w:w w:val="103"/>
          <w:sz w:val="20"/>
        </w:rPr>
        <w:t>formula</w:t>
      </w:r>
      <w:r>
        <w:rPr>
          <w:spacing w:val="22"/>
          <w:sz w:val="20"/>
        </w:rPr>
        <w:t> </w:t>
      </w:r>
      <w:r>
        <w:rPr>
          <w:w w:val="106"/>
          <w:sz w:val="20"/>
        </w:rPr>
        <w:t>may</w:t>
      </w:r>
      <w:r>
        <w:rPr>
          <w:spacing w:val="17"/>
          <w:sz w:val="20"/>
        </w:rPr>
        <w:t> </w:t>
      </w:r>
      <w:r>
        <w:rPr>
          <w:w w:val="103"/>
          <w:sz w:val="20"/>
        </w:rPr>
        <w:t>be</w:t>
      </w:r>
      <w:r>
        <w:rPr>
          <w:spacing w:val="13"/>
          <w:sz w:val="20"/>
        </w:rPr>
        <w:t> </w:t>
      </w:r>
      <w:r>
        <w:rPr>
          <w:w w:val="108"/>
          <w:sz w:val="20"/>
        </w:rPr>
        <w:t>written</w:t>
      </w:r>
      <w:r>
        <w:rPr>
          <w:sz w:val="20"/>
        </w:rPr>
        <w:t> </w:t>
      </w:r>
      <w:r>
        <w:rPr>
          <w:spacing w:val="10"/>
          <w:sz w:val="20"/>
        </w:rPr>
        <w:t> </w:t>
      </w:r>
      <w:r>
        <w:rPr>
          <w:i/>
          <w:w w:val="73"/>
          <w:sz w:val="19"/>
        </w:rPr>
        <w:t>(</w:t>
      </w:r>
      <w:r>
        <w:rPr>
          <w:i/>
          <w:spacing w:val="-30"/>
          <w:sz w:val="19"/>
        </w:rPr>
        <w:t> </w:t>
      </w:r>
      <w:r>
        <w:rPr>
          <w:i/>
          <w:w w:val="131"/>
          <w:sz w:val="19"/>
        </w:rPr>
        <w:t>l</w:t>
      </w:r>
      <w:r>
        <w:rPr>
          <w:i/>
          <w:spacing w:val="21"/>
          <w:w w:val="131"/>
          <w:sz w:val="19"/>
        </w:rPr>
        <w:t>a</w:t>
      </w:r>
      <w:r>
        <w:rPr>
          <w:i/>
          <w:w w:val="47"/>
          <w:sz w:val="19"/>
        </w:rPr>
        <w:t>):z:</w:t>
      </w:r>
      <w:r>
        <w:rPr>
          <w:i/>
          <w:sz w:val="19"/>
        </w:rPr>
        <w:t> </w:t>
      </w:r>
      <w:r>
        <w:rPr>
          <w:i/>
          <w:spacing w:val="8"/>
          <w:sz w:val="19"/>
        </w:rPr>
        <w:t> </w:t>
      </w:r>
      <w:r>
        <w:rPr>
          <w:w w:val="100"/>
          <w:sz w:val="24"/>
        </w:rPr>
        <w:t>=</w:t>
      </w:r>
      <w:r>
        <w:rPr>
          <w:spacing w:val="16"/>
          <w:sz w:val="24"/>
        </w:rPr>
        <w:t> </w:t>
      </w:r>
      <w:r>
        <w:rPr>
          <w:spacing w:val="-364"/>
          <w:w w:val="340"/>
          <w:sz w:val="24"/>
        </w:rPr>
        <w:t>:</w:t>
      </w:r>
      <w:r>
        <w:rPr>
          <w:w w:val="158"/>
          <w:position w:val="11"/>
          <w:sz w:val="12"/>
        </w:rPr>
        <w:t>1</w:t>
      </w:r>
      <w:r>
        <w:rPr>
          <w:spacing w:val="-3"/>
          <w:position w:val="11"/>
          <w:sz w:val="12"/>
        </w:rPr>
        <w:t> </w:t>
      </w:r>
      <w:r>
        <w:rPr>
          <w:w w:val="95"/>
          <w:sz w:val="12"/>
        </w:rPr>
        <w:t>•</w:t>
      </w:r>
    </w:p>
    <w:p>
      <w:pPr>
        <w:pStyle w:val="BodyText"/>
        <w:spacing w:before="100"/>
        <w:ind w:left="130"/>
      </w:pPr>
      <w:r>
        <w:rPr/>
        <w:br w:type="column"/>
      </w:r>
      <w:r>
        <w:rPr/>
        <w:t>(2.39)</w:t>
      </w:r>
    </w:p>
    <w:p>
      <w:pPr>
        <w:spacing w:after="0"/>
        <w:sectPr>
          <w:type w:val="continuous"/>
          <w:pgSz w:w="7200" w:h="11340"/>
          <w:pgMar w:top="1100" w:bottom="0" w:left="640" w:right="560"/>
          <w:cols w:num="2" w:equalWidth="0">
            <w:col w:w="3832" w:space="1413"/>
            <w:col w:w="755"/>
          </w:cols>
        </w:sectPr>
      </w:pPr>
    </w:p>
    <w:p>
      <w:pPr>
        <w:pStyle w:val="BodyText"/>
        <w:spacing w:before="9"/>
        <w:rPr>
          <w:sz w:val="12"/>
        </w:rPr>
      </w:pPr>
    </w:p>
    <w:p>
      <w:pPr>
        <w:spacing w:line="242" w:lineRule="auto" w:before="75"/>
        <w:ind w:left="123" w:right="115" w:firstLine="205"/>
        <w:jc w:val="both"/>
        <w:rPr>
          <w:sz w:val="20"/>
        </w:rPr>
      </w:pPr>
      <w:r>
        <w:rPr>
          <w:sz w:val="20"/>
        </w:rPr>
        <w:t>For the </w:t>
      </w:r>
      <w:r>
        <w:rPr>
          <w:i/>
          <w:sz w:val="19"/>
        </w:rPr>
        <w:t>n-year temporary increasing lif e </w:t>
      </w:r>
      <w:r>
        <w:rPr>
          <w:i/>
          <w:spacing w:val="3"/>
          <w:sz w:val="19"/>
        </w:rPr>
        <w:t>annuity </w:t>
      </w:r>
      <w:r>
        <w:rPr>
          <w:sz w:val="20"/>
        </w:rPr>
        <w:t>under which the increasing payments cea8e with the n-th payment  of  </w:t>
      </w:r>
      <w:r>
        <w:rPr>
          <w:i/>
          <w:sz w:val="21"/>
        </w:rPr>
        <w:t>n,  </w:t>
      </w:r>
      <w:r>
        <w:rPr>
          <w:sz w:val="20"/>
        </w:rPr>
        <w:t>the  value  may  similarly  be  expressed  as  a  sum  of  </w:t>
      </w:r>
      <w:r>
        <w:rPr>
          <w:i/>
          <w:sz w:val="20"/>
        </w:rPr>
        <w:t>n  </w:t>
      </w:r>
      <w:r>
        <w:rPr>
          <w:sz w:val="20"/>
        </w:rPr>
        <w:t>deferred  temporary </w:t>
      </w:r>
      <w:r>
        <w:rPr>
          <w:spacing w:val="18"/>
          <w:sz w:val="20"/>
        </w:rPr>
        <w:t> </w:t>
      </w:r>
      <w:r>
        <w:rPr>
          <w:sz w:val="20"/>
        </w:rPr>
        <w:t>an­</w:t>
      </w:r>
    </w:p>
    <w:p>
      <w:pPr>
        <w:pStyle w:val="BodyText"/>
        <w:spacing w:line="264" w:lineRule="exact"/>
        <w:ind w:left="123"/>
        <w:rPr>
          <w:i/>
          <w:sz w:val="21"/>
        </w:rPr>
      </w:pPr>
      <w:r>
        <w:rPr>
          <w:w w:val="105"/>
        </w:rPr>
        <w:t>nuities,  each ceasing with  the payment  due at age </w:t>
      </w:r>
      <w:r>
        <w:rPr>
          <w:i/>
          <w:w w:val="105"/>
          <w:sz w:val="21"/>
        </w:rPr>
        <w:t>x  </w:t>
      </w:r>
      <w:r>
        <w:rPr>
          <w:rFonts w:ascii="Arial"/>
          <w:w w:val="105"/>
          <w:sz w:val="32"/>
        </w:rPr>
        <w:t>+</w:t>
      </w:r>
      <w:r>
        <w:rPr>
          <w:rFonts w:ascii="Arial"/>
          <w:spacing w:val="-73"/>
          <w:w w:val="105"/>
          <w:sz w:val="32"/>
        </w:rPr>
        <w:t> </w:t>
      </w:r>
      <w:r>
        <w:rPr>
          <w:i/>
          <w:w w:val="105"/>
          <w:sz w:val="21"/>
        </w:rPr>
        <w:t>n:</w:t>
      </w:r>
    </w:p>
    <w:p>
      <w:pPr>
        <w:tabs>
          <w:tab w:pos="3233" w:val="left" w:leader="none"/>
          <w:tab w:pos="4385" w:val="left" w:leader="none"/>
        </w:tabs>
        <w:spacing w:line="101" w:lineRule="exact" w:before="32"/>
        <w:ind w:left="2042" w:right="0" w:firstLine="0"/>
        <w:jc w:val="left"/>
        <w:rPr>
          <w:rFonts w:ascii="Arial"/>
          <w:b/>
          <w:i/>
          <w:sz w:val="20"/>
        </w:rPr>
      </w:pPr>
      <w:r>
        <w:rPr>
          <w:w w:val="125"/>
          <w:sz w:val="14"/>
        </w:rPr>
        <w:t>n</w:t>
      </w:r>
      <w:r>
        <w:rPr>
          <w:spacing w:val="-16"/>
          <w:w w:val="125"/>
          <w:sz w:val="14"/>
        </w:rPr>
        <w:t> </w:t>
      </w:r>
      <w:r>
        <w:rPr>
          <w:w w:val="155"/>
          <w:sz w:val="14"/>
        </w:rPr>
        <w:t>-1</w:t>
        <w:tab/>
      </w:r>
      <w:r>
        <w:rPr>
          <w:rFonts w:ascii="Arial"/>
          <w:b/>
          <w:w w:val="155"/>
          <w:sz w:val="11"/>
        </w:rPr>
        <w:t>n-1</w:t>
      </w:r>
      <w:r>
        <w:rPr>
          <w:rFonts w:ascii="Arial"/>
          <w:b/>
          <w:spacing w:val="-27"/>
          <w:w w:val="155"/>
          <w:sz w:val="11"/>
        </w:rPr>
        <w:t> </w:t>
      </w:r>
      <w:r>
        <w:rPr>
          <w:rFonts w:ascii="Arial"/>
          <w:b/>
          <w:i/>
          <w:w w:val="125"/>
          <w:sz w:val="20"/>
        </w:rPr>
        <w:t>N</w:t>
        <w:tab/>
        <w:t>N</w:t>
      </w:r>
    </w:p>
    <w:p>
      <w:pPr>
        <w:spacing w:after="0" w:line="101" w:lineRule="exact"/>
        <w:jc w:val="left"/>
        <w:rPr>
          <w:rFonts w:ascii="Arial"/>
          <w:sz w:val="20"/>
        </w:rPr>
        <w:sectPr>
          <w:type w:val="continuous"/>
          <w:pgSz w:w="7200" w:h="11340"/>
          <w:pgMar w:top="1100" w:bottom="0" w:left="640" w:right="560"/>
        </w:sectPr>
      </w:pPr>
    </w:p>
    <w:p>
      <w:pPr>
        <w:spacing w:before="31"/>
        <w:ind w:left="1048" w:right="0" w:firstLine="0"/>
        <w:jc w:val="left"/>
        <w:rPr>
          <w:sz w:val="26"/>
        </w:rPr>
      </w:pPr>
      <w:r>
        <w:rPr>
          <w:i/>
          <w:w w:val="95"/>
          <w:sz w:val="19"/>
        </w:rPr>
        <w:t>( I a)z:n] </w:t>
      </w:r>
      <w:r>
        <w:rPr>
          <w:w w:val="95"/>
          <w:sz w:val="26"/>
        </w:rPr>
        <w:t>=</w:t>
      </w:r>
    </w:p>
    <w:p>
      <w:pPr>
        <w:spacing w:line="479" w:lineRule="exact" w:before="0"/>
        <w:ind w:left="61" w:right="-19" w:firstLine="0"/>
        <w:jc w:val="left"/>
        <w:rPr>
          <w:sz w:val="30"/>
        </w:rPr>
      </w:pPr>
      <w:r>
        <w:rPr/>
        <w:br w:type="column"/>
      </w:r>
      <w:r>
        <w:rPr>
          <w:spacing w:val="-50"/>
          <w:w w:val="71"/>
          <w:sz w:val="30"/>
        </w:rPr>
        <w:t>,</w:t>
      </w:r>
      <w:r>
        <w:rPr>
          <w:b/>
          <w:i/>
          <w:spacing w:val="-162"/>
          <w:w w:val="104"/>
          <w:position w:val="14"/>
          <w:sz w:val="33"/>
        </w:rPr>
        <w:t>L</w:t>
      </w:r>
      <w:r>
        <w:rPr>
          <w:w w:val="70"/>
          <w:sz w:val="30"/>
        </w:rPr>
        <w:t>-o</w:t>
      </w:r>
    </w:p>
    <w:p>
      <w:pPr>
        <w:tabs>
          <w:tab w:pos="1392" w:val="left" w:leader="none"/>
          <w:tab w:pos="2245" w:val="left" w:leader="none"/>
        </w:tabs>
        <w:spacing w:line="297" w:lineRule="exact" w:before="0"/>
        <w:ind w:left="64" w:right="0" w:firstLine="0"/>
        <w:jc w:val="left"/>
        <w:rPr>
          <w:sz w:val="15"/>
        </w:rPr>
      </w:pPr>
      <w:r>
        <w:rPr/>
        <w:br w:type="column"/>
      </w:r>
      <w:r>
        <w:rPr>
          <w:i/>
          <w:w w:val="110"/>
          <w:sz w:val="14"/>
        </w:rPr>
        <w:t>t </w:t>
      </w:r>
      <w:r>
        <w:rPr>
          <w:i/>
          <w:w w:val="75"/>
          <w:sz w:val="14"/>
        </w:rPr>
        <w:t>l </w:t>
      </w:r>
      <w:r>
        <w:rPr>
          <w:i/>
          <w:w w:val="110"/>
          <w:sz w:val="14"/>
        </w:rPr>
        <w:t>n-,a:z;</w:t>
      </w:r>
      <w:r>
        <w:rPr>
          <w:i/>
          <w:spacing w:val="22"/>
          <w:w w:val="110"/>
          <w:sz w:val="14"/>
        </w:rPr>
        <w:t> </w:t>
      </w:r>
      <w:r>
        <w:rPr>
          <w:rFonts w:ascii="Arial"/>
          <w:w w:val="75"/>
          <w:sz w:val="22"/>
        </w:rPr>
        <w:t>==</w:t>
      </w:r>
      <w:r>
        <w:rPr>
          <w:rFonts w:ascii="Arial"/>
          <w:spacing w:val="34"/>
          <w:w w:val="75"/>
          <w:sz w:val="22"/>
        </w:rPr>
        <w:t> </w:t>
      </w:r>
      <w:r>
        <w:rPr>
          <w:i/>
          <w:w w:val="110"/>
          <w:sz w:val="34"/>
        </w:rPr>
        <w:t>L</w:t>
        <w:tab/>
      </w:r>
      <w:r>
        <w:rPr>
          <w:w w:val="110"/>
          <w:sz w:val="15"/>
        </w:rPr>
        <w:t>z+t+l</w:t>
      </w:r>
      <w:r>
        <w:rPr>
          <w:spacing w:val="14"/>
          <w:w w:val="110"/>
          <w:sz w:val="15"/>
        </w:rPr>
        <w:t> </w:t>
      </w:r>
      <w:r>
        <w:rPr>
          <w:w w:val="255"/>
          <w:sz w:val="15"/>
        </w:rPr>
        <w:t>;;</w:t>
        <w:tab/>
      </w:r>
      <w:r>
        <w:rPr>
          <w:w w:val="110"/>
          <w:sz w:val="15"/>
        </w:rPr>
        <w:t>z+A+l</w:t>
      </w:r>
    </w:p>
    <w:p>
      <w:pPr>
        <w:spacing w:line="156" w:lineRule="exact" w:before="0"/>
        <w:ind w:left="910" w:right="0" w:firstLine="0"/>
        <w:jc w:val="left"/>
        <w:rPr>
          <w:b/>
          <w:sz w:val="18"/>
        </w:rPr>
      </w:pPr>
      <w:r>
        <w:rPr/>
        <w:pict>
          <v:rect style="position:absolute;margin-left:238.320007pt;margin-top:-1.147449pt;width:10.98pt;height:7.38pt;mso-position-horizontal-relative:page;mso-position-vertical-relative:paragraph;z-index:-731392" filled="true" fillcolor="#000000" stroked="false">
            <v:fill type="solid"/>
            <w10:wrap type="none"/>
          </v:rect>
        </w:pict>
      </w:r>
      <w:r>
        <w:rPr>
          <w:b/>
          <w:w w:val="115"/>
          <w:sz w:val="18"/>
        </w:rPr>
        <w:t>,-o</w:t>
      </w:r>
    </w:p>
    <w:p>
      <w:pPr>
        <w:spacing w:after="0" w:line="156" w:lineRule="exact"/>
        <w:jc w:val="left"/>
        <w:rPr>
          <w:sz w:val="18"/>
        </w:rPr>
        <w:sectPr>
          <w:type w:val="continuous"/>
          <w:pgSz w:w="7200" w:h="11340"/>
          <w:pgMar w:top="1100" w:bottom="0" w:left="640" w:right="560"/>
          <w:cols w:num="3" w:equalWidth="0">
            <w:col w:w="1941" w:space="40"/>
            <w:col w:w="293" w:space="40"/>
            <w:col w:w="3686"/>
          </w:cols>
        </w:sectPr>
      </w:pPr>
    </w:p>
    <w:p>
      <w:pPr>
        <w:spacing w:line="219" w:lineRule="exact" w:before="114"/>
        <w:ind w:left="1815" w:right="-14" w:firstLine="0"/>
        <w:jc w:val="left"/>
        <w:rPr>
          <w:sz w:val="14"/>
        </w:rPr>
      </w:pPr>
      <w:r>
        <w:rPr/>
        <w:pict>
          <v:line style="position:absolute;mso-position-horizontal-relative:page;mso-position-vertical-relative:paragraph;z-index:-731368" from="224.639999pt,15.259874pt" to="227.159999pt,15.259874pt" stroked="true" strokeweight=".36pt" strokecolor="#000000">
            <w10:wrap type="none"/>
          </v:line>
        </w:pict>
      </w:r>
      <w:r>
        <w:rPr>
          <w:w w:val="150"/>
          <w:sz w:val="17"/>
        </w:rPr>
        <w:t>_</w:t>
      </w:r>
      <w:r>
        <w:rPr>
          <w:sz w:val="17"/>
        </w:rPr>
        <w:t> </w:t>
      </w:r>
      <w:r>
        <w:rPr>
          <w:spacing w:val="17"/>
          <w:sz w:val="17"/>
        </w:rPr>
        <w:t> </w:t>
      </w:r>
      <w:r>
        <w:rPr>
          <w:i/>
          <w:w w:val="72"/>
          <w:sz w:val="17"/>
        </w:rPr>
        <w:t>S:z:+1</w:t>
      </w:r>
      <w:r>
        <w:rPr>
          <w:i/>
          <w:sz w:val="17"/>
        </w:rPr>
        <w:t> </w:t>
      </w:r>
      <w:r>
        <w:rPr>
          <w:i/>
          <w:spacing w:val="11"/>
          <w:sz w:val="17"/>
        </w:rPr>
        <w:t> </w:t>
      </w:r>
      <w:r>
        <w:rPr>
          <w:w w:val="323"/>
          <w:sz w:val="17"/>
        </w:rPr>
        <w:t>-</w:t>
      </w:r>
      <w:r>
        <w:rPr>
          <w:spacing w:val="15"/>
          <w:sz w:val="17"/>
        </w:rPr>
        <w:t> </w:t>
      </w:r>
      <w:r>
        <w:rPr>
          <w:spacing w:val="-26"/>
          <w:w w:val="189"/>
          <w:sz w:val="14"/>
        </w:rPr>
        <w:t>S</w:t>
      </w:r>
      <w:r>
        <w:rPr>
          <w:w w:val="94"/>
          <w:sz w:val="14"/>
        </w:rPr>
        <w:t>:z:+n+1</w:t>
      </w:r>
      <w:r>
        <w:rPr>
          <w:sz w:val="14"/>
        </w:rPr>
        <w:t> </w:t>
      </w:r>
      <w:r>
        <w:rPr>
          <w:spacing w:val="7"/>
          <w:sz w:val="14"/>
        </w:rPr>
        <w:t> </w:t>
      </w:r>
      <w:r>
        <w:rPr>
          <w:w w:val="393"/>
          <w:sz w:val="14"/>
        </w:rPr>
        <w:t>-</w:t>
      </w:r>
      <w:r>
        <w:rPr>
          <w:sz w:val="14"/>
        </w:rPr>
        <w:t> </w:t>
      </w:r>
      <w:r>
        <w:rPr>
          <w:spacing w:val="-17"/>
          <w:sz w:val="14"/>
        </w:rPr>
        <w:t> </w:t>
      </w:r>
      <w:r>
        <w:rPr>
          <w:rFonts w:ascii="Arial" w:hAnsi="Arial"/>
          <w:i/>
          <w:w w:val="104"/>
          <w:sz w:val="20"/>
        </w:rPr>
        <w:t>n</w:t>
      </w:r>
      <w:r>
        <w:rPr>
          <w:rFonts w:ascii="Arial" w:hAnsi="Arial"/>
          <w:i/>
          <w:spacing w:val="8"/>
          <w:w w:val="104"/>
          <w:sz w:val="20"/>
        </w:rPr>
        <w:t>N</w:t>
      </w:r>
      <w:r>
        <w:rPr>
          <w:w w:val="104"/>
          <w:sz w:val="14"/>
        </w:rPr>
        <w:t>:z:+•+i</w:t>
      </w:r>
    </w:p>
    <w:p>
      <w:pPr>
        <w:tabs>
          <w:tab w:pos="3039" w:val="left" w:leader="none"/>
        </w:tabs>
        <w:spacing w:line="230" w:lineRule="exact" w:before="0"/>
        <w:ind w:left="1815" w:right="0" w:firstLine="0"/>
        <w:jc w:val="left"/>
        <w:rPr>
          <w:b/>
          <w:sz w:val="21"/>
        </w:rPr>
      </w:pPr>
      <w:r>
        <w:rPr>
          <w:w w:val="220"/>
          <w:sz w:val="21"/>
        </w:rPr>
        <w:t>-</w:t>
        <w:tab/>
      </w:r>
      <w:r>
        <w:rPr>
          <w:b/>
          <w:w w:val="105"/>
          <w:sz w:val="21"/>
        </w:rPr>
        <w:t>Dz</w:t>
      </w:r>
    </w:p>
    <w:p>
      <w:pPr>
        <w:pStyle w:val="BodyText"/>
        <w:spacing w:before="7"/>
        <w:rPr>
          <w:b/>
          <w:sz w:val="18"/>
        </w:rPr>
      </w:pPr>
      <w:r>
        <w:rPr/>
        <w:br w:type="column"/>
      </w:r>
      <w:r>
        <w:rPr>
          <w:b/>
          <w:sz w:val="18"/>
        </w:rPr>
      </w:r>
    </w:p>
    <w:p>
      <w:pPr>
        <w:spacing w:before="1"/>
        <w:ind w:left="1046" w:right="20" w:firstLine="0"/>
        <w:jc w:val="left"/>
        <w:rPr>
          <w:sz w:val="19"/>
        </w:rPr>
      </w:pPr>
      <w:r>
        <w:rPr>
          <w:w w:val="105"/>
          <w:sz w:val="19"/>
        </w:rPr>
        <w:t>( 2.40)</w:t>
      </w:r>
    </w:p>
    <w:p>
      <w:pPr>
        <w:spacing w:after="0"/>
        <w:jc w:val="left"/>
        <w:rPr>
          <w:sz w:val="19"/>
        </w:rPr>
        <w:sectPr>
          <w:type w:val="continuous"/>
          <w:pgSz w:w="7200" w:h="11340"/>
          <w:pgMar w:top="1100" w:bottom="0" w:left="640" w:right="560"/>
          <w:cols w:num="2" w:equalWidth="0">
            <w:col w:w="4258" w:space="40"/>
            <w:col w:w="1702"/>
          </w:cols>
        </w:sectPr>
      </w:pPr>
    </w:p>
    <w:p>
      <w:pPr>
        <w:pStyle w:val="BodyText"/>
        <w:spacing w:line="244" w:lineRule="auto" w:before="135"/>
        <w:ind w:left="108" w:right="121" w:firstLine="205"/>
        <w:jc w:val="both"/>
      </w:pPr>
      <w:r>
        <w:rPr/>
        <w:drawing>
          <wp:anchor distT="0" distB="0" distL="0" distR="0" allowOverlap="1" layoutInCell="1" locked="0" behindDoc="0" simplePos="0" relativeHeight="4576">
            <wp:simplePos x="0" y="0"/>
            <wp:positionH relativeFrom="page">
              <wp:posOffset>1426463</wp:posOffset>
            </wp:positionH>
            <wp:positionV relativeFrom="paragraph">
              <wp:posOffset>917523</wp:posOffset>
            </wp:positionV>
            <wp:extent cx="1755648" cy="301751"/>
            <wp:effectExtent l="0" t="0" r="0" b="0"/>
            <wp:wrapTopAndBottom/>
            <wp:docPr id="107" name="image58.png" descr=""/>
            <wp:cNvGraphicFramePr>
              <a:graphicFrameLocks noChangeAspect="1"/>
            </wp:cNvGraphicFramePr>
            <a:graphic>
              <a:graphicData uri="http://schemas.openxmlformats.org/drawingml/2006/picture">
                <pic:pic>
                  <pic:nvPicPr>
                    <pic:cNvPr id="108" name="image58.png"/>
                    <pic:cNvPicPr/>
                  </pic:nvPicPr>
                  <pic:blipFill>
                    <a:blip r:embed="rId62" cstate="print"/>
                    <a:stretch>
                      <a:fillRect/>
                    </a:stretch>
                  </pic:blipFill>
                  <pic:spPr>
                    <a:xfrm>
                      <a:off x="0" y="0"/>
                      <a:ext cx="1755648" cy="301751"/>
                    </a:xfrm>
                    <a:prstGeom prst="rect">
                      <a:avLst/>
                    </a:prstGeom>
                  </pic:spPr>
                </pic:pic>
              </a:graphicData>
            </a:graphic>
          </wp:anchor>
        </w:drawing>
      </w:r>
      <w:r>
        <w:rPr>
          <w:w w:val="105"/>
        </w:rPr>
        <w:t>Another type of increasing annuity provides increases of 1 each year until the n-th year  with  payments  remaining  constant  at  </w:t>
      </w:r>
      <w:r>
        <w:rPr>
          <w:i/>
          <w:w w:val="105"/>
          <w:sz w:val="21"/>
        </w:rPr>
        <w:t>n </w:t>
      </w:r>
      <w:r>
        <w:rPr>
          <w:w w:val="105"/>
        </w:rPr>
        <w:t>for the remainder of the lifetime of </w:t>
      </w:r>
      <w:r>
        <w:rPr>
          <w:rFonts w:ascii="Arial" w:hAnsi="Arial"/>
          <w:i/>
          <w:w w:val="105"/>
          <w:sz w:val="19"/>
        </w:rPr>
        <w:t>(x ). </w:t>
      </w:r>
      <w:r>
        <w:rPr>
          <w:w w:val="105"/>
        </w:rPr>
        <w:t>The present value, denoted by (ln1a)z , may be expressed as the sum of the values of  </w:t>
      </w:r>
      <w:r>
        <w:rPr>
          <w:i/>
          <w:w w:val="105"/>
          <w:sz w:val="21"/>
        </w:rPr>
        <w:t>n </w:t>
      </w:r>
      <w:r>
        <w:rPr>
          <w:w w:val="105"/>
        </w:rPr>
        <w:t>de­ ferred annuities:</w:t>
      </w:r>
    </w:p>
    <w:p>
      <w:pPr>
        <w:pStyle w:val="BodyText"/>
        <w:spacing w:before="10"/>
        <w:rPr>
          <w:sz w:val="7"/>
        </w:rPr>
      </w:pPr>
    </w:p>
    <w:p>
      <w:pPr>
        <w:spacing w:after="0"/>
        <w:rPr>
          <w:sz w:val="7"/>
        </w:rPr>
        <w:sectPr>
          <w:type w:val="continuous"/>
          <w:pgSz w:w="7200" w:h="11340"/>
          <w:pgMar w:top="1100" w:bottom="0" w:left="640" w:right="560"/>
        </w:sectPr>
      </w:pPr>
    </w:p>
    <w:p>
      <w:pPr>
        <w:spacing w:before="105"/>
        <w:ind w:left="0" w:right="0" w:firstLine="0"/>
        <w:jc w:val="right"/>
        <w:rPr>
          <w:rFonts w:ascii="Arial"/>
          <w:sz w:val="14"/>
        </w:rPr>
      </w:pPr>
      <w:r>
        <w:rPr>
          <w:rFonts w:ascii="Arial"/>
          <w:w w:val="135"/>
          <w:position w:val="-9"/>
          <w:sz w:val="19"/>
        </w:rPr>
        <w:t>= </w:t>
      </w:r>
      <w:r>
        <w:rPr>
          <w:rFonts w:ascii="Arial"/>
          <w:w w:val="135"/>
          <w:sz w:val="14"/>
        </w:rPr>
        <w:t>Sz+i</w:t>
      </w:r>
    </w:p>
    <w:p>
      <w:pPr>
        <w:spacing w:line="250" w:lineRule="exact" w:before="78"/>
        <w:ind w:left="60" w:right="-4" w:firstLine="0"/>
        <w:jc w:val="left"/>
        <w:rPr>
          <w:i/>
          <w:sz w:val="17"/>
        </w:rPr>
      </w:pPr>
      <w:r>
        <w:rPr/>
        <w:br w:type="column"/>
      </w:r>
      <w:r>
        <w:rPr>
          <w:rFonts w:ascii="Arial"/>
          <w:spacing w:val="-73"/>
          <w:w w:val="443"/>
          <w:position w:val="-9"/>
          <w:sz w:val="19"/>
        </w:rPr>
        <w:t>-</w:t>
      </w:r>
      <w:r>
        <w:rPr>
          <w:i/>
          <w:w w:val="80"/>
          <w:sz w:val="17"/>
        </w:rPr>
        <w:t>S</w:t>
      </w:r>
      <w:r>
        <w:rPr>
          <w:i/>
          <w:w w:val="79"/>
          <w:sz w:val="17"/>
        </w:rPr>
        <w:t>:z:</w:t>
      </w:r>
      <w:r>
        <w:rPr>
          <w:i/>
          <w:w w:val="79"/>
          <w:sz w:val="17"/>
        </w:rPr>
        <w:t>+n+i</w:t>
      </w:r>
    </w:p>
    <w:p>
      <w:pPr>
        <w:spacing w:line="192" w:lineRule="exact" w:before="0"/>
        <w:ind w:left="103" w:right="-4" w:firstLine="0"/>
        <w:jc w:val="left"/>
        <w:rPr>
          <w:b/>
          <w:sz w:val="21"/>
        </w:rPr>
      </w:pPr>
      <w:r>
        <w:rPr>
          <w:b/>
          <w:sz w:val="21"/>
        </w:rPr>
        <w:t>Dz</w:t>
      </w:r>
    </w:p>
    <w:p>
      <w:pPr>
        <w:pStyle w:val="BodyText"/>
        <w:spacing w:before="133"/>
        <w:ind w:right="150"/>
        <w:jc w:val="right"/>
      </w:pPr>
      <w:r>
        <w:rPr/>
        <w:br w:type="column"/>
      </w:r>
      <w:r>
        <w:rPr/>
        <w:t>( 2.41)</w:t>
      </w:r>
    </w:p>
    <w:p>
      <w:pPr>
        <w:spacing w:after="0"/>
        <w:jc w:val="right"/>
        <w:sectPr>
          <w:type w:val="continuous"/>
          <w:pgSz w:w="7200" w:h="11340"/>
          <w:pgMar w:top="1100" w:bottom="0" w:left="640" w:right="560"/>
          <w:cols w:num="3" w:equalWidth="0">
            <w:col w:w="2882" w:space="40"/>
            <w:col w:w="785" w:space="40"/>
            <w:col w:w="2253"/>
          </w:cols>
        </w:sectPr>
      </w:pPr>
    </w:p>
    <w:p>
      <w:pPr>
        <w:spacing w:line="188" w:lineRule="exact" w:before="110"/>
        <w:ind w:left="250" w:right="87" w:firstLine="0"/>
        <w:jc w:val="center"/>
        <w:rPr>
          <w:sz w:val="20"/>
        </w:rPr>
      </w:pPr>
      <w:r>
        <w:rPr>
          <w:sz w:val="20"/>
        </w:rPr>
        <w:t>A  </w:t>
      </w:r>
      <w:r>
        <w:rPr>
          <w:i/>
          <w:sz w:val="19"/>
        </w:rPr>
        <w:t>temporary  decreasing  lif e annuity  </w:t>
      </w:r>
      <w:r>
        <w:rPr>
          <w:sz w:val="20"/>
        </w:rPr>
        <w:t>which  provides  a payment of</w:t>
      </w:r>
    </w:p>
    <w:p>
      <w:pPr>
        <w:pStyle w:val="BodyText"/>
        <w:spacing w:line="292" w:lineRule="exact"/>
        <w:ind w:left="115" w:hanging="4"/>
      </w:pPr>
      <w:r>
        <w:rPr>
          <w:i/>
          <w:w w:val="105"/>
          <w:sz w:val="19"/>
        </w:rPr>
        <w:t>n  </w:t>
      </w:r>
      <w:r>
        <w:rPr>
          <w:w w:val="105"/>
        </w:rPr>
        <w:t>at  agc  </w:t>
      </w:r>
      <w:r>
        <w:rPr>
          <w:i/>
          <w:w w:val="105"/>
          <w:sz w:val="19"/>
        </w:rPr>
        <w:t>x  </w:t>
      </w:r>
      <w:r>
        <w:rPr>
          <w:rFonts w:ascii="Arial"/>
          <w:w w:val="105"/>
          <w:sz w:val="30"/>
        </w:rPr>
        <w:t>+ </w:t>
      </w:r>
      <w:r>
        <w:rPr>
          <w:w w:val="105"/>
          <w:sz w:val="19"/>
        </w:rPr>
        <w:t>1 </w:t>
      </w:r>
      <w:r>
        <w:rPr>
          <w:w w:val="105"/>
        </w:rPr>
        <w:t>decreasing  by  1 euch  year  and  ceasing  with the</w:t>
      </w:r>
    </w:p>
    <w:p>
      <w:pPr>
        <w:pStyle w:val="BodyText"/>
        <w:spacing w:line="256" w:lineRule="auto"/>
        <w:ind w:left="115"/>
      </w:pPr>
      <w:r>
        <w:rPr/>
        <w:t>n-th payment uf 1 may be </w:t>
      </w:r>
      <w:r>
        <w:rPr>
          <w:sz w:val="19"/>
        </w:rPr>
        <w:t>expm,se&lt;l </w:t>
      </w:r>
      <w:r>
        <w:rPr/>
        <w:t>ai-; a sum of </w:t>
      </w:r>
      <w:r>
        <w:rPr>
          <w:i/>
          <w:sz w:val="21"/>
        </w:rPr>
        <w:t>n </w:t>
      </w:r>
      <w:r>
        <w:rPr/>
        <w:t>level temporary annuities:</w:t>
      </w:r>
    </w:p>
    <w:p>
      <w:pPr>
        <w:spacing w:after="0" w:line="256" w:lineRule="auto"/>
        <w:sectPr>
          <w:type w:val="continuous"/>
          <w:pgSz w:w="7200" w:h="11340"/>
          <w:pgMar w:top="1100" w:bottom="0" w:left="640" w:right="560"/>
        </w:sectPr>
      </w:pPr>
    </w:p>
    <w:p>
      <w:pPr>
        <w:pStyle w:val="BodyText"/>
        <w:spacing w:before="4"/>
        <w:rPr>
          <w:sz w:val="15"/>
        </w:rPr>
      </w:pPr>
    </w:p>
    <w:p>
      <w:pPr>
        <w:spacing w:line="135" w:lineRule="exact" w:before="0"/>
        <w:ind w:left="0" w:right="0" w:firstLine="0"/>
        <w:jc w:val="right"/>
        <w:rPr>
          <w:b/>
          <w:sz w:val="16"/>
        </w:rPr>
      </w:pPr>
      <w:r>
        <w:rPr/>
        <w:pict>
          <v:shape style="position:absolute;margin-left:92.160004pt;margin-top:3.127998pt;width:97.05pt;height:13pt;mso-position-horizontal-relative:page;mso-position-vertical-relative:paragraph;z-index:-731344" type="#_x0000_t202" filled="false" stroked="false">
            <v:textbox inset="0,0,0,0">
              <w:txbxContent>
                <w:p>
                  <w:pPr>
                    <w:tabs>
                      <w:tab w:pos="813" w:val="left" w:leader="none"/>
                      <w:tab w:pos="1803" w:val="left" w:leader="none"/>
                    </w:tabs>
                    <w:spacing w:line="260" w:lineRule="exact" w:before="0"/>
                    <w:ind w:left="0" w:right="0" w:firstLine="0"/>
                    <w:jc w:val="left"/>
                    <w:rPr>
                      <w:sz w:val="24"/>
                    </w:rPr>
                  </w:pPr>
                  <w:r>
                    <w:rPr>
                      <w:rFonts w:ascii="Arial"/>
                      <w:i/>
                      <w:sz w:val="19"/>
                    </w:rPr>
                    <w:t>(</w:t>
                  </w:r>
                  <w:r>
                    <w:rPr>
                      <w:rFonts w:ascii="Arial"/>
                      <w:i/>
                      <w:spacing w:val="-19"/>
                      <w:sz w:val="19"/>
                    </w:rPr>
                    <w:t> </w:t>
                  </w:r>
                  <w:r>
                    <w:rPr>
                      <w:rFonts w:ascii="Arial"/>
                      <w:i/>
                      <w:sz w:val="19"/>
                    </w:rPr>
                    <w:t>D </w:t>
                  </w:r>
                  <w:r>
                    <w:rPr>
                      <w:rFonts w:ascii="Arial"/>
                      <w:i/>
                      <w:spacing w:val="27"/>
                      <w:sz w:val="19"/>
                    </w:rPr>
                    <w:t> </w:t>
                  </w:r>
                  <w:r>
                    <w:rPr>
                      <w:rFonts w:ascii="Arial"/>
                      <w:position w:val="1"/>
                      <w:sz w:val="19"/>
                    </w:rPr>
                    <w:t>)</w:t>
                    <w:tab/>
                  </w:r>
                  <w:r>
                    <w:rPr>
                      <w:position w:val="-2"/>
                      <w:sz w:val="26"/>
                    </w:rPr>
                    <w:t>=</w:t>
                    <w:tab/>
                  </w:r>
                  <w:r>
                    <w:rPr>
                      <w:position w:val="-2"/>
                      <w:sz w:val="24"/>
                    </w:rPr>
                    <w:t>=</w:t>
                  </w:r>
                </w:p>
              </w:txbxContent>
            </v:textbox>
            <w10:wrap type="none"/>
          </v:shape>
        </w:pict>
      </w:r>
      <w:r>
        <w:rPr>
          <w:b/>
          <w:w w:val="125"/>
          <w:sz w:val="15"/>
        </w:rPr>
        <w:t>Nz+l  </w:t>
      </w:r>
      <w:r>
        <w:rPr>
          <w:w w:val="340"/>
          <w:sz w:val="15"/>
        </w:rPr>
        <w:t>-</w:t>
      </w:r>
      <w:r>
        <w:rPr>
          <w:spacing w:val="-115"/>
          <w:w w:val="340"/>
          <w:sz w:val="15"/>
        </w:rPr>
        <w:t> </w:t>
      </w:r>
      <w:r>
        <w:rPr>
          <w:b/>
          <w:w w:val="125"/>
          <w:sz w:val="16"/>
        </w:rPr>
        <w:t>Na+t+l</w:t>
      </w:r>
    </w:p>
    <w:p>
      <w:pPr>
        <w:tabs>
          <w:tab w:pos="2249" w:val="left" w:leader="none"/>
          <w:tab w:pos="3181" w:val="left" w:leader="none"/>
          <w:tab w:pos="4036" w:val="left" w:leader="none"/>
        </w:tabs>
        <w:spacing w:line="303" w:lineRule="exact" w:before="0"/>
        <w:ind w:left="1440" w:right="0" w:firstLine="0"/>
        <w:jc w:val="left"/>
        <w:rPr>
          <w:sz w:val="22"/>
        </w:rPr>
      </w:pPr>
      <w:r>
        <w:rPr/>
        <w:drawing>
          <wp:anchor distT="0" distB="0" distL="0" distR="0" allowOverlap="1" layoutInCell="1" locked="0" behindDoc="0" simplePos="0" relativeHeight="4624">
            <wp:simplePos x="0" y="0"/>
            <wp:positionH relativeFrom="page">
              <wp:posOffset>1673351</wp:posOffset>
            </wp:positionH>
            <wp:positionV relativeFrom="paragraph">
              <wp:posOffset>263178</wp:posOffset>
            </wp:positionV>
            <wp:extent cx="1563624" cy="292607"/>
            <wp:effectExtent l="0" t="0" r="0" b="0"/>
            <wp:wrapNone/>
            <wp:docPr id="109" name="image59.png" descr=""/>
            <wp:cNvGraphicFramePr>
              <a:graphicFrameLocks noChangeAspect="1"/>
            </wp:cNvGraphicFramePr>
            <a:graphic>
              <a:graphicData uri="http://schemas.openxmlformats.org/drawingml/2006/picture">
                <pic:pic>
                  <pic:nvPicPr>
                    <pic:cNvPr id="110" name="image59.png"/>
                    <pic:cNvPicPr/>
                  </pic:nvPicPr>
                  <pic:blipFill>
                    <a:blip r:embed="rId63" cstate="print"/>
                    <a:stretch>
                      <a:fillRect/>
                    </a:stretch>
                  </pic:blipFill>
                  <pic:spPr>
                    <a:xfrm>
                      <a:off x="0" y="0"/>
                      <a:ext cx="1563624" cy="292607"/>
                    </a:xfrm>
                    <a:prstGeom prst="rect">
                      <a:avLst/>
                    </a:prstGeom>
                  </pic:spPr>
                </pic:pic>
              </a:graphicData>
            </a:graphic>
          </wp:anchor>
        </w:drawing>
      </w:r>
      <w:r>
        <w:rPr>
          <w:b/>
          <w:i/>
          <w:w w:val="103"/>
          <w:sz w:val="20"/>
        </w:rPr>
        <w:t>a</w:t>
      </w:r>
      <w:r>
        <w:rPr>
          <w:b/>
          <w:i/>
          <w:sz w:val="20"/>
        </w:rPr>
        <w:t> </w:t>
      </w:r>
      <w:r>
        <w:rPr>
          <w:b/>
          <w:i/>
          <w:spacing w:val="-2"/>
          <w:sz w:val="20"/>
        </w:rPr>
        <w:t> </w:t>
      </w:r>
      <w:r>
        <w:rPr>
          <w:w w:val="97"/>
          <w:sz w:val="18"/>
        </w:rPr>
        <w:t>z:ñl</w:t>
      </w:r>
      <w:r>
        <w:rPr>
          <w:sz w:val="18"/>
        </w:rPr>
        <w:tab/>
      </w:r>
      <w:r>
        <w:rPr>
          <w:i/>
          <w:spacing w:val="-99"/>
          <w:w w:val="112"/>
          <w:sz w:val="16"/>
        </w:rPr>
        <w:t>L</w:t>
      </w:r>
      <w:r>
        <w:rPr>
          <w:w w:val="111"/>
          <w:position w:val="-10"/>
          <w:sz w:val="26"/>
        </w:rPr>
        <w:t>,</w:t>
      </w:r>
      <w:r>
        <w:rPr>
          <w:spacing w:val="-75"/>
          <w:w w:val="111"/>
          <w:position w:val="-10"/>
          <w:sz w:val="26"/>
        </w:rPr>
        <w:t>-</w:t>
      </w:r>
      <w:r>
        <w:rPr>
          <w:i/>
          <w:spacing w:val="-19"/>
          <w:w w:val="112"/>
          <w:sz w:val="16"/>
        </w:rPr>
        <w:t>J</w:t>
      </w:r>
      <w:r>
        <w:rPr>
          <w:w w:val="72"/>
          <w:position w:val="-10"/>
          <w:sz w:val="26"/>
        </w:rPr>
        <w:t>1</w:t>
      </w:r>
      <w:r>
        <w:rPr>
          <w:spacing w:val="-37"/>
          <w:position w:val="-10"/>
          <w:sz w:val="26"/>
        </w:rPr>
        <w:t> </w:t>
      </w:r>
      <w:r>
        <w:rPr>
          <w:i/>
          <w:w w:val="88"/>
          <w:sz w:val="19"/>
        </w:rPr>
        <w:t>az:</w:t>
      </w:r>
      <w:r>
        <w:rPr>
          <w:i/>
          <w:spacing w:val="-28"/>
          <w:sz w:val="19"/>
        </w:rPr>
        <w:t> </w:t>
      </w:r>
      <w:r>
        <w:rPr>
          <w:i/>
          <w:w w:val="120"/>
          <w:sz w:val="19"/>
        </w:rPr>
        <w:t>tl</w:t>
      </w:r>
      <w:r>
        <w:rPr>
          <w:i/>
          <w:sz w:val="19"/>
        </w:rPr>
        <w:tab/>
      </w:r>
      <w:r>
        <w:rPr>
          <w:spacing w:val="-253"/>
          <w:w w:val="288"/>
          <w:position w:val="-10"/>
          <w:sz w:val="26"/>
        </w:rPr>
        <w:t>,</w:t>
      </w:r>
      <w:r>
        <w:rPr>
          <w:b/>
          <w:i/>
          <w:spacing w:val="-3"/>
          <w:w w:val="102"/>
          <w:sz w:val="16"/>
        </w:rPr>
        <w:t>L</w:t>
      </w:r>
      <w:r>
        <w:rPr>
          <w:b/>
          <w:i/>
          <w:spacing w:val="-18"/>
          <w:w w:val="103"/>
          <w:sz w:val="16"/>
        </w:rPr>
        <w:t>J</w:t>
      </w:r>
      <w:r>
        <w:rPr>
          <w:w w:val="67"/>
          <w:position w:val="-10"/>
          <w:sz w:val="26"/>
        </w:rPr>
        <w:t>1</w:t>
      </w:r>
      <w:r>
        <w:rPr>
          <w:position w:val="-10"/>
          <w:sz w:val="26"/>
        </w:rPr>
        <w:tab/>
      </w:r>
      <w:r>
        <w:rPr>
          <w:w w:val="71"/>
          <w:position w:val="-10"/>
          <w:sz w:val="22"/>
        </w:rPr>
        <w:t>Da:</w:t>
      </w:r>
    </w:p>
    <w:p>
      <w:pPr>
        <w:pStyle w:val="BodyText"/>
      </w:pPr>
      <w:r>
        <w:rPr/>
        <w:br w:type="column"/>
      </w:r>
      <w:r>
        <w:rPr/>
      </w:r>
    </w:p>
    <w:p>
      <w:pPr>
        <w:pStyle w:val="BodyText"/>
      </w:pPr>
    </w:p>
    <w:p>
      <w:pPr>
        <w:pStyle w:val="BodyText"/>
      </w:pPr>
    </w:p>
    <w:p>
      <w:pPr>
        <w:pStyle w:val="BodyText"/>
        <w:spacing w:before="130"/>
        <w:ind w:left="524"/>
      </w:pPr>
      <w:r>
        <w:rPr>
          <w:w w:val="105"/>
        </w:rPr>
        <w:t>(2.42)</w:t>
      </w:r>
    </w:p>
    <w:p>
      <w:pPr>
        <w:spacing w:after="0"/>
        <w:sectPr>
          <w:type w:val="continuous"/>
          <w:pgSz w:w="7200" w:h="11340"/>
          <w:pgMar w:top="1100" w:bottom="0" w:left="640" w:right="560"/>
          <w:cols w:num="2" w:equalWidth="0">
            <w:col w:w="4775" w:space="40"/>
            <w:col w:w="1185"/>
          </w:cols>
        </w:sectPr>
      </w:pPr>
    </w:p>
    <w:p>
      <w:pPr>
        <w:pStyle w:val="BodyText"/>
        <w:spacing w:before="8"/>
        <w:rPr>
          <w:sz w:val="16"/>
        </w:rPr>
      </w:pPr>
    </w:p>
    <w:p>
      <w:pPr>
        <w:pStyle w:val="BodyText"/>
        <w:spacing w:line="249" w:lineRule="auto" w:before="75"/>
        <w:ind w:left="115" w:right="122" w:firstLine="201"/>
        <w:jc w:val="both"/>
      </w:pPr>
      <w:r>
        <w:rPr/>
        <w:drawing>
          <wp:anchor distT="0" distB="0" distL="0" distR="0" allowOverlap="1" layoutInCell="1" locked="0" behindDoc="0" simplePos="0" relativeHeight="4600">
            <wp:simplePos x="0" y="0"/>
            <wp:positionH relativeFrom="page">
              <wp:posOffset>2002535</wp:posOffset>
            </wp:positionH>
            <wp:positionV relativeFrom="paragraph">
              <wp:posOffset>742263</wp:posOffset>
            </wp:positionV>
            <wp:extent cx="658367" cy="283464"/>
            <wp:effectExtent l="0" t="0" r="0" b="0"/>
            <wp:wrapTopAndBottom/>
            <wp:docPr id="111" name="image60.png" descr=""/>
            <wp:cNvGraphicFramePr>
              <a:graphicFrameLocks noChangeAspect="1"/>
            </wp:cNvGraphicFramePr>
            <a:graphic>
              <a:graphicData uri="http://schemas.openxmlformats.org/drawingml/2006/picture">
                <pic:pic>
                  <pic:nvPicPr>
                    <pic:cNvPr id="112" name="image60.png"/>
                    <pic:cNvPicPr/>
                  </pic:nvPicPr>
                  <pic:blipFill>
                    <a:blip r:embed="rId64" cstate="print"/>
                    <a:stretch>
                      <a:fillRect/>
                    </a:stretch>
                  </pic:blipFill>
                  <pic:spPr>
                    <a:xfrm>
                      <a:off x="0" y="0"/>
                      <a:ext cx="658367" cy="283464"/>
                    </a:xfrm>
                    <a:prstGeom prst="rect">
                      <a:avLst/>
                    </a:prstGeom>
                  </pic:spPr>
                </pic:pic>
              </a:graphicData>
            </a:graphic>
          </wp:anchor>
        </w:drawing>
      </w:r>
      <w:r>
        <w:rPr>
          <w:w w:val="105"/>
        </w:rPr>
        <w:t>The formulas for the corresponding varying annuities-due are easily obtained from the above immediate annuity formulas by simply making each numerator refer to an age one year younger. The two following examples may he readily verified </w:t>
      </w:r>
      <w:r>
        <w:rPr>
          <w:spacing w:val="4"/>
          <w:w w:val="105"/>
        </w:rPr>
        <w:t> </w:t>
      </w:r>
      <w:r>
        <w:rPr>
          <w:w w:val="105"/>
        </w:rPr>
        <w:t>:</w:t>
      </w:r>
    </w:p>
    <w:p>
      <w:pPr>
        <w:spacing w:after="0" w:line="249" w:lineRule="auto"/>
        <w:jc w:val="both"/>
        <w:sectPr>
          <w:type w:val="continuous"/>
          <w:pgSz w:w="7200" w:h="11340"/>
          <w:pgMar w:top="1100" w:bottom="0" w:left="640" w:right="560"/>
        </w:sectPr>
      </w:pPr>
    </w:p>
    <w:p>
      <w:pPr>
        <w:tabs>
          <w:tab w:pos="2116" w:val="left" w:leader="none"/>
          <w:tab w:pos="5865" w:val="right" w:leader="none"/>
        </w:tabs>
        <w:spacing w:before="62"/>
        <w:ind w:left="132" w:right="0" w:firstLine="0"/>
        <w:jc w:val="left"/>
        <w:rPr>
          <w:rFonts w:ascii="Arial"/>
          <w:sz w:val="19"/>
        </w:rPr>
      </w:pPr>
      <w:r>
        <w:rPr>
          <w:rFonts w:ascii="Arial"/>
          <w:color w:val="010101"/>
          <w:spacing w:val="-6"/>
          <w:w w:val="105"/>
          <w:sz w:val="15"/>
        </w:rPr>
        <w:t>8EC </w:t>
      </w:r>
      <w:r>
        <w:rPr>
          <w:rFonts w:ascii="Arial"/>
          <w:color w:val="010101"/>
          <w:spacing w:val="-5"/>
          <w:w w:val="105"/>
          <w:sz w:val="15"/>
        </w:rPr>
        <w:t> </w:t>
      </w:r>
      <w:r>
        <w:rPr>
          <w:rFonts w:ascii="Arial"/>
          <w:color w:val="010101"/>
          <w:w w:val="105"/>
          <w:sz w:val="19"/>
        </w:rPr>
        <w:t>5)</w:t>
        <w:tab/>
      </w:r>
      <w:r>
        <w:rPr>
          <w:b/>
          <w:color w:val="010101"/>
          <w:w w:val="105"/>
          <w:position w:val="1"/>
          <w:sz w:val="15"/>
        </w:rPr>
        <w:t>VARYING </w:t>
      </w:r>
      <w:r>
        <w:rPr>
          <w:b/>
          <w:color w:val="010101"/>
          <w:spacing w:val="23"/>
          <w:w w:val="105"/>
          <w:position w:val="1"/>
          <w:sz w:val="15"/>
        </w:rPr>
        <w:t> </w:t>
      </w:r>
      <w:r>
        <w:rPr>
          <w:b/>
          <w:color w:val="010101"/>
          <w:w w:val="105"/>
          <w:position w:val="1"/>
          <w:sz w:val="15"/>
        </w:rPr>
        <w:t>ANNUITIES</w:t>
      </w:r>
      <w:r>
        <w:rPr>
          <w:rFonts w:ascii="Arial"/>
          <w:color w:val="010101"/>
          <w:w w:val="105"/>
          <w:sz w:val="19"/>
        </w:rPr>
        <w:tab/>
        <w:t>53</w:t>
      </w:r>
    </w:p>
    <w:p>
      <w:pPr>
        <w:spacing w:after="0"/>
        <w:jc w:val="left"/>
        <w:rPr>
          <w:rFonts w:ascii="Arial"/>
          <w:sz w:val="19"/>
        </w:rPr>
        <w:sectPr>
          <w:pgSz w:w="7200" w:h="11340"/>
          <w:pgMar w:top="500" w:bottom="280" w:left="660" w:right="560"/>
        </w:sectPr>
      </w:pPr>
    </w:p>
    <w:p>
      <w:pPr>
        <w:spacing w:line="185" w:lineRule="exact" w:before="253"/>
        <w:ind w:left="0" w:right="0" w:firstLine="0"/>
        <w:jc w:val="right"/>
        <w:rPr>
          <w:b/>
          <w:i/>
          <w:sz w:val="21"/>
        </w:rPr>
      </w:pPr>
      <w:r>
        <w:rPr>
          <w:b/>
          <w:i/>
          <w:color w:val="010101"/>
          <w:w w:val="85"/>
          <w:position w:val="-9"/>
          <w:sz w:val="21"/>
        </w:rPr>
        <w:t>( D</w:t>
      </w:r>
      <w:r>
        <w:rPr>
          <w:b/>
          <w:i/>
          <w:color w:val="010101"/>
          <w:w w:val="85"/>
          <w:sz w:val="21"/>
        </w:rPr>
        <w:t>A )</w:t>
      </w:r>
    </w:p>
    <w:p>
      <w:pPr>
        <w:spacing w:line="185" w:lineRule="exact" w:before="253"/>
        <w:ind w:left="123" w:right="0" w:firstLine="0"/>
        <w:jc w:val="left"/>
        <w:rPr>
          <w:rFonts w:ascii="Arial"/>
          <w:b/>
          <w:sz w:val="19"/>
        </w:rPr>
      </w:pPr>
      <w:r>
        <w:rPr/>
        <w:br w:type="column"/>
      </w:r>
      <w:r>
        <w:rPr>
          <w:color w:val="010101"/>
          <w:w w:val="110"/>
          <w:sz w:val="21"/>
        </w:rPr>
        <w:t>_</w:t>
      </w:r>
      <w:r>
        <w:rPr>
          <w:color w:val="010101"/>
          <w:sz w:val="21"/>
        </w:rPr>
        <w:t>  </w:t>
      </w:r>
      <w:r>
        <w:rPr>
          <w:color w:val="010101"/>
          <w:spacing w:val="-26"/>
          <w:sz w:val="21"/>
        </w:rPr>
        <w:t> </w:t>
      </w:r>
      <w:r>
        <w:rPr>
          <w:color w:val="010101"/>
          <w:w w:val="124"/>
          <w:sz w:val="21"/>
        </w:rPr>
        <w:t>_</w:t>
      </w:r>
      <w:r>
        <w:rPr>
          <w:color w:val="010101"/>
          <w:sz w:val="21"/>
        </w:rPr>
        <w:t> </w:t>
      </w:r>
      <w:r>
        <w:rPr>
          <w:color w:val="010101"/>
          <w:spacing w:val="-10"/>
          <w:sz w:val="21"/>
        </w:rPr>
        <w:t> </w:t>
      </w:r>
      <w:r>
        <w:rPr>
          <w:b/>
          <w:i/>
          <w:color w:val="010101"/>
          <w:w w:val="93"/>
          <w:sz w:val="21"/>
        </w:rPr>
        <w:t>n</w:t>
      </w:r>
      <w:r>
        <w:rPr>
          <w:b/>
          <w:i/>
          <w:color w:val="010101"/>
          <w:spacing w:val="27"/>
          <w:w w:val="93"/>
          <w:sz w:val="21"/>
        </w:rPr>
        <w:t>N</w:t>
      </w:r>
      <w:r>
        <w:rPr>
          <w:b/>
          <w:i/>
          <w:color w:val="010101"/>
          <w:w w:val="189"/>
          <w:sz w:val="21"/>
        </w:rPr>
        <w:t>.</w:t>
      </w:r>
      <w:r>
        <w:rPr>
          <w:b/>
          <w:i/>
          <w:color w:val="010101"/>
          <w:spacing w:val="2"/>
          <w:sz w:val="21"/>
        </w:rPr>
        <w:t> </w:t>
      </w:r>
      <w:r>
        <w:rPr>
          <w:color w:val="010101"/>
          <w:w w:val="260"/>
          <w:sz w:val="21"/>
        </w:rPr>
        <w:t>-</w:t>
      </w:r>
      <w:r>
        <w:rPr>
          <w:color w:val="010101"/>
          <w:spacing w:val="12"/>
          <w:sz w:val="21"/>
        </w:rPr>
        <w:t> </w:t>
      </w:r>
      <w:r>
        <w:rPr>
          <w:b/>
          <w:color w:val="010101"/>
          <w:w w:val="101"/>
          <w:sz w:val="20"/>
        </w:rPr>
        <w:t>(</w:t>
      </w:r>
      <w:r>
        <w:rPr>
          <w:b/>
          <w:color w:val="010101"/>
          <w:w w:val="101"/>
          <w:sz w:val="20"/>
        </w:rPr>
        <w:t>Ss+l</w:t>
      </w:r>
      <w:r>
        <w:rPr>
          <w:b/>
          <w:color w:val="010101"/>
          <w:sz w:val="20"/>
        </w:rPr>
        <w:t> </w:t>
      </w:r>
      <w:r>
        <w:rPr>
          <w:b/>
          <w:color w:val="010101"/>
          <w:spacing w:val="-10"/>
          <w:sz w:val="20"/>
        </w:rPr>
        <w:t> </w:t>
      </w:r>
      <w:r>
        <w:rPr>
          <w:color w:val="010101"/>
          <w:w w:val="281"/>
          <w:sz w:val="20"/>
        </w:rPr>
        <w:t>-</w:t>
      </w:r>
      <w:r>
        <w:rPr>
          <w:color w:val="010101"/>
          <w:spacing w:val="-2"/>
          <w:sz w:val="20"/>
        </w:rPr>
        <w:t> </w:t>
      </w:r>
      <w:r>
        <w:rPr>
          <w:rFonts w:ascii="Arial"/>
          <w:b/>
          <w:color w:val="010101"/>
          <w:w w:val="92"/>
          <w:sz w:val="19"/>
        </w:rPr>
        <w:t>s-+"i-1</w:t>
      </w:r>
      <w:r>
        <w:rPr>
          <w:rFonts w:ascii="Arial"/>
          <w:b/>
          <w:color w:val="010101"/>
          <w:w w:val="92"/>
          <w:sz w:val="19"/>
        </w:rPr>
        <w:t>)</w:t>
      </w:r>
    </w:p>
    <w:p>
      <w:pPr>
        <w:spacing w:after="0" w:line="185" w:lineRule="exact"/>
        <w:jc w:val="left"/>
        <w:rPr>
          <w:rFonts w:ascii="Arial"/>
          <w:sz w:val="19"/>
        </w:rPr>
        <w:sectPr>
          <w:type w:val="continuous"/>
          <w:pgSz w:w="7200" w:h="11340"/>
          <w:pgMar w:top="1100" w:bottom="0" w:left="660" w:right="560"/>
          <w:cols w:num="2" w:equalWidth="0">
            <w:col w:w="1828" w:space="40"/>
            <w:col w:w="4112"/>
          </w:cols>
        </w:sectPr>
      </w:pPr>
    </w:p>
    <w:p>
      <w:pPr>
        <w:tabs>
          <w:tab w:pos="1528" w:val="left" w:leader="none"/>
          <w:tab w:pos="2712" w:val="left" w:leader="none"/>
        </w:tabs>
        <w:spacing w:line="214" w:lineRule="exact" w:before="0"/>
        <w:ind w:left="0" w:right="1361" w:firstLine="0"/>
        <w:jc w:val="right"/>
        <w:rPr>
          <w:sz w:val="21"/>
        </w:rPr>
      </w:pPr>
      <w:r>
        <w:rPr/>
        <w:pict>
          <v:line style="position:absolute;mso-position-horizontal-relative:page;mso-position-vertical-relative:paragraph;z-index:-731320" from="234.618805pt,.896264pt" to="237.668205pt,.896264pt" stroked="true" strokeweight=".717489pt" strokecolor="#000000">
            <w10:wrap type="none"/>
          </v:line>
        </w:pict>
      </w:r>
      <w:r>
        <w:rPr>
          <w:b/>
          <w:color w:val="010101"/>
          <w:w w:val="80"/>
          <w:sz w:val="21"/>
        </w:rPr>
        <w:t>a:11</w:t>
      </w:r>
      <w:r>
        <w:rPr>
          <w:b/>
          <w:color w:val="010101"/>
          <w:spacing w:val="-19"/>
          <w:w w:val="80"/>
          <w:sz w:val="21"/>
        </w:rPr>
        <w:t> </w:t>
      </w:r>
      <w:r>
        <w:rPr>
          <w:b/>
          <w:color w:val="010101"/>
          <w:w w:val="55"/>
          <w:sz w:val="21"/>
        </w:rPr>
        <w:t>1 </w:t>
      </w:r>
      <w:r>
        <w:rPr>
          <w:b/>
          <w:color w:val="010101"/>
          <w:spacing w:val="4"/>
          <w:w w:val="55"/>
          <w:sz w:val="21"/>
        </w:rPr>
        <w:t> </w:t>
      </w:r>
      <w:r>
        <w:rPr>
          <w:color w:val="010101"/>
          <w:w w:val="225"/>
          <w:sz w:val="21"/>
        </w:rPr>
        <w:t>-</w:t>
        <w:tab/>
      </w:r>
      <w:r>
        <w:rPr>
          <w:b/>
          <w:color w:val="010101"/>
          <w:sz w:val="21"/>
        </w:rPr>
        <w:t>Da</w:t>
        <w:tab/>
      </w:r>
      <w:r>
        <w:rPr>
          <w:color w:val="010101"/>
          <w:spacing w:val="-1"/>
          <w:w w:val="65"/>
          <w:sz w:val="21"/>
        </w:rPr>
        <w:t>•</w:t>
      </w:r>
    </w:p>
    <w:p>
      <w:pPr>
        <w:pStyle w:val="BodyText"/>
        <w:spacing w:before="5"/>
      </w:pPr>
    </w:p>
    <w:p>
      <w:pPr>
        <w:pStyle w:val="BodyText"/>
        <w:spacing w:line="252" w:lineRule="auto"/>
        <w:ind w:left="132" w:right="111" w:firstLine="197"/>
        <w:jc w:val="both"/>
      </w:pPr>
      <w:r>
        <w:rPr>
          <w:color w:val="010101"/>
          <w:w w:val="105"/>
        </w:rPr>
        <w:t>Although the formulas are useful in certain special cases, it should be noted that the formula for any varying annuity, with regular or irregular variations, may be developed from first prin­ cipies by expressing the benefit  as a sum of pure </w:t>
      </w:r>
      <w:r>
        <w:rPr>
          <w:color w:val="010101"/>
          <w:spacing w:val="31"/>
          <w:w w:val="105"/>
        </w:rPr>
        <w:t> </w:t>
      </w:r>
      <w:r>
        <w:rPr>
          <w:color w:val="010101"/>
          <w:w w:val="105"/>
        </w:rPr>
        <w:t>endowments.</w:t>
      </w:r>
    </w:p>
    <w:p>
      <w:pPr>
        <w:pStyle w:val="BodyText"/>
        <w:spacing w:line="247" w:lineRule="auto"/>
        <w:ind w:left="129" w:right="108" w:firstLine="204"/>
        <w:jc w:val="both"/>
      </w:pPr>
      <w:r>
        <w:rPr>
          <w:color w:val="010101"/>
          <w:w w:val="105"/>
        </w:rPr>
        <w:t>When </w:t>
      </w:r>
      <w:r>
        <w:rPr>
          <w:rFonts w:ascii="Arial" w:hAnsi="Arial"/>
          <w:b/>
          <w:color w:val="010101"/>
          <w:w w:val="105"/>
          <w:sz w:val="18"/>
        </w:rPr>
        <w:t>varying </w:t>
      </w:r>
      <w:r>
        <w:rPr>
          <w:color w:val="010101"/>
          <w:w w:val="105"/>
        </w:rPr>
        <w:t>annuities are payable more  frequently  than  once a year, two different  cases  arise  depending  on whether  the  </w:t>
      </w:r>
      <w:r>
        <w:rPr>
          <w:rFonts w:ascii="Arial" w:hAnsi="Arial"/>
          <w:i/>
          <w:color w:val="010101"/>
          <w:w w:val="105"/>
          <w:sz w:val="17"/>
        </w:rPr>
        <w:t>rate  </w:t>
      </w:r>
      <w:r>
        <w:rPr>
          <w:color w:val="010101"/>
          <w:w w:val="105"/>
        </w:rPr>
        <w:t>of payment is constant or varies during each year of  age.  </w:t>
      </w:r>
      <w:r>
        <w:rPr>
          <w:color w:val="010101"/>
          <w:w w:val="105"/>
          <w:sz w:val="21"/>
        </w:rPr>
        <w:t>If  </w:t>
      </w:r>
      <w:r>
        <w:rPr>
          <w:color w:val="010101"/>
          <w:w w:val="105"/>
        </w:rPr>
        <w:t>the rate of payment during the year is constant, the total annual pay­ ment</w:t>
      </w:r>
      <w:r>
        <w:rPr>
          <w:color w:val="010101"/>
          <w:spacing w:val="-5"/>
          <w:w w:val="105"/>
        </w:rPr>
        <w:t> </w:t>
      </w:r>
      <w:r>
        <w:rPr>
          <w:rFonts w:ascii="Arial" w:hAnsi="Arial"/>
          <w:color w:val="010101"/>
          <w:w w:val="105"/>
        </w:rPr>
        <w:t>is</w:t>
      </w:r>
      <w:r>
        <w:rPr>
          <w:rFonts w:ascii="Arial" w:hAnsi="Arial"/>
          <w:color w:val="010101"/>
          <w:spacing w:val="-35"/>
          <w:w w:val="105"/>
        </w:rPr>
        <w:t> </w:t>
      </w:r>
      <w:r>
        <w:rPr>
          <w:color w:val="010101"/>
          <w:w w:val="105"/>
        </w:rPr>
        <w:t>made</w:t>
      </w:r>
      <w:r>
        <w:rPr>
          <w:color w:val="010101"/>
          <w:spacing w:val="-8"/>
          <w:w w:val="105"/>
        </w:rPr>
        <w:t> </w:t>
      </w:r>
      <w:r>
        <w:rPr>
          <w:color w:val="010101"/>
          <w:w w:val="105"/>
        </w:rPr>
        <w:t>in</w:t>
      </w:r>
      <w:r>
        <w:rPr>
          <w:color w:val="010101"/>
          <w:spacing w:val="-18"/>
          <w:w w:val="105"/>
        </w:rPr>
        <w:t> </w:t>
      </w:r>
      <w:r>
        <w:rPr>
          <w:i/>
          <w:color w:val="010101"/>
          <w:w w:val="105"/>
          <w:sz w:val="21"/>
        </w:rPr>
        <w:t>m</w:t>
      </w:r>
      <w:r>
        <w:rPr>
          <w:i/>
          <w:color w:val="010101"/>
          <w:spacing w:val="-20"/>
          <w:w w:val="105"/>
          <w:sz w:val="21"/>
        </w:rPr>
        <w:t> </w:t>
      </w:r>
      <w:r>
        <w:rPr>
          <w:i/>
          <w:color w:val="010101"/>
          <w:w w:val="105"/>
          <w:sz w:val="21"/>
        </w:rPr>
        <w:t>equal,</w:t>
      </w:r>
      <w:r>
        <w:rPr>
          <w:i/>
          <w:color w:val="010101"/>
          <w:spacing w:val="-20"/>
          <w:w w:val="105"/>
          <w:sz w:val="21"/>
        </w:rPr>
        <w:t> </w:t>
      </w:r>
      <w:r>
        <w:rPr>
          <w:color w:val="010101"/>
          <w:w w:val="105"/>
        </w:rPr>
        <w:t>instalments</w:t>
      </w:r>
      <w:r>
        <w:rPr>
          <w:color w:val="010101"/>
          <w:spacing w:val="8"/>
          <w:w w:val="105"/>
        </w:rPr>
        <w:t> </w:t>
      </w:r>
      <w:r>
        <w:rPr>
          <w:color w:val="010101"/>
          <w:w w:val="105"/>
        </w:rPr>
        <w:t>with</w:t>
      </w:r>
      <w:r>
        <w:rPr>
          <w:color w:val="010101"/>
          <w:spacing w:val="10"/>
          <w:w w:val="105"/>
        </w:rPr>
        <w:t> </w:t>
      </w:r>
      <w:r>
        <w:rPr>
          <w:color w:val="010101"/>
          <w:w w:val="105"/>
        </w:rPr>
        <w:t>increases</w:t>
      </w:r>
      <w:r>
        <w:rPr>
          <w:color w:val="010101"/>
          <w:spacing w:val="7"/>
          <w:w w:val="105"/>
        </w:rPr>
        <w:t> </w:t>
      </w:r>
      <w:r>
        <w:rPr>
          <w:color w:val="010101"/>
          <w:w w:val="105"/>
        </w:rPr>
        <w:t>or</w:t>
      </w:r>
      <w:r>
        <w:rPr>
          <w:color w:val="010101"/>
          <w:spacing w:val="-14"/>
          <w:w w:val="105"/>
        </w:rPr>
        <w:t> </w:t>
      </w:r>
      <w:r>
        <w:rPr>
          <w:color w:val="010101"/>
          <w:w w:val="105"/>
        </w:rPr>
        <w:t>decreases</w:t>
      </w:r>
      <w:r>
        <w:rPr>
          <w:color w:val="010101"/>
          <w:spacing w:val="-8"/>
          <w:w w:val="105"/>
        </w:rPr>
        <w:t> </w:t>
      </w:r>
      <w:r>
        <w:rPr>
          <w:color w:val="010101"/>
          <w:w w:val="105"/>
        </w:rPr>
        <w:t>oc­ curring only at the beginning or the end of the year. A varying annuity of this type may be expressed as a sum of a series of level annuities, and it </w:t>
      </w:r>
      <w:r>
        <w:rPr>
          <w:rFonts w:ascii="Arial" w:hAnsi="Arial"/>
          <w:color w:val="010101"/>
          <w:w w:val="105"/>
        </w:rPr>
        <w:t>is </w:t>
      </w:r>
      <w:r>
        <w:rPr>
          <w:color w:val="010101"/>
          <w:w w:val="105"/>
        </w:rPr>
        <w:t>consequently possible to obtain approximate formulas for varying annuities payable </w:t>
      </w:r>
      <w:r>
        <w:rPr>
          <w:rFonts w:ascii="Arial" w:hAnsi="Arial"/>
          <w:i/>
          <w:color w:val="010101"/>
          <w:w w:val="105"/>
          <w:sz w:val="18"/>
        </w:rPr>
        <w:t>m </w:t>
      </w:r>
      <w:r>
        <w:rPr>
          <w:color w:val="010101"/>
          <w:w w:val="105"/>
        </w:rPr>
        <w:t>times a year by an ex­ tension of the process used in approximating the values of level a.nnuities payable </w:t>
      </w:r>
      <w:r>
        <w:rPr>
          <w:rFonts w:ascii="Arial" w:hAnsi="Arial"/>
          <w:i/>
          <w:color w:val="010101"/>
          <w:w w:val="105"/>
          <w:sz w:val="18"/>
        </w:rPr>
        <w:t>m </w:t>
      </w:r>
      <w:r>
        <w:rPr>
          <w:color w:val="010101"/>
          <w:w w:val="105"/>
        </w:rPr>
        <w:t>times a year. For example, an increasing an­ nuity</w:t>
      </w:r>
      <w:r>
        <w:rPr>
          <w:color w:val="010101"/>
          <w:spacing w:val="3"/>
          <w:w w:val="105"/>
        </w:rPr>
        <w:t> </w:t>
      </w:r>
      <w:r>
        <w:rPr>
          <w:color w:val="010101"/>
          <w:w w:val="105"/>
        </w:rPr>
        <w:t>payable</w:t>
      </w:r>
      <w:r>
        <w:rPr>
          <w:color w:val="010101"/>
          <w:spacing w:val="3"/>
          <w:w w:val="105"/>
        </w:rPr>
        <w:t> </w:t>
      </w:r>
      <w:r>
        <w:rPr>
          <w:rFonts w:ascii="Arial" w:hAnsi="Arial"/>
          <w:i/>
          <w:color w:val="010101"/>
          <w:w w:val="105"/>
          <w:sz w:val="18"/>
        </w:rPr>
        <w:t>m</w:t>
      </w:r>
      <w:r>
        <w:rPr>
          <w:rFonts w:ascii="Arial" w:hAnsi="Arial"/>
          <w:i/>
          <w:color w:val="010101"/>
          <w:spacing w:val="-15"/>
          <w:w w:val="105"/>
          <w:sz w:val="18"/>
        </w:rPr>
        <w:t> </w:t>
      </w:r>
      <w:r>
        <w:rPr>
          <w:color w:val="010101"/>
          <w:w w:val="105"/>
        </w:rPr>
        <w:t>times</w:t>
      </w:r>
      <w:r>
        <w:rPr>
          <w:color w:val="010101"/>
          <w:spacing w:val="-4"/>
          <w:w w:val="105"/>
        </w:rPr>
        <w:t> </w:t>
      </w:r>
      <w:r>
        <w:rPr>
          <w:color w:val="010101"/>
          <w:w w:val="105"/>
        </w:rPr>
        <w:t>a</w:t>
      </w:r>
      <w:r>
        <w:rPr>
          <w:color w:val="010101"/>
          <w:spacing w:val="-24"/>
          <w:w w:val="105"/>
        </w:rPr>
        <w:t> </w:t>
      </w:r>
      <w:r>
        <w:rPr>
          <w:color w:val="010101"/>
          <w:w w:val="105"/>
        </w:rPr>
        <w:t>year</w:t>
      </w:r>
      <w:r>
        <w:rPr>
          <w:color w:val="010101"/>
          <w:spacing w:val="4"/>
          <w:w w:val="105"/>
        </w:rPr>
        <w:t> </w:t>
      </w:r>
      <w:r>
        <w:rPr>
          <w:color w:val="010101"/>
          <w:w w:val="105"/>
        </w:rPr>
        <w:t>is</w:t>
      </w:r>
      <w:r>
        <w:rPr>
          <w:color w:val="010101"/>
          <w:spacing w:val="-14"/>
          <w:w w:val="105"/>
        </w:rPr>
        <w:t> </w:t>
      </w:r>
      <w:r>
        <w:rPr>
          <w:color w:val="010101"/>
          <w:w w:val="105"/>
        </w:rPr>
        <w:t>equivalent</w:t>
      </w:r>
      <w:r>
        <w:rPr>
          <w:color w:val="010101"/>
          <w:spacing w:val="4"/>
          <w:w w:val="105"/>
        </w:rPr>
        <w:t> </w:t>
      </w:r>
      <w:r>
        <w:rPr>
          <w:color w:val="010101"/>
          <w:w w:val="105"/>
          <w:sz w:val="22"/>
        </w:rPr>
        <w:t>to</w:t>
      </w:r>
      <w:r>
        <w:rPr>
          <w:color w:val="010101"/>
          <w:spacing w:val="-10"/>
          <w:w w:val="105"/>
          <w:sz w:val="22"/>
        </w:rPr>
        <w:t> </w:t>
      </w:r>
      <w:r>
        <w:rPr>
          <w:color w:val="010101"/>
          <w:w w:val="105"/>
        </w:rPr>
        <w:t>a</w:t>
      </w:r>
      <w:r>
        <w:rPr>
          <w:color w:val="010101"/>
          <w:spacing w:val="-11"/>
          <w:w w:val="105"/>
        </w:rPr>
        <w:t> </w:t>
      </w:r>
      <w:r>
        <w:rPr>
          <w:color w:val="010101"/>
          <w:w w:val="105"/>
        </w:rPr>
        <w:t>series</w:t>
      </w:r>
      <w:r>
        <w:rPr>
          <w:color w:val="010101"/>
          <w:spacing w:val="-11"/>
          <w:w w:val="105"/>
        </w:rPr>
        <w:t> </w:t>
      </w:r>
      <w:r>
        <w:rPr>
          <w:color w:val="010101"/>
          <w:w w:val="105"/>
        </w:rPr>
        <w:t>of</w:t>
      </w:r>
      <w:r>
        <w:rPr>
          <w:color w:val="010101"/>
          <w:spacing w:val="6"/>
          <w:w w:val="105"/>
        </w:rPr>
        <w:t> </w:t>
      </w:r>
      <w:r>
        <w:rPr>
          <w:color w:val="010101"/>
          <w:w w:val="105"/>
        </w:rPr>
        <w:t>successively deferred level annuities payable </w:t>
      </w:r>
      <w:r>
        <w:rPr>
          <w:rFonts w:ascii="Arial" w:hAnsi="Arial"/>
          <w:i/>
          <w:color w:val="010101"/>
          <w:w w:val="105"/>
          <w:sz w:val="18"/>
        </w:rPr>
        <w:t>m </w:t>
      </w:r>
      <w:r>
        <w:rPr>
          <w:color w:val="010101"/>
          <w:w w:val="105"/>
        </w:rPr>
        <w:t>times a year.</w:t>
      </w:r>
      <w:r>
        <w:rPr>
          <w:color w:val="010101"/>
          <w:spacing w:val="48"/>
          <w:w w:val="105"/>
        </w:rPr>
        <w:t> </w:t>
      </w:r>
      <w:r>
        <w:rPr>
          <w:color w:val="010101"/>
          <w:w w:val="105"/>
        </w:rPr>
        <w:t>Thus,</w:t>
      </w:r>
    </w:p>
    <w:p>
      <w:pPr>
        <w:spacing w:line="90" w:lineRule="exact" w:before="169"/>
        <w:ind w:left="0" w:right="1275" w:firstLine="0"/>
        <w:jc w:val="right"/>
        <w:rPr>
          <w:sz w:val="20"/>
        </w:rPr>
      </w:pPr>
      <w:r>
        <w:rPr>
          <w:rFonts w:ascii="Arial"/>
          <w:i/>
          <w:color w:val="010101"/>
          <w:w w:val="120"/>
          <w:sz w:val="18"/>
        </w:rPr>
        <w:t>m </w:t>
      </w:r>
      <w:r>
        <w:rPr>
          <w:rFonts w:ascii="Arial"/>
          <w:color w:val="010101"/>
          <w:w w:val="275"/>
          <w:sz w:val="18"/>
        </w:rPr>
        <w:t>- </w:t>
      </w:r>
      <w:r>
        <w:rPr>
          <w:color w:val="010101"/>
          <w:w w:val="120"/>
          <w:sz w:val="20"/>
        </w:rPr>
        <w:t>1</w:t>
      </w:r>
    </w:p>
    <w:p>
      <w:pPr>
        <w:spacing w:after="0" w:line="90" w:lineRule="exact"/>
        <w:jc w:val="right"/>
        <w:rPr>
          <w:sz w:val="20"/>
        </w:rPr>
        <w:sectPr>
          <w:type w:val="continuous"/>
          <w:pgSz w:w="7200" w:h="11340"/>
          <w:pgMar w:top="1100" w:bottom="0" w:left="660" w:right="560"/>
        </w:sectPr>
      </w:pPr>
    </w:p>
    <w:p>
      <w:pPr>
        <w:tabs>
          <w:tab w:pos="2991" w:val="left" w:leader="none"/>
        </w:tabs>
        <w:spacing w:line="223" w:lineRule="exact" w:before="0"/>
        <w:ind w:left="1930" w:right="0" w:firstLine="0"/>
        <w:jc w:val="left"/>
        <w:rPr>
          <w:sz w:val="29"/>
        </w:rPr>
      </w:pPr>
      <w:r>
        <w:rPr>
          <w:b/>
          <w:color w:val="010101"/>
          <w:sz w:val="13"/>
        </w:rPr>
        <w:t>ao</w:t>
        <w:tab/>
        <w:t>ao   </w:t>
      </w:r>
      <w:r>
        <w:rPr>
          <w:rFonts w:ascii="Arial"/>
          <w:b/>
          <w:i/>
          <w:color w:val="010101"/>
          <w:w w:val="120"/>
          <w:sz w:val="21"/>
        </w:rPr>
        <w:t>N</w:t>
      </w:r>
      <w:r>
        <w:rPr>
          <w:b/>
          <w:color w:val="010101"/>
          <w:w w:val="120"/>
          <w:sz w:val="13"/>
        </w:rPr>
        <w:t>a+c+l  </w:t>
      </w:r>
      <w:r>
        <w:rPr>
          <w:color w:val="010101"/>
          <w:w w:val="120"/>
          <w:sz w:val="29"/>
        </w:rPr>
        <w:t>+</w:t>
      </w:r>
      <w:r>
        <w:rPr>
          <w:color w:val="010101"/>
          <w:spacing w:val="-14"/>
          <w:w w:val="120"/>
          <w:sz w:val="29"/>
        </w:rPr>
        <w:t> </w:t>
      </w:r>
      <w:r>
        <w:rPr>
          <w:color w:val="010101"/>
          <w:spacing w:val="-314"/>
          <w:w w:val="340"/>
          <w:sz w:val="29"/>
        </w:rPr>
        <w:t>-</w:t>
      </w:r>
    </w:p>
    <w:p>
      <w:pPr>
        <w:spacing w:line="81" w:lineRule="exact" w:before="0"/>
        <w:ind w:left="914" w:right="0" w:firstLine="0"/>
        <w:jc w:val="left"/>
        <w:rPr>
          <w:rFonts w:ascii="Arial"/>
          <w:i/>
          <w:sz w:val="32"/>
        </w:rPr>
      </w:pPr>
      <w:r>
        <w:rPr>
          <w:color w:val="010101"/>
          <w:w w:val="103"/>
          <w:sz w:val="20"/>
        </w:rPr>
        <w:t>(</w:t>
      </w:r>
      <w:r>
        <w:rPr>
          <w:color w:val="010101"/>
          <w:spacing w:val="-26"/>
          <w:sz w:val="20"/>
        </w:rPr>
        <w:t> </w:t>
      </w:r>
      <w:r>
        <w:rPr>
          <w:color w:val="010101"/>
          <w:spacing w:val="-24"/>
          <w:w w:val="210"/>
          <w:sz w:val="20"/>
        </w:rPr>
        <w:t>l</w:t>
      </w:r>
      <w:r>
        <w:rPr>
          <w:color w:val="010101"/>
          <w:w w:val="120"/>
          <w:sz w:val="20"/>
        </w:rPr>
        <w:t>a</w:t>
      </w:r>
      <w:r>
        <w:rPr>
          <w:color w:val="010101"/>
          <w:spacing w:val="-25"/>
          <w:sz w:val="20"/>
        </w:rPr>
        <w:t> </w:t>
      </w:r>
      <w:r>
        <w:rPr>
          <w:color w:val="010101"/>
          <w:spacing w:val="-9"/>
          <w:w w:val="216"/>
          <w:sz w:val="20"/>
        </w:rPr>
        <w:t>)</w:t>
      </w:r>
      <w:r>
        <w:rPr>
          <w:color w:val="010101"/>
          <w:w w:val="66"/>
          <w:sz w:val="20"/>
        </w:rPr>
        <w:t>"'&gt;</w:t>
      </w:r>
      <w:r>
        <w:rPr>
          <w:color w:val="010101"/>
          <w:sz w:val="20"/>
        </w:rPr>
        <w:t> </w:t>
      </w:r>
      <w:r>
        <w:rPr>
          <w:color w:val="010101"/>
          <w:spacing w:val="7"/>
          <w:sz w:val="20"/>
        </w:rPr>
        <w:t> </w:t>
      </w:r>
      <w:r>
        <w:rPr>
          <w:color w:val="010101"/>
          <w:w w:val="87"/>
          <w:sz w:val="28"/>
        </w:rPr>
        <w:t>=</w:t>
      </w:r>
      <w:r>
        <w:rPr>
          <w:color w:val="010101"/>
          <w:spacing w:val="24"/>
          <w:sz w:val="28"/>
        </w:rPr>
        <w:t> </w:t>
      </w:r>
      <w:r>
        <w:rPr>
          <w:rFonts w:ascii="Arial"/>
          <w:i/>
          <w:color w:val="010101"/>
          <w:w w:val="137"/>
          <w:sz w:val="32"/>
        </w:rPr>
        <w:t>L</w:t>
      </w:r>
      <w:r>
        <w:rPr>
          <w:rFonts w:ascii="Arial"/>
          <w:i/>
          <w:color w:val="010101"/>
          <w:spacing w:val="-48"/>
          <w:sz w:val="32"/>
        </w:rPr>
        <w:t> </w:t>
      </w:r>
      <w:r>
        <w:rPr>
          <w:rFonts w:ascii="Arial"/>
          <w:i/>
          <w:color w:val="010101"/>
          <w:w w:val="56"/>
          <w:sz w:val="29"/>
        </w:rPr>
        <w:t>,,a!"'&gt;</w:t>
      </w:r>
      <w:r>
        <w:rPr>
          <w:rFonts w:ascii="Arial"/>
          <w:i/>
          <w:color w:val="010101"/>
          <w:spacing w:val="38"/>
          <w:sz w:val="29"/>
        </w:rPr>
        <w:t> </w:t>
      </w:r>
      <w:r>
        <w:rPr>
          <w:rFonts w:ascii="Arial"/>
          <w:color w:val="010101"/>
          <w:w w:val="70"/>
          <w:sz w:val="26"/>
        </w:rPr>
        <w:t>=:</w:t>
      </w:r>
      <w:r>
        <w:rPr>
          <w:rFonts w:ascii="Arial"/>
          <w:color w:val="010101"/>
          <w:spacing w:val="9"/>
          <w:sz w:val="26"/>
        </w:rPr>
        <w:t> </w:t>
      </w:r>
      <w:r>
        <w:rPr>
          <w:rFonts w:ascii="Arial"/>
          <w:i/>
          <w:color w:val="010101"/>
          <w:w w:val="137"/>
          <w:sz w:val="32"/>
        </w:rPr>
        <w:t>L</w:t>
      </w:r>
    </w:p>
    <w:p>
      <w:pPr>
        <w:spacing w:line="239" w:lineRule="exact" w:before="64"/>
        <w:ind w:left="73" w:right="0" w:firstLine="0"/>
        <w:jc w:val="left"/>
        <w:rPr>
          <w:b/>
          <w:sz w:val="14"/>
        </w:rPr>
      </w:pPr>
      <w:r>
        <w:rPr/>
        <w:br w:type="column"/>
      </w:r>
      <w:r>
        <w:rPr>
          <w:rFonts w:ascii="Arial"/>
          <w:color w:val="010101"/>
          <w:spacing w:val="11"/>
          <w:w w:val="102"/>
          <w:position w:val="-10"/>
          <w:sz w:val="18"/>
        </w:rPr>
        <w:t>2</w:t>
      </w:r>
      <w:r>
        <w:rPr>
          <w:rFonts w:ascii="Arial"/>
          <w:color w:val="010101"/>
          <w:spacing w:val="2"/>
          <w:w w:val="569"/>
          <w:sz w:val="18"/>
        </w:rPr>
        <w:t>-</w:t>
      </w:r>
      <w:r>
        <w:rPr>
          <w:b/>
          <w:color w:val="010101"/>
          <w:w w:val="142"/>
          <w:sz w:val="14"/>
        </w:rPr>
        <w:t>DsH</w:t>
      </w:r>
    </w:p>
    <w:p>
      <w:pPr>
        <w:spacing w:after="0" w:line="239" w:lineRule="exact"/>
        <w:jc w:val="left"/>
        <w:rPr>
          <w:sz w:val="14"/>
        </w:rPr>
        <w:sectPr>
          <w:type w:val="continuous"/>
          <w:pgSz w:w="7200" w:h="11340"/>
          <w:pgMar w:top="1100" w:bottom="0" w:left="660" w:right="560"/>
          <w:cols w:num="2" w:equalWidth="0">
            <w:col w:w="4134" w:space="40"/>
            <w:col w:w="1806"/>
          </w:cols>
        </w:sectPr>
      </w:pPr>
    </w:p>
    <w:p>
      <w:pPr>
        <w:tabs>
          <w:tab w:pos="2930" w:val="left" w:leader="none"/>
          <w:tab w:pos="4039" w:val="left" w:leader="none"/>
        </w:tabs>
        <w:spacing w:line="340" w:lineRule="exact" w:before="0"/>
        <w:ind w:left="1869" w:right="0" w:firstLine="0"/>
        <w:jc w:val="left"/>
        <w:rPr>
          <w:rFonts w:ascii="Arial"/>
          <w:i/>
          <w:sz w:val="18"/>
        </w:rPr>
      </w:pPr>
      <w:r>
        <w:rPr>
          <w:b/>
          <w:color w:val="010101"/>
          <w:sz w:val="22"/>
        </w:rPr>
        <w:t>,-o</w:t>
        <w:tab/>
      </w:r>
      <w:r>
        <w:rPr>
          <w:b/>
          <w:color w:val="010101"/>
          <w:sz w:val="25"/>
        </w:rPr>
        <w:t>,-o</w:t>
        <w:tab/>
      </w:r>
      <w:r>
        <w:rPr>
          <w:b/>
          <w:color w:val="010101"/>
          <w:sz w:val="21"/>
        </w:rPr>
        <w:t>Da</w:t>
      </w:r>
      <w:r>
        <w:rPr>
          <w:b/>
          <w:color w:val="010101"/>
          <w:spacing w:val="2"/>
          <w:sz w:val="21"/>
        </w:rPr>
        <w:t> </w:t>
      </w:r>
      <w:r>
        <w:rPr>
          <w:rFonts w:ascii="Arial"/>
          <w:i/>
          <w:color w:val="010101"/>
          <w:position w:val="14"/>
          <w:sz w:val="18"/>
        </w:rPr>
        <w:t>m</w:t>
      </w:r>
    </w:p>
    <w:p>
      <w:pPr>
        <w:spacing w:line="180" w:lineRule="exact" w:before="93"/>
        <w:ind w:left="2532" w:right="0" w:firstLine="0"/>
        <w:jc w:val="left"/>
        <w:rPr>
          <w:sz w:val="20"/>
        </w:rPr>
      </w:pPr>
      <w:r>
        <w:rPr/>
        <w:pict>
          <v:shape style="position:absolute;margin-left:147.982101pt;margin-top:9.338568pt;width:9.8pt;height:15.5pt;mso-position-horizontal-relative:page;mso-position-vertical-relative:paragraph;z-index:-731296" type="#_x0000_t202" filled="false" stroked="false">
            <v:textbox inset="0,0,0,0">
              <w:txbxContent>
                <w:p>
                  <w:pPr>
                    <w:spacing w:line="310" w:lineRule="exact" w:before="0"/>
                    <w:ind w:left="0" w:right="0" w:firstLine="0"/>
                    <w:jc w:val="left"/>
                    <w:rPr>
                      <w:rFonts w:ascii="Arial"/>
                      <w:sz w:val="31"/>
                    </w:rPr>
                  </w:pPr>
                  <w:r>
                    <w:rPr>
                      <w:rFonts w:ascii="Arial"/>
                      <w:color w:val="010101"/>
                      <w:w w:val="107"/>
                      <w:sz w:val="31"/>
                    </w:rPr>
                    <w:t>+</w:t>
                  </w:r>
                </w:p>
              </w:txbxContent>
            </v:textbox>
            <w10:wrap type="none"/>
          </v:shape>
        </w:pict>
      </w:r>
      <w:r>
        <w:rPr>
          <w:rFonts w:ascii="Arial"/>
          <w:b/>
          <w:i/>
          <w:color w:val="010101"/>
          <w:w w:val="115"/>
          <w:sz w:val="18"/>
        </w:rPr>
        <w:t>m  </w:t>
      </w:r>
      <w:r>
        <w:rPr>
          <w:rFonts w:ascii="Arial"/>
          <w:color w:val="010101"/>
          <w:w w:val="280"/>
          <w:sz w:val="18"/>
        </w:rPr>
        <w:t>-</w:t>
      </w:r>
      <w:r>
        <w:rPr>
          <w:rFonts w:ascii="Arial"/>
          <w:color w:val="010101"/>
          <w:spacing w:val="-86"/>
          <w:w w:val="280"/>
          <w:sz w:val="18"/>
        </w:rPr>
        <w:t> </w:t>
      </w:r>
      <w:r>
        <w:rPr>
          <w:color w:val="010101"/>
          <w:w w:val="115"/>
          <w:sz w:val="20"/>
        </w:rPr>
        <w:t>1</w:t>
      </w:r>
    </w:p>
    <w:p>
      <w:pPr>
        <w:tabs>
          <w:tab w:pos="3185" w:val="left" w:leader="none"/>
        </w:tabs>
        <w:spacing w:line="157" w:lineRule="exact" w:before="0"/>
        <w:ind w:left="1858" w:right="0" w:firstLine="0"/>
        <w:jc w:val="left"/>
        <w:rPr>
          <w:b/>
          <w:i/>
          <w:sz w:val="23"/>
        </w:rPr>
      </w:pPr>
      <w:r>
        <w:rPr>
          <w:rFonts w:ascii="Arial"/>
          <w:color w:val="010101"/>
          <w:w w:val="110"/>
          <w:sz w:val="15"/>
        </w:rPr>
        <w:t>Sa+1</w:t>
        <w:tab/>
      </w:r>
      <w:r>
        <w:rPr>
          <w:b/>
          <w:i/>
          <w:color w:val="010101"/>
          <w:w w:val="110"/>
          <w:sz w:val="23"/>
        </w:rPr>
        <w:t>N.</w:t>
      </w:r>
    </w:p>
    <w:p>
      <w:pPr>
        <w:spacing w:line="389" w:lineRule="exact" w:before="0"/>
        <w:ind w:left="1628" w:right="0" w:firstLine="0"/>
        <w:jc w:val="left"/>
        <w:rPr>
          <w:sz w:val="32"/>
        </w:rPr>
      </w:pPr>
      <w:r>
        <w:rPr>
          <w:color w:val="010101"/>
          <w:w w:val="103"/>
          <w:sz w:val="25"/>
        </w:rPr>
        <w:t>=</w:t>
      </w:r>
      <w:r>
        <w:rPr>
          <w:color w:val="010101"/>
          <w:sz w:val="25"/>
        </w:rPr>
        <w:t> </w:t>
      </w:r>
      <w:r>
        <w:rPr>
          <w:color w:val="010101"/>
          <w:spacing w:val="-14"/>
          <w:sz w:val="25"/>
        </w:rPr>
        <w:t> </w:t>
      </w:r>
      <w:r>
        <w:rPr>
          <w:color w:val="010101"/>
          <w:spacing w:val="-71"/>
          <w:w w:val="281"/>
          <w:sz w:val="32"/>
        </w:rPr>
        <w:t>-</w:t>
      </w:r>
      <w:r>
        <w:rPr>
          <w:color w:val="010101"/>
          <w:spacing w:val="-73"/>
          <w:w w:val="289"/>
          <w:sz w:val="32"/>
        </w:rPr>
        <w:t>-</w:t>
      </w:r>
      <w:r>
        <w:rPr>
          <w:color w:val="010101"/>
          <w:w w:val="122"/>
          <w:sz w:val="32"/>
        </w:rPr>
        <w:t>-</w:t>
      </w:r>
      <w:r>
        <w:rPr>
          <w:color w:val="010101"/>
          <w:spacing w:val="-87"/>
          <w:w w:val="122"/>
          <w:sz w:val="32"/>
        </w:rPr>
        <w:t>-</w:t>
      </w:r>
      <w:r>
        <w:rPr>
          <w:b/>
          <w:i/>
          <w:color w:val="010101"/>
          <w:spacing w:val="-51"/>
          <w:w w:val="85"/>
          <w:position w:val="-9"/>
          <w:sz w:val="22"/>
        </w:rPr>
        <w:t>D</w:t>
      </w:r>
      <w:r>
        <w:rPr>
          <w:color w:val="010101"/>
          <w:spacing w:val="-172"/>
          <w:w w:val="122"/>
          <w:sz w:val="32"/>
        </w:rPr>
        <w:t>=</w:t>
      </w:r>
      <w:r>
        <w:rPr>
          <w:b/>
          <w:i/>
          <w:color w:val="010101"/>
          <w:w w:val="85"/>
          <w:position w:val="-9"/>
          <w:sz w:val="22"/>
        </w:rPr>
        <w:t>z</w:t>
      </w:r>
      <w:r>
        <w:rPr>
          <w:b/>
          <w:i/>
          <w:color w:val="010101"/>
          <w:position w:val="-9"/>
          <w:sz w:val="22"/>
        </w:rPr>
        <w:t> </w:t>
      </w:r>
      <w:r>
        <w:rPr>
          <w:b/>
          <w:i/>
          <w:color w:val="010101"/>
          <w:spacing w:val="-23"/>
          <w:position w:val="-9"/>
          <w:sz w:val="22"/>
        </w:rPr>
        <w:t> </w:t>
      </w:r>
      <w:r>
        <w:rPr>
          <w:color w:val="010101"/>
          <w:spacing w:val="-73"/>
          <w:w w:val="289"/>
          <w:sz w:val="32"/>
        </w:rPr>
        <w:t>--</w:t>
      </w:r>
      <w:r>
        <w:rPr>
          <w:color w:val="010101"/>
          <w:w w:val="152"/>
          <w:sz w:val="32"/>
        </w:rPr>
        <w:t>-</w:t>
      </w:r>
    </w:p>
    <w:p>
      <w:pPr>
        <w:pStyle w:val="BodyText"/>
      </w:pPr>
      <w:r>
        <w:rPr/>
        <w:br w:type="column"/>
      </w:r>
      <w:r>
        <w:rPr/>
      </w:r>
    </w:p>
    <w:p>
      <w:pPr>
        <w:pStyle w:val="BodyText"/>
      </w:pPr>
    </w:p>
    <w:p>
      <w:pPr>
        <w:pStyle w:val="BodyText"/>
        <w:rPr>
          <w:sz w:val="24"/>
        </w:rPr>
      </w:pPr>
    </w:p>
    <w:p>
      <w:pPr>
        <w:pStyle w:val="BodyText"/>
        <w:ind w:left="792"/>
      </w:pPr>
      <w:r>
        <w:rPr>
          <w:color w:val="010101"/>
          <w:w w:val="105"/>
        </w:rPr>
        <w:t>(2.43)</w:t>
      </w:r>
    </w:p>
    <w:p>
      <w:pPr>
        <w:spacing w:after="0"/>
        <w:sectPr>
          <w:type w:val="continuous"/>
          <w:pgSz w:w="7200" w:h="11340"/>
          <w:pgMar w:top="1100" w:bottom="0" w:left="660" w:right="560"/>
          <w:cols w:num="2" w:equalWidth="0">
            <w:col w:w="4503" w:space="40"/>
            <w:col w:w="1437"/>
          </w:cols>
        </w:sectPr>
      </w:pPr>
    </w:p>
    <w:p>
      <w:pPr>
        <w:pStyle w:val="BodyText"/>
        <w:tabs>
          <w:tab w:pos="3304" w:val="left" w:leader="none"/>
          <w:tab w:pos="4183" w:val="right" w:leader="none"/>
        </w:tabs>
        <w:spacing w:line="235" w:lineRule="auto" w:before="151"/>
        <w:ind w:left="114" w:right="101" w:firstLine="208"/>
        <w:jc w:val="both"/>
      </w:pPr>
      <w:r>
        <w:rPr>
          <w:color w:val="010101"/>
          <w:w w:val="105"/>
        </w:rPr>
        <w:t>The second type of </w:t>
      </w:r>
      <w:r>
        <w:rPr>
          <w:rFonts w:ascii="Arial"/>
          <w:b/>
          <w:color w:val="010101"/>
          <w:w w:val="105"/>
          <w:sz w:val="18"/>
        </w:rPr>
        <w:t>varying </w:t>
      </w:r>
      <w:r>
        <w:rPr>
          <w:color w:val="010101"/>
          <w:w w:val="105"/>
        </w:rPr>
        <w:t>annuity with </w:t>
      </w:r>
      <w:r>
        <w:rPr>
          <w:rFonts w:ascii="Arial"/>
          <w:i/>
          <w:color w:val="010101"/>
          <w:w w:val="105"/>
          <w:sz w:val="17"/>
        </w:rPr>
        <w:t>m </w:t>
      </w:r>
      <w:r>
        <w:rPr>
          <w:color w:val="010101"/>
          <w:w w:val="105"/>
        </w:rPr>
        <w:t>payments per year provides that the </w:t>
      </w:r>
      <w:r>
        <w:rPr>
          <w:rFonts w:ascii="Arial"/>
          <w:i/>
          <w:color w:val="010101"/>
          <w:w w:val="105"/>
          <w:sz w:val="17"/>
        </w:rPr>
        <w:t>rate </w:t>
      </w:r>
      <w:r>
        <w:rPr>
          <w:color w:val="010101"/>
          <w:w w:val="105"/>
        </w:rPr>
        <w:t>of payment increase or decrease </w:t>
      </w:r>
      <w:r>
        <w:rPr>
          <w:rFonts w:ascii="Arial"/>
          <w:i/>
          <w:color w:val="010101"/>
          <w:w w:val="105"/>
          <w:sz w:val="17"/>
        </w:rPr>
        <w:t>m </w:t>
      </w:r>
      <w:r>
        <w:rPr>
          <w:color w:val="010101"/>
          <w:w w:val="105"/>
        </w:rPr>
        <w:t>times </w:t>
      </w:r>
      <w:r>
        <w:rPr>
          <w:b/>
          <w:color w:val="010101"/>
          <w:w w:val="105"/>
          <w:sz w:val="21"/>
        </w:rPr>
        <w:t>a </w:t>
      </w:r>
      <w:r>
        <w:rPr>
          <w:b/>
          <w:color w:val="010101"/>
          <w:w w:val="105"/>
          <w:sz w:val="19"/>
        </w:rPr>
        <w:t>year. </w:t>
      </w:r>
      <w:r>
        <w:rPr>
          <w:color w:val="010101"/>
          <w:w w:val="105"/>
        </w:rPr>
        <w:t>Suppose that  an increasing  annuity  </w:t>
      </w:r>
      <w:r>
        <w:rPr>
          <w:rFonts w:ascii="Arial"/>
          <w:color w:val="010101"/>
          <w:w w:val="105"/>
        </w:rPr>
        <w:t>is </w:t>
      </w:r>
      <w:r>
        <w:rPr>
          <w:color w:val="010101"/>
          <w:w w:val="105"/>
        </w:rPr>
        <w:t>paya.ble at the rate of 1</w:t>
        <w:tab/>
        <w:t>1</w:t>
        <w:tab/>
        <w:t>2</w:t>
      </w:r>
    </w:p>
    <w:p>
      <w:pPr>
        <w:pStyle w:val="BodyText"/>
        <w:spacing w:line="59" w:lineRule="exact"/>
        <w:ind w:left="140"/>
      </w:pPr>
      <w:r>
        <w:rPr>
          <w:rFonts w:ascii="Arial"/>
          <w:i/>
          <w:color w:val="010101"/>
          <w:w w:val="205"/>
          <w:sz w:val="19"/>
        </w:rPr>
        <w:t>- </w:t>
      </w:r>
      <w:r>
        <w:rPr>
          <w:color w:val="010101"/>
          <w:w w:val="110"/>
        </w:rPr>
        <w:t>per annum at the end of the first </w:t>
      </w:r>
      <w:r>
        <w:rPr>
          <w:color w:val="010101"/>
          <w:w w:val="245"/>
        </w:rPr>
        <w:t>- </w:t>
      </w:r>
      <w:r>
        <w:rPr>
          <w:color w:val="010101"/>
          <w:w w:val="110"/>
        </w:rPr>
        <w:t>years, </w:t>
      </w:r>
      <w:r>
        <w:rPr>
          <w:color w:val="010101"/>
          <w:w w:val="245"/>
        </w:rPr>
        <w:t>- </w:t>
      </w:r>
      <w:r>
        <w:rPr>
          <w:color w:val="010101"/>
          <w:w w:val="110"/>
        </w:rPr>
        <w:t>per annum at the</w:t>
      </w:r>
    </w:p>
    <w:p>
      <w:pPr>
        <w:tabs>
          <w:tab w:pos="3307" w:val="left" w:leader="none"/>
          <w:tab w:pos="4104" w:val="left" w:leader="none"/>
        </w:tabs>
        <w:spacing w:line="216" w:lineRule="exact" w:before="0"/>
        <w:ind w:left="118" w:right="739" w:firstLine="0"/>
        <w:jc w:val="left"/>
        <w:rPr>
          <w:rFonts w:ascii="Courier New"/>
          <w:i/>
          <w:sz w:val="22"/>
        </w:rPr>
      </w:pPr>
      <w:r>
        <w:rPr>
          <w:rFonts w:ascii="Arial"/>
          <w:i/>
          <w:color w:val="010101"/>
          <w:w w:val="115"/>
          <w:position w:val="2"/>
          <w:sz w:val="19"/>
        </w:rPr>
        <w:t>m</w:t>
        <w:tab/>
      </w:r>
      <w:r>
        <w:rPr>
          <w:rFonts w:ascii="Courier New"/>
          <w:i/>
          <w:color w:val="010101"/>
          <w:w w:val="115"/>
          <w:sz w:val="22"/>
        </w:rPr>
        <w:t>m</w:t>
        <w:tab/>
        <w:t>m</w:t>
      </w:r>
    </w:p>
    <w:p>
      <w:pPr>
        <w:pStyle w:val="BodyText"/>
        <w:spacing w:line="143" w:lineRule="exact"/>
        <w:ind w:left="1740"/>
      </w:pPr>
      <w:r>
        <w:rPr>
          <w:color w:val="010101"/>
          <w:w w:val="121"/>
        </w:rPr>
        <w:t>1</w:t>
      </w:r>
    </w:p>
    <w:p>
      <w:pPr>
        <w:pStyle w:val="BodyText"/>
        <w:spacing w:line="168" w:lineRule="exact"/>
        <w:ind w:left="114"/>
      </w:pPr>
      <w:r>
        <w:rPr>
          <w:color w:val="010101"/>
          <w:w w:val="110"/>
        </w:rPr>
        <w:t>end of the second </w:t>
      </w:r>
      <w:r>
        <w:rPr>
          <w:color w:val="010101"/>
          <w:w w:val="225"/>
        </w:rPr>
        <w:t>- </w:t>
      </w:r>
      <w:r>
        <w:rPr>
          <w:color w:val="010101"/>
          <w:w w:val="110"/>
        </w:rPr>
        <w:t>years, and so on. </w:t>
      </w:r>
      <w:r>
        <w:rPr>
          <w:color w:val="010101"/>
          <w:w w:val="110"/>
          <w:sz w:val="21"/>
        </w:rPr>
        <w:t>If </w:t>
      </w:r>
      <w:r>
        <w:rPr>
          <w:color w:val="010101"/>
          <w:w w:val="110"/>
        </w:rPr>
        <w:t>this annuity is issued  at</w:t>
      </w:r>
    </w:p>
    <w:p>
      <w:pPr>
        <w:spacing w:line="161" w:lineRule="exact" w:before="0"/>
        <w:ind w:left="1725" w:right="0" w:firstLine="0"/>
        <w:jc w:val="left"/>
        <w:rPr>
          <w:rFonts w:ascii="Arial"/>
          <w:i/>
          <w:sz w:val="18"/>
        </w:rPr>
      </w:pPr>
      <w:r>
        <w:rPr>
          <w:rFonts w:ascii="Arial"/>
          <w:i/>
          <w:color w:val="010101"/>
          <w:w w:val="107"/>
          <w:sz w:val="18"/>
        </w:rPr>
        <w:t>m</w:t>
      </w:r>
    </w:p>
    <w:p>
      <w:pPr>
        <w:tabs>
          <w:tab w:pos="4114" w:val="left" w:leader="none"/>
        </w:tabs>
        <w:spacing w:line="153" w:lineRule="exact" w:before="0"/>
        <w:ind w:left="118" w:right="133" w:firstLine="0"/>
        <w:jc w:val="left"/>
        <w:rPr>
          <w:sz w:val="20"/>
        </w:rPr>
      </w:pPr>
      <w:r>
        <w:rPr>
          <w:b/>
          <w:color w:val="010101"/>
          <w:w w:val="103"/>
          <w:sz w:val="20"/>
        </w:rPr>
        <w:t>age</w:t>
      </w:r>
      <w:r>
        <w:rPr>
          <w:b/>
          <w:color w:val="010101"/>
          <w:spacing w:val="8"/>
          <w:sz w:val="20"/>
        </w:rPr>
        <w:t> </w:t>
      </w:r>
      <w:r>
        <w:rPr>
          <w:i/>
          <w:color w:val="010101"/>
          <w:w w:val="117"/>
          <w:sz w:val="20"/>
        </w:rPr>
        <w:t>x,</w:t>
      </w:r>
      <w:r>
        <w:rPr>
          <w:i/>
          <w:color w:val="010101"/>
          <w:spacing w:val="23"/>
          <w:sz w:val="20"/>
        </w:rPr>
        <w:t> </w:t>
      </w:r>
      <w:r>
        <w:rPr>
          <w:color w:val="010101"/>
          <w:w w:val="111"/>
          <w:sz w:val="20"/>
        </w:rPr>
        <w:t>the</w:t>
      </w:r>
      <w:r>
        <w:rPr>
          <w:color w:val="010101"/>
          <w:spacing w:val="24"/>
          <w:sz w:val="20"/>
        </w:rPr>
        <w:t> </w:t>
      </w:r>
      <w:r>
        <w:rPr>
          <w:color w:val="010101"/>
          <w:w w:val="103"/>
          <w:sz w:val="20"/>
        </w:rPr>
        <w:t>first</w:t>
      </w:r>
      <w:r>
        <w:rPr>
          <w:color w:val="010101"/>
          <w:sz w:val="20"/>
        </w:rPr>
        <w:t> </w:t>
      </w:r>
      <w:r>
        <w:rPr>
          <w:color w:val="010101"/>
          <w:spacing w:val="-19"/>
          <w:sz w:val="20"/>
        </w:rPr>
        <w:t> </w:t>
      </w:r>
      <w:r>
        <w:rPr>
          <w:color w:val="010101"/>
          <w:w w:val="106"/>
          <w:sz w:val="20"/>
        </w:rPr>
        <w:t>payment</w:t>
      </w:r>
      <w:r>
        <w:rPr>
          <w:color w:val="010101"/>
          <w:sz w:val="20"/>
        </w:rPr>
        <w:t> </w:t>
      </w:r>
      <w:r>
        <w:rPr>
          <w:color w:val="010101"/>
          <w:spacing w:val="-8"/>
          <w:sz w:val="20"/>
        </w:rPr>
        <w:t> </w:t>
      </w:r>
      <w:r>
        <w:rPr>
          <w:color w:val="010101"/>
          <w:w w:val="106"/>
          <w:sz w:val="20"/>
        </w:rPr>
        <w:t>due</w:t>
      </w:r>
      <w:r>
        <w:rPr>
          <w:color w:val="010101"/>
          <w:sz w:val="20"/>
        </w:rPr>
        <w:t> </w:t>
      </w:r>
      <w:r>
        <w:rPr>
          <w:color w:val="010101"/>
          <w:spacing w:val="-25"/>
          <w:sz w:val="20"/>
        </w:rPr>
        <w:t> </w:t>
      </w:r>
      <w:r>
        <w:rPr>
          <w:color w:val="010101"/>
          <w:w w:val="117"/>
          <w:sz w:val="20"/>
        </w:rPr>
        <w:t>at</w:t>
      </w:r>
      <w:r>
        <w:rPr>
          <w:color w:val="010101"/>
          <w:spacing w:val="24"/>
          <w:sz w:val="20"/>
        </w:rPr>
        <w:t> </w:t>
      </w:r>
      <w:r>
        <w:rPr>
          <w:color w:val="010101"/>
          <w:w w:val="104"/>
          <w:sz w:val="20"/>
        </w:rPr>
        <w:t>age</w:t>
      </w:r>
      <w:r>
        <w:rPr>
          <w:color w:val="010101"/>
          <w:spacing w:val="17"/>
          <w:sz w:val="20"/>
        </w:rPr>
        <w:t> </w:t>
      </w:r>
      <w:r>
        <w:rPr>
          <w:i/>
          <w:color w:val="010101"/>
          <w:w w:val="99"/>
          <w:sz w:val="20"/>
        </w:rPr>
        <w:t>x</w:t>
      </w:r>
      <w:r>
        <w:rPr>
          <w:i/>
          <w:color w:val="010101"/>
          <w:sz w:val="20"/>
        </w:rPr>
        <w:t> </w:t>
      </w:r>
      <w:r>
        <w:rPr>
          <w:i/>
          <w:color w:val="010101"/>
          <w:spacing w:val="1"/>
          <w:sz w:val="20"/>
        </w:rPr>
        <w:t> </w:t>
      </w:r>
      <w:r>
        <w:rPr>
          <w:rFonts w:ascii="Arial"/>
          <w:color w:val="010101"/>
          <w:spacing w:val="10"/>
          <w:w w:val="105"/>
          <w:sz w:val="31"/>
        </w:rPr>
        <w:t>+</w:t>
      </w:r>
      <w:r>
        <w:rPr>
          <w:rFonts w:ascii="Arial"/>
          <w:color w:val="010101"/>
          <w:spacing w:val="-162"/>
          <w:w w:val="146"/>
          <w:sz w:val="31"/>
        </w:rPr>
        <w:t>-</w:t>
      </w:r>
      <w:r>
        <w:rPr>
          <w:color w:val="010101"/>
          <w:w w:val="114"/>
          <w:position w:val="13"/>
          <w:sz w:val="20"/>
        </w:rPr>
        <w:t>1</w:t>
      </w:r>
      <w:r>
        <w:rPr>
          <w:color w:val="010101"/>
          <w:position w:val="13"/>
          <w:sz w:val="20"/>
        </w:rPr>
        <w:tab/>
      </w:r>
      <w:r>
        <w:rPr>
          <w:color w:val="010101"/>
          <w:w w:val="114"/>
          <w:position w:val="13"/>
          <w:sz w:val="20"/>
        </w:rPr>
        <w:t>.</w:t>
      </w:r>
      <w:r>
        <w:rPr>
          <w:color w:val="010101"/>
          <w:position w:val="13"/>
          <w:sz w:val="20"/>
        </w:rPr>
        <w:t>  </w:t>
      </w:r>
      <w:r>
        <w:rPr>
          <w:color w:val="010101"/>
          <w:spacing w:val="15"/>
          <w:position w:val="13"/>
          <w:sz w:val="20"/>
        </w:rPr>
        <w:t> </w:t>
      </w:r>
      <w:r>
        <w:rPr>
          <w:color w:val="010101"/>
          <w:w w:val="109"/>
          <w:sz w:val="20"/>
        </w:rPr>
        <w:t>then</w:t>
      </w:r>
      <w:r>
        <w:rPr>
          <w:color w:val="010101"/>
          <w:sz w:val="20"/>
        </w:rPr>
        <w:t> </w:t>
      </w:r>
      <w:r>
        <w:rPr>
          <w:color w:val="010101"/>
          <w:spacing w:val="-16"/>
          <w:sz w:val="20"/>
        </w:rPr>
        <w:t> </w:t>
      </w:r>
      <w:r>
        <w:rPr>
          <w:color w:val="010101"/>
          <w:w w:val="103"/>
          <w:sz w:val="20"/>
        </w:rPr>
        <w:t>be</w:t>
      </w:r>
      <w:r>
        <w:rPr>
          <w:color w:val="010101"/>
          <w:sz w:val="20"/>
        </w:rPr>
        <w:t>  </w:t>
      </w:r>
      <w:r>
        <w:rPr>
          <w:color w:val="010101"/>
          <w:spacing w:val="-20"/>
          <w:sz w:val="20"/>
        </w:rPr>
        <w:t> </w:t>
      </w:r>
      <w:r>
        <w:rPr>
          <w:color w:val="010101"/>
          <w:w w:val="128"/>
          <w:position w:val="13"/>
          <w:sz w:val="20"/>
        </w:rPr>
        <w:t>1</w:t>
      </w:r>
      <w:r>
        <w:rPr>
          <w:color w:val="010101"/>
          <w:spacing w:val="22"/>
          <w:position w:val="13"/>
          <w:sz w:val="20"/>
        </w:rPr>
        <w:t> </w:t>
      </w:r>
      <w:r>
        <w:rPr>
          <w:rFonts w:ascii="Arial"/>
          <w:color w:val="010101"/>
          <w:w w:val="187"/>
          <w:sz w:val="16"/>
        </w:rPr>
        <w:t>,</w:t>
      </w:r>
      <w:r>
        <w:rPr>
          <w:rFonts w:ascii="Arial"/>
          <w:color w:val="010101"/>
          <w:sz w:val="16"/>
        </w:rPr>
        <w:t>  </w:t>
      </w:r>
      <w:r>
        <w:rPr>
          <w:rFonts w:ascii="Arial"/>
          <w:color w:val="010101"/>
          <w:spacing w:val="-6"/>
          <w:sz w:val="16"/>
        </w:rPr>
        <w:t> </w:t>
      </w:r>
      <w:r>
        <w:rPr>
          <w:color w:val="010101"/>
          <w:w w:val="114"/>
          <w:position w:val="13"/>
          <w:sz w:val="20"/>
        </w:rPr>
        <w:t>.</w:t>
      </w:r>
    </w:p>
    <w:p>
      <w:pPr>
        <w:spacing w:after="0" w:line="153" w:lineRule="exact"/>
        <w:jc w:val="left"/>
        <w:rPr>
          <w:sz w:val="20"/>
        </w:rPr>
        <w:sectPr>
          <w:type w:val="continuous"/>
          <w:pgSz w:w="7200" w:h="11340"/>
          <w:pgMar w:top="1100" w:bottom="0" w:left="660" w:right="560"/>
        </w:sectPr>
      </w:pPr>
    </w:p>
    <w:p>
      <w:pPr>
        <w:tabs>
          <w:tab w:pos="2414" w:val="left" w:leader="none"/>
          <w:tab w:pos="3105" w:val="right" w:leader="none"/>
        </w:tabs>
        <w:spacing w:line="181" w:lineRule="exact" w:before="293"/>
        <w:ind w:left="118" w:right="0" w:firstLine="0"/>
        <w:jc w:val="left"/>
        <w:rPr>
          <w:sz w:val="20"/>
        </w:rPr>
      </w:pPr>
      <w:r>
        <w:rPr>
          <w:color w:val="010101"/>
          <w:spacing w:val="6"/>
          <w:w w:val="120"/>
          <w:position w:val="-10"/>
          <w:sz w:val="22"/>
        </w:rPr>
        <w:t>th</w:t>
      </w:r>
      <w:r>
        <w:rPr>
          <w:color w:val="010101"/>
          <w:spacing w:val="6"/>
          <w:w w:val="120"/>
          <w:sz w:val="22"/>
        </w:rPr>
        <w:t>.</w:t>
        <w:tab/>
      </w:r>
      <w:r>
        <w:rPr>
          <w:color w:val="010101"/>
          <w:w w:val="120"/>
          <w:sz w:val="22"/>
        </w:rPr>
        <w:t>.</w:t>
      </w:r>
      <w:r>
        <w:rPr>
          <w:color w:val="010101"/>
          <w:w w:val="120"/>
          <w:sz w:val="20"/>
        </w:rPr>
        <w:tab/>
        <w:t>1</w:t>
      </w:r>
    </w:p>
    <w:p>
      <w:pPr>
        <w:spacing w:line="326" w:lineRule="exact" w:before="0"/>
        <w:ind w:left="118" w:right="-19" w:firstLine="0"/>
        <w:jc w:val="left"/>
        <w:rPr>
          <w:sz w:val="20"/>
        </w:rPr>
      </w:pPr>
      <w:r>
        <w:rPr/>
        <w:br w:type="column"/>
      </w:r>
      <w:r>
        <w:rPr>
          <w:i/>
          <w:color w:val="010101"/>
          <w:w w:val="95"/>
          <w:position w:val="-11"/>
          <w:sz w:val="21"/>
        </w:rPr>
        <w:t>m</w:t>
      </w:r>
      <w:r>
        <w:rPr>
          <w:i/>
          <w:color w:val="010101"/>
          <w:spacing w:val="-8"/>
          <w:w w:val="95"/>
          <w:position w:val="-11"/>
          <w:sz w:val="21"/>
        </w:rPr>
        <w:t> </w:t>
      </w:r>
      <w:r>
        <w:rPr>
          <w:color w:val="010101"/>
          <w:w w:val="95"/>
          <w:sz w:val="20"/>
        </w:rPr>
        <w:t>w1ll</w:t>
      </w:r>
    </w:p>
    <w:p>
      <w:pPr>
        <w:tabs>
          <w:tab w:pos="894" w:val="left" w:leader="none"/>
        </w:tabs>
        <w:spacing w:line="326" w:lineRule="exact" w:before="0"/>
        <w:ind w:left="118" w:right="0" w:firstLine="0"/>
        <w:jc w:val="left"/>
        <w:rPr>
          <w:sz w:val="20"/>
        </w:rPr>
      </w:pPr>
      <w:r>
        <w:rPr/>
        <w:br w:type="column"/>
      </w:r>
      <w:r>
        <w:rPr>
          <w:rFonts w:ascii="Arial"/>
          <w:color w:val="010101"/>
          <w:spacing w:val="-608"/>
          <w:w w:val="266"/>
          <w:position w:val="-2"/>
          <w:sz w:val="16"/>
        </w:rPr>
        <w:t>2</w:t>
      </w:r>
      <w:r>
        <w:rPr>
          <w:i/>
          <w:color w:val="010101"/>
          <w:w w:val="105"/>
          <w:position w:val="-11"/>
          <w:sz w:val="21"/>
        </w:rPr>
        <w:t>m</w:t>
      </w:r>
      <w:r>
        <w:rPr>
          <w:i/>
          <w:color w:val="010101"/>
          <w:position w:val="-11"/>
          <w:sz w:val="21"/>
        </w:rPr>
        <w:tab/>
      </w:r>
      <w:r>
        <w:rPr>
          <w:color w:val="010101"/>
          <w:w w:val="100"/>
          <w:sz w:val="20"/>
        </w:rPr>
        <w:t>smce</w:t>
      </w:r>
    </w:p>
    <w:p>
      <w:pPr>
        <w:spacing w:after="0" w:line="326" w:lineRule="exact"/>
        <w:jc w:val="left"/>
        <w:rPr>
          <w:sz w:val="20"/>
        </w:rPr>
        <w:sectPr>
          <w:type w:val="continuous"/>
          <w:pgSz w:w="7200" w:h="11340"/>
          <w:pgMar w:top="1100" w:bottom="0" w:left="660" w:right="560"/>
          <w:cols w:num="3" w:equalWidth="0">
            <w:col w:w="3106" w:space="503"/>
            <w:col w:w="643" w:space="303"/>
            <w:col w:w="1425"/>
          </w:cols>
        </w:sectPr>
      </w:pPr>
    </w:p>
    <w:p>
      <w:pPr>
        <w:pStyle w:val="BodyText"/>
        <w:spacing w:line="161" w:lineRule="exact"/>
        <w:ind w:left="182"/>
        <w:jc w:val="center"/>
      </w:pPr>
      <w:r>
        <w:rPr>
          <w:color w:val="010101"/>
          <w:w w:val="105"/>
          <w:sz w:val="14"/>
        </w:rPr>
        <w:t>18 </w:t>
      </w:r>
      <w:r>
        <w:rPr>
          <w:color w:val="010101"/>
          <w:w w:val="105"/>
        </w:rPr>
        <w:t>payment  covers a per10d  of </w:t>
      </w:r>
      <w:r>
        <w:rPr>
          <w:color w:val="010101"/>
          <w:w w:val="230"/>
        </w:rPr>
        <w:t>- </w:t>
      </w:r>
      <w:r>
        <w:rPr>
          <w:color w:val="010101"/>
          <w:w w:val="105"/>
        </w:rPr>
        <w:t>years and the rate of  payment.</w:t>
      </w:r>
    </w:p>
    <w:p>
      <w:pPr>
        <w:spacing w:line="164" w:lineRule="exact" w:before="0"/>
        <w:ind w:left="96" w:right="0" w:firstLine="0"/>
        <w:jc w:val="center"/>
        <w:rPr>
          <w:rFonts w:ascii="Arial"/>
          <w:i/>
          <w:sz w:val="18"/>
        </w:rPr>
      </w:pPr>
      <w:r>
        <w:rPr>
          <w:rFonts w:ascii="Arial"/>
          <w:i/>
          <w:color w:val="010101"/>
          <w:w w:val="104"/>
          <w:sz w:val="18"/>
        </w:rPr>
        <w:t>m</w:t>
      </w:r>
    </w:p>
    <w:p>
      <w:pPr>
        <w:spacing w:after="0" w:line="164" w:lineRule="exact"/>
        <w:jc w:val="center"/>
        <w:rPr>
          <w:rFonts w:ascii="Arial"/>
          <w:sz w:val="18"/>
        </w:rPr>
        <w:sectPr>
          <w:type w:val="continuous"/>
          <w:pgSz w:w="7200" w:h="11340"/>
          <w:pgMar w:top="1100" w:bottom="0" w:left="660" w:right="560"/>
        </w:sectPr>
      </w:pPr>
    </w:p>
    <w:p>
      <w:pPr>
        <w:tabs>
          <w:tab w:pos="2273" w:val="left" w:leader="none"/>
          <w:tab w:pos="5369" w:val="left" w:leader="none"/>
        </w:tabs>
        <w:spacing w:before="59"/>
        <w:ind w:left="121" w:right="0" w:firstLine="0"/>
        <w:jc w:val="left"/>
        <w:rPr>
          <w:rFonts w:ascii="Arial"/>
          <w:b/>
          <w:sz w:val="18"/>
        </w:rPr>
      </w:pPr>
      <w:r>
        <w:rPr>
          <w:rFonts w:ascii="Arial"/>
          <w:sz w:val="17"/>
        </w:rPr>
        <w:t>54</w:t>
        <w:tab/>
      </w:r>
      <w:r>
        <w:rPr>
          <w:b/>
          <w:position w:val="1"/>
          <w:sz w:val="15"/>
        </w:rPr>
        <w:t>-LIFE  </w:t>
      </w:r>
      <w:r>
        <w:rPr>
          <w:b/>
          <w:spacing w:val="15"/>
          <w:position w:val="1"/>
          <w:sz w:val="15"/>
        </w:rPr>
        <w:t> </w:t>
      </w:r>
      <w:r>
        <w:rPr>
          <w:b/>
          <w:position w:val="1"/>
          <w:sz w:val="15"/>
        </w:rPr>
        <w:t>ANNUITIES</w:t>
        <w:tab/>
      </w:r>
      <w:r>
        <w:rPr>
          <w:rFonts w:ascii="Arial"/>
          <w:b/>
          <w:w w:val="95"/>
          <w:sz w:val="19"/>
        </w:rPr>
        <w:t>(CH.</w:t>
      </w:r>
      <w:r>
        <w:rPr>
          <w:rFonts w:ascii="Arial"/>
          <w:b/>
          <w:spacing w:val="-22"/>
          <w:w w:val="95"/>
          <w:sz w:val="19"/>
        </w:rPr>
        <w:t> </w:t>
      </w:r>
      <w:r>
        <w:rPr>
          <w:rFonts w:ascii="Arial"/>
          <w:b/>
          <w:w w:val="95"/>
          <w:sz w:val="18"/>
        </w:rPr>
        <w:t>2</w:t>
      </w:r>
    </w:p>
    <w:p>
      <w:pPr>
        <w:pStyle w:val="BodyText"/>
        <w:rPr>
          <w:rFonts w:ascii="Arial"/>
          <w:b/>
          <w:sz w:val="18"/>
        </w:rPr>
      </w:pPr>
    </w:p>
    <w:p>
      <w:pPr>
        <w:spacing w:line="199" w:lineRule="exact" w:before="143"/>
        <w:ind w:left="121" w:right="133" w:firstLine="0"/>
        <w:jc w:val="left"/>
        <w:rPr>
          <w:sz w:val="21"/>
        </w:rPr>
      </w:pPr>
      <w:r>
        <w:rPr>
          <w:sz w:val="21"/>
        </w:rPr>
        <w:t>during this first period is _!_  per annum. Then the second payment</w:t>
      </w:r>
    </w:p>
    <w:p>
      <w:pPr>
        <w:spacing w:line="111" w:lineRule="exact" w:before="0"/>
        <w:ind w:left="0" w:right="1152" w:firstLine="0"/>
        <w:jc w:val="center"/>
        <w:rPr>
          <w:rFonts w:ascii="Arial"/>
          <w:i/>
          <w:sz w:val="18"/>
        </w:rPr>
      </w:pPr>
      <w:r>
        <w:rPr>
          <w:rFonts w:ascii="Arial"/>
          <w:i/>
          <w:w w:val="107"/>
          <w:sz w:val="18"/>
        </w:rPr>
        <w:t>m</w:t>
      </w:r>
    </w:p>
    <w:p>
      <w:pPr>
        <w:tabs>
          <w:tab w:pos="1348" w:val="left" w:leader="none"/>
        </w:tabs>
        <w:spacing w:line="246" w:lineRule="exact" w:before="0"/>
        <w:ind w:left="121" w:right="0" w:firstLine="0"/>
        <w:jc w:val="left"/>
        <w:rPr>
          <w:sz w:val="21"/>
        </w:rPr>
      </w:pPr>
      <w:r>
        <w:rPr>
          <w:w w:val="114"/>
          <w:sz w:val="21"/>
        </w:rPr>
        <w:t>at</w:t>
      </w:r>
      <w:r>
        <w:rPr>
          <w:spacing w:val="11"/>
          <w:sz w:val="21"/>
        </w:rPr>
        <w:t> </w:t>
      </w:r>
      <w:r>
        <w:rPr>
          <w:w w:val="99"/>
          <w:sz w:val="21"/>
        </w:rPr>
        <w:t>age</w:t>
      </w:r>
      <w:r>
        <w:rPr>
          <w:spacing w:val="2"/>
          <w:sz w:val="21"/>
        </w:rPr>
        <w:t> </w:t>
      </w:r>
      <w:r>
        <w:rPr>
          <w:rFonts w:ascii="Arial"/>
          <w:i/>
          <w:w w:val="104"/>
          <w:sz w:val="17"/>
        </w:rPr>
        <w:t>x</w:t>
      </w:r>
      <w:r>
        <w:rPr>
          <w:rFonts w:ascii="Arial"/>
          <w:i/>
          <w:sz w:val="17"/>
        </w:rPr>
        <w:t>  </w:t>
      </w:r>
      <w:r>
        <w:rPr>
          <w:rFonts w:ascii="Arial"/>
          <w:w w:val="102"/>
          <w:sz w:val="32"/>
        </w:rPr>
        <w:t>+</w:t>
      </w:r>
      <w:r>
        <w:rPr>
          <w:rFonts w:ascii="Arial"/>
          <w:sz w:val="32"/>
        </w:rPr>
        <w:tab/>
      </w:r>
      <w:r>
        <w:rPr>
          <w:w w:val="92"/>
          <w:sz w:val="21"/>
        </w:rPr>
        <w:t>will</w:t>
      </w:r>
      <w:r>
        <w:rPr>
          <w:spacing w:val="18"/>
          <w:sz w:val="21"/>
        </w:rPr>
        <w:t> </w:t>
      </w:r>
      <w:r>
        <w:rPr>
          <w:w w:val="108"/>
          <w:sz w:val="19"/>
        </w:rPr>
        <w:t>be</w:t>
      </w:r>
      <w:r>
        <w:rPr>
          <w:spacing w:val="5"/>
          <w:sz w:val="19"/>
        </w:rPr>
        <w:t> </w:t>
      </w:r>
      <w:r>
        <w:rPr>
          <w:w w:val="229"/>
          <w:sz w:val="19"/>
        </w:rPr>
        <w:t>-</w:t>
      </w:r>
      <w:r>
        <w:rPr>
          <w:spacing w:val="21"/>
          <w:w w:val="229"/>
          <w:sz w:val="19"/>
        </w:rPr>
        <w:t>;</w:t>
      </w:r>
      <w:r>
        <w:rPr>
          <w:w w:val="102"/>
          <w:sz w:val="19"/>
        </w:rPr>
        <w:t>,</w:t>
      </w:r>
      <w:r>
        <w:rPr>
          <w:spacing w:val="12"/>
          <w:sz w:val="19"/>
        </w:rPr>
        <w:t> </w:t>
      </w:r>
      <w:r>
        <w:rPr>
          <w:w w:val="101"/>
          <w:sz w:val="21"/>
        </w:rPr>
        <w:t>and</w:t>
      </w:r>
      <w:r>
        <w:rPr>
          <w:spacing w:val="20"/>
          <w:sz w:val="21"/>
        </w:rPr>
        <w:t> </w:t>
      </w:r>
      <w:r>
        <w:rPr>
          <w:w w:val="95"/>
          <w:sz w:val="21"/>
        </w:rPr>
        <w:t>so</w:t>
      </w:r>
      <w:r>
        <w:rPr>
          <w:spacing w:val="5"/>
          <w:sz w:val="21"/>
        </w:rPr>
        <w:t> </w:t>
      </w:r>
      <w:r>
        <w:rPr>
          <w:sz w:val="21"/>
        </w:rPr>
        <w:t>on.</w:t>
      </w:r>
      <w:r>
        <w:rPr>
          <w:spacing w:val="9"/>
          <w:sz w:val="21"/>
        </w:rPr>
        <w:t> </w:t>
      </w:r>
      <w:r>
        <w:rPr>
          <w:w w:val="98"/>
          <w:sz w:val="21"/>
        </w:rPr>
        <w:t>Denoting</w:t>
      </w:r>
      <w:r>
        <w:rPr>
          <w:sz w:val="21"/>
        </w:rPr>
        <w:t> </w:t>
      </w:r>
      <w:r>
        <w:rPr>
          <w:spacing w:val="-25"/>
          <w:sz w:val="21"/>
        </w:rPr>
        <w:t> </w:t>
      </w:r>
      <w:r>
        <w:rPr>
          <w:w w:val="106"/>
          <w:sz w:val="21"/>
        </w:rPr>
        <w:t>the</w:t>
      </w:r>
      <w:r>
        <w:rPr>
          <w:spacing w:val="11"/>
          <w:sz w:val="21"/>
        </w:rPr>
        <w:t> </w:t>
      </w:r>
      <w:r>
        <w:rPr>
          <w:w w:val="98"/>
          <w:sz w:val="21"/>
        </w:rPr>
        <w:t>present</w:t>
      </w:r>
      <w:r>
        <w:rPr>
          <w:sz w:val="21"/>
        </w:rPr>
        <w:t> </w:t>
      </w:r>
      <w:r>
        <w:rPr>
          <w:spacing w:val="-21"/>
          <w:sz w:val="21"/>
        </w:rPr>
        <w:t> </w:t>
      </w:r>
      <w:r>
        <w:rPr>
          <w:w w:val="97"/>
          <w:sz w:val="21"/>
        </w:rPr>
        <w:t>value</w:t>
      </w:r>
      <w:r>
        <w:rPr>
          <w:spacing w:val="13"/>
          <w:sz w:val="21"/>
        </w:rPr>
        <w:t> </w:t>
      </w:r>
      <w:r>
        <w:rPr>
          <w:w w:val="81"/>
          <w:sz w:val="21"/>
        </w:rPr>
        <w:t>of</w:t>
      </w:r>
    </w:p>
    <w:p>
      <w:pPr>
        <w:tabs>
          <w:tab w:pos="1975" w:val="left" w:leader="none"/>
        </w:tabs>
        <w:spacing w:line="164" w:lineRule="exact" w:before="0"/>
        <w:ind w:left="1132" w:right="739" w:firstLine="0"/>
        <w:jc w:val="left"/>
        <w:rPr>
          <w:i/>
          <w:sz w:val="22"/>
        </w:rPr>
      </w:pPr>
      <w:r>
        <w:rPr>
          <w:i/>
          <w:w w:val="105"/>
          <w:sz w:val="22"/>
        </w:rPr>
        <w:t>m</w:t>
        <w:tab/>
        <w:t>m</w:t>
      </w:r>
    </w:p>
    <w:p>
      <w:pPr>
        <w:spacing w:line="233" w:lineRule="exact" w:before="0"/>
        <w:ind w:left="114" w:right="739" w:firstLine="0"/>
        <w:jc w:val="left"/>
        <w:rPr>
          <w:sz w:val="21"/>
        </w:rPr>
      </w:pPr>
      <w:r>
        <w:rPr>
          <w:w w:val="97"/>
          <w:sz w:val="21"/>
        </w:rPr>
        <w:t>such</w:t>
      </w:r>
      <w:r>
        <w:rPr>
          <w:spacing w:val="13"/>
          <w:sz w:val="21"/>
        </w:rPr>
        <w:t> </w:t>
      </w:r>
      <w:r>
        <w:rPr>
          <w:w w:val="105"/>
          <w:sz w:val="21"/>
        </w:rPr>
        <w:t>an</w:t>
      </w:r>
      <w:r>
        <w:rPr>
          <w:spacing w:val="7"/>
          <w:sz w:val="21"/>
        </w:rPr>
        <w:t> </w:t>
      </w:r>
      <w:r>
        <w:rPr>
          <w:w w:val="103"/>
          <w:sz w:val="21"/>
        </w:rPr>
        <w:t>annuity</w:t>
      </w:r>
      <w:r>
        <w:rPr>
          <w:spacing w:val="16"/>
          <w:sz w:val="21"/>
        </w:rPr>
        <w:t> </w:t>
      </w:r>
      <w:r>
        <w:rPr>
          <w:w w:val="99"/>
          <w:sz w:val="21"/>
        </w:rPr>
        <w:t>by</w:t>
      </w:r>
      <w:r>
        <w:rPr>
          <w:sz w:val="21"/>
        </w:rPr>
        <w:t>  </w:t>
      </w:r>
      <w:r>
        <w:rPr>
          <w:rFonts w:ascii="Arial"/>
          <w:w w:val="83"/>
          <w:sz w:val="19"/>
        </w:rPr>
        <w:t>(</w:t>
      </w:r>
      <w:r>
        <w:rPr>
          <w:rFonts w:ascii="Arial"/>
          <w:w w:val="83"/>
          <w:sz w:val="19"/>
        </w:rPr>
        <w:t>/&lt;"'</w:t>
      </w:r>
      <w:r>
        <w:rPr>
          <w:rFonts w:ascii="Arial"/>
          <w:spacing w:val="7"/>
          <w:w w:val="83"/>
          <w:sz w:val="19"/>
        </w:rPr>
        <w:t>&gt;</w:t>
      </w:r>
      <w:r>
        <w:rPr>
          <w:i/>
          <w:w w:val="96"/>
          <w:sz w:val="21"/>
        </w:rPr>
        <w:t>a</w:t>
      </w:r>
      <w:r>
        <w:rPr>
          <w:i/>
          <w:spacing w:val="-28"/>
          <w:sz w:val="21"/>
        </w:rPr>
        <w:t> </w:t>
      </w:r>
      <w:r>
        <w:rPr>
          <w:w w:val="108"/>
          <w:sz w:val="22"/>
        </w:rPr>
        <w:t>)</w:t>
      </w:r>
      <w:r>
        <w:rPr>
          <w:spacing w:val="-20"/>
          <w:w w:val="108"/>
          <w:sz w:val="22"/>
        </w:rPr>
        <w:t>!</w:t>
      </w:r>
      <w:r>
        <w:rPr>
          <w:w w:val="43"/>
          <w:sz w:val="22"/>
        </w:rPr>
        <w:t>m&gt;</w:t>
      </w:r>
      <w:r>
        <w:rPr>
          <w:spacing w:val="-20"/>
          <w:sz w:val="22"/>
        </w:rPr>
        <w:t> </w:t>
      </w:r>
      <w:r>
        <w:rPr>
          <w:w w:val="88"/>
          <w:sz w:val="22"/>
        </w:rPr>
        <w:t>,</w:t>
      </w:r>
      <w:r>
        <w:rPr>
          <w:spacing w:val="-3"/>
          <w:sz w:val="22"/>
        </w:rPr>
        <w:t> </w:t>
      </w:r>
      <w:r>
        <w:rPr>
          <w:w w:val="93"/>
          <w:sz w:val="21"/>
        </w:rPr>
        <w:t>we</w:t>
      </w:r>
      <w:r>
        <w:rPr>
          <w:spacing w:val="9"/>
          <w:sz w:val="21"/>
        </w:rPr>
        <w:t> </w:t>
      </w:r>
      <w:r>
        <w:rPr>
          <w:w w:val="100"/>
          <w:sz w:val="21"/>
        </w:rPr>
        <w:t>have</w:t>
      </w:r>
    </w:p>
    <w:p>
      <w:pPr>
        <w:spacing w:line="268" w:lineRule="exact" w:before="77"/>
        <w:ind w:left="74" w:right="42" w:firstLine="0"/>
        <w:jc w:val="center"/>
        <w:rPr>
          <w:i/>
          <w:sz w:val="22"/>
        </w:rPr>
      </w:pPr>
      <w:r>
        <w:rPr>
          <w:rFonts w:ascii="Arial"/>
          <w:i/>
          <w:w w:val="135"/>
          <w:sz w:val="19"/>
        </w:rPr>
        <w:t>([</w:t>
      </w:r>
      <w:r>
        <w:rPr>
          <w:rFonts w:ascii="Arial"/>
          <w:i/>
          <w:spacing w:val="-57"/>
          <w:w w:val="135"/>
          <w:sz w:val="19"/>
        </w:rPr>
        <w:t> </w:t>
      </w:r>
      <w:r>
        <w:rPr>
          <w:rFonts w:ascii="Arial"/>
          <w:i/>
          <w:sz w:val="19"/>
        </w:rPr>
        <w:t>&lt;"''a)!"'&gt; </w:t>
      </w:r>
      <w:r>
        <w:rPr>
          <w:sz w:val="28"/>
        </w:rPr>
        <w:t>= </w:t>
      </w:r>
      <w:r>
        <w:rPr>
          <w:w w:val="90"/>
          <w:sz w:val="23"/>
        </w:rPr>
        <w:t>_!_ </w:t>
      </w:r>
      <w:r>
        <w:rPr>
          <w:rFonts w:ascii="Arial"/>
          <w:i/>
          <w:spacing w:val="4"/>
          <w:w w:val="90"/>
          <w:sz w:val="37"/>
        </w:rPr>
        <w:t>i:,</w:t>
      </w:r>
      <w:r>
        <w:rPr>
          <w:spacing w:val="4"/>
          <w:w w:val="90"/>
          <w:sz w:val="23"/>
        </w:rPr>
        <w:t>_!_ </w:t>
      </w:r>
      <w:r>
        <w:rPr>
          <w:i/>
          <w:sz w:val="22"/>
        </w:rPr>
        <w:t>Dz+ </w:t>
      </w:r>
      <w:r>
        <w:rPr>
          <w:i/>
          <w:w w:val="135"/>
          <w:sz w:val="22"/>
        </w:rPr>
        <w:t>.</w:t>
      </w:r>
    </w:p>
    <w:p>
      <w:pPr>
        <w:tabs>
          <w:tab w:pos="4055" w:val="left" w:leader="none"/>
        </w:tabs>
        <w:spacing w:line="306" w:lineRule="exact" w:before="0"/>
        <w:ind w:left="2889" w:right="739" w:firstLine="0"/>
        <w:jc w:val="left"/>
        <w:rPr>
          <w:rFonts w:ascii="Arial"/>
          <w:sz w:val="18"/>
        </w:rPr>
      </w:pPr>
      <w:r>
        <w:rPr>
          <w:sz w:val="22"/>
        </w:rPr>
        <w:t>Ds</w:t>
      </w:r>
      <w:r>
        <w:rPr>
          <w:spacing w:val="-10"/>
          <w:sz w:val="22"/>
        </w:rPr>
        <w:t> </w:t>
      </w:r>
      <w:r>
        <w:rPr>
          <w:spacing w:val="-3"/>
          <w:sz w:val="30"/>
        </w:rPr>
        <w:t>,-1</w:t>
      </w:r>
      <w:r>
        <w:rPr>
          <w:spacing w:val="-56"/>
          <w:sz w:val="30"/>
        </w:rPr>
        <w:t> </w:t>
      </w:r>
      <w:r>
        <w:rPr>
          <w:rFonts w:ascii="Arial"/>
          <w:i/>
          <w:sz w:val="18"/>
        </w:rPr>
        <w:t>m</w:t>
      </w:r>
      <w:r>
        <w:rPr>
          <w:position w:val="8"/>
          <w:sz w:val="12"/>
        </w:rPr>
        <w:t>2</w:t>
        <w:tab/>
      </w:r>
      <w:r>
        <w:rPr>
          <w:rFonts w:ascii="Arial"/>
          <w:w w:val="105"/>
          <w:sz w:val="18"/>
        </w:rPr>
        <w:t>"'</w:t>
      </w:r>
    </w:p>
    <w:p>
      <w:pPr>
        <w:spacing w:line="241" w:lineRule="exact" w:before="66"/>
        <w:ind w:left="114" w:right="0" w:firstLine="0"/>
        <w:jc w:val="left"/>
        <w:rPr>
          <w:sz w:val="19"/>
        </w:rPr>
      </w:pPr>
      <w:r>
        <w:rPr>
          <w:w w:val="105"/>
          <w:sz w:val="21"/>
        </w:rPr>
        <w:t>Expanding  this summation  by </w:t>
      </w:r>
      <w:r>
        <w:rPr>
          <w:w w:val="105"/>
          <w:sz w:val="19"/>
        </w:rPr>
        <w:t>means </w:t>
      </w:r>
      <w:r>
        <w:rPr>
          <w:w w:val="105"/>
          <w:sz w:val="21"/>
        </w:rPr>
        <w:t>of  </w:t>
      </w:r>
      <w:r>
        <w:rPr>
          <w:rFonts w:ascii="Arial"/>
          <w:w w:val="105"/>
          <w:sz w:val="19"/>
        </w:rPr>
        <w:t>W</w:t>
      </w:r>
      <w:r>
        <w:rPr>
          <w:w w:val="105"/>
          <w:sz w:val="21"/>
        </w:rPr>
        <w:t>oolhouse's  </w:t>
      </w:r>
      <w:r>
        <w:rPr>
          <w:w w:val="105"/>
          <w:sz w:val="19"/>
        </w:rPr>
        <w:t>formula as</w:t>
      </w:r>
    </w:p>
    <w:p>
      <w:pPr>
        <w:spacing w:before="0"/>
        <w:ind w:left="114" w:right="739" w:firstLine="0"/>
        <w:jc w:val="left"/>
        <w:rPr>
          <w:sz w:val="21"/>
        </w:rPr>
      </w:pPr>
      <w:r>
        <w:rPr>
          <w:sz w:val="21"/>
        </w:rPr>
        <w:t>far as the tenn  involving  the first  derivative,  we obtain</w:t>
      </w:r>
    </w:p>
    <w:p>
      <w:pPr>
        <w:spacing w:after="0"/>
        <w:jc w:val="left"/>
        <w:rPr>
          <w:sz w:val="21"/>
        </w:rPr>
        <w:sectPr>
          <w:pgSz w:w="7200" w:h="11340"/>
          <w:pgMar w:top="500" w:bottom="280" w:left="660" w:right="560"/>
        </w:sectPr>
      </w:pPr>
    </w:p>
    <w:p>
      <w:pPr>
        <w:spacing w:before="152"/>
        <w:ind w:left="132" w:right="-14" w:firstLine="0"/>
        <w:jc w:val="left"/>
        <w:rPr>
          <w:sz w:val="22"/>
        </w:rPr>
      </w:pPr>
      <w:r>
        <w:rPr/>
        <w:pict>
          <v:shape style="position:absolute;margin-left:68.760002pt;margin-top:16.874468pt;width:2.95pt;height:7.5pt;mso-position-horizontal-relative:page;mso-position-vertical-relative:paragraph;z-index:-731224" type="#_x0000_t202" filled="false" stroked="false">
            <v:textbox inset="0,0,0,0">
              <w:txbxContent>
                <w:p>
                  <w:pPr>
                    <w:spacing w:line="150" w:lineRule="exact" w:before="0"/>
                    <w:ind w:left="0" w:right="0" w:firstLine="0"/>
                    <w:jc w:val="left"/>
                    <w:rPr>
                      <w:i/>
                      <w:sz w:val="15"/>
                    </w:rPr>
                  </w:pPr>
                  <w:r>
                    <w:rPr>
                      <w:i/>
                      <w:w w:val="99"/>
                      <w:sz w:val="15"/>
                    </w:rPr>
                    <w:t>z</w:t>
                  </w:r>
                </w:p>
              </w:txbxContent>
            </v:textbox>
            <w10:wrap type="none"/>
          </v:shape>
        </w:pict>
      </w:r>
      <w:r>
        <w:rPr>
          <w:rFonts w:ascii="Arial"/>
          <w:spacing w:val="6"/>
          <w:w w:val="85"/>
          <w:position w:val="-5"/>
          <w:sz w:val="20"/>
        </w:rPr>
        <w:t>(</w:t>
      </w:r>
      <w:r>
        <w:rPr>
          <w:rFonts w:ascii="Arial"/>
          <w:i/>
          <w:spacing w:val="6"/>
          <w:w w:val="85"/>
          <w:position w:val="-7"/>
          <w:sz w:val="20"/>
        </w:rPr>
        <w:t>l</w:t>
      </w:r>
      <w:r>
        <w:rPr>
          <w:rFonts w:ascii="Arial"/>
          <w:i/>
          <w:spacing w:val="-32"/>
          <w:w w:val="85"/>
          <w:position w:val="-7"/>
          <w:sz w:val="20"/>
        </w:rPr>
        <w:t> </w:t>
      </w:r>
      <w:r>
        <w:rPr>
          <w:i/>
          <w:w w:val="85"/>
          <w:sz w:val="22"/>
        </w:rPr>
        <w:t>e,..,</w:t>
      </w:r>
      <w:r>
        <w:rPr>
          <w:i/>
          <w:w w:val="85"/>
          <w:position w:val="-9"/>
          <w:sz w:val="21"/>
        </w:rPr>
        <w:t>a</w:t>
      </w:r>
      <w:r>
        <w:rPr>
          <w:i/>
          <w:spacing w:val="-32"/>
          <w:w w:val="85"/>
          <w:position w:val="-9"/>
          <w:sz w:val="21"/>
        </w:rPr>
        <w:t> </w:t>
      </w:r>
      <w:r>
        <w:rPr>
          <w:w w:val="85"/>
          <w:sz w:val="22"/>
        </w:rPr>
        <w:t>)</w:t>
      </w:r>
      <w:r>
        <w:rPr>
          <w:spacing w:val="-32"/>
          <w:w w:val="85"/>
          <w:sz w:val="22"/>
        </w:rPr>
        <w:t> </w:t>
      </w:r>
      <w:r>
        <w:rPr>
          <w:w w:val="85"/>
          <w:sz w:val="22"/>
        </w:rPr>
        <w:t>,,..,</w:t>
      </w:r>
    </w:p>
    <w:p>
      <w:pPr>
        <w:spacing w:line="176" w:lineRule="exact" w:before="171"/>
        <w:ind w:left="373" w:right="-5" w:firstLine="0"/>
        <w:jc w:val="left"/>
        <w:rPr>
          <w:sz w:val="20"/>
        </w:rPr>
      </w:pPr>
      <w:r>
        <w:rPr/>
        <w:br w:type="column"/>
      </w:r>
      <w:r>
        <w:rPr>
          <w:w w:val="140"/>
          <w:sz w:val="20"/>
        </w:rPr>
        <w:t>1 </w:t>
      </w:r>
      <w:r>
        <w:rPr>
          <w:spacing w:val="-292"/>
          <w:w w:val="445"/>
          <w:sz w:val="20"/>
        </w:rPr>
        <w:t>{</w:t>
      </w:r>
    </w:p>
    <w:p>
      <w:pPr>
        <w:spacing w:line="226" w:lineRule="exact" w:before="0"/>
        <w:ind w:left="456" w:right="-5" w:firstLine="0"/>
        <w:jc w:val="left"/>
        <w:rPr>
          <w:sz w:val="30"/>
        </w:rPr>
      </w:pPr>
      <w:r>
        <w:rPr/>
        <w:pict>
          <v:rect style="position:absolute;margin-left:96.839996pt;margin-top:5.560405pt;width:7.74pt;height:5.4pt;mso-position-horizontal-relative:page;mso-position-vertical-relative:paragraph;z-index:-731272" filled="true" fillcolor="#000000" stroked="false">
            <v:fill type="solid"/>
            <w10:wrap type="none"/>
          </v:rect>
        </w:pict>
      </w:r>
      <w:r>
        <w:rPr/>
        <w:pict>
          <v:shape style="position:absolute;margin-left:85.860001pt;margin-top:-4.900353pt;width:15.15pt;height:13pt;mso-position-horizontal-relative:page;mso-position-vertical-relative:paragraph;z-index:-731200" type="#_x0000_t202" filled="false" stroked="false">
            <v:textbox inset="0,0,0,0">
              <w:txbxContent>
                <w:p>
                  <w:pPr>
                    <w:spacing w:line="260" w:lineRule="exact" w:before="0"/>
                    <w:ind w:left="0" w:right="-19" w:firstLine="0"/>
                    <w:jc w:val="left"/>
                    <w:rPr>
                      <w:i/>
                      <w:sz w:val="22"/>
                    </w:rPr>
                  </w:pPr>
                  <w:r>
                    <w:rPr>
                      <w:sz w:val="26"/>
                    </w:rPr>
                    <w:t>=</w:t>
                  </w:r>
                  <w:r>
                    <w:rPr>
                      <w:spacing w:val="-3"/>
                      <w:sz w:val="26"/>
                    </w:rPr>
                    <w:t> </w:t>
                  </w:r>
                  <w:r>
                    <w:rPr>
                      <w:i/>
                      <w:spacing w:val="-66"/>
                      <w:sz w:val="22"/>
                    </w:rPr>
                    <w:t>D</w:t>
                  </w:r>
                </w:p>
              </w:txbxContent>
            </v:textbox>
            <w10:wrap type="none"/>
          </v:shape>
        </w:pict>
      </w:r>
      <w:r>
        <w:rPr>
          <w:i/>
          <w:sz w:val="13"/>
        </w:rPr>
        <w:t>z   </w:t>
      </w:r>
      <w:r>
        <w:rPr>
          <w:sz w:val="30"/>
        </w:rPr>
        <w:t>,-1</w:t>
      </w:r>
    </w:p>
    <w:p>
      <w:pPr>
        <w:spacing w:before="153"/>
        <w:ind w:left="-20" w:right="-16" w:firstLine="0"/>
        <w:jc w:val="left"/>
        <w:rPr>
          <w:sz w:val="29"/>
        </w:rPr>
      </w:pPr>
      <w:r>
        <w:rPr/>
        <w:br w:type="column"/>
      </w:r>
      <w:r>
        <w:rPr>
          <w:i/>
          <w:w w:val="104"/>
          <w:sz w:val="21"/>
        </w:rPr>
        <w:t>t</w:t>
      </w:r>
      <w:r>
        <w:rPr>
          <w:rFonts w:ascii="Arial"/>
          <w:i/>
          <w:spacing w:val="1"/>
          <w:w w:val="110"/>
          <w:position w:val="10"/>
          <w:sz w:val="20"/>
        </w:rPr>
        <w:t>D</w:t>
      </w:r>
      <w:r>
        <w:rPr>
          <w:i/>
          <w:w w:val="92"/>
          <w:sz w:val="15"/>
        </w:rPr>
        <w:t>z+c</w:t>
      </w:r>
      <w:r>
        <w:rPr>
          <w:i/>
          <w:sz w:val="15"/>
        </w:rPr>
        <w:t>  </w:t>
      </w:r>
      <w:r>
        <w:rPr>
          <w:i/>
          <w:spacing w:val="5"/>
          <w:sz w:val="15"/>
        </w:rPr>
        <w:t> </w:t>
      </w:r>
      <w:r>
        <w:rPr>
          <w:w w:val="101"/>
          <w:sz w:val="29"/>
        </w:rPr>
        <w:t>+</w:t>
      </w:r>
      <w:r>
        <w:rPr>
          <w:spacing w:val="-9"/>
          <w:sz w:val="29"/>
        </w:rPr>
        <w:t> </w:t>
      </w:r>
      <w:r>
        <w:rPr>
          <w:i/>
          <w:spacing w:val="-155"/>
          <w:w w:val="103"/>
          <w:position w:val="10"/>
          <w:sz w:val="22"/>
        </w:rPr>
        <w:t>m</w:t>
      </w:r>
      <w:r>
        <w:rPr>
          <w:spacing w:val="-153"/>
          <w:w w:val="301"/>
          <w:sz w:val="29"/>
        </w:rPr>
        <w:t>-</w:t>
      </w:r>
    </w:p>
    <w:p>
      <w:pPr>
        <w:spacing w:line="302" w:lineRule="exact" w:before="153"/>
        <w:ind w:left="61" w:right="0" w:firstLine="0"/>
        <w:jc w:val="left"/>
        <w:rPr>
          <w:sz w:val="18"/>
        </w:rPr>
      </w:pPr>
      <w:r>
        <w:rPr/>
        <w:br w:type="column"/>
      </w:r>
      <w:r>
        <w:rPr>
          <w:w w:val="220"/>
          <w:position w:val="10"/>
          <w:sz w:val="22"/>
        </w:rPr>
        <w:t>-</w:t>
      </w:r>
      <w:r>
        <w:rPr>
          <w:spacing w:val="-63"/>
          <w:w w:val="220"/>
          <w:position w:val="10"/>
          <w:sz w:val="22"/>
        </w:rPr>
        <w:t> </w:t>
      </w:r>
      <w:r>
        <w:rPr>
          <w:w w:val="145"/>
          <w:position w:val="10"/>
          <w:sz w:val="20"/>
        </w:rPr>
        <w:t>1 </w:t>
      </w:r>
      <w:r>
        <w:rPr>
          <w:spacing w:val="-5"/>
          <w:w w:val="105"/>
          <w:position w:val="10"/>
          <w:sz w:val="20"/>
        </w:rPr>
        <w:t>[</w:t>
      </w:r>
      <w:r>
        <w:rPr>
          <w:i/>
          <w:spacing w:val="-5"/>
          <w:w w:val="105"/>
          <w:sz w:val="22"/>
        </w:rPr>
        <w:t>t</w:t>
      </w:r>
      <w:r>
        <w:rPr>
          <w:rFonts w:ascii="Arial"/>
          <w:i/>
          <w:spacing w:val="-5"/>
          <w:w w:val="105"/>
          <w:position w:val="10"/>
          <w:sz w:val="20"/>
        </w:rPr>
        <w:t>D</w:t>
      </w:r>
      <w:r>
        <w:rPr>
          <w:i/>
          <w:spacing w:val="-5"/>
          <w:w w:val="105"/>
          <w:sz w:val="15"/>
        </w:rPr>
        <w:t>z+c </w:t>
      </w:r>
      <w:r>
        <w:rPr>
          <w:rFonts w:ascii="Arial"/>
          <w:w w:val="105"/>
          <w:position w:val="10"/>
          <w:sz w:val="20"/>
        </w:rPr>
        <w:t>]</w:t>
      </w:r>
      <w:r>
        <w:rPr>
          <w:w w:val="105"/>
          <w:sz w:val="18"/>
        </w:rPr>
        <w:t>,-o</w:t>
      </w:r>
    </w:p>
    <w:p>
      <w:pPr>
        <w:spacing w:line="118" w:lineRule="exact" w:before="0"/>
        <w:ind w:left="-14" w:right="0" w:firstLine="0"/>
        <w:jc w:val="left"/>
        <w:rPr>
          <w:rFonts w:ascii="Arial"/>
          <w:i/>
          <w:sz w:val="18"/>
        </w:rPr>
      </w:pPr>
      <w:r>
        <w:rPr/>
        <w:pict>
          <v:shape style="position:absolute;margin-left:181.080002pt;margin-top:-6.720916pt;width:18.4pt;height:8.5pt;mso-position-horizontal-relative:page;mso-position-vertical-relative:paragraph;z-index:-731176" type="#_x0000_t202" filled="false" stroked="false">
            <v:textbox inset="0,0,0,0">
              <w:txbxContent>
                <w:p>
                  <w:pPr>
                    <w:spacing w:line="170" w:lineRule="exact" w:before="0"/>
                    <w:ind w:left="0" w:right="-16" w:firstLine="0"/>
                    <w:jc w:val="left"/>
                    <w:rPr>
                      <w:rFonts w:ascii="Arial"/>
                      <w:sz w:val="17"/>
                    </w:rPr>
                  </w:pPr>
                  <w:r>
                    <w:rPr>
                      <w:rFonts w:ascii="Arial"/>
                      <w:spacing w:val="-25"/>
                      <w:w w:val="365"/>
                      <w:sz w:val="17"/>
                    </w:rPr>
                    <w:t>--</w:t>
                  </w:r>
                </w:p>
              </w:txbxContent>
            </v:textbox>
            <w10:wrap type="none"/>
          </v:shape>
        </w:pict>
      </w:r>
      <w:r>
        <w:rPr>
          <w:rFonts w:ascii="Arial"/>
          <w:w w:val="110"/>
          <w:position w:val="1"/>
          <w:sz w:val="17"/>
        </w:rPr>
        <w:t>2</w:t>
      </w:r>
      <w:r>
        <w:rPr>
          <w:rFonts w:ascii="Arial"/>
          <w:i/>
          <w:w w:val="110"/>
          <w:sz w:val="18"/>
        </w:rPr>
        <w:t>m</w:t>
      </w:r>
    </w:p>
    <w:p>
      <w:pPr>
        <w:spacing w:after="0" w:line="118" w:lineRule="exact"/>
        <w:jc w:val="left"/>
        <w:rPr>
          <w:rFonts w:ascii="Arial"/>
          <w:sz w:val="18"/>
        </w:rPr>
        <w:sectPr>
          <w:type w:val="continuous"/>
          <w:pgSz w:w="7200" w:h="11340"/>
          <w:pgMar w:top="1100" w:bottom="0" w:left="660" w:right="560"/>
          <w:cols w:num="4" w:equalWidth="0">
            <w:col w:w="943" w:space="40"/>
            <w:col w:w="944" w:space="40"/>
            <w:col w:w="913" w:space="40"/>
            <w:col w:w="3060"/>
          </w:cols>
        </w:sectPr>
      </w:pPr>
    </w:p>
    <w:p>
      <w:pPr>
        <w:tabs>
          <w:tab w:pos="4732" w:val="left" w:leader="none"/>
        </w:tabs>
        <w:spacing w:line="314" w:lineRule="exact" w:before="0"/>
        <w:ind w:left="2817" w:right="0" w:firstLine="0"/>
        <w:jc w:val="left"/>
        <w:rPr>
          <w:sz w:val="52"/>
        </w:rPr>
      </w:pPr>
      <w:r>
        <w:rPr/>
        <w:pict>
          <v:shape style="position:absolute;margin-left:193.5pt;margin-top:7.644786pt;width:3.1pt;height:5.5pt;mso-position-horizontal-relative:page;mso-position-vertical-relative:paragraph;z-index:-731104" type="#_x0000_t202" filled="false" stroked="false">
            <v:textbox inset="0,0,0,0">
              <w:txbxContent>
                <w:p>
                  <w:pPr>
                    <w:spacing w:line="110" w:lineRule="exact" w:before="0"/>
                    <w:ind w:left="0" w:right="0" w:firstLine="0"/>
                    <w:jc w:val="left"/>
                    <w:rPr>
                      <w:rFonts w:ascii="Arial"/>
                      <w:sz w:val="11"/>
                    </w:rPr>
                  </w:pPr>
                  <w:r>
                    <w:rPr>
                      <w:rFonts w:ascii="Arial"/>
                      <w:w w:val="100"/>
                      <w:sz w:val="11"/>
                    </w:rPr>
                    <w:t>2</w:t>
                  </w:r>
                </w:p>
              </w:txbxContent>
            </v:textbox>
            <w10:wrap type="none"/>
          </v:shape>
        </w:pict>
      </w:r>
      <w:r>
        <w:rPr>
          <w:rFonts w:ascii="Arial"/>
          <w:w w:val="106"/>
          <w:position w:val="-9"/>
          <w:sz w:val="32"/>
        </w:rPr>
        <w:t>+</w:t>
      </w:r>
      <w:r>
        <w:rPr>
          <w:rFonts w:ascii="Arial"/>
          <w:spacing w:val="-51"/>
          <w:position w:val="-9"/>
          <w:sz w:val="32"/>
        </w:rPr>
        <w:t> </w:t>
      </w:r>
      <w:r>
        <w:rPr>
          <w:w w:val="96"/>
          <w:sz w:val="20"/>
        </w:rPr>
        <w:t>m</w:t>
      </w:r>
      <w:r>
        <w:rPr>
          <w:sz w:val="20"/>
        </w:rPr>
        <w:t>  </w:t>
      </w:r>
      <w:r>
        <w:rPr>
          <w:spacing w:val="1"/>
          <w:sz w:val="20"/>
        </w:rPr>
        <w:t> </w:t>
      </w:r>
      <w:r>
        <w:rPr>
          <w:rFonts w:ascii="Arial"/>
          <w:w w:val="478"/>
          <w:sz w:val="11"/>
        </w:rPr>
        <w:t>-</w:t>
      </w:r>
      <w:r>
        <w:rPr>
          <w:rFonts w:ascii="Arial"/>
          <w:sz w:val="11"/>
        </w:rPr>
        <w:t> </w:t>
      </w:r>
      <w:r>
        <w:rPr>
          <w:rFonts w:ascii="Arial"/>
          <w:spacing w:val="11"/>
          <w:sz w:val="11"/>
        </w:rPr>
        <w:t> </w:t>
      </w:r>
      <w:r>
        <w:rPr>
          <w:spacing w:val="16"/>
          <w:w w:val="56"/>
          <w:sz w:val="47"/>
        </w:rPr>
        <w:t>1</w:t>
      </w:r>
      <w:r>
        <w:rPr>
          <w:spacing w:val="-53"/>
          <w:w w:val="104"/>
          <w:sz w:val="47"/>
        </w:rPr>
        <w:t>[</w:t>
      </w:r>
      <w:r>
        <w:rPr>
          <w:w w:val="45"/>
          <w:sz w:val="47"/>
        </w:rPr>
        <w:t>d</w:t>
      </w:r>
      <w:r>
        <w:rPr>
          <w:sz w:val="47"/>
        </w:rPr>
        <w:tab/>
      </w:r>
      <w:r>
        <w:rPr>
          <w:w w:val="51"/>
          <w:sz w:val="52"/>
        </w:rPr>
        <w:t>J</w:t>
      </w:r>
    </w:p>
    <w:p>
      <w:pPr>
        <w:spacing w:line="237" w:lineRule="exact" w:before="76"/>
        <w:ind w:left="531" w:right="0" w:firstLine="0"/>
        <w:jc w:val="left"/>
        <w:rPr>
          <w:sz w:val="42"/>
        </w:rPr>
      </w:pPr>
      <w:r>
        <w:rPr/>
        <w:br w:type="column"/>
      </w:r>
      <w:r>
        <w:rPr>
          <w:rFonts w:ascii="Arial"/>
          <w:w w:val="123"/>
          <w:sz w:val="28"/>
        </w:rPr>
        <w:t>..</w:t>
      </w:r>
      <w:r>
        <w:rPr>
          <w:rFonts w:ascii="Arial"/>
          <w:spacing w:val="-23"/>
          <w:w w:val="123"/>
          <w:sz w:val="28"/>
        </w:rPr>
        <w:t>.</w:t>
      </w:r>
      <w:r>
        <w:rPr>
          <w:w w:val="49"/>
          <w:sz w:val="42"/>
        </w:rPr>
        <w:t>}-</w:t>
      </w:r>
    </w:p>
    <w:p>
      <w:pPr>
        <w:spacing w:after="0" w:line="237" w:lineRule="exact"/>
        <w:jc w:val="left"/>
        <w:rPr>
          <w:sz w:val="42"/>
        </w:rPr>
        <w:sectPr>
          <w:type w:val="continuous"/>
          <w:pgSz w:w="7200" w:h="11340"/>
          <w:pgMar w:top="1100" w:bottom="0" w:left="660" w:right="560"/>
          <w:cols w:num="2" w:equalWidth="0">
            <w:col w:w="4838" w:space="40"/>
            <w:col w:w="1102"/>
          </w:cols>
        </w:sectPr>
      </w:pPr>
    </w:p>
    <w:p>
      <w:pPr>
        <w:tabs>
          <w:tab w:pos="3868" w:val="left" w:leader="none"/>
        </w:tabs>
        <w:spacing w:line="265" w:lineRule="exact" w:before="0"/>
        <w:ind w:left="3170" w:right="133" w:firstLine="0"/>
        <w:jc w:val="left"/>
        <w:rPr>
          <w:sz w:val="18"/>
        </w:rPr>
      </w:pPr>
      <w:r>
        <w:rPr>
          <w:w w:val="105"/>
          <w:sz w:val="20"/>
          <w:u w:val="thick"/>
        </w:rPr>
        <w:t>12mt</w:t>
      </w:r>
      <w:r>
        <w:rPr>
          <w:w w:val="105"/>
          <w:sz w:val="20"/>
        </w:rPr>
        <w:tab/>
      </w:r>
      <w:r>
        <w:rPr>
          <w:i/>
          <w:sz w:val="26"/>
        </w:rPr>
        <w:t>dt </w:t>
      </w:r>
      <w:r>
        <w:rPr>
          <w:i/>
          <w:sz w:val="20"/>
        </w:rPr>
        <w:t>( </w:t>
      </w:r>
      <w:r>
        <w:rPr>
          <w:i/>
          <w:w w:val="105"/>
          <w:sz w:val="20"/>
        </w:rPr>
        <w:t>tDz+i </w:t>
      </w:r>
      <w:r>
        <w:rPr>
          <w:i/>
          <w:sz w:val="20"/>
        </w:rPr>
        <w:t>)</w:t>
      </w:r>
      <w:r>
        <w:rPr>
          <w:i/>
          <w:spacing w:val="-7"/>
          <w:sz w:val="20"/>
        </w:rPr>
        <w:t> </w:t>
      </w:r>
      <w:r>
        <w:rPr>
          <w:w w:val="105"/>
          <w:sz w:val="18"/>
        </w:rPr>
        <w:t>,-o </w:t>
      </w:r>
      <w:r>
        <w:rPr>
          <w:w w:val="280"/>
          <w:sz w:val="18"/>
        </w:rPr>
        <w:t>-</w:t>
      </w:r>
    </w:p>
    <w:p>
      <w:pPr>
        <w:spacing w:line="166" w:lineRule="exact" w:before="172"/>
        <w:ind w:left="110" w:right="739" w:firstLine="0"/>
        <w:jc w:val="left"/>
        <w:rPr>
          <w:sz w:val="21"/>
        </w:rPr>
      </w:pPr>
      <w:r>
        <w:rPr>
          <w:sz w:val="21"/>
        </w:rPr>
        <w:t>Since</w:t>
      </w:r>
    </w:p>
    <w:p>
      <w:pPr>
        <w:spacing w:line="672" w:lineRule="exact" w:before="0"/>
        <w:ind w:left="643" w:right="133" w:firstLine="0"/>
        <w:jc w:val="left"/>
        <w:rPr>
          <w:rFonts w:ascii="Arial" w:hAnsi="Arial"/>
          <w:i/>
          <w:sz w:val="21"/>
        </w:rPr>
      </w:pPr>
      <w:r>
        <w:rPr>
          <w:spacing w:val="-60"/>
          <w:w w:val="100"/>
          <w:sz w:val="52"/>
        </w:rPr>
        <w:t>[</w:t>
      </w:r>
      <w:r>
        <w:rPr>
          <w:spacing w:val="28"/>
          <w:w w:val="139"/>
          <w:sz w:val="52"/>
        </w:rPr>
        <w:t>i</w:t>
      </w:r>
      <w:r>
        <w:rPr>
          <w:w w:val="127"/>
          <w:sz w:val="19"/>
        </w:rPr>
        <w:t>(</w:t>
      </w:r>
      <w:r>
        <w:rPr>
          <w:w w:val="127"/>
          <w:sz w:val="19"/>
        </w:rPr>
        <w:t>tD</w:t>
      </w:r>
      <w:r>
        <w:rPr>
          <w:spacing w:val="-18"/>
          <w:w w:val="127"/>
          <w:sz w:val="19"/>
        </w:rPr>
        <w:t>,</w:t>
      </w:r>
      <w:r>
        <w:rPr>
          <w:w w:val="116"/>
          <w:sz w:val="19"/>
        </w:rPr>
        <w:t>+,</w:t>
      </w:r>
      <w:r>
        <w:rPr>
          <w:spacing w:val="16"/>
          <w:w w:val="116"/>
          <w:sz w:val="19"/>
        </w:rPr>
        <w:t>l</w:t>
      </w:r>
      <w:r>
        <w:rPr>
          <w:spacing w:val="-47"/>
          <w:w w:val="153"/>
          <w:sz w:val="65"/>
        </w:rPr>
        <w:t>l</w:t>
      </w:r>
      <w:r>
        <w:rPr>
          <w:w w:val="41"/>
          <w:sz w:val="65"/>
        </w:rPr>
        <w:t>..</w:t>
      </w:r>
      <w:r>
        <w:rPr>
          <w:spacing w:val="-109"/>
          <w:sz w:val="65"/>
        </w:rPr>
        <w:t> </w:t>
      </w:r>
      <w:r>
        <w:rPr>
          <w:w w:val="90"/>
          <w:sz w:val="28"/>
        </w:rPr>
        <w:t>=</w:t>
      </w:r>
      <w:r>
        <w:rPr>
          <w:spacing w:val="24"/>
          <w:sz w:val="28"/>
        </w:rPr>
        <w:t> </w:t>
      </w:r>
      <w:r>
        <w:rPr>
          <w:w w:val="116"/>
          <w:sz w:val="19"/>
        </w:rPr>
        <w:t>(</w:t>
      </w:r>
      <w:r>
        <w:rPr>
          <w:w w:val="116"/>
          <w:sz w:val="19"/>
        </w:rPr>
        <w:t>D</w:t>
      </w:r>
      <w:r>
        <w:rPr>
          <w:spacing w:val="-10"/>
          <w:w w:val="116"/>
          <w:sz w:val="19"/>
        </w:rPr>
        <w:t>,</w:t>
      </w:r>
      <w:r>
        <w:rPr>
          <w:w w:val="79"/>
          <w:sz w:val="19"/>
        </w:rPr>
        <w:t>+1</w:t>
      </w:r>
      <w:r>
        <w:rPr>
          <w:sz w:val="19"/>
        </w:rPr>
        <w:t> </w:t>
      </w:r>
      <w:r>
        <w:rPr>
          <w:spacing w:val="-12"/>
          <w:sz w:val="19"/>
        </w:rPr>
        <w:t> </w:t>
      </w:r>
      <w:r>
        <w:rPr>
          <w:w w:val="297"/>
          <w:sz w:val="19"/>
        </w:rPr>
        <w:t>-</w:t>
      </w:r>
      <w:r>
        <w:rPr>
          <w:spacing w:val="1"/>
          <w:sz w:val="19"/>
        </w:rPr>
        <w:t> </w:t>
      </w:r>
      <w:r>
        <w:rPr>
          <w:w w:val="117"/>
          <w:sz w:val="19"/>
        </w:rPr>
        <w:t>tD,..,</w:t>
      </w:r>
      <w:r>
        <w:rPr>
          <w:w w:val="117"/>
          <w:sz w:val="19"/>
        </w:rPr>
        <w:t>(¡,</w:t>
      </w:r>
      <w:r>
        <w:rPr>
          <w:spacing w:val="-4"/>
          <w:w w:val="117"/>
          <w:sz w:val="19"/>
        </w:rPr>
        <w:t>,</w:t>
      </w:r>
      <w:r>
        <w:rPr>
          <w:w w:val="83"/>
          <w:sz w:val="19"/>
        </w:rPr>
        <w:t>+1</w:t>
      </w:r>
      <w:r>
        <w:rPr>
          <w:sz w:val="19"/>
        </w:rPr>
        <w:t> </w:t>
      </w:r>
      <w:r>
        <w:rPr>
          <w:spacing w:val="-20"/>
          <w:sz w:val="19"/>
        </w:rPr>
        <w:t> </w:t>
      </w:r>
      <w:r>
        <w:rPr>
          <w:rFonts w:ascii="Arial" w:hAnsi="Arial"/>
          <w:w w:val="102"/>
          <w:sz w:val="32"/>
        </w:rPr>
        <w:t>+</w:t>
      </w:r>
      <w:r>
        <w:rPr>
          <w:rFonts w:ascii="Arial" w:hAnsi="Arial"/>
          <w:spacing w:val="-37"/>
          <w:sz w:val="32"/>
        </w:rPr>
        <w:t> </w:t>
      </w:r>
      <w:r>
        <w:rPr>
          <w:w w:val="86"/>
          <w:sz w:val="26"/>
        </w:rPr>
        <w:t>a</w:t>
      </w:r>
      <w:r>
        <w:rPr>
          <w:w w:val="86"/>
          <w:sz w:val="26"/>
        </w:rPr>
        <w:t>)</w:t>
      </w:r>
      <w:r>
        <w:rPr>
          <w:w w:val="86"/>
          <w:sz w:val="26"/>
        </w:rPr>
        <w:t>l</w:t>
      </w:r>
      <w:r>
        <w:rPr>
          <w:spacing w:val="-7"/>
          <w:w w:val="86"/>
          <w:sz w:val="26"/>
        </w:rPr>
        <w:t>,</w:t>
      </w:r>
      <w:r>
        <w:rPr>
          <w:w w:val="77"/>
          <w:sz w:val="26"/>
        </w:rPr>
        <w:t>-o</w:t>
      </w:r>
      <w:r>
        <w:rPr>
          <w:spacing w:val="18"/>
          <w:sz w:val="26"/>
        </w:rPr>
        <w:t> </w:t>
      </w:r>
      <w:r>
        <w:rPr>
          <w:w w:val="90"/>
          <w:sz w:val="28"/>
        </w:rPr>
        <w:t>=</w:t>
      </w:r>
      <w:r>
        <w:rPr>
          <w:spacing w:val="24"/>
          <w:sz w:val="28"/>
        </w:rPr>
        <w:t> </w:t>
      </w:r>
      <w:r>
        <w:rPr>
          <w:rFonts w:ascii="Arial" w:hAnsi="Arial"/>
          <w:i/>
          <w:w w:val="118"/>
          <w:sz w:val="21"/>
        </w:rPr>
        <w:t>D.,</w:t>
      </w:r>
    </w:p>
    <w:p>
      <w:pPr>
        <w:spacing w:before="127"/>
        <w:ind w:left="117" w:right="739" w:firstLine="0"/>
        <w:jc w:val="left"/>
        <w:rPr>
          <w:sz w:val="21"/>
        </w:rPr>
      </w:pPr>
      <w:r>
        <w:rPr>
          <w:sz w:val="21"/>
        </w:rPr>
        <w:t>this simplifies to</w:t>
      </w:r>
    </w:p>
    <w:p>
      <w:pPr>
        <w:spacing w:after="0"/>
        <w:jc w:val="left"/>
        <w:rPr>
          <w:sz w:val="21"/>
        </w:rPr>
        <w:sectPr>
          <w:type w:val="continuous"/>
          <w:pgSz w:w="7200" w:h="11340"/>
          <w:pgMar w:top="1100" w:bottom="0" w:left="660" w:right="560"/>
        </w:sectPr>
      </w:pPr>
    </w:p>
    <w:p>
      <w:pPr>
        <w:spacing w:before="63"/>
        <w:ind w:left="1654" w:right="0" w:firstLine="0"/>
        <w:jc w:val="left"/>
        <w:rPr>
          <w:sz w:val="20"/>
        </w:rPr>
      </w:pPr>
      <w:r>
        <w:rPr/>
        <w:pict>
          <v:shape style="position:absolute;margin-left:144.899994pt;margin-top:14.636848pt;width:106.15pt;height:10.5pt;mso-position-horizontal-relative:page;mso-position-vertical-relative:paragraph;z-index:-731152" type="#_x0000_t202" filled="false" stroked="false">
            <v:textbox inset="0,0,0,0">
              <w:txbxContent>
                <w:p>
                  <w:pPr>
                    <w:tabs>
                      <w:tab w:pos="773" w:val="left" w:leader="none"/>
                      <w:tab w:pos="1483" w:val="left" w:leader="none"/>
                    </w:tabs>
                    <w:spacing w:line="210" w:lineRule="exact" w:before="0"/>
                    <w:ind w:left="0" w:right="0" w:firstLine="0"/>
                    <w:jc w:val="left"/>
                    <w:rPr>
                      <w:sz w:val="20"/>
                    </w:rPr>
                  </w:pPr>
                  <w:r>
                    <w:rPr>
                      <w:w w:val="120"/>
                      <w:sz w:val="21"/>
                    </w:rPr>
                    <w:t>•</w:t>
                    <w:tab/>
                  </w:r>
                  <w:r>
                    <w:rPr>
                      <w:i/>
                      <w:sz w:val="21"/>
                    </w:rPr>
                    <w:t>a</w:t>
                  </w:r>
                  <w:r>
                    <w:rPr>
                      <w:i/>
                      <w:spacing w:val="44"/>
                      <w:sz w:val="21"/>
                    </w:rPr>
                    <w:t> </w:t>
                  </w:r>
                  <w:r>
                    <w:rPr>
                      <w:i/>
                      <w:sz w:val="14"/>
                    </w:rPr>
                    <w:t>z</w:t>
                    <w:tab/>
                  </w:r>
                  <w:r>
                    <w:rPr>
                      <w:sz w:val="20"/>
                      <w:u w:val="thick"/>
                    </w:rPr>
                    <w:t>12m2 </w:t>
                  </w:r>
                  <w:r>
                    <w:rPr>
                      <w:spacing w:val="23"/>
                      <w:sz w:val="20"/>
                      <w:u w:val="thick"/>
                    </w:rPr>
                    <w:t> </w:t>
                  </w:r>
                  <w:r>
                    <w:rPr>
                      <w:w w:val="120"/>
                      <w:sz w:val="20"/>
                    </w:rPr>
                    <w:t>.</w:t>
                  </w:r>
                </w:p>
              </w:txbxContent>
            </v:textbox>
            <w10:wrap type="none"/>
          </v:shape>
        </w:pict>
      </w:r>
      <w:r>
        <w:rPr>
          <w:b/>
          <w:i/>
          <w:w w:val="90"/>
          <w:sz w:val="21"/>
        </w:rPr>
        <w:t>( I </w:t>
      </w:r>
      <w:r>
        <w:rPr>
          <w:b/>
          <w:i/>
          <w:w w:val="90"/>
          <w:position w:val="2"/>
          <w:sz w:val="21"/>
        </w:rPr>
        <w:t>(m)a )! "'' </w:t>
      </w:r>
      <w:r>
        <w:rPr>
          <w:rFonts w:ascii="Arial"/>
          <w:spacing w:val="-29"/>
          <w:w w:val="90"/>
          <w:position w:val="2"/>
          <w:sz w:val="30"/>
        </w:rPr>
        <w:t>=. </w:t>
      </w:r>
      <w:r>
        <w:rPr>
          <w:rFonts w:ascii="Arial"/>
          <w:i/>
          <w:w w:val="80"/>
          <w:position w:val="2"/>
          <w:sz w:val="30"/>
        </w:rPr>
        <w:t>( </w:t>
      </w:r>
      <w:r>
        <w:rPr>
          <w:rFonts w:ascii="Arial"/>
          <w:i/>
          <w:w w:val="90"/>
          <w:position w:val="2"/>
          <w:sz w:val="30"/>
        </w:rPr>
        <w:t>] </w:t>
      </w:r>
      <w:r>
        <w:rPr>
          <w:rFonts w:ascii="Arial"/>
          <w:w w:val="90"/>
          <w:position w:val="2"/>
          <w:sz w:val="30"/>
        </w:rPr>
        <w:t>) </w:t>
      </w:r>
      <w:r>
        <w:rPr>
          <w:rFonts w:ascii="Arial"/>
          <w:w w:val="115"/>
          <w:position w:val="2"/>
          <w:sz w:val="32"/>
        </w:rPr>
        <w:t>+</w:t>
      </w:r>
      <w:r>
        <w:rPr>
          <w:rFonts w:ascii="Arial"/>
          <w:spacing w:val="-77"/>
          <w:w w:val="115"/>
          <w:position w:val="2"/>
          <w:sz w:val="32"/>
        </w:rPr>
        <w:t> </w:t>
      </w:r>
      <w:r>
        <w:rPr>
          <w:w w:val="115"/>
          <w:position w:val="11"/>
          <w:sz w:val="20"/>
        </w:rPr>
        <w:t>m</w:t>
      </w:r>
      <w:r>
        <w:rPr>
          <w:rFonts w:ascii="Arial"/>
          <w:w w:val="115"/>
          <w:position w:val="14"/>
          <w:sz w:val="11"/>
        </w:rPr>
        <w:t>2 </w:t>
      </w:r>
      <w:r>
        <w:rPr>
          <w:rFonts w:ascii="Arial"/>
          <w:w w:val="445"/>
          <w:position w:val="14"/>
          <w:sz w:val="11"/>
        </w:rPr>
        <w:t>-</w:t>
      </w:r>
      <w:r>
        <w:rPr>
          <w:rFonts w:ascii="Arial"/>
          <w:spacing w:val="-82"/>
          <w:w w:val="445"/>
          <w:position w:val="14"/>
          <w:sz w:val="11"/>
        </w:rPr>
        <w:t> </w:t>
      </w:r>
      <w:r>
        <w:rPr>
          <w:w w:val="115"/>
          <w:position w:val="14"/>
          <w:sz w:val="20"/>
        </w:rPr>
        <w:t>1</w:t>
      </w:r>
    </w:p>
    <w:p>
      <w:pPr>
        <w:pStyle w:val="BodyText"/>
        <w:spacing w:before="3"/>
        <w:rPr>
          <w:sz w:val="18"/>
        </w:rPr>
      </w:pPr>
      <w:r>
        <w:rPr/>
        <w:br w:type="column"/>
      </w:r>
      <w:r>
        <w:rPr>
          <w:sz w:val="18"/>
        </w:rPr>
      </w:r>
    </w:p>
    <w:p>
      <w:pPr>
        <w:spacing w:before="0"/>
        <w:ind w:left="933" w:right="0" w:firstLine="0"/>
        <w:jc w:val="left"/>
        <w:rPr>
          <w:b/>
          <w:sz w:val="20"/>
        </w:rPr>
      </w:pPr>
      <w:r>
        <w:rPr>
          <w:b/>
          <w:sz w:val="20"/>
        </w:rPr>
        <w:t>( 2.44)</w:t>
      </w:r>
    </w:p>
    <w:p>
      <w:pPr>
        <w:spacing w:after="0"/>
        <w:jc w:val="left"/>
        <w:rPr>
          <w:sz w:val="20"/>
        </w:rPr>
        <w:sectPr>
          <w:type w:val="continuous"/>
          <w:pgSz w:w="7200" w:h="11340"/>
          <w:pgMar w:top="1100" w:bottom="0" w:left="660" w:right="560"/>
          <w:cols w:num="2" w:equalWidth="0">
            <w:col w:w="4361" w:space="40"/>
            <w:col w:w="1579"/>
          </w:cols>
        </w:sectPr>
      </w:pPr>
    </w:p>
    <w:p>
      <w:pPr>
        <w:pStyle w:val="BodyText"/>
        <w:spacing w:before="5"/>
        <w:rPr>
          <w:b/>
          <w:sz w:val="14"/>
        </w:rPr>
      </w:pPr>
    </w:p>
    <w:p>
      <w:pPr>
        <w:spacing w:line="240" w:lineRule="auto" w:before="73"/>
        <w:ind w:left="114" w:right="138" w:firstLine="198"/>
        <w:jc w:val="both"/>
        <w:rPr>
          <w:sz w:val="21"/>
        </w:rPr>
      </w:pPr>
      <w:r>
        <w:rPr>
          <w:sz w:val="21"/>
        </w:rPr>
        <w:t>When the </w:t>
      </w:r>
      <w:r>
        <w:rPr>
          <w:rFonts w:ascii="Arial" w:hAnsi="Arial"/>
          <w:sz w:val="18"/>
        </w:rPr>
        <w:t>f</w:t>
      </w:r>
      <w:r>
        <w:rPr>
          <w:sz w:val="21"/>
        </w:rPr>
        <w:t>requency of payment </w:t>
      </w:r>
      <w:r>
        <w:rPr>
          <w:rFonts w:ascii="Arial" w:hAnsi="Arial"/>
          <w:i/>
          <w:sz w:val="18"/>
        </w:rPr>
        <w:t>m </w:t>
      </w:r>
      <w:r>
        <w:rPr>
          <w:sz w:val="21"/>
        </w:rPr>
        <w:t>becomes infinite in the above formulas, expressions for </w:t>
      </w:r>
      <w:r>
        <w:rPr>
          <w:i/>
          <w:sz w:val="19"/>
        </w:rPr>
        <w:t>continuous </w:t>
      </w:r>
      <w:r>
        <w:rPr>
          <w:sz w:val="21"/>
        </w:rPr>
        <w:t>varying annuities are obtained. Corresponding to the increasing annuity under which the rate of payment is constant during each year of age, we have the continu­ ous increasing annuity, with present value </w:t>
      </w:r>
      <w:r>
        <w:rPr>
          <w:i/>
          <w:sz w:val="20"/>
        </w:rPr>
        <w:t>(la)z  , </w:t>
      </w:r>
      <w:r>
        <w:rPr>
          <w:sz w:val="21"/>
        </w:rPr>
        <w:t>which  provides for payments  at the rate  of  1 pe: annum  at each moment  of   time</w:t>
      </w:r>
    </w:p>
    <w:p>
      <w:pPr>
        <w:spacing w:line="255" w:lineRule="exact" w:before="0"/>
        <w:ind w:left="117" w:right="0" w:firstLine="0"/>
        <w:jc w:val="left"/>
        <w:rPr>
          <w:sz w:val="21"/>
        </w:rPr>
      </w:pPr>
      <w:r>
        <w:rPr>
          <w:sz w:val="21"/>
        </w:rPr>
        <w:t>during the first year of  age </w:t>
      </w:r>
      <w:r>
        <w:rPr>
          <w:i/>
          <w:sz w:val="19"/>
        </w:rPr>
        <w:t>x  </w:t>
      </w:r>
      <w:r>
        <w:rPr>
          <w:sz w:val="21"/>
        </w:rPr>
        <w:t>to </w:t>
      </w:r>
      <w:r>
        <w:rPr>
          <w:i/>
          <w:sz w:val="19"/>
        </w:rPr>
        <w:t>x  </w:t>
      </w:r>
      <w:r>
        <w:rPr>
          <w:rFonts w:ascii="Arial"/>
          <w:sz w:val="31"/>
        </w:rPr>
        <w:t>+ </w:t>
      </w:r>
      <w:r>
        <w:rPr>
          <w:sz w:val="21"/>
        </w:rPr>
        <w:t>1, at the rate of 2 per    annum</w:t>
      </w:r>
    </w:p>
    <w:p>
      <w:pPr>
        <w:spacing w:line="231" w:lineRule="exact" w:before="0"/>
        <w:ind w:left="117" w:right="739" w:firstLine="0"/>
        <w:jc w:val="left"/>
        <w:rPr>
          <w:sz w:val="21"/>
        </w:rPr>
      </w:pPr>
      <w:r>
        <w:rPr>
          <w:sz w:val="21"/>
        </w:rPr>
        <w:t>during the second year,  and  so on. Thus,</w:t>
      </w:r>
    </w:p>
    <w:p>
      <w:pPr>
        <w:spacing w:before="87"/>
        <w:ind w:left="74" w:right="166" w:firstLine="0"/>
        <w:jc w:val="center"/>
        <w:rPr>
          <w:b/>
          <w:sz w:val="20"/>
        </w:rPr>
      </w:pPr>
      <w:r>
        <w:rPr>
          <w:b/>
          <w:i/>
          <w:w w:val="106"/>
          <w:sz w:val="21"/>
        </w:rPr>
        <w:t>(</w:t>
      </w:r>
      <w:r>
        <w:rPr>
          <w:b/>
          <w:i/>
          <w:w w:val="106"/>
          <w:sz w:val="21"/>
        </w:rPr>
        <w:t>li</w:t>
      </w:r>
      <w:r>
        <w:rPr>
          <w:b/>
          <w:i/>
          <w:spacing w:val="19"/>
          <w:w w:val="106"/>
          <w:sz w:val="21"/>
        </w:rPr>
        <w:t>i</w:t>
      </w:r>
      <w:r>
        <w:rPr>
          <w:b/>
          <w:i/>
          <w:w w:val="74"/>
          <w:sz w:val="21"/>
        </w:rPr>
        <w:t>)</w:t>
      </w:r>
      <w:r>
        <w:rPr>
          <w:b/>
          <w:i/>
          <w:w w:val="74"/>
          <w:sz w:val="21"/>
        </w:rPr>
        <w:t>z</w:t>
      </w:r>
      <w:r>
        <w:rPr>
          <w:b/>
          <w:i/>
          <w:sz w:val="21"/>
        </w:rPr>
        <w:t> </w:t>
      </w:r>
      <w:r>
        <w:rPr>
          <w:b/>
          <w:i/>
          <w:spacing w:val="11"/>
          <w:sz w:val="21"/>
        </w:rPr>
        <w:t> </w:t>
      </w:r>
      <w:r>
        <w:rPr>
          <w:w w:val="103"/>
          <w:sz w:val="24"/>
        </w:rPr>
        <w:t>=</w:t>
      </w:r>
      <w:r>
        <w:rPr>
          <w:sz w:val="24"/>
        </w:rPr>
        <w:t> </w:t>
      </w:r>
      <w:r>
        <w:rPr>
          <w:spacing w:val="16"/>
          <w:sz w:val="24"/>
        </w:rPr>
        <w:t> </w:t>
      </w:r>
      <w:r>
        <w:rPr>
          <w:b/>
          <w:w w:val="92"/>
          <w:sz w:val="21"/>
        </w:rPr>
        <w:t>lim</w:t>
      </w:r>
      <w:r>
        <w:rPr>
          <w:b/>
          <w:sz w:val="21"/>
        </w:rPr>
        <w:t>  </w:t>
      </w:r>
      <w:r>
        <w:rPr>
          <w:b/>
          <w:spacing w:val="-18"/>
          <w:sz w:val="21"/>
        </w:rPr>
        <w:t> </w:t>
      </w:r>
      <w:r>
        <w:rPr>
          <w:b/>
          <w:w w:val="117"/>
          <w:sz w:val="20"/>
        </w:rPr>
        <w:t>(</w:t>
      </w:r>
      <w:r>
        <w:rPr>
          <w:b/>
          <w:w w:val="117"/>
          <w:sz w:val="20"/>
        </w:rPr>
        <w:t>l</w:t>
      </w:r>
      <w:r>
        <w:rPr>
          <w:b/>
          <w:spacing w:val="22"/>
          <w:w w:val="117"/>
          <w:sz w:val="20"/>
        </w:rPr>
        <w:t>a</w:t>
      </w:r>
      <w:r>
        <w:rPr>
          <w:b/>
          <w:w w:val="52"/>
          <w:sz w:val="20"/>
        </w:rPr>
        <w:t>)</w:t>
      </w:r>
      <w:r>
        <w:rPr>
          <w:b/>
          <w:w w:val="52"/>
          <w:sz w:val="20"/>
        </w:rPr>
        <w:t>.z&lt;"'&gt;</w:t>
      </w:r>
      <w:r>
        <w:rPr>
          <w:b/>
          <w:spacing w:val="-15"/>
          <w:sz w:val="20"/>
        </w:rPr>
        <w:t> </w:t>
      </w:r>
      <w:r>
        <w:rPr>
          <w:b/>
          <w:w w:val="97"/>
          <w:sz w:val="20"/>
        </w:rPr>
        <w:t>.</w:t>
      </w:r>
    </w:p>
    <w:p>
      <w:pPr>
        <w:spacing w:before="16"/>
        <w:ind w:left="74" w:right="198" w:firstLine="0"/>
        <w:jc w:val="center"/>
        <w:rPr>
          <w:b/>
          <w:sz w:val="7"/>
        </w:rPr>
      </w:pPr>
      <w:r>
        <w:rPr>
          <w:b/>
          <w:w w:val="110"/>
          <w:sz w:val="7"/>
        </w:rPr>
        <w:t>111-+CO</w:t>
      </w:r>
    </w:p>
    <w:p>
      <w:pPr>
        <w:pStyle w:val="BodyText"/>
        <w:rPr>
          <w:b/>
          <w:sz w:val="6"/>
        </w:rPr>
      </w:pPr>
    </w:p>
    <w:p>
      <w:pPr>
        <w:pStyle w:val="BodyText"/>
        <w:spacing w:before="7"/>
        <w:rPr>
          <w:b/>
          <w:sz w:val="5"/>
        </w:rPr>
      </w:pPr>
    </w:p>
    <w:p>
      <w:pPr>
        <w:spacing w:line="242" w:lineRule="auto" w:before="1"/>
        <w:ind w:left="121" w:right="133" w:hanging="8"/>
        <w:jc w:val="left"/>
        <w:rPr>
          <w:sz w:val="21"/>
        </w:rPr>
      </w:pPr>
      <w:r>
        <w:rPr>
          <w:sz w:val="21"/>
        </w:rPr>
        <w:t>This function may </w:t>
      </w:r>
      <w:r>
        <w:rPr>
          <w:sz w:val="19"/>
        </w:rPr>
        <w:t>be </w:t>
      </w:r>
      <w:r>
        <w:rPr>
          <w:sz w:val="21"/>
        </w:rPr>
        <w:t>regarded as a sum of successively deferred level continuous annuities.  Then</w:t>
      </w:r>
    </w:p>
    <w:p>
      <w:pPr>
        <w:spacing w:line="118" w:lineRule="exact" w:before="51"/>
        <w:ind w:left="1485" w:right="1087" w:firstLine="0"/>
        <w:jc w:val="center"/>
        <w:rPr>
          <w:b/>
          <w:sz w:val="11"/>
        </w:rPr>
      </w:pPr>
      <w:r>
        <w:rPr/>
        <w:pict>
          <v:shape style="position:absolute;margin-left:187.020004pt;margin-top:6.467647pt;width:10.65pt;height:16.5pt;mso-position-horizontal-relative:page;mso-position-vertical-relative:paragraph;z-index:-731128" type="#_x0000_t202" filled="false" stroked="false">
            <v:textbox inset="0,0,0,0">
              <w:txbxContent>
                <w:p>
                  <w:pPr>
                    <w:spacing w:line="330" w:lineRule="exact" w:before="0"/>
                    <w:ind w:left="0" w:right="0" w:firstLine="0"/>
                    <w:jc w:val="left"/>
                    <w:rPr>
                      <w:i/>
                      <w:sz w:val="33"/>
                    </w:rPr>
                  </w:pPr>
                  <w:r>
                    <w:rPr>
                      <w:i/>
                      <w:w w:val="115"/>
                      <w:sz w:val="33"/>
                    </w:rPr>
                    <w:t>L</w:t>
                  </w:r>
                </w:p>
              </w:txbxContent>
            </v:textbox>
            <w10:wrap type="none"/>
          </v:shape>
        </w:pict>
      </w:r>
      <w:r>
        <w:rPr>
          <w:b/>
          <w:w w:val="95"/>
          <w:sz w:val="11"/>
        </w:rPr>
        <w:t>ao</w:t>
      </w:r>
    </w:p>
    <w:p>
      <w:pPr>
        <w:tabs>
          <w:tab w:pos="1072" w:val="left" w:leader="none"/>
        </w:tabs>
        <w:spacing w:line="226" w:lineRule="exact" w:before="0"/>
        <w:ind w:left="0" w:right="40" w:firstLine="0"/>
        <w:jc w:val="center"/>
        <w:rPr>
          <w:sz w:val="25"/>
        </w:rPr>
      </w:pPr>
      <w:r>
        <w:rPr>
          <w:i/>
          <w:spacing w:val="8"/>
          <w:w w:val="90"/>
          <w:sz w:val="25"/>
        </w:rPr>
        <w:t>Ua)z</w:t>
      </w:r>
      <w:r>
        <w:rPr>
          <w:i/>
          <w:spacing w:val="53"/>
          <w:w w:val="90"/>
          <w:sz w:val="25"/>
        </w:rPr>
        <w:t> </w:t>
      </w:r>
      <w:r>
        <w:rPr>
          <w:w w:val="90"/>
          <w:sz w:val="24"/>
        </w:rPr>
        <w:t>=</w:t>
        <w:tab/>
      </w:r>
      <w:r>
        <w:rPr>
          <w:w w:val="90"/>
          <w:sz w:val="25"/>
        </w:rPr>
        <w:t>,1a:r</w:t>
      </w:r>
    </w:p>
    <w:p>
      <w:pPr>
        <w:spacing w:line="154" w:lineRule="exact" w:before="0"/>
        <w:ind w:left="1485" w:right="1075" w:firstLine="0"/>
        <w:jc w:val="center"/>
        <w:rPr>
          <w:b/>
          <w:sz w:val="18"/>
        </w:rPr>
      </w:pPr>
      <w:r>
        <w:rPr>
          <w:b/>
          <w:w w:val="115"/>
          <w:sz w:val="18"/>
        </w:rPr>
        <w:t>,-o</w:t>
      </w:r>
    </w:p>
    <w:p>
      <w:pPr>
        <w:spacing w:line="262" w:lineRule="exact" w:before="96"/>
        <w:ind w:left="1485" w:right="893" w:firstLine="0"/>
        <w:jc w:val="center"/>
        <w:rPr>
          <w:b/>
          <w:i/>
          <w:sz w:val="19"/>
        </w:rPr>
      </w:pPr>
      <w:r>
        <w:rPr/>
        <w:pict>
          <v:line style="position:absolute;mso-position-horizontal-relative:page;mso-position-vertical-relative:paragraph;z-index:-731248" from="187.020004pt,19.546719pt" to="219.420004pt,19.546719pt" stroked="true" strokeweight="4.5pt" strokecolor="#000000">
            <w10:wrap type="none"/>
          </v:line>
        </w:pict>
      </w:r>
      <w:r>
        <w:rPr>
          <w:w w:val="95"/>
          <w:sz w:val="26"/>
        </w:rPr>
        <w:t>= </w:t>
      </w:r>
      <w:r>
        <w:rPr>
          <w:b/>
          <w:i/>
          <w:w w:val="140"/>
          <w:sz w:val="19"/>
        </w:rPr>
        <w:t>f  </w:t>
      </w:r>
      <w:r>
        <w:rPr>
          <w:b/>
          <w:i/>
          <w:w w:val="110"/>
          <w:sz w:val="19"/>
        </w:rPr>
        <w:t>Ñ </w:t>
      </w:r>
      <w:r>
        <w:rPr>
          <w:b/>
          <w:i/>
          <w:w w:val="95"/>
          <w:sz w:val="19"/>
        </w:rPr>
        <w:t>z+c</w:t>
      </w:r>
    </w:p>
    <w:p>
      <w:pPr>
        <w:spacing w:line="228" w:lineRule="exact" w:before="0"/>
        <w:ind w:left="1485" w:right="541" w:firstLine="0"/>
        <w:jc w:val="center"/>
        <w:rPr>
          <w:sz w:val="23"/>
        </w:rPr>
      </w:pPr>
      <w:r>
        <w:rPr>
          <w:b/>
          <w:w w:val="110"/>
          <w:sz w:val="18"/>
        </w:rPr>
        <w:t>,-o  </w:t>
      </w:r>
      <w:r>
        <w:rPr>
          <w:i/>
          <w:spacing w:val="6"/>
          <w:sz w:val="23"/>
        </w:rPr>
        <w:t>D7 </w:t>
      </w:r>
      <w:r>
        <w:rPr>
          <w:w w:val="110"/>
          <w:sz w:val="23"/>
        </w:rPr>
        <w:t>'</w:t>
      </w:r>
    </w:p>
    <w:p>
      <w:pPr>
        <w:spacing w:after="0" w:line="228" w:lineRule="exact"/>
        <w:jc w:val="center"/>
        <w:rPr>
          <w:sz w:val="23"/>
        </w:rPr>
        <w:sectPr>
          <w:type w:val="continuous"/>
          <w:pgSz w:w="7200" w:h="11340"/>
          <w:pgMar w:top="1100" w:bottom="0" w:left="660" w:right="560"/>
        </w:sectPr>
      </w:pPr>
    </w:p>
    <w:p>
      <w:pPr>
        <w:spacing w:before="77"/>
        <w:ind w:left="108" w:right="-13" w:firstLine="0"/>
        <w:jc w:val="left"/>
        <w:rPr>
          <w:rFonts w:ascii="Arial"/>
          <w:b/>
          <w:sz w:val="19"/>
        </w:rPr>
      </w:pPr>
      <w:r>
        <w:rPr>
          <w:b/>
          <w:color w:val="010101"/>
          <w:w w:val="105"/>
          <w:sz w:val="15"/>
        </w:rPr>
        <w:t>SEC. </w:t>
      </w:r>
      <w:r>
        <w:rPr>
          <w:rFonts w:ascii="Arial"/>
          <w:b/>
          <w:color w:val="010101"/>
          <w:w w:val="105"/>
          <w:sz w:val="19"/>
        </w:rPr>
        <w:t>6]</w:t>
      </w:r>
    </w:p>
    <w:p>
      <w:pPr>
        <w:pStyle w:val="BodyText"/>
        <w:spacing w:before="2"/>
        <w:rPr>
          <w:rFonts w:ascii="Arial"/>
          <w:b/>
          <w:sz w:val="22"/>
        </w:rPr>
      </w:pPr>
    </w:p>
    <w:p>
      <w:pPr>
        <w:pStyle w:val="BodyText"/>
        <w:ind w:left="129" w:right="-13"/>
      </w:pPr>
      <w:r>
        <w:rPr>
          <w:color w:val="010101"/>
          <w:w w:val="110"/>
        </w:rPr>
        <w:t>and, letting</w:t>
      </w:r>
    </w:p>
    <w:p>
      <w:pPr>
        <w:tabs>
          <w:tab w:pos="4701" w:val="right" w:leader="none"/>
        </w:tabs>
        <w:spacing w:before="57"/>
        <w:ind w:left="-18" w:right="0" w:firstLine="0"/>
        <w:jc w:val="left"/>
        <w:rPr>
          <w:rFonts w:ascii="Courier New"/>
          <w:sz w:val="22"/>
        </w:rPr>
      </w:pPr>
      <w:r>
        <w:rPr/>
        <w:br w:type="column"/>
      </w:r>
      <w:r>
        <w:rPr>
          <w:b/>
          <w:color w:val="010101"/>
          <w:sz w:val="15"/>
        </w:rPr>
        <w:t>VARIATIONS   </w:t>
      </w:r>
      <w:r>
        <w:rPr>
          <w:color w:val="010101"/>
          <w:sz w:val="16"/>
        </w:rPr>
        <w:t>IN   </w:t>
      </w:r>
      <w:r>
        <w:rPr>
          <w:b/>
          <w:color w:val="010101"/>
          <w:sz w:val="15"/>
        </w:rPr>
        <w:t>INTEREST </w:t>
      </w:r>
      <w:r>
        <w:rPr>
          <w:b/>
          <w:color w:val="010101"/>
          <w:spacing w:val="22"/>
          <w:sz w:val="15"/>
        </w:rPr>
        <w:t> </w:t>
      </w:r>
      <w:r>
        <w:rPr>
          <w:b/>
          <w:color w:val="010101"/>
          <w:sz w:val="15"/>
        </w:rPr>
        <w:t>AND </w:t>
      </w:r>
      <w:r>
        <w:rPr>
          <w:b/>
          <w:color w:val="010101"/>
          <w:spacing w:val="27"/>
          <w:sz w:val="15"/>
        </w:rPr>
        <w:t> </w:t>
      </w:r>
      <w:r>
        <w:rPr>
          <w:b/>
          <w:color w:val="010101"/>
          <w:sz w:val="15"/>
        </w:rPr>
        <w:t>MORTALITY</w:t>
      </w:r>
      <w:r>
        <w:rPr>
          <w:rFonts w:ascii="Courier New"/>
          <w:color w:val="010101"/>
          <w:sz w:val="22"/>
        </w:rPr>
        <w:tab/>
      </w:r>
      <w:r>
        <w:rPr>
          <w:rFonts w:ascii="Courier New"/>
          <w:color w:val="010101"/>
          <w:spacing w:val="-16"/>
          <w:sz w:val="22"/>
        </w:rPr>
        <w:t>55</w:t>
      </w:r>
    </w:p>
    <w:p>
      <w:pPr>
        <w:spacing w:after="0"/>
        <w:jc w:val="left"/>
        <w:rPr>
          <w:rFonts w:ascii="Courier New"/>
          <w:sz w:val="22"/>
        </w:rPr>
        <w:sectPr>
          <w:pgSz w:w="7200" w:h="11340"/>
          <w:pgMar w:top="500" w:bottom="280" w:left="620" w:right="580"/>
          <w:cols w:num="2" w:equalWidth="0">
            <w:col w:w="1126" w:space="40"/>
            <w:col w:w="4834"/>
          </w:cols>
        </w:sectPr>
      </w:pPr>
    </w:p>
    <w:p>
      <w:pPr>
        <w:spacing w:before="639"/>
        <w:ind w:left="115" w:right="-18" w:firstLine="0"/>
        <w:jc w:val="left"/>
        <w:rPr>
          <w:sz w:val="22"/>
        </w:rPr>
      </w:pPr>
      <w:r>
        <w:rPr>
          <w:rFonts w:ascii="Arial"/>
          <w:color w:val="010101"/>
          <w:w w:val="95"/>
          <w:sz w:val="18"/>
        </w:rPr>
        <w:t>we</w:t>
      </w:r>
      <w:r>
        <w:rPr>
          <w:rFonts w:ascii="Arial"/>
          <w:color w:val="010101"/>
          <w:spacing w:val="-23"/>
          <w:w w:val="95"/>
          <w:sz w:val="18"/>
        </w:rPr>
        <w:t> </w:t>
      </w:r>
      <w:r>
        <w:rPr>
          <w:color w:val="010101"/>
          <w:w w:val="95"/>
          <w:sz w:val="22"/>
        </w:rPr>
        <w:t>ha.ve</w:t>
      </w:r>
    </w:p>
    <w:p>
      <w:pPr>
        <w:pStyle w:val="BodyText"/>
        <w:spacing w:before="7"/>
        <w:rPr>
          <w:sz w:val="7"/>
        </w:rPr>
      </w:pPr>
      <w:r>
        <w:rPr/>
        <w:br w:type="column"/>
      </w:r>
      <w:r>
        <w:rPr>
          <w:sz w:val="7"/>
        </w:rPr>
      </w:r>
    </w:p>
    <w:p>
      <w:pPr>
        <w:pStyle w:val="BodyText"/>
        <w:ind w:left="115" w:right="-40"/>
      </w:pPr>
      <w:r>
        <w:rPr/>
        <w:drawing>
          <wp:inline distT="0" distB="0" distL="0" distR="0">
            <wp:extent cx="822959" cy="292608"/>
            <wp:effectExtent l="0" t="0" r="0" b="0"/>
            <wp:docPr id="113" name="image61.png" descr=""/>
            <wp:cNvGraphicFramePr>
              <a:graphicFrameLocks noChangeAspect="1"/>
            </wp:cNvGraphicFramePr>
            <a:graphic>
              <a:graphicData uri="http://schemas.openxmlformats.org/drawingml/2006/picture">
                <pic:pic>
                  <pic:nvPicPr>
                    <pic:cNvPr id="114" name="image61.png"/>
                    <pic:cNvPicPr/>
                  </pic:nvPicPr>
                  <pic:blipFill>
                    <a:blip r:embed="rId65" cstate="print"/>
                    <a:stretch>
                      <a:fillRect/>
                    </a:stretch>
                  </pic:blipFill>
                  <pic:spPr>
                    <a:xfrm>
                      <a:off x="0" y="0"/>
                      <a:ext cx="822959" cy="292608"/>
                    </a:xfrm>
                    <a:prstGeom prst="rect">
                      <a:avLst/>
                    </a:prstGeom>
                  </pic:spPr>
                </pic:pic>
              </a:graphicData>
            </a:graphic>
          </wp:inline>
        </w:drawing>
      </w:r>
      <w:r>
        <w:rPr/>
      </w:r>
    </w:p>
    <w:p>
      <w:pPr>
        <w:pStyle w:val="BodyText"/>
        <w:rPr>
          <w:sz w:val="26"/>
        </w:rPr>
      </w:pPr>
    </w:p>
    <w:p>
      <w:pPr>
        <w:tabs>
          <w:tab w:pos="1249" w:val="left" w:leader="none"/>
        </w:tabs>
        <w:spacing w:before="222"/>
        <w:ind w:left="227" w:right="0" w:firstLine="0"/>
        <w:jc w:val="left"/>
        <w:rPr>
          <w:sz w:val="26"/>
        </w:rPr>
      </w:pPr>
      <w:r>
        <w:rPr>
          <w:b/>
          <w:color w:val="010101"/>
          <w:sz w:val="21"/>
        </w:rPr>
        <w:t>(lá)z </w:t>
      </w:r>
      <w:r>
        <w:rPr>
          <w:b/>
          <w:color w:val="010101"/>
          <w:spacing w:val="11"/>
          <w:sz w:val="21"/>
        </w:rPr>
        <w:t> </w:t>
      </w:r>
      <w:r>
        <w:rPr>
          <w:color w:val="010101"/>
          <w:w w:val="85"/>
          <w:sz w:val="26"/>
        </w:rPr>
        <w:t>=</w:t>
        <w:tab/>
        <w:t>-</w:t>
      </w:r>
    </w:p>
    <w:p>
      <w:pPr>
        <w:pStyle w:val="BodyText"/>
      </w:pPr>
      <w:r>
        <w:rPr/>
        <w:br w:type="column"/>
      </w:r>
      <w:r>
        <w:rPr/>
      </w:r>
    </w:p>
    <w:p>
      <w:pPr>
        <w:pStyle w:val="BodyText"/>
      </w:pPr>
    </w:p>
    <w:p>
      <w:pPr>
        <w:pStyle w:val="BodyText"/>
      </w:pPr>
    </w:p>
    <w:p>
      <w:pPr>
        <w:pStyle w:val="BodyText"/>
      </w:pPr>
    </w:p>
    <w:p>
      <w:pPr>
        <w:pStyle w:val="BodyText"/>
        <w:spacing w:before="155"/>
        <w:ind w:left="115"/>
      </w:pPr>
      <w:r>
        <w:rPr>
          <w:color w:val="010101"/>
          <w:w w:val="105"/>
        </w:rPr>
        <w:t>(2.45)</w:t>
      </w:r>
    </w:p>
    <w:p>
      <w:pPr>
        <w:spacing w:after="0"/>
        <w:sectPr>
          <w:type w:val="continuous"/>
          <w:pgSz w:w="7200" w:h="11340"/>
          <w:pgMar w:top="1100" w:bottom="0" w:left="620" w:right="580"/>
          <w:cols w:num="3" w:equalWidth="0">
            <w:col w:w="807" w:space="1424"/>
            <w:col w:w="1412" w:space="1570"/>
            <w:col w:w="787"/>
          </w:cols>
        </w:sectPr>
      </w:pPr>
    </w:p>
    <w:p>
      <w:pPr>
        <w:pStyle w:val="BodyText"/>
        <w:spacing w:before="10"/>
        <w:rPr>
          <w:sz w:val="10"/>
        </w:rPr>
      </w:pPr>
    </w:p>
    <w:p>
      <w:pPr>
        <w:pStyle w:val="BodyText"/>
        <w:spacing w:before="74"/>
        <w:ind w:left="126"/>
        <w:rPr>
          <w:i/>
          <w:sz w:val="19"/>
        </w:rPr>
      </w:pPr>
      <w:r>
        <w:rPr>
          <w:color w:val="010101"/>
          <w:w w:val="105"/>
        </w:rPr>
        <w:t>An approximate  formula for  </w:t>
      </w:r>
      <w:r>
        <w:rPr>
          <w:i/>
          <w:color w:val="010101"/>
          <w:w w:val="105"/>
          <w:sz w:val="19"/>
        </w:rPr>
        <w:t>(Ia )z  </w:t>
      </w:r>
      <w:r>
        <w:rPr>
          <w:color w:val="010101"/>
          <w:w w:val="105"/>
        </w:rPr>
        <w:t>may  </w:t>
      </w:r>
      <w:r>
        <w:rPr>
          <w:color w:val="010101"/>
          <w:w w:val="105"/>
          <w:sz w:val="19"/>
        </w:rPr>
        <w:t>be </w:t>
      </w:r>
      <w:r>
        <w:rPr>
          <w:color w:val="010101"/>
          <w:w w:val="105"/>
        </w:rPr>
        <w:t>obtained  by  letting  </w:t>
      </w:r>
      <w:r>
        <w:rPr>
          <w:i/>
          <w:color w:val="010101"/>
          <w:w w:val="105"/>
          <w:sz w:val="19"/>
        </w:rPr>
        <w:t>m</w:t>
      </w:r>
    </w:p>
    <w:p>
      <w:pPr>
        <w:spacing w:before="11"/>
        <w:ind w:left="133" w:right="0" w:firstLine="0"/>
        <w:jc w:val="left"/>
        <w:rPr>
          <w:sz w:val="20"/>
        </w:rPr>
      </w:pPr>
      <w:r>
        <w:rPr>
          <w:color w:val="010101"/>
          <w:w w:val="98"/>
          <w:sz w:val="20"/>
        </w:rPr>
        <w:t>become</w:t>
      </w:r>
      <w:r>
        <w:rPr>
          <w:color w:val="010101"/>
          <w:sz w:val="20"/>
        </w:rPr>
        <w:t> </w:t>
      </w:r>
      <w:r>
        <w:rPr>
          <w:color w:val="010101"/>
          <w:spacing w:val="-20"/>
          <w:sz w:val="20"/>
        </w:rPr>
        <w:t> </w:t>
      </w:r>
      <w:r>
        <w:rPr>
          <w:color w:val="010101"/>
          <w:w w:val="101"/>
          <w:sz w:val="20"/>
        </w:rPr>
        <w:t>infinite</w:t>
      </w:r>
      <w:r>
        <w:rPr>
          <w:color w:val="010101"/>
          <w:spacing w:val="21"/>
          <w:sz w:val="20"/>
        </w:rPr>
        <w:t> </w:t>
      </w:r>
      <w:r>
        <w:rPr>
          <w:color w:val="010101"/>
          <w:w w:val="101"/>
          <w:sz w:val="20"/>
        </w:rPr>
        <w:t>in</w:t>
      </w:r>
      <w:r>
        <w:rPr>
          <w:color w:val="010101"/>
          <w:spacing w:val="17"/>
          <w:sz w:val="20"/>
        </w:rPr>
        <w:t> </w:t>
      </w:r>
      <w:r>
        <w:rPr>
          <w:color w:val="010101"/>
          <w:w w:val="103"/>
          <w:sz w:val="20"/>
        </w:rPr>
        <w:t>formula</w:t>
      </w:r>
      <w:r>
        <w:rPr>
          <w:color w:val="010101"/>
          <w:sz w:val="20"/>
        </w:rPr>
        <w:t> </w:t>
      </w:r>
      <w:r>
        <w:rPr>
          <w:color w:val="010101"/>
          <w:spacing w:val="2"/>
          <w:sz w:val="20"/>
        </w:rPr>
        <w:t> </w:t>
      </w:r>
      <w:r>
        <w:rPr>
          <w:color w:val="010101"/>
          <w:w w:val="105"/>
          <w:sz w:val="19"/>
        </w:rPr>
        <w:t>(2.43)</w:t>
      </w:r>
      <w:r>
        <w:rPr>
          <w:color w:val="010101"/>
          <w:sz w:val="19"/>
        </w:rPr>
        <w:t> </w:t>
      </w:r>
      <w:r>
        <w:rPr>
          <w:color w:val="010101"/>
          <w:spacing w:val="-15"/>
          <w:sz w:val="19"/>
        </w:rPr>
        <w:t> </w:t>
      </w:r>
      <w:r>
        <w:rPr>
          <w:color w:val="010101"/>
          <w:w w:val="103"/>
          <w:sz w:val="20"/>
        </w:rPr>
        <w:t>for</w:t>
      </w:r>
      <w:r>
        <w:rPr>
          <w:color w:val="010101"/>
          <w:sz w:val="20"/>
        </w:rPr>
        <w:t> </w:t>
      </w:r>
      <w:r>
        <w:rPr>
          <w:color w:val="010101"/>
          <w:spacing w:val="-6"/>
          <w:sz w:val="20"/>
        </w:rPr>
        <w:t> </w:t>
      </w:r>
      <w:r>
        <w:rPr>
          <w:rFonts w:ascii="Arial" w:hAnsi="Arial"/>
          <w:i/>
          <w:color w:val="010101"/>
          <w:w w:val="131"/>
          <w:sz w:val="19"/>
        </w:rPr>
        <w:t>(</w:t>
      </w:r>
      <w:r>
        <w:rPr>
          <w:rFonts w:ascii="Arial" w:hAnsi="Arial"/>
          <w:i/>
          <w:color w:val="010101"/>
          <w:w w:val="131"/>
          <w:sz w:val="19"/>
        </w:rPr>
        <w:t>l</w:t>
      </w:r>
      <w:r>
        <w:rPr>
          <w:rFonts w:ascii="Arial" w:hAnsi="Arial"/>
          <w:i/>
          <w:color w:val="010101"/>
          <w:spacing w:val="1"/>
          <w:w w:val="131"/>
          <w:sz w:val="19"/>
        </w:rPr>
        <w:t>a</w:t>
      </w:r>
      <w:r>
        <w:rPr>
          <w:rFonts w:ascii="Arial" w:hAnsi="Arial"/>
          <w:i/>
          <w:color w:val="010101"/>
          <w:w w:val="173"/>
          <w:sz w:val="19"/>
        </w:rPr>
        <w:t>)</w:t>
      </w:r>
      <w:r>
        <w:rPr>
          <w:rFonts w:ascii="Arial" w:hAnsi="Arial"/>
          <w:i/>
          <w:color w:val="010101"/>
          <w:spacing w:val="-23"/>
          <w:sz w:val="19"/>
        </w:rPr>
        <w:t> </w:t>
      </w:r>
      <w:r>
        <w:rPr>
          <w:rFonts w:ascii="Arial" w:hAnsi="Arial"/>
          <w:i/>
          <w:color w:val="010101"/>
          <w:spacing w:val="-33"/>
          <w:w w:val="210"/>
          <w:sz w:val="19"/>
        </w:rPr>
        <w:t>•</w:t>
      </w:r>
      <w:r>
        <w:rPr>
          <w:rFonts w:ascii="Arial" w:hAnsi="Arial"/>
          <w:i/>
          <w:color w:val="010101"/>
          <w:w w:val="33"/>
          <w:sz w:val="19"/>
        </w:rPr>
        <w:t>&gt;</w:t>
      </w:r>
      <w:r>
        <w:rPr>
          <w:rFonts w:ascii="Arial" w:hAnsi="Arial"/>
          <w:i/>
          <w:color w:val="010101"/>
          <w:spacing w:val="-30"/>
          <w:sz w:val="19"/>
        </w:rPr>
        <w:t> </w:t>
      </w:r>
      <w:r>
        <w:rPr>
          <w:rFonts w:ascii="Arial" w:hAnsi="Arial"/>
          <w:i/>
          <w:color w:val="010101"/>
          <w:w w:val="122"/>
          <w:sz w:val="19"/>
        </w:rPr>
        <w:t>.</w:t>
      </w:r>
      <w:r>
        <w:rPr>
          <w:rFonts w:ascii="Arial" w:hAnsi="Arial"/>
          <w:i/>
          <w:color w:val="010101"/>
          <w:spacing w:val="-7"/>
          <w:sz w:val="19"/>
        </w:rPr>
        <w:t> </w:t>
      </w:r>
      <w:r>
        <w:rPr>
          <w:color w:val="010101"/>
          <w:spacing w:val="5"/>
          <w:w w:val="104"/>
          <w:sz w:val="19"/>
        </w:rPr>
        <w:t>W</w:t>
      </w:r>
      <w:r>
        <w:rPr>
          <w:color w:val="010101"/>
          <w:w w:val="111"/>
          <w:sz w:val="20"/>
        </w:rPr>
        <w:t>e</w:t>
      </w:r>
      <w:r>
        <w:rPr>
          <w:color w:val="010101"/>
          <w:spacing w:val="1"/>
          <w:sz w:val="20"/>
        </w:rPr>
        <w:t> </w:t>
      </w:r>
      <w:r>
        <w:rPr>
          <w:color w:val="010101"/>
          <w:w w:val="110"/>
          <w:sz w:val="20"/>
        </w:rPr>
        <w:t>thus</w:t>
      </w:r>
      <w:r>
        <w:rPr>
          <w:color w:val="010101"/>
          <w:spacing w:val="14"/>
          <w:sz w:val="20"/>
        </w:rPr>
        <w:t> </w:t>
      </w:r>
      <w:r>
        <w:rPr>
          <w:color w:val="010101"/>
          <w:w w:val="106"/>
          <w:sz w:val="20"/>
        </w:rPr>
        <w:t>obtain</w:t>
      </w:r>
    </w:p>
    <w:p>
      <w:pPr>
        <w:pStyle w:val="BodyText"/>
        <w:spacing w:before="11"/>
        <w:rPr>
          <w:sz w:val="10"/>
        </w:rPr>
      </w:pPr>
      <w:r>
        <w:rPr/>
        <w:drawing>
          <wp:anchor distT="0" distB="0" distL="0" distR="0" allowOverlap="1" layoutInCell="1" locked="0" behindDoc="0" simplePos="0" relativeHeight="4984">
            <wp:simplePos x="0" y="0"/>
            <wp:positionH relativeFrom="page">
              <wp:posOffset>1289303</wp:posOffset>
            </wp:positionH>
            <wp:positionV relativeFrom="paragraph">
              <wp:posOffset>104811</wp:posOffset>
            </wp:positionV>
            <wp:extent cx="2029968" cy="676655"/>
            <wp:effectExtent l="0" t="0" r="0" b="0"/>
            <wp:wrapTopAndBottom/>
            <wp:docPr id="115" name="image62.png" descr=""/>
            <wp:cNvGraphicFramePr>
              <a:graphicFrameLocks noChangeAspect="1"/>
            </wp:cNvGraphicFramePr>
            <a:graphic>
              <a:graphicData uri="http://schemas.openxmlformats.org/drawingml/2006/picture">
                <pic:pic>
                  <pic:nvPicPr>
                    <pic:cNvPr id="116" name="image62.png"/>
                    <pic:cNvPicPr/>
                  </pic:nvPicPr>
                  <pic:blipFill>
                    <a:blip r:embed="rId66" cstate="print"/>
                    <a:stretch>
                      <a:fillRect/>
                    </a:stretch>
                  </pic:blipFill>
                  <pic:spPr>
                    <a:xfrm>
                      <a:off x="0" y="0"/>
                      <a:ext cx="2029968" cy="676655"/>
                    </a:xfrm>
                    <a:prstGeom prst="rect">
                      <a:avLst/>
                    </a:prstGeom>
                  </pic:spPr>
                </pic:pic>
              </a:graphicData>
            </a:graphic>
          </wp:anchor>
        </w:drawing>
      </w:r>
    </w:p>
    <w:p>
      <w:pPr>
        <w:pStyle w:val="BodyText"/>
        <w:spacing w:before="24"/>
        <w:ind w:left="140" w:right="241" w:hanging="4"/>
      </w:pPr>
      <w:r>
        <w:rPr>
          <w:color w:val="010101"/>
        </w:rPr>
        <w:t>This result indicates that approximate values of </w:t>
      </w:r>
      <w:r>
        <w:rPr>
          <w:i/>
          <w:color w:val="010101"/>
          <w:sz w:val="27"/>
        </w:rPr>
        <w:t>Bz </w:t>
      </w:r>
      <w:r>
        <w:rPr>
          <w:color w:val="010101"/>
        </w:rPr>
        <w:t>may be  calcu­ lated  from</w:t>
      </w:r>
    </w:p>
    <w:p>
      <w:pPr>
        <w:spacing w:before="30"/>
        <w:ind w:left="98" w:right="84" w:firstLine="0"/>
        <w:jc w:val="center"/>
        <w:rPr>
          <w:b/>
          <w:i/>
          <w:sz w:val="21"/>
        </w:rPr>
      </w:pPr>
      <w:r>
        <w:rPr>
          <w:b/>
          <w:i/>
          <w:color w:val="010101"/>
          <w:sz w:val="26"/>
        </w:rPr>
        <w:t>Sz </w:t>
      </w:r>
      <w:r>
        <w:rPr>
          <w:rFonts w:ascii="Arial"/>
          <w:color w:val="010101"/>
          <w:sz w:val="21"/>
        </w:rPr>
        <w:t>=; </w:t>
      </w:r>
      <w:r>
        <w:rPr>
          <w:b/>
          <w:i/>
          <w:color w:val="010101"/>
          <w:sz w:val="21"/>
        </w:rPr>
        <w:t>Sx </w:t>
      </w:r>
      <w:r>
        <w:rPr>
          <w:color w:val="010101"/>
          <w:w w:val="240"/>
          <w:sz w:val="21"/>
        </w:rPr>
        <w:t>-</w:t>
      </w:r>
      <w:r>
        <w:rPr>
          <w:color w:val="010101"/>
          <w:spacing w:val="-61"/>
          <w:w w:val="240"/>
          <w:sz w:val="21"/>
        </w:rPr>
        <w:t> </w:t>
      </w:r>
      <w:r>
        <w:rPr>
          <w:b/>
          <w:i/>
          <w:color w:val="010101"/>
          <w:sz w:val="21"/>
        </w:rPr>
        <w:t>}Nz .</w:t>
      </w:r>
    </w:p>
    <w:p>
      <w:pPr>
        <w:pStyle w:val="BodyText"/>
        <w:spacing w:line="240" w:lineRule="atLeast" w:before="106"/>
        <w:ind w:left="140" w:right="123" w:firstLine="204"/>
        <w:jc w:val="both"/>
      </w:pPr>
      <w:r>
        <w:rPr>
          <w:color w:val="010101"/>
          <w:w w:val="105"/>
        </w:rPr>
        <w:t>Corresponding to the type of  increasing  annuity  under  which the rate of payment increases during each year of age, we have the continuous increasing annuity, with present value </w:t>
      </w:r>
      <w:r>
        <w:rPr>
          <w:i/>
          <w:color w:val="010101"/>
          <w:w w:val="105"/>
          <w:sz w:val="19"/>
        </w:rPr>
        <w:t>(la)z , </w:t>
      </w:r>
      <w:r>
        <w:rPr>
          <w:color w:val="010101"/>
          <w:w w:val="105"/>
        </w:rPr>
        <w:t>which provides for payments at the rate of </w:t>
      </w:r>
      <w:r>
        <w:rPr>
          <w:rFonts w:ascii="Arial"/>
          <w:i/>
          <w:color w:val="010101"/>
          <w:w w:val="105"/>
          <w:sz w:val="17"/>
        </w:rPr>
        <w:t>t </w:t>
      </w:r>
      <w:r>
        <w:rPr>
          <w:color w:val="010101"/>
          <w:w w:val="105"/>
        </w:rPr>
        <w:t>per annum at the moment    of</w:t>
      </w:r>
    </w:p>
    <w:p>
      <w:pPr>
        <w:pStyle w:val="BodyText"/>
        <w:spacing w:line="261" w:lineRule="exact"/>
        <w:ind w:left="140"/>
      </w:pPr>
      <w:r>
        <w:rPr>
          <w:color w:val="010101"/>
          <w:w w:val="105"/>
        </w:rPr>
        <w:t>attaining age </w:t>
      </w:r>
      <w:r>
        <w:rPr>
          <w:rFonts w:ascii="Arial" w:hAnsi="Arial"/>
          <w:i/>
          <w:color w:val="010101"/>
          <w:w w:val="105"/>
          <w:sz w:val="17"/>
        </w:rPr>
        <w:t>x  </w:t>
      </w:r>
      <w:r>
        <w:rPr>
          <w:rFonts w:ascii="Arial" w:hAnsi="Arial"/>
          <w:color w:val="010101"/>
          <w:w w:val="105"/>
          <w:sz w:val="32"/>
        </w:rPr>
        <w:t>+ </w:t>
      </w:r>
      <w:r>
        <w:rPr>
          <w:i/>
          <w:color w:val="010101"/>
          <w:w w:val="105"/>
          <w:sz w:val="22"/>
        </w:rPr>
        <w:t>t. </w:t>
      </w:r>
      <w:r>
        <w:rPr>
          <w:color w:val="010101"/>
          <w:w w:val="105"/>
        </w:rPr>
        <w:t>The present value may be expressed in the fol­</w:t>
      </w:r>
    </w:p>
    <w:p>
      <w:pPr>
        <w:pStyle w:val="BodyText"/>
        <w:spacing w:line="225" w:lineRule="exact"/>
        <w:ind w:left="144"/>
      </w:pPr>
      <w:r>
        <w:rPr>
          <w:color w:val="010101"/>
          <w:w w:val="105"/>
        </w:rPr>
        <w:t>lowing ways:</w:t>
      </w:r>
    </w:p>
    <w:p>
      <w:pPr>
        <w:pStyle w:val="BodyText"/>
        <w:spacing w:before="122"/>
        <w:ind w:right="128"/>
        <w:jc w:val="right"/>
      </w:pPr>
      <w:r>
        <w:rPr/>
        <w:drawing>
          <wp:anchor distT="0" distB="0" distL="0" distR="0" allowOverlap="1" layoutInCell="1" locked="0" behindDoc="0" simplePos="0" relativeHeight="5008">
            <wp:simplePos x="0" y="0"/>
            <wp:positionH relativeFrom="page">
              <wp:posOffset>1682495</wp:posOffset>
            </wp:positionH>
            <wp:positionV relativeFrom="paragraph">
              <wp:posOffset>72457</wp:posOffset>
            </wp:positionV>
            <wp:extent cx="1344168" cy="996695"/>
            <wp:effectExtent l="0" t="0" r="0" b="0"/>
            <wp:wrapNone/>
            <wp:docPr id="117" name="image63.png" descr=""/>
            <wp:cNvGraphicFramePr>
              <a:graphicFrameLocks noChangeAspect="1"/>
            </wp:cNvGraphicFramePr>
            <a:graphic>
              <a:graphicData uri="http://schemas.openxmlformats.org/drawingml/2006/picture">
                <pic:pic>
                  <pic:nvPicPr>
                    <pic:cNvPr id="118" name="image63.png"/>
                    <pic:cNvPicPr/>
                  </pic:nvPicPr>
                  <pic:blipFill>
                    <a:blip r:embed="rId67" cstate="print"/>
                    <a:stretch>
                      <a:fillRect/>
                    </a:stretch>
                  </pic:blipFill>
                  <pic:spPr>
                    <a:xfrm>
                      <a:off x="0" y="0"/>
                      <a:ext cx="1344168" cy="996695"/>
                    </a:xfrm>
                    <a:prstGeom prst="rect">
                      <a:avLst/>
                    </a:prstGeom>
                  </pic:spPr>
                </pic:pic>
              </a:graphicData>
            </a:graphic>
          </wp:anchor>
        </w:drawing>
      </w:r>
      <w:r>
        <w:rPr>
          <w:color w:val="010101"/>
        </w:rPr>
        <w:t>(2.46a )</w:t>
      </w:r>
    </w:p>
    <w:p>
      <w:pPr>
        <w:pStyle w:val="BodyText"/>
      </w:pPr>
    </w:p>
    <w:p>
      <w:pPr>
        <w:pStyle w:val="BodyText"/>
        <w:spacing w:before="137"/>
        <w:ind w:right="130"/>
        <w:jc w:val="right"/>
      </w:pPr>
      <w:r>
        <w:rPr>
          <w:color w:val="010101"/>
          <w:w w:val="105"/>
        </w:rPr>
        <w:t>(2.46b)</w:t>
      </w:r>
    </w:p>
    <w:p>
      <w:pPr>
        <w:pStyle w:val="BodyText"/>
      </w:pPr>
    </w:p>
    <w:p>
      <w:pPr>
        <w:pStyle w:val="BodyText"/>
        <w:spacing w:before="140"/>
        <w:ind w:right="120"/>
        <w:jc w:val="right"/>
      </w:pPr>
      <w:r>
        <w:rPr>
          <w:color w:val="010101"/>
        </w:rPr>
        <w:t>(2.46c )</w:t>
      </w:r>
    </w:p>
    <w:p>
      <w:pPr>
        <w:pStyle w:val="BodyText"/>
        <w:spacing w:before="9"/>
        <w:rPr>
          <w:sz w:val="14"/>
        </w:rPr>
      </w:pPr>
    </w:p>
    <w:p>
      <w:pPr>
        <w:pStyle w:val="BodyText"/>
        <w:spacing w:line="259" w:lineRule="auto" w:before="74"/>
        <w:ind w:left="154" w:hanging="4"/>
      </w:pPr>
      <w:r>
        <w:rPr>
          <w:color w:val="010101"/>
          <w:w w:val="105"/>
        </w:rPr>
        <w:t>By letting </w:t>
      </w:r>
      <w:r>
        <w:rPr>
          <w:rFonts w:ascii="Arial"/>
          <w:i/>
          <w:color w:val="010101"/>
          <w:w w:val="105"/>
          <w:sz w:val="18"/>
        </w:rPr>
        <w:t>m </w:t>
      </w:r>
      <w:r>
        <w:rPr>
          <w:color w:val="010101"/>
          <w:w w:val="105"/>
        </w:rPr>
        <w:t>become infinite </w:t>
      </w:r>
      <w:r>
        <w:rPr>
          <w:color w:val="010101"/>
          <w:w w:val="105"/>
          <w:sz w:val="19"/>
        </w:rPr>
        <w:t>in </w:t>
      </w:r>
      <w:r>
        <w:rPr>
          <w:color w:val="010101"/>
          <w:w w:val="105"/>
        </w:rPr>
        <w:t>fonnula (2.44) for (I&lt;"')a)!m&gt;, the following approximate relation is  obtained:</w:t>
      </w:r>
    </w:p>
    <w:p>
      <w:pPr>
        <w:pStyle w:val="BodyText"/>
        <w:spacing w:before="104"/>
        <w:ind w:right="124"/>
        <w:jc w:val="right"/>
      </w:pPr>
      <w:r>
        <w:rPr/>
        <w:drawing>
          <wp:anchor distT="0" distB="0" distL="0" distR="0" allowOverlap="1" layoutInCell="1" locked="0" behindDoc="0" simplePos="0" relativeHeight="5032">
            <wp:simplePos x="0" y="0"/>
            <wp:positionH relativeFrom="page">
              <wp:posOffset>1719072</wp:posOffset>
            </wp:positionH>
            <wp:positionV relativeFrom="paragraph">
              <wp:posOffset>71546</wp:posOffset>
            </wp:positionV>
            <wp:extent cx="1216152" cy="146303"/>
            <wp:effectExtent l="0" t="0" r="0" b="0"/>
            <wp:wrapNone/>
            <wp:docPr id="119" name="image64.png" descr=""/>
            <wp:cNvGraphicFramePr>
              <a:graphicFrameLocks noChangeAspect="1"/>
            </wp:cNvGraphicFramePr>
            <a:graphic>
              <a:graphicData uri="http://schemas.openxmlformats.org/drawingml/2006/picture">
                <pic:pic>
                  <pic:nvPicPr>
                    <pic:cNvPr id="120" name="image64.png"/>
                    <pic:cNvPicPr/>
                  </pic:nvPicPr>
                  <pic:blipFill>
                    <a:blip r:embed="rId68" cstate="print"/>
                    <a:stretch>
                      <a:fillRect/>
                    </a:stretch>
                  </pic:blipFill>
                  <pic:spPr>
                    <a:xfrm>
                      <a:off x="0" y="0"/>
                      <a:ext cx="1216152" cy="146303"/>
                    </a:xfrm>
                    <a:prstGeom prst="rect">
                      <a:avLst/>
                    </a:prstGeom>
                  </pic:spPr>
                </pic:pic>
              </a:graphicData>
            </a:graphic>
          </wp:anchor>
        </w:drawing>
      </w:r>
      <w:r>
        <w:rPr>
          <w:color w:val="010101"/>
        </w:rPr>
        <w:t>(2.47 )</w:t>
      </w:r>
    </w:p>
    <w:p>
      <w:pPr>
        <w:pStyle w:val="BodyText"/>
        <w:spacing w:before="6"/>
        <w:rPr>
          <w:sz w:val="9"/>
        </w:rPr>
      </w:pPr>
    </w:p>
    <w:p>
      <w:pPr>
        <w:pStyle w:val="ListParagraph"/>
        <w:numPr>
          <w:ilvl w:val="0"/>
          <w:numId w:val="22"/>
        </w:numPr>
        <w:tabs>
          <w:tab w:pos="374" w:val="left" w:leader="none"/>
        </w:tabs>
        <w:spacing w:line="240" w:lineRule="auto" w:before="76" w:after="0"/>
        <w:ind w:left="373" w:right="0" w:hanging="215"/>
        <w:jc w:val="left"/>
        <w:rPr>
          <w:b/>
          <w:sz w:val="19"/>
        </w:rPr>
      </w:pPr>
      <w:r>
        <w:rPr>
          <w:b/>
          <w:color w:val="010101"/>
          <w:w w:val="120"/>
          <w:sz w:val="19"/>
        </w:rPr>
        <w:t>The effect of variations in interest  and </w:t>
      </w:r>
      <w:r>
        <w:rPr>
          <w:b/>
          <w:color w:val="010101"/>
          <w:spacing w:val="21"/>
          <w:w w:val="120"/>
          <w:sz w:val="19"/>
        </w:rPr>
        <w:t> </w:t>
      </w:r>
      <w:r>
        <w:rPr>
          <w:b/>
          <w:color w:val="010101"/>
          <w:w w:val="120"/>
          <w:sz w:val="19"/>
        </w:rPr>
        <w:t>mortality</w:t>
      </w:r>
    </w:p>
    <w:p>
      <w:pPr>
        <w:pStyle w:val="BodyText"/>
        <w:spacing w:before="75"/>
        <w:ind w:left="158" w:firstLine="197"/>
      </w:pPr>
      <w:r>
        <w:rPr>
          <w:color w:val="010101"/>
          <w:w w:val="105"/>
        </w:rPr>
        <w:t>We nonnally regard </w:t>
      </w:r>
      <w:r>
        <w:rPr>
          <w:i/>
          <w:color w:val="010101"/>
          <w:w w:val="105"/>
          <w:sz w:val="21"/>
        </w:rPr>
        <w:t>ax </w:t>
      </w:r>
      <w:r>
        <w:rPr>
          <w:color w:val="010101"/>
          <w:w w:val="105"/>
        </w:rPr>
        <w:t>as a </w:t>
      </w:r>
      <w:r>
        <w:rPr>
          <w:rFonts w:ascii="Arial"/>
          <w:color w:val="010101"/>
          <w:w w:val="105"/>
        </w:rPr>
        <w:t>f</w:t>
      </w:r>
      <w:r>
        <w:rPr>
          <w:color w:val="010101"/>
          <w:w w:val="105"/>
        </w:rPr>
        <w:t>unction of </w:t>
      </w:r>
      <w:r>
        <w:rPr>
          <w:rFonts w:ascii="Arial"/>
          <w:i/>
          <w:color w:val="010101"/>
          <w:w w:val="105"/>
          <w:sz w:val="17"/>
        </w:rPr>
        <w:t>x </w:t>
      </w:r>
      <w:r>
        <w:rPr>
          <w:color w:val="010101"/>
          <w:w w:val="105"/>
        </w:rPr>
        <w:t>defined by a particular mortality  table  and  rate  of  interest.  Suppose that  we  change our</w:t>
      </w:r>
    </w:p>
    <w:p>
      <w:pPr>
        <w:spacing w:after="0"/>
        <w:sectPr>
          <w:type w:val="continuous"/>
          <w:pgSz w:w="7200" w:h="11340"/>
          <w:pgMar w:top="1100" w:bottom="0" w:left="620" w:right="580"/>
        </w:sectPr>
      </w:pPr>
    </w:p>
    <w:p>
      <w:pPr>
        <w:tabs>
          <w:tab w:pos="2347" w:val="left" w:leader="none"/>
          <w:tab w:pos="5415" w:val="left" w:leader="none"/>
        </w:tabs>
        <w:spacing w:before="54"/>
        <w:ind w:left="144" w:right="0" w:firstLine="10"/>
        <w:jc w:val="both"/>
        <w:rPr>
          <w:rFonts w:ascii="Arial"/>
          <w:b/>
          <w:sz w:val="19"/>
        </w:rPr>
      </w:pPr>
      <w:r>
        <w:rPr>
          <w:rFonts w:ascii="Arial"/>
          <w:sz w:val="18"/>
        </w:rPr>
        <w:t>56</w:t>
        <w:tab/>
      </w:r>
      <w:r>
        <w:rPr>
          <w:b/>
          <w:sz w:val="15"/>
        </w:rPr>
        <w:t>LIFE  </w:t>
      </w:r>
      <w:r>
        <w:rPr>
          <w:b/>
          <w:spacing w:val="23"/>
          <w:sz w:val="15"/>
        </w:rPr>
        <w:t> </w:t>
      </w:r>
      <w:r>
        <w:rPr>
          <w:b/>
          <w:sz w:val="15"/>
        </w:rPr>
        <w:t>ANNUITIES</w:t>
        <w:tab/>
      </w:r>
      <w:r>
        <w:rPr>
          <w:rFonts w:ascii="Arial"/>
          <w:b/>
          <w:w w:val="95"/>
          <w:position w:val="-1"/>
          <w:sz w:val="19"/>
        </w:rPr>
        <w:t>[CH.</w:t>
      </w:r>
      <w:r>
        <w:rPr>
          <w:rFonts w:ascii="Arial"/>
          <w:b/>
          <w:spacing w:val="-27"/>
          <w:w w:val="95"/>
          <w:position w:val="-1"/>
          <w:sz w:val="19"/>
        </w:rPr>
        <w:t> </w:t>
      </w:r>
      <w:r>
        <w:rPr>
          <w:rFonts w:ascii="Arial"/>
          <w:b/>
          <w:w w:val="95"/>
          <w:position w:val="-1"/>
          <w:sz w:val="19"/>
        </w:rPr>
        <w:t>2</w:t>
      </w:r>
    </w:p>
    <w:p>
      <w:pPr>
        <w:pStyle w:val="BodyText"/>
        <w:rPr>
          <w:rFonts w:ascii="Arial"/>
          <w:b/>
        </w:rPr>
      </w:pPr>
    </w:p>
    <w:p>
      <w:pPr>
        <w:pStyle w:val="BodyText"/>
        <w:spacing w:line="242" w:lineRule="auto" w:before="1"/>
        <w:ind w:left="137" w:right="121" w:firstLine="7"/>
        <w:jc w:val="both"/>
      </w:pPr>
      <w:r>
        <w:rPr>
          <w:w w:val="105"/>
        </w:rPr>
        <w:t>point of view and think of the </w:t>
      </w:r>
      <w:r>
        <w:rPr>
          <w:rFonts w:ascii="Arial"/>
          <w:w w:val="105"/>
        </w:rPr>
        <w:t>diff</w:t>
      </w:r>
      <w:r>
        <w:rPr>
          <w:w w:val="105"/>
        </w:rPr>
        <w:t>erent values of </w:t>
      </w:r>
      <w:r>
        <w:rPr>
          <w:w w:val="105"/>
          <w:sz w:val="19"/>
        </w:rPr>
        <w:t>az </w:t>
      </w:r>
      <w:r>
        <w:rPr>
          <w:w w:val="105"/>
        </w:rPr>
        <w:t>produced for a given </w:t>
      </w:r>
      <w:r>
        <w:rPr>
          <w:rFonts w:ascii="Arial"/>
          <w:i/>
          <w:w w:val="105"/>
          <w:sz w:val="16"/>
        </w:rPr>
        <w:t>x </w:t>
      </w:r>
      <w:r>
        <w:rPr>
          <w:w w:val="105"/>
        </w:rPr>
        <w:t>when changes in mortality and interest occur. </w:t>
      </w:r>
      <w:r>
        <w:rPr>
          <w:w w:val="105"/>
          <w:sz w:val="21"/>
        </w:rPr>
        <w:t>It </w:t>
      </w:r>
      <w:r>
        <w:rPr>
          <w:rFonts w:ascii="Arial"/>
          <w:w w:val="105"/>
        </w:rPr>
        <w:t>is </w:t>
      </w:r>
      <w:r>
        <w:rPr>
          <w:w w:val="105"/>
        </w:rPr>
        <w:t>important to be able to estimate the effect of such   variations.</w:t>
      </w:r>
    </w:p>
    <w:p>
      <w:pPr>
        <w:pStyle w:val="BodyText"/>
        <w:spacing w:before="9"/>
        <w:ind w:left="335"/>
        <w:rPr>
          <w:sz w:val="19"/>
        </w:rPr>
      </w:pPr>
      <w:r>
        <w:rPr>
          <w:w w:val="105"/>
        </w:rPr>
        <w:t>The effect of a change in interest alonc can be estimated by  </w:t>
      </w:r>
      <w:r>
        <w:rPr>
          <w:spacing w:val="50"/>
          <w:w w:val="105"/>
        </w:rPr>
        <w:t> </w:t>
      </w:r>
      <w:r>
        <w:rPr>
          <w:w w:val="105"/>
          <w:sz w:val="19"/>
        </w:rPr>
        <w:t>con­</w:t>
      </w:r>
    </w:p>
    <w:p>
      <w:pPr>
        <w:pStyle w:val="BodyText"/>
        <w:spacing w:before="3"/>
        <w:ind w:left="227"/>
        <w:jc w:val="both"/>
      </w:pPr>
      <w:r>
        <w:rPr/>
        <w:drawing>
          <wp:anchor distT="0" distB="0" distL="0" distR="0" allowOverlap="1" layoutInCell="1" locked="0" behindDoc="0" simplePos="0" relativeHeight="5056">
            <wp:simplePos x="0" y="0"/>
            <wp:positionH relativeFrom="page">
              <wp:posOffset>1280160</wp:posOffset>
            </wp:positionH>
            <wp:positionV relativeFrom="paragraph">
              <wp:posOffset>235329</wp:posOffset>
            </wp:positionV>
            <wp:extent cx="2578607" cy="685800"/>
            <wp:effectExtent l="0" t="0" r="0" b="0"/>
            <wp:wrapNone/>
            <wp:docPr id="121" name="image65.png" descr=""/>
            <wp:cNvGraphicFramePr>
              <a:graphicFrameLocks noChangeAspect="1"/>
            </wp:cNvGraphicFramePr>
            <a:graphic>
              <a:graphicData uri="http://schemas.openxmlformats.org/drawingml/2006/picture">
                <pic:pic>
                  <pic:nvPicPr>
                    <pic:cNvPr id="122" name="image65.png"/>
                    <pic:cNvPicPr/>
                  </pic:nvPicPr>
                  <pic:blipFill>
                    <a:blip r:embed="rId69" cstate="print"/>
                    <a:stretch>
                      <a:fillRect/>
                    </a:stretch>
                  </pic:blipFill>
                  <pic:spPr>
                    <a:xfrm>
                      <a:off x="0" y="0"/>
                      <a:ext cx="2578607" cy="685800"/>
                    </a:xfrm>
                    <a:prstGeom prst="rect">
                      <a:avLst/>
                    </a:prstGeom>
                  </pic:spPr>
                </pic:pic>
              </a:graphicData>
            </a:graphic>
          </wp:anchor>
        </w:drawing>
      </w:r>
      <w:r>
        <w:rPr>
          <w:w w:val="105"/>
        </w:rPr>
        <w:t>idering the  derivative  of  </w:t>
      </w:r>
      <w:r>
        <w:rPr>
          <w:w w:val="105"/>
          <w:sz w:val="19"/>
        </w:rPr>
        <w:t>az </w:t>
      </w:r>
      <w:r>
        <w:rPr>
          <w:w w:val="105"/>
        </w:rPr>
        <w:t>with  respect  to  i. </w:t>
      </w:r>
      <w:r>
        <w:rPr>
          <w:rFonts w:ascii="Arial"/>
          <w:w w:val="105"/>
        </w:rPr>
        <w:t>W</w:t>
      </w:r>
      <w:r>
        <w:rPr>
          <w:w w:val="105"/>
        </w:rPr>
        <w:t>e write</w:t>
      </w:r>
    </w:p>
    <w:p>
      <w:pPr>
        <w:pStyle w:val="BodyText"/>
      </w:pPr>
    </w:p>
    <w:p>
      <w:pPr>
        <w:pStyle w:val="BodyText"/>
      </w:pPr>
    </w:p>
    <w:p>
      <w:pPr>
        <w:pStyle w:val="BodyText"/>
        <w:spacing w:before="6"/>
        <w:rPr>
          <w:sz w:val="26"/>
        </w:rPr>
      </w:pPr>
    </w:p>
    <w:p>
      <w:pPr>
        <w:spacing w:after="0"/>
        <w:rPr>
          <w:sz w:val="26"/>
        </w:rPr>
        <w:sectPr>
          <w:pgSz w:w="7200" w:h="11340"/>
          <w:pgMar w:top="500" w:bottom="280" w:left="640" w:right="540"/>
        </w:sectPr>
      </w:pPr>
    </w:p>
    <w:p>
      <w:pPr>
        <w:pStyle w:val="BodyText"/>
        <w:spacing w:before="74"/>
        <w:ind w:left="141" w:right="-4"/>
      </w:pPr>
      <w:r>
        <w:rPr>
          <w:w w:val="110"/>
        </w:rPr>
        <w:t>and then</w:t>
      </w:r>
    </w:p>
    <w:p>
      <w:pPr>
        <w:pStyle w:val="BodyText"/>
        <w:rPr>
          <w:sz w:val="28"/>
        </w:rPr>
      </w:pPr>
      <w:r>
        <w:rPr/>
        <w:br w:type="column"/>
      </w:r>
      <w:r>
        <w:rPr>
          <w:sz w:val="28"/>
        </w:rPr>
      </w:r>
    </w:p>
    <w:p>
      <w:pPr>
        <w:pStyle w:val="BodyText"/>
        <w:spacing w:before="4"/>
        <w:rPr>
          <w:sz w:val="25"/>
        </w:rPr>
      </w:pPr>
    </w:p>
    <w:p>
      <w:pPr>
        <w:tabs>
          <w:tab w:pos="997" w:val="left" w:leader="none"/>
          <w:tab w:pos="1548" w:val="left" w:leader="none"/>
          <w:tab w:pos="3352" w:val="left" w:leader="none"/>
        </w:tabs>
        <w:spacing w:line="255" w:lineRule="exact" w:before="1"/>
        <w:ind w:left="141" w:right="0" w:firstLine="0"/>
        <w:jc w:val="left"/>
        <w:rPr>
          <w:i/>
          <w:sz w:val="13"/>
        </w:rPr>
      </w:pPr>
      <w:r>
        <w:rPr/>
        <w:pict>
          <v:shape style="position:absolute;margin-left:105.480003pt;margin-top:1.678162pt;width:167.75pt;height:21.5pt;mso-position-horizontal-relative:page;mso-position-vertical-relative:paragraph;z-index:-730912" type="#_x0000_t202" filled="false" stroked="false">
            <v:textbox inset="0,0,0,0">
              <w:txbxContent>
                <w:p>
                  <w:pPr>
                    <w:tabs>
                      <w:tab w:pos="889" w:val="left" w:leader="none"/>
                      <w:tab w:pos="1630" w:val="left" w:leader="none"/>
                    </w:tabs>
                    <w:spacing w:line="429" w:lineRule="exact" w:before="0"/>
                    <w:ind w:left="0" w:right="0" w:firstLine="0"/>
                    <w:jc w:val="left"/>
                    <w:rPr>
                      <w:i/>
                      <w:sz w:val="20"/>
                    </w:rPr>
                  </w:pPr>
                  <w:r>
                    <w:rPr>
                      <w:rFonts w:ascii="Courier New" w:hAnsi="Courier New"/>
                      <w:spacing w:val="-99"/>
                      <w:w w:val="67"/>
                      <w:position w:val="-12"/>
                      <w:sz w:val="25"/>
                    </w:rPr>
                    <w:t>,</w:t>
                  </w:r>
                  <w:r>
                    <w:rPr>
                      <w:spacing w:val="-1"/>
                      <w:w w:val="76"/>
                      <w:sz w:val="16"/>
                    </w:rPr>
                    <w:t>¿</w:t>
                  </w:r>
                  <w:r>
                    <w:rPr>
                      <w:rFonts w:ascii="Courier New" w:hAnsi="Courier New"/>
                      <w:spacing w:val="-126"/>
                      <w:w w:val="83"/>
                      <w:position w:val="-12"/>
                      <w:sz w:val="25"/>
                    </w:rPr>
                    <w:t>-</w:t>
                  </w:r>
                  <w:r>
                    <w:rPr>
                      <w:w w:val="77"/>
                      <w:sz w:val="16"/>
                    </w:rPr>
                    <w:t>,</w:t>
                  </w:r>
                  <w:r>
                    <w:rPr>
                      <w:sz w:val="16"/>
                    </w:rPr>
                    <w:t> </w:t>
                  </w:r>
                  <w:r>
                    <w:rPr>
                      <w:spacing w:val="-4"/>
                      <w:sz w:val="16"/>
                    </w:rPr>
                    <w:t> </w:t>
                  </w:r>
                  <w:r>
                    <w:rPr>
                      <w:rFonts w:ascii="Courier New" w:hAnsi="Courier New"/>
                      <w:w w:val="47"/>
                      <w:position w:val="-12"/>
                      <w:sz w:val="25"/>
                    </w:rPr>
                    <w:t>1</w:t>
                  </w:r>
                  <w:r>
                    <w:rPr>
                      <w:rFonts w:ascii="Courier New" w:hAnsi="Courier New"/>
                      <w:spacing w:val="-79"/>
                      <w:position w:val="-12"/>
                      <w:sz w:val="25"/>
                    </w:rPr>
                    <w:t> </w:t>
                  </w:r>
                  <w:r>
                    <w:rPr>
                      <w:w w:val="344"/>
                      <w:sz w:val="16"/>
                    </w:rPr>
                    <w:t>-</w:t>
                  </w:r>
                  <w:r>
                    <w:rPr>
                      <w:spacing w:val="13"/>
                      <w:sz w:val="16"/>
                    </w:rPr>
                    <w:t> </w:t>
                  </w:r>
                  <w:r>
                    <w:rPr>
                      <w:rFonts w:ascii="Arial" w:hAnsi="Arial"/>
                      <w:i/>
                      <w:w w:val="95"/>
                      <w:sz w:val="18"/>
                    </w:rPr>
                    <w:t>t</w:t>
                  </w:r>
                  <w:r>
                    <w:rPr>
                      <w:rFonts w:ascii="Arial" w:hAnsi="Arial"/>
                      <w:i/>
                      <w:sz w:val="18"/>
                    </w:rPr>
                    <w:tab/>
                  </w:r>
                  <w:r>
                    <w:rPr>
                      <w:w w:val="103"/>
                      <w:sz w:val="29"/>
                    </w:rPr>
                    <w:t>+</w:t>
                  </w:r>
                  <w:r>
                    <w:rPr>
                      <w:spacing w:val="-2"/>
                      <w:sz w:val="29"/>
                    </w:rPr>
                    <w:t> </w:t>
                  </w:r>
                  <w:r>
                    <w:rPr>
                      <w:w w:val="91"/>
                      <w:sz w:val="29"/>
                    </w:rPr>
                    <w:t>i</w:t>
                  </w:r>
                  <w:r>
                    <w:rPr>
                      <w:sz w:val="29"/>
                    </w:rPr>
                    <w:tab/>
                  </w:r>
                  <w:r>
                    <w:rPr>
                      <w:i/>
                      <w:w w:val="88"/>
                      <w:sz w:val="20"/>
                    </w:rPr>
                    <w:t>tPz</w:t>
                  </w:r>
                  <w:r>
                    <w:rPr>
                      <w:i/>
                      <w:sz w:val="20"/>
                    </w:rPr>
                    <w:t> </w:t>
                  </w:r>
                  <w:r>
                    <w:rPr>
                      <w:i/>
                      <w:spacing w:val="4"/>
                      <w:sz w:val="20"/>
                    </w:rPr>
                    <w:t> </w:t>
                  </w:r>
                  <w:r>
                    <w:rPr>
                      <w:w w:val="101"/>
                      <w:sz w:val="23"/>
                    </w:rPr>
                    <w:t>=</w:t>
                  </w:r>
                  <w:r>
                    <w:rPr>
                      <w:sz w:val="23"/>
                    </w:rPr>
                    <w:t> </w:t>
                  </w:r>
                  <w:r>
                    <w:rPr>
                      <w:spacing w:val="8"/>
                      <w:sz w:val="23"/>
                    </w:rPr>
                    <w:t> </w:t>
                  </w:r>
                  <w:r>
                    <w:rPr>
                      <w:i/>
                      <w:w w:val="160"/>
                      <w:sz w:val="20"/>
                    </w:rPr>
                    <w:t>-v</w:t>
                  </w:r>
                  <w:r>
                    <w:rPr>
                      <w:i/>
                      <w:spacing w:val="24"/>
                      <w:sz w:val="20"/>
                    </w:rPr>
                    <w:t> </w:t>
                  </w:r>
                  <w:r>
                    <w:rPr>
                      <w:i/>
                      <w:w w:val="60"/>
                      <w:sz w:val="20"/>
                    </w:rPr>
                    <w:t>¿,</w:t>
                  </w:r>
                  <w:r>
                    <w:rPr>
                      <w:i/>
                      <w:sz w:val="20"/>
                      <w:u w:val="single"/>
                    </w:rPr>
                    <w:t>  </w:t>
                  </w:r>
                  <w:r>
                    <w:rPr>
                      <w:i/>
                      <w:spacing w:val="4"/>
                      <w:sz w:val="20"/>
                      <w:u w:val="single"/>
                    </w:rPr>
                    <w:t> </w:t>
                  </w:r>
                  <w:r>
                    <w:rPr>
                      <w:i/>
                      <w:spacing w:val="-14"/>
                      <w:sz w:val="20"/>
                    </w:rPr>
                    <w:t> </w:t>
                  </w:r>
                  <w:r>
                    <w:rPr>
                      <w:i/>
                      <w:w w:val="65"/>
                      <w:sz w:val="20"/>
                    </w:rPr>
                    <w:t>tV</w:t>
                  </w:r>
                  <w:r>
                    <w:rPr>
                      <w:i/>
                      <w:sz w:val="20"/>
                    </w:rPr>
                    <w:t> </w:t>
                  </w:r>
                  <w:r>
                    <w:rPr>
                      <w:i/>
                      <w:spacing w:val="-9"/>
                      <w:sz w:val="20"/>
                    </w:rPr>
                    <w:t> </w:t>
                  </w:r>
                  <w:r>
                    <w:rPr>
                      <w:i/>
                      <w:spacing w:val="-25"/>
                      <w:w w:val="136"/>
                      <w:sz w:val="20"/>
                    </w:rPr>
                    <w:t>,</w:t>
                  </w:r>
                  <w:r>
                    <w:rPr>
                      <w:i/>
                      <w:w w:val="81"/>
                      <w:sz w:val="20"/>
                    </w:rPr>
                    <w:t>P</w:t>
                  </w:r>
                  <w:r>
                    <w:rPr>
                      <w:i/>
                      <w:spacing w:val="-25"/>
                      <w:sz w:val="20"/>
                    </w:rPr>
                    <w:t> </w:t>
                  </w:r>
                  <w:r>
                    <w:rPr>
                      <w:i/>
                      <w:w w:val="70"/>
                      <w:sz w:val="20"/>
                    </w:rPr>
                    <w:t>z</w:t>
                  </w:r>
                  <w:r>
                    <w:rPr>
                      <w:i/>
                      <w:spacing w:val="-1"/>
                      <w:sz w:val="20"/>
                    </w:rPr>
                    <w:t> </w:t>
                  </w:r>
                  <w:r>
                    <w:rPr>
                      <w:i/>
                      <w:w w:val="99"/>
                      <w:sz w:val="20"/>
                    </w:rPr>
                    <w:t>,</w:t>
                  </w:r>
                </w:p>
              </w:txbxContent>
            </v:textbox>
            <w10:wrap type="none"/>
          </v:shape>
        </w:pict>
      </w:r>
      <w:r>
        <w:rPr>
          <w:w w:val="110"/>
          <w:position w:val="-7"/>
          <w:sz w:val="26"/>
        </w:rPr>
        <w:t>=</w:t>
        <w:tab/>
      </w:r>
      <w:r>
        <w:rPr>
          <w:rFonts w:ascii="Arial" w:hAnsi="Arial"/>
          <w:w w:val="110"/>
          <w:sz w:val="19"/>
        </w:rPr>
        <w:t>(1</w:t>
        <w:tab/>
      </w:r>
      <w:r>
        <w:rPr>
          <w:i/>
          <w:w w:val="110"/>
          <w:sz w:val="20"/>
        </w:rPr>
        <w:t>·)-t-1</w:t>
        <w:tab/>
      </w:r>
      <w:r>
        <w:rPr>
          <w:i/>
          <w:w w:val="110"/>
          <w:sz w:val="13"/>
        </w:rPr>
        <w:t>t</w:t>
      </w:r>
    </w:p>
    <w:p>
      <w:pPr>
        <w:spacing w:line="215" w:lineRule="exact" w:before="0"/>
        <w:ind w:left="2834" w:right="1689" w:firstLine="0"/>
        <w:jc w:val="center"/>
        <w:rPr>
          <w:rFonts w:ascii="Courier New"/>
          <w:sz w:val="25"/>
        </w:rPr>
      </w:pPr>
      <w:r>
        <w:rPr/>
        <w:pict>
          <v:line style="position:absolute;mso-position-horizontal-relative:page;mso-position-vertical-relative:paragraph;z-index:-730936" from="109.928879pt,2.105232pt" to="114.295641pt,2.105232pt" stroked="true" strokeweight=".32pt" strokecolor="#000000">
            <w10:wrap type="none"/>
          </v:line>
        </w:pict>
      </w:r>
      <w:r>
        <w:rPr>
          <w:rFonts w:ascii="Courier New"/>
          <w:w w:val="80"/>
          <w:sz w:val="25"/>
        </w:rPr>
        <w:t>,-1</w:t>
      </w:r>
    </w:p>
    <w:p>
      <w:pPr>
        <w:spacing w:after="0" w:line="215" w:lineRule="exact"/>
        <w:jc w:val="center"/>
        <w:rPr>
          <w:rFonts w:ascii="Courier New"/>
          <w:sz w:val="25"/>
        </w:rPr>
        <w:sectPr>
          <w:type w:val="continuous"/>
          <w:pgSz w:w="7200" w:h="11340"/>
          <w:pgMar w:top="1100" w:bottom="0" w:left="640" w:right="540"/>
          <w:cols w:num="2" w:equalWidth="0">
            <w:col w:w="909" w:space="186"/>
            <w:col w:w="4925"/>
          </w:cols>
        </w:sectPr>
      </w:pPr>
    </w:p>
    <w:p>
      <w:pPr>
        <w:pStyle w:val="BodyText"/>
        <w:spacing w:before="4"/>
        <w:rPr>
          <w:rFonts w:ascii="Courier New"/>
          <w:sz w:val="10"/>
        </w:rPr>
      </w:pPr>
    </w:p>
    <w:p>
      <w:pPr>
        <w:tabs>
          <w:tab w:pos="5364" w:val="left" w:leader="none"/>
        </w:tabs>
        <w:spacing w:before="74"/>
        <w:ind w:left="126" w:right="0" w:firstLine="0"/>
        <w:jc w:val="both"/>
        <w:rPr>
          <w:rFonts w:ascii="Arial"/>
          <w:sz w:val="19"/>
        </w:rPr>
      </w:pPr>
      <w:r>
        <w:rPr/>
        <w:drawing>
          <wp:anchor distT="0" distB="0" distL="0" distR="0" allowOverlap="1" layoutInCell="1" locked="0" behindDoc="1" simplePos="0" relativeHeight="267704471">
            <wp:simplePos x="0" y="0"/>
            <wp:positionH relativeFrom="page">
              <wp:posOffset>1792223</wp:posOffset>
            </wp:positionH>
            <wp:positionV relativeFrom="paragraph">
              <wp:posOffset>-10465</wp:posOffset>
            </wp:positionV>
            <wp:extent cx="996696" cy="265175"/>
            <wp:effectExtent l="0" t="0" r="0" b="0"/>
            <wp:wrapNone/>
            <wp:docPr id="123" name="image66.png" descr=""/>
            <wp:cNvGraphicFramePr>
              <a:graphicFrameLocks noChangeAspect="1"/>
            </wp:cNvGraphicFramePr>
            <a:graphic>
              <a:graphicData uri="http://schemas.openxmlformats.org/drawingml/2006/picture">
                <pic:pic>
                  <pic:nvPicPr>
                    <pic:cNvPr id="124" name="image66.png"/>
                    <pic:cNvPicPr/>
                  </pic:nvPicPr>
                  <pic:blipFill>
                    <a:blip r:embed="rId70" cstate="print"/>
                    <a:stretch>
                      <a:fillRect/>
                    </a:stretch>
                  </pic:blipFill>
                  <pic:spPr>
                    <a:xfrm>
                      <a:off x="0" y="0"/>
                      <a:ext cx="996696" cy="265175"/>
                    </a:xfrm>
                    <a:prstGeom prst="rect">
                      <a:avLst/>
                    </a:prstGeom>
                  </pic:spPr>
                </pic:pic>
              </a:graphicData>
            </a:graphic>
          </wp:anchor>
        </w:drawing>
      </w:r>
      <w:r>
        <w:rPr>
          <w:w w:val="105"/>
          <w:sz w:val="20"/>
        </w:rPr>
        <w:t>or</w:t>
        <w:tab/>
      </w:r>
      <w:r>
        <w:rPr>
          <w:rFonts w:ascii="Arial"/>
          <w:w w:val="105"/>
          <w:sz w:val="19"/>
        </w:rPr>
        <w:t>(2.48)</w:t>
      </w:r>
    </w:p>
    <w:p>
      <w:pPr>
        <w:pStyle w:val="BodyText"/>
        <w:spacing w:before="10"/>
        <w:rPr>
          <w:rFonts w:ascii="Arial"/>
          <w:sz w:val="21"/>
        </w:rPr>
      </w:pPr>
    </w:p>
    <w:p>
      <w:pPr>
        <w:pStyle w:val="BodyText"/>
        <w:spacing w:before="1"/>
        <w:ind w:left="126"/>
        <w:jc w:val="both"/>
      </w:pPr>
      <w:r>
        <w:rPr>
          <w:w w:val="105"/>
        </w:rPr>
        <w:t>The negative  sign reflects the </w:t>
      </w:r>
      <w:r>
        <w:rPr>
          <w:spacing w:val="2"/>
          <w:w w:val="105"/>
        </w:rPr>
        <w:t>fact </w:t>
      </w:r>
      <w:r>
        <w:rPr>
          <w:w w:val="105"/>
        </w:rPr>
        <w:t>that </w:t>
      </w:r>
      <w:r>
        <w:rPr>
          <w:w w:val="105"/>
          <w:sz w:val="19"/>
        </w:rPr>
        <w:t>az </w:t>
      </w:r>
      <w:r>
        <w:rPr>
          <w:w w:val="105"/>
        </w:rPr>
        <w:t>decreases  as </w:t>
      </w:r>
      <w:r>
        <w:rPr>
          <w:w w:val="120"/>
        </w:rPr>
        <w:t>i </w:t>
      </w:r>
      <w:r>
        <w:rPr>
          <w:spacing w:val="53"/>
          <w:w w:val="120"/>
        </w:rPr>
        <w:t> </w:t>
      </w:r>
      <w:r>
        <w:rPr>
          <w:w w:val="105"/>
        </w:rPr>
        <w:t>increases.</w:t>
      </w:r>
    </w:p>
    <w:p>
      <w:pPr>
        <w:pStyle w:val="BodyText"/>
        <w:spacing w:before="7"/>
        <w:ind w:left="130"/>
        <w:jc w:val="both"/>
      </w:pPr>
      <w:r>
        <w:rPr>
          <w:w w:val="105"/>
        </w:rPr>
        <w:t>Formula  (2.48) may be expressed in differential form   as</w:t>
      </w:r>
    </w:p>
    <w:p>
      <w:pPr>
        <w:spacing w:before="105"/>
        <w:ind w:left="293" w:right="313" w:firstLine="0"/>
        <w:jc w:val="center"/>
        <w:rPr>
          <w:rFonts w:ascii="Arial"/>
          <w:i/>
          <w:sz w:val="20"/>
        </w:rPr>
      </w:pPr>
      <w:r>
        <w:rPr>
          <w:rFonts w:ascii="Arial"/>
          <w:i/>
          <w:w w:val="95"/>
          <w:sz w:val="20"/>
        </w:rPr>
        <w:t>da:i: </w:t>
      </w:r>
      <w:r>
        <w:rPr>
          <w:w w:val="110"/>
          <w:sz w:val="23"/>
        </w:rPr>
        <w:t>= </w:t>
      </w:r>
      <w:r>
        <w:rPr>
          <w:i/>
          <w:w w:val="135"/>
          <w:sz w:val="20"/>
        </w:rPr>
        <w:t>-v </w:t>
      </w:r>
      <w:r>
        <w:rPr>
          <w:i/>
          <w:w w:val="110"/>
          <w:sz w:val="20"/>
        </w:rPr>
        <w:t>(la)z </w:t>
      </w:r>
      <w:r>
        <w:rPr>
          <w:rFonts w:ascii="Arial"/>
          <w:i/>
          <w:w w:val="110"/>
          <w:sz w:val="20"/>
        </w:rPr>
        <w:t>di,</w:t>
      </w:r>
    </w:p>
    <w:p>
      <w:pPr>
        <w:pStyle w:val="BodyText"/>
        <w:spacing w:line="252" w:lineRule="auto" w:before="120"/>
        <w:ind w:left="126" w:right="133"/>
        <w:jc w:val="both"/>
      </w:pPr>
      <w:r>
        <w:rPr>
          <w:w w:val="105"/>
        </w:rPr>
        <w:t>and, since the differential of a function is an approximation to the change in the function corresponding to a given change in the in­ dependent  variable, we may write</w:t>
      </w:r>
    </w:p>
    <w:p>
      <w:pPr>
        <w:spacing w:before="69"/>
        <w:ind w:left="293" w:right="324" w:firstLine="0"/>
        <w:jc w:val="center"/>
        <w:rPr>
          <w:sz w:val="20"/>
        </w:rPr>
      </w:pPr>
      <w:r>
        <w:rPr>
          <w:b/>
          <w:w w:val="105"/>
          <w:sz w:val="19"/>
        </w:rPr>
        <w:t>Aaz </w:t>
      </w:r>
      <w:r>
        <w:rPr>
          <w:rFonts w:ascii="Arial" w:hAnsi="Arial"/>
          <w:sz w:val="26"/>
        </w:rPr>
        <w:t>=: </w:t>
      </w:r>
      <w:r>
        <w:rPr>
          <w:i/>
          <w:w w:val="130"/>
          <w:sz w:val="21"/>
        </w:rPr>
        <w:t>-v </w:t>
      </w:r>
      <w:r>
        <w:rPr>
          <w:w w:val="105"/>
          <w:sz w:val="20"/>
        </w:rPr>
        <w:t>(la)z· Ai.</w:t>
      </w:r>
    </w:p>
    <w:p>
      <w:pPr>
        <w:pStyle w:val="BodyText"/>
        <w:spacing w:line="249" w:lineRule="auto" w:before="114"/>
        <w:ind w:left="123" w:right="131" w:firstLine="3"/>
        <w:jc w:val="both"/>
      </w:pPr>
      <w:r>
        <w:rPr>
          <w:w w:val="105"/>
        </w:rPr>
        <w:t>It must be remembered that the differential provides a satisfactory estimate ortly when the change in the independent variable </w:t>
      </w:r>
      <w:r>
        <w:rPr>
          <w:b/>
          <w:w w:val="105"/>
        </w:rPr>
        <w:t>(Ai) </w:t>
      </w:r>
      <w:r>
        <w:rPr>
          <w:w w:val="105"/>
        </w:rPr>
        <w:t>is small. This produces the following approximate formula for values of </w:t>
      </w:r>
      <w:r>
        <w:rPr>
          <w:w w:val="105"/>
          <w:sz w:val="19"/>
        </w:rPr>
        <w:t>az </w:t>
      </w:r>
      <w:r>
        <w:rPr>
          <w:w w:val="105"/>
        </w:rPr>
        <w:t>at a new rate of interest </w:t>
      </w:r>
      <w:r>
        <w:rPr>
          <w:i/>
          <w:w w:val="105"/>
          <w:sz w:val="19"/>
        </w:rPr>
        <w:t>j </w:t>
      </w:r>
      <w:r>
        <w:rPr>
          <w:w w:val="105"/>
        </w:rPr>
        <w:t>when functions are tabulated at a closely neighboring  rate </w:t>
      </w:r>
      <w:r>
        <w:rPr>
          <w:w w:val="110"/>
        </w:rPr>
        <w:t>i:</w:t>
      </w:r>
    </w:p>
    <w:p>
      <w:pPr>
        <w:spacing w:after="0" w:line="249" w:lineRule="auto"/>
        <w:jc w:val="both"/>
        <w:sectPr>
          <w:type w:val="continuous"/>
          <w:pgSz w:w="7200" w:h="11340"/>
          <w:pgMar w:top="1100" w:bottom="0" w:left="640" w:right="540"/>
        </w:sectPr>
      </w:pPr>
    </w:p>
    <w:p>
      <w:pPr>
        <w:spacing w:before="157"/>
        <w:ind w:left="1973" w:right="-12" w:firstLine="0"/>
        <w:jc w:val="left"/>
        <w:rPr>
          <w:b/>
          <w:i/>
          <w:sz w:val="19"/>
        </w:rPr>
      </w:pPr>
      <w:r>
        <w:rPr/>
        <w:pict>
          <v:line style="position:absolute;mso-position-horizontal-relative:page;mso-position-vertical-relative:paragraph;z-index:5104" from="181.440002pt,26.172733pt" to="204.300002pt,26.172733pt" stroked="true" strokeweight="4.32pt" strokecolor="#000000">
            <w10:wrap type="none"/>
          </v:line>
        </w:pict>
      </w:r>
      <w:r>
        <w:rPr/>
        <w:pict>
          <v:shape style="position:absolute;margin-left:181.440002pt;margin-top:15.605996pt;width:48.6pt;height:10pt;mso-position-horizontal-relative:page;mso-position-vertical-relative:paragraph;z-index:-730888" type="#_x0000_t202" filled="false" stroked="false">
            <v:textbox inset="0,0,0,0">
              <w:txbxContent>
                <w:p>
                  <w:pPr>
                    <w:tabs>
                      <w:tab w:pos="719" w:val="left" w:leader="none"/>
                    </w:tabs>
                    <w:spacing w:line="200" w:lineRule="exact" w:before="0"/>
                    <w:ind w:left="0" w:right="0" w:firstLine="0"/>
                    <w:jc w:val="left"/>
                    <w:rPr>
                      <w:b/>
                      <w:i/>
                      <w:sz w:val="19"/>
                    </w:rPr>
                  </w:pPr>
                  <w:r>
                    <w:rPr>
                      <w:b/>
                      <w:w w:val="120"/>
                      <w:sz w:val="20"/>
                    </w:rPr>
                    <w:t>l</w:t>
                  </w:r>
                  <w:r>
                    <w:rPr>
                      <w:b/>
                      <w:spacing w:val="36"/>
                      <w:w w:val="120"/>
                      <w:sz w:val="20"/>
                    </w:rPr>
                    <w:t> </w:t>
                  </w:r>
                  <w:r>
                    <w:rPr>
                      <w:b/>
                      <w:w w:val="135"/>
                      <w:sz w:val="20"/>
                    </w:rPr>
                    <w:t>+</w:t>
                  </w:r>
                  <w:r>
                    <w:rPr>
                      <w:b/>
                      <w:spacing w:val="2"/>
                      <w:w w:val="135"/>
                      <w:sz w:val="20"/>
                    </w:rPr>
                    <w:t> </w:t>
                  </w:r>
                  <w:r>
                    <w:rPr>
                      <w:b/>
                      <w:w w:val="120"/>
                      <w:sz w:val="20"/>
                    </w:rPr>
                    <w:t>i</w:t>
                    <w:tab/>
                  </w:r>
                  <w:r>
                    <w:rPr>
                      <w:b/>
                      <w:i/>
                      <w:w w:val="120"/>
                      <w:sz w:val="19"/>
                    </w:rPr>
                    <w:t>a</w:t>
                  </w:r>
                  <w:r>
                    <w:rPr>
                      <w:b/>
                      <w:i/>
                      <w:spacing w:val="6"/>
                      <w:w w:val="120"/>
                      <w:sz w:val="19"/>
                    </w:rPr>
                    <w:t> </w:t>
                  </w:r>
                  <w:r>
                    <w:rPr>
                      <w:b/>
                      <w:i/>
                      <w:sz w:val="19"/>
                    </w:rPr>
                    <w:t>z</w:t>
                  </w:r>
                </w:p>
              </w:txbxContent>
            </v:textbox>
            <w10:wrap type="none"/>
          </v:shape>
        </w:pict>
      </w:r>
      <w:r>
        <w:rPr>
          <w:b/>
          <w:w w:val="42"/>
          <w:sz w:val="20"/>
        </w:rPr>
        <w:t>&lt;L</w:t>
      </w:r>
      <w:r>
        <w:rPr>
          <w:b/>
          <w:spacing w:val="-27"/>
          <w:w w:val="42"/>
          <w:sz w:val="20"/>
        </w:rPr>
        <w:t>;</w:t>
      </w:r>
      <w:r>
        <w:rPr>
          <w:i/>
          <w:spacing w:val="-36"/>
          <w:w w:val="156"/>
          <w:position w:val="12"/>
          <w:sz w:val="12"/>
        </w:rPr>
        <w:t>;</w:t>
      </w:r>
      <w:r>
        <w:rPr>
          <w:b/>
          <w:w w:val="42"/>
          <w:sz w:val="20"/>
        </w:rPr>
        <w:t>i</w:t>
      </w:r>
      <w:r>
        <w:rPr>
          <w:b/>
          <w:sz w:val="20"/>
        </w:rPr>
        <w:t> </w:t>
      </w:r>
      <w:r>
        <w:rPr>
          <w:b/>
          <w:spacing w:val="7"/>
          <w:sz w:val="20"/>
        </w:rPr>
        <w:t> </w:t>
      </w:r>
      <w:r>
        <w:rPr>
          <w:b/>
          <w:spacing w:val="-89"/>
          <w:w w:val="80"/>
          <w:sz w:val="20"/>
        </w:rPr>
        <w:t>=</w:t>
      </w:r>
      <w:r>
        <w:rPr>
          <w:w w:val="192"/>
          <w:position w:val="12"/>
          <w:sz w:val="12"/>
        </w:rPr>
        <w:t>.</w:t>
      </w:r>
      <w:r>
        <w:rPr>
          <w:position w:val="12"/>
          <w:sz w:val="12"/>
        </w:rPr>
        <w:t> </w:t>
      </w:r>
      <w:r>
        <w:rPr>
          <w:b/>
          <w:w w:val="80"/>
          <w:sz w:val="20"/>
        </w:rPr>
        <w:t>:</w:t>
      </w:r>
      <w:r>
        <w:rPr>
          <w:b/>
          <w:sz w:val="20"/>
        </w:rPr>
        <w:t> </w:t>
      </w:r>
      <w:r>
        <w:rPr>
          <w:b/>
          <w:spacing w:val="-9"/>
          <w:sz w:val="20"/>
        </w:rPr>
        <w:t> </w:t>
      </w:r>
      <w:r>
        <w:rPr>
          <w:b/>
          <w:w w:val="45"/>
          <w:sz w:val="20"/>
        </w:rPr>
        <w:t>&lt;i</w:t>
      </w:r>
      <w:r>
        <w:rPr>
          <w:b/>
          <w:w w:val="45"/>
          <w:sz w:val="20"/>
        </w:rPr>
        <w:t>:,:</w:t>
      </w:r>
      <w:r>
        <w:rPr>
          <w:b/>
          <w:sz w:val="20"/>
        </w:rPr>
        <w:t>  </w:t>
      </w:r>
      <w:r>
        <w:rPr>
          <w:b/>
          <w:w w:val="243"/>
          <w:sz w:val="20"/>
        </w:rPr>
        <w:t>-</w:t>
      </w:r>
      <w:r>
        <w:rPr>
          <w:b/>
          <w:spacing w:val="3"/>
          <w:sz w:val="20"/>
        </w:rPr>
        <w:t> </w:t>
      </w:r>
      <w:r>
        <w:rPr>
          <w:i/>
          <w:w w:val="92"/>
          <w:position w:val="12"/>
          <w:sz w:val="21"/>
        </w:rPr>
        <w:t>j</w:t>
      </w:r>
      <w:r>
        <w:rPr>
          <w:i/>
          <w:position w:val="12"/>
          <w:sz w:val="21"/>
        </w:rPr>
        <w:t> </w:t>
      </w:r>
      <w:r>
        <w:rPr>
          <w:i/>
          <w:spacing w:val="20"/>
          <w:position w:val="12"/>
          <w:sz w:val="21"/>
        </w:rPr>
        <w:t> </w:t>
      </w:r>
      <w:r>
        <w:rPr>
          <w:w w:val="261"/>
          <w:position w:val="12"/>
          <w:sz w:val="21"/>
        </w:rPr>
        <w:t>-</w:t>
      </w:r>
      <w:r>
        <w:rPr>
          <w:spacing w:val="1"/>
          <w:position w:val="12"/>
          <w:sz w:val="21"/>
        </w:rPr>
        <w:t> </w:t>
      </w:r>
      <w:r>
        <w:rPr>
          <w:w w:val="150"/>
          <w:position w:val="12"/>
          <w:sz w:val="20"/>
        </w:rPr>
        <w:t>i</w:t>
      </w:r>
      <w:r>
        <w:rPr>
          <w:spacing w:val="13"/>
          <w:position w:val="12"/>
          <w:sz w:val="20"/>
        </w:rPr>
        <w:t> </w:t>
      </w:r>
      <w:r>
        <w:rPr>
          <w:w w:val="104"/>
          <w:position w:val="12"/>
          <w:sz w:val="20"/>
        </w:rPr>
        <w:t>(</w:t>
      </w:r>
      <w:r>
        <w:rPr>
          <w:spacing w:val="-27"/>
          <w:position w:val="12"/>
          <w:sz w:val="20"/>
        </w:rPr>
        <w:t> </w:t>
      </w:r>
      <w:r>
        <w:rPr>
          <w:w w:val="149"/>
          <w:position w:val="12"/>
          <w:sz w:val="20"/>
        </w:rPr>
        <w:t>I</w:t>
      </w:r>
      <w:r>
        <w:rPr>
          <w:position w:val="12"/>
          <w:sz w:val="20"/>
        </w:rPr>
        <w:t> </w:t>
      </w:r>
      <w:r>
        <w:rPr>
          <w:spacing w:val="16"/>
          <w:position w:val="12"/>
          <w:sz w:val="20"/>
        </w:rPr>
        <w:t> </w:t>
      </w:r>
      <w:r>
        <w:rPr>
          <w:w w:val="141"/>
          <w:position w:val="12"/>
          <w:sz w:val="20"/>
        </w:rPr>
        <w:t>)</w:t>
      </w:r>
      <w:r>
        <w:rPr>
          <w:w w:val="141"/>
          <w:position w:val="12"/>
          <w:sz w:val="20"/>
        </w:rPr>
        <w:t>'</w:t>
      </w:r>
      <w:r>
        <w:rPr>
          <w:spacing w:val="-16"/>
          <w:position w:val="12"/>
          <w:sz w:val="20"/>
        </w:rPr>
        <w:t> </w:t>
      </w:r>
      <w:r>
        <w:rPr>
          <w:b/>
          <w:i/>
          <w:w w:val="104"/>
          <w:sz w:val="19"/>
        </w:rPr>
        <w:t>.</w:t>
      </w:r>
    </w:p>
    <w:p>
      <w:pPr>
        <w:pStyle w:val="BodyText"/>
        <w:spacing w:before="9"/>
        <w:rPr>
          <w:b/>
          <w:i/>
        </w:rPr>
      </w:pPr>
      <w:r>
        <w:rPr/>
        <w:br w:type="column"/>
      </w:r>
      <w:r>
        <w:rPr>
          <w:b/>
          <w:i/>
        </w:rPr>
      </w:r>
    </w:p>
    <w:p>
      <w:pPr>
        <w:pStyle w:val="BodyText"/>
        <w:spacing w:before="1"/>
        <w:ind w:left="1249"/>
      </w:pPr>
      <w:r>
        <w:rPr>
          <w:w w:val="110"/>
        </w:rPr>
        <w:t>(2.49)</w:t>
      </w:r>
    </w:p>
    <w:p>
      <w:pPr>
        <w:spacing w:after="0"/>
        <w:sectPr>
          <w:type w:val="continuous"/>
          <w:pgSz w:w="7200" w:h="11340"/>
          <w:pgMar w:top="1100" w:bottom="0" w:left="640" w:right="540"/>
          <w:cols w:num="2" w:equalWidth="0">
            <w:col w:w="4061" w:space="40"/>
            <w:col w:w="1919"/>
          </w:cols>
        </w:sectPr>
      </w:pPr>
    </w:p>
    <w:p>
      <w:pPr>
        <w:pStyle w:val="BodyText"/>
        <w:spacing w:before="8"/>
        <w:rPr>
          <w:sz w:val="11"/>
        </w:rPr>
      </w:pPr>
    </w:p>
    <w:p>
      <w:pPr>
        <w:pStyle w:val="BodyText"/>
        <w:spacing w:line="252" w:lineRule="auto" w:before="74"/>
        <w:ind w:left="119" w:right="136" w:firstLine="198"/>
        <w:jc w:val="both"/>
      </w:pPr>
      <w:r>
        <w:rPr>
          <w:w w:val="105"/>
        </w:rPr>
        <w:t>There are a number of other practica! devices for approximating annuity values. If values  are tabulated  at severa! rates of  interest, an interpolation may produce  a satisfactory  estímate of  the value  at an intermediate rate. More elaborate methods are also available, but these are not often applied in practice and need not be con­ sidered</w:t>
      </w:r>
      <w:r>
        <w:rPr>
          <w:spacing w:val="-2"/>
          <w:w w:val="105"/>
        </w:rPr>
        <w:t> </w:t>
      </w:r>
      <w:r>
        <w:rPr>
          <w:w w:val="105"/>
        </w:rPr>
        <w:t>herc.</w:t>
      </w:r>
    </w:p>
    <w:p>
      <w:pPr>
        <w:spacing w:after="0" w:line="252" w:lineRule="auto"/>
        <w:jc w:val="both"/>
        <w:sectPr>
          <w:type w:val="continuous"/>
          <w:pgSz w:w="7200" w:h="11340"/>
          <w:pgMar w:top="1100" w:bottom="0" w:left="640" w:right="540"/>
        </w:sectPr>
      </w:pPr>
    </w:p>
    <w:p>
      <w:pPr>
        <w:tabs>
          <w:tab w:pos="1183" w:val="left" w:leader="none"/>
          <w:tab w:pos="5653" w:val="left" w:leader="none"/>
        </w:tabs>
        <w:spacing w:before="45"/>
        <w:ind w:left="104" w:right="0" w:firstLine="0"/>
        <w:jc w:val="left"/>
        <w:rPr>
          <w:rFonts w:ascii="Arial"/>
          <w:sz w:val="20"/>
        </w:rPr>
      </w:pPr>
      <w:r>
        <w:rPr>
          <w:b/>
          <w:color w:val="010101"/>
          <w:sz w:val="15"/>
        </w:rPr>
        <w:t>SEC. </w:t>
      </w:r>
      <w:r>
        <w:rPr>
          <w:b/>
          <w:color w:val="010101"/>
          <w:spacing w:val="1"/>
          <w:sz w:val="15"/>
        </w:rPr>
        <w:t> </w:t>
      </w:r>
      <w:r>
        <w:rPr>
          <w:rFonts w:ascii="Arial"/>
          <w:b/>
          <w:color w:val="010101"/>
          <w:sz w:val="18"/>
        </w:rPr>
        <w:t>6]</w:t>
        <w:tab/>
      </w:r>
      <w:r>
        <w:rPr>
          <w:b/>
          <w:color w:val="010101"/>
          <w:position w:val="1"/>
          <w:sz w:val="15"/>
        </w:rPr>
        <w:t>VARL\TIONR   IN   INTEREST </w:t>
      </w:r>
      <w:r>
        <w:rPr>
          <w:b/>
          <w:color w:val="010101"/>
          <w:spacing w:val="35"/>
          <w:position w:val="1"/>
          <w:sz w:val="15"/>
        </w:rPr>
        <w:t> </w:t>
      </w:r>
      <w:r>
        <w:rPr>
          <w:b/>
          <w:color w:val="010101"/>
          <w:position w:val="1"/>
          <w:sz w:val="15"/>
        </w:rPr>
        <w:t>AND </w:t>
      </w:r>
      <w:r>
        <w:rPr>
          <w:b/>
          <w:color w:val="010101"/>
          <w:spacing w:val="25"/>
          <w:position w:val="1"/>
          <w:sz w:val="15"/>
        </w:rPr>
        <w:t> </w:t>
      </w:r>
      <w:r>
        <w:rPr>
          <w:b/>
          <w:color w:val="010101"/>
          <w:position w:val="1"/>
          <w:sz w:val="15"/>
        </w:rPr>
        <w:t>MORTALJTY</w:t>
        <w:tab/>
      </w:r>
      <w:r>
        <w:rPr>
          <w:rFonts w:ascii="Arial"/>
          <w:color w:val="010101"/>
          <w:w w:val="90"/>
          <w:sz w:val="20"/>
        </w:rPr>
        <w:t>'f&gt;7</w:t>
      </w:r>
    </w:p>
    <w:p>
      <w:pPr>
        <w:pStyle w:val="BodyText"/>
        <w:spacing w:before="3"/>
        <w:rPr>
          <w:rFonts w:ascii="Arial"/>
          <w:sz w:val="21"/>
        </w:rPr>
      </w:pPr>
    </w:p>
    <w:p>
      <w:pPr>
        <w:pStyle w:val="BodyText"/>
        <w:spacing w:line="252" w:lineRule="auto"/>
        <w:ind w:left="114" w:firstLine="197"/>
      </w:pPr>
      <w:r>
        <w:rPr>
          <w:color w:val="010101"/>
          <w:w w:val="110"/>
        </w:rPr>
        <w:t>Changes </w:t>
      </w:r>
      <w:r>
        <w:rPr>
          <w:rFonts w:ascii="Arial"/>
          <w:color w:val="010101"/>
          <w:w w:val="110"/>
        </w:rPr>
        <w:t>in </w:t>
      </w:r>
      <w:r>
        <w:rPr>
          <w:color w:val="010101"/>
          <w:w w:val="110"/>
        </w:rPr>
        <w:t>mortality asmme many different fonns and we can note here only a few simple results.</w:t>
      </w:r>
    </w:p>
    <w:p>
      <w:pPr>
        <w:pStyle w:val="BodyText"/>
        <w:spacing w:line="165" w:lineRule="auto" w:before="51"/>
        <w:ind w:left="107" w:right="241" w:firstLine="200"/>
      </w:pPr>
      <w:r>
        <w:rPr>
          <w:color w:val="010101"/>
          <w:w w:val="105"/>
        </w:rPr>
        <w:t>The efiect on </w:t>
      </w:r>
      <w:r>
        <w:rPr>
          <w:i/>
          <w:color w:val="010101"/>
          <w:w w:val="105"/>
          <w:sz w:val="21"/>
        </w:rPr>
        <w:t>as </w:t>
      </w:r>
      <w:r>
        <w:rPr>
          <w:color w:val="010101"/>
          <w:w w:val="105"/>
        </w:rPr>
        <w:t>of a change </w:t>
      </w:r>
      <w:r>
        <w:rPr>
          <w:rFonts w:ascii="Arial"/>
          <w:color w:val="010101"/>
          <w:w w:val="105"/>
        </w:rPr>
        <w:t>in </w:t>
      </w:r>
      <w:r>
        <w:rPr>
          <w:color w:val="010101"/>
          <w:w w:val="105"/>
        </w:rPr>
        <w:t>the ratc of mortality at </w:t>
      </w:r>
      <w:r>
        <w:rPr>
          <w:rFonts w:ascii="Arial"/>
          <w:color w:val="010101"/>
          <w:w w:val="105"/>
          <w:sz w:val="18"/>
        </w:rPr>
        <w:t>a </w:t>
      </w:r>
      <w:r>
        <w:rPr>
          <w:color w:val="010101"/>
          <w:w w:val="105"/>
        </w:rPr>
        <w:t>single age, say </w:t>
      </w:r>
      <w:r>
        <w:rPr>
          <w:i/>
          <w:color w:val="010101"/>
          <w:w w:val="105"/>
          <w:sz w:val="21"/>
        </w:rPr>
        <w:t>x  </w:t>
      </w:r>
      <w:r>
        <w:rPr>
          <w:color w:val="010101"/>
          <w:w w:val="105"/>
          <w:sz w:val="29"/>
        </w:rPr>
        <w:t>+ </w:t>
      </w:r>
      <w:r>
        <w:rPr>
          <w:i/>
          <w:color w:val="010101"/>
          <w:w w:val="105"/>
          <w:sz w:val="21"/>
        </w:rPr>
        <w:t>n, </w:t>
      </w:r>
      <w:r>
        <w:rPr>
          <w:color w:val="010101"/>
          <w:w w:val="105"/>
        </w:rPr>
        <w:t>is easily detennined. </w:t>
      </w:r>
      <w:r>
        <w:rPr>
          <w:rFonts w:ascii="Arial"/>
          <w:color w:val="010101"/>
          <w:w w:val="105"/>
          <w:sz w:val="19"/>
        </w:rPr>
        <w:t>W</w:t>
      </w:r>
      <w:r>
        <w:rPr>
          <w:color w:val="010101"/>
          <w:w w:val="105"/>
        </w:rPr>
        <w:t>e write</w:t>
      </w:r>
    </w:p>
    <w:p>
      <w:pPr>
        <w:pStyle w:val="BodyText"/>
        <w:spacing w:before="3"/>
        <w:rPr>
          <w:sz w:val="9"/>
        </w:rPr>
      </w:pPr>
      <w:r>
        <w:rPr/>
        <w:drawing>
          <wp:anchor distT="0" distB="0" distL="0" distR="0" allowOverlap="1" layoutInCell="1" locked="0" behindDoc="0" simplePos="0" relativeHeight="5200">
            <wp:simplePos x="0" y="0"/>
            <wp:positionH relativeFrom="page">
              <wp:posOffset>484631</wp:posOffset>
            </wp:positionH>
            <wp:positionV relativeFrom="paragraph">
              <wp:posOffset>92579</wp:posOffset>
            </wp:positionV>
            <wp:extent cx="2450591" cy="365760"/>
            <wp:effectExtent l="0" t="0" r="0" b="0"/>
            <wp:wrapTopAndBottom/>
            <wp:docPr id="125" name="image67.png" descr=""/>
            <wp:cNvGraphicFramePr>
              <a:graphicFrameLocks noChangeAspect="1"/>
            </wp:cNvGraphicFramePr>
            <a:graphic>
              <a:graphicData uri="http://schemas.openxmlformats.org/drawingml/2006/picture">
                <pic:pic>
                  <pic:nvPicPr>
                    <pic:cNvPr id="126" name="image67.png"/>
                    <pic:cNvPicPr/>
                  </pic:nvPicPr>
                  <pic:blipFill>
                    <a:blip r:embed="rId71" cstate="print"/>
                    <a:stretch>
                      <a:fillRect/>
                    </a:stretch>
                  </pic:blipFill>
                  <pic:spPr>
                    <a:xfrm>
                      <a:off x="0" y="0"/>
                      <a:ext cx="2450591" cy="365760"/>
                    </a:xfrm>
                    <a:prstGeom prst="rect">
                      <a:avLst/>
                    </a:prstGeom>
                  </pic:spPr>
                </pic:pic>
              </a:graphicData>
            </a:graphic>
          </wp:anchor>
        </w:drawing>
      </w:r>
    </w:p>
    <w:p>
      <w:pPr>
        <w:tabs>
          <w:tab w:pos="893" w:val="left" w:leader="none"/>
        </w:tabs>
        <w:spacing w:before="38" w:after="86"/>
        <w:ind w:left="114" w:right="0" w:firstLine="0"/>
        <w:jc w:val="left"/>
        <w:rPr>
          <w:i/>
          <w:sz w:val="16"/>
        </w:rPr>
      </w:pPr>
      <w:r>
        <w:rPr>
          <w:color w:val="010101"/>
          <w:sz w:val="20"/>
        </w:rPr>
        <w:t>and</w:t>
        <w:tab/>
      </w:r>
      <w:r>
        <w:rPr>
          <w:i/>
          <w:color w:val="010101"/>
          <w:sz w:val="16"/>
        </w:rPr>
        <w:t>P.r+n  </w:t>
      </w:r>
      <w:r>
        <w:rPr>
          <w:color w:val="010101"/>
          <w:sz w:val="28"/>
        </w:rPr>
        <w:t>= </w:t>
      </w:r>
      <w:r>
        <w:rPr>
          <w:color w:val="010101"/>
          <w:sz w:val="20"/>
        </w:rPr>
        <w:t>1 </w:t>
      </w:r>
      <w:r>
        <w:rPr>
          <w:color w:val="010101"/>
          <w:w w:val="245"/>
          <w:sz w:val="20"/>
        </w:rPr>
        <w:t>-</w:t>
      </w:r>
      <w:r>
        <w:rPr>
          <w:color w:val="010101"/>
          <w:spacing w:val="-39"/>
          <w:w w:val="245"/>
          <w:sz w:val="20"/>
        </w:rPr>
        <w:t> </w:t>
      </w:r>
      <w:r>
        <w:rPr>
          <w:i/>
          <w:color w:val="010101"/>
          <w:sz w:val="16"/>
        </w:rPr>
        <w:t>Qz+n </w:t>
      </w:r>
      <w:r>
        <w:rPr>
          <w:i/>
          <w:color w:val="010101"/>
          <w:w w:val="125"/>
          <w:sz w:val="16"/>
        </w:rPr>
        <w:t>,</w:t>
      </w:r>
    </w:p>
    <w:p>
      <w:pPr>
        <w:pStyle w:val="BodyText"/>
        <w:ind w:left="1298"/>
      </w:pPr>
      <w:r>
        <w:rPr/>
        <w:drawing>
          <wp:inline distT="0" distB="0" distL="0" distR="0">
            <wp:extent cx="2130552" cy="164591"/>
            <wp:effectExtent l="0" t="0" r="0" b="0"/>
            <wp:docPr id="127" name="image68.png" descr=""/>
            <wp:cNvGraphicFramePr>
              <a:graphicFrameLocks noChangeAspect="1"/>
            </wp:cNvGraphicFramePr>
            <a:graphic>
              <a:graphicData uri="http://schemas.openxmlformats.org/drawingml/2006/picture">
                <pic:pic>
                  <pic:nvPicPr>
                    <pic:cNvPr id="128" name="image68.png"/>
                    <pic:cNvPicPr/>
                  </pic:nvPicPr>
                  <pic:blipFill>
                    <a:blip r:embed="rId72" cstate="print"/>
                    <a:stretch>
                      <a:fillRect/>
                    </a:stretch>
                  </pic:blipFill>
                  <pic:spPr>
                    <a:xfrm>
                      <a:off x="0" y="0"/>
                      <a:ext cx="2130552" cy="164591"/>
                    </a:xfrm>
                    <a:prstGeom prst="rect">
                      <a:avLst/>
                    </a:prstGeom>
                  </pic:spPr>
                </pic:pic>
              </a:graphicData>
            </a:graphic>
          </wp:inline>
        </w:drawing>
      </w:r>
      <w:r>
        <w:rPr/>
      </w:r>
    </w:p>
    <w:p>
      <w:pPr>
        <w:spacing w:line="344" w:lineRule="exact" w:before="1"/>
        <w:ind w:left="122" w:right="0" w:firstLine="0"/>
        <w:jc w:val="left"/>
        <w:rPr>
          <w:sz w:val="20"/>
        </w:rPr>
      </w:pPr>
      <w:r>
        <w:rPr>
          <w:color w:val="010101"/>
          <w:w w:val="105"/>
          <w:sz w:val="21"/>
        </w:rPr>
        <w:t>If  </w:t>
      </w:r>
      <w:r>
        <w:rPr>
          <w:color w:val="010101"/>
          <w:w w:val="105"/>
          <w:sz w:val="20"/>
        </w:rPr>
        <w:t>now </w:t>
      </w:r>
      <w:r>
        <w:rPr>
          <w:i/>
          <w:color w:val="010101"/>
          <w:w w:val="105"/>
          <w:sz w:val="16"/>
        </w:rPr>
        <w:t>qz+n  </w:t>
      </w:r>
      <w:r>
        <w:rPr>
          <w:color w:val="010101"/>
          <w:w w:val="105"/>
          <w:sz w:val="20"/>
        </w:rPr>
        <w:t>is replaced by </w:t>
      </w:r>
      <w:r>
        <w:rPr>
          <w:i/>
          <w:color w:val="010101"/>
          <w:w w:val="105"/>
          <w:sz w:val="16"/>
        </w:rPr>
        <w:t>qz+•  </w:t>
      </w:r>
      <w:r>
        <w:rPr>
          <w:rFonts w:ascii="Arial" w:hAnsi="Arial"/>
          <w:color w:val="010101"/>
          <w:w w:val="105"/>
          <w:sz w:val="32"/>
        </w:rPr>
        <w:t>+ </w:t>
      </w:r>
      <w:r>
        <w:rPr>
          <w:i/>
          <w:color w:val="010101"/>
          <w:w w:val="105"/>
          <w:sz w:val="20"/>
        </w:rPr>
        <w:t>e, </w:t>
      </w:r>
      <w:r>
        <w:rPr>
          <w:color w:val="010101"/>
          <w:w w:val="105"/>
          <w:sz w:val="20"/>
        </w:rPr>
        <w:t>we can </w:t>
      </w:r>
      <w:r>
        <w:rPr>
          <w:color w:val="010101"/>
          <w:w w:val="105"/>
          <w:sz w:val="19"/>
        </w:rPr>
        <w:t>see </w:t>
      </w:r>
      <w:r>
        <w:rPr>
          <w:color w:val="010101"/>
          <w:w w:val="105"/>
          <w:sz w:val="20"/>
        </w:rPr>
        <w:t>that the change  in</w:t>
      </w:r>
    </w:p>
    <w:p>
      <w:pPr>
        <w:tabs>
          <w:tab w:pos="2464" w:val="left" w:leader="none"/>
        </w:tabs>
        <w:spacing w:line="250" w:lineRule="exact" w:before="0"/>
        <w:ind w:left="114" w:right="0" w:firstLine="0"/>
        <w:jc w:val="left"/>
        <w:rPr>
          <w:sz w:val="15"/>
        </w:rPr>
      </w:pPr>
      <w:r>
        <w:rPr/>
        <w:pict>
          <v:shape style="position:absolute;margin-left:115.515701pt;margin-top:4.187789pt;width:38.3pt;height:7.5pt;mso-position-horizontal-relative:page;mso-position-vertical-relative:paragraph;z-index:-730792" type="#_x0000_t202" filled="false" stroked="false">
            <v:textbox inset="0,0,0,0">
              <w:txbxContent>
                <w:p>
                  <w:pPr>
                    <w:spacing w:line="150" w:lineRule="exact" w:before="0"/>
                    <w:ind w:left="0" w:right="-7" w:firstLine="0"/>
                    <w:jc w:val="left"/>
                    <w:rPr>
                      <w:sz w:val="15"/>
                    </w:rPr>
                  </w:pPr>
                  <w:r>
                    <w:rPr>
                      <w:color w:val="010101"/>
                      <w:sz w:val="15"/>
                    </w:rPr>
                    <w:t>nP;rOz+n+1</w:t>
                  </w:r>
                </w:p>
              </w:txbxContent>
            </v:textbox>
            <w10:wrap type="none"/>
          </v:shape>
        </w:pict>
      </w:r>
      <w:r>
        <w:rPr>
          <w:i/>
          <w:color w:val="010101"/>
          <w:sz w:val="21"/>
        </w:rPr>
        <w:t>az  </w:t>
      </w:r>
      <w:r>
        <w:rPr>
          <w:color w:val="010101"/>
          <w:sz w:val="21"/>
        </w:rPr>
        <w:t>will </w:t>
      </w:r>
      <w:r>
        <w:rPr>
          <w:color w:val="010101"/>
          <w:spacing w:val="14"/>
          <w:sz w:val="21"/>
        </w:rPr>
        <w:t> </w:t>
      </w:r>
      <w:r>
        <w:rPr>
          <w:color w:val="010101"/>
          <w:w w:val="105"/>
          <w:sz w:val="20"/>
        </w:rPr>
        <w:t>be </w:t>
      </w:r>
      <w:r>
        <w:rPr>
          <w:color w:val="010101"/>
          <w:spacing w:val="17"/>
          <w:w w:val="105"/>
          <w:sz w:val="20"/>
        </w:rPr>
        <w:t> </w:t>
      </w:r>
      <w:r>
        <w:rPr>
          <w:rFonts w:ascii="Arial" w:hAnsi="Arial"/>
          <w:color w:val="010101"/>
          <w:w w:val="105"/>
          <w:sz w:val="18"/>
        </w:rPr>
        <w:t>-cv"+</w:t>
      </w:r>
      <w:r>
        <w:rPr>
          <w:color w:val="010101"/>
          <w:w w:val="105"/>
          <w:position w:val="11"/>
          <w:sz w:val="12"/>
        </w:rPr>
        <w:t>1</w:t>
        <w:tab/>
      </w:r>
      <w:r>
        <w:rPr>
          <w:color w:val="010101"/>
          <w:w w:val="105"/>
          <w:sz w:val="15"/>
        </w:rPr>
        <w:t>•</w:t>
      </w:r>
    </w:p>
    <w:p>
      <w:pPr>
        <w:pStyle w:val="BodyText"/>
        <w:spacing w:line="249" w:lineRule="auto"/>
        <w:ind w:left="114" w:right="120" w:firstLine="208"/>
        <w:jc w:val="both"/>
      </w:pPr>
      <w:r>
        <w:rPr>
          <w:color w:val="010101"/>
          <w:w w:val="105"/>
        </w:rPr>
        <w:t>Let us next examine the effect of  a constant  change in the force </w:t>
      </w:r>
      <w:r>
        <w:rPr>
          <w:color w:val="010101"/>
          <w:w w:val="105"/>
          <w:sz w:val="19"/>
        </w:rPr>
        <w:t>of </w:t>
      </w:r>
      <w:r>
        <w:rPr>
          <w:color w:val="010101"/>
          <w:w w:val="105"/>
        </w:rPr>
        <w:t>morta]ity. Since </w:t>
      </w:r>
      <w:r>
        <w:rPr>
          <w:color w:val="010101"/>
          <w:w w:val="105"/>
          <w:sz w:val="19"/>
        </w:rPr>
        <w:t>the </w:t>
      </w:r>
      <w:r>
        <w:rPr>
          <w:color w:val="010101"/>
          <w:w w:val="105"/>
        </w:rPr>
        <w:t>annuity value </w:t>
      </w:r>
      <w:r>
        <w:rPr>
          <w:i/>
          <w:color w:val="010101"/>
          <w:w w:val="105"/>
          <w:sz w:val="21"/>
        </w:rPr>
        <w:t>az </w:t>
      </w:r>
      <w:r>
        <w:rPr>
          <w:color w:val="010101"/>
          <w:w w:val="105"/>
        </w:rPr>
        <w:t>can </w:t>
      </w:r>
      <w:r>
        <w:rPr>
          <w:color w:val="010101"/>
          <w:w w:val="105"/>
          <w:sz w:val="19"/>
        </w:rPr>
        <w:t>be </w:t>
      </w:r>
      <w:r>
        <w:rPr>
          <w:color w:val="010101"/>
          <w:w w:val="105"/>
        </w:rPr>
        <w:t>expressed  as the  sum of pure endowment values, it will </w:t>
      </w:r>
      <w:r>
        <w:rPr>
          <w:color w:val="010101"/>
          <w:w w:val="105"/>
          <w:sz w:val="19"/>
        </w:rPr>
        <w:t>be </w:t>
      </w:r>
      <w:r>
        <w:rPr>
          <w:color w:val="010101"/>
          <w:w w:val="105"/>
        </w:rPr>
        <w:t>sufficient to study thc effect of this change on </w:t>
      </w:r>
      <w:r>
        <w:rPr>
          <w:i/>
          <w:color w:val="010101"/>
          <w:w w:val="105"/>
          <w:sz w:val="16"/>
        </w:rPr>
        <w:t>nE.r  </w:t>
      </w:r>
      <w:r>
        <w:rPr>
          <w:i/>
          <w:color w:val="010101"/>
          <w:w w:val="150"/>
          <w:sz w:val="16"/>
        </w:rPr>
        <w:t>. </w:t>
      </w:r>
      <w:r>
        <w:rPr>
          <w:color w:val="010101"/>
          <w:w w:val="105"/>
        </w:rPr>
        <w:t>Writing</w:t>
      </w:r>
    </w:p>
    <w:p>
      <w:pPr>
        <w:pStyle w:val="BodyText"/>
        <w:spacing w:before="8"/>
        <w:rPr>
          <w:sz w:val="8"/>
        </w:rPr>
      </w:pPr>
      <w:r>
        <w:rPr/>
        <w:drawing>
          <wp:anchor distT="0" distB="0" distL="0" distR="0" allowOverlap="1" layoutInCell="1" locked="0" behindDoc="0" simplePos="0" relativeHeight="5224">
            <wp:simplePos x="0" y="0"/>
            <wp:positionH relativeFrom="page">
              <wp:posOffset>1719072</wp:posOffset>
            </wp:positionH>
            <wp:positionV relativeFrom="paragraph">
              <wp:posOffset>88785</wp:posOffset>
            </wp:positionV>
            <wp:extent cx="713231" cy="137160"/>
            <wp:effectExtent l="0" t="0" r="0" b="0"/>
            <wp:wrapTopAndBottom/>
            <wp:docPr id="129" name="image69.png" descr=""/>
            <wp:cNvGraphicFramePr>
              <a:graphicFrameLocks noChangeAspect="1"/>
            </wp:cNvGraphicFramePr>
            <a:graphic>
              <a:graphicData uri="http://schemas.openxmlformats.org/drawingml/2006/picture">
                <pic:pic>
                  <pic:nvPicPr>
                    <pic:cNvPr id="130" name="image69.png"/>
                    <pic:cNvPicPr/>
                  </pic:nvPicPr>
                  <pic:blipFill>
                    <a:blip r:embed="rId73" cstate="print"/>
                    <a:stretch>
                      <a:fillRect/>
                    </a:stretch>
                  </pic:blipFill>
                  <pic:spPr>
                    <a:xfrm>
                      <a:off x="0" y="0"/>
                      <a:ext cx="713231" cy="137160"/>
                    </a:xfrm>
                    <a:prstGeom prst="rect">
                      <a:avLst/>
                    </a:prstGeom>
                  </pic:spPr>
                </pic:pic>
              </a:graphicData>
            </a:graphic>
          </wp:anchor>
        </w:drawing>
      </w:r>
    </w:p>
    <w:p>
      <w:pPr>
        <w:spacing w:after="0"/>
        <w:rPr>
          <w:sz w:val="8"/>
        </w:rPr>
        <w:sectPr>
          <w:pgSz w:w="7200" w:h="11340"/>
          <w:pgMar w:top="540" w:bottom="280" w:left="660" w:right="540"/>
        </w:sectPr>
      </w:pPr>
    </w:p>
    <w:p>
      <w:pPr>
        <w:pStyle w:val="BodyText"/>
        <w:spacing w:before="153"/>
        <w:ind w:left="118" w:right="-19"/>
      </w:pPr>
      <w:r>
        <w:rPr>
          <w:color w:val="010101"/>
          <w:w w:val="110"/>
        </w:rPr>
        <w:t>and substituting</w:t>
      </w:r>
    </w:p>
    <w:p>
      <w:pPr>
        <w:spacing w:before="145"/>
        <w:ind w:left="118" w:right="-18" w:firstLine="0"/>
        <w:jc w:val="left"/>
        <w:rPr>
          <w:sz w:val="12"/>
        </w:rPr>
      </w:pPr>
      <w:r>
        <w:rPr/>
        <w:br w:type="column"/>
      </w:r>
      <w:r>
        <w:rPr>
          <w:i/>
          <w:color w:val="010101"/>
          <w:w w:val="82"/>
          <w:position w:val="-8"/>
          <w:sz w:val="21"/>
        </w:rPr>
        <w:t>v</w:t>
      </w:r>
      <w:r>
        <w:rPr>
          <w:i/>
          <w:color w:val="010101"/>
          <w:spacing w:val="-30"/>
          <w:position w:val="-8"/>
          <w:sz w:val="21"/>
        </w:rPr>
        <w:t> </w:t>
      </w:r>
      <w:r>
        <w:rPr>
          <w:color w:val="010101"/>
          <w:w w:val="96"/>
          <w:sz w:val="12"/>
        </w:rPr>
        <w:t>n</w:t>
      </w:r>
      <w:r>
        <w:rPr>
          <w:color w:val="010101"/>
          <w:sz w:val="12"/>
        </w:rPr>
        <w:t>   </w:t>
      </w:r>
      <w:r>
        <w:rPr>
          <w:color w:val="010101"/>
          <w:spacing w:val="-9"/>
          <w:sz w:val="12"/>
        </w:rPr>
        <w:t> </w:t>
      </w:r>
      <w:r>
        <w:rPr>
          <w:i/>
          <w:color w:val="010101"/>
          <w:w w:val="114"/>
          <w:position w:val="-8"/>
          <w:sz w:val="21"/>
        </w:rPr>
        <w:t>=</w:t>
      </w:r>
      <w:r>
        <w:rPr>
          <w:i/>
          <w:color w:val="010101"/>
          <w:spacing w:val="14"/>
          <w:position w:val="-8"/>
          <w:sz w:val="21"/>
        </w:rPr>
        <w:t> </w:t>
      </w:r>
      <w:r>
        <w:rPr>
          <w:i/>
          <w:color w:val="010101"/>
          <w:spacing w:val="-3"/>
          <w:w w:val="87"/>
          <w:position w:val="-8"/>
          <w:sz w:val="21"/>
        </w:rPr>
        <w:t>e</w:t>
      </w:r>
      <w:r>
        <w:rPr>
          <w:color w:val="010101"/>
          <w:w w:val="201"/>
          <w:sz w:val="12"/>
        </w:rPr>
        <w:t>-</w:t>
      </w:r>
      <w:r>
        <w:rPr>
          <w:color w:val="010101"/>
          <w:spacing w:val="14"/>
          <w:w w:val="201"/>
          <w:sz w:val="12"/>
        </w:rPr>
        <w:t>I</w:t>
      </w:r>
      <w:r>
        <w:rPr>
          <w:color w:val="010101"/>
          <w:w w:val="96"/>
          <w:sz w:val="12"/>
        </w:rPr>
        <w:t>n</w:t>
      </w:r>
    </w:p>
    <w:p>
      <w:pPr>
        <w:spacing w:line="393" w:lineRule="exact" w:before="0"/>
        <w:ind w:left="63" w:right="0" w:firstLine="0"/>
        <w:jc w:val="left"/>
        <w:rPr>
          <w:rFonts w:ascii="Arial" w:hAnsi="Arial"/>
          <w:sz w:val="11"/>
        </w:rPr>
      </w:pPr>
      <w:r>
        <w:rPr/>
        <w:br w:type="column"/>
      </w:r>
      <w:r>
        <w:rPr>
          <w:i/>
          <w:color w:val="010101"/>
          <w:w w:val="114"/>
          <w:position w:val="-8"/>
          <w:sz w:val="21"/>
        </w:rPr>
        <w:t>=</w:t>
      </w:r>
      <w:r>
        <w:rPr>
          <w:i/>
          <w:color w:val="010101"/>
          <w:spacing w:val="10"/>
          <w:position w:val="-8"/>
          <w:sz w:val="21"/>
        </w:rPr>
        <w:t> </w:t>
      </w:r>
      <w:r>
        <w:rPr>
          <w:i/>
          <w:color w:val="010101"/>
          <w:spacing w:val="-7"/>
          <w:w w:val="91"/>
          <w:position w:val="-8"/>
          <w:sz w:val="21"/>
        </w:rPr>
        <w:t>e</w:t>
      </w:r>
      <w:r>
        <w:rPr>
          <w:rFonts w:ascii="Arial" w:hAnsi="Arial"/>
          <w:b/>
          <w:i/>
          <w:color w:val="010101"/>
          <w:w w:val="80"/>
          <w:sz w:val="33"/>
        </w:rPr>
        <w:t>-f</w:t>
      </w:r>
      <w:r>
        <w:rPr>
          <w:rFonts w:ascii="Arial" w:hAnsi="Arial"/>
          <w:b/>
          <w:i/>
          <w:color w:val="010101"/>
          <w:spacing w:val="-61"/>
          <w:w w:val="80"/>
          <w:sz w:val="33"/>
        </w:rPr>
        <w:t>"</w:t>
      </w:r>
      <w:r>
        <w:rPr>
          <w:b/>
          <w:color w:val="010101"/>
          <w:w w:val="76"/>
          <w:position w:val="-8"/>
          <w:sz w:val="14"/>
        </w:rPr>
        <w:t>o</w:t>
      </w:r>
      <w:r>
        <w:rPr>
          <w:b/>
          <w:color w:val="010101"/>
          <w:position w:val="-8"/>
          <w:sz w:val="14"/>
        </w:rPr>
        <w:t> </w:t>
      </w:r>
      <w:r>
        <w:rPr>
          <w:b/>
          <w:color w:val="010101"/>
          <w:spacing w:val="10"/>
          <w:position w:val="-8"/>
          <w:sz w:val="14"/>
        </w:rPr>
        <w:t> </w:t>
      </w:r>
      <w:r>
        <w:rPr>
          <w:color w:val="010101"/>
          <w:spacing w:val="-57"/>
          <w:w w:val="377"/>
          <w:sz w:val="12"/>
        </w:rPr>
        <w:t>¡</w:t>
      </w:r>
      <w:r>
        <w:rPr>
          <w:rFonts w:ascii="Arial" w:hAnsi="Arial"/>
          <w:color w:val="010101"/>
          <w:w w:val="138"/>
          <w:sz w:val="11"/>
        </w:rPr>
        <w:t>Jt</w:t>
      </w:r>
    </w:p>
    <w:p>
      <w:pPr>
        <w:spacing w:after="0" w:line="393" w:lineRule="exact"/>
        <w:jc w:val="left"/>
        <w:rPr>
          <w:rFonts w:ascii="Arial" w:hAnsi="Arial"/>
          <w:sz w:val="11"/>
        </w:rPr>
        <w:sectPr>
          <w:type w:val="continuous"/>
          <w:pgSz w:w="7200" w:h="11340"/>
          <w:pgMar w:top="1100" w:bottom="0" w:left="660" w:right="540"/>
          <w:cols w:num="3" w:equalWidth="0">
            <w:col w:w="1519" w:space="515"/>
            <w:col w:w="930" w:space="40"/>
            <w:col w:w="2996"/>
          </w:cols>
        </w:sectPr>
      </w:pPr>
    </w:p>
    <w:p>
      <w:pPr>
        <w:pStyle w:val="BodyText"/>
        <w:spacing w:before="8"/>
        <w:rPr>
          <w:rFonts w:ascii="Arial"/>
          <w:sz w:val="15"/>
        </w:rPr>
      </w:pPr>
    </w:p>
    <w:p>
      <w:pPr>
        <w:pStyle w:val="BodyText"/>
        <w:spacing w:before="1"/>
        <w:ind w:left="118" w:right="-8"/>
      </w:pPr>
      <w:r>
        <w:rPr>
          <w:color w:val="010101"/>
          <w:w w:val="105"/>
        </w:rPr>
        <w:t>and</w:t>
      </w:r>
    </w:p>
    <w:p>
      <w:pPr>
        <w:spacing w:line="345" w:lineRule="exact" w:before="0"/>
        <w:ind w:left="466" w:right="0" w:firstLine="0"/>
        <w:jc w:val="left"/>
        <w:rPr>
          <w:b/>
          <w:i/>
          <w:sz w:val="12"/>
        </w:rPr>
      </w:pPr>
      <w:r>
        <w:rPr/>
        <w:br w:type="column"/>
      </w:r>
      <w:r>
        <w:rPr>
          <w:rFonts w:ascii="Arial"/>
          <w:color w:val="010101"/>
          <w:w w:val="233"/>
          <w:sz w:val="19"/>
        </w:rPr>
        <w:t>-</w:t>
      </w:r>
      <w:r>
        <w:rPr>
          <w:rFonts w:ascii="Arial"/>
          <w:color w:val="010101"/>
          <w:spacing w:val="25"/>
          <w:sz w:val="19"/>
        </w:rPr>
        <w:t> </w:t>
      </w:r>
      <w:r>
        <w:rPr>
          <w:b/>
          <w:i/>
          <w:color w:val="010101"/>
          <w:w w:val="115"/>
          <w:sz w:val="20"/>
        </w:rPr>
        <w:t>e-</w:t>
      </w:r>
      <w:r>
        <w:rPr>
          <w:b/>
          <w:i/>
          <w:color w:val="010101"/>
          <w:sz w:val="20"/>
        </w:rPr>
        <w:t>  </w:t>
      </w:r>
      <w:r>
        <w:rPr>
          <w:b/>
          <w:i/>
          <w:color w:val="010101"/>
          <w:spacing w:val="-11"/>
          <w:sz w:val="20"/>
        </w:rPr>
        <w:t> </w:t>
      </w:r>
      <w:r>
        <w:rPr>
          <w:b/>
          <w:color w:val="010101"/>
          <w:spacing w:val="-47"/>
          <w:w w:val="89"/>
          <w:sz w:val="12"/>
        </w:rPr>
        <w:t>o</w:t>
      </w:r>
      <w:r>
        <w:rPr>
          <w:rFonts w:ascii="Arial"/>
          <w:i/>
          <w:color w:val="010101"/>
          <w:spacing w:val="10"/>
          <w:w w:val="69"/>
          <w:position w:val="4"/>
          <w:sz w:val="32"/>
        </w:rPr>
        <w:t>"</w:t>
      </w:r>
      <w:r>
        <w:rPr>
          <w:b/>
          <w:color w:val="010101"/>
          <w:w w:val="126"/>
          <w:sz w:val="12"/>
        </w:rPr>
        <w:t>"s+</w:t>
      </w:r>
      <w:r>
        <w:rPr>
          <w:b/>
          <w:color w:val="010101"/>
          <w:spacing w:val="-14"/>
          <w:sz w:val="12"/>
        </w:rPr>
        <w:t> </w:t>
      </w:r>
      <w:r>
        <w:rPr>
          <w:b/>
          <w:color w:val="010101"/>
          <w:w w:val="95"/>
          <w:sz w:val="12"/>
        </w:rPr>
        <w:t>t</w:t>
      </w:r>
      <w:r>
        <w:rPr>
          <w:b/>
          <w:color w:val="010101"/>
          <w:sz w:val="12"/>
        </w:rPr>
        <w:t> </w:t>
      </w:r>
      <w:r>
        <w:rPr>
          <w:b/>
          <w:color w:val="010101"/>
          <w:spacing w:val="9"/>
          <w:sz w:val="12"/>
        </w:rPr>
        <w:t> </w:t>
      </w:r>
      <w:r>
        <w:rPr>
          <w:b/>
          <w:i/>
          <w:color w:val="010101"/>
          <w:w w:val="93"/>
          <w:position w:val="4"/>
          <w:sz w:val="12"/>
        </w:rPr>
        <w:t>d</w:t>
      </w:r>
      <w:r>
        <w:rPr>
          <w:b/>
          <w:i/>
          <w:color w:val="010101"/>
          <w:spacing w:val="-7"/>
          <w:position w:val="4"/>
          <w:sz w:val="12"/>
        </w:rPr>
        <w:t> </w:t>
      </w:r>
      <w:r>
        <w:rPr>
          <w:b/>
          <w:i/>
          <w:color w:val="010101"/>
          <w:w w:val="99"/>
          <w:position w:val="4"/>
          <w:sz w:val="12"/>
        </w:rPr>
        <w:t>t</w:t>
      </w:r>
    </w:p>
    <w:p>
      <w:pPr>
        <w:tabs>
          <w:tab w:pos="1589" w:val="left" w:leader="none"/>
        </w:tabs>
        <w:spacing w:line="130" w:lineRule="exact" w:before="0"/>
        <w:ind w:left="118" w:right="0" w:firstLine="0"/>
        <w:jc w:val="left"/>
        <w:rPr>
          <w:sz w:val="13"/>
        </w:rPr>
      </w:pPr>
      <w:r>
        <w:rPr/>
        <w:pict>
          <v:shape style="position:absolute;margin-left:141.165894pt;margin-top:-12.181293pt;width:38.7pt;height:17.150pt;mso-position-horizontal-relative:page;mso-position-vertical-relative:paragraph;z-index:-730768" type="#_x0000_t202" filled="false" stroked="false">
            <v:textbox inset="0,0,0,0">
              <w:txbxContent>
                <w:p>
                  <w:pPr>
                    <w:tabs>
                      <w:tab w:pos="695" w:val="left" w:leader="none"/>
                    </w:tabs>
                    <w:spacing w:line="342" w:lineRule="exact" w:before="0"/>
                    <w:ind w:left="0" w:right="0" w:firstLine="0"/>
                    <w:jc w:val="left"/>
                    <w:rPr>
                      <w:rFonts w:ascii="Arial"/>
                      <w:i/>
                      <w:sz w:val="32"/>
                    </w:rPr>
                  </w:pPr>
                  <w:r>
                    <w:rPr>
                      <w:rFonts w:ascii="Arial"/>
                      <w:i/>
                      <w:color w:val="010101"/>
                      <w:w w:val="95"/>
                      <w:position w:val="-4"/>
                      <w:sz w:val="19"/>
                    </w:rPr>
                    <w:t>P</w:t>
                    <w:tab/>
                  </w:r>
                  <w:r>
                    <w:rPr>
                      <w:rFonts w:ascii="Arial"/>
                      <w:i/>
                      <w:color w:val="010101"/>
                      <w:w w:val="85"/>
                      <w:sz w:val="32"/>
                    </w:rPr>
                    <w:t>f</w:t>
                  </w:r>
                </w:p>
              </w:txbxContent>
            </v:textbox>
            <w10:wrap type="none"/>
          </v:shape>
        </w:pict>
      </w:r>
      <w:r>
        <w:rPr>
          <w:color w:val="010101"/>
          <w:w w:val="205"/>
          <w:sz w:val="13"/>
        </w:rPr>
        <w:t>"</w:t>
      </w:r>
      <w:r>
        <w:rPr>
          <w:color w:val="010101"/>
          <w:spacing w:val="19"/>
          <w:w w:val="205"/>
          <w:sz w:val="13"/>
        </w:rPr>
        <w:t> </w:t>
      </w:r>
      <w:r>
        <w:rPr>
          <w:b/>
          <w:color w:val="010101"/>
          <w:w w:val="125"/>
          <w:sz w:val="13"/>
        </w:rPr>
        <w:t>z </w:t>
      </w:r>
      <w:r>
        <w:rPr>
          <w:b/>
          <w:color w:val="010101"/>
          <w:spacing w:val="11"/>
          <w:w w:val="125"/>
          <w:sz w:val="13"/>
        </w:rPr>
        <w:t> </w:t>
      </w:r>
      <w:r>
        <w:rPr>
          <w:color w:val="010101"/>
          <w:w w:val="360"/>
          <w:sz w:val="13"/>
        </w:rPr>
        <w:t>-</w:t>
        <w:tab/>
      </w:r>
      <w:r>
        <w:rPr>
          <w:color w:val="010101"/>
          <w:w w:val="260"/>
          <w:sz w:val="13"/>
        </w:rPr>
        <w:t>'</w:t>
      </w:r>
    </w:p>
    <w:p>
      <w:pPr>
        <w:spacing w:after="0" w:line="130" w:lineRule="exact"/>
        <w:jc w:val="left"/>
        <w:rPr>
          <w:sz w:val="13"/>
        </w:rPr>
        <w:sectPr>
          <w:type w:val="continuous"/>
          <w:pgSz w:w="7200" w:h="11340"/>
          <w:pgMar w:top="1100" w:bottom="0" w:left="660" w:right="540"/>
          <w:cols w:num="2" w:equalWidth="0">
            <w:col w:w="434" w:space="1536"/>
            <w:col w:w="4030"/>
          </w:cols>
        </w:sectPr>
      </w:pPr>
    </w:p>
    <w:p>
      <w:pPr>
        <w:pStyle w:val="BodyText"/>
        <w:spacing w:before="130"/>
        <w:ind w:left="114" w:right="-8"/>
      </w:pPr>
      <w:r>
        <w:rPr>
          <w:color w:val="010101"/>
          <w:w w:val="105"/>
        </w:rPr>
        <w:t>we have</w:t>
      </w:r>
    </w:p>
    <w:p>
      <w:pPr>
        <w:spacing w:line="365" w:lineRule="exact" w:before="0"/>
        <w:ind w:left="114" w:right="-14" w:firstLine="0"/>
        <w:jc w:val="left"/>
        <w:rPr>
          <w:b/>
          <w:sz w:val="14"/>
        </w:rPr>
      </w:pPr>
      <w:r>
        <w:rPr/>
        <w:br w:type="column"/>
      </w:r>
      <w:r>
        <w:rPr>
          <w:color w:val="010101"/>
          <w:spacing w:val="-4"/>
          <w:w w:val="140"/>
          <w:position w:val="-8"/>
          <w:sz w:val="14"/>
        </w:rPr>
        <w:t>•</w:t>
      </w:r>
      <w:r>
        <w:rPr>
          <w:i/>
          <w:color w:val="010101"/>
          <w:spacing w:val="-4"/>
          <w:w w:val="140"/>
          <w:position w:val="-7"/>
          <w:sz w:val="20"/>
        </w:rPr>
        <w:t>E</w:t>
      </w:r>
      <w:r>
        <w:rPr>
          <w:b/>
          <w:color w:val="010101"/>
          <w:spacing w:val="-4"/>
          <w:w w:val="140"/>
          <w:position w:val="-8"/>
          <w:sz w:val="14"/>
        </w:rPr>
        <w:t>z</w:t>
      </w:r>
      <w:r>
        <w:rPr>
          <w:b/>
          <w:color w:val="010101"/>
          <w:spacing w:val="-18"/>
          <w:w w:val="140"/>
          <w:position w:val="-8"/>
          <w:sz w:val="14"/>
        </w:rPr>
        <w:t> </w:t>
      </w:r>
      <w:r>
        <w:rPr>
          <w:color w:val="010101"/>
          <w:w w:val="215"/>
          <w:sz w:val="20"/>
        </w:rPr>
        <w:t>-</w:t>
      </w:r>
      <w:r>
        <w:rPr>
          <w:color w:val="010101"/>
          <w:spacing w:val="-87"/>
          <w:w w:val="215"/>
          <w:sz w:val="20"/>
        </w:rPr>
        <w:t> </w:t>
      </w:r>
      <w:r>
        <w:rPr>
          <w:b/>
          <w:i/>
          <w:color w:val="010101"/>
          <w:sz w:val="26"/>
        </w:rPr>
        <w:t>e-</w:t>
      </w:r>
      <w:r>
        <w:rPr>
          <w:b/>
          <w:i/>
          <w:color w:val="010101"/>
          <w:spacing w:val="-58"/>
          <w:sz w:val="26"/>
        </w:rPr>
        <w:t> </w:t>
      </w:r>
      <w:r>
        <w:rPr>
          <w:b/>
          <w:i/>
          <w:color w:val="010101"/>
          <w:spacing w:val="-14"/>
          <w:sz w:val="26"/>
        </w:rPr>
        <w:t>f"</w:t>
      </w:r>
      <w:r>
        <w:rPr>
          <w:b/>
          <w:color w:val="010101"/>
          <w:spacing w:val="-14"/>
          <w:position w:val="-8"/>
          <w:sz w:val="14"/>
        </w:rPr>
        <w:t>o</w:t>
      </w:r>
    </w:p>
    <w:p>
      <w:pPr>
        <w:spacing w:before="120"/>
        <w:ind w:left="64" w:right="-19" w:firstLine="0"/>
        <w:jc w:val="left"/>
        <w:rPr>
          <w:sz w:val="14"/>
        </w:rPr>
      </w:pPr>
      <w:r>
        <w:rPr/>
        <w:br w:type="column"/>
      </w:r>
      <w:r>
        <w:rPr>
          <w:b/>
          <w:color w:val="010101"/>
          <w:w w:val="105"/>
          <w:sz w:val="12"/>
        </w:rPr>
        <w:t>&lt;l's+ t </w:t>
      </w:r>
      <w:r>
        <w:rPr>
          <w:b/>
          <w:color w:val="010101"/>
          <w:w w:val="105"/>
          <w:sz w:val="13"/>
        </w:rPr>
        <w:t>+I)  </w:t>
      </w:r>
      <w:r>
        <w:rPr>
          <w:rFonts w:ascii="Arial" w:hAnsi="Arial"/>
          <w:b/>
          <w:i/>
          <w:color w:val="010101"/>
          <w:w w:val="105"/>
          <w:sz w:val="11"/>
        </w:rPr>
        <w:t>di </w:t>
      </w:r>
      <w:r>
        <w:rPr>
          <w:color w:val="010101"/>
          <w:w w:val="105"/>
          <w:position w:val="-8"/>
          <w:sz w:val="14"/>
        </w:rPr>
        <w:t>•</w:t>
      </w:r>
    </w:p>
    <w:p>
      <w:pPr>
        <w:pStyle w:val="BodyText"/>
        <w:spacing w:before="123"/>
        <w:ind w:left="114"/>
      </w:pPr>
      <w:r>
        <w:rPr/>
        <w:br w:type="column"/>
      </w:r>
      <w:r>
        <w:rPr>
          <w:color w:val="010101"/>
        </w:rPr>
        <w:t>(2.50)</w:t>
      </w:r>
    </w:p>
    <w:p>
      <w:pPr>
        <w:spacing w:after="0"/>
        <w:sectPr>
          <w:type w:val="continuous"/>
          <w:pgSz w:w="7200" w:h="11340"/>
          <w:pgMar w:top="1100" w:bottom="0" w:left="660" w:right="540"/>
          <w:cols w:num="4" w:equalWidth="0">
            <w:col w:w="820" w:space="1117"/>
            <w:col w:w="1098" w:space="40"/>
            <w:col w:w="864" w:space="1318"/>
            <w:col w:w="743"/>
          </w:cols>
        </w:sectPr>
      </w:pPr>
    </w:p>
    <w:p>
      <w:pPr>
        <w:pStyle w:val="BodyText"/>
        <w:spacing w:line="148" w:lineRule="auto" w:before="181"/>
        <w:ind w:left="118" w:right="131"/>
        <w:jc w:val="both"/>
      </w:pPr>
      <w:r>
        <w:rPr/>
        <w:drawing>
          <wp:anchor distT="0" distB="0" distL="0" distR="0" allowOverlap="1" layoutInCell="1" locked="0" behindDoc="1" simplePos="0" relativeHeight="267704639">
            <wp:simplePos x="0" y="0"/>
            <wp:positionH relativeFrom="page">
              <wp:posOffset>1024127</wp:posOffset>
            </wp:positionH>
            <wp:positionV relativeFrom="paragraph">
              <wp:posOffset>606911</wp:posOffset>
            </wp:positionV>
            <wp:extent cx="2267712" cy="438912"/>
            <wp:effectExtent l="0" t="0" r="0" b="0"/>
            <wp:wrapNone/>
            <wp:docPr id="131" name="image70.png" descr=""/>
            <wp:cNvGraphicFramePr>
              <a:graphicFrameLocks noChangeAspect="1"/>
            </wp:cNvGraphicFramePr>
            <a:graphic>
              <a:graphicData uri="http://schemas.openxmlformats.org/drawingml/2006/picture">
                <pic:pic>
                  <pic:nvPicPr>
                    <pic:cNvPr id="132" name="image70.png"/>
                    <pic:cNvPicPr/>
                  </pic:nvPicPr>
                  <pic:blipFill>
                    <a:blip r:embed="rId74" cstate="print"/>
                    <a:stretch>
                      <a:fillRect/>
                    </a:stretch>
                  </pic:blipFill>
                  <pic:spPr>
                    <a:xfrm>
                      <a:off x="0" y="0"/>
                      <a:ext cx="2267712" cy="438912"/>
                    </a:xfrm>
                    <a:prstGeom prst="rect">
                      <a:avLst/>
                    </a:prstGeom>
                  </pic:spPr>
                </pic:pic>
              </a:graphicData>
            </a:graphic>
          </wp:anchor>
        </w:drawing>
      </w:r>
      <w:r>
        <w:rPr/>
        <w:pict>
          <v:shape style="position:absolute;margin-left:154.618805pt;margin-top:-7.47921pt;width:8.5pt;height:7pt;mso-position-horizontal-relative:page;mso-position-vertical-relative:paragraph;z-index:-730744" type="#_x0000_t202" filled="false" stroked="false">
            <v:textbox inset="0,0,0,0">
              <w:txbxContent>
                <w:p>
                  <w:pPr>
                    <w:spacing w:line="140" w:lineRule="exact" w:before="0"/>
                    <w:ind w:left="0" w:right="0" w:firstLine="0"/>
                    <w:jc w:val="left"/>
                    <w:rPr>
                      <w:sz w:val="14"/>
                    </w:rPr>
                  </w:pPr>
                  <w:r>
                    <w:rPr>
                      <w:color w:val="010101"/>
                      <w:w w:val="362"/>
                      <w:sz w:val="14"/>
                    </w:rPr>
                    <w:t>-</w:t>
                  </w:r>
                </w:p>
              </w:txbxContent>
            </v:textbox>
            <w10:wrap type="none"/>
          </v:shape>
        </w:pict>
      </w:r>
      <w:r>
        <w:rPr>
          <w:color w:val="010101"/>
          <w:sz w:val="21"/>
        </w:rPr>
        <w:t>If </w:t>
      </w:r>
      <w:r>
        <w:rPr>
          <w:color w:val="010101"/>
        </w:rPr>
        <w:t>now a constant change </w:t>
      </w:r>
      <w:r>
        <w:rPr>
          <w:rFonts w:ascii="Arial"/>
          <w:i/>
          <w:color w:val="010101"/>
          <w:sz w:val="19"/>
        </w:rPr>
        <w:t>e </w:t>
      </w:r>
      <w:r>
        <w:rPr>
          <w:color w:val="010101"/>
        </w:rPr>
        <w:t>is ma.de </w:t>
      </w:r>
      <w:r>
        <w:rPr>
          <w:rFonts w:ascii="Arial"/>
          <w:color w:val="010101"/>
        </w:rPr>
        <w:t>in </w:t>
      </w:r>
      <w:r>
        <w:rPr>
          <w:color w:val="010101"/>
          <w:sz w:val="16"/>
        </w:rPr>
        <w:t>P.z </w:t>
      </w:r>
      <w:r>
        <w:rPr>
          <w:color w:val="010101"/>
          <w:sz w:val="22"/>
        </w:rPr>
        <w:t>so </w:t>
      </w:r>
      <w:r>
        <w:rPr>
          <w:color w:val="010101"/>
        </w:rPr>
        <w:t>that a new force </w:t>
      </w:r>
      <w:r>
        <w:rPr>
          <w:color w:val="010101"/>
          <w:sz w:val="22"/>
        </w:rPr>
        <w:t>of </w:t>
      </w:r>
      <w:r>
        <w:rPr>
          <w:color w:val="010101"/>
        </w:rPr>
        <w:t>mortality, , is formcd equal </w:t>
      </w:r>
      <w:r>
        <w:rPr>
          <w:color w:val="010101"/>
          <w:sz w:val="22"/>
        </w:rPr>
        <w:t>to </w:t>
      </w:r>
      <w:r>
        <w:rPr>
          <w:rFonts w:ascii="Arial"/>
          <w:color w:val="010101"/>
          <w:sz w:val="16"/>
        </w:rPr>
        <w:t>P.s </w:t>
      </w:r>
      <w:r>
        <w:rPr>
          <w:rFonts w:ascii="Arial"/>
          <w:color w:val="010101"/>
          <w:sz w:val="32"/>
        </w:rPr>
        <w:t>+ </w:t>
      </w:r>
      <w:r>
        <w:rPr>
          <w:i/>
          <w:color w:val="010101"/>
        </w:rPr>
        <w:t>e </w:t>
      </w:r>
      <w:r>
        <w:rPr>
          <w:color w:val="010101"/>
        </w:rPr>
        <w:t>for all </w:t>
      </w:r>
      <w:r>
        <w:rPr>
          <w:i/>
          <w:color w:val="010101"/>
        </w:rPr>
        <w:t>x, </w:t>
      </w:r>
      <w:r>
        <w:rPr>
          <w:color w:val="010101"/>
        </w:rPr>
        <w:t>the corresponding </w:t>
      </w:r>
      <w:r>
        <w:rPr>
          <w:color w:val="010101"/>
          <w:w w:val="102"/>
        </w:rPr>
        <w:t>pure </w:t>
      </w:r>
      <w:r>
        <w:rPr>
          <w:color w:val="010101"/>
          <w:w w:val="102"/>
        </w:rPr>
        <w:t>endowment </w:t>
      </w:r>
      <w:r>
        <w:rPr>
          <w:rFonts w:ascii="Arial"/>
          <w:i/>
          <w:color w:val="010101"/>
          <w:w w:val="106"/>
          <w:sz w:val="32"/>
        </w:rPr>
        <w:t>.E; </w:t>
      </w:r>
      <w:r>
        <w:rPr>
          <w:color w:val="010101"/>
          <w:w w:val="106"/>
        </w:rPr>
        <w:t>may </w:t>
      </w:r>
      <w:r>
        <w:rPr>
          <w:color w:val="010101"/>
          <w:w w:val="103"/>
        </w:rPr>
        <w:t>be </w:t>
      </w:r>
      <w:r>
        <w:rPr>
          <w:color w:val="010101"/>
          <w:w w:val="93"/>
        </w:rPr>
        <w:t>exprfSSed </w:t>
      </w:r>
      <w:r>
        <w:rPr>
          <w:rFonts w:ascii="Arial"/>
          <w:color w:val="010101"/>
          <w:w w:val="91"/>
          <w:sz w:val="19"/>
        </w:rPr>
        <w:t>as </w:t>
      </w:r>
      <w:r>
        <w:rPr>
          <w:color w:val="010101"/>
          <w:w w:val="99"/>
        </w:rPr>
        <w:t>follows:</w:t>
      </w:r>
    </w:p>
    <w:p>
      <w:pPr>
        <w:pStyle w:val="BodyText"/>
        <w:spacing w:before="7"/>
        <w:rPr>
          <w:sz w:val="43"/>
        </w:rPr>
      </w:pPr>
    </w:p>
    <w:p>
      <w:pPr>
        <w:tabs>
          <w:tab w:pos="4136" w:val="left" w:leader="none"/>
        </w:tabs>
        <w:spacing w:line="317" w:lineRule="exact" w:before="0"/>
        <w:ind w:left="3235" w:right="0" w:firstLine="0"/>
        <w:jc w:val="left"/>
        <w:rPr>
          <w:i/>
          <w:sz w:val="28"/>
        </w:rPr>
      </w:pPr>
      <w:r>
        <w:rPr>
          <w:color w:val="010101"/>
          <w:w w:val="95"/>
          <w:position w:val="-2"/>
          <w:sz w:val="20"/>
        </w:rPr>
        <w:t>where</w:t>
        <w:tab/>
      </w:r>
      <w:r>
        <w:rPr>
          <w:color w:val="010101"/>
          <w:w w:val="95"/>
          <w:sz w:val="28"/>
        </w:rPr>
        <w:t>,,,</w:t>
      </w:r>
      <w:r>
        <w:rPr>
          <w:color w:val="010101"/>
          <w:spacing w:val="-27"/>
          <w:w w:val="95"/>
          <w:sz w:val="28"/>
        </w:rPr>
        <w:t> </w:t>
      </w:r>
      <w:r>
        <w:rPr>
          <w:i/>
          <w:color w:val="010101"/>
          <w:w w:val="95"/>
          <w:sz w:val="28"/>
        </w:rPr>
        <w:t>=</w:t>
      </w:r>
      <w:r>
        <w:rPr>
          <w:i/>
          <w:color w:val="010101"/>
          <w:spacing w:val="-32"/>
          <w:w w:val="95"/>
          <w:sz w:val="28"/>
        </w:rPr>
        <w:t> </w:t>
      </w:r>
      <w:r>
        <w:rPr>
          <w:i/>
          <w:color w:val="010101"/>
          <w:w w:val="95"/>
          <w:sz w:val="28"/>
        </w:rPr>
        <w:t>,,</w:t>
      </w:r>
      <w:r>
        <w:rPr>
          <w:i/>
          <w:color w:val="010101"/>
          <w:spacing w:val="-38"/>
          <w:w w:val="95"/>
          <w:sz w:val="28"/>
        </w:rPr>
        <w:t> </w:t>
      </w:r>
      <w:r>
        <w:rPr>
          <w:i/>
          <w:color w:val="010101"/>
          <w:w w:val="95"/>
          <w:sz w:val="28"/>
        </w:rPr>
        <w:t>+</w:t>
      </w:r>
      <w:r>
        <w:rPr>
          <w:i/>
          <w:color w:val="010101"/>
          <w:spacing w:val="-49"/>
          <w:w w:val="95"/>
          <w:sz w:val="28"/>
        </w:rPr>
        <w:t> </w:t>
      </w:r>
      <w:r>
        <w:rPr>
          <w:i/>
          <w:color w:val="010101"/>
          <w:w w:val="95"/>
          <w:sz w:val="28"/>
        </w:rPr>
        <w:t>c.</w:t>
      </w:r>
    </w:p>
    <w:p>
      <w:pPr>
        <w:pStyle w:val="BodyText"/>
        <w:spacing w:line="223" w:lineRule="auto" w:before="7"/>
        <w:ind w:left="125" w:right="118" w:hanging="4"/>
        <w:jc w:val="both"/>
      </w:pPr>
      <w:r>
        <w:rPr>
          <w:color w:val="010101"/>
        </w:rPr>
        <w:t>Compa.ring this result with (2.50), we note that </w:t>
      </w:r>
      <w:r>
        <w:rPr>
          <w:i/>
          <w:color w:val="010101"/>
          <w:w w:val="90"/>
          <w:sz w:val="38"/>
        </w:rPr>
        <w:t>,.E; </w:t>
      </w:r>
      <w:r>
        <w:rPr>
          <w:color w:val="010101"/>
        </w:rPr>
        <w:t>can be com­ puted  using  the  values  of  </w:t>
      </w:r>
      <w:r>
        <w:rPr>
          <w:rFonts w:ascii="Arial" w:hAnsi="Arial"/>
          <w:i/>
          <w:color w:val="010101"/>
          <w:sz w:val="15"/>
        </w:rPr>
        <w:t>µ.  </w:t>
      </w:r>
      <w:r>
        <w:rPr>
          <w:color w:val="010101"/>
        </w:rPr>
        <w:t>on  the  original  mortality  basis  if   the</w:t>
      </w:r>
    </w:p>
    <w:p>
      <w:pPr>
        <w:pStyle w:val="BodyText"/>
        <w:spacing w:line="247" w:lineRule="auto" w:before="14"/>
        <w:ind w:left="129" w:right="117" w:hanging="4"/>
        <w:jc w:val="both"/>
      </w:pPr>
      <w:r>
        <w:rPr>
          <w:color w:val="010101"/>
          <w:w w:val="105"/>
        </w:rPr>
        <w:t>force of interest is adjusted by the constant  addition  </w:t>
      </w:r>
      <w:r>
        <w:rPr>
          <w:i/>
          <w:color w:val="010101"/>
          <w:w w:val="105"/>
        </w:rPr>
        <w:t>c. </w:t>
      </w:r>
      <w:r>
        <w:rPr>
          <w:color w:val="010101"/>
          <w:w w:val="105"/>
        </w:rPr>
        <w:t>For  the  pure endowment, then, a constant  change </w:t>
      </w:r>
      <w:r>
        <w:rPr>
          <w:color w:val="010101"/>
          <w:w w:val="105"/>
          <w:sz w:val="19"/>
        </w:rPr>
        <w:t>in </w:t>
      </w:r>
      <w:r>
        <w:rPr>
          <w:color w:val="010101"/>
          <w:w w:val="105"/>
        </w:rPr>
        <w:t>the force of mortality  is equivalent to the same change in the force of interest and it  follows that this will also be true for annuity  </w:t>
      </w:r>
      <w:r>
        <w:rPr>
          <w:color w:val="010101"/>
          <w:spacing w:val="47"/>
          <w:w w:val="105"/>
        </w:rPr>
        <w:t> </w:t>
      </w:r>
      <w:r>
        <w:rPr>
          <w:color w:val="010101"/>
          <w:w w:val="105"/>
        </w:rPr>
        <w:t>values.</w:t>
      </w:r>
    </w:p>
    <w:p>
      <w:pPr>
        <w:pStyle w:val="BodyText"/>
        <w:spacing w:line="247" w:lineRule="auto"/>
        <w:ind w:left="125" w:firstLine="200"/>
      </w:pPr>
      <w:r>
        <w:rPr>
          <w:color w:val="010101"/>
          <w:w w:val="105"/>
        </w:rPr>
        <w:t>When the mortality follows a mathematical law, the effects of changes  in the  various  parameters  can of ten  </w:t>
      </w:r>
      <w:r>
        <w:rPr>
          <w:color w:val="010101"/>
          <w:w w:val="105"/>
          <w:sz w:val="19"/>
        </w:rPr>
        <w:t>be  </w:t>
      </w:r>
      <w:r>
        <w:rPr>
          <w:color w:val="010101"/>
          <w:w w:val="105"/>
        </w:rPr>
        <w:t>easily expressed.</w:t>
      </w:r>
    </w:p>
    <w:p>
      <w:pPr>
        <w:spacing w:after="0" w:line="247" w:lineRule="auto"/>
        <w:sectPr>
          <w:type w:val="continuous"/>
          <w:pgSz w:w="7200" w:h="11340"/>
          <w:pgMar w:top="1100" w:bottom="0" w:left="660" w:right="540"/>
        </w:sectPr>
      </w:pPr>
    </w:p>
    <w:p>
      <w:pPr>
        <w:tabs>
          <w:tab w:pos="2309" w:val="left" w:leader="none"/>
          <w:tab w:pos="5360" w:val="left" w:leader="none"/>
        </w:tabs>
        <w:spacing w:before="50"/>
        <w:ind w:left="116" w:right="0" w:firstLine="0"/>
        <w:jc w:val="both"/>
        <w:rPr>
          <w:rFonts w:ascii="Arial"/>
          <w:b/>
          <w:sz w:val="19"/>
        </w:rPr>
      </w:pPr>
      <w:r>
        <w:rPr>
          <w:color w:val="010101"/>
          <w:spacing w:val="-14"/>
          <w:w w:val="105"/>
          <w:sz w:val="20"/>
        </w:rPr>
        <w:t>58</w:t>
        <w:tab/>
      </w:r>
      <w:r>
        <w:rPr>
          <w:b/>
          <w:color w:val="010101"/>
          <w:w w:val="105"/>
          <w:position w:val="1"/>
          <w:sz w:val="15"/>
        </w:rPr>
        <w:t>LIFE </w:t>
      </w:r>
      <w:r>
        <w:rPr>
          <w:b/>
          <w:color w:val="010101"/>
          <w:spacing w:val="22"/>
          <w:w w:val="105"/>
          <w:position w:val="1"/>
          <w:sz w:val="15"/>
        </w:rPr>
        <w:t> </w:t>
      </w:r>
      <w:r>
        <w:rPr>
          <w:b/>
          <w:color w:val="010101"/>
          <w:w w:val="105"/>
          <w:position w:val="1"/>
          <w:sz w:val="15"/>
        </w:rPr>
        <w:t>ANNUITIES</w:t>
        <w:tab/>
        <w:t>{CH.</w:t>
      </w:r>
      <w:r>
        <w:rPr>
          <w:b/>
          <w:color w:val="010101"/>
          <w:spacing w:val="3"/>
          <w:w w:val="105"/>
          <w:position w:val="1"/>
          <w:sz w:val="15"/>
        </w:rPr>
        <w:t> </w:t>
      </w:r>
      <w:r>
        <w:rPr>
          <w:rFonts w:ascii="Arial"/>
          <w:b/>
          <w:color w:val="010101"/>
          <w:w w:val="105"/>
          <w:position w:val="1"/>
          <w:sz w:val="19"/>
        </w:rPr>
        <w:t>2</w:t>
      </w:r>
    </w:p>
    <w:p>
      <w:pPr>
        <w:pStyle w:val="BodyText"/>
        <w:spacing w:before="7"/>
        <w:rPr>
          <w:rFonts w:ascii="Arial"/>
          <w:b/>
        </w:rPr>
      </w:pPr>
    </w:p>
    <w:p>
      <w:pPr>
        <w:pStyle w:val="BodyText"/>
        <w:ind w:left="123"/>
        <w:jc w:val="both"/>
      </w:pPr>
      <w:r>
        <w:rPr>
          <w:color w:val="010101"/>
          <w:w w:val="105"/>
        </w:rPr>
        <w:t>For example, with  Makeham's law,</w:t>
      </w:r>
    </w:p>
    <w:p>
      <w:pPr>
        <w:spacing w:before="111"/>
        <w:ind w:left="104" w:right="131" w:firstLine="0"/>
        <w:jc w:val="center"/>
        <w:rPr>
          <w:i/>
          <w:sz w:val="22"/>
        </w:rPr>
      </w:pPr>
      <w:r>
        <w:rPr>
          <w:rFonts w:ascii="Arial" w:hAnsi="Arial"/>
          <w:i/>
          <w:color w:val="010101"/>
          <w:w w:val="110"/>
          <w:sz w:val="14"/>
        </w:rPr>
        <w:t>µ:i  </w:t>
      </w:r>
      <w:r>
        <w:rPr>
          <w:i/>
          <w:color w:val="010101"/>
          <w:w w:val="110"/>
          <w:sz w:val="22"/>
        </w:rPr>
        <w:t>= A + Bcz,</w:t>
      </w:r>
    </w:p>
    <w:p>
      <w:pPr>
        <w:pStyle w:val="BodyText"/>
        <w:spacing w:line="238" w:lineRule="exact" w:before="118"/>
        <w:ind w:left="109" w:right="112" w:firstLine="7"/>
        <w:jc w:val="both"/>
      </w:pPr>
      <w:r>
        <w:rPr>
          <w:color w:val="010101"/>
          <w:w w:val="105"/>
        </w:rPr>
        <w:t>a change in the constant </w:t>
      </w:r>
      <w:r>
        <w:rPr>
          <w:rFonts w:ascii="Arial"/>
          <w:i/>
          <w:color w:val="010101"/>
          <w:w w:val="105"/>
        </w:rPr>
        <w:t>A, </w:t>
      </w:r>
      <w:r>
        <w:rPr>
          <w:color w:val="010101"/>
          <w:w w:val="105"/>
        </w:rPr>
        <w:t>producing a constant change in  the force of mortality,  is equivalent  in its effect  on  annuity values to  a change in thc rate of interest. A change in </w:t>
      </w:r>
      <w:r>
        <w:rPr>
          <w:i/>
          <w:color w:val="010101"/>
          <w:w w:val="105"/>
        </w:rPr>
        <w:t>B </w:t>
      </w:r>
      <w:r>
        <w:rPr>
          <w:color w:val="010101"/>
          <w:w w:val="105"/>
        </w:rPr>
        <w:t>may </w:t>
      </w:r>
      <w:r>
        <w:rPr>
          <w:color w:val="010101"/>
          <w:w w:val="105"/>
          <w:sz w:val="19"/>
        </w:rPr>
        <w:t>be </w:t>
      </w:r>
      <w:r>
        <w:rPr>
          <w:color w:val="010101"/>
          <w:w w:val="105"/>
        </w:rPr>
        <w:t>seen </w:t>
      </w:r>
      <w:r>
        <w:rPr>
          <w:color w:val="010101"/>
          <w:w w:val="105"/>
          <w:sz w:val="21"/>
        </w:rPr>
        <w:t>to </w:t>
      </w:r>
      <w:r>
        <w:rPr>
          <w:color w:val="010101"/>
          <w:w w:val="105"/>
          <w:sz w:val="19"/>
        </w:rPr>
        <w:t>be </w:t>
      </w:r>
      <w:r>
        <w:rPr>
          <w:color w:val="010101"/>
          <w:w w:val="105"/>
        </w:rPr>
        <w:t>equivalent  to a constant  change in the age </w:t>
      </w:r>
      <w:r>
        <w:rPr>
          <w:i/>
          <w:color w:val="010101"/>
          <w:w w:val="105"/>
          <w:sz w:val="22"/>
        </w:rPr>
        <w:t>x. </w:t>
      </w:r>
      <w:r>
        <w:rPr>
          <w:color w:val="010101"/>
          <w:w w:val="105"/>
        </w:rPr>
        <w:t>For, if </w:t>
      </w:r>
      <w:r>
        <w:rPr>
          <w:i/>
          <w:color w:val="010101"/>
          <w:w w:val="105"/>
        </w:rPr>
        <w:t>B </w:t>
      </w:r>
      <w:r>
        <w:rPr>
          <w:color w:val="010101"/>
          <w:w w:val="105"/>
        </w:rPr>
        <w:t>assumes </w:t>
      </w:r>
      <w:r>
        <w:rPr>
          <w:color w:val="010101"/>
          <w:spacing w:val="27"/>
          <w:w w:val="105"/>
        </w:rPr>
        <w:t> </w:t>
      </w:r>
      <w:r>
        <w:rPr>
          <w:color w:val="010101"/>
          <w:w w:val="105"/>
        </w:rPr>
        <w:t>the</w:t>
      </w:r>
    </w:p>
    <w:p>
      <w:pPr>
        <w:pStyle w:val="BodyText"/>
        <w:spacing w:line="202" w:lineRule="exact"/>
        <w:ind w:left="116"/>
        <w:jc w:val="both"/>
      </w:pPr>
      <w:r>
        <w:rPr>
          <w:color w:val="010101"/>
        </w:rPr>
        <w:t>new  value </w:t>
      </w:r>
      <w:r>
        <w:rPr>
          <w:i/>
          <w:color w:val="010101"/>
          <w:sz w:val="22"/>
        </w:rPr>
        <w:t>Be", </w:t>
      </w:r>
      <w:r>
        <w:rPr>
          <w:color w:val="010101"/>
        </w:rPr>
        <w:t>then the new  force of  mortality  </w:t>
      </w:r>
      <w:r>
        <w:rPr>
          <w:rFonts w:ascii="Arial" w:hAnsi="Arial"/>
          <w:i/>
          <w:color w:val="010101"/>
          <w:w w:val="95"/>
          <w:sz w:val="32"/>
        </w:rPr>
        <w:t>µ; </w:t>
      </w:r>
      <w:r>
        <w:rPr>
          <w:rFonts w:ascii="Arial" w:hAnsi="Arial"/>
          <w:color w:val="010101"/>
          <w:sz w:val="32"/>
        </w:rPr>
        <w:t>, </w:t>
      </w:r>
      <w:r>
        <w:rPr>
          <w:color w:val="010101"/>
        </w:rPr>
        <w:t>being equal to</w:t>
      </w:r>
    </w:p>
    <w:p>
      <w:pPr>
        <w:spacing w:line="353" w:lineRule="exact" w:before="0"/>
        <w:ind w:left="109" w:right="0" w:firstLine="0"/>
        <w:jc w:val="both"/>
        <w:rPr>
          <w:sz w:val="20"/>
        </w:rPr>
      </w:pPr>
      <w:r>
        <w:rPr>
          <w:i/>
          <w:color w:val="010101"/>
          <w:spacing w:val="-127"/>
          <w:w w:val="98"/>
          <w:sz w:val="21"/>
        </w:rPr>
        <w:t>A</w:t>
      </w:r>
      <w:r>
        <w:rPr>
          <w:i/>
          <w:color w:val="010101"/>
          <w:w w:val="50"/>
          <w:position w:val="-23"/>
          <w:sz w:val="38"/>
        </w:rPr>
        <w:t>µ:</w:t>
      </w:r>
      <w:r>
        <w:rPr>
          <w:i/>
          <w:color w:val="010101"/>
          <w:spacing w:val="-38"/>
          <w:position w:val="-23"/>
          <w:sz w:val="38"/>
        </w:rPr>
        <w:t> </w:t>
      </w:r>
      <w:r>
        <w:rPr>
          <w:rFonts w:ascii="Arial" w:hAnsi="Arial"/>
          <w:color w:val="010101"/>
          <w:w w:val="102"/>
          <w:sz w:val="31"/>
        </w:rPr>
        <w:t>+</w:t>
      </w:r>
      <w:r>
        <w:rPr>
          <w:rFonts w:ascii="Arial" w:hAnsi="Arial"/>
          <w:color w:val="010101"/>
          <w:spacing w:val="-32"/>
          <w:sz w:val="31"/>
        </w:rPr>
        <w:t> </w:t>
      </w:r>
      <w:r>
        <w:rPr>
          <w:i/>
          <w:color w:val="010101"/>
          <w:w w:val="84"/>
          <w:sz w:val="21"/>
        </w:rPr>
        <w:t>Bcz</w:t>
      </w:r>
      <w:r>
        <w:rPr>
          <w:i/>
          <w:color w:val="010101"/>
          <w:spacing w:val="13"/>
          <w:w w:val="84"/>
          <w:sz w:val="21"/>
        </w:rPr>
        <w:t>+</w:t>
      </w:r>
      <w:r>
        <w:rPr>
          <w:i/>
          <w:color w:val="010101"/>
          <w:w w:val="114"/>
          <w:sz w:val="21"/>
        </w:rPr>
        <w:t>",</w:t>
      </w:r>
      <w:r>
        <w:rPr>
          <w:i/>
          <w:color w:val="010101"/>
          <w:spacing w:val="-31"/>
          <w:sz w:val="21"/>
        </w:rPr>
        <w:t> </w:t>
      </w:r>
      <w:r>
        <w:rPr>
          <w:color w:val="010101"/>
          <w:w w:val="102"/>
          <w:sz w:val="20"/>
        </w:rPr>
        <w:t>is</w:t>
      </w:r>
      <w:r>
        <w:rPr>
          <w:color w:val="010101"/>
          <w:spacing w:val="3"/>
          <w:sz w:val="20"/>
        </w:rPr>
        <w:t> </w:t>
      </w:r>
      <w:r>
        <w:rPr>
          <w:color w:val="010101"/>
          <w:w w:val="109"/>
          <w:sz w:val="20"/>
        </w:rPr>
        <w:t>the</w:t>
      </w:r>
      <w:r>
        <w:rPr>
          <w:color w:val="010101"/>
          <w:spacing w:val="15"/>
          <w:sz w:val="20"/>
        </w:rPr>
        <w:t> </w:t>
      </w:r>
      <w:r>
        <w:rPr>
          <w:color w:val="010101"/>
          <w:w w:val="103"/>
          <w:sz w:val="20"/>
        </w:rPr>
        <w:t>same</w:t>
      </w:r>
      <w:r>
        <w:rPr>
          <w:color w:val="010101"/>
          <w:spacing w:val="11"/>
          <w:sz w:val="20"/>
        </w:rPr>
        <w:t> </w:t>
      </w:r>
      <w:r>
        <w:rPr>
          <w:color w:val="010101"/>
          <w:w w:val="105"/>
          <w:sz w:val="20"/>
        </w:rPr>
        <w:t>as</w:t>
      </w:r>
      <w:r>
        <w:rPr>
          <w:color w:val="010101"/>
          <w:spacing w:val="3"/>
          <w:sz w:val="20"/>
        </w:rPr>
        <w:t> </w:t>
      </w:r>
      <w:r>
        <w:rPr>
          <w:i/>
          <w:color w:val="010101"/>
          <w:w w:val="61"/>
          <w:sz w:val="21"/>
        </w:rPr>
        <w:t>µz+1t.</w:t>
      </w:r>
      <w:r>
        <w:rPr>
          <w:i/>
          <w:color w:val="010101"/>
          <w:spacing w:val="9"/>
          <w:sz w:val="21"/>
        </w:rPr>
        <w:t> </w:t>
      </w:r>
      <w:r>
        <w:rPr>
          <w:i/>
          <w:color w:val="010101"/>
          <w:w w:val="119"/>
          <w:sz w:val="21"/>
        </w:rPr>
        <w:t>.</w:t>
      </w:r>
      <w:r>
        <w:rPr>
          <w:i/>
          <w:color w:val="010101"/>
          <w:spacing w:val="-8"/>
          <w:sz w:val="21"/>
        </w:rPr>
        <w:t> </w:t>
      </w:r>
      <w:r>
        <w:rPr>
          <w:color w:val="010101"/>
          <w:w w:val="104"/>
          <w:sz w:val="19"/>
        </w:rPr>
        <w:t>If</w:t>
      </w:r>
      <w:r>
        <w:rPr>
          <w:color w:val="010101"/>
          <w:sz w:val="19"/>
        </w:rPr>
        <w:t> </w:t>
      </w:r>
      <w:r>
        <w:rPr>
          <w:color w:val="010101"/>
          <w:spacing w:val="-24"/>
          <w:sz w:val="19"/>
        </w:rPr>
        <w:t> </w:t>
      </w:r>
      <w:r>
        <w:rPr>
          <w:i/>
          <w:color w:val="010101"/>
          <w:w w:val="62"/>
          <w:sz w:val="29"/>
        </w:rPr>
        <w:t>e</w:t>
      </w:r>
      <w:r>
        <w:rPr>
          <w:i/>
          <w:color w:val="010101"/>
          <w:spacing w:val="-7"/>
          <w:sz w:val="29"/>
        </w:rPr>
        <w:t> </w:t>
      </w:r>
      <w:r>
        <w:rPr>
          <w:color w:val="010101"/>
          <w:w w:val="99"/>
          <w:sz w:val="20"/>
        </w:rPr>
        <w:t>is</w:t>
      </w:r>
      <w:r>
        <w:rPr>
          <w:color w:val="010101"/>
          <w:spacing w:val="7"/>
          <w:sz w:val="20"/>
        </w:rPr>
        <w:t> </w:t>
      </w:r>
      <w:r>
        <w:rPr>
          <w:color w:val="010101"/>
          <w:w w:val="101"/>
          <w:sz w:val="20"/>
        </w:rPr>
        <w:t>changed</w:t>
      </w:r>
      <w:r>
        <w:rPr>
          <w:color w:val="010101"/>
          <w:sz w:val="20"/>
        </w:rPr>
        <w:t> </w:t>
      </w:r>
      <w:r>
        <w:rPr>
          <w:color w:val="010101"/>
          <w:spacing w:val="-22"/>
          <w:sz w:val="20"/>
        </w:rPr>
        <w:t> </w:t>
      </w:r>
      <w:r>
        <w:rPr>
          <w:color w:val="010101"/>
          <w:w w:val="109"/>
          <w:sz w:val="20"/>
        </w:rPr>
        <w:t>to</w:t>
      </w:r>
      <w:r>
        <w:rPr>
          <w:color w:val="010101"/>
          <w:spacing w:val="12"/>
          <w:sz w:val="20"/>
        </w:rPr>
        <w:t> </w:t>
      </w:r>
      <w:r>
        <w:rPr>
          <w:color w:val="010101"/>
          <w:w w:val="112"/>
          <w:sz w:val="20"/>
        </w:rPr>
        <w:t>e'</w:t>
      </w:r>
      <w:r>
        <w:rPr>
          <w:color w:val="010101"/>
          <w:sz w:val="20"/>
        </w:rPr>
        <w:t> </w:t>
      </w:r>
      <w:r>
        <w:rPr>
          <w:color w:val="010101"/>
          <w:spacing w:val="-22"/>
          <w:sz w:val="20"/>
        </w:rPr>
        <w:t> </w:t>
      </w:r>
      <w:r>
        <w:rPr>
          <w:color w:val="010101"/>
          <w:w w:val="101"/>
          <w:sz w:val="23"/>
        </w:rPr>
        <w:t>=</w:t>
      </w:r>
      <w:r>
        <w:rPr>
          <w:color w:val="010101"/>
          <w:sz w:val="23"/>
        </w:rPr>
        <w:t> </w:t>
      </w:r>
      <w:r>
        <w:rPr>
          <w:color w:val="010101"/>
          <w:spacing w:val="-21"/>
          <w:sz w:val="23"/>
        </w:rPr>
        <w:t> </w:t>
      </w:r>
      <w:r>
        <w:rPr>
          <w:i/>
          <w:color w:val="010101"/>
          <w:spacing w:val="1"/>
          <w:w w:val="62"/>
          <w:sz w:val="29"/>
        </w:rPr>
        <w:t>e</w:t>
      </w:r>
      <w:r>
        <w:rPr>
          <w:i/>
          <w:color w:val="010101"/>
          <w:spacing w:val="-44"/>
          <w:w w:val="272"/>
          <w:sz w:val="29"/>
        </w:rPr>
        <w:t>\</w:t>
      </w:r>
      <w:r>
        <w:rPr>
          <w:color w:val="010101"/>
          <w:w w:val="97"/>
          <w:sz w:val="20"/>
        </w:rPr>
        <w:t>we</w:t>
      </w:r>
      <w:r>
        <w:rPr>
          <w:color w:val="010101"/>
          <w:spacing w:val="12"/>
          <w:sz w:val="20"/>
        </w:rPr>
        <w:t> </w:t>
      </w:r>
      <w:r>
        <w:rPr>
          <w:color w:val="010101"/>
          <w:w w:val="106"/>
          <w:sz w:val="20"/>
        </w:rPr>
        <w:t>have</w:t>
      </w:r>
    </w:p>
    <w:p>
      <w:pPr>
        <w:spacing w:line="176" w:lineRule="exact" w:before="0"/>
        <w:ind w:left="371" w:right="0" w:firstLine="0"/>
        <w:jc w:val="left"/>
        <w:rPr>
          <w:sz w:val="20"/>
        </w:rPr>
      </w:pPr>
      <w:r>
        <w:rPr>
          <w:rFonts w:ascii="Arial" w:hAnsi="Arial"/>
          <w:color w:val="010101"/>
          <w:w w:val="135"/>
          <w:sz w:val="16"/>
        </w:rPr>
        <w:t>= </w:t>
      </w:r>
      <w:r>
        <w:rPr>
          <w:i/>
          <w:color w:val="010101"/>
          <w:w w:val="105"/>
          <w:sz w:val="22"/>
        </w:rPr>
        <w:t>A </w:t>
      </w:r>
      <w:r>
        <w:rPr>
          <w:rFonts w:ascii="Arial" w:hAnsi="Arial"/>
          <w:color w:val="010101"/>
          <w:w w:val="105"/>
          <w:sz w:val="31"/>
        </w:rPr>
        <w:t>+ </w:t>
      </w:r>
      <w:r>
        <w:rPr>
          <w:i/>
          <w:color w:val="010101"/>
          <w:w w:val="90"/>
          <w:sz w:val="22"/>
        </w:rPr>
        <w:t>Bc"' x  </w:t>
      </w:r>
      <w:r>
        <w:rPr>
          <w:rFonts w:ascii="Arial" w:hAnsi="Arial"/>
          <w:color w:val="010101"/>
          <w:w w:val="135"/>
          <w:sz w:val="16"/>
        </w:rPr>
        <w:t>= </w:t>
      </w:r>
      <w:r>
        <w:rPr>
          <w:i/>
          <w:color w:val="010101"/>
          <w:w w:val="105"/>
          <w:sz w:val="16"/>
        </w:rPr>
        <w:t>µkx </w:t>
      </w:r>
      <w:r>
        <w:rPr>
          <w:i/>
          <w:color w:val="010101"/>
          <w:w w:val="135"/>
          <w:sz w:val="16"/>
        </w:rPr>
        <w:t>, </w:t>
      </w:r>
      <w:r>
        <w:rPr>
          <w:color w:val="010101"/>
          <w:w w:val="105"/>
          <w:sz w:val="20"/>
        </w:rPr>
        <w:t>a result which can </w:t>
      </w:r>
      <w:r>
        <w:rPr>
          <w:color w:val="010101"/>
          <w:w w:val="105"/>
          <w:sz w:val="19"/>
        </w:rPr>
        <w:t>be </w:t>
      </w:r>
      <w:r>
        <w:rPr>
          <w:color w:val="010101"/>
          <w:w w:val="105"/>
          <w:sz w:val="20"/>
        </w:rPr>
        <w:t>visualized in tenns of</w:t>
      </w:r>
    </w:p>
    <w:p>
      <w:pPr>
        <w:pStyle w:val="BodyText"/>
        <w:spacing w:line="224" w:lineRule="exact"/>
        <w:ind w:left="116"/>
        <w:jc w:val="both"/>
      </w:pPr>
      <w:r>
        <w:rPr>
          <w:color w:val="010101"/>
          <w:w w:val="105"/>
        </w:rPr>
        <w:t>an expansion or contraction  in age.</w:t>
      </w:r>
    </w:p>
    <w:p>
      <w:pPr>
        <w:pStyle w:val="ListParagraph"/>
        <w:numPr>
          <w:ilvl w:val="0"/>
          <w:numId w:val="22"/>
        </w:numPr>
        <w:tabs>
          <w:tab w:pos="336" w:val="left" w:leader="none"/>
        </w:tabs>
        <w:spacing w:line="240" w:lineRule="auto" w:before="175" w:after="0"/>
        <w:ind w:left="335" w:right="0" w:hanging="219"/>
        <w:jc w:val="both"/>
        <w:rPr>
          <w:b/>
          <w:sz w:val="19"/>
        </w:rPr>
      </w:pPr>
      <w:r>
        <w:rPr>
          <w:b/>
          <w:color w:val="010101"/>
          <w:w w:val="120"/>
          <w:sz w:val="19"/>
        </w:rPr>
        <w:t>Summary of</w:t>
      </w:r>
      <w:r>
        <w:rPr>
          <w:b/>
          <w:color w:val="010101"/>
          <w:spacing w:val="40"/>
          <w:w w:val="120"/>
          <w:sz w:val="19"/>
        </w:rPr>
        <w:t> </w:t>
      </w:r>
      <w:r>
        <w:rPr>
          <w:b/>
          <w:color w:val="010101"/>
          <w:w w:val="120"/>
          <w:sz w:val="19"/>
        </w:rPr>
        <w:t>notation</w:t>
      </w:r>
    </w:p>
    <w:p>
      <w:pPr>
        <w:pStyle w:val="BodyText"/>
        <w:spacing w:line="252" w:lineRule="auto" w:before="92"/>
        <w:ind w:left="113" w:right="126" w:firstLine="197"/>
        <w:jc w:val="both"/>
      </w:pPr>
      <w:r>
        <w:rPr>
          <w:color w:val="010101"/>
          <w:w w:val="105"/>
        </w:rPr>
        <w:t>Principles A through D of Chapter 1, Section 9, should be re­ viewed.</w:t>
      </w:r>
    </w:p>
    <w:p>
      <w:pPr>
        <w:pStyle w:val="ListParagraph"/>
        <w:numPr>
          <w:ilvl w:val="1"/>
          <w:numId w:val="21"/>
        </w:numPr>
        <w:tabs>
          <w:tab w:pos="566" w:val="left" w:leader="none"/>
        </w:tabs>
        <w:spacing w:line="139" w:lineRule="auto" w:before="74" w:after="0"/>
        <w:ind w:left="116" w:right="113" w:firstLine="198"/>
        <w:jc w:val="both"/>
        <w:rPr>
          <w:sz w:val="20"/>
        </w:rPr>
      </w:pPr>
      <w:r>
        <w:rPr>
          <w:color w:val="010101"/>
          <w:sz w:val="20"/>
        </w:rPr>
        <w:t>A suffixed subscript may consist of a compound symbol of the form  </w:t>
      </w:r>
      <w:r>
        <w:rPr>
          <w:rFonts w:ascii="Arial"/>
          <w:i/>
          <w:color w:val="010101"/>
          <w:sz w:val="17"/>
        </w:rPr>
        <w:t>x </w:t>
      </w:r>
      <w:r>
        <w:rPr>
          <w:color w:val="010101"/>
          <w:w w:val="95"/>
          <w:sz w:val="32"/>
        </w:rPr>
        <w:t>:nl. </w:t>
      </w:r>
      <w:r>
        <w:rPr>
          <w:color w:val="010101"/>
          <w:sz w:val="20"/>
        </w:rPr>
        <w:t>This indicates that  the  function  depends  </w:t>
      </w:r>
      <w:r>
        <w:rPr>
          <w:color w:val="010101"/>
          <w:spacing w:val="3"/>
          <w:sz w:val="20"/>
        </w:rPr>
        <w:t>upon  </w:t>
      </w:r>
      <w:r>
        <w:rPr>
          <w:color w:val="010101"/>
          <w:sz w:val="20"/>
        </w:rPr>
        <w:t>the</w:t>
      </w:r>
      <w:r>
        <w:rPr>
          <w:color w:val="010101"/>
          <w:spacing w:val="-18"/>
          <w:sz w:val="20"/>
        </w:rPr>
        <w:t> </w:t>
      </w:r>
      <w:r>
        <w:rPr>
          <w:color w:val="010101"/>
          <w:sz w:val="20"/>
        </w:rPr>
        <w:t>joint</w:t>
      </w:r>
    </w:p>
    <w:p>
      <w:pPr>
        <w:pStyle w:val="BodyText"/>
        <w:spacing w:before="14"/>
        <w:ind w:left="120"/>
        <w:jc w:val="both"/>
      </w:pPr>
      <w:r>
        <w:rPr>
          <w:color w:val="010101"/>
        </w:rPr>
        <w:t>duration of  a life aged </w:t>
      </w:r>
      <w:r>
        <w:rPr>
          <w:i/>
          <w:color w:val="010101"/>
        </w:rPr>
        <w:t>x  </w:t>
      </w:r>
      <w:r>
        <w:rPr>
          <w:color w:val="010101"/>
        </w:rPr>
        <w:t>and a term-certain  of </w:t>
      </w:r>
      <w:r>
        <w:rPr>
          <w:i/>
          <w:color w:val="010101"/>
        </w:rPr>
        <w:t>n   </w:t>
      </w:r>
      <w:r>
        <w:rPr>
          <w:color w:val="010101"/>
        </w:rPr>
        <w:t>years.</w:t>
      </w:r>
    </w:p>
    <w:p>
      <w:pPr>
        <w:pStyle w:val="ListParagraph"/>
        <w:numPr>
          <w:ilvl w:val="1"/>
          <w:numId w:val="21"/>
        </w:numPr>
        <w:tabs>
          <w:tab w:pos="595" w:val="left" w:leader="none"/>
        </w:tabs>
        <w:spacing w:line="252" w:lineRule="auto" w:before="7" w:after="0"/>
        <w:ind w:left="116" w:right="116" w:firstLine="198"/>
        <w:jc w:val="both"/>
        <w:rPr>
          <w:sz w:val="20"/>
        </w:rPr>
      </w:pPr>
      <w:r>
        <w:rPr>
          <w:color w:val="010101"/>
          <w:w w:val="110"/>
          <w:sz w:val="20"/>
        </w:rPr>
        <w:t>A suffixed superscript (appearing at the upper right-hand comer</w:t>
      </w:r>
      <w:r>
        <w:rPr>
          <w:color w:val="010101"/>
          <w:spacing w:val="-20"/>
          <w:w w:val="110"/>
          <w:sz w:val="20"/>
        </w:rPr>
        <w:t> </w:t>
      </w:r>
      <w:r>
        <w:rPr>
          <w:color w:val="010101"/>
          <w:w w:val="110"/>
          <w:sz w:val="20"/>
        </w:rPr>
        <w:t>of</w:t>
      </w:r>
      <w:r>
        <w:rPr>
          <w:color w:val="010101"/>
          <w:spacing w:val="-14"/>
          <w:w w:val="110"/>
          <w:sz w:val="20"/>
        </w:rPr>
        <w:t> </w:t>
      </w:r>
      <w:r>
        <w:rPr>
          <w:color w:val="010101"/>
          <w:w w:val="110"/>
          <w:sz w:val="20"/>
        </w:rPr>
        <w:t>the</w:t>
      </w:r>
      <w:r>
        <w:rPr>
          <w:color w:val="010101"/>
          <w:spacing w:val="-19"/>
          <w:w w:val="110"/>
          <w:sz w:val="20"/>
        </w:rPr>
        <w:t> </w:t>
      </w:r>
      <w:r>
        <w:rPr>
          <w:color w:val="010101"/>
          <w:w w:val="110"/>
          <w:sz w:val="20"/>
        </w:rPr>
        <w:t>principal</w:t>
      </w:r>
      <w:r>
        <w:rPr>
          <w:color w:val="010101"/>
          <w:spacing w:val="-12"/>
          <w:w w:val="110"/>
          <w:sz w:val="20"/>
        </w:rPr>
        <w:t> </w:t>
      </w:r>
      <w:r>
        <w:rPr>
          <w:color w:val="010101"/>
          <w:w w:val="110"/>
          <w:sz w:val="20"/>
        </w:rPr>
        <w:t>symbol</w:t>
      </w:r>
      <w:r>
        <w:rPr>
          <w:color w:val="010101"/>
          <w:spacing w:val="-40"/>
          <w:w w:val="110"/>
          <w:sz w:val="20"/>
        </w:rPr>
        <w:t> </w:t>
      </w:r>
      <w:r>
        <w:rPr>
          <w:color w:val="010101"/>
          <w:w w:val="110"/>
          <w:sz w:val="20"/>
        </w:rPr>
        <w:t>)</w:t>
      </w:r>
      <w:r>
        <w:rPr>
          <w:color w:val="010101"/>
          <w:spacing w:val="-16"/>
          <w:w w:val="110"/>
          <w:sz w:val="20"/>
        </w:rPr>
        <w:t> </w:t>
      </w:r>
      <w:r>
        <w:rPr>
          <w:color w:val="010101"/>
          <w:w w:val="110"/>
          <w:sz w:val="20"/>
        </w:rPr>
        <w:t>indicate.s</w:t>
      </w:r>
      <w:r>
        <w:rPr>
          <w:color w:val="010101"/>
          <w:spacing w:val="-21"/>
          <w:w w:val="110"/>
          <w:sz w:val="20"/>
        </w:rPr>
        <w:t> </w:t>
      </w:r>
      <w:r>
        <w:rPr>
          <w:color w:val="010101"/>
          <w:w w:val="110"/>
          <w:sz w:val="20"/>
        </w:rPr>
        <w:t>the</w:t>
      </w:r>
      <w:r>
        <w:rPr>
          <w:color w:val="010101"/>
          <w:spacing w:val="-24"/>
          <w:w w:val="110"/>
          <w:sz w:val="20"/>
        </w:rPr>
        <w:t> </w:t>
      </w:r>
      <w:r>
        <w:rPr>
          <w:color w:val="010101"/>
          <w:w w:val="110"/>
          <w:sz w:val="20"/>
        </w:rPr>
        <w:t>periodicity</w:t>
      </w:r>
      <w:r>
        <w:rPr>
          <w:color w:val="010101"/>
          <w:spacing w:val="-13"/>
          <w:w w:val="110"/>
          <w:sz w:val="20"/>
        </w:rPr>
        <w:t> </w:t>
      </w:r>
      <w:r>
        <w:rPr>
          <w:color w:val="010101"/>
          <w:w w:val="110"/>
          <w:sz w:val="20"/>
        </w:rPr>
        <w:t>of</w:t>
      </w:r>
      <w:r>
        <w:rPr>
          <w:color w:val="010101"/>
          <w:spacing w:val="-16"/>
          <w:w w:val="110"/>
          <w:sz w:val="20"/>
        </w:rPr>
        <w:t> </w:t>
      </w:r>
      <w:r>
        <w:rPr>
          <w:color w:val="010101"/>
          <w:w w:val="110"/>
          <w:sz w:val="20"/>
        </w:rPr>
        <w:t>events. lt</w:t>
      </w:r>
      <w:r>
        <w:rPr>
          <w:color w:val="010101"/>
          <w:spacing w:val="-10"/>
          <w:w w:val="110"/>
          <w:sz w:val="20"/>
        </w:rPr>
        <w:t> </w:t>
      </w:r>
      <w:r>
        <w:rPr>
          <w:color w:val="010101"/>
          <w:w w:val="110"/>
          <w:sz w:val="20"/>
        </w:rPr>
        <w:t>is</w:t>
      </w:r>
      <w:r>
        <w:rPr>
          <w:color w:val="010101"/>
          <w:spacing w:val="-18"/>
          <w:w w:val="110"/>
          <w:sz w:val="20"/>
        </w:rPr>
        <w:t> </w:t>
      </w:r>
      <w:r>
        <w:rPr>
          <w:color w:val="010101"/>
          <w:w w:val="110"/>
          <w:sz w:val="20"/>
        </w:rPr>
        <w:t>always</w:t>
      </w:r>
      <w:r>
        <w:rPr>
          <w:color w:val="010101"/>
          <w:spacing w:val="-15"/>
          <w:w w:val="110"/>
          <w:sz w:val="20"/>
        </w:rPr>
        <w:t> </w:t>
      </w:r>
      <w:r>
        <w:rPr>
          <w:color w:val="010101"/>
          <w:w w:val="110"/>
          <w:sz w:val="20"/>
        </w:rPr>
        <w:t>enclosed</w:t>
      </w:r>
      <w:r>
        <w:rPr>
          <w:color w:val="010101"/>
          <w:spacing w:val="-3"/>
          <w:w w:val="110"/>
          <w:sz w:val="20"/>
        </w:rPr>
        <w:t> </w:t>
      </w:r>
      <w:r>
        <w:rPr>
          <w:color w:val="010101"/>
          <w:w w:val="110"/>
          <w:sz w:val="19"/>
        </w:rPr>
        <w:t>in</w:t>
      </w:r>
      <w:r>
        <w:rPr>
          <w:color w:val="010101"/>
          <w:spacing w:val="-8"/>
          <w:w w:val="110"/>
          <w:sz w:val="19"/>
        </w:rPr>
        <w:t> </w:t>
      </w:r>
      <w:r>
        <w:rPr>
          <w:color w:val="010101"/>
          <w:w w:val="110"/>
          <w:sz w:val="20"/>
        </w:rPr>
        <w:t>parentheses</w:t>
      </w:r>
      <w:r>
        <w:rPr>
          <w:color w:val="010101"/>
          <w:spacing w:val="-4"/>
          <w:w w:val="110"/>
          <w:sz w:val="20"/>
        </w:rPr>
        <w:t> </w:t>
      </w:r>
      <w:r>
        <w:rPr>
          <w:color w:val="010101"/>
          <w:w w:val="110"/>
          <w:sz w:val="20"/>
        </w:rPr>
        <w:t>or</w:t>
      </w:r>
      <w:r>
        <w:rPr>
          <w:color w:val="010101"/>
          <w:spacing w:val="-15"/>
          <w:w w:val="110"/>
          <w:sz w:val="20"/>
        </w:rPr>
        <w:t> </w:t>
      </w:r>
      <w:r>
        <w:rPr>
          <w:color w:val="010101"/>
          <w:w w:val="110"/>
          <w:sz w:val="20"/>
        </w:rPr>
        <w:t>brackets.</w:t>
      </w:r>
    </w:p>
    <w:p>
      <w:pPr>
        <w:pStyle w:val="ListParagraph"/>
        <w:numPr>
          <w:ilvl w:val="1"/>
          <w:numId w:val="21"/>
        </w:numPr>
        <w:tabs>
          <w:tab w:pos="620" w:val="left" w:leader="none"/>
        </w:tabs>
        <w:spacing w:line="252" w:lineRule="auto" w:before="0" w:after="0"/>
        <w:ind w:left="120" w:right="137" w:firstLine="190"/>
        <w:jc w:val="both"/>
        <w:rPr>
          <w:sz w:val="20"/>
        </w:rPr>
      </w:pPr>
      <w:r>
        <w:rPr>
          <w:color w:val="010101"/>
          <w:w w:val="105"/>
          <w:sz w:val="20"/>
        </w:rPr>
        <w:t>When the periodicity of events becomes infinite, a horizontal bar over the principal symbol rcplaces thc use of the suffixed superscript.</w:t>
      </w:r>
    </w:p>
    <w:p>
      <w:pPr>
        <w:pStyle w:val="ListParagraph"/>
        <w:numPr>
          <w:ilvl w:val="1"/>
          <w:numId w:val="21"/>
        </w:numPr>
        <w:tabs>
          <w:tab w:pos="627" w:val="left" w:leader="none"/>
        </w:tabs>
        <w:spacing w:line="234" w:lineRule="exact" w:before="0" w:after="0"/>
        <w:ind w:left="626" w:right="0" w:hanging="312"/>
        <w:jc w:val="left"/>
        <w:rPr>
          <w:sz w:val="20"/>
        </w:rPr>
      </w:pPr>
      <w:r>
        <w:rPr>
          <w:color w:val="010101"/>
          <w:w w:val="105"/>
          <w:sz w:val="20"/>
        </w:rPr>
        <w:t>The dieresis above an annuity  symbol is used </w:t>
      </w:r>
      <w:r>
        <w:rPr>
          <w:color w:val="010101"/>
          <w:w w:val="105"/>
          <w:sz w:val="22"/>
        </w:rPr>
        <w:t>to </w:t>
      </w:r>
      <w:r>
        <w:rPr>
          <w:color w:val="010101"/>
          <w:spacing w:val="56"/>
          <w:w w:val="105"/>
          <w:sz w:val="22"/>
        </w:rPr>
        <w:t> </w:t>
      </w:r>
      <w:r>
        <w:rPr>
          <w:color w:val="010101"/>
          <w:w w:val="105"/>
          <w:sz w:val="20"/>
        </w:rPr>
        <w:t>distinguish</w:t>
      </w:r>
    </w:p>
    <w:p>
      <w:pPr>
        <w:pStyle w:val="BodyText"/>
        <w:spacing w:before="6"/>
        <w:ind w:left="116"/>
        <w:jc w:val="both"/>
      </w:pPr>
      <w:r>
        <w:rPr>
          <w:color w:val="010101"/>
          <w:w w:val="105"/>
        </w:rPr>
        <w:t>annuities-due  from immediate annuities.</w:t>
      </w:r>
    </w:p>
    <w:p>
      <w:pPr>
        <w:spacing w:before="169"/>
        <w:ind w:left="134" w:right="0" w:firstLine="0"/>
        <w:jc w:val="both"/>
        <w:rPr>
          <w:i/>
          <w:sz w:val="20"/>
        </w:rPr>
      </w:pPr>
      <w:r>
        <w:rPr>
          <w:i/>
          <w:color w:val="010101"/>
          <w:sz w:val="20"/>
        </w:rPr>
        <w:t>A pplication  to pure endowment and annuity benefits</w:t>
      </w:r>
    </w:p>
    <w:p>
      <w:pPr>
        <w:pStyle w:val="ListParagraph"/>
        <w:numPr>
          <w:ilvl w:val="2"/>
          <w:numId w:val="21"/>
        </w:numPr>
        <w:tabs>
          <w:tab w:pos="562" w:val="left" w:leader="none"/>
        </w:tabs>
        <w:spacing w:line="240" w:lineRule="auto" w:before="90" w:after="0"/>
        <w:ind w:left="124" w:right="0" w:firstLine="204"/>
        <w:jc w:val="left"/>
        <w:rPr>
          <w:color w:val="010101"/>
          <w:sz w:val="19"/>
        </w:rPr>
      </w:pPr>
      <w:r>
        <w:rPr>
          <w:color w:val="010101"/>
          <w:w w:val="105"/>
          <w:sz w:val="20"/>
        </w:rPr>
        <w:t>The following principal symbols are</w:t>
      </w:r>
      <w:r>
        <w:rPr>
          <w:color w:val="010101"/>
          <w:spacing w:val="19"/>
          <w:w w:val="105"/>
          <w:sz w:val="20"/>
        </w:rPr>
        <w:t> </w:t>
      </w:r>
      <w:r>
        <w:rPr>
          <w:color w:val="010101"/>
          <w:w w:val="105"/>
          <w:sz w:val="20"/>
        </w:rPr>
        <w:t>used:</w:t>
      </w:r>
    </w:p>
    <w:p>
      <w:pPr>
        <w:pStyle w:val="BodyText"/>
        <w:spacing w:line="252" w:lineRule="auto" w:before="10"/>
        <w:ind w:left="565" w:right="1295"/>
        <w:rPr>
          <w:rFonts w:ascii="Arial"/>
          <w:b/>
          <w:sz w:val="19"/>
        </w:rPr>
      </w:pPr>
      <w:r>
        <w:rPr>
          <w:rFonts w:ascii="Arial"/>
          <w:i/>
          <w:color w:val="010101"/>
          <w:w w:val="105"/>
        </w:rPr>
        <w:t>E, </w:t>
      </w:r>
      <w:r>
        <w:rPr>
          <w:color w:val="010101"/>
          <w:w w:val="105"/>
        </w:rPr>
        <w:t>the present value of a pure endowment of 1; a, the present  value of  an annuity of </w:t>
      </w:r>
      <w:r>
        <w:rPr>
          <w:color w:val="010101"/>
          <w:spacing w:val="11"/>
          <w:w w:val="105"/>
        </w:rPr>
        <w:t> </w:t>
      </w:r>
      <w:r>
        <w:rPr>
          <w:rFonts w:ascii="Arial"/>
          <w:b/>
          <w:color w:val="010101"/>
          <w:w w:val="105"/>
          <w:sz w:val="19"/>
        </w:rPr>
        <w:t>1;</w:t>
      </w:r>
    </w:p>
    <w:p>
      <w:pPr>
        <w:pStyle w:val="BodyText"/>
        <w:spacing w:line="247" w:lineRule="auto"/>
        <w:ind w:left="572" w:right="1166" w:hanging="4"/>
      </w:pPr>
      <w:r>
        <w:rPr>
          <w:i/>
          <w:color w:val="010101"/>
          <w:w w:val="105"/>
          <w:sz w:val="21"/>
        </w:rPr>
        <w:t>s, </w:t>
      </w:r>
      <w:r>
        <w:rPr>
          <w:color w:val="010101"/>
          <w:w w:val="105"/>
        </w:rPr>
        <w:t>the accumulated amount of an annuity of 1; </w:t>
      </w:r>
      <w:r>
        <w:rPr>
          <w:rFonts w:ascii="Arial"/>
          <w:i/>
          <w:color w:val="010101"/>
          <w:w w:val="105"/>
          <w:sz w:val="19"/>
        </w:rPr>
        <w:t>(1</w:t>
      </w:r>
      <w:r>
        <w:rPr>
          <w:color w:val="010101"/>
          <w:w w:val="105"/>
        </w:rPr>
        <w:t>a), the present value of an increasing annuity; </w:t>
      </w:r>
      <w:r>
        <w:rPr>
          <w:rFonts w:ascii="Arial"/>
          <w:i/>
          <w:color w:val="010101"/>
          <w:w w:val="105"/>
          <w:sz w:val="19"/>
        </w:rPr>
        <w:t>(Da), </w:t>
      </w:r>
      <w:r>
        <w:rPr>
          <w:color w:val="010101"/>
          <w:w w:val="105"/>
        </w:rPr>
        <w:t>the present  value of  a decreasing annuity.</w:t>
      </w:r>
    </w:p>
    <w:p>
      <w:pPr>
        <w:pStyle w:val="ListParagraph"/>
        <w:numPr>
          <w:ilvl w:val="2"/>
          <w:numId w:val="21"/>
        </w:numPr>
        <w:tabs>
          <w:tab w:pos="566" w:val="left" w:leader="none"/>
        </w:tabs>
        <w:spacing w:line="240" w:lineRule="auto" w:before="4" w:after="0"/>
        <w:ind w:left="124" w:right="119" w:firstLine="193"/>
        <w:jc w:val="both"/>
        <w:rPr>
          <w:color w:val="010101"/>
          <w:sz w:val="20"/>
        </w:rPr>
      </w:pPr>
      <w:r>
        <w:rPr>
          <w:color w:val="010101"/>
          <w:w w:val="105"/>
          <w:sz w:val="20"/>
        </w:rPr>
        <w:t>The horizontal bar over an annuity symbol means that pay­ ments are made momently (Principle G). When the  bar  is used over the </w:t>
      </w:r>
      <w:r>
        <w:rPr>
          <w:i/>
          <w:color w:val="010101"/>
          <w:w w:val="105"/>
          <w:sz w:val="22"/>
        </w:rPr>
        <w:t>I </w:t>
      </w:r>
      <w:r>
        <w:rPr>
          <w:color w:val="010101"/>
          <w:w w:val="105"/>
          <w:sz w:val="20"/>
        </w:rPr>
        <w:t>or </w:t>
      </w:r>
      <w:r>
        <w:rPr>
          <w:i/>
          <w:color w:val="010101"/>
          <w:w w:val="105"/>
          <w:sz w:val="22"/>
        </w:rPr>
        <w:t>D </w:t>
      </w:r>
      <w:r>
        <w:rPr>
          <w:color w:val="010101"/>
          <w:w w:val="105"/>
          <w:sz w:val="20"/>
        </w:rPr>
        <w:t>of a varying annuity symbol, it indicates that the increases or decreases occur</w:t>
      </w:r>
      <w:r>
        <w:rPr>
          <w:color w:val="010101"/>
          <w:spacing w:val="5"/>
          <w:w w:val="105"/>
          <w:sz w:val="20"/>
        </w:rPr>
        <w:t> </w:t>
      </w:r>
      <w:r>
        <w:rPr>
          <w:color w:val="010101"/>
          <w:w w:val="105"/>
          <w:sz w:val="20"/>
        </w:rPr>
        <w:t>momently.</w:t>
      </w:r>
    </w:p>
    <w:p>
      <w:pPr>
        <w:spacing w:after="0" w:line="240" w:lineRule="auto"/>
        <w:jc w:val="both"/>
        <w:rPr>
          <w:sz w:val="20"/>
        </w:rPr>
        <w:sectPr>
          <w:pgSz w:w="7200" w:h="11340"/>
          <w:pgMar w:top="520" w:bottom="280" w:left="680" w:right="560"/>
        </w:sectPr>
      </w:pPr>
    </w:p>
    <w:p>
      <w:pPr>
        <w:spacing w:before="73"/>
        <w:ind w:left="47" w:right="87" w:firstLine="0"/>
        <w:jc w:val="center"/>
        <w:rPr>
          <w:rFonts w:ascii="Courier New"/>
          <w:b/>
          <w:sz w:val="16"/>
        </w:rPr>
      </w:pPr>
      <w:r>
        <w:rPr>
          <w:rFonts w:ascii="Courier New"/>
          <w:b/>
          <w:color w:val="010101"/>
          <w:w w:val="110"/>
          <w:sz w:val="16"/>
        </w:rPr>
        <w:t>REFERENCES</w:t>
      </w:r>
    </w:p>
    <w:p>
      <w:pPr>
        <w:pStyle w:val="BodyText"/>
        <w:spacing w:before="3"/>
        <w:rPr>
          <w:rFonts w:ascii="Courier New"/>
          <w:b/>
          <w:sz w:val="21"/>
        </w:rPr>
      </w:pPr>
    </w:p>
    <w:p>
      <w:pPr>
        <w:spacing w:before="0"/>
        <w:ind w:left="122" w:right="0" w:firstLine="197"/>
        <w:jc w:val="both"/>
        <w:rPr>
          <w:sz w:val="20"/>
        </w:rPr>
      </w:pPr>
      <w:r>
        <w:rPr>
          <w:i/>
          <w:color w:val="010101"/>
          <w:w w:val="105"/>
          <w:sz w:val="20"/>
        </w:rPr>
        <w:t>Comments. </w:t>
      </w:r>
      <w:r>
        <w:rPr>
          <w:color w:val="010101"/>
          <w:w w:val="105"/>
          <w:sz w:val="21"/>
        </w:rPr>
        <w:t>It </w:t>
      </w:r>
      <w:r>
        <w:rPr>
          <w:color w:val="010101"/>
          <w:w w:val="105"/>
          <w:sz w:val="20"/>
        </w:rPr>
        <w:t>will occa.sionally </w:t>
      </w:r>
      <w:r>
        <w:rPr>
          <w:rFonts w:ascii="Arial" w:hAnsi="Arial"/>
          <w:color w:val="010101"/>
          <w:w w:val="105"/>
          <w:sz w:val="18"/>
        </w:rPr>
        <w:t>be </w:t>
      </w:r>
      <w:r>
        <w:rPr>
          <w:color w:val="010101"/>
          <w:w w:val="105"/>
          <w:sz w:val="20"/>
        </w:rPr>
        <w:t>found that two different  sym­</w:t>
      </w:r>
    </w:p>
    <w:p>
      <w:pPr>
        <w:pStyle w:val="BodyText"/>
        <w:spacing w:line="172" w:lineRule="auto" w:before="61"/>
        <w:ind w:left="118" w:right="113" w:firstLine="3"/>
        <w:rPr>
          <w:rFonts w:ascii="Arial" w:hAnsi="Arial"/>
          <w:sz w:val="28"/>
        </w:rPr>
      </w:pPr>
      <w:r>
        <w:rPr>
          <w:color w:val="010101"/>
          <w:w w:val="110"/>
        </w:rPr>
        <w:t>bols will specify the same function. For example, the temporary annuity </w:t>
      </w:r>
      <w:r>
        <w:rPr>
          <w:color w:val="010101"/>
          <w:w w:val="110"/>
          <w:sz w:val="19"/>
        </w:rPr>
        <w:t>is expressed </w:t>
      </w:r>
      <w:r>
        <w:rPr>
          <w:color w:val="010101"/>
          <w:w w:val="110"/>
        </w:rPr>
        <w:t>by Principie E as </w:t>
      </w:r>
      <w:r>
        <w:rPr>
          <w:color w:val="010101"/>
          <w:w w:val="110"/>
          <w:sz w:val="14"/>
        </w:rPr>
        <w:t>Oz </w:t>
      </w:r>
      <w:r>
        <w:rPr>
          <w:color w:val="2A2A2A"/>
          <w:w w:val="110"/>
          <w:sz w:val="14"/>
        </w:rPr>
        <w:t>:·</w:t>
      </w:r>
      <w:r>
        <w:rPr>
          <w:color w:val="010101"/>
          <w:w w:val="110"/>
          <w:sz w:val="14"/>
        </w:rPr>
        <w:t>;-: </w:t>
      </w:r>
      <w:r>
        <w:rPr>
          <w:color w:val="010101"/>
          <w:w w:val="185"/>
          <w:sz w:val="14"/>
        </w:rPr>
        <w:t>. </w:t>
      </w:r>
      <w:r>
        <w:rPr>
          <w:color w:val="010101"/>
          <w:w w:val="110"/>
        </w:rPr>
        <w:t>Using  Principie  </w:t>
      </w:r>
      <w:r>
        <w:rPr>
          <w:rFonts w:ascii="Arial" w:hAnsi="Arial"/>
          <w:color w:val="010101"/>
          <w:w w:val="110"/>
          <w:sz w:val="28"/>
        </w:rPr>
        <w:t>e,</w:t>
      </w:r>
    </w:p>
    <w:p>
      <w:pPr>
        <w:pStyle w:val="BodyText"/>
        <w:spacing w:line="244" w:lineRule="auto" w:before="5"/>
        <w:ind w:left="143" w:right="241" w:hanging="26"/>
      </w:pPr>
      <w:r>
        <w:rPr>
          <w:color w:val="010101"/>
          <w:w w:val="105"/>
        </w:rPr>
        <w:t>however,  it may equally well </w:t>
      </w:r>
      <w:r>
        <w:rPr>
          <w:color w:val="010101"/>
          <w:w w:val="105"/>
          <w:sz w:val="19"/>
        </w:rPr>
        <w:t>be </w:t>
      </w:r>
      <w:r>
        <w:rPr>
          <w:color w:val="010101"/>
          <w:w w:val="105"/>
        </w:rPr>
        <w:t>denoted by </w:t>
      </w:r>
      <w:r>
        <w:rPr>
          <w:i/>
          <w:color w:val="010101"/>
          <w:w w:val="105"/>
          <w:sz w:val="21"/>
        </w:rPr>
        <w:t>"ªz </w:t>
      </w:r>
      <w:r>
        <w:rPr>
          <w:color w:val="010101"/>
          <w:w w:val="105"/>
          <w:sz w:val="21"/>
        </w:rPr>
        <w:t>, </w:t>
      </w:r>
      <w:r>
        <w:rPr>
          <w:color w:val="010101"/>
          <w:w w:val="105"/>
        </w:rPr>
        <w:t>and this symbol   is</w:t>
      </w:r>
      <w:r>
        <w:rPr>
          <w:color w:val="010101"/>
          <w:spacing w:val="-32"/>
          <w:w w:val="105"/>
        </w:rPr>
        <w:t> </w:t>
      </w:r>
      <w:r>
        <w:rPr>
          <w:color w:val="010101"/>
          <w:w w:val="105"/>
        </w:rPr>
        <w:t>occasion.ally</w:t>
      </w:r>
      <w:r>
        <w:rPr>
          <w:color w:val="010101"/>
          <w:spacing w:val="-23"/>
          <w:w w:val="105"/>
        </w:rPr>
        <w:t> </w:t>
      </w:r>
      <w:r>
        <w:rPr>
          <w:color w:val="010101"/>
          <w:w w:val="105"/>
        </w:rPr>
        <w:t>encountered.</w:t>
      </w:r>
    </w:p>
    <w:p>
      <w:pPr>
        <w:pStyle w:val="BodyText"/>
        <w:spacing w:line="252" w:lineRule="auto"/>
        <w:ind w:left="133" w:right="140" w:firstLine="186"/>
        <w:jc w:val="both"/>
      </w:pPr>
      <w:r>
        <w:rPr>
          <w:color w:val="010101"/>
          <w:w w:val="111"/>
        </w:rPr>
        <w:t>The </w:t>
      </w:r>
      <w:r>
        <w:rPr>
          <w:color w:val="010101"/>
          <w:w w:val="103"/>
        </w:rPr>
        <w:t>symbol </w:t>
      </w:r>
      <w:r>
        <w:rPr>
          <w:i/>
          <w:color w:val="010101"/>
          <w:spacing w:val="3"/>
          <w:w w:val="82"/>
        </w:rPr>
        <w:t>(]Cm&gt;</w:t>
      </w:r>
      <w:r>
        <w:rPr>
          <w:color w:val="010101"/>
          <w:spacing w:val="3"/>
          <w:w w:val="82"/>
        </w:rPr>
        <w:t>a) </w:t>
      </w:r>
      <w:r>
        <w:rPr>
          <w:color w:val="010101"/>
          <w:spacing w:val="3"/>
          <w:w w:val="104"/>
        </w:rPr>
        <w:t>is </w:t>
      </w:r>
      <w:r>
        <w:rPr>
          <w:color w:val="010101"/>
          <w:spacing w:val="3"/>
          <w:w w:val="105"/>
        </w:rPr>
        <w:t>not </w:t>
      </w:r>
      <w:r>
        <w:rPr>
          <w:color w:val="010101"/>
          <w:spacing w:val="3"/>
          <w:w w:val="99"/>
        </w:rPr>
        <w:t>defined </w:t>
      </w:r>
      <w:r>
        <w:rPr>
          <w:color w:val="010101"/>
          <w:spacing w:val="3"/>
          <w:w w:val="99"/>
        </w:rPr>
        <w:t>in </w:t>
      </w:r>
      <w:r>
        <w:rPr>
          <w:color w:val="010101"/>
          <w:spacing w:val="3"/>
          <w:w w:val="111"/>
        </w:rPr>
        <w:t>the </w:t>
      </w:r>
      <w:r>
        <w:rPr>
          <w:color w:val="010101"/>
          <w:spacing w:val="3"/>
          <w:w w:val="108"/>
        </w:rPr>
        <w:t>International </w:t>
      </w:r>
      <w:r>
        <w:rPr>
          <w:color w:val="010101"/>
          <w:spacing w:val="3"/>
          <w:w w:val="101"/>
        </w:rPr>
        <w:t>Code, </w:t>
      </w:r>
      <w:r>
        <w:rPr>
          <w:color w:val="010101"/>
          <w:spacing w:val="3"/>
          <w:w w:val="108"/>
        </w:rPr>
        <w:t>and </w:t>
      </w:r>
      <w:r>
        <w:rPr>
          <w:color w:val="010101"/>
          <w:spacing w:val="3"/>
          <w:w w:val="105"/>
        </w:rPr>
        <w:t>the notation for the corresponding continuous benefits is acrord­ ingly not standardized. In earlier actuaria} Iiterature the function which </w:t>
      </w:r>
      <w:r>
        <w:rPr>
          <w:rFonts w:ascii="Arial" w:hAnsi="Arial"/>
          <w:color w:val="010101"/>
          <w:spacing w:val="3"/>
          <w:w w:val="105"/>
        </w:rPr>
        <w:t>is </w:t>
      </w:r>
      <w:r>
        <w:rPr>
          <w:color w:val="010101"/>
          <w:spacing w:val="3"/>
          <w:w w:val="105"/>
        </w:rPr>
        <w:t>here denoted by </w:t>
      </w:r>
      <w:r>
        <w:rPr>
          <w:color w:val="010101"/>
          <w:spacing w:val="-4"/>
          <w:w w:val="105"/>
        </w:rPr>
        <w:t>(la)z </w:t>
      </w:r>
      <w:r>
        <w:rPr>
          <w:color w:val="010101"/>
          <w:w w:val="105"/>
        </w:rPr>
        <w:t>is represented by (Ja )z . To avoid </w:t>
      </w:r>
      <w:r>
        <w:rPr>
          <w:color w:val="010101"/>
          <w:spacing w:val="2"/>
          <w:w w:val="105"/>
        </w:rPr>
        <w:t>confusion, </w:t>
      </w:r>
      <w:r>
        <w:rPr>
          <w:color w:val="010101"/>
          <w:w w:val="105"/>
        </w:rPr>
        <w:t>the student should note carefully the definitions of these symbols when they are encountered</w:t>
      </w:r>
      <w:r>
        <w:rPr>
          <w:color w:val="010101"/>
          <w:spacing w:val="52"/>
          <w:w w:val="105"/>
        </w:rPr>
        <w:t> </w:t>
      </w:r>
      <w:r>
        <w:rPr>
          <w:color w:val="010101"/>
          <w:w w:val="105"/>
        </w:rPr>
        <w:t>elsewhere.</w:t>
      </w:r>
    </w:p>
    <w:p>
      <w:pPr>
        <w:spacing w:before="85"/>
        <w:ind w:left="140" w:right="0" w:firstLine="0"/>
        <w:jc w:val="left"/>
        <w:rPr>
          <w:i/>
          <w:sz w:val="22"/>
        </w:rPr>
      </w:pPr>
      <w:r>
        <w:rPr/>
        <w:drawing>
          <wp:anchor distT="0" distB="0" distL="0" distR="0" allowOverlap="1" layoutInCell="1" locked="0" behindDoc="0" simplePos="0" relativeHeight="5368">
            <wp:simplePos x="0" y="0"/>
            <wp:positionH relativeFrom="page">
              <wp:posOffset>2331720</wp:posOffset>
            </wp:positionH>
            <wp:positionV relativeFrom="paragraph">
              <wp:posOffset>299430</wp:posOffset>
            </wp:positionV>
            <wp:extent cx="1828800" cy="685800"/>
            <wp:effectExtent l="0" t="0" r="0" b="0"/>
            <wp:wrapNone/>
            <wp:docPr id="133" name="image71.png" descr=""/>
            <wp:cNvGraphicFramePr>
              <a:graphicFrameLocks noChangeAspect="1"/>
            </wp:cNvGraphicFramePr>
            <a:graphic>
              <a:graphicData uri="http://schemas.openxmlformats.org/drawingml/2006/picture">
                <pic:pic>
                  <pic:nvPicPr>
                    <pic:cNvPr id="134" name="image71.png"/>
                    <pic:cNvPicPr/>
                  </pic:nvPicPr>
                  <pic:blipFill>
                    <a:blip r:embed="rId75" cstate="print"/>
                    <a:stretch>
                      <a:fillRect/>
                    </a:stretch>
                  </pic:blipFill>
                  <pic:spPr>
                    <a:xfrm>
                      <a:off x="0" y="0"/>
                      <a:ext cx="1828800" cy="685800"/>
                    </a:xfrm>
                    <a:prstGeom prst="rect">
                      <a:avLst/>
                    </a:prstGeom>
                  </pic:spPr>
                </pic:pic>
              </a:graphicData>
            </a:graphic>
          </wp:anchor>
        </w:drawing>
      </w:r>
      <w:r>
        <w:rPr>
          <w:rFonts w:ascii="Arial"/>
          <w:i/>
          <w:color w:val="010101"/>
          <w:w w:val="90"/>
          <w:sz w:val="28"/>
        </w:rPr>
        <w:t>e</w:t>
      </w:r>
      <w:r>
        <w:rPr>
          <w:i/>
          <w:color w:val="010101"/>
          <w:w w:val="90"/>
          <w:sz w:val="22"/>
        </w:rPr>
        <w:t>ommutation fu.nctions</w:t>
      </w:r>
    </w:p>
    <w:p>
      <w:pPr>
        <w:pStyle w:val="BodyText"/>
        <w:spacing w:before="11"/>
        <w:rPr>
          <w:i/>
          <w:sz w:val="15"/>
        </w:rPr>
      </w:pPr>
      <w:r>
        <w:rPr/>
        <w:drawing>
          <wp:anchor distT="0" distB="0" distL="0" distR="0" allowOverlap="1" layoutInCell="1" locked="0" behindDoc="0" simplePos="0" relativeHeight="5344">
            <wp:simplePos x="0" y="0"/>
            <wp:positionH relativeFrom="page">
              <wp:posOffset>493776</wp:posOffset>
            </wp:positionH>
            <wp:positionV relativeFrom="paragraph">
              <wp:posOffset>141587</wp:posOffset>
            </wp:positionV>
            <wp:extent cx="548639" cy="118872"/>
            <wp:effectExtent l="0" t="0" r="0" b="0"/>
            <wp:wrapTopAndBottom/>
            <wp:docPr id="135" name="image72.png" descr=""/>
            <wp:cNvGraphicFramePr>
              <a:graphicFrameLocks noChangeAspect="1"/>
            </wp:cNvGraphicFramePr>
            <a:graphic>
              <a:graphicData uri="http://schemas.openxmlformats.org/drawingml/2006/picture">
                <pic:pic>
                  <pic:nvPicPr>
                    <pic:cNvPr id="136" name="image72.png"/>
                    <pic:cNvPicPr/>
                  </pic:nvPicPr>
                  <pic:blipFill>
                    <a:blip r:embed="rId76" cstate="print"/>
                    <a:stretch>
                      <a:fillRect/>
                    </a:stretch>
                  </pic:blipFill>
                  <pic:spPr>
                    <a:xfrm>
                      <a:off x="0" y="0"/>
                      <a:ext cx="548639" cy="118872"/>
                    </a:xfrm>
                    <a:prstGeom prst="rect">
                      <a:avLst/>
                    </a:prstGeom>
                  </pic:spPr>
                </pic:pic>
              </a:graphicData>
            </a:graphic>
          </wp:anchor>
        </w:drawing>
      </w:r>
    </w:p>
    <w:p>
      <w:pPr>
        <w:spacing w:before="226"/>
        <w:ind w:left="98" w:right="4457" w:firstLine="0"/>
        <w:jc w:val="center"/>
        <w:rPr>
          <w:sz w:val="9"/>
        </w:rPr>
      </w:pPr>
      <w:r>
        <w:rPr>
          <w:color w:val="010101"/>
          <w:w w:val="105"/>
          <w:sz w:val="9"/>
        </w:rPr>
        <w:t>IO</w:t>
      </w:r>
    </w:p>
    <w:p>
      <w:pPr>
        <w:spacing w:line="204" w:lineRule="exact" w:before="12"/>
        <w:ind w:left="136" w:right="0" w:firstLine="0"/>
        <w:jc w:val="left"/>
        <w:rPr>
          <w:i/>
          <w:sz w:val="22"/>
        </w:rPr>
      </w:pPr>
      <w:r>
        <w:rPr>
          <w:i/>
          <w:color w:val="010101"/>
          <w:w w:val="105"/>
          <w:sz w:val="22"/>
        </w:rPr>
        <w:t>N </w:t>
      </w:r>
      <w:r>
        <w:rPr>
          <w:i/>
          <w:color w:val="010101"/>
          <w:sz w:val="22"/>
        </w:rPr>
        <w:t>s  </w:t>
      </w:r>
      <w:r>
        <w:rPr>
          <w:i/>
          <w:color w:val="010101"/>
          <w:w w:val="105"/>
          <w:sz w:val="22"/>
        </w:rPr>
        <w:t>= ¿Dz+,</w:t>
      </w:r>
    </w:p>
    <w:p>
      <w:pPr>
        <w:spacing w:line="158" w:lineRule="exact" w:before="0"/>
        <w:ind w:left="98" w:right="4451" w:firstLine="0"/>
        <w:jc w:val="center"/>
        <w:rPr>
          <w:b/>
          <w:sz w:val="18"/>
        </w:rPr>
      </w:pPr>
      <w:r>
        <w:rPr>
          <w:b/>
          <w:color w:val="010101"/>
          <w:w w:val="115"/>
          <w:sz w:val="18"/>
        </w:rPr>
        <w:t>,-o</w:t>
      </w:r>
    </w:p>
    <w:p>
      <w:pPr>
        <w:spacing w:after="0" w:line="158" w:lineRule="exact"/>
        <w:jc w:val="center"/>
        <w:rPr>
          <w:sz w:val="18"/>
        </w:rPr>
        <w:sectPr>
          <w:pgSz w:w="7200" w:h="11340"/>
          <w:pgMar w:top="520" w:bottom="280" w:left="660" w:right="540"/>
        </w:sectPr>
      </w:pPr>
    </w:p>
    <w:p>
      <w:pPr>
        <w:pStyle w:val="BodyText"/>
        <w:rPr>
          <w:b/>
          <w:sz w:val="8"/>
        </w:rPr>
      </w:pPr>
    </w:p>
    <w:p>
      <w:pPr>
        <w:spacing w:before="65"/>
        <w:ind w:left="0" w:right="437" w:firstLine="0"/>
        <w:jc w:val="center"/>
        <w:rPr>
          <w:sz w:val="9"/>
        </w:rPr>
      </w:pPr>
      <w:r>
        <w:rPr/>
        <w:pict>
          <v:shape style="position:absolute;margin-left:67.836487pt;margin-top:6.937855pt;width:10.7pt;height:16.5pt;mso-position-horizontal-relative:page;mso-position-vertical-relative:paragraph;z-index:-730672" type="#_x0000_t202" filled="false" stroked="false">
            <v:textbox inset="0,0,0,0">
              <w:txbxContent>
                <w:p>
                  <w:pPr>
                    <w:spacing w:line="330" w:lineRule="exact" w:before="0"/>
                    <w:ind w:left="0" w:right="0" w:firstLine="0"/>
                    <w:jc w:val="left"/>
                    <w:rPr>
                      <w:b/>
                      <w:i/>
                      <w:sz w:val="33"/>
                    </w:rPr>
                  </w:pPr>
                  <w:r>
                    <w:rPr>
                      <w:b/>
                      <w:i/>
                      <w:color w:val="010101"/>
                      <w:w w:val="105"/>
                      <w:sz w:val="33"/>
                    </w:rPr>
                    <w:t>L</w:t>
                  </w:r>
                </w:p>
              </w:txbxContent>
            </v:textbox>
            <w10:wrap type="none"/>
          </v:shape>
        </w:pict>
      </w:r>
      <w:r>
        <w:rPr>
          <w:color w:val="010101"/>
          <w:w w:val="105"/>
          <w:sz w:val="9"/>
        </w:rPr>
        <w:t>IO</w:t>
      </w:r>
    </w:p>
    <w:p>
      <w:pPr>
        <w:tabs>
          <w:tab w:pos="807" w:val="left" w:leader="none"/>
        </w:tabs>
        <w:spacing w:line="218" w:lineRule="exact" w:before="11"/>
        <w:ind w:left="0" w:right="514" w:firstLine="0"/>
        <w:jc w:val="center"/>
        <w:rPr>
          <w:b/>
          <w:sz w:val="17"/>
        </w:rPr>
      </w:pPr>
      <w:r>
        <w:rPr>
          <w:b/>
          <w:i/>
          <w:color w:val="010101"/>
          <w:w w:val="105"/>
          <w:sz w:val="22"/>
        </w:rPr>
        <w:t>Ss</w:t>
      </w:r>
      <w:r>
        <w:rPr>
          <w:b/>
          <w:i/>
          <w:color w:val="010101"/>
          <w:spacing w:val="27"/>
          <w:w w:val="105"/>
          <w:sz w:val="22"/>
        </w:rPr>
        <w:t> </w:t>
      </w:r>
      <w:r>
        <w:rPr>
          <w:color w:val="010101"/>
          <w:w w:val="105"/>
          <w:sz w:val="24"/>
        </w:rPr>
        <w:t>=</w:t>
        <w:tab/>
      </w:r>
      <w:r>
        <w:rPr>
          <w:b/>
          <w:color w:val="010101"/>
          <w:w w:val="105"/>
          <w:sz w:val="17"/>
        </w:rPr>
        <w:t>Ns+c</w:t>
      </w:r>
    </w:p>
    <w:p>
      <w:pPr>
        <w:spacing w:line="149" w:lineRule="exact" w:before="0"/>
        <w:ind w:left="0" w:right="430" w:firstLine="0"/>
        <w:jc w:val="center"/>
        <w:rPr>
          <w:b/>
          <w:sz w:val="18"/>
        </w:rPr>
      </w:pPr>
      <w:r>
        <w:rPr>
          <w:b/>
          <w:color w:val="010101"/>
          <w:w w:val="115"/>
          <w:sz w:val="18"/>
        </w:rPr>
        <w:t>,-o</w:t>
      </w:r>
    </w:p>
    <w:p>
      <w:pPr>
        <w:spacing w:line="194" w:lineRule="exact" w:before="70"/>
        <w:ind w:left="0" w:right="404" w:firstLine="0"/>
        <w:jc w:val="center"/>
        <w:rPr>
          <w:rFonts w:ascii="Arial" w:hAnsi="Arial"/>
          <w:sz w:val="24"/>
        </w:rPr>
      </w:pPr>
      <w:r>
        <w:rPr>
          <w:rFonts w:ascii="Arial" w:hAnsi="Arial"/>
          <w:color w:val="010101"/>
          <w:w w:val="154"/>
          <w:sz w:val="24"/>
        </w:rPr>
        <w:t>•</w:t>
      </w:r>
    </w:p>
    <w:p>
      <w:pPr>
        <w:spacing w:line="255" w:lineRule="exact" w:before="0"/>
        <w:ind w:left="467" w:right="0" w:firstLine="0"/>
        <w:jc w:val="left"/>
        <w:rPr>
          <w:sz w:val="20"/>
        </w:rPr>
      </w:pPr>
      <w:r>
        <w:rPr>
          <w:color w:val="010101"/>
          <w:w w:val="105"/>
          <w:sz w:val="26"/>
        </w:rPr>
        <w:t>= </w:t>
      </w:r>
      <w:r>
        <w:rPr>
          <w:i/>
          <w:color w:val="010101"/>
          <w:w w:val="105"/>
          <w:sz w:val="33"/>
        </w:rPr>
        <w:t>L </w:t>
      </w:r>
      <w:r>
        <w:rPr>
          <w:rFonts w:ascii="Arial"/>
          <w:i/>
          <w:color w:val="010101"/>
          <w:w w:val="105"/>
          <w:sz w:val="18"/>
        </w:rPr>
        <w:t>( t  </w:t>
      </w:r>
      <w:r>
        <w:rPr>
          <w:color w:val="010101"/>
          <w:w w:val="105"/>
          <w:sz w:val="29"/>
        </w:rPr>
        <w:t>+ </w:t>
      </w:r>
      <w:r>
        <w:rPr>
          <w:color w:val="010101"/>
          <w:w w:val="105"/>
          <w:sz w:val="20"/>
        </w:rPr>
        <w:t>l)Ds+,</w:t>
      </w:r>
    </w:p>
    <w:p>
      <w:pPr>
        <w:spacing w:line="162" w:lineRule="exact" w:before="0"/>
        <w:ind w:left="0" w:right="418" w:firstLine="0"/>
        <w:jc w:val="center"/>
        <w:rPr>
          <w:rFonts w:ascii="Courier New"/>
          <w:sz w:val="18"/>
        </w:rPr>
      </w:pPr>
      <w:r>
        <w:rPr>
          <w:rFonts w:ascii="Courier New"/>
          <w:color w:val="010101"/>
          <w:w w:val="85"/>
          <w:sz w:val="18"/>
        </w:rPr>
        <w:t>e-o</w:t>
      </w:r>
    </w:p>
    <w:p>
      <w:pPr>
        <w:pStyle w:val="BodyText"/>
        <w:spacing w:before="9" w:after="39"/>
        <w:rPr>
          <w:rFonts w:ascii="Courier New"/>
          <w:sz w:val="11"/>
        </w:rPr>
      </w:pPr>
      <w:r>
        <w:rPr/>
        <w:br w:type="column"/>
      </w:r>
      <w:r>
        <w:rPr>
          <w:rFonts w:ascii="Courier New"/>
          <w:sz w:val="11"/>
        </w:rPr>
      </w:r>
    </w:p>
    <w:p>
      <w:pPr>
        <w:pStyle w:val="BodyText"/>
        <w:ind w:left="201"/>
        <w:rPr>
          <w:rFonts w:ascii="Courier New"/>
        </w:rPr>
      </w:pPr>
      <w:r>
        <w:rPr>
          <w:rFonts w:ascii="Courier New"/>
        </w:rPr>
        <w:drawing>
          <wp:inline distT="0" distB="0" distL="0" distR="0">
            <wp:extent cx="768095" cy="292608"/>
            <wp:effectExtent l="0" t="0" r="0" b="0"/>
            <wp:docPr id="137" name="image73.png" descr=""/>
            <wp:cNvGraphicFramePr>
              <a:graphicFrameLocks noChangeAspect="1"/>
            </wp:cNvGraphicFramePr>
            <a:graphic>
              <a:graphicData uri="http://schemas.openxmlformats.org/drawingml/2006/picture">
                <pic:pic>
                  <pic:nvPicPr>
                    <pic:cNvPr id="138" name="image73.png"/>
                    <pic:cNvPicPr/>
                  </pic:nvPicPr>
                  <pic:blipFill>
                    <a:blip r:embed="rId77" cstate="print"/>
                    <a:stretch>
                      <a:fillRect/>
                    </a:stretch>
                  </pic:blipFill>
                  <pic:spPr>
                    <a:xfrm>
                      <a:off x="0" y="0"/>
                      <a:ext cx="768095" cy="292608"/>
                    </a:xfrm>
                    <a:prstGeom prst="rect">
                      <a:avLst/>
                    </a:prstGeom>
                  </pic:spPr>
                </pic:pic>
              </a:graphicData>
            </a:graphic>
          </wp:inline>
        </w:drawing>
      </w:r>
      <w:r>
        <w:rPr>
          <w:rFonts w:ascii="Courier New"/>
        </w:rPr>
      </w:r>
    </w:p>
    <w:p>
      <w:pPr>
        <w:pStyle w:val="BodyText"/>
        <w:rPr>
          <w:rFonts w:ascii="Courier New"/>
          <w:sz w:val="8"/>
        </w:rPr>
      </w:pPr>
    </w:p>
    <w:p>
      <w:pPr>
        <w:pStyle w:val="BodyText"/>
        <w:spacing w:before="5"/>
        <w:rPr>
          <w:rFonts w:ascii="Courier New"/>
          <w:sz w:val="6"/>
        </w:rPr>
      </w:pPr>
    </w:p>
    <w:p>
      <w:pPr>
        <w:spacing w:line="62" w:lineRule="exact" w:before="0"/>
        <w:ind w:left="771" w:right="0" w:firstLine="0"/>
        <w:jc w:val="left"/>
        <w:rPr>
          <w:sz w:val="9"/>
        </w:rPr>
      </w:pPr>
      <w:r>
        <w:rPr>
          <w:color w:val="010101"/>
          <w:w w:val="105"/>
          <w:sz w:val="9"/>
        </w:rPr>
        <w:t>IO</w:t>
      </w:r>
    </w:p>
    <w:p>
      <w:pPr>
        <w:spacing w:line="297" w:lineRule="exact" w:before="0"/>
        <w:ind w:left="477" w:right="0" w:firstLine="0"/>
        <w:jc w:val="left"/>
        <w:rPr>
          <w:sz w:val="19"/>
        </w:rPr>
      </w:pPr>
      <w:r>
        <w:rPr>
          <w:color w:val="010101"/>
          <w:w w:val="105"/>
          <w:sz w:val="24"/>
        </w:rPr>
        <w:t>= </w:t>
      </w:r>
      <w:r>
        <w:rPr>
          <w:i/>
          <w:color w:val="010101"/>
          <w:w w:val="105"/>
          <w:sz w:val="33"/>
        </w:rPr>
        <w:t>L </w:t>
      </w:r>
      <w:r>
        <w:rPr>
          <w:rFonts w:ascii="Arial"/>
          <w:i/>
          <w:color w:val="010101"/>
          <w:w w:val="105"/>
          <w:sz w:val="18"/>
        </w:rPr>
        <w:t>( t  </w:t>
      </w:r>
      <w:r>
        <w:rPr>
          <w:color w:val="010101"/>
          <w:w w:val="105"/>
          <w:sz w:val="29"/>
        </w:rPr>
        <w:t>+ </w:t>
      </w:r>
      <w:r>
        <w:rPr>
          <w:color w:val="010101"/>
          <w:w w:val="105"/>
          <w:sz w:val="19"/>
        </w:rPr>
        <w:t>l)Ds+t</w:t>
      </w:r>
    </w:p>
    <w:p>
      <w:pPr>
        <w:spacing w:line="163" w:lineRule="exact" w:before="0"/>
        <w:ind w:left="707" w:right="0" w:firstLine="0"/>
        <w:jc w:val="left"/>
        <w:rPr>
          <w:rFonts w:ascii="Courier New"/>
          <w:sz w:val="18"/>
        </w:rPr>
      </w:pPr>
      <w:r>
        <w:rPr>
          <w:rFonts w:ascii="Courier New"/>
          <w:color w:val="010101"/>
          <w:w w:val="85"/>
          <w:sz w:val="18"/>
        </w:rPr>
        <w:t>e-o</w:t>
      </w:r>
    </w:p>
    <w:p>
      <w:pPr>
        <w:spacing w:after="0" w:line="163" w:lineRule="exact"/>
        <w:jc w:val="left"/>
        <w:rPr>
          <w:rFonts w:ascii="Courier New"/>
          <w:sz w:val="18"/>
        </w:rPr>
        <w:sectPr>
          <w:type w:val="continuous"/>
          <w:pgSz w:w="7200" w:h="11340"/>
          <w:pgMar w:top="1100" w:bottom="0" w:left="660" w:right="540"/>
          <w:cols w:num="2" w:equalWidth="0">
            <w:col w:w="2053" w:space="786"/>
            <w:col w:w="3161"/>
          </w:cols>
        </w:sectPr>
      </w:pPr>
    </w:p>
    <w:p>
      <w:pPr>
        <w:pStyle w:val="BodyText"/>
        <w:spacing w:before="4"/>
        <w:rPr>
          <w:rFonts w:ascii="Courier New"/>
          <w:sz w:val="9"/>
        </w:rPr>
      </w:pPr>
    </w:p>
    <w:p>
      <w:pPr>
        <w:spacing w:before="76"/>
        <w:ind w:left="143" w:right="0" w:firstLine="0"/>
        <w:jc w:val="left"/>
        <w:rPr>
          <w:b/>
          <w:sz w:val="19"/>
        </w:rPr>
      </w:pPr>
      <w:r>
        <w:rPr>
          <w:b/>
          <w:color w:val="010101"/>
          <w:w w:val="115"/>
          <w:sz w:val="19"/>
        </w:rPr>
        <w:t>References</w:t>
      </w:r>
    </w:p>
    <w:p>
      <w:pPr>
        <w:pStyle w:val="BodyText"/>
        <w:spacing w:line="249" w:lineRule="auto" w:before="85"/>
        <w:ind w:left="143" w:right="115" w:firstLine="208"/>
        <w:jc w:val="right"/>
      </w:pPr>
      <w:r>
        <w:rPr>
          <w:color w:val="010101"/>
          <w:w w:val="105"/>
        </w:rPr>
        <w:t>2. When mortality is given by a mathematical</w:t>
      </w:r>
      <w:r>
        <w:rPr>
          <w:color w:val="010101"/>
          <w:spacing w:val="43"/>
          <w:w w:val="105"/>
        </w:rPr>
        <w:t> </w:t>
      </w:r>
      <w:r>
        <w:rPr>
          <w:color w:val="010101"/>
          <w:w w:val="105"/>
        </w:rPr>
        <w:t>law,</w:t>
      </w:r>
      <w:r>
        <w:rPr>
          <w:color w:val="010101"/>
          <w:spacing w:val="12"/>
          <w:w w:val="105"/>
        </w:rPr>
        <w:t> </w:t>
      </w:r>
      <w:r>
        <w:rPr>
          <w:color w:val="010101"/>
          <w:w w:val="105"/>
        </w:rPr>
        <w:t>annuity</w:t>
      </w:r>
      <w:r>
        <w:rPr>
          <w:color w:val="010101"/>
          <w:w w:val="108"/>
        </w:rPr>
        <w:t> </w:t>
      </w:r>
      <w:r>
        <w:rPr>
          <w:color w:val="010101"/>
          <w:w w:val="105"/>
        </w:rPr>
        <w:t>values can sometimes </w:t>
      </w:r>
      <w:r>
        <w:rPr>
          <w:color w:val="010101"/>
          <w:w w:val="105"/>
          <w:sz w:val="19"/>
        </w:rPr>
        <w:t>be </w:t>
      </w:r>
      <w:r>
        <w:rPr>
          <w:color w:val="010101"/>
          <w:w w:val="105"/>
        </w:rPr>
        <w:t>computed directly without recourse</w:t>
      </w:r>
      <w:r>
        <w:rPr>
          <w:color w:val="010101"/>
          <w:spacing w:val="-17"/>
          <w:w w:val="105"/>
        </w:rPr>
        <w:t> </w:t>
      </w:r>
      <w:r>
        <w:rPr>
          <w:color w:val="010101"/>
          <w:w w:val="105"/>
        </w:rPr>
        <w:t>to</w:t>
      </w:r>
      <w:r>
        <w:rPr>
          <w:color w:val="010101"/>
          <w:spacing w:val="25"/>
          <w:w w:val="105"/>
        </w:rPr>
        <w:t> </w:t>
      </w:r>
      <w:r>
        <w:rPr>
          <w:color w:val="010101"/>
          <w:w w:val="105"/>
        </w:rPr>
        <w:t>a</w:t>
      </w:r>
      <w:r>
        <w:rPr>
          <w:color w:val="010101"/>
          <w:w w:val="116"/>
        </w:rPr>
        <w:t> </w:t>
      </w:r>
      <w:r>
        <w:rPr>
          <w:color w:val="010101"/>
          <w:w w:val="105"/>
        </w:rPr>
        <w:t>morta.lity table. For the case of de Moivre's law, see</w:t>
      </w:r>
      <w:r>
        <w:rPr>
          <w:color w:val="010101"/>
          <w:spacing w:val="47"/>
          <w:w w:val="105"/>
        </w:rPr>
        <w:t> </w:t>
      </w:r>
      <w:r>
        <w:rPr>
          <w:color w:val="010101"/>
          <w:w w:val="105"/>
        </w:rPr>
        <w:t>Exercise</w:t>
      </w:r>
      <w:r>
        <w:rPr>
          <w:color w:val="010101"/>
          <w:spacing w:val="38"/>
          <w:w w:val="105"/>
        </w:rPr>
        <w:t> </w:t>
      </w:r>
      <w:r>
        <w:rPr>
          <w:color w:val="010101"/>
          <w:w w:val="105"/>
        </w:rPr>
        <w:t>6</w:t>
      </w:r>
      <w:r>
        <w:rPr>
          <w:color w:val="010101"/>
          <w:w w:val="110"/>
        </w:rPr>
        <w:t> </w:t>
      </w:r>
      <w:r>
        <w:rPr>
          <w:color w:val="010101"/>
          <w:w w:val="105"/>
        </w:rPr>
        <w:t>following. The case of Makeham's law is treated by</w:t>
      </w:r>
      <w:r>
        <w:rPr>
          <w:color w:val="010101"/>
          <w:spacing w:val="13"/>
          <w:w w:val="105"/>
        </w:rPr>
        <w:t> </w:t>
      </w:r>
      <w:r>
        <w:rPr>
          <w:color w:val="010101"/>
          <w:w w:val="105"/>
        </w:rPr>
        <w:t>Mereu</w:t>
      </w:r>
      <w:r>
        <w:rPr>
          <w:color w:val="010101"/>
          <w:spacing w:val="45"/>
          <w:w w:val="105"/>
        </w:rPr>
        <w:t> </w:t>
      </w:r>
      <w:r>
        <w:rPr>
          <w:color w:val="010101"/>
          <w:w w:val="105"/>
        </w:rPr>
        <w:t>(1962).</w:t>
      </w:r>
      <w:r>
        <w:rPr>
          <w:color w:val="010101"/>
          <w:w w:val="101"/>
        </w:rPr>
        <w:t> </w:t>
      </w:r>
      <w:r>
        <w:rPr>
          <w:b/>
          <w:color w:val="010101"/>
          <w:w w:val="105"/>
        </w:rPr>
        <w:t>3, 4. </w:t>
      </w:r>
      <w:r>
        <w:rPr>
          <w:color w:val="010101"/>
          <w:w w:val="105"/>
        </w:rPr>
        <w:t>The Woolhouse formula. </w:t>
      </w:r>
      <w:r>
        <w:rPr>
          <w:rFonts w:ascii="Arial"/>
          <w:color w:val="010101"/>
          <w:w w:val="105"/>
        </w:rPr>
        <w:t>is </w:t>
      </w:r>
      <w:r>
        <w:rPr>
          <w:color w:val="010101"/>
          <w:w w:val="105"/>
        </w:rPr>
        <w:t>derived in standard</w:t>
      </w:r>
      <w:r>
        <w:rPr>
          <w:color w:val="010101"/>
          <w:spacing w:val="35"/>
          <w:w w:val="105"/>
        </w:rPr>
        <w:t> </w:t>
      </w:r>
      <w:r>
        <w:rPr>
          <w:color w:val="010101"/>
          <w:w w:val="105"/>
        </w:rPr>
        <w:t>texts on</w:t>
      </w:r>
      <w:r>
        <w:rPr>
          <w:color w:val="010101"/>
          <w:w w:val="103"/>
        </w:rPr>
        <w:t> </w:t>
      </w:r>
      <w:r>
        <w:rPr>
          <w:color w:val="010101"/>
          <w:w w:val="105"/>
        </w:rPr>
        <w:t>numerical  methods,  e.g.,  Freema.n   (1960),  p.  193,  or  </w:t>
      </w:r>
      <w:r>
        <w:rPr>
          <w:color w:val="010101"/>
          <w:spacing w:val="21"/>
          <w:w w:val="105"/>
        </w:rPr>
        <w:t> </w:t>
      </w:r>
      <w:r>
        <w:rPr>
          <w:color w:val="010101"/>
          <w:w w:val="105"/>
        </w:rPr>
        <w:t>Froberg</w:t>
      </w:r>
    </w:p>
    <w:p>
      <w:pPr>
        <w:pStyle w:val="BodyText"/>
        <w:spacing w:line="228" w:lineRule="exact"/>
        <w:ind w:left="201"/>
      </w:pPr>
      <w:r>
        <w:rPr>
          <w:color w:val="010101"/>
          <w:w w:val="105"/>
        </w:rPr>
        <w:t>(1965), p.'214.</w:t>
      </w:r>
    </w:p>
    <w:p>
      <w:pPr>
        <w:pStyle w:val="BodyText"/>
        <w:spacing w:line="244" w:lineRule="auto" w:before="11"/>
        <w:ind w:left="172" w:right="113" w:firstLine="168"/>
      </w:pPr>
      <w:r>
        <w:rPr>
          <w:color w:val="010101"/>
          <w:w w:val="105"/>
        </w:rPr>
        <w:t>The errors </w:t>
      </w:r>
      <w:r>
        <w:rPr>
          <w:color w:val="010101"/>
          <w:w w:val="105"/>
          <w:sz w:val="19"/>
        </w:rPr>
        <w:t>in </w:t>
      </w:r>
      <w:r>
        <w:rPr>
          <w:color w:val="010101"/>
          <w:w w:val="105"/>
        </w:rPr>
        <w:t>the approximation methods have been investigated by Mereu  (1961).</w:t>
      </w:r>
    </w:p>
    <w:p>
      <w:pPr>
        <w:pStyle w:val="BodyText"/>
        <w:spacing w:line="247" w:lineRule="auto" w:before="6"/>
        <w:ind w:left="147" w:right="129" w:firstLine="197"/>
        <w:jc w:val="right"/>
      </w:pPr>
      <w:r>
        <w:rPr>
          <w:color w:val="010101"/>
          <w:w w:val="105"/>
        </w:rPr>
        <w:t>S. A useful method which simplifies the derivation of formulas</w:t>
      </w:r>
      <w:r>
        <w:rPr>
          <w:color w:val="010101"/>
          <w:w w:val="102"/>
        </w:rPr>
        <w:t> </w:t>
      </w:r>
      <w:r>
        <w:rPr>
          <w:color w:val="010101"/>
          <w:w w:val="105"/>
        </w:rPr>
        <w:t>for complicated varying benefits has been given by Menge   (1935).</w:t>
      </w:r>
    </w:p>
    <w:p>
      <w:pPr>
        <w:pStyle w:val="BodyText"/>
        <w:spacing w:line="247" w:lineRule="auto"/>
        <w:ind w:left="143" w:right="126" w:firstLine="197"/>
        <w:jc w:val="right"/>
      </w:pPr>
      <w:r>
        <w:rPr>
          <w:color w:val="010101"/>
          <w:w w:val="105"/>
        </w:rPr>
        <w:t>6. Much ingenuity has been expended in developing methods for</w:t>
      </w:r>
      <w:r>
        <w:rPr>
          <w:color w:val="010101"/>
          <w:w w:val="100"/>
        </w:rPr>
        <w:t> </w:t>
      </w:r>
      <w:r>
        <w:rPr>
          <w:color w:val="010101"/>
          <w:w w:val="105"/>
        </w:rPr>
        <w:t>computing annuity values at new rates of  interest when   commuta-</w:t>
      </w:r>
    </w:p>
    <w:p>
      <w:pPr>
        <w:spacing w:after="0" w:line="247" w:lineRule="auto"/>
        <w:jc w:val="right"/>
        <w:sectPr>
          <w:type w:val="continuous"/>
          <w:pgSz w:w="7200" w:h="11340"/>
          <w:pgMar w:top="1100" w:bottom="0" w:left="660" w:right="540"/>
        </w:sectPr>
      </w:pPr>
    </w:p>
    <w:p>
      <w:pPr>
        <w:tabs>
          <w:tab w:pos="2347" w:val="left" w:leader="none"/>
          <w:tab w:pos="5388" w:val="left" w:leader="none"/>
        </w:tabs>
        <w:spacing w:before="65"/>
        <w:ind w:left="176" w:right="0" w:hanging="4"/>
        <w:jc w:val="both"/>
        <w:rPr>
          <w:rFonts w:ascii="Arial"/>
          <w:b/>
          <w:sz w:val="19"/>
        </w:rPr>
      </w:pPr>
      <w:r>
        <w:rPr>
          <w:rFonts w:ascii="Arial"/>
          <w:color w:val="010101"/>
          <w:sz w:val="19"/>
        </w:rPr>
        <w:t>60</w:t>
        <w:tab/>
      </w:r>
      <w:r>
        <w:rPr>
          <w:b/>
          <w:color w:val="010101"/>
          <w:sz w:val="15"/>
        </w:rPr>
        <w:t>LIFE  </w:t>
      </w:r>
      <w:r>
        <w:rPr>
          <w:b/>
          <w:color w:val="010101"/>
          <w:spacing w:val="12"/>
          <w:sz w:val="15"/>
        </w:rPr>
        <w:t> </w:t>
      </w:r>
      <w:r>
        <w:rPr>
          <w:b/>
          <w:color w:val="010101"/>
          <w:sz w:val="15"/>
        </w:rPr>
        <w:t>ANNUITIES</w:t>
        <w:tab/>
      </w:r>
      <w:r>
        <w:rPr>
          <w:rFonts w:ascii="Arial"/>
          <w:b/>
          <w:color w:val="010101"/>
          <w:w w:val="90"/>
          <w:sz w:val="19"/>
        </w:rPr>
        <w:t>[CH.</w:t>
      </w:r>
      <w:r>
        <w:rPr>
          <w:rFonts w:ascii="Arial"/>
          <w:b/>
          <w:color w:val="010101"/>
          <w:spacing w:val="-6"/>
          <w:w w:val="90"/>
          <w:sz w:val="19"/>
        </w:rPr>
        <w:t> </w:t>
      </w:r>
      <w:r>
        <w:rPr>
          <w:rFonts w:ascii="Arial"/>
          <w:b/>
          <w:color w:val="010101"/>
          <w:w w:val="90"/>
          <w:sz w:val="19"/>
        </w:rPr>
        <w:t>2</w:t>
      </w:r>
    </w:p>
    <w:p>
      <w:pPr>
        <w:pStyle w:val="BodyText"/>
        <w:spacing w:before="2"/>
        <w:rPr>
          <w:rFonts w:ascii="Arial"/>
          <w:b/>
          <w:sz w:val="21"/>
        </w:rPr>
      </w:pPr>
    </w:p>
    <w:p>
      <w:pPr>
        <w:pStyle w:val="BodyText"/>
        <w:spacing w:line="247" w:lineRule="auto"/>
        <w:ind w:left="162" w:right="105" w:firstLine="14"/>
        <w:jc w:val="both"/>
      </w:pPr>
      <w:r>
        <w:rPr>
          <w:color w:val="010101"/>
          <w:w w:val="105"/>
        </w:rPr>
        <w:t>tion columns are not available. Among the classical methods are those of Allen </w:t>
      </w:r>
      <w:r>
        <w:rPr>
          <w:color w:val="010101"/>
          <w:spacing w:val="-3"/>
          <w:w w:val="105"/>
        </w:rPr>
        <w:t>(1907) </w:t>
      </w:r>
      <w:r>
        <w:rPr>
          <w:color w:val="010101"/>
          <w:w w:val="105"/>
        </w:rPr>
        <w:t>and Lever  (1920)  for ordinary  annuities, and of Lidstone </w:t>
      </w:r>
      <w:r>
        <w:rPr>
          <w:color w:val="010101"/>
          <w:spacing w:val="-3"/>
          <w:w w:val="105"/>
        </w:rPr>
        <w:t>(1893) </w:t>
      </w:r>
      <w:r>
        <w:rPr>
          <w:color w:val="010101"/>
          <w:w w:val="105"/>
        </w:rPr>
        <w:t>and Evans </w:t>
      </w:r>
      <w:r>
        <w:rPr>
          <w:color w:val="010101"/>
          <w:spacing w:val="-3"/>
          <w:w w:val="105"/>
        </w:rPr>
        <w:t>(1929) </w:t>
      </w:r>
      <w:r>
        <w:rPr>
          <w:color w:val="010101"/>
          <w:w w:val="105"/>
        </w:rPr>
        <w:t>for varying a.nnuities. Lidstone's</w:t>
      </w:r>
      <w:r>
        <w:rPr>
          <w:color w:val="010101"/>
          <w:spacing w:val="-5"/>
          <w:w w:val="105"/>
        </w:rPr>
        <w:t> </w:t>
      </w:r>
      <w:r>
        <w:rPr>
          <w:color w:val="010101"/>
          <w:w w:val="105"/>
        </w:rPr>
        <w:t>method</w:t>
      </w:r>
      <w:r>
        <w:rPr>
          <w:color w:val="010101"/>
          <w:spacing w:val="6"/>
          <w:w w:val="105"/>
        </w:rPr>
        <w:t> </w:t>
      </w:r>
      <w:r>
        <w:rPr>
          <w:color w:val="010101"/>
          <w:w w:val="105"/>
        </w:rPr>
        <w:t>is</w:t>
      </w:r>
      <w:r>
        <w:rPr>
          <w:color w:val="010101"/>
          <w:spacing w:val="-15"/>
          <w:w w:val="105"/>
        </w:rPr>
        <w:t> </w:t>
      </w:r>
      <w:r>
        <w:rPr>
          <w:color w:val="010101"/>
          <w:w w:val="105"/>
        </w:rPr>
        <w:t>the</w:t>
      </w:r>
      <w:r>
        <w:rPr>
          <w:color w:val="010101"/>
          <w:spacing w:val="-11"/>
          <w:w w:val="105"/>
        </w:rPr>
        <w:t> </w:t>
      </w:r>
      <w:r>
        <w:rPr>
          <w:color w:val="010101"/>
          <w:w w:val="105"/>
        </w:rPr>
        <w:t>basis</w:t>
      </w:r>
      <w:r>
        <w:rPr>
          <w:color w:val="010101"/>
          <w:spacing w:val="-13"/>
          <w:w w:val="105"/>
        </w:rPr>
        <w:t> </w:t>
      </w:r>
      <w:r>
        <w:rPr>
          <w:color w:val="010101"/>
          <w:w w:val="105"/>
        </w:rPr>
        <w:t>of</w:t>
      </w:r>
      <w:r>
        <w:rPr>
          <w:color w:val="010101"/>
          <w:spacing w:val="6"/>
          <w:w w:val="105"/>
        </w:rPr>
        <w:t> </w:t>
      </w:r>
      <w:r>
        <w:rPr>
          <w:color w:val="010101"/>
          <w:w w:val="105"/>
        </w:rPr>
        <w:t>Exercise</w:t>
      </w:r>
      <w:r>
        <w:rPr>
          <w:color w:val="010101"/>
          <w:spacing w:val="-9"/>
          <w:w w:val="105"/>
        </w:rPr>
        <w:t> </w:t>
      </w:r>
      <w:r>
        <w:rPr>
          <w:color w:val="010101"/>
          <w:w w:val="105"/>
        </w:rPr>
        <w:t>21.</w:t>
      </w:r>
      <w:r>
        <w:rPr>
          <w:color w:val="010101"/>
          <w:spacing w:val="-12"/>
          <w:w w:val="105"/>
        </w:rPr>
        <w:t> </w:t>
      </w:r>
      <w:r>
        <w:rPr>
          <w:color w:val="010101"/>
          <w:w w:val="105"/>
        </w:rPr>
        <w:t>Interpolation</w:t>
      </w:r>
      <w:r>
        <w:rPr>
          <w:color w:val="010101"/>
          <w:spacing w:val="-1"/>
          <w:w w:val="105"/>
        </w:rPr>
        <w:t> </w:t>
      </w:r>
      <w:r>
        <w:rPr>
          <w:color w:val="010101"/>
          <w:w w:val="105"/>
        </w:rPr>
        <w:t>methods are discussed by Baughman (1965). Experiments in obtaining annuity values by Monte Cario methods using a digital computer have been described by Boenneester  </w:t>
      </w:r>
      <w:r>
        <w:rPr>
          <w:color w:val="010101"/>
          <w:spacing w:val="1"/>
          <w:w w:val="105"/>
        </w:rPr>
        <w:t> </w:t>
      </w:r>
      <w:r>
        <w:rPr>
          <w:color w:val="010101"/>
          <w:w w:val="105"/>
        </w:rPr>
        <w:t>(1956).</w:t>
      </w:r>
    </w:p>
    <w:p>
      <w:pPr>
        <w:spacing w:before="148"/>
        <w:ind w:left="74" w:right="59" w:firstLine="0"/>
        <w:jc w:val="center"/>
        <w:rPr>
          <w:sz w:val="18"/>
        </w:rPr>
      </w:pPr>
      <w:r>
        <w:rPr>
          <w:color w:val="010101"/>
          <w:w w:val="110"/>
          <w:sz w:val="18"/>
        </w:rPr>
        <w:t>EXEReISES</w:t>
      </w:r>
    </w:p>
    <w:p>
      <w:pPr>
        <w:spacing w:before="158"/>
        <w:ind w:left="162" w:right="0" w:firstLine="0"/>
        <w:jc w:val="both"/>
        <w:rPr>
          <w:b/>
          <w:sz w:val="16"/>
        </w:rPr>
      </w:pPr>
      <w:r>
        <w:rPr>
          <w:color w:val="010101"/>
          <w:w w:val="125"/>
          <w:sz w:val="17"/>
        </w:rPr>
        <w:t>l. </w:t>
      </w:r>
      <w:r>
        <w:rPr>
          <w:b/>
          <w:color w:val="010101"/>
          <w:w w:val="125"/>
          <w:sz w:val="16"/>
        </w:rPr>
        <w:t>Pure endowmente</w:t>
      </w:r>
    </w:p>
    <w:p>
      <w:pPr>
        <w:spacing w:line="194" w:lineRule="exact" w:before="91"/>
        <w:ind w:left="155" w:right="206" w:firstLine="164"/>
        <w:jc w:val="left"/>
        <w:rPr>
          <w:sz w:val="18"/>
        </w:rPr>
      </w:pPr>
      <w:r>
        <w:rPr>
          <w:color w:val="010101"/>
          <w:w w:val="140"/>
          <w:sz w:val="16"/>
        </w:rPr>
        <w:t>l. </w:t>
      </w:r>
      <w:r>
        <w:rPr>
          <w:color w:val="010101"/>
          <w:sz w:val="16"/>
        </w:rPr>
        <w:t>If </w:t>
      </w:r>
      <w:r>
        <w:rPr>
          <w:rFonts w:ascii="Arial"/>
          <w:i/>
          <w:color w:val="010101"/>
          <w:sz w:val="16"/>
        </w:rPr>
        <w:t>B(x ) </w:t>
      </w:r>
      <w:r>
        <w:rPr>
          <w:color w:val="010101"/>
          <w:sz w:val="21"/>
        </w:rPr>
        <w:t>= </w:t>
      </w:r>
      <w:r>
        <w:rPr>
          <w:color w:val="010101"/>
          <w:sz w:val="17"/>
        </w:rPr>
        <w:t>Xo vlO</w:t>
      </w:r>
      <w:r>
        <w:rPr>
          <w:color w:val="010101"/>
          <w:sz w:val="17"/>
          <w:u w:val="single" w:color="000000"/>
        </w:rPr>
        <w:t>O </w:t>
      </w:r>
      <w:r>
        <w:rPr>
          <w:color w:val="010101"/>
          <w:w w:val="245"/>
          <w:sz w:val="17"/>
        </w:rPr>
        <w:t>- </w:t>
      </w:r>
      <w:r>
        <w:rPr>
          <w:rFonts w:ascii="Arial"/>
          <w:i/>
          <w:color w:val="010101"/>
          <w:sz w:val="16"/>
        </w:rPr>
        <w:t>X, </w:t>
      </w:r>
      <w:r>
        <w:rPr>
          <w:color w:val="010101"/>
          <w:sz w:val="18"/>
        </w:rPr>
        <w:t>what is the present  vs.lue at </w:t>
      </w:r>
      <w:r>
        <w:rPr>
          <w:color w:val="010101"/>
          <w:sz w:val="17"/>
        </w:rPr>
        <w:t>3% </w:t>
      </w:r>
      <w:r>
        <w:rPr>
          <w:color w:val="010101"/>
          <w:sz w:val="18"/>
        </w:rPr>
        <w:t>of a </w:t>
      </w:r>
      <w:r>
        <w:rPr>
          <w:color w:val="010101"/>
          <w:spacing w:val="-22"/>
          <w:w w:val="110"/>
          <w:sz w:val="17"/>
        </w:rPr>
        <w:t>17  </w:t>
      </w:r>
      <w:r>
        <w:rPr>
          <w:color w:val="010101"/>
          <w:sz w:val="18"/>
        </w:rPr>
        <w:t>year  pure  endowment  of  </w:t>
      </w:r>
      <w:r>
        <w:rPr>
          <w:color w:val="010101"/>
          <w:w w:val="110"/>
          <w:sz w:val="18"/>
        </w:rPr>
        <w:t>1 </w:t>
      </w:r>
      <w:r>
        <w:rPr>
          <w:color w:val="010101"/>
          <w:sz w:val="18"/>
        </w:rPr>
        <w:t>on a life  aged</w:t>
      </w:r>
      <w:r>
        <w:rPr>
          <w:color w:val="010101"/>
          <w:spacing w:val="13"/>
          <w:sz w:val="18"/>
        </w:rPr>
        <w:t> </w:t>
      </w:r>
      <w:r>
        <w:rPr>
          <w:color w:val="010101"/>
          <w:spacing w:val="-16"/>
          <w:sz w:val="18"/>
        </w:rPr>
        <w:t>19?</w:t>
      </w:r>
    </w:p>
    <w:p>
      <w:pPr>
        <w:tabs>
          <w:tab w:pos="4948" w:val="left" w:leader="none"/>
        </w:tabs>
        <w:spacing w:line="162" w:lineRule="exact" w:before="0"/>
        <w:ind w:left="169" w:right="0" w:firstLine="0"/>
        <w:jc w:val="both"/>
        <w:rPr>
          <w:sz w:val="18"/>
        </w:rPr>
      </w:pPr>
      <w:r>
        <w:rPr>
          <w:color w:val="010101"/>
          <w:sz w:val="18"/>
        </w:rPr>
        <w:t>(Given </w:t>
      </w:r>
      <w:r>
        <w:rPr>
          <w:color w:val="010101"/>
          <w:sz w:val="12"/>
        </w:rPr>
        <w:t>11</w:t>
      </w:r>
      <w:r>
        <w:rPr>
          <w:rFonts w:ascii="Arial"/>
          <w:color w:val="010101"/>
          <w:position w:val="4"/>
          <w:sz w:val="10"/>
        </w:rPr>
        <w:t>17  </w:t>
      </w:r>
      <w:r>
        <w:rPr>
          <w:color w:val="010101"/>
          <w:sz w:val="21"/>
        </w:rPr>
        <w:t>=  </w:t>
      </w:r>
      <w:r>
        <w:rPr>
          <w:color w:val="010101"/>
          <w:sz w:val="18"/>
        </w:rPr>
        <w:t>.6050</w:t>
      </w:r>
      <w:r>
        <w:rPr>
          <w:color w:val="010101"/>
          <w:spacing w:val="14"/>
          <w:sz w:val="18"/>
        </w:rPr>
        <w:t> </w:t>
      </w:r>
      <w:r>
        <w:rPr>
          <w:color w:val="010101"/>
          <w:sz w:val="18"/>
        </w:rPr>
        <w:t>at</w:t>
      </w:r>
      <w:r>
        <w:rPr>
          <w:color w:val="010101"/>
          <w:spacing w:val="7"/>
          <w:sz w:val="18"/>
        </w:rPr>
        <w:t> </w:t>
      </w:r>
      <w:r>
        <w:rPr>
          <w:color w:val="010101"/>
          <w:sz w:val="17"/>
        </w:rPr>
        <w:t>3%.)</w:t>
        <w:tab/>
      </w:r>
      <w:r>
        <w:rPr>
          <w:color w:val="010101"/>
          <w:spacing w:val="2"/>
          <w:sz w:val="18"/>
        </w:rPr>
        <w:t>(Ans.</w:t>
      </w:r>
      <w:r>
        <w:rPr>
          <w:color w:val="010101"/>
          <w:spacing w:val="-14"/>
          <w:sz w:val="18"/>
        </w:rPr>
        <w:t> </w:t>
      </w:r>
      <w:r>
        <w:rPr>
          <w:color w:val="010101"/>
          <w:spacing w:val="-3"/>
          <w:sz w:val="18"/>
        </w:rPr>
        <w:t>.5378)</w:t>
      </w:r>
    </w:p>
    <w:p>
      <w:pPr>
        <w:pStyle w:val="ListParagraph"/>
        <w:numPr>
          <w:ilvl w:val="0"/>
          <w:numId w:val="23"/>
        </w:numPr>
        <w:tabs>
          <w:tab w:pos="521" w:val="left" w:leader="none"/>
        </w:tabs>
        <w:spacing w:line="242" w:lineRule="exact" w:before="0" w:after="0"/>
        <w:ind w:left="144" w:right="0" w:firstLine="168"/>
        <w:jc w:val="left"/>
        <w:rPr>
          <w:rFonts w:ascii="Arial"/>
          <w:color w:val="010101"/>
          <w:sz w:val="16"/>
        </w:rPr>
      </w:pPr>
      <w:r>
        <w:rPr>
          <w:color w:val="010101"/>
          <w:w w:val="105"/>
          <w:sz w:val="18"/>
        </w:rPr>
        <w:t>Find by the </w:t>
      </w:r>
      <w:r>
        <w:rPr>
          <w:color w:val="010101"/>
          <w:spacing w:val="-11"/>
          <w:w w:val="105"/>
          <w:sz w:val="16"/>
        </w:rPr>
        <w:t>1958 </w:t>
      </w:r>
      <w:r>
        <w:rPr>
          <w:color w:val="010101"/>
          <w:w w:val="105"/>
          <w:sz w:val="26"/>
        </w:rPr>
        <w:t>eso </w:t>
      </w:r>
      <w:r>
        <w:rPr>
          <w:color w:val="010101"/>
          <w:w w:val="105"/>
          <w:sz w:val="18"/>
        </w:rPr>
        <w:t>table with interest at </w:t>
      </w:r>
      <w:r>
        <w:rPr>
          <w:color w:val="010101"/>
          <w:w w:val="105"/>
          <w:sz w:val="17"/>
        </w:rPr>
        <w:t>3% </w:t>
      </w:r>
      <w:r>
        <w:rPr>
          <w:color w:val="010101"/>
          <w:w w:val="105"/>
          <w:sz w:val="18"/>
        </w:rPr>
        <w:t>the present  va.lue of </w:t>
      </w:r>
      <w:r>
        <w:rPr>
          <w:color w:val="010101"/>
          <w:spacing w:val="31"/>
          <w:w w:val="105"/>
          <w:sz w:val="18"/>
        </w:rPr>
        <w:t> </w:t>
      </w:r>
      <w:r>
        <w:rPr>
          <w:rFonts w:ascii="Arial"/>
          <w:color w:val="010101"/>
          <w:w w:val="105"/>
          <w:sz w:val="15"/>
        </w:rPr>
        <w:t>a</w:t>
      </w:r>
    </w:p>
    <w:p>
      <w:pPr>
        <w:spacing w:line="195" w:lineRule="exact" w:before="0"/>
        <w:ind w:left="151" w:right="0" w:firstLine="0"/>
        <w:jc w:val="both"/>
        <w:rPr>
          <w:sz w:val="16"/>
        </w:rPr>
      </w:pPr>
      <w:r>
        <w:rPr>
          <w:color w:val="010101"/>
          <w:sz w:val="18"/>
        </w:rPr>
        <w:t>sum </w:t>
      </w:r>
      <w:r>
        <w:rPr>
          <w:rFonts w:ascii="Arial"/>
          <w:color w:val="010101"/>
          <w:sz w:val="17"/>
        </w:rPr>
        <w:t>of </w:t>
      </w:r>
      <w:r>
        <w:rPr>
          <w:color w:val="010101"/>
          <w:sz w:val="16"/>
        </w:rPr>
        <w:t>$1000 </w:t>
      </w:r>
      <w:r>
        <w:rPr>
          <w:color w:val="010101"/>
          <w:sz w:val="18"/>
        </w:rPr>
        <w:t>to be received  by a person  now aged </w:t>
      </w:r>
      <w:r>
        <w:rPr>
          <w:color w:val="010101"/>
          <w:sz w:val="16"/>
        </w:rPr>
        <w:t>20 </w:t>
      </w:r>
      <w:r>
        <w:rPr>
          <w:color w:val="010101"/>
          <w:sz w:val="18"/>
        </w:rPr>
        <w:t>if  he is alive at a.ge   </w:t>
      </w:r>
      <w:r>
        <w:rPr>
          <w:color w:val="010101"/>
          <w:sz w:val="16"/>
        </w:rPr>
        <w:t>40.</w:t>
      </w:r>
    </w:p>
    <w:p>
      <w:pPr>
        <w:spacing w:line="183" w:lineRule="exact" w:before="13"/>
        <w:ind w:left="0" w:right="131" w:firstLine="0"/>
        <w:jc w:val="right"/>
        <w:rPr>
          <w:sz w:val="16"/>
        </w:rPr>
      </w:pPr>
      <w:r>
        <w:rPr>
          <w:color w:val="010101"/>
          <w:w w:val="110"/>
          <w:sz w:val="16"/>
        </w:rPr>
        <w:t>(Ans. $529 .41)</w:t>
      </w:r>
    </w:p>
    <w:p>
      <w:pPr>
        <w:pStyle w:val="ListParagraph"/>
        <w:numPr>
          <w:ilvl w:val="0"/>
          <w:numId w:val="23"/>
        </w:numPr>
        <w:tabs>
          <w:tab w:pos="510" w:val="left" w:leader="none"/>
        </w:tabs>
        <w:spacing w:line="146" w:lineRule="auto" w:before="64" w:after="0"/>
        <w:ind w:left="144" w:right="148" w:firstLine="161"/>
        <w:jc w:val="left"/>
        <w:rPr>
          <w:color w:val="010101"/>
          <w:sz w:val="17"/>
        </w:rPr>
      </w:pPr>
      <w:r>
        <w:rPr>
          <w:color w:val="010101"/>
          <w:w w:val="105"/>
          <w:sz w:val="18"/>
        </w:rPr>
        <w:t>What</w:t>
      </w:r>
      <w:r>
        <w:rPr>
          <w:color w:val="010101"/>
          <w:spacing w:val="8"/>
          <w:w w:val="105"/>
          <w:sz w:val="18"/>
        </w:rPr>
        <w:t> </w:t>
      </w:r>
      <w:r>
        <w:rPr>
          <w:color w:val="010101"/>
          <w:w w:val="105"/>
          <w:sz w:val="18"/>
        </w:rPr>
        <w:t>is</w:t>
      </w:r>
      <w:r>
        <w:rPr>
          <w:color w:val="010101"/>
          <w:spacing w:val="-10"/>
          <w:w w:val="105"/>
          <w:sz w:val="18"/>
        </w:rPr>
        <w:t> </w:t>
      </w:r>
      <w:r>
        <w:rPr>
          <w:color w:val="010101"/>
          <w:w w:val="105"/>
          <w:sz w:val="18"/>
        </w:rPr>
        <w:t>the</w:t>
      </w:r>
      <w:r>
        <w:rPr>
          <w:color w:val="010101"/>
          <w:spacing w:val="-5"/>
          <w:w w:val="105"/>
          <w:sz w:val="18"/>
        </w:rPr>
        <w:t> </w:t>
      </w:r>
      <w:r>
        <w:rPr>
          <w:color w:val="010101"/>
          <w:w w:val="105"/>
          <w:sz w:val="18"/>
        </w:rPr>
        <w:t>value</w:t>
      </w:r>
      <w:r>
        <w:rPr>
          <w:color w:val="010101"/>
          <w:spacing w:val="-2"/>
          <w:w w:val="105"/>
          <w:sz w:val="18"/>
        </w:rPr>
        <w:t> </w:t>
      </w:r>
      <w:r>
        <w:rPr>
          <w:color w:val="010101"/>
          <w:w w:val="105"/>
          <w:sz w:val="18"/>
        </w:rPr>
        <w:t>of</w:t>
      </w:r>
      <w:r>
        <w:rPr>
          <w:color w:val="010101"/>
          <w:spacing w:val="8"/>
          <w:w w:val="105"/>
          <w:sz w:val="18"/>
        </w:rPr>
        <w:t> </w:t>
      </w:r>
      <w:r>
        <w:rPr>
          <w:color w:val="010101"/>
          <w:spacing w:val="-5"/>
          <w:w w:val="105"/>
          <w:sz w:val="16"/>
        </w:rPr>
        <w:t>$1000</w:t>
      </w:r>
      <w:r>
        <w:rPr>
          <w:color w:val="010101"/>
          <w:spacing w:val="-7"/>
          <w:w w:val="105"/>
          <w:sz w:val="16"/>
        </w:rPr>
        <w:t> </w:t>
      </w:r>
      <w:r>
        <w:rPr>
          <w:color w:val="010101"/>
          <w:w w:val="105"/>
          <w:sz w:val="18"/>
        </w:rPr>
        <w:t>at</w:t>
      </w:r>
      <w:r>
        <w:rPr>
          <w:color w:val="010101"/>
          <w:spacing w:val="-5"/>
          <w:w w:val="105"/>
          <w:sz w:val="18"/>
        </w:rPr>
        <w:t> </w:t>
      </w:r>
      <w:r>
        <w:rPr>
          <w:color w:val="010101"/>
          <w:w w:val="105"/>
          <w:sz w:val="18"/>
        </w:rPr>
        <w:t>age</w:t>
      </w:r>
      <w:r>
        <w:rPr>
          <w:color w:val="010101"/>
          <w:spacing w:val="-10"/>
          <w:w w:val="105"/>
          <w:sz w:val="18"/>
        </w:rPr>
        <w:t> </w:t>
      </w:r>
      <w:r>
        <w:rPr>
          <w:color w:val="010101"/>
          <w:w w:val="105"/>
          <w:sz w:val="16"/>
        </w:rPr>
        <w:t>50</w:t>
      </w:r>
      <w:r>
        <w:rPr>
          <w:color w:val="010101"/>
          <w:spacing w:val="-17"/>
          <w:w w:val="105"/>
          <w:sz w:val="16"/>
        </w:rPr>
        <w:t> </w:t>
      </w:r>
      <w:r>
        <w:rPr>
          <w:color w:val="010101"/>
          <w:w w:val="105"/>
          <w:sz w:val="18"/>
        </w:rPr>
        <w:t>accumulated</w:t>
      </w:r>
      <w:r>
        <w:rPr>
          <w:color w:val="010101"/>
          <w:spacing w:val="10"/>
          <w:w w:val="105"/>
          <w:sz w:val="18"/>
        </w:rPr>
        <w:t> </w:t>
      </w:r>
      <w:r>
        <w:rPr>
          <w:color w:val="010101"/>
          <w:w w:val="105"/>
          <w:sz w:val="18"/>
        </w:rPr>
        <w:t>to</w:t>
      </w:r>
      <w:r>
        <w:rPr>
          <w:color w:val="010101"/>
          <w:spacing w:val="-3"/>
          <w:w w:val="105"/>
          <w:sz w:val="18"/>
        </w:rPr>
        <w:t> </w:t>
      </w:r>
      <w:r>
        <w:rPr>
          <w:color w:val="010101"/>
          <w:w w:val="105"/>
          <w:sz w:val="18"/>
        </w:rPr>
        <w:t>age</w:t>
      </w:r>
      <w:r>
        <w:rPr>
          <w:color w:val="010101"/>
          <w:spacing w:val="-9"/>
          <w:w w:val="105"/>
          <w:sz w:val="18"/>
        </w:rPr>
        <w:t> </w:t>
      </w:r>
      <w:r>
        <w:rPr>
          <w:color w:val="010101"/>
          <w:w w:val="105"/>
          <w:sz w:val="16"/>
        </w:rPr>
        <w:t>65</w:t>
      </w:r>
      <w:r>
        <w:rPr>
          <w:color w:val="010101"/>
          <w:spacing w:val="-17"/>
          <w:w w:val="105"/>
          <w:sz w:val="16"/>
        </w:rPr>
        <w:t> </w:t>
      </w:r>
      <w:r>
        <w:rPr>
          <w:color w:val="010101"/>
          <w:w w:val="105"/>
          <w:sz w:val="18"/>
        </w:rPr>
        <w:t>with</w:t>
      </w:r>
      <w:r>
        <w:rPr>
          <w:color w:val="010101"/>
          <w:spacing w:val="3"/>
          <w:w w:val="105"/>
          <w:sz w:val="18"/>
        </w:rPr>
        <w:t> </w:t>
      </w:r>
      <w:r>
        <w:rPr>
          <w:color w:val="010101"/>
          <w:w w:val="105"/>
          <w:sz w:val="18"/>
        </w:rPr>
        <w:t>interest at </w:t>
      </w:r>
      <w:r>
        <w:rPr>
          <w:color w:val="010101"/>
          <w:w w:val="105"/>
          <w:sz w:val="17"/>
        </w:rPr>
        <w:t>3% </w:t>
      </w:r>
      <w:r>
        <w:rPr>
          <w:color w:val="010101"/>
          <w:w w:val="105"/>
          <w:sz w:val="18"/>
        </w:rPr>
        <w:t>and </w:t>
      </w:r>
      <w:r>
        <w:rPr>
          <w:color w:val="010101"/>
          <w:w w:val="105"/>
          <w:sz w:val="17"/>
        </w:rPr>
        <w:t>with </w:t>
      </w:r>
      <w:r>
        <w:rPr>
          <w:color w:val="010101"/>
          <w:w w:val="105"/>
          <w:sz w:val="18"/>
        </w:rPr>
        <w:t>survivorship given by the </w:t>
      </w:r>
      <w:r>
        <w:rPr>
          <w:color w:val="010101"/>
          <w:spacing w:val="-9"/>
          <w:w w:val="105"/>
          <w:sz w:val="17"/>
        </w:rPr>
        <w:t>1958 </w:t>
      </w:r>
      <w:r>
        <w:rPr>
          <w:color w:val="010101"/>
          <w:w w:val="105"/>
          <w:sz w:val="26"/>
        </w:rPr>
        <w:t>eso</w:t>
      </w:r>
      <w:r>
        <w:rPr>
          <w:color w:val="010101"/>
          <w:spacing w:val="51"/>
          <w:w w:val="105"/>
          <w:sz w:val="26"/>
        </w:rPr>
        <w:t> </w:t>
      </w:r>
      <w:r>
        <w:rPr>
          <w:color w:val="010101"/>
          <w:w w:val="105"/>
          <w:sz w:val="18"/>
        </w:rPr>
        <w:t>table?</w:t>
      </w:r>
    </w:p>
    <w:p>
      <w:pPr>
        <w:spacing w:line="202" w:lineRule="exact" w:before="0"/>
        <w:ind w:left="0" w:right="155" w:firstLine="0"/>
        <w:jc w:val="right"/>
        <w:rPr>
          <w:rFonts w:ascii="Arial"/>
          <w:b/>
          <w:sz w:val="15"/>
        </w:rPr>
      </w:pPr>
      <w:r>
        <w:rPr>
          <w:color w:val="010101"/>
          <w:sz w:val="18"/>
        </w:rPr>
        <w:t>(Ans. </w:t>
      </w:r>
      <w:r>
        <w:rPr>
          <w:rFonts w:ascii="Arial"/>
          <w:b/>
          <w:color w:val="010101"/>
          <w:sz w:val="15"/>
        </w:rPr>
        <w:t>$2,001.40)</w:t>
      </w:r>
    </w:p>
    <w:p>
      <w:pPr>
        <w:pStyle w:val="BodyText"/>
        <w:spacing w:before="9"/>
        <w:rPr>
          <w:rFonts w:ascii="Arial"/>
          <w:b/>
          <w:sz w:val="14"/>
        </w:rPr>
      </w:pPr>
    </w:p>
    <w:p>
      <w:pPr>
        <w:pStyle w:val="ListParagraph"/>
        <w:numPr>
          <w:ilvl w:val="0"/>
          <w:numId w:val="24"/>
        </w:numPr>
        <w:tabs>
          <w:tab w:pos="349" w:val="left" w:leader="none"/>
        </w:tabs>
        <w:spacing w:line="240" w:lineRule="auto" w:before="1" w:after="0"/>
        <w:ind w:left="348" w:right="0" w:hanging="207"/>
        <w:jc w:val="left"/>
        <w:rPr>
          <w:b/>
          <w:sz w:val="16"/>
        </w:rPr>
      </w:pPr>
      <w:r>
        <w:rPr>
          <w:b/>
          <w:color w:val="010101"/>
          <w:w w:val="125"/>
          <w:sz w:val="16"/>
        </w:rPr>
        <w:t>Life annuities with annual </w:t>
      </w:r>
      <w:r>
        <w:rPr>
          <w:b/>
          <w:color w:val="010101"/>
          <w:spacing w:val="30"/>
          <w:w w:val="125"/>
          <w:sz w:val="16"/>
        </w:rPr>
        <w:t> </w:t>
      </w:r>
      <w:r>
        <w:rPr>
          <w:b/>
          <w:color w:val="010101"/>
          <w:w w:val="125"/>
          <w:sz w:val="16"/>
        </w:rPr>
        <w:t>payments</w:t>
      </w:r>
    </w:p>
    <w:p>
      <w:pPr>
        <w:pStyle w:val="ListParagraph"/>
        <w:numPr>
          <w:ilvl w:val="1"/>
          <w:numId w:val="24"/>
        </w:numPr>
        <w:tabs>
          <w:tab w:pos="507" w:val="left" w:leader="none"/>
        </w:tabs>
        <w:spacing w:line="240" w:lineRule="auto" w:before="77" w:after="0"/>
        <w:ind w:left="134" w:right="0" w:firstLine="161"/>
        <w:jc w:val="left"/>
        <w:rPr>
          <w:color w:val="010101"/>
          <w:sz w:val="17"/>
        </w:rPr>
      </w:pPr>
      <w:r>
        <w:rPr>
          <w:color w:val="010101"/>
          <w:w w:val="105"/>
          <w:sz w:val="18"/>
        </w:rPr>
        <w:t>Show</w:t>
      </w:r>
      <w:r>
        <w:rPr>
          <w:color w:val="010101"/>
          <w:spacing w:val="6"/>
          <w:w w:val="105"/>
          <w:sz w:val="18"/>
        </w:rPr>
        <w:t> </w:t>
      </w:r>
      <w:r>
        <w:rPr>
          <w:color w:val="010101"/>
          <w:w w:val="105"/>
          <w:sz w:val="18"/>
        </w:rPr>
        <w:t>that</w:t>
      </w:r>
    </w:p>
    <w:p>
      <w:pPr>
        <w:spacing w:before="47"/>
        <w:ind w:left="466" w:right="739" w:firstLine="0"/>
        <w:jc w:val="left"/>
        <w:rPr>
          <w:sz w:val="16"/>
        </w:rPr>
      </w:pPr>
      <w:r>
        <w:rPr>
          <w:rFonts w:ascii="Arial" w:hAnsi="Arial"/>
          <w:color w:val="010101"/>
          <w:sz w:val="16"/>
        </w:rPr>
        <w:t>(a) </w:t>
      </w:r>
      <w:r>
        <w:rPr>
          <w:i/>
          <w:color w:val="010101"/>
          <w:sz w:val="15"/>
        </w:rPr>
        <w:t>áz  </w:t>
      </w:r>
      <w:r>
        <w:rPr>
          <w:color w:val="010101"/>
          <w:sz w:val="21"/>
        </w:rPr>
        <w:t>= </w:t>
      </w:r>
      <w:r>
        <w:rPr>
          <w:color w:val="010101"/>
          <w:w w:val="115"/>
          <w:sz w:val="17"/>
        </w:rPr>
        <w:t>l </w:t>
      </w:r>
      <w:r>
        <w:rPr>
          <w:rFonts w:ascii="Arial" w:hAnsi="Arial"/>
          <w:color w:val="010101"/>
          <w:sz w:val="26"/>
        </w:rPr>
        <w:t>+ </w:t>
      </w:r>
      <w:r>
        <w:rPr>
          <w:color w:val="010101"/>
          <w:sz w:val="16"/>
        </w:rPr>
        <w:t>t1p2:4,.+1</w:t>
      </w:r>
    </w:p>
    <w:p>
      <w:pPr>
        <w:spacing w:before="82"/>
        <w:ind w:left="466" w:right="739" w:firstLine="0"/>
        <w:jc w:val="left"/>
        <w:rPr>
          <w:rFonts w:ascii="Arial" w:hAnsi="Arial"/>
          <w:i/>
          <w:sz w:val="19"/>
        </w:rPr>
      </w:pPr>
      <w:r>
        <w:rPr>
          <w:rFonts w:ascii="Arial" w:hAnsi="Arial"/>
          <w:color w:val="010101"/>
          <w:w w:val="116"/>
          <w:sz w:val="15"/>
        </w:rPr>
        <w:t>(</w:t>
      </w:r>
      <w:r>
        <w:rPr>
          <w:rFonts w:ascii="Arial" w:hAnsi="Arial"/>
          <w:color w:val="010101"/>
          <w:w w:val="116"/>
          <w:sz w:val="15"/>
        </w:rPr>
        <w:t>b</w:t>
      </w:r>
      <w:r>
        <w:rPr>
          <w:rFonts w:ascii="Arial" w:hAnsi="Arial"/>
          <w:color w:val="010101"/>
          <w:w w:val="116"/>
          <w:sz w:val="15"/>
        </w:rPr>
        <w:t>)</w:t>
      </w:r>
      <w:r>
        <w:rPr>
          <w:rFonts w:ascii="Arial" w:hAnsi="Arial"/>
          <w:color w:val="010101"/>
          <w:sz w:val="15"/>
        </w:rPr>
        <w:t> </w:t>
      </w:r>
      <w:r>
        <w:rPr>
          <w:rFonts w:ascii="Arial" w:hAnsi="Arial"/>
          <w:color w:val="010101"/>
          <w:spacing w:val="-9"/>
          <w:sz w:val="15"/>
        </w:rPr>
        <w:t> </w:t>
      </w:r>
      <w:r>
        <w:rPr>
          <w:color w:val="010101"/>
          <w:w w:val="102"/>
          <w:sz w:val="17"/>
        </w:rPr>
        <w:t>a,.:;¡</w:t>
      </w:r>
      <w:r>
        <w:rPr>
          <w:color w:val="010101"/>
          <w:spacing w:val="19"/>
          <w:sz w:val="17"/>
        </w:rPr>
        <w:t> </w:t>
      </w:r>
      <w:r>
        <w:rPr>
          <w:color w:val="010101"/>
          <w:w w:val="271"/>
          <w:sz w:val="17"/>
        </w:rPr>
        <w:t>-</w:t>
      </w:r>
      <w:r>
        <w:rPr>
          <w:color w:val="010101"/>
          <w:spacing w:val="10"/>
          <w:sz w:val="17"/>
        </w:rPr>
        <w:t> </w:t>
      </w:r>
      <w:r>
        <w:rPr>
          <w:rFonts w:ascii="Arial" w:hAnsi="Arial"/>
          <w:color w:val="010101"/>
          <w:w w:val="84"/>
          <w:sz w:val="17"/>
        </w:rPr>
        <w:t>a,.</w:t>
      </w:r>
      <w:r>
        <w:rPr>
          <w:rFonts w:ascii="Arial" w:hAnsi="Arial"/>
          <w:color w:val="010101"/>
          <w:spacing w:val="-8"/>
          <w:w w:val="84"/>
          <w:sz w:val="17"/>
        </w:rPr>
        <w:t>:</w:t>
      </w:r>
      <w:r>
        <w:rPr>
          <w:rFonts w:ascii="Arial" w:hAnsi="Arial"/>
          <w:color w:val="010101"/>
          <w:w w:val="104"/>
          <w:sz w:val="17"/>
        </w:rPr>
        <w:t>iil</w:t>
      </w:r>
      <w:r>
        <w:rPr>
          <w:rFonts w:ascii="Arial" w:hAnsi="Arial"/>
          <w:color w:val="010101"/>
          <w:spacing w:val="23"/>
          <w:sz w:val="17"/>
        </w:rPr>
        <w:t> </w:t>
      </w:r>
      <w:r>
        <w:rPr>
          <w:color w:val="010101"/>
          <w:w w:val="104"/>
          <w:sz w:val="19"/>
        </w:rPr>
        <w:t>=</w:t>
      </w:r>
      <w:r>
        <w:rPr>
          <w:color w:val="010101"/>
          <w:sz w:val="19"/>
        </w:rPr>
        <w:t> </w:t>
      </w:r>
      <w:r>
        <w:rPr>
          <w:color w:val="010101"/>
          <w:spacing w:val="-4"/>
          <w:sz w:val="19"/>
        </w:rPr>
        <w:t> </w:t>
      </w:r>
      <w:r>
        <w:rPr>
          <w:rFonts w:ascii="Arial" w:hAnsi="Arial"/>
          <w:color w:val="010101"/>
          <w:w w:val="151"/>
          <w:sz w:val="15"/>
        </w:rPr>
        <w:t>1</w:t>
      </w:r>
      <w:r>
        <w:rPr>
          <w:rFonts w:ascii="Arial" w:hAnsi="Arial"/>
          <w:color w:val="010101"/>
          <w:spacing w:val="-19"/>
          <w:sz w:val="15"/>
        </w:rPr>
        <w:t> </w:t>
      </w:r>
      <w:r>
        <w:rPr>
          <w:rFonts w:ascii="Arial" w:hAnsi="Arial"/>
          <w:color w:val="010101"/>
          <w:w w:val="286"/>
          <w:sz w:val="15"/>
        </w:rPr>
        <w:t>-</w:t>
      </w:r>
      <w:r>
        <w:rPr>
          <w:rFonts w:ascii="Arial" w:hAnsi="Arial"/>
          <w:color w:val="010101"/>
          <w:sz w:val="15"/>
        </w:rPr>
        <w:t> </w:t>
      </w:r>
      <w:r>
        <w:rPr>
          <w:rFonts w:ascii="Arial" w:hAnsi="Arial"/>
          <w:i/>
          <w:color w:val="010101"/>
          <w:spacing w:val="-80"/>
          <w:w w:val="230"/>
          <w:sz w:val="19"/>
        </w:rPr>
        <w:t>.</w:t>
      </w:r>
      <w:r>
        <w:rPr>
          <w:rFonts w:ascii="Arial" w:hAnsi="Arial"/>
          <w:i/>
          <w:color w:val="010101"/>
          <w:w w:val="84"/>
          <w:sz w:val="19"/>
        </w:rPr>
        <w:t>E,.</w:t>
      </w:r>
      <w:r>
        <w:rPr>
          <w:rFonts w:ascii="Arial" w:hAnsi="Arial"/>
          <w:i/>
          <w:color w:val="010101"/>
          <w:sz w:val="19"/>
        </w:rPr>
        <w:t> </w:t>
      </w:r>
      <w:r>
        <w:rPr>
          <w:rFonts w:ascii="Arial" w:hAnsi="Arial"/>
          <w:i/>
          <w:color w:val="010101"/>
          <w:w w:val="121"/>
          <w:sz w:val="19"/>
        </w:rPr>
        <w:t>.</w:t>
      </w:r>
    </w:p>
    <w:p>
      <w:pPr>
        <w:pStyle w:val="ListParagraph"/>
        <w:numPr>
          <w:ilvl w:val="1"/>
          <w:numId w:val="24"/>
        </w:numPr>
        <w:tabs>
          <w:tab w:pos="503" w:val="left" w:leader="none"/>
        </w:tabs>
        <w:spacing w:line="230" w:lineRule="auto" w:before="117" w:after="0"/>
        <w:ind w:left="134" w:right="134" w:firstLine="157"/>
        <w:jc w:val="both"/>
        <w:rPr>
          <w:color w:val="010101"/>
          <w:sz w:val="16"/>
        </w:rPr>
      </w:pPr>
      <w:r>
        <w:rPr>
          <w:color w:val="010101"/>
          <w:w w:val="105"/>
          <w:sz w:val="16"/>
        </w:rPr>
        <w:t>A </w:t>
      </w:r>
      <w:r>
        <w:rPr>
          <w:color w:val="010101"/>
          <w:w w:val="105"/>
          <w:sz w:val="18"/>
        </w:rPr>
        <w:t>man </w:t>
      </w:r>
      <w:r>
        <w:rPr>
          <w:color w:val="010101"/>
          <w:w w:val="105"/>
          <w:sz w:val="16"/>
        </w:rPr>
        <w:t>wishes </w:t>
      </w:r>
      <w:r>
        <w:rPr>
          <w:color w:val="010101"/>
          <w:w w:val="105"/>
          <w:sz w:val="18"/>
        </w:rPr>
        <w:t>to purchase </w:t>
      </w:r>
      <w:r>
        <w:rPr>
          <w:color w:val="010101"/>
          <w:w w:val="105"/>
          <w:sz w:val="16"/>
        </w:rPr>
        <w:t>an </w:t>
      </w:r>
      <w:r>
        <w:rPr>
          <w:color w:val="010101"/>
          <w:w w:val="105"/>
          <w:sz w:val="18"/>
        </w:rPr>
        <w:t>annuity of </w:t>
      </w:r>
      <w:r>
        <w:rPr>
          <w:color w:val="010101"/>
          <w:spacing w:val="-5"/>
          <w:w w:val="105"/>
          <w:sz w:val="16"/>
        </w:rPr>
        <w:t>$1000 </w:t>
      </w:r>
      <w:r>
        <w:rPr>
          <w:color w:val="010101"/>
          <w:w w:val="105"/>
          <w:sz w:val="18"/>
        </w:rPr>
        <w:t>paya.ble to </w:t>
      </w:r>
      <w:r>
        <w:rPr>
          <w:color w:val="010101"/>
          <w:w w:val="105"/>
          <w:sz w:val="16"/>
        </w:rPr>
        <w:t>bis </w:t>
      </w:r>
      <w:r>
        <w:rPr>
          <w:color w:val="010101"/>
          <w:w w:val="105"/>
          <w:sz w:val="18"/>
        </w:rPr>
        <w:t>son, now aged 10, at the end of each year </w:t>
      </w:r>
      <w:r>
        <w:rPr>
          <w:color w:val="010101"/>
          <w:w w:val="105"/>
          <w:sz w:val="17"/>
        </w:rPr>
        <w:t>for </w:t>
      </w:r>
      <w:r>
        <w:rPr>
          <w:color w:val="010101"/>
          <w:w w:val="105"/>
          <w:sz w:val="18"/>
        </w:rPr>
        <w:t>life, with </w:t>
      </w:r>
      <w:r>
        <w:rPr>
          <w:color w:val="010101"/>
          <w:w w:val="105"/>
          <w:sz w:val="17"/>
        </w:rPr>
        <w:t>first </w:t>
      </w:r>
      <w:r>
        <w:rPr>
          <w:color w:val="010101"/>
          <w:w w:val="105"/>
          <w:sz w:val="18"/>
        </w:rPr>
        <w:t>payment at the end of </w:t>
      </w:r>
      <w:r>
        <w:rPr>
          <w:rFonts w:ascii="Arial"/>
          <w:color w:val="010101"/>
          <w:w w:val="105"/>
          <w:sz w:val="17"/>
        </w:rPr>
        <w:t>his </w:t>
      </w:r>
      <w:r>
        <w:rPr>
          <w:color w:val="010101"/>
          <w:w w:val="105"/>
          <w:sz w:val="18"/>
        </w:rPr>
        <w:t>twenty-first  year. What  sum must  </w:t>
      </w:r>
      <w:r>
        <w:rPr>
          <w:color w:val="010101"/>
          <w:w w:val="105"/>
          <w:sz w:val="17"/>
        </w:rPr>
        <w:t>he </w:t>
      </w:r>
      <w:r>
        <w:rPr>
          <w:color w:val="010101"/>
          <w:w w:val="105"/>
          <w:sz w:val="18"/>
        </w:rPr>
        <w:t>provide,  </w:t>
      </w:r>
      <w:r>
        <w:rPr>
          <w:color w:val="010101"/>
          <w:w w:val="105"/>
          <w:sz w:val="17"/>
        </w:rPr>
        <w:t>assuming  3% </w:t>
      </w:r>
      <w:r>
        <w:rPr>
          <w:color w:val="010101"/>
          <w:w w:val="105"/>
          <w:sz w:val="18"/>
        </w:rPr>
        <w:t>interest  </w:t>
      </w:r>
      <w:r>
        <w:rPr>
          <w:color w:val="010101"/>
          <w:spacing w:val="21"/>
          <w:w w:val="105"/>
          <w:sz w:val="18"/>
        </w:rPr>
        <w:t> </w:t>
      </w:r>
      <w:r>
        <w:rPr>
          <w:color w:val="010101"/>
          <w:w w:val="105"/>
          <w:sz w:val="18"/>
        </w:rPr>
        <w:t>and</w:t>
      </w:r>
    </w:p>
    <w:p>
      <w:pPr>
        <w:spacing w:line="218" w:lineRule="exact" w:before="0"/>
        <w:ind w:left="137" w:right="739" w:firstLine="0"/>
        <w:jc w:val="left"/>
        <w:rPr>
          <w:sz w:val="18"/>
        </w:rPr>
      </w:pPr>
      <w:r>
        <w:rPr>
          <w:color w:val="010101"/>
          <w:w w:val="105"/>
          <w:sz w:val="18"/>
        </w:rPr>
        <w:t>1958  </w:t>
      </w:r>
      <w:r>
        <w:rPr>
          <w:color w:val="010101"/>
          <w:w w:val="105"/>
          <w:sz w:val="25"/>
        </w:rPr>
        <w:t>eso </w:t>
      </w:r>
      <w:r>
        <w:rPr>
          <w:color w:val="010101"/>
          <w:w w:val="105"/>
          <w:sz w:val="18"/>
        </w:rPr>
        <w:t>mortality?</w:t>
      </w:r>
    </w:p>
    <w:p>
      <w:pPr>
        <w:spacing w:after="0" w:line="218" w:lineRule="exact"/>
        <w:jc w:val="left"/>
        <w:rPr>
          <w:sz w:val="18"/>
        </w:rPr>
        <w:sectPr>
          <w:pgSz w:w="7200" w:h="11340"/>
          <w:pgMar w:top="500" w:bottom="280" w:left="660" w:right="560"/>
        </w:sectPr>
      </w:pPr>
    </w:p>
    <w:p>
      <w:pPr>
        <w:pStyle w:val="BodyText"/>
        <w:spacing w:before="4"/>
        <w:rPr>
          <w:sz w:val="15"/>
        </w:rPr>
      </w:pPr>
    </w:p>
    <w:p>
      <w:pPr>
        <w:pStyle w:val="ListParagraph"/>
        <w:numPr>
          <w:ilvl w:val="1"/>
          <w:numId w:val="24"/>
        </w:numPr>
        <w:tabs>
          <w:tab w:pos="485" w:val="left" w:leader="none"/>
        </w:tabs>
        <w:spacing w:line="240" w:lineRule="auto" w:before="0" w:after="0"/>
        <w:ind w:left="484" w:right="0" w:hanging="207"/>
        <w:jc w:val="left"/>
        <w:rPr>
          <w:color w:val="010101"/>
          <w:sz w:val="18"/>
        </w:rPr>
      </w:pPr>
      <w:r>
        <w:rPr>
          <w:color w:val="010101"/>
          <w:w w:val="105"/>
          <w:sz w:val="18"/>
        </w:rPr>
        <w:t>Show</w:t>
      </w:r>
      <w:r>
        <w:rPr>
          <w:color w:val="010101"/>
          <w:spacing w:val="-9"/>
          <w:w w:val="105"/>
          <w:sz w:val="18"/>
        </w:rPr>
        <w:t> </w:t>
      </w:r>
      <w:r>
        <w:rPr>
          <w:color w:val="010101"/>
          <w:w w:val="105"/>
          <w:sz w:val="18"/>
        </w:rPr>
        <w:t>that</w:t>
      </w:r>
      <w:r>
        <w:rPr>
          <w:color w:val="010101"/>
          <w:spacing w:val="-1"/>
          <w:w w:val="105"/>
          <w:sz w:val="18"/>
        </w:rPr>
        <w:t> </w:t>
      </w:r>
      <w:r>
        <w:rPr>
          <w:color w:val="010101"/>
          <w:w w:val="105"/>
          <w:sz w:val="18"/>
        </w:rPr>
        <w:t>when</w:t>
      </w:r>
      <w:r>
        <w:rPr>
          <w:color w:val="010101"/>
          <w:spacing w:val="-5"/>
          <w:w w:val="105"/>
          <w:sz w:val="18"/>
        </w:rPr>
        <w:t> </w:t>
      </w:r>
      <w:r>
        <w:rPr>
          <w:color w:val="010101"/>
          <w:w w:val="105"/>
          <w:sz w:val="18"/>
        </w:rPr>
        <w:t>de</w:t>
      </w:r>
      <w:r>
        <w:rPr>
          <w:color w:val="010101"/>
          <w:spacing w:val="-14"/>
          <w:w w:val="105"/>
          <w:sz w:val="18"/>
        </w:rPr>
        <w:t> </w:t>
      </w:r>
      <w:r>
        <w:rPr>
          <w:color w:val="010101"/>
          <w:w w:val="105"/>
          <w:sz w:val="18"/>
        </w:rPr>
        <w:t>Moivre's</w:t>
      </w:r>
      <w:r>
        <w:rPr>
          <w:color w:val="010101"/>
          <w:spacing w:val="-8"/>
          <w:w w:val="105"/>
          <w:sz w:val="18"/>
        </w:rPr>
        <w:t> </w:t>
      </w:r>
      <w:r>
        <w:rPr>
          <w:color w:val="010101"/>
          <w:w w:val="105"/>
          <w:sz w:val="18"/>
        </w:rPr>
        <w:t>law</w:t>
      </w:r>
      <w:r>
        <w:rPr>
          <w:color w:val="010101"/>
          <w:spacing w:val="-11"/>
          <w:w w:val="105"/>
          <w:sz w:val="18"/>
        </w:rPr>
        <w:t> </w:t>
      </w:r>
      <w:r>
        <w:rPr>
          <w:color w:val="010101"/>
          <w:w w:val="105"/>
          <w:sz w:val="18"/>
        </w:rPr>
        <w:t>is</w:t>
      </w:r>
      <w:r>
        <w:rPr>
          <w:color w:val="010101"/>
          <w:spacing w:val="-19"/>
          <w:w w:val="105"/>
          <w:sz w:val="18"/>
        </w:rPr>
        <w:t> </w:t>
      </w:r>
      <w:r>
        <w:rPr>
          <w:color w:val="010101"/>
          <w:w w:val="105"/>
          <w:sz w:val="18"/>
        </w:rPr>
        <w:t>assumed</w:t>
      </w:r>
    </w:p>
    <w:p>
      <w:pPr>
        <w:spacing w:line="182" w:lineRule="exact" w:before="0"/>
        <w:ind w:left="277" w:right="0" w:firstLine="0"/>
        <w:jc w:val="left"/>
        <w:rPr>
          <w:sz w:val="16"/>
        </w:rPr>
      </w:pPr>
      <w:r>
        <w:rPr/>
        <w:br w:type="column"/>
      </w:r>
      <w:r>
        <w:rPr>
          <w:rFonts w:ascii="Arial"/>
          <w:b/>
          <w:color w:val="010101"/>
          <w:w w:val="115"/>
          <w:sz w:val="16"/>
        </w:rPr>
        <w:t>(Am. </w:t>
      </w:r>
      <w:r>
        <w:rPr>
          <w:color w:val="010101"/>
          <w:w w:val="115"/>
          <w:sz w:val="16"/>
        </w:rPr>
        <w:t>$18,226.79)</w:t>
      </w:r>
    </w:p>
    <w:p>
      <w:pPr>
        <w:spacing w:after="0" w:line="182" w:lineRule="exact"/>
        <w:jc w:val="left"/>
        <w:rPr>
          <w:sz w:val="16"/>
        </w:rPr>
        <w:sectPr>
          <w:type w:val="continuous"/>
          <w:pgSz w:w="7200" w:h="11340"/>
          <w:pgMar w:top="1100" w:bottom="0" w:left="660" w:right="560"/>
          <w:cols w:num="2" w:equalWidth="0">
            <w:col w:w="3772" w:space="481"/>
            <w:col w:w="1727"/>
          </w:cols>
        </w:sectPr>
      </w:pPr>
    </w:p>
    <w:p>
      <w:pPr>
        <w:spacing w:line="183" w:lineRule="exact" w:before="112"/>
        <w:ind w:left="0" w:right="27" w:firstLine="0"/>
        <w:jc w:val="right"/>
        <w:rPr>
          <w:sz w:val="20"/>
        </w:rPr>
      </w:pPr>
      <w:r>
        <w:rPr/>
        <w:pict>
          <v:shape style="position:absolute;margin-left:115.707901pt;margin-top:13.038734pt;width:17.45pt;height:9.5pt;mso-position-horizontal-relative:page;mso-position-vertical-relative:paragraph;z-index:-730648" type="#_x0000_t202" filled="false" stroked="false">
            <v:textbox inset="0,0,0,0">
              <w:txbxContent>
                <w:p>
                  <w:pPr>
                    <w:spacing w:line="190" w:lineRule="exact" w:before="0"/>
                    <w:ind w:left="0" w:right="0" w:firstLine="0"/>
                    <w:jc w:val="left"/>
                    <w:rPr>
                      <w:sz w:val="19"/>
                    </w:rPr>
                  </w:pPr>
                  <w:r>
                    <w:rPr>
                      <w:i/>
                      <w:color w:val="010101"/>
                      <w:sz w:val="18"/>
                    </w:rPr>
                    <w:t>az </w:t>
                  </w:r>
                  <w:r>
                    <w:rPr>
                      <w:color w:val="010101"/>
                      <w:sz w:val="19"/>
                    </w:rPr>
                    <w:t>=</w:t>
                  </w:r>
                </w:p>
              </w:txbxContent>
            </v:textbox>
            <w10:wrap type="none"/>
          </v:shape>
        </w:pict>
      </w:r>
      <w:r>
        <w:rPr>
          <w:rFonts w:ascii="Courier New"/>
          <w:i/>
          <w:color w:val="010101"/>
          <w:w w:val="105"/>
          <w:sz w:val="18"/>
        </w:rPr>
        <w:t>n</w:t>
      </w:r>
      <w:r>
        <w:rPr>
          <w:rFonts w:ascii="Courier New"/>
          <w:i/>
          <w:color w:val="010101"/>
          <w:spacing w:val="-56"/>
          <w:w w:val="105"/>
          <w:sz w:val="18"/>
        </w:rPr>
        <w:t> </w:t>
      </w:r>
      <w:r>
        <w:rPr>
          <w:rFonts w:ascii="Courier New"/>
          <w:color w:val="010101"/>
          <w:w w:val="135"/>
          <w:sz w:val="18"/>
        </w:rPr>
        <w:t>-</w:t>
      </w:r>
      <w:r>
        <w:rPr>
          <w:rFonts w:ascii="Courier New"/>
          <w:color w:val="010101"/>
          <w:spacing w:val="-118"/>
          <w:w w:val="135"/>
          <w:sz w:val="18"/>
        </w:rPr>
        <w:t> </w:t>
      </w:r>
      <w:r>
        <w:rPr>
          <w:color w:val="010101"/>
          <w:w w:val="105"/>
          <w:sz w:val="20"/>
        </w:rPr>
        <w:t>4:,</w:t>
      </w:r>
    </w:p>
    <w:p>
      <w:pPr>
        <w:spacing w:line="122" w:lineRule="exact" w:before="0"/>
        <w:ind w:left="0" w:right="0" w:firstLine="0"/>
        <w:jc w:val="right"/>
        <w:rPr>
          <w:sz w:val="19"/>
        </w:rPr>
      </w:pPr>
      <w:r>
        <w:rPr>
          <w:color w:val="010101"/>
          <w:spacing w:val="-371"/>
          <w:w w:val="548"/>
          <w:sz w:val="19"/>
        </w:rPr>
        <w:t>-</w:t>
      </w:r>
      <w:r>
        <w:rPr>
          <w:color w:val="010101"/>
          <w:spacing w:val="-312"/>
          <w:w w:val="272"/>
          <w:sz w:val="19"/>
        </w:rPr>
        <w:t>-</w:t>
      </w:r>
      <w:r>
        <w:rPr>
          <w:color w:val="010101"/>
          <w:w w:val="120"/>
          <w:sz w:val="19"/>
        </w:rPr>
        <w:t>.</w:t>
      </w:r>
      <w:r>
        <w:rPr>
          <w:color w:val="010101"/>
          <w:spacing w:val="-16"/>
          <w:sz w:val="19"/>
        </w:rPr>
        <w:t> </w:t>
      </w:r>
      <w:r>
        <w:rPr>
          <w:color w:val="010101"/>
          <w:w w:val="280"/>
          <w:sz w:val="19"/>
        </w:rPr>
        <w:t>-</w:t>
      </w:r>
    </w:p>
    <w:p>
      <w:pPr>
        <w:spacing w:line="146" w:lineRule="exact" w:before="0"/>
        <w:ind w:left="0" w:right="233" w:firstLine="0"/>
        <w:jc w:val="right"/>
        <w:rPr>
          <w:rFonts w:ascii="Arial"/>
          <w:i/>
          <w:sz w:val="16"/>
        </w:rPr>
      </w:pPr>
      <w:r>
        <w:rPr>
          <w:rFonts w:ascii="Arial"/>
          <w:i/>
          <w:color w:val="010101"/>
          <w:w w:val="115"/>
          <w:sz w:val="16"/>
        </w:rPr>
        <w:t>1n</w:t>
      </w:r>
    </w:p>
    <w:p>
      <w:pPr>
        <w:pStyle w:val="BodyText"/>
        <w:spacing w:before="6"/>
        <w:rPr>
          <w:rFonts w:ascii="Arial"/>
          <w:i/>
        </w:rPr>
      </w:pPr>
      <w:r>
        <w:rPr/>
        <w:br w:type="column"/>
      </w:r>
      <w:r>
        <w:rPr>
          <w:rFonts w:ascii="Arial"/>
          <w:i/>
        </w:rPr>
      </w:r>
    </w:p>
    <w:p>
      <w:pPr>
        <w:spacing w:before="0"/>
        <w:ind w:left="89" w:right="-1" w:firstLine="0"/>
        <w:jc w:val="left"/>
        <w:rPr>
          <w:sz w:val="19"/>
        </w:rPr>
      </w:pPr>
      <w:r>
        <w:rPr>
          <w:b/>
          <w:color w:val="010101"/>
          <w:w w:val="105"/>
          <w:sz w:val="17"/>
        </w:rPr>
        <w:t>wbere    </w:t>
      </w:r>
      <w:r>
        <w:rPr>
          <w:b/>
          <w:color w:val="010101"/>
          <w:w w:val="105"/>
          <w:sz w:val="13"/>
        </w:rPr>
        <w:t>ft </w:t>
      </w:r>
      <w:r>
        <w:rPr>
          <w:color w:val="010101"/>
          <w:w w:val="105"/>
          <w:sz w:val="19"/>
        </w:rPr>
        <w:t>=</w:t>
      </w:r>
    </w:p>
    <w:p>
      <w:pPr>
        <w:pStyle w:val="BodyText"/>
        <w:rPr>
          <w:sz w:val="12"/>
        </w:rPr>
      </w:pPr>
      <w:r>
        <w:rPr/>
        <w:br w:type="column"/>
      </w:r>
      <w:r>
        <w:rPr>
          <w:sz w:val="12"/>
        </w:rPr>
      </w:r>
    </w:p>
    <w:p>
      <w:pPr>
        <w:pStyle w:val="BodyText"/>
        <w:spacing w:before="2"/>
        <w:rPr>
          <w:sz w:val="14"/>
        </w:rPr>
      </w:pPr>
    </w:p>
    <w:p>
      <w:pPr>
        <w:spacing w:before="0"/>
        <w:ind w:left="30" w:right="0" w:firstLine="0"/>
        <w:jc w:val="left"/>
        <w:rPr>
          <w:sz w:val="12"/>
        </w:rPr>
      </w:pPr>
      <w:r>
        <w:rPr>
          <w:color w:val="010101"/>
          <w:w w:val="120"/>
          <w:sz w:val="8"/>
        </w:rPr>
        <w:t>(al   </w:t>
      </w:r>
      <w:r>
        <w:rPr>
          <w:color w:val="010101"/>
          <w:w w:val="580"/>
          <w:sz w:val="8"/>
        </w:rPr>
        <w:t>-</w:t>
      </w:r>
      <w:r>
        <w:rPr>
          <w:color w:val="010101"/>
          <w:spacing w:val="-96"/>
          <w:w w:val="580"/>
          <w:sz w:val="8"/>
        </w:rPr>
        <w:t> </w:t>
      </w:r>
      <w:r>
        <w:rPr>
          <w:color w:val="010101"/>
          <w:w w:val="120"/>
          <w:sz w:val="12"/>
        </w:rPr>
        <w:t>%.</w:t>
      </w:r>
    </w:p>
    <w:p>
      <w:pPr>
        <w:spacing w:after="0"/>
        <w:jc w:val="left"/>
        <w:rPr>
          <w:sz w:val="12"/>
        </w:rPr>
        <w:sectPr>
          <w:type w:val="continuous"/>
          <w:pgSz w:w="7200" w:h="11340"/>
          <w:pgMar w:top="1100" w:bottom="0" w:left="660" w:right="560"/>
          <w:cols w:num="3" w:equalWidth="0">
            <w:col w:w="2684" w:space="40"/>
            <w:col w:w="990" w:space="40"/>
            <w:col w:w="2226"/>
          </w:cols>
        </w:sectPr>
      </w:pPr>
    </w:p>
    <w:p>
      <w:pPr>
        <w:pStyle w:val="ListParagraph"/>
        <w:numPr>
          <w:ilvl w:val="1"/>
          <w:numId w:val="24"/>
        </w:numPr>
        <w:tabs>
          <w:tab w:pos="492" w:val="left" w:leader="none"/>
        </w:tabs>
        <w:spacing w:line="240" w:lineRule="auto" w:before="161" w:after="0"/>
        <w:ind w:left="491" w:right="0" w:hanging="211"/>
        <w:jc w:val="left"/>
        <w:rPr>
          <w:color w:val="010101"/>
          <w:sz w:val="18"/>
        </w:rPr>
      </w:pPr>
      <w:r>
        <w:rPr>
          <w:color w:val="010101"/>
          <w:w w:val="105"/>
          <w:sz w:val="18"/>
        </w:rPr>
        <w:t>Prove a)gebraically, and explain by general</w:t>
      </w:r>
      <w:r>
        <w:rPr>
          <w:color w:val="010101"/>
          <w:spacing w:val="17"/>
          <w:w w:val="105"/>
          <w:sz w:val="18"/>
        </w:rPr>
        <w:t> </w:t>
      </w:r>
      <w:r>
        <w:rPr>
          <w:color w:val="010101"/>
          <w:w w:val="105"/>
          <w:sz w:val="18"/>
        </w:rPr>
        <w:t>reasoning:</w:t>
      </w:r>
    </w:p>
    <w:p>
      <w:pPr>
        <w:spacing w:line="206" w:lineRule="exact" w:before="27"/>
        <w:ind w:left="0" w:right="205" w:firstLine="0"/>
        <w:jc w:val="center"/>
        <w:rPr>
          <w:rFonts w:ascii="Arial" w:hAnsi="Arial"/>
          <w:sz w:val="24"/>
        </w:rPr>
      </w:pPr>
      <w:r>
        <w:rPr>
          <w:rFonts w:ascii="Arial" w:hAnsi="Arial"/>
          <w:color w:val="010101"/>
          <w:w w:val="165"/>
          <w:sz w:val="24"/>
        </w:rPr>
        <w:t>•</w:t>
      </w:r>
    </w:p>
    <w:p>
      <w:pPr>
        <w:spacing w:line="156" w:lineRule="exact" w:before="0"/>
        <w:ind w:left="74" w:right="68" w:firstLine="0"/>
        <w:jc w:val="center"/>
        <w:rPr>
          <w:sz w:val="20"/>
        </w:rPr>
      </w:pPr>
      <w:r>
        <w:rPr>
          <w:rFonts w:ascii="Arial" w:hAnsi="Arial"/>
          <w:b/>
          <w:i/>
          <w:color w:val="010101"/>
          <w:w w:val="95"/>
          <w:sz w:val="16"/>
        </w:rPr>
        <w:t>a.., </w:t>
      </w:r>
      <w:r>
        <w:rPr>
          <w:color w:val="010101"/>
          <w:w w:val="95"/>
          <w:sz w:val="24"/>
        </w:rPr>
        <w:t>= </w:t>
      </w:r>
      <w:r>
        <w:rPr>
          <w:rFonts w:ascii="Arial" w:hAnsi="Arial"/>
          <w:i/>
          <w:color w:val="010101"/>
          <w:w w:val="95"/>
          <w:sz w:val="26"/>
        </w:rPr>
        <w:t>E </w:t>
      </w:r>
      <w:r>
        <w:rPr>
          <w:color w:val="010101"/>
          <w:w w:val="95"/>
          <w:sz w:val="20"/>
        </w:rPr>
        <w:t>,,q,.·e1c </w:t>
      </w:r>
      <w:r>
        <w:rPr>
          <w:color w:val="010101"/>
          <w:w w:val="110"/>
          <w:sz w:val="20"/>
        </w:rPr>
        <w:t>.</w:t>
      </w:r>
    </w:p>
    <w:p>
      <w:pPr>
        <w:spacing w:line="222" w:lineRule="exact" w:before="0"/>
        <w:ind w:left="74" w:right="267" w:firstLine="0"/>
        <w:jc w:val="center"/>
        <w:rPr>
          <w:rFonts w:ascii="Courier New"/>
          <w:sz w:val="26"/>
        </w:rPr>
      </w:pPr>
      <w:r>
        <w:rPr>
          <w:rFonts w:ascii="Courier New"/>
          <w:color w:val="010101"/>
          <w:w w:val="85"/>
          <w:sz w:val="26"/>
        </w:rPr>
        <w:t>,-1</w:t>
      </w:r>
    </w:p>
    <w:p>
      <w:pPr>
        <w:pStyle w:val="ListParagraph"/>
        <w:numPr>
          <w:ilvl w:val="0"/>
          <w:numId w:val="25"/>
        </w:numPr>
        <w:tabs>
          <w:tab w:pos="317" w:val="left" w:leader="none"/>
        </w:tabs>
        <w:spacing w:line="240" w:lineRule="auto" w:before="108" w:after="0"/>
        <w:ind w:left="316" w:right="0" w:hanging="204"/>
        <w:jc w:val="left"/>
        <w:rPr>
          <w:b/>
          <w:sz w:val="16"/>
        </w:rPr>
      </w:pPr>
      <w:r>
        <w:rPr>
          <w:b/>
          <w:color w:val="010101"/>
          <w:w w:val="125"/>
          <w:sz w:val="16"/>
        </w:rPr>
        <w:t>Annuitiee  payable more írequently  than  once a</w:t>
      </w:r>
      <w:r>
        <w:rPr>
          <w:b/>
          <w:color w:val="010101"/>
          <w:spacing w:val="17"/>
          <w:w w:val="125"/>
          <w:sz w:val="16"/>
        </w:rPr>
        <w:t> </w:t>
      </w:r>
      <w:r>
        <w:rPr>
          <w:b/>
          <w:color w:val="010101"/>
          <w:w w:val="125"/>
          <w:sz w:val="16"/>
        </w:rPr>
        <w:t>year</w:t>
      </w:r>
    </w:p>
    <w:p>
      <w:pPr>
        <w:pStyle w:val="ListParagraph"/>
        <w:numPr>
          <w:ilvl w:val="1"/>
          <w:numId w:val="25"/>
        </w:numPr>
        <w:tabs>
          <w:tab w:pos="489" w:val="left" w:leader="none"/>
        </w:tabs>
        <w:spacing w:line="230" w:lineRule="auto" w:before="78" w:after="0"/>
        <w:ind w:left="116" w:right="151" w:firstLine="161"/>
        <w:jc w:val="both"/>
        <w:rPr>
          <w:color w:val="010101"/>
          <w:sz w:val="18"/>
        </w:rPr>
      </w:pPr>
      <w:r>
        <w:rPr>
          <w:color w:val="010101"/>
          <w:w w:val="105"/>
          <w:sz w:val="18"/>
        </w:rPr>
        <w:t>Find</w:t>
      </w:r>
      <w:r>
        <w:rPr>
          <w:color w:val="010101"/>
          <w:spacing w:val="-10"/>
          <w:w w:val="105"/>
          <w:sz w:val="18"/>
        </w:rPr>
        <w:t> </w:t>
      </w:r>
      <w:r>
        <w:rPr>
          <w:color w:val="010101"/>
          <w:w w:val="105"/>
          <w:sz w:val="18"/>
        </w:rPr>
        <w:t>the</w:t>
      </w:r>
      <w:r>
        <w:rPr>
          <w:color w:val="010101"/>
          <w:spacing w:val="-16"/>
          <w:w w:val="105"/>
          <w:sz w:val="18"/>
        </w:rPr>
        <w:t> </w:t>
      </w:r>
      <w:r>
        <w:rPr>
          <w:color w:val="010101"/>
          <w:w w:val="105"/>
          <w:sz w:val="18"/>
        </w:rPr>
        <w:t>present va.lue</w:t>
      </w:r>
      <w:r>
        <w:rPr>
          <w:color w:val="010101"/>
          <w:spacing w:val="-7"/>
          <w:w w:val="105"/>
          <w:sz w:val="18"/>
        </w:rPr>
        <w:t> </w:t>
      </w:r>
      <w:r>
        <w:rPr>
          <w:color w:val="010101"/>
          <w:w w:val="105"/>
          <w:sz w:val="18"/>
        </w:rPr>
        <w:t>of an</w:t>
      </w:r>
      <w:r>
        <w:rPr>
          <w:color w:val="010101"/>
          <w:spacing w:val="-12"/>
          <w:w w:val="105"/>
          <w:sz w:val="18"/>
        </w:rPr>
        <w:t> </w:t>
      </w:r>
      <w:r>
        <w:rPr>
          <w:color w:val="010101"/>
          <w:w w:val="105"/>
          <w:sz w:val="18"/>
        </w:rPr>
        <w:t>annÜity</w:t>
      </w:r>
      <w:r>
        <w:rPr>
          <w:color w:val="010101"/>
          <w:spacing w:val="-12"/>
          <w:w w:val="105"/>
          <w:sz w:val="18"/>
        </w:rPr>
        <w:t> </w:t>
      </w:r>
      <w:r>
        <w:rPr>
          <w:color w:val="010101"/>
          <w:w w:val="105"/>
          <w:sz w:val="18"/>
        </w:rPr>
        <w:t>providing</w:t>
      </w:r>
      <w:r>
        <w:rPr>
          <w:color w:val="010101"/>
          <w:spacing w:val="-6"/>
          <w:w w:val="105"/>
          <w:sz w:val="18"/>
        </w:rPr>
        <w:t> </w:t>
      </w:r>
      <w:r>
        <w:rPr>
          <w:color w:val="010101"/>
          <w:w w:val="105"/>
          <w:sz w:val="18"/>
        </w:rPr>
        <w:t>$500</w:t>
      </w:r>
      <w:r>
        <w:rPr>
          <w:color w:val="010101"/>
          <w:spacing w:val="-23"/>
          <w:w w:val="105"/>
          <w:sz w:val="18"/>
        </w:rPr>
        <w:t> </w:t>
      </w:r>
      <w:r>
        <w:rPr>
          <w:color w:val="010101"/>
          <w:w w:val="105"/>
          <w:sz w:val="18"/>
        </w:rPr>
        <w:t>at</w:t>
      </w:r>
      <w:r>
        <w:rPr>
          <w:color w:val="010101"/>
          <w:spacing w:val="-11"/>
          <w:w w:val="105"/>
          <w:sz w:val="18"/>
        </w:rPr>
        <w:t> </w:t>
      </w:r>
      <w:r>
        <w:rPr>
          <w:color w:val="010101"/>
          <w:w w:val="105"/>
          <w:sz w:val="17"/>
        </w:rPr>
        <w:t>the</w:t>
      </w:r>
      <w:r>
        <w:rPr>
          <w:color w:val="010101"/>
          <w:spacing w:val="-12"/>
          <w:w w:val="105"/>
          <w:sz w:val="17"/>
        </w:rPr>
        <w:t> </w:t>
      </w:r>
      <w:r>
        <w:rPr>
          <w:color w:val="010101"/>
          <w:w w:val="105"/>
          <w:sz w:val="18"/>
        </w:rPr>
        <w:t>end</w:t>
      </w:r>
      <w:r>
        <w:rPr>
          <w:color w:val="010101"/>
          <w:spacing w:val="-13"/>
          <w:w w:val="105"/>
          <w:sz w:val="18"/>
        </w:rPr>
        <w:t> </w:t>
      </w:r>
      <w:r>
        <w:rPr>
          <w:color w:val="010101"/>
          <w:w w:val="105"/>
          <w:sz w:val="18"/>
        </w:rPr>
        <w:t>of</w:t>
      </w:r>
      <w:r>
        <w:rPr>
          <w:color w:val="010101"/>
          <w:spacing w:val="-3"/>
          <w:w w:val="105"/>
          <w:sz w:val="18"/>
        </w:rPr>
        <w:t> </w:t>
      </w:r>
      <w:r>
        <w:rPr>
          <w:color w:val="010101"/>
          <w:w w:val="105"/>
          <w:sz w:val="18"/>
        </w:rPr>
        <w:t>every 3</w:t>
      </w:r>
      <w:r>
        <w:rPr>
          <w:color w:val="010101"/>
          <w:spacing w:val="-22"/>
          <w:w w:val="105"/>
          <w:sz w:val="18"/>
        </w:rPr>
        <w:t> </w:t>
      </w:r>
      <w:r>
        <w:rPr>
          <w:color w:val="010101"/>
          <w:w w:val="105"/>
          <w:sz w:val="18"/>
        </w:rPr>
        <w:t>months</w:t>
      </w:r>
      <w:r>
        <w:rPr>
          <w:color w:val="010101"/>
          <w:spacing w:val="-5"/>
          <w:w w:val="105"/>
          <w:sz w:val="18"/>
        </w:rPr>
        <w:t> </w:t>
      </w:r>
      <w:r>
        <w:rPr>
          <w:color w:val="010101"/>
          <w:spacing w:val="4"/>
          <w:w w:val="105"/>
          <w:sz w:val="18"/>
        </w:rPr>
        <w:t>for</w:t>
      </w:r>
      <w:r>
        <w:rPr>
          <w:color w:val="010101"/>
          <w:spacing w:val="-10"/>
          <w:w w:val="105"/>
          <w:sz w:val="18"/>
        </w:rPr>
        <w:t> </w:t>
      </w:r>
      <w:r>
        <w:rPr>
          <w:color w:val="010101"/>
          <w:w w:val="105"/>
          <w:sz w:val="18"/>
        </w:rPr>
        <w:t>life</w:t>
      </w:r>
      <w:r>
        <w:rPr>
          <w:color w:val="010101"/>
          <w:spacing w:val="-11"/>
          <w:w w:val="105"/>
          <w:sz w:val="18"/>
        </w:rPr>
        <w:t> </w:t>
      </w:r>
      <w:r>
        <w:rPr>
          <w:color w:val="010101"/>
          <w:w w:val="105"/>
          <w:sz w:val="18"/>
        </w:rPr>
        <w:t>to</w:t>
      </w:r>
      <w:r>
        <w:rPr>
          <w:color w:val="010101"/>
          <w:spacing w:val="-9"/>
          <w:w w:val="105"/>
          <w:sz w:val="18"/>
        </w:rPr>
        <w:t> </w:t>
      </w:r>
      <w:r>
        <w:rPr>
          <w:color w:val="010101"/>
          <w:w w:val="105"/>
          <w:sz w:val="18"/>
        </w:rPr>
        <w:t>a</w:t>
      </w:r>
      <w:r>
        <w:rPr>
          <w:color w:val="010101"/>
          <w:spacing w:val="-13"/>
          <w:w w:val="105"/>
          <w:sz w:val="18"/>
        </w:rPr>
        <w:t> </w:t>
      </w:r>
      <w:r>
        <w:rPr>
          <w:color w:val="010101"/>
          <w:w w:val="105"/>
          <w:sz w:val="18"/>
        </w:rPr>
        <w:t>person</w:t>
      </w:r>
      <w:r>
        <w:rPr>
          <w:color w:val="010101"/>
          <w:spacing w:val="5"/>
          <w:w w:val="105"/>
          <w:sz w:val="18"/>
        </w:rPr>
        <w:t> </w:t>
      </w:r>
      <w:r>
        <w:rPr>
          <w:color w:val="010101"/>
          <w:w w:val="105"/>
          <w:sz w:val="18"/>
        </w:rPr>
        <w:t>now</w:t>
      </w:r>
      <w:r>
        <w:rPr>
          <w:color w:val="010101"/>
          <w:spacing w:val="-6"/>
          <w:w w:val="105"/>
          <w:sz w:val="18"/>
        </w:rPr>
        <w:t> </w:t>
      </w:r>
      <w:r>
        <w:rPr>
          <w:color w:val="010101"/>
          <w:w w:val="105"/>
          <w:sz w:val="18"/>
        </w:rPr>
        <w:t>aged</w:t>
      </w:r>
      <w:r>
        <w:rPr>
          <w:color w:val="010101"/>
          <w:spacing w:val="-2"/>
          <w:w w:val="105"/>
          <w:sz w:val="18"/>
        </w:rPr>
        <w:t> </w:t>
      </w:r>
      <w:r>
        <w:rPr>
          <w:color w:val="010101"/>
          <w:w w:val="105"/>
          <w:sz w:val="18"/>
        </w:rPr>
        <w:t>50,</w:t>
      </w:r>
      <w:r>
        <w:rPr>
          <w:color w:val="010101"/>
          <w:spacing w:val="-17"/>
          <w:w w:val="105"/>
          <w:sz w:val="18"/>
        </w:rPr>
        <w:t> </w:t>
      </w:r>
      <w:r>
        <w:rPr>
          <w:color w:val="010101"/>
          <w:w w:val="105"/>
          <w:sz w:val="18"/>
        </w:rPr>
        <w:t>assuming</w:t>
      </w:r>
      <w:r>
        <w:rPr>
          <w:color w:val="010101"/>
          <w:spacing w:val="-10"/>
          <w:w w:val="105"/>
          <w:sz w:val="18"/>
        </w:rPr>
        <w:t> </w:t>
      </w:r>
      <w:r>
        <w:rPr>
          <w:color w:val="010101"/>
          <w:spacing w:val="-11"/>
          <w:w w:val="105"/>
          <w:sz w:val="18"/>
        </w:rPr>
        <w:t>1958</w:t>
      </w:r>
      <w:r>
        <w:rPr>
          <w:color w:val="010101"/>
          <w:spacing w:val="-14"/>
          <w:w w:val="105"/>
          <w:sz w:val="18"/>
        </w:rPr>
        <w:t> </w:t>
      </w:r>
      <w:r>
        <w:rPr>
          <w:color w:val="010101"/>
          <w:w w:val="105"/>
          <w:sz w:val="18"/>
        </w:rPr>
        <w:t>CSO</w:t>
      </w:r>
      <w:r>
        <w:rPr>
          <w:color w:val="010101"/>
          <w:spacing w:val="-17"/>
          <w:w w:val="105"/>
          <w:sz w:val="18"/>
        </w:rPr>
        <w:t> </w:t>
      </w:r>
      <w:r>
        <w:rPr>
          <w:color w:val="010101"/>
          <w:w w:val="105"/>
          <w:sz w:val="18"/>
        </w:rPr>
        <w:t>mortality</w:t>
      </w:r>
      <w:r>
        <w:rPr>
          <w:color w:val="010101"/>
          <w:spacing w:val="-10"/>
          <w:w w:val="105"/>
          <w:sz w:val="18"/>
        </w:rPr>
        <w:t> </w:t>
      </w:r>
      <w:r>
        <w:rPr>
          <w:color w:val="010101"/>
          <w:w w:val="105"/>
          <w:sz w:val="18"/>
        </w:rPr>
        <w:t>and </w:t>
      </w:r>
      <w:r>
        <w:rPr>
          <w:color w:val="010101"/>
          <w:w w:val="105"/>
          <w:sz w:val="17"/>
        </w:rPr>
        <w:t>3% </w:t>
      </w:r>
      <w:r>
        <w:rPr>
          <w:color w:val="010101"/>
          <w:w w:val="105"/>
          <w:sz w:val="18"/>
        </w:rPr>
        <w:t>interest. Use the standard </w:t>
      </w:r>
      <w:r>
        <w:rPr>
          <w:color w:val="010101"/>
          <w:spacing w:val="20"/>
          <w:w w:val="105"/>
          <w:sz w:val="18"/>
        </w:rPr>
        <w:t> </w:t>
      </w:r>
      <w:r>
        <w:rPr>
          <w:color w:val="010101"/>
          <w:w w:val="105"/>
          <w:sz w:val="18"/>
        </w:rPr>
        <w:t>approximation.</w:t>
      </w:r>
    </w:p>
    <w:p>
      <w:pPr>
        <w:spacing w:before="5"/>
        <w:ind w:left="0" w:right="153" w:firstLine="0"/>
        <w:jc w:val="right"/>
        <w:rPr>
          <w:sz w:val="17"/>
        </w:rPr>
      </w:pPr>
      <w:r>
        <w:rPr>
          <w:color w:val="010101"/>
          <w:w w:val="105"/>
          <w:sz w:val="17"/>
        </w:rPr>
        <w:t>(Am. 132,00ó.87)</w:t>
      </w:r>
    </w:p>
    <w:p>
      <w:pPr>
        <w:spacing w:after="0"/>
        <w:jc w:val="right"/>
        <w:rPr>
          <w:sz w:val="17"/>
        </w:rPr>
        <w:sectPr>
          <w:type w:val="continuous"/>
          <w:pgSz w:w="7200" w:h="11340"/>
          <w:pgMar w:top="1100" w:bottom="0" w:left="660" w:right="560"/>
        </w:sectPr>
      </w:pPr>
    </w:p>
    <w:p>
      <w:pPr>
        <w:spacing w:before="58"/>
        <w:ind w:left="0" w:right="107" w:firstLine="0"/>
        <w:jc w:val="right"/>
        <w:rPr>
          <w:sz w:val="21"/>
        </w:rPr>
      </w:pPr>
      <w:r>
        <w:rPr/>
        <w:drawing>
          <wp:anchor distT="0" distB="0" distL="0" distR="0" allowOverlap="1" layoutInCell="1" locked="0" behindDoc="0" simplePos="0" relativeHeight="5440">
            <wp:simplePos x="0" y="0"/>
            <wp:positionH relativeFrom="page">
              <wp:posOffset>2039111</wp:posOffset>
            </wp:positionH>
            <wp:positionV relativeFrom="paragraph">
              <wp:posOffset>84817</wp:posOffset>
            </wp:positionV>
            <wp:extent cx="585215" cy="82296"/>
            <wp:effectExtent l="0" t="0" r="0" b="0"/>
            <wp:wrapNone/>
            <wp:docPr id="139" name="image74.png" descr=""/>
            <wp:cNvGraphicFramePr>
              <a:graphicFrameLocks noChangeAspect="1"/>
            </wp:cNvGraphicFramePr>
            <a:graphic>
              <a:graphicData uri="http://schemas.openxmlformats.org/drawingml/2006/picture">
                <pic:pic>
                  <pic:nvPicPr>
                    <pic:cNvPr id="140" name="image74.png"/>
                    <pic:cNvPicPr/>
                  </pic:nvPicPr>
                  <pic:blipFill>
                    <a:blip r:embed="rId78" cstate="print"/>
                    <a:stretch>
                      <a:fillRect/>
                    </a:stretch>
                  </pic:blipFill>
                  <pic:spPr>
                    <a:xfrm>
                      <a:off x="0" y="0"/>
                      <a:ext cx="585215" cy="82296"/>
                    </a:xfrm>
                    <a:prstGeom prst="rect">
                      <a:avLst/>
                    </a:prstGeom>
                  </pic:spPr>
                </pic:pic>
              </a:graphicData>
            </a:graphic>
          </wp:anchor>
        </w:drawing>
      </w:r>
      <w:r>
        <w:rPr>
          <w:color w:val="010101"/>
          <w:sz w:val="21"/>
        </w:rPr>
        <w:t>61</w:t>
      </w:r>
    </w:p>
    <w:p>
      <w:pPr>
        <w:pStyle w:val="BodyText"/>
        <w:spacing w:before="8"/>
        <w:rPr>
          <w:sz w:val="13"/>
        </w:rPr>
      </w:pPr>
    </w:p>
    <w:p>
      <w:pPr>
        <w:pStyle w:val="ListParagraph"/>
        <w:numPr>
          <w:ilvl w:val="1"/>
          <w:numId w:val="25"/>
        </w:numPr>
        <w:tabs>
          <w:tab w:pos="493" w:val="left" w:leader="none"/>
          <w:tab w:pos="1487" w:val="left" w:leader="none"/>
        </w:tabs>
        <w:spacing w:line="240" w:lineRule="auto" w:before="77" w:after="0"/>
        <w:ind w:left="492" w:right="0" w:hanging="215"/>
        <w:jc w:val="left"/>
        <w:rPr>
          <w:color w:val="010101"/>
          <w:sz w:val="18"/>
        </w:rPr>
      </w:pPr>
      <w:r>
        <w:rPr>
          <w:color w:val="010101"/>
          <w:sz w:val="18"/>
        </w:rPr>
        <w:t>Show </w:t>
      </w:r>
      <w:r>
        <w:rPr>
          <w:color w:val="010101"/>
          <w:spacing w:val="7"/>
          <w:sz w:val="18"/>
        </w:rPr>
        <w:t> </w:t>
      </w:r>
      <w:r>
        <w:rPr>
          <w:color w:val="010101"/>
          <w:sz w:val="18"/>
        </w:rPr>
        <w:t>that</w:t>
        <w:tab/>
      </w:r>
      <w:r>
        <w:rPr>
          <w:rFonts w:ascii="Arial"/>
          <w:color w:val="010101"/>
          <w:sz w:val="18"/>
        </w:rPr>
        <w:t>-&gt; </w:t>
      </w:r>
      <w:r>
        <w:rPr>
          <w:color w:val="010101"/>
          <w:sz w:val="18"/>
        </w:rPr>
        <w:t>may  be  expressed</w:t>
      </w:r>
      <w:r>
        <w:rPr>
          <w:color w:val="010101"/>
          <w:spacing w:val="12"/>
          <w:sz w:val="18"/>
        </w:rPr>
        <w:t> </w:t>
      </w:r>
      <w:r>
        <w:rPr>
          <w:color w:val="010101"/>
          <w:sz w:val="18"/>
        </w:rPr>
        <w:t>as</w:t>
      </w:r>
    </w:p>
    <w:p>
      <w:pPr>
        <w:tabs>
          <w:tab w:pos="593" w:val="left" w:leader="none"/>
          <w:tab w:pos="1867" w:val="left" w:leader="none"/>
        </w:tabs>
        <w:spacing w:line="192" w:lineRule="exact" w:before="109"/>
        <w:ind w:left="0" w:right="36" w:firstLine="0"/>
        <w:jc w:val="center"/>
        <w:rPr>
          <w:sz w:val="18"/>
        </w:rPr>
      </w:pPr>
      <w:r>
        <w:rPr/>
        <w:pict>
          <v:shape style="position:absolute;margin-left:176.779297pt;margin-top:10.084462pt;width:23.7pt;height:14.5pt;mso-position-horizontal-relative:page;mso-position-vertical-relative:paragraph;z-index:-730552" type="#_x0000_t202" filled="false" stroked="false">
            <v:textbox inset="0,0,0,0">
              <w:txbxContent>
                <w:p>
                  <w:pPr>
                    <w:spacing w:line="290" w:lineRule="exact" w:before="0"/>
                    <w:ind w:left="0" w:right="0" w:firstLine="0"/>
                    <w:jc w:val="left"/>
                    <w:rPr>
                      <w:i/>
                      <w:sz w:val="29"/>
                    </w:rPr>
                  </w:pPr>
                  <w:r>
                    <w:rPr>
                      <w:i/>
                      <w:color w:val="010101"/>
                      <w:w w:val="110"/>
                      <w:sz w:val="29"/>
                    </w:rPr>
                    <w:t>L L</w:t>
                  </w:r>
                </w:p>
              </w:txbxContent>
            </v:textbox>
            <w10:wrap type="none"/>
          </v:shape>
        </w:pict>
      </w:r>
      <w:r>
        <w:rPr>
          <w:color w:val="010101"/>
          <w:spacing w:val="-5"/>
          <w:w w:val="120"/>
          <w:sz w:val="18"/>
        </w:rPr>
        <w:t>(•)</w:t>
        <w:tab/>
      </w:r>
      <w:r>
        <w:rPr>
          <w:color w:val="010101"/>
          <w:w w:val="155"/>
          <w:sz w:val="18"/>
        </w:rPr>
        <w:t>1 </w:t>
      </w:r>
      <w:r>
        <w:rPr>
          <w:color w:val="010101"/>
          <w:spacing w:val="41"/>
          <w:w w:val="155"/>
          <w:sz w:val="18"/>
        </w:rPr>
        <w:t> </w:t>
      </w:r>
      <w:r>
        <w:rPr>
          <w:color w:val="010101"/>
          <w:w w:val="210"/>
          <w:sz w:val="18"/>
        </w:rPr>
        <w:t>•</w:t>
      </w:r>
      <w:r>
        <w:rPr>
          <w:color w:val="010101"/>
          <w:spacing w:val="55"/>
          <w:w w:val="210"/>
          <w:sz w:val="18"/>
        </w:rPr>
        <w:t> </w:t>
      </w:r>
      <w:r>
        <w:rPr>
          <w:color w:val="010101"/>
          <w:w w:val="210"/>
          <w:sz w:val="18"/>
        </w:rPr>
        <w:t>•</w:t>
        <w:tab/>
      </w:r>
      <w:r>
        <w:rPr>
          <w:color w:val="010101"/>
          <w:w w:val="120"/>
          <w:sz w:val="18"/>
        </w:rPr>
        <w:t>.</w:t>
      </w:r>
    </w:p>
    <w:p>
      <w:pPr>
        <w:tabs>
          <w:tab w:pos="364" w:val="left" w:leader="none"/>
          <w:tab w:pos="1531" w:val="left" w:leader="none"/>
        </w:tabs>
        <w:spacing w:line="141" w:lineRule="exact" w:before="0"/>
        <w:ind w:left="0" w:right="23" w:firstLine="0"/>
        <w:jc w:val="center"/>
        <w:rPr>
          <w:sz w:val="16"/>
        </w:rPr>
      </w:pPr>
      <w:r>
        <w:rPr>
          <w:b/>
          <w:color w:val="010101"/>
          <w:w w:val="120"/>
          <w:sz w:val="14"/>
        </w:rPr>
        <w:t>O.</w:t>
        <w:tab/>
      </w:r>
      <w:r>
        <w:rPr>
          <w:color w:val="010101"/>
          <w:w w:val="270"/>
          <w:sz w:val="14"/>
        </w:rPr>
        <w:t>-</w:t>
      </w:r>
      <w:r>
        <w:rPr>
          <w:color w:val="010101"/>
          <w:spacing w:val="-28"/>
          <w:w w:val="270"/>
          <w:sz w:val="14"/>
        </w:rPr>
        <w:t> </w:t>
      </w:r>
      <w:r>
        <w:rPr>
          <w:color w:val="010101"/>
          <w:w w:val="120"/>
          <w:sz w:val="16"/>
          <w:u w:val="thick" w:color="000000"/>
        </w:rPr>
        <w:t>_</w:t>
      </w:r>
      <w:r>
        <w:rPr>
          <w:color w:val="010101"/>
          <w:spacing w:val="25"/>
          <w:w w:val="120"/>
          <w:sz w:val="16"/>
          <w:u w:val="thick" w:color="000000"/>
        </w:rPr>
        <w:t> </w:t>
      </w:r>
      <w:r>
        <w:rPr>
          <w:color w:val="010101"/>
          <w:w w:val="120"/>
          <w:sz w:val="16"/>
          <w:u w:val="thick" w:color="000000"/>
        </w:rPr>
        <w:t>n</w:t>
      </w:r>
      <w:r>
        <w:rPr>
          <w:color w:val="010101"/>
          <w:w w:val="120"/>
          <w:sz w:val="16"/>
        </w:rPr>
        <w:tab/>
        <w:t>Ds+i+'-·</w:t>
      </w:r>
    </w:p>
    <w:p>
      <w:pPr>
        <w:tabs>
          <w:tab w:pos="1857" w:val="left" w:leader="none"/>
        </w:tabs>
        <w:spacing w:line="121" w:lineRule="exact" w:before="0"/>
        <w:ind w:left="483" w:right="0" w:firstLine="0"/>
        <w:jc w:val="center"/>
        <w:rPr>
          <w:rFonts w:ascii="Arial" w:hAnsi="Arial"/>
          <w:sz w:val="12"/>
        </w:rPr>
      </w:pPr>
      <w:r>
        <w:rPr>
          <w:rFonts w:ascii="Arial" w:hAnsi="Arial"/>
          <w:b/>
          <w:color w:val="010101"/>
          <w:w w:val="108"/>
          <w:sz w:val="9"/>
        </w:rPr>
        <w:t>"fflJJ/s</w:t>
      </w:r>
      <w:r>
        <w:rPr>
          <w:rFonts w:ascii="Arial" w:hAnsi="Arial"/>
          <w:b/>
          <w:color w:val="010101"/>
          <w:sz w:val="9"/>
        </w:rPr>
        <w:t>  </w:t>
      </w:r>
      <w:r>
        <w:rPr>
          <w:rFonts w:ascii="Arial" w:hAnsi="Arial"/>
          <w:b/>
          <w:color w:val="010101"/>
          <w:spacing w:val="-5"/>
          <w:sz w:val="9"/>
        </w:rPr>
        <w:t> </w:t>
      </w:r>
      <w:r>
        <w:rPr>
          <w:rFonts w:ascii="Arial" w:hAnsi="Arial"/>
          <w:b/>
          <w:color w:val="010101"/>
          <w:w w:val="121"/>
          <w:sz w:val="13"/>
        </w:rPr>
        <w:t>C-</w:t>
      </w:r>
      <w:r>
        <w:rPr>
          <w:rFonts w:ascii="Arial" w:hAnsi="Arial"/>
          <w:b/>
          <w:color w:val="010101"/>
          <w:spacing w:val="-42"/>
          <w:w w:val="121"/>
          <w:sz w:val="13"/>
        </w:rPr>
        <w:t>t</w:t>
      </w:r>
      <w:r>
        <w:rPr>
          <w:rFonts w:ascii="Arial" w:hAnsi="Arial"/>
          <w:color w:val="010101"/>
          <w:spacing w:val="-166"/>
          <w:w w:val="404"/>
          <w:sz w:val="12"/>
        </w:rPr>
        <w:t>i</w:t>
      </w:r>
      <w:r>
        <w:rPr>
          <w:rFonts w:ascii="Arial" w:hAnsi="Arial"/>
          <w:color w:val="010101"/>
          <w:w w:val="201"/>
          <w:sz w:val="12"/>
        </w:rPr>
        <w:t>-1</w:t>
      </w:r>
      <w:r>
        <w:rPr>
          <w:rFonts w:ascii="Arial" w:hAnsi="Arial"/>
          <w:color w:val="010101"/>
          <w:sz w:val="12"/>
        </w:rPr>
        <w:tab/>
      </w:r>
      <w:r>
        <w:rPr>
          <w:rFonts w:ascii="Arial" w:hAnsi="Arial"/>
          <w:color w:val="010101"/>
          <w:w w:val="298"/>
          <w:sz w:val="12"/>
        </w:rPr>
        <w:t>•</w:t>
      </w:r>
    </w:p>
    <w:p>
      <w:pPr>
        <w:pStyle w:val="BodyText"/>
        <w:spacing w:before="4"/>
        <w:rPr>
          <w:rFonts w:ascii="Arial"/>
          <w:sz w:val="17"/>
        </w:rPr>
      </w:pPr>
    </w:p>
    <w:p>
      <w:pPr>
        <w:spacing w:line="264" w:lineRule="exact" w:before="1"/>
        <w:ind w:left="13" w:right="21" w:firstLine="0"/>
        <w:jc w:val="center"/>
        <w:rPr>
          <w:sz w:val="18"/>
        </w:rPr>
      </w:pPr>
      <w:r>
        <w:rPr>
          <w:b/>
          <w:color w:val="010101"/>
          <w:w w:val="115"/>
          <w:sz w:val="17"/>
        </w:rPr>
        <w:t>Making </w:t>
      </w:r>
      <w:r>
        <w:rPr>
          <w:color w:val="010101"/>
          <w:w w:val="115"/>
          <w:sz w:val="18"/>
        </w:rPr>
        <w:t>the aseumption </w:t>
      </w:r>
      <w:r>
        <w:rPr>
          <w:color w:val="010101"/>
          <w:w w:val="115"/>
          <w:sz w:val="16"/>
        </w:rPr>
        <w:t>Ds+,4. '-! Ds+1 </w:t>
      </w:r>
      <w:r>
        <w:rPr>
          <w:rFonts w:ascii="Arial"/>
          <w:color w:val="010101"/>
          <w:w w:val="115"/>
          <w:sz w:val="27"/>
        </w:rPr>
        <w:t>+</w:t>
      </w:r>
      <w:r>
        <w:rPr>
          <w:rFonts w:ascii="Arial"/>
          <w:color w:val="010101"/>
          <w:spacing w:val="-52"/>
          <w:w w:val="115"/>
          <w:sz w:val="27"/>
        </w:rPr>
        <w:t> </w:t>
      </w:r>
      <w:r>
        <w:rPr>
          <w:rFonts w:ascii="Arial"/>
          <w:i/>
          <w:color w:val="010101"/>
          <w:w w:val="115"/>
          <w:sz w:val="27"/>
        </w:rPr>
        <w:t>!.</w:t>
      </w:r>
      <w:r>
        <w:rPr>
          <w:rFonts w:ascii="Arial"/>
          <w:i/>
          <w:color w:val="010101"/>
          <w:spacing w:val="-67"/>
          <w:w w:val="115"/>
          <w:sz w:val="27"/>
        </w:rPr>
        <w:t> </w:t>
      </w:r>
      <w:r>
        <w:rPr>
          <w:color w:val="010101"/>
          <w:w w:val="105"/>
          <w:sz w:val="16"/>
        </w:rPr>
        <w:t>(Da+1+1 </w:t>
      </w:r>
      <w:r>
        <w:rPr>
          <w:color w:val="010101"/>
          <w:w w:val="270"/>
          <w:sz w:val="16"/>
        </w:rPr>
        <w:t>-</w:t>
      </w:r>
      <w:r>
        <w:rPr>
          <w:color w:val="010101"/>
          <w:spacing w:val="-73"/>
          <w:w w:val="270"/>
          <w:sz w:val="16"/>
        </w:rPr>
        <w:t> </w:t>
      </w:r>
      <w:r>
        <w:rPr>
          <w:color w:val="010101"/>
          <w:w w:val="115"/>
          <w:sz w:val="16"/>
        </w:rPr>
        <w:t>D.+a), </w:t>
      </w:r>
      <w:r>
        <w:rPr>
          <w:color w:val="010101"/>
          <w:w w:val="115"/>
          <w:sz w:val="18"/>
        </w:rPr>
        <w:t>derive the</w:t>
      </w:r>
    </w:p>
    <w:p>
      <w:pPr>
        <w:pStyle w:val="ListParagraph"/>
        <w:numPr>
          <w:ilvl w:val="2"/>
          <w:numId w:val="25"/>
        </w:numPr>
        <w:tabs>
          <w:tab w:pos="3492" w:val="left" w:leader="none"/>
        </w:tabs>
        <w:spacing w:line="138" w:lineRule="exact" w:before="0" w:after="0"/>
        <w:ind w:left="3491" w:right="0" w:hanging="1031"/>
        <w:jc w:val="left"/>
        <w:rPr>
          <w:rFonts w:ascii="Arial"/>
          <w:sz w:val="16"/>
        </w:rPr>
      </w:pPr>
      <w:r>
        <w:rPr>
          <w:rFonts w:ascii="Arial"/>
          <w:b/>
          <w:i/>
          <w:color w:val="010101"/>
          <w:w w:val="101"/>
          <w:sz w:val="16"/>
        </w:rPr>
        <w:t>m</w:t>
      </w:r>
      <w:r>
        <w:rPr>
          <w:rFonts w:ascii="Arial"/>
          <w:sz w:val="16"/>
        </w:rPr>
      </w:r>
    </w:p>
    <w:p>
      <w:pPr>
        <w:spacing w:before="6"/>
        <w:ind w:left="127" w:right="739" w:firstLine="0"/>
        <w:jc w:val="left"/>
        <w:rPr>
          <w:sz w:val="27"/>
        </w:rPr>
      </w:pPr>
      <w:r>
        <w:rPr>
          <w:color w:val="010101"/>
          <w:w w:val="102"/>
          <w:sz w:val="18"/>
        </w:rPr>
        <w:t>formula</w:t>
      </w:r>
      <w:r>
        <w:rPr>
          <w:color w:val="010101"/>
          <w:sz w:val="18"/>
        </w:rPr>
        <w:t> </w:t>
      </w:r>
      <w:r>
        <w:rPr>
          <w:color w:val="010101"/>
          <w:spacing w:val="-18"/>
          <w:sz w:val="18"/>
        </w:rPr>
        <w:t> </w:t>
      </w:r>
      <w:r>
        <w:rPr>
          <w:rFonts w:ascii="Arial" w:hAnsi="Arial"/>
          <w:color w:val="010101"/>
          <w:spacing w:val="-21"/>
          <w:w w:val="108"/>
          <w:sz w:val="19"/>
        </w:rPr>
        <w:t>a</w:t>
      </w:r>
      <w:r>
        <w:rPr>
          <w:rFonts w:ascii="Courier New" w:hAnsi="Courier New"/>
          <w:color w:val="010101"/>
          <w:spacing w:val="-125"/>
          <w:w w:val="116"/>
          <w:position w:val="10"/>
          <w:sz w:val="20"/>
        </w:rPr>
        <w:t>(</w:t>
      </w:r>
      <w:r>
        <w:rPr>
          <w:rFonts w:ascii="Arial" w:hAnsi="Arial"/>
          <w:color w:val="010101"/>
          <w:spacing w:val="-30"/>
          <w:w w:val="108"/>
          <w:sz w:val="19"/>
        </w:rPr>
        <w:t>.</w:t>
      </w:r>
      <w:r>
        <w:rPr>
          <w:rFonts w:ascii="Arial" w:hAnsi="Arial"/>
          <w:color w:val="010101"/>
          <w:spacing w:val="-31"/>
          <w:w w:val="179"/>
          <w:sz w:val="19"/>
        </w:rPr>
        <w:t>•</w:t>
      </w:r>
      <w:r>
        <w:rPr>
          <w:rFonts w:ascii="Arial" w:hAnsi="Arial"/>
          <w:color w:val="010101"/>
          <w:w w:val="37"/>
          <w:sz w:val="19"/>
        </w:rPr>
        <w:t>&gt;</w:t>
      </w:r>
      <w:r>
        <w:rPr>
          <w:rFonts w:ascii="Arial" w:hAnsi="Arial"/>
          <w:color w:val="010101"/>
          <w:sz w:val="19"/>
        </w:rPr>
        <w:t> </w:t>
      </w:r>
      <w:r>
        <w:rPr>
          <w:rFonts w:ascii="Arial" w:hAnsi="Arial"/>
          <w:color w:val="010101"/>
          <w:spacing w:val="-23"/>
          <w:sz w:val="19"/>
        </w:rPr>
        <w:t> </w:t>
      </w:r>
      <w:r>
        <w:rPr>
          <w:color w:val="010101"/>
          <w:w w:val="110"/>
          <w:sz w:val="16"/>
        </w:rPr>
        <w:t>'-!</w:t>
      </w:r>
      <w:r>
        <w:rPr>
          <w:color w:val="010101"/>
          <w:sz w:val="16"/>
        </w:rPr>
        <w:t> </w:t>
      </w:r>
      <w:r>
        <w:rPr>
          <w:color w:val="010101"/>
          <w:spacing w:val="-16"/>
          <w:sz w:val="16"/>
        </w:rPr>
        <w:t> </w:t>
      </w:r>
      <w:r>
        <w:rPr>
          <w:i/>
          <w:color w:val="010101"/>
          <w:w w:val="102"/>
          <w:sz w:val="22"/>
        </w:rPr>
        <w:t>a.</w:t>
      </w:r>
      <w:r>
        <w:rPr>
          <w:i/>
          <w:color w:val="010101"/>
          <w:spacing w:val="-13"/>
          <w:sz w:val="22"/>
        </w:rPr>
        <w:t> </w:t>
      </w:r>
      <w:r>
        <w:rPr>
          <w:rFonts w:ascii="Arial" w:hAnsi="Arial"/>
          <w:color w:val="010101"/>
          <w:w w:val="103"/>
          <w:sz w:val="27"/>
        </w:rPr>
        <w:t>+</w:t>
      </w:r>
      <w:r>
        <w:rPr>
          <w:rFonts w:ascii="Arial" w:hAnsi="Arial"/>
          <w:color w:val="010101"/>
          <w:spacing w:val="-33"/>
          <w:sz w:val="27"/>
        </w:rPr>
        <w:t> </w:t>
      </w:r>
      <w:r>
        <w:rPr>
          <w:rFonts w:ascii="Courier New" w:hAnsi="Courier New"/>
          <w:color w:val="010101"/>
          <w:spacing w:val="-136"/>
          <w:w w:val="111"/>
          <w:position w:val="12"/>
          <w:sz w:val="20"/>
        </w:rPr>
        <w:t>m</w:t>
      </w:r>
      <w:r>
        <w:rPr>
          <w:color w:val="010101"/>
          <w:w w:val="89"/>
          <w:sz w:val="27"/>
        </w:rPr>
        <w:t>--</w:t>
      </w:r>
      <w:r>
        <w:rPr>
          <w:color w:val="010101"/>
          <w:spacing w:val="-52"/>
          <w:w w:val="89"/>
          <w:sz w:val="27"/>
        </w:rPr>
        <w:t>¡</w:t>
      </w:r>
      <w:r>
        <w:rPr>
          <w:rFonts w:ascii="Courier New" w:hAnsi="Courier New"/>
          <w:color w:val="010101"/>
          <w:spacing w:val="-148"/>
          <w:w w:val="138"/>
          <w:position w:val="12"/>
          <w:sz w:val="20"/>
        </w:rPr>
        <w:t>-</w:t>
      </w:r>
      <w:r>
        <w:rPr>
          <w:color w:val="010101"/>
          <w:w w:val="89"/>
          <w:sz w:val="27"/>
        </w:rPr>
        <w:t>;;</w:t>
      </w:r>
      <w:r>
        <w:rPr>
          <w:color w:val="010101"/>
          <w:spacing w:val="-19"/>
          <w:w w:val="89"/>
          <w:sz w:val="27"/>
        </w:rPr>
        <w:t>;</w:t>
      </w:r>
      <w:r>
        <w:rPr>
          <w:rFonts w:ascii="Courier New" w:hAnsi="Courier New"/>
          <w:color w:val="010101"/>
          <w:spacing w:val="-76"/>
          <w:w w:val="78"/>
          <w:position w:val="12"/>
          <w:sz w:val="20"/>
        </w:rPr>
        <w:t>1</w:t>
      </w:r>
      <w:r>
        <w:rPr>
          <w:color w:val="010101"/>
          <w:w w:val="89"/>
          <w:sz w:val="27"/>
        </w:rPr>
        <w:t>-.</w:t>
      </w:r>
    </w:p>
    <w:p>
      <w:pPr>
        <w:pStyle w:val="ListParagraph"/>
        <w:numPr>
          <w:ilvl w:val="1"/>
          <w:numId w:val="25"/>
        </w:numPr>
        <w:tabs>
          <w:tab w:pos="579" w:val="left" w:leader="none"/>
        </w:tabs>
        <w:spacing w:line="235" w:lineRule="auto" w:before="89" w:after="0"/>
        <w:ind w:left="127" w:right="139" w:firstLine="172"/>
        <w:jc w:val="both"/>
        <w:rPr>
          <w:color w:val="010101"/>
          <w:sz w:val="17"/>
        </w:rPr>
      </w:pPr>
      <w:r>
        <w:rPr>
          <w:color w:val="010101"/>
          <w:w w:val="105"/>
          <w:sz w:val="18"/>
        </w:rPr>
        <w:t>Give </w:t>
      </w:r>
      <w:r>
        <w:rPr>
          <w:rFonts w:ascii="Arial"/>
          <w:color w:val="010101"/>
          <w:w w:val="105"/>
          <w:sz w:val="15"/>
        </w:rPr>
        <w:t>a </w:t>
      </w:r>
      <w:r>
        <w:rPr>
          <w:color w:val="010101"/>
          <w:w w:val="105"/>
          <w:sz w:val="18"/>
        </w:rPr>
        <w:t>formula in eommutation funetions for the net single premium for an annuity of </w:t>
      </w:r>
      <w:r>
        <w:rPr>
          <w:color w:val="010101"/>
          <w:spacing w:val="-20"/>
          <w:w w:val="105"/>
          <w:sz w:val="17"/>
        </w:rPr>
        <w:t>$10 </w:t>
      </w:r>
      <w:r>
        <w:rPr>
          <w:color w:val="010101"/>
          <w:w w:val="105"/>
          <w:sz w:val="18"/>
        </w:rPr>
        <w:t>per month to </w:t>
      </w:r>
      <w:r>
        <w:rPr>
          <w:color w:val="010101"/>
          <w:w w:val="105"/>
          <w:sz w:val="17"/>
        </w:rPr>
        <w:t>(30), </w:t>
      </w:r>
      <w:r>
        <w:rPr>
          <w:color w:val="010101"/>
          <w:w w:val="105"/>
          <w:sz w:val="18"/>
        </w:rPr>
        <w:t>firet payment at age </w:t>
      </w:r>
      <w:r>
        <w:rPr>
          <w:color w:val="010101"/>
          <w:w w:val="105"/>
          <w:sz w:val="17"/>
        </w:rPr>
        <w:t>40 </w:t>
      </w:r>
      <w:r>
        <w:rPr>
          <w:color w:val="010101"/>
          <w:w w:val="105"/>
          <w:sz w:val="18"/>
        </w:rPr>
        <w:t>and payable monthly  thereafter  for  </w:t>
      </w:r>
      <w:r>
        <w:rPr>
          <w:color w:val="010101"/>
          <w:spacing w:val="-22"/>
          <w:w w:val="105"/>
          <w:sz w:val="17"/>
        </w:rPr>
        <w:t>10  </w:t>
      </w:r>
      <w:r>
        <w:rPr>
          <w:color w:val="010101"/>
          <w:w w:val="105"/>
          <w:sz w:val="18"/>
        </w:rPr>
        <w:t>years, using the standard</w:t>
      </w:r>
      <w:r>
        <w:rPr>
          <w:color w:val="010101"/>
          <w:spacing w:val="28"/>
          <w:w w:val="105"/>
          <w:sz w:val="18"/>
        </w:rPr>
        <w:t> </w:t>
      </w:r>
      <w:r>
        <w:rPr>
          <w:color w:val="010101"/>
          <w:w w:val="105"/>
          <w:sz w:val="18"/>
        </w:rPr>
        <w:t>approximation.</w:t>
      </w:r>
    </w:p>
    <w:p>
      <w:pPr>
        <w:pStyle w:val="BodyText"/>
        <w:spacing w:before="4"/>
        <w:rPr>
          <w:sz w:val="14"/>
        </w:rPr>
      </w:pPr>
    </w:p>
    <w:p>
      <w:pPr>
        <w:spacing w:line="186" w:lineRule="exact" w:before="1"/>
        <w:ind w:left="116" w:right="739" w:firstLine="0"/>
        <w:jc w:val="left"/>
        <w:rPr>
          <w:b/>
          <w:sz w:val="17"/>
        </w:rPr>
      </w:pPr>
      <w:r>
        <w:rPr>
          <w:color w:val="010101"/>
          <w:w w:val="125"/>
          <w:sz w:val="17"/>
        </w:rPr>
        <w:t>-'·Continuoua </w:t>
      </w:r>
      <w:r>
        <w:rPr>
          <w:b/>
          <w:color w:val="010101"/>
          <w:w w:val="125"/>
          <w:sz w:val="17"/>
        </w:rPr>
        <w:t>annuitiea</w:t>
      </w:r>
    </w:p>
    <w:p>
      <w:pPr>
        <w:pStyle w:val="ListParagraph"/>
        <w:numPr>
          <w:ilvl w:val="1"/>
          <w:numId w:val="25"/>
        </w:numPr>
        <w:tabs>
          <w:tab w:pos="575" w:val="left" w:leader="none"/>
        </w:tabs>
        <w:spacing w:line="312" w:lineRule="exact" w:before="0" w:after="0"/>
        <w:ind w:left="574" w:right="0" w:hanging="279"/>
        <w:jc w:val="left"/>
        <w:rPr>
          <w:rFonts w:ascii="Arial"/>
          <w:color w:val="010101"/>
          <w:sz w:val="17"/>
        </w:rPr>
      </w:pPr>
      <w:r>
        <w:rPr>
          <w:color w:val="010101"/>
          <w:w w:val="97"/>
          <w:sz w:val="18"/>
        </w:rPr>
        <w:t>Show</w:t>
      </w:r>
      <w:r>
        <w:rPr>
          <w:color w:val="010101"/>
          <w:sz w:val="18"/>
        </w:rPr>
        <w:t> </w:t>
      </w:r>
      <w:r>
        <w:rPr>
          <w:color w:val="010101"/>
          <w:spacing w:val="-13"/>
          <w:sz w:val="18"/>
        </w:rPr>
        <w:t> </w:t>
      </w:r>
      <w:r>
        <w:rPr>
          <w:color w:val="010101"/>
          <w:w w:val="114"/>
          <w:sz w:val="18"/>
        </w:rPr>
        <w:t>that</w:t>
      </w:r>
      <w:r>
        <w:rPr>
          <w:color w:val="010101"/>
          <w:sz w:val="18"/>
        </w:rPr>
        <w:t> </w:t>
      </w:r>
      <w:r>
        <w:rPr>
          <w:color w:val="010101"/>
          <w:spacing w:val="-17"/>
          <w:sz w:val="18"/>
        </w:rPr>
        <w:t> </w:t>
      </w:r>
      <w:r>
        <w:rPr>
          <w:color w:val="010101"/>
          <w:w w:val="100"/>
          <w:sz w:val="15"/>
        </w:rPr>
        <w:t>cls</w:t>
      </w:r>
      <w:r>
        <w:rPr>
          <w:color w:val="010101"/>
          <w:spacing w:val="-10"/>
          <w:w w:val="100"/>
          <w:sz w:val="15"/>
        </w:rPr>
        <w:t>:</w:t>
      </w:r>
      <w:r>
        <w:rPr>
          <w:color w:val="010101"/>
          <w:w w:val="110"/>
          <w:sz w:val="15"/>
        </w:rPr>
        <w:t>;J</w:t>
      </w:r>
      <w:r>
        <w:rPr>
          <w:color w:val="010101"/>
          <w:sz w:val="15"/>
        </w:rPr>
        <w:t>  </w:t>
      </w:r>
      <w:r>
        <w:rPr>
          <w:color w:val="010101"/>
          <w:w w:val="106"/>
          <w:sz w:val="16"/>
        </w:rPr>
        <w:t>'-!</w:t>
      </w:r>
      <w:r>
        <w:rPr>
          <w:color w:val="010101"/>
          <w:sz w:val="16"/>
        </w:rPr>
        <w:t> </w:t>
      </w:r>
      <w:r>
        <w:rPr>
          <w:color w:val="010101"/>
          <w:spacing w:val="-11"/>
          <w:sz w:val="16"/>
        </w:rPr>
        <w:t> </w:t>
      </w:r>
      <w:r>
        <w:rPr>
          <w:color w:val="010101"/>
          <w:w w:val="96"/>
          <w:sz w:val="15"/>
        </w:rPr>
        <w:t>Gs</w:t>
      </w:r>
      <w:r>
        <w:rPr>
          <w:color w:val="010101"/>
          <w:spacing w:val="-6"/>
          <w:w w:val="96"/>
          <w:sz w:val="15"/>
        </w:rPr>
        <w:t>:</w:t>
      </w:r>
      <w:r>
        <w:rPr>
          <w:color w:val="010101"/>
          <w:w w:val="110"/>
          <w:sz w:val="15"/>
        </w:rPr>
        <w:t>;J</w:t>
      </w:r>
      <w:r>
        <w:rPr>
          <w:color w:val="010101"/>
          <w:sz w:val="15"/>
        </w:rPr>
        <w:t> </w:t>
      </w:r>
      <w:r>
        <w:rPr>
          <w:color w:val="010101"/>
          <w:spacing w:val="-11"/>
          <w:sz w:val="15"/>
        </w:rPr>
        <w:t> </w:t>
      </w:r>
      <w:r>
        <w:rPr>
          <w:rFonts w:ascii="Arial"/>
          <w:color w:val="010101"/>
          <w:w w:val="97"/>
          <w:sz w:val="28"/>
        </w:rPr>
        <w:t>+</w:t>
      </w:r>
      <w:r>
        <w:rPr>
          <w:rFonts w:ascii="Arial"/>
          <w:color w:val="010101"/>
          <w:spacing w:val="-27"/>
          <w:sz w:val="28"/>
        </w:rPr>
        <w:t> </w:t>
      </w:r>
      <w:r>
        <w:rPr>
          <w:color w:val="010101"/>
          <w:w w:val="150"/>
          <w:sz w:val="17"/>
        </w:rPr>
        <w:t>i</w:t>
      </w:r>
      <w:r>
        <w:rPr>
          <w:color w:val="010101"/>
          <w:w w:val="150"/>
          <w:sz w:val="17"/>
        </w:rPr>
        <w:t>(</w:t>
      </w:r>
      <w:r>
        <w:rPr>
          <w:color w:val="010101"/>
          <w:w w:val="150"/>
          <w:sz w:val="17"/>
        </w:rPr>
        <w:t>l</w:t>
      </w:r>
      <w:r>
        <w:rPr>
          <w:color w:val="010101"/>
          <w:sz w:val="17"/>
        </w:rPr>
        <w:t> </w:t>
      </w:r>
      <w:r>
        <w:rPr>
          <w:color w:val="010101"/>
          <w:spacing w:val="-9"/>
          <w:sz w:val="17"/>
        </w:rPr>
        <w:t> </w:t>
      </w:r>
      <w:r>
        <w:rPr>
          <w:color w:val="010101"/>
          <w:spacing w:val="9"/>
          <w:w w:val="280"/>
          <w:sz w:val="17"/>
        </w:rPr>
        <w:t>-</w:t>
      </w:r>
      <w:r>
        <w:rPr>
          <w:rFonts w:ascii="Arial"/>
          <w:color w:val="010101"/>
          <w:spacing w:val="-223"/>
          <w:w w:val="256"/>
          <w:sz w:val="19"/>
        </w:rPr>
        <w:t>J</w:t>
      </w:r>
      <w:r>
        <w:rPr>
          <w:rFonts w:ascii="Arial"/>
          <w:color w:val="010101"/>
          <w:spacing w:val="-234"/>
          <w:w w:val="317"/>
          <w:sz w:val="19"/>
        </w:rPr>
        <w:t>.</w:t>
      </w:r>
      <w:r>
        <w:rPr>
          <w:rFonts w:ascii="Arial"/>
          <w:color w:val="010101"/>
          <w:w w:val="109"/>
          <w:sz w:val="19"/>
        </w:rPr>
        <w:t>)</w:t>
      </w:r>
    </w:p>
    <w:p>
      <w:pPr>
        <w:spacing w:line="270" w:lineRule="exact" w:before="43"/>
        <w:ind w:left="1834" w:right="739" w:firstLine="0"/>
        <w:jc w:val="left"/>
        <w:rPr>
          <w:sz w:val="15"/>
        </w:rPr>
      </w:pPr>
      <w:r>
        <w:rPr>
          <w:color w:val="010101"/>
          <w:w w:val="110"/>
          <w:sz w:val="23"/>
        </w:rPr>
        <w:t>= </w:t>
      </w:r>
      <w:r>
        <w:rPr>
          <w:color w:val="010101"/>
          <w:w w:val="110"/>
          <w:sz w:val="17"/>
        </w:rPr>
        <w:t>i(da:;J </w:t>
      </w:r>
      <w:r>
        <w:rPr>
          <w:color w:val="010101"/>
          <w:w w:val="110"/>
          <w:sz w:val="24"/>
        </w:rPr>
        <w:t>+ </w:t>
      </w:r>
      <w:r>
        <w:rPr>
          <w:color w:val="010101"/>
          <w:w w:val="110"/>
          <w:sz w:val="15"/>
        </w:rPr>
        <w:t>Gs:;J).</w:t>
      </w:r>
    </w:p>
    <w:p>
      <w:pPr>
        <w:pStyle w:val="ListParagraph"/>
        <w:numPr>
          <w:ilvl w:val="1"/>
          <w:numId w:val="25"/>
        </w:numPr>
        <w:tabs>
          <w:tab w:pos="582" w:val="left" w:leader="none"/>
        </w:tabs>
        <w:spacing w:line="220" w:lineRule="auto" w:before="14" w:after="0"/>
        <w:ind w:left="120" w:right="124" w:firstLine="175"/>
        <w:jc w:val="both"/>
        <w:rPr>
          <w:color w:val="010101"/>
          <w:sz w:val="18"/>
        </w:rPr>
      </w:pPr>
      <w:r>
        <w:rPr>
          <w:rFonts w:ascii="Arial"/>
          <w:color w:val="010101"/>
          <w:w w:val="130"/>
          <w:sz w:val="17"/>
        </w:rPr>
        <w:t>If</w:t>
      </w:r>
      <w:r>
        <w:rPr>
          <w:rFonts w:ascii="Arial"/>
          <w:color w:val="010101"/>
          <w:spacing w:val="-36"/>
          <w:w w:val="130"/>
          <w:sz w:val="17"/>
        </w:rPr>
        <w:t> </w:t>
      </w:r>
      <w:r>
        <w:rPr>
          <w:color w:val="010101"/>
          <w:w w:val="110"/>
          <w:sz w:val="18"/>
        </w:rPr>
        <w:t>deaths</w:t>
      </w:r>
      <w:r>
        <w:rPr>
          <w:color w:val="010101"/>
          <w:spacing w:val="-7"/>
          <w:w w:val="110"/>
          <w:sz w:val="18"/>
        </w:rPr>
        <w:t> </w:t>
      </w:r>
      <w:r>
        <w:rPr>
          <w:color w:val="010101"/>
          <w:w w:val="110"/>
          <w:sz w:val="18"/>
        </w:rPr>
        <w:t>in</w:t>
      </w:r>
      <w:r>
        <w:rPr>
          <w:color w:val="010101"/>
          <w:spacing w:val="-13"/>
          <w:w w:val="110"/>
          <w:sz w:val="18"/>
        </w:rPr>
        <w:t> </w:t>
      </w:r>
      <w:r>
        <w:rPr>
          <w:color w:val="010101"/>
          <w:w w:val="110"/>
          <w:sz w:val="18"/>
        </w:rPr>
        <w:t>the</w:t>
      </w:r>
      <w:r>
        <w:rPr>
          <w:color w:val="010101"/>
          <w:spacing w:val="-7"/>
          <w:w w:val="110"/>
          <w:sz w:val="18"/>
        </w:rPr>
        <w:t> </w:t>
      </w:r>
      <w:r>
        <w:rPr>
          <w:color w:val="010101"/>
          <w:w w:val="110"/>
          <w:sz w:val="18"/>
        </w:rPr>
        <w:t>year</w:t>
      </w:r>
      <w:r>
        <w:rPr>
          <w:color w:val="010101"/>
          <w:spacing w:val="-1"/>
          <w:w w:val="110"/>
          <w:sz w:val="18"/>
        </w:rPr>
        <w:t> </w:t>
      </w:r>
      <w:r>
        <w:rPr>
          <w:color w:val="010101"/>
          <w:w w:val="110"/>
          <w:sz w:val="18"/>
        </w:rPr>
        <w:t>of</w:t>
      </w:r>
      <w:r>
        <w:rPr>
          <w:color w:val="010101"/>
          <w:spacing w:val="3"/>
          <w:w w:val="110"/>
          <w:sz w:val="18"/>
        </w:rPr>
        <w:t> </w:t>
      </w:r>
      <w:r>
        <w:rPr>
          <w:color w:val="010101"/>
          <w:w w:val="110"/>
          <w:sz w:val="18"/>
        </w:rPr>
        <w:t>age</w:t>
      </w:r>
      <w:r>
        <w:rPr>
          <w:color w:val="010101"/>
          <w:spacing w:val="-16"/>
          <w:w w:val="110"/>
          <w:sz w:val="18"/>
        </w:rPr>
        <w:t> </w:t>
      </w:r>
      <w:r>
        <w:rPr>
          <w:i/>
          <w:color w:val="010101"/>
          <w:w w:val="110"/>
          <w:sz w:val="19"/>
        </w:rPr>
        <w:t>z</w:t>
      </w:r>
      <w:r>
        <w:rPr>
          <w:i/>
          <w:color w:val="010101"/>
          <w:spacing w:val="-1"/>
          <w:w w:val="110"/>
          <w:sz w:val="19"/>
        </w:rPr>
        <w:t> </w:t>
      </w:r>
      <w:r>
        <w:rPr>
          <w:color w:val="010101"/>
          <w:w w:val="110"/>
          <w:sz w:val="18"/>
        </w:rPr>
        <w:t>to</w:t>
      </w:r>
      <w:r>
        <w:rPr>
          <w:color w:val="010101"/>
          <w:spacing w:val="-15"/>
          <w:w w:val="110"/>
          <w:sz w:val="18"/>
        </w:rPr>
        <w:t> </w:t>
      </w:r>
      <w:r>
        <w:rPr>
          <w:i/>
          <w:color w:val="010101"/>
          <w:w w:val="110"/>
          <w:sz w:val="19"/>
        </w:rPr>
        <w:t>z</w:t>
      </w:r>
      <w:r>
        <w:rPr>
          <w:i/>
          <w:color w:val="010101"/>
          <w:spacing w:val="5"/>
          <w:w w:val="110"/>
          <w:sz w:val="19"/>
        </w:rPr>
        <w:t> </w:t>
      </w:r>
      <w:r>
        <w:rPr>
          <w:rFonts w:ascii="Arial"/>
          <w:color w:val="010101"/>
          <w:w w:val="110"/>
          <w:sz w:val="28"/>
        </w:rPr>
        <w:t>+</w:t>
      </w:r>
      <w:r>
        <w:rPr>
          <w:rFonts w:ascii="Arial"/>
          <w:color w:val="010101"/>
          <w:spacing w:val="-45"/>
          <w:w w:val="110"/>
          <w:sz w:val="28"/>
        </w:rPr>
        <w:t> </w:t>
      </w:r>
      <w:r>
        <w:rPr>
          <w:color w:val="010101"/>
          <w:w w:val="110"/>
          <w:sz w:val="18"/>
        </w:rPr>
        <w:t>1</w:t>
      </w:r>
      <w:r>
        <w:rPr>
          <w:rFonts w:ascii="Arial"/>
          <w:color w:val="010101"/>
          <w:w w:val="110"/>
          <w:sz w:val="16"/>
        </w:rPr>
        <w:t>are</w:t>
      </w:r>
      <w:r>
        <w:rPr>
          <w:rFonts w:ascii="Arial"/>
          <w:color w:val="010101"/>
          <w:spacing w:val="-11"/>
          <w:w w:val="110"/>
          <w:sz w:val="16"/>
        </w:rPr>
        <w:t> </w:t>
      </w:r>
      <w:r>
        <w:rPr>
          <w:color w:val="010101"/>
          <w:w w:val="110"/>
          <w:sz w:val="18"/>
        </w:rPr>
        <w:t>uniformly</w:t>
      </w:r>
      <w:r>
        <w:rPr>
          <w:color w:val="010101"/>
          <w:spacing w:val="7"/>
          <w:w w:val="110"/>
          <w:sz w:val="18"/>
        </w:rPr>
        <w:t> </w:t>
      </w:r>
      <w:r>
        <w:rPr>
          <w:color w:val="010101"/>
          <w:w w:val="110"/>
          <w:sz w:val="18"/>
        </w:rPr>
        <w:t>distributed</w:t>
      </w:r>
      <w:r>
        <w:rPr>
          <w:color w:val="010101"/>
          <w:spacing w:val="4"/>
          <w:w w:val="110"/>
          <w:sz w:val="18"/>
        </w:rPr>
        <w:t> </w:t>
      </w:r>
      <w:r>
        <w:rPr>
          <w:color w:val="010101"/>
          <w:w w:val="110"/>
          <w:sz w:val="18"/>
        </w:rPr>
        <w:t>over that year of age, show</w:t>
      </w:r>
      <w:r>
        <w:rPr>
          <w:color w:val="010101"/>
          <w:spacing w:val="34"/>
          <w:w w:val="110"/>
          <w:sz w:val="18"/>
        </w:rPr>
        <w:t> </w:t>
      </w:r>
      <w:r>
        <w:rPr>
          <w:color w:val="010101"/>
          <w:w w:val="110"/>
          <w:sz w:val="18"/>
        </w:rPr>
        <w:t>that</w:t>
      </w:r>
    </w:p>
    <w:p>
      <w:pPr>
        <w:spacing w:after="0" w:line="220" w:lineRule="auto"/>
        <w:jc w:val="both"/>
        <w:rPr>
          <w:sz w:val="18"/>
        </w:rPr>
        <w:sectPr>
          <w:pgSz w:w="7200" w:h="11340"/>
          <w:pgMar w:top="500" w:bottom="280" w:left="660" w:right="560"/>
        </w:sectPr>
      </w:pPr>
    </w:p>
    <w:p>
      <w:pPr>
        <w:pStyle w:val="BodyText"/>
        <w:spacing w:before="4"/>
        <w:rPr>
          <w:sz w:val="21"/>
        </w:rPr>
      </w:pPr>
    </w:p>
    <w:p>
      <w:pPr>
        <w:spacing w:before="0"/>
        <w:ind w:left="0" w:right="0" w:firstLine="0"/>
        <w:jc w:val="right"/>
        <w:rPr>
          <w:sz w:val="16"/>
        </w:rPr>
      </w:pPr>
      <w:r>
        <w:rPr>
          <w:color w:val="010101"/>
          <w:w w:val="105"/>
          <w:sz w:val="16"/>
        </w:rPr>
        <w:t>{a)</w:t>
      </w:r>
    </w:p>
    <w:p>
      <w:pPr>
        <w:spacing w:line="608" w:lineRule="exact" w:before="0"/>
        <w:ind w:left="452" w:right="0" w:firstLine="0"/>
        <w:jc w:val="left"/>
        <w:rPr>
          <w:sz w:val="16"/>
        </w:rPr>
      </w:pPr>
      <w:r>
        <w:rPr/>
        <w:br w:type="column"/>
      </w:r>
      <w:r>
        <w:rPr>
          <w:rFonts w:ascii="Arial" w:hAnsi="Arial"/>
          <w:i/>
          <w:color w:val="010101"/>
          <w:w w:val="106"/>
          <w:sz w:val="20"/>
        </w:rPr>
        <w:t>D.</w:t>
      </w:r>
      <w:r>
        <w:rPr>
          <w:rFonts w:ascii="Arial" w:hAnsi="Arial"/>
          <w:i/>
          <w:color w:val="010101"/>
          <w:spacing w:val="-16"/>
          <w:sz w:val="20"/>
        </w:rPr>
        <w:t> </w:t>
      </w:r>
      <w:r>
        <w:rPr>
          <w:color w:val="010101"/>
          <w:w w:val="89"/>
          <w:sz w:val="23"/>
        </w:rPr>
        <w:t>=</w:t>
      </w:r>
      <w:r>
        <w:rPr>
          <w:color w:val="010101"/>
          <w:sz w:val="23"/>
        </w:rPr>
        <w:t> </w:t>
      </w:r>
      <w:r>
        <w:rPr>
          <w:color w:val="010101"/>
          <w:spacing w:val="-28"/>
          <w:sz w:val="23"/>
        </w:rPr>
        <w:t> </w:t>
      </w:r>
      <w:r>
        <w:rPr>
          <w:rFonts w:ascii="Arial" w:hAnsi="Arial"/>
          <w:color w:val="010101"/>
          <w:spacing w:val="-42"/>
          <w:w w:val="90"/>
          <w:position w:val="-6"/>
          <w:sz w:val="49"/>
        </w:rPr>
        <w:t>(</w:t>
      </w:r>
      <w:r>
        <w:rPr>
          <w:rFonts w:ascii="Arial" w:hAnsi="Arial"/>
          <w:color w:val="010101"/>
          <w:spacing w:val="-59"/>
          <w:w w:val="19"/>
          <w:position w:val="7"/>
          <w:sz w:val="49"/>
        </w:rPr>
        <w:t>&amp;</w:t>
      </w:r>
      <w:r>
        <w:rPr>
          <w:rFonts w:ascii="Arial" w:hAnsi="Arial"/>
          <w:color w:val="010101"/>
          <w:spacing w:val="-84"/>
          <w:w w:val="111"/>
          <w:sz w:val="33"/>
        </w:rPr>
        <w:t>a</w:t>
      </w:r>
      <w:r>
        <w:rPr>
          <w:rFonts w:ascii="Arial" w:hAnsi="Arial"/>
          <w:color w:val="010101"/>
          <w:spacing w:val="-62"/>
          <w:w w:val="88"/>
          <w:position w:val="7"/>
          <w:sz w:val="49"/>
        </w:rPr>
        <w:t>-</w:t>
      </w:r>
      <w:r>
        <w:rPr>
          <w:rFonts w:ascii="Arial" w:hAnsi="Arial"/>
          <w:color w:val="010101"/>
          <w:spacing w:val="-90"/>
          <w:w w:val="112"/>
          <w:sz w:val="33"/>
        </w:rPr>
        <w:t>s</w:t>
      </w:r>
      <w:r>
        <w:rPr>
          <w:rFonts w:ascii="Arial" w:hAnsi="Arial"/>
          <w:color w:val="010101"/>
          <w:spacing w:val="-21"/>
          <w:w w:val="38"/>
          <w:position w:val="7"/>
          <w:sz w:val="49"/>
        </w:rPr>
        <w:t>d</w:t>
      </w:r>
      <w:r>
        <w:rPr>
          <w:rFonts w:ascii="Arial" w:hAnsi="Arial"/>
          <w:color w:val="010101"/>
          <w:spacing w:val="27"/>
          <w:w w:val="96"/>
          <w:position w:val="7"/>
          <w:sz w:val="49"/>
        </w:rPr>
        <w:t>)</w:t>
      </w:r>
      <w:r>
        <w:rPr>
          <w:rFonts w:ascii="Arial" w:hAnsi="Arial"/>
          <w:i/>
          <w:color w:val="010101"/>
          <w:w w:val="120"/>
          <w:sz w:val="18"/>
        </w:rPr>
        <w:t>D.</w:t>
      </w:r>
      <w:r>
        <w:rPr>
          <w:rFonts w:ascii="Arial" w:hAnsi="Arial"/>
          <w:i/>
          <w:color w:val="010101"/>
          <w:spacing w:val="-25"/>
          <w:sz w:val="18"/>
        </w:rPr>
        <w:t> </w:t>
      </w:r>
      <w:r>
        <w:rPr>
          <w:rFonts w:ascii="Arial" w:hAnsi="Arial"/>
          <w:color w:val="010101"/>
          <w:w w:val="103"/>
          <w:sz w:val="27"/>
        </w:rPr>
        <w:t>+</w:t>
      </w:r>
      <w:r>
        <w:rPr>
          <w:rFonts w:ascii="Arial" w:hAnsi="Arial"/>
          <w:color w:val="010101"/>
          <w:spacing w:val="-24"/>
          <w:sz w:val="27"/>
        </w:rPr>
        <w:t> </w:t>
      </w:r>
      <w:r>
        <w:rPr>
          <w:rFonts w:ascii="Arial" w:hAnsi="Arial"/>
          <w:color w:val="010101"/>
          <w:spacing w:val="-34"/>
          <w:w w:val="90"/>
          <w:position w:val="7"/>
          <w:sz w:val="49"/>
        </w:rPr>
        <w:t>(</w:t>
      </w:r>
      <w:r>
        <w:rPr>
          <w:rFonts w:ascii="Arial" w:hAnsi="Arial"/>
          <w:color w:val="010101"/>
          <w:spacing w:val="-99"/>
          <w:w w:val="113"/>
          <w:position w:val="7"/>
          <w:sz w:val="49"/>
        </w:rPr>
        <w:t>i</w:t>
      </w:r>
      <w:r>
        <w:rPr>
          <w:color w:val="010101"/>
          <w:spacing w:val="-26"/>
          <w:w w:val="107"/>
          <w:sz w:val="28"/>
        </w:rPr>
        <w:t>-</w:t>
      </w:r>
      <w:r>
        <w:rPr>
          <w:rFonts w:ascii="Arial" w:hAnsi="Arial"/>
          <w:color w:val="010101"/>
          <w:spacing w:val="-209"/>
          <w:w w:val="113"/>
          <w:position w:val="7"/>
          <w:sz w:val="49"/>
        </w:rPr>
        <w:t>-</w:t>
      </w:r>
      <w:r>
        <w:rPr>
          <w:color w:val="010101"/>
          <w:w w:val="107"/>
          <w:sz w:val="28"/>
        </w:rPr>
        <w:t>¡;</w:t>
      </w:r>
      <w:r>
        <w:rPr>
          <w:color w:val="010101"/>
          <w:spacing w:val="-82"/>
          <w:w w:val="107"/>
          <w:sz w:val="28"/>
        </w:rPr>
        <w:t>-</w:t>
      </w:r>
      <w:r>
        <w:rPr>
          <w:rFonts w:ascii="Arial" w:hAnsi="Arial"/>
          <w:color w:val="010101"/>
          <w:w w:val="35"/>
          <w:position w:val="7"/>
          <w:sz w:val="49"/>
        </w:rPr>
        <w:t>&amp;</w:t>
      </w:r>
      <w:r>
        <w:rPr>
          <w:rFonts w:ascii="Arial" w:hAnsi="Arial"/>
          <w:color w:val="010101"/>
          <w:w w:val="35"/>
          <w:position w:val="7"/>
          <w:sz w:val="49"/>
        </w:rPr>
        <w:t>)</w:t>
      </w:r>
      <w:r>
        <w:rPr>
          <w:rFonts w:ascii="Arial" w:hAnsi="Arial"/>
          <w:color w:val="010101"/>
          <w:spacing w:val="-66"/>
          <w:position w:val="7"/>
          <w:sz w:val="49"/>
        </w:rPr>
        <w:t> </w:t>
      </w:r>
      <w:r>
        <w:rPr>
          <w:color w:val="010101"/>
          <w:w w:val="129"/>
          <w:sz w:val="16"/>
        </w:rPr>
        <w:t>D</w:t>
      </w:r>
      <w:r>
        <w:rPr>
          <w:color w:val="010101"/>
          <w:spacing w:val="-9"/>
          <w:w w:val="129"/>
          <w:sz w:val="16"/>
        </w:rPr>
        <w:t>.</w:t>
      </w:r>
      <w:r>
        <w:rPr>
          <w:color w:val="010101"/>
          <w:w w:val="84"/>
          <w:sz w:val="16"/>
        </w:rPr>
        <w:t>+1</w:t>
      </w:r>
    </w:p>
    <w:p>
      <w:pPr>
        <w:spacing w:after="0" w:line="608" w:lineRule="exact"/>
        <w:jc w:val="left"/>
        <w:rPr>
          <w:sz w:val="16"/>
        </w:rPr>
        <w:sectPr>
          <w:type w:val="continuous"/>
          <w:pgSz w:w="7200" w:h="11340"/>
          <w:pgMar w:top="1100" w:bottom="0" w:left="660" w:right="560"/>
          <w:cols w:num="2" w:equalWidth="0">
            <w:col w:w="670" w:space="829"/>
            <w:col w:w="4481"/>
          </w:cols>
        </w:sectPr>
      </w:pPr>
    </w:p>
    <w:p>
      <w:pPr>
        <w:tabs>
          <w:tab w:pos="2127" w:val="left" w:leader="none"/>
          <w:tab w:pos="3261" w:val="left" w:leader="none"/>
        </w:tabs>
        <w:spacing w:line="487" w:lineRule="exact" w:before="0"/>
        <w:ind w:left="449" w:right="739" w:firstLine="0"/>
        <w:jc w:val="left"/>
        <w:rPr>
          <w:rFonts w:ascii="Arial" w:hAnsi="Arial"/>
          <w:sz w:val="46"/>
        </w:rPr>
      </w:pPr>
      <w:r>
        <w:rPr/>
        <w:pict>
          <v:shape style="position:absolute;margin-left:143.856903pt;margin-top:17.01004pt;width:104.45pt;height:7.5pt;mso-position-horizontal-relative:page;mso-position-vertical-relative:paragraph;z-index:-730528" type="#_x0000_t202" filled="false" stroked="false">
            <v:textbox inset="0,0,0,0">
              <w:txbxContent>
                <w:p>
                  <w:pPr>
                    <w:tabs>
                      <w:tab w:pos="497" w:val="left" w:leader="none"/>
                      <w:tab w:pos="848" w:val="left" w:leader="none"/>
                      <w:tab w:pos="1255" w:val="left" w:leader="none"/>
                      <w:tab w:pos="1935" w:val="left" w:leader="none"/>
                    </w:tabs>
                    <w:spacing w:line="150" w:lineRule="exact" w:before="0"/>
                    <w:ind w:left="0" w:right="0" w:firstLine="0"/>
                    <w:jc w:val="left"/>
                    <w:rPr>
                      <w:rFonts w:ascii="Arial" w:hAnsi="Arial"/>
                      <w:b/>
                      <w:sz w:val="15"/>
                    </w:rPr>
                  </w:pPr>
                  <w:r>
                    <w:rPr>
                      <w:b/>
                      <w:color w:val="010101"/>
                      <w:w w:val="155"/>
                      <w:sz w:val="11"/>
                    </w:rPr>
                    <w:t>si</w:t>
                    <w:tab/>
                  </w:r>
                  <w:r>
                    <w:rPr>
                      <w:rFonts w:ascii="Arial" w:hAnsi="Arial"/>
                      <w:b/>
                      <w:color w:val="010101"/>
                      <w:w w:val="155"/>
                      <w:sz w:val="15"/>
                    </w:rPr>
                    <w:t>1</w:t>
                    <w:tab/>
                  </w:r>
                  <w:r>
                    <w:rPr>
                      <w:b/>
                      <w:color w:val="010101"/>
                      <w:w w:val="155"/>
                      <w:sz w:val="14"/>
                    </w:rPr>
                    <w:t>¡t</w:t>
                    <w:tab/>
                  </w:r>
                  <w:r>
                    <w:rPr>
                      <w:b/>
                      <w:color w:val="010101"/>
                      <w:w w:val="155"/>
                      <w:sz w:val="11"/>
                    </w:rPr>
                    <w:t>rs   </w:t>
                  </w:r>
                  <w:r>
                    <w:rPr>
                      <w:b/>
                      <w:color w:val="010101"/>
                      <w:spacing w:val="8"/>
                      <w:w w:val="155"/>
                      <w:sz w:val="11"/>
                    </w:rPr>
                    <w:t> </w:t>
                  </w:r>
                  <w:r>
                    <w:rPr>
                      <w:rFonts w:ascii="Arial" w:hAnsi="Arial"/>
                      <w:b/>
                      <w:color w:val="010101"/>
                      <w:w w:val="155"/>
                      <w:sz w:val="15"/>
                    </w:rPr>
                    <w:t>1</w:t>
                    <w:tab/>
                  </w:r>
                  <w:r>
                    <w:rPr>
                      <w:rFonts w:ascii="Arial" w:hAnsi="Arial"/>
                      <w:b/>
                      <w:color w:val="010101"/>
                      <w:spacing w:val="-24"/>
                      <w:w w:val="120"/>
                      <w:sz w:val="15"/>
                    </w:rPr>
                    <w:t>11</w:t>
                  </w:r>
                </w:p>
              </w:txbxContent>
            </v:textbox>
            <w10:wrap type="none"/>
          </v:shape>
        </w:pict>
      </w:r>
      <w:r>
        <w:rPr>
          <w:color w:val="010101"/>
          <w:w w:val="110"/>
          <w:position w:val="1"/>
          <w:sz w:val="16"/>
        </w:rPr>
        <w:t>{b)</w:t>
        <w:tab/>
      </w:r>
      <w:r>
        <w:rPr>
          <w:rFonts w:ascii="Arial" w:hAnsi="Arial"/>
          <w:color w:val="010101"/>
          <w:w w:val="110"/>
          <w:sz w:val="15"/>
        </w:rPr>
        <w:t>4  </w:t>
      </w:r>
      <w:r>
        <w:rPr>
          <w:rFonts w:ascii="Arial" w:hAnsi="Arial"/>
          <w:color w:val="010101"/>
          <w:sz w:val="27"/>
        </w:rPr>
        <w:t>i)</w:t>
      </w:r>
      <w:r>
        <w:rPr>
          <w:rFonts w:ascii="Arial" w:hAnsi="Arial"/>
          <w:color w:val="010101"/>
          <w:spacing w:val="10"/>
          <w:sz w:val="27"/>
        </w:rPr>
        <w:t> </w:t>
      </w:r>
      <w:r>
        <w:rPr>
          <w:rFonts w:ascii="Arial" w:hAnsi="Arial"/>
          <w:color w:val="010101"/>
          <w:w w:val="145"/>
          <w:sz w:val="27"/>
        </w:rPr>
        <w:t>•</w:t>
      </w:r>
      <w:r>
        <w:rPr>
          <w:rFonts w:ascii="Arial" w:hAnsi="Arial"/>
          <w:color w:val="010101"/>
          <w:spacing w:val="-71"/>
          <w:w w:val="145"/>
          <w:sz w:val="27"/>
        </w:rPr>
        <w:t> </w:t>
      </w:r>
      <w:r>
        <w:rPr>
          <w:rFonts w:ascii="Arial" w:hAnsi="Arial"/>
          <w:color w:val="010101"/>
          <w:spacing w:val="-36"/>
          <w:w w:val="220"/>
          <w:sz w:val="27"/>
        </w:rPr>
        <w:t>!-</w:t>
        <w:tab/>
      </w:r>
      <w:r>
        <w:rPr>
          <w:rFonts w:ascii="Arial" w:hAnsi="Arial"/>
          <w:color w:val="010101"/>
          <w:sz w:val="27"/>
        </w:rPr>
        <w:t>_ </w:t>
      </w:r>
      <w:r>
        <w:rPr>
          <w:rFonts w:ascii="Arial" w:hAnsi="Arial"/>
          <w:color w:val="010101"/>
          <w:w w:val="110"/>
          <w:sz w:val="27"/>
        </w:rPr>
        <w:t>.. </w:t>
      </w:r>
      <w:r>
        <w:rPr>
          <w:rFonts w:ascii="Arial" w:hAnsi="Arial"/>
          <w:color w:val="010101"/>
          <w:spacing w:val="-15"/>
          <w:w w:val="110"/>
          <w:sz w:val="46"/>
        </w:rPr>
        <w:t>(!-</w:t>
      </w:r>
      <w:r>
        <w:rPr>
          <w:rFonts w:ascii="Arial" w:hAnsi="Arial"/>
          <w:color w:val="010101"/>
          <w:spacing w:val="-59"/>
          <w:w w:val="110"/>
          <w:sz w:val="46"/>
        </w:rPr>
        <w:t> </w:t>
      </w:r>
      <w:r>
        <w:rPr>
          <w:rFonts w:ascii="Arial" w:hAnsi="Arial"/>
          <w:color w:val="010101"/>
          <w:w w:val="110"/>
          <w:sz w:val="46"/>
        </w:rPr>
        <w:t>)</w:t>
      </w:r>
    </w:p>
    <w:p>
      <w:pPr>
        <w:pStyle w:val="BodyText"/>
        <w:spacing w:before="10"/>
        <w:rPr>
          <w:rFonts w:ascii="Arial"/>
          <w:sz w:val="11"/>
        </w:rPr>
      </w:pPr>
    </w:p>
    <w:p>
      <w:pPr>
        <w:spacing w:after="0"/>
        <w:rPr>
          <w:rFonts w:ascii="Arial"/>
          <w:sz w:val="11"/>
        </w:rPr>
        <w:sectPr>
          <w:type w:val="continuous"/>
          <w:pgSz w:w="7200" w:h="11340"/>
          <w:pgMar w:top="1100" w:bottom="0" w:left="660" w:right="560"/>
        </w:sectPr>
      </w:pPr>
    </w:p>
    <w:p>
      <w:pPr>
        <w:pStyle w:val="BodyText"/>
        <w:rPr>
          <w:rFonts w:ascii="Arial"/>
          <w:sz w:val="16"/>
        </w:rPr>
      </w:pPr>
    </w:p>
    <w:p>
      <w:pPr>
        <w:pStyle w:val="BodyText"/>
        <w:spacing w:before="1"/>
        <w:rPr>
          <w:rFonts w:ascii="Arial"/>
          <w:sz w:val="23"/>
        </w:rPr>
      </w:pPr>
    </w:p>
    <w:p>
      <w:pPr>
        <w:spacing w:before="0"/>
        <w:ind w:left="0" w:right="0" w:firstLine="0"/>
        <w:jc w:val="right"/>
        <w:rPr>
          <w:sz w:val="16"/>
        </w:rPr>
      </w:pPr>
      <w:r>
        <w:rPr>
          <w:color w:val="010101"/>
          <w:w w:val="105"/>
          <w:sz w:val="16"/>
        </w:rPr>
        <w:t>{e)</w:t>
      </w:r>
    </w:p>
    <w:p>
      <w:pPr>
        <w:spacing w:before="121"/>
        <w:ind w:left="449" w:right="-2" w:firstLine="0"/>
        <w:jc w:val="left"/>
        <w:rPr>
          <w:rFonts w:ascii="Arial"/>
          <w:sz w:val="54"/>
        </w:rPr>
      </w:pPr>
      <w:r>
        <w:rPr/>
        <w:br w:type="column"/>
      </w:r>
      <w:r>
        <w:rPr>
          <w:color w:val="010101"/>
          <w:spacing w:val="-29"/>
          <w:w w:val="110"/>
          <w:sz w:val="45"/>
        </w:rPr>
        <w:t>,.</w:t>
      </w:r>
      <w:r>
        <w:rPr>
          <w:rFonts w:ascii="Arial"/>
          <w:color w:val="010101"/>
          <w:spacing w:val="-29"/>
          <w:w w:val="110"/>
          <w:sz w:val="54"/>
        </w:rPr>
        <w:t>-</w:t>
      </w:r>
    </w:p>
    <w:p>
      <w:pPr>
        <w:tabs>
          <w:tab w:pos="903" w:val="left" w:leader="none"/>
        </w:tabs>
        <w:spacing w:line="201" w:lineRule="exact" w:before="79"/>
        <w:ind w:left="549" w:right="0" w:firstLine="0"/>
        <w:jc w:val="left"/>
        <w:rPr>
          <w:i/>
          <w:sz w:val="18"/>
        </w:rPr>
      </w:pPr>
      <w:r>
        <w:rPr/>
        <w:br w:type="column"/>
      </w:r>
      <w:r>
        <w:rPr>
          <w:rFonts w:ascii="Courier New"/>
          <w:color w:val="010101"/>
          <w:w w:val="95"/>
          <w:sz w:val="20"/>
        </w:rPr>
        <w:t>1</w:t>
        <w:tab/>
      </w:r>
      <w:r>
        <w:rPr>
          <w:i/>
          <w:color w:val="010101"/>
          <w:w w:val="95"/>
          <w:sz w:val="18"/>
        </w:rPr>
        <w:t>d</w:t>
      </w:r>
    </w:p>
    <w:p>
      <w:pPr>
        <w:spacing w:line="169" w:lineRule="exact" w:before="0"/>
        <w:ind w:left="23" w:right="0" w:firstLine="96"/>
        <w:jc w:val="left"/>
        <w:rPr>
          <w:sz w:val="17"/>
        </w:rPr>
      </w:pPr>
      <w:r>
        <w:rPr>
          <w:color w:val="010101"/>
          <w:w w:val="92"/>
          <w:sz w:val="17"/>
        </w:rPr>
        <w:t>da</w:t>
      </w:r>
      <w:r>
        <w:rPr>
          <w:color w:val="010101"/>
          <w:sz w:val="17"/>
        </w:rPr>
        <w:t> </w:t>
      </w:r>
      <w:r>
        <w:rPr>
          <w:color w:val="010101"/>
          <w:spacing w:val="-16"/>
          <w:sz w:val="17"/>
        </w:rPr>
        <w:t> </w:t>
      </w:r>
      <w:r>
        <w:rPr>
          <w:color w:val="010101"/>
          <w:w w:val="288"/>
          <w:sz w:val="17"/>
        </w:rPr>
        <w:t>-</w:t>
      </w:r>
      <w:r>
        <w:rPr>
          <w:color w:val="010101"/>
          <w:spacing w:val="1"/>
          <w:sz w:val="17"/>
        </w:rPr>
        <w:t> </w:t>
      </w:r>
      <w:r>
        <w:rPr>
          <w:color w:val="010101"/>
          <w:spacing w:val="-55"/>
          <w:w w:val="361"/>
          <w:sz w:val="17"/>
        </w:rPr>
        <w:t>¡</w:t>
      </w:r>
      <w:r>
        <w:rPr>
          <w:color w:val="010101"/>
          <w:w w:val="145"/>
          <w:sz w:val="17"/>
        </w:rPr>
        <w:t>+</w:t>
      </w:r>
      <w:r>
        <w:rPr>
          <w:color w:val="010101"/>
          <w:spacing w:val="18"/>
          <w:sz w:val="17"/>
        </w:rPr>
        <w:t> </w:t>
      </w:r>
      <w:r>
        <w:rPr>
          <w:color w:val="010101"/>
          <w:w w:val="163"/>
          <w:sz w:val="17"/>
          <w:u w:val="thick" w:color="000000"/>
        </w:rPr>
        <w:t>¡</w:t>
      </w:r>
      <w:r>
        <w:rPr>
          <w:color w:val="010101"/>
          <w:w w:val="163"/>
          <w:sz w:val="17"/>
        </w:rPr>
        <w:t>¡</w:t>
      </w:r>
    </w:p>
    <w:p>
      <w:pPr>
        <w:pStyle w:val="BodyText"/>
        <w:spacing w:before="7"/>
        <w:rPr>
          <w:sz w:val="15"/>
        </w:rPr>
      </w:pPr>
    </w:p>
    <w:p>
      <w:pPr>
        <w:spacing w:before="1"/>
        <w:ind w:left="23" w:right="0" w:firstLine="0"/>
        <w:jc w:val="left"/>
        <w:rPr>
          <w:sz w:val="27"/>
        </w:rPr>
      </w:pPr>
      <w:r>
        <w:rPr/>
        <w:pict>
          <v:shape style="position:absolute;margin-left:208.807205pt;margin-top:-1.490076pt;width:22.05pt;height:8pt;mso-position-horizontal-relative:page;mso-position-vertical-relative:paragraph;z-index:-730504" type="#_x0000_t202" filled="false" stroked="false">
            <v:textbox inset="0,0,0,0">
              <w:txbxContent>
                <w:p>
                  <w:pPr>
                    <w:tabs>
                      <w:tab w:pos="347" w:val="left" w:leader="none"/>
                    </w:tabs>
                    <w:spacing w:line="160" w:lineRule="exact" w:before="0"/>
                    <w:ind w:left="0" w:right="0" w:firstLine="0"/>
                    <w:jc w:val="left"/>
                    <w:rPr>
                      <w:rFonts w:ascii="Arial"/>
                      <w:i/>
                      <w:sz w:val="16"/>
                    </w:rPr>
                  </w:pPr>
                  <w:r>
                    <w:rPr>
                      <w:i/>
                      <w:color w:val="010101"/>
                      <w:w w:val="105"/>
                      <w:sz w:val="13"/>
                    </w:rPr>
                    <w:t>ti</w:t>
                    <w:tab/>
                  </w:r>
                  <w:r>
                    <w:rPr>
                      <w:rFonts w:ascii="Arial"/>
                      <w:i/>
                      <w:color w:val="010101"/>
                      <w:w w:val="105"/>
                      <w:sz w:val="16"/>
                    </w:rPr>
                    <w:t>d</w:t>
                  </w:r>
                </w:p>
              </w:txbxContent>
            </v:textbox>
            <w10:wrap type="none"/>
          </v:shape>
        </w:pict>
      </w:r>
      <w:r>
        <w:rPr>
          <w:color w:val="010101"/>
          <w:w w:val="132"/>
          <w:sz w:val="13"/>
        </w:rPr>
        <w:t>Ñs+I</w:t>
      </w:r>
      <w:r>
        <w:rPr>
          <w:color w:val="010101"/>
          <w:sz w:val="13"/>
        </w:rPr>
        <w:t>  </w:t>
      </w:r>
      <w:r>
        <w:rPr>
          <w:color w:val="010101"/>
          <w:spacing w:val="-8"/>
          <w:sz w:val="13"/>
        </w:rPr>
        <w:t> </w:t>
      </w:r>
      <w:r>
        <w:rPr>
          <w:color w:val="010101"/>
          <w:w w:val="378"/>
          <w:sz w:val="13"/>
        </w:rPr>
        <w:t>-</w:t>
      </w:r>
      <w:r>
        <w:rPr>
          <w:color w:val="010101"/>
          <w:sz w:val="13"/>
        </w:rPr>
        <w:t> </w:t>
      </w:r>
      <w:r>
        <w:rPr>
          <w:color w:val="010101"/>
          <w:spacing w:val="-58"/>
          <w:w w:val="226"/>
          <w:sz w:val="27"/>
        </w:rPr>
        <w:t>¡</w:t>
      </w:r>
      <w:r>
        <w:rPr>
          <w:rFonts w:ascii="Arial" w:hAnsi="Arial"/>
          <w:color w:val="010101"/>
          <w:w w:val="106"/>
          <w:sz w:val="27"/>
        </w:rPr>
        <w:t>+</w:t>
      </w:r>
      <w:r>
        <w:rPr>
          <w:rFonts w:ascii="Arial" w:hAnsi="Arial"/>
          <w:color w:val="010101"/>
          <w:spacing w:val="-40"/>
          <w:sz w:val="27"/>
        </w:rPr>
        <w:t> </w:t>
      </w:r>
      <w:r>
        <w:rPr>
          <w:color w:val="010101"/>
          <w:sz w:val="27"/>
        </w:rPr>
        <w:t>p</w:t>
      </w:r>
    </w:p>
    <w:p>
      <w:pPr>
        <w:spacing w:after="0"/>
        <w:jc w:val="left"/>
        <w:rPr>
          <w:sz w:val="27"/>
        </w:rPr>
        <w:sectPr>
          <w:type w:val="continuous"/>
          <w:pgSz w:w="7200" w:h="11340"/>
          <w:pgMar w:top="1100" w:bottom="0" w:left="660" w:right="560"/>
          <w:cols w:num="3" w:equalWidth="0">
            <w:col w:w="659" w:space="1327"/>
            <w:col w:w="826" w:space="40"/>
            <w:col w:w="3128"/>
          </w:cols>
        </w:sectPr>
      </w:pPr>
    </w:p>
    <w:p>
      <w:pPr>
        <w:pStyle w:val="BodyText"/>
        <w:spacing w:before="7"/>
        <w:rPr>
          <w:sz w:val="11"/>
        </w:rPr>
      </w:pPr>
    </w:p>
    <w:p>
      <w:pPr>
        <w:pStyle w:val="ListParagraph"/>
        <w:numPr>
          <w:ilvl w:val="1"/>
          <w:numId w:val="25"/>
        </w:numPr>
        <w:tabs>
          <w:tab w:pos="589" w:val="left" w:leader="none"/>
        </w:tabs>
        <w:spacing w:line="190" w:lineRule="exact" w:before="76" w:after="0"/>
        <w:ind w:left="588" w:right="0" w:hanging="293"/>
        <w:jc w:val="left"/>
        <w:rPr>
          <w:color w:val="010101"/>
          <w:sz w:val="17"/>
        </w:rPr>
      </w:pPr>
      <w:r>
        <w:rPr>
          <w:rFonts w:ascii="Arial"/>
          <w:color w:val="010101"/>
          <w:w w:val="125"/>
          <w:sz w:val="17"/>
        </w:rPr>
        <w:t>If</w:t>
      </w:r>
      <w:r>
        <w:rPr>
          <w:rFonts w:ascii="Arial"/>
          <w:color w:val="010101"/>
          <w:spacing w:val="-34"/>
          <w:w w:val="125"/>
          <w:sz w:val="17"/>
        </w:rPr>
        <w:t> </w:t>
      </w:r>
      <w:r>
        <w:rPr>
          <w:color w:val="010101"/>
          <w:w w:val="110"/>
          <w:sz w:val="18"/>
        </w:rPr>
        <w:t>the</w:t>
      </w:r>
      <w:r>
        <w:rPr>
          <w:color w:val="010101"/>
          <w:spacing w:val="-12"/>
          <w:w w:val="110"/>
          <w:sz w:val="18"/>
        </w:rPr>
        <w:t> </w:t>
      </w:r>
      <w:r>
        <w:rPr>
          <w:color w:val="010101"/>
          <w:w w:val="110"/>
          <w:sz w:val="18"/>
        </w:rPr>
        <w:t>force</w:t>
      </w:r>
      <w:r>
        <w:rPr>
          <w:color w:val="010101"/>
          <w:spacing w:val="-13"/>
          <w:w w:val="110"/>
          <w:sz w:val="18"/>
        </w:rPr>
        <w:t> </w:t>
      </w:r>
      <w:r>
        <w:rPr>
          <w:color w:val="010101"/>
          <w:w w:val="110"/>
          <w:sz w:val="18"/>
        </w:rPr>
        <w:t>of</w:t>
      </w:r>
      <w:r>
        <w:rPr>
          <w:color w:val="010101"/>
          <w:spacing w:val="-5"/>
          <w:w w:val="110"/>
          <w:sz w:val="18"/>
        </w:rPr>
        <w:t> </w:t>
      </w:r>
      <w:r>
        <w:rPr>
          <w:color w:val="010101"/>
          <w:w w:val="110"/>
          <w:sz w:val="18"/>
        </w:rPr>
        <w:t>mortality</w:t>
      </w:r>
      <w:r>
        <w:rPr>
          <w:color w:val="010101"/>
          <w:spacing w:val="-4"/>
          <w:w w:val="110"/>
          <w:sz w:val="18"/>
        </w:rPr>
        <w:t> </w:t>
      </w:r>
      <w:r>
        <w:rPr>
          <w:color w:val="010101"/>
          <w:w w:val="110"/>
          <w:sz w:val="18"/>
        </w:rPr>
        <w:t>has</w:t>
      </w:r>
      <w:r>
        <w:rPr>
          <w:color w:val="010101"/>
          <w:spacing w:val="-14"/>
          <w:w w:val="110"/>
          <w:sz w:val="18"/>
        </w:rPr>
        <w:t> </w:t>
      </w:r>
      <w:r>
        <w:rPr>
          <w:color w:val="010101"/>
          <w:w w:val="110"/>
          <w:sz w:val="18"/>
        </w:rPr>
        <w:t>the</w:t>
      </w:r>
      <w:r>
        <w:rPr>
          <w:color w:val="010101"/>
          <w:spacing w:val="-12"/>
          <w:w w:val="110"/>
          <w:sz w:val="18"/>
        </w:rPr>
        <w:t> </w:t>
      </w:r>
      <w:r>
        <w:rPr>
          <w:color w:val="010101"/>
          <w:w w:val="110"/>
          <w:sz w:val="18"/>
        </w:rPr>
        <w:t>constant</w:t>
      </w:r>
      <w:r>
        <w:rPr>
          <w:color w:val="010101"/>
          <w:spacing w:val="-4"/>
          <w:w w:val="110"/>
          <w:sz w:val="18"/>
        </w:rPr>
        <w:t> </w:t>
      </w:r>
      <w:r>
        <w:rPr>
          <w:color w:val="010101"/>
          <w:w w:val="110"/>
          <w:sz w:val="18"/>
        </w:rPr>
        <w:t>value</w:t>
      </w:r>
      <w:r>
        <w:rPr>
          <w:color w:val="010101"/>
          <w:spacing w:val="-17"/>
          <w:w w:val="110"/>
          <w:sz w:val="18"/>
        </w:rPr>
        <w:t> </w:t>
      </w:r>
      <w:r>
        <w:rPr>
          <w:rFonts w:ascii="Arial"/>
          <w:i/>
          <w:color w:val="010101"/>
          <w:w w:val="110"/>
          <w:sz w:val="13"/>
        </w:rPr>
        <w:t>p.</w:t>
      </w:r>
      <w:r>
        <w:rPr>
          <w:rFonts w:ascii="Arial"/>
          <w:i/>
          <w:color w:val="010101"/>
          <w:spacing w:val="-8"/>
          <w:w w:val="110"/>
          <w:sz w:val="13"/>
        </w:rPr>
        <w:t> </w:t>
      </w:r>
      <w:r>
        <w:rPr>
          <w:color w:val="010101"/>
          <w:w w:val="110"/>
          <w:sz w:val="18"/>
        </w:rPr>
        <w:t>between</w:t>
      </w:r>
      <w:r>
        <w:rPr>
          <w:color w:val="010101"/>
          <w:spacing w:val="-4"/>
          <w:w w:val="110"/>
          <w:sz w:val="18"/>
        </w:rPr>
        <w:t> </w:t>
      </w:r>
      <w:r>
        <w:rPr>
          <w:color w:val="010101"/>
          <w:w w:val="110"/>
          <w:sz w:val="18"/>
        </w:rPr>
        <w:t>ages</w:t>
      </w:r>
      <w:r>
        <w:rPr>
          <w:color w:val="010101"/>
          <w:spacing w:val="-20"/>
          <w:w w:val="110"/>
          <w:sz w:val="18"/>
        </w:rPr>
        <w:t> </w:t>
      </w:r>
      <w:r>
        <w:rPr>
          <w:i/>
          <w:color w:val="010101"/>
          <w:w w:val="110"/>
          <w:sz w:val="19"/>
        </w:rPr>
        <w:t>z</w:t>
      </w:r>
      <w:r>
        <w:rPr>
          <w:i/>
          <w:color w:val="010101"/>
          <w:spacing w:val="-4"/>
          <w:w w:val="110"/>
          <w:sz w:val="19"/>
        </w:rPr>
        <w:t> </w:t>
      </w:r>
      <w:r>
        <w:rPr>
          <w:color w:val="010101"/>
          <w:w w:val="110"/>
          <w:sz w:val="18"/>
        </w:rPr>
        <w:t>and</w:t>
      </w:r>
    </w:p>
    <w:p>
      <w:pPr>
        <w:spacing w:line="248" w:lineRule="exact" w:before="0"/>
        <w:ind w:left="116" w:right="739" w:firstLine="0"/>
        <w:jc w:val="left"/>
        <w:rPr>
          <w:sz w:val="18"/>
        </w:rPr>
      </w:pPr>
      <w:r>
        <w:rPr>
          <w:rFonts w:ascii="Arial"/>
          <w:color w:val="010101"/>
          <w:w w:val="115"/>
          <w:sz w:val="17"/>
        </w:rPr>
        <w:t>s </w:t>
      </w:r>
      <w:r>
        <w:rPr>
          <w:color w:val="010101"/>
          <w:w w:val="115"/>
          <w:sz w:val="24"/>
        </w:rPr>
        <w:t>+ </w:t>
      </w:r>
      <w:r>
        <w:rPr>
          <w:i/>
          <w:color w:val="010101"/>
          <w:w w:val="115"/>
          <w:sz w:val="19"/>
        </w:rPr>
        <w:t>n, </w:t>
      </w:r>
      <w:r>
        <w:rPr>
          <w:color w:val="010101"/>
          <w:w w:val="115"/>
          <w:sz w:val="18"/>
        </w:rPr>
        <w:t>prove that</w:t>
      </w:r>
    </w:p>
    <w:p>
      <w:pPr>
        <w:spacing w:line="171" w:lineRule="exact" w:before="42"/>
        <w:ind w:left="264" w:right="6" w:firstLine="0"/>
        <w:jc w:val="center"/>
        <w:rPr>
          <w:sz w:val="18"/>
        </w:rPr>
      </w:pPr>
      <w:r>
        <w:rPr/>
        <w:pict>
          <v:line style="position:absolute;mso-position-horizontal-relative:page;mso-position-vertical-relative:paragraph;z-index:-730600" from="193.956299pt,11.130737pt" to="204.333999pt,11.130737pt" stroked="true" strokeweight="1.252485pt" strokecolor="#000000">
            <w10:wrap type="none"/>
          </v:line>
        </w:pict>
      </w:r>
      <w:r>
        <w:rPr>
          <w:color w:val="010101"/>
          <w:w w:val="142"/>
          <w:sz w:val="18"/>
        </w:rPr>
        <w:t>1</w:t>
      </w:r>
      <w:r>
        <w:rPr>
          <w:color w:val="010101"/>
          <w:spacing w:val="-19"/>
          <w:sz w:val="18"/>
        </w:rPr>
        <w:t> </w:t>
      </w:r>
      <w:r>
        <w:rPr>
          <w:color w:val="010101"/>
          <w:w w:val="272"/>
          <w:sz w:val="18"/>
        </w:rPr>
        <w:t>-</w:t>
      </w:r>
      <w:r>
        <w:rPr>
          <w:color w:val="010101"/>
          <w:spacing w:val="-17"/>
          <w:sz w:val="18"/>
        </w:rPr>
        <w:t> </w:t>
      </w:r>
      <w:r>
        <w:rPr>
          <w:color w:val="010101"/>
          <w:spacing w:val="-9"/>
          <w:w w:val="119"/>
          <w:sz w:val="18"/>
        </w:rPr>
        <w:t>.</w:t>
      </w:r>
      <w:r>
        <w:rPr>
          <w:color w:val="010101"/>
          <w:w w:val="119"/>
          <w:sz w:val="18"/>
        </w:rPr>
        <w:t>,</w:t>
      </w:r>
      <w:r>
        <w:rPr>
          <w:color w:val="010101"/>
          <w:spacing w:val="-40"/>
          <w:w w:val="119"/>
          <w:sz w:val="18"/>
        </w:rPr>
        <w:t>.</w:t>
      </w:r>
      <w:r>
        <w:rPr>
          <w:color w:val="010101"/>
          <w:spacing w:val="-137"/>
          <w:w w:val="352"/>
          <w:sz w:val="18"/>
        </w:rPr>
        <w:t>,</w:t>
      </w:r>
      <w:r>
        <w:rPr>
          <w:color w:val="010101"/>
          <w:w w:val="311"/>
          <w:sz w:val="18"/>
        </w:rPr>
        <w:t>.</w:t>
      </w:r>
    </w:p>
    <w:p>
      <w:pPr>
        <w:tabs>
          <w:tab w:pos="3516" w:val="left" w:leader="none"/>
        </w:tabs>
        <w:spacing w:line="240" w:lineRule="exact" w:before="0"/>
        <w:ind w:left="2192" w:right="739" w:firstLine="0"/>
        <w:jc w:val="left"/>
        <w:rPr>
          <w:rFonts w:ascii="Arial"/>
          <w:b/>
          <w:sz w:val="15"/>
        </w:rPr>
      </w:pPr>
      <w:r>
        <w:rPr>
          <w:rFonts w:ascii="Arial"/>
          <w:b/>
          <w:color w:val="010101"/>
          <w:sz w:val="15"/>
        </w:rPr>
        <w:t>4s:al </w:t>
      </w:r>
      <w:r>
        <w:rPr>
          <w:rFonts w:ascii="Arial"/>
          <w:color w:val="010101"/>
          <w:w w:val="245"/>
          <w:sz w:val="15"/>
        </w:rPr>
        <w:t>-  </w:t>
      </w:r>
      <w:r>
        <w:rPr>
          <w:b/>
          <w:i/>
          <w:color w:val="010101"/>
          <w:sz w:val="14"/>
        </w:rPr>
        <w:t>p</w:t>
      </w:r>
      <w:r>
        <w:rPr>
          <w:b/>
          <w:i/>
          <w:color w:val="010101"/>
          <w:spacing w:val="9"/>
          <w:sz w:val="14"/>
        </w:rPr>
        <w:t> </w:t>
      </w:r>
      <w:r>
        <w:rPr>
          <w:color w:val="010101"/>
          <w:sz w:val="24"/>
        </w:rPr>
        <w:t>+</w:t>
      </w:r>
      <w:r>
        <w:rPr>
          <w:color w:val="010101"/>
          <w:spacing w:val="-5"/>
          <w:sz w:val="24"/>
        </w:rPr>
        <w:t> </w:t>
      </w:r>
      <w:r>
        <w:rPr>
          <w:color w:val="010101"/>
          <w:w w:val="155"/>
          <w:sz w:val="17"/>
        </w:rPr>
        <w:t>I</w:t>
        <w:tab/>
      </w:r>
      <w:r>
        <w:rPr>
          <w:color w:val="010101"/>
          <w:w w:val="245"/>
          <w:sz w:val="17"/>
        </w:rPr>
        <w:t>-</w:t>
      </w:r>
      <w:r>
        <w:rPr>
          <w:color w:val="010101"/>
          <w:spacing w:val="-61"/>
          <w:w w:val="245"/>
          <w:sz w:val="17"/>
        </w:rPr>
        <w:t> </w:t>
      </w:r>
      <w:r>
        <w:rPr>
          <w:rFonts w:ascii="Arial"/>
          <w:b/>
          <w:color w:val="010101"/>
          <w:sz w:val="15"/>
        </w:rPr>
        <w:t>4ii)</w:t>
      </w:r>
    </w:p>
    <w:p>
      <w:pPr>
        <w:spacing w:line="211" w:lineRule="exact" w:before="158"/>
        <w:ind w:left="123" w:right="739" w:firstLine="0"/>
        <w:jc w:val="left"/>
        <w:rPr>
          <w:b/>
          <w:sz w:val="17"/>
        </w:rPr>
      </w:pPr>
      <w:r>
        <w:rPr>
          <w:color w:val="010101"/>
          <w:w w:val="115"/>
          <w:sz w:val="19"/>
        </w:rPr>
        <w:t>at a foroe </w:t>
      </w:r>
      <w:r>
        <w:rPr>
          <w:color w:val="010101"/>
          <w:w w:val="115"/>
          <w:sz w:val="18"/>
        </w:rPr>
        <w:t>of </w:t>
      </w:r>
      <w:r>
        <w:rPr>
          <w:color w:val="010101"/>
          <w:w w:val="115"/>
          <w:sz w:val="19"/>
        </w:rPr>
        <w:t>intereet </w:t>
      </w:r>
      <w:r>
        <w:rPr>
          <w:color w:val="010101"/>
          <w:w w:val="115"/>
          <w:sz w:val="18"/>
        </w:rPr>
        <w:t>equal to </w:t>
      </w:r>
      <w:r>
        <w:rPr>
          <w:color w:val="010101"/>
          <w:w w:val="145"/>
          <w:sz w:val="18"/>
        </w:rPr>
        <w:t>"</w:t>
      </w:r>
      <w:r>
        <w:rPr>
          <w:color w:val="010101"/>
          <w:spacing w:val="-50"/>
          <w:w w:val="145"/>
          <w:sz w:val="18"/>
        </w:rPr>
        <w:t> </w:t>
      </w:r>
      <w:r>
        <w:rPr>
          <w:color w:val="010101"/>
          <w:w w:val="145"/>
          <w:sz w:val="18"/>
        </w:rPr>
        <w:t>+ </w:t>
      </w:r>
      <w:r>
        <w:rPr>
          <w:b/>
          <w:color w:val="010101"/>
          <w:w w:val="145"/>
          <w:sz w:val="17"/>
        </w:rPr>
        <w:t>l.</w:t>
      </w:r>
    </w:p>
    <w:p>
      <w:pPr>
        <w:spacing w:line="199" w:lineRule="exact" w:before="0"/>
        <w:ind w:left="284" w:right="739" w:firstLine="0"/>
        <w:jc w:val="left"/>
        <w:rPr>
          <w:sz w:val="18"/>
        </w:rPr>
      </w:pPr>
      <w:r>
        <w:rPr>
          <w:rFonts w:ascii="Arial"/>
          <w:color w:val="010101"/>
          <w:spacing w:val="-74"/>
          <w:w w:val="158"/>
          <w:sz w:val="16"/>
        </w:rPr>
        <w:t>1</w:t>
      </w:r>
      <w:r>
        <w:rPr>
          <w:rFonts w:ascii="Arial"/>
          <w:color w:val="010101"/>
          <w:w w:val="120"/>
          <w:sz w:val="16"/>
        </w:rPr>
        <w:t>.f.</w:t>
      </w:r>
      <w:r>
        <w:rPr>
          <w:rFonts w:ascii="Arial"/>
          <w:color w:val="010101"/>
          <w:spacing w:val="9"/>
          <w:sz w:val="16"/>
        </w:rPr>
        <w:t> </w:t>
      </w:r>
      <w:r>
        <w:rPr>
          <w:color w:val="010101"/>
          <w:w w:val="100"/>
          <w:sz w:val="18"/>
        </w:rPr>
        <w:t>Show</w:t>
      </w:r>
      <w:r>
        <w:rPr>
          <w:color w:val="010101"/>
          <w:spacing w:val="9"/>
          <w:sz w:val="18"/>
        </w:rPr>
        <w:t> </w:t>
      </w:r>
      <w:r>
        <w:rPr>
          <w:color w:val="010101"/>
          <w:spacing w:val="-19"/>
          <w:w w:val="130"/>
          <w:sz w:val="18"/>
        </w:rPr>
        <w:t>t</w:t>
      </w:r>
      <w:r>
        <w:rPr>
          <w:color w:val="010101"/>
          <w:w w:val="95"/>
          <w:sz w:val="18"/>
        </w:rPr>
        <w:t>"hat</w:t>
      </w:r>
    </w:p>
    <w:p>
      <w:pPr>
        <w:spacing w:before="131"/>
        <w:ind w:left="1648" w:right="739" w:firstLine="0"/>
        <w:jc w:val="left"/>
        <w:rPr>
          <w:sz w:val="16"/>
        </w:rPr>
      </w:pPr>
      <w:r>
        <w:rPr/>
        <w:pict>
          <v:line style="position:absolute;mso-position-horizontal-relative:page;mso-position-vertical-relative:paragraph;z-index:5488" from="115.4076pt,21.559416pt" to="124.175pt,21.559416pt" stroked="true" strokeweight="4.294235pt" strokecolor="#000000">
            <w10:wrap type="none"/>
          </v:line>
        </w:pict>
      </w:r>
      <w:r>
        <w:rPr/>
        <w:pict>
          <v:shape style="position:absolute;margin-left:117.375702pt;margin-top:5.114513pt;width:5.8pt;height:7pt;mso-position-horizontal-relative:page;mso-position-vertical-relative:paragraph;z-index:-730480" type="#_x0000_t202" filled="false" stroked="false">
            <v:textbox inset="0,0,0,0">
              <w:txbxContent>
                <w:p>
                  <w:pPr>
                    <w:spacing w:line="140" w:lineRule="exact" w:before="0"/>
                    <w:ind w:left="0" w:right="-19" w:firstLine="0"/>
                    <w:jc w:val="left"/>
                    <w:rPr>
                      <w:rFonts w:ascii="Arial"/>
                      <w:sz w:val="14"/>
                    </w:rPr>
                  </w:pPr>
                  <w:r>
                    <w:rPr>
                      <w:rFonts w:ascii="Arial"/>
                      <w:color w:val="010101"/>
                      <w:w w:val="105"/>
                      <w:sz w:val="14"/>
                    </w:rPr>
                    <w:t>,J</w:t>
                  </w:r>
                </w:p>
              </w:txbxContent>
            </v:textbox>
            <w10:wrap type="none"/>
          </v:shape>
        </w:pict>
      </w:r>
      <w:r>
        <w:rPr>
          <w:rFonts w:ascii="Arial"/>
          <w:i/>
          <w:color w:val="010101"/>
          <w:sz w:val="17"/>
        </w:rPr>
        <w:t>d% </w:t>
      </w:r>
      <w:r>
        <w:rPr>
          <w:color w:val="010101"/>
          <w:w w:val="115"/>
          <w:sz w:val="16"/>
        </w:rPr>
        <w:t>4.:;J </w:t>
      </w:r>
      <w:r>
        <w:rPr>
          <w:color w:val="010101"/>
          <w:w w:val="250"/>
          <w:sz w:val="16"/>
        </w:rPr>
        <w:t>-</w:t>
      </w:r>
      <w:r>
        <w:rPr>
          <w:color w:val="010101"/>
          <w:spacing w:val="-69"/>
          <w:w w:val="250"/>
          <w:sz w:val="16"/>
        </w:rPr>
        <w:t> </w:t>
      </w:r>
      <w:r>
        <w:rPr>
          <w:color w:val="010101"/>
          <w:sz w:val="26"/>
        </w:rPr>
        <w:t>(p. </w:t>
      </w:r>
      <w:r>
        <w:rPr>
          <w:color w:val="010101"/>
          <w:w w:val="115"/>
          <w:sz w:val="26"/>
        </w:rPr>
        <w:t>+ </w:t>
      </w:r>
      <w:r>
        <w:rPr>
          <w:color w:val="010101"/>
          <w:w w:val="115"/>
          <w:sz w:val="16"/>
        </w:rPr>
        <w:t>l)cl.:iil </w:t>
      </w:r>
      <w:r>
        <w:rPr>
          <w:color w:val="010101"/>
          <w:w w:val="115"/>
          <w:sz w:val="26"/>
        </w:rPr>
        <w:t>+ </w:t>
      </w:r>
      <w:r>
        <w:rPr>
          <w:i/>
          <w:color w:val="010101"/>
          <w:w w:val="140"/>
          <w:sz w:val="20"/>
        </w:rPr>
        <w:t>.E. </w:t>
      </w:r>
      <w:r>
        <w:rPr>
          <w:color w:val="010101"/>
          <w:w w:val="250"/>
          <w:sz w:val="20"/>
        </w:rPr>
        <w:t>-</w:t>
      </w:r>
      <w:r>
        <w:rPr>
          <w:color w:val="010101"/>
          <w:spacing w:val="-99"/>
          <w:w w:val="250"/>
          <w:sz w:val="20"/>
        </w:rPr>
        <w:t> </w:t>
      </w:r>
      <w:r>
        <w:rPr>
          <w:color w:val="010101"/>
          <w:spacing w:val="-22"/>
          <w:w w:val="155"/>
          <w:sz w:val="16"/>
        </w:rPr>
        <w:t>1.</w:t>
      </w:r>
    </w:p>
    <w:p>
      <w:pPr>
        <w:spacing w:before="192"/>
        <w:ind w:left="127" w:right="739" w:firstLine="0"/>
        <w:jc w:val="left"/>
        <w:rPr>
          <w:sz w:val="17"/>
        </w:rPr>
      </w:pPr>
      <w:r>
        <w:rPr>
          <w:color w:val="010101"/>
          <w:w w:val="115"/>
          <w:sz w:val="18"/>
        </w:rPr>
        <w:t>S.  </w:t>
      </w:r>
      <w:r>
        <w:rPr>
          <w:color w:val="010101"/>
          <w:w w:val="115"/>
          <w:sz w:val="17"/>
        </w:rPr>
        <w:t>V</w:t>
      </w:r>
      <w:r>
        <w:rPr>
          <w:b/>
          <w:color w:val="010101"/>
          <w:w w:val="115"/>
          <w:sz w:val="17"/>
        </w:rPr>
        <w:t>arying </w:t>
      </w:r>
      <w:r>
        <w:rPr>
          <w:color w:val="010101"/>
          <w:w w:val="115"/>
          <w:sz w:val="17"/>
        </w:rPr>
        <w:t>annuitlea</w:t>
      </w:r>
    </w:p>
    <w:p>
      <w:pPr>
        <w:pStyle w:val="ListParagraph"/>
        <w:numPr>
          <w:ilvl w:val="0"/>
          <w:numId w:val="26"/>
        </w:numPr>
        <w:tabs>
          <w:tab w:pos="582" w:val="left" w:leader="none"/>
        </w:tabs>
        <w:spacing w:line="202" w:lineRule="exact" w:before="68" w:after="0"/>
        <w:ind w:left="120" w:right="135" w:firstLine="182"/>
        <w:jc w:val="left"/>
        <w:rPr>
          <w:color w:val="010101"/>
          <w:sz w:val="18"/>
        </w:rPr>
      </w:pPr>
      <w:r>
        <w:rPr>
          <w:color w:val="010101"/>
          <w:w w:val="105"/>
          <w:sz w:val="18"/>
        </w:rPr>
        <w:t>Express in terma of commutation functions, using standard approxi­ mations where</w:t>
      </w:r>
      <w:r>
        <w:rPr>
          <w:color w:val="010101"/>
          <w:spacing w:val="16"/>
          <w:w w:val="105"/>
          <w:sz w:val="18"/>
        </w:rPr>
        <w:t> </w:t>
      </w:r>
      <w:r>
        <w:rPr>
          <w:color w:val="010101"/>
          <w:w w:val="105"/>
          <w:sz w:val="18"/>
        </w:rPr>
        <w:t>necessary:</w:t>
      </w:r>
    </w:p>
    <w:p>
      <w:pPr>
        <w:spacing w:line="151" w:lineRule="exact" w:before="0"/>
        <w:ind w:left="1748" w:right="0" w:firstLine="0"/>
        <w:jc w:val="left"/>
        <w:rPr>
          <w:rFonts w:ascii="Arial" w:hAnsi="Arial"/>
          <w:sz w:val="24"/>
        </w:rPr>
      </w:pPr>
      <w:r>
        <w:rPr>
          <w:rFonts w:ascii="Arial" w:hAnsi="Arial"/>
          <w:color w:val="010101"/>
          <w:w w:val="117"/>
          <w:sz w:val="24"/>
        </w:rPr>
        <w:t>•</w:t>
      </w:r>
    </w:p>
    <w:p>
      <w:pPr>
        <w:spacing w:after="0" w:line="151" w:lineRule="exact"/>
        <w:jc w:val="left"/>
        <w:rPr>
          <w:rFonts w:ascii="Arial" w:hAnsi="Arial"/>
          <w:sz w:val="24"/>
        </w:rPr>
        <w:sectPr>
          <w:type w:val="continuous"/>
          <w:pgSz w:w="7200" w:h="11340"/>
          <w:pgMar w:top="1100" w:bottom="0" w:left="660" w:right="560"/>
        </w:sectPr>
      </w:pPr>
    </w:p>
    <w:p>
      <w:pPr>
        <w:tabs>
          <w:tab w:pos="2651" w:val="left" w:leader="none"/>
        </w:tabs>
        <w:spacing w:line="277" w:lineRule="exact" w:before="0"/>
        <w:ind w:left="1386" w:right="0" w:firstLine="0"/>
        <w:jc w:val="left"/>
        <w:rPr>
          <w:sz w:val="16"/>
        </w:rPr>
      </w:pPr>
      <w:r>
        <w:rPr/>
        <w:pict>
          <v:shape style="position:absolute;margin-left:116.123299pt;margin-top:5.994331pt;width:14.45pt;height:25.5pt;mso-position-horizontal-relative:page;mso-position-vertical-relative:paragraph;z-index:-730456" type="#_x0000_t202" filled="false" stroked="false">
            <v:textbox inset="0,0,0,0">
              <w:txbxContent>
                <w:p>
                  <w:pPr>
                    <w:spacing w:line="510" w:lineRule="exact" w:before="0"/>
                    <w:ind w:left="0" w:right="-19" w:firstLine="0"/>
                    <w:jc w:val="left"/>
                    <w:rPr>
                      <w:sz w:val="51"/>
                    </w:rPr>
                  </w:pPr>
                  <w:r>
                    <w:rPr>
                      <w:color w:val="010101"/>
                      <w:spacing w:val="-6"/>
                      <w:w w:val="60"/>
                      <w:sz w:val="51"/>
                    </w:rPr>
                    <w:t>·-·</w:t>
                  </w:r>
                </w:p>
              </w:txbxContent>
            </v:textbox>
            <w10:wrap type="none"/>
          </v:shape>
        </w:pict>
      </w:r>
      <w:r>
        <w:rPr>
          <w:color w:val="010101"/>
          <w:w w:val="110"/>
          <w:sz w:val="16"/>
        </w:rPr>
        <w:t>{a)</w:t>
      </w:r>
      <w:r>
        <w:rPr>
          <w:color w:val="010101"/>
          <w:spacing w:val="13"/>
          <w:w w:val="110"/>
          <w:sz w:val="16"/>
        </w:rPr>
        <w:t> </w:t>
      </w:r>
      <w:r>
        <w:rPr>
          <w:rFonts w:ascii="Arial" w:hAnsi="Arial"/>
          <w:color w:val="010101"/>
          <w:w w:val="130"/>
          <w:sz w:val="26"/>
        </w:rPr>
        <w:t>¿</w:t>
      </w:r>
      <w:r>
        <w:rPr>
          <w:rFonts w:ascii="Arial" w:hAnsi="Arial"/>
          <w:color w:val="010101"/>
          <w:spacing w:val="-59"/>
          <w:w w:val="130"/>
          <w:sz w:val="26"/>
        </w:rPr>
        <w:t> </w:t>
      </w:r>
      <w:r>
        <w:rPr>
          <w:color w:val="010101"/>
          <w:w w:val="110"/>
          <w:sz w:val="16"/>
        </w:rPr>
        <w:t>tDs+I</w:t>
        <w:tab/>
      </w:r>
      <w:r>
        <w:rPr>
          <w:color w:val="010101"/>
          <w:position w:val="-6"/>
          <w:sz w:val="16"/>
        </w:rPr>
        <w:drawing>
          <wp:inline distT="0" distB="0" distL="0" distR="0">
            <wp:extent cx="521207" cy="128015"/>
            <wp:effectExtent l="0" t="0" r="0" b="0"/>
            <wp:docPr id="141" name="image75.png" descr=""/>
            <wp:cNvGraphicFramePr>
              <a:graphicFrameLocks noChangeAspect="1"/>
            </wp:cNvGraphicFramePr>
            <a:graphic>
              <a:graphicData uri="http://schemas.openxmlformats.org/drawingml/2006/picture">
                <pic:pic>
                  <pic:nvPicPr>
                    <pic:cNvPr id="142" name="image75.png"/>
                    <pic:cNvPicPr/>
                  </pic:nvPicPr>
                  <pic:blipFill>
                    <a:blip r:embed="rId79" cstate="print"/>
                    <a:stretch>
                      <a:fillRect/>
                    </a:stretch>
                  </pic:blipFill>
                  <pic:spPr>
                    <a:xfrm>
                      <a:off x="0" y="0"/>
                      <a:ext cx="521207" cy="128015"/>
                    </a:xfrm>
                    <a:prstGeom prst="rect">
                      <a:avLst/>
                    </a:prstGeom>
                  </pic:spPr>
                </pic:pic>
              </a:graphicData>
            </a:graphic>
          </wp:inline>
        </w:drawing>
      </w:r>
      <w:r>
        <w:rPr>
          <w:color w:val="010101"/>
          <w:position w:val="-6"/>
          <w:sz w:val="16"/>
        </w:rPr>
      </w:r>
    </w:p>
    <w:p>
      <w:pPr>
        <w:spacing w:before="54"/>
        <w:ind w:left="257" w:right="0" w:firstLine="0"/>
        <w:jc w:val="left"/>
        <w:rPr>
          <w:sz w:val="16"/>
        </w:rPr>
      </w:pPr>
      <w:r>
        <w:rPr/>
        <w:br w:type="column"/>
      </w:r>
      <w:r>
        <w:rPr>
          <w:color w:val="010101"/>
          <w:w w:val="125"/>
          <w:sz w:val="16"/>
        </w:rPr>
        <w:t>(e) (Dá)</w:t>
      </w:r>
    </w:p>
    <w:p>
      <w:pPr>
        <w:spacing w:after="0"/>
        <w:jc w:val="left"/>
        <w:rPr>
          <w:sz w:val="16"/>
        </w:rPr>
        <w:sectPr>
          <w:type w:val="continuous"/>
          <w:pgSz w:w="7200" w:h="11340"/>
          <w:pgMar w:top="1100" w:bottom="0" w:left="660" w:right="560"/>
          <w:cols w:num="2" w:equalWidth="0">
            <w:col w:w="3473" w:space="40"/>
            <w:col w:w="2467"/>
          </w:cols>
        </w:sectPr>
      </w:pPr>
    </w:p>
    <w:p>
      <w:pPr>
        <w:tabs>
          <w:tab w:pos="2315" w:val="left" w:leader="none"/>
          <w:tab w:pos="5373" w:val="left" w:leader="none"/>
        </w:tabs>
        <w:spacing w:before="57"/>
        <w:ind w:left="291" w:right="0" w:hanging="162"/>
        <w:jc w:val="left"/>
        <w:rPr>
          <w:rFonts w:ascii="Arial"/>
          <w:sz w:val="18"/>
        </w:rPr>
      </w:pPr>
      <w:r>
        <w:rPr>
          <w:rFonts w:ascii="Courier New"/>
          <w:color w:val="010101"/>
          <w:spacing w:val="-25"/>
          <w:w w:val="105"/>
          <w:sz w:val="22"/>
        </w:rPr>
        <w:t>62</w:t>
        <w:tab/>
      </w:r>
      <w:r>
        <w:rPr>
          <w:b/>
          <w:color w:val="010101"/>
          <w:w w:val="105"/>
          <w:sz w:val="15"/>
        </w:rPr>
        <w:t>Lil'E </w:t>
      </w:r>
      <w:r>
        <w:rPr>
          <w:b/>
          <w:color w:val="010101"/>
          <w:spacing w:val="38"/>
          <w:w w:val="105"/>
          <w:sz w:val="15"/>
        </w:rPr>
        <w:t> </w:t>
      </w:r>
      <w:r>
        <w:rPr>
          <w:b/>
          <w:color w:val="010101"/>
          <w:w w:val="105"/>
          <w:sz w:val="15"/>
        </w:rPr>
        <w:t>ANNUITIES</w:t>
        <w:tab/>
      </w:r>
      <w:r>
        <w:rPr>
          <w:color w:val="010101"/>
          <w:sz w:val="19"/>
        </w:rPr>
        <w:t>(CH.</w:t>
      </w:r>
      <w:r>
        <w:rPr>
          <w:color w:val="010101"/>
          <w:spacing w:val="-24"/>
          <w:sz w:val="19"/>
        </w:rPr>
        <w:t> </w:t>
      </w:r>
      <w:r>
        <w:rPr>
          <w:rFonts w:ascii="Arial"/>
          <w:color w:val="010101"/>
          <w:sz w:val="18"/>
        </w:rPr>
        <w:t>2</w:t>
      </w:r>
    </w:p>
    <w:p>
      <w:pPr>
        <w:pStyle w:val="BodyText"/>
        <w:spacing w:before="2"/>
        <w:rPr>
          <w:rFonts w:ascii="Arial"/>
          <w:sz w:val="19"/>
        </w:rPr>
      </w:pPr>
    </w:p>
    <w:p>
      <w:pPr>
        <w:pStyle w:val="ListParagraph"/>
        <w:numPr>
          <w:ilvl w:val="0"/>
          <w:numId w:val="26"/>
        </w:numPr>
        <w:tabs>
          <w:tab w:pos="572" w:val="left" w:leader="none"/>
        </w:tabs>
        <w:spacing w:line="194" w:lineRule="exact" w:before="0" w:after="0"/>
        <w:ind w:left="571" w:right="0" w:hanging="280"/>
        <w:jc w:val="left"/>
        <w:rPr>
          <w:rFonts w:ascii="Arial"/>
          <w:b/>
          <w:color w:val="010101"/>
          <w:sz w:val="17"/>
        </w:rPr>
      </w:pPr>
      <w:r>
        <w:rPr>
          <w:color w:val="010101"/>
          <w:w w:val="110"/>
          <w:sz w:val="17"/>
        </w:rPr>
        <w:t>Express  in commutation  symbola  the present  </w:t>
      </w:r>
      <w:r>
        <w:rPr>
          <w:rFonts w:ascii="Arial"/>
          <w:b/>
          <w:color w:val="010101"/>
          <w:w w:val="110"/>
          <w:sz w:val="15"/>
        </w:rPr>
        <w:t>V&amp;lue at age </w:t>
      </w:r>
      <w:r>
        <w:rPr>
          <w:color w:val="010101"/>
          <w:w w:val="110"/>
          <w:sz w:val="11"/>
        </w:rPr>
        <w:t>%   </w:t>
      </w:r>
      <w:r>
        <w:rPr>
          <w:color w:val="010101"/>
          <w:w w:val="110"/>
          <w:sz w:val="17"/>
        </w:rPr>
        <w:t>of   </w:t>
      </w:r>
      <w:r>
        <w:rPr>
          <w:color w:val="010101"/>
          <w:spacing w:val="30"/>
          <w:w w:val="110"/>
          <w:sz w:val="17"/>
        </w:rPr>
        <w:t> </w:t>
      </w:r>
      <w:r>
        <w:rPr>
          <w:rFonts w:ascii="Arial"/>
          <w:b/>
          <w:color w:val="010101"/>
          <w:w w:val="110"/>
          <w:sz w:val="15"/>
        </w:rPr>
        <w:t>a</w:t>
      </w:r>
    </w:p>
    <w:p>
      <w:pPr>
        <w:spacing w:line="205" w:lineRule="exact" w:before="0"/>
        <w:ind w:left="0" w:right="0" w:firstLine="0"/>
        <w:jc w:val="center"/>
        <w:rPr>
          <w:sz w:val="17"/>
        </w:rPr>
      </w:pPr>
      <w:r>
        <w:rPr>
          <w:color w:val="010101"/>
          <w:w w:val="105"/>
          <w:sz w:val="17"/>
        </w:rPr>
        <w:t>series of  25 payments  commencing  at  1at a.ge </w:t>
      </w:r>
      <w:r>
        <w:rPr>
          <w:i/>
          <w:color w:val="010101"/>
          <w:w w:val="105"/>
          <w:sz w:val="18"/>
        </w:rPr>
        <w:t>x  </w:t>
      </w:r>
      <w:r>
        <w:rPr>
          <w:color w:val="010101"/>
          <w:w w:val="105"/>
          <w:sz w:val="17"/>
        </w:rPr>
        <w:t>and  increasing  annually by</w:t>
      </w:r>
    </w:p>
    <w:p>
      <w:pPr>
        <w:spacing w:before="0"/>
        <w:ind w:left="126" w:right="0" w:firstLine="0"/>
        <w:jc w:val="left"/>
        <w:rPr>
          <w:sz w:val="17"/>
        </w:rPr>
      </w:pPr>
      <w:r>
        <w:rPr>
          <w:color w:val="010101"/>
          <w:w w:val="110"/>
          <w:sz w:val="17"/>
        </w:rPr>
        <w:t>0.1 for 5 years, the sixth and subsequent payments being of uniform amount.</w:t>
      </w:r>
    </w:p>
    <w:p>
      <w:pPr>
        <w:pStyle w:val="ListParagraph"/>
        <w:numPr>
          <w:ilvl w:val="0"/>
          <w:numId w:val="26"/>
        </w:numPr>
        <w:tabs>
          <w:tab w:pos="572" w:val="left" w:leader="none"/>
        </w:tabs>
        <w:spacing w:line="240" w:lineRule="auto" w:before="2" w:after="0"/>
        <w:ind w:left="129" w:right="134" w:firstLine="165"/>
        <w:jc w:val="both"/>
        <w:rPr>
          <w:color w:val="010101"/>
          <w:sz w:val="17"/>
        </w:rPr>
      </w:pPr>
      <w:r>
        <w:rPr>
          <w:color w:val="010101"/>
          <w:w w:val="110"/>
          <w:sz w:val="17"/>
        </w:rPr>
        <w:t>Express in commutation symbols the net single premium for a varying immediate annuity to a life aged </w:t>
      </w:r>
      <w:r>
        <w:rPr>
          <w:i/>
          <w:color w:val="010101"/>
          <w:w w:val="110"/>
          <w:sz w:val="18"/>
        </w:rPr>
        <w:t>x </w:t>
      </w:r>
      <w:r>
        <w:rPr>
          <w:color w:val="010101"/>
          <w:w w:val="110"/>
          <w:sz w:val="17"/>
        </w:rPr>
        <w:t>providing for annual payments of </w:t>
      </w:r>
      <w:r>
        <w:rPr>
          <w:color w:val="010101"/>
          <w:spacing w:val="-14"/>
          <w:w w:val="110"/>
          <w:sz w:val="17"/>
        </w:rPr>
        <w:t>100 </w:t>
      </w:r>
      <w:r>
        <w:rPr>
          <w:color w:val="010101"/>
          <w:w w:val="110"/>
          <w:sz w:val="17"/>
        </w:rPr>
        <w:t>the first</w:t>
      </w:r>
      <w:r>
        <w:rPr>
          <w:color w:val="010101"/>
          <w:spacing w:val="-2"/>
          <w:w w:val="110"/>
          <w:sz w:val="17"/>
        </w:rPr>
        <w:t> </w:t>
      </w:r>
      <w:r>
        <w:rPr>
          <w:color w:val="010101"/>
          <w:w w:val="110"/>
          <w:sz w:val="17"/>
        </w:rPr>
        <w:t>year,</w:t>
      </w:r>
      <w:r>
        <w:rPr>
          <w:color w:val="010101"/>
          <w:spacing w:val="-14"/>
          <w:w w:val="110"/>
          <w:sz w:val="17"/>
        </w:rPr>
        <w:t> </w:t>
      </w:r>
      <w:r>
        <w:rPr>
          <w:color w:val="010101"/>
          <w:w w:val="110"/>
          <w:sz w:val="17"/>
        </w:rPr>
        <w:t>400</w:t>
      </w:r>
      <w:r>
        <w:rPr>
          <w:color w:val="010101"/>
          <w:spacing w:val="-16"/>
          <w:w w:val="110"/>
          <w:sz w:val="17"/>
        </w:rPr>
        <w:t> </w:t>
      </w:r>
      <w:r>
        <w:rPr>
          <w:color w:val="010101"/>
          <w:w w:val="110"/>
          <w:sz w:val="17"/>
        </w:rPr>
        <w:t>the</w:t>
      </w:r>
      <w:r>
        <w:rPr>
          <w:color w:val="010101"/>
          <w:spacing w:val="-10"/>
          <w:w w:val="110"/>
          <w:sz w:val="17"/>
        </w:rPr>
        <w:t> </w:t>
      </w:r>
      <w:r>
        <w:rPr>
          <w:color w:val="010101"/>
          <w:w w:val="110"/>
          <w:sz w:val="17"/>
        </w:rPr>
        <w:t>second</w:t>
      </w:r>
      <w:r>
        <w:rPr>
          <w:color w:val="010101"/>
          <w:spacing w:val="-4"/>
          <w:w w:val="110"/>
          <w:sz w:val="17"/>
        </w:rPr>
        <w:t> </w:t>
      </w:r>
      <w:r>
        <w:rPr>
          <w:color w:val="010101"/>
          <w:w w:val="110"/>
          <w:sz w:val="17"/>
        </w:rPr>
        <w:t>year,</w:t>
      </w:r>
      <w:r>
        <w:rPr>
          <w:color w:val="010101"/>
          <w:spacing w:val="-14"/>
          <w:w w:val="110"/>
          <w:sz w:val="17"/>
        </w:rPr>
        <w:t> </w:t>
      </w:r>
      <w:r>
        <w:rPr>
          <w:color w:val="010101"/>
          <w:w w:val="110"/>
          <w:sz w:val="17"/>
        </w:rPr>
        <w:t>700</w:t>
      </w:r>
      <w:r>
        <w:rPr>
          <w:color w:val="010101"/>
          <w:spacing w:val="-26"/>
          <w:w w:val="110"/>
          <w:sz w:val="17"/>
        </w:rPr>
        <w:t> </w:t>
      </w:r>
      <w:r>
        <w:rPr>
          <w:color w:val="010101"/>
          <w:w w:val="110"/>
          <w:sz w:val="17"/>
        </w:rPr>
        <w:t>the</w:t>
      </w:r>
      <w:r>
        <w:rPr>
          <w:color w:val="010101"/>
          <w:spacing w:val="-10"/>
          <w:w w:val="110"/>
          <w:sz w:val="17"/>
        </w:rPr>
        <w:t> </w:t>
      </w:r>
      <w:r>
        <w:rPr>
          <w:color w:val="010101"/>
          <w:w w:val="110"/>
          <w:sz w:val="17"/>
        </w:rPr>
        <w:t>third</w:t>
      </w:r>
      <w:r>
        <w:rPr>
          <w:color w:val="010101"/>
          <w:spacing w:val="5"/>
          <w:w w:val="110"/>
          <w:sz w:val="17"/>
        </w:rPr>
        <w:t> </w:t>
      </w:r>
      <w:r>
        <w:rPr>
          <w:color w:val="010101"/>
          <w:w w:val="110"/>
          <w:sz w:val="17"/>
        </w:rPr>
        <w:t>year,</w:t>
      </w:r>
      <w:r>
        <w:rPr>
          <w:color w:val="010101"/>
          <w:spacing w:val="-15"/>
          <w:w w:val="110"/>
          <w:sz w:val="17"/>
        </w:rPr>
        <w:t> </w:t>
      </w:r>
      <w:r>
        <w:rPr>
          <w:color w:val="010101"/>
          <w:w w:val="110"/>
          <w:sz w:val="17"/>
        </w:rPr>
        <w:t>increasing</w:t>
      </w:r>
      <w:r>
        <w:rPr>
          <w:color w:val="010101"/>
          <w:spacing w:val="-5"/>
          <w:w w:val="110"/>
          <w:sz w:val="17"/>
        </w:rPr>
        <w:t> </w:t>
      </w:r>
      <w:r>
        <w:rPr>
          <w:color w:val="010101"/>
          <w:w w:val="110"/>
          <w:sz w:val="17"/>
        </w:rPr>
        <w:t>by</w:t>
      </w:r>
      <w:r>
        <w:rPr>
          <w:color w:val="010101"/>
          <w:spacing w:val="-10"/>
          <w:w w:val="110"/>
          <w:sz w:val="17"/>
        </w:rPr>
        <w:t> </w:t>
      </w:r>
      <w:r>
        <w:rPr>
          <w:color w:val="010101"/>
          <w:w w:val="110"/>
          <w:sz w:val="17"/>
        </w:rPr>
        <w:t>300each</w:t>
      </w:r>
      <w:r>
        <w:rPr>
          <w:color w:val="010101"/>
          <w:spacing w:val="-7"/>
          <w:w w:val="110"/>
          <w:sz w:val="17"/>
        </w:rPr>
        <w:t> </w:t>
      </w:r>
      <w:r>
        <w:rPr>
          <w:rFonts w:ascii="Arial"/>
          <w:b/>
          <w:color w:val="010101"/>
          <w:w w:val="110"/>
          <w:sz w:val="15"/>
        </w:rPr>
        <w:t>year </w:t>
      </w:r>
      <w:r>
        <w:rPr>
          <w:color w:val="010101"/>
          <w:w w:val="110"/>
          <w:sz w:val="17"/>
        </w:rPr>
        <w:t>until </w:t>
      </w:r>
      <w:r>
        <w:rPr>
          <w:color w:val="010101"/>
          <w:spacing w:val="-10"/>
          <w:w w:val="110"/>
          <w:sz w:val="17"/>
        </w:rPr>
        <w:t>1600 </w:t>
      </w:r>
      <w:r>
        <w:rPr>
          <w:color w:val="010101"/>
          <w:w w:val="110"/>
          <w:sz w:val="17"/>
        </w:rPr>
        <w:t>is reached, after which the paymenta decrease by 400 per year until 400 </w:t>
      </w:r>
      <w:r>
        <w:rPr>
          <w:rFonts w:ascii="Arial"/>
          <w:color w:val="010101"/>
          <w:w w:val="110"/>
          <w:sz w:val="17"/>
        </w:rPr>
        <w:t>is </w:t>
      </w:r>
      <w:r>
        <w:rPr>
          <w:color w:val="010101"/>
          <w:w w:val="110"/>
          <w:sz w:val="17"/>
        </w:rPr>
        <w:t>reached, thereafter remaining</w:t>
      </w:r>
      <w:r>
        <w:rPr>
          <w:color w:val="010101"/>
          <w:spacing w:val="5"/>
          <w:w w:val="110"/>
          <w:sz w:val="17"/>
        </w:rPr>
        <w:t> </w:t>
      </w:r>
      <w:r>
        <w:rPr>
          <w:color w:val="010101"/>
          <w:w w:val="110"/>
          <w:sz w:val="17"/>
        </w:rPr>
        <w:t>constant.</w:t>
      </w:r>
    </w:p>
    <w:p>
      <w:pPr>
        <w:pStyle w:val="ListParagraph"/>
        <w:numPr>
          <w:ilvl w:val="0"/>
          <w:numId w:val="26"/>
        </w:numPr>
        <w:tabs>
          <w:tab w:pos="575" w:val="left" w:leader="none"/>
        </w:tabs>
        <w:spacing w:line="232" w:lineRule="auto" w:before="7" w:after="0"/>
        <w:ind w:left="129" w:right="143" w:firstLine="162"/>
        <w:jc w:val="both"/>
        <w:rPr>
          <w:color w:val="010101"/>
          <w:sz w:val="17"/>
        </w:rPr>
      </w:pPr>
      <w:r>
        <w:rPr>
          <w:color w:val="010101"/>
          <w:w w:val="110"/>
          <w:sz w:val="17"/>
        </w:rPr>
        <w:t>A varying temporary annuity to  (x) provides  for an initial payment  of </w:t>
      </w:r>
      <w:r>
        <w:rPr>
          <w:rFonts w:ascii="Arial"/>
          <w:i/>
          <w:color w:val="010101"/>
          <w:w w:val="110"/>
          <w:sz w:val="17"/>
        </w:rPr>
        <w:t>h </w:t>
      </w:r>
      <w:r>
        <w:rPr>
          <w:color w:val="010101"/>
          <w:w w:val="110"/>
          <w:sz w:val="17"/>
        </w:rPr>
        <w:t>at age </w:t>
      </w:r>
      <w:r>
        <w:rPr>
          <w:i/>
          <w:color w:val="010101"/>
          <w:w w:val="110"/>
          <w:sz w:val="16"/>
        </w:rPr>
        <w:t>y, </w:t>
      </w:r>
      <w:r>
        <w:rPr>
          <w:color w:val="010101"/>
          <w:w w:val="110"/>
          <w:sz w:val="17"/>
        </w:rPr>
        <w:t>and successive annual payments increasing by </w:t>
      </w:r>
      <w:r>
        <w:rPr>
          <w:rFonts w:ascii="Arial"/>
          <w:i/>
          <w:color w:val="010101"/>
          <w:w w:val="110"/>
          <w:sz w:val="17"/>
        </w:rPr>
        <w:t>k </w:t>
      </w:r>
      <w:r>
        <w:rPr>
          <w:color w:val="010101"/>
          <w:w w:val="110"/>
          <w:sz w:val="17"/>
        </w:rPr>
        <w:t>each year until </w:t>
      </w:r>
      <w:r>
        <w:rPr>
          <w:i/>
          <w:color w:val="010101"/>
          <w:w w:val="110"/>
          <w:sz w:val="19"/>
        </w:rPr>
        <w:t>n </w:t>
      </w:r>
      <w:r>
        <w:rPr>
          <w:color w:val="010101"/>
          <w:w w:val="110"/>
          <w:sz w:val="17"/>
        </w:rPr>
        <w:t>payments have been made. Show that the value at </w:t>
      </w:r>
      <w:r>
        <w:rPr>
          <w:rFonts w:ascii="Arial"/>
          <w:color w:val="010101"/>
          <w:w w:val="110"/>
          <w:sz w:val="15"/>
        </w:rPr>
        <w:t>age </w:t>
      </w:r>
      <w:r>
        <w:rPr>
          <w:i/>
          <w:color w:val="010101"/>
          <w:w w:val="110"/>
          <w:sz w:val="19"/>
        </w:rPr>
        <w:t>z</w:t>
      </w:r>
      <w:r>
        <w:rPr>
          <w:i/>
          <w:color w:val="010101"/>
          <w:spacing w:val="37"/>
          <w:w w:val="110"/>
          <w:sz w:val="19"/>
        </w:rPr>
        <w:t> </w:t>
      </w:r>
      <w:r>
        <w:rPr>
          <w:color w:val="010101"/>
          <w:w w:val="110"/>
          <w:sz w:val="17"/>
        </w:rPr>
        <w:t>is</w:t>
      </w:r>
    </w:p>
    <w:p>
      <w:pPr>
        <w:spacing w:line="299" w:lineRule="exact" w:before="90"/>
        <w:ind w:left="74" w:right="127" w:firstLine="0"/>
        <w:jc w:val="center"/>
        <w:rPr>
          <w:rFonts w:ascii="Arial" w:hAnsi="Arial"/>
          <w:sz w:val="21"/>
        </w:rPr>
      </w:pPr>
      <w:r>
        <w:rPr/>
        <w:pict>
          <v:line style="position:absolute;mso-position-horizontal-relative:page;mso-position-vertical-relative:paragraph;z-index:-730432" from="144.646103pt,17.053347pt" to="146.979103pt,17.053347pt" stroked="true" strokeweight=".717846pt" strokecolor="#000000">
            <w10:wrap type="none"/>
          </v:line>
        </w:pict>
      </w:r>
      <w:r>
        <w:rPr>
          <w:rFonts w:ascii="Arial" w:hAnsi="Arial"/>
          <w:i/>
          <w:color w:val="010101"/>
          <w:w w:val="103"/>
          <w:sz w:val="16"/>
        </w:rPr>
        <w:t>hN,,</w:t>
      </w:r>
      <w:r>
        <w:rPr>
          <w:rFonts w:ascii="Arial" w:hAnsi="Arial"/>
          <w:i/>
          <w:color w:val="010101"/>
          <w:spacing w:val="9"/>
          <w:sz w:val="16"/>
        </w:rPr>
        <w:t> </w:t>
      </w:r>
      <w:r>
        <w:rPr>
          <w:rFonts w:ascii="Arial" w:hAnsi="Arial"/>
          <w:color w:val="010101"/>
          <w:w w:val="102"/>
          <w:sz w:val="26"/>
        </w:rPr>
        <w:t>+</w:t>
      </w:r>
      <w:r>
        <w:rPr>
          <w:rFonts w:ascii="Arial" w:hAnsi="Arial"/>
          <w:color w:val="010101"/>
          <w:spacing w:val="-17"/>
          <w:sz w:val="26"/>
        </w:rPr>
        <w:t> </w:t>
      </w:r>
      <w:r>
        <w:rPr>
          <w:color w:val="010101"/>
          <w:w w:val="120"/>
          <w:sz w:val="16"/>
        </w:rPr>
        <w:t>k(</w:t>
      </w:r>
      <w:r>
        <w:rPr>
          <w:color w:val="010101"/>
          <w:spacing w:val="-2"/>
          <w:w w:val="120"/>
          <w:sz w:val="16"/>
        </w:rPr>
        <w:t>8</w:t>
      </w:r>
      <w:r>
        <w:rPr>
          <w:color w:val="010101"/>
          <w:w w:val="58"/>
          <w:sz w:val="16"/>
        </w:rPr>
        <w:t>11+1</w:t>
      </w:r>
      <w:r>
        <w:rPr>
          <w:color w:val="010101"/>
          <w:sz w:val="16"/>
        </w:rPr>
        <w:t> </w:t>
      </w:r>
      <w:r>
        <w:rPr>
          <w:color w:val="010101"/>
          <w:spacing w:val="-10"/>
          <w:sz w:val="16"/>
        </w:rPr>
        <w:t> </w:t>
      </w:r>
      <w:r>
        <w:rPr>
          <w:color w:val="010101"/>
          <w:w w:val="298"/>
          <w:sz w:val="16"/>
        </w:rPr>
        <w:t>-</w:t>
      </w:r>
      <w:r>
        <w:rPr>
          <w:color w:val="010101"/>
          <w:spacing w:val="-10"/>
          <w:sz w:val="16"/>
        </w:rPr>
        <w:t> </w:t>
      </w:r>
      <w:r>
        <w:rPr>
          <w:color w:val="010101"/>
          <w:spacing w:val="-24"/>
          <w:w w:val="168"/>
          <w:sz w:val="16"/>
        </w:rPr>
        <w:t>8</w:t>
      </w:r>
      <w:r>
        <w:rPr>
          <w:color w:val="010101"/>
          <w:w w:val="73"/>
          <w:sz w:val="16"/>
        </w:rPr>
        <w:t>11+-+1</w:t>
      </w:r>
      <w:r>
        <w:rPr>
          <w:color w:val="010101"/>
          <w:w w:val="73"/>
          <w:sz w:val="16"/>
        </w:rPr>
        <w:t>)</w:t>
      </w:r>
      <w:r>
        <w:rPr>
          <w:color w:val="010101"/>
          <w:sz w:val="16"/>
        </w:rPr>
        <w:t>  </w:t>
      </w:r>
      <w:r>
        <w:rPr>
          <w:color w:val="010101"/>
          <w:w w:val="307"/>
          <w:sz w:val="16"/>
        </w:rPr>
        <w:t>-</w:t>
      </w:r>
      <w:r>
        <w:rPr>
          <w:color w:val="010101"/>
          <w:spacing w:val="7"/>
          <w:sz w:val="16"/>
        </w:rPr>
        <w:t> </w:t>
      </w:r>
      <w:r>
        <w:rPr>
          <w:rFonts w:ascii="Arial" w:hAnsi="Arial"/>
          <w:i/>
          <w:color w:val="010101"/>
          <w:w w:val="110"/>
          <w:sz w:val="16"/>
        </w:rPr>
        <w:t>(</w:t>
      </w:r>
      <w:r>
        <w:rPr>
          <w:rFonts w:ascii="Arial" w:hAnsi="Arial"/>
          <w:i/>
          <w:color w:val="010101"/>
          <w:w w:val="110"/>
          <w:sz w:val="16"/>
        </w:rPr>
        <w:t>h</w:t>
      </w:r>
      <w:r>
        <w:rPr>
          <w:rFonts w:ascii="Arial" w:hAnsi="Arial"/>
          <w:i/>
          <w:color w:val="010101"/>
          <w:spacing w:val="5"/>
          <w:sz w:val="16"/>
        </w:rPr>
        <w:t> </w:t>
      </w:r>
      <w:r>
        <w:rPr>
          <w:rFonts w:ascii="Arial" w:hAnsi="Arial"/>
          <w:color w:val="010101"/>
          <w:w w:val="105"/>
          <w:sz w:val="26"/>
        </w:rPr>
        <w:t>+</w:t>
      </w:r>
      <w:r>
        <w:rPr>
          <w:rFonts w:ascii="Arial" w:hAnsi="Arial"/>
          <w:color w:val="010101"/>
          <w:spacing w:val="-25"/>
          <w:sz w:val="26"/>
        </w:rPr>
        <w:t> </w:t>
      </w:r>
      <w:r>
        <w:rPr>
          <w:rFonts w:ascii="Arial" w:hAnsi="Arial"/>
          <w:i/>
          <w:color w:val="010101"/>
          <w:w w:val="102"/>
          <w:sz w:val="16"/>
        </w:rPr>
        <w:t>nlc</w:t>
      </w:r>
      <w:r>
        <w:rPr>
          <w:rFonts w:ascii="Arial" w:hAnsi="Arial"/>
          <w:i/>
          <w:color w:val="010101"/>
          <w:w w:val="102"/>
          <w:sz w:val="16"/>
        </w:rPr>
        <w:t>)</w:t>
      </w:r>
      <w:r>
        <w:rPr>
          <w:rFonts w:ascii="Arial" w:hAnsi="Arial"/>
          <w:i/>
          <w:color w:val="010101"/>
          <w:spacing w:val="6"/>
          <w:w w:val="102"/>
          <w:sz w:val="16"/>
        </w:rPr>
        <w:t>N</w:t>
      </w:r>
      <w:r>
        <w:rPr>
          <w:rFonts w:ascii="Arial" w:hAnsi="Arial"/>
          <w:color w:val="010101"/>
          <w:spacing w:val="-20"/>
          <w:w w:val="114"/>
          <w:sz w:val="21"/>
        </w:rPr>
        <w:t>•</w:t>
      </w:r>
      <w:r>
        <w:rPr>
          <w:rFonts w:ascii="Arial" w:hAnsi="Arial"/>
          <w:color w:val="010101"/>
          <w:w w:val="82"/>
          <w:sz w:val="21"/>
        </w:rPr>
        <w:t>+•</w:t>
      </w:r>
    </w:p>
    <w:p>
      <w:pPr>
        <w:spacing w:before="0"/>
        <w:ind w:left="74" w:right="139" w:firstLine="0"/>
        <w:jc w:val="center"/>
        <w:rPr>
          <w:i/>
          <w:sz w:val="18"/>
        </w:rPr>
      </w:pPr>
      <w:r>
        <w:rPr>
          <w:i/>
          <w:color w:val="010101"/>
          <w:sz w:val="18"/>
        </w:rPr>
        <w:t>D,.</w:t>
      </w:r>
    </w:p>
    <w:p>
      <w:pPr>
        <w:pStyle w:val="BodyText"/>
        <w:spacing w:before="8"/>
        <w:rPr>
          <w:i/>
          <w:sz w:val="17"/>
        </w:rPr>
      </w:pPr>
    </w:p>
    <w:p>
      <w:pPr>
        <w:spacing w:before="1"/>
        <w:ind w:left="291" w:right="0" w:firstLine="0"/>
        <w:jc w:val="left"/>
        <w:rPr>
          <w:rFonts w:ascii="Arial"/>
          <w:i/>
          <w:sz w:val="17"/>
        </w:rPr>
      </w:pPr>
      <w:r>
        <w:rPr>
          <w:color w:val="010101"/>
          <w:sz w:val="17"/>
        </w:rPr>
        <w:t>How  would  the  formula  </w:t>
      </w:r>
      <w:r>
        <w:rPr>
          <w:rFonts w:ascii="Arial"/>
          <w:color w:val="010101"/>
          <w:sz w:val="16"/>
        </w:rPr>
        <w:t>be  </w:t>
      </w:r>
      <w:r>
        <w:rPr>
          <w:color w:val="010101"/>
          <w:sz w:val="17"/>
        </w:rPr>
        <w:t>rnodified  if  the  benefit  were  decreasing  by   </w:t>
      </w:r>
      <w:r>
        <w:rPr>
          <w:rFonts w:ascii="Arial"/>
          <w:i/>
          <w:color w:val="010101"/>
          <w:w w:val="90"/>
          <w:sz w:val="17"/>
        </w:rPr>
        <w:t>1c</w:t>
      </w:r>
    </w:p>
    <w:p>
      <w:pPr>
        <w:spacing w:before="9"/>
        <w:ind w:left="122" w:right="739" w:firstLine="0"/>
        <w:jc w:val="left"/>
        <w:rPr>
          <w:sz w:val="17"/>
        </w:rPr>
      </w:pPr>
      <w:r>
        <w:rPr>
          <w:color w:val="010101"/>
          <w:w w:val="110"/>
          <w:sz w:val="17"/>
        </w:rPr>
        <w:t>each year?</w:t>
      </w:r>
    </w:p>
    <w:p>
      <w:pPr>
        <w:spacing w:line="202" w:lineRule="exact" w:before="0"/>
        <w:ind w:left="129" w:right="154" w:firstLine="157"/>
        <w:jc w:val="both"/>
        <w:rPr>
          <w:sz w:val="17"/>
        </w:rPr>
      </w:pPr>
      <w:r>
        <w:rPr>
          <w:color w:val="010101"/>
          <w:w w:val="110"/>
          <w:sz w:val="17"/>
        </w:rPr>
        <w:t>How would the formula be modified if the payments remained constant after </w:t>
      </w:r>
      <w:r>
        <w:rPr>
          <w:i/>
          <w:color w:val="010101"/>
          <w:w w:val="110"/>
          <w:sz w:val="18"/>
        </w:rPr>
        <w:t>n </w:t>
      </w:r>
      <w:r>
        <w:rPr>
          <w:color w:val="010101"/>
          <w:w w:val="110"/>
          <w:sz w:val="17"/>
        </w:rPr>
        <w:t>years?</w:t>
      </w:r>
    </w:p>
    <w:p>
      <w:pPr>
        <w:pStyle w:val="ListParagraph"/>
        <w:numPr>
          <w:ilvl w:val="0"/>
          <w:numId w:val="26"/>
        </w:numPr>
        <w:tabs>
          <w:tab w:pos="572" w:val="left" w:leader="none"/>
        </w:tabs>
        <w:spacing w:line="158" w:lineRule="exact" w:before="0" w:after="0"/>
        <w:ind w:left="571" w:right="0" w:hanging="280"/>
        <w:jc w:val="left"/>
        <w:rPr>
          <w:color w:val="010101"/>
          <w:sz w:val="17"/>
        </w:rPr>
      </w:pPr>
      <w:r>
        <w:rPr>
          <w:color w:val="010101"/>
          <w:w w:val="105"/>
          <w:sz w:val="17"/>
        </w:rPr>
        <w:t>Show  that  (2.46c)  can  </w:t>
      </w:r>
      <w:r>
        <w:rPr>
          <w:rFonts w:ascii="Arial"/>
          <w:color w:val="010101"/>
          <w:w w:val="105"/>
          <w:sz w:val="16"/>
        </w:rPr>
        <w:t>be </w:t>
      </w:r>
      <w:r>
        <w:rPr>
          <w:color w:val="010101"/>
          <w:w w:val="105"/>
          <w:sz w:val="17"/>
        </w:rPr>
        <w:t>expressed</w:t>
      </w:r>
      <w:r>
        <w:rPr>
          <w:color w:val="010101"/>
          <w:spacing w:val="21"/>
          <w:w w:val="105"/>
          <w:sz w:val="17"/>
        </w:rPr>
        <w:t> </w:t>
      </w:r>
      <w:r>
        <w:rPr>
          <w:color w:val="010101"/>
          <w:w w:val="105"/>
          <w:sz w:val="17"/>
        </w:rPr>
        <w:t>as</w:t>
      </w:r>
    </w:p>
    <w:p>
      <w:pPr>
        <w:spacing w:line="501" w:lineRule="exact" w:before="0"/>
        <w:ind w:left="74" w:right="34" w:firstLine="0"/>
        <w:jc w:val="center"/>
        <w:rPr>
          <w:rFonts w:ascii="Arial" w:hAnsi="Arial"/>
          <w:i/>
          <w:sz w:val="15"/>
        </w:rPr>
      </w:pPr>
      <w:r>
        <w:rPr>
          <w:rFonts w:ascii="Arial" w:hAnsi="Arial"/>
          <w:i/>
          <w:color w:val="010101"/>
          <w:w w:val="110"/>
          <w:sz w:val="18"/>
        </w:rPr>
        <w:t>(la). </w:t>
      </w:r>
      <w:r>
        <w:rPr>
          <w:color w:val="010101"/>
          <w:w w:val="90"/>
          <w:sz w:val="23"/>
        </w:rPr>
        <w:t>= </w:t>
      </w:r>
      <w:r>
        <w:rPr>
          <w:color w:val="010101"/>
          <w:w w:val="90"/>
          <w:sz w:val="21"/>
        </w:rPr>
        <w:t>_!_  </w:t>
      </w:r>
      <w:r>
        <w:rPr>
          <w:i/>
          <w:color w:val="010101"/>
          <w:w w:val="135"/>
          <w:sz w:val="42"/>
        </w:rPr>
        <w:t>t </w:t>
      </w:r>
      <w:r>
        <w:rPr>
          <w:rFonts w:ascii="Arial" w:hAnsi="Arial"/>
          <w:i/>
          <w:color w:val="010101"/>
          <w:w w:val="90"/>
          <w:sz w:val="52"/>
        </w:rPr>
        <w:t>f</w:t>
      </w:r>
      <w:r>
        <w:rPr>
          <w:rFonts w:ascii="Arial" w:hAnsi="Arial"/>
          <w:i/>
          <w:color w:val="010101"/>
          <w:spacing w:val="-83"/>
          <w:w w:val="90"/>
          <w:sz w:val="52"/>
        </w:rPr>
        <w:t> </w:t>
      </w:r>
      <w:r>
        <w:rPr>
          <w:color w:val="010101"/>
          <w:w w:val="135"/>
          <w:sz w:val="10"/>
        </w:rPr>
        <w:t>1 </w:t>
      </w:r>
      <w:r>
        <w:rPr>
          <w:rFonts w:ascii="Arial" w:hAnsi="Arial"/>
          <w:i/>
          <w:color w:val="010101"/>
          <w:w w:val="110"/>
          <w:sz w:val="15"/>
        </w:rPr>
        <w:t>(t </w:t>
      </w:r>
      <w:r>
        <w:rPr>
          <w:rFonts w:ascii="Arial" w:hAnsi="Arial"/>
          <w:color w:val="010101"/>
          <w:w w:val="110"/>
          <w:sz w:val="26"/>
        </w:rPr>
        <w:t>+ </w:t>
      </w:r>
      <w:r>
        <w:rPr>
          <w:rFonts w:ascii="Arial" w:hAnsi="Arial"/>
          <w:i/>
          <w:color w:val="010101"/>
          <w:w w:val="110"/>
          <w:sz w:val="15"/>
        </w:rPr>
        <w:t>n)D•+•+• dt.</w:t>
      </w:r>
    </w:p>
    <w:p>
      <w:pPr>
        <w:spacing w:line="169" w:lineRule="exact" w:before="0"/>
        <w:ind w:left="74" w:right="815" w:firstLine="0"/>
        <w:jc w:val="center"/>
        <w:rPr>
          <w:rFonts w:ascii="Arial" w:hAnsi="Arial"/>
          <w:sz w:val="14"/>
        </w:rPr>
      </w:pPr>
      <w:r>
        <w:rPr>
          <w:i/>
          <w:color w:val="010101"/>
          <w:sz w:val="17"/>
        </w:rPr>
        <w:t>D,. </w:t>
      </w:r>
      <w:r>
        <w:rPr>
          <w:rFonts w:ascii="Arial" w:hAnsi="Arial"/>
          <w:color w:val="010101"/>
          <w:sz w:val="20"/>
        </w:rPr>
        <w:t>"•º  </w:t>
      </w:r>
      <w:r>
        <w:rPr>
          <w:rFonts w:ascii="Arial" w:hAnsi="Arial"/>
          <w:color w:val="010101"/>
          <w:sz w:val="14"/>
        </w:rPr>
        <w:t>o</w:t>
      </w:r>
    </w:p>
    <w:p>
      <w:pPr>
        <w:spacing w:line="195" w:lineRule="exact" w:before="97"/>
        <w:ind w:left="126" w:right="739" w:firstLine="0"/>
        <w:jc w:val="left"/>
        <w:rPr>
          <w:sz w:val="17"/>
        </w:rPr>
      </w:pPr>
      <w:r>
        <w:rPr>
          <w:color w:val="010101"/>
          <w:w w:val="105"/>
          <w:sz w:val="17"/>
        </w:rPr>
        <w:t>Assuming  linearity  for </w:t>
      </w:r>
      <w:r>
        <w:rPr>
          <w:i/>
          <w:color w:val="010101"/>
          <w:w w:val="105"/>
          <w:sz w:val="13"/>
        </w:rPr>
        <w:t>Dz+t+a  </w:t>
      </w:r>
      <w:r>
        <w:rPr>
          <w:color w:val="010101"/>
          <w:w w:val="105"/>
          <w:sz w:val="17"/>
        </w:rPr>
        <w:t>over each  year of  </w:t>
      </w:r>
      <w:r>
        <w:rPr>
          <w:b/>
          <w:color w:val="010101"/>
          <w:w w:val="105"/>
          <w:sz w:val="17"/>
        </w:rPr>
        <w:t>age, </w:t>
      </w:r>
      <w:r>
        <w:rPr>
          <w:color w:val="010101"/>
          <w:w w:val="105"/>
          <w:sz w:val="17"/>
        </w:rPr>
        <w:t>show that</w:t>
      </w:r>
    </w:p>
    <w:p>
      <w:pPr>
        <w:tabs>
          <w:tab w:pos="686" w:val="left" w:leader="none"/>
          <w:tab w:pos="1482" w:val="left" w:leader="none"/>
        </w:tabs>
        <w:spacing w:before="0"/>
        <w:ind w:left="33" w:right="0" w:firstLine="0"/>
        <w:jc w:val="center"/>
        <w:rPr>
          <w:rFonts w:ascii="Arial"/>
          <w:sz w:val="26"/>
        </w:rPr>
      </w:pPr>
      <w:r>
        <w:rPr>
          <w:color w:val="010101"/>
          <w:spacing w:val="-5"/>
          <w:w w:val="110"/>
          <w:sz w:val="15"/>
        </w:rPr>
        <w:t>(14),,</w:t>
        <w:tab/>
      </w:r>
      <w:r>
        <w:rPr>
          <w:color w:val="010101"/>
          <w:w w:val="110"/>
          <w:sz w:val="16"/>
        </w:rPr>
        <w:t>(la),,</w:t>
      </w:r>
      <w:r>
        <w:rPr>
          <w:color w:val="010101"/>
          <w:spacing w:val="19"/>
          <w:w w:val="110"/>
          <w:sz w:val="16"/>
        </w:rPr>
        <w:t> </w:t>
      </w:r>
      <w:r>
        <w:rPr>
          <w:rFonts w:ascii="Arial"/>
          <w:color w:val="010101"/>
          <w:w w:val="110"/>
          <w:sz w:val="26"/>
        </w:rPr>
        <w:t>+</w:t>
        <w:tab/>
        <w:t>.</w:t>
      </w:r>
    </w:p>
    <w:p>
      <w:pPr>
        <w:pStyle w:val="ListParagraph"/>
        <w:numPr>
          <w:ilvl w:val="0"/>
          <w:numId w:val="27"/>
        </w:numPr>
        <w:tabs>
          <w:tab w:pos="320" w:val="left" w:leader="none"/>
        </w:tabs>
        <w:spacing w:line="240" w:lineRule="auto" w:before="115" w:after="0"/>
        <w:ind w:left="319" w:right="0" w:hanging="201"/>
        <w:jc w:val="left"/>
        <w:rPr>
          <w:b/>
          <w:sz w:val="16"/>
        </w:rPr>
      </w:pPr>
      <w:r>
        <w:rPr>
          <w:b/>
          <w:color w:val="010101"/>
          <w:w w:val="125"/>
          <w:sz w:val="16"/>
        </w:rPr>
        <w:t>The eff'ect of variations  in  interest  and</w:t>
      </w:r>
      <w:r>
        <w:rPr>
          <w:b/>
          <w:color w:val="010101"/>
          <w:spacing w:val="12"/>
          <w:w w:val="125"/>
          <w:sz w:val="16"/>
        </w:rPr>
        <w:t> </w:t>
      </w:r>
      <w:r>
        <w:rPr>
          <w:b/>
          <w:color w:val="010101"/>
          <w:w w:val="125"/>
          <w:sz w:val="16"/>
        </w:rPr>
        <w:t>mortality</w:t>
      </w:r>
    </w:p>
    <w:p>
      <w:pPr>
        <w:tabs>
          <w:tab w:pos="3306" w:val="left" w:leader="none"/>
        </w:tabs>
        <w:spacing w:line="142" w:lineRule="exact" w:before="82"/>
        <w:ind w:left="1418" w:right="739" w:firstLine="0"/>
        <w:jc w:val="left"/>
        <w:rPr>
          <w:rFonts w:ascii="Arial"/>
          <w:i/>
          <w:sz w:val="17"/>
        </w:rPr>
      </w:pPr>
      <w:r>
        <w:rPr/>
        <w:pict>
          <v:shape style="position:absolute;margin-left:118.983002pt;margin-top:9.111151pt;width:5.45pt;height:11.5pt;mso-position-horizontal-relative:page;mso-position-vertical-relative:paragraph;z-index:-730360" type="#_x0000_t202" filled="false" stroked="false">
            <v:textbox inset="0,0,0,0">
              <w:txbxContent>
                <w:p>
                  <w:pPr>
                    <w:spacing w:line="230" w:lineRule="exact" w:before="0"/>
                    <w:ind w:left="0" w:right="0" w:firstLine="0"/>
                    <w:jc w:val="left"/>
                    <w:rPr>
                      <w:sz w:val="23"/>
                    </w:rPr>
                  </w:pPr>
                  <w:r>
                    <w:rPr>
                      <w:color w:val="010101"/>
                      <w:w w:val="83"/>
                      <w:sz w:val="23"/>
                    </w:rPr>
                    <w:t>=</w:t>
                  </w:r>
                </w:p>
              </w:txbxContent>
            </v:textbox>
            <w10:wrap type="none"/>
          </v:shape>
        </w:pict>
      </w:r>
      <w:r>
        <w:rPr>
          <w:rFonts w:ascii="Arial"/>
          <w:i/>
          <w:color w:val="010101"/>
          <w:w w:val="95"/>
          <w:sz w:val="17"/>
        </w:rPr>
        <w:t>da,,</w:t>
        <w:tab/>
        <w:t>da,.</w:t>
      </w:r>
    </w:p>
    <w:p>
      <w:pPr>
        <w:pStyle w:val="ListParagraph"/>
        <w:numPr>
          <w:ilvl w:val="1"/>
          <w:numId w:val="27"/>
        </w:numPr>
        <w:tabs>
          <w:tab w:pos="575" w:val="left" w:leader="none"/>
          <w:tab w:pos="1920" w:val="left" w:leader="none"/>
          <w:tab w:pos="3607" w:val="left" w:leader="none"/>
        </w:tabs>
        <w:spacing w:line="5" w:lineRule="exact" w:before="0" w:after="0"/>
        <w:ind w:left="126" w:right="0" w:firstLine="161"/>
        <w:jc w:val="left"/>
        <w:rPr>
          <w:color w:val="010101"/>
          <w:sz w:val="17"/>
        </w:rPr>
      </w:pPr>
      <w:r>
        <w:rPr>
          <w:color w:val="010101"/>
          <w:w w:val="101"/>
          <w:sz w:val="17"/>
        </w:rPr>
        <w:t>Show</w:t>
      </w:r>
      <w:r>
        <w:rPr>
          <w:color w:val="010101"/>
          <w:spacing w:val="14"/>
          <w:sz w:val="17"/>
        </w:rPr>
        <w:t> </w:t>
      </w:r>
      <w:r>
        <w:rPr>
          <w:color w:val="010101"/>
          <w:w w:val="120"/>
          <w:sz w:val="17"/>
        </w:rPr>
        <w:t>that</w:t>
      </w:r>
      <w:r>
        <w:rPr>
          <w:color w:val="010101"/>
          <w:sz w:val="17"/>
        </w:rPr>
        <w:tab/>
      </w:r>
      <w:r>
        <w:rPr>
          <w:rFonts w:ascii="Arial"/>
          <w:color w:val="010101"/>
          <w:w w:val="167"/>
          <w:sz w:val="15"/>
        </w:rPr>
        <w:t>-v</w:t>
      </w:r>
      <w:r>
        <w:rPr>
          <w:rFonts w:ascii="Arial"/>
          <w:color w:val="010101"/>
          <w:spacing w:val="-7"/>
          <w:w w:val="167"/>
          <w:sz w:val="15"/>
        </w:rPr>
        <w:t>(</w:t>
      </w:r>
      <w:r>
        <w:rPr>
          <w:i/>
          <w:color w:val="010101"/>
          <w:spacing w:val="-31"/>
          <w:w w:val="108"/>
          <w:sz w:val="21"/>
        </w:rPr>
        <w:t>1</w:t>
      </w:r>
      <w:r>
        <w:rPr>
          <w:rFonts w:ascii="Arial"/>
          <w:color w:val="010101"/>
          <w:w w:val="80"/>
          <w:sz w:val="19"/>
        </w:rPr>
        <w:t>a</w:t>
      </w:r>
      <w:r>
        <w:rPr>
          <w:rFonts w:ascii="Arial"/>
          <w:color w:val="010101"/>
          <w:w w:val="80"/>
          <w:sz w:val="19"/>
        </w:rPr>
        <w:t>)</w:t>
      </w:r>
      <w:r>
        <w:rPr>
          <w:rFonts w:ascii="Arial"/>
          <w:color w:val="010101"/>
          <w:w w:val="80"/>
          <w:sz w:val="19"/>
        </w:rPr>
        <w:t>,.</w:t>
      </w:r>
      <w:r>
        <w:rPr>
          <w:rFonts w:ascii="Arial"/>
          <w:color w:val="010101"/>
          <w:spacing w:val="5"/>
          <w:sz w:val="19"/>
        </w:rPr>
        <w:t> </w:t>
      </w:r>
      <w:r>
        <w:rPr>
          <w:rFonts w:ascii="Arial"/>
          <w:color w:val="010101"/>
          <w:spacing w:val="3"/>
          <w:w w:val="129"/>
          <w:sz w:val="19"/>
        </w:rPr>
        <w:t>.</w:t>
      </w:r>
      <w:r>
        <w:rPr>
          <w:color w:val="010101"/>
          <w:w w:val="113"/>
          <w:sz w:val="17"/>
        </w:rPr>
        <w:t>What</w:t>
      </w:r>
      <w:r>
        <w:rPr>
          <w:color w:val="010101"/>
          <w:sz w:val="17"/>
        </w:rPr>
        <w:t> </w:t>
      </w:r>
      <w:r>
        <w:rPr>
          <w:color w:val="010101"/>
          <w:spacing w:val="-20"/>
          <w:sz w:val="17"/>
        </w:rPr>
        <w:t> </w:t>
      </w:r>
      <w:r>
        <w:rPr>
          <w:color w:val="010101"/>
          <w:w w:val="106"/>
          <w:sz w:val="17"/>
        </w:rPr>
        <w:t>is</w:t>
      </w:r>
      <w:r>
        <w:rPr>
          <w:color w:val="010101"/>
          <w:sz w:val="17"/>
        </w:rPr>
        <w:tab/>
      </w:r>
      <w:r>
        <w:rPr>
          <w:rFonts w:ascii="Arial"/>
          <w:color w:val="010101"/>
          <w:spacing w:val="15"/>
          <w:w w:val="156"/>
          <w:sz w:val="17"/>
        </w:rPr>
        <w:t>,</w:t>
      </w:r>
      <w:r>
        <w:rPr>
          <w:color w:val="010101"/>
          <w:w w:val="104"/>
          <w:sz w:val="17"/>
        </w:rPr>
        <w:t>where</w:t>
      </w:r>
      <w:r>
        <w:rPr>
          <w:color w:val="010101"/>
          <w:spacing w:val="13"/>
          <w:sz w:val="17"/>
        </w:rPr>
        <w:t> </w:t>
      </w:r>
      <w:r>
        <w:rPr>
          <w:rFonts w:ascii="Arial"/>
          <w:i/>
          <w:color w:val="010101"/>
          <w:w w:val="87"/>
          <w:sz w:val="14"/>
        </w:rPr>
        <w:t>6</w:t>
      </w:r>
      <w:r>
        <w:rPr>
          <w:rFonts w:ascii="Arial"/>
          <w:i/>
          <w:color w:val="010101"/>
          <w:spacing w:val="11"/>
          <w:sz w:val="14"/>
        </w:rPr>
        <w:t> </w:t>
      </w:r>
      <w:r>
        <w:rPr>
          <w:color w:val="010101"/>
          <w:w w:val="109"/>
          <w:sz w:val="17"/>
        </w:rPr>
        <w:t>is</w:t>
      </w:r>
      <w:r>
        <w:rPr>
          <w:color w:val="010101"/>
          <w:spacing w:val="5"/>
          <w:sz w:val="17"/>
        </w:rPr>
        <w:t> </w:t>
      </w:r>
      <w:r>
        <w:rPr>
          <w:color w:val="010101"/>
          <w:w w:val="115"/>
          <w:sz w:val="17"/>
        </w:rPr>
        <w:t>the</w:t>
      </w:r>
      <w:r>
        <w:rPr>
          <w:color w:val="010101"/>
          <w:spacing w:val="14"/>
          <w:sz w:val="17"/>
        </w:rPr>
        <w:t> </w:t>
      </w:r>
      <w:r>
        <w:rPr>
          <w:color w:val="010101"/>
          <w:w w:val="104"/>
          <w:sz w:val="17"/>
        </w:rPr>
        <w:t>force</w:t>
      </w:r>
      <w:r>
        <w:rPr>
          <w:color w:val="010101"/>
          <w:spacing w:val="11"/>
          <w:sz w:val="17"/>
        </w:rPr>
        <w:t> </w:t>
      </w:r>
      <w:r>
        <w:rPr>
          <w:color w:val="010101"/>
          <w:w w:val="93"/>
          <w:sz w:val="17"/>
        </w:rPr>
        <w:t>of</w:t>
      </w:r>
      <w:r>
        <w:rPr>
          <w:color w:val="010101"/>
          <w:sz w:val="17"/>
        </w:rPr>
        <w:t> </w:t>
      </w:r>
      <w:r>
        <w:rPr>
          <w:color w:val="010101"/>
          <w:spacing w:val="4"/>
          <w:sz w:val="17"/>
        </w:rPr>
        <w:t> </w:t>
      </w:r>
      <w:r>
        <w:rPr>
          <w:color w:val="010101"/>
          <w:w w:val="112"/>
          <w:sz w:val="17"/>
        </w:rPr>
        <w:t>inter-</w:t>
      </w:r>
    </w:p>
    <w:p>
      <w:pPr>
        <w:tabs>
          <w:tab w:pos="3341" w:val="left" w:leader="none"/>
        </w:tabs>
        <w:spacing w:line="174" w:lineRule="exact" w:before="0"/>
        <w:ind w:left="1454" w:right="739" w:firstLine="0"/>
        <w:jc w:val="left"/>
        <w:rPr>
          <w:rFonts w:ascii="Arial"/>
          <w:i/>
          <w:sz w:val="17"/>
        </w:rPr>
      </w:pPr>
      <w:r>
        <w:rPr/>
        <w:pict>
          <v:rect style="position:absolute;margin-left:105.702904pt;margin-top:6.892859pt;width:7.1785pt;height:5.922233pt;mso-position-horizontal-relative:page;mso-position-vertical-relative:paragraph;z-index:-730408" filled="true" fillcolor="#000000" stroked="false">
            <v:fill type="solid"/>
            <w10:wrap type="none"/>
          </v:rect>
        </w:pict>
      </w:r>
      <w:r>
        <w:rPr/>
        <w:pict>
          <v:rect style="position:absolute;margin-left:200.099701pt;margin-top:7.251951pt;width:7.3579pt;height:5.383848pt;mso-position-horizontal-relative:page;mso-position-vertical-relative:paragraph;z-index:-730384" filled="true" fillcolor="#000000" stroked="false">
            <v:fill type="solid"/>
            <w10:wrap type="none"/>
          </v:rect>
        </w:pict>
      </w:r>
      <w:r>
        <w:rPr>
          <w:rFonts w:ascii="Arial"/>
          <w:i/>
          <w:color w:val="010101"/>
          <w:w w:val="110"/>
          <w:sz w:val="17"/>
        </w:rPr>
        <w:t>di</w:t>
        <w:tab/>
        <w:t>di</w:t>
      </w:r>
    </w:p>
    <w:p>
      <w:pPr>
        <w:pStyle w:val="BodyText"/>
        <w:spacing w:before="10"/>
        <w:rPr>
          <w:rFonts w:ascii="Arial"/>
          <w:i/>
          <w:sz w:val="11"/>
        </w:rPr>
      </w:pPr>
    </w:p>
    <w:p>
      <w:pPr>
        <w:spacing w:line="193" w:lineRule="exact" w:before="78"/>
        <w:ind w:left="126" w:right="739" w:firstLine="0"/>
        <w:jc w:val="left"/>
        <w:rPr>
          <w:sz w:val="17"/>
        </w:rPr>
      </w:pPr>
      <w:r>
        <w:rPr>
          <w:color w:val="010101"/>
          <w:w w:val="115"/>
          <w:sz w:val="17"/>
        </w:rPr>
        <w:t>est?</w:t>
      </w:r>
    </w:p>
    <w:p>
      <w:pPr>
        <w:pStyle w:val="ListParagraph"/>
        <w:numPr>
          <w:ilvl w:val="1"/>
          <w:numId w:val="27"/>
        </w:numPr>
        <w:tabs>
          <w:tab w:pos="590" w:val="left" w:leader="none"/>
        </w:tabs>
        <w:spacing w:line="193" w:lineRule="exact" w:before="0" w:after="0"/>
        <w:ind w:left="589" w:right="0" w:hanging="306"/>
        <w:jc w:val="left"/>
        <w:rPr>
          <w:color w:val="010101"/>
          <w:sz w:val="17"/>
        </w:rPr>
      </w:pPr>
      <w:r>
        <w:rPr>
          <w:color w:val="010101"/>
          <w:w w:val="110"/>
          <w:sz w:val="17"/>
        </w:rPr>
        <w:t>(a)  Show</w:t>
      </w:r>
      <w:r>
        <w:rPr>
          <w:color w:val="010101"/>
          <w:spacing w:val="7"/>
          <w:w w:val="110"/>
          <w:sz w:val="17"/>
        </w:rPr>
        <w:t> </w:t>
      </w:r>
      <w:r>
        <w:rPr>
          <w:color w:val="010101"/>
          <w:w w:val="110"/>
          <w:sz w:val="17"/>
        </w:rPr>
        <w:t>that</w:t>
      </w:r>
    </w:p>
    <w:p>
      <w:pPr>
        <w:tabs>
          <w:tab w:pos="2720" w:val="left" w:leader="none"/>
        </w:tabs>
        <w:spacing w:before="140"/>
        <w:ind w:left="1166" w:right="739" w:firstLine="0"/>
        <w:jc w:val="left"/>
        <w:rPr>
          <w:sz w:val="16"/>
        </w:rPr>
      </w:pPr>
      <w:r>
        <w:rPr>
          <w:color w:val="010101"/>
          <w:w w:val="152"/>
          <w:sz w:val="16"/>
        </w:rPr>
        <w:t>(</w:t>
      </w:r>
      <w:r>
        <w:rPr>
          <w:color w:val="010101"/>
          <w:spacing w:val="-24"/>
          <w:w w:val="152"/>
          <w:sz w:val="16"/>
        </w:rPr>
        <w:t>l</w:t>
      </w:r>
      <w:r>
        <w:rPr>
          <w:color w:val="010101"/>
          <w:w w:val="106"/>
          <w:sz w:val="16"/>
        </w:rPr>
        <w:t>a</w:t>
      </w:r>
      <w:r>
        <w:rPr>
          <w:color w:val="010101"/>
          <w:w w:val="106"/>
          <w:sz w:val="16"/>
        </w:rPr>
        <w:t>),.</w:t>
      </w:r>
      <w:r>
        <w:rPr>
          <w:color w:val="010101"/>
          <w:sz w:val="16"/>
        </w:rPr>
        <w:t> </w:t>
      </w:r>
      <w:r>
        <w:rPr>
          <w:color w:val="010101"/>
          <w:spacing w:val="-5"/>
          <w:sz w:val="16"/>
        </w:rPr>
        <w:t> </w:t>
      </w:r>
      <w:r>
        <w:rPr>
          <w:color w:val="010101"/>
          <w:w w:val="88"/>
          <w:sz w:val="21"/>
        </w:rPr>
        <w:t>=</w:t>
      </w:r>
      <w:r>
        <w:rPr>
          <w:color w:val="010101"/>
          <w:sz w:val="21"/>
        </w:rPr>
        <w:t> </w:t>
      </w:r>
      <w:r>
        <w:rPr>
          <w:color w:val="010101"/>
          <w:spacing w:val="1"/>
          <w:sz w:val="21"/>
        </w:rPr>
        <w:t> </w:t>
      </w:r>
      <w:r>
        <w:rPr>
          <w:color w:val="010101"/>
          <w:spacing w:val="-1"/>
          <w:w w:val="220"/>
          <w:sz w:val="21"/>
        </w:rPr>
        <w:t>-</w:t>
      </w:r>
      <w:r>
        <w:rPr>
          <w:rFonts w:ascii="Arial" w:hAnsi="Arial"/>
          <w:color w:val="010101"/>
          <w:w w:val="108"/>
          <w:sz w:val="16"/>
        </w:rPr>
        <w:t>(</w:t>
      </w:r>
      <w:r>
        <w:rPr>
          <w:rFonts w:ascii="Arial" w:hAnsi="Arial"/>
          <w:color w:val="010101"/>
          <w:w w:val="108"/>
          <w:sz w:val="16"/>
        </w:rPr>
        <w:t>1</w:t>
      </w:r>
      <w:r>
        <w:rPr>
          <w:rFonts w:ascii="Arial" w:hAnsi="Arial"/>
          <w:color w:val="010101"/>
          <w:spacing w:val="1"/>
          <w:sz w:val="16"/>
        </w:rPr>
        <w:t> </w:t>
      </w:r>
      <w:r>
        <w:rPr>
          <w:rFonts w:ascii="Arial" w:hAnsi="Arial"/>
          <w:color w:val="010101"/>
          <w:w w:val="105"/>
          <w:sz w:val="26"/>
        </w:rPr>
        <w:t>+</w:t>
      </w:r>
      <w:r>
        <w:rPr>
          <w:rFonts w:ascii="Arial" w:hAnsi="Arial"/>
          <w:color w:val="010101"/>
          <w:spacing w:val="-25"/>
          <w:sz w:val="26"/>
        </w:rPr>
        <w:t> </w:t>
      </w:r>
      <w:r>
        <w:rPr>
          <w:color w:val="010101"/>
          <w:w w:val="122"/>
          <w:sz w:val="16"/>
        </w:rPr>
        <w:t>i</w:t>
      </w:r>
      <w:r>
        <w:rPr>
          <w:color w:val="010101"/>
          <w:w w:val="122"/>
          <w:sz w:val="16"/>
        </w:rPr>
        <w:t>)</w:t>
      </w:r>
      <w:r>
        <w:rPr>
          <w:color w:val="010101"/>
          <w:sz w:val="16"/>
        </w:rPr>
        <w:tab/>
      </w:r>
      <w:r>
        <w:rPr>
          <w:color w:val="010101"/>
          <w:w w:val="324"/>
          <w:sz w:val="16"/>
        </w:rPr>
        <w:t>·</w:t>
      </w:r>
    </w:p>
    <w:p>
      <w:pPr>
        <w:spacing w:line="238" w:lineRule="exact" w:before="125"/>
        <w:ind w:left="1938" w:right="739" w:firstLine="0"/>
        <w:jc w:val="left"/>
        <w:rPr>
          <w:sz w:val="16"/>
        </w:rPr>
      </w:pPr>
      <w:r>
        <w:rPr/>
        <w:pict>
          <v:shape style="position:absolute;margin-left:197.766693pt;margin-top:14.381552pt;width:20.6pt;height:13pt;mso-position-horizontal-relative:page;mso-position-vertical-relative:paragraph;z-index:-730336" type="#_x0000_t202" filled="false" stroked="false">
            <v:textbox inset="0,0,0,0">
              <w:txbxContent>
                <w:p>
                  <w:pPr>
                    <w:spacing w:line="260" w:lineRule="exact" w:before="0"/>
                    <w:ind w:left="0" w:right="-1" w:firstLine="0"/>
                    <w:jc w:val="left"/>
                    <w:rPr>
                      <w:rFonts w:ascii="Arial"/>
                      <w:sz w:val="26"/>
                    </w:rPr>
                  </w:pPr>
                  <w:r>
                    <w:rPr>
                      <w:b/>
                      <w:color w:val="010101"/>
                      <w:w w:val="120"/>
                      <w:sz w:val="10"/>
                    </w:rPr>
                    <w:t>1     </w:t>
                  </w:r>
                  <w:r>
                    <w:rPr>
                      <w:rFonts w:ascii="Arial"/>
                      <w:color w:val="010101"/>
                      <w:w w:val="120"/>
                      <w:position w:val="-5"/>
                      <w:sz w:val="26"/>
                    </w:rPr>
                    <w:t>+</w:t>
                  </w:r>
                </w:p>
              </w:txbxContent>
            </v:textbox>
            <w10:wrap type="none"/>
          </v:shape>
        </w:pict>
      </w:r>
      <w:r>
        <w:rPr>
          <w:rFonts w:ascii="Arial"/>
          <w:color w:val="010101"/>
          <w:w w:val="115"/>
          <w:sz w:val="16"/>
        </w:rPr>
        <w:t>(1 </w:t>
      </w:r>
      <w:r>
        <w:rPr>
          <w:rFonts w:ascii="Arial"/>
          <w:color w:val="010101"/>
          <w:w w:val="115"/>
          <w:sz w:val="26"/>
        </w:rPr>
        <w:t>+ </w:t>
      </w:r>
      <w:r>
        <w:rPr>
          <w:color w:val="010101"/>
          <w:w w:val="115"/>
          <w:sz w:val="16"/>
        </w:rPr>
        <w:t>i)</w:t>
      </w:r>
    </w:p>
    <w:p>
      <w:pPr>
        <w:tabs>
          <w:tab w:pos="3912" w:val="left" w:leader="none"/>
        </w:tabs>
        <w:spacing w:line="181" w:lineRule="exact" w:before="0"/>
        <w:ind w:left="1576" w:right="739" w:firstLine="0"/>
        <w:jc w:val="left"/>
        <w:rPr>
          <w:sz w:val="20"/>
        </w:rPr>
      </w:pPr>
      <w:r>
        <w:rPr>
          <w:color w:val="010101"/>
          <w:w w:val="91"/>
          <w:sz w:val="21"/>
        </w:rPr>
        <w:t>=</w:t>
      </w:r>
      <w:r>
        <w:rPr>
          <w:color w:val="010101"/>
          <w:sz w:val="21"/>
        </w:rPr>
        <w:t> </w:t>
      </w:r>
      <w:r>
        <w:rPr>
          <w:color w:val="010101"/>
          <w:spacing w:val="1"/>
          <w:sz w:val="21"/>
        </w:rPr>
        <w:t> </w:t>
      </w:r>
      <w:r>
        <w:rPr>
          <w:color w:val="010101"/>
          <w:spacing w:val="-18"/>
          <w:w w:val="600"/>
          <w:sz w:val="21"/>
        </w:rPr>
        <w:t>-</w:t>
      </w:r>
      <w:r>
        <w:rPr>
          <w:b/>
          <w:color w:val="010101"/>
          <w:w w:val="79"/>
          <w:sz w:val="16"/>
        </w:rPr>
        <w:t>(A.a,.</w:t>
      </w:r>
      <w:r>
        <w:rPr>
          <w:b/>
          <w:color w:val="010101"/>
          <w:sz w:val="16"/>
        </w:rPr>
        <w:t> </w:t>
      </w:r>
      <w:r>
        <w:rPr>
          <w:b/>
          <w:color w:val="010101"/>
          <w:spacing w:val="-2"/>
          <w:sz w:val="16"/>
        </w:rPr>
        <w:t> </w:t>
      </w:r>
      <w:r>
        <w:rPr>
          <w:color w:val="010101"/>
          <w:w w:val="298"/>
          <w:sz w:val="16"/>
        </w:rPr>
        <w:t>-</w:t>
      </w:r>
      <w:r>
        <w:rPr>
          <w:color w:val="010101"/>
          <w:spacing w:val="5"/>
          <w:sz w:val="16"/>
        </w:rPr>
        <w:t> </w:t>
      </w:r>
      <w:r>
        <w:rPr>
          <w:b/>
          <w:color w:val="010101"/>
          <w:w w:val="69"/>
          <w:sz w:val="20"/>
        </w:rPr>
        <w:t>JA</w:t>
      </w:r>
      <w:r>
        <w:rPr>
          <w:b/>
          <w:color w:val="010101"/>
          <w:spacing w:val="1"/>
          <w:sz w:val="20"/>
        </w:rPr>
        <w:t> </w:t>
      </w:r>
      <w:r>
        <w:rPr>
          <w:b/>
          <w:color w:val="010101"/>
          <w:w w:val="91"/>
          <w:sz w:val="17"/>
        </w:rPr>
        <w:t>a,.</w:t>
      </w:r>
      <w:r>
        <w:rPr>
          <w:b/>
          <w:color w:val="010101"/>
          <w:sz w:val="17"/>
        </w:rPr>
        <w:tab/>
      </w:r>
      <w:r>
        <w:rPr>
          <w:b/>
          <w:color w:val="010101"/>
          <w:w w:val="63"/>
          <w:sz w:val="20"/>
        </w:rPr>
        <w:t>A'ca.</w:t>
      </w:r>
      <w:r>
        <w:rPr>
          <w:b/>
          <w:color w:val="010101"/>
          <w:sz w:val="20"/>
        </w:rPr>
        <w:t> </w:t>
      </w:r>
      <w:r>
        <w:rPr>
          <w:b/>
          <w:color w:val="010101"/>
          <w:spacing w:val="-15"/>
          <w:sz w:val="20"/>
        </w:rPr>
        <w:t> </w:t>
      </w:r>
      <w:r>
        <w:rPr>
          <w:color w:val="010101"/>
          <w:w w:val="238"/>
          <w:sz w:val="20"/>
        </w:rPr>
        <w:t>-</w:t>
      </w:r>
      <w:r>
        <w:rPr>
          <w:color w:val="010101"/>
          <w:spacing w:val="13"/>
          <w:sz w:val="20"/>
        </w:rPr>
        <w:t> </w:t>
      </w:r>
      <w:r>
        <w:rPr>
          <w:color w:val="010101"/>
          <w:spacing w:val="-21"/>
          <w:w w:val="154"/>
          <w:sz w:val="20"/>
        </w:rPr>
        <w:t>·</w:t>
      </w:r>
      <w:r>
        <w:rPr>
          <w:color w:val="010101"/>
          <w:spacing w:val="-25"/>
          <w:w w:val="154"/>
          <w:sz w:val="20"/>
        </w:rPr>
        <w:t>·</w:t>
      </w:r>
      <w:r>
        <w:rPr>
          <w:color w:val="010101"/>
          <w:spacing w:val="-50"/>
          <w:w w:val="154"/>
          <w:sz w:val="20"/>
        </w:rPr>
        <w:t>·</w:t>
      </w:r>
      <w:r>
        <w:rPr>
          <w:color w:val="010101"/>
          <w:w w:val="99"/>
          <w:sz w:val="20"/>
        </w:rPr>
        <w:t>),</w:t>
      </w:r>
    </w:p>
    <w:p>
      <w:pPr>
        <w:pStyle w:val="BodyText"/>
        <w:spacing w:before="7"/>
        <w:rPr>
          <w:sz w:val="11"/>
        </w:rPr>
      </w:pPr>
    </w:p>
    <w:p>
      <w:pPr>
        <w:spacing w:before="77"/>
        <w:ind w:left="126" w:right="739" w:firstLine="0"/>
        <w:jc w:val="left"/>
        <w:rPr>
          <w:sz w:val="17"/>
        </w:rPr>
      </w:pPr>
      <w:r>
        <w:rPr>
          <w:color w:val="010101"/>
          <w:w w:val="105"/>
          <w:sz w:val="17"/>
        </w:rPr>
        <w:t>where  the  differences  of  </w:t>
      </w:r>
      <w:r>
        <w:rPr>
          <w:i/>
          <w:color w:val="010101"/>
          <w:w w:val="105"/>
          <w:sz w:val="18"/>
        </w:rPr>
        <w:t>a,. </w:t>
      </w:r>
      <w:r>
        <w:rPr>
          <w:color w:val="010101"/>
          <w:w w:val="105"/>
          <w:sz w:val="17"/>
        </w:rPr>
        <w:t>are taken  over  the  interval Ai.</w:t>
      </w:r>
    </w:p>
    <w:p>
      <w:pPr>
        <w:spacing w:line="179" w:lineRule="exact" w:before="3"/>
        <w:ind w:left="463" w:right="0" w:firstLine="0"/>
        <w:jc w:val="left"/>
        <w:rPr>
          <w:rFonts w:ascii="Arial"/>
          <w:b/>
          <w:sz w:val="10"/>
        </w:rPr>
      </w:pPr>
      <w:r>
        <w:rPr>
          <w:color w:val="010101"/>
          <w:w w:val="110"/>
          <w:sz w:val="17"/>
        </w:rPr>
        <w:t>(b) Write the formula tha.t you would use to estimate the value of </w:t>
      </w:r>
      <w:r>
        <w:rPr>
          <w:b/>
          <w:color w:val="010101"/>
          <w:w w:val="110"/>
          <w:sz w:val="17"/>
        </w:rPr>
        <w:t>(Ia)</w:t>
      </w:r>
      <w:r>
        <w:rPr>
          <w:rFonts w:ascii="Arial"/>
          <w:b/>
          <w:color w:val="010101"/>
          <w:w w:val="110"/>
          <w:position w:val="-1"/>
          <w:sz w:val="10"/>
        </w:rPr>
        <w:t>60</w:t>
      </w:r>
    </w:p>
    <w:p>
      <w:pPr>
        <w:spacing w:line="195" w:lineRule="exact" w:before="0"/>
        <w:ind w:left="74" w:right="247" w:firstLine="0"/>
        <w:jc w:val="center"/>
        <w:rPr>
          <w:sz w:val="17"/>
        </w:rPr>
      </w:pPr>
      <w:r>
        <w:rPr>
          <w:color w:val="010101"/>
          <w:w w:val="105"/>
          <w:sz w:val="17"/>
        </w:rPr>
        <w:t>at </w:t>
      </w:r>
      <w:r>
        <w:rPr>
          <w:rFonts w:ascii="Arial" w:hAnsi="Arial"/>
          <w:color w:val="010101"/>
          <w:sz w:val="20"/>
        </w:rPr>
        <w:t>2% </w:t>
      </w:r>
      <w:r>
        <w:rPr>
          <w:color w:val="010101"/>
          <w:w w:val="105"/>
          <w:sz w:val="17"/>
        </w:rPr>
        <w:t>being given the values of </w:t>
      </w:r>
      <w:r>
        <w:rPr>
          <w:rFonts w:ascii="Arial" w:hAnsi="Arial"/>
          <w:i/>
          <w:color w:val="010101"/>
          <w:w w:val="105"/>
          <w:sz w:val="22"/>
        </w:rPr>
        <w:t>ª'° </w:t>
      </w:r>
      <w:r>
        <w:rPr>
          <w:color w:val="010101"/>
          <w:w w:val="105"/>
          <w:sz w:val="17"/>
        </w:rPr>
        <w:t>at </w:t>
      </w:r>
      <w:r>
        <w:rPr>
          <w:color w:val="010101"/>
          <w:sz w:val="21"/>
        </w:rPr>
        <w:t>2%, </w:t>
      </w:r>
      <w:r>
        <w:rPr>
          <w:b/>
          <w:color w:val="010101"/>
          <w:sz w:val="21"/>
        </w:rPr>
        <w:t>21%, </w:t>
      </w:r>
      <w:r>
        <w:rPr>
          <w:color w:val="010101"/>
          <w:w w:val="105"/>
          <w:sz w:val="17"/>
        </w:rPr>
        <w:t>and 3%.</w:t>
      </w:r>
    </w:p>
    <w:p>
      <w:pPr>
        <w:pStyle w:val="ListParagraph"/>
        <w:numPr>
          <w:ilvl w:val="1"/>
          <w:numId w:val="27"/>
        </w:numPr>
        <w:tabs>
          <w:tab w:pos="575" w:val="left" w:leader="none"/>
        </w:tabs>
        <w:spacing w:line="233" w:lineRule="exact" w:before="0" w:after="0"/>
        <w:ind w:left="574" w:right="0" w:hanging="283"/>
        <w:jc w:val="left"/>
        <w:rPr>
          <w:color w:val="010101"/>
          <w:sz w:val="17"/>
        </w:rPr>
      </w:pPr>
      <w:r>
        <w:rPr>
          <w:color w:val="010101"/>
          <w:w w:val="110"/>
          <w:sz w:val="17"/>
        </w:rPr>
        <w:t>Estima.te the value of </w:t>
      </w:r>
      <w:r>
        <w:rPr>
          <w:color w:val="010101"/>
          <w:w w:val="110"/>
          <w:sz w:val="24"/>
        </w:rPr>
        <w:t>ªªº </w:t>
      </w:r>
      <w:r>
        <w:rPr>
          <w:color w:val="010101"/>
          <w:w w:val="110"/>
          <w:sz w:val="17"/>
        </w:rPr>
        <w:t>on the </w:t>
      </w:r>
      <w:r>
        <w:rPr>
          <w:color w:val="010101"/>
          <w:spacing w:val="-11"/>
          <w:w w:val="110"/>
          <w:sz w:val="17"/>
        </w:rPr>
        <w:t>1958 </w:t>
      </w:r>
      <w:r>
        <w:rPr>
          <w:color w:val="010101"/>
          <w:w w:val="110"/>
          <w:sz w:val="17"/>
        </w:rPr>
        <w:t>CSO table at </w:t>
      </w:r>
      <w:r>
        <w:rPr>
          <w:color w:val="010101"/>
          <w:spacing w:val="-4"/>
          <w:w w:val="110"/>
          <w:sz w:val="17"/>
        </w:rPr>
        <w:t>3.1% </w:t>
      </w:r>
      <w:r>
        <w:rPr>
          <w:color w:val="010101"/>
          <w:w w:val="110"/>
          <w:sz w:val="17"/>
        </w:rPr>
        <w:t>interest</w:t>
      </w:r>
      <w:r>
        <w:rPr>
          <w:color w:val="010101"/>
          <w:spacing w:val="-21"/>
          <w:w w:val="110"/>
          <w:sz w:val="17"/>
        </w:rPr>
        <w:t> </w:t>
      </w:r>
      <w:r>
        <w:rPr>
          <w:color w:val="010101"/>
          <w:w w:val="110"/>
          <w:sz w:val="17"/>
        </w:rPr>
        <w:t>using</w:t>
      </w:r>
    </w:p>
    <w:p>
      <w:pPr>
        <w:tabs>
          <w:tab w:pos="4766" w:val="left" w:leader="none"/>
        </w:tabs>
        <w:spacing w:line="189" w:lineRule="exact" w:before="0"/>
        <w:ind w:left="133" w:right="0" w:firstLine="0"/>
        <w:jc w:val="left"/>
        <w:rPr>
          <w:sz w:val="17"/>
        </w:rPr>
      </w:pPr>
      <w:r>
        <w:rPr>
          <w:color w:val="010101"/>
          <w:w w:val="110"/>
          <w:sz w:val="17"/>
        </w:rPr>
        <w:t>only the data of Table A in</w:t>
      </w:r>
      <w:r>
        <w:rPr>
          <w:color w:val="010101"/>
          <w:spacing w:val="44"/>
          <w:w w:val="110"/>
          <w:sz w:val="17"/>
        </w:rPr>
        <w:t> </w:t>
      </w:r>
      <w:r>
        <w:rPr>
          <w:color w:val="010101"/>
          <w:w w:val="110"/>
          <w:sz w:val="17"/>
        </w:rPr>
        <w:t>Appendix</w:t>
      </w:r>
      <w:r>
        <w:rPr>
          <w:color w:val="010101"/>
          <w:spacing w:val="26"/>
          <w:w w:val="110"/>
          <w:sz w:val="17"/>
        </w:rPr>
        <w:t> </w:t>
      </w:r>
      <w:r>
        <w:rPr>
          <w:color w:val="010101"/>
          <w:w w:val="110"/>
          <w:sz w:val="17"/>
        </w:rPr>
        <w:t>I.</w:t>
        <w:tab/>
      </w:r>
      <w:r>
        <w:rPr>
          <w:color w:val="010101"/>
          <w:w w:val="105"/>
          <w:sz w:val="17"/>
        </w:rPr>
        <w:t>(Ans.</w:t>
      </w:r>
      <w:r>
        <w:rPr>
          <w:color w:val="010101"/>
          <w:spacing w:val="-18"/>
          <w:w w:val="105"/>
          <w:sz w:val="17"/>
        </w:rPr>
        <w:t> </w:t>
      </w:r>
      <w:r>
        <w:rPr>
          <w:color w:val="010101"/>
          <w:w w:val="105"/>
          <w:sz w:val="17"/>
        </w:rPr>
        <w:t>22.0967)</w:t>
      </w:r>
    </w:p>
    <w:p>
      <w:pPr>
        <w:pStyle w:val="ListParagraph"/>
        <w:numPr>
          <w:ilvl w:val="1"/>
          <w:numId w:val="27"/>
        </w:numPr>
        <w:tabs>
          <w:tab w:pos="579" w:val="left" w:leader="none"/>
        </w:tabs>
        <w:spacing w:line="139" w:lineRule="auto" w:before="69" w:after="0"/>
        <w:ind w:left="126" w:right="157" w:firstLine="165"/>
        <w:jc w:val="left"/>
        <w:rPr>
          <w:color w:val="010101"/>
          <w:sz w:val="17"/>
        </w:rPr>
      </w:pPr>
      <w:r>
        <w:rPr>
          <w:color w:val="010101"/>
          <w:w w:val="105"/>
          <w:sz w:val="17"/>
        </w:rPr>
        <w:t>Show that for annuity values a constant chánge of  </w:t>
      </w:r>
      <w:r>
        <w:rPr>
          <w:rFonts w:ascii="Arial" w:hAnsi="Arial"/>
          <w:i/>
          <w:color w:val="010101"/>
          <w:w w:val="105"/>
          <w:sz w:val="14"/>
        </w:rPr>
        <w:t>e </w:t>
      </w:r>
      <w:r>
        <w:rPr>
          <w:color w:val="010101"/>
          <w:w w:val="105"/>
          <w:sz w:val="17"/>
        </w:rPr>
        <w:t>in </w:t>
      </w:r>
      <w:r>
        <w:rPr>
          <w:i/>
          <w:color w:val="010101"/>
          <w:w w:val="105"/>
          <w:sz w:val="13"/>
        </w:rPr>
        <w:t>P.z  </w:t>
      </w:r>
      <w:r>
        <w:rPr>
          <w:color w:val="010101"/>
          <w:w w:val="105"/>
          <w:sz w:val="17"/>
        </w:rPr>
        <w:t>is equivalent  to a change in the rate of  interest </w:t>
      </w:r>
      <w:r>
        <w:rPr>
          <w:color w:val="010101"/>
          <w:sz w:val="17"/>
        </w:rPr>
        <w:t>f </w:t>
      </w:r>
      <w:r>
        <w:rPr>
          <w:color w:val="010101"/>
          <w:w w:val="105"/>
          <w:sz w:val="17"/>
        </w:rPr>
        <w:t>rom </w:t>
      </w:r>
      <w:r>
        <w:rPr>
          <w:i/>
          <w:color w:val="010101"/>
          <w:w w:val="120"/>
          <w:sz w:val="18"/>
        </w:rPr>
        <w:t>i </w:t>
      </w:r>
      <w:r>
        <w:rPr>
          <w:color w:val="010101"/>
          <w:w w:val="105"/>
          <w:sz w:val="17"/>
        </w:rPr>
        <w:t>to </w:t>
      </w:r>
      <w:r>
        <w:rPr>
          <w:i/>
          <w:color w:val="010101"/>
          <w:w w:val="105"/>
          <w:sz w:val="16"/>
        </w:rPr>
        <w:t>ec(l  </w:t>
      </w:r>
      <w:r>
        <w:rPr>
          <w:rFonts w:ascii="Arial" w:hAnsi="Arial"/>
          <w:color w:val="010101"/>
          <w:w w:val="105"/>
          <w:sz w:val="26"/>
        </w:rPr>
        <w:t>+ </w:t>
      </w:r>
      <w:r>
        <w:rPr>
          <w:color w:val="010101"/>
          <w:w w:val="120"/>
          <w:sz w:val="16"/>
        </w:rPr>
        <w:t>i)  </w:t>
      </w:r>
      <w:r>
        <w:rPr>
          <w:color w:val="010101"/>
          <w:w w:val="260"/>
          <w:sz w:val="16"/>
        </w:rPr>
        <w:t>-</w:t>
      </w:r>
      <w:r>
        <w:rPr>
          <w:color w:val="010101"/>
          <w:spacing w:val="-11"/>
          <w:w w:val="260"/>
          <w:sz w:val="16"/>
        </w:rPr>
        <w:t> </w:t>
      </w:r>
      <w:r>
        <w:rPr>
          <w:color w:val="010101"/>
          <w:w w:val="105"/>
          <w:sz w:val="17"/>
        </w:rPr>
        <w:t>1.</w:t>
      </w:r>
    </w:p>
    <w:p>
      <w:pPr>
        <w:spacing w:after="0" w:line="139" w:lineRule="auto"/>
        <w:jc w:val="left"/>
        <w:rPr>
          <w:sz w:val="17"/>
        </w:rPr>
        <w:sectPr>
          <w:pgSz w:w="7200" w:h="11340"/>
          <w:pgMar w:top="500" w:bottom="280" w:left="660" w:right="560"/>
        </w:sectPr>
      </w:pPr>
    </w:p>
    <w:p>
      <w:pPr>
        <w:tabs>
          <w:tab w:pos="5836" w:val="right" w:leader="none"/>
        </w:tabs>
        <w:spacing w:before="48"/>
        <w:ind w:left="2520" w:right="0" w:firstLine="0"/>
        <w:jc w:val="left"/>
        <w:rPr>
          <w:rFonts w:ascii="Arial"/>
          <w:sz w:val="18"/>
        </w:rPr>
      </w:pPr>
      <w:r>
        <w:rPr>
          <w:b/>
          <w:color w:val="010101"/>
          <w:w w:val="105"/>
          <w:sz w:val="15"/>
        </w:rPr>
        <w:t>EXERCISES</w:t>
      </w:r>
      <w:r>
        <w:rPr>
          <w:rFonts w:ascii="Arial"/>
          <w:color w:val="010101"/>
          <w:w w:val="105"/>
          <w:sz w:val="18"/>
        </w:rPr>
        <w:tab/>
        <w:t>63</w:t>
      </w:r>
    </w:p>
    <w:p>
      <w:pPr>
        <w:pStyle w:val="BodyText"/>
        <w:spacing w:before="4"/>
        <w:rPr>
          <w:rFonts w:ascii="Arial"/>
          <w:sz w:val="16"/>
        </w:rPr>
      </w:pPr>
    </w:p>
    <w:p>
      <w:pPr>
        <w:pStyle w:val="ListParagraph"/>
        <w:numPr>
          <w:ilvl w:val="1"/>
          <w:numId w:val="27"/>
        </w:numPr>
        <w:tabs>
          <w:tab w:pos="565" w:val="left" w:leader="none"/>
        </w:tabs>
        <w:spacing w:line="220" w:lineRule="auto" w:before="0" w:after="0"/>
        <w:ind w:left="120" w:right="147" w:firstLine="147"/>
        <w:jc w:val="left"/>
        <w:rPr>
          <w:color w:val="010101"/>
          <w:sz w:val="18"/>
        </w:rPr>
      </w:pPr>
      <w:r>
        <w:rPr>
          <w:color w:val="010101"/>
          <w:w w:val="105"/>
          <w:sz w:val="18"/>
        </w:rPr>
        <w:t>A</w:t>
      </w:r>
      <w:r>
        <w:rPr>
          <w:color w:val="010101"/>
          <w:spacing w:val="-4"/>
          <w:w w:val="105"/>
          <w:sz w:val="18"/>
        </w:rPr>
        <w:t> </w:t>
      </w:r>
      <w:r>
        <w:rPr>
          <w:color w:val="010101"/>
          <w:w w:val="105"/>
          <w:sz w:val="18"/>
        </w:rPr>
        <w:t>life</w:t>
      </w:r>
      <w:r>
        <w:rPr>
          <w:color w:val="010101"/>
          <w:spacing w:val="-12"/>
          <w:w w:val="105"/>
          <w:sz w:val="18"/>
        </w:rPr>
        <w:t> </w:t>
      </w:r>
      <w:r>
        <w:rPr>
          <w:color w:val="010101"/>
          <w:w w:val="105"/>
          <w:sz w:val="18"/>
        </w:rPr>
        <w:t>aged</w:t>
      </w:r>
      <w:r>
        <w:rPr>
          <w:color w:val="010101"/>
          <w:spacing w:val="-4"/>
          <w:w w:val="105"/>
          <w:sz w:val="18"/>
        </w:rPr>
        <w:t> </w:t>
      </w:r>
      <w:r>
        <w:rPr>
          <w:color w:val="010101"/>
          <w:w w:val="105"/>
          <w:sz w:val="18"/>
        </w:rPr>
        <w:t>40</w:t>
      </w:r>
      <w:r>
        <w:rPr>
          <w:color w:val="010101"/>
          <w:spacing w:val="-14"/>
          <w:w w:val="105"/>
          <w:sz w:val="18"/>
        </w:rPr>
        <w:t> </w:t>
      </w:r>
      <w:r>
        <w:rPr>
          <w:color w:val="010101"/>
          <w:w w:val="105"/>
          <w:sz w:val="18"/>
        </w:rPr>
        <w:t>is</w:t>
      </w:r>
      <w:r>
        <w:rPr>
          <w:color w:val="010101"/>
          <w:spacing w:val="-17"/>
          <w:w w:val="105"/>
          <w:sz w:val="18"/>
        </w:rPr>
        <w:t> </w:t>
      </w:r>
      <w:r>
        <w:rPr>
          <w:color w:val="010101"/>
          <w:w w:val="105"/>
          <w:sz w:val="18"/>
        </w:rPr>
        <w:t>subject</w:t>
      </w:r>
      <w:r>
        <w:rPr>
          <w:color w:val="010101"/>
          <w:spacing w:val="5"/>
          <w:w w:val="105"/>
          <w:sz w:val="18"/>
        </w:rPr>
        <w:t> </w:t>
      </w:r>
      <w:r>
        <w:rPr>
          <w:color w:val="010101"/>
          <w:w w:val="105"/>
          <w:sz w:val="18"/>
        </w:rPr>
        <w:t>to</w:t>
      </w:r>
      <w:r>
        <w:rPr>
          <w:color w:val="010101"/>
          <w:spacing w:val="2"/>
          <w:w w:val="105"/>
          <w:sz w:val="18"/>
        </w:rPr>
        <w:t> </w:t>
      </w:r>
      <w:r>
        <w:rPr>
          <w:color w:val="010101"/>
          <w:spacing w:val="-11"/>
          <w:w w:val="105"/>
          <w:sz w:val="18"/>
        </w:rPr>
        <w:t>1958</w:t>
      </w:r>
      <w:r>
        <w:rPr>
          <w:color w:val="010101"/>
          <w:spacing w:val="-15"/>
          <w:w w:val="105"/>
          <w:sz w:val="18"/>
        </w:rPr>
        <w:t> </w:t>
      </w:r>
      <w:r>
        <w:rPr>
          <w:color w:val="010101"/>
          <w:w w:val="105"/>
          <w:sz w:val="26"/>
        </w:rPr>
        <w:t>eso</w:t>
      </w:r>
      <w:r>
        <w:rPr>
          <w:color w:val="010101"/>
          <w:spacing w:val="-37"/>
          <w:w w:val="105"/>
          <w:sz w:val="26"/>
        </w:rPr>
        <w:t> </w:t>
      </w:r>
      <w:r>
        <w:rPr>
          <w:color w:val="010101"/>
          <w:w w:val="105"/>
          <w:sz w:val="18"/>
        </w:rPr>
        <w:t>mortality except</w:t>
      </w:r>
      <w:r>
        <w:rPr>
          <w:color w:val="010101"/>
          <w:spacing w:val="6"/>
          <w:w w:val="105"/>
          <w:sz w:val="18"/>
        </w:rPr>
        <w:t> </w:t>
      </w:r>
      <w:r>
        <w:rPr>
          <w:color w:val="010101"/>
          <w:w w:val="105"/>
          <w:sz w:val="18"/>
        </w:rPr>
        <w:t>at</w:t>
      </w:r>
      <w:r>
        <w:rPr>
          <w:color w:val="010101"/>
          <w:spacing w:val="-6"/>
          <w:w w:val="105"/>
          <w:sz w:val="18"/>
        </w:rPr>
        <w:t> </w:t>
      </w:r>
      <w:r>
        <w:rPr>
          <w:color w:val="010101"/>
          <w:w w:val="105"/>
          <w:sz w:val="18"/>
        </w:rPr>
        <w:t>age</w:t>
      </w:r>
      <w:r>
        <w:rPr>
          <w:color w:val="010101"/>
          <w:spacing w:val="-11"/>
          <w:w w:val="105"/>
          <w:sz w:val="18"/>
        </w:rPr>
        <w:t> </w:t>
      </w:r>
      <w:r>
        <w:rPr>
          <w:color w:val="010101"/>
          <w:w w:val="105"/>
          <w:sz w:val="18"/>
        </w:rPr>
        <w:t>45</w:t>
      </w:r>
      <w:r>
        <w:rPr>
          <w:color w:val="010101"/>
          <w:spacing w:val="-14"/>
          <w:w w:val="105"/>
          <w:sz w:val="18"/>
        </w:rPr>
        <w:t> </w:t>
      </w:r>
      <w:r>
        <w:rPr>
          <w:color w:val="010101"/>
          <w:w w:val="105"/>
          <w:sz w:val="18"/>
        </w:rPr>
        <w:t>where it  </w:t>
      </w:r>
      <w:r>
        <w:rPr>
          <w:color w:val="010101"/>
          <w:w w:val="105"/>
          <w:sz w:val="16"/>
        </w:rPr>
        <w:t>will  </w:t>
      </w:r>
      <w:r>
        <w:rPr>
          <w:color w:val="010101"/>
          <w:w w:val="155"/>
          <w:sz w:val="18"/>
        </w:rPr>
        <w:t>b </w:t>
      </w:r>
      <w:r>
        <w:rPr>
          <w:color w:val="010101"/>
          <w:w w:val="105"/>
          <w:sz w:val="18"/>
        </w:rPr>
        <w:t>exposed  to an extra hazard  producing  an  addition  of  </w:t>
      </w:r>
      <w:r>
        <w:rPr>
          <w:color w:val="010101"/>
          <w:w w:val="105"/>
          <w:sz w:val="16"/>
        </w:rPr>
        <w:t>.01 </w:t>
      </w:r>
      <w:r>
        <w:rPr>
          <w:color w:val="010101"/>
          <w:w w:val="105"/>
          <w:sz w:val="18"/>
        </w:rPr>
        <w:t>to</w:t>
      </w:r>
      <w:r>
        <w:rPr>
          <w:color w:val="010101"/>
          <w:spacing w:val="2"/>
          <w:w w:val="105"/>
          <w:sz w:val="18"/>
        </w:rPr>
        <w:t> </w:t>
      </w:r>
      <w:r>
        <w:rPr>
          <w:color w:val="010101"/>
          <w:w w:val="105"/>
          <w:sz w:val="18"/>
        </w:rPr>
        <w:t>the</w:t>
      </w:r>
    </w:p>
    <w:p>
      <w:pPr>
        <w:spacing w:line="212" w:lineRule="exact" w:before="0"/>
        <w:ind w:left="123" w:right="133" w:hanging="4"/>
        <w:jc w:val="left"/>
        <w:rPr>
          <w:sz w:val="18"/>
        </w:rPr>
      </w:pPr>
      <w:r>
        <w:rPr>
          <w:color w:val="010101"/>
          <w:w w:val="105"/>
          <w:sz w:val="26"/>
        </w:rPr>
        <w:t>eso </w:t>
      </w:r>
      <w:r>
        <w:rPr>
          <w:color w:val="010101"/>
          <w:w w:val="105"/>
          <w:sz w:val="18"/>
        </w:rPr>
        <w:t>rate of mortality. Calcula.te the value at a.ge 40 of an im.media.te an­</w:t>
      </w:r>
    </w:p>
    <w:p>
      <w:pPr>
        <w:tabs>
          <w:tab w:pos="4672" w:val="left" w:leader="none"/>
        </w:tabs>
        <w:spacing w:line="193" w:lineRule="exact" w:before="0"/>
        <w:ind w:left="123" w:right="133" w:firstLine="0"/>
        <w:jc w:val="left"/>
        <w:rPr>
          <w:sz w:val="16"/>
        </w:rPr>
      </w:pPr>
      <w:r>
        <w:rPr/>
        <w:pict>
          <v:shape style="position:absolute;margin-left:116.412598pt;margin-top:3.72907pt;width:9.75pt;height:17.5pt;mso-position-horizontal-relative:page;mso-position-vertical-relative:paragraph;z-index:-730312" type="#_x0000_t202" filled="false" stroked="false">
            <v:textbox inset="0,0,0,0">
              <w:txbxContent>
                <w:p>
                  <w:pPr>
                    <w:spacing w:line="350" w:lineRule="exact" w:before="0"/>
                    <w:ind w:left="0" w:right="-20" w:firstLine="0"/>
                    <w:jc w:val="left"/>
                    <w:rPr>
                      <w:i/>
                      <w:sz w:val="35"/>
                    </w:rPr>
                  </w:pPr>
                  <w:r>
                    <w:rPr>
                      <w:i/>
                      <w:color w:val="010101"/>
                      <w:w w:val="60"/>
                      <w:sz w:val="35"/>
                    </w:rPr>
                    <w:t>p</w:t>
                  </w:r>
                  <w:r>
                    <w:rPr>
                      <w:i/>
                      <w:color w:val="010101"/>
                      <w:spacing w:val="-33"/>
                      <w:w w:val="60"/>
                      <w:sz w:val="35"/>
                    </w:rPr>
                    <w:t> </w:t>
                  </w:r>
                  <w:r>
                    <w:rPr>
                      <w:i/>
                      <w:color w:val="010101"/>
                      <w:w w:val="60"/>
                      <w:sz w:val="35"/>
                    </w:rPr>
                    <w:t>:</w:t>
                  </w:r>
                </w:p>
              </w:txbxContent>
            </v:textbox>
            <w10:wrap type="none"/>
          </v:shape>
        </w:pict>
      </w:r>
      <w:r>
        <w:rPr>
          <w:color w:val="010101"/>
          <w:w w:val="110"/>
          <w:sz w:val="18"/>
        </w:rPr>
        <w:t>nuity of  </w:t>
      </w:r>
      <w:r>
        <w:rPr>
          <w:color w:val="010101"/>
          <w:w w:val="115"/>
          <w:sz w:val="16"/>
        </w:rPr>
        <w:t>1 </w:t>
      </w:r>
      <w:r>
        <w:rPr>
          <w:color w:val="010101"/>
          <w:w w:val="110"/>
          <w:sz w:val="18"/>
        </w:rPr>
        <w:t>per annum to this life at</w:t>
      </w:r>
      <w:r>
        <w:rPr>
          <w:color w:val="010101"/>
          <w:spacing w:val="24"/>
          <w:w w:val="110"/>
          <w:sz w:val="18"/>
        </w:rPr>
        <w:t> </w:t>
      </w:r>
      <w:r>
        <w:rPr>
          <w:color w:val="010101"/>
          <w:w w:val="110"/>
          <w:sz w:val="16"/>
        </w:rPr>
        <w:t>3%</w:t>
      </w:r>
      <w:r>
        <w:rPr>
          <w:color w:val="010101"/>
          <w:spacing w:val="4"/>
          <w:w w:val="110"/>
          <w:sz w:val="16"/>
        </w:rPr>
        <w:t> </w:t>
      </w:r>
      <w:r>
        <w:rPr>
          <w:color w:val="010101"/>
          <w:w w:val="110"/>
          <w:sz w:val="18"/>
        </w:rPr>
        <w:t>interest.</w:t>
        <w:tab/>
        <w:t>(Ans.</w:t>
      </w:r>
      <w:r>
        <w:rPr>
          <w:color w:val="010101"/>
          <w:spacing w:val="-24"/>
          <w:w w:val="110"/>
          <w:sz w:val="18"/>
        </w:rPr>
        <w:t> </w:t>
      </w:r>
      <w:r>
        <w:rPr>
          <w:color w:val="010101"/>
          <w:spacing w:val="-5"/>
          <w:w w:val="110"/>
          <w:sz w:val="16"/>
        </w:rPr>
        <w:t>19.22465)</w:t>
      </w:r>
    </w:p>
    <w:p>
      <w:pPr>
        <w:pStyle w:val="ListParagraph"/>
        <w:numPr>
          <w:ilvl w:val="1"/>
          <w:numId w:val="27"/>
        </w:numPr>
        <w:tabs>
          <w:tab w:pos="565" w:val="left" w:leader="none"/>
          <w:tab w:pos="1867" w:val="left" w:leader="none"/>
        </w:tabs>
        <w:spacing w:line="139" w:lineRule="auto" w:before="66" w:after="0"/>
        <w:ind w:left="116" w:right="149" w:firstLine="161"/>
        <w:jc w:val="left"/>
        <w:rPr>
          <w:color w:val="010101"/>
          <w:sz w:val="17"/>
        </w:rPr>
      </w:pPr>
      <w:r>
        <w:rPr>
          <w:color w:val="010101"/>
          <w:w w:val="105"/>
          <w:sz w:val="18"/>
        </w:rPr>
        <w:t>The</w:t>
      </w:r>
      <w:r>
        <w:rPr>
          <w:color w:val="010101"/>
          <w:spacing w:val="-7"/>
          <w:w w:val="105"/>
          <w:sz w:val="18"/>
        </w:rPr>
        <w:t> </w:t>
      </w:r>
      <w:r>
        <w:rPr>
          <w:color w:val="010101"/>
          <w:w w:val="105"/>
          <w:sz w:val="18"/>
        </w:rPr>
        <w:t>values</w:t>
      </w:r>
      <w:r>
        <w:rPr>
          <w:color w:val="010101"/>
          <w:spacing w:val="3"/>
          <w:w w:val="105"/>
          <w:sz w:val="18"/>
        </w:rPr>
        <w:t> </w:t>
      </w:r>
      <w:r>
        <w:rPr>
          <w:color w:val="010101"/>
          <w:w w:val="105"/>
          <w:sz w:val="18"/>
        </w:rPr>
        <w:t>of</w:t>
        <w:tab/>
        <w:t>in </w:t>
      </w:r>
      <w:r>
        <w:rPr>
          <w:b/>
          <w:color w:val="010101"/>
          <w:w w:val="105"/>
          <w:sz w:val="17"/>
        </w:rPr>
        <w:t>a new </w:t>
      </w:r>
      <w:r>
        <w:rPr>
          <w:color w:val="010101"/>
          <w:w w:val="105"/>
          <w:sz w:val="18"/>
        </w:rPr>
        <w:t>mortality table are related to the  </w:t>
      </w:r>
      <w:r>
        <w:rPr>
          <w:color w:val="010101"/>
          <w:spacing w:val="4"/>
          <w:w w:val="105"/>
          <w:sz w:val="18"/>
        </w:rPr>
        <w:t> </w:t>
      </w:r>
      <w:r>
        <w:rPr>
          <w:color w:val="010101"/>
          <w:w w:val="105"/>
          <w:sz w:val="17"/>
        </w:rPr>
        <w:t>Ps</w:t>
      </w:r>
      <w:r>
        <w:rPr>
          <w:color w:val="010101"/>
          <w:spacing w:val="9"/>
          <w:w w:val="105"/>
          <w:sz w:val="17"/>
        </w:rPr>
        <w:t> </w:t>
      </w:r>
      <w:r>
        <w:rPr>
          <w:color w:val="010101"/>
          <w:w w:val="105"/>
          <w:sz w:val="18"/>
        </w:rPr>
        <w:t>values</w:t>
      </w:r>
      <w:r>
        <w:rPr>
          <w:color w:val="010101"/>
          <w:w w:val="103"/>
          <w:sz w:val="18"/>
        </w:rPr>
        <w:t> </w:t>
      </w:r>
      <w:r>
        <w:rPr>
          <w:color w:val="010101"/>
          <w:w w:val="90"/>
          <w:sz w:val="18"/>
        </w:rPr>
        <w:t>of </w:t>
      </w:r>
      <w:r>
        <w:rPr>
          <w:color w:val="010101"/>
          <w:w w:val="110"/>
          <w:sz w:val="18"/>
        </w:rPr>
        <w:t>a </w:t>
      </w:r>
      <w:r>
        <w:rPr>
          <w:color w:val="010101"/>
          <w:w w:val="108"/>
          <w:sz w:val="18"/>
        </w:rPr>
        <w:t>standard </w:t>
      </w:r>
      <w:r>
        <w:rPr>
          <w:color w:val="010101"/>
          <w:w w:val="96"/>
          <w:sz w:val="18"/>
        </w:rPr>
        <w:t>ta.ble </w:t>
      </w:r>
      <w:r>
        <w:rPr>
          <w:color w:val="010101"/>
          <w:w w:val="104"/>
          <w:sz w:val="18"/>
        </w:rPr>
        <w:t>by </w:t>
      </w:r>
      <w:r>
        <w:rPr>
          <w:i/>
          <w:color w:val="010101"/>
          <w:w w:val="142"/>
          <w:sz w:val="18"/>
        </w:rPr>
        <w:t>p </w:t>
      </w:r>
      <w:r>
        <w:rPr>
          <w:color w:val="010101"/>
          <w:w w:val="82"/>
          <w:sz w:val="24"/>
        </w:rPr>
        <w:t>= </w:t>
      </w:r>
      <w:r>
        <w:rPr>
          <w:rFonts w:ascii="Courier New"/>
          <w:color w:val="010101"/>
          <w:spacing w:val="-64"/>
          <w:w w:val="120"/>
          <w:sz w:val="19"/>
        </w:rPr>
        <w:t>(1</w:t>
      </w:r>
      <w:r>
        <w:rPr>
          <w:rFonts w:ascii="Courier New"/>
          <w:color w:val="010101"/>
          <w:spacing w:val="-83"/>
          <w:w w:val="120"/>
          <w:sz w:val="19"/>
        </w:rPr>
        <w:t> </w:t>
      </w:r>
      <w:r>
        <w:rPr>
          <w:rFonts w:ascii="Arial"/>
          <w:color w:val="010101"/>
          <w:w w:val="104"/>
          <w:sz w:val="27"/>
        </w:rPr>
        <w:t>+ </w:t>
      </w:r>
      <w:r>
        <w:rPr>
          <w:color w:val="010101"/>
          <w:w w:val="109"/>
          <w:sz w:val="17"/>
        </w:rPr>
        <w:t>r)ps </w:t>
      </w:r>
      <w:r>
        <w:rPr>
          <w:color w:val="010101"/>
          <w:w w:val="104"/>
          <w:sz w:val="18"/>
        </w:rPr>
        <w:t>for </w:t>
      </w:r>
      <w:r>
        <w:rPr>
          <w:color w:val="010101"/>
          <w:w w:val="105"/>
          <w:sz w:val="18"/>
        </w:rPr>
        <w:t>all </w:t>
      </w:r>
      <w:r>
        <w:rPr>
          <w:color w:val="010101"/>
          <w:w w:val="119"/>
          <w:sz w:val="18"/>
        </w:rPr>
        <w:t>z. </w:t>
      </w:r>
      <w:r>
        <w:rPr>
          <w:color w:val="010101"/>
          <w:w w:val="98"/>
          <w:sz w:val="18"/>
        </w:rPr>
        <w:t>Show </w:t>
      </w:r>
      <w:r>
        <w:rPr>
          <w:color w:val="010101"/>
          <w:w w:val="115"/>
          <w:sz w:val="18"/>
        </w:rPr>
        <w:t>that </w:t>
      </w:r>
      <w:r>
        <w:rPr>
          <w:color w:val="010101"/>
          <w:w w:val="108"/>
          <w:sz w:val="18"/>
        </w:rPr>
        <w:t>annuity </w:t>
      </w:r>
      <w:r>
        <w:rPr>
          <w:color w:val="010101"/>
          <w:w w:val="101"/>
          <w:sz w:val="18"/>
        </w:rPr>
        <w:t>values </w:t>
      </w:r>
      <w:r>
        <w:rPr>
          <w:color w:val="010101"/>
          <w:w w:val="102"/>
          <w:sz w:val="18"/>
        </w:rPr>
        <w:t>on</w:t>
      </w:r>
    </w:p>
    <w:p>
      <w:pPr>
        <w:spacing w:line="205" w:lineRule="exact" w:before="0"/>
        <w:ind w:left="127" w:right="123" w:firstLine="0"/>
        <w:jc w:val="left"/>
        <w:rPr>
          <w:sz w:val="18"/>
        </w:rPr>
      </w:pPr>
      <w:r>
        <w:rPr>
          <w:color w:val="010101"/>
          <w:w w:val="110"/>
          <w:sz w:val="18"/>
        </w:rPr>
        <w:t>the new table at rate of interest </w:t>
      </w:r>
      <w:r>
        <w:rPr>
          <w:i/>
          <w:color w:val="010101"/>
          <w:w w:val="110"/>
          <w:sz w:val="19"/>
        </w:rPr>
        <w:t>i </w:t>
      </w:r>
      <w:r>
        <w:rPr>
          <w:color w:val="010101"/>
          <w:w w:val="110"/>
          <w:sz w:val="18"/>
        </w:rPr>
        <w:t>are equal to those on the standard table</w:t>
      </w:r>
    </w:p>
    <w:p>
      <w:pPr>
        <w:tabs>
          <w:tab w:pos="1540" w:val="left" w:leader="none"/>
        </w:tabs>
        <w:spacing w:line="118" w:lineRule="exact" w:before="0"/>
        <w:ind w:left="123" w:right="739" w:firstLine="0"/>
        <w:jc w:val="left"/>
        <w:rPr>
          <w:sz w:val="18"/>
        </w:rPr>
      </w:pPr>
      <w:r>
        <w:rPr>
          <w:color w:val="010101"/>
          <w:w w:val="120"/>
          <w:sz w:val="18"/>
        </w:rPr>
        <w:t>at rate</w:t>
      </w:r>
      <w:r>
        <w:rPr>
          <w:color w:val="010101"/>
          <w:spacing w:val="-22"/>
          <w:w w:val="120"/>
          <w:sz w:val="18"/>
        </w:rPr>
        <w:t> </w:t>
      </w:r>
      <w:r>
        <w:rPr>
          <w:color w:val="010101"/>
          <w:w w:val="110"/>
          <w:sz w:val="18"/>
        </w:rPr>
        <w:t>of</w:t>
      </w:r>
      <w:r>
        <w:rPr>
          <w:color w:val="010101"/>
          <w:spacing w:val="12"/>
          <w:w w:val="110"/>
          <w:sz w:val="18"/>
        </w:rPr>
        <w:t> </w:t>
      </w:r>
      <w:r>
        <w:rPr>
          <w:color w:val="010101"/>
          <w:w w:val="120"/>
          <w:position w:val="11"/>
          <w:sz w:val="19"/>
        </w:rPr>
        <w:t>.</w:t>
        <w:tab/>
        <w:t>., </w:t>
      </w:r>
      <w:r>
        <w:rPr>
          <w:color w:val="010101"/>
          <w:w w:val="110"/>
          <w:sz w:val="21"/>
        </w:rPr>
        <w:t>= </w:t>
      </w:r>
      <w:r>
        <w:rPr>
          <w:i/>
          <w:color w:val="010101"/>
          <w:w w:val="145"/>
          <w:position w:val="11"/>
          <w:sz w:val="19"/>
        </w:rPr>
        <w:t>i </w:t>
      </w:r>
      <w:r>
        <w:rPr>
          <w:color w:val="010101"/>
          <w:w w:val="230"/>
          <w:position w:val="11"/>
          <w:sz w:val="19"/>
        </w:rPr>
        <w:t>-</w:t>
      </w:r>
      <w:r>
        <w:rPr>
          <w:color w:val="010101"/>
          <w:spacing w:val="-41"/>
          <w:w w:val="230"/>
          <w:position w:val="11"/>
          <w:sz w:val="19"/>
        </w:rPr>
        <w:t> </w:t>
      </w:r>
      <w:r>
        <w:rPr>
          <w:i/>
          <w:color w:val="010101"/>
          <w:w w:val="110"/>
          <w:position w:val="11"/>
          <w:sz w:val="18"/>
        </w:rPr>
        <w:t>r </w:t>
      </w:r>
      <w:r>
        <w:rPr>
          <w:color w:val="010101"/>
          <w:w w:val="145"/>
          <w:sz w:val="18"/>
        </w:rPr>
        <w:t>.</w:t>
      </w:r>
    </w:p>
    <w:p>
      <w:pPr>
        <w:spacing w:after="0" w:line="118" w:lineRule="exact"/>
        <w:jc w:val="left"/>
        <w:rPr>
          <w:sz w:val="18"/>
        </w:rPr>
        <w:sectPr>
          <w:pgSz w:w="7200" w:h="11340"/>
          <w:pgMar w:top="520" w:bottom="280" w:left="680" w:right="540"/>
        </w:sectPr>
      </w:pPr>
    </w:p>
    <w:p>
      <w:pPr>
        <w:spacing w:before="1"/>
        <w:ind w:left="876" w:right="-19" w:firstLine="0"/>
        <w:jc w:val="left"/>
        <w:rPr>
          <w:i/>
          <w:sz w:val="13"/>
        </w:rPr>
      </w:pPr>
      <w:r>
        <w:rPr/>
        <w:pict>
          <v:shape style="position:absolute;margin-left:135.425995pt;margin-top:5.047612pt;width:13.95pt;height:12.5pt;mso-position-horizontal-relative:page;mso-position-vertical-relative:paragraph;z-index:-730288" type="#_x0000_t202" filled="false" stroked="false">
            <v:textbox inset="0,0,0,0">
              <w:txbxContent>
                <w:p>
                  <w:pPr>
                    <w:spacing w:line="250" w:lineRule="exact" w:before="0"/>
                    <w:ind w:left="0" w:right="-19" w:firstLine="0"/>
                    <w:jc w:val="left"/>
                    <w:rPr>
                      <w:i/>
                      <w:sz w:val="25"/>
                    </w:rPr>
                  </w:pPr>
                  <w:r>
                    <w:rPr>
                      <w:i/>
                      <w:color w:val="010101"/>
                      <w:w w:val="95"/>
                      <w:sz w:val="25"/>
                    </w:rPr>
                    <w:t>+</w:t>
                  </w:r>
                  <w:r>
                    <w:rPr>
                      <w:i/>
                      <w:color w:val="010101"/>
                      <w:spacing w:val="-35"/>
                      <w:w w:val="95"/>
                      <w:sz w:val="25"/>
                    </w:rPr>
                    <w:t> </w:t>
                  </w:r>
                  <w:r>
                    <w:rPr>
                      <w:i/>
                      <w:color w:val="010101"/>
                      <w:w w:val="95"/>
                      <w:sz w:val="25"/>
                    </w:rPr>
                    <w:t>r</w:t>
                  </w:r>
                </w:p>
              </w:txbxContent>
            </v:textbox>
            <w10:wrap type="none"/>
          </v:shape>
        </w:pict>
      </w:r>
      <w:r>
        <w:rPr>
          <w:color w:val="010101"/>
          <w:w w:val="115"/>
          <w:sz w:val="18"/>
        </w:rPr>
        <w:t>mterest</w:t>
      </w:r>
      <w:r>
        <w:rPr>
          <w:color w:val="010101"/>
          <w:spacing w:val="-5"/>
          <w:w w:val="115"/>
          <w:sz w:val="18"/>
        </w:rPr>
        <w:t> </w:t>
      </w:r>
      <w:r>
        <w:rPr>
          <w:i/>
          <w:color w:val="010101"/>
          <w:w w:val="115"/>
          <w:sz w:val="13"/>
        </w:rPr>
        <w:t>i</w:t>
      </w:r>
    </w:p>
    <w:p>
      <w:pPr>
        <w:spacing w:line="146" w:lineRule="auto" w:before="49"/>
        <w:ind w:left="273" w:right="3545" w:firstLine="0"/>
        <w:jc w:val="left"/>
        <w:rPr>
          <w:sz w:val="18"/>
        </w:rPr>
      </w:pPr>
      <w:r>
        <w:rPr/>
        <w:br w:type="column"/>
      </w:r>
      <w:r>
        <w:rPr>
          <w:color w:val="010101"/>
          <w:spacing w:val="-47"/>
          <w:w w:val="294"/>
          <w:sz w:val="21"/>
        </w:rPr>
        <w:t>-</w:t>
      </w:r>
      <w:r>
        <w:rPr>
          <w:color w:val="010101"/>
          <w:spacing w:val="-47"/>
          <w:w w:val="294"/>
          <w:sz w:val="18"/>
        </w:rPr>
        <w:t>--</w:t>
      </w:r>
      <w:r>
        <w:rPr>
          <w:color w:val="010101"/>
          <w:w w:val="294"/>
          <w:sz w:val="18"/>
        </w:rPr>
        <w:t> </w:t>
      </w:r>
      <w:r>
        <w:rPr>
          <w:color w:val="010101"/>
          <w:w w:val="165"/>
          <w:sz w:val="18"/>
        </w:rPr>
        <w:t>1</w:t>
      </w:r>
    </w:p>
    <w:p>
      <w:pPr>
        <w:spacing w:after="0" w:line="146" w:lineRule="auto"/>
        <w:jc w:val="left"/>
        <w:rPr>
          <w:sz w:val="18"/>
        </w:rPr>
        <w:sectPr>
          <w:type w:val="continuous"/>
          <w:pgSz w:w="7200" w:h="11340"/>
          <w:pgMar w:top="1100" w:bottom="0" w:left="680" w:right="540"/>
          <w:cols w:num="2" w:equalWidth="0">
            <w:col w:w="1575" w:space="40"/>
            <w:col w:w="4365"/>
          </w:cols>
        </w:sectPr>
      </w:pPr>
    </w:p>
    <w:p>
      <w:pPr>
        <w:pStyle w:val="BodyText"/>
        <w:spacing w:before="5"/>
        <w:rPr>
          <w:sz w:val="21"/>
        </w:rPr>
      </w:pPr>
    </w:p>
    <w:p>
      <w:pPr>
        <w:pStyle w:val="ListParagraph"/>
        <w:numPr>
          <w:ilvl w:val="0"/>
          <w:numId w:val="28"/>
        </w:numPr>
        <w:tabs>
          <w:tab w:pos="321" w:val="left" w:leader="none"/>
        </w:tabs>
        <w:spacing w:line="240" w:lineRule="auto" w:before="78" w:after="0"/>
        <w:ind w:left="320" w:right="0" w:hanging="204"/>
        <w:jc w:val="left"/>
        <w:rPr>
          <w:b/>
          <w:sz w:val="17"/>
        </w:rPr>
      </w:pPr>
      <w:r>
        <w:rPr>
          <w:b/>
          <w:color w:val="010101"/>
          <w:w w:val="115"/>
          <w:sz w:val="17"/>
        </w:rPr>
        <w:t>Summary  of </w:t>
      </w:r>
      <w:r>
        <w:rPr>
          <w:b/>
          <w:color w:val="010101"/>
          <w:spacing w:val="11"/>
          <w:w w:val="115"/>
          <w:sz w:val="17"/>
        </w:rPr>
        <w:t> </w:t>
      </w:r>
      <w:r>
        <w:rPr>
          <w:b/>
          <w:color w:val="010101"/>
          <w:w w:val="115"/>
          <w:sz w:val="17"/>
        </w:rPr>
        <w:t>notation</w:t>
      </w:r>
    </w:p>
    <w:p>
      <w:pPr>
        <w:pStyle w:val="ListParagraph"/>
        <w:numPr>
          <w:ilvl w:val="1"/>
          <w:numId w:val="28"/>
        </w:numPr>
        <w:tabs>
          <w:tab w:pos="562" w:val="left" w:leader="none"/>
        </w:tabs>
        <w:spacing w:line="204" w:lineRule="exact" w:before="111" w:after="0"/>
        <w:ind w:left="561" w:right="0" w:hanging="287"/>
        <w:jc w:val="left"/>
        <w:rPr>
          <w:sz w:val="18"/>
        </w:rPr>
      </w:pPr>
      <w:r>
        <w:rPr>
          <w:color w:val="010101"/>
          <w:sz w:val="18"/>
        </w:rPr>
        <w:t>Write  a single  symbol for  ea.ch  of  the</w:t>
      </w:r>
      <w:r>
        <w:rPr>
          <w:color w:val="010101"/>
          <w:spacing w:val="-19"/>
          <w:sz w:val="18"/>
        </w:rPr>
        <w:t> </w:t>
      </w:r>
      <w:r>
        <w:rPr>
          <w:color w:val="010101"/>
          <w:sz w:val="18"/>
        </w:rPr>
        <w:t>following:</w:t>
      </w:r>
    </w:p>
    <w:p>
      <w:pPr>
        <w:pStyle w:val="ListParagraph"/>
        <w:numPr>
          <w:ilvl w:val="2"/>
          <w:numId w:val="28"/>
        </w:numPr>
        <w:tabs>
          <w:tab w:pos="752" w:val="left" w:leader="none"/>
        </w:tabs>
        <w:spacing w:line="206" w:lineRule="exact" w:before="0" w:after="0"/>
        <w:ind w:left="744" w:right="126" w:hanging="284"/>
        <w:jc w:val="left"/>
        <w:rPr>
          <w:color w:val="010101"/>
          <w:sz w:val="18"/>
        </w:rPr>
      </w:pPr>
      <w:r>
        <w:rPr>
          <w:color w:val="010101"/>
          <w:w w:val="105"/>
          <w:sz w:val="18"/>
        </w:rPr>
        <w:t>the present value at a.ge </w:t>
      </w:r>
      <w:r>
        <w:rPr>
          <w:color w:val="010101"/>
          <w:w w:val="105"/>
          <w:sz w:val="16"/>
        </w:rPr>
        <w:t>35 </w:t>
      </w:r>
      <w:r>
        <w:rPr>
          <w:color w:val="010101"/>
          <w:w w:val="105"/>
          <w:sz w:val="18"/>
        </w:rPr>
        <w:t>of an annuity of </w:t>
      </w:r>
      <w:r>
        <w:rPr>
          <w:color w:val="010101"/>
          <w:w w:val="105"/>
          <w:sz w:val="16"/>
        </w:rPr>
        <w:t>1 </w:t>
      </w:r>
      <w:r>
        <w:rPr>
          <w:color w:val="010101"/>
          <w:w w:val="105"/>
          <w:sz w:val="18"/>
        </w:rPr>
        <w:t>per annum, first </w:t>
      </w:r>
      <w:r>
        <w:rPr>
          <w:color w:val="010101"/>
          <w:spacing w:val="5"/>
          <w:w w:val="105"/>
          <w:sz w:val="18"/>
        </w:rPr>
        <w:t>pay</w:t>
      </w:r>
      <w:r>
        <w:rPr>
          <w:color w:val="1A1A1A"/>
          <w:spacing w:val="5"/>
          <w:w w:val="105"/>
          <w:sz w:val="18"/>
        </w:rPr>
        <w:t>­ </w:t>
      </w:r>
      <w:r>
        <w:rPr>
          <w:color w:val="010101"/>
          <w:w w:val="105"/>
          <w:sz w:val="18"/>
        </w:rPr>
        <w:t>ment  at  age</w:t>
      </w:r>
      <w:r>
        <w:rPr>
          <w:color w:val="010101"/>
          <w:spacing w:val="-21"/>
          <w:w w:val="105"/>
          <w:sz w:val="18"/>
        </w:rPr>
        <w:t> </w:t>
      </w:r>
      <w:r>
        <w:rPr>
          <w:color w:val="010101"/>
          <w:w w:val="105"/>
          <w:sz w:val="16"/>
        </w:rPr>
        <w:t>42;</w:t>
      </w:r>
    </w:p>
    <w:p>
      <w:pPr>
        <w:pStyle w:val="ListParagraph"/>
        <w:numPr>
          <w:ilvl w:val="2"/>
          <w:numId w:val="28"/>
        </w:numPr>
        <w:tabs>
          <w:tab w:pos="745" w:val="left" w:leader="none"/>
        </w:tabs>
        <w:spacing w:line="195" w:lineRule="exact" w:before="0" w:after="0"/>
        <w:ind w:left="744" w:right="0" w:hanging="284"/>
        <w:jc w:val="left"/>
        <w:rPr>
          <w:rFonts w:ascii="Arial"/>
          <w:color w:val="010101"/>
          <w:sz w:val="16"/>
        </w:rPr>
      </w:pPr>
      <w:r>
        <w:rPr>
          <w:color w:val="010101"/>
          <w:w w:val="105"/>
          <w:sz w:val="18"/>
        </w:rPr>
        <w:t>the present  value at age </w:t>
      </w:r>
      <w:r>
        <w:rPr>
          <w:color w:val="010101"/>
          <w:w w:val="105"/>
          <w:sz w:val="16"/>
        </w:rPr>
        <w:t>35 </w:t>
      </w:r>
      <w:r>
        <w:rPr>
          <w:color w:val="010101"/>
          <w:w w:val="105"/>
          <w:sz w:val="18"/>
        </w:rPr>
        <w:t>of  a </w:t>
      </w:r>
      <w:r>
        <w:rPr>
          <w:color w:val="010101"/>
          <w:spacing w:val="-5"/>
          <w:w w:val="105"/>
          <w:sz w:val="18"/>
        </w:rPr>
        <w:t>15-year  </w:t>
      </w:r>
      <w:r>
        <w:rPr>
          <w:color w:val="010101"/>
          <w:w w:val="105"/>
          <w:sz w:val="18"/>
        </w:rPr>
        <w:t>temporary  annuity-due</w:t>
      </w:r>
      <w:r>
        <w:rPr>
          <w:color w:val="010101"/>
          <w:spacing w:val="33"/>
          <w:w w:val="105"/>
          <w:sz w:val="18"/>
        </w:rPr>
        <w:t> </w:t>
      </w:r>
      <w:r>
        <w:rPr>
          <w:rFonts w:ascii="Arial"/>
          <w:color w:val="010101"/>
          <w:w w:val="105"/>
          <w:sz w:val="16"/>
        </w:rPr>
        <w:t>of</w:t>
      </w:r>
    </w:p>
    <w:p>
      <w:pPr>
        <w:spacing w:line="201" w:lineRule="exact" w:before="0"/>
        <w:ind w:left="751" w:right="739" w:firstLine="0"/>
        <w:jc w:val="left"/>
        <w:rPr>
          <w:sz w:val="18"/>
        </w:rPr>
      </w:pPr>
      <w:r>
        <w:rPr>
          <w:color w:val="010101"/>
          <w:w w:val="110"/>
          <w:sz w:val="16"/>
        </w:rPr>
        <w:t>10  </w:t>
      </w:r>
      <w:r>
        <w:rPr>
          <w:color w:val="010101"/>
          <w:w w:val="110"/>
          <w:sz w:val="18"/>
        </w:rPr>
        <w:t>per month ;</w:t>
      </w:r>
    </w:p>
    <w:p>
      <w:pPr>
        <w:spacing w:line="237" w:lineRule="auto" w:before="0"/>
        <w:ind w:left="744" w:right="133" w:hanging="284"/>
        <w:jc w:val="left"/>
        <w:rPr>
          <w:sz w:val="18"/>
        </w:rPr>
      </w:pPr>
      <w:r>
        <w:rPr>
          <w:color w:val="010101"/>
          <w:w w:val="105"/>
          <w:sz w:val="16"/>
        </w:rPr>
        <w:t>(e) </w:t>
      </w:r>
      <w:r>
        <w:rPr>
          <w:color w:val="010101"/>
          <w:w w:val="105"/>
          <w:sz w:val="18"/>
        </w:rPr>
        <w:t>the present value at a.ge 40 of an annuity of 1 payable every 6 months, first payment  at the end of  </w:t>
      </w:r>
      <w:r>
        <w:rPr>
          <w:rFonts w:ascii="Arial"/>
          <w:color w:val="010101"/>
          <w:w w:val="105"/>
          <w:sz w:val="17"/>
        </w:rPr>
        <w:t>3  </w:t>
      </w:r>
      <w:r>
        <w:rPr>
          <w:color w:val="010101"/>
          <w:w w:val="105"/>
          <w:sz w:val="18"/>
        </w:rPr>
        <w:t>months;</w:t>
      </w:r>
    </w:p>
    <w:p>
      <w:pPr>
        <w:spacing w:line="235" w:lineRule="auto" w:before="0"/>
        <w:ind w:left="744" w:right="103" w:hanging="280"/>
        <w:jc w:val="both"/>
        <w:rPr>
          <w:sz w:val="18"/>
        </w:rPr>
      </w:pPr>
      <w:r>
        <w:rPr>
          <w:rFonts w:ascii="Arial"/>
          <w:color w:val="010101"/>
          <w:sz w:val="16"/>
        </w:rPr>
        <w:t>(d) </w:t>
      </w:r>
      <w:r>
        <w:rPr>
          <w:color w:val="010101"/>
          <w:sz w:val="18"/>
        </w:rPr>
        <w:t>the present value at </w:t>
      </w:r>
      <w:r>
        <w:rPr>
          <w:rFonts w:ascii="Arial"/>
          <w:b/>
          <w:color w:val="010101"/>
          <w:sz w:val="15"/>
        </w:rPr>
        <w:t>a.ge </w:t>
      </w:r>
      <w:r>
        <w:rPr>
          <w:b/>
          <w:color w:val="010101"/>
          <w:sz w:val="18"/>
        </w:rPr>
        <w:t>50 </w:t>
      </w:r>
      <w:r>
        <w:rPr>
          <w:color w:val="010101"/>
          <w:sz w:val="18"/>
        </w:rPr>
        <w:t>of an immediate  annuity  paya.ble  monthly with first payment 1, second payment  2,  increasing  by  1 each </w:t>
      </w:r>
      <w:r>
        <w:rPr>
          <w:color w:val="010101"/>
          <w:spacing w:val="22"/>
          <w:sz w:val="18"/>
        </w:rPr>
        <w:t> </w:t>
      </w:r>
      <w:r>
        <w:rPr>
          <w:color w:val="010101"/>
          <w:sz w:val="18"/>
        </w:rPr>
        <w:t>month;</w:t>
      </w:r>
    </w:p>
    <w:p>
      <w:pPr>
        <w:spacing w:line="232" w:lineRule="auto" w:before="0"/>
        <w:ind w:left="744" w:right="133" w:hanging="280"/>
        <w:jc w:val="left"/>
        <w:rPr>
          <w:sz w:val="18"/>
        </w:rPr>
      </w:pPr>
      <w:r>
        <w:rPr>
          <w:color w:val="010101"/>
          <w:sz w:val="18"/>
        </w:rPr>
        <w:t>(e) the present value at a.ge 20 of a 15-year deferred 10-year tellli&gt;orary continuous  annuity  of  1per  annum.</w:t>
      </w:r>
    </w:p>
    <w:p>
      <w:pPr>
        <w:pStyle w:val="BodyText"/>
        <w:rPr>
          <w:sz w:val="18"/>
        </w:rPr>
      </w:pPr>
    </w:p>
    <w:p>
      <w:pPr>
        <w:pStyle w:val="BodyText"/>
        <w:spacing w:before="3"/>
        <w:rPr>
          <w:sz w:val="14"/>
        </w:rPr>
      </w:pPr>
    </w:p>
    <w:p>
      <w:pPr>
        <w:spacing w:before="1"/>
        <w:ind w:left="109" w:right="739" w:firstLine="0"/>
        <w:jc w:val="left"/>
        <w:rPr>
          <w:b/>
          <w:sz w:val="17"/>
        </w:rPr>
      </w:pPr>
      <w:r>
        <w:rPr>
          <w:b/>
          <w:color w:val="010101"/>
          <w:w w:val="115"/>
          <w:sz w:val="17"/>
        </w:rPr>
        <w:t>Miscellaneous  problems</w:t>
      </w:r>
    </w:p>
    <w:p>
      <w:pPr>
        <w:spacing w:line="235" w:lineRule="auto" w:before="115"/>
        <w:ind w:left="120" w:right="135" w:firstLine="165"/>
        <w:jc w:val="both"/>
        <w:rPr>
          <w:sz w:val="18"/>
        </w:rPr>
      </w:pPr>
      <w:r>
        <w:rPr>
          <w:i/>
          <w:color w:val="010101"/>
          <w:w w:val="120"/>
          <w:sz w:val="18"/>
        </w:rPr>
        <w:t>'n.</w:t>
      </w:r>
      <w:r>
        <w:rPr>
          <w:i/>
          <w:color w:val="010101"/>
          <w:spacing w:val="-43"/>
          <w:w w:val="120"/>
          <w:sz w:val="18"/>
        </w:rPr>
        <w:t> </w:t>
      </w:r>
      <w:r>
        <w:rPr>
          <w:color w:val="010101"/>
          <w:w w:val="110"/>
          <w:sz w:val="18"/>
        </w:rPr>
        <w:t>Write</w:t>
      </w:r>
      <w:r>
        <w:rPr>
          <w:color w:val="010101"/>
          <w:spacing w:val="-24"/>
          <w:w w:val="110"/>
          <w:sz w:val="18"/>
        </w:rPr>
        <w:t> </w:t>
      </w:r>
      <w:r>
        <w:rPr>
          <w:color w:val="010101"/>
          <w:w w:val="110"/>
          <w:sz w:val="18"/>
        </w:rPr>
        <w:t>expressions</w:t>
      </w:r>
      <w:r>
        <w:rPr>
          <w:color w:val="010101"/>
          <w:spacing w:val="-22"/>
          <w:w w:val="110"/>
          <w:sz w:val="18"/>
        </w:rPr>
        <w:t> </w:t>
      </w:r>
      <w:r>
        <w:rPr>
          <w:color w:val="010101"/>
          <w:w w:val="110"/>
          <w:sz w:val="18"/>
        </w:rPr>
        <w:t>for</w:t>
      </w:r>
      <w:r>
        <w:rPr>
          <w:color w:val="010101"/>
          <w:spacing w:val="-25"/>
          <w:w w:val="110"/>
          <w:sz w:val="18"/>
        </w:rPr>
        <w:t> </w:t>
      </w:r>
      <w:r>
        <w:rPr>
          <w:color w:val="010101"/>
          <w:w w:val="110"/>
          <w:sz w:val="18"/>
        </w:rPr>
        <w:t>evaluating</w:t>
      </w:r>
      <w:r>
        <w:rPr>
          <w:color w:val="010101"/>
          <w:spacing w:val="-25"/>
          <w:w w:val="110"/>
          <w:sz w:val="18"/>
        </w:rPr>
        <w:t> </w:t>
      </w:r>
      <w:r>
        <w:rPr>
          <w:color w:val="010101"/>
          <w:w w:val="110"/>
          <w:sz w:val="18"/>
        </w:rPr>
        <w:t>ea.ch</w:t>
      </w:r>
      <w:r>
        <w:rPr>
          <w:color w:val="010101"/>
          <w:spacing w:val="-24"/>
          <w:w w:val="110"/>
          <w:sz w:val="18"/>
        </w:rPr>
        <w:t> </w:t>
      </w:r>
      <w:r>
        <w:rPr>
          <w:color w:val="010101"/>
          <w:w w:val="110"/>
          <w:sz w:val="18"/>
        </w:rPr>
        <w:t>of</w:t>
      </w:r>
      <w:r>
        <w:rPr>
          <w:color w:val="010101"/>
          <w:spacing w:val="-18"/>
          <w:w w:val="110"/>
          <w:sz w:val="18"/>
        </w:rPr>
        <w:t> </w:t>
      </w:r>
      <w:r>
        <w:rPr>
          <w:color w:val="010101"/>
          <w:w w:val="110"/>
          <w:sz w:val="18"/>
        </w:rPr>
        <w:t>the</w:t>
      </w:r>
      <w:r>
        <w:rPr>
          <w:color w:val="010101"/>
          <w:spacing w:val="-24"/>
          <w:w w:val="110"/>
          <w:sz w:val="18"/>
        </w:rPr>
        <w:t> </w:t>
      </w:r>
      <w:r>
        <w:rPr>
          <w:color w:val="010101"/>
          <w:w w:val="110"/>
          <w:sz w:val="18"/>
        </w:rPr>
        <w:t>following</w:t>
      </w:r>
      <w:r>
        <w:rPr>
          <w:color w:val="010101"/>
          <w:spacing w:val="-23"/>
          <w:w w:val="110"/>
          <w:sz w:val="18"/>
        </w:rPr>
        <w:t> </w:t>
      </w:r>
      <w:r>
        <w:rPr>
          <w:color w:val="010101"/>
          <w:w w:val="110"/>
          <w:sz w:val="18"/>
        </w:rPr>
        <w:t>in</w:t>
      </w:r>
      <w:r>
        <w:rPr>
          <w:color w:val="010101"/>
          <w:spacing w:val="-25"/>
          <w:w w:val="110"/>
          <w:sz w:val="18"/>
        </w:rPr>
        <w:t> </w:t>
      </w:r>
      <w:r>
        <w:rPr>
          <w:color w:val="010101"/>
          <w:w w:val="110"/>
          <w:sz w:val="18"/>
        </w:rPr>
        <w:t>terma</w:t>
      </w:r>
      <w:r>
        <w:rPr>
          <w:color w:val="010101"/>
          <w:spacing w:val="-18"/>
          <w:w w:val="110"/>
          <w:sz w:val="18"/>
        </w:rPr>
        <w:t> </w:t>
      </w:r>
      <w:r>
        <w:rPr>
          <w:color w:val="010101"/>
          <w:w w:val="110"/>
          <w:sz w:val="18"/>
        </w:rPr>
        <w:t>of</w:t>
      </w:r>
      <w:r>
        <w:rPr>
          <w:color w:val="010101"/>
          <w:spacing w:val="-15"/>
          <w:w w:val="110"/>
          <w:sz w:val="18"/>
        </w:rPr>
        <w:t> </w:t>
      </w:r>
      <w:r>
        <w:rPr>
          <w:color w:val="010101"/>
          <w:w w:val="110"/>
          <w:sz w:val="18"/>
        </w:rPr>
        <w:t>the commutation</w:t>
      </w:r>
      <w:r>
        <w:rPr>
          <w:color w:val="010101"/>
          <w:spacing w:val="-13"/>
          <w:w w:val="110"/>
          <w:sz w:val="18"/>
        </w:rPr>
        <w:t> </w:t>
      </w:r>
      <w:r>
        <w:rPr>
          <w:color w:val="010101"/>
          <w:w w:val="110"/>
          <w:sz w:val="18"/>
        </w:rPr>
        <w:t>functions</w:t>
      </w:r>
      <w:r>
        <w:rPr>
          <w:color w:val="010101"/>
          <w:spacing w:val="-15"/>
          <w:w w:val="110"/>
          <w:sz w:val="18"/>
        </w:rPr>
        <w:t> </w:t>
      </w:r>
      <w:r>
        <w:rPr>
          <w:rFonts w:ascii="Arial"/>
          <w:i/>
          <w:color w:val="010101"/>
          <w:w w:val="120"/>
          <w:sz w:val="17"/>
        </w:rPr>
        <w:t>D,</w:t>
      </w:r>
      <w:r>
        <w:rPr>
          <w:rFonts w:ascii="Arial"/>
          <w:i/>
          <w:color w:val="010101"/>
          <w:spacing w:val="-45"/>
          <w:w w:val="120"/>
          <w:sz w:val="17"/>
        </w:rPr>
        <w:t> </w:t>
      </w:r>
      <w:r>
        <w:rPr>
          <w:rFonts w:ascii="Arial"/>
          <w:i/>
          <w:color w:val="010101"/>
          <w:w w:val="110"/>
          <w:sz w:val="17"/>
        </w:rPr>
        <w:t>N,</w:t>
      </w:r>
      <w:r>
        <w:rPr>
          <w:rFonts w:ascii="Arial"/>
          <w:i/>
          <w:color w:val="010101"/>
          <w:spacing w:val="-34"/>
          <w:w w:val="110"/>
          <w:sz w:val="17"/>
        </w:rPr>
        <w:t> </w:t>
      </w:r>
      <w:r>
        <w:rPr>
          <w:color w:val="010101"/>
          <w:w w:val="110"/>
          <w:sz w:val="18"/>
        </w:rPr>
        <w:t>and</w:t>
      </w:r>
      <w:r>
        <w:rPr>
          <w:color w:val="010101"/>
          <w:spacing w:val="-18"/>
          <w:w w:val="110"/>
          <w:sz w:val="18"/>
        </w:rPr>
        <w:t> </w:t>
      </w:r>
      <w:r>
        <w:rPr>
          <w:rFonts w:ascii="Arial"/>
          <w:i/>
          <w:color w:val="010101"/>
          <w:w w:val="110"/>
          <w:sz w:val="17"/>
        </w:rPr>
        <w:t>S,</w:t>
      </w:r>
      <w:r>
        <w:rPr>
          <w:rFonts w:ascii="Arial"/>
          <w:i/>
          <w:color w:val="010101"/>
          <w:spacing w:val="-35"/>
          <w:w w:val="110"/>
          <w:sz w:val="17"/>
        </w:rPr>
        <w:t> </w:t>
      </w:r>
      <w:r>
        <w:rPr>
          <w:color w:val="010101"/>
          <w:w w:val="110"/>
          <w:sz w:val="18"/>
        </w:rPr>
        <w:t>using</w:t>
      </w:r>
      <w:r>
        <w:rPr>
          <w:color w:val="010101"/>
          <w:spacing w:val="-18"/>
          <w:w w:val="110"/>
          <w:sz w:val="18"/>
        </w:rPr>
        <w:t> </w:t>
      </w:r>
      <w:r>
        <w:rPr>
          <w:color w:val="010101"/>
          <w:w w:val="110"/>
          <w:sz w:val="18"/>
        </w:rPr>
        <w:t>standard</w:t>
      </w:r>
      <w:r>
        <w:rPr>
          <w:color w:val="010101"/>
          <w:spacing w:val="-17"/>
          <w:w w:val="110"/>
          <w:sz w:val="18"/>
        </w:rPr>
        <w:t> </w:t>
      </w:r>
      <w:r>
        <w:rPr>
          <w:color w:val="010101"/>
          <w:w w:val="110"/>
          <w:sz w:val="18"/>
        </w:rPr>
        <w:t>approximations</w:t>
      </w:r>
      <w:r>
        <w:rPr>
          <w:color w:val="010101"/>
          <w:spacing w:val="-8"/>
          <w:w w:val="110"/>
          <w:sz w:val="18"/>
        </w:rPr>
        <w:t> </w:t>
      </w:r>
      <w:r>
        <w:rPr>
          <w:color w:val="010101"/>
          <w:w w:val="110"/>
          <w:sz w:val="18"/>
        </w:rPr>
        <w:t>where necessary:</w:t>
      </w:r>
    </w:p>
    <w:p>
      <w:pPr>
        <w:spacing w:line="206" w:lineRule="exact" w:before="0"/>
        <w:ind w:left="453" w:right="739" w:firstLine="0"/>
        <w:jc w:val="left"/>
        <w:rPr>
          <w:sz w:val="18"/>
        </w:rPr>
      </w:pPr>
      <w:r>
        <w:rPr>
          <w:color w:val="010101"/>
          <w:w w:val="110"/>
          <w:sz w:val="18"/>
        </w:rPr>
        <w:t>(a) </w:t>
      </w:r>
      <w:r>
        <w:rPr>
          <w:color w:val="010101"/>
          <w:w w:val="110"/>
          <w:position w:val="-1"/>
          <w:sz w:val="11"/>
        </w:rPr>
        <w:t>1</w:t>
      </w:r>
      <w:r>
        <w:rPr>
          <w:color w:val="010101"/>
          <w:w w:val="110"/>
          <w:sz w:val="14"/>
        </w:rPr>
        <w:t>¡dpoJ </w:t>
      </w:r>
      <w:r>
        <w:rPr>
          <w:color w:val="010101"/>
          <w:w w:val="125"/>
          <w:sz w:val="14"/>
        </w:rPr>
        <w:t>, </w:t>
      </w:r>
      <w:r>
        <w:rPr>
          <w:color w:val="010101"/>
          <w:w w:val="110"/>
          <w:sz w:val="18"/>
        </w:rPr>
        <w:t>assuming </w:t>
      </w:r>
      <w:r>
        <w:rPr>
          <w:rFonts w:ascii="Arial" w:hAnsi="Arial"/>
          <w:color w:val="010101"/>
          <w:w w:val="110"/>
          <w:sz w:val="17"/>
        </w:rPr>
        <w:t>a </w:t>
      </w:r>
      <w:r>
        <w:rPr>
          <w:color w:val="010101"/>
          <w:w w:val="110"/>
          <w:sz w:val="18"/>
        </w:rPr>
        <w:t>5-year select period ;</w:t>
      </w:r>
    </w:p>
    <w:p>
      <w:pPr>
        <w:spacing w:line="195" w:lineRule="exact" w:before="0"/>
        <w:ind w:left="457" w:right="739" w:firstLine="0"/>
        <w:jc w:val="left"/>
        <w:rPr>
          <w:sz w:val="17"/>
        </w:rPr>
      </w:pPr>
      <w:r>
        <w:rPr>
          <w:color w:val="010101"/>
          <w:w w:val="108"/>
          <w:sz w:val="17"/>
        </w:rPr>
        <w:t>(b)</w:t>
      </w:r>
      <w:r>
        <w:rPr>
          <w:color w:val="010101"/>
          <w:sz w:val="17"/>
        </w:rPr>
        <w:t> </w:t>
      </w:r>
      <w:r>
        <w:rPr>
          <w:color w:val="010101"/>
          <w:spacing w:val="-18"/>
          <w:sz w:val="17"/>
        </w:rPr>
        <w:t> </w:t>
      </w:r>
      <w:r>
        <w:rPr>
          <w:color w:val="010101"/>
          <w:spacing w:val="-30"/>
          <w:w w:val="111"/>
          <w:sz w:val="17"/>
        </w:rPr>
        <w:t>1</w:t>
      </w:r>
      <w:r>
        <w:rPr>
          <w:color w:val="010101"/>
          <w:spacing w:val="11"/>
          <w:w w:val="46"/>
          <w:sz w:val="17"/>
        </w:rPr>
        <w:t>1</w:t>
      </w:r>
      <w:r>
        <w:rPr>
          <w:color w:val="010101"/>
          <w:w w:val="87"/>
          <w:sz w:val="17"/>
        </w:rPr>
        <w:t>ua1:&gt;</w:t>
      </w:r>
    </w:p>
    <w:p>
      <w:pPr>
        <w:spacing w:line="247" w:lineRule="auto" w:before="13"/>
        <w:ind w:left="453" w:right="4726" w:firstLine="0"/>
        <w:jc w:val="left"/>
        <w:rPr>
          <w:sz w:val="17"/>
        </w:rPr>
      </w:pPr>
      <w:r>
        <w:rPr>
          <w:color w:val="010101"/>
          <w:sz w:val="17"/>
        </w:rPr>
        <w:t>(e) </w:t>
      </w:r>
      <w:r>
        <w:rPr>
          <w:color w:val="010101"/>
          <w:sz w:val="16"/>
        </w:rPr>
        <w:t>1114io </w:t>
      </w:r>
      <w:r>
        <w:rPr>
          <w:color w:val="010101"/>
          <w:w w:val="95"/>
          <w:sz w:val="16"/>
        </w:rPr>
        <w:t>(d) </w:t>
      </w:r>
      <w:r>
        <w:rPr>
          <w:color w:val="010101"/>
          <w:w w:val="95"/>
          <w:sz w:val="17"/>
        </w:rPr>
        <w:t>1111411</w:t>
      </w:r>
    </w:p>
    <w:p>
      <w:pPr>
        <w:spacing w:line="207" w:lineRule="exact" w:before="0"/>
        <w:ind w:left="453" w:right="739" w:firstLine="0"/>
        <w:jc w:val="left"/>
        <w:rPr>
          <w:sz w:val="25"/>
        </w:rPr>
      </w:pPr>
      <w:r>
        <w:rPr>
          <w:rFonts w:ascii="Arial"/>
          <w:color w:val="010101"/>
          <w:w w:val="51"/>
          <w:sz w:val="22"/>
        </w:rPr>
        <w:t>&lt;e&gt;</w:t>
      </w:r>
      <w:r>
        <w:rPr>
          <w:rFonts w:ascii="Arial"/>
          <w:color w:val="010101"/>
          <w:sz w:val="22"/>
        </w:rPr>
        <w:t> </w:t>
      </w:r>
      <w:r>
        <w:rPr>
          <w:rFonts w:ascii="Arial"/>
          <w:color w:val="010101"/>
          <w:spacing w:val="-11"/>
          <w:sz w:val="22"/>
        </w:rPr>
        <w:t> </w:t>
      </w:r>
      <w:r>
        <w:rPr>
          <w:color w:val="010101"/>
          <w:spacing w:val="-7"/>
          <w:w w:val="50"/>
          <w:sz w:val="25"/>
        </w:rPr>
        <w:t>c</w:t>
      </w:r>
      <w:r>
        <w:rPr>
          <w:color w:val="010101"/>
          <w:spacing w:val="-79"/>
          <w:w w:val="129"/>
          <w:sz w:val="25"/>
        </w:rPr>
        <w:t>1</w:t>
      </w:r>
      <w:r>
        <w:rPr>
          <w:color w:val="010101"/>
          <w:w w:val="48"/>
          <w:sz w:val="25"/>
        </w:rPr>
        <w:t>c1&gt;W</w:t>
      </w:r>
    </w:p>
    <w:p>
      <w:pPr>
        <w:spacing w:line="172" w:lineRule="exact" w:before="0"/>
        <w:ind w:left="453" w:right="739" w:firstLine="0"/>
        <w:jc w:val="left"/>
        <w:rPr>
          <w:sz w:val="17"/>
        </w:rPr>
      </w:pPr>
      <w:r>
        <w:rPr>
          <w:b/>
          <w:color w:val="010101"/>
          <w:w w:val="120"/>
          <w:sz w:val="16"/>
        </w:rPr>
        <w:t>(f)  </w:t>
      </w:r>
      <w:r>
        <w:rPr>
          <w:b/>
          <w:color w:val="010101"/>
          <w:w w:val="120"/>
          <w:sz w:val="17"/>
        </w:rPr>
        <w:t>(lcl)u </w:t>
      </w:r>
      <w:r>
        <w:rPr>
          <w:color w:val="010101"/>
          <w:w w:val="145"/>
          <w:sz w:val="17"/>
        </w:rPr>
        <w:t>.</w:t>
      </w:r>
    </w:p>
    <w:p>
      <w:pPr>
        <w:pStyle w:val="ListParagraph"/>
        <w:numPr>
          <w:ilvl w:val="0"/>
          <w:numId w:val="29"/>
        </w:numPr>
        <w:tabs>
          <w:tab w:pos="576" w:val="left" w:leader="none"/>
        </w:tabs>
        <w:spacing w:line="201" w:lineRule="exact" w:before="0" w:after="0"/>
        <w:ind w:left="127" w:right="0" w:firstLine="158"/>
        <w:jc w:val="center"/>
        <w:rPr>
          <w:color w:val="010101"/>
          <w:sz w:val="16"/>
        </w:rPr>
      </w:pPr>
      <w:r>
        <w:rPr>
          <w:color w:val="010101"/>
          <w:w w:val="105"/>
          <w:sz w:val="18"/>
        </w:rPr>
        <w:t>Given "the following  values  at  </w:t>
      </w:r>
      <w:r>
        <w:rPr>
          <w:color w:val="010101"/>
          <w:w w:val="105"/>
          <w:sz w:val="16"/>
        </w:rPr>
        <w:t>3%  </w:t>
      </w:r>
      <w:r>
        <w:rPr>
          <w:color w:val="010101"/>
          <w:w w:val="105"/>
          <w:sz w:val="18"/>
        </w:rPr>
        <w:t>interest,  obtain  an</w:t>
      </w:r>
      <w:r>
        <w:rPr>
          <w:color w:val="010101"/>
          <w:spacing w:val="7"/>
          <w:w w:val="105"/>
          <w:sz w:val="18"/>
        </w:rPr>
        <w:t> </w:t>
      </w:r>
      <w:r>
        <w:rPr>
          <w:color w:val="010101"/>
          <w:w w:val="105"/>
          <w:sz w:val="18"/>
        </w:rPr>
        <w:t>approximate</w:t>
      </w:r>
    </w:p>
    <w:p>
      <w:pPr>
        <w:spacing w:line="195" w:lineRule="exact" w:before="0"/>
        <w:ind w:left="120" w:right="739" w:firstLine="0"/>
        <w:jc w:val="left"/>
        <w:rPr>
          <w:rFonts w:ascii="Courier New"/>
          <w:sz w:val="19"/>
        </w:rPr>
      </w:pPr>
      <w:r>
        <w:rPr>
          <w:b/>
          <w:color w:val="010101"/>
          <w:sz w:val="17"/>
        </w:rPr>
        <w:t>value </w:t>
      </w:r>
      <w:r>
        <w:rPr>
          <w:color w:val="010101"/>
          <w:sz w:val="18"/>
        </w:rPr>
        <w:t>for </w:t>
      </w:r>
      <w:r>
        <w:rPr>
          <w:rFonts w:ascii="Courier New"/>
          <w:color w:val="010101"/>
          <w:sz w:val="19"/>
        </w:rPr>
        <w:t>the </w:t>
      </w:r>
      <w:r>
        <w:rPr>
          <w:color w:val="010101"/>
          <w:sz w:val="18"/>
        </w:rPr>
        <w:t>force of mortality at age </w:t>
      </w:r>
      <w:r>
        <w:rPr>
          <w:rFonts w:ascii="Courier New"/>
          <w:color w:val="010101"/>
          <w:sz w:val="19"/>
        </w:rPr>
        <w:t>40:</w:t>
      </w:r>
    </w:p>
    <w:p>
      <w:pPr>
        <w:tabs>
          <w:tab w:pos="1237" w:val="left" w:leader="none"/>
        </w:tabs>
        <w:spacing w:line="218" w:lineRule="exact" w:before="0"/>
        <w:ind w:left="0" w:right="110" w:firstLine="0"/>
        <w:jc w:val="center"/>
        <w:rPr>
          <w:i/>
          <w:sz w:val="22"/>
        </w:rPr>
      </w:pPr>
      <w:r>
        <w:rPr>
          <w:color w:val="010101"/>
          <w:w w:val="110"/>
          <w:sz w:val="19"/>
        </w:rPr>
        <w:t>z</w:t>
        <w:tab/>
      </w:r>
      <w:r>
        <w:rPr>
          <w:i/>
          <w:color w:val="010101"/>
          <w:w w:val="110"/>
          <w:sz w:val="22"/>
        </w:rPr>
        <w:t>a.</w:t>
      </w:r>
    </w:p>
    <w:p>
      <w:pPr>
        <w:tabs>
          <w:tab w:pos="1116" w:val="left" w:leader="none"/>
        </w:tabs>
        <w:spacing w:line="199" w:lineRule="exact" w:before="0"/>
        <w:ind w:left="4" w:right="0" w:firstLine="0"/>
        <w:jc w:val="center"/>
        <w:rPr>
          <w:rFonts w:ascii="Courier New"/>
          <w:sz w:val="19"/>
        </w:rPr>
      </w:pPr>
      <w:r>
        <w:rPr>
          <w:color w:val="010101"/>
          <w:sz w:val="17"/>
        </w:rPr>
        <w:t>39</w:t>
        <w:tab/>
      </w:r>
      <w:r>
        <w:rPr>
          <w:rFonts w:ascii="Courier New"/>
          <w:color w:val="010101"/>
          <w:spacing w:val="-24"/>
          <w:sz w:val="19"/>
        </w:rPr>
        <w:t>17.711</w:t>
      </w:r>
    </w:p>
    <w:p>
      <w:pPr>
        <w:tabs>
          <w:tab w:pos="1135" w:val="left" w:leader="none"/>
        </w:tabs>
        <w:spacing w:line="191" w:lineRule="exact" w:before="0"/>
        <w:ind w:left="19" w:right="0" w:firstLine="0"/>
        <w:jc w:val="center"/>
        <w:rPr>
          <w:rFonts w:ascii="Courier New"/>
          <w:sz w:val="19"/>
        </w:rPr>
      </w:pPr>
      <w:r>
        <w:rPr>
          <w:rFonts w:ascii="Courier New"/>
          <w:color w:val="010101"/>
          <w:w w:val="95"/>
          <w:sz w:val="19"/>
        </w:rPr>
        <w:t>40</w:t>
        <w:tab/>
      </w:r>
      <w:r>
        <w:rPr>
          <w:rFonts w:ascii="Courier New"/>
          <w:color w:val="010101"/>
          <w:spacing w:val="-9"/>
          <w:w w:val="95"/>
          <w:sz w:val="19"/>
        </w:rPr>
        <w:t>17.384</w:t>
      </w:r>
    </w:p>
    <w:p>
      <w:pPr>
        <w:tabs>
          <w:tab w:pos="3316" w:val="left" w:leader="none"/>
          <w:tab w:pos="4851" w:val="left" w:leader="none"/>
        </w:tabs>
        <w:spacing w:line="189" w:lineRule="exact" w:before="0"/>
        <w:ind w:left="2204" w:right="0" w:firstLine="0"/>
        <w:jc w:val="left"/>
        <w:rPr>
          <w:sz w:val="18"/>
        </w:rPr>
      </w:pPr>
      <w:r>
        <w:rPr>
          <w:rFonts w:ascii="Arial"/>
          <w:color w:val="010101"/>
          <w:w w:val="105"/>
          <w:sz w:val="17"/>
        </w:rPr>
        <w:t>.U</w:t>
        <w:tab/>
      </w:r>
      <w:r>
        <w:rPr>
          <w:color w:val="010101"/>
          <w:spacing w:val="-29"/>
          <w:w w:val="105"/>
          <w:sz w:val="17"/>
        </w:rPr>
        <w:t>17</w:t>
      </w:r>
      <w:r>
        <w:rPr>
          <w:color w:val="010101"/>
          <w:spacing w:val="-22"/>
          <w:w w:val="105"/>
          <w:sz w:val="17"/>
        </w:rPr>
        <w:t> </w:t>
      </w:r>
      <w:r>
        <w:rPr>
          <w:color w:val="010101"/>
          <w:w w:val="105"/>
          <w:sz w:val="17"/>
        </w:rPr>
        <w:t>.062</w:t>
        <w:tab/>
      </w:r>
      <w:r>
        <w:rPr>
          <w:color w:val="010101"/>
          <w:spacing w:val="2"/>
          <w:sz w:val="18"/>
        </w:rPr>
        <w:t>(Ans.</w:t>
      </w:r>
      <w:r>
        <w:rPr>
          <w:color w:val="010101"/>
          <w:spacing w:val="-21"/>
          <w:sz w:val="18"/>
        </w:rPr>
        <w:t> </w:t>
      </w:r>
      <w:r>
        <w:rPr>
          <w:color w:val="010101"/>
          <w:sz w:val="18"/>
        </w:rPr>
        <w:t>.00793)</w:t>
      </w:r>
    </w:p>
    <w:p>
      <w:pPr>
        <w:pStyle w:val="ListParagraph"/>
        <w:numPr>
          <w:ilvl w:val="0"/>
          <w:numId w:val="29"/>
        </w:numPr>
        <w:tabs>
          <w:tab w:pos="587" w:val="left" w:leader="none"/>
        </w:tabs>
        <w:spacing w:line="198" w:lineRule="exact" w:before="7" w:after="0"/>
        <w:ind w:left="127" w:right="122" w:firstLine="168"/>
        <w:jc w:val="both"/>
        <w:rPr>
          <w:color w:val="010101"/>
          <w:sz w:val="18"/>
        </w:rPr>
      </w:pPr>
      <w:r>
        <w:rPr>
          <w:color w:val="010101"/>
          <w:sz w:val="18"/>
        </w:rPr>
        <w:t>Assuming a mortality ta.ole with a 5-year select period, derive a for­ mula for the present value of a life a.nnuity-due of  1 per  annum,  the  life being  eelect  and  aged 30, based  on interest  of  </w:t>
      </w:r>
      <w:r>
        <w:rPr>
          <w:rFonts w:ascii="Arial" w:hAnsi="Arial"/>
          <w:color w:val="010101"/>
          <w:sz w:val="20"/>
        </w:rPr>
        <w:t>2% </w:t>
      </w:r>
      <w:r>
        <w:rPr>
          <w:color w:val="010101"/>
          <w:sz w:val="18"/>
        </w:rPr>
        <w:t>during the select </w:t>
      </w:r>
      <w:r>
        <w:rPr>
          <w:color w:val="010101"/>
          <w:spacing w:val="19"/>
          <w:sz w:val="18"/>
        </w:rPr>
        <w:t> </w:t>
      </w:r>
      <w:r>
        <w:rPr>
          <w:color w:val="010101"/>
          <w:sz w:val="18"/>
        </w:rPr>
        <w:t>period</w:t>
      </w:r>
    </w:p>
    <w:p>
      <w:pPr>
        <w:spacing w:after="0" w:line="198" w:lineRule="exact"/>
        <w:jc w:val="both"/>
        <w:rPr>
          <w:sz w:val="18"/>
        </w:rPr>
        <w:sectPr>
          <w:type w:val="continuous"/>
          <w:pgSz w:w="7200" w:h="11340"/>
          <w:pgMar w:top="1100" w:bottom="0" w:left="680" w:right="540"/>
        </w:sectPr>
      </w:pPr>
    </w:p>
    <w:p>
      <w:pPr>
        <w:tabs>
          <w:tab w:pos="2291" w:val="left" w:leader="none"/>
          <w:tab w:pos="5331" w:val="left" w:leader="none"/>
        </w:tabs>
        <w:spacing w:before="65"/>
        <w:ind w:left="113" w:right="19" w:hanging="4"/>
        <w:jc w:val="left"/>
        <w:rPr>
          <w:rFonts w:ascii="Arial"/>
          <w:sz w:val="18"/>
        </w:rPr>
      </w:pPr>
      <w:r>
        <w:rPr>
          <w:rFonts w:ascii="Arial"/>
          <w:color w:val="010101"/>
          <w:w w:val="110"/>
          <w:sz w:val="19"/>
        </w:rPr>
        <w:t>64</w:t>
        <w:tab/>
      </w:r>
      <w:r>
        <w:rPr>
          <w:color w:val="010101"/>
          <w:w w:val="125"/>
          <w:sz w:val="15"/>
        </w:rPr>
        <w:t>LIH </w:t>
      </w:r>
      <w:r>
        <w:rPr>
          <w:color w:val="010101"/>
          <w:spacing w:val="29"/>
          <w:w w:val="125"/>
          <w:sz w:val="15"/>
        </w:rPr>
        <w:t> </w:t>
      </w:r>
      <w:r>
        <w:rPr>
          <w:color w:val="010101"/>
          <w:w w:val="110"/>
          <w:sz w:val="15"/>
        </w:rPr>
        <w:t>ANNUITIES</w:t>
        <w:tab/>
      </w:r>
      <w:r>
        <w:rPr>
          <w:color w:val="010101"/>
          <w:w w:val="95"/>
          <w:sz w:val="19"/>
        </w:rPr>
        <w:t>[CH.</w:t>
      </w:r>
      <w:r>
        <w:rPr>
          <w:color w:val="010101"/>
          <w:spacing w:val="-3"/>
          <w:w w:val="95"/>
          <w:sz w:val="19"/>
        </w:rPr>
        <w:t> </w:t>
      </w:r>
      <w:r>
        <w:rPr>
          <w:rFonts w:ascii="Arial"/>
          <w:color w:val="010101"/>
          <w:w w:val="95"/>
          <w:sz w:val="18"/>
        </w:rPr>
        <w:t>2</w:t>
      </w:r>
    </w:p>
    <w:p>
      <w:pPr>
        <w:pStyle w:val="BodyText"/>
        <w:spacing w:before="8"/>
        <w:rPr>
          <w:rFonts w:ascii="Arial"/>
        </w:rPr>
      </w:pPr>
    </w:p>
    <w:p>
      <w:pPr>
        <w:spacing w:line="247" w:lineRule="auto" w:before="0"/>
        <w:ind w:left="102" w:right="144" w:firstLine="10"/>
        <w:jc w:val="left"/>
        <w:rPr>
          <w:sz w:val="17"/>
        </w:rPr>
      </w:pPr>
      <w:r>
        <w:rPr>
          <w:color w:val="010101"/>
          <w:w w:val="110"/>
          <w:sz w:val="17"/>
        </w:rPr>
        <w:t>and 3% thereafter. Commutation functions  are available  both  at  2% and at 3%.</w:t>
      </w:r>
    </w:p>
    <w:p>
      <w:pPr>
        <w:pStyle w:val="ListParagraph"/>
        <w:numPr>
          <w:ilvl w:val="0"/>
          <w:numId w:val="29"/>
        </w:numPr>
        <w:tabs>
          <w:tab w:pos="565" w:val="left" w:leader="none"/>
        </w:tabs>
        <w:spacing w:line="153" w:lineRule="auto" w:before="50" w:after="0"/>
        <w:ind w:left="102" w:right="119" w:firstLine="165"/>
        <w:jc w:val="both"/>
        <w:rPr>
          <w:color w:val="010101"/>
          <w:sz w:val="17"/>
        </w:rPr>
      </w:pPr>
      <w:r>
        <w:rPr>
          <w:color w:val="010101"/>
          <w:w w:val="110"/>
          <w:sz w:val="17"/>
        </w:rPr>
        <w:t>A substandard mortality table is derived by taking tbe force of mor­ tality </w:t>
      </w:r>
      <w:r>
        <w:rPr>
          <w:color w:val="010101"/>
          <w:w w:val="80"/>
          <w:sz w:val="17"/>
        </w:rPr>
        <w:t>1.&amp;! </w:t>
      </w:r>
      <w:r>
        <w:rPr>
          <w:color w:val="010101"/>
          <w:w w:val="110"/>
          <w:sz w:val="17"/>
        </w:rPr>
        <w:t>to </w:t>
      </w:r>
      <w:r>
        <w:rPr>
          <w:rFonts w:ascii="Arial" w:hAnsi="Arial"/>
          <w:color w:val="010101"/>
          <w:w w:val="110"/>
          <w:sz w:val="16"/>
        </w:rPr>
        <w:t>be </w:t>
      </w:r>
      <w:r>
        <w:rPr>
          <w:color w:val="010101"/>
          <w:w w:val="110"/>
          <w:sz w:val="17"/>
        </w:rPr>
        <w:t>(1 </w:t>
      </w:r>
      <w:r>
        <w:rPr>
          <w:rFonts w:ascii="Arial" w:hAnsi="Arial"/>
          <w:color w:val="010101"/>
          <w:w w:val="110"/>
          <w:sz w:val="26"/>
        </w:rPr>
        <w:t>+ </w:t>
      </w:r>
      <w:r>
        <w:rPr>
          <w:color w:val="010101"/>
          <w:w w:val="80"/>
          <w:sz w:val="16"/>
        </w:rPr>
        <w:t>/c)p,,, </w:t>
      </w:r>
      <w:r>
        <w:rPr>
          <w:color w:val="010101"/>
          <w:w w:val="110"/>
          <w:sz w:val="16"/>
        </w:rPr>
        <w:t>, </w:t>
      </w:r>
      <w:r>
        <w:rPr>
          <w:color w:val="010101"/>
          <w:w w:val="110"/>
          <w:sz w:val="17"/>
        </w:rPr>
        <w:t>where </w:t>
      </w:r>
      <w:r>
        <w:rPr>
          <w:color w:val="010101"/>
          <w:w w:val="80"/>
          <w:sz w:val="17"/>
        </w:rPr>
        <w:t>,.,.,,, </w:t>
      </w:r>
      <w:r>
        <w:rPr>
          <w:color w:val="010101"/>
          <w:w w:val="110"/>
          <w:sz w:val="17"/>
        </w:rPr>
        <w:t>is given by a standard Gompertz table. It  </w:t>
      </w:r>
      <w:r>
        <w:rPr>
          <w:color w:val="010101"/>
          <w:w w:val="110"/>
          <w:sz w:val="18"/>
        </w:rPr>
        <w:t>is </w:t>
      </w:r>
      <w:r>
        <w:rPr>
          <w:color w:val="010101"/>
          <w:w w:val="110"/>
          <w:sz w:val="17"/>
        </w:rPr>
        <w:t>found that  the values of  the substandard  life annuities  </w:t>
      </w:r>
      <w:r>
        <w:rPr>
          <w:i/>
          <w:color w:val="010101"/>
          <w:w w:val="80"/>
          <w:sz w:val="25"/>
        </w:rPr>
        <w:t>a! </w:t>
      </w:r>
      <w:r>
        <w:rPr>
          <w:color w:val="010101"/>
          <w:w w:val="110"/>
          <w:sz w:val="17"/>
        </w:rPr>
        <w:t>can </w:t>
      </w:r>
      <w:r>
        <w:rPr>
          <w:rFonts w:ascii="Arial" w:hAnsi="Arial"/>
          <w:color w:val="010101"/>
          <w:w w:val="110"/>
          <w:sz w:val="16"/>
        </w:rPr>
        <w:t>be</w:t>
      </w:r>
      <w:r>
        <w:rPr>
          <w:rFonts w:ascii="Arial" w:hAnsi="Arial"/>
          <w:color w:val="010101"/>
          <w:spacing w:val="45"/>
          <w:w w:val="110"/>
          <w:sz w:val="16"/>
        </w:rPr>
        <w:t> </w:t>
      </w:r>
      <w:r>
        <w:rPr>
          <w:color w:val="010101"/>
          <w:w w:val="110"/>
          <w:sz w:val="17"/>
        </w:rPr>
        <w:t>ob­</w:t>
      </w:r>
    </w:p>
    <w:p>
      <w:pPr>
        <w:spacing w:line="170" w:lineRule="exact" w:before="4"/>
        <w:ind w:left="102" w:right="19" w:firstLine="0"/>
        <w:jc w:val="left"/>
        <w:rPr>
          <w:sz w:val="17"/>
        </w:rPr>
      </w:pPr>
      <w:r>
        <w:rPr>
          <w:color w:val="010101"/>
          <w:w w:val="110"/>
          <w:sz w:val="17"/>
        </w:rPr>
        <w:t>tained  by  rating up  the age in a table  of  the standard  life  annuities, thm!:</w:t>
      </w:r>
    </w:p>
    <w:p>
      <w:pPr>
        <w:spacing w:line="239" w:lineRule="exact" w:before="0"/>
        <w:ind w:left="109" w:right="19" w:firstLine="0"/>
        <w:jc w:val="left"/>
        <w:rPr>
          <w:i/>
          <w:sz w:val="17"/>
        </w:rPr>
      </w:pPr>
      <w:r>
        <w:rPr>
          <w:color w:val="010101"/>
          <w:w w:val="110"/>
          <w:sz w:val="22"/>
        </w:rPr>
        <w:t>a! </w:t>
      </w:r>
      <w:r>
        <w:rPr>
          <w:color w:val="010101"/>
          <w:w w:val="110"/>
          <w:sz w:val="23"/>
        </w:rPr>
        <w:t>= </w:t>
      </w:r>
      <w:r>
        <w:rPr>
          <w:rFonts w:ascii="Arial"/>
          <w:color w:val="010101"/>
          <w:w w:val="110"/>
          <w:sz w:val="14"/>
        </w:rPr>
        <w:t>a.+., </w:t>
      </w:r>
      <w:r>
        <w:rPr>
          <w:rFonts w:ascii="Arial"/>
          <w:color w:val="0F0F0F"/>
          <w:w w:val="145"/>
          <w:sz w:val="14"/>
        </w:rPr>
        <w:t>. </w:t>
      </w:r>
      <w:r>
        <w:rPr>
          <w:color w:val="010101"/>
          <w:w w:val="110"/>
          <w:sz w:val="17"/>
        </w:rPr>
        <w:t>Find </w:t>
      </w:r>
      <w:r>
        <w:rPr>
          <w:color w:val="010101"/>
          <w:w w:val="110"/>
          <w:sz w:val="12"/>
        </w:rPr>
        <w:t>&amp;D </w:t>
      </w:r>
      <w:r>
        <w:rPr>
          <w:color w:val="010101"/>
          <w:w w:val="110"/>
          <w:sz w:val="17"/>
        </w:rPr>
        <w:t>expreesion for the constant addition </w:t>
      </w:r>
      <w:r>
        <w:rPr>
          <w:i/>
          <w:color w:val="010101"/>
          <w:w w:val="110"/>
          <w:sz w:val="17"/>
        </w:rPr>
        <w:t>r.</w:t>
      </w:r>
    </w:p>
    <w:p>
      <w:pPr>
        <w:spacing w:after="0" w:line="239" w:lineRule="exact"/>
        <w:jc w:val="left"/>
        <w:rPr>
          <w:sz w:val="17"/>
        </w:rPr>
        <w:sectPr>
          <w:pgSz w:w="7200" w:h="11340"/>
          <w:pgMar w:top="500" w:bottom="280" w:left="720" w:right="540"/>
        </w:sectPr>
      </w:pPr>
    </w:p>
    <w:p>
      <w:pPr>
        <w:pStyle w:val="BodyText"/>
        <w:rPr>
          <w:i/>
        </w:rPr>
      </w:pPr>
    </w:p>
    <w:p>
      <w:pPr>
        <w:pStyle w:val="BodyText"/>
        <w:spacing w:before="3"/>
        <w:rPr>
          <w:i/>
          <w:sz w:val="19"/>
        </w:rPr>
      </w:pPr>
    </w:p>
    <w:p>
      <w:pPr>
        <w:spacing w:before="76"/>
        <w:ind w:left="105" w:right="112" w:firstLine="0"/>
        <w:jc w:val="center"/>
        <w:rPr>
          <w:rFonts w:ascii="Arial"/>
          <w:sz w:val="19"/>
        </w:rPr>
      </w:pPr>
      <w:bookmarkStart w:name="3. Life Insurance" w:id="8"/>
      <w:bookmarkEnd w:id="8"/>
      <w:r>
        <w:rPr/>
      </w:r>
      <w:r>
        <w:rPr>
          <w:color w:val="010101"/>
          <w:w w:val="105"/>
          <w:sz w:val="16"/>
        </w:rPr>
        <w:t>CHAPTER  </w:t>
      </w:r>
      <w:r>
        <w:rPr>
          <w:rFonts w:ascii="Arial"/>
          <w:color w:val="010101"/>
          <w:w w:val="105"/>
          <w:sz w:val="19"/>
        </w:rPr>
        <w:t>3</w:t>
      </w:r>
    </w:p>
    <w:p>
      <w:pPr>
        <w:spacing w:before="123"/>
        <w:ind w:left="89" w:right="112" w:firstLine="0"/>
        <w:jc w:val="center"/>
        <w:rPr>
          <w:sz w:val="21"/>
        </w:rPr>
      </w:pPr>
      <w:r>
        <w:rPr>
          <w:color w:val="010101"/>
          <w:w w:val="105"/>
          <w:sz w:val="21"/>
        </w:rPr>
        <w:t>LIFE INSURANCE</w:t>
      </w:r>
    </w:p>
    <w:p>
      <w:pPr>
        <w:pStyle w:val="BodyText"/>
        <w:spacing w:before="1"/>
        <w:rPr>
          <w:sz w:val="21"/>
        </w:rPr>
      </w:pPr>
    </w:p>
    <w:p>
      <w:pPr>
        <w:spacing w:before="0"/>
        <w:ind w:left="109" w:right="0" w:firstLine="0"/>
        <w:jc w:val="both"/>
        <w:rPr>
          <w:b/>
          <w:sz w:val="20"/>
        </w:rPr>
      </w:pPr>
      <w:r>
        <w:rPr>
          <w:b/>
          <w:color w:val="010101"/>
          <w:w w:val="120"/>
          <w:sz w:val="20"/>
        </w:rPr>
        <w:t>l. lntroduction</w:t>
      </w:r>
    </w:p>
    <w:p>
      <w:pPr>
        <w:spacing w:line="232" w:lineRule="auto" w:before="86"/>
        <w:ind w:left="105" w:right="106" w:firstLine="200"/>
        <w:jc w:val="both"/>
        <w:rPr>
          <w:i/>
          <w:sz w:val="22"/>
        </w:rPr>
      </w:pPr>
      <w:r>
        <w:rPr>
          <w:color w:val="010101"/>
          <w:sz w:val="21"/>
        </w:rPr>
        <w:t>The functions described in the preceding chapter relate to pay­ ments which a.re contingent on the survival of a life. The functions now </w:t>
      </w:r>
      <w:r>
        <w:rPr>
          <w:color w:val="010101"/>
          <w:sz w:val="22"/>
        </w:rPr>
        <w:t>to </w:t>
      </w:r>
      <w:r>
        <w:rPr>
          <w:color w:val="010101"/>
          <w:sz w:val="20"/>
        </w:rPr>
        <w:t>be </w:t>
      </w:r>
      <w:r>
        <w:rPr>
          <w:color w:val="010101"/>
          <w:sz w:val="21"/>
        </w:rPr>
        <w:t>considered relate to payments which are contingent on death rather than survival; such payments are provided by </w:t>
      </w:r>
      <w:r>
        <w:rPr>
          <w:i/>
          <w:color w:val="010101"/>
          <w:sz w:val="22"/>
        </w:rPr>
        <w:t>in­ </w:t>
      </w:r>
      <w:r>
        <w:rPr>
          <w:i/>
          <w:color w:val="010101"/>
          <w:sz w:val="22"/>
        </w:rPr>
        <w:t>surances.</w:t>
      </w:r>
    </w:p>
    <w:p>
      <w:pPr>
        <w:spacing w:line="237" w:lineRule="auto" w:before="4"/>
        <w:ind w:left="102" w:right="110" w:firstLine="200"/>
        <w:jc w:val="both"/>
        <w:rPr>
          <w:sz w:val="21"/>
        </w:rPr>
      </w:pPr>
      <w:r>
        <w:rPr>
          <w:color w:val="010101"/>
          <w:sz w:val="20"/>
        </w:rPr>
        <w:t>An </w:t>
      </w:r>
      <w:r>
        <w:rPr>
          <w:color w:val="010101"/>
          <w:sz w:val="21"/>
        </w:rPr>
        <w:t>insurance provides a payment of a specified  amount  upon  the</w:t>
      </w:r>
      <w:r>
        <w:rPr>
          <w:color w:val="010101"/>
          <w:spacing w:val="-6"/>
          <w:sz w:val="21"/>
        </w:rPr>
        <w:t> </w:t>
      </w:r>
      <w:r>
        <w:rPr>
          <w:color w:val="010101"/>
          <w:sz w:val="21"/>
        </w:rPr>
        <w:t>death</w:t>
      </w:r>
      <w:r>
        <w:rPr>
          <w:color w:val="010101"/>
          <w:spacing w:val="-1"/>
          <w:sz w:val="21"/>
        </w:rPr>
        <w:t> </w:t>
      </w:r>
      <w:r>
        <w:rPr>
          <w:color w:val="010101"/>
          <w:sz w:val="21"/>
        </w:rPr>
        <w:t>of</w:t>
      </w:r>
      <w:r>
        <w:rPr>
          <w:color w:val="010101"/>
          <w:spacing w:val="7"/>
          <w:sz w:val="21"/>
        </w:rPr>
        <w:t> </w:t>
      </w:r>
      <w:r>
        <w:rPr>
          <w:color w:val="010101"/>
          <w:sz w:val="21"/>
        </w:rPr>
        <w:t>a</w:t>
      </w:r>
      <w:r>
        <w:rPr>
          <w:color w:val="010101"/>
          <w:spacing w:val="-9"/>
          <w:sz w:val="21"/>
        </w:rPr>
        <w:t> </w:t>
      </w:r>
      <w:r>
        <w:rPr>
          <w:color w:val="010101"/>
          <w:sz w:val="21"/>
        </w:rPr>
        <w:t>given</w:t>
      </w:r>
      <w:r>
        <w:rPr>
          <w:color w:val="010101"/>
          <w:spacing w:val="-5"/>
          <w:sz w:val="21"/>
        </w:rPr>
        <w:t> </w:t>
      </w:r>
      <w:r>
        <w:rPr>
          <w:color w:val="010101"/>
          <w:sz w:val="21"/>
        </w:rPr>
        <w:t>life,</w:t>
      </w:r>
      <w:r>
        <w:rPr>
          <w:color w:val="010101"/>
          <w:spacing w:val="-3"/>
          <w:sz w:val="21"/>
        </w:rPr>
        <w:t> </w:t>
      </w:r>
      <w:r>
        <w:rPr>
          <w:color w:val="010101"/>
          <w:sz w:val="21"/>
        </w:rPr>
        <w:t>known</w:t>
      </w:r>
      <w:r>
        <w:rPr>
          <w:color w:val="010101"/>
          <w:spacing w:val="4"/>
          <w:sz w:val="21"/>
        </w:rPr>
        <w:t> </w:t>
      </w:r>
      <w:r>
        <w:rPr>
          <w:color w:val="010101"/>
          <w:sz w:val="21"/>
        </w:rPr>
        <w:t>as</w:t>
      </w:r>
      <w:r>
        <w:rPr>
          <w:color w:val="010101"/>
          <w:spacing w:val="-20"/>
          <w:sz w:val="21"/>
        </w:rPr>
        <w:t> </w:t>
      </w:r>
      <w:r>
        <w:rPr>
          <w:color w:val="010101"/>
          <w:sz w:val="21"/>
        </w:rPr>
        <w:t>the</w:t>
      </w:r>
      <w:r>
        <w:rPr>
          <w:color w:val="010101"/>
          <w:spacing w:val="-1"/>
          <w:sz w:val="21"/>
        </w:rPr>
        <w:t> </w:t>
      </w:r>
      <w:r>
        <w:rPr>
          <w:i/>
          <w:color w:val="010101"/>
          <w:sz w:val="22"/>
        </w:rPr>
        <w:t>insured.</w:t>
      </w:r>
      <w:r>
        <w:rPr>
          <w:i/>
          <w:color w:val="010101"/>
          <w:spacing w:val="-23"/>
          <w:sz w:val="22"/>
        </w:rPr>
        <w:t> </w:t>
      </w:r>
      <w:r>
        <w:rPr>
          <w:color w:val="010101"/>
          <w:sz w:val="21"/>
        </w:rPr>
        <w:t>Values</w:t>
      </w:r>
      <w:r>
        <w:rPr>
          <w:color w:val="010101"/>
          <w:spacing w:val="-16"/>
          <w:sz w:val="21"/>
        </w:rPr>
        <w:t> </w:t>
      </w:r>
      <w:r>
        <w:rPr>
          <w:color w:val="010101"/>
          <w:sz w:val="21"/>
        </w:rPr>
        <w:t>of</w:t>
      </w:r>
      <w:r>
        <w:rPr>
          <w:color w:val="010101"/>
          <w:spacing w:val="7"/>
          <w:sz w:val="21"/>
        </w:rPr>
        <w:t> </w:t>
      </w:r>
      <w:r>
        <w:rPr>
          <w:color w:val="010101"/>
          <w:sz w:val="21"/>
        </w:rPr>
        <w:t>insurances have traditionally been calculated on the assumption that the payment is made at the </w:t>
      </w:r>
      <w:r>
        <w:rPr>
          <w:i/>
          <w:color w:val="010101"/>
          <w:sz w:val="21"/>
        </w:rPr>
        <w:t>end </w:t>
      </w:r>
      <w:r>
        <w:rPr>
          <w:color w:val="010101"/>
          <w:sz w:val="21"/>
        </w:rPr>
        <w:t>of the year of death, even though the usual practice of  insurers is to make payment  as soon </w:t>
      </w:r>
      <w:r>
        <w:rPr>
          <w:rFonts w:ascii="Arial"/>
          <w:color w:val="010101"/>
          <w:sz w:val="17"/>
        </w:rPr>
        <w:t>as </w:t>
      </w:r>
      <w:r>
        <w:rPr>
          <w:color w:val="010101"/>
          <w:sz w:val="21"/>
        </w:rPr>
        <w:t>possible  af ter the occurrence of the death. This assumption is a convenient one in that the probabilities of death and survival to the end of a year can be calculated exactly from  mortality  table data. As will  be seen le.ter, there are various methods of adjusting values be.sed on this assumption to take account of the fact that </w:t>
      </w:r>
      <w:r>
        <w:rPr>
          <w:color w:val="010101"/>
          <w:sz w:val="20"/>
        </w:rPr>
        <w:t>in </w:t>
      </w:r>
      <w:r>
        <w:rPr>
          <w:color w:val="010101"/>
          <w:sz w:val="21"/>
        </w:rPr>
        <w:t>practice the payment </w:t>
      </w:r>
      <w:r>
        <w:rPr>
          <w:rFonts w:ascii="Arial"/>
          <w:color w:val="010101"/>
          <w:sz w:val="19"/>
        </w:rPr>
        <w:t>is </w:t>
      </w:r>
      <w:r>
        <w:rPr>
          <w:color w:val="010101"/>
          <w:sz w:val="21"/>
        </w:rPr>
        <w:t>me.de immediately; sorne insurers now make these adjustments directly in the original formulas and thus avoid the prior  calculation  of  values based  on the traditional</w:t>
      </w:r>
      <w:r>
        <w:rPr>
          <w:color w:val="010101"/>
          <w:spacing w:val="25"/>
          <w:sz w:val="21"/>
        </w:rPr>
        <w:t> </w:t>
      </w:r>
      <w:r>
        <w:rPr>
          <w:color w:val="010101"/>
          <w:sz w:val="21"/>
        </w:rPr>
        <w:t>assumption.</w:t>
      </w:r>
    </w:p>
    <w:p>
      <w:pPr>
        <w:spacing w:before="171"/>
        <w:ind w:left="102" w:right="0" w:firstLine="0"/>
        <w:jc w:val="both"/>
        <w:rPr>
          <w:b/>
          <w:sz w:val="20"/>
        </w:rPr>
      </w:pPr>
      <w:r>
        <w:rPr>
          <w:b/>
          <w:color w:val="010101"/>
          <w:w w:val="115"/>
          <w:sz w:val="19"/>
        </w:rPr>
        <w:t>2. </w:t>
      </w:r>
      <w:r>
        <w:rPr>
          <w:b/>
          <w:color w:val="010101"/>
          <w:w w:val="115"/>
          <w:sz w:val="20"/>
        </w:rPr>
        <w:t>Insurances  payable  at  the end of  the  year of  death</w:t>
      </w:r>
    </w:p>
    <w:p>
      <w:pPr>
        <w:spacing w:line="237" w:lineRule="auto" w:before="79"/>
        <w:ind w:left="102" w:right="108" w:firstLine="197"/>
        <w:jc w:val="both"/>
        <w:rPr>
          <w:sz w:val="20"/>
        </w:rPr>
      </w:pPr>
      <w:r>
        <w:rPr>
          <w:color w:val="010101"/>
          <w:sz w:val="21"/>
        </w:rPr>
        <w:t>An insurance which provides a payment only if death occurs within a limited period is known as a </w:t>
      </w:r>
      <w:r>
        <w:rPr>
          <w:rFonts w:ascii="Arial" w:hAnsi="Arial"/>
          <w:i/>
          <w:color w:val="010101"/>
          <w:sz w:val="18"/>
        </w:rPr>
        <w:t>term </w:t>
      </w:r>
      <w:r>
        <w:rPr>
          <w:color w:val="010101"/>
          <w:sz w:val="21"/>
        </w:rPr>
        <w:t>insurance. The present value or net single premium at age </w:t>
      </w:r>
      <w:r>
        <w:rPr>
          <w:rFonts w:ascii="Arial" w:hAnsi="Arial"/>
          <w:i/>
          <w:color w:val="010101"/>
          <w:sz w:val="18"/>
        </w:rPr>
        <w:t>x </w:t>
      </w:r>
      <w:r>
        <w:rPr>
          <w:color w:val="010101"/>
          <w:sz w:val="21"/>
        </w:rPr>
        <w:t>for such an insurance with term perio of </w:t>
      </w:r>
      <w:r>
        <w:rPr>
          <w:i/>
          <w:color w:val="010101"/>
          <w:sz w:val="21"/>
        </w:rPr>
        <w:t>n </w:t>
      </w:r>
      <w:r>
        <w:rPr>
          <w:color w:val="010101"/>
          <w:sz w:val="21"/>
        </w:rPr>
        <w:t>years and amount 1 is denoted  by </w:t>
      </w:r>
      <w:r>
        <w:rPr>
          <w:color w:val="010101"/>
          <w:spacing w:val="-3"/>
          <w:sz w:val="21"/>
        </w:rPr>
        <w:t>A!:,¡¡ </w:t>
      </w:r>
      <w:r>
        <w:rPr>
          <w:color w:val="010101"/>
          <w:sz w:val="21"/>
        </w:rPr>
        <w:t>and we  may</w:t>
      </w:r>
      <w:r>
        <w:rPr>
          <w:color w:val="010101"/>
          <w:spacing w:val="43"/>
          <w:sz w:val="21"/>
        </w:rPr>
        <w:t> </w:t>
      </w:r>
      <w:r>
        <w:rPr>
          <w:color w:val="010101"/>
          <w:sz w:val="20"/>
        </w:rPr>
        <w:t>write</w:t>
      </w:r>
    </w:p>
    <w:p>
      <w:pPr>
        <w:spacing w:before="54"/>
        <w:ind w:left="99" w:right="112" w:firstLine="0"/>
        <w:jc w:val="center"/>
        <w:rPr>
          <w:sz w:val="17"/>
        </w:rPr>
      </w:pPr>
      <w:r>
        <w:rPr>
          <w:color w:val="010101"/>
          <w:sz w:val="21"/>
        </w:rPr>
        <w:t>A!:</w:t>
      </w:r>
      <w:r>
        <w:rPr>
          <w:rFonts w:ascii="Arial" w:hAnsi="Arial"/>
          <w:color w:val="010101"/>
          <w:sz w:val="19"/>
        </w:rPr>
        <w:t>ñ1 </w:t>
      </w:r>
      <w:r>
        <w:rPr>
          <w:color w:val="010101"/>
          <w:sz w:val="26"/>
        </w:rPr>
        <w:t>= </w:t>
      </w:r>
      <w:r>
        <w:rPr>
          <w:b/>
          <w:i/>
          <w:color w:val="010101"/>
          <w:sz w:val="21"/>
        </w:rPr>
        <w:t>vq. </w:t>
      </w:r>
      <w:r>
        <w:rPr>
          <w:color w:val="010101"/>
          <w:sz w:val="29"/>
        </w:rPr>
        <w:t>+ </w:t>
      </w:r>
      <w:r>
        <w:rPr>
          <w:b/>
          <w:color w:val="010101"/>
          <w:sz w:val="17"/>
        </w:rPr>
        <w:t>vl1¡q.  </w:t>
      </w:r>
      <w:r>
        <w:rPr>
          <w:color w:val="010101"/>
          <w:sz w:val="29"/>
        </w:rPr>
        <w:t>+ </w:t>
      </w:r>
      <w:r>
        <w:rPr>
          <w:b/>
          <w:color w:val="010101"/>
          <w:sz w:val="17"/>
        </w:rPr>
        <w:t>v'1¡qs  </w:t>
      </w:r>
      <w:r>
        <w:rPr>
          <w:color w:val="010101"/>
          <w:sz w:val="29"/>
        </w:rPr>
        <w:t>+ </w:t>
      </w:r>
      <w:r>
        <w:rPr>
          <w:color w:val="010101"/>
          <w:sz w:val="11"/>
        </w:rPr>
        <w:t>º  º  </w:t>
      </w:r>
      <w:r>
        <w:rPr>
          <w:color w:val="010101"/>
          <w:w w:val="230"/>
          <w:sz w:val="11"/>
        </w:rPr>
        <w:t>' </w:t>
      </w:r>
      <w:r>
        <w:rPr>
          <w:color w:val="010101"/>
          <w:sz w:val="29"/>
        </w:rPr>
        <w:t>+ </w:t>
      </w:r>
      <w:r>
        <w:rPr>
          <w:b/>
          <w:color w:val="010101"/>
          <w:sz w:val="17"/>
        </w:rPr>
        <w:t>V"t1-llqs  </w:t>
      </w:r>
      <w:r>
        <w:rPr>
          <w:color w:val="010101"/>
          <w:sz w:val="17"/>
        </w:rPr>
        <w:t>•</w:t>
      </w:r>
    </w:p>
    <w:p>
      <w:pPr>
        <w:spacing w:line="235" w:lineRule="auto" w:before="86"/>
        <w:ind w:left="105" w:right="115" w:hanging="4"/>
        <w:jc w:val="both"/>
        <w:rPr>
          <w:sz w:val="21"/>
        </w:rPr>
      </w:pPr>
      <w:r>
        <w:rPr>
          <w:color w:val="010101"/>
          <w:w w:val="105"/>
          <w:sz w:val="21"/>
        </w:rPr>
        <w:t>Each term </w:t>
      </w:r>
      <w:r>
        <w:rPr>
          <w:rFonts w:ascii="Arial"/>
          <w:color w:val="010101"/>
          <w:w w:val="105"/>
          <w:sz w:val="21"/>
        </w:rPr>
        <w:t>in </w:t>
      </w:r>
      <w:r>
        <w:rPr>
          <w:color w:val="010101"/>
          <w:w w:val="105"/>
          <w:sz w:val="21"/>
        </w:rPr>
        <w:t>this expression representa the probability that</w:t>
      </w:r>
      <w:r>
        <w:rPr>
          <w:color w:val="010101"/>
          <w:spacing w:val="-15"/>
          <w:w w:val="105"/>
          <w:sz w:val="21"/>
        </w:rPr>
        <w:t> </w:t>
      </w:r>
      <w:r>
        <w:rPr>
          <w:color w:val="010101"/>
          <w:w w:val="105"/>
          <w:sz w:val="21"/>
        </w:rPr>
        <w:t>death will occur </w:t>
      </w:r>
      <w:r>
        <w:rPr>
          <w:rFonts w:ascii="Arial"/>
          <w:color w:val="010101"/>
          <w:w w:val="105"/>
          <w:sz w:val="21"/>
        </w:rPr>
        <w:t>in </w:t>
      </w:r>
      <w:r>
        <w:rPr>
          <w:color w:val="010101"/>
          <w:w w:val="105"/>
          <w:sz w:val="21"/>
        </w:rPr>
        <w:t>a particular year multiplied by the present value of </w:t>
      </w:r>
      <w:r>
        <w:rPr>
          <w:rFonts w:ascii="Arial"/>
          <w:color w:val="010101"/>
          <w:w w:val="105"/>
          <w:sz w:val="18"/>
        </w:rPr>
        <w:t>a </w:t>
      </w:r>
      <w:r>
        <w:rPr>
          <w:color w:val="010101"/>
          <w:w w:val="105"/>
          <w:sz w:val="21"/>
        </w:rPr>
        <w:t>payment of </w:t>
      </w:r>
      <w:r>
        <w:rPr>
          <w:color w:val="010101"/>
          <w:w w:val="105"/>
          <w:sz w:val="20"/>
        </w:rPr>
        <w:t>1 </w:t>
      </w:r>
      <w:r>
        <w:rPr>
          <w:color w:val="010101"/>
          <w:w w:val="105"/>
          <w:sz w:val="21"/>
        </w:rPr>
        <w:t>at the end of that year. The expression me.y </w:t>
      </w:r>
      <w:r>
        <w:rPr>
          <w:color w:val="010101"/>
          <w:w w:val="105"/>
          <w:sz w:val="20"/>
        </w:rPr>
        <w:t>be </w:t>
      </w:r>
      <w:r>
        <w:rPr>
          <w:color w:val="010101"/>
          <w:w w:val="105"/>
          <w:sz w:val="21"/>
        </w:rPr>
        <w:t>written</w:t>
      </w:r>
    </w:p>
    <w:p>
      <w:pPr>
        <w:pStyle w:val="BodyText"/>
        <w:spacing w:before="123"/>
        <w:ind w:left="1350" w:right="19"/>
      </w:pPr>
      <w:r>
        <w:rPr>
          <w:position w:val="-17"/>
        </w:rPr>
        <w:drawing>
          <wp:inline distT="0" distB="0" distL="0" distR="0">
            <wp:extent cx="2057400" cy="301752"/>
            <wp:effectExtent l="0" t="0" r="0" b="0"/>
            <wp:docPr id="143" name="image76.png" descr=""/>
            <wp:cNvGraphicFramePr>
              <a:graphicFrameLocks noChangeAspect="1"/>
            </wp:cNvGraphicFramePr>
            <a:graphic>
              <a:graphicData uri="http://schemas.openxmlformats.org/drawingml/2006/picture">
                <pic:pic>
                  <pic:nvPicPr>
                    <pic:cNvPr id="144" name="image76.png"/>
                    <pic:cNvPicPr/>
                  </pic:nvPicPr>
                  <pic:blipFill>
                    <a:blip r:embed="rId80" cstate="print"/>
                    <a:stretch>
                      <a:fillRect/>
                    </a:stretch>
                  </pic:blipFill>
                  <pic:spPr>
                    <a:xfrm>
                      <a:off x="0" y="0"/>
                      <a:ext cx="2057400" cy="301752"/>
                    </a:xfrm>
                    <a:prstGeom prst="rect">
                      <a:avLst/>
                    </a:prstGeom>
                  </pic:spPr>
                </pic:pic>
              </a:graphicData>
            </a:graphic>
          </wp:inline>
        </w:drawing>
      </w:r>
      <w:r>
        <w:rPr>
          <w:position w:val="-17"/>
        </w:rPr>
      </w:r>
      <w:r>
        <w:rPr/>
        <w:t>               </w:t>
      </w:r>
      <w:r>
        <w:rPr>
          <w:color w:val="010101"/>
          <w:spacing w:val="-5"/>
          <w:w w:val="115"/>
        </w:rPr>
        <w:t>(3.1)</w:t>
      </w:r>
    </w:p>
    <w:p>
      <w:pPr>
        <w:spacing w:before="108"/>
        <w:ind w:left="99" w:right="112" w:firstLine="0"/>
        <w:jc w:val="center"/>
        <w:rPr>
          <w:rFonts w:ascii="Arial"/>
          <w:sz w:val="15"/>
        </w:rPr>
      </w:pPr>
      <w:r>
        <w:rPr>
          <w:rFonts w:ascii="Arial"/>
          <w:color w:val="010101"/>
          <w:sz w:val="15"/>
        </w:rPr>
        <w:t>65</w:t>
      </w:r>
    </w:p>
    <w:p>
      <w:pPr>
        <w:spacing w:after="0"/>
        <w:jc w:val="center"/>
        <w:rPr>
          <w:rFonts w:ascii="Arial"/>
          <w:sz w:val="15"/>
        </w:rPr>
        <w:sectPr>
          <w:pgSz w:w="7200" w:h="11340"/>
          <w:pgMar w:top="1060" w:bottom="0" w:left="680" w:right="580"/>
        </w:sectPr>
      </w:pPr>
    </w:p>
    <w:p>
      <w:pPr>
        <w:tabs>
          <w:tab w:pos="2313" w:val="left" w:leader="none"/>
          <w:tab w:pos="5380" w:val="left" w:leader="none"/>
        </w:tabs>
        <w:spacing w:before="69"/>
        <w:ind w:left="354" w:right="0" w:hanging="198"/>
        <w:jc w:val="left"/>
        <w:rPr>
          <w:rFonts w:ascii="Arial"/>
          <w:b/>
          <w:sz w:val="18"/>
        </w:rPr>
      </w:pPr>
      <w:r>
        <w:rPr>
          <w:rFonts w:ascii="Arial"/>
          <w:w w:val="105"/>
          <w:sz w:val="18"/>
        </w:rPr>
        <w:t>66</w:t>
        <w:tab/>
      </w:r>
      <w:r>
        <w:rPr>
          <w:b/>
          <w:w w:val="105"/>
          <w:position w:val="1"/>
          <w:sz w:val="15"/>
        </w:rPr>
        <w:t>LIFE </w:t>
      </w:r>
      <w:r>
        <w:rPr>
          <w:b/>
          <w:spacing w:val="14"/>
          <w:w w:val="105"/>
          <w:position w:val="1"/>
          <w:sz w:val="15"/>
        </w:rPr>
        <w:t> </w:t>
      </w:r>
      <w:r>
        <w:rPr>
          <w:b/>
          <w:w w:val="105"/>
          <w:position w:val="1"/>
          <w:sz w:val="15"/>
        </w:rPr>
        <w:t>INSURANCE</w:t>
        <w:tab/>
      </w:r>
      <w:r>
        <w:rPr>
          <w:b/>
          <w:w w:val="105"/>
          <w:sz w:val="16"/>
        </w:rPr>
        <w:t>[CH.</w:t>
      </w:r>
      <w:r>
        <w:rPr>
          <w:b/>
          <w:spacing w:val="-5"/>
          <w:w w:val="105"/>
          <w:sz w:val="16"/>
        </w:rPr>
        <w:t> </w:t>
      </w:r>
      <w:r>
        <w:rPr>
          <w:rFonts w:ascii="Arial"/>
          <w:b/>
          <w:w w:val="105"/>
          <w:sz w:val="18"/>
        </w:rPr>
        <w:t>3</w:t>
      </w:r>
    </w:p>
    <w:p>
      <w:pPr>
        <w:pStyle w:val="BodyText"/>
        <w:spacing w:before="5"/>
        <w:rPr>
          <w:rFonts w:ascii="Arial"/>
          <w:b/>
        </w:rPr>
      </w:pPr>
    </w:p>
    <w:p>
      <w:pPr>
        <w:pStyle w:val="BodyText"/>
        <w:spacing w:before="1"/>
        <w:ind w:left="145" w:right="144" w:firstLine="208"/>
        <w:jc w:val="both"/>
        <w:rPr>
          <w:sz w:val="21"/>
        </w:rPr>
      </w:pPr>
      <w:r>
        <w:rPr>
          <w:w w:val="105"/>
          <w:sz w:val="19"/>
        </w:rPr>
        <w:t>If </w:t>
      </w:r>
      <w:r>
        <w:rPr>
          <w:w w:val="105"/>
        </w:rPr>
        <w:t>the term period is extended to the end of  the mortality  table  so that the insurance </w:t>
      </w:r>
      <w:r>
        <w:rPr>
          <w:rFonts w:ascii="Arial"/>
          <w:w w:val="105"/>
          <w:sz w:val="19"/>
        </w:rPr>
        <w:t>is </w:t>
      </w:r>
      <w:r>
        <w:rPr>
          <w:w w:val="105"/>
        </w:rPr>
        <w:t>payable  whenever  death occurs, the value of </w:t>
      </w:r>
      <w:r>
        <w:rPr>
          <w:i/>
          <w:w w:val="105"/>
          <w:sz w:val="21"/>
        </w:rPr>
        <w:t>n </w:t>
      </w:r>
      <w:r>
        <w:rPr>
          <w:w w:val="105"/>
        </w:rPr>
        <w:t>becomes </w:t>
      </w:r>
      <w:r>
        <w:rPr>
          <w:rFonts w:ascii="Arial"/>
          <w:i/>
          <w:w w:val="105"/>
          <w:sz w:val="15"/>
        </w:rPr>
        <w:t>w </w:t>
      </w:r>
      <w:r>
        <w:rPr>
          <w:rFonts w:ascii="Arial"/>
          <w:w w:val="320"/>
          <w:sz w:val="15"/>
        </w:rPr>
        <w:t>- </w:t>
      </w:r>
      <w:r>
        <w:rPr>
          <w:i/>
          <w:w w:val="105"/>
          <w:sz w:val="21"/>
        </w:rPr>
        <w:t>x, </w:t>
      </w:r>
      <w:r>
        <w:rPr>
          <w:w w:val="105"/>
        </w:rPr>
        <w:t>and we have the </w:t>
      </w:r>
      <w:r>
        <w:rPr>
          <w:i/>
          <w:w w:val="105"/>
          <w:sz w:val="21"/>
        </w:rPr>
        <w:t>whole lif e </w:t>
      </w:r>
      <w:r>
        <w:rPr>
          <w:w w:val="105"/>
        </w:rPr>
        <w:t>insurance with present value </w:t>
      </w:r>
      <w:r>
        <w:rPr>
          <w:i/>
          <w:sz w:val="21"/>
        </w:rPr>
        <w:t>A%</w:t>
      </w:r>
      <w:r>
        <w:rPr>
          <w:i/>
          <w:spacing w:val="3"/>
          <w:sz w:val="21"/>
        </w:rPr>
        <w:t> </w:t>
      </w:r>
      <w:r>
        <w:rPr>
          <w:w w:val="135"/>
          <w:sz w:val="21"/>
        </w:rPr>
        <w:t>:</w:t>
      </w:r>
    </w:p>
    <w:p>
      <w:pPr>
        <w:spacing w:before="174"/>
        <w:ind w:left="1503" w:right="0" w:firstLine="0"/>
        <w:jc w:val="left"/>
        <w:rPr>
          <w:rFonts w:ascii="Arial"/>
          <w:sz w:val="19"/>
        </w:rPr>
      </w:pPr>
      <w:r>
        <w:rPr>
          <w:position w:val="-15"/>
        </w:rPr>
        <w:drawing>
          <wp:inline distT="0" distB="0" distL="0" distR="0">
            <wp:extent cx="1901951" cy="292608"/>
            <wp:effectExtent l="0" t="0" r="0" b="0"/>
            <wp:docPr id="145" name="image77.png" descr=""/>
            <wp:cNvGraphicFramePr>
              <a:graphicFrameLocks noChangeAspect="1"/>
            </wp:cNvGraphicFramePr>
            <a:graphic>
              <a:graphicData uri="http://schemas.openxmlformats.org/drawingml/2006/picture">
                <pic:pic>
                  <pic:nvPicPr>
                    <pic:cNvPr id="146" name="image77.png"/>
                    <pic:cNvPicPr/>
                  </pic:nvPicPr>
                  <pic:blipFill>
                    <a:blip r:embed="rId81" cstate="print"/>
                    <a:stretch>
                      <a:fillRect/>
                    </a:stretch>
                  </pic:blipFill>
                  <pic:spPr>
                    <a:xfrm>
                      <a:off x="0" y="0"/>
                      <a:ext cx="1901951" cy="292608"/>
                    </a:xfrm>
                    <a:prstGeom prst="rect">
                      <a:avLst/>
                    </a:prstGeom>
                  </pic:spPr>
                </pic:pic>
              </a:graphicData>
            </a:graphic>
          </wp:inline>
        </w:drawing>
      </w:r>
      <w:r>
        <w:rPr>
          <w:position w:val="-15"/>
        </w:rPr>
      </w:r>
      <w:r>
        <w:rPr>
          <w:sz w:val="20"/>
        </w:rPr>
        <w:t>                  </w:t>
      </w:r>
      <w:r>
        <w:rPr>
          <w:rFonts w:ascii="Arial"/>
          <w:spacing w:val="-4"/>
          <w:w w:val="110"/>
          <w:sz w:val="19"/>
        </w:rPr>
        <w:t>(3.2)</w:t>
      </w:r>
    </w:p>
    <w:p>
      <w:pPr>
        <w:pStyle w:val="BodyText"/>
        <w:spacing w:before="169"/>
        <w:ind w:left="142"/>
      </w:pPr>
      <w:r>
        <w:rPr>
          <w:w w:val="105"/>
        </w:rPr>
        <w:t>the symbol </w:t>
      </w:r>
      <w:r>
        <w:rPr>
          <w:rFonts w:ascii="Arial"/>
          <w:w w:val="105"/>
          <w:sz w:val="14"/>
        </w:rPr>
        <w:t>oo  </w:t>
      </w:r>
      <w:r>
        <w:rPr>
          <w:w w:val="105"/>
        </w:rPr>
        <w:t>being used for </w:t>
      </w:r>
      <w:r>
        <w:rPr>
          <w:rFonts w:ascii="Arial"/>
          <w:i/>
          <w:w w:val="105"/>
          <w:sz w:val="15"/>
        </w:rPr>
        <w:t>w </w:t>
      </w:r>
      <w:r>
        <w:rPr>
          <w:rFonts w:ascii="Arial"/>
          <w:w w:val="325"/>
          <w:sz w:val="15"/>
        </w:rPr>
        <w:t>- </w:t>
      </w:r>
      <w:r>
        <w:rPr>
          <w:i/>
          <w:w w:val="105"/>
        </w:rPr>
        <w:t>x </w:t>
      </w:r>
      <w:r>
        <w:rPr>
          <w:w w:val="270"/>
        </w:rPr>
        <w:t>- </w:t>
      </w:r>
      <w:r>
        <w:rPr>
          <w:w w:val="105"/>
        </w:rPr>
        <w:t>1in this case.</w:t>
      </w:r>
    </w:p>
    <w:p>
      <w:pPr>
        <w:pStyle w:val="BodyText"/>
        <w:spacing w:line="244" w:lineRule="auto" w:before="2"/>
        <w:ind w:left="135" w:right="159" w:firstLine="205"/>
        <w:jc w:val="both"/>
      </w:pPr>
      <w:r>
        <w:rPr>
          <w:w w:val="105"/>
          <w:sz w:val="21"/>
        </w:rPr>
        <w:t>If </w:t>
      </w:r>
      <w:r>
        <w:rPr>
          <w:w w:val="105"/>
        </w:rPr>
        <w:t>the payment is made only </w:t>
      </w:r>
      <w:r>
        <w:rPr>
          <w:w w:val="105"/>
          <w:sz w:val="21"/>
        </w:rPr>
        <w:t>if </w:t>
      </w:r>
      <w:r>
        <w:rPr>
          <w:w w:val="105"/>
        </w:rPr>
        <w:t>death occurs after the expiration  of a period of </w:t>
      </w:r>
      <w:r>
        <w:rPr>
          <w:i/>
          <w:w w:val="105"/>
          <w:sz w:val="21"/>
        </w:rPr>
        <w:t>n </w:t>
      </w:r>
      <w:r>
        <w:rPr>
          <w:w w:val="105"/>
        </w:rPr>
        <w:t>years, we have the </w:t>
      </w:r>
      <w:r>
        <w:rPr>
          <w:i/>
          <w:w w:val="105"/>
        </w:rPr>
        <w:t>def </w:t>
      </w:r>
      <w:r>
        <w:rPr>
          <w:i/>
          <w:w w:val="105"/>
          <w:sz w:val="21"/>
        </w:rPr>
        <w:t>erred </w:t>
      </w:r>
      <w:r>
        <w:rPr>
          <w:w w:val="105"/>
        </w:rPr>
        <w:t>insurance with present value</w:t>
      </w:r>
    </w:p>
    <w:p>
      <w:pPr>
        <w:tabs>
          <w:tab w:pos="5259" w:val="left" w:leader="none"/>
        </w:tabs>
        <w:spacing w:line="289" w:lineRule="exact" w:before="151"/>
        <w:ind w:left="1238" w:right="0" w:firstLine="0"/>
        <w:jc w:val="center"/>
        <w:rPr>
          <w:b/>
          <w:sz w:val="20"/>
        </w:rPr>
      </w:pPr>
      <w:r>
        <w:rPr/>
        <w:pict>
          <v:shape style="position:absolute;margin-left:199.619995pt;margin-top:13.839207pt;width:2.25pt;height:10pt;mso-position-horizontal-relative:page;mso-position-vertical-relative:paragraph;z-index:-730216" type="#_x0000_t202" filled="false" stroked="false">
            <v:textbox inset="0,0,0,0">
              <w:txbxContent>
                <w:p>
                  <w:pPr>
                    <w:spacing w:line="200" w:lineRule="exact" w:before="0"/>
                    <w:ind w:left="0" w:right="0" w:firstLine="0"/>
                    <w:jc w:val="left"/>
                    <w:rPr>
                      <w:b/>
                      <w:i/>
                      <w:sz w:val="20"/>
                    </w:rPr>
                  </w:pPr>
                  <w:r>
                    <w:rPr>
                      <w:b/>
                      <w:i/>
                      <w:w w:val="79"/>
                      <w:sz w:val="20"/>
                    </w:rPr>
                    <w:t>l</w:t>
                  </w:r>
                </w:p>
              </w:txbxContent>
            </v:textbox>
            <w10:wrap type="none"/>
          </v:shape>
        </w:pict>
      </w:r>
      <w:r>
        <w:rPr>
          <w:b/>
          <w:i/>
          <w:w w:val="62"/>
          <w:sz w:val="20"/>
        </w:rPr>
        <w:t>n¡</w:t>
      </w:r>
      <w:r>
        <w:rPr>
          <w:b/>
          <w:i/>
          <w:spacing w:val="-33"/>
          <w:sz w:val="20"/>
        </w:rPr>
        <w:t> </w:t>
      </w:r>
      <w:r>
        <w:rPr>
          <w:b/>
          <w:i/>
          <w:w w:val="68"/>
          <w:sz w:val="20"/>
        </w:rPr>
        <w:t>A%</w:t>
      </w:r>
      <w:r>
        <w:rPr>
          <w:b/>
          <w:i/>
          <w:sz w:val="20"/>
        </w:rPr>
        <w:t> </w:t>
      </w:r>
      <w:r>
        <w:rPr>
          <w:b/>
          <w:i/>
          <w:spacing w:val="-9"/>
          <w:sz w:val="20"/>
        </w:rPr>
        <w:t> </w:t>
      </w:r>
      <w:r>
        <w:rPr>
          <w:rFonts w:ascii="Arial" w:hAnsi="Arial"/>
          <w:w w:val="164"/>
          <w:sz w:val="16"/>
        </w:rPr>
        <w:t>=</w:t>
      </w:r>
      <w:r>
        <w:rPr>
          <w:rFonts w:ascii="Arial" w:hAnsi="Arial"/>
          <w:sz w:val="16"/>
        </w:rPr>
        <w:t> </w:t>
      </w:r>
      <w:r>
        <w:rPr>
          <w:rFonts w:ascii="Arial" w:hAnsi="Arial"/>
          <w:spacing w:val="-13"/>
          <w:sz w:val="16"/>
        </w:rPr>
        <w:t> </w:t>
      </w:r>
      <w:r>
        <w:rPr>
          <w:b/>
          <w:i/>
          <w:w w:val="106"/>
          <w:sz w:val="16"/>
        </w:rPr>
        <w:t>LJ</w:t>
      </w:r>
      <w:r>
        <w:rPr>
          <w:b/>
          <w:i/>
          <w:sz w:val="16"/>
        </w:rPr>
        <w:t>  </w:t>
      </w:r>
      <w:r>
        <w:rPr>
          <w:b/>
          <w:i/>
          <w:spacing w:val="3"/>
          <w:sz w:val="16"/>
        </w:rPr>
        <w:t> </w:t>
      </w:r>
      <w:r>
        <w:rPr>
          <w:rFonts w:ascii="Arial" w:hAnsi="Arial"/>
          <w:b/>
          <w:i/>
          <w:w w:val="87"/>
          <w:sz w:val="13"/>
        </w:rPr>
        <w:t>V</w:t>
      </w:r>
      <w:r>
        <w:rPr>
          <w:rFonts w:ascii="Arial" w:hAnsi="Arial"/>
          <w:b/>
          <w:i/>
          <w:spacing w:val="-8"/>
          <w:sz w:val="13"/>
        </w:rPr>
        <w:t> </w:t>
      </w:r>
      <w:r>
        <w:rPr>
          <w:w w:val="147"/>
          <w:position w:val="10"/>
          <w:sz w:val="13"/>
        </w:rPr>
        <w:t>Hl</w:t>
      </w:r>
      <w:r>
        <w:rPr>
          <w:spacing w:val="-16"/>
          <w:position w:val="10"/>
          <w:sz w:val="13"/>
        </w:rPr>
        <w:t> </w:t>
      </w:r>
      <w:r>
        <w:rPr>
          <w:b/>
          <w:i/>
          <w:w w:val="84"/>
          <w:sz w:val="20"/>
        </w:rPr>
        <w:t>,¡</w:t>
      </w:r>
      <w:r>
        <w:rPr>
          <w:b/>
          <w:i/>
          <w:spacing w:val="4"/>
          <w:w w:val="84"/>
          <w:sz w:val="20"/>
        </w:rPr>
        <w:t>q</w:t>
      </w:r>
      <w:r>
        <w:rPr>
          <w:b/>
          <w:i/>
          <w:w w:val="45"/>
          <w:sz w:val="20"/>
        </w:rPr>
        <w:t>%</w:t>
      </w:r>
      <w:r>
        <w:rPr>
          <w:b/>
          <w:i/>
          <w:sz w:val="20"/>
        </w:rPr>
        <w:t> </w:t>
      </w:r>
      <w:r>
        <w:rPr>
          <w:b/>
          <w:i/>
          <w:spacing w:val="-8"/>
          <w:sz w:val="20"/>
        </w:rPr>
        <w:t> </w:t>
      </w:r>
      <w:r>
        <w:rPr>
          <w:rFonts w:ascii="Arial" w:hAnsi="Arial"/>
          <w:w w:val="169"/>
          <w:sz w:val="16"/>
        </w:rPr>
        <w:t>=</w:t>
      </w:r>
      <w:r>
        <w:rPr>
          <w:rFonts w:ascii="Arial" w:hAnsi="Arial"/>
          <w:sz w:val="16"/>
        </w:rPr>
        <w:t> </w:t>
      </w:r>
      <w:r>
        <w:rPr>
          <w:rFonts w:ascii="Arial" w:hAnsi="Arial"/>
          <w:spacing w:val="-3"/>
          <w:sz w:val="16"/>
        </w:rPr>
        <w:t> </w:t>
      </w:r>
      <w:r>
        <w:rPr>
          <w:b/>
          <w:w w:val="89"/>
          <w:position w:val="10"/>
          <w:sz w:val="20"/>
        </w:rPr>
        <w:t>1</w:t>
      </w:r>
      <w:r>
        <w:rPr>
          <w:b/>
          <w:position w:val="10"/>
          <w:sz w:val="20"/>
        </w:rPr>
        <w:t> </w:t>
      </w:r>
      <w:r>
        <w:rPr>
          <w:b/>
          <w:spacing w:val="-24"/>
          <w:position w:val="10"/>
          <w:sz w:val="20"/>
        </w:rPr>
        <w:t> </w:t>
      </w:r>
      <w:r>
        <w:rPr>
          <w:b/>
          <w:i/>
          <w:w w:val="106"/>
          <w:sz w:val="16"/>
        </w:rPr>
        <w:t>LJ</w:t>
      </w:r>
      <w:r>
        <w:rPr>
          <w:b/>
          <w:i/>
          <w:sz w:val="16"/>
        </w:rPr>
        <w:t>  </w:t>
      </w:r>
      <w:r>
        <w:rPr>
          <w:b/>
          <w:i/>
          <w:spacing w:val="6"/>
          <w:sz w:val="16"/>
        </w:rPr>
        <w:t> </w:t>
      </w:r>
      <w:r>
        <w:rPr>
          <w:rFonts w:ascii="Arial" w:hAnsi="Arial"/>
          <w:b/>
          <w:i/>
          <w:w w:val="83"/>
          <w:sz w:val="13"/>
        </w:rPr>
        <w:t>V</w:t>
      </w:r>
      <w:r>
        <w:rPr>
          <w:rFonts w:ascii="Arial" w:hAnsi="Arial"/>
          <w:b/>
          <w:i/>
          <w:spacing w:val="-12"/>
          <w:sz w:val="13"/>
        </w:rPr>
        <w:t> </w:t>
      </w:r>
      <w:r>
        <w:rPr>
          <w:w w:val="158"/>
          <w:position w:val="10"/>
          <w:sz w:val="13"/>
        </w:rPr>
        <w:t>Hl</w:t>
      </w:r>
      <w:r>
        <w:rPr>
          <w:position w:val="10"/>
          <w:sz w:val="13"/>
        </w:rPr>
        <w:t> </w:t>
      </w:r>
      <w:r>
        <w:rPr>
          <w:spacing w:val="-2"/>
          <w:position w:val="10"/>
          <w:sz w:val="13"/>
        </w:rPr>
        <w:t> </w:t>
      </w:r>
      <w:r>
        <w:rPr>
          <w:b/>
          <w:i/>
          <w:spacing w:val="8"/>
          <w:w w:val="272"/>
          <w:sz w:val="20"/>
        </w:rPr>
        <w:t>d</w:t>
      </w:r>
      <w:r>
        <w:rPr>
          <w:b/>
          <w:i/>
          <w:w w:val="95"/>
          <w:sz w:val="20"/>
        </w:rPr>
        <w:t>,</w:t>
      </w:r>
      <w:r>
        <w:rPr>
          <w:b/>
          <w:i/>
          <w:spacing w:val="6"/>
          <w:sz w:val="20"/>
        </w:rPr>
        <w:t> </w:t>
      </w:r>
      <w:r>
        <w:rPr>
          <w:b/>
          <w:i/>
          <w:w w:val="87"/>
          <w:sz w:val="20"/>
        </w:rPr>
        <w:t>.</w:t>
      </w:r>
      <w:r>
        <w:rPr>
          <w:b/>
          <w:i/>
          <w:sz w:val="20"/>
        </w:rPr>
        <w:tab/>
      </w:r>
      <w:r>
        <w:rPr>
          <w:b/>
          <w:w w:val="93"/>
          <w:sz w:val="20"/>
        </w:rPr>
        <w:t>(</w:t>
      </w:r>
      <w:r>
        <w:rPr>
          <w:b/>
          <w:spacing w:val="-30"/>
          <w:sz w:val="20"/>
        </w:rPr>
        <w:t> </w:t>
      </w:r>
      <w:r>
        <w:rPr>
          <w:b/>
          <w:w w:val="104"/>
          <w:sz w:val="20"/>
        </w:rPr>
        <w:t>3.3)</w:t>
      </w:r>
    </w:p>
    <w:p>
      <w:pPr>
        <w:tabs>
          <w:tab w:pos="1270" w:val="left" w:leader="none"/>
        </w:tabs>
        <w:spacing w:line="189" w:lineRule="exact" w:before="0"/>
        <w:ind w:left="0" w:right="192" w:firstLine="0"/>
        <w:jc w:val="center"/>
        <w:rPr>
          <w:b/>
          <w:sz w:val="20"/>
        </w:rPr>
      </w:pPr>
      <w:r>
        <w:rPr>
          <w:w w:val="150"/>
          <w:sz w:val="20"/>
        </w:rPr>
        <w:t>,-.</w:t>
        <w:tab/>
      </w:r>
      <w:r>
        <w:rPr>
          <w:b/>
          <w:sz w:val="20"/>
        </w:rPr>
        <w:t>a</w:t>
      </w:r>
      <w:r>
        <w:rPr>
          <w:b/>
          <w:spacing w:val="-15"/>
          <w:sz w:val="20"/>
        </w:rPr>
        <w:t> </w:t>
      </w:r>
      <w:r>
        <w:rPr>
          <w:b/>
          <w:w w:val="120"/>
          <w:sz w:val="20"/>
        </w:rPr>
        <w:t>•-•</w:t>
      </w:r>
    </w:p>
    <w:p>
      <w:pPr>
        <w:pStyle w:val="BodyText"/>
        <w:spacing w:line="235" w:lineRule="auto" w:before="33"/>
        <w:ind w:left="131" w:right="142"/>
        <w:jc w:val="both"/>
      </w:pPr>
      <w:r>
        <w:rPr>
          <w:w w:val="127"/>
        </w:rPr>
        <w:t>It </w:t>
      </w:r>
      <w:r>
        <w:rPr>
          <w:w w:val="102"/>
        </w:rPr>
        <w:t>is </w:t>
      </w:r>
      <w:r>
        <w:rPr>
          <w:w w:val="103"/>
        </w:rPr>
        <w:t>obvious </w:t>
      </w:r>
      <w:r>
        <w:rPr>
          <w:w w:val="117"/>
        </w:rPr>
        <w:t>that </w:t>
      </w:r>
      <w:r>
        <w:rPr>
          <w:i/>
          <w:w w:val="68"/>
          <w:sz w:val="21"/>
        </w:rPr>
        <w:t>A% </w:t>
      </w:r>
      <w:r>
        <w:rPr>
          <w:w w:val="100"/>
          <w:sz w:val="24"/>
        </w:rPr>
        <w:t>= </w:t>
      </w:r>
      <w:r>
        <w:rPr>
          <w:w w:val="90"/>
          <w:sz w:val="21"/>
        </w:rPr>
        <w:t>·A!:-;¡ </w:t>
      </w:r>
      <w:r>
        <w:rPr>
          <w:rFonts w:ascii="Arial" w:hAnsi="Arial"/>
          <w:w w:val="104"/>
          <w:sz w:val="32"/>
        </w:rPr>
        <w:t>+ </w:t>
      </w:r>
      <w:r>
        <w:rPr>
          <w:rFonts w:ascii="Arial" w:hAnsi="Arial"/>
          <w:i/>
          <w:w w:val="79"/>
          <w:sz w:val="32"/>
        </w:rPr>
        <w:t>"</w:t>
      </w:r>
      <w:r>
        <w:rPr>
          <w:rFonts w:ascii="Arial" w:hAnsi="Arial"/>
          <w:i/>
          <w:w w:val="79"/>
          <w:position w:val="-3"/>
          <w:sz w:val="14"/>
        </w:rPr>
        <w:t>1</w:t>
      </w:r>
      <w:r>
        <w:rPr>
          <w:i/>
          <w:w w:val="79"/>
          <w:sz w:val="21"/>
        </w:rPr>
        <w:t>Az </w:t>
      </w:r>
      <w:r>
        <w:rPr>
          <w:w w:val="109"/>
          <w:sz w:val="21"/>
        </w:rPr>
        <w:t>. </w:t>
      </w:r>
      <w:r>
        <w:rPr>
          <w:w w:val="114"/>
        </w:rPr>
        <w:t>In </w:t>
      </w:r>
      <w:r>
        <w:rPr>
          <w:w w:val="105"/>
        </w:rPr>
        <w:t>practice, </w:t>
      </w:r>
      <w:r>
        <w:rPr>
          <w:w w:val="113"/>
        </w:rPr>
        <w:t>the </w:t>
      </w:r>
      <w:r>
        <w:rPr>
          <w:w w:val="102"/>
        </w:rPr>
        <w:t>deferred </w:t>
      </w:r>
      <w:r>
        <w:rPr/>
        <w:t>insurance  is ·not  encountered  alone,  but  </w:t>
      </w:r>
      <w:r>
        <w:rPr>
          <w:i/>
          <w:sz w:val="21"/>
        </w:rPr>
        <w:t>nl Az   </w:t>
      </w:r>
      <w:r>
        <w:rPr/>
        <w:t>sometimes  appears in  combination   with  other  insurance  functions.</w:t>
      </w:r>
    </w:p>
    <w:p>
      <w:pPr>
        <w:pStyle w:val="BodyText"/>
        <w:spacing w:line="252" w:lineRule="auto" w:before="12"/>
        <w:ind w:left="131" w:right="160" w:firstLine="187"/>
        <w:jc w:val="both"/>
      </w:pPr>
      <w:r>
        <w:rPr>
          <w:w w:val="105"/>
        </w:rPr>
        <w:t>The expressions above are sirnplified by the introduction of the commutation  functions</w:t>
      </w:r>
    </w:p>
    <w:p>
      <w:pPr>
        <w:pStyle w:val="BodyText"/>
        <w:spacing w:before="1"/>
        <w:rPr>
          <w:sz w:val="9"/>
        </w:rPr>
      </w:pPr>
      <w:r>
        <w:rPr/>
        <w:drawing>
          <wp:anchor distT="0" distB="0" distL="0" distR="0" allowOverlap="1" layoutInCell="1" locked="0" behindDoc="0" simplePos="0" relativeHeight="5800">
            <wp:simplePos x="0" y="0"/>
            <wp:positionH relativeFrom="page">
              <wp:posOffset>1938527</wp:posOffset>
            </wp:positionH>
            <wp:positionV relativeFrom="paragraph">
              <wp:posOffset>91226</wp:posOffset>
            </wp:positionV>
            <wp:extent cx="676655" cy="118872"/>
            <wp:effectExtent l="0" t="0" r="0" b="0"/>
            <wp:wrapTopAndBottom/>
            <wp:docPr id="147" name="image78.png" descr=""/>
            <wp:cNvGraphicFramePr>
              <a:graphicFrameLocks noChangeAspect="1"/>
            </wp:cNvGraphicFramePr>
            <a:graphic>
              <a:graphicData uri="http://schemas.openxmlformats.org/drawingml/2006/picture">
                <pic:pic>
                  <pic:nvPicPr>
                    <pic:cNvPr id="148" name="image78.png"/>
                    <pic:cNvPicPr/>
                  </pic:nvPicPr>
                  <pic:blipFill>
                    <a:blip r:embed="rId82" cstate="print"/>
                    <a:stretch>
                      <a:fillRect/>
                    </a:stretch>
                  </pic:blipFill>
                  <pic:spPr>
                    <a:xfrm>
                      <a:off x="0" y="0"/>
                      <a:ext cx="676655" cy="118872"/>
                    </a:xfrm>
                    <a:prstGeom prst="rect">
                      <a:avLst/>
                    </a:prstGeom>
                  </pic:spPr>
                </pic:pic>
              </a:graphicData>
            </a:graphic>
          </wp:anchor>
        </w:drawing>
      </w:r>
    </w:p>
    <w:p>
      <w:pPr>
        <w:tabs>
          <w:tab w:pos="2280" w:val="left" w:leader="none"/>
        </w:tabs>
        <w:spacing w:before="158"/>
        <w:ind w:left="124" w:right="0" w:firstLine="0"/>
        <w:jc w:val="both"/>
        <w:rPr>
          <w:rFonts w:ascii="Arial"/>
          <w:sz w:val="19"/>
        </w:rPr>
      </w:pPr>
      <w:r>
        <w:rPr>
          <w:rFonts w:ascii="Arial"/>
          <w:sz w:val="19"/>
        </w:rPr>
        <w:t>and</w:t>
        <w:tab/>
      </w:r>
      <w:r>
        <w:rPr>
          <w:rFonts w:ascii="Arial"/>
          <w:position w:val="-13"/>
          <w:sz w:val="19"/>
        </w:rPr>
        <w:drawing>
          <wp:inline distT="0" distB="0" distL="0" distR="0">
            <wp:extent cx="886968" cy="292608"/>
            <wp:effectExtent l="0" t="0" r="0" b="0"/>
            <wp:docPr id="149" name="image79.png" descr=""/>
            <wp:cNvGraphicFramePr>
              <a:graphicFrameLocks noChangeAspect="1"/>
            </wp:cNvGraphicFramePr>
            <a:graphic>
              <a:graphicData uri="http://schemas.openxmlformats.org/drawingml/2006/picture">
                <pic:pic>
                  <pic:nvPicPr>
                    <pic:cNvPr id="150" name="image79.png"/>
                    <pic:cNvPicPr/>
                  </pic:nvPicPr>
                  <pic:blipFill>
                    <a:blip r:embed="rId83" cstate="print"/>
                    <a:stretch>
                      <a:fillRect/>
                    </a:stretch>
                  </pic:blipFill>
                  <pic:spPr>
                    <a:xfrm>
                      <a:off x="0" y="0"/>
                      <a:ext cx="886968" cy="292608"/>
                    </a:xfrm>
                    <a:prstGeom prst="rect">
                      <a:avLst/>
                    </a:prstGeom>
                  </pic:spPr>
                </pic:pic>
              </a:graphicData>
            </a:graphic>
          </wp:inline>
        </w:drawing>
      </w:r>
      <w:r>
        <w:rPr>
          <w:rFonts w:ascii="Arial"/>
          <w:position w:val="-13"/>
          <w:sz w:val="19"/>
        </w:rPr>
      </w:r>
    </w:p>
    <w:p>
      <w:pPr>
        <w:tabs>
          <w:tab w:pos="359" w:val="left" w:leader="none"/>
          <w:tab w:pos="926" w:val="left" w:leader="none"/>
          <w:tab w:pos="1875" w:val="left" w:leader="none"/>
          <w:tab w:pos="2203" w:val="left" w:leader="none"/>
          <w:tab w:pos="2638" w:val="left" w:leader="none"/>
        </w:tabs>
        <w:spacing w:line="178" w:lineRule="exact" w:before="205"/>
        <w:ind w:left="0" w:right="14" w:firstLine="0"/>
        <w:jc w:val="center"/>
        <w:rPr>
          <w:rFonts w:ascii="Arial"/>
          <w:i/>
          <w:sz w:val="19"/>
        </w:rPr>
      </w:pPr>
      <w:r>
        <w:rPr/>
        <w:pict>
          <v:shape style="position:absolute;margin-left:41.220001pt;margin-top:16.579205pt;width:57.25pt;height:10pt;mso-position-horizontal-relative:page;mso-position-vertical-relative:paragraph;z-index:5872" type="#_x0000_t202" filled="false" stroked="false">
            <v:textbox inset="0,0,0,0">
              <w:txbxContent>
                <w:p>
                  <w:pPr>
                    <w:pStyle w:val="BodyText"/>
                    <w:tabs>
                      <w:tab w:pos="1011" w:val="left" w:leader="none"/>
                    </w:tabs>
                    <w:spacing w:line="200" w:lineRule="exact"/>
                    <w:rPr>
                      <w:rFonts w:ascii="Arial"/>
                      <w:i/>
                      <w:sz w:val="19"/>
                    </w:rPr>
                  </w:pPr>
                  <w:r>
                    <w:rPr>
                      <w:w w:val="105"/>
                    </w:rPr>
                    <w:t>Then</w:t>
                    <w:tab/>
                  </w:r>
                  <w:r>
                    <w:rPr>
                      <w:rFonts w:ascii="Arial"/>
                      <w:i/>
                      <w:w w:val="105"/>
                      <w:sz w:val="19"/>
                    </w:rPr>
                    <w:t>A</w:t>
                  </w:r>
                </w:p>
              </w:txbxContent>
            </v:textbox>
            <w10:wrap type="none"/>
          </v:shape>
        </w:pict>
      </w:r>
      <w:r>
        <w:rPr>
          <w:w w:val="146"/>
          <w:sz w:val="13"/>
        </w:rPr>
        <w:t>1</w:t>
      </w:r>
      <w:r>
        <w:rPr>
          <w:sz w:val="13"/>
        </w:rPr>
        <w:tab/>
      </w:r>
      <w:r>
        <w:rPr>
          <w:w w:val="185"/>
          <w:sz w:val="13"/>
        </w:rPr>
        <w:t>_</w:t>
      </w:r>
      <w:r>
        <w:rPr>
          <w:sz w:val="13"/>
        </w:rPr>
        <w:t>   </w:t>
      </w:r>
      <w:r>
        <w:rPr>
          <w:spacing w:val="-10"/>
          <w:sz w:val="13"/>
        </w:rPr>
        <w:t> </w:t>
      </w:r>
      <w:r>
        <w:rPr>
          <w:w w:val="115"/>
          <w:sz w:val="20"/>
        </w:rPr>
        <w:t>1</w:t>
      </w:r>
      <w:r>
        <w:rPr>
          <w:sz w:val="20"/>
        </w:rPr>
        <w:tab/>
      </w:r>
      <w:r>
        <w:rPr>
          <w:spacing w:val="-101"/>
          <w:w w:val="180"/>
          <w:sz w:val="13"/>
        </w:rPr>
        <w:t>l</w:t>
      </w:r>
      <w:r>
        <w:rPr>
          <w:spacing w:val="-168"/>
          <w:w w:val="357"/>
          <w:sz w:val="13"/>
        </w:rPr>
        <w:t>.</w:t>
      </w:r>
      <w:r>
        <w:rPr>
          <w:w w:val="159"/>
          <w:sz w:val="13"/>
        </w:rPr>
        <w:t>,Hl</w:t>
      </w:r>
      <w:r>
        <w:rPr>
          <w:sz w:val="13"/>
        </w:rPr>
        <w:t> </w:t>
      </w:r>
      <w:r>
        <w:rPr>
          <w:spacing w:val="-12"/>
          <w:sz w:val="13"/>
        </w:rPr>
        <w:t> </w:t>
      </w:r>
      <w:r>
        <w:rPr>
          <w:rFonts w:ascii="Arial"/>
          <w:i/>
          <w:w w:val="101"/>
          <w:sz w:val="19"/>
        </w:rPr>
        <w:t>d</w:t>
      </w:r>
      <w:r>
        <w:rPr>
          <w:rFonts w:ascii="Arial"/>
          <w:i/>
          <w:sz w:val="19"/>
        </w:rPr>
        <w:tab/>
      </w:r>
      <w:r>
        <w:rPr>
          <w:rFonts w:ascii="Arial"/>
          <w:w w:val="111"/>
          <w:sz w:val="19"/>
        </w:rPr>
        <w:t>_</w:t>
      </w:r>
      <w:r>
        <w:rPr>
          <w:rFonts w:ascii="Arial"/>
          <w:sz w:val="19"/>
        </w:rPr>
        <w:tab/>
      </w:r>
      <w:r>
        <w:rPr>
          <w:w w:val="129"/>
          <w:sz w:val="20"/>
        </w:rPr>
        <w:t>1</w:t>
      </w:r>
      <w:r>
        <w:rPr>
          <w:sz w:val="20"/>
        </w:rPr>
        <w:tab/>
      </w:r>
      <w:r>
        <w:rPr>
          <w:w w:val="168"/>
          <w:sz w:val="13"/>
        </w:rPr>
        <w:t>l</w:t>
      </w:r>
      <w:r>
        <w:rPr>
          <w:sz w:val="13"/>
        </w:rPr>
        <w:t> </w:t>
      </w:r>
      <w:r>
        <w:rPr>
          <w:spacing w:val="-15"/>
          <w:sz w:val="13"/>
        </w:rPr>
        <w:t> </w:t>
      </w:r>
      <w:r>
        <w:rPr>
          <w:w w:val="136"/>
          <w:sz w:val="13"/>
        </w:rPr>
        <w:t>r,r+t+l</w:t>
      </w:r>
      <w:r>
        <w:rPr>
          <w:sz w:val="13"/>
        </w:rPr>
        <w:t> </w:t>
      </w:r>
      <w:r>
        <w:rPr>
          <w:spacing w:val="5"/>
          <w:sz w:val="13"/>
        </w:rPr>
        <w:t> </w:t>
      </w:r>
      <w:r>
        <w:rPr>
          <w:rFonts w:ascii="Arial"/>
          <w:i/>
          <w:w w:val="98"/>
          <w:sz w:val="19"/>
        </w:rPr>
        <w:t>d</w:t>
      </w:r>
    </w:p>
    <w:p>
      <w:pPr>
        <w:tabs>
          <w:tab w:pos="3018" w:val="left" w:leader="none"/>
          <w:tab w:pos="4854" w:val="left" w:leader="none"/>
        </w:tabs>
        <w:spacing w:line="117" w:lineRule="exact" w:before="0"/>
        <w:ind w:left="1280" w:right="0" w:firstLine="0"/>
        <w:jc w:val="left"/>
        <w:rPr>
          <w:i/>
          <w:sz w:val="12"/>
        </w:rPr>
      </w:pPr>
      <w:r>
        <w:rPr>
          <w:rFonts w:ascii="Arial"/>
          <w:w w:val="95"/>
          <w:sz w:val="20"/>
        </w:rPr>
        <w:t>z:"iil </w:t>
      </w:r>
      <w:r>
        <w:rPr>
          <w:rFonts w:ascii="Arial"/>
          <w:w w:val="210"/>
          <w:sz w:val="20"/>
        </w:rPr>
        <w:t>- </w:t>
      </w:r>
      <w:r>
        <w:rPr>
          <w:rFonts w:ascii="Arial"/>
          <w:w w:val="185"/>
          <w:sz w:val="20"/>
        </w:rPr>
        <w:t>-</w:t>
      </w:r>
      <w:r>
        <w:rPr>
          <w:rFonts w:ascii="Arial"/>
          <w:spacing w:val="-80"/>
          <w:w w:val="185"/>
          <w:sz w:val="20"/>
        </w:rPr>
        <w:t> </w:t>
      </w:r>
      <w:r>
        <w:rPr>
          <w:i/>
          <w:w w:val="135"/>
          <w:sz w:val="16"/>
        </w:rPr>
        <w:t>LJ</w:t>
      </w:r>
      <w:r>
        <w:rPr>
          <w:i/>
          <w:spacing w:val="46"/>
          <w:w w:val="135"/>
          <w:sz w:val="16"/>
        </w:rPr>
        <w:t> </w:t>
      </w:r>
      <w:r>
        <w:rPr>
          <w:w w:val="185"/>
          <w:sz w:val="16"/>
        </w:rPr>
        <w:t>"</w:t>
        <w:tab/>
      </w:r>
      <w:r>
        <w:rPr>
          <w:i/>
          <w:w w:val="95"/>
          <w:sz w:val="12"/>
        </w:rPr>
        <w:t>I    </w:t>
      </w:r>
      <w:r>
        <w:rPr>
          <w:w w:val="405"/>
          <w:sz w:val="12"/>
        </w:rPr>
        <w:t>-</w:t>
      </w:r>
      <w:r>
        <w:rPr>
          <w:spacing w:val="-69"/>
          <w:w w:val="405"/>
          <w:sz w:val="12"/>
        </w:rPr>
        <w:t> </w:t>
      </w:r>
      <w:r>
        <w:rPr>
          <w:w w:val="580"/>
          <w:sz w:val="12"/>
        </w:rPr>
        <w:t>-</w:t>
      </w:r>
      <w:r>
        <w:rPr>
          <w:spacing w:val="-161"/>
          <w:w w:val="580"/>
          <w:sz w:val="12"/>
        </w:rPr>
        <w:t> </w:t>
      </w:r>
      <w:r>
        <w:rPr>
          <w:i/>
          <w:w w:val="135"/>
          <w:sz w:val="16"/>
        </w:rPr>
        <w:t>LJ</w:t>
      </w:r>
      <w:r>
        <w:rPr>
          <w:i/>
          <w:w w:val="135"/>
          <w:sz w:val="12"/>
        </w:rPr>
        <w:tab/>
      </w:r>
      <w:r>
        <w:rPr>
          <w:i/>
          <w:w w:val="95"/>
          <w:sz w:val="12"/>
        </w:rPr>
        <w:t>I</w:t>
      </w:r>
    </w:p>
    <w:p>
      <w:pPr>
        <w:tabs>
          <w:tab w:pos="1508" w:val="left" w:leader="none"/>
        </w:tabs>
        <w:spacing w:line="169" w:lineRule="exact" w:before="0"/>
        <w:ind w:left="0" w:right="141" w:firstLine="0"/>
        <w:jc w:val="center"/>
        <w:rPr>
          <w:b/>
          <w:sz w:val="13"/>
        </w:rPr>
      </w:pPr>
      <w:r>
        <w:rPr>
          <w:i/>
          <w:w w:val="85"/>
          <w:sz w:val="20"/>
        </w:rPr>
        <w:t>l%</w:t>
      </w:r>
      <w:r>
        <w:rPr>
          <w:i/>
          <w:spacing w:val="-2"/>
          <w:w w:val="85"/>
          <w:sz w:val="20"/>
        </w:rPr>
        <w:t> </w:t>
      </w:r>
      <w:r>
        <w:rPr>
          <w:rFonts w:ascii="Arial"/>
          <w:b/>
          <w:w w:val="155"/>
          <w:sz w:val="11"/>
        </w:rPr>
        <w:t>t-0</w:t>
        <w:tab/>
      </w:r>
      <w:r>
        <w:rPr>
          <w:rFonts w:ascii="Arial"/>
          <w:b/>
          <w:sz w:val="13"/>
        </w:rPr>
        <w:t>r,%la</w:t>
      </w:r>
      <w:r>
        <w:rPr>
          <w:rFonts w:ascii="Arial"/>
          <w:b/>
          <w:spacing w:val="-5"/>
          <w:sz w:val="13"/>
        </w:rPr>
        <w:t> </w:t>
      </w:r>
      <w:r>
        <w:rPr>
          <w:b/>
          <w:w w:val="155"/>
          <w:sz w:val="13"/>
        </w:rPr>
        <w:t>t-1</w:t>
      </w:r>
    </w:p>
    <w:p>
      <w:pPr>
        <w:tabs>
          <w:tab w:pos="712" w:val="left" w:leader="none"/>
          <w:tab w:pos="1288" w:val="left" w:leader="none"/>
        </w:tabs>
        <w:spacing w:line="237" w:lineRule="exact" w:before="104"/>
        <w:ind w:left="0" w:right="160" w:firstLine="0"/>
        <w:jc w:val="center"/>
        <w:rPr>
          <w:b/>
          <w:i/>
          <w:sz w:val="27"/>
        </w:rPr>
      </w:pPr>
      <w:r>
        <w:rPr>
          <w:w w:val="140"/>
          <w:sz w:val="20"/>
        </w:rPr>
        <w:t>_ </w:t>
      </w:r>
      <w:r>
        <w:rPr>
          <w:spacing w:val="27"/>
          <w:w w:val="140"/>
          <w:sz w:val="20"/>
        </w:rPr>
        <w:t> </w:t>
      </w:r>
      <w:r>
        <w:rPr>
          <w:w w:val="140"/>
          <w:sz w:val="20"/>
        </w:rPr>
        <w:t>1</w:t>
        <w:tab/>
      </w:r>
      <w:r>
        <w:rPr>
          <w:w w:val="140"/>
          <w:position w:val="12"/>
          <w:sz w:val="13"/>
        </w:rPr>
        <w:t>1</w:t>
      </w:r>
      <w:r>
        <w:rPr>
          <w:spacing w:val="-25"/>
          <w:w w:val="140"/>
          <w:position w:val="12"/>
          <w:sz w:val="13"/>
        </w:rPr>
        <w:t> </w:t>
      </w:r>
      <w:r>
        <w:rPr>
          <w:rFonts w:ascii="Arial"/>
          <w:i/>
          <w:w w:val="125"/>
          <w:sz w:val="20"/>
        </w:rPr>
        <w:t>C</w:t>
        <w:tab/>
      </w:r>
      <w:r>
        <w:rPr>
          <w:rFonts w:ascii="Arial"/>
          <w:w w:val="125"/>
          <w:sz w:val="20"/>
        </w:rPr>
        <w:t>_</w:t>
      </w:r>
      <w:r>
        <w:rPr>
          <w:rFonts w:ascii="Arial"/>
          <w:spacing w:val="-20"/>
          <w:w w:val="125"/>
          <w:sz w:val="20"/>
        </w:rPr>
        <w:t> </w:t>
      </w:r>
      <w:r>
        <w:rPr>
          <w:rFonts w:ascii="Arial"/>
          <w:i/>
          <w:w w:val="140"/>
          <w:sz w:val="20"/>
        </w:rPr>
        <w:t>M.</w:t>
      </w:r>
      <w:r>
        <w:rPr>
          <w:rFonts w:ascii="Arial"/>
          <w:i/>
          <w:spacing w:val="-53"/>
          <w:w w:val="140"/>
          <w:sz w:val="20"/>
        </w:rPr>
        <w:t> </w:t>
      </w:r>
      <w:r>
        <w:rPr>
          <w:rFonts w:ascii="Arial"/>
          <w:w w:val="235"/>
          <w:sz w:val="20"/>
        </w:rPr>
        <w:t>-</w:t>
      </w:r>
      <w:r>
        <w:rPr>
          <w:rFonts w:ascii="Arial"/>
          <w:spacing w:val="-101"/>
          <w:w w:val="235"/>
          <w:sz w:val="20"/>
        </w:rPr>
        <w:t> </w:t>
      </w:r>
      <w:r>
        <w:rPr>
          <w:b/>
          <w:i/>
          <w:w w:val="95"/>
          <w:sz w:val="27"/>
        </w:rPr>
        <w:t>M.._.</w:t>
      </w:r>
    </w:p>
    <w:p>
      <w:pPr>
        <w:tabs>
          <w:tab w:pos="2608" w:val="left" w:leader="none"/>
          <w:tab w:pos="3580" w:val="left" w:leader="none"/>
          <w:tab w:pos="4264" w:val="left" w:leader="none"/>
          <w:tab w:pos="5416" w:val="left" w:leader="none"/>
        </w:tabs>
        <w:spacing w:line="250" w:lineRule="exact" w:before="0"/>
        <w:ind w:left="1301" w:right="0" w:firstLine="342"/>
        <w:jc w:val="left"/>
        <w:rPr>
          <w:sz w:val="20"/>
        </w:rPr>
      </w:pPr>
      <w:r>
        <w:rPr/>
        <w:pict>
          <v:line style="position:absolute;mso-position-horizontal-relative:page;mso-position-vertical-relative:paragraph;z-index:-730240" from="232.740005pt,.957882pt" to="235.440005pt,.957882pt" stroked="true" strokeweight=".36pt" strokecolor="#000000">
            <w10:wrap type="none"/>
          </v:line>
        </w:pict>
      </w:r>
      <w:r>
        <w:rPr>
          <w:w w:val="195"/>
          <w:sz w:val="22"/>
        </w:rPr>
        <w:t>-</w:t>
      </w:r>
      <w:r>
        <w:rPr>
          <w:spacing w:val="-82"/>
          <w:w w:val="195"/>
          <w:sz w:val="22"/>
        </w:rPr>
        <w:t> </w:t>
      </w:r>
      <w:r>
        <w:rPr>
          <w:i/>
          <w:w w:val="130"/>
          <w:sz w:val="22"/>
          <w:u w:val="thick"/>
        </w:rPr>
        <w:t>D.</w:t>
      </w:r>
      <w:r>
        <w:rPr>
          <w:i/>
          <w:spacing w:val="-45"/>
          <w:w w:val="130"/>
          <w:sz w:val="22"/>
          <w:u w:val="thick"/>
        </w:rPr>
        <w:t> </w:t>
      </w:r>
      <w:r>
        <w:rPr>
          <w:i/>
          <w:w w:val="85"/>
          <w:sz w:val="22"/>
          <w:u w:val="thick"/>
        </w:rPr>
        <w:t>{::::</w:t>
      </w:r>
      <w:r>
        <w:rPr>
          <w:i/>
          <w:w w:val="85"/>
          <w:sz w:val="22"/>
        </w:rPr>
        <w:t>,</w:t>
        <w:tab/>
      </w:r>
      <w:r>
        <w:rPr>
          <w:spacing w:val="-5"/>
          <w:w w:val="130"/>
          <w:sz w:val="22"/>
        </w:rPr>
        <w:t>...,</w:t>
      </w:r>
      <w:r>
        <w:rPr>
          <w:spacing w:val="7"/>
          <w:w w:val="130"/>
          <w:sz w:val="22"/>
        </w:rPr>
        <w:t> </w:t>
      </w:r>
      <w:r>
        <w:rPr>
          <w:w w:val="195"/>
          <w:sz w:val="22"/>
        </w:rPr>
        <w:t>-</w:t>
        <w:tab/>
      </w:r>
      <w:r>
        <w:rPr>
          <w:i/>
          <w:w w:val="105"/>
          <w:sz w:val="22"/>
        </w:rPr>
        <w:t>Dz</w:t>
        <w:tab/>
      </w:r>
      <w:r>
        <w:rPr>
          <w:w w:val="130"/>
          <w:sz w:val="22"/>
        </w:rPr>
        <w:t>'</w:t>
        <w:tab/>
      </w:r>
      <w:r>
        <w:rPr>
          <w:w w:val="85"/>
          <w:position w:val="9"/>
          <w:sz w:val="20"/>
        </w:rPr>
        <w:t>(</w:t>
      </w:r>
      <w:r>
        <w:rPr>
          <w:spacing w:val="-24"/>
          <w:w w:val="85"/>
          <w:position w:val="9"/>
          <w:sz w:val="20"/>
        </w:rPr>
        <w:t> </w:t>
      </w:r>
      <w:r>
        <w:rPr>
          <w:spacing w:val="-14"/>
          <w:w w:val="125"/>
          <w:position w:val="9"/>
          <w:sz w:val="20"/>
        </w:rPr>
        <w:t>3.4)</w:t>
      </w:r>
    </w:p>
    <w:p>
      <w:pPr>
        <w:pStyle w:val="BodyText"/>
        <w:spacing w:before="237"/>
        <w:ind w:left="1301"/>
      </w:pPr>
      <w:r>
        <w:rPr>
          <w:position w:val="-16"/>
        </w:rPr>
        <w:drawing>
          <wp:inline distT="0" distB="0" distL="0" distR="0">
            <wp:extent cx="585216" cy="274319"/>
            <wp:effectExtent l="0" t="0" r="0" b="0"/>
            <wp:docPr id="151" name="image80.png" descr=""/>
            <wp:cNvGraphicFramePr>
              <a:graphicFrameLocks noChangeAspect="1"/>
            </wp:cNvGraphicFramePr>
            <a:graphic>
              <a:graphicData uri="http://schemas.openxmlformats.org/drawingml/2006/picture">
                <pic:pic>
                  <pic:nvPicPr>
                    <pic:cNvPr id="152" name="image80.png"/>
                    <pic:cNvPicPr/>
                  </pic:nvPicPr>
                  <pic:blipFill>
                    <a:blip r:embed="rId84" cstate="print"/>
                    <a:stretch>
                      <a:fillRect/>
                    </a:stretch>
                  </pic:blipFill>
                  <pic:spPr>
                    <a:xfrm>
                      <a:off x="0" y="0"/>
                      <a:ext cx="585216" cy="274319"/>
                    </a:xfrm>
                    <a:prstGeom prst="rect">
                      <a:avLst/>
                    </a:prstGeom>
                  </pic:spPr>
                </pic:pic>
              </a:graphicData>
            </a:graphic>
          </wp:inline>
        </w:drawing>
      </w:r>
      <w:r>
        <w:rPr>
          <w:position w:val="-16"/>
        </w:rPr>
      </w:r>
      <w:r>
        <w:rPr/>
        <w:t>                                                               </w:t>
      </w:r>
      <w:r>
        <w:rPr>
          <w:spacing w:val="-11"/>
          <w:w w:val="125"/>
        </w:rPr>
        <w:t>(3.5)</w:t>
      </w:r>
    </w:p>
    <w:p>
      <w:pPr>
        <w:pStyle w:val="BodyText"/>
        <w:tabs>
          <w:tab w:pos="1054" w:val="left" w:leader="none"/>
        </w:tabs>
        <w:spacing w:before="216"/>
        <w:ind w:right="45"/>
        <w:jc w:val="center"/>
        <w:rPr>
          <w:rFonts w:ascii="Arial"/>
          <w:sz w:val="19"/>
        </w:rPr>
      </w:pPr>
      <w:r>
        <w:rPr>
          <w:w w:val="105"/>
        </w:rPr>
        <w:t>and</w:t>
        <w:tab/>
      </w:r>
      <w:r>
        <w:rPr>
          <w:position w:val="-14"/>
        </w:rPr>
        <w:drawing>
          <wp:inline distT="0" distB="0" distL="0" distR="0">
            <wp:extent cx="786383" cy="274320"/>
            <wp:effectExtent l="0" t="0" r="0" b="0"/>
            <wp:docPr id="153" name="image81.png" descr=""/>
            <wp:cNvGraphicFramePr>
              <a:graphicFrameLocks noChangeAspect="1"/>
            </wp:cNvGraphicFramePr>
            <a:graphic>
              <a:graphicData uri="http://schemas.openxmlformats.org/drawingml/2006/picture">
                <pic:pic>
                  <pic:nvPicPr>
                    <pic:cNvPr id="154" name="image81.png"/>
                    <pic:cNvPicPr/>
                  </pic:nvPicPr>
                  <pic:blipFill>
                    <a:blip r:embed="rId85" cstate="print"/>
                    <a:stretch>
                      <a:fillRect/>
                    </a:stretch>
                  </pic:blipFill>
                  <pic:spPr>
                    <a:xfrm>
                      <a:off x="0" y="0"/>
                      <a:ext cx="786383" cy="274320"/>
                    </a:xfrm>
                    <a:prstGeom prst="rect">
                      <a:avLst/>
                    </a:prstGeom>
                  </pic:spPr>
                </pic:pic>
              </a:graphicData>
            </a:graphic>
          </wp:inline>
        </w:drawing>
      </w:r>
      <w:r>
        <w:rPr>
          <w:position w:val="-14"/>
        </w:rPr>
      </w:r>
      <w:r>
        <w:rPr>
          <w:position w:val="1"/>
        </w:rPr>
        <w:t>                                                           </w:t>
      </w:r>
      <w:r>
        <w:rPr>
          <w:rFonts w:ascii="Arial"/>
          <w:spacing w:val="-5"/>
          <w:w w:val="110"/>
          <w:position w:val="1"/>
          <w:sz w:val="19"/>
        </w:rPr>
        <w:t>(3.6)</w:t>
      </w:r>
    </w:p>
    <w:p>
      <w:pPr>
        <w:pStyle w:val="BodyText"/>
        <w:spacing w:line="237" w:lineRule="auto" w:before="170"/>
        <w:ind w:left="113" w:right="111" w:firstLine="198"/>
        <w:jc w:val="both"/>
      </w:pPr>
      <w:r>
        <w:rPr>
          <w:w w:val="105"/>
        </w:rPr>
        <w:t>An n-year </w:t>
      </w:r>
      <w:r>
        <w:rPr>
          <w:rFonts w:ascii="Arial"/>
          <w:i/>
          <w:w w:val="105"/>
        </w:rPr>
        <w:t>endowment </w:t>
      </w:r>
      <w:r>
        <w:rPr>
          <w:w w:val="105"/>
        </w:rPr>
        <w:t>insurance of 1 provides a payment  of  </w:t>
      </w:r>
      <w:r>
        <w:rPr>
          <w:w w:val="110"/>
        </w:rPr>
        <w:t>1 at </w:t>
      </w:r>
      <w:r>
        <w:rPr>
          <w:w w:val="105"/>
        </w:rPr>
        <w:t>the end of the year of  death </w:t>
      </w:r>
      <w:r>
        <w:rPr>
          <w:w w:val="105"/>
          <w:sz w:val="21"/>
        </w:rPr>
        <w:t>if  </w:t>
      </w:r>
      <w:r>
        <w:rPr>
          <w:w w:val="105"/>
        </w:rPr>
        <w:t>the  insured  dies within  </w:t>
      </w:r>
      <w:r>
        <w:rPr>
          <w:i/>
          <w:w w:val="105"/>
          <w:sz w:val="22"/>
        </w:rPr>
        <w:t>n </w:t>
      </w:r>
      <w:r>
        <w:rPr>
          <w:w w:val="105"/>
        </w:rPr>
        <w:t>years or a payrnent of </w:t>
      </w:r>
      <w:r>
        <w:rPr>
          <w:spacing w:val="3"/>
          <w:w w:val="110"/>
        </w:rPr>
        <w:t>1at </w:t>
      </w:r>
      <w:r>
        <w:rPr>
          <w:w w:val="105"/>
        </w:rPr>
        <w:t>the end of </w:t>
      </w:r>
      <w:r>
        <w:rPr>
          <w:i/>
          <w:w w:val="105"/>
          <w:sz w:val="22"/>
        </w:rPr>
        <w:t>n </w:t>
      </w:r>
      <w:r>
        <w:rPr>
          <w:w w:val="105"/>
        </w:rPr>
        <w:t>years </w:t>
      </w:r>
      <w:r>
        <w:rPr>
          <w:w w:val="105"/>
          <w:sz w:val="21"/>
        </w:rPr>
        <w:t>if </w:t>
      </w:r>
      <w:r>
        <w:rPr>
          <w:w w:val="105"/>
        </w:rPr>
        <w:t>the insured is then living. This is clearly a combination of an n-year term insurance with an n-year  pure endowment. Hence, </w:t>
      </w:r>
      <w:r>
        <w:rPr>
          <w:w w:val="105"/>
          <w:sz w:val="21"/>
        </w:rPr>
        <w:t>its </w:t>
      </w:r>
      <w:r>
        <w:rPr>
          <w:w w:val="105"/>
        </w:rPr>
        <w:t>value </w:t>
      </w:r>
      <w:r>
        <w:rPr>
          <w:rFonts w:ascii="Arial"/>
          <w:w w:val="105"/>
        </w:rPr>
        <w:t>Aa:"iil </w:t>
      </w:r>
      <w:r>
        <w:rPr>
          <w:w w:val="105"/>
        </w:rPr>
        <w:t>can be  </w:t>
      </w:r>
      <w:r>
        <w:rPr>
          <w:spacing w:val="34"/>
          <w:w w:val="105"/>
        </w:rPr>
        <w:t> </w:t>
      </w:r>
      <w:r>
        <w:rPr>
          <w:w w:val="105"/>
        </w:rPr>
        <w:t>expressed</w:t>
      </w:r>
    </w:p>
    <w:p>
      <w:pPr>
        <w:spacing w:after="0" w:line="237" w:lineRule="auto"/>
        <w:jc w:val="both"/>
        <w:sectPr>
          <w:pgSz w:w="7200" w:h="11340"/>
          <w:pgMar w:top="500" w:bottom="280" w:left="700" w:right="500"/>
        </w:sectPr>
      </w:pPr>
    </w:p>
    <w:p>
      <w:pPr>
        <w:tabs>
          <w:tab w:pos="1732" w:val="left" w:leader="none"/>
          <w:tab w:pos="5822" w:val="right" w:leader="none"/>
        </w:tabs>
        <w:spacing w:before="40"/>
        <w:ind w:left="106" w:right="0" w:firstLine="0"/>
        <w:jc w:val="left"/>
        <w:rPr>
          <w:sz w:val="23"/>
        </w:rPr>
      </w:pPr>
      <w:r>
        <w:rPr>
          <w:color w:val="010101"/>
          <w:sz w:val="15"/>
        </w:rPr>
        <w:t>SEC.</w:t>
      </w:r>
      <w:r>
        <w:rPr>
          <w:color w:val="010101"/>
          <w:spacing w:val="31"/>
          <w:sz w:val="15"/>
        </w:rPr>
        <w:t> </w:t>
      </w:r>
      <w:r>
        <w:rPr>
          <w:color w:val="010101"/>
          <w:sz w:val="21"/>
        </w:rPr>
        <w:t>3]</w:t>
        <w:tab/>
      </w:r>
      <w:r>
        <w:rPr>
          <w:b/>
          <w:color w:val="010101"/>
          <w:sz w:val="15"/>
        </w:rPr>
        <w:t>INSURANCES  </w:t>
      </w:r>
      <w:r>
        <w:rPr>
          <w:b/>
          <w:color w:val="010101"/>
          <w:spacing w:val="2"/>
          <w:sz w:val="15"/>
        </w:rPr>
        <w:t> </w:t>
      </w:r>
      <w:r>
        <w:rPr>
          <w:b/>
          <w:color w:val="010101"/>
          <w:sz w:val="15"/>
        </w:rPr>
        <w:t>AND </w:t>
      </w:r>
      <w:r>
        <w:rPr>
          <w:b/>
          <w:color w:val="010101"/>
          <w:spacing w:val="30"/>
          <w:sz w:val="15"/>
        </w:rPr>
        <w:t> </w:t>
      </w:r>
      <w:r>
        <w:rPr>
          <w:b/>
          <w:color w:val="010101"/>
          <w:sz w:val="15"/>
        </w:rPr>
        <w:t>ANNUITIES</w:t>
      </w:r>
      <w:r>
        <w:rPr>
          <w:color w:val="010101"/>
          <w:sz w:val="23"/>
        </w:rPr>
        <w:tab/>
        <w:t>67</w:t>
      </w:r>
    </w:p>
    <w:p>
      <w:pPr>
        <w:spacing w:before="146"/>
        <w:ind w:left="113" w:right="0" w:firstLine="0"/>
        <w:jc w:val="left"/>
        <w:rPr>
          <w:sz w:val="21"/>
        </w:rPr>
      </w:pPr>
      <w:r>
        <w:rPr>
          <w:color w:val="010101"/>
          <w:sz w:val="21"/>
        </w:rPr>
        <w:t>as Aa:il  </w:t>
      </w:r>
      <w:r>
        <w:rPr>
          <w:color w:val="010101"/>
          <w:sz w:val="26"/>
        </w:rPr>
        <w:t>= </w:t>
      </w:r>
      <w:r>
        <w:rPr>
          <w:color w:val="010101"/>
          <w:sz w:val="21"/>
        </w:rPr>
        <w:t>A!:-., </w:t>
      </w:r>
      <w:r>
        <w:rPr>
          <w:rFonts w:ascii="Arial"/>
          <w:color w:val="010101"/>
          <w:sz w:val="32"/>
        </w:rPr>
        <w:t>+ </w:t>
      </w:r>
      <w:r>
        <w:rPr>
          <w:i/>
          <w:color w:val="010101"/>
          <w:sz w:val="22"/>
        </w:rPr>
        <w:t>,.E. </w:t>
      </w:r>
      <w:r>
        <w:rPr>
          <w:color w:val="010101"/>
          <w:sz w:val="21"/>
        </w:rPr>
        <w:t>or</w:t>
      </w:r>
    </w:p>
    <w:p>
      <w:pPr>
        <w:tabs>
          <w:tab w:pos="520" w:val="left" w:leader="none"/>
        </w:tabs>
        <w:spacing w:line="193" w:lineRule="exact" w:before="42"/>
        <w:ind w:left="0" w:right="152" w:firstLine="0"/>
        <w:jc w:val="center"/>
        <w:rPr>
          <w:i/>
          <w:sz w:val="21"/>
        </w:rPr>
      </w:pPr>
      <w:r>
        <w:rPr>
          <w:i/>
          <w:color w:val="010101"/>
          <w:w w:val="110"/>
          <w:sz w:val="21"/>
        </w:rPr>
        <w:t>A</w:t>
        <w:tab/>
      </w:r>
      <w:r>
        <w:rPr>
          <w:color w:val="010101"/>
          <w:w w:val="110"/>
          <w:sz w:val="21"/>
        </w:rPr>
        <w:t>_ </w:t>
      </w:r>
      <w:r>
        <w:rPr>
          <w:i/>
          <w:color w:val="010101"/>
          <w:w w:val="110"/>
          <w:sz w:val="21"/>
          <w:u w:val="single" w:color="000000"/>
        </w:rPr>
        <w:t>M </w:t>
      </w:r>
      <w:r>
        <w:rPr>
          <w:i/>
          <w:color w:val="010101"/>
          <w:w w:val="95"/>
          <w:sz w:val="21"/>
          <w:u w:val="single" w:color="000000"/>
        </w:rPr>
        <w:t>z </w:t>
      </w:r>
      <w:r>
        <w:rPr>
          <w:color w:val="010101"/>
          <w:w w:val="245"/>
          <w:sz w:val="21"/>
          <w:u w:val="single" w:color="000000"/>
        </w:rPr>
        <w:t>- </w:t>
      </w:r>
      <w:r>
        <w:rPr>
          <w:i/>
          <w:color w:val="010101"/>
          <w:w w:val="110"/>
          <w:sz w:val="21"/>
          <w:u w:val="single" w:color="000000"/>
        </w:rPr>
        <w:t>M </w:t>
      </w:r>
      <w:r>
        <w:rPr>
          <w:i/>
          <w:color w:val="010101"/>
          <w:spacing w:val="-3"/>
          <w:w w:val="95"/>
          <w:sz w:val="21"/>
          <w:u w:val="single" w:color="000000"/>
        </w:rPr>
        <w:t>.....,. </w:t>
      </w:r>
      <w:r>
        <w:rPr>
          <w:color w:val="010101"/>
          <w:w w:val="110"/>
          <w:sz w:val="29"/>
          <w:u w:val="single" w:color="000000"/>
        </w:rPr>
        <w:t>+</w:t>
      </w:r>
      <w:r>
        <w:rPr>
          <w:color w:val="010101"/>
          <w:spacing w:val="-60"/>
          <w:w w:val="110"/>
          <w:sz w:val="29"/>
          <w:u w:val="single" w:color="000000"/>
        </w:rPr>
        <w:t> </w:t>
      </w:r>
      <w:r>
        <w:rPr>
          <w:i/>
          <w:color w:val="010101"/>
          <w:spacing w:val="-4"/>
          <w:w w:val="110"/>
          <w:sz w:val="21"/>
        </w:rPr>
        <w:t>D..."</w:t>
      </w:r>
    </w:p>
    <w:p>
      <w:pPr>
        <w:spacing w:after="0" w:line="193" w:lineRule="exact"/>
        <w:jc w:val="center"/>
        <w:rPr>
          <w:sz w:val="21"/>
        </w:rPr>
        <w:sectPr>
          <w:pgSz w:w="7200" w:h="11340"/>
          <w:pgMar w:top="460" w:bottom="280" w:left="640" w:right="560"/>
        </w:sectPr>
      </w:pPr>
    </w:p>
    <w:p>
      <w:pPr>
        <w:tabs>
          <w:tab w:pos="3178" w:val="left" w:leader="none"/>
        </w:tabs>
        <w:spacing w:before="27"/>
        <w:ind w:left="1818" w:right="0" w:firstLine="0"/>
        <w:jc w:val="left"/>
        <w:rPr>
          <w:b/>
          <w:sz w:val="22"/>
        </w:rPr>
      </w:pPr>
      <w:r>
        <w:rPr>
          <w:b/>
          <w:color w:val="010101"/>
          <w:w w:val="85"/>
          <w:sz w:val="22"/>
        </w:rPr>
        <w:t>s:'ii\</w:t>
      </w:r>
      <w:r>
        <w:rPr>
          <w:b/>
          <w:color w:val="010101"/>
          <w:spacing w:val="28"/>
          <w:w w:val="85"/>
          <w:sz w:val="22"/>
        </w:rPr>
        <w:t> </w:t>
      </w:r>
      <w:r>
        <w:rPr>
          <w:color w:val="010101"/>
          <w:w w:val="210"/>
          <w:sz w:val="22"/>
        </w:rPr>
        <w:t>-</w:t>
        <w:tab/>
      </w:r>
      <w:r>
        <w:rPr>
          <w:b/>
          <w:color w:val="010101"/>
          <w:w w:val="90"/>
          <w:sz w:val="22"/>
        </w:rPr>
        <w:t>Ds</w:t>
      </w:r>
    </w:p>
    <w:p>
      <w:pPr>
        <w:pStyle w:val="BodyText"/>
        <w:spacing w:line="204" w:lineRule="exact"/>
        <w:ind w:right="170"/>
        <w:jc w:val="right"/>
      </w:pPr>
      <w:r>
        <w:rPr/>
        <w:br w:type="column"/>
      </w:r>
      <w:r>
        <w:rPr>
          <w:color w:val="010101"/>
          <w:w w:val="125"/>
        </w:rPr>
        <w:t>(3.7)</w:t>
      </w:r>
    </w:p>
    <w:p>
      <w:pPr>
        <w:spacing w:after="0" w:line="204" w:lineRule="exact"/>
        <w:jc w:val="right"/>
        <w:sectPr>
          <w:type w:val="continuous"/>
          <w:pgSz w:w="7200" w:h="11340"/>
          <w:pgMar w:top="1100" w:bottom="0" w:left="640" w:right="560"/>
          <w:cols w:num="2" w:equalWidth="0">
            <w:col w:w="3399" w:space="193"/>
            <w:col w:w="2408"/>
          </w:cols>
        </w:sectPr>
      </w:pPr>
    </w:p>
    <w:p>
      <w:pPr>
        <w:spacing w:line="184" w:lineRule="auto" w:before="215"/>
        <w:ind w:left="124" w:right="0" w:firstLine="193"/>
        <w:jc w:val="left"/>
        <w:rPr>
          <w:sz w:val="20"/>
        </w:rPr>
      </w:pPr>
      <w:r>
        <w:rPr/>
        <w:pict>
          <v:shape style="position:absolute;margin-left:89.371887pt;margin-top:21.166431pt;width:137.550pt;height:6pt;mso-position-horizontal-relative:page;mso-position-vertical-relative:paragraph;z-index:-730144" type="#_x0000_t202" filled="false" stroked="false">
            <v:textbox inset="0,0,0,0">
              <w:txbxContent>
                <w:p>
                  <w:pPr>
                    <w:tabs>
                      <w:tab w:pos="1783" w:val="left" w:leader="none"/>
                      <w:tab w:pos="2655" w:val="left" w:leader="none"/>
                    </w:tabs>
                    <w:spacing w:line="120" w:lineRule="exact" w:before="0"/>
                    <w:ind w:left="0" w:right="0" w:firstLine="0"/>
                    <w:jc w:val="left"/>
                    <w:rPr>
                      <w:rFonts w:ascii="Arial"/>
                      <w:b/>
                      <w:sz w:val="12"/>
                    </w:rPr>
                  </w:pPr>
                  <w:r>
                    <w:rPr>
                      <w:rFonts w:ascii="Arial"/>
                      <w:b/>
                      <w:color w:val="010101"/>
                      <w:w w:val="135"/>
                      <w:sz w:val="12"/>
                    </w:rPr>
                    <w:t>1</w:t>
                    <w:tab/>
                    <w:t>1</w:t>
                    <w:tab/>
                    <w:t>1</w:t>
                  </w:r>
                </w:p>
              </w:txbxContent>
            </v:textbox>
            <w10:wrap type="none"/>
          </v:shape>
        </w:pict>
      </w:r>
      <w:r>
        <w:rPr>
          <w:color w:val="010101"/>
          <w:w w:val="105"/>
          <w:sz w:val="21"/>
        </w:rPr>
        <w:t>The pure endowment value is frequently given an insurance </w:t>
      </w:r>
      <w:r>
        <w:rPr>
          <w:color w:val="010101"/>
          <w:w w:val="99"/>
          <w:sz w:val="21"/>
        </w:rPr>
        <w:t>symbol, </w:t>
      </w:r>
      <w:r>
        <w:rPr>
          <w:color w:val="010101"/>
          <w:spacing w:val="3"/>
          <w:w w:val="115"/>
          <w:sz w:val="22"/>
        </w:rPr>
        <w:t>Az:</w:t>
      </w:r>
      <w:r>
        <w:rPr>
          <w:rFonts w:ascii="Arial" w:hAnsi="Arial"/>
          <w:color w:val="010101"/>
          <w:spacing w:val="3"/>
          <w:w w:val="115"/>
          <w:sz w:val="20"/>
        </w:rPr>
        <w:t>.¡.</w:t>
      </w:r>
      <w:r>
        <w:rPr>
          <w:color w:val="010101"/>
          <w:spacing w:val="3"/>
          <w:w w:val="115"/>
          <w:sz w:val="21"/>
        </w:rPr>
        <w:t>Then, </w:t>
      </w:r>
      <w:r>
        <w:rPr>
          <w:color w:val="010101"/>
          <w:spacing w:val="2"/>
          <w:w w:val="116"/>
          <w:sz w:val="22"/>
        </w:rPr>
        <w:t>Aa:</w:t>
      </w:r>
      <w:r>
        <w:rPr>
          <w:rFonts w:ascii="Arial" w:hAnsi="Arial"/>
          <w:color w:val="010101"/>
          <w:spacing w:val="2"/>
          <w:w w:val="116"/>
          <w:sz w:val="20"/>
        </w:rPr>
        <w:t>.¡ </w:t>
      </w:r>
      <w:r>
        <w:rPr>
          <w:color w:val="010101"/>
          <w:w w:val="91"/>
          <w:sz w:val="26"/>
        </w:rPr>
        <w:t>= </w:t>
      </w:r>
      <w:r>
        <w:rPr>
          <w:i/>
          <w:color w:val="010101"/>
          <w:w w:val="83"/>
          <w:sz w:val="22"/>
        </w:rPr>
        <w:t>Az: </w:t>
      </w:r>
      <w:r>
        <w:rPr>
          <w:color w:val="010101"/>
          <w:w w:val="177"/>
          <w:sz w:val="16"/>
        </w:rPr>
        <w:t>;i </w:t>
      </w:r>
      <w:r>
        <w:rPr>
          <w:rFonts w:ascii="Arial" w:hAnsi="Arial"/>
          <w:color w:val="010101"/>
          <w:w w:val="104"/>
          <w:sz w:val="32"/>
        </w:rPr>
        <w:t>+</w:t>
      </w:r>
      <w:r>
        <w:rPr>
          <w:rFonts w:ascii="Arial" w:hAnsi="Arial"/>
          <w:color w:val="010101"/>
          <w:spacing w:val="-51"/>
          <w:w w:val="104"/>
          <w:sz w:val="32"/>
        </w:rPr>
        <w:t> </w:t>
      </w:r>
      <w:r>
        <w:rPr>
          <w:i/>
          <w:color w:val="010101"/>
          <w:w w:val="91"/>
          <w:sz w:val="20"/>
        </w:rPr>
        <w:t>As: </w:t>
      </w:r>
      <w:r>
        <w:rPr>
          <w:i/>
          <w:color w:val="010101"/>
          <w:w w:val="123"/>
          <w:sz w:val="20"/>
        </w:rPr>
        <w:t>.¡ </w:t>
      </w:r>
      <w:r>
        <w:rPr>
          <w:color w:val="010101"/>
          <w:w w:val="163"/>
          <w:sz w:val="20"/>
        </w:rPr>
        <w:t>.</w:t>
      </w:r>
    </w:p>
    <w:p>
      <w:pPr>
        <w:numPr>
          <w:ilvl w:val="0"/>
          <w:numId w:val="30"/>
        </w:numPr>
        <w:tabs>
          <w:tab w:pos="362" w:val="left" w:leader="none"/>
        </w:tabs>
        <w:spacing w:before="153"/>
        <w:ind w:left="361" w:right="0" w:hanging="230"/>
        <w:jc w:val="left"/>
        <w:rPr>
          <w:b/>
          <w:sz w:val="20"/>
        </w:rPr>
      </w:pPr>
      <w:r>
        <w:rPr>
          <w:b/>
          <w:color w:val="010101"/>
          <w:w w:val="115"/>
          <w:sz w:val="20"/>
        </w:rPr>
        <w:t>Relations between insurances and</w:t>
      </w:r>
      <w:r>
        <w:rPr>
          <w:b/>
          <w:color w:val="010101"/>
          <w:spacing w:val="21"/>
          <w:w w:val="115"/>
          <w:sz w:val="20"/>
        </w:rPr>
        <w:t> </w:t>
      </w:r>
      <w:r>
        <w:rPr>
          <w:b/>
          <w:color w:val="010101"/>
          <w:w w:val="115"/>
          <w:sz w:val="20"/>
        </w:rPr>
        <w:t>annuities</w:t>
      </w:r>
    </w:p>
    <w:p>
      <w:pPr>
        <w:tabs>
          <w:tab w:pos="1649" w:val="left" w:leader="none"/>
        </w:tabs>
        <w:spacing w:line="194" w:lineRule="auto" w:before="68"/>
        <w:ind w:left="131" w:right="149" w:firstLine="193"/>
        <w:jc w:val="left"/>
        <w:rPr>
          <w:sz w:val="21"/>
        </w:rPr>
      </w:pPr>
      <w:r>
        <w:rPr>
          <w:color w:val="010101"/>
          <w:w w:val="105"/>
          <w:sz w:val="21"/>
        </w:rPr>
        <w:t>Since</w:t>
      </w:r>
      <w:r>
        <w:rPr>
          <w:color w:val="010101"/>
          <w:spacing w:val="-3"/>
          <w:w w:val="105"/>
          <w:sz w:val="21"/>
        </w:rPr>
        <w:t> </w:t>
      </w:r>
      <w:r>
        <w:rPr>
          <w:color w:val="010101"/>
          <w:sz w:val="21"/>
        </w:rPr>
        <w:t>Ca</w:t>
      </w:r>
      <w:r>
        <w:rPr>
          <w:color w:val="010101"/>
          <w:spacing w:val="24"/>
          <w:sz w:val="21"/>
        </w:rPr>
        <w:t> </w:t>
      </w:r>
      <w:r>
        <w:rPr>
          <w:color w:val="010101"/>
          <w:w w:val="105"/>
          <w:sz w:val="27"/>
        </w:rPr>
        <w:t>=</w:t>
        <w:tab/>
      </w:r>
      <w:r>
        <w:rPr>
          <w:color w:val="010101"/>
          <w:w w:val="105"/>
          <w:position w:val="7"/>
          <w:sz w:val="20"/>
        </w:rPr>
        <w:t>1</w:t>
      </w:r>
      <w:r>
        <w:rPr>
          <w:color w:val="010101"/>
          <w:spacing w:val="-41"/>
          <w:w w:val="105"/>
          <w:position w:val="7"/>
          <w:sz w:val="20"/>
        </w:rPr>
        <w:t> </w:t>
      </w:r>
      <w:r>
        <w:rPr>
          <w:i/>
          <w:color w:val="010101"/>
          <w:w w:val="105"/>
          <w:sz w:val="21"/>
        </w:rPr>
        <w:t>ds</w:t>
      </w:r>
      <w:r>
        <w:rPr>
          <w:i/>
          <w:color w:val="010101"/>
          <w:spacing w:val="22"/>
          <w:w w:val="105"/>
          <w:sz w:val="21"/>
        </w:rPr>
        <w:t> </w:t>
      </w:r>
      <w:r>
        <w:rPr>
          <w:color w:val="010101"/>
          <w:w w:val="105"/>
          <w:sz w:val="27"/>
        </w:rPr>
        <w:t>=</w:t>
      </w:r>
      <w:r>
        <w:rPr>
          <w:color w:val="010101"/>
          <w:spacing w:val="5"/>
          <w:w w:val="105"/>
          <w:sz w:val="27"/>
        </w:rPr>
        <w:t> </w:t>
      </w:r>
      <w:r>
        <w:rPr>
          <w:i/>
          <w:color w:val="010101"/>
          <w:w w:val="105"/>
          <w:sz w:val="21"/>
        </w:rPr>
        <w:t>v+i(l.</w:t>
      </w:r>
      <w:r>
        <w:rPr>
          <w:i/>
          <w:color w:val="010101"/>
          <w:spacing w:val="-3"/>
          <w:w w:val="105"/>
          <w:sz w:val="21"/>
        </w:rPr>
        <w:t> </w:t>
      </w:r>
      <w:r>
        <w:rPr>
          <w:color w:val="010101"/>
          <w:w w:val="245"/>
          <w:sz w:val="21"/>
        </w:rPr>
        <w:t>-</w:t>
      </w:r>
      <w:r>
        <w:rPr>
          <w:color w:val="010101"/>
          <w:spacing w:val="-83"/>
          <w:w w:val="245"/>
          <w:sz w:val="21"/>
        </w:rPr>
        <w:t> </w:t>
      </w:r>
      <w:r>
        <w:rPr>
          <w:color w:val="010101"/>
          <w:sz w:val="20"/>
        </w:rPr>
        <w:t>ls+1)</w:t>
      </w:r>
      <w:r>
        <w:rPr>
          <w:color w:val="010101"/>
          <w:spacing w:val="38"/>
          <w:sz w:val="20"/>
        </w:rPr>
        <w:t> </w:t>
      </w:r>
      <w:r>
        <w:rPr>
          <w:color w:val="010101"/>
          <w:w w:val="105"/>
          <w:sz w:val="28"/>
        </w:rPr>
        <w:t>=</w:t>
      </w:r>
      <w:r>
        <w:rPr>
          <w:color w:val="010101"/>
          <w:spacing w:val="3"/>
          <w:w w:val="105"/>
          <w:sz w:val="28"/>
        </w:rPr>
        <w:t> </w:t>
      </w:r>
      <w:r>
        <w:rPr>
          <w:i/>
          <w:color w:val="010101"/>
          <w:w w:val="105"/>
          <w:sz w:val="21"/>
        </w:rPr>
        <w:t>vDs</w:t>
      </w:r>
      <w:r>
        <w:rPr>
          <w:i/>
          <w:color w:val="010101"/>
          <w:spacing w:val="21"/>
          <w:w w:val="105"/>
          <w:sz w:val="21"/>
        </w:rPr>
        <w:t> </w:t>
      </w:r>
      <w:r>
        <w:rPr>
          <w:color w:val="010101"/>
          <w:w w:val="245"/>
          <w:sz w:val="21"/>
        </w:rPr>
        <w:t>-</w:t>
      </w:r>
      <w:r>
        <w:rPr>
          <w:color w:val="010101"/>
          <w:spacing w:val="-88"/>
          <w:w w:val="245"/>
          <w:sz w:val="21"/>
        </w:rPr>
        <w:t> </w:t>
      </w:r>
      <w:r>
        <w:rPr>
          <w:color w:val="010101"/>
          <w:w w:val="105"/>
          <w:sz w:val="21"/>
        </w:rPr>
        <w:t>Ds+i</w:t>
      </w:r>
      <w:r>
        <w:rPr>
          <w:color w:val="010101"/>
          <w:spacing w:val="-10"/>
          <w:w w:val="105"/>
          <w:sz w:val="21"/>
        </w:rPr>
        <w:t> </w:t>
      </w:r>
      <w:r>
        <w:rPr>
          <w:color w:val="010101"/>
          <w:w w:val="105"/>
          <w:sz w:val="21"/>
        </w:rPr>
        <w:t>,</w:t>
      </w:r>
      <w:r>
        <w:rPr>
          <w:color w:val="010101"/>
          <w:spacing w:val="-6"/>
          <w:w w:val="105"/>
          <w:sz w:val="21"/>
        </w:rPr>
        <w:t> </w:t>
      </w:r>
      <w:r>
        <w:rPr>
          <w:color w:val="010101"/>
          <w:w w:val="105"/>
          <w:sz w:val="21"/>
        </w:rPr>
        <w:t>it</w:t>
      </w:r>
      <w:r>
        <w:rPr>
          <w:color w:val="010101"/>
          <w:spacing w:val="1"/>
          <w:w w:val="105"/>
          <w:sz w:val="21"/>
        </w:rPr>
        <w:t> </w:t>
      </w:r>
      <w:r>
        <w:rPr>
          <w:color w:val="010101"/>
          <w:w w:val="105"/>
          <w:sz w:val="21"/>
        </w:rPr>
        <w:t>follows</w:t>
      </w:r>
      <w:r>
        <w:rPr>
          <w:color w:val="010101"/>
          <w:w w:val="93"/>
          <w:sz w:val="21"/>
        </w:rPr>
        <w:t> </w:t>
      </w:r>
      <w:r>
        <w:rPr>
          <w:color w:val="010101"/>
          <w:w w:val="105"/>
          <w:sz w:val="21"/>
        </w:rPr>
        <w:t>that </w:t>
      </w:r>
      <w:r>
        <w:rPr>
          <w:i/>
          <w:color w:val="010101"/>
          <w:w w:val="105"/>
          <w:sz w:val="21"/>
        </w:rPr>
        <w:t>M </w:t>
      </w:r>
      <w:r>
        <w:rPr>
          <w:color w:val="010101"/>
          <w:w w:val="145"/>
          <w:sz w:val="13"/>
        </w:rPr>
        <w:t>s </w:t>
      </w:r>
      <w:r>
        <w:rPr>
          <w:color w:val="010101"/>
          <w:w w:val="105"/>
          <w:sz w:val="26"/>
        </w:rPr>
        <w:t>= </w:t>
      </w:r>
      <w:r>
        <w:rPr>
          <w:i/>
          <w:color w:val="010101"/>
          <w:w w:val="105"/>
          <w:sz w:val="21"/>
        </w:rPr>
        <w:t>vN </w:t>
      </w:r>
      <w:r>
        <w:rPr>
          <w:color w:val="010101"/>
          <w:w w:val="145"/>
          <w:sz w:val="13"/>
        </w:rPr>
        <w:t>s </w:t>
      </w:r>
      <w:r>
        <w:rPr>
          <w:color w:val="010101"/>
          <w:w w:val="405"/>
          <w:sz w:val="13"/>
        </w:rPr>
        <w:t>-</w:t>
      </w:r>
      <w:r>
        <w:rPr>
          <w:color w:val="010101"/>
          <w:spacing w:val="-94"/>
          <w:w w:val="405"/>
          <w:sz w:val="13"/>
        </w:rPr>
        <w:t> </w:t>
      </w:r>
      <w:r>
        <w:rPr>
          <w:i/>
          <w:color w:val="010101"/>
          <w:w w:val="105"/>
          <w:sz w:val="21"/>
        </w:rPr>
        <w:t>N </w:t>
      </w:r>
      <w:r>
        <w:rPr>
          <w:color w:val="010101"/>
          <w:w w:val="105"/>
          <w:sz w:val="13"/>
        </w:rPr>
        <w:t>Si-1  </w:t>
      </w:r>
      <w:r>
        <w:rPr>
          <w:color w:val="010101"/>
          <w:w w:val="145"/>
          <w:sz w:val="13"/>
        </w:rPr>
        <w:t>; </w:t>
      </w:r>
      <w:r>
        <w:rPr>
          <w:color w:val="010101"/>
          <w:w w:val="105"/>
          <w:sz w:val="21"/>
        </w:rPr>
        <w:t>and, dividing by </w:t>
      </w:r>
      <w:r>
        <w:rPr>
          <w:i/>
          <w:color w:val="010101"/>
          <w:w w:val="105"/>
          <w:sz w:val="21"/>
        </w:rPr>
        <w:t>Ds </w:t>
      </w:r>
      <w:r>
        <w:rPr>
          <w:color w:val="010101"/>
          <w:w w:val="105"/>
          <w:sz w:val="21"/>
        </w:rPr>
        <w:t>,</w:t>
      </w:r>
    </w:p>
    <w:p>
      <w:pPr>
        <w:tabs>
          <w:tab w:pos="714" w:val="left" w:leader="none"/>
          <w:tab w:pos="1256" w:val="left" w:leader="none"/>
          <w:tab w:pos="1657" w:val="right" w:leader="dot"/>
        </w:tabs>
        <w:spacing w:line="194" w:lineRule="exact" w:before="119"/>
        <w:ind w:left="0" w:right="93" w:firstLine="0"/>
        <w:jc w:val="center"/>
        <w:rPr>
          <w:b/>
          <w:sz w:val="13"/>
        </w:rPr>
      </w:pPr>
      <w:r>
        <w:rPr>
          <w:b/>
          <w:i/>
          <w:color w:val="010101"/>
          <w:sz w:val="22"/>
        </w:rPr>
        <w:t>Ms</w:t>
        <w:tab/>
      </w:r>
      <w:r>
        <w:rPr>
          <w:b/>
          <w:color w:val="010101"/>
          <w:sz w:val="22"/>
        </w:rPr>
        <w:t>Ns</w:t>
        <w:tab/>
        <w:t>N</w:t>
      </w:r>
      <w:r>
        <w:rPr>
          <w:b/>
          <w:color w:val="010101"/>
          <w:sz w:val="13"/>
        </w:rPr>
        <w:tab/>
        <w:t>1</w:t>
      </w:r>
    </w:p>
    <w:p>
      <w:pPr>
        <w:spacing w:line="113" w:lineRule="exact" w:before="0"/>
        <w:ind w:left="98" w:right="190" w:firstLine="0"/>
        <w:jc w:val="center"/>
        <w:rPr>
          <w:rFonts w:ascii="Arial"/>
          <w:i/>
          <w:sz w:val="19"/>
        </w:rPr>
      </w:pPr>
      <w:r>
        <w:rPr>
          <w:rFonts w:ascii="Arial"/>
          <w:i/>
          <w:color w:val="010101"/>
          <w:w w:val="430"/>
          <w:sz w:val="19"/>
        </w:rPr>
        <w:t>-</w:t>
      </w:r>
      <w:r>
        <w:rPr>
          <w:rFonts w:ascii="Arial"/>
          <w:i/>
          <w:color w:val="010101"/>
          <w:spacing w:val="-184"/>
          <w:w w:val="430"/>
          <w:sz w:val="19"/>
        </w:rPr>
        <w:t> </w:t>
      </w:r>
      <w:r>
        <w:rPr>
          <w:rFonts w:ascii="Arial"/>
          <w:i/>
          <w:color w:val="010101"/>
          <w:w w:val="165"/>
          <w:sz w:val="19"/>
        </w:rPr>
        <w:t>= </w:t>
      </w:r>
      <w:r>
        <w:rPr>
          <w:rFonts w:ascii="Arial"/>
          <w:i/>
          <w:color w:val="010101"/>
          <w:w w:val="110"/>
          <w:sz w:val="19"/>
        </w:rPr>
        <w:t>v </w:t>
      </w:r>
      <w:r>
        <w:rPr>
          <w:rFonts w:ascii="Arial"/>
          <w:i/>
          <w:color w:val="010101"/>
          <w:w w:val="320"/>
          <w:sz w:val="19"/>
        </w:rPr>
        <w:t>-</w:t>
      </w:r>
      <w:r>
        <w:rPr>
          <w:rFonts w:ascii="Arial"/>
          <w:i/>
          <w:color w:val="010101"/>
          <w:spacing w:val="-80"/>
          <w:w w:val="320"/>
          <w:sz w:val="19"/>
        </w:rPr>
        <w:t> </w:t>
      </w:r>
      <w:r>
        <w:rPr>
          <w:rFonts w:ascii="Arial"/>
          <w:i/>
          <w:color w:val="010101"/>
          <w:w w:val="270"/>
          <w:sz w:val="19"/>
        </w:rPr>
        <w:t>-</w:t>
      </w:r>
      <w:r>
        <w:rPr>
          <w:rFonts w:ascii="Arial"/>
          <w:i/>
          <w:color w:val="010101"/>
          <w:spacing w:val="-70"/>
          <w:w w:val="270"/>
          <w:sz w:val="19"/>
        </w:rPr>
        <w:t> </w:t>
      </w:r>
      <w:r>
        <w:rPr>
          <w:rFonts w:ascii="Arial"/>
          <w:i/>
          <w:color w:val="010101"/>
          <w:spacing w:val="-18"/>
          <w:w w:val="320"/>
          <w:sz w:val="19"/>
        </w:rPr>
        <w:t>--</w:t>
      </w:r>
    </w:p>
    <w:p>
      <w:pPr>
        <w:tabs>
          <w:tab w:pos="2841" w:val="left" w:leader="none"/>
          <w:tab w:pos="3462" w:val="left" w:leader="none"/>
        </w:tabs>
        <w:spacing w:line="196" w:lineRule="exact" w:before="0"/>
        <w:ind w:left="2116" w:right="0" w:firstLine="0"/>
        <w:jc w:val="left"/>
        <w:rPr>
          <w:rFonts w:ascii="Arial"/>
          <w:sz w:val="21"/>
        </w:rPr>
      </w:pPr>
      <w:r>
        <w:rPr>
          <w:rFonts w:ascii="Arial"/>
          <w:i/>
          <w:color w:val="010101"/>
          <w:w w:val="115"/>
          <w:sz w:val="21"/>
        </w:rPr>
        <w:t>D.</w:t>
        <w:tab/>
      </w:r>
      <w:r>
        <w:rPr>
          <w:color w:val="010101"/>
          <w:w w:val="115"/>
          <w:sz w:val="21"/>
        </w:rPr>
        <w:t>Ds</w:t>
        <w:tab/>
      </w:r>
      <w:r>
        <w:rPr>
          <w:rFonts w:ascii="Arial"/>
          <w:i/>
          <w:color w:val="010101"/>
          <w:w w:val="115"/>
          <w:sz w:val="21"/>
        </w:rPr>
        <w:t>D. </w:t>
      </w:r>
      <w:r>
        <w:rPr>
          <w:rFonts w:ascii="Arial"/>
          <w:i/>
          <w:color w:val="010101"/>
          <w:spacing w:val="4"/>
          <w:w w:val="115"/>
          <w:sz w:val="21"/>
        </w:rPr>
        <w:t> </w:t>
      </w:r>
      <w:r>
        <w:rPr>
          <w:rFonts w:ascii="Arial"/>
          <w:color w:val="010101"/>
          <w:w w:val="125"/>
          <w:sz w:val="21"/>
        </w:rPr>
        <w:t>'</w:t>
      </w:r>
    </w:p>
    <w:p>
      <w:pPr>
        <w:spacing w:after="0" w:line="196" w:lineRule="exact"/>
        <w:jc w:val="left"/>
        <w:rPr>
          <w:rFonts w:ascii="Arial"/>
          <w:sz w:val="21"/>
        </w:rPr>
        <w:sectPr>
          <w:type w:val="continuous"/>
          <w:pgSz w:w="7200" w:h="11340"/>
          <w:pgMar w:top="1100" w:bottom="0" w:left="640" w:right="560"/>
        </w:sectPr>
      </w:pPr>
    </w:p>
    <w:p>
      <w:pPr>
        <w:tabs>
          <w:tab w:pos="2288" w:val="left" w:leader="none"/>
        </w:tabs>
        <w:spacing w:before="97"/>
        <w:ind w:left="135" w:right="0" w:firstLine="0"/>
        <w:jc w:val="left"/>
        <w:rPr>
          <w:b/>
          <w:sz w:val="15"/>
        </w:rPr>
      </w:pPr>
      <w:r>
        <w:rPr>
          <w:color w:val="010101"/>
          <w:w w:val="115"/>
          <w:position w:val="1"/>
          <w:sz w:val="21"/>
        </w:rPr>
        <w:t>or</w:t>
        <w:tab/>
      </w:r>
      <w:r>
        <w:rPr>
          <w:i/>
          <w:color w:val="010101"/>
          <w:w w:val="115"/>
          <w:sz w:val="20"/>
        </w:rPr>
        <w:t>As = </w:t>
      </w:r>
      <w:r>
        <w:rPr>
          <w:rFonts w:ascii="Arial"/>
          <w:i/>
          <w:color w:val="010101"/>
          <w:w w:val="315"/>
          <w:sz w:val="13"/>
        </w:rPr>
        <w:t>V </w:t>
      </w:r>
      <w:r>
        <w:rPr>
          <w:rFonts w:ascii="Arial"/>
          <w:color w:val="010101"/>
          <w:w w:val="375"/>
          <w:sz w:val="13"/>
        </w:rPr>
        <w:t>-</w:t>
      </w:r>
      <w:r>
        <w:rPr>
          <w:rFonts w:ascii="Arial"/>
          <w:color w:val="010101"/>
          <w:spacing w:val="-85"/>
          <w:w w:val="375"/>
          <w:sz w:val="13"/>
        </w:rPr>
        <w:t> </w:t>
      </w:r>
      <w:r>
        <w:rPr>
          <w:b/>
          <w:color w:val="010101"/>
          <w:w w:val="115"/>
          <w:sz w:val="15"/>
        </w:rPr>
        <w:t>Os .</w:t>
      </w:r>
    </w:p>
    <w:p>
      <w:pPr>
        <w:spacing w:before="118"/>
        <w:ind w:left="135" w:right="-5" w:firstLine="0"/>
        <w:jc w:val="left"/>
        <w:rPr>
          <w:sz w:val="19"/>
        </w:rPr>
      </w:pPr>
      <w:r>
        <w:rPr/>
        <w:br w:type="column"/>
      </w:r>
      <w:r>
        <w:rPr>
          <w:color w:val="010101"/>
          <w:w w:val="110"/>
          <w:sz w:val="19"/>
        </w:rPr>
        <w:t>(3.8)</w:t>
      </w:r>
    </w:p>
    <w:p>
      <w:pPr>
        <w:spacing w:after="0"/>
        <w:jc w:val="left"/>
        <w:rPr>
          <w:sz w:val="19"/>
        </w:rPr>
        <w:sectPr>
          <w:type w:val="continuous"/>
          <w:pgSz w:w="7200" w:h="11340"/>
          <w:pgMar w:top="1100" w:bottom="0" w:left="640" w:right="560"/>
          <w:cols w:num="2" w:equalWidth="0">
            <w:col w:w="3680" w:space="1650"/>
            <w:col w:w="670"/>
          </w:cols>
        </w:sectPr>
      </w:pPr>
    </w:p>
    <w:p>
      <w:pPr>
        <w:spacing w:line="240" w:lineRule="exact" w:before="117"/>
        <w:ind w:left="146" w:right="153" w:firstLine="3"/>
        <w:jc w:val="both"/>
        <w:rPr>
          <w:sz w:val="21"/>
        </w:rPr>
      </w:pPr>
      <w:r>
        <w:rPr>
          <w:color w:val="010101"/>
          <w:sz w:val="21"/>
        </w:rPr>
        <w:t>It is interesting </w:t>
      </w:r>
      <w:r>
        <w:rPr>
          <w:color w:val="010101"/>
          <w:sz w:val="22"/>
        </w:rPr>
        <w:t>to </w:t>
      </w:r>
      <w:r>
        <w:rPr>
          <w:color w:val="010101"/>
          <w:sz w:val="21"/>
        </w:rPr>
        <w:t>verify this relation between the life annuity and the  whole  life  insurance  by  general  reasoning.  The   expression</w:t>
      </w:r>
    </w:p>
    <w:p>
      <w:pPr>
        <w:spacing w:line="245" w:lineRule="exact" w:before="0"/>
        <w:ind w:left="153" w:right="0" w:hanging="8"/>
        <w:jc w:val="both"/>
        <w:rPr>
          <w:sz w:val="21"/>
        </w:rPr>
      </w:pPr>
      <w:r>
        <w:rPr>
          <w:i/>
          <w:color w:val="010101"/>
          <w:sz w:val="27"/>
        </w:rPr>
        <w:t>va. </w:t>
      </w:r>
      <w:r>
        <w:rPr>
          <w:color w:val="010101"/>
          <w:sz w:val="21"/>
        </w:rPr>
        <w:t>represents the present value of an annuity-due of </w:t>
      </w:r>
      <w:r>
        <w:rPr>
          <w:rFonts w:ascii="Arial"/>
          <w:i/>
          <w:color w:val="010101"/>
          <w:sz w:val="18"/>
        </w:rPr>
        <w:t>v </w:t>
      </w:r>
      <w:r>
        <w:rPr>
          <w:color w:val="010101"/>
          <w:sz w:val="21"/>
        </w:rPr>
        <w:t>per   annum</w:t>
      </w:r>
    </w:p>
    <w:p>
      <w:pPr>
        <w:spacing w:line="223" w:lineRule="auto" w:before="7"/>
        <w:ind w:left="153" w:right="110" w:firstLine="0"/>
        <w:jc w:val="both"/>
        <w:rPr>
          <w:sz w:val="21"/>
        </w:rPr>
      </w:pPr>
      <w:r>
        <w:rPr>
          <w:color w:val="010101"/>
          <w:sz w:val="21"/>
        </w:rPr>
        <w:t>to </w:t>
      </w:r>
      <w:r>
        <w:rPr>
          <w:rFonts w:ascii="Arial" w:hAnsi="Arial"/>
          <w:i/>
          <w:color w:val="010101"/>
          <w:sz w:val="19"/>
        </w:rPr>
        <w:t>(x), </w:t>
      </w:r>
      <w:r>
        <w:rPr>
          <w:color w:val="010101"/>
          <w:sz w:val="21"/>
        </w:rPr>
        <w:t>and such an annuity has the same value as an annuity of </w:t>
      </w:r>
      <w:r>
        <w:rPr>
          <w:color w:val="010101"/>
          <w:sz w:val="20"/>
        </w:rPr>
        <w:t>1 </w:t>
      </w:r>
      <w:r>
        <w:rPr>
          <w:color w:val="010101"/>
          <w:sz w:val="21"/>
        </w:rPr>
        <w:t>paya.ble at the end of ea.ch year that </w:t>
      </w:r>
      <w:r>
        <w:rPr>
          <w:rFonts w:ascii="Arial" w:hAnsi="Arial"/>
          <w:i/>
          <w:color w:val="010101"/>
          <w:sz w:val="18"/>
        </w:rPr>
        <w:t>(x) </w:t>
      </w:r>
      <w:r>
        <w:rPr>
          <w:color w:val="010101"/>
          <w:sz w:val="21"/>
        </w:rPr>
        <w:t>enters upon. The expres­ sion </w:t>
      </w:r>
      <w:r>
        <w:rPr>
          <w:i/>
          <w:color w:val="010101"/>
          <w:sz w:val="25"/>
        </w:rPr>
        <w:t>a.</w:t>
      </w:r>
      <w:r>
        <w:rPr>
          <w:color w:val="010101"/>
          <w:sz w:val="21"/>
        </w:rPr>
        <w:t>representa the value of an annuity of </w:t>
      </w:r>
      <w:r>
        <w:rPr>
          <w:color w:val="010101"/>
          <w:sz w:val="20"/>
        </w:rPr>
        <w:t>1</w:t>
      </w:r>
      <w:r>
        <w:rPr>
          <w:color w:val="010101"/>
          <w:sz w:val="21"/>
        </w:rPr>
        <w:t>payable at the end of ea.ch year  that  </w:t>
      </w:r>
      <w:r>
        <w:rPr>
          <w:color w:val="010101"/>
          <w:sz w:val="19"/>
        </w:rPr>
        <w:t>(x)  </w:t>
      </w:r>
      <w:r>
        <w:rPr>
          <w:color w:val="010101"/>
          <w:sz w:val="21"/>
        </w:rPr>
        <w:t>completes.  The  difference  between  these two</w:t>
      </w:r>
    </w:p>
    <w:p>
      <w:pPr>
        <w:spacing w:line="240" w:lineRule="exact" w:before="6"/>
        <w:ind w:left="163" w:right="126" w:hanging="8"/>
        <w:jc w:val="both"/>
        <w:rPr>
          <w:rFonts w:ascii="Arial" w:hAnsi="Arial"/>
          <w:sz w:val="20"/>
        </w:rPr>
      </w:pPr>
      <w:r>
        <w:rPr>
          <w:color w:val="010101"/>
          <w:w w:val="105"/>
          <w:sz w:val="21"/>
        </w:rPr>
        <w:t>annuities is evidently a single payment of </w:t>
      </w:r>
      <w:r>
        <w:rPr>
          <w:color w:val="010101"/>
          <w:spacing w:val="6"/>
          <w:w w:val="105"/>
          <w:sz w:val="20"/>
        </w:rPr>
        <w:t>1</w:t>
      </w:r>
      <w:r>
        <w:rPr>
          <w:color w:val="010101"/>
          <w:spacing w:val="6"/>
          <w:w w:val="105"/>
          <w:sz w:val="21"/>
        </w:rPr>
        <w:t>at </w:t>
      </w:r>
      <w:r>
        <w:rPr>
          <w:color w:val="010101"/>
          <w:w w:val="105"/>
          <w:sz w:val="21"/>
        </w:rPr>
        <w:t>the end of the year tha.t</w:t>
      </w:r>
      <w:r>
        <w:rPr>
          <w:color w:val="010101"/>
          <w:spacing w:val="-1"/>
          <w:w w:val="105"/>
          <w:sz w:val="21"/>
        </w:rPr>
        <w:t> </w:t>
      </w:r>
      <w:r>
        <w:rPr>
          <w:color w:val="010101"/>
          <w:w w:val="105"/>
          <w:sz w:val="19"/>
        </w:rPr>
        <w:t>(x)</w:t>
      </w:r>
      <w:r>
        <w:rPr>
          <w:color w:val="010101"/>
          <w:spacing w:val="-5"/>
          <w:w w:val="105"/>
          <w:sz w:val="19"/>
        </w:rPr>
        <w:t> </w:t>
      </w:r>
      <w:r>
        <w:rPr>
          <w:color w:val="010101"/>
          <w:w w:val="105"/>
          <w:sz w:val="21"/>
        </w:rPr>
        <w:t>entera</w:t>
      </w:r>
      <w:r>
        <w:rPr>
          <w:color w:val="010101"/>
          <w:spacing w:val="-13"/>
          <w:w w:val="105"/>
          <w:sz w:val="21"/>
        </w:rPr>
        <w:t> </w:t>
      </w:r>
      <w:r>
        <w:rPr>
          <w:color w:val="010101"/>
          <w:w w:val="105"/>
          <w:sz w:val="21"/>
        </w:rPr>
        <w:t>upon</w:t>
      </w:r>
      <w:r>
        <w:rPr>
          <w:color w:val="010101"/>
          <w:spacing w:val="-5"/>
          <w:w w:val="105"/>
          <w:sz w:val="21"/>
        </w:rPr>
        <w:t> </w:t>
      </w:r>
      <w:r>
        <w:rPr>
          <w:color w:val="010101"/>
          <w:w w:val="105"/>
          <w:sz w:val="21"/>
        </w:rPr>
        <w:t>but</w:t>
      </w:r>
      <w:r>
        <w:rPr>
          <w:color w:val="010101"/>
          <w:spacing w:val="-12"/>
          <w:w w:val="105"/>
          <w:sz w:val="21"/>
        </w:rPr>
        <w:t> </w:t>
      </w:r>
      <w:r>
        <w:rPr>
          <w:color w:val="010101"/>
          <w:w w:val="105"/>
          <w:sz w:val="21"/>
        </w:rPr>
        <w:t>does</w:t>
      </w:r>
      <w:r>
        <w:rPr>
          <w:color w:val="010101"/>
          <w:spacing w:val="-19"/>
          <w:w w:val="105"/>
          <w:sz w:val="21"/>
        </w:rPr>
        <w:t> </w:t>
      </w:r>
      <w:r>
        <w:rPr>
          <w:color w:val="010101"/>
          <w:w w:val="105"/>
          <w:sz w:val="21"/>
        </w:rPr>
        <w:t>not</w:t>
      </w:r>
      <w:r>
        <w:rPr>
          <w:color w:val="010101"/>
          <w:spacing w:val="-7"/>
          <w:w w:val="105"/>
          <w:sz w:val="21"/>
        </w:rPr>
        <w:t> </w:t>
      </w:r>
      <w:r>
        <w:rPr>
          <w:color w:val="010101"/>
          <w:w w:val="105"/>
          <w:sz w:val="21"/>
        </w:rPr>
        <w:t>complete.</w:t>
      </w:r>
      <w:r>
        <w:rPr>
          <w:color w:val="010101"/>
          <w:spacing w:val="-15"/>
          <w:w w:val="105"/>
          <w:sz w:val="21"/>
        </w:rPr>
        <w:t> </w:t>
      </w:r>
      <w:r>
        <w:rPr>
          <w:color w:val="010101"/>
          <w:w w:val="105"/>
          <w:sz w:val="21"/>
        </w:rPr>
        <w:t>Since</w:t>
      </w:r>
      <w:r>
        <w:rPr>
          <w:color w:val="010101"/>
          <w:spacing w:val="-17"/>
          <w:w w:val="105"/>
          <w:sz w:val="21"/>
        </w:rPr>
        <w:t> </w:t>
      </w:r>
      <w:r>
        <w:rPr>
          <w:color w:val="010101"/>
          <w:w w:val="105"/>
          <w:sz w:val="21"/>
        </w:rPr>
        <w:t>this</w:t>
      </w:r>
      <w:r>
        <w:rPr>
          <w:color w:val="010101"/>
          <w:spacing w:val="-16"/>
          <w:w w:val="105"/>
          <w:sz w:val="21"/>
        </w:rPr>
        <w:t> </w:t>
      </w:r>
      <w:r>
        <w:rPr>
          <w:color w:val="010101"/>
          <w:w w:val="105"/>
          <w:sz w:val="21"/>
        </w:rPr>
        <w:t>a.mounts</w:t>
      </w:r>
      <w:r>
        <w:rPr>
          <w:color w:val="010101"/>
          <w:spacing w:val="-10"/>
          <w:w w:val="105"/>
          <w:sz w:val="21"/>
        </w:rPr>
        <w:t> </w:t>
      </w:r>
      <w:r>
        <w:rPr>
          <w:color w:val="010101"/>
          <w:w w:val="105"/>
          <w:sz w:val="21"/>
        </w:rPr>
        <w:t>to </w:t>
      </w:r>
      <w:r>
        <w:rPr>
          <w:color w:val="010101"/>
          <w:w w:val="105"/>
          <w:sz w:val="22"/>
        </w:rPr>
        <w:t>a </w:t>
      </w:r>
      <w:r>
        <w:rPr>
          <w:color w:val="010101"/>
          <w:w w:val="105"/>
          <w:sz w:val="21"/>
        </w:rPr>
        <w:t>pa.yment of </w:t>
      </w:r>
      <w:r>
        <w:rPr>
          <w:color w:val="010101"/>
          <w:w w:val="105"/>
          <w:sz w:val="20"/>
        </w:rPr>
        <w:t>1 </w:t>
      </w:r>
      <w:r>
        <w:rPr>
          <w:color w:val="010101"/>
          <w:w w:val="105"/>
          <w:sz w:val="22"/>
        </w:rPr>
        <w:t>at </w:t>
      </w:r>
      <w:r>
        <w:rPr>
          <w:color w:val="010101"/>
          <w:w w:val="105"/>
          <w:sz w:val="21"/>
        </w:rPr>
        <w:t>the end of the year of death, it has the same value</w:t>
      </w:r>
      <w:r>
        <w:rPr>
          <w:color w:val="010101"/>
          <w:spacing w:val="-18"/>
          <w:w w:val="105"/>
          <w:sz w:val="21"/>
        </w:rPr>
        <w:t> </w:t>
      </w:r>
      <w:r>
        <w:rPr>
          <w:color w:val="010101"/>
          <w:w w:val="105"/>
          <w:sz w:val="21"/>
        </w:rPr>
        <w:t>as</w:t>
      </w:r>
      <w:r>
        <w:rPr>
          <w:color w:val="010101"/>
          <w:spacing w:val="-25"/>
          <w:w w:val="105"/>
          <w:sz w:val="21"/>
        </w:rPr>
        <w:t> </w:t>
      </w:r>
      <w:r>
        <w:rPr>
          <w:color w:val="010101"/>
          <w:w w:val="105"/>
          <w:sz w:val="21"/>
        </w:rPr>
        <w:t>the</w:t>
      </w:r>
      <w:r>
        <w:rPr>
          <w:color w:val="010101"/>
          <w:spacing w:val="-23"/>
          <w:w w:val="105"/>
          <w:sz w:val="21"/>
        </w:rPr>
        <w:t> </w:t>
      </w:r>
      <w:r>
        <w:rPr>
          <w:color w:val="010101"/>
          <w:w w:val="105"/>
          <w:sz w:val="21"/>
        </w:rPr>
        <w:t>whole</w:t>
      </w:r>
      <w:r>
        <w:rPr>
          <w:color w:val="010101"/>
          <w:spacing w:val="-18"/>
          <w:w w:val="105"/>
          <w:sz w:val="21"/>
        </w:rPr>
        <w:t> </w:t>
      </w:r>
      <w:r>
        <w:rPr>
          <w:color w:val="010101"/>
          <w:w w:val="105"/>
          <w:sz w:val="21"/>
        </w:rPr>
        <w:t>life</w:t>
      </w:r>
      <w:r>
        <w:rPr>
          <w:color w:val="010101"/>
          <w:spacing w:val="-21"/>
          <w:w w:val="105"/>
          <w:sz w:val="21"/>
        </w:rPr>
        <w:t> </w:t>
      </w:r>
      <w:r>
        <w:rPr>
          <w:color w:val="010101"/>
          <w:w w:val="105"/>
          <w:sz w:val="21"/>
        </w:rPr>
        <w:t>insurance,</w:t>
      </w:r>
      <w:r>
        <w:rPr>
          <w:color w:val="010101"/>
          <w:spacing w:val="-12"/>
          <w:w w:val="105"/>
          <w:sz w:val="21"/>
        </w:rPr>
        <w:t> </w:t>
      </w:r>
      <w:r>
        <w:rPr>
          <w:rFonts w:ascii="Arial" w:hAnsi="Arial"/>
          <w:i/>
          <w:color w:val="010101"/>
          <w:spacing w:val="9"/>
          <w:w w:val="105"/>
          <w:sz w:val="20"/>
        </w:rPr>
        <w:t>A•</w:t>
      </w:r>
      <w:r>
        <w:rPr>
          <w:rFonts w:ascii="Arial" w:hAnsi="Arial"/>
          <w:i/>
          <w:color w:val="010101"/>
          <w:spacing w:val="-27"/>
          <w:w w:val="105"/>
          <w:sz w:val="20"/>
        </w:rPr>
        <w:t> </w:t>
      </w:r>
      <w:r>
        <w:rPr>
          <w:rFonts w:ascii="Arial" w:hAnsi="Arial"/>
          <w:color w:val="010101"/>
          <w:w w:val="110"/>
          <w:sz w:val="20"/>
        </w:rPr>
        <w:t>.</w:t>
      </w:r>
    </w:p>
    <w:p>
      <w:pPr>
        <w:spacing w:line="238" w:lineRule="exact" w:before="0"/>
        <w:ind w:left="291" w:right="59" w:firstLine="0"/>
        <w:jc w:val="center"/>
        <w:rPr>
          <w:sz w:val="21"/>
        </w:rPr>
      </w:pPr>
      <w:r>
        <w:rPr>
          <w:color w:val="010101"/>
          <w:sz w:val="21"/>
        </w:rPr>
        <w:t>For  the  n-year  term  insurance,  the  corresponding  relation    is</w:t>
      </w:r>
    </w:p>
    <w:p>
      <w:pPr>
        <w:spacing w:after="0" w:line="238" w:lineRule="exact"/>
        <w:jc w:val="center"/>
        <w:rPr>
          <w:sz w:val="21"/>
        </w:rPr>
        <w:sectPr>
          <w:type w:val="continuous"/>
          <w:pgSz w:w="7200" w:h="11340"/>
          <w:pgMar w:top="1100" w:bottom="0" w:left="640" w:right="560"/>
        </w:sectPr>
      </w:pPr>
    </w:p>
    <w:p>
      <w:pPr>
        <w:spacing w:before="96"/>
        <w:ind w:left="1031" w:right="0" w:firstLine="0"/>
        <w:jc w:val="center"/>
        <w:rPr>
          <w:rFonts w:ascii="Arial" w:hAnsi="Arial"/>
          <w:sz w:val="19"/>
        </w:rPr>
      </w:pPr>
      <w:r>
        <w:rPr>
          <w:b/>
          <w:color w:val="010101"/>
          <w:sz w:val="22"/>
        </w:rPr>
        <w:t>A!:</w:t>
      </w:r>
      <w:r>
        <w:rPr>
          <w:rFonts w:ascii="Arial" w:hAnsi="Arial"/>
          <w:b/>
          <w:color w:val="010101"/>
          <w:sz w:val="19"/>
        </w:rPr>
        <w:t>al </w:t>
      </w:r>
      <w:r>
        <w:rPr>
          <w:color w:val="010101"/>
          <w:sz w:val="26"/>
        </w:rPr>
        <w:t>= </w:t>
      </w:r>
      <w:r>
        <w:rPr>
          <w:rFonts w:ascii="Arial" w:hAnsi="Arial"/>
          <w:b/>
          <w:color w:val="010101"/>
          <w:sz w:val="13"/>
        </w:rPr>
        <w:t>V4a: </w:t>
      </w:r>
      <w:r>
        <w:rPr>
          <w:rFonts w:ascii="Arial" w:hAnsi="Arial"/>
          <w:color w:val="010101"/>
          <w:sz w:val="20"/>
        </w:rPr>
        <w:t>ii1 </w:t>
      </w:r>
      <w:r>
        <w:rPr>
          <w:rFonts w:ascii="Arial" w:hAnsi="Arial"/>
          <w:color w:val="010101"/>
          <w:w w:val="235"/>
          <w:sz w:val="20"/>
        </w:rPr>
        <w:t>-</w:t>
      </w:r>
      <w:r>
        <w:rPr>
          <w:rFonts w:ascii="Arial" w:hAnsi="Arial"/>
          <w:color w:val="010101"/>
          <w:spacing w:val="-85"/>
          <w:w w:val="235"/>
          <w:sz w:val="20"/>
        </w:rPr>
        <w:t> </w:t>
      </w:r>
      <w:r>
        <w:rPr>
          <w:rFonts w:ascii="Arial" w:hAnsi="Arial"/>
          <w:color w:val="010101"/>
          <w:sz w:val="15"/>
        </w:rPr>
        <w:t>0a:</w:t>
      </w:r>
      <w:r>
        <w:rPr>
          <w:rFonts w:ascii="Arial" w:hAnsi="Arial"/>
          <w:color w:val="010101"/>
          <w:sz w:val="19"/>
        </w:rPr>
        <w:t>ii1 •</w:t>
      </w:r>
    </w:p>
    <w:p>
      <w:pPr>
        <w:spacing w:before="85"/>
        <w:ind w:left="361" w:right="0" w:firstLine="0"/>
        <w:jc w:val="left"/>
        <w:rPr>
          <w:sz w:val="21"/>
        </w:rPr>
      </w:pPr>
      <w:r>
        <w:rPr>
          <w:color w:val="010101"/>
          <w:sz w:val="21"/>
        </w:rPr>
        <w:t>For the n-year  endowment,</w:t>
      </w:r>
    </w:p>
    <w:p>
      <w:pPr>
        <w:spacing w:before="32"/>
        <w:ind w:left="1039" w:right="0" w:firstLine="0"/>
        <w:jc w:val="center"/>
        <w:rPr>
          <w:i/>
          <w:sz w:val="20"/>
        </w:rPr>
      </w:pPr>
      <w:r>
        <w:rPr>
          <w:color w:val="010101"/>
          <w:w w:val="120"/>
          <w:sz w:val="17"/>
        </w:rPr>
        <w:t>Aa:;i  </w:t>
      </w:r>
      <w:r>
        <w:rPr>
          <w:color w:val="010101"/>
          <w:sz w:val="26"/>
        </w:rPr>
        <w:t>= </w:t>
      </w:r>
      <w:r>
        <w:rPr>
          <w:b/>
          <w:color w:val="010101"/>
          <w:sz w:val="22"/>
        </w:rPr>
        <w:t>A!:.¡ </w:t>
      </w:r>
      <w:r>
        <w:rPr>
          <w:rFonts w:ascii="Arial" w:hAnsi="Arial"/>
          <w:color w:val="010101"/>
          <w:sz w:val="32"/>
        </w:rPr>
        <w:t>+ </w:t>
      </w:r>
      <w:r>
        <w:rPr>
          <w:i/>
          <w:color w:val="010101"/>
          <w:sz w:val="20"/>
        </w:rPr>
        <w:t>,.E. </w:t>
      </w:r>
      <w:r>
        <w:rPr>
          <w:color w:val="010101"/>
          <w:sz w:val="26"/>
        </w:rPr>
        <w:t>= </w:t>
      </w:r>
      <w:r>
        <w:rPr>
          <w:i/>
          <w:color w:val="010101"/>
          <w:sz w:val="20"/>
        </w:rPr>
        <w:t>vtia:.¡  </w:t>
      </w:r>
      <w:r>
        <w:rPr>
          <w:color w:val="010101"/>
          <w:w w:val="255"/>
          <w:sz w:val="20"/>
        </w:rPr>
        <w:t>- </w:t>
      </w:r>
      <w:r>
        <w:rPr>
          <w:color w:val="010101"/>
          <w:sz w:val="15"/>
        </w:rPr>
        <w:t>Clz:.J  </w:t>
      </w:r>
      <w:r>
        <w:rPr>
          <w:rFonts w:ascii="Arial" w:hAnsi="Arial"/>
          <w:color w:val="010101"/>
          <w:sz w:val="32"/>
        </w:rPr>
        <w:t>+</w:t>
      </w:r>
      <w:r>
        <w:rPr>
          <w:rFonts w:ascii="Arial" w:hAnsi="Arial"/>
          <w:color w:val="010101"/>
          <w:spacing w:val="-34"/>
          <w:sz w:val="32"/>
        </w:rPr>
        <w:t> </w:t>
      </w:r>
      <w:r>
        <w:rPr>
          <w:i/>
          <w:color w:val="010101"/>
          <w:w w:val="120"/>
          <w:sz w:val="20"/>
        </w:rPr>
        <w:t>,.E.,</w:t>
      </w:r>
    </w:p>
    <w:p>
      <w:pPr>
        <w:tabs>
          <w:tab w:pos="2116" w:val="left" w:leader="none"/>
        </w:tabs>
        <w:spacing w:before="30"/>
        <w:ind w:left="124" w:right="0" w:firstLine="0"/>
        <w:jc w:val="left"/>
        <w:rPr>
          <w:sz w:val="24"/>
        </w:rPr>
      </w:pPr>
      <w:r>
        <w:rPr/>
        <w:pict>
          <v:line style="position:absolute;mso-position-horizontal-relative:page;mso-position-vertical-relative:paragraph;z-index:-730168" from="215.1745pt,14.750113pt" to="217.6869pt,14.750113pt" stroked="true" strokeweight=".358923pt" strokecolor="#000000">
            <w10:wrap type="none"/>
          </v:line>
        </w:pict>
      </w:r>
      <w:r>
        <w:rPr>
          <w:color w:val="151515"/>
          <w:spacing w:val="-69"/>
          <w:w w:val="163"/>
          <w:sz w:val="21"/>
        </w:rPr>
        <w:t>·</w:t>
      </w:r>
      <w:r>
        <w:rPr>
          <w:color w:val="151515"/>
          <w:w w:val="105"/>
          <w:sz w:val="21"/>
        </w:rPr>
        <w:t>but</w:t>
      </w:r>
      <w:r>
        <w:rPr>
          <w:color w:val="151515"/>
          <w:sz w:val="21"/>
        </w:rPr>
        <w:tab/>
      </w:r>
      <w:r>
        <w:rPr>
          <w:i/>
          <w:color w:val="010101"/>
          <w:w w:val="117"/>
          <w:sz w:val="25"/>
        </w:rPr>
        <w:t>.E.</w:t>
      </w:r>
      <w:r>
        <w:rPr>
          <w:i/>
          <w:color w:val="010101"/>
          <w:spacing w:val="-14"/>
          <w:sz w:val="25"/>
        </w:rPr>
        <w:t> </w:t>
      </w:r>
      <w:r>
        <w:rPr>
          <w:color w:val="010101"/>
          <w:w w:val="87"/>
          <w:sz w:val="28"/>
        </w:rPr>
        <w:t>=</w:t>
      </w:r>
      <w:r>
        <w:rPr>
          <w:color w:val="010101"/>
          <w:spacing w:val="24"/>
          <w:sz w:val="28"/>
        </w:rPr>
        <w:t> </w:t>
      </w:r>
      <w:r>
        <w:rPr>
          <w:color w:val="010101"/>
          <w:w w:val="90"/>
          <w:sz w:val="25"/>
        </w:rPr>
        <w:t>a.</w:t>
      </w:r>
      <w:r>
        <w:rPr>
          <w:color w:val="010101"/>
          <w:spacing w:val="-6"/>
          <w:w w:val="90"/>
          <w:sz w:val="25"/>
        </w:rPr>
        <w:t>:</w:t>
      </w:r>
      <w:r>
        <w:rPr>
          <w:rFonts w:ascii="Arial" w:hAnsi="Arial"/>
          <w:color w:val="010101"/>
          <w:w w:val="103"/>
          <w:sz w:val="15"/>
        </w:rPr>
        <w:t>ti1</w:t>
      </w:r>
      <w:r>
        <w:rPr>
          <w:rFonts w:ascii="Arial" w:hAnsi="Arial"/>
          <w:color w:val="010101"/>
          <w:sz w:val="15"/>
        </w:rPr>
        <w:t> </w:t>
      </w:r>
      <w:r>
        <w:rPr>
          <w:rFonts w:ascii="Arial" w:hAnsi="Arial"/>
          <w:color w:val="010101"/>
          <w:spacing w:val="-8"/>
          <w:sz w:val="15"/>
        </w:rPr>
        <w:t> </w:t>
      </w:r>
      <w:r>
        <w:rPr>
          <w:rFonts w:ascii="Arial" w:hAnsi="Arial"/>
          <w:color w:val="010101"/>
          <w:w w:val="340"/>
          <w:sz w:val="15"/>
        </w:rPr>
        <w:t>-</w:t>
      </w:r>
      <w:r>
        <w:rPr>
          <w:rFonts w:ascii="Arial" w:hAnsi="Arial"/>
          <w:color w:val="010101"/>
          <w:sz w:val="15"/>
        </w:rPr>
        <w:t> </w:t>
      </w:r>
      <w:r>
        <w:rPr>
          <w:rFonts w:ascii="Arial" w:hAnsi="Arial"/>
          <w:color w:val="010101"/>
          <w:spacing w:val="-21"/>
          <w:sz w:val="15"/>
        </w:rPr>
        <w:t> </w:t>
      </w:r>
      <w:r>
        <w:rPr>
          <w:color w:val="010101"/>
          <w:w w:val="100"/>
          <w:sz w:val="17"/>
        </w:rPr>
        <w:t>O.:</w:t>
      </w:r>
      <w:r>
        <w:rPr>
          <w:color w:val="010101"/>
          <w:spacing w:val="-17"/>
          <w:sz w:val="17"/>
        </w:rPr>
        <w:t> </w:t>
      </w:r>
      <w:r>
        <w:rPr>
          <w:color w:val="010101"/>
          <w:w w:val="63"/>
          <w:sz w:val="24"/>
        </w:rPr>
        <w:t>11</w:t>
      </w:r>
      <w:r>
        <w:rPr>
          <w:color w:val="010101"/>
          <w:spacing w:val="-15"/>
          <w:w w:val="63"/>
          <w:sz w:val="24"/>
        </w:rPr>
        <w:t>-</w:t>
      </w:r>
      <w:r>
        <w:rPr>
          <w:color w:val="010101"/>
          <w:spacing w:val="-26"/>
          <w:w w:val="78"/>
          <w:sz w:val="24"/>
        </w:rPr>
        <w:t>1</w:t>
      </w:r>
      <w:r>
        <w:rPr>
          <w:color w:val="010101"/>
          <w:w w:val="32"/>
          <w:sz w:val="24"/>
        </w:rPr>
        <w:t>1</w:t>
      </w:r>
      <w:r>
        <w:rPr>
          <w:color w:val="010101"/>
          <w:spacing w:val="-2"/>
          <w:sz w:val="24"/>
        </w:rPr>
        <w:t> </w:t>
      </w:r>
      <w:r>
        <w:rPr>
          <w:color w:val="010101"/>
          <w:w w:val="111"/>
          <w:sz w:val="24"/>
        </w:rPr>
        <w:t>,</w:t>
      </w:r>
    </w:p>
    <w:p>
      <w:pPr>
        <w:pStyle w:val="BodyText"/>
        <w:spacing w:before="131"/>
        <w:ind w:left="124" w:right="-4"/>
      </w:pPr>
      <w:r>
        <w:rPr/>
        <w:br w:type="column"/>
      </w:r>
      <w:r>
        <w:rPr>
          <w:color w:val="010101"/>
        </w:rPr>
        <w:t>(3.9)</w:t>
      </w:r>
    </w:p>
    <w:p>
      <w:pPr>
        <w:spacing w:after="0"/>
        <w:sectPr>
          <w:type w:val="continuous"/>
          <w:pgSz w:w="7200" w:h="11340"/>
          <w:pgMar w:top="1100" w:bottom="0" w:left="640" w:right="560"/>
          <w:cols w:num="2" w:equalWidth="0">
            <w:col w:w="5006" w:space="356"/>
            <w:col w:w="638"/>
          </w:cols>
        </w:sectPr>
      </w:pPr>
    </w:p>
    <w:p>
      <w:pPr>
        <w:tabs>
          <w:tab w:pos="1962" w:val="left" w:leader="none"/>
          <w:tab w:pos="5393" w:val="left" w:leader="none"/>
        </w:tabs>
        <w:spacing w:line="314" w:lineRule="auto" w:before="49"/>
        <w:ind w:left="174" w:right="126" w:firstLine="0"/>
        <w:jc w:val="left"/>
        <w:rPr>
          <w:sz w:val="21"/>
        </w:rPr>
      </w:pPr>
      <w:r>
        <w:rPr>
          <w:color w:val="010101"/>
          <w:w w:val="101"/>
          <w:sz w:val="21"/>
        </w:rPr>
        <w:t>and</w:t>
      </w:r>
      <w:r>
        <w:rPr>
          <w:color w:val="010101"/>
          <w:spacing w:val="14"/>
          <w:w w:val="101"/>
          <w:sz w:val="21"/>
        </w:rPr>
        <w:t> </w:t>
      </w:r>
      <w:r>
        <w:rPr>
          <w:color w:val="010101"/>
          <w:w w:val="97"/>
          <w:sz w:val="21"/>
        </w:rPr>
        <w:t>hence</w:t>
        <w:tab/>
      </w:r>
      <w:r>
        <w:rPr>
          <w:b/>
          <w:i/>
          <w:color w:val="010101"/>
          <w:w w:val="81"/>
          <w:sz w:val="22"/>
        </w:rPr>
        <w:t>As:-.,   </w:t>
      </w:r>
      <w:r>
        <w:rPr>
          <w:color w:val="010101"/>
          <w:w w:val="94"/>
          <w:sz w:val="26"/>
        </w:rPr>
        <w:t>=  </w:t>
      </w:r>
      <w:r>
        <w:rPr>
          <w:i/>
          <w:color w:val="010101"/>
          <w:spacing w:val="-10"/>
          <w:w w:val="150"/>
          <w:sz w:val="14"/>
        </w:rPr>
        <w:t>V:</w:t>
      </w:r>
      <w:r>
        <w:rPr>
          <w:rFonts w:ascii="Arial" w:hAnsi="Arial"/>
          <w:color w:val="010101"/>
          <w:spacing w:val="-10"/>
          <w:w w:val="150"/>
          <w:sz w:val="17"/>
        </w:rPr>
        <w:t>-;i</w:t>
      </w:r>
      <w:r>
        <w:rPr>
          <w:rFonts w:ascii="Arial" w:hAnsi="Arial"/>
          <w:color w:val="010101"/>
          <w:w w:val="150"/>
          <w:sz w:val="17"/>
        </w:rPr>
        <w:t> </w:t>
      </w:r>
      <w:r>
        <w:rPr>
          <w:rFonts w:ascii="Arial" w:hAnsi="Arial"/>
          <w:color w:val="010101"/>
          <w:w w:val="315"/>
          <w:sz w:val="17"/>
        </w:rPr>
        <w:t>-</w:t>
      </w:r>
      <w:r>
        <w:rPr>
          <w:rFonts w:ascii="Arial" w:hAnsi="Arial"/>
          <w:color w:val="010101"/>
          <w:spacing w:val="-82"/>
          <w:w w:val="315"/>
          <w:sz w:val="17"/>
        </w:rPr>
        <w:t> </w:t>
      </w:r>
      <w:r>
        <w:rPr>
          <w:color w:val="010101"/>
          <w:w w:val="101"/>
          <w:sz w:val="17"/>
        </w:rPr>
        <w:t>Os:ñ=i]</w:t>
      </w:r>
      <w:r>
        <w:rPr>
          <w:color w:val="010101"/>
          <w:spacing w:val="39"/>
          <w:w w:val="101"/>
          <w:sz w:val="17"/>
        </w:rPr>
        <w:t> </w:t>
      </w:r>
      <w:r>
        <w:rPr>
          <w:color w:val="010101"/>
          <w:w w:val="154"/>
          <w:sz w:val="17"/>
        </w:rPr>
        <w:t>.</w:t>
        <w:tab/>
      </w:r>
      <w:r>
        <w:rPr>
          <w:color w:val="010101"/>
          <w:spacing w:val="-7"/>
          <w:w w:val="101"/>
          <w:sz w:val="21"/>
        </w:rPr>
        <w:t>(3.10)</w:t>
      </w:r>
      <w:r>
        <w:rPr>
          <w:color w:val="010101"/>
          <w:w w:val="101"/>
          <w:sz w:val="21"/>
        </w:rPr>
        <w:t> </w:t>
      </w:r>
      <w:r>
        <w:rPr>
          <w:color w:val="010101"/>
          <w:sz w:val="21"/>
        </w:rPr>
        <w:t>The  student  should  formulate  verbal  interpretations  for</w:t>
      </w:r>
      <w:r>
        <w:rPr>
          <w:color w:val="010101"/>
          <w:spacing w:val="-8"/>
          <w:sz w:val="21"/>
        </w:rPr>
        <w:t> </w:t>
      </w:r>
      <w:r>
        <w:rPr>
          <w:color w:val="010101"/>
          <w:sz w:val="21"/>
        </w:rPr>
        <w:t>relations</w:t>
      </w:r>
    </w:p>
    <w:p>
      <w:pPr>
        <w:spacing w:line="167" w:lineRule="exact" w:before="0"/>
        <w:ind w:left="192" w:right="0" w:firstLine="0"/>
        <w:jc w:val="left"/>
        <w:rPr>
          <w:sz w:val="20"/>
        </w:rPr>
      </w:pPr>
      <w:r>
        <w:rPr>
          <w:color w:val="010101"/>
          <w:w w:val="105"/>
          <w:sz w:val="20"/>
        </w:rPr>
        <w:t>(3.9)  </w:t>
      </w:r>
      <w:r>
        <w:rPr>
          <w:color w:val="010101"/>
          <w:w w:val="105"/>
          <w:sz w:val="21"/>
        </w:rPr>
        <w:t>and </w:t>
      </w:r>
      <w:r>
        <w:rPr>
          <w:color w:val="010101"/>
          <w:w w:val="105"/>
          <w:sz w:val="20"/>
        </w:rPr>
        <w:t>(3.10).</w:t>
      </w:r>
    </w:p>
    <w:p>
      <w:pPr>
        <w:spacing w:line="242" w:lineRule="auto" w:before="0"/>
        <w:ind w:left="185" w:right="241" w:firstLine="197"/>
        <w:jc w:val="left"/>
        <w:rPr>
          <w:sz w:val="21"/>
        </w:rPr>
      </w:pPr>
      <w:r>
        <w:rPr>
          <w:color w:val="010101"/>
          <w:sz w:val="21"/>
        </w:rPr>
        <w:t>Formula </w:t>
      </w:r>
      <w:r>
        <w:rPr>
          <w:color w:val="010101"/>
          <w:sz w:val="19"/>
        </w:rPr>
        <w:t>(3.8) </w:t>
      </w:r>
      <w:r>
        <w:rPr>
          <w:color w:val="010101"/>
          <w:sz w:val="21"/>
        </w:rPr>
        <w:t>can be written in another </w:t>
      </w:r>
      <w:r>
        <w:rPr>
          <w:color w:val="010101"/>
          <w:sz w:val="20"/>
        </w:rPr>
        <w:t>form </w:t>
      </w:r>
      <w:r>
        <w:rPr>
          <w:color w:val="010101"/>
          <w:sz w:val="21"/>
        </w:rPr>
        <w:t>which is  often useful. Since</w:t>
      </w:r>
    </w:p>
    <w:p>
      <w:pPr>
        <w:spacing w:before="69"/>
        <w:ind w:left="537" w:right="0" w:firstLine="0"/>
        <w:jc w:val="left"/>
        <w:rPr>
          <w:sz w:val="20"/>
        </w:rPr>
      </w:pPr>
      <w:r>
        <w:rPr>
          <w:rFonts w:ascii="Arial"/>
          <w:b/>
          <w:i/>
          <w:color w:val="010101"/>
          <w:w w:val="95"/>
          <w:sz w:val="20"/>
        </w:rPr>
        <w:t>Vds </w:t>
      </w:r>
      <w:r>
        <w:rPr>
          <w:rFonts w:ascii="Arial"/>
          <w:color w:val="010101"/>
          <w:w w:val="260"/>
          <w:sz w:val="20"/>
        </w:rPr>
        <w:t>-</w:t>
      </w:r>
      <w:r>
        <w:rPr>
          <w:rFonts w:ascii="Arial"/>
          <w:color w:val="010101"/>
          <w:spacing w:val="-100"/>
          <w:w w:val="260"/>
          <w:sz w:val="20"/>
        </w:rPr>
        <w:t> </w:t>
      </w:r>
      <w:r>
        <w:rPr>
          <w:rFonts w:ascii="Arial"/>
          <w:b/>
          <w:color w:val="010101"/>
          <w:w w:val="115"/>
          <w:sz w:val="15"/>
        </w:rPr>
        <w:t>0a </w:t>
      </w:r>
      <w:r>
        <w:rPr>
          <w:rFonts w:ascii="Arial"/>
          <w:color w:val="010101"/>
          <w:w w:val="175"/>
          <w:sz w:val="17"/>
        </w:rPr>
        <w:t>= </w:t>
      </w:r>
      <w:r>
        <w:rPr>
          <w:i/>
          <w:color w:val="010101"/>
          <w:w w:val="335"/>
          <w:sz w:val="14"/>
        </w:rPr>
        <w:t>V</w:t>
      </w:r>
      <w:r>
        <w:rPr>
          <w:i/>
          <w:color w:val="010101"/>
          <w:spacing w:val="-97"/>
          <w:w w:val="335"/>
          <w:sz w:val="14"/>
        </w:rPr>
        <w:t> </w:t>
      </w:r>
      <w:r>
        <w:rPr>
          <w:color w:val="010101"/>
          <w:w w:val="390"/>
          <w:sz w:val="14"/>
        </w:rPr>
        <w:t>-</w:t>
      </w:r>
      <w:r>
        <w:rPr>
          <w:color w:val="010101"/>
          <w:spacing w:val="-86"/>
          <w:w w:val="390"/>
          <w:sz w:val="14"/>
        </w:rPr>
        <w:t> </w:t>
      </w:r>
      <w:r>
        <w:rPr>
          <w:color w:val="010101"/>
          <w:w w:val="520"/>
          <w:sz w:val="14"/>
        </w:rPr>
        <w:t>(</w:t>
      </w:r>
      <w:r>
        <w:rPr>
          <w:color w:val="010101"/>
          <w:spacing w:val="-137"/>
          <w:w w:val="520"/>
          <w:sz w:val="14"/>
        </w:rPr>
        <w:t> </w:t>
      </w:r>
      <w:r>
        <w:rPr>
          <w:color w:val="010101"/>
          <w:w w:val="390"/>
          <w:sz w:val="14"/>
        </w:rPr>
        <w:t>-</w:t>
      </w:r>
      <w:r>
        <w:rPr>
          <w:color w:val="010101"/>
          <w:spacing w:val="-86"/>
          <w:w w:val="390"/>
          <w:sz w:val="14"/>
        </w:rPr>
        <w:t> </w:t>
      </w:r>
      <w:r>
        <w:rPr>
          <w:color w:val="010101"/>
          <w:spacing w:val="-21"/>
          <w:w w:val="115"/>
          <w:sz w:val="20"/>
        </w:rPr>
        <w:t>1)  </w:t>
      </w:r>
      <w:r>
        <w:rPr>
          <w:color w:val="010101"/>
          <w:w w:val="115"/>
          <w:sz w:val="26"/>
        </w:rPr>
        <w:t>= </w:t>
      </w:r>
      <w:r>
        <w:rPr>
          <w:color w:val="010101"/>
          <w:w w:val="115"/>
          <w:sz w:val="20"/>
        </w:rPr>
        <w:t>1 </w:t>
      </w:r>
      <w:r>
        <w:rPr>
          <w:color w:val="010101"/>
          <w:w w:val="260"/>
          <w:sz w:val="20"/>
        </w:rPr>
        <w:t>-</w:t>
      </w:r>
      <w:r>
        <w:rPr>
          <w:color w:val="010101"/>
          <w:spacing w:val="-79"/>
          <w:w w:val="260"/>
          <w:sz w:val="20"/>
        </w:rPr>
        <w:t> </w:t>
      </w:r>
      <w:r>
        <w:rPr>
          <w:rFonts w:ascii="Arial"/>
          <w:b/>
          <w:color w:val="010101"/>
          <w:w w:val="115"/>
          <w:sz w:val="19"/>
        </w:rPr>
        <w:t>(1 </w:t>
      </w:r>
      <w:r>
        <w:rPr>
          <w:rFonts w:ascii="Arial"/>
          <w:color w:val="010101"/>
          <w:w w:val="260"/>
          <w:sz w:val="19"/>
        </w:rPr>
        <w:t>-</w:t>
      </w:r>
      <w:r>
        <w:rPr>
          <w:rFonts w:ascii="Arial"/>
          <w:color w:val="010101"/>
          <w:spacing w:val="-93"/>
          <w:w w:val="260"/>
          <w:sz w:val="19"/>
        </w:rPr>
        <w:t> </w:t>
      </w:r>
      <w:r>
        <w:rPr>
          <w:b/>
          <w:i/>
          <w:color w:val="010101"/>
          <w:w w:val="95"/>
          <w:sz w:val="21"/>
        </w:rPr>
        <w:t>v)ds </w:t>
      </w:r>
      <w:r>
        <w:rPr>
          <w:rFonts w:ascii="Arial"/>
          <w:color w:val="010101"/>
          <w:w w:val="175"/>
          <w:sz w:val="17"/>
        </w:rPr>
        <w:t>= </w:t>
      </w:r>
      <w:r>
        <w:rPr>
          <w:color w:val="010101"/>
          <w:w w:val="115"/>
          <w:sz w:val="20"/>
        </w:rPr>
        <w:t>1 </w:t>
      </w:r>
      <w:r>
        <w:rPr>
          <w:color w:val="010101"/>
          <w:w w:val="260"/>
          <w:sz w:val="20"/>
        </w:rPr>
        <w:t>-</w:t>
      </w:r>
      <w:r>
        <w:rPr>
          <w:color w:val="010101"/>
          <w:spacing w:val="-99"/>
          <w:w w:val="260"/>
          <w:sz w:val="20"/>
        </w:rPr>
        <w:t> </w:t>
      </w:r>
      <w:r>
        <w:rPr>
          <w:color w:val="010101"/>
          <w:w w:val="95"/>
          <w:sz w:val="20"/>
        </w:rPr>
        <w:t>OOs </w:t>
      </w:r>
      <w:r>
        <w:rPr>
          <w:color w:val="010101"/>
          <w:w w:val="115"/>
          <w:sz w:val="20"/>
        </w:rPr>
        <w:t>,</w:t>
      </w:r>
    </w:p>
    <w:p>
      <w:pPr>
        <w:spacing w:after="0"/>
        <w:jc w:val="left"/>
        <w:rPr>
          <w:sz w:val="20"/>
        </w:rPr>
        <w:sectPr>
          <w:type w:val="continuous"/>
          <w:pgSz w:w="7200" w:h="11340"/>
          <w:pgMar w:top="1100" w:bottom="0" w:left="640" w:right="560"/>
        </w:sectPr>
      </w:pPr>
    </w:p>
    <w:p>
      <w:pPr>
        <w:tabs>
          <w:tab w:pos="2277" w:val="left" w:leader="none"/>
          <w:tab w:pos="5348" w:val="left" w:leader="none"/>
        </w:tabs>
        <w:spacing w:before="50"/>
        <w:ind w:left="125" w:right="19" w:firstLine="0"/>
        <w:jc w:val="left"/>
        <w:rPr>
          <w:b/>
          <w:sz w:val="19"/>
        </w:rPr>
      </w:pPr>
      <w:r>
        <w:rPr>
          <w:color w:val="010101"/>
          <w:sz w:val="20"/>
        </w:rPr>
        <w:t>68</w:t>
        <w:tab/>
      </w:r>
      <w:r>
        <w:rPr>
          <w:b/>
          <w:color w:val="010101"/>
          <w:sz w:val="15"/>
        </w:rPr>
        <w:t>LIFE  </w:t>
      </w:r>
      <w:r>
        <w:rPr>
          <w:b/>
          <w:color w:val="010101"/>
          <w:spacing w:val="9"/>
          <w:sz w:val="15"/>
        </w:rPr>
        <w:t> </w:t>
      </w:r>
      <w:r>
        <w:rPr>
          <w:b/>
          <w:color w:val="010101"/>
          <w:sz w:val="15"/>
        </w:rPr>
        <w:t>INSURANCE</w:t>
        <w:tab/>
      </w:r>
      <w:r>
        <w:rPr>
          <w:b/>
          <w:color w:val="010101"/>
          <w:w w:val="90"/>
          <w:sz w:val="19"/>
        </w:rPr>
        <w:t>(CH.</w:t>
      </w:r>
      <w:r>
        <w:rPr>
          <w:b/>
          <w:color w:val="010101"/>
          <w:spacing w:val="2"/>
          <w:w w:val="90"/>
          <w:sz w:val="19"/>
        </w:rPr>
        <w:t> </w:t>
      </w:r>
      <w:r>
        <w:rPr>
          <w:b/>
          <w:color w:val="010101"/>
          <w:w w:val="90"/>
          <w:sz w:val="19"/>
        </w:rPr>
        <w:t>3</w:t>
      </w:r>
    </w:p>
    <w:p>
      <w:pPr>
        <w:pStyle w:val="BodyText"/>
        <w:spacing w:before="2"/>
        <w:rPr>
          <w:b/>
          <w:sz w:val="14"/>
        </w:rPr>
      </w:pPr>
    </w:p>
    <w:p>
      <w:pPr>
        <w:pStyle w:val="BodyText"/>
        <w:spacing w:before="74"/>
        <w:ind w:left="110" w:right="19"/>
      </w:pPr>
      <w:r>
        <w:rPr>
          <w:color w:val="010101"/>
          <w:w w:val="105"/>
        </w:rPr>
        <w:t>we have</w:t>
      </w:r>
    </w:p>
    <w:p>
      <w:pPr>
        <w:tabs>
          <w:tab w:pos="5334" w:val="left" w:leader="none"/>
        </w:tabs>
        <w:spacing w:before="134"/>
        <w:ind w:left="2299" w:right="19" w:firstLine="0"/>
        <w:jc w:val="left"/>
        <w:rPr>
          <w:sz w:val="19"/>
        </w:rPr>
      </w:pPr>
      <w:r>
        <w:rPr>
          <w:rFonts w:ascii="Arial" w:hAnsi="Arial"/>
          <w:i/>
          <w:color w:val="010101"/>
          <w:w w:val="150"/>
          <w:sz w:val="20"/>
        </w:rPr>
        <w:t>A.= </w:t>
      </w:r>
      <w:r>
        <w:rPr>
          <w:color w:val="010101"/>
          <w:w w:val="150"/>
          <w:sz w:val="21"/>
        </w:rPr>
        <w:t>1 </w:t>
      </w:r>
      <w:r>
        <w:rPr>
          <w:color w:val="010101"/>
          <w:w w:val="235"/>
          <w:sz w:val="21"/>
        </w:rPr>
        <w:t>-</w:t>
      </w:r>
      <w:r>
        <w:rPr>
          <w:color w:val="010101"/>
          <w:spacing w:val="-104"/>
          <w:w w:val="235"/>
          <w:sz w:val="21"/>
        </w:rPr>
        <w:t> </w:t>
      </w:r>
      <w:r>
        <w:rPr>
          <w:i/>
          <w:color w:val="010101"/>
          <w:w w:val="115"/>
          <w:sz w:val="20"/>
        </w:rPr>
        <w:t>da•</w:t>
      </w:r>
      <w:r>
        <w:rPr>
          <w:i/>
          <w:color w:val="010101"/>
          <w:spacing w:val="-15"/>
          <w:w w:val="115"/>
          <w:sz w:val="20"/>
        </w:rPr>
        <w:t> </w:t>
      </w:r>
      <w:r>
        <w:rPr>
          <w:i/>
          <w:color w:val="010101"/>
          <w:w w:val="150"/>
          <w:sz w:val="20"/>
        </w:rPr>
        <w:t>.</w:t>
        <w:tab/>
      </w:r>
      <w:r>
        <w:rPr>
          <w:color w:val="010101"/>
          <w:w w:val="115"/>
          <w:position w:val="1"/>
          <w:sz w:val="19"/>
        </w:rPr>
        <w:t>(3.11)</w:t>
      </w:r>
    </w:p>
    <w:p>
      <w:pPr>
        <w:pStyle w:val="BodyText"/>
        <w:spacing w:line="247" w:lineRule="auto" w:before="107"/>
        <w:ind w:left="107" w:right="122" w:firstLine="3"/>
        <w:jc w:val="both"/>
      </w:pPr>
      <w:r>
        <w:rPr>
          <w:color w:val="010101"/>
          <w:w w:val="105"/>
        </w:rPr>
        <w:t>This equation can be interpreted as follows: </w:t>
      </w:r>
      <w:r>
        <w:rPr>
          <w:i/>
          <w:color w:val="010101"/>
          <w:w w:val="105"/>
          <w:sz w:val="21"/>
        </w:rPr>
        <w:t>A. </w:t>
      </w:r>
      <w:r>
        <w:rPr>
          <w:color w:val="010101"/>
          <w:w w:val="105"/>
        </w:rPr>
        <w:t>is the present value of </w:t>
      </w:r>
      <w:r>
        <w:rPr>
          <w:rFonts w:ascii="Arial" w:hAnsi="Arial"/>
          <w:color w:val="010101"/>
          <w:w w:val="105"/>
          <w:sz w:val="18"/>
        </w:rPr>
        <w:t>a </w:t>
      </w:r>
      <w:r>
        <w:rPr>
          <w:color w:val="010101"/>
          <w:w w:val="105"/>
        </w:rPr>
        <w:t>payment of 1 a.t the end of the year of death of </w:t>
      </w:r>
      <w:r>
        <w:rPr>
          <w:rFonts w:ascii="Arial" w:hAnsi="Arial"/>
          <w:i/>
          <w:color w:val="010101"/>
          <w:w w:val="105"/>
          <w:sz w:val="19"/>
        </w:rPr>
        <w:t>(x). </w:t>
      </w:r>
      <w:r>
        <w:rPr>
          <w:color w:val="010101"/>
          <w:w w:val="105"/>
          <w:sz w:val="21"/>
        </w:rPr>
        <w:t>If </w:t>
      </w:r>
      <w:r>
        <w:rPr>
          <w:color w:val="010101"/>
          <w:w w:val="105"/>
        </w:rPr>
        <w:t>this payment were me.de now, its value would be 1; but since the pay­ ment is deferred,  we must  deduct  the value  of  the interest which it earns between now  and the end of  the year of death. The value  at the beginning of the year of the interest on </w:t>
      </w:r>
      <w:r>
        <w:rPr>
          <w:color w:val="010101"/>
          <w:spacing w:val="6"/>
          <w:w w:val="105"/>
        </w:rPr>
        <w:t>1is </w:t>
      </w:r>
      <w:r>
        <w:rPr>
          <w:rFonts w:ascii="Arial" w:hAnsi="Arial"/>
          <w:i/>
          <w:color w:val="010101"/>
          <w:w w:val="105"/>
          <w:sz w:val="19"/>
        </w:rPr>
        <w:t>d, </w:t>
      </w:r>
      <w:r>
        <w:rPr>
          <w:color w:val="010101"/>
          <w:w w:val="105"/>
        </w:rPr>
        <w:t>and the pres­ ent  value  of  the  interest  for  ea.ch  year  that  </w:t>
      </w:r>
      <w:r>
        <w:rPr>
          <w:rFonts w:ascii="Arial" w:hAnsi="Arial"/>
          <w:i/>
          <w:color w:val="010101"/>
          <w:w w:val="105"/>
          <w:sz w:val="19"/>
        </w:rPr>
        <w:t>(x)  </w:t>
      </w:r>
      <w:r>
        <w:rPr>
          <w:color w:val="010101"/>
          <w:w w:val="105"/>
        </w:rPr>
        <w:t>entera  upon </w:t>
      </w:r>
      <w:r>
        <w:rPr>
          <w:color w:val="010101"/>
          <w:spacing w:val="6"/>
          <w:w w:val="105"/>
        </w:rPr>
        <w:t> </w:t>
      </w:r>
      <w:r>
        <w:rPr>
          <w:color w:val="010101"/>
          <w:w w:val="105"/>
        </w:rPr>
        <w:t>is</w:t>
      </w:r>
    </w:p>
    <w:p>
      <w:pPr>
        <w:spacing w:line="227" w:lineRule="exact" w:before="0"/>
        <w:ind w:left="107" w:right="0" w:firstLine="0"/>
        <w:jc w:val="both"/>
        <w:rPr>
          <w:sz w:val="21"/>
        </w:rPr>
      </w:pPr>
      <w:r>
        <w:rPr>
          <w:i/>
          <w:color w:val="010101"/>
          <w:w w:val="115"/>
          <w:sz w:val="20"/>
        </w:rPr>
        <w:t>da• </w:t>
      </w:r>
      <w:r>
        <w:rPr>
          <w:color w:val="010101"/>
          <w:w w:val="135"/>
          <w:sz w:val="20"/>
        </w:rPr>
        <w:t>. </w:t>
      </w:r>
      <w:r>
        <w:rPr>
          <w:color w:val="010101"/>
          <w:w w:val="115"/>
          <w:sz w:val="20"/>
        </w:rPr>
        <w:t>Hence, </w:t>
      </w:r>
      <w:r>
        <w:rPr>
          <w:i/>
          <w:color w:val="010101"/>
          <w:w w:val="115"/>
          <w:sz w:val="22"/>
        </w:rPr>
        <w:t>A. </w:t>
      </w:r>
      <w:r>
        <w:rPr>
          <w:color w:val="010101"/>
          <w:w w:val="115"/>
          <w:sz w:val="24"/>
        </w:rPr>
        <w:t>= </w:t>
      </w:r>
      <w:r>
        <w:rPr>
          <w:color w:val="010101"/>
          <w:w w:val="115"/>
          <w:sz w:val="20"/>
        </w:rPr>
        <w:t>1 </w:t>
      </w:r>
      <w:r>
        <w:rPr>
          <w:color w:val="010101"/>
          <w:w w:val="245"/>
          <w:sz w:val="20"/>
        </w:rPr>
        <w:t>-</w:t>
      </w:r>
      <w:r>
        <w:rPr>
          <w:color w:val="010101"/>
          <w:spacing w:val="-86"/>
          <w:w w:val="245"/>
          <w:sz w:val="20"/>
        </w:rPr>
        <w:t> </w:t>
      </w:r>
      <w:r>
        <w:rPr>
          <w:b/>
          <w:i/>
          <w:color w:val="010101"/>
          <w:w w:val="110"/>
          <w:sz w:val="21"/>
        </w:rPr>
        <w:t>das </w:t>
      </w:r>
      <w:r>
        <w:rPr>
          <w:color w:val="010101"/>
          <w:w w:val="115"/>
          <w:sz w:val="21"/>
        </w:rPr>
        <w:t>.</w:t>
      </w:r>
    </w:p>
    <w:p>
      <w:pPr>
        <w:pStyle w:val="BodyText"/>
        <w:spacing w:line="256" w:lineRule="exact"/>
        <w:ind w:left="276" w:right="112"/>
        <w:jc w:val="center"/>
        <w:rPr>
          <w:rFonts w:ascii="Arial" w:hAnsi="Arial"/>
        </w:rPr>
      </w:pPr>
      <w:r>
        <w:rPr>
          <w:rFonts w:ascii="Arial" w:hAnsi="Arial"/>
          <w:color w:val="010101"/>
          <w:w w:val="107"/>
        </w:rPr>
        <w:t>A</w:t>
      </w:r>
      <w:r>
        <w:rPr>
          <w:rFonts w:ascii="Arial" w:hAnsi="Arial"/>
          <w:color w:val="010101"/>
          <w:spacing w:val="8"/>
        </w:rPr>
        <w:t> </w:t>
      </w:r>
      <w:r>
        <w:rPr>
          <w:color w:val="010101"/>
          <w:w w:val="103"/>
        </w:rPr>
        <w:t>similar</w:t>
      </w:r>
      <w:r>
        <w:rPr>
          <w:color w:val="010101"/>
          <w:spacing w:val="8"/>
        </w:rPr>
        <w:t> </w:t>
      </w:r>
      <w:r>
        <w:rPr>
          <w:color w:val="010101"/>
          <w:w w:val="104"/>
        </w:rPr>
        <w:t>relation</w:t>
      </w:r>
      <w:r>
        <w:rPr>
          <w:color w:val="010101"/>
        </w:rPr>
        <w:t> </w:t>
      </w:r>
      <w:r>
        <w:rPr>
          <w:color w:val="010101"/>
          <w:spacing w:val="-20"/>
        </w:rPr>
        <w:t> </w:t>
      </w:r>
      <w:r>
        <w:rPr>
          <w:color w:val="010101"/>
          <w:w w:val="105"/>
        </w:rPr>
        <w:t>for</w:t>
      </w:r>
      <w:r>
        <w:rPr>
          <w:color w:val="010101"/>
        </w:rPr>
        <w:t> </w:t>
      </w:r>
      <w:r>
        <w:rPr>
          <w:color w:val="010101"/>
          <w:w w:val="104"/>
        </w:rPr>
        <w:t>endowment</w:t>
      </w:r>
      <w:r>
        <w:rPr>
          <w:color w:val="010101"/>
          <w:spacing w:val="22"/>
        </w:rPr>
        <w:t> </w:t>
      </w:r>
      <w:r>
        <w:rPr>
          <w:color w:val="010101"/>
          <w:w w:val="104"/>
        </w:rPr>
        <w:t>insurance</w:t>
      </w:r>
      <w:r>
        <w:rPr>
          <w:color w:val="010101"/>
          <w:spacing w:val="17"/>
        </w:rPr>
        <w:t> </w:t>
      </w:r>
      <w:r>
        <w:rPr>
          <w:color w:val="010101"/>
          <w:w w:val="101"/>
        </w:rPr>
        <w:t>is</w:t>
      </w:r>
      <w:r>
        <w:rPr>
          <w:color w:val="010101"/>
          <w:spacing w:val="4"/>
        </w:rPr>
        <w:t> </w:t>
      </w:r>
      <w:r>
        <w:rPr>
          <w:color w:val="010101"/>
          <w:w w:val="99"/>
          <w:sz w:val="18"/>
        </w:rPr>
        <w:t>Az</w:t>
      </w:r>
      <w:r>
        <w:rPr>
          <w:color w:val="010101"/>
          <w:spacing w:val="13"/>
          <w:w w:val="99"/>
          <w:sz w:val="18"/>
        </w:rPr>
        <w:t>:</w:t>
      </w:r>
      <w:r>
        <w:rPr>
          <w:rFonts w:ascii="Arial" w:hAnsi="Arial"/>
          <w:color w:val="010101"/>
          <w:w w:val="68"/>
        </w:rPr>
        <w:t>ñJ</w:t>
      </w:r>
      <w:r>
        <w:rPr>
          <w:rFonts w:ascii="Arial" w:hAnsi="Arial"/>
          <w:color w:val="010101"/>
          <w:spacing w:val="13"/>
        </w:rPr>
        <w:t> </w:t>
      </w:r>
      <w:r>
        <w:rPr>
          <w:color w:val="010101"/>
          <w:w w:val="94"/>
          <w:sz w:val="24"/>
        </w:rPr>
        <w:t>=</w:t>
      </w:r>
      <w:r>
        <w:rPr>
          <w:color w:val="010101"/>
          <w:spacing w:val="5"/>
          <w:sz w:val="24"/>
        </w:rPr>
        <w:t> </w:t>
      </w:r>
      <w:r>
        <w:rPr>
          <w:rFonts w:ascii="Arial" w:hAnsi="Arial"/>
          <w:color w:val="010101"/>
          <w:spacing w:val="-1"/>
          <w:w w:val="119"/>
        </w:rPr>
        <w:t>1</w:t>
      </w:r>
      <w:r>
        <w:rPr>
          <w:rFonts w:ascii="Arial" w:hAnsi="Arial"/>
          <w:color w:val="010101"/>
          <w:spacing w:val="15"/>
          <w:w w:val="261"/>
        </w:rPr>
        <w:t>-</w:t>
      </w:r>
      <w:r>
        <w:rPr>
          <w:color w:val="010101"/>
          <w:w w:val="98"/>
          <w:sz w:val="18"/>
        </w:rPr>
        <w:t>ddz:</w:t>
      </w:r>
      <w:r>
        <w:rPr>
          <w:color w:val="010101"/>
          <w:spacing w:val="-29"/>
          <w:sz w:val="18"/>
        </w:rPr>
        <w:t> </w:t>
      </w:r>
      <w:r>
        <w:rPr>
          <w:rFonts w:ascii="Arial" w:hAnsi="Arial"/>
          <w:color w:val="010101"/>
          <w:w w:val="66"/>
        </w:rPr>
        <w:t>ñJ</w:t>
      </w:r>
      <w:r>
        <w:rPr>
          <w:rFonts w:ascii="Arial" w:hAnsi="Arial"/>
          <w:color w:val="010101"/>
          <w:spacing w:val="-22"/>
        </w:rPr>
        <w:t> </w:t>
      </w:r>
      <w:r>
        <w:rPr>
          <w:rFonts w:ascii="Arial" w:hAnsi="Arial"/>
          <w:color w:val="010101"/>
          <w:w w:val="55"/>
        </w:rPr>
        <w:t>•</w:t>
      </w:r>
    </w:p>
    <w:p>
      <w:pPr>
        <w:pStyle w:val="BodyText"/>
        <w:spacing w:line="252" w:lineRule="auto"/>
        <w:ind w:left="103" w:right="144"/>
      </w:pPr>
      <w:r>
        <w:rPr>
          <w:color w:val="010101"/>
        </w:rPr>
        <w:t>There is no corresponding formula for term or deferred insurances, since in those cases </w:t>
      </w:r>
      <w:r>
        <w:rPr>
          <w:rFonts w:ascii="Arial"/>
          <w:color w:val="010101"/>
          <w:sz w:val="17"/>
        </w:rPr>
        <w:t>a </w:t>
      </w:r>
      <w:r>
        <w:rPr>
          <w:color w:val="010101"/>
        </w:rPr>
        <w:t>payment  is not certa.in to be  made.</w:t>
      </w:r>
    </w:p>
    <w:p>
      <w:pPr>
        <w:pStyle w:val="BodyText"/>
        <w:spacing w:line="249" w:lineRule="exact"/>
        <w:ind w:left="311" w:right="19"/>
      </w:pPr>
      <w:r>
        <w:rPr>
          <w:color w:val="010101"/>
          <w:w w:val="105"/>
        </w:rPr>
        <w:t>Multiplying by  (1 </w:t>
      </w:r>
      <w:r>
        <w:rPr>
          <w:color w:val="010101"/>
          <w:w w:val="105"/>
          <w:sz w:val="29"/>
        </w:rPr>
        <w:t>+ </w:t>
      </w:r>
      <w:r>
        <w:rPr>
          <w:color w:val="010101"/>
          <w:w w:val="105"/>
        </w:rPr>
        <w:t>i) in formula  (3.11), we have</w:t>
      </w:r>
    </w:p>
    <w:p>
      <w:pPr>
        <w:tabs>
          <w:tab w:pos="2909" w:val="left" w:leader="none"/>
        </w:tabs>
        <w:spacing w:line="336" w:lineRule="exact" w:before="10"/>
        <w:ind w:left="18" w:right="0" w:firstLine="0"/>
        <w:jc w:val="center"/>
        <w:rPr>
          <w:rFonts w:ascii="Arial"/>
          <w:i/>
          <w:sz w:val="20"/>
        </w:rPr>
      </w:pPr>
      <w:r>
        <w:rPr>
          <w:color w:val="010101"/>
          <w:w w:val="105"/>
          <w:sz w:val="19"/>
        </w:rPr>
        <w:t>(1 </w:t>
      </w:r>
      <w:r>
        <w:rPr>
          <w:rFonts w:ascii="Arial"/>
          <w:color w:val="010101"/>
          <w:w w:val="105"/>
          <w:sz w:val="31"/>
        </w:rPr>
        <w:t>+ </w:t>
      </w:r>
      <w:r>
        <w:rPr>
          <w:color w:val="010101"/>
          <w:w w:val="105"/>
          <w:sz w:val="20"/>
        </w:rPr>
        <w:t>i)As  </w:t>
      </w:r>
      <w:r>
        <w:rPr>
          <w:color w:val="010101"/>
          <w:w w:val="105"/>
          <w:sz w:val="28"/>
        </w:rPr>
        <w:t>= </w:t>
      </w:r>
      <w:r>
        <w:rPr>
          <w:color w:val="010101"/>
          <w:w w:val="105"/>
          <w:sz w:val="20"/>
        </w:rPr>
        <w:t>(1 </w:t>
      </w:r>
      <w:r>
        <w:rPr>
          <w:color w:val="010101"/>
          <w:w w:val="105"/>
          <w:sz w:val="29"/>
        </w:rPr>
        <w:t>+ </w:t>
      </w:r>
      <w:r>
        <w:rPr>
          <w:color w:val="010101"/>
          <w:w w:val="105"/>
          <w:sz w:val="20"/>
        </w:rPr>
        <w:t>i)  </w:t>
      </w:r>
      <w:r>
        <w:rPr>
          <w:color w:val="010101"/>
          <w:w w:val="260"/>
          <w:sz w:val="20"/>
        </w:rPr>
        <w:t>-</w:t>
      </w:r>
      <w:r>
        <w:rPr>
          <w:color w:val="010101"/>
          <w:spacing w:val="-50"/>
          <w:w w:val="260"/>
          <w:sz w:val="20"/>
        </w:rPr>
        <w:t> </w:t>
      </w:r>
      <w:r>
        <w:rPr>
          <w:i/>
          <w:color w:val="010101"/>
          <w:w w:val="105"/>
          <w:sz w:val="23"/>
        </w:rPr>
        <w:t>ia.</w:t>
      </w:r>
      <w:r>
        <w:rPr>
          <w:i/>
          <w:color w:val="010101"/>
          <w:spacing w:val="-35"/>
          <w:w w:val="105"/>
          <w:sz w:val="23"/>
        </w:rPr>
        <w:t> </w:t>
      </w:r>
      <w:r>
        <w:rPr>
          <w:color w:val="010101"/>
          <w:w w:val="105"/>
          <w:sz w:val="23"/>
        </w:rPr>
        <w:t>,</w:t>
        <w:tab/>
      </w:r>
      <w:r>
        <w:rPr>
          <w:color w:val="010101"/>
          <w:w w:val="105"/>
          <w:position w:val="1"/>
          <w:sz w:val="20"/>
        </w:rPr>
        <w:t>since (1 </w:t>
      </w:r>
      <w:r>
        <w:rPr>
          <w:rFonts w:ascii="Arial"/>
          <w:color w:val="010101"/>
          <w:w w:val="105"/>
          <w:position w:val="1"/>
          <w:sz w:val="31"/>
        </w:rPr>
        <w:t>+ </w:t>
      </w:r>
      <w:r>
        <w:rPr>
          <w:color w:val="010101"/>
          <w:w w:val="105"/>
          <w:position w:val="1"/>
          <w:sz w:val="20"/>
        </w:rPr>
        <w:t>i) </w:t>
      </w:r>
      <w:r>
        <w:rPr>
          <w:i/>
          <w:color w:val="010101"/>
          <w:w w:val="105"/>
          <w:position w:val="1"/>
          <w:sz w:val="21"/>
        </w:rPr>
        <w:t>d </w:t>
      </w:r>
      <w:r>
        <w:rPr>
          <w:rFonts w:ascii="Arial"/>
          <w:color w:val="010101"/>
          <w:position w:val="1"/>
          <w:sz w:val="17"/>
        </w:rPr>
        <w:t>==</w:t>
      </w:r>
      <w:r>
        <w:rPr>
          <w:rFonts w:ascii="Arial"/>
          <w:color w:val="010101"/>
          <w:spacing w:val="32"/>
          <w:position w:val="1"/>
          <w:sz w:val="17"/>
        </w:rPr>
        <w:t> </w:t>
      </w:r>
      <w:r>
        <w:rPr>
          <w:rFonts w:ascii="Arial"/>
          <w:i/>
          <w:color w:val="010101"/>
          <w:w w:val="135"/>
          <w:position w:val="1"/>
          <w:sz w:val="20"/>
        </w:rPr>
        <w:t>i,</w:t>
      </w:r>
    </w:p>
    <w:p>
      <w:pPr>
        <w:spacing w:line="482" w:lineRule="exact" w:before="0"/>
        <w:ind w:left="103" w:right="0" w:firstLine="0"/>
        <w:jc w:val="both"/>
        <w:rPr>
          <w:sz w:val="25"/>
        </w:rPr>
      </w:pPr>
      <w:r>
        <w:rPr>
          <w:color w:val="010101"/>
          <w:sz w:val="20"/>
        </w:rPr>
        <w:t>or, since </w:t>
      </w:r>
      <w:r>
        <w:rPr>
          <w:i/>
          <w:color w:val="010101"/>
          <w:w w:val="95"/>
          <w:sz w:val="45"/>
        </w:rPr>
        <w:t>ªª </w:t>
      </w:r>
      <w:r>
        <w:rPr>
          <w:rFonts w:ascii="Arial" w:hAnsi="Arial"/>
          <w:color w:val="010101"/>
          <w:w w:val="95"/>
          <w:sz w:val="20"/>
        </w:rPr>
        <w:t>== </w:t>
      </w:r>
      <w:r>
        <w:rPr>
          <w:color w:val="010101"/>
          <w:w w:val="110"/>
          <w:sz w:val="20"/>
        </w:rPr>
        <w:t>l </w:t>
      </w:r>
      <w:r>
        <w:rPr>
          <w:rFonts w:ascii="Arial" w:hAnsi="Arial"/>
          <w:color w:val="010101"/>
          <w:sz w:val="31"/>
        </w:rPr>
        <w:t>+ </w:t>
      </w:r>
      <w:r>
        <w:rPr>
          <w:color w:val="010101"/>
          <w:sz w:val="25"/>
        </w:rPr>
        <w:t>as ,</w:t>
      </w:r>
    </w:p>
    <w:p>
      <w:pPr>
        <w:tabs>
          <w:tab w:pos="5319" w:val="left" w:leader="none"/>
        </w:tabs>
        <w:spacing w:line="351" w:lineRule="exact" w:before="0"/>
        <w:ind w:left="1994" w:right="19" w:firstLine="0"/>
        <w:jc w:val="left"/>
        <w:rPr>
          <w:b/>
          <w:sz w:val="19"/>
        </w:rPr>
      </w:pPr>
      <w:r>
        <w:rPr>
          <w:rFonts w:ascii="Arial" w:hAnsi="Arial"/>
          <w:color w:val="010101"/>
          <w:w w:val="125"/>
          <w:sz w:val="19"/>
        </w:rPr>
        <w:t>1</w:t>
      </w:r>
      <w:r>
        <w:rPr>
          <w:rFonts w:ascii="Arial" w:hAnsi="Arial"/>
          <w:color w:val="010101"/>
          <w:spacing w:val="-35"/>
          <w:w w:val="125"/>
          <w:sz w:val="19"/>
        </w:rPr>
        <w:t> </w:t>
      </w:r>
      <w:r>
        <w:rPr>
          <w:rFonts w:ascii="Arial" w:hAnsi="Arial"/>
          <w:color w:val="010101"/>
          <w:w w:val="105"/>
          <w:sz w:val="20"/>
        </w:rPr>
        <w:t>-=</w:t>
      </w:r>
      <w:r>
        <w:rPr>
          <w:rFonts w:ascii="Arial" w:hAnsi="Arial"/>
          <w:color w:val="010101"/>
          <w:spacing w:val="26"/>
          <w:w w:val="105"/>
          <w:sz w:val="20"/>
        </w:rPr>
        <w:t> </w:t>
      </w:r>
      <w:r>
        <w:rPr>
          <w:i/>
          <w:color w:val="010101"/>
          <w:w w:val="110"/>
          <w:sz w:val="22"/>
        </w:rPr>
        <w:t>ias</w:t>
      </w:r>
      <w:r>
        <w:rPr>
          <w:i/>
          <w:color w:val="010101"/>
          <w:spacing w:val="7"/>
          <w:w w:val="110"/>
          <w:sz w:val="22"/>
        </w:rPr>
        <w:t> </w:t>
      </w:r>
      <w:r>
        <w:rPr>
          <w:rFonts w:ascii="Arial" w:hAnsi="Arial"/>
          <w:color w:val="010101"/>
          <w:w w:val="110"/>
          <w:sz w:val="31"/>
        </w:rPr>
        <w:t>+</w:t>
      </w:r>
      <w:r>
        <w:rPr>
          <w:rFonts w:ascii="Arial" w:hAnsi="Arial"/>
          <w:color w:val="010101"/>
          <w:spacing w:val="-26"/>
          <w:w w:val="110"/>
          <w:sz w:val="31"/>
        </w:rPr>
        <w:t> </w:t>
      </w:r>
      <w:r>
        <w:rPr>
          <w:rFonts w:ascii="Arial" w:hAnsi="Arial"/>
          <w:color w:val="010101"/>
          <w:w w:val="110"/>
          <w:sz w:val="19"/>
        </w:rPr>
        <w:t>(1</w:t>
      </w:r>
      <w:r>
        <w:rPr>
          <w:rFonts w:ascii="Arial" w:hAnsi="Arial"/>
          <w:color w:val="010101"/>
          <w:spacing w:val="-19"/>
          <w:w w:val="110"/>
          <w:sz w:val="19"/>
        </w:rPr>
        <w:t> </w:t>
      </w:r>
      <w:r>
        <w:rPr>
          <w:rFonts w:ascii="Arial" w:hAnsi="Arial"/>
          <w:color w:val="010101"/>
          <w:w w:val="110"/>
          <w:sz w:val="31"/>
        </w:rPr>
        <w:t>+</w:t>
      </w:r>
      <w:r>
        <w:rPr>
          <w:rFonts w:ascii="Arial" w:hAnsi="Arial"/>
          <w:color w:val="010101"/>
          <w:spacing w:val="-50"/>
          <w:w w:val="110"/>
          <w:sz w:val="31"/>
        </w:rPr>
        <w:t> </w:t>
      </w:r>
      <w:r>
        <w:rPr>
          <w:i/>
          <w:color w:val="010101"/>
          <w:w w:val="110"/>
          <w:sz w:val="20"/>
        </w:rPr>
        <w:t>i)A•</w:t>
      </w:r>
      <w:r>
        <w:rPr>
          <w:i/>
          <w:color w:val="010101"/>
          <w:spacing w:val="-13"/>
          <w:w w:val="110"/>
          <w:sz w:val="20"/>
        </w:rPr>
        <w:t> </w:t>
      </w:r>
      <w:r>
        <w:rPr>
          <w:color w:val="010101"/>
          <w:w w:val="125"/>
          <w:sz w:val="20"/>
        </w:rPr>
        <w:t>.</w:t>
        <w:tab/>
      </w:r>
      <w:r>
        <w:rPr>
          <w:b/>
          <w:color w:val="010101"/>
          <w:w w:val="110"/>
          <w:position w:val="1"/>
          <w:sz w:val="19"/>
        </w:rPr>
        <w:t>(3.12)</w:t>
      </w:r>
    </w:p>
    <w:p>
      <w:pPr>
        <w:pStyle w:val="BodyText"/>
        <w:spacing w:before="136"/>
        <w:ind w:left="100" w:right="19" w:firstLine="3"/>
      </w:pPr>
      <w:r>
        <w:rPr>
          <w:color w:val="010101"/>
          <w:w w:val="105"/>
        </w:rPr>
        <w:t>This reftects the fa.et that a unit now is equivalent to the present value of  a unit at the end of  the year of death, </w:t>
      </w:r>
      <w:r>
        <w:rPr>
          <w:i/>
          <w:color w:val="010101"/>
          <w:w w:val="105"/>
          <w:sz w:val="21"/>
        </w:rPr>
        <w:t>A. </w:t>
      </w:r>
      <w:r>
        <w:rPr>
          <w:color w:val="010101"/>
          <w:w w:val="105"/>
          <w:sz w:val="21"/>
        </w:rPr>
        <w:t>, </w:t>
      </w:r>
      <w:r>
        <w:rPr>
          <w:color w:val="010101"/>
          <w:w w:val="105"/>
        </w:rPr>
        <w:t>plus the present</w:t>
      </w:r>
    </w:p>
    <w:p>
      <w:pPr>
        <w:pStyle w:val="BodyText"/>
        <w:spacing w:line="144" w:lineRule="auto" w:before="83"/>
        <w:ind w:left="100" w:right="124"/>
      </w:pPr>
      <w:r>
        <w:rPr>
          <w:color w:val="010101"/>
        </w:rPr>
        <w:t>value of interest on the unit at the  end of  ea.ch year  in the mean­  time  (including the end  of  the year  of  death), ias </w:t>
      </w:r>
      <w:r>
        <w:rPr>
          <w:rFonts w:ascii="Arial" w:hAnsi="Arial"/>
          <w:color w:val="010101"/>
          <w:sz w:val="31"/>
        </w:rPr>
        <w:t>+ </w:t>
      </w:r>
      <w:r>
        <w:rPr>
          <w:b/>
          <w:i/>
          <w:color w:val="010101"/>
          <w:sz w:val="21"/>
        </w:rPr>
        <w:t>iA:s . </w:t>
      </w:r>
      <w:r>
        <w:rPr>
          <w:b/>
          <w:i/>
          <w:color w:val="010101"/>
          <w:spacing w:val="32"/>
          <w:sz w:val="21"/>
        </w:rPr>
        <w:t> </w:t>
      </w:r>
      <w:r>
        <w:rPr>
          <w:color w:val="010101"/>
        </w:rPr>
        <w:t>Formula</w:t>
      </w:r>
    </w:p>
    <w:p>
      <w:pPr>
        <w:pStyle w:val="BodyText"/>
        <w:spacing w:line="168" w:lineRule="auto" w:before="67"/>
        <w:ind w:left="100" w:right="19" w:firstLine="21"/>
      </w:pPr>
      <w:r>
        <w:rPr>
          <w:color w:val="010101"/>
          <w:w w:val="110"/>
        </w:rPr>
        <w:t>(3.12) is the usual basis of estate and inheritance </w:t>
      </w:r>
      <w:r>
        <w:rPr>
          <w:rFonts w:ascii="Arial" w:hAnsi="Arial"/>
          <w:color w:val="010101"/>
          <w:w w:val="110"/>
          <w:sz w:val="18"/>
        </w:rPr>
        <w:t>true </w:t>
      </w:r>
      <w:r>
        <w:rPr>
          <w:color w:val="010101"/>
          <w:w w:val="110"/>
        </w:rPr>
        <w:t>statutes, which  define  </w:t>
      </w:r>
      <w:r>
        <w:rPr>
          <w:i/>
          <w:color w:val="010101"/>
          <w:w w:val="110"/>
          <w:sz w:val="22"/>
        </w:rPr>
        <w:t>ias </w:t>
      </w:r>
      <w:r>
        <w:rPr>
          <w:color w:val="010101"/>
          <w:w w:val="110"/>
        </w:rPr>
        <w:t>as the  </w:t>
      </w:r>
      <w:r>
        <w:rPr>
          <w:rFonts w:ascii="Arial" w:hAnsi="Arial"/>
          <w:color w:val="010101"/>
          <w:w w:val="110"/>
          <w:sz w:val="21"/>
        </w:rPr>
        <w:t>"lif</w:t>
      </w:r>
      <w:r>
        <w:rPr>
          <w:color w:val="010101"/>
          <w:w w:val="110"/>
        </w:rPr>
        <w:t>e  estate"  and  (1 </w:t>
      </w:r>
      <w:r>
        <w:rPr>
          <w:color w:val="010101"/>
          <w:w w:val="110"/>
          <w:sz w:val="29"/>
        </w:rPr>
        <w:t>+ </w:t>
      </w:r>
      <w:r>
        <w:rPr>
          <w:rFonts w:ascii="Arial" w:hAnsi="Arial"/>
          <w:i/>
          <w:color w:val="010101"/>
          <w:w w:val="110"/>
        </w:rPr>
        <w:t>i)A. </w:t>
      </w:r>
      <w:r>
        <w:rPr>
          <w:color w:val="010101"/>
          <w:w w:val="110"/>
        </w:rPr>
        <w:t>as the  "re­</w:t>
      </w:r>
    </w:p>
    <w:p>
      <w:pPr>
        <w:spacing w:before="1"/>
        <w:ind w:left="103" w:right="0" w:firstLine="0"/>
        <w:jc w:val="both"/>
        <w:rPr>
          <w:sz w:val="21"/>
        </w:rPr>
      </w:pPr>
      <w:r>
        <w:rPr>
          <w:color w:val="010101"/>
          <w:w w:val="110"/>
          <w:sz w:val="20"/>
        </w:rPr>
        <w:t>mainder," </w:t>
      </w:r>
      <w:r>
        <w:rPr>
          <w:color w:val="010101"/>
          <w:spacing w:val="6"/>
          <w:w w:val="110"/>
          <w:sz w:val="20"/>
        </w:rPr>
        <w:t>(1 </w:t>
      </w:r>
      <w:r>
        <w:rPr>
          <w:color w:val="010101"/>
          <w:w w:val="245"/>
          <w:sz w:val="20"/>
        </w:rPr>
        <w:t>-</w:t>
      </w:r>
      <w:r>
        <w:rPr>
          <w:color w:val="010101"/>
          <w:spacing w:val="-85"/>
          <w:w w:val="245"/>
          <w:sz w:val="20"/>
        </w:rPr>
        <w:t> </w:t>
      </w:r>
      <w:r>
        <w:rPr>
          <w:b/>
          <w:color w:val="010101"/>
          <w:w w:val="110"/>
          <w:sz w:val="21"/>
        </w:rPr>
        <w:t>ias) </w:t>
      </w:r>
      <w:r>
        <w:rPr>
          <w:color w:val="010101"/>
          <w:w w:val="140"/>
          <w:sz w:val="21"/>
        </w:rPr>
        <w:t>.</w:t>
      </w:r>
    </w:p>
    <w:p>
      <w:pPr>
        <w:pStyle w:val="BodyText"/>
        <w:spacing w:before="11"/>
        <w:rPr>
          <w:sz w:val="17"/>
        </w:rPr>
      </w:pPr>
    </w:p>
    <w:p>
      <w:pPr>
        <w:numPr>
          <w:ilvl w:val="0"/>
          <w:numId w:val="30"/>
        </w:numPr>
        <w:tabs>
          <w:tab w:pos="337" w:val="left" w:leader="none"/>
        </w:tabs>
        <w:spacing w:before="0"/>
        <w:ind w:left="336" w:right="0" w:hanging="236"/>
        <w:jc w:val="both"/>
        <w:rPr>
          <w:b/>
          <w:sz w:val="20"/>
        </w:rPr>
      </w:pPr>
      <w:r>
        <w:rPr>
          <w:b/>
          <w:color w:val="010101"/>
          <w:w w:val="115"/>
          <w:sz w:val="20"/>
        </w:rPr>
        <w:t>lnsurances payable at the moment of</w:t>
      </w:r>
      <w:r>
        <w:rPr>
          <w:b/>
          <w:color w:val="010101"/>
          <w:spacing w:val="53"/>
          <w:w w:val="115"/>
          <w:sz w:val="20"/>
        </w:rPr>
        <w:t> </w:t>
      </w:r>
      <w:r>
        <w:rPr>
          <w:b/>
          <w:color w:val="010101"/>
          <w:w w:val="115"/>
          <w:sz w:val="20"/>
        </w:rPr>
        <w:t>death</w:t>
      </w:r>
    </w:p>
    <w:p>
      <w:pPr>
        <w:pStyle w:val="BodyText"/>
        <w:spacing w:line="247" w:lineRule="auto" w:before="86"/>
        <w:ind w:left="100" w:right="115" w:firstLine="200"/>
        <w:jc w:val="both"/>
      </w:pPr>
      <w:r>
        <w:rPr>
          <w:color w:val="010101"/>
          <w:w w:val="105"/>
        </w:rPr>
        <w:t>In practice, the payment of the amount of an insurance is not deferred to the end of the year of death. </w:t>
      </w:r>
      <w:r>
        <w:rPr>
          <w:color w:val="010101"/>
          <w:w w:val="105"/>
          <w:sz w:val="21"/>
        </w:rPr>
        <w:t>If </w:t>
      </w:r>
      <w:r>
        <w:rPr>
          <w:color w:val="010101"/>
          <w:w w:val="105"/>
        </w:rPr>
        <w:t>the payment under </w:t>
      </w:r>
      <w:r>
        <w:rPr>
          <w:color w:val="010101"/>
          <w:w w:val="105"/>
          <w:sz w:val="21"/>
        </w:rPr>
        <w:t>a. </w:t>
      </w:r>
      <w:r>
        <w:rPr>
          <w:color w:val="010101"/>
          <w:w w:val="105"/>
        </w:rPr>
        <w:t>whole life insurance were due at the end of the 1/m-th part  of  a  yea.r in which (x) dies, the expression for the net single premium would  take the form</w:t>
      </w:r>
    </w:p>
    <w:p>
      <w:pPr>
        <w:pStyle w:val="BodyText"/>
        <w:spacing w:before="3"/>
        <w:rPr>
          <w:sz w:val="14"/>
        </w:rPr>
      </w:pPr>
      <w:r>
        <w:rPr/>
        <w:drawing>
          <wp:anchor distT="0" distB="0" distL="0" distR="0" allowOverlap="1" layoutInCell="1" locked="0" behindDoc="0" simplePos="0" relativeHeight="5944">
            <wp:simplePos x="0" y="0"/>
            <wp:positionH relativeFrom="page">
              <wp:posOffset>731519</wp:posOffset>
            </wp:positionH>
            <wp:positionV relativeFrom="paragraph">
              <wp:posOffset>129377</wp:posOffset>
            </wp:positionV>
            <wp:extent cx="3191255" cy="274319"/>
            <wp:effectExtent l="0" t="0" r="0" b="0"/>
            <wp:wrapTopAndBottom/>
            <wp:docPr id="155" name="image82.png" descr=""/>
            <wp:cNvGraphicFramePr>
              <a:graphicFrameLocks noChangeAspect="1"/>
            </wp:cNvGraphicFramePr>
            <a:graphic>
              <a:graphicData uri="http://schemas.openxmlformats.org/drawingml/2006/picture">
                <pic:pic>
                  <pic:nvPicPr>
                    <pic:cNvPr id="156" name="image82.png"/>
                    <pic:cNvPicPr/>
                  </pic:nvPicPr>
                  <pic:blipFill>
                    <a:blip r:embed="rId86" cstate="print"/>
                    <a:stretch>
                      <a:fillRect/>
                    </a:stretch>
                  </pic:blipFill>
                  <pic:spPr>
                    <a:xfrm>
                      <a:off x="0" y="0"/>
                      <a:ext cx="3191255" cy="274319"/>
                    </a:xfrm>
                    <a:prstGeom prst="rect">
                      <a:avLst/>
                    </a:prstGeom>
                  </pic:spPr>
                </pic:pic>
              </a:graphicData>
            </a:graphic>
          </wp:anchor>
        </w:drawing>
      </w:r>
      <w:r>
        <w:rPr/>
        <w:drawing>
          <wp:anchor distT="0" distB="0" distL="0" distR="0" allowOverlap="1" layoutInCell="1" locked="0" behindDoc="0" simplePos="0" relativeHeight="5968">
            <wp:simplePos x="0" y="0"/>
            <wp:positionH relativeFrom="page">
              <wp:posOffset>1042416</wp:posOffset>
            </wp:positionH>
            <wp:positionV relativeFrom="paragraph">
              <wp:posOffset>504281</wp:posOffset>
            </wp:positionV>
            <wp:extent cx="1243584" cy="301752"/>
            <wp:effectExtent l="0" t="0" r="0" b="0"/>
            <wp:wrapTopAndBottom/>
            <wp:docPr id="157" name="image83.png" descr=""/>
            <wp:cNvGraphicFramePr>
              <a:graphicFrameLocks noChangeAspect="1"/>
            </wp:cNvGraphicFramePr>
            <a:graphic>
              <a:graphicData uri="http://schemas.openxmlformats.org/drawingml/2006/picture">
                <pic:pic>
                  <pic:nvPicPr>
                    <pic:cNvPr id="158" name="image83.png"/>
                    <pic:cNvPicPr/>
                  </pic:nvPicPr>
                  <pic:blipFill>
                    <a:blip r:embed="rId87" cstate="print"/>
                    <a:stretch>
                      <a:fillRect/>
                    </a:stretch>
                  </pic:blipFill>
                  <pic:spPr>
                    <a:xfrm>
                      <a:off x="0" y="0"/>
                      <a:ext cx="1243584" cy="301752"/>
                    </a:xfrm>
                    <a:prstGeom prst="rect">
                      <a:avLst/>
                    </a:prstGeom>
                  </pic:spPr>
                </pic:pic>
              </a:graphicData>
            </a:graphic>
          </wp:anchor>
        </w:drawing>
      </w:r>
    </w:p>
    <w:p>
      <w:pPr>
        <w:pStyle w:val="BodyText"/>
        <w:spacing w:before="9"/>
        <w:rPr>
          <w:sz w:val="7"/>
        </w:rPr>
      </w:pPr>
    </w:p>
    <w:p>
      <w:pPr>
        <w:spacing w:after="0"/>
        <w:rPr>
          <w:sz w:val="7"/>
        </w:rPr>
        <w:sectPr>
          <w:pgSz w:w="7200" w:h="11340"/>
          <w:pgMar w:top="500" w:bottom="280" w:left="700" w:right="560"/>
        </w:sectPr>
      </w:pPr>
    </w:p>
    <w:p>
      <w:pPr>
        <w:tabs>
          <w:tab w:pos="1016" w:val="left" w:leader="none"/>
          <w:tab w:pos="5848" w:val="right" w:leader="none"/>
        </w:tabs>
        <w:spacing w:before="62"/>
        <w:ind w:left="129" w:right="0" w:firstLine="0"/>
        <w:jc w:val="left"/>
        <w:rPr>
          <w:rFonts w:ascii="Arial"/>
          <w:b/>
          <w:sz w:val="18"/>
        </w:rPr>
      </w:pPr>
      <w:r>
        <w:rPr>
          <w:b/>
          <w:color w:val="010101"/>
          <w:sz w:val="15"/>
        </w:rPr>
        <w:t>SEC.</w:t>
      </w:r>
      <w:r>
        <w:rPr>
          <w:b/>
          <w:color w:val="010101"/>
          <w:spacing w:val="32"/>
          <w:sz w:val="15"/>
        </w:rPr>
        <w:t> </w:t>
      </w:r>
      <w:r>
        <w:rPr>
          <w:rFonts w:ascii="Arial"/>
          <w:b/>
          <w:color w:val="010101"/>
          <w:sz w:val="18"/>
        </w:rPr>
        <w:t>4]</w:t>
        <w:tab/>
      </w:r>
      <w:r>
        <w:rPr>
          <w:b/>
          <w:color w:val="010101"/>
          <w:sz w:val="15"/>
        </w:rPr>
        <w:t>INSURANCES   PAYABLE   AT   MOMENT </w:t>
      </w:r>
      <w:r>
        <w:rPr>
          <w:b/>
          <w:color w:val="010101"/>
          <w:spacing w:val="17"/>
          <w:sz w:val="15"/>
        </w:rPr>
        <w:t> </w:t>
      </w:r>
      <w:r>
        <w:rPr>
          <w:b/>
          <w:color w:val="010101"/>
          <w:sz w:val="15"/>
        </w:rPr>
        <w:t>OF </w:t>
      </w:r>
      <w:r>
        <w:rPr>
          <w:b/>
          <w:color w:val="010101"/>
          <w:spacing w:val="28"/>
          <w:sz w:val="15"/>
        </w:rPr>
        <w:t> </w:t>
      </w:r>
      <w:r>
        <w:rPr>
          <w:b/>
          <w:color w:val="010101"/>
          <w:sz w:val="15"/>
        </w:rPr>
        <w:t>DEATH</w:t>
      </w:r>
      <w:r>
        <w:rPr>
          <w:rFonts w:ascii="Arial"/>
          <w:b/>
          <w:color w:val="010101"/>
          <w:sz w:val="18"/>
        </w:rPr>
        <w:tab/>
        <w:t>69</w:t>
      </w:r>
    </w:p>
    <w:p>
      <w:pPr>
        <w:pStyle w:val="BodyText"/>
        <w:spacing w:line="230" w:lineRule="auto" w:before="252"/>
        <w:ind w:left="118" w:right="111" w:firstLine="3"/>
        <w:jc w:val="both"/>
      </w:pPr>
      <w:r>
        <w:rPr>
          <w:color w:val="010101"/>
          <w:w w:val="105"/>
        </w:rPr>
        <w:t>where the interval of diff erencing is </w:t>
      </w:r>
      <w:r>
        <w:rPr>
          <w:i/>
          <w:color w:val="010101"/>
          <w:spacing w:val="4"/>
          <w:w w:val="105"/>
          <w:sz w:val="21"/>
        </w:rPr>
        <w:t>1/m. </w:t>
      </w:r>
      <w:r>
        <w:rPr>
          <w:color w:val="010101"/>
          <w:w w:val="105"/>
        </w:rPr>
        <w:t>As </w:t>
      </w:r>
      <w:r>
        <w:rPr>
          <w:i/>
          <w:color w:val="010101"/>
          <w:w w:val="105"/>
          <w:sz w:val="21"/>
        </w:rPr>
        <w:t>m </w:t>
      </w:r>
      <w:r>
        <w:rPr>
          <w:color w:val="010101"/>
          <w:w w:val="105"/>
        </w:rPr>
        <w:t>becomes infinitely </w:t>
      </w:r>
      <w:r>
        <w:rPr>
          <w:b/>
          <w:color w:val="010101"/>
          <w:w w:val="105"/>
          <w:sz w:val="21"/>
        </w:rPr>
        <w:t>large,</w:t>
      </w:r>
      <w:r>
        <w:rPr>
          <w:b/>
          <w:color w:val="010101"/>
          <w:spacing w:val="-11"/>
          <w:w w:val="105"/>
          <w:sz w:val="21"/>
        </w:rPr>
        <w:t> </w:t>
      </w:r>
      <w:r>
        <w:rPr>
          <w:color w:val="010101"/>
          <w:w w:val="105"/>
        </w:rPr>
        <w:t>this</w:t>
      </w:r>
      <w:r>
        <w:rPr>
          <w:color w:val="010101"/>
          <w:spacing w:val="-23"/>
          <w:w w:val="105"/>
        </w:rPr>
        <w:t> </w:t>
      </w:r>
      <w:r>
        <w:rPr>
          <w:color w:val="010101"/>
          <w:w w:val="105"/>
        </w:rPr>
        <w:t>expression</w:t>
      </w:r>
      <w:r>
        <w:rPr>
          <w:color w:val="010101"/>
          <w:spacing w:val="-3"/>
          <w:w w:val="105"/>
        </w:rPr>
        <w:t> </w:t>
      </w:r>
      <w:r>
        <w:rPr>
          <w:color w:val="010101"/>
          <w:w w:val="105"/>
        </w:rPr>
        <w:t>npproaches</w:t>
      </w:r>
      <w:r>
        <w:rPr>
          <w:color w:val="010101"/>
          <w:spacing w:val="-10"/>
          <w:w w:val="105"/>
        </w:rPr>
        <w:t> </w:t>
      </w:r>
      <w:r>
        <w:rPr>
          <w:color w:val="010101"/>
          <w:w w:val="105"/>
        </w:rPr>
        <w:t>the</w:t>
      </w:r>
      <w:r>
        <w:rPr>
          <w:color w:val="010101"/>
          <w:spacing w:val="-19"/>
          <w:w w:val="105"/>
        </w:rPr>
        <w:t> </w:t>
      </w:r>
      <w:r>
        <w:rPr>
          <w:color w:val="010101"/>
          <w:w w:val="105"/>
        </w:rPr>
        <w:t>net</w:t>
      </w:r>
      <w:r>
        <w:rPr>
          <w:color w:val="010101"/>
          <w:spacing w:val="-10"/>
          <w:w w:val="105"/>
        </w:rPr>
        <w:t> </w:t>
      </w:r>
      <w:r>
        <w:rPr>
          <w:color w:val="010101"/>
          <w:w w:val="105"/>
        </w:rPr>
        <w:t>single</w:t>
      </w:r>
      <w:r>
        <w:rPr>
          <w:color w:val="010101"/>
          <w:spacing w:val="-18"/>
          <w:w w:val="105"/>
        </w:rPr>
        <w:t> </w:t>
      </w:r>
      <w:r>
        <w:rPr>
          <w:color w:val="010101"/>
          <w:w w:val="105"/>
        </w:rPr>
        <w:t>premium</w:t>
      </w:r>
      <w:r>
        <w:rPr>
          <w:color w:val="010101"/>
          <w:spacing w:val="-2"/>
          <w:w w:val="105"/>
        </w:rPr>
        <w:t> </w:t>
      </w:r>
      <w:r>
        <w:rPr>
          <w:color w:val="010101"/>
          <w:w w:val="105"/>
        </w:rPr>
        <w:t>for</w:t>
      </w:r>
      <w:r>
        <w:rPr>
          <w:color w:val="010101"/>
          <w:spacing w:val="-18"/>
          <w:w w:val="105"/>
        </w:rPr>
        <w:t> </w:t>
      </w:r>
      <w:r>
        <w:rPr>
          <w:rFonts w:ascii="Arial"/>
          <w:color w:val="010101"/>
          <w:w w:val="105"/>
          <w:sz w:val="18"/>
        </w:rPr>
        <w:t>a</w:t>
      </w:r>
      <w:r>
        <w:rPr>
          <w:rFonts w:ascii="Arial"/>
          <w:color w:val="010101"/>
          <w:spacing w:val="-27"/>
          <w:w w:val="105"/>
          <w:sz w:val="18"/>
        </w:rPr>
        <w:t> </w:t>
      </w:r>
      <w:r>
        <w:rPr>
          <w:color w:val="010101"/>
          <w:w w:val="105"/>
        </w:rPr>
        <w:t>whole </w:t>
      </w:r>
      <w:r>
        <w:rPr>
          <w:color w:val="010101"/>
          <w:spacing w:val="4"/>
          <w:w w:val="105"/>
        </w:rPr>
        <w:t>life </w:t>
      </w:r>
      <w:r>
        <w:rPr>
          <w:color w:val="010101"/>
          <w:w w:val="105"/>
        </w:rPr>
        <w:t>insurance </w:t>
      </w:r>
      <w:r>
        <w:rPr>
          <w:color w:val="010101"/>
          <w:spacing w:val="2"/>
          <w:w w:val="105"/>
        </w:rPr>
        <w:t>payable </w:t>
      </w:r>
      <w:r>
        <w:rPr>
          <w:color w:val="010101"/>
          <w:w w:val="105"/>
        </w:rPr>
        <w:t>at the rnoment of  death  instead  of  at the  nd </w:t>
      </w:r>
      <w:r>
        <w:rPr>
          <w:color w:val="010101"/>
          <w:w w:val="105"/>
          <w:sz w:val="19"/>
        </w:rPr>
        <w:t>of </w:t>
      </w:r>
      <w:r>
        <w:rPr>
          <w:color w:val="010101"/>
          <w:w w:val="105"/>
        </w:rPr>
        <w:t>the year of death. Dcnoting this value hy </w:t>
      </w:r>
      <w:r>
        <w:rPr>
          <w:i/>
          <w:color w:val="010101"/>
          <w:w w:val="105"/>
          <w:sz w:val="25"/>
        </w:rPr>
        <w:t>Az , </w:t>
      </w:r>
      <w:r>
        <w:rPr>
          <w:color w:val="010101"/>
          <w:w w:val="105"/>
          <w:sz w:val="19"/>
        </w:rPr>
        <w:t>wc  </w:t>
      </w:r>
      <w:r>
        <w:rPr>
          <w:color w:val="010101"/>
          <w:spacing w:val="39"/>
          <w:w w:val="105"/>
          <w:sz w:val="19"/>
        </w:rPr>
        <w:t> </w:t>
      </w:r>
      <w:r>
        <w:rPr>
          <w:color w:val="010101"/>
          <w:w w:val="105"/>
        </w:rPr>
        <w:t>havc</w:t>
      </w:r>
    </w:p>
    <w:p>
      <w:pPr>
        <w:spacing w:after="0" w:line="230" w:lineRule="auto"/>
        <w:jc w:val="both"/>
        <w:sectPr>
          <w:pgSz w:w="7200" w:h="11340"/>
          <w:pgMar w:top="520" w:bottom="280" w:left="660" w:right="580"/>
        </w:sectPr>
      </w:pPr>
    </w:p>
    <w:p>
      <w:pPr>
        <w:spacing w:line="231" w:lineRule="exact" w:before="194"/>
        <w:ind w:left="1087" w:right="-1" w:firstLine="0"/>
        <w:jc w:val="left"/>
        <w:rPr>
          <w:b/>
          <w:sz w:val="11"/>
        </w:rPr>
      </w:pPr>
      <w:r>
        <w:rPr>
          <w:i/>
          <w:color w:val="010101"/>
          <w:sz w:val="20"/>
        </w:rPr>
        <w:t>A% </w:t>
      </w:r>
      <w:r>
        <w:rPr>
          <w:color w:val="010101"/>
          <w:sz w:val="26"/>
        </w:rPr>
        <w:t>= </w:t>
      </w:r>
      <w:r>
        <w:rPr>
          <w:color w:val="010101"/>
          <w:spacing w:val="-12"/>
          <w:sz w:val="19"/>
        </w:rPr>
        <w:t>h</w:t>
      </w:r>
      <w:r>
        <w:rPr>
          <w:color w:val="010101"/>
          <w:spacing w:val="-12"/>
          <w:position w:val="11"/>
          <w:sz w:val="11"/>
        </w:rPr>
        <w:t>•</w:t>
      </w:r>
      <w:r>
        <w:rPr>
          <w:color w:val="010101"/>
          <w:spacing w:val="-12"/>
          <w:sz w:val="19"/>
        </w:rPr>
        <w:t>m </w:t>
      </w:r>
      <w:r>
        <w:rPr>
          <w:i/>
          <w:color w:val="010101"/>
          <w:spacing w:val="-3"/>
          <w:sz w:val="20"/>
        </w:rPr>
        <w:t>Az</w:t>
      </w:r>
      <w:r>
        <w:rPr>
          <w:b/>
          <w:color w:val="010101"/>
          <w:spacing w:val="-3"/>
          <w:position w:val="11"/>
          <w:sz w:val="11"/>
        </w:rPr>
        <w:t>(111)</w:t>
      </w:r>
    </w:p>
    <w:p>
      <w:pPr>
        <w:tabs>
          <w:tab w:pos="793" w:val="left" w:leader="none"/>
        </w:tabs>
        <w:spacing w:line="426" w:lineRule="exact" w:before="0"/>
        <w:ind w:left="82" w:right="0" w:firstLine="0"/>
        <w:jc w:val="left"/>
        <w:rPr>
          <w:sz w:val="52"/>
        </w:rPr>
      </w:pPr>
      <w:r>
        <w:rPr/>
        <w:br w:type="column"/>
      </w:r>
      <w:r>
        <w:rPr>
          <w:color w:val="010101"/>
          <w:w w:val="101"/>
          <w:sz w:val="23"/>
        </w:rPr>
        <w:t>=</w:t>
      </w:r>
      <w:r>
        <w:rPr>
          <w:color w:val="010101"/>
          <w:sz w:val="23"/>
        </w:rPr>
        <w:t> </w:t>
      </w:r>
      <w:r>
        <w:rPr>
          <w:color w:val="010101"/>
          <w:spacing w:val="-18"/>
          <w:sz w:val="23"/>
        </w:rPr>
        <w:t> </w:t>
      </w:r>
      <w:r>
        <w:rPr>
          <w:color w:val="010101"/>
          <w:spacing w:val="-38"/>
          <w:w w:val="107"/>
          <w:sz w:val="19"/>
        </w:rPr>
        <w:t>h</w:t>
      </w:r>
      <w:r>
        <w:rPr>
          <w:color w:val="010101"/>
          <w:spacing w:val="2"/>
          <w:w w:val="90"/>
          <w:position w:val="11"/>
          <w:sz w:val="11"/>
        </w:rPr>
        <w:t>•</w:t>
      </w:r>
      <w:r>
        <w:rPr>
          <w:color w:val="010101"/>
          <w:w w:val="106"/>
          <w:sz w:val="19"/>
        </w:rPr>
        <w:t>m</w:t>
      </w:r>
      <w:r>
        <w:rPr>
          <w:color w:val="010101"/>
          <w:sz w:val="19"/>
        </w:rPr>
        <w:tab/>
      </w:r>
      <w:r>
        <w:rPr>
          <w:color w:val="010101"/>
          <w:w w:val="281"/>
          <w:sz w:val="19"/>
        </w:rPr>
        <w:t>-</w:t>
      </w:r>
      <w:r>
        <w:rPr>
          <w:color w:val="010101"/>
          <w:spacing w:val="7"/>
          <w:sz w:val="19"/>
        </w:rPr>
        <w:t> </w:t>
      </w:r>
      <w:r>
        <w:rPr>
          <w:i/>
          <w:color w:val="010101"/>
          <w:spacing w:val="-38"/>
          <w:w w:val="92"/>
          <w:sz w:val="20"/>
        </w:rPr>
        <w:t>l</w:t>
      </w:r>
      <w:r>
        <w:rPr>
          <w:b/>
          <w:color w:val="010101"/>
          <w:w w:val="88"/>
          <w:position w:val="11"/>
          <w:sz w:val="20"/>
        </w:rPr>
        <w:t>1</w:t>
      </w:r>
      <w:r>
        <w:rPr>
          <w:b/>
          <w:color w:val="010101"/>
          <w:position w:val="11"/>
          <w:sz w:val="20"/>
        </w:rPr>
        <w:t> </w:t>
      </w:r>
      <w:r>
        <w:rPr>
          <w:b/>
          <w:color w:val="010101"/>
          <w:spacing w:val="-13"/>
          <w:position w:val="11"/>
          <w:sz w:val="20"/>
        </w:rPr>
        <w:t> </w:t>
      </w:r>
      <w:r>
        <w:rPr>
          <w:i/>
          <w:color w:val="010101"/>
          <w:spacing w:val="-83"/>
          <w:w w:val="77"/>
          <w:sz w:val="34"/>
        </w:rPr>
        <w:t>L</w:t>
      </w:r>
      <w:r>
        <w:rPr>
          <w:color w:val="010101"/>
          <w:w w:val="105"/>
          <w:position w:val="5"/>
          <w:sz w:val="9"/>
        </w:rPr>
        <w:t>0</w:t>
      </w:r>
      <w:r>
        <w:rPr>
          <w:color w:val="010101"/>
          <w:spacing w:val="-12"/>
          <w:w w:val="105"/>
          <w:position w:val="5"/>
          <w:sz w:val="9"/>
        </w:rPr>
        <w:t>0</w:t>
      </w:r>
      <w:r>
        <w:rPr>
          <w:i/>
          <w:color w:val="010101"/>
          <w:w w:val="77"/>
          <w:sz w:val="34"/>
        </w:rPr>
        <w:t>V</w:t>
      </w:r>
      <w:r>
        <w:rPr>
          <w:i/>
          <w:color w:val="010101"/>
          <w:spacing w:val="-11"/>
          <w:sz w:val="34"/>
        </w:rPr>
        <w:t> </w:t>
      </w:r>
      <w:r>
        <w:rPr>
          <w:color w:val="010101"/>
          <w:spacing w:val="7"/>
          <w:w w:val="85"/>
          <w:position w:val="11"/>
          <w:sz w:val="11"/>
        </w:rPr>
        <w:t>1</w:t>
      </w:r>
      <w:r>
        <w:rPr>
          <w:rFonts w:ascii="Arial" w:hAnsi="Arial"/>
          <w:b/>
          <w:color w:val="010101"/>
          <w:w w:val="98"/>
          <w:position w:val="11"/>
          <w:sz w:val="12"/>
        </w:rPr>
        <w:t>/ff</w:t>
      </w:r>
      <w:r>
        <w:rPr>
          <w:rFonts w:ascii="Arial" w:hAnsi="Arial"/>
          <w:b/>
          <w:color w:val="010101"/>
          <w:spacing w:val="-2"/>
          <w:w w:val="98"/>
          <w:position w:val="11"/>
          <w:sz w:val="12"/>
        </w:rPr>
        <w:t>l</w:t>
      </w:r>
      <w:r>
        <w:rPr>
          <w:i/>
          <w:color w:val="010101"/>
          <w:w w:val="90"/>
          <w:sz w:val="20"/>
        </w:rPr>
        <w:t>dlz+</w:t>
      </w:r>
      <w:r>
        <w:rPr>
          <w:i/>
          <w:color w:val="010101"/>
          <w:spacing w:val="-30"/>
          <w:sz w:val="20"/>
        </w:rPr>
        <w:t> </w:t>
      </w:r>
      <w:r>
        <w:rPr>
          <w:b/>
          <w:i/>
          <w:color w:val="010101"/>
          <w:spacing w:val="-30"/>
          <w:w w:val="101"/>
          <w:position w:val="11"/>
          <w:sz w:val="13"/>
        </w:rPr>
        <w:t>t</w:t>
      </w:r>
      <w:r>
        <w:rPr>
          <w:i/>
          <w:color w:val="010101"/>
          <w:w w:val="64"/>
          <w:sz w:val="20"/>
        </w:rPr>
        <w:t>_:</w:t>
      </w:r>
      <w:r>
        <w:rPr>
          <w:i/>
          <w:color w:val="010101"/>
          <w:spacing w:val="-16"/>
          <w:w w:val="64"/>
          <w:sz w:val="20"/>
        </w:rPr>
        <w:t>:</w:t>
      </w:r>
      <w:r>
        <w:rPr>
          <w:i/>
          <w:color w:val="010101"/>
          <w:spacing w:val="3"/>
          <w:w w:val="22"/>
          <w:sz w:val="20"/>
        </w:rPr>
        <w:t>_</w:t>
      </w:r>
      <w:r>
        <w:rPr>
          <w:b/>
          <w:color w:val="010101"/>
          <w:spacing w:val="-45"/>
          <w:w w:val="98"/>
          <w:position w:val="11"/>
          <w:sz w:val="12"/>
        </w:rPr>
        <w:t>1</w:t>
      </w:r>
      <w:r>
        <w:rPr>
          <w:i/>
          <w:color w:val="1C1C1C"/>
          <w:w w:val="19"/>
          <w:sz w:val="20"/>
        </w:rPr>
        <w:t>_</w:t>
      </w:r>
      <w:r>
        <w:rPr>
          <w:i/>
          <w:color w:val="1C1C1C"/>
          <w:spacing w:val="-26"/>
          <w:sz w:val="20"/>
        </w:rPr>
        <w:t> </w:t>
      </w:r>
      <w:r>
        <w:rPr>
          <w:color w:val="010101"/>
          <w:w w:val="50"/>
          <w:position w:val="5"/>
          <w:sz w:val="52"/>
        </w:rPr>
        <w:t>J</w:t>
      </w:r>
    </w:p>
    <w:p>
      <w:pPr>
        <w:spacing w:after="0" w:line="426" w:lineRule="exact"/>
        <w:jc w:val="left"/>
        <w:rPr>
          <w:sz w:val="52"/>
        </w:rPr>
        <w:sectPr>
          <w:type w:val="continuous"/>
          <w:pgSz w:w="7200" w:h="11340"/>
          <w:pgMar w:top="1100" w:bottom="0" w:left="660" w:right="580"/>
          <w:cols w:num="2" w:equalWidth="0">
            <w:col w:w="2355" w:space="40"/>
            <w:col w:w="3565"/>
          </w:cols>
        </w:sectPr>
      </w:pPr>
    </w:p>
    <w:p>
      <w:pPr>
        <w:tabs>
          <w:tab w:pos="2596" w:val="left" w:leader="none"/>
        </w:tabs>
        <w:spacing w:line="163" w:lineRule="exact" w:before="0"/>
        <w:ind w:left="1619" w:right="0" w:firstLine="0"/>
        <w:jc w:val="left"/>
        <w:rPr>
          <w:sz w:val="9"/>
        </w:rPr>
      </w:pPr>
      <w:r>
        <w:rPr/>
        <w:pict>
          <v:shape style="position:absolute;margin-left:204.406799pt;margin-top:-7.481805pt;width:5.85pt;height:10pt;mso-position-horizontal-relative:page;mso-position-vertical-relative:paragraph;z-index:-730072" type="#_x0000_t202" filled="false" stroked="false">
            <v:textbox inset="0,0,0,0">
              <w:txbxContent>
                <w:p>
                  <w:pPr>
                    <w:spacing w:line="200" w:lineRule="exact" w:before="0"/>
                    <w:ind w:left="0" w:right="0" w:firstLine="0"/>
                    <w:jc w:val="left"/>
                    <w:rPr>
                      <w:i/>
                      <w:sz w:val="20"/>
                    </w:rPr>
                  </w:pPr>
                  <w:r>
                    <w:rPr>
                      <w:i/>
                      <w:color w:val="010101"/>
                      <w:w w:val="174"/>
                      <w:sz w:val="20"/>
                    </w:rPr>
                    <w:t>-</w:t>
                  </w:r>
                </w:p>
              </w:txbxContent>
            </v:textbox>
            <w10:wrap type="none"/>
          </v:shape>
        </w:pict>
      </w:r>
      <w:r>
        <w:rPr>
          <w:b/>
          <w:color w:val="010101"/>
          <w:w w:val="91"/>
          <w:sz w:val="12"/>
        </w:rPr>
        <w:t>m-+oo</w:t>
      </w:r>
      <w:r>
        <w:rPr>
          <w:b/>
          <w:color w:val="010101"/>
          <w:sz w:val="12"/>
        </w:rPr>
        <w:tab/>
      </w:r>
      <w:r>
        <w:rPr>
          <w:b/>
          <w:color w:val="010101"/>
          <w:spacing w:val="-128"/>
          <w:w w:val="512"/>
          <w:sz w:val="12"/>
        </w:rPr>
        <w:t>.</w:t>
      </w:r>
      <w:r>
        <w:rPr>
          <w:b/>
          <w:color w:val="010101"/>
          <w:w w:val="172"/>
          <w:sz w:val="12"/>
        </w:rPr>
        <w:t>.</w:t>
      </w:r>
      <w:r>
        <w:rPr>
          <w:b/>
          <w:color w:val="010101"/>
          <w:spacing w:val="-3"/>
          <w:w w:val="172"/>
          <w:sz w:val="12"/>
        </w:rPr>
        <w:t>.</w:t>
      </w:r>
      <w:r>
        <w:rPr>
          <w:b/>
          <w:color w:val="010101"/>
          <w:w w:val="79"/>
          <w:sz w:val="12"/>
        </w:rPr>
        <w:t>oo</w:t>
      </w:r>
      <w:r>
        <w:rPr>
          <w:b/>
          <w:color w:val="010101"/>
          <w:sz w:val="12"/>
        </w:rPr>
        <w:t> </w:t>
      </w:r>
      <w:r>
        <w:rPr>
          <w:b/>
          <w:color w:val="010101"/>
          <w:spacing w:val="3"/>
          <w:sz w:val="12"/>
        </w:rPr>
        <w:t> </w:t>
      </w:r>
      <w:r>
        <w:rPr>
          <w:color w:val="010101"/>
          <w:w w:val="516"/>
          <w:position w:val="6"/>
          <w:sz w:val="9"/>
        </w:rPr>
        <w:t>[</w:t>
      </w:r>
    </w:p>
    <w:p>
      <w:pPr>
        <w:pStyle w:val="BodyText"/>
        <w:rPr>
          <w:sz w:val="16"/>
        </w:rPr>
      </w:pPr>
    </w:p>
    <w:p>
      <w:pPr>
        <w:spacing w:line="287" w:lineRule="exact" w:before="1"/>
        <w:ind w:left="1400" w:right="0" w:firstLine="0"/>
        <w:jc w:val="left"/>
        <w:rPr>
          <w:sz w:val="21"/>
        </w:rPr>
      </w:pPr>
      <w:r>
        <w:rPr>
          <w:color w:val="010101"/>
          <w:w w:val="96"/>
          <w:sz w:val="21"/>
        </w:rPr>
        <w:t>--</w:t>
      </w:r>
      <w:r>
        <w:rPr>
          <w:color w:val="010101"/>
          <w:sz w:val="21"/>
        </w:rPr>
        <w:t> </w:t>
      </w:r>
      <w:r>
        <w:rPr>
          <w:color w:val="010101"/>
          <w:spacing w:val="14"/>
          <w:sz w:val="21"/>
        </w:rPr>
        <w:t> </w:t>
      </w:r>
      <w:r>
        <w:rPr>
          <w:color w:val="010101"/>
          <w:w w:val="260"/>
          <w:sz w:val="21"/>
        </w:rPr>
        <w:t>-</w:t>
      </w:r>
      <w:r>
        <w:rPr>
          <w:color w:val="010101"/>
          <w:spacing w:val="-2"/>
          <w:sz w:val="21"/>
        </w:rPr>
        <w:t> </w:t>
      </w:r>
      <w:r>
        <w:rPr>
          <w:b/>
          <w:i/>
          <w:color w:val="010101"/>
          <w:spacing w:val="-20"/>
          <w:w w:val="69"/>
          <w:sz w:val="21"/>
        </w:rPr>
        <w:t>l</w:t>
      </w:r>
      <w:r>
        <w:rPr>
          <w:color w:val="010101"/>
          <w:w w:val="106"/>
          <w:position w:val="8"/>
          <w:sz w:val="19"/>
        </w:rPr>
        <w:t>1</w:t>
      </w:r>
      <w:r>
        <w:rPr>
          <w:color w:val="010101"/>
          <w:spacing w:val="20"/>
          <w:position w:val="8"/>
          <w:sz w:val="19"/>
        </w:rPr>
        <w:t> </w:t>
      </w:r>
      <w:r>
        <w:rPr>
          <w:i/>
          <w:color w:val="010101"/>
          <w:spacing w:val="-45"/>
          <w:w w:val="181"/>
          <w:position w:val="8"/>
          <w:sz w:val="22"/>
        </w:rPr>
        <w:t>1</w:t>
      </w:r>
      <w:r>
        <w:rPr>
          <w:i/>
          <w:color w:val="010101"/>
          <w:w w:val="42"/>
          <w:position w:val="8"/>
          <w:sz w:val="22"/>
        </w:rPr>
        <w:t>00</w:t>
      </w:r>
      <w:r>
        <w:rPr>
          <w:i/>
          <w:color w:val="010101"/>
          <w:spacing w:val="-1"/>
          <w:position w:val="8"/>
          <w:sz w:val="22"/>
        </w:rPr>
        <w:t> </w:t>
      </w:r>
      <w:r>
        <w:rPr>
          <w:rFonts w:ascii="Arial"/>
          <w:b/>
          <w:i/>
          <w:color w:val="010101"/>
          <w:w w:val="82"/>
          <w:sz w:val="13"/>
        </w:rPr>
        <w:t>V</w:t>
      </w:r>
      <w:r>
        <w:rPr>
          <w:rFonts w:ascii="Arial"/>
          <w:b/>
          <w:i/>
          <w:color w:val="010101"/>
          <w:spacing w:val="-8"/>
          <w:sz w:val="13"/>
        </w:rPr>
        <w:t> </w:t>
      </w:r>
      <w:r>
        <w:rPr>
          <w:color w:val="010101"/>
          <w:w w:val="145"/>
          <w:position w:val="8"/>
          <w:sz w:val="22"/>
        </w:rPr>
        <w:t>'</w:t>
      </w:r>
      <w:r>
        <w:rPr>
          <w:color w:val="010101"/>
          <w:spacing w:val="-9"/>
          <w:position w:val="8"/>
          <w:sz w:val="22"/>
        </w:rPr>
        <w:t> </w:t>
      </w:r>
      <w:r>
        <w:rPr>
          <w:b/>
          <w:i/>
          <w:color w:val="010101"/>
          <w:w w:val="83"/>
          <w:sz w:val="21"/>
        </w:rPr>
        <w:t>dlz+t</w:t>
      </w:r>
      <w:r>
        <w:rPr>
          <w:b/>
          <w:i/>
          <w:color w:val="010101"/>
          <w:sz w:val="21"/>
        </w:rPr>
        <w:t> </w:t>
      </w:r>
      <w:r>
        <w:rPr>
          <w:b/>
          <w:i/>
          <w:color w:val="010101"/>
          <w:spacing w:val="-15"/>
          <w:sz w:val="21"/>
        </w:rPr>
        <w:t> </w:t>
      </w:r>
      <w:r>
        <w:rPr>
          <w:color w:val="010101"/>
          <w:w w:val="92"/>
          <w:sz w:val="21"/>
        </w:rPr>
        <w:t>,</w:t>
      </w:r>
    </w:p>
    <w:p>
      <w:pPr>
        <w:spacing w:line="163" w:lineRule="exact" w:before="0"/>
        <w:ind w:left="1945" w:right="0" w:firstLine="0"/>
        <w:jc w:val="left"/>
        <w:rPr>
          <w:b/>
          <w:sz w:val="18"/>
        </w:rPr>
      </w:pPr>
      <w:r>
        <w:rPr>
          <w:rFonts w:ascii="Courier New"/>
          <w:b/>
          <w:color w:val="010101"/>
          <w:sz w:val="13"/>
        </w:rPr>
        <w:t>z </w:t>
      </w:r>
      <w:r>
        <w:rPr>
          <w:b/>
          <w:color w:val="010101"/>
          <w:sz w:val="18"/>
        </w:rPr>
        <w:t>o</w:t>
      </w:r>
    </w:p>
    <w:p>
      <w:pPr>
        <w:tabs>
          <w:tab w:pos="1362" w:val="left" w:leader="none"/>
        </w:tabs>
        <w:spacing w:line="174" w:lineRule="exact" w:before="0"/>
        <w:ind w:left="239" w:right="0" w:firstLine="0"/>
        <w:jc w:val="left"/>
        <w:rPr>
          <w:sz w:val="8"/>
        </w:rPr>
      </w:pPr>
      <w:r>
        <w:rPr/>
        <w:br w:type="column"/>
      </w:r>
      <w:r>
        <w:rPr>
          <w:b/>
          <w:color w:val="010101"/>
          <w:w w:val="110"/>
          <w:sz w:val="12"/>
        </w:rPr>
        <w:t>z </w:t>
      </w:r>
      <w:r>
        <w:rPr>
          <w:b/>
          <w:color w:val="010101"/>
          <w:spacing w:val="14"/>
          <w:w w:val="110"/>
          <w:sz w:val="12"/>
        </w:rPr>
        <w:t> </w:t>
      </w:r>
      <w:r>
        <w:rPr>
          <w:color w:val="010101"/>
          <w:w w:val="110"/>
          <w:sz w:val="17"/>
        </w:rPr>
        <w:t>e-1</w:t>
        <w:tab/>
      </w:r>
      <w:r>
        <w:rPr>
          <w:color w:val="010101"/>
          <w:w w:val="110"/>
          <w:sz w:val="8"/>
        </w:rPr>
        <w:t>t11</w:t>
      </w:r>
    </w:p>
    <w:p>
      <w:pPr>
        <w:spacing w:after="0" w:line="174" w:lineRule="exact"/>
        <w:jc w:val="left"/>
        <w:rPr>
          <w:sz w:val="8"/>
        </w:rPr>
        <w:sectPr>
          <w:type w:val="continuous"/>
          <w:pgSz w:w="7200" w:h="11340"/>
          <w:pgMar w:top="1100" w:bottom="0" w:left="660" w:right="580"/>
          <w:cols w:num="2" w:equalWidth="0">
            <w:col w:w="3200" w:space="40"/>
            <w:col w:w="2720"/>
          </w:cols>
        </w:sectPr>
      </w:pPr>
    </w:p>
    <w:p>
      <w:pPr>
        <w:tabs>
          <w:tab w:pos="1784" w:val="left" w:leader="none"/>
        </w:tabs>
        <w:spacing w:line="288" w:lineRule="exact" w:before="63"/>
        <w:ind w:left="122" w:right="0" w:firstLine="0"/>
        <w:jc w:val="left"/>
        <w:rPr>
          <w:b/>
          <w:i/>
          <w:sz w:val="20"/>
        </w:rPr>
      </w:pPr>
      <w:r>
        <w:rPr>
          <w:color w:val="010101"/>
          <w:w w:val="103"/>
          <w:position w:val="1"/>
          <w:sz w:val="20"/>
        </w:rPr>
        <w:t>or,</w:t>
      </w:r>
      <w:r>
        <w:rPr>
          <w:color w:val="010101"/>
          <w:spacing w:val="15"/>
          <w:position w:val="1"/>
          <w:sz w:val="20"/>
        </w:rPr>
        <w:t> </w:t>
      </w:r>
      <w:r>
        <w:rPr>
          <w:color w:val="010101"/>
          <w:w w:val="99"/>
          <w:position w:val="1"/>
          <w:sz w:val="19"/>
        </w:rPr>
        <w:t>s</w:t>
      </w:r>
      <w:r>
        <w:rPr>
          <w:color w:val="010101"/>
          <w:spacing w:val="13"/>
          <w:w w:val="99"/>
          <w:position w:val="1"/>
          <w:sz w:val="19"/>
        </w:rPr>
        <w:t>i</w:t>
      </w:r>
      <w:r>
        <w:rPr>
          <w:color w:val="010101"/>
          <w:w w:val="103"/>
          <w:position w:val="1"/>
          <w:sz w:val="19"/>
        </w:rPr>
        <w:t>ncc</w:t>
      </w:r>
      <w:r>
        <w:rPr>
          <w:color w:val="010101"/>
          <w:position w:val="1"/>
          <w:sz w:val="19"/>
        </w:rPr>
        <w:tab/>
      </w:r>
      <w:r>
        <w:rPr>
          <w:b/>
          <w:i/>
          <w:color w:val="010101"/>
          <w:w w:val="78"/>
          <w:sz w:val="20"/>
        </w:rPr>
        <w:t>d{</w:t>
      </w:r>
      <w:r>
        <w:rPr>
          <w:b/>
          <w:i/>
          <w:color w:val="010101"/>
          <w:spacing w:val="-30"/>
          <w:sz w:val="20"/>
        </w:rPr>
        <w:t> </w:t>
      </w:r>
      <w:r>
        <w:rPr>
          <w:b/>
          <w:i/>
          <w:color w:val="010101"/>
          <w:spacing w:val="7"/>
          <w:w w:val="187"/>
          <w:sz w:val="20"/>
        </w:rPr>
        <w:t>.</w:t>
      </w:r>
      <w:r>
        <w:rPr>
          <w:color w:val="010101"/>
          <w:w w:val="63"/>
          <w:sz w:val="20"/>
        </w:rPr>
        <w:t>•</w:t>
      </w:r>
      <w:r>
        <w:rPr>
          <w:color w:val="010101"/>
          <w:spacing w:val="-2"/>
          <w:sz w:val="20"/>
        </w:rPr>
        <w:t> </w:t>
      </w:r>
      <w:r>
        <w:rPr>
          <w:rFonts w:ascii="Arial" w:hAnsi="Arial"/>
          <w:b/>
          <w:color w:val="010101"/>
          <w:w w:val="66"/>
          <w:sz w:val="14"/>
        </w:rPr>
        <w:t>r</w:t>
      </w:r>
      <w:r>
        <w:rPr>
          <w:rFonts w:ascii="Arial" w:hAnsi="Arial"/>
          <w:b/>
          <w:color w:val="010101"/>
          <w:sz w:val="14"/>
        </w:rPr>
        <w:t> </w:t>
      </w:r>
      <w:r>
        <w:rPr>
          <w:rFonts w:ascii="Arial" w:hAnsi="Arial"/>
          <w:b/>
          <w:color w:val="010101"/>
          <w:spacing w:val="18"/>
          <w:sz w:val="14"/>
        </w:rPr>
        <w:t> </w:t>
      </w:r>
      <w:r>
        <w:rPr>
          <w:color w:val="010101"/>
          <w:w w:val="89"/>
          <w:sz w:val="26"/>
        </w:rPr>
        <w:t>=</w:t>
      </w:r>
      <w:r>
        <w:rPr>
          <w:color w:val="010101"/>
          <w:sz w:val="26"/>
        </w:rPr>
        <w:t>  </w:t>
      </w:r>
      <w:r>
        <w:rPr>
          <w:b/>
          <w:i/>
          <w:color w:val="010101"/>
          <w:w w:val="218"/>
          <w:sz w:val="20"/>
        </w:rPr>
        <w:t>-</w:t>
      </w:r>
      <w:r>
        <w:rPr>
          <w:b/>
          <w:i/>
          <w:color w:val="010101"/>
          <w:spacing w:val="-24"/>
          <w:sz w:val="20"/>
        </w:rPr>
        <w:t> </w:t>
      </w:r>
      <w:r>
        <w:rPr>
          <w:b/>
          <w:i/>
          <w:color w:val="010101"/>
          <w:w w:val="81"/>
          <w:sz w:val="20"/>
        </w:rPr>
        <w:t>lz+</w:t>
      </w:r>
      <w:r>
        <w:rPr>
          <w:b/>
          <w:i/>
          <w:color w:val="010101"/>
          <w:spacing w:val="-13"/>
          <w:sz w:val="20"/>
        </w:rPr>
        <w:t> </w:t>
      </w:r>
      <w:r>
        <w:rPr>
          <w:b/>
          <w:i/>
          <w:color w:val="010101"/>
          <w:w w:val="97"/>
          <w:sz w:val="16"/>
        </w:rPr>
        <w:t>,µz+</w:t>
      </w:r>
      <w:r>
        <w:rPr>
          <w:b/>
          <w:i/>
          <w:color w:val="010101"/>
          <w:spacing w:val="10"/>
          <w:sz w:val="16"/>
        </w:rPr>
        <w:t> </w:t>
      </w:r>
      <w:r>
        <w:rPr>
          <w:rFonts w:ascii="Arial" w:hAnsi="Arial"/>
          <w:b/>
          <w:i/>
          <w:color w:val="010101"/>
          <w:w w:val="91"/>
          <w:sz w:val="11"/>
        </w:rPr>
        <w:t>t</w:t>
      </w:r>
      <w:r>
        <w:rPr>
          <w:rFonts w:ascii="Arial" w:hAnsi="Arial"/>
          <w:b/>
          <w:i/>
          <w:color w:val="010101"/>
          <w:sz w:val="11"/>
        </w:rPr>
        <w:t> </w:t>
      </w:r>
      <w:r>
        <w:rPr>
          <w:rFonts w:ascii="Arial" w:hAnsi="Arial"/>
          <w:b/>
          <w:i/>
          <w:color w:val="010101"/>
          <w:spacing w:val="-6"/>
          <w:sz w:val="11"/>
        </w:rPr>
        <w:t> </w:t>
      </w:r>
      <w:r>
        <w:rPr>
          <w:b/>
          <w:i/>
          <w:color w:val="010101"/>
          <w:w w:val="91"/>
          <w:sz w:val="20"/>
        </w:rPr>
        <w:t>dl</w:t>
      </w:r>
      <w:r>
        <w:rPr>
          <w:b/>
          <w:i/>
          <w:color w:val="010101"/>
          <w:spacing w:val="-28"/>
          <w:sz w:val="20"/>
        </w:rPr>
        <w:t> </w:t>
      </w:r>
      <w:r>
        <w:rPr>
          <w:b/>
          <w:i/>
          <w:color w:val="010101"/>
          <w:w w:val="86"/>
          <w:sz w:val="20"/>
        </w:rPr>
        <w:t>,</w:t>
      </w:r>
    </w:p>
    <w:p>
      <w:pPr>
        <w:tabs>
          <w:tab w:pos="2505" w:val="left" w:leader="none"/>
        </w:tabs>
        <w:spacing w:line="291" w:lineRule="exact" w:before="0"/>
        <w:ind w:left="2017" w:right="0" w:firstLine="0"/>
        <w:jc w:val="left"/>
        <w:rPr>
          <w:sz w:val="22"/>
        </w:rPr>
      </w:pPr>
      <w:r>
        <w:rPr>
          <w:color w:val="010101"/>
          <w:w w:val="115"/>
          <w:sz w:val="20"/>
        </w:rPr>
        <w:t>-</w:t>
        <w:tab/>
      </w:r>
      <w:r>
        <w:rPr>
          <w:color w:val="010101"/>
          <w:sz w:val="20"/>
        </w:rPr>
        <w:t>1  </w:t>
      </w:r>
      <w:r>
        <w:rPr>
          <w:i/>
          <w:color w:val="010101"/>
          <w:sz w:val="20"/>
        </w:rPr>
        <w:t>( </w:t>
      </w:r>
      <w:r>
        <w:rPr>
          <w:i/>
          <w:color w:val="010101"/>
          <w:w w:val="70"/>
          <w:position w:val="11"/>
          <w:sz w:val="22"/>
        </w:rPr>
        <w:t>00 </w:t>
      </w:r>
      <w:r>
        <w:rPr>
          <w:i/>
          <w:color w:val="010101"/>
          <w:spacing w:val="25"/>
          <w:w w:val="70"/>
          <w:position w:val="11"/>
          <w:sz w:val="22"/>
        </w:rPr>
        <w:t> </w:t>
      </w:r>
      <w:r>
        <w:rPr>
          <w:color w:val="010101"/>
          <w:sz w:val="22"/>
        </w:rPr>
        <w:t>,</w:t>
      </w:r>
    </w:p>
    <w:p>
      <w:pPr>
        <w:spacing w:line="171" w:lineRule="exact" w:before="0"/>
        <w:ind w:left="1952" w:right="-12" w:firstLine="0"/>
        <w:jc w:val="left"/>
        <w:rPr>
          <w:b/>
          <w:i/>
          <w:sz w:val="21"/>
        </w:rPr>
      </w:pPr>
      <w:r>
        <w:rPr>
          <w:b/>
          <w:i/>
          <w:color w:val="010101"/>
          <w:sz w:val="21"/>
        </w:rPr>
        <w:t>A </w:t>
      </w:r>
      <w:r>
        <w:rPr>
          <w:b/>
          <w:i/>
          <w:color w:val="010101"/>
          <w:w w:val="85"/>
          <w:sz w:val="21"/>
        </w:rPr>
        <w:t>z  </w:t>
      </w:r>
      <w:r>
        <w:rPr>
          <w:color w:val="010101"/>
          <w:sz w:val="24"/>
        </w:rPr>
        <w:t>= </w:t>
      </w:r>
      <w:r>
        <w:rPr>
          <w:b/>
          <w:i/>
          <w:color w:val="010101"/>
          <w:spacing w:val="-19"/>
          <w:sz w:val="21"/>
        </w:rPr>
        <w:t>l- </w:t>
      </w:r>
      <w:r>
        <w:rPr>
          <w:i/>
          <w:color w:val="010101"/>
          <w:w w:val="85"/>
          <w:sz w:val="21"/>
        </w:rPr>
        <w:t>},,   </w:t>
      </w:r>
      <w:r>
        <w:rPr>
          <w:i/>
          <w:color w:val="010101"/>
          <w:sz w:val="14"/>
        </w:rPr>
        <w:t>V </w:t>
      </w:r>
      <w:r>
        <w:rPr>
          <w:b/>
          <w:i/>
          <w:color w:val="010101"/>
          <w:sz w:val="16"/>
        </w:rPr>
        <w:t>lz+t </w:t>
      </w:r>
      <w:r>
        <w:rPr>
          <w:b/>
          <w:i/>
          <w:color w:val="010101"/>
          <w:w w:val="85"/>
          <w:sz w:val="16"/>
        </w:rPr>
        <w:t>/.J.z </w:t>
      </w:r>
      <w:r>
        <w:rPr>
          <w:b/>
          <w:i/>
          <w:color w:val="010101"/>
          <w:sz w:val="16"/>
        </w:rPr>
        <w:t>H </w:t>
      </w:r>
      <w:r>
        <w:rPr>
          <w:b/>
          <w:i/>
          <w:color w:val="010101"/>
          <w:sz w:val="21"/>
        </w:rPr>
        <w:t>dt</w:t>
      </w:r>
      <w:r>
        <w:rPr>
          <w:b/>
          <w:i/>
          <w:color w:val="010101"/>
          <w:spacing w:val="-20"/>
          <w:sz w:val="21"/>
        </w:rPr>
        <w:t> </w:t>
      </w:r>
      <w:r>
        <w:rPr>
          <w:b/>
          <w:i/>
          <w:color w:val="010101"/>
          <w:w w:val="85"/>
          <w:sz w:val="21"/>
        </w:rPr>
        <w:t>,</w:t>
      </w:r>
    </w:p>
    <w:p>
      <w:pPr>
        <w:spacing w:line="154" w:lineRule="exact" w:before="0"/>
        <w:ind w:left="2541" w:right="0" w:firstLine="0"/>
        <w:jc w:val="left"/>
        <w:rPr>
          <w:b/>
          <w:sz w:val="17"/>
        </w:rPr>
      </w:pPr>
      <w:r>
        <w:rPr>
          <w:rFonts w:ascii="Courier New"/>
          <w:b/>
          <w:color w:val="010101"/>
          <w:sz w:val="13"/>
        </w:rPr>
        <w:t>z </w:t>
      </w:r>
      <w:r>
        <w:rPr>
          <w:b/>
          <w:color w:val="010101"/>
          <w:sz w:val="17"/>
        </w:rPr>
        <w:t>o</w:t>
      </w:r>
    </w:p>
    <w:p>
      <w:pPr>
        <w:pStyle w:val="BodyText"/>
        <w:rPr>
          <w:b/>
          <w:sz w:val="18"/>
        </w:rPr>
      </w:pPr>
      <w:r>
        <w:rPr/>
        <w:br w:type="column"/>
      </w:r>
      <w:r>
        <w:rPr>
          <w:b/>
          <w:sz w:val="18"/>
        </w:rPr>
      </w:r>
    </w:p>
    <w:p>
      <w:pPr>
        <w:pStyle w:val="BodyText"/>
        <w:rPr>
          <w:b/>
          <w:sz w:val="18"/>
        </w:rPr>
      </w:pPr>
    </w:p>
    <w:p>
      <w:pPr>
        <w:pStyle w:val="BodyText"/>
        <w:spacing w:before="1"/>
        <w:rPr>
          <w:b/>
          <w:sz w:val="16"/>
        </w:rPr>
      </w:pPr>
    </w:p>
    <w:p>
      <w:pPr>
        <w:spacing w:before="0"/>
        <w:ind w:left="122" w:right="-8" w:firstLine="0"/>
        <w:jc w:val="left"/>
        <w:rPr>
          <w:sz w:val="19"/>
        </w:rPr>
      </w:pPr>
      <w:r>
        <w:rPr>
          <w:color w:val="010101"/>
          <w:w w:val="105"/>
          <w:sz w:val="19"/>
        </w:rPr>
        <w:t>(3.13a)</w:t>
      </w:r>
    </w:p>
    <w:p>
      <w:pPr>
        <w:spacing w:after="0"/>
        <w:jc w:val="left"/>
        <w:rPr>
          <w:sz w:val="19"/>
        </w:rPr>
        <w:sectPr>
          <w:type w:val="continuous"/>
          <w:pgSz w:w="7200" w:h="11340"/>
          <w:pgMar w:top="1100" w:bottom="0" w:left="660" w:right="580"/>
          <w:cols w:num="2" w:equalWidth="0">
            <w:col w:w="3994" w:space="1146"/>
            <w:col w:w="820"/>
          </w:cols>
        </w:sectPr>
      </w:pPr>
    </w:p>
    <w:p>
      <w:pPr>
        <w:tabs>
          <w:tab w:pos="1938" w:val="left" w:leader="none"/>
        </w:tabs>
        <w:spacing w:line="329" w:lineRule="exact" w:before="143"/>
        <w:ind w:left="115" w:right="0" w:firstLine="0"/>
        <w:jc w:val="left"/>
        <w:rPr>
          <w:sz w:val="26"/>
        </w:rPr>
      </w:pPr>
      <w:r>
        <w:rPr>
          <w:color w:val="010101"/>
          <w:position w:val="1"/>
          <w:sz w:val="20"/>
        </w:rPr>
        <w:t>or</w:t>
        <w:tab/>
      </w:r>
      <w:r>
        <w:rPr>
          <w:b/>
          <w:color w:val="010101"/>
          <w:spacing w:val="-21"/>
          <w:sz w:val="21"/>
        </w:rPr>
        <w:t>A</w:t>
      </w:r>
      <w:r>
        <w:rPr>
          <w:color w:val="010101"/>
          <w:spacing w:val="-21"/>
          <w:position w:val="5"/>
          <w:sz w:val="26"/>
        </w:rPr>
        <w:t>-</w:t>
      </w:r>
      <w:r>
        <w:rPr>
          <w:b/>
          <w:color w:val="010101"/>
          <w:spacing w:val="-21"/>
          <w:sz w:val="21"/>
        </w:rPr>
        <w:t>z</w:t>
      </w:r>
      <w:r>
        <w:rPr>
          <w:b/>
          <w:color w:val="010101"/>
          <w:spacing w:val="-19"/>
          <w:sz w:val="21"/>
        </w:rPr>
        <w:t> </w:t>
      </w:r>
      <w:r>
        <w:rPr>
          <w:color w:val="010101"/>
          <w:sz w:val="26"/>
        </w:rPr>
        <w:t>=</w:t>
      </w:r>
    </w:p>
    <w:p>
      <w:pPr>
        <w:spacing w:line="443" w:lineRule="exact" w:before="29"/>
        <w:ind w:left="61" w:right="-2" w:firstLine="0"/>
        <w:jc w:val="left"/>
        <w:rPr>
          <w:sz w:val="9"/>
        </w:rPr>
      </w:pPr>
      <w:r>
        <w:rPr/>
        <w:br w:type="column"/>
      </w:r>
      <w:r>
        <w:rPr>
          <w:rFonts w:ascii="Arial"/>
          <w:color w:val="010101"/>
          <w:spacing w:val="-112"/>
          <w:w w:val="91"/>
          <w:position w:val="-32"/>
          <w:sz w:val="52"/>
        </w:rPr>
        <w:t>1</w:t>
      </w:r>
      <w:r>
        <w:rPr>
          <w:color w:val="010101"/>
          <w:w w:val="105"/>
          <w:sz w:val="9"/>
        </w:rPr>
        <w:t>00</w:t>
      </w:r>
    </w:p>
    <w:p>
      <w:pPr>
        <w:tabs>
          <w:tab w:pos="2461" w:val="left" w:leader="none"/>
        </w:tabs>
        <w:spacing w:line="340" w:lineRule="exact" w:before="132"/>
        <w:ind w:left="-5" w:right="0" w:firstLine="0"/>
        <w:jc w:val="left"/>
        <w:rPr>
          <w:sz w:val="20"/>
        </w:rPr>
      </w:pPr>
      <w:r>
        <w:rPr/>
        <w:br w:type="column"/>
      </w:r>
      <w:r>
        <w:rPr>
          <w:rFonts w:ascii="Arial"/>
          <w:b/>
          <w:i/>
          <w:color w:val="010101"/>
          <w:sz w:val="13"/>
        </w:rPr>
        <w:t>V </w:t>
      </w:r>
      <w:r>
        <w:rPr>
          <w:rFonts w:ascii="Arial"/>
          <w:color w:val="010101"/>
          <w:position w:val="5"/>
          <w:sz w:val="27"/>
        </w:rPr>
        <w:t>'</w:t>
      </w:r>
      <w:r>
        <w:rPr>
          <w:b/>
          <w:i/>
          <w:color w:val="010101"/>
          <w:sz w:val="16"/>
        </w:rPr>
        <w:t>eP:rl'z</w:t>
      </w:r>
      <w:r>
        <w:rPr>
          <w:b/>
          <w:i/>
          <w:color w:val="010101"/>
          <w:spacing w:val="-30"/>
          <w:sz w:val="16"/>
        </w:rPr>
        <w:t> </w:t>
      </w:r>
      <w:r>
        <w:rPr>
          <w:b/>
          <w:i/>
          <w:color w:val="010101"/>
          <w:w w:val="105"/>
          <w:sz w:val="16"/>
        </w:rPr>
        <w:t>tt</w:t>
      </w:r>
      <w:r>
        <w:rPr>
          <w:b/>
          <w:i/>
          <w:color w:val="010101"/>
          <w:spacing w:val="22"/>
          <w:w w:val="105"/>
          <w:sz w:val="16"/>
        </w:rPr>
        <w:t> </w:t>
      </w:r>
      <w:r>
        <w:rPr>
          <w:b/>
          <w:i/>
          <w:color w:val="010101"/>
          <w:sz w:val="21"/>
        </w:rPr>
        <w:t>dt.</w:t>
        <w:tab/>
      </w:r>
      <w:r>
        <w:rPr>
          <w:color w:val="010101"/>
          <w:position w:val="2"/>
          <w:sz w:val="20"/>
        </w:rPr>
        <w:t>(3.13h)</w:t>
      </w:r>
    </w:p>
    <w:p>
      <w:pPr>
        <w:spacing w:after="0" w:line="340" w:lineRule="exact"/>
        <w:jc w:val="left"/>
        <w:rPr>
          <w:sz w:val="20"/>
        </w:rPr>
        <w:sectPr>
          <w:type w:val="continuous"/>
          <w:pgSz w:w="7200" w:h="11340"/>
          <w:pgMar w:top="1100" w:bottom="0" w:left="660" w:right="580"/>
          <w:cols w:num="3" w:equalWidth="0">
            <w:col w:w="2390" w:space="40"/>
            <w:col w:w="328" w:space="40"/>
            <w:col w:w="3162"/>
          </w:cols>
        </w:sectPr>
      </w:pPr>
    </w:p>
    <w:p>
      <w:pPr>
        <w:spacing w:line="112" w:lineRule="exact" w:before="0"/>
        <w:ind w:left="0" w:right="742" w:firstLine="0"/>
        <w:jc w:val="center"/>
        <w:rPr>
          <w:rFonts w:ascii="Arial"/>
          <w:sz w:val="11"/>
        </w:rPr>
      </w:pPr>
      <w:r>
        <w:rPr>
          <w:rFonts w:ascii="Arial"/>
          <w:color w:val="010101"/>
          <w:w w:val="109"/>
          <w:sz w:val="11"/>
        </w:rPr>
        <w:t>0</w:t>
      </w:r>
    </w:p>
    <w:p>
      <w:pPr>
        <w:pStyle w:val="BodyText"/>
        <w:spacing w:before="1"/>
        <w:rPr>
          <w:rFonts w:ascii="Arial"/>
          <w:sz w:val="11"/>
        </w:rPr>
      </w:pPr>
    </w:p>
    <w:p>
      <w:pPr>
        <w:spacing w:line="244" w:lineRule="auto" w:before="0"/>
        <w:ind w:left="111" w:right="122" w:firstLine="7"/>
        <w:jc w:val="left"/>
        <w:rPr>
          <w:sz w:val="21"/>
        </w:rPr>
      </w:pPr>
      <w:r>
        <w:rPr>
          <w:color w:val="010101"/>
          <w:sz w:val="20"/>
        </w:rPr>
        <w:t>The formula may </w:t>
      </w:r>
      <w:r>
        <w:rPr>
          <w:color w:val="010101"/>
          <w:sz w:val="19"/>
        </w:rPr>
        <w:t>be </w:t>
      </w:r>
      <w:r>
        <w:rPr>
          <w:color w:val="010101"/>
          <w:sz w:val="20"/>
        </w:rPr>
        <w:t>seen to  </w:t>
      </w:r>
      <w:r>
        <w:rPr>
          <w:color w:val="010101"/>
          <w:sz w:val="19"/>
        </w:rPr>
        <w:t>be  </w:t>
      </w:r>
      <w:r>
        <w:rPr>
          <w:color w:val="010101"/>
          <w:sz w:val="20"/>
        </w:rPr>
        <w:t>plausible  by  general  reasoning,  since  </w:t>
      </w:r>
      <w:r>
        <w:rPr>
          <w:i/>
          <w:color w:val="010101"/>
          <w:w w:val="95"/>
          <w:sz w:val="18"/>
        </w:rPr>
        <w:t>ePz/J.%+1 </w:t>
      </w:r>
      <w:r>
        <w:rPr>
          <w:i/>
          <w:color w:val="010101"/>
          <w:sz w:val="18"/>
        </w:rPr>
        <w:t>dt  </w:t>
      </w:r>
      <w:r>
        <w:rPr>
          <w:color w:val="010101"/>
          <w:sz w:val="20"/>
        </w:rPr>
        <w:t>can  </w:t>
      </w:r>
      <w:r>
        <w:rPr>
          <w:rFonts w:ascii="Arial"/>
          <w:color w:val="010101"/>
          <w:sz w:val="20"/>
        </w:rPr>
        <w:t>be </w:t>
      </w:r>
      <w:r>
        <w:rPr>
          <w:color w:val="010101"/>
          <w:sz w:val="20"/>
        </w:rPr>
        <w:t>thought  of  as the probability  that  </w:t>
      </w:r>
      <w:r>
        <w:rPr>
          <w:rFonts w:ascii="Arial"/>
          <w:i/>
          <w:color w:val="010101"/>
          <w:sz w:val="19"/>
        </w:rPr>
        <w:t>(x)</w:t>
      </w:r>
      <w:r>
        <w:rPr>
          <w:rFonts w:ascii="Arial"/>
          <w:i/>
          <w:color w:val="010101"/>
          <w:spacing w:val="51"/>
          <w:sz w:val="19"/>
        </w:rPr>
        <w:t> </w:t>
      </w:r>
      <w:r>
        <w:rPr>
          <w:color w:val="010101"/>
          <w:sz w:val="21"/>
        </w:rPr>
        <w:t>will</w:t>
      </w:r>
    </w:p>
    <w:p>
      <w:pPr>
        <w:pStyle w:val="BodyText"/>
        <w:spacing w:line="252" w:lineRule="exact"/>
        <w:ind w:left="111"/>
      </w:pPr>
      <w:r>
        <w:rPr>
          <w:color w:val="010101"/>
          <w:w w:val="105"/>
        </w:rPr>
        <w:t>die at the moment of attaining age </w:t>
      </w:r>
      <w:r>
        <w:rPr>
          <w:i/>
          <w:color w:val="010101"/>
          <w:w w:val="105"/>
          <w:sz w:val="21"/>
        </w:rPr>
        <w:t>x  </w:t>
      </w:r>
      <w:r>
        <w:rPr>
          <w:rFonts w:ascii="Arial"/>
          <w:color w:val="010101"/>
          <w:w w:val="105"/>
          <w:sz w:val="32"/>
        </w:rPr>
        <w:t>+ </w:t>
      </w:r>
      <w:r>
        <w:rPr>
          <w:i/>
          <w:color w:val="010101"/>
          <w:w w:val="105"/>
          <w:sz w:val="22"/>
        </w:rPr>
        <w:t>t, </w:t>
      </w:r>
      <w:r>
        <w:rPr>
          <w:color w:val="010101"/>
          <w:w w:val="105"/>
        </w:rPr>
        <w:t>and </w:t>
      </w:r>
      <w:r>
        <w:rPr>
          <w:i/>
          <w:color w:val="010101"/>
          <w:w w:val="105"/>
          <w:sz w:val="21"/>
        </w:rPr>
        <w:t>v'  </w:t>
      </w:r>
      <w:r>
        <w:rPr>
          <w:color w:val="010101"/>
          <w:w w:val="105"/>
        </w:rPr>
        <w:t>is the  discounted</w:t>
      </w:r>
    </w:p>
    <w:p>
      <w:pPr>
        <w:pStyle w:val="BodyText"/>
        <w:spacing w:line="223" w:lineRule="exact"/>
        <w:ind w:left="118"/>
      </w:pPr>
      <w:r>
        <w:rPr>
          <w:color w:val="010101"/>
          <w:w w:val="105"/>
        </w:rPr>
        <w:t>value of  the amount  of  1 then payable.</w:t>
      </w:r>
    </w:p>
    <w:p>
      <w:pPr>
        <w:pStyle w:val="BodyText"/>
        <w:spacing w:line="254" w:lineRule="auto" w:before="6"/>
        <w:ind w:left="115" w:right="122" w:firstLine="193"/>
      </w:pPr>
      <w:r>
        <w:rPr>
          <w:color w:val="010101"/>
          <w:w w:val="105"/>
        </w:rPr>
        <w:t>The integral in (3.13a) can </w:t>
      </w:r>
      <w:r>
        <w:rPr>
          <w:rFonts w:ascii="Arial"/>
          <w:color w:val="010101"/>
          <w:w w:val="105"/>
        </w:rPr>
        <w:t>be </w:t>
      </w:r>
      <w:r>
        <w:rPr>
          <w:color w:val="010101"/>
          <w:w w:val="105"/>
        </w:rPr>
        <w:t>evaluated by using the  technique of  integration  by parts:</w:t>
      </w:r>
    </w:p>
    <w:p>
      <w:pPr>
        <w:spacing w:line="548" w:lineRule="exact" w:before="0"/>
        <w:ind w:left="108" w:right="131" w:firstLine="0"/>
        <w:jc w:val="center"/>
        <w:rPr>
          <w:i/>
          <w:sz w:val="21"/>
        </w:rPr>
      </w:pPr>
      <w:r>
        <w:rPr>
          <w:rFonts w:ascii="Arial"/>
          <w:i/>
          <w:color w:val="010101"/>
          <w:sz w:val="51"/>
        </w:rPr>
        <w:t>f</w:t>
      </w:r>
      <w:r>
        <w:rPr>
          <w:rFonts w:ascii="Arial"/>
          <w:i/>
          <w:color w:val="010101"/>
          <w:spacing w:val="-111"/>
          <w:sz w:val="51"/>
        </w:rPr>
        <w:t> </w:t>
      </w:r>
      <w:r>
        <w:rPr>
          <w:i/>
          <w:color w:val="010101"/>
          <w:sz w:val="21"/>
        </w:rPr>
        <w:t>ydz </w:t>
      </w:r>
      <w:r>
        <w:rPr>
          <w:color w:val="010101"/>
          <w:sz w:val="23"/>
        </w:rPr>
        <w:t>= </w:t>
      </w:r>
      <w:r>
        <w:rPr>
          <w:i/>
          <w:color w:val="010101"/>
          <w:sz w:val="21"/>
        </w:rPr>
        <w:t>yz </w:t>
      </w:r>
      <w:r>
        <w:rPr>
          <w:color w:val="010101"/>
          <w:w w:val="235"/>
          <w:sz w:val="21"/>
        </w:rPr>
        <w:t>-</w:t>
      </w:r>
      <w:r>
        <w:rPr>
          <w:color w:val="010101"/>
          <w:spacing w:val="-83"/>
          <w:w w:val="235"/>
          <w:sz w:val="21"/>
        </w:rPr>
        <w:t> </w:t>
      </w:r>
      <w:r>
        <w:rPr>
          <w:rFonts w:ascii="Arial"/>
          <w:i/>
          <w:color w:val="010101"/>
          <w:sz w:val="51"/>
        </w:rPr>
        <w:t>f</w:t>
      </w:r>
      <w:r>
        <w:rPr>
          <w:rFonts w:ascii="Arial"/>
          <w:i/>
          <w:color w:val="010101"/>
          <w:spacing w:val="-112"/>
          <w:sz w:val="51"/>
        </w:rPr>
        <w:t> </w:t>
      </w:r>
      <w:r>
        <w:rPr>
          <w:i/>
          <w:color w:val="010101"/>
          <w:sz w:val="21"/>
        </w:rPr>
        <w:t>zd y.</w:t>
      </w:r>
    </w:p>
    <w:p>
      <w:pPr>
        <w:spacing w:line="209" w:lineRule="exact" w:before="163"/>
        <w:ind w:left="312" w:right="0" w:firstLine="0"/>
        <w:jc w:val="left"/>
        <w:rPr>
          <w:sz w:val="20"/>
        </w:rPr>
      </w:pPr>
      <w:r>
        <w:rPr>
          <w:color w:val="010101"/>
          <w:sz w:val="20"/>
        </w:rPr>
        <w:t>In  (3.13a),  we  take  </w:t>
      </w:r>
      <w:r>
        <w:rPr>
          <w:i/>
          <w:color w:val="010101"/>
          <w:sz w:val="21"/>
        </w:rPr>
        <w:t>v'  </w:t>
      </w:r>
      <w:r>
        <w:rPr>
          <w:color w:val="010101"/>
          <w:sz w:val="20"/>
        </w:rPr>
        <w:t>as  </w:t>
      </w:r>
      <w:r>
        <w:rPr>
          <w:rFonts w:ascii="Arial" w:hAnsi="Arial"/>
          <w:i/>
          <w:color w:val="010101"/>
          <w:sz w:val="18"/>
        </w:rPr>
        <w:t>y  </w:t>
      </w:r>
      <w:r>
        <w:rPr>
          <w:color w:val="010101"/>
          <w:sz w:val="20"/>
        </w:rPr>
        <w:t>and  </w:t>
      </w:r>
      <w:r>
        <w:rPr>
          <w:i/>
          <w:color w:val="010101"/>
          <w:sz w:val="18"/>
        </w:rPr>
        <w:t>lz+ ,µ.z+i </w:t>
      </w:r>
      <w:r>
        <w:rPr>
          <w:i/>
          <w:color w:val="010101"/>
          <w:sz w:val="19"/>
        </w:rPr>
        <w:t>dt  </w:t>
      </w:r>
      <w:r>
        <w:rPr>
          <w:color w:val="010101"/>
          <w:sz w:val="20"/>
        </w:rPr>
        <w:t>as  </w:t>
      </w:r>
      <w:r>
        <w:rPr>
          <w:i/>
          <w:color w:val="010101"/>
          <w:spacing w:val="5"/>
          <w:sz w:val="19"/>
        </w:rPr>
        <w:t>dz.  </w:t>
      </w:r>
      <w:r>
        <w:rPr>
          <w:color w:val="010101"/>
          <w:sz w:val="20"/>
        </w:rPr>
        <w:t>Then  </w:t>
      </w:r>
      <w:r>
        <w:rPr>
          <w:i/>
          <w:color w:val="010101"/>
          <w:spacing w:val="7"/>
          <w:sz w:val="19"/>
        </w:rPr>
        <w:t>dy  </w:t>
      </w:r>
      <w:r>
        <w:rPr>
          <w:i/>
          <w:color w:val="010101"/>
          <w:spacing w:val="58"/>
          <w:sz w:val="19"/>
        </w:rPr>
        <w:t> </w:t>
      </w:r>
      <w:r>
        <w:rPr>
          <w:color w:val="010101"/>
          <w:sz w:val="20"/>
        </w:rPr>
        <w:t>is</w:t>
      </w:r>
    </w:p>
    <w:p>
      <w:pPr>
        <w:spacing w:line="272" w:lineRule="exact" w:before="0"/>
        <w:ind w:left="111" w:right="0" w:firstLine="0"/>
        <w:jc w:val="left"/>
        <w:rPr>
          <w:sz w:val="20"/>
        </w:rPr>
      </w:pPr>
      <w:r>
        <w:rPr>
          <w:i/>
          <w:color w:val="010101"/>
          <w:w w:val="105"/>
          <w:sz w:val="20"/>
        </w:rPr>
        <w:t>v' </w:t>
      </w:r>
      <w:r>
        <w:rPr>
          <w:color w:val="010101"/>
          <w:w w:val="115"/>
          <w:sz w:val="20"/>
        </w:rPr>
        <w:t>log </w:t>
      </w:r>
      <w:r>
        <w:rPr>
          <w:i/>
          <w:color w:val="010101"/>
          <w:w w:val="105"/>
          <w:sz w:val="20"/>
        </w:rPr>
        <w:t>v </w:t>
      </w:r>
      <w:r>
        <w:rPr>
          <w:color w:val="010101"/>
          <w:w w:val="105"/>
          <w:sz w:val="28"/>
        </w:rPr>
        <w:t>= </w:t>
      </w:r>
      <w:r>
        <w:rPr>
          <w:i/>
          <w:color w:val="010101"/>
          <w:w w:val="180"/>
          <w:sz w:val="20"/>
        </w:rPr>
        <w:t>-v' </w:t>
      </w:r>
      <w:r>
        <w:rPr>
          <w:color w:val="010101"/>
          <w:w w:val="115"/>
          <w:sz w:val="20"/>
        </w:rPr>
        <w:t>and </w:t>
      </w:r>
      <w:r>
        <w:rPr>
          <w:i/>
          <w:color w:val="010101"/>
          <w:w w:val="105"/>
          <w:sz w:val="20"/>
        </w:rPr>
        <w:t>z </w:t>
      </w:r>
      <w:r>
        <w:rPr>
          <w:color w:val="010101"/>
          <w:w w:val="115"/>
          <w:sz w:val="20"/>
        </w:rPr>
        <w:t>is </w:t>
      </w:r>
      <w:r>
        <w:rPr>
          <w:i/>
          <w:color w:val="010101"/>
          <w:w w:val="115"/>
          <w:sz w:val="18"/>
        </w:rPr>
        <w:t>-lz+e .</w:t>
      </w:r>
      <w:r>
        <w:rPr>
          <w:color w:val="010101"/>
          <w:w w:val="115"/>
          <w:sz w:val="20"/>
        </w:rPr>
        <w:t>We thus find</w:t>
      </w:r>
    </w:p>
    <w:p>
      <w:pPr>
        <w:spacing w:line="558" w:lineRule="exact" w:before="0"/>
        <w:ind w:left="131" w:right="131" w:firstLine="0"/>
        <w:jc w:val="center"/>
        <w:rPr>
          <w:b/>
          <w:sz w:val="45"/>
        </w:rPr>
      </w:pPr>
      <w:r>
        <w:rPr>
          <w:rFonts w:ascii="Arial" w:hAnsi="Arial"/>
          <w:b/>
          <w:i/>
          <w:color w:val="010101"/>
          <w:w w:val="121"/>
          <w:sz w:val="19"/>
        </w:rPr>
        <w:t>Á,</w:t>
      </w:r>
      <w:r>
        <w:rPr>
          <w:rFonts w:ascii="Arial" w:hAnsi="Arial"/>
          <w:b/>
          <w:i/>
          <w:color w:val="010101"/>
          <w:sz w:val="19"/>
        </w:rPr>
        <w:t> </w:t>
      </w:r>
      <w:r>
        <w:rPr>
          <w:rFonts w:ascii="Arial" w:hAnsi="Arial"/>
          <w:b/>
          <w:i/>
          <w:color w:val="010101"/>
          <w:spacing w:val="-15"/>
          <w:sz w:val="19"/>
        </w:rPr>
        <w:t> </w:t>
      </w:r>
      <w:r>
        <w:rPr>
          <w:color w:val="010101"/>
          <w:w w:val="90"/>
          <w:sz w:val="28"/>
        </w:rPr>
        <w:t>=</w:t>
      </w:r>
      <w:r>
        <w:rPr>
          <w:color w:val="010101"/>
          <w:spacing w:val="16"/>
          <w:sz w:val="28"/>
        </w:rPr>
        <w:t> </w:t>
      </w:r>
      <w:r>
        <w:rPr>
          <w:i/>
          <w:color w:val="010101"/>
          <w:w w:val="83"/>
          <w:sz w:val="28"/>
        </w:rPr>
        <w:t>::</w:t>
      </w:r>
      <w:r>
        <w:rPr>
          <w:i/>
          <w:color w:val="010101"/>
          <w:spacing w:val="-40"/>
          <w:sz w:val="28"/>
        </w:rPr>
        <w:t> </w:t>
      </w:r>
      <w:r>
        <w:rPr>
          <w:color w:val="010101"/>
          <w:spacing w:val="-9"/>
          <w:w w:val="82"/>
          <w:sz w:val="50"/>
        </w:rPr>
        <w:t>(</w:t>
      </w:r>
      <w:r>
        <w:rPr>
          <w:color w:val="010101"/>
          <w:spacing w:val="-6"/>
          <w:w w:val="31"/>
          <w:sz w:val="50"/>
        </w:rPr>
        <w:t>1</w:t>
      </w:r>
      <w:r>
        <w:rPr>
          <w:color w:val="010101"/>
          <w:spacing w:val="44"/>
          <w:w w:val="110"/>
          <w:sz w:val="50"/>
        </w:rPr>
        <w:t>-</w:t>
      </w:r>
      <w:r>
        <w:rPr>
          <w:color w:val="010101"/>
          <w:w w:val="140"/>
          <w:sz w:val="22"/>
        </w:rPr>
        <w:t>•</w:t>
      </w:r>
      <w:r>
        <w:rPr>
          <w:color w:val="010101"/>
          <w:w w:val="140"/>
          <w:sz w:val="22"/>
        </w:rPr>
        <w:t>'</w:t>
      </w:r>
      <w:r>
        <w:rPr>
          <w:color w:val="010101"/>
          <w:spacing w:val="-12"/>
          <w:sz w:val="22"/>
        </w:rPr>
        <w:t> </w:t>
      </w:r>
      <w:r>
        <w:rPr>
          <w:color w:val="010101"/>
          <w:w w:val="80"/>
          <w:sz w:val="22"/>
        </w:rPr>
        <w:t>,_.,</w:t>
      </w:r>
      <w:r>
        <w:rPr>
          <w:color w:val="010101"/>
          <w:spacing w:val="-10"/>
          <w:w w:val="80"/>
          <w:sz w:val="22"/>
        </w:rPr>
        <w:t>]</w:t>
      </w:r>
      <w:r>
        <w:rPr>
          <w:color w:val="010101"/>
          <w:w w:val="138"/>
          <w:sz w:val="22"/>
        </w:rPr>
        <w:t>;'</w:t>
      </w:r>
      <w:r>
        <w:rPr>
          <w:color w:val="010101"/>
          <w:spacing w:val="6"/>
          <w:sz w:val="22"/>
        </w:rPr>
        <w:t> </w:t>
      </w:r>
      <w:r>
        <w:rPr>
          <w:color w:val="010101"/>
          <w:w w:val="255"/>
          <w:sz w:val="22"/>
        </w:rPr>
        <w:t>-</w:t>
      </w:r>
      <w:r>
        <w:rPr>
          <w:color w:val="010101"/>
          <w:spacing w:val="1"/>
          <w:sz w:val="22"/>
        </w:rPr>
        <w:t> </w:t>
      </w:r>
      <w:r>
        <w:rPr>
          <w:rFonts w:ascii="Arial" w:hAnsi="Arial"/>
          <w:b/>
          <w:i/>
          <w:color w:val="010101"/>
          <w:w w:val="53"/>
          <w:sz w:val="19"/>
        </w:rPr>
        <w:t>B</w:t>
      </w:r>
      <w:r>
        <w:rPr>
          <w:rFonts w:ascii="Arial" w:hAnsi="Arial"/>
          <w:b/>
          <w:i/>
          <w:color w:val="010101"/>
          <w:spacing w:val="9"/>
          <w:sz w:val="19"/>
        </w:rPr>
        <w:t> </w:t>
      </w:r>
      <w:r>
        <w:rPr>
          <w:rFonts w:ascii="Arial" w:hAnsi="Arial"/>
          <w:i/>
          <w:color w:val="010101"/>
          <w:w w:val="333"/>
          <w:sz w:val="19"/>
        </w:rPr>
        <w:t>{</w:t>
      </w:r>
      <w:r>
        <w:rPr>
          <w:rFonts w:ascii="Arial" w:hAnsi="Arial"/>
          <w:i/>
          <w:color w:val="010101"/>
          <w:sz w:val="19"/>
        </w:rPr>
        <w:t> </w:t>
      </w:r>
      <w:r>
        <w:rPr>
          <w:rFonts w:ascii="Arial" w:hAnsi="Arial"/>
          <w:i/>
          <w:color w:val="010101"/>
          <w:spacing w:val="-9"/>
          <w:sz w:val="19"/>
        </w:rPr>
        <w:t> </w:t>
      </w:r>
      <w:r>
        <w:rPr>
          <w:b/>
          <w:i/>
          <w:color w:val="010101"/>
          <w:spacing w:val="3"/>
          <w:w w:val="110"/>
          <w:sz w:val="25"/>
        </w:rPr>
        <w:t>•</w:t>
      </w:r>
      <w:r>
        <w:rPr>
          <w:b/>
          <w:i/>
          <w:color w:val="010101"/>
          <w:spacing w:val="-12"/>
          <w:w w:val="88"/>
          <w:sz w:val="25"/>
        </w:rPr>
        <w:t>'</w:t>
      </w:r>
      <w:r>
        <w:rPr>
          <w:b/>
          <w:i/>
          <w:color w:val="010101"/>
          <w:w w:val="60"/>
          <w:sz w:val="25"/>
        </w:rPr>
        <w:t>l..,_,</w:t>
      </w:r>
      <w:r>
        <w:rPr>
          <w:b/>
          <w:i/>
          <w:color w:val="010101"/>
          <w:spacing w:val="3"/>
          <w:sz w:val="25"/>
        </w:rPr>
        <w:t> </w:t>
      </w:r>
      <w:r>
        <w:rPr>
          <w:b/>
          <w:color w:val="010101"/>
          <w:w w:val="50"/>
          <w:sz w:val="45"/>
        </w:rPr>
        <w:t>dt)</w:t>
      </w:r>
      <w:r>
        <w:rPr>
          <w:b/>
          <w:color w:val="010101"/>
          <w:spacing w:val="-56"/>
          <w:sz w:val="45"/>
        </w:rPr>
        <w:t> </w:t>
      </w:r>
      <w:r>
        <w:rPr>
          <w:b/>
          <w:color w:val="010101"/>
          <w:w w:val="32"/>
          <w:sz w:val="45"/>
        </w:rPr>
        <w:t>,</w:t>
      </w:r>
    </w:p>
    <w:p>
      <w:pPr>
        <w:pStyle w:val="BodyText"/>
        <w:tabs>
          <w:tab w:pos="2335" w:val="left" w:leader="none"/>
        </w:tabs>
        <w:spacing w:before="175"/>
        <w:ind w:left="115"/>
        <w:rPr>
          <w:sz w:val="19"/>
        </w:rPr>
      </w:pPr>
      <w:r>
        <w:rPr>
          <w:color w:val="010101"/>
          <w:w w:val="105"/>
        </w:rPr>
        <w:t>which</w:t>
      </w:r>
      <w:r>
        <w:rPr>
          <w:color w:val="010101"/>
          <w:spacing w:val="10"/>
          <w:w w:val="105"/>
        </w:rPr>
        <w:t> </w:t>
      </w:r>
      <w:r>
        <w:rPr>
          <w:color w:val="010101"/>
          <w:w w:val="105"/>
        </w:rPr>
        <w:t>reduces</w:t>
      </w:r>
      <w:r>
        <w:rPr>
          <w:color w:val="010101"/>
          <w:spacing w:val="8"/>
          <w:w w:val="105"/>
        </w:rPr>
        <w:t> </w:t>
      </w:r>
      <w:r>
        <w:rPr>
          <w:color w:val="010101"/>
          <w:w w:val="105"/>
        </w:rPr>
        <w:t>to</w:t>
        <w:tab/>
      </w:r>
      <w:r>
        <w:rPr>
          <w:color w:val="010101"/>
          <w:position w:val="-3"/>
        </w:rPr>
        <w:drawing>
          <wp:inline distT="0" distB="0" distL="0" distR="0">
            <wp:extent cx="813815" cy="137160"/>
            <wp:effectExtent l="0" t="0" r="0" b="0"/>
            <wp:docPr id="159" name="image84.png" descr=""/>
            <wp:cNvGraphicFramePr>
              <a:graphicFrameLocks noChangeAspect="1"/>
            </wp:cNvGraphicFramePr>
            <a:graphic>
              <a:graphicData uri="http://schemas.openxmlformats.org/drawingml/2006/picture">
                <pic:pic>
                  <pic:nvPicPr>
                    <pic:cNvPr id="160" name="image84.png"/>
                    <pic:cNvPicPr/>
                  </pic:nvPicPr>
                  <pic:blipFill>
                    <a:blip r:embed="rId88" cstate="print"/>
                    <a:stretch>
                      <a:fillRect/>
                    </a:stretch>
                  </pic:blipFill>
                  <pic:spPr>
                    <a:xfrm>
                      <a:off x="0" y="0"/>
                      <a:ext cx="813815" cy="137160"/>
                    </a:xfrm>
                    <a:prstGeom prst="rect">
                      <a:avLst/>
                    </a:prstGeom>
                  </pic:spPr>
                </pic:pic>
              </a:graphicData>
            </a:graphic>
          </wp:inline>
        </w:drawing>
      </w:r>
      <w:r>
        <w:rPr>
          <w:color w:val="010101"/>
          <w:position w:val="-3"/>
        </w:rPr>
      </w:r>
      <w:r>
        <w:rPr>
          <w:color w:val="010101"/>
          <w:position w:val="1"/>
        </w:rPr>
        <w:t>                                  </w:t>
      </w:r>
      <w:r>
        <w:rPr>
          <w:color w:val="010101"/>
          <w:w w:val="105"/>
          <w:position w:val="1"/>
          <w:sz w:val="19"/>
        </w:rPr>
        <w:t>(3.14)</w:t>
      </w:r>
    </w:p>
    <w:p>
      <w:pPr>
        <w:spacing w:before="126"/>
        <w:ind w:left="111" w:right="0" w:firstLine="0"/>
        <w:jc w:val="left"/>
        <w:rPr>
          <w:sz w:val="20"/>
        </w:rPr>
      </w:pPr>
      <w:r>
        <w:rPr>
          <w:color w:val="010101"/>
          <w:w w:val="115"/>
          <w:sz w:val="20"/>
        </w:rPr>
        <w:t>The analogy with </w:t>
      </w:r>
      <w:r>
        <w:rPr>
          <w:i/>
          <w:color w:val="010101"/>
          <w:w w:val="115"/>
          <w:sz w:val="19"/>
        </w:rPr>
        <w:t>Az </w:t>
      </w:r>
      <w:r>
        <w:rPr>
          <w:rFonts w:ascii="Arial"/>
          <w:color w:val="010101"/>
          <w:sz w:val="17"/>
        </w:rPr>
        <w:t>== </w:t>
      </w:r>
      <w:r>
        <w:rPr>
          <w:color w:val="010101"/>
          <w:w w:val="115"/>
          <w:sz w:val="20"/>
        </w:rPr>
        <w:t>1 </w:t>
      </w:r>
      <w:r>
        <w:rPr>
          <w:color w:val="010101"/>
          <w:w w:val="255"/>
          <w:sz w:val="20"/>
        </w:rPr>
        <w:t>-</w:t>
      </w:r>
      <w:r>
        <w:rPr>
          <w:color w:val="010101"/>
          <w:spacing w:val="-101"/>
          <w:w w:val="255"/>
          <w:sz w:val="20"/>
        </w:rPr>
        <w:t> </w:t>
      </w:r>
      <w:r>
        <w:rPr>
          <w:i/>
          <w:color w:val="010101"/>
          <w:w w:val="115"/>
          <w:sz w:val="19"/>
        </w:rPr>
        <w:t>daz </w:t>
      </w:r>
      <w:r>
        <w:rPr>
          <w:color w:val="010101"/>
          <w:w w:val="115"/>
          <w:sz w:val="20"/>
        </w:rPr>
        <w:t>is clear.</w:t>
      </w:r>
    </w:p>
    <w:p>
      <w:pPr>
        <w:pStyle w:val="BodyText"/>
        <w:spacing w:line="254" w:lineRule="auto" w:before="3"/>
        <w:ind w:left="118" w:firstLine="190"/>
      </w:pPr>
      <w:r>
        <w:rPr>
          <w:color w:val="010101"/>
          <w:w w:val="110"/>
        </w:rPr>
        <w:t>The </w:t>
      </w:r>
      <w:r>
        <w:rPr>
          <w:color w:val="010101"/>
          <w:w w:val="103"/>
        </w:rPr>
        <w:t>corresponding </w:t>
      </w:r>
      <w:r>
        <w:rPr>
          <w:color w:val="010101"/>
          <w:w w:val="105"/>
        </w:rPr>
        <w:t>relations </w:t>
      </w:r>
      <w:r>
        <w:rPr>
          <w:color w:val="010101"/>
          <w:w w:val="101"/>
        </w:rPr>
        <w:t>for </w:t>
      </w:r>
      <w:r>
        <w:rPr>
          <w:color w:val="010101"/>
          <w:w w:val="111"/>
        </w:rPr>
        <w:t>the </w:t>
      </w:r>
      <w:r>
        <w:rPr>
          <w:color w:val="010101"/>
          <w:w w:val="97"/>
        </w:rPr>
        <w:t>n-year</w:t>
      </w:r>
      <w:r>
        <w:rPr>
          <w:color w:val="363636"/>
          <w:w w:val="97"/>
        </w:rPr>
        <w:t>. </w:t>
      </w:r>
      <w:r>
        <w:rPr>
          <w:color w:val="010101"/>
          <w:w w:val="108"/>
        </w:rPr>
        <w:t>term </w:t>
      </w:r>
      <w:r>
        <w:rPr>
          <w:color w:val="010101"/>
          <w:w w:val="105"/>
        </w:rPr>
        <w:t>insurance </w:t>
      </w:r>
      <w:r>
        <w:rPr>
          <w:color w:val="010101"/>
          <w:w w:val="104"/>
        </w:rPr>
        <w:t>pay­ </w:t>
      </w:r>
      <w:r>
        <w:rPr>
          <w:color w:val="010101"/>
          <w:w w:val="110"/>
        </w:rPr>
        <w:t>able at the moment oí death are</w:t>
      </w:r>
    </w:p>
    <w:p>
      <w:pPr>
        <w:spacing w:before="142"/>
        <w:ind w:left="1053" w:right="0" w:firstLine="0"/>
        <w:jc w:val="left"/>
        <w:rPr>
          <w:rFonts w:ascii="Arial"/>
          <w:sz w:val="19"/>
        </w:rPr>
      </w:pPr>
      <w:r>
        <w:rPr>
          <w:position w:val="-16"/>
        </w:rPr>
        <w:drawing>
          <wp:inline distT="0" distB="0" distL="0" distR="0">
            <wp:extent cx="2487167" cy="274320"/>
            <wp:effectExtent l="0" t="0" r="0" b="0"/>
            <wp:docPr id="161" name="image85.png" descr=""/>
            <wp:cNvGraphicFramePr>
              <a:graphicFrameLocks noChangeAspect="1"/>
            </wp:cNvGraphicFramePr>
            <a:graphic>
              <a:graphicData uri="http://schemas.openxmlformats.org/drawingml/2006/picture">
                <pic:pic>
                  <pic:nvPicPr>
                    <pic:cNvPr id="162" name="image85.png"/>
                    <pic:cNvPicPr/>
                  </pic:nvPicPr>
                  <pic:blipFill>
                    <a:blip r:embed="rId89" cstate="print"/>
                    <a:stretch>
                      <a:fillRect/>
                    </a:stretch>
                  </pic:blipFill>
                  <pic:spPr>
                    <a:xfrm>
                      <a:off x="0" y="0"/>
                      <a:ext cx="2487167" cy="274320"/>
                    </a:xfrm>
                    <a:prstGeom prst="rect">
                      <a:avLst/>
                    </a:prstGeom>
                  </pic:spPr>
                </pic:pic>
              </a:graphicData>
            </a:graphic>
          </wp:inline>
        </w:drawing>
      </w:r>
      <w:r>
        <w:rPr>
          <w:position w:val="-16"/>
        </w:rPr>
      </w:r>
      <w:r>
        <w:rPr>
          <w:sz w:val="20"/>
        </w:rPr>
        <w:t>      </w:t>
      </w:r>
      <w:r>
        <w:rPr>
          <w:rFonts w:ascii="Arial"/>
          <w:color w:val="010101"/>
          <w:w w:val="105"/>
          <w:sz w:val="19"/>
        </w:rPr>
        <w:t>(3.15)</w:t>
      </w:r>
    </w:p>
    <w:p>
      <w:pPr>
        <w:pStyle w:val="BodyText"/>
        <w:spacing w:before="131"/>
        <w:ind w:left="118"/>
      </w:pPr>
      <w:r>
        <w:rPr>
          <w:color w:val="010101"/>
          <w:w w:val="105"/>
        </w:rPr>
        <w:t>For  the n-year endowment,</w:t>
      </w:r>
    </w:p>
    <w:p>
      <w:pPr>
        <w:tabs>
          <w:tab w:pos="5351" w:val="left" w:leader="none"/>
        </w:tabs>
        <w:spacing w:before="43"/>
        <w:ind w:left="1482" w:right="0" w:firstLine="0"/>
        <w:jc w:val="left"/>
        <w:rPr>
          <w:sz w:val="19"/>
        </w:rPr>
      </w:pPr>
      <w:r>
        <w:rPr/>
        <w:pict>
          <v:shape style="position:absolute;margin-left:110.368896pt;margin-top:3.651269pt;width:82.2pt;height:9.5pt;mso-position-horizontal-relative:page;mso-position-vertical-relative:paragraph;z-index:-730048" type="#_x0000_t202" filled="false" stroked="false">
            <v:textbox inset="0,0,0,0">
              <w:txbxContent>
                <w:p>
                  <w:pPr>
                    <w:tabs>
                      <w:tab w:pos="753" w:val="left" w:leader="none"/>
                      <w:tab w:pos="1518" w:val="left" w:leader="none"/>
                    </w:tabs>
                    <w:spacing w:line="190" w:lineRule="exact" w:before="0"/>
                    <w:ind w:left="0" w:right="0" w:firstLine="0"/>
                    <w:jc w:val="left"/>
                    <w:rPr>
                      <w:i/>
                      <w:sz w:val="19"/>
                    </w:rPr>
                  </w:pPr>
                  <w:r>
                    <w:rPr>
                      <w:rFonts w:ascii="Arial"/>
                      <w:color w:val="010101"/>
                      <w:w w:val="215"/>
                      <w:sz w:val="11"/>
                    </w:rPr>
                    <w:t>-</w:t>
                    <w:tab/>
                  </w:r>
                  <w:r>
                    <w:rPr>
                      <w:rFonts w:ascii="Arial"/>
                      <w:color w:val="010101"/>
                      <w:w w:val="175"/>
                      <w:sz w:val="11"/>
                    </w:rPr>
                    <w:t>-1</w:t>
                    <w:tab/>
                  </w:r>
                  <w:r>
                    <w:rPr>
                      <w:i/>
                      <w:color w:val="010101"/>
                      <w:w w:val="105"/>
                      <w:sz w:val="19"/>
                    </w:rPr>
                    <w:t>E</w:t>
                  </w:r>
                </w:p>
              </w:txbxContent>
            </v:textbox>
            <w10:wrap type="none"/>
          </v:shape>
        </w:pict>
      </w:r>
      <w:r>
        <w:rPr>
          <w:b/>
          <w:color w:val="010101"/>
          <w:w w:val="115"/>
          <w:sz w:val="15"/>
        </w:rPr>
        <w:t>Áz:ñJ  </w:t>
      </w:r>
      <w:r>
        <w:rPr>
          <w:color w:val="010101"/>
          <w:sz w:val="28"/>
        </w:rPr>
        <w:t>= </w:t>
      </w:r>
      <w:r>
        <w:rPr>
          <w:i/>
          <w:color w:val="010101"/>
          <w:w w:val="115"/>
          <w:sz w:val="15"/>
        </w:rPr>
        <w:t>Á </w:t>
      </w:r>
      <w:r>
        <w:rPr>
          <w:i/>
          <w:color w:val="010101"/>
          <w:sz w:val="15"/>
        </w:rPr>
        <w:t>z: ñ)  </w:t>
      </w:r>
      <w:r>
        <w:rPr>
          <w:rFonts w:ascii="Arial" w:hAnsi="Arial"/>
          <w:color w:val="010101"/>
          <w:sz w:val="31"/>
        </w:rPr>
        <w:t>+ </w:t>
      </w:r>
      <w:r>
        <w:rPr>
          <w:i/>
          <w:color w:val="010101"/>
          <w:sz w:val="15"/>
        </w:rPr>
        <w:t>n    </w:t>
      </w:r>
      <w:r>
        <w:rPr>
          <w:color w:val="010101"/>
          <w:w w:val="115"/>
          <w:sz w:val="12"/>
        </w:rPr>
        <w:t>z  </w:t>
      </w:r>
      <w:r>
        <w:rPr>
          <w:color w:val="010101"/>
          <w:sz w:val="23"/>
        </w:rPr>
        <w:t>=  </w:t>
      </w:r>
      <w:r>
        <w:rPr>
          <w:color w:val="010101"/>
          <w:w w:val="115"/>
          <w:sz w:val="20"/>
        </w:rPr>
        <w:t>1 </w:t>
      </w:r>
      <w:r>
        <w:rPr>
          <w:color w:val="010101"/>
          <w:w w:val="245"/>
          <w:sz w:val="20"/>
        </w:rPr>
        <w:t>-</w:t>
      </w:r>
      <w:r>
        <w:rPr>
          <w:color w:val="010101"/>
          <w:spacing w:val="-95"/>
          <w:w w:val="245"/>
          <w:sz w:val="20"/>
        </w:rPr>
        <w:t> </w:t>
      </w:r>
      <w:r>
        <w:rPr>
          <w:color w:val="010101"/>
          <w:sz w:val="18"/>
        </w:rPr>
        <w:t>ód:r:ñJ</w:t>
      </w:r>
      <w:r>
        <w:rPr>
          <w:color w:val="010101"/>
          <w:spacing w:val="38"/>
          <w:sz w:val="18"/>
        </w:rPr>
        <w:t> </w:t>
      </w:r>
      <w:r>
        <w:rPr>
          <w:color w:val="010101"/>
          <w:sz w:val="18"/>
        </w:rPr>
        <w:t>,</w:t>
        <w:tab/>
      </w:r>
      <w:r>
        <w:rPr>
          <w:color w:val="010101"/>
          <w:position w:val="3"/>
          <w:sz w:val="19"/>
        </w:rPr>
        <w:t>(3.16)</w:t>
      </w:r>
    </w:p>
    <w:p>
      <w:pPr>
        <w:spacing w:after="0"/>
        <w:jc w:val="left"/>
        <w:rPr>
          <w:sz w:val="19"/>
        </w:rPr>
        <w:sectPr>
          <w:type w:val="continuous"/>
          <w:pgSz w:w="7200" w:h="11340"/>
          <w:pgMar w:top="1100" w:bottom="0" w:left="660" w:right="580"/>
        </w:sectPr>
      </w:pPr>
    </w:p>
    <w:p>
      <w:pPr>
        <w:tabs>
          <w:tab w:pos="2253" w:val="left" w:leader="none"/>
          <w:tab w:pos="5319" w:val="left" w:leader="none"/>
        </w:tabs>
        <w:spacing w:before="61"/>
        <w:ind w:left="100" w:right="0" w:firstLine="0"/>
        <w:jc w:val="both"/>
        <w:rPr>
          <w:b/>
          <w:sz w:val="19"/>
        </w:rPr>
      </w:pPr>
      <w:r>
        <w:rPr>
          <w:rFonts w:ascii="Courier New"/>
          <w:i/>
          <w:color w:val="010101"/>
          <w:spacing w:val="-13"/>
          <w:sz w:val="24"/>
        </w:rPr>
        <w:t>iO</w:t>
        <w:tab/>
      </w:r>
      <w:r>
        <w:rPr>
          <w:b/>
          <w:color w:val="010101"/>
          <w:sz w:val="15"/>
        </w:rPr>
        <w:t>LIFE  </w:t>
      </w:r>
      <w:r>
        <w:rPr>
          <w:b/>
          <w:color w:val="010101"/>
          <w:spacing w:val="10"/>
          <w:sz w:val="15"/>
        </w:rPr>
        <w:t> </w:t>
      </w:r>
      <w:r>
        <w:rPr>
          <w:b/>
          <w:color w:val="010101"/>
          <w:sz w:val="15"/>
        </w:rPr>
        <w:t>INSURANCE</w:t>
        <w:tab/>
      </w:r>
      <w:r>
        <w:rPr>
          <w:b/>
          <w:color w:val="010101"/>
          <w:sz w:val="17"/>
        </w:rPr>
        <w:t>[CH.</w:t>
      </w:r>
      <w:r>
        <w:rPr>
          <w:b/>
          <w:color w:val="010101"/>
          <w:spacing w:val="-10"/>
          <w:sz w:val="17"/>
        </w:rPr>
        <w:t> </w:t>
      </w:r>
      <w:r>
        <w:rPr>
          <w:b/>
          <w:color w:val="010101"/>
          <w:sz w:val="19"/>
        </w:rPr>
        <w:t>3</w:t>
      </w:r>
    </w:p>
    <w:p>
      <w:pPr>
        <w:pStyle w:val="BodyText"/>
        <w:spacing w:line="247" w:lineRule="auto" w:before="212"/>
        <w:ind w:left="107" w:right="112" w:firstLine="201"/>
        <w:jc w:val="both"/>
      </w:pPr>
      <w:r>
        <w:rPr/>
        <w:drawing>
          <wp:anchor distT="0" distB="0" distL="0" distR="0" allowOverlap="1" layoutInCell="1" locked="0" behindDoc="0" simplePos="0" relativeHeight="6040">
            <wp:simplePos x="0" y="0"/>
            <wp:positionH relativeFrom="page">
              <wp:posOffset>1691639</wp:posOffset>
            </wp:positionH>
            <wp:positionV relativeFrom="paragraph">
              <wp:posOffset>965109</wp:posOffset>
            </wp:positionV>
            <wp:extent cx="1252727" cy="292608"/>
            <wp:effectExtent l="0" t="0" r="0" b="0"/>
            <wp:wrapTopAndBottom/>
            <wp:docPr id="163" name="image86.png" descr=""/>
            <wp:cNvGraphicFramePr>
              <a:graphicFrameLocks noChangeAspect="1"/>
            </wp:cNvGraphicFramePr>
            <a:graphic>
              <a:graphicData uri="http://schemas.openxmlformats.org/drawingml/2006/picture">
                <pic:pic>
                  <pic:nvPicPr>
                    <pic:cNvPr id="164" name="image86.png"/>
                    <pic:cNvPicPr/>
                  </pic:nvPicPr>
                  <pic:blipFill>
                    <a:blip r:embed="rId90" cstate="print"/>
                    <a:stretch>
                      <a:fillRect/>
                    </a:stretch>
                  </pic:blipFill>
                  <pic:spPr>
                    <a:xfrm>
                      <a:off x="0" y="0"/>
                      <a:ext cx="1252727" cy="292608"/>
                    </a:xfrm>
                    <a:prstGeom prst="rect">
                      <a:avLst/>
                    </a:prstGeom>
                  </pic:spPr>
                </pic:pic>
              </a:graphicData>
            </a:graphic>
          </wp:anchor>
        </w:drawing>
      </w:r>
      <w:r>
        <w:rPr>
          <w:color w:val="010101"/>
        </w:rPr>
        <w:t>When a uniform dist.ribution of deaths is assumed, there is a particularly  simple  relationship   betwecn   </w:t>
      </w:r>
      <w:r>
        <w:rPr>
          <w:rFonts w:ascii="Arial"/>
          <w:color w:val="010101"/>
          <w:sz w:val="16"/>
        </w:rPr>
        <w:t>t </w:t>
      </w:r>
      <w:r>
        <w:rPr>
          <w:color w:val="010101"/>
        </w:rPr>
        <w:t>he   immrance   payable at the moment of death  and  the  insurancc  payable  at  the  end  of  the year of death. This may be seen most easily in the case of </w:t>
      </w:r>
      <w:r>
        <w:rPr>
          <w:rFonts w:ascii="Arial"/>
          <w:color w:val="010101"/>
          <w:sz w:val="17"/>
        </w:rPr>
        <w:t>a </w:t>
      </w:r>
      <w:r>
        <w:rPr>
          <w:color w:val="010101"/>
        </w:rPr>
        <w:t>one-year  term  insurance.  We </w:t>
      </w:r>
      <w:r>
        <w:rPr>
          <w:color w:val="010101"/>
          <w:spacing w:val="4"/>
        </w:rPr>
        <w:t> </w:t>
      </w:r>
      <w:r>
        <w:rPr>
          <w:color w:val="010101"/>
        </w:rPr>
        <w:t>have</w:t>
      </w:r>
    </w:p>
    <w:p>
      <w:pPr>
        <w:pStyle w:val="BodyText"/>
        <w:spacing w:line="244" w:lineRule="auto" w:before="104"/>
        <w:ind w:left="111" w:right="122" w:firstLine="3"/>
        <w:jc w:val="both"/>
      </w:pPr>
      <w:r>
        <w:rPr>
          <w:color w:val="010101"/>
        </w:rPr>
        <w:t>Making the assumption  of  a  uniform  distribution  of  deaths,  we note from (1.24b) that the expression  </w:t>
      </w:r>
      <w:r>
        <w:rPr>
          <w:i/>
          <w:color w:val="010101"/>
        </w:rPr>
        <w:t>,pzµz+ t  </w:t>
      </w:r>
      <w:r>
        <w:rPr>
          <w:color w:val="010101"/>
        </w:rPr>
        <w:t>in  this  integral  may </w:t>
      </w:r>
      <w:r>
        <w:rPr>
          <w:color w:val="010101"/>
          <w:sz w:val="19"/>
        </w:rPr>
        <w:t>be </w:t>
      </w:r>
      <w:r>
        <w:rPr>
          <w:color w:val="010101"/>
        </w:rPr>
        <w:t>replaced  by  </w:t>
      </w:r>
      <w:r>
        <w:rPr>
          <w:i/>
          <w:color w:val="010101"/>
          <w:sz w:val="21"/>
        </w:rPr>
        <w:t>qz </w:t>
      </w:r>
      <w:r>
        <w:rPr>
          <w:color w:val="010101"/>
          <w:w w:val="110"/>
          <w:sz w:val="21"/>
        </w:rPr>
        <w:t>. </w:t>
      </w:r>
      <w:r>
        <w:rPr>
          <w:color w:val="010101"/>
        </w:rPr>
        <w:t>Then</w:t>
      </w:r>
    </w:p>
    <w:p>
      <w:pPr>
        <w:spacing w:line="567" w:lineRule="exact" w:before="0"/>
        <w:ind w:left="1548" w:right="1568" w:firstLine="0"/>
        <w:jc w:val="center"/>
        <w:rPr>
          <w:rFonts w:ascii="Arial" w:hAnsi="Arial"/>
          <w:i/>
          <w:sz w:val="19"/>
        </w:rPr>
      </w:pPr>
      <w:r>
        <w:rPr>
          <w:rFonts w:ascii="Arial" w:hAnsi="Arial"/>
          <w:color w:val="010101"/>
          <w:spacing w:val="-6"/>
          <w:w w:val="140"/>
          <w:sz w:val="19"/>
        </w:rPr>
        <w:t>A:ÍI </w:t>
      </w:r>
      <w:r>
        <w:rPr>
          <w:color w:val="010101"/>
          <w:w w:val="95"/>
          <w:sz w:val="28"/>
        </w:rPr>
        <w:t>=: </w:t>
      </w:r>
      <w:r>
        <w:rPr>
          <w:i/>
          <w:color w:val="010101"/>
          <w:w w:val="140"/>
          <w:sz w:val="28"/>
        </w:rPr>
        <w:t>[ </w:t>
      </w:r>
      <w:r>
        <w:rPr>
          <w:i/>
          <w:color w:val="010101"/>
          <w:w w:val="105"/>
          <w:sz w:val="20"/>
        </w:rPr>
        <w:t>v' qz </w:t>
      </w:r>
      <w:r>
        <w:rPr>
          <w:rFonts w:ascii="Arial" w:hAnsi="Arial"/>
          <w:i/>
          <w:color w:val="010101"/>
          <w:w w:val="105"/>
          <w:sz w:val="19"/>
        </w:rPr>
        <w:t>dt  </w:t>
      </w:r>
      <w:r>
        <w:rPr>
          <w:rFonts w:ascii="Arial" w:hAnsi="Arial"/>
          <w:color w:val="010101"/>
          <w:w w:val="140"/>
          <w:sz w:val="17"/>
        </w:rPr>
        <w:t>= </w:t>
      </w:r>
      <w:r>
        <w:rPr>
          <w:i/>
          <w:color w:val="010101"/>
          <w:w w:val="105"/>
          <w:sz w:val="20"/>
        </w:rPr>
        <w:t>qz </w:t>
      </w:r>
      <w:r>
        <w:rPr>
          <w:rFonts w:ascii="Arial" w:hAnsi="Arial"/>
          <w:color w:val="010101"/>
          <w:w w:val="105"/>
          <w:sz w:val="59"/>
        </w:rPr>
        <w:t>f</w:t>
      </w:r>
      <w:r>
        <w:rPr>
          <w:rFonts w:ascii="Arial" w:hAnsi="Arial"/>
          <w:color w:val="010101"/>
          <w:spacing w:val="-149"/>
          <w:w w:val="105"/>
          <w:sz w:val="59"/>
        </w:rPr>
        <w:t> </w:t>
      </w:r>
      <w:r>
        <w:rPr>
          <w:i/>
          <w:color w:val="010101"/>
          <w:w w:val="105"/>
          <w:sz w:val="22"/>
        </w:rPr>
        <w:t>v' </w:t>
      </w:r>
      <w:r>
        <w:rPr>
          <w:rFonts w:ascii="Arial" w:hAnsi="Arial"/>
          <w:i/>
          <w:color w:val="010101"/>
          <w:w w:val="105"/>
          <w:sz w:val="19"/>
        </w:rPr>
        <w:t>dt.</w:t>
      </w:r>
    </w:p>
    <w:p>
      <w:pPr>
        <w:spacing w:after="0" w:line="567" w:lineRule="exact"/>
        <w:jc w:val="center"/>
        <w:rPr>
          <w:rFonts w:ascii="Arial" w:hAnsi="Arial"/>
          <w:sz w:val="19"/>
        </w:rPr>
        <w:sectPr>
          <w:pgSz w:w="7200" w:h="11340"/>
          <w:pgMar w:top="480" w:bottom="280" w:left="700" w:right="580"/>
        </w:sectPr>
      </w:pPr>
    </w:p>
    <w:p>
      <w:pPr>
        <w:pStyle w:val="BodyText"/>
        <w:spacing w:before="4"/>
        <w:rPr>
          <w:rFonts w:ascii="Arial"/>
          <w:i/>
          <w:sz w:val="11"/>
        </w:rPr>
      </w:pPr>
    </w:p>
    <w:p>
      <w:pPr>
        <w:spacing w:before="0"/>
        <w:ind w:left="0" w:right="34" w:firstLine="0"/>
        <w:jc w:val="right"/>
        <w:rPr>
          <w:sz w:val="12"/>
        </w:rPr>
      </w:pPr>
      <w:r>
        <w:rPr/>
        <w:pict>
          <v:shape style="position:absolute;margin-left:96.370888pt;margin-top:-6.526309pt;width:14.15pt;height:28.5pt;mso-position-horizontal-relative:page;mso-position-vertical-relative:paragraph;z-index:-730000" type="#_x0000_t202" filled="false" stroked="false">
            <v:textbox inset="0,0,0,0">
              <w:txbxContent>
                <w:p>
                  <w:pPr>
                    <w:spacing w:line="570" w:lineRule="exact" w:before="0"/>
                    <w:ind w:left="0" w:right="0" w:firstLine="0"/>
                    <w:jc w:val="left"/>
                    <w:rPr>
                      <w:rFonts w:ascii="Arial"/>
                      <w:sz w:val="57"/>
                    </w:rPr>
                  </w:pPr>
                  <w:r>
                    <w:rPr>
                      <w:rFonts w:ascii="Arial"/>
                      <w:color w:val="010101"/>
                      <w:w w:val="88"/>
                      <w:sz w:val="57"/>
                    </w:rPr>
                    <w:t>1</w:t>
                  </w:r>
                </w:p>
              </w:txbxContent>
            </v:textbox>
            <w10:wrap type="none"/>
          </v:shape>
        </w:pict>
      </w:r>
      <w:r>
        <w:rPr>
          <w:color w:val="010101"/>
          <w:w w:val="146"/>
          <w:sz w:val="12"/>
        </w:rPr>
        <w:t>1</w:t>
      </w:r>
    </w:p>
    <w:p>
      <w:pPr>
        <w:pStyle w:val="BodyText"/>
        <w:spacing w:line="26" w:lineRule="exact" w:before="6"/>
        <w:ind w:left="107"/>
      </w:pPr>
      <w:r>
        <w:rPr>
          <w:color w:val="010101"/>
          <w:w w:val="110"/>
        </w:rPr>
        <w:t>The integral</w:t>
      </w:r>
    </w:p>
    <w:p>
      <w:pPr>
        <w:pStyle w:val="BodyText"/>
        <w:spacing w:before="10"/>
        <w:rPr>
          <w:sz w:val="23"/>
        </w:rPr>
      </w:pPr>
      <w:r>
        <w:rPr/>
        <w:br w:type="column"/>
      </w:r>
      <w:r>
        <w:rPr>
          <w:sz w:val="23"/>
        </w:rPr>
      </w:r>
    </w:p>
    <w:p>
      <w:pPr>
        <w:pStyle w:val="BodyText"/>
        <w:spacing w:line="26" w:lineRule="exact"/>
        <w:ind w:left="107"/>
      </w:pPr>
      <w:r>
        <w:rPr>
          <w:i/>
          <w:color w:val="010101"/>
          <w:w w:val="105"/>
          <w:sz w:val="19"/>
        </w:rPr>
        <w:t>dt </w:t>
      </w:r>
      <w:r>
        <w:rPr>
          <w:color w:val="010101"/>
          <w:w w:val="105"/>
        </w:rPr>
        <w:t>will be recognized </w:t>
      </w:r>
      <w:r>
        <w:rPr>
          <w:rFonts w:ascii="Arial" w:hAnsi="Arial"/>
          <w:color w:val="010101"/>
          <w:w w:val="105"/>
          <w:sz w:val="17"/>
        </w:rPr>
        <w:t>as </w:t>
      </w:r>
      <w:r>
        <w:rPr>
          <w:color w:val="010101"/>
          <w:w w:val="105"/>
        </w:rPr>
        <w:t>the continuous  annuity­</w:t>
      </w:r>
    </w:p>
    <w:p>
      <w:pPr>
        <w:spacing w:after="0" w:line="26" w:lineRule="exact"/>
        <w:sectPr>
          <w:type w:val="continuous"/>
          <w:pgSz w:w="7200" w:h="11340"/>
          <w:pgMar w:top="1100" w:bottom="0" w:left="700" w:right="580"/>
          <w:cols w:num="2" w:equalWidth="0">
            <w:col w:w="1510" w:space="84"/>
            <w:col w:w="4326"/>
          </w:cols>
        </w:sectPr>
      </w:pPr>
    </w:p>
    <w:p>
      <w:pPr>
        <w:pStyle w:val="BodyText"/>
        <w:spacing w:before="3"/>
        <w:rPr>
          <w:sz w:val="29"/>
        </w:rPr>
      </w:pPr>
    </w:p>
    <w:p>
      <w:pPr>
        <w:pStyle w:val="BodyText"/>
        <w:spacing w:before="1"/>
        <w:ind w:left="107" w:right="-15"/>
      </w:pPr>
      <w:r>
        <w:rPr>
          <w:color w:val="010101"/>
          <w:w w:val="105"/>
        </w:rPr>
        <w:t>certain</w:t>
      </w:r>
    </w:p>
    <w:p>
      <w:pPr>
        <w:pStyle w:val="BodyText"/>
      </w:pPr>
    </w:p>
    <w:p>
      <w:pPr>
        <w:pStyle w:val="BodyText"/>
      </w:pPr>
    </w:p>
    <w:p>
      <w:pPr>
        <w:pStyle w:val="BodyText"/>
      </w:pPr>
    </w:p>
    <w:p>
      <w:pPr>
        <w:pStyle w:val="BodyText"/>
        <w:spacing w:before="162"/>
        <w:ind w:left="107" w:right="-15"/>
      </w:pPr>
      <w:r>
        <w:rPr>
          <w:color w:val="010101"/>
          <w:w w:val="105"/>
        </w:rPr>
        <w:t>Hence</w:t>
      </w:r>
    </w:p>
    <w:p>
      <w:pPr>
        <w:spacing w:line="204" w:lineRule="exact" w:before="0"/>
        <w:ind w:left="107" w:right="0" w:firstLine="0"/>
        <w:jc w:val="left"/>
        <w:rPr>
          <w:i/>
          <w:sz w:val="20"/>
        </w:rPr>
      </w:pPr>
      <w:r>
        <w:rPr/>
        <w:br w:type="column"/>
      </w:r>
      <w:r>
        <w:rPr>
          <w:i/>
          <w:color w:val="010101"/>
          <w:sz w:val="20"/>
        </w:rPr>
        <w:t>v'</w:t>
      </w:r>
    </w:p>
    <w:p>
      <w:pPr>
        <w:pStyle w:val="BodyText"/>
        <w:rPr>
          <w:i/>
        </w:rPr>
      </w:pPr>
    </w:p>
    <w:p>
      <w:pPr>
        <w:pStyle w:val="BodyText"/>
        <w:spacing w:before="1"/>
        <w:rPr>
          <w:i/>
          <w:sz w:val="23"/>
        </w:rPr>
      </w:pPr>
    </w:p>
    <w:p>
      <w:pPr>
        <w:tabs>
          <w:tab w:pos="2103" w:val="left" w:leader="none"/>
        </w:tabs>
        <w:spacing w:line="204" w:lineRule="exact" w:before="1"/>
        <w:ind w:left="1302" w:right="0" w:firstLine="0"/>
        <w:jc w:val="left"/>
        <w:rPr>
          <w:i/>
          <w:sz w:val="13"/>
        </w:rPr>
      </w:pPr>
      <w:r>
        <w:rPr>
          <w:color w:val="010101"/>
          <w:w w:val="105"/>
          <w:sz w:val="20"/>
        </w:rPr>
        <w:t>1</w:t>
      </w:r>
      <w:r>
        <w:rPr>
          <w:color w:val="010101"/>
          <w:spacing w:val="10"/>
          <w:w w:val="105"/>
          <w:sz w:val="20"/>
        </w:rPr>
        <w:t> </w:t>
      </w:r>
      <w:r>
        <w:rPr>
          <w:color w:val="010101"/>
          <w:w w:val="250"/>
          <w:sz w:val="20"/>
        </w:rPr>
        <w:t>-</w:t>
      </w:r>
      <w:r>
        <w:rPr>
          <w:color w:val="010101"/>
          <w:spacing w:val="-69"/>
          <w:w w:val="250"/>
          <w:sz w:val="20"/>
        </w:rPr>
        <w:t> </w:t>
      </w:r>
      <w:r>
        <w:rPr>
          <w:i/>
          <w:color w:val="010101"/>
          <w:w w:val="105"/>
          <w:sz w:val="13"/>
        </w:rPr>
        <w:t>V</w:t>
        <w:tab/>
        <w:t>ÍV</w:t>
      </w:r>
    </w:p>
    <w:p>
      <w:pPr>
        <w:tabs>
          <w:tab w:pos="1579" w:val="left" w:leader="none"/>
        </w:tabs>
        <w:spacing w:line="170" w:lineRule="exact" w:before="0"/>
        <w:ind w:left="0" w:right="1377" w:firstLine="0"/>
        <w:jc w:val="center"/>
        <w:rPr>
          <w:rFonts w:ascii="Arial" w:hAnsi="Arial"/>
          <w:sz w:val="17"/>
        </w:rPr>
      </w:pPr>
      <w:r>
        <w:rPr>
          <w:rFonts w:ascii="Arial" w:hAnsi="Arial"/>
          <w:color w:val="010101"/>
          <w:w w:val="113"/>
          <w:sz w:val="17"/>
        </w:rPr>
        <w:t>á</w:t>
      </w:r>
      <w:r>
        <w:rPr>
          <w:rFonts w:ascii="Arial" w:hAnsi="Arial"/>
          <w:color w:val="010101"/>
          <w:spacing w:val="-15"/>
          <w:w w:val="113"/>
          <w:sz w:val="17"/>
        </w:rPr>
        <w:t>T</w:t>
      </w:r>
      <w:r>
        <w:rPr>
          <w:rFonts w:ascii="Arial" w:hAnsi="Arial"/>
          <w:color w:val="010101"/>
          <w:w w:val="74"/>
          <w:sz w:val="17"/>
        </w:rPr>
        <w:t>¡</w:t>
      </w:r>
      <w:r>
        <w:rPr>
          <w:rFonts w:ascii="Arial" w:hAnsi="Arial"/>
          <w:color w:val="010101"/>
          <w:sz w:val="17"/>
        </w:rPr>
        <w:t> </w:t>
      </w:r>
      <w:r>
        <w:rPr>
          <w:rFonts w:ascii="Arial" w:hAnsi="Arial"/>
          <w:color w:val="010101"/>
          <w:spacing w:val="-8"/>
          <w:sz w:val="17"/>
        </w:rPr>
        <w:t> </w:t>
      </w:r>
      <w:r>
        <w:rPr>
          <w:rFonts w:ascii="Arial" w:hAnsi="Arial"/>
          <w:color w:val="010101"/>
          <w:spacing w:val="-10"/>
          <w:w w:val="154"/>
          <w:sz w:val="17"/>
        </w:rPr>
        <w:t>=</w:t>
      </w:r>
      <w:r>
        <w:rPr>
          <w:rFonts w:ascii="Arial" w:hAnsi="Arial"/>
          <w:color w:val="010101"/>
          <w:spacing w:val="-159"/>
          <w:w w:val="600"/>
          <w:sz w:val="17"/>
        </w:rPr>
        <w:t>-</w:t>
      </w:r>
      <w:r>
        <w:rPr>
          <w:rFonts w:ascii="Arial" w:hAnsi="Arial"/>
          <w:color w:val="010101"/>
          <w:w w:val="346"/>
          <w:sz w:val="17"/>
        </w:rPr>
        <w:t>-</w:t>
      </w:r>
      <w:r>
        <w:rPr>
          <w:rFonts w:ascii="Arial" w:hAnsi="Arial"/>
          <w:color w:val="010101"/>
          <w:sz w:val="17"/>
        </w:rPr>
        <w:t> </w:t>
      </w:r>
      <w:r>
        <w:rPr>
          <w:rFonts w:ascii="Arial" w:hAnsi="Arial"/>
          <w:color w:val="010101"/>
          <w:spacing w:val="-19"/>
          <w:sz w:val="17"/>
        </w:rPr>
        <w:t> </w:t>
      </w:r>
      <w:r>
        <w:rPr>
          <w:rFonts w:ascii="Arial" w:hAnsi="Arial"/>
          <w:color w:val="010101"/>
          <w:w w:val="154"/>
          <w:sz w:val="17"/>
        </w:rPr>
        <w:t>=</w:t>
      </w:r>
      <w:r>
        <w:rPr>
          <w:rFonts w:ascii="Arial" w:hAnsi="Arial"/>
          <w:color w:val="010101"/>
          <w:sz w:val="17"/>
        </w:rPr>
        <w:tab/>
      </w:r>
      <w:r>
        <w:rPr>
          <w:rFonts w:ascii="Arial" w:hAnsi="Arial"/>
          <w:color w:val="010101"/>
          <w:w w:val="208"/>
          <w:sz w:val="17"/>
        </w:rPr>
        <w:t>·</w:t>
      </w:r>
    </w:p>
    <w:p>
      <w:pPr>
        <w:pStyle w:val="BodyText"/>
        <w:rPr>
          <w:rFonts w:ascii="Arial"/>
        </w:rPr>
      </w:pPr>
    </w:p>
    <w:p>
      <w:pPr>
        <w:tabs>
          <w:tab w:pos="1040" w:val="left" w:leader="none"/>
          <w:tab w:pos="1948" w:val="left" w:leader="none"/>
          <w:tab w:pos="2246" w:val="left" w:leader="none"/>
        </w:tabs>
        <w:spacing w:line="169" w:lineRule="exact" w:before="0"/>
        <w:ind w:left="635" w:right="0" w:firstLine="0"/>
        <w:jc w:val="left"/>
        <w:rPr>
          <w:rFonts w:ascii="Arial" w:hAnsi="Arial"/>
          <w:b/>
          <w:sz w:val="12"/>
        </w:rPr>
      </w:pPr>
      <w:r>
        <w:rPr/>
        <w:pict>
          <v:shape style="position:absolute;margin-left:168.335007pt;margin-top:4.901804pt;width:4.850pt;height:14pt;mso-position-horizontal-relative:page;mso-position-vertical-relative:paragraph;z-index:-729976" type="#_x0000_t202" filled="false" stroked="false">
            <v:textbox inset="0,0,0,0">
              <w:txbxContent>
                <w:p>
                  <w:pPr>
                    <w:spacing w:line="280" w:lineRule="exact" w:before="0"/>
                    <w:ind w:left="0" w:right="0" w:firstLine="0"/>
                    <w:jc w:val="left"/>
                    <w:rPr>
                      <w:i/>
                      <w:sz w:val="28"/>
                    </w:rPr>
                  </w:pPr>
                  <w:r>
                    <w:rPr>
                      <w:i/>
                      <w:color w:val="010101"/>
                      <w:w w:val="124"/>
                      <w:sz w:val="28"/>
                    </w:rPr>
                    <w:t>i</w:t>
                  </w:r>
                </w:p>
              </w:txbxContent>
            </v:textbox>
            <w10:wrap type="none"/>
          </v:shape>
        </w:pict>
      </w:r>
      <w:r>
        <w:rPr>
          <w:rFonts w:ascii="Arial" w:hAnsi="Arial"/>
          <w:b/>
          <w:color w:val="010101"/>
          <w:w w:val="165"/>
          <w:sz w:val="12"/>
        </w:rPr>
        <w:t>-1</w:t>
        <w:tab/>
      </w:r>
      <w:r>
        <w:rPr>
          <w:rFonts w:ascii="Arial" w:hAnsi="Arial"/>
          <w:color w:val="010101"/>
          <w:w w:val="175"/>
          <w:sz w:val="12"/>
        </w:rPr>
        <w:t>, </w:t>
      </w:r>
      <w:r>
        <w:rPr>
          <w:rFonts w:ascii="Arial" w:hAnsi="Arial"/>
          <w:color w:val="010101"/>
          <w:spacing w:val="42"/>
          <w:w w:val="175"/>
          <w:sz w:val="12"/>
        </w:rPr>
        <w:t> </w:t>
      </w:r>
      <w:r>
        <w:rPr>
          <w:color w:val="010101"/>
          <w:w w:val="165"/>
          <w:sz w:val="16"/>
        </w:rPr>
        <w:t>Í</w:t>
        <w:tab/>
      </w:r>
      <w:r>
        <w:rPr>
          <w:color w:val="010101"/>
          <w:w w:val="165"/>
          <w:sz w:val="20"/>
        </w:rPr>
        <w:t>i</w:t>
        <w:tab/>
      </w:r>
      <w:r>
        <w:rPr>
          <w:rFonts w:ascii="Arial" w:hAnsi="Arial"/>
          <w:b/>
          <w:color w:val="010101"/>
          <w:w w:val="145"/>
          <w:sz w:val="12"/>
        </w:rPr>
        <w:t>1</w:t>
      </w:r>
    </w:p>
    <w:p>
      <w:pPr>
        <w:spacing w:line="320" w:lineRule="exact" w:before="0"/>
        <w:ind w:left="0" w:right="1363" w:firstLine="0"/>
        <w:jc w:val="center"/>
        <w:rPr>
          <w:sz w:val="21"/>
        </w:rPr>
      </w:pPr>
      <w:r>
        <w:rPr>
          <w:color w:val="010101"/>
          <w:sz w:val="21"/>
        </w:rPr>
        <w:t>A::il </w:t>
      </w:r>
      <w:r>
        <w:rPr>
          <w:rFonts w:ascii="Arial"/>
          <w:color w:val="010101"/>
          <w:sz w:val="17"/>
        </w:rPr>
        <w:t>=:   </w:t>
      </w:r>
      <w:r>
        <w:rPr>
          <w:i/>
          <w:color w:val="010101"/>
          <w:sz w:val="20"/>
        </w:rPr>
        <w:t>vqz </w:t>
      </w:r>
      <w:r>
        <w:rPr>
          <w:color w:val="010101"/>
          <w:sz w:val="23"/>
        </w:rPr>
        <w:t>= </w:t>
      </w:r>
      <w:r>
        <w:rPr>
          <w:i/>
          <w:color w:val="010101"/>
          <w:position w:val="-10"/>
          <w:sz w:val="26"/>
        </w:rPr>
        <w:t>5 </w:t>
      </w:r>
      <w:r>
        <w:rPr>
          <w:color w:val="010101"/>
          <w:w w:val="90"/>
          <w:sz w:val="21"/>
        </w:rPr>
        <w:t>Az</w:t>
      </w:r>
      <w:r>
        <w:rPr>
          <w:color w:val="242424"/>
          <w:w w:val="90"/>
          <w:sz w:val="21"/>
        </w:rPr>
        <w:t>:</w:t>
      </w:r>
      <w:r>
        <w:rPr>
          <w:color w:val="010101"/>
          <w:w w:val="90"/>
          <w:sz w:val="21"/>
        </w:rPr>
        <w:t>TI </w:t>
      </w:r>
      <w:r>
        <w:rPr>
          <w:color w:val="010101"/>
          <w:sz w:val="21"/>
        </w:rPr>
        <w:t>.</w:t>
      </w:r>
    </w:p>
    <w:p>
      <w:pPr>
        <w:spacing w:after="0" w:line="320" w:lineRule="exact"/>
        <w:jc w:val="center"/>
        <w:rPr>
          <w:sz w:val="21"/>
        </w:rPr>
        <w:sectPr>
          <w:type w:val="continuous"/>
          <w:pgSz w:w="7200" w:h="11340"/>
          <w:pgMar w:top="1100" w:bottom="0" w:left="700" w:right="580"/>
          <w:cols w:num="2" w:equalWidth="0">
            <w:col w:w="684" w:space="716"/>
            <w:col w:w="4520"/>
          </w:cols>
        </w:sectPr>
      </w:pPr>
    </w:p>
    <w:p>
      <w:pPr>
        <w:pStyle w:val="BodyText"/>
        <w:spacing w:line="112" w:lineRule="auto" w:before="199"/>
        <w:ind w:left="100" w:right="128" w:firstLine="7"/>
        <w:jc w:val="both"/>
      </w:pPr>
      <w:r>
        <w:rPr>
          <w:color w:val="010101"/>
          <w:w w:val="105"/>
        </w:rPr>
        <w:t>From a practica! standpoint, it is highly convenient that a  con­ stant  factor </w:t>
      </w:r>
      <w:r>
        <w:rPr>
          <w:rFonts w:ascii="Arial" w:hAnsi="Arial"/>
          <w:i/>
          <w:color w:val="010101"/>
          <w:w w:val="105"/>
          <w:sz w:val="47"/>
        </w:rPr>
        <w:t>i </w:t>
      </w:r>
      <w:r>
        <w:rPr>
          <w:color w:val="010101"/>
          <w:w w:val="105"/>
        </w:rPr>
        <w:t>may  be used  at all ages as the  approximate</w:t>
      </w:r>
      <w:r>
        <w:rPr>
          <w:color w:val="010101"/>
          <w:spacing w:val="11"/>
          <w:w w:val="105"/>
        </w:rPr>
        <w:t> </w:t>
      </w:r>
      <w:r>
        <w:rPr>
          <w:color w:val="010101"/>
          <w:w w:val="105"/>
        </w:rPr>
        <w:t>adjust­</w:t>
      </w:r>
    </w:p>
    <w:p>
      <w:pPr>
        <w:pStyle w:val="BodyText"/>
        <w:spacing w:line="254" w:lineRule="auto" w:before="126"/>
        <w:ind w:left="100" w:right="130" w:firstLine="10"/>
        <w:jc w:val="both"/>
      </w:pPr>
      <w:r>
        <w:rPr>
          <w:color w:val="010101"/>
          <w:w w:val="105"/>
        </w:rPr>
        <w:t>ment for changing the value of  an  insurance  payable  at the end  of the year of death to an insurance payable at the moment  of death.</w:t>
      </w:r>
    </w:p>
    <w:p>
      <w:pPr>
        <w:pStyle w:val="BodyText"/>
        <w:spacing w:line="247" w:lineRule="auto"/>
        <w:ind w:left="107" w:right="117" w:firstLine="193"/>
        <w:jc w:val="both"/>
      </w:pPr>
      <w:r>
        <w:rPr>
          <w:color w:val="010101"/>
          <w:w w:val="105"/>
        </w:rPr>
        <w:t>Another approximation  can  be  derived  by  general  reasoning. </w:t>
      </w:r>
      <w:r>
        <w:rPr>
          <w:color w:val="010101"/>
          <w:w w:val="105"/>
          <w:sz w:val="21"/>
        </w:rPr>
        <w:t>If , </w:t>
      </w:r>
      <w:r>
        <w:rPr>
          <w:color w:val="010101"/>
          <w:w w:val="105"/>
        </w:rPr>
        <w:t>instead of assuming that deaths are uniformly distributed throughout each year of age, we regard the total deaths as being concentrated at the middle oí the year of age, we find that the insurance payment is made a half-year earlier on the average when paid  at the  moment  of  death  than  when  paid  at  the  end  of the</w:t>
      </w:r>
    </w:p>
    <w:p>
      <w:pPr>
        <w:pStyle w:val="BodyText"/>
        <w:spacing w:line="129" w:lineRule="auto" w:before="90"/>
        <w:ind w:left="111" w:right="117" w:hanging="4"/>
        <w:jc w:val="both"/>
      </w:pPr>
      <w:r>
        <w:rPr>
          <w:color w:val="010101"/>
          <w:w w:val="105"/>
        </w:rPr>
        <w:t>year of death. In other words, an immediate payment of 1 is equivalent  on the average  to a payment  of  </w:t>
      </w:r>
      <w:r>
        <w:rPr>
          <w:color w:val="010101"/>
          <w:w w:val="105"/>
          <w:sz w:val="19"/>
        </w:rPr>
        <w:t>(1 </w:t>
      </w:r>
      <w:r>
        <w:rPr>
          <w:rFonts w:ascii="Arial"/>
          <w:color w:val="010101"/>
          <w:w w:val="105"/>
          <w:sz w:val="32"/>
        </w:rPr>
        <w:t>+ </w:t>
      </w:r>
      <w:r>
        <w:rPr>
          <w:color w:val="010101"/>
          <w:w w:val="105"/>
        </w:rPr>
        <w:t>i)l at the end  of</w:t>
      </w:r>
    </w:p>
    <w:p>
      <w:pPr>
        <w:pStyle w:val="BodyText"/>
        <w:spacing w:before="17"/>
        <w:ind w:left="111"/>
        <w:jc w:val="both"/>
      </w:pPr>
      <w:r>
        <w:rPr>
          <w:color w:val="010101"/>
          <w:w w:val="110"/>
        </w:rPr>
        <w:t>the year of death. It follows that</w:t>
      </w:r>
    </w:p>
    <w:p>
      <w:pPr>
        <w:spacing w:before="17"/>
        <w:ind w:left="1548" w:right="1488" w:firstLine="0"/>
        <w:jc w:val="center"/>
        <w:rPr>
          <w:sz w:val="19"/>
        </w:rPr>
      </w:pPr>
      <w:r>
        <w:rPr>
          <w:i/>
          <w:color w:val="010101"/>
          <w:w w:val="115"/>
          <w:sz w:val="22"/>
        </w:rPr>
        <w:t>A </w:t>
      </w:r>
      <w:r>
        <w:rPr>
          <w:i/>
          <w:color w:val="010101"/>
          <w:sz w:val="22"/>
        </w:rPr>
        <w:t>:il  </w:t>
      </w:r>
      <w:r>
        <w:rPr>
          <w:color w:val="010101"/>
          <w:sz w:val="28"/>
        </w:rPr>
        <w:t>=: </w:t>
      </w:r>
      <w:r>
        <w:rPr>
          <w:color w:val="010101"/>
          <w:w w:val="105"/>
          <w:sz w:val="19"/>
        </w:rPr>
        <w:t>(1 </w:t>
      </w:r>
      <w:r>
        <w:rPr>
          <w:rFonts w:ascii="Arial"/>
          <w:color w:val="010101"/>
          <w:w w:val="105"/>
          <w:sz w:val="33"/>
        </w:rPr>
        <w:t>+</w:t>
      </w:r>
      <w:r>
        <w:rPr>
          <w:rFonts w:ascii="Arial"/>
          <w:color w:val="010101"/>
          <w:spacing w:val="-67"/>
          <w:w w:val="105"/>
          <w:sz w:val="33"/>
        </w:rPr>
        <w:t> </w:t>
      </w:r>
      <w:r>
        <w:rPr>
          <w:color w:val="010101"/>
          <w:w w:val="105"/>
          <w:sz w:val="20"/>
        </w:rPr>
        <w:t>i)</w:t>
      </w:r>
      <w:r>
        <w:rPr>
          <w:color w:val="010101"/>
          <w:w w:val="105"/>
          <w:position w:val="8"/>
          <w:sz w:val="16"/>
        </w:rPr>
        <w:t>1</w:t>
      </w:r>
      <w:r>
        <w:rPr>
          <w:color w:val="010101"/>
          <w:w w:val="105"/>
          <w:sz w:val="19"/>
        </w:rPr>
        <w:t>A:il</w:t>
      </w:r>
    </w:p>
    <w:p>
      <w:pPr>
        <w:spacing w:after="0"/>
        <w:jc w:val="center"/>
        <w:rPr>
          <w:sz w:val="19"/>
        </w:rPr>
        <w:sectPr>
          <w:type w:val="continuous"/>
          <w:pgSz w:w="7200" w:h="11340"/>
          <w:pgMar w:top="1100" w:bottom="0" w:left="700" w:right="580"/>
        </w:sectPr>
      </w:pPr>
    </w:p>
    <w:p>
      <w:pPr>
        <w:tabs>
          <w:tab w:pos="1023" w:val="left" w:leader="none"/>
          <w:tab w:pos="5851" w:val="right" w:leader="none"/>
        </w:tabs>
        <w:spacing w:before="59"/>
        <w:ind w:left="134" w:right="0" w:firstLine="0"/>
        <w:jc w:val="left"/>
        <w:rPr>
          <w:rFonts w:ascii="Arial"/>
          <w:b/>
          <w:sz w:val="19"/>
        </w:rPr>
      </w:pPr>
      <w:r>
        <w:rPr>
          <w:b/>
          <w:color w:val="010101"/>
          <w:sz w:val="15"/>
        </w:rPr>
        <w:t>SEC.</w:t>
      </w:r>
      <w:r>
        <w:rPr>
          <w:b/>
          <w:color w:val="010101"/>
          <w:spacing w:val="31"/>
          <w:sz w:val="15"/>
        </w:rPr>
        <w:t> </w:t>
      </w:r>
      <w:r>
        <w:rPr>
          <w:rFonts w:ascii="Arial"/>
          <w:b/>
          <w:color w:val="010101"/>
          <w:sz w:val="19"/>
        </w:rPr>
        <w:t>4]</w:t>
        <w:tab/>
      </w:r>
      <w:r>
        <w:rPr>
          <w:b/>
          <w:color w:val="010101"/>
          <w:sz w:val="15"/>
        </w:rPr>
        <w:t>INSURA.NCES   PAYABLE   AT   MOMENT </w:t>
      </w:r>
      <w:r>
        <w:rPr>
          <w:b/>
          <w:color w:val="010101"/>
          <w:spacing w:val="2"/>
          <w:sz w:val="15"/>
        </w:rPr>
        <w:t> </w:t>
      </w:r>
      <w:r>
        <w:rPr>
          <w:b/>
          <w:color w:val="010101"/>
          <w:sz w:val="15"/>
        </w:rPr>
        <w:t>OF </w:t>
      </w:r>
      <w:r>
        <w:rPr>
          <w:b/>
          <w:color w:val="010101"/>
          <w:spacing w:val="23"/>
          <w:sz w:val="15"/>
        </w:rPr>
        <w:t> </w:t>
      </w:r>
      <w:r>
        <w:rPr>
          <w:b/>
          <w:color w:val="010101"/>
          <w:sz w:val="15"/>
        </w:rPr>
        <w:t>DEATH</w:t>
      </w:r>
      <w:r>
        <w:rPr>
          <w:rFonts w:ascii="Arial"/>
          <w:b/>
          <w:color w:val="010101"/>
          <w:sz w:val="19"/>
        </w:rPr>
        <w:tab/>
        <w:t>71</w:t>
      </w:r>
    </w:p>
    <w:p>
      <w:pPr>
        <w:pStyle w:val="BodyText"/>
        <w:spacing w:before="1"/>
        <w:rPr>
          <w:rFonts w:ascii="Arial"/>
          <w:b/>
          <w:sz w:val="22"/>
        </w:rPr>
      </w:pPr>
    </w:p>
    <w:p>
      <w:pPr>
        <w:pStyle w:val="BodyText"/>
        <w:spacing w:line="171" w:lineRule="exact" w:before="1"/>
        <w:ind w:left="127" w:right="739"/>
      </w:pPr>
      <w:r>
        <w:rPr>
          <w:color w:val="010101"/>
          <w:w w:val="105"/>
        </w:rPr>
        <w:t>or, introducing a furt.her  approximation,</w:t>
      </w:r>
    </w:p>
    <w:p>
      <w:pPr>
        <w:spacing w:line="608" w:lineRule="exact" w:before="0"/>
        <w:ind w:left="74" w:right="14" w:firstLine="0"/>
        <w:jc w:val="center"/>
        <w:rPr>
          <w:rFonts w:ascii="Arial" w:hAnsi="Arial"/>
          <w:b/>
          <w:i/>
          <w:sz w:val="24"/>
        </w:rPr>
      </w:pPr>
      <w:r>
        <w:rPr>
          <w:rFonts w:ascii="Arial" w:hAnsi="Arial"/>
          <w:color w:val="010101"/>
          <w:spacing w:val="-129"/>
          <w:w w:val="142"/>
          <w:sz w:val="24"/>
        </w:rPr>
        <w:t>J</w:t>
      </w:r>
      <w:r>
        <w:rPr>
          <w:rFonts w:ascii="Arial" w:hAnsi="Arial"/>
          <w:color w:val="010101"/>
          <w:spacing w:val="-195"/>
          <w:w w:val="279"/>
          <w:sz w:val="24"/>
        </w:rPr>
        <w:t>;</w:t>
      </w:r>
      <w:r>
        <w:rPr>
          <w:rFonts w:ascii="Arial" w:hAnsi="Arial"/>
          <w:color w:val="010101"/>
          <w:w w:val="97"/>
          <w:sz w:val="24"/>
        </w:rPr>
        <w:t>,</w:t>
      </w:r>
      <w:r>
        <w:rPr>
          <w:rFonts w:ascii="Arial" w:hAnsi="Arial"/>
          <w:color w:val="010101"/>
          <w:spacing w:val="-67"/>
          <w:w w:val="97"/>
          <w:sz w:val="24"/>
        </w:rPr>
        <w:t>1</w:t>
      </w:r>
      <w:r>
        <w:rPr>
          <w:rFonts w:ascii="Arial" w:hAnsi="Arial"/>
          <w:color w:val="010101"/>
          <w:w w:val="20"/>
          <w:sz w:val="24"/>
        </w:rPr>
        <w:t>1</w:t>
      </w:r>
      <w:r>
        <w:rPr>
          <w:rFonts w:ascii="Arial" w:hAnsi="Arial"/>
          <w:color w:val="010101"/>
          <w:spacing w:val="27"/>
          <w:sz w:val="24"/>
        </w:rPr>
        <w:t> </w:t>
      </w:r>
      <w:r>
        <w:rPr>
          <w:rFonts w:ascii="Arial" w:hAnsi="Arial"/>
          <w:color w:val="010101"/>
          <w:w w:val="102"/>
          <w:sz w:val="19"/>
        </w:rPr>
        <w:t>=,</w:t>
      </w:r>
      <w:r>
        <w:rPr>
          <w:rFonts w:ascii="Arial" w:hAnsi="Arial"/>
          <w:color w:val="010101"/>
          <w:spacing w:val="15"/>
          <w:sz w:val="19"/>
        </w:rPr>
        <w:t> </w:t>
      </w:r>
      <w:r>
        <w:rPr>
          <w:rFonts w:ascii="Arial" w:hAnsi="Arial"/>
          <w:b/>
          <w:color w:val="010101"/>
          <w:spacing w:val="-12"/>
          <w:w w:val="85"/>
          <w:sz w:val="49"/>
        </w:rPr>
        <w:t>(</w:t>
      </w:r>
      <w:r>
        <w:rPr>
          <w:rFonts w:ascii="Arial" w:hAnsi="Arial"/>
          <w:b/>
          <w:color w:val="010101"/>
          <w:w w:val="39"/>
          <w:sz w:val="49"/>
        </w:rPr>
        <w:t>1</w:t>
      </w:r>
      <w:r>
        <w:rPr>
          <w:rFonts w:ascii="Arial" w:hAnsi="Arial"/>
          <w:b/>
          <w:color w:val="010101"/>
          <w:spacing w:val="-81"/>
          <w:sz w:val="49"/>
        </w:rPr>
        <w:t> </w:t>
      </w:r>
      <w:r>
        <w:rPr>
          <w:rFonts w:ascii="Arial" w:hAnsi="Arial"/>
          <w:color w:val="010101"/>
          <w:w w:val="101"/>
          <w:sz w:val="32"/>
        </w:rPr>
        <w:t>+</w:t>
      </w:r>
      <w:r>
        <w:rPr>
          <w:rFonts w:ascii="Arial" w:hAnsi="Arial"/>
          <w:color w:val="010101"/>
          <w:spacing w:val="-50"/>
          <w:sz w:val="32"/>
        </w:rPr>
        <w:t> </w:t>
      </w:r>
      <w:r>
        <w:rPr>
          <w:rFonts w:ascii="Arial" w:hAnsi="Arial"/>
          <w:b/>
          <w:color w:val="010101"/>
          <w:spacing w:val="7"/>
          <w:w w:val="71"/>
          <w:sz w:val="62"/>
        </w:rPr>
        <w:t>ü</w:t>
      </w:r>
      <w:r>
        <w:rPr>
          <w:rFonts w:ascii="Arial" w:hAnsi="Arial"/>
          <w:b/>
          <w:i/>
          <w:color w:val="010101"/>
          <w:w w:val="113"/>
          <w:sz w:val="24"/>
        </w:rPr>
        <w:t>A;,</w:t>
      </w:r>
      <w:r>
        <w:rPr>
          <w:rFonts w:ascii="Arial" w:hAnsi="Arial"/>
          <w:b/>
          <w:i/>
          <w:color w:val="010101"/>
          <w:spacing w:val="13"/>
          <w:sz w:val="24"/>
        </w:rPr>
        <w:t> </w:t>
      </w:r>
      <w:r>
        <w:rPr>
          <w:rFonts w:ascii="Arial" w:hAnsi="Arial"/>
          <w:b/>
          <w:i/>
          <w:color w:val="010101"/>
          <w:w w:val="69"/>
          <w:sz w:val="24"/>
        </w:rPr>
        <w:t>.</w:t>
      </w:r>
    </w:p>
    <w:p>
      <w:pPr>
        <w:pStyle w:val="BodyText"/>
        <w:spacing w:line="621" w:lineRule="exact"/>
        <w:ind w:left="127"/>
      </w:pPr>
      <w:r>
        <w:rPr>
          <w:color w:val="010101"/>
          <w:w w:val="110"/>
        </w:rPr>
        <w:t>Thc</w:t>
      </w:r>
      <w:r>
        <w:rPr>
          <w:color w:val="010101"/>
          <w:spacing w:val="21"/>
        </w:rPr>
        <w:t> </w:t>
      </w:r>
      <w:r>
        <w:rPr>
          <w:color w:val="010101"/>
          <w:w w:val="102"/>
        </w:rPr>
        <w:t>values</w:t>
      </w:r>
      <w:r>
        <w:rPr>
          <w:color w:val="010101"/>
          <w:spacing w:val="23"/>
        </w:rPr>
        <w:t> </w:t>
      </w:r>
      <w:r>
        <w:rPr>
          <w:color w:val="010101"/>
          <w:w w:val="89"/>
        </w:rPr>
        <w:t>of</w:t>
      </w:r>
      <w:r>
        <w:rPr>
          <w:color w:val="010101"/>
        </w:rPr>
        <w:t> </w:t>
      </w:r>
      <w:r>
        <w:rPr>
          <w:color w:val="010101"/>
          <w:spacing w:val="-17"/>
        </w:rPr>
        <w:t> </w:t>
      </w:r>
      <w:r>
        <w:rPr>
          <w:color w:val="010101"/>
          <w:w w:val="114"/>
        </w:rPr>
        <w:t>the</w:t>
      </w:r>
      <w:r>
        <w:rPr>
          <w:color w:val="010101"/>
          <w:spacing w:val="20"/>
        </w:rPr>
        <w:t> </w:t>
      </w:r>
      <w:r>
        <w:rPr>
          <w:color w:val="010101"/>
          <w:w w:val="107"/>
        </w:rPr>
        <w:t>three</w:t>
      </w:r>
      <w:r>
        <w:rPr>
          <w:color w:val="010101"/>
          <w:spacing w:val="24"/>
        </w:rPr>
        <w:t> </w:t>
      </w:r>
      <w:r>
        <w:rPr>
          <w:color w:val="010101"/>
          <w:w w:val="106"/>
        </w:rPr>
        <w:t>factors</w:t>
      </w:r>
      <w:r>
        <w:rPr>
          <w:color w:val="010101"/>
        </w:rPr>
        <w:t>  </w:t>
      </w:r>
      <w:r>
        <w:rPr>
          <w:color w:val="010101"/>
          <w:spacing w:val="-4"/>
        </w:rPr>
        <w:t> </w:t>
      </w:r>
      <w:r>
        <w:rPr>
          <w:color w:val="010101"/>
          <w:w w:val="109"/>
        </w:rPr>
        <w:t>,</w:t>
      </w:r>
      <w:r>
        <w:rPr>
          <w:color w:val="010101"/>
        </w:rPr>
        <w:t> </w:t>
      </w:r>
      <w:r>
        <w:rPr>
          <w:color w:val="010101"/>
          <w:spacing w:val="-22"/>
        </w:rPr>
        <w:t> </w:t>
      </w:r>
      <w:r>
        <w:rPr>
          <w:color w:val="010101"/>
          <w:w w:val="127"/>
        </w:rPr>
        <w:t>(</w:t>
      </w:r>
      <w:r>
        <w:rPr>
          <w:color w:val="010101"/>
          <w:w w:val="127"/>
        </w:rPr>
        <w:t>l</w:t>
      </w:r>
      <w:r>
        <w:rPr>
          <w:color w:val="010101"/>
        </w:rPr>
        <w:t> </w:t>
      </w:r>
      <w:r>
        <w:rPr>
          <w:color w:val="010101"/>
          <w:spacing w:val="-16"/>
        </w:rPr>
        <w:t> </w:t>
      </w:r>
      <w:r>
        <w:rPr>
          <w:rFonts w:ascii="Arial"/>
          <w:color w:val="010101"/>
          <w:w w:val="55"/>
          <w:sz w:val="58"/>
        </w:rPr>
        <w:t>+</w:t>
      </w:r>
      <w:r>
        <w:rPr>
          <w:rFonts w:ascii="Arial"/>
          <w:color w:val="010101"/>
          <w:spacing w:val="-100"/>
          <w:sz w:val="58"/>
        </w:rPr>
        <w:t> </w:t>
      </w:r>
      <w:r>
        <w:rPr>
          <w:color w:val="010101"/>
          <w:w w:val="113"/>
        </w:rPr>
        <w:t>i</w:t>
      </w:r>
      <w:r>
        <w:rPr>
          <w:color w:val="010101"/>
          <w:w w:val="113"/>
        </w:rPr>
        <w:t>)</w:t>
      </w:r>
      <w:r>
        <w:rPr>
          <w:color w:val="010101"/>
          <w:spacing w:val="-25"/>
        </w:rPr>
        <w:t> </w:t>
      </w:r>
      <w:r>
        <w:rPr>
          <w:color w:val="010101"/>
          <w:w w:val="85"/>
        </w:rPr>
        <w:t>I,</w:t>
      </w:r>
      <w:r>
        <w:rPr>
          <w:color w:val="010101"/>
          <w:spacing w:val="21"/>
        </w:rPr>
        <w:t> </w:t>
      </w:r>
      <w:r>
        <w:rPr>
          <w:color w:val="010101"/>
          <w:w w:val="104"/>
        </w:rPr>
        <w:t>and</w:t>
      </w:r>
      <w:r>
        <w:rPr>
          <w:color w:val="010101"/>
        </w:rPr>
        <w:t> </w:t>
      </w:r>
      <w:r>
        <w:rPr>
          <w:color w:val="010101"/>
          <w:spacing w:val="2"/>
        </w:rPr>
        <w:t> </w:t>
      </w:r>
      <w:r>
        <w:rPr>
          <w:color w:val="010101"/>
          <w:w w:val="114"/>
        </w:rPr>
        <w:t>1</w:t>
      </w:r>
      <w:r>
        <w:rPr>
          <w:color w:val="010101"/>
          <w:spacing w:val="1"/>
        </w:rPr>
        <w:t> </w:t>
      </w:r>
      <w:r>
        <w:rPr>
          <w:rFonts w:ascii="Arial"/>
          <w:color w:val="010101"/>
          <w:w w:val="78"/>
          <w:sz w:val="58"/>
        </w:rPr>
        <w:t>+</w:t>
      </w:r>
      <w:r>
        <w:rPr>
          <w:rFonts w:ascii="Arial"/>
          <w:color w:val="010101"/>
          <w:spacing w:val="14"/>
          <w:w w:val="78"/>
          <w:sz w:val="58"/>
        </w:rPr>
        <w:t>;</w:t>
      </w:r>
      <w:r>
        <w:rPr>
          <w:color w:val="010101"/>
          <w:w w:val="101"/>
        </w:rPr>
        <w:t>differ</w:t>
      </w:r>
      <w:r>
        <w:rPr>
          <w:color w:val="010101"/>
        </w:rPr>
        <w:t> </w:t>
      </w:r>
      <w:r>
        <w:rPr>
          <w:color w:val="010101"/>
          <w:spacing w:val="-8"/>
        </w:rPr>
        <w:t> </w:t>
      </w:r>
      <w:r>
        <w:rPr>
          <w:color w:val="010101"/>
          <w:w w:val="106"/>
        </w:rPr>
        <w:t>very</w:t>
      </w:r>
    </w:p>
    <w:p>
      <w:pPr>
        <w:pStyle w:val="BodyText"/>
        <w:tabs>
          <w:tab w:pos="1884" w:val="left" w:leader="none"/>
        </w:tabs>
        <w:spacing w:line="292" w:lineRule="auto" w:before="33"/>
        <w:ind w:left="127" w:right="119"/>
        <w:rPr>
          <w:sz w:val="21"/>
        </w:rPr>
      </w:pPr>
      <w:r>
        <w:rPr/>
        <w:pict>
          <v:shape style="position:absolute;margin-left:115.695099pt;margin-top:8.096535pt;width:9.950pt;height:27pt;mso-position-horizontal-relative:page;mso-position-vertical-relative:paragraph;z-index:-729952" type="#_x0000_t202" filled="false" stroked="false">
            <v:textbox inset="0,0,0,0">
              <w:txbxContent>
                <w:p>
                  <w:pPr>
                    <w:spacing w:line="540" w:lineRule="exact" w:before="0"/>
                    <w:ind w:left="0" w:right="0" w:firstLine="0"/>
                    <w:jc w:val="left"/>
                    <w:rPr>
                      <w:rFonts w:ascii="Arial"/>
                      <w:sz w:val="54"/>
                    </w:rPr>
                  </w:pPr>
                  <w:r>
                    <w:rPr>
                      <w:rFonts w:ascii="Arial"/>
                      <w:color w:val="010101"/>
                      <w:w w:val="65"/>
                      <w:sz w:val="54"/>
                    </w:rPr>
                    <w:t>1</w:t>
                  </w:r>
                </w:p>
              </w:txbxContent>
            </v:textbox>
            <w10:wrap type="none"/>
          </v:shape>
        </w:pict>
      </w:r>
      <w:r>
        <w:rPr/>
        <w:pict>
          <v:shape style="position:absolute;margin-left:60.986549pt;margin-top:36.211014pt;width:4pt;height:7pt;mso-position-horizontal-relative:page;mso-position-vertical-relative:paragraph;z-index:-729928" type="#_x0000_t202" filled="false" stroked="false">
            <v:textbox inset="0,0,0,0">
              <w:txbxContent>
                <w:p>
                  <w:pPr>
                    <w:spacing w:line="140" w:lineRule="exact" w:before="0"/>
                    <w:ind w:left="0" w:right="0" w:firstLine="0"/>
                    <w:jc w:val="left"/>
                    <w:rPr>
                      <w:sz w:val="14"/>
                    </w:rPr>
                  </w:pPr>
                  <w:r>
                    <w:rPr>
                      <w:color w:val="010101"/>
                      <w:w w:val="203"/>
                      <w:sz w:val="14"/>
                    </w:rPr>
                    <w:t>i</w:t>
                  </w:r>
                </w:p>
              </w:txbxContent>
            </v:textbox>
            <w10:wrap type="none"/>
          </v:shape>
        </w:pict>
      </w:r>
      <w:r>
        <w:rPr>
          <w:color w:val="010101"/>
          <w:w w:val="105"/>
        </w:rPr>
        <w:t>little from one another at the usual </w:t>
      </w:r>
      <w:r>
        <w:rPr>
          <w:color w:val="010101"/>
          <w:w w:val="105"/>
          <w:sz w:val="21"/>
        </w:rPr>
        <w:t>rates </w:t>
      </w:r>
      <w:r>
        <w:rPr>
          <w:color w:val="010101"/>
          <w:w w:val="105"/>
        </w:rPr>
        <w:t>of int.erest. </w:t>
      </w:r>
      <w:r>
        <w:rPr>
          <w:color w:val="010101"/>
          <w:spacing w:val="-12"/>
          <w:w w:val="105"/>
        </w:rPr>
        <w:t>}i'or </w:t>
      </w:r>
      <w:r>
        <w:rPr>
          <w:color w:val="010101"/>
          <w:w w:val="105"/>
        </w:rPr>
        <w:t>example, when_  </w:t>
      </w:r>
      <w:r>
        <w:rPr>
          <w:color w:val="010101"/>
          <w:w w:val="110"/>
          <w:sz w:val="21"/>
        </w:rPr>
        <w:t>i</w:t>
      </w:r>
      <w:r>
        <w:rPr>
          <w:color w:val="010101"/>
          <w:spacing w:val="37"/>
          <w:w w:val="110"/>
          <w:sz w:val="21"/>
        </w:rPr>
        <w:t> </w:t>
      </w:r>
      <w:r>
        <w:rPr>
          <w:color w:val="010101"/>
          <w:w w:val="105"/>
        </w:rPr>
        <w:t>is </w:t>
      </w:r>
      <w:r>
        <w:rPr>
          <w:color w:val="010101"/>
          <w:spacing w:val="3"/>
          <w:w w:val="105"/>
        </w:rPr>
        <w:t> </w:t>
      </w:r>
      <w:r>
        <w:rPr>
          <w:color w:val="010101"/>
          <w:w w:val="105"/>
        </w:rPr>
        <w:t>3%,</w:t>
        <w:tab/>
      </w:r>
      <w:r>
        <w:rPr>
          <w:color w:val="010101"/>
          <w:w w:val="105"/>
          <w:sz w:val="24"/>
        </w:rPr>
        <w:t>=   </w:t>
      </w:r>
      <w:r>
        <w:rPr>
          <w:color w:val="010101"/>
          <w:spacing w:val="-3"/>
          <w:w w:val="105"/>
        </w:rPr>
        <w:t>1.0149261,   </w:t>
      </w:r>
      <w:r>
        <w:rPr>
          <w:color w:val="010101"/>
          <w:w w:val="105"/>
        </w:rPr>
        <w:t>(l  </w:t>
      </w:r>
      <w:r>
        <w:rPr>
          <w:color w:val="010101"/>
          <w:w w:val="105"/>
          <w:sz w:val="29"/>
        </w:rPr>
        <w:t>+  </w:t>
      </w:r>
      <w:r>
        <w:rPr>
          <w:color w:val="010101"/>
          <w:w w:val="110"/>
        </w:rPr>
        <w:t>i)l  </w:t>
      </w:r>
      <w:r>
        <w:rPr>
          <w:color w:val="010101"/>
          <w:w w:val="135"/>
          <w:sz w:val="13"/>
        </w:rPr>
        <w:t>.=    </w:t>
      </w:r>
      <w:r>
        <w:rPr>
          <w:color w:val="010101"/>
          <w:w w:val="105"/>
        </w:rPr>
        <w:t>l.0148892,</w:t>
      </w:r>
      <w:r>
        <w:rPr>
          <w:color w:val="010101"/>
          <w:spacing w:val="24"/>
          <w:w w:val="105"/>
        </w:rPr>
        <w:t> </w:t>
      </w:r>
      <w:r>
        <w:rPr>
          <w:color w:val="010101"/>
          <w:spacing w:val="-3"/>
          <w:w w:val="105"/>
          <w:sz w:val="21"/>
        </w:rPr>
        <w:t>a1Hl</w:t>
      </w:r>
    </w:p>
    <w:p>
      <w:pPr>
        <w:spacing w:line="404" w:lineRule="exact" w:before="0"/>
        <w:ind w:left="141" w:right="739" w:firstLine="0"/>
        <w:jc w:val="left"/>
        <w:rPr>
          <w:sz w:val="20"/>
        </w:rPr>
      </w:pPr>
      <w:r>
        <w:rPr>
          <w:color w:val="010101"/>
          <w:sz w:val="20"/>
        </w:rPr>
        <w:t>1 </w:t>
      </w:r>
      <w:r>
        <w:rPr>
          <w:rFonts w:ascii="Arial"/>
          <w:color w:val="010101"/>
          <w:sz w:val="32"/>
        </w:rPr>
        <w:t>+ </w:t>
      </w:r>
      <w:r>
        <w:rPr>
          <w:color w:val="010101"/>
          <w:position w:val="-11"/>
          <w:sz w:val="27"/>
        </w:rPr>
        <w:t>2 </w:t>
      </w:r>
      <w:r>
        <w:rPr>
          <w:color w:val="010101"/>
          <w:sz w:val="26"/>
        </w:rPr>
        <w:t>= </w:t>
      </w:r>
      <w:r>
        <w:rPr>
          <w:color w:val="010101"/>
          <w:sz w:val="20"/>
        </w:rPr>
        <w:t>1.015.</w:t>
      </w:r>
    </w:p>
    <w:p>
      <w:pPr>
        <w:pStyle w:val="BodyText"/>
        <w:spacing w:line="219" w:lineRule="exact"/>
        <w:ind w:left="190"/>
        <w:jc w:val="center"/>
      </w:pPr>
      <w:r>
        <w:rPr>
          <w:color w:val="010101"/>
          <w:w w:val="105"/>
        </w:rPr>
        <w:t>These  approximations  are  not   restricted  to  the  one-ycar term</w:t>
      </w:r>
    </w:p>
    <w:p>
      <w:pPr>
        <w:spacing w:after="0" w:line="219" w:lineRule="exact"/>
        <w:jc w:val="center"/>
        <w:sectPr>
          <w:pgSz w:w="7200" w:h="11340"/>
          <w:pgMar w:top="500" w:bottom="280" w:left="680" w:right="540"/>
        </w:sectPr>
      </w:pPr>
    </w:p>
    <w:p>
      <w:pPr>
        <w:tabs>
          <w:tab w:pos="1185" w:val="left" w:leader="none"/>
          <w:tab w:pos="1630" w:val="left" w:leader="none"/>
        </w:tabs>
        <w:spacing w:line="114" w:lineRule="exact" w:before="14"/>
        <w:ind w:left="134" w:right="0" w:firstLine="0"/>
        <w:jc w:val="left"/>
        <w:rPr>
          <w:rFonts w:ascii="Arial"/>
          <w:sz w:val="12"/>
        </w:rPr>
      </w:pPr>
      <w:r>
        <w:rPr>
          <w:rFonts w:ascii="Arial"/>
          <w:color w:val="010101"/>
          <w:w w:val="160"/>
          <w:sz w:val="21"/>
        </w:rPr>
        <w:t>.</w:t>
        <w:tab/>
        <w:t>.</w:t>
        <w:tab/>
      </w:r>
      <w:r>
        <w:rPr>
          <w:rFonts w:ascii="Arial"/>
          <w:color w:val="010101"/>
          <w:w w:val="160"/>
          <w:sz w:val="12"/>
        </w:rPr>
        <w:t>-1</w:t>
      </w:r>
    </w:p>
    <w:p>
      <w:pPr>
        <w:spacing w:line="123" w:lineRule="exact" w:before="0"/>
        <w:ind w:left="134" w:right="-14" w:firstLine="0"/>
        <w:jc w:val="left"/>
        <w:rPr>
          <w:b/>
          <w:sz w:val="12"/>
        </w:rPr>
      </w:pPr>
      <w:r>
        <w:rPr/>
        <w:br w:type="column"/>
      </w:r>
      <w:r>
        <w:rPr>
          <w:b/>
          <w:color w:val="010101"/>
          <w:w w:val="135"/>
          <w:sz w:val="12"/>
        </w:rPr>
        <w:t>,a-1</w:t>
      </w:r>
    </w:p>
    <w:p>
      <w:pPr>
        <w:tabs>
          <w:tab w:pos="451" w:val="left" w:leader="none"/>
          <w:tab w:pos="1591" w:val="left" w:leader="none"/>
          <w:tab w:pos="2434" w:val="left" w:leader="none"/>
          <w:tab w:pos="2944" w:val="right" w:leader="none"/>
        </w:tabs>
        <w:spacing w:line="47" w:lineRule="exact" w:before="81"/>
        <w:ind w:left="96" w:right="0" w:firstLine="0"/>
        <w:jc w:val="left"/>
        <w:rPr>
          <w:rFonts w:ascii="Arial"/>
          <w:sz w:val="12"/>
        </w:rPr>
      </w:pPr>
      <w:r>
        <w:rPr/>
        <w:br w:type="column"/>
      </w:r>
      <w:r>
        <w:rPr>
          <w:i/>
          <w:color w:val="010101"/>
          <w:w w:val="135"/>
          <w:sz w:val="12"/>
        </w:rPr>
        <w:t>t</w:t>
        <w:tab/>
      </w:r>
      <w:r>
        <w:rPr>
          <w:color w:val="010101"/>
          <w:w w:val="215"/>
          <w:sz w:val="12"/>
        </w:rPr>
        <w:t>-</w:t>
      </w:r>
      <w:r>
        <w:rPr>
          <w:color w:val="010101"/>
          <w:spacing w:val="17"/>
          <w:w w:val="215"/>
          <w:sz w:val="12"/>
        </w:rPr>
        <w:t> </w:t>
      </w:r>
      <w:r>
        <w:rPr>
          <w:rFonts w:ascii="Arial"/>
          <w:color w:val="010101"/>
          <w:w w:val="155"/>
          <w:sz w:val="12"/>
        </w:rPr>
        <w:t>1</w:t>
        <w:tab/>
      </w:r>
      <w:r>
        <w:rPr>
          <w:rFonts w:ascii="Arial"/>
          <w:color w:val="010101"/>
          <w:w w:val="200"/>
          <w:sz w:val="12"/>
        </w:rPr>
        <w:t>-</w:t>
      </w:r>
      <w:r>
        <w:rPr>
          <w:rFonts w:ascii="Arial"/>
          <w:color w:val="010101"/>
          <w:spacing w:val="25"/>
          <w:w w:val="200"/>
          <w:sz w:val="12"/>
        </w:rPr>
        <w:t> </w:t>
      </w:r>
      <w:r>
        <w:rPr>
          <w:rFonts w:ascii="Arial"/>
          <w:color w:val="010101"/>
          <w:w w:val="155"/>
          <w:sz w:val="12"/>
        </w:rPr>
        <w:t>1</w:t>
        <w:tab/>
      </w:r>
      <w:r>
        <w:rPr>
          <w:color w:val="010101"/>
          <w:w w:val="200"/>
          <w:sz w:val="14"/>
        </w:rPr>
        <w:t>i</w:t>
      </w:r>
      <w:r>
        <w:rPr>
          <w:rFonts w:ascii="Arial"/>
          <w:color w:val="010101"/>
          <w:w w:val="200"/>
          <w:sz w:val="12"/>
        </w:rPr>
        <w:tab/>
      </w:r>
      <w:r>
        <w:rPr>
          <w:rFonts w:ascii="Arial"/>
          <w:color w:val="010101"/>
          <w:w w:val="155"/>
          <w:sz w:val="12"/>
        </w:rPr>
        <w:t>1</w:t>
      </w:r>
    </w:p>
    <w:p>
      <w:pPr>
        <w:spacing w:after="0" w:line="47" w:lineRule="exact"/>
        <w:jc w:val="left"/>
        <w:rPr>
          <w:rFonts w:ascii="Arial"/>
          <w:sz w:val="12"/>
        </w:rPr>
        <w:sectPr>
          <w:type w:val="continuous"/>
          <w:pgSz w:w="7200" w:h="11340"/>
          <w:pgMar w:top="1100" w:bottom="0" w:left="680" w:right="540"/>
          <w:cols w:num="3" w:equalWidth="0">
            <w:col w:w="1818" w:space="331"/>
            <w:col w:w="397" w:space="40"/>
            <w:col w:w="3394"/>
          </w:cols>
        </w:sectPr>
      </w:pPr>
    </w:p>
    <w:p>
      <w:pPr>
        <w:tabs>
          <w:tab w:pos="5016" w:val="left" w:leader="none"/>
        </w:tabs>
        <w:spacing w:line="386" w:lineRule="exact" w:before="0"/>
        <w:ind w:left="127" w:right="0" w:firstLine="0"/>
        <w:jc w:val="left"/>
        <w:rPr>
          <w:sz w:val="18"/>
        </w:rPr>
      </w:pPr>
      <w:r>
        <w:rPr/>
        <w:pict>
          <v:shape style="position:absolute;margin-left:284.842987pt;margin-top:11.301843pt;width:3.4pt;height:7pt;mso-position-horizontal-relative:page;mso-position-vertical-relative:paragraph;z-index:-729904" type="#_x0000_t202" filled="false" stroked="false">
            <v:textbox inset="0,0,0,0">
              <w:txbxContent>
                <w:p>
                  <w:pPr>
                    <w:spacing w:line="140" w:lineRule="exact" w:before="0"/>
                    <w:ind w:left="0" w:right="0" w:firstLine="0"/>
                    <w:jc w:val="left"/>
                    <w:rPr>
                      <w:sz w:val="14"/>
                    </w:rPr>
                  </w:pPr>
                  <w:r>
                    <w:rPr>
                      <w:color w:val="010101"/>
                      <w:w w:val="96"/>
                      <w:sz w:val="14"/>
                    </w:rPr>
                    <w:t>u</w:t>
                  </w:r>
                </w:p>
              </w:txbxContent>
            </v:textbox>
            <w10:wrap type="none"/>
          </v:shape>
        </w:pict>
      </w:r>
      <w:r>
        <w:rPr>
          <w:color w:val="010101"/>
          <w:w w:val="104"/>
          <w:sz w:val="20"/>
        </w:rPr>
        <w:t>msurancc.</w:t>
      </w:r>
      <w:r>
        <w:rPr>
          <w:color w:val="010101"/>
          <w:sz w:val="20"/>
        </w:rPr>
        <w:t> </w:t>
      </w:r>
      <w:r>
        <w:rPr>
          <w:color w:val="010101"/>
          <w:spacing w:val="-21"/>
          <w:sz w:val="20"/>
        </w:rPr>
        <w:t> </w:t>
      </w:r>
      <w:r>
        <w:rPr>
          <w:rFonts w:ascii="Arial" w:hAnsi="Arial"/>
          <w:color w:val="010101"/>
          <w:spacing w:val="-11"/>
          <w:w w:val="106"/>
          <w:position w:val="1"/>
          <w:sz w:val="21"/>
        </w:rPr>
        <w:t>8</w:t>
      </w:r>
      <w:r>
        <w:rPr>
          <w:color w:val="010101"/>
          <w:w w:val="101"/>
          <w:sz w:val="20"/>
        </w:rPr>
        <w:t>mce</w:t>
      </w:r>
      <w:r>
        <w:rPr>
          <w:color w:val="010101"/>
          <w:spacing w:val="-9"/>
          <w:sz w:val="20"/>
        </w:rPr>
        <w:t> </w:t>
      </w:r>
      <w:r>
        <w:rPr>
          <w:color w:val="010101"/>
          <w:w w:val="76"/>
          <w:sz w:val="20"/>
        </w:rPr>
        <w:t>A%:ñl</w:t>
      </w:r>
      <w:r>
        <w:rPr>
          <w:color w:val="010101"/>
          <w:sz w:val="20"/>
        </w:rPr>
        <w:t> </w:t>
      </w:r>
      <w:r>
        <w:rPr>
          <w:color w:val="010101"/>
          <w:spacing w:val="-4"/>
          <w:sz w:val="20"/>
        </w:rPr>
        <w:t> </w:t>
      </w:r>
      <w:r>
        <w:rPr>
          <w:color w:val="010101"/>
          <w:w w:val="91"/>
          <w:sz w:val="26"/>
        </w:rPr>
        <w:t>=</w:t>
      </w:r>
      <w:r>
        <w:rPr>
          <w:color w:val="010101"/>
          <w:spacing w:val="22"/>
          <w:sz w:val="26"/>
        </w:rPr>
        <w:t> </w:t>
      </w:r>
      <w:r>
        <w:rPr>
          <w:rFonts w:ascii="Courier New" w:hAnsi="Courier New"/>
          <w:color w:val="010101"/>
          <w:spacing w:val="-52"/>
          <w:w w:val="71"/>
          <w:position w:val="-12"/>
          <w:sz w:val="26"/>
        </w:rPr>
        <w:t>,</w:t>
      </w:r>
      <w:r>
        <w:rPr>
          <w:rFonts w:ascii="Courier New" w:hAnsi="Courier New"/>
          <w:color w:val="010101"/>
          <w:spacing w:val="-31"/>
          <w:w w:val="83"/>
          <w:position w:val="-12"/>
          <w:sz w:val="26"/>
        </w:rPr>
        <w:t>-</w:t>
      </w:r>
      <w:r>
        <w:rPr>
          <w:rFonts w:ascii="Courier New" w:hAnsi="Courier New"/>
          <w:color w:val="010101"/>
          <w:w w:val="42"/>
          <w:position w:val="-12"/>
          <w:sz w:val="26"/>
        </w:rPr>
        <w:t>o</w:t>
      </w:r>
      <w:r>
        <w:rPr>
          <w:rFonts w:ascii="Courier New" w:hAnsi="Courier New"/>
          <w:color w:val="010101"/>
          <w:spacing w:val="-73"/>
          <w:position w:val="-12"/>
          <w:sz w:val="26"/>
        </w:rPr>
        <w:t> </w:t>
      </w:r>
      <w:r>
        <w:rPr>
          <w:rFonts w:ascii="Arial" w:hAnsi="Arial"/>
          <w:i/>
          <w:color w:val="010101"/>
          <w:w w:val="77"/>
          <w:sz w:val="18"/>
        </w:rPr>
        <w:t>v</w:t>
      </w:r>
      <w:r>
        <w:rPr>
          <w:rFonts w:ascii="Arial" w:hAnsi="Arial"/>
          <w:i/>
          <w:color w:val="010101"/>
          <w:sz w:val="18"/>
        </w:rPr>
        <w:t> </w:t>
      </w:r>
      <w:r>
        <w:rPr>
          <w:rFonts w:ascii="Arial" w:hAnsi="Arial"/>
          <w:i/>
          <w:color w:val="010101"/>
          <w:spacing w:val="-5"/>
          <w:sz w:val="18"/>
        </w:rPr>
        <w:t> </w:t>
      </w:r>
      <w:r>
        <w:rPr>
          <w:color w:val="010101"/>
          <w:w w:val="243"/>
          <w:sz w:val="20"/>
        </w:rPr>
        <w:t>,</w:t>
      </w:r>
      <w:r>
        <w:rPr>
          <w:color w:val="010101"/>
          <w:spacing w:val="1"/>
          <w:w w:val="243"/>
          <w:sz w:val="20"/>
        </w:rPr>
        <w:t>p</w:t>
      </w:r>
      <w:r>
        <w:rPr>
          <w:color w:val="010101"/>
          <w:w w:val="75"/>
          <w:sz w:val="20"/>
        </w:rPr>
        <w:t>%+t:</w:t>
      </w:r>
      <w:r>
        <w:rPr>
          <w:color w:val="010101"/>
          <w:w w:val="75"/>
          <w:sz w:val="20"/>
          <w:u w:val="single" w:color="000000"/>
        </w:rPr>
        <w:t>il</w:t>
      </w:r>
      <w:r>
        <w:rPr>
          <w:color w:val="010101"/>
          <w:spacing w:val="25"/>
          <w:sz w:val="20"/>
        </w:rPr>
        <w:t> </w:t>
      </w:r>
      <w:r>
        <w:rPr>
          <w:color w:val="010101"/>
          <w:w w:val="121"/>
          <w:sz w:val="20"/>
        </w:rPr>
        <w:t>,</w:t>
      </w:r>
      <w:r>
        <w:rPr>
          <w:color w:val="010101"/>
          <w:sz w:val="20"/>
        </w:rPr>
        <w:t> </w:t>
      </w:r>
      <w:r>
        <w:rPr>
          <w:color w:val="010101"/>
          <w:spacing w:val="-14"/>
          <w:sz w:val="20"/>
        </w:rPr>
        <w:t> </w:t>
      </w:r>
      <w:r>
        <w:rPr>
          <w:color w:val="010101"/>
          <w:w w:val="106"/>
          <w:sz w:val="20"/>
        </w:rPr>
        <w:t>and</w:t>
      </w:r>
      <w:r>
        <w:rPr>
          <w:color w:val="010101"/>
          <w:sz w:val="20"/>
        </w:rPr>
        <w:t> </w:t>
      </w:r>
      <w:r>
        <w:rPr>
          <w:color w:val="010101"/>
          <w:spacing w:val="-25"/>
          <w:sz w:val="20"/>
        </w:rPr>
        <w:t> </w:t>
      </w:r>
      <w:r>
        <w:rPr>
          <w:color w:val="010101"/>
          <w:w w:val="86"/>
          <w:sz w:val="20"/>
        </w:rPr>
        <w:t>A</w:t>
      </w:r>
      <w:r>
        <w:rPr>
          <w:color w:val="010101"/>
          <w:spacing w:val="-18"/>
          <w:sz w:val="20"/>
        </w:rPr>
        <w:t> </w:t>
      </w:r>
      <w:r>
        <w:rPr>
          <w:color w:val="010101"/>
          <w:spacing w:val="-4"/>
          <w:w w:val="76"/>
          <w:sz w:val="20"/>
        </w:rPr>
        <w:t>z</w:t>
      </w:r>
      <w:r>
        <w:rPr>
          <w:color w:val="1F1F1F"/>
          <w:spacing w:val="-25"/>
          <w:w w:val="63"/>
          <w:sz w:val="20"/>
        </w:rPr>
        <w:t>:</w:t>
      </w:r>
      <w:r>
        <w:rPr>
          <w:color w:val="010101"/>
          <w:spacing w:val="-32"/>
          <w:w w:val="98"/>
          <w:sz w:val="20"/>
        </w:rPr>
        <w:t>.</w:t>
      </w:r>
      <w:r>
        <w:rPr>
          <w:color w:val="010101"/>
          <w:w w:val="101"/>
          <w:sz w:val="20"/>
        </w:rPr>
        <w:t>ft:il</w:t>
      </w:r>
      <w:r>
        <w:rPr>
          <w:color w:val="010101"/>
          <w:sz w:val="20"/>
        </w:rPr>
        <w:tab/>
      </w:r>
      <w:r>
        <w:rPr>
          <w:color w:val="010101"/>
          <w:w w:val="176"/>
          <w:sz w:val="17"/>
        </w:rPr>
        <w:t>i</w:t>
      </w:r>
      <w:r>
        <w:rPr>
          <w:color w:val="010101"/>
          <w:sz w:val="17"/>
        </w:rPr>
        <w:t> </w:t>
      </w:r>
      <w:r>
        <w:rPr>
          <w:color w:val="010101"/>
          <w:spacing w:val="-15"/>
          <w:sz w:val="17"/>
        </w:rPr>
        <w:t> </w:t>
      </w:r>
      <w:r>
        <w:rPr>
          <w:i/>
          <w:color w:val="010101"/>
          <w:w w:val="92"/>
          <w:sz w:val="21"/>
        </w:rPr>
        <w:t>A</w:t>
      </w:r>
      <w:r>
        <w:rPr>
          <w:i/>
          <w:color w:val="010101"/>
          <w:spacing w:val="4"/>
          <w:sz w:val="21"/>
        </w:rPr>
        <w:t> </w:t>
      </w:r>
      <w:r>
        <w:rPr>
          <w:color w:val="010101"/>
          <w:w w:val="105"/>
          <w:sz w:val="18"/>
        </w:rPr>
        <w:t>s+1</w:t>
      </w:r>
      <w:r>
        <w:rPr>
          <w:color w:val="010101"/>
          <w:w w:val="105"/>
          <w:sz w:val="18"/>
          <w:u w:val="single" w:color="000000"/>
        </w:rPr>
        <w:t>:</w:t>
      </w:r>
      <w:r>
        <w:rPr>
          <w:color w:val="010101"/>
          <w:spacing w:val="-14"/>
          <w:w w:val="105"/>
          <w:sz w:val="18"/>
          <w:u w:val="single" w:color="000000"/>
        </w:rPr>
        <w:t>i</w:t>
      </w:r>
      <w:r>
        <w:rPr>
          <w:color w:val="010101"/>
          <w:w w:val="36"/>
          <w:sz w:val="18"/>
        </w:rPr>
        <w:t>1</w:t>
      </w:r>
      <w:r>
        <w:rPr>
          <w:color w:val="010101"/>
          <w:spacing w:val="19"/>
          <w:sz w:val="18"/>
        </w:rPr>
        <w:t> </w:t>
      </w:r>
      <w:r>
        <w:rPr>
          <w:color w:val="010101"/>
          <w:w w:val="121"/>
          <w:sz w:val="18"/>
        </w:rPr>
        <w:t>,</w:t>
      </w:r>
    </w:p>
    <w:p>
      <w:pPr>
        <w:spacing w:after="0" w:line="386" w:lineRule="exact"/>
        <w:jc w:val="left"/>
        <w:rPr>
          <w:sz w:val="18"/>
        </w:rPr>
        <w:sectPr>
          <w:type w:val="continuous"/>
          <w:pgSz w:w="7200" w:h="11340"/>
          <w:pgMar w:top="1100" w:bottom="0" w:left="680" w:right="540"/>
        </w:sectPr>
      </w:pPr>
    </w:p>
    <w:p>
      <w:pPr>
        <w:pStyle w:val="BodyText"/>
        <w:spacing w:line="214" w:lineRule="exact"/>
        <w:ind w:left="130" w:right="-17"/>
      </w:pPr>
      <w:r>
        <w:rPr>
          <w:color w:val="010101"/>
          <w:w w:val="110"/>
          <w:sz w:val="21"/>
        </w:rPr>
        <w:t>it </w:t>
      </w:r>
      <w:r>
        <w:rPr>
          <w:color w:val="010101"/>
          <w:w w:val="110"/>
        </w:rPr>
        <w:t>follows</w:t>
      </w:r>
      <w:r>
        <w:rPr>
          <w:color w:val="010101"/>
          <w:spacing w:val="-17"/>
          <w:w w:val="110"/>
        </w:rPr>
        <w:t> </w:t>
      </w:r>
      <w:r>
        <w:rPr>
          <w:color w:val="010101"/>
          <w:w w:val="110"/>
        </w:rPr>
        <w:t>that</w:t>
      </w:r>
    </w:p>
    <w:p>
      <w:pPr>
        <w:tabs>
          <w:tab w:pos="636" w:val="left" w:leader="none"/>
          <w:tab w:pos="1171" w:val="left" w:leader="none"/>
        </w:tabs>
        <w:spacing w:line="193" w:lineRule="exact" w:before="341"/>
        <w:ind w:left="195" w:right="0" w:firstLine="0"/>
        <w:jc w:val="left"/>
        <w:rPr>
          <w:sz w:val="12"/>
        </w:rPr>
      </w:pPr>
      <w:r>
        <w:rPr/>
        <w:br w:type="column"/>
      </w:r>
      <w:r>
        <w:rPr>
          <w:rFonts w:ascii="Arial" w:hAnsi="Arial"/>
          <w:b/>
          <w:color w:val="010101"/>
          <w:w w:val="160"/>
          <w:sz w:val="12"/>
        </w:rPr>
        <w:t>-1</w:t>
        <w:tab/>
      </w:r>
      <w:r>
        <w:rPr>
          <w:rFonts w:ascii="Arial" w:hAnsi="Arial"/>
          <w:color w:val="010101"/>
          <w:w w:val="140"/>
          <w:sz w:val="12"/>
        </w:rPr>
        <w:t>•  </w:t>
      </w:r>
      <w:r>
        <w:rPr>
          <w:rFonts w:ascii="Arial" w:hAnsi="Arial"/>
          <w:color w:val="010101"/>
          <w:spacing w:val="39"/>
          <w:w w:val="140"/>
          <w:sz w:val="12"/>
        </w:rPr>
        <w:t> </w:t>
      </w:r>
      <w:r>
        <w:rPr>
          <w:i/>
          <w:color w:val="010101"/>
          <w:w w:val="160"/>
          <w:sz w:val="22"/>
        </w:rPr>
        <w:t>i</w:t>
        <w:tab/>
      </w:r>
      <w:r>
        <w:rPr>
          <w:color w:val="010101"/>
          <w:w w:val="160"/>
          <w:sz w:val="12"/>
        </w:rPr>
        <w:t>1</w:t>
      </w:r>
    </w:p>
    <w:p>
      <w:pPr>
        <w:tabs>
          <w:tab w:pos="1006" w:val="left" w:leader="none"/>
        </w:tabs>
        <w:spacing w:line="193" w:lineRule="exact" w:before="0"/>
        <w:ind w:left="130" w:right="0" w:firstLine="0"/>
        <w:jc w:val="left"/>
        <w:rPr>
          <w:rFonts w:ascii="Arial" w:hAnsi="Arial"/>
          <w:sz w:val="19"/>
        </w:rPr>
      </w:pPr>
      <w:r>
        <w:rPr/>
        <w:pict>
          <v:shape style="position:absolute;margin-left:183.677094pt;margin-top:-3.188837pt;width:4.6pt;height:13pt;mso-position-horizontal-relative:page;mso-position-vertical-relative:paragraph;z-index:-729880" type="#_x0000_t202" filled="false" stroked="false">
            <v:textbox inset="0,0,0,0">
              <w:txbxContent>
                <w:p>
                  <w:pPr>
                    <w:spacing w:line="260" w:lineRule="exact" w:before="0"/>
                    <w:ind w:left="0" w:right="0" w:firstLine="0"/>
                    <w:jc w:val="left"/>
                    <w:rPr>
                      <w:sz w:val="26"/>
                    </w:rPr>
                  </w:pPr>
                  <w:r>
                    <w:rPr>
                      <w:color w:val="010101"/>
                      <w:w w:val="126"/>
                      <w:sz w:val="26"/>
                    </w:rPr>
                    <w:t>i</w:t>
                  </w:r>
                </w:p>
              </w:txbxContent>
            </v:textbox>
            <w10:wrap type="none"/>
          </v:shape>
        </w:pict>
      </w:r>
      <w:r>
        <w:rPr>
          <w:i/>
          <w:color w:val="010101"/>
          <w:w w:val="66"/>
          <w:sz w:val="20"/>
        </w:rPr>
        <w:t>A%:</w:t>
      </w:r>
      <w:r>
        <w:rPr>
          <w:i/>
          <w:color w:val="010101"/>
          <w:spacing w:val="-5"/>
          <w:sz w:val="20"/>
        </w:rPr>
        <w:t> </w:t>
      </w:r>
      <w:r>
        <w:rPr>
          <w:i/>
          <w:color w:val="010101"/>
          <w:w w:val="73"/>
          <w:sz w:val="20"/>
        </w:rPr>
        <w:t>;-,</w:t>
      </w:r>
      <w:r>
        <w:rPr>
          <w:i/>
          <w:color w:val="010101"/>
          <w:sz w:val="20"/>
        </w:rPr>
        <w:t> </w:t>
      </w:r>
      <w:r>
        <w:rPr>
          <w:i/>
          <w:color w:val="010101"/>
          <w:spacing w:val="-14"/>
          <w:sz w:val="20"/>
        </w:rPr>
        <w:t> </w:t>
      </w:r>
      <w:r>
        <w:rPr>
          <w:color w:val="010101"/>
          <w:w w:val="124"/>
          <w:sz w:val="14"/>
        </w:rPr>
        <w:t>=¡</w:t>
      </w:r>
      <w:r>
        <w:rPr>
          <w:color w:val="010101"/>
          <w:sz w:val="14"/>
        </w:rPr>
        <w:tab/>
      </w:r>
      <w:r>
        <w:rPr>
          <w:color w:val="010101"/>
          <w:w w:val="71"/>
          <w:sz w:val="22"/>
        </w:rPr>
        <w:t>A</w:t>
      </w:r>
      <w:r>
        <w:rPr>
          <w:color w:val="010101"/>
          <w:spacing w:val="-23"/>
          <w:sz w:val="22"/>
        </w:rPr>
        <w:t> </w:t>
      </w:r>
      <w:r>
        <w:rPr>
          <w:color w:val="010101"/>
          <w:spacing w:val="12"/>
          <w:w w:val="35"/>
          <w:sz w:val="22"/>
        </w:rPr>
        <w:t>%</w:t>
      </w:r>
      <w:r>
        <w:rPr>
          <w:color w:val="1F1F1F"/>
          <w:spacing w:val="10"/>
          <w:w w:val="87"/>
          <w:sz w:val="22"/>
        </w:rPr>
        <w:t>:</w:t>
      </w:r>
      <w:r>
        <w:rPr>
          <w:rFonts w:ascii="Arial" w:hAnsi="Arial"/>
          <w:color w:val="010101"/>
          <w:w w:val="91"/>
          <w:sz w:val="19"/>
        </w:rPr>
        <w:t>ñl</w:t>
      </w:r>
      <w:r>
        <w:rPr>
          <w:rFonts w:ascii="Arial" w:hAnsi="Arial"/>
          <w:color w:val="010101"/>
          <w:spacing w:val="8"/>
          <w:sz w:val="19"/>
        </w:rPr>
        <w:t> </w:t>
      </w:r>
      <w:r>
        <w:rPr>
          <w:rFonts w:ascii="Arial" w:hAnsi="Arial"/>
          <w:color w:val="010101"/>
          <w:w w:val="167"/>
          <w:sz w:val="19"/>
        </w:rPr>
        <w:t>.</w:t>
      </w:r>
    </w:p>
    <w:p>
      <w:pPr>
        <w:spacing w:before="477"/>
        <w:ind w:left="130" w:right="-19" w:firstLine="0"/>
        <w:jc w:val="left"/>
        <w:rPr>
          <w:sz w:val="19"/>
        </w:rPr>
      </w:pPr>
      <w:r>
        <w:rPr/>
        <w:br w:type="column"/>
      </w:r>
      <w:r>
        <w:rPr>
          <w:color w:val="010101"/>
          <w:w w:val="110"/>
          <w:sz w:val="19"/>
        </w:rPr>
        <w:t>(3.17)</w:t>
      </w:r>
    </w:p>
    <w:p>
      <w:pPr>
        <w:spacing w:after="0"/>
        <w:jc w:val="left"/>
        <w:rPr>
          <w:sz w:val="19"/>
        </w:rPr>
        <w:sectPr>
          <w:type w:val="continuous"/>
          <w:pgSz w:w="7200" w:h="11340"/>
          <w:pgMar w:top="1100" w:bottom="0" w:left="680" w:right="540"/>
          <w:cols w:num="3" w:equalWidth="0">
            <w:col w:w="1347" w:space="781"/>
            <w:col w:w="1583" w:space="1531"/>
            <w:col w:w="738"/>
          </w:cols>
        </w:sectPr>
      </w:pPr>
    </w:p>
    <w:p>
      <w:pPr>
        <w:pStyle w:val="BodyText"/>
        <w:spacing w:before="2"/>
        <w:rPr>
          <w:sz w:val="18"/>
        </w:rPr>
      </w:pPr>
    </w:p>
    <w:p>
      <w:pPr>
        <w:pStyle w:val="BodyText"/>
        <w:ind w:left="127"/>
      </w:pPr>
      <w:r>
        <w:rPr>
          <w:color w:val="010101"/>
          <w:sz w:val="21"/>
        </w:rPr>
        <w:t>An  </w:t>
      </w:r>
      <w:r>
        <w:rPr>
          <w:color w:val="010101"/>
        </w:rPr>
        <w:t>important  special  case is</w:t>
      </w:r>
    </w:p>
    <w:p>
      <w:pPr>
        <w:tabs>
          <w:tab w:pos="473" w:val="left" w:leader="none"/>
        </w:tabs>
        <w:spacing w:line="195" w:lineRule="exact" w:before="140"/>
        <w:ind w:left="0" w:right="326" w:firstLine="0"/>
        <w:jc w:val="right"/>
        <w:rPr>
          <w:rFonts w:ascii="Courier New"/>
          <w:i/>
          <w:sz w:val="23"/>
        </w:rPr>
      </w:pPr>
      <w:r>
        <w:rPr>
          <w:rFonts w:ascii="Courier New"/>
          <w:color w:val="010101"/>
          <w:w w:val="80"/>
          <w:sz w:val="23"/>
        </w:rPr>
        <w:t>-</w:t>
        <w:tab/>
      </w:r>
      <w:r>
        <w:rPr>
          <w:rFonts w:ascii="Courier New"/>
          <w:i/>
          <w:color w:val="010101"/>
          <w:spacing w:val="-1"/>
          <w:w w:val="65"/>
          <w:sz w:val="23"/>
        </w:rPr>
        <w:t>i</w:t>
      </w:r>
    </w:p>
    <w:p>
      <w:pPr>
        <w:tabs>
          <w:tab w:pos="523" w:val="left" w:leader="none"/>
        </w:tabs>
        <w:spacing w:line="175" w:lineRule="exact" w:before="0"/>
        <w:ind w:left="0" w:right="0" w:firstLine="0"/>
        <w:jc w:val="right"/>
        <w:rPr>
          <w:b/>
          <w:i/>
          <w:sz w:val="21"/>
        </w:rPr>
      </w:pPr>
      <w:r>
        <w:rPr>
          <w:b/>
          <w:color w:val="010101"/>
          <w:w w:val="105"/>
          <w:sz w:val="21"/>
        </w:rPr>
        <w:t>As</w:t>
        <w:tab/>
      </w:r>
      <w:r>
        <w:rPr>
          <w:b/>
          <w:i/>
          <w:color w:val="010101"/>
          <w:w w:val="115"/>
          <w:sz w:val="21"/>
        </w:rPr>
        <w:t>i </w:t>
      </w:r>
      <w:r>
        <w:rPr>
          <w:b/>
          <w:i/>
          <w:color w:val="010101"/>
          <w:w w:val="105"/>
          <w:sz w:val="21"/>
        </w:rPr>
        <w:t>As</w:t>
      </w:r>
      <w:r>
        <w:rPr>
          <w:b/>
          <w:i/>
          <w:color w:val="010101"/>
          <w:spacing w:val="-30"/>
          <w:w w:val="105"/>
          <w:sz w:val="21"/>
        </w:rPr>
        <w:t> </w:t>
      </w:r>
      <w:r>
        <w:rPr>
          <w:b/>
          <w:i/>
          <w:color w:val="010101"/>
          <w:w w:val="105"/>
          <w:sz w:val="21"/>
        </w:rPr>
        <w:t>.</w:t>
      </w:r>
    </w:p>
    <w:p>
      <w:pPr>
        <w:pStyle w:val="BodyText"/>
        <w:rPr>
          <w:b/>
          <w:i/>
        </w:rPr>
      </w:pPr>
      <w:r>
        <w:rPr/>
        <w:br w:type="column"/>
      </w:r>
      <w:r>
        <w:rPr>
          <w:b/>
          <w:i/>
        </w:rPr>
      </w:r>
    </w:p>
    <w:p>
      <w:pPr>
        <w:pStyle w:val="BodyText"/>
        <w:rPr>
          <w:b/>
          <w:i/>
        </w:rPr>
      </w:pPr>
    </w:p>
    <w:p>
      <w:pPr>
        <w:pStyle w:val="BodyText"/>
        <w:spacing w:before="7"/>
        <w:rPr>
          <w:b/>
          <w:i/>
        </w:rPr>
      </w:pPr>
    </w:p>
    <w:p>
      <w:pPr>
        <w:pStyle w:val="BodyText"/>
        <w:ind w:left="127"/>
      </w:pPr>
      <w:r>
        <w:rPr>
          <w:color w:val="010101"/>
          <w:w w:val="110"/>
        </w:rPr>
        <w:t>( 3.18)</w:t>
      </w:r>
    </w:p>
    <w:p>
      <w:pPr>
        <w:spacing w:after="0"/>
        <w:sectPr>
          <w:type w:val="continuous"/>
          <w:pgSz w:w="7200" w:h="11340"/>
          <w:pgMar w:top="1100" w:bottom="0" w:left="680" w:right="540"/>
          <w:cols w:num="2" w:equalWidth="0">
            <w:col w:w="3465" w:space="1737"/>
            <w:col w:w="778"/>
          </w:cols>
        </w:sectPr>
      </w:pPr>
    </w:p>
    <w:p>
      <w:pPr>
        <w:pStyle w:val="BodyText"/>
        <w:rPr>
          <w:sz w:val="12"/>
        </w:rPr>
      </w:pPr>
    </w:p>
    <w:p>
      <w:pPr>
        <w:pStyle w:val="BodyText"/>
        <w:spacing w:line="252" w:lineRule="auto" w:before="73"/>
        <w:ind w:left="120" w:right="131" w:firstLine="7"/>
        <w:jc w:val="both"/>
      </w:pPr>
      <w:r>
        <w:rPr>
          <w:color w:val="010101"/>
          <w:w w:val="105"/>
        </w:rPr>
        <w:t>For endowment insurance, only the value of the </w:t>
      </w:r>
      <w:r>
        <w:rPr>
          <w:color w:val="010101"/>
          <w:w w:val="105"/>
          <w:sz w:val="21"/>
        </w:rPr>
        <w:t>term </w:t>
      </w:r>
      <w:r>
        <w:rPr>
          <w:color w:val="010101"/>
          <w:w w:val="105"/>
        </w:rPr>
        <w:t>insurancc portion is adjusted, since the pure endowment remains payable at the end of  the n-th year if  </w:t>
      </w:r>
      <w:r>
        <w:rPr>
          <w:rFonts w:ascii="Arial"/>
          <w:i/>
          <w:color w:val="010101"/>
          <w:w w:val="105"/>
          <w:sz w:val="18"/>
        </w:rPr>
        <w:t>(x)  </w:t>
      </w:r>
      <w:r>
        <w:rPr>
          <w:color w:val="010101"/>
          <w:w w:val="105"/>
        </w:rPr>
        <w:t>survives.  Thus,</w:t>
      </w:r>
    </w:p>
    <w:p>
      <w:pPr>
        <w:pStyle w:val="BodyText"/>
        <w:spacing w:line="387" w:lineRule="exact" w:before="146"/>
        <w:ind w:left="1983"/>
      </w:pPr>
      <w:r>
        <w:rPr>
          <w:position w:val="-15"/>
        </w:rPr>
        <w:drawing>
          <wp:inline distT="0" distB="0" distL="0" distR="0">
            <wp:extent cx="1271015" cy="274319"/>
            <wp:effectExtent l="0" t="0" r="0" b="0"/>
            <wp:docPr id="165" name="image87.png" descr=""/>
            <wp:cNvGraphicFramePr>
              <a:graphicFrameLocks noChangeAspect="1"/>
            </wp:cNvGraphicFramePr>
            <a:graphic>
              <a:graphicData uri="http://schemas.openxmlformats.org/drawingml/2006/picture">
                <pic:pic>
                  <pic:nvPicPr>
                    <pic:cNvPr id="166" name="image87.png"/>
                    <pic:cNvPicPr/>
                  </pic:nvPicPr>
                  <pic:blipFill>
                    <a:blip r:embed="rId91" cstate="print"/>
                    <a:stretch>
                      <a:fillRect/>
                    </a:stretch>
                  </pic:blipFill>
                  <pic:spPr>
                    <a:xfrm>
                      <a:off x="0" y="0"/>
                      <a:ext cx="1271015" cy="274319"/>
                    </a:xfrm>
                    <a:prstGeom prst="rect">
                      <a:avLst/>
                    </a:prstGeom>
                  </pic:spPr>
                </pic:pic>
              </a:graphicData>
            </a:graphic>
          </wp:inline>
        </w:drawing>
      </w:r>
      <w:r>
        <w:rPr>
          <w:position w:val="-15"/>
        </w:rPr>
      </w:r>
      <w:r>
        <w:rPr/>
        <w:t>                          </w:t>
      </w:r>
      <w:r>
        <w:rPr>
          <w:color w:val="010101"/>
          <w:spacing w:val="-6"/>
          <w:w w:val="120"/>
        </w:rPr>
        <w:t>(3.19)</w:t>
      </w:r>
    </w:p>
    <w:p>
      <w:pPr>
        <w:pStyle w:val="BodyText"/>
        <w:spacing w:line="622" w:lineRule="exact"/>
        <w:ind w:left="116"/>
        <w:jc w:val="both"/>
      </w:pPr>
      <w:r>
        <w:rPr>
          <w:color w:val="010101"/>
          <w:w w:val="112"/>
        </w:rPr>
        <w:t>The</w:t>
      </w:r>
      <w:r>
        <w:rPr>
          <w:color w:val="010101"/>
        </w:rPr>
        <w:t> </w:t>
      </w:r>
      <w:r>
        <w:rPr>
          <w:color w:val="010101"/>
          <w:spacing w:val="-25"/>
        </w:rPr>
        <w:t> </w:t>
      </w:r>
      <w:r>
        <w:rPr>
          <w:color w:val="010101"/>
          <w:w w:val="106"/>
        </w:rPr>
        <w:t>factors</w:t>
      </w:r>
      <w:r>
        <w:rPr>
          <w:color w:val="010101"/>
        </w:rPr>
        <w:t> </w:t>
      </w:r>
      <w:r>
        <w:rPr>
          <w:color w:val="010101"/>
          <w:spacing w:val="-8"/>
        </w:rPr>
        <w:t> </w:t>
      </w:r>
      <w:r>
        <w:rPr>
          <w:color w:val="010101"/>
          <w:w w:val="104"/>
        </w:rPr>
        <w:t>(1</w:t>
      </w:r>
      <w:r>
        <w:rPr>
          <w:color w:val="010101"/>
          <w:spacing w:val="22"/>
        </w:rPr>
        <w:t> </w:t>
      </w:r>
      <w:r>
        <w:rPr>
          <w:rFonts w:ascii="Arial"/>
          <w:color w:val="010101"/>
          <w:w w:val="56"/>
          <w:sz w:val="58"/>
        </w:rPr>
        <w:t>+</w:t>
      </w:r>
      <w:r>
        <w:rPr>
          <w:rFonts w:ascii="Arial"/>
          <w:color w:val="010101"/>
          <w:spacing w:val="-85"/>
          <w:sz w:val="58"/>
        </w:rPr>
        <w:t> </w:t>
      </w:r>
      <w:r>
        <w:rPr>
          <w:color w:val="010101"/>
          <w:w w:val="121"/>
        </w:rPr>
        <w:t>i</w:t>
      </w:r>
      <w:r>
        <w:rPr>
          <w:color w:val="010101"/>
          <w:w w:val="121"/>
        </w:rPr>
        <w:t>)</w:t>
      </w:r>
      <w:r>
        <w:rPr>
          <w:color w:val="010101"/>
          <w:w w:val="121"/>
        </w:rPr>
        <w:t>l</w:t>
      </w:r>
      <w:r>
        <w:rPr>
          <w:color w:val="010101"/>
          <w:spacing w:val="20"/>
        </w:rPr>
        <w:t> </w:t>
      </w:r>
      <w:r>
        <w:rPr>
          <w:color w:val="010101"/>
          <w:w w:val="108"/>
        </w:rPr>
        <w:t>and</w:t>
      </w:r>
      <w:r>
        <w:rPr>
          <w:color w:val="010101"/>
        </w:rPr>
        <w:t> </w:t>
      </w:r>
      <w:r>
        <w:rPr>
          <w:color w:val="010101"/>
          <w:spacing w:val="1"/>
        </w:rPr>
        <w:t> </w:t>
      </w:r>
      <w:r>
        <w:rPr>
          <w:color w:val="010101"/>
          <w:w w:val="128"/>
        </w:rPr>
        <w:t>1</w:t>
      </w:r>
      <w:r>
        <w:rPr>
          <w:color w:val="010101"/>
          <w:spacing w:val="-3"/>
        </w:rPr>
        <w:t> </w:t>
      </w:r>
      <w:r>
        <w:rPr>
          <w:rFonts w:ascii="Arial"/>
          <w:color w:val="010101"/>
          <w:w w:val="55"/>
          <w:sz w:val="58"/>
        </w:rPr>
        <w:t>+</w:t>
      </w:r>
      <w:r>
        <w:rPr>
          <w:rFonts w:ascii="Arial"/>
          <w:color w:val="010101"/>
          <w:spacing w:val="-111"/>
          <w:sz w:val="58"/>
        </w:rPr>
        <w:t> </w:t>
      </w:r>
      <w:r>
        <w:rPr>
          <w:rFonts w:ascii="Arial"/>
          <w:color w:val="010101"/>
          <w:spacing w:val="-79"/>
          <w:w w:val="166"/>
          <w:sz w:val="58"/>
        </w:rPr>
        <w:t>;</w:t>
      </w:r>
      <w:r>
        <w:rPr>
          <w:color w:val="010101"/>
          <w:w w:val="91"/>
        </w:rPr>
        <w:t>ma.y</w:t>
      </w:r>
      <w:r>
        <w:rPr>
          <w:color w:val="010101"/>
        </w:rPr>
        <w:t> </w:t>
      </w:r>
      <w:r>
        <w:rPr>
          <w:color w:val="010101"/>
          <w:spacing w:val="-7"/>
        </w:rPr>
        <w:t> </w:t>
      </w:r>
      <w:r>
        <w:rPr>
          <w:color w:val="010101"/>
          <w:w w:val="106"/>
          <w:sz w:val="19"/>
        </w:rPr>
        <w:t>be</w:t>
      </w:r>
      <w:r>
        <w:rPr>
          <w:color w:val="010101"/>
          <w:sz w:val="19"/>
        </w:rPr>
        <w:t> </w:t>
      </w:r>
      <w:r>
        <w:rPr>
          <w:color w:val="010101"/>
          <w:spacing w:val="-15"/>
          <w:sz w:val="19"/>
        </w:rPr>
        <w:t> </w:t>
      </w:r>
      <w:r>
        <w:rPr>
          <w:color w:val="010101"/>
          <w:w w:val="101"/>
        </w:rPr>
        <w:t>used</w:t>
      </w:r>
      <w:r>
        <w:rPr>
          <w:color w:val="010101"/>
        </w:rPr>
        <w:t> </w:t>
      </w:r>
      <w:r>
        <w:rPr>
          <w:color w:val="010101"/>
          <w:spacing w:val="-8"/>
        </w:rPr>
        <w:t> </w:t>
      </w:r>
      <w:r>
        <w:rPr>
          <w:color w:val="010101"/>
          <w:w w:val="106"/>
        </w:rPr>
        <w:t>in</w:t>
      </w:r>
      <w:r>
        <w:rPr>
          <w:color w:val="010101"/>
        </w:rPr>
        <w:t> </w:t>
      </w:r>
      <w:r>
        <w:rPr>
          <w:color w:val="010101"/>
          <w:spacing w:val="-23"/>
        </w:rPr>
        <w:t> </w:t>
      </w:r>
      <w:r>
        <w:rPr>
          <w:color w:val="010101"/>
          <w:w w:val="102"/>
        </w:rPr>
        <w:t>place</w:t>
      </w:r>
      <w:r>
        <w:rPr>
          <w:color w:val="010101"/>
        </w:rPr>
        <w:t> </w:t>
      </w:r>
      <w:r>
        <w:rPr>
          <w:color w:val="010101"/>
          <w:spacing w:val="-14"/>
        </w:rPr>
        <w:t> </w:t>
      </w:r>
      <w:r>
        <w:rPr>
          <w:color w:val="010101"/>
          <w:w w:val="91"/>
        </w:rPr>
        <w:t>of</w:t>
      </w:r>
      <w:r>
        <w:rPr>
          <w:color w:val="010101"/>
        </w:rPr>
        <w:t> </w:t>
      </w:r>
      <w:r>
        <w:rPr>
          <w:color w:val="010101"/>
          <w:spacing w:val="-24"/>
        </w:rPr>
        <w:t> </w:t>
      </w:r>
      <w:r>
        <w:rPr>
          <w:color w:val="010101"/>
          <w:spacing w:val="-56"/>
          <w:w w:val="119"/>
          <w:sz w:val="56"/>
        </w:rPr>
        <w:t>!</w:t>
      </w:r>
      <w:r>
        <w:rPr>
          <w:color w:val="010101"/>
          <w:w w:val="103"/>
        </w:rPr>
        <w:t>in</w:t>
      </w:r>
      <w:r>
        <w:rPr>
          <w:color w:val="010101"/>
        </w:rPr>
        <w:t> </w:t>
      </w:r>
      <w:r>
        <w:rPr>
          <w:color w:val="010101"/>
          <w:spacing w:val="-18"/>
        </w:rPr>
        <w:t> </w:t>
      </w:r>
      <w:r>
        <w:rPr>
          <w:color w:val="010101"/>
          <w:w w:val="107"/>
        </w:rPr>
        <w:t>all</w:t>
      </w:r>
    </w:p>
    <w:p>
      <w:pPr>
        <w:spacing w:before="37"/>
        <w:ind w:left="120" w:right="0" w:firstLine="0"/>
        <w:jc w:val="both"/>
        <w:rPr>
          <w:sz w:val="20"/>
        </w:rPr>
      </w:pPr>
      <w:r>
        <w:rPr>
          <w:color w:val="010101"/>
          <w:sz w:val="21"/>
        </w:rPr>
        <w:t>these </w:t>
      </w:r>
      <w:r>
        <w:rPr>
          <w:color w:val="010101"/>
          <w:sz w:val="20"/>
        </w:rPr>
        <w:t>forma.</w:t>
      </w:r>
    </w:p>
    <w:p>
      <w:pPr>
        <w:pStyle w:val="BodyText"/>
        <w:spacing w:line="247" w:lineRule="auto" w:before="5"/>
        <w:ind w:left="116" w:right="133" w:firstLine="197"/>
      </w:pPr>
      <w:r>
        <w:rPr>
          <w:color w:val="010101"/>
          <w:w w:val="105"/>
        </w:rPr>
        <w:t>Specia.l commutation functions may be defined for use with insurances paya.ble at the moment  of death. The  formula</w:t>
      </w:r>
    </w:p>
    <w:p>
      <w:pPr>
        <w:spacing w:line="458" w:lineRule="exact" w:before="0"/>
        <w:ind w:left="1206" w:right="739" w:firstLine="0"/>
        <w:jc w:val="left"/>
        <w:rPr>
          <w:b/>
          <w:i/>
          <w:sz w:val="22"/>
        </w:rPr>
      </w:pPr>
      <w:r>
        <w:rPr>
          <w:b/>
          <w:i/>
          <w:color w:val="010101"/>
          <w:spacing w:val="-101"/>
          <w:w w:val="117"/>
          <w:sz w:val="21"/>
        </w:rPr>
        <w:t>A</w:t>
      </w:r>
      <w:r>
        <w:rPr>
          <w:rFonts w:ascii="Arial" w:hAnsi="Arial"/>
          <w:color w:val="010101"/>
          <w:spacing w:val="12"/>
          <w:w w:val="51"/>
          <w:position w:val="5"/>
          <w:sz w:val="51"/>
        </w:rPr>
        <w:t>-</w:t>
      </w:r>
      <w:r>
        <w:rPr>
          <w:b/>
          <w:i/>
          <w:color w:val="010101"/>
          <w:w w:val="118"/>
          <w:sz w:val="21"/>
        </w:rPr>
        <w:t>.</w:t>
      </w:r>
      <w:r>
        <w:rPr>
          <w:b/>
          <w:i/>
          <w:color w:val="010101"/>
          <w:sz w:val="21"/>
        </w:rPr>
        <w:t> </w:t>
      </w:r>
      <w:r>
        <w:rPr>
          <w:b/>
          <w:i/>
          <w:color w:val="010101"/>
          <w:spacing w:val="-17"/>
          <w:sz w:val="21"/>
        </w:rPr>
        <w:t> </w:t>
      </w:r>
      <w:r>
        <w:rPr>
          <w:rFonts w:ascii="Arial" w:hAnsi="Arial"/>
          <w:color w:val="010101"/>
          <w:w w:val="167"/>
          <w:sz w:val="17"/>
        </w:rPr>
        <w:t>=</w:t>
      </w:r>
      <w:r>
        <w:rPr>
          <w:rFonts w:ascii="Arial" w:hAnsi="Arial"/>
          <w:color w:val="010101"/>
          <w:spacing w:val="12"/>
          <w:sz w:val="17"/>
        </w:rPr>
        <w:t> </w:t>
      </w:r>
      <w:r>
        <w:rPr>
          <w:rFonts w:ascii="Arial" w:hAnsi="Arial"/>
          <w:i/>
          <w:color w:val="010101"/>
          <w:spacing w:val="-74"/>
          <w:w w:val="82"/>
          <w:position w:val="5"/>
          <w:sz w:val="51"/>
        </w:rPr>
        <w:t>1</w:t>
      </w:r>
      <w:r>
        <w:rPr>
          <w:rFonts w:ascii="Arial" w:hAnsi="Arial"/>
          <w:i/>
          <w:color w:val="010101"/>
          <w:spacing w:val="-103"/>
          <w:w w:val="148"/>
          <w:position w:val="5"/>
          <w:sz w:val="51"/>
        </w:rPr>
        <w:t>·</w:t>
      </w:r>
      <w:r>
        <w:rPr>
          <w:rFonts w:ascii="Arial" w:hAnsi="Arial"/>
          <w:b/>
          <w:i/>
          <w:color w:val="010101"/>
          <w:w w:val="66"/>
          <w:sz w:val="13"/>
        </w:rPr>
        <w:t>fJ</w:t>
      </w:r>
      <w:r>
        <w:rPr>
          <w:rFonts w:ascii="Arial" w:hAnsi="Arial"/>
          <w:b/>
          <w:i/>
          <w:color w:val="010101"/>
          <w:spacing w:val="-17"/>
          <w:sz w:val="13"/>
        </w:rPr>
        <w:t> </w:t>
      </w:r>
      <w:r>
        <w:rPr>
          <w:rFonts w:ascii="Arial" w:hAnsi="Arial"/>
          <w:color w:val="010101"/>
          <w:spacing w:val="-12"/>
          <w:w w:val="74"/>
          <w:position w:val="5"/>
          <w:sz w:val="51"/>
        </w:rPr>
        <w:t>'</w:t>
      </w:r>
      <w:r>
        <w:rPr>
          <w:b/>
          <w:color w:val="010101"/>
          <w:w w:val="81"/>
          <w:sz w:val="18"/>
        </w:rPr>
        <w:t>tPs/.'z+e</w:t>
      </w:r>
      <w:r>
        <w:rPr>
          <w:b/>
          <w:color w:val="010101"/>
          <w:sz w:val="18"/>
        </w:rPr>
        <w:t> </w:t>
      </w:r>
      <w:r>
        <w:rPr>
          <w:b/>
          <w:color w:val="010101"/>
          <w:spacing w:val="-18"/>
          <w:sz w:val="18"/>
        </w:rPr>
        <w:t> </w:t>
      </w:r>
      <w:r>
        <w:rPr>
          <w:b/>
          <w:i/>
          <w:color w:val="010101"/>
          <w:w w:val="86"/>
          <w:sz w:val="22"/>
        </w:rPr>
        <w:t>dt</w:t>
      </w:r>
      <w:r>
        <w:rPr>
          <w:b/>
          <w:i/>
          <w:color w:val="010101"/>
          <w:sz w:val="22"/>
        </w:rPr>
        <w:t> </w:t>
      </w:r>
      <w:r>
        <w:rPr>
          <w:b/>
          <w:i/>
          <w:color w:val="010101"/>
          <w:spacing w:val="6"/>
          <w:sz w:val="22"/>
        </w:rPr>
        <w:t> </w:t>
      </w:r>
      <w:r>
        <w:rPr>
          <w:rFonts w:ascii="Arial" w:hAnsi="Arial"/>
          <w:color w:val="010101"/>
          <w:spacing w:val="-53"/>
          <w:w w:val="162"/>
          <w:sz w:val="17"/>
        </w:rPr>
        <w:t>=</w:t>
      </w:r>
      <w:r>
        <w:rPr>
          <w:b/>
          <w:i/>
          <w:color w:val="010101"/>
          <w:spacing w:val="-245"/>
          <w:w w:val="186"/>
          <w:sz w:val="21"/>
        </w:rPr>
        <w:t>-</w:t>
      </w:r>
      <w:r>
        <w:rPr>
          <w:b/>
          <w:i/>
          <w:color w:val="010101"/>
          <w:spacing w:val="-30"/>
          <w:w w:val="86"/>
          <w:sz w:val="21"/>
        </w:rPr>
        <w:t>l</w:t>
      </w:r>
      <w:r>
        <w:rPr>
          <w:color w:val="010101"/>
          <w:w w:val="128"/>
          <w:position w:val="5"/>
          <w:sz w:val="20"/>
        </w:rPr>
        <w:t>1</w:t>
      </w:r>
      <w:r>
        <w:rPr>
          <w:color w:val="010101"/>
          <w:spacing w:val="-13"/>
          <w:position w:val="5"/>
          <w:sz w:val="20"/>
        </w:rPr>
        <w:t> </w:t>
      </w:r>
      <w:r>
        <w:rPr>
          <w:rFonts w:ascii="Arial" w:hAnsi="Arial"/>
          <w:i/>
          <w:color w:val="010101"/>
          <w:spacing w:val="-72"/>
          <w:w w:val="80"/>
          <w:position w:val="5"/>
          <w:sz w:val="51"/>
        </w:rPr>
        <w:t>1</w:t>
      </w:r>
      <w:r>
        <w:rPr>
          <w:rFonts w:ascii="Arial" w:hAnsi="Arial"/>
          <w:i/>
          <w:color w:val="010101"/>
          <w:spacing w:val="-103"/>
          <w:w w:val="148"/>
          <w:position w:val="5"/>
          <w:sz w:val="51"/>
        </w:rPr>
        <w:t>·</w:t>
      </w:r>
      <w:r>
        <w:rPr>
          <w:rFonts w:ascii="Arial" w:hAnsi="Arial"/>
          <w:b/>
          <w:i/>
          <w:color w:val="010101"/>
          <w:w w:val="66"/>
          <w:sz w:val="13"/>
        </w:rPr>
        <w:t>fJ</w:t>
      </w:r>
      <w:r>
        <w:rPr>
          <w:rFonts w:ascii="Arial" w:hAnsi="Arial"/>
          <w:b/>
          <w:i/>
          <w:color w:val="010101"/>
          <w:spacing w:val="-17"/>
          <w:sz w:val="13"/>
        </w:rPr>
        <w:t> </w:t>
      </w:r>
      <w:r>
        <w:rPr>
          <w:i/>
          <w:color w:val="010101"/>
          <w:w w:val="93"/>
          <w:position w:val="5"/>
          <w:sz w:val="13"/>
        </w:rPr>
        <w:t>t</w:t>
      </w:r>
      <w:r>
        <w:rPr>
          <w:i/>
          <w:color w:val="010101"/>
          <w:spacing w:val="-17"/>
          <w:position w:val="5"/>
          <w:sz w:val="13"/>
        </w:rPr>
        <w:t> </w:t>
      </w:r>
      <w:r>
        <w:rPr>
          <w:b/>
          <w:i/>
          <w:color w:val="010101"/>
          <w:w w:val="75"/>
          <w:sz w:val="21"/>
        </w:rPr>
        <w:t>ls+el's+e</w:t>
      </w:r>
      <w:r>
        <w:rPr>
          <w:b/>
          <w:i/>
          <w:color w:val="010101"/>
          <w:spacing w:val="20"/>
          <w:sz w:val="21"/>
        </w:rPr>
        <w:t> </w:t>
      </w:r>
      <w:r>
        <w:rPr>
          <w:b/>
          <w:i/>
          <w:color w:val="010101"/>
          <w:w w:val="88"/>
          <w:sz w:val="22"/>
        </w:rPr>
        <w:t>dt</w:t>
      </w:r>
    </w:p>
    <w:p>
      <w:pPr>
        <w:tabs>
          <w:tab w:pos="3366" w:val="left" w:leader="none"/>
        </w:tabs>
        <w:spacing w:line="99" w:lineRule="exact" w:before="0"/>
        <w:ind w:left="1838" w:right="739" w:firstLine="0"/>
        <w:jc w:val="left"/>
        <w:rPr>
          <w:b/>
          <w:sz w:val="18"/>
        </w:rPr>
      </w:pPr>
      <w:r>
        <w:rPr>
          <w:b/>
          <w:color w:val="010101"/>
          <w:w w:val="95"/>
          <w:sz w:val="18"/>
        </w:rPr>
        <w:t>o</w:t>
        <w:tab/>
      </w:r>
      <w:r>
        <w:rPr>
          <w:rFonts w:ascii="Arial"/>
          <w:b/>
          <w:color w:val="010101"/>
          <w:w w:val="110"/>
          <w:sz w:val="11"/>
        </w:rPr>
        <w:t>s  </w:t>
      </w:r>
      <w:r>
        <w:rPr>
          <w:rFonts w:ascii="Arial"/>
          <w:b/>
          <w:color w:val="010101"/>
          <w:spacing w:val="26"/>
          <w:w w:val="110"/>
          <w:sz w:val="11"/>
        </w:rPr>
        <w:t> </w:t>
      </w:r>
      <w:r>
        <w:rPr>
          <w:b/>
          <w:color w:val="010101"/>
          <w:w w:val="95"/>
          <w:sz w:val="18"/>
        </w:rPr>
        <w:t>o</w:t>
      </w:r>
    </w:p>
    <w:p>
      <w:pPr>
        <w:spacing w:line="497" w:lineRule="exact" w:before="0"/>
        <w:ind w:left="1515" w:right="739" w:firstLine="0"/>
        <w:jc w:val="left"/>
        <w:rPr>
          <w:i/>
          <w:sz w:val="21"/>
        </w:rPr>
      </w:pPr>
      <w:r>
        <w:rPr>
          <w:color w:val="010101"/>
          <w:w w:val="101"/>
          <w:sz w:val="25"/>
        </w:rPr>
        <w:t>=</w:t>
      </w:r>
      <w:r>
        <w:rPr>
          <w:color w:val="010101"/>
          <w:sz w:val="25"/>
        </w:rPr>
        <w:t>  </w:t>
      </w:r>
      <w:r>
        <w:rPr>
          <w:color w:val="010101"/>
          <w:spacing w:val="-16"/>
          <w:sz w:val="25"/>
        </w:rPr>
        <w:t> </w:t>
      </w:r>
      <w:r>
        <w:rPr>
          <w:color w:val="010101"/>
          <w:w w:val="135"/>
          <w:position w:val="8"/>
          <w:sz w:val="21"/>
        </w:rPr>
        <w:t>1</w:t>
      </w:r>
      <w:r>
        <w:rPr>
          <w:color w:val="010101"/>
          <w:position w:val="8"/>
          <w:sz w:val="21"/>
        </w:rPr>
        <w:t> </w:t>
      </w:r>
      <w:r>
        <w:rPr>
          <w:color w:val="010101"/>
          <w:spacing w:val="-10"/>
          <w:position w:val="8"/>
          <w:sz w:val="21"/>
        </w:rPr>
        <w:t> </w:t>
      </w:r>
      <w:r>
        <w:rPr>
          <w:rFonts w:ascii="Arial" w:hAnsi="Arial"/>
          <w:b/>
          <w:i/>
          <w:color w:val="010101"/>
          <w:spacing w:val="-39"/>
          <w:w w:val="67"/>
          <w:position w:val="8"/>
          <w:sz w:val="52"/>
        </w:rPr>
        <w:t>1</w:t>
      </w:r>
      <w:r>
        <w:rPr>
          <w:rFonts w:ascii="Arial" w:hAnsi="Arial"/>
          <w:b/>
          <w:i/>
          <w:color w:val="010101"/>
          <w:spacing w:val="-40"/>
          <w:w w:val="109"/>
          <w:position w:val="8"/>
          <w:sz w:val="52"/>
        </w:rPr>
        <w:t>·</w:t>
      </w:r>
      <w:r>
        <w:rPr>
          <w:color w:val="010101"/>
          <w:w w:val="81"/>
          <w:sz w:val="25"/>
        </w:rPr>
        <w:t>.</w:t>
      </w:r>
      <w:r>
        <w:rPr>
          <w:color w:val="010101"/>
          <w:spacing w:val="-23"/>
          <w:w w:val="81"/>
          <w:sz w:val="25"/>
        </w:rPr>
        <w:t>,</w:t>
      </w:r>
      <w:r>
        <w:rPr>
          <w:b/>
          <w:color w:val="010101"/>
          <w:w w:val="65"/>
          <w:position w:val="8"/>
          <w:sz w:val="28"/>
        </w:rPr>
        <w:t>e+</w:t>
      </w:r>
      <w:r>
        <w:rPr>
          <w:b/>
          <w:color w:val="010101"/>
          <w:spacing w:val="-19"/>
          <w:w w:val="65"/>
          <w:position w:val="8"/>
          <w:sz w:val="28"/>
        </w:rPr>
        <w:t>•</w:t>
      </w:r>
      <w:r>
        <w:rPr>
          <w:rFonts w:ascii="Arial" w:hAnsi="Arial"/>
          <w:b/>
          <w:color w:val="010101"/>
          <w:spacing w:val="-47"/>
          <w:w w:val="80"/>
          <w:sz w:val="17"/>
        </w:rPr>
        <w:t>"</w:t>
      </w:r>
      <w:r>
        <w:rPr>
          <w:b/>
          <w:color w:val="010101"/>
          <w:w w:val="66"/>
          <w:position w:val="8"/>
          <w:sz w:val="28"/>
        </w:rPr>
        <w:t>,</w:t>
      </w:r>
      <w:r>
        <w:rPr>
          <w:rFonts w:ascii="Arial" w:hAnsi="Arial"/>
          <w:b/>
          <w:color w:val="010101"/>
          <w:w w:val="80"/>
          <w:sz w:val="17"/>
        </w:rPr>
        <w:t>s</w:t>
      </w:r>
      <w:r>
        <w:rPr>
          <w:rFonts w:ascii="Arial" w:hAnsi="Arial"/>
          <w:b/>
          <w:color w:val="010101"/>
          <w:spacing w:val="-58"/>
          <w:w w:val="80"/>
          <w:sz w:val="17"/>
        </w:rPr>
        <w:t>+</w:t>
      </w:r>
      <w:r>
        <w:rPr>
          <w:color w:val="1F1F1F"/>
          <w:w w:val="22"/>
          <w:position w:val="8"/>
          <w:sz w:val="28"/>
        </w:rPr>
        <w:t>.</w:t>
      </w:r>
      <w:r>
        <w:rPr>
          <w:color w:val="1F1F1F"/>
          <w:spacing w:val="-29"/>
          <w:position w:val="8"/>
          <w:sz w:val="28"/>
        </w:rPr>
        <w:t> </w:t>
      </w:r>
      <w:r>
        <w:rPr>
          <w:rFonts w:ascii="Arial" w:hAnsi="Arial"/>
          <w:b/>
          <w:color w:val="010101"/>
          <w:w w:val="80"/>
          <w:sz w:val="17"/>
        </w:rPr>
        <w:t>•l-'z+•</w:t>
      </w:r>
      <w:r>
        <w:rPr>
          <w:rFonts w:ascii="Arial" w:hAnsi="Arial"/>
          <w:b/>
          <w:color w:val="010101"/>
          <w:spacing w:val="17"/>
          <w:sz w:val="17"/>
        </w:rPr>
        <w:t> </w:t>
      </w:r>
      <w:r>
        <w:rPr>
          <w:i/>
          <w:color w:val="010101"/>
          <w:w w:val="91"/>
          <w:position w:val="8"/>
          <w:sz w:val="21"/>
        </w:rPr>
        <w:t>dt</w:t>
      </w:r>
    </w:p>
    <w:p>
      <w:pPr>
        <w:spacing w:line="153" w:lineRule="exact" w:before="0"/>
        <w:ind w:left="1741" w:right="739" w:firstLine="0"/>
        <w:jc w:val="left"/>
        <w:rPr>
          <w:b/>
          <w:sz w:val="18"/>
        </w:rPr>
      </w:pPr>
      <w:r>
        <w:rPr>
          <w:b/>
          <w:i/>
          <w:color w:val="010101"/>
          <w:w w:val="95"/>
          <w:sz w:val="17"/>
        </w:rPr>
        <w:t>VSls  </w:t>
      </w:r>
      <w:r>
        <w:rPr>
          <w:b/>
          <w:color w:val="010101"/>
          <w:w w:val="95"/>
          <w:sz w:val="18"/>
        </w:rPr>
        <w:t>o</w:t>
      </w:r>
    </w:p>
    <w:p>
      <w:pPr>
        <w:pStyle w:val="BodyText"/>
        <w:spacing w:before="109"/>
        <w:ind w:left="120" w:right="739"/>
      </w:pPr>
      <w:r>
        <w:rPr>
          <w:color w:val="010101"/>
          <w:w w:val="105"/>
        </w:rPr>
        <w:t>suggests the following definitions:</w:t>
      </w:r>
    </w:p>
    <w:p>
      <w:pPr>
        <w:spacing w:after="0"/>
        <w:sectPr>
          <w:type w:val="continuous"/>
          <w:pgSz w:w="7200" w:h="11340"/>
          <w:pgMar w:top="1100" w:bottom="0" w:left="680" w:right="540"/>
        </w:sectPr>
      </w:pPr>
    </w:p>
    <w:p>
      <w:pPr>
        <w:tabs>
          <w:tab w:pos="2284" w:val="left" w:leader="none"/>
          <w:tab w:pos="5366" w:val="left" w:leader="none"/>
        </w:tabs>
        <w:spacing w:before="43"/>
        <w:ind w:left="121" w:right="0" w:firstLine="0"/>
        <w:jc w:val="left"/>
        <w:rPr>
          <w:rFonts w:ascii="Arial"/>
          <w:b/>
          <w:sz w:val="19"/>
        </w:rPr>
      </w:pPr>
      <w:r>
        <w:rPr>
          <w:position w:val="1"/>
          <w:sz w:val="19"/>
        </w:rPr>
        <w:t>72</w:t>
        <w:tab/>
      </w:r>
      <w:r>
        <w:rPr>
          <w:b/>
          <w:position w:val="1"/>
          <w:sz w:val="15"/>
        </w:rPr>
        <w:t>LIFE  </w:t>
      </w:r>
      <w:r>
        <w:rPr>
          <w:b/>
          <w:spacing w:val="15"/>
          <w:position w:val="1"/>
          <w:sz w:val="15"/>
        </w:rPr>
        <w:t> </w:t>
      </w:r>
      <w:r>
        <w:rPr>
          <w:b/>
          <w:position w:val="1"/>
          <w:sz w:val="15"/>
        </w:rPr>
        <w:t>INSURANCE</w:t>
        <w:tab/>
      </w:r>
      <w:r>
        <w:rPr>
          <w:rFonts w:ascii="Arial"/>
          <w:b/>
          <w:w w:val="95"/>
          <w:sz w:val="19"/>
        </w:rPr>
        <w:t>[CH.</w:t>
      </w:r>
      <w:r>
        <w:rPr>
          <w:rFonts w:ascii="Arial"/>
          <w:b/>
          <w:spacing w:val="-27"/>
          <w:w w:val="95"/>
          <w:sz w:val="19"/>
        </w:rPr>
        <w:t> </w:t>
      </w:r>
      <w:r>
        <w:rPr>
          <w:rFonts w:ascii="Arial"/>
          <w:b/>
          <w:w w:val="95"/>
          <w:sz w:val="19"/>
        </w:rPr>
        <w:t>3</w:t>
      </w:r>
    </w:p>
    <w:p>
      <w:pPr>
        <w:pStyle w:val="BodyText"/>
        <w:spacing w:before="2"/>
        <w:rPr>
          <w:rFonts w:ascii="Arial"/>
          <w:b/>
          <w:sz w:val="17"/>
        </w:rPr>
      </w:pPr>
      <w:r>
        <w:rPr/>
        <w:drawing>
          <wp:anchor distT="0" distB="0" distL="0" distR="0" allowOverlap="1" layoutInCell="1" locked="0" behindDoc="0" simplePos="0" relativeHeight="6208">
            <wp:simplePos x="0" y="0"/>
            <wp:positionH relativeFrom="page">
              <wp:posOffset>1216152</wp:posOffset>
            </wp:positionH>
            <wp:positionV relativeFrom="paragraph">
              <wp:posOffset>150454</wp:posOffset>
            </wp:positionV>
            <wp:extent cx="2267711" cy="292608"/>
            <wp:effectExtent l="0" t="0" r="0" b="0"/>
            <wp:wrapTopAndBottom/>
            <wp:docPr id="167" name="image88.png" descr=""/>
            <wp:cNvGraphicFramePr>
              <a:graphicFrameLocks noChangeAspect="1"/>
            </wp:cNvGraphicFramePr>
            <a:graphic>
              <a:graphicData uri="http://schemas.openxmlformats.org/drawingml/2006/picture">
                <pic:pic>
                  <pic:nvPicPr>
                    <pic:cNvPr id="168" name="image88.png"/>
                    <pic:cNvPicPr/>
                  </pic:nvPicPr>
                  <pic:blipFill>
                    <a:blip r:embed="rId92" cstate="print"/>
                    <a:stretch>
                      <a:fillRect/>
                    </a:stretch>
                  </pic:blipFill>
                  <pic:spPr>
                    <a:xfrm>
                      <a:off x="0" y="0"/>
                      <a:ext cx="2267711" cy="292608"/>
                    </a:xfrm>
                    <a:prstGeom prst="rect">
                      <a:avLst/>
                    </a:prstGeom>
                  </pic:spPr>
                </pic:pic>
              </a:graphicData>
            </a:graphic>
          </wp:anchor>
        </w:drawing>
      </w:r>
    </w:p>
    <w:p>
      <w:pPr>
        <w:pStyle w:val="BodyText"/>
        <w:rPr>
          <w:rFonts w:ascii="Arial"/>
          <w:b/>
        </w:rPr>
      </w:pPr>
    </w:p>
    <w:p>
      <w:pPr>
        <w:pStyle w:val="BodyText"/>
        <w:spacing w:before="9"/>
        <w:rPr>
          <w:rFonts w:ascii="Arial"/>
          <w:b/>
          <w:sz w:val="23"/>
        </w:rPr>
      </w:pPr>
    </w:p>
    <w:p>
      <w:pPr>
        <w:spacing w:before="0"/>
        <w:ind w:left="114" w:right="739" w:firstLine="0"/>
        <w:jc w:val="left"/>
        <w:rPr>
          <w:rFonts w:ascii="Arial" w:hAnsi="Arial"/>
          <w:b/>
          <w:i/>
          <w:sz w:val="56"/>
        </w:rPr>
      </w:pPr>
      <w:r>
        <w:rPr/>
        <w:drawing>
          <wp:anchor distT="0" distB="0" distL="0" distR="0" allowOverlap="1" layoutInCell="1" locked="0" behindDoc="1" simplePos="0" relativeHeight="267705623">
            <wp:simplePos x="0" y="0"/>
            <wp:positionH relativeFrom="page">
              <wp:posOffset>1161288</wp:posOffset>
            </wp:positionH>
            <wp:positionV relativeFrom="paragraph">
              <wp:posOffset>-237951</wp:posOffset>
            </wp:positionV>
            <wp:extent cx="1837944" cy="283463"/>
            <wp:effectExtent l="0" t="0" r="0" b="0"/>
            <wp:wrapNone/>
            <wp:docPr id="169" name="image89.png" descr=""/>
            <wp:cNvGraphicFramePr>
              <a:graphicFrameLocks noChangeAspect="1"/>
            </wp:cNvGraphicFramePr>
            <a:graphic>
              <a:graphicData uri="http://schemas.openxmlformats.org/drawingml/2006/picture">
                <pic:pic>
                  <pic:nvPicPr>
                    <pic:cNvPr id="170" name="image89.png"/>
                    <pic:cNvPicPr/>
                  </pic:nvPicPr>
                  <pic:blipFill>
                    <a:blip r:embed="rId93" cstate="print"/>
                    <a:stretch>
                      <a:fillRect/>
                    </a:stretch>
                  </pic:blipFill>
                  <pic:spPr>
                    <a:xfrm>
                      <a:off x="0" y="0"/>
                      <a:ext cx="1837944" cy="283463"/>
                    </a:xfrm>
                    <a:prstGeom prst="rect">
                      <a:avLst/>
                    </a:prstGeom>
                  </pic:spPr>
                </pic:pic>
              </a:graphicData>
            </a:graphic>
          </wp:anchor>
        </w:drawing>
      </w:r>
      <w:r>
        <w:rPr>
          <w:w w:val="100"/>
          <w:sz w:val="20"/>
        </w:rPr>
        <w:t>We</w:t>
      </w:r>
      <w:r>
        <w:rPr>
          <w:sz w:val="20"/>
        </w:rPr>
        <w:t> </w:t>
      </w:r>
      <w:r>
        <w:rPr>
          <w:spacing w:val="-17"/>
          <w:sz w:val="20"/>
        </w:rPr>
        <w:t> </w:t>
      </w:r>
      <w:r>
        <w:rPr>
          <w:w w:val="106"/>
          <w:sz w:val="20"/>
        </w:rPr>
        <w:t>may</w:t>
      </w:r>
      <w:r>
        <w:rPr>
          <w:sz w:val="20"/>
        </w:rPr>
        <w:t> </w:t>
      </w:r>
      <w:r>
        <w:rPr>
          <w:spacing w:val="-11"/>
          <w:sz w:val="20"/>
        </w:rPr>
        <w:t> </w:t>
      </w:r>
      <w:r>
        <w:rPr>
          <w:w w:val="108"/>
          <w:sz w:val="20"/>
        </w:rPr>
        <w:t>theu</w:t>
      </w:r>
      <w:r>
        <w:rPr>
          <w:sz w:val="20"/>
        </w:rPr>
        <w:t> </w:t>
      </w:r>
      <w:r>
        <w:rPr>
          <w:spacing w:val="-11"/>
          <w:sz w:val="20"/>
        </w:rPr>
        <w:t> </w:t>
      </w:r>
      <w:r>
        <w:rPr>
          <w:w w:val="104"/>
          <w:sz w:val="20"/>
        </w:rPr>
        <w:t>writc</w:t>
      </w:r>
      <w:r>
        <w:rPr>
          <w:sz w:val="20"/>
        </w:rPr>
        <w:t> </w:t>
      </w:r>
      <w:r>
        <w:rPr>
          <w:spacing w:val="-13"/>
          <w:sz w:val="20"/>
        </w:rPr>
        <w:t> </w:t>
      </w:r>
      <w:r>
        <w:rPr>
          <w:i/>
          <w:w w:val="100"/>
          <w:sz w:val="19"/>
        </w:rPr>
        <w:t>Á</w:t>
      </w:r>
      <w:r>
        <w:rPr>
          <w:i/>
          <w:spacing w:val="-17"/>
          <w:sz w:val="19"/>
        </w:rPr>
        <w:t> </w:t>
      </w:r>
      <w:r>
        <w:rPr>
          <w:i/>
          <w:w w:val="82"/>
          <w:sz w:val="19"/>
        </w:rPr>
        <w:t>z</w:t>
      </w:r>
      <w:r>
        <w:rPr>
          <w:i/>
          <w:sz w:val="19"/>
        </w:rPr>
        <w:t> </w:t>
      </w:r>
      <w:r>
        <w:rPr>
          <w:i/>
          <w:spacing w:val="20"/>
          <w:sz w:val="19"/>
        </w:rPr>
        <w:t> </w:t>
      </w:r>
      <w:r>
        <w:rPr>
          <w:w w:val="252"/>
          <w:sz w:val="19"/>
        </w:rPr>
        <w:t>-</w:t>
      </w:r>
      <w:r>
        <w:rPr>
          <w:spacing w:val="15"/>
          <w:sz w:val="19"/>
        </w:rPr>
        <w:t> </w:t>
      </w:r>
      <w:r>
        <w:rPr>
          <w:rFonts w:ascii="Arial" w:hAnsi="Arial"/>
          <w:b/>
          <w:i/>
          <w:w w:val="76"/>
          <w:sz w:val="56"/>
        </w:rPr>
        <w:t>f</w:t>
      </w:r>
      <w:r>
        <w:rPr>
          <w:rFonts w:ascii="Arial" w:hAnsi="Arial"/>
          <w:b/>
          <w:i/>
          <w:spacing w:val="29"/>
          <w:w w:val="76"/>
          <w:sz w:val="56"/>
        </w:rPr>
        <w:t>:</w:t>
      </w:r>
      <w:r>
        <w:rPr>
          <w:rFonts w:ascii="Arial" w:hAnsi="Arial"/>
          <w:b/>
          <w:i/>
          <w:w w:val="26"/>
          <w:sz w:val="56"/>
        </w:rPr>
        <w:t>,</w:t>
      </w:r>
    </w:p>
    <w:p>
      <w:pPr>
        <w:tabs>
          <w:tab w:pos="449" w:val="left" w:leader="none"/>
        </w:tabs>
        <w:spacing w:line="141" w:lineRule="exact" w:before="214"/>
        <w:ind w:left="0" w:right="751" w:firstLine="0"/>
        <w:jc w:val="center"/>
        <w:rPr>
          <w:b/>
          <w:i/>
          <w:sz w:val="16"/>
        </w:rPr>
      </w:pPr>
      <w:r>
        <w:rPr/>
        <w:pict>
          <v:shape style="position:absolute;margin-left:118.080002pt;margin-top:15.870749pt;width:3.6pt;height:9.5pt;mso-position-horizontal-relative:page;mso-position-vertical-relative:paragraph;z-index:-729736" type="#_x0000_t202" filled="false" stroked="false">
            <v:textbox inset="0,0,0,0">
              <w:txbxContent>
                <w:p>
                  <w:pPr>
                    <w:spacing w:line="190" w:lineRule="exact" w:before="0"/>
                    <w:ind w:left="0" w:right="0" w:firstLine="0"/>
                    <w:jc w:val="left"/>
                    <w:rPr>
                      <w:rFonts w:ascii="Arial"/>
                      <w:b/>
                      <w:sz w:val="19"/>
                    </w:rPr>
                  </w:pPr>
                  <w:r>
                    <w:rPr>
                      <w:rFonts w:ascii="Arial"/>
                      <w:b/>
                      <w:spacing w:val="-50"/>
                      <w:w w:val="87"/>
                      <w:sz w:val="19"/>
                    </w:rPr>
                    <w:t>A</w:t>
                  </w:r>
                </w:p>
              </w:txbxContent>
            </v:textbox>
            <w10:wrap type="none"/>
          </v:shape>
        </w:pict>
      </w:r>
      <w:r>
        <w:rPr>
          <w:rFonts w:ascii="Arial"/>
          <w:b/>
          <w:w w:val="190"/>
          <w:sz w:val="12"/>
        </w:rPr>
        <w:t>-1</w:t>
        <w:tab/>
      </w:r>
      <w:r>
        <w:rPr>
          <w:rFonts w:ascii="Arial"/>
          <w:w w:val="190"/>
          <w:sz w:val="12"/>
        </w:rPr>
        <w:t>_ </w:t>
      </w:r>
      <w:r>
        <w:rPr>
          <w:b/>
          <w:i/>
          <w:w w:val="120"/>
          <w:sz w:val="16"/>
        </w:rPr>
        <w:t>Mz  </w:t>
      </w:r>
      <w:r>
        <w:rPr>
          <w:w w:val="325"/>
          <w:sz w:val="16"/>
        </w:rPr>
        <w:t>-</w:t>
      </w:r>
      <w:r>
        <w:rPr>
          <w:spacing w:val="-54"/>
          <w:w w:val="325"/>
          <w:sz w:val="16"/>
        </w:rPr>
        <w:t> </w:t>
      </w:r>
      <w:r>
        <w:rPr>
          <w:b/>
          <w:i/>
          <w:w w:val="120"/>
          <w:sz w:val="16"/>
        </w:rPr>
        <w:t>Mz+n</w:t>
      </w:r>
    </w:p>
    <w:p>
      <w:pPr>
        <w:spacing w:line="113" w:lineRule="exact" w:before="0"/>
        <w:ind w:left="1842" w:right="739" w:firstLine="0"/>
        <w:jc w:val="left"/>
        <w:rPr>
          <w:sz w:val="19"/>
        </w:rPr>
      </w:pPr>
      <w:r>
        <w:rPr>
          <w:b/>
          <w:w w:val="101"/>
          <w:sz w:val="19"/>
        </w:rPr>
        <w:t>z:il</w:t>
      </w:r>
      <w:r>
        <w:rPr>
          <w:b/>
          <w:sz w:val="19"/>
        </w:rPr>
        <w:t>  </w:t>
      </w:r>
      <w:r>
        <w:rPr>
          <w:b/>
          <w:spacing w:val="-23"/>
          <w:sz w:val="19"/>
        </w:rPr>
        <w:t> </w:t>
      </w:r>
      <w:r>
        <w:rPr>
          <w:w w:val="259"/>
          <w:sz w:val="19"/>
        </w:rPr>
        <w:t>-</w:t>
      </w:r>
      <w:r>
        <w:rPr>
          <w:spacing w:val="10"/>
          <w:sz w:val="19"/>
        </w:rPr>
        <w:t> </w:t>
      </w:r>
      <w:r>
        <w:rPr>
          <w:spacing w:val="-105"/>
          <w:w w:val="439"/>
          <w:sz w:val="19"/>
        </w:rPr>
        <w:t>-</w:t>
      </w:r>
      <w:r>
        <w:rPr>
          <w:spacing w:val="-124"/>
          <w:w w:val="461"/>
          <w:sz w:val="19"/>
        </w:rPr>
        <w:t>--</w:t>
      </w:r>
      <w:r>
        <w:rPr>
          <w:spacing w:val="-97"/>
          <w:w w:val="461"/>
          <w:sz w:val="19"/>
        </w:rPr>
        <w:t>-</w:t>
      </w:r>
      <w:r>
        <w:rPr>
          <w:w w:val="237"/>
          <w:sz w:val="19"/>
        </w:rPr>
        <w:t>­</w:t>
      </w:r>
    </w:p>
    <w:p>
      <w:pPr>
        <w:spacing w:line="191" w:lineRule="exact" w:before="0"/>
        <w:ind w:left="74" w:right="117" w:firstLine="0"/>
        <w:jc w:val="center"/>
        <w:rPr>
          <w:i/>
          <w:sz w:val="22"/>
        </w:rPr>
      </w:pPr>
      <w:r>
        <w:rPr>
          <w:i/>
          <w:w w:val="95"/>
          <w:sz w:val="22"/>
        </w:rPr>
        <w:t>Dz</w:t>
      </w:r>
    </w:p>
    <w:p>
      <w:pPr>
        <w:spacing w:line="164" w:lineRule="exact" w:before="124"/>
        <w:ind w:left="74" w:right="1227" w:firstLine="0"/>
        <w:jc w:val="center"/>
        <w:rPr>
          <w:b/>
          <w:i/>
          <w:sz w:val="16"/>
        </w:rPr>
      </w:pPr>
      <w:r>
        <w:rPr>
          <w:i/>
          <w:w w:val="115"/>
          <w:sz w:val="19"/>
        </w:rPr>
        <w:t>-   </w:t>
      </w:r>
      <w:r>
        <w:rPr>
          <w:w w:val="115"/>
          <w:sz w:val="19"/>
        </w:rPr>
        <w:t>_ </w:t>
      </w:r>
      <w:r>
        <w:rPr>
          <w:b/>
          <w:i/>
          <w:w w:val="115"/>
          <w:sz w:val="16"/>
        </w:rPr>
        <w:t>},f z+n</w:t>
      </w:r>
    </w:p>
    <w:p>
      <w:pPr>
        <w:spacing w:line="233" w:lineRule="exact" w:before="0"/>
        <w:ind w:left="7" w:right="1259" w:firstLine="0"/>
        <w:jc w:val="center"/>
        <w:rPr>
          <w:sz w:val="25"/>
        </w:rPr>
      </w:pPr>
      <w:r>
        <w:rPr>
          <w:rFonts w:ascii="Arial"/>
          <w:w w:val="87"/>
          <w:sz w:val="19"/>
        </w:rPr>
        <w:t>"r</w:t>
      </w:r>
      <w:r>
        <w:rPr>
          <w:rFonts w:ascii="Arial"/>
          <w:spacing w:val="-39"/>
          <w:sz w:val="19"/>
        </w:rPr>
        <w:t> </w:t>
      </w:r>
      <w:r>
        <w:rPr>
          <w:i/>
          <w:w w:val="102"/>
          <w:position w:val="5"/>
          <w:sz w:val="19"/>
        </w:rPr>
        <w:t>A</w:t>
      </w:r>
      <w:r>
        <w:rPr>
          <w:i/>
          <w:spacing w:val="-9"/>
          <w:position w:val="5"/>
          <w:sz w:val="19"/>
        </w:rPr>
        <w:t> </w:t>
      </w:r>
      <w:r>
        <w:rPr>
          <w:w w:val="122"/>
          <w:sz w:val="12"/>
        </w:rPr>
        <w:t>z</w:t>
      </w:r>
      <w:r>
        <w:rPr>
          <w:sz w:val="12"/>
        </w:rPr>
        <w:t>  </w:t>
      </w:r>
      <w:r>
        <w:rPr>
          <w:spacing w:val="13"/>
          <w:sz w:val="12"/>
        </w:rPr>
        <w:t> </w:t>
      </w:r>
      <w:r>
        <w:rPr>
          <w:w w:val="400"/>
          <w:sz w:val="12"/>
        </w:rPr>
        <w:t>-</w:t>
      </w:r>
      <w:r>
        <w:rPr>
          <w:sz w:val="12"/>
        </w:rPr>
        <w:t> </w:t>
      </w:r>
      <w:r>
        <w:rPr>
          <w:spacing w:val="13"/>
          <w:sz w:val="12"/>
        </w:rPr>
        <w:t> </w:t>
      </w:r>
      <w:r>
        <w:rPr>
          <w:spacing w:val="-69"/>
          <w:w w:val="202"/>
          <w:sz w:val="25"/>
        </w:rPr>
        <w:t>-</w:t>
      </w:r>
      <w:r>
        <w:rPr>
          <w:w w:val="123"/>
          <w:sz w:val="25"/>
        </w:rPr>
        <w:t>f</w:t>
      </w:r>
      <w:r>
        <w:rPr>
          <w:spacing w:val="-16"/>
          <w:w w:val="123"/>
          <w:sz w:val="25"/>
        </w:rPr>
        <w:t>J</w:t>
      </w:r>
      <w:r>
        <w:rPr>
          <w:w w:val="71"/>
          <w:sz w:val="25"/>
        </w:rPr>
        <w:t>-</w:t>
      </w:r>
      <w:r>
        <w:rPr>
          <w:sz w:val="25"/>
        </w:rPr>
        <w:t> </w:t>
      </w:r>
      <w:r>
        <w:rPr>
          <w:spacing w:val="-20"/>
          <w:sz w:val="25"/>
        </w:rPr>
        <w:t> </w:t>
      </w:r>
      <w:r>
        <w:rPr>
          <w:w w:val="77"/>
          <w:sz w:val="25"/>
        </w:rPr>
        <w:t>,</w:t>
      </w:r>
    </w:p>
    <w:p>
      <w:pPr>
        <w:pStyle w:val="BodyText"/>
        <w:tabs>
          <w:tab w:pos="1672" w:val="left" w:leader="none"/>
        </w:tabs>
        <w:spacing w:before="190"/>
        <w:ind w:left="110" w:right="739"/>
      </w:pPr>
      <w:r>
        <w:rPr>
          <w:spacing w:val="-1"/>
          <w:w w:val="105"/>
        </w:rPr>
        <w:t>and</w:t>
        <w:tab/>
      </w:r>
      <w:r>
        <w:rPr>
          <w:position w:val="-14"/>
        </w:rPr>
        <w:drawing>
          <wp:inline distT="0" distB="0" distL="0" distR="0">
            <wp:extent cx="1645920" cy="292608"/>
            <wp:effectExtent l="0" t="0" r="0" b="0"/>
            <wp:docPr id="171" name="image90.png" descr=""/>
            <wp:cNvGraphicFramePr>
              <a:graphicFrameLocks noChangeAspect="1"/>
            </wp:cNvGraphicFramePr>
            <a:graphic>
              <a:graphicData uri="http://schemas.openxmlformats.org/drawingml/2006/picture">
                <pic:pic>
                  <pic:nvPicPr>
                    <pic:cNvPr id="172" name="image90.png"/>
                    <pic:cNvPicPr/>
                  </pic:nvPicPr>
                  <pic:blipFill>
                    <a:blip r:embed="rId94" cstate="print"/>
                    <a:stretch>
                      <a:fillRect/>
                    </a:stretch>
                  </pic:blipFill>
                  <pic:spPr>
                    <a:xfrm>
                      <a:off x="0" y="0"/>
                      <a:ext cx="1645920" cy="292608"/>
                    </a:xfrm>
                    <a:prstGeom prst="rect">
                      <a:avLst/>
                    </a:prstGeom>
                  </pic:spPr>
                </pic:pic>
              </a:graphicData>
            </a:graphic>
          </wp:inline>
        </w:drawing>
      </w:r>
      <w:r>
        <w:rPr>
          <w:position w:val="-14"/>
        </w:rPr>
      </w:r>
    </w:p>
    <w:p>
      <w:pPr>
        <w:pStyle w:val="BodyText"/>
        <w:spacing w:before="98"/>
        <w:ind w:left="173"/>
        <w:jc w:val="center"/>
      </w:pPr>
      <w:r>
        <w:rPr>
          <w:w w:val="105"/>
          <w:sz w:val="21"/>
        </w:rPr>
        <w:t>In  </w:t>
      </w:r>
      <w:r>
        <w:rPr>
          <w:w w:val="105"/>
        </w:rPr>
        <w:t>practice, </w:t>
      </w:r>
      <w:r>
        <w:rPr>
          <w:i/>
          <w:w w:val="105"/>
          <w:sz w:val="25"/>
        </w:rPr>
        <w:t>Cz </w:t>
      </w:r>
      <w:r>
        <w:rPr>
          <w:w w:val="105"/>
        </w:rPr>
        <w:t>is  romputed  by  a  formula  consistent  with  the</w:t>
      </w:r>
    </w:p>
    <w:p>
      <w:pPr>
        <w:spacing w:before="0"/>
        <w:ind w:left="117" w:right="739" w:firstLine="0"/>
        <w:jc w:val="left"/>
        <w:rPr>
          <w:sz w:val="20"/>
        </w:rPr>
      </w:pPr>
      <w:r>
        <w:rPr>
          <w:w w:val="110"/>
          <w:sz w:val="19"/>
        </w:rPr>
        <w:t>usual </w:t>
      </w:r>
      <w:r>
        <w:rPr>
          <w:w w:val="110"/>
          <w:sz w:val="20"/>
        </w:rPr>
        <w:t>approximation:</w:t>
      </w:r>
    </w:p>
    <w:p>
      <w:pPr>
        <w:pStyle w:val="BodyText"/>
        <w:tabs>
          <w:tab w:pos="3182" w:val="left" w:leader="none"/>
          <w:tab w:pos="3743" w:val="left" w:leader="none"/>
        </w:tabs>
        <w:spacing w:before="133"/>
        <w:ind w:right="54"/>
        <w:jc w:val="center"/>
      </w:pPr>
      <w:r>
        <w:rPr/>
        <w:drawing>
          <wp:anchor distT="0" distB="0" distL="0" distR="0" allowOverlap="1" layoutInCell="1" locked="0" behindDoc="1" simplePos="0" relativeHeight="267705647">
            <wp:simplePos x="0" y="0"/>
            <wp:positionH relativeFrom="page">
              <wp:posOffset>1929383</wp:posOffset>
            </wp:positionH>
            <wp:positionV relativeFrom="paragraph">
              <wp:posOffset>148462</wp:posOffset>
            </wp:positionV>
            <wp:extent cx="603504" cy="146303"/>
            <wp:effectExtent l="0" t="0" r="0" b="0"/>
            <wp:wrapNone/>
            <wp:docPr id="173" name="image91.png" descr=""/>
            <wp:cNvGraphicFramePr>
              <a:graphicFrameLocks noChangeAspect="1"/>
            </wp:cNvGraphicFramePr>
            <a:graphic>
              <a:graphicData uri="http://schemas.openxmlformats.org/drawingml/2006/picture">
                <pic:pic>
                  <pic:nvPicPr>
                    <pic:cNvPr id="174" name="image91.png"/>
                    <pic:cNvPicPr/>
                  </pic:nvPicPr>
                  <pic:blipFill>
                    <a:blip r:embed="rId95" cstate="print"/>
                    <a:stretch>
                      <a:fillRect/>
                    </a:stretch>
                  </pic:blipFill>
                  <pic:spPr>
                    <a:xfrm>
                      <a:off x="0" y="0"/>
                      <a:ext cx="603504" cy="146303"/>
                    </a:xfrm>
                    <a:prstGeom prst="rect">
                      <a:avLst/>
                    </a:prstGeom>
                  </pic:spPr>
                </pic:pic>
              </a:graphicData>
            </a:graphic>
          </wp:anchor>
        </w:drawing>
      </w:r>
      <w:r>
        <w:rPr>
          <w:position w:val="-13"/>
        </w:rPr>
        <w:drawing>
          <wp:inline distT="0" distB="0" distL="0" distR="0">
            <wp:extent cx="557784" cy="228600"/>
            <wp:effectExtent l="0" t="0" r="0" b="0"/>
            <wp:docPr id="175" name="image92.png" descr=""/>
            <wp:cNvGraphicFramePr>
              <a:graphicFrameLocks noChangeAspect="1"/>
            </wp:cNvGraphicFramePr>
            <a:graphic>
              <a:graphicData uri="http://schemas.openxmlformats.org/drawingml/2006/picture">
                <pic:pic>
                  <pic:nvPicPr>
                    <pic:cNvPr id="176" name="image92.png"/>
                    <pic:cNvPicPr/>
                  </pic:nvPicPr>
                  <pic:blipFill>
                    <a:blip r:embed="rId96" cstate="print"/>
                    <a:stretch>
                      <a:fillRect/>
                    </a:stretch>
                  </pic:blipFill>
                  <pic:spPr>
                    <a:xfrm>
                      <a:off x="0" y="0"/>
                      <a:ext cx="557784" cy="228600"/>
                    </a:xfrm>
                    <a:prstGeom prst="rect">
                      <a:avLst/>
                    </a:prstGeom>
                  </pic:spPr>
                </pic:pic>
              </a:graphicData>
            </a:graphic>
          </wp:inline>
        </w:drawing>
      </w:r>
      <w:r>
        <w:rPr>
          <w:position w:val="-13"/>
        </w:rPr>
      </w:r>
      <w:r>
        <w:rPr/>
        <w:t>       </w:t>
      </w:r>
      <w:r>
        <w:rPr>
          <w:w w:val="105"/>
        </w:rPr>
        <w:t>or</w:t>
        <w:tab/>
      </w:r>
      <w:r>
        <w:rPr>
          <w:spacing w:val="-1"/>
          <w:w w:val="105"/>
        </w:rPr>
        <w:t>or</w:t>
        <w:tab/>
      </w:r>
      <w:r>
        <w:rPr>
          <w:position w:val="-17"/>
        </w:rPr>
        <w:drawing>
          <wp:inline distT="0" distB="0" distL="0" distR="0">
            <wp:extent cx="704087" cy="310896"/>
            <wp:effectExtent l="0" t="0" r="0" b="0"/>
            <wp:docPr id="177" name="image93.png" descr=""/>
            <wp:cNvGraphicFramePr>
              <a:graphicFrameLocks noChangeAspect="1"/>
            </wp:cNvGraphicFramePr>
            <a:graphic>
              <a:graphicData uri="http://schemas.openxmlformats.org/drawingml/2006/picture">
                <pic:pic>
                  <pic:nvPicPr>
                    <pic:cNvPr id="178" name="image93.png"/>
                    <pic:cNvPicPr/>
                  </pic:nvPicPr>
                  <pic:blipFill>
                    <a:blip r:embed="rId97" cstate="print"/>
                    <a:stretch>
                      <a:fillRect/>
                    </a:stretch>
                  </pic:blipFill>
                  <pic:spPr>
                    <a:xfrm>
                      <a:off x="0" y="0"/>
                      <a:ext cx="704087" cy="310896"/>
                    </a:xfrm>
                    <a:prstGeom prst="rect">
                      <a:avLst/>
                    </a:prstGeom>
                  </pic:spPr>
                </pic:pic>
              </a:graphicData>
            </a:graphic>
          </wp:inline>
        </w:drawing>
      </w:r>
      <w:r>
        <w:rPr>
          <w:position w:val="-17"/>
        </w:rPr>
      </w:r>
    </w:p>
    <w:p>
      <w:pPr>
        <w:pStyle w:val="ListParagraph"/>
        <w:numPr>
          <w:ilvl w:val="0"/>
          <w:numId w:val="31"/>
        </w:numPr>
        <w:tabs>
          <w:tab w:pos="345" w:val="left" w:leader="none"/>
        </w:tabs>
        <w:spacing w:line="240" w:lineRule="auto" w:before="155" w:after="0"/>
        <w:ind w:left="344" w:right="0" w:hanging="234"/>
        <w:jc w:val="left"/>
        <w:rPr>
          <w:b/>
          <w:sz w:val="20"/>
        </w:rPr>
      </w:pPr>
      <w:r>
        <w:rPr>
          <w:b/>
          <w:w w:val="115"/>
          <w:sz w:val="19"/>
        </w:rPr>
        <w:t>Varying</w:t>
      </w:r>
      <w:r>
        <w:rPr>
          <w:b/>
          <w:spacing w:val="50"/>
          <w:w w:val="115"/>
          <w:sz w:val="19"/>
        </w:rPr>
        <w:t> </w:t>
      </w:r>
      <w:r>
        <w:rPr>
          <w:b/>
          <w:w w:val="115"/>
          <w:sz w:val="19"/>
        </w:rPr>
        <w:t>insurances</w:t>
      </w:r>
    </w:p>
    <w:p>
      <w:pPr>
        <w:pStyle w:val="BodyText"/>
        <w:spacing w:line="247" w:lineRule="auto" w:before="79"/>
        <w:ind w:left="110" w:right="141" w:firstLine="190"/>
        <w:jc w:val="both"/>
      </w:pPr>
      <w:r>
        <w:rPr>
          <w:w w:val="105"/>
        </w:rPr>
        <w:t>An insurance which provides </w:t>
      </w:r>
      <w:r>
        <w:rPr>
          <w:w w:val="105"/>
          <w:sz w:val="19"/>
        </w:rPr>
        <w:t>an </w:t>
      </w:r>
      <w:r>
        <w:rPr>
          <w:w w:val="105"/>
        </w:rPr>
        <w:t>increasing or decreasing death benefit is called a </w:t>
      </w:r>
      <w:r>
        <w:rPr>
          <w:rFonts w:ascii="Arial" w:hAnsi="Arial"/>
          <w:i/>
          <w:w w:val="105"/>
          <w:sz w:val="18"/>
        </w:rPr>
        <w:t>iw·11ing </w:t>
      </w:r>
      <w:r>
        <w:rPr>
          <w:i/>
          <w:w w:val="105"/>
        </w:rPr>
        <w:t>insurance. </w:t>
      </w:r>
      <w:r>
        <w:rPr>
          <w:w w:val="105"/>
        </w:rPr>
        <w:t>There are severa} standard types for whieh simple formulas may be developed. The commu­ tation symbol </w:t>
      </w:r>
      <w:r>
        <w:rPr>
          <w:i/>
          <w:w w:val="105"/>
          <w:sz w:val="22"/>
        </w:rPr>
        <w:t>Rz </w:t>
      </w:r>
      <w:r>
        <w:rPr>
          <w:w w:val="105"/>
        </w:rPr>
        <w:t>is used :</w:t>
      </w:r>
    </w:p>
    <w:p>
      <w:pPr>
        <w:spacing w:line="91" w:lineRule="exact" w:before="91"/>
        <w:ind w:left="1485" w:right="1124" w:firstLine="0"/>
        <w:jc w:val="center"/>
        <w:rPr>
          <w:b/>
          <w:sz w:val="11"/>
        </w:rPr>
      </w:pPr>
      <w:r>
        <w:rPr/>
        <w:drawing>
          <wp:anchor distT="0" distB="0" distL="0" distR="0" allowOverlap="1" layoutInCell="1" locked="0" behindDoc="0" simplePos="0" relativeHeight="6280">
            <wp:simplePos x="0" y="0"/>
            <wp:positionH relativeFrom="page">
              <wp:posOffset>1353311</wp:posOffset>
            </wp:positionH>
            <wp:positionV relativeFrom="paragraph">
              <wp:posOffset>77276</wp:posOffset>
            </wp:positionV>
            <wp:extent cx="950976" cy="292607"/>
            <wp:effectExtent l="0" t="0" r="0" b="0"/>
            <wp:wrapNone/>
            <wp:docPr id="179" name="image94.png" descr=""/>
            <wp:cNvGraphicFramePr>
              <a:graphicFrameLocks noChangeAspect="1"/>
            </wp:cNvGraphicFramePr>
            <a:graphic>
              <a:graphicData uri="http://schemas.openxmlformats.org/drawingml/2006/picture">
                <pic:pic>
                  <pic:nvPicPr>
                    <pic:cNvPr id="180" name="image94.png"/>
                    <pic:cNvPicPr/>
                  </pic:nvPicPr>
                  <pic:blipFill>
                    <a:blip r:embed="rId98" cstate="print"/>
                    <a:stretch>
                      <a:fillRect/>
                    </a:stretch>
                  </pic:blipFill>
                  <pic:spPr>
                    <a:xfrm>
                      <a:off x="0" y="0"/>
                      <a:ext cx="950976" cy="292607"/>
                    </a:xfrm>
                    <a:prstGeom prst="rect">
                      <a:avLst/>
                    </a:prstGeom>
                  </pic:spPr>
                </pic:pic>
              </a:graphicData>
            </a:graphic>
          </wp:anchor>
        </w:drawing>
      </w:r>
      <w:r>
        <w:rPr>
          <w:b/>
          <w:sz w:val="11"/>
        </w:rPr>
        <w:t>oc</w:t>
      </w:r>
    </w:p>
    <w:p>
      <w:pPr>
        <w:spacing w:line="261" w:lineRule="exact" w:before="0"/>
        <w:ind w:left="3062" w:right="739" w:firstLine="0"/>
        <w:jc w:val="left"/>
        <w:rPr>
          <w:sz w:val="19"/>
        </w:rPr>
      </w:pPr>
      <w:r>
        <w:rPr>
          <w:b/>
          <w:i/>
          <w:sz w:val="32"/>
        </w:rPr>
        <w:t>L </w:t>
      </w:r>
      <w:r>
        <w:rPr>
          <w:rFonts w:ascii="Arial" w:hAnsi="Arial"/>
          <w:b/>
          <w:sz w:val="18"/>
        </w:rPr>
        <w:t>( t </w:t>
      </w:r>
      <w:r>
        <w:rPr>
          <w:rFonts w:ascii="Arial" w:hAnsi="Arial"/>
          <w:sz w:val="30"/>
        </w:rPr>
        <w:t>+ </w:t>
      </w:r>
      <w:r>
        <w:rPr>
          <w:b/>
          <w:sz w:val="19"/>
        </w:rPr>
        <w:t>l)Cz+t </w:t>
      </w:r>
      <w:r>
        <w:rPr>
          <w:sz w:val="19"/>
        </w:rPr>
        <w:t>•</w:t>
      </w:r>
    </w:p>
    <w:p>
      <w:pPr>
        <w:spacing w:line="200" w:lineRule="exact" w:before="0"/>
        <w:ind w:left="1485" w:right="1125" w:firstLine="0"/>
        <w:jc w:val="center"/>
        <w:rPr>
          <w:rFonts w:ascii="Courier New"/>
          <w:sz w:val="24"/>
        </w:rPr>
      </w:pPr>
      <w:r>
        <w:rPr>
          <w:rFonts w:ascii="Courier New"/>
          <w:spacing w:val="-59"/>
          <w:w w:val="77"/>
          <w:sz w:val="24"/>
        </w:rPr>
        <w:t>,</w:t>
      </w:r>
      <w:r>
        <w:rPr>
          <w:rFonts w:ascii="Courier New"/>
          <w:spacing w:val="-27"/>
          <w:w w:val="90"/>
          <w:sz w:val="24"/>
        </w:rPr>
        <w:t>-</w:t>
      </w:r>
      <w:r>
        <w:rPr>
          <w:rFonts w:ascii="Courier New"/>
          <w:w w:val="39"/>
          <w:sz w:val="24"/>
        </w:rPr>
        <w:t>o</w:t>
      </w:r>
    </w:p>
    <w:p>
      <w:pPr>
        <w:spacing w:line="247" w:lineRule="auto" w:before="40"/>
        <w:ind w:left="106" w:right="111" w:firstLine="194"/>
        <w:jc w:val="both"/>
        <w:rPr>
          <w:sz w:val="20"/>
        </w:rPr>
      </w:pPr>
      <w:r>
        <w:rPr>
          <w:w w:val="105"/>
          <w:sz w:val="20"/>
        </w:rPr>
        <w:t>An </w:t>
      </w:r>
      <w:r>
        <w:rPr>
          <w:i/>
          <w:spacing w:val="-3"/>
          <w:w w:val="105"/>
          <w:sz w:val="20"/>
        </w:rPr>
        <w:t>increasing </w:t>
      </w:r>
      <w:r>
        <w:rPr>
          <w:i/>
          <w:w w:val="105"/>
          <w:sz w:val="20"/>
        </w:rPr>
        <w:t>whole  lif e insurance </w:t>
      </w:r>
      <w:r>
        <w:rPr>
          <w:w w:val="105"/>
          <w:sz w:val="20"/>
        </w:rPr>
        <w:t>provides  </w:t>
      </w:r>
      <w:r>
        <w:rPr>
          <w:rFonts w:ascii="Arial"/>
          <w:w w:val="105"/>
          <w:sz w:val="18"/>
        </w:rPr>
        <w:t>a </w:t>
      </w:r>
      <w:r>
        <w:rPr>
          <w:w w:val="105"/>
          <w:sz w:val="20"/>
        </w:rPr>
        <w:t>death benefit  </w:t>
      </w:r>
      <w:r>
        <w:rPr>
          <w:rFonts w:ascii="Arial"/>
          <w:w w:val="105"/>
          <w:sz w:val="18"/>
        </w:rPr>
        <w:t>of  </w:t>
      </w:r>
      <w:r>
        <w:rPr>
          <w:w w:val="110"/>
          <w:sz w:val="20"/>
        </w:rPr>
        <w:t>1 </w:t>
      </w:r>
      <w:r>
        <w:rPr>
          <w:w w:val="105"/>
          <w:sz w:val="20"/>
        </w:rPr>
        <w:t>in the first year, 2 in the second year, and so on, increasing by 1 each year </w:t>
      </w:r>
      <w:r>
        <w:rPr>
          <w:w w:val="105"/>
          <w:sz w:val="21"/>
        </w:rPr>
        <w:t>to </w:t>
      </w:r>
      <w:r>
        <w:rPr>
          <w:w w:val="105"/>
          <w:sz w:val="20"/>
        </w:rPr>
        <w:t>the end of  life. </w:t>
      </w:r>
      <w:r>
        <w:rPr>
          <w:w w:val="110"/>
          <w:sz w:val="20"/>
        </w:rPr>
        <w:t>lts </w:t>
      </w:r>
      <w:r>
        <w:rPr>
          <w:w w:val="105"/>
          <w:sz w:val="20"/>
        </w:rPr>
        <w:t>value is given by  the </w:t>
      </w:r>
      <w:r>
        <w:rPr>
          <w:spacing w:val="44"/>
          <w:w w:val="105"/>
          <w:sz w:val="20"/>
        </w:rPr>
        <w:t> </w:t>
      </w:r>
      <w:r>
        <w:rPr>
          <w:w w:val="105"/>
          <w:sz w:val="20"/>
        </w:rPr>
        <w:t>expression</w:t>
      </w:r>
    </w:p>
    <w:p>
      <w:pPr>
        <w:spacing w:line="339" w:lineRule="exact" w:before="0"/>
        <w:ind w:left="74" w:right="535" w:firstLine="0"/>
        <w:jc w:val="center"/>
        <w:rPr>
          <w:rFonts w:ascii="Arial"/>
          <w:sz w:val="30"/>
        </w:rPr>
      </w:pPr>
      <w:r>
        <w:rPr/>
        <w:pict>
          <v:shape style="position:absolute;margin-left:149.039993pt;margin-top:16.450087pt;width:9.35pt;height:23.5pt;mso-position-horizontal-relative:page;mso-position-vertical-relative:paragraph;z-index:-729712" type="#_x0000_t202" filled="false" stroked="false">
            <v:textbox inset="0,0,0,0">
              <w:txbxContent>
                <w:p>
                  <w:pPr>
                    <w:spacing w:line="470" w:lineRule="exact" w:before="0"/>
                    <w:ind w:left="0" w:right="0" w:firstLine="0"/>
                    <w:jc w:val="left"/>
                    <w:rPr>
                      <w:b/>
                      <w:sz w:val="47"/>
                    </w:rPr>
                  </w:pPr>
                  <w:r>
                    <w:rPr>
                      <w:b/>
                      <w:w w:val="118"/>
                      <w:sz w:val="47"/>
                    </w:rPr>
                    <w:t>f</w:t>
                  </w:r>
                </w:p>
              </w:txbxContent>
            </v:textbox>
            <w10:wrap type="none"/>
          </v:shape>
        </w:pict>
      </w:r>
      <w:r>
        <w:rPr>
          <w:rFonts w:ascii="Arial"/>
          <w:sz w:val="19"/>
        </w:rPr>
        <w:t>. </w:t>
      </w:r>
      <w:r>
        <w:rPr>
          <w:rFonts w:ascii="Arial"/>
          <w:b/>
          <w:i/>
          <w:sz w:val="19"/>
        </w:rPr>
        <w:t>(1</w:t>
      </w:r>
      <w:r>
        <w:rPr>
          <w:b/>
          <w:i/>
          <w:sz w:val="20"/>
        </w:rPr>
        <w:t>A </w:t>
      </w:r>
      <w:r>
        <w:rPr>
          <w:b/>
          <w:sz w:val="21"/>
        </w:rPr>
        <w:t>)z  </w:t>
      </w:r>
      <w:r>
        <w:rPr>
          <w:sz w:val="23"/>
        </w:rPr>
        <w:t>= </w:t>
      </w:r>
      <w:r>
        <w:rPr>
          <w:b/>
          <w:i/>
          <w:sz w:val="20"/>
        </w:rPr>
        <w:t>vqz  </w:t>
      </w:r>
      <w:r>
        <w:rPr>
          <w:rFonts w:ascii="Arial"/>
          <w:sz w:val="30"/>
        </w:rPr>
        <w:t>+ </w:t>
      </w:r>
      <w:r>
        <w:rPr>
          <w:b/>
          <w:sz w:val="20"/>
        </w:rPr>
        <w:t>2v\1qz  </w:t>
      </w:r>
      <w:r>
        <w:rPr>
          <w:rFonts w:ascii="Arial"/>
          <w:sz w:val="30"/>
        </w:rPr>
        <w:t>+ </w:t>
      </w:r>
      <w:r>
        <w:rPr>
          <w:b/>
          <w:i/>
          <w:sz w:val="20"/>
        </w:rPr>
        <w:t>3v\qz </w:t>
      </w:r>
      <w:r>
        <w:rPr>
          <w:rFonts w:ascii="Arial"/>
          <w:sz w:val="30"/>
        </w:rPr>
        <w:t>+</w:t>
      </w:r>
    </w:p>
    <w:p>
      <w:pPr>
        <w:tabs>
          <w:tab w:pos="2623" w:val="left" w:leader="none"/>
        </w:tabs>
        <w:spacing w:line="291" w:lineRule="exact" w:before="77"/>
        <w:ind w:left="1906" w:right="739" w:firstLine="0"/>
        <w:jc w:val="left"/>
        <w:rPr>
          <w:i/>
          <w:sz w:val="15"/>
        </w:rPr>
      </w:pPr>
      <w:r>
        <w:rPr>
          <w:w w:val="101"/>
          <w:sz w:val="23"/>
        </w:rPr>
        <w:t>=</w:t>
      </w:r>
      <w:r>
        <w:rPr>
          <w:spacing w:val="18"/>
          <w:sz w:val="23"/>
        </w:rPr>
        <w:t> </w:t>
      </w:r>
      <w:r>
        <w:rPr>
          <w:b/>
          <w:spacing w:val="-128"/>
          <w:w w:val="113"/>
          <w:sz w:val="20"/>
        </w:rPr>
        <w:t>_</w:t>
      </w:r>
      <w:r>
        <w:rPr>
          <w:b/>
          <w:spacing w:val="-41"/>
          <w:w w:val="98"/>
          <w:sz w:val="20"/>
        </w:rPr>
        <w:t>l</w:t>
      </w:r>
      <w:r>
        <w:rPr>
          <w:b/>
          <w:w w:val="134"/>
          <w:sz w:val="20"/>
        </w:rPr>
        <w:t>l</w:t>
      </w:r>
      <w:r>
        <w:rPr>
          <w:b/>
          <w:sz w:val="20"/>
        </w:rPr>
        <w:tab/>
      </w:r>
      <w:r>
        <w:rPr>
          <w:rFonts w:ascii="Arial"/>
          <w:b/>
          <w:i/>
          <w:w w:val="69"/>
          <w:sz w:val="19"/>
        </w:rPr>
        <w:t>(</w:t>
      </w:r>
      <w:r>
        <w:rPr>
          <w:rFonts w:ascii="Arial"/>
          <w:b/>
          <w:i/>
          <w:spacing w:val="-15"/>
          <w:sz w:val="19"/>
        </w:rPr>
        <w:t> </w:t>
      </w:r>
      <w:r>
        <w:rPr>
          <w:rFonts w:ascii="Arial"/>
          <w:b/>
          <w:i/>
          <w:w w:val="81"/>
          <w:sz w:val="19"/>
        </w:rPr>
        <w:t>t</w:t>
      </w:r>
      <w:r>
        <w:rPr>
          <w:rFonts w:ascii="Arial"/>
          <w:b/>
          <w:i/>
          <w:sz w:val="19"/>
        </w:rPr>
        <w:t> </w:t>
      </w:r>
      <w:r>
        <w:rPr>
          <w:rFonts w:ascii="Arial"/>
          <w:b/>
          <w:i/>
          <w:spacing w:val="-14"/>
          <w:sz w:val="19"/>
        </w:rPr>
        <w:t> </w:t>
      </w:r>
      <w:r>
        <w:rPr>
          <w:rFonts w:ascii="Arial"/>
          <w:w w:val="103"/>
          <w:sz w:val="31"/>
        </w:rPr>
        <w:t>+</w:t>
      </w:r>
      <w:r>
        <w:rPr>
          <w:rFonts w:ascii="Arial"/>
          <w:spacing w:val="-15"/>
          <w:sz w:val="31"/>
        </w:rPr>
        <w:t> </w:t>
      </w:r>
      <w:r>
        <w:rPr>
          <w:b/>
          <w:w w:val="120"/>
          <w:sz w:val="20"/>
        </w:rPr>
        <w:t>l</w:t>
      </w:r>
      <w:r>
        <w:rPr>
          <w:b/>
          <w:spacing w:val="-13"/>
          <w:sz w:val="20"/>
        </w:rPr>
        <w:t> </w:t>
      </w:r>
      <w:r>
        <w:rPr>
          <w:w w:val="92"/>
          <w:sz w:val="20"/>
        </w:rPr>
        <w:t>)</w:t>
      </w:r>
      <w:r>
        <w:rPr>
          <w:w w:val="92"/>
          <w:sz w:val="20"/>
        </w:rPr>
        <w:t>vt</w:t>
      </w:r>
      <w:r>
        <w:rPr>
          <w:spacing w:val="12"/>
          <w:w w:val="92"/>
          <w:sz w:val="20"/>
        </w:rPr>
        <w:t>+</w:t>
      </w:r>
      <w:r>
        <w:rPr>
          <w:w w:val="124"/>
          <w:position w:val="9"/>
          <w:sz w:val="12"/>
        </w:rPr>
        <w:t>1</w:t>
      </w:r>
      <w:r>
        <w:rPr>
          <w:spacing w:val="7"/>
          <w:position w:val="9"/>
          <w:sz w:val="12"/>
        </w:rPr>
        <w:t> </w:t>
      </w:r>
      <w:r>
        <w:rPr>
          <w:i/>
          <w:w w:val="109"/>
          <w:sz w:val="15"/>
        </w:rPr>
        <w:t>dz+t</w:t>
      </w:r>
    </w:p>
    <w:p>
      <w:pPr>
        <w:spacing w:line="188" w:lineRule="exact" w:before="0"/>
        <w:ind w:left="22" w:right="1259" w:firstLine="0"/>
        <w:jc w:val="center"/>
        <w:rPr>
          <w:b/>
          <w:sz w:val="22"/>
        </w:rPr>
      </w:pPr>
      <w:r>
        <w:rPr>
          <w:b/>
          <w:w w:val="105"/>
          <w:sz w:val="12"/>
        </w:rPr>
        <w:t>z </w:t>
      </w:r>
      <w:r>
        <w:rPr>
          <w:b/>
          <w:w w:val="105"/>
          <w:sz w:val="22"/>
        </w:rPr>
        <w:t>,-o</w:t>
      </w:r>
    </w:p>
    <w:p>
      <w:pPr>
        <w:tabs>
          <w:tab w:pos="781" w:val="left" w:leader="none"/>
        </w:tabs>
        <w:spacing w:line="161" w:lineRule="exact" w:before="35"/>
        <w:ind w:left="0" w:right="716" w:firstLine="0"/>
        <w:jc w:val="center"/>
        <w:rPr>
          <w:sz w:val="11"/>
        </w:rPr>
      </w:pPr>
      <w:r>
        <w:rPr>
          <w:b/>
          <w:w w:val="140"/>
          <w:sz w:val="20"/>
        </w:rPr>
        <w:t>l </w:t>
      </w:r>
      <w:r>
        <w:rPr>
          <w:b/>
          <w:spacing w:val="44"/>
          <w:w w:val="140"/>
          <w:sz w:val="20"/>
        </w:rPr>
        <w:t> </w:t>
      </w:r>
      <w:r>
        <w:rPr>
          <w:b/>
          <w:w w:val="110"/>
          <w:sz w:val="11"/>
        </w:rPr>
        <w:t>oc</w:t>
        <w:tab/>
      </w:r>
      <w:r>
        <w:rPr>
          <w:w w:val="175"/>
          <w:sz w:val="11"/>
        </w:rPr>
        <w:t>•</w:t>
      </w:r>
    </w:p>
    <w:p>
      <w:pPr>
        <w:spacing w:line="265" w:lineRule="exact" w:before="0"/>
        <w:ind w:left="1896" w:right="739" w:firstLine="0"/>
        <w:jc w:val="left"/>
        <w:rPr>
          <w:b/>
          <w:i/>
          <w:sz w:val="19"/>
        </w:rPr>
      </w:pPr>
      <w:r>
        <w:rPr/>
        <w:pict>
          <v:rect style="position:absolute;margin-left:139.320007pt;margin-top:11.930604pt;width:7.38pt;height:5.4pt;mso-position-horizontal-relative:page;mso-position-vertical-relative:paragraph;z-index:-729760" filled="true" fillcolor="#000000" stroked="false">
            <v:fill type="solid"/>
            <w10:wrap type="none"/>
          </v:rect>
        </w:pict>
      </w:r>
      <w:r>
        <w:rPr/>
        <w:pict>
          <v:shape style="position:absolute;margin-left:153.720001pt;margin-top:5.842835pt;width:11.35pt;height:14.5pt;mso-position-horizontal-relative:page;mso-position-vertical-relative:paragraph;z-index:-729688" type="#_x0000_t202" filled="false" stroked="false">
            <v:textbox inset="0,0,0,0">
              <w:txbxContent>
                <w:p>
                  <w:pPr>
                    <w:spacing w:line="290" w:lineRule="exact" w:before="0"/>
                    <w:ind w:left="0" w:right="-13" w:firstLine="0"/>
                    <w:jc w:val="left"/>
                    <w:rPr>
                      <w:sz w:val="29"/>
                    </w:rPr>
                  </w:pPr>
                  <w:r>
                    <w:rPr>
                      <w:w w:val="70"/>
                      <w:sz w:val="29"/>
                    </w:rPr>
                    <w:t>,-o</w:t>
                  </w:r>
                </w:p>
              </w:txbxContent>
            </v:textbox>
            <w10:wrap type="none"/>
          </v:shape>
        </w:pict>
      </w:r>
      <w:r>
        <w:rPr>
          <w:sz w:val="23"/>
        </w:rPr>
        <w:t>= </w:t>
      </w:r>
      <w:r>
        <w:rPr>
          <w:b/>
          <w:i/>
          <w:sz w:val="19"/>
        </w:rPr>
        <w:t>D   </w:t>
      </w:r>
      <w:r>
        <w:rPr>
          <w:b/>
          <w:i/>
          <w:sz w:val="33"/>
        </w:rPr>
        <w:t>L </w:t>
      </w:r>
      <w:r>
        <w:rPr>
          <w:rFonts w:ascii="Arial"/>
          <w:b/>
          <w:i/>
          <w:sz w:val="18"/>
        </w:rPr>
        <w:t>( t </w:t>
      </w:r>
      <w:r>
        <w:rPr>
          <w:rFonts w:ascii="Arial"/>
          <w:sz w:val="32"/>
        </w:rPr>
        <w:t>+ </w:t>
      </w:r>
      <w:r>
        <w:rPr>
          <w:b/>
          <w:i/>
          <w:sz w:val="19"/>
        </w:rPr>
        <w:t>l )Cz+t</w:t>
      </w:r>
    </w:p>
    <w:p>
      <w:pPr>
        <w:spacing w:line="116" w:lineRule="exact" w:before="0"/>
        <w:ind w:left="0" w:right="1365" w:firstLine="0"/>
        <w:jc w:val="center"/>
        <w:rPr>
          <w:i/>
          <w:sz w:val="14"/>
        </w:rPr>
      </w:pPr>
      <w:r>
        <w:rPr>
          <w:i/>
          <w:w w:val="107"/>
          <w:sz w:val="14"/>
        </w:rPr>
        <w:t>z</w:t>
      </w:r>
    </w:p>
    <w:p>
      <w:pPr>
        <w:pStyle w:val="BodyText"/>
        <w:spacing w:before="3"/>
        <w:rPr>
          <w:i/>
          <w:sz w:val="11"/>
        </w:rPr>
      </w:pPr>
    </w:p>
    <w:p>
      <w:pPr>
        <w:spacing w:before="74"/>
        <w:ind w:left="0" w:right="148" w:firstLine="0"/>
        <w:jc w:val="right"/>
        <w:rPr>
          <w:b/>
          <w:sz w:val="20"/>
        </w:rPr>
      </w:pPr>
      <w:r>
        <w:rPr>
          <w:b/>
          <w:sz w:val="20"/>
        </w:rPr>
        <w:t>( 3.20)</w:t>
      </w:r>
    </w:p>
    <w:p>
      <w:pPr>
        <w:spacing w:after="0"/>
        <w:jc w:val="right"/>
        <w:rPr>
          <w:sz w:val="20"/>
        </w:rPr>
        <w:sectPr>
          <w:pgSz w:w="7200" w:h="11340"/>
          <w:pgMar w:top="500" w:bottom="280" w:left="660" w:right="560"/>
        </w:sectPr>
      </w:pPr>
    </w:p>
    <w:p>
      <w:pPr>
        <w:tabs>
          <w:tab w:pos="2097" w:val="left" w:leader="none"/>
          <w:tab w:pos="5897" w:val="right" w:leader="none"/>
        </w:tabs>
        <w:spacing w:before="52"/>
        <w:ind w:left="160" w:right="0" w:firstLine="0"/>
        <w:jc w:val="left"/>
        <w:rPr>
          <w:rFonts w:ascii="Arial"/>
          <w:sz w:val="20"/>
        </w:rPr>
      </w:pPr>
      <w:r>
        <w:rPr>
          <w:b/>
          <w:color w:val="010101"/>
          <w:position w:val="1"/>
          <w:sz w:val="15"/>
        </w:rPr>
        <w:t>SEC.</w:t>
      </w:r>
      <w:r>
        <w:rPr>
          <w:b/>
          <w:color w:val="010101"/>
          <w:spacing w:val="34"/>
          <w:position w:val="1"/>
          <w:sz w:val="15"/>
        </w:rPr>
        <w:t> </w:t>
      </w:r>
      <w:r>
        <w:rPr>
          <w:rFonts w:ascii="Arial"/>
          <w:b/>
          <w:color w:val="010101"/>
          <w:position w:val="1"/>
          <w:sz w:val="19"/>
        </w:rPr>
        <w:t>5)</w:t>
        <w:tab/>
      </w:r>
      <w:r>
        <w:rPr>
          <w:b/>
          <w:color w:val="010101"/>
          <w:position w:val="1"/>
          <w:sz w:val="15"/>
        </w:rPr>
        <w:t>VARYING  </w:t>
      </w:r>
      <w:r>
        <w:rPr>
          <w:b/>
          <w:color w:val="010101"/>
          <w:spacing w:val="4"/>
          <w:position w:val="1"/>
          <w:sz w:val="15"/>
        </w:rPr>
        <w:t> </w:t>
      </w:r>
      <w:r>
        <w:rPr>
          <w:b/>
          <w:color w:val="010101"/>
          <w:position w:val="1"/>
          <w:sz w:val="15"/>
        </w:rPr>
        <w:t>INSURANCES</w:t>
      </w:r>
      <w:r>
        <w:rPr>
          <w:rFonts w:ascii="Arial"/>
          <w:color w:val="010101"/>
          <w:sz w:val="20"/>
        </w:rPr>
        <w:tab/>
        <w:t>73</w:t>
      </w:r>
    </w:p>
    <w:p>
      <w:pPr>
        <w:pStyle w:val="BodyText"/>
        <w:rPr>
          <w:rFonts w:ascii="Arial"/>
          <w:sz w:val="21"/>
        </w:rPr>
      </w:pPr>
    </w:p>
    <w:p>
      <w:pPr>
        <w:spacing w:line="247" w:lineRule="auto" w:before="0"/>
        <w:ind w:left="142" w:right="115" w:firstLine="208"/>
        <w:jc w:val="both"/>
        <w:rPr>
          <w:sz w:val="19"/>
        </w:rPr>
      </w:pPr>
      <w:r>
        <w:rPr>
          <w:color w:val="010101"/>
          <w:w w:val="110"/>
          <w:sz w:val="19"/>
        </w:rPr>
        <w:t>Thc </w:t>
      </w:r>
      <w:r>
        <w:rPr>
          <w:i/>
          <w:color w:val="010101"/>
          <w:w w:val="110"/>
          <w:sz w:val="20"/>
        </w:rPr>
        <w:t>increa.'ting il!rm insurance </w:t>
      </w:r>
      <w:r>
        <w:rPr>
          <w:color w:val="010101"/>
          <w:w w:val="110"/>
          <w:sz w:val="19"/>
        </w:rPr>
        <w:t>provides a death benefit of </w:t>
      </w:r>
      <w:r>
        <w:rPr>
          <w:color w:val="010101"/>
          <w:w w:val="110"/>
          <w:sz w:val="20"/>
        </w:rPr>
        <w:t>1 </w:t>
      </w:r>
      <w:r>
        <w:rPr>
          <w:color w:val="010101"/>
          <w:w w:val="110"/>
          <w:sz w:val="19"/>
        </w:rPr>
        <w:t>in </w:t>
      </w:r>
      <w:r>
        <w:rPr>
          <w:color w:val="010101"/>
          <w:w w:val="110"/>
          <w:sz w:val="20"/>
        </w:rPr>
        <w:t>the </w:t>
      </w:r>
      <w:r>
        <w:rPr>
          <w:color w:val="010101"/>
          <w:w w:val="110"/>
          <w:sz w:val="19"/>
        </w:rPr>
        <w:t>first </w:t>
      </w:r>
      <w:r>
        <w:rPr>
          <w:color w:val="010101"/>
          <w:w w:val="110"/>
          <w:sz w:val="20"/>
        </w:rPr>
        <w:t>ycar, </w:t>
      </w:r>
      <w:r>
        <w:rPr>
          <w:color w:val="010101"/>
          <w:w w:val="110"/>
          <w:sz w:val="19"/>
        </w:rPr>
        <w:t>incrensing by </w:t>
      </w:r>
      <w:r>
        <w:rPr>
          <w:color w:val="010101"/>
          <w:w w:val="110"/>
          <w:sz w:val="20"/>
        </w:rPr>
        <w:t>1 each </w:t>
      </w:r>
      <w:r>
        <w:rPr>
          <w:color w:val="010101"/>
          <w:w w:val="110"/>
          <w:sz w:val="19"/>
        </w:rPr>
        <w:t>year, but with </w:t>
      </w:r>
      <w:r>
        <w:rPr>
          <w:color w:val="010101"/>
          <w:w w:val="110"/>
          <w:sz w:val="20"/>
        </w:rPr>
        <w:t>no </w:t>
      </w:r>
      <w:r>
        <w:rPr>
          <w:color w:val="010101"/>
          <w:w w:val="110"/>
          <w:sz w:val="19"/>
        </w:rPr>
        <w:t>payment </w:t>
      </w:r>
      <w:r>
        <w:rPr>
          <w:color w:val="010101"/>
          <w:w w:val="110"/>
          <w:sz w:val="20"/>
        </w:rPr>
        <w:t>if </w:t>
      </w:r>
      <w:r>
        <w:rPr>
          <w:color w:val="010101"/>
          <w:w w:val="110"/>
          <w:sz w:val="19"/>
        </w:rPr>
        <w:t>death occurs aft r.r </w:t>
      </w:r>
      <w:r>
        <w:rPr>
          <w:i/>
          <w:color w:val="010101"/>
          <w:w w:val="110"/>
          <w:sz w:val="21"/>
        </w:rPr>
        <w:t>n </w:t>
      </w:r>
      <w:r>
        <w:rPr>
          <w:color w:val="010101"/>
          <w:w w:val="110"/>
          <w:sz w:val="19"/>
        </w:rPr>
        <w:t>years. Its value is easily seen to  be</w:t>
      </w:r>
    </w:p>
    <w:p>
      <w:pPr>
        <w:tabs>
          <w:tab w:pos="3844" w:val="left" w:leader="none"/>
        </w:tabs>
        <w:spacing w:line="176" w:lineRule="exact" w:before="136"/>
        <w:ind w:left="2588" w:right="0" w:firstLine="0"/>
        <w:jc w:val="left"/>
        <w:rPr>
          <w:b/>
          <w:i/>
          <w:sz w:val="21"/>
        </w:rPr>
      </w:pPr>
      <w:r>
        <w:rPr/>
        <w:pict>
          <v:shape style="position:absolute;margin-left:110.134499pt;margin-top:8.904736pt;width:110.95pt;height:14pt;mso-position-horizontal-relative:page;mso-position-vertical-relative:paragraph;z-index:-729640" type="#_x0000_t202" filled="false" stroked="false">
            <v:textbox inset="0,0,0,0">
              <w:txbxContent>
                <w:p>
                  <w:pPr>
                    <w:tabs>
                      <w:tab w:pos="807" w:val="left" w:leader="none"/>
                      <w:tab w:pos="1567" w:val="left" w:leader="none"/>
                    </w:tabs>
                    <w:spacing w:line="280" w:lineRule="exact" w:before="0"/>
                    <w:ind w:left="0" w:right="0" w:firstLine="0"/>
                    <w:jc w:val="left"/>
                    <w:rPr>
                      <w:rFonts w:ascii="Arial"/>
                      <w:sz w:val="19"/>
                    </w:rPr>
                  </w:pPr>
                  <w:r>
                    <w:rPr>
                      <w:rFonts w:ascii="Arial"/>
                      <w:i/>
                      <w:color w:val="010101"/>
                      <w:position w:val="-8"/>
                      <w:sz w:val="19"/>
                    </w:rPr>
                    <w:t>( /</w:t>
                  </w:r>
                  <w:r>
                    <w:rPr>
                      <w:rFonts w:ascii="Arial"/>
                      <w:i/>
                      <w:color w:val="010101"/>
                      <w:spacing w:val="-31"/>
                      <w:position w:val="-8"/>
                      <w:sz w:val="19"/>
                    </w:rPr>
                    <w:t> </w:t>
                  </w:r>
                  <w:r>
                    <w:rPr>
                      <w:rFonts w:ascii="Arial"/>
                      <w:i/>
                      <w:color w:val="010101"/>
                      <w:position w:val="-8"/>
                      <w:sz w:val="19"/>
                    </w:rPr>
                    <w:t>A</w:t>
                  </w:r>
                  <w:r>
                    <w:rPr>
                      <w:rFonts w:ascii="Arial"/>
                      <w:i/>
                      <w:color w:val="010101"/>
                      <w:spacing w:val="-6"/>
                      <w:position w:val="-8"/>
                      <w:sz w:val="19"/>
                    </w:rPr>
                    <w:t> </w:t>
                  </w:r>
                  <w:r>
                    <w:rPr>
                      <w:rFonts w:ascii="Arial"/>
                      <w:color w:val="010101"/>
                      <w:spacing w:val="3"/>
                      <w:w w:val="140"/>
                      <w:position w:val="-7"/>
                      <w:sz w:val="19"/>
                    </w:rPr>
                    <w:t>)</w:t>
                  </w:r>
                  <w:r>
                    <w:rPr>
                      <w:color w:val="010101"/>
                      <w:spacing w:val="3"/>
                      <w:w w:val="140"/>
                      <w:sz w:val="12"/>
                    </w:rPr>
                    <w:t>1</w:t>
                    <w:tab/>
                  </w:r>
                  <w:r>
                    <w:rPr>
                      <w:color w:val="010101"/>
                      <w:w w:val="170"/>
                      <w:sz w:val="12"/>
                    </w:rPr>
                    <w:t>_</w:t>
                    <w:tab/>
                  </w:r>
                  <w:r>
                    <w:rPr>
                      <w:rFonts w:ascii="Arial"/>
                      <w:i/>
                      <w:color w:val="010101"/>
                      <w:sz w:val="19"/>
                    </w:rPr>
                    <w:t>Rz+"</w:t>
                  </w:r>
                  <w:r>
                    <w:rPr>
                      <w:rFonts w:ascii="Arial"/>
                      <w:i/>
                      <w:color w:val="010101"/>
                      <w:spacing w:val="35"/>
                      <w:sz w:val="19"/>
                    </w:rPr>
                    <w:t> </w:t>
                  </w:r>
                  <w:r>
                    <w:rPr>
                      <w:rFonts w:ascii="Arial"/>
                      <w:color w:val="010101"/>
                      <w:w w:val="240"/>
                      <w:sz w:val="19"/>
                    </w:rPr>
                    <w:t>-</w:t>
                  </w:r>
                </w:p>
              </w:txbxContent>
            </v:textbox>
            <w10:wrap type="none"/>
          </v:shape>
        </w:pict>
      </w:r>
      <w:r>
        <w:rPr>
          <w:b/>
          <w:i/>
          <w:color w:val="010101"/>
          <w:sz w:val="21"/>
        </w:rPr>
        <w:t>Rs</w:t>
      </w:r>
      <w:r>
        <w:rPr>
          <w:b/>
          <w:i/>
          <w:color w:val="010101"/>
          <w:spacing w:val="46"/>
          <w:sz w:val="21"/>
        </w:rPr>
        <w:t> </w:t>
      </w:r>
      <w:r>
        <w:rPr>
          <w:color w:val="010101"/>
          <w:w w:val="240"/>
          <w:sz w:val="21"/>
        </w:rPr>
        <w:t>-</w:t>
        <w:tab/>
      </w:r>
      <w:r>
        <w:rPr>
          <w:b/>
          <w:i/>
          <w:color w:val="010101"/>
          <w:sz w:val="21"/>
        </w:rPr>
        <w:t>nMs+n</w:t>
      </w:r>
    </w:p>
    <w:p>
      <w:pPr>
        <w:tabs>
          <w:tab w:pos="3388" w:val="left" w:leader="none"/>
          <w:tab w:pos="4436" w:val="left" w:leader="none"/>
          <w:tab w:pos="5368" w:val="left" w:leader="none"/>
        </w:tabs>
        <w:spacing w:line="219" w:lineRule="exact" w:before="0"/>
        <w:ind w:left="1989" w:right="0" w:firstLine="0"/>
        <w:jc w:val="left"/>
        <w:rPr>
          <w:sz w:val="19"/>
        </w:rPr>
      </w:pPr>
      <w:r>
        <w:rPr/>
        <w:pict>
          <v:line style="position:absolute;mso-position-horizontal-relative:page;mso-position-vertical-relative:paragraph;z-index:-729664" from="168.7892pt,1.202343pt" to="171.12110pt,1.202343pt" stroked="true" strokeweight=".358744pt" strokecolor="#000000">
            <w10:wrap type="none"/>
          </v:line>
        </w:pict>
      </w:r>
      <w:r>
        <w:rPr>
          <w:b/>
          <w:color w:val="010101"/>
          <w:sz w:val="20"/>
        </w:rPr>
        <w:t>z</w:t>
      </w:r>
      <w:r>
        <w:rPr>
          <w:b/>
          <w:color w:val="010101"/>
          <w:spacing w:val="-38"/>
          <w:sz w:val="20"/>
        </w:rPr>
        <w:t> </w:t>
      </w:r>
      <w:r>
        <w:rPr>
          <w:b/>
          <w:color w:val="1C1C1C"/>
          <w:spacing w:val="2"/>
          <w:sz w:val="20"/>
        </w:rPr>
        <w:t>:</w:t>
      </w:r>
      <w:r>
        <w:rPr>
          <w:b/>
          <w:color w:val="010101"/>
          <w:spacing w:val="2"/>
          <w:sz w:val="20"/>
        </w:rPr>
        <w:t>ñl</w:t>
      </w:r>
      <w:r>
        <w:rPr>
          <w:b/>
          <w:color w:val="010101"/>
          <w:spacing w:val="39"/>
          <w:sz w:val="20"/>
        </w:rPr>
        <w:t> </w:t>
      </w:r>
      <w:r>
        <w:rPr>
          <w:color w:val="010101"/>
          <w:w w:val="195"/>
          <w:sz w:val="20"/>
        </w:rPr>
        <w:t>-</w:t>
        <w:tab/>
      </w:r>
      <w:r>
        <w:rPr>
          <w:b/>
          <w:i/>
          <w:color w:val="010101"/>
          <w:sz w:val="22"/>
        </w:rPr>
        <w:t>Dz</w:t>
        <w:tab/>
      </w:r>
      <w:r>
        <w:rPr>
          <w:color w:val="010101"/>
          <w:w w:val="115"/>
          <w:sz w:val="22"/>
        </w:rPr>
        <w:t>.</w:t>
        <w:tab/>
      </w:r>
      <w:r>
        <w:rPr>
          <w:color w:val="010101"/>
          <w:w w:val="115"/>
          <w:position w:val="6"/>
          <w:sz w:val="19"/>
        </w:rPr>
        <w:t>(3.21)</w:t>
      </w:r>
    </w:p>
    <w:p>
      <w:pPr>
        <w:spacing w:line="252" w:lineRule="auto" w:before="202"/>
        <w:ind w:left="138" w:right="114" w:firstLine="200"/>
        <w:jc w:val="both"/>
        <w:rPr>
          <w:sz w:val="19"/>
        </w:rPr>
      </w:pPr>
      <w:r>
        <w:rPr>
          <w:rFonts w:ascii="Arial"/>
          <w:color w:val="010101"/>
          <w:w w:val="110"/>
          <w:sz w:val="19"/>
        </w:rPr>
        <w:t>A </w:t>
      </w:r>
      <w:r>
        <w:rPr>
          <w:color w:val="010101"/>
          <w:w w:val="110"/>
          <w:sz w:val="19"/>
        </w:rPr>
        <w:t>whole life insuran&lt;"e providing </w:t>
      </w:r>
      <w:r>
        <w:rPr>
          <w:rFonts w:ascii="Arial"/>
          <w:color w:val="010101"/>
          <w:w w:val="110"/>
          <w:sz w:val="17"/>
        </w:rPr>
        <w:t>a </w:t>
      </w:r>
      <w:r>
        <w:rPr>
          <w:color w:val="010101"/>
          <w:w w:val="110"/>
          <w:sz w:val="19"/>
        </w:rPr>
        <w:t>death benefit which increases for </w:t>
      </w:r>
      <w:r>
        <w:rPr>
          <w:i/>
          <w:color w:val="010101"/>
          <w:w w:val="110"/>
          <w:sz w:val="20"/>
        </w:rPr>
        <w:t>n </w:t>
      </w:r>
      <w:r>
        <w:rPr>
          <w:color w:val="010101"/>
          <w:w w:val="110"/>
          <w:sz w:val="19"/>
        </w:rPr>
        <w:t>years only and then rcmains constant at </w:t>
      </w:r>
      <w:r>
        <w:rPr>
          <w:i/>
          <w:color w:val="010101"/>
          <w:w w:val="110"/>
          <w:sz w:val="21"/>
        </w:rPr>
        <w:t>n </w:t>
      </w:r>
      <w:r>
        <w:rPr>
          <w:color w:val="010101"/>
          <w:w w:val="110"/>
          <w:sz w:val="19"/>
        </w:rPr>
        <w:t>has thc net single prcmium</w:t>
      </w:r>
    </w:p>
    <w:p>
      <w:pPr>
        <w:spacing w:before="119"/>
        <w:ind w:left="5" w:right="87" w:firstLine="0"/>
        <w:jc w:val="center"/>
        <w:rPr>
          <w:rFonts w:ascii="Arial"/>
          <w:i/>
          <w:sz w:val="20"/>
        </w:rPr>
      </w:pPr>
      <w:r>
        <w:rPr/>
        <w:pict>
          <v:shape style="position:absolute;margin-left:142.242203pt;margin-top:13.859012pt;width:183.1pt;height:13.05pt;mso-position-horizontal-relative:page;mso-position-vertical-relative:paragraph;z-index:-729616" type="#_x0000_t202" filled="false" stroked="false">
            <v:textbox inset="0,0,0,0">
              <w:txbxContent>
                <w:p>
                  <w:pPr>
                    <w:tabs>
                      <w:tab w:pos="383" w:val="left" w:leader="none"/>
                      <w:tab w:pos="1129" w:val="left" w:leader="none"/>
                      <w:tab w:pos="1750" w:val="left" w:leader="none"/>
                      <w:tab w:pos="3153" w:val="left" w:leader="none"/>
                    </w:tabs>
                    <w:spacing w:line="260" w:lineRule="exact" w:before="0"/>
                    <w:ind w:left="0" w:right="0" w:firstLine="0"/>
                    <w:jc w:val="left"/>
                    <w:rPr>
                      <w:sz w:val="19"/>
                    </w:rPr>
                  </w:pPr>
                  <w:r>
                    <w:rPr>
                      <w:color w:val="010101"/>
                      <w:w w:val="120"/>
                      <w:position w:val="-5"/>
                      <w:sz w:val="19"/>
                    </w:rPr>
                    <w:t>;¡</w:t>
                    <w:tab/>
                  </w:r>
                  <w:r>
                    <w:rPr>
                      <w:i/>
                      <w:color w:val="010101"/>
                      <w:position w:val="-5"/>
                      <w:sz w:val="22"/>
                    </w:rPr>
                    <w:t>z</w:t>
                    <w:tab/>
                    <w:t>Ds</w:t>
                    <w:tab/>
                  </w:r>
                  <w:r>
                    <w:rPr>
                      <w:color w:val="010101"/>
                      <w:position w:val="-5"/>
                      <w:sz w:val="22"/>
                    </w:rPr>
                    <w:t>.</w:t>
                    <w:tab/>
                  </w:r>
                  <w:r>
                    <w:rPr>
                      <w:color w:val="010101"/>
                      <w:sz w:val="19"/>
                    </w:rPr>
                    <w:t>( </w:t>
                  </w:r>
                  <w:r>
                    <w:rPr>
                      <w:color w:val="010101"/>
                      <w:spacing w:val="-4"/>
                      <w:sz w:val="19"/>
                    </w:rPr>
                    <w:t>3.22</w:t>
                  </w:r>
                  <w:r>
                    <w:rPr>
                      <w:color w:val="010101"/>
                      <w:spacing w:val="-32"/>
                      <w:sz w:val="19"/>
                    </w:rPr>
                    <w:t> </w:t>
                  </w:r>
                  <w:r>
                    <w:rPr>
                      <w:color w:val="010101"/>
                      <w:sz w:val="19"/>
                    </w:rPr>
                    <w:t>)</w:t>
                  </w:r>
                </w:p>
              </w:txbxContent>
            </v:textbox>
            <w10:wrap type="none"/>
          </v:shape>
        </w:pict>
      </w:r>
      <w:r>
        <w:rPr>
          <w:color w:val="010101"/>
          <w:w w:val="125"/>
          <w:position w:val="-4"/>
          <w:sz w:val="18"/>
        </w:rPr>
        <w:t>(</w:t>
      </w:r>
      <w:r>
        <w:rPr>
          <w:color w:val="010101"/>
          <w:w w:val="125"/>
          <w:position w:val="-7"/>
          <w:sz w:val="18"/>
        </w:rPr>
        <w:t>/  </w:t>
      </w:r>
      <w:r>
        <w:rPr>
          <w:color w:val="010101"/>
          <w:w w:val="120"/>
          <w:sz w:val="18"/>
        </w:rPr>
        <w:t>A </w:t>
      </w:r>
      <w:r>
        <w:rPr>
          <w:color w:val="010101"/>
          <w:w w:val="125"/>
          <w:sz w:val="18"/>
        </w:rPr>
        <w:t>)  </w:t>
      </w:r>
      <w:r>
        <w:rPr>
          <w:color w:val="010101"/>
          <w:w w:val="95"/>
          <w:sz w:val="26"/>
        </w:rPr>
        <w:t>= </w:t>
      </w:r>
      <w:r>
        <w:rPr>
          <w:rFonts w:ascii="Arial"/>
          <w:i/>
          <w:color w:val="010101"/>
          <w:w w:val="95"/>
          <w:sz w:val="20"/>
          <w:u w:val="single" w:color="000000"/>
        </w:rPr>
        <w:t>R:r  </w:t>
      </w:r>
      <w:r>
        <w:rPr>
          <w:rFonts w:ascii="Arial"/>
          <w:color w:val="010101"/>
          <w:w w:val="220"/>
          <w:sz w:val="20"/>
          <w:u w:val="single" w:color="000000"/>
        </w:rPr>
        <w:t>- </w:t>
      </w:r>
      <w:r>
        <w:rPr>
          <w:rFonts w:ascii="Arial"/>
          <w:i/>
          <w:color w:val="010101"/>
          <w:w w:val="95"/>
          <w:sz w:val="20"/>
          <w:u w:val="single" w:color="000000"/>
        </w:rPr>
        <w:t>R:r+n</w:t>
      </w:r>
    </w:p>
    <w:p>
      <w:pPr>
        <w:pStyle w:val="BodyText"/>
        <w:spacing w:before="1"/>
        <w:rPr>
          <w:rFonts w:ascii="Arial"/>
          <w:i/>
          <w:sz w:val="15"/>
        </w:rPr>
      </w:pPr>
    </w:p>
    <w:p>
      <w:pPr>
        <w:spacing w:line="240" w:lineRule="auto" w:before="74"/>
        <w:ind w:left="124" w:right="124" w:firstLine="211"/>
        <w:jc w:val="both"/>
        <w:rPr>
          <w:sz w:val="19"/>
        </w:rPr>
      </w:pPr>
      <w:r>
        <w:rPr>
          <w:color w:val="010101"/>
          <w:w w:val="110"/>
          <w:sz w:val="19"/>
        </w:rPr>
        <w:t>The </w:t>
      </w:r>
      <w:r>
        <w:rPr>
          <w:i/>
          <w:color w:val="010101"/>
          <w:w w:val="110"/>
          <w:sz w:val="20"/>
        </w:rPr>
        <w:t>decreasi,ng term ins-urance </w:t>
      </w:r>
      <w:r>
        <w:rPr>
          <w:color w:val="010101"/>
          <w:w w:val="110"/>
          <w:sz w:val="19"/>
        </w:rPr>
        <w:t>provides an initial death</w:t>
      </w:r>
      <w:r>
        <w:rPr>
          <w:color w:val="010101"/>
          <w:spacing w:val="-28"/>
          <w:w w:val="110"/>
          <w:sz w:val="19"/>
        </w:rPr>
        <w:t> </w:t>
      </w:r>
      <w:r>
        <w:rPr>
          <w:color w:val="010101"/>
          <w:w w:val="110"/>
          <w:sz w:val="19"/>
        </w:rPr>
        <w:t>benefit </w:t>
      </w:r>
      <w:r>
        <w:rPr>
          <w:rFonts w:ascii="Arial"/>
          <w:color w:val="010101"/>
          <w:w w:val="110"/>
          <w:sz w:val="19"/>
        </w:rPr>
        <w:t>of </w:t>
      </w:r>
      <w:r>
        <w:rPr>
          <w:i/>
          <w:color w:val="010101"/>
          <w:w w:val="110"/>
          <w:sz w:val="21"/>
        </w:rPr>
        <w:t>n </w:t>
      </w:r>
      <w:r>
        <w:rPr>
          <w:color w:val="010101"/>
          <w:w w:val="110"/>
          <w:sz w:val="19"/>
        </w:rPr>
        <w:t>decreasing by </w:t>
      </w:r>
      <w:r>
        <w:rPr>
          <w:color w:val="010101"/>
          <w:w w:val="110"/>
          <w:sz w:val="20"/>
        </w:rPr>
        <w:t>1 </w:t>
      </w:r>
      <w:r>
        <w:rPr>
          <w:color w:val="010101"/>
          <w:w w:val="110"/>
          <w:sz w:val="19"/>
        </w:rPr>
        <w:t>each ycar, with no payment if death occurs after  </w:t>
      </w:r>
      <w:r>
        <w:rPr>
          <w:i/>
          <w:color w:val="010101"/>
          <w:w w:val="110"/>
          <w:sz w:val="21"/>
        </w:rPr>
        <w:t>n</w:t>
      </w:r>
      <w:r>
        <w:rPr>
          <w:i/>
          <w:color w:val="010101"/>
          <w:spacing w:val="3"/>
          <w:w w:val="110"/>
          <w:sz w:val="21"/>
        </w:rPr>
        <w:t> </w:t>
      </w:r>
      <w:r>
        <w:rPr>
          <w:color w:val="010101"/>
          <w:w w:val="110"/>
          <w:sz w:val="19"/>
        </w:rPr>
        <w:t>years:</w:t>
      </w:r>
    </w:p>
    <w:p>
      <w:pPr>
        <w:spacing w:before="149"/>
        <w:ind w:left="1347" w:right="0" w:firstLine="0"/>
        <w:jc w:val="left"/>
        <w:rPr>
          <w:sz w:val="19"/>
        </w:rPr>
      </w:pPr>
      <w:r>
        <w:rPr>
          <w:position w:val="-16"/>
        </w:rPr>
        <w:drawing>
          <wp:inline distT="0" distB="0" distL="0" distR="0">
            <wp:extent cx="2112264" cy="292608"/>
            <wp:effectExtent l="0" t="0" r="0" b="0"/>
            <wp:docPr id="181" name="image95.png" descr=""/>
            <wp:cNvGraphicFramePr>
              <a:graphicFrameLocks noChangeAspect="1"/>
            </wp:cNvGraphicFramePr>
            <a:graphic>
              <a:graphicData uri="http://schemas.openxmlformats.org/drawingml/2006/picture">
                <pic:pic>
                  <pic:nvPicPr>
                    <pic:cNvPr id="182" name="image95.png"/>
                    <pic:cNvPicPr/>
                  </pic:nvPicPr>
                  <pic:blipFill>
                    <a:blip r:embed="rId99" cstate="print"/>
                    <a:stretch>
                      <a:fillRect/>
                    </a:stretch>
                  </pic:blipFill>
                  <pic:spPr>
                    <a:xfrm>
                      <a:off x="0" y="0"/>
                      <a:ext cx="2112264" cy="292608"/>
                    </a:xfrm>
                    <a:prstGeom prst="rect">
                      <a:avLst/>
                    </a:prstGeom>
                  </pic:spPr>
                </pic:pic>
              </a:graphicData>
            </a:graphic>
          </wp:inline>
        </w:drawing>
      </w:r>
      <w:r>
        <w:rPr>
          <w:position w:val="-16"/>
        </w:rPr>
      </w:r>
      <w:r>
        <w:rPr>
          <w:sz w:val="20"/>
        </w:rPr>
        <w:t>            </w:t>
      </w:r>
      <w:r>
        <w:rPr>
          <w:color w:val="010101"/>
          <w:w w:val="105"/>
          <w:sz w:val="19"/>
        </w:rPr>
        <w:t>(</w:t>
      </w:r>
      <w:r>
        <w:rPr>
          <w:color w:val="010101"/>
          <w:spacing w:val="-24"/>
          <w:w w:val="105"/>
          <w:sz w:val="19"/>
        </w:rPr>
        <w:t> </w:t>
      </w:r>
      <w:r>
        <w:rPr>
          <w:color w:val="010101"/>
          <w:w w:val="105"/>
          <w:sz w:val="19"/>
        </w:rPr>
        <w:t>3.23)</w:t>
      </w:r>
    </w:p>
    <w:p>
      <w:pPr>
        <w:spacing w:line="206" w:lineRule="auto" w:before="159"/>
        <w:ind w:left="124" w:right="138" w:firstLine="193"/>
        <w:jc w:val="both"/>
        <w:rPr>
          <w:sz w:val="19"/>
        </w:rPr>
      </w:pPr>
      <w:r>
        <w:rPr>
          <w:color w:val="010101"/>
          <w:w w:val="110"/>
          <w:sz w:val="19"/>
        </w:rPr>
        <w:t>The relationship that exists between the increasing annuity and</w:t>
      </w:r>
      <w:r>
        <w:rPr>
          <w:color w:val="010101"/>
          <w:spacing w:val="52"/>
          <w:w w:val="110"/>
          <w:sz w:val="19"/>
        </w:rPr>
        <w:t> </w:t>
      </w:r>
      <w:r>
        <w:rPr>
          <w:color w:val="010101"/>
          <w:w w:val="110"/>
          <w:sz w:val="19"/>
        </w:rPr>
        <w:t>the increasing insurance is easily derived. Since </w:t>
      </w:r>
      <w:r>
        <w:rPr>
          <w:i/>
          <w:color w:val="010101"/>
          <w:w w:val="110"/>
          <w:sz w:val="20"/>
        </w:rPr>
        <w:t>M </w:t>
      </w:r>
      <w:r>
        <w:rPr>
          <w:rFonts w:ascii="Arial"/>
          <w:i/>
          <w:color w:val="010101"/>
          <w:w w:val="110"/>
          <w:sz w:val="10"/>
        </w:rPr>
        <w:t>x </w:t>
      </w:r>
      <w:r>
        <w:rPr>
          <w:color w:val="010101"/>
          <w:w w:val="110"/>
          <w:sz w:val="24"/>
        </w:rPr>
        <w:t>= </w:t>
      </w:r>
      <w:r>
        <w:rPr>
          <w:i/>
          <w:color w:val="010101"/>
          <w:spacing w:val="7"/>
          <w:sz w:val="20"/>
        </w:rPr>
        <w:t>vNz </w:t>
      </w:r>
      <w:r>
        <w:rPr>
          <w:color w:val="010101"/>
          <w:w w:val="245"/>
          <w:sz w:val="20"/>
        </w:rPr>
        <w:t>- </w:t>
      </w:r>
      <w:r>
        <w:rPr>
          <w:b/>
          <w:i/>
          <w:color w:val="010101"/>
          <w:w w:val="110"/>
          <w:sz w:val="14"/>
        </w:rPr>
        <w:t>Nz+i </w:t>
      </w:r>
      <w:r>
        <w:rPr>
          <w:color w:val="010101"/>
          <w:w w:val="110"/>
          <w:sz w:val="14"/>
        </w:rPr>
        <w:t>, </w:t>
      </w:r>
      <w:r>
        <w:rPr>
          <w:color w:val="010101"/>
          <w:w w:val="110"/>
          <w:sz w:val="19"/>
        </w:rPr>
        <w:t>it follows that </w:t>
      </w:r>
      <w:r>
        <w:rPr>
          <w:rFonts w:ascii="Arial"/>
          <w:i/>
          <w:color w:val="010101"/>
          <w:sz w:val="20"/>
        </w:rPr>
        <w:t>R:r </w:t>
      </w:r>
      <w:r>
        <w:rPr>
          <w:color w:val="010101"/>
          <w:w w:val="110"/>
          <w:sz w:val="26"/>
        </w:rPr>
        <w:t>= </w:t>
      </w:r>
      <w:r>
        <w:rPr>
          <w:b/>
          <w:i/>
          <w:color w:val="010101"/>
          <w:sz w:val="20"/>
        </w:rPr>
        <w:t>vS.z </w:t>
      </w:r>
      <w:r>
        <w:rPr>
          <w:color w:val="010101"/>
          <w:w w:val="245"/>
          <w:sz w:val="20"/>
        </w:rPr>
        <w:t>- </w:t>
      </w:r>
      <w:r>
        <w:rPr>
          <w:color w:val="010101"/>
          <w:sz w:val="22"/>
        </w:rPr>
        <w:t>Sz+t , </w:t>
      </w:r>
      <w:r>
        <w:rPr>
          <w:color w:val="010101"/>
          <w:w w:val="110"/>
          <w:sz w:val="19"/>
        </w:rPr>
        <w:t>and, divi&lt;ling by </w:t>
      </w:r>
      <w:r>
        <w:rPr>
          <w:color w:val="010101"/>
          <w:sz w:val="22"/>
        </w:rPr>
        <w:t>Dz , </w:t>
      </w:r>
      <w:r>
        <w:rPr>
          <w:color w:val="010101"/>
          <w:w w:val="110"/>
          <w:sz w:val="19"/>
        </w:rPr>
        <w:t>we</w:t>
      </w:r>
      <w:r>
        <w:rPr>
          <w:color w:val="010101"/>
          <w:spacing w:val="-29"/>
          <w:w w:val="110"/>
          <w:sz w:val="19"/>
        </w:rPr>
        <w:t> </w:t>
      </w:r>
      <w:r>
        <w:rPr>
          <w:color w:val="010101"/>
          <w:w w:val="110"/>
          <w:sz w:val="19"/>
        </w:rPr>
        <w:t>obtain</w:t>
      </w:r>
    </w:p>
    <w:p>
      <w:pPr>
        <w:tabs>
          <w:tab w:pos="523" w:val="left" w:leader="none"/>
          <w:tab w:pos="1108" w:val="left" w:leader="none"/>
        </w:tabs>
        <w:spacing w:line="175" w:lineRule="exact" w:before="150"/>
        <w:ind w:left="0" w:right="283" w:firstLine="0"/>
        <w:jc w:val="center"/>
        <w:rPr>
          <w:rFonts w:ascii="Arial"/>
          <w:i/>
          <w:sz w:val="19"/>
        </w:rPr>
      </w:pPr>
      <w:r>
        <w:rPr>
          <w:rFonts w:ascii="Arial"/>
          <w:b/>
          <w:i/>
          <w:color w:val="010101"/>
          <w:spacing w:val="-3"/>
          <w:sz w:val="21"/>
        </w:rPr>
        <w:t>R"</w:t>
        <w:tab/>
      </w:r>
      <w:r>
        <w:rPr>
          <w:i/>
          <w:color w:val="010101"/>
          <w:sz w:val="21"/>
        </w:rPr>
        <w:t>vS"</w:t>
        <w:tab/>
      </w:r>
      <w:r>
        <w:rPr>
          <w:rFonts w:ascii="Arial"/>
          <w:i/>
          <w:color w:val="010101"/>
          <w:sz w:val="19"/>
        </w:rPr>
        <w:t>Sz+i</w:t>
      </w:r>
    </w:p>
    <w:p>
      <w:pPr>
        <w:spacing w:line="289" w:lineRule="exact" w:before="0"/>
        <w:ind w:left="98" w:right="293" w:firstLine="0"/>
        <w:jc w:val="center"/>
        <w:rPr>
          <w:i/>
          <w:sz w:val="22"/>
        </w:rPr>
      </w:pPr>
      <w:r>
        <w:rPr>
          <w:rFonts w:ascii="Arial"/>
          <w:b/>
          <w:i/>
          <w:color w:val="010101"/>
          <w:sz w:val="20"/>
          <w:u w:val="thick" w:color="000000"/>
        </w:rPr>
        <w:t>D" </w:t>
      </w:r>
      <w:r>
        <w:rPr>
          <w:color w:val="010101"/>
          <w:sz w:val="23"/>
        </w:rPr>
        <w:t>= </w:t>
      </w:r>
      <w:r>
        <w:rPr>
          <w:rFonts w:ascii="Arial"/>
          <w:i/>
          <w:color w:val="010101"/>
          <w:sz w:val="31"/>
        </w:rPr>
        <w:t>n-; </w:t>
      </w:r>
      <w:r>
        <w:rPr>
          <w:rFonts w:ascii="Arial"/>
          <w:color w:val="010101"/>
          <w:w w:val="145"/>
          <w:sz w:val="31"/>
        </w:rPr>
        <w:t>- </w:t>
      </w:r>
      <w:r>
        <w:rPr>
          <w:i/>
          <w:color w:val="010101"/>
          <w:sz w:val="22"/>
          <w:u w:val="thick" w:color="000000"/>
        </w:rPr>
        <w:t>Dz  </w:t>
      </w:r>
      <w:r>
        <w:rPr>
          <w:i/>
          <w:color w:val="010101"/>
          <w:sz w:val="22"/>
        </w:rPr>
        <w:t>'</w:t>
      </w:r>
    </w:p>
    <w:p>
      <w:pPr>
        <w:tabs>
          <w:tab w:pos="1910" w:val="left" w:leader="none"/>
          <w:tab w:pos="5358" w:val="left" w:leader="none"/>
        </w:tabs>
        <w:spacing w:before="90"/>
        <w:ind w:left="113" w:right="0" w:firstLine="0"/>
        <w:jc w:val="left"/>
        <w:rPr>
          <w:sz w:val="19"/>
        </w:rPr>
      </w:pPr>
      <w:r>
        <w:rPr>
          <w:color w:val="010101"/>
          <w:w w:val="105"/>
          <w:sz w:val="19"/>
        </w:rPr>
        <w:t>or</w:t>
        <w:tab/>
      </w:r>
      <w:r>
        <w:rPr>
          <w:color w:val="010101"/>
          <w:spacing w:val="4"/>
          <w:w w:val="105"/>
          <w:sz w:val="20"/>
        </w:rPr>
        <w:t>(IA)z  </w:t>
      </w:r>
      <w:r>
        <w:rPr>
          <w:color w:val="010101"/>
          <w:w w:val="105"/>
          <w:sz w:val="23"/>
        </w:rPr>
        <w:t>= </w:t>
      </w:r>
      <w:r>
        <w:rPr>
          <w:i/>
          <w:color w:val="010101"/>
          <w:w w:val="105"/>
          <w:sz w:val="20"/>
        </w:rPr>
        <w:t>v( la)z  </w:t>
      </w:r>
      <w:r>
        <w:rPr>
          <w:color w:val="010101"/>
          <w:w w:val="255"/>
          <w:sz w:val="20"/>
        </w:rPr>
        <w:t>-</w:t>
      </w:r>
      <w:r>
        <w:rPr>
          <w:color w:val="010101"/>
          <w:spacing w:val="-67"/>
          <w:w w:val="255"/>
          <w:sz w:val="20"/>
        </w:rPr>
        <w:t> </w:t>
      </w:r>
      <w:r>
        <w:rPr>
          <w:color w:val="010101"/>
          <w:w w:val="105"/>
          <w:sz w:val="20"/>
        </w:rPr>
        <w:t>(la)z</w:t>
      </w:r>
      <w:r>
        <w:rPr>
          <w:color w:val="010101"/>
          <w:spacing w:val="17"/>
          <w:w w:val="105"/>
          <w:sz w:val="20"/>
        </w:rPr>
        <w:t> </w:t>
      </w:r>
      <w:r>
        <w:rPr>
          <w:color w:val="010101"/>
          <w:w w:val="125"/>
          <w:sz w:val="20"/>
        </w:rPr>
        <w:t>.</w:t>
        <w:tab/>
      </w:r>
      <w:r>
        <w:rPr>
          <w:color w:val="010101"/>
          <w:w w:val="105"/>
          <w:position w:val="1"/>
          <w:sz w:val="19"/>
        </w:rPr>
        <w:t>(3.24)</w:t>
      </w:r>
    </w:p>
    <w:p>
      <w:pPr>
        <w:spacing w:before="41"/>
        <w:ind w:left="106" w:right="0" w:firstLine="0"/>
        <w:jc w:val="left"/>
        <w:rPr>
          <w:sz w:val="19"/>
        </w:rPr>
      </w:pPr>
      <w:r>
        <w:rPr>
          <w:color w:val="010101"/>
          <w:w w:val="120"/>
          <w:sz w:val="19"/>
        </w:rPr>
        <w:t>Since ( /a </w:t>
      </w:r>
      <w:r>
        <w:rPr>
          <w:color w:val="010101"/>
          <w:w w:val="95"/>
          <w:sz w:val="19"/>
        </w:rPr>
        <w:t>)z </w:t>
      </w:r>
      <w:r>
        <w:rPr>
          <w:color w:val="010101"/>
          <w:w w:val="120"/>
          <w:sz w:val="23"/>
        </w:rPr>
        <w:t>= </w:t>
      </w:r>
      <w:r>
        <w:rPr>
          <w:color w:val="010101"/>
          <w:w w:val="120"/>
          <w:sz w:val="19"/>
        </w:rPr>
        <w:t>(lii)z </w:t>
      </w:r>
      <w:r>
        <w:rPr>
          <w:color w:val="010101"/>
          <w:w w:val="260"/>
          <w:sz w:val="19"/>
        </w:rPr>
        <w:t>-</w:t>
      </w:r>
      <w:r>
        <w:rPr>
          <w:color w:val="010101"/>
          <w:spacing w:val="-99"/>
          <w:w w:val="260"/>
          <w:sz w:val="19"/>
        </w:rPr>
        <w:t> </w:t>
      </w:r>
      <w:r>
        <w:rPr>
          <w:rFonts w:ascii="Arial" w:hAnsi="Arial"/>
          <w:i/>
          <w:color w:val="010101"/>
          <w:spacing w:val="-4"/>
          <w:w w:val="95"/>
          <w:sz w:val="29"/>
        </w:rPr>
        <w:t>ª" </w:t>
      </w:r>
      <w:r>
        <w:rPr>
          <w:rFonts w:ascii="Arial" w:hAnsi="Arial"/>
          <w:i/>
          <w:color w:val="010101"/>
          <w:w w:val="95"/>
          <w:sz w:val="29"/>
        </w:rPr>
        <w:t>, </w:t>
      </w:r>
      <w:r>
        <w:rPr>
          <w:color w:val="010101"/>
          <w:w w:val="120"/>
          <w:sz w:val="19"/>
        </w:rPr>
        <w:t>the rclation may he transformed to</w:t>
      </w:r>
    </w:p>
    <w:p>
      <w:pPr>
        <w:tabs>
          <w:tab w:pos="5361" w:val="left" w:leader="none"/>
        </w:tabs>
        <w:spacing w:line="350" w:lineRule="atLeast" w:before="1"/>
        <w:ind w:left="113" w:right="163" w:firstLine="1908"/>
        <w:jc w:val="left"/>
        <w:rPr>
          <w:sz w:val="19"/>
        </w:rPr>
      </w:pPr>
      <w:r>
        <w:rPr>
          <w:color w:val="010101"/>
          <w:spacing w:val="4"/>
          <w:w w:val="115"/>
          <w:sz w:val="18"/>
        </w:rPr>
        <w:t>(/A).z </w:t>
      </w:r>
      <w:r>
        <w:rPr>
          <w:color w:val="010101"/>
          <w:w w:val="115"/>
          <w:sz w:val="23"/>
        </w:rPr>
        <w:t>= </w:t>
      </w:r>
      <w:r>
        <w:rPr>
          <w:i/>
          <w:color w:val="010101"/>
          <w:w w:val="115"/>
          <w:sz w:val="17"/>
        </w:rPr>
        <w:t>iiz  </w:t>
      </w:r>
      <w:r>
        <w:rPr>
          <w:color w:val="010101"/>
          <w:w w:val="285"/>
          <w:sz w:val="17"/>
        </w:rPr>
        <w:t>-</w:t>
      </w:r>
      <w:r>
        <w:rPr>
          <w:color w:val="010101"/>
          <w:spacing w:val="-60"/>
          <w:w w:val="285"/>
          <w:sz w:val="17"/>
        </w:rPr>
        <w:t> </w:t>
      </w:r>
      <w:r>
        <w:rPr>
          <w:rFonts w:ascii="Arial"/>
          <w:i/>
          <w:color w:val="010101"/>
          <w:w w:val="115"/>
          <w:sz w:val="19"/>
        </w:rPr>
        <w:t>d(lii):i</w:t>
      </w:r>
      <w:r>
        <w:rPr>
          <w:rFonts w:ascii="Arial"/>
          <w:i/>
          <w:color w:val="010101"/>
          <w:spacing w:val="20"/>
          <w:w w:val="115"/>
          <w:sz w:val="19"/>
        </w:rPr>
        <w:t> </w:t>
      </w:r>
      <w:r>
        <w:rPr>
          <w:rFonts w:ascii="Arial"/>
          <w:color w:val="010101"/>
          <w:w w:val="115"/>
          <w:sz w:val="19"/>
        </w:rPr>
        <w:t>.</w:t>
        <w:tab/>
      </w:r>
      <w:r>
        <w:rPr>
          <w:color w:val="010101"/>
          <w:position w:val="1"/>
          <w:sz w:val="19"/>
        </w:rPr>
        <w:t>(3.25) </w:t>
      </w:r>
      <w:r>
        <w:rPr>
          <w:color w:val="010101"/>
          <w:w w:val="115"/>
          <w:sz w:val="19"/>
        </w:rPr>
        <w:t>J.ormulas (3.24) and </w:t>
      </w:r>
      <w:r>
        <w:rPr>
          <w:color w:val="010101"/>
          <w:spacing w:val="-4"/>
          <w:w w:val="115"/>
          <w:sz w:val="19"/>
        </w:rPr>
        <w:t>(:3.25) </w:t>
      </w:r>
      <w:r>
        <w:rPr>
          <w:color w:val="010101"/>
          <w:w w:val="115"/>
          <w:sz w:val="19"/>
        </w:rPr>
        <w:t>are analogous </w:t>
      </w:r>
      <w:r>
        <w:rPr>
          <w:color w:val="010101"/>
          <w:w w:val="115"/>
          <w:sz w:val="21"/>
        </w:rPr>
        <w:t>to </w:t>
      </w:r>
      <w:r>
        <w:rPr>
          <w:color w:val="010101"/>
          <w:w w:val="115"/>
          <w:sz w:val="19"/>
        </w:rPr>
        <w:t>formulas (3.8)  </w:t>
      </w:r>
      <w:r>
        <w:rPr>
          <w:color w:val="010101"/>
          <w:spacing w:val="12"/>
          <w:w w:val="115"/>
          <w:sz w:val="19"/>
        </w:rPr>
        <w:t> </w:t>
      </w:r>
      <w:r>
        <w:rPr>
          <w:color w:val="010101"/>
          <w:w w:val="115"/>
          <w:sz w:val="19"/>
        </w:rPr>
        <w:t>and</w:t>
      </w:r>
    </w:p>
    <w:p>
      <w:pPr>
        <w:spacing w:before="18"/>
        <w:ind w:left="124" w:right="0" w:firstLine="0"/>
        <w:jc w:val="left"/>
        <w:rPr>
          <w:sz w:val="19"/>
        </w:rPr>
      </w:pPr>
      <w:r>
        <w:rPr>
          <w:color w:val="010101"/>
          <w:w w:val="110"/>
          <w:sz w:val="18"/>
        </w:rPr>
        <w:t>(3.11) </w:t>
      </w:r>
      <w:r>
        <w:rPr>
          <w:color w:val="010101"/>
          <w:w w:val="110"/>
          <w:sz w:val="19"/>
        </w:rPr>
        <w:t>for level</w:t>
      </w:r>
      <w:r>
        <w:rPr>
          <w:color w:val="010101"/>
          <w:spacing w:val="50"/>
          <w:w w:val="110"/>
          <w:sz w:val="19"/>
        </w:rPr>
        <w:t> </w:t>
      </w:r>
      <w:r>
        <w:rPr>
          <w:color w:val="010101"/>
          <w:w w:val="110"/>
          <w:sz w:val="19"/>
        </w:rPr>
        <w:t>insumnce.</w:t>
      </w:r>
    </w:p>
    <w:p>
      <w:pPr>
        <w:spacing w:line="249" w:lineRule="auto" w:before="22"/>
        <w:ind w:left="106" w:right="152" w:firstLine="208"/>
        <w:jc w:val="both"/>
        <w:rPr>
          <w:sz w:val="19"/>
        </w:rPr>
      </w:pPr>
      <w:r>
        <w:rPr>
          <w:color w:val="010101"/>
          <w:w w:val="110"/>
          <w:sz w:val="19"/>
        </w:rPr>
        <w:t>lf the payment under the increasing insurance is made at the moment </w:t>
      </w:r>
      <w:r>
        <w:rPr>
          <w:color w:val="010101"/>
          <w:w w:val="110"/>
          <w:sz w:val="21"/>
        </w:rPr>
        <w:t>of </w:t>
      </w:r>
      <w:r>
        <w:rPr>
          <w:color w:val="010101"/>
          <w:w w:val="110"/>
          <w:sz w:val="19"/>
        </w:rPr>
        <w:t>death, the net. Hingle premium </w:t>
      </w:r>
      <w:r>
        <w:rPr>
          <w:rFonts w:ascii="Arial"/>
          <w:i/>
          <w:color w:val="010101"/>
          <w:w w:val="110"/>
          <w:sz w:val="19"/>
        </w:rPr>
        <w:t>(l</w:t>
      </w:r>
      <w:r>
        <w:rPr>
          <w:i/>
          <w:color w:val="010101"/>
          <w:w w:val="110"/>
          <w:sz w:val="18"/>
        </w:rPr>
        <w:t>A)z </w:t>
      </w:r>
      <w:r>
        <w:rPr>
          <w:color w:val="010101"/>
          <w:w w:val="110"/>
          <w:sz w:val="19"/>
        </w:rPr>
        <w:t>may be expressed </w:t>
      </w:r>
      <w:r>
        <w:rPr>
          <w:rFonts w:ascii="Arial"/>
          <w:color w:val="010101"/>
          <w:w w:val="110"/>
          <w:sz w:val="17"/>
        </w:rPr>
        <w:t>as </w:t>
      </w:r>
      <w:r>
        <w:rPr>
          <w:color w:val="010101"/>
          <w:w w:val="110"/>
          <w:sz w:val="19"/>
        </w:rPr>
        <w:t>follows:</w:t>
      </w:r>
    </w:p>
    <w:p>
      <w:pPr>
        <w:tabs>
          <w:tab w:pos="3593" w:val="left" w:leader="none"/>
          <w:tab w:pos="4776" w:val="left" w:leader="none"/>
        </w:tabs>
        <w:spacing w:line="130" w:lineRule="exact" w:before="141"/>
        <w:ind w:left="1071" w:right="0" w:firstLine="0"/>
        <w:jc w:val="left"/>
        <w:rPr>
          <w:i/>
          <w:sz w:val="20"/>
        </w:rPr>
      </w:pPr>
      <w:r>
        <w:rPr>
          <w:i/>
          <w:color w:val="010101"/>
          <w:w w:val="133"/>
          <w:sz w:val="20"/>
        </w:rPr>
        <w:t>(I</w:t>
      </w:r>
      <w:r>
        <w:rPr>
          <w:i/>
          <w:color w:val="010101"/>
          <w:spacing w:val="22"/>
          <w:sz w:val="20"/>
        </w:rPr>
        <w:t> </w:t>
      </w:r>
      <w:r>
        <w:rPr>
          <w:color w:val="010101"/>
          <w:spacing w:val="21"/>
          <w:w w:val="146"/>
          <w:position w:val="11"/>
          <w:sz w:val="19"/>
        </w:rPr>
        <w:t>-</w:t>
      </w:r>
      <w:r>
        <w:rPr>
          <w:color w:val="010101"/>
          <w:w w:val="68"/>
          <w:sz w:val="20"/>
        </w:rPr>
        <w:t>)</w:t>
      </w:r>
      <w:r>
        <w:rPr>
          <w:color w:val="010101"/>
          <w:w w:val="68"/>
          <w:sz w:val="20"/>
        </w:rPr>
        <w:t>.z</w:t>
      </w:r>
      <w:r>
        <w:rPr>
          <w:color w:val="010101"/>
          <w:sz w:val="20"/>
        </w:rPr>
        <w:t> </w:t>
      </w:r>
      <w:r>
        <w:rPr>
          <w:color w:val="010101"/>
          <w:spacing w:val="-2"/>
          <w:sz w:val="20"/>
        </w:rPr>
        <w:t> </w:t>
      </w:r>
      <w:r>
        <w:rPr>
          <w:color w:val="010101"/>
          <w:w w:val="101"/>
          <w:sz w:val="23"/>
        </w:rPr>
        <w:t>=</w:t>
      </w:r>
      <w:r>
        <w:rPr>
          <w:color w:val="010101"/>
          <w:spacing w:val="20"/>
          <w:sz w:val="23"/>
        </w:rPr>
        <w:t> </w:t>
      </w:r>
      <w:r>
        <w:rPr>
          <w:color w:val="010101"/>
          <w:spacing w:val="-112"/>
          <w:w w:val="194"/>
          <w:sz w:val="23"/>
        </w:rPr>
        <w:t>-</w:t>
      </w:r>
      <w:r>
        <w:rPr>
          <w:color w:val="010101"/>
          <w:spacing w:val="-47"/>
          <w:w w:val="121"/>
          <w:position w:val="11"/>
          <w:sz w:val="19"/>
        </w:rPr>
        <w:t>1</w:t>
      </w:r>
      <w:r>
        <w:rPr>
          <w:color w:val="1C1C1C"/>
          <w:spacing w:val="-21"/>
          <w:w w:val="73"/>
          <w:sz w:val="23"/>
        </w:rPr>
        <w:t>·</w:t>
      </w:r>
      <w:r>
        <w:rPr>
          <w:color w:val="5D5D5D"/>
          <w:w w:val="58"/>
          <w:sz w:val="23"/>
        </w:rPr>
        <w:t>·</w:t>
      </w:r>
      <w:r>
        <w:rPr>
          <w:color w:val="5D5D5D"/>
          <w:spacing w:val="12"/>
          <w:sz w:val="23"/>
        </w:rPr>
        <w:t> </w:t>
      </w:r>
      <w:r>
        <w:rPr>
          <w:rFonts w:ascii="Arial" w:hAnsi="Arial"/>
          <w:i/>
          <w:color w:val="010101"/>
          <w:w w:val="73"/>
          <w:sz w:val="15"/>
        </w:rPr>
        <w:t>L...J</w:t>
      </w:r>
      <w:r>
        <w:rPr>
          <w:rFonts w:ascii="Arial" w:hAnsi="Arial"/>
          <w:i/>
          <w:color w:val="010101"/>
          <w:sz w:val="15"/>
        </w:rPr>
        <w:t> </w:t>
      </w:r>
      <w:r>
        <w:rPr>
          <w:rFonts w:ascii="Arial" w:hAnsi="Arial"/>
          <w:i/>
          <w:color w:val="010101"/>
          <w:spacing w:val="1"/>
          <w:sz w:val="15"/>
        </w:rPr>
        <w:t> </w:t>
      </w:r>
      <w:r>
        <w:rPr>
          <w:rFonts w:ascii="Arial" w:hAnsi="Arial"/>
          <w:i/>
          <w:color w:val="010101"/>
          <w:w w:val="88"/>
          <w:sz w:val="18"/>
        </w:rPr>
        <w:t>(</w:t>
      </w:r>
      <w:r>
        <w:rPr>
          <w:rFonts w:ascii="Arial" w:hAnsi="Arial"/>
          <w:i/>
          <w:color w:val="010101"/>
          <w:spacing w:val="-18"/>
          <w:sz w:val="18"/>
        </w:rPr>
        <w:t> </w:t>
      </w:r>
      <w:r>
        <w:rPr>
          <w:rFonts w:ascii="Arial" w:hAnsi="Arial"/>
          <w:i/>
          <w:color w:val="010101"/>
          <w:w w:val="102"/>
          <w:sz w:val="18"/>
        </w:rPr>
        <w:t>t</w:t>
      </w:r>
      <w:r>
        <w:rPr>
          <w:rFonts w:ascii="Arial" w:hAnsi="Arial"/>
          <w:i/>
          <w:color w:val="010101"/>
          <w:sz w:val="18"/>
        </w:rPr>
        <w:t> </w:t>
      </w:r>
      <w:r>
        <w:rPr>
          <w:rFonts w:ascii="Arial" w:hAnsi="Arial"/>
          <w:i/>
          <w:color w:val="010101"/>
          <w:spacing w:val="-5"/>
          <w:sz w:val="18"/>
        </w:rPr>
        <w:t> </w:t>
      </w:r>
      <w:r>
        <w:rPr>
          <w:rFonts w:ascii="Arial" w:hAnsi="Arial"/>
          <w:color w:val="010101"/>
          <w:w w:val="102"/>
          <w:sz w:val="31"/>
        </w:rPr>
        <w:t>+</w:t>
      </w:r>
      <w:r>
        <w:rPr>
          <w:rFonts w:ascii="Arial" w:hAnsi="Arial"/>
          <w:color w:val="010101"/>
          <w:spacing w:val="-11"/>
          <w:sz w:val="31"/>
        </w:rPr>
        <w:t> </w:t>
      </w:r>
      <w:r>
        <w:rPr>
          <w:i/>
          <w:color w:val="010101"/>
          <w:w w:val="159"/>
          <w:sz w:val="20"/>
        </w:rPr>
        <w:t>l</w:t>
      </w:r>
      <w:r>
        <w:rPr>
          <w:i/>
          <w:color w:val="010101"/>
          <w:w w:val="159"/>
          <w:sz w:val="20"/>
        </w:rPr>
        <w:t>)</w:t>
      </w:r>
      <w:r>
        <w:rPr>
          <w:i/>
          <w:color w:val="010101"/>
          <w:spacing w:val="-9"/>
          <w:sz w:val="20"/>
        </w:rPr>
        <w:t> </w:t>
      </w:r>
      <w:r>
        <w:rPr>
          <w:color w:val="010101"/>
          <w:w w:val="124"/>
          <w:position w:val="11"/>
          <w:sz w:val="19"/>
        </w:rPr>
        <w:t>-</w:t>
      </w:r>
      <w:r>
        <w:rPr>
          <w:color w:val="010101"/>
          <w:position w:val="11"/>
          <w:sz w:val="19"/>
        </w:rPr>
        <w:tab/>
      </w:r>
      <w:r>
        <w:rPr>
          <w:color w:val="010101"/>
          <w:w w:val="104"/>
          <w:sz w:val="23"/>
        </w:rPr>
        <w:t>=</w:t>
      </w:r>
      <w:r>
        <w:rPr>
          <w:color w:val="010101"/>
          <w:sz w:val="23"/>
        </w:rPr>
        <w:t> </w:t>
      </w:r>
      <w:r>
        <w:rPr>
          <w:color w:val="010101"/>
          <w:spacing w:val="-4"/>
          <w:sz w:val="23"/>
        </w:rPr>
        <w:t> </w:t>
      </w:r>
      <w:r>
        <w:rPr>
          <w:color w:val="424242"/>
          <w:spacing w:val="11"/>
          <w:w w:val="22"/>
          <w:sz w:val="23"/>
        </w:rPr>
        <w:t>-</w:t>
      </w:r>
      <w:r>
        <w:rPr>
          <w:color w:val="5D5D5D"/>
          <w:w w:val="22"/>
          <w:sz w:val="23"/>
        </w:rPr>
        <w:t>-</w:t>
      </w:r>
      <w:r>
        <w:rPr>
          <w:color w:val="5D5D5D"/>
          <w:spacing w:val="-29"/>
          <w:sz w:val="23"/>
        </w:rPr>
        <w:t> </w:t>
      </w:r>
      <w:r>
        <w:rPr>
          <w:color w:val="010101"/>
          <w:spacing w:val="-164"/>
          <w:w w:val="213"/>
          <w:sz w:val="23"/>
        </w:rPr>
        <w:t>-</w:t>
      </w:r>
      <w:r>
        <w:rPr>
          <w:rFonts w:ascii="Arial" w:hAnsi="Arial"/>
          <w:color w:val="010101"/>
          <w:w w:val="80"/>
          <w:position w:val="11"/>
          <w:sz w:val="18"/>
        </w:rPr>
        <w:t>1</w:t>
      </w:r>
      <w:r>
        <w:rPr>
          <w:rFonts w:ascii="Arial" w:hAnsi="Arial"/>
          <w:color w:val="010101"/>
          <w:position w:val="11"/>
          <w:sz w:val="18"/>
        </w:rPr>
        <w:t> </w:t>
      </w:r>
      <w:r>
        <w:rPr>
          <w:rFonts w:ascii="Arial" w:hAnsi="Arial"/>
          <w:color w:val="010101"/>
          <w:spacing w:val="23"/>
          <w:position w:val="11"/>
          <w:sz w:val="18"/>
        </w:rPr>
        <w:t> </w:t>
      </w:r>
      <w:r>
        <w:rPr>
          <w:i/>
          <w:color w:val="010101"/>
          <w:w w:val="129"/>
          <w:sz w:val="19"/>
        </w:rPr>
        <w:t>¡_</w:t>
      </w:r>
      <w:r>
        <w:rPr>
          <w:i/>
          <w:color w:val="010101"/>
          <w:sz w:val="19"/>
        </w:rPr>
        <w:t>  </w:t>
      </w:r>
      <w:r>
        <w:rPr>
          <w:i/>
          <w:color w:val="010101"/>
          <w:spacing w:val="3"/>
          <w:sz w:val="19"/>
        </w:rPr>
        <w:t> </w:t>
      </w:r>
      <w:r>
        <w:rPr>
          <w:rFonts w:ascii="Arial" w:hAnsi="Arial"/>
          <w:color w:val="010101"/>
          <w:w w:val="129"/>
          <w:position w:val="11"/>
          <w:sz w:val="18"/>
        </w:rPr>
        <w:t>-</w:t>
      </w:r>
      <w:r>
        <w:rPr>
          <w:rFonts w:ascii="Arial" w:hAnsi="Arial"/>
          <w:color w:val="010101"/>
          <w:position w:val="11"/>
          <w:sz w:val="18"/>
        </w:rPr>
        <w:tab/>
      </w:r>
      <w:r>
        <w:rPr>
          <w:i/>
          <w:color w:val="010101"/>
          <w:w w:val="130"/>
          <w:sz w:val="20"/>
        </w:rPr>
        <w:t>,.</w:t>
      </w:r>
    </w:p>
    <w:p>
      <w:pPr>
        <w:spacing w:after="0" w:line="130" w:lineRule="exact"/>
        <w:jc w:val="left"/>
        <w:rPr>
          <w:sz w:val="20"/>
        </w:rPr>
        <w:sectPr>
          <w:pgSz w:w="7200" w:h="11340"/>
          <w:pgMar w:top="500" w:bottom="280" w:left="640" w:right="560"/>
        </w:sectPr>
      </w:pPr>
    </w:p>
    <w:p>
      <w:pPr>
        <w:tabs>
          <w:tab w:pos="1907" w:val="left" w:leader="none"/>
        </w:tabs>
        <w:spacing w:line="345" w:lineRule="exact" w:before="0"/>
        <w:ind w:left="1257" w:right="0" w:firstLine="0"/>
        <w:jc w:val="left"/>
        <w:rPr>
          <w:sz w:val="16"/>
        </w:rPr>
      </w:pPr>
      <w:r>
        <w:rPr>
          <w:i/>
          <w:color w:val="010101"/>
          <w:position w:val="14"/>
          <w:sz w:val="20"/>
        </w:rPr>
        <w:t>A</w:t>
        <w:tab/>
      </w:r>
      <w:r>
        <w:rPr>
          <w:i/>
          <w:color w:val="010101"/>
          <w:sz w:val="22"/>
        </w:rPr>
        <w:t>Dz</w:t>
      </w:r>
      <w:r>
        <w:rPr>
          <w:i/>
          <w:color w:val="010101"/>
          <w:spacing w:val="3"/>
          <w:sz w:val="22"/>
        </w:rPr>
        <w:t> </w:t>
      </w:r>
      <w:r>
        <w:rPr>
          <w:color w:val="010101"/>
          <w:sz w:val="16"/>
        </w:rPr>
        <w:t>e-o</w:t>
      </w:r>
    </w:p>
    <w:p>
      <w:pPr>
        <w:spacing w:line="204" w:lineRule="exact" w:before="0"/>
        <w:ind w:left="0" w:right="0" w:firstLine="0"/>
        <w:jc w:val="right"/>
        <w:rPr>
          <w:i/>
          <w:sz w:val="20"/>
        </w:rPr>
      </w:pPr>
      <w:r>
        <w:rPr/>
        <w:br w:type="column"/>
      </w:r>
      <w:r>
        <w:rPr>
          <w:i/>
          <w:color w:val="010101"/>
          <w:sz w:val="20"/>
        </w:rPr>
        <w:t>l'z+t</w:t>
      </w:r>
    </w:p>
    <w:p>
      <w:pPr>
        <w:spacing w:line="148" w:lineRule="exact" w:before="0"/>
        <w:ind w:left="832" w:right="1413" w:firstLine="0"/>
        <w:jc w:val="center"/>
        <w:rPr>
          <w:i/>
          <w:sz w:val="20"/>
        </w:rPr>
      </w:pPr>
      <w:r>
        <w:rPr/>
        <w:br w:type="column"/>
      </w:r>
      <w:r>
        <w:rPr>
          <w:i/>
          <w:color w:val="010101"/>
          <w:sz w:val="20"/>
        </w:rPr>
        <w:t>M</w:t>
      </w:r>
    </w:p>
    <w:p>
      <w:pPr>
        <w:spacing w:line="197" w:lineRule="exact" w:before="0"/>
        <w:ind w:left="291" w:right="0" w:firstLine="0"/>
        <w:jc w:val="left"/>
        <w:rPr>
          <w:rFonts w:ascii="Arial"/>
          <w:i/>
          <w:sz w:val="11"/>
        </w:rPr>
      </w:pPr>
      <w:r>
        <w:rPr>
          <w:color w:val="010101"/>
          <w:sz w:val="22"/>
        </w:rPr>
        <w:t>Dz </w:t>
      </w:r>
      <w:r>
        <w:rPr>
          <w:rFonts w:ascii="Arial"/>
          <w:i/>
          <w:color w:val="010101"/>
          <w:w w:val="150"/>
          <w:sz w:val="11"/>
        </w:rPr>
        <w:t>t-0</w:t>
      </w:r>
    </w:p>
    <w:p>
      <w:pPr>
        <w:spacing w:after="0" w:line="197" w:lineRule="exact"/>
        <w:jc w:val="left"/>
        <w:rPr>
          <w:rFonts w:ascii="Arial"/>
          <w:sz w:val="11"/>
        </w:rPr>
        <w:sectPr>
          <w:type w:val="continuous"/>
          <w:pgSz w:w="7200" w:h="11340"/>
          <w:pgMar w:top="1100" w:bottom="0" w:left="640" w:right="560"/>
          <w:cols w:num="3" w:equalWidth="0">
            <w:col w:w="2415" w:space="40"/>
            <w:col w:w="1052" w:space="40"/>
            <w:col w:w="2453"/>
          </w:cols>
        </w:sectPr>
      </w:pPr>
    </w:p>
    <w:p>
      <w:pPr>
        <w:spacing w:before="61"/>
        <w:ind w:left="106" w:right="0" w:firstLine="0"/>
        <w:jc w:val="left"/>
        <w:rPr>
          <w:sz w:val="19"/>
        </w:rPr>
      </w:pPr>
      <w:r>
        <w:rPr>
          <w:color w:val="010101"/>
          <w:sz w:val="19"/>
        </w:rPr>
        <w:t>Dcfining  </w:t>
      </w:r>
      <w:r>
        <w:rPr>
          <w:color w:val="010101"/>
          <w:sz w:val="20"/>
        </w:rPr>
        <w:t>the </w:t>
      </w:r>
      <w:r>
        <w:rPr>
          <w:color w:val="010101"/>
          <w:sz w:val="19"/>
        </w:rPr>
        <w:t>commuta.tion  symhol  </w:t>
      </w:r>
      <w:r>
        <w:rPr>
          <w:rFonts w:ascii="Arial"/>
          <w:i/>
          <w:color w:val="010101"/>
          <w:w w:val="90"/>
          <w:sz w:val="24"/>
        </w:rPr>
        <w:t>R:r. </w:t>
      </w:r>
      <w:r>
        <w:rPr>
          <w:color w:val="010101"/>
          <w:sz w:val="19"/>
        </w:rPr>
        <w:t>n.s</w:t>
      </w:r>
    </w:p>
    <w:p>
      <w:pPr>
        <w:spacing w:line="85" w:lineRule="exact" w:before="94"/>
        <w:ind w:left="291" w:right="52" w:firstLine="0"/>
        <w:jc w:val="center"/>
        <w:rPr>
          <w:b/>
          <w:sz w:val="11"/>
        </w:rPr>
      </w:pPr>
      <w:r>
        <w:rPr>
          <w:b/>
          <w:color w:val="010101"/>
          <w:sz w:val="11"/>
        </w:rPr>
        <w:t>oc</w:t>
      </w:r>
    </w:p>
    <w:p>
      <w:pPr>
        <w:spacing w:line="294" w:lineRule="exact" w:before="0"/>
        <w:ind w:left="291" w:right="0" w:firstLine="0"/>
        <w:jc w:val="center"/>
        <w:rPr>
          <w:i/>
          <w:sz w:val="26"/>
        </w:rPr>
      </w:pPr>
      <w:r>
        <w:rPr>
          <w:b/>
          <w:i/>
          <w:color w:val="010101"/>
          <w:w w:val="90"/>
          <w:sz w:val="25"/>
        </w:rPr>
        <w:t>ilz. </w:t>
      </w:r>
      <w:r>
        <w:rPr>
          <w:color w:val="010101"/>
          <w:sz w:val="23"/>
        </w:rPr>
        <w:t>= </w:t>
      </w:r>
      <w:r>
        <w:rPr>
          <w:i/>
          <w:color w:val="010101"/>
          <w:sz w:val="33"/>
        </w:rPr>
        <w:t>L </w:t>
      </w:r>
      <w:r>
        <w:rPr>
          <w:i/>
          <w:color w:val="010101"/>
          <w:w w:val="90"/>
          <w:sz w:val="26"/>
        </w:rPr>
        <w:t>M z+i </w:t>
      </w:r>
      <w:r>
        <w:rPr>
          <w:i/>
          <w:color w:val="010101"/>
          <w:sz w:val="26"/>
        </w:rPr>
        <w:t>,</w:t>
      </w:r>
    </w:p>
    <w:p>
      <w:pPr>
        <w:spacing w:line="160" w:lineRule="exact" w:before="0"/>
        <w:ind w:left="291" w:right="41" w:firstLine="0"/>
        <w:jc w:val="center"/>
        <w:rPr>
          <w:rFonts w:ascii="Courier New"/>
          <w:sz w:val="18"/>
        </w:rPr>
      </w:pPr>
      <w:r>
        <w:rPr>
          <w:rFonts w:ascii="Courier New"/>
          <w:color w:val="010101"/>
          <w:w w:val="85"/>
          <w:sz w:val="18"/>
        </w:rPr>
        <w:t>e-o</w:t>
      </w:r>
    </w:p>
    <w:p>
      <w:pPr>
        <w:spacing w:after="0" w:line="160" w:lineRule="exact"/>
        <w:jc w:val="center"/>
        <w:rPr>
          <w:rFonts w:ascii="Courier New"/>
          <w:sz w:val="18"/>
        </w:rPr>
        <w:sectPr>
          <w:type w:val="continuous"/>
          <w:pgSz w:w="7200" w:h="11340"/>
          <w:pgMar w:top="1100" w:bottom="0" w:left="640" w:right="560"/>
        </w:sectPr>
      </w:pPr>
    </w:p>
    <w:p>
      <w:pPr>
        <w:tabs>
          <w:tab w:pos="2297" w:val="left" w:leader="none"/>
          <w:tab w:pos="5379" w:val="left" w:leader="none"/>
        </w:tabs>
        <w:spacing w:before="66"/>
        <w:ind w:left="130" w:right="0" w:firstLine="0"/>
        <w:jc w:val="left"/>
        <w:rPr>
          <w:rFonts w:ascii="Arial"/>
          <w:sz w:val="17"/>
        </w:rPr>
      </w:pPr>
      <w:r>
        <w:rPr>
          <w:rFonts w:ascii="Courier New"/>
          <w:spacing w:val="-27"/>
          <w:w w:val="105"/>
          <w:sz w:val="23"/>
        </w:rPr>
        <w:t>74</w:t>
        <w:tab/>
      </w:r>
      <w:r>
        <w:rPr>
          <w:b/>
          <w:w w:val="105"/>
          <w:sz w:val="15"/>
        </w:rPr>
        <w:t>LIFE </w:t>
      </w:r>
      <w:r>
        <w:rPr>
          <w:b/>
          <w:spacing w:val="12"/>
          <w:w w:val="105"/>
          <w:sz w:val="15"/>
        </w:rPr>
        <w:t> </w:t>
      </w:r>
      <w:r>
        <w:rPr>
          <w:b/>
          <w:w w:val="105"/>
          <w:sz w:val="15"/>
        </w:rPr>
        <w:t>INSURANCE</w:t>
        <w:tab/>
      </w:r>
      <w:r>
        <w:rPr>
          <w:b/>
          <w:sz w:val="17"/>
        </w:rPr>
        <w:t>{CH.</w:t>
      </w:r>
      <w:r>
        <w:rPr>
          <w:b/>
          <w:spacing w:val="-1"/>
          <w:sz w:val="17"/>
        </w:rPr>
        <w:t> </w:t>
      </w:r>
      <w:r>
        <w:rPr>
          <w:rFonts w:ascii="Arial"/>
          <w:sz w:val="17"/>
        </w:rPr>
        <w:t>3</w:t>
      </w:r>
    </w:p>
    <w:p>
      <w:pPr>
        <w:pStyle w:val="BodyText"/>
        <w:spacing w:before="2"/>
        <w:rPr>
          <w:rFonts w:ascii="Arial"/>
          <w:sz w:val="14"/>
        </w:rPr>
      </w:pPr>
    </w:p>
    <w:p>
      <w:pPr>
        <w:spacing w:after="0"/>
        <w:rPr>
          <w:rFonts w:ascii="Arial"/>
          <w:sz w:val="14"/>
        </w:rPr>
        <w:sectPr>
          <w:pgSz w:w="7200" w:h="11340"/>
          <w:pgMar w:top="480" w:bottom="280" w:left="640" w:right="560"/>
        </w:sectPr>
      </w:pPr>
    </w:p>
    <w:p>
      <w:pPr>
        <w:tabs>
          <w:tab w:pos="2214" w:val="left" w:leader="none"/>
        </w:tabs>
        <w:spacing w:line="164" w:lineRule="exact" w:before="75"/>
        <w:ind w:left="126" w:right="0" w:firstLine="0"/>
        <w:jc w:val="left"/>
        <w:rPr>
          <w:b/>
          <w:i/>
          <w:sz w:val="20"/>
        </w:rPr>
      </w:pPr>
      <w:r>
        <w:rPr>
          <w:sz w:val="20"/>
        </w:rPr>
        <w:t>we</w:t>
      </w:r>
      <w:r>
        <w:rPr>
          <w:spacing w:val="35"/>
          <w:sz w:val="20"/>
        </w:rPr>
        <w:t> </w:t>
      </w:r>
      <w:r>
        <w:rPr>
          <w:sz w:val="20"/>
        </w:rPr>
        <w:t>have</w:t>
        <w:tab/>
      </w:r>
      <w:r>
        <w:rPr>
          <w:spacing w:val="8"/>
          <w:position w:val="1"/>
          <w:sz w:val="20"/>
        </w:rPr>
        <w:t>(</w:t>
      </w:r>
      <w:r>
        <w:rPr>
          <w:b/>
          <w:i/>
          <w:spacing w:val="8"/>
          <w:position w:val="-4"/>
          <w:sz w:val="20"/>
        </w:rPr>
        <w:t>I </w:t>
      </w:r>
      <w:r>
        <w:rPr>
          <w:spacing w:val="5"/>
          <w:position w:val="10"/>
          <w:sz w:val="20"/>
        </w:rPr>
        <w:t>-</w:t>
      </w:r>
      <w:r>
        <w:rPr>
          <w:b/>
          <w:i/>
          <w:spacing w:val="5"/>
          <w:position w:val="-4"/>
          <w:sz w:val="20"/>
        </w:rPr>
        <w:t>)s  </w:t>
      </w:r>
      <w:r>
        <w:rPr>
          <w:position w:val="-4"/>
          <w:sz w:val="26"/>
        </w:rPr>
        <w:t>=</w:t>
      </w:r>
      <w:r>
        <w:rPr>
          <w:spacing w:val="57"/>
          <w:position w:val="-4"/>
          <w:sz w:val="26"/>
        </w:rPr>
        <w:t> </w:t>
      </w:r>
      <w:r>
        <w:rPr>
          <w:b/>
          <w:i/>
          <w:position w:val="10"/>
          <w:sz w:val="20"/>
        </w:rPr>
        <w:t>Íls</w:t>
      </w:r>
    </w:p>
    <w:p>
      <w:pPr>
        <w:spacing w:line="67" w:lineRule="exact" w:before="171"/>
        <w:ind w:left="126" w:right="0" w:firstLine="0"/>
        <w:jc w:val="left"/>
        <w:rPr>
          <w:b/>
          <w:sz w:val="20"/>
        </w:rPr>
      </w:pPr>
      <w:r>
        <w:rPr/>
        <w:br w:type="column"/>
      </w:r>
      <w:r>
        <w:rPr>
          <w:b/>
          <w:sz w:val="20"/>
        </w:rPr>
        <w:t>( 3.26 )</w:t>
      </w:r>
    </w:p>
    <w:p>
      <w:pPr>
        <w:spacing w:after="0" w:line="67" w:lineRule="exact"/>
        <w:jc w:val="left"/>
        <w:rPr>
          <w:sz w:val="20"/>
        </w:rPr>
        <w:sectPr>
          <w:type w:val="continuous"/>
          <w:pgSz w:w="7200" w:h="11340"/>
          <w:pgMar w:top="1100" w:bottom="0" w:left="640" w:right="560"/>
          <w:cols w:num="2" w:equalWidth="0">
            <w:col w:w="3252" w:space="1983"/>
            <w:col w:w="765"/>
          </w:cols>
        </w:sectPr>
      </w:pPr>
    </w:p>
    <w:p>
      <w:pPr>
        <w:tabs>
          <w:tab w:pos="647" w:val="left" w:leader="none"/>
        </w:tabs>
        <w:spacing w:line="225" w:lineRule="exact" w:before="0"/>
        <w:ind w:left="0" w:right="287" w:firstLine="0"/>
        <w:jc w:val="center"/>
        <w:rPr>
          <w:i/>
          <w:sz w:val="22"/>
        </w:rPr>
      </w:pPr>
      <w:r>
        <w:rPr/>
        <w:pict>
          <v:line style="position:absolute;mso-position-horizontal-relative:page;mso-position-vertical-relative:paragraph;z-index:-729592" from="184.320007pt,11.101411pt" to="195.120007pt,11.101411pt" stroked="true" strokeweight="4.5pt" strokecolor="#000000">
            <w10:wrap type="none"/>
          </v:line>
        </w:pict>
      </w:r>
      <w:r>
        <w:rPr>
          <w:b/>
          <w:i/>
          <w:sz w:val="20"/>
        </w:rPr>
        <w:t>A</w:t>
        <w:tab/>
      </w:r>
      <w:r>
        <w:rPr>
          <w:i/>
          <w:sz w:val="22"/>
        </w:rPr>
        <w:t>Ds"</w:t>
      </w:r>
    </w:p>
    <w:p>
      <w:pPr>
        <w:pStyle w:val="BodyText"/>
        <w:spacing w:before="9"/>
        <w:rPr>
          <w:i/>
          <w:sz w:val="9"/>
        </w:rPr>
      </w:pPr>
    </w:p>
    <w:p>
      <w:pPr>
        <w:pStyle w:val="BodyText"/>
        <w:spacing w:line="244" w:lineRule="auto" w:before="74"/>
        <w:ind w:left="137" w:right="119" w:firstLine="205"/>
        <w:jc w:val="both"/>
      </w:pPr>
      <w:r>
        <w:rPr>
          <w:w w:val="105"/>
        </w:rPr>
        <w:t>There is another type of increasing insurance that appears occasionally in combination  with  annuities  or  other  insurances.  </w:t>
      </w:r>
      <w:r>
        <w:rPr>
          <w:w w:val="105"/>
          <w:sz w:val="21"/>
        </w:rPr>
        <w:t>It  </w:t>
      </w:r>
      <w:r>
        <w:rPr>
          <w:w w:val="105"/>
        </w:rPr>
        <w:t>provides  increases  in  the  death  benefit  at  intervals  which</w:t>
      </w:r>
      <w:r>
        <w:rPr>
          <w:spacing w:val="-4"/>
          <w:w w:val="105"/>
        </w:rPr>
        <w:t> </w:t>
      </w:r>
      <w:r>
        <w:rPr>
          <w:w w:val="105"/>
        </w:rPr>
        <w:t>are</w:t>
      </w:r>
    </w:p>
    <w:p>
      <w:pPr>
        <w:pStyle w:val="BodyText"/>
        <w:spacing w:line="229" w:lineRule="exact" w:before="78"/>
        <w:ind w:right="124"/>
        <w:jc w:val="right"/>
        <w:rPr>
          <w:sz w:val="24"/>
        </w:rPr>
      </w:pPr>
      <w:r>
        <w:rPr/>
        <w:t>fractions  of  </w:t>
      </w:r>
      <w:r>
        <w:rPr>
          <w:rFonts w:ascii="Arial"/>
          <w:sz w:val="17"/>
        </w:rPr>
        <w:t>a </w:t>
      </w:r>
      <w:r>
        <w:rPr/>
        <w:t>year.  Let  the death  benefit  be </w:t>
      </w:r>
      <w:r>
        <w:rPr>
          <w:w w:val="90"/>
          <w:sz w:val="24"/>
        </w:rPr>
        <w:t>.!:_ </w:t>
      </w:r>
      <w:r>
        <w:rPr/>
        <w:t>during  the first </w:t>
      </w:r>
      <w:r>
        <w:rPr>
          <w:w w:val="90"/>
          <w:sz w:val="24"/>
        </w:rPr>
        <w:t>.!:_</w:t>
      </w:r>
    </w:p>
    <w:p>
      <w:pPr>
        <w:tabs>
          <w:tab w:pos="1623" w:val="left" w:leader="none"/>
        </w:tabs>
        <w:spacing w:line="194" w:lineRule="exact" w:before="0"/>
        <w:ind w:left="0" w:right="144" w:firstLine="0"/>
        <w:jc w:val="right"/>
        <w:rPr>
          <w:rFonts w:ascii="Courier New"/>
          <w:b/>
          <w:i/>
          <w:sz w:val="22"/>
        </w:rPr>
      </w:pPr>
      <w:r>
        <w:rPr>
          <w:rFonts w:ascii="Courier New"/>
          <w:b/>
          <w:i/>
          <w:w w:val="105"/>
          <w:sz w:val="22"/>
        </w:rPr>
        <w:t>m</w:t>
        <w:tab/>
        <w:t>m</w:t>
      </w:r>
    </w:p>
    <w:p>
      <w:pPr>
        <w:spacing w:after="0" w:line="194" w:lineRule="exact"/>
        <w:jc w:val="right"/>
        <w:rPr>
          <w:rFonts w:ascii="Courier New"/>
          <w:sz w:val="22"/>
        </w:rPr>
        <w:sectPr>
          <w:type w:val="continuous"/>
          <w:pgSz w:w="7200" w:h="11340"/>
          <w:pgMar w:top="1100" w:bottom="0" w:left="640" w:right="560"/>
        </w:sectPr>
      </w:pPr>
    </w:p>
    <w:p>
      <w:pPr>
        <w:pStyle w:val="BodyText"/>
        <w:spacing w:line="122" w:lineRule="exact"/>
        <w:ind w:left="130" w:right="-15"/>
      </w:pPr>
      <w:r>
        <w:rPr>
          <w:w w:val="106"/>
        </w:rPr>
        <w:t>years,</w:t>
      </w:r>
      <w:r>
        <w:rPr>
          <w:spacing w:val="14"/>
        </w:rPr>
        <w:t> </w:t>
      </w:r>
      <w:r>
        <w:rPr>
          <w:w w:val="105"/>
          <w:position w:val="12"/>
        </w:rPr>
        <w:t>2</w:t>
      </w:r>
      <w:r>
        <w:rPr>
          <w:position w:val="12"/>
        </w:rPr>
        <w:t>  </w:t>
      </w:r>
      <w:r>
        <w:rPr>
          <w:spacing w:val="-3"/>
          <w:position w:val="12"/>
        </w:rPr>
        <w:t> </w:t>
      </w:r>
      <w:r>
        <w:rPr>
          <w:spacing w:val="7"/>
          <w:w w:val="101"/>
          <w:position w:val="5"/>
        </w:rPr>
        <w:t>d</w:t>
      </w:r>
      <w:r>
        <w:rPr>
          <w:w w:val="105"/>
        </w:rPr>
        <w:t>ur</w:t>
      </w:r>
      <w:r>
        <w:rPr>
          <w:spacing w:val="-144"/>
          <w:w w:val="105"/>
        </w:rPr>
        <w:t>m</w:t>
      </w:r>
      <w:r>
        <w:rPr>
          <w:w w:val="115"/>
          <w:position w:val="5"/>
        </w:rPr>
        <w:t>.</w:t>
      </w:r>
      <w:r>
        <w:rPr>
          <w:position w:val="5"/>
        </w:rPr>
        <w:t> </w:t>
      </w:r>
      <w:r>
        <w:rPr>
          <w:spacing w:val="-15"/>
          <w:position w:val="5"/>
        </w:rPr>
        <w:t> </w:t>
      </w:r>
      <w:r>
        <w:rPr>
          <w:w w:val="106"/>
        </w:rPr>
        <w:t>g</w:t>
      </w:r>
      <w:r>
        <w:rPr/>
        <w:t> </w:t>
      </w:r>
      <w:r>
        <w:rPr>
          <w:spacing w:val="-4"/>
        </w:rPr>
        <w:t> </w:t>
      </w:r>
      <w:r>
        <w:rPr>
          <w:spacing w:val="9"/>
          <w:w w:val="124"/>
        </w:rPr>
        <w:t>t</w:t>
      </w:r>
      <w:r>
        <w:rPr>
          <w:spacing w:val="7"/>
          <w:w w:val="101"/>
          <w:position w:val="5"/>
        </w:rPr>
        <w:t>h</w:t>
      </w:r>
      <w:r>
        <w:rPr>
          <w:w w:val="107"/>
        </w:rPr>
        <w:t>e</w:t>
      </w:r>
      <w:r>
        <w:rPr/>
        <w:t> </w:t>
      </w:r>
      <w:r>
        <w:rPr>
          <w:spacing w:val="-16"/>
        </w:rPr>
        <w:t> </w:t>
      </w:r>
      <w:r>
        <w:rPr>
          <w:w w:val="100"/>
        </w:rPr>
        <w:t>seco</w:t>
      </w:r>
      <w:r>
        <w:rPr>
          <w:spacing w:val="8"/>
          <w:w w:val="100"/>
        </w:rPr>
        <w:t>n</w:t>
      </w:r>
      <w:r>
        <w:rPr>
          <w:w w:val="101"/>
          <w:position w:val="5"/>
        </w:rPr>
        <w:t>d</w:t>
      </w:r>
      <w:r>
        <w:rPr>
          <w:position w:val="5"/>
        </w:rPr>
        <w:t> </w:t>
      </w:r>
      <w:r>
        <w:rPr>
          <w:spacing w:val="-7"/>
          <w:position w:val="5"/>
        </w:rPr>
        <w:t> </w:t>
      </w:r>
      <w:r>
        <w:rPr>
          <w:w w:val="122"/>
          <w:position w:val="12"/>
        </w:rPr>
        <w:t>1</w:t>
      </w:r>
    </w:p>
    <w:p>
      <w:pPr>
        <w:pStyle w:val="BodyText"/>
        <w:spacing w:line="76" w:lineRule="exact" w:before="46"/>
        <w:ind w:left="64"/>
      </w:pPr>
      <w:r>
        <w:rPr/>
        <w:br w:type="column"/>
      </w:r>
      <w:r>
        <w:rPr>
          <w:w w:val="106"/>
        </w:rPr>
        <w:t>years,</w:t>
      </w:r>
      <w:r>
        <w:rPr/>
        <w:t> </w:t>
      </w:r>
      <w:r>
        <w:rPr>
          <w:spacing w:val="-4"/>
        </w:rPr>
        <w:t> </w:t>
      </w:r>
      <w:r>
        <w:rPr>
          <w:w w:val="107"/>
        </w:rPr>
        <w:t>a</w:t>
      </w:r>
      <w:r>
        <w:rPr>
          <w:spacing w:val="5"/>
          <w:w w:val="107"/>
        </w:rPr>
        <w:t>n</w:t>
      </w:r>
      <w:r>
        <w:rPr>
          <w:w w:val="109"/>
          <w:position w:val="5"/>
        </w:rPr>
        <w:t>d</w:t>
      </w:r>
      <w:r>
        <w:rPr>
          <w:position w:val="5"/>
        </w:rPr>
        <w:t> </w:t>
      </w:r>
      <w:r>
        <w:rPr>
          <w:spacing w:val="-8"/>
          <w:position w:val="5"/>
        </w:rPr>
        <w:t> </w:t>
      </w:r>
      <w:r>
        <w:rPr>
          <w:w w:val="102"/>
        </w:rPr>
        <w:t>so</w:t>
      </w:r>
      <w:r>
        <w:rPr/>
        <w:t> </w:t>
      </w:r>
      <w:r>
        <w:rPr>
          <w:spacing w:val="-14"/>
        </w:rPr>
        <w:t> </w:t>
      </w:r>
      <w:r>
        <w:rPr>
          <w:w w:val="106"/>
        </w:rPr>
        <w:t>on,</w:t>
      </w:r>
      <w:r>
        <w:rPr/>
        <w:t> </w:t>
      </w:r>
      <w:r>
        <w:rPr>
          <w:spacing w:val="-13"/>
        </w:rPr>
        <w:t> </w:t>
      </w:r>
      <w:r>
        <w:rPr>
          <w:spacing w:val="-153"/>
          <w:w w:val="102"/>
        </w:rPr>
        <w:t>m</w:t>
      </w:r>
      <w:r>
        <w:rPr>
          <w:w w:val="131"/>
          <w:position w:val="5"/>
        </w:rPr>
        <w:t>.</w:t>
      </w:r>
      <w:r>
        <w:rPr>
          <w:position w:val="5"/>
        </w:rPr>
        <w:t> </w:t>
      </w:r>
      <w:r>
        <w:rPr>
          <w:spacing w:val="-13"/>
          <w:position w:val="5"/>
        </w:rPr>
        <w:t> </w:t>
      </w:r>
      <w:r>
        <w:rPr>
          <w:w w:val="102"/>
        </w:rPr>
        <w:t>creas</w:t>
      </w:r>
      <w:r>
        <w:rPr>
          <w:spacing w:val="-142"/>
          <w:w w:val="102"/>
        </w:rPr>
        <w:t>m</w:t>
      </w:r>
      <w:r>
        <w:rPr>
          <w:w w:val="131"/>
          <w:position w:val="5"/>
        </w:rPr>
        <w:t>.</w:t>
      </w:r>
      <w:r>
        <w:rPr>
          <w:position w:val="5"/>
        </w:rPr>
        <w:t> </w:t>
      </w:r>
      <w:r>
        <w:rPr>
          <w:spacing w:val="-25"/>
          <w:position w:val="5"/>
        </w:rPr>
        <w:t> </w:t>
      </w:r>
      <w:r>
        <w:rPr>
          <w:w w:val="103"/>
        </w:rPr>
        <w:t>g</w:t>
      </w:r>
      <w:r>
        <w:rPr/>
        <w:t> </w:t>
      </w:r>
      <w:r>
        <w:rPr>
          <w:spacing w:val="-7"/>
        </w:rPr>
        <w:t> </w:t>
      </w:r>
      <w:r>
        <w:rPr>
          <w:spacing w:val="-6"/>
          <w:w w:val="110"/>
          <w:position w:val="5"/>
        </w:rPr>
        <w:t>b</w:t>
      </w:r>
      <w:r>
        <w:rPr>
          <w:w w:val="112"/>
        </w:rPr>
        <w:t>y</w:t>
      </w:r>
      <w:r>
        <w:rPr/>
        <w:t> </w:t>
      </w:r>
      <w:r>
        <w:rPr>
          <w:spacing w:val="-14"/>
        </w:rPr>
        <w:t> </w:t>
      </w:r>
      <w:r>
        <w:rPr>
          <w:w w:val="148"/>
          <w:position w:val="5"/>
        </w:rPr>
        <w:t>l</w:t>
      </w:r>
    </w:p>
    <w:p>
      <w:pPr>
        <w:spacing w:after="0" w:line="76" w:lineRule="exact"/>
        <w:sectPr>
          <w:type w:val="continuous"/>
          <w:pgSz w:w="7200" w:h="11340"/>
          <w:pgMar w:top="1100" w:bottom="0" w:left="640" w:right="560"/>
          <w:cols w:num="2" w:equalWidth="0">
            <w:col w:w="2755" w:space="40"/>
            <w:col w:w="3205"/>
          </w:cols>
        </w:sectPr>
      </w:pPr>
    </w:p>
    <w:p>
      <w:pPr>
        <w:pStyle w:val="BodyText"/>
        <w:tabs>
          <w:tab w:pos="2610" w:val="left" w:leader="none"/>
        </w:tabs>
        <w:spacing w:line="152" w:lineRule="exact"/>
        <w:ind w:left="695"/>
      </w:pPr>
      <w:r>
        <w:rPr>
          <w:w w:val="320"/>
        </w:rPr>
        <w:t>-</w:t>
        <w:tab/>
        <w:t>-</w:t>
      </w:r>
    </w:p>
    <w:p>
      <w:pPr>
        <w:tabs>
          <w:tab w:pos="2607" w:val="left" w:leader="none"/>
          <w:tab w:pos="5713" w:val="left" w:leader="none"/>
        </w:tabs>
        <w:spacing w:line="184" w:lineRule="exact" w:before="0"/>
        <w:ind w:left="695" w:right="0" w:firstLine="0"/>
        <w:jc w:val="left"/>
        <w:rPr>
          <w:rFonts w:ascii="Arial"/>
          <w:i/>
          <w:sz w:val="18"/>
        </w:rPr>
      </w:pPr>
      <w:r>
        <w:rPr>
          <w:rFonts w:ascii="Arial"/>
          <w:i/>
          <w:w w:val="110"/>
          <w:sz w:val="18"/>
        </w:rPr>
        <w:t>m</w:t>
        <w:tab/>
        <w:t>m</w:t>
        <w:tab/>
        <w:t>m</w:t>
      </w:r>
    </w:p>
    <w:p>
      <w:pPr>
        <w:pStyle w:val="BodyText"/>
        <w:spacing w:line="244" w:lineRule="exact" w:before="70"/>
        <w:ind w:left="130"/>
        <w:jc w:val="both"/>
      </w:pPr>
      <w:r>
        <w:rPr>
          <w:w w:val="105"/>
        </w:rPr>
        <w:t>each </w:t>
      </w:r>
      <w:r>
        <w:rPr>
          <w:sz w:val="25"/>
        </w:rPr>
        <w:t>.!_ </w:t>
      </w:r>
      <w:r>
        <w:rPr>
          <w:w w:val="105"/>
        </w:rPr>
        <w:t>years. Although  the increases occur at fractions </w:t>
      </w:r>
      <w:r>
        <w:rPr>
          <w:w w:val="105"/>
          <w:sz w:val="21"/>
        </w:rPr>
        <w:t>of </w:t>
      </w:r>
      <w:r>
        <w:rPr>
          <w:w w:val="105"/>
        </w:rPr>
        <w:t>a  year,</w:t>
      </w:r>
    </w:p>
    <w:p>
      <w:pPr>
        <w:spacing w:line="163" w:lineRule="exact" w:before="0"/>
        <w:ind w:left="580" w:right="0" w:firstLine="0"/>
        <w:jc w:val="left"/>
        <w:rPr>
          <w:rFonts w:ascii="Arial"/>
          <w:i/>
          <w:sz w:val="18"/>
        </w:rPr>
      </w:pPr>
      <w:r>
        <w:rPr>
          <w:rFonts w:ascii="Arial"/>
          <w:i/>
          <w:w w:val="107"/>
          <w:sz w:val="18"/>
        </w:rPr>
        <w:t>m</w:t>
      </w:r>
    </w:p>
    <w:p>
      <w:pPr>
        <w:pStyle w:val="BodyText"/>
        <w:spacing w:line="252" w:lineRule="auto"/>
        <w:ind w:left="126" w:right="125" w:firstLine="7"/>
        <w:jc w:val="both"/>
      </w:pPr>
      <w:r>
        <w:rPr>
          <w:w w:val="105"/>
        </w:rPr>
        <w:t>let us considcr first the case where the claim payment is deferred to the end of the year of death. The net single premium  at age </w:t>
      </w:r>
      <w:r>
        <w:rPr>
          <w:rFonts w:ascii="Arial" w:hAnsi="Arial"/>
          <w:i/>
          <w:w w:val="105"/>
          <w:sz w:val="17"/>
        </w:rPr>
        <w:t>x  </w:t>
      </w:r>
      <w:r>
        <w:rPr>
          <w:w w:val="105"/>
        </w:rPr>
        <w:t>is then  denoted  by  (J&lt;•&gt;A )s ,  where  the  superscript  (m)</w:t>
      </w:r>
      <w:r>
        <w:rPr>
          <w:spacing w:val="38"/>
          <w:w w:val="105"/>
        </w:rPr>
        <w:t> </w:t>
      </w:r>
      <w:r>
        <w:rPr>
          <w:w w:val="105"/>
        </w:rPr>
        <w:t>indicates</w:t>
      </w:r>
    </w:p>
    <w:p>
      <w:pPr>
        <w:pStyle w:val="BodyText"/>
        <w:spacing w:line="244" w:lineRule="exact" w:before="72"/>
        <w:ind w:left="134"/>
        <w:jc w:val="both"/>
      </w:pPr>
      <w:r>
        <w:rPr>
          <w:w w:val="105"/>
        </w:rPr>
        <w:t>that  the  increases  occur  at  intervals  of </w:t>
      </w:r>
      <w:r>
        <w:rPr>
          <w:sz w:val="25"/>
        </w:rPr>
        <w:t>.!_ </w:t>
      </w:r>
      <w:r>
        <w:rPr>
          <w:w w:val="105"/>
        </w:rPr>
        <w:t>years. An approxima-</w:t>
      </w:r>
    </w:p>
    <w:p>
      <w:pPr>
        <w:spacing w:line="164" w:lineRule="exact" w:before="0"/>
        <w:ind w:left="1546" w:right="0" w:firstLine="0"/>
        <w:jc w:val="center"/>
        <w:rPr>
          <w:rFonts w:ascii="Arial"/>
          <w:b/>
          <w:i/>
          <w:sz w:val="18"/>
        </w:rPr>
      </w:pPr>
      <w:r>
        <w:rPr>
          <w:rFonts w:ascii="Arial"/>
          <w:b/>
          <w:i/>
          <w:w w:val="102"/>
          <w:sz w:val="18"/>
        </w:rPr>
        <w:t>m</w:t>
      </w:r>
    </w:p>
    <w:p>
      <w:pPr>
        <w:pStyle w:val="BodyText"/>
        <w:spacing w:before="2"/>
        <w:ind w:left="130"/>
        <w:jc w:val="both"/>
      </w:pPr>
      <w:r>
        <w:rPr>
          <w:w w:val="105"/>
        </w:rPr>
        <w:t>tion  for  the premium  may  </w:t>
      </w:r>
      <w:r>
        <w:rPr>
          <w:rFonts w:ascii="Arial"/>
          <w:w w:val="105"/>
          <w:sz w:val="17"/>
        </w:rPr>
        <w:t>be </w:t>
      </w:r>
      <w:r>
        <w:rPr>
          <w:w w:val="105"/>
        </w:rPr>
        <w:t>derived  by  noting  that  the average</w:t>
      </w:r>
    </w:p>
    <w:p>
      <w:pPr>
        <w:pStyle w:val="BodyText"/>
        <w:spacing w:line="54" w:lineRule="exact" w:before="15"/>
        <w:ind w:right="518"/>
        <w:jc w:val="right"/>
      </w:pPr>
      <w:r>
        <w:rPr>
          <w:w w:val="122"/>
        </w:rPr>
        <w:t>1</w:t>
      </w:r>
    </w:p>
    <w:p>
      <w:pPr>
        <w:spacing w:after="0" w:line="54" w:lineRule="exact"/>
        <w:jc w:val="right"/>
        <w:sectPr>
          <w:type w:val="continuous"/>
          <w:pgSz w:w="7200" w:h="11340"/>
          <w:pgMar w:top="1100" w:bottom="0" w:left="640" w:right="560"/>
        </w:sectPr>
      </w:pPr>
    </w:p>
    <w:p>
      <w:pPr>
        <w:spacing w:line="255" w:lineRule="exact" w:before="0"/>
        <w:ind w:left="123" w:right="0" w:firstLine="0"/>
        <w:jc w:val="left"/>
        <w:rPr>
          <w:sz w:val="20"/>
        </w:rPr>
      </w:pPr>
      <w:r>
        <w:rPr/>
        <w:pict>
          <v:line style="position:absolute;mso-position-horizontal-relative:page;mso-position-vertical-relative:paragraph;z-index:-729568" from="283.679993pt,15.799877pt" to="306.179993pt,15.799877pt" stroked="true" strokeweight="6.48pt" strokecolor="#000000">
            <w10:wrap type="none"/>
          </v:line>
        </w:pict>
      </w:r>
      <w:r>
        <w:rPr>
          <w:w w:val="105"/>
          <w:sz w:val="20"/>
        </w:rPr>
        <w:t>payment  in the yéar of  age </w:t>
      </w:r>
      <w:r>
        <w:rPr>
          <w:i/>
          <w:w w:val="105"/>
          <w:sz w:val="19"/>
        </w:rPr>
        <w:t>x  </w:t>
      </w:r>
      <w:r>
        <w:rPr>
          <w:w w:val="105"/>
          <w:sz w:val="29"/>
        </w:rPr>
        <w:t>+ </w:t>
      </w:r>
      <w:r>
        <w:rPr>
          <w:rFonts w:ascii="Arial" w:hAnsi="Arial"/>
          <w:i/>
          <w:w w:val="105"/>
          <w:sz w:val="17"/>
        </w:rPr>
        <w:t>t </w:t>
      </w:r>
      <w:r>
        <w:rPr>
          <w:w w:val="105"/>
          <w:sz w:val="20"/>
        </w:rPr>
        <w:t>to </w:t>
      </w:r>
      <w:r>
        <w:rPr>
          <w:i/>
          <w:w w:val="105"/>
          <w:sz w:val="19"/>
        </w:rPr>
        <w:t>x  </w:t>
      </w:r>
      <w:r>
        <w:rPr>
          <w:rFonts w:ascii="Arial" w:hAnsi="Arial"/>
          <w:w w:val="105"/>
          <w:sz w:val="31"/>
        </w:rPr>
        <w:t>+ </w:t>
      </w:r>
      <w:r>
        <w:rPr>
          <w:i/>
          <w:w w:val="105"/>
          <w:sz w:val="22"/>
        </w:rPr>
        <w:t>t </w:t>
      </w:r>
      <w:r>
        <w:rPr>
          <w:w w:val="105"/>
          <w:sz w:val="29"/>
        </w:rPr>
        <w:t>+ </w:t>
      </w:r>
      <w:r>
        <w:rPr>
          <w:spacing w:val="6"/>
          <w:w w:val="105"/>
          <w:sz w:val="20"/>
        </w:rPr>
        <w:t>1is </w:t>
      </w:r>
      <w:r>
        <w:rPr>
          <w:i/>
          <w:w w:val="105"/>
          <w:sz w:val="23"/>
        </w:rPr>
        <w:t>t </w:t>
      </w:r>
      <w:r>
        <w:rPr>
          <w:w w:val="105"/>
          <w:sz w:val="29"/>
        </w:rPr>
        <w:t>+</w:t>
      </w:r>
      <w:r>
        <w:rPr>
          <w:spacing w:val="56"/>
          <w:w w:val="105"/>
          <w:sz w:val="29"/>
        </w:rPr>
        <w:t> </w:t>
      </w:r>
      <w:r>
        <w:rPr>
          <w:w w:val="105"/>
          <w:sz w:val="20"/>
        </w:rPr>
        <w:t>m</w:t>
      </w:r>
    </w:p>
    <w:p>
      <w:pPr>
        <w:pStyle w:val="BodyText"/>
        <w:spacing w:line="169" w:lineRule="exact"/>
        <w:jc w:val="right"/>
      </w:pPr>
      <w:r>
        <w:rPr>
          <w:w w:val="109"/>
        </w:rPr>
        <w:t>2</w:t>
      </w:r>
    </w:p>
    <w:p>
      <w:pPr>
        <w:spacing w:before="9"/>
        <w:ind w:left="119" w:right="0" w:firstLine="0"/>
        <w:jc w:val="left"/>
        <w:rPr>
          <w:sz w:val="19"/>
        </w:rPr>
      </w:pPr>
      <w:r>
        <w:rPr>
          <w:w w:val="110"/>
          <w:sz w:val="19"/>
        </w:rPr>
        <w:t>we therefore have</w:t>
      </w:r>
    </w:p>
    <w:p>
      <w:pPr>
        <w:pStyle w:val="BodyText"/>
        <w:spacing w:before="64"/>
        <w:ind w:left="119"/>
      </w:pPr>
      <w:r>
        <w:rPr/>
        <w:br w:type="column"/>
      </w:r>
      <w:r>
        <w:rPr>
          <w:w w:val="115"/>
        </w:rPr>
        <w:t>, and</w:t>
      </w:r>
    </w:p>
    <w:p>
      <w:pPr>
        <w:spacing w:after="0"/>
        <w:sectPr>
          <w:type w:val="continuous"/>
          <w:pgSz w:w="7200" w:h="11340"/>
          <w:pgMar w:top="1100" w:bottom="0" w:left="640" w:right="560"/>
          <w:cols w:num="2" w:equalWidth="0">
            <w:col w:w="5143" w:space="185"/>
            <w:col w:w="672"/>
          </w:cols>
        </w:sectPr>
      </w:pPr>
    </w:p>
    <w:p>
      <w:pPr>
        <w:spacing w:line="270" w:lineRule="exact" w:before="0"/>
        <w:ind w:left="295" w:right="-12" w:firstLine="0"/>
        <w:jc w:val="left"/>
        <w:rPr>
          <w:sz w:val="20"/>
        </w:rPr>
      </w:pPr>
      <w:r>
        <w:rPr>
          <w:rFonts w:ascii="Arial" w:hAnsi="Arial"/>
          <w:spacing w:val="-34"/>
          <w:w w:val="168"/>
          <w:sz w:val="25"/>
        </w:rPr>
        <w:t>u</w:t>
      </w:r>
      <w:r>
        <w:rPr>
          <w:rFonts w:ascii="Arial" w:hAnsi="Arial"/>
          <w:w w:val="63"/>
          <w:sz w:val="25"/>
        </w:rPr>
        <w:t>&lt;</w:t>
      </w:r>
      <w:r>
        <w:rPr>
          <w:rFonts w:ascii="Arial" w:hAnsi="Arial"/>
          <w:spacing w:val="-6"/>
          <w:w w:val="63"/>
          <w:sz w:val="25"/>
        </w:rPr>
        <w:t>•</w:t>
      </w:r>
      <w:r>
        <w:rPr>
          <w:rFonts w:ascii="Arial" w:hAnsi="Arial"/>
          <w:spacing w:val="11"/>
          <w:w w:val="28"/>
          <w:sz w:val="25"/>
        </w:rPr>
        <w:t>&gt;</w:t>
      </w:r>
      <w:r>
        <w:rPr>
          <w:rFonts w:ascii="Arial" w:hAnsi="Arial"/>
          <w:i/>
          <w:w w:val="107"/>
          <w:sz w:val="19"/>
        </w:rPr>
        <w:t>A</w:t>
      </w:r>
      <w:r>
        <w:rPr>
          <w:rFonts w:ascii="Arial" w:hAnsi="Arial"/>
          <w:i/>
          <w:spacing w:val="-14"/>
          <w:sz w:val="19"/>
        </w:rPr>
        <w:t> </w:t>
      </w:r>
      <w:r>
        <w:rPr>
          <w:w w:val="108"/>
          <w:sz w:val="19"/>
        </w:rPr>
        <w:t>)</w:t>
      </w:r>
      <w:r>
        <w:rPr>
          <w:w w:val="108"/>
          <w:sz w:val="19"/>
        </w:rPr>
        <w:t>s</w:t>
      </w:r>
      <w:r>
        <w:rPr>
          <w:sz w:val="19"/>
        </w:rPr>
        <w:t> </w:t>
      </w:r>
      <w:r>
        <w:rPr>
          <w:spacing w:val="-4"/>
          <w:sz w:val="19"/>
        </w:rPr>
        <w:t> </w:t>
      </w:r>
      <w:r>
        <w:rPr>
          <w:rFonts w:ascii="Arial" w:hAnsi="Arial"/>
          <w:w w:val="70"/>
          <w:sz w:val="26"/>
        </w:rPr>
        <w:t>=:</w:t>
      </w:r>
      <w:r>
        <w:rPr>
          <w:rFonts w:ascii="Arial" w:hAnsi="Arial"/>
          <w:spacing w:val="24"/>
          <w:sz w:val="26"/>
        </w:rPr>
        <w:t> </w:t>
      </w:r>
      <w:r>
        <w:rPr>
          <w:w w:val="49"/>
          <w:sz w:val="24"/>
        </w:rPr>
        <w:t>_!_</w:t>
      </w:r>
      <w:r>
        <w:rPr>
          <w:sz w:val="24"/>
        </w:rPr>
        <w:t> </w:t>
      </w:r>
      <w:r>
        <w:rPr>
          <w:spacing w:val="-21"/>
          <w:sz w:val="24"/>
        </w:rPr>
        <w:t> </w:t>
      </w:r>
      <w:r>
        <w:rPr>
          <w:w w:val="117"/>
          <w:sz w:val="46"/>
        </w:rPr>
        <w:t>f</w:t>
      </w:r>
      <w:r>
        <w:rPr>
          <w:spacing w:val="-1"/>
          <w:sz w:val="46"/>
        </w:rPr>
        <w:t> </w:t>
      </w:r>
      <w:r>
        <w:rPr>
          <w:i/>
          <w:spacing w:val="15"/>
          <w:w w:val="56"/>
          <w:sz w:val="49"/>
        </w:rPr>
        <w:t>(</w:t>
      </w:r>
      <w:r>
        <w:rPr>
          <w:i/>
          <w:w w:val="40"/>
          <w:sz w:val="49"/>
        </w:rPr>
        <w:t>t</w:t>
      </w:r>
      <w:r>
        <w:rPr>
          <w:i/>
          <w:spacing w:val="-31"/>
          <w:sz w:val="49"/>
        </w:rPr>
        <w:t> </w:t>
      </w:r>
      <w:r>
        <w:rPr>
          <w:rFonts w:ascii="Arial" w:hAnsi="Arial"/>
          <w:w w:val="104"/>
          <w:sz w:val="32"/>
        </w:rPr>
        <w:t>+</w:t>
      </w:r>
      <w:r>
        <w:rPr>
          <w:rFonts w:ascii="Arial" w:hAnsi="Arial"/>
          <w:spacing w:val="-44"/>
          <w:sz w:val="32"/>
        </w:rPr>
        <w:t> </w:t>
      </w:r>
      <w:r>
        <w:rPr>
          <w:rFonts w:ascii="Arial" w:hAnsi="Arial"/>
          <w:i/>
          <w:w w:val="107"/>
          <w:sz w:val="18"/>
        </w:rPr>
        <w:t>m</w:t>
      </w:r>
      <w:r>
        <w:rPr>
          <w:rFonts w:ascii="Arial" w:hAnsi="Arial"/>
          <w:i/>
          <w:sz w:val="18"/>
        </w:rPr>
        <w:t> </w:t>
      </w:r>
      <w:r>
        <w:rPr>
          <w:rFonts w:ascii="Arial" w:hAnsi="Arial"/>
          <w:i/>
          <w:spacing w:val="-14"/>
          <w:sz w:val="18"/>
        </w:rPr>
        <w:t> </w:t>
      </w:r>
      <w:r>
        <w:rPr>
          <w:rFonts w:ascii="Arial" w:hAnsi="Arial"/>
          <w:w w:val="104"/>
          <w:sz w:val="32"/>
        </w:rPr>
        <w:t>+</w:t>
      </w:r>
      <w:r>
        <w:rPr>
          <w:rFonts w:ascii="Arial" w:hAnsi="Arial"/>
          <w:spacing w:val="-26"/>
          <w:sz w:val="32"/>
        </w:rPr>
        <w:t> </w:t>
      </w:r>
      <w:r>
        <w:rPr>
          <w:w w:val="129"/>
          <w:position w:val="11"/>
          <w:sz w:val="20"/>
        </w:rPr>
        <w:t>1</w:t>
      </w:r>
    </w:p>
    <w:p>
      <w:pPr>
        <w:pStyle w:val="BodyText"/>
        <w:rPr>
          <w:sz w:val="22"/>
        </w:rPr>
      </w:pPr>
      <w:r>
        <w:rPr/>
        <w:br w:type="column"/>
      </w:r>
      <w:r>
        <w:rPr>
          <w:sz w:val="22"/>
        </w:rPr>
      </w:r>
    </w:p>
    <w:p>
      <w:pPr>
        <w:spacing w:line="16" w:lineRule="exact" w:before="0"/>
        <w:ind w:left="104" w:right="0" w:firstLine="0"/>
        <w:jc w:val="left"/>
        <w:rPr>
          <w:sz w:val="19"/>
        </w:rPr>
      </w:pPr>
      <w:r>
        <w:rPr>
          <w:w w:val="105"/>
          <w:sz w:val="19"/>
        </w:rPr>
        <w:t>CsH</w:t>
      </w:r>
    </w:p>
    <w:p>
      <w:pPr>
        <w:spacing w:after="0" w:line="16" w:lineRule="exact"/>
        <w:jc w:val="left"/>
        <w:rPr>
          <w:sz w:val="19"/>
        </w:rPr>
        <w:sectPr>
          <w:type w:val="continuous"/>
          <w:pgSz w:w="7200" w:h="11340"/>
          <w:pgMar w:top="1100" w:bottom="0" w:left="640" w:right="560"/>
          <w:cols w:num="2" w:equalWidth="0">
            <w:col w:w="3057" w:space="40"/>
            <w:col w:w="2903"/>
          </w:cols>
        </w:sectPr>
      </w:pPr>
    </w:p>
    <w:p>
      <w:pPr>
        <w:tabs>
          <w:tab w:pos="3010" w:val="left" w:leader="none"/>
        </w:tabs>
        <w:spacing w:line="349" w:lineRule="exact" w:before="0"/>
        <w:ind w:left="1343" w:right="0" w:firstLine="0"/>
        <w:jc w:val="left"/>
        <w:rPr>
          <w:sz w:val="20"/>
        </w:rPr>
      </w:pPr>
      <w:r>
        <w:rPr/>
        <w:pict>
          <v:line style="position:absolute;mso-position-horizontal-relative:page;mso-position-vertical-relative:paragraph;z-index:-729544" from="161.279999pt,11.556737pt" to="188.099999pt,11.556737pt" stroked="true" strokeweight="7.02pt" strokecolor="#000000">
            <w10:wrap type="none"/>
          </v:line>
        </w:pict>
      </w:r>
      <w:r>
        <w:rPr>
          <w:i/>
          <w:w w:val="105"/>
          <w:sz w:val="22"/>
        </w:rPr>
        <w:t>Dz </w:t>
      </w:r>
      <w:r>
        <w:rPr>
          <w:w w:val="130"/>
          <w:sz w:val="18"/>
        </w:rPr>
        <w:t>,-o</w:t>
        <w:tab/>
      </w:r>
      <w:r>
        <w:rPr>
          <w:w w:val="190"/>
          <w:position w:val="14"/>
          <w:sz w:val="20"/>
        </w:rPr>
        <w:t>)</w:t>
      </w:r>
    </w:p>
    <w:p>
      <w:pPr>
        <w:spacing w:before="20"/>
        <w:ind w:left="1332" w:right="0" w:firstLine="0"/>
        <w:jc w:val="left"/>
        <w:rPr>
          <w:b/>
          <w:i/>
          <w:sz w:val="22"/>
        </w:rPr>
      </w:pPr>
      <w:r>
        <w:rPr/>
        <w:pict>
          <v:line style="position:absolute;mso-position-horizontal-relative:page;mso-position-vertical-relative:paragraph;z-index:-729520" from="141.479996pt,25.347805pt" to="154.079996pt,25.347805pt" stroked="true" strokeweight="4.68pt" strokecolor="#000000">
            <w10:wrap type="none"/>
          </v:line>
        </w:pict>
      </w:r>
      <w:r>
        <w:rPr>
          <w:sz w:val="18"/>
        </w:rPr>
        <w:t>Rs+l  </w:t>
      </w:r>
      <w:r>
        <w:rPr>
          <w:rFonts w:ascii="Arial"/>
          <w:sz w:val="32"/>
        </w:rPr>
        <w:t>+</w:t>
      </w:r>
      <w:r>
        <w:rPr>
          <w:rFonts w:ascii="Arial"/>
          <w:spacing w:val="-69"/>
          <w:sz w:val="32"/>
        </w:rPr>
        <w:t> </w:t>
      </w:r>
      <w:r>
        <w:rPr>
          <w:rFonts w:ascii="Arial"/>
          <w:i/>
          <w:position w:val="14"/>
          <w:sz w:val="18"/>
        </w:rPr>
        <w:t>m </w:t>
      </w:r>
      <w:r>
        <w:rPr>
          <w:rFonts w:ascii="Arial"/>
          <w:position w:val="14"/>
          <w:sz w:val="32"/>
        </w:rPr>
        <w:t>+ </w:t>
      </w:r>
      <w:r>
        <w:rPr>
          <w:position w:val="14"/>
          <w:sz w:val="20"/>
        </w:rPr>
        <w:t>1 </w:t>
      </w:r>
      <w:r>
        <w:rPr>
          <w:b/>
          <w:i/>
          <w:sz w:val="22"/>
        </w:rPr>
        <w:t>M s</w:t>
      </w:r>
    </w:p>
    <w:p>
      <w:pPr>
        <w:spacing w:before="84"/>
        <w:ind w:left="1819" w:right="612" w:firstLine="0"/>
        <w:jc w:val="center"/>
        <w:rPr>
          <w:rFonts w:ascii="Arial"/>
          <w:i/>
          <w:sz w:val="21"/>
        </w:rPr>
      </w:pPr>
      <w:r>
        <w:rPr>
          <w:rFonts w:ascii="Arial"/>
          <w:i/>
          <w:spacing w:val="-17"/>
          <w:w w:val="112"/>
          <w:sz w:val="21"/>
        </w:rPr>
        <w:t>D</w:t>
      </w:r>
      <w:r>
        <w:rPr>
          <w:rFonts w:ascii="Arial"/>
          <w:i/>
          <w:w w:val="266"/>
          <w:sz w:val="21"/>
        </w:rPr>
        <w:t>.</w:t>
      </w:r>
    </w:p>
    <w:p>
      <w:pPr>
        <w:spacing w:line="188" w:lineRule="exact" w:before="107"/>
        <w:ind w:left="1819" w:right="624" w:firstLine="0"/>
        <w:jc w:val="center"/>
        <w:rPr>
          <w:sz w:val="20"/>
        </w:rPr>
      </w:pPr>
      <w:r>
        <w:rPr>
          <w:rFonts w:ascii="Arial"/>
          <w:i/>
          <w:w w:val="120"/>
          <w:sz w:val="18"/>
        </w:rPr>
        <w:t>m </w:t>
      </w:r>
      <w:r>
        <w:rPr>
          <w:rFonts w:ascii="Arial"/>
          <w:w w:val="280"/>
          <w:sz w:val="18"/>
        </w:rPr>
        <w:t>- </w:t>
      </w:r>
      <w:r>
        <w:rPr>
          <w:w w:val="120"/>
          <w:sz w:val="20"/>
        </w:rPr>
        <w:t>1</w:t>
      </w:r>
    </w:p>
    <w:p>
      <w:pPr>
        <w:tabs>
          <w:tab w:pos="2513" w:val="left" w:leader="none"/>
        </w:tabs>
        <w:spacing w:line="157" w:lineRule="exact" w:before="0"/>
        <w:ind w:left="1329" w:right="0" w:firstLine="0"/>
        <w:jc w:val="left"/>
        <w:rPr>
          <w:i/>
          <w:sz w:val="21"/>
        </w:rPr>
      </w:pPr>
      <w:r>
        <w:rPr/>
        <w:pict>
          <v:line style="position:absolute;mso-position-horizontal-relative:page;mso-position-vertical-relative:paragraph;z-index:6568" from="133.740005pt,10.029825pt" to="146.340005pt,10.029825pt" stroked="true" strokeweight="4.68pt" strokecolor="#000000">
            <w10:wrap type="none"/>
          </v:line>
        </w:pict>
      </w:r>
      <w:r>
        <w:rPr>
          <w:i/>
          <w:w w:val="140"/>
          <w:sz w:val="21"/>
        </w:rPr>
        <w:t>R.</w:t>
      </w:r>
      <w:r>
        <w:rPr>
          <w:i/>
          <w:spacing w:val="-7"/>
          <w:w w:val="140"/>
          <w:sz w:val="21"/>
        </w:rPr>
        <w:t> </w:t>
      </w:r>
      <w:r>
        <w:rPr>
          <w:w w:val="250"/>
          <w:sz w:val="21"/>
        </w:rPr>
        <w:t>-</w:t>
        <w:tab/>
      </w:r>
      <w:r>
        <w:rPr>
          <w:i/>
          <w:w w:val="95"/>
          <w:sz w:val="21"/>
        </w:rPr>
        <w:t>M</w:t>
      </w:r>
      <w:r>
        <w:rPr>
          <w:i/>
          <w:spacing w:val="-31"/>
          <w:w w:val="95"/>
          <w:sz w:val="21"/>
        </w:rPr>
        <w:t> </w:t>
      </w:r>
      <w:r>
        <w:rPr>
          <w:i/>
          <w:w w:val="95"/>
          <w:sz w:val="21"/>
        </w:rPr>
        <w:t>s</w:t>
      </w:r>
    </w:p>
    <w:p>
      <w:pPr>
        <w:spacing w:line="33" w:lineRule="exact" w:before="0"/>
        <w:ind w:left="0" w:right="139" w:firstLine="0"/>
        <w:jc w:val="right"/>
        <w:rPr>
          <w:sz w:val="28"/>
        </w:rPr>
      </w:pPr>
      <w:r>
        <w:rPr>
          <w:w w:val="85"/>
          <w:sz w:val="28"/>
        </w:rPr>
        <w:t>=</w:t>
      </w:r>
    </w:p>
    <w:p>
      <w:pPr>
        <w:pStyle w:val="BodyText"/>
        <w:rPr>
          <w:sz w:val="28"/>
        </w:rPr>
      </w:pPr>
      <w:r>
        <w:rPr/>
        <w:br w:type="column"/>
      </w:r>
      <w:r>
        <w:rPr>
          <w:sz w:val="28"/>
        </w:rPr>
      </w:r>
    </w:p>
    <w:p>
      <w:pPr>
        <w:pStyle w:val="BodyText"/>
        <w:rPr>
          <w:sz w:val="28"/>
        </w:rPr>
      </w:pPr>
    </w:p>
    <w:p>
      <w:pPr>
        <w:pStyle w:val="BodyText"/>
        <w:rPr>
          <w:sz w:val="28"/>
        </w:rPr>
      </w:pPr>
    </w:p>
    <w:p>
      <w:pPr>
        <w:pStyle w:val="BodyText"/>
        <w:rPr>
          <w:sz w:val="28"/>
        </w:rPr>
      </w:pPr>
    </w:p>
    <w:p>
      <w:pPr>
        <w:spacing w:line="215" w:lineRule="exact" w:before="185"/>
        <w:ind w:left="751" w:right="0" w:firstLine="0"/>
        <w:jc w:val="left"/>
        <w:rPr>
          <w:sz w:val="20"/>
        </w:rPr>
      </w:pPr>
      <w:r>
        <w:rPr>
          <w:rFonts w:ascii="Arial"/>
          <w:i/>
          <w:w w:val="120"/>
          <w:sz w:val="19"/>
        </w:rPr>
        <w:t>m </w:t>
      </w:r>
      <w:r>
        <w:rPr>
          <w:rFonts w:ascii="Arial"/>
          <w:w w:val="120"/>
          <w:sz w:val="19"/>
        </w:rPr>
        <w:t>_  </w:t>
      </w:r>
      <w:r>
        <w:rPr>
          <w:w w:val="120"/>
          <w:position w:val="-7"/>
          <w:sz w:val="20"/>
        </w:rPr>
        <w:t>1</w:t>
      </w:r>
    </w:p>
    <w:p>
      <w:pPr>
        <w:spacing w:after="0" w:line="215" w:lineRule="exact"/>
        <w:jc w:val="left"/>
        <w:rPr>
          <w:sz w:val="20"/>
        </w:rPr>
        <w:sectPr>
          <w:type w:val="continuous"/>
          <w:pgSz w:w="7200" w:h="11340"/>
          <w:pgMar w:top="1100" w:bottom="0" w:left="640" w:right="560"/>
          <w:cols w:num="2" w:equalWidth="0">
            <w:col w:w="3151" w:space="40"/>
            <w:col w:w="2809"/>
          </w:cols>
        </w:sectPr>
      </w:pPr>
    </w:p>
    <w:p>
      <w:pPr>
        <w:tabs>
          <w:tab w:pos="4594" w:val="left" w:leader="none"/>
          <w:tab w:pos="5339" w:val="left" w:leader="none"/>
        </w:tabs>
        <w:spacing w:line="234" w:lineRule="exact" w:before="0"/>
        <w:ind w:left="3118" w:right="0" w:firstLine="0"/>
        <w:jc w:val="left"/>
        <w:rPr>
          <w:sz w:val="20"/>
        </w:rPr>
      </w:pPr>
      <w:r>
        <w:rPr>
          <w:b/>
          <w:w w:val="105"/>
          <w:sz w:val="19"/>
        </w:rPr>
        <w:t>{JA.</w:t>
      </w:r>
      <w:r>
        <w:rPr>
          <w:b/>
          <w:spacing w:val="-26"/>
          <w:w w:val="105"/>
          <w:sz w:val="19"/>
        </w:rPr>
        <w:t> </w:t>
      </w:r>
      <w:r>
        <w:rPr>
          <w:b/>
          <w:w w:val="110"/>
          <w:sz w:val="19"/>
        </w:rPr>
        <w:t>)s</w:t>
      </w:r>
      <w:r>
        <w:rPr>
          <w:b/>
          <w:spacing w:val="27"/>
          <w:w w:val="110"/>
          <w:sz w:val="19"/>
        </w:rPr>
        <w:t> </w:t>
      </w:r>
      <w:r>
        <w:rPr>
          <w:w w:val="270"/>
          <w:sz w:val="19"/>
        </w:rPr>
        <w:t>-</w:t>
        <w:tab/>
      </w:r>
      <w:r>
        <w:rPr>
          <w:b/>
          <w:i/>
          <w:w w:val="105"/>
          <w:sz w:val="22"/>
        </w:rPr>
        <w:t>As</w:t>
      </w:r>
      <w:r>
        <w:rPr>
          <w:b/>
          <w:i/>
          <w:spacing w:val="-8"/>
          <w:w w:val="105"/>
          <w:sz w:val="22"/>
        </w:rPr>
        <w:t> </w:t>
      </w:r>
      <w:r>
        <w:rPr>
          <w:b/>
          <w:i/>
          <w:w w:val="75"/>
          <w:sz w:val="22"/>
        </w:rPr>
        <w:t>•</w:t>
        <w:tab/>
      </w:r>
      <w:r>
        <w:rPr>
          <w:spacing w:val="-11"/>
          <w:w w:val="110"/>
          <w:position w:val="3"/>
          <w:sz w:val="20"/>
        </w:rPr>
        <w:t>(3.27</w:t>
      </w:r>
      <w:r>
        <w:rPr>
          <w:spacing w:val="-23"/>
          <w:w w:val="110"/>
          <w:position w:val="3"/>
          <w:sz w:val="20"/>
        </w:rPr>
        <w:t> </w:t>
      </w:r>
      <w:r>
        <w:rPr>
          <w:w w:val="110"/>
          <w:position w:val="3"/>
          <w:sz w:val="20"/>
        </w:rPr>
        <w:t>)</w:t>
      </w:r>
    </w:p>
    <w:p>
      <w:pPr>
        <w:pStyle w:val="BodyText"/>
        <w:spacing w:before="8"/>
        <w:rPr>
          <w:sz w:val="19"/>
        </w:rPr>
      </w:pPr>
    </w:p>
    <w:p>
      <w:pPr>
        <w:pStyle w:val="BodyText"/>
        <w:ind w:left="112" w:right="132" w:firstLine="7"/>
        <w:jc w:val="both"/>
      </w:pPr>
      <w:r>
        <w:rPr>
          <w:w w:val="110"/>
        </w:rPr>
        <w:t>The reasoning here is equivalent </w:t>
      </w:r>
      <w:r>
        <w:rPr>
          <w:w w:val="110"/>
          <w:sz w:val="19"/>
        </w:rPr>
        <w:t>to </w:t>
      </w:r>
      <w:r>
        <w:rPr>
          <w:w w:val="110"/>
        </w:rPr>
        <w:t>the assumption of a uniform distribution of deaths, and the formula is exact under that as­ sumption. </w:t>
      </w:r>
      <w:r>
        <w:rPr>
          <w:w w:val="110"/>
          <w:sz w:val="22"/>
        </w:rPr>
        <w:t>In </w:t>
      </w:r>
      <w:r>
        <w:rPr>
          <w:w w:val="110"/>
        </w:rPr>
        <w:t>applying the formula, it must </w:t>
      </w:r>
      <w:r>
        <w:rPr>
          <w:w w:val="110"/>
          <w:sz w:val="19"/>
        </w:rPr>
        <w:t>be </w:t>
      </w:r>
      <w:r>
        <w:rPr>
          <w:w w:val="110"/>
        </w:rPr>
        <w:t>remembered    that</w:t>
      </w:r>
    </w:p>
    <w:p>
      <w:pPr>
        <w:pStyle w:val="BodyText"/>
        <w:spacing w:line="287" w:lineRule="exact" w:before="40"/>
        <w:ind w:left="112"/>
        <w:jc w:val="both"/>
      </w:pPr>
      <w:r>
        <w:rPr/>
        <w:t>an  initial  amount   </w:t>
      </w:r>
      <w:r>
        <w:rPr>
          <w:sz w:val="21"/>
        </w:rPr>
        <w:t>of  </w:t>
      </w:r>
      <w:r>
        <w:rPr>
          <w:rFonts w:ascii="Arial"/>
          <w:sz w:val="29"/>
        </w:rPr>
        <w:t>!.. </w:t>
      </w:r>
      <w:r>
        <w:rPr/>
        <w:t>is  assumed.  For  a.n  insurance  which     is</w:t>
      </w:r>
    </w:p>
    <w:p>
      <w:pPr>
        <w:spacing w:line="160" w:lineRule="exact" w:before="0"/>
        <w:ind w:left="0" w:right="1727" w:firstLine="0"/>
        <w:jc w:val="center"/>
        <w:rPr>
          <w:rFonts w:ascii="Arial"/>
          <w:b/>
          <w:i/>
          <w:sz w:val="18"/>
        </w:rPr>
      </w:pPr>
      <w:r>
        <w:rPr>
          <w:rFonts w:ascii="Arial"/>
          <w:b/>
          <w:i/>
          <w:w w:val="102"/>
          <w:sz w:val="18"/>
        </w:rPr>
        <w:t>m</w:t>
      </w:r>
    </w:p>
    <w:p>
      <w:pPr>
        <w:pStyle w:val="BodyText"/>
        <w:spacing w:line="222" w:lineRule="exact" w:before="85"/>
        <w:ind w:left="112"/>
        <w:jc w:val="both"/>
      </w:pPr>
      <w:r>
        <w:rPr>
          <w:w w:val="105"/>
        </w:rPr>
        <w:t>inítially </w:t>
      </w:r>
      <w:r>
        <w:rPr>
          <w:rFonts w:ascii="Arial" w:hAnsi="Arial"/>
          <w:w w:val="105"/>
          <w:sz w:val="18"/>
        </w:rPr>
        <w:t>1</w:t>
      </w:r>
      <w:r>
        <w:rPr>
          <w:w w:val="105"/>
        </w:rPr>
        <w:t>and increases by  </w:t>
      </w:r>
      <w:r>
        <w:rPr>
          <w:rFonts w:ascii="Arial" w:hAnsi="Arial"/>
          <w:w w:val="105"/>
          <w:sz w:val="18"/>
        </w:rPr>
        <w:t>1</w:t>
      </w:r>
      <w:r>
        <w:rPr>
          <w:w w:val="105"/>
        </w:rPr>
        <w:t>every  </w:t>
      </w:r>
      <w:r>
        <w:rPr>
          <w:sz w:val="23"/>
        </w:rPr>
        <w:t>!_ </w:t>
      </w:r>
      <w:r>
        <w:rPr>
          <w:w w:val="105"/>
        </w:rPr>
        <w:t>years, the net single premium</w:t>
      </w:r>
    </w:p>
    <w:p>
      <w:pPr>
        <w:spacing w:line="164" w:lineRule="exact" w:before="0"/>
        <w:ind w:left="391" w:right="0" w:firstLine="0"/>
        <w:jc w:val="center"/>
        <w:rPr>
          <w:rFonts w:ascii="Arial"/>
          <w:i/>
          <w:sz w:val="18"/>
        </w:rPr>
      </w:pPr>
      <w:r>
        <w:rPr>
          <w:rFonts w:ascii="Arial"/>
          <w:i/>
          <w:w w:val="107"/>
          <w:sz w:val="18"/>
        </w:rPr>
        <w:t>m</w:t>
      </w:r>
    </w:p>
    <w:p>
      <w:pPr>
        <w:spacing w:line="238" w:lineRule="exact" w:before="0"/>
        <w:ind w:left="112" w:right="0" w:firstLine="0"/>
        <w:jc w:val="left"/>
        <w:rPr>
          <w:sz w:val="21"/>
        </w:rPr>
      </w:pPr>
      <w:r>
        <w:rPr>
          <w:sz w:val="20"/>
        </w:rPr>
        <w:t>is </w:t>
      </w:r>
      <w:r>
        <w:rPr>
          <w:rFonts w:ascii="Arial" w:hAnsi="Arial"/>
          <w:b/>
          <w:sz w:val="19"/>
        </w:rPr>
        <w:t>m(J&lt;•&gt;</w:t>
      </w:r>
      <w:r>
        <w:rPr>
          <w:b/>
          <w:i/>
          <w:sz w:val="21"/>
        </w:rPr>
        <w:t>A )s </w:t>
      </w:r>
      <w:r>
        <w:rPr>
          <w:w w:val="110"/>
          <w:sz w:val="21"/>
        </w:rPr>
        <w:t>.</w:t>
      </w:r>
    </w:p>
    <w:p>
      <w:pPr>
        <w:spacing w:after="0" w:line="238" w:lineRule="exact"/>
        <w:jc w:val="left"/>
        <w:rPr>
          <w:sz w:val="21"/>
        </w:rPr>
        <w:sectPr>
          <w:type w:val="continuous"/>
          <w:pgSz w:w="7200" w:h="11340"/>
          <w:pgMar w:top="1100" w:bottom="0" w:left="640" w:right="560"/>
        </w:sectPr>
      </w:pPr>
    </w:p>
    <w:p>
      <w:pPr>
        <w:tabs>
          <w:tab w:pos="1987" w:val="left" w:leader="none"/>
          <w:tab w:pos="5874" w:val="right" w:leader="none"/>
        </w:tabs>
        <w:spacing w:before="60"/>
        <w:ind w:left="132" w:right="0" w:firstLine="0"/>
        <w:jc w:val="left"/>
        <w:rPr>
          <w:rFonts w:ascii="Arial"/>
          <w:sz w:val="20"/>
        </w:rPr>
      </w:pPr>
      <w:r>
        <w:rPr>
          <w:b/>
          <w:color w:val="010101"/>
          <w:position w:val="3"/>
          <w:sz w:val="15"/>
        </w:rPr>
        <w:t>SEC.  </w:t>
      </w:r>
      <w:r>
        <w:rPr>
          <w:rFonts w:ascii="Arial"/>
          <w:b/>
          <w:color w:val="010101"/>
          <w:position w:val="3"/>
          <w:sz w:val="19"/>
        </w:rPr>
        <w:t>6)</w:t>
        <w:tab/>
      </w:r>
      <w:r>
        <w:rPr>
          <w:b/>
          <w:color w:val="010101"/>
          <w:position w:val="2"/>
          <w:sz w:val="15"/>
        </w:rPr>
        <w:t>SUMMARY </w:t>
      </w:r>
      <w:r>
        <w:rPr>
          <w:b/>
          <w:color w:val="010101"/>
          <w:spacing w:val="31"/>
          <w:position w:val="2"/>
          <w:sz w:val="15"/>
        </w:rPr>
        <w:t> </w:t>
      </w:r>
      <w:r>
        <w:rPr>
          <w:b/>
          <w:color w:val="010101"/>
          <w:position w:val="2"/>
          <w:sz w:val="15"/>
        </w:rPr>
        <w:t>OF </w:t>
      </w:r>
      <w:r>
        <w:rPr>
          <w:b/>
          <w:color w:val="010101"/>
          <w:spacing w:val="21"/>
          <w:position w:val="2"/>
          <w:sz w:val="15"/>
        </w:rPr>
        <w:t> </w:t>
      </w:r>
      <w:r>
        <w:rPr>
          <w:b/>
          <w:color w:val="010101"/>
          <w:position w:val="2"/>
          <w:sz w:val="15"/>
        </w:rPr>
        <w:t>NOTATION</w:t>
      </w:r>
      <w:r>
        <w:rPr>
          <w:rFonts w:ascii="Arial"/>
          <w:color w:val="010101"/>
          <w:sz w:val="20"/>
        </w:rPr>
        <w:tab/>
        <w:t>75</w:t>
      </w:r>
    </w:p>
    <w:p>
      <w:pPr>
        <w:pStyle w:val="BodyText"/>
        <w:spacing w:before="4"/>
        <w:rPr>
          <w:rFonts w:ascii="Arial"/>
        </w:rPr>
      </w:pPr>
    </w:p>
    <w:p>
      <w:pPr>
        <w:pStyle w:val="BodyText"/>
        <w:spacing w:line="249" w:lineRule="auto" w:before="1"/>
        <w:ind w:left="129" w:right="137" w:firstLine="208"/>
        <w:jc w:val="both"/>
      </w:pPr>
      <w:r>
        <w:rPr>
          <w:color w:val="010101"/>
          <w:w w:val="105"/>
        </w:rPr>
        <w:t>We consider next the  case  where  the  claim  payment  is made at the moment of death. The net single premium at age </w:t>
      </w:r>
      <w:r>
        <w:rPr>
          <w:rFonts w:ascii="Arial"/>
          <w:i/>
          <w:color w:val="010101"/>
          <w:w w:val="105"/>
          <w:sz w:val="18"/>
        </w:rPr>
        <w:t>x </w:t>
      </w:r>
      <w:r>
        <w:rPr>
          <w:color w:val="010101"/>
          <w:w w:val="105"/>
        </w:rPr>
        <w:t>is then denoted by ([&lt;"''.A)z , and we have from (3.27)</w:t>
      </w:r>
    </w:p>
    <w:p>
      <w:pPr>
        <w:tabs>
          <w:tab w:pos="2098" w:val="left" w:leader="none"/>
        </w:tabs>
        <w:spacing w:line="172" w:lineRule="exact" w:before="131"/>
        <w:ind w:left="1625" w:right="0" w:firstLine="0"/>
        <w:jc w:val="left"/>
        <w:rPr>
          <w:sz w:val="20"/>
        </w:rPr>
      </w:pPr>
      <w:r>
        <w:rPr>
          <w:rFonts w:ascii="Arial"/>
          <w:color w:val="010101"/>
          <w:w w:val="120"/>
          <w:sz w:val="18"/>
        </w:rPr>
        <w:t>-</w:t>
        <w:tab/>
      </w:r>
      <w:r>
        <w:rPr>
          <w:rFonts w:ascii="Arial"/>
          <w:i/>
          <w:color w:val="010101"/>
          <w:w w:val="120"/>
          <w:sz w:val="18"/>
        </w:rPr>
        <w:t>m </w:t>
      </w:r>
      <w:r>
        <w:rPr>
          <w:rFonts w:ascii="Arial"/>
          <w:color w:val="010101"/>
          <w:w w:val="265"/>
          <w:sz w:val="18"/>
        </w:rPr>
        <w:t>- </w:t>
      </w:r>
      <w:r>
        <w:rPr>
          <w:color w:val="010101"/>
          <w:w w:val="120"/>
          <w:sz w:val="20"/>
        </w:rPr>
        <w:t>1</w:t>
      </w:r>
      <w:r>
        <w:rPr>
          <w:color w:val="010101"/>
          <w:spacing w:val="26"/>
          <w:w w:val="120"/>
          <w:sz w:val="20"/>
        </w:rPr>
        <w:t> </w:t>
      </w:r>
      <w:r>
        <w:rPr>
          <w:color w:val="010101"/>
          <w:w w:val="120"/>
          <w:sz w:val="20"/>
        </w:rPr>
        <w:t>-</w:t>
      </w:r>
    </w:p>
    <w:p>
      <w:pPr>
        <w:tabs>
          <w:tab w:pos="4692" w:val="left" w:leader="none"/>
        </w:tabs>
        <w:spacing w:line="161" w:lineRule="exact" w:before="0"/>
        <w:ind w:left="1564" w:right="0" w:firstLine="0"/>
        <w:jc w:val="left"/>
        <w:rPr>
          <w:sz w:val="20"/>
        </w:rPr>
      </w:pPr>
      <w:r>
        <w:rPr>
          <w:i/>
          <w:color w:val="010101"/>
          <w:w w:val="110"/>
          <w:sz w:val="22"/>
        </w:rPr>
        <w:t>Rz  </w:t>
      </w:r>
      <w:r>
        <w:rPr>
          <w:color w:val="010101"/>
          <w:w w:val="230"/>
          <w:sz w:val="22"/>
        </w:rPr>
        <w:t>-</w:t>
      </w:r>
      <w:r>
        <w:rPr>
          <w:color w:val="010101"/>
          <w:spacing w:val="-103"/>
          <w:w w:val="230"/>
          <w:sz w:val="22"/>
        </w:rPr>
        <w:t> </w:t>
      </w:r>
      <w:r>
        <w:rPr>
          <w:rFonts w:ascii="Arial"/>
          <w:b/>
          <w:i/>
          <w:color w:val="010101"/>
          <w:spacing w:val="-15"/>
          <w:w w:val="445"/>
          <w:sz w:val="20"/>
        </w:rPr>
        <w:t>--</w:t>
      </w:r>
      <w:r>
        <w:rPr>
          <w:rFonts w:ascii="Arial"/>
          <w:b/>
          <w:i/>
          <w:color w:val="010101"/>
          <w:spacing w:val="-198"/>
          <w:w w:val="445"/>
          <w:sz w:val="20"/>
        </w:rPr>
        <w:t> </w:t>
      </w:r>
      <w:r>
        <w:rPr>
          <w:rFonts w:ascii="Arial"/>
          <w:b/>
          <w:i/>
          <w:color w:val="010101"/>
          <w:w w:val="110"/>
          <w:sz w:val="20"/>
        </w:rPr>
        <w:t>Mz</w:t>
        <w:tab/>
      </w:r>
      <w:r>
        <w:rPr>
          <w:color w:val="010101"/>
          <w:w w:val="170"/>
          <w:sz w:val="20"/>
        </w:rPr>
        <w:t>l</w:t>
      </w:r>
    </w:p>
    <w:p>
      <w:pPr>
        <w:tabs>
          <w:tab w:pos="1660" w:val="left" w:leader="none"/>
          <w:tab w:pos="2582" w:val="left" w:leader="none"/>
        </w:tabs>
        <w:spacing w:line="210" w:lineRule="exact" w:before="0"/>
        <w:ind w:left="0" w:right="142" w:firstLine="0"/>
        <w:jc w:val="right"/>
        <w:rPr>
          <w:b/>
          <w:sz w:val="20"/>
        </w:rPr>
      </w:pPr>
      <w:r>
        <w:rPr>
          <w:color w:val="010101"/>
          <w:sz w:val="20"/>
        </w:rPr>
        <w:t>(IC"'l.A</w:t>
      </w:r>
      <w:r>
        <w:rPr>
          <w:color w:val="010101"/>
          <w:spacing w:val="-32"/>
          <w:sz w:val="20"/>
        </w:rPr>
        <w:t> </w:t>
      </w:r>
      <w:r>
        <w:rPr>
          <w:color w:val="010101"/>
          <w:sz w:val="20"/>
        </w:rPr>
        <w:t>)z</w:t>
      </w:r>
      <w:r>
        <w:rPr>
          <w:color w:val="010101"/>
          <w:spacing w:val="-12"/>
          <w:sz w:val="20"/>
        </w:rPr>
        <w:t> </w:t>
      </w:r>
      <w:r>
        <w:rPr>
          <w:rFonts w:ascii="Arial" w:hAnsi="Arial"/>
          <w:color w:val="010101"/>
          <w:sz w:val="24"/>
        </w:rPr>
        <w:t>=:</w:t>
        <w:tab/>
      </w:r>
      <w:r>
        <w:rPr>
          <w:rFonts w:ascii="Arial" w:hAnsi="Arial"/>
          <w:color w:val="010101"/>
          <w:w w:val="580"/>
          <w:sz w:val="24"/>
        </w:rPr>
        <w:t>;</w:t>
        <w:tab/>
      </w:r>
      <w:r>
        <w:rPr>
          <w:rFonts w:ascii="Arial" w:hAnsi="Arial"/>
          <w:color w:val="010101"/>
          <w:sz w:val="26"/>
        </w:rPr>
        <w:t>=:</w:t>
      </w:r>
      <w:r>
        <w:rPr>
          <w:rFonts w:ascii="Arial" w:hAnsi="Arial"/>
          <w:color w:val="010101"/>
          <w:spacing w:val="-7"/>
          <w:sz w:val="26"/>
        </w:rPr>
        <w:t> </w:t>
      </w:r>
      <w:r>
        <w:rPr>
          <w:b/>
          <w:i/>
          <w:color w:val="010101"/>
          <w:spacing w:val="5"/>
          <w:w w:val="135"/>
          <w:sz w:val="19"/>
        </w:rPr>
        <w:t>(IA</w:t>
      </w:r>
      <w:r>
        <w:rPr>
          <w:b/>
          <w:i/>
          <w:color w:val="010101"/>
          <w:spacing w:val="-32"/>
          <w:w w:val="135"/>
          <w:sz w:val="19"/>
        </w:rPr>
        <w:t> </w:t>
      </w:r>
      <w:r>
        <w:rPr>
          <w:b/>
          <w:i/>
          <w:color w:val="010101"/>
          <w:sz w:val="19"/>
        </w:rPr>
        <w:t>)z</w:t>
      </w:r>
      <w:r>
        <w:rPr>
          <w:b/>
          <w:i/>
          <w:color w:val="010101"/>
          <w:spacing w:val="41"/>
          <w:sz w:val="19"/>
        </w:rPr>
        <w:t> </w:t>
      </w:r>
      <w:r>
        <w:rPr>
          <w:color w:val="010101"/>
          <w:w w:val="275"/>
          <w:sz w:val="19"/>
        </w:rPr>
        <w:t>-</w:t>
      </w:r>
      <w:r>
        <w:rPr>
          <w:color w:val="010101"/>
          <w:spacing w:val="-100"/>
          <w:w w:val="275"/>
          <w:sz w:val="19"/>
        </w:rPr>
        <w:t> </w:t>
      </w:r>
      <w:r>
        <w:rPr>
          <w:b/>
          <w:color w:val="010101"/>
          <w:sz w:val="21"/>
        </w:rPr>
        <w:t>m</w:t>
      </w:r>
      <w:r>
        <w:rPr>
          <w:b/>
          <w:color w:val="010101"/>
          <w:spacing w:val="15"/>
          <w:sz w:val="21"/>
        </w:rPr>
        <w:t> </w:t>
      </w:r>
      <w:r>
        <w:rPr>
          <w:b/>
          <w:color w:val="010101"/>
          <w:w w:val="480"/>
          <w:sz w:val="20"/>
        </w:rPr>
        <w:t>:</w:t>
      </w:r>
      <w:r>
        <w:rPr>
          <w:b/>
          <w:color w:val="010101"/>
          <w:spacing w:val="-200"/>
          <w:w w:val="480"/>
          <w:sz w:val="20"/>
        </w:rPr>
        <w:t> </w:t>
      </w:r>
      <w:r>
        <w:rPr>
          <w:b/>
          <w:i/>
          <w:color w:val="010101"/>
          <w:sz w:val="20"/>
        </w:rPr>
        <w:t>Ái;</w:t>
      </w:r>
      <w:r>
        <w:rPr>
          <w:b/>
          <w:i/>
          <w:color w:val="010101"/>
          <w:spacing w:val="1"/>
          <w:sz w:val="20"/>
        </w:rPr>
        <w:t> </w:t>
      </w:r>
      <w:r>
        <w:rPr>
          <w:b/>
          <w:i/>
          <w:color w:val="010101"/>
          <w:sz w:val="20"/>
        </w:rPr>
        <w:t>. </w:t>
      </w:r>
      <w:r>
        <w:rPr>
          <w:b/>
          <w:i/>
          <w:color w:val="010101"/>
          <w:spacing w:val="38"/>
          <w:sz w:val="20"/>
        </w:rPr>
        <w:t> </w:t>
      </w:r>
      <w:r>
        <w:rPr>
          <w:b/>
          <w:color w:val="010101"/>
          <w:sz w:val="20"/>
        </w:rPr>
        <w:t>(</w:t>
      </w:r>
      <w:r>
        <w:rPr>
          <w:b/>
          <w:color w:val="010101"/>
          <w:spacing w:val="-33"/>
          <w:sz w:val="20"/>
        </w:rPr>
        <w:t> </w:t>
      </w:r>
      <w:r>
        <w:rPr>
          <w:b/>
          <w:color w:val="010101"/>
          <w:sz w:val="20"/>
        </w:rPr>
        <w:t>3.28</w:t>
      </w:r>
      <w:r>
        <w:rPr>
          <w:b/>
          <w:color w:val="010101"/>
          <w:spacing w:val="-29"/>
          <w:sz w:val="20"/>
        </w:rPr>
        <w:t> </w:t>
      </w:r>
      <w:r>
        <w:rPr>
          <w:b/>
          <w:color w:val="010101"/>
          <w:sz w:val="20"/>
        </w:rPr>
        <w:t>)</w:t>
      </w:r>
    </w:p>
    <w:p>
      <w:pPr>
        <w:spacing w:line="176" w:lineRule="exact" w:before="0"/>
        <w:ind w:left="0" w:right="1536" w:firstLine="0"/>
        <w:jc w:val="right"/>
        <w:rPr>
          <w:b/>
          <w:sz w:val="20"/>
        </w:rPr>
      </w:pPr>
      <w:r>
        <w:rPr/>
        <w:pict>
          <v:rect style="position:absolute;margin-left:250.941696pt;margin-top:.151775pt;width:12.3767pt;height:6.457399pt;mso-position-horizontal-relative:page;mso-position-vertical-relative:paragraph;z-index:-729424" filled="true" fillcolor="#000000" stroked="false">
            <v:fill type="solid"/>
            <w10:wrap type="none"/>
          </v:rect>
        </w:pict>
      </w:r>
      <w:r>
        <w:rPr>
          <w:b/>
          <w:color w:val="010101"/>
          <w:w w:val="103"/>
          <w:sz w:val="20"/>
        </w:rPr>
        <w:t>2</w:t>
      </w:r>
    </w:p>
    <w:p>
      <w:pPr>
        <w:spacing w:before="109"/>
        <w:ind w:left="136" w:right="0" w:firstLine="200"/>
        <w:jc w:val="both"/>
        <w:rPr>
          <w:sz w:val="20"/>
        </w:rPr>
      </w:pPr>
      <w:r>
        <w:rPr>
          <w:color w:val="010101"/>
          <w:w w:val="105"/>
          <w:sz w:val="21"/>
        </w:rPr>
        <w:t>If  </w:t>
      </w:r>
      <w:r>
        <w:rPr>
          <w:color w:val="010101"/>
          <w:w w:val="105"/>
          <w:sz w:val="20"/>
        </w:rPr>
        <w:t>the  increases  in  insurance occur </w:t>
      </w:r>
      <w:r>
        <w:rPr>
          <w:i/>
          <w:color w:val="010101"/>
          <w:w w:val="105"/>
          <w:sz w:val="20"/>
        </w:rPr>
        <w:t>momently  </w:t>
      </w:r>
      <w:r>
        <w:rPr>
          <w:color w:val="010101"/>
          <w:w w:val="105"/>
          <w:sz w:val="20"/>
        </w:rPr>
        <w:t>instead  of  at the</w:t>
      </w:r>
    </w:p>
    <w:p>
      <w:pPr>
        <w:pStyle w:val="BodyText"/>
        <w:spacing w:line="144" w:lineRule="auto" w:before="87"/>
        <w:ind w:left="129" w:firstLine="7"/>
      </w:pPr>
      <w:r>
        <w:rPr>
          <w:color w:val="010101"/>
          <w:w w:val="105"/>
        </w:rPr>
        <w:t>end of 1/m years, so that the death benefit is </w:t>
      </w:r>
      <w:r>
        <w:rPr>
          <w:rFonts w:ascii="Arial"/>
          <w:i/>
          <w:color w:val="010101"/>
          <w:w w:val="105"/>
          <w:sz w:val="17"/>
        </w:rPr>
        <w:t>t </w:t>
      </w:r>
      <w:r>
        <w:rPr>
          <w:color w:val="010101"/>
          <w:w w:val="105"/>
        </w:rPr>
        <w:t>at the moment of attaining age </w:t>
      </w:r>
      <w:r>
        <w:rPr>
          <w:rFonts w:ascii="Arial"/>
          <w:i/>
          <w:color w:val="010101"/>
          <w:w w:val="105"/>
          <w:sz w:val="19"/>
        </w:rPr>
        <w:t>x </w:t>
      </w:r>
      <w:r>
        <w:rPr>
          <w:rFonts w:ascii="Arial"/>
          <w:color w:val="010101"/>
          <w:w w:val="105"/>
          <w:sz w:val="31"/>
        </w:rPr>
        <w:t>+ </w:t>
      </w:r>
      <w:r>
        <w:rPr>
          <w:i/>
          <w:color w:val="010101"/>
          <w:w w:val="105"/>
          <w:sz w:val="22"/>
        </w:rPr>
        <w:t>t , </w:t>
      </w:r>
      <w:r>
        <w:rPr>
          <w:color w:val="010101"/>
          <w:w w:val="105"/>
        </w:rPr>
        <w:t>the present value, denoted by </w:t>
      </w:r>
      <w:r>
        <w:rPr>
          <w:b/>
          <w:color w:val="010101"/>
          <w:w w:val="105"/>
          <w:sz w:val="21"/>
        </w:rPr>
        <w:t>(i.A )z , </w:t>
      </w:r>
      <w:r>
        <w:rPr>
          <w:color w:val="010101"/>
          <w:w w:val="105"/>
        </w:rPr>
        <w:t>may  be</w:t>
      </w:r>
    </w:p>
    <w:p>
      <w:pPr>
        <w:pStyle w:val="BodyText"/>
        <w:spacing w:before="11"/>
        <w:ind w:left="129"/>
      </w:pPr>
      <w:r>
        <w:rPr/>
        <w:drawing>
          <wp:anchor distT="0" distB="0" distL="0" distR="0" allowOverlap="1" layoutInCell="1" locked="0" behindDoc="0" simplePos="0" relativeHeight="6592">
            <wp:simplePos x="0" y="0"/>
            <wp:positionH relativeFrom="page">
              <wp:posOffset>1545336</wp:posOffset>
            </wp:positionH>
            <wp:positionV relativeFrom="paragraph">
              <wp:posOffset>248900</wp:posOffset>
            </wp:positionV>
            <wp:extent cx="1380744" cy="283463"/>
            <wp:effectExtent l="0" t="0" r="0" b="0"/>
            <wp:wrapNone/>
            <wp:docPr id="183" name="image96.png" descr=""/>
            <wp:cNvGraphicFramePr>
              <a:graphicFrameLocks noChangeAspect="1"/>
            </wp:cNvGraphicFramePr>
            <a:graphic>
              <a:graphicData uri="http://schemas.openxmlformats.org/drawingml/2006/picture">
                <pic:pic>
                  <pic:nvPicPr>
                    <pic:cNvPr id="184" name="image96.png"/>
                    <pic:cNvPicPr/>
                  </pic:nvPicPr>
                  <pic:blipFill>
                    <a:blip r:embed="rId100" cstate="print"/>
                    <a:stretch>
                      <a:fillRect/>
                    </a:stretch>
                  </pic:blipFill>
                  <pic:spPr>
                    <a:xfrm>
                      <a:off x="0" y="0"/>
                      <a:ext cx="1380744" cy="283463"/>
                    </a:xfrm>
                    <a:prstGeom prst="rect">
                      <a:avLst/>
                    </a:prstGeom>
                  </pic:spPr>
                </pic:pic>
              </a:graphicData>
            </a:graphic>
          </wp:anchor>
        </w:drawing>
      </w:r>
      <w:r>
        <w:rPr>
          <w:color w:val="010101"/>
          <w:w w:val="105"/>
        </w:rPr>
        <w:t>expressed as</w:t>
      </w:r>
    </w:p>
    <w:p>
      <w:pPr>
        <w:pStyle w:val="BodyText"/>
      </w:pPr>
    </w:p>
    <w:p>
      <w:pPr>
        <w:pStyle w:val="BodyText"/>
        <w:spacing w:before="9"/>
        <w:rPr>
          <w:sz w:val="28"/>
        </w:rPr>
      </w:pPr>
    </w:p>
    <w:p>
      <w:pPr>
        <w:pStyle w:val="BodyText"/>
        <w:ind w:right="130"/>
        <w:jc w:val="right"/>
      </w:pPr>
      <w:r>
        <w:rPr/>
        <w:drawing>
          <wp:anchor distT="0" distB="0" distL="0" distR="0" allowOverlap="1" layoutInCell="1" locked="0" behindDoc="0" simplePos="0" relativeHeight="6616">
            <wp:simplePos x="0" y="0"/>
            <wp:positionH relativeFrom="page">
              <wp:posOffset>1938527</wp:posOffset>
            </wp:positionH>
            <wp:positionV relativeFrom="paragraph">
              <wp:posOffset>123520</wp:posOffset>
            </wp:positionV>
            <wp:extent cx="1179576" cy="292608"/>
            <wp:effectExtent l="0" t="0" r="0" b="0"/>
            <wp:wrapNone/>
            <wp:docPr id="185" name="image97.png" descr=""/>
            <wp:cNvGraphicFramePr>
              <a:graphicFrameLocks noChangeAspect="1"/>
            </wp:cNvGraphicFramePr>
            <a:graphic>
              <a:graphicData uri="http://schemas.openxmlformats.org/drawingml/2006/picture">
                <pic:pic>
                  <pic:nvPicPr>
                    <pic:cNvPr id="186" name="image97.png"/>
                    <pic:cNvPicPr/>
                  </pic:nvPicPr>
                  <pic:blipFill>
                    <a:blip r:embed="rId101" cstate="print"/>
                    <a:stretch>
                      <a:fillRect/>
                    </a:stretch>
                  </pic:blipFill>
                  <pic:spPr>
                    <a:xfrm>
                      <a:off x="0" y="0"/>
                      <a:ext cx="1179576" cy="292608"/>
                    </a:xfrm>
                    <a:prstGeom prst="rect">
                      <a:avLst/>
                    </a:prstGeom>
                  </pic:spPr>
                </pic:pic>
              </a:graphicData>
            </a:graphic>
          </wp:anchor>
        </w:drawing>
      </w:r>
      <w:r>
        <w:rPr>
          <w:color w:val="010101"/>
          <w:w w:val="105"/>
        </w:rPr>
        <w:t>( 3.29)</w:t>
      </w:r>
    </w:p>
    <w:p>
      <w:pPr>
        <w:pStyle w:val="BodyText"/>
      </w:pPr>
    </w:p>
    <w:p>
      <w:pPr>
        <w:pStyle w:val="BodyText"/>
        <w:spacing w:before="2"/>
        <w:rPr>
          <w:sz w:val="28"/>
        </w:rPr>
      </w:pPr>
    </w:p>
    <w:p>
      <w:pPr>
        <w:pStyle w:val="BodyText"/>
        <w:ind w:left="122"/>
      </w:pPr>
      <w:r>
        <w:rPr>
          <w:color w:val="010101"/>
          <w:w w:val="105"/>
        </w:rPr>
        <w:t>This may  be approximated  by  letting </w:t>
      </w:r>
      <w:r>
        <w:rPr>
          <w:rFonts w:ascii="Arial"/>
          <w:i/>
          <w:color w:val="010101"/>
          <w:w w:val="105"/>
          <w:sz w:val="18"/>
        </w:rPr>
        <w:t>m </w:t>
      </w:r>
      <w:r>
        <w:rPr>
          <w:color w:val="010101"/>
          <w:w w:val="105"/>
        </w:rPr>
        <w:t>become infinite in  (3.28) :</w:t>
      </w:r>
    </w:p>
    <w:p>
      <w:pPr>
        <w:pStyle w:val="BodyText"/>
        <w:spacing w:before="131"/>
        <w:ind w:right="142"/>
        <w:jc w:val="right"/>
      </w:pPr>
      <w:r>
        <w:rPr>
          <w:position w:val="-5"/>
        </w:rPr>
        <w:drawing>
          <wp:inline distT="0" distB="0" distL="0" distR="0">
            <wp:extent cx="2121407" cy="228600"/>
            <wp:effectExtent l="0" t="0" r="0" b="0"/>
            <wp:docPr id="187" name="image98.png" descr=""/>
            <wp:cNvGraphicFramePr>
              <a:graphicFrameLocks noChangeAspect="1"/>
            </wp:cNvGraphicFramePr>
            <a:graphic>
              <a:graphicData uri="http://schemas.openxmlformats.org/drawingml/2006/picture">
                <pic:pic>
                  <pic:nvPicPr>
                    <pic:cNvPr id="188" name="image98.png"/>
                    <pic:cNvPicPr/>
                  </pic:nvPicPr>
                  <pic:blipFill>
                    <a:blip r:embed="rId102" cstate="print"/>
                    <a:stretch>
                      <a:fillRect/>
                    </a:stretch>
                  </pic:blipFill>
                  <pic:spPr>
                    <a:xfrm>
                      <a:off x="0" y="0"/>
                      <a:ext cx="2121407" cy="228600"/>
                    </a:xfrm>
                    <a:prstGeom prst="rect">
                      <a:avLst/>
                    </a:prstGeom>
                  </pic:spPr>
                </pic:pic>
              </a:graphicData>
            </a:graphic>
          </wp:inline>
        </w:drawing>
      </w:r>
      <w:r>
        <w:rPr>
          <w:position w:val="-5"/>
        </w:rPr>
      </w:r>
      <w:r>
        <w:rPr/>
        <w:t>            </w:t>
      </w:r>
      <w:r>
        <w:rPr>
          <w:color w:val="010101"/>
          <w:spacing w:val="-4"/>
          <w:w w:val="110"/>
        </w:rPr>
        <w:t>(3.30)</w:t>
      </w:r>
    </w:p>
    <w:p>
      <w:pPr>
        <w:pStyle w:val="BodyText"/>
        <w:spacing w:line="244" w:lineRule="auto" w:before="233"/>
        <w:ind w:left="122" w:right="135" w:firstLine="208"/>
        <w:jc w:val="both"/>
      </w:pPr>
      <w:r>
        <w:rPr>
          <w:color w:val="010101"/>
          <w:w w:val="105"/>
          <w:sz w:val="21"/>
        </w:rPr>
        <w:t>It </w:t>
      </w:r>
      <w:r>
        <w:rPr>
          <w:rFonts w:ascii="Arial" w:hAnsi="Arial"/>
          <w:color w:val="010101"/>
          <w:w w:val="105"/>
          <w:sz w:val="19"/>
        </w:rPr>
        <w:t>is </w:t>
      </w:r>
      <w:r>
        <w:rPr>
          <w:color w:val="010101"/>
          <w:w w:val="105"/>
        </w:rPr>
        <w:t>quite easy to see that this result is  a  reasonable  one.  During the first year, the payment under </w:t>
      </w:r>
      <w:r>
        <w:rPr>
          <w:i/>
          <w:color w:val="010101"/>
          <w:w w:val="105"/>
          <w:sz w:val="22"/>
        </w:rPr>
        <w:t>(]A)z </w:t>
      </w:r>
      <w:r>
        <w:rPr>
          <w:color w:val="010101"/>
          <w:w w:val="105"/>
        </w:rPr>
        <w:t>increases from </w:t>
      </w:r>
      <w:r>
        <w:rPr>
          <w:color w:val="010101"/>
        </w:rPr>
        <w:t>O </w:t>
      </w:r>
      <w:r>
        <w:rPr>
          <w:color w:val="010101"/>
          <w:w w:val="105"/>
        </w:rPr>
        <w:t>to  1 and may be regarded as having  an  average  value  during  that year of  }. Similarly,  the average payment  during the second year  is </w:t>
      </w:r>
      <w:r>
        <w:rPr>
          <w:rFonts w:ascii="Arial" w:hAnsi="Arial"/>
          <w:b/>
          <w:color w:val="010101"/>
          <w:w w:val="105"/>
          <w:sz w:val="21"/>
        </w:rPr>
        <w:t>1!; </w:t>
      </w:r>
      <w:r>
        <w:rPr>
          <w:color w:val="010101"/>
          <w:w w:val="105"/>
        </w:rPr>
        <w:t>and so on. Comparing with </w:t>
      </w:r>
      <w:r>
        <w:rPr>
          <w:color w:val="010101"/>
          <w:spacing w:val="-3"/>
          <w:w w:val="105"/>
        </w:rPr>
        <w:t>(l.A)z </w:t>
      </w:r>
      <w:r>
        <w:rPr>
          <w:color w:val="010101"/>
          <w:w w:val="105"/>
        </w:rPr>
        <w:t>, which assumes a pay­ ment of  1 during the  first year, 2 during the second year, and so  on, it  is evident  that  </w:t>
      </w:r>
      <w:r>
        <w:rPr>
          <w:i/>
          <w:color w:val="010101"/>
          <w:spacing w:val="-3"/>
          <w:w w:val="105"/>
          <w:sz w:val="19"/>
        </w:rPr>
        <w:t>(i.A)z  </w:t>
      </w:r>
      <w:r>
        <w:rPr>
          <w:color w:val="010101"/>
          <w:w w:val="105"/>
        </w:rPr>
        <w:t>is less than  </w:t>
      </w:r>
      <w:r>
        <w:rPr>
          <w:i/>
          <w:color w:val="010101"/>
          <w:spacing w:val="5"/>
          <w:w w:val="105"/>
        </w:rPr>
        <w:t>(I </w:t>
      </w:r>
      <w:r>
        <w:rPr>
          <w:color w:val="010101"/>
          <w:w w:val="105"/>
        </w:rPr>
        <w:t>.A)z by   </w:t>
      </w:r>
      <w:r>
        <w:rPr>
          <w:color w:val="010101"/>
          <w:spacing w:val="9"/>
          <w:w w:val="105"/>
        </w:rPr>
        <w:t> </w:t>
      </w:r>
      <w:r>
        <w:rPr>
          <w:color w:val="010101"/>
          <w:w w:val="105"/>
        </w:rPr>
        <w:t>approximately</w:t>
      </w:r>
    </w:p>
    <w:p>
      <w:pPr>
        <w:pStyle w:val="BodyText"/>
        <w:spacing w:line="250" w:lineRule="exact"/>
        <w:ind w:left="129"/>
      </w:pPr>
      <w:r>
        <w:rPr>
          <w:color w:val="010101"/>
          <w:w w:val="111"/>
        </w:rPr>
        <w:t>the</w:t>
      </w:r>
      <w:r>
        <w:rPr>
          <w:color w:val="010101"/>
          <w:spacing w:val="3"/>
        </w:rPr>
        <w:t> </w:t>
      </w:r>
      <w:r>
        <w:rPr>
          <w:color w:val="010101"/>
          <w:w w:val="105"/>
        </w:rPr>
        <w:t>value</w:t>
      </w:r>
      <w:r>
        <w:rPr>
          <w:color w:val="010101"/>
          <w:spacing w:val="8"/>
        </w:rPr>
        <w:t> </w:t>
      </w:r>
      <w:r>
        <w:rPr>
          <w:color w:val="010101"/>
          <w:w w:val="89"/>
        </w:rPr>
        <w:t>of</w:t>
      </w:r>
      <w:r>
        <w:rPr>
          <w:color w:val="010101"/>
          <w:spacing w:val="18"/>
        </w:rPr>
        <w:t> </w:t>
      </w:r>
      <w:r>
        <w:rPr>
          <w:color w:val="010101"/>
          <w:w w:val="112"/>
        </w:rPr>
        <w:t>a</w:t>
      </w:r>
      <w:r>
        <w:rPr>
          <w:color w:val="010101"/>
        </w:rPr>
        <w:t> </w:t>
      </w:r>
      <w:r>
        <w:rPr>
          <w:color w:val="010101"/>
          <w:w w:val="99"/>
        </w:rPr>
        <w:t>level</w:t>
      </w:r>
      <w:r>
        <w:rPr>
          <w:color w:val="010101"/>
          <w:spacing w:val="17"/>
        </w:rPr>
        <w:t> </w:t>
      </w:r>
      <w:r>
        <w:rPr>
          <w:color w:val="010101"/>
          <w:w w:val="104"/>
        </w:rPr>
        <w:t>insurance</w:t>
      </w:r>
      <w:r>
        <w:rPr>
          <w:color w:val="010101"/>
          <w:spacing w:val="14"/>
        </w:rPr>
        <w:t> </w:t>
      </w:r>
      <w:r>
        <w:rPr>
          <w:color w:val="010101"/>
          <w:w w:val="89"/>
        </w:rPr>
        <w:t>o</w:t>
      </w:r>
      <w:r>
        <w:rPr>
          <w:color w:val="010101"/>
          <w:spacing w:val="-3"/>
          <w:w w:val="89"/>
        </w:rPr>
        <w:t>f</w:t>
      </w:r>
      <w:r>
        <w:rPr>
          <w:color w:val="010101"/>
          <w:spacing w:val="-188"/>
          <w:w w:val="298"/>
          <w:sz w:val="26"/>
        </w:rPr>
        <w:t>!</w:t>
      </w:r>
      <w:r>
        <w:rPr>
          <w:color w:val="010101"/>
          <w:w w:val="105"/>
        </w:rPr>
        <w:t>payable</w:t>
      </w:r>
      <w:r>
        <w:rPr>
          <w:color w:val="010101"/>
          <w:spacing w:val="19"/>
        </w:rPr>
        <w:t> </w:t>
      </w:r>
      <w:r>
        <w:rPr>
          <w:color w:val="010101"/>
          <w:w w:val="117"/>
        </w:rPr>
        <w:t>at</w:t>
      </w:r>
      <w:r>
        <w:rPr>
          <w:color w:val="010101"/>
          <w:spacing w:val="6"/>
        </w:rPr>
        <w:t> </w:t>
      </w:r>
      <w:r>
        <w:rPr>
          <w:color w:val="010101"/>
          <w:w w:val="112"/>
        </w:rPr>
        <w:t>the</w:t>
      </w:r>
      <w:r>
        <w:rPr>
          <w:color w:val="010101"/>
          <w:spacing w:val="4"/>
        </w:rPr>
        <w:t> </w:t>
      </w:r>
      <w:r>
        <w:rPr>
          <w:color w:val="010101"/>
          <w:w w:val="103"/>
        </w:rPr>
        <w:t>moment</w:t>
      </w:r>
      <w:r>
        <w:rPr>
          <w:color w:val="010101"/>
        </w:rPr>
        <w:t> </w:t>
      </w:r>
      <w:r>
        <w:rPr>
          <w:color w:val="010101"/>
          <w:spacing w:val="-21"/>
        </w:rPr>
        <w:t> </w:t>
      </w:r>
      <w:r>
        <w:rPr>
          <w:color w:val="010101"/>
          <w:w w:val="87"/>
        </w:rPr>
        <w:t>of</w:t>
      </w:r>
      <w:r>
        <w:rPr>
          <w:color w:val="010101"/>
          <w:spacing w:val="22"/>
        </w:rPr>
        <w:t> </w:t>
      </w:r>
      <w:r>
        <w:rPr>
          <w:color w:val="010101"/>
          <w:w w:val="111"/>
        </w:rPr>
        <w:t>death.</w:t>
      </w:r>
    </w:p>
    <w:p>
      <w:pPr>
        <w:pStyle w:val="BodyText"/>
        <w:spacing w:before="1"/>
        <w:ind w:left="129"/>
      </w:pPr>
      <w:r>
        <w:rPr>
          <w:color w:val="010101"/>
          <w:w w:val="105"/>
        </w:rPr>
        <w:t>We thus have</w:t>
      </w:r>
    </w:p>
    <w:p>
      <w:pPr>
        <w:spacing w:after="0"/>
        <w:sectPr>
          <w:pgSz w:w="7200" w:h="11340"/>
          <w:pgMar w:top="480" w:bottom="280" w:left="660" w:right="540"/>
        </w:sectPr>
      </w:pPr>
    </w:p>
    <w:p>
      <w:pPr>
        <w:pStyle w:val="BodyText"/>
        <w:spacing w:before="7"/>
        <w:rPr>
          <w:sz w:val="11"/>
        </w:rPr>
      </w:pPr>
    </w:p>
    <w:p>
      <w:pPr>
        <w:pStyle w:val="BodyText"/>
        <w:spacing w:line="230" w:lineRule="exact"/>
        <w:ind w:left="1989"/>
      </w:pPr>
      <w:r>
        <w:rPr>
          <w:position w:val="-4"/>
        </w:rPr>
        <w:drawing>
          <wp:inline distT="0" distB="0" distL="0" distR="0">
            <wp:extent cx="1289303" cy="146304"/>
            <wp:effectExtent l="0" t="0" r="0" b="0"/>
            <wp:docPr id="189" name="image99.png" descr=""/>
            <wp:cNvGraphicFramePr>
              <a:graphicFrameLocks noChangeAspect="1"/>
            </wp:cNvGraphicFramePr>
            <a:graphic>
              <a:graphicData uri="http://schemas.openxmlformats.org/drawingml/2006/picture">
                <pic:pic>
                  <pic:nvPicPr>
                    <pic:cNvPr id="190" name="image99.png"/>
                    <pic:cNvPicPr/>
                  </pic:nvPicPr>
                  <pic:blipFill>
                    <a:blip r:embed="rId103" cstate="print"/>
                    <a:stretch>
                      <a:fillRect/>
                    </a:stretch>
                  </pic:blipFill>
                  <pic:spPr>
                    <a:xfrm>
                      <a:off x="0" y="0"/>
                      <a:ext cx="1289303" cy="146304"/>
                    </a:xfrm>
                    <a:prstGeom prst="rect">
                      <a:avLst/>
                    </a:prstGeom>
                  </pic:spPr>
                </pic:pic>
              </a:graphicData>
            </a:graphic>
          </wp:inline>
        </w:drawing>
      </w:r>
      <w:r>
        <w:rPr>
          <w:position w:val="-4"/>
        </w:rPr>
      </w:r>
    </w:p>
    <w:p>
      <w:pPr>
        <w:pStyle w:val="BodyText"/>
        <w:spacing w:before="129"/>
        <w:ind w:left="129" w:right="-20"/>
      </w:pPr>
      <w:r>
        <w:rPr>
          <w:color w:val="010101"/>
          <w:w w:val="110"/>
        </w:rPr>
        <w:t>as above.</w:t>
      </w:r>
    </w:p>
    <w:p>
      <w:pPr>
        <w:pStyle w:val="ListParagraph"/>
        <w:numPr>
          <w:ilvl w:val="0"/>
          <w:numId w:val="31"/>
        </w:numPr>
        <w:tabs>
          <w:tab w:pos="356" w:val="left" w:leader="none"/>
        </w:tabs>
        <w:spacing w:line="240" w:lineRule="auto" w:before="169" w:after="0"/>
        <w:ind w:left="355" w:right="0" w:hanging="237"/>
        <w:jc w:val="left"/>
        <w:rPr>
          <w:b/>
          <w:color w:val="010101"/>
          <w:sz w:val="20"/>
        </w:rPr>
      </w:pPr>
      <w:r>
        <w:rPr>
          <w:b/>
          <w:color w:val="010101"/>
          <w:w w:val="120"/>
          <w:sz w:val="19"/>
        </w:rPr>
        <w:t>Summary of</w:t>
      </w:r>
      <w:r>
        <w:rPr>
          <w:b/>
          <w:color w:val="010101"/>
          <w:spacing w:val="23"/>
          <w:w w:val="120"/>
          <w:sz w:val="19"/>
        </w:rPr>
        <w:t> </w:t>
      </w:r>
      <w:r>
        <w:rPr>
          <w:b/>
          <w:color w:val="010101"/>
          <w:spacing w:val="2"/>
          <w:w w:val="120"/>
          <w:sz w:val="19"/>
        </w:rPr>
        <w:t>notation</w:t>
      </w:r>
    </w:p>
    <w:p>
      <w:pPr>
        <w:pStyle w:val="BodyText"/>
        <w:spacing w:before="78"/>
        <w:ind w:left="322" w:right="-20"/>
      </w:pPr>
      <w:r>
        <w:rPr>
          <w:color w:val="010101"/>
          <w:w w:val="105"/>
        </w:rPr>
        <w:t>Principies </w:t>
      </w:r>
      <w:r>
        <w:rPr>
          <w:rFonts w:ascii="Arial"/>
          <w:color w:val="010101"/>
          <w:w w:val="105"/>
        </w:rPr>
        <w:t>A-H </w:t>
      </w:r>
      <w:r>
        <w:rPr>
          <w:color w:val="010101"/>
          <w:w w:val="105"/>
        </w:rPr>
        <w:t>of  Chapters  1 and 2 should  be reviewed.</w:t>
      </w:r>
    </w:p>
    <w:p>
      <w:pPr>
        <w:pStyle w:val="BodyText"/>
        <w:spacing w:before="122"/>
        <w:ind w:left="118" w:right="-7"/>
      </w:pPr>
      <w:r>
        <w:rPr/>
        <w:br w:type="column"/>
      </w:r>
      <w:r>
        <w:rPr>
          <w:color w:val="010101"/>
        </w:rPr>
        <w:t>(3.31)</w:t>
      </w:r>
    </w:p>
    <w:p>
      <w:pPr>
        <w:spacing w:after="0"/>
        <w:sectPr>
          <w:type w:val="continuous"/>
          <w:pgSz w:w="7200" w:h="11340"/>
          <w:pgMar w:top="1100" w:bottom="0" w:left="660" w:right="540"/>
          <w:cols w:num="2" w:equalWidth="0">
            <w:col w:w="5175" w:space="59"/>
            <w:col w:w="766"/>
          </w:cols>
        </w:sectPr>
      </w:pPr>
    </w:p>
    <w:p>
      <w:pPr>
        <w:pStyle w:val="BodyText"/>
        <w:spacing w:line="247" w:lineRule="auto" w:before="7"/>
        <w:ind w:left="125" w:right="160" w:firstLine="204"/>
        <w:jc w:val="both"/>
      </w:pPr>
      <w:r>
        <w:rPr>
          <w:color w:val="010101"/>
          <w:w w:val="115"/>
        </w:rPr>
        <w:t>l. </w:t>
      </w:r>
      <w:r>
        <w:rPr>
          <w:color w:val="010101"/>
          <w:w w:val="105"/>
        </w:rPr>
        <w:t>When a r.om pound symbol  is used  as a suffixed  subscript,  as x:nJ, a </w:t>
      </w:r>
      <w:r>
        <w:rPr>
          <w:color w:val="010101"/>
          <w:w w:val="105"/>
          <w:sz w:val="19"/>
        </w:rPr>
        <w:t>1 </w:t>
      </w:r>
      <w:r>
        <w:rPr>
          <w:color w:val="010101"/>
          <w:w w:val="105"/>
        </w:rPr>
        <w:t>written ahovr one clement of the subsC'ript indica.tes thn t the evcnt. is determi ncd upon the prior failurc (or </w:t>
      </w:r>
      <w:r>
        <w:rPr>
          <w:color w:val="010101"/>
          <w:spacing w:val="14"/>
          <w:w w:val="105"/>
        </w:rPr>
        <w:t> </w:t>
      </w:r>
      <w:r>
        <w:rPr>
          <w:color w:val="010101"/>
          <w:w w:val="105"/>
        </w:rPr>
        <w:t>expiration)</w:t>
      </w:r>
    </w:p>
    <w:p>
      <w:pPr>
        <w:spacing w:after="0" w:line="247" w:lineRule="auto"/>
        <w:jc w:val="both"/>
        <w:sectPr>
          <w:type w:val="continuous"/>
          <w:pgSz w:w="7200" w:h="11340"/>
          <w:pgMar w:top="1100" w:bottom="0" w:left="660" w:right="540"/>
        </w:sectPr>
      </w:pPr>
    </w:p>
    <w:p>
      <w:pPr>
        <w:tabs>
          <w:tab w:pos="2288" w:val="left" w:leader="none"/>
          <w:tab w:pos="5370" w:val="left" w:leader="none"/>
        </w:tabs>
        <w:spacing w:before="57"/>
        <w:ind w:left="140" w:right="0" w:hanging="11"/>
        <w:jc w:val="both"/>
        <w:rPr>
          <w:rFonts w:ascii="Arial"/>
          <w:b/>
          <w:sz w:val="18"/>
        </w:rPr>
      </w:pPr>
      <w:r>
        <w:rPr>
          <w:color w:val="010101"/>
          <w:sz w:val="19"/>
        </w:rPr>
        <w:t>76</w:t>
        <w:tab/>
      </w:r>
      <w:r>
        <w:rPr>
          <w:b/>
          <w:color w:val="010101"/>
          <w:sz w:val="15"/>
        </w:rPr>
        <w:t>LIFE  </w:t>
      </w:r>
      <w:r>
        <w:rPr>
          <w:b/>
          <w:color w:val="010101"/>
          <w:spacing w:val="16"/>
          <w:sz w:val="15"/>
        </w:rPr>
        <w:t> </w:t>
      </w:r>
      <w:r>
        <w:rPr>
          <w:b/>
          <w:color w:val="010101"/>
          <w:sz w:val="15"/>
        </w:rPr>
        <w:t>INSURANCE</w:t>
        <w:tab/>
      </w:r>
      <w:r>
        <w:rPr>
          <w:rFonts w:ascii="Arial"/>
          <w:b/>
          <w:color w:val="010101"/>
          <w:w w:val="90"/>
          <w:sz w:val="20"/>
        </w:rPr>
        <w:t>[CH.</w:t>
      </w:r>
      <w:r>
        <w:rPr>
          <w:rFonts w:ascii="Arial"/>
          <w:b/>
          <w:color w:val="010101"/>
          <w:spacing w:val="-13"/>
          <w:w w:val="90"/>
          <w:sz w:val="20"/>
        </w:rPr>
        <w:t> </w:t>
      </w:r>
      <w:r>
        <w:rPr>
          <w:rFonts w:ascii="Arial"/>
          <w:b/>
          <w:color w:val="010101"/>
          <w:w w:val="90"/>
          <w:sz w:val="18"/>
        </w:rPr>
        <w:t>3</w:t>
      </w:r>
    </w:p>
    <w:p>
      <w:pPr>
        <w:pStyle w:val="BodyText"/>
        <w:rPr>
          <w:rFonts w:ascii="Arial"/>
          <w:b/>
          <w:sz w:val="21"/>
        </w:rPr>
      </w:pPr>
    </w:p>
    <w:p>
      <w:pPr>
        <w:pStyle w:val="BodyText"/>
        <w:ind w:left="140"/>
        <w:jc w:val="both"/>
        <w:rPr>
          <w:sz w:val="19"/>
        </w:rPr>
      </w:pPr>
      <w:r>
        <w:rPr>
          <w:color w:val="010101"/>
          <w:w w:val="110"/>
        </w:rPr>
        <w:t>of that element. </w:t>
      </w:r>
      <w:r>
        <w:rPr>
          <w:color w:val="010101"/>
          <w:w w:val="110"/>
          <w:sz w:val="19"/>
        </w:rPr>
        <w:t>If  </w:t>
      </w:r>
      <w:r>
        <w:rPr>
          <w:color w:val="010101"/>
          <w:w w:val="110"/>
        </w:rPr>
        <w:t>the 1 is not used, it indicates that the event </w:t>
      </w:r>
      <w:r>
        <w:rPr>
          <w:color w:val="010101"/>
          <w:spacing w:val="50"/>
          <w:w w:val="110"/>
        </w:rPr>
        <w:t> </w:t>
      </w:r>
      <w:r>
        <w:rPr>
          <w:color w:val="010101"/>
          <w:w w:val="110"/>
          <w:sz w:val="19"/>
        </w:rPr>
        <w:t>is</w:t>
      </w:r>
    </w:p>
    <w:p>
      <w:pPr>
        <w:pStyle w:val="BodyText"/>
        <w:spacing w:before="7"/>
        <w:ind w:left="140"/>
        <w:jc w:val="both"/>
      </w:pPr>
      <w:r>
        <w:rPr>
          <w:color w:val="010101"/>
          <w:w w:val="105"/>
        </w:rPr>
        <w:t>determined  upon  the first failure of either element.</w:t>
      </w:r>
    </w:p>
    <w:p>
      <w:pPr>
        <w:spacing w:before="156"/>
        <w:ind w:left="129" w:right="0" w:firstLine="0"/>
        <w:jc w:val="both"/>
        <w:rPr>
          <w:i/>
          <w:sz w:val="21"/>
        </w:rPr>
      </w:pPr>
      <w:r>
        <w:rPr>
          <w:i/>
          <w:color w:val="010101"/>
          <w:sz w:val="21"/>
        </w:rPr>
        <w:t>Applications </w:t>
      </w:r>
      <w:r>
        <w:rPr>
          <w:rFonts w:ascii="Arial"/>
          <w:i/>
          <w:color w:val="010101"/>
          <w:sz w:val="17"/>
        </w:rPr>
        <w:t>to </w:t>
      </w:r>
      <w:r>
        <w:rPr>
          <w:i/>
          <w:color w:val="010101"/>
          <w:sz w:val="21"/>
        </w:rPr>
        <w:t>insurances</w:t>
      </w:r>
    </w:p>
    <w:p>
      <w:pPr>
        <w:pStyle w:val="BodyText"/>
        <w:spacing w:before="84"/>
        <w:ind w:left="355"/>
      </w:pPr>
      <w:r>
        <w:rPr>
          <w:color w:val="010101"/>
          <w:w w:val="125"/>
          <w:sz w:val="19"/>
        </w:rPr>
        <w:t>l. </w:t>
      </w:r>
      <w:r>
        <w:rPr>
          <w:color w:val="010101"/>
          <w:w w:val="110"/>
        </w:rPr>
        <w:t>The following principal symbols are used:</w:t>
      </w:r>
    </w:p>
    <w:p>
      <w:pPr>
        <w:pStyle w:val="BodyText"/>
        <w:spacing w:line="252" w:lineRule="auto" w:before="7"/>
        <w:ind w:left="1112" w:right="241" w:hanging="277"/>
      </w:pPr>
      <w:r>
        <w:rPr>
          <w:rFonts w:ascii="Arial" w:hAnsi="Arial"/>
          <w:i/>
          <w:color w:val="010101"/>
          <w:w w:val="105"/>
          <w:sz w:val="19"/>
        </w:rPr>
        <w:t>A , </w:t>
      </w:r>
      <w:r>
        <w:rPr>
          <w:color w:val="010101"/>
          <w:w w:val="105"/>
        </w:rPr>
        <w:t>the present value (or net single premium) of an in­ surance of 1;</w:t>
      </w:r>
    </w:p>
    <w:p>
      <w:pPr>
        <w:pStyle w:val="BodyText"/>
        <w:spacing w:line="226" w:lineRule="exact"/>
        <w:ind w:left="599"/>
      </w:pPr>
      <w:r>
        <w:rPr>
          <w:rFonts w:ascii="Arial"/>
          <w:i/>
          <w:color w:val="010101"/>
          <w:w w:val="105"/>
        </w:rPr>
        <w:t>(IA ), </w:t>
      </w:r>
      <w:r>
        <w:rPr>
          <w:color w:val="010101"/>
          <w:w w:val="105"/>
        </w:rPr>
        <w:t>the present  value of  an increasing  insurance;</w:t>
      </w:r>
    </w:p>
    <w:p>
      <w:pPr>
        <w:pStyle w:val="BodyText"/>
        <w:spacing w:before="7"/>
        <w:ind w:left="545"/>
      </w:pPr>
      <w:r>
        <w:rPr>
          <w:rFonts w:ascii="Arial"/>
          <w:i/>
          <w:color w:val="010101"/>
          <w:w w:val="105"/>
          <w:sz w:val="19"/>
        </w:rPr>
        <w:t>(DA), </w:t>
      </w:r>
      <w:r>
        <w:rPr>
          <w:color w:val="010101"/>
          <w:w w:val="105"/>
        </w:rPr>
        <w:t>the present  value of  </w:t>
      </w:r>
      <w:r>
        <w:rPr>
          <w:rFonts w:ascii="Arial"/>
          <w:color w:val="010101"/>
          <w:w w:val="105"/>
          <w:sz w:val="18"/>
        </w:rPr>
        <w:t>a </w:t>
      </w:r>
      <w:r>
        <w:rPr>
          <w:color w:val="010101"/>
          <w:w w:val="105"/>
        </w:rPr>
        <w:t>decreasing insurance.</w:t>
      </w:r>
    </w:p>
    <w:p>
      <w:pPr>
        <w:pStyle w:val="ListParagraph"/>
        <w:numPr>
          <w:ilvl w:val="1"/>
          <w:numId w:val="31"/>
        </w:numPr>
        <w:tabs>
          <w:tab w:pos="592" w:val="left" w:leader="none"/>
        </w:tabs>
        <w:spacing w:line="252" w:lineRule="auto" w:before="10" w:after="0"/>
        <w:ind w:left="136" w:right="139" w:firstLine="201"/>
        <w:jc w:val="both"/>
        <w:rPr>
          <w:sz w:val="20"/>
        </w:rPr>
      </w:pPr>
      <w:r>
        <w:rPr>
          <w:color w:val="010101"/>
          <w:w w:val="110"/>
          <w:sz w:val="20"/>
        </w:rPr>
        <w:t>The horizontal bar over the </w:t>
      </w:r>
      <w:r>
        <w:rPr>
          <w:rFonts w:ascii="Arial" w:hAnsi="Arial"/>
          <w:i/>
          <w:color w:val="010101"/>
          <w:w w:val="110"/>
          <w:sz w:val="20"/>
        </w:rPr>
        <w:t>A </w:t>
      </w:r>
      <w:r>
        <w:rPr>
          <w:color w:val="010101"/>
          <w:w w:val="110"/>
          <w:sz w:val="20"/>
        </w:rPr>
        <w:t>of </w:t>
      </w:r>
      <w:r>
        <w:rPr>
          <w:rFonts w:ascii="Arial" w:hAnsi="Arial"/>
          <w:color w:val="010101"/>
          <w:w w:val="110"/>
          <w:sz w:val="18"/>
        </w:rPr>
        <w:t>a </w:t>
      </w:r>
      <w:r>
        <w:rPr>
          <w:color w:val="010101"/>
          <w:w w:val="110"/>
          <w:sz w:val="20"/>
        </w:rPr>
        <w:t>principal insurance sym­ bol means that the payment is made at the moment of death (Principie</w:t>
      </w:r>
      <w:r>
        <w:rPr>
          <w:color w:val="010101"/>
          <w:spacing w:val="-5"/>
          <w:w w:val="110"/>
          <w:sz w:val="20"/>
        </w:rPr>
        <w:t> </w:t>
      </w:r>
      <w:r>
        <w:rPr>
          <w:color w:val="010101"/>
          <w:w w:val="110"/>
          <w:sz w:val="20"/>
        </w:rPr>
        <w:t>G)</w:t>
      </w:r>
      <w:r>
        <w:rPr>
          <w:color w:val="010101"/>
          <w:spacing w:val="-28"/>
          <w:w w:val="110"/>
          <w:sz w:val="20"/>
        </w:rPr>
        <w:t> </w:t>
      </w:r>
      <w:r>
        <w:rPr>
          <w:color w:val="010101"/>
          <w:w w:val="110"/>
          <w:sz w:val="20"/>
        </w:rPr>
        <w:t>;</w:t>
      </w:r>
      <w:r>
        <w:rPr>
          <w:color w:val="010101"/>
          <w:spacing w:val="-24"/>
          <w:w w:val="110"/>
          <w:sz w:val="20"/>
        </w:rPr>
        <w:t> </w:t>
      </w:r>
      <w:r>
        <w:rPr>
          <w:color w:val="010101"/>
          <w:w w:val="110"/>
          <w:sz w:val="20"/>
        </w:rPr>
        <w:t>e.g.,</w:t>
      </w:r>
      <w:r>
        <w:rPr>
          <w:color w:val="010101"/>
          <w:spacing w:val="-10"/>
          <w:w w:val="110"/>
          <w:sz w:val="20"/>
        </w:rPr>
        <w:t> </w:t>
      </w:r>
      <w:r>
        <w:rPr>
          <w:i/>
          <w:color w:val="010101"/>
          <w:w w:val="110"/>
          <w:sz w:val="19"/>
        </w:rPr>
        <w:t>As</w:t>
      </w:r>
      <w:r>
        <w:rPr>
          <w:i/>
          <w:color w:val="010101"/>
          <w:spacing w:val="2"/>
          <w:w w:val="110"/>
          <w:sz w:val="19"/>
        </w:rPr>
        <w:t> </w:t>
      </w:r>
      <w:r>
        <w:rPr>
          <w:i/>
          <w:color w:val="010101"/>
          <w:w w:val="110"/>
          <w:sz w:val="19"/>
        </w:rPr>
        <w:t>,</w:t>
      </w:r>
      <w:r>
        <w:rPr>
          <w:i/>
          <w:color w:val="010101"/>
          <w:spacing w:val="-4"/>
          <w:w w:val="110"/>
          <w:sz w:val="19"/>
        </w:rPr>
        <w:t> </w:t>
      </w:r>
      <w:r>
        <w:rPr>
          <w:i/>
          <w:color w:val="010101"/>
          <w:w w:val="110"/>
          <w:sz w:val="19"/>
        </w:rPr>
        <w:t>([</w:t>
      </w:r>
      <w:r>
        <w:rPr>
          <w:color w:val="010101"/>
          <w:w w:val="110"/>
          <w:sz w:val="20"/>
        </w:rPr>
        <w:t>.A)s</w:t>
      </w:r>
      <w:r>
        <w:rPr>
          <w:color w:val="010101"/>
          <w:spacing w:val="-12"/>
          <w:w w:val="110"/>
          <w:sz w:val="20"/>
        </w:rPr>
        <w:t> </w:t>
      </w:r>
      <w:r>
        <w:rPr>
          <w:color w:val="010101"/>
          <w:w w:val="120"/>
          <w:sz w:val="20"/>
        </w:rPr>
        <w:t>.</w:t>
      </w:r>
    </w:p>
    <w:p>
      <w:pPr>
        <w:pStyle w:val="ListParagraph"/>
        <w:numPr>
          <w:ilvl w:val="1"/>
          <w:numId w:val="31"/>
        </w:numPr>
        <w:tabs>
          <w:tab w:pos="578" w:val="left" w:leader="none"/>
        </w:tabs>
        <w:spacing w:line="254" w:lineRule="auto" w:before="0" w:after="0"/>
        <w:ind w:left="125" w:right="108" w:firstLine="205"/>
        <w:jc w:val="both"/>
        <w:rPr>
          <w:sz w:val="19"/>
        </w:rPr>
      </w:pPr>
      <w:r>
        <w:rPr>
          <w:color w:val="010101"/>
          <w:w w:val="105"/>
          <w:sz w:val="20"/>
        </w:rPr>
        <w:t>The horizontal bar over the </w:t>
      </w:r>
      <w:r>
        <w:rPr>
          <w:color w:val="010101"/>
          <w:w w:val="140"/>
          <w:sz w:val="20"/>
        </w:rPr>
        <w:t>/ </w:t>
      </w:r>
      <w:r>
        <w:rPr>
          <w:color w:val="010101"/>
          <w:w w:val="105"/>
          <w:sz w:val="20"/>
        </w:rPr>
        <w:t>of an increasing insurance symbol means that the increases occur momently (Principie  G) ; </w:t>
      </w:r>
      <w:r>
        <w:rPr>
          <w:b/>
          <w:color w:val="010101"/>
          <w:w w:val="105"/>
          <w:sz w:val="19"/>
        </w:rPr>
        <w:t>e.g.,  </w:t>
      </w:r>
      <w:r>
        <w:rPr>
          <w:i/>
          <w:color w:val="010101"/>
          <w:spacing w:val="5"/>
          <w:w w:val="105"/>
          <w:sz w:val="19"/>
        </w:rPr>
        <w:t>(]A </w:t>
      </w:r>
      <w:r>
        <w:rPr>
          <w:i/>
          <w:color w:val="010101"/>
          <w:w w:val="105"/>
          <w:sz w:val="19"/>
        </w:rPr>
        <w:t>)s</w:t>
      </w:r>
      <w:r>
        <w:rPr>
          <w:i/>
          <w:color w:val="010101"/>
          <w:spacing w:val="-17"/>
          <w:w w:val="105"/>
          <w:sz w:val="19"/>
        </w:rPr>
        <w:t> </w:t>
      </w:r>
      <w:r>
        <w:rPr>
          <w:color w:val="010101"/>
          <w:w w:val="140"/>
          <w:sz w:val="19"/>
        </w:rPr>
        <w:t>.</w:t>
      </w:r>
    </w:p>
    <w:p>
      <w:pPr>
        <w:pStyle w:val="BodyText"/>
        <w:spacing w:line="240" w:lineRule="exact" w:before="117"/>
        <w:ind w:left="125" w:right="149" w:hanging="4"/>
        <w:jc w:val="both"/>
        <w:rPr>
          <w:b/>
          <w:i/>
          <w:sz w:val="21"/>
        </w:rPr>
      </w:pPr>
      <w:r>
        <w:rPr>
          <w:i/>
          <w:color w:val="010101"/>
          <w:w w:val="105"/>
        </w:rPr>
        <w:t>Comments. </w:t>
      </w:r>
      <w:r>
        <w:rPr>
          <w:color w:val="010101"/>
          <w:w w:val="105"/>
        </w:rPr>
        <w:t>The symbols used here </w:t>
      </w:r>
      <w:r>
        <w:rPr>
          <w:color w:val="010101"/>
          <w:w w:val="105"/>
          <w:sz w:val="19"/>
        </w:rPr>
        <w:t>for </w:t>
      </w:r>
      <w:r>
        <w:rPr>
          <w:color w:val="010101"/>
          <w:w w:val="105"/>
        </w:rPr>
        <w:t>the continuous increasing insurances are not in the International Notation. </w:t>
      </w:r>
      <w:r>
        <w:rPr>
          <w:color w:val="010101"/>
          <w:w w:val="105"/>
          <w:sz w:val="22"/>
        </w:rPr>
        <w:t>In </w:t>
      </w:r>
      <w:r>
        <w:rPr>
          <w:color w:val="010101"/>
          <w:w w:val="105"/>
        </w:rPr>
        <w:t>the earlier literature, the function  </w:t>
      </w:r>
      <w:r>
        <w:rPr>
          <w:color w:val="010101"/>
          <w:w w:val="105"/>
          <w:sz w:val="19"/>
        </w:rPr>
        <w:t>(J.A)s </w:t>
      </w:r>
      <w:r>
        <w:rPr>
          <w:color w:val="010101"/>
          <w:w w:val="105"/>
        </w:rPr>
        <w:t>was sometimes denoted by  </w:t>
      </w:r>
      <w:r>
        <w:rPr>
          <w:b/>
          <w:i/>
          <w:color w:val="010101"/>
          <w:w w:val="105"/>
          <w:sz w:val="21"/>
        </w:rPr>
        <w:t>(I A)s .</w:t>
      </w:r>
    </w:p>
    <w:p>
      <w:pPr>
        <w:spacing w:after="0" w:line="240" w:lineRule="exact"/>
        <w:jc w:val="both"/>
        <w:rPr>
          <w:sz w:val="21"/>
        </w:rPr>
        <w:sectPr>
          <w:pgSz w:w="7200" w:h="11340"/>
          <w:pgMar w:top="500" w:bottom="280" w:left="660" w:right="540"/>
        </w:sectPr>
      </w:pPr>
    </w:p>
    <w:p>
      <w:pPr>
        <w:spacing w:before="168"/>
        <w:ind w:left="136" w:right="-12" w:firstLine="0"/>
        <w:jc w:val="left"/>
        <w:rPr>
          <w:i/>
          <w:sz w:val="20"/>
        </w:rPr>
      </w:pPr>
      <w:r>
        <w:rPr>
          <w:i/>
          <w:color w:val="010101"/>
          <w:sz w:val="20"/>
        </w:rPr>
        <w:t>Commutation functions</w:t>
      </w:r>
    </w:p>
    <w:p>
      <w:pPr>
        <w:pStyle w:val="BodyText"/>
        <w:rPr>
          <w:i/>
          <w:sz w:val="22"/>
        </w:rPr>
      </w:pPr>
      <w:r>
        <w:rPr/>
        <w:br w:type="column"/>
      </w:r>
      <w:r>
        <w:rPr>
          <w:i/>
          <w:sz w:val="22"/>
        </w:rPr>
      </w:r>
    </w:p>
    <w:p>
      <w:pPr>
        <w:pStyle w:val="BodyText"/>
        <w:spacing w:before="9"/>
        <w:rPr>
          <w:i/>
          <w:sz w:val="22"/>
        </w:rPr>
      </w:pPr>
    </w:p>
    <w:p>
      <w:pPr>
        <w:tabs>
          <w:tab w:pos="644" w:val="left" w:leader="none"/>
        </w:tabs>
        <w:spacing w:line="132" w:lineRule="exact" w:before="0"/>
        <w:ind w:left="131" w:right="0" w:firstLine="0"/>
        <w:jc w:val="left"/>
        <w:rPr>
          <w:b/>
          <w:sz w:val="15"/>
        </w:rPr>
      </w:pPr>
      <w:r>
        <w:rPr>
          <w:rFonts w:ascii="Arial"/>
          <w:color w:val="010101"/>
          <w:w w:val="110"/>
          <w:sz w:val="22"/>
        </w:rPr>
        <w:t>-</w:t>
        <w:tab/>
      </w:r>
      <w:r>
        <w:rPr>
          <w:rFonts w:ascii="Arial"/>
          <w:b/>
          <w:color w:val="010101"/>
          <w:w w:val="110"/>
          <w:sz w:val="22"/>
        </w:rPr>
        <w:t>(1</w:t>
      </w:r>
      <w:r>
        <w:rPr>
          <w:rFonts w:ascii="Arial"/>
          <w:b/>
          <w:color w:val="010101"/>
          <w:spacing w:val="25"/>
          <w:w w:val="110"/>
          <w:sz w:val="22"/>
        </w:rPr>
        <w:t> </w:t>
      </w:r>
      <w:r>
        <w:rPr>
          <w:b/>
          <w:color w:val="010101"/>
          <w:w w:val="110"/>
          <w:sz w:val="15"/>
        </w:rPr>
        <w:t>s+t</w:t>
      </w:r>
    </w:p>
    <w:p>
      <w:pPr>
        <w:spacing w:after="0" w:line="132" w:lineRule="exact"/>
        <w:jc w:val="left"/>
        <w:rPr>
          <w:sz w:val="15"/>
        </w:rPr>
        <w:sectPr>
          <w:type w:val="continuous"/>
          <w:pgSz w:w="7200" w:h="11340"/>
          <w:pgMar w:top="1100" w:bottom="0" w:left="660" w:right="540"/>
          <w:cols w:num="2" w:equalWidth="0">
            <w:col w:w="2017" w:space="1043"/>
            <w:col w:w="2940"/>
          </w:cols>
        </w:sectPr>
      </w:pPr>
    </w:p>
    <w:p>
      <w:pPr>
        <w:pStyle w:val="BodyText"/>
        <w:spacing w:line="246" w:lineRule="exact"/>
        <w:ind w:right="69"/>
        <w:jc w:val="right"/>
        <w:rPr>
          <w:rFonts w:ascii="Arial"/>
          <w:b/>
          <w:i/>
          <w:sz w:val="26"/>
        </w:rPr>
      </w:pPr>
      <w:r>
        <w:rPr/>
        <w:drawing>
          <wp:inline distT="0" distB="0" distL="0" distR="0">
            <wp:extent cx="676655" cy="137159"/>
            <wp:effectExtent l="0" t="0" r="0" b="0"/>
            <wp:docPr id="191" name="image100.png" descr=""/>
            <wp:cNvGraphicFramePr>
              <a:graphicFrameLocks noChangeAspect="1"/>
            </wp:cNvGraphicFramePr>
            <a:graphic>
              <a:graphicData uri="http://schemas.openxmlformats.org/drawingml/2006/picture">
                <pic:pic>
                  <pic:nvPicPr>
                    <pic:cNvPr id="192" name="image100.png"/>
                    <pic:cNvPicPr/>
                  </pic:nvPicPr>
                  <pic:blipFill>
                    <a:blip r:embed="rId104" cstate="print"/>
                    <a:stretch>
                      <a:fillRect/>
                    </a:stretch>
                  </pic:blipFill>
                  <pic:spPr>
                    <a:xfrm>
                      <a:off x="0" y="0"/>
                      <a:ext cx="676655" cy="137159"/>
                    </a:xfrm>
                    <a:prstGeom prst="rect">
                      <a:avLst/>
                    </a:prstGeom>
                  </pic:spPr>
                </pic:pic>
              </a:graphicData>
            </a:graphic>
          </wp:inline>
        </w:drawing>
      </w:r>
      <w:r>
        <w:rPr/>
      </w:r>
      <w:r>
        <w:rPr>
          <w:position w:val="1"/>
        </w:rPr>
        <w:t>                                      </w:t>
      </w:r>
      <w:r>
        <w:rPr>
          <w:b/>
          <w:color w:val="010101"/>
          <w:w w:val="95"/>
          <w:position w:val="1"/>
          <w:sz w:val="21"/>
        </w:rPr>
        <w:t>Cs </w:t>
      </w:r>
      <w:r>
        <w:rPr>
          <w:color w:val="010101"/>
          <w:w w:val="95"/>
          <w:position w:val="1"/>
          <w:sz w:val="23"/>
        </w:rPr>
        <w:t>=</w:t>
      </w:r>
      <w:r>
        <w:rPr>
          <w:color w:val="010101"/>
          <w:spacing w:val="17"/>
          <w:w w:val="95"/>
          <w:position w:val="1"/>
          <w:sz w:val="23"/>
        </w:rPr>
        <w:t> </w:t>
      </w:r>
      <w:r>
        <w:rPr>
          <w:rFonts w:ascii="Arial"/>
          <w:b/>
          <w:i/>
          <w:color w:val="010101"/>
          <w:w w:val="85"/>
          <w:position w:val="1"/>
          <w:sz w:val="26"/>
        </w:rPr>
        <w:t>J</w:t>
      </w:r>
    </w:p>
    <w:p>
      <w:pPr>
        <w:spacing w:line="89" w:lineRule="exact" w:before="0"/>
        <w:ind w:left="0" w:right="0" w:firstLine="0"/>
        <w:jc w:val="right"/>
        <w:rPr>
          <w:b/>
          <w:i/>
          <w:sz w:val="11"/>
        </w:rPr>
      </w:pPr>
      <w:r>
        <w:rPr>
          <w:b/>
          <w:i/>
          <w:color w:val="010101"/>
          <w:w w:val="108"/>
          <w:sz w:val="11"/>
        </w:rPr>
        <w:t>0</w:t>
      </w:r>
    </w:p>
    <w:p>
      <w:pPr>
        <w:tabs>
          <w:tab w:pos="402" w:val="left" w:leader="none"/>
        </w:tabs>
        <w:spacing w:before="5"/>
        <w:ind w:left="87" w:right="0" w:firstLine="0"/>
        <w:jc w:val="left"/>
        <w:rPr>
          <w:b/>
          <w:i/>
          <w:sz w:val="22"/>
        </w:rPr>
      </w:pPr>
      <w:r>
        <w:rPr/>
        <w:br w:type="column"/>
      </w:r>
      <w:r>
        <w:rPr>
          <w:rFonts w:ascii="Arial"/>
          <w:b/>
          <w:i/>
          <w:color w:val="010101"/>
          <w:sz w:val="14"/>
        </w:rPr>
        <w:t>V</w:t>
        <w:tab/>
      </w:r>
      <w:r>
        <w:rPr>
          <w:b/>
          <w:i/>
          <w:color w:val="010101"/>
          <w:sz w:val="15"/>
        </w:rPr>
        <w:t>ls+ll"s+t </w:t>
      </w:r>
      <w:r>
        <w:rPr>
          <w:b/>
          <w:i/>
          <w:color w:val="010101"/>
          <w:spacing w:val="27"/>
          <w:sz w:val="15"/>
        </w:rPr>
        <w:t> </w:t>
      </w:r>
      <w:r>
        <w:rPr>
          <w:b/>
          <w:i/>
          <w:color w:val="010101"/>
          <w:sz w:val="22"/>
        </w:rPr>
        <w:t>dt</w:t>
      </w:r>
    </w:p>
    <w:p>
      <w:pPr>
        <w:spacing w:after="0"/>
        <w:jc w:val="left"/>
        <w:rPr>
          <w:sz w:val="22"/>
        </w:rPr>
        <w:sectPr>
          <w:type w:val="continuous"/>
          <w:pgSz w:w="7200" w:h="11340"/>
          <w:pgMar w:top="1100" w:bottom="0" w:left="660" w:right="540"/>
          <w:cols w:num="2" w:equalWidth="0">
            <w:col w:w="3798" w:space="40"/>
            <w:col w:w="2162"/>
          </w:cols>
        </w:sectPr>
      </w:pPr>
    </w:p>
    <w:p>
      <w:pPr>
        <w:spacing w:line="583" w:lineRule="exact" w:before="0"/>
        <w:ind w:left="3404" w:right="0" w:firstLine="0"/>
        <w:jc w:val="left"/>
        <w:rPr>
          <w:b/>
          <w:i/>
          <w:sz w:val="22"/>
        </w:rPr>
      </w:pPr>
      <w:r>
        <w:rPr>
          <w:color w:val="010101"/>
          <w:w w:val="101"/>
          <w:sz w:val="23"/>
        </w:rPr>
        <w:t>=</w:t>
      </w:r>
      <w:r>
        <w:rPr>
          <w:color w:val="010101"/>
          <w:sz w:val="23"/>
        </w:rPr>
        <w:t> </w:t>
      </w:r>
      <w:r>
        <w:rPr>
          <w:color w:val="010101"/>
          <w:spacing w:val="-18"/>
          <w:sz w:val="23"/>
        </w:rPr>
        <w:t> </w:t>
      </w:r>
      <w:r>
        <w:rPr>
          <w:rFonts w:ascii="Arial"/>
          <w:b/>
          <w:color w:val="010101"/>
          <w:spacing w:val="-130"/>
          <w:w w:val="181"/>
          <w:sz w:val="57"/>
        </w:rPr>
        <w:t>i</w:t>
      </w:r>
      <w:r>
        <w:rPr>
          <w:rFonts w:ascii="Arial"/>
          <w:b/>
          <w:color w:val="010101"/>
          <w:spacing w:val="23"/>
          <w:w w:val="57"/>
          <w:sz w:val="57"/>
        </w:rPr>
        <w:t>l</w:t>
      </w:r>
      <w:r>
        <w:rPr>
          <w:b/>
          <w:color w:val="010101"/>
          <w:w w:val="102"/>
          <w:sz w:val="15"/>
        </w:rPr>
        <w:t>Ds+cl/ts+c</w:t>
      </w:r>
      <w:r>
        <w:rPr>
          <w:b/>
          <w:color w:val="010101"/>
          <w:sz w:val="15"/>
        </w:rPr>
        <w:t> </w:t>
      </w:r>
      <w:r>
        <w:rPr>
          <w:b/>
          <w:color w:val="010101"/>
          <w:spacing w:val="4"/>
          <w:sz w:val="15"/>
        </w:rPr>
        <w:t> </w:t>
      </w:r>
      <w:r>
        <w:rPr>
          <w:b/>
          <w:i/>
          <w:color w:val="010101"/>
          <w:w w:val="86"/>
          <w:sz w:val="22"/>
        </w:rPr>
        <w:t>dt</w:t>
      </w:r>
    </w:p>
    <w:p>
      <w:pPr>
        <w:pStyle w:val="BodyText"/>
        <w:spacing w:before="9"/>
        <w:rPr>
          <w:b/>
          <w:i/>
          <w:sz w:val="14"/>
        </w:rPr>
      </w:pPr>
      <w:r>
        <w:rPr/>
        <w:drawing>
          <wp:anchor distT="0" distB="0" distL="0" distR="0" allowOverlap="1" layoutInCell="1" locked="0" behindDoc="0" simplePos="0" relativeHeight="6664">
            <wp:simplePos x="0" y="0"/>
            <wp:positionH relativeFrom="page">
              <wp:posOffset>493776</wp:posOffset>
            </wp:positionH>
            <wp:positionV relativeFrom="paragraph">
              <wp:posOffset>142353</wp:posOffset>
            </wp:positionV>
            <wp:extent cx="795528" cy="283463"/>
            <wp:effectExtent l="0" t="0" r="0" b="0"/>
            <wp:wrapTopAndBottom/>
            <wp:docPr id="193" name="image101.png" descr=""/>
            <wp:cNvGraphicFramePr>
              <a:graphicFrameLocks noChangeAspect="1"/>
            </wp:cNvGraphicFramePr>
            <a:graphic>
              <a:graphicData uri="http://schemas.openxmlformats.org/drawingml/2006/picture">
                <pic:pic>
                  <pic:nvPicPr>
                    <pic:cNvPr id="194" name="image101.png"/>
                    <pic:cNvPicPr/>
                  </pic:nvPicPr>
                  <pic:blipFill>
                    <a:blip r:embed="rId105" cstate="print"/>
                    <a:stretch>
                      <a:fillRect/>
                    </a:stretch>
                  </pic:blipFill>
                  <pic:spPr>
                    <a:xfrm>
                      <a:off x="0" y="0"/>
                      <a:ext cx="795528" cy="283463"/>
                    </a:xfrm>
                    <a:prstGeom prst="rect">
                      <a:avLst/>
                    </a:prstGeom>
                  </pic:spPr>
                </pic:pic>
              </a:graphicData>
            </a:graphic>
          </wp:anchor>
        </w:drawing>
      </w:r>
      <w:r>
        <w:rPr/>
        <w:drawing>
          <wp:anchor distT="0" distB="0" distL="0" distR="0" allowOverlap="1" layoutInCell="1" locked="0" behindDoc="0" simplePos="0" relativeHeight="6688">
            <wp:simplePos x="0" y="0"/>
            <wp:positionH relativeFrom="page">
              <wp:posOffset>2350007</wp:posOffset>
            </wp:positionH>
            <wp:positionV relativeFrom="paragraph">
              <wp:posOffset>133209</wp:posOffset>
            </wp:positionV>
            <wp:extent cx="1810512" cy="292607"/>
            <wp:effectExtent l="0" t="0" r="0" b="0"/>
            <wp:wrapTopAndBottom/>
            <wp:docPr id="195" name="image102.png" descr=""/>
            <wp:cNvGraphicFramePr>
              <a:graphicFrameLocks noChangeAspect="1"/>
            </wp:cNvGraphicFramePr>
            <a:graphic>
              <a:graphicData uri="http://schemas.openxmlformats.org/drawingml/2006/picture">
                <pic:pic>
                  <pic:nvPicPr>
                    <pic:cNvPr id="196" name="image102.png"/>
                    <pic:cNvPicPr/>
                  </pic:nvPicPr>
                  <pic:blipFill>
                    <a:blip r:embed="rId106" cstate="print"/>
                    <a:stretch>
                      <a:fillRect/>
                    </a:stretch>
                  </pic:blipFill>
                  <pic:spPr>
                    <a:xfrm>
                      <a:off x="0" y="0"/>
                      <a:ext cx="1810512" cy="292607"/>
                    </a:xfrm>
                    <a:prstGeom prst="rect">
                      <a:avLst/>
                    </a:prstGeom>
                  </pic:spPr>
                </pic:pic>
              </a:graphicData>
            </a:graphic>
          </wp:anchor>
        </w:drawing>
      </w:r>
      <w:r>
        <w:rPr/>
        <w:drawing>
          <wp:anchor distT="0" distB="0" distL="0" distR="0" allowOverlap="1" layoutInCell="1" locked="0" behindDoc="0" simplePos="0" relativeHeight="6712">
            <wp:simplePos x="0" y="0"/>
            <wp:positionH relativeFrom="page">
              <wp:posOffset>521208</wp:posOffset>
            </wp:positionH>
            <wp:positionV relativeFrom="paragraph">
              <wp:posOffset>544689</wp:posOffset>
            </wp:positionV>
            <wp:extent cx="804672" cy="292607"/>
            <wp:effectExtent l="0" t="0" r="0" b="0"/>
            <wp:wrapTopAndBottom/>
            <wp:docPr id="197" name="image103.png" descr=""/>
            <wp:cNvGraphicFramePr>
              <a:graphicFrameLocks noChangeAspect="1"/>
            </wp:cNvGraphicFramePr>
            <a:graphic>
              <a:graphicData uri="http://schemas.openxmlformats.org/drawingml/2006/picture">
                <pic:pic>
                  <pic:nvPicPr>
                    <pic:cNvPr id="198" name="image103.png"/>
                    <pic:cNvPicPr/>
                  </pic:nvPicPr>
                  <pic:blipFill>
                    <a:blip r:embed="rId107" cstate="print"/>
                    <a:stretch>
                      <a:fillRect/>
                    </a:stretch>
                  </pic:blipFill>
                  <pic:spPr>
                    <a:xfrm>
                      <a:off x="0" y="0"/>
                      <a:ext cx="804672" cy="292607"/>
                    </a:xfrm>
                    <a:prstGeom prst="rect">
                      <a:avLst/>
                    </a:prstGeom>
                  </pic:spPr>
                </pic:pic>
              </a:graphicData>
            </a:graphic>
          </wp:anchor>
        </w:drawing>
      </w:r>
      <w:r>
        <w:rPr/>
        <w:drawing>
          <wp:anchor distT="0" distB="0" distL="0" distR="0" allowOverlap="1" layoutInCell="1" locked="0" behindDoc="0" simplePos="0" relativeHeight="6736">
            <wp:simplePos x="0" y="0"/>
            <wp:positionH relativeFrom="page">
              <wp:posOffset>2386583</wp:posOffset>
            </wp:positionH>
            <wp:positionV relativeFrom="paragraph">
              <wp:posOffset>535545</wp:posOffset>
            </wp:positionV>
            <wp:extent cx="795528" cy="292607"/>
            <wp:effectExtent l="0" t="0" r="0" b="0"/>
            <wp:wrapTopAndBottom/>
            <wp:docPr id="199" name="image104.png" descr=""/>
            <wp:cNvGraphicFramePr>
              <a:graphicFrameLocks noChangeAspect="1"/>
            </wp:cNvGraphicFramePr>
            <a:graphic>
              <a:graphicData uri="http://schemas.openxmlformats.org/drawingml/2006/picture">
                <pic:pic>
                  <pic:nvPicPr>
                    <pic:cNvPr id="200" name="image104.png"/>
                    <pic:cNvPicPr/>
                  </pic:nvPicPr>
                  <pic:blipFill>
                    <a:blip r:embed="rId108" cstate="print"/>
                    <a:stretch>
                      <a:fillRect/>
                    </a:stretch>
                  </pic:blipFill>
                  <pic:spPr>
                    <a:xfrm>
                      <a:off x="0" y="0"/>
                      <a:ext cx="795528" cy="292607"/>
                    </a:xfrm>
                    <a:prstGeom prst="rect">
                      <a:avLst/>
                    </a:prstGeom>
                  </pic:spPr>
                </pic:pic>
              </a:graphicData>
            </a:graphic>
          </wp:anchor>
        </w:drawing>
      </w:r>
    </w:p>
    <w:p>
      <w:pPr>
        <w:pStyle w:val="BodyText"/>
        <w:spacing w:before="1"/>
        <w:rPr>
          <w:b/>
          <w:i/>
          <w:sz w:val="9"/>
        </w:rPr>
      </w:pPr>
    </w:p>
    <w:p>
      <w:pPr>
        <w:spacing w:after="0"/>
        <w:rPr>
          <w:sz w:val="9"/>
        </w:rPr>
        <w:sectPr>
          <w:type w:val="continuous"/>
          <w:pgSz w:w="7200" w:h="11340"/>
          <w:pgMar w:top="1100" w:bottom="0" w:left="660" w:right="540"/>
        </w:sectPr>
      </w:pPr>
    </w:p>
    <w:p>
      <w:pPr>
        <w:spacing w:line="387" w:lineRule="exact" w:before="97"/>
        <w:ind w:left="466" w:right="-16" w:firstLine="0"/>
        <w:jc w:val="left"/>
        <w:rPr>
          <w:sz w:val="38"/>
        </w:rPr>
      </w:pPr>
      <w:r>
        <w:rPr>
          <w:color w:val="010101"/>
          <w:sz w:val="23"/>
        </w:rPr>
        <w:t>= </w:t>
      </w:r>
      <w:r>
        <w:rPr>
          <w:rFonts w:ascii="Arial" w:hAnsi="Arial"/>
          <w:color w:val="010101"/>
          <w:spacing w:val="10"/>
          <w:w w:val="105"/>
          <w:sz w:val="30"/>
        </w:rPr>
        <w:t>¿</w:t>
      </w:r>
      <w:r>
        <w:rPr>
          <w:rFonts w:ascii="Arial" w:hAnsi="Arial"/>
          <w:i/>
          <w:color w:val="010101"/>
          <w:spacing w:val="10"/>
          <w:w w:val="105"/>
          <w:sz w:val="17"/>
        </w:rPr>
        <w:t>( </w:t>
      </w:r>
      <w:r>
        <w:rPr>
          <w:rFonts w:ascii="Arial" w:hAnsi="Arial"/>
          <w:i/>
          <w:color w:val="010101"/>
          <w:w w:val="105"/>
          <w:sz w:val="17"/>
        </w:rPr>
        <w:t>t </w:t>
      </w:r>
      <w:r>
        <w:rPr>
          <w:rFonts w:ascii="Arial" w:hAnsi="Arial"/>
          <w:color w:val="010101"/>
          <w:sz w:val="32"/>
        </w:rPr>
        <w:t>+</w:t>
      </w:r>
      <w:r>
        <w:rPr>
          <w:rFonts w:ascii="Arial" w:hAnsi="Arial"/>
          <w:color w:val="010101"/>
          <w:spacing w:val="-29"/>
          <w:sz w:val="32"/>
        </w:rPr>
        <w:t> </w:t>
      </w:r>
      <w:r>
        <w:rPr>
          <w:color w:val="010101"/>
          <w:spacing w:val="-7"/>
          <w:sz w:val="38"/>
        </w:rPr>
        <w:t>oc...,</w:t>
      </w:r>
    </w:p>
    <w:p>
      <w:pPr>
        <w:spacing w:line="145" w:lineRule="exact" w:before="0"/>
        <w:ind w:left="682" w:right="1091" w:firstLine="0"/>
        <w:jc w:val="center"/>
        <w:rPr>
          <w:b/>
          <w:sz w:val="17"/>
        </w:rPr>
      </w:pPr>
      <w:r>
        <w:rPr/>
        <w:pict>
          <v:shape style="position:absolute;margin-left:70.85202pt;margin-top:-16.703768pt;width:4.8pt;height:4pt;mso-position-horizontal-relative:page;mso-position-vertical-relative:paragraph;z-index:-729304" type="#_x0000_t202" filled="false" stroked="false">
            <v:textbox inset="0,0,0,0">
              <w:txbxContent>
                <w:p>
                  <w:pPr>
                    <w:spacing w:line="80" w:lineRule="exact" w:before="0"/>
                    <w:ind w:left="0" w:right="-17" w:firstLine="0"/>
                    <w:jc w:val="left"/>
                    <w:rPr>
                      <w:rFonts w:ascii="Arial"/>
                      <w:b/>
                      <w:sz w:val="8"/>
                    </w:rPr>
                  </w:pPr>
                  <w:r>
                    <w:rPr>
                      <w:rFonts w:ascii="Arial"/>
                      <w:b/>
                      <w:color w:val="010101"/>
                      <w:w w:val="90"/>
                      <w:sz w:val="8"/>
                    </w:rPr>
                    <w:t>0D</w:t>
                  </w:r>
                </w:p>
              </w:txbxContent>
            </v:textbox>
            <w10:wrap type="none"/>
          </v:shape>
        </w:pict>
      </w:r>
      <w:r>
        <w:rPr>
          <w:b/>
          <w:color w:val="010101"/>
          <w:sz w:val="17"/>
        </w:rPr>
        <w:t>e-o</w:t>
      </w:r>
    </w:p>
    <w:p>
      <w:pPr>
        <w:pStyle w:val="BodyText"/>
        <w:spacing w:before="6"/>
        <w:rPr>
          <w:b/>
          <w:sz w:val="11"/>
        </w:rPr>
      </w:pPr>
      <w:r>
        <w:rPr/>
        <w:br w:type="column"/>
      </w:r>
      <w:r>
        <w:rPr>
          <w:b/>
          <w:sz w:val="11"/>
        </w:rPr>
      </w:r>
    </w:p>
    <w:p>
      <w:pPr>
        <w:spacing w:line="65" w:lineRule="exact" w:before="0"/>
        <w:ind w:left="800" w:right="0" w:firstLine="0"/>
        <w:jc w:val="left"/>
        <w:rPr>
          <w:rFonts w:ascii="Arial"/>
          <w:b/>
          <w:sz w:val="8"/>
        </w:rPr>
      </w:pPr>
      <w:r>
        <w:rPr>
          <w:rFonts w:ascii="Arial"/>
          <w:b/>
          <w:color w:val="010101"/>
          <w:sz w:val="8"/>
        </w:rPr>
        <w:t>0D</w:t>
      </w:r>
    </w:p>
    <w:p>
      <w:pPr>
        <w:spacing w:line="272" w:lineRule="exact" w:before="0"/>
        <w:ind w:left="502" w:right="0" w:firstLine="0"/>
        <w:jc w:val="left"/>
        <w:rPr>
          <w:sz w:val="20"/>
        </w:rPr>
      </w:pPr>
      <w:r>
        <w:rPr>
          <w:color w:val="010101"/>
          <w:w w:val="115"/>
          <w:sz w:val="23"/>
        </w:rPr>
        <w:t>= </w:t>
      </w:r>
      <w:r>
        <w:rPr>
          <w:rFonts w:ascii="Arial" w:hAnsi="Arial"/>
          <w:color w:val="010101"/>
          <w:w w:val="115"/>
          <w:sz w:val="30"/>
        </w:rPr>
        <w:t>¿</w:t>
      </w:r>
      <w:r>
        <w:rPr>
          <w:rFonts w:ascii="Arial" w:hAnsi="Arial"/>
          <w:i/>
          <w:color w:val="010101"/>
          <w:w w:val="115"/>
          <w:sz w:val="17"/>
        </w:rPr>
        <w:t>( t  </w:t>
      </w:r>
      <w:r>
        <w:rPr>
          <w:color w:val="010101"/>
          <w:w w:val="115"/>
          <w:sz w:val="29"/>
        </w:rPr>
        <w:t>+ </w:t>
      </w:r>
      <w:r>
        <w:rPr>
          <w:color w:val="010101"/>
          <w:w w:val="115"/>
          <w:sz w:val="20"/>
        </w:rPr>
        <w:t>l)ésH</w:t>
      </w:r>
    </w:p>
    <w:p>
      <w:pPr>
        <w:spacing w:line="149" w:lineRule="exact" w:before="0"/>
        <w:ind w:left="739" w:right="0" w:firstLine="0"/>
        <w:jc w:val="left"/>
        <w:rPr>
          <w:b/>
          <w:sz w:val="17"/>
        </w:rPr>
      </w:pPr>
      <w:r>
        <w:rPr>
          <w:b/>
          <w:color w:val="010101"/>
          <w:sz w:val="17"/>
        </w:rPr>
        <w:t>e-o</w:t>
      </w:r>
    </w:p>
    <w:p>
      <w:pPr>
        <w:spacing w:after="0" w:line="149" w:lineRule="exact"/>
        <w:jc w:val="left"/>
        <w:rPr>
          <w:sz w:val="17"/>
        </w:rPr>
        <w:sectPr>
          <w:type w:val="continuous"/>
          <w:pgSz w:w="7200" w:h="11340"/>
          <w:pgMar w:top="1100" w:bottom="0" w:left="660" w:right="540"/>
          <w:cols w:num="2" w:equalWidth="0">
            <w:col w:w="2032" w:space="891"/>
            <w:col w:w="3077"/>
          </w:cols>
        </w:sectPr>
      </w:pPr>
    </w:p>
    <w:p>
      <w:pPr>
        <w:pStyle w:val="BodyText"/>
        <w:spacing w:before="2"/>
        <w:rPr>
          <w:b/>
          <w:sz w:val="14"/>
        </w:rPr>
      </w:pPr>
    </w:p>
    <w:p>
      <w:pPr>
        <w:spacing w:before="0"/>
        <w:ind w:left="132" w:right="0" w:firstLine="0"/>
        <w:jc w:val="left"/>
        <w:rPr>
          <w:b/>
          <w:sz w:val="19"/>
        </w:rPr>
      </w:pPr>
      <w:r>
        <w:rPr>
          <w:b/>
          <w:color w:val="010101"/>
          <w:w w:val="115"/>
          <w:sz w:val="19"/>
        </w:rPr>
        <w:t>References</w:t>
      </w:r>
    </w:p>
    <w:p>
      <w:pPr>
        <w:pStyle w:val="BodyText"/>
        <w:spacing w:line="256" w:lineRule="auto" w:before="68"/>
        <w:ind w:left="143" w:right="154" w:firstLine="193"/>
        <w:jc w:val="both"/>
        <w:rPr>
          <w:sz w:val="19"/>
        </w:rPr>
      </w:pPr>
      <w:r>
        <w:rPr>
          <w:b/>
          <w:color w:val="010101"/>
        </w:rPr>
        <w:t>4, </w:t>
      </w:r>
      <w:r>
        <w:rPr>
          <w:b/>
          <w:color w:val="010101"/>
          <w:sz w:val="21"/>
        </w:rPr>
        <w:t>S. </w:t>
      </w:r>
      <w:r>
        <w:rPr>
          <w:color w:val="010101"/>
        </w:rPr>
        <w:t>The errors in the approxima.tions ha.ve been  studied  by Mereu </w:t>
      </w:r>
      <w:r>
        <w:rPr>
          <w:color w:val="010101"/>
          <w:spacing w:val="49"/>
        </w:rPr>
        <w:t> </w:t>
      </w:r>
      <w:r>
        <w:rPr>
          <w:color w:val="010101"/>
          <w:sz w:val="19"/>
        </w:rPr>
        <w:t>(1961).</w:t>
      </w:r>
    </w:p>
    <w:p>
      <w:pPr>
        <w:pStyle w:val="BodyText"/>
        <w:spacing w:line="254" w:lineRule="auto"/>
        <w:ind w:left="140" w:right="133" w:firstLine="193"/>
        <w:jc w:val="both"/>
      </w:pPr>
      <w:r>
        <w:rPr>
          <w:rFonts w:ascii="Arial" w:hAnsi="Arial"/>
          <w:color w:val="010101"/>
          <w:w w:val="105"/>
          <w:sz w:val="19"/>
        </w:rPr>
        <w:t>A </w:t>
      </w:r>
      <w:r>
        <w:rPr>
          <w:color w:val="010101"/>
          <w:w w:val="105"/>
        </w:rPr>
        <w:t>useful technique for deriving formulas for the more compli</w:t>
      </w:r>
      <w:r>
        <w:rPr>
          <w:color w:val="1D1D1D"/>
          <w:w w:val="105"/>
        </w:rPr>
        <w:t>­ </w:t>
      </w:r>
      <w:r>
        <w:rPr>
          <w:color w:val="010101"/>
          <w:w w:val="105"/>
        </w:rPr>
        <w:t>cated varying insurances and annuities has been described by Menge</w:t>
      </w:r>
      <w:r>
        <w:rPr>
          <w:color w:val="010101"/>
          <w:spacing w:val="-9"/>
          <w:w w:val="105"/>
        </w:rPr>
        <w:t> </w:t>
      </w:r>
      <w:r>
        <w:rPr>
          <w:color w:val="010101"/>
          <w:w w:val="105"/>
        </w:rPr>
        <w:t>(1935).</w:t>
      </w:r>
    </w:p>
    <w:p>
      <w:pPr>
        <w:spacing w:after="0" w:line="254" w:lineRule="auto"/>
        <w:jc w:val="both"/>
        <w:sectPr>
          <w:type w:val="continuous"/>
          <w:pgSz w:w="7200" w:h="11340"/>
          <w:pgMar w:top="1100" w:bottom="0" w:left="660" w:right="540"/>
        </w:sectPr>
      </w:pPr>
    </w:p>
    <w:p>
      <w:pPr>
        <w:tabs>
          <w:tab w:pos="5906" w:val="right" w:leader="none"/>
        </w:tabs>
        <w:spacing w:before="66"/>
        <w:ind w:left="2534" w:right="0" w:firstLine="0"/>
        <w:jc w:val="left"/>
        <w:rPr>
          <w:rFonts w:ascii="Courier New"/>
          <w:sz w:val="24"/>
        </w:rPr>
      </w:pPr>
      <w:r>
        <w:rPr>
          <w:b/>
          <w:color w:val="010101"/>
          <w:sz w:val="15"/>
        </w:rPr>
        <w:t>EXERCISES</w:t>
      </w:r>
      <w:r>
        <w:rPr>
          <w:rFonts w:ascii="Courier New"/>
          <w:color w:val="010101"/>
          <w:sz w:val="24"/>
        </w:rPr>
        <w:tab/>
      </w:r>
      <w:r>
        <w:rPr>
          <w:rFonts w:ascii="Courier New"/>
          <w:color w:val="010101"/>
          <w:spacing w:val="-23"/>
          <w:sz w:val="24"/>
        </w:rPr>
        <w:t>77</w:t>
      </w:r>
    </w:p>
    <w:p>
      <w:pPr>
        <w:spacing w:line="240" w:lineRule="exact" w:before="214"/>
        <w:ind w:left="118" w:right="144" w:firstLine="197"/>
        <w:jc w:val="both"/>
        <w:rPr>
          <w:sz w:val="21"/>
        </w:rPr>
      </w:pPr>
      <w:r>
        <w:rPr>
          <w:color w:val="010101"/>
          <w:sz w:val="21"/>
        </w:rPr>
        <w:t>The technique of integration by pam will often </w:t>
      </w:r>
      <w:r>
        <w:rPr>
          <w:color w:val="010101"/>
          <w:sz w:val="20"/>
        </w:rPr>
        <w:t>be </w:t>
      </w:r>
      <w:r>
        <w:rPr>
          <w:color w:val="010101"/>
          <w:sz w:val="21"/>
        </w:rPr>
        <w:t>used in the chapters that follow. A paper by G. </w:t>
      </w:r>
      <w:r>
        <w:rPr>
          <w:color w:val="010101"/>
          <w:sz w:val="23"/>
        </w:rPr>
        <w:t>J. </w:t>
      </w:r>
      <w:r>
        <w:rPr>
          <w:color w:val="010101"/>
          <w:sz w:val="21"/>
        </w:rPr>
        <w:t>L.  and  S. E.  M.  (1910) gives pra.ctica.l hints on the application of this method to lif e contingency problems. The student will find this an interesting reference when he has completed more of  the work in this  book.</w:t>
      </w:r>
    </w:p>
    <w:p>
      <w:pPr>
        <w:spacing w:before="118"/>
        <w:ind w:left="293" w:right="311" w:firstLine="0"/>
        <w:jc w:val="center"/>
        <w:rPr>
          <w:sz w:val="18"/>
        </w:rPr>
      </w:pPr>
      <w:r>
        <w:rPr>
          <w:color w:val="010101"/>
          <w:w w:val="105"/>
          <w:sz w:val="18"/>
        </w:rPr>
        <w:t>EXERCISES</w:t>
      </w:r>
    </w:p>
    <w:p>
      <w:pPr>
        <w:spacing w:before="116"/>
        <w:ind w:left="133" w:right="0" w:firstLine="0"/>
        <w:jc w:val="left"/>
        <w:rPr>
          <w:b/>
          <w:sz w:val="16"/>
        </w:rPr>
      </w:pPr>
      <w:r>
        <w:rPr>
          <w:b/>
          <w:color w:val="010101"/>
          <w:w w:val="115"/>
          <w:sz w:val="18"/>
        </w:rPr>
        <w:t>1,  </w:t>
      </w:r>
      <w:r>
        <w:rPr>
          <w:b/>
          <w:color w:val="010101"/>
          <w:w w:val="120"/>
          <w:sz w:val="16"/>
        </w:rPr>
        <w:t>2.  Insurances payable  at tbe end of  tbe  year  of deatb</w:t>
      </w:r>
    </w:p>
    <w:p>
      <w:pPr>
        <w:spacing w:line="233" w:lineRule="exact" w:before="26"/>
        <w:ind w:left="128" w:right="0" w:firstLine="0"/>
        <w:jc w:val="center"/>
        <w:rPr>
          <w:rFonts w:ascii="Arial"/>
          <w:i/>
          <w:sz w:val="15"/>
        </w:rPr>
      </w:pPr>
      <w:r>
        <w:rPr>
          <w:color w:val="010101"/>
          <w:w w:val="120"/>
          <w:sz w:val="18"/>
        </w:rPr>
        <w:t>l. </w:t>
      </w:r>
      <w:r>
        <w:rPr>
          <w:color w:val="010101"/>
          <w:sz w:val="18"/>
        </w:rPr>
        <w:t>Calculate A:o</w:t>
      </w:r>
      <w:r>
        <w:rPr>
          <w:color w:val="1A1A1A"/>
          <w:sz w:val="18"/>
        </w:rPr>
        <w:t>,</w:t>
      </w:r>
      <w:r>
        <w:rPr>
          <w:color w:val="010101"/>
          <w:sz w:val="18"/>
        </w:rPr>
        <w:t>io} assuming that morta.lity  follows the law </w:t>
      </w:r>
      <w:r>
        <w:rPr>
          <w:i/>
          <w:color w:val="010101"/>
          <w:sz w:val="17"/>
        </w:rPr>
        <w:t>lz  </w:t>
      </w:r>
      <w:r>
        <w:rPr>
          <w:color w:val="010101"/>
          <w:sz w:val="23"/>
        </w:rPr>
        <w:t>=  </w:t>
      </w:r>
      <w:r>
        <w:rPr>
          <w:color w:val="010101"/>
          <w:sz w:val="18"/>
        </w:rPr>
        <w:t>100 </w:t>
      </w:r>
      <w:r>
        <w:rPr>
          <w:color w:val="010101"/>
          <w:w w:val="215"/>
          <w:sz w:val="18"/>
        </w:rPr>
        <w:t>- </w:t>
      </w:r>
      <w:r>
        <w:rPr>
          <w:rFonts w:ascii="Arial"/>
          <w:i/>
          <w:color w:val="010101"/>
          <w:sz w:val="15"/>
        </w:rPr>
        <w:t>x</w:t>
      </w:r>
    </w:p>
    <w:p>
      <w:pPr>
        <w:spacing w:line="233" w:lineRule="exact" w:before="0"/>
        <w:ind w:left="129" w:right="0" w:firstLine="0"/>
        <w:jc w:val="left"/>
        <w:rPr>
          <w:sz w:val="17"/>
        </w:rPr>
      </w:pPr>
      <w:r>
        <w:rPr>
          <w:color w:val="010101"/>
          <w:w w:val="105"/>
          <w:sz w:val="18"/>
        </w:rPr>
        <w:t>and that interest is a.t </w:t>
      </w:r>
      <w:r>
        <w:rPr>
          <w:color w:val="010101"/>
          <w:w w:val="105"/>
          <w:sz w:val="17"/>
        </w:rPr>
        <w:t>4% </w:t>
      </w:r>
      <w:r>
        <w:rPr>
          <w:color w:val="010101"/>
          <w:w w:val="105"/>
          <w:sz w:val="18"/>
        </w:rPr>
        <w:t>per annum. Given </w:t>
      </w:r>
      <w:r>
        <w:rPr>
          <w:rFonts w:ascii="Arial"/>
          <w:color w:val="010101"/>
          <w:w w:val="105"/>
          <w:sz w:val="15"/>
        </w:rPr>
        <w:t>v</w:t>
      </w:r>
      <w:r>
        <w:rPr>
          <w:color w:val="010101"/>
          <w:w w:val="105"/>
          <w:position w:val="5"/>
          <w:sz w:val="10"/>
        </w:rPr>
        <w:t>10 </w:t>
      </w:r>
      <w:r>
        <w:rPr>
          <w:color w:val="010101"/>
          <w:w w:val="105"/>
          <w:sz w:val="18"/>
        </w:rPr>
        <w:t>at </w:t>
      </w:r>
      <w:r>
        <w:rPr>
          <w:color w:val="010101"/>
          <w:w w:val="105"/>
          <w:sz w:val="17"/>
        </w:rPr>
        <w:t>4%  </w:t>
      </w:r>
      <w:r>
        <w:rPr>
          <w:color w:val="010101"/>
          <w:w w:val="105"/>
          <w:sz w:val="23"/>
        </w:rPr>
        <w:t>=  </w:t>
      </w:r>
      <w:r>
        <w:rPr>
          <w:color w:val="010101"/>
          <w:w w:val="105"/>
          <w:sz w:val="17"/>
        </w:rPr>
        <w:t>.6756.</w:t>
      </w:r>
    </w:p>
    <w:p>
      <w:pPr>
        <w:spacing w:after="0" w:line="233" w:lineRule="exact"/>
        <w:jc w:val="left"/>
        <w:rPr>
          <w:sz w:val="17"/>
        </w:rPr>
        <w:sectPr>
          <w:pgSz w:w="7200" w:h="11340"/>
          <w:pgMar w:top="460" w:bottom="280" w:left="660" w:right="520"/>
        </w:sectPr>
      </w:pPr>
    </w:p>
    <w:p>
      <w:pPr>
        <w:pStyle w:val="BodyText"/>
        <w:spacing w:before="4"/>
        <w:rPr>
          <w:sz w:val="16"/>
        </w:rPr>
      </w:pPr>
    </w:p>
    <w:p>
      <w:pPr>
        <w:pStyle w:val="ListParagraph"/>
        <w:numPr>
          <w:ilvl w:val="0"/>
          <w:numId w:val="32"/>
        </w:numPr>
        <w:tabs>
          <w:tab w:pos="500" w:val="left" w:leader="none"/>
        </w:tabs>
        <w:spacing w:line="240" w:lineRule="auto" w:before="0" w:after="0"/>
        <w:ind w:left="136" w:right="0" w:firstLine="155"/>
        <w:jc w:val="left"/>
        <w:rPr>
          <w:color w:val="010101"/>
          <w:sz w:val="17"/>
        </w:rPr>
      </w:pPr>
      <w:r>
        <w:rPr>
          <w:color w:val="010101"/>
          <w:w w:val="105"/>
          <w:sz w:val="18"/>
        </w:rPr>
        <w:t>Show</w:t>
      </w:r>
      <w:r>
        <w:rPr>
          <w:color w:val="010101"/>
          <w:spacing w:val="15"/>
          <w:w w:val="105"/>
          <w:sz w:val="18"/>
        </w:rPr>
        <w:t> </w:t>
      </w:r>
      <w:r>
        <w:rPr>
          <w:color w:val="010101"/>
          <w:w w:val="105"/>
          <w:sz w:val="18"/>
        </w:rPr>
        <w:t>that</w:t>
      </w:r>
    </w:p>
    <w:p>
      <w:pPr>
        <w:pStyle w:val="ListParagraph"/>
        <w:numPr>
          <w:ilvl w:val="1"/>
          <w:numId w:val="32"/>
        </w:numPr>
        <w:tabs>
          <w:tab w:pos="765" w:val="left" w:leader="none"/>
        </w:tabs>
        <w:spacing w:line="237" w:lineRule="exact" w:before="66" w:after="0"/>
        <w:ind w:left="764" w:right="0" w:hanging="297"/>
        <w:jc w:val="left"/>
        <w:rPr>
          <w:rFonts w:ascii="Arial"/>
          <w:i/>
          <w:sz w:val="18"/>
        </w:rPr>
      </w:pPr>
      <w:r>
        <w:rPr>
          <w:rFonts w:ascii="Arial"/>
          <w:i/>
          <w:color w:val="010101"/>
          <w:w w:val="130"/>
          <w:sz w:val="18"/>
        </w:rPr>
        <w:t>M.</w:t>
      </w:r>
      <w:r>
        <w:rPr>
          <w:rFonts w:ascii="Arial"/>
          <w:i/>
          <w:color w:val="010101"/>
          <w:spacing w:val="-21"/>
          <w:w w:val="130"/>
          <w:sz w:val="18"/>
        </w:rPr>
        <w:t> </w:t>
      </w:r>
      <w:r>
        <w:rPr>
          <w:color w:val="010101"/>
          <w:sz w:val="23"/>
        </w:rPr>
        <w:t>=</w:t>
      </w:r>
      <w:r>
        <w:rPr>
          <w:color w:val="010101"/>
          <w:spacing w:val="-2"/>
          <w:sz w:val="23"/>
        </w:rPr>
        <w:t> </w:t>
      </w:r>
      <w:r>
        <w:rPr>
          <w:rFonts w:ascii="Arial"/>
          <w:i/>
          <w:color w:val="010101"/>
          <w:w w:val="130"/>
          <w:sz w:val="18"/>
        </w:rPr>
        <w:t>D.</w:t>
      </w:r>
      <w:r>
        <w:rPr>
          <w:rFonts w:ascii="Arial"/>
          <w:i/>
          <w:color w:val="010101"/>
          <w:spacing w:val="-28"/>
          <w:w w:val="130"/>
          <w:sz w:val="18"/>
        </w:rPr>
        <w:t> </w:t>
      </w:r>
      <w:r>
        <w:rPr>
          <w:rFonts w:ascii="Arial"/>
          <w:color w:val="010101"/>
          <w:w w:val="220"/>
          <w:sz w:val="18"/>
        </w:rPr>
        <w:t>-</w:t>
      </w:r>
      <w:r>
        <w:rPr>
          <w:rFonts w:ascii="Arial"/>
          <w:color w:val="010101"/>
          <w:spacing w:val="-69"/>
          <w:w w:val="220"/>
          <w:sz w:val="18"/>
        </w:rPr>
        <w:t> </w:t>
      </w:r>
      <w:r>
        <w:rPr>
          <w:rFonts w:ascii="Arial"/>
          <w:i/>
          <w:color w:val="010101"/>
          <w:sz w:val="18"/>
        </w:rPr>
        <w:t>dNz</w:t>
      </w:r>
    </w:p>
    <w:p>
      <w:pPr>
        <w:tabs>
          <w:tab w:pos="890" w:val="left" w:leader="none"/>
        </w:tabs>
        <w:spacing w:line="547" w:lineRule="exact" w:before="0"/>
        <w:ind w:left="467" w:right="0" w:firstLine="0"/>
        <w:jc w:val="left"/>
        <w:rPr>
          <w:sz w:val="24"/>
        </w:rPr>
      </w:pPr>
      <w:r>
        <w:rPr>
          <w:rFonts w:ascii="Arial" w:hAnsi="Arial"/>
          <w:color w:val="010101"/>
          <w:w w:val="100"/>
          <w:sz w:val="18"/>
        </w:rPr>
        <w:t>(</w:t>
      </w:r>
      <w:r>
        <w:rPr>
          <w:rFonts w:ascii="Arial" w:hAnsi="Arial"/>
          <w:color w:val="010101"/>
          <w:w w:val="100"/>
          <w:sz w:val="18"/>
        </w:rPr>
        <w:t>b</w:t>
      </w:r>
      <w:r>
        <w:rPr>
          <w:rFonts w:ascii="Arial" w:hAnsi="Arial"/>
          <w:color w:val="010101"/>
          <w:w w:val="100"/>
          <w:sz w:val="18"/>
        </w:rPr>
        <w:t>)</w:t>
      </w:r>
      <w:r>
        <w:rPr>
          <w:rFonts w:ascii="Arial" w:hAnsi="Arial"/>
          <w:color w:val="010101"/>
          <w:sz w:val="18"/>
        </w:rPr>
        <w:tab/>
      </w:r>
      <w:r>
        <w:rPr>
          <w:rFonts w:ascii="Arial" w:hAnsi="Arial"/>
          <w:color w:val="010101"/>
          <w:spacing w:val="-49"/>
          <w:w w:val="355"/>
          <w:sz w:val="18"/>
        </w:rPr>
        <w:t>.</w:t>
      </w:r>
      <w:r>
        <w:rPr>
          <w:rFonts w:ascii="Arial" w:hAnsi="Arial"/>
          <w:color w:val="010101"/>
          <w:w w:val="78"/>
          <w:sz w:val="50"/>
        </w:rPr>
        <w:t>[&amp;</w:t>
      </w:r>
      <w:r>
        <w:rPr>
          <w:rFonts w:ascii="Arial" w:hAnsi="Arial"/>
          <w:color w:val="010101"/>
          <w:spacing w:val="-96"/>
          <w:sz w:val="50"/>
        </w:rPr>
        <w:t> </w:t>
      </w:r>
      <w:r>
        <w:rPr>
          <w:rFonts w:ascii="Arial" w:hAnsi="Arial"/>
          <w:i/>
          <w:color w:val="010101"/>
          <w:w w:val="90"/>
          <w:sz w:val="23"/>
        </w:rPr>
        <w:t>C</w:t>
      </w:r>
      <w:r>
        <w:rPr>
          <w:rFonts w:ascii="Arial" w:hAnsi="Arial"/>
          <w:i/>
          <w:color w:val="010101"/>
          <w:spacing w:val="-30"/>
          <w:w w:val="90"/>
          <w:sz w:val="23"/>
        </w:rPr>
        <w:t>,</w:t>
      </w:r>
      <w:r>
        <w:rPr>
          <w:rFonts w:ascii="Arial" w:hAnsi="Arial"/>
          <w:i/>
          <w:color w:val="010101"/>
          <w:w w:val="124"/>
          <w:sz w:val="23"/>
        </w:rPr>
        <w:t>.,</w:t>
      </w:r>
      <w:r>
        <w:rPr>
          <w:rFonts w:ascii="Arial" w:hAnsi="Arial"/>
          <w:i/>
          <w:color w:val="010101"/>
          <w:spacing w:val="-37"/>
          <w:sz w:val="23"/>
        </w:rPr>
        <w:t> </w:t>
      </w:r>
      <w:r>
        <w:rPr>
          <w:rFonts w:ascii="Arial" w:hAnsi="Arial"/>
          <w:color w:val="010101"/>
          <w:spacing w:val="-25"/>
          <w:w w:val="110"/>
          <w:sz w:val="23"/>
        </w:rPr>
        <w:t>••</w:t>
      </w:r>
      <w:r>
        <w:rPr>
          <w:rFonts w:ascii="Arial" w:hAnsi="Arial"/>
          <w:color w:val="010101"/>
          <w:spacing w:val="-11"/>
          <w:w w:val="135"/>
          <w:sz w:val="23"/>
        </w:rPr>
        <w:t>-</w:t>
      </w:r>
      <w:r>
        <w:rPr>
          <w:rFonts w:ascii="Arial" w:hAnsi="Arial"/>
          <w:color w:val="010101"/>
          <w:w w:val="94"/>
          <w:sz w:val="23"/>
        </w:rPr>
        <w:t>.-,</w:t>
      </w:r>
      <w:r>
        <w:rPr>
          <w:rFonts w:ascii="Arial" w:hAnsi="Arial"/>
          <w:color w:val="010101"/>
          <w:spacing w:val="-21"/>
          <w:sz w:val="23"/>
        </w:rPr>
        <w:t> </w:t>
      </w:r>
      <w:r>
        <w:rPr>
          <w:rFonts w:ascii="Arial" w:hAnsi="Arial"/>
          <w:color w:val="010101"/>
          <w:w w:val="108"/>
          <w:sz w:val="26"/>
        </w:rPr>
        <w:t>+</w:t>
      </w:r>
      <w:r>
        <w:rPr>
          <w:rFonts w:ascii="Arial" w:hAnsi="Arial"/>
          <w:color w:val="010101"/>
          <w:spacing w:val="-30"/>
          <w:sz w:val="26"/>
        </w:rPr>
        <w:t> </w:t>
      </w:r>
      <w:r>
        <w:rPr>
          <w:rFonts w:ascii="Arial" w:hAnsi="Arial"/>
          <w:color w:val="010101"/>
          <w:spacing w:val="-28"/>
          <w:w w:val="125"/>
          <w:sz w:val="18"/>
        </w:rPr>
        <w:t>D</w:t>
      </w:r>
      <w:r>
        <w:rPr>
          <w:rFonts w:ascii="Arial" w:hAnsi="Arial"/>
          <w:color w:val="010101"/>
          <w:w w:val="121"/>
          <w:sz w:val="18"/>
        </w:rPr>
        <w:t>•+•]</w:t>
      </w:r>
      <w:r>
        <w:rPr>
          <w:rFonts w:ascii="Arial" w:hAnsi="Arial"/>
          <w:color w:val="010101"/>
          <w:spacing w:val="16"/>
          <w:sz w:val="18"/>
        </w:rPr>
        <w:t> </w:t>
      </w:r>
      <w:r>
        <w:rPr>
          <w:color w:val="010101"/>
          <w:w w:val="82"/>
          <w:sz w:val="24"/>
        </w:rPr>
        <w:t>=</w:t>
      </w:r>
      <w:r>
        <w:rPr>
          <w:color w:val="010101"/>
          <w:sz w:val="24"/>
        </w:rPr>
        <w:t> </w:t>
      </w:r>
      <w:r>
        <w:rPr>
          <w:color w:val="010101"/>
          <w:spacing w:val="-24"/>
          <w:sz w:val="24"/>
        </w:rPr>
        <w:t> </w:t>
      </w:r>
      <w:r>
        <w:rPr>
          <w:color w:val="010101"/>
          <w:w w:val="71"/>
          <w:sz w:val="24"/>
        </w:rPr>
        <w:t>""</w:t>
      </w:r>
    </w:p>
    <w:p>
      <w:pPr>
        <w:spacing w:line="327" w:lineRule="exact" w:before="220"/>
        <w:ind w:left="477" w:right="0" w:firstLine="0"/>
        <w:jc w:val="left"/>
        <w:rPr>
          <w:rFonts w:ascii="Arial" w:hAnsi="Arial"/>
          <w:i/>
          <w:sz w:val="17"/>
        </w:rPr>
      </w:pPr>
      <w:r>
        <w:rPr>
          <w:color w:val="010101"/>
          <w:w w:val="120"/>
          <w:sz w:val="16"/>
        </w:rPr>
        <w:t>(e) </w:t>
      </w:r>
      <w:r>
        <w:rPr>
          <w:i/>
          <w:color w:val="010101"/>
          <w:w w:val="120"/>
          <w:sz w:val="29"/>
        </w:rPr>
        <w:t>L </w:t>
      </w:r>
      <w:r>
        <w:rPr>
          <w:rFonts w:ascii="Arial" w:hAnsi="Arial"/>
          <w:i/>
          <w:color w:val="010101"/>
          <w:w w:val="120"/>
          <w:sz w:val="17"/>
        </w:rPr>
        <w:t>l.+'A•+' </w:t>
      </w:r>
      <w:r>
        <w:rPr>
          <w:color w:val="010101"/>
          <w:w w:val="110"/>
          <w:sz w:val="24"/>
        </w:rPr>
        <w:t>= </w:t>
      </w:r>
      <w:r>
        <w:rPr>
          <w:rFonts w:ascii="Arial" w:hAnsi="Arial"/>
          <w:i/>
          <w:color w:val="010101"/>
          <w:w w:val="120"/>
          <w:sz w:val="17"/>
        </w:rPr>
        <w:t>l.a.</w:t>
      </w:r>
    </w:p>
    <w:p>
      <w:pPr>
        <w:spacing w:line="109" w:lineRule="exact" w:before="0"/>
        <w:ind w:left="750" w:right="0" w:firstLine="0"/>
        <w:jc w:val="left"/>
        <w:rPr>
          <w:rFonts w:ascii="Arial"/>
          <w:b/>
          <w:sz w:val="10"/>
        </w:rPr>
      </w:pPr>
      <w:r>
        <w:rPr>
          <w:rFonts w:ascii="Arial"/>
          <w:b/>
          <w:color w:val="010101"/>
          <w:w w:val="170"/>
          <w:sz w:val="10"/>
        </w:rPr>
        <w:t>1-1</w:t>
      </w:r>
    </w:p>
    <w:p>
      <w:pPr>
        <w:spacing w:line="181" w:lineRule="exact" w:before="0"/>
        <w:ind w:left="291" w:right="0" w:firstLine="0"/>
        <w:jc w:val="left"/>
        <w:rPr>
          <w:sz w:val="17"/>
        </w:rPr>
      </w:pPr>
      <w:r>
        <w:rPr/>
        <w:br w:type="column"/>
      </w:r>
      <w:r>
        <w:rPr>
          <w:color w:val="010101"/>
          <w:w w:val="105"/>
          <w:sz w:val="17"/>
        </w:rPr>
        <w:t>(Ans. .116)</w:t>
      </w:r>
    </w:p>
    <w:p>
      <w:pPr>
        <w:spacing w:after="0" w:line="181" w:lineRule="exact"/>
        <w:jc w:val="left"/>
        <w:rPr>
          <w:sz w:val="17"/>
        </w:rPr>
        <w:sectPr>
          <w:type w:val="continuous"/>
          <w:pgSz w:w="7200" w:h="11340"/>
          <w:pgMar w:top="1100" w:bottom="0" w:left="660" w:right="520"/>
          <w:cols w:num="2" w:equalWidth="0">
            <w:col w:w="3365" w:space="1401"/>
            <w:col w:w="1254"/>
          </w:cols>
        </w:sectPr>
      </w:pPr>
    </w:p>
    <w:p>
      <w:pPr>
        <w:pStyle w:val="ListParagraph"/>
        <w:numPr>
          <w:ilvl w:val="0"/>
          <w:numId w:val="32"/>
        </w:numPr>
        <w:tabs>
          <w:tab w:pos="503" w:val="left" w:leader="none"/>
        </w:tabs>
        <w:spacing w:line="230" w:lineRule="auto" w:before="101" w:after="0"/>
        <w:ind w:left="136" w:right="138" w:firstLine="155"/>
        <w:jc w:val="both"/>
        <w:rPr>
          <w:color w:val="010101"/>
          <w:sz w:val="18"/>
        </w:rPr>
      </w:pPr>
      <w:r>
        <w:rPr>
          <w:color w:val="010101"/>
          <w:sz w:val="18"/>
        </w:rPr>
        <w:t>Obtain a formula  for  the net single premium  at a.ge </w:t>
      </w:r>
      <w:r>
        <w:rPr>
          <w:i/>
          <w:color w:val="010101"/>
          <w:sz w:val="18"/>
        </w:rPr>
        <w:t>x  </w:t>
      </w:r>
      <w:r>
        <w:rPr>
          <w:color w:val="010101"/>
          <w:sz w:val="18"/>
        </w:rPr>
        <w:t>for an insurance  of 1payable at the end of 20 years from the date of the policy if death occurs </w:t>
      </w:r>
      <w:r>
        <w:rPr>
          <w:b/>
          <w:color w:val="010101"/>
          <w:sz w:val="18"/>
        </w:rPr>
        <w:t>within </w:t>
      </w:r>
      <w:r>
        <w:rPr>
          <w:color w:val="010101"/>
          <w:sz w:val="18"/>
        </w:rPr>
        <w:t>that period or at  the end  </w:t>
      </w:r>
      <w:r>
        <w:rPr>
          <w:rFonts w:ascii="Arial"/>
          <w:color w:val="010101"/>
          <w:sz w:val="17"/>
        </w:rPr>
        <w:t>of  </w:t>
      </w:r>
      <w:r>
        <w:rPr>
          <w:color w:val="010101"/>
          <w:sz w:val="18"/>
        </w:rPr>
        <w:t>the year of  death  if  death  occurs  af ter </w:t>
      </w:r>
      <w:r>
        <w:rPr>
          <w:color w:val="010101"/>
          <w:sz w:val="19"/>
        </w:rPr>
        <w:t>20</w:t>
      </w:r>
      <w:r>
        <w:rPr>
          <w:color w:val="010101"/>
          <w:spacing w:val="5"/>
          <w:sz w:val="19"/>
        </w:rPr>
        <w:t> </w:t>
      </w:r>
      <w:r>
        <w:rPr>
          <w:color w:val="010101"/>
          <w:sz w:val="18"/>
        </w:rPr>
        <w:t>years.</w:t>
      </w:r>
    </w:p>
    <w:p>
      <w:pPr>
        <w:spacing w:after="0" w:line="230" w:lineRule="auto"/>
        <w:jc w:val="both"/>
        <w:rPr>
          <w:sz w:val="18"/>
        </w:rPr>
        <w:sectPr>
          <w:type w:val="continuous"/>
          <w:pgSz w:w="7200" w:h="11340"/>
          <w:pgMar w:top="1100" w:bottom="0" w:left="660" w:right="520"/>
        </w:sectPr>
      </w:pPr>
    </w:p>
    <w:p>
      <w:pPr>
        <w:pStyle w:val="BodyText"/>
        <w:spacing w:before="9"/>
        <w:rPr>
          <w:sz w:val="14"/>
        </w:rPr>
      </w:pPr>
    </w:p>
    <w:p>
      <w:pPr>
        <w:spacing w:before="0"/>
        <w:ind w:left="133" w:right="0" w:firstLine="0"/>
        <w:jc w:val="left"/>
        <w:rPr>
          <w:b/>
          <w:sz w:val="16"/>
        </w:rPr>
      </w:pPr>
      <w:r>
        <w:rPr>
          <w:b/>
          <w:color w:val="010101"/>
          <w:w w:val="125"/>
          <w:sz w:val="16"/>
        </w:rPr>
        <w:t>S. Relations  between  insurances  and annuitiea</w:t>
      </w:r>
    </w:p>
    <w:p>
      <w:pPr>
        <w:pStyle w:val="ListParagraph"/>
        <w:numPr>
          <w:ilvl w:val="0"/>
          <w:numId w:val="32"/>
        </w:numPr>
        <w:tabs>
          <w:tab w:pos="514" w:val="left" w:leader="none"/>
        </w:tabs>
        <w:spacing w:line="240" w:lineRule="auto" w:before="34" w:after="0"/>
        <w:ind w:left="513" w:right="0" w:hanging="215"/>
        <w:jc w:val="left"/>
        <w:rPr>
          <w:color w:val="010101"/>
          <w:sz w:val="18"/>
        </w:rPr>
      </w:pPr>
      <w:r>
        <w:rPr>
          <w:color w:val="010101"/>
          <w:sz w:val="18"/>
        </w:rPr>
        <w:t>Find the rate of  interest if </w:t>
      </w:r>
      <w:r>
        <w:rPr>
          <w:rFonts w:ascii="Arial" w:hAnsi="Arial"/>
          <w:i/>
          <w:color w:val="010101"/>
          <w:spacing w:val="-5"/>
          <w:sz w:val="22"/>
        </w:rPr>
        <w:t>ª" </w:t>
      </w:r>
      <w:r>
        <w:rPr>
          <w:color w:val="010101"/>
          <w:sz w:val="23"/>
        </w:rPr>
        <w:t>= </w:t>
      </w:r>
      <w:r>
        <w:rPr>
          <w:color w:val="010101"/>
          <w:spacing w:val="-8"/>
          <w:sz w:val="18"/>
        </w:rPr>
        <w:t>13.257 </w:t>
      </w:r>
      <w:r>
        <w:rPr>
          <w:color w:val="010101"/>
          <w:sz w:val="18"/>
        </w:rPr>
        <w:t>a.nd </w:t>
      </w:r>
      <w:r>
        <w:rPr>
          <w:i/>
          <w:color w:val="010101"/>
          <w:w w:val="105"/>
          <w:sz w:val="18"/>
        </w:rPr>
        <w:t>A. </w:t>
      </w:r>
      <w:r>
        <w:rPr>
          <w:color w:val="010101"/>
          <w:sz w:val="23"/>
        </w:rPr>
        <w:t>= </w:t>
      </w:r>
      <w:r>
        <w:rPr>
          <w:color w:val="010101"/>
          <w:spacing w:val="39"/>
          <w:sz w:val="23"/>
        </w:rPr>
        <w:t> </w:t>
      </w:r>
      <w:r>
        <w:rPr>
          <w:color w:val="010101"/>
          <w:spacing w:val="-4"/>
          <w:sz w:val="18"/>
        </w:rPr>
        <w:t>.19304.</w:t>
      </w:r>
    </w:p>
    <w:p>
      <w:pPr>
        <w:spacing w:line="137" w:lineRule="exact" w:before="107"/>
        <w:ind w:left="2264" w:right="1561" w:firstLine="0"/>
        <w:jc w:val="center"/>
        <w:rPr>
          <w:rFonts w:ascii="Arial"/>
          <w:i/>
          <w:sz w:val="17"/>
        </w:rPr>
      </w:pPr>
      <w:r>
        <w:rPr/>
        <w:pict>
          <v:shape style="position:absolute;margin-left:116.829498pt;margin-top:10.655788pt;width:8.4pt;height:11.5pt;mso-position-horizontal-relative:page;mso-position-vertical-relative:paragraph;z-index:-729280" type="#_x0000_t202" filled="false" stroked="false">
            <v:textbox inset="0,0,0,0">
              <w:txbxContent>
                <w:p>
                  <w:pPr>
                    <w:spacing w:line="230" w:lineRule="exact" w:before="0"/>
                    <w:ind w:left="0" w:right="-18" w:firstLine="0"/>
                    <w:jc w:val="left"/>
                    <w:rPr>
                      <w:rFonts w:ascii="Arial" w:hAnsi="Arial"/>
                      <w:i/>
                      <w:sz w:val="23"/>
                    </w:rPr>
                  </w:pPr>
                  <w:r>
                    <w:rPr>
                      <w:rFonts w:ascii="Arial" w:hAnsi="Arial"/>
                      <w:i/>
                      <w:color w:val="010101"/>
                      <w:sz w:val="23"/>
                    </w:rPr>
                    <w:t>ª•</w:t>
                  </w:r>
                </w:p>
              </w:txbxContent>
            </v:textbox>
            <w10:wrap type="none"/>
          </v:shape>
        </w:pict>
      </w:r>
      <w:r>
        <w:rPr>
          <w:i/>
          <w:color w:val="010101"/>
          <w:w w:val="115"/>
          <w:sz w:val="12"/>
        </w:rPr>
        <w:t>V </w:t>
      </w:r>
      <w:r>
        <w:rPr>
          <w:color w:val="010101"/>
          <w:w w:val="360"/>
          <w:sz w:val="12"/>
        </w:rPr>
        <w:t>-</w:t>
      </w:r>
      <w:r>
        <w:rPr>
          <w:color w:val="010101"/>
          <w:spacing w:val="-72"/>
          <w:w w:val="360"/>
          <w:sz w:val="12"/>
        </w:rPr>
        <w:t> </w:t>
      </w:r>
      <w:r>
        <w:rPr>
          <w:rFonts w:ascii="Arial"/>
          <w:i/>
          <w:color w:val="010101"/>
          <w:w w:val="115"/>
          <w:sz w:val="17"/>
        </w:rPr>
        <w:t>A.,.+i)</w:t>
      </w:r>
    </w:p>
    <w:p>
      <w:pPr>
        <w:pStyle w:val="ListParagraph"/>
        <w:numPr>
          <w:ilvl w:val="0"/>
          <w:numId w:val="32"/>
        </w:numPr>
        <w:tabs>
          <w:tab w:pos="532" w:val="left" w:leader="none"/>
          <w:tab w:pos="1845" w:val="left" w:leader="none"/>
          <w:tab w:pos="2631" w:val="left" w:leader="none"/>
          <w:tab w:pos="3119" w:val="left" w:leader="none"/>
        </w:tabs>
        <w:spacing w:line="206" w:lineRule="exact" w:before="0" w:after="0"/>
        <w:ind w:left="531" w:right="0" w:hanging="233"/>
        <w:jc w:val="left"/>
        <w:rPr>
          <w:rFonts w:ascii="Arial"/>
          <w:color w:val="010101"/>
          <w:sz w:val="18"/>
        </w:rPr>
      </w:pPr>
      <w:r>
        <w:rPr>
          <w:color w:val="010101"/>
          <w:w w:val="110"/>
          <w:sz w:val="18"/>
        </w:rPr>
        <w:t>(a)</w:t>
      </w:r>
      <w:r>
        <w:rPr>
          <w:color w:val="010101"/>
          <w:spacing w:val="25"/>
          <w:w w:val="110"/>
          <w:sz w:val="18"/>
        </w:rPr>
        <w:t> </w:t>
      </w:r>
      <w:r>
        <w:rPr>
          <w:color w:val="010101"/>
          <w:w w:val="110"/>
          <w:sz w:val="18"/>
        </w:rPr>
        <w:t>Show</w:t>
      </w:r>
      <w:r>
        <w:rPr>
          <w:color w:val="010101"/>
          <w:spacing w:val="4"/>
          <w:w w:val="110"/>
          <w:sz w:val="18"/>
        </w:rPr>
        <w:t> </w:t>
      </w:r>
      <w:r>
        <w:rPr>
          <w:color w:val="010101"/>
          <w:w w:val="110"/>
          <w:sz w:val="18"/>
        </w:rPr>
        <w:t>that</w:t>
        <w:tab/>
      </w:r>
      <w:r>
        <w:rPr>
          <w:color w:val="010101"/>
          <w:spacing w:val="-9"/>
          <w:w w:val="110"/>
          <w:sz w:val="17"/>
        </w:rPr>
        <w:t>:-;J</w:t>
      </w:r>
      <w:r>
        <w:rPr>
          <w:color w:val="010101"/>
          <w:spacing w:val="12"/>
          <w:w w:val="110"/>
          <w:sz w:val="17"/>
        </w:rPr>
        <w:t> </w:t>
      </w:r>
      <w:r>
        <w:rPr>
          <w:color w:val="010101"/>
          <w:w w:val="110"/>
          <w:sz w:val="23"/>
        </w:rPr>
        <w:t>=</w:t>
        <w:tab/>
      </w:r>
      <w:r>
        <w:rPr>
          <w:rFonts w:ascii="Arial"/>
          <w:i/>
          <w:color w:val="010101"/>
          <w:w w:val="110"/>
          <w:sz w:val="16"/>
        </w:rPr>
        <w:t>d</w:t>
        <w:tab/>
      </w:r>
      <w:r>
        <w:rPr>
          <w:rFonts w:ascii="Arial"/>
          <w:color w:val="010101"/>
          <w:w w:val="150"/>
          <w:sz w:val="16"/>
        </w:rPr>
        <w:t>.</w:t>
      </w:r>
    </w:p>
    <w:p>
      <w:pPr>
        <w:tabs>
          <w:tab w:pos="1364" w:val="left" w:leader="none"/>
        </w:tabs>
        <w:spacing w:line="312" w:lineRule="exact" w:before="177"/>
        <w:ind w:left="531" w:right="0" w:firstLine="0"/>
        <w:jc w:val="left"/>
        <w:rPr>
          <w:rFonts w:ascii="Arial"/>
          <w:i/>
          <w:sz w:val="15"/>
        </w:rPr>
      </w:pPr>
      <w:r>
        <w:rPr/>
        <w:pict>
          <v:shape style="position:absolute;margin-left:97.80658pt;margin-top:17.700665pt;width:153.9pt;height:13pt;mso-position-horizontal-relative:page;mso-position-vertical-relative:paragraph;z-index:-729256" type="#_x0000_t202" filled="false" stroked="false">
            <v:textbox inset="0,0,0,0">
              <w:txbxContent>
                <w:p>
                  <w:pPr>
                    <w:tabs>
                      <w:tab w:pos="628" w:val="left" w:leader="none"/>
                      <w:tab w:pos="2182" w:val="left" w:leader="none"/>
                      <w:tab w:pos="3032" w:val="left" w:leader="none"/>
                    </w:tabs>
                    <w:spacing w:line="260" w:lineRule="exact" w:before="0"/>
                    <w:ind w:left="0" w:right="0" w:firstLine="0"/>
                    <w:jc w:val="left"/>
                    <w:rPr>
                      <w:sz w:val="19"/>
                    </w:rPr>
                  </w:pPr>
                  <w:r>
                    <w:rPr>
                      <w:color w:val="010101"/>
                      <w:w w:val="120"/>
                      <w:sz w:val="18"/>
                    </w:rPr>
                    <w:t>t  </w:t>
                  </w:r>
                  <w:r>
                    <w:rPr>
                      <w:rFonts w:ascii="Arial" w:hAnsi="Arial"/>
                      <w:color w:val="010101"/>
                      <w:sz w:val="15"/>
                    </w:rPr>
                    <w:t>a</w:t>
                    <w:tab/>
                  </w:r>
                  <w:r>
                    <w:rPr>
                      <w:color w:val="010101"/>
                      <w:w w:val="120"/>
                      <w:sz w:val="18"/>
                    </w:rPr>
                    <w:t>1</w:t>
                  </w:r>
                  <w:r>
                    <w:rPr>
                      <w:color w:val="010101"/>
                      <w:spacing w:val="-29"/>
                      <w:w w:val="120"/>
                      <w:sz w:val="18"/>
                    </w:rPr>
                    <w:t> </w:t>
                  </w:r>
                  <w:r>
                    <w:rPr>
                      <w:rFonts w:ascii="Arial" w:hAnsi="Arial"/>
                      <w:color w:val="010101"/>
                      <w:w w:val="120"/>
                      <w:sz w:val="26"/>
                    </w:rPr>
                    <w:t>+</w:t>
                  </w:r>
                  <w:r>
                    <w:rPr>
                      <w:rFonts w:ascii="Arial" w:hAnsi="Arial"/>
                      <w:color w:val="010101"/>
                      <w:spacing w:val="-41"/>
                      <w:w w:val="120"/>
                      <w:sz w:val="26"/>
                    </w:rPr>
                    <w:t> </w:t>
                  </w:r>
                  <w:r>
                    <w:rPr>
                      <w:i/>
                      <w:color w:val="010101"/>
                      <w:w w:val="120"/>
                      <w:sz w:val="19"/>
                    </w:rPr>
                    <w:t>i</w:t>
                    <w:tab/>
                  </w:r>
                  <w:r>
                    <w:rPr>
                      <w:i/>
                      <w:color w:val="010101"/>
                      <w:sz w:val="19"/>
                    </w:rPr>
                    <w:t>Dz</w:t>
                    <w:tab/>
                  </w:r>
                  <w:r>
                    <w:rPr>
                      <w:color w:val="010101"/>
                      <w:w w:val="65"/>
                      <w:sz w:val="19"/>
                    </w:rPr>
                    <w:t>•</w:t>
                  </w:r>
                </w:p>
              </w:txbxContent>
            </v:textbox>
            <w10:wrap type="none"/>
          </v:shape>
        </w:pict>
      </w:r>
      <w:r>
        <w:rPr>
          <w:color w:val="010101"/>
          <w:w w:val="105"/>
          <w:position w:val="-6"/>
          <w:sz w:val="16"/>
        </w:rPr>
        <w:t>(</w:t>
      </w:r>
      <w:r>
        <w:rPr>
          <w:color w:val="010101"/>
          <w:w w:val="105"/>
          <w:sz w:val="16"/>
        </w:rPr>
        <w:t>b)</w:t>
      </w:r>
      <w:r>
        <w:rPr>
          <w:color w:val="010101"/>
          <w:spacing w:val="39"/>
          <w:w w:val="105"/>
          <w:sz w:val="16"/>
        </w:rPr>
        <w:t> </w:t>
      </w:r>
      <w:r>
        <w:rPr>
          <w:b/>
          <w:color w:val="010101"/>
          <w:w w:val="105"/>
          <w:sz w:val="19"/>
        </w:rPr>
        <w:t>Sh</w:t>
        <w:tab/>
        <w:t>h  </w:t>
      </w:r>
      <w:r>
        <w:rPr>
          <w:color w:val="010101"/>
          <w:w w:val="105"/>
          <w:sz w:val="18"/>
        </w:rPr>
        <w:t>t </w:t>
      </w:r>
      <w:r>
        <w:rPr>
          <w:b/>
          <w:color w:val="010101"/>
          <w:w w:val="105"/>
          <w:sz w:val="19"/>
          <w:u w:val="thick" w:color="000000"/>
        </w:rPr>
        <w:t>1 </w:t>
      </w:r>
      <w:r>
        <w:rPr>
          <w:color w:val="010101"/>
          <w:w w:val="225"/>
          <w:sz w:val="19"/>
          <w:u w:val="thick" w:color="000000"/>
        </w:rPr>
        <w:t>- </w:t>
      </w:r>
      <w:r>
        <w:rPr>
          <w:b/>
          <w:color w:val="010101"/>
          <w:w w:val="105"/>
          <w:sz w:val="15"/>
          <w:u w:val="thick" w:color="000000"/>
        </w:rPr>
        <w:t>itJs:i=i]  </w:t>
      </w:r>
      <w:r>
        <w:rPr>
          <w:color w:val="010101"/>
          <w:w w:val="105"/>
          <w:sz w:val="24"/>
        </w:rPr>
        <w:t>= </w:t>
      </w:r>
      <w:r>
        <w:rPr>
          <w:b/>
          <w:i/>
          <w:color w:val="010101"/>
          <w:w w:val="105"/>
          <w:sz w:val="19"/>
          <w:u w:val="thick" w:color="000000"/>
        </w:rPr>
        <w:t>Ms </w:t>
      </w:r>
      <w:r>
        <w:rPr>
          <w:color w:val="010101"/>
          <w:w w:val="225"/>
          <w:sz w:val="19"/>
          <w:u w:val="thick" w:color="000000"/>
        </w:rPr>
        <w:t>- </w:t>
      </w:r>
      <w:r>
        <w:rPr>
          <w:b/>
          <w:i/>
          <w:color w:val="010101"/>
          <w:w w:val="105"/>
          <w:sz w:val="13"/>
          <w:u w:val="thick" w:color="000000"/>
        </w:rPr>
        <w:t>Ms+ </w:t>
      </w:r>
      <w:r>
        <w:rPr>
          <w:b/>
          <w:i/>
          <w:color w:val="010101"/>
          <w:w w:val="90"/>
          <w:sz w:val="13"/>
          <w:u w:val="thick" w:color="000000"/>
        </w:rPr>
        <w:t>I  </w:t>
      </w:r>
      <w:r>
        <w:rPr>
          <w:rFonts w:ascii="Arial"/>
          <w:color w:val="010101"/>
          <w:w w:val="105"/>
          <w:sz w:val="26"/>
          <w:u w:val="thick" w:color="000000"/>
        </w:rPr>
        <w:t>+</w:t>
      </w:r>
      <w:r>
        <w:rPr>
          <w:rFonts w:ascii="Arial"/>
          <w:color w:val="010101"/>
          <w:spacing w:val="-11"/>
          <w:w w:val="105"/>
          <w:sz w:val="26"/>
          <w:u w:val="thick" w:color="000000"/>
        </w:rPr>
        <w:t> </w:t>
      </w:r>
      <w:r>
        <w:rPr>
          <w:rFonts w:ascii="Arial"/>
          <w:i/>
          <w:color w:val="010101"/>
          <w:w w:val="105"/>
          <w:sz w:val="15"/>
          <w:u w:val="thick" w:color="000000"/>
        </w:rPr>
        <w:t>Ds+I</w:t>
      </w:r>
    </w:p>
    <w:p>
      <w:pPr>
        <w:spacing w:line="102" w:lineRule="exact" w:before="0"/>
        <w:ind w:left="1023" w:right="0" w:firstLine="0"/>
        <w:jc w:val="left"/>
        <w:rPr>
          <w:sz w:val="12"/>
        </w:rPr>
      </w:pPr>
      <w:r>
        <w:rPr>
          <w:color w:val="010101"/>
          <w:w w:val="105"/>
          <w:sz w:val="12"/>
        </w:rPr>
        <w:t>OW</w:t>
      </w:r>
    </w:p>
    <w:p>
      <w:pPr>
        <w:pStyle w:val="BodyText"/>
        <w:rPr>
          <w:sz w:val="16"/>
        </w:rPr>
      </w:pPr>
      <w:r>
        <w:rPr/>
        <w:br w:type="column"/>
      </w:r>
      <w:r>
        <w:rPr>
          <w:sz w:val="16"/>
        </w:rPr>
      </w:r>
    </w:p>
    <w:p>
      <w:pPr>
        <w:pStyle w:val="BodyText"/>
        <w:spacing w:before="8"/>
        <w:rPr>
          <w:sz w:val="22"/>
        </w:rPr>
      </w:pPr>
    </w:p>
    <w:p>
      <w:pPr>
        <w:spacing w:before="0"/>
        <w:ind w:left="133" w:right="0" w:firstLine="0"/>
        <w:jc w:val="left"/>
        <w:rPr>
          <w:sz w:val="17"/>
        </w:rPr>
      </w:pPr>
      <w:r>
        <w:rPr>
          <w:color w:val="010101"/>
          <w:w w:val="105"/>
          <w:sz w:val="17"/>
        </w:rPr>
        <w:t>(Ans. 6%)</w:t>
      </w:r>
    </w:p>
    <w:p>
      <w:pPr>
        <w:spacing w:after="0"/>
        <w:jc w:val="left"/>
        <w:rPr>
          <w:sz w:val="17"/>
        </w:rPr>
        <w:sectPr>
          <w:type w:val="continuous"/>
          <w:pgSz w:w="7200" w:h="11340"/>
          <w:pgMar w:top="1100" w:bottom="0" w:left="660" w:right="520"/>
          <w:cols w:num="2" w:equalWidth="0">
            <w:col w:w="4681" w:space="312"/>
            <w:col w:w="1027"/>
          </w:cols>
        </w:sectPr>
      </w:pPr>
    </w:p>
    <w:p>
      <w:pPr>
        <w:pStyle w:val="BodyText"/>
        <w:spacing w:before="2"/>
        <w:rPr>
          <w:sz w:val="16"/>
        </w:rPr>
      </w:pPr>
    </w:p>
    <w:p>
      <w:pPr>
        <w:pStyle w:val="ListParagraph"/>
        <w:numPr>
          <w:ilvl w:val="0"/>
          <w:numId w:val="32"/>
        </w:numPr>
        <w:tabs>
          <w:tab w:pos="518" w:val="left" w:leader="none"/>
        </w:tabs>
        <w:spacing w:line="198" w:lineRule="exact" w:before="0" w:after="0"/>
        <w:ind w:left="147" w:right="136" w:firstLine="151"/>
        <w:jc w:val="both"/>
        <w:rPr>
          <w:color w:val="010101"/>
          <w:sz w:val="18"/>
        </w:rPr>
      </w:pPr>
      <w:r>
        <w:rPr>
          <w:color w:val="010101"/>
          <w:w w:val="105"/>
          <w:sz w:val="18"/>
        </w:rPr>
        <w:t>An annuity-certain providing a payment of 1 at the end of each year for n years is bought by a person aged </w:t>
      </w:r>
      <w:r>
        <w:rPr>
          <w:rFonts w:ascii="Arial"/>
          <w:color w:val="010101"/>
          <w:spacing w:val="-8"/>
          <w:w w:val="180"/>
          <w:sz w:val="12"/>
        </w:rPr>
        <w:t>:i. </w:t>
      </w:r>
      <w:r>
        <w:rPr>
          <w:color w:val="010101"/>
          <w:w w:val="105"/>
          <w:sz w:val="18"/>
        </w:rPr>
        <w:t>Prove </w:t>
      </w:r>
      <w:r>
        <w:rPr>
          <w:color w:val="010101"/>
          <w:w w:val="110"/>
          <w:sz w:val="18"/>
        </w:rPr>
        <w:t>that </w:t>
      </w:r>
      <w:r>
        <w:rPr>
          <w:color w:val="010101"/>
          <w:w w:val="105"/>
          <w:sz w:val="18"/>
        </w:rPr>
        <w:t>ita va.lue immediately </w:t>
      </w:r>
      <w:r>
        <w:rPr>
          <w:color w:val="010101"/>
          <w:w w:val="110"/>
          <w:sz w:val="18"/>
        </w:rPr>
        <w:t>alter </w:t>
      </w:r>
      <w:r>
        <w:rPr>
          <w:color w:val="010101"/>
          <w:w w:val="105"/>
          <w:sz w:val="18"/>
        </w:rPr>
        <w:t>the t-th payment may </w:t>
      </w:r>
      <w:r>
        <w:rPr>
          <w:color w:val="010101"/>
          <w:w w:val="105"/>
          <w:sz w:val="17"/>
        </w:rPr>
        <w:t>be </w:t>
      </w:r>
      <w:r>
        <w:rPr>
          <w:color w:val="010101"/>
          <w:w w:val="105"/>
          <w:sz w:val="18"/>
        </w:rPr>
        <w:t>expressed in the </w:t>
      </w:r>
      <w:r>
        <w:rPr>
          <w:color w:val="010101"/>
          <w:spacing w:val="28"/>
          <w:w w:val="105"/>
          <w:sz w:val="18"/>
        </w:rPr>
        <w:t> </w:t>
      </w:r>
      <w:r>
        <w:rPr>
          <w:color w:val="010101"/>
          <w:w w:val="105"/>
          <w:sz w:val="18"/>
        </w:rPr>
        <w:t>form</w:t>
      </w:r>
    </w:p>
    <w:p>
      <w:pPr>
        <w:pStyle w:val="BodyText"/>
        <w:spacing w:before="3"/>
        <w:rPr>
          <w:sz w:val="16"/>
        </w:rPr>
      </w:pPr>
    </w:p>
    <w:p>
      <w:pPr>
        <w:spacing w:before="0"/>
        <w:ind w:left="1985" w:right="0" w:firstLine="0"/>
        <w:jc w:val="left"/>
        <w:rPr>
          <w:sz w:val="21"/>
        </w:rPr>
      </w:pPr>
      <w:r>
        <w:rPr/>
        <w:pict>
          <v:shape style="position:absolute;margin-left:228.275208pt;margin-top:-2.778319pt;width:5.75pt;height:9pt;mso-position-horizontal-relative:page;mso-position-vertical-relative:paragraph;z-index:-729232" type="#_x0000_t202" filled="false" stroked="false">
            <v:textbox inset="0,0,0,0">
              <w:txbxContent>
                <w:p>
                  <w:pPr>
                    <w:spacing w:line="180" w:lineRule="exact" w:before="0"/>
                    <w:ind w:left="0" w:right="0" w:firstLine="0"/>
                    <w:jc w:val="left"/>
                    <w:rPr>
                      <w:sz w:val="18"/>
                    </w:rPr>
                  </w:pPr>
                  <w:r>
                    <w:rPr>
                      <w:color w:val="010101"/>
                      <w:w w:val="127"/>
                      <w:sz w:val="18"/>
                    </w:rPr>
                    <w:t>1</w:t>
                  </w:r>
                </w:p>
              </w:txbxContent>
            </v:textbox>
            <w10:wrap type="none"/>
          </v:shape>
        </w:pict>
      </w:r>
      <w:r>
        <w:rPr>
          <w:i/>
          <w:color w:val="010101"/>
          <w:sz w:val="18"/>
        </w:rPr>
        <w:t>P·ti.+• </w:t>
      </w:r>
      <w:r>
        <w:rPr>
          <w:rFonts w:ascii="Arial" w:hAnsi="Arial"/>
          <w:color w:val="010101"/>
          <w:sz w:val="26"/>
        </w:rPr>
        <w:t>+ </w:t>
      </w:r>
      <w:r>
        <w:rPr>
          <w:rFonts w:ascii="Arial" w:hAnsi="Arial"/>
          <w:i/>
          <w:color w:val="010101"/>
          <w:sz w:val="18"/>
        </w:rPr>
        <w:t>Q•A:s+, </w:t>
      </w:r>
      <w:r>
        <w:rPr>
          <w:rFonts w:ascii="Arial" w:hAnsi="Arial"/>
          <w:color w:val="010101"/>
          <w:sz w:val="26"/>
        </w:rPr>
        <w:t>+ </w:t>
      </w:r>
      <w:r>
        <w:rPr>
          <w:i/>
          <w:color w:val="010101"/>
          <w:sz w:val="18"/>
        </w:rPr>
        <w:t>R· </w:t>
      </w:r>
      <w:r>
        <w:rPr>
          <w:color w:val="010101"/>
          <w:w w:val="140"/>
          <w:sz w:val="21"/>
          <w:u w:val="thick" w:color="000000"/>
        </w:rPr>
        <w:t>tr'</w:t>
      </w:r>
    </w:p>
    <w:p>
      <w:pPr>
        <w:pStyle w:val="BodyText"/>
        <w:spacing w:before="9"/>
      </w:pPr>
    </w:p>
    <w:p>
      <w:pPr>
        <w:spacing w:line="184" w:lineRule="exact" w:before="1"/>
        <w:ind w:left="151" w:right="127" w:firstLine="0"/>
        <w:jc w:val="left"/>
        <w:rPr>
          <w:sz w:val="18"/>
        </w:rPr>
      </w:pPr>
      <w:r>
        <w:rPr>
          <w:b/>
          <w:color w:val="010101"/>
          <w:w w:val="105"/>
          <w:sz w:val="17"/>
        </w:rPr>
        <w:t>and </w:t>
      </w:r>
      <w:r>
        <w:rPr>
          <w:color w:val="010101"/>
          <w:w w:val="105"/>
          <w:sz w:val="18"/>
        </w:rPr>
        <w:t>determine the values of </w:t>
      </w:r>
      <w:r>
        <w:rPr>
          <w:i/>
          <w:color w:val="010101"/>
          <w:w w:val="105"/>
          <w:sz w:val="19"/>
        </w:rPr>
        <w:t>P, </w:t>
      </w:r>
      <w:r>
        <w:rPr>
          <w:rFonts w:ascii="Arial"/>
          <w:i/>
          <w:color w:val="010101"/>
          <w:w w:val="105"/>
          <w:sz w:val="17"/>
        </w:rPr>
        <w:t>Q, </w:t>
      </w:r>
      <w:r>
        <w:rPr>
          <w:color w:val="010101"/>
          <w:w w:val="105"/>
          <w:sz w:val="18"/>
        </w:rPr>
        <w:t>and </w:t>
      </w:r>
      <w:r>
        <w:rPr>
          <w:i/>
          <w:color w:val="010101"/>
          <w:w w:val="105"/>
          <w:sz w:val="19"/>
        </w:rPr>
        <w:t>R, </w:t>
      </w:r>
      <w:r>
        <w:rPr>
          <w:color w:val="010101"/>
          <w:w w:val="105"/>
          <w:sz w:val="18"/>
        </w:rPr>
        <w:t>independent of </w:t>
      </w:r>
      <w:r>
        <w:rPr>
          <w:i/>
          <w:color w:val="010101"/>
          <w:w w:val="105"/>
          <w:sz w:val="19"/>
        </w:rPr>
        <w:t>t </w:t>
      </w:r>
      <w:r>
        <w:rPr>
          <w:color w:val="010101"/>
          <w:w w:val="105"/>
          <w:sz w:val="18"/>
        </w:rPr>
        <w:t>and the mortality table.</w:t>
      </w:r>
    </w:p>
    <w:p>
      <w:pPr>
        <w:pStyle w:val="ListParagraph"/>
        <w:numPr>
          <w:ilvl w:val="0"/>
          <w:numId w:val="32"/>
        </w:numPr>
        <w:tabs>
          <w:tab w:pos="518" w:val="left" w:leader="none"/>
        </w:tabs>
        <w:spacing w:line="240" w:lineRule="auto" w:before="7" w:after="0"/>
        <w:ind w:left="517" w:right="0" w:hanging="216"/>
        <w:jc w:val="left"/>
        <w:rPr>
          <w:color w:val="010101"/>
          <w:sz w:val="18"/>
        </w:rPr>
      </w:pPr>
      <w:r>
        <w:rPr>
          <w:color w:val="010101"/>
          <w:w w:val="105"/>
          <w:sz w:val="18"/>
        </w:rPr>
        <w:t>Derive  the</w:t>
      </w:r>
      <w:r>
        <w:rPr>
          <w:color w:val="010101"/>
          <w:spacing w:val="4"/>
          <w:w w:val="105"/>
          <w:sz w:val="18"/>
        </w:rPr>
        <w:t> </w:t>
      </w:r>
      <w:r>
        <w:rPr>
          <w:color w:val="010101"/>
          <w:w w:val="105"/>
          <w:sz w:val="18"/>
        </w:rPr>
        <w:t>relations</w:t>
      </w:r>
    </w:p>
    <w:p>
      <w:pPr>
        <w:spacing w:before="101"/>
        <w:ind w:left="481" w:right="0" w:firstLine="0"/>
        <w:jc w:val="left"/>
        <w:rPr>
          <w:rFonts w:ascii="Arial"/>
          <w:sz w:val="14"/>
        </w:rPr>
      </w:pPr>
      <w:r>
        <w:rPr>
          <w:color w:val="010101"/>
          <w:w w:val="110"/>
          <w:sz w:val="15"/>
        </w:rPr>
        <w:t>(a.) </w:t>
      </w:r>
      <w:r>
        <w:rPr>
          <w:color w:val="010101"/>
          <w:w w:val="110"/>
          <w:sz w:val="16"/>
        </w:rPr>
        <w:t>A!:iil </w:t>
      </w:r>
      <w:r>
        <w:rPr>
          <w:color w:val="010101"/>
          <w:w w:val="130"/>
          <w:sz w:val="16"/>
        </w:rPr>
        <w:t>... </w:t>
      </w:r>
      <w:r>
        <w:rPr>
          <w:color w:val="010101"/>
          <w:w w:val="160"/>
          <w:sz w:val="16"/>
        </w:rPr>
        <w:t>1 </w:t>
      </w:r>
      <w:r>
        <w:rPr>
          <w:color w:val="010101"/>
          <w:w w:val="280"/>
          <w:sz w:val="16"/>
        </w:rPr>
        <w:t>-</w:t>
      </w:r>
      <w:r>
        <w:rPr>
          <w:color w:val="010101"/>
          <w:spacing w:val="-74"/>
          <w:w w:val="280"/>
          <w:sz w:val="16"/>
        </w:rPr>
        <w:t> </w:t>
      </w:r>
      <w:r>
        <w:rPr>
          <w:i/>
          <w:color w:val="010101"/>
          <w:w w:val="130"/>
          <w:sz w:val="20"/>
        </w:rPr>
        <w:t>.E. </w:t>
      </w:r>
      <w:r>
        <w:rPr>
          <w:color w:val="010101"/>
          <w:w w:val="215"/>
          <w:sz w:val="20"/>
        </w:rPr>
        <w:t>-</w:t>
      </w:r>
      <w:r>
        <w:rPr>
          <w:color w:val="010101"/>
          <w:spacing w:val="-65"/>
          <w:w w:val="215"/>
          <w:sz w:val="20"/>
        </w:rPr>
        <w:t> </w:t>
      </w:r>
      <w:r>
        <w:rPr>
          <w:rFonts w:ascii="Arial"/>
          <w:color w:val="010101"/>
          <w:spacing w:val="-6"/>
          <w:w w:val="130"/>
          <w:sz w:val="14"/>
        </w:rPr>
        <w:t>d4.</w:t>
      </w:r>
      <w:r>
        <w:rPr>
          <w:rFonts w:ascii="Arial"/>
          <w:color w:val="1A1A1A"/>
          <w:spacing w:val="-6"/>
          <w:w w:val="130"/>
          <w:sz w:val="14"/>
        </w:rPr>
        <w:t>:</w:t>
      </w:r>
      <w:r>
        <w:rPr>
          <w:rFonts w:ascii="Arial"/>
          <w:color w:val="010101"/>
          <w:spacing w:val="-6"/>
          <w:w w:val="130"/>
          <w:sz w:val="14"/>
        </w:rPr>
        <w:t>ii)</w:t>
      </w:r>
    </w:p>
    <w:p>
      <w:pPr>
        <w:spacing w:before="62"/>
        <w:ind w:left="481" w:right="0" w:firstLine="0"/>
        <w:jc w:val="left"/>
        <w:rPr>
          <w:sz w:val="16"/>
        </w:rPr>
      </w:pPr>
      <w:r>
        <w:rPr>
          <w:color w:val="010101"/>
          <w:w w:val="110"/>
          <w:sz w:val="16"/>
        </w:rPr>
        <w:t>(b) As:iil </w:t>
      </w:r>
      <w:r>
        <w:rPr>
          <w:color w:val="010101"/>
          <w:w w:val="110"/>
          <w:sz w:val="23"/>
        </w:rPr>
        <w:t>= </w:t>
      </w:r>
      <w:r>
        <w:rPr>
          <w:color w:val="010101"/>
          <w:w w:val="145"/>
          <w:sz w:val="16"/>
        </w:rPr>
        <w:t>1 </w:t>
      </w:r>
      <w:r>
        <w:rPr>
          <w:color w:val="010101"/>
          <w:w w:val="270"/>
          <w:sz w:val="16"/>
        </w:rPr>
        <w:t>-</w:t>
      </w:r>
      <w:r>
        <w:rPr>
          <w:color w:val="010101"/>
          <w:spacing w:val="-54"/>
          <w:w w:val="270"/>
          <w:sz w:val="16"/>
        </w:rPr>
        <w:t> </w:t>
      </w:r>
      <w:r>
        <w:rPr>
          <w:color w:val="010101"/>
          <w:w w:val="110"/>
          <w:sz w:val="16"/>
        </w:rPr>
        <w:t>d4.-:.J</w:t>
      </w:r>
    </w:p>
    <w:p>
      <w:pPr>
        <w:spacing w:after="0"/>
        <w:jc w:val="left"/>
        <w:rPr>
          <w:sz w:val="16"/>
        </w:rPr>
        <w:sectPr>
          <w:type w:val="continuous"/>
          <w:pgSz w:w="7200" w:h="11340"/>
          <w:pgMar w:top="1100" w:bottom="0" w:left="660" w:right="520"/>
        </w:sectPr>
      </w:pPr>
    </w:p>
    <w:p>
      <w:pPr>
        <w:tabs>
          <w:tab w:pos="2299" w:val="left" w:leader="none"/>
          <w:tab w:pos="5395" w:val="left" w:leader="none"/>
        </w:tabs>
        <w:spacing w:before="56"/>
        <w:ind w:left="128" w:right="0" w:firstLine="0"/>
        <w:jc w:val="left"/>
        <w:rPr>
          <w:rFonts w:ascii="Arial"/>
          <w:sz w:val="18"/>
        </w:rPr>
      </w:pPr>
      <w:r>
        <w:rPr>
          <w:rFonts w:ascii="Courier New"/>
          <w:spacing w:val="-19"/>
          <w:w w:val="105"/>
          <w:position w:val="2"/>
          <w:sz w:val="22"/>
        </w:rPr>
        <w:t>78</w:t>
        <w:tab/>
      </w:r>
      <w:r>
        <w:rPr>
          <w:w w:val="105"/>
          <w:position w:val="2"/>
          <w:sz w:val="14"/>
        </w:rPr>
        <w:t>LIFE   </w:t>
      </w:r>
      <w:r>
        <w:rPr>
          <w:spacing w:val="19"/>
          <w:w w:val="105"/>
          <w:position w:val="2"/>
          <w:sz w:val="14"/>
        </w:rPr>
        <w:t> </w:t>
      </w:r>
      <w:r>
        <w:rPr>
          <w:w w:val="105"/>
          <w:position w:val="2"/>
          <w:sz w:val="14"/>
        </w:rPr>
        <w:t>INSURANCE</w:t>
        <w:tab/>
      </w:r>
      <w:r>
        <w:rPr>
          <w:rFonts w:ascii="Arial"/>
          <w:w w:val="90"/>
          <w:sz w:val="23"/>
        </w:rPr>
        <w:t>fcH.</w:t>
      </w:r>
      <w:r>
        <w:rPr>
          <w:rFonts w:ascii="Arial"/>
          <w:spacing w:val="-28"/>
          <w:w w:val="90"/>
          <w:sz w:val="23"/>
        </w:rPr>
        <w:t> </w:t>
      </w:r>
      <w:r>
        <w:rPr>
          <w:rFonts w:ascii="Arial"/>
          <w:w w:val="90"/>
          <w:sz w:val="18"/>
        </w:rPr>
        <w:t>3</w:t>
      </w:r>
    </w:p>
    <w:p>
      <w:pPr>
        <w:pStyle w:val="BodyText"/>
        <w:spacing w:before="4"/>
        <w:rPr>
          <w:rFonts w:ascii="Arial"/>
          <w:sz w:val="19"/>
        </w:rPr>
      </w:pPr>
    </w:p>
    <w:p>
      <w:pPr>
        <w:pStyle w:val="ListParagraph"/>
        <w:numPr>
          <w:ilvl w:val="0"/>
          <w:numId w:val="33"/>
        </w:numPr>
        <w:tabs>
          <w:tab w:pos="345" w:val="left" w:leader="none"/>
        </w:tabs>
        <w:spacing w:line="240" w:lineRule="auto" w:before="0" w:after="0"/>
        <w:ind w:left="344" w:right="0" w:hanging="223"/>
        <w:jc w:val="left"/>
        <w:rPr>
          <w:b/>
          <w:sz w:val="16"/>
        </w:rPr>
      </w:pPr>
      <w:r>
        <w:rPr>
          <w:b/>
          <w:w w:val="125"/>
          <w:sz w:val="16"/>
        </w:rPr>
        <w:t>Insurances  payable at the moment oí </w:t>
      </w:r>
      <w:r>
        <w:rPr>
          <w:b/>
          <w:spacing w:val="16"/>
          <w:w w:val="125"/>
          <w:sz w:val="16"/>
        </w:rPr>
        <w:t> </w:t>
      </w:r>
      <w:r>
        <w:rPr>
          <w:b/>
          <w:w w:val="125"/>
          <w:sz w:val="16"/>
        </w:rPr>
        <w:t>death</w:t>
      </w:r>
    </w:p>
    <w:p>
      <w:pPr>
        <w:spacing w:line="103" w:lineRule="exact" w:before="109"/>
        <w:ind w:left="0" w:right="1345" w:firstLine="0"/>
        <w:jc w:val="center"/>
        <w:rPr>
          <w:sz w:val="10"/>
        </w:rPr>
      </w:pPr>
      <w:r>
        <w:rPr>
          <w:w w:val="122"/>
          <w:sz w:val="10"/>
        </w:rPr>
        <w:t>1</w:t>
      </w:r>
    </w:p>
    <w:p>
      <w:pPr>
        <w:spacing w:line="252" w:lineRule="exact" w:before="0"/>
        <w:ind w:left="290" w:right="0" w:firstLine="0"/>
        <w:jc w:val="left"/>
        <w:rPr>
          <w:rFonts w:ascii="Arial"/>
          <w:sz w:val="19"/>
        </w:rPr>
      </w:pPr>
      <w:r>
        <w:rPr>
          <w:w w:val="111"/>
          <w:sz w:val="17"/>
        </w:rPr>
        <w:t>8.</w:t>
      </w:r>
      <w:r>
        <w:rPr>
          <w:sz w:val="17"/>
        </w:rPr>
        <w:t> </w:t>
      </w:r>
      <w:r>
        <w:rPr>
          <w:spacing w:val="-15"/>
          <w:sz w:val="17"/>
        </w:rPr>
        <w:t> </w:t>
      </w:r>
      <w:r>
        <w:rPr>
          <w:w w:val="103"/>
          <w:sz w:val="17"/>
        </w:rPr>
        <w:t>Show</w:t>
      </w:r>
      <w:r>
        <w:rPr>
          <w:sz w:val="17"/>
        </w:rPr>
        <w:t> </w:t>
      </w:r>
      <w:r>
        <w:rPr>
          <w:spacing w:val="-13"/>
          <w:sz w:val="17"/>
        </w:rPr>
        <w:t> </w:t>
      </w:r>
      <w:r>
        <w:rPr>
          <w:w w:val="121"/>
          <w:sz w:val="17"/>
        </w:rPr>
        <w:t>that</w:t>
      </w:r>
      <w:r>
        <w:rPr>
          <w:sz w:val="17"/>
        </w:rPr>
        <w:t> </w:t>
      </w:r>
      <w:r>
        <w:rPr>
          <w:spacing w:val="-11"/>
          <w:sz w:val="17"/>
        </w:rPr>
        <w:t> </w:t>
      </w:r>
      <w:r>
        <w:rPr>
          <w:i/>
          <w:spacing w:val="12"/>
          <w:w w:val="155"/>
          <w:sz w:val="18"/>
        </w:rPr>
        <w:t>A</w:t>
      </w:r>
      <w:r>
        <w:rPr>
          <w:i/>
          <w:w w:val="58"/>
          <w:sz w:val="18"/>
        </w:rPr>
        <w:t>"'&gt;</w:t>
      </w:r>
      <w:r>
        <w:rPr>
          <w:i/>
          <w:sz w:val="18"/>
        </w:rPr>
        <w:t> </w:t>
      </w:r>
      <w:r>
        <w:rPr>
          <w:i/>
          <w:spacing w:val="1"/>
          <w:sz w:val="18"/>
        </w:rPr>
        <w:t> </w:t>
      </w:r>
      <w:r>
        <w:rPr>
          <w:w w:val="83"/>
          <w:sz w:val="23"/>
        </w:rPr>
        <w:t>=</w:t>
      </w:r>
      <w:r>
        <w:rPr>
          <w:sz w:val="23"/>
        </w:rPr>
        <w:t> </w:t>
      </w:r>
      <w:r>
        <w:rPr>
          <w:spacing w:val="-23"/>
          <w:sz w:val="23"/>
        </w:rPr>
        <w:t> </w:t>
      </w:r>
      <w:r>
        <w:rPr>
          <w:w w:val="111"/>
          <w:sz w:val="16"/>
        </w:rPr>
        <w:t>m</w:t>
      </w:r>
      <w:r>
        <w:rPr>
          <w:w w:val="111"/>
          <w:sz w:val="16"/>
        </w:rPr>
        <w:t>(</w:t>
      </w:r>
      <w:r>
        <w:rPr>
          <w:w w:val="111"/>
          <w:sz w:val="16"/>
        </w:rPr>
        <w:t>v;</w:t>
      </w:r>
      <w:r>
        <w:rPr>
          <w:spacing w:val="-3"/>
          <w:w w:val="111"/>
          <w:sz w:val="16"/>
        </w:rPr>
        <w:t>;</w:t>
      </w:r>
      <w:r>
        <w:rPr>
          <w:spacing w:val="-11"/>
          <w:w w:val="212"/>
          <w:sz w:val="16"/>
        </w:rPr>
        <w:t>a</w:t>
      </w:r>
      <w:r>
        <w:rPr>
          <w:w w:val="67"/>
          <w:sz w:val="16"/>
        </w:rPr>
        <w:t>"'&gt;</w:t>
      </w:r>
      <w:r>
        <w:rPr>
          <w:sz w:val="16"/>
        </w:rPr>
        <w:t> </w:t>
      </w:r>
      <w:r>
        <w:rPr>
          <w:spacing w:val="10"/>
          <w:sz w:val="16"/>
        </w:rPr>
        <w:t> </w:t>
      </w:r>
      <w:r>
        <w:rPr>
          <w:w w:val="273"/>
          <w:sz w:val="16"/>
        </w:rPr>
        <w:t>-</w:t>
      </w:r>
      <w:r>
        <w:rPr>
          <w:sz w:val="16"/>
        </w:rPr>
        <w:t> </w:t>
      </w:r>
      <w:r>
        <w:rPr>
          <w:spacing w:val="-14"/>
          <w:sz w:val="16"/>
        </w:rPr>
        <w:t> </w:t>
      </w:r>
      <w:r>
        <w:rPr>
          <w:i/>
          <w:spacing w:val="-13"/>
          <w:w w:val="171"/>
          <w:sz w:val="17"/>
        </w:rPr>
        <w:t>a</w:t>
      </w:r>
      <w:r>
        <w:rPr>
          <w:i/>
          <w:w w:val="83"/>
          <w:sz w:val="17"/>
        </w:rPr>
        <w:t>..</w:t>
      </w:r>
      <w:r>
        <w:rPr>
          <w:i/>
          <w:spacing w:val="-16"/>
          <w:w w:val="83"/>
          <w:sz w:val="17"/>
        </w:rPr>
        <w:t>.</w:t>
      </w:r>
      <w:r>
        <w:rPr>
          <w:rFonts w:ascii="Arial"/>
          <w:i/>
          <w:w w:val="38"/>
          <w:sz w:val="15"/>
        </w:rPr>
        <w:t>&gt;</w:t>
      </w:r>
      <w:r>
        <w:rPr>
          <w:rFonts w:ascii="Arial"/>
          <w:i/>
          <w:spacing w:val="-15"/>
          <w:sz w:val="15"/>
        </w:rPr>
        <w:t> </w:t>
      </w:r>
      <w:r>
        <w:rPr>
          <w:rFonts w:ascii="Arial"/>
          <w:i/>
          <w:w w:val="77"/>
          <w:sz w:val="15"/>
        </w:rPr>
        <w:t>)</w:t>
      </w:r>
      <w:r>
        <w:rPr>
          <w:rFonts w:ascii="Arial"/>
          <w:i/>
          <w:sz w:val="15"/>
        </w:rPr>
        <w:t>  </w:t>
      </w:r>
      <w:r>
        <w:rPr>
          <w:rFonts w:ascii="Arial"/>
          <w:i/>
          <w:spacing w:val="-13"/>
          <w:sz w:val="15"/>
        </w:rPr>
        <w:t> </w:t>
      </w:r>
      <w:r>
        <w:rPr>
          <w:w w:val="80"/>
          <w:sz w:val="23"/>
        </w:rPr>
        <w:t>=</w:t>
      </w:r>
      <w:r>
        <w:rPr>
          <w:sz w:val="23"/>
        </w:rPr>
        <w:t> </w:t>
      </w:r>
      <w:r>
        <w:rPr>
          <w:spacing w:val="-19"/>
          <w:sz w:val="23"/>
        </w:rPr>
        <w:t> </w:t>
      </w:r>
      <w:r>
        <w:rPr>
          <w:w w:val="127"/>
          <w:sz w:val="17"/>
        </w:rPr>
        <w:t>1</w:t>
      </w:r>
      <w:r>
        <w:rPr>
          <w:spacing w:val="-3"/>
          <w:sz w:val="17"/>
        </w:rPr>
        <w:t> </w:t>
      </w:r>
      <w:r>
        <w:rPr>
          <w:w w:val="256"/>
          <w:sz w:val="17"/>
        </w:rPr>
        <w:t>-</w:t>
      </w:r>
      <w:r>
        <w:rPr>
          <w:spacing w:val="13"/>
          <w:sz w:val="17"/>
        </w:rPr>
        <w:t> </w:t>
      </w:r>
      <w:r>
        <w:rPr>
          <w:w w:val="75"/>
          <w:sz w:val="17"/>
        </w:rPr>
        <w:t>d</w:t>
      </w:r>
      <w:r>
        <w:rPr>
          <w:spacing w:val="3"/>
          <w:w w:val="75"/>
          <w:sz w:val="17"/>
        </w:rPr>
        <w:t>&lt;</w:t>
      </w:r>
      <w:r>
        <w:rPr>
          <w:w w:val="96"/>
          <w:position w:val="3"/>
          <w:sz w:val="7"/>
        </w:rPr>
        <w:t>11</w:t>
      </w:r>
      <w:r>
        <w:rPr>
          <w:spacing w:val="-4"/>
          <w:w w:val="96"/>
          <w:position w:val="3"/>
          <w:sz w:val="7"/>
        </w:rPr>
        <w:t>1</w:t>
      </w:r>
      <w:r>
        <w:rPr>
          <w:rFonts w:ascii="Arial"/>
          <w:w w:val="83"/>
          <w:sz w:val="19"/>
        </w:rPr>
        <w:t>&gt;</w:t>
      </w:r>
      <w:r>
        <w:rPr>
          <w:rFonts w:ascii="Arial"/>
          <w:spacing w:val="-6"/>
          <w:w w:val="83"/>
          <w:sz w:val="19"/>
        </w:rPr>
        <w:t>a</w:t>
      </w:r>
      <w:r>
        <w:rPr>
          <w:rFonts w:ascii="Arial"/>
          <w:w w:val="60"/>
          <w:sz w:val="19"/>
        </w:rPr>
        <w:t>"'&gt;</w:t>
      </w:r>
      <w:r>
        <w:rPr>
          <w:rFonts w:ascii="Arial"/>
          <w:spacing w:val="-25"/>
          <w:sz w:val="19"/>
        </w:rPr>
        <w:t> </w:t>
      </w:r>
      <w:r>
        <w:rPr>
          <w:rFonts w:ascii="Arial"/>
          <w:w w:val="130"/>
          <w:sz w:val="19"/>
        </w:rPr>
        <w:t>.</w:t>
      </w:r>
    </w:p>
    <w:p>
      <w:pPr>
        <w:spacing w:before="122"/>
        <w:ind w:left="132" w:right="0" w:firstLine="0"/>
        <w:jc w:val="left"/>
        <w:rPr>
          <w:sz w:val="17"/>
        </w:rPr>
      </w:pPr>
      <w:r>
        <w:rPr>
          <w:w w:val="110"/>
          <w:sz w:val="17"/>
        </w:rPr>
        <w:t>What is the effect of Ietting </w:t>
      </w:r>
      <w:r>
        <w:rPr>
          <w:rFonts w:ascii="Arial"/>
          <w:i/>
          <w:w w:val="110"/>
          <w:sz w:val="14"/>
        </w:rPr>
        <w:t>m </w:t>
      </w:r>
      <w:r>
        <w:rPr>
          <w:w w:val="110"/>
          <w:sz w:val="17"/>
        </w:rPr>
        <w:t>become   infinite?</w:t>
      </w:r>
    </w:p>
    <w:p>
      <w:pPr>
        <w:pStyle w:val="ListParagraph"/>
        <w:numPr>
          <w:ilvl w:val="1"/>
          <w:numId w:val="33"/>
        </w:numPr>
        <w:tabs>
          <w:tab w:pos="514" w:val="left" w:leader="none"/>
        </w:tabs>
        <w:spacing w:line="240" w:lineRule="auto" w:before="49" w:after="0"/>
        <w:ind w:left="513" w:right="0" w:hanging="219"/>
        <w:jc w:val="left"/>
        <w:rPr>
          <w:sz w:val="17"/>
        </w:rPr>
      </w:pPr>
      <w:r>
        <w:rPr>
          <w:w w:val="115"/>
          <w:sz w:val="17"/>
        </w:rPr>
        <w:t>Show that </w:t>
      </w:r>
      <w:r>
        <w:rPr>
          <w:i/>
          <w:w w:val="85"/>
          <w:sz w:val="22"/>
        </w:rPr>
        <w:t>C:z </w:t>
      </w:r>
      <w:r>
        <w:rPr>
          <w:rFonts w:ascii="Arial"/>
          <w:sz w:val="28"/>
        </w:rPr>
        <w:t>+ </w:t>
      </w:r>
      <w:r>
        <w:rPr>
          <w:i/>
          <w:sz w:val="17"/>
        </w:rPr>
        <w:t>8Dz </w:t>
      </w:r>
      <w:r>
        <w:rPr>
          <w:sz w:val="21"/>
        </w:rPr>
        <w:t>= </w:t>
      </w:r>
      <w:r>
        <w:rPr>
          <w:i/>
          <w:sz w:val="17"/>
        </w:rPr>
        <w:t>Dz </w:t>
      </w:r>
      <w:r>
        <w:rPr>
          <w:w w:val="220"/>
          <w:sz w:val="17"/>
        </w:rPr>
        <w:t>- </w:t>
      </w:r>
      <w:r>
        <w:rPr>
          <w:i/>
          <w:sz w:val="17"/>
        </w:rPr>
        <w:t>Dz+i</w:t>
      </w:r>
      <w:r>
        <w:rPr>
          <w:i/>
          <w:spacing w:val="8"/>
          <w:sz w:val="17"/>
        </w:rPr>
        <w:t> </w:t>
      </w:r>
      <w:r>
        <w:rPr>
          <w:w w:val="115"/>
          <w:sz w:val="17"/>
        </w:rPr>
        <w:t>.</w:t>
      </w:r>
    </w:p>
    <w:p>
      <w:pPr>
        <w:pStyle w:val="ListParagraph"/>
        <w:numPr>
          <w:ilvl w:val="1"/>
          <w:numId w:val="33"/>
        </w:numPr>
        <w:tabs>
          <w:tab w:pos="582" w:val="left" w:leader="none"/>
        </w:tabs>
        <w:spacing w:line="240" w:lineRule="auto" w:before="124" w:after="0"/>
        <w:ind w:left="582" w:right="0" w:hanging="285"/>
        <w:jc w:val="left"/>
        <w:rPr>
          <w:sz w:val="17"/>
        </w:rPr>
      </w:pPr>
      <w:r>
        <w:rPr>
          <w:w w:val="115"/>
          <w:sz w:val="17"/>
        </w:rPr>
        <w:t>Show</w:t>
      </w:r>
      <w:r>
        <w:rPr>
          <w:spacing w:val="-10"/>
          <w:w w:val="115"/>
          <w:sz w:val="17"/>
        </w:rPr>
        <w:t> </w:t>
      </w:r>
      <w:r>
        <w:rPr>
          <w:w w:val="115"/>
          <w:sz w:val="17"/>
        </w:rPr>
        <w:t>that</w:t>
      </w:r>
    </w:p>
    <w:p>
      <w:pPr>
        <w:pStyle w:val="BodyText"/>
        <w:spacing w:before="2"/>
        <w:rPr>
          <w:sz w:val="11"/>
        </w:rPr>
      </w:pPr>
      <w:r>
        <w:rPr/>
        <w:drawing>
          <wp:anchor distT="0" distB="0" distL="0" distR="0" allowOverlap="1" layoutInCell="1" locked="0" behindDoc="0" simplePos="0" relativeHeight="6856">
            <wp:simplePos x="0" y="0"/>
            <wp:positionH relativeFrom="page">
              <wp:posOffset>694944</wp:posOffset>
            </wp:positionH>
            <wp:positionV relativeFrom="paragraph">
              <wp:posOffset>106951</wp:posOffset>
            </wp:positionV>
            <wp:extent cx="877823" cy="256032"/>
            <wp:effectExtent l="0" t="0" r="0" b="0"/>
            <wp:wrapTopAndBottom/>
            <wp:docPr id="201" name="image105.png" descr=""/>
            <wp:cNvGraphicFramePr>
              <a:graphicFrameLocks noChangeAspect="1"/>
            </wp:cNvGraphicFramePr>
            <a:graphic>
              <a:graphicData uri="http://schemas.openxmlformats.org/drawingml/2006/picture">
                <pic:pic>
                  <pic:nvPicPr>
                    <pic:cNvPr id="202" name="image105.png"/>
                    <pic:cNvPicPr/>
                  </pic:nvPicPr>
                  <pic:blipFill>
                    <a:blip r:embed="rId109" cstate="print"/>
                    <a:stretch>
                      <a:fillRect/>
                    </a:stretch>
                  </pic:blipFill>
                  <pic:spPr>
                    <a:xfrm>
                      <a:off x="0" y="0"/>
                      <a:ext cx="877823" cy="256032"/>
                    </a:xfrm>
                    <a:prstGeom prst="rect">
                      <a:avLst/>
                    </a:prstGeom>
                  </pic:spPr>
                </pic:pic>
              </a:graphicData>
            </a:graphic>
          </wp:anchor>
        </w:drawing>
      </w:r>
      <w:r>
        <w:rPr/>
        <w:drawing>
          <wp:anchor distT="0" distB="0" distL="0" distR="0" allowOverlap="1" layoutInCell="1" locked="0" behindDoc="0" simplePos="0" relativeHeight="6880">
            <wp:simplePos x="0" y="0"/>
            <wp:positionH relativeFrom="page">
              <wp:posOffset>694944</wp:posOffset>
            </wp:positionH>
            <wp:positionV relativeFrom="paragraph">
              <wp:posOffset>518431</wp:posOffset>
            </wp:positionV>
            <wp:extent cx="1316735" cy="256032"/>
            <wp:effectExtent l="0" t="0" r="0" b="0"/>
            <wp:wrapTopAndBottom/>
            <wp:docPr id="203" name="image106.png" descr=""/>
            <wp:cNvGraphicFramePr>
              <a:graphicFrameLocks noChangeAspect="1"/>
            </wp:cNvGraphicFramePr>
            <a:graphic>
              <a:graphicData uri="http://schemas.openxmlformats.org/drawingml/2006/picture">
                <pic:pic>
                  <pic:nvPicPr>
                    <pic:cNvPr id="204" name="image106.png"/>
                    <pic:cNvPicPr/>
                  </pic:nvPicPr>
                  <pic:blipFill>
                    <a:blip r:embed="rId110" cstate="print"/>
                    <a:stretch>
                      <a:fillRect/>
                    </a:stretch>
                  </pic:blipFill>
                  <pic:spPr>
                    <a:xfrm>
                      <a:off x="0" y="0"/>
                      <a:ext cx="1316735" cy="256032"/>
                    </a:xfrm>
                    <a:prstGeom prst="rect">
                      <a:avLst/>
                    </a:prstGeom>
                  </pic:spPr>
                </pic:pic>
              </a:graphicData>
            </a:graphic>
          </wp:anchor>
        </w:drawing>
      </w:r>
      <w:r>
        <w:rPr/>
        <w:drawing>
          <wp:anchor distT="0" distB="0" distL="0" distR="0" allowOverlap="1" layoutInCell="1" locked="0" behindDoc="0" simplePos="0" relativeHeight="6904">
            <wp:simplePos x="0" y="0"/>
            <wp:positionH relativeFrom="page">
              <wp:posOffset>694944</wp:posOffset>
            </wp:positionH>
            <wp:positionV relativeFrom="paragraph">
              <wp:posOffset>920767</wp:posOffset>
            </wp:positionV>
            <wp:extent cx="2130551" cy="274320"/>
            <wp:effectExtent l="0" t="0" r="0" b="0"/>
            <wp:wrapTopAndBottom/>
            <wp:docPr id="205" name="image107.png" descr=""/>
            <wp:cNvGraphicFramePr>
              <a:graphicFrameLocks noChangeAspect="1"/>
            </wp:cNvGraphicFramePr>
            <a:graphic>
              <a:graphicData uri="http://schemas.openxmlformats.org/drawingml/2006/picture">
                <pic:pic>
                  <pic:nvPicPr>
                    <pic:cNvPr id="206" name="image107.png"/>
                    <pic:cNvPicPr/>
                  </pic:nvPicPr>
                  <pic:blipFill>
                    <a:blip r:embed="rId111" cstate="print"/>
                    <a:stretch>
                      <a:fillRect/>
                    </a:stretch>
                  </pic:blipFill>
                  <pic:spPr>
                    <a:xfrm>
                      <a:off x="0" y="0"/>
                      <a:ext cx="2130551" cy="274320"/>
                    </a:xfrm>
                    <a:prstGeom prst="rect">
                      <a:avLst/>
                    </a:prstGeom>
                  </pic:spPr>
                </pic:pic>
              </a:graphicData>
            </a:graphic>
          </wp:anchor>
        </w:drawing>
      </w:r>
      <w:r>
        <w:rPr/>
        <w:drawing>
          <wp:anchor distT="0" distB="0" distL="0" distR="0" allowOverlap="1" layoutInCell="1" locked="0" behindDoc="0" simplePos="0" relativeHeight="6928">
            <wp:simplePos x="0" y="0"/>
            <wp:positionH relativeFrom="page">
              <wp:posOffset>694944</wp:posOffset>
            </wp:positionH>
            <wp:positionV relativeFrom="paragraph">
              <wp:posOffset>1323103</wp:posOffset>
            </wp:positionV>
            <wp:extent cx="1591056" cy="246887"/>
            <wp:effectExtent l="0" t="0" r="0" b="0"/>
            <wp:wrapTopAndBottom/>
            <wp:docPr id="207" name="image108.png" descr=""/>
            <wp:cNvGraphicFramePr>
              <a:graphicFrameLocks noChangeAspect="1"/>
            </wp:cNvGraphicFramePr>
            <a:graphic>
              <a:graphicData uri="http://schemas.openxmlformats.org/drawingml/2006/picture">
                <pic:pic>
                  <pic:nvPicPr>
                    <pic:cNvPr id="208" name="image108.png"/>
                    <pic:cNvPicPr/>
                  </pic:nvPicPr>
                  <pic:blipFill>
                    <a:blip r:embed="rId112" cstate="print"/>
                    <a:stretch>
                      <a:fillRect/>
                    </a:stretch>
                  </pic:blipFill>
                  <pic:spPr>
                    <a:xfrm>
                      <a:off x="0" y="0"/>
                      <a:ext cx="1591056" cy="246887"/>
                    </a:xfrm>
                    <a:prstGeom prst="rect">
                      <a:avLst/>
                    </a:prstGeom>
                  </pic:spPr>
                </pic:pic>
              </a:graphicData>
            </a:graphic>
          </wp:anchor>
        </w:drawing>
      </w:r>
    </w:p>
    <w:p>
      <w:pPr>
        <w:pStyle w:val="BodyText"/>
        <w:spacing w:before="4"/>
        <w:rPr>
          <w:sz w:val="15"/>
        </w:rPr>
      </w:pPr>
    </w:p>
    <w:p>
      <w:pPr>
        <w:pStyle w:val="BodyText"/>
        <w:spacing w:before="1"/>
        <w:rPr>
          <w:sz w:val="14"/>
        </w:rPr>
      </w:pPr>
    </w:p>
    <w:p>
      <w:pPr>
        <w:pStyle w:val="BodyText"/>
        <w:spacing w:before="7"/>
        <w:rPr>
          <w:sz w:val="11"/>
        </w:rPr>
      </w:pPr>
    </w:p>
    <w:p>
      <w:pPr>
        <w:pStyle w:val="BodyText"/>
        <w:rPr>
          <w:sz w:val="14"/>
        </w:rPr>
      </w:pPr>
    </w:p>
    <w:p>
      <w:pPr>
        <w:spacing w:before="0"/>
        <w:ind w:left="315" w:right="0" w:firstLine="0"/>
        <w:jc w:val="left"/>
        <w:rPr>
          <w:sz w:val="17"/>
        </w:rPr>
      </w:pPr>
      <w:r>
        <w:rPr>
          <w:w w:val="135"/>
          <w:sz w:val="17"/>
        </w:rPr>
        <w:t>ll. </w:t>
      </w:r>
      <w:r>
        <w:rPr>
          <w:w w:val="115"/>
          <w:sz w:val="16"/>
        </w:rPr>
        <w:t>lf  </w:t>
      </w:r>
      <w:r>
        <w:rPr>
          <w:w w:val="115"/>
          <w:sz w:val="17"/>
        </w:rPr>
        <w:t>a mortality table follows Makeham's Law, show that</w:t>
      </w:r>
    </w:p>
    <w:p>
      <w:pPr>
        <w:spacing w:before="86"/>
        <w:ind w:left="2003" w:right="0" w:firstLine="0"/>
        <w:jc w:val="left"/>
        <w:rPr>
          <w:rFonts w:ascii="Arial" w:hAnsi="Arial"/>
          <w:sz w:val="19"/>
        </w:rPr>
      </w:pPr>
      <w:r>
        <w:rPr>
          <w:i/>
          <w:w w:val="120"/>
          <w:sz w:val="15"/>
        </w:rPr>
        <w:t>Az  </w:t>
      </w:r>
      <w:r>
        <w:rPr>
          <w:sz w:val="18"/>
        </w:rPr>
        <w:t>= </w:t>
      </w:r>
      <w:r>
        <w:rPr>
          <w:rFonts w:ascii="Arial" w:hAnsi="Arial"/>
          <w:i/>
          <w:sz w:val="19"/>
        </w:rPr>
        <w:t>Aaz </w:t>
      </w:r>
      <w:r>
        <w:rPr>
          <w:rFonts w:ascii="Arial" w:hAnsi="Arial"/>
          <w:sz w:val="26"/>
        </w:rPr>
        <w:t>+ </w:t>
      </w:r>
      <w:r>
        <w:rPr>
          <w:i/>
          <w:sz w:val="15"/>
        </w:rPr>
        <w:t>(µz </w:t>
      </w:r>
      <w:r>
        <w:rPr>
          <w:w w:val="270"/>
          <w:sz w:val="15"/>
        </w:rPr>
        <w:t>- </w:t>
      </w:r>
      <w:r>
        <w:rPr>
          <w:rFonts w:ascii="Arial" w:hAnsi="Arial"/>
          <w:i/>
          <w:sz w:val="19"/>
        </w:rPr>
        <w:t>A )a; </w:t>
      </w:r>
      <w:r>
        <w:rPr>
          <w:rFonts w:ascii="Arial" w:hAnsi="Arial"/>
          <w:w w:val="120"/>
          <w:sz w:val="19"/>
        </w:rPr>
        <w:t>,</w:t>
      </w:r>
    </w:p>
    <w:p>
      <w:pPr>
        <w:spacing w:line="225" w:lineRule="auto" w:before="41"/>
        <w:ind w:left="110" w:right="241" w:firstLine="14"/>
        <w:jc w:val="left"/>
        <w:rPr>
          <w:sz w:val="17"/>
        </w:rPr>
      </w:pPr>
      <w:r>
        <w:rPr>
          <w:w w:val="105"/>
          <w:sz w:val="17"/>
        </w:rPr>
        <w:t>where </w:t>
      </w:r>
      <w:r>
        <w:rPr>
          <w:rFonts w:ascii="Arial"/>
          <w:i/>
          <w:w w:val="105"/>
          <w:sz w:val="16"/>
        </w:rPr>
        <w:t>A </w:t>
      </w:r>
      <w:r>
        <w:rPr>
          <w:w w:val="105"/>
          <w:sz w:val="17"/>
        </w:rPr>
        <w:t>is the usual Makeham constant and where </w:t>
      </w:r>
      <w:r>
        <w:rPr>
          <w:i/>
          <w:sz w:val="30"/>
        </w:rPr>
        <w:t>a; </w:t>
      </w:r>
      <w:r>
        <w:rPr>
          <w:w w:val="105"/>
          <w:sz w:val="17"/>
        </w:rPr>
        <w:t>is calculated  at  a special  rate  of   interest.</w:t>
      </w:r>
    </w:p>
    <w:p>
      <w:pPr>
        <w:pStyle w:val="BodyText"/>
        <w:spacing w:before="5"/>
        <w:rPr>
          <w:sz w:val="14"/>
        </w:rPr>
      </w:pPr>
    </w:p>
    <w:p>
      <w:pPr>
        <w:pStyle w:val="ListParagraph"/>
        <w:numPr>
          <w:ilvl w:val="0"/>
          <w:numId w:val="34"/>
        </w:numPr>
        <w:tabs>
          <w:tab w:pos="323" w:val="left" w:leader="none"/>
        </w:tabs>
        <w:spacing w:line="240" w:lineRule="auto" w:before="0" w:after="0"/>
        <w:ind w:left="322" w:right="0" w:hanging="219"/>
        <w:jc w:val="left"/>
        <w:rPr>
          <w:b/>
          <w:sz w:val="16"/>
        </w:rPr>
      </w:pPr>
      <w:r>
        <w:rPr>
          <w:b/>
          <w:w w:val="125"/>
          <w:sz w:val="16"/>
        </w:rPr>
        <w:t>Varying</w:t>
      </w:r>
      <w:r>
        <w:rPr>
          <w:b/>
          <w:spacing w:val="-11"/>
          <w:w w:val="125"/>
          <w:sz w:val="16"/>
        </w:rPr>
        <w:t> </w:t>
      </w:r>
      <w:r>
        <w:rPr>
          <w:b/>
          <w:w w:val="125"/>
          <w:sz w:val="16"/>
        </w:rPr>
        <w:t>insurances</w:t>
      </w:r>
    </w:p>
    <w:p>
      <w:pPr>
        <w:pStyle w:val="ListParagraph"/>
        <w:numPr>
          <w:ilvl w:val="1"/>
          <w:numId w:val="34"/>
        </w:numPr>
        <w:tabs>
          <w:tab w:pos="564" w:val="left" w:leader="none"/>
        </w:tabs>
        <w:spacing w:line="244" w:lineRule="auto" w:before="85" w:after="0"/>
        <w:ind w:left="114" w:right="133" w:firstLine="165"/>
        <w:jc w:val="both"/>
        <w:rPr>
          <w:sz w:val="17"/>
        </w:rPr>
      </w:pPr>
      <w:r>
        <w:rPr>
          <w:w w:val="105"/>
          <w:sz w:val="17"/>
        </w:rPr>
        <w:t>Express in commutation functions the  net  single  premium  at  age  40 for a Double  Protection  to  Age  65  policy  which  provides  insuran&lt;'e  of  2 in the event of  death prior  to age 65 and insurance of  </w:t>
      </w:r>
      <w:r>
        <w:rPr>
          <w:spacing w:val="4"/>
          <w:w w:val="105"/>
          <w:sz w:val="17"/>
        </w:rPr>
        <w:t>1af </w:t>
      </w:r>
      <w:r>
        <w:rPr>
          <w:w w:val="105"/>
          <w:sz w:val="17"/>
        </w:rPr>
        <w:t>ter age </w:t>
      </w:r>
      <w:r>
        <w:rPr>
          <w:spacing w:val="19"/>
          <w:w w:val="105"/>
          <w:sz w:val="17"/>
        </w:rPr>
        <w:t> </w:t>
      </w:r>
      <w:r>
        <w:rPr>
          <w:w w:val="105"/>
          <w:sz w:val="17"/>
        </w:rPr>
        <w:t>65.</w:t>
      </w:r>
    </w:p>
    <w:p>
      <w:pPr>
        <w:pStyle w:val="ListParagraph"/>
        <w:numPr>
          <w:ilvl w:val="1"/>
          <w:numId w:val="34"/>
        </w:numPr>
        <w:tabs>
          <w:tab w:pos="564" w:val="left" w:leader="none"/>
        </w:tabs>
        <w:spacing w:line="252" w:lineRule="auto" w:before="2" w:after="37"/>
        <w:ind w:left="121" w:right="152" w:firstLine="158"/>
        <w:jc w:val="left"/>
        <w:rPr>
          <w:sz w:val="17"/>
        </w:rPr>
      </w:pPr>
      <w:r>
        <w:rPr>
          <w:sz w:val="17"/>
        </w:rPr>
        <w:t>A policy is issued at age O with the following graded scale of  deat h benefits:</w:t>
      </w:r>
    </w:p>
    <w:tbl>
      <w:tblPr>
        <w:tblW w:w="0" w:type="auto"/>
        <w:jc w:val="left"/>
        <w:tblInd w:w="1983"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148"/>
        <w:gridCol w:w="1006"/>
      </w:tblGrid>
      <w:tr>
        <w:trPr>
          <w:trHeight w:val="527" w:hRule="exact"/>
        </w:trPr>
        <w:tc>
          <w:tcPr>
            <w:tcW w:w="1148" w:type="dxa"/>
          </w:tcPr>
          <w:p>
            <w:pPr>
              <w:pStyle w:val="TableParagraph"/>
              <w:spacing w:before="83"/>
              <w:ind w:left="19" w:right="192"/>
              <w:jc w:val="center"/>
              <w:rPr>
                <w:rFonts w:ascii="Times New Roman"/>
                <w:b/>
                <w:i/>
                <w:sz w:val="13"/>
              </w:rPr>
            </w:pPr>
            <w:r>
              <w:rPr>
                <w:rFonts w:ascii="Times New Roman"/>
                <w:b/>
                <w:i/>
                <w:w w:val="110"/>
                <w:sz w:val="13"/>
              </w:rPr>
              <w:t>Ag,</w:t>
            </w:r>
          </w:p>
          <w:p>
            <w:pPr>
              <w:pStyle w:val="TableParagraph"/>
              <w:spacing w:before="45"/>
              <w:ind w:right="177"/>
              <w:jc w:val="center"/>
              <w:rPr>
                <w:rFonts w:ascii="Arial"/>
                <w:sz w:val="21"/>
              </w:rPr>
            </w:pPr>
            <w:r>
              <w:rPr>
                <w:rFonts w:ascii="Arial"/>
                <w:w w:val="78"/>
                <w:sz w:val="21"/>
              </w:rPr>
              <w:t>o</w:t>
            </w:r>
          </w:p>
        </w:tc>
        <w:tc>
          <w:tcPr>
            <w:tcW w:w="1006" w:type="dxa"/>
          </w:tcPr>
          <w:p>
            <w:pPr>
              <w:pStyle w:val="TableParagraph"/>
              <w:spacing w:before="87"/>
              <w:ind w:left="219"/>
              <w:rPr>
                <w:rFonts w:ascii="Times New Roman"/>
                <w:b/>
                <w:i/>
                <w:sz w:val="13"/>
              </w:rPr>
            </w:pPr>
            <w:r>
              <w:rPr>
                <w:rFonts w:ascii="Times New Roman"/>
                <w:b/>
                <w:i/>
                <w:sz w:val="13"/>
              </w:rPr>
              <w:t>Deotls Be,,efit</w:t>
            </w:r>
          </w:p>
          <w:p>
            <w:pPr>
              <w:pStyle w:val="TableParagraph"/>
              <w:spacing w:before="89"/>
              <w:ind w:left="586"/>
              <w:rPr>
                <w:rFonts w:ascii="Times New Roman"/>
                <w:sz w:val="16"/>
              </w:rPr>
            </w:pPr>
            <w:r>
              <w:rPr>
                <w:rFonts w:ascii="Times New Roman"/>
                <w:w w:val="115"/>
                <w:sz w:val="16"/>
              </w:rPr>
              <w:t>100</w:t>
            </w:r>
          </w:p>
        </w:tc>
      </w:tr>
      <w:tr>
        <w:trPr>
          <w:trHeight w:val="203" w:hRule="exact"/>
        </w:trPr>
        <w:tc>
          <w:tcPr>
            <w:tcW w:w="1148" w:type="dxa"/>
          </w:tcPr>
          <w:p>
            <w:pPr>
              <w:pStyle w:val="TableParagraph"/>
              <w:spacing w:line="186" w:lineRule="exact"/>
              <w:ind w:right="139"/>
              <w:jc w:val="center"/>
              <w:rPr>
                <w:rFonts w:ascii="Times New Roman"/>
                <w:sz w:val="17"/>
              </w:rPr>
            </w:pPr>
            <w:r>
              <w:rPr>
                <w:rFonts w:ascii="Times New Roman"/>
                <w:w w:val="111"/>
                <w:sz w:val="17"/>
              </w:rPr>
              <w:t>1</w:t>
            </w:r>
          </w:p>
        </w:tc>
        <w:tc>
          <w:tcPr>
            <w:tcW w:w="1006" w:type="dxa"/>
          </w:tcPr>
          <w:p>
            <w:pPr>
              <w:pStyle w:val="TableParagraph"/>
              <w:spacing w:before="3"/>
              <w:ind w:right="176"/>
              <w:jc w:val="right"/>
              <w:rPr>
                <w:rFonts w:ascii="Times New Roman"/>
                <w:sz w:val="16"/>
              </w:rPr>
            </w:pPr>
            <w:r>
              <w:rPr>
                <w:rFonts w:ascii="Times New Roman"/>
                <w:sz w:val="16"/>
              </w:rPr>
              <w:t>200</w:t>
            </w:r>
          </w:p>
        </w:tc>
      </w:tr>
      <w:tr>
        <w:trPr>
          <w:trHeight w:val="200" w:hRule="exact"/>
        </w:trPr>
        <w:tc>
          <w:tcPr>
            <w:tcW w:w="1148" w:type="dxa"/>
          </w:tcPr>
          <w:p>
            <w:pPr>
              <w:pStyle w:val="TableParagraph"/>
              <w:spacing w:line="182" w:lineRule="exact"/>
              <w:ind w:right="167"/>
              <w:jc w:val="center"/>
              <w:rPr>
                <w:rFonts w:ascii="Arial"/>
                <w:sz w:val="16"/>
              </w:rPr>
            </w:pPr>
            <w:r>
              <w:rPr>
                <w:rFonts w:ascii="Arial"/>
                <w:w w:val="97"/>
                <w:sz w:val="16"/>
              </w:rPr>
              <w:t>2</w:t>
            </w:r>
          </w:p>
        </w:tc>
        <w:tc>
          <w:tcPr>
            <w:tcW w:w="1006" w:type="dxa"/>
          </w:tcPr>
          <w:p>
            <w:pPr>
              <w:pStyle w:val="TableParagraph"/>
              <w:spacing w:line="183" w:lineRule="exact"/>
              <w:ind w:right="182"/>
              <w:jc w:val="right"/>
              <w:rPr>
                <w:rFonts w:ascii="Times New Roman"/>
                <w:b/>
                <w:sz w:val="16"/>
              </w:rPr>
            </w:pPr>
            <w:r>
              <w:rPr>
                <w:rFonts w:ascii="Times New Roman"/>
                <w:b/>
                <w:sz w:val="16"/>
              </w:rPr>
              <w:t>400</w:t>
            </w:r>
          </w:p>
        </w:tc>
      </w:tr>
      <w:tr>
        <w:trPr>
          <w:trHeight w:val="196" w:hRule="exact"/>
        </w:trPr>
        <w:tc>
          <w:tcPr>
            <w:tcW w:w="1148" w:type="dxa"/>
          </w:tcPr>
          <w:p>
            <w:pPr>
              <w:pStyle w:val="TableParagraph"/>
              <w:ind w:right="185"/>
              <w:jc w:val="center"/>
              <w:rPr>
                <w:rFonts w:ascii="Arial"/>
                <w:sz w:val="16"/>
              </w:rPr>
            </w:pPr>
            <w:r>
              <w:rPr>
                <w:rFonts w:ascii="Arial"/>
                <w:w w:val="93"/>
                <w:sz w:val="16"/>
              </w:rPr>
              <w:t>3</w:t>
            </w:r>
          </w:p>
        </w:tc>
        <w:tc>
          <w:tcPr>
            <w:tcW w:w="1006" w:type="dxa"/>
          </w:tcPr>
          <w:p>
            <w:pPr>
              <w:pStyle w:val="TableParagraph"/>
              <w:ind w:right="177"/>
              <w:jc w:val="right"/>
              <w:rPr>
                <w:rFonts w:ascii="Times New Roman"/>
                <w:sz w:val="16"/>
              </w:rPr>
            </w:pPr>
            <w:r>
              <w:rPr>
                <w:rFonts w:ascii="Times New Roman"/>
                <w:sz w:val="16"/>
              </w:rPr>
              <w:t>600</w:t>
            </w:r>
          </w:p>
        </w:tc>
      </w:tr>
      <w:tr>
        <w:trPr>
          <w:trHeight w:val="206" w:hRule="exact"/>
        </w:trPr>
        <w:tc>
          <w:tcPr>
            <w:tcW w:w="1148" w:type="dxa"/>
          </w:tcPr>
          <w:p>
            <w:pPr>
              <w:pStyle w:val="TableParagraph"/>
              <w:spacing w:before="2"/>
              <w:ind w:right="193"/>
              <w:jc w:val="center"/>
              <w:rPr>
                <w:rFonts w:ascii="Arial"/>
                <w:sz w:val="16"/>
              </w:rPr>
            </w:pPr>
            <w:r>
              <w:rPr>
                <w:rFonts w:ascii="Arial"/>
                <w:w w:val="92"/>
                <w:sz w:val="16"/>
              </w:rPr>
              <w:t>4</w:t>
            </w:r>
          </w:p>
        </w:tc>
        <w:tc>
          <w:tcPr>
            <w:tcW w:w="1006" w:type="dxa"/>
          </w:tcPr>
          <w:p>
            <w:pPr>
              <w:pStyle w:val="TableParagraph"/>
              <w:spacing w:line="198" w:lineRule="exact"/>
              <w:ind w:right="176"/>
              <w:jc w:val="right"/>
              <w:rPr>
                <w:rFonts w:ascii="Times New Roman"/>
                <w:sz w:val="18"/>
              </w:rPr>
            </w:pPr>
            <w:r>
              <w:rPr>
                <w:rFonts w:ascii="Times New Roman"/>
                <w:w w:val="90"/>
                <w:sz w:val="18"/>
              </w:rPr>
              <w:t>800</w:t>
            </w:r>
          </w:p>
        </w:tc>
      </w:tr>
      <w:tr>
        <w:trPr>
          <w:trHeight w:val="198" w:hRule="exact"/>
        </w:trPr>
        <w:tc>
          <w:tcPr>
            <w:tcW w:w="1148" w:type="dxa"/>
          </w:tcPr>
          <w:p>
            <w:pPr>
              <w:pStyle w:val="TableParagraph"/>
              <w:spacing w:line="198" w:lineRule="exact"/>
              <w:ind w:left="19" w:right="167"/>
              <w:jc w:val="center"/>
              <w:rPr>
                <w:sz w:val="18"/>
              </w:rPr>
            </w:pPr>
            <w:r>
              <w:rPr>
                <w:w w:val="95"/>
                <w:sz w:val="18"/>
              </w:rPr>
              <w:t>5-20</w:t>
            </w:r>
          </w:p>
        </w:tc>
        <w:tc>
          <w:tcPr>
            <w:tcW w:w="1006" w:type="dxa"/>
          </w:tcPr>
          <w:p>
            <w:pPr>
              <w:pStyle w:val="TableParagraph"/>
              <w:spacing w:line="179" w:lineRule="exact"/>
              <w:ind w:right="176"/>
              <w:jc w:val="right"/>
              <w:rPr>
                <w:rFonts w:ascii="Times New Roman"/>
                <w:b/>
                <w:sz w:val="16"/>
              </w:rPr>
            </w:pPr>
            <w:r>
              <w:rPr>
                <w:rFonts w:ascii="Times New Roman"/>
                <w:b/>
                <w:w w:val="110"/>
                <w:sz w:val="16"/>
              </w:rPr>
              <w:t>1,000</w:t>
            </w:r>
          </w:p>
        </w:tc>
      </w:tr>
      <w:tr>
        <w:trPr>
          <w:trHeight w:val="277" w:hRule="exact"/>
        </w:trPr>
        <w:tc>
          <w:tcPr>
            <w:tcW w:w="1148" w:type="dxa"/>
          </w:tcPr>
          <w:p>
            <w:pPr>
              <w:pStyle w:val="TableParagraph"/>
              <w:spacing w:line="180" w:lineRule="exact"/>
              <w:ind w:left="19" w:right="201"/>
              <w:jc w:val="center"/>
              <w:rPr>
                <w:rFonts w:ascii="Times New Roman"/>
                <w:sz w:val="17"/>
              </w:rPr>
            </w:pPr>
            <w:r>
              <w:rPr>
                <w:rFonts w:ascii="Times New Roman"/>
                <w:w w:val="105"/>
                <w:sz w:val="17"/>
              </w:rPr>
              <w:t>21 and  over</w:t>
            </w:r>
          </w:p>
        </w:tc>
        <w:tc>
          <w:tcPr>
            <w:tcW w:w="1006" w:type="dxa"/>
          </w:tcPr>
          <w:p>
            <w:pPr>
              <w:pStyle w:val="TableParagraph"/>
              <w:spacing w:line="180" w:lineRule="exact"/>
              <w:ind w:right="185"/>
              <w:jc w:val="right"/>
              <w:rPr>
                <w:rFonts w:ascii="Times New Roman"/>
                <w:b/>
                <w:sz w:val="17"/>
              </w:rPr>
            </w:pPr>
            <w:r>
              <w:rPr>
                <w:rFonts w:ascii="Times New Roman"/>
                <w:b/>
                <w:w w:val="105"/>
                <w:sz w:val="17"/>
              </w:rPr>
              <w:t>5,000</w:t>
            </w:r>
          </w:p>
        </w:tc>
      </w:tr>
    </w:tbl>
    <w:p>
      <w:pPr>
        <w:spacing w:before="71"/>
        <w:ind w:left="117" w:right="0" w:firstLine="0"/>
        <w:jc w:val="left"/>
        <w:rPr>
          <w:sz w:val="17"/>
        </w:rPr>
      </w:pPr>
      <w:r>
        <w:rPr>
          <w:w w:val="105"/>
          <w:sz w:val="17"/>
        </w:rPr>
        <w:t>W rite  the  net single  premium  in  terms  of  commutation  f unctions.</w:t>
      </w:r>
    </w:p>
    <w:p>
      <w:pPr>
        <w:pStyle w:val="ListParagraph"/>
        <w:numPr>
          <w:ilvl w:val="1"/>
          <w:numId w:val="34"/>
        </w:numPr>
        <w:tabs>
          <w:tab w:pos="564" w:val="left" w:leader="none"/>
        </w:tabs>
        <w:spacing w:line="240" w:lineRule="auto" w:before="6" w:after="0"/>
        <w:ind w:left="564" w:right="0" w:hanging="281"/>
        <w:jc w:val="left"/>
        <w:rPr>
          <w:sz w:val="17"/>
        </w:rPr>
      </w:pPr>
      <w:r>
        <w:rPr>
          <w:w w:val="110"/>
          <w:sz w:val="17"/>
        </w:rPr>
        <w:t>Express  in commutation  symbols  the  net  single  premium  at age</w:t>
      </w:r>
      <w:r>
        <w:rPr>
          <w:spacing w:val="-16"/>
          <w:w w:val="110"/>
          <w:sz w:val="17"/>
        </w:rPr>
        <w:t> </w:t>
      </w:r>
      <w:r>
        <w:rPr>
          <w:w w:val="110"/>
          <w:sz w:val="17"/>
        </w:rPr>
        <w:t>40</w:t>
      </w:r>
    </w:p>
    <w:p>
      <w:pPr>
        <w:spacing w:after="0" w:line="240" w:lineRule="auto"/>
        <w:jc w:val="left"/>
        <w:rPr>
          <w:sz w:val="17"/>
        </w:rPr>
        <w:sectPr>
          <w:pgSz w:w="7200" w:h="11340"/>
          <w:pgMar w:top="480" w:bottom="280" w:left="660" w:right="540"/>
        </w:sectPr>
      </w:pPr>
    </w:p>
    <w:p>
      <w:pPr>
        <w:tabs>
          <w:tab w:pos="5880" w:val="right" w:leader="none"/>
        </w:tabs>
        <w:spacing w:before="55"/>
        <w:ind w:left="2543" w:right="0" w:firstLine="0"/>
        <w:jc w:val="left"/>
        <w:rPr>
          <w:sz w:val="20"/>
        </w:rPr>
      </w:pPr>
      <w:r>
        <w:rPr>
          <w:b/>
          <w:w w:val="105"/>
          <w:sz w:val="15"/>
        </w:rPr>
        <w:t>EXERCISES</w:t>
      </w:r>
      <w:r>
        <w:rPr>
          <w:w w:val="105"/>
          <w:sz w:val="20"/>
        </w:rPr>
        <w:tab/>
        <w:t>79</w:t>
      </w:r>
    </w:p>
    <w:p>
      <w:pPr>
        <w:pStyle w:val="BodyText"/>
        <w:spacing w:before="2"/>
      </w:pPr>
    </w:p>
    <w:p>
      <w:pPr>
        <w:spacing w:line="232" w:lineRule="auto" w:before="1"/>
        <w:ind w:left="106" w:right="128" w:firstLine="10"/>
        <w:jc w:val="both"/>
        <w:rPr>
          <w:sz w:val="18"/>
        </w:rPr>
      </w:pPr>
      <w:r>
        <w:rPr>
          <w:sz w:val="18"/>
        </w:rPr>
        <w:t>for an insurance providing for a payment of </w:t>
      </w:r>
      <w:r>
        <w:rPr>
          <w:spacing w:val="-7"/>
          <w:sz w:val="18"/>
        </w:rPr>
        <w:t>1,000 </w:t>
      </w:r>
      <w:r>
        <w:rPr>
          <w:sz w:val="18"/>
        </w:rPr>
        <w:t>the first year, 4,000 the second year, 7,000 the third year, and so on, increasing  by 3,000  per  year until 16,000 </w:t>
      </w:r>
      <w:r>
        <w:rPr>
          <w:sz w:val="17"/>
        </w:rPr>
        <w:t>is </w:t>
      </w:r>
      <w:r>
        <w:rPr>
          <w:sz w:val="18"/>
        </w:rPr>
        <w:t>rea.ched, af ter which the payment decreases by </w:t>
      </w:r>
      <w:r>
        <w:rPr>
          <w:sz w:val="17"/>
        </w:rPr>
        <w:t>4,000 </w:t>
      </w:r>
      <w:r>
        <w:rPr>
          <w:sz w:val="18"/>
        </w:rPr>
        <w:t>per yea.r until it rea.ches 4,000 and then rema.ins </w:t>
      </w:r>
      <w:r>
        <w:rPr>
          <w:spacing w:val="44"/>
          <w:sz w:val="18"/>
        </w:rPr>
        <w:t> </w:t>
      </w:r>
      <w:r>
        <w:rPr>
          <w:sz w:val="18"/>
        </w:rPr>
        <w:t>constant.</w:t>
      </w:r>
    </w:p>
    <w:p>
      <w:pPr>
        <w:spacing w:line="154" w:lineRule="exact" w:before="5"/>
        <w:ind w:left="1723" w:right="0" w:firstLine="0"/>
        <w:jc w:val="left"/>
        <w:rPr>
          <w:i/>
          <w:sz w:val="17"/>
        </w:rPr>
      </w:pPr>
      <w:r>
        <w:rPr/>
        <w:pict>
          <v:shape style="position:absolute;margin-left:137.520004pt;margin-top:5.051814pt;width:5.45pt;height:11.5pt;mso-position-horizontal-relative:page;mso-position-vertical-relative:paragraph;z-index:-729016" type="#_x0000_t202" filled="false" stroked="false">
            <v:textbox inset="0,0,0,0">
              <w:txbxContent>
                <w:p>
                  <w:pPr>
                    <w:spacing w:line="230" w:lineRule="exact" w:before="0"/>
                    <w:ind w:left="0" w:right="0" w:firstLine="0"/>
                    <w:jc w:val="left"/>
                    <w:rPr>
                      <w:sz w:val="23"/>
                    </w:rPr>
                  </w:pPr>
                  <w:r>
                    <w:rPr>
                      <w:w w:val="83"/>
                      <w:sz w:val="23"/>
                    </w:rPr>
                    <w:t>=</w:t>
                  </w:r>
                </w:p>
              </w:txbxContent>
            </v:textbox>
            <w10:wrap type="none"/>
          </v:shape>
        </w:pict>
      </w:r>
      <w:r>
        <w:rPr>
          <w:i/>
          <w:w w:val="105"/>
          <w:sz w:val="17"/>
        </w:rPr>
        <w:t>dAr</w:t>
      </w:r>
    </w:p>
    <w:p>
      <w:pPr>
        <w:pStyle w:val="ListParagraph"/>
        <w:numPr>
          <w:ilvl w:val="1"/>
          <w:numId w:val="34"/>
        </w:numPr>
        <w:tabs>
          <w:tab w:pos="590" w:val="left" w:leader="none"/>
          <w:tab w:pos="2295" w:val="left" w:leader="none"/>
        </w:tabs>
        <w:spacing w:line="166" w:lineRule="exact" w:before="0" w:after="0"/>
        <w:ind w:left="589" w:right="0" w:hanging="303"/>
        <w:jc w:val="left"/>
        <w:rPr>
          <w:sz w:val="17"/>
        </w:rPr>
      </w:pPr>
      <w:r>
        <w:rPr/>
        <w:pict>
          <v:rect style="position:absolute;margin-left:122.940002pt;margin-top:6.341862pt;width:7.38pt;height:5.76pt;mso-position-horizontal-relative:page;mso-position-vertical-relative:paragraph;z-index:-729112" filled="true" fillcolor="#000000" stroked="false">
            <v:fill type="solid"/>
            <w10:wrap type="none"/>
          </v:rect>
        </w:pict>
      </w:r>
      <w:r>
        <w:rPr>
          <w:w w:val="105"/>
          <w:sz w:val="18"/>
        </w:rPr>
        <w:t>(a)  Show</w:t>
      </w:r>
      <w:r>
        <w:rPr>
          <w:spacing w:val="10"/>
          <w:w w:val="105"/>
          <w:sz w:val="18"/>
        </w:rPr>
        <w:t> </w:t>
      </w:r>
      <w:r>
        <w:rPr>
          <w:w w:val="105"/>
          <w:sz w:val="18"/>
        </w:rPr>
        <w:t>that </w:t>
      </w:r>
      <w:r>
        <w:rPr>
          <w:spacing w:val="39"/>
          <w:w w:val="105"/>
          <w:sz w:val="18"/>
        </w:rPr>
        <w:t> </w:t>
      </w:r>
      <w:r>
        <w:rPr>
          <w:i/>
          <w:w w:val="105"/>
          <w:sz w:val="18"/>
        </w:rPr>
        <w:t>di</w:t>
        <w:tab/>
        <w:t>-v( I </w:t>
      </w:r>
      <w:r>
        <w:rPr>
          <w:i/>
          <w:spacing w:val="7"/>
          <w:w w:val="105"/>
          <w:sz w:val="18"/>
        </w:rPr>
        <w:t>A)z </w:t>
      </w:r>
      <w:r>
        <w:rPr>
          <w:i/>
          <w:w w:val="110"/>
          <w:sz w:val="18"/>
        </w:rPr>
        <w:t>. </w:t>
      </w:r>
      <w:r>
        <w:rPr>
          <w:w w:val="105"/>
          <w:sz w:val="18"/>
        </w:rPr>
        <w:t>Hence suggest a method for</w:t>
      </w:r>
      <w:r>
        <w:rPr>
          <w:spacing w:val="-9"/>
          <w:w w:val="105"/>
          <w:sz w:val="18"/>
        </w:rPr>
        <w:t> </w:t>
      </w:r>
      <w:r>
        <w:rPr>
          <w:w w:val="105"/>
          <w:sz w:val="18"/>
        </w:rPr>
        <w:t>a.pprox-</w:t>
      </w:r>
    </w:p>
    <w:p>
      <w:pPr>
        <w:spacing w:line="203" w:lineRule="exact" w:before="110"/>
        <w:ind w:left="891" w:right="0" w:firstLine="0"/>
        <w:jc w:val="left"/>
        <w:rPr>
          <w:sz w:val="18"/>
        </w:rPr>
      </w:pPr>
      <w:r>
        <w:rPr>
          <w:w w:val="105"/>
          <w:sz w:val="18"/>
        </w:rPr>
        <w:t>imating </w:t>
      </w:r>
      <w:r>
        <w:rPr>
          <w:w w:val="105"/>
          <w:sz w:val="16"/>
        </w:rPr>
        <w:t>(JA )z </w:t>
      </w:r>
      <w:r>
        <w:rPr>
          <w:w w:val="105"/>
          <w:sz w:val="18"/>
        </w:rPr>
        <w:t>when </w:t>
      </w:r>
      <w:r>
        <w:rPr>
          <w:i/>
          <w:w w:val="105"/>
          <w:sz w:val="18"/>
        </w:rPr>
        <w:t>Az  </w:t>
      </w:r>
      <w:r>
        <w:rPr>
          <w:w w:val="105"/>
          <w:sz w:val="17"/>
        </w:rPr>
        <w:t>is </w:t>
      </w:r>
      <w:r>
        <w:rPr>
          <w:w w:val="105"/>
          <w:sz w:val="18"/>
        </w:rPr>
        <w:t>known at several rates of  interest.</w:t>
      </w:r>
    </w:p>
    <w:p>
      <w:pPr>
        <w:spacing w:line="353" w:lineRule="exact" w:before="0"/>
        <w:ind w:left="589" w:right="0" w:firstLine="0"/>
        <w:jc w:val="left"/>
        <w:rPr>
          <w:sz w:val="17"/>
        </w:rPr>
      </w:pPr>
      <w:r>
        <w:rPr/>
        <w:pict>
          <v:line style="position:absolute;mso-position-horizontal-relative:page;mso-position-vertical-relative:paragraph;z-index:6976" from="113.220001pt,18.301178pt" to="120.780001pt,18.301178pt" stroked="true" strokeweight="4.140pt" strokecolor="#000000">
            <w10:wrap type="none"/>
          </v:line>
        </w:pict>
      </w:r>
      <w:r>
        <w:rPr/>
        <w:pict>
          <v:shape style="position:absolute;margin-left:100.980003pt;margin-top:8.449115pt;width:20.1pt;height:9pt;mso-position-horizontal-relative:page;mso-position-vertical-relative:paragraph;z-index:-728992" type="#_x0000_t202" filled="false" stroked="false">
            <v:textbox inset="0,0,0,0">
              <w:txbxContent>
                <w:p>
                  <w:pPr>
                    <w:spacing w:line="180" w:lineRule="exact" w:before="0"/>
                    <w:ind w:left="0" w:right="-8" w:firstLine="0"/>
                    <w:jc w:val="left"/>
                    <w:rPr>
                      <w:i/>
                      <w:sz w:val="18"/>
                    </w:rPr>
                  </w:pPr>
                  <w:r>
                    <w:rPr>
                      <w:rFonts w:ascii="Arial"/>
                      <w:w w:val="110"/>
                      <w:sz w:val="11"/>
                    </w:rPr>
                    <w:t>18   </w:t>
                  </w:r>
                  <w:r>
                    <w:rPr>
                      <w:i/>
                      <w:w w:val="110"/>
                      <w:sz w:val="18"/>
                    </w:rPr>
                    <w:t>di</w:t>
                  </w:r>
                </w:p>
              </w:txbxContent>
            </v:textbox>
            <w10:wrap type="none"/>
          </v:shape>
        </w:pict>
      </w:r>
      <w:r>
        <w:rPr>
          <w:w w:val="110"/>
          <w:sz w:val="16"/>
        </w:rPr>
        <w:t>(b)  W</w:t>
      </w:r>
      <w:r>
        <w:rPr>
          <w:w w:val="110"/>
          <w:position w:val="2"/>
          <w:sz w:val="19"/>
        </w:rPr>
        <w:t>h</w:t>
      </w:r>
      <w:r>
        <w:rPr>
          <w:w w:val="110"/>
          <w:sz w:val="18"/>
        </w:rPr>
        <w:t>at </w:t>
      </w:r>
      <w:r>
        <w:rPr>
          <w:w w:val="110"/>
          <w:position w:val="14"/>
          <w:sz w:val="19"/>
        </w:rPr>
        <w:t>.  </w:t>
      </w:r>
      <w:r>
        <w:rPr>
          <w:b/>
          <w:w w:val="110"/>
          <w:position w:val="14"/>
          <w:sz w:val="15"/>
        </w:rPr>
        <w:t>d.Az </w:t>
      </w:r>
      <w:r>
        <w:rPr>
          <w:w w:val="110"/>
          <w:sz w:val="17"/>
        </w:rPr>
        <w:t>?</w:t>
      </w:r>
    </w:p>
    <w:p>
      <w:pPr>
        <w:pStyle w:val="ListParagraph"/>
        <w:numPr>
          <w:ilvl w:val="1"/>
          <w:numId w:val="34"/>
        </w:numPr>
        <w:tabs>
          <w:tab w:pos="572" w:val="left" w:leader="none"/>
        </w:tabs>
        <w:spacing w:line="188" w:lineRule="exact" w:before="95" w:after="0"/>
        <w:ind w:left="571" w:right="0" w:hanging="281"/>
        <w:jc w:val="left"/>
        <w:rPr>
          <w:sz w:val="18"/>
        </w:rPr>
      </w:pPr>
      <w:r>
        <w:rPr>
          <w:w w:val="105"/>
          <w:sz w:val="18"/>
        </w:rPr>
        <w:t>Show</w:t>
      </w:r>
      <w:r>
        <w:rPr>
          <w:spacing w:val="19"/>
          <w:w w:val="105"/>
          <w:sz w:val="18"/>
        </w:rPr>
        <w:t> </w:t>
      </w:r>
      <w:r>
        <w:rPr>
          <w:w w:val="105"/>
          <w:sz w:val="18"/>
        </w:rPr>
        <w:t>that</w:t>
      </w:r>
    </w:p>
    <w:p>
      <w:pPr>
        <w:spacing w:line="200" w:lineRule="exact" w:before="0"/>
        <w:ind w:left="455" w:right="0" w:firstLine="0"/>
        <w:jc w:val="left"/>
        <w:rPr>
          <w:b/>
          <w:sz w:val="15"/>
        </w:rPr>
      </w:pPr>
      <w:r>
        <w:rPr>
          <w:rFonts w:ascii="Arial"/>
          <w:b/>
          <w:w w:val="104"/>
          <w:sz w:val="16"/>
        </w:rPr>
        <w:t>(</w:t>
      </w:r>
      <w:r>
        <w:rPr>
          <w:rFonts w:ascii="Arial"/>
          <w:b/>
          <w:w w:val="104"/>
          <w:sz w:val="16"/>
        </w:rPr>
        <w:t>a</w:t>
      </w:r>
      <w:r>
        <w:rPr>
          <w:rFonts w:ascii="Arial"/>
          <w:b/>
          <w:w w:val="104"/>
          <w:sz w:val="16"/>
        </w:rPr>
        <w:t>)</w:t>
      </w:r>
      <w:r>
        <w:rPr>
          <w:rFonts w:ascii="Arial"/>
          <w:b/>
          <w:sz w:val="16"/>
        </w:rPr>
        <w:t>  </w:t>
      </w:r>
      <w:r>
        <w:rPr>
          <w:rFonts w:ascii="Arial"/>
          <w:b/>
          <w:spacing w:val="-22"/>
          <w:sz w:val="16"/>
        </w:rPr>
        <w:t> </w:t>
      </w:r>
      <w:r>
        <w:rPr>
          <w:b/>
          <w:w w:val="90"/>
          <w:sz w:val="15"/>
        </w:rPr>
        <w:t>(J.A</w:t>
      </w:r>
      <w:r>
        <w:rPr>
          <w:b/>
          <w:spacing w:val="-14"/>
          <w:sz w:val="15"/>
        </w:rPr>
        <w:t> </w:t>
      </w:r>
      <w:r>
        <w:rPr>
          <w:b/>
          <w:w w:val="103"/>
          <w:sz w:val="15"/>
        </w:rPr>
        <w:t>)</w:t>
      </w:r>
      <w:r>
        <w:rPr>
          <w:b/>
          <w:w w:val="103"/>
          <w:sz w:val="15"/>
        </w:rPr>
        <w:t>z</w:t>
      </w:r>
      <w:r>
        <w:rPr>
          <w:b/>
          <w:sz w:val="15"/>
        </w:rPr>
        <w:t> </w:t>
      </w:r>
      <w:r>
        <w:rPr>
          <w:b/>
          <w:spacing w:val="12"/>
          <w:sz w:val="15"/>
        </w:rPr>
        <w:t> </w:t>
      </w:r>
      <w:r>
        <w:rPr>
          <w:w w:val="88"/>
          <w:sz w:val="21"/>
        </w:rPr>
        <w:t>=</w:t>
      </w:r>
      <w:r>
        <w:rPr>
          <w:sz w:val="21"/>
        </w:rPr>
        <w:t> </w:t>
      </w:r>
      <w:r>
        <w:rPr>
          <w:spacing w:val="-24"/>
          <w:sz w:val="21"/>
        </w:rPr>
        <w:t> </w:t>
      </w:r>
      <w:r>
        <w:rPr>
          <w:b/>
          <w:w w:val="103"/>
          <w:sz w:val="15"/>
        </w:rPr>
        <w:t>4r</w:t>
      </w:r>
      <w:r>
        <w:rPr>
          <w:b/>
          <w:sz w:val="15"/>
        </w:rPr>
        <w:t> </w:t>
      </w:r>
      <w:r>
        <w:rPr>
          <w:b/>
          <w:spacing w:val="4"/>
          <w:sz w:val="15"/>
        </w:rPr>
        <w:t> </w:t>
      </w:r>
      <w:r>
        <w:rPr>
          <w:w w:val="310"/>
          <w:sz w:val="15"/>
        </w:rPr>
        <w:t>-</w:t>
      </w:r>
      <w:r>
        <w:rPr>
          <w:spacing w:val="12"/>
          <w:sz w:val="15"/>
        </w:rPr>
        <w:t> </w:t>
      </w:r>
      <w:r>
        <w:rPr>
          <w:b/>
          <w:spacing w:val="-42"/>
          <w:w w:val="262"/>
          <w:sz w:val="15"/>
        </w:rPr>
        <w:t>!</w:t>
      </w:r>
      <w:r>
        <w:rPr>
          <w:b/>
          <w:w w:val="116"/>
          <w:sz w:val="15"/>
        </w:rPr>
        <w:t>(</w:t>
      </w:r>
      <w:r>
        <w:rPr>
          <w:b/>
          <w:w w:val="116"/>
          <w:sz w:val="15"/>
        </w:rPr>
        <w:t>I4</w:t>
      </w:r>
      <w:r>
        <w:rPr>
          <w:b/>
          <w:w w:val="116"/>
          <w:sz w:val="15"/>
        </w:rPr>
        <w:t>)</w:t>
      </w:r>
      <w:r>
        <w:rPr>
          <w:b/>
          <w:w w:val="116"/>
          <w:sz w:val="15"/>
        </w:rPr>
        <w:t>z</w:t>
      </w:r>
    </w:p>
    <w:p>
      <w:pPr>
        <w:spacing w:line="230" w:lineRule="exact" w:before="0"/>
        <w:ind w:left="455" w:right="0" w:firstLine="0"/>
        <w:jc w:val="left"/>
        <w:rPr>
          <w:sz w:val="16"/>
        </w:rPr>
      </w:pPr>
      <w:r>
        <w:rPr>
          <w:rFonts w:ascii="Arial" w:hAnsi="Arial"/>
          <w:w w:val="109"/>
          <w:sz w:val="16"/>
        </w:rPr>
        <w:t>(</w:t>
      </w:r>
      <w:r>
        <w:rPr>
          <w:rFonts w:ascii="Arial" w:hAnsi="Arial"/>
          <w:w w:val="109"/>
          <w:sz w:val="16"/>
        </w:rPr>
        <w:t>b</w:t>
      </w:r>
      <w:r>
        <w:rPr>
          <w:rFonts w:ascii="Arial" w:hAnsi="Arial"/>
          <w:w w:val="109"/>
          <w:sz w:val="16"/>
        </w:rPr>
        <w:t>)</w:t>
      </w:r>
      <w:r>
        <w:rPr>
          <w:rFonts w:ascii="Arial" w:hAnsi="Arial"/>
          <w:sz w:val="16"/>
        </w:rPr>
        <w:t> </w:t>
      </w:r>
      <w:r>
        <w:rPr>
          <w:rFonts w:ascii="Arial" w:hAnsi="Arial"/>
          <w:spacing w:val="9"/>
          <w:sz w:val="16"/>
        </w:rPr>
        <w:t> </w:t>
      </w:r>
      <w:r>
        <w:rPr>
          <w:spacing w:val="-11"/>
          <w:w w:val="114"/>
          <w:sz w:val="16"/>
        </w:rPr>
        <w:t>(</w:t>
      </w:r>
      <w:r>
        <w:rPr>
          <w:spacing w:val="-74"/>
          <w:w w:val="196"/>
          <w:sz w:val="16"/>
        </w:rPr>
        <w:t>1</w:t>
      </w:r>
      <w:r>
        <w:rPr>
          <w:w w:val="78"/>
          <w:sz w:val="16"/>
        </w:rPr>
        <w:t>.A</w:t>
      </w:r>
      <w:r>
        <w:rPr>
          <w:spacing w:val="-23"/>
          <w:sz w:val="16"/>
        </w:rPr>
        <w:t> </w:t>
      </w:r>
      <w:r>
        <w:rPr>
          <w:w w:val="97"/>
          <w:sz w:val="16"/>
        </w:rPr>
        <w:t>)</w:t>
      </w:r>
      <w:r>
        <w:rPr>
          <w:w w:val="97"/>
          <w:sz w:val="16"/>
        </w:rPr>
        <w:t>z</w:t>
      </w:r>
      <w:r>
        <w:rPr>
          <w:sz w:val="16"/>
        </w:rPr>
        <w:t> </w:t>
      </w:r>
      <w:r>
        <w:rPr>
          <w:spacing w:val="3"/>
          <w:sz w:val="16"/>
        </w:rPr>
        <w:t> </w:t>
      </w:r>
      <w:r>
        <w:rPr>
          <w:w w:val="92"/>
          <w:sz w:val="21"/>
        </w:rPr>
        <w:t>=</w:t>
      </w:r>
      <w:r>
        <w:rPr>
          <w:sz w:val="21"/>
        </w:rPr>
        <w:t> </w:t>
      </w:r>
      <w:r>
        <w:rPr>
          <w:spacing w:val="-17"/>
          <w:sz w:val="21"/>
        </w:rPr>
        <w:t> </w:t>
      </w:r>
      <w:r>
        <w:rPr>
          <w:rFonts w:ascii="Arial" w:hAnsi="Arial"/>
          <w:i/>
          <w:w w:val="62"/>
          <w:sz w:val="22"/>
        </w:rPr>
        <w:t>as</w:t>
      </w:r>
      <w:r>
        <w:rPr>
          <w:rFonts w:ascii="Arial" w:hAnsi="Arial"/>
          <w:i/>
          <w:spacing w:val="22"/>
          <w:sz w:val="22"/>
        </w:rPr>
        <w:t> </w:t>
      </w:r>
      <w:r>
        <w:rPr>
          <w:rFonts w:ascii="Arial" w:hAnsi="Arial"/>
          <w:w w:val="190"/>
          <w:sz w:val="22"/>
        </w:rPr>
        <w:t>-</w:t>
      </w:r>
      <w:r>
        <w:rPr>
          <w:rFonts w:ascii="Arial" w:hAnsi="Arial"/>
          <w:spacing w:val="4"/>
          <w:sz w:val="22"/>
        </w:rPr>
        <w:t> </w:t>
      </w:r>
      <w:r>
        <w:rPr>
          <w:w w:val="119"/>
          <w:sz w:val="16"/>
        </w:rPr>
        <w:t>a</w:t>
      </w:r>
      <w:r>
        <w:rPr>
          <w:w w:val="119"/>
          <w:sz w:val="16"/>
        </w:rPr>
        <w:t>(</w:t>
      </w:r>
      <w:r>
        <w:rPr>
          <w:w w:val="119"/>
          <w:sz w:val="16"/>
        </w:rPr>
        <w:t>lá</w:t>
      </w:r>
      <w:r>
        <w:rPr>
          <w:w w:val="119"/>
          <w:sz w:val="16"/>
        </w:rPr>
        <w:t>)</w:t>
      </w:r>
      <w:r>
        <w:rPr>
          <w:w w:val="119"/>
          <w:sz w:val="16"/>
        </w:rPr>
        <w:t>z</w:t>
      </w:r>
    </w:p>
    <w:p>
      <w:pPr>
        <w:pStyle w:val="ListParagraph"/>
        <w:numPr>
          <w:ilvl w:val="1"/>
          <w:numId w:val="34"/>
        </w:numPr>
        <w:tabs>
          <w:tab w:pos="572" w:val="left" w:leader="none"/>
        </w:tabs>
        <w:spacing w:line="240" w:lineRule="auto" w:before="141" w:after="0"/>
        <w:ind w:left="571" w:right="0" w:hanging="285"/>
        <w:jc w:val="left"/>
        <w:rPr>
          <w:sz w:val="18"/>
        </w:rPr>
      </w:pPr>
      <w:r>
        <w:rPr>
          <w:w w:val="110"/>
          <w:sz w:val="18"/>
        </w:rPr>
        <w:t>Show</w:t>
      </w:r>
      <w:r>
        <w:rPr>
          <w:spacing w:val="-12"/>
          <w:w w:val="110"/>
          <w:sz w:val="18"/>
        </w:rPr>
        <w:t> </w:t>
      </w:r>
      <w:r>
        <w:rPr>
          <w:w w:val="110"/>
          <w:sz w:val="18"/>
        </w:rPr>
        <w:t>that</w:t>
      </w:r>
    </w:p>
    <w:p>
      <w:pPr>
        <w:spacing w:line="516" w:lineRule="exact" w:before="9"/>
        <w:ind w:left="452" w:right="0" w:firstLine="0"/>
        <w:jc w:val="left"/>
        <w:rPr>
          <w:b/>
          <w:i/>
          <w:sz w:val="17"/>
        </w:rPr>
      </w:pPr>
      <w:r>
        <w:rPr/>
        <w:pict>
          <v:rect style="position:absolute;margin-left:101.519997pt;margin-top:22.889452pt;width:9.720pt;height:5.94pt;mso-position-horizontal-relative:page;mso-position-vertical-relative:paragraph;z-index:-729064" filled="true" fillcolor="#000000" stroked="false">
            <v:fill type="solid"/>
            <w10:wrap type="none"/>
          </v:rect>
        </w:pict>
      </w:r>
      <w:r>
        <w:rPr>
          <w:b/>
          <w:w w:val="100"/>
          <w:sz w:val="17"/>
        </w:rPr>
        <w:t>(a)</w:t>
      </w:r>
      <w:r>
        <w:rPr>
          <w:b/>
          <w:sz w:val="17"/>
        </w:rPr>
        <w:t> </w:t>
      </w:r>
      <w:r>
        <w:rPr>
          <w:b/>
          <w:spacing w:val="6"/>
          <w:sz w:val="17"/>
        </w:rPr>
        <w:t> </w:t>
      </w:r>
      <w:r>
        <w:rPr>
          <w:b/>
          <w:w w:val="112"/>
          <w:sz w:val="17"/>
        </w:rPr>
        <w:t>(</w:t>
      </w:r>
      <w:r>
        <w:rPr>
          <w:b/>
          <w:spacing w:val="-24"/>
          <w:w w:val="112"/>
          <w:sz w:val="17"/>
        </w:rPr>
        <w:t>1</w:t>
      </w:r>
      <w:r>
        <w:rPr>
          <w:b/>
          <w:w w:val="93"/>
          <w:sz w:val="17"/>
        </w:rPr>
        <w:t>4)</w:t>
      </w:r>
      <w:r>
        <w:rPr>
          <w:b/>
          <w:spacing w:val="-23"/>
          <w:w w:val="93"/>
          <w:sz w:val="17"/>
        </w:rPr>
        <w:t>;</w:t>
      </w:r>
      <w:r>
        <w:rPr>
          <w:b/>
          <w:w w:val="135"/>
          <w:sz w:val="17"/>
        </w:rPr>
        <w:t>,</w:t>
      </w:r>
      <w:r>
        <w:rPr>
          <w:b/>
          <w:sz w:val="17"/>
        </w:rPr>
        <w:t> </w:t>
      </w:r>
      <w:r>
        <w:rPr>
          <w:b/>
          <w:spacing w:val="-13"/>
          <w:sz w:val="17"/>
        </w:rPr>
        <w:t> </w:t>
      </w:r>
      <w:r>
        <w:rPr>
          <w:w w:val="86"/>
          <w:sz w:val="23"/>
        </w:rPr>
        <w:t>=</w:t>
      </w:r>
      <w:r>
        <w:rPr>
          <w:spacing w:val="27"/>
          <w:sz w:val="23"/>
        </w:rPr>
        <w:t> </w:t>
      </w:r>
      <w:r>
        <w:rPr>
          <w:b/>
          <w:spacing w:val="-56"/>
          <w:w w:val="87"/>
          <w:sz w:val="19"/>
        </w:rPr>
        <w:t>D</w:t>
      </w:r>
      <w:r>
        <w:rPr>
          <w:spacing w:val="-60"/>
          <w:w w:val="128"/>
          <w:position w:val="1"/>
          <w:sz w:val="18"/>
        </w:rPr>
        <w:t>1</w:t>
      </w:r>
      <w:r>
        <w:rPr>
          <w:b/>
          <w:w w:val="87"/>
          <w:sz w:val="19"/>
        </w:rPr>
        <w:t>z</w:t>
      </w:r>
      <w:r>
        <w:rPr>
          <w:b/>
          <w:spacing w:val="20"/>
          <w:sz w:val="19"/>
        </w:rPr>
        <w:t> </w:t>
      </w:r>
      <w:r>
        <w:rPr>
          <w:i/>
          <w:spacing w:val="-35"/>
          <w:w w:val="82"/>
          <w:position w:val="1"/>
          <w:sz w:val="47"/>
        </w:rPr>
        <w:t>1</w:t>
      </w:r>
      <w:r>
        <w:rPr>
          <w:i/>
          <w:w w:val="38"/>
          <w:position w:val="1"/>
          <w:sz w:val="47"/>
        </w:rPr>
        <w:t>'°</w:t>
      </w:r>
      <w:r>
        <w:rPr>
          <w:i/>
          <w:spacing w:val="-79"/>
          <w:position w:val="1"/>
          <w:sz w:val="47"/>
        </w:rPr>
        <w:t> </w:t>
      </w:r>
      <w:r>
        <w:rPr>
          <w:b/>
          <w:i/>
          <w:w w:val="106"/>
          <w:sz w:val="14"/>
        </w:rPr>
        <w:t>Ñz+I</w:t>
      </w:r>
      <w:r>
        <w:rPr>
          <w:b/>
          <w:i/>
          <w:sz w:val="14"/>
        </w:rPr>
        <w:t> </w:t>
      </w:r>
      <w:r>
        <w:rPr>
          <w:b/>
          <w:i/>
          <w:spacing w:val="16"/>
          <w:sz w:val="14"/>
        </w:rPr>
        <w:t> </w:t>
      </w:r>
      <w:r>
        <w:rPr>
          <w:b/>
          <w:i/>
          <w:w w:val="104"/>
          <w:sz w:val="17"/>
        </w:rPr>
        <w:t>dt</w:t>
      </w:r>
    </w:p>
    <w:p>
      <w:pPr>
        <w:spacing w:line="113" w:lineRule="exact" w:before="0"/>
        <w:ind w:left="0" w:right="2484" w:firstLine="0"/>
        <w:jc w:val="center"/>
        <w:rPr>
          <w:rFonts w:ascii="Arial"/>
          <w:sz w:val="12"/>
        </w:rPr>
      </w:pPr>
      <w:r>
        <w:rPr>
          <w:rFonts w:ascii="Arial"/>
          <w:w w:val="71"/>
          <w:sz w:val="12"/>
        </w:rPr>
        <w:t>O</w:t>
      </w:r>
    </w:p>
    <w:p>
      <w:pPr>
        <w:pStyle w:val="BodyText"/>
        <w:spacing w:before="4"/>
        <w:rPr>
          <w:rFonts w:ascii="Arial"/>
          <w:sz w:val="11"/>
        </w:rPr>
      </w:pPr>
    </w:p>
    <w:p>
      <w:pPr>
        <w:spacing w:line="185" w:lineRule="exact" w:before="1"/>
        <w:ind w:left="98" w:right="2672" w:firstLine="0"/>
        <w:jc w:val="center"/>
        <w:rPr>
          <w:i/>
          <w:sz w:val="21"/>
        </w:rPr>
      </w:pPr>
      <w:r>
        <w:rPr>
          <w:w w:val="105"/>
          <w:sz w:val="18"/>
        </w:rPr>
        <w:t>1  </w:t>
      </w:r>
      <w:r>
        <w:rPr>
          <w:i/>
          <w:w w:val="105"/>
          <w:sz w:val="21"/>
        </w:rPr>
        <w:t>("°</w:t>
      </w:r>
    </w:p>
    <w:p>
      <w:pPr>
        <w:spacing w:line="208" w:lineRule="exact" w:before="0"/>
        <w:ind w:left="448" w:right="0" w:firstLine="0"/>
        <w:jc w:val="left"/>
        <w:rPr>
          <w:i/>
          <w:sz w:val="17"/>
        </w:rPr>
      </w:pPr>
      <w:r>
        <w:rPr/>
        <w:pict>
          <v:rect style="position:absolute;margin-left:104.040001pt;margin-top:7.922535pt;width:9.540pt;height:5.04pt;mso-position-horizontal-relative:page;mso-position-vertical-relative:paragraph;z-index:-729040" filled="true" fillcolor="#000000" stroked="false">
            <v:fill type="solid"/>
            <w10:wrap type="none"/>
          </v:rect>
        </w:pict>
      </w:r>
      <w:r>
        <w:rPr>
          <w:sz w:val="17"/>
        </w:rPr>
        <w:t>(b) </w:t>
      </w:r>
      <w:r>
        <w:rPr>
          <w:b/>
          <w:sz w:val="19"/>
        </w:rPr>
        <w:t>(li.)z </w:t>
      </w:r>
      <w:r>
        <w:rPr>
          <w:sz w:val="23"/>
        </w:rPr>
        <w:t>= </w:t>
      </w:r>
      <w:r>
        <w:rPr>
          <w:b/>
          <w:i/>
          <w:sz w:val="18"/>
        </w:rPr>
        <w:t>Dz </w:t>
      </w:r>
      <w:r>
        <w:rPr>
          <w:b/>
          <w:w w:val="90"/>
          <w:sz w:val="23"/>
        </w:rPr>
        <w:t>JO </w:t>
      </w:r>
      <w:r>
        <w:rPr>
          <w:i/>
          <w:sz w:val="22"/>
        </w:rPr>
        <w:t>M </w:t>
      </w:r>
      <w:r>
        <w:rPr>
          <w:i/>
          <w:w w:val="90"/>
          <w:sz w:val="22"/>
        </w:rPr>
        <w:t>s+, </w:t>
      </w:r>
      <w:r>
        <w:rPr>
          <w:i/>
          <w:sz w:val="17"/>
        </w:rPr>
        <w:t>dl</w:t>
      </w:r>
    </w:p>
    <w:p>
      <w:pPr>
        <w:pStyle w:val="BodyText"/>
        <w:spacing w:before="8"/>
        <w:rPr>
          <w:i/>
          <w:sz w:val="28"/>
        </w:rPr>
      </w:pPr>
    </w:p>
    <w:p>
      <w:pPr>
        <w:pStyle w:val="ListParagraph"/>
        <w:numPr>
          <w:ilvl w:val="0"/>
          <w:numId w:val="35"/>
        </w:numPr>
        <w:tabs>
          <w:tab w:pos="323" w:val="left" w:leader="none"/>
        </w:tabs>
        <w:spacing w:line="240" w:lineRule="auto" w:before="0" w:after="0"/>
        <w:ind w:left="322" w:right="0" w:hanging="205"/>
        <w:jc w:val="left"/>
        <w:rPr>
          <w:b/>
          <w:sz w:val="16"/>
        </w:rPr>
      </w:pPr>
      <w:r>
        <w:rPr>
          <w:b/>
          <w:w w:val="125"/>
          <w:sz w:val="16"/>
        </w:rPr>
        <w:t>Surnmary of</w:t>
      </w:r>
      <w:r>
        <w:rPr>
          <w:b/>
          <w:spacing w:val="-12"/>
          <w:w w:val="125"/>
          <w:sz w:val="16"/>
        </w:rPr>
        <w:t> </w:t>
      </w:r>
      <w:r>
        <w:rPr>
          <w:b/>
          <w:spacing w:val="2"/>
          <w:w w:val="125"/>
          <w:sz w:val="16"/>
        </w:rPr>
        <w:t>notation</w:t>
      </w:r>
    </w:p>
    <w:p>
      <w:pPr>
        <w:pStyle w:val="ListParagraph"/>
        <w:numPr>
          <w:ilvl w:val="1"/>
          <w:numId w:val="35"/>
        </w:numPr>
        <w:tabs>
          <w:tab w:pos="568" w:val="left" w:leader="none"/>
          <w:tab w:pos="5290" w:val="left" w:leader="none"/>
        </w:tabs>
        <w:spacing w:line="198" w:lineRule="exact" w:before="87" w:after="0"/>
        <w:ind w:left="117" w:right="110" w:firstLine="173"/>
        <w:jc w:val="both"/>
        <w:rPr>
          <w:sz w:val="18"/>
        </w:rPr>
      </w:pPr>
      <w:r>
        <w:rPr>
          <w:w w:val="105"/>
          <w:sz w:val="18"/>
        </w:rPr>
        <w:t>Write the definitions of </w:t>
      </w:r>
      <w:r>
        <w:rPr>
          <w:rFonts w:ascii="Arial" w:hAnsi="Arial"/>
          <w:i/>
          <w:w w:val="105"/>
          <w:sz w:val="17"/>
        </w:rPr>
        <w:t>C </w:t>
      </w:r>
      <w:r>
        <w:rPr>
          <w:w w:val="105"/>
          <w:sz w:val="18"/>
        </w:rPr>
        <w:t>and </w:t>
      </w:r>
      <w:r>
        <w:rPr>
          <w:rFonts w:ascii="Arial" w:hAnsi="Arial"/>
          <w:i/>
          <w:w w:val="105"/>
          <w:sz w:val="17"/>
        </w:rPr>
        <w:t>M </w:t>
      </w:r>
      <w:r>
        <w:rPr>
          <w:w w:val="105"/>
          <w:sz w:val="18"/>
        </w:rPr>
        <w:t>for a mortality ta.ble with a 5-year select</w:t>
      </w:r>
      <w:r>
        <w:rPr>
          <w:spacing w:val="18"/>
          <w:w w:val="105"/>
          <w:sz w:val="18"/>
        </w:rPr>
        <w:t> </w:t>
      </w:r>
      <w:r>
        <w:rPr>
          <w:w w:val="105"/>
          <w:sz w:val="18"/>
        </w:rPr>
        <w:t>period.</w:t>
        <w:tab/>
        <w:t>·</w:t>
      </w:r>
    </w:p>
    <w:p>
      <w:pPr>
        <w:pStyle w:val="ListParagraph"/>
        <w:numPr>
          <w:ilvl w:val="1"/>
          <w:numId w:val="35"/>
        </w:numPr>
        <w:tabs>
          <w:tab w:pos="572" w:val="left" w:leader="none"/>
        </w:tabs>
        <w:spacing w:line="202" w:lineRule="exact" w:before="4" w:after="0"/>
        <w:ind w:left="114" w:right="106" w:firstLine="176"/>
        <w:jc w:val="both"/>
        <w:rPr>
          <w:sz w:val="18"/>
        </w:rPr>
      </w:pPr>
      <w:r>
        <w:rPr>
          <w:sz w:val="18"/>
        </w:rPr>
        <w:t>Describe the functions denoted by the following symbols and give formulas for their evaluation in tenns of commuta.tion f unctions,  using standard  approxima.tions   where </w:t>
      </w:r>
      <w:r>
        <w:rPr>
          <w:spacing w:val="18"/>
          <w:sz w:val="18"/>
        </w:rPr>
        <w:t> </w:t>
      </w:r>
      <w:r>
        <w:rPr>
          <w:sz w:val="18"/>
        </w:rPr>
        <w:t>needed:</w:t>
      </w:r>
    </w:p>
    <w:p>
      <w:pPr>
        <w:pStyle w:val="BodyText"/>
        <w:spacing w:before="10"/>
        <w:rPr>
          <w:sz w:val="14"/>
        </w:rPr>
      </w:pPr>
    </w:p>
    <w:p>
      <w:pPr>
        <w:pStyle w:val="ListParagraph"/>
        <w:numPr>
          <w:ilvl w:val="2"/>
          <w:numId w:val="35"/>
        </w:numPr>
        <w:tabs>
          <w:tab w:pos="748" w:val="left" w:leader="none"/>
        </w:tabs>
        <w:spacing w:line="240" w:lineRule="auto" w:before="0" w:after="0"/>
        <w:ind w:left="747" w:right="0" w:hanging="291"/>
        <w:jc w:val="left"/>
        <w:rPr>
          <w:b/>
          <w:sz w:val="17"/>
        </w:rPr>
      </w:pPr>
      <w:r>
        <w:rPr>
          <w:b/>
          <w:w w:val="85"/>
          <w:sz w:val="17"/>
        </w:rPr>
        <w:t>.Aao:iil</w:t>
      </w:r>
    </w:p>
    <w:p>
      <w:pPr>
        <w:pStyle w:val="BodyText"/>
        <w:spacing w:before="5"/>
        <w:rPr>
          <w:b/>
          <w:sz w:val="14"/>
        </w:rPr>
      </w:pPr>
    </w:p>
    <w:p>
      <w:pPr>
        <w:spacing w:line="432" w:lineRule="auto" w:before="0"/>
        <w:ind w:left="459" w:right="4538" w:hanging="4"/>
        <w:jc w:val="left"/>
        <w:rPr>
          <w:sz w:val="18"/>
        </w:rPr>
      </w:pPr>
      <w:r>
        <w:rPr>
          <w:sz w:val="16"/>
        </w:rPr>
        <w:t>(b) (DA):o:iil </w:t>
      </w:r>
      <w:r>
        <w:rPr>
          <w:w w:val="90"/>
          <w:sz w:val="16"/>
        </w:rPr>
        <w:t>(e) </w:t>
      </w:r>
      <w:r>
        <w:rPr>
          <w:w w:val="90"/>
          <w:sz w:val="18"/>
        </w:rPr>
        <w:t>(I&lt;•&gt;A)40</w:t>
      </w:r>
    </w:p>
    <w:p>
      <w:pPr>
        <w:spacing w:line="201" w:lineRule="exact" w:before="0"/>
        <w:ind w:left="459" w:right="0" w:firstLine="0"/>
        <w:jc w:val="left"/>
        <w:rPr>
          <w:i/>
          <w:sz w:val="18"/>
        </w:rPr>
      </w:pPr>
      <w:r>
        <w:rPr>
          <w:w w:val="110"/>
          <w:sz w:val="16"/>
        </w:rPr>
        <w:t>(d) </w:t>
      </w:r>
      <w:r>
        <w:rPr>
          <w:i/>
          <w:w w:val="110"/>
          <w:sz w:val="18"/>
        </w:rPr>
        <w:t>(IA)a</w:t>
      </w:r>
    </w:p>
    <w:p>
      <w:pPr>
        <w:pStyle w:val="BodyText"/>
        <w:spacing w:before="4"/>
        <w:rPr>
          <w:i/>
          <w:sz w:val="14"/>
        </w:rPr>
      </w:pPr>
    </w:p>
    <w:p>
      <w:pPr>
        <w:pStyle w:val="ListParagraph"/>
        <w:numPr>
          <w:ilvl w:val="1"/>
          <w:numId w:val="35"/>
        </w:numPr>
        <w:tabs>
          <w:tab w:pos="579" w:val="left" w:leader="none"/>
        </w:tabs>
        <w:spacing w:line="232" w:lineRule="auto" w:before="0" w:after="0"/>
        <w:ind w:left="124" w:right="114" w:firstLine="166"/>
        <w:jc w:val="both"/>
        <w:rPr>
          <w:sz w:val="18"/>
        </w:rPr>
      </w:pPr>
      <w:r>
        <w:rPr>
          <w:w w:val="105"/>
          <w:sz w:val="18"/>
        </w:rPr>
        <w:t>The following symbols </w:t>
      </w:r>
      <w:r>
        <w:rPr>
          <w:b/>
          <w:w w:val="105"/>
          <w:sz w:val="17"/>
        </w:rPr>
        <w:t>have </w:t>
      </w:r>
      <w:r>
        <w:rPr>
          <w:w w:val="105"/>
          <w:sz w:val="18"/>
        </w:rPr>
        <w:t>not been specifically defined in the text. </w:t>
      </w:r>
      <w:r>
        <w:rPr>
          <w:b/>
          <w:w w:val="105"/>
          <w:sz w:val="17"/>
        </w:rPr>
        <w:t>Assign </w:t>
      </w:r>
      <w:r>
        <w:rPr>
          <w:w w:val="105"/>
          <w:sz w:val="18"/>
        </w:rPr>
        <w:t>meanings to these symbols in accordance with the principles of the International  Notation,  and derive pra.ctical  formulas for their</w:t>
      </w:r>
      <w:r>
        <w:rPr>
          <w:spacing w:val="19"/>
          <w:w w:val="105"/>
          <w:sz w:val="18"/>
        </w:rPr>
        <w:t> </w:t>
      </w:r>
      <w:r>
        <w:rPr>
          <w:w w:val="105"/>
          <w:sz w:val="18"/>
        </w:rPr>
        <w:t>evaluation:</w:t>
      </w:r>
    </w:p>
    <w:p>
      <w:pPr>
        <w:pStyle w:val="BodyText"/>
        <w:spacing w:before="10"/>
        <w:rPr>
          <w:sz w:val="15"/>
        </w:rPr>
      </w:pPr>
    </w:p>
    <w:p>
      <w:pPr>
        <w:spacing w:before="0"/>
        <w:ind w:left="459" w:right="0" w:firstLine="0"/>
        <w:jc w:val="left"/>
        <w:rPr>
          <w:sz w:val="15"/>
        </w:rPr>
      </w:pPr>
      <w:r>
        <w:rPr>
          <w:rFonts w:ascii="Arial" w:hAnsi="Arial"/>
          <w:w w:val="105"/>
          <w:sz w:val="16"/>
        </w:rPr>
        <w:t>(a) </w:t>
      </w:r>
      <w:r>
        <w:rPr>
          <w:w w:val="105"/>
          <w:sz w:val="15"/>
        </w:rPr>
        <w:t>101¡.4•</w:t>
      </w:r>
    </w:p>
    <w:p>
      <w:pPr>
        <w:pStyle w:val="BodyText"/>
        <w:spacing w:before="11"/>
        <w:rPr>
          <w:sz w:val="12"/>
        </w:rPr>
      </w:pPr>
    </w:p>
    <w:p>
      <w:pPr>
        <w:spacing w:before="0"/>
        <w:ind w:left="463" w:right="0" w:firstLine="0"/>
        <w:jc w:val="left"/>
        <w:rPr>
          <w:sz w:val="17"/>
        </w:rPr>
      </w:pPr>
      <w:r>
        <w:rPr>
          <w:w w:val="105"/>
          <w:sz w:val="17"/>
        </w:rPr>
        <w:t>(b) (liJA)!o,iiJ</w:t>
      </w:r>
    </w:p>
    <w:p>
      <w:pPr>
        <w:pStyle w:val="BodyText"/>
        <w:spacing w:before="4"/>
        <w:rPr>
          <w:sz w:val="13"/>
        </w:rPr>
      </w:pPr>
    </w:p>
    <w:p>
      <w:pPr>
        <w:spacing w:before="0"/>
        <w:ind w:left="463" w:right="0" w:firstLine="0"/>
        <w:jc w:val="left"/>
        <w:rPr>
          <w:sz w:val="16"/>
        </w:rPr>
      </w:pPr>
      <w:r>
        <w:rPr>
          <w:w w:val="110"/>
          <w:sz w:val="17"/>
        </w:rPr>
        <w:t>(e)  </w:t>
      </w:r>
      <w:r>
        <w:rPr>
          <w:w w:val="110"/>
          <w:sz w:val="16"/>
        </w:rPr>
        <w:t>(IA)!;;J</w:t>
      </w:r>
    </w:p>
    <w:p>
      <w:pPr>
        <w:pStyle w:val="BodyText"/>
        <w:spacing w:before="2"/>
        <w:rPr>
          <w:sz w:val="13"/>
        </w:rPr>
      </w:pPr>
    </w:p>
    <w:p>
      <w:pPr>
        <w:spacing w:before="0"/>
        <w:ind w:left="459" w:right="0" w:firstLine="0"/>
        <w:jc w:val="left"/>
        <w:rPr>
          <w:i/>
          <w:sz w:val="18"/>
        </w:rPr>
      </w:pPr>
      <w:r>
        <w:rPr>
          <w:rFonts w:ascii="Arial"/>
          <w:w w:val="110"/>
          <w:sz w:val="16"/>
        </w:rPr>
        <w:t>(d)  </w:t>
      </w:r>
      <w:r>
        <w:rPr>
          <w:i/>
          <w:w w:val="110"/>
          <w:sz w:val="18"/>
        </w:rPr>
        <w:t>(IA)o</w:t>
      </w:r>
    </w:p>
    <w:p>
      <w:pPr>
        <w:spacing w:after="0"/>
        <w:jc w:val="left"/>
        <w:rPr>
          <w:sz w:val="18"/>
        </w:rPr>
        <w:sectPr>
          <w:pgSz w:w="7200" w:h="11340"/>
          <w:pgMar w:top="500" w:bottom="280" w:left="660" w:right="540"/>
        </w:sectPr>
      </w:pPr>
    </w:p>
    <w:p>
      <w:pPr>
        <w:tabs>
          <w:tab w:pos="2306" w:val="left" w:leader="none"/>
          <w:tab w:pos="5388" w:val="left" w:leader="none"/>
        </w:tabs>
        <w:spacing w:before="64"/>
        <w:ind w:left="132" w:right="0" w:firstLine="0"/>
        <w:jc w:val="left"/>
        <w:rPr>
          <w:rFonts w:ascii="Arial"/>
          <w:sz w:val="20"/>
        </w:rPr>
      </w:pPr>
      <w:r>
        <w:rPr>
          <w:rFonts w:ascii="Arial"/>
          <w:color w:val="010101"/>
          <w:w w:val="105"/>
          <w:sz w:val="19"/>
        </w:rPr>
        <w:t>80</w:t>
        <w:tab/>
      </w:r>
      <w:r>
        <w:rPr>
          <w:color w:val="010101"/>
          <w:w w:val="105"/>
          <w:sz w:val="15"/>
        </w:rPr>
        <w:t>LIFE  </w:t>
      </w:r>
      <w:r>
        <w:rPr>
          <w:color w:val="010101"/>
          <w:spacing w:val="10"/>
          <w:w w:val="105"/>
          <w:sz w:val="15"/>
        </w:rPr>
        <w:t> </w:t>
      </w:r>
      <w:r>
        <w:rPr>
          <w:color w:val="010101"/>
          <w:w w:val="105"/>
          <w:sz w:val="15"/>
        </w:rPr>
        <w:t>INSURANCE</w:t>
        <w:tab/>
      </w:r>
      <w:r>
        <w:rPr>
          <w:color w:val="010101"/>
          <w:w w:val="95"/>
          <w:sz w:val="20"/>
        </w:rPr>
        <w:t>[CH.</w:t>
      </w:r>
      <w:r>
        <w:rPr>
          <w:color w:val="010101"/>
          <w:spacing w:val="-24"/>
          <w:w w:val="95"/>
          <w:sz w:val="20"/>
        </w:rPr>
        <w:t> </w:t>
      </w:r>
      <w:r>
        <w:rPr>
          <w:rFonts w:ascii="Arial"/>
          <w:color w:val="010101"/>
          <w:w w:val="95"/>
          <w:sz w:val="20"/>
        </w:rPr>
        <w:t>3</w:t>
      </w:r>
    </w:p>
    <w:p>
      <w:pPr>
        <w:pStyle w:val="BodyText"/>
        <w:spacing w:before="2"/>
        <w:rPr>
          <w:rFonts w:ascii="Arial"/>
          <w:sz w:val="21"/>
        </w:rPr>
      </w:pPr>
    </w:p>
    <w:p>
      <w:pPr>
        <w:spacing w:before="0"/>
        <w:ind w:left="140" w:right="0" w:firstLine="0"/>
        <w:jc w:val="left"/>
        <w:rPr>
          <w:b/>
          <w:sz w:val="17"/>
        </w:rPr>
      </w:pPr>
      <w:r>
        <w:rPr>
          <w:b/>
          <w:color w:val="010101"/>
          <w:w w:val="110"/>
          <w:sz w:val="17"/>
        </w:rPr>
        <w:t>Miaeellaneoua  prol,leme</w:t>
      </w:r>
    </w:p>
    <w:p>
      <w:pPr>
        <w:pStyle w:val="ListParagraph"/>
        <w:numPr>
          <w:ilvl w:val="1"/>
          <w:numId w:val="35"/>
        </w:numPr>
        <w:tabs>
          <w:tab w:pos="603" w:val="left" w:leader="none"/>
          <w:tab w:pos="5879" w:val="left" w:leader="none"/>
        </w:tabs>
        <w:spacing w:line="225" w:lineRule="auto" w:before="82" w:after="0"/>
        <w:ind w:left="896" w:right="104" w:hanging="599"/>
        <w:jc w:val="both"/>
        <w:rPr>
          <w:color w:val="010101"/>
          <w:sz w:val="18"/>
        </w:rPr>
      </w:pPr>
      <w:r>
        <w:rPr>
          <w:color w:val="010101"/>
          <w:sz w:val="18"/>
        </w:rPr>
        <w:t>(a) Determine whether or not a constant increaae in  the  force  oí mortality has the same effect on </w:t>
      </w:r>
      <w:r>
        <w:rPr>
          <w:i/>
          <w:color w:val="010101"/>
          <w:sz w:val="18"/>
        </w:rPr>
        <w:t>.Aa </w:t>
      </w:r>
      <w:r>
        <w:rPr>
          <w:color w:val="010101"/>
          <w:sz w:val="18"/>
        </w:rPr>
        <w:t>as the same increase in  the  force</w:t>
      </w:r>
      <w:r>
        <w:rPr>
          <w:color w:val="010101"/>
          <w:spacing w:val="30"/>
          <w:sz w:val="18"/>
        </w:rPr>
        <w:t> </w:t>
      </w:r>
      <w:r>
        <w:rPr>
          <w:color w:val="010101"/>
          <w:sz w:val="18"/>
        </w:rPr>
        <w:t>of </w:t>
      </w:r>
      <w:r>
        <w:rPr>
          <w:color w:val="010101"/>
          <w:spacing w:val="4"/>
          <w:sz w:val="18"/>
        </w:rPr>
        <w:t> </w:t>
      </w:r>
      <w:r>
        <w:rPr>
          <w:color w:val="010101"/>
          <w:sz w:val="18"/>
        </w:rPr>
        <w:t>interest.</w:t>
        <w:tab/>
      </w:r>
      <w:r>
        <w:rPr>
          <w:color w:val="4B4B4B"/>
          <w:w w:val="55"/>
          <w:sz w:val="18"/>
        </w:rPr>
        <w:t>·</w:t>
      </w:r>
    </w:p>
    <w:p>
      <w:pPr>
        <w:spacing w:line="180" w:lineRule="exact" w:before="0"/>
        <w:ind w:left="595" w:right="0" w:firstLine="0"/>
        <w:jc w:val="left"/>
        <w:rPr>
          <w:sz w:val="18"/>
        </w:rPr>
      </w:pPr>
      <w:r>
        <w:rPr>
          <w:color w:val="010101"/>
          <w:w w:val="105"/>
          <w:sz w:val="16"/>
        </w:rPr>
        <w:t>(b) </w:t>
      </w:r>
      <w:r>
        <w:rPr>
          <w:color w:val="010101"/>
          <w:w w:val="105"/>
          <w:sz w:val="18"/>
        </w:rPr>
        <w:t>Show  that, if  </w:t>
      </w:r>
      <w:r>
        <w:rPr>
          <w:color w:val="010101"/>
          <w:w w:val="105"/>
          <w:sz w:val="27"/>
        </w:rPr>
        <w:t>the </w:t>
      </w:r>
      <w:r>
        <w:rPr>
          <w:color w:val="010101"/>
          <w:w w:val="105"/>
          <w:sz w:val="18"/>
        </w:rPr>
        <w:t>single  r&amp;te of  mort&amp;lity  </w:t>
      </w:r>
      <w:r>
        <w:rPr>
          <w:color w:val="010101"/>
          <w:w w:val="105"/>
          <w:sz w:val="16"/>
        </w:rPr>
        <w:t>9a+a  </w:t>
      </w:r>
      <w:r>
        <w:rPr>
          <w:color w:val="010101"/>
          <w:w w:val="105"/>
          <w:sz w:val="18"/>
        </w:rPr>
        <w:t>is inereased to</w:t>
      </w:r>
    </w:p>
    <w:p>
      <w:pPr>
        <w:spacing w:line="249" w:lineRule="exact" w:before="0"/>
        <w:ind w:left="293" w:right="1574" w:firstLine="0"/>
        <w:jc w:val="center"/>
        <w:rPr>
          <w:sz w:val="17"/>
        </w:rPr>
      </w:pPr>
      <w:r>
        <w:rPr>
          <w:color w:val="010101"/>
          <w:sz w:val="17"/>
        </w:rPr>
        <w:t>9a+a  </w:t>
      </w:r>
      <w:r>
        <w:rPr>
          <w:rFonts w:ascii="Arial"/>
          <w:color w:val="010101"/>
          <w:sz w:val="26"/>
        </w:rPr>
        <w:t>+ </w:t>
      </w:r>
      <w:r>
        <w:rPr>
          <w:color w:val="010101"/>
          <w:sz w:val="18"/>
        </w:rPr>
        <w:t>e, then </w:t>
      </w:r>
      <w:r>
        <w:rPr>
          <w:i/>
          <w:color w:val="010101"/>
          <w:sz w:val="18"/>
        </w:rPr>
        <w:t>Aa  </w:t>
      </w:r>
      <w:r>
        <w:rPr>
          <w:color w:val="010101"/>
          <w:sz w:val="17"/>
        </w:rPr>
        <w:t>will  </w:t>
      </w:r>
      <w:r>
        <w:rPr>
          <w:rFonts w:ascii="Arial"/>
          <w:color w:val="010101"/>
          <w:sz w:val="16"/>
        </w:rPr>
        <w:t>be </w:t>
      </w:r>
      <w:r>
        <w:rPr>
          <w:color w:val="010101"/>
          <w:sz w:val="18"/>
        </w:rPr>
        <w:t>inereased </w:t>
      </w:r>
      <w:r>
        <w:rPr>
          <w:color w:val="010101"/>
          <w:sz w:val="17"/>
        </w:rPr>
        <w:t>by</w:t>
      </w:r>
    </w:p>
    <w:p>
      <w:pPr>
        <w:spacing w:before="119"/>
        <w:ind w:left="293" w:right="378" w:firstLine="0"/>
        <w:jc w:val="center"/>
        <w:rPr>
          <w:b/>
          <w:sz w:val="16"/>
        </w:rPr>
      </w:pPr>
      <w:r>
        <w:rPr>
          <w:b/>
          <w:color w:val="010101"/>
          <w:w w:val="105"/>
          <w:sz w:val="16"/>
        </w:rPr>
        <w:t>etr+'•Pa(l </w:t>
      </w:r>
      <w:r>
        <w:rPr>
          <w:color w:val="010101"/>
          <w:w w:val="105"/>
          <w:sz w:val="16"/>
        </w:rPr>
        <w:t>- </w:t>
      </w:r>
      <w:r>
        <w:rPr>
          <w:b/>
          <w:color w:val="010101"/>
          <w:sz w:val="16"/>
        </w:rPr>
        <w:t>Áa+11+1},</w:t>
      </w:r>
    </w:p>
    <w:p>
      <w:pPr>
        <w:pStyle w:val="ListParagraph"/>
        <w:numPr>
          <w:ilvl w:val="1"/>
          <w:numId w:val="35"/>
        </w:numPr>
        <w:tabs>
          <w:tab w:pos="571" w:val="left" w:leader="none"/>
        </w:tabs>
        <w:spacing w:line="198" w:lineRule="exact" w:before="112" w:after="0"/>
        <w:ind w:left="118" w:right="145" w:firstLine="165"/>
        <w:jc w:val="both"/>
        <w:rPr>
          <w:color w:val="010101"/>
          <w:sz w:val="18"/>
        </w:rPr>
      </w:pPr>
      <w:r>
        <w:rPr>
          <w:color w:val="010101"/>
          <w:w w:val="105"/>
          <w:sz w:val="18"/>
        </w:rPr>
        <w:t>Give an expression  in  terms  of  commutation symbols and  interest  f unetions for the net single premium  for </w:t>
      </w:r>
      <w:r>
        <w:rPr>
          <w:color w:val="010101"/>
          <w:w w:val="105"/>
          <w:sz w:val="12"/>
        </w:rPr>
        <w:t>&amp;n </w:t>
      </w:r>
      <w:r>
        <w:rPr>
          <w:color w:val="010101"/>
          <w:w w:val="105"/>
          <w:sz w:val="18"/>
        </w:rPr>
        <w:t>endowment  for </w:t>
      </w:r>
      <w:r>
        <w:rPr>
          <w:i/>
          <w:color w:val="010101"/>
          <w:w w:val="105"/>
          <w:sz w:val="18"/>
        </w:rPr>
        <w:t>t </w:t>
      </w:r>
      <w:r>
        <w:rPr>
          <w:color w:val="010101"/>
          <w:w w:val="105"/>
          <w:sz w:val="18"/>
        </w:rPr>
        <w:t>years </w:t>
      </w:r>
      <w:r>
        <w:rPr>
          <w:b/>
          <w:color w:val="010101"/>
          <w:w w:val="105"/>
          <w:sz w:val="17"/>
        </w:rPr>
        <w:t>at age</w:t>
      </w:r>
      <w:r>
        <w:rPr>
          <w:b/>
          <w:color w:val="010101"/>
          <w:spacing w:val="20"/>
          <w:w w:val="105"/>
          <w:sz w:val="17"/>
        </w:rPr>
        <w:t> </w:t>
      </w:r>
      <w:r>
        <w:rPr>
          <w:color w:val="010101"/>
          <w:w w:val="105"/>
          <w:sz w:val="18"/>
        </w:rPr>
        <w:t>z</w:t>
      </w:r>
    </w:p>
    <w:p>
      <w:pPr>
        <w:spacing w:line="152" w:lineRule="exact" w:before="0"/>
        <w:ind w:left="0" w:right="1038" w:firstLine="0"/>
        <w:jc w:val="right"/>
        <w:rPr>
          <w:sz w:val="17"/>
        </w:rPr>
      </w:pPr>
      <w:r>
        <w:rPr>
          <w:color w:val="010101"/>
          <w:w w:val="127"/>
          <w:sz w:val="17"/>
        </w:rPr>
        <w:t>1</w:t>
      </w:r>
    </w:p>
    <w:p>
      <w:pPr>
        <w:spacing w:line="125" w:lineRule="exact" w:before="0"/>
        <w:ind w:left="125" w:right="0" w:firstLine="0"/>
        <w:jc w:val="left"/>
        <w:rPr>
          <w:sz w:val="18"/>
        </w:rPr>
      </w:pPr>
      <w:r>
        <w:rPr>
          <w:color w:val="010101"/>
          <w:w w:val="110"/>
          <w:sz w:val="18"/>
        </w:rPr>
        <w:t>which provides that the death benefit shall </w:t>
      </w:r>
      <w:r>
        <w:rPr>
          <w:rFonts w:ascii="Arial"/>
          <w:color w:val="010101"/>
          <w:w w:val="110"/>
          <w:sz w:val="16"/>
        </w:rPr>
        <w:t>be </w:t>
      </w:r>
      <w:r>
        <w:rPr>
          <w:color w:val="010101"/>
          <w:w w:val="110"/>
          <w:sz w:val="18"/>
        </w:rPr>
        <w:t>an annuity of </w:t>
      </w:r>
      <w:r>
        <w:rPr>
          <w:color w:val="010101"/>
          <w:w w:val="135"/>
          <w:sz w:val="18"/>
        </w:rPr>
        <w:t>- </w:t>
      </w:r>
      <w:r>
        <w:rPr>
          <w:color w:val="010101"/>
          <w:w w:val="110"/>
          <w:sz w:val="18"/>
        </w:rPr>
        <w:t>for </w:t>
      </w:r>
      <w:r>
        <w:rPr>
          <w:i/>
          <w:color w:val="010101"/>
          <w:w w:val="110"/>
          <w:sz w:val="18"/>
        </w:rPr>
        <w:t>n </w:t>
      </w:r>
      <w:r>
        <w:rPr>
          <w:color w:val="010101"/>
          <w:w w:val="110"/>
          <w:sz w:val="18"/>
        </w:rPr>
        <w:t>yean,</w:t>
      </w:r>
    </w:p>
    <w:p>
      <w:pPr>
        <w:spacing w:line="132" w:lineRule="exact" w:before="0"/>
        <w:ind w:left="0" w:right="1054" w:firstLine="0"/>
        <w:jc w:val="right"/>
        <w:rPr>
          <w:i/>
          <w:sz w:val="18"/>
        </w:rPr>
      </w:pPr>
      <w:r>
        <w:rPr>
          <w:i/>
          <w:color w:val="010101"/>
          <w:w w:val="110"/>
          <w:sz w:val="18"/>
        </w:rPr>
        <w:t>n</w:t>
      </w:r>
    </w:p>
    <w:p>
      <w:pPr>
        <w:spacing w:line="234" w:lineRule="exact" w:before="0"/>
        <w:ind w:left="125" w:right="0" w:firstLine="0"/>
        <w:jc w:val="left"/>
        <w:rPr>
          <w:sz w:val="18"/>
        </w:rPr>
      </w:pPr>
      <w:r>
        <w:rPr>
          <w:color w:val="010101"/>
          <w:w w:val="105"/>
          <w:sz w:val="18"/>
        </w:rPr>
        <w:t>certain, but  that  if  the life survives to </w:t>
      </w:r>
      <w:r>
        <w:rPr>
          <w:b/>
          <w:color w:val="010101"/>
          <w:w w:val="105"/>
          <w:sz w:val="16"/>
        </w:rPr>
        <w:t>age </w:t>
      </w:r>
      <w:r>
        <w:rPr>
          <w:i/>
          <w:color w:val="010101"/>
          <w:w w:val="105"/>
          <w:sz w:val="18"/>
        </w:rPr>
        <w:t>x  </w:t>
      </w:r>
      <w:r>
        <w:rPr>
          <w:color w:val="010101"/>
          <w:w w:val="105"/>
          <w:sz w:val="24"/>
        </w:rPr>
        <w:t>+ </w:t>
      </w:r>
      <w:r>
        <w:rPr>
          <w:i/>
          <w:color w:val="010101"/>
          <w:w w:val="105"/>
          <w:sz w:val="18"/>
        </w:rPr>
        <w:t>t </w:t>
      </w:r>
      <w:r>
        <w:rPr>
          <w:color w:val="010101"/>
          <w:w w:val="105"/>
          <w:sz w:val="18"/>
        </w:rPr>
        <w:t>the annuity shall be   paid</w:t>
      </w:r>
    </w:p>
    <w:p>
      <w:pPr>
        <w:spacing w:line="195" w:lineRule="exact" w:before="0"/>
        <w:ind w:left="122" w:right="0" w:firstLine="0"/>
        <w:jc w:val="left"/>
        <w:rPr>
          <w:sz w:val="18"/>
        </w:rPr>
      </w:pPr>
      <w:r>
        <w:rPr>
          <w:color w:val="010101"/>
          <w:w w:val="110"/>
          <w:sz w:val="18"/>
        </w:rPr>
        <w:t>for </w:t>
      </w:r>
      <w:r>
        <w:rPr>
          <w:i/>
          <w:color w:val="010101"/>
          <w:w w:val="110"/>
          <w:sz w:val="18"/>
        </w:rPr>
        <w:t>n </w:t>
      </w:r>
      <w:r>
        <w:rPr>
          <w:color w:val="010101"/>
          <w:w w:val="110"/>
          <w:sz w:val="18"/>
        </w:rPr>
        <w:t>years certain and as long thereaf ter as </w:t>
      </w:r>
      <w:r>
        <w:rPr>
          <w:color w:val="010101"/>
          <w:w w:val="110"/>
          <w:sz w:val="16"/>
        </w:rPr>
        <w:t>(.z) </w:t>
      </w:r>
      <w:r>
        <w:rPr>
          <w:color w:val="010101"/>
          <w:w w:val="110"/>
          <w:sz w:val="18"/>
        </w:rPr>
        <w:t>survives.</w:t>
      </w:r>
    </w:p>
    <w:p>
      <w:pPr>
        <w:pStyle w:val="ListParagraph"/>
        <w:numPr>
          <w:ilvl w:val="1"/>
          <w:numId w:val="35"/>
        </w:numPr>
        <w:tabs>
          <w:tab w:pos="571" w:val="left" w:leader="none"/>
          <w:tab w:pos="4807" w:val="left" w:leader="none"/>
        </w:tabs>
        <w:spacing w:line="232" w:lineRule="auto" w:before="2" w:after="0"/>
        <w:ind w:left="122" w:right="131" w:firstLine="161"/>
        <w:jc w:val="both"/>
        <w:rPr>
          <w:color w:val="010101"/>
          <w:sz w:val="18"/>
        </w:rPr>
      </w:pPr>
      <w:r>
        <w:rPr>
          <w:color w:val="010101"/>
          <w:w w:val="105"/>
          <w:sz w:val="18"/>
        </w:rPr>
        <w:t>The net single premium for a pure endowrnent of $1,000 issued at </w:t>
      </w:r>
      <w:r>
        <w:rPr>
          <w:i/>
          <w:color w:val="010101"/>
          <w:w w:val="105"/>
          <w:sz w:val="18"/>
        </w:rPr>
        <w:t>e. </w:t>
      </w:r>
      <w:r>
        <w:rPr>
          <w:color w:val="010101"/>
          <w:w w:val="105"/>
          <w:sz w:val="18"/>
        </w:rPr>
        <w:t>certain </w:t>
      </w:r>
      <w:r>
        <w:rPr>
          <w:rFonts w:ascii="Arial" w:hAnsi="Arial"/>
          <w:color w:val="010101"/>
          <w:w w:val="105"/>
          <w:sz w:val="14"/>
        </w:rPr>
        <w:t>age </w:t>
      </w:r>
      <w:r>
        <w:rPr>
          <w:color w:val="010101"/>
          <w:w w:val="105"/>
          <w:sz w:val="18"/>
        </w:rPr>
        <w:t>and for a certain period is $700 with retum oí net premium in event of death during the period, or </w:t>
      </w:r>
      <w:r>
        <w:rPr>
          <w:rFonts w:ascii="Arial" w:hAnsi="Arial"/>
          <w:color w:val="010101"/>
          <w:w w:val="105"/>
          <w:sz w:val="14"/>
        </w:rPr>
        <w:t>$650 </w:t>
      </w:r>
      <w:r>
        <w:rPr>
          <w:color w:val="010101"/>
          <w:w w:val="105"/>
          <w:sz w:val="18"/>
        </w:rPr>
        <w:t>with no return at death</w:t>
      </w:r>
      <w:r>
        <w:rPr>
          <w:color w:val="1F1F1F"/>
          <w:w w:val="105"/>
          <w:sz w:val="18"/>
        </w:rPr>
        <w:t>. </w:t>
      </w:r>
      <w:r>
        <w:rPr>
          <w:color w:val="010101"/>
          <w:w w:val="105"/>
          <w:sz w:val="18"/>
        </w:rPr>
        <w:t>Find the exact net single premium for a pure endowment oí </w:t>
      </w:r>
      <w:r>
        <w:rPr>
          <w:b/>
          <w:color w:val="010101"/>
          <w:w w:val="105"/>
          <w:sz w:val="17"/>
        </w:rPr>
        <w:t>Sl,000 </w:t>
      </w:r>
      <w:r>
        <w:rPr>
          <w:color w:val="010101"/>
          <w:w w:val="105"/>
          <w:sz w:val="18"/>
        </w:rPr>
        <w:t>issued at the same age</w:t>
      </w:r>
      <w:r>
        <w:rPr>
          <w:color w:val="010101"/>
          <w:spacing w:val="-10"/>
          <w:w w:val="105"/>
          <w:sz w:val="18"/>
        </w:rPr>
        <w:t> </w:t>
      </w:r>
      <w:r>
        <w:rPr>
          <w:color w:val="010101"/>
          <w:w w:val="105"/>
          <w:sz w:val="18"/>
        </w:rPr>
        <w:t>and</w:t>
      </w:r>
      <w:r>
        <w:rPr>
          <w:color w:val="010101"/>
          <w:spacing w:val="-7"/>
          <w:w w:val="105"/>
          <w:sz w:val="18"/>
        </w:rPr>
        <w:t> </w:t>
      </w:r>
      <w:r>
        <w:rPr>
          <w:color w:val="010101"/>
          <w:w w:val="105"/>
          <w:sz w:val="18"/>
        </w:rPr>
        <w:t>for</w:t>
      </w:r>
      <w:r>
        <w:rPr>
          <w:color w:val="010101"/>
          <w:spacing w:val="-5"/>
          <w:w w:val="105"/>
          <w:sz w:val="18"/>
        </w:rPr>
        <w:t> </w:t>
      </w:r>
      <w:r>
        <w:rPr>
          <w:color w:val="010101"/>
          <w:w w:val="105"/>
          <w:sz w:val="18"/>
        </w:rPr>
        <w:t>the</w:t>
      </w:r>
      <w:r>
        <w:rPr>
          <w:color w:val="010101"/>
          <w:spacing w:val="-19"/>
          <w:w w:val="105"/>
          <w:sz w:val="18"/>
        </w:rPr>
        <w:t> </w:t>
      </w:r>
      <w:r>
        <w:rPr>
          <w:color w:val="010101"/>
          <w:w w:val="105"/>
          <w:sz w:val="18"/>
        </w:rPr>
        <w:t>same</w:t>
      </w:r>
      <w:r>
        <w:rPr>
          <w:color w:val="010101"/>
          <w:spacing w:val="-16"/>
          <w:w w:val="105"/>
          <w:sz w:val="18"/>
        </w:rPr>
        <w:t> </w:t>
      </w:r>
      <w:r>
        <w:rPr>
          <w:color w:val="010101"/>
          <w:w w:val="105"/>
          <w:sz w:val="18"/>
        </w:rPr>
        <w:t>period,</w:t>
      </w:r>
      <w:r>
        <w:rPr>
          <w:color w:val="010101"/>
          <w:spacing w:val="2"/>
          <w:w w:val="105"/>
          <w:sz w:val="18"/>
        </w:rPr>
        <w:t> </w:t>
      </w:r>
      <w:r>
        <w:rPr>
          <w:color w:val="010101"/>
          <w:w w:val="105"/>
          <w:sz w:val="18"/>
        </w:rPr>
        <w:t>if</w:t>
      </w:r>
      <w:r>
        <w:rPr>
          <w:color w:val="010101"/>
          <w:spacing w:val="7"/>
          <w:w w:val="105"/>
          <w:sz w:val="18"/>
        </w:rPr>
        <w:t> </w:t>
      </w:r>
      <w:r>
        <w:rPr>
          <w:color w:val="010101"/>
          <w:w w:val="105"/>
          <w:sz w:val="18"/>
        </w:rPr>
        <w:t>one-half</w:t>
      </w:r>
      <w:r>
        <w:rPr>
          <w:color w:val="010101"/>
          <w:spacing w:val="15"/>
          <w:w w:val="105"/>
          <w:sz w:val="18"/>
        </w:rPr>
        <w:t> </w:t>
      </w:r>
      <w:r>
        <w:rPr>
          <w:color w:val="010101"/>
          <w:w w:val="105"/>
          <w:sz w:val="18"/>
        </w:rPr>
        <w:t>of</w:t>
      </w:r>
      <w:r>
        <w:rPr>
          <w:color w:val="010101"/>
          <w:spacing w:val="11"/>
          <w:w w:val="105"/>
          <w:sz w:val="18"/>
        </w:rPr>
        <w:t> </w:t>
      </w:r>
      <w:r>
        <w:rPr>
          <w:color w:val="010101"/>
          <w:w w:val="105"/>
          <w:sz w:val="18"/>
        </w:rPr>
        <w:t>the</w:t>
      </w:r>
      <w:r>
        <w:rPr>
          <w:color w:val="010101"/>
          <w:spacing w:val="-4"/>
          <w:w w:val="105"/>
          <w:sz w:val="18"/>
        </w:rPr>
        <w:t> </w:t>
      </w:r>
      <w:r>
        <w:rPr>
          <w:color w:val="010101"/>
          <w:w w:val="105"/>
          <w:sz w:val="18"/>
        </w:rPr>
        <w:t>net</w:t>
      </w:r>
      <w:r>
        <w:rPr>
          <w:color w:val="010101"/>
          <w:spacing w:val="-1"/>
          <w:w w:val="105"/>
          <w:sz w:val="18"/>
        </w:rPr>
        <w:t> </w:t>
      </w:r>
      <w:r>
        <w:rPr>
          <w:color w:val="010101"/>
          <w:w w:val="105"/>
          <w:sz w:val="18"/>
        </w:rPr>
        <w:t>premium</w:t>
      </w:r>
      <w:r>
        <w:rPr>
          <w:color w:val="010101"/>
          <w:spacing w:val="-20"/>
          <w:w w:val="105"/>
          <w:sz w:val="18"/>
        </w:rPr>
        <w:t> </w:t>
      </w:r>
      <w:r>
        <w:rPr>
          <w:color w:val="1F1F1F"/>
          <w:spacing w:val="4"/>
          <w:w w:val="105"/>
          <w:sz w:val="18"/>
        </w:rPr>
        <w:t>.</w:t>
      </w:r>
      <w:r>
        <w:rPr>
          <w:color w:val="010101"/>
          <w:spacing w:val="4"/>
          <w:w w:val="105"/>
          <w:sz w:val="18"/>
        </w:rPr>
        <w:t>is</w:t>
      </w:r>
      <w:r>
        <w:rPr>
          <w:color w:val="010101"/>
          <w:spacing w:val="-12"/>
          <w:w w:val="105"/>
          <w:sz w:val="18"/>
        </w:rPr>
        <w:t> </w:t>
      </w:r>
      <w:r>
        <w:rPr>
          <w:color w:val="010101"/>
          <w:w w:val="105"/>
          <w:sz w:val="18"/>
        </w:rPr>
        <w:t>to</w:t>
      </w:r>
      <w:r>
        <w:rPr>
          <w:color w:val="010101"/>
          <w:spacing w:val="-11"/>
          <w:w w:val="105"/>
          <w:sz w:val="18"/>
        </w:rPr>
        <w:t> </w:t>
      </w:r>
      <w:r>
        <w:rPr>
          <w:color w:val="010101"/>
          <w:w w:val="105"/>
          <w:sz w:val="18"/>
        </w:rPr>
        <w:t>be</w:t>
      </w:r>
      <w:r>
        <w:rPr>
          <w:color w:val="010101"/>
          <w:spacing w:val="-5"/>
          <w:w w:val="105"/>
          <w:sz w:val="18"/>
        </w:rPr>
        <w:t> </w:t>
      </w:r>
      <w:r>
        <w:rPr>
          <w:color w:val="010101"/>
          <w:w w:val="105"/>
          <w:sz w:val="18"/>
        </w:rPr>
        <w:t>retumed at  death during</w:t>
      </w:r>
      <w:r>
        <w:rPr>
          <w:color w:val="010101"/>
          <w:spacing w:val="30"/>
          <w:w w:val="105"/>
          <w:sz w:val="18"/>
        </w:rPr>
        <w:t> </w:t>
      </w:r>
      <w:r>
        <w:rPr>
          <w:color w:val="010101"/>
          <w:w w:val="105"/>
          <w:sz w:val="18"/>
        </w:rPr>
        <w:t>the</w:t>
      </w:r>
      <w:r>
        <w:rPr>
          <w:color w:val="010101"/>
          <w:spacing w:val="27"/>
          <w:w w:val="105"/>
          <w:sz w:val="18"/>
        </w:rPr>
        <w:t> </w:t>
      </w:r>
      <w:r>
        <w:rPr>
          <w:color w:val="010101"/>
          <w:w w:val="105"/>
          <w:sz w:val="18"/>
        </w:rPr>
        <w:t>period.</w:t>
        <w:tab/>
      </w:r>
      <w:r>
        <w:rPr>
          <w:color w:val="010101"/>
          <w:w w:val="95"/>
          <w:sz w:val="18"/>
        </w:rPr>
        <w:t>(Ana. $674.07)</w:t>
      </w:r>
    </w:p>
    <w:p>
      <w:pPr>
        <w:pStyle w:val="ListParagraph"/>
        <w:numPr>
          <w:ilvl w:val="1"/>
          <w:numId w:val="35"/>
        </w:numPr>
        <w:tabs>
          <w:tab w:pos="575" w:val="left" w:leader="none"/>
        </w:tabs>
        <w:spacing w:line="214" w:lineRule="exact" w:before="0" w:after="0"/>
        <w:ind w:left="574" w:right="0" w:hanging="291"/>
        <w:jc w:val="left"/>
        <w:rPr>
          <w:color w:val="010101"/>
          <w:sz w:val="18"/>
        </w:rPr>
      </w:pPr>
      <w:r>
        <w:rPr>
          <w:color w:val="010101"/>
          <w:w w:val="98"/>
          <w:sz w:val="18"/>
        </w:rPr>
        <w:t>Assuming</w:t>
      </w:r>
      <w:r>
        <w:rPr>
          <w:color w:val="010101"/>
          <w:spacing w:val="18"/>
          <w:sz w:val="18"/>
        </w:rPr>
        <w:t> </w:t>
      </w:r>
      <w:r>
        <w:rPr>
          <w:color w:val="010101"/>
          <w:w w:val="110"/>
          <w:sz w:val="18"/>
        </w:rPr>
        <w:t>a</w:t>
      </w:r>
      <w:r>
        <w:rPr>
          <w:color w:val="010101"/>
          <w:spacing w:val="2"/>
          <w:sz w:val="18"/>
        </w:rPr>
        <w:t> </w:t>
      </w:r>
      <w:r>
        <w:rPr>
          <w:color w:val="010101"/>
          <w:w w:val="100"/>
          <w:sz w:val="18"/>
        </w:rPr>
        <w:t>uniform</w:t>
      </w:r>
      <w:r>
        <w:rPr>
          <w:color w:val="010101"/>
          <w:spacing w:val="18"/>
          <w:sz w:val="18"/>
        </w:rPr>
        <w:t> </w:t>
      </w:r>
      <w:r>
        <w:rPr>
          <w:color w:val="010101"/>
          <w:w w:val="108"/>
          <w:sz w:val="18"/>
        </w:rPr>
        <w:t>distribution</w:t>
      </w:r>
      <w:r>
        <w:rPr>
          <w:color w:val="010101"/>
          <w:spacing w:val="8"/>
          <w:sz w:val="18"/>
        </w:rPr>
        <w:t> </w:t>
      </w:r>
      <w:r>
        <w:rPr>
          <w:color w:val="010101"/>
          <w:w w:val="88"/>
          <w:sz w:val="18"/>
        </w:rPr>
        <w:t>of</w:t>
      </w:r>
      <w:r>
        <w:rPr>
          <w:color w:val="010101"/>
          <w:spacing w:val="15"/>
          <w:sz w:val="18"/>
        </w:rPr>
        <w:t> </w:t>
      </w:r>
      <w:r>
        <w:rPr>
          <w:color w:val="010101"/>
          <w:w w:val="108"/>
          <w:sz w:val="18"/>
        </w:rPr>
        <w:t>deaths,</w:t>
      </w:r>
      <w:r>
        <w:rPr>
          <w:color w:val="010101"/>
          <w:spacing w:val="4"/>
          <w:sz w:val="18"/>
        </w:rPr>
        <w:t> </w:t>
      </w:r>
      <w:r>
        <w:rPr>
          <w:color w:val="010101"/>
          <w:w w:val="97"/>
          <w:sz w:val="18"/>
        </w:rPr>
        <w:t>find</w:t>
      </w:r>
      <w:r>
        <w:rPr>
          <w:color w:val="010101"/>
          <w:spacing w:val="15"/>
          <w:sz w:val="18"/>
        </w:rPr>
        <w:t> </w:t>
      </w:r>
      <w:r>
        <w:rPr>
          <w:color w:val="010101"/>
          <w:w w:val="105"/>
          <w:sz w:val="18"/>
        </w:rPr>
        <w:t>a</w:t>
      </w:r>
      <w:r>
        <w:rPr>
          <w:color w:val="010101"/>
          <w:spacing w:val="3"/>
          <w:sz w:val="18"/>
        </w:rPr>
        <w:t> </w:t>
      </w:r>
      <w:r>
        <w:rPr>
          <w:color w:val="010101"/>
          <w:w w:val="103"/>
          <w:sz w:val="18"/>
        </w:rPr>
        <w:t>formula</w:t>
      </w:r>
      <w:r>
        <w:rPr>
          <w:color w:val="010101"/>
          <w:spacing w:val="5"/>
          <w:sz w:val="18"/>
        </w:rPr>
        <w:t> </w:t>
      </w:r>
      <w:r>
        <w:rPr>
          <w:color w:val="010101"/>
          <w:w w:val="106"/>
          <w:sz w:val="18"/>
        </w:rPr>
        <w:t>for</w:t>
      </w:r>
      <w:r>
        <w:rPr>
          <w:color w:val="010101"/>
          <w:spacing w:val="21"/>
          <w:sz w:val="18"/>
        </w:rPr>
        <w:t> </w:t>
      </w:r>
      <w:r>
        <w:rPr>
          <w:rFonts w:ascii="Arial"/>
          <w:color w:val="010101"/>
          <w:spacing w:val="-17"/>
          <w:w w:val="88"/>
          <w:sz w:val="20"/>
        </w:rPr>
        <w:t>(</w:t>
      </w:r>
      <w:r>
        <w:rPr>
          <w:rFonts w:ascii="Arial"/>
          <w:color w:val="010101"/>
          <w:spacing w:val="-89"/>
          <w:w w:val="153"/>
          <w:sz w:val="20"/>
        </w:rPr>
        <w:t>1</w:t>
      </w:r>
      <w:r>
        <w:rPr>
          <w:rFonts w:ascii="Arial"/>
          <w:color w:val="010101"/>
          <w:w w:val="88"/>
          <w:sz w:val="20"/>
        </w:rPr>
        <w:t>.A</w:t>
      </w:r>
      <w:r>
        <w:rPr>
          <w:rFonts w:ascii="Arial"/>
          <w:color w:val="010101"/>
          <w:w w:val="88"/>
          <w:sz w:val="20"/>
        </w:rPr>
        <w:t>)</w:t>
      </w:r>
      <w:r>
        <w:rPr>
          <w:rFonts w:ascii="Arial"/>
          <w:color w:val="010101"/>
          <w:spacing w:val="-8"/>
          <w:w w:val="88"/>
          <w:sz w:val="20"/>
        </w:rPr>
        <w:t>!</w:t>
      </w:r>
      <w:r>
        <w:rPr>
          <w:rFonts w:ascii="Arial"/>
          <w:color w:val="010101"/>
          <w:w w:val="123"/>
          <w:sz w:val="20"/>
        </w:rPr>
        <w:t>:</w:t>
      </w:r>
      <w:r>
        <w:rPr>
          <w:rFonts w:ascii="Arial"/>
          <w:color w:val="010101"/>
          <w:spacing w:val="15"/>
          <w:sz w:val="20"/>
        </w:rPr>
        <w:t> </w:t>
      </w:r>
      <w:r>
        <w:rPr>
          <w:color w:val="010101"/>
          <w:w w:val="38"/>
          <w:position w:val="-2"/>
          <w:sz w:val="17"/>
        </w:rPr>
        <w:t>1</w:t>
      </w:r>
    </w:p>
    <w:p>
      <w:pPr>
        <w:spacing w:line="190" w:lineRule="exact" w:before="0"/>
        <w:ind w:left="125" w:right="0" w:firstLine="0"/>
        <w:jc w:val="left"/>
        <w:rPr>
          <w:sz w:val="18"/>
        </w:rPr>
      </w:pPr>
      <w:r>
        <w:rPr>
          <w:color w:val="010101"/>
          <w:w w:val="105"/>
          <w:sz w:val="18"/>
        </w:rPr>
        <w:t>in terms </w:t>
      </w:r>
      <w:r>
        <w:rPr>
          <w:rFonts w:ascii="Arial"/>
          <w:color w:val="010101"/>
          <w:w w:val="105"/>
          <w:sz w:val="16"/>
        </w:rPr>
        <w:t>of  </w:t>
      </w:r>
      <w:r>
        <w:rPr>
          <w:color w:val="010101"/>
          <w:w w:val="105"/>
          <w:sz w:val="18"/>
        </w:rPr>
        <w:t>interest  and  commutation symbola.</w:t>
      </w:r>
    </w:p>
    <w:p>
      <w:pPr>
        <w:spacing w:after="0" w:line="190" w:lineRule="exact"/>
        <w:jc w:val="left"/>
        <w:rPr>
          <w:sz w:val="18"/>
        </w:rPr>
        <w:sectPr>
          <w:pgSz w:w="7200" w:h="11340"/>
          <w:pgMar w:top="500" w:bottom="280" w:left="660" w:right="520"/>
        </w:sectPr>
      </w:pPr>
    </w:p>
    <w:p>
      <w:pPr>
        <w:pStyle w:val="BodyText"/>
      </w:pPr>
    </w:p>
    <w:p>
      <w:pPr>
        <w:pStyle w:val="BodyText"/>
        <w:spacing w:before="4"/>
      </w:pPr>
    </w:p>
    <w:p>
      <w:pPr>
        <w:spacing w:before="76"/>
        <w:ind w:left="69" w:right="87" w:firstLine="0"/>
        <w:jc w:val="center"/>
        <w:rPr>
          <w:rFonts w:ascii="Arial"/>
          <w:sz w:val="19"/>
        </w:rPr>
      </w:pPr>
      <w:bookmarkStart w:name="4. Net Annual Premiums" w:id="9"/>
      <w:bookmarkEnd w:id="9"/>
      <w:r>
        <w:rPr/>
      </w:r>
      <w:r>
        <w:rPr>
          <w:rFonts w:ascii="Arial"/>
          <w:w w:val="115"/>
          <w:sz w:val="14"/>
        </w:rPr>
        <w:t>CHAPTER  </w:t>
      </w:r>
      <w:r>
        <w:rPr>
          <w:rFonts w:ascii="Arial"/>
          <w:w w:val="115"/>
          <w:sz w:val="19"/>
        </w:rPr>
        <w:t>4</w:t>
      </w:r>
    </w:p>
    <w:p>
      <w:pPr>
        <w:spacing w:before="116"/>
        <w:ind w:left="48" w:right="87" w:firstLine="0"/>
        <w:jc w:val="center"/>
        <w:rPr>
          <w:sz w:val="21"/>
        </w:rPr>
      </w:pPr>
      <w:r>
        <w:rPr>
          <w:w w:val="105"/>
          <w:sz w:val="21"/>
        </w:rPr>
        <w:t>NET AN NUAL PREMIUMS</w:t>
      </w:r>
    </w:p>
    <w:p>
      <w:pPr>
        <w:pStyle w:val="BodyText"/>
        <w:spacing w:before="10"/>
        <w:rPr>
          <w:sz w:val="22"/>
        </w:rPr>
      </w:pPr>
    </w:p>
    <w:p>
      <w:pPr>
        <w:spacing w:before="0"/>
        <w:ind w:left="0" w:right="139" w:firstLine="0"/>
        <w:jc w:val="right"/>
        <w:rPr>
          <w:b/>
          <w:sz w:val="19"/>
        </w:rPr>
      </w:pPr>
      <w:r>
        <w:rPr>
          <w:b/>
          <w:w w:val="125"/>
          <w:sz w:val="19"/>
        </w:rPr>
        <w:t>l.</w:t>
      </w:r>
      <w:r>
        <w:rPr>
          <w:b/>
          <w:spacing w:val="-31"/>
          <w:w w:val="125"/>
          <w:sz w:val="19"/>
        </w:rPr>
        <w:t> </w:t>
      </w:r>
      <w:r>
        <w:rPr>
          <w:b/>
          <w:w w:val="125"/>
          <w:sz w:val="19"/>
        </w:rPr>
        <w:t>Annual</w:t>
      </w:r>
      <w:r>
        <w:rPr>
          <w:b/>
          <w:spacing w:val="-19"/>
          <w:w w:val="125"/>
          <w:sz w:val="19"/>
        </w:rPr>
        <w:t> </w:t>
      </w:r>
      <w:r>
        <w:rPr>
          <w:b/>
          <w:w w:val="125"/>
          <w:sz w:val="19"/>
        </w:rPr>
        <w:t>premiums</w:t>
      </w:r>
      <w:r>
        <w:rPr>
          <w:b/>
          <w:spacing w:val="-19"/>
          <w:w w:val="125"/>
          <w:sz w:val="19"/>
        </w:rPr>
        <w:t> </w:t>
      </w:r>
      <w:r>
        <w:rPr>
          <w:b/>
          <w:w w:val="125"/>
          <w:sz w:val="19"/>
        </w:rPr>
        <w:t>for</w:t>
      </w:r>
      <w:r>
        <w:rPr>
          <w:b/>
          <w:spacing w:val="-25"/>
          <w:w w:val="125"/>
          <w:sz w:val="19"/>
        </w:rPr>
        <w:t> </w:t>
      </w:r>
      <w:r>
        <w:rPr>
          <w:b/>
          <w:w w:val="125"/>
          <w:sz w:val="19"/>
        </w:rPr>
        <w:t>insurances</w:t>
      </w:r>
      <w:r>
        <w:rPr>
          <w:b/>
          <w:spacing w:val="-16"/>
          <w:w w:val="125"/>
          <w:sz w:val="19"/>
        </w:rPr>
        <w:t> </w:t>
      </w:r>
      <w:r>
        <w:rPr>
          <w:b/>
          <w:w w:val="125"/>
          <w:sz w:val="19"/>
        </w:rPr>
        <w:t>and</w:t>
      </w:r>
      <w:r>
        <w:rPr>
          <w:b/>
          <w:spacing w:val="-28"/>
          <w:w w:val="125"/>
          <w:sz w:val="19"/>
        </w:rPr>
        <w:t> </w:t>
      </w:r>
      <w:r>
        <w:rPr>
          <w:b/>
          <w:w w:val="125"/>
          <w:sz w:val="19"/>
        </w:rPr>
        <w:t>deferred</w:t>
      </w:r>
      <w:r>
        <w:rPr>
          <w:b/>
          <w:spacing w:val="-21"/>
          <w:w w:val="125"/>
          <w:sz w:val="19"/>
        </w:rPr>
        <w:t> </w:t>
      </w:r>
      <w:r>
        <w:rPr>
          <w:b/>
          <w:w w:val="125"/>
          <w:sz w:val="19"/>
        </w:rPr>
        <w:t>annuities</w:t>
      </w:r>
    </w:p>
    <w:p>
      <w:pPr>
        <w:spacing w:line="240" w:lineRule="auto" w:before="79"/>
        <w:ind w:left="122" w:right="128" w:firstLine="205"/>
        <w:jc w:val="both"/>
        <w:rPr>
          <w:sz w:val="21"/>
        </w:rPr>
      </w:pPr>
      <w:r>
        <w:rPr>
          <w:sz w:val="21"/>
        </w:rPr>
        <w:t>Insurance is .more commonly purchased by means of a series of periodic premium payments than by a single premium payment. These periodic payments form a life annuity-due payable by the insured to the insurer. The first premium is payable at the incep­  tion of the agreement  and  subsequent  premiums  are  contingent on the insured's survival.  The  amount  of  the  premium  required for a given insurance may be determined  from  the principie  that the present value of the sequence of net premiums  must  be equal  to the present  value  of  the  insurance. </w:t>
      </w:r>
      <w:r>
        <w:rPr>
          <w:sz w:val="22"/>
        </w:rPr>
        <w:t>In</w:t>
      </w:r>
      <w:r>
        <w:rPr>
          <w:spacing w:val="9"/>
          <w:sz w:val="22"/>
        </w:rPr>
        <w:t> </w:t>
      </w:r>
      <w:r>
        <w:rPr>
          <w:sz w:val="21"/>
        </w:rPr>
        <w:t>symbols,</w:t>
      </w:r>
    </w:p>
    <w:p>
      <w:pPr>
        <w:spacing w:before="65"/>
        <w:ind w:left="69" w:right="87" w:firstLine="0"/>
        <w:jc w:val="center"/>
        <w:rPr>
          <w:rFonts w:ascii="Arial" w:hAnsi="Arial"/>
          <w:i/>
          <w:sz w:val="20"/>
        </w:rPr>
      </w:pPr>
      <w:r>
        <w:rPr>
          <w:rFonts w:ascii="Arial" w:hAnsi="Arial"/>
          <w:i/>
          <w:w w:val="105"/>
          <w:sz w:val="20"/>
        </w:rPr>
        <w:t>P·a  </w:t>
      </w:r>
      <w:r>
        <w:rPr>
          <w:w w:val="105"/>
          <w:sz w:val="28"/>
        </w:rPr>
        <w:t>= </w:t>
      </w:r>
      <w:r>
        <w:rPr>
          <w:rFonts w:ascii="Arial" w:hAnsi="Arial"/>
          <w:i/>
          <w:w w:val="105"/>
          <w:sz w:val="20"/>
        </w:rPr>
        <w:t>A</w:t>
      </w:r>
    </w:p>
    <w:p>
      <w:pPr>
        <w:tabs>
          <w:tab w:pos="2757" w:val="left" w:leader="none"/>
          <w:tab w:pos="5490" w:val="left" w:leader="none"/>
        </w:tabs>
        <w:spacing w:before="102"/>
        <w:ind w:left="122" w:right="0" w:firstLine="0"/>
        <w:jc w:val="left"/>
        <w:rPr>
          <w:sz w:val="21"/>
        </w:rPr>
      </w:pPr>
      <w:r>
        <w:rPr/>
        <w:pict>
          <v:shape style="position:absolute;margin-left:197.100006pt;margin-top:19.572212pt;width:12.4pt;height:8.5pt;mso-position-horizontal-relative:page;mso-position-vertical-relative:paragraph;z-index:-728968" type="#_x0000_t202" filled="false" stroked="false">
            <v:textbox inset="0,0,0,0">
              <w:txbxContent>
                <w:p>
                  <w:pPr>
                    <w:spacing w:line="170" w:lineRule="exact" w:before="0"/>
                    <w:ind w:left="0" w:right="-15" w:firstLine="0"/>
                    <w:jc w:val="left"/>
                    <w:rPr>
                      <w:rFonts w:ascii="Arial"/>
                      <w:sz w:val="17"/>
                    </w:rPr>
                  </w:pPr>
                  <w:r>
                    <w:rPr>
                      <w:rFonts w:ascii="Arial"/>
                      <w:b/>
                      <w:i/>
                      <w:w w:val="110"/>
                      <w:sz w:val="17"/>
                    </w:rPr>
                    <w:t>d </w:t>
                  </w:r>
                  <w:r>
                    <w:rPr>
                      <w:rFonts w:ascii="Arial"/>
                      <w:w w:val="190"/>
                      <w:sz w:val="17"/>
                    </w:rPr>
                    <w:t>'</w:t>
                  </w:r>
                </w:p>
              </w:txbxContent>
            </v:textbox>
            <w10:wrap type="none"/>
          </v:shape>
        </w:pict>
      </w:r>
      <w:r>
        <w:rPr>
          <w:b/>
          <w:w w:val="93"/>
          <w:position w:val="0"/>
          <w:sz w:val="21"/>
        </w:rPr>
        <w:t>or</w:t>
      </w:r>
      <w:r>
        <w:rPr>
          <w:b/>
          <w:position w:val="0"/>
          <w:sz w:val="21"/>
        </w:rPr>
        <w:tab/>
      </w:r>
      <w:r>
        <w:rPr>
          <w:rFonts w:ascii="Courier New" w:hAnsi="Courier New"/>
          <w:i/>
          <w:w w:val="101"/>
          <w:position w:val="-1"/>
          <w:sz w:val="25"/>
        </w:rPr>
        <w:t>P</w:t>
      </w:r>
      <w:r>
        <w:rPr>
          <w:rFonts w:ascii="Courier New" w:hAnsi="Courier New"/>
          <w:i/>
          <w:spacing w:val="-55"/>
          <w:position w:val="-1"/>
          <w:sz w:val="25"/>
        </w:rPr>
        <w:t> </w:t>
      </w:r>
      <w:r>
        <w:rPr>
          <w:rFonts w:ascii="Courier New" w:hAnsi="Courier New"/>
          <w:i/>
          <w:spacing w:val="12"/>
          <w:w w:val="99"/>
          <w:position w:val="-1"/>
          <w:sz w:val="25"/>
        </w:rPr>
        <w:t>=</w:t>
      </w:r>
      <w:r>
        <w:rPr>
          <w:rFonts w:ascii="Courier New" w:hAnsi="Courier New"/>
          <w:i/>
          <w:spacing w:val="-286"/>
          <w:w w:val="147"/>
          <w:position w:val="-1"/>
          <w:sz w:val="25"/>
        </w:rPr>
        <w:t>­</w:t>
      </w:r>
      <w:r>
        <w:rPr>
          <w:rFonts w:ascii="Arial" w:hAnsi="Arial"/>
          <w:i/>
          <w:w w:val="107"/>
          <w:position w:val="11"/>
          <w:sz w:val="20"/>
        </w:rPr>
        <w:t>A</w:t>
      </w:r>
      <w:r>
        <w:rPr>
          <w:rFonts w:ascii="Arial" w:hAnsi="Arial"/>
          <w:i/>
          <w:position w:val="11"/>
          <w:sz w:val="20"/>
        </w:rPr>
        <w:tab/>
      </w:r>
      <w:r>
        <w:rPr>
          <w:w w:val="94"/>
          <w:sz w:val="21"/>
        </w:rPr>
        <w:t>(4</w:t>
      </w:r>
      <w:r>
        <w:rPr>
          <w:spacing w:val="7"/>
          <w:w w:val="94"/>
          <w:sz w:val="21"/>
        </w:rPr>
        <w:t>.</w:t>
      </w:r>
      <w:r>
        <w:rPr>
          <w:w w:val="99"/>
          <w:sz w:val="21"/>
        </w:rPr>
        <w:t>1)</w:t>
      </w:r>
    </w:p>
    <w:p>
      <w:pPr>
        <w:pStyle w:val="BodyText"/>
        <w:spacing w:before="10"/>
        <w:rPr>
          <w:sz w:val="10"/>
        </w:rPr>
      </w:pPr>
    </w:p>
    <w:p>
      <w:pPr>
        <w:spacing w:line="240" w:lineRule="auto" w:before="73"/>
        <w:ind w:left="126" w:right="128" w:hanging="4"/>
        <w:jc w:val="both"/>
        <w:rPr>
          <w:sz w:val="21"/>
        </w:rPr>
      </w:pPr>
      <w:r>
        <w:rPr>
          <w:w w:val="105"/>
          <w:sz w:val="21"/>
        </w:rPr>
        <w:t>where</w:t>
      </w:r>
      <w:r>
        <w:rPr>
          <w:spacing w:val="-7"/>
          <w:w w:val="105"/>
          <w:sz w:val="21"/>
        </w:rPr>
        <w:t> </w:t>
      </w:r>
      <w:r>
        <w:rPr>
          <w:w w:val="105"/>
          <w:sz w:val="21"/>
        </w:rPr>
        <w:t>P</w:t>
      </w:r>
      <w:r>
        <w:rPr>
          <w:spacing w:val="-21"/>
          <w:w w:val="105"/>
          <w:sz w:val="21"/>
        </w:rPr>
        <w:t> </w:t>
      </w:r>
      <w:r>
        <w:rPr>
          <w:w w:val="105"/>
          <w:sz w:val="21"/>
        </w:rPr>
        <w:t>is</w:t>
      </w:r>
      <w:r>
        <w:rPr>
          <w:spacing w:val="-21"/>
          <w:w w:val="105"/>
          <w:sz w:val="21"/>
        </w:rPr>
        <w:t> </w:t>
      </w:r>
      <w:r>
        <w:rPr>
          <w:w w:val="105"/>
          <w:sz w:val="21"/>
        </w:rPr>
        <w:t>the</w:t>
      </w:r>
      <w:r>
        <w:rPr>
          <w:spacing w:val="-16"/>
          <w:w w:val="105"/>
          <w:sz w:val="21"/>
        </w:rPr>
        <w:t> </w:t>
      </w:r>
      <w:r>
        <w:rPr>
          <w:w w:val="105"/>
          <w:sz w:val="21"/>
        </w:rPr>
        <w:t>net</w:t>
      </w:r>
      <w:r>
        <w:rPr>
          <w:spacing w:val="-7"/>
          <w:w w:val="105"/>
          <w:sz w:val="21"/>
        </w:rPr>
        <w:t> </w:t>
      </w:r>
      <w:r>
        <w:rPr>
          <w:w w:val="105"/>
          <w:sz w:val="21"/>
        </w:rPr>
        <w:t>premium</w:t>
      </w:r>
      <w:r>
        <w:rPr>
          <w:spacing w:val="3"/>
          <w:w w:val="105"/>
          <w:sz w:val="21"/>
        </w:rPr>
        <w:t> </w:t>
      </w:r>
      <w:r>
        <w:rPr>
          <w:w w:val="105"/>
          <w:sz w:val="21"/>
        </w:rPr>
        <w:t>on</w:t>
      </w:r>
      <w:r>
        <w:rPr>
          <w:spacing w:val="-10"/>
          <w:w w:val="105"/>
          <w:sz w:val="21"/>
        </w:rPr>
        <w:t> </w:t>
      </w:r>
      <w:r>
        <w:rPr>
          <w:w w:val="105"/>
          <w:sz w:val="21"/>
        </w:rPr>
        <w:t>an</w:t>
      </w:r>
      <w:r>
        <w:rPr>
          <w:spacing w:val="-13"/>
          <w:w w:val="105"/>
          <w:sz w:val="21"/>
        </w:rPr>
        <w:t> </w:t>
      </w:r>
      <w:r>
        <w:rPr>
          <w:w w:val="105"/>
          <w:sz w:val="21"/>
        </w:rPr>
        <w:t>annual</w:t>
      </w:r>
      <w:r>
        <w:rPr>
          <w:spacing w:val="-7"/>
          <w:w w:val="105"/>
          <w:sz w:val="21"/>
        </w:rPr>
        <w:t> </w:t>
      </w:r>
      <w:r>
        <w:rPr>
          <w:w w:val="105"/>
          <w:sz w:val="21"/>
        </w:rPr>
        <w:t>basis,</w:t>
      </w:r>
      <w:r>
        <w:rPr>
          <w:spacing w:val="-8"/>
          <w:w w:val="105"/>
          <w:sz w:val="21"/>
        </w:rPr>
        <w:t> </w:t>
      </w:r>
      <w:r>
        <w:rPr>
          <w:rFonts w:ascii="Arial"/>
          <w:i/>
          <w:w w:val="105"/>
          <w:sz w:val="17"/>
        </w:rPr>
        <w:t>d</w:t>
      </w:r>
      <w:r>
        <w:rPr>
          <w:rFonts w:ascii="Arial"/>
          <w:i/>
          <w:spacing w:val="-4"/>
          <w:w w:val="105"/>
          <w:sz w:val="17"/>
        </w:rPr>
        <w:t> </w:t>
      </w:r>
      <w:r>
        <w:rPr>
          <w:w w:val="105"/>
          <w:sz w:val="21"/>
        </w:rPr>
        <w:t>the</w:t>
      </w:r>
      <w:r>
        <w:rPr>
          <w:spacing w:val="-9"/>
          <w:w w:val="105"/>
          <w:sz w:val="21"/>
        </w:rPr>
        <w:t> </w:t>
      </w:r>
      <w:r>
        <w:rPr>
          <w:w w:val="105"/>
          <w:sz w:val="21"/>
        </w:rPr>
        <w:t>present</w:t>
      </w:r>
      <w:r>
        <w:rPr>
          <w:spacing w:val="5"/>
          <w:w w:val="105"/>
          <w:sz w:val="21"/>
        </w:rPr>
        <w:t> </w:t>
      </w:r>
      <w:r>
        <w:rPr>
          <w:w w:val="105"/>
          <w:sz w:val="21"/>
        </w:rPr>
        <w:t>value of the appropriate life annuity-due, and </w:t>
      </w:r>
      <w:r>
        <w:rPr>
          <w:rFonts w:ascii="Arial"/>
          <w:i/>
          <w:w w:val="105"/>
          <w:sz w:val="20"/>
        </w:rPr>
        <w:t>A </w:t>
      </w:r>
      <w:r>
        <w:rPr>
          <w:w w:val="105"/>
          <w:sz w:val="21"/>
        </w:rPr>
        <w:t>the net single premium for</w:t>
      </w:r>
      <w:r>
        <w:rPr>
          <w:spacing w:val="-24"/>
          <w:w w:val="105"/>
          <w:sz w:val="21"/>
        </w:rPr>
        <w:t> </w:t>
      </w:r>
      <w:r>
        <w:rPr>
          <w:w w:val="105"/>
          <w:sz w:val="21"/>
        </w:rPr>
        <w:t>the</w:t>
      </w:r>
      <w:r>
        <w:rPr>
          <w:spacing w:val="-25"/>
          <w:w w:val="105"/>
          <w:sz w:val="21"/>
        </w:rPr>
        <w:t> </w:t>
      </w:r>
      <w:r>
        <w:rPr>
          <w:w w:val="105"/>
          <w:sz w:val="21"/>
        </w:rPr>
        <w:t>insurance,</w:t>
      </w:r>
      <w:r>
        <w:rPr>
          <w:spacing w:val="-12"/>
          <w:w w:val="105"/>
          <w:sz w:val="21"/>
        </w:rPr>
        <w:t> </w:t>
      </w:r>
      <w:r>
        <w:rPr>
          <w:w w:val="105"/>
          <w:sz w:val="21"/>
        </w:rPr>
        <w:t>all</w:t>
      </w:r>
      <w:r>
        <w:rPr>
          <w:spacing w:val="-23"/>
          <w:w w:val="105"/>
          <w:sz w:val="21"/>
        </w:rPr>
        <w:t> </w:t>
      </w:r>
      <w:r>
        <w:rPr>
          <w:w w:val="105"/>
          <w:sz w:val="21"/>
        </w:rPr>
        <w:t>functions</w:t>
      </w:r>
      <w:r>
        <w:rPr>
          <w:spacing w:val="-16"/>
          <w:w w:val="105"/>
          <w:sz w:val="21"/>
        </w:rPr>
        <w:t> </w:t>
      </w:r>
      <w:r>
        <w:rPr>
          <w:w w:val="105"/>
          <w:sz w:val="21"/>
        </w:rPr>
        <w:t>being</w:t>
      </w:r>
      <w:r>
        <w:rPr>
          <w:spacing w:val="-22"/>
          <w:w w:val="105"/>
          <w:sz w:val="21"/>
        </w:rPr>
        <w:t> </w:t>
      </w:r>
      <w:r>
        <w:rPr>
          <w:w w:val="105"/>
          <w:sz w:val="21"/>
        </w:rPr>
        <w:t>computed</w:t>
      </w:r>
      <w:r>
        <w:rPr>
          <w:spacing w:val="-11"/>
          <w:w w:val="105"/>
          <w:sz w:val="21"/>
        </w:rPr>
        <w:t> </w:t>
      </w:r>
      <w:r>
        <w:rPr>
          <w:w w:val="105"/>
          <w:sz w:val="21"/>
        </w:rPr>
        <w:t>for</w:t>
      </w:r>
      <w:r>
        <w:rPr>
          <w:spacing w:val="-22"/>
          <w:w w:val="105"/>
          <w:sz w:val="21"/>
        </w:rPr>
        <w:t> </w:t>
      </w:r>
      <w:r>
        <w:rPr>
          <w:w w:val="105"/>
          <w:sz w:val="21"/>
        </w:rPr>
        <w:t>the</w:t>
      </w:r>
      <w:r>
        <w:rPr>
          <w:spacing w:val="-22"/>
          <w:w w:val="105"/>
          <w:sz w:val="21"/>
        </w:rPr>
        <w:t> </w:t>
      </w:r>
      <w:r>
        <w:rPr>
          <w:w w:val="105"/>
          <w:sz w:val="21"/>
        </w:rPr>
        <w:t>age</w:t>
      </w:r>
      <w:r>
        <w:rPr>
          <w:spacing w:val="-27"/>
          <w:w w:val="105"/>
          <w:sz w:val="21"/>
        </w:rPr>
        <w:t> </w:t>
      </w:r>
      <w:r>
        <w:rPr>
          <w:w w:val="105"/>
          <w:sz w:val="21"/>
        </w:rPr>
        <w:t>at</w:t>
      </w:r>
      <w:r>
        <w:rPr>
          <w:spacing w:val="-23"/>
          <w:w w:val="105"/>
          <w:sz w:val="21"/>
        </w:rPr>
        <w:t> </w:t>
      </w:r>
      <w:r>
        <w:rPr>
          <w:w w:val="105"/>
          <w:sz w:val="21"/>
        </w:rPr>
        <w:t>which </w:t>
      </w:r>
      <w:r>
        <w:rPr>
          <w:sz w:val="21"/>
        </w:rPr>
        <w:t>the agreement  becomes</w:t>
      </w:r>
      <w:r>
        <w:rPr>
          <w:spacing w:val="2"/>
          <w:sz w:val="21"/>
        </w:rPr>
        <w:t> </w:t>
      </w:r>
      <w:r>
        <w:rPr>
          <w:sz w:val="21"/>
        </w:rPr>
        <w:t>effective.</w:t>
      </w:r>
    </w:p>
    <w:p>
      <w:pPr>
        <w:spacing w:line="238" w:lineRule="exact" w:before="1"/>
        <w:ind w:left="126" w:right="124" w:firstLine="201"/>
        <w:jc w:val="both"/>
        <w:rPr>
          <w:sz w:val="21"/>
        </w:rPr>
      </w:pPr>
      <w:r>
        <w:rPr>
          <w:sz w:val="21"/>
        </w:rPr>
        <w:t>In the case oí whole life, term, and endowment insurance where level premiums are paid once a year, principie  (4.1)  leads directly to the following expressions:         ·</w:t>
      </w:r>
    </w:p>
    <w:p>
      <w:pPr>
        <w:spacing w:after="0" w:line="238" w:lineRule="exact"/>
        <w:jc w:val="both"/>
        <w:rPr>
          <w:sz w:val="21"/>
        </w:rPr>
        <w:sectPr>
          <w:pgSz w:w="7200" w:h="11340"/>
          <w:pgMar w:top="1060" w:bottom="280" w:left="680" w:right="520"/>
        </w:sectPr>
      </w:pPr>
    </w:p>
    <w:p>
      <w:pPr>
        <w:pStyle w:val="BodyText"/>
        <w:rPr>
          <w:sz w:val="21"/>
        </w:rPr>
      </w:pPr>
    </w:p>
    <w:p>
      <w:pPr>
        <w:spacing w:before="1"/>
        <w:ind w:left="122" w:right="-4" w:firstLine="0"/>
        <w:jc w:val="left"/>
        <w:rPr>
          <w:sz w:val="21"/>
        </w:rPr>
      </w:pPr>
      <w:r>
        <w:rPr>
          <w:sz w:val="21"/>
        </w:rPr>
        <w:t>Whole life</w:t>
      </w:r>
    </w:p>
    <w:p>
      <w:pPr>
        <w:pStyle w:val="BodyText"/>
      </w:pPr>
    </w:p>
    <w:p>
      <w:pPr>
        <w:spacing w:before="141"/>
        <w:ind w:left="115" w:right="-4" w:firstLine="0"/>
        <w:jc w:val="left"/>
        <w:rPr>
          <w:b/>
          <w:sz w:val="19"/>
        </w:rPr>
      </w:pPr>
      <w:r>
        <w:rPr>
          <w:b/>
          <w:w w:val="105"/>
          <w:sz w:val="19"/>
        </w:rPr>
        <w:t>Term</w:t>
      </w:r>
    </w:p>
    <w:p>
      <w:pPr>
        <w:pStyle w:val="BodyText"/>
        <w:rPr>
          <w:b/>
          <w:sz w:val="18"/>
        </w:rPr>
      </w:pPr>
    </w:p>
    <w:p>
      <w:pPr>
        <w:pStyle w:val="BodyText"/>
        <w:spacing w:before="3"/>
        <w:rPr>
          <w:b/>
          <w:sz w:val="14"/>
        </w:rPr>
      </w:pPr>
    </w:p>
    <w:p>
      <w:pPr>
        <w:spacing w:line="25" w:lineRule="exact" w:before="0"/>
        <w:ind w:left="119" w:right="-4" w:firstLine="0"/>
        <w:jc w:val="left"/>
        <w:rPr>
          <w:sz w:val="21"/>
        </w:rPr>
      </w:pPr>
      <w:r>
        <w:rPr>
          <w:rFonts w:ascii="Arial"/>
          <w:spacing w:val="-3"/>
          <w:w w:val="105"/>
          <w:position w:val="2"/>
          <w:sz w:val="18"/>
        </w:rPr>
        <w:t>E</w:t>
      </w:r>
      <w:r>
        <w:rPr>
          <w:spacing w:val="-3"/>
          <w:w w:val="105"/>
          <w:sz w:val="21"/>
        </w:rPr>
        <w:t>n</w:t>
      </w:r>
      <w:r>
        <w:rPr>
          <w:rFonts w:ascii="Arial"/>
          <w:spacing w:val="-3"/>
          <w:w w:val="105"/>
          <w:position w:val="1"/>
          <w:sz w:val="18"/>
        </w:rPr>
        <w:t>d</w:t>
      </w:r>
      <w:r>
        <w:rPr>
          <w:spacing w:val="-3"/>
          <w:w w:val="105"/>
          <w:sz w:val="21"/>
        </w:rPr>
        <w:t>owment</w:t>
      </w:r>
    </w:p>
    <w:p>
      <w:pPr>
        <w:spacing w:line="248" w:lineRule="exact" w:before="146"/>
        <w:ind w:left="369" w:right="0" w:firstLine="0"/>
        <w:jc w:val="center"/>
        <w:rPr>
          <w:b/>
          <w:i/>
          <w:sz w:val="21"/>
        </w:rPr>
      </w:pPr>
      <w:r>
        <w:rPr/>
        <w:br w:type="column"/>
      </w:r>
      <w:r>
        <w:rPr>
          <w:b/>
          <w:i/>
          <w:sz w:val="21"/>
        </w:rPr>
        <w:t>p   </w:t>
      </w:r>
      <w:r>
        <w:rPr>
          <w:sz w:val="24"/>
        </w:rPr>
        <w:t>= </w:t>
      </w:r>
      <w:r>
        <w:rPr>
          <w:b/>
          <w:i/>
          <w:sz w:val="21"/>
          <w:u w:val="single"/>
        </w:rPr>
        <w:t>Az  </w:t>
      </w:r>
      <w:r>
        <w:rPr>
          <w:sz w:val="24"/>
        </w:rPr>
        <w:t>= </w:t>
      </w:r>
      <w:r>
        <w:rPr>
          <w:b/>
          <w:i/>
          <w:sz w:val="21"/>
          <w:u w:val="single"/>
        </w:rPr>
        <w:t>M z</w:t>
      </w:r>
    </w:p>
    <w:p>
      <w:pPr>
        <w:tabs>
          <w:tab w:pos="897" w:val="left" w:leader="none"/>
          <w:tab w:pos="1405" w:val="left" w:leader="none"/>
        </w:tabs>
        <w:spacing w:line="202" w:lineRule="exact" w:before="0"/>
        <w:ind w:left="479" w:right="0" w:firstLine="0"/>
        <w:jc w:val="center"/>
        <w:rPr>
          <w:rFonts w:ascii="Arial" w:hAnsi="Arial"/>
          <w:i/>
          <w:sz w:val="20"/>
        </w:rPr>
      </w:pPr>
      <w:r>
        <w:rPr>
          <w:rFonts w:ascii="Arial" w:hAnsi="Arial"/>
          <w:w w:val="80"/>
          <w:sz w:val="11"/>
        </w:rPr>
        <w:t>:z:</w:t>
        <w:tab/>
      </w:r>
      <w:r>
        <w:rPr>
          <w:rFonts w:ascii="Arial" w:hAnsi="Arial"/>
          <w:w w:val="80"/>
          <w:sz w:val="17"/>
        </w:rPr>
        <w:t>éi:i:</w:t>
        <w:tab/>
      </w:r>
      <w:r>
        <w:rPr>
          <w:rFonts w:ascii="Arial" w:hAnsi="Arial"/>
          <w:i/>
          <w:w w:val="80"/>
          <w:sz w:val="20"/>
        </w:rPr>
        <w:t>N:i:</w:t>
      </w:r>
    </w:p>
    <w:p>
      <w:pPr>
        <w:tabs>
          <w:tab w:pos="925" w:val="left" w:leader="none"/>
        </w:tabs>
        <w:spacing w:line="202" w:lineRule="exact" w:before="134"/>
        <w:ind w:left="550" w:right="0" w:firstLine="0"/>
        <w:jc w:val="center"/>
        <w:rPr>
          <w:b/>
          <w:i/>
          <w:sz w:val="22"/>
        </w:rPr>
      </w:pPr>
      <w:r>
        <w:rPr/>
        <w:pict>
          <v:shape style="position:absolute;margin-left:124.019997pt;margin-top:13.338115pt;width:7.8pt;height:11pt;mso-position-horizontal-relative:page;mso-position-vertical-relative:paragraph;z-index:-728944" type="#_x0000_t202" filled="false" stroked="false">
            <v:textbox inset="0,0,0,0">
              <w:txbxContent>
                <w:p>
                  <w:pPr>
                    <w:spacing w:line="220" w:lineRule="exact" w:before="0"/>
                    <w:ind w:left="0" w:right="0" w:firstLine="0"/>
                    <w:jc w:val="left"/>
                    <w:rPr>
                      <w:b/>
                      <w:sz w:val="22"/>
                    </w:rPr>
                  </w:pPr>
                  <w:r>
                    <w:rPr>
                      <w:b/>
                      <w:w w:val="115"/>
                      <w:sz w:val="22"/>
                    </w:rPr>
                    <w:t>P</w:t>
                  </w:r>
                </w:p>
              </w:txbxContent>
            </v:textbox>
            <w10:wrap type="none"/>
          </v:shape>
        </w:pict>
      </w:r>
      <w:r>
        <w:rPr>
          <w:b/>
          <w:w w:val="106"/>
          <w:sz w:val="13"/>
        </w:rPr>
        <w:t>1</w:t>
      </w:r>
      <w:r>
        <w:rPr>
          <w:b/>
          <w:sz w:val="13"/>
        </w:rPr>
        <w:tab/>
      </w:r>
      <w:r>
        <w:rPr>
          <w:w w:val="196"/>
          <w:sz w:val="13"/>
        </w:rPr>
        <w:t>_</w:t>
      </w:r>
      <w:r>
        <w:rPr>
          <w:sz w:val="13"/>
        </w:rPr>
        <w:t>  </w:t>
      </w:r>
      <w:r>
        <w:rPr>
          <w:spacing w:val="1"/>
          <w:sz w:val="13"/>
        </w:rPr>
        <w:t> </w:t>
      </w:r>
      <w:r>
        <w:rPr>
          <w:b/>
          <w:i/>
          <w:spacing w:val="31"/>
          <w:w w:val="135"/>
          <w:sz w:val="22"/>
        </w:rPr>
        <w:t>A</w:t>
      </w:r>
      <w:r>
        <w:rPr>
          <w:b/>
          <w:i/>
          <w:w w:val="43"/>
          <w:sz w:val="22"/>
        </w:rPr>
        <w:t>:</w:t>
      </w:r>
      <w:r>
        <w:rPr>
          <w:b/>
          <w:i/>
          <w:spacing w:val="-23"/>
          <w:sz w:val="22"/>
        </w:rPr>
        <w:t> </w:t>
      </w:r>
      <w:r>
        <w:rPr>
          <w:b/>
          <w:i/>
          <w:w w:val="39"/>
          <w:sz w:val="22"/>
        </w:rPr>
        <w:t>;;J</w:t>
      </w:r>
      <w:r>
        <w:rPr>
          <w:b/>
          <w:i/>
          <w:sz w:val="22"/>
        </w:rPr>
        <w:t> </w:t>
      </w:r>
      <w:r>
        <w:rPr>
          <w:b/>
          <w:i/>
          <w:spacing w:val="7"/>
          <w:sz w:val="22"/>
        </w:rPr>
        <w:t> </w:t>
      </w:r>
      <w:r>
        <w:rPr>
          <w:w w:val="115"/>
          <w:sz w:val="22"/>
        </w:rPr>
        <w:t>_</w:t>
      </w:r>
      <w:r>
        <w:rPr>
          <w:sz w:val="22"/>
        </w:rPr>
        <w:t> </w:t>
      </w:r>
      <w:r>
        <w:rPr>
          <w:spacing w:val="-14"/>
          <w:sz w:val="22"/>
        </w:rPr>
        <w:t> </w:t>
      </w:r>
      <w:r>
        <w:rPr>
          <w:b/>
          <w:i/>
          <w:w w:val="83"/>
          <w:sz w:val="22"/>
        </w:rPr>
        <w:t>M</w:t>
      </w:r>
      <w:r>
        <w:rPr>
          <w:b/>
          <w:i/>
          <w:spacing w:val="-22"/>
          <w:sz w:val="22"/>
        </w:rPr>
        <w:t> </w:t>
      </w:r>
      <w:r>
        <w:rPr>
          <w:b/>
          <w:i/>
          <w:w w:val="81"/>
          <w:sz w:val="22"/>
        </w:rPr>
        <w:t>s</w:t>
      </w:r>
      <w:r>
        <w:rPr>
          <w:b/>
          <w:i/>
          <w:sz w:val="22"/>
        </w:rPr>
        <w:t> </w:t>
      </w:r>
      <w:r>
        <w:rPr>
          <w:b/>
          <w:i/>
          <w:spacing w:val="-19"/>
          <w:sz w:val="22"/>
        </w:rPr>
        <w:t> </w:t>
      </w:r>
      <w:r>
        <w:rPr>
          <w:w w:val="249"/>
          <w:sz w:val="22"/>
        </w:rPr>
        <w:t>-</w:t>
      </w:r>
      <w:r>
        <w:rPr>
          <w:spacing w:val="-5"/>
          <w:sz w:val="22"/>
        </w:rPr>
        <w:t> </w:t>
      </w:r>
      <w:r>
        <w:rPr>
          <w:b/>
          <w:i/>
          <w:w w:val="124"/>
          <w:sz w:val="22"/>
        </w:rPr>
        <w:t>M</w:t>
      </w:r>
      <w:r>
        <w:rPr>
          <w:b/>
          <w:i/>
          <w:spacing w:val="17"/>
          <w:w w:val="124"/>
          <w:sz w:val="22"/>
        </w:rPr>
        <w:t>*</w:t>
      </w:r>
      <w:r>
        <w:rPr>
          <w:b/>
          <w:i/>
          <w:w w:val="101"/>
          <w:sz w:val="22"/>
        </w:rPr>
        <w:t>'</w:t>
      </w:r>
    </w:p>
    <w:p>
      <w:pPr>
        <w:spacing w:line="105" w:lineRule="exact" w:before="0"/>
        <w:ind w:left="557" w:right="0" w:firstLine="0"/>
        <w:jc w:val="center"/>
        <w:rPr>
          <w:sz w:val="19"/>
        </w:rPr>
      </w:pPr>
      <w:r>
        <w:rPr>
          <w:b/>
          <w:w w:val="105"/>
          <w:sz w:val="19"/>
        </w:rPr>
        <w:t>s:.J</w:t>
      </w:r>
      <w:r>
        <w:rPr>
          <w:b/>
          <w:sz w:val="19"/>
        </w:rPr>
        <w:t>  </w:t>
      </w:r>
      <w:r>
        <w:rPr>
          <w:spacing w:val="8"/>
          <w:w w:val="274"/>
          <w:sz w:val="19"/>
        </w:rPr>
        <w:t>-</w:t>
      </w:r>
      <w:r>
        <w:rPr>
          <w:spacing w:val="-125"/>
          <w:w w:val="491"/>
          <w:sz w:val="19"/>
        </w:rPr>
        <w:t>-</w:t>
      </w:r>
      <w:r>
        <w:rPr>
          <w:w w:val="244"/>
          <w:sz w:val="19"/>
        </w:rPr>
        <w:t>-</w:t>
      </w:r>
      <w:r>
        <w:rPr>
          <w:sz w:val="19"/>
        </w:rPr>
        <w:t> </w:t>
      </w:r>
      <w:r>
        <w:rPr>
          <w:spacing w:val="20"/>
          <w:sz w:val="19"/>
        </w:rPr>
        <w:t> </w:t>
      </w:r>
      <w:r>
        <w:rPr>
          <w:w w:val="274"/>
          <w:sz w:val="19"/>
        </w:rPr>
        <w:t>-</w:t>
      </w:r>
      <w:r>
        <w:rPr>
          <w:spacing w:val="-26"/>
          <w:sz w:val="19"/>
        </w:rPr>
        <w:t> </w:t>
      </w:r>
      <w:r>
        <w:rPr>
          <w:spacing w:val="-144"/>
          <w:w w:val="469"/>
          <w:sz w:val="19"/>
        </w:rPr>
        <w:t>-</w:t>
      </w:r>
      <w:r>
        <w:rPr>
          <w:spacing w:val="-149"/>
          <w:w w:val="476"/>
          <w:sz w:val="19"/>
        </w:rPr>
        <w:t>--</w:t>
      </w:r>
      <w:r>
        <w:rPr>
          <w:spacing w:val="-111"/>
          <w:w w:val="476"/>
          <w:sz w:val="19"/>
        </w:rPr>
        <w:t>-</w:t>
      </w:r>
      <w:r>
        <w:rPr>
          <w:w w:val="244"/>
          <w:sz w:val="19"/>
        </w:rPr>
        <w:t>-</w:t>
      </w:r>
    </w:p>
    <w:p>
      <w:pPr>
        <w:tabs>
          <w:tab w:pos="2134" w:val="left" w:leader="none"/>
        </w:tabs>
        <w:spacing w:line="190" w:lineRule="exact" w:before="0"/>
        <w:ind w:left="1385" w:right="0" w:firstLine="0"/>
        <w:jc w:val="left"/>
        <w:rPr>
          <w:b/>
          <w:sz w:val="17"/>
        </w:rPr>
      </w:pPr>
      <w:r>
        <w:rPr>
          <w:b/>
          <w:sz w:val="17"/>
        </w:rPr>
        <w:t>Oz:;i</w:t>
        <w:tab/>
      </w:r>
      <w:r>
        <w:rPr>
          <w:b/>
          <w:i/>
          <w:sz w:val="22"/>
        </w:rPr>
        <w:t>N</w:t>
      </w:r>
      <w:r>
        <w:rPr>
          <w:b/>
          <w:i/>
          <w:spacing w:val="-40"/>
          <w:sz w:val="22"/>
        </w:rPr>
        <w:t> </w:t>
      </w:r>
      <w:r>
        <w:rPr>
          <w:b/>
          <w:i/>
          <w:sz w:val="22"/>
        </w:rPr>
        <w:t>s</w:t>
      </w:r>
      <w:r>
        <w:rPr>
          <w:b/>
          <w:i/>
          <w:spacing w:val="-12"/>
          <w:sz w:val="22"/>
        </w:rPr>
        <w:t> </w:t>
      </w:r>
      <w:r>
        <w:rPr>
          <w:w w:val="235"/>
          <w:sz w:val="22"/>
        </w:rPr>
        <w:t>-</w:t>
      </w:r>
      <w:r>
        <w:rPr>
          <w:spacing w:val="-115"/>
          <w:w w:val="235"/>
          <w:sz w:val="22"/>
        </w:rPr>
        <w:t> </w:t>
      </w:r>
      <w:r>
        <w:rPr>
          <w:b/>
          <w:sz w:val="17"/>
        </w:rPr>
        <w:t>N:i:+a</w:t>
      </w:r>
    </w:p>
    <w:p>
      <w:pPr>
        <w:spacing w:line="243" w:lineRule="exact" w:before="0"/>
        <w:ind w:left="68" w:right="-11" w:firstLine="0"/>
        <w:jc w:val="left"/>
        <w:rPr>
          <w:i/>
          <w:sz w:val="21"/>
        </w:rPr>
      </w:pPr>
      <w:r>
        <w:rPr>
          <w:i/>
          <w:position w:val="-10"/>
          <w:sz w:val="21"/>
        </w:rPr>
        <w:t>P</w:t>
      </w:r>
      <w:r>
        <w:rPr>
          <w:position w:val="-11"/>
          <w:sz w:val="17"/>
        </w:rPr>
        <w:t>:z::;i</w:t>
      </w:r>
      <w:r>
        <w:rPr>
          <w:spacing w:val="31"/>
          <w:position w:val="-11"/>
          <w:sz w:val="17"/>
        </w:rPr>
        <w:t> </w:t>
      </w:r>
      <w:r>
        <w:rPr>
          <w:rFonts w:ascii="Arial"/>
          <w:w w:val="145"/>
          <w:position w:val="-11"/>
          <w:sz w:val="17"/>
        </w:rPr>
        <w:t>=</w:t>
      </w:r>
      <w:r>
        <w:rPr>
          <w:rFonts w:ascii="Arial"/>
          <w:spacing w:val="-33"/>
          <w:w w:val="145"/>
          <w:position w:val="-11"/>
          <w:sz w:val="17"/>
        </w:rPr>
        <w:t> </w:t>
      </w:r>
      <w:r>
        <w:rPr>
          <w:rFonts w:ascii="Arial"/>
          <w:sz w:val="18"/>
        </w:rPr>
        <w:t>A:i::iil</w:t>
      </w:r>
      <w:r>
        <w:rPr>
          <w:rFonts w:ascii="Arial"/>
          <w:spacing w:val="10"/>
          <w:sz w:val="18"/>
        </w:rPr>
        <w:t> </w:t>
      </w:r>
      <w:r>
        <w:rPr>
          <w:rFonts w:ascii="Arial"/>
          <w:w w:val="145"/>
          <w:position w:val="-11"/>
          <w:sz w:val="17"/>
        </w:rPr>
        <w:t>=</w:t>
      </w:r>
      <w:r>
        <w:rPr>
          <w:rFonts w:ascii="Arial"/>
          <w:spacing w:val="-30"/>
          <w:w w:val="145"/>
          <w:position w:val="-11"/>
          <w:sz w:val="17"/>
        </w:rPr>
        <w:t> </w:t>
      </w:r>
      <w:r>
        <w:rPr>
          <w:rFonts w:ascii="Arial"/>
          <w:i/>
          <w:spacing w:val="-6"/>
          <w:sz w:val="18"/>
        </w:rPr>
        <w:t>}.,[</w:t>
      </w:r>
      <w:r>
        <w:rPr>
          <w:rFonts w:ascii="Arial"/>
          <w:i/>
          <w:spacing w:val="-26"/>
          <w:sz w:val="18"/>
        </w:rPr>
        <w:t> </w:t>
      </w:r>
      <w:r>
        <w:rPr>
          <w:rFonts w:ascii="Arial"/>
          <w:i/>
          <w:w w:val="75"/>
          <w:sz w:val="18"/>
        </w:rPr>
        <w:t>:,;</w:t>
      </w:r>
      <w:r>
        <w:rPr>
          <w:rFonts w:ascii="Arial"/>
          <w:i/>
          <w:spacing w:val="25"/>
          <w:w w:val="75"/>
          <w:sz w:val="18"/>
        </w:rPr>
        <w:t> </w:t>
      </w:r>
      <w:r>
        <w:rPr>
          <w:rFonts w:ascii="Arial"/>
          <w:w w:val="265"/>
          <w:sz w:val="18"/>
        </w:rPr>
        <w:t>-</w:t>
      </w:r>
      <w:r>
        <w:rPr>
          <w:rFonts w:ascii="Arial"/>
          <w:spacing w:val="-84"/>
          <w:w w:val="265"/>
          <w:sz w:val="18"/>
        </w:rPr>
        <w:t> </w:t>
      </w:r>
      <w:r>
        <w:rPr>
          <w:i/>
          <w:sz w:val="21"/>
        </w:rPr>
        <w:t>M</w:t>
      </w:r>
      <w:r>
        <w:rPr>
          <w:i/>
          <w:spacing w:val="-30"/>
          <w:sz w:val="21"/>
        </w:rPr>
        <w:t> </w:t>
      </w:r>
      <w:r>
        <w:rPr>
          <w:i/>
          <w:sz w:val="21"/>
        </w:rPr>
        <w:t>st-a</w:t>
      </w:r>
      <w:r>
        <w:rPr>
          <w:i/>
          <w:spacing w:val="18"/>
          <w:sz w:val="21"/>
        </w:rPr>
        <w:t> </w:t>
      </w:r>
      <w:r>
        <w:rPr>
          <w:rFonts w:ascii="Arial"/>
          <w:w w:val="120"/>
          <w:sz w:val="32"/>
        </w:rPr>
        <w:t>+</w:t>
      </w:r>
      <w:r>
        <w:rPr>
          <w:rFonts w:ascii="Arial"/>
          <w:spacing w:val="-67"/>
          <w:w w:val="120"/>
          <w:sz w:val="32"/>
        </w:rPr>
        <w:t> </w:t>
      </w:r>
      <w:r>
        <w:rPr>
          <w:i/>
          <w:sz w:val="21"/>
        </w:rPr>
        <w:t>Dst-n</w:t>
      </w:r>
    </w:p>
    <w:p>
      <w:pPr>
        <w:pStyle w:val="BodyText"/>
        <w:spacing w:before="8"/>
        <w:rPr>
          <w:i/>
          <w:sz w:val="21"/>
        </w:rPr>
      </w:pPr>
      <w:r>
        <w:rPr/>
        <w:br w:type="column"/>
      </w:r>
      <w:r>
        <w:rPr>
          <w:i/>
          <w:sz w:val="21"/>
        </w:rPr>
      </w:r>
    </w:p>
    <w:p>
      <w:pPr>
        <w:spacing w:before="0"/>
        <w:ind w:left="122" w:right="-15" w:firstLine="0"/>
        <w:jc w:val="left"/>
        <w:rPr>
          <w:sz w:val="19"/>
        </w:rPr>
      </w:pPr>
      <w:r>
        <w:rPr>
          <w:w w:val="105"/>
          <w:sz w:val="19"/>
        </w:rPr>
        <w:t>(4.2)</w:t>
      </w:r>
    </w:p>
    <w:p>
      <w:pPr>
        <w:pStyle w:val="BodyText"/>
        <w:rPr>
          <w:sz w:val="18"/>
        </w:rPr>
      </w:pPr>
    </w:p>
    <w:p>
      <w:pPr>
        <w:pStyle w:val="BodyText"/>
        <w:spacing w:before="11"/>
        <w:rPr>
          <w:sz w:val="14"/>
        </w:rPr>
      </w:pPr>
    </w:p>
    <w:p>
      <w:pPr>
        <w:spacing w:before="0"/>
        <w:ind w:left="115" w:right="-15" w:firstLine="0"/>
        <w:jc w:val="left"/>
        <w:rPr>
          <w:sz w:val="19"/>
        </w:rPr>
      </w:pPr>
      <w:r>
        <w:rPr>
          <w:w w:val="105"/>
          <w:sz w:val="19"/>
        </w:rPr>
        <w:t>(4.3)</w:t>
      </w:r>
    </w:p>
    <w:p>
      <w:pPr>
        <w:spacing w:after="0"/>
        <w:jc w:val="left"/>
        <w:rPr>
          <w:sz w:val="19"/>
        </w:rPr>
        <w:sectPr>
          <w:type w:val="continuous"/>
          <w:pgSz w:w="7200" w:h="11340"/>
          <w:pgMar w:top="1100" w:bottom="0" w:left="680" w:right="520"/>
          <w:cols w:num="3" w:equalWidth="0">
            <w:col w:w="1160" w:space="40"/>
            <w:col w:w="3349" w:space="823"/>
            <w:col w:w="628"/>
          </w:cols>
        </w:sectPr>
      </w:pPr>
    </w:p>
    <w:p>
      <w:pPr>
        <w:tabs>
          <w:tab w:pos="2743" w:val="left" w:leader="none"/>
        </w:tabs>
        <w:spacing w:line="151" w:lineRule="exact" w:before="11"/>
        <w:ind w:left="2016" w:right="0" w:firstLine="0"/>
        <w:jc w:val="left"/>
        <w:rPr>
          <w:rFonts w:ascii="Arial"/>
          <w:sz w:val="17"/>
        </w:rPr>
      </w:pPr>
      <w:r>
        <w:rPr>
          <w:rFonts w:ascii="Arial"/>
          <w:spacing w:val="-70"/>
          <w:w w:val="573"/>
          <w:sz w:val="17"/>
        </w:rPr>
        <w:t>-</w:t>
      </w:r>
      <w:r>
        <w:rPr>
          <w:rFonts w:ascii="Arial"/>
          <w:w w:val="293"/>
          <w:sz w:val="17"/>
        </w:rPr>
        <w:t>-</w:t>
      </w:r>
      <w:r>
        <w:rPr>
          <w:rFonts w:ascii="Arial"/>
          <w:sz w:val="17"/>
        </w:rPr>
        <w:tab/>
      </w:r>
      <w:r>
        <w:rPr>
          <w:rFonts w:ascii="Arial"/>
          <w:spacing w:val="-47"/>
          <w:w w:val="456"/>
          <w:sz w:val="17"/>
        </w:rPr>
        <w:t>-</w:t>
      </w:r>
      <w:r>
        <w:rPr>
          <w:rFonts w:ascii="Arial"/>
          <w:spacing w:val="-50"/>
          <w:w w:val="480"/>
          <w:sz w:val="17"/>
        </w:rPr>
        <w:t>------</w:t>
      </w:r>
      <w:r>
        <w:rPr>
          <w:rFonts w:ascii="Arial"/>
          <w:w w:val="542"/>
          <w:sz w:val="17"/>
        </w:rPr>
        <w:t>-</w:t>
      </w:r>
    </w:p>
    <w:p>
      <w:pPr>
        <w:spacing w:line="163" w:lineRule="exact" w:before="0"/>
        <w:ind w:left="851" w:right="0" w:firstLine="0"/>
        <w:jc w:val="left"/>
        <w:rPr>
          <w:sz w:val="19"/>
        </w:rPr>
      </w:pPr>
      <w:r>
        <w:rPr/>
        <w:br w:type="column"/>
      </w:r>
      <w:r>
        <w:rPr>
          <w:w w:val="105"/>
          <w:sz w:val="19"/>
        </w:rPr>
        <w:t>(4.4)</w:t>
      </w:r>
    </w:p>
    <w:p>
      <w:pPr>
        <w:spacing w:after="0" w:line="163" w:lineRule="exact"/>
        <w:jc w:val="left"/>
        <w:rPr>
          <w:sz w:val="19"/>
        </w:rPr>
        <w:sectPr>
          <w:type w:val="continuous"/>
          <w:pgSz w:w="7200" w:h="11340"/>
          <w:pgMar w:top="1100" w:bottom="0" w:left="680" w:right="520"/>
          <w:cols w:num="2" w:equalWidth="0">
            <w:col w:w="4603" w:space="40"/>
            <w:col w:w="1357"/>
          </w:cols>
        </w:sectPr>
      </w:pPr>
    </w:p>
    <w:p>
      <w:pPr>
        <w:tabs>
          <w:tab w:pos="3171" w:val="left" w:leader="none"/>
        </w:tabs>
        <w:spacing w:line="184" w:lineRule="exact" w:before="0"/>
        <w:ind w:left="2045" w:right="0" w:firstLine="0"/>
        <w:jc w:val="left"/>
        <w:rPr>
          <w:b/>
          <w:i/>
          <w:sz w:val="16"/>
        </w:rPr>
      </w:pPr>
      <w:r>
        <w:rPr>
          <w:w w:val="80"/>
          <w:sz w:val="18"/>
        </w:rPr>
        <w:t>Oz:;;-1</w:t>
        <w:tab/>
      </w:r>
      <w:r>
        <w:rPr>
          <w:w w:val="95"/>
          <w:sz w:val="17"/>
        </w:rPr>
        <w:t>N:z: </w:t>
      </w:r>
      <w:r>
        <w:rPr>
          <w:w w:val="315"/>
          <w:sz w:val="17"/>
        </w:rPr>
        <w:t>-</w:t>
      </w:r>
      <w:r>
        <w:rPr>
          <w:spacing w:val="-117"/>
          <w:w w:val="315"/>
          <w:sz w:val="17"/>
        </w:rPr>
        <w:t> </w:t>
      </w:r>
      <w:r>
        <w:rPr>
          <w:b/>
          <w:i/>
          <w:w w:val="120"/>
          <w:sz w:val="16"/>
        </w:rPr>
        <w:t>N z+n</w:t>
      </w:r>
    </w:p>
    <w:p>
      <w:pPr>
        <w:spacing w:before="136"/>
        <w:ind w:left="119" w:right="0" w:firstLine="0"/>
        <w:jc w:val="left"/>
        <w:rPr>
          <w:sz w:val="21"/>
        </w:rPr>
      </w:pPr>
      <w:r>
        <w:rPr>
          <w:w w:val="110"/>
          <w:sz w:val="21"/>
        </w:rPr>
        <w:t>The symbol </w:t>
      </w:r>
      <w:r>
        <w:rPr>
          <w:rFonts w:ascii="Arial"/>
          <w:w w:val="110"/>
          <w:sz w:val="19"/>
        </w:rPr>
        <w:t>P:i:: </w:t>
      </w:r>
      <w:r>
        <w:rPr>
          <w:w w:val="110"/>
          <w:sz w:val="21"/>
        </w:rPr>
        <w:t>is used for the pu.re endowment, and</w:t>
      </w:r>
    </w:p>
    <w:p>
      <w:pPr>
        <w:spacing w:after="0"/>
        <w:jc w:val="left"/>
        <w:rPr>
          <w:sz w:val="21"/>
        </w:rPr>
        <w:sectPr>
          <w:type w:val="continuous"/>
          <w:pgSz w:w="7200" w:h="11340"/>
          <w:pgMar w:top="1100" w:bottom="0" w:left="680" w:right="520"/>
        </w:sectPr>
      </w:pPr>
    </w:p>
    <w:p>
      <w:pPr>
        <w:pStyle w:val="BodyText"/>
        <w:spacing w:before="8"/>
        <w:rPr>
          <w:sz w:val="8"/>
        </w:rPr>
      </w:pPr>
    </w:p>
    <w:p>
      <w:pPr>
        <w:spacing w:line="99" w:lineRule="exact" w:before="0"/>
        <w:ind w:left="1345" w:right="0" w:firstLine="0"/>
        <w:jc w:val="center"/>
        <w:rPr>
          <w:sz w:val="11"/>
        </w:rPr>
      </w:pPr>
      <w:r>
        <w:rPr>
          <w:w w:val="148"/>
          <w:sz w:val="11"/>
        </w:rPr>
        <w:t>1</w:t>
      </w:r>
    </w:p>
    <w:p>
      <w:pPr>
        <w:tabs>
          <w:tab w:pos="2046" w:val="left" w:leader="none"/>
          <w:tab w:pos="3075" w:val="left" w:leader="none"/>
        </w:tabs>
        <w:spacing w:line="177" w:lineRule="exact" w:before="0"/>
        <w:ind w:left="1337" w:right="0" w:firstLine="0"/>
        <w:jc w:val="center"/>
        <w:rPr>
          <w:b/>
          <w:i/>
          <w:sz w:val="16"/>
        </w:rPr>
      </w:pPr>
      <w:r>
        <w:rPr>
          <w:i/>
          <w:sz w:val="21"/>
        </w:rPr>
        <w:t>p  </w:t>
      </w:r>
      <w:r>
        <w:rPr>
          <w:i/>
          <w:spacing w:val="32"/>
          <w:sz w:val="21"/>
        </w:rPr>
        <w:t> </w:t>
      </w:r>
      <w:r>
        <w:rPr>
          <w:w w:val="130"/>
          <w:sz w:val="12"/>
        </w:rPr>
        <w:t>1</w:t>
        <w:tab/>
      </w:r>
      <w:r>
        <w:rPr>
          <w:rFonts w:ascii="Arial" w:hAnsi="Arial"/>
          <w:sz w:val="19"/>
        </w:rPr>
        <w:t>A:i::</w:t>
      </w:r>
      <w:r>
        <w:rPr>
          <w:rFonts w:ascii="Arial" w:hAnsi="Arial"/>
          <w:spacing w:val="-27"/>
          <w:sz w:val="19"/>
        </w:rPr>
        <w:t> </w:t>
      </w:r>
      <w:r>
        <w:rPr>
          <w:w w:val="130"/>
          <w:sz w:val="20"/>
        </w:rPr>
        <w:t>;¡</w:t>
        <w:tab/>
      </w:r>
      <w:r>
        <w:rPr>
          <w:b/>
          <w:i/>
          <w:sz w:val="16"/>
        </w:rPr>
        <w:t>Dz+"</w:t>
      </w:r>
    </w:p>
    <w:p>
      <w:pPr>
        <w:spacing w:line="238" w:lineRule="exact" w:before="0"/>
        <w:ind w:left="1886" w:right="-12" w:firstLine="0"/>
        <w:jc w:val="left"/>
        <w:rPr>
          <w:sz w:val="16"/>
        </w:rPr>
      </w:pPr>
      <w:r>
        <w:rPr>
          <w:w w:val="90"/>
          <w:sz w:val="18"/>
        </w:rPr>
        <w:t>:z::ñ\  </w:t>
      </w:r>
      <w:r>
        <w:rPr>
          <w:w w:val="110"/>
          <w:sz w:val="24"/>
        </w:rPr>
        <w:t>= </w:t>
      </w:r>
      <w:r>
        <w:rPr>
          <w:w w:val="110"/>
          <w:sz w:val="16"/>
          <w:u w:val="thick"/>
        </w:rPr>
        <w:t>iiz:;J  </w:t>
      </w:r>
      <w:r>
        <w:rPr>
          <w:w w:val="110"/>
          <w:sz w:val="24"/>
        </w:rPr>
        <w:t>= </w:t>
      </w:r>
      <w:r>
        <w:rPr>
          <w:b/>
          <w:i/>
          <w:w w:val="110"/>
          <w:sz w:val="16"/>
        </w:rPr>
        <w:t>N z </w:t>
      </w:r>
      <w:r>
        <w:rPr>
          <w:w w:val="325"/>
          <w:sz w:val="16"/>
        </w:rPr>
        <w:t>- </w:t>
      </w:r>
      <w:r>
        <w:rPr>
          <w:b/>
          <w:i/>
          <w:w w:val="110"/>
          <w:sz w:val="16"/>
        </w:rPr>
        <w:t>N</w:t>
      </w:r>
      <w:r>
        <w:rPr>
          <w:b/>
          <w:i/>
          <w:spacing w:val="-32"/>
          <w:w w:val="110"/>
          <w:sz w:val="16"/>
        </w:rPr>
        <w:t> </w:t>
      </w:r>
      <w:r>
        <w:rPr>
          <w:b/>
          <w:i/>
          <w:w w:val="90"/>
          <w:sz w:val="16"/>
        </w:rPr>
        <w:t>z+11 </w:t>
      </w:r>
      <w:r>
        <w:rPr>
          <w:w w:val="110"/>
          <w:sz w:val="16"/>
        </w:rPr>
        <w:t>•</w:t>
      </w:r>
    </w:p>
    <w:p>
      <w:pPr>
        <w:spacing w:before="109"/>
        <w:ind w:left="0" w:right="1182" w:firstLine="0"/>
        <w:jc w:val="right"/>
        <w:rPr>
          <w:b/>
          <w:sz w:val="17"/>
        </w:rPr>
      </w:pPr>
      <w:r>
        <w:rPr>
          <w:b/>
          <w:w w:val="90"/>
          <w:sz w:val="17"/>
        </w:rPr>
        <w:t>81</w:t>
      </w:r>
    </w:p>
    <w:p>
      <w:pPr>
        <w:pStyle w:val="BodyText"/>
        <w:spacing w:before="1"/>
        <w:rPr>
          <w:b/>
          <w:sz w:val="24"/>
        </w:rPr>
      </w:pPr>
      <w:r>
        <w:rPr/>
        <w:br w:type="column"/>
      </w:r>
      <w:r>
        <w:rPr>
          <w:b/>
          <w:sz w:val="24"/>
        </w:rPr>
      </w:r>
    </w:p>
    <w:p>
      <w:pPr>
        <w:spacing w:before="0"/>
        <w:ind w:left="0" w:right="129" w:firstLine="0"/>
        <w:jc w:val="right"/>
        <w:rPr>
          <w:sz w:val="19"/>
        </w:rPr>
      </w:pPr>
      <w:r>
        <w:rPr>
          <w:sz w:val="19"/>
        </w:rPr>
        <w:t>(4.5)</w:t>
      </w:r>
    </w:p>
    <w:p>
      <w:pPr>
        <w:spacing w:after="0"/>
        <w:jc w:val="right"/>
        <w:rPr>
          <w:sz w:val="19"/>
        </w:rPr>
        <w:sectPr>
          <w:type w:val="continuous"/>
          <w:pgSz w:w="7200" w:h="11340"/>
          <w:pgMar w:top="1100" w:bottom="0" w:left="680" w:right="520"/>
          <w:cols w:num="2" w:equalWidth="0">
            <w:col w:w="4274" w:space="40"/>
            <w:col w:w="1686"/>
          </w:cols>
        </w:sectPr>
      </w:pPr>
    </w:p>
    <w:p>
      <w:pPr>
        <w:tabs>
          <w:tab w:pos="2018" w:val="left" w:leader="none"/>
          <w:tab w:pos="5416" w:val="left" w:leader="none"/>
        </w:tabs>
        <w:spacing w:before="57"/>
        <w:ind w:left="373" w:right="0" w:hanging="209"/>
        <w:jc w:val="left"/>
        <w:rPr>
          <w:sz w:val="19"/>
        </w:rPr>
      </w:pPr>
      <w:r>
        <w:rPr>
          <w:rFonts w:ascii="Arial"/>
          <w:w w:val="105"/>
          <w:position w:val="1"/>
          <w:sz w:val="19"/>
        </w:rPr>
        <w:t>82</w:t>
        <w:tab/>
      </w:r>
      <w:r>
        <w:rPr>
          <w:w w:val="105"/>
          <w:position w:val="1"/>
          <w:sz w:val="15"/>
        </w:rPr>
        <w:t>NET </w:t>
      </w:r>
      <w:r>
        <w:rPr>
          <w:spacing w:val="38"/>
          <w:w w:val="105"/>
          <w:position w:val="1"/>
          <w:sz w:val="15"/>
        </w:rPr>
        <w:t> </w:t>
      </w:r>
      <w:r>
        <w:rPr>
          <w:w w:val="105"/>
          <w:position w:val="1"/>
          <w:sz w:val="15"/>
        </w:rPr>
        <w:t>ANNUAL  </w:t>
      </w:r>
      <w:r>
        <w:rPr>
          <w:spacing w:val="8"/>
          <w:w w:val="105"/>
          <w:position w:val="1"/>
          <w:sz w:val="15"/>
        </w:rPr>
        <w:t> </w:t>
      </w:r>
      <w:r>
        <w:rPr>
          <w:w w:val="105"/>
          <w:position w:val="1"/>
          <w:sz w:val="15"/>
        </w:rPr>
        <w:t>PREMIUMS</w:t>
        <w:tab/>
      </w:r>
      <w:r>
        <w:rPr>
          <w:w w:val="95"/>
          <w:sz w:val="19"/>
        </w:rPr>
        <w:t>{CH.</w:t>
      </w:r>
      <w:r>
        <w:rPr>
          <w:spacing w:val="-27"/>
          <w:w w:val="95"/>
          <w:sz w:val="19"/>
        </w:rPr>
        <w:t> </w:t>
      </w:r>
      <w:r>
        <w:rPr>
          <w:w w:val="95"/>
          <w:sz w:val="19"/>
        </w:rPr>
        <w:t>4</w:t>
      </w:r>
    </w:p>
    <w:p>
      <w:pPr>
        <w:pStyle w:val="BodyText"/>
        <w:spacing w:before="2"/>
        <w:rPr>
          <w:sz w:val="21"/>
        </w:rPr>
      </w:pPr>
    </w:p>
    <w:p>
      <w:pPr>
        <w:pStyle w:val="BodyText"/>
        <w:ind w:left="373"/>
      </w:pPr>
      <w:r>
        <w:rPr>
          <w:w w:val="105"/>
        </w:rPr>
        <w:t>A relation  connecting </w:t>
      </w:r>
      <w:r>
        <w:rPr>
          <w:i/>
          <w:w w:val="105"/>
          <w:sz w:val="19"/>
        </w:rPr>
        <w:t>Pz </w:t>
      </w:r>
      <w:r>
        <w:rPr>
          <w:w w:val="105"/>
        </w:rPr>
        <w:t>and </w:t>
      </w:r>
      <w:r>
        <w:rPr>
          <w:i/>
          <w:w w:val="105"/>
          <w:sz w:val="19"/>
        </w:rPr>
        <w:t>iiz </w:t>
      </w:r>
      <w:r>
        <w:rPr>
          <w:w w:val="105"/>
        </w:rPr>
        <w:t>may be derived by dividing   the</w:t>
      </w:r>
    </w:p>
    <w:p>
      <w:pPr>
        <w:spacing w:after="0"/>
        <w:sectPr>
          <w:pgSz w:w="7200" w:h="11340"/>
          <w:pgMar w:top="500" w:bottom="280" w:left="660" w:right="520"/>
        </w:sectPr>
      </w:pPr>
    </w:p>
    <w:p>
      <w:pPr>
        <w:spacing w:line="208" w:lineRule="exact" w:before="80"/>
        <w:ind w:left="160" w:right="-15" w:firstLine="0"/>
        <w:jc w:val="left"/>
        <w:rPr>
          <w:sz w:val="23"/>
        </w:rPr>
      </w:pPr>
      <w:r>
        <w:rPr>
          <w:w w:val="102"/>
          <w:sz w:val="20"/>
        </w:rPr>
        <w:t>expres</w:t>
      </w:r>
      <w:r>
        <w:rPr>
          <w:spacing w:val="1"/>
          <w:w w:val="102"/>
          <w:sz w:val="20"/>
        </w:rPr>
        <w:t>s</w:t>
      </w:r>
      <w:r>
        <w:rPr>
          <w:spacing w:val="-81"/>
          <w:w w:val="91"/>
          <w:sz w:val="20"/>
        </w:rPr>
        <w:t>1</w:t>
      </w:r>
      <w:r>
        <w:rPr>
          <w:w w:val="115"/>
          <w:position w:val="5"/>
          <w:sz w:val="20"/>
        </w:rPr>
        <w:t>.</w:t>
      </w:r>
      <w:r>
        <w:rPr>
          <w:spacing w:val="-28"/>
          <w:position w:val="5"/>
          <w:sz w:val="20"/>
        </w:rPr>
        <w:t> </w:t>
      </w:r>
      <w:r>
        <w:rPr>
          <w:w w:val="91"/>
          <w:sz w:val="20"/>
        </w:rPr>
        <w:t>on</w:t>
      </w:r>
      <w:r>
        <w:rPr>
          <w:spacing w:val="-7"/>
          <w:sz w:val="20"/>
        </w:rPr>
        <w:t> </w:t>
      </w:r>
      <w:r>
        <w:rPr>
          <w:i/>
          <w:spacing w:val="24"/>
          <w:w w:val="106"/>
          <w:position w:val="5"/>
          <w:sz w:val="20"/>
        </w:rPr>
        <w:t>A</w:t>
      </w:r>
      <w:r>
        <w:rPr>
          <w:i/>
          <w:w w:val="113"/>
          <w:sz w:val="14"/>
        </w:rPr>
        <w:t>z</w:t>
      </w:r>
      <w:r>
        <w:rPr>
          <w:i/>
          <w:sz w:val="14"/>
        </w:rPr>
        <w:t>  </w:t>
      </w:r>
      <w:r>
        <w:rPr>
          <w:i/>
          <w:spacing w:val="-13"/>
          <w:sz w:val="14"/>
        </w:rPr>
        <w:t> </w:t>
      </w:r>
      <w:r>
        <w:rPr>
          <w:w w:val="104"/>
          <w:sz w:val="23"/>
        </w:rPr>
        <w:t>=</w:t>
      </w:r>
    </w:p>
    <w:p>
      <w:pPr>
        <w:spacing w:line="223" w:lineRule="exact" w:before="64"/>
        <w:ind w:left="68" w:right="-6" w:firstLine="0"/>
        <w:jc w:val="left"/>
        <w:rPr>
          <w:i/>
          <w:sz w:val="20"/>
        </w:rPr>
      </w:pPr>
      <w:r>
        <w:rPr/>
        <w:br w:type="column"/>
      </w:r>
      <w:r>
        <w:rPr>
          <w:w w:val="112"/>
          <w:position w:val="5"/>
          <w:sz w:val="21"/>
        </w:rPr>
        <w:t>I</w:t>
      </w:r>
      <w:r>
        <w:rPr>
          <w:position w:val="5"/>
          <w:sz w:val="21"/>
        </w:rPr>
        <w:t> </w:t>
      </w:r>
      <w:r>
        <w:rPr>
          <w:spacing w:val="-15"/>
          <w:position w:val="5"/>
          <w:sz w:val="21"/>
        </w:rPr>
        <w:t> </w:t>
      </w:r>
      <w:r>
        <w:rPr>
          <w:w w:val="244"/>
          <w:sz w:val="23"/>
        </w:rPr>
        <w:t>-</w:t>
      </w:r>
      <w:r>
        <w:rPr>
          <w:spacing w:val="-15"/>
          <w:sz w:val="23"/>
        </w:rPr>
        <w:t> </w:t>
      </w:r>
      <w:r>
        <w:rPr>
          <w:spacing w:val="-77"/>
          <w:w w:val="80"/>
          <w:sz w:val="15"/>
        </w:rPr>
        <w:t>U</w:t>
      </w:r>
      <w:r>
        <w:rPr>
          <w:rFonts w:ascii="Arial" w:hAnsi="Arial"/>
          <w:i/>
          <w:w w:val="143"/>
          <w:position w:val="5"/>
          <w:sz w:val="8"/>
        </w:rPr>
        <w:t>,</w:t>
      </w:r>
      <w:r>
        <w:rPr>
          <w:rFonts w:ascii="Arial" w:hAnsi="Arial"/>
          <w:i/>
          <w:spacing w:val="-13"/>
          <w:w w:val="144"/>
          <w:position w:val="5"/>
          <w:sz w:val="8"/>
        </w:rPr>
        <w:t>J</w:t>
      </w:r>
      <w:r>
        <w:rPr>
          <w:spacing w:val="-76"/>
          <w:w w:val="80"/>
          <w:sz w:val="15"/>
        </w:rPr>
        <w:t>Ü</w:t>
      </w:r>
      <w:r>
        <w:rPr>
          <w:rFonts w:ascii="Arial" w:hAnsi="Arial"/>
          <w:i/>
          <w:w w:val="143"/>
          <w:position w:val="5"/>
          <w:sz w:val="8"/>
        </w:rPr>
        <w:t>,;</w:t>
      </w:r>
      <w:r>
        <w:rPr>
          <w:rFonts w:ascii="Arial" w:hAnsi="Arial"/>
          <w:i/>
          <w:spacing w:val="-21"/>
          <w:w w:val="143"/>
          <w:position w:val="5"/>
          <w:sz w:val="8"/>
        </w:rPr>
        <w:t>:</w:t>
      </w:r>
      <w:r>
        <w:rPr>
          <w:w w:val="80"/>
          <w:sz w:val="15"/>
        </w:rPr>
        <w:t>.z</w:t>
      </w:r>
      <w:r>
        <w:rPr>
          <w:sz w:val="15"/>
        </w:rPr>
        <w:t> </w:t>
      </w:r>
      <w:r>
        <w:rPr>
          <w:spacing w:val="-8"/>
          <w:sz w:val="15"/>
        </w:rPr>
        <w:t> </w:t>
      </w:r>
      <w:r>
        <w:rPr>
          <w:spacing w:val="-5"/>
          <w:w w:val="104"/>
          <w:position w:val="5"/>
          <w:sz w:val="21"/>
        </w:rPr>
        <w:t>b</w:t>
      </w:r>
      <w:r>
        <w:rPr>
          <w:w w:val="108"/>
          <w:sz w:val="20"/>
        </w:rPr>
        <w:t>y</w:t>
      </w:r>
      <w:r>
        <w:rPr>
          <w:spacing w:val="14"/>
          <w:sz w:val="20"/>
        </w:rPr>
        <w:t> </w:t>
      </w:r>
      <w:r>
        <w:rPr>
          <w:i/>
          <w:w w:val="73"/>
          <w:sz w:val="27"/>
        </w:rPr>
        <w:t>az,</w:t>
      </w:r>
      <w:r>
        <w:rPr>
          <w:i/>
          <w:spacing w:val="28"/>
          <w:sz w:val="27"/>
        </w:rPr>
        <w:t> </w:t>
      </w:r>
      <w:r>
        <w:rPr>
          <w:w w:val="87"/>
          <w:sz w:val="20"/>
        </w:rPr>
        <w:t>y</w:t>
      </w:r>
      <w:r>
        <w:rPr>
          <w:spacing w:val="-48"/>
          <w:w w:val="87"/>
          <w:sz w:val="20"/>
        </w:rPr>
        <w:t>1</w:t>
      </w:r>
      <w:r>
        <w:rPr>
          <w:spacing w:val="-10"/>
          <w:w w:val="109"/>
          <w:position w:val="5"/>
          <w:sz w:val="21"/>
        </w:rPr>
        <w:t>.</w:t>
      </w:r>
      <w:r>
        <w:rPr>
          <w:spacing w:val="8"/>
          <w:w w:val="86"/>
          <w:sz w:val="20"/>
        </w:rPr>
        <w:t>e</w:t>
      </w:r>
      <w:r>
        <w:rPr>
          <w:w w:val="84"/>
          <w:position w:val="5"/>
          <w:sz w:val="21"/>
        </w:rPr>
        <w:t>Id</w:t>
      </w:r>
      <w:r>
        <w:rPr>
          <w:spacing w:val="-39"/>
          <w:w w:val="84"/>
          <w:position w:val="5"/>
          <w:sz w:val="21"/>
        </w:rPr>
        <w:t>º</w:t>
      </w:r>
      <w:r>
        <w:rPr>
          <w:w w:val="102"/>
          <w:sz w:val="20"/>
        </w:rPr>
        <w:t>m</w:t>
      </w:r>
      <w:r>
        <w:rPr>
          <w:w w:val="103"/>
          <w:sz w:val="20"/>
        </w:rPr>
        <w:t>g</w:t>
      </w:r>
      <w:r>
        <w:rPr>
          <w:spacing w:val="22"/>
          <w:sz w:val="20"/>
        </w:rPr>
        <w:t> </w:t>
      </w:r>
      <w:r>
        <w:rPr>
          <w:i/>
          <w:spacing w:val="-3"/>
          <w:w w:val="101"/>
          <w:position w:val="5"/>
          <w:sz w:val="20"/>
        </w:rPr>
        <w:t>A</w:t>
      </w:r>
      <w:r>
        <w:rPr>
          <w:i/>
          <w:w w:val="101"/>
          <w:position w:val="5"/>
          <w:sz w:val="20"/>
        </w:rPr>
        <w:t>z</w:t>
      </w:r>
    </w:p>
    <w:p>
      <w:pPr>
        <w:spacing w:line="287" w:lineRule="exact" w:before="0"/>
        <w:ind w:left="76" w:right="-16" w:firstLine="0"/>
        <w:jc w:val="left"/>
        <w:rPr>
          <w:sz w:val="23"/>
        </w:rPr>
      </w:pPr>
      <w:r>
        <w:rPr/>
        <w:br w:type="column"/>
      </w:r>
      <w:r>
        <w:rPr>
          <w:w w:val="101"/>
          <w:sz w:val="23"/>
        </w:rPr>
        <w:t>=</w:t>
      </w:r>
      <w:r>
        <w:rPr>
          <w:spacing w:val="26"/>
          <w:sz w:val="23"/>
        </w:rPr>
        <w:t> </w:t>
      </w:r>
      <w:r>
        <w:rPr>
          <w:spacing w:val="-28"/>
          <w:w w:val="80"/>
          <w:sz w:val="23"/>
        </w:rPr>
        <w:t>-</w:t>
      </w:r>
      <w:r>
        <w:rPr>
          <w:spacing w:val="-147"/>
          <w:w w:val="122"/>
          <w:position w:val="12"/>
          <w:sz w:val="21"/>
        </w:rPr>
        <w:t>1</w:t>
      </w:r>
      <w:r>
        <w:rPr>
          <w:w w:val="80"/>
          <w:sz w:val="23"/>
        </w:rPr>
        <w:t>:-</w:t>
      </w:r>
      <w:r>
        <w:rPr>
          <w:spacing w:val="26"/>
          <w:sz w:val="23"/>
        </w:rPr>
        <w:t> </w:t>
      </w:r>
      <w:r>
        <w:rPr>
          <w:w w:val="238"/>
          <w:sz w:val="23"/>
        </w:rPr>
        <w:t>-</w:t>
      </w:r>
      <w:r>
        <w:rPr>
          <w:spacing w:val="-14"/>
          <w:sz w:val="23"/>
        </w:rPr>
        <w:t> </w:t>
      </w:r>
      <w:r>
        <w:rPr>
          <w:i/>
          <w:w w:val="92"/>
          <w:position w:val="5"/>
          <w:sz w:val="20"/>
        </w:rPr>
        <w:t>d</w:t>
      </w:r>
      <w:r>
        <w:rPr>
          <w:i/>
          <w:spacing w:val="-20"/>
          <w:position w:val="5"/>
          <w:sz w:val="20"/>
        </w:rPr>
        <w:t> </w:t>
      </w:r>
      <w:r>
        <w:rPr>
          <w:w w:val="94"/>
          <w:sz w:val="23"/>
        </w:rPr>
        <w:t>,</w:t>
      </w:r>
    </w:p>
    <w:p>
      <w:pPr>
        <w:spacing w:after="0" w:line="287" w:lineRule="exact"/>
        <w:jc w:val="left"/>
        <w:rPr>
          <w:sz w:val="23"/>
        </w:rPr>
        <w:sectPr>
          <w:type w:val="continuous"/>
          <w:pgSz w:w="7200" w:h="11340"/>
          <w:pgMar w:top="1100" w:bottom="0" w:left="660" w:right="520"/>
          <w:cols w:num="3" w:equalWidth="0">
            <w:col w:w="1543" w:space="40"/>
            <w:col w:w="2365" w:space="40"/>
            <w:col w:w="2032"/>
          </w:cols>
        </w:sectPr>
      </w:pPr>
    </w:p>
    <w:p>
      <w:pPr>
        <w:pStyle w:val="BodyText"/>
        <w:rPr>
          <w:sz w:val="22"/>
        </w:rPr>
      </w:pPr>
    </w:p>
    <w:p>
      <w:pPr>
        <w:tabs>
          <w:tab w:pos="2464" w:val="left" w:leader="none"/>
        </w:tabs>
        <w:spacing w:before="164"/>
        <w:ind w:left="160" w:right="0" w:firstLine="0"/>
        <w:jc w:val="left"/>
        <w:rPr>
          <w:rFonts w:ascii="Arial"/>
          <w:i/>
          <w:sz w:val="20"/>
        </w:rPr>
      </w:pPr>
      <w:r>
        <w:rPr>
          <w:w w:val="125"/>
          <w:position w:val="2"/>
          <w:sz w:val="21"/>
        </w:rPr>
        <w:t>or</w:t>
        <w:tab/>
      </w:r>
      <w:r>
        <w:rPr>
          <w:rFonts w:ascii="Arial"/>
          <w:i/>
          <w:w w:val="130"/>
          <w:sz w:val="20"/>
        </w:rPr>
        <w:t>P.=</w:t>
      </w:r>
    </w:p>
    <w:p>
      <w:pPr>
        <w:pStyle w:val="BodyText"/>
        <w:spacing w:before="8"/>
        <w:rPr>
          <w:rFonts w:ascii="Arial"/>
          <w:i/>
          <w:sz w:val="26"/>
        </w:rPr>
      </w:pPr>
      <w:r>
        <w:rPr/>
        <w:br w:type="column"/>
      </w:r>
      <w:r>
        <w:rPr>
          <w:rFonts w:ascii="Arial"/>
          <w:i/>
          <w:sz w:val="26"/>
        </w:rPr>
      </w:r>
    </w:p>
    <w:p>
      <w:pPr>
        <w:spacing w:line="321" w:lineRule="exact" w:before="0"/>
        <w:ind w:left="84" w:right="-16" w:firstLine="0"/>
        <w:jc w:val="left"/>
        <w:rPr>
          <w:rFonts w:ascii="Arial"/>
          <w:i/>
          <w:sz w:val="19"/>
        </w:rPr>
      </w:pPr>
      <w:r>
        <w:rPr>
          <w:w w:val="155"/>
          <w:position w:val="13"/>
          <w:sz w:val="21"/>
        </w:rPr>
        <w:t>1</w:t>
      </w:r>
      <w:r>
        <w:rPr>
          <w:spacing w:val="-37"/>
          <w:w w:val="155"/>
          <w:position w:val="13"/>
          <w:sz w:val="21"/>
        </w:rPr>
        <w:t> </w:t>
      </w:r>
      <w:r>
        <w:rPr>
          <w:rFonts w:ascii="Arial"/>
          <w:w w:val="245"/>
          <w:sz w:val="20"/>
        </w:rPr>
        <w:t>-</w:t>
      </w:r>
      <w:r>
        <w:rPr>
          <w:rFonts w:ascii="Arial"/>
          <w:spacing w:val="-103"/>
          <w:w w:val="245"/>
          <w:sz w:val="20"/>
        </w:rPr>
        <w:t> </w:t>
      </w:r>
      <w:r>
        <w:rPr>
          <w:rFonts w:ascii="Arial"/>
          <w:i/>
          <w:w w:val="120"/>
          <w:sz w:val="19"/>
        </w:rPr>
        <w:t>d.</w:t>
      </w:r>
    </w:p>
    <w:p>
      <w:pPr>
        <w:spacing w:line="159" w:lineRule="exact" w:before="0"/>
        <w:ind w:left="38" w:right="-16" w:firstLine="0"/>
        <w:jc w:val="left"/>
        <w:rPr>
          <w:b/>
          <w:sz w:val="18"/>
        </w:rPr>
      </w:pPr>
      <w:r>
        <w:rPr/>
        <w:pict>
          <v:shape style="position:absolute;margin-left:182.880005pt;margin-top:-7.841537pt;width:10.1pt;height:10pt;mso-position-horizontal-relative:page;mso-position-vertical-relative:paragraph;z-index:-728872" type="#_x0000_t202" filled="false" stroked="false">
            <v:textbox inset="0,0,0,0">
              <w:txbxContent>
                <w:p>
                  <w:pPr>
                    <w:pStyle w:val="BodyText"/>
                    <w:spacing w:line="200" w:lineRule="exact"/>
                    <w:rPr>
                      <w:rFonts w:ascii="Arial"/>
                    </w:rPr>
                  </w:pPr>
                  <w:r>
                    <w:rPr>
                      <w:rFonts w:ascii="Arial"/>
                      <w:w w:val="301"/>
                    </w:rPr>
                    <w:t>-</w:t>
                  </w:r>
                </w:p>
              </w:txbxContent>
            </v:textbox>
            <w10:wrap type="none"/>
          </v:shape>
        </w:pict>
      </w:r>
      <w:r>
        <w:rPr>
          <w:b/>
          <w:w w:val="75"/>
          <w:sz w:val="18"/>
        </w:rPr>
        <w:t>tia;</w:t>
      </w:r>
    </w:p>
    <w:p>
      <w:pPr>
        <w:tabs>
          <w:tab w:pos="602" w:val="left" w:leader="none"/>
        </w:tabs>
        <w:spacing w:line="214" w:lineRule="exact" w:before="0"/>
        <w:ind w:left="87" w:right="0" w:firstLine="0"/>
        <w:jc w:val="left"/>
        <w:rPr>
          <w:i/>
          <w:sz w:val="21"/>
        </w:rPr>
      </w:pPr>
      <w:r>
        <w:rPr/>
        <w:br w:type="column"/>
      </w:r>
      <w:r>
        <w:rPr>
          <w:i/>
          <w:w w:val="95"/>
          <w:sz w:val="16"/>
        </w:rPr>
        <w:t>O,z</w:t>
        <w:tab/>
      </w:r>
      <w:r>
        <w:rPr>
          <w:i/>
          <w:w w:val="85"/>
          <w:sz w:val="21"/>
        </w:rPr>
        <w:t>az</w:t>
      </w:r>
    </w:p>
    <w:p>
      <w:pPr>
        <w:pStyle w:val="BodyText"/>
        <w:rPr>
          <w:i/>
        </w:rPr>
      </w:pPr>
      <w:r>
        <w:rPr/>
        <w:br w:type="column"/>
      </w:r>
      <w:r>
        <w:rPr>
          <w:i/>
        </w:rPr>
      </w:r>
    </w:p>
    <w:p>
      <w:pPr>
        <w:pStyle w:val="BodyText"/>
        <w:spacing w:before="2"/>
        <w:rPr>
          <w:i/>
          <w:sz w:val="18"/>
        </w:rPr>
      </w:pPr>
    </w:p>
    <w:p>
      <w:pPr>
        <w:pStyle w:val="BodyText"/>
        <w:ind w:left="160"/>
      </w:pPr>
      <w:r>
        <w:rPr>
          <w:w w:val="110"/>
        </w:rPr>
        <w:t>(4.6)</w:t>
      </w:r>
    </w:p>
    <w:p>
      <w:pPr>
        <w:spacing w:after="0"/>
        <w:sectPr>
          <w:type w:val="continuous"/>
          <w:pgSz w:w="7200" w:h="11340"/>
          <w:pgMar w:top="1100" w:bottom="0" w:left="660" w:right="520"/>
          <w:cols w:num="4" w:equalWidth="0">
            <w:col w:w="2920" w:space="40"/>
            <w:col w:w="682" w:space="40"/>
            <w:col w:w="769" w:space="864"/>
            <w:col w:w="705"/>
          </w:cols>
        </w:sectPr>
      </w:pPr>
    </w:p>
    <w:p>
      <w:pPr>
        <w:pStyle w:val="BodyText"/>
        <w:spacing w:before="123"/>
        <w:ind w:left="157"/>
      </w:pPr>
      <w:r>
        <w:rPr>
          <w:w w:val="105"/>
        </w:rPr>
        <w:t>A similar relation  for endowment  premiums is</w:t>
      </w:r>
    </w:p>
    <w:p>
      <w:pPr>
        <w:spacing w:after="0"/>
        <w:sectPr>
          <w:type w:val="continuous"/>
          <w:pgSz w:w="7200" w:h="11340"/>
          <w:pgMar w:top="1100" w:bottom="0" w:left="660" w:right="520"/>
        </w:sectPr>
      </w:pPr>
    </w:p>
    <w:p>
      <w:pPr>
        <w:spacing w:line="332" w:lineRule="exact" w:before="137"/>
        <w:ind w:left="0" w:right="92" w:firstLine="0"/>
        <w:jc w:val="right"/>
        <w:rPr>
          <w:sz w:val="20"/>
        </w:rPr>
      </w:pPr>
      <w:r>
        <w:rPr>
          <w:b/>
          <w:w w:val="75"/>
          <w:sz w:val="21"/>
        </w:rPr>
        <w:t>P.</w:t>
      </w:r>
      <w:r>
        <w:rPr>
          <w:b/>
          <w:w w:val="75"/>
          <w:sz w:val="21"/>
        </w:rPr>
        <w:t>z</w:t>
      </w:r>
      <w:r>
        <w:rPr>
          <w:b/>
          <w:w w:val="75"/>
          <w:sz w:val="21"/>
        </w:rPr>
        <w:t>:iil</w:t>
      </w:r>
      <w:r>
        <w:rPr>
          <w:b/>
          <w:sz w:val="21"/>
        </w:rPr>
        <w:t> </w:t>
      </w:r>
      <w:r>
        <w:rPr>
          <w:b/>
          <w:spacing w:val="8"/>
          <w:sz w:val="21"/>
        </w:rPr>
        <w:t> </w:t>
      </w:r>
      <w:r>
        <w:rPr>
          <w:w w:val="94"/>
          <w:sz w:val="26"/>
        </w:rPr>
        <w:t>=</w:t>
      </w:r>
      <w:r>
        <w:rPr>
          <w:spacing w:val="-16"/>
          <w:sz w:val="26"/>
        </w:rPr>
        <w:t> </w:t>
      </w:r>
      <w:r>
        <w:rPr>
          <w:spacing w:val="-177"/>
          <w:w w:val="167"/>
          <w:sz w:val="26"/>
        </w:rPr>
        <w:t>-</w:t>
      </w:r>
      <w:r>
        <w:rPr>
          <w:w w:val="56"/>
          <w:sz w:val="26"/>
        </w:rPr>
        <w:t>..</w:t>
      </w:r>
      <w:r>
        <w:rPr>
          <w:spacing w:val="-37"/>
          <w:sz w:val="26"/>
        </w:rPr>
        <w:t> </w:t>
      </w:r>
      <w:r>
        <w:rPr>
          <w:w w:val="129"/>
          <w:position w:val="13"/>
          <w:sz w:val="20"/>
        </w:rPr>
        <w:t>1</w:t>
      </w:r>
    </w:p>
    <w:p>
      <w:pPr>
        <w:spacing w:line="154" w:lineRule="exact" w:before="0"/>
        <w:ind w:left="0" w:right="0" w:firstLine="0"/>
        <w:jc w:val="right"/>
        <w:rPr>
          <w:rFonts w:ascii="Arial" w:hAnsi="Arial"/>
          <w:b/>
          <w:sz w:val="17"/>
        </w:rPr>
      </w:pPr>
      <w:r>
        <w:rPr>
          <w:rFonts w:ascii="Arial" w:hAnsi="Arial"/>
          <w:b/>
          <w:w w:val="90"/>
          <w:sz w:val="17"/>
        </w:rPr>
        <w:t>az:ñl</w:t>
      </w:r>
    </w:p>
    <w:p>
      <w:pPr>
        <w:spacing w:before="211"/>
        <w:ind w:left="49" w:right="-18" w:firstLine="0"/>
        <w:jc w:val="left"/>
        <w:rPr>
          <w:b/>
          <w:i/>
          <w:sz w:val="21"/>
        </w:rPr>
      </w:pPr>
      <w:r>
        <w:rPr/>
        <w:br w:type="column"/>
      </w:r>
      <w:r>
        <w:rPr>
          <w:w w:val="190"/>
          <w:sz w:val="26"/>
        </w:rPr>
        <w:t>-</w:t>
      </w:r>
      <w:r>
        <w:rPr>
          <w:spacing w:val="-81"/>
          <w:w w:val="190"/>
          <w:sz w:val="26"/>
        </w:rPr>
        <w:t> </w:t>
      </w:r>
      <w:r>
        <w:rPr>
          <w:b/>
          <w:i/>
          <w:w w:val="120"/>
          <w:sz w:val="21"/>
        </w:rPr>
        <w:t>d.</w:t>
      </w:r>
    </w:p>
    <w:p>
      <w:pPr>
        <w:pStyle w:val="BodyText"/>
        <w:spacing w:before="5"/>
        <w:rPr>
          <w:b/>
          <w:i/>
          <w:sz w:val="21"/>
        </w:rPr>
      </w:pPr>
      <w:r>
        <w:rPr/>
        <w:br w:type="column"/>
      </w:r>
      <w:r>
        <w:rPr>
          <w:b/>
          <w:i/>
          <w:sz w:val="21"/>
        </w:rPr>
      </w:r>
    </w:p>
    <w:p>
      <w:pPr>
        <w:spacing w:before="0"/>
        <w:ind w:left="0" w:right="151" w:firstLine="0"/>
        <w:jc w:val="right"/>
        <w:rPr>
          <w:b/>
          <w:sz w:val="21"/>
        </w:rPr>
      </w:pPr>
      <w:r>
        <w:rPr>
          <w:b/>
          <w:sz w:val="21"/>
        </w:rPr>
        <w:t>(4.7)</w:t>
      </w:r>
    </w:p>
    <w:p>
      <w:pPr>
        <w:spacing w:after="0"/>
        <w:jc w:val="right"/>
        <w:rPr>
          <w:sz w:val="21"/>
        </w:rPr>
        <w:sectPr>
          <w:type w:val="continuous"/>
          <w:pgSz w:w="7200" w:h="11340"/>
          <w:pgMar w:top="1100" w:bottom="0" w:left="660" w:right="520"/>
          <w:cols w:num="3" w:equalWidth="0">
            <w:col w:w="3304" w:space="40"/>
            <w:col w:w="447" w:space="40"/>
            <w:col w:w="2189"/>
          </w:cols>
        </w:sectPr>
      </w:pPr>
    </w:p>
    <w:p>
      <w:pPr>
        <w:pStyle w:val="BodyText"/>
        <w:spacing w:line="252" w:lineRule="auto" w:before="108"/>
        <w:ind w:left="139" w:right="146" w:firstLine="208"/>
        <w:jc w:val="both"/>
      </w:pPr>
      <w:r>
        <w:rPr>
          <w:w w:val="105"/>
        </w:rPr>
        <w:t>Each of the above formulas assumes that premiums  are to  be paid over the entire duration of  the contract; that is, for the whole  of life in the case of a whole life insurance,</w:t>
      </w:r>
      <w:r>
        <w:rPr>
          <w:w w:val="105"/>
          <w:position w:val="6"/>
          <w:sz w:val="12"/>
        </w:rPr>
        <w:t>1 </w:t>
      </w:r>
      <w:r>
        <w:rPr>
          <w:w w:val="105"/>
        </w:rPr>
        <w:t>for </w:t>
      </w:r>
      <w:r>
        <w:rPr>
          <w:i/>
          <w:w w:val="105"/>
        </w:rPr>
        <w:t>n </w:t>
      </w:r>
      <w:r>
        <w:rPr>
          <w:w w:val="105"/>
        </w:rPr>
        <w:t>years in the case  of an n-year endowment, and so on. Principie </w:t>
      </w:r>
      <w:r>
        <w:rPr>
          <w:w w:val="105"/>
          <w:sz w:val="19"/>
        </w:rPr>
        <w:t>(4.1) </w:t>
      </w:r>
      <w:r>
        <w:rPr>
          <w:w w:val="105"/>
        </w:rPr>
        <w:t>also applies where the premium-paying period is less than the insurance period, as</w:t>
      </w:r>
      <w:r>
        <w:rPr>
          <w:spacing w:val="-15"/>
          <w:w w:val="105"/>
        </w:rPr>
        <w:t> </w:t>
      </w:r>
      <w:r>
        <w:rPr>
          <w:w w:val="105"/>
        </w:rPr>
        <w:t>for</w:t>
      </w:r>
      <w:r>
        <w:rPr>
          <w:spacing w:val="-13"/>
          <w:w w:val="105"/>
        </w:rPr>
        <w:t> </w:t>
      </w:r>
      <w:r>
        <w:rPr>
          <w:w w:val="105"/>
        </w:rPr>
        <w:t>example</w:t>
      </w:r>
      <w:r>
        <w:rPr>
          <w:spacing w:val="-6"/>
          <w:w w:val="105"/>
        </w:rPr>
        <w:t> </w:t>
      </w:r>
      <w:r>
        <w:rPr>
          <w:w w:val="105"/>
        </w:rPr>
        <w:t>in</w:t>
      </w:r>
      <w:r>
        <w:rPr>
          <w:spacing w:val="-5"/>
          <w:w w:val="105"/>
        </w:rPr>
        <w:t> </w:t>
      </w:r>
      <w:r>
        <w:rPr>
          <w:w w:val="105"/>
        </w:rPr>
        <w:t>the</w:t>
      </w:r>
      <w:r>
        <w:rPr>
          <w:spacing w:val="-7"/>
          <w:w w:val="105"/>
        </w:rPr>
        <w:t> </w:t>
      </w:r>
      <w:r>
        <w:rPr>
          <w:w w:val="105"/>
        </w:rPr>
        <w:t>case</w:t>
      </w:r>
      <w:r>
        <w:rPr>
          <w:spacing w:val="-9"/>
          <w:w w:val="105"/>
        </w:rPr>
        <w:t> </w:t>
      </w:r>
      <w:r>
        <w:rPr>
          <w:w w:val="105"/>
        </w:rPr>
        <w:t>of</w:t>
      </w:r>
      <w:r>
        <w:rPr>
          <w:spacing w:val="-13"/>
          <w:w w:val="105"/>
        </w:rPr>
        <w:t> </w:t>
      </w:r>
      <w:r>
        <w:rPr>
          <w:rFonts w:ascii="Arial" w:hAnsi="Arial"/>
          <w:w w:val="105"/>
          <w:sz w:val="17"/>
        </w:rPr>
        <w:t>.a</w:t>
      </w:r>
      <w:r>
        <w:rPr>
          <w:rFonts w:ascii="Arial" w:hAnsi="Arial"/>
          <w:spacing w:val="-20"/>
          <w:w w:val="105"/>
          <w:sz w:val="17"/>
        </w:rPr>
        <w:t> </w:t>
      </w:r>
      <w:r>
        <w:rPr>
          <w:w w:val="105"/>
        </w:rPr>
        <w:t>whole</w:t>
      </w:r>
      <w:r>
        <w:rPr>
          <w:spacing w:val="-9"/>
          <w:w w:val="105"/>
        </w:rPr>
        <w:t> </w:t>
      </w:r>
      <w:r>
        <w:rPr>
          <w:w w:val="105"/>
        </w:rPr>
        <w:t>life</w:t>
      </w:r>
      <w:r>
        <w:rPr>
          <w:spacing w:val="-13"/>
          <w:w w:val="105"/>
        </w:rPr>
        <w:t> </w:t>
      </w:r>
      <w:r>
        <w:rPr>
          <w:w w:val="105"/>
        </w:rPr>
        <w:t>insurance</w:t>
      </w:r>
      <w:r>
        <w:rPr>
          <w:spacing w:val="-3"/>
          <w:w w:val="105"/>
        </w:rPr>
        <w:t> </w:t>
      </w:r>
      <w:r>
        <w:rPr>
          <w:w w:val="105"/>
        </w:rPr>
        <w:t>where</w:t>
      </w:r>
      <w:r>
        <w:rPr>
          <w:spacing w:val="-5"/>
          <w:w w:val="105"/>
        </w:rPr>
        <w:t> </w:t>
      </w:r>
      <w:r>
        <w:rPr>
          <w:w w:val="105"/>
        </w:rPr>
        <w:t>premiums are to be paid for a maximum period of </w:t>
      </w:r>
      <w:r>
        <w:rPr>
          <w:rFonts w:ascii="Arial" w:hAnsi="Arial"/>
          <w:i/>
          <w:w w:val="105"/>
          <w:sz w:val="18"/>
        </w:rPr>
        <w:t>t </w:t>
      </w:r>
      <w:r>
        <w:rPr>
          <w:w w:val="105"/>
        </w:rPr>
        <w:t>years. For </w:t>
      </w:r>
      <w:r>
        <w:rPr>
          <w:spacing w:val="-3"/>
          <w:w w:val="105"/>
        </w:rPr>
        <w:t>"limited-pay­ </w:t>
      </w:r>
      <w:r>
        <w:rPr>
          <w:w w:val="105"/>
        </w:rPr>
        <w:t>ment" insurances of this type, with premiums  payable  for </w:t>
      </w:r>
      <w:r>
        <w:rPr>
          <w:rFonts w:ascii="Arial" w:hAnsi="Arial"/>
          <w:i/>
          <w:w w:val="105"/>
          <w:sz w:val="19"/>
        </w:rPr>
        <w:t>t </w:t>
      </w:r>
      <w:r>
        <w:rPr>
          <w:w w:val="105"/>
        </w:rPr>
        <w:t>years  at most, the annual premiums are determined by dividing the net single premium  by  a t-year  temporary  annuity-due,  as</w:t>
      </w:r>
      <w:r>
        <w:rPr>
          <w:spacing w:val="-3"/>
          <w:w w:val="105"/>
        </w:rPr>
        <w:t> </w:t>
      </w:r>
      <w:r>
        <w:rPr>
          <w:w w:val="105"/>
        </w:rPr>
        <w:t>follows:</w:t>
      </w:r>
    </w:p>
    <w:p>
      <w:pPr>
        <w:pStyle w:val="BodyText"/>
        <w:spacing w:before="119"/>
        <w:ind w:left="135"/>
      </w:pPr>
      <w:r>
        <w:rPr/>
        <w:t>t-payrnent  life</w:t>
      </w:r>
    </w:p>
    <w:p>
      <w:pPr>
        <w:pStyle w:val="BodyText"/>
        <w:spacing w:before="10"/>
        <w:rPr>
          <w:sz w:val="10"/>
        </w:rPr>
      </w:pPr>
    </w:p>
    <w:p>
      <w:pPr>
        <w:spacing w:after="0"/>
        <w:rPr>
          <w:sz w:val="10"/>
        </w:rPr>
        <w:sectPr>
          <w:type w:val="continuous"/>
          <w:pgSz w:w="7200" w:h="11340"/>
          <w:pgMar w:top="1100" w:bottom="0" w:left="660" w:right="520"/>
        </w:sectPr>
      </w:pPr>
    </w:p>
    <w:p>
      <w:pPr>
        <w:tabs>
          <w:tab w:pos="2709" w:val="left" w:leader="none"/>
          <w:tab w:pos="3487" w:val="left" w:leader="none"/>
        </w:tabs>
        <w:spacing w:line="228" w:lineRule="exact" w:before="70"/>
        <w:ind w:left="1903" w:right="0" w:firstLine="0"/>
        <w:jc w:val="left"/>
        <w:rPr>
          <w:b/>
          <w:i/>
          <w:sz w:val="22"/>
        </w:rPr>
      </w:pPr>
      <w:r>
        <w:rPr/>
        <w:pict>
          <v:line style="position:absolute;mso-position-horizontal-relative:page;mso-position-vertical-relative:paragraph;z-index:-728896" from="219.240005pt,14.956334pt" to="220.500005pt,14.956334pt" stroked="true" strokeweight=".36pt" strokecolor="#000000">
            <w10:wrap type="none"/>
          </v:line>
        </w:pict>
      </w:r>
      <w:r>
        <w:rPr>
          <w:w w:val="179"/>
          <w:sz w:val="15"/>
        </w:rPr>
        <w:t>,</w:t>
      </w:r>
      <w:r>
        <w:rPr>
          <w:spacing w:val="-22"/>
          <w:w w:val="178"/>
          <w:sz w:val="15"/>
        </w:rPr>
        <w:t>P</w:t>
      </w:r>
      <w:r>
        <w:rPr>
          <w:w w:val="68"/>
          <w:sz w:val="15"/>
        </w:rPr>
        <w:t>.z</w:t>
      </w:r>
      <w:r>
        <w:rPr>
          <w:sz w:val="15"/>
        </w:rPr>
        <w:t>  </w:t>
      </w:r>
      <w:r>
        <w:rPr>
          <w:spacing w:val="-19"/>
          <w:sz w:val="15"/>
        </w:rPr>
        <w:t> </w:t>
      </w:r>
      <w:r>
        <w:rPr>
          <w:w w:val="104"/>
          <w:sz w:val="23"/>
        </w:rPr>
        <w:t>=</w:t>
      </w:r>
      <w:r>
        <w:rPr>
          <w:sz w:val="23"/>
        </w:rPr>
        <w:tab/>
      </w:r>
      <w:r>
        <w:rPr>
          <w:i/>
          <w:w w:val="107"/>
          <w:sz w:val="14"/>
        </w:rPr>
        <w:t>z</w:t>
      </w:r>
      <w:r>
        <w:rPr>
          <w:i/>
          <w:sz w:val="14"/>
        </w:rPr>
        <w:t>   </w:t>
      </w:r>
      <w:r>
        <w:rPr>
          <w:i/>
          <w:spacing w:val="10"/>
          <w:sz w:val="14"/>
        </w:rPr>
        <w:t> </w:t>
      </w:r>
      <w:r>
        <w:rPr>
          <w:w w:val="104"/>
          <w:sz w:val="23"/>
        </w:rPr>
        <w:t>=</w:t>
      </w:r>
      <w:r>
        <w:rPr>
          <w:sz w:val="23"/>
        </w:rPr>
        <w:tab/>
      </w:r>
      <w:r>
        <w:rPr>
          <w:b/>
          <w:i/>
          <w:w w:val="73"/>
          <w:sz w:val="22"/>
        </w:rPr>
        <w:t>M.z</w:t>
      </w:r>
    </w:p>
    <w:p>
      <w:pPr>
        <w:tabs>
          <w:tab w:pos="3137" w:val="left" w:leader="none"/>
        </w:tabs>
        <w:spacing w:line="205" w:lineRule="exact" w:before="0"/>
        <w:ind w:left="2493" w:right="0" w:firstLine="0"/>
        <w:jc w:val="left"/>
        <w:rPr>
          <w:i/>
          <w:sz w:val="21"/>
        </w:rPr>
      </w:pPr>
      <w:r>
        <w:rPr>
          <w:i/>
          <w:w w:val="93"/>
          <w:sz w:val="21"/>
        </w:rPr>
        <w:t>az</w:t>
      </w:r>
      <w:r>
        <w:rPr>
          <w:i/>
          <w:spacing w:val="-6"/>
          <w:w w:val="93"/>
          <w:sz w:val="21"/>
        </w:rPr>
        <w:t>,</w:t>
      </w:r>
      <w:r>
        <w:rPr>
          <w:i/>
          <w:w w:val="44"/>
          <w:sz w:val="21"/>
        </w:rPr>
        <w:t>"'il</w:t>
      </w:r>
      <w:r>
        <w:rPr>
          <w:i/>
          <w:sz w:val="21"/>
        </w:rPr>
        <w:tab/>
      </w:r>
      <w:r>
        <w:rPr>
          <w:i/>
          <w:w w:val="97"/>
          <w:sz w:val="21"/>
        </w:rPr>
        <w:t>N</w:t>
      </w:r>
      <w:r>
        <w:rPr>
          <w:i/>
          <w:spacing w:val="-17"/>
          <w:sz w:val="21"/>
        </w:rPr>
        <w:t> </w:t>
      </w:r>
      <w:r>
        <w:rPr>
          <w:i/>
          <w:w w:val="66"/>
          <w:sz w:val="21"/>
        </w:rPr>
        <w:t>z</w:t>
      </w:r>
      <w:r>
        <w:rPr>
          <w:i/>
          <w:sz w:val="21"/>
        </w:rPr>
        <w:t> </w:t>
      </w:r>
      <w:r>
        <w:rPr>
          <w:i/>
          <w:spacing w:val="-2"/>
          <w:sz w:val="21"/>
        </w:rPr>
        <w:t> </w:t>
      </w:r>
      <w:r>
        <w:rPr>
          <w:w w:val="275"/>
          <w:sz w:val="21"/>
        </w:rPr>
        <w:t>-</w:t>
      </w:r>
      <w:r>
        <w:rPr>
          <w:spacing w:val="-16"/>
          <w:sz w:val="21"/>
        </w:rPr>
        <w:t> </w:t>
      </w:r>
      <w:r>
        <w:rPr>
          <w:i/>
          <w:w w:val="95"/>
          <w:sz w:val="21"/>
        </w:rPr>
        <w:t>N</w:t>
      </w:r>
      <w:r>
        <w:rPr>
          <w:i/>
          <w:spacing w:val="-14"/>
          <w:sz w:val="21"/>
        </w:rPr>
        <w:t> </w:t>
      </w:r>
      <w:r>
        <w:rPr>
          <w:i/>
          <w:w w:val="70"/>
          <w:sz w:val="21"/>
        </w:rPr>
        <w:t>z+t</w:t>
      </w:r>
    </w:p>
    <w:p>
      <w:pPr>
        <w:spacing w:before="46"/>
        <w:ind w:left="124" w:right="0" w:firstLine="0"/>
        <w:jc w:val="left"/>
        <w:rPr>
          <w:rFonts w:ascii="Arial"/>
          <w:i/>
          <w:sz w:val="19"/>
        </w:rPr>
      </w:pPr>
      <w:r>
        <w:rPr>
          <w:w w:val="105"/>
          <w:sz w:val="20"/>
        </w:rPr>
        <w:t>t-payment  n-year  term  </w:t>
      </w:r>
      <w:r>
        <w:rPr>
          <w:i/>
          <w:w w:val="105"/>
          <w:sz w:val="20"/>
        </w:rPr>
        <w:t>(t  </w:t>
      </w:r>
      <w:r>
        <w:rPr>
          <w:w w:val="105"/>
          <w:sz w:val="26"/>
        </w:rPr>
        <w:t>&lt; </w:t>
      </w:r>
      <w:r>
        <w:rPr>
          <w:rFonts w:ascii="Arial"/>
          <w:i/>
          <w:w w:val="105"/>
          <w:sz w:val="19"/>
        </w:rPr>
        <w:t>n)</w:t>
      </w:r>
    </w:p>
    <w:p>
      <w:pPr>
        <w:pStyle w:val="BodyText"/>
        <w:spacing w:before="131"/>
        <w:ind w:left="124"/>
      </w:pPr>
      <w:r>
        <w:rPr/>
        <w:br w:type="column"/>
      </w:r>
      <w:r>
        <w:rPr>
          <w:w w:val="105"/>
        </w:rPr>
        <w:t>(4.8)</w:t>
      </w:r>
    </w:p>
    <w:p>
      <w:pPr>
        <w:spacing w:after="0"/>
        <w:sectPr>
          <w:type w:val="continuous"/>
          <w:pgSz w:w="7200" w:h="11340"/>
          <w:pgMar w:top="1100" w:bottom="0" w:left="660" w:right="520"/>
          <w:cols w:num="2" w:equalWidth="0">
            <w:col w:w="4073" w:space="1237"/>
            <w:col w:w="710"/>
          </w:cols>
        </w:sectPr>
      </w:pPr>
    </w:p>
    <w:p>
      <w:pPr>
        <w:spacing w:before="205"/>
        <w:ind w:left="0" w:right="0" w:firstLine="0"/>
        <w:jc w:val="right"/>
        <w:rPr>
          <w:rFonts w:ascii="Arial"/>
          <w:b/>
          <w:i/>
          <w:sz w:val="16"/>
        </w:rPr>
      </w:pPr>
      <w:r>
        <w:rPr/>
        <w:pict>
          <v:shape style="position:absolute;margin-left:128.160004pt;margin-top:15.369042pt;width:5.75pt;height:8pt;mso-position-horizontal-relative:page;mso-position-vertical-relative:paragraph;z-index:-728848" type="#_x0000_t202" filled="false" stroked="false">
            <v:textbox inset="0,0,0,0">
              <w:txbxContent>
                <w:p>
                  <w:pPr>
                    <w:spacing w:line="160" w:lineRule="exact" w:before="0"/>
                    <w:ind w:left="0" w:right="-19" w:firstLine="0"/>
                    <w:jc w:val="left"/>
                    <w:rPr>
                      <w:rFonts w:ascii="Arial"/>
                      <w:b/>
                      <w:i/>
                      <w:sz w:val="16"/>
                    </w:rPr>
                  </w:pPr>
                  <w:r>
                    <w:rPr>
                      <w:rFonts w:ascii="Arial"/>
                      <w:b/>
                      <w:i/>
                      <w:w w:val="85"/>
                      <w:sz w:val="16"/>
                    </w:rPr>
                    <w:t>z:</w:t>
                  </w:r>
                </w:p>
              </w:txbxContent>
            </v:textbox>
            <w10:wrap type="none"/>
          </v:shape>
        </w:pict>
      </w:r>
      <w:r>
        <w:rPr>
          <w:b/>
          <w:i/>
          <w:sz w:val="14"/>
        </w:rPr>
        <w:t>t </w:t>
      </w:r>
      <w:r>
        <w:rPr>
          <w:w w:val="120"/>
          <w:position w:val="1"/>
          <w:sz w:val="22"/>
        </w:rPr>
        <w:t>P</w:t>
      </w:r>
      <w:r>
        <w:rPr>
          <w:w w:val="120"/>
          <w:position w:val="12"/>
          <w:sz w:val="12"/>
        </w:rPr>
        <w:t>1 </w:t>
      </w:r>
      <w:r>
        <w:rPr>
          <w:rFonts w:ascii="Arial"/>
          <w:b/>
          <w:i/>
          <w:sz w:val="16"/>
        </w:rPr>
        <w:t>;J</w:t>
      </w:r>
    </w:p>
    <w:p>
      <w:pPr>
        <w:spacing w:line="215" w:lineRule="exact" w:before="109"/>
        <w:ind w:left="28" w:right="0" w:firstLine="0"/>
        <w:jc w:val="center"/>
        <w:rPr>
          <w:i/>
          <w:sz w:val="21"/>
        </w:rPr>
      </w:pPr>
      <w:r>
        <w:rPr/>
        <w:br w:type="column"/>
      </w:r>
      <w:r>
        <w:rPr>
          <w:w w:val="180"/>
          <w:sz w:val="12"/>
        </w:rPr>
        <w:t>_ </w:t>
      </w:r>
      <w:r>
        <w:rPr>
          <w:spacing w:val="-3"/>
          <w:w w:val="105"/>
          <w:sz w:val="22"/>
        </w:rPr>
        <w:t>A!:;i </w:t>
      </w:r>
      <w:r>
        <w:rPr>
          <w:w w:val="105"/>
          <w:sz w:val="22"/>
        </w:rPr>
        <w:t>_ </w:t>
      </w:r>
      <w:r>
        <w:rPr>
          <w:i/>
          <w:w w:val="105"/>
          <w:sz w:val="21"/>
        </w:rPr>
        <w:t>M.z </w:t>
      </w:r>
      <w:r>
        <w:rPr>
          <w:w w:val="235"/>
          <w:sz w:val="21"/>
        </w:rPr>
        <w:t>-</w:t>
      </w:r>
      <w:r>
        <w:rPr>
          <w:spacing w:val="-90"/>
          <w:w w:val="235"/>
          <w:sz w:val="21"/>
        </w:rPr>
        <w:t> </w:t>
      </w:r>
      <w:r>
        <w:rPr>
          <w:i/>
          <w:w w:val="105"/>
          <w:sz w:val="21"/>
        </w:rPr>
        <w:t>M </w:t>
      </w:r>
      <w:r>
        <w:rPr>
          <w:i/>
          <w:w w:val="80"/>
          <w:sz w:val="21"/>
        </w:rPr>
        <w:t>z.+-,.</w:t>
      </w:r>
    </w:p>
    <w:p>
      <w:pPr>
        <w:spacing w:line="98" w:lineRule="exact" w:before="0"/>
        <w:ind w:left="60" w:right="0" w:firstLine="0"/>
        <w:jc w:val="center"/>
        <w:rPr>
          <w:rFonts w:ascii="Arial"/>
          <w:sz w:val="16"/>
        </w:rPr>
      </w:pPr>
      <w:r>
        <w:rPr>
          <w:rFonts w:ascii="Arial"/>
          <w:w w:val="303"/>
          <w:sz w:val="16"/>
        </w:rPr>
        <w:t>-</w:t>
      </w:r>
      <w:r>
        <w:rPr>
          <w:rFonts w:ascii="Arial"/>
          <w:spacing w:val="-2"/>
          <w:sz w:val="16"/>
        </w:rPr>
        <w:t> </w:t>
      </w:r>
      <w:r>
        <w:rPr>
          <w:rFonts w:ascii="Arial"/>
          <w:spacing w:val="-92"/>
          <w:w w:val="600"/>
          <w:sz w:val="16"/>
        </w:rPr>
        <w:t>-</w:t>
      </w:r>
      <w:r>
        <w:rPr>
          <w:rFonts w:ascii="Arial"/>
          <w:w w:val="303"/>
          <w:sz w:val="16"/>
        </w:rPr>
        <w:t>-</w:t>
      </w:r>
      <w:r>
        <w:rPr>
          <w:rFonts w:ascii="Arial"/>
          <w:sz w:val="16"/>
        </w:rPr>
        <w:t> </w:t>
      </w:r>
      <w:r>
        <w:rPr>
          <w:rFonts w:ascii="Arial"/>
          <w:spacing w:val="-10"/>
          <w:sz w:val="16"/>
        </w:rPr>
        <w:t> </w:t>
      </w:r>
      <w:r>
        <w:rPr>
          <w:rFonts w:ascii="Arial"/>
          <w:w w:val="287"/>
          <w:sz w:val="16"/>
        </w:rPr>
        <w:t>-</w:t>
      </w:r>
      <w:r>
        <w:rPr>
          <w:rFonts w:ascii="Arial"/>
          <w:sz w:val="16"/>
        </w:rPr>
        <w:t> </w:t>
      </w:r>
      <w:r>
        <w:rPr>
          <w:rFonts w:ascii="Arial"/>
          <w:spacing w:val="-20"/>
          <w:sz w:val="16"/>
        </w:rPr>
        <w:t> </w:t>
      </w:r>
      <w:r>
        <w:rPr>
          <w:rFonts w:ascii="Arial"/>
          <w:spacing w:val="-50"/>
          <w:w w:val="510"/>
          <w:sz w:val="16"/>
        </w:rPr>
        <w:t>-</w:t>
      </w:r>
      <w:r>
        <w:rPr>
          <w:rFonts w:ascii="Arial"/>
          <w:spacing w:val="-51"/>
          <w:w w:val="526"/>
          <w:sz w:val="16"/>
        </w:rPr>
        <w:t>---</w:t>
      </w:r>
      <w:r>
        <w:rPr>
          <w:rFonts w:ascii="Arial"/>
          <w:w w:val="278"/>
          <w:sz w:val="16"/>
        </w:rPr>
        <w:t>-</w:t>
      </w:r>
    </w:p>
    <w:p>
      <w:pPr>
        <w:tabs>
          <w:tab w:pos="966" w:val="left" w:leader="none"/>
        </w:tabs>
        <w:spacing w:line="193" w:lineRule="exact" w:before="0"/>
        <w:ind w:left="214" w:right="0" w:firstLine="0"/>
        <w:jc w:val="center"/>
        <w:rPr>
          <w:b/>
          <w:i/>
          <w:sz w:val="16"/>
        </w:rPr>
      </w:pPr>
      <w:r>
        <w:rPr>
          <w:w w:val="120"/>
          <w:sz w:val="16"/>
        </w:rPr>
        <w:t>dz:c]</w:t>
        <w:tab/>
      </w:r>
      <w:r>
        <w:rPr>
          <w:i/>
          <w:w w:val="120"/>
          <w:sz w:val="21"/>
        </w:rPr>
        <w:t>N </w:t>
      </w:r>
      <w:r>
        <w:rPr>
          <w:i/>
          <w:sz w:val="21"/>
        </w:rPr>
        <w:t>z </w:t>
      </w:r>
      <w:r>
        <w:rPr>
          <w:w w:val="250"/>
          <w:sz w:val="21"/>
        </w:rPr>
        <w:t>-</w:t>
      </w:r>
      <w:r>
        <w:rPr>
          <w:spacing w:val="-120"/>
          <w:w w:val="250"/>
          <w:sz w:val="21"/>
        </w:rPr>
        <w:t> </w:t>
      </w:r>
      <w:r>
        <w:rPr>
          <w:b/>
          <w:i/>
          <w:w w:val="120"/>
          <w:sz w:val="16"/>
        </w:rPr>
        <w:t>Nz+t</w:t>
      </w:r>
    </w:p>
    <w:p>
      <w:pPr>
        <w:pStyle w:val="BodyText"/>
        <w:spacing w:before="9"/>
        <w:rPr>
          <w:b/>
          <w:i/>
        </w:rPr>
      </w:pPr>
      <w:r>
        <w:rPr/>
        <w:br w:type="column"/>
      </w:r>
      <w:r>
        <w:rPr>
          <w:b/>
          <w:i/>
        </w:rPr>
      </w:r>
    </w:p>
    <w:p>
      <w:pPr>
        <w:pStyle w:val="BodyText"/>
        <w:ind w:left="1089"/>
      </w:pPr>
      <w:r>
        <w:rPr>
          <w:w w:val="110"/>
        </w:rPr>
        <w:t>(4.9)</w:t>
      </w:r>
    </w:p>
    <w:p>
      <w:pPr>
        <w:spacing w:after="0"/>
        <w:sectPr>
          <w:type w:val="continuous"/>
          <w:pgSz w:w="7200" w:h="11340"/>
          <w:pgMar w:top="1100" w:bottom="0" w:left="660" w:right="520"/>
          <w:cols w:num="3" w:equalWidth="0">
            <w:col w:w="2167" w:space="40"/>
            <w:col w:w="2093" w:space="40"/>
            <w:col w:w="1680"/>
          </w:cols>
        </w:sectPr>
      </w:pPr>
    </w:p>
    <w:p>
      <w:pPr>
        <w:spacing w:before="49"/>
        <w:ind w:left="128" w:right="0" w:firstLine="0"/>
        <w:jc w:val="left"/>
        <w:rPr>
          <w:rFonts w:ascii="Arial"/>
          <w:i/>
          <w:sz w:val="19"/>
        </w:rPr>
      </w:pPr>
      <w:r>
        <w:rPr>
          <w:w w:val="105"/>
          <w:sz w:val="20"/>
        </w:rPr>
        <w:t>t-payment  n-year endowment  </w:t>
      </w:r>
      <w:r>
        <w:rPr>
          <w:rFonts w:ascii="Arial"/>
          <w:i/>
          <w:w w:val="105"/>
          <w:sz w:val="18"/>
        </w:rPr>
        <w:t>(t  </w:t>
      </w:r>
      <w:r>
        <w:rPr>
          <w:rFonts w:ascii="Arial"/>
          <w:w w:val="105"/>
          <w:sz w:val="26"/>
        </w:rPr>
        <w:t>&lt; </w:t>
      </w:r>
      <w:r>
        <w:rPr>
          <w:rFonts w:ascii="Arial"/>
          <w:i/>
          <w:w w:val="105"/>
          <w:sz w:val="19"/>
        </w:rPr>
        <w:t>n)</w:t>
      </w:r>
    </w:p>
    <w:p>
      <w:pPr>
        <w:spacing w:line="311" w:lineRule="exact" w:before="69"/>
        <w:ind w:left="1413" w:right="0" w:firstLine="0"/>
        <w:jc w:val="left"/>
        <w:rPr>
          <w:sz w:val="22"/>
        </w:rPr>
      </w:pPr>
      <w:r>
        <w:rPr>
          <w:i/>
          <w:w w:val="125"/>
          <w:position w:val="-8"/>
          <w:sz w:val="21"/>
        </w:rPr>
        <w:t>P </w:t>
      </w:r>
      <w:r>
        <w:rPr>
          <w:w w:val="175"/>
          <w:sz w:val="21"/>
        </w:rPr>
        <w:t>- </w:t>
      </w:r>
      <w:r>
        <w:rPr>
          <w:w w:val="240"/>
          <w:sz w:val="21"/>
        </w:rPr>
        <w:t>- </w:t>
      </w:r>
      <w:r>
        <w:rPr>
          <w:w w:val="95"/>
          <w:sz w:val="22"/>
        </w:rPr>
        <w:t>A.r:il  </w:t>
      </w:r>
      <w:r>
        <w:rPr>
          <w:w w:val="240"/>
          <w:sz w:val="22"/>
        </w:rPr>
        <w:t>- </w:t>
      </w:r>
      <w:r>
        <w:rPr>
          <w:i/>
          <w:w w:val="95"/>
          <w:sz w:val="21"/>
          <w:u w:val="single"/>
        </w:rPr>
        <w:t>M z  </w:t>
      </w:r>
      <w:r>
        <w:rPr>
          <w:w w:val="240"/>
          <w:sz w:val="21"/>
          <w:u w:val="single"/>
        </w:rPr>
        <w:t>- </w:t>
      </w:r>
      <w:r>
        <w:rPr>
          <w:w w:val="95"/>
          <w:sz w:val="22"/>
          <w:u w:val="single"/>
        </w:rPr>
        <w:t>Mz..ta  </w:t>
      </w:r>
      <w:r>
        <w:rPr>
          <w:rFonts w:ascii="Arial"/>
          <w:w w:val="125"/>
          <w:sz w:val="32"/>
          <w:u w:val="single"/>
        </w:rPr>
        <w:t>+ </w:t>
      </w:r>
      <w:r>
        <w:rPr>
          <w:w w:val="95"/>
          <w:sz w:val="22"/>
          <w:u w:val="single"/>
        </w:rPr>
        <w:t>Dz.t,</w:t>
      </w:r>
      <w:r>
        <w:rPr>
          <w:w w:val="95"/>
          <w:sz w:val="22"/>
        </w:rPr>
        <w:t>.</w:t>
      </w:r>
    </w:p>
    <w:p>
      <w:pPr>
        <w:pStyle w:val="BodyText"/>
        <w:rPr>
          <w:sz w:val="18"/>
        </w:rPr>
      </w:pPr>
      <w:r>
        <w:rPr/>
        <w:br w:type="column"/>
      </w:r>
      <w:r>
        <w:rPr>
          <w:sz w:val="18"/>
        </w:rPr>
      </w:r>
    </w:p>
    <w:p>
      <w:pPr>
        <w:pStyle w:val="BodyText"/>
        <w:rPr>
          <w:sz w:val="18"/>
        </w:rPr>
      </w:pPr>
    </w:p>
    <w:p>
      <w:pPr>
        <w:pStyle w:val="BodyText"/>
        <w:rPr>
          <w:sz w:val="19"/>
        </w:rPr>
      </w:pPr>
    </w:p>
    <w:p>
      <w:pPr>
        <w:spacing w:line="95" w:lineRule="exact" w:before="0"/>
        <w:ind w:left="128" w:right="-17" w:firstLine="0"/>
        <w:jc w:val="left"/>
        <w:rPr>
          <w:rFonts w:ascii="Arial"/>
          <w:b/>
          <w:sz w:val="19"/>
        </w:rPr>
      </w:pPr>
      <w:r>
        <w:rPr>
          <w:rFonts w:ascii="Arial"/>
          <w:b/>
          <w:w w:val="110"/>
          <w:sz w:val="19"/>
        </w:rPr>
        <w:t>(4.10)</w:t>
      </w:r>
    </w:p>
    <w:p>
      <w:pPr>
        <w:spacing w:after="0" w:line="95" w:lineRule="exact"/>
        <w:jc w:val="left"/>
        <w:rPr>
          <w:rFonts w:ascii="Arial"/>
          <w:sz w:val="19"/>
        </w:rPr>
        <w:sectPr>
          <w:type w:val="continuous"/>
          <w:pgSz w:w="7200" w:h="11340"/>
          <w:pgMar w:top="1100" w:bottom="0" w:left="660" w:right="520"/>
          <w:cols w:num="2" w:equalWidth="0">
            <w:col w:w="4642" w:space="553"/>
            <w:col w:w="825"/>
          </w:cols>
        </w:sectPr>
      </w:pPr>
    </w:p>
    <w:p>
      <w:pPr>
        <w:spacing w:line="270" w:lineRule="exact" w:before="0"/>
        <w:ind w:left="1359" w:right="-16" w:firstLine="0"/>
        <w:jc w:val="left"/>
        <w:rPr>
          <w:sz w:val="13"/>
        </w:rPr>
      </w:pPr>
      <w:r>
        <w:rPr/>
        <w:pict>
          <v:shape style="position:absolute;margin-left:152.100006pt;margin-top:3.303642pt;width:5.4pt;height:10pt;mso-position-horizontal-relative:page;mso-position-vertical-relative:paragraph;z-index:-728824" type="#_x0000_t202" filled="false" stroked="false">
            <v:textbox inset="0,0,0,0">
              <w:txbxContent>
                <w:p>
                  <w:pPr>
                    <w:pStyle w:val="BodyText"/>
                    <w:spacing w:line="200" w:lineRule="exact"/>
                    <w:ind w:right="-18"/>
                  </w:pPr>
                  <w:r>
                    <w:rPr>
                      <w:w w:val="95"/>
                    </w:rPr>
                    <w:t>tl</w:t>
                  </w:r>
                </w:p>
              </w:txbxContent>
            </v:textbox>
            <w10:wrap type="none"/>
          </v:shape>
        </w:pict>
      </w:r>
      <w:r>
        <w:rPr>
          <w:i/>
          <w:w w:val="133"/>
          <w:sz w:val="11"/>
        </w:rPr>
        <w:t>l</w:t>
      </w:r>
      <w:r>
        <w:rPr>
          <w:i/>
          <w:sz w:val="11"/>
        </w:rPr>
        <w:t>     </w:t>
      </w:r>
      <w:r>
        <w:rPr>
          <w:i/>
          <w:spacing w:val="-12"/>
          <w:sz w:val="11"/>
        </w:rPr>
        <w:t> </w:t>
      </w:r>
      <w:r>
        <w:rPr>
          <w:w w:val="129"/>
          <w:sz w:val="13"/>
        </w:rPr>
        <w:t>z:n</w:t>
      </w:r>
      <w:r>
        <w:rPr>
          <w:spacing w:val="-5"/>
          <w:sz w:val="13"/>
        </w:rPr>
        <w:t> </w:t>
      </w:r>
      <w:r>
        <w:rPr>
          <w:w w:val="70"/>
          <w:sz w:val="13"/>
        </w:rPr>
        <w:t>l</w:t>
      </w:r>
      <w:r>
        <w:rPr>
          <w:sz w:val="13"/>
        </w:rPr>
        <w:t>  </w:t>
      </w:r>
      <w:r>
        <w:rPr>
          <w:spacing w:val="-8"/>
          <w:sz w:val="13"/>
        </w:rPr>
        <w:t> </w:t>
      </w:r>
      <w:r>
        <w:rPr>
          <w:w w:val="402"/>
          <w:sz w:val="13"/>
        </w:rPr>
        <w:t>-</w:t>
      </w:r>
      <w:r>
        <w:rPr>
          <w:sz w:val="13"/>
        </w:rPr>
        <w:t>  </w:t>
      </w:r>
      <w:r>
        <w:rPr>
          <w:spacing w:val="-13"/>
          <w:sz w:val="13"/>
        </w:rPr>
        <w:t> </w:t>
      </w:r>
      <w:r>
        <w:rPr>
          <w:i/>
          <w:w w:val="83"/>
          <w:position w:val="-11"/>
          <w:sz w:val="21"/>
        </w:rPr>
        <w:t>a</w:t>
      </w:r>
      <w:r>
        <w:rPr>
          <w:i/>
          <w:w w:val="82"/>
          <w:position w:val="-11"/>
          <w:sz w:val="21"/>
        </w:rPr>
        <w:t>z</w:t>
      </w:r>
      <w:r>
        <w:rPr>
          <w:i/>
          <w:spacing w:val="11"/>
          <w:w w:val="82"/>
          <w:position w:val="-11"/>
          <w:sz w:val="21"/>
        </w:rPr>
        <w:t>:</w:t>
      </w:r>
      <w:r>
        <w:rPr>
          <w:w w:val="427"/>
          <w:sz w:val="13"/>
        </w:rPr>
        <w:t>-</w:t>
      </w:r>
      <w:r>
        <w:rPr>
          <w:sz w:val="13"/>
        </w:rPr>
        <w:t> </w:t>
      </w:r>
      <w:r>
        <w:rPr>
          <w:spacing w:val="10"/>
          <w:sz w:val="13"/>
        </w:rPr>
        <w:t> </w:t>
      </w:r>
      <w:r>
        <w:rPr>
          <w:w w:val="391"/>
          <w:sz w:val="13"/>
        </w:rPr>
        <w:t>-</w:t>
      </w:r>
    </w:p>
    <w:p>
      <w:pPr>
        <w:spacing w:before="31"/>
        <w:ind w:left="423" w:right="0" w:firstLine="0"/>
        <w:jc w:val="left"/>
        <w:rPr>
          <w:i/>
          <w:sz w:val="21"/>
        </w:rPr>
      </w:pPr>
      <w:r>
        <w:rPr/>
        <w:br w:type="column"/>
      </w:r>
      <w:r>
        <w:rPr>
          <w:i/>
          <w:w w:val="120"/>
          <w:sz w:val="21"/>
        </w:rPr>
        <w:t>N</w:t>
      </w:r>
      <w:r>
        <w:rPr>
          <w:i/>
          <w:spacing w:val="-51"/>
          <w:w w:val="120"/>
          <w:sz w:val="21"/>
        </w:rPr>
        <w:t> </w:t>
      </w:r>
      <w:r>
        <w:rPr>
          <w:i/>
          <w:w w:val="70"/>
          <w:sz w:val="21"/>
        </w:rPr>
        <w:t>z </w:t>
      </w:r>
      <w:r>
        <w:rPr>
          <w:w w:val="250"/>
          <w:sz w:val="21"/>
        </w:rPr>
        <w:t>-</w:t>
      </w:r>
      <w:r>
        <w:rPr>
          <w:spacing w:val="-112"/>
          <w:w w:val="250"/>
          <w:sz w:val="21"/>
        </w:rPr>
        <w:t> </w:t>
      </w:r>
      <w:r>
        <w:rPr>
          <w:i/>
          <w:w w:val="120"/>
          <w:sz w:val="21"/>
        </w:rPr>
        <w:t>N</w:t>
      </w:r>
      <w:r>
        <w:rPr>
          <w:i/>
          <w:spacing w:val="-52"/>
          <w:w w:val="120"/>
          <w:sz w:val="21"/>
        </w:rPr>
        <w:t> </w:t>
      </w:r>
      <w:r>
        <w:rPr>
          <w:i/>
          <w:w w:val="70"/>
          <w:sz w:val="21"/>
        </w:rPr>
        <w:t>z.+-t</w:t>
      </w:r>
    </w:p>
    <w:p>
      <w:pPr>
        <w:spacing w:after="0"/>
        <w:jc w:val="left"/>
        <w:rPr>
          <w:sz w:val="21"/>
        </w:rPr>
        <w:sectPr>
          <w:type w:val="continuous"/>
          <w:pgSz w:w="7200" w:h="11340"/>
          <w:pgMar w:top="1100" w:bottom="0" w:left="660" w:right="520"/>
          <w:cols w:num="2" w:equalWidth="0">
            <w:col w:w="2819" w:space="40"/>
            <w:col w:w="3161"/>
          </w:cols>
        </w:sectPr>
      </w:pPr>
    </w:p>
    <w:p>
      <w:pPr>
        <w:pStyle w:val="BodyText"/>
        <w:spacing w:line="249" w:lineRule="auto" w:before="135"/>
        <w:ind w:left="89" w:right="179" w:firstLine="205"/>
        <w:jc w:val="right"/>
      </w:pPr>
      <w:r>
        <w:rPr/>
        <w:pict>
          <v:line style="position:absolute;mso-position-horizontal-relative:page;mso-position-vertical-relative:paragraph;z-index:7144;mso-wrap-distance-left:0;mso-wrap-distance-right:0" from="39.060001pt,57.665939pt" to="75.060001pt,57.665939pt" stroked="true" strokeweight=".54pt" strokecolor="#000000">
            <w10:wrap type="topAndBottom"/>
          </v:line>
        </w:pict>
      </w:r>
      <w:r>
        <w:rPr>
          <w:w w:val="105"/>
        </w:rPr>
        <w:t>It will be noted in the formulas above that  the </w:t>
      </w:r>
      <w:r>
        <w:rPr>
          <w:i/>
          <w:w w:val="105"/>
        </w:rPr>
        <w:t>P  </w:t>
      </w:r>
      <w:r>
        <w:rPr>
          <w:w w:val="105"/>
        </w:rPr>
        <w:t>symbol, with</w:t>
      </w:r>
      <w:r>
        <w:rPr>
          <w:w w:val="105"/>
        </w:rPr>
        <w:t> </w:t>
      </w:r>
      <w:r>
        <w:rPr>
          <w:w w:val="105"/>
        </w:rPr>
        <w:t>the associated prefixes and suffi.xes, defines not only the type of</w:t>
      </w:r>
      <w:r>
        <w:rPr>
          <w:w w:val="91"/>
        </w:rPr>
        <w:t> </w:t>
      </w:r>
      <w:r>
        <w:rPr>
          <w:w w:val="105"/>
        </w:rPr>
        <w:t>insurance but also the premium-paying period. All of these formulas</w:t>
      </w:r>
      <w:r>
        <w:rPr>
          <w:w w:val="104"/>
        </w:rPr>
        <w:t> </w:t>
      </w:r>
      <w:r>
        <w:rPr>
          <w:w w:val="105"/>
        </w:rPr>
        <w:t>apply to insurances payable  at the end of  the year of death.   When</w:t>
      </w:r>
    </w:p>
    <w:p>
      <w:pPr>
        <w:spacing w:before="22"/>
        <w:ind w:left="117" w:right="229" w:firstLine="205"/>
        <w:jc w:val="left"/>
        <w:rPr>
          <w:sz w:val="17"/>
        </w:rPr>
      </w:pPr>
      <w:r>
        <w:rPr>
          <w:w w:val="110"/>
          <w:position w:val="4"/>
          <w:sz w:val="10"/>
        </w:rPr>
        <w:t>1 </w:t>
      </w:r>
      <w:r>
        <w:rPr>
          <w:w w:val="110"/>
          <w:sz w:val="17"/>
        </w:rPr>
        <w:t>Whole lif e insurance with premiums paya.ble throughout  the duration of the contra.et </w:t>
      </w:r>
      <w:r>
        <w:rPr>
          <w:rFonts w:ascii="Arial"/>
          <w:w w:val="110"/>
          <w:sz w:val="17"/>
        </w:rPr>
        <w:t>is </w:t>
      </w:r>
      <w:r>
        <w:rPr>
          <w:w w:val="110"/>
          <w:sz w:val="17"/>
        </w:rPr>
        <w:t>commonly known as </w:t>
      </w:r>
      <w:r>
        <w:rPr>
          <w:i/>
          <w:w w:val="110"/>
          <w:sz w:val="17"/>
        </w:rPr>
        <w:t>ordinary lije </w:t>
      </w:r>
      <w:r>
        <w:rPr>
          <w:w w:val="110"/>
          <w:sz w:val="17"/>
        </w:rPr>
        <w:t>insurance.</w:t>
      </w:r>
    </w:p>
    <w:p>
      <w:pPr>
        <w:spacing w:after="0"/>
        <w:jc w:val="left"/>
        <w:rPr>
          <w:sz w:val="17"/>
        </w:rPr>
        <w:sectPr>
          <w:type w:val="continuous"/>
          <w:pgSz w:w="7200" w:h="11340"/>
          <w:pgMar w:top="1100" w:bottom="0" w:left="660" w:right="520"/>
        </w:sectPr>
      </w:pPr>
    </w:p>
    <w:p>
      <w:pPr>
        <w:tabs>
          <w:tab w:pos="1994" w:val="left" w:leader="none"/>
          <w:tab w:pos="5851" w:val="right" w:leader="none"/>
        </w:tabs>
        <w:spacing w:before="47"/>
        <w:ind w:left="108" w:right="0" w:firstLine="0"/>
        <w:jc w:val="left"/>
        <w:rPr>
          <w:b/>
          <w:sz w:val="20"/>
        </w:rPr>
      </w:pPr>
      <w:r>
        <w:rPr>
          <w:sz w:val="15"/>
        </w:rPr>
        <w:t>SEC.</w:t>
      </w:r>
      <w:r>
        <w:rPr>
          <w:spacing w:val="32"/>
          <w:sz w:val="15"/>
        </w:rPr>
        <w:t> </w:t>
      </w:r>
      <w:r>
        <w:rPr>
          <w:sz w:val="21"/>
        </w:rPr>
        <w:t>2]</w:t>
        <w:tab/>
      </w:r>
      <w:r>
        <w:rPr>
          <w:b/>
          <w:sz w:val="15"/>
        </w:rPr>
        <w:t>FRACTIONAL </w:t>
      </w:r>
      <w:r>
        <w:rPr>
          <w:b/>
          <w:spacing w:val="34"/>
          <w:sz w:val="15"/>
        </w:rPr>
        <w:t> </w:t>
      </w:r>
      <w:r>
        <w:rPr>
          <w:b/>
          <w:sz w:val="15"/>
        </w:rPr>
        <w:t>PREMIUMS</w:t>
      </w:r>
      <w:r>
        <w:rPr>
          <w:b/>
          <w:position w:val="1"/>
          <w:sz w:val="20"/>
        </w:rPr>
        <w:tab/>
        <w:t>83</w:t>
      </w:r>
    </w:p>
    <w:p>
      <w:pPr>
        <w:pStyle w:val="BodyText"/>
        <w:spacing w:before="1"/>
        <w:rPr>
          <w:b/>
          <w:sz w:val="21"/>
        </w:rPr>
      </w:pPr>
    </w:p>
    <w:p>
      <w:pPr>
        <w:pStyle w:val="BodyText"/>
        <w:spacing w:line="244" w:lineRule="auto"/>
        <w:ind w:left="112" w:right="129" w:firstLine="10"/>
        <w:jc w:val="both"/>
      </w:pPr>
      <w:r>
        <w:rPr>
          <w:w w:val="105"/>
        </w:rPr>
        <w:t>the insurance is payable at the moment of death, a different nota­ tional device is used to represent the net annual premium. In this case, the </w:t>
      </w:r>
      <w:r>
        <w:rPr>
          <w:i/>
          <w:w w:val="105"/>
        </w:rPr>
        <w:t>P </w:t>
      </w:r>
      <w:r>
        <w:rPr>
          <w:w w:val="105"/>
        </w:rPr>
        <w:t>symbol is used in conjunction with the net single pre­ mium symbol ii:idicating immediate payment of claims. For ex­ ample, the net </w:t>
      </w:r>
      <w:r>
        <w:rPr>
          <w:spacing w:val="-5"/>
          <w:w w:val="105"/>
        </w:rPr>
        <w:t>annual </w:t>
      </w:r>
      <w:r>
        <w:rPr>
          <w:w w:val="105"/>
        </w:rPr>
        <w:t>premium  for a whole life insurance payable  at the moment of death is denoted by the symbol </w:t>
      </w:r>
      <w:r>
        <w:rPr>
          <w:rFonts w:ascii="Arial" w:hAnsi="Arial"/>
          <w:i/>
          <w:w w:val="105"/>
        </w:rPr>
        <w:t>P(Az). </w:t>
      </w:r>
      <w:r>
        <w:rPr>
          <w:w w:val="105"/>
          <w:sz w:val="21"/>
        </w:rPr>
        <w:t>If </w:t>
      </w:r>
      <w:r>
        <w:rPr>
          <w:w w:val="105"/>
        </w:rPr>
        <w:t>pre­ mium  payments  are limited  to </w:t>
      </w:r>
      <w:r>
        <w:rPr>
          <w:i/>
          <w:w w:val="105"/>
          <w:sz w:val="22"/>
        </w:rPr>
        <w:t>t </w:t>
      </w:r>
      <w:r>
        <w:rPr>
          <w:w w:val="105"/>
        </w:rPr>
        <w:t>years,  the symbol  is </w:t>
      </w:r>
      <w:r>
        <w:rPr>
          <w:spacing w:val="9"/>
          <w:w w:val="105"/>
        </w:rPr>
        <w:t> </w:t>
      </w:r>
      <w:r>
        <w:rPr>
          <w:w w:val="105"/>
        </w:rPr>
        <w:t>,P(Az).</w:t>
      </w:r>
    </w:p>
    <w:p>
      <w:pPr>
        <w:pStyle w:val="BodyText"/>
        <w:spacing w:line="252" w:lineRule="auto" w:before="2"/>
        <w:ind w:left="112" w:right="117" w:firstLine="198"/>
        <w:jc w:val="both"/>
      </w:pPr>
      <w:r>
        <w:rPr>
          <w:w w:val="105"/>
        </w:rPr>
        <w:t>It is not uncommon for an insurer to issue a policy for which the annual premium is not level. Suppose, for example, that  a whole  life policy is issued with each premium payable  during  the first  five years equal to one-half  of  each premium  payable  thereafter.  lf the initial annual premium  for such  a policy  is denoted  by  P, the value  of  </w:t>
      </w:r>
      <w:r>
        <w:rPr>
          <w:rFonts w:ascii="Arial"/>
          <w:i/>
          <w:w w:val="105"/>
        </w:rPr>
        <w:t>P </w:t>
      </w:r>
      <w:r>
        <w:rPr>
          <w:w w:val="105"/>
        </w:rPr>
        <w:t>is determined  from  the </w:t>
      </w:r>
      <w:r>
        <w:rPr>
          <w:spacing w:val="19"/>
          <w:w w:val="105"/>
        </w:rPr>
        <w:t> </w:t>
      </w:r>
      <w:r>
        <w:rPr>
          <w:w w:val="105"/>
        </w:rPr>
        <w:t>formula</w:t>
      </w:r>
    </w:p>
    <w:p>
      <w:pPr>
        <w:pStyle w:val="BodyText"/>
        <w:spacing w:before="1"/>
        <w:rPr>
          <w:sz w:val="9"/>
        </w:rPr>
      </w:pPr>
      <w:r>
        <w:rPr/>
        <w:drawing>
          <wp:anchor distT="0" distB="0" distL="0" distR="0" allowOverlap="1" layoutInCell="1" locked="0" behindDoc="0" simplePos="0" relativeHeight="7264">
            <wp:simplePos x="0" y="0"/>
            <wp:positionH relativeFrom="page">
              <wp:posOffset>1627632</wp:posOffset>
            </wp:positionH>
            <wp:positionV relativeFrom="paragraph">
              <wp:posOffset>91136</wp:posOffset>
            </wp:positionV>
            <wp:extent cx="1380743" cy="137160"/>
            <wp:effectExtent l="0" t="0" r="0" b="0"/>
            <wp:wrapTopAndBottom/>
            <wp:docPr id="209" name="image109.png" descr=""/>
            <wp:cNvGraphicFramePr>
              <a:graphicFrameLocks noChangeAspect="1"/>
            </wp:cNvGraphicFramePr>
            <a:graphic>
              <a:graphicData uri="http://schemas.openxmlformats.org/drawingml/2006/picture">
                <pic:pic>
                  <pic:nvPicPr>
                    <pic:cNvPr id="210" name="image109.png"/>
                    <pic:cNvPicPr/>
                  </pic:nvPicPr>
                  <pic:blipFill>
                    <a:blip r:embed="rId113" cstate="print"/>
                    <a:stretch>
                      <a:fillRect/>
                    </a:stretch>
                  </pic:blipFill>
                  <pic:spPr>
                    <a:xfrm>
                      <a:off x="0" y="0"/>
                      <a:ext cx="1380743" cy="137160"/>
                    </a:xfrm>
                    <a:prstGeom prst="rect">
                      <a:avLst/>
                    </a:prstGeom>
                  </pic:spPr>
                </pic:pic>
              </a:graphicData>
            </a:graphic>
          </wp:anchor>
        </w:drawing>
      </w:r>
    </w:p>
    <w:p>
      <w:pPr>
        <w:tabs>
          <w:tab w:pos="1548" w:val="left" w:leader="none"/>
        </w:tabs>
        <w:spacing w:line="254" w:lineRule="exact" w:before="99"/>
        <w:ind w:left="112" w:right="0" w:firstLine="0"/>
        <w:jc w:val="both"/>
        <w:rPr>
          <w:sz w:val="22"/>
        </w:rPr>
      </w:pPr>
      <w:r>
        <w:rPr>
          <w:position w:val="-5"/>
          <w:sz w:val="20"/>
        </w:rPr>
        <w:t>or</w:t>
        <w:tab/>
      </w:r>
      <w:r>
        <w:rPr>
          <w:b/>
          <w:i/>
          <w:sz w:val="22"/>
        </w:rPr>
        <w:t>p  </w:t>
      </w:r>
      <w:r>
        <w:rPr>
          <w:sz w:val="26"/>
        </w:rPr>
        <w:t>=        </w:t>
      </w:r>
      <w:r>
        <w:rPr>
          <w:b/>
          <w:i/>
          <w:sz w:val="22"/>
          <w:u w:val="single"/>
        </w:rPr>
        <w:t>As         </w:t>
      </w:r>
      <w:r>
        <w:rPr>
          <w:sz w:val="26"/>
        </w:rPr>
        <w:t>=      </w:t>
      </w:r>
      <w:r>
        <w:rPr>
          <w:b/>
          <w:i/>
          <w:sz w:val="22"/>
          <w:u w:val="single"/>
        </w:rPr>
        <w:t>M s     </w:t>
      </w:r>
      <w:r>
        <w:rPr>
          <w:b/>
          <w:i/>
          <w:spacing w:val="43"/>
          <w:sz w:val="22"/>
          <w:u w:val="single"/>
        </w:rPr>
        <w:t> </w:t>
      </w:r>
      <w:r>
        <w:rPr>
          <w:w w:val="110"/>
          <w:sz w:val="22"/>
        </w:rPr>
        <w:t>.</w:t>
      </w:r>
    </w:p>
    <w:p>
      <w:pPr>
        <w:tabs>
          <w:tab w:pos="3391" w:val="left" w:leader="none"/>
        </w:tabs>
        <w:spacing w:line="276" w:lineRule="exact" w:before="0"/>
        <w:ind w:left="2005" w:right="739" w:firstLine="0"/>
        <w:jc w:val="left"/>
        <w:rPr>
          <w:rFonts w:ascii="Arial" w:hAnsi="Arial"/>
          <w:i/>
          <w:sz w:val="20"/>
        </w:rPr>
      </w:pPr>
      <w:r>
        <w:rPr>
          <w:rFonts w:ascii="Arial" w:hAnsi="Arial"/>
          <w:sz w:val="19"/>
        </w:rPr>
        <w:t>t.i::61</w:t>
      </w:r>
      <w:r>
        <w:rPr>
          <w:rFonts w:ascii="Arial" w:hAnsi="Arial"/>
          <w:spacing w:val="1"/>
          <w:sz w:val="19"/>
        </w:rPr>
        <w:t> </w:t>
      </w:r>
      <w:r>
        <w:rPr>
          <w:rFonts w:ascii="Arial" w:hAnsi="Arial"/>
          <w:spacing w:val="12"/>
          <w:sz w:val="32"/>
        </w:rPr>
        <w:t>+</w:t>
      </w:r>
      <w:r>
        <w:rPr>
          <w:rFonts w:ascii="Arial" w:hAnsi="Arial"/>
          <w:spacing w:val="12"/>
          <w:sz w:val="19"/>
        </w:rPr>
        <w:t>2</w:t>
      </w:r>
      <w:r>
        <w:rPr>
          <w:rFonts w:ascii="Arial" w:hAnsi="Arial"/>
          <w:spacing w:val="-17"/>
          <w:sz w:val="19"/>
        </w:rPr>
        <w:t> </w:t>
      </w:r>
      <w:r>
        <w:rPr>
          <w:rFonts w:ascii="Arial" w:hAnsi="Arial"/>
          <w:w w:val="105"/>
          <w:sz w:val="16"/>
        </w:rPr>
        <w:t>lítª"</w:t>
        <w:tab/>
      </w:r>
      <w:r>
        <w:rPr>
          <w:rFonts w:ascii="Arial" w:hAnsi="Arial"/>
          <w:i/>
          <w:sz w:val="20"/>
        </w:rPr>
        <w:t>N" </w:t>
      </w:r>
      <w:r>
        <w:rPr>
          <w:rFonts w:ascii="Arial" w:hAnsi="Arial"/>
          <w:sz w:val="32"/>
        </w:rPr>
        <w:t>+</w:t>
      </w:r>
      <w:r>
        <w:rPr>
          <w:rFonts w:ascii="Arial" w:hAnsi="Arial"/>
          <w:spacing w:val="-29"/>
          <w:sz w:val="32"/>
        </w:rPr>
        <w:t> </w:t>
      </w:r>
      <w:r>
        <w:rPr>
          <w:rFonts w:ascii="Arial" w:hAnsi="Arial"/>
          <w:i/>
          <w:sz w:val="20"/>
        </w:rPr>
        <w:t>N:+lí</w:t>
      </w:r>
    </w:p>
    <w:p>
      <w:pPr>
        <w:pStyle w:val="BodyText"/>
        <w:spacing w:before="58"/>
        <w:ind w:left="115"/>
        <w:jc w:val="both"/>
      </w:pPr>
      <w:r>
        <w:rPr>
          <w:w w:val="105"/>
        </w:rPr>
        <w:t>This is again  an application  of  principie  (4.1).</w:t>
      </w:r>
    </w:p>
    <w:p>
      <w:pPr>
        <w:pStyle w:val="BodyText"/>
        <w:spacing w:line="252" w:lineRule="auto" w:before="11"/>
        <w:ind w:left="115" w:right="119" w:firstLine="198"/>
        <w:jc w:val="both"/>
        <w:rPr>
          <w:sz w:val="18"/>
        </w:rPr>
      </w:pPr>
      <w:r>
        <w:rPr>
          <w:w w:val="105"/>
        </w:rPr>
        <w:t>Annual premiums are also encountered in connection with de­ ferred annuities. The annual premium, payable for </w:t>
      </w:r>
      <w:r>
        <w:rPr>
          <w:rFonts w:ascii="Arial" w:hAnsi="Arial"/>
          <w:i/>
          <w:w w:val="105"/>
          <w:sz w:val="18"/>
        </w:rPr>
        <w:t>t </w:t>
      </w:r>
      <w:r>
        <w:rPr>
          <w:w w:val="105"/>
        </w:rPr>
        <w:t>years, for an </w:t>
      </w:r>
      <w:r>
        <w:rPr>
          <w:w w:val="104"/>
        </w:rPr>
        <w:t>n-year </w:t>
      </w:r>
      <w:r>
        <w:rPr>
          <w:w w:val="102"/>
        </w:rPr>
        <w:t>deferred  </w:t>
      </w:r>
      <w:r>
        <w:rPr>
          <w:w w:val="107"/>
        </w:rPr>
        <w:t>annuity-due </w:t>
      </w:r>
      <w:r>
        <w:rPr>
          <w:w w:val="87"/>
        </w:rPr>
        <w:t>of  </w:t>
      </w:r>
      <w:r>
        <w:rPr>
          <w:w w:val="115"/>
        </w:rPr>
        <w:t>1 </w:t>
      </w:r>
      <w:r>
        <w:rPr>
          <w:w w:val="112"/>
        </w:rPr>
        <w:t>to </w:t>
      </w:r>
      <w:r>
        <w:rPr>
          <w:rFonts w:ascii="Arial" w:hAnsi="Arial"/>
          <w:i/>
          <w:w w:val="94"/>
          <w:sz w:val="19"/>
        </w:rPr>
        <w:t>(x)  </w:t>
      </w:r>
      <w:r>
        <w:rPr>
          <w:w w:val="102"/>
        </w:rPr>
        <w:t>is </w:t>
      </w:r>
      <w:r>
        <w:rPr>
          <w:w w:val="105"/>
        </w:rPr>
        <w:t>denoted </w:t>
      </w:r>
      <w:r>
        <w:rPr>
          <w:w w:val="103"/>
        </w:rPr>
        <w:t>by   </w:t>
      </w:r>
      <w:r>
        <w:rPr>
          <w:rFonts w:ascii="Arial" w:hAnsi="Arial"/>
          <w:w w:val="94"/>
        </w:rPr>
        <w:t>,P(n</w:t>
      </w:r>
      <w:r>
        <w:rPr>
          <w:rFonts w:ascii="Arial" w:hAnsi="Arial"/>
          <w:w w:val="94"/>
          <w:position w:val="-3"/>
          <w:sz w:val="10"/>
        </w:rPr>
        <w:t>1 </w:t>
      </w:r>
      <w:r>
        <w:rPr>
          <w:w w:val="98"/>
          <w:sz w:val="18"/>
        </w:rPr>
        <w:t>dz) </w:t>
      </w:r>
      <w:r>
        <w:rPr>
          <w:w w:val="144"/>
          <w:sz w:val="18"/>
        </w:rPr>
        <w:t>:</w:t>
      </w:r>
    </w:p>
    <w:p>
      <w:pPr>
        <w:spacing w:after="0" w:line="252" w:lineRule="auto"/>
        <w:jc w:val="both"/>
        <w:rPr>
          <w:sz w:val="18"/>
        </w:rPr>
        <w:sectPr>
          <w:pgSz w:w="7200" w:h="11340"/>
          <w:pgMar w:top="480" w:bottom="280" w:left="680" w:right="540"/>
        </w:sectPr>
      </w:pPr>
    </w:p>
    <w:p>
      <w:pPr>
        <w:tabs>
          <w:tab w:pos="3578" w:val="left" w:leader="none"/>
        </w:tabs>
        <w:spacing w:line="315" w:lineRule="exact" w:before="70"/>
        <w:ind w:left="1674" w:right="0" w:firstLine="0"/>
        <w:jc w:val="left"/>
        <w:rPr>
          <w:b/>
          <w:sz w:val="18"/>
        </w:rPr>
      </w:pPr>
      <w:r>
        <w:rPr/>
        <w:pict>
          <v:shape style="position:absolute;margin-left:115.019997pt;margin-top:16.179983pt;width:81.150pt;height:5.55pt;mso-position-horizontal-relative:page;mso-position-vertical-relative:paragraph;z-index:-728776" type="#_x0000_t202" filled="false" stroked="false">
            <v:textbox inset="0,0,0,0">
              <w:txbxContent>
                <w:p>
                  <w:pPr>
                    <w:tabs>
                      <w:tab w:pos="295" w:val="left" w:leader="none"/>
                    </w:tabs>
                    <w:spacing w:line="111" w:lineRule="exact" w:before="0"/>
                    <w:ind w:left="0" w:right="0" w:firstLine="0"/>
                    <w:jc w:val="left"/>
                    <w:rPr>
                      <w:rFonts w:ascii="Arial"/>
                      <w:sz w:val="11"/>
                    </w:rPr>
                  </w:pPr>
                  <w:r>
                    <w:rPr>
                      <w:i/>
                      <w:w w:val="145"/>
                      <w:sz w:val="11"/>
                    </w:rPr>
                    <w:t>i</w:t>
                  </w:r>
                  <w:r>
                    <w:rPr>
                      <w:i/>
                      <w:sz w:val="11"/>
                    </w:rPr>
                    <w:tab/>
                  </w:r>
                  <w:r>
                    <w:rPr>
                      <w:rFonts w:ascii="Arial"/>
                      <w:w w:val="120"/>
                      <w:sz w:val="11"/>
                    </w:rPr>
                    <w:t>nlU.z</w:t>
                  </w:r>
                  <w:r>
                    <w:rPr>
                      <w:rFonts w:ascii="Arial"/>
                      <w:sz w:val="11"/>
                    </w:rPr>
                    <w:t>     </w:t>
                  </w:r>
                  <w:r>
                    <w:rPr>
                      <w:rFonts w:ascii="Arial"/>
                      <w:spacing w:val="3"/>
                      <w:sz w:val="11"/>
                    </w:rPr>
                    <w:t> </w:t>
                  </w:r>
                  <w:r>
                    <w:rPr>
                      <w:rFonts w:ascii="Arial"/>
                      <w:spacing w:val="-14"/>
                      <w:w w:val="418"/>
                      <w:sz w:val="11"/>
                    </w:rPr>
                    <w:t>-</w:t>
                  </w:r>
                  <w:r>
                    <w:rPr>
                      <w:rFonts w:ascii="Arial"/>
                      <w:spacing w:val="-144"/>
                      <w:w w:val="600"/>
                      <w:sz w:val="11"/>
                    </w:rPr>
                    <w:t>-</w:t>
                  </w:r>
                  <w:r>
                    <w:rPr>
                      <w:rFonts w:ascii="Arial"/>
                      <w:w w:val="382"/>
                      <w:sz w:val="11"/>
                    </w:rPr>
                    <w:t>-</w:t>
                  </w:r>
                  <w:r>
                    <w:rPr>
                      <w:rFonts w:ascii="Arial"/>
                      <w:sz w:val="11"/>
                    </w:rPr>
                    <w:t>  </w:t>
                  </w:r>
                  <w:r>
                    <w:rPr>
                      <w:rFonts w:ascii="Arial"/>
                      <w:spacing w:val="-6"/>
                      <w:sz w:val="11"/>
                    </w:rPr>
                    <w:t> </w:t>
                  </w:r>
                  <w:r>
                    <w:rPr>
                      <w:rFonts w:ascii="Arial"/>
                      <w:w w:val="418"/>
                      <w:sz w:val="11"/>
                    </w:rPr>
                    <w:t>-</w:t>
                  </w:r>
                </w:p>
              </w:txbxContent>
            </v:textbox>
            <w10:wrap type="none"/>
          </v:shape>
        </w:pict>
      </w:r>
      <w:r>
        <w:rPr>
          <w:rFonts w:ascii="Arial"/>
          <w:w w:val="123"/>
          <w:position w:val="-5"/>
          <w:sz w:val="19"/>
        </w:rPr>
        <w:t>P</w:t>
      </w:r>
      <w:r>
        <w:rPr>
          <w:rFonts w:ascii="Arial"/>
          <w:w w:val="123"/>
          <w:position w:val="-5"/>
          <w:sz w:val="19"/>
        </w:rPr>
        <w:t>(</w:t>
      </w:r>
      <w:r>
        <w:rPr>
          <w:rFonts w:ascii="Arial"/>
          <w:position w:val="-5"/>
          <w:sz w:val="19"/>
        </w:rPr>
        <w:t>  </w:t>
      </w:r>
      <w:r>
        <w:rPr>
          <w:rFonts w:ascii="Arial"/>
          <w:spacing w:val="-16"/>
          <w:position w:val="-5"/>
          <w:sz w:val="19"/>
        </w:rPr>
        <w:t> </w:t>
      </w:r>
      <w:r>
        <w:rPr>
          <w:rFonts w:ascii="Arial"/>
          <w:w w:val="66"/>
          <w:position w:val="1"/>
          <w:sz w:val="19"/>
        </w:rPr>
        <w:t>,,.</w:t>
      </w:r>
      <w:r>
        <w:rPr>
          <w:rFonts w:ascii="Arial"/>
          <w:spacing w:val="25"/>
          <w:position w:val="1"/>
          <w:sz w:val="19"/>
        </w:rPr>
        <w:t> </w:t>
      </w:r>
      <w:r>
        <w:rPr>
          <w:rFonts w:ascii="Arial"/>
          <w:w w:val="117"/>
          <w:position w:val="1"/>
          <w:sz w:val="19"/>
        </w:rPr>
        <w:t>)</w:t>
      </w:r>
      <w:r>
        <w:rPr>
          <w:rFonts w:ascii="Arial"/>
          <w:position w:val="1"/>
          <w:sz w:val="19"/>
        </w:rPr>
        <w:t> </w:t>
      </w:r>
      <w:r>
        <w:rPr>
          <w:rFonts w:ascii="Arial"/>
          <w:spacing w:val="-12"/>
          <w:position w:val="1"/>
          <w:sz w:val="19"/>
        </w:rPr>
        <w:t> </w:t>
      </w:r>
      <w:r>
        <w:rPr>
          <w:rFonts w:ascii="Arial"/>
          <w:w w:val="111"/>
          <w:position w:val="1"/>
          <w:sz w:val="19"/>
        </w:rPr>
        <w:t>_</w:t>
      </w:r>
      <w:r>
        <w:rPr>
          <w:rFonts w:ascii="Arial"/>
          <w:position w:val="1"/>
          <w:sz w:val="19"/>
        </w:rPr>
        <w:t>  </w:t>
      </w:r>
      <w:r>
        <w:rPr>
          <w:rFonts w:ascii="Arial"/>
          <w:spacing w:val="-25"/>
          <w:position w:val="1"/>
          <w:sz w:val="19"/>
        </w:rPr>
        <w:t> </w:t>
      </w:r>
      <w:r>
        <w:rPr>
          <w:rFonts w:ascii="Arial"/>
          <w:w w:val="91"/>
          <w:position w:val="1"/>
          <w:sz w:val="19"/>
        </w:rPr>
        <w:t>,</w:t>
      </w:r>
      <w:r>
        <w:rPr>
          <w:rFonts w:ascii="Arial"/>
          <w:spacing w:val="3"/>
          <w:w w:val="91"/>
          <w:position w:val="1"/>
          <w:sz w:val="19"/>
        </w:rPr>
        <w:t>.</w:t>
      </w:r>
      <w:r>
        <w:rPr>
          <w:rFonts w:ascii="Arial"/>
          <w:spacing w:val="-1"/>
          <w:w w:val="65"/>
          <w:sz w:val="10"/>
        </w:rPr>
        <w:t>1</w:t>
      </w:r>
      <w:r>
        <w:rPr>
          <w:w w:val="84"/>
          <w:position w:val="1"/>
          <w:sz w:val="26"/>
        </w:rPr>
        <w:t>a"</w:t>
      </w:r>
      <w:r>
        <w:rPr>
          <w:position w:val="1"/>
          <w:sz w:val="26"/>
        </w:rPr>
        <w:t> </w:t>
      </w:r>
      <w:r>
        <w:rPr>
          <w:spacing w:val="-27"/>
          <w:position w:val="1"/>
          <w:sz w:val="26"/>
        </w:rPr>
        <w:t> </w:t>
      </w:r>
      <w:r>
        <w:rPr>
          <w:w w:val="94"/>
          <w:position w:val="1"/>
          <w:sz w:val="26"/>
        </w:rPr>
        <w:t>_</w:t>
      </w:r>
      <w:r>
        <w:rPr>
          <w:position w:val="1"/>
          <w:sz w:val="26"/>
        </w:rPr>
        <w:tab/>
      </w:r>
      <w:r>
        <w:rPr>
          <w:b/>
          <w:w w:val="102"/>
          <w:position w:val="1"/>
          <w:sz w:val="18"/>
          <w:u w:val="single"/>
        </w:rPr>
        <w:t>Ns+"</w:t>
      </w:r>
    </w:p>
    <w:p>
      <w:pPr>
        <w:tabs>
          <w:tab w:pos="3305" w:val="left" w:leader="none"/>
        </w:tabs>
        <w:spacing w:line="203" w:lineRule="exact" w:before="0"/>
        <w:ind w:left="2628" w:right="0" w:firstLine="0"/>
        <w:jc w:val="left"/>
        <w:rPr>
          <w:b/>
          <w:i/>
          <w:sz w:val="21"/>
        </w:rPr>
      </w:pPr>
      <w:r>
        <w:rPr>
          <w:b/>
          <w:sz w:val="18"/>
        </w:rPr>
        <w:t>lls:il</w:t>
        <w:tab/>
      </w:r>
      <w:r>
        <w:rPr>
          <w:b/>
          <w:i/>
          <w:sz w:val="21"/>
        </w:rPr>
        <w:t>N</w:t>
      </w:r>
      <w:r>
        <w:rPr>
          <w:b/>
          <w:i/>
          <w:spacing w:val="-34"/>
          <w:sz w:val="21"/>
        </w:rPr>
        <w:t> </w:t>
      </w:r>
      <w:r>
        <w:rPr>
          <w:b/>
          <w:i/>
          <w:sz w:val="21"/>
        </w:rPr>
        <w:t>s</w:t>
      </w:r>
      <w:r>
        <w:rPr>
          <w:b/>
          <w:i/>
          <w:spacing w:val="1"/>
          <w:sz w:val="21"/>
        </w:rPr>
        <w:t> </w:t>
      </w:r>
      <w:r>
        <w:rPr>
          <w:w w:val="245"/>
          <w:sz w:val="21"/>
        </w:rPr>
        <w:t>-</w:t>
      </w:r>
      <w:r>
        <w:rPr>
          <w:spacing w:val="-103"/>
          <w:w w:val="245"/>
          <w:sz w:val="21"/>
        </w:rPr>
        <w:t> </w:t>
      </w:r>
      <w:r>
        <w:rPr>
          <w:b/>
          <w:i/>
          <w:sz w:val="21"/>
        </w:rPr>
        <w:t>N</w:t>
      </w:r>
      <w:r>
        <w:rPr>
          <w:b/>
          <w:i/>
          <w:spacing w:val="-33"/>
          <w:sz w:val="21"/>
        </w:rPr>
        <w:t> </w:t>
      </w:r>
      <w:r>
        <w:rPr>
          <w:b/>
          <w:i/>
          <w:sz w:val="21"/>
        </w:rPr>
        <w:t>z+t</w:t>
      </w:r>
    </w:p>
    <w:p>
      <w:pPr>
        <w:pStyle w:val="BodyText"/>
        <w:spacing w:before="5"/>
        <w:rPr>
          <w:b/>
          <w:i/>
          <w:sz w:val="17"/>
        </w:rPr>
      </w:pPr>
      <w:r>
        <w:rPr/>
        <w:br w:type="column"/>
      </w:r>
      <w:r>
        <w:rPr>
          <w:b/>
          <w:i/>
          <w:sz w:val="17"/>
        </w:rPr>
      </w:r>
    </w:p>
    <w:p>
      <w:pPr>
        <w:pStyle w:val="BodyText"/>
        <w:ind w:left="1056"/>
      </w:pPr>
      <w:r>
        <w:rPr>
          <w:w w:val="105"/>
        </w:rPr>
        <w:t>(4.11)</w:t>
      </w:r>
    </w:p>
    <w:p>
      <w:pPr>
        <w:spacing w:after="0"/>
        <w:sectPr>
          <w:type w:val="continuous"/>
          <w:pgSz w:w="7200" w:h="11340"/>
          <w:pgMar w:top="1100" w:bottom="0" w:left="680" w:right="540"/>
          <w:cols w:num="2" w:equalWidth="0">
            <w:col w:w="4243" w:space="40"/>
            <w:col w:w="1697"/>
          </w:cols>
        </w:sectPr>
      </w:pPr>
    </w:p>
    <w:p>
      <w:pPr>
        <w:pStyle w:val="BodyText"/>
        <w:spacing w:line="249" w:lineRule="auto" w:before="84"/>
        <w:ind w:left="119" w:right="121" w:firstLine="3"/>
        <w:jc w:val="both"/>
      </w:pPr>
      <w:r>
        <w:rPr>
          <w:w w:val="105"/>
          <w:sz w:val="22"/>
        </w:rPr>
        <w:t>In </w:t>
      </w:r>
      <w:r>
        <w:rPr>
          <w:w w:val="105"/>
        </w:rPr>
        <w:t>practice, </w:t>
      </w:r>
      <w:r>
        <w:rPr>
          <w:rFonts w:ascii="Arial"/>
          <w:i/>
          <w:w w:val="105"/>
          <w:sz w:val="18"/>
        </w:rPr>
        <w:t>t </w:t>
      </w:r>
      <w:r>
        <w:rPr>
          <w:w w:val="105"/>
        </w:rPr>
        <w:t>is usually  equal  to </w:t>
      </w:r>
      <w:r>
        <w:rPr>
          <w:i/>
          <w:w w:val="105"/>
          <w:sz w:val="21"/>
        </w:rPr>
        <w:t>n. </w:t>
      </w:r>
      <w:r>
        <w:rPr>
          <w:w w:val="105"/>
        </w:rPr>
        <w:t>The notational  principie  here  is the same as that used to express the net annual premium for insurances payable at the moment  of  death: the </w:t>
      </w:r>
      <w:r>
        <w:rPr>
          <w:i/>
          <w:w w:val="105"/>
        </w:rPr>
        <w:t>P  </w:t>
      </w:r>
      <w:r>
        <w:rPr>
          <w:w w:val="105"/>
        </w:rPr>
        <w:t>symbol is used in conjunction  with  the net  single premium</w:t>
      </w:r>
      <w:r>
        <w:rPr>
          <w:spacing w:val="45"/>
          <w:w w:val="105"/>
        </w:rPr>
        <w:t> </w:t>
      </w:r>
      <w:r>
        <w:rPr>
          <w:w w:val="105"/>
        </w:rPr>
        <w:t>symbol.</w:t>
      </w:r>
    </w:p>
    <w:p>
      <w:pPr>
        <w:pStyle w:val="BodyText"/>
        <w:spacing w:before="1"/>
        <w:rPr>
          <w:sz w:val="14"/>
        </w:rPr>
      </w:pPr>
    </w:p>
    <w:p>
      <w:pPr>
        <w:pStyle w:val="ListParagraph"/>
        <w:numPr>
          <w:ilvl w:val="0"/>
          <w:numId w:val="36"/>
        </w:numPr>
        <w:tabs>
          <w:tab w:pos="343" w:val="left" w:leader="none"/>
        </w:tabs>
        <w:spacing w:line="240" w:lineRule="auto" w:before="1" w:after="0"/>
        <w:ind w:left="342" w:right="0" w:hanging="223"/>
        <w:jc w:val="left"/>
        <w:rPr>
          <w:b/>
          <w:sz w:val="19"/>
        </w:rPr>
      </w:pPr>
      <w:r>
        <w:rPr>
          <w:b/>
          <w:w w:val="120"/>
          <w:sz w:val="19"/>
        </w:rPr>
        <w:t>Fractional</w:t>
      </w:r>
      <w:r>
        <w:rPr>
          <w:b/>
          <w:spacing w:val="9"/>
          <w:w w:val="120"/>
          <w:sz w:val="19"/>
        </w:rPr>
        <w:t> </w:t>
      </w:r>
      <w:r>
        <w:rPr>
          <w:b/>
          <w:w w:val="120"/>
          <w:sz w:val="19"/>
        </w:rPr>
        <w:t>premiums</w:t>
      </w:r>
    </w:p>
    <w:p>
      <w:pPr>
        <w:pStyle w:val="BodyText"/>
        <w:spacing w:line="242" w:lineRule="auto" w:before="83"/>
        <w:ind w:left="115" w:right="119" w:firstLine="201"/>
        <w:jc w:val="both"/>
      </w:pPr>
      <w:r>
        <w:rPr/>
        <w:t>An insured often elects </w:t>
      </w:r>
      <w:r>
        <w:rPr>
          <w:sz w:val="21"/>
        </w:rPr>
        <w:t>to </w:t>
      </w:r>
      <w:r>
        <w:rPr/>
        <w:t>make his premium payments more frequently than once a year. </w:t>
      </w:r>
      <w:r>
        <w:rPr>
          <w:sz w:val="22"/>
        </w:rPr>
        <w:t>In </w:t>
      </w:r>
      <w:r>
        <w:rPr/>
        <w:t>this case the  amount  of  the  net  annual premium payable </w:t>
      </w:r>
      <w:r>
        <w:rPr>
          <w:rFonts w:ascii="Arial"/>
          <w:i/>
          <w:sz w:val="17"/>
        </w:rPr>
        <w:t>m </w:t>
      </w:r>
      <w:r>
        <w:rPr/>
        <w:t>times a year, </w:t>
      </w:r>
      <w:r>
        <w:rPr>
          <w:b/>
          <w:i/>
        </w:rPr>
        <w:t>p&lt; </w:t>
      </w:r>
      <w:r>
        <w:rPr>
          <w:b/>
          <w:i/>
          <w:w w:val="90"/>
        </w:rPr>
        <w:t>m&gt; , </w:t>
      </w:r>
      <w:r>
        <w:rPr/>
        <w:t>is determined in accordance  with  principie  (4.1)  with   the  annuity  factor  adjusted for  payments  </w:t>
      </w:r>
      <w:r>
        <w:rPr>
          <w:rFonts w:ascii="Arial"/>
          <w:i/>
          <w:sz w:val="18"/>
        </w:rPr>
        <w:t>m  </w:t>
      </w:r>
      <w:r>
        <w:rPr/>
        <w:t>times  a  year, </w:t>
      </w:r>
      <w:r>
        <w:rPr>
          <w:spacing w:val="12"/>
        </w:rPr>
        <w:t> </w:t>
      </w:r>
      <w:r>
        <w:rPr/>
        <w:t>thus:</w:t>
      </w:r>
    </w:p>
    <w:p>
      <w:pPr>
        <w:tabs>
          <w:tab w:pos="5346" w:val="left" w:leader="none"/>
        </w:tabs>
        <w:spacing w:before="142"/>
        <w:ind w:left="2477" w:right="0" w:firstLine="0"/>
        <w:jc w:val="left"/>
        <w:rPr>
          <w:sz w:val="20"/>
        </w:rPr>
      </w:pPr>
      <w:r>
        <w:rPr>
          <w:b/>
          <w:position w:val="5"/>
          <w:sz w:val="20"/>
        </w:rPr>
        <w:t>p&lt;m) </w:t>
      </w:r>
      <w:r>
        <w:rPr>
          <w:b/>
          <w:w w:val="110"/>
          <w:position w:val="5"/>
          <w:sz w:val="20"/>
        </w:rPr>
        <w:t>=</w:t>
      </w:r>
      <w:r>
        <w:rPr>
          <w:b/>
          <w:spacing w:val="3"/>
          <w:w w:val="110"/>
          <w:position w:val="5"/>
          <w:sz w:val="20"/>
        </w:rPr>
        <w:t> </w:t>
      </w:r>
      <w:r>
        <w:rPr>
          <w:rFonts w:ascii="Arial"/>
          <w:b/>
          <w:position w:val="-7"/>
          <w:sz w:val="17"/>
        </w:rPr>
        <w:t>a&lt;m)</w:t>
      </w:r>
      <w:r>
        <w:rPr>
          <w:rFonts w:ascii="Arial"/>
          <w:b/>
          <w:spacing w:val="-11"/>
          <w:position w:val="-7"/>
          <w:sz w:val="17"/>
        </w:rPr>
        <w:t> </w:t>
      </w:r>
      <w:r>
        <w:rPr>
          <w:rFonts w:ascii="Arial"/>
          <w:b/>
          <w:w w:val="110"/>
          <w:position w:val="-7"/>
          <w:sz w:val="17"/>
        </w:rPr>
        <w:t>.</w:t>
        <w:tab/>
      </w:r>
      <w:r>
        <w:rPr>
          <w:w w:val="110"/>
          <w:sz w:val="20"/>
        </w:rPr>
        <w:t>(4.12)</w:t>
      </w:r>
    </w:p>
    <w:p>
      <w:pPr>
        <w:pStyle w:val="BodyText"/>
        <w:spacing w:before="140"/>
        <w:ind w:left="119"/>
      </w:pPr>
      <w:r>
        <w:rPr>
          <w:w w:val="105"/>
        </w:rPr>
        <w:t>The adjustment  in the annuity  factor  is usually  made on the  basis</w:t>
      </w:r>
    </w:p>
    <w:p>
      <w:pPr>
        <w:spacing w:after="0"/>
        <w:sectPr>
          <w:type w:val="continuous"/>
          <w:pgSz w:w="7200" w:h="11340"/>
          <w:pgMar w:top="1100" w:bottom="0" w:left="680" w:right="540"/>
        </w:sectPr>
      </w:pPr>
    </w:p>
    <w:p>
      <w:pPr>
        <w:tabs>
          <w:tab w:pos="1989" w:val="left" w:leader="none"/>
          <w:tab w:pos="5387" w:val="left" w:leader="none"/>
        </w:tabs>
        <w:spacing w:before="51"/>
        <w:ind w:left="150" w:right="0" w:hanging="11"/>
        <w:jc w:val="left"/>
        <w:rPr>
          <w:rFonts w:ascii="Arial"/>
          <w:sz w:val="19"/>
        </w:rPr>
      </w:pPr>
      <w:r>
        <w:rPr>
          <w:rFonts w:ascii="Arial"/>
          <w:sz w:val="19"/>
        </w:rPr>
        <w:t>84</w:t>
        <w:tab/>
      </w:r>
      <w:r>
        <w:rPr>
          <w:sz w:val="15"/>
        </w:rPr>
        <w:t>NET  </w:t>
      </w:r>
      <w:r>
        <w:rPr>
          <w:spacing w:val="29"/>
          <w:sz w:val="15"/>
        </w:rPr>
        <w:t> </w:t>
      </w:r>
      <w:r>
        <w:rPr>
          <w:sz w:val="15"/>
        </w:rPr>
        <w:t>ANNUAL  </w:t>
      </w:r>
      <w:r>
        <w:rPr>
          <w:spacing w:val="36"/>
          <w:sz w:val="15"/>
        </w:rPr>
        <w:t> </w:t>
      </w:r>
      <w:r>
        <w:rPr>
          <w:sz w:val="15"/>
        </w:rPr>
        <w:t>PREMIUMS</w:t>
        <w:tab/>
      </w:r>
      <w:r>
        <w:rPr>
          <w:w w:val="90"/>
          <w:sz w:val="21"/>
        </w:rPr>
        <w:t>[CH.</w:t>
      </w:r>
      <w:r>
        <w:rPr>
          <w:spacing w:val="-31"/>
          <w:w w:val="90"/>
          <w:sz w:val="21"/>
        </w:rPr>
        <w:t> </w:t>
      </w:r>
      <w:r>
        <w:rPr>
          <w:rFonts w:ascii="Arial"/>
          <w:w w:val="90"/>
          <w:sz w:val="19"/>
        </w:rPr>
        <w:t>4</w:t>
      </w:r>
    </w:p>
    <w:p>
      <w:pPr>
        <w:pStyle w:val="BodyText"/>
        <w:spacing w:before="3"/>
        <w:rPr>
          <w:rFonts w:ascii="Arial"/>
        </w:rPr>
      </w:pPr>
    </w:p>
    <w:p>
      <w:pPr>
        <w:spacing w:before="0"/>
        <w:ind w:left="150" w:right="0" w:firstLine="0"/>
        <w:jc w:val="left"/>
        <w:rPr>
          <w:sz w:val="21"/>
        </w:rPr>
      </w:pPr>
      <w:r>
        <w:rPr>
          <w:sz w:val="21"/>
        </w:rPr>
        <w:t>of   the   practica}   approximation   illustrated   </w:t>
      </w:r>
      <w:r>
        <w:rPr>
          <w:sz w:val="20"/>
        </w:rPr>
        <w:t>in   </w:t>
      </w:r>
      <w:r>
        <w:rPr>
          <w:sz w:val="21"/>
        </w:rPr>
        <w:t>formula  (2.22),</w:t>
      </w:r>
    </w:p>
    <w:p>
      <w:pPr>
        <w:spacing w:after="0"/>
        <w:jc w:val="left"/>
        <w:rPr>
          <w:sz w:val="21"/>
        </w:rPr>
        <w:sectPr>
          <w:pgSz w:w="7200" w:h="11340"/>
          <w:pgMar w:top="480" w:bottom="280" w:left="660" w:right="480"/>
        </w:sectPr>
      </w:pPr>
    </w:p>
    <w:p>
      <w:pPr>
        <w:tabs>
          <w:tab w:pos="823" w:val="left" w:leader="none"/>
        </w:tabs>
        <w:spacing w:before="49"/>
        <w:ind w:left="146" w:right="0" w:firstLine="0"/>
        <w:jc w:val="left"/>
        <w:rPr>
          <w:rFonts w:ascii="Arial" w:hAnsi="Arial"/>
          <w:i/>
          <w:sz w:val="18"/>
        </w:rPr>
      </w:pPr>
      <w:r>
        <w:rPr/>
        <w:pict>
          <v:rect style="position:absolute;margin-left:108.720001pt;margin-top:15.70031pt;width:12.6pt;height:6.48pt;mso-position-horizontal-relative:page;mso-position-vertical-relative:paragraph;z-index:-728752" filled="true" fillcolor="#000000" stroked="false">
            <v:fill type="solid"/>
            <w10:wrap type="none"/>
          </v:rect>
        </w:pict>
      </w:r>
      <w:r>
        <w:rPr>
          <w:spacing w:val="-88"/>
          <w:w w:val="82"/>
          <w:sz w:val="27"/>
        </w:rPr>
        <w:t>a</w:t>
      </w:r>
      <w:r>
        <w:rPr>
          <w:spacing w:val="-208"/>
          <w:w w:val="227"/>
          <w:sz w:val="27"/>
        </w:rPr>
        <w:t>!</w:t>
      </w:r>
      <w:r>
        <w:rPr>
          <w:spacing w:val="-37"/>
          <w:w w:val="144"/>
          <w:sz w:val="27"/>
        </w:rPr>
        <w:t>•</w:t>
      </w:r>
      <w:r>
        <w:rPr>
          <w:w w:val="27"/>
          <w:sz w:val="27"/>
        </w:rPr>
        <w:t>&gt;</w:t>
      </w:r>
      <w:r>
        <w:rPr>
          <w:sz w:val="27"/>
        </w:rPr>
        <w:tab/>
      </w:r>
      <w:r>
        <w:rPr>
          <w:i/>
          <w:w w:val="93"/>
          <w:sz w:val="28"/>
        </w:rPr>
        <w:t>a.</w:t>
      </w:r>
      <w:r>
        <w:rPr>
          <w:i/>
          <w:spacing w:val="8"/>
          <w:sz w:val="28"/>
        </w:rPr>
        <w:t> </w:t>
      </w:r>
      <w:r>
        <w:rPr>
          <w:w w:val="200"/>
          <w:sz w:val="28"/>
        </w:rPr>
        <w:t>-</w:t>
      </w:r>
      <w:r>
        <w:rPr>
          <w:spacing w:val="-20"/>
          <w:sz w:val="28"/>
        </w:rPr>
        <w:t> </w:t>
      </w:r>
      <w:r>
        <w:rPr>
          <w:rFonts w:ascii="Arial" w:hAnsi="Arial"/>
          <w:i/>
          <w:w w:val="107"/>
          <w:sz w:val="18"/>
        </w:rPr>
        <w:t>m</w:t>
      </w:r>
    </w:p>
    <w:p>
      <w:pPr>
        <w:spacing w:before="103"/>
        <w:ind w:left="139" w:right="0" w:firstLine="0"/>
        <w:jc w:val="left"/>
        <w:rPr>
          <w:sz w:val="20"/>
        </w:rPr>
      </w:pPr>
      <w:r>
        <w:rPr>
          <w:sz w:val="21"/>
        </w:rPr>
        <w:t>tions of  </w:t>
      </w:r>
      <w:r>
        <w:rPr>
          <w:sz w:val="20"/>
        </w:rPr>
        <w:t>(4.12):</w:t>
      </w:r>
    </w:p>
    <w:p>
      <w:pPr>
        <w:spacing w:line="132" w:lineRule="auto" w:before="93"/>
        <w:ind w:left="-22" w:right="219" w:firstLine="86"/>
        <w:jc w:val="left"/>
        <w:rPr>
          <w:sz w:val="21"/>
        </w:rPr>
      </w:pPr>
      <w:r>
        <w:rPr/>
        <w:br w:type="column"/>
      </w:r>
      <w:r>
        <w:rPr>
          <w:sz w:val="21"/>
        </w:rPr>
        <w:t>:_ </w:t>
      </w:r>
      <w:r>
        <w:rPr>
          <w:position w:val="11"/>
          <w:sz w:val="21"/>
        </w:rPr>
        <w:t>1 </w:t>
      </w:r>
      <w:r>
        <w:rPr>
          <w:sz w:val="21"/>
        </w:rPr>
        <w:t>. This will  be seen in the following a.pplica­  2</w:t>
      </w:r>
    </w:p>
    <w:p>
      <w:pPr>
        <w:spacing w:after="0" w:line="132" w:lineRule="auto"/>
        <w:jc w:val="left"/>
        <w:rPr>
          <w:sz w:val="21"/>
        </w:rPr>
        <w:sectPr>
          <w:type w:val="continuous"/>
          <w:pgSz w:w="7200" w:h="11340"/>
          <w:pgMar w:top="1100" w:bottom="0" w:left="660" w:right="480"/>
          <w:cols w:num="2" w:equalWidth="0">
            <w:col w:w="1497" w:space="40"/>
            <w:col w:w="4523"/>
          </w:cols>
        </w:sectPr>
      </w:pPr>
    </w:p>
    <w:p>
      <w:pPr>
        <w:tabs>
          <w:tab w:pos="2767" w:val="left" w:leader="none"/>
        </w:tabs>
        <w:spacing w:line="231" w:lineRule="exact" w:before="128"/>
        <w:ind w:left="1035" w:right="0" w:firstLine="0"/>
        <w:jc w:val="left"/>
        <w:rPr>
          <w:i/>
          <w:sz w:val="23"/>
        </w:rPr>
      </w:pPr>
      <w:r>
        <w:rPr>
          <w:rFonts w:ascii="Arial" w:hAnsi="Arial"/>
          <w:w w:val="103"/>
          <w:sz w:val="21"/>
        </w:rPr>
        <w:t>p&lt;</w:t>
      </w:r>
      <w:r>
        <w:rPr>
          <w:rFonts w:ascii="Arial" w:hAnsi="Arial"/>
          <w:spacing w:val="-20"/>
          <w:w w:val="103"/>
          <w:sz w:val="21"/>
        </w:rPr>
        <w:t>•</w:t>
      </w:r>
      <w:r>
        <w:rPr>
          <w:rFonts w:ascii="Arial" w:hAnsi="Arial"/>
          <w:w w:val="41"/>
          <w:sz w:val="21"/>
        </w:rPr>
        <w:t>&gt;</w:t>
      </w:r>
      <w:r>
        <w:rPr>
          <w:rFonts w:ascii="Arial" w:hAnsi="Arial"/>
          <w:sz w:val="21"/>
        </w:rPr>
        <w:t> </w:t>
      </w:r>
      <w:r>
        <w:rPr>
          <w:rFonts w:ascii="Arial" w:hAnsi="Arial"/>
          <w:spacing w:val="-25"/>
          <w:sz w:val="21"/>
        </w:rPr>
        <w:t> </w:t>
      </w:r>
      <w:r>
        <w:rPr>
          <w:rFonts w:ascii="Arial" w:hAnsi="Arial"/>
          <w:w w:val="103"/>
          <w:sz w:val="21"/>
        </w:rPr>
        <w:t>_</w:t>
      </w:r>
      <w:r>
        <w:rPr>
          <w:rFonts w:ascii="Arial" w:hAnsi="Arial"/>
          <w:sz w:val="21"/>
        </w:rPr>
        <w:t> </w:t>
      </w:r>
      <w:r>
        <w:rPr>
          <w:rFonts w:ascii="Arial" w:hAnsi="Arial"/>
          <w:spacing w:val="28"/>
          <w:sz w:val="21"/>
        </w:rPr>
        <w:t> </w:t>
      </w:r>
      <w:r>
        <w:rPr>
          <w:i/>
          <w:w w:val="122"/>
          <w:sz w:val="23"/>
        </w:rPr>
        <w:t>A.</w:t>
      </w:r>
      <w:r>
        <w:rPr>
          <w:i/>
          <w:sz w:val="23"/>
        </w:rPr>
        <w:t> </w:t>
      </w:r>
      <w:r>
        <w:rPr>
          <w:i/>
          <w:spacing w:val="8"/>
          <w:sz w:val="23"/>
        </w:rPr>
        <w:t> </w:t>
      </w:r>
      <w:r>
        <w:rPr>
          <w:w w:val="50"/>
          <w:sz w:val="23"/>
        </w:rPr>
        <w:t>:....</w:t>
      </w:r>
      <w:r>
        <w:rPr>
          <w:sz w:val="23"/>
        </w:rPr>
        <w:tab/>
      </w:r>
      <w:r>
        <w:rPr>
          <w:i/>
          <w:w w:val="122"/>
          <w:sz w:val="23"/>
          <w:u w:val="thick"/>
        </w:rPr>
        <w:t>A.</w:t>
      </w:r>
    </w:p>
    <w:p>
      <w:pPr>
        <w:tabs>
          <w:tab w:pos="1481" w:val="left" w:leader="none"/>
          <w:tab w:pos="2810" w:val="left" w:leader="none"/>
        </w:tabs>
        <w:spacing w:line="167" w:lineRule="exact" w:before="0"/>
        <w:ind w:left="1165" w:right="0" w:firstLine="0"/>
        <w:jc w:val="left"/>
        <w:rPr>
          <w:sz w:val="20"/>
        </w:rPr>
      </w:pPr>
      <w:r>
        <w:rPr>
          <w:rFonts w:ascii="Arial" w:hAnsi="Arial"/>
          <w:w w:val="130"/>
          <w:sz w:val="23"/>
        </w:rPr>
        <w:t>•</w:t>
        <w:tab/>
      </w:r>
      <w:r>
        <w:rPr>
          <w:rFonts w:ascii="Arial" w:hAnsi="Arial"/>
          <w:w w:val="190"/>
          <w:sz w:val="23"/>
        </w:rPr>
        <w:t>-</w:t>
      </w:r>
      <w:r>
        <w:rPr>
          <w:rFonts w:ascii="Arial" w:hAnsi="Arial"/>
          <w:spacing w:val="-86"/>
          <w:w w:val="190"/>
          <w:sz w:val="23"/>
        </w:rPr>
        <w:t> </w:t>
      </w:r>
      <w:r>
        <w:rPr>
          <w:rFonts w:ascii="Arial" w:hAnsi="Arial"/>
          <w:i/>
          <w:w w:val="95"/>
          <w:sz w:val="23"/>
          <w:u w:val="thick"/>
        </w:rPr>
        <w:t>a!</w:t>
      </w:r>
      <w:r>
        <w:rPr>
          <w:rFonts w:ascii="Arial" w:hAnsi="Arial"/>
          <w:i/>
          <w:w w:val="95"/>
          <w:sz w:val="23"/>
        </w:rPr>
        <w:t>"'&gt;</w:t>
      </w:r>
      <w:r>
        <w:rPr>
          <w:rFonts w:ascii="Arial" w:hAnsi="Arial"/>
          <w:i/>
          <w:spacing w:val="-13"/>
          <w:w w:val="95"/>
          <w:sz w:val="23"/>
        </w:rPr>
        <w:t> </w:t>
      </w:r>
      <w:r>
        <w:rPr>
          <w:rFonts w:ascii="Arial" w:hAnsi="Arial"/>
          <w:w w:val="95"/>
          <w:sz w:val="21"/>
        </w:rPr>
        <w:t>-=</w:t>
        <w:tab/>
      </w:r>
      <w:r>
        <w:rPr>
          <w:rFonts w:ascii="Arial" w:hAnsi="Arial"/>
          <w:i/>
          <w:w w:val="130"/>
          <w:sz w:val="18"/>
        </w:rPr>
        <w:t>m </w:t>
      </w:r>
      <w:r>
        <w:rPr>
          <w:rFonts w:ascii="Arial" w:hAnsi="Arial"/>
          <w:w w:val="275"/>
          <w:sz w:val="18"/>
        </w:rPr>
        <w:t>-</w:t>
      </w:r>
      <w:r>
        <w:rPr>
          <w:rFonts w:ascii="Arial" w:hAnsi="Arial"/>
          <w:spacing w:val="-65"/>
          <w:w w:val="275"/>
          <w:sz w:val="18"/>
        </w:rPr>
        <w:t> </w:t>
      </w:r>
      <w:r>
        <w:rPr>
          <w:w w:val="130"/>
          <w:sz w:val="20"/>
        </w:rPr>
        <w:t>1</w:t>
      </w:r>
    </w:p>
    <w:p>
      <w:pPr>
        <w:spacing w:line="259" w:lineRule="exact" w:before="0"/>
        <w:ind w:left="0" w:right="684" w:firstLine="0"/>
        <w:jc w:val="right"/>
        <w:rPr>
          <w:i/>
          <w:sz w:val="28"/>
        </w:rPr>
      </w:pPr>
      <w:r>
        <w:rPr>
          <w:i/>
          <w:w w:val="125"/>
          <w:sz w:val="28"/>
        </w:rPr>
        <w:t>a.-</w:t>
      </w:r>
    </w:p>
    <w:p>
      <w:pPr>
        <w:tabs>
          <w:tab w:pos="802" w:val="left" w:leader="none"/>
          <w:tab w:pos="1908" w:val="left" w:leader="none"/>
        </w:tabs>
        <w:spacing w:line="257" w:lineRule="exact" w:before="105"/>
        <w:ind w:left="237" w:right="0" w:firstLine="0"/>
        <w:jc w:val="left"/>
        <w:rPr>
          <w:rFonts w:ascii="Courier New"/>
          <w:i/>
          <w:sz w:val="26"/>
        </w:rPr>
      </w:pPr>
      <w:r>
        <w:rPr/>
        <w:br w:type="column"/>
      </w:r>
      <w:r>
        <w:rPr>
          <w:rFonts w:ascii="Courier New"/>
          <w:i/>
          <w:w w:val="99"/>
          <w:sz w:val="26"/>
          <w:u w:val="thick"/>
        </w:rPr>
        <w:t> </w:t>
      </w:r>
      <w:r>
        <w:rPr>
          <w:rFonts w:ascii="Courier New"/>
          <w:i/>
          <w:sz w:val="26"/>
          <w:u w:val="thick"/>
        </w:rPr>
        <w:tab/>
      </w:r>
      <w:r>
        <w:rPr>
          <w:rFonts w:ascii="Courier New"/>
          <w:i/>
          <w:spacing w:val="14"/>
          <w:w w:val="145"/>
          <w:sz w:val="26"/>
          <w:u w:val="thick"/>
        </w:rPr>
        <w:t>M.</w:t>
      </w:r>
      <w:r>
        <w:rPr>
          <w:rFonts w:ascii="Courier New"/>
          <w:i/>
          <w:spacing w:val="14"/>
          <w:sz w:val="26"/>
          <w:u w:val="thick"/>
        </w:rPr>
        <w:tab/>
      </w:r>
    </w:p>
    <w:p>
      <w:pPr>
        <w:spacing w:line="434" w:lineRule="exact" w:before="0"/>
        <w:ind w:left="226" w:right="0" w:firstLine="0"/>
        <w:jc w:val="left"/>
        <w:rPr>
          <w:sz w:val="41"/>
        </w:rPr>
      </w:pPr>
      <w:r>
        <w:rPr/>
        <w:pict>
          <v:shape style="position:absolute;margin-left:245.339996pt;margin-top:2.000702pt;width:31.65pt;height:10pt;mso-position-horizontal-relative:page;mso-position-vertical-relative:paragraph;z-index:-728728" type="#_x0000_t202" filled="false" stroked="false">
            <v:textbox inset="0,0,0,0">
              <w:txbxContent>
                <w:p>
                  <w:pPr>
                    <w:spacing w:line="200" w:lineRule="exact" w:before="0"/>
                    <w:ind w:left="0" w:right="-19" w:firstLine="0"/>
                    <w:jc w:val="left"/>
                    <w:rPr>
                      <w:sz w:val="20"/>
                    </w:rPr>
                  </w:pPr>
                  <w:r>
                    <w:rPr>
                      <w:rFonts w:ascii="Arial"/>
                      <w:i/>
                      <w:w w:val="125"/>
                      <w:sz w:val="18"/>
                    </w:rPr>
                    <w:t>m </w:t>
                  </w:r>
                  <w:r>
                    <w:rPr>
                      <w:rFonts w:ascii="Arial"/>
                      <w:w w:val="290"/>
                      <w:sz w:val="18"/>
                    </w:rPr>
                    <w:t>-</w:t>
                  </w:r>
                  <w:r>
                    <w:rPr>
                      <w:rFonts w:ascii="Arial"/>
                      <w:spacing w:val="-62"/>
                      <w:w w:val="290"/>
                      <w:sz w:val="18"/>
                    </w:rPr>
                    <w:t> </w:t>
                  </w:r>
                  <w:r>
                    <w:rPr>
                      <w:w w:val="125"/>
                      <w:sz w:val="20"/>
                    </w:rPr>
                    <w:t>1</w:t>
                  </w:r>
                </w:p>
              </w:txbxContent>
            </v:textbox>
            <w10:wrap type="none"/>
          </v:shape>
        </w:pict>
      </w:r>
      <w:r>
        <w:rPr>
          <w:i/>
          <w:w w:val="110"/>
          <w:sz w:val="22"/>
        </w:rPr>
        <w:t>N</w:t>
      </w:r>
      <w:r>
        <w:rPr>
          <w:i/>
          <w:spacing w:val="-50"/>
          <w:w w:val="110"/>
          <w:sz w:val="22"/>
        </w:rPr>
        <w:t> </w:t>
      </w:r>
      <w:r>
        <w:rPr>
          <w:i/>
          <w:w w:val="85"/>
          <w:sz w:val="22"/>
        </w:rPr>
        <w:t>s </w:t>
      </w:r>
      <w:r>
        <w:rPr>
          <w:i/>
          <w:w w:val="150"/>
          <w:sz w:val="22"/>
        </w:rPr>
        <w:t>-</w:t>
      </w:r>
      <w:r>
        <w:rPr>
          <w:i/>
          <w:spacing w:val="-64"/>
          <w:w w:val="150"/>
          <w:sz w:val="22"/>
        </w:rPr>
        <w:t> </w:t>
      </w:r>
      <w:r>
        <w:rPr>
          <w:w w:val="85"/>
          <w:sz w:val="41"/>
        </w:rPr>
        <w:t>-rm-</w:t>
      </w:r>
      <w:r>
        <w:rPr>
          <w:spacing w:val="-65"/>
          <w:w w:val="85"/>
          <w:sz w:val="41"/>
        </w:rPr>
        <w:t> </w:t>
      </w:r>
      <w:r>
        <w:rPr>
          <w:spacing w:val="-3"/>
          <w:w w:val="85"/>
          <w:sz w:val="41"/>
        </w:rPr>
        <w:t>Ds</w:t>
      </w:r>
    </w:p>
    <w:p>
      <w:pPr>
        <w:spacing w:after="0" w:line="434" w:lineRule="exact"/>
        <w:jc w:val="left"/>
        <w:rPr>
          <w:sz w:val="41"/>
        </w:rPr>
        <w:sectPr>
          <w:type w:val="continuous"/>
          <w:pgSz w:w="7200" w:h="11340"/>
          <w:pgMar w:top="1100" w:bottom="0" w:left="660" w:right="480"/>
          <w:cols w:num="2" w:equalWidth="0">
            <w:col w:w="3440" w:space="40"/>
            <w:col w:w="2580"/>
          </w:cols>
        </w:sectPr>
      </w:pPr>
    </w:p>
    <w:p>
      <w:pPr>
        <w:spacing w:line="222" w:lineRule="exact" w:before="132"/>
        <w:ind w:left="0" w:right="0" w:firstLine="0"/>
        <w:jc w:val="right"/>
        <w:rPr>
          <w:rFonts w:ascii="Arial" w:hAnsi="Arial"/>
          <w:sz w:val="21"/>
        </w:rPr>
      </w:pPr>
      <w:r>
        <w:rPr>
          <w:w w:val="121"/>
          <w:position w:val="-5"/>
          <w:sz w:val="22"/>
        </w:rPr>
        <w:t>p</w:t>
      </w:r>
      <w:r>
        <w:rPr>
          <w:spacing w:val="-53"/>
          <w:w w:val="120"/>
          <w:position w:val="-5"/>
          <w:sz w:val="22"/>
        </w:rPr>
        <w:t>i</w:t>
      </w:r>
      <w:r>
        <w:rPr>
          <w:rFonts w:ascii="Arial" w:hAnsi="Arial"/>
          <w:w w:val="88"/>
          <w:sz w:val="21"/>
        </w:rPr>
        <w:t>&lt;</w:t>
      </w:r>
      <w:r>
        <w:rPr>
          <w:rFonts w:ascii="Arial" w:hAnsi="Arial"/>
          <w:spacing w:val="-13"/>
          <w:w w:val="88"/>
          <w:sz w:val="21"/>
        </w:rPr>
        <w:t>•</w:t>
      </w:r>
      <w:r>
        <w:rPr>
          <w:rFonts w:ascii="Arial" w:hAnsi="Arial"/>
          <w:w w:val="33"/>
          <w:sz w:val="21"/>
        </w:rPr>
        <w:t>&gt;</w:t>
      </w:r>
    </w:p>
    <w:p>
      <w:pPr>
        <w:tabs>
          <w:tab w:pos="472" w:val="left" w:leader="none"/>
        </w:tabs>
        <w:spacing w:line="170" w:lineRule="exact" w:before="184"/>
        <w:ind w:left="101" w:right="0" w:firstLine="0"/>
        <w:jc w:val="left"/>
        <w:rPr>
          <w:b/>
          <w:sz w:val="14"/>
        </w:rPr>
      </w:pPr>
      <w:r>
        <w:rPr/>
        <w:br w:type="column"/>
      </w:r>
      <w:r>
        <w:rPr>
          <w:w w:val="135"/>
          <w:sz w:val="22"/>
        </w:rPr>
        <w:t>_</w:t>
        <w:tab/>
      </w:r>
      <w:r>
        <w:rPr>
          <w:b/>
          <w:w w:val="135"/>
          <w:sz w:val="14"/>
        </w:rPr>
        <w:t>s:il</w:t>
      </w:r>
    </w:p>
    <w:p>
      <w:pPr>
        <w:pStyle w:val="BodyText"/>
        <w:rPr>
          <w:b/>
          <w:sz w:val="14"/>
        </w:rPr>
      </w:pPr>
      <w:r>
        <w:rPr/>
        <w:br w:type="column"/>
      </w:r>
      <w:r>
        <w:rPr>
          <w:b/>
          <w:sz w:val="14"/>
        </w:rPr>
      </w:r>
    </w:p>
    <w:p>
      <w:pPr>
        <w:spacing w:line="95" w:lineRule="exact" w:before="98"/>
        <w:ind w:left="50" w:right="-20" w:firstLine="0"/>
        <w:jc w:val="left"/>
        <w:rPr>
          <w:sz w:val="14"/>
        </w:rPr>
      </w:pPr>
      <w:r>
        <w:rPr>
          <w:w w:val="85"/>
          <w:sz w:val="14"/>
        </w:rPr>
        <w:t>:....</w:t>
      </w:r>
    </w:p>
    <w:p>
      <w:pPr>
        <w:spacing w:line="239" w:lineRule="exact" w:before="115"/>
        <w:ind w:left="963" w:right="0" w:firstLine="0"/>
        <w:jc w:val="left"/>
        <w:rPr>
          <w:rFonts w:ascii="Arial" w:hAnsi="Arial"/>
          <w:sz w:val="17"/>
        </w:rPr>
      </w:pPr>
      <w:r>
        <w:rPr/>
        <w:br w:type="column"/>
      </w:r>
      <w:r>
        <w:rPr>
          <w:i/>
          <w:w w:val="105"/>
          <w:position w:val="6"/>
          <w:sz w:val="23"/>
        </w:rPr>
        <w:t>M </w:t>
      </w:r>
      <w:r>
        <w:rPr>
          <w:b/>
          <w:w w:val="165"/>
          <w:sz w:val="14"/>
        </w:rPr>
        <w:t>s </w:t>
      </w:r>
      <w:r>
        <w:rPr>
          <w:w w:val="385"/>
          <w:sz w:val="14"/>
        </w:rPr>
        <w:t>-</w:t>
      </w:r>
      <w:r>
        <w:rPr>
          <w:spacing w:val="-109"/>
          <w:w w:val="385"/>
          <w:sz w:val="14"/>
        </w:rPr>
        <w:t> </w:t>
      </w:r>
      <w:r>
        <w:rPr>
          <w:i/>
          <w:w w:val="105"/>
          <w:position w:val="6"/>
          <w:sz w:val="23"/>
        </w:rPr>
        <w:t>M </w:t>
      </w:r>
      <w:r>
        <w:rPr>
          <w:rFonts w:ascii="Arial" w:hAnsi="Arial"/>
          <w:w w:val="105"/>
          <w:sz w:val="17"/>
        </w:rPr>
        <w:t>»+•</w:t>
      </w:r>
    </w:p>
    <w:p>
      <w:pPr>
        <w:spacing w:after="0" w:line="239" w:lineRule="exact"/>
        <w:jc w:val="left"/>
        <w:rPr>
          <w:rFonts w:ascii="Arial" w:hAnsi="Arial"/>
          <w:sz w:val="17"/>
        </w:rPr>
        <w:sectPr>
          <w:type w:val="continuous"/>
          <w:pgSz w:w="7200" w:h="11340"/>
          <w:pgMar w:top="1100" w:bottom="0" w:left="660" w:right="480"/>
          <w:cols w:num="4" w:equalWidth="0">
            <w:col w:w="1323" w:space="40"/>
            <w:col w:w="743" w:space="40"/>
            <w:col w:w="203" w:space="144"/>
            <w:col w:w="3567"/>
          </w:cols>
        </w:sectPr>
      </w:pPr>
    </w:p>
    <w:p>
      <w:pPr>
        <w:spacing w:line="108" w:lineRule="exact" w:before="0"/>
        <w:ind w:left="1096" w:right="-17" w:firstLine="0"/>
        <w:jc w:val="left"/>
        <w:rPr>
          <w:sz w:val="21"/>
        </w:rPr>
      </w:pPr>
      <w:r>
        <w:rPr/>
        <w:pict>
          <v:shape style="position:absolute;margin-left:117.540001pt;margin-top:-9.77923pt;width:6.65pt;height:10.5pt;mso-position-horizontal-relative:page;mso-position-vertical-relative:paragraph;z-index:-728704" type="#_x0000_t202" filled="false" stroked="false">
            <v:textbox inset="0,0,0,0">
              <w:txbxContent>
                <w:p>
                  <w:pPr>
                    <w:spacing w:line="210" w:lineRule="exact" w:before="0"/>
                    <w:ind w:left="0" w:right="0" w:firstLine="0"/>
                    <w:jc w:val="left"/>
                    <w:rPr>
                      <w:rFonts w:ascii="Arial"/>
                      <w:sz w:val="21"/>
                    </w:rPr>
                  </w:pPr>
                  <w:r>
                    <w:rPr>
                      <w:rFonts w:ascii="Arial"/>
                      <w:w w:val="94"/>
                      <w:sz w:val="21"/>
                    </w:rPr>
                    <w:t>A</w:t>
                  </w:r>
                </w:p>
              </w:txbxContent>
            </v:textbox>
            <w10:wrap type="none"/>
          </v:shape>
        </w:pict>
      </w:r>
      <w:r>
        <w:rPr/>
        <w:pict>
          <v:shape style="position:absolute;margin-left:125.639999pt;margin-top:-9.698968pt;width:5.1pt;height:6pt;mso-position-horizontal-relative:page;mso-position-vertical-relative:paragraph;z-index:-728632" type="#_x0000_t202" filled="false" stroked="false">
            <v:textbox inset="0,0,0,0">
              <w:txbxContent>
                <w:p>
                  <w:pPr>
                    <w:spacing w:line="120" w:lineRule="exact" w:before="0"/>
                    <w:ind w:left="0" w:right="0" w:firstLine="0"/>
                    <w:jc w:val="left"/>
                    <w:rPr>
                      <w:sz w:val="12"/>
                    </w:rPr>
                  </w:pPr>
                  <w:r>
                    <w:rPr>
                      <w:w w:val="170"/>
                      <w:sz w:val="12"/>
                    </w:rPr>
                    <w:t>1</w:t>
                  </w:r>
                </w:p>
              </w:txbxContent>
            </v:textbox>
            <w10:wrap type="none"/>
          </v:shape>
        </w:pict>
      </w:r>
      <w:r>
        <w:rPr>
          <w:b/>
          <w:w w:val="110"/>
          <w:sz w:val="21"/>
        </w:rPr>
        <w:t>s:il </w:t>
      </w:r>
      <w:r>
        <w:rPr>
          <w:w w:val="235"/>
          <w:sz w:val="21"/>
        </w:rPr>
        <w:t>- </w:t>
      </w:r>
      <w:r>
        <w:rPr>
          <w:rFonts w:ascii="Arial" w:hAnsi="Arial"/>
          <w:i/>
          <w:w w:val="110"/>
          <w:position w:val="-9"/>
          <w:sz w:val="23"/>
        </w:rPr>
        <w:t>a</w:t>
      </w:r>
      <w:r>
        <w:rPr>
          <w:w w:val="110"/>
          <w:sz w:val="21"/>
        </w:rPr>
        <w:t>(•) </w:t>
      </w:r>
      <w:r>
        <w:rPr>
          <w:w w:val="145"/>
          <w:sz w:val="21"/>
        </w:rPr>
        <w:t>-:</w:t>
      </w:r>
    </w:p>
    <w:p>
      <w:pPr>
        <w:spacing w:line="108" w:lineRule="exact" w:before="0"/>
        <w:ind w:left="1096" w:right="0" w:firstLine="0"/>
        <w:jc w:val="left"/>
        <w:rPr>
          <w:b/>
          <w:sz w:val="19"/>
        </w:rPr>
      </w:pPr>
      <w:r>
        <w:rPr/>
        <w:br w:type="column"/>
      </w:r>
      <w:r>
        <w:rPr>
          <w:rFonts w:ascii="Courier New"/>
          <w:i/>
          <w:w w:val="125"/>
          <w:sz w:val="23"/>
        </w:rPr>
        <w:t>m</w:t>
      </w:r>
      <w:r>
        <w:rPr>
          <w:rFonts w:ascii="Courier New"/>
          <w:i/>
          <w:spacing w:val="-91"/>
          <w:w w:val="125"/>
          <w:sz w:val="23"/>
        </w:rPr>
        <w:t> </w:t>
      </w:r>
      <w:r>
        <w:rPr>
          <w:rFonts w:ascii="Courier New"/>
          <w:i/>
          <w:w w:val="125"/>
          <w:sz w:val="23"/>
        </w:rPr>
        <w:t>-</w:t>
      </w:r>
      <w:r>
        <w:rPr>
          <w:rFonts w:ascii="Courier New"/>
          <w:i/>
          <w:spacing w:val="-120"/>
          <w:w w:val="125"/>
          <w:sz w:val="23"/>
        </w:rPr>
        <w:t> </w:t>
      </w:r>
      <w:r>
        <w:rPr>
          <w:b/>
          <w:w w:val="125"/>
          <w:position w:val="10"/>
          <w:sz w:val="19"/>
        </w:rPr>
        <w:t>1</w:t>
      </w:r>
    </w:p>
    <w:p>
      <w:pPr>
        <w:spacing w:after="0" w:line="108" w:lineRule="exact"/>
        <w:jc w:val="left"/>
        <w:rPr>
          <w:sz w:val="19"/>
        </w:rPr>
        <w:sectPr>
          <w:type w:val="continuous"/>
          <w:pgSz w:w="7200" w:h="11340"/>
          <w:pgMar w:top="1100" w:bottom="0" w:left="660" w:right="480"/>
          <w:cols w:num="2" w:equalWidth="0">
            <w:col w:w="2359" w:space="262"/>
            <w:col w:w="3439"/>
          </w:cols>
        </w:sectPr>
      </w:pPr>
    </w:p>
    <w:p>
      <w:pPr>
        <w:tabs>
          <w:tab w:pos="2425" w:val="left" w:leader="none"/>
        </w:tabs>
        <w:spacing w:line="368" w:lineRule="exact" w:before="0"/>
        <w:ind w:left="1798" w:right="0" w:firstLine="0"/>
        <w:jc w:val="left"/>
        <w:rPr>
          <w:rFonts w:ascii="Arial" w:hAnsi="Arial"/>
          <w:sz w:val="20"/>
        </w:rPr>
      </w:pPr>
      <w:r>
        <w:rPr>
          <w:rFonts w:ascii="Arial" w:hAnsi="Arial"/>
          <w:sz w:val="20"/>
        </w:rPr>
        <w:t>•=il</w:t>
        <w:tab/>
      </w:r>
      <w:r>
        <w:rPr>
          <w:rFonts w:ascii="Arial" w:hAnsi="Arial"/>
          <w:i/>
          <w:w w:val="130"/>
          <w:sz w:val="22"/>
        </w:rPr>
        <w:t>N.</w:t>
      </w:r>
      <w:r>
        <w:rPr>
          <w:rFonts w:ascii="Arial" w:hAnsi="Arial"/>
          <w:i/>
          <w:spacing w:val="-46"/>
          <w:w w:val="130"/>
          <w:sz w:val="22"/>
        </w:rPr>
        <w:t> </w:t>
      </w:r>
      <w:r>
        <w:rPr>
          <w:rFonts w:ascii="Arial" w:hAnsi="Arial"/>
          <w:w w:val="230"/>
          <w:sz w:val="22"/>
        </w:rPr>
        <w:t>-</w:t>
      </w:r>
      <w:r>
        <w:rPr>
          <w:rFonts w:ascii="Arial" w:hAnsi="Arial"/>
          <w:spacing w:val="-107"/>
          <w:w w:val="230"/>
          <w:sz w:val="22"/>
        </w:rPr>
        <w:t> </w:t>
      </w:r>
      <w:r>
        <w:rPr>
          <w:rFonts w:ascii="Arial" w:hAnsi="Arial"/>
          <w:b/>
          <w:i/>
          <w:sz w:val="21"/>
        </w:rPr>
        <w:t>N•+•</w:t>
      </w:r>
      <w:r>
        <w:rPr>
          <w:rFonts w:ascii="Arial" w:hAnsi="Arial"/>
          <w:b/>
          <w:i/>
          <w:spacing w:val="1"/>
          <w:sz w:val="21"/>
        </w:rPr>
        <w:t> </w:t>
      </w:r>
      <w:r>
        <w:rPr>
          <w:rFonts w:ascii="Arial" w:hAnsi="Arial"/>
          <w:w w:val="230"/>
          <w:sz w:val="21"/>
        </w:rPr>
        <w:t>-</w:t>
      </w:r>
      <w:r>
        <w:rPr>
          <w:rFonts w:ascii="Arial" w:hAnsi="Arial"/>
          <w:spacing w:val="-100"/>
          <w:w w:val="230"/>
          <w:sz w:val="21"/>
        </w:rPr>
        <w:t> </w:t>
      </w:r>
      <w:r>
        <w:rPr>
          <w:rFonts w:ascii="Arial" w:hAnsi="Arial"/>
          <w:b/>
          <w:sz w:val="36"/>
        </w:rPr>
        <w:t>-rm-</w:t>
      </w:r>
      <w:r>
        <w:rPr>
          <w:rFonts w:ascii="Arial" w:hAnsi="Arial"/>
          <w:b/>
          <w:spacing w:val="-36"/>
          <w:sz w:val="36"/>
        </w:rPr>
        <w:t> </w:t>
      </w:r>
      <w:r>
        <w:rPr>
          <w:rFonts w:ascii="Arial" w:hAnsi="Arial"/>
          <w:b/>
          <w:i/>
          <w:w w:val="130"/>
          <w:sz w:val="21"/>
        </w:rPr>
        <w:t>(D.</w:t>
      </w:r>
      <w:r>
        <w:rPr>
          <w:rFonts w:ascii="Arial" w:hAnsi="Arial"/>
          <w:b/>
          <w:i/>
          <w:spacing w:val="-33"/>
          <w:w w:val="130"/>
          <w:sz w:val="21"/>
        </w:rPr>
        <w:t> </w:t>
      </w:r>
      <w:r>
        <w:rPr>
          <w:rFonts w:ascii="Arial" w:hAnsi="Arial"/>
          <w:w w:val="230"/>
          <w:sz w:val="21"/>
        </w:rPr>
        <w:t>-</w:t>
      </w:r>
      <w:r>
        <w:rPr>
          <w:rFonts w:ascii="Arial" w:hAnsi="Arial"/>
          <w:spacing w:val="-100"/>
          <w:w w:val="230"/>
          <w:sz w:val="21"/>
        </w:rPr>
        <w:t> </w:t>
      </w:r>
      <w:r>
        <w:rPr>
          <w:rFonts w:ascii="Arial" w:hAnsi="Arial"/>
          <w:w w:val="130"/>
          <w:sz w:val="20"/>
        </w:rPr>
        <w:t>D</w:t>
      </w:r>
      <w:r>
        <w:rPr>
          <w:rFonts w:ascii="Arial" w:hAnsi="Arial"/>
          <w:spacing w:val="-48"/>
          <w:w w:val="130"/>
          <w:sz w:val="20"/>
        </w:rPr>
        <w:t> </w:t>
      </w:r>
      <w:r>
        <w:rPr>
          <w:rFonts w:ascii="Arial" w:hAnsi="Arial"/>
          <w:spacing w:val="-9"/>
          <w:w w:val="130"/>
          <w:sz w:val="20"/>
        </w:rPr>
        <w:t>+.)</w:t>
      </w:r>
    </w:p>
    <w:p>
      <w:pPr>
        <w:tabs>
          <w:tab w:pos="1110" w:val="left" w:leader="none"/>
          <w:tab w:pos="3082" w:val="left" w:leader="none"/>
          <w:tab w:pos="4848" w:val="left" w:leader="none"/>
        </w:tabs>
        <w:spacing w:line="226" w:lineRule="exact" w:before="136"/>
        <w:ind w:left="87" w:right="0" w:firstLine="0"/>
        <w:jc w:val="center"/>
        <w:rPr>
          <w:rFonts w:ascii="Arial" w:hAnsi="Arial"/>
          <w:b/>
          <w:i/>
          <w:sz w:val="20"/>
        </w:rPr>
      </w:pPr>
      <w:r>
        <w:rPr>
          <w:rFonts w:ascii="Arial" w:hAnsi="Arial"/>
          <w:w w:val="51"/>
          <w:sz w:val="14"/>
        </w:rPr>
        <w:t>&lt;</w:t>
      </w:r>
      <w:r>
        <w:rPr>
          <w:rFonts w:ascii="Arial" w:hAnsi="Arial"/>
          <w:sz w:val="14"/>
        </w:rPr>
        <w:t>  </w:t>
      </w:r>
      <w:r>
        <w:rPr>
          <w:rFonts w:ascii="Arial" w:hAnsi="Arial"/>
          <w:spacing w:val="-19"/>
          <w:sz w:val="14"/>
        </w:rPr>
        <w:t> </w:t>
      </w:r>
      <w:r>
        <w:rPr>
          <w:rFonts w:ascii="Arial" w:hAnsi="Arial"/>
          <w:w w:val="45"/>
          <w:sz w:val="19"/>
        </w:rPr>
        <w:t>&gt;</w:t>
      </w:r>
      <w:r>
        <w:rPr>
          <w:rFonts w:ascii="Arial" w:hAnsi="Arial"/>
          <w:spacing w:val="-25"/>
          <w:sz w:val="19"/>
        </w:rPr>
        <w:t> </w:t>
      </w:r>
      <w:r>
        <w:rPr>
          <w:rFonts w:ascii="Arial" w:hAnsi="Arial"/>
          <w:w w:val="117"/>
          <w:sz w:val="19"/>
        </w:rPr>
        <w:t>(</w:t>
      </w:r>
      <w:r>
        <w:rPr>
          <w:rFonts w:ascii="Arial" w:hAnsi="Arial"/>
          <w:sz w:val="19"/>
        </w:rPr>
        <w:tab/>
      </w:r>
      <w:r>
        <w:rPr>
          <w:b/>
          <w:i/>
          <w:spacing w:val="-27"/>
          <w:w w:val="172"/>
          <w:sz w:val="27"/>
        </w:rPr>
        <w:t>.</w:t>
      </w:r>
      <w:r>
        <w:rPr>
          <w:b/>
          <w:i/>
          <w:w w:val="46"/>
          <w:sz w:val="27"/>
        </w:rPr>
        <w:t>,a.i:</w:t>
      </w:r>
      <w:r>
        <w:rPr>
          <w:b/>
          <w:i/>
          <w:sz w:val="27"/>
        </w:rPr>
        <w:t> </w:t>
      </w:r>
      <w:r>
        <w:rPr>
          <w:b/>
          <w:i/>
          <w:spacing w:val="-12"/>
          <w:sz w:val="27"/>
        </w:rPr>
        <w:t> </w:t>
      </w:r>
      <w:r>
        <w:rPr>
          <w:w w:val="134"/>
          <w:sz w:val="27"/>
        </w:rPr>
        <w:t>.</w:t>
      </w:r>
      <w:r>
        <w:rPr>
          <w:sz w:val="27"/>
        </w:rPr>
        <w:t> </w:t>
      </w:r>
      <w:r>
        <w:rPr>
          <w:spacing w:val="30"/>
          <w:sz w:val="27"/>
        </w:rPr>
        <w:t> </w:t>
      </w:r>
      <w:r>
        <w:rPr>
          <w:rFonts w:ascii="Arial" w:hAnsi="Arial"/>
          <w:b/>
          <w:i/>
          <w:w w:val="99"/>
          <w:sz w:val="20"/>
          <w:u w:val="thick"/>
        </w:rPr>
        <w:t> </w:t>
      </w:r>
      <w:r>
        <w:rPr>
          <w:rFonts w:ascii="Arial" w:hAnsi="Arial"/>
          <w:b/>
          <w:i/>
          <w:sz w:val="20"/>
          <w:u w:val="thick"/>
        </w:rPr>
        <w:tab/>
      </w:r>
      <w:r>
        <w:rPr>
          <w:rFonts w:ascii="Arial" w:hAnsi="Arial"/>
          <w:b/>
          <w:i/>
          <w:w w:val="101"/>
          <w:sz w:val="20"/>
          <w:u w:val="thick"/>
        </w:rPr>
        <w:t>N•+</w:t>
      </w:r>
      <w:r>
        <w:rPr>
          <w:rFonts w:ascii="Arial" w:hAnsi="Arial"/>
          <w:b/>
          <w:i/>
          <w:w w:val="101"/>
          <w:sz w:val="20"/>
          <w:u w:val="thick"/>
        </w:rPr>
        <w:t>•</w:t>
      </w:r>
      <w:r>
        <w:rPr>
          <w:rFonts w:ascii="Arial" w:hAnsi="Arial"/>
          <w:b/>
          <w:i/>
          <w:sz w:val="20"/>
          <w:u w:val="thick"/>
        </w:rPr>
        <w:tab/>
      </w:r>
    </w:p>
    <w:p>
      <w:pPr>
        <w:tabs>
          <w:tab w:pos="3645" w:val="left" w:leader="none"/>
        </w:tabs>
        <w:spacing w:line="226" w:lineRule="exact" w:before="0"/>
        <w:ind w:left="488" w:right="0" w:firstLine="0"/>
        <w:jc w:val="left"/>
        <w:rPr>
          <w:sz w:val="20"/>
        </w:rPr>
      </w:pPr>
      <w:r>
        <w:rPr/>
        <w:pict>
          <v:shape style="position:absolute;margin-left:215.820007pt;margin-top:2.079269pt;width:28.8pt;height:20.5pt;mso-position-horizontal-relative:page;mso-position-vertical-relative:paragraph;z-index:-728680" type="#_x0000_t202" filled="false" stroked="false">
            <v:textbox inset="0,0,0,0">
              <w:txbxContent>
                <w:p>
                  <w:pPr>
                    <w:spacing w:line="410" w:lineRule="exact" w:before="0"/>
                    <w:ind w:left="0" w:right="0" w:firstLine="0"/>
                    <w:jc w:val="left"/>
                    <w:rPr>
                      <w:sz w:val="41"/>
                    </w:rPr>
                  </w:pPr>
                  <w:r>
                    <w:rPr>
                      <w:w w:val="75"/>
                      <w:sz w:val="41"/>
                    </w:rPr>
                    <w:t>-rm-</w:t>
                  </w:r>
                </w:p>
              </w:txbxContent>
            </v:textbox>
            <w10:wrap type="none"/>
          </v:shape>
        </w:pict>
      </w:r>
      <w:r>
        <w:rPr>
          <w:b/>
          <w:i/>
          <w:w w:val="93"/>
          <w:sz w:val="22"/>
        </w:rPr>
        <w:t>,P</w:t>
      </w:r>
      <w:r>
        <w:rPr>
          <w:b/>
          <w:i/>
          <w:spacing w:val="15"/>
          <w:sz w:val="22"/>
        </w:rPr>
        <w:t> </w:t>
      </w:r>
      <w:r>
        <w:rPr>
          <w:w w:val="89"/>
          <w:sz w:val="22"/>
        </w:rPr>
        <w:t>"'</w:t>
      </w:r>
      <w:r>
        <w:rPr>
          <w:sz w:val="22"/>
        </w:rPr>
        <w:t> </w:t>
      </w:r>
      <w:r>
        <w:rPr>
          <w:spacing w:val="21"/>
          <w:sz w:val="22"/>
        </w:rPr>
        <w:t> </w:t>
      </w:r>
      <w:r>
        <w:rPr>
          <w:b/>
          <w:w w:val="106"/>
          <w:sz w:val="19"/>
        </w:rPr>
        <w:t>"'d.</w:t>
      </w:r>
      <w:r>
        <w:rPr>
          <w:b/>
          <w:w w:val="106"/>
          <w:sz w:val="19"/>
        </w:rPr>
        <w:t>)</w:t>
      </w:r>
      <w:r>
        <w:rPr>
          <w:b/>
          <w:sz w:val="19"/>
        </w:rPr>
        <w:t> </w:t>
      </w:r>
      <w:r>
        <w:rPr>
          <w:b/>
          <w:spacing w:val="8"/>
          <w:sz w:val="19"/>
        </w:rPr>
        <w:t> </w:t>
      </w:r>
      <w:r>
        <w:rPr>
          <w:w w:val="85"/>
          <w:sz w:val="28"/>
        </w:rPr>
        <w:t>=</w:t>
      </w:r>
      <w:r>
        <w:rPr>
          <w:spacing w:val="14"/>
          <w:sz w:val="28"/>
        </w:rPr>
        <w:t> </w:t>
      </w:r>
      <w:r>
        <w:rPr>
          <w:rFonts w:ascii="Arial" w:hAnsi="Arial"/>
          <w:spacing w:val="11"/>
          <w:w w:val="110"/>
          <w:position w:val="-7"/>
          <w:sz w:val="18"/>
        </w:rPr>
        <w:t>4</w:t>
      </w:r>
      <w:r>
        <w:rPr>
          <w:rFonts w:ascii="Arial" w:hAnsi="Arial"/>
          <w:w w:val="78"/>
          <w:sz w:val="22"/>
        </w:rPr>
        <w:t>&lt;</w:t>
      </w:r>
      <w:r>
        <w:rPr>
          <w:rFonts w:ascii="Arial" w:hAnsi="Arial"/>
          <w:spacing w:val="-4"/>
          <w:w w:val="78"/>
          <w:sz w:val="22"/>
          <w:u w:val="single"/>
        </w:rPr>
        <w:t>•</w:t>
      </w:r>
      <w:r>
        <w:rPr>
          <w:rFonts w:ascii="Arial" w:hAnsi="Arial"/>
          <w:w w:val="39"/>
          <w:sz w:val="22"/>
          <w:u w:val="single"/>
        </w:rPr>
        <w:t>&gt;</w:t>
      </w:r>
      <w:r>
        <w:rPr>
          <w:rFonts w:ascii="Arial" w:hAnsi="Arial"/>
          <w:sz w:val="22"/>
        </w:rPr>
        <w:t> </w:t>
      </w:r>
      <w:r>
        <w:rPr>
          <w:rFonts w:ascii="Arial" w:hAnsi="Arial"/>
          <w:spacing w:val="-26"/>
          <w:sz w:val="22"/>
        </w:rPr>
        <w:t> </w:t>
      </w:r>
      <w:r>
        <w:rPr>
          <w:rFonts w:ascii="Arial" w:hAnsi="Arial"/>
          <w:w w:val="100"/>
          <w:sz w:val="19"/>
        </w:rPr>
        <w:t>=:</w:t>
      </w:r>
      <w:r>
        <w:rPr>
          <w:rFonts w:ascii="Arial" w:hAnsi="Arial"/>
          <w:sz w:val="19"/>
        </w:rPr>
        <w:tab/>
      </w:r>
      <w:r>
        <w:rPr>
          <w:rFonts w:ascii="Arial" w:hAnsi="Arial"/>
          <w:b/>
          <w:i/>
          <w:w w:val="102"/>
          <w:sz w:val="18"/>
        </w:rPr>
        <w:t>m</w:t>
      </w:r>
      <w:r>
        <w:rPr>
          <w:rFonts w:ascii="Arial" w:hAnsi="Arial"/>
          <w:b/>
          <w:i/>
          <w:sz w:val="18"/>
        </w:rPr>
        <w:t> </w:t>
      </w:r>
      <w:r>
        <w:rPr>
          <w:rFonts w:ascii="Arial" w:hAnsi="Arial"/>
          <w:b/>
          <w:i/>
          <w:spacing w:val="-10"/>
          <w:sz w:val="18"/>
        </w:rPr>
        <w:t> </w:t>
      </w:r>
      <w:r>
        <w:rPr>
          <w:rFonts w:ascii="Arial" w:hAnsi="Arial"/>
          <w:w w:val="291"/>
          <w:sz w:val="18"/>
        </w:rPr>
        <w:t>-</w:t>
      </w:r>
      <w:r>
        <w:rPr>
          <w:rFonts w:ascii="Arial" w:hAnsi="Arial"/>
          <w:sz w:val="18"/>
        </w:rPr>
        <w:t> </w:t>
      </w:r>
      <w:r>
        <w:rPr>
          <w:rFonts w:ascii="Arial" w:hAnsi="Arial"/>
          <w:spacing w:val="-20"/>
          <w:sz w:val="18"/>
        </w:rPr>
        <w:t> </w:t>
      </w:r>
      <w:r>
        <w:rPr>
          <w:w w:val="129"/>
          <w:sz w:val="20"/>
        </w:rPr>
        <w:t>1</w:t>
      </w:r>
    </w:p>
    <w:p>
      <w:pPr>
        <w:tabs>
          <w:tab w:pos="2378" w:val="left" w:leader="none"/>
          <w:tab w:pos="4322" w:val="left" w:leader="none"/>
        </w:tabs>
        <w:spacing w:line="195" w:lineRule="exact" w:before="0"/>
        <w:ind w:left="1820" w:right="0" w:firstLine="0"/>
        <w:jc w:val="left"/>
        <w:rPr>
          <w:rFonts w:ascii="Arial" w:hAnsi="Arial"/>
          <w:i/>
          <w:sz w:val="20"/>
        </w:rPr>
      </w:pPr>
      <w:r>
        <w:rPr>
          <w:w w:val="70"/>
          <w:sz w:val="23"/>
        </w:rPr>
        <w:t>•="il</w:t>
        <w:tab/>
      </w:r>
      <w:r>
        <w:rPr>
          <w:rFonts w:ascii="Arial" w:hAnsi="Arial"/>
          <w:i/>
          <w:w w:val="150"/>
          <w:sz w:val="20"/>
        </w:rPr>
        <w:t>N.</w:t>
      </w:r>
      <w:r>
        <w:rPr>
          <w:rFonts w:ascii="Arial" w:hAnsi="Arial"/>
          <w:i/>
          <w:spacing w:val="-41"/>
          <w:w w:val="150"/>
          <w:sz w:val="20"/>
        </w:rPr>
        <w:t> </w:t>
      </w:r>
      <w:r>
        <w:rPr>
          <w:rFonts w:ascii="Arial" w:hAnsi="Arial"/>
          <w:w w:val="240"/>
          <w:sz w:val="20"/>
        </w:rPr>
        <w:t>-</w:t>
      </w:r>
      <w:r>
        <w:rPr>
          <w:rFonts w:ascii="Arial" w:hAnsi="Arial"/>
          <w:spacing w:val="-84"/>
          <w:w w:val="240"/>
          <w:sz w:val="20"/>
        </w:rPr>
        <w:t> </w:t>
      </w:r>
      <w:r>
        <w:rPr>
          <w:b/>
          <w:w w:val="105"/>
          <w:sz w:val="22"/>
        </w:rPr>
        <w:t>Ns+,</w:t>
      </w:r>
      <w:r>
        <w:rPr>
          <w:b/>
          <w:spacing w:val="26"/>
          <w:w w:val="105"/>
          <w:sz w:val="22"/>
        </w:rPr>
        <w:t> </w:t>
      </w:r>
      <w:r>
        <w:rPr>
          <w:w w:val="240"/>
          <w:sz w:val="22"/>
        </w:rPr>
        <w:t>-</w:t>
        <w:tab/>
      </w:r>
      <w:r>
        <w:rPr>
          <w:rFonts w:ascii="Arial" w:hAnsi="Arial"/>
          <w:i/>
          <w:w w:val="105"/>
          <w:sz w:val="20"/>
        </w:rPr>
        <w:t>(</w:t>
      </w:r>
      <w:r>
        <w:rPr>
          <w:rFonts w:ascii="Arial" w:hAnsi="Arial"/>
          <w:i/>
          <w:spacing w:val="-50"/>
          <w:w w:val="105"/>
          <w:sz w:val="20"/>
        </w:rPr>
        <w:t> </w:t>
      </w:r>
      <w:r>
        <w:rPr>
          <w:rFonts w:ascii="Arial" w:hAnsi="Arial"/>
          <w:i/>
          <w:w w:val="150"/>
          <w:sz w:val="20"/>
        </w:rPr>
        <w:t>D.</w:t>
      </w:r>
      <w:r>
        <w:rPr>
          <w:rFonts w:ascii="Arial" w:hAnsi="Arial"/>
          <w:i/>
          <w:spacing w:val="-61"/>
          <w:w w:val="150"/>
          <w:sz w:val="20"/>
        </w:rPr>
        <w:t> </w:t>
      </w:r>
      <w:r>
        <w:rPr>
          <w:rFonts w:ascii="Arial" w:hAnsi="Arial"/>
          <w:w w:val="240"/>
          <w:sz w:val="20"/>
        </w:rPr>
        <w:t>-</w:t>
      </w:r>
      <w:r>
        <w:rPr>
          <w:rFonts w:ascii="Arial" w:hAnsi="Arial"/>
          <w:spacing w:val="-115"/>
          <w:w w:val="240"/>
          <w:sz w:val="20"/>
        </w:rPr>
        <w:t> </w:t>
      </w:r>
      <w:r>
        <w:rPr>
          <w:rFonts w:ascii="Arial" w:hAnsi="Arial"/>
          <w:i/>
          <w:w w:val="105"/>
          <w:sz w:val="20"/>
        </w:rPr>
        <w:t>Ds+,)</w:t>
      </w:r>
    </w:p>
    <w:p>
      <w:pPr>
        <w:pStyle w:val="BodyText"/>
        <w:spacing w:before="9"/>
        <w:rPr>
          <w:rFonts w:ascii="Arial"/>
          <w:i/>
        </w:rPr>
      </w:pPr>
    </w:p>
    <w:p>
      <w:pPr>
        <w:spacing w:line="242" w:lineRule="exact" w:before="0"/>
        <w:ind w:left="121" w:right="212" w:hanging="3"/>
        <w:jc w:val="center"/>
        <w:rPr>
          <w:sz w:val="21"/>
        </w:rPr>
      </w:pPr>
      <w:r>
        <w:rPr>
          <w:w w:val="107"/>
          <w:sz w:val="22"/>
        </w:rPr>
        <w:t>In </w:t>
      </w:r>
      <w:r>
        <w:rPr>
          <w:w w:val="97"/>
          <w:sz w:val="21"/>
        </w:rPr>
        <w:t>using </w:t>
      </w:r>
      <w:r>
        <w:rPr>
          <w:w w:val="100"/>
          <w:sz w:val="21"/>
        </w:rPr>
        <w:t>these </w:t>
      </w:r>
      <w:r>
        <w:rPr>
          <w:w w:val="99"/>
          <w:sz w:val="21"/>
        </w:rPr>
        <w:t>formulas, </w:t>
      </w:r>
      <w:r>
        <w:rPr>
          <w:w w:val="108"/>
          <w:sz w:val="21"/>
        </w:rPr>
        <w:t>it </w:t>
      </w:r>
      <w:r>
        <w:rPr>
          <w:w w:val="101"/>
          <w:sz w:val="21"/>
        </w:rPr>
        <w:t>must </w:t>
      </w:r>
      <w:r>
        <w:rPr>
          <w:w w:val="103"/>
          <w:sz w:val="20"/>
        </w:rPr>
        <w:t>be </w:t>
      </w:r>
      <w:r>
        <w:rPr>
          <w:w w:val="103"/>
          <w:sz w:val="21"/>
        </w:rPr>
        <w:t>kept </w:t>
      </w:r>
      <w:r>
        <w:rPr>
          <w:w w:val="99"/>
          <w:sz w:val="21"/>
        </w:rPr>
        <w:t>in </w:t>
      </w:r>
      <w:r>
        <w:rPr>
          <w:w w:val="98"/>
          <w:sz w:val="21"/>
        </w:rPr>
        <w:t>mind </w:t>
      </w:r>
      <w:r>
        <w:rPr>
          <w:w w:val="112"/>
          <w:sz w:val="21"/>
        </w:rPr>
        <w:t>that </w:t>
      </w:r>
      <w:r>
        <w:rPr>
          <w:rFonts w:ascii="Arial" w:hAnsi="Arial"/>
          <w:i/>
          <w:w w:val="80"/>
          <w:sz w:val="21"/>
        </w:rPr>
        <w:t>P&lt;•&gt; </w:t>
      </w:r>
      <w:r>
        <w:rPr>
          <w:w w:val="97"/>
          <w:sz w:val="21"/>
        </w:rPr>
        <w:t>repre­ </w:t>
      </w:r>
      <w:r>
        <w:rPr>
          <w:sz w:val="21"/>
        </w:rPr>
        <w:t>senta the </w:t>
      </w:r>
      <w:r>
        <w:rPr>
          <w:i/>
          <w:sz w:val="21"/>
        </w:rPr>
        <w:t>annual  </w:t>
      </w:r>
      <w:r>
        <w:rPr>
          <w:sz w:val="21"/>
        </w:rPr>
        <w:t>amount of  premium  paya.ble </w:t>
      </w:r>
      <w:r>
        <w:rPr>
          <w:i/>
          <w:sz w:val="21"/>
        </w:rPr>
        <w:t>m </w:t>
      </w:r>
      <w:r>
        <w:rPr>
          <w:sz w:val="21"/>
        </w:rPr>
        <w:t>times a year, and</w:t>
      </w:r>
    </w:p>
    <w:p>
      <w:pPr>
        <w:spacing w:line="158" w:lineRule="exact" w:before="0"/>
        <w:ind w:left="0" w:right="1028" w:firstLine="0"/>
        <w:jc w:val="right"/>
        <w:rPr>
          <w:sz w:val="21"/>
        </w:rPr>
      </w:pPr>
      <w:r>
        <w:rPr>
          <w:w w:val="116"/>
          <w:sz w:val="21"/>
        </w:rPr>
        <w:t>1</w:t>
      </w:r>
    </w:p>
    <w:p>
      <w:pPr>
        <w:spacing w:line="153" w:lineRule="exact" w:before="0"/>
        <w:ind w:left="124" w:right="0" w:firstLine="0"/>
        <w:jc w:val="both"/>
        <w:rPr>
          <w:rFonts w:ascii="Arial" w:hAnsi="Arial"/>
          <w:sz w:val="21"/>
        </w:rPr>
      </w:pPr>
      <w:r>
        <w:rPr>
          <w:sz w:val="21"/>
        </w:rPr>
        <w:t>that  the actual amount  of  ea.ch premium  payment  is </w:t>
      </w:r>
      <w:r>
        <w:rPr>
          <w:w w:val="215"/>
          <w:sz w:val="21"/>
        </w:rPr>
        <w:t>- </w:t>
      </w:r>
      <w:r>
        <w:rPr>
          <w:rFonts w:ascii="Arial" w:hAnsi="Arial"/>
          <w:sz w:val="21"/>
        </w:rPr>
        <w:t>P&lt;•&gt;.</w:t>
      </w:r>
    </w:p>
    <w:p>
      <w:pPr>
        <w:spacing w:line="161" w:lineRule="exact" w:before="0"/>
        <w:ind w:left="0" w:right="1004" w:firstLine="0"/>
        <w:jc w:val="right"/>
        <w:rPr>
          <w:rFonts w:ascii="Arial"/>
          <w:i/>
          <w:sz w:val="18"/>
        </w:rPr>
      </w:pPr>
      <w:r>
        <w:rPr>
          <w:rFonts w:ascii="Arial"/>
          <w:i/>
          <w:w w:val="107"/>
          <w:sz w:val="18"/>
        </w:rPr>
        <w:t>m</w:t>
      </w:r>
    </w:p>
    <w:p>
      <w:pPr>
        <w:spacing w:line="223" w:lineRule="auto" w:before="17"/>
        <w:ind w:left="106" w:right="153" w:firstLine="208"/>
        <w:jc w:val="left"/>
        <w:rPr>
          <w:sz w:val="21"/>
        </w:rPr>
      </w:pPr>
      <w:r>
        <w:rPr>
          <w:sz w:val="21"/>
        </w:rPr>
        <w:t>When premium payments are  made  with  great  frequency  so  that </w:t>
      </w:r>
      <w:r>
        <w:rPr>
          <w:rFonts w:ascii="Arial" w:hAnsi="Arial"/>
          <w:i/>
          <w:sz w:val="18"/>
        </w:rPr>
        <w:t>m </w:t>
      </w:r>
      <w:r>
        <w:rPr>
          <w:sz w:val="21"/>
        </w:rPr>
        <w:t>is large, as for example in weekly premium industrial in­ surance, it is convenient to </w:t>
      </w:r>
      <w:r>
        <w:rPr>
          <w:rFonts w:ascii="Arial" w:hAnsi="Arial"/>
          <w:sz w:val="20"/>
        </w:rPr>
        <w:t>assume </w:t>
      </w:r>
      <w:r>
        <w:rPr>
          <w:sz w:val="21"/>
        </w:rPr>
        <w:t>that the payments are made </w:t>
      </w:r>
      <w:r>
        <w:rPr>
          <w:w w:val="100"/>
          <w:sz w:val="21"/>
        </w:rPr>
        <w:t>continuously. </w:t>
      </w:r>
      <w:r>
        <w:rPr>
          <w:w w:val="104"/>
          <w:sz w:val="21"/>
        </w:rPr>
        <w:t>The </w:t>
      </w:r>
      <w:r>
        <w:rPr>
          <w:w w:val="100"/>
          <w:sz w:val="21"/>
        </w:rPr>
        <w:t>symbol </w:t>
      </w:r>
      <w:r>
        <w:rPr>
          <w:rFonts w:ascii="Arial" w:hAnsi="Arial"/>
          <w:i/>
          <w:w w:val="87"/>
          <w:sz w:val="25"/>
        </w:rPr>
        <w:t>P </w:t>
      </w:r>
      <w:r>
        <w:rPr>
          <w:w w:val="100"/>
          <w:sz w:val="21"/>
        </w:rPr>
        <w:t>is </w:t>
      </w:r>
      <w:r>
        <w:rPr>
          <w:w w:val="94"/>
          <w:sz w:val="21"/>
        </w:rPr>
        <w:t>used </w:t>
      </w:r>
      <w:r>
        <w:rPr>
          <w:w w:val="109"/>
          <w:sz w:val="21"/>
        </w:rPr>
        <w:t>to </w:t>
      </w:r>
      <w:r>
        <w:rPr>
          <w:w w:val="102"/>
          <w:sz w:val="21"/>
        </w:rPr>
        <w:t>denote </w:t>
      </w:r>
      <w:r>
        <w:rPr>
          <w:w w:val="111"/>
          <w:sz w:val="21"/>
        </w:rPr>
        <w:t>a </w:t>
      </w:r>
      <w:r>
        <w:rPr>
          <w:w w:val="100"/>
          <w:sz w:val="21"/>
        </w:rPr>
        <w:t>continuous </w:t>
      </w:r>
      <w:r>
        <w:rPr>
          <w:spacing w:val="2"/>
          <w:w w:val="136"/>
          <w:sz w:val="21"/>
        </w:rPr>
        <w:t>pre·</w:t>
      </w:r>
      <w:r>
        <w:rPr>
          <w:w w:val="136"/>
          <w:sz w:val="21"/>
        </w:rPr>
        <w:t> </w:t>
      </w:r>
      <w:r>
        <w:rPr>
          <w:sz w:val="21"/>
        </w:rPr>
        <w:t>mium. For whole life insurance with premiums paya.ble for the duration  of  the contra.et,  the continuous  premium  </w:t>
      </w:r>
      <w:r>
        <w:rPr>
          <w:rFonts w:ascii="Arial" w:hAnsi="Arial"/>
          <w:i/>
          <w:sz w:val="25"/>
        </w:rPr>
        <w:t>P. </w:t>
      </w:r>
      <w:r>
        <w:rPr>
          <w:sz w:val="20"/>
        </w:rPr>
        <w:t>is given</w:t>
      </w:r>
      <w:r>
        <w:rPr>
          <w:spacing w:val="47"/>
          <w:sz w:val="20"/>
        </w:rPr>
        <w:t> </w:t>
      </w:r>
      <w:r>
        <w:rPr>
          <w:sz w:val="21"/>
        </w:rPr>
        <w:t>by</w:t>
      </w:r>
    </w:p>
    <w:p>
      <w:pPr>
        <w:spacing w:before="70"/>
        <w:ind w:left="87" w:right="163" w:firstLine="0"/>
        <w:jc w:val="center"/>
        <w:rPr>
          <w:b/>
          <w:i/>
          <w:sz w:val="22"/>
        </w:rPr>
      </w:pPr>
      <w:r>
        <w:rPr/>
        <w:pict>
          <v:shape style="position:absolute;margin-left:201.600006pt;margin-top:20.166485pt;width:13.9pt;height:11pt;mso-position-horizontal-relative:page;mso-position-vertical-relative:paragraph;z-index:-728656" type="#_x0000_t202" filled="false" stroked="false">
            <v:textbox inset="0,0,0,0">
              <w:txbxContent>
                <w:p>
                  <w:pPr>
                    <w:spacing w:line="220" w:lineRule="exact" w:before="0"/>
                    <w:ind w:left="0" w:right="-20" w:firstLine="0"/>
                    <w:jc w:val="left"/>
                    <w:rPr>
                      <w:b/>
                      <w:i/>
                      <w:sz w:val="22"/>
                    </w:rPr>
                  </w:pPr>
                  <w:r>
                    <w:rPr>
                      <w:b/>
                      <w:i/>
                      <w:w w:val="105"/>
                      <w:sz w:val="22"/>
                    </w:rPr>
                    <w:t>N</w:t>
                  </w:r>
                  <w:r>
                    <w:rPr>
                      <w:b/>
                      <w:i/>
                      <w:spacing w:val="-41"/>
                      <w:w w:val="105"/>
                      <w:sz w:val="22"/>
                    </w:rPr>
                    <w:t> </w:t>
                  </w:r>
                  <w:r>
                    <w:rPr>
                      <w:b/>
                      <w:i/>
                      <w:w w:val="170"/>
                      <w:sz w:val="22"/>
                    </w:rPr>
                    <w:t>.</w:t>
                  </w:r>
                </w:p>
              </w:txbxContent>
            </v:textbox>
            <w10:wrap type="none"/>
          </v:shape>
        </w:pict>
      </w:r>
      <w:r>
        <w:rPr>
          <w:i/>
          <w:w w:val="100"/>
          <w:sz w:val="27"/>
        </w:rPr>
        <w:t>P.</w:t>
      </w:r>
      <w:r>
        <w:rPr>
          <w:i/>
          <w:spacing w:val="7"/>
          <w:sz w:val="27"/>
        </w:rPr>
        <w:t> </w:t>
      </w:r>
      <w:r>
        <w:rPr>
          <w:i/>
          <w:w w:val="91"/>
          <w:sz w:val="27"/>
        </w:rPr>
        <w:t>=</w:t>
      </w:r>
      <w:r>
        <w:rPr>
          <w:i/>
          <w:spacing w:val="-43"/>
          <w:sz w:val="27"/>
        </w:rPr>
        <w:t> </w:t>
      </w:r>
      <w:r>
        <w:rPr>
          <w:i/>
          <w:spacing w:val="-198"/>
          <w:w w:val="120"/>
          <w:sz w:val="23"/>
        </w:rPr>
        <w:t>A</w:t>
      </w:r>
      <w:r>
        <w:rPr>
          <w:rFonts w:ascii="Arial" w:hAnsi="Arial"/>
          <w:i/>
          <w:w w:val="81"/>
          <w:position w:val="-17"/>
          <w:sz w:val="35"/>
        </w:rPr>
        <w:t>ª</w:t>
      </w:r>
      <w:r>
        <w:rPr>
          <w:rFonts w:ascii="Arial" w:hAnsi="Arial"/>
          <w:i/>
          <w:spacing w:val="-41"/>
          <w:w w:val="81"/>
          <w:position w:val="-17"/>
          <w:sz w:val="35"/>
        </w:rPr>
        <w:t>•</w:t>
      </w:r>
      <w:r>
        <w:rPr>
          <w:i/>
          <w:w w:val="121"/>
          <w:sz w:val="23"/>
        </w:rPr>
        <w:t>.</w:t>
      </w:r>
      <w:r>
        <w:rPr>
          <w:i/>
          <w:sz w:val="23"/>
        </w:rPr>
        <w:t> </w:t>
      </w:r>
      <w:r>
        <w:rPr>
          <w:i/>
          <w:spacing w:val="23"/>
          <w:sz w:val="23"/>
        </w:rPr>
        <w:t> </w:t>
      </w:r>
      <w:r>
        <w:rPr>
          <w:w w:val="85"/>
          <w:sz w:val="28"/>
        </w:rPr>
        <w:t>=</w:t>
      </w:r>
      <w:r>
        <w:rPr>
          <w:spacing w:val="17"/>
          <w:sz w:val="28"/>
        </w:rPr>
        <w:t> </w:t>
      </w:r>
      <w:r>
        <w:rPr>
          <w:i/>
          <w:w w:val="48"/>
          <w:sz w:val="35"/>
        </w:rPr>
        <w:t>lY</w:t>
      </w:r>
      <w:r>
        <w:rPr>
          <w:i/>
          <w:spacing w:val="-2"/>
          <w:w w:val="48"/>
          <w:sz w:val="35"/>
        </w:rPr>
        <w:t>!</w:t>
      </w:r>
      <w:r>
        <w:rPr>
          <w:i/>
          <w:w w:val="73"/>
          <w:sz w:val="35"/>
        </w:rPr>
        <w:t>•</w:t>
      </w:r>
      <w:r>
        <w:rPr>
          <w:i/>
          <w:spacing w:val="-53"/>
          <w:sz w:val="35"/>
        </w:rPr>
        <w:t> </w:t>
      </w:r>
      <w:r>
        <w:rPr>
          <w:b/>
          <w:i/>
          <w:w w:val="86"/>
          <w:position w:val="-17"/>
          <w:sz w:val="22"/>
        </w:rPr>
        <w:t>,</w:t>
      </w:r>
    </w:p>
    <w:p>
      <w:pPr>
        <w:spacing w:line="242" w:lineRule="auto" w:before="64"/>
        <w:ind w:left="110" w:right="227" w:firstLine="3"/>
        <w:jc w:val="both"/>
        <w:rPr>
          <w:sz w:val="21"/>
        </w:rPr>
      </w:pPr>
      <w:r>
        <w:rPr>
          <w:sz w:val="21"/>
        </w:rPr>
        <w:t>and corresponding expressions may be written for other forms of insurance. </w:t>
      </w:r>
      <w:r>
        <w:rPr>
          <w:rFonts w:ascii="Arial"/>
          <w:sz w:val="20"/>
        </w:rPr>
        <w:t>1f </w:t>
      </w:r>
      <w:r>
        <w:rPr>
          <w:sz w:val="21"/>
        </w:rPr>
        <w:t>the insurance is paya.ble  at  the  moment  of  death and premiums are paya.ble continuously, we have</w:t>
      </w:r>
    </w:p>
    <w:p>
      <w:pPr>
        <w:tabs>
          <w:tab w:pos="1043" w:val="left" w:leader="none"/>
        </w:tabs>
        <w:spacing w:line="618" w:lineRule="exact" w:before="0"/>
        <w:ind w:left="0" w:right="45" w:firstLine="0"/>
        <w:jc w:val="center"/>
        <w:rPr>
          <w:sz w:val="31"/>
        </w:rPr>
      </w:pPr>
      <w:r>
        <w:rPr>
          <w:b/>
          <w:i/>
          <w:sz w:val="26"/>
        </w:rPr>
        <w:t>P(</w:t>
      </w:r>
      <w:r>
        <w:rPr>
          <w:b/>
          <w:i/>
          <w:spacing w:val="-31"/>
          <w:sz w:val="26"/>
        </w:rPr>
        <w:t> </w:t>
      </w:r>
      <w:r>
        <w:rPr>
          <w:b/>
          <w:i/>
          <w:sz w:val="26"/>
        </w:rPr>
        <w:t>A.)</w:t>
      </w:r>
      <w:r>
        <w:rPr>
          <w:b/>
          <w:i/>
          <w:spacing w:val="24"/>
          <w:sz w:val="26"/>
        </w:rPr>
        <w:t> </w:t>
      </w:r>
      <w:r>
        <w:rPr>
          <w:sz w:val="31"/>
        </w:rPr>
        <w:t>=</w:t>
        <w:tab/>
      </w:r>
      <w:r>
        <w:rPr>
          <w:w w:val="75"/>
          <w:sz w:val="68"/>
        </w:rPr>
        <w:t>•</w:t>
      </w:r>
      <w:r>
        <w:rPr>
          <w:spacing w:val="-89"/>
          <w:w w:val="75"/>
          <w:sz w:val="68"/>
        </w:rPr>
        <w:t> </w:t>
      </w:r>
      <w:r>
        <w:rPr>
          <w:sz w:val="31"/>
        </w:rPr>
        <w:t>=</w:t>
      </w:r>
      <w:r>
        <w:rPr>
          <w:spacing w:val="-27"/>
          <w:sz w:val="31"/>
        </w:rPr>
        <w:t> </w:t>
      </w:r>
      <w:r>
        <w:rPr>
          <w:i/>
          <w:spacing w:val="-4"/>
          <w:w w:val="125"/>
          <w:sz w:val="31"/>
        </w:rPr>
        <w:t>::</w:t>
      </w:r>
      <w:r>
        <w:rPr>
          <w:spacing w:val="-4"/>
          <w:w w:val="125"/>
          <w:sz w:val="31"/>
        </w:rPr>
        <w:t>.</w:t>
      </w:r>
    </w:p>
    <w:p>
      <w:pPr>
        <w:spacing w:after="0" w:line="618" w:lineRule="exact"/>
        <w:jc w:val="center"/>
        <w:rPr>
          <w:sz w:val="31"/>
        </w:rPr>
        <w:sectPr>
          <w:type w:val="continuous"/>
          <w:pgSz w:w="7200" w:h="11340"/>
          <w:pgMar w:top="1100" w:bottom="0" w:left="660" w:right="480"/>
        </w:sectPr>
      </w:pPr>
    </w:p>
    <w:p>
      <w:pPr>
        <w:spacing w:before="143"/>
        <w:ind w:left="110" w:right="-18" w:firstLine="0"/>
        <w:jc w:val="left"/>
        <w:rPr>
          <w:sz w:val="21"/>
        </w:rPr>
      </w:pPr>
      <w:r>
        <w:rPr>
          <w:w w:val="105"/>
          <w:sz w:val="21"/>
        </w:rPr>
        <w:t>The</w:t>
      </w:r>
      <w:r>
        <w:rPr>
          <w:spacing w:val="-19"/>
          <w:w w:val="105"/>
          <w:sz w:val="21"/>
        </w:rPr>
        <w:t> </w:t>
      </w:r>
      <w:r>
        <w:rPr>
          <w:w w:val="105"/>
          <w:sz w:val="21"/>
        </w:rPr>
        <w:t>relation</w:t>
      </w:r>
    </w:p>
    <w:p>
      <w:pPr>
        <w:pStyle w:val="BodyText"/>
        <w:spacing w:before="3"/>
        <w:rPr>
          <w:sz w:val="41"/>
        </w:rPr>
      </w:pPr>
      <w:r>
        <w:rPr/>
        <w:br w:type="column"/>
      </w:r>
      <w:r>
        <w:rPr>
          <w:sz w:val="41"/>
        </w:rPr>
      </w:r>
    </w:p>
    <w:p>
      <w:pPr>
        <w:spacing w:line="325" w:lineRule="exact" w:before="0"/>
        <w:ind w:left="110" w:right="0" w:firstLine="0"/>
        <w:jc w:val="left"/>
        <w:rPr>
          <w:rFonts w:ascii="Arial"/>
          <w:b/>
          <w:i/>
          <w:sz w:val="25"/>
        </w:rPr>
      </w:pPr>
      <w:r>
        <w:rPr>
          <w:rFonts w:ascii="Arial"/>
          <w:i/>
          <w:w w:val="95"/>
          <w:sz w:val="22"/>
        </w:rPr>
        <w:t>P</w:t>
      </w:r>
      <w:r>
        <w:rPr>
          <w:rFonts w:ascii="Arial"/>
          <w:i/>
          <w:w w:val="95"/>
          <w:sz w:val="22"/>
        </w:rPr>
        <w:t>(</w:t>
      </w:r>
      <w:r>
        <w:rPr>
          <w:rFonts w:ascii="Arial"/>
          <w:i/>
          <w:spacing w:val="-31"/>
          <w:sz w:val="22"/>
        </w:rPr>
        <w:t> </w:t>
      </w:r>
      <w:r>
        <w:rPr>
          <w:rFonts w:ascii="Arial"/>
          <w:i/>
          <w:w w:val="116"/>
          <w:sz w:val="22"/>
        </w:rPr>
        <w:t>A</w:t>
      </w:r>
      <w:r>
        <w:rPr>
          <w:rFonts w:ascii="Arial"/>
          <w:i/>
          <w:spacing w:val="2"/>
          <w:w w:val="116"/>
          <w:sz w:val="22"/>
        </w:rPr>
        <w:t>.</w:t>
      </w:r>
      <w:r>
        <w:rPr>
          <w:rFonts w:ascii="Arial"/>
          <w:i/>
          <w:w w:val="72"/>
          <w:sz w:val="22"/>
        </w:rPr>
        <w:t>)</w:t>
      </w:r>
      <w:r>
        <w:rPr>
          <w:rFonts w:ascii="Arial"/>
          <w:i/>
          <w:sz w:val="22"/>
        </w:rPr>
        <w:t>  </w:t>
      </w:r>
      <w:r>
        <w:rPr>
          <w:spacing w:val="-115"/>
          <w:w w:val="94"/>
          <w:sz w:val="26"/>
        </w:rPr>
        <w:t>=</w:t>
      </w:r>
      <w:r>
        <w:rPr>
          <w:spacing w:val="-365"/>
          <w:w w:val="249"/>
          <w:sz w:val="26"/>
        </w:rPr>
        <w:t>-</w:t>
      </w:r>
      <w:r>
        <w:rPr>
          <w:w w:val="129"/>
          <w:position w:val="14"/>
          <w:sz w:val="21"/>
        </w:rPr>
        <w:t>1</w:t>
      </w:r>
      <w:r>
        <w:rPr>
          <w:spacing w:val="13"/>
          <w:position w:val="14"/>
          <w:sz w:val="21"/>
        </w:rPr>
        <w:t> </w:t>
      </w:r>
      <w:r>
        <w:rPr>
          <w:w w:val="227"/>
          <w:sz w:val="26"/>
        </w:rPr>
        <w:t>-</w:t>
      </w:r>
      <w:r>
        <w:rPr>
          <w:spacing w:val="-25"/>
          <w:sz w:val="26"/>
        </w:rPr>
        <w:t> </w:t>
      </w:r>
      <w:r>
        <w:rPr>
          <w:rFonts w:ascii="Arial"/>
          <w:b/>
          <w:i/>
          <w:w w:val="59"/>
          <w:sz w:val="25"/>
        </w:rPr>
        <w:t>a</w:t>
      </w:r>
    </w:p>
    <w:p>
      <w:pPr>
        <w:spacing w:line="312" w:lineRule="exact" w:before="0"/>
        <w:ind w:left="999" w:right="0" w:firstLine="0"/>
        <w:jc w:val="left"/>
        <w:rPr>
          <w:rFonts w:ascii="Arial" w:hAnsi="Arial"/>
          <w:i/>
          <w:sz w:val="33"/>
        </w:rPr>
      </w:pPr>
      <w:r>
        <w:rPr>
          <w:rFonts w:ascii="Arial" w:hAnsi="Arial"/>
          <w:i/>
          <w:w w:val="95"/>
          <w:sz w:val="33"/>
        </w:rPr>
        <w:t>ª•</w:t>
      </w:r>
    </w:p>
    <w:p>
      <w:pPr>
        <w:spacing w:after="0" w:line="312" w:lineRule="exact"/>
        <w:jc w:val="left"/>
        <w:rPr>
          <w:rFonts w:ascii="Arial" w:hAnsi="Arial"/>
          <w:sz w:val="33"/>
        </w:rPr>
        <w:sectPr>
          <w:type w:val="continuous"/>
          <w:pgSz w:w="7200" w:h="11340"/>
          <w:pgMar w:top="1100" w:bottom="0" w:left="660" w:right="480"/>
          <w:cols w:num="2" w:equalWidth="0">
            <w:col w:w="1165" w:space="981"/>
            <w:col w:w="3914"/>
          </w:cols>
        </w:sectPr>
      </w:pPr>
    </w:p>
    <w:p>
      <w:pPr>
        <w:spacing w:line="231" w:lineRule="exact" w:before="0"/>
        <w:ind w:left="110" w:right="0" w:firstLine="0"/>
        <w:jc w:val="left"/>
        <w:rPr>
          <w:b/>
          <w:sz w:val="19"/>
        </w:rPr>
      </w:pPr>
      <w:r>
        <w:rPr>
          <w:w w:val="105"/>
          <w:sz w:val="21"/>
        </w:rPr>
        <w:t>may </w:t>
      </w:r>
      <w:r>
        <w:rPr>
          <w:w w:val="105"/>
          <w:sz w:val="20"/>
        </w:rPr>
        <w:t>also be </w:t>
      </w:r>
      <w:r>
        <w:rPr>
          <w:w w:val="105"/>
          <w:sz w:val="21"/>
        </w:rPr>
        <w:t>obtained, </w:t>
      </w:r>
      <w:r>
        <w:rPr>
          <w:b/>
          <w:w w:val="105"/>
          <w:sz w:val="19"/>
        </w:rPr>
        <w:t>using  (3.14).</w:t>
      </w:r>
    </w:p>
    <w:p>
      <w:pPr>
        <w:spacing w:after="0" w:line="231" w:lineRule="exact"/>
        <w:jc w:val="left"/>
        <w:rPr>
          <w:sz w:val="19"/>
        </w:rPr>
        <w:sectPr>
          <w:type w:val="continuous"/>
          <w:pgSz w:w="7200" w:h="11340"/>
          <w:pgMar w:top="1100" w:bottom="0" w:left="660" w:right="480"/>
        </w:sectPr>
      </w:pPr>
    </w:p>
    <w:p>
      <w:pPr>
        <w:tabs>
          <w:tab w:pos="2037" w:val="left" w:leader="none"/>
          <w:tab w:pos="5906" w:val="right" w:leader="none"/>
        </w:tabs>
        <w:spacing w:before="55"/>
        <w:ind w:left="140" w:right="0" w:firstLine="0"/>
        <w:jc w:val="left"/>
        <w:rPr>
          <w:sz w:val="19"/>
        </w:rPr>
      </w:pPr>
      <w:r>
        <w:rPr>
          <w:b/>
          <w:color w:val="010101"/>
          <w:sz w:val="15"/>
        </w:rPr>
        <w:t>SEC. </w:t>
      </w:r>
      <w:r>
        <w:rPr>
          <w:b/>
          <w:color w:val="010101"/>
          <w:spacing w:val="1"/>
          <w:sz w:val="15"/>
        </w:rPr>
        <w:t> </w:t>
      </w:r>
      <w:r>
        <w:rPr>
          <w:b/>
          <w:color w:val="010101"/>
          <w:sz w:val="21"/>
        </w:rPr>
        <w:t>2]</w:t>
        <w:tab/>
      </w:r>
      <w:r>
        <w:rPr>
          <w:b/>
          <w:color w:val="010101"/>
          <w:position w:val="1"/>
          <w:sz w:val="15"/>
        </w:rPr>
        <w:t>FRACTIONAL  </w:t>
      </w:r>
      <w:r>
        <w:rPr>
          <w:b/>
          <w:color w:val="010101"/>
          <w:spacing w:val="3"/>
          <w:position w:val="1"/>
          <w:sz w:val="15"/>
        </w:rPr>
        <w:t> </w:t>
      </w:r>
      <w:r>
        <w:rPr>
          <w:b/>
          <w:color w:val="010101"/>
          <w:position w:val="1"/>
          <w:sz w:val="15"/>
        </w:rPr>
        <w:t>PREMIUMS</w:t>
      </w:r>
      <w:r>
        <w:rPr>
          <w:color w:val="010101"/>
          <w:sz w:val="19"/>
        </w:rPr>
        <w:tab/>
        <w:t>85</w:t>
      </w:r>
    </w:p>
    <w:p>
      <w:pPr>
        <w:pStyle w:val="BodyText"/>
        <w:spacing w:before="8"/>
        <w:rPr>
          <w:sz w:val="16"/>
        </w:rPr>
      </w:pPr>
    </w:p>
    <w:p>
      <w:pPr>
        <w:spacing w:line="254" w:lineRule="auto" w:before="0"/>
        <w:ind w:left="129" w:right="206" w:firstLine="204"/>
        <w:jc w:val="both"/>
        <w:rPr>
          <w:rFonts w:ascii="Arial" w:hAnsi="Arial"/>
          <w:i/>
          <w:sz w:val="20"/>
        </w:rPr>
      </w:pPr>
      <w:r>
        <w:rPr>
          <w:color w:val="010101"/>
          <w:w w:val="105"/>
          <w:sz w:val="21"/>
        </w:rPr>
        <w:t>It  </w:t>
      </w:r>
      <w:r>
        <w:rPr>
          <w:color w:val="010101"/>
          <w:w w:val="105"/>
          <w:sz w:val="19"/>
        </w:rPr>
        <w:t>is  important</w:t>
      </w:r>
      <w:r>
        <w:rPr>
          <w:color w:val="010101"/>
          <w:spacing w:val="49"/>
          <w:w w:val="105"/>
          <w:sz w:val="19"/>
        </w:rPr>
        <w:t> </w:t>
      </w:r>
      <w:r>
        <w:rPr>
          <w:color w:val="010101"/>
          <w:w w:val="105"/>
          <w:sz w:val="19"/>
        </w:rPr>
        <w:t>to  distinguish</w:t>
      </w:r>
      <w:r>
        <w:rPr>
          <w:color w:val="010101"/>
          <w:spacing w:val="49"/>
          <w:w w:val="105"/>
          <w:sz w:val="19"/>
        </w:rPr>
        <w:t> </w:t>
      </w:r>
      <w:r>
        <w:rPr>
          <w:color w:val="010101"/>
          <w:w w:val="105"/>
          <w:sz w:val="19"/>
        </w:rPr>
        <w:t>symbols  like  </w:t>
      </w:r>
      <w:r>
        <w:rPr>
          <w:i/>
          <w:color w:val="010101"/>
          <w:w w:val="95"/>
          <w:sz w:val="25"/>
        </w:rPr>
        <w:t>E'z ,  </w:t>
      </w:r>
      <w:r>
        <w:rPr>
          <w:rFonts w:ascii="Arial" w:hAnsi="Arial"/>
          <w:i/>
          <w:color w:val="010101"/>
          <w:spacing w:val="-7"/>
          <w:w w:val="95"/>
          <w:sz w:val="23"/>
        </w:rPr>
        <w:t>P(A,,J </w:t>
      </w:r>
      <w:r>
        <w:rPr>
          <w:rFonts w:ascii="Arial" w:hAnsi="Arial"/>
          <w:i/>
          <w:color w:val="010101"/>
          <w:w w:val="95"/>
          <w:sz w:val="23"/>
        </w:rPr>
        <w:t>,  </w:t>
      </w:r>
      <w:r>
        <w:rPr>
          <w:color w:val="010101"/>
          <w:w w:val="105"/>
          <w:sz w:val="19"/>
        </w:rPr>
        <w:t>and  </w:t>
      </w:r>
      <w:r>
        <w:rPr>
          <w:b/>
          <w:i/>
          <w:color w:val="010101"/>
          <w:w w:val="105"/>
          <w:sz w:val="21"/>
        </w:rPr>
        <w:t>P </w:t>
      </w:r>
      <w:r>
        <w:rPr>
          <w:b/>
          <w:i/>
          <w:color w:val="010101"/>
          <w:spacing w:val="7"/>
          <w:w w:val="95"/>
          <w:sz w:val="21"/>
        </w:rPr>
        <w:t>(Az) </w:t>
      </w:r>
      <w:r>
        <w:rPr>
          <w:b/>
          <w:i/>
          <w:color w:val="010101"/>
          <w:w w:val="95"/>
          <w:sz w:val="21"/>
        </w:rPr>
        <w:t>, </w:t>
      </w:r>
      <w:r>
        <w:rPr>
          <w:color w:val="010101"/>
          <w:w w:val="105"/>
          <w:sz w:val="19"/>
        </w:rPr>
        <w:t>The bar over the </w:t>
      </w:r>
      <w:r>
        <w:rPr>
          <w:i/>
          <w:color w:val="010101"/>
          <w:w w:val="105"/>
          <w:sz w:val="21"/>
        </w:rPr>
        <w:t>P </w:t>
      </w:r>
      <w:r>
        <w:rPr>
          <w:color w:val="010101"/>
          <w:w w:val="105"/>
          <w:sz w:val="19"/>
        </w:rPr>
        <w:t>symbol refers only  to  the  continuous mode of premium payment, and the bar  over  the  </w:t>
      </w:r>
      <w:r>
        <w:rPr>
          <w:rFonts w:ascii="Arial" w:hAnsi="Arial"/>
          <w:i/>
          <w:color w:val="010101"/>
          <w:w w:val="105"/>
          <w:sz w:val="19"/>
        </w:rPr>
        <w:t>A  </w:t>
      </w:r>
      <w:r>
        <w:rPr>
          <w:color w:val="010101"/>
          <w:w w:val="105"/>
          <w:sz w:val="19"/>
        </w:rPr>
        <w:t>symbol  refers only to immediate payment of claims. To indicate  an  insurance  payable at the moment of death with  premiums</w:t>
      </w:r>
      <w:r>
        <w:rPr>
          <w:color w:val="010101"/>
          <w:spacing w:val="49"/>
          <w:w w:val="105"/>
          <w:sz w:val="19"/>
        </w:rPr>
        <w:t> </w:t>
      </w:r>
      <w:r>
        <w:rPr>
          <w:color w:val="010101"/>
          <w:w w:val="105"/>
          <w:sz w:val="19"/>
        </w:rPr>
        <w:t>payable</w:t>
      </w:r>
      <w:r>
        <w:rPr>
          <w:color w:val="010101"/>
          <w:spacing w:val="49"/>
          <w:w w:val="105"/>
          <w:sz w:val="19"/>
        </w:rPr>
        <w:t> </w:t>
      </w:r>
      <w:r>
        <w:rPr>
          <w:color w:val="010101"/>
          <w:w w:val="105"/>
          <w:sz w:val="19"/>
        </w:rPr>
        <w:t>continu­ ously,  a  bar  must  appear  over  both  </w:t>
      </w:r>
      <w:r>
        <w:rPr>
          <w:rFonts w:ascii="Arial" w:hAnsi="Arial"/>
          <w:i/>
          <w:color w:val="010101"/>
          <w:w w:val="105"/>
          <w:sz w:val="20"/>
        </w:rPr>
        <w:t>P  </w:t>
      </w:r>
      <w:r>
        <w:rPr>
          <w:color w:val="010101"/>
          <w:w w:val="105"/>
          <w:sz w:val="19"/>
        </w:rPr>
        <w:t>and</w:t>
      </w:r>
      <w:r>
        <w:rPr>
          <w:color w:val="010101"/>
          <w:spacing w:val="32"/>
          <w:w w:val="105"/>
          <w:sz w:val="19"/>
        </w:rPr>
        <w:t> </w:t>
      </w:r>
      <w:r>
        <w:rPr>
          <w:rFonts w:ascii="Arial" w:hAnsi="Arial"/>
          <w:i/>
          <w:color w:val="010101"/>
          <w:w w:val="105"/>
          <w:sz w:val="20"/>
        </w:rPr>
        <w:t>A.</w:t>
      </w:r>
    </w:p>
    <w:p>
      <w:pPr>
        <w:spacing w:line="227" w:lineRule="exact" w:before="0"/>
        <w:ind w:left="337" w:right="0" w:firstLine="0"/>
        <w:jc w:val="left"/>
        <w:rPr>
          <w:sz w:val="19"/>
        </w:rPr>
      </w:pPr>
      <w:r>
        <w:rPr>
          <w:color w:val="010101"/>
          <w:w w:val="110"/>
          <w:sz w:val="21"/>
        </w:rPr>
        <w:t>It </w:t>
      </w:r>
      <w:r>
        <w:rPr>
          <w:color w:val="010101"/>
          <w:w w:val="110"/>
          <w:sz w:val="19"/>
        </w:rPr>
        <w:t>is convenient to be able to calculate </w:t>
      </w:r>
      <w:r>
        <w:rPr>
          <w:color w:val="010101"/>
          <w:sz w:val="21"/>
        </w:rPr>
        <w:t>pcm&gt; </w:t>
      </w:r>
      <w:r>
        <w:rPr>
          <w:color w:val="010101"/>
          <w:w w:val="110"/>
          <w:sz w:val="19"/>
        </w:rPr>
        <w:t>from the value oí the</w:t>
      </w:r>
    </w:p>
    <w:p>
      <w:pPr>
        <w:spacing w:before="17"/>
        <w:ind w:left="129" w:right="0" w:firstLine="0"/>
        <w:jc w:val="left"/>
        <w:rPr>
          <w:sz w:val="19"/>
        </w:rPr>
      </w:pPr>
      <w:r>
        <w:rPr>
          <w:color w:val="010101"/>
          <w:w w:val="110"/>
          <w:sz w:val="19"/>
        </w:rPr>
        <w:t>corresponding annual premium  </w:t>
      </w:r>
      <w:r>
        <w:rPr>
          <w:rFonts w:ascii="Arial"/>
          <w:i/>
          <w:color w:val="010101"/>
          <w:w w:val="110"/>
          <w:sz w:val="19"/>
        </w:rPr>
        <w:t>P. </w:t>
      </w:r>
      <w:r>
        <w:rPr>
          <w:color w:val="010101"/>
          <w:w w:val="110"/>
          <w:sz w:val="19"/>
        </w:rPr>
        <w:t>For whole life  insurance,</w:t>
      </w:r>
    </w:p>
    <w:p>
      <w:pPr>
        <w:tabs>
          <w:tab w:pos="1764" w:val="left" w:leader="none"/>
          <w:tab w:pos="2335" w:val="left" w:leader="none"/>
        </w:tabs>
        <w:spacing w:line="335" w:lineRule="exact" w:before="109"/>
        <w:ind w:left="0" w:right="42" w:firstLine="0"/>
        <w:jc w:val="center"/>
        <w:rPr>
          <w:sz w:val="20"/>
        </w:rPr>
      </w:pPr>
      <w:r>
        <w:rPr>
          <w:i/>
          <w:color w:val="010101"/>
          <w:spacing w:val="23"/>
          <w:w w:val="140"/>
          <w:sz w:val="21"/>
        </w:rPr>
        <w:t>P</w:t>
      </w:r>
      <w:r>
        <w:rPr>
          <w:i/>
          <w:color w:val="010101"/>
          <w:w w:val="57"/>
          <w:sz w:val="21"/>
        </w:rPr>
        <w:t>"'&gt;</w:t>
      </w:r>
      <w:r>
        <w:rPr>
          <w:i/>
          <w:color w:val="010101"/>
          <w:sz w:val="21"/>
        </w:rPr>
        <w:t> </w:t>
      </w:r>
      <w:r>
        <w:rPr>
          <w:i/>
          <w:color w:val="010101"/>
          <w:spacing w:val="-10"/>
          <w:sz w:val="21"/>
        </w:rPr>
        <w:t> </w:t>
      </w:r>
      <w:r>
        <w:rPr>
          <w:color w:val="010101"/>
          <w:w w:val="99"/>
          <w:sz w:val="24"/>
        </w:rPr>
        <w:t>=</w:t>
      </w:r>
      <w:r>
        <w:rPr>
          <w:color w:val="010101"/>
          <w:sz w:val="24"/>
        </w:rPr>
        <w:t> </w:t>
      </w:r>
      <w:r>
        <w:rPr>
          <w:color w:val="010101"/>
          <w:spacing w:val="13"/>
          <w:sz w:val="24"/>
        </w:rPr>
        <w:t> </w:t>
      </w:r>
      <w:r>
        <w:rPr>
          <w:i/>
          <w:color w:val="010101"/>
          <w:spacing w:val="-42"/>
          <w:w w:val="62"/>
          <w:sz w:val="34"/>
        </w:rPr>
        <w:t>.</w:t>
      </w:r>
      <w:r>
        <w:rPr>
          <w:i/>
          <w:color w:val="010101"/>
          <w:spacing w:val="-68"/>
          <w:w w:val="107"/>
          <w:sz w:val="34"/>
        </w:rPr>
        <w:t>1</w:t>
      </w:r>
      <w:r>
        <w:rPr>
          <w:i/>
          <w:color w:val="010101"/>
          <w:w w:val="52"/>
          <w:sz w:val="34"/>
        </w:rPr>
        <w:t>,:,</w:t>
      </w:r>
      <w:r>
        <w:rPr>
          <w:i/>
          <w:color w:val="010101"/>
          <w:sz w:val="34"/>
        </w:rPr>
        <w:tab/>
      </w:r>
      <w:r>
        <w:rPr>
          <w:i/>
          <w:color w:val="010101"/>
          <w:w w:val="96"/>
          <w:sz w:val="21"/>
        </w:rPr>
        <w:t>Az</w:t>
      </w:r>
      <w:r>
        <w:rPr>
          <w:i/>
          <w:color w:val="010101"/>
          <w:sz w:val="21"/>
        </w:rPr>
        <w:tab/>
      </w:r>
      <w:r>
        <w:rPr>
          <w:color w:val="010101"/>
          <w:spacing w:val="18"/>
          <w:w w:val="121"/>
          <w:sz w:val="20"/>
        </w:rPr>
        <w:t>1</w:t>
      </w:r>
      <w:r>
        <w:rPr>
          <w:color w:val="010101"/>
          <w:w w:val="114"/>
          <w:sz w:val="20"/>
        </w:rPr>
        <w:t>.</w:t>
      </w:r>
    </w:p>
    <w:p>
      <w:pPr>
        <w:tabs>
          <w:tab w:pos="1055" w:val="left" w:leader="none"/>
          <w:tab w:pos="1504" w:val="left" w:leader="none"/>
        </w:tabs>
        <w:spacing w:line="128" w:lineRule="exact" w:before="0"/>
        <w:ind w:left="363" w:right="0" w:firstLine="0"/>
        <w:jc w:val="center"/>
        <w:rPr>
          <w:rFonts w:ascii="Arial"/>
          <w:sz w:val="18"/>
        </w:rPr>
      </w:pPr>
      <w:r>
        <w:rPr/>
        <w:pict>
          <v:line style="position:absolute;mso-position-horizontal-relative:page;mso-position-vertical-relative:paragraph;z-index:-728560" from="212.376694pt,3.638586pt" to="241.076194pt,3.638586pt" stroked="true" strokeweight="4.663677pt" strokecolor="#000000">
            <w10:wrap type="none"/>
          </v:line>
        </w:pict>
      </w:r>
      <w:r>
        <w:rPr>
          <w:b/>
          <w:i/>
          <w:color w:val="010101"/>
          <w:sz w:val="20"/>
        </w:rPr>
        <w:t>az</w:t>
        <w:tab/>
      </w:r>
      <w:r>
        <w:rPr>
          <w:color w:val="010101"/>
          <w:sz w:val="20"/>
        </w:rPr>
        <w:t>..</w:t>
        <w:tab/>
      </w:r>
      <w:r>
        <w:rPr>
          <w:rFonts w:ascii="Arial"/>
          <w:b/>
          <w:i/>
          <w:color w:val="010101"/>
          <w:sz w:val="18"/>
        </w:rPr>
        <w:t>m </w:t>
      </w:r>
      <w:r>
        <w:rPr>
          <w:rFonts w:ascii="Arial"/>
          <w:b/>
          <w:i/>
          <w:color w:val="010101"/>
          <w:spacing w:val="6"/>
          <w:sz w:val="18"/>
        </w:rPr>
        <w:t> </w:t>
      </w:r>
      <w:r>
        <w:rPr>
          <w:rFonts w:ascii="Arial"/>
          <w:color w:val="010101"/>
          <w:w w:val="270"/>
          <w:sz w:val="18"/>
        </w:rPr>
        <w:t>-</w:t>
      </w:r>
    </w:p>
    <w:p>
      <w:pPr>
        <w:spacing w:line="196" w:lineRule="exact" w:before="0"/>
        <w:ind w:left="574" w:right="42" w:firstLine="0"/>
        <w:jc w:val="center"/>
        <w:rPr>
          <w:i/>
          <w:sz w:val="21"/>
        </w:rPr>
      </w:pPr>
      <w:r>
        <w:rPr>
          <w:i/>
          <w:color w:val="010101"/>
          <w:w w:val="110"/>
          <w:sz w:val="21"/>
        </w:rPr>
        <w:t>az </w:t>
      </w:r>
      <w:r>
        <w:rPr>
          <w:i/>
          <w:color w:val="010101"/>
          <w:w w:val="235"/>
          <w:sz w:val="21"/>
        </w:rPr>
        <w:t>-</w:t>
      </w:r>
    </w:p>
    <w:p>
      <w:pPr>
        <w:pStyle w:val="BodyText"/>
        <w:spacing w:before="2"/>
        <w:rPr>
          <w:i/>
          <w:sz w:val="23"/>
        </w:rPr>
      </w:pPr>
    </w:p>
    <w:p>
      <w:pPr>
        <w:tabs>
          <w:tab w:pos="5513" w:val="left" w:leader="none"/>
        </w:tabs>
        <w:spacing w:line="256" w:lineRule="exact" w:before="0"/>
        <w:ind w:left="132" w:right="0" w:firstLine="0"/>
        <w:jc w:val="left"/>
        <w:rPr>
          <w:sz w:val="19"/>
        </w:rPr>
      </w:pPr>
      <w:r>
        <w:rPr>
          <w:color w:val="010101"/>
          <w:w w:val="110"/>
          <w:sz w:val="19"/>
        </w:rPr>
        <w:t>Dividing  numerator  and  denominator  by  </w:t>
      </w:r>
      <w:r>
        <w:rPr>
          <w:i/>
          <w:color w:val="010101"/>
          <w:sz w:val="27"/>
        </w:rPr>
        <w:t>az</w:t>
      </w:r>
      <w:r>
        <w:rPr>
          <w:i/>
          <w:color w:val="010101"/>
          <w:spacing w:val="-15"/>
          <w:sz w:val="27"/>
        </w:rPr>
        <w:t> </w:t>
      </w:r>
      <w:r>
        <w:rPr>
          <w:color w:val="010101"/>
          <w:w w:val="110"/>
          <w:sz w:val="19"/>
        </w:rPr>
        <w:t>and</w:t>
      </w:r>
      <w:r>
        <w:rPr>
          <w:color w:val="010101"/>
          <w:spacing w:val="37"/>
          <w:w w:val="110"/>
          <w:sz w:val="19"/>
        </w:rPr>
        <w:t> </w:t>
      </w:r>
      <w:r>
        <w:rPr>
          <w:color w:val="010101"/>
          <w:w w:val="110"/>
          <w:sz w:val="19"/>
        </w:rPr>
        <w:t>replacing</w:t>
        <w:tab/>
      </w:r>
      <w:r>
        <w:rPr>
          <w:color w:val="010101"/>
          <w:w w:val="110"/>
          <w:sz w:val="12"/>
        </w:rPr>
        <w:t>z </w:t>
      </w:r>
      <w:r>
        <w:rPr>
          <w:color w:val="010101"/>
          <w:spacing w:val="24"/>
          <w:w w:val="110"/>
          <w:sz w:val="12"/>
        </w:rPr>
        <w:t> </w:t>
      </w:r>
      <w:r>
        <w:rPr>
          <w:color w:val="010101"/>
          <w:w w:val="110"/>
          <w:sz w:val="19"/>
        </w:rPr>
        <w:t>by</w:t>
      </w:r>
    </w:p>
    <w:p>
      <w:pPr>
        <w:spacing w:line="176" w:lineRule="exact" w:before="0"/>
        <w:ind w:left="5356" w:right="0" w:firstLine="0"/>
        <w:jc w:val="left"/>
        <w:rPr>
          <w:b/>
          <w:i/>
          <w:sz w:val="20"/>
        </w:rPr>
      </w:pPr>
      <w:r>
        <w:rPr>
          <w:b/>
          <w:i/>
          <w:color w:val="010101"/>
          <w:sz w:val="20"/>
        </w:rPr>
        <w:t>az</w:t>
      </w:r>
    </w:p>
    <w:p>
      <w:pPr>
        <w:spacing w:before="3"/>
        <w:ind w:left="132" w:right="0" w:firstLine="0"/>
        <w:jc w:val="left"/>
        <w:rPr>
          <w:sz w:val="19"/>
        </w:rPr>
      </w:pPr>
      <w:r>
        <w:rPr>
          <w:rFonts w:ascii="Arial"/>
          <w:i/>
          <w:color w:val="010101"/>
          <w:w w:val="120"/>
          <w:sz w:val="20"/>
        </w:rPr>
        <w:t>P., </w:t>
      </w:r>
      <w:r>
        <w:rPr>
          <w:color w:val="010101"/>
          <w:w w:val="120"/>
          <w:sz w:val="19"/>
        </w:rPr>
        <w:t>we have</w:t>
      </w:r>
    </w:p>
    <w:p>
      <w:pPr>
        <w:pStyle w:val="BodyText"/>
        <w:spacing w:before="3"/>
        <w:rPr>
          <w:sz w:val="25"/>
        </w:rPr>
      </w:pPr>
      <w:r>
        <w:rPr/>
        <w:pict>
          <v:line style="position:absolute;mso-position-horizontal-relative:page;mso-position-vertical-relative:paragraph;z-index:7456;mso-wrap-distance-left:0;mso-wrap-distance-right:0" from="166.816101pt,17.032574pt" to="230.313901pt,17.032574pt" stroked="true" strokeweight="1.076233pt" strokecolor="#000000">
            <w10:wrap type="topAndBottom"/>
          </v:line>
        </w:pict>
      </w:r>
    </w:p>
    <w:p>
      <w:pPr>
        <w:spacing w:line="162" w:lineRule="exact" w:before="0"/>
        <w:ind w:left="3096" w:right="0" w:firstLine="0"/>
        <w:jc w:val="left"/>
        <w:rPr>
          <w:sz w:val="20"/>
        </w:rPr>
      </w:pPr>
      <w:r>
        <w:rPr>
          <w:rFonts w:ascii="Arial" w:hAnsi="Arial"/>
          <w:i/>
          <w:color w:val="010101"/>
          <w:w w:val="120"/>
          <w:sz w:val="18"/>
        </w:rPr>
        <w:t>m </w:t>
      </w:r>
      <w:r>
        <w:rPr>
          <w:rFonts w:ascii="Arial" w:hAnsi="Arial"/>
          <w:color w:val="010101"/>
          <w:w w:val="280"/>
          <w:sz w:val="18"/>
        </w:rPr>
        <w:t>- </w:t>
      </w:r>
      <w:r>
        <w:rPr>
          <w:color w:val="010101"/>
          <w:w w:val="140"/>
          <w:sz w:val="20"/>
        </w:rPr>
        <w:t>1 1</w:t>
      </w:r>
      <w:r>
        <w:rPr>
          <w:color w:val="010101"/>
          <w:spacing w:val="-58"/>
          <w:w w:val="140"/>
          <w:sz w:val="20"/>
        </w:rPr>
        <w:t> </w:t>
      </w:r>
      <w:r>
        <w:rPr>
          <w:color w:val="010101"/>
          <w:w w:val="140"/>
          <w:sz w:val="20"/>
        </w:rPr>
        <w:t>·</w:t>
      </w:r>
    </w:p>
    <w:p>
      <w:pPr>
        <w:tabs>
          <w:tab w:pos="3784" w:val="left" w:leader="none"/>
        </w:tabs>
        <w:spacing w:line="124" w:lineRule="auto" w:before="42"/>
        <w:ind w:left="3264" w:right="2086" w:hanging="574"/>
        <w:jc w:val="left"/>
        <w:rPr>
          <w:sz w:val="18"/>
        </w:rPr>
      </w:pPr>
      <w:r>
        <w:rPr>
          <w:b/>
          <w:color w:val="010101"/>
          <w:w w:val="134"/>
          <w:sz w:val="21"/>
        </w:rPr>
        <w:t>l </w:t>
      </w:r>
      <w:r>
        <w:rPr>
          <w:color w:val="010101"/>
          <w:spacing w:val="-55"/>
          <w:w w:val="352"/>
          <w:sz w:val="21"/>
        </w:rPr>
        <w:t>---·-</w:t>
      </w:r>
      <w:r>
        <w:rPr>
          <w:color w:val="010101"/>
          <w:w w:val="352"/>
          <w:sz w:val="21"/>
        </w:rPr>
        <w:t> </w:t>
      </w:r>
      <w:r>
        <w:rPr>
          <w:color w:val="010101"/>
          <w:sz w:val="21"/>
        </w:rPr>
        <w:t>2m</w:t>
        <w:tab/>
      </w:r>
      <w:r>
        <w:rPr>
          <w:color w:val="010101"/>
          <w:w w:val="85"/>
          <w:sz w:val="18"/>
        </w:rPr>
        <w:t>&lt;iz</w:t>
      </w:r>
    </w:p>
    <w:p>
      <w:pPr>
        <w:tabs>
          <w:tab w:pos="2514" w:val="left" w:leader="none"/>
        </w:tabs>
        <w:spacing w:line="59" w:lineRule="exact" w:before="120"/>
        <w:ind w:left="247" w:right="0" w:firstLine="0"/>
        <w:jc w:val="left"/>
        <w:rPr>
          <w:rFonts w:ascii="Courier New"/>
          <w:sz w:val="22"/>
        </w:rPr>
      </w:pPr>
      <w:r>
        <w:rPr>
          <w:rFonts w:ascii="Courier New"/>
          <w:color w:val="161616"/>
          <w:w w:val="80"/>
          <w:sz w:val="22"/>
        </w:rPr>
        <w:t>.</w:t>
        <w:tab/>
      </w:r>
      <w:r>
        <w:rPr>
          <w:rFonts w:ascii="Courier New"/>
          <w:color w:val="010101"/>
          <w:w w:val="80"/>
          <w:sz w:val="22"/>
        </w:rPr>
        <w:t>1</w:t>
      </w:r>
    </w:p>
    <w:p>
      <w:pPr>
        <w:spacing w:line="348" w:lineRule="exact" w:before="0"/>
        <w:ind w:left="122" w:right="0" w:firstLine="0"/>
        <w:jc w:val="left"/>
        <w:rPr>
          <w:sz w:val="19"/>
        </w:rPr>
      </w:pPr>
      <w:r>
        <w:rPr/>
        <w:pict>
          <v:rect style="position:absolute;margin-left:156.2332pt;margin-top:14.501781pt;width:8.251100pt;height:5.560538pt;mso-position-horizontal-relative:page;mso-position-vertical-relative:paragraph;z-index:-728536" filled="true" fillcolor="#000000" stroked="false">
            <v:fill type="solid"/>
            <w10:wrap type="none"/>
          </v:rect>
        </w:pict>
      </w:r>
      <w:r>
        <w:rPr>
          <w:color w:val="010101"/>
          <w:w w:val="105"/>
          <w:sz w:val="19"/>
        </w:rPr>
        <w:t>Smec, from  formula  (4.6), </w:t>
      </w:r>
      <w:r>
        <w:rPr>
          <w:rFonts w:ascii="Arial" w:hAnsi="Arial"/>
          <w:i/>
          <w:color w:val="010101"/>
          <w:w w:val="105"/>
          <w:sz w:val="34"/>
        </w:rPr>
        <w:t>ª• </w:t>
      </w:r>
      <w:r>
        <w:rPr>
          <w:color w:val="010101"/>
          <w:w w:val="105"/>
          <w:sz w:val="26"/>
        </w:rPr>
        <w:t>=  </w:t>
      </w:r>
      <w:r>
        <w:rPr>
          <w:b/>
          <w:i/>
          <w:color w:val="010101"/>
          <w:w w:val="105"/>
          <w:sz w:val="21"/>
        </w:rPr>
        <w:t>Pz  </w:t>
      </w:r>
      <w:r>
        <w:rPr>
          <w:color w:val="010101"/>
          <w:w w:val="105"/>
          <w:sz w:val="29"/>
        </w:rPr>
        <w:t>+ </w:t>
      </w:r>
      <w:r>
        <w:rPr>
          <w:rFonts w:ascii="Arial" w:hAnsi="Arial"/>
          <w:i/>
          <w:color w:val="010101"/>
          <w:w w:val="105"/>
          <w:sz w:val="19"/>
        </w:rPr>
        <w:t>d, </w:t>
      </w:r>
      <w:r>
        <w:rPr>
          <w:color w:val="010101"/>
          <w:w w:val="105"/>
          <w:sz w:val="19"/>
        </w:rPr>
        <w:t>we  have finally</w:t>
      </w:r>
    </w:p>
    <w:p>
      <w:pPr>
        <w:pStyle w:val="BodyText"/>
      </w:pPr>
    </w:p>
    <w:p>
      <w:pPr>
        <w:pStyle w:val="BodyText"/>
        <w:spacing w:before="4"/>
        <w:rPr>
          <w:sz w:val="12"/>
        </w:rPr>
      </w:pPr>
      <w:r>
        <w:rPr/>
        <w:pict>
          <v:line style="position:absolute;mso-position-horizontal-relative:page;mso-position-vertical-relative:paragraph;z-index:7480;mso-wrap-distance-left:0;mso-wrap-distance-right:0" from="150.313904pt,9.535051pt" to="245.739904pt,9.535051pt" stroked="true" strokeweight=".896861pt" strokecolor="#000000">
            <w10:wrap type="topAndBottom"/>
          </v:line>
        </w:pict>
      </w:r>
    </w:p>
    <w:p>
      <w:pPr>
        <w:spacing w:after="0"/>
        <w:rPr>
          <w:sz w:val="12"/>
        </w:rPr>
        <w:sectPr>
          <w:pgSz w:w="7200" w:h="11340"/>
          <w:pgMar w:top="500" w:bottom="280" w:left="660" w:right="440"/>
        </w:sectPr>
      </w:pPr>
    </w:p>
    <w:p>
      <w:pPr>
        <w:spacing w:line="344" w:lineRule="exact" w:before="0"/>
        <w:ind w:left="2367" w:right="-17" w:firstLine="0"/>
        <w:jc w:val="left"/>
        <w:rPr>
          <w:rFonts w:ascii="Arial"/>
          <w:sz w:val="19"/>
        </w:rPr>
      </w:pPr>
      <w:r>
        <w:rPr>
          <w:color w:val="010101"/>
          <w:w w:val="135"/>
          <w:sz w:val="19"/>
        </w:rPr>
        <w:t>1</w:t>
      </w:r>
      <w:r>
        <w:rPr>
          <w:color w:val="010101"/>
          <w:sz w:val="19"/>
        </w:rPr>
        <w:t> </w:t>
      </w:r>
      <w:r>
        <w:rPr>
          <w:color w:val="010101"/>
          <w:w w:val="296"/>
          <w:sz w:val="19"/>
        </w:rPr>
        <w:t>-</w:t>
      </w:r>
      <w:r>
        <w:rPr>
          <w:color w:val="010101"/>
          <w:spacing w:val="-10"/>
          <w:sz w:val="19"/>
        </w:rPr>
        <w:t> </w:t>
      </w:r>
      <w:r>
        <w:rPr>
          <w:rFonts w:ascii="Arial"/>
          <w:i/>
          <w:color w:val="010101"/>
          <w:w w:val="101"/>
          <w:sz w:val="19"/>
        </w:rPr>
        <w:t>m</w:t>
      </w:r>
      <w:r>
        <w:rPr>
          <w:color w:val="010101"/>
          <w:w w:val="274"/>
          <w:sz w:val="19"/>
        </w:rPr>
        <w:t>2</w:t>
      </w:r>
      <w:r>
        <w:rPr>
          <w:color w:val="010101"/>
          <w:sz w:val="19"/>
        </w:rPr>
        <w:t> </w:t>
      </w:r>
      <w:r>
        <w:rPr>
          <w:color w:val="010101"/>
          <w:spacing w:val="-11"/>
          <w:sz w:val="19"/>
        </w:rPr>
        <w:t> </w:t>
      </w:r>
      <w:r>
        <w:rPr>
          <w:color w:val="010101"/>
          <w:w w:val="135"/>
          <w:sz w:val="19"/>
        </w:rPr>
        <w:t>1</w:t>
      </w:r>
      <w:r>
        <w:rPr>
          <w:color w:val="010101"/>
          <w:spacing w:val="-18"/>
          <w:sz w:val="19"/>
        </w:rPr>
        <w:t> </w:t>
      </w:r>
      <w:r>
        <w:rPr>
          <w:color w:val="010101"/>
          <w:w w:val="102"/>
          <w:sz w:val="19"/>
        </w:rPr>
        <w:t>(</w:t>
      </w:r>
      <w:r>
        <w:rPr>
          <w:color w:val="010101"/>
          <w:spacing w:val="-23"/>
          <w:sz w:val="19"/>
        </w:rPr>
        <w:t> </w:t>
      </w:r>
      <w:r>
        <w:rPr>
          <w:i/>
          <w:color w:val="010101"/>
          <w:w w:val="104"/>
          <w:sz w:val="22"/>
        </w:rPr>
        <w:t>p</w:t>
      </w:r>
      <w:r>
        <w:rPr>
          <w:i/>
          <w:color w:val="010101"/>
          <w:spacing w:val="-30"/>
          <w:sz w:val="22"/>
        </w:rPr>
        <w:t> </w:t>
      </w:r>
      <w:r>
        <w:rPr>
          <w:color w:val="010101"/>
          <w:w w:val="119"/>
          <w:sz w:val="13"/>
        </w:rPr>
        <w:t>z</w:t>
      </w:r>
      <w:r>
        <w:rPr>
          <w:color w:val="010101"/>
          <w:sz w:val="13"/>
        </w:rPr>
        <w:t>  </w:t>
      </w:r>
      <w:r>
        <w:rPr>
          <w:color w:val="010101"/>
          <w:spacing w:val="-16"/>
          <w:sz w:val="13"/>
        </w:rPr>
        <w:t> </w:t>
      </w:r>
      <w:r>
        <w:rPr>
          <w:rFonts w:ascii="Arial"/>
          <w:color w:val="010101"/>
          <w:w w:val="102"/>
          <w:sz w:val="31"/>
        </w:rPr>
        <w:t>+</w:t>
      </w:r>
      <w:r>
        <w:rPr>
          <w:rFonts w:ascii="Arial"/>
          <w:color w:val="010101"/>
          <w:spacing w:val="-25"/>
          <w:sz w:val="31"/>
        </w:rPr>
        <w:t> </w:t>
      </w:r>
      <w:r>
        <w:rPr>
          <w:rFonts w:ascii="Arial"/>
          <w:i/>
          <w:color w:val="010101"/>
          <w:w w:val="94"/>
          <w:sz w:val="19"/>
        </w:rPr>
        <w:t>d</w:t>
      </w:r>
      <w:r>
        <w:rPr>
          <w:rFonts w:ascii="Arial"/>
          <w:i/>
          <w:color w:val="010101"/>
          <w:spacing w:val="-28"/>
          <w:sz w:val="19"/>
        </w:rPr>
        <w:t> </w:t>
      </w:r>
      <w:r>
        <w:rPr>
          <w:rFonts w:ascii="Arial"/>
          <w:i/>
          <w:color w:val="010101"/>
          <w:w w:val="77"/>
          <w:sz w:val="19"/>
        </w:rPr>
        <w:t>)</w:t>
      </w:r>
      <w:r>
        <w:rPr>
          <w:rFonts w:ascii="Arial"/>
          <w:i/>
          <w:color w:val="010101"/>
          <w:sz w:val="19"/>
        </w:rPr>
        <w:t> </w:t>
      </w:r>
      <w:r>
        <w:rPr>
          <w:rFonts w:ascii="Arial"/>
          <w:i/>
          <w:color w:val="010101"/>
          <w:spacing w:val="-19"/>
          <w:sz w:val="19"/>
        </w:rPr>
        <w:t> </w:t>
      </w:r>
      <w:r>
        <w:rPr>
          <w:rFonts w:ascii="Arial"/>
          <w:color w:val="010101"/>
          <w:w w:val="148"/>
          <w:sz w:val="19"/>
        </w:rPr>
        <w:t>.</w:t>
      </w:r>
    </w:p>
    <w:p>
      <w:pPr>
        <w:spacing w:line="214" w:lineRule="exact" w:before="0"/>
        <w:ind w:left="911" w:right="0" w:firstLine="0"/>
        <w:jc w:val="left"/>
        <w:rPr>
          <w:b/>
          <w:sz w:val="20"/>
        </w:rPr>
      </w:pPr>
      <w:r>
        <w:rPr/>
        <w:br w:type="column"/>
      </w:r>
      <w:r>
        <w:rPr>
          <w:b/>
          <w:color w:val="010101"/>
          <w:w w:val="105"/>
          <w:sz w:val="20"/>
        </w:rPr>
        <w:t>(4.13)</w:t>
      </w:r>
    </w:p>
    <w:p>
      <w:pPr>
        <w:spacing w:after="0" w:line="214" w:lineRule="exact"/>
        <w:jc w:val="left"/>
        <w:rPr>
          <w:sz w:val="20"/>
        </w:rPr>
        <w:sectPr>
          <w:type w:val="continuous"/>
          <w:pgSz w:w="7200" w:h="11340"/>
          <w:pgMar w:top="1100" w:bottom="0" w:left="660" w:right="440"/>
          <w:cols w:num="2" w:equalWidth="0">
            <w:col w:w="4402" w:space="40"/>
            <w:col w:w="1658"/>
          </w:cols>
        </w:sectPr>
      </w:pPr>
    </w:p>
    <w:p>
      <w:pPr>
        <w:pStyle w:val="BodyText"/>
        <w:spacing w:before="7"/>
        <w:rPr>
          <w:b/>
          <w:sz w:val="13"/>
        </w:rPr>
      </w:pPr>
    </w:p>
    <w:p>
      <w:pPr>
        <w:spacing w:line="254" w:lineRule="auto" w:before="72"/>
        <w:ind w:left="122" w:right="218" w:hanging="4"/>
        <w:jc w:val="both"/>
        <w:rPr>
          <w:sz w:val="19"/>
        </w:rPr>
      </w:pPr>
      <w:r>
        <w:rPr/>
        <w:pict>
          <v:rect style="position:absolute;margin-left:179.551605pt;margin-top:-10.219273pt;width:12.556pt;height:6.457399pt;mso-position-horizontal-relative:page;mso-position-vertical-relative:paragraph;z-index:-728512" filled="true" fillcolor="#000000" stroked="false">
            <v:fill type="solid"/>
            <w10:wrap type="none"/>
          </v:rect>
        </w:pict>
      </w:r>
      <w:r>
        <w:rPr>
          <w:color w:val="010101"/>
          <w:w w:val="105"/>
          <w:sz w:val="19"/>
        </w:rPr>
        <w:t>The formula enables </w:t>
      </w:r>
      <w:r>
        <w:rPr>
          <w:color w:val="010101"/>
          <w:w w:val="105"/>
          <w:sz w:val="21"/>
        </w:rPr>
        <w:t>us </w:t>
      </w:r>
      <w:r>
        <w:rPr>
          <w:color w:val="010101"/>
          <w:w w:val="105"/>
          <w:sz w:val="19"/>
        </w:rPr>
        <w:t>to approximate </w:t>
      </w:r>
      <w:r>
        <w:rPr>
          <w:i/>
          <w:color w:val="010101"/>
          <w:w w:val="105"/>
          <w:sz w:val="22"/>
        </w:rPr>
        <w:t>P:"'' </w:t>
      </w:r>
      <w:r>
        <w:rPr>
          <w:color w:val="010101"/>
          <w:w w:val="105"/>
          <w:sz w:val="19"/>
        </w:rPr>
        <w:t>when </w:t>
      </w:r>
      <w:r>
        <w:rPr>
          <w:i/>
          <w:color w:val="010101"/>
          <w:w w:val="105"/>
          <w:sz w:val="22"/>
        </w:rPr>
        <w:t>Pz </w:t>
      </w:r>
      <w:r>
        <w:rPr>
          <w:color w:val="010101"/>
          <w:w w:val="105"/>
          <w:sz w:val="19"/>
        </w:rPr>
        <w:t>and </w:t>
      </w:r>
      <w:r>
        <w:rPr>
          <w:i/>
          <w:color w:val="010101"/>
          <w:w w:val="105"/>
          <w:sz w:val="22"/>
        </w:rPr>
        <w:t>d </w:t>
      </w:r>
      <w:r>
        <w:rPr>
          <w:color w:val="010101"/>
          <w:w w:val="105"/>
          <w:sz w:val="19"/>
        </w:rPr>
        <w:t>are known.</w:t>
      </w:r>
    </w:p>
    <w:p>
      <w:pPr>
        <w:spacing w:line="256" w:lineRule="auto" w:before="6"/>
        <w:ind w:left="114" w:right="105" w:firstLine="204"/>
        <w:jc w:val="left"/>
        <w:rPr>
          <w:sz w:val="19"/>
        </w:rPr>
      </w:pPr>
      <w:r>
        <w:rPr>
          <w:color w:val="010101"/>
          <w:w w:val="110"/>
          <w:sz w:val="19"/>
        </w:rPr>
        <w:t>Formula (4.13) lends itself readily to  a  verbal  interpretation. When  premiums  are paid  on the annual basis,  the  insurer  receives a fu!! year's premium in advance each ycar including the year in </w:t>
      </w:r>
      <w:r>
        <w:rPr>
          <w:color w:val="010101"/>
          <w:w w:val="107"/>
          <w:sz w:val="19"/>
        </w:rPr>
        <w:t>which </w:t>
      </w:r>
      <w:r>
        <w:rPr>
          <w:color w:val="010101"/>
          <w:w w:val="117"/>
          <w:sz w:val="19"/>
        </w:rPr>
        <w:t>death </w:t>
      </w:r>
      <w:r>
        <w:rPr>
          <w:color w:val="010101"/>
          <w:w w:val="108"/>
          <w:sz w:val="19"/>
        </w:rPr>
        <w:t>occurs.  </w:t>
      </w:r>
      <w:r>
        <w:rPr>
          <w:color w:val="010101"/>
          <w:w w:val="108"/>
          <w:sz w:val="19"/>
        </w:rPr>
        <w:t>When  </w:t>
      </w:r>
      <w:r>
        <w:rPr>
          <w:color w:val="010101"/>
          <w:w w:val="112"/>
          <w:sz w:val="19"/>
        </w:rPr>
        <w:t>fractional  </w:t>
      </w:r>
      <w:r>
        <w:rPr>
          <w:color w:val="010101"/>
          <w:w w:val="109"/>
          <w:sz w:val="19"/>
        </w:rPr>
        <w:t>premiums  </w:t>
      </w:r>
      <w:r>
        <w:rPr>
          <w:color w:val="010101"/>
          <w:w w:val="94"/>
          <w:sz w:val="19"/>
        </w:rPr>
        <w:t>of  </w:t>
      </w:r>
      <w:r>
        <w:rPr>
          <w:color w:val="010101"/>
          <w:w w:val="115"/>
          <w:sz w:val="19"/>
        </w:rPr>
        <w:t>the  </w:t>
      </w:r>
      <w:r>
        <w:rPr>
          <w:color w:val="010101"/>
          <w:w w:val="90"/>
          <w:sz w:val="19"/>
        </w:rPr>
        <w:t>P&lt;•&gt;  </w:t>
      </w:r>
      <w:r>
        <w:rPr>
          <w:color w:val="010101"/>
          <w:w w:val="116"/>
          <w:sz w:val="19"/>
        </w:rPr>
        <w:t>type </w:t>
      </w:r>
      <w:r>
        <w:rPr>
          <w:color w:val="010101"/>
          <w:w w:val="110"/>
          <w:sz w:val="19"/>
        </w:rPr>
        <w:t>are payable, there are two significant diff erences. </w:t>
      </w:r>
      <w:r>
        <w:rPr>
          <w:color w:val="010101"/>
          <w:w w:val="110"/>
          <w:sz w:val="22"/>
        </w:rPr>
        <w:t>In </w:t>
      </w:r>
      <w:r>
        <w:rPr>
          <w:color w:val="010101"/>
          <w:w w:val="110"/>
          <w:sz w:val="19"/>
        </w:rPr>
        <w:t>the first place, the insurer earns less interest on the fractional premiums, since he receives them  on the average at a later date. Secondly, he receives</w:t>
      </w:r>
      <w:r>
        <w:rPr>
          <w:color w:val="010101"/>
          <w:spacing w:val="52"/>
          <w:w w:val="110"/>
          <w:sz w:val="19"/>
        </w:rPr>
        <w:t> </w:t>
      </w:r>
      <w:r>
        <w:rPr>
          <w:color w:val="010101"/>
          <w:w w:val="110"/>
          <w:sz w:val="19"/>
        </w:rPr>
        <w:t>less premium  on  the average  in  the year  of  death,  the fractional  </w:t>
      </w:r>
      <w:r>
        <w:rPr>
          <w:color w:val="010101"/>
          <w:spacing w:val="22"/>
          <w:w w:val="110"/>
          <w:sz w:val="19"/>
        </w:rPr>
        <w:t> </w:t>
      </w:r>
      <w:r>
        <w:rPr>
          <w:color w:val="575757"/>
          <w:w w:val="95"/>
          <w:sz w:val="19"/>
        </w:rPr>
        <w:t>·</w:t>
      </w:r>
    </w:p>
    <w:p>
      <w:pPr>
        <w:spacing w:line="261" w:lineRule="auto" w:before="7"/>
        <w:ind w:left="114" w:right="232" w:firstLine="3"/>
        <w:jc w:val="both"/>
        <w:rPr>
          <w:sz w:val="19"/>
        </w:rPr>
      </w:pPr>
      <w:r>
        <w:rPr>
          <w:color w:val="010101"/>
          <w:w w:val="110"/>
          <w:sz w:val="19"/>
        </w:rPr>
        <w:t>premiums for the balance of the year not being collectible  after death has occurred. To compensate for these two differences, the amount of premium must be greatcr when paid on t he fractional basis than when  paid  once a  year.</w:t>
      </w:r>
    </w:p>
    <w:p>
      <w:pPr>
        <w:spacing w:after="0" w:line="261" w:lineRule="auto"/>
        <w:jc w:val="both"/>
        <w:rPr>
          <w:sz w:val="19"/>
        </w:rPr>
        <w:sectPr>
          <w:type w:val="continuous"/>
          <w:pgSz w:w="7200" w:h="11340"/>
          <w:pgMar w:top="1100" w:bottom="0" w:left="660" w:right="440"/>
        </w:sectPr>
      </w:pPr>
    </w:p>
    <w:p>
      <w:pPr>
        <w:tabs>
          <w:tab w:pos="1971" w:val="left" w:leader="none"/>
          <w:tab w:pos="5379" w:val="left" w:leader="none"/>
        </w:tabs>
        <w:spacing w:before="70"/>
        <w:ind w:left="331" w:right="0" w:hanging="209"/>
        <w:jc w:val="left"/>
        <w:rPr>
          <w:rFonts w:ascii="Arial"/>
          <w:b/>
          <w:sz w:val="18"/>
        </w:rPr>
      </w:pPr>
      <w:r>
        <w:rPr>
          <w:rFonts w:ascii="Courier New"/>
          <w:color w:val="010101"/>
          <w:spacing w:val="-28"/>
          <w:sz w:val="22"/>
        </w:rPr>
        <w:t>86</w:t>
        <w:tab/>
      </w:r>
      <w:r>
        <w:rPr>
          <w:b/>
          <w:color w:val="010101"/>
          <w:position w:val="1"/>
          <w:sz w:val="15"/>
        </w:rPr>
        <w:t>NET  </w:t>
      </w:r>
      <w:r>
        <w:rPr>
          <w:b/>
          <w:color w:val="010101"/>
          <w:spacing w:val="1"/>
          <w:position w:val="1"/>
          <w:sz w:val="15"/>
        </w:rPr>
        <w:t> </w:t>
      </w:r>
      <w:r>
        <w:rPr>
          <w:b/>
          <w:color w:val="010101"/>
          <w:position w:val="1"/>
          <w:sz w:val="15"/>
        </w:rPr>
        <w:t>ANNUAL  </w:t>
      </w:r>
      <w:r>
        <w:rPr>
          <w:b/>
          <w:color w:val="010101"/>
          <w:spacing w:val="14"/>
          <w:position w:val="1"/>
          <w:sz w:val="15"/>
        </w:rPr>
        <w:t> </w:t>
      </w:r>
      <w:r>
        <w:rPr>
          <w:b/>
          <w:color w:val="010101"/>
          <w:position w:val="1"/>
          <w:sz w:val="15"/>
        </w:rPr>
        <w:t>PREMIUMS</w:t>
        <w:tab/>
      </w:r>
      <w:r>
        <w:rPr>
          <w:b/>
          <w:color w:val="010101"/>
          <w:w w:val="90"/>
          <w:sz w:val="19"/>
        </w:rPr>
        <w:t>(CH.</w:t>
      </w:r>
      <w:r>
        <w:rPr>
          <w:b/>
          <w:color w:val="010101"/>
          <w:spacing w:val="-3"/>
          <w:w w:val="90"/>
          <w:sz w:val="19"/>
        </w:rPr>
        <w:t> </w:t>
      </w:r>
      <w:r>
        <w:rPr>
          <w:rFonts w:ascii="Arial"/>
          <w:b/>
          <w:color w:val="010101"/>
          <w:w w:val="90"/>
          <w:sz w:val="18"/>
        </w:rPr>
        <w:t>4</w:t>
      </w:r>
    </w:p>
    <w:p>
      <w:pPr>
        <w:pStyle w:val="BodyText"/>
        <w:spacing w:before="7"/>
        <w:rPr>
          <w:rFonts w:ascii="Arial"/>
          <w:b/>
          <w:sz w:val="18"/>
        </w:rPr>
      </w:pPr>
    </w:p>
    <w:p>
      <w:pPr>
        <w:pStyle w:val="BodyText"/>
        <w:spacing w:line="247" w:lineRule="auto"/>
        <w:ind w:left="127" w:right="133" w:firstLine="204"/>
      </w:pPr>
      <w:r>
        <w:rPr>
          <w:color w:val="010101"/>
          <w:w w:val="105"/>
        </w:rPr>
        <w:t>Bearing these facts in mind, let us retum to  formula  (4.13), which we now write in the following form:</w:t>
      </w:r>
    </w:p>
    <w:p>
      <w:pPr>
        <w:tabs>
          <w:tab w:pos="5343" w:val="left" w:leader="none"/>
        </w:tabs>
        <w:spacing w:line="293" w:lineRule="exact" w:before="85"/>
        <w:ind w:left="977" w:right="0" w:firstLine="0"/>
        <w:jc w:val="left"/>
        <w:rPr>
          <w:rFonts w:ascii="Arial" w:hAnsi="Arial"/>
          <w:sz w:val="19"/>
        </w:rPr>
      </w:pPr>
      <w:r>
        <w:rPr>
          <w:rFonts w:ascii="Arial" w:hAnsi="Arial"/>
          <w:color w:val="010101"/>
          <w:w w:val="103"/>
          <w:sz w:val="21"/>
        </w:rPr>
        <w:t>p&lt;</w:t>
      </w:r>
      <w:r>
        <w:rPr>
          <w:rFonts w:ascii="Arial" w:hAnsi="Arial"/>
          <w:color w:val="010101"/>
          <w:spacing w:val="-21"/>
          <w:w w:val="103"/>
          <w:sz w:val="21"/>
        </w:rPr>
        <w:t>•</w:t>
      </w:r>
      <w:r>
        <w:rPr>
          <w:rFonts w:ascii="Arial" w:hAnsi="Arial"/>
          <w:color w:val="010101"/>
          <w:w w:val="37"/>
          <w:sz w:val="21"/>
        </w:rPr>
        <w:t>&gt;</w:t>
      </w:r>
      <w:r>
        <w:rPr>
          <w:rFonts w:ascii="Arial" w:hAnsi="Arial"/>
          <w:color w:val="010101"/>
          <w:sz w:val="21"/>
        </w:rPr>
        <w:t> </w:t>
      </w:r>
      <w:r>
        <w:rPr>
          <w:rFonts w:ascii="Arial" w:hAnsi="Arial"/>
          <w:color w:val="010101"/>
          <w:spacing w:val="-17"/>
          <w:sz w:val="21"/>
        </w:rPr>
        <w:t> </w:t>
      </w:r>
      <w:r>
        <w:rPr>
          <w:rFonts w:ascii="Arial" w:hAnsi="Arial"/>
          <w:color w:val="010101"/>
          <w:w w:val="51"/>
          <w:sz w:val="24"/>
        </w:rPr>
        <w:t>==</w:t>
      </w:r>
      <w:r>
        <w:rPr>
          <w:rFonts w:ascii="Arial" w:hAnsi="Arial"/>
          <w:color w:val="010101"/>
          <w:spacing w:val="28"/>
          <w:sz w:val="24"/>
        </w:rPr>
        <w:t> </w:t>
      </w:r>
      <w:r>
        <w:rPr>
          <w:i/>
          <w:color w:val="010101"/>
          <w:w w:val="110"/>
          <w:sz w:val="22"/>
        </w:rPr>
        <w:t>p</w:t>
      </w:r>
      <w:r>
        <w:rPr>
          <w:i/>
          <w:color w:val="010101"/>
          <w:sz w:val="22"/>
        </w:rPr>
        <w:t>  </w:t>
      </w:r>
      <w:r>
        <w:rPr>
          <w:i/>
          <w:color w:val="010101"/>
          <w:spacing w:val="4"/>
          <w:sz w:val="22"/>
        </w:rPr>
        <w:t> </w:t>
      </w:r>
      <w:r>
        <w:rPr>
          <w:rFonts w:ascii="Arial" w:hAnsi="Arial"/>
          <w:color w:val="010101"/>
          <w:w w:val="101"/>
          <w:sz w:val="32"/>
        </w:rPr>
        <w:t>+</w:t>
      </w:r>
      <w:r>
        <w:rPr>
          <w:rFonts w:ascii="Arial" w:hAnsi="Arial"/>
          <w:color w:val="010101"/>
          <w:spacing w:val="-43"/>
          <w:sz w:val="32"/>
        </w:rPr>
        <w:t> </w:t>
      </w:r>
      <w:r>
        <w:rPr>
          <w:i/>
          <w:color w:val="010101"/>
          <w:w w:val="110"/>
          <w:sz w:val="21"/>
        </w:rPr>
        <w:t>m</w:t>
      </w:r>
      <w:r>
        <w:rPr>
          <w:i/>
          <w:color w:val="010101"/>
          <w:sz w:val="21"/>
        </w:rPr>
        <w:t> </w:t>
      </w:r>
      <w:r>
        <w:rPr>
          <w:i/>
          <w:color w:val="010101"/>
          <w:spacing w:val="-23"/>
          <w:sz w:val="21"/>
        </w:rPr>
        <w:t> </w:t>
      </w:r>
      <w:r>
        <w:rPr>
          <w:color w:val="010101"/>
          <w:w w:val="274"/>
          <w:sz w:val="21"/>
        </w:rPr>
        <w:t>-</w:t>
      </w:r>
      <w:r>
        <w:rPr>
          <w:color w:val="010101"/>
          <w:spacing w:val="9"/>
          <w:sz w:val="21"/>
        </w:rPr>
        <w:t> </w:t>
      </w:r>
      <w:r>
        <w:rPr>
          <w:rFonts w:ascii="Arial" w:hAnsi="Arial"/>
          <w:color w:val="010101"/>
          <w:spacing w:val="5"/>
          <w:w w:val="133"/>
          <w:sz w:val="19"/>
        </w:rPr>
        <w:t>1</w:t>
      </w:r>
      <w:r>
        <w:rPr>
          <w:rFonts w:ascii="Arial" w:hAnsi="Arial"/>
          <w:color w:val="010101"/>
          <w:w w:val="100"/>
          <w:sz w:val="21"/>
        </w:rPr>
        <w:t>p&lt;</w:t>
      </w:r>
      <w:r>
        <w:rPr>
          <w:rFonts w:ascii="Arial" w:hAnsi="Arial"/>
          <w:color w:val="010101"/>
          <w:spacing w:val="-15"/>
          <w:w w:val="100"/>
          <w:sz w:val="21"/>
        </w:rPr>
        <w:t>•</w:t>
      </w:r>
      <w:r>
        <w:rPr>
          <w:rFonts w:ascii="Arial" w:hAnsi="Arial"/>
          <w:color w:val="010101"/>
          <w:w w:val="37"/>
          <w:sz w:val="21"/>
        </w:rPr>
        <w:t>&gt;</w:t>
      </w:r>
      <w:r>
        <w:rPr>
          <w:rFonts w:ascii="Arial" w:hAnsi="Arial"/>
          <w:color w:val="010101"/>
          <w:spacing w:val="9"/>
          <w:sz w:val="21"/>
        </w:rPr>
        <w:t> </w:t>
      </w:r>
      <w:r>
        <w:rPr>
          <w:i/>
          <w:color w:val="010101"/>
          <w:w w:val="84"/>
          <w:sz w:val="21"/>
        </w:rPr>
        <w:t>d</w:t>
      </w:r>
      <w:r>
        <w:rPr>
          <w:i/>
          <w:color w:val="010101"/>
          <w:sz w:val="21"/>
        </w:rPr>
        <w:t> </w:t>
      </w:r>
      <w:r>
        <w:rPr>
          <w:i/>
          <w:color w:val="010101"/>
          <w:spacing w:val="-4"/>
          <w:sz w:val="21"/>
        </w:rPr>
        <w:t> </w:t>
      </w:r>
      <w:r>
        <w:rPr>
          <w:rFonts w:ascii="Arial" w:hAnsi="Arial"/>
          <w:color w:val="010101"/>
          <w:w w:val="101"/>
          <w:sz w:val="32"/>
        </w:rPr>
        <w:t>+</w:t>
      </w:r>
      <w:r>
        <w:rPr>
          <w:rFonts w:ascii="Arial" w:hAnsi="Arial"/>
          <w:color w:val="010101"/>
          <w:spacing w:val="-36"/>
          <w:sz w:val="32"/>
        </w:rPr>
        <w:t> </w:t>
      </w:r>
      <w:r>
        <w:rPr>
          <w:i/>
          <w:color w:val="010101"/>
          <w:w w:val="105"/>
          <w:sz w:val="21"/>
        </w:rPr>
        <w:t>m</w:t>
      </w:r>
      <w:r>
        <w:rPr>
          <w:i/>
          <w:color w:val="010101"/>
          <w:sz w:val="21"/>
        </w:rPr>
        <w:t> </w:t>
      </w:r>
      <w:r>
        <w:rPr>
          <w:i/>
          <w:color w:val="010101"/>
          <w:spacing w:val="-19"/>
          <w:sz w:val="21"/>
        </w:rPr>
        <w:t> </w:t>
      </w:r>
      <w:r>
        <w:rPr>
          <w:color w:val="010101"/>
          <w:w w:val="267"/>
          <w:sz w:val="21"/>
        </w:rPr>
        <w:t>-</w:t>
      </w:r>
      <w:r>
        <w:rPr>
          <w:color w:val="010101"/>
          <w:spacing w:val="14"/>
          <w:sz w:val="21"/>
        </w:rPr>
        <w:t> </w:t>
      </w:r>
      <w:r>
        <w:rPr>
          <w:rFonts w:ascii="Arial" w:hAnsi="Arial"/>
          <w:color w:val="010101"/>
          <w:spacing w:val="5"/>
          <w:w w:val="133"/>
          <w:sz w:val="19"/>
        </w:rPr>
        <w:t>1</w:t>
      </w:r>
      <w:r>
        <w:rPr>
          <w:rFonts w:ascii="Arial" w:hAnsi="Arial"/>
          <w:color w:val="010101"/>
          <w:w w:val="100"/>
          <w:sz w:val="21"/>
        </w:rPr>
        <w:t>p&lt;</w:t>
      </w:r>
      <w:r>
        <w:rPr>
          <w:rFonts w:ascii="Arial" w:hAnsi="Arial"/>
          <w:color w:val="010101"/>
          <w:spacing w:val="-11"/>
          <w:w w:val="100"/>
          <w:sz w:val="21"/>
        </w:rPr>
        <w:t>•</w:t>
      </w:r>
      <w:r>
        <w:rPr>
          <w:rFonts w:ascii="Arial" w:hAnsi="Arial"/>
          <w:color w:val="010101"/>
          <w:w w:val="87"/>
          <w:sz w:val="21"/>
        </w:rPr>
        <w:t>&gt;p</w:t>
      </w:r>
      <w:r>
        <w:rPr>
          <w:rFonts w:ascii="Arial" w:hAnsi="Arial"/>
          <w:color w:val="010101"/>
          <w:sz w:val="21"/>
        </w:rPr>
        <w:tab/>
      </w:r>
      <w:r>
        <w:rPr>
          <w:rFonts w:ascii="Arial" w:hAnsi="Arial"/>
          <w:color w:val="010101"/>
          <w:w w:val="106"/>
          <w:sz w:val="19"/>
        </w:rPr>
        <w:t>(</w:t>
      </w:r>
      <w:r>
        <w:rPr>
          <w:rFonts w:ascii="Arial" w:hAnsi="Arial"/>
          <w:color w:val="010101"/>
          <w:w w:val="106"/>
          <w:sz w:val="19"/>
        </w:rPr>
        <w:t>4</w:t>
      </w:r>
      <w:r>
        <w:rPr>
          <w:rFonts w:ascii="Arial" w:hAnsi="Arial"/>
          <w:color w:val="010101"/>
          <w:spacing w:val="6"/>
          <w:w w:val="106"/>
          <w:sz w:val="19"/>
        </w:rPr>
        <w:t>.</w:t>
      </w:r>
      <w:r>
        <w:rPr>
          <w:rFonts w:ascii="Arial" w:hAnsi="Arial"/>
          <w:color w:val="010101"/>
          <w:spacing w:val="-47"/>
          <w:w w:val="111"/>
          <w:sz w:val="19"/>
        </w:rPr>
        <w:t>1</w:t>
      </w:r>
      <w:r>
        <w:rPr>
          <w:rFonts w:ascii="Arial" w:hAnsi="Arial"/>
          <w:color w:val="010101"/>
          <w:w w:val="107"/>
          <w:sz w:val="19"/>
        </w:rPr>
        <w:t>4</w:t>
      </w:r>
      <w:r>
        <w:rPr>
          <w:rFonts w:ascii="Arial" w:hAnsi="Arial"/>
          <w:color w:val="010101"/>
          <w:w w:val="107"/>
          <w:sz w:val="19"/>
        </w:rPr>
        <w:t>)</w:t>
      </w:r>
    </w:p>
    <w:p>
      <w:pPr>
        <w:tabs>
          <w:tab w:pos="568" w:val="left" w:leader="none"/>
          <w:tab w:pos="848" w:val="left" w:leader="none"/>
          <w:tab w:pos="1401" w:val="left" w:leader="none"/>
          <w:tab w:pos="2010" w:val="left" w:leader="none"/>
          <w:tab w:pos="2900" w:val="left" w:leader="none"/>
          <w:tab w:pos="3510" w:val="left" w:leader="none"/>
          <w:tab w:pos="3890" w:val="left" w:leader="none"/>
        </w:tabs>
        <w:spacing w:line="227" w:lineRule="exact" w:before="0"/>
        <w:ind w:left="141" w:right="0" w:firstLine="0"/>
        <w:jc w:val="center"/>
        <w:rPr>
          <w:b/>
          <w:sz w:val="13"/>
        </w:rPr>
      </w:pPr>
      <w:r>
        <w:rPr>
          <w:b/>
          <w:color w:val="010101"/>
          <w:w w:val="165"/>
          <w:sz w:val="13"/>
        </w:rPr>
        <w:t>s</w:t>
        <w:tab/>
      </w:r>
      <w:r>
        <w:rPr>
          <w:color w:val="010101"/>
          <w:w w:val="205"/>
          <w:sz w:val="13"/>
        </w:rPr>
        <w:t>.</w:t>
        <w:tab/>
      </w:r>
      <w:r>
        <w:rPr>
          <w:color w:val="010101"/>
          <w:w w:val="165"/>
          <w:sz w:val="12"/>
        </w:rPr>
        <w:t>s</w:t>
        <w:tab/>
      </w:r>
      <w:r>
        <w:rPr>
          <w:color w:val="010101"/>
          <w:spacing w:val="-5"/>
          <w:w w:val="130"/>
          <w:position w:val="-8"/>
          <w:sz w:val="20"/>
        </w:rPr>
        <w:t>2</w:t>
      </w:r>
      <w:r>
        <w:rPr>
          <w:rFonts w:ascii="Arial"/>
          <w:color w:val="010101"/>
          <w:spacing w:val="-5"/>
          <w:w w:val="130"/>
          <w:sz w:val="18"/>
        </w:rPr>
        <w:t>m</w:t>
        <w:tab/>
      </w:r>
      <w:r>
        <w:rPr>
          <w:color w:val="010101"/>
          <w:w w:val="165"/>
          <w:sz w:val="12"/>
        </w:rPr>
        <w:t>s</w:t>
        <w:tab/>
      </w:r>
      <w:r>
        <w:rPr>
          <w:color w:val="010101"/>
          <w:spacing w:val="-5"/>
          <w:w w:val="130"/>
          <w:position w:val="-8"/>
          <w:sz w:val="20"/>
        </w:rPr>
        <w:t>2</w:t>
      </w:r>
      <w:r>
        <w:rPr>
          <w:rFonts w:ascii="Arial"/>
          <w:color w:val="010101"/>
          <w:spacing w:val="-5"/>
          <w:w w:val="130"/>
          <w:sz w:val="18"/>
        </w:rPr>
        <w:t>m</w:t>
        <w:tab/>
      </w:r>
      <w:r>
        <w:rPr>
          <w:b/>
          <w:color w:val="010101"/>
          <w:w w:val="165"/>
          <w:sz w:val="13"/>
        </w:rPr>
        <w:t>s</w:t>
        <w:tab/>
        <w:t>s</w:t>
      </w:r>
      <w:r>
        <w:rPr>
          <w:b/>
          <w:color w:val="010101"/>
          <w:spacing w:val="-32"/>
          <w:w w:val="165"/>
          <w:sz w:val="13"/>
        </w:rPr>
        <w:t> </w:t>
      </w:r>
      <w:r>
        <w:rPr>
          <w:b/>
          <w:color w:val="010101"/>
          <w:w w:val="165"/>
          <w:sz w:val="13"/>
        </w:rPr>
        <w:t>.</w:t>
      </w:r>
    </w:p>
    <w:p>
      <w:pPr>
        <w:pStyle w:val="BodyText"/>
        <w:spacing w:before="105"/>
        <w:ind w:left="127"/>
      </w:pPr>
      <w:r>
        <w:rPr>
          <w:color w:val="010101"/>
          <w:w w:val="105"/>
        </w:rPr>
        <w:t>Here</w:t>
      </w:r>
      <w:r>
        <w:rPr>
          <w:color w:val="010101"/>
        </w:rPr>
        <w:t> </w:t>
      </w:r>
      <w:r>
        <w:rPr>
          <w:color w:val="010101"/>
          <w:spacing w:val="-24"/>
        </w:rPr>
        <w:t> </w:t>
      </w:r>
      <w:r>
        <w:rPr>
          <w:color w:val="010101"/>
          <w:w w:val="114"/>
          <w:sz w:val="21"/>
        </w:rPr>
        <w:t>it</w:t>
      </w:r>
      <w:r>
        <w:rPr>
          <w:color w:val="010101"/>
          <w:sz w:val="21"/>
        </w:rPr>
        <w:t> </w:t>
      </w:r>
      <w:r>
        <w:rPr>
          <w:color w:val="010101"/>
          <w:spacing w:val="-24"/>
          <w:sz w:val="21"/>
        </w:rPr>
        <w:t> </w:t>
      </w:r>
      <w:r>
        <w:rPr>
          <w:color w:val="010101"/>
          <w:w w:val="101"/>
        </w:rPr>
        <w:t>is</w:t>
      </w:r>
      <w:r>
        <w:rPr>
          <w:color w:val="010101"/>
          <w:spacing w:val="22"/>
        </w:rPr>
        <w:t> </w:t>
      </w:r>
      <w:r>
        <w:rPr>
          <w:color w:val="010101"/>
          <w:w w:val="103"/>
        </w:rPr>
        <w:t>clear</w:t>
      </w:r>
      <w:r>
        <w:rPr>
          <w:color w:val="010101"/>
        </w:rPr>
        <w:t> </w:t>
      </w:r>
      <w:r>
        <w:rPr>
          <w:color w:val="010101"/>
          <w:spacing w:val="-19"/>
        </w:rPr>
        <w:t> </w:t>
      </w:r>
      <w:r>
        <w:rPr>
          <w:color w:val="010101"/>
          <w:w w:val="117"/>
        </w:rPr>
        <w:t>that</w:t>
      </w:r>
      <w:r>
        <w:rPr>
          <w:color w:val="010101"/>
        </w:rPr>
        <w:t> </w:t>
      </w:r>
      <w:r>
        <w:rPr>
          <w:color w:val="010101"/>
          <w:spacing w:val="-9"/>
        </w:rPr>
        <w:t> </w:t>
      </w:r>
      <w:r>
        <w:rPr>
          <w:rFonts w:ascii="Arial" w:hAnsi="Arial"/>
          <w:color w:val="010101"/>
          <w:w w:val="119"/>
          <w:sz w:val="21"/>
        </w:rPr>
        <w:t>P</w:t>
      </w:r>
      <w:r>
        <w:rPr>
          <w:rFonts w:ascii="Arial" w:hAnsi="Arial"/>
          <w:color w:val="010101"/>
          <w:spacing w:val="-19"/>
          <w:sz w:val="21"/>
        </w:rPr>
        <w:t> </w:t>
      </w:r>
      <w:r>
        <w:rPr>
          <w:rFonts w:ascii="Arial" w:hAnsi="Arial"/>
          <w:color w:val="010101"/>
          <w:w w:val="99"/>
          <w:sz w:val="21"/>
        </w:rPr>
        <w:t>"</w:t>
      </w:r>
      <w:r>
        <w:rPr>
          <w:rFonts w:ascii="Arial" w:hAnsi="Arial"/>
          <w:color w:val="010101"/>
          <w:spacing w:val="-21"/>
          <w:w w:val="99"/>
          <w:sz w:val="21"/>
        </w:rPr>
        <w:t>'</w:t>
      </w:r>
      <w:r>
        <w:rPr>
          <w:rFonts w:ascii="Arial" w:hAnsi="Arial"/>
          <w:color w:val="010101"/>
          <w:w w:val="44"/>
          <w:sz w:val="21"/>
        </w:rPr>
        <w:t>&gt;</w:t>
      </w:r>
      <w:r>
        <w:rPr>
          <w:rFonts w:ascii="Arial" w:hAnsi="Arial"/>
          <w:color w:val="010101"/>
          <w:spacing w:val="26"/>
          <w:sz w:val="21"/>
        </w:rPr>
        <w:t> </w:t>
      </w:r>
      <w:r>
        <w:rPr>
          <w:color w:val="010101"/>
          <w:w w:val="100"/>
        </w:rPr>
        <w:t>exceeds</w:t>
      </w:r>
      <w:r>
        <w:rPr>
          <w:color w:val="010101"/>
        </w:rPr>
        <w:t> </w:t>
      </w:r>
      <w:r>
        <w:rPr>
          <w:color w:val="010101"/>
          <w:spacing w:val="-22"/>
        </w:rPr>
        <w:t> </w:t>
      </w:r>
      <w:r>
        <w:rPr>
          <w:i/>
          <w:color w:val="010101"/>
          <w:spacing w:val="10"/>
          <w:w w:val="103"/>
          <w:sz w:val="21"/>
        </w:rPr>
        <w:t>P</w:t>
      </w:r>
      <w:r>
        <w:rPr>
          <w:rFonts w:ascii="Arial" w:hAnsi="Arial"/>
          <w:color w:val="010101"/>
          <w:w w:val="123"/>
          <w:sz w:val="12"/>
        </w:rPr>
        <w:t>s</w:t>
      </w:r>
      <w:r>
        <w:rPr>
          <w:rFonts w:ascii="Arial" w:hAnsi="Arial"/>
          <w:color w:val="010101"/>
          <w:sz w:val="12"/>
        </w:rPr>
        <w:t> </w:t>
      </w:r>
      <w:r>
        <w:rPr>
          <w:rFonts w:ascii="Arial" w:hAnsi="Arial"/>
          <w:color w:val="010101"/>
          <w:spacing w:val="6"/>
          <w:sz w:val="12"/>
        </w:rPr>
        <w:t> </w:t>
      </w:r>
      <w:r>
        <w:rPr>
          <w:color w:val="010101"/>
          <w:w w:val="104"/>
        </w:rPr>
        <w:t>by</w:t>
      </w:r>
      <w:r>
        <w:rPr>
          <w:color w:val="010101"/>
        </w:rPr>
        <w:t> </w:t>
      </w:r>
      <w:r>
        <w:rPr>
          <w:color w:val="010101"/>
          <w:spacing w:val="-7"/>
        </w:rPr>
        <w:t> </w:t>
      </w:r>
      <w:r>
        <w:rPr>
          <w:color w:val="010101"/>
          <w:w w:val="112"/>
        </w:rPr>
        <w:t>the</w:t>
      </w:r>
      <w:r>
        <w:rPr>
          <w:color w:val="010101"/>
          <w:spacing w:val="22"/>
        </w:rPr>
        <w:t> </w:t>
      </w:r>
      <w:r>
        <w:rPr>
          <w:color w:val="010101"/>
          <w:w w:val="106"/>
        </w:rPr>
        <w:t>value</w:t>
      </w:r>
      <w:r>
        <w:rPr>
          <w:color w:val="010101"/>
        </w:rPr>
        <w:t> </w:t>
      </w:r>
      <w:r>
        <w:rPr>
          <w:color w:val="010101"/>
          <w:spacing w:val="-14"/>
        </w:rPr>
        <w:t> </w:t>
      </w:r>
      <w:r>
        <w:rPr>
          <w:color w:val="010101"/>
          <w:w w:val="89"/>
        </w:rPr>
        <w:t>of</w:t>
      </w:r>
      <w:r>
        <w:rPr>
          <w:color w:val="010101"/>
        </w:rPr>
        <w:t> </w:t>
      </w:r>
      <w:r>
        <w:rPr>
          <w:color w:val="010101"/>
          <w:spacing w:val="-6"/>
        </w:rPr>
        <w:t> </w:t>
      </w:r>
      <w:r>
        <w:rPr>
          <w:color w:val="010101"/>
          <w:w w:val="103"/>
        </w:rPr>
        <w:t>two</w:t>
      </w:r>
      <w:r>
        <w:rPr>
          <w:color w:val="010101"/>
        </w:rPr>
        <w:t> </w:t>
      </w:r>
      <w:r>
        <w:rPr>
          <w:color w:val="010101"/>
          <w:spacing w:val="-14"/>
        </w:rPr>
        <w:t> </w:t>
      </w:r>
      <w:r>
        <w:rPr>
          <w:color w:val="010101"/>
          <w:w w:val="105"/>
        </w:rPr>
        <w:t>a</w:t>
      </w:r>
      <w:r>
        <w:rPr>
          <w:color w:val="010101"/>
          <w:spacing w:val="4"/>
          <w:w w:val="105"/>
        </w:rPr>
        <w:t>d</w:t>
      </w:r>
      <w:r>
        <w:rPr>
          <w:color w:val="010101"/>
          <w:w w:val="105"/>
        </w:rPr>
        <w:t>just­</w:t>
      </w:r>
    </w:p>
    <w:p>
      <w:pPr>
        <w:pStyle w:val="BodyText"/>
        <w:spacing w:line="124" w:lineRule="exact" w:before="9"/>
        <w:ind w:right="1866"/>
        <w:jc w:val="right"/>
      </w:pPr>
      <w:r>
        <w:rPr>
          <w:color w:val="010101"/>
          <w:w w:val="121"/>
        </w:rPr>
        <w:t>1</w:t>
      </w:r>
    </w:p>
    <w:p>
      <w:pPr>
        <w:spacing w:after="0" w:line="124" w:lineRule="exact"/>
        <w:jc w:val="right"/>
        <w:sectPr>
          <w:pgSz w:w="7200" w:h="11340"/>
          <w:pgMar w:top="480" w:bottom="280" w:left="680" w:right="540"/>
        </w:sectPr>
      </w:pPr>
    </w:p>
    <w:p>
      <w:pPr>
        <w:pStyle w:val="BodyText"/>
        <w:spacing w:line="222" w:lineRule="exact"/>
        <w:ind w:left="130"/>
        <w:rPr>
          <w:rFonts w:ascii="Arial"/>
          <w:i/>
          <w:sz w:val="18"/>
        </w:rPr>
      </w:pPr>
      <w:r>
        <w:rPr/>
        <w:pict>
          <v:line style="position:absolute;mso-position-horizontal-relative:page;mso-position-vertical-relative:paragraph;z-index:-728488" from="213.273499pt,12.420061pt" to="226.188299pt,12.420061pt" stroked="true" strokeweight="6.278027pt" strokecolor="#000000">
            <w10:wrap type="none"/>
          </v:line>
        </w:pict>
      </w:r>
      <w:r>
        <w:rPr>
          <w:color w:val="010101"/>
          <w:w w:val="110"/>
        </w:rPr>
        <w:t>ment  terms.  The  first  adjustment, </w:t>
      </w:r>
      <w:r>
        <w:rPr>
          <w:rFonts w:ascii="Arial"/>
          <w:i/>
          <w:color w:val="010101"/>
          <w:w w:val="110"/>
          <w:sz w:val="18"/>
        </w:rPr>
        <w:t>m</w:t>
      </w:r>
    </w:p>
    <w:p>
      <w:pPr>
        <w:tabs>
          <w:tab w:pos="848" w:val="left" w:leader="none"/>
        </w:tabs>
        <w:spacing w:line="92" w:lineRule="exact" w:before="91"/>
        <w:ind w:left="152" w:right="0" w:firstLine="0"/>
        <w:jc w:val="left"/>
        <w:rPr>
          <w:b/>
          <w:i/>
          <w:sz w:val="21"/>
        </w:rPr>
      </w:pPr>
      <w:r>
        <w:rPr/>
        <w:pict>
          <v:shape style="position:absolute;margin-left:73.72197pt;margin-top:9.172672pt;width:22.45pt;height:15.5pt;mso-position-horizontal-relative:page;mso-position-vertical-relative:paragraph;z-index:-728392" type="#_x0000_t202" filled="false" stroked="false">
            <v:textbox inset="0,0,0,0">
              <w:txbxContent>
                <w:p>
                  <w:pPr>
                    <w:spacing w:line="310" w:lineRule="exact" w:before="0"/>
                    <w:ind w:left="0" w:right="-19" w:firstLine="0"/>
                    <w:jc w:val="left"/>
                    <w:rPr>
                      <w:rFonts w:ascii="Arial" w:hAnsi="Arial"/>
                      <w:sz w:val="17"/>
                    </w:rPr>
                  </w:pPr>
                  <w:r>
                    <w:rPr>
                      <w:rFonts w:ascii="Arial" w:hAnsi="Arial"/>
                      <w:color w:val="010101"/>
                      <w:w w:val="135"/>
                      <w:sz w:val="31"/>
                    </w:rPr>
                    <w:t>¿</w:t>
                  </w:r>
                  <w:r>
                    <w:rPr>
                      <w:rFonts w:ascii="Arial" w:hAnsi="Arial"/>
                      <w:i/>
                      <w:color w:val="010101"/>
                      <w:w w:val="135"/>
                      <w:sz w:val="17"/>
                    </w:rPr>
                    <w:t>t</w:t>
                  </w:r>
                  <w:r>
                    <w:rPr>
                      <w:rFonts w:ascii="Arial" w:hAnsi="Arial"/>
                      <w:i/>
                      <w:color w:val="010101"/>
                      <w:spacing w:val="-12"/>
                      <w:w w:val="135"/>
                      <w:sz w:val="17"/>
                    </w:rPr>
                    <w:t> </w:t>
                  </w:r>
                  <w:r>
                    <w:rPr>
                      <w:rFonts w:ascii="Arial" w:hAnsi="Arial"/>
                      <w:color w:val="010101"/>
                      <w:w w:val="135"/>
                      <w:sz w:val="17"/>
                    </w:rPr>
                    <w:t>·</w:t>
                  </w:r>
                </w:p>
              </w:txbxContent>
            </v:textbox>
            <w10:wrap type="none"/>
          </v:shape>
        </w:pict>
      </w:r>
      <w:r>
        <w:rPr>
          <w:b/>
          <w:color w:val="010101"/>
          <w:w w:val="110"/>
          <w:sz w:val="19"/>
        </w:rPr>
        <w:t>l</w:t>
        <w:tab/>
      </w:r>
      <w:r>
        <w:rPr>
          <w:color w:val="010101"/>
          <w:spacing w:val="-10"/>
          <w:w w:val="160"/>
          <w:sz w:val="19"/>
        </w:rPr>
        <w:t>-</w:t>
      </w:r>
      <w:r>
        <w:rPr>
          <w:color w:val="010101"/>
          <w:spacing w:val="-10"/>
          <w:w w:val="160"/>
          <w:position w:val="10"/>
          <w:sz w:val="13"/>
        </w:rPr>
        <w:t>1  </w:t>
      </w:r>
      <w:r>
        <w:rPr>
          <w:color w:val="010101"/>
          <w:spacing w:val="31"/>
          <w:w w:val="160"/>
          <w:position w:val="10"/>
          <w:sz w:val="13"/>
        </w:rPr>
        <w:t> </w:t>
      </w:r>
      <w:r>
        <w:rPr>
          <w:b/>
          <w:i/>
          <w:color w:val="010101"/>
          <w:w w:val="110"/>
          <w:sz w:val="21"/>
        </w:rPr>
        <w:t>d</w:t>
      </w:r>
    </w:p>
    <w:p>
      <w:pPr>
        <w:spacing w:line="148" w:lineRule="auto" w:before="50"/>
        <w:ind w:left="17" w:right="0" w:firstLine="93"/>
        <w:jc w:val="left"/>
        <w:rPr>
          <w:sz w:val="20"/>
        </w:rPr>
      </w:pPr>
      <w:r>
        <w:rPr/>
        <w:br w:type="column"/>
      </w:r>
      <w:r>
        <w:rPr>
          <w:color w:val="010101"/>
          <w:w w:val="600"/>
          <w:sz w:val="20"/>
        </w:rPr>
        <w:t>:</w:t>
      </w:r>
      <w:r>
        <w:rPr>
          <w:color w:val="010101"/>
          <w:spacing w:val="-287"/>
          <w:w w:val="600"/>
          <w:sz w:val="20"/>
        </w:rPr>
        <w:t> </w:t>
      </w:r>
      <w:r>
        <w:rPr>
          <w:rFonts w:ascii="Arial" w:hAnsi="Arial"/>
          <w:color w:val="010101"/>
          <w:w w:val="142"/>
          <w:sz w:val="22"/>
        </w:rPr>
        <w:t>p </w:t>
      </w:r>
      <w:r>
        <w:rPr>
          <w:rFonts w:ascii="Arial" w:hAnsi="Arial"/>
          <w:color w:val="010101"/>
          <w:spacing w:val="-15"/>
          <w:w w:val="102"/>
          <w:sz w:val="22"/>
        </w:rPr>
        <w:t>•&gt; </w:t>
      </w:r>
      <w:r>
        <w:rPr>
          <w:rFonts w:ascii="Arial" w:hAnsi="Arial"/>
          <w:i/>
          <w:color w:val="010101"/>
          <w:spacing w:val="-15"/>
          <w:w w:val="111"/>
          <w:sz w:val="20"/>
        </w:rPr>
        <w:t>d, </w:t>
      </w:r>
      <w:r>
        <w:rPr>
          <w:color w:val="010101"/>
          <w:spacing w:val="-15"/>
          <w:w w:val="107"/>
          <w:sz w:val="20"/>
        </w:rPr>
        <w:t>is  </w:t>
      </w:r>
      <w:r>
        <w:rPr>
          <w:color w:val="010101"/>
          <w:spacing w:val="-15"/>
          <w:w w:val="106"/>
          <w:sz w:val="20"/>
        </w:rPr>
        <w:t>equal  </w:t>
      </w:r>
      <w:r>
        <w:rPr>
          <w:color w:val="010101"/>
          <w:spacing w:val="-15"/>
          <w:w w:val="112"/>
          <w:sz w:val="20"/>
        </w:rPr>
        <w:t>to </w:t>
      </w:r>
      <w:r>
        <w:rPr>
          <w:color w:val="010101"/>
          <w:spacing w:val="-15"/>
          <w:w w:val="115"/>
          <w:sz w:val="20"/>
        </w:rPr>
        <w:t>2</w:t>
      </w:r>
    </w:p>
    <w:p>
      <w:pPr>
        <w:spacing w:after="0" w:line="148" w:lineRule="auto"/>
        <w:jc w:val="left"/>
        <w:rPr>
          <w:sz w:val="20"/>
        </w:rPr>
        <w:sectPr>
          <w:type w:val="continuous"/>
          <w:pgSz w:w="7200" w:h="11340"/>
          <w:pgMar w:top="1100" w:bottom="0" w:left="680" w:right="540"/>
          <w:cols w:num="2" w:equalWidth="0">
            <w:col w:w="3528" w:space="40"/>
            <w:col w:w="2412"/>
          </w:cols>
        </w:sectPr>
      </w:pPr>
    </w:p>
    <w:p>
      <w:pPr>
        <w:pStyle w:val="BodyText"/>
        <w:tabs>
          <w:tab w:pos="1501" w:val="left" w:leader="none"/>
        </w:tabs>
        <w:spacing w:line="175" w:lineRule="exact" w:before="54"/>
        <w:ind w:left="152"/>
      </w:pPr>
      <w:r>
        <w:rPr>
          <w:rFonts w:ascii="Arial"/>
          <w:color w:val="010101"/>
          <w:spacing w:val="17"/>
          <w:w w:val="236"/>
          <w:sz w:val="21"/>
        </w:rPr>
        <w:t>-</w:t>
      </w:r>
      <w:r>
        <w:rPr>
          <w:rFonts w:ascii="Arial"/>
          <w:color w:val="010101"/>
          <w:spacing w:val="-17"/>
          <w:w w:val="157"/>
          <w:sz w:val="21"/>
        </w:rPr>
        <w:t>P</w:t>
      </w:r>
      <w:r>
        <w:rPr>
          <w:rFonts w:ascii="Arial"/>
          <w:color w:val="010101"/>
          <w:w w:val="103"/>
          <w:sz w:val="21"/>
        </w:rPr>
        <w:t>"</w:t>
      </w:r>
      <w:r>
        <w:rPr>
          <w:rFonts w:ascii="Arial"/>
          <w:color w:val="010101"/>
          <w:spacing w:val="-19"/>
          <w:w w:val="103"/>
          <w:sz w:val="21"/>
        </w:rPr>
        <w:t>'</w:t>
      </w:r>
      <w:r>
        <w:rPr>
          <w:rFonts w:ascii="Arial"/>
          <w:color w:val="010101"/>
          <w:w w:val="37"/>
          <w:sz w:val="21"/>
        </w:rPr>
        <w:t>&gt;</w:t>
      </w:r>
      <w:r>
        <w:rPr>
          <w:rFonts w:ascii="Arial"/>
          <w:color w:val="010101"/>
          <w:sz w:val="21"/>
        </w:rPr>
        <w:tab/>
      </w:r>
      <w:r>
        <w:rPr>
          <w:color w:val="010101"/>
          <w:w w:val="109"/>
        </w:rPr>
        <w:t>and</w:t>
      </w:r>
      <w:r>
        <w:rPr>
          <w:color w:val="010101"/>
        </w:rPr>
        <w:t>  </w:t>
      </w:r>
      <w:r>
        <w:rPr>
          <w:color w:val="010101"/>
          <w:spacing w:val="-23"/>
        </w:rPr>
        <w:t> </w:t>
      </w:r>
      <w:r>
        <w:rPr>
          <w:color w:val="010101"/>
          <w:w w:val="105"/>
        </w:rPr>
        <w:t>represents</w:t>
      </w:r>
      <w:r>
        <w:rPr>
          <w:color w:val="010101"/>
        </w:rPr>
        <w:t>  </w:t>
      </w:r>
      <w:r>
        <w:rPr>
          <w:color w:val="010101"/>
          <w:spacing w:val="-15"/>
        </w:rPr>
        <w:t> </w:t>
      </w:r>
      <w:r>
        <w:rPr>
          <w:color w:val="010101"/>
          <w:w w:val="111"/>
        </w:rPr>
        <w:t>the</w:t>
      </w:r>
      <w:r>
        <w:rPr>
          <w:color w:val="010101"/>
        </w:rPr>
        <w:t>  </w:t>
      </w:r>
      <w:r>
        <w:rPr>
          <w:color w:val="010101"/>
          <w:spacing w:val="-22"/>
        </w:rPr>
        <w:t> </w:t>
      </w:r>
      <w:r>
        <w:rPr>
          <w:color w:val="010101"/>
          <w:w w:val="106"/>
        </w:rPr>
        <w:t>approximate</w:t>
      </w:r>
      <w:r>
        <w:rPr>
          <w:color w:val="010101"/>
        </w:rPr>
        <w:t>  </w:t>
      </w:r>
      <w:r>
        <w:rPr>
          <w:color w:val="010101"/>
          <w:spacing w:val="-14"/>
        </w:rPr>
        <w:t> </w:t>
      </w:r>
      <w:r>
        <w:rPr>
          <w:color w:val="010101"/>
          <w:w w:val="108"/>
        </w:rPr>
        <w:t>annual</w:t>
      </w:r>
      <w:r>
        <w:rPr>
          <w:color w:val="010101"/>
        </w:rPr>
        <w:t>  </w:t>
      </w:r>
      <w:r>
        <w:rPr>
          <w:color w:val="010101"/>
          <w:spacing w:val="-24"/>
        </w:rPr>
        <w:t> </w:t>
      </w:r>
      <w:r>
        <w:rPr>
          <w:color w:val="010101"/>
          <w:w w:val="101"/>
        </w:rPr>
        <w:t>loss</w:t>
      </w:r>
      <w:r>
        <w:rPr>
          <w:color w:val="010101"/>
        </w:rPr>
        <w:t> </w:t>
      </w:r>
      <w:r>
        <w:rPr>
          <w:color w:val="010101"/>
          <w:spacing w:val="16"/>
        </w:rPr>
        <w:t> </w:t>
      </w:r>
      <w:r>
        <w:rPr>
          <w:color w:val="010101"/>
          <w:w w:val="89"/>
        </w:rPr>
        <w:t>of</w:t>
      </w:r>
    </w:p>
    <w:p>
      <w:pPr>
        <w:tabs>
          <w:tab w:pos="783" w:val="left" w:leader="none"/>
          <w:tab w:pos="1221" w:val="left" w:leader="none"/>
        </w:tabs>
        <w:spacing w:line="196" w:lineRule="exact" w:before="0"/>
        <w:ind w:left="130" w:right="739" w:firstLine="0"/>
        <w:jc w:val="left"/>
        <w:rPr>
          <w:b/>
          <w:i/>
          <w:sz w:val="20"/>
        </w:rPr>
      </w:pPr>
      <w:r>
        <w:rPr>
          <w:b/>
          <w:i/>
          <w:color w:val="010101"/>
          <w:sz w:val="20"/>
        </w:rPr>
        <w:t>m</w:t>
        <w:tab/>
      </w:r>
      <w:r>
        <w:rPr>
          <w:b/>
          <w:color w:val="010101"/>
          <w:sz w:val="23"/>
        </w:rPr>
        <w:t>,-o</w:t>
        <w:tab/>
      </w:r>
      <w:r>
        <w:rPr>
          <w:b/>
          <w:i/>
          <w:color w:val="010101"/>
          <w:sz w:val="20"/>
        </w:rPr>
        <w:t>m</w:t>
      </w:r>
    </w:p>
    <w:p>
      <w:pPr>
        <w:pStyle w:val="BodyText"/>
        <w:spacing w:line="228" w:lineRule="exact"/>
        <w:ind w:left="123" w:right="123"/>
      </w:pPr>
      <w:r>
        <w:rPr>
          <w:color w:val="010101"/>
          <w:w w:val="105"/>
        </w:rPr>
        <w:t>interest  on the deferred  portions  of  the fractiona.l premium.   The</w:t>
      </w:r>
    </w:p>
    <w:p>
      <w:pPr>
        <w:spacing w:line="174" w:lineRule="exact" w:before="0"/>
        <w:ind w:left="0" w:right="1047" w:firstLine="0"/>
        <w:jc w:val="center"/>
        <w:rPr>
          <w:sz w:val="21"/>
        </w:rPr>
      </w:pPr>
      <w:r>
        <w:rPr>
          <w:color w:val="010101"/>
          <w:w w:val="128"/>
          <w:sz w:val="21"/>
        </w:rPr>
        <w:t>1</w:t>
      </w:r>
    </w:p>
    <w:p>
      <w:pPr>
        <w:tabs>
          <w:tab w:pos="2548" w:val="left" w:leader="none"/>
        </w:tabs>
        <w:spacing w:line="314" w:lineRule="exact" w:before="0"/>
        <w:ind w:left="120" w:right="0" w:firstLine="3"/>
        <w:jc w:val="left"/>
        <w:rPr>
          <w:sz w:val="20"/>
        </w:rPr>
      </w:pPr>
      <w:r>
        <w:rPr/>
        <w:pict>
          <v:rect style="position:absolute;margin-left:137.219696pt;margin-top:7.154399pt;width:12.7355pt;height:6.457399pt;mso-position-horizontal-relative:page;mso-position-vertical-relative:paragraph;z-index:-728464" filled="true" fillcolor="#000000" stroked="false">
            <v:fill type="solid"/>
            <w10:wrap type="none"/>
          </v:rect>
        </w:pict>
      </w:r>
      <w:r>
        <w:rPr>
          <w:color w:val="010101"/>
          <w:w w:val="100"/>
          <w:sz w:val="20"/>
        </w:rPr>
        <w:t>second</w:t>
      </w:r>
      <w:r>
        <w:rPr>
          <w:color w:val="010101"/>
          <w:sz w:val="20"/>
        </w:rPr>
        <w:t> </w:t>
      </w:r>
      <w:r>
        <w:rPr>
          <w:color w:val="010101"/>
          <w:spacing w:val="24"/>
          <w:sz w:val="20"/>
        </w:rPr>
        <w:t> </w:t>
      </w:r>
      <w:r>
        <w:rPr>
          <w:color w:val="010101"/>
          <w:w w:val="103"/>
          <w:sz w:val="20"/>
        </w:rPr>
        <w:t>a</w:t>
      </w:r>
      <w:r>
        <w:rPr>
          <w:color w:val="010101"/>
          <w:spacing w:val="4"/>
          <w:w w:val="103"/>
          <w:sz w:val="20"/>
        </w:rPr>
        <w:t>d</w:t>
      </w:r>
      <w:r>
        <w:rPr>
          <w:color w:val="010101"/>
          <w:w w:val="107"/>
          <w:sz w:val="20"/>
        </w:rPr>
        <w:t>justment,</w:t>
      </w:r>
      <w:r>
        <w:rPr>
          <w:color w:val="010101"/>
          <w:sz w:val="20"/>
        </w:rPr>
        <w:t> </w:t>
      </w:r>
      <w:r>
        <w:rPr>
          <w:color w:val="010101"/>
          <w:spacing w:val="-8"/>
          <w:sz w:val="20"/>
        </w:rPr>
        <w:t> </w:t>
      </w:r>
      <w:r>
        <w:rPr>
          <w:rFonts w:ascii="Arial" w:hAnsi="Arial"/>
          <w:i/>
          <w:color w:val="010101"/>
          <w:spacing w:val="3"/>
          <w:w w:val="107"/>
          <w:sz w:val="18"/>
        </w:rPr>
        <w:t>m</w:t>
      </w:r>
      <w:r>
        <w:rPr>
          <w:color w:val="010101"/>
          <w:w w:val="104"/>
          <w:position w:val="-12"/>
          <w:sz w:val="21"/>
        </w:rPr>
        <w:t>2</w:t>
      </w:r>
      <w:r>
        <w:rPr>
          <w:color w:val="010101"/>
          <w:position w:val="-12"/>
          <w:sz w:val="21"/>
        </w:rPr>
        <w:tab/>
      </w:r>
      <w:r>
        <w:rPr>
          <w:i/>
          <w:color w:val="010101"/>
          <w:w w:val="148"/>
          <w:sz w:val="22"/>
        </w:rPr>
        <w:t>p</w:t>
      </w:r>
      <w:r>
        <w:rPr>
          <w:i/>
          <w:color w:val="010101"/>
          <w:spacing w:val="-10"/>
          <w:sz w:val="22"/>
        </w:rPr>
        <w:t> </w:t>
      </w:r>
      <w:r>
        <w:rPr>
          <w:i/>
          <w:color w:val="010101"/>
          <w:spacing w:val="-42"/>
          <w:w w:val="183"/>
          <w:sz w:val="22"/>
        </w:rPr>
        <w:t>•</w:t>
      </w:r>
      <w:r>
        <w:rPr>
          <w:i/>
          <w:color w:val="010101"/>
          <w:w w:val="34"/>
          <w:sz w:val="22"/>
        </w:rPr>
        <w:t>&gt;</w:t>
      </w:r>
      <w:r>
        <w:rPr>
          <w:i/>
          <w:color w:val="010101"/>
          <w:spacing w:val="7"/>
          <w:sz w:val="22"/>
        </w:rPr>
        <w:t> </w:t>
      </w:r>
      <w:r>
        <w:rPr>
          <w:i/>
          <w:color w:val="010101"/>
          <w:spacing w:val="10"/>
          <w:w w:val="103"/>
          <w:sz w:val="21"/>
        </w:rPr>
        <w:t>P</w:t>
      </w:r>
      <w:r>
        <w:rPr>
          <w:rFonts w:ascii="Arial" w:hAnsi="Arial"/>
          <w:color w:val="010101"/>
          <w:w w:val="134"/>
          <w:sz w:val="11"/>
        </w:rPr>
        <w:t>s</w:t>
      </w:r>
      <w:r>
        <w:rPr>
          <w:rFonts w:ascii="Arial" w:hAnsi="Arial"/>
          <w:color w:val="010101"/>
          <w:sz w:val="11"/>
        </w:rPr>
        <w:t> </w:t>
      </w:r>
      <w:r>
        <w:rPr>
          <w:rFonts w:ascii="Arial" w:hAnsi="Arial"/>
          <w:color w:val="010101"/>
          <w:spacing w:val="-10"/>
          <w:sz w:val="11"/>
        </w:rPr>
        <w:t> </w:t>
      </w:r>
      <w:r>
        <w:rPr>
          <w:rFonts w:ascii="Arial" w:hAnsi="Arial"/>
          <w:color w:val="010101"/>
          <w:w w:val="305"/>
          <w:sz w:val="11"/>
        </w:rPr>
        <w:t>,</w:t>
      </w:r>
      <w:r>
        <w:rPr>
          <w:rFonts w:ascii="Arial" w:hAnsi="Arial"/>
          <w:color w:val="010101"/>
          <w:sz w:val="11"/>
        </w:rPr>
        <w:t> </w:t>
      </w:r>
      <w:r>
        <w:rPr>
          <w:rFonts w:ascii="Arial" w:hAnsi="Arial"/>
          <w:color w:val="010101"/>
          <w:spacing w:val="7"/>
          <w:sz w:val="11"/>
        </w:rPr>
        <w:t> </w:t>
      </w:r>
      <w:r>
        <w:rPr>
          <w:color w:val="010101"/>
          <w:w w:val="106"/>
          <w:sz w:val="20"/>
        </w:rPr>
        <w:t>may</w:t>
      </w:r>
      <w:r>
        <w:rPr>
          <w:color w:val="010101"/>
          <w:sz w:val="20"/>
        </w:rPr>
        <w:t>  </w:t>
      </w:r>
      <w:r>
        <w:rPr>
          <w:color w:val="010101"/>
          <w:spacing w:val="-23"/>
          <w:sz w:val="20"/>
        </w:rPr>
        <w:t> </w:t>
      </w:r>
      <w:r>
        <w:rPr>
          <w:color w:val="010101"/>
          <w:w w:val="104"/>
          <w:sz w:val="20"/>
        </w:rPr>
        <w:t>he</w:t>
      </w:r>
      <w:r>
        <w:rPr>
          <w:color w:val="010101"/>
          <w:sz w:val="20"/>
        </w:rPr>
        <w:t> </w:t>
      </w:r>
      <w:r>
        <w:rPr>
          <w:color w:val="010101"/>
          <w:spacing w:val="10"/>
          <w:sz w:val="20"/>
        </w:rPr>
        <w:t> </w:t>
      </w:r>
      <w:r>
        <w:rPr>
          <w:color w:val="010101"/>
          <w:w w:val="108"/>
          <w:sz w:val="20"/>
        </w:rPr>
        <w:t>interpreted</w:t>
      </w:r>
      <w:r>
        <w:rPr>
          <w:color w:val="010101"/>
          <w:sz w:val="20"/>
        </w:rPr>
        <w:t>  </w:t>
      </w:r>
      <w:r>
        <w:rPr>
          <w:color w:val="010101"/>
          <w:spacing w:val="-14"/>
          <w:sz w:val="20"/>
        </w:rPr>
        <w:t> </w:t>
      </w:r>
      <w:r>
        <w:rPr>
          <w:rFonts w:ascii="Arial" w:hAnsi="Arial"/>
          <w:color w:val="010101"/>
          <w:w w:val="100"/>
          <w:sz w:val="17"/>
        </w:rPr>
        <w:t>as</w:t>
      </w:r>
      <w:r>
        <w:rPr>
          <w:rFonts w:ascii="Arial" w:hAnsi="Arial"/>
          <w:color w:val="010101"/>
          <w:sz w:val="17"/>
        </w:rPr>
        <w:t> </w:t>
      </w:r>
      <w:r>
        <w:rPr>
          <w:rFonts w:ascii="Arial" w:hAnsi="Arial"/>
          <w:color w:val="010101"/>
          <w:spacing w:val="14"/>
          <w:sz w:val="17"/>
        </w:rPr>
        <w:t> </w:t>
      </w:r>
      <w:r>
        <w:rPr>
          <w:color w:val="010101"/>
          <w:w w:val="112"/>
          <w:sz w:val="20"/>
        </w:rPr>
        <w:t>the</w:t>
      </w:r>
    </w:p>
    <w:p>
      <w:pPr>
        <w:pStyle w:val="BodyText"/>
        <w:spacing w:line="229" w:lineRule="exact"/>
        <w:ind w:left="120" w:right="123"/>
      </w:pPr>
      <w:r>
        <w:rPr>
          <w:color w:val="010101"/>
          <w:w w:val="105"/>
        </w:rPr>
        <w:t>annual premium  required  to  provide  insurance  in  the amount  of</w:t>
      </w:r>
    </w:p>
    <w:p>
      <w:pPr>
        <w:spacing w:after="0" w:line="229" w:lineRule="exact"/>
        <w:sectPr>
          <w:type w:val="continuous"/>
          <w:pgSz w:w="7200" w:h="11340"/>
          <w:pgMar w:top="1100" w:bottom="0" w:left="680" w:right="540"/>
        </w:sectPr>
      </w:pPr>
    </w:p>
    <w:p>
      <w:pPr>
        <w:spacing w:line="279" w:lineRule="exact" w:before="1"/>
        <w:ind w:left="120" w:right="-19" w:firstLine="0"/>
        <w:jc w:val="left"/>
        <w:rPr>
          <w:rFonts w:ascii="Arial"/>
          <w:sz w:val="21"/>
        </w:rPr>
      </w:pPr>
      <w:r>
        <w:rPr>
          <w:i/>
          <w:color w:val="010101"/>
          <w:w w:val="115"/>
          <w:sz w:val="21"/>
        </w:rPr>
        <w:t>m </w:t>
      </w:r>
      <w:r>
        <w:rPr>
          <w:color w:val="010101"/>
          <w:w w:val="245"/>
          <w:sz w:val="21"/>
        </w:rPr>
        <w:t>-</w:t>
      </w:r>
      <w:r>
        <w:rPr>
          <w:color w:val="010101"/>
          <w:spacing w:val="-42"/>
          <w:w w:val="245"/>
          <w:sz w:val="21"/>
        </w:rPr>
        <w:t> </w:t>
      </w:r>
      <w:r>
        <w:rPr>
          <w:rFonts w:ascii="Arial"/>
          <w:color w:val="010101"/>
          <w:w w:val="115"/>
          <w:position w:val="10"/>
          <w:sz w:val="21"/>
        </w:rPr>
        <w:t>1</w:t>
      </w:r>
    </w:p>
    <w:p>
      <w:pPr>
        <w:spacing w:line="179" w:lineRule="exact" w:before="101"/>
        <w:ind w:left="-30" w:right="-15" w:firstLine="0"/>
        <w:jc w:val="left"/>
        <w:rPr>
          <w:sz w:val="21"/>
        </w:rPr>
      </w:pPr>
      <w:r>
        <w:rPr/>
        <w:br w:type="column"/>
      </w:r>
      <w:r>
        <w:rPr>
          <w:rFonts w:ascii="Arial"/>
          <w:color w:val="010101"/>
          <w:w w:val="110"/>
          <w:sz w:val="21"/>
        </w:rPr>
        <w:t>P</w:t>
      </w:r>
      <w:r>
        <w:rPr>
          <w:rFonts w:ascii="Arial"/>
          <w:color w:val="010101"/>
          <w:spacing w:val="-39"/>
          <w:w w:val="110"/>
          <w:sz w:val="21"/>
        </w:rPr>
        <w:t> </w:t>
      </w:r>
      <w:r>
        <w:rPr>
          <w:rFonts w:ascii="Arial"/>
          <w:color w:val="010101"/>
          <w:sz w:val="21"/>
        </w:rPr>
        <w:t>"'&gt;.</w:t>
      </w:r>
      <w:r>
        <w:rPr>
          <w:rFonts w:ascii="Arial"/>
          <w:color w:val="010101"/>
          <w:spacing w:val="-16"/>
          <w:sz w:val="21"/>
        </w:rPr>
        <w:t> </w:t>
      </w:r>
      <w:r>
        <w:rPr>
          <w:color w:val="010101"/>
          <w:w w:val="110"/>
          <w:sz w:val="20"/>
        </w:rPr>
        <w:t>Now</w:t>
      </w:r>
      <w:r>
        <w:rPr>
          <w:color w:val="010101"/>
          <w:spacing w:val="-4"/>
          <w:w w:val="110"/>
          <w:sz w:val="20"/>
        </w:rPr>
        <w:t> </w:t>
      </w:r>
      <w:r>
        <w:rPr>
          <w:i/>
          <w:color w:val="010101"/>
          <w:w w:val="110"/>
          <w:sz w:val="21"/>
        </w:rPr>
        <w:t>m</w:t>
      </w:r>
      <w:r>
        <w:rPr>
          <w:i/>
          <w:color w:val="010101"/>
          <w:spacing w:val="-5"/>
          <w:w w:val="110"/>
          <w:sz w:val="21"/>
        </w:rPr>
        <w:t> </w:t>
      </w:r>
      <w:r>
        <w:rPr>
          <w:color w:val="010101"/>
          <w:w w:val="235"/>
          <w:sz w:val="21"/>
        </w:rPr>
        <w:t>-</w:t>
      </w:r>
    </w:p>
    <w:p>
      <w:pPr>
        <w:spacing w:line="279" w:lineRule="exact" w:before="1"/>
        <w:ind w:left="35" w:right="0" w:firstLine="0"/>
        <w:jc w:val="left"/>
        <w:rPr>
          <w:sz w:val="20"/>
        </w:rPr>
      </w:pPr>
      <w:r>
        <w:rPr/>
        <w:br w:type="column"/>
      </w:r>
      <w:r>
        <w:rPr>
          <w:rFonts w:ascii="Arial" w:hAnsi="Arial"/>
          <w:color w:val="010101"/>
          <w:w w:val="107"/>
          <w:position w:val="10"/>
          <w:sz w:val="21"/>
        </w:rPr>
        <w:t>1</w:t>
      </w:r>
      <w:r>
        <w:rPr>
          <w:rFonts w:ascii="Arial" w:hAnsi="Arial"/>
          <w:color w:val="010101"/>
          <w:spacing w:val="-34"/>
          <w:position w:val="10"/>
          <w:sz w:val="21"/>
        </w:rPr>
        <w:t> </w:t>
      </w:r>
      <w:r>
        <w:rPr>
          <w:rFonts w:ascii="Arial" w:hAnsi="Arial"/>
          <w:color w:val="010101"/>
          <w:w w:val="119"/>
          <w:sz w:val="21"/>
        </w:rPr>
        <w:t>P</w:t>
      </w:r>
      <w:r>
        <w:rPr>
          <w:rFonts w:ascii="Arial" w:hAnsi="Arial"/>
          <w:color w:val="010101"/>
          <w:spacing w:val="-19"/>
          <w:sz w:val="21"/>
        </w:rPr>
        <w:t> </w:t>
      </w:r>
      <w:r>
        <w:rPr>
          <w:rFonts w:ascii="Arial" w:hAnsi="Arial"/>
          <w:color w:val="010101"/>
          <w:w w:val="60"/>
          <w:sz w:val="21"/>
        </w:rPr>
        <w:t>"'&gt;</w:t>
      </w:r>
      <w:r>
        <w:rPr>
          <w:rFonts w:ascii="Arial" w:hAnsi="Arial"/>
          <w:color w:val="010101"/>
          <w:spacing w:val="19"/>
          <w:sz w:val="21"/>
        </w:rPr>
        <w:t> </w:t>
      </w:r>
      <w:r>
        <w:rPr>
          <w:color w:val="010101"/>
          <w:w w:val="101"/>
          <w:sz w:val="20"/>
        </w:rPr>
        <w:t>is</w:t>
      </w:r>
      <w:r>
        <w:rPr>
          <w:color w:val="010101"/>
          <w:spacing w:val="11"/>
          <w:sz w:val="20"/>
        </w:rPr>
        <w:t> </w:t>
      </w:r>
      <w:r>
        <w:rPr>
          <w:color w:val="010101"/>
          <w:w w:val="105"/>
          <w:sz w:val="20"/>
        </w:rPr>
        <w:t>equal</w:t>
      </w:r>
      <w:r>
        <w:rPr>
          <w:color w:val="010101"/>
          <w:spacing w:val="22"/>
          <w:sz w:val="20"/>
        </w:rPr>
        <w:t> </w:t>
      </w:r>
      <w:r>
        <w:rPr>
          <w:color w:val="010101"/>
          <w:w w:val="112"/>
          <w:sz w:val="20"/>
        </w:rPr>
        <w:t>to</w:t>
      </w:r>
      <w:r>
        <w:rPr>
          <w:color w:val="010101"/>
          <w:spacing w:val="11"/>
          <w:sz w:val="20"/>
        </w:rPr>
        <w:t> </w:t>
      </w:r>
      <w:r>
        <w:rPr>
          <w:color w:val="010101"/>
          <w:w w:val="266"/>
          <w:sz w:val="20"/>
        </w:rPr>
        <w:t>-</w:t>
      </w:r>
      <w:r>
        <w:rPr>
          <w:color w:val="010101"/>
          <w:spacing w:val="-6"/>
          <w:sz w:val="20"/>
        </w:rPr>
        <w:t> </w:t>
      </w:r>
      <w:r>
        <w:rPr>
          <w:rFonts w:ascii="Arial" w:hAnsi="Arial"/>
          <w:i/>
          <w:color w:val="010101"/>
          <w:spacing w:val="-11"/>
          <w:w w:val="116"/>
          <w:sz w:val="22"/>
        </w:rPr>
        <w:t>p</w:t>
      </w:r>
      <w:r>
        <w:rPr>
          <w:rFonts w:ascii="Arial" w:hAnsi="Arial"/>
          <w:i/>
          <w:color w:val="010101"/>
          <w:w w:val="153"/>
          <w:sz w:val="22"/>
        </w:rPr>
        <w:t>:</w:t>
      </w:r>
      <w:r>
        <w:rPr>
          <w:rFonts w:ascii="Arial" w:hAnsi="Arial"/>
          <w:i/>
          <w:color w:val="010101"/>
          <w:spacing w:val="-34"/>
          <w:w w:val="153"/>
          <w:sz w:val="22"/>
        </w:rPr>
        <w:t>•</w:t>
      </w:r>
      <w:r>
        <w:rPr>
          <w:rFonts w:ascii="Arial" w:hAnsi="Arial"/>
          <w:i/>
          <w:color w:val="010101"/>
          <w:w w:val="38"/>
          <w:sz w:val="22"/>
        </w:rPr>
        <w:t>&gt;</w:t>
      </w:r>
      <w:r>
        <w:rPr>
          <w:rFonts w:ascii="Arial" w:hAnsi="Arial"/>
          <w:i/>
          <w:color w:val="010101"/>
          <w:spacing w:val="28"/>
          <w:sz w:val="22"/>
        </w:rPr>
        <w:t> </w:t>
      </w:r>
      <w:r>
        <w:rPr>
          <w:rFonts w:ascii="Arial" w:hAnsi="Arial"/>
          <w:color w:val="010101"/>
          <w:spacing w:val="39"/>
          <w:w w:val="147"/>
          <w:sz w:val="31"/>
        </w:rPr>
        <w:t>¿</w:t>
      </w:r>
      <w:r>
        <w:rPr>
          <w:rFonts w:ascii="Arial" w:hAnsi="Arial"/>
          <w:color w:val="010101"/>
          <w:w w:val="154"/>
          <w:sz w:val="31"/>
        </w:rPr>
        <w:t>-</w:t>
      </w:r>
      <w:r>
        <w:rPr>
          <w:rFonts w:ascii="Arial" w:hAnsi="Arial"/>
          <w:color w:val="010101"/>
          <w:spacing w:val="-53"/>
          <w:sz w:val="31"/>
        </w:rPr>
        <w:t> </w:t>
      </w:r>
      <w:r>
        <w:rPr>
          <w:color w:val="010101"/>
          <w:w w:val="108"/>
          <w:sz w:val="20"/>
        </w:rPr>
        <w:t>and</w:t>
      </w:r>
      <w:r>
        <w:rPr>
          <w:color w:val="010101"/>
          <w:sz w:val="20"/>
        </w:rPr>
        <w:t> </w:t>
      </w:r>
      <w:r>
        <w:rPr>
          <w:color w:val="010101"/>
          <w:spacing w:val="-24"/>
          <w:sz w:val="20"/>
        </w:rPr>
        <w:t> </w:t>
      </w:r>
      <w:r>
        <w:rPr>
          <w:color w:val="010101"/>
          <w:w w:val="103"/>
          <w:sz w:val="20"/>
        </w:rPr>
        <w:t>repre-</w:t>
      </w:r>
    </w:p>
    <w:p>
      <w:pPr>
        <w:spacing w:after="0" w:line="279" w:lineRule="exact"/>
        <w:jc w:val="left"/>
        <w:rPr>
          <w:sz w:val="20"/>
        </w:rPr>
        <w:sectPr>
          <w:type w:val="continuous"/>
          <w:pgSz w:w="7200" w:h="11340"/>
          <w:pgMar w:top="1100" w:bottom="0" w:left="680" w:right="540"/>
          <w:cols w:num="3" w:equalWidth="0">
            <w:col w:w="749" w:space="40"/>
            <w:col w:w="1355" w:space="40"/>
            <w:col w:w="3796"/>
          </w:cols>
        </w:sectPr>
      </w:pPr>
    </w:p>
    <w:p>
      <w:pPr>
        <w:tabs>
          <w:tab w:pos="1881" w:val="left" w:leader="none"/>
          <w:tab w:pos="3779" w:val="left" w:leader="none"/>
          <w:tab w:pos="4446" w:val="left" w:leader="none"/>
        </w:tabs>
        <w:spacing w:line="212" w:lineRule="exact" w:before="0"/>
        <w:ind w:left="277" w:right="739" w:firstLine="0"/>
        <w:jc w:val="left"/>
        <w:rPr>
          <w:b/>
          <w:i/>
          <w:sz w:val="20"/>
        </w:rPr>
      </w:pPr>
      <w:r>
        <w:rPr/>
        <w:pict>
          <v:shape style="position:absolute;margin-left:223.497803pt;margin-top:-14.002169pt;width:52.65pt;height:11.85pt;mso-position-horizontal-relative:page;mso-position-vertical-relative:paragraph;z-index:-728368" type="#_x0000_t202" filled="false" stroked="false">
            <v:textbox inset="0,0,0,0">
              <w:txbxContent>
                <w:p>
                  <w:pPr>
                    <w:tabs>
                      <w:tab w:pos="717" w:val="left" w:leader="none"/>
                    </w:tabs>
                    <w:spacing w:line="236" w:lineRule="exact" w:before="0"/>
                    <w:ind w:left="0" w:right="0" w:firstLine="0"/>
                    <w:jc w:val="left"/>
                    <w:rPr>
                      <w:rFonts w:ascii="Arial"/>
                      <w:b/>
                      <w:i/>
                      <w:sz w:val="17"/>
                    </w:rPr>
                  </w:pPr>
                  <w:r>
                    <w:rPr>
                      <w:color w:val="010101"/>
                      <w:w w:val="115"/>
                      <w:sz w:val="20"/>
                    </w:rPr>
                    <w:t>1</w:t>
                    <w:tab/>
                  </w:r>
                  <w:r>
                    <w:rPr>
                      <w:color w:val="010101"/>
                      <w:spacing w:val="-13"/>
                      <w:w w:val="160"/>
                      <w:sz w:val="20"/>
                    </w:rPr>
                    <w:t>-</w:t>
                  </w:r>
                  <w:r>
                    <w:rPr>
                      <w:color w:val="010101"/>
                      <w:spacing w:val="-13"/>
                      <w:w w:val="160"/>
                      <w:position w:val="10"/>
                      <w:sz w:val="12"/>
                    </w:rPr>
                    <w:t>1 </w:t>
                  </w:r>
                  <w:r>
                    <w:rPr>
                      <w:color w:val="010101"/>
                      <w:spacing w:val="9"/>
                      <w:w w:val="160"/>
                      <w:position w:val="10"/>
                      <w:sz w:val="12"/>
                    </w:rPr>
                    <w:t> </w:t>
                  </w:r>
                  <w:r>
                    <w:rPr>
                      <w:rFonts w:ascii="Arial"/>
                      <w:b/>
                      <w:i/>
                      <w:color w:val="010101"/>
                      <w:w w:val="115"/>
                      <w:sz w:val="17"/>
                    </w:rPr>
                    <w:t>t</w:t>
                  </w:r>
                </w:p>
              </w:txbxContent>
            </v:textbox>
            <w10:wrap type="none"/>
          </v:shape>
        </w:pict>
      </w:r>
      <w:r>
        <w:rPr>
          <w:b/>
          <w:i/>
          <w:color w:val="010101"/>
          <w:sz w:val="20"/>
        </w:rPr>
        <w:t>2m</w:t>
        <w:tab/>
      </w:r>
      <w:r>
        <w:rPr>
          <w:b/>
          <w:color w:val="010101"/>
          <w:sz w:val="21"/>
        </w:rPr>
        <w:t>2m</w:t>
        <w:tab/>
      </w:r>
      <w:r>
        <w:rPr>
          <w:b/>
          <w:i/>
          <w:color w:val="010101"/>
          <w:sz w:val="20"/>
        </w:rPr>
        <w:t>m</w:t>
        <w:tab/>
      </w:r>
      <w:r>
        <w:rPr>
          <w:b/>
          <w:color w:val="010101"/>
          <w:sz w:val="17"/>
        </w:rPr>
        <w:t>a-o</w:t>
      </w:r>
      <w:r>
        <w:rPr>
          <w:b/>
          <w:color w:val="010101"/>
          <w:spacing w:val="18"/>
          <w:sz w:val="17"/>
        </w:rPr>
        <w:t> </w:t>
      </w:r>
      <w:r>
        <w:rPr>
          <w:b/>
          <w:i/>
          <w:color w:val="010101"/>
          <w:sz w:val="20"/>
        </w:rPr>
        <w:t>m</w:t>
      </w:r>
    </w:p>
    <w:p>
      <w:pPr>
        <w:pStyle w:val="BodyText"/>
        <w:spacing w:line="252" w:lineRule="auto"/>
        <w:ind w:left="112" w:right="129" w:firstLine="3"/>
      </w:pPr>
      <w:r>
        <w:rPr>
          <w:color w:val="010101"/>
          <w:w w:val="110"/>
        </w:rPr>
        <w:t>sents</w:t>
      </w:r>
      <w:r>
        <w:rPr>
          <w:color w:val="010101"/>
          <w:spacing w:val="-27"/>
          <w:w w:val="110"/>
        </w:rPr>
        <w:t> </w:t>
      </w:r>
      <w:r>
        <w:rPr>
          <w:color w:val="010101"/>
          <w:w w:val="110"/>
        </w:rPr>
        <w:t>the</w:t>
      </w:r>
      <w:r>
        <w:rPr>
          <w:color w:val="010101"/>
          <w:spacing w:val="-22"/>
          <w:w w:val="110"/>
        </w:rPr>
        <w:t> </w:t>
      </w:r>
      <w:r>
        <w:rPr>
          <w:color w:val="010101"/>
          <w:w w:val="110"/>
        </w:rPr>
        <w:t>average</w:t>
      </w:r>
      <w:r>
        <w:rPr>
          <w:color w:val="010101"/>
          <w:spacing w:val="-23"/>
          <w:w w:val="110"/>
        </w:rPr>
        <w:t> </w:t>
      </w:r>
      <w:r>
        <w:rPr>
          <w:color w:val="010101"/>
          <w:w w:val="110"/>
        </w:rPr>
        <w:t>loss</w:t>
      </w:r>
      <w:r>
        <w:rPr>
          <w:color w:val="010101"/>
          <w:spacing w:val="-23"/>
          <w:w w:val="110"/>
        </w:rPr>
        <w:t> </w:t>
      </w:r>
      <w:r>
        <w:rPr>
          <w:color w:val="010101"/>
          <w:w w:val="110"/>
        </w:rPr>
        <w:t>in</w:t>
      </w:r>
      <w:r>
        <w:rPr>
          <w:color w:val="010101"/>
          <w:spacing w:val="-25"/>
          <w:w w:val="110"/>
        </w:rPr>
        <w:t> </w:t>
      </w:r>
      <w:r>
        <w:rPr>
          <w:color w:val="010101"/>
          <w:w w:val="110"/>
        </w:rPr>
        <w:t>fractional</w:t>
      </w:r>
      <w:r>
        <w:rPr>
          <w:color w:val="010101"/>
          <w:spacing w:val="-22"/>
          <w:w w:val="110"/>
        </w:rPr>
        <w:t> </w:t>
      </w:r>
      <w:r>
        <w:rPr>
          <w:color w:val="010101"/>
          <w:w w:val="110"/>
        </w:rPr>
        <w:t>premium</w:t>
      </w:r>
      <w:r>
        <w:rPr>
          <w:color w:val="010101"/>
          <w:spacing w:val="-11"/>
          <w:w w:val="110"/>
        </w:rPr>
        <w:t> </w:t>
      </w:r>
      <w:r>
        <w:rPr>
          <w:color w:val="010101"/>
          <w:w w:val="110"/>
        </w:rPr>
        <w:t>incurred</w:t>
      </w:r>
      <w:r>
        <w:rPr>
          <w:color w:val="010101"/>
          <w:spacing w:val="-15"/>
          <w:w w:val="110"/>
        </w:rPr>
        <w:t> </w:t>
      </w:r>
      <w:r>
        <w:rPr>
          <w:color w:val="010101"/>
          <w:w w:val="110"/>
        </w:rPr>
        <w:t>by</w:t>
      </w:r>
      <w:r>
        <w:rPr>
          <w:color w:val="010101"/>
          <w:spacing w:val="-15"/>
          <w:w w:val="110"/>
        </w:rPr>
        <w:t> </w:t>
      </w:r>
      <w:r>
        <w:rPr>
          <w:color w:val="010101"/>
          <w:w w:val="110"/>
        </w:rPr>
        <w:t>the</w:t>
      </w:r>
      <w:r>
        <w:rPr>
          <w:color w:val="010101"/>
          <w:spacing w:val="-27"/>
          <w:w w:val="110"/>
        </w:rPr>
        <w:t> </w:t>
      </w:r>
      <w:r>
        <w:rPr>
          <w:color w:val="010101"/>
          <w:w w:val="110"/>
        </w:rPr>
        <w:t>insurer in</w:t>
      </w:r>
      <w:r>
        <w:rPr>
          <w:color w:val="010101"/>
          <w:spacing w:val="-17"/>
          <w:w w:val="110"/>
        </w:rPr>
        <w:t> </w:t>
      </w:r>
      <w:r>
        <w:rPr>
          <w:color w:val="010101"/>
          <w:w w:val="110"/>
        </w:rPr>
        <w:t>the</w:t>
      </w:r>
      <w:r>
        <w:rPr>
          <w:color w:val="010101"/>
          <w:spacing w:val="-22"/>
          <w:w w:val="110"/>
        </w:rPr>
        <w:t> </w:t>
      </w:r>
      <w:r>
        <w:rPr>
          <w:color w:val="010101"/>
          <w:w w:val="110"/>
        </w:rPr>
        <w:t>year</w:t>
      </w:r>
      <w:r>
        <w:rPr>
          <w:color w:val="010101"/>
          <w:spacing w:val="-7"/>
          <w:w w:val="110"/>
        </w:rPr>
        <w:t> </w:t>
      </w:r>
      <w:r>
        <w:rPr>
          <w:color w:val="010101"/>
          <w:w w:val="110"/>
        </w:rPr>
        <w:t>of</w:t>
      </w:r>
      <w:r>
        <w:rPr>
          <w:color w:val="010101"/>
          <w:spacing w:val="-8"/>
          <w:w w:val="110"/>
        </w:rPr>
        <w:t> </w:t>
      </w:r>
      <w:r>
        <w:rPr>
          <w:color w:val="010101"/>
          <w:w w:val="110"/>
        </w:rPr>
        <w:t>death,</w:t>
      </w:r>
      <w:r>
        <w:rPr>
          <w:color w:val="010101"/>
          <w:spacing w:val="-14"/>
          <w:w w:val="110"/>
        </w:rPr>
        <w:t> </w:t>
      </w:r>
      <w:r>
        <w:rPr>
          <w:color w:val="010101"/>
          <w:w w:val="110"/>
        </w:rPr>
        <w:t>on</w:t>
      </w:r>
      <w:r>
        <w:rPr>
          <w:color w:val="010101"/>
          <w:spacing w:val="-18"/>
          <w:w w:val="110"/>
        </w:rPr>
        <w:t> </w:t>
      </w:r>
      <w:r>
        <w:rPr>
          <w:color w:val="010101"/>
          <w:w w:val="110"/>
        </w:rPr>
        <w:t>the</w:t>
      </w:r>
      <w:r>
        <w:rPr>
          <w:color w:val="010101"/>
          <w:spacing w:val="-16"/>
          <w:w w:val="110"/>
        </w:rPr>
        <w:t> </w:t>
      </w:r>
      <w:r>
        <w:rPr>
          <w:color w:val="010101"/>
          <w:w w:val="110"/>
        </w:rPr>
        <w:t>assumption</w:t>
      </w:r>
      <w:r>
        <w:rPr>
          <w:color w:val="010101"/>
          <w:spacing w:val="-6"/>
          <w:w w:val="110"/>
        </w:rPr>
        <w:t> </w:t>
      </w:r>
      <w:r>
        <w:rPr>
          <w:color w:val="010101"/>
          <w:w w:val="110"/>
        </w:rPr>
        <w:t>oí</w:t>
      </w:r>
      <w:r>
        <w:rPr>
          <w:color w:val="010101"/>
          <w:spacing w:val="-25"/>
          <w:w w:val="110"/>
        </w:rPr>
        <w:t> </w:t>
      </w:r>
      <w:r>
        <w:rPr>
          <w:color w:val="010101"/>
          <w:w w:val="110"/>
        </w:rPr>
        <w:t>a</w:t>
      </w:r>
      <w:r>
        <w:rPr>
          <w:color w:val="010101"/>
          <w:spacing w:val="-19"/>
          <w:w w:val="110"/>
        </w:rPr>
        <w:t> </w:t>
      </w:r>
      <w:r>
        <w:rPr>
          <w:color w:val="010101"/>
          <w:w w:val="110"/>
        </w:rPr>
        <w:t>uniform</w:t>
      </w:r>
      <w:r>
        <w:rPr>
          <w:color w:val="010101"/>
          <w:spacing w:val="-6"/>
          <w:w w:val="110"/>
        </w:rPr>
        <w:t> </w:t>
      </w:r>
      <w:r>
        <w:rPr>
          <w:color w:val="010101"/>
          <w:w w:val="110"/>
        </w:rPr>
        <w:t>distribution</w:t>
      </w:r>
      <w:r>
        <w:rPr>
          <w:color w:val="010101"/>
          <w:spacing w:val="1"/>
          <w:w w:val="110"/>
        </w:rPr>
        <w:t> </w:t>
      </w:r>
      <w:r>
        <w:rPr>
          <w:color w:val="010101"/>
          <w:w w:val="110"/>
        </w:rPr>
        <w:t>of</w:t>
      </w:r>
    </w:p>
    <w:p>
      <w:pPr>
        <w:pStyle w:val="BodyText"/>
        <w:spacing w:line="302" w:lineRule="exact" w:before="2"/>
        <w:ind w:left="120" w:right="133"/>
      </w:pPr>
      <w:r>
        <w:rPr>
          <w:color w:val="010101"/>
          <w:w w:val="108"/>
        </w:rPr>
        <w:t>deaths.</w:t>
      </w:r>
      <w:r>
        <w:rPr>
          <w:color w:val="010101"/>
        </w:rPr>
        <w:t> </w:t>
      </w:r>
      <w:r>
        <w:rPr>
          <w:color w:val="010101"/>
          <w:spacing w:val="-23"/>
        </w:rPr>
        <w:t> </w:t>
      </w:r>
      <w:r>
        <w:rPr>
          <w:color w:val="010101"/>
          <w:w w:val="111"/>
        </w:rPr>
        <w:t>The</w:t>
      </w:r>
      <w:r>
        <w:rPr>
          <w:color w:val="010101"/>
        </w:rPr>
        <w:t> </w:t>
      </w:r>
      <w:r>
        <w:rPr>
          <w:color w:val="010101"/>
          <w:spacing w:val="-25"/>
        </w:rPr>
        <w:t> </w:t>
      </w:r>
      <w:r>
        <w:rPr>
          <w:color w:val="010101"/>
          <w:w w:val="106"/>
        </w:rPr>
        <w:t>term</w:t>
      </w:r>
      <w:r>
        <w:rPr>
          <w:color w:val="010101"/>
          <w:spacing w:val="24"/>
        </w:rPr>
        <w:t> </w:t>
      </w:r>
      <w:r>
        <w:rPr>
          <w:rFonts w:ascii="Arial" w:hAnsi="Arial"/>
          <w:i/>
          <w:color w:val="010101"/>
          <w:w w:val="107"/>
          <w:sz w:val="18"/>
        </w:rPr>
        <w:t>m</w:t>
      </w:r>
      <w:r>
        <w:rPr>
          <w:rFonts w:ascii="Arial" w:hAnsi="Arial"/>
          <w:i/>
          <w:color w:val="010101"/>
          <w:sz w:val="18"/>
        </w:rPr>
        <w:t> </w:t>
      </w:r>
      <w:r>
        <w:rPr>
          <w:rFonts w:ascii="Arial" w:hAnsi="Arial"/>
          <w:i/>
          <w:color w:val="010101"/>
          <w:spacing w:val="-15"/>
          <w:sz w:val="18"/>
        </w:rPr>
        <w:t> </w:t>
      </w:r>
      <w:r>
        <w:rPr>
          <w:color w:val="010101"/>
          <w:w w:val="177"/>
        </w:rPr>
        <w:t>-:</w:t>
      </w:r>
      <w:r>
        <w:rPr>
          <w:color w:val="010101"/>
          <w:spacing w:val="-13"/>
        </w:rPr>
        <w:t> </w:t>
      </w:r>
      <w:r>
        <w:rPr>
          <w:color w:val="010101"/>
          <w:spacing w:val="19"/>
          <w:w w:val="128"/>
          <w:position w:val="12"/>
        </w:rPr>
        <w:t>1</w:t>
      </w:r>
      <w:r>
        <w:rPr>
          <w:b/>
          <w:i/>
          <w:color w:val="010101"/>
          <w:spacing w:val="22"/>
          <w:w w:val="140"/>
          <w:sz w:val="22"/>
        </w:rPr>
        <w:t>P</w:t>
      </w:r>
      <w:r>
        <w:rPr>
          <w:b/>
          <w:i/>
          <w:color w:val="010101"/>
          <w:w w:val="60"/>
          <w:sz w:val="22"/>
        </w:rPr>
        <w:t>"''</w:t>
      </w:r>
      <w:r>
        <w:rPr>
          <w:b/>
          <w:i/>
          <w:color w:val="010101"/>
          <w:spacing w:val="-14"/>
          <w:sz w:val="22"/>
        </w:rPr>
        <w:t> </w:t>
      </w:r>
      <w:r>
        <w:rPr>
          <w:color w:val="010101"/>
          <w:spacing w:val="-24"/>
          <w:w w:val="124"/>
          <w:sz w:val="22"/>
        </w:rPr>
        <w:t>·</w:t>
      </w:r>
      <w:r>
        <w:rPr>
          <w:color w:val="010101"/>
          <w:spacing w:val="-16"/>
          <w:w w:val="132"/>
        </w:rPr>
        <w:t>P</w:t>
      </w:r>
      <w:r>
        <w:rPr>
          <w:color w:val="010101"/>
          <w:w w:val="109"/>
        </w:rPr>
        <w:t>s</w:t>
      </w:r>
      <w:r>
        <w:rPr>
          <w:color w:val="010101"/>
          <w:spacing w:val="18"/>
        </w:rPr>
        <w:t> </w:t>
      </w:r>
      <w:r>
        <w:rPr>
          <w:color w:val="010101"/>
          <w:w w:val="110"/>
        </w:rPr>
        <w:t>thus</w:t>
      </w:r>
      <w:r>
        <w:rPr>
          <w:color w:val="010101"/>
        </w:rPr>
        <w:t> </w:t>
      </w:r>
      <w:r>
        <w:rPr>
          <w:color w:val="010101"/>
          <w:spacing w:val="-22"/>
        </w:rPr>
        <w:t> </w:t>
      </w:r>
      <w:r>
        <w:rPr>
          <w:color w:val="010101"/>
          <w:w w:val="105"/>
        </w:rPr>
        <w:t>represents</w:t>
      </w:r>
      <w:r>
        <w:rPr>
          <w:color w:val="010101"/>
        </w:rPr>
        <w:t> </w:t>
      </w:r>
      <w:r>
        <w:rPr>
          <w:color w:val="010101"/>
          <w:spacing w:val="-8"/>
        </w:rPr>
        <w:t> </w:t>
      </w:r>
      <w:r>
        <w:rPr>
          <w:color w:val="010101"/>
          <w:w w:val="112"/>
        </w:rPr>
        <w:t>the</w:t>
      </w:r>
      <w:r>
        <w:rPr>
          <w:color w:val="010101"/>
        </w:rPr>
        <w:t> </w:t>
      </w:r>
      <w:r>
        <w:rPr>
          <w:color w:val="010101"/>
          <w:spacing w:val="-17"/>
        </w:rPr>
        <w:t> </w:t>
      </w:r>
      <w:r>
        <w:rPr>
          <w:color w:val="010101"/>
          <w:w w:val="105"/>
        </w:rPr>
        <w:t>a</w:t>
      </w:r>
      <w:r>
        <w:rPr>
          <w:color w:val="010101"/>
          <w:spacing w:val="8"/>
          <w:w w:val="105"/>
        </w:rPr>
        <w:t>d</w:t>
      </w:r>
      <w:r>
        <w:rPr>
          <w:color w:val="010101"/>
          <w:w w:val="107"/>
        </w:rPr>
        <w:t>justment</w:t>
      </w:r>
    </w:p>
    <w:p>
      <w:pPr>
        <w:pStyle w:val="BodyText"/>
        <w:spacing w:line="171" w:lineRule="exact"/>
        <w:ind w:left="1870"/>
      </w:pPr>
      <w:r>
        <w:rPr/>
        <w:pict>
          <v:rect style="position:absolute;margin-left:127.5336pt;margin-top:.249572pt;width:12.5561pt;height:6.457399pt;mso-position-horizontal-relative:page;mso-position-vertical-relative:paragraph;z-index:-728440" filled="true" fillcolor="#000000" stroked="false">
            <v:fill type="solid"/>
            <w10:wrap type="none"/>
          </v:rect>
        </w:pict>
      </w:r>
      <w:r>
        <w:rPr>
          <w:color w:val="010101"/>
          <w:w w:val="105"/>
        </w:rPr>
        <w:t>2</w:t>
      </w:r>
    </w:p>
    <w:p>
      <w:pPr>
        <w:pStyle w:val="BodyText"/>
        <w:spacing w:line="235" w:lineRule="exact"/>
        <w:ind w:left="109" w:right="739"/>
      </w:pPr>
      <w:r>
        <w:rPr>
          <w:color w:val="010101"/>
          <w:w w:val="105"/>
        </w:rPr>
        <w:t>required </w:t>
      </w:r>
      <w:r>
        <w:rPr>
          <w:color w:val="010101"/>
          <w:w w:val="105"/>
          <w:sz w:val="21"/>
        </w:rPr>
        <w:t>to </w:t>
      </w:r>
      <w:r>
        <w:rPr>
          <w:color w:val="010101"/>
          <w:w w:val="105"/>
        </w:rPr>
        <w:t>compensate the insurer for this loss.</w:t>
      </w:r>
    </w:p>
    <w:p>
      <w:pPr>
        <w:pStyle w:val="BodyText"/>
        <w:spacing w:line="252" w:lineRule="auto" w:before="9"/>
        <w:ind w:left="123" w:firstLine="193"/>
      </w:pPr>
      <w:r>
        <w:rPr>
          <w:color w:val="010101"/>
          <w:w w:val="105"/>
        </w:rPr>
        <w:t>The above reasoning leads readily to formulas for fractional premiums  íor  other  forros  of  insurance.  In  the  case  of  term in-</w:t>
      </w:r>
    </w:p>
    <w:p>
      <w:pPr>
        <w:spacing w:line="144" w:lineRule="exact" w:before="0"/>
        <w:ind w:left="1485" w:right="526" w:firstLine="0"/>
        <w:jc w:val="center"/>
        <w:rPr>
          <w:rFonts w:ascii="Arial" w:hAnsi="Arial"/>
          <w:sz w:val="21"/>
        </w:rPr>
      </w:pPr>
      <w:r>
        <w:rPr>
          <w:rFonts w:ascii="Arial" w:hAnsi="Arial"/>
          <w:color w:val="010101"/>
          <w:w w:val="82"/>
          <w:sz w:val="21"/>
        </w:rPr>
        <w:t>&lt;</w:t>
      </w:r>
      <w:r>
        <w:rPr>
          <w:rFonts w:ascii="Arial" w:hAnsi="Arial"/>
          <w:color w:val="010101"/>
          <w:spacing w:val="2"/>
          <w:w w:val="82"/>
          <w:sz w:val="21"/>
        </w:rPr>
        <w:t>•</w:t>
      </w:r>
      <w:r>
        <w:rPr>
          <w:rFonts w:ascii="Arial" w:hAnsi="Arial"/>
          <w:color w:val="010101"/>
          <w:w w:val="33"/>
          <w:sz w:val="21"/>
        </w:rPr>
        <w:t>&gt;</w:t>
      </w:r>
    </w:p>
    <w:p>
      <w:pPr>
        <w:pStyle w:val="BodyText"/>
        <w:spacing w:line="204" w:lineRule="exact"/>
        <w:ind w:left="112"/>
      </w:pPr>
      <w:r>
        <w:rPr>
          <w:color w:val="010101"/>
          <w:w w:val="105"/>
        </w:rPr>
        <w:t>surance,</w:t>
      </w:r>
      <w:r>
        <w:rPr>
          <w:color w:val="010101"/>
        </w:rPr>
        <w:t>  </w:t>
      </w:r>
      <w:r>
        <w:rPr>
          <w:color w:val="010101"/>
          <w:spacing w:val="-14"/>
        </w:rPr>
        <w:t> </w:t>
      </w:r>
      <w:r>
        <w:rPr>
          <w:color w:val="010101"/>
          <w:w w:val="109"/>
        </w:rPr>
        <w:t>the</w:t>
      </w:r>
      <w:r>
        <w:rPr>
          <w:color w:val="010101"/>
        </w:rPr>
        <w:t>  </w:t>
      </w:r>
      <w:r>
        <w:rPr>
          <w:color w:val="010101"/>
          <w:spacing w:val="-21"/>
        </w:rPr>
        <w:t> </w:t>
      </w:r>
      <w:r>
        <w:rPr>
          <w:color w:val="010101"/>
          <w:w w:val="106"/>
        </w:rPr>
        <w:t>fractional</w:t>
      </w:r>
      <w:r>
        <w:rPr>
          <w:color w:val="010101"/>
        </w:rPr>
        <w:t>  </w:t>
      </w:r>
      <w:r>
        <w:rPr>
          <w:color w:val="010101"/>
          <w:spacing w:val="-15"/>
        </w:rPr>
        <w:t> </w:t>
      </w:r>
      <w:r>
        <w:rPr>
          <w:color w:val="010101"/>
          <w:w w:val="102"/>
        </w:rPr>
        <w:t>premium</w:t>
      </w:r>
      <w:r>
        <w:rPr>
          <w:color w:val="010101"/>
        </w:rPr>
        <w:t>  </w:t>
      </w:r>
      <w:r>
        <w:rPr>
          <w:color w:val="010101"/>
          <w:spacing w:val="3"/>
        </w:rPr>
        <w:t> </w:t>
      </w:r>
      <w:r>
        <w:rPr>
          <w:color w:val="010101"/>
          <w:w w:val="128"/>
        </w:rPr>
        <w:t>P</w:t>
      </w:r>
      <w:r>
        <w:rPr>
          <w:color w:val="010101"/>
          <w:spacing w:val="18"/>
        </w:rPr>
        <w:t> </w:t>
      </w:r>
      <w:r>
        <w:rPr>
          <w:color w:val="010101"/>
          <w:spacing w:val="-16"/>
          <w:w w:val="112"/>
        </w:rPr>
        <w:t>:</w:t>
      </w:r>
      <w:r>
        <w:rPr>
          <w:color w:val="010101"/>
          <w:w w:val="110"/>
          <w:sz w:val="19"/>
        </w:rPr>
        <w:t>;</w:t>
      </w:r>
      <w:r>
        <w:rPr>
          <w:color w:val="010101"/>
          <w:spacing w:val="-22"/>
          <w:w w:val="110"/>
          <w:sz w:val="19"/>
        </w:rPr>
        <w:t>-</w:t>
      </w:r>
      <w:r>
        <w:rPr>
          <w:color w:val="010101"/>
          <w:w w:val="34"/>
          <w:sz w:val="19"/>
        </w:rPr>
        <w:t>1</w:t>
      </w:r>
      <w:r>
        <w:rPr>
          <w:color w:val="010101"/>
          <w:sz w:val="19"/>
        </w:rPr>
        <w:t>  </w:t>
      </w:r>
      <w:r>
        <w:rPr>
          <w:color w:val="010101"/>
          <w:spacing w:val="-14"/>
          <w:sz w:val="19"/>
        </w:rPr>
        <w:t> </w:t>
      </w:r>
      <w:r>
        <w:rPr>
          <w:color w:val="010101"/>
          <w:w w:val="97"/>
        </w:rPr>
        <w:t>will</w:t>
      </w:r>
      <w:r>
        <w:rPr>
          <w:color w:val="010101"/>
        </w:rPr>
        <w:t>  </w:t>
      </w:r>
      <w:r>
        <w:rPr>
          <w:color w:val="010101"/>
          <w:spacing w:val="-21"/>
        </w:rPr>
        <w:t> </w:t>
      </w:r>
      <w:r>
        <w:rPr>
          <w:color w:val="010101"/>
          <w:w w:val="99"/>
        </w:rPr>
        <w:t>exceed</w:t>
      </w:r>
      <w:r>
        <w:rPr>
          <w:color w:val="010101"/>
        </w:rPr>
        <w:t>  </w:t>
      </w:r>
      <w:r>
        <w:rPr>
          <w:color w:val="010101"/>
          <w:spacing w:val="-9"/>
        </w:rPr>
        <w:t> </w:t>
      </w:r>
      <w:r>
        <w:rPr>
          <w:color w:val="010101"/>
          <w:w w:val="112"/>
        </w:rPr>
        <w:t>the</w:t>
      </w:r>
      <w:r>
        <w:rPr>
          <w:color w:val="010101"/>
        </w:rPr>
        <w:t>  </w:t>
      </w:r>
      <w:r>
        <w:rPr>
          <w:color w:val="010101"/>
          <w:spacing w:val="-21"/>
        </w:rPr>
        <w:t> </w:t>
      </w:r>
      <w:r>
        <w:rPr>
          <w:color w:val="010101"/>
          <w:w w:val="108"/>
        </w:rPr>
        <w:t>annual</w:t>
      </w:r>
    </w:p>
    <w:p>
      <w:pPr>
        <w:pStyle w:val="BodyText"/>
        <w:spacing w:line="178" w:lineRule="exact" w:before="11"/>
        <w:ind w:left="112"/>
      </w:pPr>
      <w:r>
        <w:rPr>
          <w:color w:val="010101"/>
          <w:w w:val="105"/>
        </w:rPr>
        <w:t>premium  </w:t>
      </w:r>
      <w:r>
        <w:rPr>
          <w:rFonts w:ascii="Arial" w:hAnsi="Arial"/>
          <w:color w:val="010101"/>
          <w:w w:val="105"/>
          <w:sz w:val="19"/>
        </w:rPr>
        <w:t>P :íil </w:t>
      </w:r>
      <w:r>
        <w:rPr>
          <w:color w:val="010101"/>
          <w:w w:val="105"/>
        </w:rPr>
        <w:t>by  </w:t>
      </w:r>
      <w:r>
        <w:rPr>
          <w:rFonts w:ascii="Arial" w:hAnsi="Arial"/>
          <w:color w:val="010101"/>
          <w:w w:val="105"/>
          <w:sz w:val="19"/>
        </w:rPr>
        <w:t>(1)  </w:t>
      </w:r>
      <w:r>
        <w:rPr>
          <w:color w:val="010101"/>
          <w:w w:val="105"/>
        </w:rPr>
        <w:t>the approximate  loss  of  interest adjustment</w:t>
      </w:r>
    </w:p>
    <w:p>
      <w:pPr>
        <w:pStyle w:val="BodyText"/>
        <w:spacing w:line="408" w:lineRule="exact"/>
        <w:ind w:left="112" w:right="123"/>
      </w:pPr>
      <w:r>
        <w:rPr/>
        <w:pict>
          <v:rect style="position:absolute;margin-left:48.071751pt;margin-top:18.421305pt;width:12.73543pt;height:6.636771pt;mso-position-horizontal-relative:page;mso-position-vertical-relative:paragraph;z-index:-728416" filled="true" fillcolor="#000000" stroked="false">
            <v:fill type="solid"/>
            <w10:wrap type="none"/>
          </v:rect>
        </w:pict>
      </w:r>
      <w:r>
        <w:rPr/>
        <w:pict>
          <v:shape style="position:absolute;margin-left:48.071751pt;margin-top:17.019753pt;width:5.45pt;height:10pt;mso-position-horizontal-relative:page;mso-position-vertical-relative:paragraph;z-index:-728344" type="#_x0000_t202" filled="false" stroked="false">
            <v:textbox inset="0,0,0,0">
              <w:txbxContent>
                <w:p>
                  <w:pPr>
                    <w:pStyle w:val="BodyText"/>
                    <w:spacing w:line="200" w:lineRule="exact"/>
                  </w:pPr>
                  <w:r>
                    <w:rPr>
                      <w:color w:val="010101"/>
                      <w:w w:val="109"/>
                    </w:rPr>
                    <w:t>2</w:t>
                  </w:r>
                </w:p>
              </w:txbxContent>
            </v:textbox>
            <w10:wrap type="none"/>
          </v:shape>
        </w:pict>
      </w:r>
      <w:r>
        <w:rPr/>
        <w:pict>
          <v:shape style="position:absolute;margin-left:104.215202pt;margin-top:20.414753pt;width:11.5pt;height:19.5pt;mso-position-horizontal-relative:page;mso-position-vertical-relative:paragraph;z-index:-728320" type="#_x0000_t202" filled="false" stroked="false">
            <v:textbox inset="0,0,0,0">
              <w:txbxContent>
                <w:p>
                  <w:pPr>
                    <w:spacing w:line="390" w:lineRule="exact" w:before="0"/>
                    <w:ind w:left="0" w:right="-19" w:firstLine="0"/>
                    <w:jc w:val="left"/>
                    <w:rPr>
                      <w:rFonts w:ascii="Arial" w:hAnsi="Arial"/>
                      <w:sz w:val="39"/>
                    </w:rPr>
                  </w:pPr>
                  <w:r>
                    <w:rPr>
                      <w:rFonts w:ascii="Arial" w:hAnsi="Arial"/>
                      <w:color w:val="010101"/>
                      <w:spacing w:val="-89"/>
                      <w:w w:val="144"/>
                      <w:sz w:val="39"/>
                    </w:rPr>
                    <w:t>:</w:t>
                  </w:r>
                  <w:r>
                    <w:rPr>
                      <w:rFonts w:ascii="Arial" w:hAnsi="Arial"/>
                      <w:color w:val="010101"/>
                      <w:spacing w:val="-27"/>
                      <w:w w:val="105"/>
                      <w:sz w:val="39"/>
                    </w:rPr>
                    <w:t>•</w:t>
                  </w:r>
                  <w:r>
                    <w:rPr>
                      <w:rFonts w:ascii="Arial" w:hAnsi="Arial"/>
                      <w:color w:val="010101"/>
                      <w:w w:val="18"/>
                      <w:sz w:val="39"/>
                    </w:rPr>
                    <w:t>&gt;</w:t>
                  </w:r>
                </w:p>
              </w:txbxContent>
            </v:textbox>
            <w10:wrap type="none"/>
          </v:shape>
        </w:pict>
      </w:r>
      <w:r>
        <w:rPr>
          <w:rFonts w:ascii="Arial"/>
          <w:i/>
          <w:color w:val="010101"/>
          <w:w w:val="107"/>
          <w:sz w:val="18"/>
        </w:rPr>
        <w:t>m</w:t>
      </w:r>
      <w:r>
        <w:rPr>
          <w:rFonts w:ascii="Arial"/>
          <w:i/>
          <w:color w:val="010101"/>
          <w:sz w:val="18"/>
        </w:rPr>
        <w:t> </w:t>
      </w:r>
      <w:r>
        <w:rPr>
          <w:rFonts w:ascii="Arial"/>
          <w:i/>
          <w:color w:val="010101"/>
          <w:spacing w:val="-22"/>
          <w:sz w:val="18"/>
        </w:rPr>
        <w:t> </w:t>
      </w:r>
      <w:r>
        <w:rPr>
          <w:color w:val="010101"/>
          <w:w w:val="88"/>
          <w:sz w:val="45"/>
        </w:rPr>
        <w:t>:i</w:t>
      </w:r>
      <w:r>
        <w:rPr>
          <w:color w:val="010101"/>
          <w:spacing w:val="-77"/>
          <w:sz w:val="45"/>
        </w:rPr>
        <w:t> </w:t>
      </w:r>
      <w:r>
        <w:rPr>
          <w:color w:val="010101"/>
          <w:w w:val="128"/>
          <w:position w:val="12"/>
        </w:rPr>
        <w:t>1</w:t>
      </w:r>
      <w:r>
        <w:rPr>
          <w:color w:val="010101"/>
          <w:spacing w:val="-28"/>
          <w:position w:val="12"/>
        </w:rPr>
        <w:t> </w:t>
      </w:r>
      <w:r>
        <w:rPr>
          <w:color w:val="010101"/>
          <w:spacing w:val="-23"/>
          <w:w w:val="132"/>
        </w:rPr>
        <w:t>P</w:t>
      </w:r>
      <w:r>
        <w:rPr>
          <w:color w:val="010101"/>
          <w:w w:val="307"/>
        </w:rPr>
        <w:t>!</w:t>
      </w:r>
      <w:r>
        <w:rPr>
          <w:color w:val="010101"/>
        </w:rPr>
        <w:t> </w:t>
      </w:r>
      <w:r>
        <w:rPr>
          <w:color w:val="010101"/>
          <w:spacing w:val="21"/>
        </w:rPr>
        <w:t> </w:t>
      </w:r>
      <w:r>
        <w:rPr>
          <w:i/>
          <w:color w:val="010101"/>
          <w:w w:val="93"/>
          <w:sz w:val="19"/>
        </w:rPr>
        <w:t>d</w:t>
      </w:r>
      <w:r>
        <w:rPr>
          <w:i/>
          <w:color w:val="010101"/>
          <w:sz w:val="19"/>
        </w:rPr>
        <w:t> </w:t>
      </w:r>
      <w:r>
        <w:rPr>
          <w:i/>
          <w:color w:val="010101"/>
          <w:spacing w:val="10"/>
          <w:sz w:val="19"/>
        </w:rPr>
        <w:t> </w:t>
      </w:r>
      <w:r>
        <w:rPr>
          <w:color w:val="010101"/>
          <w:w w:val="108"/>
        </w:rPr>
        <w:t>and</w:t>
      </w:r>
      <w:r>
        <w:rPr>
          <w:color w:val="010101"/>
        </w:rPr>
        <w:t> </w:t>
      </w:r>
      <w:r>
        <w:rPr>
          <w:color w:val="010101"/>
          <w:spacing w:val="19"/>
        </w:rPr>
        <w:t> </w:t>
      </w:r>
      <w:r>
        <w:rPr>
          <w:color w:val="010101"/>
          <w:w w:val="96"/>
        </w:rPr>
        <w:t>(2)</w:t>
      </w:r>
      <w:r>
        <w:rPr>
          <w:color w:val="010101"/>
        </w:rPr>
        <w:t> </w:t>
      </w:r>
      <w:r>
        <w:rPr>
          <w:color w:val="010101"/>
          <w:spacing w:val="3"/>
        </w:rPr>
        <w:t> </w:t>
      </w:r>
      <w:r>
        <w:rPr>
          <w:color w:val="010101"/>
          <w:w w:val="111"/>
        </w:rPr>
        <w:t>the</w:t>
      </w:r>
      <w:r>
        <w:rPr>
          <w:color w:val="010101"/>
        </w:rPr>
        <w:t> </w:t>
      </w:r>
      <w:r>
        <w:rPr>
          <w:color w:val="010101"/>
          <w:spacing w:val="-4"/>
        </w:rPr>
        <w:t> </w:t>
      </w:r>
      <w:r>
        <w:rPr>
          <w:color w:val="010101"/>
          <w:w w:val="105"/>
        </w:rPr>
        <w:t>approximate</w:t>
      </w:r>
      <w:r>
        <w:rPr>
          <w:color w:val="010101"/>
        </w:rPr>
        <w:t> </w:t>
      </w:r>
      <w:r>
        <w:rPr>
          <w:color w:val="010101"/>
          <w:spacing w:val="11"/>
        </w:rPr>
        <w:t> </w:t>
      </w:r>
      <w:r>
        <w:rPr>
          <w:color w:val="010101"/>
          <w:w w:val="99"/>
        </w:rPr>
        <w:t>loss</w:t>
      </w:r>
      <w:r>
        <w:rPr>
          <w:color w:val="010101"/>
        </w:rPr>
        <w:t> </w:t>
      </w:r>
      <w:r>
        <w:rPr>
          <w:color w:val="010101"/>
          <w:spacing w:val="-10"/>
        </w:rPr>
        <w:t> </w:t>
      </w:r>
      <w:r>
        <w:rPr>
          <w:color w:val="010101"/>
          <w:w w:val="89"/>
        </w:rPr>
        <w:t>of</w:t>
      </w:r>
      <w:r>
        <w:rPr>
          <w:color w:val="010101"/>
        </w:rPr>
        <w:t> </w:t>
      </w:r>
      <w:r>
        <w:rPr>
          <w:color w:val="010101"/>
          <w:spacing w:val="11"/>
        </w:rPr>
        <w:t> </w:t>
      </w:r>
      <w:r>
        <w:rPr>
          <w:color w:val="010101"/>
          <w:w w:val="102"/>
        </w:rPr>
        <w:t>premium</w:t>
      </w:r>
      <w:r>
        <w:rPr>
          <w:color w:val="010101"/>
        </w:rPr>
        <w:t>  </w:t>
      </w:r>
      <w:r>
        <w:rPr>
          <w:color w:val="010101"/>
          <w:spacing w:val="-25"/>
        </w:rPr>
        <w:t> </w:t>
      </w:r>
      <w:r>
        <w:rPr>
          <w:color w:val="010101"/>
          <w:w w:val="103"/>
        </w:rPr>
        <w:t>a</w:t>
      </w:r>
      <w:r>
        <w:rPr>
          <w:color w:val="010101"/>
          <w:spacing w:val="4"/>
          <w:w w:val="103"/>
        </w:rPr>
        <w:t>d</w:t>
      </w:r>
      <w:r>
        <w:rPr>
          <w:color w:val="010101"/>
          <w:w w:val="105"/>
        </w:rPr>
        <w:t>just-</w:t>
      </w:r>
    </w:p>
    <w:p>
      <w:pPr>
        <w:tabs>
          <w:tab w:pos="1897" w:val="right" w:leader="none"/>
        </w:tabs>
        <w:spacing w:line="179" w:lineRule="exact" w:before="129"/>
        <w:ind w:left="607" w:right="0" w:firstLine="0"/>
        <w:jc w:val="left"/>
        <w:rPr>
          <w:sz w:val="12"/>
        </w:rPr>
      </w:pPr>
      <w:r>
        <w:rPr>
          <w:rFonts w:ascii="Arial"/>
          <w:i/>
          <w:color w:val="010101"/>
          <w:w w:val="120"/>
          <w:sz w:val="18"/>
        </w:rPr>
        <w:t>m</w:t>
      </w:r>
      <w:r>
        <w:rPr>
          <w:rFonts w:ascii="Arial"/>
          <w:i/>
          <w:color w:val="010101"/>
          <w:spacing w:val="21"/>
          <w:w w:val="120"/>
          <w:sz w:val="18"/>
        </w:rPr>
        <w:t> </w:t>
      </w:r>
      <w:r>
        <w:rPr>
          <w:rFonts w:ascii="Arial"/>
          <w:color w:val="010101"/>
          <w:w w:val="275"/>
          <w:sz w:val="18"/>
        </w:rPr>
        <w:t>-</w:t>
      </w:r>
      <w:r>
        <w:rPr>
          <w:rFonts w:ascii="Arial"/>
          <w:color w:val="010101"/>
          <w:spacing w:val="-56"/>
          <w:w w:val="275"/>
          <w:sz w:val="18"/>
        </w:rPr>
        <w:t> </w:t>
      </w:r>
      <w:r>
        <w:rPr>
          <w:color w:val="010101"/>
          <w:w w:val="120"/>
          <w:sz w:val="20"/>
        </w:rPr>
        <w:t>1</w:t>
      </w:r>
      <w:r>
        <w:rPr>
          <w:color w:val="010101"/>
          <w:w w:val="120"/>
          <w:sz w:val="12"/>
        </w:rPr>
        <w:tab/>
      </w:r>
      <w:r>
        <w:rPr>
          <w:color w:val="010101"/>
          <w:w w:val="160"/>
          <w:sz w:val="12"/>
        </w:rPr>
        <w:t>1</w:t>
      </w:r>
    </w:p>
    <w:p>
      <w:pPr>
        <w:tabs>
          <w:tab w:pos="1260" w:val="left" w:leader="none"/>
        </w:tabs>
        <w:spacing w:line="190" w:lineRule="exact" w:before="0"/>
        <w:ind w:left="109" w:right="739" w:firstLine="0"/>
        <w:jc w:val="left"/>
        <w:rPr>
          <w:sz w:val="20"/>
        </w:rPr>
      </w:pPr>
      <w:r>
        <w:rPr>
          <w:color w:val="010101"/>
          <w:sz w:val="20"/>
        </w:rPr>
        <w:t>ment</w:t>
        <w:tab/>
      </w:r>
      <w:r>
        <w:rPr>
          <w:b/>
          <w:color w:val="010101"/>
          <w:w w:val="95"/>
          <w:sz w:val="21"/>
        </w:rPr>
        <w:t>Ps:,i"\Ps:i\</w:t>
      </w:r>
      <w:r>
        <w:rPr>
          <w:b/>
          <w:color w:val="010101"/>
          <w:spacing w:val="-1"/>
          <w:w w:val="95"/>
          <w:sz w:val="21"/>
        </w:rPr>
        <w:t> </w:t>
      </w:r>
      <w:r>
        <w:rPr>
          <w:color w:val="010101"/>
          <w:w w:val="95"/>
          <w:sz w:val="21"/>
        </w:rPr>
        <w:t>.</w:t>
      </w:r>
      <w:r>
        <w:rPr>
          <w:color w:val="010101"/>
          <w:w w:val="95"/>
          <w:sz w:val="20"/>
        </w:rPr>
        <w:t>Hence,</w:t>
      </w:r>
    </w:p>
    <w:p>
      <w:pPr>
        <w:spacing w:after="0" w:line="190" w:lineRule="exact"/>
        <w:jc w:val="left"/>
        <w:rPr>
          <w:sz w:val="20"/>
        </w:rPr>
        <w:sectPr>
          <w:type w:val="continuous"/>
          <w:pgSz w:w="7200" w:h="11340"/>
          <w:pgMar w:top="1100" w:bottom="0" w:left="680" w:right="540"/>
        </w:sectPr>
      </w:pPr>
    </w:p>
    <w:p>
      <w:pPr>
        <w:tabs>
          <w:tab w:pos="2028" w:val="left" w:leader="none"/>
        </w:tabs>
        <w:spacing w:line="196" w:lineRule="exact" w:before="201"/>
        <w:ind w:left="1153" w:right="0" w:firstLine="0"/>
        <w:jc w:val="left"/>
        <w:rPr>
          <w:sz w:val="13"/>
        </w:rPr>
      </w:pPr>
      <w:r>
        <w:rPr>
          <w:b/>
          <w:color w:val="010101"/>
          <w:spacing w:val="-29"/>
          <w:w w:val="90"/>
          <w:position w:val="-15"/>
          <w:sz w:val="29"/>
        </w:rPr>
        <w:t>P.</w:t>
      </w:r>
      <w:r>
        <w:rPr>
          <w:rFonts w:ascii="Arial" w:hAnsi="Arial"/>
          <w:color w:val="010101"/>
          <w:spacing w:val="-29"/>
          <w:w w:val="90"/>
          <w:sz w:val="22"/>
        </w:rPr>
        <w:t>&lt;</w:t>
      </w:r>
      <w:r>
        <w:rPr>
          <w:b/>
          <w:color w:val="010101"/>
          <w:spacing w:val="-29"/>
          <w:w w:val="90"/>
          <w:position w:val="-15"/>
          <w:sz w:val="29"/>
        </w:rPr>
        <w:t>:</w:t>
      </w:r>
      <w:r>
        <w:rPr>
          <w:rFonts w:ascii="Arial" w:hAnsi="Arial"/>
          <w:color w:val="010101"/>
          <w:spacing w:val="-29"/>
          <w:w w:val="90"/>
          <w:sz w:val="22"/>
        </w:rPr>
        <w:t>•</w:t>
      </w:r>
      <w:r>
        <w:rPr>
          <w:b/>
          <w:color w:val="010101"/>
          <w:spacing w:val="-29"/>
          <w:w w:val="90"/>
          <w:position w:val="-15"/>
          <w:sz w:val="29"/>
        </w:rPr>
        <w:t>.</w:t>
      </w:r>
      <w:r>
        <w:rPr>
          <w:rFonts w:ascii="Arial" w:hAnsi="Arial"/>
          <w:color w:val="010101"/>
          <w:spacing w:val="-29"/>
          <w:w w:val="90"/>
          <w:sz w:val="22"/>
        </w:rPr>
        <w:t>&gt;</w:t>
      </w:r>
      <w:r>
        <w:rPr>
          <w:b/>
          <w:color w:val="010101"/>
          <w:spacing w:val="-29"/>
          <w:w w:val="90"/>
          <w:position w:val="-15"/>
          <w:sz w:val="29"/>
        </w:rPr>
        <w:t>¡</w:t>
      </w:r>
      <w:r>
        <w:rPr>
          <w:b/>
          <w:color w:val="010101"/>
          <w:spacing w:val="-24"/>
          <w:w w:val="90"/>
          <w:position w:val="-15"/>
          <w:sz w:val="29"/>
        </w:rPr>
        <w:t> </w:t>
      </w:r>
      <w:r>
        <w:rPr>
          <w:rFonts w:ascii="Arial" w:hAnsi="Arial"/>
          <w:color w:val="010101"/>
          <w:w w:val="90"/>
          <w:sz w:val="22"/>
        </w:rPr>
        <w:t>•</w:t>
        <w:tab/>
      </w:r>
      <w:r>
        <w:rPr>
          <w:color w:val="010101"/>
          <w:w w:val="105"/>
          <w:sz w:val="13"/>
        </w:rPr>
        <w:t>1</w:t>
      </w:r>
    </w:p>
    <w:p>
      <w:pPr>
        <w:spacing w:line="186" w:lineRule="exact" w:before="210"/>
        <w:ind w:left="205" w:right="-12" w:firstLine="0"/>
        <w:jc w:val="left"/>
        <w:rPr>
          <w:rFonts w:ascii="Arial"/>
          <w:sz w:val="21"/>
        </w:rPr>
      </w:pPr>
      <w:r>
        <w:rPr/>
        <w:br w:type="column"/>
      </w:r>
      <w:r>
        <w:rPr>
          <w:rFonts w:ascii="Arial"/>
          <w:color w:val="010101"/>
          <w:w w:val="110"/>
          <w:position w:val="-15"/>
          <w:sz w:val="32"/>
        </w:rPr>
        <w:t>+ </w:t>
      </w:r>
      <w:r>
        <w:rPr>
          <w:rFonts w:ascii="Arial"/>
          <w:i/>
          <w:color w:val="010101"/>
          <w:w w:val="110"/>
          <w:sz w:val="18"/>
        </w:rPr>
        <w:t>m </w:t>
      </w:r>
      <w:r>
        <w:rPr>
          <w:rFonts w:ascii="Arial"/>
          <w:color w:val="010101"/>
          <w:w w:val="280"/>
          <w:sz w:val="18"/>
        </w:rPr>
        <w:t>- </w:t>
      </w:r>
      <w:r>
        <w:rPr>
          <w:color w:val="010101"/>
          <w:w w:val="110"/>
          <w:sz w:val="20"/>
        </w:rPr>
        <w:t>I </w:t>
      </w:r>
      <w:r>
        <w:rPr>
          <w:b/>
          <w:color w:val="010101"/>
          <w:w w:val="110"/>
          <w:position w:val="-15"/>
          <w:sz w:val="21"/>
        </w:rPr>
        <w:t>P </w:t>
      </w:r>
      <w:r>
        <w:rPr>
          <w:rFonts w:ascii="Arial"/>
          <w:color w:val="010101"/>
          <w:w w:val="70"/>
          <w:sz w:val="21"/>
        </w:rPr>
        <w:t>&gt;</w:t>
      </w:r>
    </w:p>
    <w:p>
      <w:pPr>
        <w:tabs>
          <w:tab w:pos="727" w:val="left" w:leader="none"/>
          <w:tab w:pos="1663" w:val="left" w:leader="none"/>
        </w:tabs>
        <w:spacing w:line="130" w:lineRule="exact" w:before="267"/>
        <w:ind w:left="322" w:right="0" w:firstLine="0"/>
        <w:jc w:val="left"/>
        <w:rPr>
          <w:sz w:val="20"/>
        </w:rPr>
      </w:pPr>
      <w:r>
        <w:rPr/>
        <w:br w:type="column"/>
      </w:r>
      <w:r>
        <w:rPr>
          <w:rFonts w:ascii="Arial"/>
          <w:color w:val="010101"/>
          <w:w w:val="105"/>
          <w:position w:val="-2"/>
          <w:sz w:val="32"/>
        </w:rPr>
        <w:t>+</w:t>
        <w:tab/>
      </w:r>
      <w:r>
        <w:rPr>
          <w:color w:val="010101"/>
          <w:w w:val="115"/>
          <w:position w:val="13"/>
          <w:sz w:val="13"/>
        </w:rPr>
        <w:t>1   </w:t>
      </w:r>
      <w:r>
        <w:rPr>
          <w:color w:val="010101"/>
          <w:spacing w:val="33"/>
          <w:w w:val="115"/>
          <w:position w:val="13"/>
          <w:sz w:val="13"/>
        </w:rPr>
        <w:t> </w:t>
      </w:r>
      <w:r>
        <w:rPr>
          <w:b/>
          <w:color w:val="010101"/>
          <w:w w:val="105"/>
          <w:position w:val="-2"/>
          <w:sz w:val="21"/>
        </w:rPr>
        <w:t>)</w:t>
      </w:r>
      <w:r>
        <w:rPr>
          <w:b/>
          <w:color w:val="010101"/>
          <w:spacing w:val="-28"/>
          <w:w w:val="105"/>
          <w:position w:val="-2"/>
          <w:sz w:val="21"/>
        </w:rPr>
        <w:t> </w:t>
      </w:r>
      <w:r>
        <w:rPr>
          <w:b/>
          <w:color w:val="010101"/>
          <w:w w:val="105"/>
          <w:position w:val="-2"/>
          <w:sz w:val="21"/>
        </w:rPr>
        <w:t>,</w:t>
        <w:tab/>
      </w:r>
      <w:r>
        <w:rPr>
          <w:color w:val="010101"/>
          <w:spacing w:val="-6"/>
          <w:w w:val="105"/>
          <w:sz w:val="20"/>
        </w:rPr>
        <w:t>(4.15)</w:t>
      </w:r>
    </w:p>
    <w:p>
      <w:pPr>
        <w:spacing w:after="0" w:line="130" w:lineRule="exact"/>
        <w:jc w:val="left"/>
        <w:rPr>
          <w:sz w:val="20"/>
        </w:rPr>
        <w:sectPr>
          <w:type w:val="continuous"/>
          <w:pgSz w:w="7200" w:h="11340"/>
          <w:pgMar w:top="1100" w:bottom="0" w:left="680" w:right="540"/>
          <w:cols w:num="3" w:equalWidth="0">
            <w:col w:w="2117" w:space="40"/>
            <w:col w:w="1458" w:space="40"/>
            <w:col w:w="2325"/>
          </w:cols>
        </w:sectPr>
      </w:pPr>
    </w:p>
    <w:p>
      <w:pPr>
        <w:spacing w:line="214" w:lineRule="exact" w:before="0"/>
        <w:ind w:left="0" w:right="0" w:firstLine="0"/>
        <w:jc w:val="right"/>
        <w:rPr>
          <w:b/>
          <w:sz w:val="21"/>
        </w:rPr>
      </w:pPr>
      <w:r>
        <w:rPr>
          <w:b/>
          <w:color w:val="010101"/>
          <w:w w:val="90"/>
          <w:sz w:val="21"/>
        </w:rPr>
        <w:t>Ps:a!</w:t>
      </w:r>
    </w:p>
    <w:p>
      <w:pPr>
        <w:spacing w:line="214" w:lineRule="exact" w:before="0"/>
        <w:ind w:left="0" w:right="0" w:firstLine="0"/>
        <w:jc w:val="right"/>
        <w:rPr>
          <w:rFonts w:ascii="Arial"/>
          <w:b/>
          <w:i/>
          <w:sz w:val="19"/>
        </w:rPr>
      </w:pPr>
      <w:r>
        <w:rPr/>
        <w:br w:type="column"/>
      </w:r>
      <w:r>
        <w:rPr>
          <w:b/>
          <w:color w:val="010101"/>
          <w:w w:val="95"/>
          <w:sz w:val="21"/>
        </w:rPr>
        <w:t>s:-1 </w:t>
      </w:r>
      <w:r>
        <w:rPr>
          <w:rFonts w:ascii="Arial"/>
          <w:b/>
          <w:i/>
          <w:color w:val="010101"/>
          <w:w w:val="95"/>
          <w:sz w:val="19"/>
        </w:rPr>
        <w:t>(d</w:t>
      </w:r>
    </w:p>
    <w:p>
      <w:pPr>
        <w:spacing w:line="214" w:lineRule="exact" w:before="0"/>
        <w:ind w:left="304" w:right="0" w:firstLine="0"/>
        <w:jc w:val="left"/>
        <w:rPr>
          <w:b/>
          <w:sz w:val="21"/>
        </w:rPr>
      </w:pPr>
      <w:r>
        <w:rPr/>
        <w:br w:type="column"/>
      </w:r>
      <w:r>
        <w:rPr>
          <w:b/>
          <w:color w:val="010101"/>
          <w:w w:val="105"/>
          <w:sz w:val="21"/>
        </w:rPr>
        <w:t>Ps:il</w:t>
      </w:r>
    </w:p>
    <w:p>
      <w:pPr>
        <w:spacing w:after="0" w:line="214" w:lineRule="exact"/>
        <w:jc w:val="left"/>
        <w:rPr>
          <w:sz w:val="21"/>
        </w:rPr>
        <w:sectPr>
          <w:type w:val="continuous"/>
          <w:pgSz w:w="7200" w:h="11340"/>
          <w:pgMar w:top="1100" w:bottom="0" w:left="680" w:right="540"/>
          <w:cols w:num="3" w:equalWidth="0">
            <w:col w:w="2285" w:space="40"/>
            <w:col w:w="1562" w:space="40"/>
            <w:col w:w="2053"/>
          </w:cols>
        </w:sectPr>
      </w:pPr>
    </w:p>
    <w:p>
      <w:pPr>
        <w:pStyle w:val="BodyText"/>
        <w:spacing w:before="228"/>
        <w:ind w:left="109" w:right="-9"/>
      </w:pPr>
      <w:r>
        <w:rPr>
          <w:color w:val="010101"/>
          <w:w w:val="105"/>
        </w:rPr>
        <w:t>and</w:t>
      </w:r>
    </w:p>
    <w:p>
      <w:pPr>
        <w:tabs>
          <w:tab w:pos="1680" w:val="left" w:leader="none"/>
        </w:tabs>
        <w:spacing w:line="224" w:lineRule="exact" w:before="491"/>
        <w:ind w:left="267" w:right="0" w:firstLine="0"/>
        <w:jc w:val="left"/>
        <w:rPr>
          <w:rFonts w:ascii="Arial" w:hAnsi="Arial"/>
          <w:sz w:val="26"/>
        </w:rPr>
      </w:pPr>
      <w:r>
        <w:rPr/>
        <w:br w:type="column"/>
      </w:r>
      <w:r>
        <w:rPr>
          <w:rFonts w:ascii="Arial" w:hAnsi="Arial"/>
          <w:color w:val="010101"/>
          <w:spacing w:val="-4"/>
          <w:w w:val="85"/>
          <w:sz w:val="26"/>
        </w:rPr>
        <w:t>(•)</w:t>
        <w:tab/>
        <w:t>P!:"iil</w:t>
      </w:r>
    </w:p>
    <w:p>
      <w:pPr>
        <w:spacing w:line="135" w:lineRule="exact" w:before="0"/>
        <w:ind w:left="109" w:right="0" w:firstLine="0"/>
        <w:jc w:val="left"/>
        <w:rPr>
          <w:rFonts w:ascii="Arial" w:hAnsi="Arial"/>
          <w:sz w:val="26"/>
        </w:rPr>
      </w:pPr>
      <w:r>
        <w:rPr>
          <w:color w:val="010101"/>
          <w:w w:val="88"/>
          <w:sz w:val="29"/>
        </w:rPr>
        <w:t>P</w:t>
      </w:r>
      <w:r>
        <w:rPr>
          <w:color w:val="010101"/>
          <w:spacing w:val="-11"/>
          <w:w w:val="88"/>
          <w:sz w:val="29"/>
        </w:rPr>
        <w:t>!</w:t>
      </w:r>
      <w:r>
        <w:rPr>
          <w:color w:val="010101"/>
          <w:spacing w:val="31"/>
          <w:w w:val="308"/>
          <w:sz w:val="29"/>
        </w:rPr>
        <w:t>:</w:t>
      </w:r>
      <w:r>
        <w:rPr>
          <w:rFonts w:ascii="Arial" w:hAnsi="Arial"/>
          <w:color w:val="010101"/>
          <w:w w:val="70"/>
          <w:sz w:val="26"/>
        </w:rPr>
        <w:t>=:</w:t>
      </w:r>
      <w:r>
        <w:rPr>
          <w:rFonts w:ascii="Arial" w:hAnsi="Arial"/>
          <w:color w:val="010101"/>
          <w:spacing w:val="5"/>
          <w:sz w:val="26"/>
        </w:rPr>
        <w:t> </w:t>
      </w:r>
      <w:r>
        <w:rPr>
          <w:rFonts w:ascii="Arial" w:hAnsi="Arial"/>
          <w:color w:val="010101"/>
          <w:spacing w:val="-51"/>
          <w:w w:val="322"/>
          <w:sz w:val="26"/>
        </w:rPr>
        <w:t>--------</w:t>
      </w:r>
      <w:r>
        <w:rPr>
          <w:rFonts w:ascii="Arial" w:hAnsi="Arial"/>
          <w:color w:val="010101"/>
          <w:w w:val="342"/>
          <w:sz w:val="26"/>
        </w:rPr>
        <w:t>­</w:t>
      </w:r>
    </w:p>
    <w:p>
      <w:pPr>
        <w:spacing w:after="0" w:line="135" w:lineRule="exact"/>
        <w:jc w:val="left"/>
        <w:rPr>
          <w:rFonts w:ascii="Arial" w:hAnsi="Arial"/>
          <w:sz w:val="26"/>
        </w:rPr>
        <w:sectPr>
          <w:type w:val="continuous"/>
          <w:pgSz w:w="7200" w:h="11340"/>
          <w:pgMar w:top="1100" w:bottom="0" w:left="680" w:right="540"/>
          <w:cols w:num="2" w:equalWidth="0">
            <w:col w:w="424" w:space="978"/>
            <w:col w:w="4578"/>
          </w:cols>
        </w:sectPr>
      </w:pPr>
    </w:p>
    <w:p>
      <w:pPr>
        <w:spacing w:line="182" w:lineRule="exact" w:before="14"/>
        <w:ind w:left="0" w:right="70" w:firstLine="0"/>
        <w:jc w:val="right"/>
        <w:rPr>
          <w:sz w:val="20"/>
        </w:rPr>
      </w:pPr>
      <w:r>
        <w:rPr>
          <w:rFonts w:ascii="Arial"/>
          <w:i/>
          <w:color w:val="010101"/>
          <w:w w:val="120"/>
          <w:sz w:val="18"/>
        </w:rPr>
        <w:t>m </w:t>
      </w:r>
      <w:r>
        <w:rPr>
          <w:rFonts w:ascii="Arial"/>
          <w:color w:val="010101"/>
          <w:w w:val="290"/>
          <w:sz w:val="18"/>
        </w:rPr>
        <w:t>-</w:t>
      </w:r>
      <w:r>
        <w:rPr>
          <w:rFonts w:ascii="Arial"/>
          <w:color w:val="010101"/>
          <w:spacing w:val="-68"/>
          <w:w w:val="290"/>
          <w:sz w:val="18"/>
        </w:rPr>
        <w:t> </w:t>
      </w:r>
      <w:r>
        <w:rPr>
          <w:color w:val="010101"/>
          <w:w w:val="145"/>
          <w:sz w:val="20"/>
        </w:rPr>
        <w:t>1</w:t>
      </w:r>
    </w:p>
    <w:p>
      <w:pPr>
        <w:pStyle w:val="BodyText"/>
        <w:tabs>
          <w:tab w:pos="1051" w:val="left" w:leader="none"/>
        </w:tabs>
        <w:spacing w:line="182" w:lineRule="exact"/>
        <w:jc w:val="right"/>
        <w:rPr>
          <w:i/>
          <w:sz w:val="19"/>
        </w:rPr>
      </w:pPr>
      <w:r>
        <w:rPr>
          <w:color w:val="010101"/>
          <w:w w:val="105"/>
        </w:rPr>
        <w:t>I  </w:t>
      </w:r>
      <w:r>
        <w:rPr>
          <w:color w:val="010101"/>
          <w:w w:val="265"/>
        </w:rPr>
        <w:t>-</w:t>
        <w:tab/>
      </w:r>
      <w:r>
        <w:rPr>
          <w:i/>
          <w:color w:val="010101"/>
          <w:w w:val="80"/>
          <w:sz w:val="19"/>
        </w:rPr>
        <w:t>(</w:t>
      </w:r>
    </w:p>
    <w:p>
      <w:pPr>
        <w:spacing w:line="103" w:lineRule="exact" w:before="88"/>
        <w:ind w:left="122" w:right="165" w:firstLine="0"/>
        <w:jc w:val="center"/>
        <w:rPr>
          <w:sz w:val="12"/>
        </w:rPr>
      </w:pPr>
      <w:r>
        <w:rPr/>
        <w:br w:type="column"/>
      </w:r>
      <w:r>
        <w:rPr>
          <w:color w:val="010101"/>
          <w:w w:val="145"/>
          <w:sz w:val="12"/>
        </w:rPr>
        <w:t>1</w:t>
      </w:r>
    </w:p>
    <w:p>
      <w:pPr>
        <w:spacing w:line="183" w:lineRule="exact" w:before="0"/>
        <w:ind w:left="-8" w:right="0" w:firstLine="0"/>
        <w:jc w:val="center"/>
        <w:rPr>
          <w:i/>
          <w:sz w:val="19"/>
        </w:rPr>
      </w:pPr>
      <w:r>
        <w:rPr>
          <w:i/>
          <w:color w:val="010101"/>
          <w:w w:val="120"/>
          <w:sz w:val="19"/>
        </w:rPr>
        <w:t>P.:.¡</w:t>
      </w:r>
    </w:p>
    <w:p>
      <w:pPr>
        <w:spacing w:before="147"/>
        <w:ind w:left="16" w:right="-18" w:firstLine="0"/>
        <w:jc w:val="left"/>
        <w:rPr>
          <w:sz w:val="20"/>
        </w:rPr>
      </w:pPr>
      <w:r>
        <w:rPr/>
        <w:br w:type="column"/>
      </w:r>
      <w:r>
        <w:rPr>
          <w:i/>
          <w:color w:val="010101"/>
          <w:w w:val="140"/>
          <w:sz w:val="19"/>
        </w:rPr>
        <w:t>+</w:t>
      </w:r>
      <w:r>
        <w:rPr>
          <w:i/>
          <w:color w:val="010101"/>
          <w:spacing w:val="-35"/>
          <w:w w:val="140"/>
          <w:sz w:val="19"/>
        </w:rPr>
        <w:t> </w:t>
      </w:r>
      <w:r>
        <w:rPr>
          <w:color w:val="010101"/>
          <w:w w:val="140"/>
          <w:sz w:val="20"/>
        </w:rPr>
        <w:t>d)</w:t>
      </w:r>
    </w:p>
    <w:p>
      <w:pPr>
        <w:spacing w:line="194" w:lineRule="exact" w:before="0"/>
        <w:ind w:left="960" w:right="0" w:firstLine="0"/>
        <w:jc w:val="left"/>
        <w:rPr>
          <w:rFonts w:ascii="Arial"/>
          <w:sz w:val="19"/>
        </w:rPr>
      </w:pPr>
      <w:r>
        <w:rPr/>
        <w:br w:type="column"/>
      </w:r>
      <w:r>
        <w:rPr>
          <w:rFonts w:ascii="Arial"/>
          <w:color w:val="010101"/>
          <w:w w:val="110"/>
          <w:sz w:val="19"/>
        </w:rPr>
        <w:t>(4.16)</w:t>
      </w:r>
    </w:p>
    <w:p>
      <w:pPr>
        <w:spacing w:after="0" w:line="194" w:lineRule="exact"/>
        <w:jc w:val="left"/>
        <w:rPr>
          <w:rFonts w:ascii="Arial"/>
          <w:sz w:val="19"/>
        </w:rPr>
        <w:sectPr>
          <w:type w:val="continuous"/>
          <w:pgSz w:w="7200" w:h="11340"/>
          <w:pgMar w:top="1100" w:bottom="0" w:left="680" w:right="540"/>
          <w:cols w:num="4" w:equalWidth="0">
            <w:col w:w="3370" w:space="40"/>
            <w:col w:w="414" w:space="40"/>
            <w:col w:w="463" w:space="40"/>
            <w:col w:w="1613"/>
          </w:cols>
        </w:sectPr>
      </w:pPr>
    </w:p>
    <w:p>
      <w:pPr>
        <w:pStyle w:val="BodyText"/>
        <w:spacing w:before="234"/>
        <w:ind w:left="328" w:right="739"/>
      </w:pPr>
      <w:r>
        <w:rPr>
          <w:color w:val="010101"/>
          <w:w w:val="105"/>
        </w:rPr>
        <w:t>ln the case of  endowment  insurance, the relations  are</w:t>
      </w:r>
    </w:p>
    <w:p>
      <w:pPr>
        <w:spacing w:after="0"/>
        <w:sectPr>
          <w:type w:val="continuous"/>
          <w:pgSz w:w="7200" w:h="11340"/>
          <w:pgMar w:top="1100" w:bottom="0" w:left="680" w:right="540"/>
        </w:sectPr>
      </w:pPr>
    </w:p>
    <w:p>
      <w:pPr>
        <w:tabs>
          <w:tab w:pos="2027" w:val="left" w:leader="none"/>
          <w:tab w:pos="5927" w:val="right" w:leader="none"/>
        </w:tabs>
        <w:spacing w:before="51"/>
        <w:ind w:left="130" w:right="0" w:firstLine="0"/>
        <w:jc w:val="left"/>
        <w:rPr>
          <w:rFonts w:ascii="Courier New"/>
          <w:sz w:val="22"/>
        </w:rPr>
      </w:pPr>
      <w:r>
        <w:rPr>
          <w:b/>
          <w:w w:val="105"/>
          <w:sz w:val="15"/>
        </w:rPr>
        <w:t>SEC.</w:t>
      </w:r>
      <w:r>
        <w:rPr>
          <w:b/>
          <w:spacing w:val="23"/>
          <w:w w:val="105"/>
          <w:sz w:val="15"/>
        </w:rPr>
        <w:t> </w:t>
      </w:r>
      <w:r>
        <w:rPr>
          <w:rFonts w:ascii="Arial"/>
          <w:b/>
          <w:w w:val="105"/>
          <w:sz w:val="19"/>
        </w:rPr>
        <w:t>2)</w:t>
        <w:tab/>
      </w:r>
      <w:r>
        <w:rPr>
          <w:b/>
          <w:w w:val="105"/>
          <w:sz w:val="14"/>
        </w:rPr>
        <w:t>FRACTIONAL  </w:t>
      </w:r>
      <w:r>
        <w:rPr>
          <w:b/>
          <w:spacing w:val="15"/>
          <w:w w:val="105"/>
          <w:sz w:val="14"/>
        </w:rPr>
        <w:t> </w:t>
      </w:r>
      <w:r>
        <w:rPr>
          <w:b/>
          <w:w w:val="105"/>
          <w:sz w:val="14"/>
        </w:rPr>
        <w:t>PREMIUMS</w:t>
      </w:r>
      <w:r>
        <w:rPr>
          <w:rFonts w:ascii="Courier New"/>
          <w:w w:val="105"/>
          <w:sz w:val="22"/>
        </w:rPr>
        <w:tab/>
      </w:r>
      <w:r>
        <w:rPr>
          <w:rFonts w:ascii="Courier New"/>
          <w:spacing w:val="-23"/>
          <w:w w:val="105"/>
          <w:sz w:val="22"/>
        </w:rPr>
        <w:t>87</w:t>
      </w:r>
    </w:p>
    <w:p>
      <w:pPr>
        <w:spacing w:after="0"/>
        <w:jc w:val="left"/>
        <w:rPr>
          <w:rFonts w:ascii="Courier New"/>
          <w:sz w:val="22"/>
        </w:rPr>
        <w:sectPr>
          <w:pgSz w:w="7200" w:h="11340"/>
          <w:pgMar w:top="500" w:bottom="280" w:left="640" w:right="520"/>
        </w:sectPr>
      </w:pPr>
    </w:p>
    <w:p>
      <w:pPr>
        <w:spacing w:line="133" w:lineRule="exact" w:before="328"/>
        <w:ind w:left="0" w:right="0" w:firstLine="0"/>
        <w:jc w:val="right"/>
        <w:rPr>
          <w:sz w:val="18"/>
        </w:rPr>
      </w:pPr>
      <w:r>
        <w:rPr>
          <w:b/>
          <w:spacing w:val="-4"/>
          <w:w w:val="109"/>
          <w:position w:val="-5"/>
          <w:sz w:val="22"/>
        </w:rPr>
        <w:t>P</w:t>
      </w:r>
      <w:r>
        <w:rPr>
          <w:spacing w:val="-55"/>
          <w:w w:val="86"/>
          <w:position w:val="-9"/>
          <w:sz w:val="18"/>
        </w:rPr>
        <w:t>z</w:t>
      </w:r>
      <w:r>
        <w:rPr>
          <w:rFonts w:ascii="Arial" w:hAnsi="Arial"/>
          <w:b/>
          <w:w w:val="106"/>
          <w:sz w:val="10"/>
        </w:rPr>
        <w:t>(</w:t>
      </w:r>
      <w:r>
        <w:rPr>
          <w:rFonts w:ascii="Arial" w:hAnsi="Arial"/>
          <w:b/>
          <w:spacing w:val="-82"/>
          <w:w w:val="106"/>
          <w:sz w:val="10"/>
        </w:rPr>
        <w:t>W</w:t>
      </w:r>
      <w:r>
        <w:rPr>
          <w:w w:val="86"/>
          <w:position w:val="-9"/>
          <w:sz w:val="18"/>
        </w:rPr>
        <w:t>:</w:t>
      </w:r>
      <w:r>
        <w:rPr>
          <w:spacing w:val="-41"/>
          <w:w w:val="87"/>
          <w:position w:val="-9"/>
          <w:sz w:val="18"/>
        </w:rPr>
        <w:t>ñ</w:t>
      </w:r>
      <w:r>
        <w:rPr>
          <w:rFonts w:ascii="Arial" w:hAnsi="Arial"/>
          <w:b/>
          <w:w w:val="106"/>
          <w:sz w:val="10"/>
        </w:rPr>
        <w:t>I</w:t>
      </w:r>
      <w:r>
        <w:rPr>
          <w:rFonts w:ascii="Arial" w:hAnsi="Arial"/>
          <w:b/>
          <w:spacing w:val="-26"/>
          <w:w w:val="106"/>
          <w:sz w:val="10"/>
        </w:rPr>
        <w:t>)</w:t>
      </w:r>
      <w:r>
        <w:rPr>
          <w:w w:val="86"/>
          <w:position w:val="-9"/>
          <w:sz w:val="18"/>
        </w:rPr>
        <w:t>l</w:t>
      </w:r>
    </w:p>
    <w:p>
      <w:pPr>
        <w:tabs>
          <w:tab w:pos="305" w:val="left" w:leader="none"/>
          <w:tab w:pos="787" w:val="left" w:leader="none"/>
        </w:tabs>
        <w:spacing w:line="288" w:lineRule="exact" w:before="173"/>
        <w:ind w:left="63" w:right="0" w:firstLine="0"/>
        <w:jc w:val="left"/>
        <w:rPr>
          <w:rFonts w:ascii="Arial" w:hAnsi="Arial"/>
          <w:sz w:val="19"/>
        </w:rPr>
      </w:pPr>
      <w:r>
        <w:rPr/>
        <w:br w:type="column"/>
      </w:r>
      <w:r>
        <w:rPr>
          <w:rFonts w:ascii="Arial" w:hAnsi="Arial"/>
          <w:w w:val="110"/>
          <w:sz w:val="10"/>
        </w:rPr>
        <w:t>•</w:t>
        <w:tab/>
      </w:r>
      <w:r>
        <w:rPr>
          <w:i/>
          <w:w w:val="110"/>
          <w:sz w:val="21"/>
        </w:rPr>
        <w:t>p</w:t>
        <w:tab/>
      </w:r>
      <w:r>
        <w:rPr>
          <w:rFonts w:ascii="Arial" w:hAnsi="Arial"/>
          <w:w w:val="110"/>
          <w:sz w:val="32"/>
        </w:rPr>
        <w:t>+ </w:t>
      </w:r>
      <w:r>
        <w:rPr>
          <w:rFonts w:ascii="Arial" w:hAnsi="Arial"/>
          <w:i/>
          <w:w w:val="110"/>
          <w:sz w:val="18"/>
        </w:rPr>
        <w:t>m </w:t>
      </w:r>
      <w:r>
        <w:rPr>
          <w:rFonts w:ascii="Arial" w:hAnsi="Arial"/>
          <w:w w:val="265"/>
          <w:sz w:val="18"/>
        </w:rPr>
        <w:t>- </w:t>
      </w:r>
      <w:r>
        <w:rPr>
          <w:w w:val="110"/>
          <w:sz w:val="20"/>
        </w:rPr>
        <w:t>1 </w:t>
      </w:r>
      <w:r>
        <w:rPr>
          <w:rFonts w:ascii="Arial" w:hAnsi="Arial"/>
          <w:w w:val="110"/>
          <w:sz w:val="19"/>
        </w:rPr>
        <w:t>p("') </w:t>
      </w:r>
      <w:r>
        <w:rPr>
          <w:rFonts w:ascii="Arial" w:hAnsi="Arial"/>
          <w:i/>
          <w:w w:val="110"/>
          <w:sz w:val="19"/>
        </w:rPr>
        <w:t>( d </w:t>
      </w:r>
      <w:r>
        <w:rPr>
          <w:rFonts w:ascii="Arial" w:hAnsi="Arial"/>
          <w:w w:val="110"/>
          <w:sz w:val="32"/>
        </w:rPr>
        <w:t>+ </w:t>
      </w:r>
      <w:r>
        <w:rPr>
          <w:rFonts w:ascii="Arial" w:hAnsi="Arial"/>
          <w:w w:val="140"/>
          <w:sz w:val="19"/>
        </w:rPr>
        <w:t>pl</w:t>
      </w:r>
      <w:r>
        <w:rPr>
          <w:rFonts w:ascii="Arial" w:hAnsi="Arial"/>
          <w:spacing w:val="21"/>
          <w:w w:val="140"/>
          <w:sz w:val="19"/>
        </w:rPr>
        <w:t> </w:t>
      </w:r>
      <w:r>
        <w:rPr>
          <w:rFonts w:ascii="Arial" w:hAnsi="Arial"/>
          <w:w w:val="110"/>
          <w:sz w:val="19"/>
        </w:rPr>
        <w:t>)</w:t>
      </w:r>
    </w:p>
    <w:p>
      <w:pPr>
        <w:spacing w:line="102" w:lineRule="exact" w:before="359"/>
        <w:ind w:left="516" w:right="0" w:firstLine="0"/>
        <w:jc w:val="left"/>
        <w:rPr>
          <w:rFonts w:ascii="Arial"/>
          <w:b/>
          <w:sz w:val="18"/>
        </w:rPr>
      </w:pPr>
      <w:r>
        <w:rPr/>
        <w:br w:type="column"/>
      </w:r>
      <w:r>
        <w:rPr>
          <w:rFonts w:ascii="Arial"/>
          <w:w w:val="110"/>
          <w:sz w:val="18"/>
        </w:rPr>
        <w:t>(</w:t>
      </w:r>
      <w:r>
        <w:rPr>
          <w:rFonts w:ascii="Arial"/>
          <w:b/>
          <w:w w:val="110"/>
          <w:sz w:val="18"/>
        </w:rPr>
        <w:t>4.17 )</w:t>
      </w:r>
    </w:p>
    <w:p>
      <w:pPr>
        <w:spacing w:after="0" w:line="102" w:lineRule="exact"/>
        <w:jc w:val="left"/>
        <w:rPr>
          <w:rFonts w:ascii="Arial"/>
          <w:sz w:val="18"/>
        </w:rPr>
        <w:sectPr>
          <w:type w:val="continuous"/>
          <w:pgSz w:w="7200" w:h="11340"/>
          <w:pgMar w:top="1100" w:bottom="0" w:left="640" w:right="520"/>
          <w:cols w:num="3" w:equalWidth="0">
            <w:col w:w="1593" w:space="40"/>
            <w:col w:w="3176" w:space="40"/>
            <w:col w:w="1191"/>
          </w:cols>
        </w:sectPr>
      </w:pPr>
    </w:p>
    <w:p>
      <w:pPr>
        <w:tabs>
          <w:tab w:pos="3463" w:val="left" w:leader="none"/>
          <w:tab w:pos="4443" w:val="left" w:leader="none"/>
        </w:tabs>
        <w:spacing w:line="143" w:lineRule="exact" w:before="0"/>
        <w:ind w:left="1692" w:right="0" w:firstLine="0"/>
        <w:jc w:val="left"/>
        <w:rPr>
          <w:rFonts w:ascii="Arial"/>
          <w:b/>
          <w:sz w:val="13"/>
        </w:rPr>
      </w:pPr>
      <w:r>
        <w:rPr/>
        <w:pict>
          <v:shape style="position:absolute;margin-left:135.899994pt;margin-top:-4.861888pt;width:131.8pt;height:13pt;mso-position-horizontal-relative:page;mso-position-vertical-relative:paragraph;z-index:-728248" type="#_x0000_t202" filled="false" stroked="false">
            <v:textbox inset="0,0,0,0">
              <w:txbxContent>
                <w:p>
                  <w:pPr>
                    <w:tabs>
                      <w:tab w:pos="496" w:val="left" w:leader="none"/>
                      <w:tab w:pos="2498" w:val="left" w:leader="none"/>
                    </w:tabs>
                    <w:spacing w:line="260" w:lineRule="exact" w:before="0"/>
                    <w:ind w:left="0" w:right="0" w:firstLine="0"/>
                    <w:jc w:val="left"/>
                    <w:rPr>
                      <w:rFonts w:ascii="Arial"/>
                      <w:sz w:val="19"/>
                    </w:rPr>
                  </w:pPr>
                  <w:r>
                    <w:rPr>
                      <w:rFonts w:ascii="Arial"/>
                      <w:b/>
                      <w:w w:val="83"/>
                      <w:sz w:val="13"/>
                    </w:rPr>
                    <w:t>z:"'iil</w:t>
                  </w:r>
                  <w:r>
                    <w:rPr>
                      <w:rFonts w:ascii="Arial"/>
                      <w:b/>
                      <w:sz w:val="13"/>
                    </w:rPr>
                    <w:tab/>
                  </w:r>
                  <w:r>
                    <w:rPr>
                      <w:rFonts w:ascii="Arial"/>
                      <w:b/>
                      <w:i/>
                      <w:spacing w:val="-315"/>
                      <w:w w:val="158"/>
                      <w:sz w:val="26"/>
                    </w:rPr>
                    <w:t>2</w:t>
                  </w:r>
                  <w:r>
                    <w:rPr>
                      <w:rFonts w:ascii="Arial"/>
                      <w:b/>
                      <w:i/>
                      <w:w w:val="158"/>
                      <w:sz w:val="26"/>
                    </w:rPr>
                    <w:t>m</w:t>
                  </w:r>
                  <w:r>
                    <w:rPr>
                      <w:rFonts w:ascii="Arial"/>
                      <w:b/>
                      <w:i/>
                      <w:sz w:val="26"/>
                    </w:rPr>
                    <w:tab/>
                  </w:r>
                  <w:r>
                    <w:rPr>
                      <w:rFonts w:ascii="Arial"/>
                      <w:w w:val="66"/>
                      <w:sz w:val="19"/>
                    </w:rPr>
                    <w:t>i"J</w:t>
                  </w:r>
                </w:p>
              </w:txbxContent>
            </v:textbox>
            <w10:wrap type="none"/>
          </v:shape>
        </w:pict>
      </w:r>
      <w:r>
        <w:rPr>
          <w:rFonts w:ascii="Arial"/>
          <w:w w:val="115"/>
          <w:sz w:val="14"/>
        </w:rPr>
        <w:t>=;</w:t>
        <w:tab/>
      </w:r>
      <w:r>
        <w:rPr>
          <w:rFonts w:ascii="Arial"/>
          <w:b/>
          <w:spacing w:val="-5"/>
          <w:sz w:val="13"/>
        </w:rPr>
        <w:t>z:111</w:t>
        <w:tab/>
      </w:r>
      <w:r>
        <w:rPr>
          <w:rFonts w:ascii="Arial"/>
          <w:b/>
          <w:w w:val="105"/>
          <w:sz w:val="13"/>
        </w:rPr>
        <w:t>z:</w:t>
      </w:r>
    </w:p>
    <w:p>
      <w:pPr>
        <w:spacing w:before="239"/>
        <w:ind w:left="134" w:right="0" w:firstLine="0"/>
        <w:jc w:val="left"/>
        <w:rPr>
          <w:b/>
          <w:sz w:val="19"/>
        </w:rPr>
      </w:pPr>
      <w:r>
        <w:rPr/>
        <w:drawing>
          <wp:anchor distT="0" distB="0" distL="0" distR="0" allowOverlap="1" layoutInCell="1" locked="0" behindDoc="0" simplePos="0" relativeHeight="7768">
            <wp:simplePos x="0" y="0"/>
            <wp:positionH relativeFrom="page">
              <wp:posOffset>1380744</wp:posOffset>
            </wp:positionH>
            <wp:positionV relativeFrom="paragraph">
              <wp:posOffset>387847</wp:posOffset>
            </wp:positionV>
            <wp:extent cx="1819656" cy="448056"/>
            <wp:effectExtent l="0" t="0" r="0" b="0"/>
            <wp:wrapNone/>
            <wp:docPr id="211" name="image110.png" descr=""/>
            <wp:cNvGraphicFramePr>
              <a:graphicFrameLocks noChangeAspect="1"/>
            </wp:cNvGraphicFramePr>
            <a:graphic>
              <a:graphicData uri="http://schemas.openxmlformats.org/drawingml/2006/picture">
                <pic:pic>
                  <pic:nvPicPr>
                    <pic:cNvPr id="212" name="image110.png"/>
                    <pic:cNvPicPr/>
                  </pic:nvPicPr>
                  <pic:blipFill>
                    <a:blip r:embed="rId114" cstate="print"/>
                    <a:stretch>
                      <a:fillRect/>
                    </a:stretch>
                  </pic:blipFill>
                  <pic:spPr>
                    <a:xfrm>
                      <a:off x="0" y="0"/>
                      <a:ext cx="1819656" cy="448056"/>
                    </a:xfrm>
                    <a:prstGeom prst="rect">
                      <a:avLst/>
                    </a:prstGeom>
                  </pic:spPr>
                </pic:pic>
              </a:graphicData>
            </a:graphic>
          </wp:anchor>
        </w:drawing>
      </w:r>
      <w:r>
        <w:rPr>
          <w:b/>
          <w:w w:val="105"/>
          <w:sz w:val="19"/>
        </w:rPr>
        <w:t>and</w:t>
      </w:r>
    </w:p>
    <w:p>
      <w:pPr>
        <w:spacing w:before="380"/>
        <w:ind w:left="0" w:right="147" w:firstLine="0"/>
        <w:jc w:val="right"/>
        <w:rPr>
          <w:rFonts w:ascii="Arial"/>
          <w:b/>
          <w:sz w:val="18"/>
        </w:rPr>
      </w:pPr>
      <w:r>
        <w:rPr>
          <w:rFonts w:ascii="Arial"/>
          <w:w w:val="115"/>
          <w:sz w:val="18"/>
        </w:rPr>
        <w:t>(</w:t>
      </w:r>
      <w:r>
        <w:rPr>
          <w:rFonts w:ascii="Arial"/>
          <w:b/>
          <w:w w:val="115"/>
          <w:sz w:val="18"/>
        </w:rPr>
        <w:t>4.18)</w:t>
      </w:r>
    </w:p>
    <w:p>
      <w:pPr>
        <w:pStyle w:val="BodyText"/>
        <w:rPr>
          <w:rFonts w:ascii="Arial"/>
          <w:b/>
        </w:rPr>
      </w:pPr>
    </w:p>
    <w:p>
      <w:pPr>
        <w:pStyle w:val="BodyText"/>
        <w:spacing w:before="11"/>
        <w:rPr>
          <w:rFonts w:ascii="Arial"/>
          <w:b/>
          <w:sz w:val="15"/>
        </w:rPr>
      </w:pPr>
    </w:p>
    <w:p>
      <w:pPr>
        <w:spacing w:line="240" w:lineRule="auto" w:before="0"/>
        <w:ind w:left="134" w:right="139" w:firstLine="0"/>
        <w:jc w:val="both"/>
        <w:rPr>
          <w:sz w:val="21"/>
        </w:rPr>
      </w:pPr>
      <w:r>
        <w:rPr>
          <w:b/>
          <w:sz w:val="21"/>
        </w:rPr>
        <w:t>lt </w:t>
      </w:r>
      <w:r>
        <w:rPr>
          <w:sz w:val="21"/>
        </w:rPr>
        <w:t>is </w:t>
      </w:r>
      <w:r>
        <w:rPr>
          <w:spacing w:val="2"/>
          <w:sz w:val="21"/>
        </w:rPr>
        <w:t>important </w:t>
      </w:r>
      <w:r>
        <w:rPr>
          <w:sz w:val="21"/>
        </w:rPr>
        <w:t>to note that in this case the loss of premium is covered by a term insurance and not by an endowment insurance. This is because the loss of premium  is incurred  only  in  the event of death, and not in the event that the insured  survives to  ma­ turity.</w:t>
      </w:r>
    </w:p>
    <w:p>
      <w:pPr>
        <w:spacing w:line="240" w:lineRule="auto" w:before="0"/>
        <w:ind w:left="130" w:right="156" w:firstLine="208"/>
        <w:jc w:val="both"/>
        <w:rPr>
          <w:sz w:val="21"/>
        </w:rPr>
      </w:pPr>
      <w:r>
        <w:rPr>
          <w:sz w:val="22"/>
        </w:rPr>
        <w:t>In </w:t>
      </w:r>
      <w:r>
        <w:rPr>
          <w:sz w:val="21"/>
        </w:rPr>
        <w:t>Jeveloping similar formulas for limited-payment  insurances,  it must be remernbered that the loss of premium in the year  of  death ean only occur while the policy is within t.he premium-paying period. Consequently, the loss of premium  adjustment  is eovered by  </w:t>
      </w:r>
      <w:r>
        <w:rPr>
          <w:rFonts w:ascii="Arial"/>
          <w:sz w:val="17"/>
        </w:rPr>
        <w:t>a </w:t>
      </w:r>
      <w:r>
        <w:rPr>
          <w:sz w:val="21"/>
        </w:rPr>
        <w:t>term  insurance for the premium-paying  period.  For</w:t>
      </w:r>
      <w:r>
        <w:rPr>
          <w:spacing w:val="21"/>
          <w:sz w:val="21"/>
        </w:rPr>
        <w:t> </w:t>
      </w:r>
      <w:r>
        <w:rPr>
          <w:sz w:val="21"/>
        </w:rPr>
        <w:t>example,</w:t>
      </w:r>
    </w:p>
    <w:p>
      <w:pPr>
        <w:tabs>
          <w:tab w:pos="2074" w:val="left" w:leader="none"/>
          <w:tab w:pos="2607" w:val="left" w:leader="none"/>
          <w:tab w:pos="4281" w:val="left" w:leader="none"/>
        </w:tabs>
        <w:spacing w:line="222" w:lineRule="exact" w:before="165"/>
        <w:ind w:left="1304" w:right="0" w:firstLine="0"/>
        <w:jc w:val="left"/>
        <w:rPr>
          <w:rFonts w:ascii="Arial"/>
          <w:sz w:val="19"/>
        </w:rPr>
      </w:pPr>
      <w:r>
        <w:rPr/>
        <w:pict>
          <v:shape style="position:absolute;margin-left:150.479996pt;margin-top:11.213276pt;width:175.75pt;height:17pt;mso-position-horizontal-relative:page;mso-position-vertical-relative:paragraph;z-index:-728224" type="#_x0000_t202" filled="false" stroked="false">
            <v:textbox inset="0,0,0,0">
              <w:txbxContent>
                <w:p>
                  <w:pPr>
                    <w:tabs>
                      <w:tab w:pos="1666" w:val="left" w:leader="none"/>
                      <w:tab w:pos="2995" w:val="left" w:leader="none"/>
                    </w:tabs>
                    <w:spacing w:line="340" w:lineRule="exact" w:before="0"/>
                    <w:ind w:left="0" w:right="0" w:firstLine="0"/>
                    <w:jc w:val="left"/>
                    <w:rPr>
                      <w:sz w:val="19"/>
                    </w:rPr>
                  </w:pPr>
                  <w:r>
                    <w:rPr>
                      <w:rFonts w:ascii="Arial"/>
                      <w:w w:val="105"/>
                      <w:sz w:val="31"/>
                    </w:rPr>
                    <w:t>+</w:t>
                  </w:r>
                  <w:r>
                    <w:rPr>
                      <w:rFonts w:ascii="Arial"/>
                      <w:spacing w:val="-19"/>
                      <w:w w:val="105"/>
                      <w:sz w:val="31"/>
                    </w:rPr>
                    <w:t> </w:t>
                  </w:r>
                  <w:r>
                    <w:rPr>
                      <w:rFonts w:ascii="Arial"/>
                      <w:b/>
                      <w:i/>
                      <w:w w:val="135"/>
                      <w:sz w:val="26"/>
                    </w:rPr>
                    <w:t>2m</w:t>
                  </w:r>
                  <w:r>
                    <w:rPr>
                      <w:rFonts w:ascii="Arial"/>
                      <w:b/>
                      <w:i/>
                      <w:spacing w:val="-22"/>
                      <w:w w:val="135"/>
                      <w:sz w:val="26"/>
                    </w:rPr>
                    <w:t> </w:t>
                  </w:r>
                  <w:r>
                    <w:rPr>
                      <w:rFonts w:ascii="Arial"/>
                      <w:w w:val="135"/>
                      <w:sz w:val="26"/>
                    </w:rPr>
                    <w:t>'</w:t>
                    <w:tab/>
                  </w:r>
                  <w:r>
                    <w:rPr>
                      <w:rFonts w:ascii="Arial"/>
                      <w:w w:val="105"/>
                      <w:sz w:val="31"/>
                    </w:rPr>
                    <w:t>+</w:t>
                  </w:r>
                  <w:r>
                    <w:rPr>
                      <w:rFonts w:ascii="Arial"/>
                      <w:spacing w:val="35"/>
                      <w:w w:val="105"/>
                      <w:sz w:val="31"/>
                    </w:rPr>
                    <w:t> </w:t>
                  </w:r>
                  <w:r>
                    <w:rPr>
                      <w:b/>
                      <w:w w:val="80"/>
                      <w:sz w:val="34"/>
                    </w:rPr>
                    <w:t>z:</w:t>
                  </w:r>
                  <w:r>
                    <w:rPr>
                      <w:b/>
                      <w:spacing w:val="-51"/>
                      <w:w w:val="80"/>
                      <w:sz w:val="34"/>
                    </w:rPr>
                    <w:t> </w:t>
                  </w:r>
                  <w:r>
                    <w:rPr>
                      <w:b/>
                      <w:w w:val="80"/>
                      <w:sz w:val="34"/>
                    </w:rPr>
                    <w:t>,,</w:t>
                    <w:tab/>
                  </w:r>
                  <w:r>
                    <w:rPr>
                      <w:w w:val="105"/>
                      <w:position w:val="7"/>
                      <w:sz w:val="19"/>
                    </w:rPr>
                    <w:t>(</w:t>
                  </w:r>
                  <w:r>
                    <w:rPr>
                      <w:spacing w:val="-14"/>
                      <w:w w:val="105"/>
                      <w:position w:val="7"/>
                      <w:sz w:val="19"/>
                    </w:rPr>
                    <w:t> </w:t>
                  </w:r>
                  <w:r>
                    <w:rPr>
                      <w:w w:val="105"/>
                      <w:position w:val="7"/>
                      <w:sz w:val="19"/>
                    </w:rPr>
                    <w:t>4.19)</w:t>
                  </w:r>
                </w:p>
              </w:txbxContent>
            </v:textbox>
            <w10:wrap type="none"/>
          </v:shape>
        </w:pict>
      </w:r>
      <w:r>
        <w:rPr>
          <w:rFonts w:ascii="Arial"/>
          <w:b/>
          <w:sz w:val="18"/>
        </w:rPr>
        <w:t>p(m)</w:t>
      </w:r>
      <w:r>
        <w:rPr>
          <w:rFonts w:ascii="Arial"/>
          <w:b/>
          <w:spacing w:val="49"/>
          <w:sz w:val="18"/>
        </w:rPr>
        <w:t> </w:t>
      </w:r>
      <w:r>
        <w:rPr>
          <w:rFonts w:ascii="Arial"/>
          <w:w w:val="155"/>
          <w:sz w:val="18"/>
        </w:rPr>
        <w:t>.</w:t>
        <w:tab/>
      </w:r>
      <w:r>
        <w:rPr>
          <w:b/>
          <w:i/>
          <w:sz w:val="21"/>
        </w:rPr>
        <w:t>p</w:t>
        <w:tab/>
        <w:t>m </w:t>
      </w:r>
      <w:r>
        <w:rPr>
          <w:w w:val="225"/>
          <w:sz w:val="21"/>
        </w:rPr>
        <w:t>- </w:t>
      </w:r>
      <w:r>
        <w:rPr>
          <w:b/>
          <w:sz w:val="20"/>
        </w:rPr>
        <w:t>1  </w:t>
      </w:r>
      <w:r>
        <w:rPr>
          <w:rFonts w:ascii="Arial"/>
          <w:b/>
          <w:sz w:val="18"/>
        </w:rPr>
        <w:t>p&lt;m)</w:t>
      </w:r>
      <w:r>
        <w:rPr>
          <w:rFonts w:ascii="Arial"/>
          <w:b/>
          <w:spacing w:val="-4"/>
          <w:sz w:val="18"/>
        </w:rPr>
        <w:t> </w:t>
      </w:r>
      <w:r>
        <w:rPr>
          <w:rFonts w:ascii="Arial"/>
          <w:i/>
          <w:sz w:val="18"/>
        </w:rPr>
        <w:t>(</w:t>
      </w:r>
      <w:r>
        <w:rPr>
          <w:rFonts w:ascii="Arial"/>
          <w:i/>
          <w:spacing w:val="-26"/>
          <w:sz w:val="18"/>
        </w:rPr>
        <w:t> </w:t>
      </w:r>
      <w:r>
        <w:rPr>
          <w:rFonts w:ascii="Arial"/>
          <w:i/>
          <w:sz w:val="18"/>
        </w:rPr>
        <w:t>d</w:t>
        <w:tab/>
      </w:r>
      <w:r>
        <w:rPr>
          <w:rFonts w:ascii="Arial"/>
          <w:w w:val="155"/>
          <w:sz w:val="19"/>
        </w:rPr>
        <w:t>pl </w:t>
      </w:r>
      <w:r>
        <w:rPr>
          <w:rFonts w:ascii="Arial"/>
          <w:spacing w:val="5"/>
          <w:w w:val="155"/>
          <w:sz w:val="19"/>
        </w:rPr>
        <w:t> </w:t>
      </w:r>
      <w:r>
        <w:rPr>
          <w:rFonts w:ascii="Arial"/>
          <w:w w:val="125"/>
          <w:sz w:val="19"/>
        </w:rPr>
        <w:t>)</w:t>
      </w:r>
    </w:p>
    <w:p>
      <w:pPr>
        <w:tabs>
          <w:tab w:pos="1775" w:val="left" w:leader="none"/>
          <w:tab w:pos="3435" w:val="left" w:leader="none"/>
        </w:tabs>
        <w:spacing w:line="141" w:lineRule="exact" w:before="0"/>
        <w:ind w:left="1257" w:right="0" w:firstLine="0"/>
        <w:jc w:val="left"/>
        <w:rPr>
          <w:rFonts w:ascii="Arial"/>
          <w:sz w:val="7"/>
        </w:rPr>
      </w:pPr>
      <w:r>
        <w:rPr>
          <w:rFonts w:ascii="Arial"/>
          <w:w w:val="435"/>
          <w:sz w:val="7"/>
        </w:rPr>
        <w:t>'</w:t>
      </w:r>
      <w:r>
        <w:rPr>
          <w:rFonts w:ascii="Arial"/>
          <w:spacing w:val="25"/>
          <w:w w:val="435"/>
          <w:sz w:val="7"/>
        </w:rPr>
        <w:t> </w:t>
      </w:r>
      <w:r>
        <w:rPr>
          <w:rFonts w:ascii="Arial"/>
          <w:w w:val="135"/>
          <w:sz w:val="7"/>
        </w:rPr>
        <w:t>%</w:t>
        <w:tab/>
      </w:r>
      <w:r>
        <w:rPr>
          <w:rFonts w:ascii="Arial"/>
          <w:w w:val="135"/>
          <w:sz w:val="14"/>
        </w:rPr>
        <w:t>=;</w:t>
      </w:r>
      <w:r>
        <w:rPr>
          <w:rFonts w:ascii="Arial"/>
          <w:spacing w:val="27"/>
          <w:w w:val="135"/>
          <w:sz w:val="14"/>
        </w:rPr>
        <w:t> </w:t>
      </w:r>
      <w:r>
        <w:rPr>
          <w:rFonts w:ascii="Arial"/>
          <w:w w:val="235"/>
          <w:sz w:val="14"/>
        </w:rPr>
        <w:t>'</w:t>
      </w:r>
      <w:r>
        <w:rPr>
          <w:rFonts w:ascii="Arial"/>
          <w:spacing w:val="29"/>
          <w:w w:val="235"/>
          <w:sz w:val="14"/>
        </w:rPr>
        <w:t> </w:t>
      </w:r>
      <w:r>
        <w:rPr>
          <w:w w:val="120"/>
          <w:sz w:val="8"/>
        </w:rPr>
        <w:t>%</w:t>
        <w:tab/>
      </w:r>
      <w:r>
        <w:rPr>
          <w:rFonts w:ascii="Arial"/>
          <w:w w:val="135"/>
          <w:sz w:val="7"/>
        </w:rPr>
        <w:t>%</w:t>
      </w:r>
    </w:p>
    <w:p>
      <w:pPr>
        <w:pStyle w:val="BodyText"/>
        <w:spacing w:before="11"/>
        <w:rPr>
          <w:rFonts w:ascii="Arial"/>
          <w:sz w:val="10"/>
        </w:rPr>
      </w:pPr>
    </w:p>
    <w:p>
      <w:pPr>
        <w:spacing w:after="0"/>
        <w:rPr>
          <w:rFonts w:ascii="Arial"/>
          <w:sz w:val="10"/>
        </w:rPr>
        <w:sectPr>
          <w:type w:val="continuous"/>
          <w:pgSz w:w="7200" w:h="11340"/>
          <w:pgMar w:top="1100" w:bottom="0" w:left="640" w:right="520"/>
        </w:sectPr>
      </w:pPr>
    </w:p>
    <w:p>
      <w:pPr>
        <w:spacing w:before="73"/>
        <w:ind w:left="126" w:right="-8" w:firstLine="0"/>
        <w:jc w:val="left"/>
        <w:rPr>
          <w:sz w:val="21"/>
        </w:rPr>
      </w:pPr>
      <w:r>
        <w:rPr>
          <w:sz w:val="21"/>
        </w:rPr>
        <w:t>and</w:t>
      </w:r>
    </w:p>
    <w:p>
      <w:pPr>
        <w:pStyle w:val="BodyText"/>
        <w:rPr>
          <w:sz w:val="22"/>
        </w:rPr>
      </w:pPr>
      <w:r>
        <w:rPr/>
        <w:br w:type="column"/>
      </w:r>
      <w:r>
        <w:rPr>
          <w:sz w:val="22"/>
        </w:rPr>
      </w:r>
    </w:p>
    <w:p>
      <w:pPr>
        <w:tabs>
          <w:tab w:pos="1771" w:val="left" w:leader="none"/>
        </w:tabs>
        <w:spacing w:line="209" w:lineRule="exact" w:before="178"/>
        <w:ind w:left="184" w:right="0" w:firstLine="0"/>
        <w:jc w:val="left"/>
        <w:rPr>
          <w:b/>
          <w:i/>
          <w:sz w:val="22"/>
        </w:rPr>
      </w:pPr>
      <w:r>
        <w:rPr>
          <w:rFonts w:ascii="Arial"/>
          <w:b/>
          <w:w w:val="95"/>
          <w:sz w:val="18"/>
        </w:rPr>
        <w:t>p&lt;m)</w:t>
      </w:r>
      <w:r>
        <w:rPr>
          <w:rFonts w:ascii="Arial"/>
          <w:b/>
          <w:spacing w:val="23"/>
          <w:w w:val="95"/>
          <w:sz w:val="18"/>
        </w:rPr>
        <w:t> </w:t>
      </w:r>
      <w:r>
        <w:rPr>
          <w:rFonts w:ascii="Arial"/>
          <w:i/>
          <w:w w:val="95"/>
          <w:sz w:val="18"/>
        </w:rPr>
        <w:t>:.-</w:t>
        <w:tab/>
      </w:r>
      <w:r>
        <w:rPr>
          <w:b/>
          <w:i/>
          <w:w w:val="95"/>
          <w:sz w:val="22"/>
          <w:u w:val="thick"/>
        </w:rPr>
        <w:t>,Pz</w:t>
      </w:r>
    </w:p>
    <w:p>
      <w:pPr>
        <w:tabs>
          <w:tab w:pos="641" w:val="left" w:leader="none"/>
          <w:tab w:pos="1285" w:val="left" w:leader="none"/>
          <w:tab w:pos="2189" w:val="left" w:leader="none"/>
          <w:tab w:pos="3006" w:val="left" w:leader="none"/>
        </w:tabs>
        <w:spacing w:line="187" w:lineRule="exact" w:before="0"/>
        <w:ind w:left="126" w:right="0" w:firstLine="0"/>
        <w:jc w:val="left"/>
        <w:rPr>
          <w:sz w:val="12"/>
        </w:rPr>
      </w:pPr>
      <w:r>
        <w:rPr/>
        <w:pict>
          <v:shape style="position:absolute;margin-left:227.880005pt;margin-top:5.593626pt;width:9.8pt;height:16pt;mso-position-horizontal-relative:page;mso-position-vertical-relative:paragraph;z-index:-728200" type="#_x0000_t202" filled="false" stroked="false">
            <v:textbox inset="0,0,0,0">
              <w:txbxContent>
                <w:p>
                  <w:pPr>
                    <w:spacing w:line="320" w:lineRule="exact" w:before="0"/>
                    <w:ind w:left="0" w:right="0" w:firstLine="0"/>
                    <w:jc w:val="left"/>
                    <w:rPr>
                      <w:rFonts w:ascii="Arial"/>
                      <w:sz w:val="32"/>
                    </w:rPr>
                  </w:pPr>
                  <w:r>
                    <w:rPr>
                      <w:rFonts w:ascii="Arial"/>
                      <w:w w:val="104"/>
                      <w:sz w:val="32"/>
                    </w:rPr>
                    <w:t>+</w:t>
                  </w:r>
                </w:p>
              </w:txbxContent>
            </v:textbox>
            <w10:wrap type="none"/>
          </v:shape>
        </w:pict>
      </w:r>
      <w:r>
        <w:rPr>
          <w:w w:val="135"/>
          <w:sz w:val="26"/>
        </w:rPr>
        <w:t>'</w:t>
      </w:r>
      <w:r>
        <w:rPr>
          <w:spacing w:val="17"/>
          <w:w w:val="135"/>
          <w:sz w:val="26"/>
        </w:rPr>
        <w:t> </w:t>
      </w:r>
      <w:r>
        <w:rPr>
          <w:w w:val="85"/>
          <w:sz w:val="26"/>
        </w:rPr>
        <w:t>z</w:t>
        <w:tab/>
      </w:r>
      <w:r>
        <w:rPr>
          <w:w w:val="115"/>
          <w:sz w:val="26"/>
        </w:rPr>
        <w:t>-:</w:t>
        <w:tab/>
      </w:r>
      <w:r>
        <w:rPr>
          <w:rFonts w:ascii="Arial" w:hAnsi="Arial"/>
          <w:w w:val="115"/>
          <w:sz w:val="19"/>
        </w:rPr>
        <w:t>m</w:t>
      </w:r>
      <w:r>
        <w:rPr>
          <w:rFonts w:ascii="Arial" w:hAnsi="Arial"/>
          <w:spacing w:val="14"/>
          <w:w w:val="115"/>
          <w:sz w:val="19"/>
        </w:rPr>
        <w:t> </w:t>
      </w:r>
      <w:r>
        <w:rPr>
          <w:rFonts w:ascii="Arial" w:hAnsi="Arial"/>
          <w:w w:val="255"/>
          <w:sz w:val="19"/>
        </w:rPr>
        <w:t>-</w:t>
      </w:r>
      <w:r>
        <w:rPr>
          <w:rFonts w:ascii="Arial" w:hAnsi="Arial"/>
          <w:spacing w:val="-52"/>
          <w:w w:val="255"/>
          <w:sz w:val="19"/>
        </w:rPr>
        <w:t> </w:t>
      </w:r>
      <w:r>
        <w:rPr>
          <w:rFonts w:ascii="Arial" w:hAnsi="Arial"/>
          <w:w w:val="135"/>
          <w:sz w:val="19"/>
        </w:rPr>
        <w:t>1</w:t>
        <w:tab/>
      </w:r>
      <w:r>
        <w:rPr>
          <w:w w:val="135"/>
          <w:sz w:val="12"/>
        </w:rPr>
        <w:t>1</w:t>
        <w:tab/>
      </w:r>
      <w:r>
        <w:rPr>
          <w:w w:val="95"/>
          <w:sz w:val="12"/>
        </w:rPr>
        <w:t>•</w:t>
      </w:r>
    </w:p>
    <w:p>
      <w:pPr>
        <w:tabs>
          <w:tab w:pos="2740" w:val="left" w:leader="none"/>
        </w:tabs>
        <w:spacing w:line="243" w:lineRule="exact" w:before="0"/>
        <w:ind w:left="882" w:right="0" w:firstLine="0"/>
        <w:jc w:val="left"/>
        <w:rPr>
          <w:sz w:val="19"/>
        </w:rPr>
      </w:pPr>
      <w:r>
        <w:rPr>
          <w:w w:val="155"/>
          <w:sz w:val="20"/>
        </w:rPr>
        <w:t>1</w:t>
      </w:r>
      <w:r>
        <w:rPr>
          <w:spacing w:val="-46"/>
          <w:w w:val="155"/>
          <w:sz w:val="20"/>
        </w:rPr>
        <w:t> </w:t>
      </w:r>
      <w:r>
        <w:rPr>
          <w:w w:val="255"/>
          <w:sz w:val="20"/>
        </w:rPr>
        <w:t>-</w:t>
      </w:r>
      <w:r>
        <w:rPr>
          <w:spacing w:val="-82"/>
          <w:w w:val="255"/>
          <w:sz w:val="20"/>
        </w:rPr>
        <w:t> </w:t>
      </w:r>
      <w:r>
        <w:rPr>
          <w:w w:val="155"/>
          <w:sz w:val="27"/>
        </w:rPr>
        <w:t>2m</w:t>
      </w:r>
      <w:r>
        <w:rPr>
          <w:spacing w:val="-37"/>
          <w:w w:val="155"/>
          <w:sz w:val="27"/>
        </w:rPr>
        <w:t> </w:t>
      </w:r>
      <w:r>
        <w:rPr>
          <w:w w:val="120"/>
          <w:sz w:val="19"/>
        </w:rPr>
        <w:t>(</w:t>
      </w:r>
      <w:r>
        <w:rPr>
          <w:spacing w:val="-38"/>
          <w:w w:val="120"/>
          <w:sz w:val="19"/>
        </w:rPr>
        <w:t> </w:t>
      </w:r>
      <w:r>
        <w:rPr>
          <w:w w:val="120"/>
          <w:sz w:val="19"/>
        </w:rPr>
        <w:t>Pz:'1</w:t>
        <w:tab/>
        <w:t>d)</w:t>
      </w:r>
    </w:p>
    <w:p>
      <w:pPr>
        <w:pStyle w:val="BodyText"/>
        <w:rPr>
          <w:sz w:val="18"/>
        </w:rPr>
      </w:pPr>
      <w:r>
        <w:rPr/>
        <w:br w:type="column"/>
      </w:r>
      <w:r>
        <w:rPr>
          <w:sz w:val="18"/>
        </w:rPr>
      </w:r>
    </w:p>
    <w:p>
      <w:pPr>
        <w:pStyle w:val="BodyText"/>
        <w:rPr>
          <w:sz w:val="18"/>
        </w:rPr>
      </w:pPr>
    </w:p>
    <w:p>
      <w:pPr>
        <w:pStyle w:val="BodyText"/>
        <w:spacing w:before="3"/>
        <w:rPr>
          <w:sz w:val="23"/>
        </w:rPr>
      </w:pPr>
    </w:p>
    <w:p>
      <w:pPr>
        <w:spacing w:before="0"/>
        <w:ind w:left="126" w:right="-15" w:firstLine="0"/>
        <w:jc w:val="left"/>
        <w:rPr>
          <w:sz w:val="19"/>
        </w:rPr>
      </w:pPr>
      <w:r>
        <w:rPr>
          <w:w w:val="115"/>
          <w:sz w:val="19"/>
        </w:rPr>
        <w:t>(4.20)</w:t>
      </w:r>
    </w:p>
    <w:p>
      <w:pPr>
        <w:spacing w:after="0"/>
        <w:jc w:val="left"/>
        <w:rPr>
          <w:sz w:val="19"/>
        </w:rPr>
        <w:sectPr>
          <w:type w:val="continuous"/>
          <w:pgSz w:w="7200" w:h="11340"/>
          <w:pgMar w:top="1100" w:bottom="0" w:left="640" w:right="520"/>
          <w:cols w:num="3" w:equalWidth="0">
            <w:col w:w="442" w:space="983"/>
            <w:col w:w="3048" w:space="768"/>
            <w:col w:w="799"/>
          </w:cols>
        </w:sectPr>
      </w:pPr>
    </w:p>
    <w:p>
      <w:pPr>
        <w:pStyle w:val="BodyText"/>
        <w:spacing w:before="3"/>
        <w:rPr>
          <w:sz w:val="11"/>
        </w:rPr>
      </w:pPr>
    </w:p>
    <w:p>
      <w:pPr>
        <w:spacing w:before="73"/>
        <w:ind w:left="126" w:right="139" w:firstLine="208"/>
        <w:jc w:val="left"/>
        <w:rPr>
          <w:sz w:val="21"/>
        </w:rPr>
      </w:pPr>
      <w:r>
        <w:rPr>
          <w:sz w:val="21"/>
        </w:rPr>
        <w:t>If formulas (4.16), (4.18), and (4.20) are compared, it will be uoted  that  they  are all of  the same form, with the premium  in  the</w:t>
      </w:r>
    </w:p>
    <w:p>
      <w:pPr>
        <w:spacing w:line="240" w:lineRule="auto" w:before="0"/>
        <w:ind w:left="119" w:right="153" w:firstLine="7"/>
        <w:jc w:val="both"/>
        <w:rPr>
          <w:sz w:val="21"/>
        </w:rPr>
      </w:pPr>
      <w:r>
        <w:rPr>
          <w:sz w:val="21"/>
        </w:rPr>
        <w:t>&lt;lenominator being determined by the premium-paying period  of the policy. These formulas can also be derived by analytic methods similar to those used  in deriving formula  (4.13).</w:t>
      </w:r>
    </w:p>
    <w:p>
      <w:pPr>
        <w:spacing w:line="235" w:lineRule="auto" w:before="0"/>
        <w:ind w:left="123" w:right="0" w:firstLine="201"/>
        <w:jc w:val="left"/>
        <w:rPr>
          <w:sz w:val="21"/>
        </w:rPr>
      </w:pPr>
      <w:r>
        <w:rPr/>
        <w:pict>
          <v:rect style="position:absolute;margin-left:234.179993pt;margin-top:27.606684pt;width:12.78pt;height:6.48pt;mso-position-horizontal-relative:page;mso-position-vertical-relative:paragraph;z-index:-728272" filled="true" fillcolor="#000000" stroked="false">
            <v:fill type="solid"/>
            <w10:wrap type="none"/>
          </v:rect>
        </w:pict>
      </w:r>
      <w:r>
        <w:rPr>
          <w:w w:val="105"/>
          <w:sz w:val="21"/>
        </w:rPr>
        <w:t>Corresponding formulas for continuous premiums can be ob- tained  by letting </w:t>
      </w:r>
      <w:r>
        <w:rPr>
          <w:i/>
          <w:w w:val="105"/>
          <w:sz w:val="20"/>
        </w:rPr>
        <w:t>m </w:t>
      </w:r>
      <w:r>
        <w:rPr>
          <w:w w:val="105"/>
          <w:sz w:val="21"/>
        </w:rPr>
        <w:t>become infinite. Then </w:t>
      </w:r>
      <w:r>
        <w:rPr>
          <w:i/>
          <w:w w:val="105"/>
          <w:sz w:val="20"/>
        </w:rPr>
        <w:t>m </w:t>
      </w:r>
      <w:r>
        <w:rPr>
          <w:w w:val="105"/>
          <w:sz w:val="21"/>
        </w:rPr>
        <w:t>:_ </w:t>
      </w:r>
      <w:r>
        <w:rPr>
          <w:w w:val="105"/>
          <w:position w:val="12"/>
          <w:sz w:val="21"/>
        </w:rPr>
        <w:t>1 </w:t>
      </w:r>
      <w:r>
        <w:rPr>
          <w:w w:val="105"/>
          <w:sz w:val="21"/>
        </w:rPr>
        <w:t>becomes </w:t>
      </w:r>
      <w:r>
        <w:rPr>
          <w:w w:val="115"/>
          <w:sz w:val="21"/>
        </w:rPr>
        <w:t>i,  </w:t>
      </w:r>
      <w:r>
        <w:rPr>
          <w:w w:val="105"/>
          <w:sz w:val="21"/>
        </w:rPr>
        <w:t>and</w:t>
      </w:r>
    </w:p>
    <w:p>
      <w:pPr>
        <w:spacing w:line="129" w:lineRule="exact" w:before="0"/>
        <w:ind w:left="0" w:right="1885" w:firstLine="0"/>
        <w:jc w:val="right"/>
        <w:rPr>
          <w:sz w:val="21"/>
        </w:rPr>
      </w:pPr>
      <w:r>
        <w:rPr>
          <w:w w:val="104"/>
          <w:sz w:val="21"/>
        </w:rPr>
        <w:t>2</w:t>
      </w:r>
    </w:p>
    <w:p>
      <w:pPr>
        <w:spacing w:line="236" w:lineRule="exact" w:before="0"/>
        <w:ind w:left="123" w:right="0" w:firstLine="0"/>
        <w:jc w:val="both"/>
        <w:rPr>
          <w:sz w:val="21"/>
        </w:rPr>
      </w:pPr>
      <w:r>
        <w:rPr>
          <w:sz w:val="21"/>
        </w:rPr>
        <w:t>formula  (4.13), for example, becomes</w:t>
      </w:r>
    </w:p>
    <w:p>
      <w:pPr>
        <w:pStyle w:val="BodyText"/>
        <w:spacing w:before="156"/>
        <w:ind w:left="1980"/>
        <w:rPr>
          <w:sz w:val="19"/>
        </w:rPr>
      </w:pPr>
      <w:r>
        <w:rPr>
          <w:position w:val="-3"/>
        </w:rPr>
        <w:drawing>
          <wp:inline distT="0" distB="0" distL="0" distR="0">
            <wp:extent cx="1289304" cy="192024"/>
            <wp:effectExtent l="0" t="0" r="0" b="0"/>
            <wp:docPr id="213" name="image111.png" descr=""/>
            <wp:cNvGraphicFramePr>
              <a:graphicFrameLocks noChangeAspect="1"/>
            </wp:cNvGraphicFramePr>
            <a:graphic>
              <a:graphicData uri="http://schemas.openxmlformats.org/drawingml/2006/picture">
                <pic:pic>
                  <pic:nvPicPr>
                    <pic:cNvPr id="214" name="image111.png"/>
                    <pic:cNvPicPr/>
                  </pic:nvPicPr>
                  <pic:blipFill>
                    <a:blip r:embed="rId115" cstate="print"/>
                    <a:stretch>
                      <a:fillRect/>
                    </a:stretch>
                  </pic:blipFill>
                  <pic:spPr>
                    <a:xfrm>
                      <a:off x="0" y="0"/>
                      <a:ext cx="1289304" cy="192024"/>
                    </a:xfrm>
                    <a:prstGeom prst="rect">
                      <a:avLst/>
                    </a:prstGeom>
                  </pic:spPr>
                </pic:pic>
              </a:graphicData>
            </a:graphic>
          </wp:inline>
        </w:drawing>
      </w:r>
      <w:r>
        <w:rPr>
          <w:position w:val="-3"/>
        </w:rPr>
      </w:r>
      <w:r>
        <w:rPr/>
        <w:t>                           </w:t>
      </w:r>
      <w:r>
        <w:rPr>
          <w:w w:val="105"/>
          <w:sz w:val="19"/>
        </w:rPr>
        <w:t>(4.21)</w:t>
      </w:r>
    </w:p>
    <w:p>
      <w:pPr>
        <w:spacing w:before="249"/>
        <w:ind w:left="324" w:right="0" w:firstLine="0"/>
        <w:jc w:val="left"/>
        <w:rPr>
          <w:sz w:val="21"/>
        </w:rPr>
      </w:pPr>
      <w:r>
        <w:rPr>
          <w:sz w:val="21"/>
        </w:rPr>
        <w:t>Insurers  sometimes  accept  premium  payments  </w:t>
      </w:r>
      <w:r>
        <w:rPr>
          <w:rFonts w:ascii="Arial"/>
          <w:i/>
          <w:sz w:val="18"/>
        </w:rPr>
        <w:t>m  </w:t>
      </w:r>
      <w:r>
        <w:rPr>
          <w:sz w:val="21"/>
        </w:rPr>
        <w:t>times  a year</w:t>
      </w:r>
    </w:p>
    <w:p>
      <w:pPr>
        <w:spacing w:after="0"/>
        <w:jc w:val="left"/>
        <w:rPr>
          <w:sz w:val="21"/>
        </w:rPr>
        <w:sectPr>
          <w:type w:val="continuous"/>
          <w:pgSz w:w="7200" w:h="11340"/>
          <w:pgMar w:top="1100" w:bottom="0" w:left="640" w:right="520"/>
        </w:sectPr>
      </w:pPr>
    </w:p>
    <w:p>
      <w:pPr>
        <w:tabs>
          <w:tab w:pos="1955" w:val="left" w:leader="none"/>
          <w:tab w:pos="5367" w:val="left" w:leader="none"/>
        </w:tabs>
        <w:spacing w:before="60"/>
        <w:ind w:left="115" w:right="0" w:hanging="4"/>
        <w:jc w:val="both"/>
        <w:rPr>
          <w:rFonts w:ascii="Arial"/>
          <w:b/>
          <w:sz w:val="18"/>
        </w:rPr>
      </w:pPr>
      <w:r>
        <w:rPr>
          <w:rFonts w:ascii="Courier New"/>
          <w:b/>
          <w:spacing w:val="-13"/>
          <w:w w:val="105"/>
          <w:sz w:val="22"/>
        </w:rPr>
        <w:t>88</w:t>
        <w:tab/>
      </w:r>
      <w:r>
        <w:rPr>
          <w:b/>
          <w:w w:val="105"/>
          <w:position w:val="1"/>
          <w:sz w:val="14"/>
        </w:rPr>
        <w:t>NET  </w:t>
      </w:r>
      <w:r>
        <w:rPr>
          <w:b/>
          <w:spacing w:val="17"/>
          <w:w w:val="105"/>
          <w:position w:val="1"/>
          <w:sz w:val="14"/>
        </w:rPr>
        <w:t> </w:t>
      </w:r>
      <w:r>
        <w:rPr>
          <w:b/>
          <w:w w:val="105"/>
          <w:position w:val="1"/>
          <w:sz w:val="14"/>
        </w:rPr>
        <w:t>ANNUAL  </w:t>
      </w:r>
      <w:r>
        <w:rPr>
          <w:b/>
          <w:spacing w:val="19"/>
          <w:w w:val="105"/>
          <w:position w:val="1"/>
          <w:sz w:val="14"/>
        </w:rPr>
        <w:t> </w:t>
      </w:r>
      <w:r>
        <w:rPr>
          <w:b/>
          <w:w w:val="105"/>
          <w:position w:val="1"/>
          <w:sz w:val="14"/>
        </w:rPr>
        <w:t>PREMIUI\IS</w:t>
        <w:tab/>
      </w:r>
      <w:r>
        <w:rPr>
          <w:b/>
          <w:position w:val="1"/>
          <w:sz w:val="17"/>
        </w:rPr>
        <w:t>[CH.</w:t>
      </w:r>
      <w:r>
        <w:rPr>
          <w:b/>
          <w:spacing w:val="2"/>
          <w:position w:val="1"/>
          <w:sz w:val="17"/>
        </w:rPr>
        <w:t> </w:t>
      </w:r>
      <w:r>
        <w:rPr>
          <w:rFonts w:ascii="Arial"/>
          <w:b/>
          <w:position w:val="1"/>
          <w:sz w:val="18"/>
        </w:rPr>
        <w:t>4</w:t>
      </w:r>
    </w:p>
    <w:p>
      <w:pPr>
        <w:pStyle w:val="BodyText"/>
        <w:rPr>
          <w:rFonts w:ascii="Arial"/>
          <w:b/>
          <w:sz w:val="19"/>
        </w:rPr>
      </w:pPr>
    </w:p>
    <w:p>
      <w:pPr>
        <w:pStyle w:val="BodyText"/>
        <w:spacing w:line="244" w:lineRule="auto"/>
        <w:ind w:left="115" w:right="109"/>
        <w:jc w:val="both"/>
      </w:pPr>
      <w:r>
        <w:rPr>
          <w:w w:val="105"/>
        </w:rPr>
        <w:t>with the condition that any unpaid instalments  for the balance  of the year of death </w:t>
      </w:r>
      <w:r>
        <w:rPr>
          <w:w w:val="105"/>
          <w:sz w:val="21"/>
        </w:rPr>
        <w:t>will </w:t>
      </w:r>
      <w:r>
        <w:rPr>
          <w:rFonts w:ascii="Arial" w:hAnsi="Arial"/>
          <w:w w:val="105"/>
        </w:rPr>
        <w:t>be </w:t>
      </w:r>
      <w:r>
        <w:rPr>
          <w:w w:val="105"/>
        </w:rPr>
        <w:t>deducted from the claim payment. For example, if the insured  dies after paying  one quarterly  premium for the current year, the  three unpaid  instalments  for the balance  of the year are deducted from the policy proceeds. Premiums cal­ culated on this basis are called </w:t>
      </w:r>
      <w:r>
        <w:rPr>
          <w:i/>
          <w:w w:val="105"/>
          <w:sz w:val="21"/>
        </w:rPr>
        <w:t>instalment </w:t>
      </w:r>
      <w:r>
        <w:rPr>
          <w:w w:val="105"/>
        </w:rPr>
        <w:t>premiums and are de­ noted by the symbol </w:t>
      </w:r>
      <w:r>
        <w:rPr>
          <w:w w:val="105"/>
          <w:sz w:val="15"/>
        </w:rPr>
        <w:t>pCmJ </w:t>
      </w:r>
      <w:r>
        <w:rPr>
          <w:w w:val="105"/>
        </w:rPr>
        <w:t>to distinguish them from the </w:t>
      </w:r>
      <w:r>
        <w:rPr>
          <w:rFonts w:ascii="Arial" w:hAnsi="Arial"/>
          <w:i/>
          <w:w w:val="105"/>
          <w:sz w:val="19"/>
        </w:rPr>
        <w:t>p&lt; </w:t>
      </w:r>
      <w:r>
        <w:rPr>
          <w:rFonts w:ascii="Arial" w:hAnsi="Arial"/>
          <w:i/>
          <w:w w:val="90"/>
          <w:sz w:val="19"/>
        </w:rPr>
        <w:t>m&gt; </w:t>
      </w:r>
      <w:r>
        <w:rPr>
          <w:w w:val="105"/>
        </w:rPr>
        <w:t>type, which are </w:t>
      </w:r>
      <w:r>
        <w:rPr>
          <w:spacing w:val="3"/>
          <w:w w:val="105"/>
        </w:rPr>
        <w:t>often </w:t>
      </w:r>
      <w:r>
        <w:rPr>
          <w:w w:val="105"/>
        </w:rPr>
        <w:t>called </w:t>
      </w:r>
      <w:r>
        <w:rPr>
          <w:i/>
          <w:w w:val="105"/>
          <w:sz w:val="21"/>
        </w:rPr>
        <w:t>true </w:t>
      </w:r>
      <w:r>
        <w:rPr>
          <w:w w:val="105"/>
        </w:rPr>
        <w:t>fractional </w:t>
      </w:r>
      <w:r>
        <w:rPr>
          <w:spacing w:val="45"/>
          <w:w w:val="105"/>
        </w:rPr>
        <w:t> </w:t>
      </w:r>
      <w:r>
        <w:rPr>
          <w:w w:val="105"/>
        </w:rPr>
        <w:t>premiums.</w:t>
      </w:r>
    </w:p>
    <w:p>
      <w:pPr>
        <w:pStyle w:val="BodyText"/>
        <w:spacing w:line="252" w:lineRule="auto" w:before="4"/>
        <w:ind w:left="126" w:right="101" w:firstLine="190"/>
      </w:pPr>
      <w:r>
        <w:rPr>
          <w:w w:val="105"/>
        </w:rPr>
        <w:t>For an ordinary life policy with instalment premiums, the aver­ age  amount  of  premium   to  be  deducted  from  the  proceeds    is</w:t>
      </w:r>
    </w:p>
    <w:p>
      <w:pPr>
        <w:pStyle w:val="BodyText"/>
        <w:spacing w:line="64" w:lineRule="exact"/>
        <w:ind w:left="619"/>
      </w:pPr>
      <w:r>
        <w:rPr>
          <w:w w:val="122"/>
        </w:rPr>
        <w:t>1</w:t>
      </w:r>
    </w:p>
    <w:p>
      <w:pPr>
        <w:spacing w:after="0" w:line="64" w:lineRule="exact"/>
        <w:sectPr>
          <w:pgSz w:w="7200" w:h="11340"/>
          <w:pgMar w:top="480" w:bottom="280" w:left="680" w:right="540"/>
        </w:sectPr>
      </w:pPr>
    </w:p>
    <w:p>
      <w:pPr>
        <w:spacing w:line="249" w:lineRule="exact" w:before="0"/>
        <w:ind w:left="119" w:right="0" w:firstLine="0"/>
        <w:jc w:val="left"/>
        <w:rPr>
          <w:i/>
          <w:sz w:val="8"/>
        </w:rPr>
      </w:pPr>
      <w:r>
        <w:rPr/>
        <w:pict>
          <v:rect style="position:absolute;margin-left:48.060001pt;margin-top:12.070106pt;width:12.42pt;height:6.66pt;mso-position-horizontal-relative:page;mso-position-vertical-relative:paragraph;z-index:-728176" filled="true" fillcolor="#000000" stroked="false">
            <v:fill type="solid"/>
            <w10:wrap type="none"/>
          </v:rect>
        </w:pict>
      </w:r>
      <w:r>
        <w:rPr>
          <w:rFonts w:ascii="Arial"/>
          <w:i/>
          <w:w w:val="105"/>
          <w:position w:val="-8"/>
          <w:sz w:val="18"/>
        </w:rPr>
        <w:t>m</w:t>
      </w:r>
      <w:r>
        <w:rPr>
          <w:rFonts w:ascii="Arial"/>
          <w:i/>
          <w:position w:val="-8"/>
          <w:sz w:val="18"/>
        </w:rPr>
        <w:t> </w:t>
      </w:r>
      <w:r>
        <w:rPr>
          <w:rFonts w:ascii="Arial"/>
          <w:i/>
          <w:spacing w:val="-15"/>
          <w:position w:val="-8"/>
          <w:sz w:val="18"/>
        </w:rPr>
        <w:t> </w:t>
      </w:r>
      <w:r>
        <w:rPr>
          <w:spacing w:val="-28"/>
          <w:w w:val="600"/>
          <w:position w:val="-8"/>
          <w:sz w:val="20"/>
        </w:rPr>
        <w:t>:</w:t>
      </w:r>
      <w:r>
        <w:rPr>
          <w:i/>
          <w:spacing w:val="3"/>
          <w:w w:val="68"/>
          <w:position w:val="-8"/>
          <w:sz w:val="30"/>
        </w:rPr>
        <w:t>P</w:t>
      </w:r>
      <w:r>
        <w:rPr>
          <w:i/>
          <w:spacing w:val="-13"/>
          <w:w w:val="91"/>
          <w:position w:val="-8"/>
          <w:sz w:val="30"/>
        </w:rPr>
        <w:t>!</w:t>
      </w:r>
      <w:r>
        <w:rPr>
          <w:i/>
          <w:w w:val="88"/>
          <w:sz w:val="8"/>
        </w:rPr>
        <w:t>1111</w:t>
      </w:r>
    </w:p>
    <w:p>
      <w:pPr>
        <w:pStyle w:val="BodyText"/>
        <w:spacing w:line="173" w:lineRule="exact"/>
        <w:ind w:left="281"/>
      </w:pPr>
      <w:r>
        <w:rPr>
          <w:w w:val="105"/>
        </w:rPr>
        <w:t>2</w:t>
      </w:r>
    </w:p>
    <w:p>
      <w:pPr>
        <w:pStyle w:val="ListParagraph"/>
        <w:numPr>
          <w:ilvl w:val="0"/>
          <w:numId w:val="37"/>
        </w:numPr>
        <w:tabs>
          <w:tab w:pos="97" w:val="left" w:leader="none"/>
        </w:tabs>
        <w:spacing w:line="240" w:lineRule="auto" w:before="54" w:after="0"/>
        <w:ind w:left="96" w:right="0" w:hanging="112"/>
        <w:jc w:val="left"/>
        <w:rPr>
          <w:sz w:val="20"/>
        </w:rPr>
      </w:pPr>
      <w:r>
        <w:rPr>
          <w:w w:val="108"/>
          <w:sz w:val="20"/>
        </w:rPr>
        <w:br w:type="column"/>
      </w:r>
      <w:r>
        <w:rPr>
          <w:w w:val="105"/>
          <w:sz w:val="20"/>
        </w:rPr>
        <w:t>The net  payment  by  the insurer  in  the year  of</w:t>
      </w:r>
      <w:r>
        <w:rPr>
          <w:spacing w:val="5"/>
          <w:w w:val="105"/>
          <w:sz w:val="20"/>
        </w:rPr>
        <w:t> </w:t>
      </w:r>
      <w:r>
        <w:rPr>
          <w:w w:val="105"/>
          <w:sz w:val="20"/>
        </w:rPr>
        <w:t>death</w:t>
      </w:r>
    </w:p>
    <w:p>
      <w:pPr>
        <w:spacing w:after="0" w:line="240" w:lineRule="auto"/>
        <w:jc w:val="left"/>
        <w:rPr>
          <w:sz w:val="20"/>
        </w:rPr>
        <w:sectPr>
          <w:type w:val="continuous"/>
          <w:pgSz w:w="7200" w:h="11340"/>
          <w:pgMar w:top="1100" w:bottom="0" w:left="680" w:right="540"/>
          <w:cols w:num="2" w:equalWidth="0">
            <w:col w:w="1107" w:space="40"/>
            <w:col w:w="4833"/>
          </w:cols>
        </w:sectPr>
      </w:pPr>
    </w:p>
    <w:p>
      <w:pPr>
        <w:spacing w:line="364" w:lineRule="exact" w:before="0"/>
        <w:ind w:left="119" w:right="739" w:firstLine="0"/>
        <w:jc w:val="left"/>
        <w:rPr>
          <w:sz w:val="20"/>
        </w:rPr>
      </w:pPr>
      <w:r>
        <w:rPr>
          <w:w w:val="105"/>
          <w:sz w:val="20"/>
        </w:rPr>
        <w:t>is</w:t>
      </w:r>
      <w:r>
        <w:rPr>
          <w:spacing w:val="6"/>
          <w:sz w:val="20"/>
        </w:rPr>
        <w:t> </w:t>
      </w:r>
      <w:r>
        <w:rPr>
          <w:w w:val="110"/>
          <w:sz w:val="20"/>
        </w:rPr>
        <w:t>thus</w:t>
      </w:r>
      <w:r>
        <w:rPr>
          <w:sz w:val="20"/>
        </w:rPr>
        <w:t> </w:t>
      </w:r>
      <w:r>
        <w:rPr>
          <w:spacing w:val="-13"/>
          <w:sz w:val="20"/>
        </w:rPr>
        <w:t> </w:t>
      </w:r>
      <w:r>
        <w:rPr>
          <w:w w:val="115"/>
          <w:sz w:val="20"/>
        </w:rPr>
        <w:t>1</w:t>
      </w:r>
      <w:r>
        <w:rPr>
          <w:spacing w:val="4"/>
          <w:sz w:val="20"/>
        </w:rPr>
        <w:t> </w:t>
      </w:r>
      <w:r>
        <w:rPr>
          <w:spacing w:val="-59"/>
          <w:w w:val="274"/>
          <w:sz w:val="20"/>
        </w:rPr>
        <w:t>-</w:t>
      </w:r>
      <w:r>
        <w:rPr>
          <w:spacing w:val="-352"/>
          <w:w w:val="167"/>
          <w:sz w:val="27"/>
        </w:rPr>
        <w:t>2</w:t>
      </w:r>
      <w:r>
        <w:rPr>
          <w:rFonts w:ascii="Arial"/>
          <w:i/>
          <w:spacing w:val="-146"/>
          <w:w w:val="108"/>
          <w:position w:val="12"/>
          <w:sz w:val="17"/>
        </w:rPr>
        <w:t>m</w:t>
      </w:r>
      <w:r>
        <w:rPr>
          <w:spacing w:val="-534"/>
          <w:w w:val="166"/>
          <w:sz w:val="27"/>
        </w:rPr>
        <w:t>m</w:t>
      </w:r>
      <w:r>
        <w:rPr>
          <w:rFonts w:ascii="Arial"/>
          <w:w w:val="301"/>
          <w:position w:val="12"/>
          <w:sz w:val="17"/>
        </w:rPr>
        <w:t>-</w:t>
      </w:r>
      <w:r>
        <w:rPr>
          <w:rFonts w:ascii="Arial"/>
          <w:position w:val="12"/>
          <w:sz w:val="17"/>
        </w:rPr>
        <w:t> </w:t>
      </w:r>
      <w:r>
        <w:rPr>
          <w:rFonts w:ascii="Arial"/>
          <w:spacing w:val="-10"/>
          <w:position w:val="12"/>
          <w:sz w:val="17"/>
        </w:rPr>
        <w:t> </w:t>
      </w:r>
      <w:r>
        <w:rPr>
          <w:spacing w:val="11"/>
          <w:w w:val="129"/>
          <w:position w:val="12"/>
          <w:sz w:val="20"/>
        </w:rPr>
        <w:t>1</w:t>
      </w:r>
      <w:r>
        <w:rPr>
          <w:i/>
          <w:w w:val="85"/>
          <w:sz w:val="22"/>
        </w:rPr>
        <w:t>P</w:t>
      </w:r>
      <w:r>
        <w:rPr>
          <w:i/>
          <w:spacing w:val="-24"/>
          <w:w w:val="85"/>
          <w:sz w:val="22"/>
        </w:rPr>
        <w:t>z</w:t>
      </w:r>
      <w:r>
        <w:rPr>
          <w:rFonts w:ascii="Arial"/>
          <w:w w:val="82"/>
          <w:position w:val="12"/>
          <w:sz w:val="15"/>
        </w:rPr>
        <w:t>t</w:t>
      </w:r>
      <w:r>
        <w:rPr>
          <w:rFonts w:ascii="Arial"/>
          <w:spacing w:val="-30"/>
          <w:position w:val="12"/>
          <w:sz w:val="15"/>
        </w:rPr>
        <w:t> </w:t>
      </w:r>
      <w:r>
        <w:rPr>
          <w:w w:val="87"/>
          <w:position w:val="10"/>
          <w:sz w:val="8"/>
        </w:rPr>
        <w:t>11</w:t>
      </w:r>
      <w:r>
        <w:rPr>
          <w:spacing w:val="-4"/>
          <w:w w:val="87"/>
          <w:position w:val="10"/>
          <w:sz w:val="8"/>
        </w:rPr>
        <w:t>1</w:t>
      </w:r>
      <w:r>
        <w:rPr>
          <w:rFonts w:ascii="Arial"/>
          <w:w w:val="70"/>
          <w:position w:val="8"/>
          <w:sz w:val="15"/>
        </w:rPr>
        <w:t>1</w:t>
      </w:r>
      <w:r>
        <w:rPr>
          <w:rFonts w:ascii="Arial"/>
          <w:position w:val="8"/>
          <w:sz w:val="15"/>
        </w:rPr>
        <w:t> </w:t>
      </w:r>
      <w:r>
        <w:rPr>
          <w:rFonts w:ascii="Arial"/>
          <w:spacing w:val="-21"/>
          <w:position w:val="8"/>
          <w:sz w:val="15"/>
        </w:rPr>
        <w:t> </w:t>
      </w:r>
      <w:r>
        <w:rPr>
          <w:w w:val="101"/>
          <w:sz w:val="20"/>
        </w:rPr>
        <w:t>on</w:t>
      </w:r>
      <w:r>
        <w:rPr>
          <w:spacing w:val="21"/>
          <w:sz w:val="20"/>
        </w:rPr>
        <w:t> </w:t>
      </w:r>
      <w:r>
        <w:rPr>
          <w:w w:val="111"/>
          <w:sz w:val="20"/>
        </w:rPr>
        <w:t>the</w:t>
      </w:r>
      <w:r>
        <w:rPr>
          <w:spacing w:val="18"/>
          <w:sz w:val="20"/>
        </w:rPr>
        <w:t> </w:t>
      </w:r>
      <w:r>
        <w:rPr>
          <w:w w:val="104"/>
          <w:sz w:val="20"/>
        </w:rPr>
        <w:t>average.</w:t>
      </w:r>
      <w:r>
        <w:rPr>
          <w:sz w:val="20"/>
        </w:rPr>
        <w:t> </w:t>
      </w:r>
      <w:r>
        <w:rPr>
          <w:spacing w:val="-24"/>
          <w:sz w:val="20"/>
        </w:rPr>
        <w:t> </w:t>
      </w:r>
      <w:r>
        <w:rPr>
          <w:w w:val="102"/>
          <w:sz w:val="20"/>
        </w:rPr>
        <w:t>Hence,</w:t>
      </w:r>
    </w:p>
    <w:p>
      <w:pPr>
        <w:tabs>
          <w:tab w:pos="3711" w:val="left" w:leader="none"/>
        </w:tabs>
        <w:spacing w:before="157"/>
        <w:ind w:left="1537" w:right="739" w:firstLine="0"/>
        <w:jc w:val="left"/>
        <w:rPr>
          <w:rFonts w:ascii="Arial" w:hAnsi="Arial"/>
          <w:sz w:val="28"/>
        </w:rPr>
      </w:pPr>
      <w:r>
        <w:rPr/>
        <w:pict>
          <v:line style="position:absolute;mso-position-horizontal-relative:page;mso-position-vertical-relative:paragraph;z-index:-728152" from="196.380005pt,32.163055pt" to="208.800005pt,32.163055pt" stroked="true" strokeweight="2.88pt" strokecolor="#000000">
            <w10:wrap type="none"/>
          </v:line>
        </w:pict>
      </w:r>
      <w:r>
        <w:rPr>
          <w:rFonts w:ascii="Arial" w:hAnsi="Arial"/>
          <w:spacing w:val="-48"/>
          <w:w w:val="91"/>
          <w:sz w:val="28"/>
        </w:rPr>
        <w:t>P</w:t>
      </w:r>
      <w:r>
        <w:rPr>
          <w:rFonts w:ascii="Arial" w:hAnsi="Arial"/>
          <w:spacing w:val="-97"/>
          <w:w w:val="209"/>
          <w:sz w:val="28"/>
        </w:rPr>
        <w:t>!</w:t>
      </w:r>
      <w:r>
        <w:rPr>
          <w:rFonts w:ascii="Arial" w:hAnsi="Arial"/>
          <w:w w:val="112"/>
          <w:sz w:val="28"/>
        </w:rPr>
        <w:t>•l</w:t>
      </w:r>
      <w:r>
        <w:rPr>
          <w:rFonts w:ascii="Arial" w:hAnsi="Arial"/>
          <w:sz w:val="28"/>
        </w:rPr>
        <w:t> </w:t>
      </w:r>
      <w:r>
        <w:rPr>
          <w:rFonts w:ascii="Arial" w:hAnsi="Arial"/>
          <w:w w:val="98"/>
          <w:sz w:val="19"/>
        </w:rPr>
        <w:t>=¡</w:t>
      </w:r>
      <w:r>
        <w:rPr>
          <w:rFonts w:ascii="Arial" w:hAnsi="Arial"/>
          <w:spacing w:val="12"/>
          <w:sz w:val="19"/>
        </w:rPr>
        <w:t> </w:t>
      </w:r>
      <w:r>
        <w:rPr>
          <w:w w:val="47"/>
          <w:sz w:val="49"/>
        </w:rPr>
        <w:t>A,</w:t>
      </w:r>
      <w:r>
        <w:rPr>
          <w:spacing w:val="-64"/>
          <w:sz w:val="49"/>
        </w:rPr>
        <w:t> </w:t>
      </w:r>
      <w:r>
        <w:rPr>
          <w:spacing w:val="-1"/>
          <w:w w:val="79"/>
          <w:sz w:val="49"/>
        </w:rPr>
        <w:t>(</w:t>
      </w:r>
      <w:r>
        <w:rPr>
          <w:w w:val="48"/>
          <w:sz w:val="49"/>
        </w:rPr>
        <w:t>1</w:t>
      </w:r>
      <w:r>
        <w:rPr>
          <w:spacing w:val="-68"/>
          <w:sz w:val="49"/>
        </w:rPr>
        <w:t> </w:t>
      </w:r>
      <w:r>
        <w:rPr>
          <w:w w:val="107"/>
          <w:sz w:val="49"/>
        </w:rPr>
        <w:t>-</w:t>
      </w:r>
      <w:r>
        <w:rPr>
          <w:sz w:val="49"/>
        </w:rPr>
        <w:tab/>
      </w:r>
      <w:r>
        <w:rPr>
          <w:rFonts w:ascii="Arial" w:hAnsi="Arial"/>
          <w:spacing w:val="-47"/>
          <w:w w:val="117"/>
          <w:sz w:val="28"/>
        </w:rPr>
        <w:t>p</w:t>
      </w:r>
      <w:r>
        <w:rPr>
          <w:rFonts w:ascii="Arial" w:hAnsi="Arial"/>
          <w:w w:val="80"/>
          <w:sz w:val="28"/>
        </w:rPr>
        <w:t>J</w:t>
      </w:r>
      <w:r>
        <w:rPr>
          <w:rFonts w:ascii="Arial" w:hAnsi="Arial"/>
          <w:spacing w:val="1"/>
          <w:w w:val="80"/>
          <w:sz w:val="28"/>
        </w:rPr>
        <w:t>•</w:t>
      </w:r>
      <w:r>
        <w:rPr>
          <w:rFonts w:ascii="Arial" w:hAnsi="Arial"/>
          <w:spacing w:val="-32"/>
          <w:w w:val="143"/>
          <w:sz w:val="28"/>
        </w:rPr>
        <w:t>l</w:t>
      </w:r>
      <w:r>
        <w:rPr>
          <w:rFonts w:ascii="Arial" w:hAnsi="Arial"/>
          <w:w w:val="160"/>
          <w:sz w:val="28"/>
        </w:rPr>
        <w:t>)</w:t>
      </w:r>
    </w:p>
    <w:p>
      <w:pPr>
        <w:spacing w:line="115" w:lineRule="exact" w:before="72"/>
        <w:ind w:left="1485" w:right="1022" w:firstLine="0"/>
        <w:jc w:val="center"/>
        <w:rPr>
          <w:b/>
          <w:sz w:val="11"/>
        </w:rPr>
      </w:pPr>
      <w:r>
        <w:rPr>
          <w:b/>
          <w:spacing w:val="-6"/>
          <w:w w:val="528"/>
          <w:sz w:val="11"/>
        </w:rPr>
        <w:t>ª</w:t>
      </w:r>
      <w:r>
        <w:rPr>
          <w:b/>
          <w:w w:val="76"/>
          <w:sz w:val="11"/>
        </w:rPr>
        <w:t>111)</w:t>
      </w:r>
    </w:p>
    <w:p>
      <w:pPr>
        <w:spacing w:line="500" w:lineRule="exact" w:before="0"/>
        <w:ind w:left="1485" w:right="930" w:firstLine="0"/>
        <w:jc w:val="center"/>
        <w:rPr>
          <w:rFonts w:ascii="Arial" w:hAnsi="Arial"/>
          <w:sz w:val="28"/>
        </w:rPr>
      </w:pPr>
      <w:r>
        <w:rPr/>
        <w:pict>
          <v:rect style="position:absolute;margin-left:203.940002pt;margin-top:23.855076pt;width:12.42pt;height:6.48pt;mso-position-horizontal-relative:page;mso-position-vertical-relative:paragraph;z-index:-728128" filled="true" fillcolor="#000000" stroked="false">
            <v:fill type="solid"/>
            <w10:wrap type="none"/>
          </v:rect>
        </w:pict>
      </w:r>
      <w:r>
        <w:rPr>
          <w:w w:val="100"/>
          <w:sz w:val="24"/>
        </w:rPr>
        <w:t>=</w:t>
      </w:r>
      <w:r>
        <w:rPr>
          <w:sz w:val="24"/>
        </w:rPr>
        <w:t> </w:t>
      </w:r>
      <w:r>
        <w:rPr>
          <w:spacing w:val="-27"/>
          <w:sz w:val="24"/>
        </w:rPr>
        <w:t> </w:t>
      </w:r>
      <w:r>
        <w:rPr>
          <w:rFonts w:ascii="Arial" w:hAnsi="Arial"/>
          <w:b/>
          <w:i/>
          <w:spacing w:val="18"/>
          <w:w w:val="169"/>
          <w:sz w:val="19"/>
        </w:rPr>
        <w:t>p</w:t>
      </w:r>
      <w:r>
        <w:rPr>
          <w:rFonts w:ascii="Arial" w:hAnsi="Arial"/>
          <w:b/>
          <w:i/>
          <w:w w:val="91"/>
          <w:sz w:val="19"/>
        </w:rPr>
        <w:t>•&gt;</w:t>
      </w:r>
      <w:r>
        <w:rPr>
          <w:rFonts w:ascii="Arial" w:hAnsi="Arial"/>
          <w:b/>
          <w:i/>
          <w:sz w:val="19"/>
        </w:rPr>
        <w:t> </w:t>
      </w:r>
      <w:r>
        <w:rPr>
          <w:rFonts w:ascii="Arial" w:hAnsi="Arial"/>
          <w:b/>
          <w:i/>
          <w:spacing w:val="-24"/>
          <w:sz w:val="19"/>
        </w:rPr>
        <w:t> </w:t>
      </w:r>
      <w:r>
        <w:rPr>
          <w:w w:val="68"/>
          <w:sz w:val="50"/>
        </w:rPr>
        <w:t>(</w:t>
      </w:r>
      <w:r>
        <w:rPr>
          <w:w w:val="68"/>
          <w:sz w:val="50"/>
        </w:rPr>
        <w:t>i</w:t>
      </w:r>
      <w:r>
        <w:rPr>
          <w:spacing w:val="-41"/>
          <w:sz w:val="50"/>
        </w:rPr>
        <w:t> </w:t>
      </w:r>
      <w:r>
        <w:rPr>
          <w:w w:val="54"/>
          <w:sz w:val="50"/>
        </w:rPr>
        <w:t>_</w:t>
      </w:r>
      <w:r>
        <w:rPr>
          <w:spacing w:val="-30"/>
          <w:sz w:val="50"/>
        </w:rPr>
        <w:t> </w:t>
      </w:r>
      <w:r>
        <w:rPr>
          <w:b/>
          <w:w w:val="100"/>
          <w:sz w:val="20"/>
        </w:rPr>
        <w:t>m</w:t>
      </w:r>
      <w:r>
        <w:rPr>
          <w:b/>
          <w:sz w:val="20"/>
        </w:rPr>
        <w:t> </w:t>
      </w:r>
      <w:r>
        <w:rPr>
          <w:b/>
          <w:spacing w:val="-17"/>
          <w:sz w:val="20"/>
        </w:rPr>
        <w:t> </w:t>
      </w:r>
      <w:r>
        <w:rPr>
          <w:rFonts w:ascii="Arial" w:hAnsi="Arial"/>
          <w:b/>
          <w:w w:val="184"/>
          <w:sz w:val="19"/>
        </w:rPr>
        <w:t>:</w:t>
      </w:r>
      <w:r>
        <w:rPr>
          <w:rFonts w:ascii="Arial" w:hAnsi="Arial"/>
          <w:b/>
          <w:spacing w:val="17"/>
          <w:w w:val="184"/>
          <w:sz w:val="19"/>
        </w:rPr>
        <w:t>;</w:t>
      </w:r>
      <w:r>
        <w:rPr>
          <w:rFonts w:ascii="Arial" w:hAnsi="Arial"/>
          <w:b/>
          <w:w w:val="106"/>
          <w:sz w:val="19"/>
        </w:rPr>
        <w:t>1</w:t>
      </w:r>
      <w:r>
        <w:rPr>
          <w:rFonts w:ascii="Arial" w:hAnsi="Arial"/>
          <w:b/>
          <w:spacing w:val="-22"/>
          <w:sz w:val="19"/>
        </w:rPr>
        <w:t> </w:t>
      </w:r>
      <w:r>
        <w:rPr>
          <w:rFonts w:ascii="Arial" w:hAnsi="Arial"/>
          <w:spacing w:val="-66"/>
          <w:w w:val="111"/>
          <w:sz w:val="28"/>
        </w:rPr>
        <w:t>p</w:t>
      </w:r>
      <w:r>
        <w:rPr>
          <w:rFonts w:ascii="Arial" w:hAnsi="Arial"/>
          <w:spacing w:val="-119"/>
          <w:w w:val="209"/>
          <w:sz w:val="28"/>
        </w:rPr>
        <w:t>!</w:t>
      </w:r>
      <w:r>
        <w:rPr>
          <w:rFonts w:ascii="Arial" w:hAnsi="Arial"/>
          <w:spacing w:val="-25"/>
          <w:w w:val="142"/>
          <w:sz w:val="28"/>
        </w:rPr>
        <w:t>•</w:t>
      </w:r>
      <w:r>
        <w:rPr>
          <w:rFonts w:ascii="Arial" w:hAnsi="Arial"/>
          <w:spacing w:val="-32"/>
          <w:w w:val="143"/>
          <w:sz w:val="28"/>
        </w:rPr>
        <w:t>l</w:t>
      </w:r>
      <w:r>
        <w:rPr>
          <w:rFonts w:ascii="Arial" w:hAnsi="Arial"/>
          <w:w w:val="153"/>
          <w:sz w:val="28"/>
        </w:rPr>
        <w:t>)</w:t>
      </w:r>
      <w:r>
        <w:rPr>
          <w:rFonts w:ascii="Arial" w:hAnsi="Arial"/>
          <w:w w:val="153"/>
          <w:sz w:val="28"/>
        </w:rPr>
        <w:t>.</w:t>
      </w:r>
    </w:p>
    <w:p>
      <w:pPr>
        <w:spacing w:line="134" w:lineRule="exact" w:before="0"/>
        <w:ind w:left="916" w:right="0" w:firstLine="0"/>
        <w:jc w:val="center"/>
        <w:rPr>
          <w:rFonts w:ascii="Arial"/>
          <w:b/>
          <w:sz w:val="19"/>
        </w:rPr>
      </w:pPr>
      <w:r>
        <w:rPr>
          <w:rFonts w:ascii="Arial"/>
          <w:b/>
          <w:w w:val="99"/>
          <w:sz w:val="19"/>
        </w:rPr>
        <w:t>2</w:t>
      </w:r>
    </w:p>
    <w:p>
      <w:pPr>
        <w:spacing w:after="0" w:line="134" w:lineRule="exact"/>
        <w:jc w:val="center"/>
        <w:rPr>
          <w:rFonts w:ascii="Arial"/>
          <w:sz w:val="19"/>
        </w:rPr>
        <w:sectPr>
          <w:type w:val="continuous"/>
          <w:pgSz w:w="7200" w:h="11340"/>
          <w:pgMar w:top="1100" w:bottom="0" w:left="680" w:right="540"/>
        </w:sectPr>
      </w:pPr>
    </w:p>
    <w:p>
      <w:pPr>
        <w:spacing w:line="419" w:lineRule="exact" w:before="0"/>
        <w:ind w:left="112" w:right="0" w:firstLine="0"/>
        <w:jc w:val="left"/>
        <w:rPr>
          <w:i/>
          <w:sz w:val="8"/>
        </w:rPr>
      </w:pPr>
      <w:r>
        <w:rPr/>
        <w:pict>
          <v:shape style="position:absolute;margin-left:127.080002pt;margin-top:13.277117pt;width:2.65pt;height:4pt;mso-position-horizontal-relative:page;mso-position-vertical-relative:paragraph;z-index:-728104" type="#_x0000_t202" filled="false" stroked="false">
            <v:textbox inset="0,0,0,0">
              <w:txbxContent>
                <w:p>
                  <w:pPr>
                    <w:spacing w:line="80" w:lineRule="exact" w:before="0"/>
                    <w:ind w:left="0" w:right="0" w:firstLine="0"/>
                    <w:jc w:val="left"/>
                    <w:rPr>
                      <w:i/>
                      <w:sz w:val="8"/>
                    </w:rPr>
                  </w:pPr>
                  <w:r>
                    <w:rPr>
                      <w:i/>
                      <w:w w:val="308"/>
                      <w:sz w:val="8"/>
                    </w:rPr>
                    <w:t>'</w:t>
                  </w:r>
                </w:p>
              </w:txbxContent>
            </v:textbox>
            <w10:wrap type="none"/>
          </v:shape>
        </w:pict>
      </w:r>
      <w:r>
        <w:rPr>
          <w:w w:val="108"/>
          <w:sz w:val="20"/>
        </w:rPr>
        <w:t>Substitut</w:t>
      </w:r>
      <w:r>
        <w:rPr>
          <w:spacing w:val="-22"/>
          <w:sz w:val="20"/>
        </w:rPr>
        <w:t> </w:t>
      </w:r>
      <w:r>
        <w:rPr>
          <w:w w:val="100"/>
          <w:sz w:val="20"/>
        </w:rPr>
        <w:t>ing</w:t>
      </w:r>
      <w:r>
        <w:rPr>
          <w:spacing w:val="19"/>
          <w:sz w:val="20"/>
        </w:rPr>
        <w:t> </w:t>
      </w:r>
      <w:r>
        <w:rPr>
          <w:sz w:val="20"/>
        </w:rPr>
        <w:t>for </w:t>
      </w:r>
      <w:r>
        <w:rPr>
          <w:spacing w:val="-20"/>
          <w:sz w:val="20"/>
        </w:rPr>
        <w:t> </w:t>
      </w:r>
      <w:r>
        <w:rPr>
          <w:i/>
          <w:spacing w:val="5"/>
          <w:w w:val="47"/>
          <w:sz w:val="41"/>
        </w:rPr>
        <w:t>P</w:t>
      </w:r>
      <w:r>
        <w:rPr>
          <w:i/>
          <w:spacing w:val="-31"/>
          <w:w w:val="79"/>
          <w:sz w:val="41"/>
        </w:rPr>
        <w:t>:</w:t>
      </w:r>
      <w:r>
        <w:rPr>
          <w:i/>
          <w:w w:val="84"/>
          <w:position w:val="10"/>
          <w:sz w:val="8"/>
        </w:rPr>
        <w:t>111</w:t>
      </w:r>
    </w:p>
    <w:p>
      <w:pPr>
        <w:pStyle w:val="BodyText"/>
        <w:spacing w:before="143"/>
        <w:ind w:left="36"/>
        <w:jc w:val="center"/>
      </w:pPr>
      <w:r>
        <w:rPr/>
        <w:br w:type="column"/>
      </w:r>
      <w:r>
        <w:rPr/>
        <w:t>from  (4.13)  and  solving,  we</w:t>
      </w:r>
      <w:r>
        <w:rPr>
          <w:spacing w:val="-4"/>
        </w:rPr>
        <w:t> </w:t>
      </w:r>
      <w:r>
        <w:rPr/>
        <w:t>have</w:t>
      </w:r>
    </w:p>
    <w:p>
      <w:pPr>
        <w:tabs>
          <w:tab w:pos="1224" w:val="left" w:leader="none"/>
        </w:tabs>
        <w:spacing w:line="224" w:lineRule="exact" w:before="140"/>
        <w:ind w:left="184" w:right="0" w:firstLine="0"/>
        <w:jc w:val="left"/>
        <w:rPr>
          <w:b/>
          <w:i/>
          <w:sz w:val="22"/>
        </w:rPr>
      </w:pPr>
      <w:r>
        <w:rPr/>
        <w:pict>
          <v:shape style="position:absolute;margin-left:133.919998pt;margin-top:12.780455pt;width:6.55pt;height:10.5pt;mso-position-horizontal-relative:page;mso-position-vertical-relative:paragraph;z-index:7984" type="#_x0000_t202" filled="false" stroked="false">
            <v:textbox inset="0,0,0,0">
              <w:txbxContent>
                <w:p>
                  <w:pPr>
                    <w:spacing w:line="210" w:lineRule="exact" w:before="0"/>
                    <w:ind w:left="0" w:right="0" w:firstLine="0"/>
                    <w:jc w:val="left"/>
                    <w:rPr>
                      <w:i/>
                      <w:sz w:val="21"/>
                    </w:rPr>
                  </w:pPr>
                  <w:r>
                    <w:rPr>
                      <w:i/>
                      <w:w w:val="101"/>
                      <w:sz w:val="21"/>
                    </w:rPr>
                    <w:t>P</w:t>
                  </w:r>
                </w:p>
              </w:txbxContent>
            </v:textbox>
            <w10:wrap type="none"/>
          </v:shape>
        </w:pict>
      </w:r>
      <w:r>
        <w:rPr>
          <w:i/>
          <w:w w:val="80"/>
          <w:sz w:val="20"/>
        </w:rPr>
        <w:t>!"'</w:t>
      </w:r>
      <w:r>
        <w:rPr>
          <w:i/>
          <w:spacing w:val="-26"/>
          <w:w w:val="80"/>
          <w:sz w:val="20"/>
        </w:rPr>
        <w:t> </w:t>
      </w:r>
      <w:r>
        <w:rPr>
          <w:i/>
          <w:w w:val="65"/>
          <w:sz w:val="20"/>
        </w:rPr>
        <w:t>I </w:t>
      </w:r>
      <w:r>
        <w:rPr>
          <w:i/>
          <w:spacing w:val="23"/>
          <w:w w:val="65"/>
          <w:sz w:val="20"/>
        </w:rPr>
        <w:t> </w:t>
      </w:r>
      <w:r>
        <w:rPr>
          <w:i/>
          <w:w w:val="65"/>
          <w:sz w:val="20"/>
        </w:rPr>
        <w:t>:.....</w:t>
        <w:tab/>
      </w:r>
      <w:r>
        <w:rPr>
          <w:b/>
          <w:i/>
          <w:w w:val="80"/>
          <w:sz w:val="22"/>
          <w:u w:val="single"/>
        </w:rPr>
        <w:t>Pz</w:t>
      </w:r>
    </w:p>
    <w:p>
      <w:pPr>
        <w:tabs>
          <w:tab w:pos="519" w:val="left" w:leader="none"/>
          <w:tab w:pos="1167" w:val="left" w:leader="none"/>
        </w:tabs>
        <w:spacing w:line="157" w:lineRule="exact" w:before="0"/>
        <w:ind w:left="180" w:right="0" w:firstLine="0"/>
        <w:jc w:val="left"/>
        <w:rPr>
          <w:sz w:val="20"/>
        </w:rPr>
      </w:pPr>
      <w:r>
        <w:rPr>
          <w:rFonts w:ascii="Arial" w:hAnsi="Arial"/>
          <w:w w:val="125"/>
          <w:sz w:val="20"/>
        </w:rPr>
        <w:t>•</w:t>
        <w:tab/>
      </w:r>
      <w:r>
        <w:rPr>
          <w:rFonts w:ascii="Arial" w:hAnsi="Arial"/>
          <w:i/>
          <w:w w:val="95"/>
          <w:sz w:val="20"/>
        </w:rPr>
        <w:t>-=</w:t>
        <w:tab/>
      </w:r>
      <w:r>
        <w:rPr>
          <w:rFonts w:ascii="Arial" w:hAnsi="Arial"/>
          <w:i/>
          <w:w w:val="125"/>
          <w:sz w:val="18"/>
        </w:rPr>
        <w:t>m </w:t>
      </w:r>
      <w:r>
        <w:rPr>
          <w:rFonts w:ascii="Arial" w:hAnsi="Arial"/>
          <w:w w:val="255"/>
          <w:sz w:val="18"/>
        </w:rPr>
        <w:t>- </w:t>
      </w:r>
      <w:r>
        <w:rPr>
          <w:w w:val="125"/>
          <w:sz w:val="20"/>
        </w:rPr>
        <w:t>1 </w:t>
      </w:r>
      <w:r>
        <w:rPr>
          <w:spacing w:val="33"/>
          <w:w w:val="125"/>
          <w:sz w:val="20"/>
        </w:rPr>
        <w:t> </w:t>
      </w:r>
      <w:r>
        <w:rPr>
          <w:w w:val="125"/>
          <w:sz w:val="20"/>
        </w:rPr>
        <w:t>·</w:t>
      </w:r>
    </w:p>
    <w:p>
      <w:pPr>
        <w:spacing w:line="136" w:lineRule="exact" w:before="0"/>
        <w:ind w:left="771" w:right="0" w:firstLine="0"/>
        <w:jc w:val="left"/>
        <w:rPr>
          <w:b/>
          <w:sz w:val="20"/>
        </w:rPr>
      </w:pPr>
      <w:r>
        <w:rPr>
          <w:b/>
          <w:w w:val="110"/>
          <w:sz w:val="20"/>
        </w:rPr>
        <w:t>1  </w:t>
      </w:r>
      <w:r>
        <w:rPr>
          <w:b/>
          <w:w w:val="225"/>
          <w:sz w:val="20"/>
        </w:rPr>
        <w:t>- </w:t>
      </w:r>
      <w:r>
        <w:rPr>
          <w:b/>
          <w:w w:val="305"/>
          <w:sz w:val="20"/>
        </w:rPr>
        <w:t>--d</w:t>
      </w:r>
    </w:p>
    <w:p>
      <w:pPr>
        <w:spacing w:line="192" w:lineRule="exact" w:before="0"/>
        <w:ind w:left="28" w:right="0" w:firstLine="0"/>
        <w:jc w:val="center"/>
        <w:rPr>
          <w:sz w:val="21"/>
        </w:rPr>
      </w:pPr>
      <w:r>
        <w:rPr>
          <w:sz w:val="21"/>
        </w:rPr>
        <w:t>2m</w:t>
      </w:r>
    </w:p>
    <w:p>
      <w:pPr>
        <w:pStyle w:val="BodyText"/>
      </w:pPr>
      <w:r>
        <w:rPr/>
        <w:br w:type="column"/>
      </w:r>
      <w:r>
        <w:rPr/>
      </w:r>
    </w:p>
    <w:p>
      <w:pPr>
        <w:pStyle w:val="BodyText"/>
      </w:pPr>
    </w:p>
    <w:p>
      <w:pPr>
        <w:pStyle w:val="BodyText"/>
        <w:spacing w:before="9"/>
        <w:rPr>
          <w:sz w:val="23"/>
        </w:rPr>
      </w:pPr>
    </w:p>
    <w:p>
      <w:pPr>
        <w:pStyle w:val="BodyText"/>
        <w:ind w:left="112"/>
      </w:pPr>
      <w:r>
        <w:rPr/>
        <w:t>( 4.22 )</w:t>
      </w:r>
    </w:p>
    <w:p>
      <w:pPr>
        <w:spacing w:after="0"/>
        <w:sectPr>
          <w:type w:val="continuous"/>
          <w:pgSz w:w="7200" w:h="11340"/>
          <w:pgMar w:top="1100" w:bottom="0" w:left="680" w:right="540"/>
          <w:cols w:num="3" w:equalWidth="0">
            <w:col w:w="1915" w:space="40"/>
            <w:col w:w="2896" w:space="362"/>
            <w:col w:w="767"/>
          </w:cols>
        </w:sectPr>
      </w:pPr>
    </w:p>
    <w:p>
      <w:pPr>
        <w:pStyle w:val="BodyText"/>
        <w:spacing w:line="252" w:lineRule="auto" w:before="117"/>
        <w:ind w:left="112" w:right="124" w:hanging="4"/>
        <w:jc w:val="both"/>
      </w:pPr>
      <w:r>
        <w:rPr>
          <w:w w:val="105"/>
        </w:rPr>
        <w:t>Since there is no luss of premium  in the year of death in this case,   it is only necessary to adjust the annual prernium for loss of in­ terest. This may </w:t>
      </w:r>
      <w:r>
        <w:rPr>
          <w:rFonts w:ascii="Arial" w:hAnsi="Arial"/>
          <w:w w:val="105"/>
        </w:rPr>
        <w:t>be </w:t>
      </w:r>
      <w:r>
        <w:rPr>
          <w:w w:val="105"/>
        </w:rPr>
        <w:t>seen when  (4.22)  is written in the </w:t>
      </w:r>
      <w:r>
        <w:rPr>
          <w:spacing w:val="8"/>
          <w:w w:val="105"/>
        </w:rPr>
        <w:t> </w:t>
      </w:r>
      <w:r>
        <w:rPr>
          <w:w w:val="105"/>
        </w:rPr>
        <w:t>form</w:t>
      </w:r>
    </w:p>
    <w:p>
      <w:pPr>
        <w:spacing w:line="331" w:lineRule="exact" w:before="59"/>
        <w:ind w:left="74" w:right="144" w:firstLine="0"/>
        <w:jc w:val="center"/>
        <w:rPr>
          <w:b/>
          <w:i/>
          <w:sz w:val="21"/>
        </w:rPr>
      </w:pPr>
      <w:r>
        <w:rPr/>
        <w:pict>
          <v:shape style="position:absolute;margin-left:191.520004pt;margin-top:13.331074pt;width:134.65pt;height:12.45pt;mso-position-horizontal-relative:page;mso-position-vertical-relative:paragraph;z-index:-728056" type="#_x0000_t202" filled="false" stroked="false">
            <v:textbox inset="0,0,0,0">
              <w:txbxContent>
                <w:p>
                  <w:pPr>
                    <w:tabs>
                      <w:tab w:pos="2174" w:val="left" w:leader="none"/>
                    </w:tabs>
                    <w:spacing w:line="249" w:lineRule="exact" w:before="0"/>
                    <w:ind w:left="0" w:right="0" w:firstLine="0"/>
                    <w:jc w:val="left"/>
                    <w:rPr>
                      <w:sz w:val="20"/>
                    </w:rPr>
                  </w:pPr>
                  <w:r>
                    <w:rPr>
                      <w:position w:val="-4"/>
                      <w:sz w:val="21"/>
                    </w:rPr>
                    <w:t>2m</w:t>
                    <w:tab/>
                  </w:r>
                  <w:r>
                    <w:rPr>
                      <w:sz w:val="20"/>
                    </w:rPr>
                    <w:t>(</w:t>
                  </w:r>
                  <w:r>
                    <w:rPr>
                      <w:spacing w:val="-16"/>
                      <w:sz w:val="20"/>
                    </w:rPr>
                    <w:t> </w:t>
                  </w:r>
                  <w:r>
                    <w:rPr>
                      <w:sz w:val="20"/>
                    </w:rPr>
                    <w:t>4.23)</w:t>
                  </w:r>
                </w:p>
              </w:txbxContent>
            </v:textbox>
            <w10:wrap type="none"/>
          </v:shape>
        </w:pict>
      </w:r>
      <w:r>
        <w:rPr>
          <w:b/>
          <w:w w:val="105"/>
          <w:sz w:val="15"/>
        </w:rPr>
        <w:t>p[1nJ  </w:t>
      </w:r>
      <w:r>
        <w:rPr>
          <w:rFonts w:ascii="Arial"/>
          <w:w w:val="105"/>
          <w:sz w:val="30"/>
        </w:rPr>
        <w:t>= </w:t>
      </w:r>
      <w:r>
        <w:rPr>
          <w:b/>
          <w:i/>
          <w:w w:val="105"/>
          <w:sz w:val="21"/>
        </w:rPr>
        <w:t>p   </w:t>
      </w:r>
      <w:r>
        <w:rPr>
          <w:rFonts w:ascii="Arial"/>
          <w:w w:val="105"/>
          <w:sz w:val="32"/>
        </w:rPr>
        <w:t>+ </w:t>
      </w:r>
      <w:r>
        <w:rPr>
          <w:rFonts w:ascii="Arial"/>
          <w:b/>
          <w:i/>
          <w:w w:val="105"/>
          <w:sz w:val="18"/>
        </w:rPr>
        <w:t>m </w:t>
      </w:r>
      <w:r>
        <w:rPr>
          <w:rFonts w:ascii="Arial"/>
          <w:w w:val="255"/>
          <w:sz w:val="18"/>
        </w:rPr>
        <w:t>-</w:t>
      </w:r>
      <w:r>
        <w:rPr>
          <w:rFonts w:ascii="Arial"/>
          <w:spacing w:val="-66"/>
          <w:w w:val="255"/>
          <w:sz w:val="18"/>
        </w:rPr>
        <w:t> </w:t>
      </w:r>
      <w:r>
        <w:rPr>
          <w:b/>
          <w:w w:val="105"/>
          <w:sz w:val="20"/>
        </w:rPr>
        <w:t>1 </w:t>
      </w:r>
      <w:r>
        <w:rPr>
          <w:b/>
          <w:w w:val="105"/>
          <w:sz w:val="15"/>
        </w:rPr>
        <w:t>p[mJ  </w:t>
      </w:r>
      <w:r>
        <w:rPr>
          <w:b/>
          <w:i/>
          <w:w w:val="105"/>
          <w:sz w:val="21"/>
        </w:rPr>
        <w:t>d</w:t>
      </w:r>
    </w:p>
    <w:p>
      <w:pPr>
        <w:tabs>
          <w:tab w:pos="571" w:val="left" w:leader="none"/>
          <w:tab w:pos="848" w:val="left" w:leader="none"/>
          <w:tab w:pos="2025" w:val="left" w:leader="none"/>
          <w:tab w:pos="2447" w:val="left" w:leader="none"/>
        </w:tabs>
        <w:spacing w:line="112" w:lineRule="exact" w:before="0"/>
        <w:ind w:left="125" w:right="0" w:firstLine="0"/>
        <w:jc w:val="center"/>
        <w:rPr>
          <w:sz w:val="9"/>
        </w:rPr>
      </w:pPr>
      <w:r>
        <w:rPr>
          <w:i/>
          <w:w w:val="105"/>
          <w:sz w:val="13"/>
        </w:rPr>
        <w:t>z</w:t>
        <w:tab/>
      </w:r>
      <w:r>
        <w:rPr>
          <w:w w:val="105"/>
          <w:sz w:val="13"/>
        </w:rPr>
        <w:t>•</w:t>
        <w:tab/>
      </w:r>
      <w:r>
        <w:rPr>
          <w:i/>
          <w:w w:val="105"/>
          <w:sz w:val="13"/>
        </w:rPr>
        <w:t>z</w:t>
        <w:tab/>
      </w:r>
      <w:r>
        <w:rPr>
          <w:i/>
          <w:w w:val="105"/>
          <w:sz w:val="9"/>
        </w:rPr>
        <w:t>:i:</w:t>
        <w:tab/>
      </w:r>
      <w:r>
        <w:rPr>
          <w:w w:val="125"/>
          <w:sz w:val="9"/>
        </w:rPr>
        <w:t>•</w:t>
      </w:r>
    </w:p>
    <w:p>
      <w:pPr>
        <w:pStyle w:val="BodyText"/>
        <w:spacing w:before="1"/>
        <w:rPr>
          <w:sz w:val="12"/>
        </w:rPr>
      </w:pPr>
    </w:p>
    <w:p>
      <w:pPr>
        <w:pStyle w:val="BodyText"/>
        <w:spacing w:line="244" w:lineRule="auto" w:before="74"/>
        <w:ind w:left="112" w:right="125"/>
        <w:jc w:val="right"/>
      </w:pPr>
      <w:r>
        <w:rPr/>
        <w:t>Formulas analogous to (4.22)  are valid  for other  plans of insurance.</w:t>
      </w:r>
      <w:r>
        <w:rPr>
          <w:w w:val="105"/>
        </w:rPr>
        <w:t> </w:t>
      </w:r>
      <w:r>
        <w:rPr/>
        <w:t>A third type of fractional premium is the </w:t>
      </w:r>
      <w:r>
        <w:rPr>
          <w:i/>
          <w:sz w:val="21"/>
        </w:rPr>
        <w:t>ap port frmable </w:t>
      </w:r>
      <w:r>
        <w:rPr/>
        <w:t>pre­</w:t>
      </w:r>
      <w:r>
        <w:rPr>
          <w:w w:val="101"/>
        </w:rPr>
        <w:t> </w:t>
      </w:r>
      <w:r>
        <w:rPr/>
        <w:t>mium. </w:t>
      </w:r>
      <w:r>
        <w:rPr>
          <w:sz w:val="21"/>
        </w:rPr>
        <w:t>It </w:t>
      </w:r>
      <w:r>
        <w:rPr/>
        <w:t>is the practice of sorne insurers to  provide  in their  con­</w:t>
      </w:r>
      <w:r>
        <w:rPr>
          <w:w w:val="100"/>
        </w:rPr>
        <w:t> </w:t>
      </w:r>
      <w:r>
        <w:rPr/>
        <w:t>tracts that when death oceurs a pro-rata premium  refun&lt;l  will  be</w:t>
      </w:r>
      <w:r>
        <w:rPr>
          <w:w w:val="97"/>
        </w:rPr>
        <w:t> </w:t>
      </w:r>
      <w:r>
        <w:rPr/>
        <w:t>made eovering thc pcriod from </w:t>
      </w:r>
      <w:r>
        <w:rPr>
          <w:sz w:val="19"/>
        </w:rPr>
        <w:t>t </w:t>
      </w:r>
      <w:r>
        <w:rPr/>
        <w:t>he &lt;late of death </w:t>
      </w:r>
      <w:r>
        <w:rPr>
          <w:sz w:val="19"/>
        </w:rPr>
        <w:t>to </w:t>
      </w:r>
      <w:r>
        <w:rPr/>
        <w:t>t lw  dnt e to</w:t>
      </w:r>
      <w:r>
        <w:rPr>
          <w:w w:val="110"/>
        </w:rPr>
        <w:t> </w:t>
      </w:r>
      <w:r>
        <w:rPr/>
        <w:t>whi&lt;·h </w:t>
      </w:r>
      <w:r>
        <w:rPr>
          <w:sz w:val="19"/>
        </w:rPr>
        <w:t>pr&lt;'miun1s </w:t>
      </w:r>
      <w:r>
        <w:rPr/>
        <w:t>are paid . For cxample, if deat h o&lt;·&lt;·ur </w:t>
      </w:r>
      <w:r>
        <w:rPr>
          <w:sz w:val="19"/>
        </w:rPr>
        <w:t>oll&lt;' </w:t>
      </w:r>
      <w:r>
        <w:rPr/>
        <w:t>mont h</w:t>
      </w:r>
      <w:r>
        <w:rPr>
          <w:w w:val="94"/>
        </w:rPr>
        <w:t> </w:t>
      </w:r>
      <w:r>
        <w:rPr/>
        <w:t>af ter  u  quarterly  premium  has bcen  paid,  t wo-t hirds of  t his qua r-</w:t>
      </w:r>
    </w:p>
    <w:p>
      <w:pPr>
        <w:spacing w:after="0" w:line="244" w:lineRule="auto"/>
        <w:jc w:val="right"/>
        <w:sectPr>
          <w:type w:val="continuous"/>
          <w:pgSz w:w="7200" w:h="11340"/>
          <w:pgMar w:top="1100" w:bottom="0" w:left="680" w:right="540"/>
        </w:sectPr>
      </w:pPr>
    </w:p>
    <w:p>
      <w:pPr>
        <w:tabs>
          <w:tab w:pos="2040" w:val="left" w:leader="none"/>
          <w:tab w:pos="5952" w:val="right" w:leader="none"/>
        </w:tabs>
        <w:spacing w:before="63"/>
        <w:ind w:left="139" w:right="0" w:firstLine="0"/>
        <w:jc w:val="left"/>
        <w:rPr>
          <w:rFonts w:ascii="Courier New"/>
          <w:sz w:val="22"/>
        </w:rPr>
      </w:pPr>
      <w:r>
        <w:rPr>
          <w:b/>
          <w:w w:val="105"/>
          <w:sz w:val="15"/>
        </w:rPr>
        <w:t>SEC.</w:t>
      </w:r>
      <w:r>
        <w:rPr>
          <w:b/>
          <w:spacing w:val="20"/>
          <w:w w:val="105"/>
          <w:sz w:val="15"/>
        </w:rPr>
        <w:t> </w:t>
      </w:r>
      <w:r>
        <w:rPr>
          <w:rFonts w:ascii="Arial"/>
          <w:b/>
          <w:w w:val="105"/>
          <w:sz w:val="20"/>
        </w:rPr>
        <w:t>2]</w:t>
        <w:tab/>
      </w:r>
      <w:r>
        <w:rPr>
          <w:b/>
          <w:w w:val="105"/>
          <w:position w:val="1"/>
          <w:sz w:val="15"/>
        </w:rPr>
        <w:t>FRACTIONAL </w:t>
      </w:r>
      <w:r>
        <w:rPr>
          <w:b/>
          <w:spacing w:val="25"/>
          <w:w w:val="105"/>
          <w:position w:val="1"/>
          <w:sz w:val="15"/>
        </w:rPr>
        <w:t> </w:t>
      </w:r>
      <w:r>
        <w:rPr>
          <w:b/>
          <w:w w:val="105"/>
          <w:position w:val="1"/>
          <w:sz w:val="15"/>
        </w:rPr>
        <w:t>PREMIUMS</w:t>
      </w:r>
      <w:r>
        <w:rPr>
          <w:rFonts w:ascii="Courier New"/>
          <w:w w:val="105"/>
          <w:position w:val="1"/>
          <w:sz w:val="22"/>
        </w:rPr>
        <w:tab/>
      </w:r>
      <w:r>
        <w:rPr>
          <w:rFonts w:ascii="Courier New"/>
          <w:spacing w:val="-20"/>
          <w:w w:val="105"/>
          <w:position w:val="1"/>
          <w:sz w:val="22"/>
        </w:rPr>
        <w:t>89</w:t>
      </w:r>
    </w:p>
    <w:p>
      <w:pPr>
        <w:pStyle w:val="BodyText"/>
        <w:spacing w:before="10"/>
        <w:rPr>
          <w:rFonts w:ascii="Courier New"/>
          <w:sz w:val="19"/>
        </w:rPr>
      </w:pPr>
    </w:p>
    <w:p>
      <w:pPr>
        <w:pStyle w:val="BodyText"/>
        <w:spacing w:line="242" w:lineRule="auto"/>
        <w:ind w:left="146" w:right="154"/>
        <w:jc w:val="both"/>
      </w:pPr>
      <w:r>
        <w:rPr>
          <w:w w:val="105"/>
        </w:rPr>
        <w:t>terly premium is refunded with the sum insured. Premiums  pay­ able on this basis are cal1ed </w:t>
      </w:r>
      <w:r>
        <w:rPr>
          <w:i/>
          <w:w w:val="105"/>
          <w:sz w:val="19"/>
        </w:rPr>
        <w:t>apportwnahle, </w:t>
      </w:r>
      <w:r>
        <w:rPr>
          <w:w w:val="105"/>
        </w:rPr>
        <w:t>and are dcnoted by the symbol  </w:t>
      </w:r>
      <w:r>
        <w:rPr>
          <w:rFonts w:ascii="Arial" w:hAnsi="Arial"/>
          <w:spacing w:val="-8"/>
          <w:w w:val="145"/>
          <w:sz w:val="18"/>
        </w:rPr>
        <w:t>pf•I. </w:t>
      </w:r>
      <w:r>
        <w:rPr>
          <w:w w:val="105"/>
          <w:sz w:val="21"/>
        </w:rPr>
        <w:t>If  </w:t>
      </w:r>
      <w:r>
        <w:rPr>
          <w:w w:val="105"/>
        </w:rPr>
        <w:t>the  apportionable  premium  is  payable  annually,</w:t>
      </w:r>
    </w:p>
    <w:p>
      <w:pPr>
        <w:pStyle w:val="BodyText"/>
        <w:spacing w:line="251" w:lineRule="exact"/>
        <w:ind w:left="146"/>
        <w:jc w:val="both"/>
        <w:rPr>
          <w:sz w:val="18"/>
        </w:rPr>
      </w:pPr>
      <w:r>
        <w:rPr>
          <w:w w:val="123"/>
        </w:rPr>
        <w:t>it</w:t>
      </w:r>
      <w:r>
        <w:rPr>
          <w:spacing w:val="14"/>
        </w:rPr>
        <w:t> </w:t>
      </w:r>
      <w:r>
        <w:rPr>
          <w:w w:val="108"/>
        </w:rPr>
        <w:t>is</w:t>
      </w:r>
      <w:r>
        <w:rPr>
          <w:spacing w:val="-1"/>
        </w:rPr>
        <w:t> </w:t>
      </w:r>
      <w:r>
        <w:rPr>
          <w:w w:val="106"/>
        </w:rPr>
        <w:t>denoted</w:t>
      </w:r>
      <w:r>
        <w:rPr/>
        <w:t> </w:t>
      </w:r>
      <w:r>
        <w:rPr>
          <w:spacing w:val="-21"/>
        </w:rPr>
        <w:t> </w:t>
      </w:r>
      <w:r>
        <w:rPr>
          <w:w w:val="103"/>
        </w:rPr>
        <w:t>by</w:t>
      </w:r>
      <w:r>
        <w:rPr>
          <w:spacing w:val="24"/>
        </w:rPr>
        <w:t> </w:t>
      </w:r>
      <w:r>
        <w:rPr>
          <w:rFonts w:ascii="Arial" w:hAnsi="Arial"/>
          <w:spacing w:val="-14"/>
          <w:w w:val="125"/>
        </w:rPr>
        <w:t>P</w:t>
      </w:r>
      <w:r>
        <w:rPr>
          <w:w w:val="74"/>
          <w:position w:val="9"/>
          <w:sz w:val="18"/>
        </w:rPr>
        <w:t>1</w:t>
      </w:r>
      <w:r>
        <w:rPr>
          <w:spacing w:val="-8"/>
          <w:w w:val="74"/>
          <w:position w:val="9"/>
          <w:sz w:val="18"/>
        </w:rPr>
        <w:t>1</w:t>
      </w:r>
      <w:r>
        <w:rPr>
          <w:spacing w:val="11"/>
          <w:w w:val="59"/>
          <w:position w:val="9"/>
          <w:sz w:val="18"/>
        </w:rPr>
        <w:t>1</w:t>
      </w:r>
      <w:r>
        <w:rPr>
          <w:w w:val="79"/>
          <w:sz w:val="18"/>
        </w:rPr>
        <w:t>•</w:t>
      </w:r>
    </w:p>
    <w:p>
      <w:pPr>
        <w:pStyle w:val="BodyText"/>
        <w:ind w:left="157" w:firstLine="190"/>
      </w:pPr>
      <w:r>
        <w:rPr>
          <w:w w:val="105"/>
        </w:rPr>
        <w:t>The effect of the apportionable feature is that the insurer   refunds</w:t>
      </w:r>
    </w:p>
    <w:p>
      <w:pPr>
        <w:pStyle w:val="BodyText"/>
        <w:spacing w:line="368" w:lineRule="exact" w:before="22"/>
        <w:ind w:left="154" w:right="149" w:firstLine="3"/>
        <w:jc w:val="both"/>
      </w:pPr>
      <w:r>
        <w:rPr>
          <w:w w:val="110"/>
        </w:rPr>
        <w:t>an average amount of </w:t>
      </w:r>
      <w:r>
        <w:rPr>
          <w:w w:val="110"/>
          <w:position w:val="-11"/>
        </w:rPr>
        <w:t>2 </w:t>
      </w:r>
      <w:r>
        <w:rPr>
          <w:rFonts w:ascii="Arial" w:hAnsi="Arial"/>
          <w:w w:val="180"/>
          <w:sz w:val="16"/>
        </w:rPr>
        <w:t>pl•l </w:t>
      </w:r>
      <w:r>
        <w:rPr>
          <w:w w:val="110"/>
        </w:rPr>
        <w:t>as part of the  policy  procecds. Thus, </w:t>
      </w:r>
      <w:r>
        <w:rPr>
          <w:w w:val="110"/>
          <w:sz w:val="19"/>
        </w:rPr>
        <w:t>for </w:t>
      </w:r>
      <w:r>
        <w:rPr>
          <w:w w:val="110"/>
        </w:rPr>
        <w:t>ordinary </w:t>
      </w:r>
      <w:r>
        <w:rPr>
          <w:sz w:val="29"/>
        </w:rPr>
        <w:t>life </w:t>
      </w:r>
      <w:r>
        <w:rPr>
          <w:w w:val="110"/>
        </w:rPr>
        <w:t>insumnce, we have</w:t>
      </w:r>
    </w:p>
    <w:p>
      <w:pPr>
        <w:spacing w:line="475" w:lineRule="exact" w:before="0"/>
        <w:ind w:left="2166" w:right="1438" w:firstLine="0"/>
        <w:jc w:val="center"/>
        <w:rPr>
          <w:rFonts w:ascii="Arial"/>
          <w:b/>
          <w:sz w:val="28"/>
        </w:rPr>
      </w:pPr>
      <w:r>
        <w:rPr>
          <w:spacing w:val="-45"/>
          <w:w w:val="70"/>
          <w:sz w:val="46"/>
        </w:rPr>
        <w:t>.</w:t>
      </w:r>
      <w:r>
        <w:rPr>
          <w:w w:val="44"/>
          <w:sz w:val="46"/>
        </w:rPr>
        <w:t>1z</w:t>
      </w:r>
      <w:r>
        <w:rPr>
          <w:spacing w:val="-66"/>
          <w:sz w:val="46"/>
        </w:rPr>
        <w:t> </w:t>
      </w:r>
      <w:r>
        <w:rPr>
          <w:w w:val="67"/>
          <w:sz w:val="46"/>
        </w:rPr>
        <w:t>(1</w:t>
      </w:r>
      <w:r>
        <w:rPr>
          <w:spacing w:val="-77"/>
          <w:sz w:val="46"/>
        </w:rPr>
        <w:t> </w:t>
      </w:r>
      <w:r>
        <w:rPr>
          <w:rFonts w:ascii="Arial"/>
          <w:w w:val="102"/>
          <w:sz w:val="32"/>
        </w:rPr>
        <w:t>+</w:t>
      </w:r>
      <w:r>
        <w:rPr>
          <w:rFonts w:ascii="Arial"/>
          <w:spacing w:val="-40"/>
          <w:sz w:val="32"/>
        </w:rPr>
        <w:t> </w:t>
      </w:r>
      <w:r>
        <w:rPr>
          <w:spacing w:val="-74"/>
          <w:w w:val="132"/>
          <w:sz w:val="16"/>
        </w:rPr>
        <w:t>2</w:t>
      </w:r>
      <w:r>
        <w:rPr>
          <w:w w:val="103"/>
          <w:sz w:val="16"/>
        </w:rPr>
        <w:t>_</w:t>
      </w:r>
      <w:r>
        <w:rPr>
          <w:spacing w:val="-24"/>
          <w:w w:val="102"/>
          <w:sz w:val="16"/>
        </w:rPr>
        <w:t>m</w:t>
      </w:r>
      <w:r>
        <w:rPr>
          <w:w w:val="20"/>
          <w:sz w:val="16"/>
        </w:rPr>
        <w:t>_</w:t>
      </w:r>
      <w:r>
        <w:rPr>
          <w:sz w:val="16"/>
        </w:rPr>
        <w:t> </w:t>
      </w:r>
      <w:r>
        <w:rPr>
          <w:spacing w:val="1"/>
          <w:sz w:val="16"/>
        </w:rPr>
        <w:t> </w:t>
      </w:r>
      <w:r>
        <w:rPr>
          <w:rFonts w:ascii="Arial"/>
          <w:b/>
          <w:spacing w:val="-32"/>
          <w:w w:val="89"/>
          <w:sz w:val="28"/>
        </w:rPr>
        <w:t>P</w:t>
      </w:r>
      <w:r>
        <w:rPr>
          <w:rFonts w:ascii="Arial"/>
          <w:b/>
          <w:spacing w:val="-76"/>
          <w:w w:val="153"/>
          <w:sz w:val="28"/>
        </w:rPr>
        <w:t>!</w:t>
      </w:r>
      <w:r>
        <w:rPr>
          <w:rFonts w:ascii="Arial"/>
          <w:b/>
          <w:w w:val="74"/>
          <w:sz w:val="28"/>
        </w:rPr>
        <w:t>"'I</w:t>
      </w:r>
      <w:r>
        <w:rPr>
          <w:rFonts w:ascii="Arial"/>
          <w:b/>
          <w:w w:val="74"/>
          <w:sz w:val="28"/>
        </w:rPr>
        <w:t>)</w:t>
      </w:r>
    </w:p>
    <w:p>
      <w:pPr>
        <w:tabs>
          <w:tab w:pos="2235" w:val="left" w:leader="none"/>
        </w:tabs>
        <w:spacing w:line="70" w:lineRule="exact" w:before="0"/>
        <w:ind w:left="0" w:right="49" w:firstLine="0"/>
        <w:jc w:val="center"/>
        <w:rPr>
          <w:rFonts w:ascii="Arial" w:hAnsi="Arial"/>
          <w:sz w:val="15"/>
        </w:rPr>
      </w:pPr>
      <w:r>
        <w:rPr>
          <w:rFonts w:ascii="Arial" w:hAnsi="Arial"/>
          <w:w w:val="170"/>
          <w:sz w:val="15"/>
        </w:rPr>
        <w:t>pl•I</w:t>
      </w:r>
      <w:r>
        <w:rPr>
          <w:rFonts w:ascii="Arial" w:hAnsi="Arial"/>
          <w:spacing w:val="20"/>
          <w:w w:val="170"/>
          <w:sz w:val="15"/>
        </w:rPr>
        <w:t> </w:t>
      </w:r>
      <w:r>
        <w:rPr>
          <w:rFonts w:ascii="Arial" w:hAnsi="Arial"/>
          <w:w w:val="170"/>
          <w:sz w:val="15"/>
        </w:rPr>
        <w:t>:-</w:t>
        <w:tab/>
      </w:r>
      <w:r>
        <w:rPr>
          <w:rFonts w:ascii="Arial" w:hAnsi="Arial"/>
          <w:w w:val="60"/>
          <w:sz w:val="15"/>
        </w:rPr>
        <w:t>.</w:t>
      </w:r>
    </w:p>
    <w:p>
      <w:pPr>
        <w:tabs>
          <w:tab w:pos="327" w:val="left" w:leader="none"/>
          <w:tab w:pos="1162" w:val="left" w:leader="none"/>
        </w:tabs>
        <w:spacing w:line="254" w:lineRule="exact" w:before="0"/>
        <w:ind w:left="0" w:right="244" w:firstLine="0"/>
        <w:jc w:val="center"/>
        <w:rPr>
          <w:rFonts w:ascii="Courier New" w:hAnsi="Courier New"/>
          <w:sz w:val="27"/>
        </w:rPr>
      </w:pPr>
      <w:r>
        <w:rPr>
          <w:rFonts w:ascii="Courier New" w:hAnsi="Courier New"/>
          <w:i/>
          <w:w w:val="93"/>
          <w:sz w:val="14"/>
        </w:rPr>
        <w:t>z</w:t>
      </w:r>
      <w:r>
        <w:rPr>
          <w:rFonts w:ascii="Courier New" w:hAnsi="Courier New"/>
          <w:i/>
          <w:sz w:val="14"/>
        </w:rPr>
        <w:tab/>
      </w:r>
      <w:r>
        <w:rPr>
          <w:rFonts w:ascii="Arial" w:hAnsi="Arial"/>
          <w:w w:val="73"/>
          <w:sz w:val="21"/>
        </w:rPr>
        <w:t>-=</w:t>
      </w:r>
      <w:r>
        <w:rPr>
          <w:rFonts w:ascii="Arial" w:hAnsi="Arial"/>
          <w:sz w:val="21"/>
        </w:rPr>
        <w:tab/>
      </w:r>
      <w:r>
        <w:rPr>
          <w:rFonts w:ascii="Courier New" w:hAnsi="Courier New"/>
          <w:w w:val="73"/>
          <w:sz w:val="27"/>
        </w:rPr>
        <w:t>a</w:t>
      </w:r>
      <w:r>
        <w:rPr>
          <w:rFonts w:ascii="Courier New" w:hAnsi="Courier New"/>
          <w:spacing w:val="-113"/>
          <w:sz w:val="27"/>
        </w:rPr>
        <w:t> </w:t>
      </w:r>
      <w:r>
        <w:rPr>
          <w:rFonts w:ascii="Courier New" w:hAnsi="Courier New"/>
          <w:spacing w:val="-131"/>
          <w:w w:val="146"/>
          <w:sz w:val="27"/>
        </w:rPr>
        <w:t>•</w:t>
      </w:r>
      <w:r>
        <w:rPr>
          <w:rFonts w:ascii="Courier New" w:hAnsi="Courier New"/>
          <w:w w:val="94"/>
          <w:sz w:val="27"/>
        </w:rPr>
        <w:t>)</w:t>
      </w:r>
      <w:r>
        <w:rPr>
          <w:rFonts w:ascii="Courier New" w:hAnsi="Courier New"/>
          <w:spacing w:val="-7"/>
          <w:sz w:val="27"/>
        </w:rPr>
        <w:t> </w:t>
      </w:r>
      <w:r>
        <w:rPr>
          <w:rFonts w:ascii="Courier New" w:hAnsi="Courier New"/>
          <w:w w:val="15"/>
          <w:sz w:val="27"/>
        </w:rPr>
        <w:t>.</w:t>
      </w:r>
    </w:p>
    <w:p>
      <w:pPr>
        <w:spacing w:line="585" w:lineRule="exact" w:before="0"/>
        <w:ind w:left="2343" w:right="1438" w:firstLine="0"/>
        <w:jc w:val="center"/>
        <w:rPr>
          <w:sz w:val="51"/>
        </w:rPr>
      </w:pPr>
      <w:r>
        <w:rPr>
          <w:w w:val="105"/>
          <w:sz w:val="24"/>
        </w:rPr>
        <w:t>=</w:t>
      </w:r>
      <w:r>
        <w:rPr>
          <w:sz w:val="24"/>
        </w:rPr>
        <w:t> </w:t>
      </w:r>
      <w:r>
        <w:rPr>
          <w:spacing w:val="-26"/>
          <w:sz w:val="24"/>
        </w:rPr>
        <w:t> </w:t>
      </w:r>
      <w:r>
        <w:rPr>
          <w:rFonts w:ascii="Arial" w:hAnsi="Arial"/>
          <w:i/>
          <w:spacing w:val="-14"/>
          <w:w w:val="97"/>
          <w:sz w:val="25"/>
        </w:rPr>
        <w:t>p</w:t>
      </w:r>
      <w:r>
        <w:rPr>
          <w:rFonts w:ascii="Arial" w:hAnsi="Arial"/>
          <w:i/>
          <w:w w:val="127"/>
          <w:sz w:val="25"/>
        </w:rPr>
        <w:t>;</w:t>
      </w:r>
      <w:r>
        <w:rPr>
          <w:rFonts w:ascii="Arial" w:hAnsi="Arial"/>
          <w:i/>
          <w:spacing w:val="-7"/>
          <w:w w:val="127"/>
          <w:sz w:val="25"/>
        </w:rPr>
        <w:t>•</w:t>
      </w:r>
      <w:r>
        <w:rPr>
          <w:rFonts w:ascii="Arial" w:hAnsi="Arial"/>
          <w:i/>
          <w:w w:val="27"/>
          <w:sz w:val="25"/>
        </w:rPr>
        <w:t>&gt;</w:t>
      </w:r>
      <w:r>
        <w:rPr>
          <w:rFonts w:ascii="Arial" w:hAnsi="Arial"/>
          <w:i/>
          <w:spacing w:val="4"/>
          <w:sz w:val="25"/>
        </w:rPr>
        <w:t> </w:t>
      </w:r>
      <w:r>
        <w:rPr>
          <w:rFonts w:ascii="Arial" w:hAnsi="Arial"/>
          <w:spacing w:val="-27"/>
          <w:w w:val="204"/>
          <w:sz w:val="25"/>
        </w:rPr>
        <w:t>(</w:t>
      </w:r>
      <w:r>
        <w:rPr>
          <w:w w:val="94"/>
          <w:sz w:val="20"/>
        </w:rPr>
        <w:t>1</w:t>
      </w:r>
      <w:r>
        <w:rPr>
          <w:spacing w:val="14"/>
          <w:sz w:val="20"/>
        </w:rPr>
        <w:t> </w:t>
      </w:r>
      <w:r>
        <w:rPr>
          <w:rFonts w:ascii="Arial" w:hAnsi="Arial"/>
          <w:w w:val="102"/>
          <w:sz w:val="32"/>
        </w:rPr>
        <w:t>+</w:t>
      </w:r>
      <w:r>
        <w:rPr>
          <w:rFonts w:ascii="Arial" w:hAnsi="Arial"/>
          <w:spacing w:val="-44"/>
          <w:sz w:val="32"/>
        </w:rPr>
        <w:t> </w:t>
      </w:r>
      <w:r>
        <w:rPr>
          <w:rFonts w:ascii="Arial" w:hAnsi="Arial"/>
          <w:i/>
          <w:spacing w:val="-38"/>
          <w:w w:val="129"/>
          <w:sz w:val="32"/>
        </w:rPr>
        <w:t>}</w:t>
      </w:r>
      <w:r>
        <w:rPr>
          <w:rFonts w:ascii="Arial" w:hAnsi="Arial"/>
          <w:i/>
          <w:w w:val="59"/>
          <w:sz w:val="32"/>
        </w:rPr>
        <w:t>,;;</w:t>
      </w:r>
      <w:r>
        <w:rPr>
          <w:rFonts w:ascii="Arial" w:hAnsi="Arial"/>
          <w:i/>
          <w:spacing w:val="-33"/>
          <w:sz w:val="32"/>
        </w:rPr>
        <w:t> </w:t>
      </w:r>
      <w:r>
        <w:rPr>
          <w:spacing w:val="-17"/>
          <w:w w:val="53"/>
          <w:sz w:val="51"/>
        </w:rPr>
        <w:t>P</w:t>
      </w:r>
      <w:r>
        <w:rPr>
          <w:spacing w:val="-129"/>
          <w:w w:val="113"/>
          <w:sz w:val="51"/>
        </w:rPr>
        <w:t>!</w:t>
      </w:r>
      <w:r>
        <w:rPr>
          <w:spacing w:val="-29"/>
          <w:w w:val="68"/>
          <w:sz w:val="51"/>
        </w:rPr>
        <w:t>"</w:t>
      </w:r>
      <w:r>
        <w:rPr>
          <w:w w:val="163"/>
          <w:sz w:val="51"/>
        </w:rPr>
        <w:t>}</w:t>
      </w:r>
    </w:p>
    <w:p>
      <w:pPr>
        <w:spacing w:after="0" w:line="585" w:lineRule="exact"/>
        <w:jc w:val="center"/>
        <w:rPr>
          <w:sz w:val="51"/>
        </w:rPr>
        <w:sectPr>
          <w:pgSz w:w="7200" w:h="11340"/>
          <w:pgMar w:top="500" w:bottom="280" w:left="620" w:right="520"/>
        </w:sectPr>
      </w:pPr>
    </w:p>
    <w:p>
      <w:pPr>
        <w:pStyle w:val="BodyText"/>
        <w:spacing w:before="167"/>
        <w:ind w:left="168"/>
      </w:pPr>
      <w:r>
        <w:rPr>
          <w:w w:val="110"/>
        </w:rPr>
        <w:t>Substituting from </w:t>
      </w:r>
      <w:r>
        <w:rPr>
          <w:w w:val="110"/>
          <w:sz w:val="19"/>
        </w:rPr>
        <w:t>(4.13) </w:t>
      </w:r>
      <w:r>
        <w:rPr>
          <w:w w:val="110"/>
        </w:rPr>
        <w:t>and solving, we</w:t>
      </w:r>
      <w:r>
        <w:rPr>
          <w:spacing w:val="50"/>
          <w:w w:val="110"/>
        </w:rPr>
        <w:t> </w:t>
      </w:r>
      <w:r>
        <w:rPr>
          <w:w w:val="110"/>
        </w:rPr>
        <w:t>have</w:t>
      </w:r>
    </w:p>
    <w:p>
      <w:pPr>
        <w:tabs>
          <w:tab w:pos="2904" w:val="left" w:leader="none"/>
          <w:tab w:pos="4218" w:val="left" w:leader="none"/>
        </w:tabs>
        <w:spacing w:before="98"/>
        <w:ind w:left="1783" w:right="0" w:firstLine="0"/>
        <w:jc w:val="left"/>
        <w:rPr>
          <w:i/>
          <w:sz w:val="20"/>
        </w:rPr>
      </w:pPr>
      <w:r>
        <w:rPr>
          <w:rFonts w:ascii="Arial"/>
          <w:spacing w:val="-164"/>
          <w:w w:val="125"/>
          <w:sz w:val="20"/>
        </w:rPr>
        <w:t>P</w:t>
      </w:r>
      <w:r>
        <w:rPr>
          <w:rFonts w:ascii="Arial"/>
          <w:spacing w:val="-212"/>
          <w:w w:val="294"/>
          <w:sz w:val="20"/>
        </w:rPr>
        <w:t>!</w:t>
      </w:r>
      <w:r>
        <w:rPr>
          <w:rFonts w:ascii="Arial"/>
          <w:w w:val="138"/>
          <w:sz w:val="20"/>
        </w:rPr>
        <w:t>*l</w:t>
      </w:r>
      <w:r>
        <w:rPr>
          <w:rFonts w:ascii="Arial"/>
          <w:sz w:val="20"/>
        </w:rPr>
        <w:t> </w:t>
      </w:r>
      <w:r>
        <w:rPr>
          <w:rFonts w:ascii="Arial"/>
          <w:spacing w:val="-26"/>
          <w:sz w:val="20"/>
        </w:rPr>
        <w:t> </w:t>
      </w:r>
      <w:r>
        <w:rPr>
          <w:rFonts w:ascii="Arial"/>
          <w:w w:val="72"/>
          <w:sz w:val="26"/>
        </w:rPr>
        <w:t>=:</w:t>
      </w:r>
      <w:r>
        <w:rPr>
          <w:rFonts w:ascii="Arial"/>
          <w:spacing w:val="5"/>
          <w:sz w:val="26"/>
        </w:rPr>
        <w:t> </w:t>
      </w:r>
      <w:r>
        <w:rPr>
          <w:rFonts w:ascii="Arial"/>
          <w:w w:val="99"/>
          <w:sz w:val="26"/>
          <w:u w:val="single"/>
        </w:rPr>
        <w:t> </w:t>
      </w:r>
      <w:r>
        <w:rPr>
          <w:rFonts w:ascii="Arial"/>
          <w:sz w:val="26"/>
          <w:u w:val="single"/>
        </w:rPr>
        <w:tab/>
      </w:r>
      <w:r>
        <w:rPr>
          <w:rFonts w:ascii="Arial"/>
          <w:i/>
          <w:spacing w:val="-116"/>
          <w:w w:val="107"/>
          <w:sz w:val="18"/>
        </w:rPr>
        <w:t>m</w:t>
      </w:r>
      <w:r>
        <w:rPr>
          <w:rFonts w:ascii="Arial"/>
          <w:i/>
          <w:spacing w:val="-24"/>
          <w:w w:val="171"/>
          <w:sz w:val="18"/>
        </w:rPr>
        <w:t>_</w:t>
      </w:r>
      <w:r>
        <w:rPr>
          <w:rFonts w:ascii="Arial"/>
          <w:i/>
          <w:spacing w:val="-138"/>
          <w:w w:val="171"/>
          <w:sz w:val="18"/>
        </w:rPr>
        <w:t>_</w:t>
      </w:r>
      <w:r>
        <w:rPr>
          <w:rFonts w:ascii="Arial"/>
          <w:i/>
          <w:spacing w:val="-82"/>
          <w:w w:val="217"/>
          <w:sz w:val="18"/>
        </w:rPr>
        <w:t>_</w:t>
      </w:r>
      <w:r>
        <w:rPr>
          <w:i/>
          <w:spacing w:val="-40"/>
          <w:w w:val="103"/>
          <w:sz w:val="20"/>
        </w:rPr>
        <w:t>P</w:t>
      </w:r>
      <w:r>
        <w:rPr>
          <w:i/>
          <w:spacing w:val="-112"/>
          <w:w w:val="109"/>
          <w:sz w:val="20"/>
        </w:rPr>
        <w:t>_</w:t>
      </w:r>
      <w:r>
        <w:rPr>
          <w:i/>
          <w:w w:val="88"/>
          <w:sz w:val="20"/>
        </w:rPr>
        <w:t>l</w:t>
      </w:r>
      <w:r>
        <w:rPr>
          <w:i/>
          <w:spacing w:val="-7"/>
          <w:w w:val="88"/>
          <w:sz w:val="20"/>
        </w:rPr>
        <w:t>z</w:t>
      </w:r>
      <w:r>
        <w:rPr>
          <w:i/>
          <w:sz w:val="20"/>
          <w:u w:val="single"/>
        </w:rPr>
        <w:t> </w:t>
        <w:tab/>
      </w:r>
      <w:r>
        <w:rPr>
          <w:i/>
          <w:w w:val="130"/>
          <w:sz w:val="20"/>
        </w:rPr>
        <w:t>_</w:t>
      </w:r>
    </w:p>
    <w:p>
      <w:pPr>
        <w:spacing w:line="254" w:lineRule="exact" w:before="38"/>
        <w:ind w:left="2512" w:right="-18" w:firstLine="0"/>
        <w:jc w:val="left"/>
        <w:rPr>
          <w:rFonts w:ascii="Arial"/>
          <w:i/>
          <w:sz w:val="20"/>
        </w:rPr>
      </w:pPr>
      <w:r>
        <w:rPr>
          <w:rFonts w:ascii="Arial"/>
          <w:w w:val="88"/>
          <w:sz w:val="18"/>
        </w:rPr>
        <w:t>1</w:t>
      </w:r>
      <w:r>
        <w:rPr>
          <w:rFonts w:ascii="Arial"/>
          <w:sz w:val="18"/>
        </w:rPr>
        <w:t> </w:t>
      </w:r>
      <w:r>
        <w:rPr>
          <w:rFonts w:ascii="Arial"/>
          <w:spacing w:val="-24"/>
          <w:sz w:val="18"/>
        </w:rPr>
        <w:t> </w:t>
      </w:r>
      <w:r>
        <w:rPr>
          <w:rFonts w:ascii="Arial"/>
          <w:w w:val="284"/>
          <w:sz w:val="18"/>
        </w:rPr>
        <w:t>-</w:t>
      </w:r>
      <w:r>
        <w:rPr>
          <w:rFonts w:ascii="Arial"/>
          <w:sz w:val="18"/>
        </w:rPr>
        <w:t> </w:t>
      </w:r>
      <w:r>
        <w:rPr>
          <w:rFonts w:ascii="Arial"/>
          <w:spacing w:val="-23"/>
          <w:sz w:val="18"/>
        </w:rPr>
        <w:t> </w:t>
      </w:r>
      <w:r>
        <w:rPr>
          <w:rFonts w:ascii="Arial"/>
          <w:i/>
          <w:spacing w:val="-43"/>
          <w:w w:val="485"/>
          <w:sz w:val="20"/>
        </w:rPr>
        <w:t>-</w:t>
      </w:r>
      <w:r>
        <w:rPr>
          <w:rFonts w:ascii="Arial"/>
          <w:i/>
          <w:w w:val="253"/>
          <w:sz w:val="20"/>
        </w:rPr>
        <w:t>-d</w:t>
      </w:r>
      <w:r>
        <w:rPr>
          <w:rFonts w:ascii="Arial"/>
          <w:i/>
          <w:sz w:val="20"/>
        </w:rPr>
        <w:t> </w:t>
      </w:r>
      <w:r>
        <w:rPr>
          <w:rFonts w:ascii="Arial"/>
          <w:i/>
          <w:spacing w:val="-12"/>
          <w:sz w:val="20"/>
        </w:rPr>
        <w:t> </w:t>
      </w:r>
      <w:r>
        <w:rPr>
          <w:rFonts w:ascii="Arial"/>
          <w:w w:val="255"/>
          <w:sz w:val="20"/>
        </w:rPr>
        <w:t>-</w:t>
      </w:r>
      <w:r>
        <w:rPr>
          <w:rFonts w:ascii="Arial"/>
          <w:spacing w:val="15"/>
          <w:sz w:val="20"/>
        </w:rPr>
        <w:t> </w:t>
      </w:r>
      <w:r>
        <w:rPr>
          <w:spacing w:val="-77"/>
          <w:w w:val="264"/>
          <w:sz w:val="27"/>
        </w:rPr>
        <w:t>!</w:t>
      </w:r>
      <w:r>
        <w:rPr>
          <w:rFonts w:ascii="Arial"/>
          <w:i/>
          <w:w w:val="93"/>
          <w:sz w:val="20"/>
        </w:rPr>
        <w:t>Pi:</w:t>
      </w:r>
    </w:p>
    <w:p>
      <w:pPr>
        <w:spacing w:line="162" w:lineRule="exact" w:before="0"/>
        <w:ind w:left="0" w:right="1043" w:firstLine="0"/>
        <w:jc w:val="right"/>
        <w:rPr>
          <w:sz w:val="19"/>
        </w:rPr>
      </w:pPr>
      <w:r>
        <w:rPr>
          <w:w w:val="105"/>
          <w:sz w:val="19"/>
        </w:rPr>
        <w:t>2m</w:t>
      </w:r>
    </w:p>
    <w:p>
      <w:pPr>
        <w:pStyle w:val="BodyText"/>
      </w:pPr>
      <w:r>
        <w:rPr/>
        <w:br w:type="column"/>
      </w:r>
      <w:r>
        <w:rPr/>
      </w:r>
    </w:p>
    <w:p>
      <w:pPr>
        <w:pStyle w:val="BodyText"/>
      </w:pPr>
    </w:p>
    <w:p>
      <w:pPr>
        <w:pStyle w:val="BodyText"/>
        <w:spacing w:before="2"/>
        <w:rPr>
          <w:sz w:val="26"/>
        </w:rPr>
      </w:pPr>
    </w:p>
    <w:p>
      <w:pPr>
        <w:pStyle w:val="BodyText"/>
        <w:ind w:left="168" w:right="-18"/>
      </w:pPr>
      <w:r>
        <w:rPr/>
        <w:t>(4.24 )</w:t>
      </w:r>
    </w:p>
    <w:p>
      <w:pPr>
        <w:spacing w:after="0"/>
        <w:sectPr>
          <w:type w:val="continuous"/>
          <w:pgSz w:w="7200" w:h="11340"/>
          <w:pgMar w:top="1100" w:bottom="0" w:left="620" w:right="520"/>
          <w:cols w:num="2" w:equalWidth="0">
            <w:col w:w="4380" w:space="858"/>
            <w:col w:w="822"/>
          </w:cols>
        </w:sectPr>
      </w:pPr>
    </w:p>
    <w:p>
      <w:pPr>
        <w:pStyle w:val="BodyText"/>
        <w:spacing w:line="254" w:lineRule="auto" w:before="168"/>
        <w:ind w:left="172" w:firstLine="10"/>
      </w:pPr>
      <w:r>
        <w:rPr>
          <w:w w:val="110"/>
        </w:rPr>
        <w:t>For the special case of the apportionable premium payable an­ nually, this becomes</w:t>
      </w:r>
    </w:p>
    <w:p>
      <w:pPr>
        <w:pStyle w:val="BodyText"/>
        <w:rPr>
          <w:sz w:val="12"/>
        </w:rPr>
      </w:pPr>
      <w:r>
        <w:rPr/>
        <w:drawing>
          <wp:anchor distT="0" distB="0" distL="0" distR="0" allowOverlap="1" layoutInCell="1" locked="0" behindDoc="0" simplePos="0" relativeHeight="8032">
            <wp:simplePos x="0" y="0"/>
            <wp:positionH relativeFrom="page">
              <wp:posOffset>1828800</wp:posOffset>
            </wp:positionH>
            <wp:positionV relativeFrom="paragraph">
              <wp:posOffset>112680</wp:posOffset>
            </wp:positionV>
            <wp:extent cx="950976" cy="292607"/>
            <wp:effectExtent l="0" t="0" r="0" b="0"/>
            <wp:wrapTopAndBottom/>
            <wp:docPr id="215" name="image112.png" descr=""/>
            <wp:cNvGraphicFramePr>
              <a:graphicFrameLocks noChangeAspect="1"/>
            </wp:cNvGraphicFramePr>
            <a:graphic>
              <a:graphicData uri="http://schemas.openxmlformats.org/drawingml/2006/picture">
                <pic:pic>
                  <pic:nvPicPr>
                    <pic:cNvPr id="216" name="image112.png"/>
                    <pic:cNvPicPr/>
                  </pic:nvPicPr>
                  <pic:blipFill>
                    <a:blip r:embed="rId116" cstate="print"/>
                    <a:stretch>
                      <a:fillRect/>
                    </a:stretch>
                  </pic:blipFill>
                  <pic:spPr>
                    <a:xfrm>
                      <a:off x="0" y="0"/>
                      <a:ext cx="950976" cy="292607"/>
                    </a:xfrm>
                    <a:prstGeom prst="rect">
                      <a:avLst/>
                    </a:prstGeom>
                  </pic:spPr>
                </pic:pic>
              </a:graphicData>
            </a:graphic>
          </wp:anchor>
        </w:drawing>
      </w:r>
    </w:p>
    <w:p>
      <w:pPr>
        <w:pStyle w:val="BodyText"/>
        <w:spacing w:before="130"/>
        <w:ind w:left="380"/>
      </w:pPr>
      <w:r>
        <w:rPr/>
        <w:t>When  (4.24)  is  writ.ten  in  the forro</w:t>
      </w:r>
    </w:p>
    <w:p>
      <w:pPr>
        <w:spacing w:after="0"/>
        <w:sectPr>
          <w:type w:val="continuous"/>
          <w:pgSz w:w="7200" w:h="11340"/>
          <w:pgMar w:top="1100" w:bottom="0" w:left="620" w:right="520"/>
        </w:sectPr>
      </w:pPr>
    </w:p>
    <w:p>
      <w:pPr>
        <w:spacing w:line="267" w:lineRule="exact" w:before="131"/>
        <w:ind w:left="1302" w:right="-15" w:firstLine="0"/>
        <w:jc w:val="left"/>
        <w:rPr>
          <w:b/>
          <w:sz w:val="14"/>
        </w:rPr>
      </w:pPr>
      <w:r>
        <w:rPr>
          <w:rFonts w:ascii="Arial" w:hAnsi="Arial"/>
          <w:spacing w:val="-17"/>
          <w:w w:val="145"/>
          <w:sz w:val="20"/>
        </w:rPr>
        <w:t>pl•I </w:t>
      </w:r>
      <w:r>
        <w:rPr>
          <w:rFonts w:ascii="Arial" w:hAnsi="Arial"/>
          <w:w w:val="85"/>
          <w:sz w:val="24"/>
        </w:rPr>
        <w:t>== </w:t>
      </w:r>
      <w:r>
        <w:rPr>
          <w:b/>
          <w:i/>
          <w:w w:val="110"/>
          <w:sz w:val="22"/>
        </w:rPr>
        <w:t>p   </w:t>
      </w:r>
      <w:r>
        <w:rPr>
          <w:rFonts w:ascii="Arial" w:hAnsi="Arial"/>
          <w:w w:val="110"/>
          <w:sz w:val="32"/>
        </w:rPr>
        <w:t>+</w:t>
      </w:r>
      <w:r>
        <w:rPr>
          <w:rFonts w:ascii="Arial" w:hAnsi="Arial"/>
          <w:spacing w:val="-64"/>
          <w:w w:val="110"/>
          <w:sz w:val="32"/>
        </w:rPr>
        <w:t> </w:t>
      </w:r>
      <w:r>
        <w:rPr>
          <w:b/>
          <w:w w:val="110"/>
          <w:sz w:val="14"/>
        </w:rPr>
        <w:t>ffl</w:t>
      </w:r>
    </w:p>
    <w:p>
      <w:pPr>
        <w:tabs>
          <w:tab w:pos="2681" w:val="left" w:leader="none"/>
        </w:tabs>
        <w:spacing w:line="267" w:lineRule="exact" w:before="131"/>
        <w:ind w:left="71" w:right="0" w:firstLine="0"/>
        <w:jc w:val="left"/>
        <w:rPr>
          <w:sz w:val="20"/>
        </w:rPr>
      </w:pPr>
      <w:r>
        <w:rPr/>
        <w:br w:type="column"/>
      </w:r>
      <w:r>
        <w:rPr>
          <w:rFonts w:ascii="Arial" w:hAnsi="Arial"/>
          <w:i/>
          <w:w w:val="125"/>
          <w:position w:val="-7"/>
          <w:sz w:val="18"/>
        </w:rPr>
        <w:t>m </w:t>
      </w:r>
      <w:r>
        <w:rPr>
          <w:b/>
          <w:w w:val="125"/>
          <w:sz w:val="21"/>
        </w:rPr>
        <w:t>l </w:t>
      </w:r>
      <w:r>
        <w:rPr>
          <w:rFonts w:ascii="Arial" w:hAnsi="Arial"/>
          <w:spacing w:val="-21"/>
          <w:w w:val="125"/>
          <w:sz w:val="20"/>
        </w:rPr>
        <w:t>p</w:t>
      </w:r>
      <w:r>
        <w:rPr>
          <w:i/>
          <w:spacing w:val="-21"/>
          <w:w w:val="125"/>
          <w:position w:val="-7"/>
          <w:sz w:val="14"/>
        </w:rPr>
        <w:t>z</w:t>
      </w:r>
      <w:r>
        <w:rPr>
          <w:rFonts w:ascii="Arial" w:hAnsi="Arial"/>
          <w:spacing w:val="-21"/>
          <w:w w:val="125"/>
          <w:sz w:val="20"/>
        </w:rPr>
        <w:t>l•I </w:t>
      </w:r>
      <w:r>
        <w:rPr>
          <w:b/>
          <w:i/>
          <w:w w:val="120"/>
          <w:sz w:val="21"/>
        </w:rPr>
        <w:t>d  </w:t>
      </w:r>
      <w:r>
        <w:rPr>
          <w:rFonts w:ascii="Arial" w:hAnsi="Arial"/>
          <w:w w:val="125"/>
          <w:sz w:val="32"/>
        </w:rPr>
        <w:t>+</w:t>
      </w:r>
      <w:r>
        <w:rPr>
          <w:rFonts w:ascii="Arial" w:hAnsi="Arial"/>
          <w:spacing w:val="-46"/>
          <w:w w:val="125"/>
          <w:sz w:val="32"/>
        </w:rPr>
        <w:t> </w:t>
      </w:r>
      <w:r>
        <w:rPr>
          <w:rFonts w:ascii="Arial" w:hAnsi="Arial"/>
          <w:spacing w:val="-23"/>
          <w:w w:val="125"/>
          <w:sz w:val="20"/>
        </w:rPr>
        <w:t>1p</w:t>
      </w:r>
      <w:r>
        <w:rPr>
          <w:i/>
          <w:spacing w:val="-23"/>
          <w:w w:val="125"/>
          <w:position w:val="-7"/>
          <w:sz w:val="14"/>
        </w:rPr>
        <w:t>z</w:t>
      </w:r>
      <w:r>
        <w:rPr>
          <w:rFonts w:ascii="Arial" w:hAnsi="Arial"/>
          <w:spacing w:val="-23"/>
          <w:w w:val="125"/>
          <w:sz w:val="20"/>
        </w:rPr>
        <w:t>t•lp</w:t>
      </w:r>
      <w:r>
        <w:rPr>
          <w:i/>
          <w:spacing w:val="-23"/>
          <w:w w:val="125"/>
          <w:position w:val="-7"/>
          <w:sz w:val="14"/>
        </w:rPr>
        <w:t>z  </w:t>
      </w:r>
      <w:r>
        <w:rPr>
          <w:i/>
          <w:spacing w:val="-5"/>
          <w:w w:val="125"/>
          <w:position w:val="-7"/>
          <w:sz w:val="14"/>
        </w:rPr>
        <w:t> </w:t>
      </w:r>
      <w:r>
        <w:rPr>
          <w:i/>
          <w:w w:val="125"/>
          <w:position w:val="-7"/>
          <w:sz w:val="14"/>
        </w:rPr>
        <w:t>,</w:t>
        <w:tab/>
      </w:r>
      <w:r>
        <w:rPr>
          <w:spacing w:val="-3"/>
          <w:w w:val="120"/>
          <w:position w:val="-4"/>
          <w:sz w:val="20"/>
        </w:rPr>
        <w:t>(4.25)</w:t>
      </w:r>
    </w:p>
    <w:p>
      <w:pPr>
        <w:spacing w:after="0" w:line="267" w:lineRule="exact"/>
        <w:jc w:val="left"/>
        <w:rPr>
          <w:sz w:val="20"/>
        </w:rPr>
        <w:sectPr>
          <w:type w:val="continuous"/>
          <w:pgSz w:w="7200" w:h="11340"/>
          <w:pgMar w:top="1100" w:bottom="0" w:left="620" w:right="520"/>
          <w:cols w:num="2" w:equalWidth="0">
            <w:col w:w="2693" w:space="40"/>
            <w:col w:w="3327"/>
          </w:cols>
        </w:sectPr>
      </w:pPr>
    </w:p>
    <w:p>
      <w:pPr>
        <w:tabs>
          <w:tab w:pos="1867" w:val="left" w:leader="none"/>
          <w:tab w:pos="2144" w:val="left" w:leader="none"/>
          <w:tab w:pos="2706" w:val="left" w:leader="none"/>
          <w:tab w:pos="4134" w:val="right" w:leader="none"/>
        </w:tabs>
        <w:spacing w:line="254" w:lineRule="exact" w:before="0"/>
        <w:ind w:left="1435" w:right="0" w:firstLine="0"/>
        <w:jc w:val="left"/>
        <w:rPr>
          <w:rFonts w:ascii="Arial" w:hAnsi="Arial"/>
          <w:sz w:val="13"/>
        </w:rPr>
      </w:pPr>
      <w:r>
        <w:rPr>
          <w:rFonts w:ascii="Arial" w:hAnsi="Arial"/>
          <w:b/>
          <w:i/>
          <w:w w:val="110"/>
          <w:sz w:val="12"/>
        </w:rPr>
        <w:t>z</w:t>
        <w:tab/>
      </w:r>
      <w:r>
        <w:rPr>
          <w:rFonts w:ascii="Arial" w:hAnsi="Arial"/>
          <w:w w:val="110"/>
          <w:sz w:val="12"/>
        </w:rPr>
        <w:t>•</w:t>
        <w:tab/>
      </w:r>
      <w:r>
        <w:rPr>
          <w:i/>
          <w:w w:val="110"/>
          <w:sz w:val="14"/>
        </w:rPr>
        <w:t>z</w:t>
        <w:tab/>
      </w:r>
      <w:r>
        <w:rPr>
          <w:i/>
          <w:w w:val="110"/>
          <w:position w:val="-9"/>
          <w:sz w:val="19"/>
        </w:rPr>
        <w:t>2</w:t>
      </w:r>
      <w:r>
        <w:rPr>
          <w:rFonts w:ascii="Arial" w:hAnsi="Arial"/>
          <w:w w:val="110"/>
          <w:sz w:val="13"/>
        </w:rPr>
        <w:tab/>
        <w:t>2</w:t>
      </w:r>
    </w:p>
    <w:p>
      <w:pPr>
        <w:pStyle w:val="BodyText"/>
        <w:spacing w:line="165" w:lineRule="auto" w:before="206"/>
        <w:ind w:left="182" w:hanging="69"/>
      </w:pPr>
      <w:r>
        <w:rPr>
          <w:sz w:val="21"/>
        </w:rPr>
        <w:t>· </w:t>
      </w:r>
      <w:r>
        <w:rPr>
          <w:w w:val="105"/>
          <w:sz w:val="21"/>
        </w:rPr>
        <w:t>we see </w:t>
      </w:r>
      <w:r>
        <w:rPr>
          <w:w w:val="105"/>
        </w:rPr>
        <w:t>that the adjustment for loss of premium in the year of death </w:t>
      </w:r>
      <w:r>
        <w:rPr>
          <w:w w:val="103"/>
        </w:rPr>
        <w:t>provides  </w:t>
      </w:r>
      <w:r>
        <w:rPr>
          <w:w w:val="103"/>
        </w:rPr>
        <w:t>for  </w:t>
      </w:r>
      <w:r>
        <w:rPr>
          <w:w w:val="107"/>
          <w:sz w:val="21"/>
        </w:rPr>
        <w:t>an  </w:t>
      </w:r>
      <w:r>
        <w:rPr>
          <w:w w:val="107"/>
        </w:rPr>
        <w:t>amount  </w:t>
      </w:r>
      <w:r>
        <w:rPr>
          <w:w w:val="91"/>
        </w:rPr>
        <w:t>of   </w:t>
      </w:r>
      <w:r>
        <w:rPr>
          <w:spacing w:val="-45"/>
          <w:w w:val="142"/>
          <w:sz w:val="26"/>
        </w:rPr>
        <w:t>l</w:t>
      </w:r>
      <w:r>
        <w:rPr>
          <w:spacing w:val="-45"/>
          <w:w w:val="142"/>
          <w:sz w:val="29"/>
        </w:rPr>
        <w:t>P!ª</w:t>
      </w:r>
      <w:r>
        <w:rPr>
          <w:rFonts w:ascii="Arial" w:hAnsi="Arial"/>
          <w:spacing w:val="-45"/>
          <w:w w:val="142"/>
          <w:position w:val="7"/>
          <w:sz w:val="16"/>
        </w:rPr>
        <w:t>1</w:t>
      </w:r>
      <w:r>
        <w:rPr>
          <w:rFonts w:ascii="Arial" w:hAnsi="Arial"/>
          <w:spacing w:val="-45"/>
          <w:w w:val="142"/>
          <w:sz w:val="16"/>
        </w:rPr>
        <w:t>, </w:t>
      </w:r>
      <w:r>
        <w:rPr>
          <w:spacing w:val="-45"/>
          <w:w w:val="102"/>
        </w:rPr>
        <w:t>reftecting   </w:t>
      </w:r>
      <w:r>
        <w:rPr>
          <w:spacing w:val="-45"/>
          <w:w w:val="110"/>
        </w:rPr>
        <w:t>the  </w:t>
      </w:r>
      <w:r>
        <w:rPr>
          <w:spacing w:val="2"/>
          <w:w w:val="104"/>
        </w:rPr>
        <w:t>fact</w:t>
      </w:r>
      <w:r>
        <w:rPr>
          <w:w w:val="104"/>
        </w:rPr>
        <w:t>  </w:t>
      </w:r>
      <w:r>
        <w:rPr>
          <w:w w:val="118"/>
        </w:rPr>
        <w:t>that  </w:t>
      </w:r>
      <w:r>
        <w:rPr>
          <w:w w:val="111"/>
        </w:rPr>
        <w:t>the</w:t>
      </w:r>
    </w:p>
    <w:p>
      <w:pPr>
        <w:pStyle w:val="BodyText"/>
        <w:spacing w:line="252" w:lineRule="auto" w:before="7"/>
        <w:ind w:left="179" w:right="153" w:firstLine="10"/>
      </w:pPr>
      <w:r>
        <w:rPr>
          <w:w w:val="105"/>
        </w:rPr>
        <w:t>insurer receives only a half ycar's premium on the average in thc year of deat.h.</w:t>
      </w:r>
    </w:p>
    <w:p>
      <w:pPr>
        <w:pStyle w:val="BodyText"/>
        <w:spacing w:line="227" w:lineRule="exact"/>
        <w:ind w:left="190" w:firstLine="198"/>
      </w:pPr>
      <w:r>
        <w:rPr>
          <w:w w:val="105"/>
        </w:rPr>
        <w:t>In writing fommlas for apportionable  premiums  for other  forms</w:t>
      </w:r>
    </w:p>
    <w:p>
      <w:pPr>
        <w:pStyle w:val="BodyText"/>
        <w:spacing w:line="238" w:lineRule="exact" w:before="4"/>
        <w:ind w:left="190"/>
      </w:pPr>
      <w:r>
        <w:rPr>
          <w:w w:val="105"/>
        </w:rPr>
        <w:t>of insurance, it must be remembered that the approximate loss of </w:t>
      </w:r>
      <w:r>
        <w:rPr>
          <w:w w:val="103"/>
        </w:rPr>
        <w:t>premium  </w:t>
      </w:r>
      <w:r>
        <w:rPr>
          <w:w w:val="89"/>
        </w:rPr>
        <w:t>of  </w:t>
      </w:r>
      <w:r>
        <w:rPr>
          <w:rFonts w:ascii="Arial" w:hAnsi="Arial"/>
          <w:b/>
          <w:w w:val="88"/>
          <w:sz w:val="25"/>
        </w:rPr>
        <w:t>JP</w:t>
      </w:r>
      <w:r>
        <w:rPr>
          <w:rFonts w:ascii="Arial" w:hAnsi="Arial"/>
          <w:b/>
          <w:w w:val="88"/>
          <w:position w:val="7"/>
          <w:sz w:val="16"/>
        </w:rPr>
        <w:t>1</w:t>
      </w:r>
      <w:r>
        <w:rPr>
          <w:b/>
          <w:w w:val="88"/>
          <w:sz w:val="22"/>
        </w:rPr>
        <w:t>ª</w:t>
      </w:r>
      <w:r>
        <w:rPr>
          <w:rFonts w:ascii="Arial" w:hAnsi="Arial"/>
          <w:b/>
          <w:w w:val="88"/>
          <w:position w:val="7"/>
          <w:sz w:val="16"/>
        </w:rPr>
        <w:t>1  </w:t>
      </w:r>
      <w:r>
        <w:rPr>
          <w:w w:val="106"/>
        </w:rPr>
        <w:t>in  </w:t>
      </w:r>
      <w:r>
        <w:rPr>
          <w:w w:val="113"/>
        </w:rPr>
        <w:t>the </w:t>
      </w:r>
      <w:r>
        <w:rPr>
          <w:w w:val="107"/>
        </w:rPr>
        <w:t>year  </w:t>
      </w:r>
      <w:r>
        <w:rPr>
          <w:w w:val="89"/>
        </w:rPr>
        <w:t>of  </w:t>
      </w:r>
      <w:r>
        <w:rPr>
          <w:w w:val="111"/>
        </w:rPr>
        <w:t>death  </w:t>
      </w:r>
      <w:r>
        <w:rPr>
          <w:w w:val="102"/>
        </w:rPr>
        <w:t>is </w:t>
      </w:r>
      <w:r>
        <w:rPr>
          <w:w w:val="101"/>
        </w:rPr>
        <w:t>covered  </w:t>
      </w:r>
      <w:r>
        <w:rPr>
          <w:w w:val="103"/>
        </w:rPr>
        <w:t>by  </w:t>
      </w:r>
      <w:r>
        <w:rPr>
          <w:w w:val="116"/>
        </w:rPr>
        <w:t>a </w:t>
      </w:r>
      <w:r>
        <w:rPr>
          <w:w w:val="106"/>
        </w:rPr>
        <w:t>term  </w:t>
      </w:r>
      <w:r>
        <w:rPr>
          <w:w w:val="102"/>
        </w:rPr>
        <w:t>in­</w:t>
      </w:r>
    </w:p>
    <w:p>
      <w:pPr>
        <w:pStyle w:val="BodyText"/>
        <w:spacing w:line="244" w:lineRule="auto" w:before="3"/>
        <w:ind w:left="190"/>
      </w:pPr>
      <w:r>
        <w:rPr>
          <w:w w:val="105"/>
        </w:rPr>
        <w:t>surance for the premium-paying period. This is illustrated in the following formulas:</w:t>
      </w:r>
    </w:p>
    <w:p>
      <w:pPr>
        <w:spacing w:after="0" w:line="244" w:lineRule="auto"/>
        <w:sectPr>
          <w:type w:val="continuous"/>
          <w:pgSz w:w="7200" w:h="11340"/>
          <w:pgMar w:top="1100" w:bottom="0" w:left="620" w:right="520"/>
        </w:sectPr>
      </w:pPr>
    </w:p>
    <w:p>
      <w:pPr>
        <w:tabs>
          <w:tab w:pos="1976" w:val="left" w:leader="none"/>
        </w:tabs>
        <w:spacing w:before="77"/>
        <w:ind w:left="136" w:right="0" w:firstLine="0"/>
        <w:jc w:val="left"/>
        <w:rPr>
          <w:rFonts w:ascii="Arial"/>
          <w:sz w:val="15"/>
        </w:rPr>
      </w:pPr>
      <w:r>
        <w:rPr>
          <w:w w:val="125"/>
          <w:sz w:val="20"/>
        </w:rPr>
        <w:t>90</w:t>
        <w:tab/>
      </w:r>
      <w:r>
        <w:rPr>
          <w:rFonts w:ascii="Arial"/>
          <w:spacing w:val="-8"/>
          <w:w w:val="125"/>
          <w:position w:val="1"/>
          <w:sz w:val="15"/>
        </w:rPr>
        <w:t>Nm' </w:t>
      </w:r>
      <w:r>
        <w:rPr>
          <w:rFonts w:ascii="Arial"/>
          <w:w w:val="125"/>
          <w:position w:val="1"/>
          <w:sz w:val="15"/>
        </w:rPr>
        <w:t>ANNUAL </w:t>
      </w:r>
      <w:r>
        <w:rPr>
          <w:rFonts w:ascii="Arial"/>
          <w:spacing w:val="4"/>
          <w:w w:val="125"/>
          <w:position w:val="1"/>
          <w:sz w:val="15"/>
        </w:rPr>
        <w:t> </w:t>
      </w:r>
      <w:r>
        <w:rPr>
          <w:rFonts w:ascii="Arial"/>
          <w:spacing w:val="-15"/>
          <w:w w:val="125"/>
          <w:position w:val="1"/>
          <w:sz w:val="15"/>
        </w:rPr>
        <w:t>PRIDUUM8</w:t>
      </w:r>
    </w:p>
    <w:p>
      <w:pPr>
        <w:pStyle w:val="BodyText"/>
        <w:spacing w:before="4"/>
        <w:rPr>
          <w:rFonts w:ascii="Arial"/>
          <w:sz w:val="22"/>
        </w:rPr>
      </w:pPr>
    </w:p>
    <w:p>
      <w:pPr>
        <w:tabs>
          <w:tab w:pos="2673" w:val="left" w:leader="none"/>
        </w:tabs>
        <w:spacing w:line="216" w:lineRule="exact" w:before="0"/>
        <w:ind w:left="1156" w:right="0" w:firstLine="0"/>
        <w:jc w:val="center"/>
        <w:rPr>
          <w:rFonts w:ascii="Arial" w:hAnsi="Arial"/>
          <w:b/>
          <w:i/>
          <w:sz w:val="21"/>
        </w:rPr>
      </w:pPr>
      <w:r>
        <w:rPr/>
        <w:pict>
          <v:line style="position:absolute;mso-position-horizontal-relative:page;mso-position-vertical-relative:paragraph;z-index:-728008" from="210.0448pt,10.677517pt" to="211.1211pt,10.677517pt" stroked="true" strokeweight=".717489pt" strokecolor="#000000">
            <w10:wrap type="none"/>
          </v:line>
        </w:pict>
      </w:r>
      <w:r>
        <w:rPr>
          <w:rFonts w:ascii="Arial" w:hAnsi="Arial"/>
          <w:spacing w:val="-28"/>
          <w:w w:val="155"/>
          <w:sz w:val="22"/>
        </w:rPr>
        <w:t>pl•I</w:t>
      </w:r>
      <w:r>
        <w:rPr>
          <w:rFonts w:ascii="Arial" w:hAnsi="Arial"/>
          <w:spacing w:val="17"/>
          <w:w w:val="155"/>
          <w:sz w:val="22"/>
        </w:rPr>
        <w:t> </w:t>
      </w:r>
      <w:r>
        <w:rPr>
          <w:rFonts w:ascii="Arial" w:hAnsi="Arial"/>
          <w:w w:val="140"/>
          <w:sz w:val="22"/>
        </w:rPr>
        <w:t>.</w:t>
        <w:tab/>
      </w:r>
      <w:r>
        <w:rPr>
          <w:rFonts w:ascii="Arial" w:hAnsi="Arial"/>
          <w:b/>
          <w:i/>
          <w:w w:val="125"/>
          <w:sz w:val="21"/>
        </w:rPr>
        <w:t>Pe;¡</w:t>
      </w:r>
    </w:p>
    <w:p>
      <w:pPr>
        <w:tabs>
          <w:tab w:pos="2837" w:val="left" w:leader="none"/>
          <w:tab w:pos="3431" w:val="right" w:leader="none"/>
        </w:tabs>
        <w:spacing w:line="175" w:lineRule="exact" w:before="0"/>
        <w:ind w:left="1772" w:right="0" w:firstLine="0"/>
        <w:jc w:val="left"/>
        <w:rPr>
          <w:sz w:val="21"/>
        </w:rPr>
      </w:pPr>
      <w:r>
        <w:rPr>
          <w:spacing w:val="-6"/>
          <w:w w:val="105"/>
          <w:sz w:val="20"/>
        </w:rPr>
        <w:t>•:al</w:t>
      </w:r>
      <w:r>
        <w:rPr>
          <w:spacing w:val="23"/>
          <w:w w:val="105"/>
          <w:sz w:val="20"/>
        </w:rPr>
        <w:t> </w:t>
      </w:r>
      <w:r>
        <w:rPr>
          <w:rFonts w:ascii="Arial" w:hAnsi="Arial"/>
          <w:sz w:val="14"/>
        </w:rPr>
        <w:t>91!</w:t>
        <w:tab/>
      </w:r>
      <w:r>
        <w:rPr>
          <w:rFonts w:ascii="Arial" w:hAnsi="Arial"/>
          <w:color w:val="5B5B5B"/>
          <w:sz w:val="14"/>
        </w:rPr>
        <w:t>'</w:t>
      </w:r>
      <w:r>
        <w:rPr>
          <w:sz w:val="21"/>
        </w:rPr>
        <w:tab/>
      </w:r>
      <w:r>
        <w:rPr>
          <w:w w:val="105"/>
          <w:sz w:val="21"/>
        </w:rPr>
        <w:t>1</w:t>
      </w:r>
    </w:p>
    <w:p>
      <w:pPr>
        <w:spacing w:before="48"/>
        <w:ind w:left="136" w:right="0" w:firstLine="46"/>
        <w:jc w:val="left"/>
        <w:rPr>
          <w:b/>
          <w:sz w:val="22"/>
        </w:rPr>
      </w:pPr>
      <w:r>
        <w:rPr/>
        <w:br w:type="column"/>
      </w:r>
      <w:r>
        <w:rPr>
          <w:b/>
          <w:w w:val="90"/>
          <w:sz w:val="21"/>
        </w:rPr>
        <w:t>[CB. </w:t>
      </w:r>
      <w:r>
        <w:rPr>
          <w:b/>
          <w:w w:val="90"/>
          <w:sz w:val="22"/>
        </w:rPr>
        <w:t>f</w:t>
      </w:r>
    </w:p>
    <w:p>
      <w:pPr>
        <w:pStyle w:val="BodyText"/>
        <w:spacing w:line="177" w:lineRule="exact" w:before="478"/>
        <w:ind w:left="136"/>
      </w:pPr>
      <w:r>
        <w:rPr>
          <w:w w:val="110"/>
        </w:rPr>
        <w:t>(4.26)</w:t>
      </w:r>
    </w:p>
    <w:p>
      <w:pPr>
        <w:spacing w:after="0" w:line="177" w:lineRule="exact"/>
        <w:sectPr>
          <w:pgSz w:w="7200" w:h="11340"/>
          <w:pgMar w:top="480" w:bottom="280" w:left="660" w:right="560"/>
          <w:cols w:num="2" w:equalWidth="0">
            <w:col w:w="4057" w:space="1141"/>
            <w:col w:w="782"/>
          </w:cols>
        </w:sectPr>
      </w:pPr>
    </w:p>
    <w:p>
      <w:pPr>
        <w:tabs>
          <w:tab w:pos="3038" w:val="left" w:leader="none"/>
        </w:tabs>
        <w:spacing w:line="266" w:lineRule="exact" w:before="0"/>
        <w:ind w:left="2389" w:right="739" w:firstLine="0"/>
        <w:jc w:val="left"/>
        <w:rPr>
          <w:rFonts w:ascii="Arial" w:hAnsi="Arial"/>
          <w:i/>
          <w:sz w:val="21"/>
        </w:rPr>
      </w:pPr>
      <w:r>
        <w:rPr>
          <w:w w:val="155"/>
          <w:sz w:val="21"/>
        </w:rPr>
        <w:t>1</w:t>
      </w:r>
      <w:r>
        <w:rPr>
          <w:spacing w:val="-56"/>
          <w:w w:val="155"/>
          <w:sz w:val="21"/>
        </w:rPr>
        <w:t> </w:t>
      </w:r>
      <w:r>
        <w:rPr>
          <w:w w:val="260"/>
          <w:sz w:val="21"/>
        </w:rPr>
        <w:t>-</w:t>
        <w:tab/>
      </w:r>
      <w:r>
        <w:rPr>
          <w:rFonts w:ascii="Courier New" w:hAnsi="Courier New"/>
          <w:w w:val="260"/>
          <w:position w:val="9"/>
          <w:sz w:val="15"/>
        </w:rPr>
        <w:t>-</w:t>
      </w:r>
      <w:r>
        <w:rPr>
          <w:rFonts w:ascii="Courier New" w:hAnsi="Courier New"/>
          <w:spacing w:val="-97"/>
          <w:w w:val="260"/>
          <w:position w:val="9"/>
          <w:sz w:val="15"/>
        </w:rPr>
        <w:t> </w:t>
      </w:r>
      <w:r>
        <w:rPr>
          <w:rFonts w:ascii="Arial" w:hAnsi="Arial"/>
          <w:i/>
          <w:w w:val="110"/>
          <w:sz w:val="22"/>
        </w:rPr>
        <w:t>tl</w:t>
      </w:r>
      <w:r>
        <w:rPr>
          <w:rFonts w:ascii="Arial" w:hAnsi="Arial"/>
          <w:i/>
          <w:spacing w:val="-13"/>
          <w:w w:val="110"/>
          <w:sz w:val="22"/>
        </w:rPr>
        <w:t> </w:t>
      </w:r>
      <w:r>
        <w:rPr>
          <w:rFonts w:ascii="Arial" w:hAnsi="Arial"/>
          <w:w w:val="260"/>
          <w:sz w:val="22"/>
        </w:rPr>
        <w:t>-</w:t>
      </w:r>
      <w:r>
        <w:rPr>
          <w:rFonts w:ascii="Arial" w:hAnsi="Arial"/>
          <w:spacing w:val="-118"/>
          <w:w w:val="260"/>
          <w:sz w:val="22"/>
        </w:rPr>
        <w:t> </w:t>
      </w:r>
      <w:r>
        <w:rPr>
          <w:rFonts w:ascii="Arial" w:hAnsi="Arial"/>
          <w:spacing w:val="-3"/>
          <w:w w:val="110"/>
          <w:sz w:val="26"/>
        </w:rPr>
        <w:t>f</w:t>
      </w:r>
      <w:r>
        <w:rPr>
          <w:rFonts w:ascii="Arial" w:hAnsi="Arial"/>
          <w:i/>
          <w:spacing w:val="-3"/>
          <w:w w:val="110"/>
          <w:sz w:val="21"/>
        </w:rPr>
        <w:t>P</w:t>
      </w:r>
      <w:r>
        <w:rPr>
          <w:rFonts w:ascii="Courier New" w:hAnsi="Courier New"/>
          <w:spacing w:val="-3"/>
          <w:w w:val="110"/>
          <w:position w:val="9"/>
          <w:sz w:val="15"/>
        </w:rPr>
        <w:t>1</w:t>
      </w:r>
      <w:r>
        <w:rPr>
          <w:rFonts w:ascii="Arial" w:hAnsi="Arial"/>
          <w:i/>
          <w:spacing w:val="-3"/>
          <w:w w:val="110"/>
          <w:sz w:val="21"/>
        </w:rPr>
        <w:t>:</w:t>
      </w:r>
      <w:r>
        <w:rPr>
          <w:rFonts w:ascii="Arial" w:hAnsi="Arial"/>
          <w:i/>
          <w:spacing w:val="-51"/>
          <w:w w:val="110"/>
          <w:sz w:val="21"/>
        </w:rPr>
        <w:t> </w:t>
      </w:r>
      <w:r>
        <w:rPr>
          <w:rFonts w:ascii="Arial" w:hAnsi="Arial"/>
          <w:i/>
          <w:w w:val="110"/>
          <w:sz w:val="21"/>
        </w:rPr>
        <w:t>;¡</w:t>
      </w:r>
    </w:p>
    <w:p>
      <w:pPr>
        <w:spacing w:after="0" w:line="266" w:lineRule="exact"/>
        <w:jc w:val="left"/>
        <w:rPr>
          <w:rFonts w:ascii="Arial" w:hAnsi="Arial"/>
          <w:sz w:val="21"/>
        </w:rPr>
        <w:sectPr>
          <w:type w:val="continuous"/>
          <w:pgSz w:w="7200" w:h="11340"/>
          <w:pgMar w:top="1100" w:bottom="0" w:left="660" w:right="560"/>
        </w:sectPr>
      </w:pPr>
    </w:p>
    <w:p>
      <w:pPr>
        <w:tabs>
          <w:tab w:pos="3278" w:val="left" w:leader="none"/>
        </w:tabs>
        <w:spacing w:line="249" w:lineRule="exact" w:before="190"/>
        <w:ind w:left="1704" w:right="0" w:firstLine="0"/>
        <w:jc w:val="left"/>
        <w:rPr>
          <w:b/>
          <w:sz w:val="25"/>
        </w:rPr>
      </w:pPr>
      <w:r>
        <w:rPr>
          <w:rFonts w:ascii="Arial" w:hAnsi="Arial"/>
          <w:b/>
          <w:spacing w:val="-6"/>
          <w:w w:val="125"/>
          <w:sz w:val="17"/>
        </w:rPr>
        <w:t>ni•)</w:t>
      </w:r>
      <w:r>
        <w:rPr>
          <w:rFonts w:ascii="Arial" w:hAnsi="Arial"/>
          <w:b/>
          <w:spacing w:val="38"/>
          <w:w w:val="125"/>
          <w:sz w:val="17"/>
        </w:rPr>
        <w:t> </w:t>
      </w:r>
      <w:r>
        <w:rPr>
          <w:rFonts w:ascii="Arial" w:hAnsi="Arial"/>
          <w:b/>
          <w:sz w:val="13"/>
        </w:rPr>
        <w:t>1a</w:t>
        <w:tab/>
      </w:r>
      <w:r>
        <w:rPr>
          <w:b/>
          <w:sz w:val="25"/>
          <w:u w:val="single"/>
        </w:rPr>
        <w:t>.Pa</w:t>
      </w:r>
    </w:p>
    <w:p>
      <w:pPr>
        <w:pStyle w:val="BodyText"/>
        <w:tabs>
          <w:tab w:pos="2245" w:val="left" w:leader="none"/>
          <w:tab w:pos="2783" w:val="left" w:leader="none"/>
          <w:tab w:pos="4121" w:val="left" w:leader="none"/>
        </w:tabs>
        <w:spacing w:line="133" w:lineRule="exact"/>
        <w:ind w:left="1632"/>
        <w:rPr>
          <w:sz w:val="13"/>
        </w:rPr>
      </w:pPr>
      <w:r>
        <w:rPr>
          <w:rFonts w:ascii="Arial"/>
          <w:w w:val="90"/>
        </w:rPr>
        <w:t>...-</w:t>
      </w:r>
      <w:r>
        <w:rPr>
          <w:rFonts w:ascii="Arial"/>
          <w:spacing w:val="-26"/>
          <w:w w:val="90"/>
        </w:rPr>
        <w:t> </w:t>
      </w:r>
      <w:r>
        <w:rPr>
          <w:rFonts w:ascii="Arial"/>
          <w:w w:val="335"/>
        </w:rPr>
        <w:t>.</w:t>
        <w:tab/>
      </w:r>
      <w:r>
        <w:rPr>
          <w:rFonts w:ascii="Arial"/>
          <w:w w:val="175"/>
        </w:rPr>
        <w:t>.</w:t>
        <w:tab/>
      </w:r>
      <w:r>
        <w:rPr>
          <w:rFonts w:ascii="Arial"/>
          <w:w w:val="125"/>
        </w:rPr>
        <w:t>ffl</w:t>
      </w:r>
      <w:r>
        <w:rPr>
          <w:rFonts w:ascii="Arial"/>
          <w:spacing w:val="10"/>
          <w:w w:val="125"/>
        </w:rPr>
        <w:t> </w:t>
      </w:r>
      <w:r>
        <w:rPr>
          <w:rFonts w:ascii="Arial"/>
          <w:w w:val="255"/>
        </w:rPr>
        <w:t>-</w:t>
      </w:r>
      <w:r>
        <w:rPr>
          <w:rFonts w:ascii="Arial"/>
          <w:spacing w:val="-71"/>
          <w:w w:val="255"/>
        </w:rPr>
        <w:t> </w:t>
      </w:r>
      <w:r>
        <w:rPr>
          <w:rFonts w:ascii="Arial"/>
          <w:w w:val="125"/>
        </w:rPr>
        <w:t>1</w:t>
      </w:r>
      <w:r>
        <w:rPr>
          <w:w w:val="125"/>
          <w:sz w:val="13"/>
        </w:rPr>
        <w:tab/>
      </w:r>
      <w:r>
        <w:rPr>
          <w:w w:val="175"/>
          <w:sz w:val="13"/>
        </w:rPr>
        <w:t>1</w:t>
      </w:r>
    </w:p>
    <w:p>
      <w:pPr>
        <w:spacing w:line="264" w:lineRule="exact" w:before="0"/>
        <w:ind w:left="2385" w:right="0" w:firstLine="0"/>
        <w:jc w:val="left"/>
        <w:rPr>
          <w:sz w:val="23"/>
        </w:rPr>
      </w:pPr>
      <w:r>
        <w:rPr>
          <w:w w:val="117"/>
          <w:sz w:val="23"/>
        </w:rPr>
        <w:t>1</w:t>
      </w:r>
      <w:r>
        <w:rPr>
          <w:spacing w:val="-17"/>
          <w:sz w:val="23"/>
        </w:rPr>
        <w:t> </w:t>
      </w:r>
      <w:r>
        <w:rPr>
          <w:w w:val="250"/>
          <w:sz w:val="23"/>
        </w:rPr>
        <w:t>-</w:t>
      </w:r>
      <w:r>
        <w:rPr>
          <w:sz w:val="23"/>
        </w:rPr>
        <w:t> </w:t>
      </w:r>
      <w:r>
        <w:rPr>
          <w:spacing w:val="-28"/>
          <w:sz w:val="23"/>
        </w:rPr>
        <w:t> </w:t>
      </w:r>
      <w:r>
        <w:rPr>
          <w:w w:val="124"/>
          <w:sz w:val="28"/>
        </w:rPr>
        <w:t>-¡;¡-</w:t>
      </w:r>
      <w:r>
        <w:rPr>
          <w:spacing w:val="-35"/>
          <w:sz w:val="28"/>
        </w:rPr>
        <w:t> </w:t>
      </w:r>
      <w:r>
        <w:rPr>
          <w:rFonts w:ascii="Arial" w:hAnsi="Arial"/>
          <w:b/>
          <w:i/>
          <w:w w:val="81"/>
          <w:sz w:val="22"/>
        </w:rPr>
        <w:t>tl</w:t>
      </w:r>
      <w:r>
        <w:rPr>
          <w:rFonts w:ascii="Arial" w:hAnsi="Arial"/>
          <w:b/>
          <w:i/>
          <w:spacing w:val="22"/>
          <w:sz w:val="22"/>
        </w:rPr>
        <w:t> </w:t>
      </w:r>
      <w:r>
        <w:rPr>
          <w:rFonts w:ascii="Arial" w:hAnsi="Arial"/>
          <w:w w:val="249"/>
          <w:sz w:val="22"/>
        </w:rPr>
        <w:t>-</w:t>
      </w:r>
      <w:r>
        <w:rPr>
          <w:rFonts w:ascii="Arial" w:hAnsi="Arial"/>
          <w:spacing w:val="-1"/>
          <w:sz w:val="22"/>
        </w:rPr>
        <w:t> </w:t>
      </w:r>
      <w:r>
        <w:rPr>
          <w:w w:val="128"/>
          <w:sz w:val="23"/>
        </w:rPr>
        <w:t>t</w:t>
      </w:r>
      <w:r>
        <w:rPr>
          <w:spacing w:val="-93"/>
          <w:w w:val="128"/>
          <w:sz w:val="23"/>
        </w:rPr>
        <w:t>P</w:t>
      </w:r>
      <w:r>
        <w:rPr>
          <w:spacing w:val="-155"/>
          <w:w w:val="287"/>
          <w:sz w:val="23"/>
        </w:rPr>
        <w:t>.</w:t>
      </w:r>
      <w:r>
        <w:rPr>
          <w:spacing w:val="-35"/>
          <w:w w:val="126"/>
          <w:sz w:val="23"/>
        </w:rPr>
        <w:t>:</w:t>
      </w:r>
      <w:r>
        <w:rPr>
          <w:w w:val="76"/>
          <w:sz w:val="23"/>
        </w:rPr>
        <w:t>iJ</w:t>
      </w:r>
    </w:p>
    <w:p>
      <w:pPr>
        <w:pStyle w:val="BodyText"/>
        <w:spacing w:before="430"/>
        <w:ind w:left="946"/>
      </w:pPr>
      <w:r>
        <w:rPr/>
        <w:br w:type="column"/>
      </w:r>
      <w:r>
        <w:rPr>
          <w:w w:val="105"/>
        </w:rPr>
        <w:t>(4.27)</w:t>
      </w:r>
    </w:p>
    <w:p>
      <w:pPr>
        <w:spacing w:after="0"/>
        <w:sectPr>
          <w:type w:val="continuous"/>
          <w:pgSz w:w="7200" w:h="11340"/>
          <w:pgMar w:top="1100" w:bottom="0" w:left="660" w:right="560"/>
          <w:cols w:num="2" w:equalWidth="0">
            <w:col w:w="4352" w:space="40"/>
            <w:col w:w="1588"/>
          </w:cols>
        </w:sectPr>
      </w:pPr>
    </w:p>
    <w:p>
      <w:pPr>
        <w:pStyle w:val="ListParagraph"/>
        <w:numPr>
          <w:ilvl w:val="0"/>
          <w:numId w:val="36"/>
        </w:numPr>
        <w:tabs>
          <w:tab w:pos="388" w:val="left" w:leader="none"/>
        </w:tabs>
        <w:spacing w:line="240" w:lineRule="auto" w:before="229" w:after="0"/>
        <w:ind w:left="387" w:right="0" w:hanging="262"/>
        <w:jc w:val="left"/>
        <w:rPr>
          <w:b/>
          <w:sz w:val="21"/>
        </w:rPr>
      </w:pPr>
      <w:r>
        <w:rPr>
          <w:b/>
          <w:w w:val="115"/>
          <w:sz w:val="21"/>
        </w:rPr>
        <w:t>Analyais</w:t>
      </w:r>
      <w:r>
        <w:rPr>
          <w:b/>
          <w:spacing w:val="-25"/>
          <w:w w:val="115"/>
          <w:sz w:val="21"/>
        </w:rPr>
        <w:t> </w:t>
      </w:r>
      <w:r>
        <w:rPr>
          <w:b/>
          <w:w w:val="115"/>
          <w:sz w:val="21"/>
        </w:rPr>
        <w:t>ol</w:t>
      </w:r>
      <w:r>
        <w:rPr>
          <w:b/>
          <w:spacing w:val="-40"/>
          <w:w w:val="115"/>
          <w:sz w:val="21"/>
        </w:rPr>
        <w:t> </w:t>
      </w:r>
      <w:r>
        <w:rPr>
          <w:b/>
          <w:w w:val="115"/>
          <w:sz w:val="21"/>
        </w:rPr>
        <w:t>the</w:t>
      </w:r>
      <w:r>
        <w:rPr>
          <w:b/>
          <w:spacing w:val="-25"/>
          <w:w w:val="115"/>
          <w:sz w:val="21"/>
        </w:rPr>
        <w:t> </w:t>
      </w:r>
      <w:r>
        <w:rPr>
          <w:b/>
          <w:w w:val="115"/>
          <w:sz w:val="21"/>
        </w:rPr>
        <w:t>endo•nient</w:t>
      </w:r>
      <w:r>
        <w:rPr>
          <w:b/>
          <w:spacing w:val="-27"/>
          <w:w w:val="115"/>
          <w:sz w:val="21"/>
        </w:rPr>
        <w:t> </w:t>
      </w:r>
      <w:r>
        <w:rPr>
          <w:b/>
          <w:w w:val="115"/>
          <w:sz w:val="21"/>
        </w:rPr>
        <w:t>premium</w:t>
      </w:r>
    </w:p>
    <w:p>
      <w:pPr>
        <w:spacing w:line="240" w:lineRule="exact" w:before="79"/>
        <w:ind w:left="125" w:right="126" w:firstLine="200"/>
        <w:jc w:val="both"/>
        <w:rPr>
          <w:sz w:val="20"/>
        </w:rPr>
      </w:pPr>
      <w:r>
        <w:rPr>
          <w:sz w:val="22"/>
        </w:rPr>
        <w:t>We have seen that endowment insurance may be </w:t>
      </w:r>
      <w:r>
        <w:rPr>
          <w:sz w:val="20"/>
        </w:rPr>
        <w:t>regarded </w:t>
      </w:r>
      <w:r>
        <w:rPr>
          <w:rFonts w:ascii="Arial"/>
          <w:sz w:val="19"/>
        </w:rPr>
        <w:t>n.s </w:t>
      </w:r>
      <w:r>
        <w:rPr>
          <w:sz w:val="22"/>
        </w:rPr>
        <w:t>n combination of level </w:t>
      </w:r>
      <w:r>
        <w:rPr>
          <w:sz w:val="23"/>
        </w:rPr>
        <w:t>tenn </w:t>
      </w:r>
      <w:r>
        <w:rPr>
          <w:sz w:val="20"/>
        </w:rPr>
        <w:t>insurance </w:t>
      </w:r>
      <w:r>
        <w:rPr>
          <w:sz w:val="22"/>
        </w:rPr>
        <w:t>nnd pure endowment,  and </w:t>
      </w:r>
      <w:r>
        <w:rPr>
          <w:sz w:val="20"/>
        </w:rPr>
        <w:t>the  formula</w:t>
      </w:r>
    </w:p>
    <w:p>
      <w:pPr>
        <w:pStyle w:val="BodyText"/>
        <w:spacing w:before="106"/>
        <w:ind w:left="2032" w:right="133"/>
        <w:rPr>
          <w:b/>
        </w:rPr>
      </w:pPr>
      <w:r>
        <w:rPr>
          <w:position w:val="-7"/>
        </w:rPr>
        <w:drawing>
          <wp:inline distT="0" distB="0" distL="0" distR="0">
            <wp:extent cx="1197864" cy="201167"/>
            <wp:effectExtent l="0" t="0" r="0" b="0"/>
            <wp:docPr id="217" name="image113.png" descr=""/>
            <wp:cNvGraphicFramePr>
              <a:graphicFrameLocks noChangeAspect="1"/>
            </wp:cNvGraphicFramePr>
            <a:graphic>
              <a:graphicData uri="http://schemas.openxmlformats.org/drawingml/2006/picture">
                <pic:pic>
                  <pic:nvPicPr>
                    <pic:cNvPr id="218" name="image113.png"/>
                    <pic:cNvPicPr/>
                  </pic:nvPicPr>
                  <pic:blipFill>
                    <a:blip r:embed="rId117" cstate="print"/>
                    <a:stretch>
                      <a:fillRect/>
                    </a:stretch>
                  </pic:blipFill>
                  <pic:spPr>
                    <a:xfrm>
                      <a:off x="0" y="0"/>
                      <a:ext cx="1197864" cy="201167"/>
                    </a:xfrm>
                    <a:prstGeom prst="rect">
                      <a:avLst/>
                    </a:prstGeom>
                  </pic:spPr>
                </pic:pic>
              </a:graphicData>
            </a:graphic>
          </wp:inline>
        </w:drawing>
      </w:r>
      <w:r>
        <w:rPr>
          <w:position w:val="-7"/>
        </w:rPr>
      </w:r>
      <w:r>
        <w:rPr/>
        <w:t>                            </w:t>
      </w:r>
      <w:r>
        <w:rPr>
          <w:b/>
        </w:rPr>
        <w:t>(4.28)</w:t>
      </w:r>
    </w:p>
    <w:p>
      <w:pPr>
        <w:spacing w:line="228" w:lineRule="auto" w:before="131"/>
        <w:ind w:left="122" w:right="117" w:hanging="4"/>
        <w:jc w:val="both"/>
        <w:rPr>
          <w:sz w:val="22"/>
        </w:rPr>
      </w:pPr>
      <w:r>
        <w:rPr>
          <w:sz w:val="20"/>
        </w:rPr>
        <w:t>illustrates </w:t>
      </w:r>
      <w:r>
        <w:rPr>
          <w:sz w:val="22"/>
        </w:rPr>
        <w:t>the separation </w:t>
      </w:r>
      <w:r>
        <w:rPr>
          <w:sz w:val="20"/>
        </w:rPr>
        <w:t>of </w:t>
      </w:r>
      <w:r>
        <w:rPr>
          <w:sz w:val="22"/>
        </w:rPr>
        <w:t>the net annual endowment premium into</w:t>
      </w:r>
      <w:r>
        <w:rPr>
          <w:spacing w:val="-9"/>
          <w:sz w:val="22"/>
        </w:rPr>
        <w:t> </w:t>
      </w:r>
      <w:r>
        <w:rPr>
          <w:sz w:val="22"/>
        </w:rPr>
        <w:t>these</w:t>
      </w:r>
      <w:r>
        <w:rPr>
          <w:spacing w:val="1"/>
          <w:sz w:val="22"/>
        </w:rPr>
        <w:t> </w:t>
      </w:r>
      <w:r>
        <w:rPr>
          <w:sz w:val="22"/>
        </w:rPr>
        <w:t>two</w:t>
      </w:r>
      <w:r>
        <w:rPr>
          <w:spacing w:val="-1"/>
          <w:sz w:val="22"/>
        </w:rPr>
        <w:t> </w:t>
      </w:r>
      <w:r>
        <w:rPr>
          <w:sz w:val="22"/>
        </w:rPr>
        <w:t>elements.</w:t>
      </w:r>
      <w:r>
        <w:rPr>
          <w:spacing w:val="-10"/>
          <w:sz w:val="22"/>
        </w:rPr>
        <w:t> </w:t>
      </w:r>
      <w:r>
        <w:rPr>
          <w:sz w:val="22"/>
        </w:rPr>
        <w:t>There</w:t>
      </w:r>
      <w:r>
        <w:rPr>
          <w:spacing w:val="-6"/>
          <w:sz w:val="22"/>
        </w:rPr>
        <w:t> </w:t>
      </w:r>
      <w:r>
        <w:rPr>
          <w:sz w:val="22"/>
        </w:rPr>
        <w:t>is</w:t>
      </w:r>
      <w:r>
        <w:rPr>
          <w:spacing w:val="-14"/>
          <w:sz w:val="22"/>
        </w:rPr>
        <w:t> </w:t>
      </w:r>
      <w:r>
        <w:rPr>
          <w:sz w:val="22"/>
        </w:rPr>
        <w:t>an</w:t>
      </w:r>
      <w:r>
        <w:rPr>
          <w:spacing w:val="-6"/>
          <w:sz w:val="22"/>
        </w:rPr>
        <w:t> </w:t>
      </w:r>
      <w:r>
        <w:rPr>
          <w:sz w:val="22"/>
        </w:rPr>
        <w:t>altemative</w:t>
      </w:r>
      <w:r>
        <w:rPr>
          <w:spacing w:val="1"/>
          <w:sz w:val="22"/>
        </w:rPr>
        <w:t> </w:t>
      </w:r>
      <w:r>
        <w:rPr>
          <w:sz w:val="22"/>
        </w:rPr>
        <w:t>analysis</w:t>
      </w:r>
      <w:r>
        <w:rPr>
          <w:spacing w:val="-1"/>
          <w:sz w:val="22"/>
        </w:rPr>
        <w:t> </w:t>
      </w:r>
      <w:r>
        <w:rPr>
          <w:sz w:val="22"/>
        </w:rPr>
        <w:t>by</w:t>
      </w:r>
      <w:r>
        <w:rPr>
          <w:spacing w:val="-1"/>
          <w:sz w:val="22"/>
        </w:rPr>
        <w:t> </w:t>
      </w:r>
      <w:r>
        <w:rPr>
          <w:sz w:val="22"/>
        </w:rPr>
        <w:t>which the</w:t>
      </w:r>
      <w:r>
        <w:rPr>
          <w:spacing w:val="-12"/>
          <w:sz w:val="22"/>
        </w:rPr>
        <w:t> </w:t>
      </w:r>
      <w:r>
        <w:rPr>
          <w:sz w:val="22"/>
        </w:rPr>
        <w:t>endowment</w:t>
      </w:r>
      <w:r>
        <w:rPr>
          <w:spacing w:val="-5"/>
          <w:sz w:val="22"/>
        </w:rPr>
        <w:t> </w:t>
      </w:r>
      <w:r>
        <w:rPr>
          <w:sz w:val="22"/>
        </w:rPr>
        <w:t>premium</w:t>
      </w:r>
      <w:r>
        <w:rPr>
          <w:spacing w:val="2"/>
          <w:sz w:val="22"/>
        </w:rPr>
        <w:t> </w:t>
      </w:r>
      <w:r>
        <w:rPr>
          <w:sz w:val="22"/>
        </w:rPr>
        <w:t>is</w:t>
      </w:r>
      <w:r>
        <w:rPr>
          <w:spacing w:val="-21"/>
          <w:sz w:val="22"/>
        </w:rPr>
        <w:t> </w:t>
      </w:r>
      <w:r>
        <w:rPr>
          <w:sz w:val="22"/>
        </w:rPr>
        <w:t>seen</w:t>
      </w:r>
      <w:r>
        <w:rPr>
          <w:spacing w:val="-13"/>
          <w:sz w:val="22"/>
        </w:rPr>
        <w:t> </w:t>
      </w:r>
      <w:r>
        <w:rPr>
          <w:sz w:val="22"/>
        </w:rPr>
        <w:t>to</w:t>
      </w:r>
      <w:r>
        <w:rPr>
          <w:spacing w:val="-9"/>
          <w:sz w:val="22"/>
        </w:rPr>
        <w:t> </w:t>
      </w:r>
      <w:r>
        <w:rPr>
          <w:sz w:val="22"/>
        </w:rPr>
        <w:t>be</w:t>
      </w:r>
      <w:r>
        <w:rPr>
          <w:spacing w:val="-8"/>
          <w:sz w:val="22"/>
        </w:rPr>
        <w:t> </w:t>
      </w:r>
      <w:r>
        <w:rPr>
          <w:sz w:val="22"/>
        </w:rPr>
        <w:t>ma.thematically</w:t>
      </w:r>
      <w:r>
        <w:rPr>
          <w:spacing w:val="10"/>
          <w:sz w:val="22"/>
        </w:rPr>
        <w:t> </w:t>
      </w:r>
      <w:r>
        <w:rPr>
          <w:sz w:val="22"/>
        </w:rPr>
        <w:t>equivalent to a combination of a savings fund premium and a premium for </w:t>
      </w:r>
      <w:r>
        <w:rPr>
          <w:w w:val="95"/>
          <w:sz w:val="22"/>
        </w:rPr>
        <w:t>decreasing term</w:t>
      </w:r>
      <w:r>
        <w:rPr>
          <w:spacing w:val="46"/>
          <w:w w:val="95"/>
          <w:sz w:val="22"/>
        </w:rPr>
        <w:t> </w:t>
      </w:r>
      <w:r>
        <w:rPr>
          <w:w w:val="95"/>
          <w:sz w:val="22"/>
        </w:rPr>
        <w:t>insurance.</w:t>
      </w:r>
    </w:p>
    <w:p>
      <w:pPr>
        <w:spacing w:line="228" w:lineRule="auto" w:before="0"/>
        <w:ind w:left="114" w:right="119" w:firstLine="200"/>
        <w:jc w:val="both"/>
        <w:rPr>
          <w:sz w:val="22"/>
        </w:rPr>
      </w:pPr>
      <w:r>
        <w:rPr>
          <w:sz w:val="22"/>
        </w:rPr>
        <w:t>The endowment policy is a promise to pay a certain sum </w:t>
      </w:r>
      <w:r>
        <w:rPr>
          <w:sz w:val="14"/>
        </w:rPr>
        <w:t>011 </w:t>
      </w:r>
      <w:r>
        <w:rPr>
          <w:sz w:val="22"/>
        </w:rPr>
        <w:t>a given future date, or prior to that date in the event of death. The same</w:t>
      </w:r>
      <w:r>
        <w:rPr>
          <w:spacing w:val="-16"/>
          <w:sz w:val="22"/>
        </w:rPr>
        <w:t> </w:t>
      </w:r>
      <w:r>
        <w:rPr>
          <w:sz w:val="22"/>
        </w:rPr>
        <w:t>result</w:t>
      </w:r>
      <w:r>
        <w:rPr>
          <w:spacing w:val="-1"/>
          <w:sz w:val="22"/>
        </w:rPr>
        <w:t> </w:t>
      </w:r>
      <w:r>
        <w:rPr>
          <w:sz w:val="22"/>
        </w:rPr>
        <w:t>can</w:t>
      </w:r>
      <w:r>
        <w:rPr>
          <w:spacing w:val="-11"/>
          <w:sz w:val="22"/>
        </w:rPr>
        <w:t> </w:t>
      </w:r>
      <w:r>
        <w:rPr>
          <w:sz w:val="20"/>
        </w:rPr>
        <w:t>be</w:t>
      </w:r>
      <w:r>
        <w:rPr>
          <w:spacing w:val="-5"/>
          <w:sz w:val="20"/>
        </w:rPr>
        <w:t> </w:t>
      </w:r>
      <w:r>
        <w:rPr>
          <w:sz w:val="22"/>
        </w:rPr>
        <w:t>achieved</w:t>
      </w:r>
      <w:r>
        <w:rPr>
          <w:spacing w:val="-5"/>
          <w:sz w:val="22"/>
        </w:rPr>
        <w:t> </w:t>
      </w:r>
      <w:r>
        <w:rPr>
          <w:sz w:val="20"/>
        </w:rPr>
        <w:t>by</w:t>
      </w:r>
      <w:r>
        <w:rPr>
          <w:spacing w:val="-2"/>
          <w:sz w:val="20"/>
        </w:rPr>
        <w:t> </w:t>
      </w:r>
      <w:r>
        <w:rPr>
          <w:sz w:val="22"/>
        </w:rPr>
        <w:t>using</w:t>
      </w:r>
      <w:r>
        <w:rPr>
          <w:spacing w:val="-11"/>
          <w:sz w:val="22"/>
        </w:rPr>
        <w:t> </w:t>
      </w:r>
      <w:r>
        <w:rPr>
          <w:sz w:val="22"/>
        </w:rPr>
        <w:t>a</w:t>
      </w:r>
      <w:r>
        <w:rPr>
          <w:spacing w:val="-13"/>
          <w:sz w:val="22"/>
        </w:rPr>
        <w:t> </w:t>
      </w:r>
      <w:r>
        <w:rPr>
          <w:sz w:val="22"/>
        </w:rPr>
        <w:t>savings</w:t>
      </w:r>
      <w:r>
        <w:rPr>
          <w:spacing w:val="-15"/>
          <w:sz w:val="22"/>
        </w:rPr>
        <w:t> </w:t>
      </w:r>
      <w:r>
        <w:rPr>
          <w:spacing w:val="3"/>
          <w:sz w:val="22"/>
        </w:rPr>
        <w:t>fund,</w:t>
      </w:r>
      <w:r>
        <w:rPr>
          <w:spacing w:val="-7"/>
          <w:sz w:val="22"/>
        </w:rPr>
        <w:t> </w:t>
      </w:r>
      <w:r>
        <w:rPr>
          <w:sz w:val="22"/>
        </w:rPr>
        <w:t>supported</w:t>
      </w:r>
      <w:r>
        <w:rPr>
          <w:spacing w:val="1"/>
          <w:sz w:val="22"/>
        </w:rPr>
        <w:t> </w:t>
      </w:r>
      <w:r>
        <w:rPr>
          <w:sz w:val="22"/>
        </w:rPr>
        <w:t>by equal periodic contributions of the amount necessary to accumu­ late the full endowment sum by the maturity date, together with  a supplementary decrea.sing term insurance for the difference between the full sum and the amount accumulated in the savings fund at any time. Thus, if the </w:t>
      </w:r>
      <w:r>
        <w:rPr>
          <w:color w:val="111111"/>
          <w:w w:val="55"/>
          <w:sz w:val="22"/>
        </w:rPr>
        <w:t>. </w:t>
      </w:r>
      <w:r>
        <w:rPr>
          <w:sz w:val="22"/>
        </w:rPr>
        <w:t>insured survives the endowment period, the full sum is available in the savings fund and the term insurance expires, or, if death intervenes, the savings fund will have accumulated to a smaller amount and the term insurance provides the balance of the </w:t>
      </w:r>
      <w:r>
        <w:rPr>
          <w:rFonts w:ascii="Arial" w:hAnsi="Arial"/>
          <w:sz w:val="20"/>
        </w:rPr>
        <w:t>f</w:t>
      </w:r>
      <w:r>
        <w:rPr>
          <w:sz w:val="22"/>
        </w:rPr>
        <w:t>ace</w:t>
      </w:r>
      <w:r>
        <w:rPr>
          <w:spacing w:val="-2"/>
          <w:sz w:val="22"/>
        </w:rPr>
        <w:t> </w:t>
      </w:r>
      <w:r>
        <w:rPr>
          <w:sz w:val="22"/>
        </w:rPr>
        <w:t>amount.</w:t>
      </w:r>
    </w:p>
    <w:p>
      <w:pPr>
        <w:spacing w:line="238" w:lineRule="exact" w:before="5"/>
        <w:ind w:left="122" w:right="123" w:firstLine="197"/>
        <w:jc w:val="both"/>
        <w:rPr>
          <w:sz w:val="22"/>
        </w:rPr>
      </w:pPr>
      <w:r>
        <w:rPr>
          <w:sz w:val="22"/>
        </w:rPr>
        <w:t>Let us a.ssume that the total sum </w:t>
      </w:r>
      <w:r>
        <w:rPr>
          <w:color w:val="464646"/>
          <w:w w:val="65"/>
          <w:sz w:val="22"/>
        </w:rPr>
        <w:t>. </w:t>
      </w:r>
      <w:r>
        <w:rPr>
          <w:sz w:val="22"/>
        </w:rPr>
        <w:t>insured is 1, payable a.t the end of </w:t>
      </w:r>
      <w:r>
        <w:rPr>
          <w:i/>
          <w:sz w:val="22"/>
        </w:rPr>
        <w:t>n </w:t>
      </w:r>
      <w:r>
        <w:rPr>
          <w:sz w:val="22"/>
        </w:rPr>
        <w:t>years at the latest, and that a savings fund </w:t>
      </w:r>
      <w:r>
        <w:rPr>
          <w:rFonts w:ascii="Arial"/>
          <w:sz w:val="20"/>
        </w:rPr>
        <w:t>is </w:t>
      </w:r>
      <w:r>
        <w:rPr>
          <w:sz w:val="22"/>
        </w:rPr>
        <w:t>being accu-</w:t>
      </w:r>
    </w:p>
    <w:p>
      <w:pPr>
        <w:pStyle w:val="BodyText"/>
        <w:spacing w:line="155" w:lineRule="exact"/>
        <w:ind w:left="1466"/>
        <w:jc w:val="center"/>
      </w:pPr>
      <w:r>
        <w:rPr>
          <w:w w:val="121"/>
        </w:rPr>
        <w:t>1</w:t>
      </w:r>
    </w:p>
    <w:p>
      <w:pPr>
        <w:spacing w:line="170" w:lineRule="exact" w:before="0"/>
        <w:ind w:left="114" w:right="0" w:firstLine="0"/>
        <w:jc w:val="both"/>
        <w:rPr>
          <w:sz w:val="22"/>
        </w:rPr>
      </w:pPr>
      <w:r>
        <w:rPr>
          <w:sz w:val="22"/>
        </w:rPr>
        <w:t>mulated </w:t>
      </w:r>
      <w:r>
        <w:rPr>
          <w:sz w:val="20"/>
        </w:rPr>
        <w:t>by </w:t>
      </w:r>
      <w:r>
        <w:rPr>
          <w:sz w:val="22"/>
        </w:rPr>
        <w:t>means of annual deposits of </w:t>
      </w:r>
      <w:r>
        <w:rPr>
          <w:spacing w:val="6"/>
          <w:w w:val="145"/>
          <w:sz w:val="22"/>
        </w:rPr>
        <w:t>:-.</w:t>
      </w:r>
      <w:r>
        <w:rPr>
          <w:spacing w:val="-54"/>
          <w:w w:val="145"/>
          <w:sz w:val="22"/>
        </w:rPr>
        <w:t> </w:t>
      </w:r>
      <w:r>
        <w:rPr>
          <w:sz w:val="22"/>
        </w:rPr>
        <w:t>At the end oí the first</w:t>
      </w:r>
    </w:p>
    <w:p>
      <w:pPr>
        <w:spacing w:line="183" w:lineRule="exact" w:before="0"/>
        <w:ind w:left="1485" w:right="81" w:firstLine="0"/>
        <w:jc w:val="center"/>
        <w:rPr>
          <w:rFonts w:ascii="Arial"/>
          <w:sz w:val="21"/>
        </w:rPr>
      </w:pPr>
      <w:r>
        <w:rPr/>
        <w:pict>
          <v:shape style="position:absolute;margin-left:218.654694pt;margin-top:3.93399pt;width:14.85pt;height:24pt;mso-position-horizontal-relative:page;mso-position-vertical-relative:paragraph;z-index:-727984" type="#_x0000_t202" filled="false" stroked="false">
            <v:textbox inset="0,0,0,0">
              <w:txbxContent>
                <w:p>
                  <w:pPr>
                    <w:spacing w:line="480" w:lineRule="exact" w:before="0"/>
                    <w:ind w:left="0" w:right="-17" w:firstLine="0"/>
                    <w:jc w:val="left"/>
                    <w:rPr>
                      <w:sz w:val="48"/>
                    </w:rPr>
                  </w:pPr>
                  <w:r>
                    <w:rPr>
                      <w:w w:val="105"/>
                      <w:sz w:val="48"/>
                      <w:u w:val="thick"/>
                    </w:rPr>
                    <w:t>.!</w:t>
                  </w:r>
                </w:p>
              </w:txbxContent>
            </v:textbox>
            <w10:wrap type="none"/>
          </v:shape>
        </w:pict>
      </w:r>
      <w:r>
        <w:rPr>
          <w:rFonts w:ascii="Arial"/>
          <w:w w:val="80"/>
          <w:sz w:val="21"/>
        </w:rPr>
        <w:t>8iiJ</w:t>
      </w:r>
    </w:p>
    <w:p>
      <w:pPr>
        <w:spacing w:line="287" w:lineRule="exact" w:before="0"/>
        <w:ind w:left="114" w:right="0" w:firstLine="0"/>
        <w:jc w:val="both"/>
        <w:rPr>
          <w:sz w:val="22"/>
        </w:rPr>
      </w:pPr>
      <w:r>
        <w:rPr>
          <w:sz w:val="22"/>
        </w:rPr>
        <w:t>year, the sa.vings fund will  amount  to  </w:t>
      </w:r>
      <w:r>
        <w:rPr>
          <w:w w:val="110"/>
          <w:position w:val="12"/>
          <w:sz w:val="20"/>
        </w:rPr>
        <w:t>1     </w:t>
      </w:r>
      <w:r>
        <w:rPr>
          <w:i/>
          <w:w w:val="110"/>
          <w:sz w:val="22"/>
        </w:rPr>
        <w:t>i </w:t>
      </w:r>
      <w:r>
        <w:rPr>
          <w:sz w:val="22"/>
        </w:rPr>
        <w:t>or      , and the  de-</w:t>
      </w:r>
    </w:p>
    <w:p>
      <w:pPr>
        <w:tabs>
          <w:tab w:pos="3580" w:val="left" w:leader="none"/>
          <w:tab w:pos="4412" w:val="left" w:leader="none"/>
        </w:tabs>
        <w:spacing w:line="163" w:lineRule="exact" w:before="0"/>
        <w:ind w:left="2209" w:right="739" w:firstLine="0"/>
        <w:jc w:val="left"/>
        <w:rPr>
          <w:rFonts w:ascii="Arial" w:hAnsi="Arial"/>
          <w:b/>
          <w:i/>
          <w:sz w:val="19"/>
        </w:rPr>
      </w:pPr>
      <w:r>
        <w:rPr>
          <w:rFonts w:ascii="Arial" w:hAnsi="Arial"/>
          <w:color w:val="282828"/>
          <w:w w:val="120"/>
          <w:sz w:val="12"/>
        </w:rPr>
        <w:t>.</w:t>
        <w:tab/>
      </w:r>
      <w:r>
        <w:rPr>
          <w:rFonts w:ascii="Arial" w:hAnsi="Arial"/>
          <w:color w:val="464646"/>
          <w:sz w:val="12"/>
        </w:rPr>
        <w:t>.  </w:t>
      </w:r>
      <w:r>
        <w:rPr>
          <w:rFonts w:ascii="Arial" w:hAnsi="Arial"/>
          <w:color w:val="464646"/>
          <w:spacing w:val="12"/>
          <w:sz w:val="12"/>
        </w:rPr>
        <w:t> </w:t>
      </w:r>
      <w:r>
        <w:rPr>
          <w:rFonts w:ascii="Arial" w:hAnsi="Arial"/>
          <w:b/>
          <w:w w:val="120"/>
          <w:sz w:val="12"/>
        </w:rPr>
        <w:t>u•1</w:t>
        <w:tab/>
      </w:r>
      <w:r>
        <w:rPr>
          <w:rFonts w:ascii="Arial" w:hAnsi="Arial"/>
          <w:b/>
          <w:i/>
          <w:sz w:val="19"/>
        </w:rPr>
        <w:t>a;.¡</w:t>
      </w:r>
    </w:p>
    <w:p>
      <w:pPr>
        <w:spacing w:line="348" w:lineRule="auto" w:before="0"/>
        <w:ind w:left="122" w:right="125" w:firstLine="3"/>
        <w:jc w:val="both"/>
        <w:rPr>
          <w:sz w:val="22"/>
        </w:rPr>
      </w:pPr>
      <w:r>
        <w:rPr>
          <w:sz w:val="22"/>
        </w:rPr>
        <w:t>creasing </w:t>
      </w:r>
      <w:r>
        <w:rPr>
          <w:sz w:val="20"/>
        </w:rPr>
        <w:t>term </w:t>
      </w:r>
      <w:r>
        <w:rPr>
          <w:sz w:val="22"/>
        </w:rPr>
        <w:t>insurance must therefore provide a first year dea.th benefit  of  1 </w:t>
      </w:r>
      <w:r>
        <w:rPr>
          <w:w w:val="240"/>
          <w:sz w:val="22"/>
        </w:rPr>
        <w:t>-  </w:t>
      </w:r>
      <w:r>
        <w:rPr>
          <w:w w:val="125"/>
          <w:sz w:val="22"/>
        </w:rPr>
        <w:t>. </w:t>
      </w:r>
      <w:r>
        <w:rPr>
          <w:sz w:val="20"/>
        </w:rPr>
        <w:t>Similarly,  </w:t>
      </w:r>
      <w:r>
        <w:rPr>
          <w:sz w:val="22"/>
        </w:rPr>
        <w:t>at the end  of  the second  </w:t>
      </w:r>
      <w:r>
        <w:rPr>
          <w:sz w:val="20"/>
        </w:rPr>
        <w:t>year,  </w:t>
      </w:r>
      <w:r>
        <w:rPr>
          <w:sz w:val="22"/>
        </w:rPr>
        <w:t>the</w:t>
      </w:r>
    </w:p>
    <w:p>
      <w:pPr>
        <w:spacing w:after="0" w:line="348" w:lineRule="auto"/>
        <w:jc w:val="both"/>
        <w:rPr>
          <w:sz w:val="22"/>
        </w:rPr>
        <w:sectPr>
          <w:type w:val="continuous"/>
          <w:pgSz w:w="7200" w:h="11340"/>
          <w:pgMar w:top="1100" w:bottom="0" w:left="660" w:right="560"/>
        </w:sectPr>
      </w:pPr>
    </w:p>
    <w:p>
      <w:pPr>
        <w:tabs>
          <w:tab w:pos="1419" w:val="left" w:leader="none"/>
          <w:tab w:pos="5856" w:val="right" w:leader="none"/>
        </w:tabs>
        <w:spacing w:before="57"/>
        <w:ind w:left="120" w:right="0" w:firstLine="0"/>
        <w:jc w:val="left"/>
        <w:rPr>
          <w:sz w:val="20"/>
        </w:rPr>
      </w:pPr>
      <w:r>
        <w:rPr>
          <w:color w:val="010101"/>
          <w:w w:val="105"/>
          <w:sz w:val="15"/>
        </w:rPr>
        <w:t>SEC.</w:t>
      </w:r>
      <w:r>
        <w:rPr>
          <w:color w:val="010101"/>
          <w:spacing w:val="25"/>
          <w:w w:val="105"/>
          <w:sz w:val="15"/>
        </w:rPr>
        <w:t> </w:t>
      </w:r>
      <w:r>
        <w:rPr>
          <w:rFonts w:ascii="Arial"/>
          <w:color w:val="010101"/>
          <w:w w:val="105"/>
          <w:sz w:val="19"/>
        </w:rPr>
        <w:t>3)</w:t>
        <w:tab/>
      </w:r>
      <w:r>
        <w:rPr>
          <w:b/>
          <w:color w:val="010101"/>
          <w:spacing w:val="-3"/>
          <w:w w:val="105"/>
          <w:position w:val="1"/>
          <w:sz w:val="15"/>
        </w:rPr>
        <w:t>ANJ,LYSIS   </w:t>
      </w:r>
      <w:r>
        <w:rPr>
          <w:b/>
          <w:color w:val="010101"/>
          <w:w w:val="105"/>
          <w:position w:val="1"/>
          <w:sz w:val="15"/>
        </w:rPr>
        <w:t>OF  ENDOWME</w:t>
      </w:r>
      <w:r>
        <w:rPr>
          <w:b/>
          <w:color w:val="010101"/>
          <w:spacing w:val="5"/>
          <w:w w:val="105"/>
          <w:position w:val="1"/>
          <w:sz w:val="15"/>
        </w:rPr>
        <w:t> </w:t>
      </w:r>
      <w:r>
        <w:rPr>
          <w:b/>
          <w:color w:val="010101"/>
          <w:w w:val="105"/>
          <w:position w:val="1"/>
          <w:sz w:val="15"/>
        </w:rPr>
        <w:t>T </w:t>
      </w:r>
      <w:r>
        <w:rPr>
          <w:b/>
          <w:color w:val="010101"/>
          <w:spacing w:val="16"/>
          <w:w w:val="105"/>
          <w:position w:val="1"/>
          <w:sz w:val="15"/>
        </w:rPr>
        <w:t> </w:t>
      </w:r>
      <w:r>
        <w:rPr>
          <w:b/>
          <w:color w:val="010101"/>
          <w:w w:val="105"/>
          <w:position w:val="1"/>
          <w:sz w:val="15"/>
        </w:rPr>
        <w:t>PREMIUM</w:t>
      </w:r>
      <w:r>
        <w:rPr>
          <w:color w:val="010101"/>
          <w:w w:val="105"/>
          <w:sz w:val="20"/>
        </w:rPr>
        <w:tab/>
        <w:t>91</w:t>
      </w:r>
    </w:p>
    <w:p>
      <w:pPr>
        <w:pStyle w:val="BodyText"/>
        <w:spacing w:before="9"/>
        <w:rPr>
          <w:sz w:val="16"/>
        </w:rPr>
      </w:pPr>
    </w:p>
    <w:p>
      <w:pPr>
        <w:spacing w:line="210" w:lineRule="exact" w:before="0"/>
        <w:ind w:left="98" w:right="929" w:firstLine="0"/>
        <w:jc w:val="center"/>
        <w:rPr>
          <w:sz w:val="22"/>
        </w:rPr>
      </w:pPr>
      <w:r>
        <w:rPr>
          <w:color w:val="010101"/>
          <w:w w:val="105"/>
          <w:sz w:val="22"/>
        </w:rPr>
        <w:t>s¡¡</w:t>
      </w:r>
    </w:p>
    <w:p>
      <w:pPr>
        <w:spacing w:line="176" w:lineRule="exact" w:before="0"/>
        <w:ind w:left="116" w:right="0" w:firstLine="0"/>
        <w:jc w:val="left"/>
        <w:rPr>
          <w:sz w:val="21"/>
        </w:rPr>
      </w:pPr>
      <w:r>
        <w:rPr>
          <w:color w:val="010101"/>
          <w:w w:val="110"/>
          <w:sz w:val="21"/>
        </w:rPr>
        <w:t>insurance required is 1 </w:t>
      </w:r>
      <w:r>
        <w:rPr>
          <w:color w:val="010101"/>
          <w:w w:val="240"/>
          <w:sz w:val="21"/>
        </w:rPr>
        <w:t>-</w:t>
      </w:r>
      <w:r>
        <w:rPr>
          <w:color w:val="010101"/>
          <w:spacing w:val="-101"/>
          <w:w w:val="240"/>
          <w:sz w:val="21"/>
        </w:rPr>
        <w:t> </w:t>
      </w:r>
      <w:r>
        <w:rPr>
          <w:color w:val="010101"/>
          <w:spacing w:val="7"/>
          <w:w w:val="155"/>
          <w:sz w:val="21"/>
        </w:rPr>
        <w:t>:-, </w:t>
      </w:r>
      <w:r>
        <w:rPr>
          <w:color w:val="010101"/>
          <w:w w:val="110"/>
          <w:sz w:val="21"/>
        </w:rPr>
        <w:t>and, generally, for t.he m-th year,</w:t>
      </w:r>
    </w:p>
    <w:p>
      <w:pPr>
        <w:spacing w:line="184" w:lineRule="exact" w:before="0"/>
        <w:ind w:left="98" w:right="946" w:firstLine="0"/>
        <w:jc w:val="center"/>
        <w:rPr>
          <w:rFonts w:ascii="Arial"/>
          <w:sz w:val="18"/>
        </w:rPr>
      </w:pPr>
      <w:r>
        <w:rPr>
          <w:rFonts w:ascii="Arial"/>
          <w:color w:val="010101"/>
          <w:w w:val="105"/>
          <w:sz w:val="18"/>
        </w:rPr>
        <w:t>8iil</w:t>
      </w:r>
    </w:p>
    <w:p>
      <w:pPr>
        <w:spacing w:line="211" w:lineRule="exact" w:before="75"/>
        <w:ind w:left="120" w:right="0" w:firstLine="0"/>
        <w:jc w:val="left"/>
        <w:rPr>
          <w:sz w:val="21"/>
        </w:rPr>
      </w:pPr>
      <w:r>
        <w:rPr>
          <w:color w:val="010101"/>
          <w:w w:val="105"/>
          <w:sz w:val="21"/>
        </w:rPr>
        <w:t>the deereasing  insurance must  provide  an amount  of  1 </w:t>
      </w:r>
      <w:r>
        <w:rPr>
          <w:color w:val="010101"/>
          <w:w w:val="230"/>
          <w:sz w:val="21"/>
        </w:rPr>
        <w:t>- </w:t>
      </w:r>
      <w:r>
        <w:rPr>
          <w:color w:val="010101"/>
          <w:w w:val="105"/>
          <w:sz w:val="21"/>
        </w:rPr>
        <w:t>;;¡  </w:t>
      </w:r>
      <w:r>
        <w:rPr>
          <w:color w:val="010101"/>
          <w:w w:val="120"/>
          <w:sz w:val="21"/>
        </w:rPr>
        <w:t>.</w:t>
      </w:r>
    </w:p>
    <w:p>
      <w:pPr>
        <w:spacing w:line="159" w:lineRule="exact" w:before="0"/>
        <w:ind w:left="5522" w:right="0" w:firstLine="0"/>
        <w:jc w:val="left"/>
        <w:rPr>
          <w:sz w:val="17"/>
        </w:rPr>
      </w:pPr>
      <w:r>
        <w:rPr>
          <w:color w:val="010101"/>
          <w:w w:val="135"/>
          <w:sz w:val="17"/>
        </w:rPr>
        <w:t>s;i</w:t>
      </w:r>
    </w:p>
    <w:p>
      <w:pPr>
        <w:spacing w:line="240" w:lineRule="auto" w:before="0"/>
        <w:ind w:left="120" w:right="0" w:firstLine="0"/>
        <w:jc w:val="left"/>
        <w:rPr>
          <w:sz w:val="21"/>
        </w:rPr>
      </w:pPr>
      <w:r>
        <w:rPr>
          <w:color w:val="010101"/>
          <w:sz w:val="21"/>
        </w:rPr>
        <w:t>For an insured aged x, the net annual premium for this decreasing term insurance is given by</w:t>
      </w:r>
    </w:p>
    <w:p>
      <w:pPr>
        <w:tabs>
          <w:tab w:pos="4688" w:val="left" w:leader="none"/>
        </w:tabs>
        <w:spacing w:line="605" w:lineRule="exact" w:before="0"/>
        <w:ind w:left="392" w:right="0" w:firstLine="0"/>
        <w:jc w:val="center"/>
        <w:rPr>
          <w:b/>
          <w:i/>
          <w:sz w:val="17"/>
        </w:rPr>
      </w:pPr>
      <w:r>
        <w:rPr/>
        <w:pict>
          <v:shape style="position:absolute;margin-left:40.019939pt;margin-top:19.267416pt;width:244.5pt;height:13pt;mso-position-horizontal-relative:page;mso-position-vertical-relative:paragraph;z-index:-727864" type="#_x0000_t202" filled="false" stroked="false">
            <v:textbox inset="0,0,0,0">
              <w:txbxContent>
                <w:p>
                  <w:pPr>
                    <w:tabs>
                      <w:tab w:pos="1073" w:val="left" w:leader="none"/>
                      <w:tab w:pos="2494" w:val="left" w:leader="none"/>
                      <w:tab w:pos="4676" w:val="left" w:leader="none"/>
                    </w:tabs>
                    <w:spacing w:line="260" w:lineRule="exact" w:before="0"/>
                    <w:ind w:left="0" w:right="0" w:firstLine="0"/>
                    <w:jc w:val="left"/>
                    <w:rPr>
                      <w:sz w:val="14"/>
                    </w:rPr>
                  </w:pPr>
                  <w:r>
                    <w:rPr>
                      <w:b/>
                      <w:i/>
                      <w:color w:val="010101"/>
                      <w:sz w:val="22"/>
                    </w:rPr>
                    <w:t>p  </w:t>
                  </w:r>
                  <w:r>
                    <w:rPr>
                      <w:color w:val="010101"/>
                      <w:sz w:val="26"/>
                    </w:rPr>
                    <w:t>=</w:t>
                    <w:tab/>
                  </w:r>
                  <w:r>
                    <w:rPr>
                      <w:color w:val="010101"/>
                      <w:sz w:val="14"/>
                    </w:rPr>
                    <w:t>Sñ"!</w:t>
                    <w:tab/>
                  </w:r>
                  <w:r>
                    <w:rPr>
                      <w:color w:val="010101"/>
                      <w:w w:val="120"/>
                      <w:sz w:val="14"/>
                    </w:rPr>
                    <w:t>Si]</w:t>
                    <w:tab/>
                  </w:r>
                  <w:r>
                    <w:rPr>
                      <w:color w:val="010101"/>
                      <w:sz w:val="14"/>
                    </w:rPr>
                    <w:t>S,íl</w:t>
                  </w:r>
                </w:p>
              </w:txbxContent>
            </v:textbox>
            <w10:wrap type="none"/>
          </v:shape>
        </w:pict>
      </w:r>
      <w:r>
        <w:rPr>
          <w:rFonts w:ascii="Arial" w:hAnsi="Arial"/>
          <w:b/>
          <w:color w:val="010101"/>
          <w:spacing w:val="-7"/>
          <w:w w:val="84"/>
          <w:position w:val="-5"/>
          <w:sz w:val="48"/>
        </w:rPr>
        <w:t>(</w:t>
      </w:r>
      <w:r>
        <w:rPr>
          <w:rFonts w:ascii="Arial" w:hAnsi="Arial"/>
          <w:b/>
          <w:color w:val="010101"/>
          <w:w w:val="37"/>
          <w:sz w:val="48"/>
        </w:rPr>
        <w:t>1</w:t>
      </w:r>
      <w:r>
        <w:rPr>
          <w:rFonts w:ascii="Arial" w:hAnsi="Arial"/>
          <w:b/>
          <w:color w:val="010101"/>
          <w:spacing w:val="-67"/>
          <w:sz w:val="48"/>
        </w:rPr>
        <w:t> </w:t>
      </w:r>
      <w:r>
        <w:rPr>
          <w:rFonts w:ascii="Arial" w:hAnsi="Arial"/>
          <w:color w:val="010101"/>
          <w:w w:val="107"/>
          <w:sz w:val="48"/>
        </w:rPr>
        <w:t>-</w:t>
      </w:r>
      <w:r>
        <w:rPr>
          <w:rFonts w:ascii="Arial" w:hAnsi="Arial"/>
          <w:color w:val="010101"/>
          <w:spacing w:val="-12"/>
          <w:sz w:val="48"/>
        </w:rPr>
        <w:t> </w:t>
      </w:r>
      <w:r>
        <w:rPr>
          <w:rFonts w:ascii="Arial" w:hAnsi="Arial"/>
          <w:color w:val="010101"/>
          <w:w w:val="59"/>
          <w:sz w:val="49"/>
        </w:rPr>
        <w:t>i}</w:t>
      </w:r>
      <w:r>
        <w:rPr>
          <w:rFonts w:ascii="Arial" w:hAnsi="Arial"/>
          <w:color w:val="010101"/>
          <w:w w:val="59"/>
          <w:sz w:val="49"/>
        </w:rPr>
        <w:t>)</w:t>
      </w:r>
      <w:r>
        <w:rPr>
          <w:rFonts w:ascii="Arial" w:hAnsi="Arial"/>
          <w:color w:val="010101"/>
          <w:spacing w:val="-96"/>
          <w:sz w:val="49"/>
        </w:rPr>
        <w:t> </w:t>
      </w:r>
      <w:r>
        <w:rPr>
          <w:b/>
          <w:i/>
          <w:color w:val="010101"/>
          <w:w w:val="111"/>
          <w:sz w:val="17"/>
        </w:rPr>
        <w:t>Cz</w:t>
      </w:r>
      <w:r>
        <w:rPr>
          <w:b/>
          <w:i/>
          <w:color w:val="010101"/>
          <w:sz w:val="17"/>
        </w:rPr>
        <w:t> </w:t>
      </w:r>
      <w:r>
        <w:rPr>
          <w:b/>
          <w:i/>
          <w:color w:val="010101"/>
          <w:spacing w:val="-6"/>
          <w:sz w:val="17"/>
        </w:rPr>
        <w:t> </w:t>
      </w:r>
      <w:r>
        <w:rPr>
          <w:color w:val="010101"/>
          <w:w w:val="100"/>
          <w:sz w:val="29"/>
        </w:rPr>
        <w:t>+</w:t>
      </w:r>
      <w:r>
        <w:rPr>
          <w:color w:val="010101"/>
          <w:spacing w:val="-19"/>
          <w:sz w:val="29"/>
        </w:rPr>
        <w:t> </w:t>
      </w:r>
      <w:r>
        <w:rPr>
          <w:rFonts w:ascii="Arial" w:hAnsi="Arial"/>
          <w:b/>
          <w:color w:val="010101"/>
          <w:w w:val="57"/>
          <w:sz w:val="48"/>
        </w:rPr>
        <w:t>(</w:t>
      </w:r>
      <w:r>
        <w:rPr>
          <w:rFonts w:ascii="Arial" w:hAnsi="Arial"/>
          <w:b/>
          <w:color w:val="010101"/>
          <w:w w:val="57"/>
          <w:sz w:val="48"/>
        </w:rPr>
        <w:t>1</w:t>
      </w:r>
      <w:r>
        <w:rPr>
          <w:rFonts w:ascii="Arial" w:hAnsi="Arial"/>
          <w:b/>
          <w:color w:val="010101"/>
          <w:spacing w:val="-76"/>
          <w:sz w:val="48"/>
        </w:rPr>
        <w:t> </w:t>
      </w:r>
      <w:r>
        <w:rPr>
          <w:rFonts w:ascii="Arial" w:hAnsi="Arial"/>
          <w:color w:val="010101"/>
          <w:w w:val="104"/>
          <w:sz w:val="48"/>
        </w:rPr>
        <w:t>-</w:t>
      </w:r>
      <w:r>
        <w:rPr>
          <w:rFonts w:ascii="Arial" w:hAnsi="Arial"/>
          <w:color w:val="010101"/>
          <w:spacing w:val="11"/>
          <w:sz w:val="48"/>
        </w:rPr>
        <w:t> </w:t>
      </w:r>
      <w:r>
        <w:rPr>
          <w:rFonts w:ascii="Arial" w:hAnsi="Arial"/>
          <w:color w:val="010101"/>
          <w:spacing w:val="-90"/>
          <w:w w:val="147"/>
          <w:sz w:val="49"/>
        </w:rPr>
        <w:t>i</w:t>
      </w:r>
      <w:r>
        <w:rPr>
          <w:rFonts w:ascii="Arial" w:hAnsi="Arial"/>
          <w:color w:val="010101"/>
          <w:w w:val="71"/>
          <w:sz w:val="49"/>
        </w:rPr>
        <w:t>l</w:t>
      </w:r>
      <w:r>
        <w:rPr>
          <w:rFonts w:ascii="Arial" w:hAnsi="Arial"/>
          <w:color w:val="010101"/>
          <w:w w:val="71"/>
          <w:sz w:val="49"/>
        </w:rPr>
        <w:t>)</w:t>
      </w:r>
      <w:r>
        <w:rPr>
          <w:rFonts w:ascii="Arial" w:hAnsi="Arial"/>
          <w:color w:val="010101"/>
          <w:spacing w:val="-103"/>
          <w:sz w:val="49"/>
        </w:rPr>
        <w:t> </w:t>
      </w:r>
      <w:r>
        <w:rPr>
          <w:i/>
          <w:color w:val="010101"/>
          <w:w w:val="107"/>
          <w:sz w:val="16"/>
        </w:rPr>
        <w:t>Cz+l</w:t>
      </w:r>
      <w:r>
        <w:rPr>
          <w:i/>
          <w:color w:val="010101"/>
          <w:sz w:val="16"/>
        </w:rPr>
        <w:t> </w:t>
      </w:r>
      <w:r>
        <w:rPr>
          <w:i/>
          <w:color w:val="010101"/>
          <w:spacing w:val="4"/>
          <w:sz w:val="16"/>
        </w:rPr>
        <w:t> </w:t>
      </w:r>
      <w:r>
        <w:rPr>
          <w:color w:val="010101"/>
          <w:w w:val="103"/>
          <w:sz w:val="29"/>
        </w:rPr>
        <w:t>+</w:t>
      </w:r>
      <w:r>
        <w:rPr>
          <w:color w:val="010101"/>
          <w:spacing w:val="34"/>
          <w:sz w:val="29"/>
        </w:rPr>
        <w:t> </w:t>
      </w:r>
      <w:r>
        <w:rPr>
          <w:color w:val="010101"/>
          <w:w w:val="42"/>
          <w:sz w:val="29"/>
        </w:rPr>
        <w:t>•</w:t>
      </w:r>
      <w:r>
        <w:rPr>
          <w:color w:val="010101"/>
          <w:spacing w:val="-13"/>
          <w:sz w:val="29"/>
        </w:rPr>
        <w:t> </w:t>
      </w:r>
      <w:r>
        <w:rPr>
          <w:color w:val="181818"/>
          <w:w w:val="37"/>
          <w:sz w:val="29"/>
        </w:rPr>
        <w:t>•</w:t>
      </w:r>
      <w:r>
        <w:rPr>
          <w:color w:val="181818"/>
          <w:spacing w:val="-11"/>
          <w:sz w:val="29"/>
        </w:rPr>
        <w:t> </w:t>
      </w:r>
      <w:r>
        <w:rPr>
          <w:color w:val="010101"/>
          <w:w w:val="32"/>
          <w:sz w:val="29"/>
        </w:rPr>
        <w:t>•</w:t>
      </w:r>
      <w:r>
        <w:rPr>
          <w:color w:val="010101"/>
          <w:sz w:val="29"/>
        </w:rPr>
        <w:t> </w:t>
      </w:r>
      <w:r>
        <w:rPr>
          <w:color w:val="010101"/>
          <w:spacing w:val="-25"/>
          <w:sz w:val="29"/>
        </w:rPr>
        <w:t> </w:t>
      </w:r>
      <w:r>
        <w:rPr>
          <w:color w:val="010101"/>
          <w:w w:val="100"/>
          <w:sz w:val="29"/>
        </w:rPr>
        <w:t>+</w:t>
      </w:r>
      <w:r>
        <w:rPr>
          <w:color w:val="010101"/>
          <w:spacing w:val="-12"/>
          <w:sz w:val="29"/>
        </w:rPr>
        <w:t> </w:t>
      </w:r>
      <w:r>
        <w:rPr>
          <w:rFonts w:ascii="Arial" w:hAnsi="Arial"/>
          <w:b/>
          <w:color w:val="010101"/>
          <w:spacing w:val="-16"/>
          <w:w w:val="87"/>
          <w:sz w:val="48"/>
        </w:rPr>
        <w:t>(</w:t>
      </w:r>
      <w:r>
        <w:rPr>
          <w:rFonts w:ascii="Arial" w:hAnsi="Arial"/>
          <w:b/>
          <w:color w:val="010101"/>
          <w:w w:val="37"/>
          <w:sz w:val="48"/>
        </w:rPr>
        <w:t>1</w:t>
      </w:r>
      <w:r>
        <w:rPr>
          <w:rFonts w:ascii="Arial" w:hAnsi="Arial"/>
          <w:b/>
          <w:color w:val="010101"/>
          <w:spacing w:val="-63"/>
          <w:sz w:val="48"/>
        </w:rPr>
        <w:t> </w:t>
      </w:r>
      <w:r>
        <w:rPr>
          <w:rFonts w:ascii="Arial" w:hAnsi="Arial"/>
          <w:color w:val="010101"/>
          <w:w w:val="104"/>
          <w:sz w:val="48"/>
        </w:rPr>
        <w:t>-</w:t>
      </w:r>
      <w:r>
        <w:rPr>
          <w:rFonts w:ascii="Arial" w:hAnsi="Arial"/>
          <w:color w:val="010101"/>
          <w:sz w:val="48"/>
        </w:rPr>
        <w:tab/>
      </w:r>
      <w:r>
        <w:rPr>
          <w:rFonts w:ascii="Arial" w:hAnsi="Arial"/>
          <w:color w:val="010101"/>
          <w:spacing w:val="-46"/>
          <w:w w:val="51"/>
          <w:sz w:val="49"/>
        </w:rPr>
        <w:t>I</w:t>
      </w:r>
      <w:r>
        <w:rPr>
          <w:rFonts w:ascii="Arial" w:hAnsi="Arial"/>
          <w:color w:val="010101"/>
          <w:spacing w:val="17"/>
          <w:w w:val="96"/>
          <w:sz w:val="49"/>
        </w:rPr>
        <w:t>)</w:t>
      </w:r>
      <w:r>
        <w:rPr>
          <w:b/>
          <w:i/>
          <w:color w:val="010101"/>
          <w:w w:val="102"/>
          <w:sz w:val="17"/>
        </w:rPr>
        <w:t>Cz+n-1</w:t>
      </w:r>
    </w:p>
    <w:p>
      <w:pPr>
        <w:pStyle w:val="BodyText"/>
        <w:spacing w:line="20" w:lineRule="exact"/>
        <w:ind w:left="1381"/>
        <w:rPr>
          <w:sz w:val="2"/>
        </w:rPr>
      </w:pPr>
      <w:r>
        <w:rPr>
          <w:sz w:val="2"/>
        </w:rPr>
        <w:pict>
          <v:group style="width:3.25pt;height:.550pt;mso-position-horizontal-relative:char;mso-position-vertical-relative:line" coordorigin="0,0" coordsize="65,11">
            <v:line style="position:absolute" from="6,6" to="59,6" stroked="true" strokeweight=".538385pt" strokecolor="#000000"/>
          </v:group>
        </w:pict>
      </w:r>
      <w:r>
        <w:rPr>
          <w:sz w:val="2"/>
        </w:rPr>
      </w:r>
    </w:p>
    <w:p>
      <w:pPr>
        <w:spacing w:before="3"/>
        <w:ind w:left="443" w:right="87" w:firstLine="0"/>
        <w:jc w:val="center"/>
        <w:rPr>
          <w:b/>
          <w:i/>
          <w:sz w:val="21"/>
        </w:rPr>
      </w:pPr>
      <w:r>
        <w:rPr>
          <w:b/>
          <w:i/>
          <w:color w:val="010101"/>
          <w:w w:val="95"/>
          <w:sz w:val="21"/>
        </w:rPr>
        <w:t>N z </w:t>
      </w:r>
      <w:r>
        <w:rPr>
          <w:color w:val="010101"/>
          <w:w w:val="255"/>
          <w:sz w:val="21"/>
        </w:rPr>
        <w:t>-</w:t>
      </w:r>
      <w:r>
        <w:rPr>
          <w:color w:val="010101"/>
          <w:spacing w:val="-114"/>
          <w:w w:val="255"/>
          <w:sz w:val="21"/>
        </w:rPr>
        <w:t> </w:t>
      </w:r>
      <w:r>
        <w:rPr>
          <w:b/>
          <w:i/>
          <w:color w:val="010101"/>
          <w:w w:val="95"/>
          <w:sz w:val="21"/>
        </w:rPr>
        <w:t>N z+n</w:t>
      </w:r>
    </w:p>
    <w:p>
      <w:pPr>
        <w:spacing w:before="100"/>
        <w:ind w:left="123" w:right="0" w:firstLine="0"/>
        <w:jc w:val="left"/>
        <w:rPr>
          <w:sz w:val="21"/>
        </w:rPr>
      </w:pPr>
      <w:r>
        <w:rPr>
          <w:color w:val="010101"/>
          <w:sz w:val="21"/>
        </w:rPr>
        <w:t>The total endowment  premium  is then</w:t>
      </w:r>
    </w:p>
    <w:p>
      <w:pPr>
        <w:spacing w:line="79" w:lineRule="exact" w:before="124"/>
        <w:ind w:left="241" w:right="0" w:firstLine="0"/>
        <w:jc w:val="center"/>
        <w:rPr>
          <w:b/>
          <w:sz w:val="20"/>
        </w:rPr>
      </w:pPr>
      <w:r>
        <w:rPr>
          <w:b/>
          <w:color w:val="010101"/>
          <w:w w:val="93"/>
          <w:sz w:val="20"/>
        </w:rPr>
        <w:t>1</w:t>
      </w:r>
    </w:p>
    <w:p>
      <w:pPr>
        <w:spacing w:after="0" w:line="79" w:lineRule="exact"/>
        <w:jc w:val="center"/>
        <w:rPr>
          <w:sz w:val="20"/>
        </w:rPr>
        <w:sectPr>
          <w:pgSz w:w="7200" w:h="11340"/>
          <w:pgMar w:top="500" w:bottom="280" w:left="680" w:right="520"/>
        </w:sectPr>
      </w:pPr>
    </w:p>
    <w:p>
      <w:pPr>
        <w:spacing w:line="392" w:lineRule="exact" w:before="0"/>
        <w:ind w:left="2266" w:right="-15" w:firstLine="0"/>
        <w:jc w:val="left"/>
        <w:rPr>
          <w:rFonts w:ascii="Arial" w:hAnsi="Arial"/>
          <w:b/>
          <w:i/>
          <w:sz w:val="20"/>
        </w:rPr>
      </w:pPr>
      <w:r>
        <w:rPr>
          <w:color w:val="010101"/>
          <w:w w:val="87"/>
          <w:sz w:val="21"/>
        </w:rPr>
        <w:t>Pz:ñJ</w:t>
      </w:r>
      <w:r>
        <w:rPr>
          <w:color w:val="010101"/>
          <w:sz w:val="21"/>
        </w:rPr>
        <w:t> </w:t>
      </w:r>
      <w:r>
        <w:rPr>
          <w:color w:val="010101"/>
          <w:spacing w:val="8"/>
          <w:sz w:val="21"/>
        </w:rPr>
        <w:t> </w:t>
      </w:r>
      <w:r>
        <w:rPr>
          <w:color w:val="010101"/>
          <w:w w:val="102"/>
          <w:sz w:val="24"/>
        </w:rPr>
        <w:t>=</w:t>
      </w:r>
      <w:r>
        <w:rPr>
          <w:color w:val="010101"/>
          <w:spacing w:val="26"/>
          <w:sz w:val="24"/>
        </w:rPr>
        <w:t> </w:t>
      </w:r>
      <w:r>
        <w:rPr>
          <w:b/>
          <w:color w:val="010101"/>
          <w:spacing w:val="-81"/>
          <w:w w:val="79"/>
          <w:position w:val="-9"/>
          <w:sz w:val="19"/>
        </w:rPr>
        <w:t>S</w:t>
      </w:r>
      <w:r>
        <w:rPr>
          <w:color w:val="010101"/>
          <w:w w:val="109"/>
          <w:sz w:val="24"/>
        </w:rPr>
        <w:t>:</w:t>
      </w:r>
      <w:r>
        <w:rPr>
          <w:color w:val="010101"/>
          <w:spacing w:val="-66"/>
          <w:w w:val="109"/>
          <w:sz w:val="24"/>
        </w:rPr>
        <w:t>:</w:t>
      </w:r>
      <w:r>
        <w:rPr>
          <w:b/>
          <w:color w:val="010101"/>
          <w:spacing w:val="-20"/>
          <w:w w:val="79"/>
          <w:position w:val="-9"/>
          <w:sz w:val="19"/>
        </w:rPr>
        <w:t>n</w:t>
      </w:r>
      <w:r>
        <w:rPr>
          <w:color w:val="010101"/>
          <w:spacing w:val="-69"/>
          <w:w w:val="109"/>
          <w:sz w:val="24"/>
        </w:rPr>
        <w:t>-</w:t>
      </w:r>
      <w:r>
        <w:rPr>
          <w:b/>
          <w:color w:val="010101"/>
          <w:w w:val="79"/>
          <w:position w:val="-9"/>
          <w:sz w:val="19"/>
        </w:rPr>
        <w:t>¡</w:t>
      </w:r>
      <w:r>
        <w:rPr>
          <w:b/>
          <w:color w:val="010101"/>
          <w:position w:val="-9"/>
          <w:sz w:val="19"/>
        </w:rPr>
        <w:t> </w:t>
      </w:r>
      <w:r>
        <w:rPr>
          <w:b/>
          <w:color w:val="010101"/>
          <w:spacing w:val="-21"/>
          <w:position w:val="-9"/>
          <w:sz w:val="19"/>
        </w:rPr>
        <w:t> </w:t>
      </w:r>
      <w:r>
        <w:rPr>
          <w:rFonts w:ascii="Arial" w:hAnsi="Arial"/>
          <w:color w:val="010101"/>
          <w:w w:val="107"/>
          <w:sz w:val="31"/>
        </w:rPr>
        <w:t>+</w:t>
      </w:r>
      <w:r>
        <w:rPr>
          <w:rFonts w:ascii="Arial" w:hAnsi="Arial"/>
          <w:color w:val="010101"/>
          <w:spacing w:val="-34"/>
          <w:sz w:val="31"/>
        </w:rPr>
        <w:t> </w:t>
      </w:r>
      <w:r>
        <w:rPr>
          <w:rFonts w:ascii="Arial" w:hAnsi="Arial"/>
          <w:b/>
          <w:i/>
          <w:color w:val="010101"/>
          <w:w w:val="104"/>
          <w:sz w:val="20"/>
        </w:rPr>
        <w:t>P.</w:t>
      </w:r>
    </w:p>
    <w:p>
      <w:pPr>
        <w:spacing w:before="37"/>
        <w:ind w:left="0" w:right="157" w:firstLine="0"/>
        <w:jc w:val="right"/>
        <w:rPr>
          <w:b/>
          <w:sz w:val="21"/>
        </w:rPr>
      </w:pPr>
      <w:r>
        <w:rPr/>
        <w:br w:type="column"/>
      </w:r>
      <w:r>
        <w:rPr>
          <w:b/>
          <w:color w:val="010101"/>
          <w:sz w:val="21"/>
        </w:rPr>
        <w:t>( 4.29)</w:t>
      </w:r>
    </w:p>
    <w:p>
      <w:pPr>
        <w:spacing w:after="0"/>
        <w:jc w:val="right"/>
        <w:rPr>
          <w:sz w:val="21"/>
        </w:rPr>
        <w:sectPr>
          <w:type w:val="continuous"/>
          <w:pgSz w:w="7200" w:h="11340"/>
          <w:pgMar w:top="1100" w:bottom="0" w:left="680" w:right="520"/>
          <w:cols w:num="2" w:equalWidth="0">
            <w:col w:w="3747" w:space="40"/>
            <w:col w:w="2213"/>
          </w:cols>
        </w:sectPr>
      </w:pPr>
    </w:p>
    <w:p>
      <w:pPr>
        <w:spacing w:line="237" w:lineRule="auto" w:before="115"/>
        <w:ind w:left="127" w:right="146" w:firstLine="193"/>
        <w:jc w:val="both"/>
        <w:rPr>
          <w:sz w:val="21"/>
        </w:rPr>
      </w:pPr>
      <w:r>
        <w:rPr>
          <w:color w:val="010101"/>
          <w:sz w:val="22"/>
        </w:rPr>
        <w:t>It </w:t>
      </w:r>
      <w:r>
        <w:rPr>
          <w:color w:val="010101"/>
          <w:sz w:val="21"/>
        </w:rPr>
        <w:t>may now be shown that the savings fund-decreasing insurance combination of (4.29) is indeed mathematically equivalent to the term insurance-pure endowment combination of  (4.28).</w:t>
      </w:r>
    </w:p>
    <w:p>
      <w:pPr>
        <w:spacing w:before="0"/>
        <w:ind w:left="321" w:right="0" w:firstLine="0"/>
        <w:jc w:val="left"/>
        <w:rPr>
          <w:sz w:val="21"/>
        </w:rPr>
      </w:pPr>
      <w:r>
        <w:rPr>
          <w:color w:val="010101"/>
          <w:sz w:val="21"/>
        </w:rPr>
        <w:t>We first write the expression for </w:t>
      </w:r>
      <w:r>
        <w:rPr>
          <w:i/>
          <w:color w:val="010101"/>
          <w:sz w:val="20"/>
        </w:rPr>
        <w:t>P   </w:t>
      </w:r>
      <w:r>
        <w:rPr>
          <w:color w:val="010101"/>
          <w:sz w:val="21"/>
        </w:rPr>
        <w:t>as</w:t>
      </w:r>
    </w:p>
    <w:p>
      <w:pPr>
        <w:spacing w:after="0"/>
        <w:jc w:val="left"/>
        <w:rPr>
          <w:sz w:val="21"/>
        </w:rPr>
        <w:sectPr>
          <w:type w:val="continuous"/>
          <w:pgSz w:w="7200" w:h="11340"/>
          <w:pgMar w:top="1100" w:bottom="0" w:left="680" w:right="520"/>
        </w:sectPr>
      </w:pPr>
    </w:p>
    <w:p>
      <w:pPr>
        <w:tabs>
          <w:tab w:pos="1304" w:val="right" w:leader="none"/>
        </w:tabs>
        <w:spacing w:line="214" w:lineRule="exact" w:before="240"/>
        <w:ind w:left="278" w:right="0" w:firstLine="0"/>
        <w:jc w:val="left"/>
        <w:rPr>
          <w:sz w:val="19"/>
        </w:rPr>
      </w:pPr>
      <w:r>
        <w:rPr>
          <w:i/>
          <w:color w:val="010101"/>
          <w:w w:val="105"/>
          <w:position w:val="-7"/>
          <w:sz w:val="20"/>
        </w:rPr>
        <w:t>P</w:t>
      </w:r>
      <w:r>
        <w:rPr>
          <w:i/>
          <w:color w:val="010101"/>
          <w:spacing w:val="51"/>
          <w:w w:val="105"/>
          <w:position w:val="-7"/>
          <w:sz w:val="20"/>
        </w:rPr>
        <w:t> </w:t>
      </w:r>
      <w:r>
        <w:rPr>
          <w:color w:val="010101"/>
          <w:w w:val="105"/>
          <w:position w:val="-7"/>
          <w:sz w:val="26"/>
        </w:rPr>
        <w:t>=</w:t>
      </w:r>
      <w:r>
        <w:rPr>
          <w:color w:val="010101"/>
          <w:w w:val="105"/>
          <w:sz w:val="19"/>
        </w:rPr>
        <w:tab/>
        <w:t>1</w:t>
      </w:r>
    </w:p>
    <w:p>
      <w:pPr>
        <w:spacing w:line="454" w:lineRule="exact" w:before="0"/>
        <w:ind w:left="278" w:right="0" w:firstLine="0"/>
        <w:jc w:val="left"/>
        <w:rPr>
          <w:sz w:val="14"/>
        </w:rPr>
      </w:pPr>
      <w:r>
        <w:rPr/>
        <w:br w:type="column"/>
      </w:r>
      <w:r>
        <w:rPr>
          <w:rFonts w:ascii="Arial" w:hAnsi="Arial"/>
          <w:color w:val="010101"/>
          <w:spacing w:val="-98"/>
          <w:w w:val="183"/>
          <w:sz w:val="31"/>
        </w:rPr>
        <w:t>I</w:t>
      </w:r>
      <w:r>
        <w:rPr>
          <w:color w:val="010101"/>
          <w:spacing w:val="-9"/>
          <w:w w:val="126"/>
          <w:position w:val="8"/>
          <w:sz w:val="19"/>
        </w:rPr>
        <w:t>"</w:t>
      </w:r>
      <w:r>
        <w:rPr>
          <w:rFonts w:ascii="Arial" w:hAnsi="Arial"/>
          <w:color w:val="010101"/>
          <w:spacing w:val="-29"/>
          <w:w w:val="183"/>
          <w:sz w:val="31"/>
        </w:rPr>
        <w:t>:</w:t>
      </w:r>
      <w:r>
        <w:rPr>
          <w:color w:val="010101"/>
          <w:spacing w:val="1"/>
          <w:w w:val="207"/>
          <w:position w:val="8"/>
          <w:sz w:val="19"/>
        </w:rPr>
        <w:t>(</w:t>
      </w:r>
      <w:r>
        <w:rPr>
          <w:color w:val="010101"/>
          <w:w w:val="121"/>
          <w:sz w:val="19"/>
        </w:rPr>
        <w:t>1</w:t>
      </w:r>
      <w:r>
        <w:rPr>
          <w:color w:val="010101"/>
          <w:spacing w:val="2"/>
          <w:sz w:val="19"/>
        </w:rPr>
        <w:t> </w:t>
      </w:r>
      <w:r>
        <w:rPr>
          <w:color w:val="010101"/>
          <w:w w:val="288"/>
          <w:sz w:val="19"/>
        </w:rPr>
        <w:t>-</w:t>
      </w:r>
      <w:r>
        <w:rPr>
          <w:color w:val="010101"/>
          <w:spacing w:val="2"/>
          <w:sz w:val="19"/>
        </w:rPr>
        <w:t> </w:t>
      </w:r>
      <w:r>
        <w:rPr>
          <w:color w:val="010101"/>
          <w:spacing w:val="-72"/>
          <w:w w:val="50"/>
          <w:position w:val="8"/>
          <w:sz w:val="45"/>
        </w:rPr>
        <w:t>s</w:t>
      </w:r>
      <w:r>
        <w:rPr>
          <w:rFonts w:ascii="Arial" w:hAnsi="Arial"/>
          <w:i/>
          <w:color w:val="010101"/>
          <w:spacing w:val="-64"/>
          <w:w w:val="104"/>
          <w:sz w:val="22"/>
        </w:rPr>
        <w:t>=</w:t>
      </w:r>
      <w:r>
        <w:rPr>
          <w:color w:val="010101"/>
          <w:spacing w:val="-14"/>
          <w:w w:val="50"/>
          <w:position w:val="8"/>
          <w:sz w:val="45"/>
        </w:rPr>
        <w:t>¡</w:t>
      </w:r>
      <w:r>
        <w:rPr>
          <w:rFonts w:ascii="Arial" w:hAnsi="Arial"/>
          <w:i/>
          <w:color w:val="010101"/>
          <w:spacing w:val="-64"/>
          <w:w w:val="104"/>
          <w:sz w:val="22"/>
        </w:rPr>
        <w:t>-</w:t>
      </w:r>
      <w:r>
        <w:rPr>
          <w:color w:val="010101"/>
          <w:w w:val="50"/>
          <w:position w:val="8"/>
          <w:sz w:val="45"/>
        </w:rPr>
        <w:t>¡)</w:t>
      </w:r>
      <w:r>
        <w:rPr>
          <w:color w:val="010101"/>
          <w:spacing w:val="-37"/>
          <w:position w:val="8"/>
          <w:sz w:val="45"/>
        </w:rPr>
        <w:t> </w:t>
      </w:r>
      <w:r>
        <w:rPr>
          <w:rFonts w:ascii="Arial" w:hAnsi="Arial"/>
          <w:i/>
          <w:color w:val="010101"/>
          <w:spacing w:val="-17"/>
          <w:w w:val="100"/>
          <w:sz w:val="26"/>
        </w:rPr>
        <w:t>e</w:t>
      </w:r>
      <w:r>
        <w:rPr>
          <w:color w:val="010101"/>
          <w:w w:val="139"/>
          <w:sz w:val="14"/>
        </w:rPr>
        <w:t>z+t</w:t>
      </w:r>
      <w:r>
        <w:rPr>
          <w:color w:val="010101"/>
          <w:spacing w:val="6"/>
          <w:w w:val="139"/>
          <w:sz w:val="14"/>
        </w:rPr>
        <w:t>-</w:t>
      </w:r>
      <w:r>
        <w:rPr>
          <w:color w:val="010101"/>
          <w:w w:val="115"/>
          <w:sz w:val="14"/>
        </w:rPr>
        <w:t>1</w:t>
      </w:r>
    </w:p>
    <w:p>
      <w:pPr>
        <w:spacing w:after="0" w:line="454" w:lineRule="exact"/>
        <w:jc w:val="left"/>
        <w:rPr>
          <w:sz w:val="14"/>
        </w:rPr>
        <w:sectPr>
          <w:type w:val="continuous"/>
          <w:pgSz w:w="7200" w:h="11340"/>
          <w:pgMar w:top="1100" w:bottom="0" w:left="680" w:right="520"/>
          <w:cols w:num="2" w:equalWidth="0">
            <w:col w:w="1305" w:space="177"/>
            <w:col w:w="4518"/>
          </w:cols>
        </w:sectPr>
      </w:pPr>
    </w:p>
    <w:p>
      <w:pPr>
        <w:tabs>
          <w:tab w:pos="2582" w:val="left" w:leader="none"/>
        </w:tabs>
        <w:spacing w:line="214" w:lineRule="exact" w:before="0"/>
        <w:ind w:left="730" w:right="0" w:firstLine="0"/>
        <w:jc w:val="left"/>
        <w:rPr>
          <w:b/>
          <w:sz w:val="16"/>
        </w:rPr>
      </w:pPr>
      <w:r>
        <w:rPr>
          <w:b/>
          <w:i/>
          <w:color w:val="010101"/>
          <w:w w:val="105"/>
          <w:sz w:val="21"/>
        </w:rPr>
        <w:t>Nr </w:t>
      </w:r>
      <w:r>
        <w:rPr>
          <w:color w:val="010101"/>
          <w:w w:val="245"/>
          <w:sz w:val="21"/>
        </w:rPr>
        <w:t>-</w:t>
      </w:r>
      <w:r>
        <w:rPr>
          <w:color w:val="010101"/>
          <w:spacing w:val="-76"/>
          <w:w w:val="245"/>
          <w:sz w:val="21"/>
        </w:rPr>
        <w:t> </w:t>
      </w:r>
      <w:r>
        <w:rPr>
          <w:b/>
          <w:i/>
          <w:color w:val="010101"/>
          <w:w w:val="105"/>
          <w:sz w:val="19"/>
        </w:rPr>
        <w:t>N </w:t>
      </w:r>
      <w:r>
        <w:rPr>
          <w:b/>
          <w:i/>
          <w:color w:val="010101"/>
          <w:sz w:val="19"/>
        </w:rPr>
        <w:t>z+n</w:t>
      </w:r>
      <w:r>
        <w:rPr>
          <w:b/>
          <w:i/>
          <w:color w:val="010101"/>
          <w:spacing w:val="18"/>
          <w:sz w:val="19"/>
        </w:rPr>
        <w:t> </w:t>
      </w:r>
      <w:r>
        <w:rPr>
          <w:b/>
          <w:color w:val="010101"/>
          <w:w w:val="105"/>
          <w:sz w:val="16"/>
        </w:rPr>
        <w:t>c-1</w:t>
        <w:tab/>
      </w:r>
      <w:r>
        <w:rPr>
          <w:b/>
          <w:color w:val="010101"/>
          <w:sz w:val="16"/>
        </w:rPr>
        <w:t>SnJ</w:t>
      </w:r>
    </w:p>
    <w:p>
      <w:pPr>
        <w:spacing w:after="0" w:line="214" w:lineRule="exact"/>
        <w:jc w:val="left"/>
        <w:rPr>
          <w:sz w:val="16"/>
        </w:rPr>
        <w:sectPr>
          <w:type w:val="continuous"/>
          <w:pgSz w:w="7200" w:h="11340"/>
          <w:pgMar w:top="1100" w:bottom="0" w:left="680" w:right="520"/>
        </w:sectPr>
      </w:pPr>
    </w:p>
    <w:p>
      <w:pPr>
        <w:tabs>
          <w:tab w:pos="1681" w:val="left" w:leader="none"/>
        </w:tabs>
        <w:spacing w:line="169" w:lineRule="exact" w:before="168"/>
        <w:ind w:left="1111" w:right="0" w:firstLine="0"/>
        <w:jc w:val="left"/>
        <w:rPr>
          <w:b/>
          <w:sz w:val="12"/>
        </w:rPr>
      </w:pPr>
      <w:r>
        <w:rPr/>
        <w:pict>
          <v:shape style="position:absolute;margin-left:124.366898pt;margin-top:11.582417pt;width:1.35pt;height:15.5pt;mso-position-horizontal-relative:page;mso-position-vertical-relative:paragraph;z-index:-727840" type="#_x0000_t202" filled="false" stroked="false">
            <v:textbox inset="0,0,0,0">
              <w:txbxContent>
                <w:p>
                  <w:pPr>
                    <w:spacing w:line="310" w:lineRule="exact" w:before="0"/>
                    <w:ind w:left="0" w:right="0" w:firstLine="0"/>
                    <w:jc w:val="left"/>
                    <w:rPr>
                      <w:rFonts w:ascii="Arial"/>
                      <w:b/>
                      <w:i/>
                      <w:sz w:val="31"/>
                    </w:rPr>
                  </w:pPr>
                  <w:r>
                    <w:rPr>
                      <w:rFonts w:ascii="Arial"/>
                      <w:b/>
                      <w:i/>
                      <w:color w:val="010101"/>
                      <w:spacing w:val="-214"/>
                      <w:w w:val="126"/>
                      <w:sz w:val="31"/>
                    </w:rPr>
                    <w:t>L</w:t>
                  </w:r>
                </w:p>
              </w:txbxContent>
            </v:textbox>
            <w10:wrap type="none"/>
          </v:shape>
        </w:pict>
      </w:r>
      <w:r>
        <w:rPr/>
        <w:pict>
          <v:shape style="position:absolute;margin-left:55.633099pt;margin-top:13.681537pt;width:6.75pt;height:13pt;mso-position-horizontal-relative:page;mso-position-vertical-relative:paragraph;z-index:8296" type="#_x0000_t202" filled="false" stroked="false">
            <v:textbox inset="0,0,0,0">
              <w:txbxContent>
                <w:p>
                  <w:pPr>
                    <w:spacing w:line="260" w:lineRule="exact" w:before="0"/>
                    <w:ind w:left="0" w:right="0" w:firstLine="0"/>
                    <w:jc w:val="left"/>
                    <w:rPr>
                      <w:sz w:val="26"/>
                    </w:rPr>
                  </w:pPr>
                  <w:r>
                    <w:rPr>
                      <w:color w:val="010101"/>
                      <w:w w:val="91"/>
                      <w:sz w:val="26"/>
                    </w:rPr>
                    <w:t>=</w:t>
                  </w:r>
                </w:p>
              </w:txbxContent>
            </v:textbox>
            <w10:wrap type="none"/>
          </v:shape>
        </w:pict>
      </w:r>
      <w:r>
        <w:rPr>
          <w:rFonts w:ascii="Arial"/>
          <w:b/>
          <w:color w:val="010101"/>
          <w:w w:val="120"/>
          <w:sz w:val="19"/>
        </w:rPr>
        <w:t>1</w:t>
        <w:tab/>
      </w:r>
      <w:r>
        <w:rPr>
          <w:rFonts w:ascii="Arial"/>
          <w:color w:val="010101"/>
          <w:w w:val="270"/>
          <w:sz w:val="19"/>
        </w:rPr>
        <w:t>[</w:t>
      </w:r>
      <w:r>
        <w:rPr>
          <w:rFonts w:ascii="Arial"/>
          <w:color w:val="010101"/>
          <w:spacing w:val="-97"/>
          <w:w w:val="270"/>
          <w:sz w:val="19"/>
        </w:rPr>
        <w:t> </w:t>
      </w:r>
      <w:r>
        <w:rPr>
          <w:b/>
          <w:color w:val="010101"/>
          <w:w w:val="120"/>
          <w:sz w:val="12"/>
        </w:rPr>
        <w:t>n</w:t>
      </w:r>
    </w:p>
    <w:p>
      <w:pPr>
        <w:tabs>
          <w:tab w:pos="1211" w:val="left" w:leader="none"/>
        </w:tabs>
        <w:spacing w:line="121" w:lineRule="exact" w:before="0"/>
        <w:ind w:left="655" w:right="0" w:firstLine="0"/>
        <w:jc w:val="left"/>
        <w:rPr>
          <w:b/>
          <w:i/>
          <w:sz w:val="21"/>
        </w:rPr>
      </w:pPr>
      <w:r>
        <w:rPr>
          <w:b/>
          <w:i/>
          <w:color w:val="010101"/>
          <w:sz w:val="21"/>
        </w:rPr>
        <w:t>N</w:t>
        <w:tab/>
        <w:t>N</w:t>
      </w:r>
    </w:p>
    <w:p>
      <w:pPr>
        <w:spacing w:line="169" w:lineRule="exact" w:before="168"/>
        <w:ind w:left="0" w:right="60" w:firstLine="0"/>
        <w:jc w:val="right"/>
        <w:rPr>
          <w:rFonts w:ascii="Arial"/>
          <w:b/>
          <w:sz w:val="19"/>
        </w:rPr>
      </w:pPr>
      <w:r>
        <w:rPr/>
        <w:br w:type="column"/>
      </w:r>
      <w:r>
        <w:rPr>
          <w:rFonts w:ascii="Arial"/>
          <w:b/>
          <w:color w:val="010101"/>
          <w:w w:val="105"/>
          <w:sz w:val="19"/>
        </w:rPr>
        <w:t>1</w:t>
      </w:r>
    </w:p>
    <w:p>
      <w:pPr>
        <w:spacing w:line="121" w:lineRule="exact" w:before="0"/>
        <w:ind w:left="0" w:right="0" w:firstLine="0"/>
        <w:jc w:val="right"/>
        <w:rPr>
          <w:b/>
          <w:i/>
          <w:sz w:val="21"/>
        </w:rPr>
      </w:pPr>
      <w:r>
        <w:rPr>
          <w:b/>
          <w:i/>
          <w:color w:val="010101"/>
          <w:w w:val="92"/>
          <w:sz w:val="19"/>
        </w:rPr>
        <w:t>Cz+</w:t>
      </w:r>
      <w:r>
        <w:rPr>
          <w:b/>
          <w:i/>
          <w:color w:val="010101"/>
          <w:spacing w:val="19"/>
          <w:w w:val="92"/>
          <w:sz w:val="19"/>
        </w:rPr>
        <w:t>t</w:t>
      </w:r>
      <w:r>
        <w:rPr>
          <w:b/>
          <w:i/>
          <w:color w:val="010101"/>
          <w:w w:val="94"/>
          <w:sz w:val="19"/>
        </w:rPr>
        <w:t>-1</w:t>
      </w:r>
      <w:r>
        <w:rPr>
          <w:b/>
          <w:i/>
          <w:color w:val="010101"/>
          <w:sz w:val="19"/>
        </w:rPr>
        <w:t> </w:t>
      </w:r>
      <w:r>
        <w:rPr>
          <w:b/>
          <w:i/>
          <w:color w:val="010101"/>
          <w:spacing w:val="2"/>
          <w:sz w:val="19"/>
        </w:rPr>
        <w:t> </w:t>
      </w:r>
      <w:r>
        <w:rPr>
          <w:color w:val="010101"/>
          <w:w w:val="288"/>
          <w:sz w:val="19"/>
        </w:rPr>
        <w:t>-</w:t>
      </w:r>
      <w:r>
        <w:rPr>
          <w:color w:val="010101"/>
          <w:spacing w:val="2"/>
          <w:sz w:val="19"/>
        </w:rPr>
        <w:t> </w:t>
      </w:r>
      <w:r>
        <w:rPr>
          <w:b/>
          <w:i/>
          <w:color w:val="010101"/>
          <w:spacing w:val="-89"/>
          <w:w w:val="88"/>
          <w:sz w:val="21"/>
        </w:rPr>
        <w:t>d</w:t>
      </w:r>
      <w:r>
        <w:rPr>
          <w:b/>
          <w:i/>
          <w:color w:val="010101"/>
          <w:w w:val="67"/>
          <w:sz w:val="21"/>
        </w:rPr>
        <w:t>---;:-</w:t>
      </w:r>
    </w:p>
    <w:p>
      <w:pPr>
        <w:spacing w:line="64" w:lineRule="exact" w:before="156"/>
        <w:ind w:left="126" w:right="0" w:firstLine="0"/>
        <w:jc w:val="left"/>
        <w:rPr>
          <w:rFonts w:ascii="Arial"/>
          <w:sz w:val="8"/>
        </w:rPr>
      </w:pPr>
      <w:r>
        <w:rPr/>
        <w:br w:type="column"/>
      </w:r>
      <w:r>
        <w:rPr>
          <w:rFonts w:ascii="Arial"/>
          <w:color w:val="010101"/>
          <w:sz w:val="8"/>
        </w:rPr>
        <w:t>11</w:t>
      </w:r>
    </w:p>
    <w:p>
      <w:pPr>
        <w:spacing w:line="237" w:lineRule="exact" w:before="0"/>
        <w:ind w:left="58" w:right="0" w:firstLine="0"/>
        <w:jc w:val="left"/>
        <w:rPr>
          <w:rFonts w:ascii="Arial" w:hAnsi="Arial"/>
          <w:b/>
          <w:i/>
          <w:sz w:val="10"/>
        </w:rPr>
      </w:pPr>
      <w:r>
        <w:rPr/>
        <w:drawing>
          <wp:anchor distT="0" distB="0" distL="0" distR="0" allowOverlap="1" layoutInCell="1" locked="0" behindDoc="0" simplePos="0" relativeHeight="8128">
            <wp:simplePos x="0" y="0"/>
            <wp:positionH relativeFrom="page">
              <wp:posOffset>3456432</wp:posOffset>
            </wp:positionH>
            <wp:positionV relativeFrom="paragraph">
              <wp:posOffset>-47355</wp:posOffset>
            </wp:positionV>
            <wp:extent cx="548639" cy="310896"/>
            <wp:effectExtent l="0" t="0" r="0" b="0"/>
            <wp:wrapNone/>
            <wp:docPr id="219" name="image114.png" descr=""/>
            <wp:cNvGraphicFramePr>
              <a:graphicFrameLocks noChangeAspect="1"/>
            </wp:cNvGraphicFramePr>
            <a:graphic>
              <a:graphicData uri="http://schemas.openxmlformats.org/drawingml/2006/picture">
                <pic:pic>
                  <pic:nvPicPr>
                    <pic:cNvPr id="220" name="image114.png"/>
                    <pic:cNvPicPr/>
                  </pic:nvPicPr>
                  <pic:blipFill>
                    <a:blip r:embed="rId118" cstate="print"/>
                    <a:stretch>
                      <a:fillRect/>
                    </a:stretch>
                  </pic:blipFill>
                  <pic:spPr>
                    <a:xfrm>
                      <a:off x="0" y="0"/>
                      <a:ext cx="548639" cy="310896"/>
                    </a:xfrm>
                    <a:prstGeom prst="rect">
                      <a:avLst/>
                    </a:prstGeom>
                  </pic:spPr>
                </pic:pic>
              </a:graphicData>
            </a:graphic>
          </wp:anchor>
        </w:drawing>
      </w:r>
      <w:r>
        <w:rPr/>
        <w:pict>
          <v:shape style="position:absolute;margin-left:242.990997pt;margin-top:5.090898pt;width:8.25pt;height:10pt;mso-position-horizontal-relative:page;mso-position-vertical-relative:paragraph;z-index:-727816" type="#_x0000_t202" filled="false" stroked="false">
            <v:textbox inset="0,0,0,0">
              <w:txbxContent>
                <w:p>
                  <w:pPr>
                    <w:pStyle w:val="BodyText"/>
                    <w:spacing w:line="200" w:lineRule="exact"/>
                    <w:ind w:right="-14"/>
                  </w:pPr>
                  <w:r>
                    <w:rPr>
                      <w:color w:val="010101"/>
                      <w:w w:val="130"/>
                    </w:rPr>
                    <w:t>i)</w:t>
                  </w:r>
                </w:p>
              </w:txbxContent>
            </v:textbox>
            <w10:wrap type="none"/>
          </v:shape>
        </w:pict>
      </w:r>
      <w:r>
        <w:rPr>
          <w:rFonts w:ascii="Arial" w:hAnsi="Arial"/>
          <w:b/>
          <w:i/>
          <w:color w:val="010101"/>
          <w:w w:val="120"/>
          <w:sz w:val="31"/>
        </w:rPr>
        <w:t>L</w:t>
      </w:r>
      <w:r>
        <w:rPr>
          <w:rFonts w:ascii="Arial" w:hAnsi="Arial"/>
          <w:b/>
          <w:i/>
          <w:color w:val="010101"/>
          <w:spacing w:val="-65"/>
          <w:w w:val="120"/>
          <w:sz w:val="31"/>
        </w:rPr>
        <w:t> </w:t>
      </w:r>
      <w:r>
        <w:rPr>
          <w:rFonts w:ascii="Arial" w:hAnsi="Arial"/>
          <w:color w:val="010101"/>
          <w:sz w:val="31"/>
        </w:rPr>
        <w:t>[(</w:t>
      </w:r>
      <w:r>
        <w:rPr>
          <w:rFonts w:ascii="Arial" w:hAnsi="Arial"/>
          <w:color w:val="010101"/>
          <w:spacing w:val="-65"/>
          <w:sz w:val="31"/>
        </w:rPr>
        <w:t> </w:t>
      </w:r>
      <w:r>
        <w:rPr>
          <w:rFonts w:ascii="Arial" w:hAnsi="Arial"/>
          <w:b/>
          <w:color w:val="010101"/>
          <w:w w:val="120"/>
          <w:sz w:val="18"/>
        </w:rPr>
        <w:t>1 </w:t>
      </w:r>
      <w:r>
        <w:rPr>
          <w:rFonts w:ascii="Arial" w:hAnsi="Arial"/>
          <w:color w:val="010101"/>
          <w:w w:val="120"/>
          <w:sz w:val="31"/>
        </w:rPr>
        <w:t>+ </w:t>
      </w:r>
      <w:r>
        <w:rPr>
          <w:rFonts w:ascii="Arial" w:hAnsi="Arial"/>
          <w:color w:val="313131"/>
          <w:w w:val="120"/>
          <w:position w:val="14"/>
          <w:sz w:val="8"/>
        </w:rPr>
        <w:t>•  </w:t>
      </w:r>
      <w:r>
        <w:rPr>
          <w:rFonts w:ascii="Arial" w:hAnsi="Arial"/>
          <w:b/>
          <w:i/>
          <w:color w:val="010101"/>
          <w:w w:val="120"/>
          <w:position w:val="14"/>
          <w:sz w:val="10"/>
        </w:rPr>
        <w:t>t</w:t>
      </w:r>
    </w:p>
    <w:p>
      <w:pPr>
        <w:spacing w:after="0" w:line="237" w:lineRule="exact"/>
        <w:jc w:val="left"/>
        <w:rPr>
          <w:rFonts w:ascii="Arial" w:hAnsi="Arial"/>
          <w:sz w:val="10"/>
        </w:rPr>
        <w:sectPr>
          <w:type w:val="continuous"/>
          <w:pgSz w:w="7200" w:h="11340"/>
          <w:pgMar w:top="1100" w:bottom="0" w:left="680" w:right="520"/>
          <w:cols w:num="3" w:equalWidth="0">
            <w:col w:w="1951" w:space="40"/>
            <w:col w:w="1230" w:space="40"/>
            <w:col w:w="2739"/>
          </w:cols>
        </w:sectPr>
      </w:pPr>
    </w:p>
    <w:p>
      <w:pPr>
        <w:tabs>
          <w:tab w:pos="1380" w:val="left" w:leader="none"/>
          <w:tab w:pos="1814" w:val="left" w:leader="none"/>
          <w:tab w:pos="3034" w:val="left" w:leader="none"/>
        </w:tabs>
        <w:spacing w:line="174" w:lineRule="exact" w:before="0"/>
        <w:ind w:left="823" w:right="0" w:firstLine="0"/>
        <w:jc w:val="left"/>
        <w:rPr>
          <w:b/>
          <w:sz w:val="16"/>
        </w:rPr>
      </w:pPr>
      <w:r>
        <w:rPr/>
        <w:pict>
          <v:line style="position:absolute;mso-position-horizontal-relative:page;mso-position-vertical-relative:paragraph;z-index:-727912" from="66.75972pt,3.693727pt" to="101.0369pt,3.693727pt" stroked="true" strokeweight="4.845464pt" strokecolor="#000000">
            <w10:wrap type="none"/>
          </v:line>
        </w:pict>
      </w:r>
      <w:r>
        <w:rPr>
          <w:b/>
          <w:i/>
          <w:color w:val="010101"/>
          <w:w w:val="105"/>
          <w:sz w:val="17"/>
        </w:rPr>
        <w:t>z </w:t>
      </w:r>
      <w:r>
        <w:rPr>
          <w:b/>
          <w:i/>
          <w:color w:val="010101"/>
          <w:spacing w:val="9"/>
          <w:w w:val="105"/>
          <w:sz w:val="17"/>
        </w:rPr>
        <w:t> </w:t>
      </w:r>
      <w:r>
        <w:rPr>
          <w:color w:val="010101"/>
          <w:w w:val="310"/>
          <w:sz w:val="17"/>
        </w:rPr>
        <w:t>-</w:t>
        <w:tab/>
      </w:r>
      <w:r>
        <w:rPr>
          <w:b/>
          <w:i/>
          <w:color w:val="010101"/>
          <w:sz w:val="17"/>
        </w:rPr>
        <w:t>z+n</w:t>
        <w:tab/>
      </w:r>
      <w:r>
        <w:rPr>
          <w:b/>
          <w:color w:val="010101"/>
          <w:w w:val="105"/>
          <w:sz w:val="16"/>
        </w:rPr>
        <w:t>t-1</w:t>
        <w:tab/>
      </w:r>
      <w:r>
        <w:rPr>
          <w:b/>
          <w:color w:val="010101"/>
          <w:sz w:val="16"/>
        </w:rPr>
        <w:t>SnJ</w:t>
      </w:r>
      <w:r>
        <w:rPr>
          <w:b/>
          <w:color w:val="010101"/>
          <w:spacing w:val="6"/>
          <w:sz w:val="16"/>
        </w:rPr>
        <w:t> </w:t>
      </w:r>
      <w:r>
        <w:rPr>
          <w:b/>
          <w:color w:val="010101"/>
          <w:w w:val="105"/>
          <w:sz w:val="16"/>
        </w:rPr>
        <w:t>s-1</w:t>
      </w:r>
    </w:p>
    <w:p>
      <w:pPr>
        <w:spacing w:before="144"/>
        <w:ind w:left="131" w:right="0" w:firstLine="0"/>
        <w:jc w:val="left"/>
        <w:rPr>
          <w:sz w:val="21"/>
        </w:rPr>
      </w:pPr>
      <w:r>
        <w:rPr>
          <w:color w:val="010101"/>
          <w:sz w:val="21"/>
        </w:rPr>
        <w:t>Now, performing  the summations and  noting  that</w:t>
      </w:r>
    </w:p>
    <w:p>
      <w:pPr>
        <w:spacing w:after="0"/>
        <w:jc w:val="left"/>
        <w:rPr>
          <w:sz w:val="21"/>
        </w:rPr>
        <w:sectPr>
          <w:type w:val="continuous"/>
          <w:pgSz w:w="7200" w:h="11340"/>
          <w:pgMar w:top="1100" w:bottom="0" w:left="680" w:right="520"/>
        </w:sectPr>
      </w:pPr>
    </w:p>
    <w:p>
      <w:pPr>
        <w:spacing w:line="250" w:lineRule="exact" w:before="152"/>
        <w:ind w:left="210" w:right="0" w:firstLine="0"/>
        <w:jc w:val="left"/>
        <w:rPr>
          <w:rFonts w:ascii="Arial"/>
          <w:sz w:val="23"/>
        </w:rPr>
      </w:pPr>
      <w:r>
        <w:rPr/>
        <w:pict>
          <v:shape style="position:absolute;margin-left:40.917252pt;margin-top:11.222046pt;width:3.5pt;height:16.5pt;mso-position-horizontal-relative:page;mso-position-vertical-relative:paragraph;z-index:-727792" type="#_x0000_t202" filled="false" stroked="false">
            <v:textbox inset="0,0,0,0">
              <w:txbxContent>
                <w:p>
                  <w:pPr>
                    <w:spacing w:line="330" w:lineRule="exact" w:before="0"/>
                    <w:ind w:left="0" w:right="0" w:firstLine="0"/>
                    <w:jc w:val="left"/>
                    <w:rPr>
                      <w:b/>
                      <w:i/>
                      <w:sz w:val="33"/>
                    </w:rPr>
                  </w:pPr>
                  <w:r>
                    <w:rPr>
                      <w:b/>
                      <w:i/>
                      <w:color w:val="010101"/>
                      <w:spacing w:val="-137"/>
                      <w:w w:val="101"/>
                      <w:sz w:val="33"/>
                    </w:rPr>
                    <w:t>L</w:t>
                  </w:r>
                </w:p>
              </w:txbxContent>
            </v:textbox>
            <w10:wrap type="none"/>
          </v:shape>
        </w:pict>
      </w:r>
      <w:r>
        <w:rPr>
          <w:rFonts w:ascii="Arial"/>
          <w:color w:val="010101"/>
          <w:w w:val="98"/>
          <w:sz w:val="23"/>
        </w:rPr>
        <w:t>"</w:t>
      </w:r>
    </w:p>
    <w:p>
      <w:pPr>
        <w:spacing w:line="261" w:lineRule="exact" w:before="0"/>
        <w:ind w:left="134" w:right="-17" w:firstLine="0"/>
        <w:jc w:val="left"/>
        <w:rPr>
          <w:rFonts w:ascii="Arial"/>
          <w:b/>
          <w:sz w:val="24"/>
        </w:rPr>
      </w:pPr>
      <w:r>
        <w:rPr>
          <w:rFonts w:ascii="Arial"/>
          <w:b/>
          <w:color w:val="010101"/>
          <w:w w:val="90"/>
          <w:sz w:val="24"/>
        </w:rPr>
        <w:t>,-1</w:t>
      </w:r>
    </w:p>
    <w:p>
      <w:pPr>
        <w:spacing w:before="199"/>
        <w:ind w:left="6" w:right="-16" w:firstLine="0"/>
        <w:jc w:val="left"/>
        <w:rPr>
          <w:b/>
          <w:i/>
          <w:sz w:val="19"/>
        </w:rPr>
      </w:pPr>
      <w:r>
        <w:rPr/>
        <w:br w:type="column"/>
      </w:r>
      <w:r>
        <w:rPr>
          <w:b/>
          <w:color w:val="010101"/>
          <w:w w:val="110"/>
          <w:sz w:val="20"/>
        </w:rPr>
        <w:t>(l </w:t>
      </w:r>
      <w:r>
        <w:rPr>
          <w:rFonts w:ascii="Arial"/>
          <w:color w:val="010101"/>
          <w:w w:val="105"/>
          <w:sz w:val="31"/>
        </w:rPr>
        <w:t>+ </w:t>
      </w:r>
      <w:r>
        <w:rPr>
          <w:b/>
          <w:i/>
          <w:color w:val="010101"/>
          <w:w w:val="110"/>
          <w:sz w:val="19"/>
        </w:rPr>
        <w:t>i </w:t>
      </w:r>
      <w:r>
        <w:rPr>
          <w:b/>
          <w:i/>
          <w:color w:val="010101"/>
          <w:w w:val="105"/>
          <w:sz w:val="19"/>
        </w:rPr>
        <w:t>f Cz+t-1</w:t>
      </w:r>
    </w:p>
    <w:p>
      <w:pPr>
        <w:spacing w:line="325" w:lineRule="exact" w:before="149"/>
        <w:ind w:left="134" w:right="0" w:firstLine="0"/>
        <w:jc w:val="left"/>
        <w:rPr>
          <w:sz w:val="17"/>
        </w:rPr>
      </w:pPr>
      <w:r>
        <w:rPr/>
        <w:br w:type="column"/>
      </w:r>
      <w:r>
        <w:rPr>
          <w:rFonts w:ascii="Arial"/>
          <w:color w:val="010101"/>
          <w:spacing w:val="-82"/>
          <w:w w:val="177"/>
          <w:sz w:val="31"/>
        </w:rPr>
        <w:t>I</w:t>
      </w:r>
      <w:r>
        <w:rPr>
          <w:rFonts w:ascii="Arial"/>
          <w:color w:val="010101"/>
          <w:spacing w:val="-5"/>
          <w:w w:val="109"/>
          <w:position w:val="12"/>
          <w:sz w:val="22"/>
        </w:rPr>
        <w:t>"</w:t>
      </w:r>
      <w:r>
        <w:rPr>
          <w:rFonts w:ascii="Arial"/>
          <w:color w:val="010101"/>
          <w:spacing w:val="-23"/>
          <w:w w:val="177"/>
          <w:sz w:val="31"/>
        </w:rPr>
        <w:t>:</w:t>
      </w:r>
      <w:r>
        <w:rPr>
          <w:i/>
          <w:color w:val="010101"/>
          <w:w w:val="84"/>
          <w:sz w:val="20"/>
        </w:rPr>
        <w:t>vrd</w:t>
      </w:r>
      <w:r>
        <w:rPr>
          <w:i/>
          <w:color w:val="010101"/>
          <w:spacing w:val="-33"/>
          <w:sz w:val="20"/>
        </w:rPr>
        <w:t> </w:t>
      </w:r>
      <w:r>
        <w:rPr>
          <w:i/>
          <w:color w:val="010101"/>
          <w:w w:val="83"/>
          <w:sz w:val="20"/>
        </w:rPr>
        <w:t>z+t-1</w:t>
      </w:r>
      <w:r>
        <w:rPr>
          <w:i/>
          <w:color w:val="010101"/>
          <w:sz w:val="20"/>
        </w:rPr>
        <w:t> </w:t>
      </w:r>
      <w:r>
        <w:rPr>
          <w:i/>
          <w:color w:val="010101"/>
          <w:spacing w:val="8"/>
          <w:sz w:val="20"/>
        </w:rPr>
        <w:t> </w:t>
      </w:r>
      <w:r>
        <w:rPr>
          <w:color w:val="010101"/>
          <w:w w:val="94"/>
          <w:sz w:val="26"/>
        </w:rPr>
        <w:t>=</w:t>
      </w:r>
      <w:r>
        <w:rPr>
          <w:color w:val="010101"/>
          <w:spacing w:val="25"/>
          <w:sz w:val="26"/>
        </w:rPr>
        <w:t> </w:t>
      </w:r>
      <w:r>
        <w:rPr>
          <w:i/>
          <w:color w:val="010101"/>
          <w:w w:val="103"/>
          <w:sz w:val="20"/>
        </w:rPr>
        <w:t>vruz</w:t>
      </w:r>
      <w:r>
        <w:rPr>
          <w:i/>
          <w:color w:val="010101"/>
          <w:sz w:val="20"/>
        </w:rPr>
        <w:t> </w:t>
      </w:r>
      <w:r>
        <w:rPr>
          <w:i/>
          <w:color w:val="010101"/>
          <w:spacing w:val="-10"/>
          <w:sz w:val="20"/>
        </w:rPr>
        <w:t> </w:t>
      </w:r>
      <w:r>
        <w:rPr>
          <w:color w:val="010101"/>
          <w:w w:val="267"/>
          <w:sz w:val="20"/>
        </w:rPr>
        <w:t>-</w:t>
      </w:r>
      <w:r>
        <w:rPr>
          <w:color w:val="010101"/>
          <w:spacing w:val="-10"/>
          <w:sz w:val="20"/>
        </w:rPr>
        <w:t> </w:t>
      </w:r>
      <w:r>
        <w:rPr>
          <w:color w:val="010101"/>
          <w:w w:val="86"/>
          <w:sz w:val="17"/>
        </w:rPr>
        <w:t>zz+n</w:t>
      </w:r>
      <w:r>
        <w:rPr>
          <w:color w:val="010101"/>
          <w:spacing w:val="-1"/>
          <w:sz w:val="17"/>
        </w:rPr>
        <w:t> </w:t>
      </w:r>
      <w:r>
        <w:rPr>
          <w:color w:val="010101"/>
          <w:w w:val="106"/>
          <w:sz w:val="17"/>
        </w:rPr>
        <w:t>)</w:t>
      </w:r>
    </w:p>
    <w:p>
      <w:pPr>
        <w:spacing w:line="175" w:lineRule="exact" w:before="0"/>
        <w:ind w:left="145" w:right="0" w:firstLine="0"/>
        <w:jc w:val="left"/>
        <w:rPr>
          <w:rFonts w:ascii="Arial"/>
          <w:b/>
          <w:sz w:val="21"/>
        </w:rPr>
      </w:pPr>
      <w:r>
        <w:rPr>
          <w:rFonts w:ascii="Arial"/>
          <w:b/>
          <w:color w:val="010101"/>
          <w:w w:val="105"/>
          <w:sz w:val="21"/>
        </w:rPr>
        <w:t>,-1</w:t>
      </w:r>
    </w:p>
    <w:p>
      <w:pPr>
        <w:spacing w:after="0" w:line="175" w:lineRule="exact"/>
        <w:jc w:val="left"/>
        <w:rPr>
          <w:rFonts w:ascii="Arial"/>
          <w:sz w:val="21"/>
        </w:rPr>
        <w:sectPr>
          <w:type w:val="continuous"/>
          <w:pgSz w:w="7200" w:h="11340"/>
          <w:pgMar w:top="1100" w:bottom="0" w:left="680" w:right="520"/>
          <w:cols w:num="3" w:equalWidth="0">
            <w:col w:w="390" w:space="40"/>
            <w:col w:w="1253" w:space="213"/>
            <w:col w:w="4104"/>
          </w:cols>
        </w:sectPr>
      </w:pPr>
    </w:p>
    <w:p>
      <w:pPr>
        <w:pStyle w:val="BodyText"/>
        <w:spacing w:before="3"/>
        <w:rPr>
          <w:rFonts w:ascii="Arial"/>
          <w:b/>
          <w:sz w:val="14"/>
        </w:rPr>
      </w:pPr>
    </w:p>
    <w:p>
      <w:pPr>
        <w:pStyle w:val="BodyText"/>
        <w:spacing w:line="216" w:lineRule="exact"/>
        <w:ind w:left="3784"/>
        <w:rPr>
          <w:rFonts w:ascii="Arial"/>
        </w:rPr>
      </w:pPr>
      <w:r>
        <w:rPr>
          <w:rFonts w:ascii="Arial"/>
          <w:position w:val="-3"/>
        </w:rPr>
        <w:drawing>
          <wp:inline distT="0" distB="0" distL="0" distR="0">
            <wp:extent cx="1325879" cy="137160"/>
            <wp:effectExtent l="0" t="0" r="0" b="0"/>
            <wp:docPr id="221" name="image115.png" descr=""/>
            <wp:cNvGraphicFramePr>
              <a:graphicFrameLocks noChangeAspect="1"/>
            </wp:cNvGraphicFramePr>
            <a:graphic>
              <a:graphicData uri="http://schemas.openxmlformats.org/drawingml/2006/picture">
                <pic:pic>
                  <pic:nvPicPr>
                    <pic:cNvPr id="222" name="image115.png"/>
                    <pic:cNvPicPr/>
                  </pic:nvPicPr>
                  <pic:blipFill>
                    <a:blip r:embed="rId119" cstate="print"/>
                    <a:stretch>
                      <a:fillRect/>
                    </a:stretch>
                  </pic:blipFill>
                  <pic:spPr>
                    <a:xfrm>
                      <a:off x="0" y="0"/>
                      <a:ext cx="1325879" cy="137160"/>
                    </a:xfrm>
                    <a:prstGeom prst="rect">
                      <a:avLst/>
                    </a:prstGeom>
                  </pic:spPr>
                </pic:pic>
              </a:graphicData>
            </a:graphic>
          </wp:inline>
        </w:drawing>
      </w:r>
      <w:r>
        <w:rPr>
          <w:rFonts w:ascii="Arial"/>
          <w:position w:val="-3"/>
        </w:rPr>
      </w:r>
    </w:p>
    <w:p>
      <w:pPr>
        <w:spacing w:before="149"/>
        <w:ind w:left="123" w:right="0" w:firstLine="0"/>
        <w:jc w:val="both"/>
        <w:rPr>
          <w:sz w:val="21"/>
        </w:rPr>
      </w:pPr>
      <w:r>
        <w:rPr>
          <w:color w:val="010101"/>
          <w:sz w:val="21"/>
        </w:rPr>
        <w:t>we obtain</w:t>
      </w:r>
    </w:p>
    <w:p>
      <w:pPr>
        <w:tabs>
          <w:tab w:pos="2383" w:val="left" w:leader="none"/>
        </w:tabs>
        <w:spacing w:line="353" w:lineRule="exact" w:before="84"/>
        <w:ind w:left="0" w:right="18" w:firstLine="0"/>
        <w:jc w:val="center"/>
        <w:rPr>
          <w:b/>
          <w:i/>
          <w:sz w:val="21"/>
        </w:rPr>
      </w:pPr>
      <w:r>
        <w:rPr>
          <w:b/>
          <w:i/>
          <w:color w:val="010101"/>
          <w:w w:val="115"/>
          <w:sz w:val="21"/>
        </w:rPr>
        <w:t>p </w:t>
      </w:r>
      <w:r>
        <w:rPr>
          <w:color w:val="010101"/>
          <w:w w:val="90"/>
          <w:sz w:val="26"/>
        </w:rPr>
        <w:t>= </w:t>
      </w:r>
      <w:r>
        <w:rPr>
          <w:b/>
          <w:i/>
          <w:color w:val="010101"/>
          <w:w w:val="90"/>
          <w:sz w:val="21"/>
        </w:rPr>
        <w:t>M z  </w:t>
      </w:r>
      <w:r>
        <w:rPr>
          <w:color w:val="010101"/>
          <w:w w:val="240"/>
          <w:sz w:val="21"/>
        </w:rPr>
        <w:t>- </w:t>
      </w:r>
      <w:r>
        <w:rPr>
          <w:b/>
          <w:i/>
          <w:color w:val="010101"/>
          <w:w w:val="90"/>
          <w:sz w:val="21"/>
        </w:rPr>
        <w:t>M z+n  </w:t>
      </w:r>
      <w:r>
        <w:rPr>
          <w:color w:val="010101"/>
          <w:w w:val="115"/>
          <w:sz w:val="21"/>
        </w:rPr>
        <w:t>_</w:t>
      </w:r>
      <w:r>
        <w:rPr>
          <w:color w:val="010101"/>
          <w:spacing w:val="5"/>
          <w:w w:val="115"/>
          <w:sz w:val="21"/>
        </w:rPr>
        <w:t> </w:t>
      </w:r>
      <w:r>
        <w:rPr>
          <w:b/>
          <w:i/>
          <w:color w:val="010101"/>
          <w:w w:val="90"/>
          <w:sz w:val="21"/>
          <w:u w:val="single" w:color="000000"/>
        </w:rPr>
        <w:t>Dz</w:t>
      </w:r>
      <w:r>
        <w:rPr>
          <w:b/>
          <w:i/>
          <w:color w:val="010101"/>
          <w:spacing w:val="44"/>
          <w:w w:val="90"/>
          <w:sz w:val="21"/>
          <w:u w:val="single" w:color="000000"/>
        </w:rPr>
        <w:t> </w:t>
      </w:r>
      <w:r>
        <w:rPr>
          <w:color w:val="010101"/>
          <w:w w:val="240"/>
          <w:sz w:val="21"/>
          <w:u w:val="single" w:color="000000"/>
        </w:rPr>
        <w:t>-</w:t>
      </w:r>
      <w:r>
        <w:rPr>
          <w:color w:val="010101"/>
          <w:w w:val="240"/>
          <w:sz w:val="21"/>
        </w:rPr>
        <w:tab/>
      </w:r>
      <w:r>
        <w:rPr>
          <w:b/>
          <w:color w:val="010101"/>
          <w:w w:val="90"/>
          <w:sz w:val="20"/>
          <w:u w:val="single" w:color="000000"/>
        </w:rPr>
        <w:t>(</w:t>
      </w:r>
      <w:r>
        <w:rPr>
          <w:b/>
          <w:color w:val="010101"/>
          <w:spacing w:val="-22"/>
          <w:w w:val="90"/>
          <w:sz w:val="20"/>
          <w:u w:val="single" w:color="000000"/>
        </w:rPr>
        <w:t> </w:t>
      </w:r>
      <w:r>
        <w:rPr>
          <w:b/>
          <w:color w:val="010101"/>
          <w:w w:val="90"/>
          <w:sz w:val="20"/>
          <w:u w:val="single" w:color="000000"/>
        </w:rPr>
        <w:t>1</w:t>
      </w:r>
      <w:r>
        <w:rPr>
          <w:b/>
          <w:color w:val="010101"/>
          <w:spacing w:val="11"/>
          <w:w w:val="90"/>
          <w:sz w:val="20"/>
          <w:u w:val="single" w:color="000000"/>
        </w:rPr>
        <w:t> </w:t>
      </w:r>
      <w:r>
        <w:rPr>
          <w:rFonts w:ascii="Arial"/>
          <w:color w:val="010101"/>
          <w:w w:val="115"/>
          <w:sz w:val="31"/>
          <w:u w:val="single" w:color="000000"/>
        </w:rPr>
        <w:t>+</w:t>
      </w:r>
      <w:r>
        <w:rPr>
          <w:rFonts w:ascii="Arial"/>
          <w:color w:val="010101"/>
          <w:spacing w:val="-52"/>
          <w:w w:val="115"/>
          <w:sz w:val="31"/>
          <w:u w:val="single" w:color="000000"/>
        </w:rPr>
        <w:t> </w:t>
      </w:r>
      <w:r>
        <w:rPr>
          <w:b/>
          <w:i/>
          <w:color w:val="010101"/>
          <w:w w:val="115"/>
          <w:sz w:val="21"/>
          <w:u w:val="single" w:color="000000"/>
        </w:rPr>
        <w:t>i</w:t>
      </w:r>
      <w:r>
        <w:rPr>
          <w:b/>
          <w:i/>
          <w:color w:val="010101"/>
          <w:spacing w:val="-37"/>
          <w:w w:val="115"/>
          <w:sz w:val="21"/>
          <w:u w:val="single" w:color="000000"/>
        </w:rPr>
        <w:t> </w:t>
      </w:r>
      <w:r>
        <w:rPr>
          <w:b/>
          <w:i/>
          <w:color w:val="010101"/>
          <w:w w:val="90"/>
          <w:sz w:val="21"/>
          <w:u w:val="single" w:color="000000"/>
        </w:rPr>
        <w:t>)"Dz+n </w:t>
      </w:r>
      <w:r>
        <w:rPr>
          <w:b/>
          <w:i/>
          <w:color w:val="010101"/>
          <w:spacing w:val="9"/>
          <w:w w:val="90"/>
          <w:sz w:val="21"/>
          <w:u w:val="single" w:color="000000"/>
        </w:rPr>
        <w:t> </w:t>
      </w:r>
      <w:r>
        <w:rPr>
          <w:color w:val="010101"/>
          <w:w w:val="240"/>
          <w:sz w:val="21"/>
          <w:u w:val="single" w:color="000000"/>
        </w:rPr>
        <w:t>-</w:t>
      </w:r>
      <w:r>
        <w:rPr>
          <w:color w:val="010101"/>
          <w:spacing w:val="22"/>
          <w:w w:val="240"/>
          <w:sz w:val="21"/>
          <w:u w:val="single" w:color="000000"/>
        </w:rPr>
        <w:t> </w:t>
      </w:r>
      <w:r>
        <w:rPr>
          <w:b/>
          <w:i/>
          <w:color w:val="010101"/>
          <w:w w:val="90"/>
          <w:sz w:val="21"/>
          <w:u w:val="single" w:color="000000"/>
        </w:rPr>
        <w:t>(</w:t>
      </w:r>
      <w:r>
        <w:rPr>
          <w:b/>
          <w:i/>
          <w:color w:val="010101"/>
          <w:spacing w:val="-13"/>
          <w:w w:val="90"/>
          <w:sz w:val="21"/>
          <w:u w:val="single" w:color="000000"/>
        </w:rPr>
        <w:t> </w:t>
      </w:r>
      <w:r>
        <w:rPr>
          <w:b/>
          <w:i/>
          <w:color w:val="010101"/>
          <w:w w:val="90"/>
          <w:sz w:val="21"/>
          <w:u w:val="single" w:color="000000"/>
        </w:rPr>
        <w:t>M</w:t>
      </w:r>
      <w:r>
        <w:rPr>
          <w:b/>
          <w:i/>
          <w:color w:val="010101"/>
          <w:spacing w:val="-25"/>
          <w:w w:val="90"/>
          <w:sz w:val="21"/>
          <w:u w:val="single" w:color="000000"/>
        </w:rPr>
        <w:t> </w:t>
      </w:r>
      <w:r>
        <w:rPr>
          <w:b/>
          <w:i/>
          <w:color w:val="010101"/>
          <w:w w:val="90"/>
          <w:sz w:val="21"/>
          <w:u w:val="single" w:color="000000"/>
        </w:rPr>
        <w:t>z</w:t>
      </w:r>
      <w:r>
        <w:rPr>
          <w:b/>
          <w:i/>
          <w:color w:val="010101"/>
          <w:spacing w:val="33"/>
          <w:w w:val="90"/>
          <w:sz w:val="21"/>
          <w:u w:val="single" w:color="000000"/>
        </w:rPr>
        <w:t> </w:t>
      </w:r>
      <w:r>
        <w:rPr>
          <w:color w:val="010101"/>
          <w:w w:val="240"/>
          <w:sz w:val="21"/>
          <w:u w:val="single" w:color="000000"/>
        </w:rPr>
        <w:t>- </w:t>
      </w:r>
      <w:r>
        <w:rPr>
          <w:b/>
          <w:i/>
          <w:color w:val="010101"/>
          <w:w w:val="90"/>
          <w:sz w:val="21"/>
          <w:u w:val="single" w:color="000000"/>
        </w:rPr>
        <w:t>M</w:t>
      </w:r>
      <w:r>
        <w:rPr>
          <w:b/>
          <w:i/>
          <w:color w:val="010101"/>
          <w:spacing w:val="-25"/>
          <w:w w:val="90"/>
          <w:sz w:val="21"/>
          <w:u w:val="single" w:color="000000"/>
        </w:rPr>
        <w:t> </w:t>
      </w:r>
      <w:r>
        <w:rPr>
          <w:b/>
          <w:i/>
          <w:color w:val="010101"/>
          <w:w w:val="90"/>
          <w:sz w:val="21"/>
          <w:u w:val="single" w:color="000000"/>
        </w:rPr>
        <w:t>z+n</w:t>
      </w:r>
      <w:r>
        <w:rPr>
          <w:b/>
          <w:i/>
          <w:color w:val="010101"/>
          <w:spacing w:val="-24"/>
          <w:w w:val="90"/>
          <w:sz w:val="21"/>
          <w:u w:val="single" w:color="000000"/>
        </w:rPr>
        <w:t> </w:t>
      </w:r>
      <w:r>
        <w:rPr>
          <w:b/>
          <w:i/>
          <w:color w:val="010101"/>
          <w:w w:val="90"/>
          <w:sz w:val="21"/>
        </w:rPr>
        <w:t>)</w:t>
      </w:r>
      <w:r>
        <w:rPr>
          <w:b/>
          <w:i/>
          <w:color w:val="010101"/>
          <w:spacing w:val="18"/>
          <w:w w:val="90"/>
          <w:sz w:val="21"/>
        </w:rPr>
        <w:t> </w:t>
      </w:r>
      <w:r>
        <w:rPr>
          <w:b/>
          <w:i/>
          <w:color w:val="010101"/>
          <w:w w:val="90"/>
          <w:sz w:val="21"/>
        </w:rPr>
        <w:t>.</w:t>
      </w:r>
    </w:p>
    <w:p>
      <w:pPr>
        <w:tabs>
          <w:tab w:pos="3124" w:val="left" w:leader="none"/>
        </w:tabs>
        <w:spacing w:line="226" w:lineRule="exact" w:before="0"/>
        <w:ind w:left="870" w:right="0" w:firstLine="0"/>
        <w:jc w:val="left"/>
        <w:rPr>
          <w:b/>
          <w:i/>
          <w:sz w:val="17"/>
        </w:rPr>
      </w:pPr>
      <w:r>
        <w:rPr>
          <w:i/>
          <w:color w:val="010101"/>
          <w:w w:val="120"/>
          <w:sz w:val="20"/>
        </w:rPr>
        <w:t>N</w:t>
      </w:r>
      <w:r>
        <w:rPr>
          <w:i/>
          <w:color w:val="010101"/>
          <w:spacing w:val="-38"/>
          <w:w w:val="120"/>
          <w:sz w:val="20"/>
        </w:rPr>
        <w:t> </w:t>
      </w:r>
      <w:r>
        <w:rPr>
          <w:i/>
          <w:color w:val="010101"/>
          <w:sz w:val="20"/>
        </w:rPr>
        <w:t>z</w:t>
      </w:r>
      <w:r>
        <w:rPr>
          <w:i/>
          <w:color w:val="010101"/>
          <w:spacing w:val="6"/>
          <w:sz w:val="20"/>
        </w:rPr>
        <w:t> </w:t>
      </w:r>
      <w:r>
        <w:rPr>
          <w:color w:val="010101"/>
          <w:w w:val="255"/>
          <w:sz w:val="20"/>
        </w:rPr>
        <w:t>-</w:t>
      </w:r>
      <w:r>
        <w:rPr>
          <w:color w:val="010101"/>
          <w:spacing w:val="-103"/>
          <w:w w:val="255"/>
          <w:sz w:val="20"/>
        </w:rPr>
        <w:t> </w:t>
      </w:r>
      <w:r>
        <w:rPr>
          <w:i/>
          <w:color w:val="010101"/>
          <w:w w:val="120"/>
          <w:sz w:val="20"/>
        </w:rPr>
        <w:t>N</w:t>
      </w:r>
      <w:r>
        <w:rPr>
          <w:i/>
          <w:color w:val="010101"/>
          <w:spacing w:val="-39"/>
          <w:w w:val="120"/>
          <w:sz w:val="20"/>
        </w:rPr>
        <w:t> </w:t>
      </w:r>
      <w:r>
        <w:rPr>
          <w:i/>
          <w:color w:val="010101"/>
          <w:sz w:val="20"/>
        </w:rPr>
        <w:t>z+n</w:t>
        <w:tab/>
        <w:t>dsn1(</w:t>
      </w:r>
      <w:r>
        <w:rPr>
          <w:i/>
          <w:color w:val="010101"/>
          <w:spacing w:val="-41"/>
          <w:sz w:val="20"/>
        </w:rPr>
        <w:t> </w:t>
      </w:r>
      <w:r>
        <w:rPr>
          <w:i/>
          <w:color w:val="010101"/>
          <w:w w:val="120"/>
          <w:sz w:val="20"/>
        </w:rPr>
        <w:t>N</w:t>
      </w:r>
      <w:r>
        <w:rPr>
          <w:i/>
          <w:color w:val="010101"/>
          <w:spacing w:val="-45"/>
          <w:w w:val="120"/>
          <w:sz w:val="20"/>
        </w:rPr>
        <w:t> </w:t>
      </w:r>
      <w:r>
        <w:rPr>
          <w:i/>
          <w:color w:val="010101"/>
          <w:sz w:val="20"/>
        </w:rPr>
        <w:t>z</w:t>
      </w:r>
      <w:r>
        <w:rPr>
          <w:i/>
          <w:color w:val="010101"/>
          <w:spacing w:val="-13"/>
          <w:sz w:val="20"/>
        </w:rPr>
        <w:t> </w:t>
      </w:r>
      <w:r>
        <w:rPr>
          <w:color w:val="010101"/>
          <w:w w:val="255"/>
          <w:sz w:val="20"/>
        </w:rPr>
        <w:t>-</w:t>
      </w:r>
      <w:r>
        <w:rPr>
          <w:color w:val="010101"/>
          <w:spacing w:val="-111"/>
          <w:w w:val="255"/>
          <w:sz w:val="20"/>
        </w:rPr>
        <w:t> </w:t>
      </w:r>
      <w:r>
        <w:rPr>
          <w:b/>
          <w:i/>
          <w:color w:val="010101"/>
          <w:w w:val="120"/>
          <w:sz w:val="17"/>
        </w:rPr>
        <w:t>N</w:t>
      </w:r>
      <w:r>
        <w:rPr>
          <w:b/>
          <w:i/>
          <w:color w:val="010101"/>
          <w:spacing w:val="-40"/>
          <w:w w:val="120"/>
          <w:sz w:val="17"/>
        </w:rPr>
        <w:t> </w:t>
      </w:r>
      <w:r>
        <w:rPr>
          <w:b/>
          <w:i/>
          <w:color w:val="010101"/>
          <w:spacing w:val="2"/>
          <w:sz w:val="17"/>
        </w:rPr>
        <w:t>z+n)</w:t>
      </w:r>
    </w:p>
    <w:p>
      <w:pPr>
        <w:spacing w:line="230" w:lineRule="exact" w:before="150"/>
        <w:ind w:left="123" w:right="159" w:firstLine="3"/>
        <w:jc w:val="both"/>
        <w:rPr>
          <w:sz w:val="21"/>
        </w:rPr>
      </w:pPr>
      <w:r>
        <w:rPr>
          <w:color w:val="010101"/>
          <w:w w:val="105"/>
          <w:sz w:val="21"/>
        </w:rPr>
        <w:t>Then, writing </w:t>
      </w:r>
      <w:r>
        <w:rPr>
          <w:i/>
          <w:color w:val="010101"/>
          <w:w w:val="105"/>
          <w:sz w:val="16"/>
        </w:rPr>
        <w:t>Dz </w:t>
      </w:r>
      <w:r>
        <w:rPr>
          <w:color w:val="010101"/>
          <w:w w:val="325"/>
          <w:sz w:val="16"/>
        </w:rPr>
        <w:t>- </w:t>
      </w:r>
      <w:r>
        <w:rPr>
          <w:i/>
          <w:color w:val="010101"/>
          <w:w w:val="105"/>
          <w:sz w:val="20"/>
        </w:rPr>
        <w:t>d N </w:t>
      </w:r>
      <w:r>
        <w:rPr>
          <w:color w:val="010101"/>
          <w:w w:val="115"/>
          <w:sz w:val="12"/>
        </w:rPr>
        <w:t>z </w:t>
      </w:r>
      <w:r>
        <w:rPr>
          <w:color w:val="010101"/>
          <w:w w:val="105"/>
          <w:sz w:val="21"/>
        </w:rPr>
        <w:t>for </w:t>
      </w:r>
      <w:r>
        <w:rPr>
          <w:rFonts w:ascii="Arial"/>
          <w:i/>
          <w:color w:val="010101"/>
          <w:w w:val="115"/>
          <w:sz w:val="19"/>
        </w:rPr>
        <w:t>llf </w:t>
      </w:r>
      <w:r>
        <w:rPr>
          <w:i/>
          <w:color w:val="010101"/>
          <w:w w:val="105"/>
          <w:sz w:val="16"/>
        </w:rPr>
        <w:t>z </w:t>
      </w:r>
      <w:r>
        <w:rPr>
          <w:color w:val="010101"/>
          <w:w w:val="115"/>
          <w:sz w:val="16"/>
        </w:rPr>
        <w:t>, </w:t>
      </w:r>
      <w:r>
        <w:rPr>
          <w:color w:val="010101"/>
          <w:w w:val="105"/>
          <w:sz w:val="21"/>
        </w:rPr>
        <w:t>and </w:t>
      </w:r>
      <w:r>
        <w:rPr>
          <w:i/>
          <w:color w:val="010101"/>
          <w:w w:val="105"/>
          <w:sz w:val="16"/>
        </w:rPr>
        <w:t>Dz+n </w:t>
      </w:r>
      <w:r>
        <w:rPr>
          <w:color w:val="010101"/>
          <w:w w:val="325"/>
          <w:sz w:val="16"/>
        </w:rPr>
        <w:t>- </w:t>
      </w:r>
      <w:r>
        <w:rPr>
          <w:i/>
          <w:color w:val="010101"/>
          <w:w w:val="105"/>
          <w:sz w:val="20"/>
        </w:rPr>
        <w:t>dN </w:t>
      </w:r>
      <w:r>
        <w:rPr>
          <w:color w:val="010101"/>
          <w:w w:val="105"/>
          <w:sz w:val="17"/>
        </w:rPr>
        <w:t>z+n </w:t>
      </w:r>
      <w:r>
        <w:rPr>
          <w:color w:val="010101"/>
          <w:w w:val="105"/>
          <w:sz w:val="21"/>
        </w:rPr>
        <w:t>for </w:t>
      </w:r>
      <w:r>
        <w:rPr>
          <w:i/>
          <w:color w:val="010101"/>
          <w:w w:val="115"/>
          <w:sz w:val="16"/>
        </w:rPr>
        <w:t>M </w:t>
      </w:r>
      <w:r>
        <w:rPr>
          <w:i/>
          <w:color w:val="010101"/>
          <w:w w:val="105"/>
          <w:sz w:val="16"/>
        </w:rPr>
        <w:t>z+n </w:t>
      </w:r>
      <w:r>
        <w:rPr>
          <w:color w:val="010101"/>
          <w:w w:val="105"/>
          <w:sz w:val="21"/>
        </w:rPr>
        <w:t>in the last term (from exercise 2(a) in Chapter 3) and rearranging, </w:t>
      </w:r>
      <w:r>
        <w:rPr>
          <w:color w:val="010101"/>
          <w:sz w:val="21"/>
        </w:rPr>
        <w:t>we have</w:t>
      </w:r>
    </w:p>
    <w:p>
      <w:pPr>
        <w:tabs>
          <w:tab w:pos="1205" w:val="left" w:leader="none"/>
        </w:tabs>
        <w:spacing w:line="416" w:lineRule="exact" w:before="73"/>
        <w:ind w:left="0" w:right="40" w:firstLine="0"/>
        <w:jc w:val="center"/>
        <w:rPr>
          <w:b/>
          <w:sz w:val="20"/>
        </w:rPr>
      </w:pPr>
      <w:r>
        <w:rPr/>
        <w:pict>
          <v:line style="position:absolute;mso-position-horizontal-relative:page;mso-position-vertical-relative:paragraph;z-index:-727888" from="226.660004pt,18.638241pt" to="229.890304pt,18.638241pt" stroked="true" strokeweight=".897308pt" strokecolor="#000000">
            <w10:wrap type="none"/>
          </v:line>
        </w:pict>
      </w:r>
      <w:r>
        <w:rPr>
          <w:i/>
          <w:color w:val="010101"/>
          <w:w w:val="120"/>
          <w:position w:val="-12"/>
          <w:sz w:val="20"/>
        </w:rPr>
        <w:t>P  </w:t>
      </w:r>
      <w:r>
        <w:rPr>
          <w:color w:val="010101"/>
          <w:w w:val="120"/>
          <w:position w:val="-12"/>
          <w:sz w:val="24"/>
        </w:rPr>
        <w:t>= </w:t>
      </w:r>
      <w:r>
        <w:rPr>
          <w:rFonts w:ascii="Arial" w:hAnsi="Arial"/>
          <w:color w:val="010101"/>
          <w:w w:val="130"/>
          <w:position w:val="-12"/>
          <w:sz w:val="17"/>
        </w:rPr>
        <w:t>P</w:t>
      </w:r>
      <w:r>
        <w:rPr>
          <w:rFonts w:ascii="Arial" w:hAnsi="Arial"/>
          <w:color w:val="010101"/>
          <w:spacing w:val="-22"/>
          <w:w w:val="130"/>
          <w:position w:val="-12"/>
          <w:sz w:val="17"/>
        </w:rPr>
        <w:t> </w:t>
      </w:r>
      <w:r>
        <w:rPr>
          <w:rFonts w:ascii="Arial" w:hAnsi="Arial"/>
          <w:color w:val="010101"/>
          <w:w w:val="90"/>
          <w:position w:val="-12"/>
          <w:sz w:val="17"/>
        </w:rPr>
        <w:t>:"ñl</w:t>
        <w:tab/>
      </w:r>
      <w:r>
        <w:rPr>
          <w:b/>
          <w:i/>
          <w:color w:val="010101"/>
          <w:w w:val="120"/>
          <w:sz w:val="21"/>
        </w:rPr>
        <w:t>d(</w:t>
      </w:r>
      <w:r>
        <w:rPr>
          <w:b/>
          <w:i/>
          <w:color w:val="010101"/>
          <w:spacing w:val="-48"/>
          <w:w w:val="120"/>
          <w:sz w:val="21"/>
        </w:rPr>
        <w:t> </w:t>
      </w:r>
      <w:r>
        <w:rPr>
          <w:b/>
          <w:i/>
          <w:color w:val="010101"/>
          <w:w w:val="90"/>
          <w:sz w:val="21"/>
        </w:rPr>
        <w:t>N</w:t>
      </w:r>
      <w:r>
        <w:rPr>
          <w:b/>
          <w:i/>
          <w:color w:val="010101"/>
          <w:spacing w:val="-25"/>
          <w:w w:val="90"/>
          <w:sz w:val="21"/>
        </w:rPr>
        <w:t> </w:t>
      </w:r>
      <w:r>
        <w:rPr>
          <w:b/>
          <w:i/>
          <w:color w:val="010101"/>
          <w:w w:val="90"/>
          <w:sz w:val="21"/>
        </w:rPr>
        <w:t>z</w:t>
      </w:r>
      <w:r>
        <w:rPr>
          <w:b/>
          <w:i/>
          <w:color w:val="010101"/>
          <w:spacing w:val="14"/>
          <w:w w:val="90"/>
          <w:sz w:val="21"/>
        </w:rPr>
        <w:t> </w:t>
      </w:r>
      <w:r>
        <w:rPr>
          <w:color w:val="010101"/>
          <w:w w:val="265"/>
          <w:sz w:val="21"/>
        </w:rPr>
        <w:t>-</w:t>
      </w:r>
      <w:r>
        <w:rPr>
          <w:color w:val="010101"/>
          <w:spacing w:val="-108"/>
          <w:w w:val="265"/>
          <w:sz w:val="21"/>
        </w:rPr>
        <w:t> </w:t>
      </w:r>
      <w:r>
        <w:rPr>
          <w:b/>
          <w:i/>
          <w:color w:val="010101"/>
          <w:w w:val="120"/>
          <w:sz w:val="19"/>
        </w:rPr>
        <w:t>N</w:t>
      </w:r>
      <w:r>
        <w:rPr>
          <w:b/>
          <w:i/>
          <w:color w:val="010101"/>
          <w:spacing w:val="-37"/>
          <w:w w:val="120"/>
          <w:sz w:val="19"/>
        </w:rPr>
        <w:t> </w:t>
      </w:r>
      <w:r>
        <w:rPr>
          <w:b/>
          <w:i/>
          <w:color w:val="010101"/>
          <w:w w:val="90"/>
          <w:sz w:val="19"/>
        </w:rPr>
        <w:t>z+11</w:t>
      </w:r>
      <w:r>
        <w:rPr>
          <w:b/>
          <w:i/>
          <w:color w:val="010101"/>
          <w:spacing w:val="-20"/>
          <w:w w:val="90"/>
          <w:sz w:val="19"/>
        </w:rPr>
        <w:t> </w:t>
      </w:r>
      <w:r>
        <w:rPr>
          <w:b/>
          <w:i/>
          <w:color w:val="010101"/>
          <w:w w:val="90"/>
          <w:sz w:val="19"/>
        </w:rPr>
        <w:t>)</w:t>
      </w:r>
      <w:r>
        <w:rPr>
          <w:b/>
          <w:i/>
          <w:color w:val="010101"/>
          <w:spacing w:val="38"/>
          <w:w w:val="90"/>
          <w:sz w:val="19"/>
        </w:rPr>
        <w:t> </w:t>
      </w:r>
      <w:r>
        <w:rPr>
          <w:color w:val="010101"/>
          <w:w w:val="265"/>
          <w:sz w:val="19"/>
        </w:rPr>
        <w:t>-</w:t>
      </w:r>
      <w:r>
        <w:rPr>
          <w:color w:val="010101"/>
          <w:spacing w:val="-94"/>
          <w:w w:val="265"/>
          <w:sz w:val="19"/>
        </w:rPr>
        <w:t> </w:t>
      </w:r>
      <w:r>
        <w:rPr>
          <w:b/>
          <w:color w:val="010101"/>
          <w:w w:val="90"/>
          <w:sz w:val="20"/>
        </w:rPr>
        <w:t>Dz+n</w:t>
      </w:r>
      <w:r>
        <w:rPr>
          <w:b/>
          <w:color w:val="010101"/>
          <w:spacing w:val="13"/>
          <w:w w:val="90"/>
          <w:sz w:val="20"/>
        </w:rPr>
        <w:t> </w:t>
      </w:r>
      <w:r>
        <w:rPr>
          <w:rFonts w:ascii="Arial" w:hAnsi="Arial"/>
          <w:color w:val="010101"/>
          <w:w w:val="130"/>
          <w:sz w:val="19"/>
        </w:rPr>
        <w:t>((1</w:t>
      </w:r>
      <w:r>
        <w:rPr>
          <w:rFonts w:ascii="Arial" w:hAnsi="Arial"/>
          <w:color w:val="010101"/>
          <w:spacing w:val="-35"/>
          <w:w w:val="130"/>
          <w:sz w:val="19"/>
        </w:rPr>
        <w:t> </w:t>
      </w:r>
      <w:r>
        <w:rPr>
          <w:rFonts w:ascii="Arial" w:hAnsi="Arial"/>
          <w:color w:val="010101"/>
          <w:w w:val="120"/>
          <w:sz w:val="31"/>
        </w:rPr>
        <w:t>+</w:t>
      </w:r>
      <w:r>
        <w:rPr>
          <w:rFonts w:ascii="Arial" w:hAnsi="Arial"/>
          <w:color w:val="010101"/>
          <w:spacing w:val="-69"/>
          <w:w w:val="120"/>
          <w:sz w:val="31"/>
        </w:rPr>
        <w:t> </w:t>
      </w:r>
      <w:r>
        <w:rPr>
          <w:color w:val="010101"/>
          <w:w w:val="130"/>
          <w:sz w:val="20"/>
        </w:rPr>
        <w:t>i)"</w:t>
      </w:r>
      <w:r>
        <w:rPr>
          <w:color w:val="010101"/>
          <w:spacing w:val="-13"/>
          <w:w w:val="130"/>
          <w:sz w:val="20"/>
        </w:rPr>
        <w:t> </w:t>
      </w:r>
      <w:r>
        <w:rPr>
          <w:b/>
          <w:color w:val="010101"/>
          <w:w w:val="130"/>
          <w:sz w:val="20"/>
        </w:rPr>
        <w:t>-1)</w:t>
      </w:r>
    </w:p>
    <w:p>
      <w:pPr>
        <w:spacing w:line="173" w:lineRule="exact" w:before="0"/>
        <w:ind w:left="2837" w:right="0" w:firstLine="0"/>
        <w:jc w:val="left"/>
        <w:rPr>
          <w:sz w:val="17"/>
        </w:rPr>
      </w:pPr>
      <w:r>
        <w:rPr>
          <w:i/>
          <w:color w:val="010101"/>
          <w:sz w:val="20"/>
        </w:rPr>
        <w:t>dsnJ </w:t>
      </w:r>
      <w:r>
        <w:rPr>
          <w:color w:val="010101"/>
          <w:w w:val="115"/>
          <w:sz w:val="19"/>
        </w:rPr>
        <w:t>(N</w:t>
      </w:r>
      <w:r>
        <w:rPr>
          <w:color w:val="010101"/>
          <w:w w:val="115"/>
          <w:sz w:val="17"/>
        </w:rPr>
        <w:t>z </w:t>
      </w:r>
      <w:r>
        <w:rPr>
          <w:color w:val="010101"/>
          <w:w w:val="310"/>
          <w:sz w:val="17"/>
        </w:rPr>
        <w:t>-</w:t>
      </w:r>
      <w:r>
        <w:rPr>
          <w:color w:val="010101"/>
          <w:spacing w:val="-95"/>
          <w:w w:val="310"/>
          <w:sz w:val="17"/>
        </w:rPr>
        <w:t> </w:t>
      </w:r>
      <w:r>
        <w:rPr>
          <w:i/>
          <w:color w:val="010101"/>
          <w:sz w:val="20"/>
        </w:rPr>
        <w:t>N </w:t>
      </w:r>
      <w:r>
        <w:rPr>
          <w:color w:val="010101"/>
          <w:sz w:val="17"/>
        </w:rPr>
        <w:t>z+n)</w:t>
      </w:r>
    </w:p>
    <w:p>
      <w:pPr>
        <w:spacing w:after="0" w:line="173" w:lineRule="exact"/>
        <w:jc w:val="left"/>
        <w:rPr>
          <w:sz w:val="17"/>
        </w:rPr>
        <w:sectPr>
          <w:type w:val="continuous"/>
          <w:pgSz w:w="7200" w:h="11340"/>
          <w:pgMar w:top="1100" w:bottom="0" w:left="680" w:right="520"/>
        </w:sectPr>
      </w:pPr>
    </w:p>
    <w:p>
      <w:pPr>
        <w:tabs>
          <w:tab w:pos="1945" w:val="left" w:leader="none"/>
          <w:tab w:pos="5364" w:val="left" w:leader="none"/>
        </w:tabs>
        <w:spacing w:before="43"/>
        <w:ind w:left="109" w:right="0" w:firstLine="0"/>
        <w:jc w:val="left"/>
        <w:rPr>
          <w:rFonts w:ascii="Arial"/>
          <w:b/>
          <w:sz w:val="19"/>
        </w:rPr>
      </w:pPr>
      <w:r>
        <w:rPr>
          <w:rFonts w:ascii="Courier New"/>
          <w:color w:val="010101"/>
          <w:spacing w:val="-26"/>
          <w:sz w:val="21"/>
        </w:rPr>
        <w:t>92</w:t>
        <w:tab/>
      </w:r>
      <w:r>
        <w:rPr>
          <w:b/>
          <w:color w:val="010101"/>
          <w:sz w:val="15"/>
        </w:rPr>
        <w:t>NET  </w:t>
      </w:r>
      <w:r>
        <w:rPr>
          <w:b/>
          <w:color w:val="010101"/>
          <w:spacing w:val="19"/>
          <w:sz w:val="15"/>
        </w:rPr>
        <w:t> </w:t>
      </w:r>
      <w:r>
        <w:rPr>
          <w:b/>
          <w:color w:val="010101"/>
          <w:sz w:val="15"/>
        </w:rPr>
        <w:t>ANNUAL   </w:t>
      </w:r>
      <w:r>
        <w:rPr>
          <w:b/>
          <w:color w:val="010101"/>
          <w:spacing w:val="2"/>
          <w:sz w:val="15"/>
        </w:rPr>
        <w:t> </w:t>
      </w:r>
      <w:r>
        <w:rPr>
          <w:b/>
          <w:color w:val="010101"/>
          <w:sz w:val="15"/>
        </w:rPr>
        <w:t>PRlllflUMB</w:t>
        <w:tab/>
      </w:r>
      <w:r>
        <w:rPr>
          <w:rFonts w:ascii="Arial"/>
          <w:b/>
          <w:color w:val="010101"/>
          <w:w w:val="90"/>
          <w:position w:val="1"/>
          <w:sz w:val="20"/>
        </w:rPr>
        <w:t>[CH.</w:t>
      </w:r>
      <w:r>
        <w:rPr>
          <w:rFonts w:ascii="Arial"/>
          <w:b/>
          <w:color w:val="010101"/>
          <w:spacing w:val="-29"/>
          <w:w w:val="90"/>
          <w:position w:val="1"/>
          <w:sz w:val="20"/>
        </w:rPr>
        <w:t> </w:t>
      </w:r>
      <w:r>
        <w:rPr>
          <w:rFonts w:ascii="Arial"/>
          <w:b/>
          <w:color w:val="010101"/>
          <w:w w:val="90"/>
          <w:position w:val="1"/>
          <w:sz w:val="19"/>
        </w:rPr>
        <w:t>4</w:t>
      </w:r>
    </w:p>
    <w:p>
      <w:pPr>
        <w:pStyle w:val="BodyText"/>
        <w:spacing w:before="5"/>
        <w:rPr>
          <w:rFonts w:ascii="Arial"/>
          <w:b/>
          <w:sz w:val="14"/>
        </w:rPr>
      </w:pPr>
    </w:p>
    <w:p>
      <w:pPr>
        <w:spacing w:after="0"/>
        <w:rPr>
          <w:rFonts w:ascii="Arial"/>
          <w:sz w:val="14"/>
        </w:rPr>
        <w:sectPr>
          <w:pgSz w:w="7200" w:h="11340"/>
          <w:pgMar w:top="500" w:bottom="280" w:left="680" w:right="540"/>
        </w:sectPr>
      </w:pPr>
    </w:p>
    <w:p>
      <w:pPr>
        <w:pStyle w:val="BodyText"/>
        <w:spacing w:before="5"/>
        <w:rPr>
          <w:rFonts w:ascii="Arial"/>
          <w:b/>
          <w:sz w:val="11"/>
        </w:rPr>
      </w:pPr>
    </w:p>
    <w:p>
      <w:pPr>
        <w:spacing w:line="129" w:lineRule="exact" w:before="0"/>
        <w:ind w:left="1235" w:right="0" w:firstLine="0"/>
        <w:jc w:val="left"/>
        <w:rPr>
          <w:b/>
          <w:sz w:val="13"/>
        </w:rPr>
      </w:pPr>
      <w:r>
        <w:rPr/>
        <w:pict>
          <v:shape style="position:absolute;margin-left:83.049316pt;margin-top:1.636412pt;width:6.95pt;height:14pt;mso-position-horizontal-relative:page;mso-position-vertical-relative:paragraph;z-index:8368" type="#_x0000_t202" filled="false" stroked="false">
            <v:textbox inset="0,0,0,0">
              <w:txbxContent>
                <w:p>
                  <w:pPr>
                    <w:spacing w:line="280" w:lineRule="exact" w:before="0"/>
                    <w:ind w:left="0" w:right="0" w:firstLine="0"/>
                    <w:jc w:val="left"/>
                    <w:rPr>
                      <w:sz w:val="28"/>
                    </w:rPr>
                  </w:pPr>
                  <w:r>
                    <w:rPr>
                      <w:color w:val="010101"/>
                      <w:w w:val="87"/>
                      <w:sz w:val="28"/>
                    </w:rPr>
                    <w:t>=</w:t>
                  </w:r>
                </w:p>
              </w:txbxContent>
            </v:textbox>
            <w10:wrap type="none"/>
          </v:shape>
        </w:pict>
      </w:r>
      <w:r>
        <w:rPr>
          <w:b/>
          <w:color w:val="010101"/>
          <w:w w:val="150"/>
          <w:sz w:val="13"/>
        </w:rPr>
        <w:t>rJ</w:t>
      </w:r>
    </w:p>
    <w:p>
      <w:pPr>
        <w:spacing w:line="33" w:lineRule="exact" w:before="0"/>
        <w:ind w:left="0" w:right="0" w:firstLine="0"/>
        <w:jc w:val="right"/>
        <w:rPr>
          <w:rFonts w:ascii="Arial"/>
          <w:sz w:val="16"/>
        </w:rPr>
      </w:pPr>
      <w:r>
        <w:rPr>
          <w:rFonts w:ascii="Arial"/>
          <w:b/>
          <w:color w:val="010101"/>
          <w:w w:val="185"/>
          <w:sz w:val="16"/>
        </w:rPr>
        <w:t>:;i </w:t>
      </w:r>
      <w:r>
        <w:rPr>
          <w:rFonts w:ascii="Arial"/>
          <w:color w:val="010101"/>
          <w:w w:val="305"/>
          <w:sz w:val="16"/>
        </w:rPr>
        <w:t>-</w:t>
      </w:r>
    </w:p>
    <w:p>
      <w:pPr>
        <w:spacing w:line="155" w:lineRule="exact" w:before="72"/>
        <w:ind w:left="86" w:right="0" w:firstLine="0"/>
        <w:jc w:val="left"/>
        <w:rPr>
          <w:rFonts w:ascii="Arial"/>
          <w:b/>
          <w:sz w:val="20"/>
        </w:rPr>
      </w:pPr>
      <w:r>
        <w:rPr/>
        <w:br w:type="column"/>
      </w:r>
      <w:r>
        <w:rPr>
          <w:b/>
          <w:color w:val="010101"/>
          <w:w w:val="120"/>
          <w:position w:val="14"/>
          <w:sz w:val="19"/>
        </w:rPr>
        <w:t>1  </w:t>
      </w:r>
      <w:r>
        <w:rPr>
          <w:rFonts w:ascii="Arial"/>
          <w:color w:val="010101"/>
          <w:w w:val="120"/>
          <w:sz w:val="31"/>
        </w:rPr>
        <w:t>+ </w:t>
      </w:r>
      <w:r>
        <w:rPr>
          <w:rFonts w:ascii="Arial"/>
          <w:b/>
          <w:color w:val="010101"/>
          <w:w w:val="120"/>
          <w:sz w:val="20"/>
        </w:rPr>
        <w:t>P </w:t>
      </w:r>
      <w:r>
        <w:rPr>
          <w:b/>
          <w:color w:val="010101"/>
          <w:w w:val="120"/>
          <w:position w:val="14"/>
          <w:sz w:val="12"/>
        </w:rPr>
        <w:t>1  </w:t>
      </w:r>
      <w:r>
        <w:rPr>
          <w:rFonts w:ascii="Arial"/>
          <w:b/>
          <w:color w:val="010101"/>
          <w:w w:val="120"/>
          <w:sz w:val="20"/>
        </w:rPr>
        <w:t>.</w:t>
      </w:r>
    </w:p>
    <w:p>
      <w:pPr>
        <w:spacing w:after="0" w:line="155" w:lineRule="exact"/>
        <w:jc w:val="left"/>
        <w:rPr>
          <w:rFonts w:ascii="Arial"/>
          <w:sz w:val="20"/>
        </w:rPr>
        <w:sectPr>
          <w:type w:val="continuous"/>
          <w:pgSz w:w="7200" w:h="11340"/>
          <w:pgMar w:top="1100" w:bottom="0" w:left="680" w:right="540"/>
          <w:cols w:num="2" w:equalWidth="0">
            <w:col w:w="1884" w:space="40"/>
            <w:col w:w="4056"/>
          </w:cols>
        </w:sectPr>
      </w:pPr>
    </w:p>
    <w:p>
      <w:pPr>
        <w:tabs>
          <w:tab w:pos="1920" w:val="left" w:leader="none"/>
        </w:tabs>
        <w:spacing w:line="280" w:lineRule="exact" w:before="0"/>
        <w:ind w:left="1206" w:right="0" w:firstLine="0"/>
        <w:jc w:val="left"/>
        <w:rPr>
          <w:rFonts w:ascii="Arial" w:hAnsi="Arial"/>
          <w:i/>
          <w:sz w:val="20"/>
        </w:rPr>
      </w:pPr>
      <w:r>
        <w:rPr>
          <w:rFonts w:ascii="Arial" w:hAnsi="Arial"/>
          <w:b/>
          <w:color w:val="010101"/>
          <w:spacing w:val="-29"/>
          <w:w w:val="264"/>
          <w:position w:val="11"/>
          <w:sz w:val="16"/>
        </w:rPr>
        <w:t>r</w:t>
      </w:r>
      <w:r>
        <w:rPr>
          <w:rFonts w:ascii="Arial" w:hAnsi="Arial"/>
          <w:b/>
          <w:color w:val="010101"/>
          <w:w w:val="292"/>
          <w:position w:val="11"/>
          <w:sz w:val="16"/>
        </w:rPr>
        <w:t>.</w:t>
      </w:r>
      <w:r>
        <w:rPr>
          <w:rFonts w:ascii="Arial" w:hAnsi="Arial"/>
          <w:b/>
          <w:color w:val="010101"/>
          <w:position w:val="11"/>
          <w:sz w:val="16"/>
        </w:rPr>
        <w:tab/>
      </w:r>
      <w:r>
        <w:rPr>
          <w:rFonts w:ascii="Arial" w:hAnsi="Arial"/>
          <w:color w:val="010101"/>
          <w:spacing w:val="-167"/>
          <w:w w:val="253"/>
          <w:position w:val="11"/>
          <w:sz w:val="16"/>
        </w:rPr>
        <w:t>:</w:t>
      </w:r>
      <w:r>
        <w:rPr>
          <w:rFonts w:ascii="Arial" w:hAnsi="Arial"/>
          <w:i/>
          <w:color w:val="010101"/>
          <w:w w:val="72"/>
          <w:sz w:val="20"/>
        </w:rPr>
        <w:t>s¡¡¡</w:t>
      </w:r>
    </w:p>
    <w:p>
      <w:pPr>
        <w:spacing w:line="172" w:lineRule="exact" w:before="0"/>
        <w:ind w:left="414" w:right="0" w:firstLine="0"/>
        <w:jc w:val="left"/>
        <w:rPr>
          <w:rFonts w:ascii="Arial" w:hAnsi="Arial"/>
          <w:b/>
          <w:sz w:val="20"/>
        </w:rPr>
      </w:pPr>
      <w:r>
        <w:rPr/>
        <w:br w:type="column"/>
      </w:r>
      <w:r>
        <w:rPr>
          <w:rFonts w:ascii="Arial" w:hAnsi="Arial"/>
          <w:b/>
          <w:color w:val="010101"/>
          <w:sz w:val="20"/>
        </w:rPr>
        <w:t>•:iil</w:t>
      </w:r>
    </w:p>
    <w:p>
      <w:pPr>
        <w:spacing w:after="0" w:line="172" w:lineRule="exact"/>
        <w:jc w:val="left"/>
        <w:rPr>
          <w:rFonts w:ascii="Arial" w:hAnsi="Arial"/>
          <w:sz w:val="20"/>
        </w:rPr>
        <w:sectPr>
          <w:type w:val="continuous"/>
          <w:pgSz w:w="7200" w:h="11340"/>
          <w:pgMar w:top="1100" w:bottom="0" w:left="680" w:right="540"/>
          <w:cols w:num="2" w:equalWidth="0">
            <w:col w:w="2155" w:space="40"/>
            <w:col w:w="3785"/>
          </w:cols>
        </w:sectPr>
      </w:pPr>
    </w:p>
    <w:p>
      <w:pPr>
        <w:pStyle w:val="BodyText"/>
        <w:spacing w:before="1"/>
        <w:rPr>
          <w:rFonts w:ascii="Arial"/>
          <w:b/>
          <w:sz w:val="10"/>
        </w:rPr>
      </w:pPr>
    </w:p>
    <w:p>
      <w:pPr>
        <w:spacing w:line="207" w:lineRule="exact" w:before="73"/>
        <w:ind w:left="130" w:right="0" w:firstLine="0"/>
        <w:jc w:val="both"/>
        <w:rPr>
          <w:sz w:val="21"/>
        </w:rPr>
      </w:pPr>
      <w:r>
        <w:rPr>
          <w:color w:val="010101"/>
          <w:sz w:val="21"/>
        </w:rPr>
        <w:t>When  the savings fund premium  of       </w:t>
      </w:r>
      <w:r>
        <w:rPr>
          <w:rFonts w:ascii="Arial"/>
          <w:color w:val="010101"/>
          <w:sz w:val="20"/>
        </w:rPr>
        <w:t>is </w:t>
      </w:r>
      <w:r>
        <w:rPr>
          <w:color w:val="010101"/>
          <w:sz w:val="21"/>
        </w:rPr>
        <w:t>added  to this decreasing</w:t>
      </w:r>
    </w:p>
    <w:p>
      <w:pPr>
        <w:spacing w:line="178" w:lineRule="exact" w:before="0"/>
        <w:ind w:left="1485" w:right="713" w:firstLine="0"/>
        <w:jc w:val="center"/>
        <w:rPr>
          <w:rFonts w:ascii="Arial"/>
          <w:sz w:val="21"/>
        </w:rPr>
      </w:pPr>
      <w:r>
        <w:rPr>
          <w:rFonts w:ascii="Arial"/>
          <w:color w:val="010101"/>
          <w:sz w:val="21"/>
        </w:rPr>
        <w:t>8'il</w:t>
      </w:r>
    </w:p>
    <w:p>
      <w:pPr>
        <w:spacing w:line="213" w:lineRule="exact" w:before="0"/>
        <w:ind w:left="123" w:right="0" w:firstLine="0"/>
        <w:jc w:val="both"/>
        <w:rPr>
          <w:sz w:val="21"/>
        </w:rPr>
      </w:pPr>
      <w:r>
        <w:rPr>
          <w:color w:val="010101"/>
          <w:sz w:val="21"/>
        </w:rPr>
        <w:t>insurance premium, we obta.in the desired   equivalence</w:t>
      </w:r>
    </w:p>
    <w:p>
      <w:pPr>
        <w:tabs>
          <w:tab w:pos="1298" w:val="left" w:leader="none"/>
          <w:tab w:pos="2503" w:val="left" w:leader="none"/>
        </w:tabs>
        <w:spacing w:line="336" w:lineRule="exact" w:before="88"/>
        <w:ind w:left="0" w:right="0" w:firstLine="0"/>
        <w:jc w:val="center"/>
        <w:rPr>
          <w:b/>
          <w:sz w:val="22"/>
        </w:rPr>
      </w:pPr>
      <w:r>
        <w:rPr/>
        <w:pict>
          <v:shape style="position:absolute;margin-left:156.2332pt;margin-top:8.176048pt;width:74.2pt;height:15.5pt;mso-position-horizontal-relative:page;mso-position-vertical-relative:paragraph;z-index:-727720" type="#_x0000_t202" filled="false" stroked="false">
            <v:textbox inset="0,0,0,0">
              <w:txbxContent>
                <w:p>
                  <w:pPr>
                    <w:tabs>
                      <w:tab w:pos="1287" w:val="left" w:leader="none"/>
                    </w:tabs>
                    <w:spacing w:line="310" w:lineRule="exact" w:before="0"/>
                    <w:ind w:left="0" w:right="0" w:firstLine="0"/>
                    <w:jc w:val="left"/>
                    <w:rPr>
                      <w:rFonts w:ascii="Arial"/>
                      <w:sz w:val="31"/>
                    </w:rPr>
                  </w:pPr>
                  <w:r>
                    <w:rPr>
                      <w:rFonts w:ascii="Arial"/>
                      <w:color w:val="010101"/>
                      <w:sz w:val="31"/>
                    </w:rPr>
                    <w:t>+</w:t>
                  </w:r>
                  <w:r>
                    <w:rPr>
                      <w:rFonts w:ascii="Arial"/>
                      <w:color w:val="010101"/>
                      <w:spacing w:val="-26"/>
                      <w:sz w:val="31"/>
                    </w:rPr>
                    <w:t> </w:t>
                  </w:r>
                  <w:r>
                    <w:rPr>
                      <w:rFonts w:ascii="Arial"/>
                      <w:color w:val="010101"/>
                      <w:spacing w:val="-18"/>
                      <w:sz w:val="31"/>
                    </w:rPr>
                    <w:t>..</w:t>
                    <w:tab/>
                  </w:r>
                  <w:r>
                    <w:rPr>
                      <w:rFonts w:ascii="Arial"/>
                      <w:color w:val="010101"/>
                      <w:sz w:val="31"/>
                    </w:rPr>
                    <w:t>+</w:t>
                  </w:r>
                </w:p>
              </w:txbxContent>
            </v:textbox>
            <w10:wrap type="none"/>
          </v:shape>
        </w:pict>
      </w:r>
      <w:r>
        <w:rPr>
          <w:b/>
          <w:color w:val="010101"/>
          <w:w w:val="98"/>
          <w:sz w:val="22"/>
        </w:rPr>
        <w:t>P</w:t>
      </w:r>
      <w:r>
        <w:rPr>
          <w:b/>
          <w:color w:val="010101"/>
          <w:spacing w:val="-6"/>
          <w:w w:val="98"/>
          <w:sz w:val="22"/>
        </w:rPr>
        <w:t>s</w:t>
      </w:r>
      <w:r>
        <w:rPr>
          <w:b/>
          <w:color w:val="010101"/>
          <w:w w:val="78"/>
          <w:sz w:val="22"/>
        </w:rPr>
        <w:t>:i.l</w:t>
      </w:r>
      <w:r>
        <w:rPr>
          <w:b/>
          <w:color w:val="010101"/>
          <w:sz w:val="22"/>
        </w:rPr>
        <w:t> </w:t>
      </w:r>
      <w:r>
        <w:rPr>
          <w:b/>
          <w:color w:val="010101"/>
          <w:spacing w:val="-14"/>
          <w:sz w:val="22"/>
        </w:rPr>
        <w:t> </w:t>
      </w:r>
      <w:r>
        <w:rPr>
          <w:color w:val="010101"/>
          <w:w w:val="87"/>
          <w:sz w:val="28"/>
        </w:rPr>
        <w:t>=</w:t>
      </w:r>
      <w:r>
        <w:rPr>
          <w:color w:val="010101"/>
          <w:spacing w:val="24"/>
          <w:sz w:val="28"/>
        </w:rPr>
        <w:t> </w:t>
      </w:r>
      <w:r>
        <w:rPr>
          <w:b/>
          <w:i/>
          <w:color w:val="010101"/>
          <w:w w:val="98"/>
          <w:sz w:val="21"/>
        </w:rPr>
        <w:t>P</w:t>
      </w:r>
      <w:r>
        <w:rPr>
          <w:b/>
          <w:i/>
          <w:color w:val="010101"/>
          <w:sz w:val="21"/>
        </w:rPr>
        <w:tab/>
      </w:r>
      <w:r>
        <w:rPr>
          <w:color w:val="010101"/>
          <w:w w:val="121"/>
          <w:position w:val="14"/>
          <w:sz w:val="20"/>
        </w:rPr>
        <w:t>1</w:t>
      </w:r>
      <w:r>
        <w:rPr>
          <w:color w:val="010101"/>
          <w:position w:val="14"/>
          <w:sz w:val="20"/>
        </w:rPr>
        <w:t> </w:t>
      </w:r>
      <w:r>
        <w:rPr>
          <w:color w:val="010101"/>
          <w:spacing w:val="8"/>
          <w:position w:val="14"/>
          <w:sz w:val="20"/>
        </w:rPr>
        <w:t> </w:t>
      </w:r>
      <w:r>
        <w:rPr>
          <w:color w:val="010101"/>
          <w:w w:val="90"/>
          <w:sz w:val="28"/>
        </w:rPr>
        <w:t>=</w:t>
      </w:r>
      <w:r>
        <w:rPr>
          <w:color w:val="010101"/>
          <w:spacing w:val="19"/>
          <w:sz w:val="28"/>
        </w:rPr>
        <w:t> </w:t>
      </w:r>
      <w:r>
        <w:rPr>
          <w:b/>
          <w:color w:val="010101"/>
          <w:spacing w:val="8"/>
          <w:w w:val="156"/>
          <w:sz w:val="22"/>
        </w:rPr>
        <w:t>P</w:t>
      </w:r>
      <w:r>
        <w:rPr>
          <w:b/>
          <w:color w:val="010101"/>
          <w:w w:val="76"/>
          <w:sz w:val="22"/>
        </w:rPr>
        <w:t>:iil</w:t>
      </w:r>
      <w:r>
        <w:rPr>
          <w:b/>
          <w:color w:val="010101"/>
          <w:sz w:val="22"/>
        </w:rPr>
        <w:tab/>
      </w:r>
      <w:r>
        <w:rPr>
          <w:b/>
          <w:color w:val="010101"/>
          <w:w w:val="87"/>
          <w:sz w:val="22"/>
        </w:rPr>
        <w:t>Pa:;}</w:t>
      </w:r>
      <w:r>
        <w:rPr>
          <w:b/>
          <w:color w:val="010101"/>
          <w:spacing w:val="-6"/>
          <w:sz w:val="22"/>
        </w:rPr>
        <w:t> </w:t>
      </w:r>
      <w:r>
        <w:rPr>
          <w:b/>
          <w:color w:val="010101"/>
          <w:w w:val="98"/>
          <w:sz w:val="22"/>
        </w:rPr>
        <w:t>.</w:t>
      </w:r>
    </w:p>
    <w:p>
      <w:pPr>
        <w:spacing w:line="133" w:lineRule="exact" w:before="0"/>
        <w:ind w:left="74" w:right="471" w:firstLine="0"/>
        <w:jc w:val="center"/>
        <w:rPr>
          <w:rFonts w:ascii="Arial"/>
          <w:b/>
          <w:i/>
          <w:sz w:val="16"/>
        </w:rPr>
      </w:pPr>
      <w:r>
        <w:rPr>
          <w:rFonts w:ascii="Arial"/>
          <w:b/>
          <w:i/>
          <w:color w:val="010101"/>
          <w:sz w:val="16"/>
        </w:rPr>
        <w:t>s,;i</w:t>
      </w:r>
    </w:p>
    <w:p>
      <w:pPr>
        <w:spacing w:line="238" w:lineRule="exact" w:before="85"/>
        <w:ind w:left="116" w:right="116" w:firstLine="0"/>
        <w:jc w:val="both"/>
        <w:rPr>
          <w:sz w:val="21"/>
        </w:rPr>
      </w:pPr>
      <w:r>
        <w:rPr>
          <w:color w:val="010101"/>
          <w:sz w:val="21"/>
        </w:rPr>
        <w:t>The student </w:t>
      </w:r>
      <w:r>
        <w:rPr>
          <w:color w:val="010101"/>
          <w:sz w:val="22"/>
        </w:rPr>
        <w:t>will </w:t>
      </w:r>
      <w:r>
        <w:rPr>
          <w:color w:val="010101"/>
          <w:sz w:val="21"/>
        </w:rPr>
        <w:t>gain further insight into the significance of this analysis  in Section  3 of  Chapter 5.</w:t>
      </w:r>
    </w:p>
    <w:p>
      <w:pPr>
        <w:spacing w:line="235" w:lineRule="auto" w:before="0"/>
        <w:ind w:left="116" w:right="112" w:firstLine="197"/>
        <w:jc w:val="both"/>
        <w:rPr>
          <w:sz w:val="21"/>
        </w:rPr>
      </w:pPr>
      <w:r>
        <w:rPr>
          <w:color w:val="010101"/>
          <w:sz w:val="21"/>
        </w:rPr>
        <w:t>The same type of analysis </w:t>
      </w:r>
      <w:r>
        <w:rPr>
          <w:rFonts w:ascii="Arial" w:hAnsi="Arial"/>
          <w:b/>
          <w:color w:val="010101"/>
          <w:sz w:val="18"/>
        </w:rPr>
        <w:t>may </w:t>
      </w:r>
      <w:r>
        <w:rPr>
          <w:b/>
          <w:color w:val="010101"/>
          <w:sz w:val="22"/>
        </w:rPr>
        <w:t>be </w:t>
      </w:r>
      <w:r>
        <w:rPr>
          <w:color w:val="010101"/>
          <w:sz w:val="21"/>
        </w:rPr>
        <w:t>applied equally well to ordi­ nary life insurance. Under an ordinary life policy, the sum insured  is payable at age </w:t>
      </w:r>
      <w:r>
        <w:rPr>
          <w:rFonts w:ascii="Arial" w:hAnsi="Arial"/>
          <w:i/>
          <w:color w:val="010101"/>
          <w:sz w:val="16"/>
        </w:rPr>
        <w:t>w </w:t>
      </w:r>
      <w:r>
        <w:rPr>
          <w:color w:val="010101"/>
          <w:sz w:val="21"/>
        </w:rPr>
        <w:t>at the latest and the contra.et  may  be regarded  as an endowment to age </w:t>
      </w:r>
      <w:r>
        <w:rPr>
          <w:color w:val="010101"/>
          <w:sz w:val="18"/>
        </w:rPr>
        <w:t>w, </w:t>
      </w:r>
      <w:r>
        <w:rPr>
          <w:color w:val="010101"/>
          <w:sz w:val="21"/>
        </w:rPr>
        <w:t>or an </w:t>
      </w:r>
      <w:r>
        <w:rPr>
          <w:i/>
          <w:color w:val="010101"/>
          <w:sz w:val="20"/>
        </w:rPr>
        <w:t>(w </w:t>
      </w:r>
      <w:r>
        <w:rPr>
          <w:color w:val="010101"/>
          <w:w w:val="255"/>
          <w:sz w:val="20"/>
        </w:rPr>
        <w:t>- </w:t>
      </w:r>
      <w:r>
        <w:rPr>
          <w:color w:val="010101"/>
          <w:sz w:val="21"/>
        </w:rPr>
        <w:t>x)-year endowment. The </w:t>
      </w:r>
      <w:r>
        <w:rPr>
          <w:color w:val="010101"/>
          <w:w w:val="101"/>
          <w:sz w:val="21"/>
        </w:rPr>
        <w:t>ordinary  </w:t>
      </w:r>
      <w:r>
        <w:rPr>
          <w:color w:val="010101"/>
          <w:w w:val="95"/>
          <w:sz w:val="21"/>
        </w:rPr>
        <w:t>life  </w:t>
      </w:r>
      <w:r>
        <w:rPr>
          <w:color w:val="010101"/>
          <w:w w:val="98"/>
          <w:sz w:val="21"/>
        </w:rPr>
        <w:t>premium,  </w:t>
      </w:r>
      <w:r>
        <w:rPr>
          <w:i/>
          <w:color w:val="010101"/>
          <w:spacing w:val="3"/>
          <w:w w:val="88"/>
          <w:sz w:val="22"/>
        </w:rPr>
        <w:t>P</w:t>
      </w:r>
      <w:r>
        <w:rPr>
          <w:rFonts w:ascii="Arial" w:hAnsi="Arial"/>
          <w:i/>
          <w:color w:val="010101"/>
          <w:spacing w:val="3"/>
          <w:w w:val="88"/>
          <w:position w:val="-2"/>
          <w:sz w:val="9"/>
        </w:rPr>
        <w:t>11</w:t>
      </w:r>
      <w:r>
        <w:rPr>
          <w:rFonts w:ascii="Arial" w:hAnsi="Arial"/>
          <w:i/>
          <w:color w:val="010101"/>
          <w:w w:val="88"/>
          <w:position w:val="-2"/>
          <w:sz w:val="9"/>
        </w:rPr>
        <w:t>  </w:t>
      </w:r>
      <w:r>
        <w:rPr>
          <w:rFonts w:ascii="Arial" w:hAnsi="Arial"/>
          <w:color w:val="010101"/>
          <w:w w:val="447"/>
          <w:sz w:val="9"/>
        </w:rPr>
        <w:t>, </w:t>
      </w:r>
      <w:r>
        <w:rPr>
          <w:color w:val="010101"/>
          <w:w w:val="88"/>
          <w:sz w:val="21"/>
        </w:rPr>
        <w:t>me.y  </w:t>
      </w:r>
      <w:r>
        <w:rPr>
          <w:color w:val="010101"/>
          <w:w w:val="99"/>
          <w:sz w:val="21"/>
        </w:rPr>
        <w:t>be </w:t>
      </w:r>
      <w:r>
        <w:rPr>
          <w:color w:val="010101"/>
          <w:w w:val="95"/>
          <w:sz w:val="21"/>
        </w:rPr>
        <w:t>resolved  </w:t>
      </w:r>
      <w:r>
        <w:rPr>
          <w:color w:val="010101"/>
          <w:w w:val="105"/>
          <w:sz w:val="21"/>
        </w:rPr>
        <w:t>into </w:t>
      </w:r>
      <w:r>
        <w:rPr>
          <w:color w:val="010101"/>
          <w:w w:val="101"/>
          <w:sz w:val="21"/>
        </w:rPr>
        <w:t>an</w:t>
      </w:r>
      <w:r>
        <w:rPr>
          <w:color w:val="010101"/>
          <w:spacing w:val="32"/>
          <w:w w:val="101"/>
          <w:sz w:val="21"/>
        </w:rPr>
        <w:t> </w:t>
      </w:r>
      <w:r>
        <w:rPr>
          <w:color w:val="010101"/>
          <w:w w:val="101"/>
          <w:sz w:val="21"/>
        </w:rPr>
        <w:t>investment</w:t>
      </w:r>
    </w:p>
    <w:p>
      <w:pPr>
        <w:spacing w:line="234" w:lineRule="exact" w:before="119"/>
        <w:ind w:left="120" w:right="0" w:firstLine="0"/>
        <w:jc w:val="both"/>
        <w:rPr>
          <w:sz w:val="21"/>
        </w:rPr>
      </w:pPr>
      <w:r>
        <w:rPr>
          <w:color w:val="010101"/>
          <w:w w:val="105"/>
          <w:sz w:val="21"/>
        </w:rPr>
        <w:t>element,        , which builds up to the amount of the policy at the</w:t>
      </w:r>
    </w:p>
    <w:p>
      <w:pPr>
        <w:spacing w:line="128" w:lineRule="exact" w:before="0"/>
        <w:ind w:left="898" w:right="739" w:firstLine="0"/>
        <w:jc w:val="left"/>
        <w:rPr>
          <w:rFonts w:ascii="Arial"/>
          <w:b/>
          <w:sz w:val="12"/>
        </w:rPr>
      </w:pPr>
      <w:r>
        <w:rPr/>
        <w:pict>
          <v:line style="position:absolute;mso-position-horizontal-relative:page;mso-position-vertical-relative:paragraph;z-index:-727744" from="96.860985pt,5.9942pt" to="97.937218pt,5.9942pt" stroked="true" strokeweight="1.43860pt" strokecolor="#000000">
            <w10:wrap type="none"/>
          </v:line>
        </w:pict>
      </w:r>
      <w:r>
        <w:rPr>
          <w:rFonts w:ascii="Arial"/>
          <w:b/>
          <w:color w:val="010101"/>
          <w:w w:val="110"/>
          <w:sz w:val="12"/>
        </w:rPr>
        <w:t>811-:rl</w:t>
      </w:r>
    </w:p>
    <w:p>
      <w:pPr>
        <w:spacing w:line="240" w:lineRule="auto" w:before="0"/>
        <w:ind w:left="120" w:right="114" w:firstLine="3"/>
        <w:jc w:val="both"/>
        <w:rPr>
          <w:sz w:val="21"/>
        </w:rPr>
      </w:pPr>
      <w:r>
        <w:rPr>
          <w:color w:val="010101"/>
          <w:sz w:val="21"/>
        </w:rPr>
        <w:t>limiting age of the mortality table, and a decreasing insura.nce element which provides insurance equal at any time to the differ­ ence between the accumulated savings fund and the amount of the policy. The endowment and  the ordinary  life policy  are identical  in principie, the apparent differences in the two forros of insurance arising solely from the íact that the savings fund accumulation is completed  at  an earlier date under  the</w:t>
      </w:r>
      <w:r>
        <w:rPr>
          <w:color w:val="010101"/>
          <w:spacing w:val="18"/>
          <w:sz w:val="21"/>
        </w:rPr>
        <w:t> </w:t>
      </w:r>
      <w:r>
        <w:rPr>
          <w:color w:val="010101"/>
          <w:sz w:val="21"/>
        </w:rPr>
        <w:t>endowment.</w:t>
      </w:r>
    </w:p>
    <w:p>
      <w:pPr>
        <w:pStyle w:val="ListParagraph"/>
        <w:numPr>
          <w:ilvl w:val="0"/>
          <w:numId w:val="36"/>
        </w:numPr>
        <w:tabs>
          <w:tab w:pos="390" w:val="left" w:leader="none"/>
        </w:tabs>
        <w:spacing w:line="240" w:lineRule="auto" w:before="176" w:after="0"/>
        <w:ind w:left="389" w:right="0" w:hanging="266"/>
        <w:jc w:val="both"/>
        <w:rPr>
          <w:b/>
          <w:color w:val="010101"/>
          <w:sz w:val="19"/>
        </w:rPr>
      </w:pPr>
      <w:r>
        <w:rPr>
          <w:b/>
          <w:color w:val="010101"/>
          <w:w w:val="120"/>
          <w:sz w:val="19"/>
        </w:rPr>
        <w:t>Summary of</w:t>
      </w:r>
      <w:r>
        <w:rPr>
          <w:b/>
          <w:color w:val="010101"/>
          <w:spacing w:val="25"/>
          <w:w w:val="120"/>
          <w:sz w:val="19"/>
        </w:rPr>
        <w:t> </w:t>
      </w:r>
      <w:r>
        <w:rPr>
          <w:b/>
          <w:color w:val="010101"/>
          <w:w w:val="120"/>
          <w:sz w:val="19"/>
        </w:rPr>
        <w:t>notation</w:t>
      </w:r>
    </w:p>
    <w:p>
      <w:pPr>
        <w:numPr>
          <w:ilvl w:val="1"/>
          <w:numId w:val="36"/>
        </w:numPr>
        <w:tabs>
          <w:tab w:pos="569" w:val="left" w:leader="none"/>
        </w:tabs>
        <w:spacing w:line="242" w:lineRule="auto" w:before="79"/>
        <w:ind w:left="123" w:right="130" w:firstLine="212"/>
        <w:jc w:val="both"/>
        <w:rPr>
          <w:sz w:val="21"/>
        </w:rPr>
      </w:pPr>
      <w:r>
        <w:rPr>
          <w:color w:val="010101"/>
          <w:sz w:val="21"/>
        </w:rPr>
        <w:t>The principal symbol </w:t>
      </w:r>
      <w:r>
        <w:rPr>
          <w:rFonts w:ascii="Arial"/>
          <w:i/>
          <w:color w:val="010101"/>
          <w:sz w:val="19"/>
        </w:rPr>
        <w:t>P </w:t>
      </w:r>
      <w:r>
        <w:rPr>
          <w:color w:val="010101"/>
          <w:sz w:val="21"/>
        </w:rPr>
        <w:t>is used to denote a net annual premium.</w:t>
      </w:r>
    </w:p>
    <w:p>
      <w:pPr>
        <w:pStyle w:val="ListParagraph"/>
        <w:numPr>
          <w:ilvl w:val="1"/>
          <w:numId w:val="36"/>
        </w:numPr>
        <w:tabs>
          <w:tab w:pos="569" w:val="left" w:leader="none"/>
        </w:tabs>
        <w:spacing w:line="240" w:lineRule="auto" w:before="0" w:after="0"/>
        <w:ind w:left="120" w:right="121" w:firstLine="200"/>
        <w:jc w:val="both"/>
        <w:rPr>
          <w:rFonts w:ascii="Arial" w:hAnsi="Arial"/>
          <w:sz w:val="20"/>
        </w:rPr>
      </w:pPr>
      <w:r>
        <w:rPr>
          <w:color w:val="010101"/>
          <w:w w:val="105"/>
          <w:sz w:val="21"/>
        </w:rPr>
        <w:t>Except</w:t>
      </w:r>
      <w:r>
        <w:rPr>
          <w:color w:val="010101"/>
          <w:spacing w:val="-12"/>
          <w:w w:val="105"/>
          <w:sz w:val="21"/>
        </w:rPr>
        <w:t> </w:t>
      </w:r>
      <w:r>
        <w:rPr>
          <w:color w:val="010101"/>
          <w:w w:val="105"/>
          <w:sz w:val="21"/>
        </w:rPr>
        <w:t>for</w:t>
      </w:r>
      <w:r>
        <w:rPr>
          <w:color w:val="010101"/>
          <w:spacing w:val="-18"/>
          <w:w w:val="105"/>
          <w:sz w:val="21"/>
        </w:rPr>
        <w:t> </w:t>
      </w:r>
      <w:r>
        <w:rPr>
          <w:color w:val="010101"/>
          <w:w w:val="105"/>
          <w:sz w:val="21"/>
        </w:rPr>
        <w:t>simple</w:t>
      </w:r>
      <w:r>
        <w:rPr>
          <w:color w:val="010101"/>
          <w:spacing w:val="-17"/>
          <w:w w:val="105"/>
          <w:sz w:val="21"/>
        </w:rPr>
        <w:t> </w:t>
      </w:r>
      <w:r>
        <w:rPr>
          <w:color w:val="010101"/>
          <w:w w:val="105"/>
          <w:sz w:val="21"/>
        </w:rPr>
        <w:t>insurance</w:t>
      </w:r>
      <w:r>
        <w:rPr>
          <w:color w:val="010101"/>
          <w:spacing w:val="-15"/>
          <w:w w:val="105"/>
          <w:sz w:val="21"/>
        </w:rPr>
        <w:t> </w:t>
      </w:r>
      <w:r>
        <w:rPr>
          <w:color w:val="010101"/>
          <w:w w:val="105"/>
          <w:sz w:val="21"/>
        </w:rPr>
        <w:t>benefits</w:t>
      </w:r>
      <w:r>
        <w:rPr>
          <w:color w:val="010101"/>
          <w:spacing w:val="-16"/>
          <w:w w:val="105"/>
          <w:sz w:val="21"/>
        </w:rPr>
        <w:t> </w:t>
      </w:r>
      <w:r>
        <w:rPr>
          <w:color w:val="010101"/>
          <w:w w:val="105"/>
          <w:sz w:val="21"/>
        </w:rPr>
        <w:t>payable</w:t>
      </w:r>
      <w:r>
        <w:rPr>
          <w:color w:val="010101"/>
          <w:spacing w:val="-14"/>
          <w:w w:val="105"/>
          <w:sz w:val="21"/>
        </w:rPr>
        <w:t> </w:t>
      </w:r>
      <w:r>
        <w:rPr>
          <w:color w:val="010101"/>
          <w:w w:val="105"/>
          <w:sz w:val="21"/>
        </w:rPr>
        <w:t>at</w:t>
      </w:r>
      <w:r>
        <w:rPr>
          <w:color w:val="010101"/>
          <w:spacing w:val="-19"/>
          <w:w w:val="105"/>
          <w:sz w:val="21"/>
        </w:rPr>
        <w:t> </w:t>
      </w:r>
      <w:r>
        <w:rPr>
          <w:color w:val="010101"/>
          <w:w w:val="105"/>
          <w:sz w:val="21"/>
        </w:rPr>
        <w:t>the</w:t>
      </w:r>
      <w:r>
        <w:rPr>
          <w:color w:val="010101"/>
          <w:spacing w:val="-17"/>
          <w:w w:val="105"/>
          <w:sz w:val="21"/>
        </w:rPr>
        <w:t> </w:t>
      </w:r>
      <w:r>
        <w:rPr>
          <w:color w:val="010101"/>
          <w:w w:val="105"/>
          <w:sz w:val="21"/>
        </w:rPr>
        <w:t>end</w:t>
      </w:r>
      <w:r>
        <w:rPr>
          <w:color w:val="010101"/>
          <w:spacing w:val="-14"/>
          <w:w w:val="105"/>
          <w:sz w:val="21"/>
        </w:rPr>
        <w:t> </w:t>
      </w:r>
      <w:r>
        <w:rPr>
          <w:color w:val="010101"/>
          <w:w w:val="105"/>
          <w:sz w:val="21"/>
        </w:rPr>
        <w:t>of</w:t>
      </w:r>
      <w:r>
        <w:rPr>
          <w:color w:val="010101"/>
          <w:spacing w:val="-12"/>
          <w:w w:val="105"/>
          <w:sz w:val="21"/>
        </w:rPr>
        <w:t> </w:t>
      </w:r>
      <w:r>
        <w:rPr>
          <w:color w:val="010101"/>
          <w:w w:val="105"/>
          <w:sz w:val="21"/>
        </w:rPr>
        <w:t>the year</w:t>
      </w:r>
      <w:r>
        <w:rPr>
          <w:color w:val="010101"/>
          <w:spacing w:val="-13"/>
          <w:w w:val="105"/>
          <w:sz w:val="21"/>
        </w:rPr>
        <w:t> </w:t>
      </w:r>
      <w:r>
        <w:rPr>
          <w:color w:val="010101"/>
          <w:w w:val="105"/>
          <w:sz w:val="21"/>
        </w:rPr>
        <w:t>of</w:t>
      </w:r>
      <w:r>
        <w:rPr>
          <w:color w:val="010101"/>
          <w:spacing w:val="-8"/>
          <w:w w:val="105"/>
          <w:sz w:val="21"/>
        </w:rPr>
        <w:t> </w:t>
      </w:r>
      <w:r>
        <w:rPr>
          <w:color w:val="010101"/>
          <w:w w:val="105"/>
          <w:sz w:val="21"/>
        </w:rPr>
        <w:t>death,</w:t>
      </w:r>
      <w:r>
        <w:rPr>
          <w:color w:val="010101"/>
          <w:spacing w:val="-16"/>
          <w:w w:val="105"/>
          <w:sz w:val="21"/>
        </w:rPr>
        <w:t> </w:t>
      </w:r>
      <w:r>
        <w:rPr>
          <w:color w:val="010101"/>
          <w:w w:val="105"/>
          <w:sz w:val="21"/>
        </w:rPr>
        <w:t>P</w:t>
      </w:r>
      <w:r>
        <w:rPr>
          <w:color w:val="010101"/>
          <w:spacing w:val="-29"/>
          <w:w w:val="105"/>
          <w:sz w:val="21"/>
        </w:rPr>
        <w:t> </w:t>
      </w:r>
      <w:r>
        <w:rPr>
          <w:color w:val="010101"/>
          <w:w w:val="105"/>
          <w:sz w:val="21"/>
        </w:rPr>
        <w:t>is</w:t>
      </w:r>
      <w:r>
        <w:rPr>
          <w:color w:val="010101"/>
          <w:spacing w:val="-25"/>
          <w:w w:val="105"/>
          <w:sz w:val="21"/>
        </w:rPr>
        <w:t> </w:t>
      </w:r>
      <w:r>
        <w:rPr>
          <w:color w:val="010101"/>
          <w:w w:val="105"/>
          <w:sz w:val="21"/>
        </w:rPr>
        <w:t>used</w:t>
      </w:r>
      <w:r>
        <w:rPr>
          <w:color w:val="010101"/>
          <w:spacing w:val="-6"/>
          <w:w w:val="105"/>
          <w:sz w:val="21"/>
        </w:rPr>
        <w:t> </w:t>
      </w:r>
      <w:r>
        <w:rPr>
          <w:color w:val="010101"/>
          <w:w w:val="105"/>
          <w:sz w:val="21"/>
        </w:rPr>
        <w:t>in</w:t>
      </w:r>
      <w:r>
        <w:rPr>
          <w:color w:val="010101"/>
          <w:spacing w:val="-14"/>
          <w:w w:val="105"/>
          <w:sz w:val="21"/>
        </w:rPr>
        <w:t> </w:t>
      </w:r>
      <w:r>
        <w:rPr>
          <w:color w:val="010101"/>
          <w:w w:val="105"/>
          <w:sz w:val="21"/>
        </w:rPr>
        <w:t>conjunction</w:t>
      </w:r>
      <w:r>
        <w:rPr>
          <w:color w:val="010101"/>
          <w:spacing w:val="3"/>
          <w:w w:val="105"/>
          <w:sz w:val="21"/>
        </w:rPr>
        <w:t> </w:t>
      </w:r>
      <w:r>
        <w:rPr>
          <w:color w:val="010101"/>
          <w:w w:val="105"/>
          <w:sz w:val="21"/>
        </w:rPr>
        <w:t>with</w:t>
      </w:r>
      <w:r>
        <w:rPr>
          <w:color w:val="010101"/>
          <w:spacing w:val="-12"/>
          <w:w w:val="105"/>
          <w:sz w:val="21"/>
        </w:rPr>
        <w:t> </w:t>
      </w:r>
      <w:r>
        <w:rPr>
          <w:color w:val="010101"/>
          <w:w w:val="105"/>
          <w:sz w:val="21"/>
        </w:rPr>
        <w:t>the</w:t>
      </w:r>
      <w:r>
        <w:rPr>
          <w:color w:val="010101"/>
          <w:spacing w:val="-19"/>
          <w:w w:val="105"/>
          <w:sz w:val="21"/>
        </w:rPr>
        <w:t> </w:t>
      </w:r>
      <w:r>
        <w:rPr>
          <w:color w:val="010101"/>
          <w:w w:val="105"/>
          <w:sz w:val="21"/>
        </w:rPr>
        <w:t>net</w:t>
      </w:r>
      <w:r>
        <w:rPr>
          <w:color w:val="010101"/>
          <w:spacing w:val="-15"/>
          <w:w w:val="105"/>
          <w:sz w:val="21"/>
        </w:rPr>
        <w:t> </w:t>
      </w:r>
      <w:r>
        <w:rPr>
          <w:color w:val="010101"/>
          <w:w w:val="105"/>
          <w:sz w:val="21"/>
        </w:rPr>
        <w:t>single</w:t>
      </w:r>
      <w:r>
        <w:rPr>
          <w:color w:val="010101"/>
          <w:spacing w:val="-27"/>
          <w:w w:val="105"/>
          <w:sz w:val="21"/>
        </w:rPr>
        <w:t> </w:t>
      </w:r>
      <w:r>
        <w:rPr>
          <w:color w:val="010101"/>
          <w:w w:val="105"/>
          <w:sz w:val="21"/>
        </w:rPr>
        <w:t>premium </w:t>
      </w:r>
      <w:r>
        <w:rPr>
          <w:color w:val="010101"/>
          <w:w w:val="101"/>
          <w:sz w:val="21"/>
        </w:rPr>
        <w:t>symbol; </w:t>
      </w:r>
      <w:r>
        <w:rPr>
          <w:color w:val="010101"/>
          <w:spacing w:val="-3"/>
          <w:w w:val="102"/>
          <w:sz w:val="21"/>
        </w:rPr>
        <w:t>e.g.,</w:t>
      </w:r>
      <w:r>
        <w:rPr>
          <w:color w:val="010101"/>
          <w:w w:val="102"/>
          <w:sz w:val="21"/>
        </w:rPr>
        <w:t>  </w:t>
      </w:r>
      <w:r>
        <w:rPr>
          <w:b/>
          <w:color w:val="010101"/>
          <w:w w:val="93"/>
          <w:sz w:val="20"/>
        </w:rPr>
        <w:t>,P(,.¡iis),</w:t>
      </w:r>
      <w:r>
        <w:rPr>
          <w:b/>
          <w:color w:val="010101"/>
          <w:spacing w:val="35"/>
          <w:w w:val="93"/>
          <w:sz w:val="20"/>
        </w:rPr>
        <w:t> </w:t>
      </w:r>
      <w:r>
        <w:rPr>
          <w:rFonts w:ascii="Arial" w:hAnsi="Arial"/>
          <w:color w:val="010101"/>
          <w:spacing w:val="-18"/>
          <w:w w:val="118"/>
          <w:sz w:val="20"/>
        </w:rPr>
        <w:t>P(1Íz).</w:t>
      </w:r>
    </w:p>
    <w:p>
      <w:pPr>
        <w:pStyle w:val="ListParagraph"/>
        <w:numPr>
          <w:ilvl w:val="1"/>
          <w:numId w:val="36"/>
        </w:numPr>
        <w:tabs>
          <w:tab w:pos="572" w:val="left" w:leader="none"/>
        </w:tabs>
        <w:spacing w:line="240" w:lineRule="auto" w:before="0" w:after="0"/>
        <w:ind w:left="127" w:right="110" w:firstLine="193"/>
        <w:jc w:val="both"/>
        <w:rPr>
          <w:sz w:val="21"/>
        </w:rPr>
      </w:pPr>
      <w:r>
        <w:rPr>
          <w:color w:val="010101"/>
          <w:sz w:val="21"/>
        </w:rPr>
        <w:t>A prefixed  subscript  with </w:t>
      </w:r>
      <w:r>
        <w:rPr>
          <w:rFonts w:ascii="Arial"/>
          <w:i/>
          <w:color w:val="010101"/>
          <w:sz w:val="19"/>
        </w:rPr>
        <w:t>P </w:t>
      </w:r>
      <w:r>
        <w:rPr>
          <w:color w:val="010101"/>
          <w:sz w:val="21"/>
        </w:rPr>
        <w:t>indica.tes the number  of  years  in the premium-paying period (Principie C). If no  subscript  is used, the premium-paying period coincides with the term of the policy.</w:t>
      </w:r>
    </w:p>
    <w:p>
      <w:pPr>
        <w:pStyle w:val="ListParagraph"/>
        <w:numPr>
          <w:ilvl w:val="1"/>
          <w:numId w:val="36"/>
        </w:numPr>
        <w:tabs>
          <w:tab w:pos="572" w:val="left" w:leader="none"/>
        </w:tabs>
        <w:spacing w:line="240" w:lineRule="auto" w:before="0" w:after="0"/>
        <w:ind w:left="127" w:right="121" w:firstLine="190"/>
        <w:jc w:val="both"/>
        <w:rPr>
          <w:sz w:val="21"/>
        </w:rPr>
      </w:pPr>
      <w:r>
        <w:rPr>
          <w:color w:val="010101"/>
          <w:sz w:val="21"/>
        </w:rPr>
        <w:t>A suffixed superscript with </w:t>
      </w:r>
      <w:r>
        <w:rPr>
          <w:i/>
          <w:color w:val="010101"/>
          <w:sz w:val="21"/>
        </w:rPr>
        <w:t>P </w:t>
      </w:r>
      <w:r>
        <w:rPr>
          <w:color w:val="010101"/>
          <w:sz w:val="21"/>
        </w:rPr>
        <w:t>indicates the periodicity of premium payments (Principie F). If no superscript is used, annual payments  are implied.</w:t>
      </w:r>
    </w:p>
    <w:p>
      <w:pPr>
        <w:pStyle w:val="ListParagraph"/>
        <w:numPr>
          <w:ilvl w:val="1"/>
          <w:numId w:val="36"/>
        </w:numPr>
        <w:tabs>
          <w:tab w:pos="572" w:val="left" w:leader="none"/>
        </w:tabs>
        <w:spacing w:line="237" w:lineRule="auto" w:before="0" w:after="0"/>
        <w:ind w:left="127" w:right="131" w:firstLine="201"/>
        <w:jc w:val="both"/>
        <w:rPr>
          <w:sz w:val="21"/>
        </w:rPr>
      </w:pPr>
      <w:r>
        <w:rPr>
          <w:color w:val="010101"/>
          <w:sz w:val="21"/>
        </w:rPr>
        <w:t>The horizontal bar above the symbol </w:t>
      </w:r>
      <w:r>
        <w:rPr>
          <w:i/>
          <w:color w:val="010101"/>
          <w:sz w:val="22"/>
        </w:rPr>
        <w:t>P </w:t>
      </w:r>
      <w:r>
        <w:rPr>
          <w:color w:val="010101"/>
          <w:sz w:val="21"/>
        </w:rPr>
        <w:t>indicates that pre­ miurn  payments  are made  continuously  (Principie</w:t>
      </w:r>
      <w:r>
        <w:rPr>
          <w:color w:val="010101"/>
          <w:spacing w:val="12"/>
          <w:sz w:val="21"/>
        </w:rPr>
        <w:t> </w:t>
      </w:r>
      <w:r>
        <w:rPr>
          <w:color w:val="010101"/>
          <w:sz w:val="21"/>
        </w:rPr>
        <w:t>G).</w:t>
      </w:r>
    </w:p>
    <w:p>
      <w:pPr>
        <w:spacing w:after="0" w:line="237" w:lineRule="auto"/>
        <w:jc w:val="both"/>
        <w:rPr>
          <w:sz w:val="21"/>
        </w:rPr>
        <w:sectPr>
          <w:type w:val="continuous"/>
          <w:pgSz w:w="7200" w:h="11340"/>
          <w:pgMar w:top="1100" w:bottom="0" w:left="680" w:right="540"/>
        </w:sectPr>
      </w:pPr>
    </w:p>
    <w:p>
      <w:pPr>
        <w:tabs>
          <w:tab w:pos="5922" w:val="right" w:leader="none"/>
        </w:tabs>
        <w:spacing w:before="50"/>
        <w:ind w:left="2564" w:right="0" w:firstLine="0"/>
        <w:jc w:val="left"/>
        <w:rPr>
          <w:rFonts w:ascii="Arial"/>
          <w:sz w:val="19"/>
        </w:rPr>
      </w:pPr>
      <w:r>
        <w:rPr>
          <w:b/>
          <w:w w:val="105"/>
          <w:sz w:val="14"/>
        </w:rPr>
        <w:t>JJXERCISES</w:t>
      </w:r>
      <w:r>
        <w:rPr>
          <w:rFonts w:ascii="Arial"/>
          <w:w w:val="105"/>
          <w:sz w:val="19"/>
        </w:rPr>
        <w:tab/>
        <w:t>93</w:t>
      </w:r>
    </w:p>
    <w:p>
      <w:pPr>
        <w:pStyle w:val="BodyText"/>
        <w:spacing w:before="2"/>
        <w:rPr>
          <w:rFonts w:ascii="Arial"/>
          <w:sz w:val="22"/>
        </w:rPr>
      </w:pPr>
    </w:p>
    <w:p>
      <w:pPr>
        <w:spacing w:before="0"/>
        <w:ind w:left="130" w:right="0" w:firstLine="0"/>
        <w:jc w:val="left"/>
        <w:rPr>
          <w:b/>
          <w:sz w:val="20"/>
        </w:rPr>
      </w:pPr>
      <w:r>
        <w:rPr>
          <w:b/>
          <w:w w:val="110"/>
          <w:sz w:val="20"/>
        </w:rPr>
        <w:t>Reference</w:t>
      </w:r>
    </w:p>
    <w:p>
      <w:pPr>
        <w:spacing w:before="120"/>
        <w:ind w:left="119" w:right="145" w:firstLine="205"/>
        <w:jc w:val="both"/>
        <w:rPr>
          <w:sz w:val="21"/>
        </w:rPr>
      </w:pPr>
      <w:r>
        <w:rPr>
          <w:sz w:val="21"/>
        </w:rPr>
        <w:t>The a.na.lysis of the endowment premiwn </w:t>
      </w:r>
      <w:r>
        <w:rPr>
          <w:sz w:val="20"/>
        </w:rPr>
        <w:t>in </w:t>
      </w:r>
      <w:r>
        <w:rPr>
          <w:sz w:val="21"/>
        </w:rPr>
        <w:t>Section 3 </w:t>
      </w:r>
      <w:r>
        <w:rPr>
          <w:rFonts w:ascii="Arial"/>
          <w:sz w:val="19"/>
        </w:rPr>
        <w:t>is </w:t>
      </w:r>
      <w:r>
        <w:rPr>
          <w:sz w:val="21"/>
        </w:rPr>
        <w:t>taken from  Linton  (1919).</w:t>
      </w:r>
    </w:p>
    <w:p>
      <w:pPr>
        <w:spacing w:before="161"/>
        <w:ind w:left="530" w:right="543" w:firstLine="0"/>
        <w:jc w:val="center"/>
        <w:rPr>
          <w:sz w:val="18"/>
        </w:rPr>
      </w:pPr>
      <w:r>
        <w:rPr>
          <w:w w:val="105"/>
          <w:sz w:val="18"/>
        </w:rPr>
        <w:t>EXERCISES</w:t>
      </w:r>
    </w:p>
    <w:p>
      <w:pPr>
        <w:pStyle w:val="BodyText"/>
        <w:spacing w:before="4"/>
        <w:rPr>
          <w:sz w:val="14"/>
        </w:rPr>
      </w:pPr>
    </w:p>
    <w:p>
      <w:pPr>
        <w:spacing w:before="1"/>
        <w:ind w:left="130" w:right="0" w:firstLine="0"/>
        <w:jc w:val="left"/>
        <w:rPr>
          <w:b/>
          <w:sz w:val="17"/>
        </w:rPr>
      </w:pPr>
      <w:r>
        <w:rPr>
          <w:b/>
          <w:w w:val="120"/>
          <w:sz w:val="17"/>
        </w:rPr>
        <w:t>l. Annual premiums for insuranees and deferred annuities</w:t>
      </w:r>
    </w:p>
    <w:p>
      <w:pPr>
        <w:tabs>
          <w:tab w:pos="4983" w:val="left" w:leader="none"/>
        </w:tabs>
        <w:spacing w:line="225" w:lineRule="auto" w:before="45"/>
        <w:ind w:left="141" w:right="143" w:firstLine="154"/>
        <w:jc w:val="both"/>
        <w:rPr>
          <w:sz w:val="18"/>
        </w:rPr>
      </w:pPr>
      <w:r>
        <w:rPr>
          <w:w w:val="156"/>
          <w:sz w:val="17"/>
        </w:rPr>
        <w:t>l. </w:t>
      </w:r>
      <w:r>
        <w:rPr>
          <w:w w:val="103"/>
          <w:sz w:val="18"/>
        </w:rPr>
        <w:t>Given </w:t>
      </w:r>
      <w:r>
        <w:rPr>
          <w:rFonts w:ascii="Arial"/>
          <w:spacing w:val="-28"/>
          <w:w w:val="147"/>
          <w:sz w:val="16"/>
        </w:rPr>
        <w:t>P11:iil</w:t>
      </w:r>
      <w:r>
        <w:rPr>
          <w:rFonts w:ascii="Arial"/>
          <w:w w:val="147"/>
          <w:sz w:val="16"/>
        </w:rPr>
        <w:t> </w:t>
      </w:r>
      <w:r>
        <w:rPr>
          <w:w w:val="86"/>
          <w:sz w:val="23"/>
        </w:rPr>
        <w:t>=  </w:t>
      </w:r>
      <w:r>
        <w:rPr>
          <w:w w:val="82"/>
          <w:sz w:val="18"/>
        </w:rPr>
        <w:t>.042'&gt;,  </w:t>
      </w:r>
      <w:r>
        <w:rPr>
          <w:w w:val="108"/>
          <w:sz w:val="16"/>
        </w:rPr>
        <w:t>1oPu  </w:t>
      </w:r>
      <w:r>
        <w:rPr>
          <w:w w:val="83"/>
          <w:sz w:val="23"/>
        </w:rPr>
        <w:t>=  </w:t>
      </w:r>
      <w:r>
        <w:rPr>
          <w:spacing w:val="-6"/>
          <w:w w:val="101"/>
          <w:sz w:val="18"/>
        </w:rPr>
        <w:t>.0299,</w:t>
      </w:r>
      <w:r>
        <w:rPr>
          <w:w w:val="101"/>
          <w:sz w:val="18"/>
        </w:rPr>
        <w:t> </w:t>
      </w:r>
      <w:r>
        <w:rPr>
          <w:w w:val="108"/>
          <w:sz w:val="18"/>
        </w:rPr>
        <w:t>and </w:t>
      </w:r>
      <w:r>
        <w:rPr>
          <w:i/>
          <w:w w:val="123"/>
          <w:sz w:val="18"/>
        </w:rPr>
        <w:t>Au  </w:t>
      </w:r>
      <w:r>
        <w:rPr>
          <w:w w:val="89"/>
          <w:sz w:val="23"/>
        </w:rPr>
        <w:t>=  </w:t>
      </w:r>
      <w:r>
        <w:rPr>
          <w:w w:val="92"/>
          <w:sz w:val="18"/>
        </w:rPr>
        <w:t>.6099,  </w:t>
      </w:r>
      <w:r>
        <w:rPr>
          <w:w w:val="99"/>
          <w:sz w:val="18"/>
        </w:rPr>
        <w:t>find </w:t>
      </w:r>
      <w:r>
        <w:rPr>
          <w:w w:val="109"/>
          <w:sz w:val="18"/>
        </w:rPr>
        <w:t>the </w:t>
      </w:r>
      <w:r>
        <w:rPr>
          <w:w w:val="103"/>
          <w:sz w:val="18"/>
        </w:rPr>
        <w:t>value </w:t>
      </w:r>
      <w:r>
        <w:rPr>
          <w:sz w:val="18"/>
        </w:rPr>
        <w:t>of  </w:t>
      </w:r>
      <w:r>
        <w:rPr>
          <w:rFonts w:ascii="Arial"/>
          <w:w w:val="130"/>
          <w:sz w:val="17"/>
        </w:rPr>
        <w:t>P</w:t>
      </w:r>
      <w:r>
        <w:rPr>
          <w:rFonts w:ascii="Arial"/>
          <w:spacing w:val="-46"/>
          <w:w w:val="130"/>
          <w:sz w:val="17"/>
        </w:rPr>
        <w:t> </w:t>
      </w:r>
      <w:r>
        <w:rPr>
          <w:rFonts w:ascii="Arial"/>
          <w:spacing w:val="-16"/>
          <w:w w:val="130"/>
          <w:sz w:val="17"/>
        </w:rPr>
        <w:t>1:iil </w:t>
      </w:r>
      <w:r>
        <w:rPr>
          <w:rFonts w:ascii="Arial"/>
          <w:w w:val="130"/>
          <w:sz w:val="17"/>
        </w:rPr>
        <w:t>.</w:t>
        <w:tab/>
      </w:r>
      <w:r>
        <w:rPr>
          <w:spacing w:val="2"/>
          <w:sz w:val="18"/>
        </w:rPr>
        <w:t>(Ans.</w:t>
      </w:r>
      <w:r>
        <w:rPr>
          <w:spacing w:val="25"/>
          <w:sz w:val="18"/>
        </w:rPr>
        <w:t> </w:t>
      </w:r>
      <w:r>
        <w:rPr>
          <w:spacing w:val="-5"/>
          <w:sz w:val="18"/>
        </w:rPr>
        <w:t>.0110)</w:t>
      </w:r>
    </w:p>
    <w:p>
      <w:pPr>
        <w:pStyle w:val="ListParagraph"/>
        <w:numPr>
          <w:ilvl w:val="0"/>
          <w:numId w:val="38"/>
        </w:numPr>
        <w:tabs>
          <w:tab w:pos="520" w:val="left" w:leader="none"/>
        </w:tabs>
        <w:spacing w:line="228" w:lineRule="auto" w:before="0" w:after="0"/>
        <w:ind w:left="810" w:right="133" w:hanging="518"/>
        <w:jc w:val="both"/>
        <w:rPr>
          <w:sz w:val="17"/>
        </w:rPr>
      </w:pPr>
      <w:r>
        <w:rPr>
          <w:w w:val="105"/>
          <w:sz w:val="18"/>
        </w:rPr>
        <w:t>(a) Obtain </w:t>
      </w:r>
      <w:r>
        <w:rPr>
          <w:rFonts w:ascii="Arial" w:hAnsi="Arial"/>
          <w:w w:val="105"/>
          <w:sz w:val="16"/>
        </w:rPr>
        <w:t>a </w:t>
      </w:r>
      <w:r>
        <w:rPr>
          <w:w w:val="105"/>
          <w:sz w:val="18"/>
        </w:rPr>
        <w:t>formula in commutation symbols· for the net annual premium, payable for </w:t>
      </w:r>
      <w:r>
        <w:rPr>
          <w:rFonts w:ascii="Arial" w:hAnsi="Arial"/>
          <w:w w:val="105"/>
          <w:sz w:val="16"/>
        </w:rPr>
        <w:t>5 </w:t>
      </w:r>
      <w:r>
        <w:rPr>
          <w:w w:val="105"/>
          <w:sz w:val="18"/>
        </w:rPr>
        <w:t>years, for </w:t>
      </w:r>
      <w:r>
        <w:rPr>
          <w:rFonts w:ascii="Arial" w:hAnsi="Arial"/>
          <w:w w:val="105"/>
          <w:sz w:val="15"/>
        </w:rPr>
        <w:t>a </w:t>
      </w:r>
      <w:r>
        <w:rPr>
          <w:spacing w:val="-8"/>
          <w:w w:val="105"/>
          <w:sz w:val="18"/>
        </w:rPr>
        <w:t>10-year </w:t>
      </w:r>
      <w:r>
        <w:rPr>
          <w:w w:val="105"/>
          <w:sz w:val="18"/>
        </w:rPr>
        <w:t>deferred 2'&gt;-year tem­ porary  immediate  annuity  of  </w:t>
      </w:r>
      <w:r>
        <w:rPr>
          <w:spacing w:val="6"/>
          <w:w w:val="105"/>
          <w:sz w:val="18"/>
        </w:rPr>
        <w:t>1</w:t>
      </w:r>
      <w:r>
        <w:rPr>
          <w:spacing w:val="6"/>
          <w:w w:val="105"/>
          <w:sz w:val="19"/>
        </w:rPr>
        <w:t>to</w:t>
      </w:r>
      <w:r>
        <w:rPr>
          <w:spacing w:val="2"/>
          <w:w w:val="105"/>
          <w:sz w:val="19"/>
        </w:rPr>
        <w:t> </w:t>
      </w:r>
      <w:r>
        <w:rPr>
          <w:w w:val="105"/>
          <w:sz w:val="16"/>
        </w:rPr>
        <w:t>(30).</w:t>
      </w:r>
    </w:p>
    <w:p>
      <w:pPr>
        <w:spacing w:line="202" w:lineRule="exact" w:before="0"/>
        <w:ind w:left="818" w:right="0" w:hanging="296"/>
        <w:jc w:val="left"/>
        <w:rPr>
          <w:sz w:val="18"/>
        </w:rPr>
      </w:pPr>
      <w:r>
        <w:rPr>
          <w:w w:val="110"/>
          <w:sz w:val="17"/>
        </w:rPr>
        <w:t>(b) </w:t>
      </w:r>
      <w:r>
        <w:rPr>
          <w:w w:val="110"/>
          <w:sz w:val="18"/>
        </w:rPr>
        <w:t>Find the net annual premium </w:t>
      </w:r>
      <w:r>
        <w:rPr>
          <w:w w:val="110"/>
          <w:sz w:val="19"/>
        </w:rPr>
        <w:t>ü </w:t>
      </w:r>
      <w:r>
        <w:rPr>
          <w:w w:val="110"/>
          <w:sz w:val="18"/>
        </w:rPr>
        <w:t>the annuity in    (a) </w:t>
      </w:r>
      <w:r>
        <w:rPr>
          <w:rFonts w:ascii="Arial" w:hAnsi="Arial"/>
          <w:w w:val="110"/>
          <w:sz w:val="16"/>
        </w:rPr>
        <w:t>has </w:t>
      </w:r>
      <w:r>
        <w:rPr>
          <w:w w:val="110"/>
          <w:sz w:val="18"/>
        </w:rPr>
        <w:t>the addi­</w:t>
      </w:r>
    </w:p>
    <w:p>
      <w:pPr>
        <w:spacing w:line="202" w:lineRule="exact" w:before="4"/>
        <w:ind w:left="810" w:right="0" w:firstLine="7"/>
        <w:jc w:val="left"/>
        <w:rPr>
          <w:sz w:val="18"/>
        </w:rPr>
      </w:pPr>
      <w:r>
        <w:rPr>
          <w:w w:val="105"/>
          <w:sz w:val="18"/>
        </w:rPr>
        <w:t>tional provision that the net premiums paid will </w:t>
      </w:r>
      <w:r>
        <w:rPr>
          <w:w w:val="105"/>
          <w:sz w:val="17"/>
        </w:rPr>
        <w:t>be </w:t>
      </w:r>
      <w:r>
        <w:rPr>
          <w:w w:val="105"/>
          <w:sz w:val="18"/>
        </w:rPr>
        <w:t>returned in the event of  death within  the  10-year  deferred period.</w:t>
      </w:r>
    </w:p>
    <w:p>
      <w:pPr>
        <w:pStyle w:val="ListParagraph"/>
        <w:numPr>
          <w:ilvl w:val="0"/>
          <w:numId w:val="38"/>
        </w:numPr>
        <w:tabs>
          <w:tab w:pos="505" w:val="left" w:leader="none"/>
        </w:tabs>
        <w:spacing w:line="232" w:lineRule="auto" w:before="0" w:after="0"/>
        <w:ind w:left="130" w:right="126" w:firstLine="158"/>
        <w:jc w:val="both"/>
        <w:rPr>
          <w:sz w:val="17"/>
        </w:rPr>
      </w:pPr>
      <w:r>
        <w:rPr>
          <w:w w:val="105"/>
          <w:sz w:val="18"/>
        </w:rPr>
        <w:t>Express in commutation symbols the  nét  annual premium  at age </w:t>
      </w:r>
      <w:r>
        <w:rPr>
          <w:w w:val="105"/>
          <w:sz w:val="17"/>
        </w:rPr>
        <w:t>40 </w:t>
      </w:r>
      <w:r>
        <w:rPr>
          <w:w w:val="105"/>
          <w:sz w:val="18"/>
        </w:rPr>
        <w:t>for a double protection to </w:t>
      </w:r>
      <w:r>
        <w:rPr>
          <w:rFonts w:ascii="Arial" w:hAnsi="Arial"/>
          <w:b/>
          <w:w w:val="105"/>
          <w:sz w:val="14"/>
        </w:rPr>
        <w:t>age </w:t>
      </w:r>
      <w:r>
        <w:rPr>
          <w:b/>
          <w:w w:val="105"/>
          <w:sz w:val="16"/>
        </w:rPr>
        <w:t>65 </w:t>
      </w:r>
      <w:r>
        <w:rPr>
          <w:w w:val="105"/>
          <w:sz w:val="18"/>
        </w:rPr>
        <w:t>policy that provides level insurance for the initial amount of </w:t>
      </w:r>
      <w:r>
        <w:rPr>
          <w:w w:val="105"/>
          <w:sz w:val="17"/>
        </w:rPr>
        <w:t>2 </w:t>
      </w:r>
      <w:r>
        <w:rPr>
          <w:w w:val="105"/>
          <w:sz w:val="18"/>
        </w:rPr>
        <w:t>to age </w:t>
      </w:r>
      <w:r>
        <w:rPr>
          <w:w w:val="105"/>
          <w:sz w:val="17"/>
        </w:rPr>
        <w:t>65 </w:t>
      </w:r>
      <w:r>
        <w:rPr>
          <w:w w:val="105"/>
          <w:sz w:val="18"/>
        </w:rPr>
        <w:t>and insurance for the ultimate (one-half the initial) amount thereaf ter, if the net annual premium reduces at age </w:t>
      </w:r>
      <w:r>
        <w:rPr>
          <w:w w:val="105"/>
          <w:sz w:val="17"/>
        </w:rPr>
        <w:t>65 </w:t>
      </w:r>
      <w:r>
        <w:rPr>
          <w:w w:val="105"/>
          <w:sz w:val="18"/>
        </w:rPr>
        <w:t>to  the ordinary life net  premium  at the original  age for the ultimate  </w:t>
      </w:r>
      <w:r>
        <w:rPr>
          <w:spacing w:val="21"/>
          <w:w w:val="105"/>
          <w:sz w:val="18"/>
        </w:rPr>
        <w:t> </w:t>
      </w:r>
      <w:r>
        <w:rPr>
          <w:w w:val="105"/>
          <w:sz w:val="18"/>
        </w:rPr>
        <w:t>amount.</w:t>
      </w:r>
    </w:p>
    <w:p>
      <w:pPr>
        <w:spacing w:line="154" w:lineRule="exact" w:before="1"/>
        <w:ind w:left="83" w:right="543" w:firstLine="0"/>
        <w:jc w:val="center"/>
        <w:rPr>
          <w:b/>
          <w:sz w:val="17"/>
        </w:rPr>
      </w:pPr>
      <w:r>
        <w:rPr/>
        <w:pict>
          <v:shape style="position:absolute;margin-left:132.119995pt;margin-top:4.851809pt;width:5.45pt;height:11.5pt;mso-position-horizontal-relative:page;mso-position-vertical-relative:paragraph;z-index:-727624" type="#_x0000_t202" filled="false" stroked="false">
            <v:textbox inset="0,0,0,0">
              <w:txbxContent>
                <w:p>
                  <w:pPr>
                    <w:spacing w:line="230" w:lineRule="exact" w:before="0"/>
                    <w:ind w:left="0" w:right="0" w:firstLine="0"/>
                    <w:jc w:val="left"/>
                    <w:rPr>
                      <w:sz w:val="23"/>
                    </w:rPr>
                  </w:pPr>
                  <w:r>
                    <w:rPr>
                      <w:w w:val="83"/>
                      <w:sz w:val="23"/>
                    </w:rPr>
                    <w:t>=</w:t>
                  </w:r>
                </w:p>
              </w:txbxContent>
            </v:textbox>
            <w10:wrap type="none"/>
          </v:shape>
        </w:pict>
      </w:r>
      <w:r>
        <w:rPr>
          <w:b/>
          <w:w w:val="120"/>
          <w:sz w:val="17"/>
        </w:rPr>
        <w:t>d(I4).</w:t>
      </w:r>
    </w:p>
    <w:p>
      <w:pPr>
        <w:pStyle w:val="ListParagraph"/>
        <w:numPr>
          <w:ilvl w:val="0"/>
          <w:numId w:val="38"/>
        </w:numPr>
        <w:tabs>
          <w:tab w:pos="494" w:val="left" w:leader="none"/>
          <w:tab w:pos="2200" w:val="left" w:leader="none"/>
          <w:tab w:pos="2855" w:val="left" w:leader="none"/>
        </w:tabs>
        <w:spacing w:line="125" w:lineRule="exact" w:before="0" w:after="0"/>
        <w:ind w:left="494" w:right="0" w:hanging="216"/>
        <w:jc w:val="left"/>
        <w:rPr>
          <w:sz w:val="18"/>
        </w:rPr>
      </w:pPr>
      <w:r>
        <w:rPr>
          <w:w w:val="115"/>
          <w:sz w:val="18"/>
        </w:rPr>
        <w:t>Show</w:t>
      </w:r>
      <w:r>
        <w:rPr>
          <w:spacing w:val="-26"/>
          <w:w w:val="115"/>
          <w:sz w:val="18"/>
        </w:rPr>
        <w:t> </w:t>
      </w:r>
      <w:r>
        <w:rPr>
          <w:w w:val="115"/>
          <w:sz w:val="18"/>
        </w:rPr>
        <w:t>that</w:t>
      </w:r>
      <w:r>
        <w:rPr>
          <w:spacing w:val="-26"/>
          <w:w w:val="115"/>
          <w:sz w:val="18"/>
        </w:rPr>
        <w:t> </w:t>
      </w:r>
      <w:r>
        <w:rPr>
          <w:w w:val="115"/>
          <w:sz w:val="18"/>
        </w:rPr>
        <w:t>P[(IA).]</w:t>
        <w:tab/>
      </w:r>
      <w:r>
        <w:rPr>
          <w:spacing w:val="5"/>
          <w:w w:val="175"/>
          <w:sz w:val="18"/>
        </w:rPr>
        <w:t>1-</w:t>
        <w:tab/>
      </w:r>
      <w:r>
        <w:rPr>
          <w:w w:val="315"/>
          <w:sz w:val="18"/>
        </w:rPr>
        <w:t>-</w:t>
      </w:r>
      <w:r>
        <w:rPr>
          <w:spacing w:val="-79"/>
          <w:w w:val="315"/>
          <w:sz w:val="18"/>
        </w:rPr>
        <w:t> </w:t>
      </w:r>
      <w:r>
        <w:rPr>
          <w:w w:val="175"/>
          <w:sz w:val="18"/>
        </w:rPr>
        <w:t>.</w:t>
      </w:r>
    </w:p>
    <w:p>
      <w:pPr>
        <w:spacing w:line="189" w:lineRule="exact" w:before="0"/>
        <w:ind w:left="115" w:right="543" w:firstLine="0"/>
        <w:jc w:val="center"/>
        <w:rPr>
          <w:b/>
          <w:sz w:val="20"/>
        </w:rPr>
      </w:pPr>
      <w:r>
        <w:rPr>
          <w:b/>
          <w:sz w:val="20"/>
        </w:rPr>
        <w:t>d.</w:t>
      </w:r>
    </w:p>
    <w:p>
      <w:pPr>
        <w:pStyle w:val="BodyText"/>
        <w:spacing w:before="8"/>
        <w:rPr>
          <w:b/>
          <w:sz w:val="18"/>
        </w:rPr>
      </w:pPr>
    </w:p>
    <w:p>
      <w:pPr>
        <w:pStyle w:val="ListParagraph"/>
        <w:numPr>
          <w:ilvl w:val="0"/>
          <w:numId w:val="39"/>
        </w:numPr>
        <w:tabs>
          <w:tab w:pos="314" w:val="left" w:leader="none"/>
        </w:tabs>
        <w:spacing w:line="240" w:lineRule="auto" w:before="0" w:after="0"/>
        <w:ind w:left="314" w:right="0" w:hanging="202"/>
        <w:jc w:val="left"/>
        <w:rPr>
          <w:b/>
          <w:sz w:val="17"/>
        </w:rPr>
      </w:pPr>
      <w:r>
        <w:rPr>
          <w:b/>
          <w:w w:val="120"/>
          <w:sz w:val="17"/>
        </w:rPr>
        <w:t>Fraetional</w:t>
      </w:r>
      <w:r>
        <w:rPr>
          <w:b/>
          <w:spacing w:val="24"/>
          <w:w w:val="120"/>
          <w:sz w:val="17"/>
        </w:rPr>
        <w:t> </w:t>
      </w:r>
      <w:r>
        <w:rPr>
          <w:b/>
          <w:w w:val="120"/>
          <w:sz w:val="17"/>
        </w:rPr>
        <w:t>premiums</w:t>
      </w:r>
    </w:p>
    <w:p>
      <w:pPr>
        <w:pStyle w:val="ListParagraph"/>
        <w:numPr>
          <w:ilvl w:val="1"/>
          <w:numId w:val="39"/>
        </w:numPr>
        <w:tabs>
          <w:tab w:pos="491" w:val="left" w:leader="none"/>
        </w:tabs>
        <w:spacing w:line="232" w:lineRule="auto" w:before="113" w:after="0"/>
        <w:ind w:left="116" w:right="126" w:firstLine="165"/>
        <w:jc w:val="both"/>
        <w:rPr>
          <w:sz w:val="17"/>
        </w:rPr>
      </w:pPr>
      <w:r>
        <w:rPr>
          <w:w w:val="105"/>
          <w:sz w:val="18"/>
        </w:rPr>
        <w:t>The net annual premium at age </w:t>
      </w:r>
      <w:r>
        <w:rPr>
          <w:rFonts w:ascii="Arial" w:hAnsi="Arial"/>
          <w:i/>
          <w:w w:val="105"/>
          <w:sz w:val="16"/>
        </w:rPr>
        <w:t>'l"/ </w:t>
      </w:r>
      <w:r>
        <w:rPr>
          <w:w w:val="105"/>
          <w:sz w:val="18"/>
        </w:rPr>
        <w:t>for an ordinary life policy of </w:t>
      </w:r>
      <w:r>
        <w:rPr>
          <w:spacing w:val="-4"/>
          <w:w w:val="105"/>
          <w:sz w:val="17"/>
        </w:rPr>
        <w:t>$1000 </w:t>
      </w:r>
      <w:r>
        <w:rPr>
          <w:w w:val="105"/>
          <w:sz w:val="18"/>
        </w:rPr>
        <w:t>on the </w:t>
      </w:r>
      <w:r>
        <w:rPr>
          <w:spacing w:val="-12"/>
          <w:w w:val="105"/>
          <w:sz w:val="17"/>
        </w:rPr>
        <w:t>1958 </w:t>
      </w:r>
      <w:r>
        <w:rPr>
          <w:w w:val="105"/>
          <w:sz w:val="18"/>
        </w:rPr>
        <w:t>CSO table with </w:t>
      </w:r>
      <w:r>
        <w:rPr>
          <w:w w:val="105"/>
          <w:sz w:val="17"/>
        </w:rPr>
        <w:t>3% </w:t>
      </w:r>
      <w:r>
        <w:rPr>
          <w:w w:val="105"/>
          <w:sz w:val="18"/>
        </w:rPr>
        <w:t>interest is </w:t>
      </w:r>
      <w:r>
        <w:rPr>
          <w:w w:val="105"/>
          <w:sz w:val="17"/>
        </w:rPr>
        <w:t>$12.09. </w:t>
      </w:r>
      <w:r>
        <w:rPr>
          <w:w w:val="105"/>
          <w:sz w:val="18"/>
        </w:rPr>
        <w:t>Using the standard ap­ proximation, compute the corresponding premium payable quarterly (a) on the  true basis,  </w:t>
      </w:r>
      <w:r>
        <w:rPr>
          <w:w w:val="105"/>
          <w:sz w:val="16"/>
        </w:rPr>
        <w:t>(b)  </w:t>
      </w:r>
      <w:r>
        <w:rPr>
          <w:w w:val="105"/>
          <w:sz w:val="18"/>
        </w:rPr>
        <w:t>on the instalment  basis,  </w:t>
      </w:r>
      <w:r>
        <w:rPr>
          <w:w w:val="105"/>
          <w:sz w:val="16"/>
        </w:rPr>
        <w:t>(e)  </w:t>
      </w:r>
      <w:r>
        <w:rPr>
          <w:w w:val="105"/>
          <w:sz w:val="18"/>
        </w:rPr>
        <w:t>on the apportionable </w:t>
      </w:r>
      <w:r>
        <w:rPr>
          <w:spacing w:val="46"/>
          <w:w w:val="105"/>
          <w:sz w:val="18"/>
        </w:rPr>
        <w:t> </w:t>
      </w:r>
      <w:r>
        <w:rPr>
          <w:w w:val="105"/>
          <w:sz w:val="18"/>
        </w:rPr>
        <w:t>basis.</w:t>
      </w:r>
    </w:p>
    <w:p>
      <w:pPr>
        <w:spacing w:line="199" w:lineRule="exact" w:before="0"/>
        <w:ind w:left="3770" w:right="0" w:firstLine="0"/>
        <w:jc w:val="left"/>
        <w:rPr>
          <w:sz w:val="17"/>
        </w:rPr>
      </w:pPr>
      <w:r>
        <w:rPr/>
        <w:pict>
          <v:shape style="position:absolute;margin-left:199.619995pt;margin-top:3.660492pt;width:18.850pt;height:19.5pt;mso-position-horizontal-relative:page;mso-position-vertical-relative:paragraph;z-index:-727600" type="#_x0000_t202" filled="false" stroked="false">
            <v:textbox inset="0,0,0,0">
              <w:txbxContent>
                <w:p>
                  <w:pPr>
                    <w:spacing w:line="390" w:lineRule="exact" w:before="0"/>
                    <w:ind w:left="0" w:right="0" w:firstLine="0"/>
                    <w:jc w:val="left"/>
                    <w:rPr>
                      <w:i/>
                      <w:sz w:val="39"/>
                    </w:rPr>
                  </w:pPr>
                  <w:r>
                    <w:rPr>
                      <w:i/>
                      <w:w w:val="80"/>
                      <w:sz w:val="39"/>
                    </w:rPr>
                    <w:t>,Pt</w:t>
                  </w:r>
                </w:p>
              </w:txbxContent>
            </v:textbox>
            <w10:wrap type="none"/>
          </v:shape>
        </w:pict>
      </w:r>
      <w:r>
        <w:rPr>
          <w:sz w:val="18"/>
        </w:rPr>
        <w:t>(Ans. </w:t>
      </w:r>
      <w:r>
        <w:rPr>
          <w:sz w:val="17"/>
        </w:rPr>
        <w:t>$12.28,   $12.22,  $12.30)</w:t>
      </w:r>
    </w:p>
    <w:p>
      <w:pPr>
        <w:pStyle w:val="ListParagraph"/>
        <w:numPr>
          <w:ilvl w:val="1"/>
          <w:numId w:val="39"/>
        </w:numPr>
        <w:tabs>
          <w:tab w:pos="484" w:val="left" w:leader="none"/>
          <w:tab w:pos="3831" w:val="left" w:leader="none"/>
        </w:tabs>
        <w:spacing w:line="240" w:lineRule="auto" w:before="20" w:after="0"/>
        <w:ind w:left="483" w:right="0" w:hanging="213"/>
        <w:jc w:val="left"/>
        <w:rPr>
          <w:sz w:val="18"/>
        </w:rPr>
      </w:pPr>
      <w:r>
        <w:rPr>
          <w:w w:val="105"/>
          <w:sz w:val="18"/>
        </w:rPr>
        <w:t>Obtain  an  approximate</w:t>
      </w:r>
      <w:r>
        <w:rPr>
          <w:spacing w:val="3"/>
          <w:w w:val="105"/>
          <w:sz w:val="18"/>
        </w:rPr>
        <w:t> </w:t>
      </w:r>
      <w:r>
        <w:rPr>
          <w:w w:val="105"/>
          <w:sz w:val="18"/>
        </w:rPr>
        <w:t>formula</w:t>
      </w:r>
      <w:r>
        <w:rPr>
          <w:spacing w:val="40"/>
          <w:w w:val="105"/>
          <w:sz w:val="18"/>
        </w:rPr>
        <w:t> </w:t>
      </w:r>
      <w:r>
        <w:rPr>
          <w:w w:val="105"/>
          <w:sz w:val="18"/>
        </w:rPr>
        <w:t>for</w:t>
        <w:tab/>
        <w:t>in terms  of  net </w:t>
      </w:r>
      <w:r>
        <w:rPr>
          <w:spacing w:val="7"/>
          <w:w w:val="105"/>
          <w:sz w:val="18"/>
        </w:rPr>
        <w:t> </w:t>
      </w:r>
      <w:r>
        <w:rPr>
          <w:w w:val="105"/>
          <w:sz w:val="18"/>
        </w:rPr>
        <w:t>premiums</w:t>
      </w:r>
    </w:p>
    <w:p>
      <w:pPr>
        <w:spacing w:after="0" w:line="240" w:lineRule="auto"/>
        <w:jc w:val="left"/>
        <w:rPr>
          <w:sz w:val="18"/>
        </w:rPr>
        <w:sectPr>
          <w:pgSz w:w="7200" w:h="11340"/>
          <w:pgMar w:top="520" w:bottom="280" w:left="640" w:right="520"/>
        </w:sectPr>
      </w:pPr>
    </w:p>
    <w:p>
      <w:pPr>
        <w:pStyle w:val="ListParagraph"/>
        <w:numPr>
          <w:ilvl w:val="1"/>
          <w:numId w:val="39"/>
        </w:numPr>
        <w:tabs>
          <w:tab w:pos="487" w:val="left" w:leader="none"/>
        </w:tabs>
        <w:spacing w:line="32" w:lineRule="exact" w:before="0" w:after="0"/>
        <w:ind w:left="486" w:right="0" w:hanging="216"/>
        <w:jc w:val="left"/>
        <w:rPr>
          <w:sz w:val="18"/>
        </w:rPr>
      </w:pPr>
      <w:r>
        <w:rPr>
          <w:w w:val="97"/>
          <w:sz w:val="18"/>
        </w:rPr>
        <w:t>Show</w:t>
      </w:r>
      <w:r>
        <w:rPr>
          <w:spacing w:val="-8"/>
          <w:sz w:val="18"/>
        </w:rPr>
        <w:t> </w:t>
      </w:r>
      <w:r>
        <w:rPr>
          <w:w w:val="108"/>
          <w:sz w:val="18"/>
        </w:rPr>
        <w:t>.that</w:t>
      </w:r>
      <w:r>
        <w:rPr>
          <w:spacing w:val="15"/>
          <w:sz w:val="18"/>
        </w:rPr>
        <w:t> </w:t>
      </w:r>
      <w:r>
        <w:rPr>
          <w:spacing w:val="-47"/>
          <w:w w:val="52"/>
          <w:position w:val="-11"/>
          <w:sz w:val="61"/>
        </w:rPr>
        <w:t>.</w:t>
      </w:r>
      <w:r>
        <w:rPr>
          <w:spacing w:val="-6"/>
          <w:w w:val="104"/>
          <w:sz w:val="18"/>
        </w:rPr>
        <w:t>l</w:t>
      </w:r>
      <w:r>
        <w:rPr>
          <w:spacing w:val="-74"/>
          <w:w w:val="52"/>
          <w:position w:val="-11"/>
          <w:sz w:val="61"/>
        </w:rPr>
        <w:t>.</w:t>
      </w:r>
      <w:r>
        <w:rPr>
          <w:w w:val="104"/>
          <w:sz w:val="18"/>
        </w:rPr>
        <w:t>i</w:t>
      </w:r>
      <w:r>
        <w:rPr>
          <w:spacing w:val="-126"/>
          <w:w w:val="104"/>
          <w:sz w:val="18"/>
        </w:rPr>
        <w:t>m</w:t>
      </w:r>
      <w:r>
        <w:rPr>
          <w:spacing w:val="-26"/>
          <w:w w:val="52"/>
          <w:position w:val="-11"/>
          <w:sz w:val="61"/>
        </w:rPr>
        <w:t>.</w:t>
      </w:r>
      <w:r>
        <w:rPr>
          <w:spacing w:val="-34"/>
          <w:w w:val="140"/>
          <w:position w:val="-11"/>
          <w:sz w:val="61"/>
        </w:rPr>
        <w:t>.</w:t>
      </w:r>
      <w:r>
        <w:rPr>
          <w:w w:val="117"/>
          <w:sz w:val="19"/>
        </w:rPr>
        <w:t>P</w:t>
      </w:r>
      <w:r>
        <w:rPr>
          <w:sz w:val="19"/>
        </w:rPr>
        <w:t> </w:t>
      </w:r>
      <w:r>
        <w:rPr>
          <w:w w:val="87"/>
          <w:sz w:val="19"/>
        </w:rPr>
        <w:t>"'l</w:t>
      </w:r>
      <w:r>
        <w:rPr>
          <w:sz w:val="19"/>
        </w:rPr>
        <w:t> </w:t>
      </w:r>
      <w:r>
        <w:rPr>
          <w:spacing w:val="-13"/>
          <w:sz w:val="19"/>
        </w:rPr>
        <w:t> </w:t>
      </w:r>
      <w:r>
        <w:rPr>
          <w:w w:val="105"/>
          <w:sz w:val="19"/>
        </w:rPr>
        <w:t>=</w:t>
      </w:r>
      <w:r>
        <w:rPr>
          <w:sz w:val="19"/>
        </w:rPr>
        <w:t> </w:t>
      </w:r>
      <w:r>
        <w:rPr>
          <w:spacing w:val="4"/>
          <w:sz w:val="19"/>
        </w:rPr>
        <w:t> </w:t>
      </w:r>
      <w:r>
        <w:rPr>
          <w:spacing w:val="-45"/>
          <w:w w:val="52"/>
          <w:position w:val="-11"/>
          <w:sz w:val="54"/>
        </w:rPr>
        <w:t>.</w:t>
      </w:r>
      <w:r>
        <w:rPr>
          <w:spacing w:val="-6"/>
          <w:w w:val="100"/>
          <w:sz w:val="18"/>
        </w:rPr>
        <w:t>l</w:t>
      </w:r>
      <w:r>
        <w:rPr>
          <w:spacing w:val="-65"/>
          <w:w w:val="52"/>
          <w:position w:val="-11"/>
          <w:sz w:val="54"/>
        </w:rPr>
        <w:t>.</w:t>
      </w:r>
      <w:r>
        <w:rPr>
          <w:spacing w:val="-18"/>
          <w:w w:val="100"/>
          <w:sz w:val="18"/>
        </w:rPr>
        <w:t>i</w:t>
      </w:r>
      <w:r>
        <w:rPr>
          <w:spacing w:val="-47"/>
          <w:w w:val="46"/>
          <w:position w:val="-11"/>
          <w:sz w:val="56"/>
        </w:rPr>
        <w:t>.</w:t>
      </w:r>
      <w:r>
        <w:rPr>
          <w:spacing w:val="-95"/>
          <w:w w:val="100"/>
          <w:sz w:val="18"/>
        </w:rPr>
        <w:t>m</w:t>
      </w:r>
      <w:r>
        <w:rPr>
          <w:spacing w:val="-63"/>
          <w:w w:val="46"/>
          <w:position w:val="-11"/>
          <w:sz w:val="56"/>
        </w:rPr>
        <w:t>.</w:t>
      </w:r>
      <w:r>
        <w:rPr>
          <w:spacing w:val="-257"/>
          <w:w w:val="153"/>
          <w:position w:val="-11"/>
          <w:sz w:val="56"/>
        </w:rPr>
        <w:t>.</w:t>
      </w:r>
    </w:p>
    <w:p>
      <w:pPr>
        <w:spacing w:line="175" w:lineRule="exact" w:before="32"/>
        <w:ind w:left="114" w:right="0" w:firstLine="0"/>
        <w:jc w:val="left"/>
        <w:rPr>
          <w:sz w:val="18"/>
        </w:rPr>
      </w:pPr>
      <w:r>
        <w:rPr/>
        <w:br w:type="column"/>
      </w:r>
      <w:r>
        <w:rPr>
          <w:w w:val="110"/>
          <w:sz w:val="18"/>
        </w:rPr>
        <w:t>P </w:t>
      </w:r>
      <w:r>
        <w:rPr>
          <w:sz w:val="18"/>
        </w:rPr>
        <w:t>"'&gt;. What </w:t>
      </w:r>
      <w:r>
        <w:rPr>
          <w:rFonts w:ascii="Arial"/>
          <w:sz w:val="16"/>
        </w:rPr>
        <w:t>is </w:t>
      </w:r>
      <w:r>
        <w:rPr>
          <w:sz w:val="18"/>
        </w:rPr>
        <w:t>the common limit? Why does</w:t>
      </w:r>
    </w:p>
    <w:p>
      <w:pPr>
        <w:spacing w:after="0" w:line="175" w:lineRule="exact"/>
        <w:jc w:val="left"/>
        <w:rPr>
          <w:sz w:val="18"/>
        </w:rPr>
        <w:sectPr>
          <w:type w:val="continuous"/>
          <w:pgSz w:w="7200" w:h="11340"/>
          <w:pgMar w:top="1100" w:bottom="0" w:left="640" w:right="520"/>
          <w:cols w:num="2" w:equalWidth="0">
            <w:col w:w="2550" w:space="40"/>
            <w:col w:w="3450"/>
          </w:cols>
        </w:sectPr>
      </w:pPr>
    </w:p>
    <w:p>
      <w:pPr>
        <w:spacing w:line="3" w:lineRule="exact" w:before="0"/>
        <w:ind w:left="119" w:right="0" w:firstLine="0"/>
        <w:jc w:val="left"/>
        <w:rPr>
          <w:sz w:val="18"/>
        </w:rPr>
      </w:pPr>
      <w:r>
        <w:rPr>
          <w:w w:val="105"/>
          <w:sz w:val="18"/>
        </w:rPr>
        <w:t>payable  annually  and the  rate  of discount.</w:t>
      </w:r>
    </w:p>
    <w:p>
      <w:pPr>
        <w:spacing w:line="703" w:lineRule="exact" w:before="0"/>
        <w:ind w:left="105" w:right="0" w:firstLine="0"/>
        <w:jc w:val="left"/>
        <w:rPr>
          <w:sz w:val="18"/>
        </w:rPr>
      </w:pPr>
      <w:r>
        <w:rPr>
          <w:spacing w:val="-41"/>
          <w:w w:val="52"/>
          <w:position w:val="-12"/>
          <w:sz w:val="67"/>
        </w:rPr>
        <w:t>.</w:t>
      </w:r>
      <w:r>
        <w:rPr>
          <w:spacing w:val="-13"/>
          <w:w w:val="104"/>
          <w:sz w:val="18"/>
        </w:rPr>
        <w:t>l</w:t>
      </w:r>
      <w:r>
        <w:rPr>
          <w:spacing w:val="-76"/>
          <w:w w:val="52"/>
          <w:position w:val="-12"/>
          <w:sz w:val="67"/>
        </w:rPr>
        <w:t>.</w:t>
      </w:r>
      <w:r>
        <w:rPr>
          <w:w w:val="104"/>
          <w:sz w:val="18"/>
        </w:rPr>
        <w:t>i</w:t>
      </w:r>
      <w:r>
        <w:rPr>
          <w:spacing w:val="-125"/>
          <w:w w:val="104"/>
          <w:sz w:val="18"/>
        </w:rPr>
        <w:t>m</w:t>
      </w:r>
      <w:r>
        <w:rPr>
          <w:w w:val="52"/>
          <w:position w:val="-12"/>
          <w:sz w:val="67"/>
        </w:rPr>
        <w:t>.</w:t>
      </w:r>
      <w:r>
        <w:rPr>
          <w:spacing w:val="44"/>
          <w:w w:val="52"/>
          <w:position w:val="-12"/>
          <w:sz w:val="67"/>
        </w:rPr>
        <w:t>.</w:t>
      </w:r>
      <w:r>
        <w:rPr>
          <w:rFonts w:ascii="Arial"/>
          <w:w w:val="87"/>
          <w:sz w:val="25"/>
        </w:rPr>
        <w:t>P</w:t>
      </w:r>
      <w:r>
        <w:rPr>
          <w:rFonts w:ascii="Arial"/>
          <w:spacing w:val="-53"/>
          <w:w w:val="87"/>
          <w:sz w:val="25"/>
        </w:rPr>
        <w:t>.</w:t>
      </w:r>
      <w:r>
        <w:rPr>
          <w:rFonts w:ascii="Arial"/>
          <w:w w:val="50"/>
          <w:sz w:val="25"/>
        </w:rPr>
        <w:t>"'J</w:t>
      </w:r>
      <w:r>
        <w:rPr>
          <w:rFonts w:ascii="Arial"/>
          <w:spacing w:val="-12"/>
          <w:sz w:val="25"/>
        </w:rPr>
        <w:t> </w:t>
      </w:r>
      <w:r>
        <w:rPr>
          <w:w w:val="104"/>
          <w:sz w:val="18"/>
        </w:rPr>
        <w:t>have</w:t>
      </w:r>
      <w:r>
        <w:rPr>
          <w:sz w:val="18"/>
        </w:rPr>
        <w:t> </w:t>
      </w:r>
      <w:r>
        <w:rPr>
          <w:spacing w:val="-19"/>
          <w:sz w:val="18"/>
        </w:rPr>
        <w:t> </w:t>
      </w:r>
      <w:r>
        <w:rPr>
          <w:w w:val="110"/>
          <w:sz w:val="18"/>
        </w:rPr>
        <w:t>a</w:t>
      </w:r>
      <w:r>
        <w:rPr>
          <w:spacing w:val="17"/>
          <w:sz w:val="18"/>
        </w:rPr>
        <w:t> </w:t>
      </w:r>
      <w:r>
        <w:rPr>
          <w:w w:val="104"/>
          <w:sz w:val="18"/>
        </w:rPr>
        <w:t>different</w:t>
      </w:r>
      <w:r>
        <w:rPr>
          <w:sz w:val="18"/>
        </w:rPr>
        <w:t> </w:t>
      </w:r>
      <w:r>
        <w:rPr>
          <w:spacing w:val="-17"/>
          <w:sz w:val="18"/>
        </w:rPr>
        <w:t> </w:t>
      </w:r>
      <w:r>
        <w:rPr>
          <w:w w:val="103"/>
          <w:sz w:val="18"/>
        </w:rPr>
        <w:t>value?</w:t>
      </w:r>
    </w:p>
    <w:p>
      <w:pPr>
        <w:pStyle w:val="ListParagraph"/>
        <w:numPr>
          <w:ilvl w:val="1"/>
          <w:numId w:val="39"/>
        </w:numPr>
        <w:tabs>
          <w:tab w:pos="494" w:val="left" w:leader="none"/>
        </w:tabs>
        <w:spacing w:line="143" w:lineRule="exact" w:before="0" w:after="0"/>
        <w:ind w:left="494" w:right="0" w:hanging="224"/>
        <w:jc w:val="left"/>
        <w:rPr>
          <w:sz w:val="18"/>
        </w:rPr>
      </w:pPr>
      <w:r>
        <w:rPr>
          <w:w w:val="105"/>
          <w:sz w:val="18"/>
        </w:rPr>
        <w:t>In practice,  apportionable  premiums  are ref unded  only for</w:t>
      </w:r>
      <w:r>
        <w:rPr>
          <w:spacing w:val="33"/>
          <w:w w:val="105"/>
          <w:sz w:val="18"/>
        </w:rPr>
        <w:t> </w:t>
      </w:r>
      <w:r>
        <w:rPr>
          <w:w w:val="105"/>
          <w:sz w:val="18"/>
        </w:rPr>
        <w:t>complete</w:t>
      </w:r>
    </w:p>
    <w:p>
      <w:pPr>
        <w:spacing w:line="179" w:lineRule="exact" w:before="0"/>
        <w:ind w:left="112" w:right="0" w:firstLine="0"/>
        <w:jc w:val="left"/>
        <w:rPr>
          <w:sz w:val="18"/>
        </w:rPr>
      </w:pPr>
      <w:r>
        <w:rPr>
          <w:w w:val="105"/>
          <w:sz w:val="18"/>
        </w:rPr>
        <w:t>months, with no refund for any part  of  the month of  death. Show  that   on</w:t>
      </w:r>
    </w:p>
    <w:p>
      <w:pPr>
        <w:spacing w:line="228" w:lineRule="exact" w:before="0"/>
        <w:ind w:left="115" w:right="0" w:firstLine="0"/>
        <w:jc w:val="left"/>
        <w:rPr>
          <w:sz w:val="18"/>
        </w:rPr>
      </w:pPr>
      <w:r>
        <w:rPr>
          <w:rFonts w:ascii="Arial" w:hAnsi="Arial"/>
          <w:w w:val="110"/>
          <w:sz w:val="18"/>
        </w:rPr>
        <w:t>this </w:t>
      </w:r>
      <w:r>
        <w:rPr>
          <w:w w:val="110"/>
          <w:sz w:val="18"/>
        </w:rPr>
        <w:t>usumption the fonnula for </w:t>
      </w:r>
      <w:r>
        <w:rPr>
          <w:rFonts w:ascii="Arial" w:hAnsi="Arial"/>
          <w:w w:val="110"/>
          <w:sz w:val="22"/>
        </w:rPr>
        <w:t>pJ•l</w:t>
      </w:r>
      <w:r>
        <w:rPr>
          <w:w w:val="110"/>
          <w:sz w:val="18"/>
        </w:rPr>
        <w:t>is</w:t>
      </w:r>
    </w:p>
    <w:p>
      <w:pPr>
        <w:pStyle w:val="BodyText"/>
        <w:spacing w:before="10"/>
        <w:rPr>
          <w:sz w:val="25"/>
        </w:rPr>
      </w:pPr>
    </w:p>
    <w:p>
      <w:pPr>
        <w:tabs>
          <w:tab w:pos="3190" w:val="left" w:leader="none"/>
        </w:tabs>
        <w:spacing w:line="179" w:lineRule="exact" w:before="0"/>
        <w:ind w:left="1846" w:right="0" w:firstLine="0"/>
        <w:jc w:val="left"/>
        <w:rPr>
          <w:rFonts w:ascii="Arial" w:hAnsi="Arial"/>
          <w:i/>
          <w:sz w:val="17"/>
        </w:rPr>
      </w:pPr>
      <w:r>
        <w:rPr>
          <w:rFonts w:ascii="Arial" w:hAnsi="Arial"/>
          <w:spacing w:val="-27"/>
          <w:w w:val="230"/>
          <w:sz w:val="17"/>
        </w:rPr>
        <w:t>l•l</w:t>
      </w:r>
      <w:r>
        <w:rPr>
          <w:rFonts w:ascii="Arial" w:hAnsi="Arial"/>
          <w:spacing w:val="-70"/>
          <w:w w:val="230"/>
          <w:sz w:val="17"/>
        </w:rPr>
        <w:t> </w:t>
      </w:r>
      <w:r>
        <w:rPr>
          <w:rFonts w:ascii="Arial" w:hAnsi="Arial"/>
          <w:w w:val="580"/>
          <w:sz w:val="17"/>
        </w:rPr>
        <w:t>.</w:t>
        <w:tab/>
      </w:r>
      <w:r>
        <w:rPr>
          <w:rFonts w:ascii="Arial" w:hAnsi="Arial"/>
          <w:i/>
          <w:w w:val="150"/>
          <w:sz w:val="17"/>
          <w:u w:val="single"/>
        </w:rPr>
        <w:t>P</w:t>
      </w:r>
      <w:r>
        <w:rPr>
          <w:rFonts w:ascii="Arial" w:hAnsi="Arial"/>
          <w:i/>
          <w:w w:val="150"/>
          <w:sz w:val="17"/>
        </w:rPr>
        <w:t>.</w:t>
      </w:r>
    </w:p>
    <w:p>
      <w:pPr>
        <w:tabs>
          <w:tab w:pos="2211" w:val="left" w:leader="none"/>
          <w:tab w:pos="2733" w:val="left" w:leader="none"/>
        </w:tabs>
        <w:spacing w:line="150" w:lineRule="exact" w:before="0"/>
        <w:ind w:left="1833" w:right="0" w:firstLine="0"/>
        <w:jc w:val="left"/>
        <w:rPr>
          <w:rFonts w:ascii="Arial" w:hAnsi="Arial"/>
          <w:sz w:val="17"/>
        </w:rPr>
      </w:pPr>
      <w:r>
        <w:rPr>
          <w:rFonts w:ascii="Arial" w:hAnsi="Arial"/>
          <w:w w:val="180"/>
          <w:sz w:val="15"/>
        </w:rPr>
        <w:t>•</w:t>
        <w:tab/>
        <w:t>·</w:t>
        <w:tab/>
      </w:r>
      <w:r>
        <w:rPr>
          <w:rFonts w:ascii="Arial" w:hAnsi="Arial"/>
          <w:i/>
          <w:w w:val="130"/>
          <w:sz w:val="15"/>
        </w:rPr>
        <w:t>m </w:t>
      </w:r>
      <w:r>
        <w:rPr>
          <w:rFonts w:ascii="Arial" w:hAnsi="Arial"/>
          <w:w w:val="245"/>
          <w:sz w:val="17"/>
        </w:rPr>
        <w:t>-</w:t>
      </w:r>
      <w:r>
        <w:rPr>
          <w:rFonts w:ascii="Arial" w:hAnsi="Arial"/>
          <w:spacing w:val="-70"/>
          <w:w w:val="245"/>
          <w:sz w:val="17"/>
        </w:rPr>
        <w:t> </w:t>
      </w:r>
      <w:r>
        <w:rPr>
          <w:rFonts w:ascii="Arial" w:hAnsi="Arial"/>
          <w:w w:val="155"/>
          <w:sz w:val="17"/>
        </w:rPr>
        <w:t>1</w:t>
      </w:r>
    </w:p>
    <w:p>
      <w:pPr>
        <w:tabs>
          <w:tab w:pos="3283" w:val="left" w:leader="none"/>
        </w:tabs>
        <w:spacing w:line="179" w:lineRule="exact" w:before="0"/>
        <w:ind w:left="2376" w:right="0" w:firstLine="0"/>
        <w:jc w:val="left"/>
        <w:rPr>
          <w:rFonts w:ascii="Arial" w:hAnsi="Arial"/>
          <w:i/>
          <w:sz w:val="17"/>
        </w:rPr>
      </w:pPr>
      <w:r>
        <w:rPr>
          <w:w w:val="135"/>
          <w:sz w:val="18"/>
        </w:rPr>
        <w:t>1</w:t>
      </w:r>
      <w:r>
        <w:rPr>
          <w:spacing w:val="-16"/>
          <w:sz w:val="18"/>
        </w:rPr>
        <w:t> </w:t>
      </w:r>
      <w:r>
        <w:rPr>
          <w:w w:val="266"/>
          <w:sz w:val="18"/>
        </w:rPr>
        <w:t>-</w:t>
      </w:r>
      <w:r>
        <w:rPr>
          <w:sz w:val="18"/>
        </w:rPr>
        <w:tab/>
      </w:r>
      <w:r>
        <w:rPr>
          <w:rFonts w:ascii="Arial" w:hAnsi="Arial"/>
          <w:i/>
          <w:w w:val="90"/>
          <w:sz w:val="17"/>
        </w:rPr>
        <w:t>d</w:t>
      </w:r>
      <w:r>
        <w:rPr>
          <w:rFonts w:ascii="Arial" w:hAnsi="Arial"/>
          <w:i/>
          <w:sz w:val="17"/>
        </w:rPr>
        <w:t> </w:t>
      </w:r>
      <w:r>
        <w:rPr>
          <w:rFonts w:ascii="Arial" w:hAnsi="Arial"/>
          <w:i/>
          <w:spacing w:val="-15"/>
          <w:sz w:val="17"/>
        </w:rPr>
        <w:t> </w:t>
      </w:r>
      <w:r>
        <w:rPr>
          <w:rFonts w:ascii="Arial" w:hAnsi="Arial"/>
          <w:w w:val="254"/>
          <w:sz w:val="17"/>
        </w:rPr>
        <w:t>-</w:t>
      </w:r>
      <w:r>
        <w:rPr>
          <w:rFonts w:ascii="Arial" w:hAnsi="Arial"/>
          <w:spacing w:val="6"/>
          <w:sz w:val="17"/>
        </w:rPr>
        <w:t> </w:t>
      </w:r>
      <w:r>
        <w:rPr>
          <w:spacing w:val="-27"/>
          <w:w w:val="157"/>
          <w:sz w:val="13"/>
        </w:rPr>
        <w:t>1</w:t>
      </w:r>
      <w:r>
        <w:rPr>
          <w:rFonts w:ascii="Arial" w:hAnsi="Arial"/>
          <w:w w:val="70"/>
          <w:sz w:val="18"/>
        </w:rPr>
        <w:t>J,í4,</w:t>
      </w:r>
      <w:r>
        <w:rPr>
          <w:rFonts w:ascii="Arial" w:hAnsi="Arial"/>
          <w:spacing w:val="7"/>
          <w:sz w:val="18"/>
        </w:rPr>
        <w:t> </w:t>
      </w:r>
      <w:r>
        <w:rPr>
          <w:rFonts w:ascii="Arial" w:hAnsi="Arial"/>
          <w:i/>
          <w:w w:val="132"/>
          <w:sz w:val="17"/>
        </w:rPr>
        <w:t>P.</w:t>
      </w:r>
    </w:p>
    <w:p>
      <w:pPr>
        <w:pStyle w:val="BodyText"/>
        <w:spacing w:before="8"/>
        <w:rPr>
          <w:rFonts w:ascii="Arial"/>
          <w:i/>
          <w:sz w:val="11"/>
        </w:rPr>
      </w:pPr>
    </w:p>
    <w:p>
      <w:pPr>
        <w:spacing w:after="0"/>
        <w:rPr>
          <w:rFonts w:ascii="Arial"/>
          <w:sz w:val="11"/>
        </w:rPr>
        <w:sectPr>
          <w:type w:val="continuous"/>
          <w:pgSz w:w="7200" w:h="11340"/>
          <w:pgMar w:top="1100" w:bottom="0" w:left="640" w:right="520"/>
        </w:sectPr>
      </w:pPr>
    </w:p>
    <w:p>
      <w:pPr>
        <w:spacing w:line="354" w:lineRule="exact" w:before="47"/>
        <w:ind w:left="267" w:right="-13" w:firstLine="0"/>
        <w:jc w:val="left"/>
        <w:rPr>
          <w:i/>
          <w:sz w:val="17"/>
        </w:rPr>
      </w:pPr>
      <w:r>
        <w:rPr>
          <w:w w:val="108"/>
          <w:sz w:val="18"/>
        </w:rPr>
        <w:t>9.</w:t>
      </w:r>
      <w:r>
        <w:rPr>
          <w:spacing w:val="21"/>
          <w:sz w:val="18"/>
        </w:rPr>
        <w:t> </w:t>
      </w:r>
      <w:r>
        <w:rPr>
          <w:w w:val="98"/>
          <w:sz w:val="18"/>
        </w:rPr>
        <w:t>Show</w:t>
      </w:r>
      <w:r>
        <w:rPr>
          <w:spacing w:val="9"/>
          <w:sz w:val="18"/>
        </w:rPr>
        <w:t> </w:t>
      </w:r>
      <w:r>
        <w:rPr>
          <w:w w:val="115"/>
          <w:sz w:val="18"/>
        </w:rPr>
        <w:t>that</w:t>
      </w:r>
      <w:r>
        <w:rPr>
          <w:spacing w:val="13"/>
          <w:sz w:val="18"/>
        </w:rPr>
        <w:t> </w:t>
      </w:r>
      <w:r>
        <w:rPr>
          <w:spacing w:val="-12"/>
          <w:w w:val="95"/>
          <w:position w:val="-4"/>
          <w:sz w:val="42"/>
        </w:rPr>
        <w:t>(</w:t>
      </w:r>
      <w:r>
        <w:rPr>
          <w:spacing w:val="15"/>
          <w:w w:val="135"/>
          <w:sz w:val="18"/>
        </w:rPr>
        <w:t>1</w:t>
      </w:r>
      <w:r>
        <w:rPr>
          <w:rFonts w:ascii="Arial" w:hAnsi="Arial"/>
          <w:w w:val="105"/>
          <w:sz w:val="26"/>
        </w:rPr>
        <w:t>+</w:t>
      </w:r>
      <w:r>
        <w:rPr>
          <w:rFonts w:ascii="Arial" w:hAnsi="Arial"/>
          <w:spacing w:val="-14"/>
          <w:sz w:val="26"/>
        </w:rPr>
        <w:t> </w:t>
      </w:r>
      <w:r>
        <w:rPr>
          <w:b/>
          <w:spacing w:val="-91"/>
          <w:w w:val="50"/>
          <w:position w:val="10"/>
          <w:sz w:val="42"/>
        </w:rPr>
        <w:t>d</w:t>
      </w:r>
      <w:r>
        <w:rPr>
          <w:rFonts w:ascii="Arial" w:hAnsi="Arial"/>
          <w:i/>
          <w:w w:val="128"/>
          <w:sz w:val="17"/>
        </w:rPr>
        <w:t>t</w:t>
      </w:r>
      <w:r>
        <w:rPr>
          <w:rFonts w:ascii="Arial" w:hAnsi="Arial"/>
          <w:i/>
          <w:spacing w:val="-81"/>
          <w:w w:val="129"/>
          <w:sz w:val="17"/>
        </w:rPr>
        <w:t>k</w:t>
      </w:r>
      <w:r>
        <w:rPr>
          <w:b/>
          <w:w w:val="51"/>
          <w:position w:val="10"/>
          <w:sz w:val="42"/>
        </w:rPr>
        <w:t>4.</w:t>
      </w:r>
      <w:r>
        <w:rPr>
          <w:b/>
          <w:spacing w:val="23"/>
          <w:w w:val="51"/>
          <w:position w:val="10"/>
          <w:sz w:val="42"/>
        </w:rPr>
        <w:t>)</w:t>
      </w:r>
      <w:r>
        <w:rPr>
          <w:rFonts w:ascii="Arial" w:hAnsi="Arial"/>
          <w:spacing w:val="-34"/>
          <w:w w:val="166"/>
          <w:sz w:val="17"/>
        </w:rPr>
        <w:t>·</w:t>
      </w:r>
      <w:r>
        <w:rPr>
          <w:i/>
          <w:spacing w:val="-39"/>
          <w:w w:val="74"/>
          <w:sz w:val="17"/>
        </w:rPr>
        <w:t>P</w:t>
      </w:r>
      <w:r>
        <w:rPr>
          <w:spacing w:val="-49"/>
          <w:w w:val="61"/>
          <w:position w:val="10"/>
          <w:sz w:val="42"/>
        </w:rPr>
        <w:t>-</w:t>
      </w:r>
      <w:r>
        <w:rPr>
          <w:i/>
          <w:w w:val="74"/>
          <w:sz w:val="17"/>
        </w:rPr>
        <w:t>(</w:t>
      </w:r>
    </w:p>
    <w:p>
      <w:pPr>
        <w:tabs>
          <w:tab w:pos="563" w:val="left" w:leader="none"/>
        </w:tabs>
        <w:spacing w:line="150" w:lineRule="exact" w:before="252"/>
        <w:ind w:left="84" w:right="0" w:firstLine="0"/>
        <w:jc w:val="left"/>
        <w:rPr>
          <w:sz w:val="13"/>
        </w:rPr>
      </w:pPr>
      <w:r>
        <w:rPr/>
        <w:br w:type="column"/>
      </w:r>
      <w:r>
        <w:rPr>
          <w:w w:val="105"/>
          <w:sz w:val="16"/>
        </w:rPr>
        <w:t>r</w:t>
        <w:tab/>
      </w:r>
      <w:r>
        <w:rPr>
          <w:spacing w:val="-4"/>
          <w:w w:val="95"/>
          <w:sz w:val="20"/>
        </w:rPr>
        <w:t>d.,4.: </w:t>
      </w:r>
      <w:r>
        <w:rPr>
          <w:w w:val="95"/>
          <w:position w:val="-9"/>
          <w:sz w:val="24"/>
        </w:rPr>
        <w:t>=</w:t>
      </w:r>
      <w:r>
        <w:rPr>
          <w:spacing w:val="-35"/>
          <w:w w:val="95"/>
          <w:position w:val="-9"/>
          <w:sz w:val="24"/>
        </w:rPr>
        <w:t> </w:t>
      </w:r>
      <w:r>
        <w:rPr>
          <w:i/>
          <w:w w:val="130"/>
          <w:position w:val="-9"/>
          <w:sz w:val="13"/>
        </w:rPr>
        <w:t>µ. </w:t>
      </w:r>
      <w:r>
        <w:rPr>
          <w:w w:val="105"/>
          <w:position w:val="-9"/>
          <w:sz w:val="13"/>
        </w:rPr>
        <w:t>•</w:t>
      </w:r>
    </w:p>
    <w:p>
      <w:pPr>
        <w:spacing w:after="0" w:line="150" w:lineRule="exact"/>
        <w:jc w:val="left"/>
        <w:rPr>
          <w:sz w:val="13"/>
        </w:rPr>
        <w:sectPr>
          <w:type w:val="continuous"/>
          <w:pgSz w:w="7200" w:h="11340"/>
          <w:pgMar w:top="1100" w:bottom="0" w:left="640" w:right="520"/>
          <w:cols w:num="2" w:equalWidth="0">
            <w:col w:w="2346" w:space="40"/>
            <w:col w:w="3654"/>
          </w:cols>
        </w:sectPr>
      </w:pPr>
    </w:p>
    <w:p>
      <w:pPr>
        <w:spacing w:line="172" w:lineRule="exact" w:before="0"/>
        <w:ind w:left="21" w:right="543" w:firstLine="0"/>
        <w:jc w:val="center"/>
        <w:rPr>
          <w:rFonts w:ascii="Arial"/>
          <w:i/>
          <w:sz w:val="17"/>
        </w:rPr>
      </w:pPr>
      <w:r>
        <w:rPr>
          <w:i/>
          <w:w w:val="75"/>
          <w:position w:val="1"/>
          <w:sz w:val="17"/>
        </w:rPr>
        <w:t>.11.</w:t>
      </w:r>
      <w:r>
        <w:rPr>
          <w:i/>
          <w:spacing w:val="-16"/>
          <w:w w:val="75"/>
          <w:position w:val="1"/>
          <w:sz w:val="17"/>
        </w:rPr>
        <w:t>,</w:t>
      </w:r>
      <w:r>
        <w:rPr>
          <w:i/>
          <w:w w:val="131"/>
          <w:sz w:val="8"/>
        </w:rPr>
        <w:t>1:)</w:t>
      </w:r>
      <w:r>
        <w:rPr>
          <w:i/>
          <w:sz w:val="8"/>
        </w:rPr>
        <w:t>   </w:t>
      </w:r>
      <w:r>
        <w:rPr>
          <w:i/>
          <w:spacing w:val="-9"/>
          <w:sz w:val="8"/>
        </w:rPr>
        <w:t> </w:t>
      </w:r>
      <w:r>
        <w:rPr>
          <w:w w:val="584"/>
          <w:position w:val="1"/>
          <w:sz w:val="8"/>
        </w:rPr>
        <w:t>-</w:t>
      </w:r>
      <w:r>
        <w:rPr>
          <w:position w:val="1"/>
          <w:sz w:val="8"/>
        </w:rPr>
        <w:t>    </w:t>
      </w:r>
      <w:r>
        <w:rPr>
          <w:spacing w:val="-4"/>
          <w:position w:val="1"/>
          <w:sz w:val="8"/>
        </w:rPr>
        <w:t> </w:t>
      </w:r>
      <w:r>
        <w:rPr>
          <w:rFonts w:ascii="Arial"/>
          <w:i/>
          <w:w w:val="128"/>
          <w:position w:val="1"/>
          <w:sz w:val="17"/>
        </w:rPr>
        <w:t>tk</w:t>
      </w:r>
    </w:p>
    <w:p>
      <w:pPr>
        <w:tabs>
          <w:tab w:pos="2958" w:val="left" w:leader="none"/>
        </w:tabs>
        <w:spacing w:line="86" w:lineRule="exact"/>
        <w:ind w:left="1777" w:right="0" w:firstLine="0"/>
        <w:rPr>
          <w:rFonts w:ascii="Arial"/>
          <w:sz w:val="8"/>
        </w:rPr>
      </w:pPr>
      <w:r>
        <w:rPr>
          <w:rFonts w:ascii="Arial"/>
          <w:position w:val="-1"/>
          <w:sz w:val="8"/>
        </w:rPr>
        <w:pict>
          <v:group style="width:12.8pt;height:4.150pt;mso-position-horizontal-relative:char;mso-position-vertical-relative:line" coordorigin="0,0" coordsize="256,83">
            <v:line style="position:absolute" from="42,42" to="214,42" stroked="true" strokeweight="4.140pt" strokecolor="#000000"/>
          </v:group>
        </w:pict>
      </w:r>
      <w:r>
        <w:rPr>
          <w:rFonts w:ascii="Arial"/>
          <w:position w:val="-1"/>
          <w:sz w:val="8"/>
        </w:rPr>
      </w:r>
      <w:r>
        <w:rPr>
          <w:rFonts w:ascii="Arial"/>
          <w:position w:val="-1"/>
          <w:sz w:val="8"/>
        </w:rPr>
        <w:tab/>
      </w:r>
      <w:r>
        <w:rPr>
          <w:rFonts w:ascii="Arial"/>
          <w:position w:val="0"/>
          <w:sz w:val="8"/>
        </w:rPr>
        <w:pict>
          <v:group style="width:12.8pt;height:4.150pt;mso-position-horizontal-relative:char;mso-position-vertical-relative:line" coordorigin="0,0" coordsize="256,83">
            <v:line style="position:absolute" from="42,42" to="214,42" stroked="true" strokeweight="4.140pt" strokecolor="#000000"/>
          </v:group>
        </w:pict>
      </w:r>
      <w:r>
        <w:rPr>
          <w:rFonts w:ascii="Arial"/>
          <w:position w:val="0"/>
          <w:sz w:val="8"/>
        </w:rPr>
      </w:r>
    </w:p>
    <w:p>
      <w:pPr>
        <w:spacing w:after="0" w:line="86" w:lineRule="exact"/>
        <w:rPr>
          <w:rFonts w:ascii="Arial"/>
          <w:sz w:val="8"/>
        </w:rPr>
        <w:sectPr>
          <w:type w:val="continuous"/>
          <w:pgSz w:w="7200" w:h="11340"/>
          <w:pgMar w:top="1100" w:bottom="0" w:left="640" w:right="520"/>
        </w:sectPr>
      </w:pPr>
    </w:p>
    <w:p>
      <w:pPr>
        <w:tabs>
          <w:tab w:pos="5359" w:val="left" w:leader="none"/>
        </w:tabs>
        <w:spacing w:before="52"/>
        <w:ind w:left="1963" w:right="0" w:firstLine="0"/>
        <w:jc w:val="left"/>
        <w:rPr>
          <w:rFonts w:ascii="Arial"/>
          <w:sz w:val="20"/>
        </w:rPr>
      </w:pPr>
      <w:r>
        <w:rPr>
          <w:b/>
          <w:color w:val="010101"/>
          <w:sz w:val="15"/>
        </w:rPr>
        <w:t>NET </w:t>
      </w:r>
      <w:r>
        <w:rPr>
          <w:b/>
          <w:color w:val="010101"/>
          <w:spacing w:val="30"/>
          <w:sz w:val="15"/>
        </w:rPr>
        <w:t> </w:t>
      </w:r>
      <w:r>
        <w:rPr>
          <w:b/>
          <w:color w:val="010101"/>
          <w:sz w:val="15"/>
        </w:rPr>
        <w:t>ANNUA.L  </w:t>
      </w:r>
      <w:r>
        <w:rPr>
          <w:b/>
          <w:color w:val="010101"/>
          <w:spacing w:val="8"/>
          <w:sz w:val="15"/>
        </w:rPr>
        <w:t> </w:t>
      </w:r>
      <w:r>
        <w:rPr>
          <w:b/>
          <w:color w:val="010101"/>
          <w:sz w:val="15"/>
        </w:rPr>
        <w:t>PRBKIUMS</w:t>
        <w:tab/>
      </w:r>
      <w:r>
        <w:rPr>
          <w:color w:val="010101"/>
          <w:w w:val="90"/>
          <w:sz w:val="20"/>
        </w:rPr>
        <w:t>(CH.</w:t>
      </w:r>
      <w:r>
        <w:rPr>
          <w:color w:val="010101"/>
          <w:spacing w:val="-1"/>
          <w:w w:val="90"/>
          <w:sz w:val="20"/>
        </w:rPr>
        <w:t> </w:t>
      </w:r>
      <w:r>
        <w:rPr>
          <w:rFonts w:ascii="Arial"/>
          <w:color w:val="010101"/>
          <w:w w:val="90"/>
          <w:sz w:val="20"/>
        </w:rPr>
        <w:t>4</w:t>
      </w:r>
    </w:p>
    <w:p>
      <w:pPr>
        <w:pStyle w:val="BodyText"/>
        <w:spacing w:before="5"/>
        <w:rPr>
          <w:rFonts w:ascii="Arial"/>
          <w:sz w:val="21"/>
        </w:rPr>
      </w:pPr>
    </w:p>
    <w:p>
      <w:pPr>
        <w:pStyle w:val="ListParagraph"/>
        <w:numPr>
          <w:ilvl w:val="0"/>
          <w:numId w:val="40"/>
        </w:numPr>
        <w:tabs>
          <w:tab w:pos="321" w:val="left" w:leader="none"/>
        </w:tabs>
        <w:spacing w:line="240" w:lineRule="auto" w:before="0" w:after="0"/>
        <w:ind w:left="320" w:right="0" w:hanging="197"/>
        <w:jc w:val="left"/>
        <w:rPr>
          <w:b/>
          <w:sz w:val="17"/>
        </w:rPr>
      </w:pPr>
      <w:r>
        <w:rPr>
          <w:b/>
          <w:color w:val="010101"/>
          <w:w w:val="115"/>
          <w:sz w:val="17"/>
        </w:rPr>
        <w:t>Analyaie of the endowment</w:t>
      </w:r>
      <w:r>
        <w:rPr>
          <w:b/>
          <w:color w:val="010101"/>
          <w:spacing w:val="40"/>
          <w:w w:val="115"/>
          <w:sz w:val="17"/>
        </w:rPr>
        <w:t> </w:t>
      </w:r>
      <w:r>
        <w:rPr>
          <w:b/>
          <w:color w:val="010101"/>
          <w:w w:val="115"/>
          <w:sz w:val="17"/>
        </w:rPr>
        <w:t>premium</w:t>
      </w:r>
    </w:p>
    <w:p>
      <w:pPr>
        <w:pStyle w:val="ListParagraph"/>
        <w:numPr>
          <w:ilvl w:val="1"/>
          <w:numId w:val="40"/>
        </w:numPr>
        <w:tabs>
          <w:tab w:pos="575" w:val="left" w:leader="none"/>
        </w:tabs>
        <w:spacing w:line="230" w:lineRule="auto" w:before="77" w:after="0"/>
        <w:ind w:left="134" w:right="114" w:firstLine="165"/>
        <w:jc w:val="both"/>
        <w:rPr>
          <w:sz w:val="18"/>
        </w:rPr>
      </w:pPr>
      <w:r>
        <w:rPr>
          <w:color w:val="010101"/>
          <w:w w:val="105"/>
          <w:sz w:val="18"/>
        </w:rPr>
        <w:t>The following criticism </w:t>
      </w:r>
      <w:r>
        <w:rPr>
          <w:rFonts w:ascii="Arial"/>
          <w:color w:val="010101"/>
          <w:w w:val="105"/>
          <w:sz w:val="18"/>
        </w:rPr>
        <w:t>is </w:t>
      </w:r>
      <w:r>
        <w:rPr>
          <w:color w:val="010101"/>
          <w:w w:val="105"/>
          <w:sz w:val="18"/>
        </w:rPr>
        <w:t>sometimes heard: "In buying endowment insurance,</w:t>
      </w:r>
      <w:r>
        <w:rPr>
          <w:color w:val="010101"/>
          <w:spacing w:val="-2"/>
          <w:w w:val="105"/>
          <w:sz w:val="18"/>
        </w:rPr>
        <w:t> </w:t>
      </w:r>
      <w:r>
        <w:rPr>
          <w:color w:val="010101"/>
          <w:w w:val="105"/>
          <w:sz w:val="18"/>
        </w:rPr>
        <w:t>a</w:t>
      </w:r>
      <w:r>
        <w:rPr>
          <w:color w:val="010101"/>
          <w:spacing w:val="-12"/>
          <w:w w:val="105"/>
          <w:sz w:val="18"/>
        </w:rPr>
        <w:t> </w:t>
      </w:r>
      <w:r>
        <w:rPr>
          <w:color w:val="010101"/>
          <w:w w:val="105"/>
          <w:sz w:val="18"/>
        </w:rPr>
        <w:t>man</w:t>
      </w:r>
      <w:r>
        <w:rPr>
          <w:color w:val="010101"/>
          <w:spacing w:val="-5"/>
          <w:w w:val="105"/>
          <w:sz w:val="18"/>
        </w:rPr>
        <w:t> </w:t>
      </w:r>
      <w:r>
        <w:rPr>
          <w:color w:val="010101"/>
          <w:w w:val="105"/>
          <w:sz w:val="18"/>
        </w:rPr>
        <w:t>pays</w:t>
      </w:r>
      <w:r>
        <w:rPr>
          <w:color w:val="010101"/>
          <w:spacing w:val="-7"/>
          <w:w w:val="105"/>
          <w:sz w:val="18"/>
        </w:rPr>
        <w:t> </w:t>
      </w:r>
      <w:r>
        <w:rPr>
          <w:color w:val="010101"/>
          <w:w w:val="105"/>
          <w:sz w:val="18"/>
        </w:rPr>
        <w:t>for</w:t>
      </w:r>
      <w:r>
        <w:rPr>
          <w:color w:val="010101"/>
          <w:spacing w:val="-6"/>
          <w:w w:val="105"/>
          <w:sz w:val="18"/>
        </w:rPr>
        <w:t> </w:t>
      </w:r>
      <w:r>
        <w:rPr>
          <w:color w:val="010101"/>
          <w:w w:val="105"/>
          <w:sz w:val="18"/>
        </w:rPr>
        <w:t>two</w:t>
      </w:r>
      <w:r>
        <w:rPr>
          <w:color w:val="010101"/>
          <w:spacing w:val="-10"/>
          <w:w w:val="105"/>
          <w:sz w:val="18"/>
        </w:rPr>
        <w:t> </w:t>
      </w:r>
      <w:r>
        <w:rPr>
          <w:color w:val="010101"/>
          <w:w w:val="105"/>
          <w:sz w:val="18"/>
        </w:rPr>
        <w:t>separate</w:t>
      </w:r>
      <w:r>
        <w:rPr>
          <w:color w:val="010101"/>
          <w:spacing w:val="-6"/>
          <w:w w:val="105"/>
          <w:sz w:val="18"/>
        </w:rPr>
        <w:t> </w:t>
      </w:r>
      <w:r>
        <w:rPr>
          <w:color w:val="010101"/>
          <w:w w:val="105"/>
          <w:sz w:val="18"/>
        </w:rPr>
        <w:t>benefits</w:t>
      </w:r>
      <w:r>
        <w:rPr>
          <w:color w:val="010101"/>
          <w:spacing w:val="-1"/>
          <w:w w:val="105"/>
          <w:sz w:val="18"/>
        </w:rPr>
        <w:t> </w:t>
      </w:r>
      <w:r>
        <w:rPr>
          <w:color w:val="010101"/>
          <w:w w:val="105"/>
          <w:sz w:val="18"/>
        </w:rPr>
        <w:t>on</w:t>
      </w:r>
      <w:r>
        <w:rPr>
          <w:color w:val="010101"/>
          <w:spacing w:val="-7"/>
          <w:w w:val="105"/>
          <w:sz w:val="18"/>
        </w:rPr>
        <w:t> </w:t>
      </w:r>
      <w:r>
        <w:rPr>
          <w:color w:val="010101"/>
          <w:w w:val="105"/>
          <w:sz w:val="18"/>
        </w:rPr>
        <w:t>one</w:t>
      </w:r>
      <w:r>
        <w:rPr>
          <w:color w:val="010101"/>
          <w:spacing w:val="-9"/>
          <w:w w:val="105"/>
          <w:sz w:val="18"/>
        </w:rPr>
        <w:t> </w:t>
      </w:r>
      <w:r>
        <w:rPr>
          <w:color w:val="010101"/>
          <w:w w:val="105"/>
          <w:sz w:val="18"/>
        </w:rPr>
        <w:t>only</w:t>
      </w:r>
      <w:r>
        <w:rPr>
          <w:color w:val="010101"/>
          <w:spacing w:val="-8"/>
          <w:w w:val="105"/>
          <w:sz w:val="18"/>
        </w:rPr>
        <w:t> </w:t>
      </w:r>
      <w:r>
        <w:rPr>
          <w:color w:val="010101"/>
          <w:w w:val="105"/>
          <w:sz w:val="18"/>
        </w:rPr>
        <w:t>of</w:t>
      </w:r>
      <w:r>
        <w:rPr>
          <w:color w:val="010101"/>
          <w:spacing w:val="4"/>
          <w:w w:val="105"/>
          <w:sz w:val="18"/>
        </w:rPr>
        <w:t> </w:t>
      </w:r>
      <w:r>
        <w:rPr>
          <w:color w:val="010101"/>
          <w:w w:val="105"/>
          <w:sz w:val="18"/>
        </w:rPr>
        <w:t>which</w:t>
      </w:r>
      <w:r>
        <w:rPr>
          <w:color w:val="010101"/>
          <w:spacing w:val="-1"/>
          <w:w w:val="105"/>
          <w:sz w:val="18"/>
        </w:rPr>
        <w:t> </w:t>
      </w:r>
      <w:r>
        <w:rPr>
          <w:color w:val="010101"/>
          <w:w w:val="105"/>
          <w:sz w:val="18"/>
        </w:rPr>
        <w:t>he</w:t>
      </w:r>
      <w:r>
        <w:rPr>
          <w:color w:val="010101"/>
          <w:spacing w:val="-4"/>
          <w:w w:val="105"/>
          <w:sz w:val="18"/>
        </w:rPr>
        <w:t> </w:t>
      </w:r>
      <w:r>
        <w:rPr>
          <w:color w:val="010101"/>
          <w:w w:val="105"/>
          <w:sz w:val="18"/>
        </w:rPr>
        <w:t>can relize." Explain  the implication,  and state how you would  reply  to</w:t>
      </w:r>
      <w:r>
        <w:rPr>
          <w:color w:val="010101"/>
          <w:spacing w:val="27"/>
          <w:w w:val="105"/>
          <w:sz w:val="18"/>
        </w:rPr>
        <w:t> </w:t>
      </w:r>
      <w:r>
        <w:rPr>
          <w:color w:val="010101"/>
          <w:w w:val="105"/>
          <w:sz w:val="18"/>
        </w:rPr>
        <w:t>it.</w:t>
      </w:r>
    </w:p>
    <w:p>
      <w:pPr>
        <w:pStyle w:val="ListParagraph"/>
        <w:numPr>
          <w:ilvl w:val="1"/>
          <w:numId w:val="40"/>
        </w:numPr>
        <w:tabs>
          <w:tab w:pos="597" w:val="left" w:leader="none"/>
        </w:tabs>
        <w:spacing w:line="199" w:lineRule="exact" w:before="0" w:after="0"/>
        <w:ind w:left="596" w:right="0" w:hanging="301"/>
        <w:jc w:val="left"/>
        <w:rPr>
          <w:sz w:val="18"/>
        </w:rPr>
      </w:pPr>
      <w:r>
        <w:rPr>
          <w:color w:val="010101"/>
          <w:w w:val="105"/>
          <w:sz w:val="18"/>
        </w:rPr>
        <w:t>(a)  Show</w:t>
      </w:r>
      <w:r>
        <w:rPr>
          <w:color w:val="010101"/>
          <w:spacing w:val="-4"/>
          <w:w w:val="105"/>
          <w:sz w:val="18"/>
        </w:rPr>
        <w:t> </w:t>
      </w:r>
      <w:r>
        <w:rPr>
          <w:color w:val="010101"/>
          <w:w w:val="105"/>
          <w:sz w:val="18"/>
        </w:rPr>
        <w:t>that</w:t>
      </w:r>
    </w:p>
    <w:p>
      <w:pPr>
        <w:spacing w:after="0" w:line="199" w:lineRule="exact"/>
        <w:jc w:val="left"/>
        <w:rPr>
          <w:sz w:val="18"/>
        </w:rPr>
        <w:sectPr>
          <w:pgSz w:w="7200" w:h="11340"/>
          <w:pgMar w:top="500" w:bottom="280" w:left="660" w:right="580"/>
        </w:sectPr>
      </w:pPr>
    </w:p>
    <w:p>
      <w:pPr>
        <w:spacing w:line="160" w:lineRule="exact" w:before="170"/>
        <w:ind w:left="760" w:right="-10" w:firstLine="0"/>
        <w:jc w:val="left"/>
        <w:rPr>
          <w:rFonts w:ascii="Arial" w:hAnsi="Arial"/>
          <w:sz w:val="16"/>
        </w:rPr>
      </w:pPr>
      <w:r>
        <w:rPr>
          <w:rFonts w:ascii="Arial" w:hAnsi="Arial"/>
          <w:i/>
          <w:color w:val="010101"/>
          <w:w w:val="102"/>
          <w:sz w:val="24"/>
        </w:rPr>
        <w:t>-</w:t>
      </w:r>
      <w:r>
        <w:rPr>
          <w:rFonts w:ascii="Arial" w:hAnsi="Arial"/>
          <w:i/>
          <w:color w:val="010101"/>
          <w:spacing w:val="-62"/>
          <w:w w:val="102"/>
          <w:sz w:val="24"/>
        </w:rPr>
        <w:t>=</w:t>
      </w:r>
      <w:r>
        <w:rPr>
          <w:rFonts w:ascii="Arial" w:hAnsi="Arial"/>
          <w:color w:val="010101"/>
          <w:spacing w:val="-98"/>
          <w:w w:val="125"/>
          <w:position w:val="13"/>
          <w:sz w:val="17"/>
        </w:rPr>
        <w:t>1</w:t>
      </w:r>
      <w:r>
        <w:rPr>
          <w:rFonts w:ascii="Arial" w:hAnsi="Arial"/>
          <w:i/>
          <w:color w:val="010101"/>
          <w:spacing w:val="-104"/>
          <w:w w:val="107"/>
          <w:sz w:val="24"/>
        </w:rPr>
        <w:t>n</w:t>
      </w:r>
      <w:r>
        <w:rPr>
          <w:rFonts w:ascii="Arial" w:hAnsi="Arial"/>
          <w:i/>
          <w:color w:val="010101"/>
          <w:w w:val="102"/>
          <w:sz w:val="24"/>
        </w:rPr>
        <w:t>--</w:t>
      </w:r>
      <w:r>
        <w:rPr>
          <w:rFonts w:ascii="Arial" w:hAnsi="Arial"/>
          <w:i/>
          <w:color w:val="010101"/>
          <w:spacing w:val="-4"/>
          <w:sz w:val="24"/>
        </w:rPr>
        <w:t> </w:t>
      </w:r>
      <w:r>
        <w:rPr>
          <w:color w:val="010101"/>
          <w:w w:val="75"/>
          <w:sz w:val="19"/>
        </w:rPr>
        <w:t>Cii1C•</w:t>
      </w:r>
      <w:r>
        <w:rPr>
          <w:color w:val="010101"/>
          <w:spacing w:val="22"/>
          <w:sz w:val="19"/>
        </w:rPr>
        <w:t> </w:t>
      </w:r>
      <w:r>
        <w:rPr>
          <w:color w:val="010101"/>
          <w:w w:val="105"/>
          <w:sz w:val="24"/>
        </w:rPr>
        <w:t>+</w:t>
      </w:r>
      <w:r>
        <w:rPr>
          <w:color w:val="010101"/>
          <w:spacing w:val="4"/>
          <w:sz w:val="24"/>
        </w:rPr>
        <w:t> </w:t>
      </w:r>
      <w:r>
        <w:rPr>
          <w:color w:val="010101"/>
          <w:spacing w:val="-53"/>
          <w:w w:val="242"/>
          <w:sz w:val="19"/>
        </w:rPr>
        <w:t>;</w:t>
      </w:r>
      <w:r>
        <w:rPr>
          <w:color w:val="010101"/>
          <w:w w:val="91"/>
          <w:sz w:val="19"/>
        </w:rPr>
        <w:t>¡¡</w:t>
      </w:r>
      <w:r>
        <w:rPr>
          <w:color w:val="010101"/>
          <w:spacing w:val="-26"/>
          <w:w w:val="91"/>
          <w:sz w:val="19"/>
        </w:rPr>
        <w:t>C</w:t>
      </w:r>
      <w:r>
        <w:rPr>
          <w:color w:val="010101"/>
          <w:w w:val="91"/>
          <w:sz w:val="19"/>
        </w:rPr>
        <w:t>.+1</w:t>
      </w:r>
      <w:r>
        <w:rPr>
          <w:color w:val="010101"/>
          <w:spacing w:val="-2"/>
          <w:sz w:val="19"/>
        </w:rPr>
        <w:t> </w:t>
      </w:r>
      <w:r>
        <w:rPr>
          <w:rFonts w:ascii="Arial" w:hAnsi="Arial"/>
          <w:color w:val="010101"/>
          <w:w w:val="105"/>
          <w:sz w:val="26"/>
        </w:rPr>
        <w:t>+</w:t>
      </w:r>
      <w:r>
        <w:rPr>
          <w:rFonts w:ascii="Arial" w:hAnsi="Arial"/>
          <w:color w:val="010101"/>
          <w:spacing w:val="3"/>
          <w:sz w:val="26"/>
        </w:rPr>
        <w:t> </w:t>
      </w:r>
      <w:r>
        <w:rPr>
          <w:rFonts w:ascii="Arial" w:hAnsi="Arial"/>
          <w:color w:val="010101"/>
          <w:spacing w:val="-18"/>
          <w:w w:val="135"/>
          <w:sz w:val="26"/>
        </w:rPr>
        <w:t>·</w:t>
      </w:r>
      <w:r>
        <w:rPr>
          <w:rFonts w:ascii="Arial" w:hAnsi="Arial"/>
          <w:color w:val="010101"/>
          <w:spacing w:val="-6"/>
          <w:w w:val="121"/>
          <w:sz w:val="26"/>
        </w:rPr>
        <w:t>·</w:t>
      </w:r>
      <w:r>
        <w:rPr>
          <w:rFonts w:ascii="Arial" w:hAnsi="Arial"/>
          <w:color w:val="010101"/>
          <w:spacing w:val="26"/>
          <w:w w:val="121"/>
          <w:sz w:val="26"/>
        </w:rPr>
        <w:t>·</w:t>
      </w:r>
      <w:r>
        <w:rPr>
          <w:color w:val="010101"/>
          <w:w w:val="89"/>
          <w:sz w:val="24"/>
        </w:rPr>
        <w:t>+1;¡</w:t>
      </w:r>
      <w:r>
        <w:rPr>
          <w:color w:val="010101"/>
          <w:spacing w:val="-10"/>
          <w:w w:val="89"/>
          <w:sz w:val="24"/>
        </w:rPr>
        <w:t>c</w:t>
      </w:r>
      <w:r>
        <w:rPr>
          <w:color w:val="010101"/>
          <w:w w:val="80"/>
          <w:sz w:val="24"/>
        </w:rPr>
        <w:t>....</w:t>
      </w:r>
      <w:r>
        <w:rPr>
          <w:color w:val="010101"/>
          <w:spacing w:val="-22"/>
          <w:w w:val="80"/>
          <w:sz w:val="24"/>
        </w:rPr>
        <w:t>.</w:t>
      </w:r>
      <w:r>
        <w:rPr>
          <w:rFonts w:ascii="Arial" w:hAnsi="Arial"/>
          <w:color w:val="010101"/>
          <w:spacing w:val="-11"/>
          <w:w w:val="194"/>
          <w:sz w:val="16"/>
        </w:rPr>
        <w:t>-</w:t>
      </w:r>
      <w:r>
        <w:rPr>
          <w:rFonts w:ascii="Arial" w:hAnsi="Arial"/>
          <w:color w:val="010101"/>
          <w:spacing w:val="-54"/>
          <w:w w:val="124"/>
          <w:sz w:val="16"/>
        </w:rPr>
        <w:t>1</w:t>
      </w:r>
      <w:r>
        <w:rPr>
          <w:rFonts w:ascii="Arial" w:hAnsi="Arial"/>
          <w:color w:val="010101"/>
          <w:w w:val="120"/>
          <w:sz w:val="16"/>
        </w:rPr>
        <w:t>)</w:t>
      </w:r>
      <w:r>
        <w:rPr>
          <w:rFonts w:ascii="Arial" w:hAnsi="Arial"/>
          <w:color w:val="010101"/>
          <w:sz w:val="16"/>
        </w:rPr>
        <w:t> </w:t>
      </w:r>
      <w:r>
        <w:rPr>
          <w:rFonts w:ascii="Arial" w:hAnsi="Arial"/>
          <w:color w:val="010101"/>
          <w:spacing w:val="-11"/>
          <w:sz w:val="16"/>
        </w:rPr>
        <w:t> </w:t>
      </w:r>
      <w:r>
        <w:rPr>
          <w:rFonts w:ascii="Arial" w:hAnsi="Arial"/>
          <w:color w:val="010101"/>
          <w:w w:val="252"/>
          <w:sz w:val="16"/>
        </w:rPr>
        <w:t>-</w:t>
      </w:r>
      <w:r>
        <w:rPr>
          <w:rFonts w:ascii="Arial" w:hAnsi="Arial"/>
          <w:color w:val="010101"/>
          <w:spacing w:val="14"/>
          <w:sz w:val="16"/>
        </w:rPr>
        <w:t> </w:t>
      </w:r>
      <w:r>
        <w:rPr>
          <w:color w:val="010101"/>
          <w:w w:val="92"/>
          <w:position w:val="13"/>
          <w:sz w:val="17"/>
        </w:rPr>
        <w:t>el</w:t>
      </w:r>
      <w:r>
        <w:rPr>
          <w:color w:val="010101"/>
          <w:spacing w:val="4"/>
          <w:w w:val="92"/>
          <w:position w:val="13"/>
          <w:sz w:val="17"/>
        </w:rPr>
        <w:t>.</w:t>
      </w:r>
      <w:r>
        <w:rPr>
          <w:color w:val="1F1F1F"/>
          <w:spacing w:val="-8"/>
          <w:w w:val="113"/>
          <w:position w:val="13"/>
          <w:sz w:val="17"/>
        </w:rPr>
        <w:t>:</w:t>
      </w:r>
      <w:r>
        <w:rPr>
          <w:color w:val="010101"/>
          <w:w w:val="101"/>
          <w:position w:val="13"/>
          <w:sz w:val="17"/>
        </w:rPr>
        <w:t>i1</w:t>
      </w:r>
      <w:r>
        <w:rPr>
          <w:color w:val="010101"/>
          <w:spacing w:val="16"/>
          <w:position w:val="13"/>
          <w:sz w:val="17"/>
        </w:rPr>
        <w:t> </w:t>
      </w:r>
      <w:r>
        <w:rPr>
          <w:rFonts w:ascii="Arial" w:hAnsi="Arial"/>
          <w:color w:val="010101"/>
          <w:spacing w:val="-124"/>
          <w:w w:val="277"/>
          <w:sz w:val="16"/>
        </w:rPr>
        <w:t>-</w:t>
      </w:r>
    </w:p>
    <w:p>
      <w:pPr>
        <w:pStyle w:val="BodyText"/>
        <w:spacing w:before="10"/>
        <w:rPr>
          <w:rFonts w:ascii="Arial"/>
          <w:sz w:val="14"/>
        </w:rPr>
      </w:pPr>
      <w:r>
        <w:rPr/>
        <w:br w:type="column"/>
      </w:r>
      <w:r>
        <w:rPr>
          <w:rFonts w:ascii="Arial"/>
          <w:sz w:val="14"/>
        </w:rPr>
      </w:r>
    </w:p>
    <w:p>
      <w:pPr>
        <w:spacing w:line="159" w:lineRule="exact" w:before="0"/>
        <w:ind w:left="139" w:right="0" w:firstLine="0"/>
        <w:jc w:val="left"/>
        <w:rPr>
          <w:rFonts w:ascii="Arial"/>
          <w:sz w:val="17"/>
        </w:rPr>
      </w:pPr>
      <w:r>
        <w:rPr>
          <w:rFonts w:ascii="Arial"/>
          <w:color w:val="010101"/>
          <w:w w:val="120"/>
          <w:sz w:val="17"/>
        </w:rPr>
        <w:t>D +.</w:t>
      </w:r>
    </w:p>
    <w:p>
      <w:pPr>
        <w:spacing w:after="0" w:line="159" w:lineRule="exact"/>
        <w:jc w:val="left"/>
        <w:rPr>
          <w:rFonts w:ascii="Arial"/>
          <w:sz w:val="17"/>
        </w:rPr>
        <w:sectPr>
          <w:type w:val="continuous"/>
          <w:pgSz w:w="7200" w:h="11340"/>
          <w:pgMar w:top="1100" w:bottom="0" w:left="660" w:right="580"/>
          <w:cols w:num="2" w:equalWidth="0">
            <w:col w:w="4590" w:space="40"/>
            <w:col w:w="1330"/>
          </w:cols>
        </w:sectPr>
      </w:pPr>
    </w:p>
    <w:p>
      <w:pPr>
        <w:spacing w:line="14" w:lineRule="exact" w:before="70"/>
        <w:ind w:left="679" w:right="-17" w:firstLine="0"/>
        <w:jc w:val="left"/>
        <w:rPr>
          <w:rFonts w:ascii="Arial" w:hAnsi="Arial"/>
          <w:sz w:val="17"/>
        </w:rPr>
      </w:pPr>
      <w:r>
        <w:rPr>
          <w:rFonts w:ascii="Arial" w:hAnsi="Arial"/>
          <w:color w:val="010101"/>
          <w:spacing w:val="-135"/>
          <w:w w:val="375"/>
          <w:sz w:val="17"/>
        </w:rPr>
        <w:t>'</w:t>
      </w:r>
      <w:r>
        <w:rPr>
          <w:rFonts w:ascii="Arial" w:hAnsi="Arial"/>
          <w:color w:val="010101"/>
          <w:w w:val="216"/>
          <w:sz w:val="17"/>
        </w:rPr>
        <w:t>il</w:t>
      </w:r>
      <w:r>
        <w:rPr>
          <w:rFonts w:ascii="Arial" w:hAnsi="Arial"/>
          <w:color w:val="010101"/>
          <w:sz w:val="17"/>
        </w:rPr>
        <w:t> </w:t>
      </w:r>
      <w:r>
        <w:rPr>
          <w:rFonts w:ascii="Arial" w:hAnsi="Arial"/>
          <w:color w:val="010101"/>
          <w:spacing w:val="-5"/>
          <w:sz w:val="17"/>
        </w:rPr>
        <w:t> </w:t>
      </w:r>
      <w:r>
        <w:rPr>
          <w:rFonts w:ascii="Arial" w:hAnsi="Arial"/>
          <w:color w:val="010101"/>
          <w:w w:val="133"/>
          <w:sz w:val="17"/>
        </w:rPr>
        <w:t>•</w:t>
      </w:r>
    </w:p>
    <w:p>
      <w:pPr>
        <w:tabs>
          <w:tab w:pos="1291" w:val="left" w:leader="none"/>
        </w:tabs>
        <w:spacing w:line="84" w:lineRule="exact" w:before="0"/>
        <w:ind w:left="679" w:right="0" w:firstLine="0"/>
        <w:jc w:val="left"/>
        <w:rPr>
          <w:rFonts w:ascii="Arial"/>
          <w:sz w:val="18"/>
        </w:rPr>
      </w:pPr>
      <w:r>
        <w:rPr/>
        <w:br w:type="column"/>
      </w:r>
      <w:r>
        <w:rPr>
          <w:rFonts w:ascii="Arial"/>
          <w:color w:val="010101"/>
          <w:w w:val="580"/>
          <w:sz w:val="16"/>
        </w:rPr>
        <w:t>-</w:t>
        <w:tab/>
      </w:r>
      <w:r>
        <w:rPr>
          <w:rFonts w:ascii="Arial"/>
          <w:color w:val="010101"/>
          <w:spacing w:val="-25"/>
          <w:w w:val="390"/>
          <w:sz w:val="16"/>
        </w:rPr>
        <w:t>--</w:t>
      </w:r>
      <w:r>
        <w:rPr>
          <w:rFonts w:ascii="Arial"/>
          <w:color w:val="010101"/>
          <w:spacing w:val="-158"/>
          <w:w w:val="390"/>
          <w:sz w:val="16"/>
        </w:rPr>
        <w:t> </w:t>
      </w:r>
      <w:r>
        <w:rPr>
          <w:rFonts w:ascii="Arial"/>
          <w:color w:val="010101"/>
          <w:w w:val="220"/>
          <w:position w:val="-9"/>
          <w:sz w:val="18"/>
        </w:rPr>
        <w:t>.</w:t>
      </w:r>
    </w:p>
    <w:p>
      <w:pPr>
        <w:spacing w:after="0" w:line="84" w:lineRule="exact"/>
        <w:jc w:val="left"/>
        <w:rPr>
          <w:rFonts w:ascii="Arial"/>
          <w:sz w:val="18"/>
        </w:rPr>
        <w:sectPr>
          <w:type w:val="continuous"/>
          <w:pgSz w:w="7200" w:h="11340"/>
          <w:pgMar w:top="1100" w:bottom="0" w:left="660" w:right="580"/>
          <w:cols w:num="2" w:equalWidth="0">
            <w:col w:w="1163" w:space="2325"/>
            <w:col w:w="2472"/>
          </w:cols>
        </w:sectPr>
      </w:pPr>
    </w:p>
    <w:p>
      <w:pPr>
        <w:tabs>
          <w:tab w:pos="615" w:val="left" w:leader="none"/>
        </w:tabs>
        <w:spacing w:line="184" w:lineRule="exact" w:before="0"/>
        <w:ind w:left="0" w:right="896" w:firstLine="0"/>
        <w:jc w:val="right"/>
        <w:rPr>
          <w:rFonts w:ascii="Arial"/>
          <w:i/>
          <w:sz w:val="18"/>
        </w:rPr>
      </w:pPr>
      <w:r>
        <w:rPr>
          <w:rFonts w:ascii="Arial"/>
          <w:i/>
          <w:color w:val="010101"/>
          <w:w w:val="105"/>
          <w:sz w:val="17"/>
        </w:rPr>
        <w:t>1;;i</w:t>
        <w:tab/>
      </w:r>
      <w:r>
        <w:rPr>
          <w:rFonts w:ascii="Arial"/>
          <w:i/>
          <w:color w:val="010101"/>
          <w:spacing w:val="-1"/>
          <w:w w:val="105"/>
          <w:sz w:val="18"/>
        </w:rPr>
        <w:t>D.</w:t>
      </w:r>
    </w:p>
    <w:p>
      <w:pPr>
        <w:pStyle w:val="BodyText"/>
        <w:spacing w:before="9"/>
        <w:rPr>
          <w:rFonts w:ascii="Arial"/>
          <w:i/>
          <w:sz w:val="8"/>
        </w:rPr>
      </w:pPr>
    </w:p>
    <w:p>
      <w:pPr>
        <w:spacing w:line="232" w:lineRule="auto" w:before="82"/>
        <w:ind w:left="792" w:right="110" w:hanging="265"/>
        <w:jc w:val="both"/>
        <w:rPr>
          <w:sz w:val="18"/>
        </w:rPr>
      </w:pPr>
      <w:r>
        <w:rPr>
          <w:color w:val="010101"/>
          <w:w w:val="105"/>
          <w:sz w:val="16"/>
        </w:rPr>
        <w:t>(b) </w:t>
      </w:r>
      <w:r>
        <w:rPr>
          <w:color w:val="010101"/>
          <w:w w:val="105"/>
          <w:sz w:val="18"/>
        </w:rPr>
        <w:t>Find the net annual  premium  payable  for </w:t>
      </w:r>
      <w:r>
        <w:rPr>
          <w:i/>
          <w:color w:val="010101"/>
          <w:w w:val="105"/>
          <w:sz w:val="18"/>
        </w:rPr>
        <w:t>n </w:t>
      </w:r>
      <w:r>
        <w:rPr>
          <w:color w:val="010101"/>
          <w:w w:val="105"/>
          <w:sz w:val="18"/>
        </w:rPr>
        <w:t>years for a deferred life annuity of 1per annum, Í88ued to a life aged z, with the first annuity payment n years af ter date of issue and with a provision that, if (z) dies within the n-year period, the net premiume paid are to be returned with compound interest to the end of the year of death.  Aseume that the interest allowed in the return of  premium</w:t>
      </w:r>
    </w:p>
    <w:p>
      <w:pPr>
        <w:tabs>
          <w:tab w:pos="803" w:val="left" w:leader="none"/>
        </w:tabs>
        <w:spacing w:line="196" w:lineRule="exact" w:before="0"/>
        <w:ind w:left="417" w:right="0" w:firstLine="0"/>
        <w:jc w:val="left"/>
        <w:rPr>
          <w:sz w:val="18"/>
        </w:rPr>
      </w:pPr>
      <w:r>
        <w:rPr>
          <w:color w:val="010101"/>
          <w:w w:val="105"/>
          <w:sz w:val="18"/>
        </w:rPr>
        <w:t>.</w:t>
        <w:tab/>
        <w:t>benefit  is at the rate used in the calculation  of  the  </w:t>
      </w:r>
      <w:r>
        <w:rPr>
          <w:color w:val="010101"/>
          <w:spacing w:val="30"/>
          <w:w w:val="105"/>
          <w:sz w:val="18"/>
        </w:rPr>
        <w:t> </w:t>
      </w:r>
      <w:r>
        <w:rPr>
          <w:color w:val="010101"/>
          <w:w w:val="105"/>
          <w:sz w:val="18"/>
        </w:rPr>
        <w:t>premium.</w:t>
      </w:r>
    </w:p>
    <w:p>
      <w:pPr>
        <w:pStyle w:val="ListParagraph"/>
        <w:numPr>
          <w:ilvl w:val="1"/>
          <w:numId w:val="40"/>
        </w:numPr>
        <w:tabs>
          <w:tab w:pos="575" w:val="left" w:leader="none"/>
        </w:tabs>
        <w:spacing w:line="202" w:lineRule="exact" w:before="3" w:after="0"/>
        <w:ind w:left="120" w:right="119" w:firstLine="171"/>
        <w:jc w:val="both"/>
        <w:rPr>
          <w:i/>
          <w:sz w:val="19"/>
        </w:rPr>
      </w:pPr>
      <w:r>
        <w:rPr>
          <w:color w:val="010101"/>
          <w:w w:val="105"/>
          <w:sz w:val="18"/>
        </w:rPr>
        <w:t>A</w:t>
      </w:r>
      <w:r>
        <w:rPr>
          <w:color w:val="010101"/>
          <w:spacing w:val="-12"/>
          <w:w w:val="105"/>
          <w:sz w:val="18"/>
        </w:rPr>
        <w:t> </w:t>
      </w:r>
      <w:r>
        <w:rPr>
          <w:color w:val="010101"/>
          <w:w w:val="105"/>
          <w:sz w:val="18"/>
        </w:rPr>
        <w:t>man</w:t>
      </w:r>
      <w:r>
        <w:rPr>
          <w:color w:val="010101"/>
          <w:spacing w:val="-6"/>
          <w:w w:val="105"/>
          <w:sz w:val="18"/>
        </w:rPr>
        <w:t> </w:t>
      </w:r>
      <w:r>
        <w:rPr>
          <w:color w:val="010101"/>
          <w:w w:val="105"/>
          <w:sz w:val="18"/>
        </w:rPr>
        <w:t>must</w:t>
      </w:r>
      <w:r>
        <w:rPr>
          <w:color w:val="010101"/>
          <w:spacing w:val="-7"/>
          <w:w w:val="105"/>
          <w:sz w:val="18"/>
        </w:rPr>
        <w:t> </w:t>
      </w:r>
      <w:r>
        <w:rPr>
          <w:color w:val="010101"/>
          <w:w w:val="105"/>
          <w:sz w:val="18"/>
        </w:rPr>
        <w:t>meet</w:t>
      </w:r>
      <w:r>
        <w:rPr>
          <w:color w:val="010101"/>
          <w:spacing w:val="-4"/>
          <w:w w:val="105"/>
          <w:sz w:val="18"/>
        </w:rPr>
        <w:t> </w:t>
      </w:r>
      <w:r>
        <w:rPr>
          <w:color w:val="010101"/>
          <w:w w:val="105"/>
          <w:sz w:val="18"/>
        </w:rPr>
        <w:t>an</w:t>
      </w:r>
      <w:r>
        <w:rPr>
          <w:color w:val="010101"/>
          <w:spacing w:val="-12"/>
          <w:w w:val="105"/>
          <w:sz w:val="18"/>
        </w:rPr>
        <w:t> </w:t>
      </w:r>
      <w:r>
        <w:rPr>
          <w:color w:val="010101"/>
          <w:w w:val="105"/>
          <w:sz w:val="18"/>
        </w:rPr>
        <w:t>obligation</w:t>
      </w:r>
      <w:r>
        <w:rPr>
          <w:color w:val="010101"/>
          <w:spacing w:val="-5"/>
          <w:w w:val="105"/>
          <w:sz w:val="18"/>
        </w:rPr>
        <w:t> </w:t>
      </w:r>
      <w:r>
        <w:rPr>
          <w:color w:val="010101"/>
          <w:w w:val="105"/>
          <w:sz w:val="18"/>
        </w:rPr>
        <w:t>of</w:t>
      </w:r>
      <w:r>
        <w:rPr>
          <w:color w:val="010101"/>
          <w:spacing w:val="10"/>
          <w:w w:val="105"/>
          <w:sz w:val="18"/>
        </w:rPr>
        <w:t> </w:t>
      </w:r>
      <w:r>
        <w:rPr>
          <w:color w:val="010101"/>
          <w:w w:val="105"/>
          <w:sz w:val="18"/>
        </w:rPr>
        <w:t>1at</w:t>
      </w:r>
      <w:r>
        <w:rPr>
          <w:color w:val="010101"/>
          <w:spacing w:val="-14"/>
          <w:w w:val="105"/>
          <w:sz w:val="18"/>
        </w:rPr>
        <w:t> </w:t>
      </w:r>
      <w:r>
        <w:rPr>
          <w:color w:val="010101"/>
          <w:w w:val="105"/>
          <w:sz w:val="18"/>
        </w:rPr>
        <w:t>the</w:t>
      </w:r>
      <w:r>
        <w:rPr>
          <w:color w:val="010101"/>
          <w:spacing w:val="-20"/>
          <w:w w:val="105"/>
          <w:sz w:val="18"/>
        </w:rPr>
        <w:t> </w:t>
      </w:r>
      <w:r>
        <w:rPr>
          <w:color w:val="010101"/>
          <w:w w:val="105"/>
          <w:sz w:val="18"/>
        </w:rPr>
        <w:t>end</w:t>
      </w:r>
      <w:r>
        <w:rPr>
          <w:color w:val="010101"/>
          <w:spacing w:val="-15"/>
          <w:w w:val="105"/>
          <w:sz w:val="18"/>
        </w:rPr>
        <w:t> </w:t>
      </w:r>
      <w:r>
        <w:rPr>
          <w:color w:val="010101"/>
          <w:w w:val="105"/>
          <w:sz w:val="18"/>
        </w:rPr>
        <w:t>of</w:t>
      </w:r>
      <w:r>
        <w:rPr>
          <w:color w:val="010101"/>
          <w:spacing w:val="-6"/>
          <w:w w:val="105"/>
          <w:sz w:val="18"/>
        </w:rPr>
        <w:t> </w:t>
      </w:r>
      <w:r>
        <w:rPr>
          <w:color w:val="010101"/>
          <w:w w:val="105"/>
          <w:sz w:val="18"/>
        </w:rPr>
        <w:t>n</w:t>
      </w:r>
      <w:r>
        <w:rPr>
          <w:color w:val="010101"/>
          <w:spacing w:val="-2"/>
          <w:w w:val="105"/>
          <w:sz w:val="18"/>
        </w:rPr>
        <w:t> </w:t>
      </w:r>
      <w:r>
        <w:rPr>
          <w:color w:val="010101"/>
          <w:w w:val="105"/>
          <w:sz w:val="18"/>
        </w:rPr>
        <w:t>years.</w:t>
      </w:r>
      <w:r>
        <w:rPr>
          <w:color w:val="010101"/>
          <w:spacing w:val="-9"/>
          <w:w w:val="105"/>
          <w:sz w:val="18"/>
        </w:rPr>
        <w:t> </w:t>
      </w:r>
      <w:r>
        <w:rPr>
          <w:color w:val="010101"/>
          <w:w w:val="105"/>
          <w:sz w:val="18"/>
        </w:rPr>
        <w:t>He</w:t>
      </w:r>
      <w:r>
        <w:rPr>
          <w:color w:val="010101"/>
          <w:spacing w:val="-18"/>
          <w:w w:val="105"/>
          <w:sz w:val="18"/>
        </w:rPr>
        <w:t> </w:t>
      </w:r>
      <w:r>
        <w:rPr>
          <w:color w:val="010101"/>
          <w:w w:val="105"/>
          <w:sz w:val="18"/>
        </w:rPr>
        <w:t>purchases an insuranee policy which provides an increasing death benefit, payable at the end of the year of death, equal at any time to the present value of thia obligation at rate of interest </w:t>
      </w:r>
      <w:r>
        <w:rPr>
          <w:i/>
          <w:color w:val="010101"/>
          <w:spacing w:val="2"/>
          <w:w w:val="105"/>
          <w:sz w:val="18"/>
        </w:rPr>
        <w:t>i.</w:t>
      </w:r>
      <w:r>
        <w:rPr>
          <w:color w:val="010101"/>
          <w:spacing w:val="2"/>
          <w:w w:val="105"/>
          <w:sz w:val="18"/>
        </w:rPr>
        <w:t>Find </w:t>
      </w:r>
      <w:r>
        <w:rPr>
          <w:color w:val="010101"/>
          <w:w w:val="105"/>
          <w:sz w:val="18"/>
        </w:rPr>
        <w:t>the net level annual premium payable</w:t>
      </w:r>
      <w:r>
        <w:rPr>
          <w:color w:val="010101"/>
          <w:spacing w:val="47"/>
          <w:w w:val="105"/>
          <w:sz w:val="18"/>
        </w:rPr>
        <w:t> </w:t>
      </w:r>
      <w:r>
        <w:rPr>
          <w:color w:val="010101"/>
          <w:w w:val="105"/>
          <w:sz w:val="18"/>
        </w:rPr>
        <w:t>for </w:t>
      </w:r>
      <w:r>
        <w:rPr>
          <w:i/>
          <w:color w:val="010101"/>
          <w:w w:val="105"/>
          <w:sz w:val="19"/>
        </w:rPr>
        <w:t>n </w:t>
      </w:r>
      <w:r>
        <w:rPr>
          <w:color w:val="010101"/>
          <w:w w:val="105"/>
          <w:sz w:val="18"/>
        </w:rPr>
        <w:t>years, assuming  interest  at rate</w:t>
      </w:r>
      <w:r>
        <w:rPr>
          <w:color w:val="010101"/>
          <w:spacing w:val="45"/>
          <w:w w:val="105"/>
          <w:sz w:val="18"/>
        </w:rPr>
        <w:t> </w:t>
      </w:r>
      <w:r>
        <w:rPr>
          <w:i/>
          <w:color w:val="010101"/>
          <w:w w:val="125"/>
          <w:sz w:val="19"/>
        </w:rPr>
        <w:t>i.</w:t>
      </w:r>
    </w:p>
    <w:p>
      <w:pPr>
        <w:pStyle w:val="ListParagraph"/>
        <w:numPr>
          <w:ilvl w:val="1"/>
          <w:numId w:val="40"/>
        </w:numPr>
        <w:tabs>
          <w:tab w:pos="564" w:val="left" w:leader="none"/>
        </w:tabs>
        <w:spacing w:line="196" w:lineRule="exact" w:before="0" w:after="0"/>
        <w:ind w:left="563" w:right="0" w:hanging="279"/>
        <w:jc w:val="both"/>
        <w:rPr>
          <w:sz w:val="18"/>
        </w:rPr>
      </w:pPr>
      <w:r>
        <w:rPr>
          <w:color w:val="010101"/>
          <w:sz w:val="18"/>
        </w:rPr>
        <w:t>An  n-year  decreasing  term  insurance  policy  issued  to  (z)  provides a</w:t>
      </w:r>
    </w:p>
    <w:p>
      <w:pPr>
        <w:spacing w:line="232" w:lineRule="exact" w:before="66"/>
        <w:ind w:left="116" w:right="0" w:firstLine="0"/>
        <w:jc w:val="left"/>
        <w:rPr>
          <w:sz w:val="18"/>
        </w:rPr>
      </w:pPr>
      <w:r>
        <w:rPr>
          <w:color w:val="010101"/>
          <w:w w:val="105"/>
          <w:sz w:val="18"/>
        </w:rPr>
        <w:t>death benefit of  1 </w:t>
      </w:r>
      <w:r>
        <w:rPr>
          <w:color w:val="010101"/>
          <w:w w:val="230"/>
          <w:sz w:val="18"/>
        </w:rPr>
        <w:t>- </w:t>
      </w:r>
      <w:r>
        <w:rPr>
          <w:rFonts w:ascii="Arial"/>
          <w:color w:val="010101"/>
          <w:w w:val="105"/>
          <w:sz w:val="19"/>
        </w:rPr>
        <w:t>i.J </w:t>
      </w:r>
      <w:r>
        <w:rPr>
          <w:color w:val="010101"/>
          <w:w w:val="105"/>
          <w:sz w:val="18"/>
        </w:rPr>
        <w:t>for the m-th policy year  (m  </w:t>
      </w:r>
      <w:r>
        <w:rPr>
          <w:color w:val="010101"/>
          <w:w w:val="105"/>
          <w:sz w:val="23"/>
        </w:rPr>
        <w:t>= </w:t>
      </w:r>
      <w:r>
        <w:rPr>
          <w:color w:val="010101"/>
          <w:w w:val="105"/>
          <w:sz w:val="18"/>
        </w:rPr>
        <w:t>1, 2, </w:t>
      </w:r>
      <w:r>
        <w:rPr>
          <w:color w:val="010101"/>
          <w:w w:val="125"/>
          <w:sz w:val="18"/>
        </w:rPr>
        <w:t>. . . </w:t>
      </w:r>
      <w:r>
        <w:rPr>
          <w:color w:val="010101"/>
          <w:w w:val="105"/>
          <w:sz w:val="18"/>
        </w:rPr>
        <w:t>, n).  All</w:t>
      </w:r>
    </w:p>
    <w:p>
      <w:pPr>
        <w:spacing w:line="149" w:lineRule="exact" w:before="0"/>
        <w:ind w:left="1759" w:right="0" w:firstLine="0"/>
        <w:jc w:val="left"/>
        <w:rPr>
          <w:b/>
          <w:sz w:val="17"/>
        </w:rPr>
      </w:pPr>
      <w:r>
        <w:rPr>
          <w:b/>
          <w:color w:val="010101"/>
          <w:w w:val="90"/>
          <w:sz w:val="17"/>
        </w:rPr>
        <w:t>i1iiJ</w:t>
      </w:r>
    </w:p>
    <w:p>
      <w:pPr>
        <w:spacing w:line="193" w:lineRule="exact" w:before="0"/>
        <w:ind w:left="127" w:right="0" w:firstLine="0"/>
        <w:jc w:val="left"/>
        <w:rPr>
          <w:sz w:val="18"/>
        </w:rPr>
      </w:pPr>
      <w:r>
        <w:rPr>
          <w:color w:val="010101"/>
          <w:w w:val="105"/>
          <w:sz w:val="18"/>
        </w:rPr>
        <w:t>calculations involving interest are made at the same rate. Express  the    net</w:t>
      </w:r>
    </w:p>
    <w:p>
      <w:pPr>
        <w:spacing w:line="213" w:lineRule="exact" w:before="6"/>
        <w:ind w:left="120" w:right="0" w:firstLine="0"/>
        <w:jc w:val="left"/>
        <w:rPr>
          <w:sz w:val="18"/>
        </w:rPr>
      </w:pPr>
      <w:r>
        <w:rPr>
          <w:color w:val="010101"/>
          <w:w w:val="104"/>
          <w:sz w:val="18"/>
        </w:rPr>
        <w:t>annual</w:t>
      </w:r>
      <w:r>
        <w:rPr>
          <w:color w:val="010101"/>
          <w:spacing w:val="17"/>
          <w:sz w:val="18"/>
        </w:rPr>
        <w:t> </w:t>
      </w:r>
      <w:r>
        <w:rPr>
          <w:color w:val="010101"/>
          <w:w w:val="98"/>
          <w:sz w:val="18"/>
        </w:rPr>
        <w:t>premium</w:t>
      </w:r>
      <w:r>
        <w:rPr>
          <w:color w:val="010101"/>
          <w:sz w:val="18"/>
        </w:rPr>
        <w:t> </w:t>
      </w:r>
      <w:r>
        <w:rPr>
          <w:color w:val="010101"/>
          <w:spacing w:val="-14"/>
          <w:sz w:val="18"/>
        </w:rPr>
        <w:t> </w:t>
      </w:r>
      <w:r>
        <w:rPr>
          <w:color w:val="010101"/>
          <w:w w:val="104"/>
          <w:sz w:val="18"/>
        </w:rPr>
        <w:t>in</w:t>
      </w:r>
      <w:r>
        <w:rPr>
          <w:color w:val="010101"/>
          <w:spacing w:val="8"/>
          <w:sz w:val="18"/>
        </w:rPr>
        <w:t> </w:t>
      </w:r>
      <w:r>
        <w:rPr>
          <w:color w:val="010101"/>
          <w:w w:val="104"/>
          <w:sz w:val="18"/>
        </w:rPr>
        <w:t>terms</w:t>
      </w:r>
      <w:r>
        <w:rPr>
          <w:color w:val="010101"/>
          <w:spacing w:val="11"/>
          <w:sz w:val="18"/>
        </w:rPr>
        <w:t> </w:t>
      </w:r>
      <w:r>
        <w:rPr>
          <w:color w:val="010101"/>
          <w:w w:val="85"/>
          <w:sz w:val="18"/>
        </w:rPr>
        <w:t>of</w:t>
      </w:r>
      <w:r>
        <w:rPr>
          <w:color w:val="010101"/>
          <w:sz w:val="18"/>
        </w:rPr>
        <w:t> </w:t>
      </w:r>
      <w:r>
        <w:rPr>
          <w:color w:val="010101"/>
          <w:spacing w:val="-23"/>
          <w:sz w:val="18"/>
        </w:rPr>
        <w:t> </w:t>
      </w:r>
      <w:r>
        <w:rPr>
          <w:i/>
          <w:color w:val="010101"/>
          <w:spacing w:val="23"/>
          <w:w w:val="181"/>
          <w:sz w:val="15"/>
        </w:rPr>
        <w:t>P</w:t>
      </w:r>
      <w:r>
        <w:rPr>
          <w:i/>
          <w:color w:val="1F1F1F"/>
          <w:spacing w:val="4"/>
          <w:w w:val="55"/>
          <w:sz w:val="15"/>
        </w:rPr>
        <w:t>;</w:t>
      </w:r>
      <w:r>
        <w:rPr>
          <w:i/>
          <w:color w:val="010101"/>
          <w:w w:val="148"/>
          <w:sz w:val="15"/>
        </w:rPr>
        <w:t>i</w:t>
      </w:r>
      <w:r>
        <w:rPr>
          <w:i/>
          <w:color w:val="010101"/>
          <w:w w:val="148"/>
          <w:sz w:val="15"/>
        </w:rPr>
        <w:t>)</w:t>
      </w:r>
      <w:r>
        <w:rPr>
          <w:i/>
          <w:color w:val="010101"/>
          <w:sz w:val="15"/>
        </w:rPr>
        <w:t> </w:t>
      </w:r>
      <w:r>
        <w:rPr>
          <w:i/>
          <w:color w:val="010101"/>
          <w:spacing w:val="-19"/>
          <w:sz w:val="15"/>
        </w:rPr>
        <w:t> </w:t>
      </w:r>
      <w:r>
        <w:rPr>
          <w:color w:val="010101"/>
          <w:w w:val="129"/>
          <w:sz w:val="15"/>
        </w:rPr>
        <w:t>,</w:t>
      </w:r>
      <w:r>
        <w:rPr>
          <w:color w:val="010101"/>
          <w:sz w:val="15"/>
        </w:rPr>
        <w:t> </w:t>
      </w:r>
      <w:r>
        <w:rPr>
          <w:color w:val="010101"/>
          <w:spacing w:val="-79"/>
          <w:w w:val="124"/>
          <w:sz w:val="19"/>
        </w:rPr>
        <w:t>P</w:t>
      </w:r>
      <w:r>
        <w:rPr>
          <w:color w:val="010101"/>
          <w:spacing w:val="-129"/>
          <w:w w:val="294"/>
          <w:sz w:val="19"/>
        </w:rPr>
        <w:t>.</w:t>
      </w:r>
      <w:r>
        <w:rPr>
          <w:color w:val="010101"/>
          <w:spacing w:val="12"/>
          <w:w w:val="390"/>
          <w:sz w:val="19"/>
        </w:rPr>
        <w:t>:</w:t>
      </w:r>
      <w:r>
        <w:rPr>
          <w:color w:val="010101"/>
          <w:w w:val="114"/>
          <w:sz w:val="19"/>
        </w:rPr>
        <w:t>,</w:t>
      </w:r>
      <w:r>
        <w:rPr>
          <w:color w:val="010101"/>
          <w:spacing w:val="-13"/>
          <w:sz w:val="19"/>
        </w:rPr>
        <w:t> </w:t>
      </w:r>
      <w:r>
        <w:rPr>
          <w:color w:val="010101"/>
          <w:w w:val="104"/>
          <w:sz w:val="18"/>
        </w:rPr>
        <w:t>and</w:t>
      </w:r>
      <w:r>
        <w:rPr>
          <w:color w:val="010101"/>
          <w:spacing w:val="11"/>
          <w:sz w:val="18"/>
        </w:rPr>
        <w:t> </w:t>
      </w:r>
      <w:r>
        <w:rPr>
          <w:color w:val="010101"/>
          <w:w w:val="108"/>
          <w:sz w:val="18"/>
        </w:rPr>
        <w:t>interest</w:t>
      </w:r>
      <w:r>
        <w:rPr>
          <w:color w:val="010101"/>
          <w:spacing w:val="15"/>
          <w:sz w:val="18"/>
        </w:rPr>
        <w:t> </w:t>
      </w:r>
      <w:r>
        <w:rPr>
          <w:color w:val="010101"/>
          <w:spacing w:val="17"/>
          <w:w w:val="72"/>
          <w:sz w:val="18"/>
        </w:rPr>
        <w:t>f</w:t>
      </w:r>
      <w:r>
        <w:rPr>
          <w:color w:val="010101"/>
          <w:w w:val="105"/>
          <w:sz w:val="18"/>
        </w:rPr>
        <w:t>unctions.</w:t>
      </w:r>
    </w:p>
    <w:p>
      <w:pPr>
        <w:pStyle w:val="ListParagraph"/>
        <w:numPr>
          <w:ilvl w:val="1"/>
          <w:numId w:val="40"/>
        </w:numPr>
        <w:tabs>
          <w:tab w:pos="561" w:val="left" w:leader="none"/>
        </w:tabs>
        <w:spacing w:line="202" w:lineRule="exact" w:before="0" w:after="0"/>
        <w:ind w:left="120" w:right="132" w:firstLine="164"/>
        <w:jc w:val="both"/>
        <w:rPr>
          <w:sz w:val="18"/>
        </w:rPr>
      </w:pPr>
      <w:r>
        <w:rPr>
          <w:color w:val="010101"/>
          <w:sz w:val="18"/>
        </w:rPr>
        <w:t>An m-year endowment policy issued at age z provides for the payment  of </w:t>
      </w:r>
      <w:r>
        <w:rPr>
          <w:rFonts w:ascii="Arial" w:hAnsi="Arial"/>
          <w:i/>
          <w:color w:val="010101"/>
          <w:sz w:val="17"/>
        </w:rPr>
        <w:t>a,¡ </w:t>
      </w:r>
      <w:r>
        <w:rPr>
          <w:color w:val="010101"/>
          <w:sz w:val="18"/>
        </w:rPr>
        <w:t>if death occurs during the first policy year, </w:t>
      </w:r>
      <w:r>
        <w:rPr>
          <w:rFonts w:ascii="Arial" w:hAnsi="Arial"/>
          <w:color w:val="010101"/>
          <w:spacing w:val="-3"/>
          <w:sz w:val="18"/>
        </w:rPr>
        <w:t>ci¡;¡ </w:t>
      </w:r>
      <w:r>
        <w:rPr>
          <w:color w:val="010101"/>
          <w:sz w:val="18"/>
        </w:rPr>
        <w:t>if  death occurs during the second policy year, etc., and 4;i] if death occuI'8 during the m-th policy  yea r or in event that (z) survives the m-year period.  Show  that  the  net annual  premium  </w:t>
      </w:r>
      <w:r>
        <w:rPr>
          <w:i/>
          <w:color w:val="010101"/>
          <w:sz w:val="18"/>
        </w:rPr>
        <w:t>P  </w:t>
      </w:r>
      <w:r>
        <w:rPr>
          <w:color w:val="010101"/>
          <w:sz w:val="18"/>
        </w:rPr>
        <w:t>payable  for </w:t>
      </w:r>
      <w:r>
        <w:rPr>
          <w:rFonts w:ascii="Arial" w:hAnsi="Arial"/>
          <w:i/>
          <w:color w:val="010101"/>
          <w:sz w:val="16"/>
        </w:rPr>
        <w:t>r  </w:t>
      </w:r>
      <w:r>
        <w:rPr>
          <w:color w:val="010101"/>
          <w:sz w:val="18"/>
        </w:rPr>
        <w:t>years  is given</w:t>
      </w:r>
      <w:r>
        <w:rPr>
          <w:color w:val="010101"/>
          <w:spacing w:val="-16"/>
          <w:sz w:val="18"/>
        </w:rPr>
        <w:t> </w:t>
      </w:r>
      <w:r>
        <w:rPr>
          <w:color w:val="010101"/>
          <w:sz w:val="18"/>
        </w:rPr>
        <w:t>by</w:t>
      </w:r>
    </w:p>
    <w:p>
      <w:pPr>
        <w:pStyle w:val="BodyText"/>
        <w:spacing w:before="10"/>
        <w:rPr>
          <w:sz w:val="15"/>
        </w:rPr>
      </w:pPr>
    </w:p>
    <w:p>
      <w:pPr>
        <w:spacing w:before="0"/>
        <w:ind w:left="21" w:right="131" w:firstLine="0"/>
        <w:jc w:val="center"/>
        <w:rPr>
          <w:rFonts w:ascii="Arial" w:hAnsi="Arial"/>
          <w:b/>
          <w:sz w:val="14"/>
        </w:rPr>
      </w:pPr>
      <w:r>
        <w:rPr>
          <w:b/>
          <w:i/>
          <w:color w:val="010101"/>
          <w:w w:val="108"/>
          <w:sz w:val="18"/>
        </w:rPr>
        <w:t>p</w:t>
      </w:r>
      <w:r>
        <w:rPr>
          <w:b/>
          <w:i/>
          <w:color w:val="010101"/>
          <w:sz w:val="18"/>
        </w:rPr>
        <w:t> </w:t>
      </w:r>
      <w:r>
        <w:rPr>
          <w:b/>
          <w:i/>
          <w:color w:val="010101"/>
          <w:spacing w:val="13"/>
          <w:sz w:val="18"/>
        </w:rPr>
        <w:t> </w:t>
      </w:r>
      <w:r>
        <w:rPr>
          <w:color w:val="010101"/>
          <w:w w:val="241"/>
          <w:sz w:val="18"/>
        </w:rPr>
        <w:t>-</w:t>
      </w:r>
      <w:r>
        <w:rPr>
          <w:color w:val="010101"/>
          <w:spacing w:val="3"/>
          <w:sz w:val="18"/>
        </w:rPr>
        <w:t> </w:t>
      </w:r>
      <w:r>
        <w:rPr>
          <w:rFonts w:ascii="Arial" w:hAnsi="Arial"/>
          <w:b/>
          <w:color w:val="010101"/>
          <w:w w:val="109"/>
          <w:sz w:val="14"/>
          <w:u w:val="single" w:color="000000"/>
        </w:rPr>
        <w:t>Áz:;f</w:t>
      </w:r>
      <w:r>
        <w:rPr>
          <w:rFonts w:ascii="Arial" w:hAnsi="Arial"/>
          <w:b/>
          <w:color w:val="010101"/>
          <w:spacing w:val="6"/>
          <w:sz w:val="14"/>
          <w:u w:val="single" w:color="000000"/>
        </w:rPr>
        <w:t> </w:t>
      </w:r>
      <w:r>
        <w:rPr>
          <w:rFonts w:ascii="Arial" w:hAnsi="Arial"/>
          <w:color w:val="010101"/>
          <w:spacing w:val="1"/>
          <w:w w:val="326"/>
          <w:sz w:val="14"/>
          <w:u w:val="single" w:color="000000"/>
        </w:rPr>
        <w:t>-</w:t>
      </w:r>
      <w:r>
        <w:rPr>
          <w:rFonts w:ascii="Arial" w:hAnsi="Arial"/>
          <w:b/>
          <w:color w:val="010101"/>
          <w:w w:val="134"/>
          <w:sz w:val="14"/>
          <w:u w:val="single" w:color="000000"/>
        </w:rPr>
        <w:t>Á</w:t>
      </w:r>
      <w:r>
        <w:rPr>
          <w:rFonts w:ascii="Arial" w:hAnsi="Arial"/>
          <w:b/>
          <w:color w:val="010101"/>
          <w:spacing w:val="-7"/>
          <w:w w:val="134"/>
          <w:sz w:val="14"/>
          <w:u w:val="single" w:color="000000"/>
        </w:rPr>
        <w:t>;</w:t>
      </w:r>
      <w:r>
        <w:rPr>
          <w:rFonts w:ascii="Arial" w:hAnsi="Arial"/>
          <w:b/>
          <w:color w:val="010101"/>
          <w:spacing w:val="-27"/>
          <w:w w:val="109"/>
          <w:sz w:val="14"/>
          <w:u w:val="single" w:color="000000"/>
        </w:rPr>
        <w:t>:</w:t>
      </w:r>
      <w:r>
        <w:rPr>
          <w:rFonts w:ascii="Arial" w:hAnsi="Arial"/>
          <w:b/>
          <w:color w:val="010101"/>
          <w:w w:val="84"/>
          <w:sz w:val="14"/>
          <w:u w:val="single" w:color="000000"/>
        </w:rPr>
        <w:t>iii</w:t>
      </w:r>
      <w:r>
        <w:rPr>
          <w:rFonts w:ascii="Arial" w:hAnsi="Arial"/>
          <w:b/>
          <w:color w:val="010101"/>
          <w:w w:val="84"/>
          <w:sz w:val="14"/>
        </w:rPr>
        <w:t>l</w:t>
      </w:r>
    </w:p>
    <w:p>
      <w:pPr>
        <w:spacing w:before="12"/>
        <w:ind w:left="385" w:right="131" w:firstLine="0"/>
        <w:jc w:val="center"/>
        <w:rPr>
          <w:sz w:val="18"/>
        </w:rPr>
      </w:pPr>
      <w:r>
        <w:rPr>
          <w:color w:val="010101"/>
          <w:w w:val="155"/>
          <w:sz w:val="18"/>
        </w:rPr>
        <w:t>1</w:t>
      </w:r>
      <w:r>
        <w:rPr>
          <w:color w:val="010101"/>
          <w:spacing w:val="-60"/>
          <w:w w:val="155"/>
          <w:sz w:val="18"/>
        </w:rPr>
        <w:t> </w:t>
      </w:r>
      <w:r>
        <w:rPr>
          <w:color w:val="010101"/>
          <w:w w:val="220"/>
          <w:sz w:val="18"/>
        </w:rPr>
        <w:t>-</w:t>
      </w:r>
      <w:r>
        <w:rPr>
          <w:color w:val="010101"/>
          <w:spacing w:val="-90"/>
          <w:w w:val="220"/>
          <w:sz w:val="18"/>
        </w:rPr>
        <w:t> </w:t>
      </w:r>
      <w:r>
        <w:rPr>
          <w:color w:val="010101"/>
          <w:w w:val="105"/>
          <w:sz w:val="18"/>
        </w:rPr>
        <w:t>As:rl</w:t>
      </w:r>
    </w:p>
    <w:p>
      <w:pPr>
        <w:spacing w:line="223" w:lineRule="auto" w:before="115"/>
        <w:ind w:left="120" w:right="136" w:firstLine="0"/>
        <w:jc w:val="left"/>
        <w:rPr>
          <w:sz w:val="18"/>
        </w:rPr>
      </w:pPr>
      <w:r>
        <w:rPr>
          <w:color w:val="010101"/>
          <w:sz w:val="18"/>
        </w:rPr>
        <w:t>where </w:t>
      </w:r>
      <w:r>
        <w:rPr>
          <w:color w:val="010101"/>
          <w:spacing w:val="-3"/>
          <w:sz w:val="18"/>
        </w:rPr>
        <w:t>A;:¡¡¡¡ </w:t>
      </w:r>
      <w:r>
        <w:rPr>
          <w:color w:val="010101"/>
          <w:sz w:val="18"/>
        </w:rPr>
        <w:t>is </w:t>
      </w:r>
      <w:r>
        <w:rPr>
          <w:color w:val="010101"/>
          <w:w w:val="120"/>
          <w:sz w:val="18"/>
        </w:rPr>
        <w:t>at </w:t>
      </w:r>
      <w:r>
        <w:rPr>
          <w:color w:val="010101"/>
          <w:sz w:val="18"/>
        </w:rPr>
        <w:t>rate of interest </w:t>
      </w:r>
      <w:r>
        <w:rPr>
          <w:color w:val="010101"/>
          <w:w w:val="145"/>
          <w:sz w:val="18"/>
        </w:rPr>
        <w:t>j </w:t>
      </w:r>
      <w:r>
        <w:rPr>
          <w:color w:val="010101"/>
          <w:sz w:val="23"/>
        </w:rPr>
        <w:t>= </w:t>
      </w:r>
      <w:r>
        <w:rPr>
          <w:color w:val="010101"/>
          <w:sz w:val="18"/>
        </w:rPr>
        <w:t>(1 </w:t>
      </w:r>
      <w:r>
        <w:rPr>
          <w:rFonts w:ascii="Arial" w:hAnsi="Arial"/>
          <w:color w:val="010101"/>
          <w:sz w:val="26"/>
        </w:rPr>
        <w:t>+ </w:t>
      </w:r>
      <w:r>
        <w:rPr>
          <w:color w:val="010101"/>
          <w:w w:val="120"/>
          <w:sz w:val="16"/>
        </w:rPr>
        <w:t>i)t+</w:t>
      </w:r>
      <w:r>
        <w:rPr>
          <w:color w:val="010101"/>
          <w:w w:val="120"/>
          <w:position w:val="5"/>
          <w:sz w:val="11"/>
        </w:rPr>
        <w:t>1 </w:t>
      </w:r>
      <w:r>
        <w:rPr>
          <w:color w:val="010101"/>
          <w:w w:val="405"/>
          <w:sz w:val="11"/>
        </w:rPr>
        <w:t>-</w:t>
      </w:r>
      <w:r>
        <w:rPr>
          <w:color w:val="010101"/>
          <w:spacing w:val="-76"/>
          <w:w w:val="405"/>
          <w:sz w:val="11"/>
        </w:rPr>
        <w:t> </w:t>
      </w:r>
      <w:r>
        <w:rPr>
          <w:color w:val="010101"/>
          <w:spacing w:val="4"/>
          <w:w w:val="120"/>
          <w:sz w:val="18"/>
        </w:rPr>
        <w:t>1,</w:t>
      </w:r>
      <w:r>
        <w:rPr>
          <w:i/>
          <w:color w:val="010101"/>
          <w:spacing w:val="4"/>
          <w:w w:val="120"/>
          <w:sz w:val="19"/>
        </w:rPr>
        <w:t>i </w:t>
      </w:r>
      <w:r>
        <w:rPr>
          <w:color w:val="010101"/>
          <w:sz w:val="18"/>
        </w:rPr>
        <w:t>being the rate assumed in  the  premium  calculation.</w:t>
      </w:r>
    </w:p>
    <w:p>
      <w:pPr>
        <w:pStyle w:val="BodyText"/>
        <w:spacing w:before="4"/>
        <w:rPr>
          <w:sz w:val="17"/>
        </w:rPr>
      </w:pPr>
    </w:p>
    <w:p>
      <w:pPr>
        <w:pStyle w:val="ListParagraph"/>
        <w:numPr>
          <w:ilvl w:val="0"/>
          <w:numId w:val="40"/>
        </w:numPr>
        <w:tabs>
          <w:tab w:pos="310" w:val="left" w:leader="none"/>
        </w:tabs>
        <w:spacing w:line="240" w:lineRule="auto" w:before="0" w:after="0"/>
        <w:ind w:left="309" w:right="0" w:hanging="200"/>
        <w:jc w:val="left"/>
        <w:rPr>
          <w:b/>
          <w:sz w:val="17"/>
        </w:rPr>
      </w:pPr>
      <w:r>
        <w:rPr>
          <w:b/>
          <w:color w:val="010101"/>
          <w:w w:val="120"/>
          <w:sz w:val="17"/>
        </w:rPr>
        <w:t>Summary of</w:t>
      </w:r>
      <w:r>
        <w:rPr>
          <w:b/>
          <w:color w:val="010101"/>
          <w:spacing w:val="-24"/>
          <w:w w:val="120"/>
          <w:sz w:val="17"/>
        </w:rPr>
        <w:t> </w:t>
      </w:r>
      <w:r>
        <w:rPr>
          <w:b/>
          <w:color w:val="010101"/>
          <w:w w:val="120"/>
          <w:sz w:val="17"/>
        </w:rPr>
        <w:t>notation</w:t>
      </w:r>
    </w:p>
    <w:p>
      <w:pPr>
        <w:pStyle w:val="ListParagraph"/>
        <w:numPr>
          <w:ilvl w:val="0"/>
          <w:numId w:val="41"/>
        </w:numPr>
        <w:tabs>
          <w:tab w:pos="564" w:val="left" w:leader="none"/>
        </w:tabs>
        <w:spacing w:line="230" w:lineRule="auto" w:before="82" w:after="0"/>
        <w:ind w:left="120" w:right="123" w:firstLine="164"/>
        <w:jc w:val="both"/>
        <w:rPr>
          <w:color w:val="010101"/>
          <w:sz w:val="18"/>
        </w:rPr>
      </w:pPr>
      <w:r>
        <w:rPr>
          <w:color w:val="010101"/>
          <w:w w:val="105"/>
          <w:sz w:val="18"/>
        </w:rPr>
        <w:t>Express each of the following </w:t>
      </w:r>
      <w:r>
        <w:rPr>
          <w:color w:val="010101"/>
          <w:w w:val="105"/>
          <w:sz w:val="17"/>
        </w:rPr>
        <w:t>by </w:t>
      </w:r>
      <w:r>
        <w:rPr>
          <w:color w:val="010101"/>
          <w:w w:val="105"/>
          <w:sz w:val="18"/>
        </w:rPr>
        <w:t>a single symbol, and give formulas for evaluating each in terme of commutation functions (using standard ap­ proximations </w:t>
      </w:r>
      <w:r>
        <w:rPr>
          <w:b/>
          <w:color w:val="010101"/>
          <w:w w:val="105"/>
          <w:sz w:val="18"/>
        </w:rPr>
        <w:t>where</w:t>
      </w:r>
      <w:r>
        <w:rPr>
          <w:b/>
          <w:color w:val="010101"/>
          <w:spacing w:val="8"/>
          <w:w w:val="105"/>
          <w:sz w:val="18"/>
        </w:rPr>
        <w:t> </w:t>
      </w:r>
      <w:r>
        <w:rPr>
          <w:color w:val="010101"/>
          <w:w w:val="105"/>
          <w:sz w:val="18"/>
        </w:rPr>
        <w:t>necessary):</w:t>
      </w:r>
    </w:p>
    <w:p>
      <w:pPr>
        <w:pStyle w:val="ListParagraph"/>
        <w:numPr>
          <w:ilvl w:val="1"/>
          <w:numId w:val="41"/>
        </w:numPr>
        <w:tabs>
          <w:tab w:pos="750" w:val="left" w:leader="none"/>
        </w:tabs>
        <w:spacing w:line="198" w:lineRule="exact" w:before="1" w:after="0"/>
        <w:ind w:left="742" w:right="136" w:hanging="286"/>
        <w:jc w:val="both"/>
        <w:rPr>
          <w:sz w:val="18"/>
        </w:rPr>
      </w:pPr>
      <w:r>
        <w:rPr>
          <w:color w:val="010101"/>
          <w:w w:val="105"/>
          <w:sz w:val="18"/>
        </w:rPr>
        <w:t>the net annual premium payable continuously for 20 years to pro­ vide</w:t>
      </w:r>
      <w:r>
        <w:rPr>
          <w:color w:val="010101"/>
          <w:spacing w:val="-8"/>
          <w:w w:val="105"/>
          <w:sz w:val="18"/>
        </w:rPr>
        <w:t> </w:t>
      </w:r>
      <w:r>
        <w:rPr>
          <w:color w:val="010101"/>
          <w:w w:val="105"/>
          <w:sz w:val="18"/>
        </w:rPr>
        <w:t>an</w:t>
      </w:r>
      <w:r>
        <w:rPr>
          <w:color w:val="010101"/>
          <w:spacing w:val="-8"/>
          <w:w w:val="105"/>
          <w:sz w:val="18"/>
        </w:rPr>
        <w:t> </w:t>
      </w:r>
      <w:r>
        <w:rPr>
          <w:color w:val="010101"/>
          <w:w w:val="105"/>
          <w:sz w:val="18"/>
        </w:rPr>
        <w:t>insurance</w:t>
      </w:r>
      <w:r>
        <w:rPr>
          <w:color w:val="010101"/>
          <w:spacing w:val="6"/>
          <w:w w:val="105"/>
          <w:sz w:val="18"/>
        </w:rPr>
        <w:t> </w:t>
      </w:r>
      <w:r>
        <w:rPr>
          <w:color w:val="010101"/>
          <w:w w:val="105"/>
          <w:sz w:val="18"/>
        </w:rPr>
        <w:t>to</w:t>
      </w:r>
      <w:r>
        <w:rPr>
          <w:color w:val="010101"/>
          <w:spacing w:val="-3"/>
          <w:w w:val="105"/>
          <w:sz w:val="18"/>
        </w:rPr>
        <w:t> </w:t>
      </w:r>
      <w:r>
        <w:rPr>
          <w:color w:val="010101"/>
          <w:w w:val="105"/>
          <w:sz w:val="18"/>
        </w:rPr>
        <w:t>age</w:t>
      </w:r>
      <w:r>
        <w:rPr>
          <w:color w:val="010101"/>
          <w:spacing w:val="-14"/>
          <w:w w:val="105"/>
          <w:sz w:val="18"/>
        </w:rPr>
        <w:t> </w:t>
      </w:r>
      <w:r>
        <w:rPr>
          <w:color w:val="010101"/>
          <w:w w:val="105"/>
          <w:sz w:val="18"/>
        </w:rPr>
        <w:t>60</w:t>
      </w:r>
      <w:r>
        <w:rPr>
          <w:color w:val="010101"/>
          <w:spacing w:val="-13"/>
          <w:w w:val="105"/>
          <w:sz w:val="18"/>
        </w:rPr>
        <w:t> </w:t>
      </w:r>
      <w:r>
        <w:rPr>
          <w:color w:val="010101"/>
          <w:w w:val="105"/>
          <w:sz w:val="18"/>
        </w:rPr>
        <w:t>on</w:t>
      </w:r>
      <w:r>
        <w:rPr>
          <w:color w:val="010101"/>
          <w:spacing w:val="-7"/>
          <w:w w:val="105"/>
          <w:sz w:val="18"/>
        </w:rPr>
        <w:t> </w:t>
      </w:r>
      <w:r>
        <w:rPr>
          <w:color w:val="010101"/>
          <w:w w:val="105"/>
          <w:sz w:val="18"/>
        </w:rPr>
        <w:t>a</w:t>
      </w:r>
      <w:r>
        <w:rPr>
          <w:color w:val="010101"/>
          <w:spacing w:val="-14"/>
          <w:w w:val="105"/>
          <w:sz w:val="18"/>
        </w:rPr>
        <w:t> </w:t>
      </w:r>
      <w:r>
        <w:rPr>
          <w:color w:val="010101"/>
          <w:w w:val="105"/>
          <w:sz w:val="18"/>
        </w:rPr>
        <w:t>life</w:t>
      </w:r>
      <w:r>
        <w:rPr>
          <w:color w:val="010101"/>
          <w:spacing w:val="-13"/>
          <w:w w:val="105"/>
          <w:sz w:val="18"/>
        </w:rPr>
        <w:t> </w:t>
      </w:r>
      <w:r>
        <w:rPr>
          <w:b/>
          <w:color w:val="010101"/>
          <w:w w:val="105"/>
          <w:sz w:val="17"/>
        </w:rPr>
        <w:t>aged</w:t>
      </w:r>
      <w:r>
        <w:rPr>
          <w:b/>
          <w:color w:val="010101"/>
          <w:spacing w:val="-7"/>
          <w:w w:val="105"/>
          <w:sz w:val="17"/>
        </w:rPr>
        <w:t> </w:t>
      </w:r>
      <w:r>
        <w:rPr>
          <w:color w:val="010101"/>
          <w:w w:val="105"/>
          <w:sz w:val="18"/>
        </w:rPr>
        <w:t>25;</w:t>
      </w:r>
    </w:p>
    <w:p>
      <w:pPr>
        <w:pStyle w:val="ListParagraph"/>
        <w:numPr>
          <w:ilvl w:val="1"/>
          <w:numId w:val="41"/>
        </w:numPr>
        <w:tabs>
          <w:tab w:pos="750" w:val="left" w:leader="none"/>
        </w:tabs>
        <w:spacing w:line="202" w:lineRule="exact" w:before="0" w:after="0"/>
        <w:ind w:left="746" w:right="129" w:hanging="279"/>
        <w:jc w:val="both"/>
        <w:rPr>
          <w:sz w:val="18"/>
        </w:rPr>
      </w:pPr>
      <w:r>
        <w:rPr>
          <w:color w:val="010101"/>
          <w:w w:val="105"/>
          <w:sz w:val="18"/>
        </w:rPr>
        <w:t>the net annual premium payable quarterly for </w:t>
      </w:r>
      <w:r>
        <w:rPr>
          <w:color w:val="010101"/>
          <w:spacing w:val="-18"/>
          <w:w w:val="105"/>
          <w:sz w:val="18"/>
        </w:rPr>
        <w:t>15 </w:t>
      </w:r>
      <w:r>
        <w:rPr>
          <w:color w:val="010101"/>
          <w:w w:val="105"/>
          <w:sz w:val="18"/>
        </w:rPr>
        <w:t>years  to provide  a deferred  &amp;nnuity of  </w:t>
      </w:r>
      <w:r>
        <w:rPr>
          <w:color w:val="010101"/>
          <w:spacing w:val="-29"/>
          <w:w w:val="105"/>
          <w:sz w:val="18"/>
        </w:rPr>
        <w:t>10  </w:t>
      </w:r>
      <w:r>
        <w:rPr>
          <w:color w:val="010101"/>
          <w:w w:val="105"/>
          <w:sz w:val="18"/>
        </w:rPr>
        <w:t>per month  to  (45) </w:t>
      </w:r>
      <w:r>
        <w:rPr>
          <w:b/>
          <w:color w:val="010101"/>
          <w:w w:val="105"/>
          <w:sz w:val="18"/>
        </w:rPr>
        <w:t>with </w:t>
      </w:r>
      <w:r>
        <w:rPr>
          <w:color w:val="010101"/>
          <w:w w:val="105"/>
          <w:sz w:val="18"/>
        </w:rPr>
        <w:t>first payment </w:t>
      </w:r>
      <w:r>
        <w:rPr>
          <w:color w:val="010101"/>
          <w:spacing w:val="12"/>
          <w:w w:val="105"/>
          <w:sz w:val="18"/>
        </w:rPr>
        <w:t> </w:t>
      </w:r>
      <w:r>
        <w:rPr>
          <w:color w:val="010101"/>
          <w:w w:val="105"/>
          <w:sz w:val="18"/>
        </w:rPr>
        <w:t>at</w:t>
      </w:r>
    </w:p>
    <w:p>
      <w:pPr>
        <w:spacing w:line="229" w:lineRule="exact" w:before="0"/>
        <w:ind w:left="746" w:right="0" w:firstLine="0"/>
        <w:jc w:val="left"/>
        <w:rPr>
          <w:sz w:val="18"/>
        </w:rPr>
      </w:pPr>
      <w:r>
        <w:rPr>
          <w:color w:val="010101"/>
          <w:w w:val="80"/>
          <w:sz w:val="25"/>
        </w:rPr>
        <w:t>aae </w:t>
      </w:r>
      <w:r>
        <w:rPr>
          <w:color w:val="010101"/>
          <w:w w:val="80"/>
          <w:sz w:val="18"/>
        </w:rPr>
        <w:t>flO;</w:t>
      </w:r>
    </w:p>
    <w:p>
      <w:pPr>
        <w:spacing w:after="0" w:line="229" w:lineRule="exact"/>
        <w:jc w:val="left"/>
        <w:rPr>
          <w:sz w:val="18"/>
        </w:rPr>
        <w:sectPr>
          <w:type w:val="continuous"/>
          <w:pgSz w:w="7200" w:h="11340"/>
          <w:pgMar w:top="1100" w:bottom="0" w:left="660" w:right="580"/>
        </w:sectPr>
      </w:pPr>
    </w:p>
    <w:p>
      <w:pPr>
        <w:tabs>
          <w:tab w:pos="5894" w:val="right" w:leader="none"/>
        </w:tabs>
        <w:spacing w:before="63"/>
        <w:ind w:left="2557" w:right="0" w:firstLine="0"/>
        <w:jc w:val="left"/>
        <w:rPr>
          <w:sz w:val="21"/>
        </w:rPr>
      </w:pPr>
      <w:r>
        <w:rPr>
          <w:b/>
          <w:color w:val="010101"/>
          <w:w w:val="105"/>
          <w:sz w:val="15"/>
        </w:rPr>
        <w:t>EXERCISES</w:t>
      </w:r>
      <w:r>
        <w:rPr>
          <w:color w:val="010101"/>
          <w:w w:val="105"/>
          <w:sz w:val="21"/>
        </w:rPr>
        <w:tab/>
        <w:t>95</w:t>
      </w:r>
    </w:p>
    <w:p>
      <w:pPr>
        <w:pStyle w:val="BodyText"/>
        <w:spacing w:before="7"/>
        <w:rPr>
          <w:sz w:val="21"/>
        </w:rPr>
      </w:pPr>
    </w:p>
    <w:p>
      <w:pPr>
        <w:spacing w:line="247" w:lineRule="auto" w:before="0"/>
        <w:ind w:left="764" w:right="158" w:hanging="284"/>
        <w:jc w:val="both"/>
        <w:rPr>
          <w:sz w:val="17"/>
        </w:rPr>
      </w:pPr>
      <w:r>
        <w:rPr>
          <w:color w:val="010101"/>
          <w:w w:val="110"/>
          <w:sz w:val="17"/>
        </w:rPr>
        <w:t>(e) the net annual premium payable montbly on  the  apportionable  basis for 10 years to provide </w:t>
      </w:r>
      <w:r>
        <w:rPr>
          <w:rFonts w:ascii="Arial"/>
          <w:color w:val="010101"/>
          <w:w w:val="110"/>
          <w:sz w:val="15"/>
        </w:rPr>
        <w:t>a </w:t>
      </w:r>
      <w:r>
        <w:rPr>
          <w:color w:val="010101"/>
          <w:w w:val="110"/>
          <w:sz w:val="17"/>
        </w:rPr>
        <w:t>20 year endowment of 1on (35} with death benefit  payable  at the moment  of</w:t>
      </w:r>
      <w:r>
        <w:rPr>
          <w:color w:val="010101"/>
          <w:spacing w:val="34"/>
          <w:w w:val="110"/>
          <w:sz w:val="17"/>
        </w:rPr>
        <w:t> </w:t>
      </w:r>
      <w:r>
        <w:rPr>
          <w:color w:val="010101"/>
          <w:w w:val="110"/>
          <w:sz w:val="17"/>
        </w:rPr>
        <w:t>death.</w:t>
      </w:r>
    </w:p>
    <w:p>
      <w:pPr>
        <w:pStyle w:val="ListParagraph"/>
        <w:numPr>
          <w:ilvl w:val="0"/>
          <w:numId w:val="41"/>
        </w:numPr>
        <w:tabs>
          <w:tab w:pos="589" w:val="left" w:leader="none"/>
        </w:tabs>
        <w:spacing w:line="242" w:lineRule="auto" w:before="0" w:after="0"/>
        <w:ind w:left="147" w:right="166" w:firstLine="158"/>
        <w:jc w:val="left"/>
        <w:rPr>
          <w:color w:val="010101"/>
          <w:sz w:val="17"/>
        </w:rPr>
      </w:pPr>
      <w:r>
        <w:rPr>
          <w:color w:val="010101"/>
          <w:w w:val="110"/>
          <w:sz w:val="17"/>
        </w:rPr>
        <w:t>Give formulas in commutation symbols for the evaluation of ea.ch of the following  (using standard approximations </w:t>
      </w:r>
      <w:r>
        <w:rPr>
          <w:b/>
          <w:color w:val="010101"/>
          <w:w w:val="110"/>
          <w:sz w:val="17"/>
        </w:rPr>
        <w:t>where </w:t>
      </w:r>
      <w:r>
        <w:rPr>
          <w:color w:val="010101"/>
          <w:w w:val="110"/>
          <w:sz w:val="17"/>
        </w:rPr>
        <w:t>necessary)</w:t>
      </w:r>
      <w:r>
        <w:rPr>
          <w:color w:val="010101"/>
          <w:spacing w:val="35"/>
          <w:w w:val="110"/>
          <w:sz w:val="17"/>
        </w:rPr>
        <w:t> </w:t>
      </w:r>
      <w:r>
        <w:rPr>
          <w:color w:val="010101"/>
          <w:w w:val="125"/>
          <w:sz w:val="17"/>
        </w:rPr>
        <w:t>:</w:t>
      </w:r>
    </w:p>
    <w:p>
      <w:pPr>
        <w:spacing w:before="53"/>
        <w:ind w:left="473" w:right="0" w:firstLine="0"/>
        <w:jc w:val="left"/>
        <w:rPr>
          <w:sz w:val="26"/>
        </w:rPr>
      </w:pPr>
      <w:r>
        <w:rPr>
          <w:rFonts w:ascii="Arial"/>
          <w:color w:val="010101"/>
          <w:w w:val="65"/>
          <w:sz w:val="22"/>
        </w:rPr>
        <w:t>&lt;a&gt; </w:t>
      </w:r>
      <w:r>
        <w:rPr>
          <w:color w:val="010101"/>
          <w:w w:val="65"/>
          <w:sz w:val="26"/>
        </w:rPr>
        <w:t>10PJ,to1</w:t>
      </w:r>
    </w:p>
    <w:p>
      <w:pPr>
        <w:spacing w:before="76"/>
        <w:ind w:left="473" w:right="0" w:firstLine="0"/>
        <w:jc w:val="left"/>
        <w:rPr>
          <w:sz w:val="17"/>
        </w:rPr>
      </w:pPr>
      <w:r>
        <w:rPr>
          <w:color w:val="010101"/>
          <w:w w:val="115"/>
          <w:sz w:val="16"/>
        </w:rPr>
        <w:t>(b) </w:t>
      </w:r>
      <w:r>
        <w:rPr>
          <w:color w:val="010101"/>
          <w:w w:val="115"/>
          <w:sz w:val="17"/>
        </w:rPr>
        <w:t>P((IA),ii11</w:t>
      </w:r>
    </w:p>
    <w:p>
      <w:pPr>
        <w:spacing w:before="42"/>
        <w:ind w:left="473" w:right="0" w:firstLine="0"/>
        <w:jc w:val="left"/>
        <w:rPr>
          <w:sz w:val="18"/>
        </w:rPr>
      </w:pPr>
      <w:r>
        <w:rPr>
          <w:color w:val="010101"/>
          <w:w w:val="95"/>
          <w:sz w:val="16"/>
        </w:rPr>
        <w:t>(e) </w:t>
      </w:r>
      <w:r>
        <w:rPr>
          <w:color w:val="010101"/>
          <w:w w:val="95"/>
          <w:sz w:val="22"/>
        </w:rPr>
        <w:t>1oPl</w:t>
      </w:r>
      <w:r>
        <w:rPr>
          <w:color w:val="010101"/>
          <w:w w:val="95"/>
          <w:position w:val="8"/>
          <w:sz w:val="18"/>
        </w:rPr>
        <w:t>11</w:t>
      </w:r>
    </w:p>
    <w:p>
      <w:pPr>
        <w:spacing w:before="149"/>
        <w:ind w:left="132" w:right="0" w:firstLine="0"/>
        <w:jc w:val="left"/>
        <w:rPr>
          <w:b/>
          <w:sz w:val="17"/>
        </w:rPr>
      </w:pPr>
      <w:r>
        <w:rPr>
          <w:b/>
          <w:color w:val="010101"/>
          <w:w w:val="115"/>
          <w:sz w:val="17"/>
        </w:rPr>
        <w:t>Miecellaneous problema</w:t>
      </w:r>
    </w:p>
    <w:p>
      <w:pPr>
        <w:pStyle w:val="ListParagraph"/>
        <w:numPr>
          <w:ilvl w:val="0"/>
          <w:numId w:val="41"/>
        </w:numPr>
        <w:tabs>
          <w:tab w:pos="585" w:val="left" w:leader="none"/>
        </w:tabs>
        <w:spacing w:line="247" w:lineRule="auto" w:before="85" w:after="0"/>
        <w:ind w:left="132" w:right="136" w:firstLine="173"/>
        <w:jc w:val="left"/>
        <w:rPr>
          <w:color w:val="010101"/>
          <w:sz w:val="17"/>
        </w:rPr>
      </w:pPr>
      <w:r>
        <w:rPr>
          <w:color w:val="010101"/>
          <w:w w:val="110"/>
          <w:sz w:val="17"/>
        </w:rPr>
        <w:t>A new mortality table is constructed by increasing the </w:t>
      </w:r>
      <w:r>
        <w:rPr>
          <w:i/>
          <w:color w:val="010101"/>
          <w:w w:val="110"/>
          <w:sz w:val="17"/>
        </w:rPr>
        <w:t>Pz </w:t>
      </w:r>
      <w:r>
        <w:rPr>
          <w:color w:val="010101"/>
          <w:w w:val="110"/>
          <w:sz w:val="17"/>
        </w:rPr>
        <w:t>values of a standard  table  by a constant  percentage  so</w:t>
      </w:r>
      <w:r>
        <w:rPr>
          <w:color w:val="010101"/>
          <w:spacing w:val="5"/>
          <w:w w:val="110"/>
          <w:sz w:val="17"/>
        </w:rPr>
        <w:t> </w:t>
      </w:r>
      <w:r>
        <w:rPr>
          <w:color w:val="010101"/>
          <w:w w:val="110"/>
          <w:sz w:val="17"/>
        </w:rPr>
        <w:t>that</w:t>
      </w:r>
    </w:p>
    <w:p>
      <w:pPr>
        <w:spacing w:before="112"/>
        <w:ind w:left="2248" w:right="0" w:firstLine="0"/>
        <w:jc w:val="left"/>
        <w:rPr>
          <w:i/>
          <w:sz w:val="18"/>
        </w:rPr>
      </w:pPr>
      <w:r>
        <w:rPr>
          <w:position w:val="-4"/>
        </w:rPr>
        <w:drawing>
          <wp:inline distT="0" distB="0" distL="0" distR="0">
            <wp:extent cx="749807" cy="137160"/>
            <wp:effectExtent l="0" t="0" r="0" b="0"/>
            <wp:docPr id="223" name="image116.png" descr=""/>
            <wp:cNvGraphicFramePr>
              <a:graphicFrameLocks noChangeAspect="1"/>
            </wp:cNvGraphicFramePr>
            <a:graphic>
              <a:graphicData uri="http://schemas.openxmlformats.org/drawingml/2006/picture">
                <pic:pic>
                  <pic:nvPicPr>
                    <pic:cNvPr id="224" name="image116.png"/>
                    <pic:cNvPicPr/>
                  </pic:nvPicPr>
                  <pic:blipFill>
                    <a:blip r:embed="rId120" cstate="print"/>
                    <a:stretch>
                      <a:fillRect/>
                    </a:stretch>
                  </pic:blipFill>
                  <pic:spPr>
                    <a:xfrm>
                      <a:off x="0" y="0"/>
                      <a:ext cx="749807" cy="137160"/>
                    </a:xfrm>
                    <a:prstGeom prst="rect">
                      <a:avLst/>
                    </a:prstGeom>
                  </pic:spPr>
                </pic:pic>
              </a:graphicData>
            </a:graphic>
          </wp:inline>
        </w:drawing>
      </w:r>
      <w:r>
        <w:rPr>
          <w:position w:val="-4"/>
        </w:rPr>
      </w:r>
      <w:r>
        <w:rPr>
          <w:sz w:val="20"/>
        </w:rPr>
        <w:t>     </w:t>
      </w:r>
      <w:r>
        <w:rPr>
          <w:color w:val="010101"/>
          <w:w w:val="115"/>
          <w:sz w:val="17"/>
        </w:rPr>
        <w:t>for all</w:t>
      </w:r>
      <w:r>
        <w:rPr>
          <w:color w:val="010101"/>
          <w:spacing w:val="10"/>
          <w:w w:val="115"/>
          <w:sz w:val="17"/>
        </w:rPr>
        <w:t> </w:t>
      </w:r>
      <w:r>
        <w:rPr>
          <w:i/>
          <w:color w:val="010101"/>
          <w:w w:val="115"/>
          <w:sz w:val="18"/>
        </w:rPr>
        <w:t>x.</w:t>
      </w:r>
    </w:p>
    <w:p>
      <w:pPr>
        <w:spacing w:line="202" w:lineRule="exact" w:before="111"/>
        <w:ind w:left="143" w:right="0" w:firstLine="3"/>
        <w:jc w:val="left"/>
        <w:rPr>
          <w:sz w:val="17"/>
        </w:rPr>
      </w:pPr>
      <w:r>
        <w:rPr>
          <w:color w:val="010101"/>
          <w:w w:val="109"/>
          <w:sz w:val="17"/>
        </w:rPr>
        <w:t>Prove </w:t>
      </w:r>
      <w:r>
        <w:rPr>
          <w:color w:val="010101"/>
          <w:w w:val="122"/>
          <w:sz w:val="17"/>
        </w:rPr>
        <w:t>that </w:t>
      </w:r>
      <w:r>
        <w:rPr>
          <w:color w:val="010101"/>
          <w:w w:val="111"/>
          <w:sz w:val="17"/>
        </w:rPr>
        <w:t>ordinary </w:t>
      </w:r>
      <w:r>
        <w:rPr>
          <w:color w:val="010101"/>
          <w:w w:val="108"/>
          <w:sz w:val="17"/>
        </w:rPr>
        <w:t>life </w:t>
      </w:r>
      <w:r>
        <w:rPr>
          <w:color w:val="010101"/>
          <w:w w:val="86"/>
          <w:sz w:val="17"/>
        </w:rPr>
        <w:t>net</w:t>
      </w:r>
      <w:r>
        <w:rPr>
          <w:color w:val="333333"/>
          <w:w w:val="86"/>
          <w:sz w:val="17"/>
        </w:rPr>
        <w:t>_ </w:t>
      </w:r>
      <w:r>
        <w:rPr>
          <w:color w:val="010101"/>
          <w:w w:val="110"/>
          <w:sz w:val="17"/>
        </w:rPr>
        <w:t>annual </w:t>
      </w:r>
      <w:r>
        <w:rPr>
          <w:color w:val="010101"/>
          <w:w w:val="107"/>
          <w:sz w:val="17"/>
        </w:rPr>
        <w:t>premiums </w:t>
      </w:r>
      <w:r>
        <w:rPr>
          <w:color w:val="010101"/>
          <w:w w:val="108"/>
          <w:sz w:val="17"/>
        </w:rPr>
        <w:t>may </w:t>
      </w:r>
      <w:r>
        <w:rPr>
          <w:color w:val="010101"/>
          <w:w w:val="105"/>
          <w:sz w:val="17"/>
        </w:rPr>
        <w:t>be </w:t>
      </w:r>
      <w:r>
        <w:rPr>
          <w:color w:val="010101"/>
          <w:w w:val="110"/>
          <w:sz w:val="17"/>
        </w:rPr>
        <w:t>calculated </w:t>
      </w:r>
      <w:r>
        <w:rPr>
          <w:color w:val="010101"/>
          <w:w w:val="104"/>
          <w:sz w:val="17"/>
        </w:rPr>
        <w:t>on </w:t>
      </w:r>
      <w:r>
        <w:rPr>
          <w:color w:val="010101"/>
          <w:w w:val="111"/>
          <w:sz w:val="17"/>
        </w:rPr>
        <w:t>the </w:t>
      </w:r>
      <w:r>
        <w:rPr>
          <w:color w:val="010101"/>
          <w:w w:val="99"/>
          <w:sz w:val="17"/>
        </w:rPr>
        <w:t>new </w:t>
      </w:r>
      <w:r>
        <w:rPr>
          <w:color w:val="010101"/>
          <w:w w:val="110"/>
          <w:sz w:val="17"/>
        </w:rPr>
        <w:t>basis  at rate of  interest  </w:t>
      </w:r>
      <w:r>
        <w:rPr>
          <w:i/>
          <w:color w:val="010101"/>
          <w:w w:val="110"/>
          <w:sz w:val="19"/>
        </w:rPr>
        <w:t>i </w:t>
      </w:r>
      <w:r>
        <w:rPr>
          <w:color w:val="010101"/>
          <w:w w:val="110"/>
          <w:sz w:val="17"/>
        </w:rPr>
        <w:t>from  the formula</w:t>
      </w:r>
    </w:p>
    <w:p>
      <w:pPr>
        <w:spacing w:after="0" w:line="202" w:lineRule="exact"/>
        <w:jc w:val="left"/>
        <w:rPr>
          <w:sz w:val="17"/>
        </w:rPr>
        <w:sectPr>
          <w:pgSz w:w="7200" w:h="11340"/>
          <w:pgMar w:top="500" w:bottom="280" w:left="660" w:right="520"/>
        </w:sectPr>
      </w:pPr>
    </w:p>
    <w:p>
      <w:pPr>
        <w:pStyle w:val="BodyText"/>
        <w:rPr>
          <w:sz w:val="13"/>
        </w:rPr>
      </w:pPr>
    </w:p>
    <w:p>
      <w:pPr>
        <w:tabs>
          <w:tab w:pos="380" w:val="left" w:leader="none"/>
        </w:tabs>
        <w:spacing w:line="151" w:lineRule="exact" w:before="0"/>
        <w:ind w:left="0" w:right="406" w:firstLine="0"/>
        <w:jc w:val="right"/>
        <w:rPr>
          <w:sz w:val="17"/>
        </w:rPr>
      </w:pPr>
      <w:r>
        <w:rPr>
          <w:color w:val="010101"/>
          <w:w w:val="155"/>
          <w:sz w:val="17"/>
        </w:rPr>
        <w:t>'</w:t>
        <w:tab/>
      </w:r>
      <w:r>
        <w:rPr>
          <w:color w:val="010101"/>
          <w:spacing w:val="-1"/>
          <w:w w:val="140"/>
          <w:sz w:val="17"/>
        </w:rPr>
        <w:t>1</w:t>
      </w:r>
    </w:p>
    <w:p>
      <w:pPr>
        <w:spacing w:line="119" w:lineRule="exact" w:before="0"/>
        <w:ind w:left="0" w:right="0" w:firstLine="0"/>
        <w:jc w:val="right"/>
        <w:rPr>
          <w:rFonts w:ascii="Arial"/>
          <w:i/>
          <w:sz w:val="17"/>
        </w:rPr>
      </w:pPr>
      <w:r>
        <w:rPr>
          <w:rFonts w:ascii="Arial"/>
          <w:i/>
          <w:color w:val="010101"/>
          <w:w w:val="120"/>
          <w:sz w:val="17"/>
        </w:rPr>
        <w:t>P. </w:t>
      </w:r>
      <w:r>
        <w:rPr>
          <w:rFonts w:ascii="Arial"/>
          <w:color w:val="010101"/>
          <w:w w:val="240"/>
          <w:sz w:val="17"/>
        </w:rPr>
        <w:t>- </w:t>
      </w:r>
      <w:r>
        <w:rPr>
          <w:rFonts w:ascii="Arial"/>
          <w:color w:val="010101"/>
          <w:w w:val="265"/>
          <w:sz w:val="17"/>
        </w:rPr>
        <w:t>-</w:t>
      </w:r>
      <w:r>
        <w:rPr>
          <w:rFonts w:ascii="Arial"/>
          <w:color w:val="010101"/>
          <w:spacing w:val="-64"/>
          <w:w w:val="265"/>
          <w:sz w:val="17"/>
        </w:rPr>
        <w:t> </w:t>
      </w:r>
      <w:r>
        <w:rPr>
          <w:rFonts w:ascii="Arial"/>
          <w:color w:val="010101"/>
          <w:w w:val="240"/>
          <w:sz w:val="17"/>
        </w:rPr>
        <w:t>-</w:t>
      </w:r>
      <w:r>
        <w:rPr>
          <w:rFonts w:ascii="Arial"/>
          <w:color w:val="010101"/>
          <w:spacing w:val="-57"/>
          <w:w w:val="240"/>
          <w:sz w:val="17"/>
        </w:rPr>
        <w:t> </w:t>
      </w:r>
      <w:r>
        <w:rPr>
          <w:rFonts w:ascii="Arial"/>
          <w:i/>
          <w:color w:val="010101"/>
          <w:w w:val="120"/>
          <w:sz w:val="17"/>
        </w:rPr>
        <w:t>d,</w:t>
      </w:r>
    </w:p>
    <w:p>
      <w:pPr>
        <w:spacing w:line="140" w:lineRule="exact" w:before="0"/>
        <w:ind w:left="0" w:right="427" w:firstLine="0"/>
        <w:jc w:val="right"/>
        <w:rPr>
          <w:b/>
          <w:sz w:val="15"/>
        </w:rPr>
      </w:pPr>
      <w:r>
        <w:rPr>
          <w:b/>
          <w:color w:val="010101"/>
          <w:w w:val="105"/>
          <w:sz w:val="15"/>
        </w:rPr>
        <w:t>4z</w:t>
      </w:r>
    </w:p>
    <w:p>
      <w:pPr>
        <w:pStyle w:val="BodyText"/>
        <w:spacing w:before="8"/>
        <w:rPr>
          <w:b/>
          <w:sz w:val="12"/>
        </w:rPr>
      </w:pPr>
    </w:p>
    <w:p>
      <w:pPr>
        <w:tabs>
          <w:tab w:pos="1926" w:val="left" w:leader="none"/>
        </w:tabs>
        <w:spacing w:line="115" w:lineRule="exact" w:before="0"/>
        <w:ind w:left="1133" w:right="0" w:firstLine="0"/>
        <w:jc w:val="left"/>
        <w:rPr>
          <w:sz w:val="19"/>
        </w:rPr>
      </w:pPr>
      <w:r>
        <w:rPr>
          <w:i/>
          <w:color w:val="010101"/>
          <w:w w:val="135"/>
          <w:sz w:val="19"/>
        </w:rPr>
        <w:t>i</w:t>
        <w:tab/>
      </w:r>
      <w:r>
        <w:rPr>
          <w:color w:val="010101"/>
          <w:w w:val="135"/>
          <w:sz w:val="19"/>
        </w:rPr>
        <w:t>.</w:t>
      </w:r>
    </w:p>
    <w:p>
      <w:pPr>
        <w:pStyle w:val="BodyText"/>
        <w:rPr>
          <w:sz w:val="18"/>
        </w:rPr>
      </w:pPr>
      <w:r>
        <w:rPr/>
        <w:br w:type="column"/>
      </w:r>
      <w:r>
        <w:rPr>
          <w:sz w:val="18"/>
        </w:rPr>
      </w:r>
    </w:p>
    <w:p>
      <w:pPr>
        <w:pStyle w:val="BodyText"/>
        <w:rPr>
          <w:sz w:val="18"/>
        </w:rPr>
      </w:pPr>
    </w:p>
    <w:p>
      <w:pPr>
        <w:pStyle w:val="BodyText"/>
        <w:spacing w:before="5"/>
        <w:rPr>
          <w:sz w:val="25"/>
        </w:rPr>
      </w:pPr>
    </w:p>
    <w:p>
      <w:pPr>
        <w:tabs>
          <w:tab w:pos="1746" w:val="left" w:leader="none"/>
        </w:tabs>
        <w:spacing w:line="115" w:lineRule="exact" w:before="0"/>
        <w:ind w:left="1094" w:right="0" w:firstLine="0"/>
        <w:jc w:val="left"/>
        <w:rPr>
          <w:i/>
          <w:sz w:val="19"/>
        </w:rPr>
      </w:pPr>
      <w:r>
        <w:rPr>
          <w:color w:val="010101"/>
          <w:w w:val="160"/>
          <w:sz w:val="18"/>
        </w:rPr>
        <w:t>.</w:t>
        <w:tab/>
      </w:r>
      <w:r>
        <w:rPr>
          <w:i/>
          <w:color w:val="010101"/>
          <w:w w:val="160"/>
          <w:sz w:val="19"/>
        </w:rPr>
        <w:t>i </w:t>
      </w:r>
      <w:r>
        <w:rPr>
          <w:i/>
          <w:color w:val="010101"/>
          <w:w w:val="215"/>
          <w:sz w:val="19"/>
        </w:rPr>
        <w:t>-</w:t>
      </w:r>
      <w:r>
        <w:rPr>
          <w:i/>
          <w:color w:val="010101"/>
          <w:spacing w:val="-48"/>
          <w:w w:val="215"/>
          <w:sz w:val="19"/>
        </w:rPr>
        <w:t> </w:t>
      </w:r>
      <w:r>
        <w:rPr>
          <w:i/>
          <w:color w:val="010101"/>
          <w:w w:val="110"/>
          <w:sz w:val="19"/>
        </w:rPr>
        <w:t>r</w:t>
      </w:r>
    </w:p>
    <w:p>
      <w:pPr>
        <w:spacing w:after="0" w:line="115" w:lineRule="exact"/>
        <w:jc w:val="left"/>
        <w:rPr>
          <w:sz w:val="19"/>
        </w:rPr>
        <w:sectPr>
          <w:type w:val="continuous"/>
          <w:pgSz w:w="7200" w:h="11340"/>
          <w:pgMar w:top="1100" w:bottom="0" w:left="660" w:right="520"/>
          <w:cols w:num="2" w:equalWidth="0">
            <w:col w:w="3548" w:space="40"/>
            <w:col w:w="2432"/>
          </w:cols>
        </w:sectPr>
      </w:pPr>
    </w:p>
    <w:p>
      <w:pPr>
        <w:spacing w:line="111" w:lineRule="exact" w:before="0"/>
        <w:ind w:left="140" w:right="0" w:firstLine="0"/>
        <w:jc w:val="left"/>
        <w:rPr>
          <w:sz w:val="18"/>
        </w:rPr>
      </w:pPr>
      <w:r>
        <w:rPr>
          <w:rFonts w:ascii="Arial"/>
          <w:color w:val="010101"/>
          <w:spacing w:val="11"/>
          <w:w w:val="101"/>
          <w:sz w:val="15"/>
        </w:rPr>
        <w:t>w</w:t>
      </w:r>
      <w:r>
        <w:rPr>
          <w:color w:val="010101"/>
          <w:spacing w:val="-1"/>
          <w:w w:val="108"/>
          <w:sz w:val="18"/>
        </w:rPr>
        <w:t>h</w:t>
      </w:r>
      <w:r>
        <w:rPr>
          <w:color w:val="010101"/>
          <w:w w:val="110"/>
          <w:sz w:val="17"/>
        </w:rPr>
        <w:t>ere</w:t>
      </w:r>
      <w:r>
        <w:rPr>
          <w:color w:val="010101"/>
          <w:spacing w:val="-4"/>
          <w:sz w:val="17"/>
        </w:rPr>
        <w:t> </w:t>
      </w:r>
      <w:r>
        <w:rPr>
          <w:i/>
          <w:color w:val="010101"/>
          <w:w w:val="88"/>
          <w:sz w:val="18"/>
        </w:rPr>
        <w:t>d</w:t>
      </w:r>
      <w:r>
        <w:rPr>
          <w:i/>
          <w:color w:val="010101"/>
          <w:sz w:val="18"/>
        </w:rPr>
        <w:t> </w:t>
      </w:r>
      <w:r>
        <w:rPr>
          <w:i/>
          <w:color w:val="010101"/>
          <w:spacing w:val="-12"/>
          <w:sz w:val="18"/>
        </w:rPr>
        <w:t> </w:t>
      </w:r>
      <w:r>
        <w:rPr>
          <w:color w:val="010101"/>
          <w:w w:val="86"/>
          <w:sz w:val="23"/>
        </w:rPr>
        <w:t>=</w:t>
      </w:r>
      <w:r>
        <w:rPr>
          <w:color w:val="010101"/>
          <w:sz w:val="23"/>
        </w:rPr>
        <w:t> </w:t>
      </w:r>
      <w:r>
        <w:rPr>
          <w:color w:val="010101"/>
          <w:spacing w:val="-27"/>
          <w:sz w:val="23"/>
        </w:rPr>
        <w:t> </w:t>
      </w:r>
      <w:r>
        <w:rPr>
          <w:color w:val="010101"/>
          <w:spacing w:val="-74"/>
          <w:w w:val="404"/>
          <w:sz w:val="23"/>
        </w:rPr>
        <w:t>-</w:t>
      </w:r>
      <w:r>
        <w:rPr>
          <w:color w:val="010101"/>
          <w:spacing w:val="-52"/>
          <w:w w:val="207"/>
          <w:sz w:val="23"/>
        </w:rPr>
        <w:t>-</w:t>
      </w:r>
      <w:r>
        <w:rPr>
          <w:color w:val="010101"/>
          <w:spacing w:val="13"/>
          <w:w w:val="114"/>
          <w:sz w:val="23"/>
        </w:rPr>
        <w:t>.</w:t>
      </w:r>
      <w:r>
        <w:rPr>
          <w:color w:val="010101"/>
          <w:w w:val="112"/>
          <w:sz w:val="17"/>
        </w:rPr>
        <w:t>and</w:t>
      </w:r>
      <w:r>
        <w:rPr>
          <w:color w:val="010101"/>
          <w:spacing w:val="-4"/>
          <w:sz w:val="17"/>
        </w:rPr>
        <w:t> </w:t>
      </w:r>
      <w:r>
        <w:rPr>
          <w:color w:val="010101"/>
          <w:w w:val="82"/>
          <w:sz w:val="18"/>
        </w:rPr>
        <w:t>4z</w:t>
      </w:r>
      <w:r>
        <w:rPr>
          <w:color w:val="010101"/>
          <w:spacing w:val="11"/>
          <w:sz w:val="18"/>
        </w:rPr>
        <w:t> </w:t>
      </w:r>
      <w:r>
        <w:rPr>
          <w:color w:val="010101"/>
          <w:w w:val="115"/>
          <w:sz w:val="12"/>
        </w:rPr>
        <w:t>IS</w:t>
      </w:r>
      <w:r>
        <w:rPr>
          <w:color w:val="010101"/>
          <w:spacing w:val="11"/>
          <w:sz w:val="12"/>
        </w:rPr>
        <w:t> </w:t>
      </w:r>
      <w:r>
        <w:rPr>
          <w:color w:val="010101"/>
          <w:w w:val="107"/>
          <w:sz w:val="17"/>
        </w:rPr>
        <w:t>from</w:t>
      </w:r>
      <w:r>
        <w:rPr>
          <w:color w:val="010101"/>
          <w:spacing w:val="6"/>
          <w:sz w:val="17"/>
        </w:rPr>
        <w:t> </w:t>
      </w:r>
      <w:r>
        <w:rPr>
          <w:color w:val="010101"/>
          <w:w w:val="115"/>
          <w:sz w:val="17"/>
        </w:rPr>
        <w:t>the</w:t>
      </w:r>
      <w:r>
        <w:rPr>
          <w:color w:val="010101"/>
          <w:spacing w:val="-4"/>
          <w:sz w:val="17"/>
        </w:rPr>
        <w:t> </w:t>
      </w:r>
      <w:r>
        <w:rPr>
          <w:color w:val="010101"/>
          <w:w w:val="115"/>
          <w:sz w:val="17"/>
        </w:rPr>
        <w:t>standard</w:t>
      </w:r>
      <w:r>
        <w:rPr>
          <w:color w:val="010101"/>
          <w:sz w:val="17"/>
        </w:rPr>
        <w:t> </w:t>
      </w:r>
      <w:r>
        <w:rPr>
          <w:color w:val="010101"/>
          <w:spacing w:val="-21"/>
          <w:sz w:val="17"/>
        </w:rPr>
        <w:t> </w:t>
      </w:r>
      <w:r>
        <w:rPr>
          <w:color w:val="010101"/>
          <w:w w:val="116"/>
          <w:sz w:val="17"/>
        </w:rPr>
        <w:t>ta</w:t>
      </w:r>
      <w:r>
        <w:rPr>
          <w:color w:val="010101"/>
          <w:spacing w:val="1"/>
          <w:w w:val="116"/>
          <w:sz w:val="17"/>
        </w:rPr>
        <w:t>b</w:t>
      </w:r>
      <w:r>
        <w:rPr>
          <w:color w:val="010101"/>
          <w:spacing w:val="-27"/>
          <w:w w:val="89"/>
          <w:position w:val="1"/>
          <w:sz w:val="18"/>
        </w:rPr>
        <w:t>1</w:t>
      </w:r>
      <w:r>
        <w:rPr>
          <w:color w:val="010101"/>
          <w:w w:val="109"/>
          <w:sz w:val="17"/>
        </w:rPr>
        <w:t>e</w:t>
      </w:r>
      <w:r>
        <w:rPr>
          <w:color w:val="010101"/>
          <w:spacing w:val="-4"/>
          <w:sz w:val="17"/>
        </w:rPr>
        <w:t> </w:t>
      </w:r>
      <w:r>
        <w:rPr>
          <w:color w:val="010101"/>
          <w:w w:val="129"/>
          <w:sz w:val="17"/>
        </w:rPr>
        <w:t>at</w:t>
      </w:r>
      <w:r>
        <w:rPr>
          <w:color w:val="010101"/>
          <w:spacing w:val="6"/>
          <w:sz w:val="17"/>
        </w:rPr>
        <w:t> </w:t>
      </w:r>
      <w:r>
        <w:rPr>
          <w:color w:val="010101"/>
          <w:w w:val="115"/>
          <w:sz w:val="17"/>
        </w:rPr>
        <w:t>rate</w:t>
      </w:r>
      <w:r>
        <w:rPr>
          <w:color w:val="010101"/>
          <w:spacing w:val="10"/>
          <w:sz w:val="17"/>
        </w:rPr>
        <w:t> </w:t>
      </w:r>
      <w:r>
        <w:rPr>
          <w:color w:val="010101"/>
          <w:w w:val="91"/>
          <w:sz w:val="17"/>
        </w:rPr>
        <w:t>of</w:t>
      </w:r>
      <w:r>
        <w:rPr>
          <w:color w:val="010101"/>
          <w:sz w:val="17"/>
        </w:rPr>
        <w:t> </w:t>
      </w:r>
      <w:r>
        <w:rPr>
          <w:color w:val="010101"/>
          <w:spacing w:val="-18"/>
          <w:sz w:val="17"/>
        </w:rPr>
        <w:t> </w:t>
      </w:r>
      <w:r>
        <w:rPr>
          <w:color w:val="010101"/>
          <w:w w:val="114"/>
          <w:sz w:val="17"/>
        </w:rPr>
        <w:t>mterest</w:t>
      </w:r>
      <w:r>
        <w:rPr>
          <w:color w:val="010101"/>
          <w:sz w:val="17"/>
        </w:rPr>
        <w:t> </w:t>
      </w:r>
      <w:r>
        <w:rPr>
          <w:color w:val="010101"/>
          <w:spacing w:val="11"/>
          <w:sz w:val="17"/>
        </w:rPr>
        <w:t> </w:t>
      </w:r>
      <w:r>
        <w:rPr>
          <w:color w:val="010101"/>
          <w:spacing w:val="-73"/>
          <w:w w:val="438"/>
          <w:sz w:val="18"/>
        </w:rPr>
        <w:t>-</w:t>
      </w:r>
      <w:r>
        <w:rPr>
          <w:color w:val="010101"/>
          <w:spacing w:val="8"/>
          <w:w w:val="446"/>
          <w:sz w:val="18"/>
        </w:rPr>
        <w:t>-</w:t>
      </w:r>
      <w:r>
        <w:rPr>
          <w:color w:val="010101"/>
          <w:w w:val="146"/>
          <w:sz w:val="18"/>
        </w:rPr>
        <w:t>.</w:t>
      </w:r>
    </w:p>
    <w:p>
      <w:pPr>
        <w:tabs>
          <w:tab w:pos="5348" w:val="left" w:leader="none"/>
        </w:tabs>
        <w:spacing w:line="254" w:lineRule="exact" w:before="0"/>
        <w:ind w:left="983" w:right="0" w:firstLine="0"/>
        <w:jc w:val="left"/>
        <w:rPr>
          <w:rFonts w:ascii="Arial"/>
          <w:i/>
          <w:sz w:val="15"/>
        </w:rPr>
      </w:pPr>
      <w:r>
        <w:rPr>
          <w:color w:val="010101"/>
          <w:spacing w:val="5"/>
          <w:w w:val="125"/>
          <w:sz w:val="18"/>
        </w:rPr>
        <w:t>1</w:t>
      </w:r>
      <w:r>
        <w:rPr>
          <w:rFonts w:ascii="Arial"/>
          <w:color w:val="010101"/>
          <w:spacing w:val="5"/>
          <w:w w:val="125"/>
          <w:sz w:val="26"/>
        </w:rPr>
        <w:t>+</w:t>
      </w:r>
      <w:r>
        <w:rPr>
          <w:rFonts w:ascii="Arial"/>
          <w:color w:val="010101"/>
          <w:spacing w:val="-64"/>
          <w:w w:val="125"/>
          <w:sz w:val="26"/>
        </w:rPr>
        <w:t> </w:t>
      </w:r>
      <w:r>
        <w:rPr>
          <w:i/>
          <w:color w:val="010101"/>
          <w:w w:val="185"/>
          <w:sz w:val="13"/>
        </w:rPr>
        <w:t>i</w:t>
        <w:tab/>
      </w:r>
      <w:r>
        <w:rPr>
          <w:color w:val="010101"/>
          <w:w w:val="125"/>
          <w:position w:val="2"/>
          <w:sz w:val="18"/>
        </w:rPr>
        <w:t>1</w:t>
      </w:r>
      <w:r>
        <w:rPr>
          <w:color w:val="010101"/>
          <w:spacing w:val="-42"/>
          <w:w w:val="125"/>
          <w:position w:val="2"/>
          <w:sz w:val="18"/>
        </w:rPr>
        <w:t> </w:t>
      </w:r>
      <w:r>
        <w:rPr>
          <w:rFonts w:ascii="Arial"/>
          <w:color w:val="010101"/>
          <w:w w:val="125"/>
          <w:sz w:val="26"/>
        </w:rPr>
        <w:t>+</w:t>
      </w:r>
      <w:r>
        <w:rPr>
          <w:rFonts w:ascii="Arial"/>
          <w:color w:val="010101"/>
          <w:spacing w:val="-62"/>
          <w:w w:val="125"/>
          <w:sz w:val="26"/>
        </w:rPr>
        <w:t> </w:t>
      </w:r>
      <w:r>
        <w:rPr>
          <w:rFonts w:ascii="Arial"/>
          <w:i/>
          <w:color w:val="010101"/>
          <w:w w:val="125"/>
          <w:sz w:val="15"/>
        </w:rPr>
        <w:t>r</w:t>
      </w:r>
      <w:r>
        <w:rPr>
          <w:rFonts w:ascii="Arial"/>
          <w:i/>
          <w:color w:val="010101"/>
          <w:spacing w:val="-35"/>
          <w:w w:val="125"/>
          <w:sz w:val="15"/>
        </w:rPr>
        <w:t> </w:t>
      </w:r>
      <w:r>
        <w:rPr>
          <w:rFonts w:ascii="Arial"/>
          <w:i/>
          <w:color w:val="333333"/>
          <w:sz w:val="15"/>
        </w:rPr>
        <w:t>.</w:t>
      </w:r>
    </w:p>
    <w:p>
      <w:pPr>
        <w:pStyle w:val="ListParagraph"/>
        <w:numPr>
          <w:ilvl w:val="0"/>
          <w:numId w:val="41"/>
        </w:numPr>
        <w:tabs>
          <w:tab w:pos="585" w:val="left" w:leader="none"/>
        </w:tabs>
        <w:spacing w:line="174" w:lineRule="exact" w:before="0" w:after="0"/>
        <w:ind w:left="584" w:right="0" w:hanging="279"/>
        <w:jc w:val="left"/>
        <w:rPr>
          <w:color w:val="010101"/>
          <w:sz w:val="17"/>
        </w:rPr>
      </w:pPr>
      <w:r>
        <w:rPr>
          <w:color w:val="010101"/>
          <w:w w:val="115"/>
          <w:sz w:val="17"/>
        </w:rPr>
        <w:t>A</w:t>
      </w:r>
      <w:r>
        <w:rPr>
          <w:color w:val="010101"/>
          <w:spacing w:val="-21"/>
          <w:w w:val="115"/>
          <w:sz w:val="17"/>
        </w:rPr>
        <w:t> </w:t>
      </w:r>
      <w:r>
        <w:rPr>
          <w:color w:val="010101"/>
          <w:w w:val="115"/>
          <w:sz w:val="17"/>
        </w:rPr>
        <w:t>life</w:t>
      </w:r>
      <w:r>
        <w:rPr>
          <w:color w:val="010101"/>
          <w:spacing w:val="-23"/>
          <w:w w:val="115"/>
          <w:sz w:val="17"/>
        </w:rPr>
        <w:t> </w:t>
      </w:r>
      <w:r>
        <w:rPr>
          <w:color w:val="010101"/>
          <w:w w:val="115"/>
          <w:sz w:val="17"/>
        </w:rPr>
        <w:t>aged</w:t>
      </w:r>
      <w:r>
        <w:rPr>
          <w:color w:val="010101"/>
          <w:spacing w:val="-17"/>
          <w:w w:val="115"/>
          <w:sz w:val="17"/>
        </w:rPr>
        <w:t> </w:t>
      </w:r>
      <w:r>
        <w:rPr>
          <w:color w:val="010101"/>
          <w:w w:val="115"/>
          <w:sz w:val="17"/>
        </w:rPr>
        <w:t>50</w:t>
      </w:r>
      <w:r>
        <w:rPr>
          <w:color w:val="010101"/>
          <w:spacing w:val="-28"/>
          <w:w w:val="115"/>
          <w:sz w:val="17"/>
        </w:rPr>
        <w:t> </w:t>
      </w:r>
      <w:r>
        <w:rPr>
          <w:color w:val="010101"/>
          <w:w w:val="115"/>
          <w:sz w:val="17"/>
        </w:rPr>
        <w:t>is</w:t>
      </w:r>
      <w:r>
        <w:rPr>
          <w:color w:val="010101"/>
          <w:spacing w:val="-27"/>
          <w:w w:val="115"/>
          <w:sz w:val="17"/>
        </w:rPr>
        <w:t> </w:t>
      </w:r>
      <w:r>
        <w:rPr>
          <w:color w:val="010101"/>
          <w:w w:val="115"/>
          <w:sz w:val="17"/>
        </w:rPr>
        <w:t>subject</w:t>
      </w:r>
      <w:r>
        <w:rPr>
          <w:color w:val="010101"/>
          <w:spacing w:val="-16"/>
          <w:w w:val="115"/>
          <w:sz w:val="17"/>
        </w:rPr>
        <w:t> </w:t>
      </w:r>
      <w:r>
        <w:rPr>
          <w:color w:val="010101"/>
          <w:w w:val="115"/>
          <w:sz w:val="17"/>
        </w:rPr>
        <w:t>to</w:t>
      </w:r>
      <w:r>
        <w:rPr>
          <w:color w:val="010101"/>
          <w:spacing w:val="-17"/>
          <w:w w:val="115"/>
          <w:sz w:val="17"/>
        </w:rPr>
        <w:t> </w:t>
      </w:r>
      <w:r>
        <w:rPr>
          <w:color w:val="010101"/>
          <w:spacing w:val="-11"/>
          <w:w w:val="115"/>
          <w:sz w:val="17"/>
        </w:rPr>
        <w:t>1958</w:t>
      </w:r>
      <w:r>
        <w:rPr>
          <w:color w:val="010101"/>
          <w:spacing w:val="-26"/>
          <w:w w:val="115"/>
          <w:sz w:val="17"/>
        </w:rPr>
        <w:t> </w:t>
      </w:r>
      <w:r>
        <w:rPr>
          <w:color w:val="010101"/>
          <w:w w:val="130"/>
          <w:sz w:val="17"/>
        </w:rPr>
        <w:t>eso</w:t>
      </w:r>
      <w:r>
        <w:rPr>
          <w:color w:val="010101"/>
          <w:spacing w:val="-34"/>
          <w:w w:val="130"/>
          <w:sz w:val="17"/>
        </w:rPr>
        <w:t> </w:t>
      </w:r>
      <w:r>
        <w:rPr>
          <w:color w:val="010101"/>
          <w:w w:val="115"/>
          <w:sz w:val="17"/>
        </w:rPr>
        <w:t>mortality</w:t>
      </w:r>
      <w:r>
        <w:rPr>
          <w:color w:val="010101"/>
          <w:spacing w:val="-15"/>
          <w:w w:val="115"/>
          <w:sz w:val="17"/>
        </w:rPr>
        <w:t> </w:t>
      </w:r>
      <w:r>
        <w:rPr>
          <w:color w:val="010101"/>
          <w:w w:val="115"/>
          <w:sz w:val="17"/>
        </w:rPr>
        <w:t>except</w:t>
      </w:r>
      <w:r>
        <w:rPr>
          <w:color w:val="010101"/>
          <w:spacing w:val="-15"/>
          <w:w w:val="115"/>
          <w:sz w:val="17"/>
        </w:rPr>
        <w:t> </w:t>
      </w:r>
      <w:r>
        <w:rPr>
          <w:color w:val="010101"/>
          <w:w w:val="115"/>
          <w:sz w:val="17"/>
        </w:rPr>
        <w:t>at</w:t>
      </w:r>
      <w:r>
        <w:rPr>
          <w:color w:val="010101"/>
          <w:spacing w:val="-21"/>
          <w:w w:val="115"/>
          <w:sz w:val="17"/>
        </w:rPr>
        <w:t> </w:t>
      </w:r>
      <w:r>
        <w:rPr>
          <w:color w:val="010101"/>
          <w:w w:val="115"/>
          <w:sz w:val="17"/>
        </w:rPr>
        <w:t>age</w:t>
      </w:r>
      <w:r>
        <w:rPr>
          <w:color w:val="010101"/>
          <w:spacing w:val="-23"/>
          <w:w w:val="115"/>
          <w:sz w:val="17"/>
        </w:rPr>
        <w:t> </w:t>
      </w:r>
      <w:r>
        <w:rPr>
          <w:color w:val="010101"/>
          <w:w w:val="115"/>
          <w:sz w:val="17"/>
        </w:rPr>
        <w:t>54.</w:t>
      </w:r>
      <w:r>
        <w:rPr>
          <w:color w:val="010101"/>
          <w:spacing w:val="-25"/>
          <w:w w:val="115"/>
          <w:sz w:val="17"/>
        </w:rPr>
        <w:t> </w:t>
      </w:r>
      <w:r>
        <w:rPr>
          <w:color w:val="010101"/>
          <w:w w:val="115"/>
          <w:sz w:val="17"/>
        </w:rPr>
        <w:t>During</w:t>
      </w:r>
    </w:p>
    <w:p>
      <w:pPr>
        <w:tabs>
          <w:tab w:pos="4893" w:val="left" w:leader="none"/>
        </w:tabs>
        <w:spacing w:line="208" w:lineRule="auto" w:before="26"/>
        <w:ind w:left="132" w:right="154" w:firstLine="10"/>
        <w:jc w:val="both"/>
        <w:rPr>
          <w:sz w:val="17"/>
        </w:rPr>
      </w:pPr>
      <w:r>
        <w:rPr>
          <w:color w:val="010101"/>
          <w:w w:val="110"/>
          <w:sz w:val="17"/>
        </w:rPr>
        <w:t>that year of </w:t>
      </w:r>
      <w:r>
        <w:rPr>
          <w:b/>
          <w:color w:val="010101"/>
          <w:w w:val="110"/>
          <w:sz w:val="17"/>
        </w:rPr>
        <w:t>age, </w:t>
      </w:r>
      <w:r>
        <w:rPr>
          <w:color w:val="010101"/>
          <w:w w:val="110"/>
          <w:sz w:val="17"/>
        </w:rPr>
        <w:t>the life will be expoeed to an extra hazard which is equiv­ alent to an addition of </w:t>
      </w:r>
      <w:r>
        <w:rPr>
          <w:color w:val="010101"/>
          <w:sz w:val="22"/>
        </w:rPr>
        <w:t>400% </w:t>
      </w:r>
      <w:r>
        <w:rPr>
          <w:color w:val="010101"/>
          <w:w w:val="110"/>
          <w:sz w:val="18"/>
        </w:rPr>
        <w:t>to </w:t>
      </w:r>
      <w:r>
        <w:rPr>
          <w:color w:val="010101"/>
          <w:w w:val="110"/>
          <w:sz w:val="17"/>
        </w:rPr>
        <w:t>the </w:t>
      </w:r>
      <w:r>
        <w:rPr>
          <w:color w:val="010101"/>
          <w:w w:val="125"/>
          <w:sz w:val="17"/>
        </w:rPr>
        <w:t>eso </w:t>
      </w:r>
      <w:r>
        <w:rPr>
          <w:color w:val="010101"/>
          <w:w w:val="110"/>
          <w:sz w:val="17"/>
        </w:rPr>
        <w:t>rate of mortality. ealculate the net annual premium for a 5-year term insurance of </w:t>
      </w:r>
      <w:r>
        <w:rPr>
          <w:color w:val="010101"/>
          <w:spacing w:val="-14"/>
          <w:w w:val="110"/>
          <w:sz w:val="18"/>
        </w:rPr>
        <w:t>$1000 </w:t>
      </w:r>
      <w:r>
        <w:rPr>
          <w:color w:val="010101"/>
          <w:w w:val="110"/>
          <w:sz w:val="17"/>
        </w:rPr>
        <w:t>on this life, a.ssuming interest</w:t>
      </w:r>
      <w:r>
        <w:rPr>
          <w:color w:val="010101"/>
          <w:spacing w:val="21"/>
          <w:w w:val="110"/>
          <w:sz w:val="17"/>
        </w:rPr>
        <w:t> </w:t>
      </w:r>
      <w:r>
        <w:rPr>
          <w:color w:val="010101"/>
          <w:w w:val="110"/>
          <w:sz w:val="17"/>
        </w:rPr>
        <w:t>at</w:t>
      </w:r>
      <w:r>
        <w:rPr>
          <w:color w:val="010101"/>
          <w:spacing w:val="8"/>
          <w:w w:val="110"/>
          <w:sz w:val="17"/>
        </w:rPr>
        <w:t> </w:t>
      </w:r>
      <w:r>
        <w:rPr>
          <w:color w:val="010101"/>
          <w:w w:val="110"/>
          <w:sz w:val="20"/>
        </w:rPr>
        <w:t>3%.</w:t>
        <w:tab/>
      </w:r>
      <w:r>
        <w:rPr>
          <w:color w:val="010101"/>
          <w:w w:val="105"/>
          <w:sz w:val="17"/>
        </w:rPr>
        <w:t>(Ans.</w:t>
      </w:r>
      <w:r>
        <w:rPr>
          <w:color w:val="010101"/>
          <w:spacing w:val="-20"/>
          <w:w w:val="105"/>
          <w:sz w:val="17"/>
        </w:rPr>
        <w:t> </w:t>
      </w:r>
      <w:r>
        <w:rPr>
          <w:color w:val="010101"/>
          <w:w w:val="105"/>
          <w:sz w:val="17"/>
        </w:rPr>
        <w:t>$18.20)</w:t>
      </w:r>
    </w:p>
    <w:p>
      <w:pPr>
        <w:pStyle w:val="ListParagraph"/>
        <w:numPr>
          <w:ilvl w:val="0"/>
          <w:numId w:val="41"/>
        </w:numPr>
        <w:tabs>
          <w:tab w:pos="582" w:val="left" w:leader="none"/>
        </w:tabs>
        <w:spacing w:line="246" w:lineRule="exact" w:before="0" w:after="0"/>
        <w:ind w:left="581" w:right="0" w:hanging="284"/>
        <w:jc w:val="left"/>
        <w:rPr>
          <w:color w:val="010101"/>
          <w:sz w:val="17"/>
        </w:rPr>
      </w:pPr>
      <w:r>
        <w:rPr/>
        <w:pict>
          <v:shape style="position:absolute;margin-left:108.878899pt;margin-top:11.495402pt;width:4.4pt;height:5.5pt;mso-position-horizontal-relative:page;mso-position-vertical-relative:paragraph;z-index:-727576" type="#_x0000_t202" filled="false" stroked="false">
            <v:textbox inset="0,0,0,0">
              <w:txbxContent>
                <w:p>
                  <w:pPr>
                    <w:spacing w:line="110" w:lineRule="exact" w:before="0"/>
                    <w:ind w:left="0" w:right="0" w:firstLine="0"/>
                    <w:jc w:val="left"/>
                    <w:rPr>
                      <w:sz w:val="11"/>
                    </w:rPr>
                  </w:pPr>
                  <w:r>
                    <w:rPr>
                      <w:color w:val="010101"/>
                      <w:w w:val="160"/>
                      <w:sz w:val="11"/>
                    </w:rPr>
                    <w:t>1</w:t>
                  </w:r>
                </w:p>
              </w:txbxContent>
            </v:textbox>
            <w10:wrap type="none"/>
          </v:shape>
        </w:pict>
      </w:r>
      <w:r>
        <w:rPr>
          <w:color w:val="010101"/>
          <w:w w:val="109"/>
          <w:sz w:val="17"/>
        </w:rPr>
        <w:t>Compute</w:t>
      </w:r>
      <w:r>
        <w:rPr>
          <w:color w:val="010101"/>
          <w:spacing w:val="15"/>
          <w:sz w:val="17"/>
        </w:rPr>
        <w:t> </w:t>
      </w:r>
      <w:r>
        <w:rPr>
          <w:color w:val="010101"/>
          <w:w w:val="111"/>
          <w:sz w:val="17"/>
        </w:rPr>
        <w:t>the</w:t>
      </w:r>
      <w:r>
        <w:rPr>
          <w:color w:val="010101"/>
          <w:spacing w:val="5"/>
          <w:sz w:val="17"/>
        </w:rPr>
        <w:t> </w:t>
      </w:r>
      <w:r>
        <w:rPr>
          <w:color w:val="010101"/>
          <w:w w:val="109"/>
          <w:sz w:val="17"/>
        </w:rPr>
        <w:t>value</w:t>
      </w:r>
      <w:r>
        <w:rPr>
          <w:color w:val="010101"/>
          <w:spacing w:val="12"/>
          <w:sz w:val="17"/>
        </w:rPr>
        <w:t> </w:t>
      </w:r>
      <w:r>
        <w:rPr>
          <w:color w:val="010101"/>
          <w:w w:val="91"/>
          <w:sz w:val="17"/>
        </w:rPr>
        <w:t>of</w:t>
      </w:r>
      <w:r>
        <w:rPr>
          <w:color w:val="010101"/>
          <w:spacing w:val="17"/>
          <w:sz w:val="17"/>
        </w:rPr>
        <w:t> </w:t>
      </w:r>
      <w:r>
        <w:rPr>
          <w:rFonts w:ascii="Arial"/>
          <w:color w:val="010101"/>
          <w:spacing w:val="-19"/>
          <w:w w:val="95"/>
          <w:sz w:val="22"/>
        </w:rPr>
        <w:t>P</w:t>
      </w:r>
      <w:r>
        <w:rPr>
          <w:rFonts w:ascii="Arial"/>
          <w:color w:val="010101"/>
          <w:spacing w:val="-42"/>
          <w:w w:val="77"/>
          <w:sz w:val="22"/>
        </w:rPr>
        <w:t>1</w:t>
      </w:r>
      <w:r>
        <w:rPr>
          <w:rFonts w:ascii="Arial"/>
          <w:color w:val="010101"/>
          <w:spacing w:val="-17"/>
          <w:w w:val="132"/>
          <w:sz w:val="22"/>
        </w:rPr>
        <w:t>t</w:t>
      </w:r>
      <w:r>
        <w:rPr>
          <w:rFonts w:ascii="Arial"/>
          <w:color w:val="010101"/>
          <w:w w:val="63"/>
          <w:sz w:val="22"/>
        </w:rPr>
        <w:t>)</w:t>
      </w:r>
      <w:r>
        <w:rPr>
          <w:rFonts w:ascii="Arial"/>
          <w:color w:val="010101"/>
          <w:w w:val="63"/>
          <w:sz w:val="22"/>
        </w:rPr>
        <w:t>iol</w:t>
      </w:r>
      <w:r>
        <w:rPr>
          <w:rFonts w:ascii="Arial"/>
          <w:color w:val="010101"/>
          <w:spacing w:val="-13"/>
          <w:sz w:val="22"/>
        </w:rPr>
        <w:t> </w:t>
      </w:r>
      <w:r>
        <w:rPr>
          <w:color w:val="010101"/>
          <w:w w:val="106"/>
          <w:sz w:val="17"/>
        </w:rPr>
        <w:t>using</w:t>
      </w:r>
      <w:r>
        <w:rPr>
          <w:color w:val="010101"/>
          <w:spacing w:val="19"/>
          <w:sz w:val="17"/>
        </w:rPr>
        <w:t> </w:t>
      </w:r>
      <w:r>
        <w:rPr>
          <w:color w:val="010101"/>
          <w:w w:val="109"/>
          <w:sz w:val="17"/>
        </w:rPr>
        <w:t>the</w:t>
      </w:r>
      <w:r>
        <w:rPr>
          <w:color w:val="010101"/>
          <w:spacing w:val="19"/>
          <w:sz w:val="17"/>
        </w:rPr>
        <w:t> </w:t>
      </w:r>
      <w:r>
        <w:rPr>
          <w:color w:val="010101"/>
          <w:w w:val="116"/>
          <w:sz w:val="17"/>
        </w:rPr>
        <w:t>standard</w:t>
      </w:r>
      <w:r>
        <w:rPr>
          <w:color w:val="010101"/>
          <w:sz w:val="17"/>
        </w:rPr>
        <w:t> </w:t>
      </w:r>
      <w:r>
        <w:rPr>
          <w:color w:val="010101"/>
          <w:spacing w:val="-9"/>
          <w:sz w:val="17"/>
        </w:rPr>
        <w:t> </w:t>
      </w:r>
      <w:r>
        <w:rPr>
          <w:color w:val="010101"/>
          <w:w w:val="111"/>
          <w:sz w:val="17"/>
        </w:rPr>
        <w:t>approximation,</w:t>
      </w:r>
      <w:r>
        <w:rPr>
          <w:color w:val="010101"/>
          <w:sz w:val="17"/>
        </w:rPr>
        <w:t> </w:t>
      </w:r>
      <w:r>
        <w:rPr>
          <w:color w:val="010101"/>
          <w:spacing w:val="-12"/>
          <w:sz w:val="17"/>
        </w:rPr>
        <w:t> </w:t>
      </w:r>
      <w:r>
        <w:rPr>
          <w:color w:val="010101"/>
          <w:w w:val="106"/>
          <w:sz w:val="17"/>
        </w:rPr>
        <w:t>given</w:t>
      </w:r>
    </w:p>
    <w:p>
      <w:pPr>
        <w:spacing w:line="261" w:lineRule="exact" w:before="1"/>
        <w:ind w:left="132" w:right="0" w:firstLine="0"/>
        <w:jc w:val="both"/>
        <w:rPr>
          <w:sz w:val="13"/>
        </w:rPr>
      </w:pPr>
      <w:r>
        <w:rPr>
          <w:color w:val="010101"/>
          <w:sz w:val="19"/>
        </w:rPr>
        <w:t>Pa0:ioJ  </w:t>
      </w:r>
      <w:r>
        <w:rPr>
          <w:color w:val="010101"/>
          <w:sz w:val="23"/>
        </w:rPr>
        <w:t>=   </w:t>
      </w:r>
      <w:r>
        <w:rPr>
          <w:color w:val="010101"/>
          <w:sz w:val="19"/>
        </w:rPr>
        <w:t>o, Pa0:ii1  </w:t>
      </w:r>
      <w:r>
        <w:rPr>
          <w:color w:val="010101"/>
          <w:sz w:val="23"/>
        </w:rPr>
        <w:t>=   </w:t>
      </w:r>
      <w:r>
        <w:rPr>
          <w:color w:val="010101"/>
          <w:sz w:val="19"/>
        </w:rPr>
        <w:t>oo, soPao </w:t>
      </w:r>
      <w:r>
        <w:rPr>
          <w:color w:val="010101"/>
          <w:sz w:val="23"/>
        </w:rPr>
        <w:t>=   </w:t>
      </w:r>
      <w:r>
        <w:rPr>
          <w:color w:val="010101"/>
          <w:sz w:val="19"/>
        </w:rPr>
        <w:t>o, </w:t>
      </w:r>
      <w:r>
        <w:rPr>
          <w:color w:val="010101"/>
          <w:sz w:val="17"/>
        </w:rPr>
        <w:t>and </w:t>
      </w:r>
      <w:r>
        <w:rPr>
          <w:i/>
          <w:color w:val="010101"/>
          <w:sz w:val="16"/>
        </w:rPr>
        <w:t>d  </w:t>
      </w:r>
      <w:r>
        <w:rPr>
          <w:color w:val="010101"/>
          <w:sz w:val="23"/>
        </w:rPr>
        <w:t>=  </w:t>
      </w:r>
      <w:r>
        <w:rPr>
          <w:color w:val="010101"/>
          <w:spacing w:val="56"/>
          <w:sz w:val="23"/>
        </w:rPr>
        <w:t> </w:t>
      </w:r>
      <w:r>
        <w:rPr>
          <w:color w:val="010101"/>
          <w:sz w:val="13"/>
        </w:rPr>
        <w:t>OO·</w:t>
      </w:r>
    </w:p>
    <w:p>
      <w:pPr>
        <w:spacing w:after="0" w:line="261" w:lineRule="exact"/>
        <w:jc w:val="both"/>
        <w:rPr>
          <w:sz w:val="13"/>
        </w:rPr>
        <w:sectPr>
          <w:type w:val="continuous"/>
          <w:pgSz w:w="7200" w:h="11340"/>
          <w:pgMar w:top="1100" w:bottom="0" w:left="660" w:right="520"/>
        </w:sectPr>
      </w:pPr>
    </w:p>
    <w:p>
      <w:pPr>
        <w:pStyle w:val="ListParagraph"/>
        <w:numPr>
          <w:ilvl w:val="0"/>
          <w:numId w:val="41"/>
        </w:numPr>
        <w:tabs>
          <w:tab w:pos="582" w:val="left" w:leader="none"/>
          <w:tab w:pos="1589" w:val="left" w:leader="none"/>
        </w:tabs>
        <w:spacing w:line="392" w:lineRule="exact" w:before="199" w:after="0"/>
        <w:ind w:left="581" w:right="0" w:hanging="291"/>
        <w:jc w:val="left"/>
        <w:rPr>
          <w:color w:val="010101"/>
          <w:sz w:val="17"/>
        </w:rPr>
      </w:pPr>
      <w:r>
        <w:rPr/>
        <w:pict>
          <v:shape style="position:absolute;margin-left:104.573997pt;margin-top:14.646568pt;width:8.3pt;height:26.5pt;mso-position-horizontal-relative:page;mso-position-vertical-relative:paragraph;z-index:-727552" type="#_x0000_t202" filled="false" stroked="false">
            <v:textbox inset="0,0,0,0">
              <w:txbxContent>
                <w:p>
                  <w:pPr>
                    <w:spacing w:line="530" w:lineRule="exact" w:before="0"/>
                    <w:ind w:left="0" w:right="0" w:firstLine="0"/>
                    <w:jc w:val="left"/>
                    <w:rPr>
                      <w:rFonts w:ascii="Arial"/>
                      <w:i/>
                      <w:sz w:val="53"/>
                    </w:rPr>
                  </w:pPr>
                  <w:r>
                    <w:rPr>
                      <w:rFonts w:ascii="Arial"/>
                      <w:i/>
                      <w:color w:val="010101"/>
                      <w:w w:val="55"/>
                      <w:sz w:val="53"/>
                    </w:rPr>
                    <w:t>L</w:t>
                  </w:r>
                </w:p>
              </w:txbxContent>
            </v:textbox>
            <w10:wrap type="none"/>
          </v:shape>
        </w:pict>
      </w:r>
      <w:r>
        <w:rPr>
          <w:color w:val="010101"/>
          <w:w w:val="103"/>
          <w:sz w:val="17"/>
        </w:rPr>
        <w:t>Show</w:t>
      </w:r>
      <w:r>
        <w:rPr>
          <w:color w:val="010101"/>
          <w:sz w:val="17"/>
        </w:rPr>
        <w:t> </w:t>
      </w:r>
      <w:r>
        <w:rPr>
          <w:color w:val="010101"/>
          <w:spacing w:val="-18"/>
          <w:sz w:val="17"/>
        </w:rPr>
        <w:t> </w:t>
      </w:r>
      <w:r>
        <w:rPr>
          <w:color w:val="010101"/>
          <w:w w:val="122"/>
          <w:sz w:val="17"/>
        </w:rPr>
        <w:t>that</w:t>
      </w:r>
      <w:r>
        <w:rPr>
          <w:color w:val="010101"/>
          <w:sz w:val="17"/>
        </w:rPr>
        <w:tab/>
      </w:r>
      <w:r>
        <w:rPr>
          <w:i/>
          <w:color w:val="010101"/>
          <w:w w:val="88"/>
          <w:position w:val="7"/>
          <w:sz w:val="20"/>
        </w:rPr>
        <w:t>t</w:t>
      </w:r>
      <w:r>
        <w:rPr>
          <w:i/>
          <w:color w:val="010101"/>
          <w:spacing w:val="15"/>
          <w:position w:val="7"/>
          <w:sz w:val="20"/>
        </w:rPr>
        <w:t> </w:t>
      </w:r>
      <w:r>
        <w:rPr>
          <w:color w:val="010101"/>
          <w:spacing w:val="-42"/>
          <w:w w:val="81"/>
          <w:sz w:val="17"/>
        </w:rPr>
        <w:t>P</w:t>
      </w:r>
      <w:r>
        <w:rPr>
          <w:color w:val="010101"/>
          <w:spacing w:val="-57"/>
          <w:w w:val="146"/>
          <w:position w:val="7"/>
          <w:sz w:val="20"/>
        </w:rPr>
        <w:t>-</w:t>
      </w:r>
      <w:r>
        <w:rPr>
          <w:color w:val="010101"/>
          <w:w w:val="81"/>
          <w:sz w:val="17"/>
        </w:rPr>
        <w:t>(.1</w:t>
      </w:r>
      <w:r>
        <w:rPr>
          <w:color w:val="010101"/>
          <w:spacing w:val="-51"/>
          <w:w w:val="81"/>
          <w:sz w:val="17"/>
        </w:rPr>
        <w:t>1</w:t>
      </w:r>
      <w:r>
        <w:rPr>
          <w:color w:val="010101"/>
          <w:spacing w:val="-8"/>
          <w:w w:val="149"/>
          <w:position w:val="7"/>
          <w:sz w:val="11"/>
        </w:rPr>
        <w:t>l</w:t>
      </w:r>
      <w:r>
        <w:rPr>
          <w:color w:val="010101"/>
          <w:spacing w:val="-33"/>
          <w:w w:val="149"/>
          <w:position w:val="7"/>
          <w:sz w:val="11"/>
        </w:rPr>
        <w:t>'</w:t>
      </w:r>
      <w:r>
        <w:rPr>
          <w:color w:val="010101"/>
          <w:w w:val="81"/>
          <w:sz w:val="17"/>
        </w:rPr>
        <w:t>.s+c</w:t>
      </w:r>
      <w:r>
        <w:rPr>
          <w:color w:val="010101"/>
          <w:w w:val="81"/>
          <w:sz w:val="17"/>
        </w:rPr>
        <w:t>)</w:t>
      </w:r>
      <w:r>
        <w:rPr>
          <w:color w:val="010101"/>
          <w:sz w:val="17"/>
        </w:rPr>
        <w:t> </w:t>
      </w:r>
      <w:r>
        <w:rPr>
          <w:color w:val="010101"/>
          <w:spacing w:val="-17"/>
          <w:sz w:val="17"/>
        </w:rPr>
        <w:t> </w:t>
      </w:r>
      <w:r>
        <w:rPr>
          <w:i/>
          <w:color w:val="010101"/>
          <w:w w:val="94"/>
          <w:sz w:val="18"/>
        </w:rPr>
        <w:t>dt</w:t>
      </w:r>
      <w:r>
        <w:rPr>
          <w:i/>
          <w:color w:val="010101"/>
          <w:sz w:val="18"/>
        </w:rPr>
        <w:t> </w:t>
      </w:r>
      <w:r>
        <w:rPr>
          <w:i/>
          <w:color w:val="010101"/>
          <w:spacing w:val="10"/>
          <w:sz w:val="18"/>
        </w:rPr>
        <w:t> </w:t>
      </w:r>
      <w:r>
        <w:rPr>
          <w:color w:val="010101"/>
          <w:w w:val="85"/>
          <w:sz w:val="24"/>
        </w:rPr>
        <w:t>=</w:t>
      </w:r>
      <w:r>
        <w:rPr>
          <w:color w:val="010101"/>
          <w:spacing w:val="28"/>
          <w:sz w:val="24"/>
        </w:rPr>
        <w:t> </w:t>
      </w:r>
      <w:r>
        <w:rPr>
          <w:color w:val="010101"/>
          <w:w w:val="107"/>
          <w:sz w:val="17"/>
        </w:rPr>
        <w:t>log</w:t>
      </w:r>
      <w:r>
        <w:rPr>
          <w:color w:val="010101"/>
          <w:spacing w:val="10"/>
          <w:sz w:val="17"/>
        </w:rPr>
        <w:t> </w:t>
      </w:r>
      <w:r>
        <w:rPr>
          <w:rFonts w:ascii="Arial" w:hAnsi="Arial"/>
          <w:color w:val="010101"/>
          <w:w w:val="98"/>
          <w:position w:val="7"/>
          <w:sz w:val="33"/>
        </w:rPr>
        <w:t>"</w:t>
      </w:r>
      <w:r>
        <w:rPr>
          <w:rFonts w:ascii="Arial" w:hAnsi="Arial"/>
          <w:color w:val="010101"/>
          <w:spacing w:val="-25"/>
          <w:w w:val="98"/>
          <w:position w:val="7"/>
          <w:sz w:val="33"/>
        </w:rPr>
        <w:t>ª</w:t>
      </w:r>
      <w:r>
        <w:rPr>
          <w:rFonts w:ascii="Arial" w:hAnsi="Arial"/>
          <w:color w:val="010101"/>
          <w:w w:val="67"/>
          <w:position w:val="7"/>
          <w:sz w:val="33"/>
        </w:rPr>
        <w:t>•4</w:t>
      </w:r>
      <w:r>
        <w:rPr>
          <w:rFonts w:ascii="Arial" w:hAnsi="Arial"/>
          <w:color w:val="010101"/>
          <w:spacing w:val="-52"/>
          <w:position w:val="7"/>
          <w:sz w:val="33"/>
        </w:rPr>
        <w:t> </w:t>
      </w:r>
      <w:r>
        <w:rPr>
          <w:color w:val="010101"/>
          <w:w w:val="154"/>
          <w:sz w:val="17"/>
        </w:rPr>
        <w:t>.</w:t>
      </w:r>
    </w:p>
    <w:p>
      <w:pPr>
        <w:tabs>
          <w:tab w:pos="3110" w:val="left" w:leader="none"/>
        </w:tabs>
        <w:spacing w:line="167" w:lineRule="exact" w:before="0"/>
        <w:ind w:left="1585" w:right="0" w:firstLine="0"/>
        <w:jc w:val="left"/>
        <w:rPr>
          <w:sz w:val="12"/>
        </w:rPr>
      </w:pPr>
      <w:r>
        <w:rPr>
          <w:b/>
          <w:color w:val="010101"/>
          <w:w w:val="115"/>
          <w:sz w:val="18"/>
        </w:rPr>
        <w:t>t</w:t>
        <w:tab/>
      </w:r>
      <w:r>
        <w:rPr>
          <w:color w:val="010101"/>
          <w:w w:val="115"/>
          <w:sz w:val="12"/>
        </w:rPr>
        <w:t>iYs+I</w:t>
      </w:r>
    </w:p>
    <w:p>
      <w:pPr>
        <w:tabs>
          <w:tab w:pos="900" w:val="left" w:leader="none"/>
        </w:tabs>
        <w:spacing w:line="174" w:lineRule="exact" w:before="0"/>
        <w:ind w:left="290" w:right="0" w:firstLine="0"/>
        <w:jc w:val="left"/>
        <w:rPr>
          <w:rFonts w:ascii="Arial"/>
          <w:sz w:val="15"/>
        </w:rPr>
      </w:pPr>
      <w:r>
        <w:rPr/>
        <w:br w:type="column"/>
      </w:r>
      <w:r>
        <w:rPr>
          <w:color w:val="010101"/>
          <w:w w:val="120"/>
          <w:sz w:val="17"/>
        </w:rPr>
        <w:t>(Ans.</w:t>
        <w:tab/>
      </w:r>
      <w:r>
        <w:rPr>
          <w:rFonts w:ascii="Arial"/>
          <w:color w:val="010101"/>
          <w:w w:val="160"/>
          <w:sz w:val="15"/>
        </w:rPr>
        <w:t>u)</w:t>
      </w:r>
    </w:p>
    <w:p>
      <w:pPr>
        <w:spacing w:after="0" w:line="174" w:lineRule="exact"/>
        <w:jc w:val="left"/>
        <w:rPr>
          <w:rFonts w:ascii="Arial"/>
          <w:sz w:val="15"/>
        </w:rPr>
        <w:sectPr>
          <w:type w:val="continuous"/>
          <w:pgSz w:w="7200" w:h="11340"/>
          <w:pgMar w:top="1100" w:bottom="0" w:left="660" w:right="520"/>
          <w:cols w:num="2" w:equalWidth="0">
            <w:col w:w="3592" w:space="1143"/>
            <w:col w:w="1285"/>
          </w:cols>
        </w:sectPr>
      </w:pPr>
    </w:p>
    <w:p>
      <w:pPr>
        <w:pStyle w:val="ListParagraph"/>
        <w:numPr>
          <w:ilvl w:val="0"/>
          <w:numId w:val="41"/>
        </w:numPr>
        <w:tabs>
          <w:tab w:pos="578" w:val="left" w:leader="none"/>
        </w:tabs>
        <w:spacing w:line="235" w:lineRule="auto" w:before="136" w:after="0"/>
        <w:ind w:left="132" w:right="154" w:firstLine="158"/>
        <w:jc w:val="both"/>
        <w:rPr>
          <w:color w:val="010101"/>
          <w:sz w:val="17"/>
        </w:rPr>
      </w:pPr>
      <w:r>
        <w:rPr>
          <w:color w:val="010101"/>
          <w:w w:val="110"/>
          <w:sz w:val="17"/>
        </w:rPr>
        <w:t>A policy is issued at age 10 with level premiums payable for life. lf death</w:t>
      </w:r>
      <w:r>
        <w:rPr>
          <w:color w:val="010101"/>
          <w:spacing w:val="-12"/>
          <w:w w:val="110"/>
          <w:sz w:val="17"/>
        </w:rPr>
        <w:t> </w:t>
      </w:r>
      <w:r>
        <w:rPr>
          <w:color w:val="010101"/>
          <w:w w:val="110"/>
          <w:sz w:val="17"/>
        </w:rPr>
        <w:t>occurs</w:t>
      </w:r>
      <w:r>
        <w:rPr>
          <w:color w:val="010101"/>
          <w:spacing w:val="-7"/>
          <w:w w:val="110"/>
          <w:sz w:val="17"/>
        </w:rPr>
        <w:t> </w:t>
      </w:r>
      <w:r>
        <w:rPr>
          <w:color w:val="010101"/>
          <w:w w:val="110"/>
          <w:sz w:val="17"/>
        </w:rPr>
        <w:t>prior</w:t>
      </w:r>
      <w:r>
        <w:rPr>
          <w:color w:val="010101"/>
          <w:spacing w:val="4"/>
          <w:w w:val="110"/>
          <w:sz w:val="17"/>
        </w:rPr>
        <w:t> </w:t>
      </w:r>
      <w:r>
        <w:rPr>
          <w:rFonts w:ascii="Arial" w:hAnsi="Arial"/>
          <w:color w:val="010101"/>
          <w:w w:val="110"/>
          <w:sz w:val="15"/>
        </w:rPr>
        <w:t>to</w:t>
      </w:r>
      <w:r>
        <w:rPr>
          <w:rFonts w:ascii="Arial" w:hAnsi="Arial"/>
          <w:color w:val="010101"/>
          <w:spacing w:val="-5"/>
          <w:w w:val="110"/>
          <w:sz w:val="15"/>
        </w:rPr>
        <w:t> </w:t>
      </w:r>
      <w:r>
        <w:rPr>
          <w:color w:val="010101"/>
          <w:w w:val="110"/>
          <w:sz w:val="17"/>
        </w:rPr>
        <w:t>the</w:t>
      </w:r>
      <w:r>
        <w:rPr>
          <w:color w:val="010101"/>
          <w:spacing w:val="-9"/>
          <w:w w:val="110"/>
          <w:sz w:val="17"/>
        </w:rPr>
        <w:t> </w:t>
      </w:r>
      <w:r>
        <w:rPr>
          <w:color w:val="010101"/>
          <w:w w:val="110"/>
          <w:sz w:val="17"/>
        </w:rPr>
        <w:t>attainment</w:t>
      </w:r>
      <w:r>
        <w:rPr>
          <w:color w:val="010101"/>
          <w:spacing w:val="-1"/>
          <w:w w:val="110"/>
          <w:sz w:val="17"/>
        </w:rPr>
        <w:t> </w:t>
      </w:r>
      <w:r>
        <w:rPr>
          <w:color w:val="010101"/>
          <w:w w:val="110"/>
          <w:sz w:val="17"/>
        </w:rPr>
        <w:t>of</w:t>
      </w:r>
      <w:r>
        <w:rPr>
          <w:color w:val="010101"/>
          <w:spacing w:val="7"/>
          <w:w w:val="110"/>
          <w:sz w:val="17"/>
        </w:rPr>
        <w:t> </w:t>
      </w:r>
      <w:r>
        <w:rPr>
          <w:color w:val="010101"/>
          <w:w w:val="110"/>
          <w:sz w:val="18"/>
        </w:rPr>
        <w:t>a.ge</w:t>
      </w:r>
      <w:r>
        <w:rPr>
          <w:color w:val="010101"/>
          <w:spacing w:val="-5"/>
          <w:w w:val="110"/>
          <w:sz w:val="18"/>
        </w:rPr>
        <w:t> </w:t>
      </w:r>
      <w:r>
        <w:rPr>
          <w:color w:val="010101"/>
          <w:spacing w:val="-13"/>
          <w:w w:val="110"/>
          <w:sz w:val="18"/>
        </w:rPr>
        <w:t>15,</w:t>
      </w:r>
      <w:r>
        <w:rPr>
          <w:color w:val="010101"/>
          <w:spacing w:val="-21"/>
          <w:w w:val="110"/>
          <w:sz w:val="18"/>
        </w:rPr>
        <w:t> </w:t>
      </w:r>
      <w:r>
        <w:rPr>
          <w:color w:val="010101"/>
          <w:w w:val="110"/>
          <w:sz w:val="17"/>
        </w:rPr>
        <w:t>the</w:t>
      </w:r>
      <w:r>
        <w:rPr>
          <w:color w:val="010101"/>
          <w:spacing w:val="-6"/>
          <w:w w:val="110"/>
          <w:sz w:val="17"/>
        </w:rPr>
        <w:t> </w:t>
      </w:r>
      <w:r>
        <w:rPr>
          <w:color w:val="010101"/>
          <w:w w:val="110"/>
          <w:sz w:val="17"/>
        </w:rPr>
        <w:t>death</w:t>
      </w:r>
      <w:r>
        <w:rPr>
          <w:color w:val="010101"/>
          <w:spacing w:val="-5"/>
          <w:w w:val="110"/>
          <w:sz w:val="17"/>
        </w:rPr>
        <w:t> </w:t>
      </w:r>
      <w:r>
        <w:rPr>
          <w:color w:val="010101"/>
          <w:w w:val="110"/>
          <w:sz w:val="17"/>
        </w:rPr>
        <w:t>benefi.t</w:t>
      </w:r>
      <w:r>
        <w:rPr>
          <w:color w:val="010101"/>
          <w:spacing w:val="3"/>
          <w:w w:val="110"/>
          <w:sz w:val="17"/>
        </w:rPr>
        <w:t> </w:t>
      </w:r>
      <w:r>
        <w:rPr>
          <w:rFonts w:ascii="Arial" w:hAnsi="Arial"/>
          <w:color w:val="010101"/>
          <w:w w:val="110"/>
          <w:sz w:val="18"/>
        </w:rPr>
        <w:t>is</w:t>
      </w:r>
      <w:r>
        <w:rPr>
          <w:rFonts w:ascii="Arial" w:hAnsi="Arial"/>
          <w:color w:val="010101"/>
          <w:spacing w:val="-23"/>
          <w:w w:val="110"/>
          <w:sz w:val="18"/>
        </w:rPr>
        <w:t> </w:t>
      </w:r>
      <w:r>
        <w:rPr>
          <w:color w:val="010101"/>
          <w:w w:val="110"/>
          <w:sz w:val="17"/>
        </w:rPr>
        <w:t>the</w:t>
      </w:r>
      <w:r>
        <w:rPr>
          <w:color w:val="010101"/>
          <w:spacing w:val="-2"/>
          <w:w w:val="110"/>
          <w:sz w:val="17"/>
        </w:rPr>
        <w:t> </w:t>
      </w:r>
      <w:r>
        <w:rPr>
          <w:color w:val="010101"/>
          <w:w w:val="110"/>
          <w:sz w:val="17"/>
        </w:rPr>
        <w:t>return of the net premiums paid with interest </w:t>
      </w:r>
      <w:r>
        <w:rPr>
          <w:color w:val="010101"/>
          <w:w w:val="110"/>
          <w:sz w:val="18"/>
        </w:rPr>
        <w:t>to </w:t>
      </w:r>
      <w:r>
        <w:rPr>
          <w:color w:val="010101"/>
          <w:w w:val="110"/>
          <w:sz w:val="17"/>
        </w:rPr>
        <w:t>the end of the  year.  If  death occurs af ter age </w:t>
      </w:r>
      <w:r>
        <w:rPr>
          <w:color w:val="010101"/>
          <w:spacing w:val="-16"/>
          <w:w w:val="110"/>
          <w:sz w:val="18"/>
        </w:rPr>
        <w:t>15, </w:t>
      </w:r>
      <w:r>
        <w:rPr>
          <w:color w:val="010101"/>
          <w:w w:val="110"/>
          <w:sz w:val="17"/>
        </w:rPr>
        <w:t>the death benefit is </w:t>
      </w:r>
      <w:r>
        <w:rPr>
          <w:rFonts w:ascii="Arial" w:hAnsi="Arial"/>
          <w:color w:val="010101"/>
          <w:w w:val="110"/>
          <w:sz w:val="17"/>
        </w:rPr>
        <w:t>1. </w:t>
      </w:r>
      <w:r>
        <w:rPr>
          <w:color w:val="010101"/>
          <w:w w:val="110"/>
          <w:sz w:val="17"/>
        </w:rPr>
        <w:t>Assuming that the rate of interest in the retum of premium provision </w:t>
      </w:r>
      <w:r>
        <w:rPr>
          <w:rFonts w:ascii="Arial" w:hAnsi="Arial"/>
          <w:color w:val="010101"/>
          <w:w w:val="110"/>
          <w:sz w:val="17"/>
        </w:rPr>
        <w:t>is </w:t>
      </w:r>
      <w:r>
        <w:rPr>
          <w:color w:val="010101"/>
          <w:w w:val="110"/>
          <w:sz w:val="17"/>
        </w:rPr>
        <w:t>the same as that used  in calculating the premium, show that tbe net annual premium </w:t>
      </w:r>
      <w:r>
        <w:rPr>
          <w:rFonts w:ascii="Arial" w:hAnsi="Arial"/>
          <w:color w:val="010101"/>
          <w:w w:val="110"/>
          <w:sz w:val="18"/>
        </w:rPr>
        <w:t>is </w:t>
      </w:r>
      <w:r>
        <w:rPr>
          <w:color w:val="010101"/>
          <w:w w:val="110"/>
          <w:sz w:val="17"/>
        </w:rPr>
        <w:t>independent </w:t>
      </w:r>
      <w:r>
        <w:rPr>
          <w:rFonts w:ascii="Arial" w:hAnsi="Arial"/>
          <w:color w:val="010101"/>
          <w:w w:val="110"/>
          <w:sz w:val="17"/>
        </w:rPr>
        <w:t>of </w:t>
      </w:r>
      <w:r>
        <w:rPr>
          <w:color w:val="010101"/>
          <w:w w:val="110"/>
          <w:sz w:val="17"/>
        </w:rPr>
        <w:t>'the mor­ tality  prior  to  age</w:t>
      </w:r>
      <w:r>
        <w:rPr>
          <w:color w:val="010101"/>
          <w:spacing w:val="5"/>
          <w:w w:val="110"/>
          <w:sz w:val="17"/>
        </w:rPr>
        <w:t> </w:t>
      </w:r>
      <w:r>
        <w:rPr>
          <w:color w:val="010101"/>
          <w:spacing w:val="-16"/>
          <w:w w:val="110"/>
          <w:sz w:val="17"/>
        </w:rPr>
        <w:t>15.</w:t>
      </w:r>
    </w:p>
    <w:p>
      <w:pPr>
        <w:pStyle w:val="ListParagraph"/>
        <w:numPr>
          <w:ilvl w:val="0"/>
          <w:numId w:val="41"/>
        </w:numPr>
        <w:tabs>
          <w:tab w:pos="582" w:val="left" w:leader="none"/>
        </w:tabs>
        <w:spacing w:line="141" w:lineRule="auto" w:before="59" w:after="0"/>
        <w:ind w:left="125" w:right="145" w:firstLine="169"/>
        <w:jc w:val="both"/>
        <w:rPr>
          <w:color w:val="010101"/>
          <w:sz w:val="17"/>
        </w:rPr>
      </w:pPr>
      <w:r>
        <w:rPr>
          <w:color w:val="010101"/>
          <w:w w:val="105"/>
          <w:sz w:val="17"/>
        </w:rPr>
        <w:t>Find the net annual premium payable for </w:t>
      </w:r>
      <w:r>
        <w:rPr>
          <w:i/>
          <w:color w:val="010101"/>
          <w:w w:val="105"/>
          <w:sz w:val="18"/>
        </w:rPr>
        <w:t>n </w:t>
      </w:r>
      <w:r>
        <w:rPr>
          <w:color w:val="010101"/>
          <w:w w:val="105"/>
          <w:sz w:val="17"/>
        </w:rPr>
        <w:t>years for a. deferred an­ nuity-due  of  </w:t>
      </w:r>
      <w:r>
        <w:rPr>
          <w:color w:val="010101"/>
          <w:spacing w:val="4"/>
          <w:w w:val="105"/>
          <w:sz w:val="17"/>
        </w:rPr>
        <w:t>1</w:t>
      </w:r>
      <w:r>
        <w:rPr>
          <w:rFonts w:ascii="Arial" w:hAnsi="Arial"/>
          <w:color w:val="010101"/>
          <w:spacing w:val="4"/>
          <w:w w:val="105"/>
          <w:sz w:val="15"/>
        </w:rPr>
        <w:t>to  </w:t>
      </w:r>
      <w:r>
        <w:rPr>
          <w:color w:val="010101"/>
          <w:w w:val="105"/>
          <w:sz w:val="16"/>
        </w:rPr>
        <w:t>(%)  </w:t>
      </w:r>
      <w:r>
        <w:rPr>
          <w:color w:val="010101"/>
          <w:w w:val="105"/>
          <w:sz w:val="17"/>
        </w:rPr>
        <w:t>with first payrnent  at a.ge </w:t>
      </w:r>
      <w:r>
        <w:rPr>
          <w:i/>
          <w:color w:val="010101"/>
          <w:w w:val="105"/>
          <w:sz w:val="18"/>
        </w:rPr>
        <w:t>x  </w:t>
      </w:r>
      <w:r>
        <w:rPr>
          <w:rFonts w:ascii="Arial" w:hAnsi="Arial"/>
          <w:color w:val="010101"/>
          <w:w w:val="105"/>
          <w:sz w:val="26"/>
        </w:rPr>
        <w:t>+ </w:t>
      </w:r>
      <w:r>
        <w:rPr>
          <w:i/>
          <w:color w:val="010101"/>
          <w:w w:val="105"/>
          <w:sz w:val="18"/>
        </w:rPr>
        <w:t>n </w:t>
      </w:r>
      <w:r>
        <w:rPr>
          <w:color w:val="010101"/>
          <w:w w:val="105"/>
          <w:sz w:val="17"/>
        </w:rPr>
        <w:t>and with  the net </w:t>
      </w:r>
      <w:r>
        <w:rPr>
          <w:color w:val="010101"/>
          <w:spacing w:val="16"/>
          <w:w w:val="105"/>
          <w:sz w:val="17"/>
        </w:rPr>
        <w:t> </w:t>
      </w:r>
      <w:r>
        <w:rPr>
          <w:color w:val="010101"/>
          <w:w w:val="105"/>
          <w:sz w:val="16"/>
        </w:rPr>
        <w:t>pre­</w:t>
      </w:r>
    </w:p>
    <w:p>
      <w:pPr>
        <w:spacing w:line="225" w:lineRule="auto" w:before="7"/>
        <w:ind w:left="118" w:right="158" w:firstLine="7"/>
        <w:jc w:val="both"/>
        <w:rPr>
          <w:rFonts w:ascii="Arial"/>
          <w:sz w:val="16"/>
        </w:rPr>
      </w:pPr>
      <w:r>
        <w:rPr>
          <w:color w:val="010101"/>
          <w:w w:val="110"/>
          <w:sz w:val="17"/>
        </w:rPr>
        <w:t>miums returned in the event of dea.th before tha t a.ge. </w:t>
      </w:r>
      <w:r>
        <w:rPr>
          <w:color w:val="010101"/>
          <w:w w:val="110"/>
          <w:sz w:val="18"/>
        </w:rPr>
        <w:t>lf </w:t>
      </w:r>
      <w:r>
        <w:rPr>
          <w:rFonts w:ascii="Arial"/>
          <w:i/>
          <w:color w:val="010101"/>
          <w:spacing w:val="3"/>
          <w:w w:val="110"/>
          <w:sz w:val="15"/>
        </w:rPr>
        <w:t>(x) </w:t>
      </w:r>
      <w:r>
        <w:rPr>
          <w:color w:val="010101"/>
          <w:w w:val="110"/>
          <w:sz w:val="17"/>
        </w:rPr>
        <w:t>survives the </w:t>
      </w:r>
      <w:r>
        <w:rPr>
          <w:rFonts w:ascii="Arial"/>
          <w:i/>
          <w:color w:val="010101"/>
          <w:w w:val="110"/>
          <w:sz w:val="15"/>
        </w:rPr>
        <w:t>n </w:t>
      </w:r>
      <w:r>
        <w:rPr>
          <w:color w:val="010101"/>
          <w:w w:val="110"/>
          <w:sz w:val="17"/>
        </w:rPr>
        <w:t>years,</w:t>
      </w:r>
      <w:r>
        <w:rPr>
          <w:color w:val="010101"/>
          <w:spacing w:val="-3"/>
          <w:w w:val="110"/>
          <w:sz w:val="17"/>
        </w:rPr>
        <w:t> </w:t>
      </w:r>
      <w:r>
        <w:rPr>
          <w:color w:val="010101"/>
          <w:w w:val="110"/>
          <w:sz w:val="17"/>
        </w:rPr>
        <w:t>the</w:t>
      </w:r>
      <w:r>
        <w:rPr>
          <w:color w:val="010101"/>
          <w:spacing w:val="1"/>
          <w:w w:val="110"/>
          <w:sz w:val="17"/>
        </w:rPr>
        <w:t> </w:t>
      </w:r>
      <w:r>
        <w:rPr>
          <w:color w:val="010101"/>
          <w:w w:val="110"/>
          <w:sz w:val="17"/>
        </w:rPr>
        <w:t>annuity</w:t>
      </w:r>
      <w:r>
        <w:rPr>
          <w:color w:val="010101"/>
          <w:spacing w:val="-9"/>
          <w:w w:val="110"/>
          <w:sz w:val="17"/>
        </w:rPr>
        <w:t> </w:t>
      </w:r>
      <w:r>
        <w:rPr>
          <w:rFonts w:ascii="Arial"/>
          <w:color w:val="010101"/>
          <w:w w:val="110"/>
          <w:sz w:val="17"/>
        </w:rPr>
        <w:t>is</w:t>
      </w:r>
      <w:r>
        <w:rPr>
          <w:rFonts w:ascii="Arial"/>
          <w:color w:val="010101"/>
          <w:spacing w:val="-18"/>
          <w:w w:val="110"/>
          <w:sz w:val="17"/>
        </w:rPr>
        <w:t> </w:t>
      </w:r>
      <w:r>
        <w:rPr>
          <w:color w:val="010101"/>
          <w:w w:val="110"/>
          <w:sz w:val="17"/>
        </w:rPr>
        <w:t>to</w:t>
      </w:r>
      <w:r>
        <w:rPr>
          <w:color w:val="010101"/>
          <w:spacing w:val="-12"/>
          <w:w w:val="110"/>
          <w:sz w:val="17"/>
        </w:rPr>
        <w:t> </w:t>
      </w:r>
      <w:r>
        <w:rPr>
          <w:color w:val="010101"/>
          <w:w w:val="110"/>
          <w:sz w:val="17"/>
        </w:rPr>
        <w:t>be paya.ble</w:t>
      </w:r>
      <w:r>
        <w:rPr>
          <w:color w:val="010101"/>
          <w:spacing w:val="13"/>
          <w:w w:val="110"/>
          <w:sz w:val="17"/>
        </w:rPr>
        <w:t> </w:t>
      </w:r>
      <w:r>
        <w:rPr>
          <w:color w:val="010101"/>
          <w:w w:val="110"/>
          <w:sz w:val="17"/>
        </w:rPr>
        <w:t>for</w:t>
      </w:r>
      <w:r>
        <w:rPr>
          <w:color w:val="010101"/>
          <w:spacing w:val="-9"/>
          <w:w w:val="110"/>
          <w:sz w:val="17"/>
        </w:rPr>
        <w:t> </w:t>
      </w:r>
      <w:r>
        <w:rPr>
          <w:i/>
          <w:color w:val="010101"/>
          <w:w w:val="110"/>
          <w:sz w:val="19"/>
        </w:rPr>
        <w:t>t</w:t>
      </w:r>
      <w:r>
        <w:rPr>
          <w:i/>
          <w:color w:val="010101"/>
          <w:spacing w:val="-6"/>
          <w:w w:val="110"/>
          <w:sz w:val="19"/>
        </w:rPr>
        <w:t> </w:t>
      </w:r>
      <w:r>
        <w:rPr>
          <w:color w:val="010101"/>
          <w:w w:val="110"/>
          <w:sz w:val="17"/>
        </w:rPr>
        <w:t>yea.rs</w:t>
      </w:r>
      <w:r>
        <w:rPr>
          <w:color w:val="010101"/>
          <w:spacing w:val="7"/>
          <w:w w:val="110"/>
          <w:sz w:val="17"/>
        </w:rPr>
        <w:t> </w:t>
      </w:r>
      <w:r>
        <w:rPr>
          <w:color w:val="010101"/>
          <w:w w:val="110"/>
          <w:sz w:val="17"/>
        </w:rPr>
        <w:t>certain</w:t>
      </w:r>
      <w:r>
        <w:rPr>
          <w:color w:val="010101"/>
          <w:spacing w:val="3"/>
          <w:w w:val="110"/>
          <w:sz w:val="17"/>
        </w:rPr>
        <w:t> </w:t>
      </w:r>
      <w:r>
        <w:rPr>
          <w:color w:val="010101"/>
          <w:w w:val="110"/>
          <w:sz w:val="17"/>
        </w:rPr>
        <w:t>and</w:t>
      </w:r>
      <w:r>
        <w:rPr>
          <w:color w:val="010101"/>
          <w:spacing w:val="-1"/>
          <w:w w:val="110"/>
          <w:sz w:val="17"/>
        </w:rPr>
        <w:t> </w:t>
      </w:r>
      <w:r>
        <w:rPr>
          <w:color w:val="010101"/>
          <w:w w:val="110"/>
          <w:sz w:val="17"/>
        </w:rPr>
        <w:t>for</w:t>
      </w:r>
      <w:r>
        <w:rPr>
          <w:color w:val="010101"/>
          <w:spacing w:val="-6"/>
          <w:w w:val="110"/>
          <w:sz w:val="17"/>
        </w:rPr>
        <w:t> </w:t>
      </w:r>
      <w:r>
        <w:rPr>
          <w:color w:val="010101"/>
          <w:w w:val="110"/>
          <w:sz w:val="17"/>
        </w:rPr>
        <w:t>the</w:t>
      </w:r>
      <w:r>
        <w:rPr>
          <w:color w:val="010101"/>
          <w:spacing w:val="-9"/>
          <w:w w:val="110"/>
          <w:sz w:val="17"/>
        </w:rPr>
        <w:t> </w:t>
      </w:r>
      <w:r>
        <w:rPr>
          <w:color w:val="010101"/>
          <w:w w:val="110"/>
          <w:sz w:val="17"/>
        </w:rPr>
        <w:t>subsequent lifetime  of </w:t>
      </w:r>
      <w:r>
        <w:rPr>
          <w:color w:val="010101"/>
          <w:spacing w:val="8"/>
          <w:w w:val="110"/>
          <w:sz w:val="17"/>
        </w:rPr>
        <w:t> </w:t>
      </w:r>
      <w:r>
        <w:rPr>
          <w:rFonts w:ascii="Arial"/>
          <w:color w:val="010101"/>
          <w:w w:val="110"/>
          <w:sz w:val="16"/>
        </w:rPr>
        <w:t>(r).</w:t>
      </w:r>
    </w:p>
    <w:p>
      <w:pPr>
        <w:spacing w:after="0" w:line="225" w:lineRule="auto"/>
        <w:jc w:val="both"/>
        <w:rPr>
          <w:rFonts w:ascii="Arial"/>
          <w:sz w:val="16"/>
        </w:rPr>
        <w:sectPr>
          <w:type w:val="continuous"/>
          <w:pgSz w:w="7200" w:h="11340"/>
          <w:pgMar w:top="1100" w:bottom="0" w:left="660" w:right="520"/>
        </w:sectPr>
      </w:pPr>
    </w:p>
    <w:p>
      <w:pPr>
        <w:pStyle w:val="BodyText"/>
        <w:rPr>
          <w:rFonts w:ascii="Arial"/>
        </w:rPr>
      </w:pPr>
    </w:p>
    <w:p>
      <w:pPr>
        <w:pStyle w:val="BodyText"/>
        <w:spacing w:before="1"/>
        <w:rPr>
          <w:rFonts w:ascii="Arial"/>
          <w:sz w:val="21"/>
        </w:rPr>
      </w:pPr>
    </w:p>
    <w:p>
      <w:pPr>
        <w:spacing w:before="1"/>
        <w:ind w:left="98" w:right="62" w:firstLine="0"/>
        <w:jc w:val="center"/>
        <w:rPr>
          <w:rFonts w:ascii="Arial"/>
          <w:b/>
          <w:sz w:val="19"/>
        </w:rPr>
      </w:pPr>
      <w:bookmarkStart w:name="5. Net Level Premium Reserves" w:id="10"/>
      <w:bookmarkEnd w:id="10"/>
      <w:r>
        <w:rPr/>
      </w:r>
      <w:r>
        <w:rPr>
          <w:b/>
          <w:w w:val="85"/>
          <w:sz w:val="22"/>
        </w:rPr>
        <w:t>CHAPrzB </w:t>
      </w:r>
      <w:r>
        <w:rPr>
          <w:rFonts w:ascii="Arial"/>
          <w:b/>
          <w:w w:val="85"/>
          <w:sz w:val="19"/>
        </w:rPr>
        <w:t>5</w:t>
      </w:r>
    </w:p>
    <w:p>
      <w:pPr>
        <w:spacing w:before="100"/>
        <w:ind w:left="98" w:right="84" w:firstLine="0"/>
        <w:jc w:val="center"/>
        <w:rPr>
          <w:sz w:val="22"/>
        </w:rPr>
      </w:pPr>
      <w:r>
        <w:rPr>
          <w:sz w:val="22"/>
        </w:rPr>
        <w:t>NET  LEVEL  PREMIUM  RESERVES</w:t>
      </w:r>
    </w:p>
    <w:p>
      <w:pPr>
        <w:pStyle w:val="BodyText"/>
        <w:spacing w:before="5"/>
        <w:rPr>
          <w:sz w:val="21"/>
        </w:rPr>
      </w:pPr>
    </w:p>
    <w:p>
      <w:pPr>
        <w:spacing w:before="0"/>
        <w:ind w:left="142" w:right="0" w:firstLine="0"/>
        <w:jc w:val="both"/>
        <w:rPr>
          <w:b/>
          <w:sz w:val="19"/>
        </w:rPr>
      </w:pPr>
      <w:r>
        <w:rPr>
          <w:b/>
          <w:w w:val="125"/>
          <w:sz w:val="19"/>
        </w:rPr>
        <w:t>l . The nature of the reserve</w:t>
      </w:r>
    </w:p>
    <w:p>
      <w:pPr>
        <w:spacing w:line="237" w:lineRule="auto" w:before="74"/>
        <w:ind w:left="117" w:right="109" w:firstLine="216"/>
        <w:jc w:val="both"/>
        <w:rPr>
          <w:sz w:val="21"/>
        </w:rPr>
      </w:pPr>
      <w:r>
        <w:rPr>
          <w:sz w:val="21"/>
        </w:rPr>
        <w:t>When an annuity or an insurance policy </w:t>
      </w:r>
      <w:r>
        <w:rPr>
          <w:rFonts w:ascii="Arial" w:hAnsi="Arial"/>
          <w:sz w:val="19"/>
        </w:rPr>
        <w:t>is </w:t>
      </w:r>
      <w:r>
        <w:rPr>
          <w:sz w:val="21"/>
        </w:rPr>
        <w:t>issued, the insurer assumes the obliga.tion of providing certain  sums  in  the  future (the benefit  payments).  </w:t>
      </w:r>
      <w:r>
        <w:rPr>
          <w:sz w:val="22"/>
        </w:rPr>
        <w:t>In  </w:t>
      </w:r>
      <w:r>
        <w:rPr>
          <w:sz w:val="21"/>
        </w:rPr>
        <w:t>retum,  the  insured  undertakes  to ma.ke certain premium payments.  At  the outset, the present  value of the payments </w:t>
      </w:r>
      <w:r>
        <w:rPr>
          <w:sz w:val="22"/>
        </w:rPr>
        <w:t>to </w:t>
      </w:r>
      <w:r>
        <w:rPr>
          <w:sz w:val="21"/>
        </w:rPr>
        <w:t>be made by the insurer </w:t>
      </w:r>
      <w:r>
        <w:rPr>
          <w:rFonts w:ascii="Arial" w:hAnsi="Arial"/>
          <w:sz w:val="19"/>
        </w:rPr>
        <w:t>is </w:t>
      </w:r>
      <w:r>
        <w:rPr>
          <w:sz w:val="21"/>
        </w:rPr>
        <w:t>exactly equal </w:t>
      </w:r>
      <w:r>
        <w:rPr>
          <w:sz w:val="22"/>
        </w:rPr>
        <w:t>to </w:t>
      </w:r>
      <w:r>
        <w:rPr>
          <w:sz w:val="21"/>
        </w:rPr>
        <w:t>the present value of  the net  premiums  which  he expects to receive.  As time goes on, the present value of the payments to be made by the insurer changes; it generally decreases for annuities and gen­ erally increases for life insurance policies. Similarly, the present value of the premium payments still to be received generally de­ creases during the premium-paying period. It </w:t>
      </w:r>
      <w:r>
        <w:rPr>
          <w:rFonts w:ascii="Arial" w:hAnsi="Arial"/>
          <w:sz w:val="19"/>
        </w:rPr>
        <w:t>is </w:t>
      </w:r>
      <w:r>
        <w:rPr>
          <w:sz w:val="21"/>
        </w:rPr>
        <w:t>therefore  im­ portant for the insurer to have a measure of the amount which he should have on hand at any time to assure the payment of the benefits, assuming of course that all  future  premium  payments  will be made by the insured during bis lifetime  as they  fall  due. The concept of a </w:t>
      </w:r>
      <w:r>
        <w:rPr>
          <w:i/>
          <w:sz w:val="21"/>
        </w:rPr>
        <w:t>reserve </w:t>
      </w:r>
      <w:r>
        <w:rPr>
          <w:sz w:val="21"/>
        </w:rPr>
        <w:t>arises from this necessity of measuring the insurer's net liability with respect to a group of policies at times subsequent  </w:t>
      </w:r>
      <w:r>
        <w:rPr>
          <w:sz w:val="22"/>
        </w:rPr>
        <w:t>to  </w:t>
      </w:r>
      <w:r>
        <w:rPr>
          <w:sz w:val="21"/>
        </w:rPr>
        <w:t>the  date  of</w:t>
      </w:r>
      <w:r>
        <w:rPr>
          <w:spacing w:val="19"/>
          <w:sz w:val="21"/>
        </w:rPr>
        <w:t> </w:t>
      </w:r>
      <w:r>
        <w:rPr>
          <w:sz w:val="21"/>
        </w:rPr>
        <w:t>issue.</w:t>
      </w:r>
    </w:p>
    <w:p>
      <w:pPr>
        <w:spacing w:line="240" w:lineRule="auto" w:before="0"/>
        <w:ind w:left="124" w:right="125" w:firstLine="201"/>
        <w:jc w:val="both"/>
        <w:rPr>
          <w:sz w:val="21"/>
        </w:rPr>
      </w:pPr>
      <w:r>
        <w:rPr>
          <w:sz w:val="21"/>
        </w:rPr>
        <w:t>For illustration, consider an ordinary life policy of unit amount issued at age </w:t>
      </w:r>
      <w:r>
        <w:rPr>
          <w:i/>
          <w:sz w:val="21"/>
        </w:rPr>
        <w:t>x. </w:t>
      </w:r>
      <w:r>
        <w:rPr>
          <w:sz w:val="21"/>
        </w:rPr>
        <w:t>At the end of </w:t>
      </w:r>
      <w:r>
        <w:rPr>
          <w:rFonts w:ascii="Arial" w:hAnsi="Arial"/>
          <w:i/>
          <w:sz w:val="17"/>
        </w:rPr>
        <w:t>t </w:t>
      </w:r>
      <w:r>
        <w:rPr>
          <w:sz w:val="21"/>
        </w:rPr>
        <w:t>years, the present value of the bene­ fit  payment   is  </w:t>
      </w:r>
      <w:r>
        <w:rPr>
          <w:i/>
          <w:sz w:val="17"/>
        </w:rPr>
        <w:t>Az+t  </w:t>
      </w:r>
      <w:r>
        <w:rPr>
          <w:sz w:val="17"/>
        </w:rPr>
        <w:t>,   </w:t>
      </w:r>
      <w:r>
        <w:rPr>
          <w:sz w:val="21"/>
        </w:rPr>
        <w:t>and   the  present   value  of   the  future  net</w:t>
      </w:r>
    </w:p>
    <w:p>
      <w:pPr>
        <w:spacing w:line="250" w:lineRule="exact" w:before="0"/>
        <w:ind w:left="128" w:right="0" w:firstLine="0"/>
        <w:jc w:val="both"/>
        <w:rPr>
          <w:sz w:val="21"/>
        </w:rPr>
      </w:pPr>
      <w:r>
        <w:rPr>
          <w:sz w:val="21"/>
        </w:rPr>
        <w:t>premiums,  including the one due at the beginning of the  </w:t>
      </w:r>
      <w:r>
        <w:rPr>
          <w:rFonts w:ascii="Arial"/>
          <w:i/>
          <w:sz w:val="19"/>
        </w:rPr>
        <w:t>(t </w:t>
      </w:r>
      <w:r>
        <w:rPr>
          <w:sz w:val="29"/>
        </w:rPr>
        <w:t>+  </w:t>
      </w:r>
      <w:r>
        <w:rPr>
          <w:sz w:val="21"/>
        </w:rPr>
        <w:t>1)-th</w:t>
      </w:r>
    </w:p>
    <w:p>
      <w:pPr>
        <w:spacing w:line="233" w:lineRule="exact" w:before="0"/>
        <w:ind w:left="114" w:right="0" w:firstLine="0"/>
        <w:jc w:val="both"/>
        <w:rPr>
          <w:sz w:val="21"/>
        </w:rPr>
      </w:pPr>
      <w:r>
        <w:rPr>
          <w:sz w:val="21"/>
        </w:rPr>
        <w:t>year, is </w:t>
      </w:r>
      <w:r>
        <w:rPr>
          <w:i/>
          <w:sz w:val="18"/>
        </w:rPr>
        <w:t>P:c·d z+e </w:t>
      </w:r>
      <w:r>
        <w:rPr>
          <w:i/>
          <w:w w:val="150"/>
          <w:sz w:val="18"/>
        </w:rPr>
        <w:t>. </w:t>
      </w:r>
      <w:r>
        <w:rPr>
          <w:sz w:val="21"/>
        </w:rPr>
        <w:t>The difference between  these amounts,</w:t>
      </w:r>
    </w:p>
    <w:p>
      <w:pPr>
        <w:spacing w:before="176"/>
        <w:ind w:left="94" w:right="87" w:firstLine="0"/>
        <w:jc w:val="center"/>
        <w:rPr>
          <w:rFonts w:ascii="Arial" w:hAnsi="Arial"/>
          <w:i/>
          <w:sz w:val="19"/>
        </w:rPr>
      </w:pPr>
      <w:r>
        <w:rPr>
          <w:rFonts w:ascii="Arial" w:hAnsi="Arial"/>
          <w:i/>
          <w:w w:val="120"/>
          <w:sz w:val="19"/>
        </w:rPr>
        <w:t>A"+' </w:t>
      </w:r>
      <w:r>
        <w:rPr>
          <w:rFonts w:ascii="Arial" w:hAnsi="Arial"/>
          <w:w w:val="240"/>
          <w:sz w:val="19"/>
        </w:rPr>
        <w:t>-</w:t>
      </w:r>
      <w:r>
        <w:rPr>
          <w:rFonts w:ascii="Arial" w:hAnsi="Arial"/>
          <w:spacing w:val="-103"/>
          <w:w w:val="240"/>
          <w:sz w:val="19"/>
        </w:rPr>
        <w:t> </w:t>
      </w:r>
      <w:r>
        <w:rPr>
          <w:rFonts w:ascii="Arial" w:hAnsi="Arial"/>
          <w:i/>
          <w:w w:val="150"/>
          <w:sz w:val="19"/>
        </w:rPr>
        <w:t>Pz·+t </w:t>
      </w:r>
      <w:r>
        <w:rPr>
          <w:rFonts w:ascii="Arial" w:hAnsi="Arial"/>
          <w:i/>
          <w:w w:val="120"/>
          <w:sz w:val="19"/>
        </w:rPr>
        <w:t>,</w:t>
      </w:r>
    </w:p>
    <w:p>
      <w:pPr>
        <w:spacing w:line="232" w:lineRule="auto" w:before="133"/>
        <w:ind w:left="117" w:right="113" w:firstLine="0"/>
        <w:jc w:val="both"/>
        <w:rPr>
          <w:sz w:val="21"/>
        </w:rPr>
      </w:pPr>
      <w:r>
        <w:rPr>
          <w:sz w:val="21"/>
        </w:rPr>
        <w:t>represents the insurer's net obligation  at  that  time  and  is  called the policy reserve. </w:t>
      </w:r>
      <w:r>
        <w:rPr>
          <w:sz w:val="22"/>
        </w:rPr>
        <w:t>In </w:t>
      </w:r>
      <w:r>
        <w:rPr>
          <w:sz w:val="21"/>
        </w:rPr>
        <w:t>this form, the reserve is defined as the excess of the present value of  the future benefits  over  the  present  value of  the future net  premiums.</w:t>
      </w:r>
    </w:p>
    <w:p>
      <w:pPr>
        <w:spacing w:line="237" w:lineRule="auto" w:before="0"/>
        <w:ind w:left="117" w:right="109" w:firstLine="201"/>
        <w:jc w:val="both"/>
        <w:rPr>
          <w:sz w:val="21"/>
        </w:rPr>
      </w:pPr>
      <w:r>
        <w:rPr>
          <w:sz w:val="21"/>
        </w:rPr>
        <w:t>When the reserve calculation involves net premiums of uniform amount and is based on the mortality  and  interest  assumptions  used in computing these net premiums, the resulting reserve is known as the </w:t>
      </w:r>
      <w:r>
        <w:rPr>
          <w:i/>
          <w:sz w:val="21"/>
        </w:rPr>
        <w:t>net level premium reserve. </w:t>
      </w:r>
      <w:r>
        <w:rPr>
          <w:sz w:val="21"/>
        </w:rPr>
        <w:t>This is the classical type</w:t>
      </w:r>
      <w:r>
        <w:rPr>
          <w:spacing w:val="21"/>
          <w:sz w:val="21"/>
        </w:rPr>
        <w:t> </w:t>
      </w:r>
      <w:r>
        <w:rPr>
          <w:sz w:val="21"/>
        </w:rPr>
        <w:t>of</w:t>
      </w:r>
    </w:p>
    <w:p>
      <w:pPr>
        <w:spacing w:after="0" w:line="237" w:lineRule="auto"/>
        <w:jc w:val="both"/>
        <w:rPr>
          <w:sz w:val="21"/>
        </w:rPr>
        <w:sectPr>
          <w:pgSz w:w="7200" w:h="11340"/>
          <w:pgMar w:top="1060" w:bottom="280" w:left="660" w:right="540"/>
        </w:sectPr>
      </w:pPr>
    </w:p>
    <w:p>
      <w:pPr>
        <w:tabs>
          <w:tab w:pos="1980" w:val="left" w:leader="none"/>
          <w:tab w:pos="5892" w:val="right" w:leader="none"/>
        </w:tabs>
        <w:spacing w:before="56"/>
        <w:ind w:left="134" w:right="0" w:firstLine="0"/>
        <w:jc w:val="left"/>
        <w:rPr>
          <w:sz w:val="20"/>
        </w:rPr>
      </w:pPr>
      <w:r>
        <w:rPr>
          <w:b/>
          <w:w w:val="105"/>
          <w:sz w:val="14"/>
        </w:rPr>
        <w:t>SEC. </w:t>
      </w:r>
      <w:r>
        <w:rPr>
          <w:b/>
          <w:spacing w:val="1"/>
          <w:w w:val="105"/>
          <w:sz w:val="14"/>
        </w:rPr>
        <w:t> </w:t>
      </w:r>
      <w:r>
        <w:rPr>
          <w:rFonts w:ascii="Arial"/>
          <w:b/>
          <w:w w:val="105"/>
          <w:sz w:val="20"/>
        </w:rPr>
        <w:t>2</w:t>
        <w:tab/>
      </w:r>
      <w:r>
        <w:rPr>
          <w:b/>
          <w:w w:val="105"/>
          <w:position w:val="1"/>
          <w:sz w:val="14"/>
        </w:rPr>
        <w:t>PROSPECTIVE  </w:t>
      </w:r>
      <w:r>
        <w:rPr>
          <w:b/>
          <w:spacing w:val="10"/>
          <w:w w:val="105"/>
          <w:position w:val="1"/>
          <w:sz w:val="14"/>
        </w:rPr>
        <w:t> </w:t>
      </w:r>
      <w:r>
        <w:rPr>
          <w:b/>
          <w:w w:val="105"/>
          <w:position w:val="1"/>
          <w:sz w:val="14"/>
        </w:rPr>
        <w:t>FORMULAS</w:t>
      </w:r>
      <w:r>
        <w:rPr>
          <w:w w:val="105"/>
          <w:sz w:val="20"/>
        </w:rPr>
        <w:tab/>
        <w:t>97</w:t>
      </w:r>
    </w:p>
    <w:p>
      <w:pPr>
        <w:pStyle w:val="BodyText"/>
        <w:spacing w:before="8"/>
      </w:pPr>
    </w:p>
    <w:p>
      <w:pPr>
        <w:pStyle w:val="BodyText"/>
        <w:spacing w:line="244" w:lineRule="auto"/>
        <w:ind w:left="123" w:right="130" w:firstLine="10"/>
        <w:jc w:val="both"/>
      </w:pPr>
      <w:r>
        <w:rPr>
          <w:w w:val="105"/>
        </w:rPr>
        <w:t>reserve, and in the subscquent sections of this chapter the word </w:t>
      </w:r>
      <w:r>
        <w:rPr>
          <w:spacing w:val="-4"/>
          <w:w w:val="105"/>
        </w:rPr>
        <w:t>"reserve" </w:t>
      </w:r>
      <w:r>
        <w:rPr>
          <w:w w:val="105"/>
          <w:sz w:val="21"/>
        </w:rPr>
        <w:t>will </w:t>
      </w:r>
      <w:r>
        <w:rPr>
          <w:w w:val="105"/>
        </w:rPr>
        <w:t>be undcrstood to imply "nct level premium  re- 8crvc."</w:t>
      </w:r>
    </w:p>
    <w:p>
      <w:pPr>
        <w:pStyle w:val="BodyText"/>
        <w:spacing w:before="9"/>
        <w:rPr>
          <w:sz w:val="15"/>
        </w:rPr>
      </w:pPr>
    </w:p>
    <w:p>
      <w:pPr>
        <w:pStyle w:val="ListParagraph"/>
        <w:numPr>
          <w:ilvl w:val="0"/>
          <w:numId w:val="42"/>
        </w:numPr>
        <w:tabs>
          <w:tab w:pos="383" w:val="left" w:leader="none"/>
        </w:tabs>
        <w:spacing w:line="240" w:lineRule="auto" w:before="0" w:after="0"/>
        <w:ind w:left="382" w:right="0" w:hanging="259"/>
        <w:jc w:val="both"/>
        <w:rPr>
          <w:b/>
          <w:sz w:val="19"/>
        </w:rPr>
      </w:pPr>
      <w:r>
        <w:rPr>
          <w:b/>
          <w:w w:val="115"/>
          <w:sz w:val="19"/>
        </w:rPr>
        <w:t>Prospective</w:t>
      </w:r>
      <w:r>
        <w:rPr>
          <w:b/>
          <w:spacing w:val="52"/>
          <w:w w:val="115"/>
          <w:sz w:val="19"/>
        </w:rPr>
        <w:t> </w:t>
      </w:r>
      <w:r>
        <w:rPr>
          <w:b/>
          <w:w w:val="115"/>
          <w:sz w:val="19"/>
        </w:rPr>
        <w:t>formulas</w:t>
      </w:r>
    </w:p>
    <w:p>
      <w:pPr>
        <w:pStyle w:val="BodyText"/>
        <w:spacing w:line="232" w:lineRule="auto" w:before="82"/>
        <w:ind w:left="126" w:right="121" w:firstLine="198"/>
        <w:jc w:val="both"/>
      </w:pPr>
      <w:r>
        <w:rPr/>
        <w:t>The reserve definition given above may be called a </w:t>
      </w:r>
      <w:r>
        <w:rPr>
          <w:i/>
          <w:w w:val="55"/>
          <w:sz w:val="21"/>
        </w:rPr>
        <w:t>_ </w:t>
      </w:r>
      <w:r>
        <w:rPr>
          <w:i/>
          <w:sz w:val="21"/>
        </w:rPr>
        <w:t>pros pective </w:t>
      </w:r>
      <w:r>
        <w:rPr/>
        <w:t>definition since it is in terms of </w:t>
      </w:r>
      <w:r>
        <w:rPr>
          <w:rFonts w:ascii="Arial" w:hAnsi="Arial"/>
          <w:i/>
          <w:spacing w:val="3"/>
          <w:sz w:val="24"/>
        </w:rPr>
        <w:t>f</w:t>
      </w:r>
      <w:r>
        <w:rPr>
          <w:rFonts w:ascii="Arial" w:hAnsi="Arial"/>
          <w:i/>
          <w:spacing w:val="3"/>
          <w:sz w:val="18"/>
        </w:rPr>
        <w:t>uture </w:t>
      </w:r>
      <w:r>
        <w:rPr/>
        <w:t>bcnefits and  premi_ums,  and  the formulas which follow from this dcfinition are known as pro­ spective   reserve   formulas.   The. expression    "future   premiums" </w:t>
      </w:r>
      <w:r>
        <w:rPr>
          <w:spacing w:val="6"/>
        </w:rPr>
        <w:t> </w:t>
      </w:r>
      <w:r>
        <w:rPr/>
        <w:t>in</w:t>
      </w:r>
    </w:p>
    <w:p>
      <w:pPr>
        <w:pStyle w:val="BodyText"/>
        <w:spacing w:line="252" w:lineRule="auto" w:before="16"/>
        <w:ind w:left="130" w:right="121" w:hanging="4"/>
        <w:jc w:val="both"/>
      </w:pPr>
      <w:r>
        <w:rPr>
          <w:w w:val="105"/>
        </w:rPr>
        <w:t>this definition must be understood to include any premium cur­ rently due.</w:t>
      </w:r>
    </w:p>
    <w:p>
      <w:pPr>
        <w:pStyle w:val="BodyText"/>
        <w:spacing w:line="232" w:lineRule="exact"/>
        <w:ind w:left="195"/>
        <w:jc w:val="center"/>
      </w:pPr>
      <w:r>
        <w:rPr>
          <w:w w:val="105"/>
        </w:rPr>
        <w:t>For  an  ordinary  life insurance  of  1 issued  at  age </w:t>
      </w:r>
      <w:r>
        <w:rPr>
          <w:i/>
          <w:w w:val="105"/>
          <w:sz w:val="21"/>
        </w:rPr>
        <w:t>x, </w:t>
      </w:r>
      <w:r>
        <w:rPr>
          <w:w w:val="105"/>
        </w:rPr>
        <w:t>the symbol</w:t>
      </w:r>
    </w:p>
    <w:p>
      <w:pPr>
        <w:pStyle w:val="BodyText"/>
        <w:spacing w:line="252" w:lineRule="auto" w:before="8"/>
        <w:ind w:left="126" w:right="136" w:firstLine="10"/>
        <w:jc w:val="both"/>
      </w:pPr>
      <w:r>
        <w:rPr>
          <w:rFonts w:ascii="Arial"/>
          <w:w w:val="143"/>
        </w:rPr>
        <w:t>,</w:t>
      </w:r>
      <w:r>
        <w:rPr>
          <w:rFonts w:ascii="Arial"/>
          <w:i/>
          <w:w w:val="143"/>
        </w:rPr>
        <w:t>V</w:t>
      </w:r>
      <w:r>
        <w:rPr>
          <w:rFonts w:ascii="Arial"/>
          <w:w w:val="143"/>
          <w:sz w:val="12"/>
        </w:rPr>
        <w:t>s </w:t>
      </w:r>
      <w:r>
        <w:rPr>
          <w:w w:val="102"/>
        </w:rPr>
        <w:t>is </w:t>
      </w:r>
      <w:r>
        <w:rPr>
          <w:w w:val="99"/>
        </w:rPr>
        <w:t>used </w:t>
      </w:r>
      <w:r>
        <w:rPr>
          <w:w w:val="112"/>
        </w:rPr>
        <w:t>to </w:t>
      </w:r>
      <w:r>
        <w:rPr>
          <w:w w:val="107"/>
        </w:rPr>
        <w:t>denote </w:t>
      </w:r>
      <w:r>
        <w:rPr>
          <w:w w:val="111"/>
        </w:rPr>
        <w:t>the </w:t>
      </w:r>
      <w:r>
        <w:rPr>
          <w:w w:val="102"/>
        </w:rPr>
        <w:t>reserve </w:t>
      </w:r>
      <w:r>
        <w:rPr>
          <w:w w:val="117"/>
        </w:rPr>
        <w:t>at </w:t>
      </w:r>
      <w:r>
        <w:rPr>
          <w:w w:val="111"/>
        </w:rPr>
        <w:t>the </w:t>
      </w:r>
      <w:r>
        <w:rPr>
          <w:w w:val="104"/>
        </w:rPr>
        <w:t>end </w:t>
      </w:r>
      <w:r>
        <w:rPr>
          <w:w w:val="89"/>
        </w:rPr>
        <w:t>of </w:t>
      </w:r>
      <w:r>
        <w:rPr>
          <w:rFonts w:ascii="Arial"/>
          <w:i/>
          <w:w w:val="95"/>
          <w:sz w:val="18"/>
        </w:rPr>
        <w:t>t </w:t>
      </w:r>
      <w:r>
        <w:rPr>
          <w:w w:val="106"/>
        </w:rPr>
        <w:t>years. </w:t>
      </w:r>
      <w:r>
        <w:rPr>
          <w:w w:val="101"/>
        </w:rPr>
        <w:t>As </w:t>
      </w:r>
      <w:r>
        <w:rPr>
          <w:w w:val="102"/>
        </w:rPr>
        <w:t>shown </w:t>
      </w:r>
      <w:r>
        <w:rPr>
          <w:w w:val="105"/>
        </w:rPr>
        <w:t>above,  the  prospective  formula is</w:t>
      </w:r>
    </w:p>
    <w:p>
      <w:pPr>
        <w:spacing w:before="84"/>
        <w:ind w:left="1926" w:right="0" w:firstLine="0"/>
        <w:jc w:val="left"/>
        <w:rPr>
          <w:b/>
          <w:i/>
          <w:sz w:val="17"/>
        </w:rPr>
      </w:pPr>
      <w:r>
        <w:rPr>
          <w:b/>
          <w:i/>
          <w:w w:val="109"/>
          <w:sz w:val="17"/>
        </w:rPr>
        <w:t>,V</w:t>
      </w:r>
      <w:r>
        <w:rPr>
          <w:b/>
          <w:i/>
          <w:spacing w:val="-9"/>
          <w:sz w:val="17"/>
        </w:rPr>
        <w:t> </w:t>
      </w:r>
      <w:r>
        <w:rPr>
          <w:b/>
          <w:i/>
          <w:w w:val="99"/>
          <w:sz w:val="17"/>
        </w:rPr>
        <w:t>s</w:t>
      </w:r>
      <w:r>
        <w:rPr>
          <w:b/>
          <w:i/>
          <w:sz w:val="17"/>
        </w:rPr>
        <w:t> </w:t>
      </w:r>
      <w:r>
        <w:rPr>
          <w:b/>
          <w:i/>
          <w:spacing w:val="18"/>
          <w:sz w:val="17"/>
        </w:rPr>
        <w:t> </w:t>
      </w:r>
      <w:r>
        <w:rPr>
          <w:w w:val="92"/>
          <w:sz w:val="26"/>
        </w:rPr>
        <w:t>=</w:t>
      </w:r>
      <w:r>
        <w:rPr>
          <w:spacing w:val="29"/>
          <w:sz w:val="26"/>
        </w:rPr>
        <w:t> </w:t>
      </w:r>
      <w:r>
        <w:rPr>
          <w:b/>
          <w:spacing w:val="-7"/>
          <w:w w:val="32"/>
          <w:sz w:val="26"/>
        </w:rPr>
        <w:t>.</w:t>
      </w:r>
      <w:r>
        <w:rPr>
          <w:b/>
          <w:w w:val="104"/>
          <w:sz w:val="14"/>
        </w:rPr>
        <w:t>..4.sH</w:t>
      </w:r>
      <w:r>
        <w:rPr>
          <w:b/>
          <w:sz w:val="14"/>
        </w:rPr>
        <w:t>   </w:t>
      </w:r>
      <w:r>
        <w:rPr>
          <w:w w:val="393"/>
          <w:sz w:val="14"/>
        </w:rPr>
        <w:t>-</w:t>
      </w:r>
      <w:r>
        <w:rPr>
          <w:sz w:val="14"/>
        </w:rPr>
        <w:t> </w:t>
      </w:r>
      <w:r>
        <w:rPr>
          <w:spacing w:val="-13"/>
          <w:sz w:val="14"/>
        </w:rPr>
        <w:t> </w:t>
      </w:r>
      <w:r>
        <w:rPr>
          <w:b/>
          <w:i/>
          <w:w w:val="126"/>
          <w:sz w:val="17"/>
        </w:rPr>
        <w:t>Ps·</w:t>
      </w:r>
      <w:r>
        <w:rPr>
          <w:b/>
          <w:i/>
          <w:spacing w:val="1"/>
          <w:sz w:val="17"/>
        </w:rPr>
        <w:t> </w:t>
      </w:r>
      <w:r>
        <w:rPr>
          <w:b/>
          <w:i/>
          <w:w w:val="99"/>
          <w:sz w:val="17"/>
        </w:rPr>
        <w:t>iis+t</w:t>
      </w:r>
    </w:p>
    <w:p>
      <w:pPr>
        <w:spacing w:after="0"/>
        <w:jc w:val="left"/>
        <w:rPr>
          <w:sz w:val="17"/>
        </w:rPr>
        <w:sectPr>
          <w:pgSz w:w="7200" w:h="11340"/>
          <w:pgMar w:top="480" w:bottom="280" w:left="640" w:right="540"/>
        </w:sectPr>
      </w:pPr>
    </w:p>
    <w:p>
      <w:pPr>
        <w:pStyle w:val="BodyText"/>
        <w:spacing w:before="2"/>
        <w:rPr>
          <w:b/>
          <w:i/>
          <w:sz w:val="13"/>
        </w:rPr>
      </w:pPr>
    </w:p>
    <w:p>
      <w:pPr>
        <w:spacing w:before="0"/>
        <w:ind w:left="2527" w:right="0" w:firstLine="0"/>
        <w:jc w:val="center"/>
        <w:rPr>
          <w:b/>
          <w:i/>
          <w:sz w:val="17"/>
        </w:rPr>
      </w:pPr>
      <w:r>
        <w:rPr/>
        <w:pict>
          <v:line style="position:absolute;mso-position-horizontal-relative:page;mso-position-vertical-relative:paragraph;z-index:-727504" from="168.479996pt,8.115552pt" to="170.819996pt,8.115552pt" stroked="true" strokeweight=".36pt" strokecolor="#000000">
            <w10:wrap type="none"/>
          </v:line>
        </w:pict>
      </w:r>
      <w:r>
        <w:rPr>
          <w:b/>
          <w:i/>
          <w:w w:val="110"/>
          <w:sz w:val="17"/>
        </w:rPr>
        <w:t>Ms+t </w:t>
      </w:r>
      <w:r>
        <w:rPr>
          <w:w w:val="305"/>
          <w:sz w:val="17"/>
        </w:rPr>
        <w:t>-</w:t>
      </w:r>
      <w:r>
        <w:rPr>
          <w:spacing w:val="-91"/>
          <w:w w:val="305"/>
          <w:sz w:val="17"/>
        </w:rPr>
        <w:t> </w:t>
      </w:r>
      <w:r>
        <w:rPr>
          <w:b/>
          <w:i/>
          <w:w w:val="145"/>
          <w:sz w:val="17"/>
        </w:rPr>
        <w:t>Ps· </w:t>
      </w:r>
      <w:r>
        <w:rPr>
          <w:b/>
          <w:i/>
          <w:w w:val="110"/>
          <w:sz w:val="17"/>
        </w:rPr>
        <w:t>Ns+I</w:t>
      </w:r>
    </w:p>
    <w:p>
      <w:pPr>
        <w:spacing w:before="28"/>
        <w:ind w:left="0" w:right="529" w:firstLine="0"/>
        <w:jc w:val="right"/>
        <w:rPr>
          <w:i/>
          <w:sz w:val="20"/>
        </w:rPr>
      </w:pPr>
      <w:r>
        <w:rPr>
          <w:i/>
          <w:w w:val="80"/>
          <w:sz w:val="20"/>
        </w:rPr>
        <w:t>Ds+t</w:t>
      </w:r>
    </w:p>
    <w:p>
      <w:pPr>
        <w:pStyle w:val="BodyText"/>
        <w:spacing w:before="38"/>
        <w:ind w:right="116"/>
        <w:jc w:val="right"/>
      </w:pPr>
      <w:r>
        <w:rPr/>
        <w:br w:type="column"/>
      </w:r>
      <w:r>
        <w:rPr>
          <w:w w:val="120"/>
        </w:rPr>
        <w:t>(5.1)</w:t>
      </w:r>
    </w:p>
    <w:p>
      <w:pPr>
        <w:spacing w:after="0"/>
        <w:jc w:val="right"/>
        <w:sectPr>
          <w:type w:val="continuous"/>
          <w:pgSz w:w="7200" w:h="11340"/>
          <w:pgMar w:top="1100" w:bottom="0" w:left="640" w:right="540"/>
          <w:cols w:num="2" w:equalWidth="0">
            <w:col w:w="3942" w:space="40"/>
            <w:col w:w="2038"/>
          </w:cols>
        </w:sectPr>
      </w:pPr>
    </w:p>
    <w:p>
      <w:pPr>
        <w:pStyle w:val="BodyText"/>
        <w:spacing w:line="252" w:lineRule="auto" w:before="90"/>
        <w:ind w:left="119" w:right="229" w:firstLine="205"/>
      </w:pPr>
      <w:r>
        <w:rPr>
          <w:w w:val="105"/>
        </w:rPr>
        <w:t>For an n-payment whole  life insurance,  the  reserve  at the  end of  </w:t>
      </w:r>
      <w:r>
        <w:rPr>
          <w:rFonts w:ascii="Arial"/>
          <w:i/>
          <w:w w:val="105"/>
          <w:sz w:val="17"/>
        </w:rPr>
        <w:t>t </w:t>
      </w:r>
      <w:r>
        <w:rPr>
          <w:w w:val="105"/>
        </w:rPr>
        <w:t>years is obtained from the following  formulas:</w:t>
      </w:r>
    </w:p>
    <w:p>
      <w:pPr>
        <w:tabs>
          <w:tab w:pos="1487" w:val="left" w:leader="none"/>
          <w:tab w:pos="2790" w:val="left" w:leader="none"/>
        </w:tabs>
        <w:spacing w:line="189" w:lineRule="exact" w:before="129"/>
        <w:ind w:left="130" w:right="0" w:firstLine="0"/>
        <w:jc w:val="both"/>
        <w:rPr>
          <w:i/>
          <w:sz w:val="22"/>
        </w:rPr>
      </w:pPr>
      <w:r>
        <w:rPr/>
        <w:pict>
          <v:shape style="position:absolute;margin-left:57.779999pt;margin-top:12.558767pt;width:258.1500pt;height:13pt;mso-position-horizontal-relative:page;mso-position-vertical-relative:paragraph;z-index:-727432" type="#_x0000_t202" filled="false" stroked="false">
            <v:textbox inset="0,0,0,0">
              <w:txbxContent>
                <w:p>
                  <w:pPr>
                    <w:tabs>
                      <w:tab w:pos="2066" w:val="left" w:leader="none"/>
                      <w:tab w:pos="5014" w:val="left" w:leader="none"/>
                    </w:tabs>
                    <w:spacing w:line="260" w:lineRule="exact" w:before="0"/>
                    <w:ind w:left="0" w:right="0" w:firstLine="0"/>
                    <w:jc w:val="left"/>
                    <w:rPr>
                      <w:sz w:val="26"/>
                    </w:rPr>
                  </w:pPr>
                  <w:r>
                    <w:rPr>
                      <w:sz w:val="26"/>
                    </w:rPr>
                    <w:t>=</w:t>
                    <w:tab/>
                    <w:t>=</w:t>
                    <w:tab/>
                    <w:t>&lt;</w:t>
                  </w:r>
                </w:p>
              </w:txbxContent>
            </v:textbox>
            <w10:wrap type="none"/>
          </v:shape>
        </w:pict>
      </w:r>
      <w:r>
        <w:rPr>
          <w:i/>
          <w:w w:val="95"/>
          <w:sz w:val="21"/>
        </w:rPr>
        <w:t>n</w:t>
      </w:r>
      <w:r>
        <w:rPr>
          <w:i/>
          <w:spacing w:val="-25"/>
          <w:w w:val="95"/>
          <w:sz w:val="21"/>
        </w:rPr>
        <w:t> </w:t>
      </w:r>
      <w:r>
        <w:rPr>
          <w:i/>
          <w:w w:val="115"/>
          <w:sz w:val="21"/>
        </w:rPr>
        <w:t>y     </w:t>
      </w:r>
      <w:r>
        <w:rPr>
          <w:i/>
          <w:spacing w:val="14"/>
          <w:w w:val="115"/>
          <w:sz w:val="21"/>
        </w:rPr>
        <w:t> </w:t>
      </w:r>
      <w:r>
        <w:rPr>
          <w:i/>
          <w:w w:val="95"/>
          <w:sz w:val="22"/>
        </w:rPr>
        <w:t>A</w:t>
        <w:tab/>
      </w:r>
      <w:r>
        <w:rPr>
          <w:i/>
          <w:w w:val="115"/>
          <w:sz w:val="22"/>
        </w:rPr>
        <w:t>p  </w:t>
      </w:r>
      <w:r>
        <w:rPr>
          <w:i/>
          <w:spacing w:val="19"/>
          <w:w w:val="115"/>
          <w:sz w:val="22"/>
        </w:rPr>
        <w:t> </w:t>
      </w:r>
      <w:r>
        <w:rPr>
          <w:w w:val="95"/>
          <w:sz w:val="22"/>
        </w:rPr>
        <w:t>..</w:t>
        <w:tab/>
      </w:r>
      <w:r>
        <w:rPr>
          <w:b/>
          <w:i/>
          <w:w w:val="95"/>
          <w:sz w:val="22"/>
        </w:rPr>
        <w:t>M»+,</w:t>
      </w:r>
      <w:r>
        <w:rPr>
          <w:b/>
          <w:i/>
          <w:spacing w:val="8"/>
          <w:w w:val="95"/>
          <w:sz w:val="22"/>
        </w:rPr>
        <w:t> </w:t>
      </w:r>
      <w:r>
        <w:rPr>
          <w:w w:val="230"/>
          <w:sz w:val="22"/>
        </w:rPr>
        <w:t>-</w:t>
      </w:r>
      <w:r>
        <w:rPr>
          <w:spacing w:val="-109"/>
          <w:w w:val="230"/>
          <w:sz w:val="22"/>
        </w:rPr>
        <w:t> </w:t>
      </w:r>
      <w:r>
        <w:rPr>
          <w:i/>
          <w:w w:val="95"/>
          <w:sz w:val="22"/>
        </w:rPr>
        <w:t>,.Ps(</w:t>
      </w:r>
      <w:r>
        <w:rPr>
          <w:i/>
          <w:spacing w:val="-15"/>
          <w:w w:val="95"/>
          <w:sz w:val="22"/>
        </w:rPr>
        <w:t> </w:t>
      </w:r>
      <w:r>
        <w:rPr>
          <w:i/>
          <w:w w:val="95"/>
          <w:sz w:val="22"/>
        </w:rPr>
        <w:t>N</w:t>
      </w:r>
      <w:r>
        <w:rPr>
          <w:i/>
          <w:spacing w:val="-29"/>
          <w:w w:val="95"/>
          <w:sz w:val="22"/>
        </w:rPr>
        <w:t> </w:t>
      </w:r>
      <w:r>
        <w:rPr>
          <w:i/>
          <w:w w:val="95"/>
          <w:sz w:val="22"/>
        </w:rPr>
        <w:t>s+c</w:t>
      </w:r>
      <w:r>
        <w:rPr>
          <w:i/>
          <w:spacing w:val="6"/>
          <w:w w:val="95"/>
          <w:sz w:val="22"/>
        </w:rPr>
        <w:t> </w:t>
      </w:r>
      <w:r>
        <w:rPr>
          <w:w w:val="230"/>
          <w:sz w:val="22"/>
        </w:rPr>
        <w:t>-</w:t>
      </w:r>
      <w:r>
        <w:rPr>
          <w:spacing w:val="-109"/>
          <w:w w:val="230"/>
          <w:sz w:val="22"/>
        </w:rPr>
        <w:t> </w:t>
      </w:r>
      <w:r>
        <w:rPr>
          <w:w w:val="95"/>
          <w:sz w:val="19"/>
        </w:rPr>
        <w:t>Ns+n</w:t>
      </w:r>
      <w:r>
        <w:rPr>
          <w:spacing w:val="-11"/>
          <w:w w:val="95"/>
          <w:sz w:val="19"/>
        </w:rPr>
        <w:t> </w:t>
      </w:r>
      <w:r>
        <w:rPr>
          <w:w w:val="115"/>
          <w:sz w:val="19"/>
        </w:rPr>
        <w:t>)   </w:t>
      </w:r>
      <w:r>
        <w:rPr>
          <w:spacing w:val="49"/>
          <w:w w:val="115"/>
          <w:sz w:val="19"/>
        </w:rPr>
        <w:t> </w:t>
      </w:r>
      <w:r>
        <w:rPr>
          <w:i/>
          <w:w w:val="95"/>
          <w:sz w:val="22"/>
        </w:rPr>
        <w:t>t</w:t>
      </w:r>
    </w:p>
    <w:p>
      <w:pPr>
        <w:tabs>
          <w:tab w:pos="3730" w:val="left" w:leader="none"/>
          <w:tab w:pos="5116" w:val="left" w:leader="none"/>
        </w:tabs>
        <w:spacing w:line="148" w:lineRule="exact" w:before="0"/>
        <w:ind w:left="166" w:right="0" w:firstLine="0"/>
        <w:jc w:val="both"/>
        <w:rPr>
          <w:i/>
          <w:sz w:val="22"/>
        </w:rPr>
      </w:pPr>
      <w:r>
        <w:rPr/>
        <w:pict>
          <v:rect style="position:absolute;margin-left:218.520004pt;margin-top:7.095069pt;width:7.56pt;height:5.04pt;mso-position-horizontal-relative:page;mso-position-vertical-relative:paragraph;z-index:-727480" filled="true" fillcolor="#000000" stroked="false">
            <v:fill type="solid"/>
            <w10:wrap type="none"/>
          </v:rect>
        </w:pict>
      </w:r>
      <w:r>
        <w:rPr>
          <w:w w:val="150"/>
          <w:sz w:val="19"/>
        </w:rPr>
        <w:t>,  </w:t>
      </w:r>
      <w:r>
        <w:rPr>
          <w:w w:val="110"/>
          <w:sz w:val="19"/>
        </w:rPr>
        <w:t>s       </w:t>
      </w:r>
      <w:r>
        <w:rPr>
          <w:rFonts w:ascii="Arial" w:hAnsi="Arial"/>
          <w:w w:val="110"/>
          <w:sz w:val="16"/>
        </w:rPr>
        <w:t>»+• </w:t>
      </w:r>
      <w:r>
        <w:rPr>
          <w:rFonts w:ascii="Arial" w:hAnsi="Arial"/>
          <w:w w:val="310"/>
          <w:sz w:val="16"/>
        </w:rPr>
        <w:t>-</w:t>
      </w:r>
      <w:r>
        <w:rPr>
          <w:rFonts w:ascii="Arial" w:hAnsi="Arial"/>
          <w:spacing w:val="-87"/>
          <w:w w:val="310"/>
          <w:sz w:val="16"/>
        </w:rPr>
        <w:t> </w:t>
      </w:r>
      <w:r>
        <w:rPr>
          <w:rFonts w:ascii="Arial" w:hAnsi="Arial"/>
          <w:w w:val="150"/>
          <w:sz w:val="16"/>
        </w:rPr>
        <w:t>"</w:t>
      </w:r>
      <w:r>
        <w:rPr>
          <w:rFonts w:ascii="Arial" w:hAnsi="Arial"/>
          <w:spacing w:val="47"/>
          <w:w w:val="150"/>
          <w:sz w:val="16"/>
        </w:rPr>
        <w:t> </w:t>
      </w:r>
      <w:r>
        <w:rPr>
          <w:w w:val="110"/>
          <w:sz w:val="19"/>
        </w:rPr>
        <w:t>s·as+e:ñ=il</w:t>
        <w:tab/>
      </w:r>
      <w:r>
        <w:rPr>
          <w:i/>
          <w:w w:val="110"/>
          <w:sz w:val="22"/>
        </w:rPr>
        <w:t>D</w:t>
        <w:tab/>
      </w:r>
      <w:r>
        <w:rPr>
          <w:w w:val="110"/>
          <w:sz w:val="20"/>
        </w:rPr>
        <w:t>1or    </w:t>
      </w:r>
      <w:r>
        <w:rPr>
          <w:spacing w:val="47"/>
          <w:w w:val="110"/>
          <w:sz w:val="20"/>
        </w:rPr>
        <w:t> </w:t>
      </w:r>
      <w:r>
        <w:rPr>
          <w:i/>
          <w:w w:val="110"/>
          <w:sz w:val="22"/>
        </w:rPr>
        <w:t>n,</w:t>
      </w:r>
    </w:p>
    <w:p>
      <w:pPr>
        <w:spacing w:line="154" w:lineRule="exact" w:before="0"/>
        <w:ind w:left="3885" w:right="0" w:firstLine="0"/>
        <w:jc w:val="left"/>
        <w:rPr>
          <w:b/>
          <w:i/>
          <w:sz w:val="17"/>
        </w:rPr>
      </w:pPr>
      <w:r>
        <w:rPr/>
        <w:drawing>
          <wp:anchor distT="0" distB="0" distL="0" distR="0" allowOverlap="1" layoutInCell="1" locked="0" behindDoc="0" simplePos="0" relativeHeight="8536">
            <wp:simplePos x="0" y="0"/>
            <wp:positionH relativeFrom="page">
              <wp:posOffset>484631</wp:posOffset>
            </wp:positionH>
            <wp:positionV relativeFrom="paragraph">
              <wp:posOffset>183871</wp:posOffset>
            </wp:positionV>
            <wp:extent cx="1719072" cy="283463"/>
            <wp:effectExtent l="0" t="0" r="0" b="0"/>
            <wp:wrapTopAndBottom/>
            <wp:docPr id="225" name="image117.png" descr=""/>
            <wp:cNvGraphicFramePr>
              <a:graphicFrameLocks noChangeAspect="1"/>
            </wp:cNvGraphicFramePr>
            <a:graphic>
              <a:graphicData uri="http://schemas.openxmlformats.org/drawingml/2006/picture">
                <pic:pic>
                  <pic:nvPicPr>
                    <pic:cNvPr id="226" name="image117.png"/>
                    <pic:cNvPicPr/>
                  </pic:nvPicPr>
                  <pic:blipFill>
                    <a:blip r:embed="rId121" cstate="print"/>
                    <a:stretch>
                      <a:fillRect/>
                    </a:stretch>
                  </pic:blipFill>
                  <pic:spPr>
                    <a:xfrm>
                      <a:off x="0" y="0"/>
                      <a:ext cx="1719072" cy="283463"/>
                    </a:xfrm>
                    <a:prstGeom prst="rect">
                      <a:avLst/>
                    </a:prstGeom>
                  </pic:spPr>
                </pic:pic>
              </a:graphicData>
            </a:graphic>
          </wp:anchor>
        </w:drawing>
      </w:r>
      <w:r>
        <w:rPr>
          <w:b/>
          <w:i/>
          <w:sz w:val="17"/>
        </w:rPr>
        <w:t>z+t</w:t>
      </w:r>
    </w:p>
    <w:p>
      <w:pPr>
        <w:pStyle w:val="BodyText"/>
        <w:spacing w:line="244" w:lineRule="auto" w:before="75"/>
        <w:ind w:left="115" w:right="133" w:firstLine="7"/>
        <w:jc w:val="both"/>
      </w:pPr>
      <w:r>
        <w:rPr>
          <w:w w:val="105"/>
        </w:rPr>
        <w:t>Note that in the second case, for </w:t>
      </w:r>
      <w:r>
        <w:rPr>
          <w:i/>
          <w:w w:val="105"/>
          <w:sz w:val="22"/>
        </w:rPr>
        <w:t>t n, </w:t>
      </w:r>
      <w:r>
        <w:rPr>
          <w:w w:val="105"/>
        </w:rPr>
        <w:t>there being no further pre­ mium payments, the reserve is simply the net  single premium  at  the attained age. A new  notational  principie  is  illustrated  here,  the superscript </w:t>
      </w:r>
      <w:r>
        <w:rPr>
          <w:i/>
          <w:w w:val="105"/>
          <w:sz w:val="21"/>
        </w:rPr>
        <w:t>n </w:t>
      </w:r>
      <w:r>
        <w:rPr>
          <w:w w:val="105"/>
        </w:rPr>
        <w:t>being used before the </w:t>
      </w:r>
      <w:r>
        <w:rPr>
          <w:rFonts w:ascii="Arial" w:hAnsi="Arial"/>
          <w:i/>
          <w:w w:val="105"/>
        </w:rPr>
        <w:t>V </w:t>
      </w:r>
      <w:r>
        <w:rPr>
          <w:w w:val="105"/>
        </w:rPr>
        <w:t>symbol to denote the number  of  years  in the limited-payment</w:t>
      </w:r>
      <w:r>
        <w:rPr>
          <w:spacing w:val="32"/>
          <w:w w:val="105"/>
        </w:rPr>
        <w:t> </w:t>
      </w:r>
      <w:r>
        <w:rPr>
          <w:w w:val="105"/>
        </w:rPr>
        <w:t>period.</w:t>
      </w:r>
    </w:p>
    <w:p>
      <w:pPr>
        <w:pStyle w:val="BodyText"/>
        <w:spacing w:line="254" w:lineRule="auto" w:before="6"/>
        <w:ind w:left="115" w:firstLine="194"/>
      </w:pPr>
      <w:r>
        <w:rPr>
          <w:w w:val="105"/>
        </w:rPr>
        <w:t>As another example of a prospective formula, consider an n-year endowment:</w:t>
      </w:r>
    </w:p>
    <w:p>
      <w:pPr>
        <w:spacing w:line="263" w:lineRule="exact" w:before="48"/>
        <w:ind w:left="598" w:right="0" w:firstLine="0"/>
        <w:jc w:val="left"/>
        <w:rPr>
          <w:rFonts w:ascii="Arial" w:hAnsi="Arial"/>
          <w:sz w:val="21"/>
        </w:rPr>
      </w:pPr>
      <w:r>
        <w:rPr>
          <w:b/>
          <w:i/>
          <w:w w:val="115"/>
          <w:sz w:val="13"/>
        </w:rPr>
        <w:t>t </w:t>
      </w:r>
      <w:r>
        <w:rPr>
          <w:b/>
          <w:i/>
          <w:w w:val="115"/>
          <w:sz w:val="17"/>
        </w:rPr>
        <w:t>V</w:t>
      </w:r>
      <w:r>
        <w:rPr>
          <w:b/>
          <w:w w:val="115"/>
          <w:sz w:val="15"/>
        </w:rPr>
        <w:t>z: </w:t>
      </w:r>
      <w:r>
        <w:rPr>
          <w:rFonts w:ascii="Arial" w:hAnsi="Arial"/>
          <w:w w:val="115"/>
          <w:sz w:val="17"/>
        </w:rPr>
        <w:t>ñi </w:t>
      </w:r>
      <w:r>
        <w:rPr>
          <w:w w:val="115"/>
          <w:sz w:val="25"/>
        </w:rPr>
        <w:t>= </w:t>
      </w:r>
      <w:r>
        <w:rPr>
          <w:b/>
          <w:i/>
          <w:w w:val="115"/>
          <w:sz w:val="17"/>
        </w:rPr>
        <w:t>As+t: </w:t>
      </w:r>
      <w:r>
        <w:rPr>
          <w:w w:val="115"/>
          <w:sz w:val="16"/>
        </w:rPr>
        <w:t>-;=,i </w:t>
      </w:r>
      <w:r>
        <w:rPr>
          <w:w w:val="315"/>
          <w:sz w:val="16"/>
        </w:rPr>
        <w:t>-</w:t>
      </w:r>
      <w:r>
        <w:rPr>
          <w:spacing w:val="-88"/>
          <w:w w:val="315"/>
          <w:sz w:val="16"/>
        </w:rPr>
        <w:t> </w:t>
      </w:r>
      <w:r>
        <w:rPr>
          <w:b/>
          <w:i/>
          <w:w w:val="115"/>
          <w:sz w:val="17"/>
        </w:rPr>
        <w:t>P </w:t>
      </w:r>
      <w:r>
        <w:rPr>
          <w:w w:val="115"/>
          <w:sz w:val="14"/>
        </w:rPr>
        <w:t>s: </w:t>
      </w:r>
      <w:r>
        <w:rPr>
          <w:w w:val="115"/>
          <w:sz w:val="15"/>
        </w:rPr>
        <w:t>ñj </w:t>
      </w:r>
      <w:r>
        <w:rPr>
          <w:spacing w:val="-4"/>
          <w:w w:val="115"/>
          <w:sz w:val="15"/>
        </w:rPr>
        <w:t>·</w:t>
      </w:r>
      <w:r>
        <w:rPr>
          <w:b/>
          <w:spacing w:val="-4"/>
          <w:w w:val="115"/>
          <w:sz w:val="15"/>
        </w:rPr>
        <w:t>iis+c: </w:t>
      </w:r>
      <w:r>
        <w:rPr>
          <w:rFonts w:ascii="Arial" w:hAnsi="Arial"/>
          <w:sz w:val="21"/>
        </w:rPr>
        <w:t>'ñ=il</w:t>
      </w:r>
    </w:p>
    <w:p>
      <w:pPr>
        <w:spacing w:line="344" w:lineRule="exact" w:before="0"/>
        <w:ind w:left="1149" w:right="0" w:firstLine="0"/>
        <w:jc w:val="left"/>
        <w:rPr>
          <w:b/>
          <w:i/>
          <w:sz w:val="17"/>
        </w:rPr>
      </w:pPr>
      <w:r>
        <w:rPr/>
        <w:pict>
          <v:line style="position:absolute;mso-position-horizontal-relative:page;mso-position-vertical-relative:paragraph;z-index:-727456" from="109.620003pt,13.981979pt" to="112.500003pt,13.981979pt" stroked="true" strokeweight=".36pt" strokecolor="#000000">
            <w10:wrap type="none"/>
          </v:line>
        </w:pict>
      </w:r>
      <w:r>
        <w:rPr>
          <w:w w:val="140"/>
          <w:sz w:val="17"/>
        </w:rPr>
        <w:t>_ </w:t>
      </w:r>
      <w:r>
        <w:rPr>
          <w:b/>
          <w:i/>
          <w:sz w:val="17"/>
        </w:rPr>
        <w:t>Ms+ </w:t>
      </w:r>
      <w:r>
        <w:rPr>
          <w:b/>
          <w:i/>
          <w:w w:val="75"/>
          <w:sz w:val="17"/>
        </w:rPr>
        <w:t>I   </w:t>
      </w:r>
      <w:r>
        <w:rPr>
          <w:w w:val="305"/>
          <w:sz w:val="17"/>
        </w:rPr>
        <w:t>-</w:t>
      </w:r>
      <w:r>
        <w:rPr>
          <w:spacing w:val="-83"/>
          <w:w w:val="305"/>
          <w:sz w:val="17"/>
        </w:rPr>
        <w:t> </w:t>
      </w:r>
      <w:r>
        <w:rPr>
          <w:b/>
          <w:i/>
          <w:sz w:val="17"/>
        </w:rPr>
        <w:t>Ms+n  </w:t>
      </w:r>
      <w:r>
        <w:rPr>
          <w:rFonts w:ascii="Arial" w:hAnsi="Arial"/>
          <w:sz w:val="32"/>
        </w:rPr>
        <w:t>+ </w:t>
      </w:r>
      <w:r>
        <w:rPr>
          <w:b/>
          <w:i/>
          <w:sz w:val="17"/>
        </w:rPr>
        <w:t>Ds+n  </w:t>
      </w:r>
      <w:r>
        <w:rPr>
          <w:w w:val="305"/>
          <w:sz w:val="17"/>
        </w:rPr>
        <w:t>-</w:t>
      </w:r>
      <w:r>
        <w:rPr>
          <w:spacing w:val="-91"/>
          <w:w w:val="305"/>
          <w:sz w:val="17"/>
        </w:rPr>
        <w:t> </w:t>
      </w:r>
      <w:r>
        <w:rPr>
          <w:b/>
          <w:i/>
          <w:sz w:val="17"/>
        </w:rPr>
        <w:t>Ps: </w:t>
      </w:r>
      <w:r>
        <w:rPr>
          <w:b/>
          <w:i/>
          <w:w w:val="75"/>
          <w:sz w:val="17"/>
        </w:rPr>
        <w:t>ñj ( </w:t>
      </w:r>
      <w:r>
        <w:rPr>
          <w:b/>
          <w:i/>
          <w:sz w:val="17"/>
        </w:rPr>
        <w:t>N:z+t  </w:t>
      </w:r>
      <w:r>
        <w:rPr>
          <w:w w:val="305"/>
          <w:sz w:val="17"/>
        </w:rPr>
        <w:t>-</w:t>
      </w:r>
      <w:r>
        <w:rPr>
          <w:spacing w:val="-83"/>
          <w:w w:val="305"/>
          <w:sz w:val="17"/>
        </w:rPr>
        <w:t> </w:t>
      </w:r>
      <w:r>
        <w:rPr>
          <w:b/>
          <w:i/>
          <w:sz w:val="17"/>
        </w:rPr>
        <w:t>N:z+n </w:t>
      </w:r>
      <w:r>
        <w:rPr>
          <w:b/>
          <w:i/>
          <w:w w:val="75"/>
          <w:sz w:val="17"/>
        </w:rPr>
        <w:t>)</w:t>
      </w:r>
    </w:p>
    <w:p>
      <w:pPr>
        <w:tabs>
          <w:tab w:pos="3147" w:val="left" w:leader="none"/>
        </w:tabs>
        <w:spacing w:line="162" w:lineRule="exact" w:before="19"/>
        <w:ind w:left="1149" w:right="0" w:firstLine="0"/>
        <w:jc w:val="left"/>
        <w:rPr>
          <w:b/>
          <w:i/>
          <w:sz w:val="15"/>
        </w:rPr>
      </w:pPr>
      <w:r>
        <w:rPr>
          <w:w w:val="300"/>
          <w:sz w:val="15"/>
        </w:rPr>
        <w:t>-</w:t>
        <w:tab/>
      </w:r>
      <w:r>
        <w:rPr>
          <w:b/>
          <w:i/>
          <w:w w:val="130"/>
          <w:sz w:val="15"/>
        </w:rPr>
        <w:t>Ds+c</w:t>
      </w:r>
    </w:p>
    <w:p>
      <w:pPr>
        <w:pStyle w:val="BodyText"/>
        <w:spacing w:line="228" w:lineRule="auto" w:before="4"/>
        <w:ind w:left="112" w:firstLine="205"/>
      </w:pPr>
      <w:r>
        <w:rPr>
          <w:w w:val="108"/>
        </w:rPr>
        <w:t>For </w:t>
      </w:r>
      <w:r>
        <w:rPr>
          <w:w w:val="106"/>
        </w:rPr>
        <w:t>n-year </w:t>
      </w:r>
      <w:r>
        <w:rPr>
          <w:w w:val="108"/>
        </w:rPr>
        <w:t>term </w:t>
      </w:r>
      <w:r>
        <w:rPr>
          <w:w w:val="104"/>
        </w:rPr>
        <w:t>insurance, </w:t>
      </w:r>
      <w:r>
        <w:rPr>
          <w:w w:val="111"/>
        </w:rPr>
        <w:t>the </w:t>
      </w:r>
      <w:r>
        <w:rPr>
          <w:w w:val="103"/>
        </w:rPr>
        <w:t>reserve </w:t>
      </w:r>
      <w:r>
        <w:rPr>
          <w:w w:val="104"/>
        </w:rPr>
        <w:t>symbol </w:t>
      </w:r>
      <w:r>
        <w:rPr>
          <w:rFonts w:ascii="Arial" w:hAnsi="Arial"/>
          <w:w w:val="104"/>
          <w:sz w:val="19"/>
        </w:rPr>
        <w:t>is </w:t>
      </w:r>
      <w:r>
        <w:rPr>
          <w:rFonts w:ascii="Arial" w:hAnsi="Arial"/>
          <w:w w:val="131"/>
          <w:sz w:val="19"/>
        </w:rPr>
        <w:t>,</w:t>
      </w:r>
      <w:r>
        <w:rPr>
          <w:i/>
          <w:w w:val="131"/>
          <w:sz w:val="32"/>
        </w:rPr>
        <w:t>v::</w:t>
      </w:r>
      <w:r>
        <w:rPr>
          <w:w w:val="131"/>
        </w:rPr>
        <w:t>;¡. </w:t>
      </w:r>
      <w:r>
        <w:rPr>
          <w:w w:val="111"/>
        </w:rPr>
        <w:t>The </w:t>
      </w:r>
      <w:r>
        <w:rPr>
          <w:w w:val="110"/>
        </w:rPr>
        <w:t>student should be able to write the formula.</w:t>
      </w:r>
    </w:p>
    <w:p>
      <w:pPr>
        <w:spacing w:after="0" w:line="228" w:lineRule="auto"/>
        <w:sectPr>
          <w:type w:val="continuous"/>
          <w:pgSz w:w="7200" w:h="11340"/>
          <w:pgMar w:top="1100" w:bottom="0" w:left="640" w:right="540"/>
        </w:sectPr>
      </w:pPr>
    </w:p>
    <w:p>
      <w:pPr>
        <w:tabs>
          <w:tab w:pos="1607" w:val="left" w:leader="none"/>
          <w:tab w:pos="5377" w:val="left" w:leader="none"/>
        </w:tabs>
        <w:spacing w:before="58"/>
        <w:ind w:left="315" w:right="0" w:hanging="206"/>
        <w:jc w:val="left"/>
        <w:rPr>
          <w:rFonts w:ascii="Arial"/>
          <w:b/>
          <w:sz w:val="18"/>
        </w:rPr>
      </w:pPr>
      <w:r>
        <w:rPr>
          <w:w w:val="105"/>
          <w:sz w:val="21"/>
        </w:rPr>
        <w:t>98</w:t>
        <w:tab/>
      </w:r>
      <w:r>
        <w:rPr>
          <w:b/>
          <w:w w:val="105"/>
          <w:position w:val="1"/>
          <w:sz w:val="15"/>
        </w:rPr>
        <w:t>NET  LEVEL </w:t>
      </w:r>
      <w:r>
        <w:rPr>
          <w:b/>
          <w:spacing w:val="19"/>
          <w:w w:val="105"/>
          <w:position w:val="1"/>
          <w:sz w:val="15"/>
        </w:rPr>
        <w:t> </w:t>
      </w:r>
      <w:r>
        <w:rPr>
          <w:b/>
          <w:w w:val="105"/>
          <w:position w:val="1"/>
          <w:sz w:val="15"/>
        </w:rPr>
        <w:t>PREMIUM </w:t>
      </w:r>
      <w:r>
        <w:rPr>
          <w:b/>
          <w:spacing w:val="29"/>
          <w:w w:val="105"/>
          <w:position w:val="1"/>
          <w:sz w:val="15"/>
        </w:rPr>
        <w:t> </w:t>
      </w:r>
      <w:r>
        <w:rPr>
          <w:b/>
          <w:w w:val="105"/>
          <w:position w:val="1"/>
          <w:sz w:val="15"/>
        </w:rPr>
        <w:t>RESERVES</w:t>
        <w:tab/>
      </w:r>
      <w:r>
        <w:rPr>
          <w:rFonts w:ascii="Arial"/>
          <w:b/>
          <w:w w:val="95"/>
          <w:position w:val="1"/>
          <w:sz w:val="19"/>
        </w:rPr>
        <w:t>[CH.</w:t>
      </w:r>
      <w:r>
        <w:rPr>
          <w:rFonts w:ascii="Arial"/>
          <w:b/>
          <w:spacing w:val="-11"/>
          <w:w w:val="95"/>
          <w:position w:val="1"/>
          <w:sz w:val="19"/>
        </w:rPr>
        <w:t> </w:t>
      </w:r>
      <w:r>
        <w:rPr>
          <w:rFonts w:ascii="Arial"/>
          <w:b/>
          <w:w w:val="95"/>
          <w:position w:val="1"/>
          <w:sz w:val="18"/>
        </w:rPr>
        <w:t>5</w:t>
      </w:r>
    </w:p>
    <w:p>
      <w:pPr>
        <w:pStyle w:val="BodyText"/>
        <w:spacing w:before="6"/>
        <w:rPr>
          <w:rFonts w:ascii="Arial"/>
          <w:b/>
          <w:sz w:val="19"/>
        </w:rPr>
      </w:pPr>
    </w:p>
    <w:p>
      <w:pPr>
        <w:spacing w:line="237" w:lineRule="auto" w:before="0"/>
        <w:ind w:left="117" w:right="114" w:firstLine="198"/>
        <w:jc w:val="both"/>
        <w:rPr>
          <w:sz w:val="21"/>
        </w:rPr>
      </w:pPr>
      <w:r>
        <w:rPr>
          <w:sz w:val="21"/>
        </w:rPr>
        <w:t>A </w:t>
      </w:r>
      <w:r>
        <w:rPr>
          <w:rFonts w:ascii="Arial"/>
          <w:sz w:val="20"/>
        </w:rPr>
        <w:t>diff</w:t>
      </w:r>
      <w:r>
        <w:rPr>
          <w:sz w:val="21"/>
        </w:rPr>
        <w:t>erent type of symbol is used to denote the reserve for insurances payable at the moment of dcath, and also for armuities.  In these ca.ses, the ,</w:t>
      </w:r>
      <w:r>
        <w:rPr>
          <w:rFonts w:ascii="Arial"/>
          <w:i/>
          <w:sz w:val="20"/>
        </w:rPr>
        <w:t>V </w:t>
      </w:r>
      <w:r>
        <w:rPr>
          <w:sz w:val="21"/>
        </w:rPr>
        <w:t>symbol is uscd in conjunction with the nct single premium for the benefit. For an ordinary life msurance paya.ble at the moment of  death, for example, we </w:t>
      </w:r>
      <w:r>
        <w:rPr>
          <w:spacing w:val="39"/>
          <w:sz w:val="21"/>
        </w:rPr>
        <w:t> </w:t>
      </w:r>
      <w:r>
        <w:rPr>
          <w:sz w:val="21"/>
        </w:rPr>
        <w:t>write</w:t>
      </w:r>
    </w:p>
    <w:p>
      <w:pPr>
        <w:pStyle w:val="BodyText"/>
        <w:spacing w:before="114"/>
        <w:ind w:left="1528"/>
      </w:pPr>
      <w:r>
        <w:rPr>
          <w:position w:val="-4"/>
        </w:rPr>
        <w:drawing>
          <wp:inline distT="0" distB="0" distL="0" distR="0">
            <wp:extent cx="1755648" cy="146303"/>
            <wp:effectExtent l="0" t="0" r="0" b="0"/>
            <wp:docPr id="227" name="image118.png" descr=""/>
            <wp:cNvGraphicFramePr>
              <a:graphicFrameLocks noChangeAspect="1"/>
            </wp:cNvGraphicFramePr>
            <a:graphic>
              <a:graphicData uri="http://schemas.openxmlformats.org/drawingml/2006/picture">
                <pic:pic>
                  <pic:nvPicPr>
                    <pic:cNvPr id="228" name="image118.png"/>
                    <pic:cNvPicPr/>
                  </pic:nvPicPr>
                  <pic:blipFill>
                    <a:blip r:embed="rId122" cstate="print"/>
                    <a:stretch>
                      <a:fillRect/>
                    </a:stretch>
                  </pic:blipFill>
                  <pic:spPr>
                    <a:xfrm>
                      <a:off x="0" y="0"/>
                      <a:ext cx="1755648" cy="146303"/>
                    </a:xfrm>
                    <a:prstGeom prst="rect">
                      <a:avLst/>
                    </a:prstGeom>
                  </pic:spPr>
                </pic:pic>
              </a:graphicData>
            </a:graphic>
          </wp:inline>
        </w:drawing>
      </w:r>
      <w:r>
        <w:rPr>
          <w:position w:val="-4"/>
        </w:rPr>
      </w:r>
      <w:r>
        <w:rPr/>
        <w:t>                      </w:t>
      </w:r>
      <w:r>
        <w:rPr>
          <w:w w:val="105"/>
        </w:rPr>
        <w:t>(5.2)</w:t>
      </w:r>
    </w:p>
    <w:p>
      <w:pPr>
        <w:spacing w:line="242" w:lineRule="exact" w:before="116"/>
        <w:ind w:left="117" w:right="125" w:firstLine="0"/>
        <w:jc w:val="both"/>
        <w:rPr>
          <w:sz w:val="21"/>
        </w:rPr>
      </w:pPr>
      <w:r>
        <w:rPr/>
        <w:drawing>
          <wp:anchor distT="0" distB="0" distL="0" distR="0" allowOverlap="1" layoutInCell="1" locked="0" behindDoc="0" simplePos="0" relativeHeight="8656">
            <wp:simplePos x="0" y="0"/>
            <wp:positionH relativeFrom="page">
              <wp:posOffset>1133855</wp:posOffset>
            </wp:positionH>
            <wp:positionV relativeFrom="paragraph">
              <wp:posOffset>621791</wp:posOffset>
            </wp:positionV>
            <wp:extent cx="2642616" cy="512063"/>
            <wp:effectExtent l="0" t="0" r="0" b="0"/>
            <wp:wrapTopAndBottom/>
            <wp:docPr id="229" name="image119.png" descr=""/>
            <wp:cNvGraphicFramePr>
              <a:graphicFrameLocks noChangeAspect="1"/>
            </wp:cNvGraphicFramePr>
            <a:graphic>
              <a:graphicData uri="http://schemas.openxmlformats.org/drawingml/2006/picture">
                <pic:pic>
                  <pic:nvPicPr>
                    <pic:cNvPr id="230" name="image119.png"/>
                    <pic:cNvPicPr/>
                  </pic:nvPicPr>
                  <pic:blipFill>
                    <a:blip r:embed="rId123" cstate="print"/>
                    <a:stretch>
                      <a:fillRect/>
                    </a:stretch>
                  </pic:blipFill>
                  <pic:spPr>
                    <a:xfrm>
                      <a:off x="0" y="0"/>
                      <a:ext cx="2642616" cy="512063"/>
                    </a:xfrm>
                    <a:prstGeom prst="rect">
                      <a:avLst/>
                    </a:prstGeom>
                  </pic:spPr>
                </pic:pic>
              </a:graphicData>
            </a:graphic>
          </wp:anchor>
        </w:drawing>
      </w:r>
      <w:r>
        <w:rPr>
          <w:w w:val="105"/>
          <w:sz w:val="21"/>
        </w:rPr>
        <w:t>For an n-year deferred annuity-due of 1 per annum with annual premiums paya.ble for </w:t>
      </w:r>
      <w:r>
        <w:rPr>
          <w:i/>
          <w:w w:val="105"/>
          <w:sz w:val="21"/>
        </w:rPr>
        <w:t>n </w:t>
      </w:r>
      <w:r>
        <w:rPr>
          <w:w w:val="105"/>
          <w:sz w:val="21"/>
        </w:rPr>
        <w:t>years, the reserve at the end of </w:t>
      </w:r>
      <w:r>
        <w:rPr>
          <w:i/>
          <w:w w:val="105"/>
          <w:sz w:val="22"/>
        </w:rPr>
        <w:t>t </w:t>
      </w:r>
      <w:r>
        <w:rPr>
          <w:w w:val="105"/>
          <w:sz w:val="21"/>
        </w:rPr>
        <w:t>years  is given</w:t>
      </w:r>
      <w:r>
        <w:rPr>
          <w:spacing w:val="-29"/>
          <w:w w:val="105"/>
          <w:sz w:val="21"/>
        </w:rPr>
        <w:t> </w:t>
      </w:r>
      <w:r>
        <w:rPr>
          <w:w w:val="105"/>
          <w:sz w:val="21"/>
        </w:rPr>
        <w:t>by</w:t>
      </w:r>
    </w:p>
    <w:p>
      <w:pPr>
        <w:spacing w:after="0" w:line="242" w:lineRule="exact"/>
        <w:jc w:val="both"/>
        <w:rPr>
          <w:sz w:val="21"/>
        </w:rPr>
        <w:sectPr>
          <w:pgSz w:w="7200" w:h="11340"/>
          <w:pgMar w:top="480" w:bottom="280" w:left="660" w:right="540"/>
        </w:sectPr>
      </w:pPr>
    </w:p>
    <w:p>
      <w:pPr>
        <w:pStyle w:val="BodyText"/>
        <w:rPr>
          <w:sz w:val="28"/>
        </w:rPr>
      </w:pPr>
    </w:p>
    <w:p>
      <w:pPr>
        <w:spacing w:line="289" w:lineRule="exact" w:before="193"/>
        <w:ind w:left="0" w:right="0" w:firstLine="0"/>
        <w:jc w:val="right"/>
        <w:rPr>
          <w:rFonts w:ascii="Arial"/>
          <w:i/>
          <w:sz w:val="21"/>
        </w:rPr>
      </w:pPr>
      <w:r>
        <w:rPr>
          <w:w w:val="93"/>
          <w:sz w:val="21"/>
        </w:rPr>
        <w:t>V</w:t>
      </w:r>
      <w:r>
        <w:rPr>
          <w:w w:val="93"/>
          <w:sz w:val="21"/>
        </w:rPr>
        <w:t>(,</w:t>
      </w:r>
      <w:r>
        <w:rPr>
          <w:spacing w:val="9"/>
          <w:w w:val="93"/>
          <w:sz w:val="21"/>
        </w:rPr>
        <w:t>.</w:t>
      </w:r>
      <w:r>
        <w:rPr>
          <w:rFonts w:ascii="Arial"/>
          <w:spacing w:val="-9"/>
          <w:w w:val="61"/>
          <w:position w:val="-5"/>
          <w:sz w:val="15"/>
        </w:rPr>
        <w:t>1</w:t>
      </w:r>
      <w:r>
        <w:rPr>
          <w:spacing w:val="-23"/>
          <w:w w:val="100"/>
          <w:sz w:val="25"/>
        </w:rPr>
        <w:t>a</w:t>
      </w:r>
      <w:r>
        <w:rPr>
          <w:spacing w:val="-78"/>
          <w:w w:val="251"/>
          <w:sz w:val="25"/>
        </w:rPr>
        <w:t>.</w:t>
      </w:r>
      <w:r>
        <w:rPr>
          <w:w w:val="88"/>
          <w:sz w:val="25"/>
        </w:rPr>
        <w:t>)</w:t>
      </w:r>
      <w:r>
        <w:rPr>
          <w:sz w:val="25"/>
        </w:rPr>
        <w:t> </w:t>
      </w:r>
      <w:r>
        <w:rPr>
          <w:spacing w:val="-20"/>
          <w:sz w:val="25"/>
        </w:rPr>
        <w:t> </w:t>
      </w:r>
      <w:r>
        <w:rPr>
          <w:w w:val="103"/>
          <w:sz w:val="24"/>
        </w:rPr>
        <w:t>=</w:t>
      </w:r>
      <w:r>
        <w:rPr>
          <w:spacing w:val="29"/>
          <w:sz w:val="24"/>
        </w:rPr>
        <w:t> </w:t>
      </w:r>
      <w:r>
        <w:rPr>
          <w:w w:val="102"/>
          <w:sz w:val="14"/>
        </w:rPr>
        <w:t>ti:r+c</w:t>
      </w:r>
      <w:r>
        <w:rPr>
          <w:sz w:val="14"/>
        </w:rPr>
        <w:t>  </w:t>
      </w:r>
      <w:r>
        <w:rPr>
          <w:spacing w:val="6"/>
          <w:sz w:val="14"/>
        </w:rPr>
        <w:t> </w:t>
      </w:r>
      <w:r>
        <w:rPr>
          <w:w w:val="103"/>
          <w:sz w:val="24"/>
        </w:rPr>
        <w:t>=</w:t>
      </w:r>
      <w:r>
        <w:rPr>
          <w:spacing w:val="26"/>
          <w:sz w:val="24"/>
        </w:rPr>
        <w:t> </w:t>
      </w:r>
      <w:r>
        <w:rPr>
          <w:rFonts w:ascii="Arial"/>
          <w:i/>
          <w:w w:val="92"/>
          <w:sz w:val="21"/>
          <w:u w:val="thick"/>
        </w:rPr>
        <w:t>N</w:t>
      </w:r>
      <w:r>
        <w:rPr>
          <w:rFonts w:ascii="Arial"/>
          <w:i/>
          <w:w w:val="92"/>
          <w:sz w:val="21"/>
        </w:rPr>
        <w:t>s+,</w:t>
      </w:r>
    </w:p>
    <w:p>
      <w:pPr>
        <w:spacing w:line="148" w:lineRule="exact" w:before="0"/>
        <w:ind w:left="0" w:right="60" w:firstLine="0"/>
        <w:jc w:val="right"/>
        <w:rPr>
          <w:b/>
          <w:i/>
          <w:sz w:val="16"/>
        </w:rPr>
      </w:pPr>
      <w:r>
        <w:rPr>
          <w:b/>
          <w:i/>
          <w:w w:val="110"/>
          <w:sz w:val="16"/>
        </w:rPr>
        <w:t>Ds+t</w:t>
      </w:r>
    </w:p>
    <w:p>
      <w:pPr>
        <w:tabs>
          <w:tab w:pos="978" w:val="left" w:leader="none"/>
          <w:tab w:pos="1101" w:val="left" w:leader="none"/>
          <w:tab w:pos="1382" w:val="left" w:leader="none"/>
        </w:tabs>
        <w:spacing w:line="477" w:lineRule="auto" w:before="84"/>
        <w:ind w:left="345" w:right="323" w:hanging="155"/>
        <w:jc w:val="left"/>
        <w:rPr>
          <w:i/>
          <w:sz w:val="21"/>
        </w:rPr>
      </w:pPr>
      <w:r>
        <w:rPr/>
        <w:br w:type="column"/>
      </w:r>
      <w:r>
        <w:rPr>
          <w:sz w:val="21"/>
        </w:rPr>
        <w:t>where</w:t>
        <w:tab/>
        <w:tab/>
      </w:r>
      <w:r>
        <w:rPr>
          <w:position w:val="-4"/>
          <w:sz w:val="21"/>
        </w:rPr>
        <w:drawing>
          <wp:inline distT="0" distB="0" distL="0" distR="0">
            <wp:extent cx="804672" cy="137160"/>
            <wp:effectExtent l="0" t="0" r="0" b="0"/>
            <wp:docPr id="231" name="image120.png" descr=""/>
            <wp:cNvGraphicFramePr>
              <a:graphicFrameLocks noChangeAspect="1"/>
            </wp:cNvGraphicFramePr>
            <a:graphic>
              <a:graphicData uri="http://schemas.openxmlformats.org/drawingml/2006/picture">
                <pic:pic>
                  <pic:nvPicPr>
                    <pic:cNvPr id="232" name="image120.png"/>
                    <pic:cNvPicPr/>
                  </pic:nvPicPr>
                  <pic:blipFill>
                    <a:blip r:embed="rId124" cstate="print"/>
                    <a:stretch>
                      <a:fillRect/>
                    </a:stretch>
                  </pic:blipFill>
                  <pic:spPr>
                    <a:xfrm>
                      <a:off x="0" y="0"/>
                      <a:ext cx="804672" cy="137160"/>
                    </a:xfrm>
                    <a:prstGeom prst="rect">
                      <a:avLst/>
                    </a:prstGeom>
                  </pic:spPr>
                </pic:pic>
              </a:graphicData>
            </a:graphic>
          </wp:inline>
        </w:drawing>
      </w:r>
      <w:r>
        <w:rPr>
          <w:position w:val="-4"/>
          <w:sz w:val="21"/>
        </w:rPr>
      </w:r>
      <w:r>
        <w:rPr>
          <w:position w:val="-4"/>
          <w:sz w:val="21"/>
        </w:rPr>
        <w:t> </w:t>
      </w:r>
      <w:r>
        <w:rPr>
          <w:w w:val="105"/>
          <w:sz w:val="21"/>
        </w:rPr>
        <w:t>for</w:t>
        <w:tab/>
      </w:r>
      <w:r>
        <w:rPr>
          <w:i/>
          <w:w w:val="105"/>
          <w:sz w:val="21"/>
        </w:rPr>
        <w:t>t</w:t>
        <w:tab/>
        <w:tab/>
        <w:t>n.</w:t>
      </w:r>
    </w:p>
    <w:p>
      <w:pPr>
        <w:spacing w:after="0" w:line="477" w:lineRule="auto"/>
        <w:jc w:val="left"/>
        <w:rPr>
          <w:sz w:val="21"/>
        </w:rPr>
        <w:sectPr>
          <w:type w:val="continuous"/>
          <w:pgSz w:w="7200" w:h="11340"/>
          <w:pgMar w:top="1100" w:bottom="0" w:left="660" w:right="540"/>
          <w:cols w:num="2" w:equalWidth="0">
            <w:col w:w="3268" w:space="40"/>
            <w:col w:w="2692"/>
          </w:cols>
        </w:sectPr>
      </w:pPr>
    </w:p>
    <w:p>
      <w:pPr>
        <w:spacing w:line="240" w:lineRule="auto" w:before="0"/>
        <w:ind w:left="114" w:right="241" w:hanging="4"/>
        <w:jc w:val="left"/>
        <w:rPr>
          <w:sz w:val="21"/>
        </w:rPr>
      </w:pPr>
      <w:r>
        <w:rPr>
          <w:sz w:val="21"/>
        </w:rPr>
        <w:t>The same notational device is used in any case where the simpler type of  symbol does not  adequately  specify  the function.</w:t>
      </w:r>
    </w:p>
    <w:p>
      <w:pPr>
        <w:spacing w:line="237" w:lineRule="auto" w:before="1"/>
        <w:ind w:left="114" w:right="135" w:firstLine="205"/>
        <w:jc w:val="both"/>
        <w:rPr>
          <w:sz w:val="21"/>
        </w:rPr>
      </w:pPr>
      <w:r>
        <w:rPr>
          <w:sz w:val="21"/>
        </w:rPr>
        <w:t>It  has  been  assumed  in  the  formulas  above  that  the  duration </w:t>
      </w:r>
      <w:r>
        <w:rPr>
          <w:rFonts w:ascii="Arial" w:hAnsi="Arial"/>
          <w:i/>
          <w:sz w:val="18"/>
        </w:rPr>
        <w:t>t </w:t>
      </w:r>
      <w:r>
        <w:rPr>
          <w:sz w:val="21"/>
        </w:rPr>
        <w:t>is an </w:t>
      </w:r>
      <w:r>
        <w:rPr>
          <w:i/>
          <w:sz w:val="21"/>
        </w:rPr>
        <w:t>integra/, </w:t>
      </w:r>
      <w:r>
        <w:rPr>
          <w:sz w:val="21"/>
        </w:rPr>
        <w:t>number of years. Under this assumption, the func­ tion </w:t>
      </w:r>
      <w:r>
        <w:rPr>
          <w:spacing w:val="-5"/>
          <w:sz w:val="21"/>
        </w:rPr>
        <w:t>,</w:t>
      </w:r>
      <w:r>
        <w:rPr>
          <w:i/>
          <w:spacing w:val="-5"/>
          <w:sz w:val="21"/>
        </w:rPr>
        <w:t>V </w:t>
      </w:r>
      <w:r>
        <w:rPr>
          <w:sz w:val="21"/>
        </w:rPr>
        <w:t>relates to the </w:t>
      </w:r>
      <w:r>
        <w:rPr>
          <w:i/>
          <w:sz w:val="21"/>
        </w:rPr>
        <w:t>end </w:t>
      </w:r>
      <w:r>
        <w:rPr>
          <w:sz w:val="21"/>
        </w:rPr>
        <w:t>of a policy  year  and  is called  the t-th  year </w:t>
      </w:r>
      <w:r>
        <w:rPr>
          <w:i/>
          <w:sz w:val="20"/>
        </w:rPr>
        <w:t>terminal, </w:t>
      </w:r>
      <w:r>
        <w:rPr>
          <w:sz w:val="21"/>
        </w:rPr>
        <w:t>or </w:t>
      </w:r>
      <w:r>
        <w:rPr>
          <w:i/>
          <w:sz w:val="20"/>
        </w:rPr>
        <w:t>final,, </w:t>
      </w:r>
      <w:r>
        <w:rPr>
          <w:i/>
          <w:spacing w:val="7"/>
          <w:sz w:val="20"/>
        </w:rPr>
        <w:t> </w:t>
      </w:r>
      <w:r>
        <w:rPr>
          <w:sz w:val="21"/>
        </w:rPr>
        <w:t>reserve.</w:t>
      </w:r>
    </w:p>
    <w:p>
      <w:pPr>
        <w:pStyle w:val="BodyText"/>
        <w:spacing w:before="1"/>
        <w:rPr>
          <w:sz w:val="9"/>
        </w:rPr>
      </w:pPr>
    </w:p>
    <w:p>
      <w:pPr>
        <w:pStyle w:val="ListParagraph"/>
        <w:numPr>
          <w:ilvl w:val="0"/>
          <w:numId w:val="42"/>
        </w:numPr>
        <w:tabs>
          <w:tab w:pos="374" w:val="left" w:leader="none"/>
        </w:tabs>
        <w:spacing w:line="240" w:lineRule="auto" w:before="76" w:after="0"/>
        <w:ind w:left="373" w:right="0" w:hanging="259"/>
        <w:jc w:val="left"/>
        <w:rPr>
          <w:b/>
          <w:sz w:val="19"/>
        </w:rPr>
      </w:pPr>
      <w:r>
        <w:rPr>
          <w:b/>
          <w:w w:val="115"/>
          <w:sz w:val="19"/>
        </w:rPr>
        <w:t>Retrospective </w:t>
      </w:r>
      <w:r>
        <w:rPr>
          <w:b/>
          <w:spacing w:val="13"/>
          <w:w w:val="115"/>
          <w:sz w:val="19"/>
        </w:rPr>
        <w:t> </w:t>
      </w:r>
      <w:r>
        <w:rPr>
          <w:b/>
          <w:w w:val="115"/>
          <w:sz w:val="19"/>
        </w:rPr>
        <w:t>formulas</w:t>
      </w:r>
    </w:p>
    <w:p>
      <w:pPr>
        <w:spacing w:before="76"/>
        <w:ind w:left="255" w:right="87" w:firstLine="0"/>
        <w:jc w:val="center"/>
        <w:rPr>
          <w:sz w:val="20"/>
        </w:rPr>
      </w:pPr>
      <w:r>
        <w:rPr>
          <w:w w:val="105"/>
          <w:sz w:val="21"/>
        </w:rPr>
        <w:t>The formula for the prospective reserve may </w:t>
      </w:r>
      <w:r>
        <w:rPr>
          <w:w w:val="105"/>
          <w:sz w:val="20"/>
        </w:rPr>
        <w:t>be </w:t>
      </w:r>
      <w:r>
        <w:rPr>
          <w:w w:val="105"/>
          <w:sz w:val="21"/>
        </w:rPr>
        <w:t>transfonned</w:t>
      </w:r>
      <w:r>
        <w:rPr>
          <w:spacing w:val="50"/>
          <w:w w:val="105"/>
          <w:sz w:val="21"/>
        </w:rPr>
        <w:t> </w:t>
      </w:r>
      <w:r>
        <w:rPr>
          <w:w w:val="105"/>
          <w:sz w:val="20"/>
        </w:rPr>
        <w:t>in</w:t>
      </w:r>
    </w:p>
    <w:p>
      <w:pPr>
        <w:spacing w:before="3"/>
        <w:ind w:left="117" w:right="0" w:firstLine="0"/>
        <w:jc w:val="left"/>
        <w:rPr>
          <w:sz w:val="21"/>
        </w:rPr>
      </w:pPr>
      <w:r>
        <w:rPr>
          <w:sz w:val="21"/>
        </w:rPr>
        <w:t>a significant way.</w:t>
      </w:r>
    </w:p>
    <w:p>
      <w:pPr>
        <w:pStyle w:val="BodyText"/>
        <w:tabs>
          <w:tab w:pos="4178" w:val="left" w:leader="none"/>
        </w:tabs>
        <w:spacing w:before="152"/>
        <w:ind w:left="3296"/>
      </w:pPr>
      <w:r>
        <w:rPr/>
        <w:drawing>
          <wp:anchor distT="0" distB="0" distL="0" distR="0" allowOverlap="1" layoutInCell="1" locked="0" behindDoc="0" simplePos="0" relativeHeight="8680">
            <wp:simplePos x="0" y="0"/>
            <wp:positionH relativeFrom="page">
              <wp:posOffset>1014983</wp:posOffset>
            </wp:positionH>
            <wp:positionV relativeFrom="paragraph">
              <wp:posOffset>169671</wp:posOffset>
            </wp:positionV>
            <wp:extent cx="1243584" cy="137160"/>
            <wp:effectExtent l="0" t="0" r="0" b="0"/>
            <wp:wrapNone/>
            <wp:docPr id="233" name="image121.png" descr=""/>
            <wp:cNvGraphicFramePr>
              <a:graphicFrameLocks noChangeAspect="1"/>
            </wp:cNvGraphicFramePr>
            <a:graphic>
              <a:graphicData uri="http://schemas.openxmlformats.org/drawingml/2006/picture">
                <pic:pic>
                  <pic:nvPicPr>
                    <pic:cNvPr id="234" name="image121.png"/>
                    <pic:cNvPicPr/>
                  </pic:nvPicPr>
                  <pic:blipFill>
                    <a:blip r:embed="rId125" cstate="print"/>
                    <a:stretch>
                      <a:fillRect/>
                    </a:stretch>
                  </pic:blipFill>
                  <pic:spPr>
                    <a:xfrm>
                      <a:off x="0" y="0"/>
                      <a:ext cx="1243584" cy="137160"/>
                    </a:xfrm>
                    <a:prstGeom prst="rect">
                      <a:avLst/>
                    </a:prstGeom>
                  </pic:spPr>
                </pic:pic>
              </a:graphicData>
            </a:graphic>
          </wp:anchor>
        </w:drawing>
      </w:r>
      <w:r>
        <w:rPr>
          <w:spacing w:val="-1"/>
        </w:rPr>
        <w:t>where</w:t>
        <w:tab/>
      </w:r>
      <w:r>
        <w:rPr>
          <w:position w:val="-15"/>
        </w:rPr>
        <w:drawing>
          <wp:inline distT="0" distB="0" distL="0" distR="0">
            <wp:extent cx="530352" cy="283463"/>
            <wp:effectExtent l="0" t="0" r="0" b="0"/>
            <wp:docPr id="235" name="image122.png" descr=""/>
            <wp:cNvGraphicFramePr>
              <a:graphicFrameLocks noChangeAspect="1"/>
            </wp:cNvGraphicFramePr>
            <a:graphic>
              <a:graphicData uri="http://schemas.openxmlformats.org/drawingml/2006/picture">
                <pic:pic>
                  <pic:nvPicPr>
                    <pic:cNvPr id="236" name="image122.png"/>
                    <pic:cNvPicPr/>
                  </pic:nvPicPr>
                  <pic:blipFill>
                    <a:blip r:embed="rId126" cstate="print"/>
                    <a:stretch>
                      <a:fillRect/>
                    </a:stretch>
                  </pic:blipFill>
                  <pic:spPr>
                    <a:xfrm>
                      <a:off x="0" y="0"/>
                      <a:ext cx="530352" cy="283463"/>
                    </a:xfrm>
                    <a:prstGeom prst="rect">
                      <a:avLst/>
                    </a:prstGeom>
                  </pic:spPr>
                </pic:pic>
              </a:graphicData>
            </a:graphic>
          </wp:inline>
        </w:drawing>
      </w:r>
      <w:r>
        <w:rPr>
          <w:position w:val="-15"/>
        </w:rPr>
      </w:r>
    </w:p>
    <w:p>
      <w:pPr>
        <w:spacing w:line="233" w:lineRule="exact" w:before="126"/>
        <w:ind w:left="1320" w:right="0" w:firstLine="0"/>
        <w:jc w:val="left"/>
        <w:rPr>
          <w:b/>
          <w:i/>
          <w:sz w:val="22"/>
        </w:rPr>
      </w:pPr>
      <w:r>
        <w:rPr/>
        <w:pict>
          <v:line style="position:absolute;mso-position-horizontal-relative:page;mso-position-vertical-relative:paragraph;z-index:-727360" from="171.539993pt,16.749538pt" to="174.599993pt,16.749538pt" stroked="true" strokeweight=".36pt" strokecolor="#000000">
            <w10:wrap type="none"/>
          </v:line>
        </w:pict>
      </w:r>
      <w:r>
        <w:rPr>
          <w:w w:val="115"/>
          <w:sz w:val="22"/>
        </w:rPr>
        <w:t>_ </w:t>
      </w:r>
      <w:r>
        <w:rPr>
          <w:b/>
          <w:i/>
          <w:sz w:val="22"/>
        </w:rPr>
        <w:t>Ms+ </w:t>
      </w:r>
      <w:r>
        <w:rPr>
          <w:b/>
          <w:i/>
          <w:w w:val="65"/>
          <w:sz w:val="22"/>
        </w:rPr>
        <w:t>I </w:t>
      </w:r>
      <w:r>
        <w:rPr>
          <w:w w:val="235"/>
          <w:sz w:val="22"/>
        </w:rPr>
        <w:t>-</w:t>
      </w:r>
      <w:r>
        <w:rPr>
          <w:spacing w:val="-112"/>
          <w:w w:val="235"/>
          <w:sz w:val="22"/>
        </w:rPr>
        <w:t> </w:t>
      </w:r>
      <w:r>
        <w:rPr>
          <w:b/>
          <w:i/>
          <w:spacing w:val="4"/>
          <w:w w:val="115"/>
          <w:sz w:val="22"/>
        </w:rPr>
        <w:t>P.·</w:t>
      </w:r>
      <w:r>
        <w:rPr>
          <w:b/>
          <w:i/>
          <w:spacing w:val="-56"/>
          <w:w w:val="115"/>
          <w:sz w:val="22"/>
        </w:rPr>
        <w:t> </w:t>
      </w:r>
      <w:r>
        <w:rPr>
          <w:b/>
          <w:i/>
          <w:sz w:val="22"/>
        </w:rPr>
        <w:t>Ns+e</w:t>
      </w:r>
    </w:p>
    <w:p>
      <w:pPr>
        <w:tabs>
          <w:tab w:pos="2075" w:val="left" w:leader="none"/>
        </w:tabs>
        <w:spacing w:line="233" w:lineRule="exact" w:before="0"/>
        <w:ind w:left="1323" w:right="0" w:firstLine="0"/>
        <w:jc w:val="left"/>
        <w:rPr>
          <w:i/>
          <w:sz w:val="22"/>
        </w:rPr>
      </w:pPr>
      <w:r>
        <w:rPr>
          <w:w w:val="210"/>
          <w:sz w:val="22"/>
        </w:rPr>
        <w:t>-</w:t>
        <w:tab/>
      </w:r>
      <w:r>
        <w:rPr>
          <w:i/>
          <w:w w:val="105"/>
          <w:sz w:val="22"/>
        </w:rPr>
        <w:t>Ds+,</w:t>
      </w:r>
    </w:p>
    <w:p>
      <w:pPr>
        <w:spacing w:line="356" w:lineRule="exact" w:before="41"/>
        <w:ind w:left="291" w:right="41" w:firstLine="0"/>
        <w:jc w:val="center"/>
        <w:rPr>
          <w:rFonts w:ascii="Arial" w:hAnsi="Arial"/>
          <w:b/>
          <w:sz w:val="21"/>
        </w:rPr>
      </w:pPr>
      <w:r>
        <w:rPr/>
        <w:pict>
          <v:line style="position:absolute;mso-position-horizontal-relative:page;mso-position-vertical-relative:paragraph;z-index:-727336" from="121.5pt,17.237814pt" to="124.2pt,17.237814pt" stroked="true" strokeweight=".36pt" strokecolor="#000000">
            <w10:wrap type="none"/>
          </v:line>
        </w:pict>
      </w:r>
      <w:r>
        <w:rPr>
          <w:i/>
          <w:w w:val="123"/>
          <w:sz w:val="16"/>
        </w:rPr>
        <w:t>M</w:t>
      </w:r>
      <w:r>
        <w:rPr>
          <w:i/>
          <w:spacing w:val="-11"/>
          <w:sz w:val="16"/>
        </w:rPr>
        <w:t> </w:t>
      </w:r>
      <w:r>
        <w:rPr>
          <w:i/>
          <w:w w:val="87"/>
          <w:sz w:val="16"/>
        </w:rPr>
        <w:t>s+e</w:t>
      </w:r>
      <w:r>
        <w:rPr>
          <w:i/>
          <w:sz w:val="16"/>
        </w:rPr>
        <w:t>  </w:t>
      </w:r>
      <w:r>
        <w:rPr>
          <w:i/>
          <w:spacing w:val="-12"/>
          <w:sz w:val="16"/>
        </w:rPr>
        <w:t> </w:t>
      </w:r>
      <w:r>
        <w:rPr>
          <w:w w:val="344"/>
          <w:sz w:val="16"/>
        </w:rPr>
        <w:t>-</w:t>
      </w:r>
      <w:r>
        <w:rPr>
          <w:spacing w:val="6"/>
          <w:sz w:val="16"/>
        </w:rPr>
        <w:t> </w:t>
      </w:r>
      <w:r>
        <w:rPr>
          <w:rFonts w:ascii="Arial" w:hAnsi="Arial"/>
          <w:i/>
          <w:w w:val="123"/>
          <w:sz w:val="21"/>
        </w:rPr>
        <w:t>P</w:t>
      </w:r>
      <w:r>
        <w:rPr>
          <w:rFonts w:ascii="Arial" w:hAnsi="Arial"/>
          <w:i/>
          <w:spacing w:val="-1"/>
          <w:w w:val="123"/>
          <w:sz w:val="21"/>
        </w:rPr>
        <w:t>.</w:t>
      </w:r>
      <w:r>
        <w:rPr>
          <w:rFonts w:ascii="Arial" w:hAnsi="Arial"/>
          <w:i/>
          <w:w w:val="81"/>
          <w:sz w:val="21"/>
        </w:rPr>
        <w:t>·Ns+a</w:t>
      </w:r>
      <w:r>
        <w:rPr>
          <w:rFonts w:ascii="Arial" w:hAnsi="Arial"/>
          <w:i/>
          <w:spacing w:val="14"/>
          <w:sz w:val="21"/>
        </w:rPr>
        <w:t> </w:t>
      </w:r>
      <w:r>
        <w:rPr>
          <w:rFonts w:ascii="Arial" w:hAnsi="Arial"/>
          <w:w w:val="104"/>
          <w:sz w:val="32"/>
        </w:rPr>
        <w:t>+</w:t>
      </w:r>
      <w:r>
        <w:rPr>
          <w:rFonts w:ascii="Arial" w:hAnsi="Arial"/>
          <w:spacing w:val="-22"/>
          <w:sz w:val="32"/>
        </w:rPr>
        <w:t> </w:t>
      </w:r>
      <w:r>
        <w:rPr>
          <w:rFonts w:ascii="Arial" w:hAnsi="Arial"/>
          <w:i/>
          <w:w w:val="86"/>
          <w:sz w:val="21"/>
        </w:rPr>
        <w:t>(</w:t>
      </w:r>
      <w:r>
        <w:rPr>
          <w:rFonts w:ascii="Arial" w:hAnsi="Arial"/>
          <w:i/>
          <w:spacing w:val="-40"/>
          <w:sz w:val="21"/>
        </w:rPr>
        <w:t> </w:t>
      </w:r>
      <w:r>
        <w:rPr>
          <w:rFonts w:ascii="Arial" w:hAnsi="Arial"/>
          <w:i/>
          <w:w w:val="123"/>
          <w:sz w:val="21"/>
        </w:rPr>
        <w:t>P</w:t>
      </w:r>
      <w:r>
        <w:rPr>
          <w:rFonts w:ascii="Arial" w:hAnsi="Arial"/>
          <w:i/>
          <w:spacing w:val="-1"/>
          <w:w w:val="123"/>
          <w:sz w:val="21"/>
        </w:rPr>
        <w:t>.</w:t>
      </w:r>
      <w:r>
        <w:rPr>
          <w:rFonts w:ascii="Arial" w:hAnsi="Arial"/>
          <w:i/>
          <w:w w:val="45"/>
          <w:sz w:val="21"/>
        </w:rPr>
        <w:t>-</w:t>
      </w:r>
      <w:r>
        <w:rPr>
          <w:rFonts w:ascii="Arial" w:hAnsi="Arial"/>
          <w:i/>
          <w:spacing w:val="-26"/>
          <w:sz w:val="21"/>
        </w:rPr>
        <w:t> </w:t>
      </w:r>
      <w:r>
        <w:rPr>
          <w:rFonts w:ascii="Arial" w:hAnsi="Arial"/>
          <w:i/>
          <w:w w:val="125"/>
          <w:sz w:val="21"/>
        </w:rPr>
        <w:t>N.</w:t>
      </w:r>
      <w:r>
        <w:rPr>
          <w:rFonts w:ascii="Arial" w:hAnsi="Arial"/>
          <w:i/>
          <w:spacing w:val="1"/>
          <w:sz w:val="21"/>
        </w:rPr>
        <w:t> </w:t>
      </w:r>
      <w:r>
        <w:rPr>
          <w:rFonts w:ascii="Arial" w:hAnsi="Arial"/>
          <w:w w:val="255"/>
          <w:sz w:val="21"/>
        </w:rPr>
        <w:t>-</w:t>
      </w:r>
      <w:r>
        <w:rPr>
          <w:rFonts w:ascii="Arial" w:hAnsi="Arial"/>
          <w:spacing w:val="3"/>
          <w:sz w:val="21"/>
        </w:rPr>
        <w:t> </w:t>
      </w:r>
      <w:r>
        <w:rPr>
          <w:rFonts w:ascii="Arial" w:hAnsi="Arial"/>
          <w:b/>
          <w:spacing w:val="-47"/>
          <w:w w:val="139"/>
          <w:sz w:val="21"/>
        </w:rPr>
        <w:t>M</w:t>
      </w:r>
      <w:r>
        <w:rPr>
          <w:rFonts w:ascii="Arial" w:hAnsi="Arial"/>
          <w:b/>
          <w:spacing w:val="-40"/>
          <w:w w:val="222"/>
          <w:sz w:val="21"/>
        </w:rPr>
        <w:t>.</w:t>
      </w:r>
      <w:r>
        <w:rPr>
          <w:rFonts w:ascii="Arial" w:hAnsi="Arial"/>
          <w:b/>
          <w:w w:val="107"/>
          <w:sz w:val="21"/>
        </w:rPr>
        <w:t>)</w:t>
      </w:r>
    </w:p>
    <w:p>
      <w:pPr>
        <w:spacing w:line="241" w:lineRule="exact" w:before="0"/>
        <w:ind w:left="291" w:right="74" w:firstLine="0"/>
        <w:jc w:val="center"/>
        <w:rPr>
          <w:i/>
          <w:sz w:val="22"/>
        </w:rPr>
      </w:pPr>
      <w:r>
        <w:rPr>
          <w:i/>
          <w:w w:val="90"/>
          <w:sz w:val="22"/>
        </w:rPr>
        <w:t>D,,H</w:t>
      </w:r>
    </w:p>
    <w:p>
      <w:pPr>
        <w:tabs>
          <w:tab w:pos="3602" w:val="left" w:leader="none"/>
        </w:tabs>
        <w:spacing w:before="36"/>
        <w:ind w:left="2788" w:right="0" w:firstLine="0"/>
        <w:jc w:val="left"/>
        <w:rPr>
          <w:rFonts w:ascii="Arial" w:hAnsi="Arial"/>
          <w:sz w:val="20"/>
        </w:rPr>
      </w:pPr>
      <w:r>
        <w:rPr>
          <w:sz w:val="20"/>
        </w:rPr>
        <w:t>since</w:t>
        <w:tab/>
      </w:r>
      <w:r>
        <w:rPr>
          <w:rFonts w:ascii="Arial" w:hAnsi="Arial"/>
          <w:i/>
          <w:w w:val="130"/>
          <w:sz w:val="21"/>
        </w:rPr>
        <w:t>P.·N.</w:t>
      </w:r>
      <w:r>
        <w:rPr>
          <w:rFonts w:ascii="Arial" w:hAnsi="Arial"/>
          <w:i/>
          <w:spacing w:val="-58"/>
          <w:w w:val="130"/>
          <w:sz w:val="21"/>
        </w:rPr>
        <w:t> </w:t>
      </w:r>
      <w:r>
        <w:rPr>
          <w:rFonts w:ascii="Arial" w:hAnsi="Arial"/>
          <w:w w:val="235"/>
          <w:sz w:val="21"/>
        </w:rPr>
        <w:t>-</w:t>
      </w:r>
      <w:r>
        <w:rPr>
          <w:rFonts w:ascii="Arial" w:hAnsi="Arial"/>
          <w:spacing w:val="-89"/>
          <w:w w:val="235"/>
          <w:sz w:val="21"/>
        </w:rPr>
        <w:t> </w:t>
      </w:r>
      <w:r>
        <w:rPr>
          <w:rFonts w:ascii="Arial" w:hAnsi="Arial"/>
          <w:i/>
          <w:w w:val="130"/>
          <w:sz w:val="21"/>
        </w:rPr>
        <w:t>M.</w:t>
      </w:r>
      <w:r>
        <w:rPr>
          <w:rFonts w:ascii="Arial" w:hAnsi="Arial"/>
          <w:i/>
          <w:spacing w:val="-25"/>
          <w:w w:val="130"/>
          <w:sz w:val="21"/>
        </w:rPr>
        <w:t> </w:t>
      </w:r>
      <w:r>
        <w:rPr>
          <w:sz w:val="28"/>
        </w:rPr>
        <w:t>=</w:t>
      </w:r>
      <w:r>
        <w:rPr>
          <w:spacing w:val="-3"/>
          <w:sz w:val="28"/>
        </w:rPr>
        <w:t> </w:t>
      </w:r>
      <w:r>
        <w:rPr>
          <w:rFonts w:ascii="Arial" w:hAnsi="Arial"/>
          <w:sz w:val="20"/>
        </w:rPr>
        <w:t>O</w:t>
      </w:r>
    </w:p>
    <w:p>
      <w:pPr>
        <w:spacing w:after="0"/>
        <w:jc w:val="left"/>
        <w:rPr>
          <w:rFonts w:ascii="Arial" w:hAnsi="Arial"/>
          <w:sz w:val="20"/>
        </w:rPr>
        <w:sectPr>
          <w:type w:val="continuous"/>
          <w:pgSz w:w="7200" w:h="11340"/>
          <w:pgMar w:top="1100" w:bottom="0" w:left="660" w:right="540"/>
        </w:sectPr>
      </w:pPr>
    </w:p>
    <w:p>
      <w:pPr>
        <w:spacing w:line="191" w:lineRule="exact" w:before="87"/>
        <w:ind w:left="0" w:right="35" w:firstLine="0"/>
        <w:jc w:val="right"/>
        <w:rPr>
          <w:b/>
          <w:sz w:val="22"/>
        </w:rPr>
      </w:pPr>
      <w:r>
        <w:rPr/>
        <w:pict>
          <v:shape style="position:absolute;margin-left:98.459999pt;margin-top:10.638774pt;width:7pt;height:13pt;mso-position-horizontal-relative:page;mso-position-vertical-relative:paragraph;z-index:8776" type="#_x0000_t202" filled="false" stroked="false">
            <v:textbox inset="0,0,0,0">
              <w:txbxContent>
                <w:p>
                  <w:pPr>
                    <w:spacing w:line="260" w:lineRule="exact" w:before="0"/>
                    <w:ind w:left="0" w:right="0" w:firstLine="0"/>
                    <w:jc w:val="left"/>
                    <w:rPr>
                      <w:sz w:val="26"/>
                    </w:rPr>
                  </w:pPr>
                  <w:r>
                    <w:rPr>
                      <w:w w:val="94"/>
                      <w:sz w:val="26"/>
                    </w:rPr>
                    <w:t>=</w:t>
                  </w:r>
                </w:p>
              </w:txbxContent>
            </v:textbox>
            <w10:wrap type="none"/>
          </v:shape>
        </w:pict>
      </w:r>
      <w:r>
        <w:rPr/>
        <w:pict>
          <v:shape style="position:absolute;margin-left:110.160004pt;margin-top:12.186071pt;width:21.35pt;height:11pt;mso-position-horizontal-relative:page;mso-position-vertical-relative:paragraph;z-index:-727264" type="#_x0000_t202" filled="false" stroked="false">
            <v:textbox inset="0,0,0,0">
              <w:txbxContent>
                <w:p>
                  <w:pPr>
                    <w:spacing w:line="220" w:lineRule="exact" w:before="0"/>
                    <w:ind w:left="0" w:right="-20" w:firstLine="0"/>
                    <w:jc w:val="left"/>
                    <w:rPr>
                      <w:rFonts w:ascii="Arial"/>
                      <w:sz w:val="22"/>
                    </w:rPr>
                  </w:pPr>
                  <w:r>
                    <w:rPr>
                      <w:rFonts w:ascii="Arial"/>
                      <w:spacing w:val="-52"/>
                      <w:w w:val="394"/>
                      <w:sz w:val="22"/>
                    </w:rPr>
                    <w:t>-</w:t>
                  </w:r>
                  <w:r>
                    <w:rPr>
                      <w:rFonts w:ascii="Arial"/>
                      <w:w w:val="128"/>
                      <w:sz w:val="22"/>
                    </w:rPr>
                    <w:t>--</w:t>
                  </w:r>
                </w:p>
              </w:txbxContent>
            </v:textbox>
            <w10:wrap type="none"/>
          </v:shape>
        </w:pict>
      </w:r>
      <w:r>
        <w:rPr>
          <w:rFonts w:ascii="Arial"/>
          <w:i/>
          <w:spacing w:val="-7"/>
          <w:w w:val="115"/>
          <w:sz w:val="21"/>
        </w:rPr>
        <w:t>P.(</w:t>
      </w:r>
      <w:r>
        <w:rPr>
          <w:rFonts w:ascii="Arial"/>
          <w:i/>
          <w:spacing w:val="-61"/>
          <w:w w:val="115"/>
          <w:sz w:val="21"/>
        </w:rPr>
        <w:t> </w:t>
      </w:r>
      <w:r>
        <w:rPr>
          <w:rFonts w:ascii="Arial"/>
          <w:i/>
          <w:w w:val="150"/>
          <w:sz w:val="21"/>
        </w:rPr>
        <w:t>N.</w:t>
      </w:r>
      <w:r>
        <w:rPr>
          <w:rFonts w:ascii="Arial"/>
          <w:i/>
          <w:spacing w:val="-69"/>
          <w:w w:val="150"/>
          <w:sz w:val="21"/>
        </w:rPr>
        <w:t> </w:t>
      </w:r>
      <w:r>
        <w:rPr>
          <w:rFonts w:ascii="Arial"/>
          <w:w w:val="230"/>
          <w:sz w:val="21"/>
        </w:rPr>
        <w:t>-</w:t>
      </w:r>
      <w:r>
        <w:rPr>
          <w:rFonts w:ascii="Arial"/>
          <w:spacing w:val="-117"/>
          <w:w w:val="230"/>
          <w:sz w:val="21"/>
        </w:rPr>
        <w:t> </w:t>
      </w:r>
      <w:r>
        <w:rPr>
          <w:b/>
          <w:w w:val="115"/>
          <w:sz w:val="22"/>
        </w:rPr>
        <w:t>N...,)</w:t>
      </w:r>
    </w:p>
    <w:p>
      <w:pPr>
        <w:spacing w:line="129" w:lineRule="exact" w:before="0"/>
        <w:ind w:left="0" w:right="0" w:firstLine="0"/>
        <w:jc w:val="right"/>
        <w:rPr>
          <w:rFonts w:ascii="Arial"/>
          <w:sz w:val="22"/>
        </w:rPr>
      </w:pPr>
      <w:r>
        <w:rPr>
          <w:rFonts w:ascii="Arial"/>
          <w:spacing w:val="-31"/>
          <w:w w:val="128"/>
          <w:sz w:val="22"/>
        </w:rPr>
        <w:t>,</w:t>
      </w:r>
      <w:r>
        <w:rPr>
          <w:rFonts w:ascii="Arial"/>
          <w:w w:val="183"/>
          <w:sz w:val="22"/>
        </w:rPr>
        <w:t>=-</w:t>
      </w:r>
      <w:r>
        <w:rPr>
          <w:rFonts w:ascii="Arial"/>
          <w:spacing w:val="-31"/>
          <w:w w:val="183"/>
          <w:sz w:val="22"/>
        </w:rPr>
        <w:t>-</w:t>
      </w:r>
      <w:r>
        <w:rPr>
          <w:rFonts w:ascii="Arial"/>
          <w:spacing w:val="-52"/>
          <w:w w:val="394"/>
          <w:sz w:val="22"/>
        </w:rPr>
        <w:t>-</w:t>
      </w:r>
      <w:r>
        <w:rPr>
          <w:rFonts w:ascii="Arial"/>
          <w:w w:val="226"/>
          <w:sz w:val="22"/>
        </w:rPr>
        <w:t>-</w:t>
      </w:r>
    </w:p>
    <w:p>
      <w:pPr>
        <w:spacing w:line="180" w:lineRule="exact" w:before="0"/>
        <w:ind w:left="0" w:right="529" w:firstLine="0"/>
        <w:jc w:val="right"/>
        <w:rPr>
          <w:i/>
          <w:sz w:val="21"/>
        </w:rPr>
      </w:pPr>
      <w:r>
        <w:rPr>
          <w:i/>
          <w:w w:val="120"/>
          <w:sz w:val="21"/>
        </w:rPr>
        <w:t>D...,</w:t>
      </w:r>
    </w:p>
    <w:p>
      <w:pPr>
        <w:spacing w:line="178" w:lineRule="exact" w:before="99"/>
        <w:ind w:left="261" w:right="0" w:firstLine="0"/>
        <w:jc w:val="left"/>
        <w:rPr>
          <w:rFonts w:ascii="Arial"/>
          <w:b/>
          <w:i/>
          <w:sz w:val="21"/>
        </w:rPr>
      </w:pPr>
      <w:r>
        <w:rPr/>
        <w:br w:type="column"/>
      </w:r>
      <w:r>
        <w:rPr>
          <w:rFonts w:ascii="Arial"/>
          <w:b/>
          <w:i/>
          <w:w w:val="120"/>
          <w:sz w:val="21"/>
        </w:rPr>
        <w:t>M. </w:t>
      </w:r>
      <w:r>
        <w:rPr>
          <w:rFonts w:ascii="Arial"/>
          <w:w w:val="235"/>
          <w:sz w:val="21"/>
        </w:rPr>
        <w:t>-</w:t>
      </w:r>
      <w:r>
        <w:rPr>
          <w:rFonts w:ascii="Arial"/>
          <w:spacing w:val="-97"/>
          <w:w w:val="235"/>
          <w:sz w:val="21"/>
        </w:rPr>
        <w:t> </w:t>
      </w:r>
      <w:r>
        <w:rPr>
          <w:rFonts w:ascii="Arial"/>
          <w:b/>
          <w:i/>
          <w:spacing w:val="-4"/>
          <w:w w:val="120"/>
          <w:sz w:val="21"/>
        </w:rPr>
        <w:t>M...,</w:t>
      </w:r>
    </w:p>
    <w:p>
      <w:pPr>
        <w:tabs>
          <w:tab w:pos="2493" w:val="left" w:leader="none"/>
        </w:tabs>
        <w:spacing w:line="335" w:lineRule="exact" w:before="0"/>
        <w:ind w:left="574" w:right="0" w:firstLine="0"/>
        <w:jc w:val="left"/>
        <w:rPr>
          <w:sz w:val="20"/>
        </w:rPr>
      </w:pPr>
      <w:r>
        <w:rPr/>
        <w:pict>
          <v:line style="position:absolute;mso-position-horizontal-relative:page;mso-position-vertical-relative:paragraph;z-index:8752" from="202.5pt,1.30542pt" to="205.92pt,1.30542pt" stroked="true" strokeweight=".72pt" strokecolor="#000000">
            <w10:wrap type="none"/>
          </v:line>
        </w:pict>
      </w:r>
      <w:r>
        <w:rPr>
          <w:i/>
          <w:spacing w:val="-7"/>
          <w:position w:val="-13"/>
          <w:sz w:val="33"/>
        </w:rPr>
        <w:t>n...,</w:t>
        <w:tab/>
      </w:r>
      <w:r>
        <w:rPr>
          <w:spacing w:val="-17"/>
          <w:w w:val="120"/>
          <w:sz w:val="20"/>
        </w:rPr>
        <w:t>(5.3)</w:t>
      </w:r>
    </w:p>
    <w:p>
      <w:pPr>
        <w:spacing w:after="0" w:line="335" w:lineRule="exact"/>
        <w:jc w:val="left"/>
        <w:rPr>
          <w:sz w:val="20"/>
        </w:rPr>
        <w:sectPr>
          <w:type w:val="continuous"/>
          <w:pgSz w:w="7200" w:h="11340"/>
          <w:pgMar w:top="1100" w:bottom="0" w:left="660" w:right="540"/>
          <w:cols w:num="2" w:equalWidth="0">
            <w:col w:w="2898" w:space="40"/>
            <w:col w:w="3062"/>
          </w:cols>
        </w:sectPr>
      </w:pPr>
    </w:p>
    <w:p>
      <w:pPr>
        <w:tabs>
          <w:tab w:pos="1852" w:val="left" w:leader="none"/>
          <w:tab w:pos="5858" w:val="right" w:leader="none"/>
        </w:tabs>
        <w:spacing w:before="61"/>
        <w:ind w:left="126" w:right="0" w:firstLine="0"/>
        <w:jc w:val="left"/>
        <w:rPr>
          <w:sz w:val="20"/>
        </w:rPr>
      </w:pPr>
      <w:r>
        <w:rPr>
          <w:b/>
          <w:color w:val="010101"/>
          <w:sz w:val="15"/>
        </w:rPr>
        <w:t>SEC.</w:t>
      </w:r>
      <w:r>
        <w:rPr>
          <w:b/>
          <w:color w:val="010101"/>
          <w:spacing w:val="30"/>
          <w:sz w:val="15"/>
        </w:rPr>
        <w:t> </w:t>
      </w:r>
      <w:r>
        <w:rPr>
          <w:rFonts w:ascii="Arial"/>
          <w:b/>
          <w:color w:val="010101"/>
          <w:sz w:val="19"/>
        </w:rPr>
        <w:t>3)</w:t>
        <w:tab/>
      </w:r>
      <w:r>
        <w:rPr>
          <w:b/>
          <w:color w:val="010101"/>
          <w:sz w:val="15"/>
        </w:rPr>
        <w:t>RETROSPECTIVE  </w:t>
      </w:r>
      <w:r>
        <w:rPr>
          <w:b/>
          <w:color w:val="010101"/>
          <w:spacing w:val="3"/>
          <w:sz w:val="15"/>
        </w:rPr>
        <w:t> </w:t>
      </w:r>
      <w:r>
        <w:rPr>
          <w:b/>
          <w:color w:val="010101"/>
          <w:sz w:val="15"/>
        </w:rPr>
        <w:t>FORMULAS</w:t>
      </w:r>
      <w:r>
        <w:rPr>
          <w:color w:val="010101"/>
          <w:sz w:val="20"/>
        </w:rPr>
        <w:tab/>
        <w:t>99</w:t>
      </w:r>
    </w:p>
    <w:p>
      <w:pPr>
        <w:pStyle w:val="BodyText"/>
      </w:pPr>
    </w:p>
    <w:p>
      <w:pPr>
        <w:spacing w:line="247" w:lineRule="auto" w:before="0"/>
        <w:ind w:left="122" w:right="104" w:firstLine="10"/>
        <w:jc w:val="both"/>
        <w:rPr>
          <w:sz w:val="21"/>
        </w:rPr>
      </w:pPr>
      <w:r>
        <w:rPr>
          <w:color w:val="010101"/>
          <w:sz w:val="20"/>
        </w:rPr>
        <w:t>In this result, the first tenn </w:t>
      </w:r>
      <w:r>
        <w:rPr>
          <w:color w:val="010101"/>
          <w:sz w:val="19"/>
        </w:rPr>
        <w:t>will be </w:t>
      </w:r>
      <w:r>
        <w:rPr>
          <w:color w:val="010101"/>
          <w:sz w:val="20"/>
        </w:rPr>
        <w:t>recognized  as the  accumulated value of the premiums paid during the fust </w:t>
      </w:r>
      <w:r>
        <w:rPr>
          <w:rFonts w:ascii="Arial" w:hAnsi="Arial"/>
          <w:i/>
          <w:color w:val="010101"/>
          <w:sz w:val="17"/>
        </w:rPr>
        <w:t>t </w:t>
      </w:r>
      <w:r>
        <w:rPr>
          <w:color w:val="010101"/>
          <w:sz w:val="20"/>
        </w:rPr>
        <w:t>years and may be </w:t>
      </w:r>
      <w:r>
        <w:rPr>
          <w:color w:val="010101"/>
          <w:w w:val="88"/>
          <w:sz w:val="20"/>
        </w:rPr>
        <w:t>ex</w:t>
      </w:r>
      <w:r>
        <w:rPr>
          <w:color w:val="010101"/>
          <w:w w:val="88"/>
          <w:sz w:val="21"/>
        </w:rPr>
        <w:t>pres.sed   </w:t>
      </w:r>
      <w:r>
        <w:rPr>
          <w:rFonts w:ascii="Arial" w:hAnsi="Arial"/>
          <w:color w:val="010101"/>
          <w:w w:val="105"/>
          <w:sz w:val="17"/>
        </w:rPr>
        <w:t>as  </w:t>
      </w:r>
      <w:r>
        <w:rPr>
          <w:rFonts w:ascii="Arial" w:hAnsi="Arial"/>
          <w:i/>
          <w:color w:val="010101"/>
          <w:w w:val="104"/>
          <w:sz w:val="19"/>
        </w:rPr>
        <w:t>P </w:t>
      </w:r>
      <w:r>
        <w:rPr>
          <w:rFonts w:ascii="Arial" w:hAnsi="Arial"/>
          <w:color w:val="010101"/>
          <w:spacing w:val="-3"/>
          <w:w w:val="85"/>
          <w:sz w:val="19"/>
        </w:rPr>
        <w:t>·</w:t>
      </w:r>
      <w:r>
        <w:rPr>
          <w:rFonts w:ascii="Arial" w:hAnsi="Arial"/>
          <w:color w:val="010101"/>
          <w:spacing w:val="-3"/>
          <w:w w:val="85"/>
          <w:sz w:val="17"/>
        </w:rPr>
        <w:t>S:r::</w:t>
      </w:r>
      <w:r>
        <w:rPr>
          <w:color w:val="010101"/>
          <w:spacing w:val="-3"/>
          <w:w w:val="85"/>
          <w:sz w:val="18"/>
        </w:rPr>
        <w:t>,i</w:t>
      </w:r>
      <w:r>
        <w:rPr>
          <w:color w:val="010101"/>
          <w:w w:val="85"/>
          <w:sz w:val="18"/>
        </w:rPr>
        <w:t>  </w:t>
      </w:r>
      <w:r>
        <w:rPr>
          <w:color w:val="010101"/>
          <w:w w:val="164"/>
          <w:sz w:val="18"/>
        </w:rPr>
        <w:t>. </w:t>
      </w:r>
      <w:r>
        <w:rPr>
          <w:color w:val="010101"/>
          <w:w w:val="111"/>
          <w:sz w:val="20"/>
        </w:rPr>
        <w:t>The  </w:t>
      </w:r>
      <w:r>
        <w:rPr>
          <w:color w:val="010101"/>
          <w:w w:val="100"/>
          <w:sz w:val="20"/>
        </w:rPr>
        <w:t>second   </w:t>
      </w:r>
      <w:r>
        <w:rPr>
          <w:color w:val="010101"/>
          <w:w w:val="115"/>
          <w:sz w:val="20"/>
        </w:rPr>
        <w:t>tenn  </w:t>
      </w:r>
      <w:r>
        <w:rPr>
          <w:color w:val="010101"/>
          <w:w w:val="102"/>
          <w:sz w:val="20"/>
        </w:rPr>
        <w:t>is  </w:t>
      </w:r>
      <w:r>
        <w:rPr>
          <w:color w:val="010101"/>
          <w:w w:val="102"/>
          <w:sz w:val="20"/>
        </w:rPr>
        <w:t>seen  </w:t>
      </w:r>
      <w:r>
        <w:rPr>
          <w:color w:val="010101"/>
          <w:w w:val="109"/>
          <w:sz w:val="21"/>
        </w:rPr>
        <w:t>to  </w:t>
      </w:r>
      <w:r>
        <w:rPr>
          <w:color w:val="010101"/>
          <w:w w:val="105"/>
          <w:sz w:val="20"/>
        </w:rPr>
        <w:t>be  </w:t>
      </w:r>
      <w:r>
        <w:rPr>
          <w:color w:val="010101"/>
          <w:w w:val="106"/>
          <w:sz w:val="20"/>
        </w:rPr>
        <w:t>equal</w:t>
      </w:r>
      <w:r>
        <w:rPr>
          <w:color w:val="010101"/>
          <w:spacing w:val="37"/>
          <w:w w:val="106"/>
          <w:sz w:val="20"/>
        </w:rPr>
        <w:t> </w:t>
      </w:r>
      <w:r>
        <w:rPr>
          <w:color w:val="010101"/>
          <w:w w:val="106"/>
          <w:sz w:val="21"/>
        </w:rPr>
        <w:t>to</w:t>
      </w:r>
    </w:p>
    <w:p>
      <w:pPr>
        <w:pStyle w:val="BodyText"/>
        <w:spacing w:before="112"/>
        <w:ind w:left="122"/>
        <w:jc w:val="both"/>
      </w:pPr>
      <w:r>
        <w:rPr/>
        <w:pict>
          <v:line style="position:absolute;mso-position-horizontal-relative:page;mso-position-vertical-relative:paragraph;z-index:8824" from="41.994019pt,18.485483pt" to="62.811569pt,18.485483pt" stroked="true" strokeweight="6.999003pt" strokecolor="#000000">
            <w10:wrap type="none"/>
          </v:line>
        </w:pict>
      </w:r>
      <w:r>
        <w:rPr>
          <w:rFonts w:ascii="Arial"/>
          <w:i/>
          <w:color w:val="010101"/>
          <w:spacing w:val="-26"/>
          <w:w w:val="96"/>
        </w:rPr>
        <w:t>A</w:t>
      </w:r>
      <w:r>
        <w:rPr>
          <w:rFonts w:ascii="Arial"/>
          <w:i/>
          <w:color w:val="010101"/>
          <w:spacing w:val="-104"/>
          <w:w w:val="104"/>
        </w:rPr>
        <w:t>E</w:t>
      </w:r>
      <w:r>
        <w:rPr>
          <w:rFonts w:ascii="Arial"/>
          <w:i/>
          <w:color w:val="010101"/>
          <w:w w:val="101"/>
        </w:rPr>
        <w:t>!:!]</w:t>
      </w:r>
      <w:r>
        <w:rPr>
          <w:rFonts w:ascii="Arial"/>
          <w:i/>
          <w:color w:val="010101"/>
          <w:spacing w:val="19"/>
        </w:rPr>
        <w:t> </w:t>
      </w:r>
      <w:r>
        <w:rPr>
          <w:rFonts w:ascii="Arial"/>
          <w:i/>
          <w:color w:val="010101"/>
          <w:w w:val="104"/>
        </w:rPr>
        <w:t>,</w:t>
      </w:r>
      <w:r>
        <w:rPr>
          <w:rFonts w:ascii="Arial"/>
          <w:i/>
          <w:color w:val="010101"/>
        </w:rPr>
        <w:t> </w:t>
      </w:r>
      <w:r>
        <w:rPr>
          <w:rFonts w:ascii="Arial"/>
          <w:i/>
          <w:color w:val="010101"/>
          <w:spacing w:val="-23"/>
        </w:rPr>
        <w:t> </w:t>
      </w:r>
      <w:r>
        <w:rPr>
          <w:color w:val="010101"/>
          <w:w w:val="109"/>
        </w:rPr>
        <w:t>and</w:t>
      </w:r>
      <w:r>
        <w:rPr>
          <w:color w:val="010101"/>
        </w:rPr>
        <w:t> </w:t>
      </w:r>
      <w:r>
        <w:rPr>
          <w:color w:val="010101"/>
          <w:spacing w:val="6"/>
        </w:rPr>
        <w:t> </w:t>
      </w:r>
      <w:r>
        <w:rPr>
          <w:color w:val="010101"/>
          <w:w w:val="111"/>
        </w:rPr>
        <w:t>thus</w:t>
      </w:r>
      <w:r>
        <w:rPr>
          <w:color w:val="010101"/>
        </w:rPr>
        <w:t> </w:t>
      </w:r>
      <w:r>
        <w:rPr>
          <w:color w:val="010101"/>
          <w:spacing w:val="4"/>
        </w:rPr>
        <w:t> </w:t>
      </w:r>
      <w:r>
        <w:rPr>
          <w:color w:val="010101"/>
          <w:w w:val="105"/>
        </w:rPr>
        <w:t>represents</w:t>
      </w:r>
      <w:r>
        <w:rPr>
          <w:color w:val="010101"/>
        </w:rPr>
        <w:t> </w:t>
      </w:r>
      <w:r>
        <w:rPr>
          <w:color w:val="010101"/>
          <w:spacing w:val="14"/>
        </w:rPr>
        <w:t> </w:t>
      </w:r>
      <w:r>
        <w:rPr>
          <w:color w:val="010101"/>
          <w:w w:val="109"/>
        </w:rPr>
        <w:t>the</w:t>
      </w:r>
      <w:r>
        <w:rPr>
          <w:color w:val="010101"/>
        </w:rPr>
        <w:t> </w:t>
      </w:r>
      <w:r>
        <w:rPr>
          <w:color w:val="010101"/>
          <w:spacing w:val="4"/>
        </w:rPr>
        <w:t> </w:t>
      </w:r>
      <w:r>
        <w:rPr>
          <w:color w:val="010101"/>
          <w:w w:val="108"/>
        </w:rPr>
        <w:t>net</w:t>
      </w:r>
      <w:r>
        <w:rPr>
          <w:color w:val="010101"/>
        </w:rPr>
        <w:t> </w:t>
      </w:r>
      <w:r>
        <w:rPr>
          <w:color w:val="010101"/>
          <w:spacing w:val="7"/>
        </w:rPr>
        <w:t> </w:t>
      </w:r>
      <w:r>
        <w:rPr>
          <w:color w:val="010101"/>
          <w:w w:val="101"/>
        </w:rPr>
        <w:t>single</w:t>
      </w:r>
      <w:r>
        <w:rPr>
          <w:color w:val="010101"/>
        </w:rPr>
        <w:t> </w:t>
      </w:r>
      <w:r>
        <w:rPr>
          <w:color w:val="010101"/>
          <w:spacing w:val="1"/>
        </w:rPr>
        <w:t> </w:t>
      </w:r>
      <w:r>
        <w:rPr>
          <w:color w:val="010101"/>
          <w:w w:val="103"/>
        </w:rPr>
        <w:t>premium</w:t>
      </w:r>
      <w:r>
        <w:rPr>
          <w:color w:val="010101"/>
        </w:rPr>
        <w:t> </w:t>
      </w:r>
      <w:r>
        <w:rPr>
          <w:color w:val="010101"/>
          <w:spacing w:val="21"/>
        </w:rPr>
        <w:t> </w:t>
      </w:r>
      <w:r>
        <w:rPr>
          <w:color w:val="010101"/>
          <w:w w:val="105"/>
        </w:rPr>
        <w:t>for</w:t>
      </w:r>
      <w:r>
        <w:rPr>
          <w:color w:val="010101"/>
        </w:rPr>
        <w:t> </w:t>
      </w:r>
      <w:r>
        <w:rPr>
          <w:color w:val="010101"/>
          <w:spacing w:val="-7"/>
        </w:rPr>
        <w:t> </w:t>
      </w:r>
      <w:r>
        <w:rPr>
          <w:color w:val="010101"/>
          <w:w w:val="111"/>
        </w:rPr>
        <w:t>the</w:t>
      </w:r>
      <w:r>
        <w:rPr>
          <w:color w:val="010101"/>
        </w:rPr>
        <w:t>  </w:t>
      </w:r>
      <w:r>
        <w:rPr>
          <w:color w:val="010101"/>
          <w:w w:val="104"/>
        </w:rPr>
        <w:t>first</w:t>
      </w:r>
    </w:p>
    <w:p>
      <w:pPr>
        <w:spacing w:line="93" w:lineRule="exact" w:before="78"/>
        <w:ind w:left="179" w:right="0" w:firstLine="0"/>
        <w:jc w:val="both"/>
        <w:rPr>
          <w:sz w:val="12"/>
        </w:rPr>
      </w:pPr>
      <w:r>
        <w:rPr>
          <w:color w:val="010101"/>
          <w:w w:val="310"/>
          <w:sz w:val="12"/>
        </w:rPr>
        <w:t>' </w:t>
      </w:r>
      <w:r>
        <w:rPr>
          <w:color w:val="010101"/>
          <w:w w:val="140"/>
          <w:sz w:val="12"/>
        </w:rPr>
        <w:t>z</w:t>
      </w:r>
    </w:p>
    <w:p>
      <w:pPr>
        <w:pStyle w:val="BodyText"/>
        <w:spacing w:line="197" w:lineRule="exact"/>
        <w:ind w:left="118" w:hanging="8"/>
        <w:jc w:val="both"/>
      </w:pPr>
      <w:r>
        <w:rPr>
          <w:i/>
          <w:color w:val="010101"/>
          <w:w w:val="105"/>
          <w:sz w:val="21"/>
        </w:rPr>
        <w:t>t  </w:t>
      </w:r>
      <w:r>
        <w:rPr>
          <w:color w:val="010101"/>
          <w:w w:val="105"/>
        </w:rPr>
        <w:t>years'  insurance  accumulated  </w:t>
      </w:r>
      <w:r>
        <w:rPr>
          <w:color w:val="010101"/>
          <w:w w:val="105"/>
          <w:sz w:val="21"/>
        </w:rPr>
        <w:t>to  </w:t>
      </w:r>
      <w:r>
        <w:rPr>
          <w:color w:val="010101"/>
          <w:w w:val="105"/>
        </w:rPr>
        <w:t>the  end  of  </w:t>
      </w:r>
      <w:r>
        <w:rPr>
          <w:rFonts w:ascii="Arial"/>
          <w:i/>
          <w:color w:val="010101"/>
          <w:w w:val="105"/>
          <w:sz w:val="18"/>
        </w:rPr>
        <w:t>t  </w:t>
      </w:r>
      <w:r>
        <w:rPr>
          <w:color w:val="010101"/>
          <w:w w:val="105"/>
        </w:rPr>
        <w:t>years.  This tenn</w:t>
      </w:r>
    </w:p>
    <w:p>
      <w:pPr>
        <w:spacing w:line="214" w:lineRule="exact" w:before="8"/>
        <w:ind w:left="118" w:right="0" w:firstLine="0"/>
        <w:jc w:val="both"/>
        <w:rPr>
          <w:sz w:val="20"/>
        </w:rPr>
      </w:pPr>
      <w:r>
        <w:rPr>
          <w:color w:val="010101"/>
          <w:sz w:val="20"/>
        </w:rPr>
        <w:t>is  known  </w:t>
      </w:r>
      <w:r>
        <w:rPr>
          <w:rFonts w:ascii="Arial"/>
          <w:color w:val="010101"/>
          <w:sz w:val="17"/>
        </w:rPr>
        <w:t>as  </w:t>
      </w:r>
      <w:r>
        <w:rPr>
          <w:color w:val="010101"/>
          <w:sz w:val="20"/>
        </w:rPr>
        <w:t>the  </w:t>
      </w:r>
      <w:r>
        <w:rPr>
          <w:i/>
          <w:color w:val="010101"/>
          <w:sz w:val="19"/>
        </w:rPr>
        <w:t>accumulated   cost  of   insurance,  </w:t>
      </w:r>
      <w:r>
        <w:rPr>
          <w:color w:val="010101"/>
          <w:sz w:val="20"/>
        </w:rPr>
        <w:t>and  is  denoted by</w:t>
      </w:r>
    </w:p>
    <w:p>
      <w:pPr>
        <w:spacing w:line="271" w:lineRule="exact" w:before="0"/>
        <w:ind w:left="129" w:right="0" w:firstLine="0"/>
        <w:jc w:val="both"/>
        <w:rPr>
          <w:sz w:val="20"/>
        </w:rPr>
      </w:pPr>
      <w:r>
        <w:rPr>
          <w:i/>
          <w:color w:val="010101"/>
          <w:sz w:val="25"/>
        </w:rPr>
        <w:t>Je. , </w:t>
      </w:r>
      <w:r>
        <w:rPr>
          <w:color w:val="010101"/>
          <w:sz w:val="20"/>
        </w:rPr>
        <w:t>where</w:t>
      </w:r>
    </w:p>
    <w:p>
      <w:pPr>
        <w:spacing w:after="0" w:line="271" w:lineRule="exact"/>
        <w:jc w:val="both"/>
        <w:rPr>
          <w:sz w:val="20"/>
        </w:rPr>
        <w:sectPr>
          <w:pgSz w:w="7200" w:h="11340"/>
          <w:pgMar w:top="500" w:bottom="280" w:left="660" w:right="580"/>
        </w:sectPr>
      </w:pPr>
    </w:p>
    <w:p>
      <w:pPr>
        <w:spacing w:line="272" w:lineRule="exact" w:before="123"/>
        <w:ind w:left="2197" w:right="-17" w:firstLine="0"/>
        <w:jc w:val="left"/>
        <w:rPr>
          <w:i/>
          <w:sz w:val="21"/>
        </w:rPr>
      </w:pPr>
      <w:r>
        <w:rPr/>
        <w:pict>
          <v:line style="position:absolute;mso-position-horizontal-relative:page;mso-position-vertical-relative:paragraph;z-index:-727216" from="177.128601pt,16.268492pt" to="179.820501pt,16.268492pt" stroked="true" strokeweight=".538385pt" strokecolor="#000000">
            <w10:wrap type="none"/>
          </v:line>
        </w:pict>
      </w:r>
      <w:r>
        <w:rPr>
          <w:i/>
          <w:color w:val="010101"/>
          <w:w w:val="95"/>
          <w:position w:val="-10"/>
          <w:sz w:val="21"/>
        </w:rPr>
        <w:t>k   </w:t>
      </w:r>
      <w:r>
        <w:rPr>
          <w:color w:val="010101"/>
          <w:w w:val="125"/>
          <w:sz w:val="21"/>
        </w:rPr>
        <w:t>_ </w:t>
      </w:r>
      <w:r>
        <w:rPr>
          <w:rFonts w:ascii="Arial"/>
          <w:b/>
          <w:i/>
          <w:color w:val="010101"/>
          <w:w w:val="125"/>
          <w:sz w:val="21"/>
        </w:rPr>
        <w:t>M. </w:t>
      </w:r>
      <w:r>
        <w:rPr>
          <w:rFonts w:ascii="Arial"/>
          <w:color w:val="010101"/>
          <w:w w:val="235"/>
          <w:sz w:val="21"/>
        </w:rPr>
        <w:t>-</w:t>
      </w:r>
      <w:r>
        <w:rPr>
          <w:rFonts w:ascii="Arial"/>
          <w:color w:val="010101"/>
          <w:spacing w:val="-106"/>
          <w:w w:val="235"/>
          <w:sz w:val="21"/>
        </w:rPr>
        <w:t> </w:t>
      </w:r>
      <w:r>
        <w:rPr>
          <w:i/>
          <w:color w:val="010101"/>
          <w:w w:val="95"/>
          <w:sz w:val="21"/>
        </w:rPr>
        <w:t>M s+i</w:t>
      </w:r>
    </w:p>
    <w:p>
      <w:pPr>
        <w:pStyle w:val="BodyText"/>
        <w:spacing w:before="7"/>
        <w:rPr>
          <w:i/>
        </w:rPr>
      </w:pPr>
      <w:r>
        <w:rPr/>
        <w:br w:type="column"/>
      </w:r>
      <w:r>
        <w:rPr>
          <w:i/>
        </w:rPr>
      </w:r>
    </w:p>
    <w:p>
      <w:pPr>
        <w:pStyle w:val="BodyText"/>
        <w:spacing w:line="157" w:lineRule="exact"/>
        <w:ind w:right="123"/>
        <w:jc w:val="right"/>
      </w:pPr>
      <w:r>
        <w:rPr>
          <w:color w:val="010101"/>
          <w:w w:val="120"/>
        </w:rPr>
        <w:t>(5.4a)</w:t>
      </w:r>
    </w:p>
    <w:p>
      <w:pPr>
        <w:spacing w:after="0" w:line="157" w:lineRule="exact"/>
        <w:jc w:val="right"/>
        <w:sectPr>
          <w:type w:val="continuous"/>
          <w:pgSz w:w="7200" w:h="11340"/>
          <w:pgMar w:top="1100" w:bottom="0" w:left="660" w:right="580"/>
          <w:cols w:num="2" w:equalWidth="0">
            <w:col w:w="3679" w:space="40"/>
            <w:col w:w="2241"/>
          </w:cols>
        </w:sectPr>
      </w:pPr>
    </w:p>
    <w:p>
      <w:pPr>
        <w:spacing w:line="99" w:lineRule="exact" w:before="0"/>
        <w:ind w:left="0" w:right="0" w:firstLine="0"/>
        <w:jc w:val="right"/>
        <w:rPr>
          <w:rFonts w:ascii="Arial"/>
          <w:sz w:val="9"/>
        </w:rPr>
      </w:pPr>
      <w:r>
        <w:rPr>
          <w:rFonts w:ascii="Arial"/>
          <w:color w:val="010101"/>
          <w:w w:val="415"/>
          <w:sz w:val="9"/>
        </w:rPr>
        <w:t>' </w:t>
      </w:r>
      <w:r>
        <w:rPr>
          <w:rFonts w:ascii="Arial"/>
          <w:b/>
          <w:color w:val="010101"/>
          <w:sz w:val="9"/>
        </w:rPr>
        <w:t>:r; </w:t>
      </w:r>
      <w:r>
        <w:rPr>
          <w:rFonts w:ascii="Arial"/>
          <w:color w:val="010101"/>
          <w:w w:val="505"/>
          <w:sz w:val="9"/>
        </w:rPr>
        <w:t>-</w:t>
      </w:r>
    </w:p>
    <w:p>
      <w:pPr>
        <w:tabs>
          <w:tab w:pos="1105" w:val="left" w:leader="none"/>
        </w:tabs>
        <w:spacing w:line="225" w:lineRule="exact" w:before="0"/>
        <w:ind w:left="347" w:right="0" w:firstLine="0"/>
        <w:jc w:val="left"/>
        <w:rPr>
          <w:rFonts w:ascii="Arial" w:hAnsi="Arial"/>
          <w:sz w:val="9"/>
        </w:rPr>
      </w:pPr>
      <w:r>
        <w:rPr/>
        <w:br w:type="column"/>
      </w:r>
      <w:r>
        <w:rPr>
          <w:i/>
          <w:color w:val="010101"/>
          <w:sz w:val="22"/>
        </w:rPr>
        <w:t>Ds+,</w:t>
        <w:tab/>
      </w:r>
      <w:r>
        <w:rPr>
          <w:rFonts w:ascii="Arial" w:hAnsi="Arial"/>
          <w:color w:val="010101"/>
          <w:w w:val="115"/>
          <w:position w:val="10"/>
          <w:sz w:val="9"/>
        </w:rPr>
        <w:t>•</w:t>
      </w:r>
    </w:p>
    <w:p>
      <w:pPr>
        <w:spacing w:after="0" w:line="225" w:lineRule="exact"/>
        <w:jc w:val="left"/>
        <w:rPr>
          <w:rFonts w:ascii="Arial" w:hAnsi="Arial"/>
          <w:sz w:val="9"/>
        </w:rPr>
        <w:sectPr>
          <w:type w:val="continuous"/>
          <w:pgSz w:w="7200" w:h="11340"/>
          <w:pgMar w:top="1100" w:bottom="0" w:left="660" w:right="580"/>
          <w:cols w:num="2" w:equalWidth="0">
            <w:col w:w="2614" w:space="40"/>
            <w:col w:w="3306"/>
          </w:cols>
        </w:sectPr>
      </w:pPr>
    </w:p>
    <w:p>
      <w:pPr>
        <w:pStyle w:val="BodyText"/>
        <w:spacing w:line="252" w:lineRule="auto" w:before="100"/>
        <w:ind w:left="122"/>
      </w:pPr>
      <w:r>
        <w:rPr>
          <w:color w:val="010101"/>
          <w:w w:val="110"/>
        </w:rPr>
        <w:t>When the insurance is payable at the moment of death, the cor­ responding function is</w:t>
      </w:r>
    </w:p>
    <w:p>
      <w:pPr>
        <w:spacing w:after="0" w:line="252" w:lineRule="auto"/>
        <w:sectPr>
          <w:type w:val="continuous"/>
          <w:pgSz w:w="7200" w:h="11340"/>
          <w:pgMar w:top="1100" w:bottom="0" w:left="660" w:right="580"/>
        </w:sectPr>
      </w:pPr>
    </w:p>
    <w:p>
      <w:pPr>
        <w:spacing w:line="229" w:lineRule="exact" w:before="80"/>
        <w:ind w:left="2229" w:right="0" w:firstLine="0"/>
        <w:jc w:val="left"/>
        <w:rPr>
          <w:b/>
          <w:i/>
          <w:sz w:val="26"/>
        </w:rPr>
      </w:pPr>
      <w:r>
        <w:rPr>
          <w:i/>
          <w:color w:val="010101"/>
          <w:w w:val="120"/>
          <w:sz w:val="20"/>
        </w:rPr>
        <w:t>-  </w:t>
      </w:r>
      <w:r>
        <w:rPr>
          <w:color w:val="010101"/>
          <w:w w:val="120"/>
          <w:sz w:val="20"/>
        </w:rPr>
        <w:t>_ </w:t>
      </w:r>
      <w:r>
        <w:rPr>
          <w:b/>
          <w:i/>
          <w:color w:val="010101"/>
          <w:w w:val="85"/>
          <w:sz w:val="26"/>
        </w:rPr>
        <w:t>Mz </w:t>
      </w:r>
      <w:r>
        <w:rPr>
          <w:color w:val="010101"/>
          <w:w w:val="185"/>
          <w:sz w:val="26"/>
        </w:rPr>
        <w:t>-</w:t>
      </w:r>
      <w:r>
        <w:rPr>
          <w:color w:val="010101"/>
          <w:spacing w:val="-73"/>
          <w:w w:val="185"/>
          <w:sz w:val="26"/>
        </w:rPr>
        <w:t> </w:t>
      </w:r>
      <w:r>
        <w:rPr>
          <w:b/>
          <w:i/>
          <w:color w:val="010101"/>
          <w:w w:val="85"/>
          <w:sz w:val="26"/>
        </w:rPr>
        <w:t>Ms+I</w:t>
      </w:r>
    </w:p>
    <w:p>
      <w:pPr>
        <w:tabs>
          <w:tab w:pos="2986" w:val="left" w:leader="none"/>
          <w:tab w:pos="3751" w:val="left" w:leader="none"/>
        </w:tabs>
        <w:spacing w:line="162" w:lineRule="exact" w:before="0"/>
        <w:ind w:left="2146" w:right="0" w:firstLine="0"/>
        <w:jc w:val="left"/>
        <w:rPr>
          <w:sz w:val="21"/>
        </w:rPr>
      </w:pPr>
      <w:r>
        <w:rPr/>
        <w:pict>
          <v:line style="position:absolute;mso-position-horizontal-relative:page;mso-position-vertical-relative:paragraph;z-index:-727192" from="176.949203pt,.940747pt" to="179.820503pt,.940747pt" stroked="true" strokeweight=".538385pt" strokecolor="#000000">
            <w10:wrap type="none"/>
          </v:line>
        </w:pict>
      </w:r>
      <w:r>
        <w:rPr>
          <w:color w:val="010101"/>
          <w:spacing w:val="-28"/>
          <w:w w:val="158"/>
          <w:sz w:val="27"/>
        </w:rPr>
        <w:t>'</w:t>
      </w:r>
      <w:r>
        <w:rPr>
          <w:i/>
          <w:color w:val="010101"/>
          <w:spacing w:val="15"/>
          <w:w w:val="95"/>
          <w:position w:val="6"/>
          <w:sz w:val="20"/>
        </w:rPr>
        <w:t>k</w:t>
      </w:r>
      <w:r>
        <w:rPr>
          <w:color w:val="010101"/>
          <w:w w:val="56"/>
          <w:sz w:val="27"/>
        </w:rPr>
        <w:t>z</w:t>
      </w:r>
      <w:r>
        <w:rPr>
          <w:color w:val="010101"/>
          <w:spacing w:val="22"/>
          <w:sz w:val="27"/>
        </w:rPr>
        <w:t> </w:t>
      </w:r>
      <w:r>
        <w:rPr>
          <w:color w:val="010101"/>
          <w:w w:val="191"/>
          <w:sz w:val="27"/>
        </w:rPr>
        <w:t>-</w:t>
      </w:r>
      <w:r>
        <w:rPr>
          <w:color w:val="010101"/>
          <w:sz w:val="27"/>
        </w:rPr>
        <w:tab/>
      </w:r>
      <w:r>
        <w:rPr>
          <w:i/>
          <w:color w:val="010101"/>
          <w:w w:val="99"/>
          <w:sz w:val="21"/>
        </w:rPr>
        <w:t>D</w:t>
      </w:r>
      <w:r>
        <w:rPr>
          <w:i/>
          <w:color w:val="010101"/>
          <w:sz w:val="21"/>
        </w:rPr>
        <w:tab/>
      </w:r>
      <w:r>
        <w:rPr>
          <w:color w:val="010101"/>
          <w:w w:val="140"/>
          <w:sz w:val="21"/>
        </w:rPr>
        <w:t>.</w:t>
      </w:r>
    </w:p>
    <w:p>
      <w:pPr>
        <w:pStyle w:val="BodyText"/>
        <w:spacing w:before="10"/>
      </w:pPr>
      <w:r>
        <w:rPr/>
        <w:br w:type="column"/>
      </w:r>
      <w:r>
        <w:rPr/>
      </w:r>
    </w:p>
    <w:p>
      <w:pPr>
        <w:pStyle w:val="BodyText"/>
        <w:ind w:right="125"/>
        <w:jc w:val="right"/>
      </w:pPr>
      <w:r>
        <w:rPr>
          <w:color w:val="010101"/>
          <w:w w:val="120"/>
        </w:rPr>
        <w:t>(5.4b)</w:t>
      </w:r>
    </w:p>
    <w:p>
      <w:pPr>
        <w:spacing w:after="0"/>
        <w:jc w:val="right"/>
        <w:sectPr>
          <w:type w:val="continuous"/>
          <w:pgSz w:w="7200" w:h="11340"/>
          <w:pgMar w:top="1100" w:bottom="0" w:left="660" w:right="580"/>
          <w:cols w:num="2" w:equalWidth="0">
            <w:col w:w="3825" w:space="40"/>
            <w:col w:w="2095"/>
          </w:cols>
        </w:sectPr>
      </w:pPr>
    </w:p>
    <w:p>
      <w:pPr>
        <w:spacing w:line="153" w:lineRule="exact" w:before="0"/>
        <w:ind w:left="677" w:right="131" w:firstLine="0"/>
        <w:jc w:val="center"/>
        <w:rPr>
          <w:b/>
          <w:sz w:val="15"/>
        </w:rPr>
      </w:pPr>
      <w:r>
        <w:rPr>
          <w:b/>
          <w:color w:val="010101"/>
          <w:w w:val="110"/>
          <w:sz w:val="15"/>
        </w:rPr>
        <w:t>s+t</w:t>
      </w:r>
    </w:p>
    <w:p>
      <w:pPr>
        <w:pStyle w:val="BodyText"/>
        <w:spacing w:line="247" w:lineRule="auto" w:before="90"/>
        <w:ind w:left="111" w:right="104" w:firstLine="208"/>
        <w:jc w:val="both"/>
      </w:pPr>
      <w:r>
        <w:rPr>
          <w:color w:val="010101"/>
          <w:w w:val="105"/>
        </w:rPr>
        <w:t>It is now clear that formula (5.3) expresses the reserve as the excess of the accumulated value of the premiums paid over the accumulated value of the benefits  provided.  This expression  for the reserve, being  in tenns of  </w:t>
      </w:r>
      <w:r>
        <w:rPr>
          <w:i/>
          <w:color w:val="010101"/>
          <w:w w:val="105"/>
          <w:sz w:val="21"/>
        </w:rPr>
        <w:t>past  </w:t>
      </w:r>
      <w:r>
        <w:rPr>
          <w:color w:val="010101"/>
          <w:w w:val="105"/>
        </w:rPr>
        <w:t>premiums  and </w:t>
      </w:r>
      <w:r>
        <w:rPr>
          <w:rFonts w:ascii="Arial"/>
          <w:i/>
          <w:color w:val="010101"/>
          <w:w w:val="105"/>
          <w:sz w:val="17"/>
        </w:rPr>
        <w:t>past  </w:t>
      </w:r>
      <w:r>
        <w:rPr>
          <w:color w:val="010101"/>
          <w:w w:val="105"/>
        </w:rPr>
        <w:t>benefits,  </w:t>
      </w:r>
      <w:r>
        <w:rPr>
          <w:rFonts w:ascii="Arial"/>
          <w:color w:val="010101"/>
          <w:w w:val="105"/>
        </w:rPr>
        <w:t>is </w:t>
      </w:r>
      <w:r>
        <w:rPr>
          <w:color w:val="010101"/>
          <w:w w:val="105"/>
        </w:rPr>
        <w:t>k.nown </w:t>
      </w:r>
      <w:r>
        <w:rPr>
          <w:rFonts w:ascii="Arial"/>
          <w:color w:val="010101"/>
          <w:w w:val="105"/>
          <w:sz w:val="19"/>
        </w:rPr>
        <w:t>as </w:t>
      </w:r>
      <w:r>
        <w:rPr>
          <w:color w:val="010101"/>
          <w:w w:val="105"/>
        </w:rPr>
        <w:t>the </w:t>
      </w:r>
      <w:r>
        <w:rPr>
          <w:i/>
          <w:color w:val="010101"/>
          <w:w w:val="105"/>
          <w:sz w:val="21"/>
        </w:rPr>
        <w:t>retrospeclive </w:t>
      </w:r>
      <w:r>
        <w:rPr>
          <w:color w:val="010101"/>
          <w:w w:val="105"/>
        </w:rPr>
        <w:t>definition, and reserves written in this fonn are called  retrospective</w:t>
      </w:r>
      <w:r>
        <w:rPr>
          <w:color w:val="010101"/>
          <w:spacing w:val="50"/>
          <w:w w:val="105"/>
        </w:rPr>
        <w:t> </w:t>
      </w:r>
      <w:r>
        <w:rPr>
          <w:color w:val="010101"/>
          <w:w w:val="105"/>
        </w:rPr>
        <w:t>reserves.</w:t>
      </w:r>
    </w:p>
    <w:p>
      <w:pPr>
        <w:pStyle w:val="BodyText"/>
        <w:spacing w:line="247" w:lineRule="auto"/>
        <w:ind w:left="111" w:right="111" w:firstLine="201"/>
        <w:jc w:val="both"/>
      </w:pPr>
      <w:r>
        <w:rPr>
          <w:color w:val="010101"/>
          <w:w w:val="105"/>
        </w:rPr>
        <w:t>Although the retrospective definition has been discussed with reíerence </w:t>
      </w:r>
      <w:r>
        <w:rPr>
          <w:color w:val="010101"/>
          <w:w w:val="105"/>
          <w:sz w:val="21"/>
        </w:rPr>
        <w:t>to </w:t>
      </w:r>
      <w:r>
        <w:rPr>
          <w:color w:val="010101"/>
          <w:w w:val="105"/>
        </w:rPr>
        <w:t>a particular form of policy, its generality should be apparent. </w:t>
      </w:r>
      <w:r>
        <w:rPr>
          <w:rFonts w:ascii="Arial" w:hAnsi="Arial"/>
          <w:color w:val="010101"/>
          <w:w w:val="105"/>
        </w:rPr>
        <w:t>A </w:t>
      </w:r>
      <w:r>
        <w:rPr>
          <w:color w:val="010101"/>
          <w:w w:val="105"/>
        </w:rPr>
        <w:t>few additional exa.mples of retrospective formulas follow:</w:t>
      </w:r>
    </w:p>
    <w:p>
      <w:pPr>
        <w:pStyle w:val="BodyText"/>
        <w:spacing w:before="77"/>
        <w:ind w:left="592"/>
        <w:rPr>
          <w:rFonts w:ascii="Arial" w:hAnsi="Arial"/>
          <w:i/>
          <w:sz w:val="22"/>
        </w:rPr>
      </w:pPr>
      <w:r>
        <w:rPr>
          <w:color w:val="010101"/>
          <w:w w:val="115"/>
        </w:rPr>
        <w:t>,V :;i </w:t>
      </w:r>
      <w:r>
        <w:rPr>
          <w:color w:val="010101"/>
          <w:w w:val="115"/>
          <w:sz w:val="26"/>
        </w:rPr>
        <w:t>= </w:t>
      </w:r>
      <w:r>
        <w:rPr>
          <w:color w:val="010101"/>
          <w:w w:val="140"/>
        </w:rPr>
        <w:t>P </w:t>
      </w:r>
      <w:r>
        <w:rPr>
          <w:color w:val="010101"/>
          <w:spacing w:val="-3"/>
          <w:w w:val="115"/>
        </w:rPr>
        <w:t>:;i·ss;;1 </w:t>
      </w:r>
      <w:r>
        <w:rPr>
          <w:color w:val="010101"/>
          <w:w w:val="255"/>
        </w:rPr>
        <w:t>-</w:t>
      </w:r>
      <w:r>
        <w:rPr>
          <w:color w:val="010101"/>
          <w:spacing w:val="-61"/>
          <w:w w:val="255"/>
        </w:rPr>
        <w:t> </w:t>
      </w:r>
      <w:r>
        <w:rPr>
          <w:rFonts w:ascii="Arial" w:hAnsi="Arial"/>
          <w:i/>
          <w:color w:val="010101"/>
          <w:spacing w:val="-10"/>
          <w:w w:val="115"/>
          <w:sz w:val="22"/>
        </w:rPr>
        <w:t>,k.</w:t>
      </w:r>
    </w:p>
    <w:p>
      <w:pPr>
        <w:spacing w:before="90"/>
        <w:ind w:left="1152" w:right="0" w:firstLine="0"/>
        <w:jc w:val="left"/>
        <w:rPr>
          <w:i/>
          <w:sz w:val="19"/>
        </w:rPr>
      </w:pPr>
      <w:r>
        <w:rPr>
          <w:color w:val="010101"/>
          <w:w w:val="105"/>
          <w:sz w:val="22"/>
        </w:rPr>
        <w:t>_ </w:t>
      </w:r>
      <w:r>
        <w:rPr>
          <w:color w:val="010101"/>
          <w:spacing w:val="-23"/>
          <w:w w:val="150"/>
          <w:sz w:val="22"/>
        </w:rPr>
        <w:t>P  </w:t>
      </w:r>
      <w:r>
        <w:rPr>
          <w:color w:val="010101"/>
          <w:w w:val="105"/>
          <w:sz w:val="22"/>
        </w:rPr>
        <w:t>:;;¡(N. </w:t>
      </w:r>
      <w:r>
        <w:rPr>
          <w:color w:val="010101"/>
          <w:w w:val="270"/>
          <w:sz w:val="22"/>
        </w:rPr>
        <w:t>-</w:t>
      </w:r>
      <w:r>
        <w:rPr>
          <w:color w:val="010101"/>
          <w:spacing w:val="-116"/>
          <w:w w:val="270"/>
          <w:sz w:val="22"/>
        </w:rPr>
        <w:t> </w:t>
      </w:r>
      <w:r>
        <w:rPr>
          <w:i/>
          <w:color w:val="010101"/>
          <w:w w:val="105"/>
          <w:sz w:val="19"/>
        </w:rPr>
        <w:t>Ns+,)  </w:t>
      </w:r>
      <w:r>
        <w:rPr>
          <w:color w:val="010101"/>
          <w:w w:val="270"/>
          <w:sz w:val="19"/>
        </w:rPr>
        <w:t>-</w:t>
      </w:r>
      <w:r>
        <w:rPr>
          <w:color w:val="010101"/>
          <w:spacing w:val="-75"/>
          <w:w w:val="270"/>
          <w:sz w:val="19"/>
        </w:rPr>
        <w:t> </w:t>
      </w:r>
      <w:r>
        <w:rPr>
          <w:color w:val="010101"/>
          <w:w w:val="105"/>
          <w:sz w:val="22"/>
        </w:rPr>
        <w:t>(Mz </w:t>
      </w:r>
      <w:r>
        <w:rPr>
          <w:color w:val="010101"/>
          <w:w w:val="270"/>
          <w:sz w:val="22"/>
        </w:rPr>
        <w:t>-</w:t>
      </w:r>
      <w:r>
        <w:rPr>
          <w:color w:val="010101"/>
          <w:spacing w:val="-112"/>
          <w:w w:val="270"/>
          <w:sz w:val="22"/>
        </w:rPr>
        <w:t> </w:t>
      </w:r>
      <w:r>
        <w:rPr>
          <w:i/>
          <w:color w:val="010101"/>
          <w:w w:val="105"/>
          <w:sz w:val="19"/>
        </w:rPr>
        <w:t>M s+,)</w:t>
      </w:r>
    </w:p>
    <w:p>
      <w:pPr>
        <w:tabs>
          <w:tab w:pos="2738" w:val="left" w:leader="none"/>
        </w:tabs>
        <w:spacing w:before="34"/>
        <w:ind w:left="1152" w:right="0" w:firstLine="0"/>
        <w:jc w:val="left"/>
        <w:rPr>
          <w:b/>
          <w:sz w:val="17"/>
        </w:rPr>
      </w:pPr>
      <w:r>
        <w:rPr>
          <w:color w:val="010101"/>
          <w:w w:val="270"/>
          <w:sz w:val="17"/>
        </w:rPr>
        <w:t>-</w:t>
        <w:tab/>
      </w:r>
      <w:r>
        <w:rPr>
          <w:b/>
          <w:color w:val="010101"/>
          <w:w w:val="120"/>
          <w:sz w:val="17"/>
        </w:rPr>
        <w:t>Ds+c</w:t>
      </w:r>
    </w:p>
    <w:p>
      <w:pPr>
        <w:pStyle w:val="BodyText"/>
        <w:spacing w:before="6"/>
        <w:rPr>
          <w:b/>
          <w:sz w:val="10"/>
        </w:rPr>
      </w:pPr>
    </w:p>
    <w:p>
      <w:pPr>
        <w:spacing w:before="25"/>
        <w:ind w:left="319" w:right="0" w:firstLine="0"/>
        <w:jc w:val="left"/>
        <w:rPr>
          <w:i/>
          <w:sz w:val="22"/>
        </w:rPr>
      </w:pPr>
      <w:r>
        <w:rPr>
          <w:position w:val="-17"/>
        </w:rPr>
        <w:drawing>
          <wp:inline distT="0" distB="0" distL="0" distR="0">
            <wp:extent cx="2066544" cy="292608"/>
            <wp:effectExtent l="0" t="0" r="0" b="0"/>
            <wp:docPr id="237" name="image123.png" descr=""/>
            <wp:cNvGraphicFramePr>
              <a:graphicFrameLocks noChangeAspect="1"/>
            </wp:cNvGraphicFramePr>
            <a:graphic>
              <a:graphicData uri="http://schemas.openxmlformats.org/drawingml/2006/picture">
                <pic:pic>
                  <pic:nvPicPr>
                    <pic:cNvPr id="238" name="image123.png"/>
                    <pic:cNvPicPr/>
                  </pic:nvPicPr>
                  <pic:blipFill>
                    <a:blip r:embed="rId127" cstate="print"/>
                    <a:stretch>
                      <a:fillRect/>
                    </a:stretch>
                  </pic:blipFill>
                  <pic:spPr>
                    <a:xfrm>
                      <a:off x="0" y="0"/>
                      <a:ext cx="2066544" cy="292608"/>
                    </a:xfrm>
                    <a:prstGeom prst="rect">
                      <a:avLst/>
                    </a:prstGeom>
                  </pic:spPr>
                </pic:pic>
              </a:graphicData>
            </a:graphic>
          </wp:inline>
        </w:drawing>
      </w:r>
      <w:r>
        <w:rPr>
          <w:position w:val="-17"/>
        </w:rPr>
      </w:r>
      <w:r>
        <w:rPr>
          <w:sz w:val="20"/>
        </w:rPr>
        <w:t>       </w:t>
      </w:r>
      <w:r>
        <w:rPr>
          <w:color w:val="010101"/>
          <w:w w:val="105"/>
          <w:sz w:val="19"/>
        </w:rPr>
        <w:t>for </w:t>
      </w:r>
      <w:r>
        <w:rPr>
          <w:i/>
          <w:color w:val="010101"/>
          <w:w w:val="105"/>
          <w:sz w:val="22"/>
        </w:rPr>
        <w:t>t  </w:t>
      </w:r>
      <w:r>
        <w:rPr>
          <w:color w:val="010101"/>
          <w:w w:val="105"/>
          <w:sz w:val="26"/>
        </w:rPr>
        <w:t>&lt;</w:t>
      </w:r>
      <w:r>
        <w:rPr>
          <w:color w:val="010101"/>
          <w:spacing w:val="17"/>
          <w:w w:val="105"/>
          <w:sz w:val="26"/>
        </w:rPr>
        <w:t> </w:t>
      </w:r>
      <w:r>
        <w:rPr>
          <w:i/>
          <w:color w:val="010101"/>
          <w:w w:val="105"/>
          <w:sz w:val="22"/>
        </w:rPr>
        <w:t>n</w:t>
      </w:r>
    </w:p>
    <w:p>
      <w:pPr>
        <w:spacing w:before="61"/>
        <w:ind w:left="3916" w:right="0" w:firstLine="0"/>
        <w:jc w:val="left"/>
        <w:rPr>
          <w:sz w:val="20"/>
        </w:rPr>
      </w:pPr>
      <w:r>
        <w:rPr>
          <w:color w:val="010101"/>
          <w:sz w:val="20"/>
        </w:rPr>
        <w:t>where </w:t>
      </w:r>
      <w:r>
        <w:rPr>
          <w:i/>
          <w:color w:val="010101"/>
          <w:sz w:val="21"/>
        </w:rPr>
        <w:t>P  </w:t>
      </w:r>
      <w:r>
        <w:rPr>
          <w:color w:val="010101"/>
          <w:sz w:val="25"/>
        </w:rPr>
        <w:t>=</w:t>
      </w:r>
      <w:r>
        <w:rPr>
          <w:color w:val="010101"/>
          <w:spacing w:val="50"/>
          <w:sz w:val="25"/>
        </w:rPr>
        <w:t> </w:t>
      </w:r>
      <w:r>
        <w:rPr>
          <w:color w:val="010101"/>
          <w:spacing w:val="-3"/>
          <w:sz w:val="22"/>
        </w:rPr>
        <w:t>,.P(,.</w:t>
      </w:r>
      <w:r>
        <w:rPr>
          <w:rFonts w:ascii="Arial" w:hAnsi="Arial"/>
          <w:color w:val="010101"/>
          <w:spacing w:val="-3"/>
          <w:position w:val="-4"/>
          <w:sz w:val="15"/>
        </w:rPr>
        <w:t>1</w:t>
      </w:r>
      <w:r>
        <w:rPr>
          <w:color w:val="010101"/>
          <w:spacing w:val="-3"/>
          <w:sz w:val="20"/>
        </w:rPr>
        <w:t>ás)</w:t>
      </w:r>
    </w:p>
    <w:p>
      <w:pPr>
        <w:spacing w:after="0"/>
        <w:jc w:val="left"/>
        <w:rPr>
          <w:sz w:val="20"/>
        </w:rPr>
        <w:sectPr>
          <w:type w:val="continuous"/>
          <w:pgSz w:w="7200" w:h="11340"/>
          <w:pgMar w:top="1100" w:bottom="0" w:left="660" w:right="580"/>
        </w:sectPr>
      </w:pPr>
    </w:p>
    <w:p>
      <w:pPr>
        <w:spacing w:before="155"/>
        <w:ind w:left="212" w:right="-18" w:firstLine="0"/>
        <w:jc w:val="left"/>
        <w:rPr>
          <w:sz w:val="19"/>
        </w:rPr>
      </w:pPr>
      <w:r>
        <w:rPr>
          <w:color w:val="010101"/>
          <w:spacing w:val="-5"/>
          <w:w w:val="209"/>
          <w:sz w:val="14"/>
        </w:rPr>
        <w:t>,</w:t>
      </w:r>
      <w:r>
        <w:rPr>
          <w:i/>
          <w:color w:val="010101"/>
          <w:spacing w:val="24"/>
          <w:w w:val="114"/>
          <w:position w:val="2"/>
          <w:sz w:val="19"/>
        </w:rPr>
        <w:t>V</w:t>
      </w:r>
      <w:r>
        <w:rPr>
          <w:i/>
          <w:color w:val="010101"/>
          <w:w w:val="73"/>
          <w:position w:val="2"/>
          <w:sz w:val="19"/>
        </w:rPr>
        <w:t>(</w:t>
      </w:r>
      <w:r>
        <w:rPr>
          <w:i/>
          <w:color w:val="010101"/>
          <w:spacing w:val="-16"/>
          <w:position w:val="2"/>
          <w:sz w:val="19"/>
        </w:rPr>
        <w:t> </w:t>
      </w:r>
      <w:r>
        <w:rPr>
          <w:i/>
          <w:color w:val="010101"/>
          <w:spacing w:val="-69"/>
          <w:w w:val="114"/>
          <w:position w:val="2"/>
          <w:sz w:val="19"/>
        </w:rPr>
        <w:t>A</w:t>
      </w:r>
      <w:r>
        <w:rPr>
          <w:i/>
          <w:color w:val="010101"/>
          <w:spacing w:val="7"/>
          <w:w w:val="135"/>
          <w:position w:val="11"/>
          <w:sz w:val="19"/>
        </w:rPr>
        <w:t>-</w:t>
      </w:r>
      <w:r>
        <w:rPr>
          <w:b/>
          <w:color w:val="010101"/>
          <w:w w:val="139"/>
          <w:sz w:val="14"/>
        </w:rPr>
        <w:t>s:;¡</w:t>
      </w:r>
      <w:r>
        <w:rPr>
          <w:b/>
          <w:color w:val="010101"/>
          <w:spacing w:val="-20"/>
          <w:sz w:val="14"/>
        </w:rPr>
        <w:t> </w:t>
      </w:r>
      <w:r>
        <w:rPr>
          <w:color w:val="010101"/>
          <w:w w:val="102"/>
          <w:position w:val="11"/>
          <w:sz w:val="19"/>
        </w:rPr>
        <w:t>)</w:t>
      </w:r>
    </w:p>
    <w:p>
      <w:pPr>
        <w:spacing w:line="220" w:lineRule="exact" w:before="126"/>
        <w:ind w:left="300" w:right="-18" w:firstLine="0"/>
        <w:jc w:val="left"/>
        <w:rPr>
          <w:sz w:val="22"/>
        </w:rPr>
      </w:pPr>
      <w:r>
        <w:rPr/>
        <w:br w:type="column"/>
      </w:r>
      <w:r>
        <w:rPr>
          <w:i/>
          <w:color w:val="010101"/>
          <w:w w:val="95"/>
          <w:sz w:val="22"/>
        </w:rPr>
        <w:t>p  </w:t>
      </w:r>
      <w:r>
        <w:rPr>
          <w:color w:val="010101"/>
          <w:w w:val="95"/>
          <w:sz w:val="22"/>
        </w:rPr>
        <w:t>..</w:t>
      </w:r>
    </w:p>
    <w:p>
      <w:pPr>
        <w:spacing w:line="128" w:lineRule="exact" w:before="0"/>
        <w:ind w:left="476" w:right="-18" w:firstLine="0"/>
        <w:jc w:val="left"/>
        <w:rPr>
          <w:sz w:val="14"/>
        </w:rPr>
      </w:pPr>
      <w:r>
        <w:rPr/>
        <w:pict>
          <v:shape style="position:absolute;margin-left:89.910271pt;margin-top:-5.596419pt;width:7pt;height:13pt;mso-position-horizontal-relative:page;mso-position-vertical-relative:paragraph;z-index:8896" type="#_x0000_t202" filled="false" stroked="false">
            <v:textbox inset="0,0,0,0">
              <w:txbxContent>
                <w:p>
                  <w:pPr>
                    <w:spacing w:line="260" w:lineRule="exact" w:before="0"/>
                    <w:ind w:left="0" w:right="0" w:firstLine="0"/>
                    <w:jc w:val="left"/>
                    <w:rPr>
                      <w:sz w:val="26"/>
                    </w:rPr>
                  </w:pPr>
                  <w:r>
                    <w:rPr>
                      <w:color w:val="010101"/>
                      <w:w w:val="94"/>
                      <w:sz w:val="26"/>
                    </w:rPr>
                    <w:t>=</w:t>
                  </w:r>
                </w:p>
              </w:txbxContent>
            </v:textbox>
            <w10:wrap type="none"/>
          </v:shape>
        </w:pict>
      </w:r>
      <w:r>
        <w:rPr>
          <w:b/>
          <w:color w:val="010101"/>
          <w:w w:val="140"/>
          <w:sz w:val="14"/>
        </w:rPr>
        <w:t>·Sz:il </w:t>
      </w:r>
      <w:r>
        <w:rPr>
          <w:color w:val="010101"/>
          <w:spacing w:val="-181"/>
          <w:w w:val="385"/>
          <w:sz w:val="14"/>
        </w:rPr>
        <w:t>-</w:t>
      </w:r>
    </w:p>
    <w:p>
      <w:pPr>
        <w:spacing w:line="286" w:lineRule="exact" w:before="145"/>
        <w:ind w:left="245" w:right="0" w:firstLine="0"/>
        <w:jc w:val="left"/>
        <w:rPr>
          <w:sz w:val="28"/>
        </w:rPr>
      </w:pPr>
      <w:r>
        <w:rPr/>
        <w:br w:type="column"/>
      </w:r>
      <w:r>
        <w:rPr>
          <w:i/>
          <w:color w:val="010101"/>
          <w:spacing w:val="-20"/>
          <w:w w:val="110"/>
          <w:sz w:val="19"/>
        </w:rPr>
        <w:t>k-</w:t>
      </w:r>
      <w:r>
        <w:rPr>
          <w:b/>
          <w:color w:val="010101"/>
          <w:spacing w:val="-20"/>
          <w:w w:val="110"/>
          <w:position w:val="-10"/>
          <w:sz w:val="14"/>
        </w:rPr>
        <w:t>s    </w:t>
      </w:r>
      <w:r>
        <w:rPr>
          <w:color w:val="010101"/>
          <w:w w:val="110"/>
          <w:position w:val="-10"/>
          <w:sz w:val="26"/>
        </w:rPr>
        <w:t>= </w:t>
      </w:r>
      <w:r>
        <w:rPr>
          <w:i/>
          <w:color w:val="010101"/>
          <w:w w:val="110"/>
          <w:sz w:val="19"/>
        </w:rPr>
        <w:t>P( N s </w:t>
      </w:r>
      <w:r>
        <w:rPr>
          <w:color w:val="010101"/>
          <w:w w:val="300"/>
          <w:sz w:val="19"/>
        </w:rPr>
        <w:t>-</w:t>
      </w:r>
      <w:r>
        <w:rPr>
          <w:color w:val="010101"/>
          <w:spacing w:val="-116"/>
          <w:w w:val="300"/>
          <w:sz w:val="19"/>
        </w:rPr>
        <w:t> </w:t>
      </w:r>
      <w:r>
        <w:rPr>
          <w:i/>
          <w:color w:val="010101"/>
          <w:w w:val="110"/>
          <w:sz w:val="19"/>
        </w:rPr>
        <w:t>N </w:t>
      </w:r>
      <w:r>
        <w:rPr>
          <w:i/>
          <w:color w:val="010101"/>
          <w:spacing w:val="-13"/>
          <w:w w:val="110"/>
          <w:sz w:val="19"/>
        </w:rPr>
        <w:t>s+,</w:t>
      </w:r>
      <w:r>
        <w:rPr>
          <w:color w:val="010101"/>
          <w:spacing w:val="-13"/>
          <w:w w:val="110"/>
          <w:position w:val="-10"/>
          <w:sz w:val="28"/>
        </w:rPr>
        <w:t>-</w:t>
      </w:r>
      <w:r>
        <w:rPr>
          <w:i/>
          <w:color w:val="010101"/>
          <w:spacing w:val="-13"/>
          <w:w w:val="110"/>
          <w:sz w:val="19"/>
        </w:rPr>
        <w:t>)</w:t>
      </w:r>
      <w:r>
        <w:rPr>
          <w:color w:val="010101"/>
          <w:spacing w:val="-13"/>
          <w:w w:val="110"/>
          <w:position w:val="-10"/>
          <w:sz w:val="28"/>
        </w:rPr>
        <w:t>=--</w:t>
      </w:r>
      <w:r>
        <w:rPr>
          <w:color w:val="010101"/>
          <w:spacing w:val="-13"/>
          <w:w w:val="110"/>
          <w:sz w:val="20"/>
        </w:rPr>
        <w:t>(Ms  </w:t>
      </w:r>
      <w:r>
        <w:rPr>
          <w:color w:val="010101"/>
          <w:spacing w:val="-310"/>
          <w:w w:val="300"/>
          <w:position w:val="-10"/>
          <w:sz w:val="28"/>
        </w:rPr>
        <w:t>-</w:t>
      </w:r>
    </w:p>
    <w:p>
      <w:pPr>
        <w:spacing w:line="182" w:lineRule="exact" w:before="0"/>
        <w:ind w:left="0" w:right="502" w:firstLine="0"/>
        <w:jc w:val="right"/>
        <w:rPr>
          <w:i/>
          <w:sz w:val="22"/>
        </w:rPr>
      </w:pPr>
      <w:r>
        <w:rPr/>
        <w:pict>
          <v:shape style="position:absolute;margin-left:145.902298pt;margin-top:-5.03177pt;width:3.7pt;height:7pt;mso-position-horizontal-relative:page;mso-position-vertical-relative:paragraph;z-index:-727144" type="#_x0000_t202" filled="false" stroked="false">
            <v:textbox inset="0,0,0,0">
              <w:txbxContent>
                <w:p>
                  <w:pPr>
                    <w:spacing w:line="140" w:lineRule="exact" w:before="0"/>
                    <w:ind w:left="0" w:right="0" w:firstLine="0"/>
                    <w:jc w:val="left"/>
                    <w:rPr>
                      <w:sz w:val="14"/>
                    </w:rPr>
                  </w:pPr>
                  <w:r>
                    <w:rPr>
                      <w:color w:val="010101"/>
                      <w:w w:val="209"/>
                      <w:sz w:val="14"/>
                    </w:rPr>
                    <w:t>,</w:t>
                  </w:r>
                </w:p>
              </w:txbxContent>
            </v:textbox>
            <w10:wrap type="none"/>
          </v:shape>
        </w:pict>
      </w:r>
      <w:r>
        <w:rPr>
          <w:i/>
          <w:color w:val="010101"/>
          <w:w w:val="115"/>
          <w:sz w:val="22"/>
        </w:rPr>
        <w:t>Dtt,</w:t>
      </w:r>
    </w:p>
    <w:p>
      <w:pPr>
        <w:spacing w:before="145"/>
        <w:ind w:left="164" w:right="0" w:firstLine="0"/>
        <w:jc w:val="left"/>
        <w:rPr>
          <w:i/>
          <w:sz w:val="20"/>
        </w:rPr>
      </w:pPr>
      <w:r>
        <w:rPr/>
        <w:br w:type="column"/>
      </w:r>
      <w:r>
        <w:rPr>
          <w:i/>
          <w:color w:val="010101"/>
          <w:w w:val="101"/>
          <w:sz w:val="20"/>
        </w:rPr>
        <w:t>M</w:t>
      </w:r>
      <w:r>
        <w:rPr>
          <w:i/>
          <w:color w:val="010101"/>
          <w:spacing w:val="-19"/>
          <w:sz w:val="20"/>
        </w:rPr>
        <w:t> </w:t>
      </w:r>
      <w:r>
        <w:rPr>
          <w:i/>
          <w:color w:val="010101"/>
          <w:w w:val="76"/>
          <w:sz w:val="20"/>
        </w:rPr>
        <w:t>s</w:t>
      </w:r>
      <w:r>
        <w:rPr>
          <w:i/>
          <w:color w:val="010101"/>
          <w:spacing w:val="-96"/>
          <w:w w:val="76"/>
          <w:sz w:val="20"/>
        </w:rPr>
        <w:t>+</w:t>
      </w:r>
      <w:r>
        <w:rPr>
          <w:color w:val="010101"/>
          <w:w w:val="67"/>
          <w:position w:val="-10"/>
          <w:sz w:val="28"/>
        </w:rPr>
        <w:t>.</w:t>
      </w:r>
      <w:r>
        <w:rPr>
          <w:color w:val="010101"/>
          <w:spacing w:val="-4"/>
          <w:w w:val="66"/>
          <w:position w:val="-10"/>
          <w:sz w:val="28"/>
        </w:rPr>
        <w:t>;</w:t>
      </w:r>
      <w:r>
        <w:rPr>
          <w:i/>
          <w:color w:val="010101"/>
          <w:spacing w:val="-40"/>
          <w:w w:val="76"/>
          <w:sz w:val="20"/>
        </w:rPr>
        <w:t>t</w:t>
      </w:r>
      <w:r>
        <w:rPr>
          <w:color w:val="010101"/>
          <w:w w:val="67"/>
          <w:position w:val="-10"/>
          <w:sz w:val="28"/>
        </w:rPr>
        <w:t>.</w:t>
      </w:r>
      <w:r>
        <w:rPr>
          <w:color w:val="010101"/>
          <w:spacing w:val="-61"/>
          <w:w w:val="67"/>
          <w:position w:val="-10"/>
          <w:sz w:val="28"/>
        </w:rPr>
        <w:t>_</w:t>
      </w:r>
      <w:r>
        <w:rPr>
          <w:i/>
          <w:color w:val="010101"/>
          <w:w w:val="64"/>
          <w:sz w:val="20"/>
        </w:rPr>
        <w:t>)</w:t>
      </w:r>
    </w:p>
    <w:p>
      <w:pPr>
        <w:spacing w:after="0"/>
        <w:jc w:val="left"/>
        <w:rPr>
          <w:sz w:val="20"/>
        </w:rPr>
        <w:sectPr>
          <w:type w:val="continuous"/>
          <w:pgSz w:w="7200" w:h="11340"/>
          <w:pgMar w:top="1100" w:bottom="0" w:left="660" w:right="580"/>
          <w:cols w:num="4" w:equalWidth="0">
            <w:col w:w="1028" w:space="40"/>
            <w:col w:w="963" w:space="40"/>
            <w:col w:w="2848" w:space="40"/>
            <w:col w:w="1001"/>
          </w:cols>
        </w:sectPr>
      </w:pPr>
    </w:p>
    <w:p>
      <w:pPr>
        <w:spacing w:before="57"/>
        <w:ind w:left="3783" w:right="0" w:firstLine="0"/>
        <w:jc w:val="left"/>
        <w:rPr>
          <w:rFonts w:ascii="Arial" w:hAnsi="Arial"/>
          <w:i/>
          <w:sz w:val="20"/>
        </w:rPr>
      </w:pPr>
      <w:r>
        <w:rPr>
          <w:color w:val="010101"/>
          <w:sz w:val="20"/>
        </w:rPr>
        <w:t>where  </w:t>
      </w:r>
      <w:r>
        <w:rPr>
          <w:rFonts w:ascii="Arial" w:hAnsi="Arial"/>
          <w:i/>
          <w:color w:val="010101"/>
          <w:sz w:val="20"/>
        </w:rPr>
        <w:t>P  </w:t>
      </w:r>
      <w:r>
        <w:rPr>
          <w:color w:val="010101"/>
          <w:sz w:val="28"/>
        </w:rPr>
        <w:t>= </w:t>
      </w:r>
      <w:r>
        <w:rPr>
          <w:rFonts w:ascii="Arial" w:hAnsi="Arial"/>
          <w:i/>
          <w:color w:val="010101"/>
          <w:sz w:val="20"/>
        </w:rPr>
        <w:t>P( Ar.;¡ ).</w:t>
      </w:r>
    </w:p>
    <w:p>
      <w:pPr>
        <w:pStyle w:val="BodyText"/>
        <w:spacing w:before="141"/>
        <w:ind w:left="111"/>
      </w:pPr>
      <w:r>
        <w:rPr>
          <w:color w:val="010101"/>
          <w:w w:val="105"/>
        </w:rPr>
        <w:t>In  the  case </w:t>
      </w:r>
      <w:r>
        <w:rPr>
          <w:color w:val="010101"/>
          <w:w w:val="105"/>
          <w:sz w:val="19"/>
        </w:rPr>
        <w:t>of  </w:t>
      </w:r>
      <w:r>
        <w:rPr>
          <w:color w:val="010101"/>
          <w:w w:val="105"/>
        </w:rPr>
        <w:t>an  n-year  limited-payment  life insura.nce,  the  re-</w:t>
      </w:r>
    </w:p>
    <w:p>
      <w:pPr>
        <w:spacing w:after="0"/>
        <w:sectPr>
          <w:type w:val="continuous"/>
          <w:pgSz w:w="7200" w:h="11340"/>
          <w:pgMar w:top="1100" w:bottom="0" w:left="660" w:right="580"/>
        </w:sectPr>
      </w:pPr>
    </w:p>
    <w:p>
      <w:pPr>
        <w:tabs>
          <w:tab w:pos="1646" w:val="left" w:leader="none"/>
          <w:tab w:pos="5402" w:val="left" w:leader="none"/>
        </w:tabs>
        <w:spacing w:before="48"/>
        <w:ind w:left="175" w:right="0" w:firstLine="0"/>
        <w:jc w:val="left"/>
        <w:rPr>
          <w:rFonts w:ascii="Arial"/>
          <w:b/>
          <w:sz w:val="18"/>
        </w:rPr>
      </w:pPr>
      <w:r>
        <w:rPr>
          <w:rFonts w:ascii="Arial"/>
          <w:b/>
          <w:color w:val="010101"/>
          <w:spacing w:val="-12"/>
          <w:position w:val="1"/>
          <w:sz w:val="20"/>
        </w:rPr>
        <w:t>100</w:t>
        <w:tab/>
      </w:r>
      <w:r>
        <w:rPr>
          <w:b/>
          <w:color w:val="010101"/>
          <w:position w:val="1"/>
          <w:sz w:val="15"/>
        </w:rPr>
        <w:t>NET   LEVEL   PREMIUM  </w:t>
      </w:r>
      <w:r>
        <w:rPr>
          <w:b/>
          <w:color w:val="010101"/>
          <w:spacing w:val="24"/>
          <w:position w:val="1"/>
          <w:sz w:val="15"/>
        </w:rPr>
        <w:t> </w:t>
      </w:r>
      <w:r>
        <w:rPr>
          <w:b/>
          <w:color w:val="010101"/>
          <w:position w:val="1"/>
          <w:sz w:val="15"/>
        </w:rPr>
        <w:t>RESERVES</w:t>
        <w:tab/>
      </w:r>
      <w:r>
        <w:rPr>
          <w:rFonts w:ascii="Arial"/>
          <w:b/>
          <w:color w:val="010101"/>
          <w:w w:val="95"/>
          <w:sz w:val="19"/>
        </w:rPr>
        <w:t>[CH.</w:t>
      </w:r>
      <w:r>
        <w:rPr>
          <w:rFonts w:ascii="Arial"/>
          <w:b/>
          <w:color w:val="010101"/>
          <w:spacing w:val="-20"/>
          <w:w w:val="95"/>
          <w:sz w:val="19"/>
        </w:rPr>
        <w:t> </w:t>
      </w:r>
      <w:r>
        <w:rPr>
          <w:rFonts w:ascii="Arial"/>
          <w:b/>
          <w:color w:val="010101"/>
          <w:w w:val="95"/>
          <w:sz w:val="18"/>
        </w:rPr>
        <w:t>5</w:t>
      </w:r>
    </w:p>
    <w:p>
      <w:pPr>
        <w:pStyle w:val="BodyText"/>
        <w:spacing w:before="2"/>
        <w:rPr>
          <w:rFonts w:ascii="Arial"/>
          <w:b/>
          <w:sz w:val="17"/>
        </w:rPr>
      </w:pPr>
    </w:p>
    <w:p>
      <w:pPr>
        <w:spacing w:before="0"/>
        <w:ind w:left="154" w:right="0" w:firstLine="0"/>
        <w:jc w:val="left"/>
        <w:rPr>
          <w:sz w:val="21"/>
        </w:rPr>
      </w:pPr>
      <w:r>
        <w:rPr>
          <w:color w:val="010101"/>
          <w:sz w:val="21"/>
        </w:rPr>
        <w:t>serve at time </w:t>
      </w:r>
      <w:r>
        <w:rPr>
          <w:i/>
          <w:color w:val="010101"/>
          <w:sz w:val="22"/>
        </w:rPr>
        <w:t>t  </w:t>
      </w:r>
      <w:r>
        <w:rPr>
          <w:color w:val="010101"/>
          <w:sz w:val="25"/>
        </w:rPr>
        <w:t>&gt;  </w:t>
      </w:r>
      <w:r>
        <w:rPr>
          <w:i/>
          <w:color w:val="010101"/>
          <w:sz w:val="22"/>
        </w:rPr>
        <w:t>n </w:t>
      </w:r>
      <w:r>
        <w:rPr>
          <w:color w:val="010101"/>
          <w:sz w:val="21"/>
        </w:rPr>
        <w:t>is expressed  in retrospective  fonn  as</w:t>
      </w:r>
    </w:p>
    <w:p>
      <w:pPr>
        <w:pStyle w:val="BodyText"/>
        <w:spacing w:before="8"/>
        <w:rPr>
          <w:sz w:val="10"/>
        </w:rPr>
      </w:pPr>
    </w:p>
    <w:p>
      <w:pPr>
        <w:spacing w:line="211" w:lineRule="exact" w:before="127"/>
        <w:ind w:left="1209" w:right="0" w:firstLine="0"/>
        <w:jc w:val="left"/>
        <w:rPr>
          <w:b/>
          <w:i/>
          <w:sz w:val="12"/>
        </w:rPr>
      </w:pPr>
      <w:r>
        <w:rPr/>
        <w:pict>
          <v:shape style="position:absolute;margin-left:91.838562pt;margin-top:5.048897pt;width:126.95pt;height:10pt;mso-position-horizontal-relative:page;mso-position-vertical-relative:paragraph;z-index:-727048" type="#_x0000_t202" filled="false" stroked="false">
            <v:textbox inset="0,0,0,0">
              <w:txbxContent>
                <w:p>
                  <w:pPr>
                    <w:tabs>
                      <w:tab w:pos="717" w:val="left" w:leader="none"/>
                      <w:tab w:pos="1743" w:val="left" w:leader="none"/>
                      <w:tab w:pos="2457" w:val="left" w:leader="none"/>
                    </w:tabs>
                    <w:spacing w:line="200" w:lineRule="exact" w:before="0"/>
                    <w:ind w:left="0" w:right="0" w:firstLine="0"/>
                    <w:jc w:val="left"/>
                    <w:rPr>
                      <w:i/>
                      <w:sz w:val="20"/>
                    </w:rPr>
                  </w:pPr>
                  <w:r>
                    <w:rPr>
                      <w:i/>
                      <w:color w:val="010101"/>
                      <w:w w:val="115"/>
                      <w:sz w:val="20"/>
                    </w:rPr>
                    <w:t>"V</w:t>
                    <w:tab/>
                    <w:t>P  </w:t>
                  </w:r>
                  <w:r>
                    <w:rPr>
                      <w:i/>
                      <w:color w:val="010101"/>
                      <w:spacing w:val="12"/>
                      <w:w w:val="115"/>
                      <w:sz w:val="20"/>
                    </w:rPr>
                    <w:t> </w:t>
                  </w:r>
                  <w:r>
                    <w:rPr>
                      <w:imprint/>
                      <w:color w:val="010101"/>
                      <w:w w:val="115"/>
                      <w:sz w:val="20"/>
                    </w:rPr>
                    <w:t>·</w:t>
                  </w:r>
                  <w:r>
                    <w:rPr>
                      <w:shadow w:val="0"/>
                      <w:color w:val="010101"/>
                      <w:w w:val="115"/>
                      <w:sz w:val="20"/>
                    </w:rPr>
                    <w:tab/>
                    <w:t>l</w:t>
                    <w:tab/>
                  </w:r>
                  <w:r>
                    <w:rPr>
                      <w:i/>
                      <w:shadow w:val="0"/>
                      <w:color w:val="010101"/>
                      <w:w w:val="90"/>
                      <w:sz w:val="20"/>
                    </w:rPr>
                    <w:t>k</w:t>
                  </w:r>
                </w:p>
              </w:txbxContent>
            </v:textbox>
            <w10:wrap type="none"/>
          </v:shape>
        </w:pict>
      </w:r>
      <w:r>
        <w:rPr>
          <w:rFonts w:ascii="Arial" w:hAnsi="Arial"/>
          <w:color w:val="010101"/>
          <w:w w:val="63"/>
          <w:sz w:val="10"/>
        </w:rPr>
        <w:t>&amp;</w:t>
      </w:r>
      <w:r>
        <w:rPr>
          <w:rFonts w:ascii="Arial" w:hAnsi="Arial"/>
          <w:color w:val="010101"/>
          <w:sz w:val="10"/>
        </w:rPr>
        <w:t>     </w:t>
      </w:r>
      <w:r>
        <w:rPr>
          <w:rFonts w:ascii="Arial" w:hAnsi="Arial"/>
          <w:color w:val="010101"/>
          <w:spacing w:val="2"/>
          <w:sz w:val="10"/>
        </w:rPr>
        <w:t> </w:t>
      </w:r>
      <w:r>
        <w:rPr>
          <w:b/>
          <w:color w:val="010101"/>
          <w:w w:val="70"/>
          <w:sz w:val="20"/>
        </w:rPr>
        <w:t>z</w:t>
      </w:r>
      <w:r>
        <w:rPr>
          <w:b/>
          <w:color w:val="010101"/>
          <w:sz w:val="20"/>
        </w:rPr>
        <w:t> </w:t>
      </w:r>
      <w:r>
        <w:rPr>
          <w:b/>
          <w:color w:val="010101"/>
          <w:spacing w:val="-2"/>
          <w:sz w:val="20"/>
        </w:rPr>
        <w:t> </w:t>
      </w:r>
      <w:r>
        <w:rPr>
          <w:color w:val="010101"/>
          <w:w w:val="120"/>
          <w:sz w:val="21"/>
        </w:rPr>
        <w:t>=</w:t>
      </w:r>
      <w:r>
        <w:rPr>
          <w:color w:val="010101"/>
          <w:sz w:val="21"/>
        </w:rPr>
        <w:t> </w:t>
      </w:r>
      <w:r>
        <w:rPr>
          <w:color w:val="010101"/>
          <w:spacing w:val="-15"/>
          <w:sz w:val="21"/>
        </w:rPr>
        <w:t> </w:t>
      </w:r>
      <w:r>
        <w:rPr>
          <w:color w:val="010101"/>
          <w:w w:val="107"/>
          <w:sz w:val="21"/>
        </w:rPr>
        <w:t>"</w:t>
      </w:r>
      <w:r>
        <w:rPr>
          <w:color w:val="010101"/>
          <w:sz w:val="21"/>
        </w:rPr>
        <w:t> </w:t>
      </w:r>
      <w:r>
        <w:rPr>
          <w:color w:val="010101"/>
          <w:spacing w:val="21"/>
          <w:sz w:val="21"/>
        </w:rPr>
        <w:t> </w:t>
      </w:r>
      <w:r>
        <w:rPr>
          <w:b/>
          <w:color w:val="010101"/>
          <w:w w:val="76"/>
          <w:sz w:val="20"/>
        </w:rPr>
        <w:t>s'Sz:;-J</w:t>
      </w:r>
      <w:r>
        <w:rPr>
          <w:b/>
          <w:color w:val="010101"/>
          <w:spacing w:val="-3"/>
          <w:sz w:val="20"/>
        </w:rPr>
        <w:t> </w:t>
      </w:r>
      <w:r>
        <w:rPr>
          <w:b/>
          <w:color w:val="010101"/>
          <w:spacing w:val="-54"/>
          <w:w w:val="289"/>
          <w:sz w:val="20"/>
        </w:rPr>
        <w:t>·</w:t>
      </w:r>
      <w:r>
        <w:rPr>
          <w:b/>
          <w:color w:val="010101"/>
          <w:spacing w:val="-153"/>
          <w:w w:val="289"/>
          <w:sz w:val="20"/>
        </w:rPr>
        <w:t>-</w:t>
      </w:r>
      <w:r>
        <w:rPr>
          <w:b/>
          <w:color w:val="010101"/>
          <w:spacing w:val="-161"/>
          <w:w w:val="119"/>
          <w:sz w:val="20"/>
        </w:rPr>
        <w:t>E</w:t>
      </w:r>
      <w:r>
        <w:rPr>
          <w:b/>
          <w:color w:val="010101"/>
          <w:spacing w:val="-40"/>
          <w:w w:val="425"/>
          <w:sz w:val="20"/>
        </w:rPr>
        <w:t>-</w:t>
      </w:r>
      <w:r>
        <w:rPr>
          <w:b/>
          <w:color w:val="010101"/>
          <w:w w:val="217"/>
          <w:sz w:val="20"/>
        </w:rPr>
        <w:t>-</w:t>
      </w:r>
      <w:r>
        <w:rPr>
          <w:b/>
          <w:color w:val="010101"/>
          <w:spacing w:val="20"/>
          <w:sz w:val="20"/>
        </w:rPr>
        <w:t> </w:t>
      </w:r>
      <w:r>
        <w:rPr>
          <w:color w:val="010101"/>
          <w:w w:val="281"/>
          <w:sz w:val="20"/>
        </w:rPr>
        <w:t>-</w:t>
      </w:r>
      <w:r>
        <w:rPr>
          <w:color w:val="010101"/>
          <w:spacing w:val="2"/>
          <w:sz w:val="20"/>
        </w:rPr>
        <w:t> </w:t>
      </w:r>
      <w:r>
        <w:rPr>
          <w:rFonts w:ascii="Arial" w:hAnsi="Arial"/>
          <w:color w:val="010101"/>
          <w:w w:val="57"/>
          <w:sz w:val="10"/>
        </w:rPr>
        <w:t>&amp;</w:t>
      </w:r>
      <w:r>
        <w:rPr>
          <w:rFonts w:ascii="Arial" w:hAnsi="Arial"/>
          <w:color w:val="010101"/>
          <w:sz w:val="10"/>
        </w:rPr>
        <w:t>    </w:t>
      </w:r>
      <w:r>
        <w:rPr>
          <w:b/>
          <w:i/>
          <w:color w:val="010101"/>
          <w:w w:val="63"/>
          <w:sz w:val="12"/>
        </w:rPr>
        <w:t>-z</w:t>
      </w:r>
    </w:p>
    <w:p>
      <w:pPr>
        <w:spacing w:line="108" w:lineRule="exact" w:before="0"/>
        <w:ind w:left="98" w:right="200" w:firstLine="0"/>
        <w:jc w:val="center"/>
        <w:rPr>
          <w:b/>
          <w:i/>
          <w:sz w:val="12"/>
        </w:rPr>
      </w:pPr>
      <w:r>
        <w:rPr>
          <w:color w:val="010101"/>
          <w:w w:val="140"/>
          <w:sz w:val="12"/>
        </w:rPr>
        <w:t>,_,.   </w:t>
      </w:r>
      <w:r>
        <w:rPr>
          <w:b/>
          <w:i/>
          <w:color w:val="010101"/>
          <w:w w:val="140"/>
          <w:sz w:val="12"/>
        </w:rPr>
        <w:t>z+n</w:t>
      </w:r>
    </w:p>
    <w:p>
      <w:pPr>
        <w:pStyle w:val="BodyText"/>
        <w:spacing w:before="3"/>
        <w:rPr>
          <w:b/>
          <w:i/>
          <w:sz w:val="12"/>
        </w:rPr>
      </w:pPr>
    </w:p>
    <w:p>
      <w:pPr>
        <w:spacing w:line="238" w:lineRule="exact" w:before="0"/>
        <w:ind w:left="1600" w:right="0" w:firstLine="0"/>
        <w:jc w:val="left"/>
        <w:rPr>
          <w:b/>
          <w:i/>
          <w:sz w:val="21"/>
        </w:rPr>
      </w:pPr>
      <w:r>
        <w:rPr/>
        <w:pict>
          <v:line style="position:absolute;mso-position-horizontal-relative:page;mso-position-vertical-relative:paragraph;z-index:-727120" from="135.246597pt,10.162337pt" to="138.295997pt,10.162337pt" stroked="true" strokeweight=".717489pt" strokecolor="#000000">
            <w10:wrap type="none"/>
          </v:line>
        </w:pict>
      </w:r>
      <w:r>
        <w:rPr>
          <w:color w:val="010101"/>
          <w:w w:val="135"/>
          <w:sz w:val="20"/>
        </w:rPr>
        <w:t>_ </w:t>
      </w:r>
      <w:r>
        <w:rPr>
          <w:b/>
          <w:color w:val="010101"/>
          <w:w w:val="95"/>
          <w:sz w:val="20"/>
        </w:rPr>
        <w:t>,aPs(Nz </w:t>
      </w:r>
      <w:r>
        <w:rPr>
          <w:color w:val="010101"/>
          <w:w w:val="255"/>
          <w:sz w:val="20"/>
        </w:rPr>
        <w:t>-</w:t>
      </w:r>
      <w:r>
        <w:rPr>
          <w:color w:val="010101"/>
          <w:spacing w:val="-94"/>
          <w:w w:val="255"/>
          <w:sz w:val="20"/>
        </w:rPr>
        <w:t> </w:t>
      </w:r>
      <w:r>
        <w:rPr>
          <w:b/>
          <w:color w:val="010101"/>
          <w:w w:val="95"/>
          <w:sz w:val="20"/>
        </w:rPr>
        <w:t>Ns+n ) </w:t>
      </w:r>
      <w:r>
        <w:rPr>
          <w:color w:val="010101"/>
          <w:w w:val="255"/>
          <w:sz w:val="20"/>
        </w:rPr>
        <w:t>-</w:t>
      </w:r>
      <w:r>
        <w:rPr>
          <w:color w:val="010101"/>
          <w:spacing w:val="-78"/>
          <w:w w:val="255"/>
          <w:sz w:val="20"/>
        </w:rPr>
        <w:t> </w:t>
      </w:r>
      <w:r>
        <w:rPr>
          <w:b/>
          <w:i/>
          <w:color w:val="010101"/>
          <w:w w:val="95"/>
          <w:sz w:val="21"/>
        </w:rPr>
        <w:t>( M-z </w:t>
      </w:r>
      <w:r>
        <w:rPr>
          <w:color w:val="010101"/>
          <w:w w:val="255"/>
          <w:sz w:val="21"/>
        </w:rPr>
        <w:t>-</w:t>
      </w:r>
      <w:r>
        <w:rPr>
          <w:color w:val="010101"/>
          <w:spacing w:val="-98"/>
          <w:w w:val="255"/>
          <w:sz w:val="21"/>
        </w:rPr>
        <w:t> </w:t>
      </w:r>
      <w:r>
        <w:rPr>
          <w:b/>
          <w:i/>
          <w:color w:val="010101"/>
          <w:w w:val="95"/>
          <w:sz w:val="21"/>
        </w:rPr>
        <w:t>M s+i )</w:t>
      </w:r>
    </w:p>
    <w:p>
      <w:pPr>
        <w:tabs>
          <w:tab w:pos="3153" w:val="left" w:leader="none"/>
        </w:tabs>
        <w:spacing w:line="238" w:lineRule="exact" w:before="0"/>
        <w:ind w:left="1600" w:right="0" w:firstLine="0"/>
        <w:jc w:val="left"/>
        <w:rPr>
          <w:b/>
          <w:i/>
          <w:sz w:val="21"/>
        </w:rPr>
      </w:pPr>
      <w:r>
        <w:rPr>
          <w:color w:val="010101"/>
          <w:w w:val="205"/>
          <w:sz w:val="21"/>
        </w:rPr>
        <w:t>-</w:t>
        <w:tab/>
      </w:r>
      <w:r>
        <w:rPr>
          <w:b/>
          <w:i/>
          <w:color w:val="010101"/>
          <w:sz w:val="21"/>
        </w:rPr>
        <w:t>Ds+i</w:t>
      </w:r>
    </w:p>
    <w:p>
      <w:pPr>
        <w:spacing w:line="238" w:lineRule="exact" w:before="152"/>
        <w:ind w:left="143" w:right="135" w:firstLine="10"/>
        <w:jc w:val="both"/>
        <w:rPr>
          <w:sz w:val="21"/>
        </w:rPr>
      </w:pPr>
      <w:r>
        <w:rPr>
          <w:color w:val="010101"/>
          <w:sz w:val="21"/>
        </w:rPr>
        <w:t>Notice how the </w:t>
      </w:r>
      <w:r>
        <w:rPr>
          <w:color w:val="010101"/>
          <w:sz w:val="20"/>
        </w:rPr>
        <w:t>formula </w:t>
      </w:r>
      <w:r>
        <w:rPr>
          <w:color w:val="010101"/>
          <w:sz w:val="21"/>
        </w:rPr>
        <w:t>is modificd to recognize that premium payments cease af ter </w:t>
      </w:r>
      <w:r>
        <w:rPr>
          <w:i/>
          <w:color w:val="010101"/>
          <w:sz w:val="22"/>
        </w:rPr>
        <w:t>n </w:t>
      </w:r>
      <w:r>
        <w:rPr>
          <w:color w:val="010101"/>
          <w:sz w:val="21"/>
        </w:rPr>
        <w:t>years.</w:t>
      </w:r>
    </w:p>
    <w:p>
      <w:pPr>
        <w:spacing w:line="237" w:lineRule="auto" w:before="0"/>
        <w:ind w:left="140" w:right="108" w:firstLine="204"/>
        <w:jc w:val="both"/>
        <w:rPr>
          <w:sz w:val="21"/>
        </w:rPr>
      </w:pPr>
      <w:r>
        <w:rPr>
          <w:color w:val="010101"/>
          <w:sz w:val="21"/>
        </w:rPr>
        <w:t>It  is  instructive  to  consider  </w:t>
      </w:r>
      <w:r>
        <w:rPr>
          <w:rFonts w:ascii="Arial"/>
          <w:color w:val="010101"/>
          <w:sz w:val="18"/>
        </w:rPr>
        <w:t>a  </w:t>
      </w:r>
      <w:r>
        <w:rPr>
          <w:color w:val="010101"/>
          <w:sz w:val="21"/>
        </w:rPr>
        <w:t>specific  policy   and  examine the way in which the financia! details work themselves out as applied to a large group of lives insured at the same time  and  at  the  same  age.  </w:t>
      </w:r>
      <w:r>
        <w:rPr>
          <w:color w:val="010101"/>
          <w:sz w:val="20"/>
        </w:rPr>
        <w:t>Let  </w:t>
      </w:r>
      <w:r>
        <w:rPr>
          <w:color w:val="010101"/>
          <w:sz w:val="21"/>
        </w:rPr>
        <w:t>us  choose  </w:t>
      </w:r>
      <w:r>
        <w:rPr>
          <w:rFonts w:ascii="Arial"/>
          <w:color w:val="010101"/>
          <w:sz w:val="18"/>
        </w:rPr>
        <w:t>a  </w:t>
      </w:r>
      <w:r>
        <w:rPr>
          <w:color w:val="010101"/>
          <w:sz w:val="21"/>
        </w:rPr>
        <w:t>10-payment  15-year</w:t>
      </w:r>
      <w:r>
        <w:rPr>
          <w:color w:val="010101"/>
          <w:spacing w:val="34"/>
          <w:sz w:val="21"/>
        </w:rPr>
        <w:t> </w:t>
      </w:r>
      <w:r>
        <w:rPr>
          <w:color w:val="010101"/>
          <w:sz w:val="21"/>
        </w:rPr>
        <w:t>endowment</w:t>
      </w:r>
    </w:p>
    <w:p>
      <w:pPr>
        <w:spacing w:line="246" w:lineRule="exact" w:before="0"/>
        <w:ind w:left="143" w:right="0" w:hanging="4"/>
        <w:jc w:val="both"/>
        <w:rPr>
          <w:sz w:val="21"/>
        </w:rPr>
      </w:pPr>
      <w:r>
        <w:rPr>
          <w:color w:val="010101"/>
          <w:sz w:val="21"/>
        </w:rPr>
        <w:t>of  $1 issued  at age </w:t>
      </w:r>
      <w:r>
        <w:rPr>
          <w:color w:val="010101"/>
          <w:sz w:val="20"/>
        </w:rPr>
        <w:t>35, </w:t>
      </w:r>
      <w:r>
        <w:rPr>
          <w:color w:val="010101"/>
          <w:sz w:val="21"/>
        </w:rPr>
        <w:t>and let us adopt the  1958  </w:t>
      </w:r>
      <w:r>
        <w:rPr>
          <w:rFonts w:ascii="Arial"/>
          <w:color w:val="010101"/>
          <w:sz w:val="28"/>
        </w:rPr>
        <w:t>eso   </w:t>
      </w:r>
      <w:r>
        <w:rPr>
          <w:color w:val="010101"/>
          <w:sz w:val="21"/>
        </w:rPr>
        <w:t>mortality</w:t>
      </w:r>
    </w:p>
    <w:p>
      <w:pPr>
        <w:spacing w:line="235" w:lineRule="auto" w:before="0"/>
        <w:ind w:left="132" w:right="118" w:firstLine="10"/>
        <w:jc w:val="both"/>
        <w:rPr>
          <w:sz w:val="21"/>
        </w:rPr>
      </w:pPr>
      <w:r>
        <w:rPr>
          <w:color w:val="010101"/>
          <w:sz w:val="21"/>
        </w:rPr>
        <w:t>basis with interest at </w:t>
      </w:r>
      <w:r>
        <w:rPr>
          <w:rFonts w:ascii="Arial" w:hAnsi="Arial"/>
          <w:color w:val="010101"/>
          <w:sz w:val="20"/>
        </w:rPr>
        <w:t>3 </w:t>
      </w:r>
      <w:r>
        <w:rPr>
          <w:rFonts w:ascii="Arial" w:hAnsi="Arial"/>
          <w:color w:val="010101"/>
          <w:sz w:val="19"/>
        </w:rPr>
        <w:t>% </w:t>
      </w:r>
      <w:r>
        <w:rPr>
          <w:color w:val="010101"/>
          <w:sz w:val="20"/>
        </w:rPr>
        <w:t>per </w:t>
      </w:r>
      <w:r>
        <w:rPr>
          <w:color w:val="010101"/>
          <w:sz w:val="21"/>
        </w:rPr>
        <w:t>annum. We note that in  the </w:t>
      </w:r>
      <w:r>
        <w:rPr>
          <w:rFonts w:ascii="Arial" w:hAnsi="Arial"/>
          <w:color w:val="010101"/>
          <w:sz w:val="20"/>
        </w:rPr>
        <w:t>CSO  </w:t>
      </w:r>
      <w:r>
        <w:rPr>
          <w:color w:val="010101"/>
          <w:sz w:val="21"/>
        </w:rPr>
        <w:t>table </w:t>
      </w:r>
      <w:r>
        <w:rPr>
          <w:color w:val="010101"/>
          <w:spacing w:val="-10"/>
          <w:sz w:val="21"/>
        </w:rPr>
        <w:t>[</w:t>
      </w:r>
      <w:r>
        <w:rPr>
          <w:color w:val="010101"/>
          <w:spacing w:val="-10"/>
          <w:position w:val="-2"/>
          <w:sz w:val="12"/>
        </w:rPr>
        <w:t>36 </w:t>
      </w:r>
      <w:r>
        <w:rPr>
          <w:color w:val="010101"/>
          <w:sz w:val="21"/>
        </w:rPr>
        <w:t>equals 9,373,807 and it is therefore convenient to com­ mence with 9,373,807 policies issued at age 35. The net leve) premium </w:t>
      </w:r>
      <w:r>
        <w:rPr>
          <w:color w:val="010101"/>
          <w:sz w:val="20"/>
        </w:rPr>
        <w:t>for </w:t>
      </w:r>
      <w:r>
        <w:rPr>
          <w:color w:val="010101"/>
          <w:sz w:val="21"/>
        </w:rPr>
        <w:t>each policy </w:t>
      </w:r>
      <w:r>
        <w:rPr>
          <w:color w:val="010101"/>
          <w:spacing w:val="11"/>
          <w:sz w:val="21"/>
        </w:rPr>
        <w:t> </w:t>
      </w:r>
      <w:r>
        <w:rPr>
          <w:color w:val="010101"/>
          <w:sz w:val="21"/>
        </w:rPr>
        <w:t>is</w:t>
      </w:r>
    </w:p>
    <w:p>
      <w:pPr>
        <w:tabs>
          <w:tab w:pos="2181" w:val="left" w:leader="none"/>
        </w:tabs>
        <w:spacing w:line="285" w:lineRule="exact" w:before="65"/>
        <w:ind w:left="1675" w:right="0" w:firstLine="0"/>
        <w:jc w:val="left"/>
        <w:rPr>
          <w:i/>
          <w:sz w:val="22"/>
        </w:rPr>
      </w:pPr>
      <w:r>
        <w:rPr/>
        <w:pict>
          <v:shape style="position:absolute;margin-left:224.215195pt;margin-top:14.185575pt;width:6.8pt;height:14pt;mso-position-horizontal-relative:page;mso-position-vertical-relative:paragraph;z-index:-727072" type="#_x0000_t202" filled="false" stroked="false">
            <v:textbox inset="0,0,0,0">
              <w:txbxContent>
                <w:p>
                  <w:pPr>
                    <w:spacing w:line="280" w:lineRule="exact" w:before="0"/>
                    <w:ind w:left="0" w:right="0" w:firstLine="0"/>
                    <w:jc w:val="left"/>
                    <w:rPr>
                      <w:sz w:val="28"/>
                    </w:rPr>
                  </w:pPr>
                  <w:r>
                    <w:rPr>
                      <w:color w:val="010101"/>
                      <w:w w:val="85"/>
                      <w:sz w:val="28"/>
                    </w:rPr>
                    <w:t>=</w:t>
                  </w:r>
                </w:p>
              </w:txbxContent>
            </v:textbox>
            <w10:wrap type="none"/>
          </v:shape>
        </w:pict>
      </w:r>
      <w:r>
        <w:rPr>
          <w:color w:val="010101"/>
          <w:w w:val="140"/>
          <w:sz w:val="21"/>
        </w:rPr>
        <w:t>_</w:t>
        <w:tab/>
      </w:r>
      <w:r>
        <w:rPr>
          <w:b/>
          <w:i/>
          <w:color w:val="010101"/>
          <w:w w:val="95"/>
          <w:sz w:val="21"/>
        </w:rPr>
        <w:t>M</w:t>
      </w:r>
      <w:r>
        <w:rPr>
          <w:b/>
          <w:i/>
          <w:color w:val="010101"/>
          <w:spacing w:val="-33"/>
          <w:w w:val="95"/>
          <w:sz w:val="21"/>
        </w:rPr>
        <w:t> </w:t>
      </w:r>
      <w:r>
        <w:rPr>
          <w:b/>
          <w:color w:val="010101"/>
          <w:w w:val="95"/>
          <w:sz w:val="13"/>
        </w:rPr>
        <w:t>36</w:t>
      </w:r>
      <w:r>
        <w:rPr>
          <w:b/>
          <w:color w:val="010101"/>
          <w:spacing w:val="23"/>
          <w:w w:val="95"/>
          <w:sz w:val="13"/>
        </w:rPr>
        <w:t> </w:t>
      </w:r>
      <w:r>
        <w:rPr>
          <w:color w:val="010101"/>
          <w:w w:val="400"/>
          <w:sz w:val="13"/>
        </w:rPr>
        <w:t>-</w:t>
      </w:r>
      <w:r>
        <w:rPr>
          <w:color w:val="010101"/>
          <w:spacing w:val="-100"/>
          <w:w w:val="400"/>
          <w:sz w:val="13"/>
        </w:rPr>
        <w:t> </w:t>
      </w:r>
      <w:r>
        <w:rPr>
          <w:i/>
          <w:color w:val="010101"/>
          <w:w w:val="95"/>
          <w:sz w:val="22"/>
        </w:rPr>
        <w:t>M</w:t>
      </w:r>
      <w:r>
        <w:rPr>
          <w:i/>
          <w:color w:val="010101"/>
          <w:spacing w:val="-33"/>
          <w:w w:val="95"/>
          <w:sz w:val="22"/>
        </w:rPr>
        <w:t> </w:t>
      </w:r>
      <w:r>
        <w:rPr>
          <w:color w:val="010101"/>
          <w:w w:val="125"/>
          <w:sz w:val="13"/>
        </w:rPr>
        <w:t>i0</w:t>
      </w:r>
      <w:r>
        <w:rPr>
          <w:color w:val="010101"/>
          <w:spacing w:val="4"/>
          <w:w w:val="125"/>
          <w:sz w:val="13"/>
        </w:rPr>
        <w:t> </w:t>
      </w:r>
      <w:r>
        <w:rPr>
          <w:rFonts w:ascii="Arial" w:hAnsi="Arial"/>
          <w:color w:val="010101"/>
          <w:w w:val="125"/>
          <w:sz w:val="32"/>
        </w:rPr>
        <w:t>+</w:t>
      </w:r>
      <w:r>
        <w:rPr>
          <w:rFonts w:ascii="Arial" w:hAnsi="Arial"/>
          <w:color w:val="010101"/>
          <w:spacing w:val="-84"/>
          <w:w w:val="125"/>
          <w:sz w:val="32"/>
        </w:rPr>
        <w:t> </w:t>
      </w:r>
      <w:r>
        <w:rPr>
          <w:i/>
          <w:color w:val="010101"/>
          <w:w w:val="95"/>
          <w:sz w:val="22"/>
        </w:rPr>
        <w:t>D¡o</w:t>
      </w:r>
    </w:p>
    <w:p>
      <w:pPr>
        <w:tabs>
          <w:tab w:pos="1270" w:val="left" w:leader="none"/>
          <w:tab w:pos="1876" w:val="left" w:leader="none"/>
          <w:tab w:pos="2827" w:val="left" w:leader="none"/>
        </w:tabs>
        <w:spacing w:line="186" w:lineRule="exact" w:before="0"/>
        <w:ind w:left="7" w:right="0" w:firstLine="0"/>
        <w:jc w:val="center"/>
        <w:rPr>
          <w:sz w:val="21"/>
        </w:rPr>
      </w:pPr>
      <w:r>
        <w:rPr/>
        <w:pict>
          <v:line style="position:absolute;mso-position-horizontal-relative:page;mso-position-vertical-relative:paragraph;z-index:-727096" from="158.565002pt,10.577138pt" to="195.695102pt,10.577138pt" stroked="true" strokeweight="5.201794pt" strokecolor="#000000">
            <w10:wrap type="none"/>
          </v:line>
        </w:pict>
      </w:r>
      <w:r>
        <w:rPr>
          <w:color w:val="010101"/>
          <w:spacing w:val="-6"/>
          <w:w w:val="110"/>
          <w:sz w:val="14"/>
        </w:rPr>
        <w:t>1oP3i:U</w:t>
      </w:r>
      <w:r>
        <w:rPr>
          <w:color w:val="010101"/>
          <w:spacing w:val="-20"/>
          <w:w w:val="110"/>
          <w:sz w:val="14"/>
        </w:rPr>
        <w:t> </w:t>
      </w:r>
      <w:r>
        <w:rPr>
          <w:color w:val="010101"/>
          <w:w w:val="75"/>
          <w:sz w:val="14"/>
        </w:rPr>
        <w:t>j    </w:t>
      </w:r>
      <w:r>
        <w:rPr>
          <w:color w:val="010101"/>
          <w:spacing w:val="6"/>
          <w:w w:val="75"/>
          <w:sz w:val="14"/>
        </w:rPr>
        <w:t> </w:t>
      </w:r>
      <w:r>
        <w:rPr>
          <w:color w:val="010101"/>
          <w:sz w:val="26"/>
        </w:rPr>
        <w:t>=</w:t>
        <w:tab/>
      </w:r>
      <w:r>
        <w:rPr>
          <w:i/>
          <w:color w:val="010101"/>
          <w:sz w:val="20"/>
        </w:rPr>
        <w:t>N</w:t>
        <w:tab/>
        <w:t>N</w:t>
        <w:tab/>
      </w:r>
      <w:r>
        <w:rPr>
          <w:color w:val="010101"/>
          <w:sz w:val="21"/>
        </w:rPr>
        <w:t>.074905,</w:t>
      </w:r>
    </w:p>
    <w:p>
      <w:pPr>
        <w:tabs>
          <w:tab w:pos="709" w:val="left" w:leader="none"/>
        </w:tabs>
        <w:spacing w:line="120" w:lineRule="exact" w:before="0"/>
        <w:ind w:left="102" w:right="0" w:firstLine="0"/>
        <w:jc w:val="center"/>
        <w:rPr>
          <w:b/>
          <w:sz w:val="12"/>
        </w:rPr>
      </w:pPr>
      <w:r>
        <w:rPr>
          <w:b/>
          <w:color w:val="010101"/>
          <w:w w:val="105"/>
          <w:sz w:val="13"/>
        </w:rPr>
        <w:t>31 </w:t>
      </w:r>
      <w:r>
        <w:rPr>
          <w:b/>
          <w:color w:val="010101"/>
          <w:spacing w:val="13"/>
          <w:w w:val="105"/>
          <w:sz w:val="13"/>
        </w:rPr>
        <w:t> </w:t>
      </w:r>
      <w:r>
        <w:rPr>
          <w:color w:val="010101"/>
          <w:w w:val="405"/>
          <w:sz w:val="13"/>
        </w:rPr>
        <w:t>-</w:t>
        <w:tab/>
      </w:r>
      <w:r>
        <w:rPr>
          <w:b/>
          <w:color w:val="010101"/>
          <w:w w:val="150"/>
          <w:sz w:val="12"/>
        </w:rPr>
        <w:t>'6</w:t>
      </w:r>
    </w:p>
    <w:p>
      <w:pPr>
        <w:pStyle w:val="BodyText"/>
        <w:spacing w:before="6"/>
        <w:rPr>
          <w:b/>
          <w:sz w:val="12"/>
        </w:rPr>
      </w:pPr>
    </w:p>
    <w:p>
      <w:pPr>
        <w:spacing w:line="237" w:lineRule="auto" w:before="0"/>
        <w:ind w:left="125" w:right="129" w:firstLine="10"/>
        <w:jc w:val="both"/>
        <w:rPr>
          <w:sz w:val="21"/>
        </w:rPr>
      </w:pPr>
      <w:r>
        <w:rPr>
          <w:color w:val="010101"/>
          <w:sz w:val="21"/>
        </w:rPr>
        <w:t>and the total amount of premium paid in the first year by the 9,373,807 lives is $702,145. Let us trace the history of this initial fund of $702,145 as it is augmented by interest eamings,  reduced by claim payments, increased by  additional  premium  payments, and so on, until at the end of 15 years ali the remaining policies mature.  The details are shown  in Table 4.</w:t>
      </w:r>
    </w:p>
    <w:p>
      <w:pPr>
        <w:spacing w:line="237" w:lineRule="auto" w:before="2"/>
        <w:ind w:left="118" w:right="134" w:firstLine="204"/>
        <w:jc w:val="both"/>
        <w:rPr>
          <w:sz w:val="21"/>
        </w:rPr>
      </w:pPr>
      <w:r>
        <w:rPr>
          <w:color w:val="010101"/>
          <w:sz w:val="21"/>
        </w:rPr>
        <w:t>At the end of the first year, the fund has grown to $723,209 by  the addition of intere.st at 3 </w:t>
      </w:r>
      <w:r>
        <w:rPr>
          <w:color w:val="010101"/>
          <w:sz w:val="22"/>
        </w:rPr>
        <w:t>%. </w:t>
      </w:r>
      <w:r>
        <w:rPr>
          <w:color w:val="010101"/>
          <w:sz w:val="21"/>
        </w:rPr>
        <w:t>The </w:t>
      </w:r>
      <w:r>
        <w:rPr>
          <w:color w:val="010101"/>
          <w:spacing w:val="-10"/>
          <w:sz w:val="21"/>
        </w:rPr>
        <w:t>1958 </w:t>
      </w:r>
      <w:r>
        <w:rPr>
          <w:color w:val="010101"/>
          <w:sz w:val="21"/>
        </w:rPr>
        <w:t>CSO table  indicates 23,528 deaths at age </w:t>
      </w:r>
      <w:r>
        <w:rPr>
          <w:i/>
          <w:color w:val="010101"/>
          <w:sz w:val="21"/>
        </w:rPr>
        <w:t>35 </w:t>
      </w:r>
      <w:r>
        <w:rPr>
          <w:color w:val="010101"/>
          <w:sz w:val="21"/>
        </w:rPr>
        <w:t>out of the original group and, after  the claim payments have been deducted, the </w:t>
      </w:r>
      <w:r>
        <w:rPr>
          <w:color w:val="010101"/>
          <w:spacing w:val="3"/>
          <w:sz w:val="21"/>
        </w:rPr>
        <w:t>fund </w:t>
      </w:r>
      <w:r>
        <w:rPr>
          <w:color w:val="010101"/>
          <w:sz w:val="21"/>
        </w:rPr>
        <w:t>stands at $699,681. The second year's premium is now payable </w:t>
      </w:r>
      <w:r>
        <w:rPr>
          <w:rFonts w:ascii="Arial" w:hAnsi="Arial"/>
          <w:color w:val="010101"/>
          <w:spacing w:val="3"/>
          <w:sz w:val="18"/>
        </w:rPr>
        <w:t>f</w:t>
      </w:r>
      <w:r>
        <w:rPr>
          <w:color w:val="010101"/>
          <w:spacing w:val="3"/>
          <w:sz w:val="21"/>
        </w:rPr>
        <w:t>rom </w:t>
      </w:r>
      <w:r>
        <w:rPr>
          <w:color w:val="010101"/>
          <w:sz w:val="21"/>
        </w:rPr>
        <w:t>each oí the 9,350,279 survivors at age 36, a total of  $700,383,  which,  added  to the existing fund of $699,681, brings the fund to $1,400,064 at the beginning of the second year. The subsequent operation of the fund should now </w:t>
      </w:r>
      <w:r>
        <w:rPr>
          <w:color w:val="010101"/>
          <w:sz w:val="20"/>
        </w:rPr>
        <w:t>be </w:t>
      </w:r>
      <w:r>
        <w:rPr>
          <w:color w:val="010101"/>
          <w:sz w:val="21"/>
        </w:rPr>
        <w:t>cleá.r  from Table  4. After  the first  10 years, no further premiums are credited, and the only increment </w:t>
      </w:r>
      <w:r>
        <w:rPr>
          <w:rFonts w:ascii="Arial" w:hAnsi="Arial"/>
          <w:color w:val="010101"/>
          <w:sz w:val="20"/>
        </w:rPr>
        <w:t>is </w:t>
      </w:r>
      <w:r>
        <w:rPr>
          <w:color w:val="010101"/>
          <w:sz w:val="21"/>
        </w:rPr>
        <w:t>in­ terest. At the end of  the  </w:t>
      </w:r>
      <w:r>
        <w:rPr>
          <w:color w:val="010101"/>
          <w:spacing w:val="-18"/>
          <w:sz w:val="21"/>
        </w:rPr>
        <w:t>15 </w:t>
      </w:r>
      <w:r>
        <w:rPr>
          <w:color w:val="010101"/>
          <w:sz w:val="21"/>
        </w:rPr>
        <w:t>year period,  the fund has built  up to  the a.mount which </w:t>
      </w:r>
      <w:r>
        <w:rPr>
          <w:rFonts w:ascii="Arial" w:hAnsi="Arial"/>
          <w:color w:val="010101"/>
          <w:sz w:val="19"/>
        </w:rPr>
        <w:t>is </w:t>
      </w:r>
      <w:r>
        <w:rPr>
          <w:color w:val="010101"/>
          <w:sz w:val="21"/>
        </w:rPr>
        <w:t>exactly sufficient to provide the required endowment  of  </w:t>
      </w:r>
      <w:r>
        <w:rPr>
          <w:color w:val="010101"/>
          <w:spacing w:val="-6"/>
          <w:sz w:val="21"/>
        </w:rPr>
        <w:t>$1 </w:t>
      </w:r>
      <w:r>
        <w:rPr>
          <w:color w:val="010101"/>
          <w:sz w:val="22"/>
        </w:rPr>
        <w:t>to </w:t>
      </w:r>
      <w:r>
        <w:rPr>
          <w:color w:val="010101"/>
          <w:sz w:val="21"/>
        </w:rPr>
        <w:t>each of  the lives that are surviving at age </w:t>
      </w:r>
      <w:r>
        <w:rPr>
          <w:color w:val="010101"/>
          <w:spacing w:val="42"/>
          <w:sz w:val="21"/>
        </w:rPr>
        <w:t> </w:t>
      </w:r>
      <w:r>
        <w:rPr>
          <w:color w:val="010101"/>
          <w:sz w:val="21"/>
        </w:rPr>
        <w:t>50.</w:t>
      </w:r>
    </w:p>
    <w:p>
      <w:pPr>
        <w:spacing w:after="0" w:line="237" w:lineRule="auto"/>
        <w:jc w:val="both"/>
        <w:rPr>
          <w:sz w:val="21"/>
        </w:rPr>
        <w:sectPr>
          <w:pgSz w:w="7200" w:h="11340"/>
          <w:pgMar w:top="520" w:bottom="280" w:left="660" w:right="540"/>
        </w:sectPr>
      </w:pPr>
    </w:p>
    <w:p>
      <w:pPr>
        <w:tabs>
          <w:tab w:pos="1738" w:val="left" w:leader="none"/>
          <w:tab w:pos="5757" w:val="right" w:leader="none"/>
        </w:tabs>
        <w:spacing w:before="65"/>
        <w:ind w:left="0" w:right="59" w:firstLine="0"/>
        <w:jc w:val="center"/>
        <w:rPr>
          <w:sz w:val="20"/>
        </w:rPr>
      </w:pPr>
      <w:r>
        <w:rPr>
          <w:b/>
          <w:sz w:val="15"/>
        </w:rPr>
        <w:t>SEC.</w:t>
      </w:r>
      <w:r>
        <w:rPr>
          <w:b/>
          <w:spacing w:val="29"/>
          <w:sz w:val="15"/>
        </w:rPr>
        <w:t> </w:t>
      </w:r>
      <w:r>
        <w:rPr>
          <w:rFonts w:ascii="Arial"/>
          <w:b/>
          <w:sz w:val="20"/>
        </w:rPr>
        <w:t>3)</w:t>
        <w:tab/>
      </w:r>
      <w:r>
        <w:rPr>
          <w:b/>
          <w:position w:val="1"/>
          <w:sz w:val="15"/>
        </w:rPr>
        <w:t>RETROSPECTIVE  </w:t>
      </w:r>
      <w:r>
        <w:rPr>
          <w:b/>
          <w:spacing w:val="9"/>
          <w:position w:val="1"/>
          <w:sz w:val="15"/>
        </w:rPr>
        <w:t> </w:t>
      </w:r>
      <w:r>
        <w:rPr>
          <w:b/>
          <w:position w:val="1"/>
          <w:sz w:val="15"/>
        </w:rPr>
        <w:t>FORMULAS</w:t>
      </w:r>
      <w:r>
        <w:rPr>
          <w:position w:val="1"/>
          <w:sz w:val="20"/>
        </w:rPr>
        <w:tab/>
      </w:r>
      <w:r>
        <w:rPr>
          <w:spacing w:val="-16"/>
          <w:position w:val="1"/>
          <w:sz w:val="20"/>
        </w:rPr>
        <w:t>101</w:t>
      </w:r>
    </w:p>
    <w:p>
      <w:pPr>
        <w:pStyle w:val="BodyText"/>
        <w:spacing w:before="5"/>
        <w:rPr>
          <w:sz w:val="19"/>
        </w:rPr>
      </w:pPr>
    </w:p>
    <w:p>
      <w:pPr>
        <w:spacing w:line="235" w:lineRule="auto" w:before="1"/>
        <w:ind w:left="106" w:right="166" w:firstLine="205"/>
        <w:jc w:val="both"/>
        <w:rPr>
          <w:sz w:val="21"/>
        </w:rPr>
      </w:pPr>
      <w:r>
        <w:rPr>
          <w:sz w:val="22"/>
        </w:rPr>
        <w:t>It </w:t>
      </w:r>
      <w:r>
        <w:rPr>
          <w:rFonts w:ascii="Arial"/>
          <w:sz w:val="19"/>
        </w:rPr>
        <w:t>is </w:t>
      </w:r>
      <w:r>
        <w:rPr>
          <w:sz w:val="21"/>
        </w:rPr>
        <w:t>evident from the table that the net premiums received are more tha.n sufficient </w:t>
      </w:r>
      <w:r>
        <w:rPr>
          <w:sz w:val="22"/>
        </w:rPr>
        <w:t>to </w:t>
      </w:r>
      <w:r>
        <w:rPr>
          <w:sz w:val="21"/>
        </w:rPr>
        <w:t>meet the death  claim  payments  that become due, and that the accumulated excess  gives  rise  to  the </w:t>
      </w:r>
      <w:r>
        <w:rPr>
          <w:sz w:val="22"/>
        </w:rPr>
        <w:t>total </w:t>
      </w:r>
      <w:r>
        <w:rPr>
          <w:sz w:val="21"/>
        </w:rPr>
        <w:t>fund whose growth is shown in column (6). This excess of accumulated premiums over accumulated benefits is precisely the aggregate  reserve  for the group of  policies  according  to the retro-</w:t>
      </w:r>
    </w:p>
    <w:p>
      <w:pPr>
        <w:pStyle w:val="BodyText"/>
        <w:spacing w:before="11"/>
      </w:pPr>
    </w:p>
    <w:p>
      <w:pPr>
        <w:spacing w:before="0"/>
        <w:ind w:left="467" w:right="543" w:firstLine="0"/>
        <w:jc w:val="center"/>
        <w:rPr>
          <w:sz w:val="18"/>
        </w:rPr>
      </w:pPr>
      <w:r>
        <w:rPr>
          <w:sz w:val="18"/>
        </w:rPr>
        <w:t>TABLE  4</w:t>
      </w:r>
    </w:p>
    <w:p>
      <w:pPr>
        <w:spacing w:line="202" w:lineRule="exact" w:before="44"/>
        <w:ind w:left="476" w:right="543" w:firstLine="0"/>
        <w:jc w:val="center"/>
        <w:rPr>
          <w:rFonts w:ascii="Courier New"/>
          <w:sz w:val="18"/>
        </w:rPr>
      </w:pPr>
      <w:r>
        <w:rPr>
          <w:b/>
          <w:w w:val="105"/>
          <w:sz w:val="13"/>
        </w:rPr>
        <w:t>ACCUMULATION </w:t>
      </w:r>
      <w:r>
        <w:rPr>
          <w:w w:val="105"/>
          <w:sz w:val="13"/>
        </w:rPr>
        <w:t>OF  FUNDS  </w:t>
      </w:r>
      <w:r>
        <w:rPr>
          <w:b/>
          <w:w w:val="105"/>
          <w:sz w:val="13"/>
        </w:rPr>
        <w:t>UNDER  </w:t>
      </w:r>
      <w:r>
        <w:rPr>
          <w:rFonts w:ascii="Courier New"/>
          <w:spacing w:val="-23"/>
          <w:w w:val="105"/>
          <w:sz w:val="18"/>
        </w:rPr>
        <w:t>9,373,807 </w:t>
      </w:r>
      <w:r>
        <w:rPr>
          <w:w w:val="105"/>
          <w:sz w:val="13"/>
        </w:rPr>
        <w:t>ENDOWMENT  POLJCIES OF   </w:t>
      </w:r>
      <w:r>
        <w:rPr>
          <w:b/>
          <w:w w:val="105"/>
          <w:sz w:val="19"/>
        </w:rPr>
        <w:t>$1  </w:t>
      </w:r>
      <w:r>
        <w:rPr>
          <w:w w:val="105"/>
          <w:sz w:val="13"/>
        </w:rPr>
        <w:t>ISSUED   </w:t>
      </w:r>
      <w:r>
        <w:rPr>
          <w:b/>
          <w:w w:val="105"/>
          <w:sz w:val="12"/>
        </w:rPr>
        <w:t>AT   </w:t>
      </w:r>
      <w:r>
        <w:rPr>
          <w:rFonts w:ascii="Arial"/>
          <w:b/>
          <w:w w:val="105"/>
          <w:sz w:val="12"/>
        </w:rPr>
        <w:t>AGE  </w:t>
      </w:r>
      <w:r>
        <w:rPr>
          <w:rFonts w:ascii="Courier New"/>
          <w:spacing w:val="-15"/>
          <w:w w:val="105"/>
          <w:sz w:val="18"/>
        </w:rPr>
        <w:t>35</w:t>
      </w:r>
    </w:p>
    <w:p>
      <w:pPr>
        <w:spacing w:line="189" w:lineRule="exact" w:before="54"/>
        <w:ind w:left="492" w:right="543" w:firstLine="0"/>
        <w:jc w:val="center"/>
        <w:rPr>
          <w:rFonts w:ascii="Courier New"/>
          <w:sz w:val="18"/>
        </w:rPr>
      </w:pPr>
      <w:r>
        <w:rPr>
          <w:rFonts w:ascii="Courier New"/>
          <w:spacing w:val="-25"/>
          <w:w w:val="82"/>
          <w:sz w:val="18"/>
        </w:rPr>
        <w:t>1</w:t>
      </w:r>
      <w:r>
        <w:rPr>
          <w:rFonts w:ascii="Courier New"/>
          <w:spacing w:val="-35"/>
          <w:w w:val="108"/>
          <w:sz w:val="18"/>
        </w:rPr>
        <w:t>9</w:t>
      </w:r>
      <w:r>
        <w:rPr>
          <w:rFonts w:ascii="Courier New"/>
          <w:w w:val="86"/>
          <w:sz w:val="18"/>
        </w:rPr>
        <w:t>58</w:t>
      </w:r>
      <w:r>
        <w:rPr>
          <w:rFonts w:ascii="Courier New"/>
          <w:spacing w:val="-73"/>
          <w:sz w:val="18"/>
        </w:rPr>
        <w:t> </w:t>
      </w:r>
      <w:r>
        <w:rPr>
          <w:rFonts w:ascii="Courier New"/>
          <w:spacing w:val="-18"/>
          <w:w w:val="132"/>
          <w:sz w:val="18"/>
        </w:rPr>
        <w:t>C</w:t>
      </w:r>
      <w:r>
        <w:rPr>
          <w:rFonts w:ascii="Courier New"/>
          <w:w w:val="106"/>
          <w:sz w:val="18"/>
        </w:rPr>
        <w:t>SO</w:t>
      </w:r>
      <w:r>
        <w:rPr>
          <w:rFonts w:ascii="Courier New"/>
          <w:spacing w:val="-66"/>
          <w:sz w:val="18"/>
        </w:rPr>
        <w:t> </w:t>
      </w:r>
      <w:r>
        <w:rPr>
          <w:rFonts w:ascii="Courier New"/>
          <w:spacing w:val="-24"/>
          <w:w w:val="101"/>
          <w:sz w:val="18"/>
        </w:rPr>
        <w:t>3</w:t>
      </w:r>
      <w:r>
        <w:rPr>
          <w:rFonts w:ascii="Courier New"/>
          <w:spacing w:val="4"/>
          <w:w w:val="198"/>
          <w:sz w:val="18"/>
        </w:rPr>
        <w:t>%</w:t>
      </w:r>
      <w:r>
        <w:rPr>
          <w:rFonts w:ascii="Courier New"/>
          <w:w w:val="74"/>
          <w:sz w:val="18"/>
        </w:rPr>
        <w:t>Basis</w:t>
      </w:r>
    </w:p>
    <w:p>
      <w:pPr>
        <w:spacing w:line="263" w:lineRule="exact" w:before="0"/>
        <w:ind w:left="509" w:right="543" w:firstLine="0"/>
        <w:jc w:val="center"/>
        <w:rPr>
          <w:rFonts w:ascii="Courier New"/>
          <w:sz w:val="18"/>
        </w:rPr>
      </w:pPr>
      <w:r>
        <w:rPr/>
        <w:pict>
          <v:group style="position:absolute;margin-left:39.224998pt;margin-top:14.585241pt;width:288.7pt;height:216.5pt;mso-position-horizontal-relative:page;mso-position-vertical-relative:paragraph;z-index:-726448" coordorigin="784,292" coordsize="5774,4330">
            <v:line style="position:absolute" from="1309,4601" to="1309,306" stroked="true" strokeweight=".72pt" strokecolor="#000000"/>
            <v:shape style="position:absolute;left:2707;top:2373;width:2121;height:1473" coordorigin="2707,2373" coordsize="2121,1473" path="m2707,308l4828,308m4185,1775l4185,303e" filled="false" stroked="true" strokeweight=".54pt" strokecolor="#000000">
              <v:path arrowok="t"/>
            </v:shape>
            <v:shape style="position:absolute;left:792;top:-464;width:5732;height:4306" coordorigin="792,-464" coordsize="5732,4306" path="m792,310l6523,310m1987,4612l1987,306e" filled="false" stroked="true" strokeweight=".72pt" strokecolor="#000000">
              <v:path arrowok="t"/>
            </v:shape>
            <v:shape style="position:absolute;left:792;top:1138;width:5717;height:2204" coordorigin="792,1138" coordsize="5717,2204" path="m5022,3010l5022,807m792,1433l6509,1433e" filled="false" stroked="true" strokeweight=".54pt" strokecolor="#000000">
              <v:path arrowok="t"/>
            </v:shape>
            <v:line style="position:absolute" from="3587,1815" to="3587,965" stroked="true" strokeweight=".72pt" strokecolor="#000000"/>
            <v:line style="position:absolute" from="5897,1430" to="5897,1170" stroked="true" strokeweight=".18pt" strokecolor="#000000"/>
            <v:line style="position:absolute" from="5893,1435" to="6512,1435" stroked="true" strokeweight=".54pt" strokecolor="#000000"/>
            <v:line style="position:absolute" from="3586,2178" to="3586,1718" stroked="true" strokeweight=".36pt" strokecolor="#000000"/>
            <v:line style="position:absolute" from="5866,2430" to="5866,1055" stroked="true" strokeweight=".18pt" strokecolor="#000000"/>
            <v:line style="position:absolute" from="2747,3608" to="2747,299" stroked="true" strokeweight=".72pt" strokecolor="#000000"/>
            <v:shape style="position:absolute;left:2747;top:-468;width:836;height:2621" coordorigin="2747,-468" coordsize="836,2621" path="m3582,4616l3582,1995m2747,4428l2747,2218m2747,4601l2747,3694e" filled="false" stroked="true" strokeweight=".54pt" strokecolor="#000000">
              <v:path arrowok="t"/>
            </v:shape>
            <v:shape style="position:absolute;left:1309;top:310;width:679;height:1124" type="#_x0000_t202" filled="false" stroked="false">
              <v:textbox inset="0,0,0,0">
                <w:txbxContent>
                  <w:p>
                    <w:pPr>
                      <w:spacing w:line="240" w:lineRule="auto" w:before="6"/>
                      <w:rPr>
                        <w:sz w:val="10"/>
                      </w:rPr>
                    </w:pPr>
                  </w:p>
                  <w:p>
                    <w:pPr>
                      <w:spacing w:before="1"/>
                      <w:ind w:left="82" w:right="65" w:firstLine="0"/>
                      <w:jc w:val="center"/>
                      <w:rPr>
                        <w:sz w:val="12"/>
                      </w:rPr>
                    </w:pPr>
                    <w:r>
                      <w:rPr>
                        <w:w w:val="110"/>
                        <w:sz w:val="12"/>
                      </w:rPr>
                      <w:t>(2)</w:t>
                    </w:r>
                  </w:p>
                  <w:p>
                    <w:pPr>
                      <w:spacing w:line="240" w:lineRule="auto" w:before="5"/>
                      <w:rPr>
                        <w:sz w:val="15"/>
                      </w:rPr>
                    </w:pPr>
                  </w:p>
                  <w:p>
                    <w:pPr>
                      <w:spacing w:line="187" w:lineRule="auto" w:before="0"/>
                      <w:ind w:left="48" w:right="60" w:firstLine="9"/>
                      <w:jc w:val="center"/>
                      <w:rPr>
                        <w:b/>
                        <w:sz w:val="13"/>
                      </w:rPr>
                    </w:pPr>
                    <w:r>
                      <w:rPr>
                        <w:sz w:val="14"/>
                      </w:rPr>
                      <w:t>Total Premiums</w:t>
                    </w:r>
                    <w:r>
                      <w:rPr>
                        <w:w w:val="99"/>
                        <w:sz w:val="14"/>
                      </w:rPr>
                      <w:t> </w:t>
                    </w:r>
                    <w:r>
                      <w:rPr>
                        <w:b/>
                        <w:sz w:val="13"/>
                      </w:rPr>
                      <w:t>Received</w:t>
                    </w:r>
                  </w:p>
                  <w:p>
                    <w:pPr>
                      <w:spacing w:line="137" w:lineRule="exact" w:before="0"/>
                      <w:ind w:left="82" w:right="87" w:firstLine="0"/>
                      <w:jc w:val="center"/>
                      <w:rPr>
                        <w:rFonts w:ascii="Arial"/>
                        <w:b/>
                        <w:i/>
                        <w:sz w:val="12"/>
                      </w:rPr>
                    </w:pPr>
                    <w:r>
                      <w:rPr>
                        <w:rFonts w:ascii="Arial"/>
                        <w:b/>
                        <w:i/>
                        <w:w w:val="110"/>
                        <w:sz w:val="12"/>
                      </w:rPr>
                      <w:t>ln+t-l"P</w:t>
                    </w:r>
                  </w:p>
                </w:txbxContent>
              </v:textbox>
              <w10:wrap type="none"/>
            </v:shape>
            <v:shape style="position:absolute;left:1987;top:310;width:760;height:1124" type="#_x0000_t202" filled="false" stroked="false">
              <v:textbox inset="0,0,0,0">
                <w:txbxContent>
                  <w:p>
                    <w:pPr>
                      <w:spacing w:line="240" w:lineRule="auto" w:before="9"/>
                      <w:rPr>
                        <w:sz w:val="9"/>
                      </w:rPr>
                    </w:pPr>
                  </w:p>
                  <w:p>
                    <w:pPr>
                      <w:spacing w:before="0"/>
                      <w:ind w:left="295" w:right="265" w:firstLine="0"/>
                      <w:jc w:val="center"/>
                      <w:rPr>
                        <w:sz w:val="13"/>
                      </w:rPr>
                    </w:pPr>
                    <w:r>
                      <w:rPr>
                        <w:w w:val="105"/>
                        <w:sz w:val="13"/>
                      </w:rPr>
                      <w:t>(3)</w:t>
                    </w:r>
                  </w:p>
                  <w:p>
                    <w:pPr>
                      <w:spacing w:line="240" w:lineRule="auto" w:before="0"/>
                      <w:rPr>
                        <w:sz w:val="12"/>
                      </w:rPr>
                    </w:pPr>
                  </w:p>
                  <w:p>
                    <w:pPr>
                      <w:spacing w:line="187" w:lineRule="auto" w:before="95"/>
                      <w:ind w:left="17" w:right="14" w:hanging="61"/>
                      <w:jc w:val="center"/>
                      <w:rPr>
                        <w:sz w:val="14"/>
                      </w:rPr>
                    </w:pPr>
                    <w:r>
                      <w:rPr>
                        <w:w w:val="105"/>
                        <w:sz w:val="14"/>
                      </w:rPr>
                      <w:t>Total Fund </w:t>
                    </w:r>
                    <w:r>
                      <w:rPr>
                        <w:b/>
                        <w:w w:val="105"/>
                        <w:sz w:val="13"/>
                      </w:rPr>
                      <w:t>at Begio- </w:t>
                    </w:r>
                    <w:r>
                      <w:rPr>
                        <w:w w:val="105"/>
                        <w:sz w:val="14"/>
                      </w:rPr>
                      <w:t>oing of</w:t>
                    </w:r>
                    <w:r>
                      <w:rPr>
                        <w:spacing w:val="-26"/>
                        <w:w w:val="105"/>
                        <w:sz w:val="14"/>
                      </w:rPr>
                      <w:t> </w:t>
                    </w:r>
                    <w:r>
                      <w:rPr>
                        <w:w w:val="105"/>
                        <w:sz w:val="14"/>
                      </w:rPr>
                      <w:t>Year</w:t>
                    </w:r>
                  </w:p>
                </w:txbxContent>
              </v:textbox>
              <w10:wrap type="none"/>
            </v:shape>
            <v:shape style="position:absolute;left:965;top:436;width:152;height:130" type="#_x0000_t202" filled="false" stroked="false">
              <v:textbox inset="0,0,0,0">
                <w:txbxContent>
                  <w:p>
                    <w:pPr>
                      <w:spacing w:line="130" w:lineRule="exact" w:before="0"/>
                      <w:ind w:left="0" w:right="-20" w:firstLine="0"/>
                      <w:jc w:val="left"/>
                      <w:rPr>
                        <w:sz w:val="13"/>
                      </w:rPr>
                    </w:pPr>
                    <w:r>
                      <w:rPr>
                        <w:sz w:val="13"/>
                      </w:rPr>
                      <w:t>(1)</w:t>
                    </w:r>
                  </w:p>
                </w:txbxContent>
              </v:textbox>
              <w10:wrap type="none"/>
            </v:shape>
            <v:shape style="position:absolute;left:3096;top:444;width:153;height:120" type="#_x0000_t202" filled="false" stroked="false">
              <v:textbox inset="0,0,0,0">
                <w:txbxContent>
                  <w:p>
                    <w:pPr>
                      <w:spacing w:line="120" w:lineRule="exact" w:before="0"/>
                      <w:ind w:left="0" w:right="-14" w:firstLine="0"/>
                      <w:jc w:val="left"/>
                      <w:rPr>
                        <w:sz w:val="12"/>
                      </w:rPr>
                    </w:pPr>
                    <w:r>
                      <w:rPr>
                        <w:w w:val="105"/>
                        <w:sz w:val="12"/>
                      </w:rPr>
                      <w:t>(4)</w:t>
                    </w:r>
                  </w:p>
                </w:txbxContent>
              </v:textbox>
              <w10:wrap type="none"/>
            </v:shape>
            <v:shape style="position:absolute;left:3571;top:487;width:389;height:150" type="#_x0000_t202" filled="false" stroked="false">
              <v:textbox inset="0,0,0,0">
                <w:txbxContent>
                  <w:p>
                    <w:pPr>
                      <w:spacing w:line="150" w:lineRule="exact" w:before="0"/>
                      <w:ind w:left="0" w:right="0" w:firstLine="0"/>
                      <w:jc w:val="left"/>
                      <w:rPr>
                        <w:sz w:val="12"/>
                      </w:rPr>
                    </w:pPr>
                    <w:r>
                      <w:rPr>
                        <w:rFonts w:ascii="Arial"/>
                        <w:sz w:val="15"/>
                      </w:rPr>
                      <w:t>1   </w:t>
                    </w:r>
                    <w:r>
                      <w:rPr>
                        <w:sz w:val="12"/>
                      </w:rPr>
                      <w:t>(5)</w:t>
                    </w:r>
                  </w:p>
                </w:txbxContent>
              </v:textbox>
              <w10:wrap type="none"/>
            </v:shape>
            <v:shape style="position:absolute;left:4532;top:444;width:149;height:120" type="#_x0000_t202" filled="false" stroked="false">
              <v:textbox inset="0,0,0,0">
                <w:txbxContent>
                  <w:p>
                    <w:pPr>
                      <w:spacing w:line="120" w:lineRule="exact" w:before="0"/>
                      <w:ind w:left="0" w:right="-18" w:firstLine="0"/>
                      <w:jc w:val="left"/>
                      <w:rPr>
                        <w:sz w:val="12"/>
                      </w:rPr>
                    </w:pPr>
                    <w:r>
                      <w:rPr>
                        <w:w w:val="105"/>
                        <w:sz w:val="12"/>
                      </w:rPr>
                      <w:t>(6)</w:t>
                    </w:r>
                  </w:p>
                </w:txbxContent>
              </v:textbox>
              <w10:wrap type="none"/>
            </v:shape>
            <v:shape style="position:absolute;left:5011;top:489;width:520;height:310" type="#_x0000_t202" filled="false" stroked="false">
              <v:textbox inset="0,0,0,0">
                <w:txbxContent>
                  <w:p>
                    <w:pPr>
                      <w:tabs>
                        <w:tab w:pos="367" w:val="left" w:leader="none"/>
                      </w:tabs>
                      <w:spacing w:line="133" w:lineRule="exact" w:before="0"/>
                      <w:ind w:left="0" w:right="0" w:firstLine="0"/>
                      <w:jc w:val="left"/>
                      <w:rPr>
                        <w:sz w:val="12"/>
                      </w:rPr>
                    </w:pPr>
                    <w:r>
                      <w:rPr>
                        <w:rFonts w:ascii="Arial"/>
                        <w:sz w:val="13"/>
                      </w:rPr>
                      <w:t>1</w:t>
                      <w:tab/>
                    </w:r>
                    <w:r>
                      <w:rPr>
                        <w:sz w:val="12"/>
                      </w:rPr>
                      <w:t>(7)</w:t>
                    </w:r>
                  </w:p>
                  <w:p>
                    <w:pPr>
                      <w:spacing w:line="158" w:lineRule="exact" w:before="18"/>
                      <w:ind w:left="7" w:right="0" w:firstLine="0"/>
                      <w:jc w:val="left"/>
                      <w:rPr>
                        <w:sz w:val="14"/>
                      </w:rPr>
                    </w:pPr>
                    <w:r>
                      <w:rPr>
                        <w:w w:val="69"/>
                        <w:sz w:val="14"/>
                      </w:rPr>
                      <w:t>.</w:t>
                    </w:r>
                  </w:p>
                </w:txbxContent>
              </v:textbox>
              <w10:wrap type="none"/>
            </v:shape>
            <v:shape style="position:absolute;left:5846;top:473;width:619;height:326" type="#_x0000_t202" filled="false" stroked="false">
              <v:textbox inset="0,0,0,0">
                <w:txbxContent>
                  <w:p>
                    <w:pPr>
                      <w:spacing w:line="187" w:lineRule="auto" w:before="16"/>
                      <w:ind w:left="118" w:right="-9" w:hanging="119"/>
                      <w:jc w:val="left"/>
                      <w:rPr>
                        <w:sz w:val="14"/>
                      </w:rPr>
                    </w:pPr>
                    <w:r>
                      <w:rPr>
                        <w:rFonts w:ascii="Arial"/>
                        <w:w w:val="52"/>
                        <w:position w:val="5"/>
                        <w:sz w:val="15"/>
                      </w:rPr>
                      <w:t>1 </w:t>
                    </w:r>
                    <w:r>
                      <w:rPr>
                        <w:spacing w:val="-10"/>
                        <w:w w:val="102"/>
                        <w:sz w:val="14"/>
                      </w:rPr>
                      <w:t>Fun</w:t>
                    </w:r>
                    <w:r>
                      <w:rPr>
                        <w:spacing w:val="-10"/>
                        <w:w w:val="102"/>
                        <w:position w:val="5"/>
                        <w:sz w:val="12"/>
                      </w:rPr>
                      <w:t>(</w:t>
                    </w:r>
                    <w:r>
                      <w:rPr>
                        <w:spacing w:val="-10"/>
                        <w:w w:val="102"/>
                        <w:sz w:val="14"/>
                      </w:rPr>
                      <w:t>d</w:t>
                    </w:r>
                    <w:r>
                      <w:rPr>
                        <w:spacing w:val="-10"/>
                        <w:w w:val="102"/>
                        <w:position w:val="5"/>
                        <w:sz w:val="12"/>
                      </w:rPr>
                      <w:t>8)</w:t>
                    </w:r>
                    <w:r>
                      <w:rPr>
                        <w:spacing w:val="-10"/>
                        <w:w w:val="102"/>
                        <w:sz w:val="14"/>
                      </w:rPr>
                      <w:t>per</w:t>
                    </w:r>
                    <w:r>
                      <w:rPr>
                        <w:w w:val="102"/>
                        <w:sz w:val="14"/>
                      </w:rPr>
                      <w:t> </w:t>
                    </w:r>
                    <w:r>
                      <w:rPr>
                        <w:sz w:val="14"/>
                      </w:rPr>
                      <w:t>Survivor</w:t>
                    </w:r>
                  </w:p>
                </w:txbxContent>
              </v:textbox>
              <w10:wrap type="none"/>
            </v:shape>
            <v:shape style="position:absolute;left:850;top:925;width:361;height:130" type="#_x0000_t202" filled="false" stroked="false">
              <v:textbox inset="0,0,0,0">
                <w:txbxContent>
                  <w:p>
                    <w:pPr>
                      <w:spacing w:line="130" w:lineRule="exact" w:before="0"/>
                      <w:ind w:left="0" w:right="-17" w:firstLine="0"/>
                      <w:jc w:val="left"/>
                      <w:rPr>
                        <w:rFonts w:ascii="Arial"/>
                        <w:i/>
                        <w:sz w:val="12"/>
                      </w:rPr>
                    </w:pPr>
                    <w:r>
                      <w:rPr>
                        <w:b/>
                        <w:w w:val="105"/>
                        <w:sz w:val="13"/>
                      </w:rPr>
                      <w:t>Year </w:t>
                    </w:r>
                    <w:r>
                      <w:rPr>
                        <w:rFonts w:ascii="Arial"/>
                        <w:i/>
                        <w:w w:val="105"/>
                        <w:sz w:val="12"/>
                      </w:rPr>
                      <w:t>I</w:t>
                    </w:r>
                  </w:p>
                </w:txbxContent>
              </v:textbox>
              <w10:wrap type="none"/>
            </v:shape>
            <v:shape style="position:absolute;left:2862;top:795;width:598;height:378" type="#_x0000_t202" filled="false" stroked="false">
              <v:textbox inset="0,0,0,0">
                <w:txbxContent>
                  <w:p>
                    <w:pPr>
                      <w:spacing w:line="201" w:lineRule="auto" w:before="3"/>
                      <w:ind w:left="64" w:right="-19" w:hanging="65"/>
                      <w:jc w:val="left"/>
                      <w:rPr>
                        <w:sz w:val="12"/>
                      </w:rPr>
                    </w:pPr>
                    <w:r>
                      <w:rPr>
                        <w:w w:val="105"/>
                        <w:sz w:val="14"/>
                      </w:rPr>
                      <w:t>Fund</w:t>
                    </w:r>
                    <w:r>
                      <w:rPr>
                        <w:spacing w:val="-3"/>
                        <w:w w:val="105"/>
                        <w:sz w:val="14"/>
                      </w:rPr>
                      <w:t> </w:t>
                    </w:r>
                    <w:r>
                      <w:rPr>
                        <w:w w:val="105"/>
                        <w:sz w:val="14"/>
                      </w:rPr>
                      <w:t>with</w:t>
                    </w:r>
                    <w:r>
                      <w:rPr>
                        <w:w w:val="99"/>
                        <w:sz w:val="14"/>
                      </w:rPr>
                      <w:t> </w:t>
                    </w:r>
                    <w:r>
                      <w:rPr>
                        <w:b/>
                        <w:w w:val="105"/>
                        <w:sz w:val="13"/>
                      </w:rPr>
                      <w:t>Interest </w:t>
                    </w:r>
                    <w:r>
                      <w:rPr>
                        <w:w w:val="105"/>
                        <w:sz w:val="12"/>
                      </w:rPr>
                      <w:t>(1.03)</w:t>
                    </w:r>
                    <w:r>
                      <w:rPr>
                        <w:spacing w:val="4"/>
                        <w:w w:val="105"/>
                        <w:sz w:val="12"/>
                      </w:rPr>
                      <w:t> </w:t>
                    </w:r>
                    <w:r>
                      <w:rPr>
                        <w:w w:val="105"/>
                        <w:sz w:val="12"/>
                      </w:rPr>
                      <w:t>·(3)</w:t>
                    </w:r>
                  </w:p>
                </w:txbxContent>
              </v:textbox>
              <w10:wrap type="none"/>
            </v:shape>
            <v:shape style="position:absolute;left:3578;top:835;width:481;height:140" type="#_x0000_t202" filled="false" stroked="false">
              <v:textbox inset="0,0,0,0">
                <w:txbxContent>
                  <w:p>
                    <w:pPr>
                      <w:spacing w:line="140" w:lineRule="exact" w:before="0"/>
                      <w:ind w:left="0" w:right="0" w:firstLine="0"/>
                      <w:jc w:val="left"/>
                      <w:rPr>
                        <w:sz w:val="14"/>
                      </w:rPr>
                    </w:pPr>
                    <w:r>
                      <w:rPr>
                        <w:rFonts w:ascii="Arial"/>
                        <w:w w:val="95"/>
                        <w:sz w:val="13"/>
                      </w:rPr>
                      <w:t>1  </w:t>
                    </w:r>
                    <w:r>
                      <w:rPr>
                        <w:w w:val="95"/>
                        <w:sz w:val="14"/>
                      </w:rPr>
                      <w:t>Death</w:t>
                    </w:r>
                  </w:p>
                </w:txbxContent>
              </v:textbox>
              <w10:wrap type="none"/>
            </v:shape>
            <v:shape style="position:absolute;left:3694;top:914;width:397;height:262" type="#_x0000_t202" filled="false" stroked="false">
              <v:textbox inset="0,0,0,0">
                <w:txbxContent>
                  <w:p>
                    <w:pPr>
                      <w:spacing w:line="143" w:lineRule="exact" w:before="0"/>
                      <w:ind w:left="0" w:right="-14" w:firstLine="0"/>
                      <w:jc w:val="left"/>
                      <w:rPr>
                        <w:sz w:val="14"/>
                      </w:rPr>
                    </w:pPr>
                    <w:r>
                      <w:rPr>
                        <w:w w:val="95"/>
                        <w:sz w:val="14"/>
                      </w:rPr>
                      <w:t>Claims</w:t>
                    </w:r>
                  </w:p>
                  <w:p>
                    <w:pPr>
                      <w:spacing w:line="113" w:lineRule="exact" w:before="6"/>
                      <w:ind w:left="18" w:right="-16" w:firstLine="0"/>
                      <w:jc w:val="left"/>
                      <w:rPr>
                        <w:sz w:val="10"/>
                      </w:rPr>
                    </w:pPr>
                    <w:r>
                      <w:rPr>
                        <w:w w:val="110"/>
                        <w:sz w:val="10"/>
                      </w:rPr>
                      <w:t>da'-t-1-1</w:t>
                    </w:r>
                  </w:p>
                </w:txbxContent>
              </v:textbox>
              <w10:wrap type="none"/>
            </v:shape>
            <v:shape style="position:absolute;left:4370;top:730;width:469;height:383" type="#_x0000_t202" filled="false" stroked="false">
              <v:textbox inset="0,0,0,0">
                <w:txbxContent>
                  <w:p>
                    <w:pPr>
                      <w:spacing w:line="189" w:lineRule="auto" w:before="9"/>
                      <w:ind w:left="39" w:right="0" w:hanging="40"/>
                      <w:jc w:val="left"/>
                      <w:rPr>
                        <w:i/>
                        <w:sz w:val="13"/>
                      </w:rPr>
                    </w:pPr>
                    <w:r>
                      <w:rPr>
                        <w:sz w:val="14"/>
                      </w:rPr>
                      <w:t>Fund at End of </w:t>
                    </w:r>
                    <w:r>
                      <w:rPr>
                        <w:b/>
                        <w:sz w:val="13"/>
                      </w:rPr>
                      <w:t>Year </w:t>
                    </w:r>
                    <w:r>
                      <w:rPr>
                        <w:i/>
                        <w:sz w:val="13"/>
                      </w:rPr>
                      <w:t>t</w:t>
                    </w:r>
                  </w:p>
                </w:txbxContent>
              </v:textbox>
              <w10:wrap type="none"/>
            </v:shape>
            <v:shape style="position:absolute;left:5015;top:800;width:1452;height:170" type="#_x0000_t202" filled="false" stroked="false">
              <v:textbox inset="0,0,0,0">
                <w:txbxContent>
                  <w:p>
                    <w:pPr>
                      <w:spacing w:line="170" w:lineRule="exact" w:before="0"/>
                      <w:ind w:left="0" w:right="0" w:firstLine="0"/>
                      <w:jc w:val="left"/>
                      <w:rPr>
                        <w:sz w:val="17"/>
                      </w:rPr>
                    </w:pPr>
                    <w:r>
                      <w:rPr>
                        <w:w w:val="75"/>
                        <w:sz w:val="14"/>
                      </w:rPr>
                      <w:t>1   </w:t>
                    </w:r>
                    <w:r>
                      <w:rPr>
                        <w:w w:val="115"/>
                        <w:sz w:val="14"/>
                      </w:rPr>
                      <w:t>Numr </w:t>
                    </w:r>
                    <w:r>
                      <w:rPr>
                        <w:sz w:val="14"/>
                      </w:rPr>
                      <w:t>of   </w:t>
                    </w:r>
                    <w:r>
                      <w:rPr>
                        <w:w w:val="115"/>
                        <w:sz w:val="14"/>
                      </w:rPr>
                      <w:t>jºVu:ii]  </w:t>
                    </w:r>
                    <w:r>
                      <w:rPr>
                        <w:sz w:val="17"/>
                      </w:rPr>
                      <w:t>=</w:t>
                    </w:r>
                  </w:p>
                </w:txbxContent>
              </v:textbox>
              <w10:wrap type="none"/>
            </v:shape>
            <v:shape style="position:absolute;left:4360;top:1110;width:479;height:120" type="#_x0000_t202" filled="false" stroked="false">
              <v:textbox inset="0,0,0,0">
                <w:txbxContent>
                  <w:p>
                    <w:pPr>
                      <w:spacing w:line="120" w:lineRule="exact" w:before="0"/>
                      <w:ind w:left="0" w:right="-19" w:firstLine="0"/>
                      <w:jc w:val="left"/>
                      <w:rPr>
                        <w:b/>
                        <w:sz w:val="12"/>
                      </w:rPr>
                    </w:pPr>
                    <w:r>
                      <w:rPr>
                        <w:b/>
                        <w:w w:val="120"/>
                        <w:sz w:val="12"/>
                      </w:rPr>
                      <w:t>(4) </w:t>
                    </w:r>
                    <w:r>
                      <w:rPr>
                        <w:w w:val="295"/>
                        <w:sz w:val="12"/>
                      </w:rPr>
                      <w:t>-</w:t>
                    </w:r>
                    <w:r>
                      <w:rPr>
                        <w:spacing w:val="-53"/>
                        <w:w w:val="295"/>
                        <w:sz w:val="12"/>
                      </w:rPr>
                      <w:t> </w:t>
                    </w:r>
                    <w:r>
                      <w:rPr>
                        <w:b/>
                        <w:w w:val="120"/>
                        <w:sz w:val="12"/>
                      </w:rPr>
                      <w:t>(5</w:t>
                    </w:r>
                  </w:p>
                </w:txbxContent>
              </v:textbox>
              <w10:wrap type="none"/>
            </v:shape>
            <v:shape style="position:absolute;left:4838;top:1110;width:44;height:120" type="#_x0000_t202" filled="false" stroked="false">
              <v:textbox inset="0,0,0,0">
                <w:txbxContent>
                  <w:p>
                    <w:pPr>
                      <w:spacing w:line="120" w:lineRule="exact" w:before="0"/>
                      <w:ind w:left="0" w:right="0" w:firstLine="0"/>
                      <w:jc w:val="left"/>
                      <w:rPr>
                        <w:b/>
                        <w:sz w:val="12"/>
                      </w:rPr>
                    </w:pPr>
                    <w:r>
                      <w:rPr>
                        <w:b/>
                        <w:w w:val="107"/>
                        <w:sz w:val="12"/>
                      </w:rPr>
                      <w:t>)</w:t>
                    </w:r>
                  </w:p>
                </w:txbxContent>
              </v:textbox>
              <w10:wrap type="none"/>
            </v:shape>
            <v:shape style="position:absolute;left:5170;top:914;width:553;height:255" type="#_x0000_t202" filled="false" stroked="false">
              <v:textbox inset="0,0,0,0">
                <w:txbxContent>
                  <w:p>
                    <w:pPr>
                      <w:spacing w:line="131" w:lineRule="exact" w:before="0"/>
                      <w:ind w:left="0" w:right="0" w:firstLine="0"/>
                      <w:jc w:val="center"/>
                      <w:rPr>
                        <w:sz w:val="14"/>
                      </w:rPr>
                    </w:pPr>
                    <w:r>
                      <w:rPr>
                        <w:w w:val="95"/>
                        <w:sz w:val="14"/>
                      </w:rPr>
                      <w:t>Surv1vors</w:t>
                    </w:r>
                  </w:p>
                  <w:p>
                    <w:pPr>
                      <w:spacing w:line="124" w:lineRule="exact" w:before="0"/>
                      <w:ind w:left="0" w:right="14" w:firstLine="0"/>
                      <w:jc w:val="center"/>
                      <w:rPr>
                        <w:sz w:val="12"/>
                      </w:rPr>
                    </w:pPr>
                    <w:r>
                      <w:rPr>
                        <w:w w:val="110"/>
                        <w:sz w:val="12"/>
                      </w:rPr>
                      <w:t>ln+e</w:t>
                    </w:r>
                  </w:p>
                </w:txbxContent>
              </v:textbox>
              <w10:wrap type="none"/>
            </v:shape>
            <v:shape style="position:absolute;left:6131;top:1049;width:153;height:260" type="#_x0000_t202" filled="false" stroked="false">
              <v:textbox inset="0,0,0,0">
                <w:txbxContent>
                  <w:p>
                    <w:pPr>
                      <w:spacing w:line="106" w:lineRule="exact" w:before="0"/>
                      <w:ind w:left="7" w:right="-14" w:firstLine="0"/>
                      <w:jc w:val="left"/>
                      <w:rPr>
                        <w:sz w:val="12"/>
                      </w:rPr>
                    </w:pPr>
                    <w:r>
                      <w:rPr>
                        <w:sz w:val="12"/>
                      </w:rPr>
                      <w:t>(6)</w:t>
                    </w:r>
                  </w:p>
                  <w:p>
                    <w:pPr>
                      <w:spacing w:line="153" w:lineRule="exact" w:before="0"/>
                      <w:ind w:left="0" w:right="-16" w:firstLine="0"/>
                      <w:jc w:val="left"/>
                      <w:rPr>
                        <w:sz w:val="15"/>
                      </w:rPr>
                    </w:pPr>
                    <w:r>
                      <w:rPr>
                        <w:w w:val="85"/>
                        <w:sz w:val="15"/>
                      </w:rPr>
                      <w:t>(7)</w:t>
                    </w:r>
                  </w:p>
                </w:txbxContent>
              </v:textbox>
              <w10:wrap type="none"/>
            </v:shape>
            <v:shape style="position:absolute;left:1033;top:1560;width:118;height:382" type="#_x0000_t202" filled="false" stroked="false">
              <v:textbox inset="0,0,0,0">
                <w:txbxContent>
                  <w:p>
                    <w:pPr>
                      <w:spacing w:line="185" w:lineRule="exact" w:before="0"/>
                      <w:ind w:left="10" w:right="0" w:firstLine="0"/>
                      <w:jc w:val="left"/>
                      <w:rPr>
                        <w:rFonts w:ascii="Courier New"/>
                        <w:sz w:val="18"/>
                      </w:rPr>
                    </w:pPr>
                    <w:r>
                      <w:rPr>
                        <w:rFonts w:ascii="Courier New"/>
                        <w:w w:val="82"/>
                        <w:sz w:val="18"/>
                      </w:rPr>
                      <w:t>1</w:t>
                    </w:r>
                  </w:p>
                  <w:p>
                    <w:pPr>
                      <w:spacing w:line="196" w:lineRule="exact" w:before="0"/>
                      <w:ind w:left="0" w:right="0" w:firstLine="0"/>
                      <w:jc w:val="left"/>
                      <w:rPr>
                        <w:rFonts w:ascii="Courier New"/>
                        <w:sz w:val="18"/>
                      </w:rPr>
                    </w:pPr>
                    <w:r>
                      <w:rPr>
                        <w:rFonts w:ascii="Courier New"/>
                        <w:w w:val="108"/>
                        <w:sz w:val="18"/>
                      </w:rPr>
                      <w:t>2</w:t>
                    </w:r>
                  </w:p>
                </w:txbxContent>
              </v:textbox>
              <w10:wrap type="none"/>
            </v:shape>
            <v:shape style="position:absolute;left:1411;top:1564;width:591;height:180" type="#_x0000_t202" filled="false" stroked="false">
              <v:textbox inset="0,0,0,0">
                <w:txbxContent>
                  <w:p>
                    <w:pPr>
                      <w:spacing w:line="180" w:lineRule="exact" w:before="0"/>
                      <w:ind w:left="0" w:right="-2" w:firstLine="0"/>
                      <w:jc w:val="left"/>
                      <w:rPr>
                        <w:rFonts w:ascii="Courier New"/>
                        <w:sz w:val="18"/>
                      </w:rPr>
                    </w:pPr>
                    <w:r>
                      <w:rPr>
                        <w:rFonts w:ascii="Courier New"/>
                        <w:spacing w:val="-10"/>
                        <w:w w:val="85"/>
                        <w:sz w:val="18"/>
                      </w:rPr>
                      <w:t>702,145</w:t>
                    </w:r>
                  </w:p>
                </w:txbxContent>
              </v:textbox>
              <w10:wrap type="none"/>
            </v:shape>
            <v:shape style="position:absolute;left:2167;top:1557;width:3709;height:184" type="#_x0000_t202" filled="false" stroked="false">
              <v:textbox inset="0,0,0,0">
                <w:txbxContent>
                  <w:p>
                    <w:pPr>
                      <w:tabs>
                        <w:tab w:pos="849" w:val="left" w:leader="none"/>
                        <w:tab w:pos="2278" w:val="left" w:leader="none"/>
                      </w:tabs>
                      <w:spacing w:line="184" w:lineRule="exact" w:before="0"/>
                      <w:ind w:left="0" w:right="0" w:firstLine="0"/>
                      <w:jc w:val="left"/>
                      <w:rPr>
                        <w:rFonts w:ascii="Courier New"/>
                        <w:sz w:val="18"/>
                      </w:rPr>
                    </w:pPr>
                    <w:r>
                      <w:rPr>
                        <w:rFonts w:ascii="Courier New"/>
                        <w:spacing w:val="-10"/>
                        <w:w w:val="90"/>
                        <w:sz w:val="18"/>
                      </w:rPr>
                      <w:t>702,145</w:t>
                      <w:tab/>
                    </w:r>
                    <w:r>
                      <w:rPr>
                        <w:rFonts w:ascii="Courier New"/>
                        <w:spacing w:val="-5"/>
                        <w:w w:val="85"/>
                        <w:sz w:val="18"/>
                      </w:rPr>
                      <w:t>723,209</w:t>
                    </w:r>
                    <w:r>
                      <w:rPr>
                        <w:rFonts w:ascii="Courier New"/>
                        <w:spacing w:val="-22"/>
                        <w:w w:val="85"/>
                        <w:sz w:val="18"/>
                      </w:rPr>
                      <w:t> </w:t>
                    </w:r>
                    <w:r>
                      <w:rPr>
                        <w:rFonts w:ascii="Courier New"/>
                        <w:spacing w:val="-3"/>
                        <w:w w:val="85"/>
                        <w:sz w:val="18"/>
                      </w:rPr>
                      <w:t>23,528</w:t>
                      <w:tab/>
                    </w:r>
                    <w:r>
                      <w:rPr>
                        <w:rFonts w:ascii="Courier New"/>
                        <w:spacing w:val="-15"/>
                        <w:w w:val="85"/>
                        <w:sz w:val="18"/>
                      </w:rPr>
                      <w:t>699,681</w:t>
                    </w:r>
                    <w:r>
                      <w:rPr>
                        <w:rFonts w:ascii="Courier New"/>
                        <w:spacing w:val="-30"/>
                        <w:w w:val="85"/>
                        <w:sz w:val="18"/>
                      </w:rPr>
                      <w:t> </w:t>
                    </w:r>
                    <w:r>
                      <w:rPr>
                        <w:rFonts w:ascii="Courier New"/>
                        <w:w w:val="85"/>
                        <w:sz w:val="18"/>
                      </w:rPr>
                      <w:t>9,350,279</w:t>
                    </w:r>
                  </w:p>
                </w:txbxContent>
              </v:textbox>
              <w10:wrap type="none"/>
            </v:shape>
            <v:shape style="position:absolute;left:1408;top:1765;width:1322;height:181" type="#_x0000_t202" filled="false" stroked="false">
              <v:textbox inset="0,0,0,0">
                <w:txbxContent>
                  <w:p>
                    <w:pPr>
                      <w:spacing w:line="180" w:lineRule="exact" w:before="0"/>
                      <w:ind w:left="0" w:right="-17" w:firstLine="0"/>
                      <w:jc w:val="left"/>
                      <w:rPr>
                        <w:b/>
                        <w:sz w:val="16"/>
                      </w:rPr>
                    </w:pPr>
                    <w:r>
                      <w:rPr>
                        <w:rFonts w:ascii="Courier New"/>
                        <w:spacing w:val="-12"/>
                        <w:w w:val="95"/>
                        <w:sz w:val="18"/>
                      </w:rPr>
                      <w:t>700,383</w:t>
                    </w:r>
                    <w:r>
                      <w:rPr>
                        <w:rFonts w:ascii="Courier New"/>
                        <w:spacing w:val="-26"/>
                        <w:w w:val="95"/>
                        <w:sz w:val="18"/>
                      </w:rPr>
                      <w:t> </w:t>
                    </w:r>
                    <w:r>
                      <w:rPr>
                        <w:b/>
                        <w:w w:val="95"/>
                        <w:sz w:val="16"/>
                      </w:rPr>
                      <w:t>1,400,064</w:t>
                    </w:r>
                  </w:p>
                </w:txbxContent>
              </v:textbox>
              <w10:wrap type="none"/>
            </v:shape>
            <v:shape style="position:absolute;left:2858;top:1758;width:3019;height:184" type="#_x0000_t202" filled="false" stroked="false">
              <v:textbox inset="0,0,0,0">
                <w:txbxContent>
                  <w:p>
                    <w:pPr>
                      <w:spacing w:line="184" w:lineRule="exact" w:before="0"/>
                      <w:ind w:left="0" w:right="-10" w:firstLine="0"/>
                      <w:jc w:val="left"/>
                      <w:rPr>
                        <w:rFonts w:ascii="Courier New"/>
                        <w:sz w:val="18"/>
                      </w:rPr>
                    </w:pPr>
                    <w:r>
                      <w:rPr>
                        <w:rFonts w:ascii="Courier New"/>
                        <w:spacing w:val="-20"/>
                        <w:w w:val="85"/>
                        <w:sz w:val="18"/>
                      </w:rPr>
                      <w:t>1,442,066 </w:t>
                    </w:r>
                    <w:r>
                      <w:rPr>
                        <w:rFonts w:ascii="Courier New"/>
                        <w:spacing w:val="-4"/>
                        <w:w w:val="85"/>
                        <w:sz w:val="18"/>
                      </w:rPr>
                      <w:t>24,685' </w:t>
                    </w:r>
                    <w:r>
                      <w:rPr>
                        <w:rFonts w:ascii="Courier New"/>
                        <w:w w:val="85"/>
                        <w:sz w:val="18"/>
                      </w:rPr>
                      <w:t>1,417,381</w:t>
                    </w:r>
                    <w:r>
                      <w:rPr>
                        <w:rFonts w:ascii="Courier New"/>
                        <w:spacing w:val="-49"/>
                        <w:w w:val="85"/>
                        <w:sz w:val="18"/>
                      </w:rPr>
                      <w:t> </w:t>
                    </w:r>
                    <w:r>
                      <w:rPr>
                        <w:rFonts w:ascii="Courier New"/>
                        <w:spacing w:val="-12"/>
                        <w:w w:val="85"/>
                        <w:sz w:val="18"/>
                      </w:rPr>
                      <w:t>9,325,594</w:t>
                    </w:r>
                  </w:p>
                </w:txbxContent>
              </v:textbox>
              <w10:wrap type="none"/>
            </v:shape>
            <v:shape style="position:absolute;left:6070;top:1557;width:489;height:382" type="#_x0000_t202" filled="false" stroked="false">
              <v:textbox inset="0,0,0,0">
                <w:txbxContent>
                  <w:p>
                    <w:pPr>
                      <w:spacing w:line="185" w:lineRule="exact" w:before="0"/>
                      <w:ind w:left="0" w:right="-4" w:firstLine="0"/>
                      <w:jc w:val="left"/>
                      <w:rPr>
                        <w:rFonts w:ascii="Courier New"/>
                        <w:sz w:val="18"/>
                      </w:rPr>
                    </w:pPr>
                    <w:r>
                      <w:rPr>
                        <w:rFonts w:ascii="Courier New"/>
                        <w:spacing w:val="-13"/>
                        <w:w w:val="85"/>
                        <w:sz w:val="18"/>
                      </w:rPr>
                      <w:t>.07483</w:t>
                    </w:r>
                  </w:p>
                  <w:p>
                    <w:pPr>
                      <w:spacing w:line="196" w:lineRule="exact" w:before="0"/>
                      <w:ind w:left="0" w:right="-4" w:firstLine="0"/>
                      <w:jc w:val="left"/>
                      <w:rPr>
                        <w:rFonts w:ascii="Courier New"/>
                        <w:sz w:val="18"/>
                      </w:rPr>
                    </w:pPr>
                    <w:r>
                      <w:rPr>
                        <w:rFonts w:ascii="Courier New"/>
                        <w:spacing w:val="-15"/>
                        <w:w w:val="85"/>
                        <w:sz w:val="18"/>
                      </w:rPr>
                      <w:t>.15199</w:t>
                    </w:r>
                  </w:p>
                </w:txbxContent>
              </v:textbox>
              <w10:wrap type="none"/>
            </v:shape>
            <w10:wrap type="none"/>
          </v:group>
        </w:pict>
      </w:r>
      <w:r>
        <w:rPr>
          <w:i/>
          <w:w w:val="105"/>
          <w:sz w:val="17"/>
        </w:rPr>
        <w:t>P</w:t>
      </w:r>
      <w:r>
        <w:rPr>
          <w:i/>
          <w:sz w:val="17"/>
        </w:rPr>
        <w:t> </w:t>
      </w:r>
      <w:r>
        <w:rPr>
          <w:i/>
          <w:spacing w:val="13"/>
          <w:sz w:val="17"/>
        </w:rPr>
        <w:t> </w:t>
      </w:r>
      <w:r>
        <w:rPr>
          <w:w w:val="80"/>
          <w:sz w:val="24"/>
        </w:rPr>
        <w:t>=</w:t>
      </w:r>
      <w:r>
        <w:rPr>
          <w:spacing w:val="28"/>
          <w:sz w:val="24"/>
        </w:rPr>
        <w:t> </w:t>
      </w:r>
      <w:r>
        <w:rPr>
          <w:w w:val="120"/>
          <w:sz w:val="16"/>
        </w:rPr>
        <w:t>u,Pu:i</w:t>
      </w:r>
      <w:r>
        <w:rPr>
          <w:spacing w:val="-3"/>
          <w:w w:val="120"/>
          <w:sz w:val="16"/>
        </w:rPr>
        <w:t>i</w:t>
      </w:r>
      <w:r>
        <w:rPr>
          <w:w w:val="47"/>
          <w:sz w:val="16"/>
        </w:rPr>
        <w:t>(</w:t>
      </w:r>
      <w:r>
        <w:rPr>
          <w:sz w:val="16"/>
        </w:rPr>
        <w:t> </w:t>
      </w:r>
      <w:r>
        <w:rPr>
          <w:spacing w:val="13"/>
          <w:sz w:val="16"/>
        </w:rPr>
        <w:t> </w:t>
      </w:r>
      <w:r>
        <w:rPr>
          <w:w w:val="80"/>
          <w:sz w:val="24"/>
        </w:rPr>
        <w:t>=</w:t>
      </w:r>
      <w:r>
        <w:rPr>
          <w:sz w:val="24"/>
        </w:rPr>
        <w:t> </w:t>
      </w:r>
      <w:r>
        <w:rPr>
          <w:spacing w:val="-25"/>
          <w:sz w:val="24"/>
        </w:rPr>
        <w:t> </w:t>
      </w:r>
      <w:r>
        <w:rPr>
          <w:rFonts w:ascii="Courier New"/>
          <w:spacing w:val="-59"/>
          <w:w w:val="90"/>
          <w:sz w:val="18"/>
        </w:rPr>
        <w:t>.</w:t>
      </w:r>
      <w:r>
        <w:rPr>
          <w:rFonts w:ascii="Courier New"/>
          <w:w w:val="84"/>
          <w:sz w:val="18"/>
        </w:rPr>
        <w:t>0</w:t>
      </w:r>
      <w:r>
        <w:rPr>
          <w:rFonts w:ascii="Courier New"/>
          <w:spacing w:val="-22"/>
          <w:w w:val="84"/>
          <w:sz w:val="18"/>
        </w:rPr>
        <w:t>7</w:t>
      </w:r>
      <w:r>
        <w:rPr>
          <w:rFonts w:ascii="Courier New"/>
          <w:spacing w:val="-32"/>
          <w:w w:val="98"/>
          <w:sz w:val="18"/>
        </w:rPr>
        <w:t>4</w:t>
      </w:r>
      <w:r>
        <w:rPr>
          <w:rFonts w:ascii="Courier New"/>
          <w:spacing w:val="-35"/>
          <w:w w:val="108"/>
          <w:sz w:val="18"/>
        </w:rPr>
        <w:t>9</w:t>
      </w:r>
      <w:r>
        <w:rPr>
          <w:rFonts w:ascii="Courier New"/>
          <w:w w:val="86"/>
          <w:sz w:val="18"/>
        </w:rPr>
        <w:t>05</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8"/>
        <w:rPr>
          <w:rFonts w:ascii="Courier New"/>
          <w:sz w:val="21"/>
        </w:rPr>
      </w:pPr>
    </w:p>
    <w:tbl>
      <w:tblPr>
        <w:tblW w:w="0" w:type="auto"/>
        <w:jc w:val="left"/>
        <w:tblInd w:w="117"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03"/>
        <w:gridCol w:w="1523"/>
        <w:gridCol w:w="841"/>
        <w:gridCol w:w="556"/>
        <w:gridCol w:w="1705"/>
        <w:gridCol w:w="684"/>
      </w:tblGrid>
      <w:tr>
        <w:trPr>
          <w:trHeight w:val="284" w:hRule="exact"/>
        </w:trPr>
        <w:tc>
          <w:tcPr>
            <w:tcW w:w="503" w:type="dxa"/>
          </w:tcPr>
          <w:p>
            <w:pPr>
              <w:pStyle w:val="TableParagraph"/>
              <w:spacing w:before="80"/>
              <w:ind w:left="112"/>
              <w:jc w:val="center"/>
              <w:rPr>
                <w:sz w:val="18"/>
              </w:rPr>
            </w:pPr>
            <w:r>
              <w:rPr>
                <w:w w:val="96"/>
                <w:sz w:val="18"/>
              </w:rPr>
              <w:t>3</w:t>
            </w:r>
          </w:p>
        </w:tc>
        <w:tc>
          <w:tcPr>
            <w:tcW w:w="1523" w:type="dxa"/>
          </w:tcPr>
          <w:p>
            <w:pPr>
              <w:pStyle w:val="TableParagraph"/>
              <w:spacing w:before="80"/>
              <w:ind w:right="48"/>
              <w:jc w:val="right"/>
              <w:rPr>
                <w:sz w:val="18"/>
              </w:rPr>
            </w:pPr>
            <w:r>
              <w:rPr>
                <w:w w:val="85"/>
                <w:sz w:val="18"/>
              </w:rPr>
              <w:t>698,5342,115,915</w:t>
            </w:r>
          </w:p>
        </w:tc>
        <w:tc>
          <w:tcPr>
            <w:tcW w:w="841" w:type="dxa"/>
          </w:tcPr>
          <w:p>
            <w:pPr>
              <w:pStyle w:val="TableParagraph"/>
              <w:spacing w:before="73"/>
              <w:ind w:left="2"/>
              <w:jc w:val="center"/>
              <w:rPr>
                <w:sz w:val="18"/>
              </w:rPr>
            </w:pPr>
            <w:r>
              <w:rPr>
                <w:w w:val="85"/>
                <w:sz w:val="18"/>
              </w:rPr>
              <w:t>2,179,392</w:t>
            </w:r>
          </w:p>
        </w:tc>
        <w:tc>
          <w:tcPr>
            <w:tcW w:w="556" w:type="dxa"/>
            <w:tcBorders>
              <w:right w:val="single" w:sz="4" w:space="0" w:color="000000"/>
            </w:tcBorders>
          </w:tcPr>
          <w:p>
            <w:pPr>
              <w:pStyle w:val="TableParagraph"/>
              <w:spacing w:before="73"/>
              <w:ind w:left="34"/>
              <w:jc w:val="center"/>
              <w:rPr>
                <w:sz w:val="18"/>
              </w:rPr>
            </w:pPr>
            <w:r>
              <w:rPr>
                <w:spacing w:val="-6"/>
                <w:w w:val="80"/>
                <w:sz w:val="18"/>
              </w:rPr>
              <w:t>26,112</w:t>
            </w:r>
          </w:p>
        </w:tc>
        <w:tc>
          <w:tcPr>
            <w:tcW w:w="1705" w:type="dxa"/>
            <w:tcBorders>
              <w:left w:val="single" w:sz="4" w:space="0" w:color="000000"/>
            </w:tcBorders>
          </w:tcPr>
          <w:p>
            <w:pPr>
              <w:pStyle w:val="TableParagraph"/>
              <w:spacing w:before="77"/>
              <w:ind w:left="98" w:right="1"/>
              <w:jc w:val="center"/>
              <w:rPr>
                <w:sz w:val="18"/>
              </w:rPr>
            </w:pPr>
            <w:r>
              <w:rPr>
                <w:spacing w:val="-4"/>
                <w:w w:val="80"/>
                <w:sz w:val="18"/>
              </w:rPr>
              <w:t>2,153,280 </w:t>
            </w:r>
            <w:r>
              <w:rPr>
                <w:spacing w:val="-5"/>
                <w:w w:val="80"/>
                <w:sz w:val="18"/>
              </w:rPr>
              <w:t>9,299,482</w:t>
            </w:r>
          </w:p>
        </w:tc>
        <w:tc>
          <w:tcPr>
            <w:tcW w:w="684" w:type="dxa"/>
          </w:tcPr>
          <w:p>
            <w:pPr>
              <w:pStyle w:val="TableParagraph"/>
              <w:spacing w:before="77"/>
              <w:ind w:right="38"/>
              <w:jc w:val="right"/>
              <w:rPr>
                <w:sz w:val="18"/>
              </w:rPr>
            </w:pPr>
            <w:r>
              <w:rPr>
                <w:w w:val="75"/>
                <w:sz w:val="18"/>
              </w:rPr>
              <w:t>.23155</w:t>
            </w:r>
          </w:p>
        </w:tc>
      </w:tr>
      <w:tr>
        <w:trPr>
          <w:trHeight w:val="202" w:hRule="exact"/>
        </w:trPr>
        <w:tc>
          <w:tcPr>
            <w:tcW w:w="503" w:type="dxa"/>
          </w:tcPr>
          <w:p>
            <w:pPr>
              <w:pStyle w:val="TableParagraph"/>
              <w:spacing w:line="199" w:lineRule="exact"/>
              <w:ind w:left="119"/>
              <w:jc w:val="center"/>
              <w:rPr>
                <w:sz w:val="18"/>
              </w:rPr>
            </w:pPr>
            <w:r>
              <w:rPr>
                <w:w w:val="109"/>
                <w:sz w:val="18"/>
              </w:rPr>
              <w:t>4</w:t>
            </w:r>
          </w:p>
        </w:tc>
        <w:tc>
          <w:tcPr>
            <w:tcW w:w="1523" w:type="dxa"/>
          </w:tcPr>
          <w:p>
            <w:pPr>
              <w:pStyle w:val="TableParagraph"/>
              <w:spacing w:line="199" w:lineRule="exact"/>
              <w:ind w:right="48"/>
              <w:jc w:val="right"/>
              <w:rPr>
                <w:sz w:val="18"/>
              </w:rPr>
            </w:pPr>
            <w:r>
              <w:rPr>
                <w:w w:val="85"/>
                <w:sz w:val="18"/>
              </w:rPr>
              <w:t>696,5782,849,858</w:t>
            </w:r>
          </w:p>
        </w:tc>
        <w:tc>
          <w:tcPr>
            <w:tcW w:w="841" w:type="dxa"/>
          </w:tcPr>
          <w:p>
            <w:pPr>
              <w:pStyle w:val="TableParagraph"/>
              <w:spacing w:line="195" w:lineRule="exact"/>
              <w:ind w:left="2" w:right="21"/>
              <w:jc w:val="center"/>
              <w:rPr>
                <w:sz w:val="18"/>
              </w:rPr>
            </w:pPr>
            <w:r>
              <w:rPr>
                <w:spacing w:val="-12"/>
                <w:w w:val="85"/>
                <w:sz w:val="18"/>
              </w:rPr>
              <w:t>2,935,354</w:t>
            </w:r>
          </w:p>
        </w:tc>
        <w:tc>
          <w:tcPr>
            <w:tcW w:w="556" w:type="dxa"/>
            <w:tcBorders>
              <w:right w:val="single" w:sz="4" w:space="0" w:color="000000"/>
            </w:tcBorders>
          </w:tcPr>
          <w:p>
            <w:pPr>
              <w:pStyle w:val="TableParagraph"/>
              <w:spacing w:line="195" w:lineRule="exact"/>
              <w:ind w:left="27"/>
              <w:jc w:val="center"/>
              <w:rPr>
                <w:sz w:val="18"/>
              </w:rPr>
            </w:pPr>
            <w:r>
              <w:rPr>
                <w:w w:val="80"/>
                <w:sz w:val="18"/>
              </w:rPr>
              <w:t>27,991</w:t>
            </w:r>
          </w:p>
        </w:tc>
        <w:tc>
          <w:tcPr>
            <w:tcW w:w="1705" w:type="dxa"/>
            <w:tcBorders>
              <w:left w:val="single" w:sz="4" w:space="0" w:color="000000"/>
            </w:tcBorders>
          </w:tcPr>
          <w:p>
            <w:pPr>
              <w:pStyle w:val="TableParagraph"/>
              <w:spacing w:line="195" w:lineRule="exact"/>
              <w:ind w:left="81" w:right="2"/>
              <w:jc w:val="center"/>
              <w:rPr>
                <w:sz w:val="18"/>
              </w:rPr>
            </w:pPr>
            <w:r>
              <w:rPr>
                <w:spacing w:val="-19"/>
                <w:w w:val="85"/>
                <w:sz w:val="18"/>
              </w:rPr>
              <w:t>2,907,363 </w:t>
            </w:r>
            <w:r>
              <w:rPr>
                <w:spacing w:val="-3"/>
                <w:w w:val="85"/>
                <w:sz w:val="18"/>
              </w:rPr>
              <w:t>9,271,491</w:t>
            </w:r>
          </w:p>
        </w:tc>
        <w:tc>
          <w:tcPr>
            <w:tcW w:w="684" w:type="dxa"/>
          </w:tcPr>
          <w:p>
            <w:pPr>
              <w:pStyle w:val="TableParagraph"/>
              <w:spacing w:line="195" w:lineRule="exact"/>
              <w:ind w:right="38"/>
              <w:jc w:val="right"/>
              <w:rPr>
                <w:sz w:val="18"/>
              </w:rPr>
            </w:pPr>
            <w:r>
              <w:rPr>
                <w:w w:val="80"/>
                <w:sz w:val="18"/>
              </w:rPr>
              <w:t>.31358</w:t>
            </w:r>
          </w:p>
        </w:tc>
      </w:tr>
      <w:tr>
        <w:trPr>
          <w:trHeight w:val="205" w:hRule="exact"/>
        </w:trPr>
        <w:tc>
          <w:tcPr>
            <w:tcW w:w="503" w:type="dxa"/>
          </w:tcPr>
          <w:p>
            <w:pPr>
              <w:pStyle w:val="TableParagraph"/>
              <w:spacing w:line="199" w:lineRule="exact"/>
              <w:ind w:left="123"/>
              <w:jc w:val="center"/>
              <w:rPr>
                <w:sz w:val="18"/>
              </w:rPr>
            </w:pPr>
            <w:r>
              <w:rPr>
                <w:w w:val="106"/>
                <w:sz w:val="18"/>
              </w:rPr>
              <w:t>5</w:t>
            </w:r>
          </w:p>
        </w:tc>
        <w:tc>
          <w:tcPr>
            <w:tcW w:w="1523" w:type="dxa"/>
          </w:tcPr>
          <w:p>
            <w:pPr>
              <w:pStyle w:val="TableParagraph"/>
              <w:spacing w:line="199" w:lineRule="exact"/>
              <w:ind w:right="71"/>
              <w:jc w:val="right"/>
              <w:rPr>
                <w:rFonts w:ascii="Times New Roman"/>
                <w:b/>
                <w:sz w:val="16"/>
              </w:rPr>
            </w:pPr>
            <w:r>
              <w:rPr>
                <w:spacing w:val="-20"/>
                <w:sz w:val="18"/>
              </w:rPr>
              <w:t>694,481</w:t>
            </w:r>
            <w:r>
              <w:rPr>
                <w:spacing w:val="-90"/>
                <w:sz w:val="18"/>
              </w:rPr>
              <w:t> </w:t>
            </w:r>
            <w:r>
              <w:rPr>
                <w:rFonts w:ascii="Times New Roman"/>
                <w:b/>
                <w:sz w:val="16"/>
              </w:rPr>
              <w:t>3,601 ,844</w:t>
            </w:r>
          </w:p>
        </w:tc>
        <w:tc>
          <w:tcPr>
            <w:tcW w:w="841" w:type="dxa"/>
          </w:tcPr>
          <w:p>
            <w:pPr>
              <w:pStyle w:val="TableParagraph"/>
              <w:spacing w:line="195" w:lineRule="exact"/>
              <w:jc w:val="center"/>
              <w:rPr>
                <w:sz w:val="18"/>
              </w:rPr>
            </w:pPr>
            <w:r>
              <w:rPr>
                <w:w w:val="85"/>
                <w:sz w:val="18"/>
              </w:rPr>
              <w:t>3,709,899</w:t>
            </w:r>
          </w:p>
        </w:tc>
        <w:tc>
          <w:tcPr>
            <w:tcW w:w="556" w:type="dxa"/>
            <w:tcBorders>
              <w:right w:val="single" w:sz="4" w:space="0" w:color="000000"/>
            </w:tcBorders>
          </w:tcPr>
          <w:p>
            <w:pPr>
              <w:pStyle w:val="TableParagraph"/>
              <w:spacing w:line="195" w:lineRule="exact"/>
              <w:ind w:left="38" w:right="-4"/>
              <w:jc w:val="center"/>
              <w:rPr>
                <w:sz w:val="18"/>
              </w:rPr>
            </w:pPr>
            <w:r>
              <w:rPr>
                <w:spacing w:val="-12"/>
                <w:w w:val="90"/>
                <w:sz w:val="18"/>
              </w:rPr>
              <w:t>30,132</w:t>
            </w:r>
          </w:p>
        </w:tc>
        <w:tc>
          <w:tcPr>
            <w:tcW w:w="1705" w:type="dxa"/>
            <w:tcBorders>
              <w:left w:val="single" w:sz="4" w:space="0" w:color="000000"/>
            </w:tcBorders>
          </w:tcPr>
          <w:p>
            <w:pPr>
              <w:pStyle w:val="TableParagraph"/>
              <w:spacing w:before="6"/>
              <w:ind w:left="95" w:right="-3"/>
              <w:jc w:val="center"/>
              <w:rPr>
                <w:sz w:val="18"/>
              </w:rPr>
            </w:pPr>
            <w:r>
              <w:rPr>
                <w:spacing w:val="-16"/>
                <w:w w:val="85"/>
                <w:sz w:val="18"/>
              </w:rPr>
              <w:t>3,679,767</w:t>
            </w:r>
            <w:r>
              <w:rPr>
                <w:spacing w:val="-40"/>
                <w:w w:val="85"/>
                <w:sz w:val="18"/>
              </w:rPr>
              <w:t> </w:t>
            </w:r>
            <w:r>
              <w:rPr>
                <w:spacing w:val="-5"/>
                <w:w w:val="85"/>
                <w:sz w:val="18"/>
              </w:rPr>
              <w:t>9,241,3591</w:t>
            </w:r>
          </w:p>
        </w:tc>
        <w:tc>
          <w:tcPr>
            <w:tcW w:w="684" w:type="dxa"/>
          </w:tcPr>
          <w:p>
            <w:pPr>
              <w:pStyle w:val="TableParagraph"/>
              <w:spacing w:line="195" w:lineRule="exact"/>
              <w:ind w:right="43"/>
              <w:jc w:val="right"/>
              <w:rPr>
                <w:sz w:val="18"/>
              </w:rPr>
            </w:pPr>
            <w:r>
              <w:rPr>
                <w:w w:val="85"/>
                <w:sz w:val="18"/>
              </w:rPr>
              <w:t>.39818</w:t>
            </w:r>
          </w:p>
        </w:tc>
      </w:tr>
      <w:tr>
        <w:trPr>
          <w:trHeight w:val="200" w:hRule="exact"/>
        </w:trPr>
        <w:tc>
          <w:tcPr>
            <w:tcW w:w="503" w:type="dxa"/>
          </w:tcPr>
          <w:p>
            <w:pPr>
              <w:pStyle w:val="TableParagraph"/>
              <w:spacing w:line="195" w:lineRule="exact"/>
              <w:ind w:left="125"/>
              <w:jc w:val="center"/>
              <w:rPr>
                <w:sz w:val="18"/>
              </w:rPr>
            </w:pPr>
            <w:r>
              <w:rPr>
                <w:w w:val="108"/>
                <w:sz w:val="18"/>
              </w:rPr>
              <w:t>6</w:t>
            </w:r>
          </w:p>
        </w:tc>
        <w:tc>
          <w:tcPr>
            <w:tcW w:w="1523" w:type="dxa"/>
          </w:tcPr>
          <w:p>
            <w:pPr>
              <w:pStyle w:val="TableParagraph"/>
              <w:spacing w:line="199" w:lineRule="exact"/>
              <w:ind w:right="55"/>
              <w:jc w:val="right"/>
              <w:rPr>
                <w:sz w:val="18"/>
              </w:rPr>
            </w:pPr>
            <w:r>
              <w:rPr>
                <w:w w:val="80"/>
                <w:sz w:val="18"/>
              </w:rPr>
              <w:t>692,224 </w:t>
            </w:r>
            <w:r>
              <w:rPr>
                <w:spacing w:val="-10"/>
                <w:w w:val="80"/>
                <w:position w:val="1"/>
                <w:sz w:val="18"/>
              </w:rPr>
              <w:t>4,371,991</w:t>
            </w:r>
          </w:p>
        </w:tc>
        <w:tc>
          <w:tcPr>
            <w:tcW w:w="841" w:type="dxa"/>
          </w:tcPr>
          <w:p>
            <w:pPr>
              <w:pStyle w:val="TableParagraph"/>
              <w:spacing w:line="192" w:lineRule="exact"/>
              <w:ind w:left="2" w:right="40"/>
              <w:jc w:val="center"/>
              <w:rPr>
                <w:sz w:val="18"/>
              </w:rPr>
            </w:pPr>
            <w:r>
              <w:rPr>
                <w:w w:val="75"/>
                <w:sz w:val="18"/>
              </w:rPr>
              <w:t>4,503,151</w:t>
            </w:r>
          </w:p>
        </w:tc>
        <w:tc>
          <w:tcPr>
            <w:tcW w:w="556" w:type="dxa"/>
            <w:tcBorders>
              <w:right w:val="single" w:sz="4" w:space="0" w:color="000000"/>
            </w:tcBorders>
          </w:tcPr>
          <w:p>
            <w:pPr>
              <w:pStyle w:val="TableParagraph"/>
              <w:spacing w:line="192" w:lineRule="exact"/>
              <w:ind w:left="25"/>
              <w:jc w:val="center"/>
              <w:rPr>
                <w:sz w:val="18"/>
              </w:rPr>
            </w:pPr>
            <w:r>
              <w:rPr>
                <w:w w:val="80"/>
                <w:sz w:val="18"/>
              </w:rPr>
              <w:t>32,622</w:t>
            </w:r>
          </w:p>
        </w:tc>
        <w:tc>
          <w:tcPr>
            <w:tcW w:w="1705" w:type="dxa"/>
            <w:tcBorders>
              <w:left w:val="single" w:sz="4" w:space="0" w:color="000000"/>
            </w:tcBorders>
          </w:tcPr>
          <w:p>
            <w:pPr>
              <w:pStyle w:val="TableParagraph"/>
              <w:spacing w:line="188" w:lineRule="exact"/>
              <w:ind w:left="79" w:right="2"/>
              <w:jc w:val="center"/>
              <w:rPr>
                <w:sz w:val="18"/>
              </w:rPr>
            </w:pPr>
            <w:r>
              <w:rPr>
                <w:spacing w:val="-12"/>
                <w:w w:val="85"/>
                <w:sz w:val="18"/>
              </w:rPr>
              <w:t>4,470,529 </w:t>
            </w:r>
            <w:r>
              <w:rPr>
                <w:spacing w:val="-8"/>
                <w:w w:val="85"/>
                <w:sz w:val="18"/>
              </w:rPr>
              <w:t>9,208,737</w:t>
            </w:r>
          </w:p>
        </w:tc>
        <w:tc>
          <w:tcPr>
            <w:tcW w:w="684" w:type="dxa"/>
          </w:tcPr>
          <w:p>
            <w:pPr>
              <w:pStyle w:val="TableParagraph"/>
              <w:spacing w:line="192" w:lineRule="exact"/>
              <w:ind w:right="34"/>
              <w:jc w:val="right"/>
              <w:rPr>
                <w:sz w:val="18"/>
              </w:rPr>
            </w:pPr>
            <w:r>
              <w:rPr>
                <w:w w:val="80"/>
                <w:sz w:val="18"/>
              </w:rPr>
              <w:t>.48547</w:t>
            </w:r>
          </w:p>
        </w:tc>
      </w:tr>
      <w:tr>
        <w:trPr>
          <w:trHeight w:val="197" w:hRule="exact"/>
        </w:trPr>
        <w:tc>
          <w:tcPr>
            <w:tcW w:w="503" w:type="dxa"/>
          </w:tcPr>
          <w:p>
            <w:pPr>
              <w:pStyle w:val="TableParagraph"/>
              <w:spacing w:line="197" w:lineRule="exact"/>
              <w:ind w:left="126"/>
              <w:jc w:val="center"/>
              <w:rPr>
                <w:sz w:val="18"/>
              </w:rPr>
            </w:pPr>
            <w:r>
              <w:rPr>
                <w:w w:val="109"/>
                <w:sz w:val="18"/>
              </w:rPr>
              <w:t>7</w:t>
            </w:r>
          </w:p>
        </w:tc>
        <w:tc>
          <w:tcPr>
            <w:tcW w:w="1523" w:type="dxa"/>
          </w:tcPr>
          <w:p>
            <w:pPr>
              <w:pStyle w:val="TableParagraph"/>
              <w:spacing w:line="201" w:lineRule="exact"/>
              <w:ind w:right="53"/>
              <w:jc w:val="right"/>
              <w:rPr>
                <w:sz w:val="18"/>
              </w:rPr>
            </w:pPr>
            <w:r>
              <w:rPr>
                <w:rFonts w:ascii="Times New Roman"/>
                <w:b/>
                <w:w w:val="90"/>
                <w:sz w:val="16"/>
              </w:rPr>
              <w:t>689,780  </w:t>
            </w:r>
            <w:r>
              <w:rPr>
                <w:w w:val="90"/>
                <w:sz w:val="18"/>
              </w:rPr>
              <w:t>5,160,309</w:t>
            </w:r>
          </w:p>
        </w:tc>
        <w:tc>
          <w:tcPr>
            <w:tcW w:w="841" w:type="dxa"/>
          </w:tcPr>
          <w:p>
            <w:pPr>
              <w:pStyle w:val="TableParagraph"/>
              <w:spacing w:line="194" w:lineRule="exact"/>
              <w:ind w:left="2" w:right="25"/>
              <w:jc w:val="center"/>
              <w:rPr>
                <w:sz w:val="18"/>
              </w:rPr>
            </w:pPr>
            <w:r>
              <w:rPr>
                <w:w w:val="75"/>
                <w:sz w:val="18"/>
              </w:rPr>
              <w:t>5,315,118</w:t>
            </w:r>
          </w:p>
        </w:tc>
        <w:tc>
          <w:tcPr>
            <w:tcW w:w="556" w:type="dxa"/>
            <w:tcBorders>
              <w:right w:val="single" w:sz="4" w:space="0" w:color="000000"/>
            </w:tcBorders>
          </w:tcPr>
          <w:p>
            <w:pPr>
              <w:pStyle w:val="TableParagraph"/>
              <w:spacing w:line="194" w:lineRule="exact"/>
              <w:ind w:left="38" w:right="-6"/>
              <w:jc w:val="center"/>
              <w:rPr>
                <w:sz w:val="18"/>
              </w:rPr>
            </w:pPr>
            <w:r>
              <w:rPr>
                <w:spacing w:val="-16"/>
                <w:w w:val="90"/>
                <w:sz w:val="18"/>
              </w:rPr>
              <w:t>35,362</w:t>
            </w:r>
          </w:p>
        </w:tc>
        <w:tc>
          <w:tcPr>
            <w:tcW w:w="1705" w:type="dxa"/>
            <w:tcBorders>
              <w:left w:val="single" w:sz="4" w:space="0" w:color="000000"/>
            </w:tcBorders>
          </w:tcPr>
          <w:p>
            <w:pPr>
              <w:pStyle w:val="TableParagraph"/>
              <w:spacing w:line="197" w:lineRule="exact"/>
              <w:ind w:left="98" w:right="-21"/>
              <w:jc w:val="center"/>
              <w:rPr>
                <w:sz w:val="18"/>
              </w:rPr>
            </w:pPr>
            <w:r>
              <w:rPr>
                <w:spacing w:val="-12"/>
                <w:w w:val="106"/>
                <w:sz w:val="18"/>
              </w:rPr>
              <w:t>5</w:t>
            </w:r>
            <w:r>
              <w:rPr>
                <w:w w:val="71"/>
                <w:sz w:val="18"/>
              </w:rPr>
              <w:t>,2</w:t>
            </w:r>
            <w:r>
              <w:rPr>
                <w:spacing w:val="-25"/>
                <w:w w:val="71"/>
                <w:sz w:val="18"/>
              </w:rPr>
              <w:t>7</w:t>
            </w:r>
            <w:r>
              <w:rPr>
                <w:w w:val="81"/>
                <w:sz w:val="18"/>
              </w:rPr>
              <w:t>9,</w:t>
            </w:r>
            <w:r>
              <w:rPr>
                <w:spacing w:val="-18"/>
                <w:w w:val="81"/>
                <w:sz w:val="18"/>
              </w:rPr>
              <w:t>7</w:t>
            </w:r>
            <w:r>
              <w:rPr>
                <w:w w:val="80"/>
                <w:sz w:val="18"/>
              </w:rPr>
              <w:t>56</w:t>
            </w:r>
            <w:r>
              <w:rPr>
                <w:spacing w:val="-6"/>
                <w:sz w:val="18"/>
              </w:rPr>
              <w:t> </w:t>
            </w:r>
            <w:r>
              <w:rPr>
                <w:w w:val="77"/>
                <w:sz w:val="18"/>
              </w:rPr>
              <w:t>9,1</w:t>
            </w:r>
            <w:r>
              <w:rPr>
                <w:spacing w:val="-17"/>
                <w:w w:val="77"/>
                <w:sz w:val="18"/>
              </w:rPr>
              <w:t>7</w:t>
            </w:r>
            <w:r>
              <w:rPr>
                <w:w w:val="77"/>
                <w:sz w:val="18"/>
              </w:rPr>
              <w:t>3,</w:t>
            </w:r>
            <w:r>
              <w:rPr>
                <w:spacing w:val="-12"/>
                <w:w w:val="77"/>
                <w:sz w:val="18"/>
              </w:rPr>
              <w:t>3</w:t>
            </w:r>
            <w:r>
              <w:rPr>
                <w:spacing w:val="-28"/>
                <w:w w:val="98"/>
                <w:sz w:val="18"/>
              </w:rPr>
              <w:t>7</w:t>
            </w:r>
            <w:r>
              <w:rPr>
                <w:spacing w:val="-15"/>
                <w:w w:val="96"/>
                <w:sz w:val="18"/>
              </w:rPr>
              <w:t>5</w:t>
            </w:r>
            <w:r>
              <w:rPr>
                <w:w w:val="47"/>
                <w:sz w:val="18"/>
              </w:rPr>
              <w:t>¡</w:t>
            </w:r>
          </w:p>
        </w:tc>
        <w:tc>
          <w:tcPr>
            <w:tcW w:w="684" w:type="dxa"/>
          </w:tcPr>
          <w:p>
            <w:pPr>
              <w:pStyle w:val="TableParagraph"/>
              <w:spacing w:line="194" w:lineRule="exact"/>
              <w:ind w:right="46"/>
              <w:jc w:val="right"/>
              <w:rPr>
                <w:sz w:val="18"/>
              </w:rPr>
            </w:pPr>
            <w:r>
              <w:rPr>
                <w:w w:val="80"/>
                <w:sz w:val="18"/>
              </w:rPr>
              <w:t>.57555</w:t>
            </w:r>
          </w:p>
        </w:tc>
      </w:tr>
      <w:tr>
        <w:trPr>
          <w:trHeight w:val="203" w:hRule="exact"/>
        </w:trPr>
        <w:tc>
          <w:tcPr>
            <w:tcW w:w="503" w:type="dxa"/>
          </w:tcPr>
          <w:p>
            <w:pPr>
              <w:pStyle w:val="TableParagraph"/>
              <w:spacing w:line="202" w:lineRule="exact"/>
              <w:ind w:left="125"/>
              <w:jc w:val="center"/>
              <w:rPr>
                <w:sz w:val="18"/>
              </w:rPr>
            </w:pPr>
            <w:r>
              <w:rPr>
                <w:w w:val="114"/>
                <w:sz w:val="18"/>
              </w:rPr>
              <w:t>8</w:t>
            </w:r>
          </w:p>
        </w:tc>
        <w:tc>
          <w:tcPr>
            <w:tcW w:w="1523" w:type="dxa"/>
          </w:tcPr>
          <w:p>
            <w:pPr>
              <w:pStyle w:val="TableParagraph"/>
              <w:spacing w:line="202" w:lineRule="exact"/>
              <w:ind w:right="59"/>
              <w:jc w:val="right"/>
              <w:rPr>
                <w:sz w:val="18"/>
              </w:rPr>
            </w:pPr>
            <w:r>
              <w:rPr>
                <w:w w:val="80"/>
                <w:sz w:val="18"/>
              </w:rPr>
              <w:t>687,1325,966,888</w:t>
            </w:r>
          </w:p>
        </w:tc>
        <w:tc>
          <w:tcPr>
            <w:tcW w:w="841" w:type="dxa"/>
          </w:tcPr>
          <w:p>
            <w:pPr>
              <w:pStyle w:val="TableParagraph"/>
              <w:spacing w:line="198" w:lineRule="exact"/>
              <w:ind w:left="2" w:right="28"/>
              <w:jc w:val="center"/>
              <w:rPr>
                <w:sz w:val="18"/>
              </w:rPr>
            </w:pPr>
            <w:r>
              <w:rPr>
                <w:spacing w:val="-9"/>
                <w:w w:val="85"/>
                <w:sz w:val="18"/>
              </w:rPr>
              <w:t>6,145,895</w:t>
            </w:r>
          </w:p>
        </w:tc>
        <w:tc>
          <w:tcPr>
            <w:tcW w:w="556" w:type="dxa"/>
            <w:tcBorders>
              <w:right w:val="single" w:sz="4" w:space="0" w:color="000000"/>
            </w:tcBorders>
          </w:tcPr>
          <w:p>
            <w:pPr>
              <w:pStyle w:val="TableParagraph"/>
              <w:spacing w:line="198" w:lineRule="exact"/>
              <w:ind w:left="16"/>
              <w:jc w:val="center"/>
              <w:rPr>
                <w:sz w:val="18"/>
              </w:rPr>
            </w:pPr>
            <w:r>
              <w:rPr>
                <w:spacing w:val="-13"/>
                <w:w w:val="90"/>
                <w:sz w:val="18"/>
              </w:rPr>
              <w:t>38,253</w:t>
            </w:r>
          </w:p>
        </w:tc>
        <w:tc>
          <w:tcPr>
            <w:tcW w:w="1705" w:type="dxa"/>
            <w:tcBorders>
              <w:left w:val="single" w:sz="4" w:space="0" w:color="000000"/>
              <w:right w:val="single" w:sz="1" w:space="0" w:color="000000"/>
            </w:tcBorders>
          </w:tcPr>
          <w:p>
            <w:pPr>
              <w:pStyle w:val="TableParagraph"/>
              <w:spacing w:line="198" w:lineRule="exact"/>
              <w:ind w:left="65"/>
              <w:jc w:val="center"/>
              <w:rPr>
                <w:sz w:val="18"/>
              </w:rPr>
            </w:pPr>
            <w:r>
              <w:rPr>
                <w:w w:val="75"/>
                <w:sz w:val="18"/>
              </w:rPr>
              <w:t>6,107,642¡ 9,135,122</w:t>
            </w:r>
          </w:p>
        </w:tc>
        <w:tc>
          <w:tcPr>
            <w:tcW w:w="684" w:type="dxa"/>
            <w:tcBorders>
              <w:left w:val="single" w:sz="1" w:space="0" w:color="000000"/>
            </w:tcBorders>
          </w:tcPr>
          <w:p>
            <w:pPr>
              <w:pStyle w:val="TableParagraph"/>
              <w:spacing w:line="198" w:lineRule="exact"/>
              <w:ind w:right="29"/>
              <w:jc w:val="right"/>
              <w:rPr>
                <w:sz w:val="18"/>
              </w:rPr>
            </w:pPr>
            <w:r>
              <w:rPr>
                <w:w w:val="75"/>
                <w:sz w:val="18"/>
              </w:rPr>
              <w:t>.66859</w:t>
            </w:r>
          </w:p>
        </w:tc>
      </w:tr>
      <w:tr>
        <w:trPr>
          <w:trHeight w:val="205" w:hRule="exact"/>
        </w:trPr>
        <w:tc>
          <w:tcPr>
            <w:tcW w:w="503" w:type="dxa"/>
          </w:tcPr>
          <w:p>
            <w:pPr>
              <w:pStyle w:val="TableParagraph"/>
              <w:spacing w:line="201" w:lineRule="exact"/>
              <w:ind w:left="125"/>
              <w:jc w:val="center"/>
              <w:rPr>
                <w:sz w:val="18"/>
              </w:rPr>
            </w:pPr>
            <w:r>
              <w:rPr>
                <w:w w:val="114"/>
                <w:sz w:val="18"/>
              </w:rPr>
              <w:t>9</w:t>
            </w:r>
          </w:p>
        </w:tc>
        <w:tc>
          <w:tcPr>
            <w:tcW w:w="1523" w:type="dxa"/>
          </w:tcPr>
          <w:p>
            <w:pPr>
              <w:pStyle w:val="TableParagraph"/>
              <w:spacing w:line="207" w:lineRule="exact"/>
              <w:ind w:right="60"/>
              <w:jc w:val="right"/>
              <w:rPr>
                <w:sz w:val="18"/>
              </w:rPr>
            </w:pPr>
            <w:r>
              <w:rPr>
                <w:w w:val="75"/>
                <w:sz w:val="19"/>
              </w:rPr>
              <w:t>684,266 </w:t>
            </w:r>
            <w:r>
              <w:rPr>
                <w:w w:val="75"/>
                <w:sz w:val="18"/>
              </w:rPr>
              <w:t>6,791,908</w:t>
            </w:r>
          </w:p>
        </w:tc>
        <w:tc>
          <w:tcPr>
            <w:tcW w:w="841" w:type="dxa"/>
          </w:tcPr>
          <w:p>
            <w:pPr>
              <w:pStyle w:val="TableParagraph"/>
              <w:spacing w:line="197" w:lineRule="exact"/>
              <w:ind w:left="2" w:right="11"/>
              <w:jc w:val="center"/>
              <w:rPr>
                <w:sz w:val="18"/>
              </w:rPr>
            </w:pPr>
            <w:r>
              <w:rPr>
                <w:w w:val="75"/>
                <w:sz w:val="18"/>
              </w:rPr>
              <w:t>6,995,665</w:t>
            </w:r>
          </w:p>
        </w:tc>
        <w:tc>
          <w:tcPr>
            <w:tcW w:w="556" w:type="dxa"/>
            <w:tcBorders>
              <w:right w:val="single" w:sz="4" w:space="0" w:color="000000"/>
            </w:tcBorders>
          </w:tcPr>
          <w:p>
            <w:pPr>
              <w:pStyle w:val="TableParagraph"/>
              <w:spacing w:line="194" w:lineRule="exact"/>
              <w:ind w:left="36"/>
              <w:jc w:val="center"/>
              <w:rPr>
                <w:sz w:val="18"/>
              </w:rPr>
            </w:pPr>
            <w:r>
              <w:rPr>
                <w:spacing w:val="-13"/>
                <w:w w:val="90"/>
                <w:sz w:val="18"/>
              </w:rPr>
              <w:t>41,382</w:t>
            </w:r>
          </w:p>
        </w:tc>
        <w:tc>
          <w:tcPr>
            <w:tcW w:w="1705" w:type="dxa"/>
            <w:tcBorders>
              <w:left w:val="single" w:sz="4" w:space="0" w:color="000000"/>
              <w:right w:val="single" w:sz="1" w:space="0" w:color="000000"/>
            </w:tcBorders>
          </w:tcPr>
          <w:p>
            <w:pPr>
              <w:pStyle w:val="TableParagraph"/>
              <w:ind w:left="98"/>
              <w:jc w:val="center"/>
              <w:rPr>
                <w:sz w:val="18"/>
              </w:rPr>
            </w:pPr>
            <w:r>
              <w:rPr>
                <w:w w:val="75"/>
                <w:sz w:val="18"/>
              </w:rPr>
              <w:t>6,954,2831 </w:t>
            </w:r>
            <w:r>
              <w:rPr>
                <w:spacing w:val="-4"/>
                <w:w w:val="75"/>
                <w:sz w:val="18"/>
              </w:rPr>
              <w:t>9,093,740</w:t>
            </w:r>
          </w:p>
        </w:tc>
        <w:tc>
          <w:tcPr>
            <w:tcW w:w="684" w:type="dxa"/>
            <w:tcBorders>
              <w:left w:val="single" w:sz="1" w:space="0" w:color="000000"/>
            </w:tcBorders>
          </w:tcPr>
          <w:p>
            <w:pPr>
              <w:pStyle w:val="TableParagraph"/>
              <w:spacing w:line="197" w:lineRule="exact"/>
              <w:ind w:right="43"/>
              <w:jc w:val="right"/>
              <w:rPr>
                <w:sz w:val="18"/>
              </w:rPr>
            </w:pPr>
            <w:r>
              <w:rPr>
                <w:w w:val="75"/>
                <w:sz w:val="18"/>
              </w:rPr>
              <w:t>.76473</w:t>
            </w:r>
          </w:p>
        </w:tc>
      </w:tr>
      <w:tr>
        <w:trPr>
          <w:trHeight w:val="198" w:hRule="exact"/>
        </w:trPr>
        <w:tc>
          <w:tcPr>
            <w:tcW w:w="503" w:type="dxa"/>
          </w:tcPr>
          <w:p>
            <w:pPr>
              <w:pStyle w:val="TableParagraph"/>
              <w:spacing w:line="198" w:lineRule="exact"/>
              <w:ind w:left="151" w:right="106"/>
              <w:jc w:val="center"/>
              <w:rPr>
                <w:sz w:val="18"/>
              </w:rPr>
            </w:pPr>
            <w:r>
              <w:rPr>
                <w:w w:val="95"/>
                <w:sz w:val="18"/>
              </w:rPr>
              <w:t>10</w:t>
            </w:r>
          </w:p>
        </w:tc>
        <w:tc>
          <w:tcPr>
            <w:tcW w:w="1523" w:type="dxa"/>
          </w:tcPr>
          <w:p>
            <w:pPr>
              <w:pStyle w:val="TableParagraph"/>
              <w:spacing w:line="198" w:lineRule="exact"/>
              <w:ind w:right="42"/>
              <w:jc w:val="right"/>
              <w:rPr>
                <w:sz w:val="18"/>
              </w:rPr>
            </w:pPr>
            <w:r>
              <w:rPr>
                <w:w w:val="80"/>
                <w:sz w:val="18"/>
              </w:rPr>
              <w:t>681,167</w:t>
            </w:r>
            <w:r>
              <w:rPr>
                <w:spacing w:val="-57"/>
                <w:w w:val="80"/>
                <w:sz w:val="18"/>
              </w:rPr>
              <w:t> </w:t>
            </w:r>
            <w:r>
              <w:rPr>
                <w:spacing w:val="-7"/>
                <w:w w:val="80"/>
                <w:sz w:val="18"/>
              </w:rPr>
              <w:t>7,635,450</w:t>
            </w:r>
          </w:p>
        </w:tc>
        <w:tc>
          <w:tcPr>
            <w:tcW w:w="841" w:type="dxa"/>
          </w:tcPr>
          <w:p>
            <w:pPr>
              <w:pStyle w:val="TableParagraph"/>
              <w:spacing w:line="194" w:lineRule="exact"/>
              <w:ind w:left="2" w:right="15"/>
              <w:jc w:val="center"/>
              <w:rPr>
                <w:sz w:val="18"/>
              </w:rPr>
            </w:pPr>
            <w:r>
              <w:rPr>
                <w:w w:val="80"/>
                <w:sz w:val="18"/>
              </w:rPr>
              <w:t>7,864,514</w:t>
            </w:r>
          </w:p>
        </w:tc>
        <w:tc>
          <w:tcPr>
            <w:tcW w:w="556" w:type="dxa"/>
            <w:tcBorders>
              <w:right w:val="single" w:sz="4" w:space="0" w:color="000000"/>
            </w:tcBorders>
          </w:tcPr>
          <w:p>
            <w:pPr>
              <w:pStyle w:val="TableParagraph"/>
              <w:spacing w:line="190" w:lineRule="exact"/>
              <w:ind w:left="17"/>
              <w:jc w:val="center"/>
              <w:rPr>
                <w:sz w:val="18"/>
              </w:rPr>
            </w:pPr>
            <w:r>
              <w:rPr>
                <w:spacing w:val="-12"/>
                <w:w w:val="85"/>
                <w:sz w:val="18"/>
              </w:rPr>
              <w:t>44,741</w:t>
            </w:r>
          </w:p>
        </w:tc>
        <w:tc>
          <w:tcPr>
            <w:tcW w:w="1705" w:type="dxa"/>
            <w:tcBorders>
              <w:left w:val="single" w:sz="4" w:space="0" w:color="000000"/>
              <w:right w:val="single" w:sz="1" w:space="0" w:color="000000"/>
            </w:tcBorders>
          </w:tcPr>
          <w:p>
            <w:pPr>
              <w:pStyle w:val="TableParagraph"/>
              <w:spacing w:line="194" w:lineRule="exact"/>
              <w:ind w:left="90"/>
              <w:jc w:val="center"/>
              <w:rPr>
                <w:sz w:val="18"/>
              </w:rPr>
            </w:pPr>
            <w:r>
              <w:rPr>
                <w:spacing w:val="-9"/>
                <w:w w:val="85"/>
                <w:sz w:val="18"/>
              </w:rPr>
              <w:t>7,819,773¡ </w:t>
            </w:r>
            <w:r>
              <w:rPr>
                <w:spacing w:val="-16"/>
                <w:w w:val="85"/>
                <w:sz w:val="18"/>
              </w:rPr>
              <w:t>9,048,999</w:t>
            </w:r>
          </w:p>
        </w:tc>
        <w:tc>
          <w:tcPr>
            <w:tcW w:w="684" w:type="dxa"/>
            <w:tcBorders>
              <w:left w:val="single" w:sz="1" w:space="0" w:color="000000"/>
            </w:tcBorders>
          </w:tcPr>
          <w:p>
            <w:pPr>
              <w:pStyle w:val="TableParagraph"/>
              <w:spacing w:line="194" w:lineRule="exact"/>
              <w:ind w:right="24"/>
              <w:jc w:val="right"/>
              <w:rPr>
                <w:sz w:val="18"/>
              </w:rPr>
            </w:pPr>
            <w:r>
              <w:rPr>
                <w:w w:val="90"/>
                <w:sz w:val="18"/>
              </w:rPr>
              <w:t>.86416</w:t>
            </w:r>
          </w:p>
        </w:tc>
      </w:tr>
      <w:tr>
        <w:trPr>
          <w:trHeight w:val="207" w:hRule="exact"/>
        </w:trPr>
        <w:tc>
          <w:tcPr>
            <w:tcW w:w="503" w:type="dxa"/>
          </w:tcPr>
          <w:p>
            <w:pPr>
              <w:pStyle w:val="TableParagraph"/>
              <w:spacing w:line="197" w:lineRule="exact"/>
              <w:ind w:left="141" w:right="106"/>
              <w:jc w:val="center"/>
              <w:rPr>
                <w:sz w:val="18"/>
              </w:rPr>
            </w:pPr>
            <w:r>
              <w:rPr>
                <w:w w:val="85"/>
                <w:sz w:val="18"/>
              </w:rPr>
              <w:t>11</w:t>
            </w:r>
          </w:p>
        </w:tc>
        <w:tc>
          <w:tcPr>
            <w:tcW w:w="1523" w:type="dxa"/>
          </w:tcPr>
          <w:p>
            <w:pPr>
              <w:pStyle w:val="TableParagraph"/>
              <w:spacing w:line="197" w:lineRule="exact"/>
              <w:ind w:right="50"/>
              <w:jc w:val="right"/>
              <w:rPr>
                <w:sz w:val="18"/>
              </w:rPr>
            </w:pPr>
            <w:r>
              <w:rPr>
                <w:w w:val="80"/>
                <w:sz w:val="18"/>
              </w:rPr>
              <w:t>7,819,773</w:t>
            </w:r>
          </w:p>
        </w:tc>
        <w:tc>
          <w:tcPr>
            <w:tcW w:w="841" w:type="dxa"/>
          </w:tcPr>
          <w:p>
            <w:pPr>
              <w:pStyle w:val="TableParagraph"/>
              <w:spacing w:line="197" w:lineRule="exact"/>
              <w:ind w:left="2"/>
              <w:jc w:val="center"/>
              <w:rPr>
                <w:sz w:val="18"/>
              </w:rPr>
            </w:pPr>
            <w:r>
              <w:rPr>
                <w:w w:val="85"/>
                <w:sz w:val="18"/>
              </w:rPr>
              <w:t>8,054,366</w:t>
            </w:r>
          </w:p>
        </w:tc>
        <w:tc>
          <w:tcPr>
            <w:tcW w:w="556" w:type="dxa"/>
            <w:tcBorders>
              <w:right w:val="single" w:sz="4" w:space="0" w:color="000000"/>
            </w:tcBorders>
          </w:tcPr>
          <w:p>
            <w:pPr>
              <w:pStyle w:val="TableParagraph"/>
              <w:spacing w:line="194" w:lineRule="exact"/>
              <w:ind w:left="30"/>
              <w:jc w:val="center"/>
              <w:rPr>
                <w:sz w:val="18"/>
              </w:rPr>
            </w:pPr>
            <w:r>
              <w:rPr>
                <w:spacing w:val="-9"/>
                <w:w w:val="85"/>
                <w:sz w:val="18"/>
              </w:rPr>
              <w:t>48,412</w:t>
            </w:r>
          </w:p>
        </w:tc>
        <w:tc>
          <w:tcPr>
            <w:tcW w:w="1705" w:type="dxa"/>
            <w:tcBorders>
              <w:left w:val="single" w:sz="4" w:space="0" w:color="000000"/>
              <w:right w:val="single" w:sz="1" w:space="0" w:color="000000"/>
            </w:tcBorders>
          </w:tcPr>
          <w:p>
            <w:pPr>
              <w:pStyle w:val="TableParagraph"/>
              <w:spacing w:before="7"/>
              <w:ind w:left="84"/>
              <w:jc w:val="center"/>
              <w:rPr>
                <w:sz w:val="18"/>
              </w:rPr>
            </w:pPr>
            <w:r>
              <w:rPr>
                <w:spacing w:val="-6"/>
                <w:w w:val="75"/>
                <w:sz w:val="18"/>
              </w:rPr>
              <w:t>8,005,954¡ </w:t>
            </w:r>
            <w:r>
              <w:rPr>
                <w:w w:val="75"/>
                <w:sz w:val="18"/>
              </w:rPr>
              <w:t>9,000,587</w:t>
            </w:r>
          </w:p>
        </w:tc>
        <w:tc>
          <w:tcPr>
            <w:tcW w:w="684" w:type="dxa"/>
            <w:tcBorders>
              <w:left w:val="single" w:sz="1" w:space="0" w:color="000000"/>
            </w:tcBorders>
          </w:tcPr>
          <w:p>
            <w:pPr>
              <w:pStyle w:val="TableParagraph"/>
              <w:spacing w:line="194" w:lineRule="exact"/>
              <w:ind w:right="29"/>
              <w:jc w:val="right"/>
              <w:rPr>
                <w:sz w:val="18"/>
              </w:rPr>
            </w:pPr>
            <w:r>
              <w:rPr>
                <w:w w:val="90"/>
                <w:sz w:val="18"/>
              </w:rPr>
              <w:t>.88949</w:t>
            </w:r>
          </w:p>
        </w:tc>
      </w:tr>
      <w:tr>
        <w:trPr>
          <w:trHeight w:val="194" w:hRule="exact"/>
        </w:trPr>
        <w:tc>
          <w:tcPr>
            <w:tcW w:w="503" w:type="dxa"/>
          </w:tcPr>
          <w:p>
            <w:pPr>
              <w:pStyle w:val="TableParagraph"/>
              <w:spacing w:line="172" w:lineRule="exact"/>
              <w:ind w:left="140" w:right="106"/>
              <w:jc w:val="center"/>
              <w:rPr>
                <w:rFonts w:ascii="Arial"/>
                <w:b/>
                <w:sz w:val="16"/>
              </w:rPr>
            </w:pPr>
            <w:r>
              <w:rPr>
                <w:rFonts w:ascii="Arial"/>
                <w:b/>
                <w:sz w:val="16"/>
              </w:rPr>
              <w:t>12</w:t>
            </w:r>
          </w:p>
        </w:tc>
        <w:tc>
          <w:tcPr>
            <w:tcW w:w="1523" w:type="dxa"/>
          </w:tcPr>
          <w:p>
            <w:pPr>
              <w:pStyle w:val="TableParagraph"/>
              <w:spacing w:line="172" w:lineRule="exact"/>
              <w:ind w:right="83"/>
              <w:jc w:val="right"/>
              <w:rPr>
                <w:rFonts w:ascii="Times New Roman"/>
                <w:b/>
                <w:sz w:val="16"/>
              </w:rPr>
            </w:pPr>
            <w:r>
              <w:rPr>
                <w:rFonts w:ascii="Times New Roman"/>
                <w:b/>
                <w:w w:val="110"/>
                <w:sz w:val="16"/>
              </w:rPr>
              <w:t>8, 005,954</w:t>
            </w:r>
          </w:p>
        </w:tc>
        <w:tc>
          <w:tcPr>
            <w:tcW w:w="841" w:type="dxa"/>
          </w:tcPr>
          <w:p>
            <w:pPr>
              <w:pStyle w:val="TableParagraph"/>
              <w:spacing w:line="192" w:lineRule="exact"/>
              <w:ind w:right="12"/>
              <w:jc w:val="center"/>
              <w:rPr>
                <w:sz w:val="18"/>
              </w:rPr>
            </w:pPr>
            <w:r>
              <w:rPr>
                <w:w w:val="85"/>
                <w:sz w:val="18"/>
              </w:rPr>
              <w:t>8,246,133</w:t>
            </w:r>
          </w:p>
        </w:tc>
        <w:tc>
          <w:tcPr>
            <w:tcW w:w="556" w:type="dxa"/>
            <w:tcBorders>
              <w:right w:val="single" w:sz="4" w:space="0" w:color="000000"/>
            </w:tcBorders>
          </w:tcPr>
          <w:p>
            <w:pPr>
              <w:pStyle w:val="TableParagraph"/>
              <w:spacing w:line="188" w:lineRule="exact"/>
              <w:ind w:left="27"/>
              <w:jc w:val="center"/>
              <w:rPr>
                <w:sz w:val="18"/>
              </w:rPr>
            </w:pPr>
            <w:r>
              <w:rPr>
                <w:spacing w:val="-18"/>
                <w:w w:val="90"/>
                <w:sz w:val="18"/>
              </w:rPr>
              <w:t>52,473</w:t>
            </w:r>
          </w:p>
        </w:tc>
        <w:tc>
          <w:tcPr>
            <w:tcW w:w="1705" w:type="dxa"/>
            <w:tcBorders>
              <w:left w:val="single" w:sz="4" w:space="0" w:color="000000"/>
              <w:right w:val="single" w:sz="1" w:space="0" w:color="000000"/>
            </w:tcBorders>
          </w:tcPr>
          <w:p>
            <w:pPr>
              <w:pStyle w:val="TableParagraph"/>
              <w:spacing w:line="188" w:lineRule="exact"/>
              <w:ind w:left="71"/>
              <w:jc w:val="center"/>
              <w:rPr>
                <w:sz w:val="18"/>
              </w:rPr>
            </w:pPr>
            <w:r>
              <w:rPr>
                <w:spacing w:val="-9"/>
                <w:w w:val="85"/>
                <w:sz w:val="18"/>
              </w:rPr>
              <w:t>8,193,660 </w:t>
            </w:r>
            <w:r>
              <w:rPr>
                <w:spacing w:val="-10"/>
                <w:w w:val="85"/>
                <w:sz w:val="18"/>
              </w:rPr>
              <w:t>8,948,114</w:t>
            </w:r>
          </w:p>
        </w:tc>
        <w:tc>
          <w:tcPr>
            <w:tcW w:w="684" w:type="dxa"/>
            <w:tcBorders>
              <w:left w:val="single" w:sz="1" w:space="0" w:color="000000"/>
            </w:tcBorders>
          </w:tcPr>
          <w:p>
            <w:pPr>
              <w:pStyle w:val="TableParagraph"/>
              <w:spacing w:line="188" w:lineRule="exact"/>
              <w:ind w:right="27"/>
              <w:jc w:val="right"/>
              <w:rPr>
                <w:sz w:val="18"/>
              </w:rPr>
            </w:pPr>
            <w:r>
              <w:rPr>
                <w:w w:val="80"/>
                <w:sz w:val="18"/>
              </w:rPr>
              <w:t>.91569</w:t>
            </w:r>
          </w:p>
        </w:tc>
      </w:tr>
      <w:tr>
        <w:trPr>
          <w:trHeight w:val="205" w:hRule="exact"/>
        </w:trPr>
        <w:tc>
          <w:tcPr>
            <w:tcW w:w="503" w:type="dxa"/>
          </w:tcPr>
          <w:p>
            <w:pPr>
              <w:pStyle w:val="TableParagraph"/>
              <w:spacing w:line="179" w:lineRule="exact"/>
              <w:ind w:left="135" w:right="106"/>
              <w:jc w:val="center"/>
              <w:rPr>
                <w:rFonts w:ascii="Arial"/>
                <w:b/>
                <w:sz w:val="16"/>
              </w:rPr>
            </w:pPr>
            <w:r>
              <w:rPr>
                <w:rFonts w:ascii="Arial"/>
                <w:b/>
                <w:sz w:val="16"/>
              </w:rPr>
              <w:t>13</w:t>
            </w:r>
          </w:p>
        </w:tc>
        <w:tc>
          <w:tcPr>
            <w:tcW w:w="1523" w:type="dxa"/>
          </w:tcPr>
          <w:p>
            <w:pPr>
              <w:pStyle w:val="TableParagraph"/>
              <w:spacing w:line="203" w:lineRule="exact"/>
              <w:ind w:right="38"/>
              <w:jc w:val="right"/>
              <w:rPr>
                <w:sz w:val="18"/>
              </w:rPr>
            </w:pPr>
            <w:r>
              <w:rPr>
                <w:w w:val="85"/>
                <w:sz w:val="18"/>
              </w:rPr>
              <w:t>8,193,660</w:t>
            </w:r>
          </w:p>
        </w:tc>
        <w:tc>
          <w:tcPr>
            <w:tcW w:w="841" w:type="dxa"/>
          </w:tcPr>
          <w:p>
            <w:pPr>
              <w:pStyle w:val="TableParagraph"/>
              <w:spacing w:line="199" w:lineRule="exact"/>
              <w:ind w:left="8"/>
              <w:jc w:val="center"/>
              <w:rPr>
                <w:sz w:val="18"/>
              </w:rPr>
            </w:pPr>
            <w:r>
              <w:rPr>
                <w:spacing w:val="-19"/>
                <w:w w:val="95"/>
                <w:sz w:val="18"/>
              </w:rPr>
              <w:t>8,439,470</w:t>
            </w:r>
          </w:p>
        </w:tc>
        <w:tc>
          <w:tcPr>
            <w:tcW w:w="556" w:type="dxa"/>
            <w:tcBorders>
              <w:right w:val="single" w:sz="4" w:space="0" w:color="000000"/>
            </w:tcBorders>
          </w:tcPr>
          <w:p>
            <w:pPr>
              <w:pStyle w:val="TableParagraph"/>
              <w:spacing w:line="195" w:lineRule="exact"/>
              <w:ind w:left="40"/>
              <w:jc w:val="center"/>
              <w:rPr>
                <w:sz w:val="18"/>
              </w:rPr>
            </w:pPr>
            <w:r>
              <w:rPr>
                <w:spacing w:val="-4"/>
                <w:w w:val="80"/>
                <w:sz w:val="18"/>
              </w:rPr>
              <w:t>56,910</w:t>
            </w:r>
          </w:p>
        </w:tc>
        <w:tc>
          <w:tcPr>
            <w:tcW w:w="1705" w:type="dxa"/>
            <w:tcBorders>
              <w:left w:val="single" w:sz="4" w:space="0" w:color="000000"/>
              <w:right w:val="single" w:sz="1" w:space="0" w:color="000000"/>
            </w:tcBorders>
          </w:tcPr>
          <w:p>
            <w:pPr>
              <w:pStyle w:val="TableParagraph"/>
              <w:spacing w:before="2"/>
              <w:ind w:left="69"/>
              <w:jc w:val="center"/>
              <w:rPr>
                <w:sz w:val="18"/>
              </w:rPr>
            </w:pPr>
            <w:r>
              <w:rPr>
                <w:spacing w:val="-18"/>
                <w:w w:val="109"/>
                <w:sz w:val="18"/>
              </w:rPr>
              <w:t>8</w:t>
            </w:r>
            <w:r>
              <w:rPr>
                <w:w w:val="72"/>
                <w:sz w:val="18"/>
              </w:rPr>
              <w:t>,</w:t>
            </w:r>
            <w:r>
              <w:rPr>
                <w:spacing w:val="-21"/>
                <w:w w:val="72"/>
                <w:sz w:val="18"/>
              </w:rPr>
              <w:t>3</w:t>
            </w:r>
            <w:r>
              <w:rPr>
                <w:spacing w:val="-36"/>
                <w:w w:val="109"/>
                <w:sz w:val="18"/>
              </w:rPr>
              <w:t>8</w:t>
            </w:r>
            <w:r>
              <w:rPr>
                <w:spacing w:val="-12"/>
                <w:w w:val="103"/>
                <w:sz w:val="18"/>
              </w:rPr>
              <w:t>2</w:t>
            </w:r>
            <w:r>
              <w:rPr>
                <w:w w:val="72"/>
                <w:sz w:val="18"/>
              </w:rPr>
              <w:t>,5</w:t>
            </w:r>
            <w:r>
              <w:rPr>
                <w:spacing w:val="-17"/>
                <w:w w:val="72"/>
                <w:sz w:val="18"/>
              </w:rPr>
              <w:t>6</w:t>
            </w:r>
            <w:r>
              <w:rPr>
                <w:spacing w:val="-35"/>
                <w:w w:val="114"/>
                <w:sz w:val="18"/>
              </w:rPr>
              <w:t>0</w:t>
            </w:r>
            <w:r>
              <w:rPr>
                <w:w w:val="47"/>
                <w:sz w:val="18"/>
              </w:rPr>
              <w:t>¡</w:t>
            </w:r>
            <w:r>
              <w:rPr>
                <w:spacing w:val="-49"/>
                <w:sz w:val="18"/>
              </w:rPr>
              <w:t> </w:t>
            </w:r>
            <w:r>
              <w:rPr>
                <w:w w:val="78"/>
                <w:sz w:val="18"/>
              </w:rPr>
              <w:t>8,</w:t>
            </w:r>
            <w:r>
              <w:rPr>
                <w:spacing w:val="-22"/>
                <w:w w:val="78"/>
                <w:sz w:val="18"/>
              </w:rPr>
              <w:t>8</w:t>
            </w:r>
            <w:r>
              <w:rPr>
                <w:spacing w:val="-25"/>
                <w:w w:val="108"/>
                <w:sz w:val="18"/>
              </w:rPr>
              <w:t>9</w:t>
            </w:r>
            <w:r>
              <w:rPr>
                <w:w w:val="73"/>
                <w:sz w:val="18"/>
              </w:rPr>
              <w:t>1,204</w:t>
            </w:r>
          </w:p>
        </w:tc>
        <w:tc>
          <w:tcPr>
            <w:tcW w:w="684" w:type="dxa"/>
            <w:tcBorders>
              <w:left w:val="single" w:sz="1" w:space="0" w:color="000000"/>
            </w:tcBorders>
          </w:tcPr>
          <w:p>
            <w:pPr>
              <w:pStyle w:val="TableParagraph"/>
              <w:spacing w:line="195" w:lineRule="exact"/>
              <w:ind w:right="29"/>
              <w:jc w:val="right"/>
              <w:rPr>
                <w:sz w:val="18"/>
              </w:rPr>
            </w:pPr>
            <w:r>
              <w:rPr>
                <w:w w:val="90"/>
                <w:sz w:val="18"/>
              </w:rPr>
              <w:t>.94279</w:t>
            </w:r>
          </w:p>
        </w:tc>
      </w:tr>
      <w:tr>
        <w:trPr>
          <w:trHeight w:val="195" w:hRule="exact"/>
        </w:trPr>
        <w:tc>
          <w:tcPr>
            <w:tcW w:w="503" w:type="dxa"/>
          </w:tcPr>
          <w:p>
            <w:pPr>
              <w:pStyle w:val="TableParagraph"/>
              <w:spacing w:line="172" w:lineRule="exact"/>
              <w:ind w:left="129" w:right="106"/>
              <w:jc w:val="center"/>
              <w:rPr>
                <w:rFonts w:ascii="Times New Roman"/>
                <w:b/>
                <w:sz w:val="16"/>
              </w:rPr>
            </w:pPr>
            <w:r>
              <w:rPr>
                <w:rFonts w:ascii="Times New Roman"/>
                <w:b/>
                <w:w w:val="105"/>
                <w:sz w:val="16"/>
              </w:rPr>
              <w:t>14</w:t>
            </w:r>
          </w:p>
        </w:tc>
        <w:tc>
          <w:tcPr>
            <w:tcW w:w="1523" w:type="dxa"/>
          </w:tcPr>
          <w:p>
            <w:pPr>
              <w:pStyle w:val="TableParagraph"/>
              <w:spacing w:line="176" w:lineRule="exact"/>
              <w:ind w:right="73"/>
              <w:jc w:val="right"/>
              <w:rPr>
                <w:rFonts w:ascii="Times New Roman"/>
                <w:b/>
                <w:sz w:val="16"/>
              </w:rPr>
            </w:pPr>
            <w:r>
              <w:rPr>
                <w:rFonts w:ascii="Times New Roman"/>
                <w:b/>
                <w:w w:val="110"/>
                <w:sz w:val="16"/>
              </w:rPr>
              <w:t>8,382,560</w:t>
            </w:r>
          </w:p>
        </w:tc>
        <w:tc>
          <w:tcPr>
            <w:tcW w:w="841" w:type="dxa"/>
          </w:tcPr>
          <w:p>
            <w:pPr>
              <w:pStyle w:val="TableParagraph"/>
              <w:spacing w:line="195" w:lineRule="exact"/>
              <w:ind w:right="4"/>
              <w:jc w:val="center"/>
              <w:rPr>
                <w:sz w:val="18"/>
              </w:rPr>
            </w:pPr>
            <w:r>
              <w:rPr>
                <w:w w:val="85"/>
                <w:sz w:val="18"/>
              </w:rPr>
              <w:t>8,634,037</w:t>
            </w:r>
          </w:p>
        </w:tc>
        <w:tc>
          <w:tcPr>
            <w:tcW w:w="556" w:type="dxa"/>
            <w:tcBorders>
              <w:right w:val="single" w:sz="4" w:space="0" w:color="000000"/>
            </w:tcBorders>
          </w:tcPr>
          <w:p>
            <w:pPr>
              <w:pStyle w:val="TableParagraph"/>
              <w:spacing w:line="192" w:lineRule="exact"/>
              <w:ind w:left="38" w:right="-5"/>
              <w:jc w:val="center"/>
              <w:rPr>
                <w:sz w:val="18"/>
              </w:rPr>
            </w:pPr>
            <w:r>
              <w:rPr>
                <w:spacing w:val="-16"/>
                <w:w w:val="90"/>
                <w:sz w:val="18"/>
              </w:rPr>
              <w:t>61,794</w:t>
            </w:r>
          </w:p>
        </w:tc>
        <w:tc>
          <w:tcPr>
            <w:tcW w:w="1705" w:type="dxa"/>
            <w:tcBorders>
              <w:left w:val="single" w:sz="4" w:space="0" w:color="000000"/>
              <w:right w:val="single" w:sz="1" w:space="0" w:color="000000"/>
            </w:tcBorders>
          </w:tcPr>
          <w:p>
            <w:pPr>
              <w:pStyle w:val="TableParagraph"/>
              <w:spacing w:line="192" w:lineRule="exact"/>
              <w:ind w:left="68"/>
              <w:jc w:val="center"/>
              <w:rPr>
                <w:sz w:val="18"/>
              </w:rPr>
            </w:pPr>
            <w:r>
              <w:rPr>
                <w:spacing w:val="-11"/>
                <w:w w:val="85"/>
                <w:sz w:val="18"/>
              </w:rPr>
              <w:t>8,572,243 </w:t>
            </w:r>
            <w:r>
              <w:rPr>
                <w:spacing w:val="-5"/>
                <w:w w:val="85"/>
                <w:sz w:val="18"/>
              </w:rPr>
              <w:t>8,829,410</w:t>
            </w:r>
          </w:p>
        </w:tc>
        <w:tc>
          <w:tcPr>
            <w:tcW w:w="684" w:type="dxa"/>
            <w:tcBorders>
              <w:left w:val="single" w:sz="1" w:space="0" w:color="000000"/>
            </w:tcBorders>
          </w:tcPr>
          <w:p>
            <w:pPr>
              <w:pStyle w:val="TableParagraph"/>
              <w:spacing w:line="192" w:lineRule="exact"/>
              <w:ind w:right="31"/>
              <w:jc w:val="right"/>
              <w:rPr>
                <w:sz w:val="18"/>
              </w:rPr>
            </w:pPr>
            <w:r>
              <w:rPr>
                <w:w w:val="85"/>
                <w:sz w:val="18"/>
              </w:rPr>
              <w:t>.97087</w:t>
            </w:r>
          </w:p>
        </w:tc>
      </w:tr>
      <w:tr>
        <w:trPr>
          <w:trHeight w:val="310" w:hRule="exact"/>
        </w:trPr>
        <w:tc>
          <w:tcPr>
            <w:tcW w:w="503" w:type="dxa"/>
            <w:tcBorders>
              <w:bottom w:val="single" w:sz="4" w:space="0" w:color="000000"/>
            </w:tcBorders>
          </w:tcPr>
          <w:p>
            <w:pPr>
              <w:pStyle w:val="TableParagraph"/>
              <w:spacing w:line="179" w:lineRule="exact"/>
              <w:ind w:left="142" w:right="106"/>
              <w:jc w:val="center"/>
              <w:rPr>
                <w:rFonts w:ascii="Times New Roman"/>
                <w:b/>
                <w:sz w:val="16"/>
              </w:rPr>
            </w:pPr>
            <w:r>
              <w:rPr>
                <w:rFonts w:ascii="Times New Roman"/>
                <w:b/>
                <w:w w:val="105"/>
                <w:sz w:val="16"/>
              </w:rPr>
              <w:t>15</w:t>
            </w:r>
          </w:p>
        </w:tc>
        <w:tc>
          <w:tcPr>
            <w:tcW w:w="1523" w:type="dxa"/>
            <w:tcBorders>
              <w:bottom w:val="single" w:sz="4" w:space="0" w:color="000000"/>
            </w:tcBorders>
          </w:tcPr>
          <w:p>
            <w:pPr>
              <w:pStyle w:val="TableParagraph"/>
              <w:spacing w:line="202" w:lineRule="exact"/>
              <w:ind w:right="45"/>
              <w:jc w:val="right"/>
              <w:rPr>
                <w:sz w:val="18"/>
              </w:rPr>
            </w:pPr>
            <w:r>
              <w:rPr>
                <w:w w:val="90"/>
                <w:sz w:val="18"/>
              </w:rPr>
              <w:t>8,572,243</w:t>
            </w:r>
          </w:p>
        </w:tc>
        <w:tc>
          <w:tcPr>
            <w:tcW w:w="841" w:type="dxa"/>
            <w:tcBorders>
              <w:bottom w:val="single" w:sz="4" w:space="0" w:color="000000"/>
            </w:tcBorders>
          </w:tcPr>
          <w:p>
            <w:pPr>
              <w:pStyle w:val="TableParagraph"/>
              <w:spacing w:line="184" w:lineRule="exact"/>
              <w:ind w:left="2" w:right="38"/>
              <w:jc w:val="center"/>
              <w:rPr>
                <w:rFonts w:ascii="Times New Roman"/>
                <w:sz w:val="17"/>
              </w:rPr>
            </w:pPr>
            <w:r>
              <w:rPr>
                <w:rFonts w:ascii="Times New Roman"/>
                <w:w w:val="105"/>
                <w:sz w:val="17"/>
              </w:rPr>
              <w:t>8,829,410</w:t>
            </w:r>
          </w:p>
        </w:tc>
        <w:tc>
          <w:tcPr>
            <w:tcW w:w="556" w:type="dxa"/>
            <w:tcBorders>
              <w:bottom w:val="single" w:sz="4" w:space="0" w:color="000000"/>
              <w:right w:val="single" w:sz="4" w:space="0" w:color="000000"/>
            </w:tcBorders>
          </w:tcPr>
          <w:p>
            <w:pPr>
              <w:pStyle w:val="TableParagraph"/>
              <w:spacing w:line="198" w:lineRule="exact"/>
              <w:ind w:left="19"/>
              <w:jc w:val="center"/>
              <w:rPr>
                <w:sz w:val="18"/>
              </w:rPr>
            </w:pPr>
            <w:r>
              <w:rPr>
                <w:w w:val="80"/>
                <w:sz w:val="18"/>
              </w:rPr>
              <w:t>67,104</w:t>
            </w:r>
          </w:p>
        </w:tc>
        <w:tc>
          <w:tcPr>
            <w:tcW w:w="1705" w:type="dxa"/>
            <w:tcBorders>
              <w:left w:val="single" w:sz="4" w:space="0" w:color="000000"/>
              <w:bottom w:val="single" w:sz="4" w:space="0" w:color="000000"/>
              <w:right w:val="single" w:sz="1" w:space="0" w:color="000000"/>
            </w:tcBorders>
          </w:tcPr>
          <w:p>
            <w:pPr>
              <w:pStyle w:val="TableParagraph"/>
              <w:spacing w:before="1"/>
              <w:ind w:left="98" w:right="-7"/>
              <w:jc w:val="center"/>
              <w:rPr>
                <w:sz w:val="18"/>
              </w:rPr>
            </w:pPr>
            <w:r>
              <w:rPr>
                <w:spacing w:val="-18"/>
                <w:w w:val="109"/>
                <w:sz w:val="18"/>
              </w:rPr>
              <w:t>8</w:t>
            </w:r>
            <w:r>
              <w:rPr>
                <w:spacing w:val="-21"/>
                <w:w w:val="75"/>
                <w:sz w:val="18"/>
              </w:rPr>
              <w:t>,</w:t>
            </w:r>
            <w:r>
              <w:rPr>
                <w:spacing w:val="-32"/>
                <w:w w:val="98"/>
                <w:sz w:val="18"/>
              </w:rPr>
              <w:t>7</w:t>
            </w:r>
            <w:r>
              <w:rPr>
                <w:spacing w:val="-32"/>
                <w:w w:val="108"/>
                <w:sz w:val="18"/>
              </w:rPr>
              <w:t>6</w:t>
            </w:r>
            <w:r>
              <w:rPr>
                <w:spacing w:val="-10"/>
                <w:w w:val="98"/>
                <w:sz w:val="18"/>
              </w:rPr>
              <w:t>2</w:t>
            </w:r>
            <w:r>
              <w:rPr>
                <w:w w:val="75"/>
                <w:sz w:val="18"/>
              </w:rPr>
              <w:t>,</w:t>
            </w:r>
            <w:r>
              <w:rPr>
                <w:spacing w:val="-28"/>
                <w:w w:val="75"/>
                <w:sz w:val="18"/>
              </w:rPr>
              <w:t>3</w:t>
            </w:r>
            <w:r>
              <w:rPr>
                <w:w w:val="62"/>
                <w:sz w:val="18"/>
              </w:rPr>
              <w:t>061</w:t>
            </w:r>
            <w:r>
              <w:rPr>
                <w:spacing w:val="-32"/>
                <w:sz w:val="18"/>
              </w:rPr>
              <w:t> </w:t>
            </w:r>
            <w:r>
              <w:rPr>
                <w:spacing w:val="-20"/>
                <w:w w:val="114"/>
                <w:sz w:val="18"/>
              </w:rPr>
              <w:t>8</w:t>
            </w:r>
            <w:r>
              <w:rPr>
                <w:w w:val="72"/>
                <w:sz w:val="18"/>
              </w:rPr>
              <w:t>,</w:t>
            </w:r>
            <w:r>
              <w:rPr>
                <w:spacing w:val="-21"/>
                <w:w w:val="72"/>
                <w:sz w:val="18"/>
              </w:rPr>
              <w:t>7</w:t>
            </w:r>
            <w:r>
              <w:rPr>
                <w:w w:val="88"/>
                <w:sz w:val="18"/>
              </w:rPr>
              <w:t>6</w:t>
            </w:r>
            <w:r>
              <w:rPr>
                <w:spacing w:val="-13"/>
                <w:w w:val="88"/>
                <w:sz w:val="18"/>
              </w:rPr>
              <w:t>2</w:t>
            </w:r>
            <w:r>
              <w:rPr>
                <w:w w:val="72"/>
                <w:sz w:val="18"/>
              </w:rPr>
              <w:t>,</w:t>
            </w:r>
            <w:r>
              <w:rPr>
                <w:spacing w:val="-21"/>
                <w:w w:val="72"/>
                <w:sz w:val="18"/>
              </w:rPr>
              <w:t>3</w:t>
            </w:r>
            <w:r>
              <w:rPr>
                <w:w w:val="83"/>
                <w:sz w:val="18"/>
              </w:rPr>
              <w:t>0</w:t>
            </w:r>
            <w:r>
              <w:rPr>
                <w:spacing w:val="-13"/>
                <w:w w:val="83"/>
                <w:sz w:val="18"/>
              </w:rPr>
              <w:t>6</w:t>
            </w:r>
            <w:r>
              <w:rPr>
                <w:w w:val="36"/>
                <w:sz w:val="18"/>
              </w:rPr>
              <w:t>,</w:t>
            </w:r>
          </w:p>
        </w:tc>
        <w:tc>
          <w:tcPr>
            <w:tcW w:w="684" w:type="dxa"/>
            <w:tcBorders>
              <w:left w:val="single" w:sz="1" w:space="0" w:color="000000"/>
              <w:bottom w:val="single" w:sz="4" w:space="0" w:color="000000"/>
            </w:tcBorders>
          </w:tcPr>
          <w:p>
            <w:pPr>
              <w:pStyle w:val="TableParagraph"/>
              <w:spacing w:line="180" w:lineRule="exact"/>
              <w:ind w:right="53"/>
              <w:jc w:val="right"/>
              <w:rPr>
                <w:rFonts w:ascii="Arial"/>
                <w:sz w:val="17"/>
              </w:rPr>
            </w:pPr>
            <w:r>
              <w:rPr>
                <w:rFonts w:ascii="Arial"/>
                <w:w w:val="85"/>
                <w:sz w:val="17"/>
              </w:rPr>
              <w:t>1.00000</w:t>
            </w:r>
          </w:p>
        </w:tc>
      </w:tr>
    </w:tbl>
    <w:p>
      <w:pPr>
        <w:pStyle w:val="BodyText"/>
        <w:spacing w:before="4"/>
        <w:rPr>
          <w:rFonts w:ascii="Courier New"/>
          <w:sz w:val="13"/>
        </w:rPr>
      </w:pPr>
    </w:p>
    <w:p>
      <w:pPr>
        <w:spacing w:line="242" w:lineRule="exact" w:before="76"/>
        <w:ind w:left="114" w:right="0" w:hanging="4"/>
        <w:jc w:val="left"/>
        <w:rPr>
          <w:sz w:val="17"/>
        </w:rPr>
      </w:pPr>
      <w:r>
        <w:rPr>
          <w:w w:val="105"/>
          <w:sz w:val="21"/>
        </w:rPr>
        <w:t>spective definition, and the average fund per policy as shown in column (8) is the reserve function </w:t>
      </w:r>
      <w:r>
        <w:rPr>
          <w:w w:val="105"/>
          <w:position w:val="10"/>
          <w:sz w:val="11"/>
        </w:rPr>
        <w:t>1 </w:t>
      </w:r>
      <w:r>
        <w:rPr>
          <w:w w:val="105"/>
          <w:sz w:val="17"/>
        </w:rPr>
        <w:t>Va1i:íij </w:t>
      </w:r>
      <w:r>
        <w:rPr>
          <w:w w:val="145"/>
          <w:sz w:val="17"/>
        </w:rPr>
        <w:t>.</w:t>
      </w:r>
    </w:p>
    <w:p>
      <w:pPr>
        <w:spacing w:line="235" w:lineRule="auto" w:before="0"/>
        <w:ind w:left="110" w:right="170" w:firstLine="198"/>
        <w:jc w:val="both"/>
        <w:rPr>
          <w:sz w:val="21"/>
        </w:rPr>
      </w:pPr>
      <w:r>
        <w:rPr>
          <w:sz w:val="21"/>
        </w:rPr>
        <w:t>That the retrospective reserve is always equivalent to the pro­ spective reserve in the case of net level premium valuation may readily be established. At any moment of time during the prc­ mium-paying period of an insurance policy, the value of ali the premiums past and future under  the  contract  must  be  equal  to  the value of the  policy  benefits  already  provided  and  promised for the future. Dcnoting  the current  value of  the premiums,    </w:t>
      </w:r>
      <w:r>
        <w:rPr>
          <w:spacing w:val="34"/>
          <w:sz w:val="21"/>
        </w:rPr>
        <w:t> </w:t>
      </w:r>
      <w:r>
        <w:rPr>
          <w:sz w:val="21"/>
        </w:rPr>
        <w:t>past</w:t>
      </w:r>
    </w:p>
    <w:p>
      <w:pPr>
        <w:spacing w:after="0" w:line="235" w:lineRule="auto"/>
        <w:jc w:val="both"/>
        <w:rPr>
          <w:sz w:val="21"/>
        </w:rPr>
        <w:sectPr>
          <w:pgSz w:w="7200" w:h="11340"/>
          <w:pgMar w:top="480" w:bottom="280" w:left="660" w:right="500"/>
        </w:sectPr>
      </w:pPr>
    </w:p>
    <w:p>
      <w:pPr>
        <w:tabs>
          <w:tab w:pos="1624" w:val="left" w:leader="none"/>
          <w:tab w:pos="5389" w:val="left" w:leader="none"/>
        </w:tabs>
        <w:spacing w:before="52"/>
        <w:ind w:left="152" w:right="0" w:firstLine="0"/>
        <w:jc w:val="left"/>
        <w:rPr>
          <w:b/>
          <w:i/>
          <w:sz w:val="20"/>
        </w:rPr>
      </w:pPr>
      <w:r>
        <w:rPr>
          <w:sz w:val="20"/>
        </w:rPr>
        <w:t>102</w:t>
        <w:tab/>
      </w:r>
      <w:r>
        <w:rPr>
          <w:b/>
          <w:position w:val="1"/>
          <w:sz w:val="15"/>
        </w:rPr>
        <w:t>NET   LEVEL </w:t>
      </w:r>
      <w:r>
        <w:rPr>
          <w:b/>
          <w:spacing w:val="26"/>
          <w:position w:val="1"/>
          <w:sz w:val="15"/>
        </w:rPr>
        <w:t> </w:t>
      </w:r>
      <w:r>
        <w:rPr>
          <w:b/>
          <w:position w:val="1"/>
          <w:sz w:val="15"/>
        </w:rPr>
        <w:t>PREMIUM  </w:t>
      </w:r>
      <w:r>
        <w:rPr>
          <w:b/>
          <w:spacing w:val="11"/>
          <w:position w:val="1"/>
          <w:sz w:val="15"/>
        </w:rPr>
        <w:t> </w:t>
      </w:r>
      <w:r>
        <w:rPr>
          <w:b/>
          <w:position w:val="1"/>
          <w:sz w:val="15"/>
        </w:rPr>
        <w:t>RESERVEP.</w:t>
        <w:tab/>
      </w:r>
      <w:r>
        <w:rPr>
          <w:b/>
          <w:w w:val="85"/>
          <w:position w:val="1"/>
          <w:sz w:val="19"/>
        </w:rPr>
        <w:t>[CH.</w:t>
      </w:r>
      <w:r>
        <w:rPr>
          <w:b/>
          <w:spacing w:val="2"/>
          <w:w w:val="85"/>
          <w:position w:val="1"/>
          <w:sz w:val="19"/>
        </w:rPr>
        <w:t> </w:t>
      </w:r>
      <w:r>
        <w:rPr>
          <w:b/>
          <w:i/>
          <w:spacing w:val="-16"/>
          <w:w w:val="85"/>
          <w:position w:val="1"/>
          <w:sz w:val="20"/>
        </w:rPr>
        <w:t>:1</w:t>
      </w:r>
    </w:p>
    <w:p>
      <w:pPr>
        <w:pStyle w:val="BodyText"/>
        <w:spacing w:before="1"/>
        <w:rPr>
          <w:b/>
          <w:i/>
          <w:sz w:val="13"/>
        </w:rPr>
      </w:pPr>
    </w:p>
    <w:p>
      <w:pPr>
        <w:spacing w:after="0"/>
        <w:rPr>
          <w:sz w:val="13"/>
        </w:rPr>
        <w:sectPr>
          <w:pgSz w:w="7200" w:h="11340"/>
          <w:pgMar w:top="500" w:bottom="280" w:left="640" w:right="560"/>
        </w:sectPr>
      </w:pPr>
    </w:p>
    <w:p>
      <w:pPr>
        <w:spacing w:before="72"/>
        <w:ind w:left="126" w:right="0" w:firstLine="0"/>
        <w:jc w:val="left"/>
        <w:rPr>
          <w:sz w:val="21"/>
        </w:rPr>
      </w:pPr>
      <w:r>
        <w:rPr>
          <w:sz w:val="21"/>
        </w:rPr>
        <w:t>and  future,  at time </w:t>
      </w:r>
      <w:r>
        <w:rPr>
          <w:i/>
          <w:sz w:val="22"/>
        </w:rPr>
        <w:t>t </w:t>
      </w:r>
      <w:r>
        <w:rPr>
          <w:sz w:val="21"/>
        </w:rPr>
        <w:t>by</w:t>
      </w:r>
    </w:p>
    <w:p>
      <w:pPr>
        <w:pStyle w:val="BodyText"/>
        <w:spacing w:before="7"/>
        <w:rPr>
          <w:sz w:val="29"/>
        </w:rPr>
      </w:pPr>
      <w:r>
        <w:rPr/>
        <w:br w:type="column"/>
      </w:r>
      <w:r>
        <w:rPr>
          <w:sz w:val="29"/>
        </w:rPr>
      </w:r>
    </w:p>
    <w:p>
      <w:pPr>
        <w:spacing w:before="1"/>
        <w:ind w:left="126" w:right="0" w:firstLine="0"/>
        <w:jc w:val="left"/>
        <w:rPr>
          <w:i/>
          <w:sz w:val="26"/>
        </w:rPr>
      </w:pPr>
      <w:r>
        <w:rPr>
          <w:i/>
          <w:sz w:val="26"/>
        </w:rPr>
        <w:t>P· s, </w:t>
      </w:r>
      <w:r>
        <w:rPr>
          <w:rFonts w:ascii="Arial" w:hAnsi="Arial"/>
          <w:sz w:val="32"/>
        </w:rPr>
        <w:t>+</w:t>
      </w:r>
      <w:r>
        <w:rPr>
          <w:rFonts w:ascii="Arial" w:hAnsi="Arial"/>
          <w:spacing w:val="-56"/>
          <w:sz w:val="32"/>
        </w:rPr>
        <w:t> </w:t>
      </w:r>
      <w:r>
        <w:rPr>
          <w:i/>
          <w:sz w:val="26"/>
        </w:rPr>
        <w:t>P· a, ,</w:t>
      </w:r>
    </w:p>
    <w:p>
      <w:pPr>
        <w:spacing w:after="0"/>
        <w:jc w:val="left"/>
        <w:rPr>
          <w:sz w:val="26"/>
        </w:rPr>
        <w:sectPr>
          <w:type w:val="continuous"/>
          <w:pgSz w:w="7200" w:h="11340"/>
          <w:pgMar w:top="1100" w:bottom="0" w:left="640" w:right="560"/>
          <w:cols w:num="2" w:equalWidth="0">
            <w:col w:w="2184" w:space="84"/>
            <w:col w:w="3732"/>
          </w:cols>
        </w:sectPr>
      </w:pPr>
    </w:p>
    <w:p>
      <w:pPr>
        <w:spacing w:before="85"/>
        <w:ind w:left="123" w:right="0" w:firstLine="0"/>
        <w:jc w:val="left"/>
        <w:rPr>
          <w:sz w:val="21"/>
        </w:rPr>
      </w:pPr>
      <w:r>
        <w:rPr>
          <w:sz w:val="21"/>
        </w:rPr>
        <w:t>and the va.lue </w:t>
      </w:r>
      <w:r>
        <w:rPr>
          <w:rFonts w:ascii="Arial"/>
          <w:sz w:val="19"/>
        </w:rPr>
        <w:t>of </w:t>
      </w:r>
      <w:r>
        <w:rPr>
          <w:sz w:val="21"/>
        </w:rPr>
        <w:t>the past a.nd futurc benefits   by</w:t>
      </w:r>
    </w:p>
    <w:p>
      <w:pPr>
        <w:spacing w:before="21"/>
        <w:ind w:left="98" w:right="81" w:firstLine="0"/>
        <w:jc w:val="center"/>
        <w:rPr>
          <w:rFonts w:ascii="Arial"/>
          <w:i/>
          <w:sz w:val="20"/>
        </w:rPr>
      </w:pPr>
      <w:r>
        <w:rPr>
          <w:rFonts w:ascii="Arial"/>
          <w:i/>
          <w:sz w:val="20"/>
        </w:rPr>
        <w:t>,k </w:t>
      </w:r>
      <w:r>
        <w:rPr>
          <w:rFonts w:ascii="Arial"/>
          <w:w w:val="105"/>
          <w:sz w:val="32"/>
        </w:rPr>
        <w:t>+ </w:t>
      </w:r>
      <w:r>
        <w:rPr>
          <w:rFonts w:ascii="Arial"/>
          <w:i/>
          <w:w w:val="105"/>
          <w:sz w:val="20"/>
        </w:rPr>
        <w:t>A, ,</w:t>
      </w:r>
    </w:p>
    <w:p>
      <w:pPr>
        <w:spacing w:after="0"/>
        <w:jc w:val="center"/>
        <w:rPr>
          <w:rFonts w:ascii="Arial"/>
          <w:sz w:val="20"/>
        </w:rPr>
        <w:sectPr>
          <w:type w:val="continuous"/>
          <w:pgSz w:w="7200" w:h="11340"/>
          <w:pgMar w:top="1100" w:bottom="0" w:left="640" w:right="560"/>
        </w:sectPr>
      </w:pPr>
    </w:p>
    <w:p>
      <w:pPr>
        <w:spacing w:before="89"/>
        <w:ind w:left="119" w:right="0" w:firstLine="0"/>
        <w:jc w:val="left"/>
        <w:rPr>
          <w:sz w:val="21"/>
        </w:rPr>
      </w:pPr>
      <w:r>
        <w:rPr>
          <w:sz w:val="21"/>
        </w:rPr>
        <w:t>we must have</w:t>
      </w:r>
    </w:p>
    <w:p>
      <w:pPr>
        <w:pStyle w:val="BodyText"/>
        <w:spacing w:before="3"/>
        <w:rPr>
          <w:sz w:val="30"/>
        </w:rPr>
      </w:pPr>
      <w:r>
        <w:rPr/>
        <w:br w:type="column"/>
      </w:r>
      <w:r>
        <w:rPr>
          <w:sz w:val="30"/>
        </w:rPr>
      </w:r>
    </w:p>
    <w:p>
      <w:pPr>
        <w:spacing w:before="0"/>
        <w:ind w:left="119" w:right="0" w:firstLine="0"/>
        <w:jc w:val="left"/>
        <w:rPr>
          <w:i/>
          <w:sz w:val="28"/>
        </w:rPr>
      </w:pPr>
      <w:r>
        <w:rPr>
          <w:i/>
          <w:sz w:val="28"/>
        </w:rPr>
        <w:t>P· s, </w:t>
      </w:r>
      <w:r>
        <w:rPr>
          <w:rFonts w:ascii="Arial" w:hAnsi="Arial"/>
          <w:sz w:val="32"/>
        </w:rPr>
        <w:t>+</w:t>
      </w:r>
      <w:r>
        <w:rPr>
          <w:rFonts w:ascii="Arial" w:hAnsi="Arial"/>
          <w:spacing w:val="-52"/>
          <w:sz w:val="32"/>
        </w:rPr>
        <w:t> </w:t>
      </w:r>
      <w:r>
        <w:rPr>
          <w:i/>
          <w:sz w:val="28"/>
        </w:rPr>
        <w:t>P·a, </w:t>
      </w:r>
      <w:r>
        <w:rPr>
          <w:sz w:val="28"/>
        </w:rPr>
        <w:t>= </w:t>
      </w:r>
      <w:r>
        <w:rPr>
          <w:i/>
          <w:spacing w:val="-11"/>
          <w:sz w:val="28"/>
        </w:rPr>
        <w:t>,k </w:t>
      </w:r>
      <w:r>
        <w:rPr>
          <w:i/>
          <w:sz w:val="28"/>
        </w:rPr>
        <w:t>+ A, .</w:t>
      </w:r>
    </w:p>
    <w:p>
      <w:pPr>
        <w:spacing w:after="0"/>
        <w:jc w:val="left"/>
        <w:rPr>
          <w:sz w:val="28"/>
        </w:rPr>
        <w:sectPr>
          <w:type w:val="continuous"/>
          <w:pgSz w:w="7200" w:h="11340"/>
          <w:pgMar w:top="1100" w:bottom="0" w:left="640" w:right="560"/>
          <w:cols w:num="2" w:equalWidth="0">
            <w:col w:w="1320" w:space="433"/>
            <w:col w:w="4247"/>
          </w:cols>
        </w:sectPr>
      </w:pPr>
    </w:p>
    <w:p>
      <w:pPr>
        <w:spacing w:before="85"/>
        <w:ind w:left="123" w:right="0" w:firstLine="0"/>
        <w:jc w:val="both"/>
        <w:rPr>
          <w:rFonts w:ascii="Arial" w:hAnsi="Arial"/>
          <w:sz w:val="16"/>
        </w:rPr>
      </w:pPr>
      <w:r>
        <w:rPr>
          <w:w w:val="110"/>
          <w:sz w:val="21"/>
        </w:rPr>
        <w:t>When this is written </w:t>
      </w:r>
      <w:r>
        <w:rPr>
          <w:rFonts w:ascii="Arial" w:hAnsi="Arial"/>
          <w:w w:val="120"/>
          <w:sz w:val="16"/>
        </w:rPr>
        <w:t>a¡</w:t>
      </w:r>
    </w:p>
    <w:p>
      <w:pPr>
        <w:spacing w:before="56"/>
        <w:ind w:left="1876" w:right="0" w:firstLine="0"/>
        <w:jc w:val="left"/>
        <w:rPr>
          <w:sz w:val="28"/>
        </w:rPr>
      </w:pPr>
      <w:r>
        <w:rPr>
          <w:rFonts w:ascii="Arial" w:hAnsi="Arial"/>
          <w:i/>
          <w:w w:val="115"/>
          <w:sz w:val="20"/>
        </w:rPr>
        <w:t>P </w:t>
      </w:r>
      <w:r>
        <w:rPr>
          <w:rFonts w:ascii="Arial" w:hAnsi="Arial"/>
          <w:spacing w:val="-10"/>
          <w:w w:val="115"/>
          <w:sz w:val="20"/>
        </w:rPr>
        <w:t>·</w:t>
      </w:r>
      <w:r>
        <w:rPr>
          <w:i/>
          <w:spacing w:val="-10"/>
          <w:w w:val="115"/>
          <w:sz w:val="28"/>
        </w:rPr>
        <w:t>s, </w:t>
      </w:r>
      <w:r>
        <w:rPr>
          <w:w w:val="180"/>
          <w:sz w:val="28"/>
        </w:rPr>
        <w:t>-</w:t>
      </w:r>
      <w:r>
        <w:rPr>
          <w:spacing w:val="-71"/>
          <w:w w:val="180"/>
          <w:sz w:val="28"/>
        </w:rPr>
        <w:t> </w:t>
      </w:r>
      <w:r>
        <w:rPr>
          <w:rFonts w:ascii="Arial" w:hAnsi="Arial"/>
          <w:i/>
          <w:sz w:val="20"/>
        </w:rPr>
        <w:t>,k </w:t>
      </w:r>
      <w:r>
        <w:rPr>
          <w:w w:val="115"/>
          <w:sz w:val="24"/>
        </w:rPr>
        <w:t>= </w:t>
      </w:r>
      <w:r>
        <w:rPr>
          <w:rFonts w:ascii="Arial" w:hAnsi="Arial"/>
          <w:i/>
          <w:w w:val="115"/>
          <w:sz w:val="20"/>
        </w:rPr>
        <w:t>A, </w:t>
      </w:r>
      <w:r>
        <w:rPr>
          <w:rFonts w:ascii="Arial" w:hAnsi="Arial"/>
          <w:w w:val="225"/>
          <w:sz w:val="20"/>
        </w:rPr>
        <w:t>-</w:t>
      </w:r>
      <w:r>
        <w:rPr>
          <w:rFonts w:ascii="Arial" w:hAnsi="Arial"/>
          <w:spacing w:val="-67"/>
          <w:w w:val="225"/>
          <w:sz w:val="20"/>
        </w:rPr>
        <w:t> </w:t>
      </w:r>
      <w:r>
        <w:rPr>
          <w:rFonts w:ascii="Arial" w:hAnsi="Arial"/>
          <w:i/>
          <w:w w:val="115"/>
          <w:sz w:val="20"/>
        </w:rPr>
        <w:t>P </w:t>
      </w:r>
      <w:r>
        <w:rPr>
          <w:rFonts w:ascii="Arial" w:hAnsi="Arial"/>
          <w:spacing w:val="-10"/>
          <w:w w:val="115"/>
          <w:sz w:val="20"/>
        </w:rPr>
        <w:t>·</w:t>
      </w:r>
      <w:r>
        <w:rPr>
          <w:i/>
          <w:spacing w:val="-10"/>
          <w:w w:val="115"/>
          <w:sz w:val="28"/>
        </w:rPr>
        <w:t>a, </w:t>
      </w:r>
      <w:r>
        <w:rPr>
          <w:sz w:val="28"/>
        </w:rPr>
        <w:t>,</w:t>
      </w:r>
    </w:p>
    <w:p>
      <w:pPr>
        <w:spacing w:before="99"/>
        <w:ind w:left="112" w:right="144" w:firstLine="7"/>
        <w:jc w:val="both"/>
        <w:rPr>
          <w:sz w:val="21"/>
        </w:rPr>
      </w:pPr>
      <w:r>
        <w:rPr>
          <w:sz w:val="21"/>
        </w:rPr>
        <w:t>the </w:t>
      </w:r>
      <w:r>
        <w:rPr>
          <w:spacing w:val="4"/>
          <w:sz w:val="21"/>
        </w:rPr>
        <w:t>left </w:t>
      </w:r>
      <w:r>
        <w:rPr>
          <w:sz w:val="21"/>
        </w:rPr>
        <w:t>mem her will be recognized as the retrospective  reserve  and the right member as the prospective reserve.  Similar reason­ ing shows that this equivalence holds also for  durations  beyond  the premium-paying </w:t>
      </w:r>
      <w:r>
        <w:rPr>
          <w:spacing w:val="4"/>
          <w:sz w:val="21"/>
        </w:rPr>
        <w:t> </w:t>
      </w:r>
      <w:r>
        <w:rPr>
          <w:sz w:val="21"/>
        </w:rPr>
        <w:t>period.</w:t>
      </w:r>
    </w:p>
    <w:p>
      <w:pPr>
        <w:spacing w:line="240" w:lineRule="auto" w:before="0"/>
        <w:ind w:left="112" w:right="146" w:firstLine="194"/>
        <w:jc w:val="both"/>
        <w:rPr>
          <w:sz w:val="21"/>
        </w:rPr>
      </w:pPr>
      <w:r>
        <w:rPr>
          <w:sz w:val="21"/>
        </w:rPr>
        <w:t>An important principie is easily derived from the retrospective expression for the reserve. Consider two  different  insurance policies which provide the same death benefit. Their reserves may be written  formally as</w:t>
      </w:r>
    </w:p>
    <w:p>
      <w:pPr>
        <w:spacing w:after="0" w:line="240" w:lineRule="auto"/>
        <w:jc w:val="both"/>
        <w:rPr>
          <w:sz w:val="21"/>
        </w:rPr>
        <w:sectPr>
          <w:type w:val="continuous"/>
          <w:pgSz w:w="7200" w:h="11340"/>
          <w:pgMar w:top="1100" w:bottom="0" w:left="640" w:right="560"/>
        </w:sectPr>
      </w:pPr>
    </w:p>
    <w:p>
      <w:pPr>
        <w:pStyle w:val="BodyText"/>
        <w:rPr>
          <w:sz w:val="22"/>
        </w:rPr>
      </w:pPr>
    </w:p>
    <w:p>
      <w:pPr>
        <w:spacing w:before="180"/>
        <w:ind w:left="112" w:right="0" w:firstLine="0"/>
        <w:jc w:val="left"/>
        <w:rPr>
          <w:sz w:val="22"/>
        </w:rPr>
      </w:pPr>
      <w:r>
        <w:rPr>
          <w:w w:val="95"/>
          <w:sz w:val="22"/>
        </w:rPr>
        <w:t>a.nd</w:t>
      </w:r>
    </w:p>
    <w:p>
      <w:pPr>
        <w:pStyle w:val="BodyText"/>
        <w:rPr>
          <w:sz w:val="22"/>
        </w:rPr>
      </w:pPr>
    </w:p>
    <w:p>
      <w:pPr>
        <w:spacing w:before="180"/>
        <w:ind w:left="112" w:right="0" w:firstLine="0"/>
        <w:jc w:val="left"/>
        <w:rPr>
          <w:sz w:val="21"/>
        </w:rPr>
      </w:pPr>
      <w:r>
        <w:rPr>
          <w:sz w:val="21"/>
        </w:rPr>
        <w:t>Subtracting, we find</w:t>
      </w:r>
    </w:p>
    <w:p>
      <w:pPr>
        <w:spacing w:before="72"/>
        <w:ind w:left="275" w:right="0" w:firstLine="0"/>
        <w:jc w:val="left"/>
        <w:rPr>
          <w:rFonts w:ascii="Arial" w:hAnsi="Arial"/>
          <w:i/>
          <w:sz w:val="20"/>
        </w:rPr>
      </w:pPr>
      <w:r>
        <w:rPr/>
        <w:br w:type="column"/>
      </w:r>
      <w:r>
        <w:rPr>
          <w:rFonts w:ascii="Arial" w:hAnsi="Arial"/>
          <w:i/>
          <w:w w:val="115"/>
          <w:sz w:val="20"/>
        </w:rPr>
        <w:t>,V </w:t>
      </w:r>
      <w:r>
        <w:rPr>
          <w:w w:val="115"/>
          <w:sz w:val="26"/>
        </w:rPr>
        <w:t>= </w:t>
      </w:r>
      <w:r>
        <w:rPr>
          <w:rFonts w:ascii="Arial" w:hAnsi="Arial"/>
          <w:i/>
          <w:w w:val="115"/>
          <w:sz w:val="20"/>
        </w:rPr>
        <w:t>P·s, </w:t>
      </w:r>
      <w:r>
        <w:rPr>
          <w:rFonts w:ascii="Arial" w:hAnsi="Arial"/>
          <w:w w:val="230"/>
          <w:sz w:val="20"/>
        </w:rPr>
        <w:t>- </w:t>
      </w:r>
      <w:r>
        <w:rPr>
          <w:rFonts w:ascii="Arial" w:hAnsi="Arial"/>
          <w:i/>
          <w:w w:val="115"/>
          <w:sz w:val="20"/>
        </w:rPr>
        <w:t>,k</w:t>
      </w:r>
    </w:p>
    <w:p>
      <w:pPr>
        <w:pStyle w:val="BodyText"/>
        <w:spacing w:before="7"/>
        <w:rPr>
          <w:rFonts w:ascii="Arial"/>
          <w:i/>
          <w:sz w:val="27"/>
        </w:rPr>
      </w:pPr>
    </w:p>
    <w:p>
      <w:pPr>
        <w:spacing w:before="1"/>
        <w:ind w:left="336" w:right="0" w:firstLine="0"/>
        <w:jc w:val="left"/>
        <w:rPr>
          <w:rFonts w:ascii="Arial" w:hAnsi="Arial"/>
          <w:i/>
          <w:sz w:val="20"/>
        </w:rPr>
      </w:pPr>
      <w:r>
        <w:rPr>
          <w:rFonts w:ascii="Arial" w:hAnsi="Arial"/>
          <w:i/>
          <w:spacing w:val="-3"/>
          <w:w w:val="110"/>
          <w:sz w:val="28"/>
        </w:rPr>
        <w:t>,v' </w:t>
      </w:r>
      <w:r>
        <w:rPr>
          <w:w w:val="110"/>
          <w:sz w:val="26"/>
        </w:rPr>
        <w:t>= </w:t>
      </w:r>
      <w:r>
        <w:rPr>
          <w:i/>
          <w:spacing w:val="5"/>
          <w:w w:val="110"/>
          <w:sz w:val="23"/>
        </w:rPr>
        <w:t>p'</w:t>
      </w:r>
      <w:r>
        <w:rPr>
          <w:i/>
          <w:spacing w:val="5"/>
          <w:w w:val="110"/>
          <w:sz w:val="28"/>
        </w:rPr>
        <w:t>·s, </w:t>
      </w:r>
      <w:r>
        <w:rPr>
          <w:w w:val="175"/>
          <w:sz w:val="28"/>
        </w:rPr>
        <w:t>-</w:t>
      </w:r>
      <w:r>
        <w:rPr>
          <w:spacing w:val="-75"/>
          <w:w w:val="175"/>
          <w:sz w:val="28"/>
        </w:rPr>
        <w:t> </w:t>
      </w:r>
      <w:r>
        <w:rPr>
          <w:rFonts w:ascii="Arial" w:hAnsi="Arial"/>
          <w:i/>
          <w:spacing w:val="-8"/>
          <w:w w:val="110"/>
          <w:sz w:val="20"/>
        </w:rPr>
        <w:t>,k.</w:t>
      </w:r>
    </w:p>
    <w:p>
      <w:pPr>
        <w:pStyle w:val="BodyText"/>
        <w:spacing w:before="3"/>
        <w:rPr>
          <w:rFonts w:ascii="Arial"/>
          <w:i/>
          <w:sz w:val="34"/>
        </w:rPr>
      </w:pPr>
    </w:p>
    <w:p>
      <w:pPr>
        <w:spacing w:before="0"/>
        <w:ind w:left="-13" w:right="1855" w:firstLine="0"/>
        <w:jc w:val="center"/>
        <w:rPr>
          <w:sz w:val="28"/>
        </w:rPr>
      </w:pPr>
      <w:r>
        <w:rPr>
          <w:rFonts w:ascii="Arial"/>
          <w:spacing w:val="-23"/>
          <w:w w:val="125"/>
          <w:sz w:val="26"/>
        </w:rPr>
        <w:t>,</w:t>
      </w:r>
      <w:r>
        <w:rPr>
          <w:rFonts w:ascii="Arial"/>
          <w:i/>
          <w:spacing w:val="-23"/>
          <w:w w:val="125"/>
          <w:sz w:val="26"/>
        </w:rPr>
        <w:t>v</w:t>
      </w:r>
      <w:r>
        <w:rPr>
          <w:rFonts w:ascii="Arial"/>
          <w:i/>
          <w:spacing w:val="-17"/>
          <w:w w:val="125"/>
          <w:sz w:val="26"/>
        </w:rPr>
        <w:t> </w:t>
      </w:r>
      <w:r>
        <w:rPr>
          <w:rFonts w:ascii="Arial"/>
          <w:w w:val="170"/>
          <w:sz w:val="26"/>
        </w:rPr>
        <w:t>-</w:t>
      </w:r>
      <w:r>
        <w:rPr>
          <w:rFonts w:ascii="Arial"/>
          <w:spacing w:val="-59"/>
          <w:w w:val="170"/>
          <w:sz w:val="26"/>
        </w:rPr>
        <w:t> </w:t>
      </w:r>
      <w:r>
        <w:rPr>
          <w:rFonts w:ascii="Arial"/>
          <w:spacing w:val="-13"/>
          <w:w w:val="125"/>
          <w:sz w:val="26"/>
        </w:rPr>
        <w:t>,</w:t>
      </w:r>
      <w:r>
        <w:rPr>
          <w:rFonts w:ascii="Arial"/>
          <w:i/>
          <w:spacing w:val="-13"/>
          <w:w w:val="125"/>
          <w:sz w:val="26"/>
        </w:rPr>
        <w:t>v'</w:t>
      </w:r>
      <w:r>
        <w:rPr>
          <w:rFonts w:ascii="Arial"/>
          <w:i/>
          <w:spacing w:val="-8"/>
          <w:w w:val="125"/>
          <w:sz w:val="26"/>
        </w:rPr>
        <w:t> </w:t>
      </w:r>
      <w:r>
        <w:rPr>
          <w:sz w:val="26"/>
        </w:rPr>
        <w:t>=</w:t>
      </w:r>
      <w:r>
        <w:rPr>
          <w:spacing w:val="39"/>
          <w:sz w:val="26"/>
        </w:rPr>
        <w:t> </w:t>
      </w:r>
      <w:r>
        <w:rPr>
          <w:rFonts w:ascii="Arial"/>
          <w:i/>
          <w:w w:val="125"/>
          <w:sz w:val="19"/>
        </w:rPr>
        <w:t>(P</w:t>
      </w:r>
      <w:r>
        <w:rPr>
          <w:rFonts w:ascii="Arial"/>
          <w:i/>
          <w:spacing w:val="-3"/>
          <w:w w:val="125"/>
          <w:sz w:val="19"/>
        </w:rPr>
        <w:t> </w:t>
      </w:r>
      <w:r>
        <w:rPr>
          <w:rFonts w:ascii="Arial"/>
          <w:w w:val="255"/>
          <w:sz w:val="19"/>
        </w:rPr>
        <w:t>-</w:t>
      </w:r>
      <w:r>
        <w:rPr>
          <w:rFonts w:ascii="Arial"/>
          <w:spacing w:val="-88"/>
          <w:w w:val="255"/>
          <w:sz w:val="19"/>
        </w:rPr>
        <w:t> </w:t>
      </w:r>
      <w:r>
        <w:rPr>
          <w:rFonts w:ascii="Arial"/>
          <w:i/>
          <w:w w:val="125"/>
          <w:sz w:val="19"/>
        </w:rPr>
        <w:t>p'</w:t>
      </w:r>
      <w:r>
        <w:rPr>
          <w:rFonts w:ascii="Arial"/>
          <w:i/>
          <w:spacing w:val="-26"/>
          <w:w w:val="125"/>
          <w:sz w:val="19"/>
        </w:rPr>
        <w:t> </w:t>
      </w:r>
      <w:r>
        <w:rPr>
          <w:rFonts w:ascii="Arial"/>
          <w:i/>
          <w:sz w:val="19"/>
        </w:rPr>
        <w:t>)</w:t>
      </w:r>
      <w:r>
        <w:rPr>
          <w:rFonts w:ascii="Arial"/>
          <w:i/>
          <w:spacing w:val="14"/>
          <w:sz w:val="19"/>
        </w:rPr>
        <w:t> </w:t>
      </w:r>
      <w:r>
        <w:rPr>
          <w:i/>
          <w:sz w:val="28"/>
        </w:rPr>
        <w:t>s,</w:t>
      </w:r>
      <w:r>
        <w:rPr>
          <w:i/>
          <w:spacing w:val="-32"/>
          <w:sz w:val="28"/>
        </w:rPr>
        <w:t> </w:t>
      </w:r>
      <w:r>
        <w:rPr>
          <w:w w:val="125"/>
          <w:sz w:val="28"/>
        </w:rPr>
        <w:t>.</w:t>
      </w:r>
    </w:p>
    <w:p>
      <w:pPr>
        <w:spacing w:after="0"/>
        <w:jc w:val="center"/>
        <w:rPr>
          <w:sz w:val="28"/>
        </w:rPr>
        <w:sectPr>
          <w:type w:val="continuous"/>
          <w:pgSz w:w="7200" w:h="11340"/>
          <w:pgMar w:top="1100" w:bottom="0" w:left="640" w:right="560"/>
          <w:cols w:num="2" w:equalWidth="0">
            <w:col w:w="1846" w:space="40"/>
            <w:col w:w="4114"/>
          </w:cols>
        </w:sectPr>
      </w:pPr>
    </w:p>
    <w:p>
      <w:pPr>
        <w:spacing w:before="110"/>
        <w:ind w:left="112" w:right="146" w:firstLine="0"/>
        <w:jc w:val="both"/>
        <w:rPr>
          <w:sz w:val="21"/>
        </w:rPr>
      </w:pPr>
      <w:r>
        <w:rPr>
          <w:sz w:val="21"/>
        </w:rPr>
        <w:t>Thus, if two insurance policies provide  the  same  death  benefit and are vaÍued on the same basis, the difference of the correspond­ ing terminal reserves is equal to the difference of the net premiums accumulated  with  interest  and</w:t>
      </w:r>
      <w:r>
        <w:rPr>
          <w:spacing w:val="16"/>
          <w:sz w:val="21"/>
        </w:rPr>
        <w:t> </w:t>
      </w:r>
      <w:r>
        <w:rPr>
          <w:sz w:val="21"/>
        </w:rPr>
        <w:t>survivorship.</w:t>
      </w:r>
    </w:p>
    <w:p>
      <w:pPr>
        <w:spacing w:line="220" w:lineRule="auto" w:before="7"/>
        <w:ind w:left="108" w:right="111" w:firstLine="212"/>
        <w:jc w:val="both"/>
        <w:rPr>
          <w:sz w:val="21"/>
        </w:rPr>
      </w:pPr>
      <w:r>
        <w:rPr>
          <w:sz w:val="22"/>
        </w:rPr>
        <w:t>In </w:t>
      </w:r>
      <w:r>
        <w:rPr>
          <w:sz w:val="21"/>
        </w:rPr>
        <w:t>writing reserve formulas, the student should attempt to </w:t>
      </w:r>
      <w:r>
        <w:rPr>
          <w:w w:val="103"/>
          <w:sz w:val="21"/>
        </w:rPr>
        <w:t>anticipate </w:t>
      </w:r>
      <w:r>
        <w:rPr>
          <w:w w:val="100"/>
          <w:sz w:val="21"/>
        </w:rPr>
        <w:t>whether </w:t>
      </w:r>
      <w:r>
        <w:rPr>
          <w:w w:val="109"/>
          <w:sz w:val="21"/>
        </w:rPr>
        <w:t>the </w:t>
      </w:r>
      <w:r>
        <w:rPr>
          <w:w w:val="98"/>
          <w:sz w:val="21"/>
        </w:rPr>
        <w:t>prospective </w:t>
      </w:r>
      <w:r>
        <w:rPr>
          <w:sz w:val="21"/>
        </w:rPr>
        <w:t>or </w:t>
      </w:r>
      <w:r>
        <w:rPr>
          <w:w w:val="100"/>
          <w:sz w:val="21"/>
        </w:rPr>
        <w:t>retrospective  </w:t>
      </w:r>
      <w:r>
        <w:rPr>
          <w:w w:val="101"/>
          <w:sz w:val="21"/>
        </w:rPr>
        <w:t>method </w:t>
      </w:r>
      <w:r>
        <w:rPr>
          <w:rFonts w:ascii="Arial" w:hAnsi="Arial"/>
          <w:w w:val="135"/>
          <w:sz w:val="24"/>
        </w:rPr>
        <w:t>'"·ill </w:t>
      </w:r>
      <w:r>
        <w:rPr>
          <w:sz w:val="21"/>
        </w:rPr>
        <w:t>yield  the simpler expression. There are two obvious  principies:</w:t>
      </w:r>
    </w:p>
    <w:p>
      <w:pPr>
        <w:pStyle w:val="ListParagraph"/>
        <w:numPr>
          <w:ilvl w:val="0"/>
          <w:numId w:val="43"/>
        </w:numPr>
        <w:tabs>
          <w:tab w:pos="714" w:val="left" w:leader="none"/>
        </w:tabs>
        <w:spacing w:line="237" w:lineRule="auto" w:before="1" w:after="0"/>
        <w:ind w:left="123" w:right="135" w:firstLine="234"/>
        <w:jc w:val="both"/>
        <w:rPr>
          <w:i/>
          <w:sz w:val="19"/>
        </w:rPr>
      </w:pPr>
      <w:r>
        <w:rPr>
          <w:sz w:val="21"/>
        </w:rPr>
        <w:t>The prospective method is more convenient for durations beyond the premium-paying period. The  reserve  </w:t>
      </w:r>
      <w:r>
        <w:rPr>
          <w:rFonts w:ascii="Arial"/>
          <w:sz w:val="19"/>
        </w:rPr>
        <w:t>is  </w:t>
      </w:r>
      <w:r>
        <w:rPr>
          <w:sz w:val="21"/>
        </w:rPr>
        <w:t>then  simply the net single premium for the future benefits at the attained age. For example,  for </w:t>
      </w:r>
      <w:r>
        <w:rPr>
          <w:i/>
          <w:sz w:val="22"/>
        </w:rPr>
        <w:t>t    </w:t>
      </w:r>
      <w:r>
        <w:rPr>
          <w:i/>
          <w:spacing w:val="48"/>
          <w:sz w:val="22"/>
        </w:rPr>
        <w:t> </w:t>
      </w:r>
      <w:r>
        <w:rPr>
          <w:i/>
          <w:sz w:val="21"/>
        </w:rPr>
        <w:t>n,</w:t>
      </w:r>
    </w:p>
    <w:p>
      <w:pPr>
        <w:tabs>
          <w:tab w:pos="2589" w:val="left" w:leader="none"/>
          <w:tab w:pos="3229" w:val="left" w:leader="none"/>
        </w:tabs>
        <w:spacing w:before="21"/>
        <w:ind w:left="1473" w:right="0" w:firstLine="0"/>
        <w:jc w:val="left"/>
        <w:rPr>
          <w:rFonts w:ascii="Arial" w:hAnsi="Arial"/>
          <w:sz w:val="30"/>
        </w:rPr>
      </w:pPr>
      <w:r>
        <w:rPr>
          <w:b/>
          <w:i/>
          <w:w w:val="132"/>
          <w:position w:val="1"/>
          <w:sz w:val="23"/>
        </w:rPr>
        <w:t>Y.</w:t>
      </w:r>
      <w:r>
        <w:rPr>
          <w:b/>
          <w:i/>
          <w:spacing w:val="-22"/>
          <w:position w:val="1"/>
          <w:sz w:val="23"/>
        </w:rPr>
        <w:t> </w:t>
      </w:r>
      <w:r>
        <w:rPr>
          <w:w w:val="87"/>
          <w:position w:val="1"/>
          <w:sz w:val="28"/>
        </w:rPr>
        <w:t>=</w:t>
      </w:r>
      <w:r>
        <w:rPr>
          <w:spacing w:val="25"/>
          <w:position w:val="1"/>
          <w:sz w:val="28"/>
        </w:rPr>
        <w:t> </w:t>
      </w:r>
      <w:r>
        <w:rPr>
          <w:i/>
          <w:w w:val="89"/>
          <w:position w:val="1"/>
          <w:sz w:val="21"/>
        </w:rPr>
        <w:t>As+i</w:t>
      </w:r>
      <w:r>
        <w:rPr>
          <w:i/>
          <w:position w:val="1"/>
          <w:sz w:val="21"/>
        </w:rPr>
        <w:tab/>
      </w:r>
      <w:r>
        <w:rPr>
          <w:w w:val="108"/>
          <w:position w:val="1"/>
          <w:sz w:val="20"/>
        </w:rPr>
        <w:t>and</w:t>
      </w:r>
      <w:r>
        <w:rPr>
          <w:position w:val="1"/>
          <w:sz w:val="20"/>
        </w:rPr>
        <w:tab/>
      </w:r>
      <w:r>
        <w:rPr>
          <w:i/>
          <w:w w:val="97"/>
          <w:position w:val="1"/>
          <w:sz w:val="21"/>
        </w:rPr>
        <w:t>V</w:t>
      </w:r>
      <w:r>
        <w:rPr>
          <w:i/>
          <w:spacing w:val="-13"/>
          <w:position w:val="1"/>
          <w:sz w:val="21"/>
        </w:rPr>
        <w:t> </w:t>
      </w:r>
      <w:r>
        <w:rPr>
          <w:w w:val="97"/>
          <w:position w:val="1"/>
          <w:sz w:val="21"/>
        </w:rPr>
        <w:t>(</w:t>
      </w:r>
      <w:r>
        <w:rPr>
          <w:spacing w:val="2"/>
          <w:w w:val="97"/>
          <w:position w:val="1"/>
          <w:sz w:val="21"/>
        </w:rPr>
        <w:t>"</w:t>
      </w:r>
      <w:r>
        <w:rPr>
          <w:rFonts w:ascii="Arial" w:hAnsi="Arial"/>
          <w:spacing w:val="2"/>
          <w:w w:val="65"/>
          <w:sz w:val="10"/>
        </w:rPr>
        <w:t>1</w:t>
      </w:r>
      <w:r>
        <w:rPr>
          <w:w w:val="92"/>
          <w:position w:val="1"/>
          <w:sz w:val="20"/>
        </w:rPr>
        <w:t>az</w:t>
      </w:r>
      <w:r>
        <w:rPr>
          <w:spacing w:val="-28"/>
          <w:position w:val="1"/>
          <w:sz w:val="20"/>
        </w:rPr>
        <w:t> </w:t>
      </w:r>
      <w:r>
        <w:rPr>
          <w:w w:val="97"/>
          <w:position w:val="1"/>
          <w:sz w:val="20"/>
        </w:rPr>
        <w:t>)</w:t>
      </w:r>
      <w:r>
        <w:rPr>
          <w:position w:val="1"/>
          <w:sz w:val="20"/>
        </w:rPr>
        <w:t> </w:t>
      </w:r>
      <w:r>
        <w:rPr>
          <w:spacing w:val="7"/>
          <w:position w:val="1"/>
          <w:sz w:val="20"/>
        </w:rPr>
        <w:t> </w:t>
      </w:r>
      <w:r>
        <w:rPr>
          <w:w w:val="100"/>
          <w:position w:val="1"/>
          <w:sz w:val="24"/>
        </w:rPr>
        <w:t>=</w:t>
      </w:r>
      <w:r>
        <w:rPr>
          <w:position w:val="1"/>
          <w:sz w:val="24"/>
        </w:rPr>
        <w:t> </w:t>
      </w:r>
      <w:r>
        <w:rPr>
          <w:spacing w:val="-23"/>
          <w:position w:val="1"/>
          <w:sz w:val="24"/>
        </w:rPr>
        <w:t> </w:t>
      </w:r>
      <w:r>
        <w:rPr>
          <w:rFonts w:ascii="Arial" w:hAnsi="Arial"/>
          <w:i/>
          <w:w w:val="70"/>
          <w:position w:val="1"/>
          <w:sz w:val="30"/>
        </w:rPr>
        <w:t>ªª+'</w:t>
      </w:r>
      <w:r>
        <w:rPr>
          <w:rFonts w:ascii="Arial" w:hAnsi="Arial"/>
          <w:i/>
          <w:spacing w:val="-14"/>
          <w:position w:val="1"/>
          <w:sz w:val="30"/>
        </w:rPr>
        <w:t> </w:t>
      </w:r>
      <w:r>
        <w:rPr>
          <w:rFonts w:ascii="Arial" w:hAnsi="Arial"/>
          <w:w w:val="117"/>
          <w:position w:val="1"/>
          <w:sz w:val="30"/>
        </w:rPr>
        <w:t>.</w:t>
      </w:r>
    </w:p>
    <w:p>
      <w:pPr>
        <w:spacing w:after="0"/>
        <w:jc w:val="left"/>
        <w:rPr>
          <w:rFonts w:ascii="Arial" w:hAnsi="Arial"/>
          <w:sz w:val="30"/>
        </w:rPr>
        <w:sectPr>
          <w:type w:val="continuous"/>
          <w:pgSz w:w="7200" w:h="11340"/>
          <w:pgMar w:top="1100" w:bottom="0" w:left="640" w:right="560"/>
        </w:sectPr>
      </w:pPr>
    </w:p>
    <w:p>
      <w:pPr>
        <w:tabs>
          <w:tab w:pos="1829" w:val="left" w:leader="none"/>
          <w:tab w:pos="5846" w:val="right" w:leader="none"/>
        </w:tabs>
        <w:spacing w:before="60"/>
        <w:ind w:left="107" w:right="0" w:firstLine="0"/>
        <w:jc w:val="left"/>
        <w:rPr>
          <w:rFonts w:ascii="Arial"/>
          <w:sz w:val="20"/>
        </w:rPr>
      </w:pPr>
      <w:r>
        <w:rPr>
          <w:b/>
          <w:color w:val="010101"/>
          <w:sz w:val="15"/>
        </w:rPr>
        <w:t>SEC.</w:t>
      </w:r>
      <w:r>
        <w:rPr>
          <w:b/>
          <w:color w:val="010101"/>
          <w:spacing w:val="27"/>
          <w:sz w:val="15"/>
        </w:rPr>
        <w:t> </w:t>
      </w:r>
      <w:r>
        <w:rPr>
          <w:rFonts w:ascii="Arial"/>
          <w:b/>
          <w:color w:val="010101"/>
          <w:sz w:val="20"/>
        </w:rPr>
        <w:t>3]</w:t>
        <w:tab/>
      </w:r>
      <w:r>
        <w:rPr>
          <w:b/>
          <w:color w:val="010101"/>
          <w:position w:val="1"/>
          <w:sz w:val="15"/>
        </w:rPr>
        <w:t>RETROSPECTIVE  </w:t>
      </w:r>
      <w:r>
        <w:rPr>
          <w:b/>
          <w:color w:val="010101"/>
          <w:spacing w:val="6"/>
          <w:position w:val="1"/>
          <w:sz w:val="15"/>
        </w:rPr>
        <w:t> </w:t>
      </w:r>
      <w:r>
        <w:rPr>
          <w:b/>
          <w:color w:val="010101"/>
          <w:position w:val="1"/>
          <w:sz w:val="15"/>
        </w:rPr>
        <w:t>FORMULAS</w:t>
      </w:r>
      <w:r>
        <w:rPr>
          <w:rFonts w:ascii="Arial"/>
          <w:color w:val="010101"/>
          <w:sz w:val="20"/>
        </w:rPr>
        <w:tab/>
        <w:t>103</w:t>
      </w:r>
    </w:p>
    <w:p>
      <w:pPr>
        <w:pStyle w:val="BodyText"/>
        <w:spacing w:before="10"/>
        <w:rPr>
          <w:rFonts w:ascii="Arial"/>
          <w:sz w:val="19"/>
        </w:rPr>
      </w:pPr>
    </w:p>
    <w:p>
      <w:pPr>
        <w:numPr>
          <w:ilvl w:val="0"/>
          <w:numId w:val="43"/>
        </w:numPr>
        <w:tabs>
          <w:tab w:pos="707" w:val="left" w:leader="none"/>
        </w:tabs>
        <w:spacing w:before="0"/>
        <w:ind w:left="114" w:right="116" w:firstLine="233"/>
        <w:jc w:val="both"/>
        <w:rPr>
          <w:color w:val="010101"/>
          <w:sz w:val="21"/>
        </w:rPr>
      </w:pPr>
      <w:r>
        <w:rPr>
          <w:color w:val="010101"/>
          <w:sz w:val="21"/>
        </w:rPr>
        <w:t>The retrospective method is more convenicnt during a de­ ferred period when no benefits havc </w:t>
      </w:r>
      <w:r>
        <w:rPr>
          <w:color w:val="010101"/>
          <w:sz w:val="20"/>
        </w:rPr>
        <w:t>as </w:t>
      </w:r>
      <w:r>
        <w:rPr>
          <w:color w:val="010101"/>
          <w:sz w:val="21"/>
        </w:rPr>
        <w:t>yet </w:t>
      </w:r>
      <w:r>
        <w:rPr>
          <w:color w:val="010101"/>
          <w:sz w:val="20"/>
        </w:rPr>
        <w:t>bcen </w:t>
      </w:r>
      <w:r>
        <w:rPr>
          <w:color w:val="010101"/>
          <w:sz w:val="21"/>
        </w:rPr>
        <w:t>provided. Thc reserve  </w:t>
      </w:r>
      <w:r>
        <w:rPr>
          <w:color w:val="010101"/>
          <w:sz w:val="20"/>
        </w:rPr>
        <w:t>is  </w:t>
      </w:r>
      <w:r>
        <w:rPr>
          <w:color w:val="010101"/>
          <w:sz w:val="21"/>
        </w:rPr>
        <w:t>thcn  simply  the  accurnulation  of  thc  past </w:t>
      </w:r>
      <w:r>
        <w:rPr>
          <w:color w:val="010101"/>
          <w:spacing w:val="29"/>
          <w:sz w:val="21"/>
        </w:rPr>
        <w:t> </w:t>
      </w:r>
      <w:r>
        <w:rPr>
          <w:color w:val="010101"/>
          <w:sz w:val="21"/>
        </w:rPr>
        <w:t>prcmiums.</w:t>
      </w:r>
    </w:p>
    <w:p>
      <w:pPr>
        <w:spacing w:line="250" w:lineRule="exact" w:before="0"/>
        <w:ind w:left="117" w:right="0" w:firstLine="0"/>
        <w:jc w:val="left"/>
        <w:rPr>
          <w:i/>
          <w:sz w:val="21"/>
        </w:rPr>
      </w:pPr>
      <w:r>
        <w:rPr>
          <w:color w:val="010101"/>
          <w:sz w:val="21"/>
        </w:rPr>
        <w:t>For exarnple,  </w:t>
      </w:r>
      <w:r>
        <w:rPr>
          <w:i/>
          <w:color w:val="010101"/>
          <w:sz w:val="22"/>
        </w:rPr>
        <w:t>V </w:t>
      </w:r>
      <w:r>
        <w:rPr>
          <w:color w:val="010101"/>
          <w:sz w:val="20"/>
        </w:rPr>
        <w:t>(,.¡dz)  </w:t>
      </w:r>
      <w:r>
        <w:rPr>
          <w:color w:val="010101"/>
          <w:sz w:val="26"/>
        </w:rPr>
        <w:t>= </w:t>
      </w:r>
      <w:r>
        <w:rPr>
          <w:i/>
          <w:color w:val="010101"/>
          <w:sz w:val="22"/>
        </w:rPr>
        <w:t>,.P </w:t>
      </w:r>
      <w:r>
        <w:rPr>
          <w:color w:val="010101"/>
          <w:sz w:val="20"/>
        </w:rPr>
        <w:t>(n1&lt;'iz) ·sz:il </w:t>
      </w:r>
      <w:r>
        <w:rPr>
          <w:color w:val="010101"/>
          <w:sz w:val="21"/>
        </w:rPr>
        <w:t>for </w:t>
      </w:r>
      <w:r>
        <w:rPr>
          <w:rFonts w:ascii="Arial" w:hAnsi="Arial"/>
          <w:i/>
          <w:color w:val="010101"/>
          <w:sz w:val="18"/>
        </w:rPr>
        <w:t>t </w:t>
      </w:r>
      <w:r>
        <w:rPr>
          <w:color w:val="010101"/>
          <w:sz w:val="23"/>
        </w:rPr>
        <w:t>&lt; </w:t>
      </w:r>
      <w:r>
        <w:rPr>
          <w:i/>
          <w:color w:val="010101"/>
          <w:sz w:val="21"/>
        </w:rPr>
        <w:t>n.</w:t>
      </w:r>
    </w:p>
    <w:p>
      <w:pPr>
        <w:spacing w:line="240" w:lineRule="auto" w:before="0"/>
        <w:ind w:left="110" w:right="114" w:firstLine="197"/>
        <w:jc w:val="both"/>
        <w:rPr>
          <w:sz w:val="21"/>
        </w:rPr>
      </w:pPr>
      <w:r>
        <w:rPr>
          <w:color w:val="010101"/>
          <w:sz w:val="21"/>
        </w:rPr>
        <w:t>The existence of the reserve </w:t>
      </w:r>
      <w:r>
        <w:rPr>
          <w:color w:val="010101"/>
          <w:sz w:val="20"/>
        </w:rPr>
        <w:t>is </w:t>
      </w:r>
      <w:r>
        <w:rPr>
          <w:color w:val="010101"/>
          <w:sz w:val="21"/>
        </w:rPr>
        <w:t>a natural consequence of the practice of financing insurance involving an íncreasing risk by means of level annual premiums. Most of the common forms of insurance are of this type, the premiums in the earlíer years being more than sufficient to cover the current risk. This is not  always  the case, however. There are certain </w:t>
      </w:r>
      <w:r>
        <w:rPr>
          <w:rFonts w:ascii="Arial" w:hAnsi="Arial"/>
          <w:color w:val="010101"/>
          <w:sz w:val="17"/>
        </w:rPr>
        <w:t>forqis </w:t>
      </w:r>
      <w:r>
        <w:rPr>
          <w:color w:val="010101"/>
          <w:sz w:val="21"/>
        </w:rPr>
        <w:t>of insurance which provide for </w:t>
      </w:r>
      <w:r>
        <w:rPr>
          <w:rFonts w:ascii="Arial" w:hAnsi="Arial"/>
          <w:color w:val="010101"/>
          <w:sz w:val="18"/>
        </w:rPr>
        <w:t>a </w:t>
      </w:r>
      <w:r>
        <w:rPr>
          <w:color w:val="010101"/>
          <w:sz w:val="21"/>
        </w:rPr>
        <w:t>decreasing scale of benefits, and under these cir­ </w:t>
      </w:r>
      <w:r>
        <w:rPr>
          <w:color w:val="010101"/>
          <w:w w:val="98"/>
          <w:sz w:val="21"/>
        </w:rPr>
        <w:t>curnstances </w:t>
      </w:r>
      <w:r>
        <w:rPr>
          <w:color w:val="010101"/>
          <w:w w:val="105"/>
          <w:sz w:val="21"/>
        </w:rPr>
        <w:t>the </w:t>
      </w:r>
      <w:r>
        <w:rPr>
          <w:color w:val="010101"/>
          <w:w w:val="106"/>
          <w:sz w:val="21"/>
        </w:rPr>
        <w:t>leve!premiurn </w:t>
      </w:r>
      <w:r>
        <w:rPr>
          <w:color w:val="010101"/>
          <w:w w:val="101"/>
          <w:sz w:val="21"/>
        </w:rPr>
        <w:t>may </w:t>
      </w:r>
      <w:r>
        <w:rPr>
          <w:color w:val="010101"/>
          <w:w w:val="96"/>
          <w:sz w:val="21"/>
        </w:rPr>
        <w:t>be </w:t>
      </w:r>
      <w:r>
        <w:rPr>
          <w:color w:val="010101"/>
          <w:w w:val="101"/>
          <w:sz w:val="21"/>
        </w:rPr>
        <w:t>inadequate </w:t>
      </w:r>
      <w:r>
        <w:rPr>
          <w:color w:val="010101"/>
          <w:w w:val="89"/>
          <w:sz w:val="21"/>
        </w:rPr>
        <w:t>in </w:t>
      </w:r>
      <w:r>
        <w:rPr>
          <w:color w:val="010101"/>
          <w:w w:val="105"/>
          <w:sz w:val="21"/>
        </w:rPr>
        <w:t>the  </w:t>
      </w:r>
      <w:r>
        <w:rPr>
          <w:color w:val="010101"/>
          <w:w w:val="99"/>
          <w:sz w:val="21"/>
        </w:rPr>
        <w:t>early </w:t>
      </w:r>
      <w:r>
        <w:rPr>
          <w:color w:val="010101"/>
          <w:sz w:val="21"/>
        </w:rPr>
        <w:t>years </w:t>
      </w:r>
      <w:r>
        <w:rPr>
          <w:rFonts w:ascii="Arial" w:hAnsi="Arial"/>
          <w:color w:val="010101"/>
          <w:sz w:val="18"/>
        </w:rPr>
        <w:t>of </w:t>
      </w:r>
      <w:r>
        <w:rPr>
          <w:color w:val="010101"/>
          <w:sz w:val="21"/>
        </w:rPr>
        <w:t>duration with the result that negative reserves are pro­ duced for a number of  years.  When  this happens,  the premiums  in the later years are more than sufficient to  cover  the  current death  claims,  and  the earlier  deficit  is ultimately</w:t>
      </w:r>
      <w:r>
        <w:rPr>
          <w:color w:val="010101"/>
          <w:spacing w:val="16"/>
          <w:sz w:val="21"/>
        </w:rPr>
        <w:t> </w:t>
      </w:r>
      <w:r>
        <w:rPr>
          <w:color w:val="010101"/>
          <w:sz w:val="21"/>
        </w:rPr>
        <w:t>extinguished.</w:t>
      </w:r>
    </w:p>
    <w:p>
      <w:pPr>
        <w:spacing w:line="240" w:lineRule="auto" w:before="0"/>
        <w:ind w:left="110" w:right="108" w:firstLine="204"/>
        <w:jc w:val="both"/>
        <w:rPr>
          <w:sz w:val="20"/>
        </w:rPr>
      </w:pPr>
      <w:r>
        <w:rPr>
          <w:color w:val="010101"/>
          <w:w w:val="105"/>
          <w:sz w:val="21"/>
        </w:rPr>
        <w:t>The possibility of negative reserves may be illustrated in the case of the hypothetical decreasing term insurance policy which </w:t>
      </w:r>
      <w:r>
        <w:rPr>
          <w:rFonts w:ascii="Arial" w:hAnsi="Arial"/>
          <w:color w:val="010101"/>
          <w:w w:val="105"/>
          <w:sz w:val="18"/>
        </w:rPr>
        <w:t>was </w:t>
      </w:r>
      <w:r>
        <w:rPr>
          <w:color w:val="010101"/>
          <w:w w:val="105"/>
          <w:sz w:val="21"/>
        </w:rPr>
        <w:t>described in Chapter </w:t>
      </w:r>
      <w:r>
        <w:rPr>
          <w:rFonts w:ascii="Arial" w:hAnsi="Arial"/>
          <w:color w:val="010101"/>
          <w:w w:val="105"/>
          <w:sz w:val="18"/>
        </w:rPr>
        <w:t>4 </w:t>
      </w:r>
      <w:r>
        <w:rPr>
          <w:color w:val="010101"/>
          <w:w w:val="105"/>
          <w:sz w:val="21"/>
        </w:rPr>
        <w:t>as one of the elements into which the endowment policy may be analyzed. It will be recalled that the endowment</w:t>
      </w:r>
      <w:r>
        <w:rPr>
          <w:color w:val="010101"/>
          <w:spacing w:val="-15"/>
          <w:w w:val="105"/>
          <w:sz w:val="21"/>
        </w:rPr>
        <w:t> </w:t>
      </w:r>
      <w:r>
        <w:rPr>
          <w:color w:val="010101"/>
          <w:w w:val="105"/>
          <w:sz w:val="21"/>
        </w:rPr>
        <w:t>policy</w:t>
      </w:r>
      <w:r>
        <w:rPr>
          <w:color w:val="010101"/>
          <w:spacing w:val="-16"/>
          <w:w w:val="105"/>
          <w:sz w:val="21"/>
        </w:rPr>
        <w:t> </w:t>
      </w:r>
      <w:r>
        <w:rPr>
          <w:color w:val="010101"/>
          <w:w w:val="105"/>
          <w:sz w:val="21"/>
        </w:rPr>
        <w:t>may</w:t>
      </w:r>
      <w:r>
        <w:rPr>
          <w:color w:val="010101"/>
          <w:spacing w:val="-17"/>
          <w:w w:val="105"/>
          <w:sz w:val="21"/>
        </w:rPr>
        <w:t> </w:t>
      </w:r>
      <w:r>
        <w:rPr>
          <w:color w:val="010101"/>
          <w:w w:val="105"/>
          <w:sz w:val="21"/>
        </w:rPr>
        <w:t>be</w:t>
      </w:r>
      <w:r>
        <w:rPr>
          <w:color w:val="010101"/>
          <w:spacing w:val="-25"/>
          <w:w w:val="105"/>
          <w:sz w:val="21"/>
        </w:rPr>
        <w:t> </w:t>
      </w:r>
      <w:r>
        <w:rPr>
          <w:color w:val="010101"/>
          <w:w w:val="105"/>
          <w:sz w:val="21"/>
        </w:rPr>
        <w:t>envisaged</w:t>
      </w:r>
      <w:r>
        <w:rPr>
          <w:color w:val="010101"/>
          <w:spacing w:val="-16"/>
          <w:w w:val="105"/>
          <w:sz w:val="21"/>
        </w:rPr>
        <w:t> </w:t>
      </w:r>
      <w:r>
        <w:rPr>
          <w:color w:val="010101"/>
          <w:w w:val="105"/>
          <w:sz w:val="21"/>
        </w:rPr>
        <w:t>as</w:t>
      </w:r>
      <w:r>
        <w:rPr>
          <w:color w:val="010101"/>
          <w:spacing w:val="-31"/>
          <w:w w:val="105"/>
          <w:sz w:val="21"/>
        </w:rPr>
        <w:t> </w:t>
      </w:r>
      <w:r>
        <w:rPr>
          <w:color w:val="010101"/>
          <w:w w:val="105"/>
          <w:sz w:val="21"/>
        </w:rPr>
        <w:t>a</w:t>
      </w:r>
      <w:r>
        <w:rPr>
          <w:color w:val="010101"/>
          <w:spacing w:val="-25"/>
          <w:w w:val="105"/>
          <w:sz w:val="21"/>
        </w:rPr>
        <w:t> </w:t>
      </w:r>
      <w:r>
        <w:rPr>
          <w:color w:val="010101"/>
          <w:w w:val="105"/>
          <w:sz w:val="21"/>
        </w:rPr>
        <w:t>combination</w:t>
      </w:r>
      <w:r>
        <w:rPr>
          <w:color w:val="010101"/>
          <w:spacing w:val="-17"/>
          <w:w w:val="105"/>
          <w:sz w:val="21"/>
        </w:rPr>
        <w:t> </w:t>
      </w:r>
      <w:r>
        <w:rPr>
          <w:color w:val="010101"/>
          <w:w w:val="105"/>
          <w:sz w:val="21"/>
        </w:rPr>
        <w:t>of</w:t>
      </w:r>
      <w:r>
        <w:rPr>
          <w:color w:val="010101"/>
          <w:spacing w:val="-15"/>
          <w:w w:val="105"/>
          <w:sz w:val="21"/>
        </w:rPr>
        <w:t> </w:t>
      </w:r>
      <w:r>
        <w:rPr>
          <w:color w:val="010101"/>
          <w:w w:val="105"/>
          <w:sz w:val="21"/>
        </w:rPr>
        <w:t>a</w:t>
      </w:r>
      <w:r>
        <w:rPr>
          <w:color w:val="010101"/>
          <w:spacing w:val="-27"/>
          <w:w w:val="105"/>
          <w:sz w:val="21"/>
        </w:rPr>
        <w:t> </w:t>
      </w:r>
      <w:r>
        <w:rPr>
          <w:color w:val="010101"/>
          <w:w w:val="105"/>
          <w:sz w:val="21"/>
        </w:rPr>
        <w:t>savings fund which accumulates to the maturity value, together with a decreasing term insurance for the difference between the sum in­ sured and the amount accumulated in the savíngs fund at any </w:t>
      </w:r>
      <w:r>
        <w:rPr>
          <w:color w:val="010101"/>
          <w:w w:val="105"/>
          <w:sz w:val="20"/>
        </w:rPr>
        <w:t>time. Let us </w:t>
      </w:r>
      <w:r>
        <w:rPr>
          <w:color w:val="010101"/>
          <w:w w:val="105"/>
          <w:sz w:val="21"/>
        </w:rPr>
        <w:t>apply this analysis to the </w:t>
      </w:r>
      <w:r>
        <w:rPr>
          <w:color w:val="010101"/>
          <w:spacing w:val="-5"/>
          <w:w w:val="105"/>
          <w:sz w:val="21"/>
        </w:rPr>
        <w:t>10-payment </w:t>
      </w:r>
      <w:r>
        <w:rPr>
          <w:color w:val="010101"/>
          <w:spacing w:val="-6"/>
          <w:w w:val="105"/>
          <w:sz w:val="21"/>
        </w:rPr>
        <w:t>15-year </w:t>
      </w:r>
      <w:r>
        <w:rPr>
          <w:color w:val="010101"/>
          <w:w w:val="105"/>
          <w:sz w:val="21"/>
        </w:rPr>
        <w:t>endow­ ment policy of Table</w:t>
      </w:r>
      <w:r>
        <w:rPr>
          <w:color w:val="010101"/>
          <w:spacing w:val="8"/>
          <w:w w:val="105"/>
          <w:sz w:val="21"/>
        </w:rPr>
        <w:t> </w:t>
      </w:r>
      <w:r>
        <w:rPr>
          <w:color w:val="010101"/>
          <w:w w:val="105"/>
          <w:sz w:val="20"/>
        </w:rPr>
        <w:t>4.</w:t>
      </w:r>
    </w:p>
    <w:p>
      <w:pPr>
        <w:spacing w:before="0"/>
        <w:ind w:left="114" w:right="111" w:firstLine="200"/>
        <w:jc w:val="both"/>
        <w:rPr>
          <w:rFonts w:ascii="Arial"/>
          <w:sz w:val="20"/>
        </w:rPr>
      </w:pPr>
      <w:r>
        <w:rPr>
          <w:color w:val="010101"/>
          <w:sz w:val="21"/>
        </w:rPr>
        <w:t>The savings fund premiurn applicable  </w:t>
      </w:r>
      <w:r>
        <w:rPr>
          <w:color w:val="010101"/>
          <w:sz w:val="20"/>
        </w:rPr>
        <w:t>in  </w:t>
      </w:r>
      <w:r>
        <w:rPr>
          <w:color w:val="010101"/>
          <w:sz w:val="21"/>
        </w:rPr>
        <w:t>this  case  is  payable for </w:t>
      </w:r>
      <w:r>
        <w:rPr>
          <w:color w:val="010101"/>
          <w:spacing w:val="-21"/>
          <w:sz w:val="21"/>
        </w:rPr>
        <w:t>10 </w:t>
      </w:r>
      <w:r>
        <w:rPr>
          <w:color w:val="010101"/>
          <w:sz w:val="21"/>
        </w:rPr>
        <w:t>years and must accumulate  with  interest  at  </w:t>
      </w:r>
      <w:r>
        <w:rPr>
          <w:rFonts w:ascii="Arial"/>
          <w:color w:val="010101"/>
          <w:sz w:val="20"/>
        </w:rPr>
        <w:t>3 %  </w:t>
      </w:r>
      <w:r>
        <w:rPr>
          <w:color w:val="010101"/>
          <w:sz w:val="21"/>
        </w:rPr>
        <w:t>to  the  sum of  1 at the end of  </w:t>
      </w:r>
      <w:r>
        <w:rPr>
          <w:color w:val="010101"/>
          <w:spacing w:val="-21"/>
          <w:sz w:val="21"/>
        </w:rPr>
        <w:t>15 </w:t>
      </w:r>
      <w:r>
        <w:rPr>
          <w:color w:val="010101"/>
          <w:sz w:val="21"/>
        </w:rPr>
        <w:t>years. This premiurn</w:t>
      </w:r>
      <w:r>
        <w:rPr>
          <w:color w:val="010101"/>
          <w:spacing w:val="25"/>
          <w:sz w:val="21"/>
        </w:rPr>
        <w:t> </w:t>
      </w:r>
      <w:r>
        <w:rPr>
          <w:rFonts w:ascii="Arial"/>
          <w:color w:val="010101"/>
          <w:sz w:val="20"/>
        </w:rPr>
        <w:t>is</w:t>
      </w:r>
    </w:p>
    <w:p>
      <w:pPr>
        <w:pStyle w:val="BodyText"/>
        <w:rPr>
          <w:rFonts w:ascii="Arial"/>
          <w:sz w:val="12"/>
        </w:rPr>
      </w:pPr>
    </w:p>
    <w:p>
      <w:pPr>
        <w:tabs>
          <w:tab w:pos="383" w:val="left" w:leader="none"/>
          <w:tab w:pos="893" w:val="left" w:leader="none"/>
        </w:tabs>
        <w:spacing w:line="205" w:lineRule="exact" w:before="73"/>
        <w:ind w:left="0" w:right="960" w:firstLine="0"/>
        <w:jc w:val="center"/>
        <w:rPr>
          <w:sz w:val="21"/>
        </w:rPr>
      </w:pPr>
      <w:r>
        <w:rPr>
          <w:color w:val="010101"/>
          <w:sz w:val="21"/>
          <w:u w:val="single" w:color="000000"/>
        </w:rPr>
        <w:t> </w:t>
        <w:tab/>
      </w:r>
      <w:r>
        <w:rPr>
          <w:color w:val="010101"/>
          <w:w w:val="120"/>
          <w:sz w:val="21"/>
          <w:u w:val="single" w:color="000000"/>
        </w:rPr>
        <w:t>1</w:t>
      </w:r>
      <w:r>
        <w:rPr>
          <w:color w:val="010101"/>
          <w:sz w:val="21"/>
          <w:u w:val="single" w:color="000000"/>
        </w:rPr>
        <w:tab/>
      </w:r>
    </w:p>
    <w:p>
      <w:pPr>
        <w:spacing w:line="251" w:lineRule="exact" w:before="0"/>
        <w:ind w:left="148" w:right="131" w:firstLine="0"/>
        <w:jc w:val="center"/>
        <w:rPr>
          <w:sz w:val="21"/>
        </w:rPr>
      </w:pPr>
      <w:r>
        <w:rPr>
          <w:rFonts w:ascii="Arial" w:hAnsi="Arial"/>
          <w:color w:val="010101"/>
          <w:w w:val="95"/>
          <w:sz w:val="20"/>
        </w:rPr>
        <w:t>(1.oa)lísioJ </w:t>
      </w:r>
      <w:r>
        <w:rPr>
          <w:color w:val="010101"/>
          <w:w w:val="95"/>
          <w:sz w:val="25"/>
        </w:rPr>
        <w:t>= </w:t>
      </w:r>
      <w:r>
        <w:rPr>
          <w:color w:val="010101"/>
          <w:w w:val="95"/>
          <w:sz w:val="21"/>
        </w:rPr>
        <w:t>.073054.</w:t>
      </w:r>
    </w:p>
    <w:p>
      <w:pPr>
        <w:pStyle w:val="BodyText"/>
        <w:spacing w:before="5"/>
        <w:rPr>
          <w:sz w:val="18"/>
        </w:rPr>
      </w:pPr>
    </w:p>
    <w:p>
      <w:pPr>
        <w:spacing w:line="239" w:lineRule="exact" w:before="73"/>
        <w:ind w:left="110" w:right="0" w:firstLine="0"/>
        <w:jc w:val="left"/>
        <w:rPr>
          <w:sz w:val="21"/>
        </w:rPr>
      </w:pPr>
      <w:r>
        <w:rPr>
          <w:color w:val="010101"/>
          <w:sz w:val="21"/>
        </w:rPr>
        <w:t>Since the total endowment  premium  </w:t>
      </w:r>
      <w:r>
        <w:rPr>
          <w:rFonts w:ascii="Arial"/>
          <w:color w:val="010101"/>
          <w:sz w:val="20"/>
        </w:rPr>
        <w:t>is </w:t>
      </w:r>
      <w:r>
        <w:rPr>
          <w:color w:val="010101"/>
          <w:sz w:val="21"/>
        </w:rPr>
        <w:t>known  from Table 4 to  be</w:t>
      </w:r>
    </w:p>
    <w:p>
      <w:pPr>
        <w:spacing w:line="240" w:lineRule="exact" w:before="2"/>
        <w:ind w:left="121" w:right="0" w:firstLine="3"/>
        <w:jc w:val="left"/>
        <w:rPr>
          <w:sz w:val="21"/>
        </w:rPr>
      </w:pPr>
      <w:r>
        <w:rPr>
          <w:color w:val="010101"/>
          <w:spacing w:val="-5"/>
          <w:w w:val="105"/>
          <w:sz w:val="21"/>
        </w:rPr>
        <w:t>.074905, </w:t>
      </w:r>
      <w:r>
        <w:rPr>
          <w:color w:val="010101"/>
          <w:w w:val="105"/>
          <w:sz w:val="21"/>
        </w:rPr>
        <w:t>it </w:t>
      </w:r>
      <w:r>
        <w:rPr>
          <w:rFonts w:ascii="Arial"/>
          <w:color w:val="010101"/>
          <w:w w:val="105"/>
          <w:sz w:val="20"/>
        </w:rPr>
        <w:t>is </w:t>
      </w:r>
      <w:r>
        <w:rPr>
          <w:color w:val="010101"/>
          <w:w w:val="105"/>
          <w:sz w:val="21"/>
        </w:rPr>
        <w:t>apparent that the premium for the decreasing term insurance portion will be </w:t>
      </w:r>
      <w:r>
        <w:rPr>
          <w:color w:val="010101"/>
          <w:spacing w:val="-5"/>
          <w:w w:val="105"/>
          <w:sz w:val="21"/>
        </w:rPr>
        <w:t>.074905 </w:t>
      </w:r>
      <w:r>
        <w:rPr>
          <w:color w:val="010101"/>
          <w:w w:val="230"/>
          <w:sz w:val="21"/>
        </w:rPr>
        <w:t>-</w:t>
      </w:r>
      <w:r>
        <w:rPr>
          <w:color w:val="010101"/>
          <w:spacing w:val="-87"/>
          <w:w w:val="230"/>
          <w:sz w:val="21"/>
        </w:rPr>
        <w:t> </w:t>
      </w:r>
      <w:r>
        <w:rPr>
          <w:color w:val="010101"/>
          <w:w w:val="105"/>
          <w:sz w:val="21"/>
        </w:rPr>
        <w:t>.073054 </w:t>
      </w:r>
      <w:r>
        <w:rPr>
          <w:color w:val="010101"/>
          <w:w w:val="105"/>
          <w:sz w:val="26"/>
        </w:rPr>
        <w:t>= </w:t>
      </w:r>
      <w:r>
        <w:rPr>
          <w:color w:val="010101"/>
          <w:spacing w:val="-3"/>
          <w:w w:val="105"/>
          <w:sz w:val="21"/>
        </w:rPr>
        <w:t>.001851.</w:t>
      </w:r>
    </w:p>
    <w:p>
      <w:pPr>
        <w:spacing w:line="235" w:lineRule="auto" w:before="0"/>
        <w:ind w:left="110" w:right="108" w:firstLine="204"/>
        <w:jc w:val="both"/>
        <w:rPr>
          <w:sz w:val="21"/>
        </w:rPr>
      </w:pPr>
      <w:r>
        <w:rPr>
          <w:color w:val="010101"/>
          <w:sz w:val="21"/>
        </w:rPr>
        <w:t>Let us now ex11.mine the reserve at the end of 1 year on the de­ creasing insurance. The amount of  insurance  duríng the first year </w:t>
      </w:r>
      <w:r>
        <w:rPr>
          <w:rFonts w:ascii="Arial" w:hAnsi="Arial"/>
          <w:color w:val="010101"/>
          <w:sz w:val="20"/>
        </w:rPr>
        <w:t>is </w:t>
      </w:r>
      <w:r>
        <w:rPr>
          <w:color w:val="010101"/>
          <w:sz w:val="21"/>
        </w:rPr>
        <w:t>equal to the excess of 1 over the accumulated </w:t>
      </w:r>
      <w:r>
        <w:rPr>
          <w:color w:val="010101"/>
          <w:spacing w:val="2"/>
          <w:sz w:val="21"/>
        </w:rPr>
        <w:t>savings </w:t>
      </w:r>
      <w:r>
        <w:rPr>
          <w:color w:val="010101"/>
          <w:sz w:val="21"/>
        </w:rPr>
        <w:t>fund. At the end of  the year  the savíngs </w:t>
      </w:r>
      <w:r>
        <w:rPr>
          <w:color w:val="010101"/>
          <w:spacing w:val="3"/>
          <w:sz w:val="21"/>
        </w:rPr>
        <w:t>fund  </w:t>
      </w:r>
      <w:r>
        <w:rPr>
          <w:color w:val="010101"/>
          <w:sz w:val="21"/>
        </w:rPr>
        <w:t>amounts </w:t>
      </w:r>
      <w:r>
        <w:rPr>
          <w:color w:val="010101"/>
          <w:spacing w:val="32"/>
          <w:sz w:val="21"/>
        </w:rPr>
        <w:t> </w:t>
      </w:r>
      <w:r>
        <w:rPr>
          <w:color w:val="010101"/>
          <w:sz w:val="21"/>
        </w:rPr>
        <w:t>to</w:t>
      </w:r>
    </w:p>
    <w:p>
      <w:pPr>
        <w:spacing w:after="0" w:line="235" w:lineRule="auto"/>
        <w:jc w:val="both"/>
        <w:rPr>
          <w:sz w:val="21"/>
        </w:rPr>
        <w:sectPr>
          <w:pgSz w:w="7200" w:h="11340"/>
          <w:pgMar w:top="500" w:bottom="280" w:left="700" w:right="540"/>
        </w:sectPr>
      </w:pPr>
    </w:p>
    <w:p>
      <w:pPr>
        <w:tabs>
          <w:tab w:pos="1615" w:val="left" w:leader="none"/>
          <w:tab w:pos="5380" w:val="left" w:leader="none"/>
        </w:tabs>
        <w:spacing w:before="53"/>
        <w:ind w:left="142" w:right="0" w:firstLine="0"/>
        <w:jc w:val="left"/>
        <w:rPr>
          <w:rFonts w:ascii="Arial"/>
          <w:b/>
          <w:sz w:val="19"/>
        </w:rPr>
      </w:pPr>
      <w:r>
        <w:rPr>
          <w:rFonts w:ascii="Arial"/>
          <w:b/>
          <w:position w:val="1"/>
          <w:sz w:val="19"/>
        </w:rPr>
        <w:t>104</w:t>
        <w:tab/>
      </w:r>
      <w:r>
        <w:rPr>
          <w:b/>
          <w:position w:val="1"/>
          <w:sz w:val="15"/>
        </w:rPr>
        <w:t>NET   LEYEL  </w:t>
      </w:r>
      <w:r>
        <w:rPr>
          <w:b/>
          <w:spacing w:val="14"/>
          <w:position w:val="1"/>
          <w:sz w:val="15"/>
        </w:rPr>
        <w:t> </w:t>
      </w:r>
      <w:r>
        <w:rPr>
          <w:b/>
          <w:position w:val="1"/>
          <w:sz w:val="15"/>
        </w:rPr>
        <w:t>PREMIUl\t  </w:t>
      </w:r>
      <w:r>
        <w:rPr>
          <w:b/>
          <w:spacing w:val="28"/>
          <w:position w:val="1"/>
          <w:sz w:val="15"/>
        </w:rPr>
        <w:t> </w:t>
      </w:r>
      <w:r>
        <w:rPr>
          <w:b/>
          <w:position w:val="1"/>
          <w:sz w:val="15"/>
        </w:rPr>
        <w:t>RESERVES</w:t>
        <w:tab/>
      </w:r>
      <w:r>
        <w:rPr>
          <w:rFonts w:ascii="Arial"/>
          <w:b/>
          <w:w w:val="95"/>
          <w:sz w:val="18"/>
        </w:rPr>
        <w:t>[CH.</w:t>
      </w:r>
      <w:r>
        <w:rPr>
          <w:rFonts w:ascii="Arial"/>
          <w:b/>
          <w:spacing w:val="-10"/>
          <w:w w:val="95"/>
          <w:sz w:val="18"/>
        </w:rPr>
        <w:t> </w:t>
      </w:r>
      <w:r>
        <w:rPr>
          <w:rFonts w:ascii="Arial"/>
          <w:b/>
          <w:w w:val="95"/>
          <w:sz w:val="19"/>
        </w:rPr>
        <w:t>5</w:t>
      </w:r>
    </w:p>
    <w:p>
      <w:pPr>
        <w:pStyle w:val="BodyText"/>
        <w:spacing w:before="8"/>
        <w:rPr>
          <w:rFonts w:ascii="Arial"/>
          <w:b/>
          <w:sz w:val="17"/>
        </w:rPr>
      </w:pPr>
    </w:p>
    <w:p>
      <w:pPr>
        <w:spacing w:before="0"/>
        <w:ind w:left="1885" w:right="0" w:firstLine="0"/>
        <w:jc w:val="left"/>
        <w:rPr>
          <w:rFonts w:ascii="Arial"/>
          <w:sz w:val="19"/>
        </w:rPr>
      </w:pPr>
      <w:r>
        <w:rPr>
          <w:w w:val="95"/>
          <w:sz w:val="20"/>
        </w:rPr>
        <w:t>.0730,"&gt;4 (1.0:q </w:t>
      </w:r>
      <w:r>
        <w:rPr>
          <w:w w:val="95"/>
          <w:sz w:val="24"/>
        </w:rPr>
        <w:t>= </w:t>
      </w:r>
      <w:r>
        <w:rPr>
          <w:rFonts w:ascii="Arial"/>
          <w:w w:val="95"/>
          <w:sz w:val="19"/>
        </w:rPr>
        <w:t>.07;'&gt;2-10,</w:t>
      </w:r>
    </w:p>
    <w:p>
      <w:pPr>
        <w:spacing w:before="93"/>
        <w:ind w:left="117" w:right="164" w:firstLine="3"/>
        <w:jc w:val="both"/>
        <w:rPr>
          <w:sz w:val="19"/>
        </w:rPr>
      </w:pPr>
      <w:r>
        <w:rPr>
          <w:sz w:val="20"/>
        </w:rPr>
        <w:t>and thc amount of immrn1wc is accordingly </w:t>
      </w:r>
      <w:r>
        <w:rPr>
          <w:rFonts w:ascii="Arial"/>
          <w:b/>
          <w:sz w:val="17"/>
        </w:rPr>
        <w:t>1 </w:t>
      </w:r>
      <w:r>
        <w:rPr>
          <w:rFonts w:ascii="Arial"/>
          <w:w w:val="250"/>
          <w:sz w:val="17"/>
        </w:rPr>
        <w:t>- </w:t>
      </w:r>
      <w:r>
        <w:rPr>
          <w:rFonts w:ascii="Arial"/>
          <w:sz w:val="19"/>
        </w:rPr>
        <w:t>.07;,;24u </w:t>
      </w:r>
      <w:r>
        <w:rPr>
          <w:sz w:val="23"/>
        </w:rPr>
        <w:t>= </w:t>
      </w:r>
      <w:r>
        <w:rPr>
          <w:rFonts w:ascii="Arial"/>
          <w:sz w:val="19"/>
        </w:rPr>
        <w:t>.B24754. </w:t>
      </w:r>
      <w:r>
        <w:rPr>
          <w:sz w:val="20"/>
        </w:rPr>
        <w:t>Thcn, using  the  retrospectivc  definition,  thc  reserve  at  thc  C'nd  </w:t>
      </w:r>
      <w:r>
        <w:rPr>
          <w:rFonts w:ascii="Arial"/>
          <w:sz w:val="18"/>
        </w:rPr>
        <w:t>of </w:t>
      </w:r>
      <w:r>
        <w:rPr>
          <w:rFonts w:ascii="Arial"/>
          <w:b/>
          <w:sz w:val="17"/>
        </w:rPr>
        <w:t>1 </w:t>
      </w:r>
      <w:r>
        <w:rPr>
          <w:sz w:val="20"/>
        </w:rPr>
        <w:t>year  </w:t>
      </w:r>
      <w:r>
        <w:rPr>
          <w:sz w:val="21"/>
        </w:rPr>
        <w:t>will </w:t>
      </w:r>
      <w:r>
        <w:rPr>
          <w:sz w:val="19"/>
        </w:rPr>
        <w:t>he</w:t>
      </w:r>
    </w:p>
    <w:p>
      <w:pPr>
        <w:tabs>
          <w:tab w:pos="3868" w:val="left" w:leader="none"/>
        </w:tabs>
        <w:spacing w:line="319" w:lineRule="exact" w:before="122"/>
        <w:ind w:left="1255" w:right="0" w:firstLine="0"/>
        <w:jc w:val="left"/>
        <w:rPr>
          <w:b/>
          <w:sz w:val="20"/>
        </w:rPr>
      </w:pPr>
      <w:r>
        <w:rPr>
          <w:spacing w:val="-7"/>
          <w:w w:val="105"/>
          <w:sz w:val="19"/>
        </w:rPr>
        <w:t>.001851 </w:t>
      </w:r>
      <w:r>
        <w:rPr>
          <w:w w:val="105"/>
          <w:sz w:val="21"/>
        </w:rPr>
        <w:t>D</w:t>
      </w:r>
      <w:r>
        <w:rPr>
          <w:w w:val="105"/>
          <w:sz w:val="21"/>
          <w:u w:val="single"/>
        </w:rPr>
        <w:t>3•  </w:t>
      </w:r>
      <w:r>
        <w:rPr>
          <w:w w:val="235"/>
          <w:sz w:val="21"/>
        </w:rPr>
        <w:t>-</w:t>
      </w:r>
      <w:r>
        <w:rPr>
          <w:spacing w:val="-97"/>
          <w:w w:val="235"/>
          <w:sz w:val="21"/>
        </w:rPr>
        <w:t> </w:t>
      </w:r>
      <w:r>
        <w:rPr>
          <w:w w:val="105"/>
          <w:sz w:val="19"/>
        </w:rPr>
        <w:t>.924754</w:t>
      </w:r>
      <w:r>
        <w:rPr>
          <w:spacing w:val="23"/>
          <w:w w:val="105"/>
          <w:sz w:val="19"/>
        </w:rPr>
        <w:t> </w:t>
      </w:r>
      <w:r>
        <w:rPr>
          <w:rFonts w:ascii="Arial" w:hAnsi="Arial"/>
          <w:i/>
          <w:w w:val="105"/>
          <w:sz w:val="19"/>
        </w:rPr>
        <w:t>Cu</w:t>
        <w:tab/>
      </w:r>
      <w:r>
        <w:rPr>
          <w:b/>
          <w:w w:val="105"/>
          <w:position w:val="-10"/>
          <w:sz w:val="20"/>
        </w:rPr>
        <w:t>-.000416,</w:t>
      </w:r>
    </w:p>
    <w:p>
      <w:pPr>
        <w:spacing w:line="165" w:lineRule="exact" w:before="0"/>
        <w:ind w:left="1189" w:right="2471" w:firstLine="0"/>
        <w:jc w:val="center"/>
        <w:rPr>
          <w:b/>
          <w:i/>
          <w:sz w:val="17"/>
        </w:rPr>
      </w:pPr>
      <w:r>
        <w:rPr>
          <w:b/>
          <w:i/>
          <w:w w:val="95"/>
          <w:sz w:val="17"/>
        </w:rPr>
        <w:t>D;:s</w:t>
      </w:r>
    </w:p>
    <w:p>
      <w:pPr>
        <w:pStyle w:val="BodyText"/>
        <w:spacing w:line="244" w:lineRule="auto" w:before="111"/>
        <w:ind w:left="114" w:right="101" w:firstLine="3"/>
      </w:pPr>
      <w:r>
        <w:rPr>
          <w:w w:val="105"/>
        </w:rPr>
        <w:t>the negativc rcsult rcflecting the initial inadequacy of the pre- </w:t>
      </w:r>
      <w:r>
        <w:rPr>
          <w:w w:val="90"/>
        </w:rPr>
        <w:t>· </w:t>
      </w:r>
      <w:r>
        <w:rPr>
          <w:w w:val="105"/>
        </w:rPr>
        <w:t>mium. </w:t>
      </w:r>
      <w:r>
        <w:rPr>
          <w:w w:val="105"/>
          <w:sz w:val="21"/>
        </w:rPr>
        <w:t>In </w:t>
      </w:r>
      <w:r>
        <w:rPr>
          <w:w w:val="105"/>
        </w:rPr>
        <w:t>issuing a policy  of  this type,  an insurer  takes the risk  that t hc insurcd may discontinue premium payments without repaying t hc dcficit agaiust  his  po]icy.  </w:t>
      </w:r>
      <w:r>
        <w:rPr>
          <w:w w:val="105"/>
          <w:sz w:val="21"/>
        </w:rPr>
        <w:t>In </w:t>
      </w:r>
      <w:r>
        <w:rPr>
          <w:w w:val="105"/>
        </w:rPr>
        <w:t>the  above  illustration, this contingcncy is avoidcd sincc the insurance described  is not issucd as  an  individual  policy,  and  exists  only  as  a  </w:t>
      </w:r>
      <w:r>
        <w:rPr>
          <w:spacing w:val="2"/>
          <w:w w:val="105"/>
        </w:rPr>
        <w:t>componen</w:t>
      </w:r>
      <w:r>
        <w:rPr>
          <w:spacing w:val="2"/>
          <w:w w:val="105"/>
          <w:sz w:val="21"/>
        </w:rPr>
        <w:t>t. </w:t>
      </w:r>
      <w:r>
        <w:rPr>
          <w:rFonts w:ascii="Arial" w:hAnsi="Arial"/>
          <w:w w:val="105"/>
          <w:sz w:val="18"/>
        </w:rPr>
        <w:t>of </w:t>
      </w:r>
      <w:r>
        <w:rPr>
          <w:w w:val="105"/>
        </w:rPr>
        <w:t>thc endowmcnt policy. </w:t>
      </w:r>
      <w:r>
        <w:rPr>
          <w:w w:val="110"/>
        </w:rPr>
        <w:t>lt </w:t>
      </w:r>
      <w:r>
        <w:rPr>
          <w:w w:val="105"/>
          <w:sz w:val="21"/>
        </w:rPr>
        <w:t>will </w:t>
      </w:r>
      <w:r>
        <w:rPr>
          <w:w w:val="105"/>
        </w:rPr>
        <w:t>be seen that the negativc reserve </w:t>
      </w:r>
      <w:r>
        <w:rPr>
          <w:w w:val="87"/>
        </w:rPr>
        <w:t>of   </w:t>
      </w:r>
      <w:r>
        <w:rPr>
          <w:w w:val="121"/>
        </w:rPr>
        <w:t>-</w:t>
      </w:r>
      <w:r>
        <w:rPr>
          <w:w w:val="121"/>
          <w:sz w:val="19"/>
        </w:rPr>
        <w:t>.00041ü  </w:t>
      </w:r>
      <w:r>
        <w:rPr>
          <w:w w:val="93"/>
        </w:rPr>
        <w:t>eombinc&lt;l   </w:t>
      </w:r>
      <w:r>
        <w:rPr>
          <w:w w:val="103"/>
        </w:rPr>
        <w:t>with  </w:t>
      </w:r>
      <w:r>
        <w:rPr>
          <w:w w:val="110"/>
        </w:rPr>
        <w:t>the  </w:t>
      </w:r>
      <w:r>
        <w:rPr>
          <w:w w:val="103"/>
        </w:rPr>
        <w:t>savings  </w:t>
      </w:r>
      <w:r>
        <w:rPr>
          <w:w w:val="104"/>
        </w:rPr>
        <w:t>fund  </w:t>
      </w:r>
      <w:r>
        <w:rPr>
          <w:w w:val="104"/>
        </w:rPr>
        <w:t>accunmlatiou  </w:t>
      </w:r>
      <w:r>
        <w:rPr>
          <w:spacing w:val="32"/>
          <w:w w:val="104"/>
        </w:rPr>
        <w:t> </w:t>
      </w:r>
      <w:r>
        <w:rPr>
          <w:w w:val="87"/>
        </w:rPr>
        <w:t>of</w:t>
      </w:r>
    </w:p>
    <w:p>
      <w:pPr>
        <w:pStyle w:val="BodyText"/>
        <w:spacing w:line="247" w:lineRule="auto" w:before="6"/>
        <w:ind w:left="114" w:firstLine="10"/>
      </w:pPr>
      <w:r>
        <w:rPr/>
        <w:t>.075246 produces the reserve of .074830 shown in Table 4 for the endowmcnt  poliey.</w:t>
      </w:r>
    </w:p>
    <w:p>
      <w:pPr>
        <w:pStyle w:val="BodyText"/>
        <w:spacing w:line="249" w:lineRule="auto" w:before="4"/>
        <w:ind w:left="110" w:right="179" w:firstLine="201"/>
        <w:jc w:val="both"/>
      </w:pPr>
      <w:r>
        <w:rPr>
          <w:w w:val="105"/>
        </w:rPr>
        <w:t>The im;uranee that we havc used for illustration is on a limited payment basis, and this fcaturc helps to keep the magnitude of thc negative reserve small. </w:t>
      </w:r>
      <w:r>
        <w:rPr>
          <w:w w:val="105"/>
          <w:sz w:val="21"/>
        </w:rPr>
        <w:t>If </w:t>
      </w:r>
      <w:r>
        <w:rPr>
          <w:w w:val="105"/>
        </w:rPr>
        <w:t>prcmiums were payable throughout the full term of thc policy, the &lt;lecreasing insurance  premium  would be smallcr  and  the  first-year  benefit  larger  and  both  of  these  eff ects would increase the deficit in the reserve. :Kcgative reserves can be avoided </w:t>
      </w:r>
      <w:r>
        <w:rPr>
          <w:spacing w:val="2"/>
          <w:w w:val="105"/>
        </w:rPr>
        <w:t>eutirely </w:t>
      </w:r>
      <w:r>
        <w:rPr>
          <w:w w:val="105"/>
        </w:rPr>
        <w:t>by suitably limitiI•g the premium-paying period and this is one of the standard devices adopted by insurers when policies with decrcasing benefits are</w:t>
      </w:r>
      <w:r>
        <w:rPr>
          <w:spacing w:val="37"/>
          <w:w w:val="105"/>
        </w:rPr>
        <w:t> </w:t>
      </w:r>
      <w:r>
        <w:rPr>
          <w:w w:val="105"/>
        </w:rPr>
        <w:t>issued.</w:t>
      </w:r>
    </w:p>
    <w:p>
      <w:pPr>
        <w:pStyle w:val="ListParagraph"/>
        <w:numPr>
          <w:ilvl w:val="0"/>
          <w:numId w:val="42"/>
        </w:numPr>
        <w:tabs>
          <w:tab w:pos="366" w:val="left" w:leader="none"/>
        </w:tabs>
        <w:spacing w:line="240" w:lineRule="auto" w:before="173" w:after="0"/>
        <w:ind w:left="366" w:right="0" w:hanging="263"/>
        <w:jc w:val="left"/>
        <w:rPr>
          <w:b/>
          <w:sz w:val="19"/>
        </w:rPr>
      </w:pPr>
      <w:r>
        <w:rPr>
          <w:b/>
          <w:w w:val="115"/>
          <w:sz w:val="19"/>
        </w:rPr>
        <w:t>Other formulas for terminal </w:t>
      </w:r>
      <w:r>
        <w:rPr>
          <w:b/>
          <w:spacing w:val="36"/>
          <w:w w:val="115"/>
          <w:sz w:val="19"/>
        </w:rPr>
        <w:t> </w:t>
      </w:r>
      <w:r>
        <w:rPr>
          <w:b/>
          <w:w w:val="115"/>
          <w:sz w:val="19"/>
        </w:rPr>
        <w:t>reserves</w:t>
      </w:r>
    </w:p>
    <w:p>
      <w:pPr>
        <w:pStyle w:val="BodyText"/>
        <w:spacing w:line="252" w:lineRule="auto" w:before="89"/>
        <w:ind w:left="103" w:right="190" w:firstLine="198"/>
        <w:jc w:val="both"/>
      </w:pPr>
      <w:r>
        <w:rPr>
          <w:w w:val="105"/>
        </w:rPr>
        <w:t>There are many usef ul transformations of the basic reserve for­ mulas. From the prospcctivc formula for </w:t>
      </w:r>
      <w:r>
        <w:rPr>
          <w:i/>
          <w:w w:val="105"/>
          <w:sz w:val="12"/>
        </w:rPr>
        <w:t>t </w:t>
      </w:r>
      <w:r>
        <w:rPr>
          <w:rFonts w:ascii="Arial" w:hAnsi="Arial"/>
          <w:w w:val="105"/>
        </w:rPr>
        <w:t>V</w:t>
      </w:r>
      <w:r>
        <w:rPr>
          <w:rFonts w:ascii="Arial" w:hAnsi="Arial"/>
          <w:i/>
          <w:w w:val="105"/>
          <w:sz w:val="11"/>
        </w:rPr>
        <w:t>:r </w:t>
      </w:r>
      <w:r>
        <w:rPr>
          <w:rFonts w:ascii="Arial" w:hAnsi="Arial"/>
          <w:w w:val="245"/>
          <w:sz w:val="11"/>
        </w:rPr>
        <w:t>, </w:t>
      </w:r>
      <w:r>
        <w:rPr>
          <w:w w:val="105"/>
        </w:rPr>
        <w:t>for example, the following series of formulas may </w:t>
      </w:r>
      <w:r>
        <w:rPr>
          <w:w w:val="105"/>
          <w:sz w:val="19"/>
        </w:rPr>
        <w:t>be </w:t>
      </w:r>
      <w:r>
        <w:rPr>
          <w:w w:val="105"/>
        </w:rPr>
        <w:t>derived:</w:t>
      </w:r>
    </w:p>
    <w:p>
      <w:pPr>
        <w:spacing w:line="265" w:lineRule="exact" w:before="76"/>
        <w:ind w:left="1874" w:right="0" w:firstLine="0"/>
        <w:jc w:val="left"/>
        <w:rPr>
          <w:rFonts w:ascii="Arial" w:hAnsi="Arial"/>
          <w:b/>
          <w:i/>
          <w:sz w:val="17"/>
        </w:rPr>
      </w:pPr>
      <w:r>
        <w:rPr>
          <w:rFonts w:ascii="Arial" w:hAnsi="Arial"/>
          <w:b/>
          <w:w w:val="95"/>
          <w:sz w:val="26"/>
        </w:rPr>
        <w:t>,r:r </w:t>
      </w:r>
      <w:r>
        <w:rPr>
          <w:w w:val="120"/>
          <w:sz w:val="23"/>
        </w:rPr>
        <w:t>= </w:t>
      </w:r>
      <w:r>
        <w:rPr>
          <w:rFonts w:ascii="Arial" w:hAnsi="Arial"/>
          <w:b/>
          <w:i/>
          <w:w w:val="140"/>
          <w:sz w:val="13"/>
        </w:rPr>
        <w:t>Az+I </w:t>
      </w:r>
      <w:r>
        <w:rPr>
          <w:rFonts w:ascii="Arial" w:hAnsi="Arial"/>
          <w:w w:val="355"/>
          <w:sz w:val="13"/>
        </w:rPr>
        <w:t>-</w:t>
      </w:r>
      <w:r>
        <w:rPr>
          <w:rFonts w:ascii="Arial" w:hAnsi="Arial"/>
          <w:spacing w:val="-107"/>
          <w:w w:val="355"/>
          <w:sz w:val="13"/>
        </w:rPr>
        <w:t> </w:t>
      </w:r>
      <w:r>
        <w:rPr>
          <w:rFonts w:ascii="Arial" w:hAnsi="Arial"/>
          <w:b/>
          <w:i/>
          <w:w w:val="95"/>
          <w:sz w:val="17"/>
        </w:rPr>
        <w:t>P:r · dz+I</w:t>
      </w:r>
    </w:p>
    <w:p>
      <w:pPr>
        <w:spacing w:after="0" w:line="265" w:lineRule="exact"/>
        <w:jc w:val="left"/>
        <w:rPr>
          <w:rFonts w:ascii="Arial" w:hAnsi="Arial"/>
          <w:sz w:val="17"/>
        </w:rPr>
        <w:sectPr>
          <w:pgSz w:w="7200" w:h="11340"/>
          <w:pgMar w:top="500" w:bottom="280" w:left="660" w:right="500"/>
        </w:sectPr>
      </w:pPr>
    </w:p>
    <w:p>
      <w:pPr>
        <w:spacing w:line="327" w:lineRule="exact" w:before="0"/>
        <w:ind w:left="2194" w:right="1130" w:firstLine="0"/>
        <w:jc w:val="center"/>
        <w:rPr>
          <w:i/>
          <w:sz w:val="19"/>
        </w:rPr>
      </w:pPr>
      <w:r>
        <w:rPr>
          <w:sz w:val="23"/>
        </w:rPr>
        <w:t>= </w:t>
      </w:r>
      <w:r>
        <w:rPr>
          <w:rFonts w:ascii="Arial"/>
          <w:b/>
          <w:w w:val="125"/>
          <w:sz w:val="17"/>
        </w:rPr>
        <w:t>1 </w:t>
      </w:r>
      <w:r>
        <w:rPr>
          <w:rFonts w:ascii="Arial"/>
          <w:w w:val="275"/>
          <w:sz w:val="17"/>
        </w:rPr>
        <w:t>- </w:t>
      </w:r>
      <w:r>
        <w:rPr>
          <w:i/>
          <w:sz w:val="19"/>
        </w:rPr>
        <w:t>( Pz </w:t>
      </w:r>
      <w:r>
        <w:rPr>
          <w:rFonts w:ascii="Arial"/>
          <w:sz w:val="32"/>
        </w:rPr>
        <w:t>+ </w:t>
      </w:r>
      <w:r>
        <w:rPr>
          <w:i/>
          <w:sz w:val="19"/>
        </w:rPr>
        <w:t>d )az+t</w:t>
      </w:r>
    </w:p>
    <w:p>
      <w:pPr>
        <w:spacing w:before="38"/>
        <w:ind w:left="3130" w:right="-17" w:firstLine="0"/>
        <w:jc w:val="left"/>
        <w:rPr>
          <w:b/>
          <w:sz w:val="17"/>
        </w:rPr>
      </w:pPr>
      <w:r>
        <w:rPr>
          <w:w w:val="105"/>
          <w:sz w:val="20"/>
        </w:rPr>
        <w:t>since </w:t>
      </w:r>
      <w:r>
        <w:rPr>
          <w:b/>
          <w:i/>
          <w:w w:val="130"/>
          <w:sz w:val="16"/>
        </w:rPr>
        <w:t>Az+t  </w:t>
      </w:r>
      <w:r>
        <w:rPr>
          <w:w w:val="105"/>
          <w:sz w:val="23"/>
        </w:rPr>
        <w:t>= </w:t>
      </w:r>
      <w:r>
        <w:rPr>
          <w:w w:val="130"/>
          <w:sz w:val="20"/>
        </w:rPr>
        <w:t>1 </w:t>
      </w:r>
      <w:r>
        <w:rPr>
          <w:w w:val="255"/>
          <w:sz w:val="20"/>
        </w:rPr>
        <w:t>-</w:t>
      </w:r>
      <w:r>
        <w:rPr>
          <w:spacing w:val="-93"/>
          <w:w w:val="255"/>
          <w:sz w:val="20"/>
        </w:rPr>
        <w:t> </w:t>
      </w:r>
      <w:r>
        <w:rPr>
          <w:b/>
          <w:spacing w:val="-3"/>
          <w:w w:val="105"/>
          <w:sz w:val="17"/>
        </w:rPr>
        <w:t>00:s+a</w:t>
      </w:r>
    </w:p>
    <w:p>
      <w:pPr>
        <w:spacing w:line="160" w:lineRule="exact" w:before="158"/>
        <w:ind w:left="2076" w:right="1130" w:firstLine="0"/>
        <w:jc w:val="center"/>
        <w:rPr>
          <w:b/>
          <w:i/>
          <w:sz w:val="15"/>
        </w:rPr>
      </w:pPr>
      <w:r>
        <w:rPr>
          <w:rFonts w:ascii="Arial"/>
          <w:b/>
          <w:w w:val="120"/>
          <w:sz w:val="17"/>
        </w:rPr>
        <w:t>1 </w:t>
      </w:r>
      <w:r>
        <w:rPr>
          <w:rFonts w:ascii="Arial"/>
          <w:w w:val="280"/>
          <w:sz w:val="17"/>
        </w:rPr>
        <w:t>-</w:t>
      </w:r>
      <w:r>
        <w:rPr>
          <w:rFonts w:ascii="Arial"/>
          <w:spacing w:val="-101"/>
          <w:w w:val="280"/>
          <w:sz w:val="17"/>
        </w:rPr>
        <w:t> </w:t>
      </w:r>
      <w:r>
        <w:rPr>
          <w:b/>
          <w:i/>
          <w:w w:val="120"/>
          <w:sz w:val="15"/>
          <w:u w:val="single"/>
        </w:rPr>
        <w:t>ciz+</w:t>
      </w:r>
      <w:r>
        <w:rPr>
          <w:b/>
          <w:i/>
          <w:w w:val="120"/>
          <w:sz w:val="15"/>
        </w:rPr>
        <w:t>t</w:t>
      </w:r>
    </w:p>
    <w:p>
      <w:pPr>
        <w:spacing w:line="252" w:lineRule="exact" w:before="0"/>
        <w:ind w:left="2194" w:right="834" w:firstLine="0"/>
        <w:jc w:val="center"/>
        <w:rPr>
          <w:b/>
          <w:i/>
          <w:sz w:val="25"/>
        </w:rPr>
      </w:pPr>
      <w:r>
        <w:rPr>
          <w:b/>
          <w:i/>
          <w:w w:val="60"/>
          <w:sz w:val="25"/>
        </w:rPr>
        <w:t>a:r</w:t>
      </w:r>
    </w:p>
    <w:p>
      <w:pPr>
        <w:pStyle w:val="BodyText"/>
        <w:spacing w:before="58"/>
        <w:ind w:left="194"/>
      </w:pPr>
      <w:r>
        <w:rPr/>
        <w:br w:type="column"/>
      </w:r>
      <w:r>
        <w:rPr>
          <w:w w:val="110"/>
        </w:rPr>
        <w:t>(5.5)</w:t>
      </w:r>
    </w:p>
    <w:p>
      <w:pPr>
        <w:pStyle w:val="BodyText"/>
      </w:pPr>
    </w:p>
    <w:p>
      <w:pPr>
        <w:pStyle w:val="BodyText"/>
        <w:spacing w:before="2"/>
        <w:rPr>
          <w:sz w:val="26"/>
        </w:rPr>
      </w:pPr>
    </w:p>
    <w:p>
      <w:pPr>
        <w:spacing w:before="1"/>
        <w:ind w:left="179" w:right="0" w:firstLine="0"/>
        <w:jc w:val="left"/>
        <w:rPr>
          <w:sz w:val="19"/>
        </w:rPr>
      </w:pPr>
      <w:r>
        <w:rPr>
          <w:w w:val="130"/>
          <w:sz w:val="19"/>
        </w:rPr>
        <w:t>(5.6)</w:t>
      </w:r>
    </w:p>
    <w:p>
      <w:pPr>
        <w:spacing w:after="0"/>
        <w:jc w:val="left"/>
        <w:rPr>
          <w:sz w:val="19"/>
        </w:rPr>
        <w:sectPr>
          <w:type w:val="continuous"/>
          <w:pgSz w:w="7200" w:h="11340"/>
          <w:pgMar w:top="1100" w:bottom="0" w:left="660" w:right="500"/>
          <w:cols w:num="2" w:equalWidth="0">
            <w:col w:w="5194" w:space="40"/>
            <w:col w:w="806"/>
          </w:cols>
        </w:sectPr>
      </w:pPr>
    </w:p>
    <w:p>
      <w:pPr>
        <w:spacing w:line="320" w:lineRule="exact" w:before="70"/>
        <w:ind w:left="0" w:right="889" w:firstLine="0"/>
        <w:jc w:val="right"/>
        <w:rPr>
          <w:sz w:val="24"/>
        </w:rPr>
      </w:pPr>
      <w:r>
        <w:rPr>
          <w:sz w:val="20"/>
        </w:rPr>
        <w:t>since </w:t>
      </w:r>
      <w:r>
        <w:rPr>
          <w:i/>
          <w:sz w:val="19"/>
        </w:rPr>
        <w:t>Pz </w:t>
      </w:r>
      <w:r>
        <w:rPr>
          <w:rFonts w:ascii="Arial"/>
          <w:sz w:val="32"/>
        </w:rPr>
        <w:t>+ </w:t>
      </w:r>
      <w:r>
        <w:rPr>
          <w:i/>
          <w:sz w:val="19"/>
        </w:rPr>
        <w:t>d  </w:t>
      </w:r>
      <w:r>
        <w:rPr>
          <w:sz w:val="23"/>
        </w:rPr>
        <w:t>= </w:t>
      </w:r>
      <w:r>
        <w:rPr>
          <w:w w:val="80"/>
          <w:sz w:val="24"/>
        </w:rPr>
        <w:t>_!_</w:t>
      </w:r>
    </w:p>
    <w:p>
      <w:pPr>
        <w:spacing w:line="159" w:lineRule="exact" w:before="0"/>
        <w:ind w:left="0" w:right="873" w:firstLine="0"/>
        <w:jc w:val="right"/>
        <w:rPr>
          <w:b/>
          <w:i/>
          <w:sz w:val="18"/>
        </w:rPr>
      </w:pPr>
      <w:r>
        <w:rPr>
          <w:b/>
          <w:i/>
          <w:w w:val="105"/>
          <w:sz w:val="18"/>
        </w:rPr>
        <w:t>ás</w:t>
      </w:r>
    </w:p>
    <w:p>
      <w:pPr>
        <w:spacing w:after="0" w:line="159" w:lineRule="exact"/>
        <w:jc w:val="right"/>
        <w:rPr>
          <w:sz w:val="18"/>
        </w:rPr>
        <w:sectPr>
          <w:type w:val="continuous"/>
          <w:pgSz w:w="7200" w:h="11340"/>
          <w:pgMar w:top="1100" w:bottom="0" w:left="660" w:right="500"/>
        </w:sectPr>
      </w:pPr>
    </w:p>
    <w:p>
      <w:pPr>
        <w:tabs>
          <w:tab w:pos="1575" w:val="left" w:leader="none"/>
          <w:tab w:pos="5887" w:val="right" w:leader="none"/>
        </w:tabs>
        <w:spacing w:before="64"/>
        <w:ind w:left="128" w:right="0" w:firstLine="0"/>
        <w:jc w:val="left"/>
        <w:rPr>
          <w:sz w:val="20"/>
        </w:rPr>
      </w:pPr>
      <w:r>
        <w:rPr>
          <w:w w:val="110"/>
          <w:sz w:val="15"/>
        </w:rPr>
        <w:t>SEC.</w:t>
      </w:r>
      <w:r>
        <w:rPr>
          <w:spacing w:val="20"/>
          <w:w w:val="110"/>
          <w:sz w:val="15"/>
        </w:rPr>
        <w:t> </w:t>
      </w:r>
      <w:r>
        <w:rPr>
          <w:w w:val="110"/>
          <w:sz w:val="19"/>
        </w:rPr>
        <w:t>5]</w:t>
        <w:tab/>
      </w:r>
      <w:r>
        <w:rPr>
          <w:w w:val="110"/>
          <w:sz w:val="15"/>
        </w:rPr>
        <w:t>SUCCESSIVE </w:t>
      </w:r>
      <w:r>
        <w:rPr>
          <w:spacing w:val="16"/>
          <w:w w:val="110"/>
          <w:sz w:val="15"/>
        </w:rPr>
        <w:t> </w:t>
      </w:r>
      <w:r>
        <w:rPr>
          <w:b/>
          <w:w w:val="110"/>
          <w:sz w:val="15"/>
        </w:rPr>
        <w:t>TERMINAL </w:t>
      </w:r>
      <w:r>
        <w:rPr>
          <w:b/>
          <w:spacing w:val="21"/>
          <w:w w:val="110"/>
          <w:sz w:val="15"/>
        </w:rPr>
        <w:t> </w:t>
      </w:r>
      <w:r>
        <w:rPr>
          <w:w w:val="110"/>
          <w:sz w:val="15"/>
        </w:rPr>
        <w:t>RESERVES</w:t>
      </w:r>
      <w:r>
        <w:rPr>
          <w:w w:val="110"/>
          <w:sz w:val="20"/>
        </w:rPr>
        <w:tab/>
      </w:r>
      <w:r>
        <w:rPr>
          <w:spacing w:val="-15"/>
          <w:w w:val="110"/>
          <w:sz w:val="20"/>
        </w:rPr>
        <w:t>105</w:t>
      </w:r>
    </w:p>
    <w:p>
      <w:pPr>
        <w:spacing w:after="0"/>
        <w:jc w:val="left"/>
        <w:rPr>
          <w:sz w:val="20"/>
        </w:rPr>
        <w:sectPr>
          <w:pgSz w:w="7200" w:h="11340"/>
          <w:pgMar w:top="480" w:bottom="280" w:left="660" w:right="540"/>
        </w:sectPr>
      </w:pPr>
    </w:p>
    <w:p>
      <w:pPr>
        <w:spacing w:line="103" w:lineRule="exact" w:before="304"/>
        <w:ind w:left="0" w:right="0" w:firstLine="0"/>
        <w:jc w:val="right"/>
        <w:rPr>
          <w:b/>
          <w:i/>
          <w:sz w:val="16"/>
        </w:rPr>
      </w:pPr>
      <w:r>
        <w:rPr>
          <w:rFonts w:ascii="Arial"/>
          <w:w w:val="165"/>
          <w:position w:val="-10"/>
          <w:sz w:val="19"/>
        </w:rPr>
        <w:t>= </w:t>
      </w:r>
      <w:r>
        <w:rPr>
          <w:b/>
          <w:i/>
          <w:w w:val="110"/>
          <w:sz w:val="16"/>
        </w:rPr>
        <w:t>as </w:t>
      </w:r>
      <w:r>
        <w:rPr>
          <w:w w:val="330"/>
          <w:sz w:val="16"/>
        </w:rPr>
        <w:t>-</w:t>
      </w:r>
      <w:r>
        <w:rPr>
          <w:spacing w:val="-83"/>
          <w:w w:val="330"/>
          <w:sz w:val="16"/>
        </w:rPr>
        <w:t> </w:t>
      </w:r>
      <w:r>
        <w:rPr>
          <w:b/>
          <w:i/>
          <w:w w:val="110"/>
          <w:sz w:val="16"/>
        </w:rPr>
        <w:t>as+I</w:t>
      </w:r>
    </w:p>
    <w:p>
      <w:pPr>
        <w:pStyle w:val="BodyText"/>
        <w:spacing w:line="40" w:lineRule="exact" w:before="367"/>
        <w:ind w:right="116"/>
        <w:jc w:val="right"/>
      </w:pPr>
      <w:r>
        <w:rPr/>
        <w:br w:type="column"/>
      </w:r>
      <w:r>
        <w:rPr>
          <w:w w:val="125"/>
        </w:rPr>
        <w:t>(5.7)</w:t>
      </w:r>
    </w:p>
    <w:p>
      <w:pPr>
        <w:spacing w:after="0" w:line="40" w:lineRule="exact"/>
        <w:jc w:val="right"/>
        <w:sectPr>
          <w:type w:val="continuous"/>
          <w:pgSz w:w="7200" w:h="11340"/>
          <w:pgMar w:top="1100" w:bottom="0" w:left="660" w:right="540"/>
          <w:cols w:num="2" w:equalWidth="0">
            <w:col w:w="3462" w:space="40"/>
            <w:col w:w="2498"/>
          </w:cols>
        </w:sectPr>
      </w:pPr>
    </w:p>
    <w:p>
      <w:pPr>
        <w:spacing w:line="355" w:lineRule="exact" w:before="0"/>
        <w:ind w:left="266" w:right="87" w:firstLine="0"/>
        <w:jc w:val="center"/>
        <w:rPr>
          <w:rFonts w:ascii="Arial"/>
          <w:sz w:val="19"/>
        </w:rPr>
      </w:pPr>
      <w:r>
        <w:rPr>
          <w:rFonts w:ascii="Arial"/>
          <w:w w:val="429"/>
          <w:sz w:val="19"/>
        </w:rPr>
        <w:t>-</w:t>
      </w:r>
      <w:r>
        <w:rPr>
          <w:rFonts w:ascii="Arial"/>
          <w:spacing w:val="-19"/>
          <w:sz w:val="19"/>
        </w:rPr>
        <w:t> </w:t>
      </w:r>
      <w:r>
        <w:rPr>
          <w:i/>
          <w:w w:val="70"/>
          <w:position w:val="-13"/>
          <w:sz w:val="28"/>
        </w:rPr>
        <w:t>a</w:t>
      </w:r>
      <w:r>
        <w:rPr>
          <w:i/>
          <w:spacing w:val="-34"/>
          <w:w w:val="69"/>
          <w:position w:val="-13"/>
          <w:sz w:val="28"/>
        </w:rPr>
        <w:t>s</w:t>
      </w:r>
      <w:r>
        <w:rPr>
          <w:rFonts w:ascii="Arial"/>
          <w:spacing w:val="-49"/>
          <w:w w:val="429"/>
          <w:sz w:val="19"/>
        </w:rPr>
        <w:t>-</w:t>
      </w:r>
      <w:r>
        <w:rPr>
          <w:rFonts w:ascii="Arial"/>
          <w:w w:val="234"/>
          <w:sz w:val="19"/>
        </w:rPr>
        <w:t>-</w:t>
      </w:r>
    </w:p>
    <w:p>
      <w:pPr>
        <w:spacing w:after="0" w:line="355" w:lineRule="exact"/>
        <w:jc w:val="center"/>
        <w:rPr>
          <w:rFonts w:ascii="Arial"/>
          <w:sz w:val="19"/>
        </w:rPr>
        <w:sectPr>
          <w:type w:val="continuous"/>
          <w:pgSz w:w="7200" w:h="11340"/>
          <w:pgMar w:top="1100" w:bottom="0" w:left="660" w:right="540"/>
        </w:sectPr>
      </w:pPr>
    </w:p>
    <w:p>
      <w:pPr>
        <w:spacing w:line="198" w:lineRule="exact" w:before="83"/>
        <w:ind w:left="0" w:right="51" w:firstLine="0"/>
        <w:jc w:val="right"/>
        <w:rPr>
          <w:i/>
          <w:sz w:val="22"/>
        </w:rPr>
      </w:pPr>
      <w:r>
        <w:rPr/>
        <w:pict>
          <v:shape style="position:absolute;margin-left:154.619995pt;margin-top:12.481532pt;width:8.4pt;height:9.5pt;mso-position-horizontal-relative:page;mso-position-vertical-relative:paragraph;z-index:9736" type="#_x0000_t202" filled="false" stroked="false">
            <v:textbox inset="0,0,0,0">
              <w:txbxContent>
                <w:p>
                  <w:pPr>
                    <w:spacing w:line="190" w:lineRule="exact" w:before="0"/>
                    <w:ind w:left="0" w:right="0" w:firstLine="0"/>
                    <w:jc w:val="left"/>
                    <w:rPr>
                      <w:rFonts w:ascii="Arial"/>
                      <w:sz w:val="19"/>
                    </w:rPr>
                  </w:pPr>
                  <w:r>
                    <w:rPr>
                      <w:rFonts w:ascii="Arial"/>
                      <w:w w:val="150"/>
                      <w:sz w:val="19"/>
                    </w:rPr>
                    <w:t>=</w:t>
                  </w:r>
                </w:p>
              </w:txbxContent>
            </v:textbox>
            <w10:wrap type="none"/>
          </v:shape>
        </w:pict>
      </w:r>
      <w:r>
        <w:rPr>
          <w:i/>
          <w:sz w:val="22"/>
        </w:rPr>
        <w:t>Az+, </w:t>
      </w:r>
      <w:r>
        <w:rPr>
          <w:w w:val="235"/>
          <w:sz w:val="22"/>
        </w:rPr>
        <w:t>-</w:t>
      </w:r>
      <w:r>
        <w:rPr>
          <w:spacing w:val="-86"/>
          <w:w w:val="235"/>
          <w:sz w:val="22"/>
        </w:rPr>
        <w:t> </w:t>
      </w:r>
      <w:r>
        <w:rPr>
          <w:i/>
          <w:sz w:val="22"/>
        </w:rPr>
        <w:t>As</w:t>
      </w:r>
    </w:p>
    <w:p>
      <w:pPr>
        <w:spacing w:line="109" w:lineRule="exact" w:before="0"/>
        <w:ind w:left="0" w:right="0" w:firstLine="0"/>
        <w:jc w:val="right"/>
        <w:rPr>
          <w:rFonts w:ascii="Arial"/>
          <w:sz w:val="19"/>
        </w:rPr>
      </w:pPr>
      <w:r>
        <w:rPr>
          <w:rFonts w:ascii="Arial"/>
          <w:w w:val="440"/>
          <w:sz w:val="19"/>
        </w:rPr>
        <w:t>----</w:t>
      </w:r>
    </w:p>
    <w:p>
      <w:pPr>
        <w:spacing w:line="199" w:lineRule="exact" w:before="0"/>
        <w:ind w:left="0" w:right="178" w:firstLine="0"/>
        <w:jc w:val="right"/>
        <w:rPr>
          <w:i/>
          <w:sz w:val="22"/>
        </w:rPr>
      </w:pPr>
      <w:r>
        <w:rPr>
          <w:w w:val="110"/>
          <w:sz w:val="21"/>
        </w:rPr>
        <w:t>1 </w:t>
      </w:r>
      <w:r>
        <w:rPr>
          <w:w w:val="250"/>
          <w:sz w:val="21"/>
        </w:rPr>
        <w:t>-</w:t>
      </w:r>
      <w:r>
        <w:rPr>
          <w:spacing w:val="-95"/>
          <w:w w:val="250"/>
          <w:sz w:val="21"/>
        </w:rPr>
        <w:t> </w:t>
      </w:r>
      <w:r>
        <w:rPr>
          <w:i/>
          <w:w w:val="110"/>
          <w:sz w:val="22"/>
        </w:rPr>
        <w:t>As</w:t>
      </w:r>
    </w:p>
    <w:p>
      <w:pPr>
        <w:tabs>
          <w:tab w:pos="1366" w:val="left" w:leader="none"/>
          <w:tab w:pos="1841" w:val="left" w:leader="none"/>
        </w:tabs>
        <w:spacing w:line="151" w:lineRule="exact" w:before="91"/>
        <w:ind w:left="927" w:right="0" w:firstLine="0"/>
        <w:jc w:val="left"/>
        <w:rPr>
          <w:b/>
          <w:i/>
          <w:sz w:val="21"/>
        </w:rPr>
      </w:pPr>
      <w:r>
        <w:rPr>
          <w:w w:val="130"/>
          <w:sz w:val="20"/>
        </w:rPr>
        <w:t>.</w:t>
        <w:tab/>
      </w:r>
      <w:r>
        <w:rPr>
          <w:w w:val="85"/>
          <w:sz w:val="20"/>
        </w:rPr>
        <w:t>_</w:t>
        <w:tab/>
      </w:r>
      <w:r>
        <w:rPr>
          <w:b/>
          <w:w w:val="105"/>
          <w:sz w:val="20"/>
        </w:rPr>
        <w:t>1 </w:t>
      </w:r>
      <w:r>
        <w:rPr>
          <w:w w:val="265"/>
          <w:sz w:val="20"/>
        </w:rPr>
        <w:t>-</w:t>
      </w:r>
      <w:r>
        <w:rPr>
          <w:spacing w:val="-75"/>
          <w:w w:val="265"/>
          <w:sz w:val="20"/>
        </w:rPr>
        <w:t> </w:t>
      </w:r>
      <w:r>
        <w:rPr>
          <w:b/>
          <w:i/>
          <w:w w:val="105"/>
          <w:sz w:val="21"/>
        </w:rPr>
        <w:t>As</w:t>
      </w:r>
    </w:p>
    <w:p>
      <w:pPr>
        <w:pStyle w:val="BodyText"/>
        <w:rPr>
          <w:b/>
          <w:i/>
          <w:sz w:val="16"/>
        </w:rPr>
      </w:pPr>
      <w:r>
        <w:rPr/>
        <w:br w:type="column"/>
      </w:r>
      <w:r>
        <w:rPr>
          <w:b/>
          <w:i/>
          <w:sz w:val="16"/>
        </w:rPr>
      </w:r>
    </w:p>
    <w:p>
      <w:pPr>
        <w:pStyle w:val="BodyText"/>
        <w:rPr>
          <w:b/>
          <w:i/>
          <w:sz w:val="16"/>
        </w:rPr>
      </w:pPr>
    </w:p>
    <w:p>
      <w:pPr>
        <w:pStyle w:val="BodyText"/>
        <w:rPr>
          <w:b/>
          <w:i/>
          <w:sz w:val="16"/>
        </w:rPr>
      </w:pPr>
    </w:p>
    <w:p>
      <w:pPr>
        <w:pStyle w:val="BodyText"/>
        <w:spacing w:before="7"/>
        <w:rPr>
          <w:b/>
          <w:i/>
          <w:sz w:val="15"/>
        </w:rPr>
      </w:pPr>
    </w:p>
    <w:p>
      <w:pPr>
        <w:spacing w:line="99" w:lineRule="exact" w:before="0"/>
        <w:ind w:left="607" w:right="-19" w:firstLine="0"/>
        <w:jc w:val="left"/>
        <w:rPr>
          <w:b/>
          <w:sz w:val="17"/>
        </w:rPr>
      </w:pPr>
      <w:r>
        <w:rPr>
          <w:b/>
          <w:w w:val="115"/>
          <w:sz w:val="17"/>
        </w:rPr>
        <w:t>1 </w:t>
      </w:r>
      <w:r>
        <w:rPr>
          <w:w w:val="310"/>
          <w:sz w:val="17"/>
        </w:rPr>
        <w:t>-</w:t>
      </w:r>
      <w:r>
        <w:rPr>
          <w:spacing w:val="-92"/>
          <w:w w:val="310"/>
          <w:sz w:val="17"/>
        </w:rPr>
        <w:t> </w:t>
      </w:r>
      <w:r>
        <w:rPr>
          <w:b/>
          <w:w w:val="115"/>
          <w:sz w:val="17"/>
        </w:rPr>
        <w:t>As+c</w:t>
      </w:r>
    </w:p>
    <w:p>
      <w:pPr>
        <w:pStyle w:val="BodyText"/>
        <w:spacing w:before="2"/>
        <w:rPr>
          <w:b/>
          <w:sz w:val="18"/>
        </w:rPr>
      </w:pPr>
      <w:r>
        <w:rPr/>
        <w:br w:type="column"/>
      </w:r>
      <w:r>
        <w:rPr>
          <w:b/>
          <w:sz w:val="18"/>
        </w:rPr>
      </w:r>
    </w:p>
    <w:p>
      <w:pPr>
        <w:pStyle w:val="BodyText"/>
        <w:ind w:left="369"/>
        <w:rPr>
          <w:rFonts w:ascii="Arial"/>
        </w:rPr>
      </w:pPr>
      <w:r>
        <w:rPr>
          <w:rFonts w:ascii="Arial"/>
          <w:w w:val="105"/>
        </w:rPr>
        <w:t>(5.8)</w:t>
      </w:r>
    </w:p>
    <w:p>
      <w:pPr>
        <w:spacing w:after="0"/>
        <w:rPr>
          <w:rFonts w:ascii="Arial"/>
        </w:rPr>
        <w:sectPr>
          <w:type w:val="continuous"/>
          <w:pgSz w:w="7200" w:h="11340"/>
          <w:pgMar w:top="1100" w:bottom="0" w:left="660" w:right="540"/>
          <w:cols w:num="3" w:equalWidth="0">
            <w:col w:w="3629" w:space="40"/>
            <w:col w:w="1386" w:space="40"/>
            <w:col w:w="905"/>
          </w:cols>
        </w:sectPr>
      </w:pPr>
    </w:p>
    <w:p>
      <w:pPr>
        <w:tabs>
          <w:tab w:pos="2101" w:val="left" w:leader="none"/>
          <w:tab w:pos="2882" w:val="left" w:leader="none"/>
          <w:tab w:pos="3602" w:val="left" w:leader="none"/>
        </w:tabs>
        <w:spacing w:line="245" w:lineRule="exact" w:before="0"/>
        <w:ind w:left="841" w:right="0" w:firstLine="0"/>
        <w:jc w:val="left"/>
        <w:rPr>
          <w:sz w:val="21"/>
        </w:rPr>
      </w:pPr>
      <w:r>
        <w:rPr/>
        <w:pict>
          <v:line style="position:absolute;mso-position-horizontal-relative:page;mso-position-vertical-relative:paragraph;z-index:-726376" from="153.539993pt,2.906085pt" to="156.959993pt,2.906085pt" stroked="true" strokeweight="1.26pt" strokecolor="#000000">
            <w10:wrap type="none"/>
          </v:line>
        </w:pict>
      </w:r>
      <w:r>
        <w:rPr>
          <w:b/>
          <w:w w:val="103"/>
          <w:sz w:val="19"/>
        </w:rPr>
        <w:t>smce</w:t>
      </w:r>
      <w:r>
        <w:rPr>
          <w:b/>
          <w:spacing w:val="21"/>
          <w:sz w:val="19"/>
        </w:rPr>
        <w:t> </w:t>
      </w:r>
      <w:r>
        <w:rPr>
          <w:b/>
          <w:w w:val="108"/>
          <w:sz w:val="14"/>
        </w:rPr>
        <w:t>Os</w:t>
      </w:r>
      <w:r>
        <w:rPr>
          <w:b/>
          <w:sz w:val="14"/>
        </w:rPr>
        <w:t>  </w:t>
      </w:r>
      <w:r>
        <w:rPr>
          <w:b/>
          <w:spacing w:val="-13"/>
          <w:sz w:val="14"/>
        </w:rPr>
        <w:t> </w:t>
      </w:r>
      <w:r>
        <w:rPr>
          <w:b/>
          <w:w w:val="175"/>
          <w:sz w:val="14"/>
        </w:rPr>
        <w:t>=</w:t>
      </w:r>
      <w:r>
        <w:rPr>
          <w:b/>
          <w:sz w:val="14"/>
        </w:rPr>
        <w:tab/>
      </w:r>
      <w:r>
        <w:rPr>
          <w:b/>
          <w:i/>
          <w:w w:val="88"/>
          <w:sz w:val="21"/>
        </w:rPr>
        <w:t>d</w:t>
      </w:r>
      <w:r>
        <w:rPr>
          <w:b/>
          <w:i/>
          <w:sz w:val="21"/>
        </w:rPr>
        <w:tab/>
      </w:r>
      <w:r>
        <w:rPr>
          <w:w w:val="108"/>
          <w:position w:val="3"/>
          <w:sz w:val="20"/>
        </w:rPr>
        <w:t>and</w:t>
      </w:r>
      <w:r>
        <w:rPr>
          <w:position w:val="3"/>
          <w:sz w:val="20"/>
        </w:rPr>
        <w:tab/>
      </w:r>
      <w:r>
        <w:rPr>
          <w:b/>
          <w:w w:val="79"/>
          <w:sz w:val="17"/>
        </w:rPr>
        <w:t>&lt;iz+c</w:t>
      </w:r>
      <w:r>
        <w:rPr>
          <w:b/>
          <w:sz w:val="17"/>
        </w:rPr>
        <w:t>  </w:t>
      </w:r>
      <w:r>
        <w:rPr>
          <w:b/>
          <w:spacing w:val="-9"/>
          <w:sz w:val="17"/>
        </w:rPr>
        <w:t> </w:t>
      </w:r>
      <w:r>
        <w:rPr>
          <w:w w:val="100"/>
          <w:sz w:val="24"/>
        </w:rPr>
        <w:t>=</w:t>
      </w:r>
      <w:r>
        <w:rPr>
          <w:spacing w:val="-4"/>
          <w:sz w:val="24"/>
        </w:rPr>
        <w:t> </w:t>
      </w:r>
      <w:r>
        <w:rPr>
          <w:b/>
          <w:i/>
          <w:spacing w:val="-139"/>
          <w:w w:val="306"/>
          <w:sz w:val="21"/>
        </w:rPr>
        <w:t>-</w:t>
      </w:r>
      <w:r>
        <w:rPr>
          <w:b/>
          <w:i/>
          <w:spacing w:val="-185"/>
          <w:w w:val="306"/>
          <w:sz w:val="21"/>
        </w:rPr>
        <w:t>-</w:t>
      </w:r>
      <w:r>
        <w:rPr>
          <w:b/>
          <w:i/>
          <w:w w:val="183"/>
          <w:sz w:val="21"/>
        </w:rPr>
        <w:t>d--</w:t>
      </w:r>
      <w:r>
        <w:rPr>
          <w:b/>
          <w:i/>
          <w:spacing w:val="8"/>
          <w:sz w:val="21"/>
        </w:rPr>
        <w:t> </w:t>
      </w:r>
      <w:r>
        <w:rPr>
          <w:w w:val="67"/>
          <w:sz w:val="21"/>
        </w:rPr>
        <w:t>•</w:t>
      </w:r>
    </w:p>
    <w:p>
      <w:pPr>
        <w:pStyle w:val="BodyText"/>
        <w:spacing w:before="2"/>
        <w:rPr>
          <w:sz w:val="12"/>
        </w:rPr>
      </w:pPr>
    </w:p>
    <w:p>
      <w:pPr>
        <w:spacing w:after="0"/>
        <w:rPr>
          <w:sz w:val="12"/>
        </w:rPr>
        <w:sectPr>
          <w:type w:val="continuous"/>
          <w:pgSz w:w="7200" w:h="11340"/>
          <w:pgMar w:top="1100" w:bottom="0" w:left="660" w:right="540"/>
        </w:sectPr>
      </w:pPr>
    </w:p>
    <w:p>
      <w:pPr>
        <w:pStyle w:val="BodyText"/>
        <w:spacing w:before="75"/>
        <w:ind w:left="319"/>
      </w:pPr>
      <w:r>
        <w:rPr/>
        <w:pict>
          <v:shape style="position:absolute;margin-left:87.839996pt;margin-top:14.293224pt;width:194pt;height:25pt;mso-position-horizontal-relative:page;mso-position-vertical-relative:paragraph;z-index:-726280" type="#_x0000_t202" filled="false" stroked="false">
            <v:textbox inset="0,0,0,0">
              <w:txbxContent>
                <w:p>
                  <w:pPr>
                    <w:tabs>
                      <w:tab w:pos="539" w:val="left" w:leader="none"/>
                      <w:tab w:pos="1249" w:val="left" w:leader="none"/>
                      <w:tab w:pos="1598" w:val="left" w:leader="none"/>
                      <w:tab w:pos="2242" w:val="left" w:leader="none"/>
                      <w:tab w:pos="2627" w:val="left" w:leader="none"/>
                      <w:tab w:pos="3160" w:val="left" w:leader="none"/>
                    </w:tabs>
                    <w:spacing w:line="500" w:lineRule="exact" w:before="0"/>
                    <w:ind w:left="0" w:right="0" w:firstLine="0"/>
                    <w:jc w:val="left"/>
                    <w:rPr>
                      <w:b/>
                      <w:i/>
                      <w:sz w:val="18"/>
                    </w:rPr>
                  </w:pPr>
                  <w:r>
                    <w:rPr>
                      <w:rFonts w:ascii="Arial" w:hAnsi="Arial"/>
                      <w:i/>
                      <w:position w:val="-5"/>
                      <w:sz w:val="20"/>
                    </w:rPr>
                    <w:t>V</w:t>
                    <w:tab/>
                    <w:t>A</w:t>
                    <w:tab/>
                    <w:t>P</w:t>
                    <w:tab/>
                  </w:r>
                  <w:r>
                    <w:rPr>
                      <w:rFonts w:ascii="Arial" w:hAnsi="Arial"/>
                      <w:spacing w:val="-15"/>
                      <w:sz w:val="20"/>
                    </w:rPr>
                    <w:t>..</w:t>
                    <w:tab/>
                  </w:r>
                  <w:r>
                    <w:rPr>
                      <w:rFonts w:ascii="Arial" w:hAnsi="Arial"/>
                      <w:b/>
                      <w:i/>
                      <w:sz w:val="10"/>
                    </w:rPr>
                    <w:t>A</w:t>
                    <w:tab/>
                  </w:r>
                  <w:r>
                    <w:rPr>
                      <w:rFonts w:ascii="Arial" w:hAnsi="Arial"/>
                      <w:b/>
                      <w:sz w:val="49"/>
                    </w:rPr>
                    <w:t>(l</w:t>
                    <w:tab/>
                  </w:r>
                  <w:r>
                    <w:rPr>
                      <w:b/>
                      <w:i/>
                      <w:sz w:val="18"/>
                    </w:rPr>
                    <w:t>Pz</w:t>
                  </w:r>
                  <w:r>
                    <w:rPr>
                      <w:b/>
                      <w:i/>
                      <w:spacing w:val="-4"/>
                      <w:sz w:val="18"/>
                    </w:rPr>
                    <w:t> </w:t>
                  </w:r>
                  <w:r>
                    <w:rPr>
                      <w:b/>
                      <w:i/>
                      <w:sz w:val="18"/>
                    </w:rPr>
                    <w:t>·</w:t>
                  </w:r>
                  <w:r>
                    <w:rPr>
                      <w:b/>
                      <w:i/>
                      <w:spacing w:val="-23"/>
                      <w:sz w:val="18"/>
                    </w:rPr>
                    <w:t> </w:t>
                  </w:r>
                  <w:r>
                    <w:rPr>
                      <w:b/>
                      <w:i/>
                      <w:sz w:val="18"/>
                    </w:rPr>
                    <w:t>dz+I</w:t>
                  </w:r>
                  <w:r>
                    <w:rPr>
                      <w:b/>
                      <w:i/>
                      <w:spacing w:val="-24"/>
                      <w:sz w:val="18"/>
                    </w:rPr>
                    <w:t> </w:t>
                  </w:r>
                  <w:r>
                    <w:rPr>
                      <w:b/>
                      <w:i/>
                      <w:w w:val="125"/>
                      <w:sz w:val="18"/>
                    </w:rPr>
                    <w:t>)</w:t>
                  </w:r>
                </w:p>
              </w:txbxContent>
            </v:textbox>
            <w10:wrap type="none"/>
          </v:shape>
        </w:pict>
      </w:r>
      <w:r>
        <w:rPr>
          <w:w w:val="105"/>
        </w:rPr>
        <w:t>The  following  development  yields other relations:</w:t>
      </w:r>
    </w:p>
    <w:p>
      <w:pPr>
        <w:pStyle w:val="BodyText"/>
        <w:spacing w:before="1"/>
        <w:rPr>
          <w:sz w:val="22"/>
        </w:rPr>
      </w:pPr>
    </w:p>
    <w:p>
      <w:pPr>
        <w:tabs>
          <w:tab w:pos="1538" w:val="left" w:leader="none"/>
          <w:tab w:pos="3774" w:val="left" w:leader="none"/>
        </w:tabs>
        <w:spacing w:before="0"/>
        <w:ind w:left="772" w:right="0" w:firstLine="0"/>
        <w:jc w:val="center"/>
        <w:rPr>
          <w:b/>
          <w:i/>
          <w:sz w:val="16"/>
        </w:rPr>
      </w:pPr>
      <w:r>
        <w:rPr/>
        <w:pict>
          <v:shape style="position:absolute;margin-left:137.520004pt;margin-top:20.426271pt;width:51.25pt;height:25pt;mso-position-horizontal-relative:page;mso-position-vertical-relative:paragraph;z-index:-726304" type="#_x0000_t202" filled="false" stroked="false">
            <v:textbox inset="0,0,0,0">
              <w:txbxContent>
                <w:p>
                  <w:pPr>
                    <w:tabs>
                      <w:tab w:pos="899" w:val="left" w:leader="none"/>
                    </w:tabs>
                    <w:spacing w:line="500" w:lineRule="exact" w:before="0"/>
                    <w:ind w:left="0" w:right="0" w:firstLine="0"/>
                    <w:jc w:val="left"/>
                    <w:rPr>
                      <w:sz w:val="50"/>
                    </w:rPr>
                  </w:pPr>
                  <w:r>
                    <w:rPr>
                      <w:spacing w:val="3"/>
                      <w:w w:val="85"/>
                      <w:sz w:val="50"/>
                    </w:rPr>
                    <w:t>(1</w:t>
                  </w:r>
                  <w:r>
                    <w:rPr>
                      <w:spacing w:val="-71"/>
                      <w:w w:val="85"/>
                      <w:sz w:val="50"/>
                    </w:rPr>
                    <w:t> </w:t>
                  </w:r>
                  <w:r>
                    <w:rPr>
                      <w:sz w:val="50"/>
                    </w:rPr>
                    <w:t>-</w:t>
                    <w:tab/>
                  </w:r>
                  <w:r>
                    <w:rPr>
                      <w:w w:val="75"/>
                      <w:sz w:val="50"/>
                    </w:rPr>
                    <w:t>)</w:t>
                  </w:r>
                </w:p>
              </w:txbxContent>
            </v:textbox>
            <w10:wrap type="none"/>
          </v:shape>
        </w:pict>
      </w:r>
      <w:r>
        <w:rPr>
          <w:i/>
          <w:w w:val="95"/>
          <w:sz w:val="12"/>
        </w:rPr>
        <w:t>I    </w:t>
      </w:r>
      <w:r>
        <w:rPr>
          <w:i/>
          <w:spacing w:val="19"/>
          <w:w w:val="95"/>
          <w:sz w:val="12"/>
        </w:rPr>
        <w:t> </w:t>
      </w:r>
      <w:r>
        <w:rPr>
          <w:b/>
          <w:w w:val="125"/>
          <w:sz w:val="13"/>
        </w:rPr>
        <w:t>z </w:t>
      </w:r>
      <w:r>
        <w:rPr>
          <w:b/>
          <w:spacing w:val="9"/>
          <w:w w:val="125"/>
          <w:sz w:val="13"/>
        </w:rPr>
        <w:t> </w:t>
      </w:r>
      <w:r>
        <w:rPr>
          <w:w w:val="125"/>
          <w:sz w:val="24"/>
        </w:rPr>
        <w:t>=</w:t>
        <w:tab/>
      </w:r>
      <w:r>
        <w:rPr>
          <w:b/>
          <w:i/>
          <w:w w:val="95"/>
          <w:sz w:val="18"/>
        </w:rPr>
        <w:t>z+t  </w:t>
      </w:r>
      <w:r>
        <w:rPr>
          <w:w w:val="285"/>
          <w:sz w:val="18"/>
        </w:rPr>
        <w:t>- </w:t>
      </w:r>
      <w:r>
        <w:rPr>
          <w:b/>
          <w:i/>
          <w:w w:val="125"/>
          <w:sz w:val="18"/>
        </w:rPr>
        <w:t>z· </w:t>
      </w:r>
      <w:r>
        <w:rPr>
          <w:b/>
          <w:i/>
          <w:w w:val="95"/>
          <w:sz w:val="18"/>
        </w:rPr>
        <w:t>a.z+I</w:t>
      </w:r>
      <w:r>
        <w:rPr>
          <w:b/>
          <w:i/>
          <w:spacing w:val="30"/>
          <w:w w:val="95"/>
          <w:sz w:val="18"/>
        </w:rPr>
        <w:t> </w:t>
      </w:r>
      <w:r>
        <w:rPr>
          <w:w w:val="95"/>
          <w:sz w:val="24"/>
        </w:rPr>
        <w:t>=</w:t>
      </w:r>
      <w:r>
        <w:rPr>
          <w:spacing w:val="7"/>
          <w:w w:val="95"/>
          <w:sz w:val="24"/>
        </w:rPr>
        <w:t> </w:t>
      </w:r>
      <w:r>
        <w:rPr>
          <w:b/>
          <w:i/>
          <w:spacing w:val="-3"/>
          <w:w w:val="95"/>
          <w:sz w:val="24"/>
        </w:rPr>
        <w:t>..</w:t>
      </w:r>
      <w:r>
        <w:rPr>
          <w:b/>
          <w:i/>
          <w:spacing w:val="-3"/>
          <w:w w:val="95"/>
          <w:sz w:val="18"/>
        </w:rPr>
        <w:t>'1.z+t</w:t>
        <w:tab/>
      </w:r>
      <w:r>
        <w:rPr>
          <w:w w:val="285"/>
          <w:sz w:val="18"/>
        </w:rPr>
        <w:t>-</w:t>
      </w:r>
      <w:r>
        <w:rPr>
          <w:spacing w:val="16"/>
          <w:w w:val="285"/>
          <w:sz w:val="18"/>
        </w:rPr>
        <w:t> </w:t>
      </w:r>
      <w:r>
        <w:rPr>
          <w:b/>
          <w:i/>
          <w:w w:val="125"/>
          <w:sz w:val="16"/>
        </w:rPr>
        <w:t>Az+t</w:t>
      </w:r>
    </w:p>
    <w:p>
      <w:pPr>
        <w:pStyle w:val="BodyText"/>
        <w:spacing w:line="76" w:lineRule="exact"/>
        <w:ind w:left="4342"/>
        <w:rPr>
          <w:sz w:val="7"/>
        </w:rPr>
      </w:pPr>
      <w:r>
        <w:rPr>
          <w:position w:val="-1"/>
          <w:sz w:val="7"/>
        </w:rPr>
        <w:pict>
          <v:group style="width:22.2pt;height:3.8pt;mso-position-horizontal-relative:char;mso-position-vertical-relative:line" coordorigin="0,0" coordsize="444,76">
            <v:line style="position:absolute" from="38,38" to="405,38" stroked="true" strokeweight="3.78pt" strokecolor="#000000"/>
          </v:group>
        </w:pict>
      </w:r>
      <w:r>
        <w:rPr>
          <w:position w:val="-1"/>
          <w:sz w:val="7"/>
        </w:rPr>
      </w:r>
    </w:p>
    <w:p>
      <w:pPr>
        <w:pStyle w:val="BodyText"/>
        <w:spacing w:before="7"/>
        <w:rPr>
          <w:b/>
          <w:i/>
          <w:sz w:val="19"/>
        </w:rPr>
      </w:pPr>
    </w:p>
    <w:p>
      <w:pPr>
        <w:spacing w:line="239" w:lineRule="exact" w:before="0"/>
        <w:ind w:left="1410" w:right="0" w:firstLine="0"/>
        <w:jc w:val="left"/>
        <w:rPr>
          <w:i/>
          <w:sz w:val="18"/>
        </w:rPr>
      </w:pPr>
      <w:r>
        <w:rPr>
          <w:sz w:val="25"/>
        </w:rPr>
        <w:t>= </w:t>
      </w:r>
      <w:r>
        <w:rPr>
          <w:i/>
          <w:sz w:val="18"/>
        </w:rPr>
        <w:t>Az+i</w:t>
      </w:r>
    </w:p>
    <w:p>
      <w:pPr>
        <w:spacing w:line="159" w:lineRule="exact" w:before="0"/>
        <w:ind w:left="598" w:right="0" w:firstLine="0"/>
        <w:jc w:val="center"/>
        <w:rPr>
          <w:b/>
          <w:i/>
          <w:sz w:val="18"/>
        </w:rPr>
      </w:pPr>
      <w:r>
        <w:rPr>
          <w:b/>
          <w:i/>
          <w:sz w:val="18"/>
        </w:rPr>
        <w:t>Pz+i</w:t>
      </w:r>
    </w:p>
    <w:p>
      <w:pPr>
        <w:spacing w:before="82"/>
        <w:ind w:left="1420" w:right="0" w:firstLine="0"/>
        <w:jc w:val="left"/>
        <w:rPr>
          <w:b/>
          <w:i/>
          <w:sz w:val="18"/>
        </w:rPr>
      </w:pPr>
      <w:r>
        <w:rPr>
          <w:w w:val="125"/>
          <w:sz w:val="24"/>
        </w:rPr>
        <w:t>= </w:t>
      </w:r>
      <w:r>
        <w:rPr>
          <w:b/>
          <w:i/>
          <w:sz w:val="18"/>
        </w:rPr>
        <w:t>( Pz+I </w:t>
      </w:r>
      <w:r>
        <w:rPr>
          <w:w w:val="280"/>
          <w:sz w:val="18"/>
        </w:rPr>
        <w:t>-</w:t>
      </w:r>
      <w:r>
        <w:rPr>
          <w:spacing w:val="-100"/>
          <w:w w:val="280"/>
          <w:sz w:val="18"/>
        </w:rPr>
        <w:t> </w:t>
      </w:r>
      <w:r>
        <w:rPr>
          <w:b/>
          <w:i/>
          <w:sz w:val="18"/>
        </w:rPr>
        <w:t>P.i: )iiz+I</w:t>
      </w:r>
    </w:p>
    <w:p>
      <w:pPr>
        <w:spacing w:line="214" w:lineRule="exact" w:before="102"/>
        <w:ind w:left="1417" w:right="0" w:firstLine="0"/>
        <w:jc w:val="left"/>
        <w:rPr>
          <w:i/>
          <w:sz w:val="22"/>
        </w:rPr>
      </w:pPr>
      <w:r>
        <w:rPr/>
        <w:pict>
          <v:line style="position:absolute;mso-position-horizontal-relative:page;mso-position-vertical-relative:paragraph;z-index:-726352" from="122.040001pt,15.729539pt" to="125.280001pt,15.729539pt" stroked="true" strokeweight=".72pt" strokecolor="#000000">
            <w10:wrap type="none"/>
          </v:line>
        </w:pict>
      </w:r>
      <w:r>
        <w:rPr>
          <w:sz w:val="22"/>
        </w:rPr>
        <w:t>_ </w:t>
      </w:r>
      <w:r>
        <w:rPr>
          <w:i/>
          <w:sz w:val="22"/>
        </w:rPr>
        <w:t>Pz+, </w:t>
      </w:r>
      <w:r>
        <w:rPr>
          <w:w w:val="235"/>
          <w:sz w:val="22"/>
        </w:rPr>
        <w:t>- </w:t>
      </w:r>
      <w:r>
        <w:rPr>
          <w:i/>
          <w:sz w:val="22"/>
        </w:rPr>
        <w:t>Ps</w:t>
      </w:r>
    </w:p>
    <w:p>
      <w:pPr>
        <w:spacing w:line="283" w:lineRule="exact" w:before="0"/>
        <w:ind w:left="1417" w:right="0" w:firstLine="0"/>
        <w:jc w:val="left"/>
        <w:rPr>
          <w:i/>
          <w:sz w:val="28"/>
        </w:rPr>
      </w:pPr>
      <w:r>
        <w:rPr>
          <w:w w:val="280"/>
          <w:sz w:val="16"/>
        </w:rPr>
        <w:t>- </w:t>
      </w:r>
      <w:r>
        <w:rPr>
          <w:i/>
          <w:w w:val="120"/>
          <w:sz w:val="16"/>
        </w:rPr>
        <w:t>Pz+t </w:t>
      </w:r>
      <w:r>
        <w:rPr>
          <w:i/>
          <w:w w:val="120"/>
          <w:sz w:val="28"/>
        </w:rPr>
        <w:t>+ </w:t>
      </w:r>
      <w:r>
        <w:rPr>
          <w:i/>
          <w:w w:val="95"/>
          <w:sz w:val="28"/>
        </w:rPr>
        <w:t>d </w:t>
      </w:r>
      <w:r>
        <w:rPr>
          <w:i/>
          <w:w w:val="120"/>
          <w:sz w:val="28"/>
        </w:rPr>
        <w:t>.</w:t>
      </w:r>
    </w:p>
    <w:p>
      <w:pPr>
        <w:pStyle w:val="BodyText"/>
        <w:rPr>
          <w:i/>
        </w:rPr>
      </w:pPr>
      <w:r>
        <w:rPr/>
        <w:br w:type="column"/>
      </w:r>
      <w:r>
        <w:rPr>
          <w:i/>
        </w:rPr>
      </w:r>
    </w:p>
    <w:p>
      <w:pPr>
        <w:pStyle w:val="BodyText"/>
        <w:rPr>
          <w:i/>
        </w:rPr>
      </w:pPr>
    </w:p>
    <w:p>
      <w:pPr>
        <w:pStyle w:val="BodyText"/>
        <w:rPr>
          <w:i/>
        </w:rPr>
      </w:pPr>
    </w:p>
    <w:p>
      <w:pPr>
        <w:pStyle w:val="BodyText"/>
        <w:rPr>
          <w:i/>
        </w:rPr>
      </w:pPr>
    </w:p>
    <w:p>
      <w:pPr>
        <w:pStyle w:val="BodyText"/>
        <w:rPr>
          <w:i/>
          <w:sz w:val="21"/>
        </w:rPr>
      </w:pPr>
    </w:p>
    <w:p>
      <w:pPr>
        <w:pStyle w:val="BodyText"/>
        <w:ind w:left="373" w:right="75"/>
        <w:jc w:val="center"/>
      </w:pPr>
      <w:r>
        <w:rPr>
          <w:w w:val="125"/>
        </w:rPr>
        <w:t>(5.9)</w:t>
      </w:r>
    </w:p>
    <w:p>
      <w:pPr>
        <w:pStyle w:val="BodyText"/>
        <w:spacing w:before="10"/>
        <w:rPr>
          <w:sz w:val="21"/>
        </w:rPr>
      </w:pPr>
    </w:p>
    <w:p>
      <w:pPr>
        <w:pStyle w:val="BodyText"/>
        <w:spacing w:before="1"/>
        <w:ind w:left="268" w:right="75"/>
        <w:jc w:val="center"/>
      </w:pPr>
      <w:r>
        <w:rPr>
          <w:w w:val="115"/>
        </w:rPr>
        <w:t>(5.10)</w:t>
      </w:r>
    </w:p>
    <w:p>
      <w:pPr>
        <w:pStyle w:val="BodyText"/>
        <w:spacing w:before="10"/>
        <w:rPr>
          <w:sz w:val="21"/>
        </w:rPr>
      </w:pPr>
    </w:p>
    <w:p>
      <w:pPr>
        <w:pStyle w:val="BodyText"/>
        <w:spacing w:before="1"/>
        <w:ind w:left="268" w:right="75"/>
        <w:jc w:val="center"/>
      </w:pPr>
      <w:r>
        <w:rPr>
          <w:w w:val="110"/>
        </w:rPr>
        <w:t>(5.11)</w:t>
      </w:r>
    </w:p>
    <w:p>
      <w:pPr>
        <w:spacing w:after="0"/>
        <w:jc w:val="center"/>
        <w:sectPr>
          <w:type w:val="continuous"/>
          <w:pgSz w:w="7200" w:h="11340"/>
          <w:pgMar w:top="1100" w:bottom="0" w:left="660" w:right="540"/>
          <w:cols w:num="2" w:equalWidth="0">
            <w:col w:w="4977" w:space="56"/>
            <w:col w:w="967"/>
          </w:cols>
        </w:sectPr>
      </w:pPr>
    </w:p>
    <w:p>
      <w:pPr>
        <w:pStyle w:val="BodyText"/>
        <w:spacing w:line="247" w:lineRule="auto" w:before="120"/>
        <w:ind w:left="128" w:right="117" w:hanging="4"/>
        <w:jc w:val="both"/>
      </w:pPr>
      <w:r>
        <w:rPr>
          <w:w w:val="105"/>
        </w:rPr>
        <w:t>With suitable modifications, corresponding formulas also hold for endowment insurance (see Exercise  8).</w:t>
      </w:r>
    </w:p>
    <w:p>
      <w:pPr>
        <w:pStyle w:val="BodyText"/>
        <w:spacing w:line="232" w:lineRule="auto" w:before="10"/>
        <w:ind w:left="124" w:right="120" w:firstLine="198"/>
        <w:jc w:val="both"/>
      </w:pPr>
      <w:r>
        <w:rPr>
          <w:w w:val="105"/>
        </w:rPr>
        <w:t>Verbal interpretations may be given for all these formulas. Formula (5.5) </w:t>
      </w:r>
      <w:r>
        <w:rPr>
          <w:w w:val="105"/>
          <w:sz w:val="19"/>
        </w:rPr>
        <w:t>is </w:t>
      </w:r>
      <w:r>
        <w:rPr>
          <w:w w:val="105"/>
        </w:rPr>
        <w:t>analogous </w:t>
      </w:r>
      <w:r>
        <w:rPr>
          <w:w w:val="105"/>
          <w:sz w:val="21"/>
        </w:rPr>
        <w:t>to </w:t>
      </w:r>
      <w:r>
        <w:rPr>
          <w:w w:val="105"/>
        </w:rPr>
        <w:t>the formula </w:t>
      </w:r>
      <w:r>
        <w:rPr>
          <w:i/>
          <w:w w:val="105"/>
          <w:sz w:val="18"/>
        </w:rPr>
        <w:t>Az </w:t>
      </w:r>
      <w:r>
        <w:rPr>
          <w:w w:val="105"/>
          <w:sz w:val="24"/>
        </w:rPr>
        <w:t>= </w:t>
      </w:r>
      <w:r>
        <w:rPr>
          <w:w w:val="105"/>
        </w:rPr>
        <w:t>1 </w:t>
      </w:r>
      <w:r>
        <w:rPr>
          <w:w w:val="240"/>
        </w:rPr>
        <w:t>- </w:t>
      </w:r>
      <w:r>
        <w:rPr>
          <w:i/>
          <w:w w:val="105"/>
          <w:sz w:val="18"/>
        </w:rPr>
        <w:t>dii,z </w:t>
      </w:r>
      <w:r>
        <w:rPr>
          <w:w w:val="105"/>
          <w:sz w:val="18"/>
        </w:rPr>
        <w:t>, </w:t>
      </w:r>
      <w:r>
        <w:rPr>
          <w:w w:val="105"/>
        </w:rPr>
        <w:t>for ex­ ample, and may be explained by a similar argument. </w:t>
      </w:r>
      <w:r>
        <w:rPr>
          <w:w w:val="105"/>
          <w:sz w:val="21"/>
        </w:rPr>
        <w:t>If </w:t>
      </w:r>
      <w:r>
        <w:rPr>
          <w:w w:val="105"/>
        </w:rPr>
        <w:t>the death bencfit  were  payable  now,  its value  would  be  </w:t>
      </w:r>
      <w:r>
        <w:rPr>
          <w:w w:val="130"/>
          <w:sz w:val="19"/>
        </w:rPr>
        <w:t>l. </w:t>
      </w:r>
      <w:r>
        <w:rPr>
          <w:w w:val="105"/>
        </w:rPr>
        <w:t>Since this  pay­</w:t>
      </w:r>
    </w:p>
    <w:p>
      <w:pPr>
        <w:pStyle w:val="BodyText"/>
        <w:spacing w:line="249" w:lineRule="auto" w:before="11"/>
        <w:ind w:left="124" w:right="128" w:firstLine="3"/>
        <w:jc w:val="both"/>
      </w:pPr>
      <w:r>
        <w:rPr>
          <w:w w:val="105"/>
        </w:rPr>
        <w:t>ment </w:t>
      </w:r>
      <w:r>
        <w:rPr>
          <w:rFonts w:ascii="Arial"/>
          <w:w w:val="105"/>
        </w:rPr>
        <w:t>is </w:t>
      </w:r>
      <w:r>
        <w:rPr>
          <w:w w:val="105"/>
        </w:rPr>
        <w:t>deferred to the end of the year of death and is contingent upon the payment of premiums for each year that the  insured  enters upon, the present valuc of the interest and of the future premiums must  be deducted. </w:t>
      </w:r>
      <w:r>
        <w:rPr>
          <w:spacing w:val="3"/>
          <w:w w:val="105"/>
        </w:rPr>
        <w:t> </w:t>
      </w:r>
      <w:r>
        <w:rPr>
          <w:w w:val="105"/>
        </w:rPr>
        <w:t>Thus,</w:t>
      </w:r>
    </w:p>
    <w:p>
      <w:pPr>
        <w:spacing w:before="67"/>
        <w:ind w:left="1856" w:right="0" w:firstLine="0"/>
        <w:jc w:val="left"/>
        <w:rPr>
          <w:b/>
          <w:sz w:val="20"/>
        </w:rPr>
      </w:pPr>
      <w:r>
        <w:rPr>
          <w:b/>
          <w:i/>
          <w:sz w:val="22"/>
        </w:rPr>
        <w:t>,Vz </w:t>
      </w:r>
      <w:r>
        <w:rPr>
          <w:sz w:val="26"/>
        </w:rPr>
        <w:t>= </w:t>
      </w:r>
      <w:r>
        <w:rPr>
          <w:b/>
          <w:sz w:val="20"/>
        </w:rPr>
        <w:t>1 </w:t>
      </w:r>
      <w:r>
        <w:rPr>
          <w:w w:val="245"/>
          <w:sz w:val="20"/>
        </w:rPr>
        <w:t>- </w:t>
      </w:r>
      <w:r>
        <w:rPr>
          <w:b/>
          <w:i/>
          <w:sz w:val="18"/>
        </w:rPr>
        <w:t>( Pz </w:t>
      </w:r>
      <w:r>
        <w:rPr>
          <w:rFonts w:ascii="Arial"/>
          <w:sz w:val="31"/>
        </w:rPr>
        <w:t>+ </w:t>
      </w:r>
      <w:r>
        <w:rPr>
          <w:b/>
          <w:sz w:val="20"/>
        </w:rPr>
        <w:t>d)iiz+a .</w:t>
      </w:r>
    </w:p>
    <w:p>
      <w:pPr>
        <w:pStyle w:val="BodyText"/>
        <w:spacing w:line="249" w:lineRule="auto" w:before="93"/>
        <w:ind w:left="114" w:right="128" w:firstLine="198"/>
        <w:jc w:val="both"/>
      </w:pPr>
      <w:r>
        <w:rPr>
          <w:w w:val="105"/>
        </w:rPr>
        <w:t>As another example, formula (5.10) demonstrates that the re­ serve is equivalent to the present value of the difference between  the premium that the insured  should  pay  at bis  attained age for  the future benefits  and the premium  that he  is actually   </w:t>
      </w:r>
      <w:r>
        <w:rPr>
          <w:spacing w:val="3"/>
          <w:w w:val="105"/>
        </w:rPr>
        <w:t> </w:t>
      </w:r>
      <w:r>
        <w:rPr>
          <w:w w:val="105"/>
        </w:rPr>
        <w:t>paying.</w:t>
      </w:r>
    </w:p>
    <w:p>
      <w:pPr>
        <w:pStyle w:val="ListParagraph"/>
        <w:numPr>
          <w:ilvl w:val="0"/>
          <w:numId w:val="42"/>
        </w:numPr>
        <w:tabs>
          <w:tab w:pos="381" w:val="left" w:leader="none"/>
        </w:tabs>
        <w:spacing w:line="240" w:lineRule="auto" w:before="170" w:after="0"/>
        <w:ind w:left="380" w:right="0" w:hanging="266"/>
        <w:jc w:val="both"/>
        <w:rPr>
          <w:b/>
          <w:sz w:val="19"/>
        </w:rPr>
      </w:pPr>
      <w:r>
        <w:rPr>
          <w:b/>
          <w:w w:val="115"/>
          <w:sz w:val="19"/>
        </w:rPr>
        <w:t>Formulas  connecting  successive  terminal</w:t>
      </w:r>
      <w:r>
        <w:rPr>
          <w:b/>
          <w:spacing w:val="21"/>
          <w:w w:val="115"/>
          <w:sz w:val="19"/>
        </w:rPr>
        <w:t> </w:t>
      </w:r>
      <w:r>
        <w:rPr>
          <w:b/>
          <w:w w:val="115"/>
          <w:sz w:val="19"/>
        </w:rPr>
        <w:t>reserves</w:t>
      </w:r>
    </w:p>
    <w:p>
      <w:pPr>
        <w:pStyle w:val="BodyText"/>
        <w:spacing w:line="247" w:lineRule="auto" w:before="81"/>
        <w:ind w:left="114" w:right="147" w:firstLine="201"/>
        <w:jc w:val="both"/>
      </w:pPr>
      <w:r>
        <w:rPr>
          <w:w w:val="105"/>
        </w:rPr>
        <w:t>When the quantity </w:t>
      </w:r>
      <w:r>
        <w:rPr>
          <w:i/>
          <w:w w:val="105"/>
        </w:rPr>
        <w:t>P</w:t>
      </w:r>
      <w:r>
        <w:rPr>
          <w:w w:val="105"/>
          <w:sz w:val="13"/>
        </w:rPr>
        <w:t>z </w:t>
      </w:r>
      <w:r>
        <w:rPr>
          <w:w w:val="105"/>
        </w:rPr>
        <w:t>is added to hoth sides of the basic pro­ spective  equation   (5.1 ), we have</w:t>
      </w:r>
    </w:p>
    <w:p>
      <w:pPr>
        <w:pStyle w:val="BodyText"/>
        <w:spacing w:before="10"/>
        <w:rPr>
          <w:sz w:val="13"/>
        </w:rPr>
      </w:pPr>
      <w:r>
        <w:rPr/>
        <w:drawing>
          <wp:anchor distT="0" distB="0" distL="0" distR="0" allowOverlap="1" layoutInCell="1" locked="0" behindDoc="0" simplePos="0" relativeHeight="9664">
            <wp:simplePos x="0" y="0"/>
            <wp:positionH relativeFrom="page">
              <wp:posOffset>1453896</wp:posOffset>
            </wp:positionH>
            <wp:positionV relativeFrom="paragraph">
              <wp:posOffset>126043</wp:posOffset>
            </wp:positionV>
            <wp:extent cx="1645919" cy="118872"/>
            <wp:effectExtent l="0" t="0" r="0" b="0"/>
            <wp:wrapTopAndBottom/>
            <wp:docPr id="239" name="image124.png" descr=""/>
            <wp:cNvGraphicFramePr>
              <a:graphicFrameLocks noChangeAspect="1"/>
            </wp:cNvGraphicFramePr>
            <a:graphic>
              <a:graphicData uri="http://schemas.openxmlformats.org/drawingml/2006/picture">
                <pic:pic>
                  <pic:nvPicPr>
                    <pic:cNvPr id="240" name="image124.png"/>
                    <pic:cNvPicPr/>
                  </pic:nvPicPr>
                  <pic:blipFill>
                    <a:blip r:embed="rId128" cstate="print"/>
                    <a:stretch>
                      <a:fillRect/>
                    </a:stretch>
                  </pic:blipFill>
                  <pic:spPr>
                    <a:xfrm>
                      <a:off x="0" y="0"/>
                      <a:ext cx="1645919" cy="118872"/>
                    </a:xfrm>
                    <a:prstGeom prst="rect">
                      <a:avLst/>
                    </a:prstGeom>
                  </pic:spPr>
                </pic:pic>
              </a:graphicData>
            </a:graphic>
          </wp:anchor>
        </w:drawing>
      </w:r>
    </w:p>
    <w:p>
      <w:pPr>
        <w:spacing w:after="0"/>
        <w:rPr>
          <w:sz w:val="13"/>
        </w:rPr>
        <w:sectPr>
          <w:type w:val="continuous"/>
          <w:pgSz w:w="7200" w:h="11340"/>
          <w:pgMar w:top="1100" w:bottom="0" w:left="660" w:right="540"/>
        </w:sectPr>
      </w:pPr>
    </w:p>
    <w:p>
      <w:pPr>
        <w:tabs>
          <w:tab w:pos="1617" w:val="left" w:leader="none"/>
          <w:tab w:pos="5374" w:val="left" w:leader="none"/>
        </w:tabs>
        <w:spacing w:before="60"/>
        <w:ind w:left="150" w:right="0" w:firstLine="0"/>
        <w:jc w:val="left"/>
        <w:rPr>
          <w:rFonts w:ascii="Arial"/>
          <w:b/>
          <w:sz w:val="18"/>
        </w:rPr>
      </w:pPr>
      <w:r>
        <w:rPr>
          <w:b/>
          <w:color w:val="010101"/>
          <w:sz w:val="20"/>
        </w:rPr>
        <w:t>106</w:t>
        <w:tab/>
      </w:r>
      <w:r>
        <w:rPr>
          <w:b/>
          <w:color w:val="010101"/>
          <w:position w:val="1"/>
          <w:sz w:val="15"/>
        </w:rPr>
        <w:t>NET   LEVEL  </w:t>
      </w:r>
      <w:r>
        <w:rPr>
          <w:b/>
          <w:color w:val="010101"/>
          <w:spacing w:val="17"/>
          <w:position w:val="1"/>
          <w:sz w:val="15"/>
        </w:rPr>
        <w:t> </w:t>
      </w:r>
      <w:r>
        <w:rPr>
          <w:b/>
          <w:color w:val="010101"/>
          <w:position w:val="1"/>
          <w:sz w:val="15"/>
        </w:rPr>
        <w:t>PREMIUl\I  </w:t>
      </w:r>
      <w:r>
        <w:rPr>
          <w:b/>
          <w:color w:val="010101"/>
          <w:spacing w:val="12"/>
          <w:position w:val="1"/>
          <w:sz w:val="15"/>
        </w:rPr>
        <w:t> </w:t>
      </w:r>
      <w:r>
        <w:rPr>
          <w:b/>
          <w:color w:val="010101"/>
          <w:position w:val="1"/>
          <w:sz w:val="15"/>
        </w:rPr>
        <w:t>RESERVES</w:t>
        <w:tab/>
      </w:r>
      <w:r>
        <w:rPr>
          <w:rFonts w:ascii="Arial"/>
          <w:b/>
          <w:color w:val="010101"/>
          <w:w w:val="95"/>
          <w:position w:val="1"/>
          <w:sz w:val="19"/>
        </w:rPr>
        <w:t>[CH.</w:t>
      </w:r>
      <w:r>
        <w:rPr>
          <w:rFonts w:ascii="Arial"/>
          <w:b/>
          <w:color w:val="010101"/>
          <w:spacing w:val="-27"/>
          <w:w w:val="95"/>
          <w:position w:val="1"/>
          <w:sz w:val="19"/>
        </w:rPr>
        <w:t> </w:t>
      </w:r>
      <w:r>
        <w:rPr>
          <w:rFonts w:ascii="Arial"/>
          <w:b/>
          <w:color w:val="010101"/>
          <w:w w:val="95"/>
          <w:position w:val="1"/>
          <w:sz w:val="18"/>
        </w:rPr>
        <w:t>5</w:t>
      </w:r>
    </w:p>
    <w:p>
      <w:pPr>
        <w:pStyle w:val="BodyText"/>
        <w:spacing w:before="7"/>
        <w:rPr>
          <w:rFonts w:ascii="Arial"/>
          <w:b/>
        </w:rPr>
      </w:pPr>
    </w:p>
    <w:p>
      <w:pPr>
        <w:pStyle w:val="BodyText"/>
        <w:ind w:left="136" w:right="739"/>
      </w:pPr>
      <w:r>
        <w:rPr>
          <w:color w:val="010101"/>
          <w:w w:val="110"/>
        </w:rPr>
        <w:t>With the substitutions</w:t>
      </w:r>
    </w:p>
    <w:p>
      <w:pPr>
        <w:pStyle w:val="BodyText"/>
        <w:spacing w:before="9"/>
        <w:rPr>
          <w:sz w:val="9"/>
        </w:rPr>
      </w:pPr>
      <w:r>
        <w:rPr/>
        <w:drawing>
          <wp:anchor distT="0" distB="0" distL="0" distR="0" allowOverlap="1" layoutInCell="1" locked="0" behindDoc="0" simplePos="0" relativeHeight="9808">
            <wp:simplePos x="0" y="0"/>
            <wp:positionH relativeFrom="page">
              <wp:posOffset>1499616</wp:posOffset>
            </wp:positionH>
            <wp:positionV relativeFrom="paragraph">
              <wp:posOffset>96708</wp:posOffset>
            </wp:positionV>
            <wp:extent cx="1545336" cy="128015"/>
            <wp:effectExtent l="0" t="0" r="0" b="0"/>
            <wp:wrapTopAndBottom/>
            <wp:docPr id="241" name="image125.png" descr=""/>
            <wp:cNvGraphicFramePr>
              <a:graphicFrameLocks noChangeAspect="1"/>
            </wp:cNvGraphicFramePr>
            <a:graphic>
              <a:graphicData uri="http://schemas.openxmlformats.org/drawingml/2006/picture">
                <pic:pic>
                  <pic:nvPicPr>
                    <pic:cNvPr id="242" name="image125.png"/>
                    <pic:cNvPicPr/>
                  </pic:nvPicPr>
                  <pic:blipFill>
                    <a:blip r:embed="rId129" cstate="print"/>
                    <a:stretch>
                      <a:fillRect/>
                    </a:stretch>
                  </pic:blipFill>
                  <pic:spPr>
                    <a:xfrm>
                      <a:off x="0" y="0"/>
                      <a:ext cx="1545336" cy="128015"/>
                    </a:xfrm>
                    <a:prstGeom prst="rect">
                      <a:avLst/>
                    </a:prstGeom>
                  </pic:spPr>
                </pic:pic>
              </a:graphicData>
            </a:graphic>
          </wp:anchor>
        </w:drawing>
      </w:r>
    </w:p>
    <w:p>
      <w:pPr>
        <w:spacing w:after="0"/>
        <w:rPr>
          <w:sz w:val="9"/>
        </w:rPr>
        <w:sectPr>
          <w:pgSz w:w="7200" w:h="11340"/>
          <w:pgMar w:top="500" w:bottom="280" w:left="660" w:right="560"/>
        </w:sectPr>
      </w:pPr>
    </w:p>
    <w:p>
      <w:pPr>
        <w:pStyle w:val="BodyText"/>
        <w:tabs>
          <w:tab w:pos="2147" w:val="left" w:leader="none"/>
        </w:tabs>
        <w:spacing w:line="372" w:lineRule="auto" w:before="106"/>
        <w:ind w:left="132" w:right="1455" w:firstLine="3"/>
      </w:pPr>
      <w:r>
        <w:rPr>
          <w:color w:val="010101"/>
          <w:w w:val="105"/>
        </w:rPr>
        <w:t>and</w:t>
        <w:tab/>
      </w:r>
      <w:r>
        <w:rPr>
          <w:color w:val="010101"/>
          <w:position w:val="-3"/>
        </w:rPr>
        <w:drawing>
          <wp:inline distT="0" distB="0" distL="0" distR="0">
            <wp:extent cx="1078992" cy="118872"/>
            <wp:effectExtent l="0" t="0" r="0" b="0"/>
            <wp:docPr id="243" name="image126.png" descr=""/>
            <wp:cNvGraphicFramePr>
              <a:graphicFrameLocks noChangeAspect="1"/>
            </wp:cNvGraphicFramePr>
            <a:graphic>
              <a:graphicData uri="http://schemas.openxmlformats.org/drawingml/2006/picture">
                <pic:pic>
                  <pic:nvPicPr>
                    <pic:cNvPr id="244" name="image126.png"/>
                    <pic:cNvPicPr/>
                  </pic:nvPicPr>
                  <pic:blipFill>
                    <a:blip r:embed="rId130" cstate="print"/>
                    <a:stretch>
                      <a:fillRect/>
                    </a:stretch>
                  </pic:blipFill>
                  <pic:spPr>
                    <a:xfrm>
                      <a:off x="0" y="0"/>
                      <a:ext cx="1078992" cy="118872"/>
                    </a:xfrm>
                    <a:prstGeom prst="rect">
                      <a:avLst/>
                    </a:prstGeom>
                  </pic:spPr>
                </pic:pic>
              </a:graphicData>
            </a:graphic>
          </wp:inline>
        </w:drawing>
      </w:r>
      <w:r>
        <w:rPr>
          <w:color w:val="010101"/>
          <w:position w:val="-3"/>
        </w:rPr>
      </w:r>
      <w:r>
        <w:rPr>
          <w:color w:val="010101"/>
          <w:position w:val="-3"/>
        </w:rPr>
        <w:t>                           </w:t>
      </w:r>
      <w:r>
        <w:rPr>
          <w:color w:val="010101"/>
          <w:w w:val="105"/>
        </w:rPr>
        <w:t>this</w:t>
      </w:r>
      <w:r>
        <w:rPr>
          <w:color w:val="010101"/>
          <w:spacing w:val="-6"/>
          <w:w w:val="105"/>
        </w:rPr>
        <w:t> </w:t>
      </w:r>
      <w:r>
        <w:rPr>
          <w:color w:val="010101"/>
          <w:w w:val="105"/>
        </w:rPr>
        <w:t>becomes</w:t>
      </w:r>
    </w:p>
    <w:p>
      <w:pPr>
        <w:spacing w:line="275" w:lineRule="exact" w:before="0"/>
        <w:ind w:left="678" w:right="-14" w:firstLine="0"/>
        <w:jc w:val="left"/>
        <w:rPr>
          <w:rFonts w:ascii="Arial"/>
          <w:b/>
          <w:sz w:val="17"/>
        </w:rPr>
      </w:pPr>
      <w:r>
        <w:rPr>
          <w:rFonts w:ascii="Arial"/>
          <w:b/>
          <w:color w:val="010101"/>
          <w:w w:val="169"/>
          <w:sz w:val="17"/>
        </w:rPr>
        <w:t>,</w:t>
      </w:r>
      <w:r>
        <w:rPr>
          <w:rFonts w:ascii="Arial"/>
          <w:b/>
          <w:color w:val="010101"/>
          <w:spacing w:val="-31"/>
          <w:w w:val="169"/>
          <w:sz w:val="17"/>
        </w:rPr>
        <w:t>l</w:t>
      </w:r>
      <w:r>
        <w:rPr>
          <w:rFonts w:ascii="Arial"/>
          <w:b/>
          <w:color w:val="010101"/>
          <w:spacing w:val="-21"/>
          <w:w w:val="209"/>
          <w:sz w:val="17"/>
        </w:rPr>
        <w:t>'</w:t>
      </w:r>
      <w:r>
        <w:rPr>
          <w:rFonts w:ascii="Arial"/>
          <w:b/>
          <w:color w:val="010101"/>
          <w:w w:val="50"/>
          <w:sz w:val="17"/>
        </w:rPr>
        <w:t>:r</w:t>
      </w:r>
      <w:r>
        <w:rPr>
          <w:rFonts w:ascii="Arial"/>
          <w:b/>
          <w:color w:val="010101"/>
          <w:sz w:val="17"/>
        </w:rPr>
        <w:t> </w:t>
      </w:r>
      <w:r>
        <w:rPr>
          <w:rFonts w:ascii="Arial"/>
          <w:b/>
          <w:color w:val="010101"/>
          <w:spacing w:val="-10"/>
          <w:sz w:val="17"/>
        </w:rPr>
        <w:t> </w:t>
      </w:r>
      <w:r>
        <w:rPr>
          <w:rFonts w:ascii="Arial"/>
          <w:color w:val="010101"/>
          <w:w w:val="105"/>
          <w:sz w:val="31"/>
        </w:rPr>
        <w:t>+</w:t>
      </w:r>
      <w:r>
        <w:rPr>
          <w:rFonts w:ascii="Arial"/>
          <w:color w:val="010101"/>
          <w:spacing w:val="-27"/>
          <w:sz w:val="31"/>
        </w:rPr>
        <w:t> </w:t>
      </w:r>
      <w:r>
        <w:rPr>
          <w:rFonts w:ascii="Arial"/>
          <w:b/>
          <w:i/>
          <w:color w:val="010101"/>
          <w:w w:val="116"/>
          <w:sz w:val="20"/>
        </w:rPr>
        <w:t>J</w:t>
      </w:r>
      <w:r>
        <w:rPr>
          <w:rFonts w:ascii="Arial"/>
          <w:b/>
          <w:i/>
          <w:color w:val="010101"/>
          <w:w w:val="116"/>
          <w:sz w:val="20"/>
        </w:rPr>
        <w:t>\</w:t>
      </w:r>
      <w:r>
        <w:rPr>
          <w:rFonts w:ascii="Arial"/>
          <w:b/>
          <w:i/>
          <w:color w:val="010101"/>
          <w:sz w:val="20"/>
        </w:rPr>
        <w:t> </w:t>
      </w:r>
      <w:r>
        <w:rPr>
          <w:rFonts w:ascii="Arial"/>
          <w:b/>
          <w:i/>
          <w:color w:val="010101"/>
          <w:spacing w:val="-9"/>
          <w:sz w:val="20"/>
        </w:rPr>
        <w:t> </w:t>
      </w:r>
      <w:r>
        <w:rPr>
          <w:color w:val="010101"/>
          <w:w w:val="94"/>
          <w:sz w:val="24"/>
        </w:rPr>
        <w:t>=</w:t>
      </w:r>
      <w:r>
        <w:rPr>
          <w:color w:val="010101"/>
          <w:sz w:val="24"/>
        </w:rPr>
        <w:t> </w:t>
      </w:r>
      <w:r>
        <w:rPr>
          <w:color w:val="010101"/>
          <w:spacing w:val="17"/>
          <w:sz w:val="24"/>
        </w:rPr>
        <w:t> </w:t>
      </w:r>
      <w:r>
        <w:rPr>
          <w:rFonts w:ascii="Arial"/>
          <w:b/>
          <w:color w:val="010101"/>
          <w:w w:val="76"/>
          <w:sz w:val="17"/>
        </w:rPr>
        <w:t>(</w:t>
      </w:r>
      <w:r>
        <w:rPr>
          <w:rFonts w:ascii="Arial"/>
          <w:b/>
          <w:color w:val="010101"/>
          <w:w w:val="76"/>
          <w:sz w:val="17"/>
        </w:rPr>
        <w:t>t&gt;q:r+I</w:t>
      </w:r>
      <w:r>
        <w:rPr>
          <w:rFonts w:ascii="Arial"/>
          <w:b/>
          <w:color w:val="010101"/>
          <w:sz w:val="17"/>
        </w:rPr>
        <w:t> </w:t>
      </w:r>
      <w:r>
        <w:rPr>
          <w:rFonts w:ascii="Arial"/>
          <w:b/>
          <w:color w:val="010101"/>
          <w:spacing w:val="-4"/>
          <w:sz w:val="17"/>
        </w:rPr>
        <w:t> </w:t>
      </w:r>
      <w:r>
        <w:rPr>
          <w:rFonts w:ascii="Arial"/>
          <w:color w:val="010101"/>
          <w:w w:val="105"/>
          <w:sz w:val="31"/>
        </w:rPr>
        <w:t>+</w:t>
      </w:r>
      <w:r>
        <w:rPr>
          <w:rFonts w:ascii="Arial"/>
          <w:color w:val="010101"/>
          <w:spacing w:val="-34"/>
          <w:sz w:val="31"/>
        </w:rPr>
        <w:t> </w:t>
      </w:r>
      <w:r>
        <w:rPr>
          <w:rFonts w:ascii="Arial"/>
          <w:b/>
          <w:color w:val="010101"/>
          <w:w w:val="82"/>
          <w:sz w:val="17"/>
        </w:rPr>
        <w:t>VJJ.+1A:r+1+1</w:t>
      </w:r>
      <w:r>
        <w:rPr>
          <w:rFonts w:ascii="Arial"/>
          <w:b/>
          <w:color w:val="010101"/>
          <w:w w:val="82"/>
          <w:sz w:val="17"/>
        </w:rPr>
        <w:t>)</w:t>
      </w:r>
      <w:r>
        <w:rPr>
          <w:rFonts w:ascii="Arial"/>
          <w:b/>
          <w:color w:val="010101"/>
          <w:sz w:val="17"/>
        </w:rPr>
        <w:t>  </w:t>
      </w:r>
      <w:r>
        <w:rPr>
          <w:rFonts w:ascii="Arial"/>
          <w:b/>
          <w:color w:val="010101"/>
          <w:spacing w:val="-13"/>
          <w:sz w:val="17"/>
        </w:rPr>
        <w:t> </w:t>
      </w:r>
      <w:r>
        <w:rPr>
          <w:rFonts w:ascii="Arial"/>
          <w:color w:val="010101"/>
          <w:w w:val="292"/>
          <w:sz w:val="17"/>
        </w:rPr>
        <w:t>-</w:t>
      </w:r>
      <w:r>
        <w:rPr>
          <w:rFonts w:ascii="Arial"/>
          <w:color w:val="010101"/>
          <w:sz w:val="17"/>
        </w:rPr>
        <w:t> </w:t>
      </w:r>
      <w:r>
        <w:rPr>
          <w:rFonts w:ascii="Arial"/>
          <w:color w:val="010101"/>
          <w:spacing w:val="-24"/>
          <w:sz w:val="17"/>
        </w:rPr>
        <w:t> </w:t>
      </w:r>
      <w:r>
        <w:rPr>
          <w:rFonts w:ascii="Arial"/>
          <w:b/>
          <w:color w:val="010101"/>
          <w:spacing w:val="-19"/>
          <w:w w:val="139"/>
          <w:sz w:val="17"/>
        </w:rPr>
        <w:t>P</w:t>
      </w:r>
      <w:r>
        <w:rPr>
          <w:rFonts w:ascii="Arial"/>
          <w:b/>
          <w:color w:val="010101"/>
          <w:w w:val="53"/>
          <w:sz w:val="17"/>
        </w:rPr>
        <w:t>:r</w:t>
      </w:r>
      <w:r>
        <w:rPr>
          <w:rFonts w:ascii="Arial"/>
          <w:b/>
          <w:color w:val="010101"/>
          <w:spacing w:val="-14"/>
          <w:sz w:val="17"/>
        </w:rPr>
        <w:t> </w:t>
      </w:r>
      <w:r>
        <w:rPr>
          <w:rFonts w:ascii="Arial"/>
          <w:b/>
          <w:color w:val="010101"/>
          <w:w w:val="87"/>
          <w:sz w:val="17"/>
        </w:rPr>
        <w:t>(</w:t>
      </w:r>
      <w:r>
        <w:rPr>
          <w:rFonts w:ascii="Arial"/>
          <w:b/>
          <w:color w:val="010101"/>
          <w:w w:val="87"/>
          <w:sz w:val="17"/>
        </w:rPr>
        <w:t>V</w:t>
      </w:r>
      <w:r>
        <w:rPr>
          <w:rFonts w:ascii="Arial"/>
          <w:b/>
          <w:color w:val="010101"/>
          <w:spacing w:val="-6"/>
          <w:w w:val="87"/>
          <w:sz w:val="17"/>
        </w:rPr>
        <w:t>P</w:t>
      </w:r>
      <w:r>
        <w:rPr>
          <w:rFonts w:ascii="Arial"/>
          <w:b/>
          <w:color w:val="010101"/>
          <w:w w:val="81"/>
          <w:sz w:val="17"/>
        </w:rPr>
        <w:t>:r+1&lt;iz+1+1</w:t>
      </w:r>
      <w:r>
        <w:rPr>
          <w:rFonts w:ascii="Arial"/>
          <w:b/>
          <w:color w:val="010101"/>
          <w:w w:val="81"/>
          <w:sz w:val="17"/>
        </w:rPr>
        <w:t>)</w:t>
      </w:r>
    </w:p>
    <w:p>
      <w:pPr>
        <w:spacing w:before="3"/>
        <w:ind w:left="1557" w:right="-14" w:firstLine="0"/>
        <w:jc w:val="left"/>
        <w:rPr>
          <w:sz w:val="20"/>
        </w:rPr>
      </w:pPr>
      <w:r>
        <w:rPr/>
        <w:drawing>
          <wp:anchor distT="0" distB="0" distL="0" distR="0" allowOverlap="1" layoutInCell="1" locked="0" behindDoc="0" simplePos="0" relativeHeight="9832">
            <wp:simplePos x="0" y="0"/>
            <wp:positionH relativeFrom="page">
              <wp:posOffset>493776</wp:posOffset>
            </wp:positionH>
            <wp:positionV relativeFrom="paragraph">
              <wp:posOffset>295818</wp:posOffset>
            </wp:positionV>
            <wp:extent cx="2249424" cy="137160"/>
            <wp:effectExtent l="0" t="0" r="0" b="0"/>
            <wp:wrapNone/>
            <wp:docPr id="245" name="image127.png" descr=""/>
            <wp:cNvGraphicFramePr>
              <a:graphicFrameLocks noChangeAspect="1"/>
            </wp:cNvGraphicFramePr>
            <a:graphic>
              <a:graphicData uri="http://schemas.openxmlformats.org/drawingml/2006/picture">
                <pic:pic>
                  <pic:nvPicPr>
                    <pic:cNvPr id="246" name="image127.png"/>
                    <pic:cNvPicPr/>
                  </pic:nvPicPr>
                  <pic:blipFill>
                    <a:blip r:embed="rId131" cstate="print"/>
                    <a:stretch>
                      <a:fillRect/>
                    </a:stretch>
                  </pic:blipFill>
                  <pic:spPr>
                    <a:xfrm>
                      <a:off x="0" y="0"/>
                      <a:ext cx="2249424" cy="137160"/>
                    </a:xfrm>
                    <a:prstGeom prst="rect">
                      <a:avLst/>
                    </a:prstGeom>
                  </pic:spPr>
                </pic:pic>
              </a:graphicData>
            </a:graphic>
          </wp:anchor>
        </w:drawing>
      </w:r>
      <w:r>
        <w:rPr>
          <w:color w:val="010101"/>
          <w:w w:val="107"/>
          <w:sz w:val="23"/>
        </w:rPr>
        <w:t>=</w:t>
      </w:r>
      <w:r>
        <w:rPr>
          <w:color w:val="010101"/>
          <w:sz w:val="23"/>
        </w:rPr>
        <w:t> </w:t>
      </w:r>
      <w:r>
        <w:rPr>
          <w:color w:val="010101"/>
          <w:spacing w:val="-22"/>
          <w:sz w:val="23"/>
        </w:rPr>
        <w:t> </w:t>
      </w:r>
      <w:r>
        <w:rPr>
          <w:i/>
          <w:color w:val="010101"/>
          <w:w w:val="85"/>
          <w:sz w:val="17"/>
        </w:rPr>
        <w:t>vq:r+t</w:t>
      </w:r>
      <w:r>
        <w:rPr>
          <w:i/>
          <w:color w:val="010101"/>
          <w:sz w:val="17"/>
        </w:rPr>
        <w:t> </w:t>
      </w:r>
      <w:r>
        <w:rPr>
          <w:i/>
          <w:color w:val="010101"/>
          <w:spacing w:val="16"/>
          <w:sz w:val="17"/>
        </w:rPr>
        <w:t> </w:t>
      </w:r>
      <w:r>
        <w:rPr>
          <w:rFonts w:ascii="Arial"/>
          <w:color w:val="010101"/>
          <w:w w:val="105"/>
          <w:sz w:val="31"/>
        </w:rPr>
        <w:t>+</w:t>
      </w:r>
      <w:r>
        <w:rPr>
          <w:rFonts w:ascii="Arial"/>
          <w:color w:val="010101"/>
          <w:spacing w:val="-34"/>
          <w:sz w:val="31"/>
        </w:rPr>
        <w:t> </w:t>
      </w:r>
      <w:r>
        <w:rPr>
          <w:color w:val="010101"/>
          <w:w w:val="78"/>
          <w:sz w:val="20"/>
        </w:rPr>
        <w:t>vp:r+1</w:t>
      </w:r>
      <w:r>
        <w:rPr>
          <w:color w:val="010101"/>
          <w:spacing w:val="-21"/>
          <w:sz w:val="20"/>
        </w:rPr>
        <w:t> </w:t>
      </w:r>
      <w:r>
        <w:rPr>
          <w:color w:val="010101"/>
          <w:w w:val="81"/>
          <w:sz w:val="20"/>
        </w:rPr>
        <w:t>(</w:t>
      </w:r>
      <w:r>
        <w:rPr>
          <w:color w:val="010101"/>
          <w:w w:val="81"/>
          <w:sz w:val="20"/>
        </w:rPr>
        <w:t>A:r+1+1</w:t>
      </w:r>
      <w:r>
        <w:rPr>
          <w:color w:val="010101"/>
          <w:sz w:val="20"/>
        </w:rPr>
        <w:t> </w:t>
      </w:r>
      <w:r>
        <w:rPr>
          <w:color w:val="010101"/>
          <w:spacing w:val="-23"/>
          <w:sz w:val="20"/>
        </w:rPr>
        <w:t> </w:t>
      </w:r>
      <w:r>
        <w:rPr>
          <w:color w:val="010101"/>
          <w:w w:val="266"/>
          <w:sz w:val="20"/>
        </w:rPr>
        <w:t>-</w:t>
      </w:r>
      <w:r>
        <w:rPr>
          <w:color w:val="010101"/>
          <w:spacing w:val="8"/>
          <w:sz w:val="20"/>
        </w:rPr>
        <w:t> </w:t>
      </w:r>
      <w:r>
        <w:rPr>
          <w:color w:val="010101"/>
          <w:spacing w:val="-8"/>
          <w:w w:val="128"/>
          <w:sz w:val="20"/>
        </w:rPr>
        <w:t>P</w:t>
      </w:r>
      <w:r>
        <w:rPr>
          <w:color w:val="010101"/>
          <w:w w:val="58"/>
          <w:sz w:val="20"/>
        </w:rPr>
        <w:t>:r</w:t>
      </w:r>
      <w:r>
        <w:rPr>
          <w:color w:val="010101"/>
          <w:spacing w:val="-22"/>
          <w:sz w:val="20"/>
        </w:rPr>
        <w:t> </w:t>
      </w:r>
      <w:r>
        <w:rPr>
          <w:color w:val="010101"/>
          <w:w w:val="78"/>
          <w:sz w:val="20"/>
        </w:rPr>
        <w:t>d:r+1+1</w:t>
      </w:r>
      <w:r>
        <w:rPr>
          <w:color w:val="010101"/>
          <w:w w:val="78"/>
          <w:sz w:val="20"/>
        </w:rPr>
        <w:t>)</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154"/>
        <w:ind w:left="-3"/>
      </w:pPr>
      <w:r>
        <w:rPr>
          <w:color w:val="010101"/>
          <w:w w:val="105"/>
        </w:rPr>
        <w:t>(5.12)</w:t>
      </w:r>
    </w:p>
    <w:p>
      <w:pPr>
        <w:spacing w:after="0"/>
        <w:sectPr>
          <w:type w:val="continuous"/>
          <w:pgSz w:w="7200" w:h="11340"/>
          <w:pgMar w:top="1100" w:bottom="0" w:left="660" w:right="560"/>
          <w:cols w:num="2" w:equalWidth="0">
            <w:col w:w="5305" w:space="40"/>
            <w:col w:w="635"/>
          </w:cols>
        </w:sectPr>
      </w:pPr>
    </w:p>
    <w:p>
      <w:pPr>
        <w:pStyle w:val="BodyText"/>
        <w:spacing w:line="252" w:lineRule="auto" w:before="129"/>
        <w:ind w:left="132" w:right="125" w:firstLine="7"/>
        <w:jc w:val="both"/>
      </w:pPr>
      <w:r>
        <w:rPr>
          <w:color w:val="010101"/>
        </w:rPr>
        <w:t>Formula (5.12) shows that the reserve at the cnd of </w:t>
      </w:r>
      <w:r>
        <w:rPr>
          <w:rFonts w:ascii="Arial" w:hAnsi="Arial"/>
          <w:i/>
          <w:color w:val="010101"/>
          <w:sz w:val="17"/>
        </w:rPr>
        <w:t>t </w:t>
      </w:r>
      <w:r>
        <w:rPr>
          <w:color w:val="010101"/>
        </w:rPr>
        <w:t>years, </w:t>
      </w:r>
      <w:r>
        <w:rPr>
          <w:b/>
          <w:color w:val="010101"/>
        </w:rPr>
        <w:t>,V:r , </w:t>
      </w:r>
      <w:r>
        <w:rPr>
          <w:color w:val="010101"/>
        </w:rPr>
        <w:t>increased by the  premium  then  due,  </w:t>
      </w:r>
      <w:r>
        <w:rPr>
          <w:rFonts w:ascii="Arial" w:hAnsi="Arial"/>
          <w:i/>
          <w:color w:val="010101"/>
        </w:rPr>
        <w:t>P</w:t>
      </w:r>
      <w:r>
        <w:rPr>
          <w:color w:val="010101"/>
        </w:rPr>
        <w:t>:r ,  provides  insurance  for  thc  ncxt  year, </w:t>
      </w:r>
      <w:r>
        <w:rPr>
          <w:i/>
          <w:color w:val="010101"/>
        </w:rPr>
        <w:t>vqz+i , </w:t>
      </w:r>
      <w:r>
        <w:rPr>
          <w:color w:val="010101"/>
        </w:rPr>
        <w:t>plus a pure endowment  of  the next  year's   </w:t>
      </w:r>
      <w:r>
        <w:rPr>
          <w:color w:val="010101"/>
          <w:spacing w:val="22"/>
        </w:rPr>
        <w:t> </w:t>
      </w:r>
      <w:r>
        <w:rPr>
          <w:color w:val="010101"/>
        </w:rPr>
        <w:t>re­</w:t>
      </w:r>
    </w:p>
    <w:p>
      <w:pPr>
        <w:spacing w:line="256" w:lineRule="exact" w:before="0"/>
        <w:ind w:left="886" w:right="0" w:hanging="754"/>
        <w:jc w:val="left"/>
        <w:rPr>
          <w:i/>
          <w:sz w:val="20"/>
        </w:rPr>
      </w:pPr>
      <w:r>
        <w:rPr>
          <w:color w:val="010101"/>
          <w:w w:val="105"/>
          <w:sz w:val="20"/>
        </w:rPr>
        <w:t>serve, </w:t>
      </w:r>
      <w:r>
        <w:rPr>
          <w:i/>
          <w:color w:val="010101"/>
          <w:w w:val="105"/>
          <w:sz w:val="17"/>
        </w:rPr>
        <w:t>VPz+i· </w:t>
      </w:r>
      <w:r>
        <w:rPr>
          <w:color w:val="010101"/>
          <w:w w:val="105"/>
          <w:sz w:val="13"/>
        </w:rPr>
        <w:t>1+1</w:t>
      </w:r>
      <w:r>
        <w:rPr>
          <w:i/>
          <w:color w:val="010101"/>
          <w:w w:val="105"/>
          <w:sz w:val="20"/>
        </w:rPr>
        <w:t>V</w:t>
      </w:r>
      <w:r>
        <w:rPr>
          <w:rFonts w:ascii="Arial" w:hAnsi="Arial"/>
          <w:color w:val="010101"/>
          <w:w w:val="105"/>
          <w:sz w:val="10"/>
        </w:rPr>
        <w:t>:r  • </w:t>
      </w:r>
      <w:r>
        <w:rPr>
          <w:color w:val="010101"/>
          <w:w w:val="105"/>
          <w:sz w:val="20"/>
        </w:rPr>
        <w:t>Or, if the equation is multiplícd by  </w:t>
      </w:r>
      <w:r>
        <w:rPr>
          <w:rFonts w:ascii="Arial" w:hAnsi="Arial"/>
          <w:b/>
          <w:color w:val="010101"/>
          <w:w w:val="105"/>
          <w:sz w:val="19"/>
        </w:rPr>
        <w:t>(1 </w:t>
      </w:r>
      <w:r>
        <w:rPr>
          <w:rFonts w:ascii="Arial" w:hAnsi="Arial"/>
          <w:color w:val="010101"/>
          <w:w w:val="105"/>
          <w:sz w:val="31"/>
        </w:rPr>
        <w:t>+ </w:t>
      </w:r>
      <w:r>
        <w:rPr>
          <w:i/>
          <w:color w:val="010101"/>
          <w:w w:val="105"/>
          <w:sz w:val="20"/>
        </w:rPr>
        <w:t>i)l z+t,</w:t>
      </w:r>
    </w:p>
    <w:p>
      <w:pPr>
        <w:tabs>
          <w:tab w:pos="5338" w:val="left" w:leader="none"/>
        </w:tabs>
        <w:spacing w:before="23"/>
        <w:ind w:left="136" w:right="0" w:firstLine="749"/>
        <w:jc w:val="left"/>
        <w:rPr>
          <w:b/>
          <w:sz w:val="19"/>
        </w:rPr>
      </w:pPr>
      <w:r>
        <w:rPr>
          <w:b/>
          <w:i/>
          <w:color w:val="010101"/>
          <w:sz w:val="17"/>
        </w:rPr>
        <w:t>l:r+t ( tV z  </w:t>
      </w:r>
      <w:r>
        <w:rPr>
          <w:rFonts w:ascii="Arial"/>
          <w:color w:val="010101"/>
          <w:sz w:val="30"/>
        </w:rPr>
        <w:t>+ </w:t>
      </w:r>
      <w:r>
        <w:rPr>
          <w:b/>
          <w:color w:val="010101"/>
          <w:w w:val="85"/>
          <w:sz w:val="20"/>
        </w:rPr>
        <w:t>P:r </w:t>
      </w:r>
      <w:r>
        <w:rPr>
          <w:b/>
          <w:color w:val="010101"/>
          <w:w w:val="115"/>
          <w:sz w:val="20"/>
        </w:rPr>
        <w:t>)(l </w:t>
      </w:r>
      <w:r>
        <w:rPr>
          <w:rFonts w:ascii="Arial"/>
          <w:color w:val="010101"/>
          <w:sz w:val="30"/>
        </w:rPr>
        <w:t>+ </w:t>
      </w:r>
      <w:r>
        <w:rPr>
          <w:color w:val="010101"/>
          <w:w w:val="115"/>
          <w:sz w:val="19"/>
        </w:rPr>
        <w:t>i) </w:t>
      </w:r>
      <w:r>
        <w:rPr>
          <w:color w:val="010101"/>
          <w:sz w:val="23"/>
        </w:rPr>
        <w:t>= </w:t>
      </w:r>
      <w:r>
        <w:rPr>
          <w:b/>
          <w:i/>
          <w:color w:val="010101"/>
          <w:sz w:val="17"/>
        </w:rPr>
        <w:t>dz+t  </w:t>
      </w:r>
      <w:r>
        <w:rPr>
          <w:rFonts w:ascii="Arial"/>
          <w:color w:val="010101"/>
          <w:sz w:val="30"/>
        </w:rPr>
        <w:t>+</w:t>
      </w:r>
      <w:r>
        <w:rPr>
          <w:rFonts w:ascii="Arial"/>
          <w:color w:val="010101"/>
          <w:spacing w:val="26"/>
          <w:sz w:val="30"/>
        </w:rPr>
        <w:t> </w:t>
      </w:r>
      <w:r>
        <w:rPr>
          <w:b/>
          <w:color w:val="010101"/>
          <w:w w:val="85"/>
          <w:sz w:val="20"/>
        </w:rPr>
        <w:t>l:r </w:t>
      </w:r>
      <w:r>
        <w:rPr>
          <w:b/>
          <w:color w:val="010101"/>
          <w:sz w:val="20"/>
        </w:rPr>
        <w:t>+Hl'1 </w:t>
      </w:r>
      <w:r>
        <w:rPr>
          <w:b/>
          <w:color w:val="010101"/>
          <w:w w:val="85"/>
          <w:sz w:val="20"/>
        </w:rPr>
        <w:t>+1V:r</w:t>
      </w:r>
      <w:r>
        <w:rPr>
          <w:b/>
          <w:color w:val="010101"/>
          <w:spacing w:val="22"/>
          <w:w w:val="85"/>
          <w:sz w:val="20"/>
        </w:rPr>
        <w:t> </w:t>
      </w:r>
      <w:r>
        <w:rPr>
          <w:b/>
          <w:color w:val="010101"/>
          <w:sz w:val="20"/>
        </w:rPr>
        <w:t>,</w:t>
        <w:tab/>
      </w:r>
      <w:r>
        <w:rPr>
          <w:b/>
          <w:color w:val="010101"/>
          <w:sz w:val="19"/>
        </w:rPr>
        <w:t>(5.13</w:t>
      </w:r>
      <w:r>
        <w:rPr>
          <w:b/>
          <w:color w:val="010101"/>
          <w:spacing w:val="-8"/>
          <w:sz w:val="19"/>
        </w:rPr>
        <w:t> </w:t>
      </w:r>
      <w:r>
        <w:rPr>
          <w:b/>
          <w:color w:val="010101"/>
          <w:sz w:val="19"/>
        </w:rPr>
        <w:t>)</w:t>
      </w:r>
    </w:p>
    <w:p>
      <w:pPr>
        <w:pStyle w:val="BodyText"/>
        <w:spacing w:line="242" w:lineRule="auto" w:before="95"/>
        <w:ind w:left="125" w:right="128" w:firstLine="10"/>
        <w:jc w:val="both"/>
        <w:rPr>
          <w:b/>
        </w:rPr>
      </w:pPr>
      <w:r>
        <w:rPr>
          <w:rFonts w:ascii="Arial"/>
          <w:b/>
          <w:color w:val="010101"/>
          <w:sz w:val="19"/>
        </w:rPr>
        <w:t>we </w:t>
      </w:r>
      <w:r>
        <w:rPr>
          <w:color w:val="010101"/>
        </w:rPr>
        <w:t>see that the aggregate reserve for a group of  </w:t>
      </w:r>
      <w:r>
        <w:rPr>
          <w:color w:val="010101"/>
          <w:sz w:val="14"/>
        </w:rPr>
        <w:t>l:r+1 </w:t>
      </w:r>
      <w:r>
        <w:rPr>
          <w:color w:val="010101"/>
        </w:rPr>
        <w:t>lives,  increased by the premiums due and a year's  intercst,  is  just  sufficient  to provide benefit payments of 1 for each of the </w:t>
      </w:r>
      <w:r>
        <w:rPr>
          <w:i/>
          <w:color w:val="010101"/>
          <w:sz w:val="17"/>
        </w:rPr>
        <w:t>dz+, </w:t>
      </w:r>
      <w:r>
        <w:rPr>
          <w:color w:val="010101"/>
        </w:rPr>
        <w:t>lives that </w:t>
      </w:r>
      <w:r>
        <w:rPr>
          <w:color w:val="010101"/>
          <w:sz w:val="22"/>
        </w:rPr>
        <w:t>fail </w:t>
      </w:r>
      <w:r>
        <w:rPr>
          <w:color w:val="010101"/>
          <w:w w:val="105"/>
        </w:rPr>
        <w:t>during </w:t>
      </w:r>
      <w:r>
        <w:rPr>
          <w:color w:val="010101"/>
          <w:w w:val="111"/>
        </w:rPr>
        <w:t>the </w:t>
      </w:r>
      <w:r>
        <w:rPr>
          <w:color w:val="010101"/>
          <w:w w:val="104"/>
        </w:rPr>
        <w:t>year </w:t>
      </w:r>
      <w:r>
        <w:rPr>
          <w:color w:val="010101"/>
          <w:w w:val="102"/>
        </w:rPr>
        <w:t>plus  </w:t>
      </w:r>
      <w:r>
        <w:rPr>
          <w:color w:val="010101"/>
          <w:w w:val="112"/>
        </w:rPr>
        <w:t>the </w:t>
      </w:r>
      <w:r>
        <w:rPr>
          <w:color w:val="010101"/>
          <w:w w:val="98"/>
        </w:rPr>
        <w:t>new  </w:t>
      </w:r>
      <w:r>
        <w:rPr>
          <w:color w:val="010101"/>
          <w:w w:val="105"/>
        </w:rPr>
        <w:t>terminal  </w:t>
      </w:r>
      <w:r>
        <w:rPr>
          <w:color w:val="010101"/>
          <w:w w:val="101"/>
        </w:rPr>
        <w:t>reserve  </w:t>
      </w:r>
      <w:r>
        <w:rPr>
          <w:rFonts w:ascii="Arial"/>
          <w:color w:val="010101"/>
          <w:w w:val="104"/>
          <w:sz w:val="18"/>
        </w:rPr>
        <w:t>of  </w:t>
      </w:r>
      <w:r>
        <w:rPr>
          <w:color w:val="010101"/>
          <w:spacing w:val="-1"/>
          <w:w w:val="96"/>
          <w:sz w:val="14"/>
        </w:rPr>
        <w:t>,+1</w:t>
      </w:r>
      <w:r>
        <w:rPr>
          <w:rFonts w:ascii="Arial"/>
          <w:i/>
          <w:color w:val="010101"/>
          <w:spacing w:val="-1"/>
          <w:w w:val="96"/>
        </w:rPr>
        <w:t>V</w:t>
      </w:r>
      <w:r>
        <w:rPr>
          <w:color w:val="010101"/>
          <w:spacing w:val="-1"/>
          <w:w w:val="96"/>
        </w:rPr>
        <w:t>:r</w:t>
      </w:r>
      <w:r>
        <w:rPr>
          <w:color w:val="010101"/>
          <w:w w:val="96"/>
        </w:rPr>
        <w:t>  </w:t>
      </w:r>
      <w:r>
        <w:rPr>
          <w:color w:val="010101"/>
          <w:w w:val="101"/>
        </w:rPr>
        <w:t>for  </w:t>
      </w:r>
      <w:r>
        <w:rPr>
          <w:color w:val="010101"/>
          <w:w w:val="101"/>
        </w:rPr>
        <w:t>each </w:t>
      </w:r>
      <w:r>
        <w:rPr>
          <w:color w:val="010101"/>
        </w:rPr>
        <w:t>of the lz+1+1 lives that survive </w:t>
      </w:r>
      <w:r>
        <w:rPr>
          <w:color w:val="010101"/>
          <w:sz w:val="22"/>
        </w:rPr>
        <w:t>to </w:t>
      </w:r>
      <w:r>
        <w:rPr>
          <w:color w:val="010101"/>
        </w:rPr>
        <w:t>thc end of the year. </w:t>
      </w:r>
      <w:r>
        <w:rPr>
          <w:color w:val="010101"/>
          <w:sz w:val="21"/>
        </w:rPr>
        <w:t>It </w:t>
      </w:r>
      <w:r>
        <w:rPr>
          <w:color w:val="010101"/>
        </w:rPr>
        <w:t>will be recalled that this  was  the  principie  used  in  the  construction  of </w:t>
      </w:r>
      <w:r>
        <w:rPr>
          <w:b/>
          <w:color w:val="010101"/>
        </w:rPr>
        <w:t>Table</w:t>
      </w:r>
      <w:r>
        <w:rPr>
          <w:b/>
          <w:color w:val="010101"/>
          <w:spacing w:val="20"/>
        </w:rPr>
        <w:t> </w:t>
      </w:r>
      <w:r>
        <w:rPr>
          <w:b/>
          <w:color w:val="010101"/>
        </w:rPr>
        <w:t>4.</w:t>
      </w:r>
    </w:p>
    <w:p>
      <w:pPr>
        <w:tabs>
          <w:tab w:pos="5334" w:val="left" w:leader="none"/>
        </w:tabs>
        <w:spacing w:line="288" w:lineRule="auto" w:before="0"/>
        <w:ind w:left="914" w:right="132" w:hanging="578"/>
        <w:jc w:val="left"/>
        <w:rPr>
          <w:sz w:val="20"/>
        </w:rPr>
      </w:pPr>
      <w:r>
        <w:rPr>
          <w:color w:val="010101"/>
          <w:sz w:val="21"/>
        </w:rPr>
        <w:t>If </w:t>
      </w:r>
      <w:r>
        <w:rPr>
          <w:i/>
          <w:color w:val="010101"/>
          <w:sz w:val="17"/>
        </w:rPr>
        <w:t>Pz+c </w:t>
      </w:r>
      <w:r>
        <w:rPr>
          <w:color w:val="010101"/>
          <w:sz w:val="20"/>
        </w:rPr>
        <w:t>in formula (5.12) is replaccd by 1 </w:t>
      </w:r>
      <w:r>
        <w:rPr>
          <w:color w:val="010101"/>
          <w:w w:val="255"/>
          <w:sz w:val="20"/>
        </w:rPr>
        <w:t>- </w:t>
      </w:r>
      <w:r>
        <w:rPr>
          <w:i/>
          <w:color w:val="010101"/>
          <w:sz w:val="17"/>
        </w:rPr>
        <w:t>qz+c  </w:t>
      </w:r>
      <w:r>
        <w:rPr>
          <w:i/>
          <w:color w:val="010101"/>
          <w:w w:val="120"/>
          <w:sz w:val="17"/>
        </w:rPr>
        <w:t>, </w:t>
      </w:r>
      <w:r>
        <w:rPr>
          <w:color w:val="010101"/>
          <w:sz w:val="20"/>
        </w:rPr>
        <w:t>there follows (,V:r</w:t>
      </w:r>
      <w:r>
        <w:rPr>
          <w:color w:val="010101"/>
          <w:spacing w:val="12"/>
          <w:sz w:val="20"/>
        </w:rPr>
        <w:t> </w:t>
      </w:r>
      <w:r>
        <w:rPr>
          <w:rFonts w:ascii="Arial"/>
          <w:color w:val="010101"/>
          <w:sz w:val="30"/>
        </w:rPr>
        <w:t>+</w:t>
      </w:r>
      <w:r>
        <w:rPr>
          <w:rFonts w:ascii="Arial"/>
          <w:color w:val="010101"/>
          <w:spacing w:val="-40"/>
          <w:sz w:val="30"/>
        </w:rPr>
        <w:t> </w:t>
      </w:r>
      <w:r>
        <w:rPr>
          <w:rFonts w:ascii="Arial"/>
          <w:color w:val="010101"/>
          <w:spacing w:val="-8"/>
          <w:sz w:val="19"/>
        </w:rPr>
        <w:t>Pi:)</w:t>
      </w:r>
      <w:r>
        <w:rPr>
          <w:rFonts w:ascii="Arial"/>
          <w:color w:val="010101"/>
          <w:spacing w:val="-20"/>
          <w:sz w:val="19"/>
        </w:rPr>
        <w:t> </w:t>
      </w:r>
      <w:r>
        <w:rPr>
          <w:color w:val="010101"/>
          <w:sz w:val="20"/>
        </w:rPr>
        <w:t>(1</w:t>
      </w:r>
      <w:r>
        <w:rPr>
          <w:color w:val="010101"/>
          <w:spacing w:val="3"/>
          <w:sz w:val="20"/>
        </w:rPr>
        <w:t> </w:t>
      </w:r>
      <w:r>
        <w:rPr>
          <w:rFonts w:ascii="Arial"/>
          <w:color w:val="010101"/>
          <w:sz w:val="30"/>
        </w:rPr>
        <w:t>+</w:t>
      </w:r>
      <w:r>
        <w:rPr>
          <w:rFonts w:ascii="Arial"/>
          <w:color w:val="010101"/>
          <w:spacing w:val="-46"/>
          <w:sz w:val="30"/>
        </w:rPr>
        <w:t> </w:t>
      </w:r>
      <w:r>
        <w:rPr>
          <w:color w:val="010101"/>
          <w:w w:val="120"/>
          <w:sz w:val="19"/>
        </w:rPr>
        <w:t>i)</w:t>
      </w:r>
      <w:r>
        <w:rPr>
          <w:color w:val="010101"/>
          <w:spacing w:val="13"/>
          <w:w w:val="120"/>
          <w:sz w:val="19"/>
        </w:rPr>
        <w:t> </w:t>
      </w:r>
      <w:r>
        <w:rPr>
          <w:color w:val="010101"/>
          <w:sz w:val="23"/>
        </w:rPr>
        <w:t>=</w:t>
      </w:r>
      <w:r>
        <w:rPr>
          <w:color w:val="010101"/>
          <w:spacing w:val="26"/>
          <w:sz w:val="23"/>
        </w:rPr>
        <w:t> </w:t>
      </w:r>
      <w:r>
        <w:rPr>
          <w:color w:val="010101"/>
          <w:sz w:val="20"/>
        </w:rPr>
        <w:t>1+1V:r</w:t>
      </w:r>
      <w:r>
        <w:rPr>
          <w:color w:val="010101"/>
          <w:spacing w:val="7"/>
          <w:sz w:val="20"/>
        </w:rPr>
        <w:t> </w:t>
      </w:r>
      <w:r>
        <w:rPr>
          <w:rFonts w:ascii="Arial"/>
          <w:color w:val="010101"/>
          <w:sz w:val="30"/>
        </w:rPr>
        <w:t>+</w:t>
      </w:r>
      <w:r>
        <w:rPr>
          <w:rFonts w:ascii="Arial"/>
          <w:color w:val="010101"/>
          <w:spacing w:val="-43"/>
          <w:sz w:val="30"/>
        </w:rPr>
        <w:t> </w:t>
      </w:r>
      <w:r>
        <w:rPr>
          <w:color w:val="010101"/>
          <w:sz w:val="20"/>
        </w:rPr>
        <w:t>q:r+,</w:t>
      </w:r>
      <w:r>
        <w:rPr>
          <w:color w:val="010101"/>
          <w:spacing w:val="-24"/>
          <w:sz w:val="20"/>
        </w:rPr>
        <w:t> </w:t>
      </w:r>
      <w:r>
        <w:rPr>
          <w:color w:val="010101"/>
          <w:sz w:val="20"/>
        </w:rPr>
        <w:t>(1</w:t>
      </w:r>
      <w:r>
        <w:rPr>
          <w:color w:val="010101"/>
          <w:spacing w:val="6"/>
          <w:sz w:val="20"/>
        </w:rPr>
        <w:t> </w:t>
      </w:r>
      <w:r>
        <w:rPr>
          <w:color w:val="010101"/>
          <w:w w:val="255"/>
          <w:sz w:val="20"/>
        </w:rPr>
        <w:t>-</w:t>
      </w:r>
      <w:r>
        <w:rPr>
          <w:color w:val="010101"/>
          <w:spacing w:val="-80"/>
          <w:w w:val="255"/>
          <w:sz w:val="20"/>
        </w:rPr>
        <w:t> </w:t>
      </w:r>
      <w:r>
        <w:rPr>
          <w:color w:val="010101"/>
          <w:sz w:val="20"/>
        </w:rPr>
        <w:t>1+1V:r</w:t>
      </w:r>
      <w:r>
        <w:rPr>
          <w:color w:val="010101"/>
          <w:spacing w:val="-37"/>
          <w:sz w:val="20"/>
        </w:rPr>
        <w:t> </w:t>
      </w:r>
      <w:r>
        <w:rPr>
          <w:color w:val="010101"/>
          <w:sz w:val="20"/>
        </w:rPr>
        <w:t>),</w:t>
        <w:tab/>
        <w:t>(5.14)</w:t>
      </w:r>
    </w:p>
    <w:p>
      <w:pPr>
        <w:spacing w:line="293" w:lineRule="exact" w:before="0"/>
        <w:ind w:left="140" w:right="0" w:hanging="4"/>
        <w:jc w:val="both"/>
        <w:rPr>
          <w:b/>
          <w:sz w:val="21"/>
        </w:rPr>
      </w:pPr>
      <w:r>
        <w:rPr>
          <w:b/>
          <w:i/>
          <w:color w:val="010101"/>
          <w:w w:val="80"/>
          <w:sz w:val="17"/>
        </w:rPr>
        <w:t>l:r+</w:t>
      </w:r>
      <w:r>
        <w:rPr>
          <w:b/>
          <w:i/>
          <w:color w:val="010101"/>
          <w:spacing w:val="-15"/>
          <w:sz w:val="17"/>
        </w:rPr>
        <w:t> </w:t>
      </w:r>
      <w:r>
        <w:rPr>
          <w:b/>
          <w:i/>
          <w:color w:val="010101"/>
          <w:w w:val="62"/>
          <w:sz w:val="17"/>
        </w:rPr>
        <w:t>t</w:t>
      </w:r>
      <w:r>
        <w:rPr>
          <w:b/>
          <w:i/>
          <w:color w:val="010101"/>
          <w:spacing w:val="3"/>
          <w:sz w:val="17"/>
        </w:rPr>
        <w:t> </w:t>
      </w:r>
      <w:r>
        <w:rPr>
          <w:b/>
          <w:color w:val="010101"/>
          <w:w w:val="104"/>
          <w:sz w:val="14"/>
        </w:rPr>
        <w:t>(</w:t>
      </w:r>
      <w:r>
        <w:rPr>
          <w:b/>
          <w:color w:val="010101"/>
          <w:spacing w:val="10"/>
          <w:w w:val="104"/>
          <w:sz w:val="14"/>
        </w:rPr>
        <w:t>1</w:t>
      </w:r>
      <w:r>
        <w:rPr>
          <w:b/>
          <w:i/>
          <w:color w:val="010101"/>
          <w:spacing w:val="3"/>
          <w:w w:val="116"/>
          <w:sz w:val="17"/>
        </w:rPr>
        <w:t>V</w:t>
      </w:r>
      <w:r>
        <w:rPr>
          <w:b/>
          <w:i/>
          <w:color w:val="010101"/>
          <w:w w:val="85"/>
          <w:sz w:val="17"/>
        </w:rPr>
        <w:t>z</w:t>
      </w:r>
      <w:r>
        <w:rPr>
          <w:b/>
          <w:i/>
          <w:color w:val="010101"/>
          <w:sz w:val="17"/>
        </w:rPr>
        <w:t> </w:t>
      </w:r>
      <w:r>
        <w:rPr>
          <w:b/>
          <w:i/>
          <w:color w:val="010101"/>
          <w:spacing w:val="12"/>
          <w:sz w:val="17"/>
        </w:rPr>
        <w:t> </w:t>
      </w:r>
      <w:r>
        <w:rPr>
          <w:rFonts w:ascii="Arial" w:hAnsi="Arial"/>
          <w:color w:val="010101"/>
          <w:w w:val="106"/>
          <w:sz w:val="30"/>
        </w:rPr>
        <w:t>+</w:t>
      </w:r>
      <w:r>
        <w:rPr>
          <w:rFonts w:ascii="Arial" w:hAnsi="Arial"/>
          <w:color w:val="010101"/>
          <w:spacing w:val="-16"/>
          <w:sz w:val="30"/>
        </w:rPr>
        <w:t> </w:t>
      </w:r>
      <w:r>
        <w:rPr>
          <w:b/>
          <w:color w:val="010101"/>
          <w:spacing w:val="-12"/>
          <w:w w:val="120"/>
          <w:sz w:val="20"/>
        </w:rPr>
        <w:t>P</w:t>
      </w:r>
      <w:r>
        <w:rPr>
          <w:b/>
          <w:color w:val="010101"/>
          <w:w w:val="45"/>
          <w:sz w:val="20"/>
        </w:rPr>
        <w:t>:</w:t>
      </w:r>
      <w:r>
        <w:rPr>
          <w:b/>
          <w:color w:val="010101"/>
          <w:spacing w:val="14"/>
          <w:w w:val="45"/>
          <w:sz w:val="20"/>
        </w:rPr>
        <w:t>r</w:t>
      </w:r>
      <w:r>
        <w:rPr>
          <w:b/>
          <w:color w:val="010101"/>
          <w:w w:val="133"/>
          <w:sz w:val="20"/>
        </w:rPr>
        <w:t>)(</w:t>
      </w:r>
      <w:r>
        <w:rPr>
          <w:b/>
          <w:color w:val="010101"/>
          <w:w w:val="133"/>
          <w:sz w:val="20"/>
        </w:rPr>
        <w:t>l</w:t>
      </w:r>
      <w:r>
        <w:rPr>
          <w:b/>
          <w:color w:val="010101"/>
          <w:sz w:val="20"/>
        </w:rPr>
        <w:t> </w:t>
      </w:r>
      <w:r>
        <w:rPr>
          <w:b/>
          <w:color w:val="010101"/>
          <w:spacing w:val="9"/>
          <w:sz w:val="20"/>
        </w:rPr>
        <w:t> </w:t>
      </w:r>
      <w:r>
        <w:rPr>
          <w:color w:val="010101"/>
          <w:w w:val="100"/>
          <w:sz w:val="29"/>
        </w:rPr>
        <w:t>+</w:t>
      </w:r>
      <w:r>
        <w:rPr>
          <w:color w:val="010101"/>
          <w:spacing w:val="17"/>
          <w:sz w:val="29"/>
        </w:rPr>
        <w:t> </w:t>
      </w:r>
      <w:r>
        <w:rPr>
          <w:color w:val="010101"/>
          <w:w w:val="130"/>
          <w:sz w:val="19"/>
        </w:rPr>
        <w:t>i</w:t>
      </w:r>
      <w:r>
        <w:rPr>
          <w:color w:val="010101"/>
          <w:w w:val="130"/>
          <w:sz w:val="19"/>
        </w:rPr>
        <w:t>)</w:t>
      </w:r>
      <w:r>
        <w:rPr>
          <w:color w:val="010101"/>
          <w:sz w:val="19"/>
        </w:rPr>
        <w:t> </w:t>
      </w:r>
      <w:r>
        <w:rPr>
          <w:color w:val="010101"/>
          <w:spacing w:val="18"/>
          <w:sz w:val="19"/>
        </w:rPr>
        <w:t> </w:t>
      </w:r>
      <w:r>
        <w:rPr>
          <w:color w:val="010101"/>
          <w:w w:val="101"/>
          <w:sz w:val="23"/>
        </w:rPr>
        <w:t>=</w:t>
      </w:r>
      <w:r>
        <w:rPr>
          <w:color w:val="010101"/>
          <w:sz w:val="23"/>
        </w:rPr>
        <w:t> </w:t>
      </w:r>
      <w:r>
        <w:rPr>
          <w:color w:val="010101"/>
          <w:spacing w:val="-11"/>
          <w:sz w:val="23"/>
        </w:rPr>
        <w:t> </w:t>
      </w:r>
      <w:r>
        <w:rPr>
          <w:b/>
          <w:i/>
          <w:color w:val="010101"/>
          <w:w w:val="113"/>
          <w:sz w:val="17"/>
        </w:rPr>
        <w:t>lz+t·</w:t>
      </w:r>
      <w:r>
        <w:rPr>
          <w:b/>
          <w:i/>
          <w:color w:val="010101"/>
          <w:spacing w:val="14"/>
          <w:sz w:val="17"/>
        </w:rPr>
        <w:t> </w:t>
      </w:r>
      <w:r>
        <w:rPr>
          <w:b/>
          <w:color w:val="010101"/>
          <w:w w:val="134"/>
          <w:sz w:val="14"/>
        </w:rPr>
        <w:t>Hl</w:t>
      </w:r>
      <w:r>
        <w:rPr>
          <w:b/>
          <w:color w:val="010101"/>
          <w:spacing w:val="-12"/>
          <w:sz w:val="14"/>
        </w:rPr>
        <w:t> </w:t>
      </w:r>
      <w:r>
        <w:rPr>
          <w:b/>
          <w:color w:val="010101"/>
          <w:w w:val="63"/>
          <w:sz w:val="20"/>
        </w:rPr>
        <w:t>V:r</w:t>
      </w:r>
      <w:r>
        <w:rPr>
          <w:b/>
          <w:color w:val="010101"/>
          <w:sz w:val="20"/>
        </w:rPr>
        <w:t> </w:t>
      </w:r>
      <w:r>
        <w:rPr>
          <w:b/>
          <w:color w:val="010101"/>
          <w:spacing w:val="-2"/>
          <w:sz w:val="20"/>
        </w:rPr>
        <w:t> </w:t>
      </w:r>
      <w:r>
        <w:rPr>
          <w:color w:val="010101"/>
          <w:w w:val="98"/>
          <w:sz w:val="29"/>
        </w:rPr>
        <w:t>+</w:t>
      </w:r>
      <w:r>
        <w:rPr>
          <w:color w:val="010101"/>
          <w:spacing w:val="13"/>
          <w:sz w:val="29"/>
        </w:rPr>
        <w:t> </w:t>
      </w:r>
      <w:r>
        <w:rPr>
          <w:b/>
          <w:color w:val="010101"/>
          <w:spacing w:val="-11"/>
          <w:w w:val="99"/>
          <w:sz w:val="20"/>
        </w:rPr>
        <w:t>d</w:t>
      </w:r>
      <w:r>
        <w:rPr>
          <w:b/>
          <w:color w:val="010101"/>
          <w:w w:val="42"/>
          <w:sz w:val="20"/>
        </w:rPr>
        <w:t>:</w:t>
      </w:r>
      <w:r>
        <w:rPr>
          <w:b/>
          <w:color w:val="010101"/>
          <w:spacing w:val="12"/>
          <w:w w:val="42"/>
          <w:sz w:val="20"/>
        </w:rPr>
        <w:t>r</w:t>
      </w:r>
      <w:r>
        <w:rPr>
          <w:b/>
          <w:color w:val="010101"/>
          <w:w w:val="73"/>
          <w:sz w:val="20"/>
        </w:rPr>
        <w:t>+c</w:t>
      </w:r>
      <w:r>
        <w:rPr>
          <w:b/>
          <w:color w:val="010101"/>
          <w:spacing w:val="-10"/>
          <w:sz w:val="20"/>
        </w:rPr>
        <w:t> </w:t>
      </w:r>
      <w:r>
        <w:rPr>
          <w:b/>
          <w:color w:val="010101"/>
          <w:w w:val="90"/>
          <w:sz w:val="21"/>
        </w:rPr>
        <w:t>(1</w:t>
      </w:r>
      <w:r>
        <w:rPr>
          <w:b/>
          <w:color w:val="010101"/>
          <w:sz w:val="21"/>
        </w:rPr>
        <w:t> </w:t>
      </w:r>
      <w:r>
        <w:rPr>
          <w:b/>
          <w:color w:val="010101"/>
          <w:spacing w:val="-6"/>
          <w:sz w:val="21"/>
        </w:rPr>
        <w:t> </w:t>
      </w:r>
      <w:r>
        <w:rPr>
          <w:color w:val="010101"/>
          <w:w w:val="254"/>
          <w:sz w:val="21"/>
        </w:rPr>
        <w:t>-</w:t>
      </w:r>
      <w:r>
        <w:rPr>
          <w:color w:val="010101"/>
          <w:spacing w:val="23"/>
          <w:sz w:val="21"/>
        </w:rPr>
        <w:t> </w:t>
      </w:r>
      <w:r>
        <w:rPr>
          <w:b/>
          <w:color w:val="010101"/>
          <w:w w:val="69"/>
          <w:sz w:val="20"/>
        </w:rPr>
        <w:t>1+</w:t>
      </w:r>
      <w:r>
        <w:rPr>
          <w:b/>
          <w:color w:val="010101"/>
          <w:spacing w:val="6"/>
          <w:w w:val="69"/>
          <w:sz w:val="20"/>
        </w:rPr>
        <w:t>1</w:t>
      </w:r>
      <w:r>
        <w:rPr>
          <w:b/>
          <w:color w:val="010101"/>
          <w:w w:val="65"/>
          <w:sz w:val="20"/>
        </w:rPr>
        <w:t>V:r</w:t>
      </w:r>
      <w:r>
        <w:rPr>
          <w:b/>
          <w:color w:val="010101"/>
          <w:spacing w:val="-22"/>
          <w:sz w:val="20"/>
        </w:rPr>
        <w:t> </w:t>
      </w:r>
      <w:r>
        <w:rPr>
          <w:b/>
          <w:color w:val="010101"/>
          <w:w w:val="86"/>
          <w:sz w:val="20"/>
        </w:rPr>
        <w:t>)</w:t>
      </w:r>
      <w:r>
        <w:rPr>
          <w:b/>
          <w:color w:val="010101"/>
          <w:spacing w:val="-19"/>
          <w:sz w:val="20"/>
        </w:rPr>
        <w:t> </w:t>
      </w:r>
      <w:r>
        <w:rPr>
          <w:b/>
          <w:color w:val="010101"/>
          <w:w w:val="66"/>
          <w:sz w:val="20"/>
        </w:rPr>
        <w:t>,</w:t>
      </w:r>
      <w:r>
        <w:rPr>
          <w:b/>
          <w:color w:val="010101"/>
          <w:sz w:val="20"/>
        </w:rPr>
        <w:t>    </w:t>
      </w:r>
      <w:r>
        <w:rPr>
          <w:b/>
          <w:color w:val="010101"/>
          <w:spacing w:val="-7"/>
          <w:sz w:val="20"/>
        </w:rPr>
        <w:t> </w:t>
      </w:r>
      <w:r>
        <w:rPr>
          <w:b/>
          <w:color w:val="010101"/>
          <w:w w:val="87"/>
          <w:sz w:val="21"/>
        </w:rPr>
        <w:t>(.5.15)</w:t>
      </w:r>
    </w:p>
    <w:p>
      <w:pPr>
        <w:pStyle w:val="BodyText"/>
        <w:spacing w:line="238" w:lineRule="exact" w:before="95"/>
        <w:ind w:left="132" w:right="142" w:firstLine="7"/>
        <w:jc w:val="both"/>
      </w:pPr>
      <w:r>
        <w:rPr>
          <w:color w:val="010101"/>
          <w:sz w:val="22"/>
        </w:rPr>
        <w:t>In </w:t>
      </w:r>
      <w:r>
        <w:rPr>
          <w:color w:val="010101"/>
        </w:rPr>
        <w:t>this forro, the equation  shows  that  for  </w:t>
      </w:r>
      <w:r>
        <w:rPr>
          <w:rFonts w:ascii="Arial"/>
          <w:color w:val="010101"/>
          <w:sz w:val="18"/>
        </w:rPr>
        <w:t>a  </w:t>
      </w:r>
      <w:r>
        <w:rPr>
          <w:color w:val="010101"/>
        </w:rPr>
        <w:t>group  </w:t>
      </w:r>
      <w:r>
        <w:rPr>
          <w:rFonts w:ascii="Arial"/>
          <w:color w:val="010101"/>
          <w:sz w:val="18"/>
        </w:rPr>
        <w:t>of  </w:t>
      </w:r>
      <w:r>
        <w:rPr>
          <w:i/>
          <w:color w:val="010101"/>
          <w:sz w:val="16"/>
        </w:rPr>
        <w:t>lz+t  </w:t>
      </w:r>
      <w:r>
        <w:rPr>
          <w:color w:val="010101"/>
        </w:rPr>
        <w:t>policies the  </w:t>
      </w:r>
      <w:r>
        <w:rPr>
          <w:i/>
          <w:color w:val="010101"/>
          <w:sz w:val="22"/>
        </w:rPr>
        <w:t>t-</w:t>
      </w:r>
      <w:r>
        <w:rPr>
          <w:color w:val="010101"/>
        </w:rPr>
        <w:t>th  year  terminal   reserve   increased  by  one  year's   premiums</w:t>
      </w:r>
    </w:p>
    <w:p>
      <w:pPr>
        <w:pStyle w:val="BodyText"/>
        <w:spacing w:line="256" w:lineRule="exact"/>
        <w:ind w:left="132"/>
        <w:jc w:val="both"/>
      </w:pPr>
      <w:r>
        <w:rPr>
          <w:color w:val="010101"/>
          <w:w w:val="105"/>
        </w:rPr>
        <w:t>and  interest  is  sufficient  to  provide  the  </w:t>
      </w:r>
      <w:r>
        <w:rPr>
          <w:color w:val="010101"/>
          <w:w w:val="105"/>
          <w:sz w:val="19"/>
        </w:rPr>
        <w:t>(t  </w:t>
      </w:r>
      <w:r>
        <w:rPr>
          <w:rFonts w:ascii="Arial"/>
          <w:color w:val="010101"/>
          <w:w w:val="105"/>
          <w:sz w:val="30"/>
        </w:rPr>
        <w:t>+ </w:t>
      </w:r>
      <w:r>
        <w:rPr>
          <w:color w:val="010101"/>
          <w:w w:val="105"/>
          <w:sz w:val="19"/>
        </w:rPr>
        <w:t>1</w:t>
      </w:r>
      <w:r>
        <w:rPr>
          <w:rFonts w:ascii="Arial"/>
          <w:color w:val="010101"/>
          <w:w w:val="105"/>
          <w:sz w:val="25"/>
        </w:rPr>
        <w:t>Hh </w:t>
      </w:r>
      <w:r>
        <w:rPr>
          <w:color w:val="010101"/>
          <w:w w:val="105"/>
        </w:rPr>
        <w:t>year  reserve</w:t>
      </w:r>
    </w:p>
    <w:p>
      <w:pPr>
        <w:pStyle w:val="BodyText"/>
        <w:spacing w:line="249" w:lineRule="auto"/>
        <w:ind w:left="129" w:right="138" w:firstLine="3"/>
        <w:jc w:val="both"/>
        <w:rPr>
          <w:i/>
        </w:rPr>
      </w:pPr>
      <w:r>
        <w:rPr>
          <w:color w:val="010101"/>
          <w:w w:val="105"/>
        </w:rPr>
        <w:t>for all the </w:t>
      </w:r>
      <w:r>
        <w:rPr>
          <w:i/>
          <w:color w:val="010101"/>
          <w:w w:val="105"/>
          <w:sz w:val="16"/>
        </w:rPr>
        <w:t>lz+t </w:t>
      </w:r>
      <w:r>
        <w:rPr>
          <w:color w:val="010101"/>
          <w:w w:val="105"/>
        </w:rPr>
        <w:t>policies plus the difference between the insured amount of </w:t>
      </w:r>
      <w:r>
        <w:rPr>
          <w:color w:val="010101"/>
          <w:w w:val="105"/>
          <w:sz w:val="19"/>
        </w:rPr>
        <w:t>1 </w:t>
      </w:r>
      <w:r>
        <w:rPr>
          <w:color w:val="010101"/>
          <w:w w:val="105"/>
        </w:rPr>
        <w:t>and the reserve for each of the </w:t>
      </w:r>
      <w:r>
        <w:rPr>
          <w:i/>
          <w:color w:val="010101"/>
          <w:w w:val="105"/>
          <w:sz w:val="17"/>
        </w:rPr>
        <w:t>dz+t </w:t>
      </w:r>
      <w:r>
        <w:rPr>
          <w:color w:val="010101"/>
          <w:w w:val="105"/>
        </w:rPr>
        <w:t>policies that be­ comes a claim during the year. The amount by which the reserve falls short of the face amount,  1 </w:t>
      </w:r>
      <w:r>
        <w:rPr>
          <w:color w:val="010101"/>
          <w:w w:val="245"/>
        </w:rPr>
        <w:t>- </w:t>
      </w:r>
      <w:r>
        <w:rPr>
          <w:color w:val="010101"/>
          <w:w w:val="105"/>
          <w:sz w:val="14"/>
        </w:rPr>
        <w:t>1+1</w:t>
      </w:r>
      <w:r>
        <w:rPr>
          <w:i/>
          <w:color w:val="010101"/>
          <w:w w:val="105"/>
        </w:rPr>
        <w:t>V</w:t>
      </w:r>
      <w:r>
        <w:rPr>
          <w:color w:val="010101"/>
          <w:w w:val="105"/>
          <w:sz w:val="12"/>
        </w:rPr>
        <w:t>z  </w:t>
      </w:r>
      <w:r>
        <w:rPr>
          <w:color w:val="010101"/>
          <w:w w:val="140"/>
          <w:sz w:val="12"/>
        </w:rPr>
        <w:t>, </w:t>
      </w:r>
      <w:r>
        <w:rPr>
          <w:color w:val="010101"/>
          <w:w w:val="105"/>
        </w:rPr>
        <w:t>is called the </w:t>
      </w:r>
      <w:r>
        <w:rPr>
          <w:rFonts w:ascii="Arial" w:hAnsi="Arial"/>
          <w:i/>
          <w:color w:val="010101"/>
          <w:w w:val="105"/>
          <w:sz w:val="17"/>
        </w:rPr>
        <w:t>net  </w:t>
      </w:r>
      <w:r>
        <w:rPr>
          <w:i/>
          <w:color w:val="010101"/>
          <w:w w:val="105"/>
        </w:rPr>
        <w:t>amount</w:t>
      </w:r>
    </w:p>
    <w:p>
      <w:pPr>
        <w:pStyle w:val="BodyText"/>
        <w:spacing w:line="247" w:lineRule="exact"/>
        <w:ind w:left="136" w:hanging="4"/>
        <w:jc w:val="both"/>
      </w:pPr>
      <w:r>
        <w:rPr>
          <w:i/>
          <w:color w:val="010101"/>
          <w:w w:val="110"/>
        </w:rPr>
        <w:t>at</w:t>
      </w:r>
      <w:r>
        <w:rPr>
          <w:i/>
          <w:color w:val="010101"/>
          <w:spacing w:val="-19"/>
          <w:w w:val="110"/>
        </w:rPr>
        <w:t> </w:t>
      </w:r>
      <w:r>
        <w:rPr>
          <w:i/>
          <w:color w:val="010101"/>
          <w:w w:val="110"/>
          <w:sz w:val="19"/>
        </w:rPr>
        <w:t>risk</w:t>
      </w:r>
      <w:r>
        <w:rPr>
          <w:i/>
          <w:color w:val="010101"/>
          <w:spacing w:val="-6"/>
          <w:w w:val="110"/>
          <w:sz w:val="19"/>
        </w:rPr>
        <w:t> </w:t>
      </w:r>
      <w:r>
        <w:rPr>
          <w:color w:val="010101"/>
          <w:w w:val="110"/>
        </w:rPr>
        <w:t>for</w:t>
      </w:r>
      <w:r>
        <w:rPr>
          <w:color w:val="010101"/>
          <w:spacing w:val="-22"/>
          <w:w w:val="110"/>
        </w:rPr>
        <w:t> </w:t>
      </w:r>
      <w:r>
        <w:rPr>
          <w:color w:val="010101"/>
          <w:w w:val="110"/>
        </w:rPr>
        <w:t>the</w:t>
      </w:r>
      <w:r>
        <w:rPr>
          <w:color w:val="010101"/>
          <w:spacing w:val="1"/>
          <w:w w:val="110"/>
        </w:rPr>
        <w:t> </w:t>
      </w:r>
      <w:r>
        <w:rPr>
          <w:rFonts w:ascii="Arial"/>
          <w:i/>
          <w:color w:val="010101"/>
          <w:w w:val="110"/>
          <w:sz w:val="17"/>
        </w:rPr>
        <w:t>(t</w:t>
      </w:r>
      <w:r>
        <w:rPr>
          <w:rFonts w:ascii="Arial"/>
          <w:i/>
          <w:color w:val="010101"/>
          <w:spacing w:val="-5"/>
          <w:w w:val="110"/>
          <w:sz w:val="17"/>
        </w:rPr>
        <w:t> </w:t>
      </w:r>
      <w:r>
        <w:rPr>
          <w:rFonts w:ascii="Arial"/>
          <w:color w:val="010101"/>
          <w:w w:val="110"/>
          <w:sz w:val="31"/>
        </w:rPr>
        <w:t>+</w:t>
      </w:r>
      <w:r>
        <w:rPr>
          <w:rFonts w:ascii="Arial"/>
          <w:color w:val="010101"/>
          <w:spacing w:val="-60"/>
          <w:w w:val="110"/>
          <w:sz w:val="31"/>
        </w:rPr>
        <w:t> </w:t>
      </w:r>
      <w:r>
        <w:rPr>
          <w:color w:val="010101"/>
          <w:w w:val="110"/>
        </w:rPr>
        <w:t>1)-th</w:t>
      </w:r>
      <w:r>
        <w:rPr>
          <w:color w:val="010101"/>
          <w:spacing w:val="-20"/>
          <w:w w:val="110"/>
        </w:rPr>
        <w:t> </w:t>
      </w:r>
      <w:r>
        <w:rPr>
          <w:color w:val="010101"/>
          <w:w w:val="110"/>
        </w:rPr>
        <w:t>year;</w:t>
      </w:r>
      <w:r>
        <w:rPr>
          <w:color w:val="010101"/>
          <w:spacing w:val="-20"/>
          <w:w w:val="110"/>
        </w:rPr>
        <w:t> </w:t>
      </w:r>
      <w:r>
        <w:rPr>
          <w:color w:val="010101"/>
          <w:w w:val="110"/>
        </w:rPr>
        <w:t>and</w:t>
      </w:r>
      <w:r>
        <w:rPr>
          <w:color w:val="010101"/>
          <w:spacing w:val="-15"/>
          <w:w w:val="110"/>
        </w:rPr>
        <w:t> </w:t>
      </w:r>
      <w:r>
        <w:rPr>
          <w:color w:val="010101"/>
          <w:w w:val="110"/>
        </w:rPr>
        <w:t>the</w:t>
      </w:r>
      <w:r>
        <w:rPr>
          <w:color w:val="010101"/>
          <w:spacing w:val="-23"/>
          <w:w w:val="110"/>
        </w:rPr>
        <w:t> </w:t>
      </w:r>
      <w:r>
        <w:rPr>
          <w:color w:val="010101"/>
          <w:w w:val="110"/>
        </w:rPr>
        <w:t>expression,</w:t>
      </w:r>
      <w:r>
        <w:rPr>
          <w:color w:val="010101"/>
          <w:spacing w:val="-13"/>
          <w:w w:val="110"/>
        </w:rPr>
        <w:t> </w:t>
      </w:r>
      <w:r>
        <w:rPr>
          <w:color w:val="010101"/>
          <w:w w:val="110"/>
        </w:rPr>
        <w:t>qz+,0</w:t>
      </w:r>
      <w:r>
        <w:rPr>
          <w:color w:val="010101"/>
          <w:spacing w:val="4"/>
          <w:w w:val="110"/>
        </w:rPr>
        <w:t> </w:t>
      </w:r>
      <w:r>
        <w:rPr>
          <w:color w:val="010101"/>
          <w:w w:val="245"/>
        </w:rPr>
        <w:t>-</w:t>
      </w:r>
      <w:r>
        <w:rPr>
          <w:color w:val="010101"/>
          <w:spacing w:val="-86"/>
          <w:w w:val="245"/>
        </w:rPr>
        <w:t> </w:t>
      </w:r>
      <w:r>
        <w:rPr>
          <w:color w:val="010101"/>
        </w:rPr>
        <w:t>1+1V:r</w:t>
      </w:r>
      <w:r>
        <w:rPr>
          <w:color w:val="010101"/>
          <w:spacing w:val="-31"/>
        </w:rPr>
        <w:t> </w:t>
      </w:r>
      <w:r>
        <w:rPr>
          <w:color w:val="010101"/>
          <w:w w:val="110"/>
        </w:rPr>
        <w:t>),</w:t>
      </w:r>
    </w:p>
    <w:p>
      <w:pPr>
        <w:spacing w:line="242" w:lineRule="auto" w:before="0"/>
        <w:ind w:left="129" w:right="146" w:firstLine="7"/>
        <w:jc w:val="both"/>
        <w:rPr>
          <w:i/>
          <w:sz w:val="20"/>
        </w:rPr>
      </w:pPr>
      <w:r>
        <w:rPr>
          <w:color w:val="010101"/>
          <w:w w:val="105"/>
          <w:sz w:val="20"/>
        </w:rPr>
        <w:t>representing the insurer's expectation of having to pay the amount at risk, </w:t>
      </w:r>
      <w:r>
        <w:rPr>
          <w:color w:val="010101"/>
          <w:w w:val="105"/>
          <w:sz w:val="21"/>
        </w:rPr>
        <w:t>is </w:t>
      </w:r>
      <w:r>
        <w:rPr>
          <w:color w:val="010101"/>
          <w:w w:val="105"/>
          <w:sz w:val="20"/>
        </w:rPr>
        <w:t>caJled the </w:t>
      </w:r>
      <w:r>
        <w:rPr>
          <w:i/>
          <w:color w:val="010101"/>
          <w:w w:val="105"/>
          <w:sz w:val="20"/>
        </w:rPr>
        <w:t>cost </w:t>
      </w:r>
      <w:r>
        <w:rPr>
          <w:i/>
          <w:color w:val="010101"/>
          <w:w w:val="105"/>
          <w:sz w:val="19"/>
        </w:rPr>
        <w:t>of insurance </w:t>
      </w:r>
      <w:r>
        <w:rPr>
          <w:i/>
          <w:color w:val="010101"/>
          <w:w w:val="105"/>
          <w:sz w:val="20"/>
        </w:rPr>
        <w:t>based </w:t>
      </w:r>
      <w:r>
        <w:rPr>
          <w:i/>
          <w:color w:val="010101"/>
          <w:w w:val="105"/>
          <w:sz w:val="19"/>
        </w:rPr>
        <w:t>upon </w:t>
      </w:r>
      <w:r>
        <w:rPr>
          <w:i/>
          <w:color w:val="010101"/>
          <w:w w:val="105"/>
          <w:sz w:val="20"/>
        </w:rPr>
        <w:t>the </w:t>
      </w:r>
      <w:r>
        <w:rPr>
          <w:i/>
          <w:color w:val="010101"/>
          <w:w w:val="105"/>
          <w:sz w:val="19"/>
        </w:rPr>
        <w:t>nel </w:t>
      </w:r>
      <w:r>
        <w:rPr>
          <w:i/>
          <w:color w:val="010101"/>
          <w:w w:val="105"/>
          <w:sz w:val="20"/>
        </w:rPr>
        <w:t>amount  </w:t>
      </w:r>
      <w:r>
        <w:rPr>
          <w:i/>
          <w:color w:val="010101"/>
          <w:spacing w:val="3"/>
          <w:w w:val="105"/>
          <w:sz w:val="20"/>
        </w:rPr>
        <w:t> </w:t>
      </w:r>
      <w:r>
        <w:rPr>
          <w:i/>
          <w:color w:val="010101"/>
          <w:w w:val="105"/>
          <w:sz w:val="20"/>
        </w:rPr>
        <w:t>at</w:t>
      </w:r>
    </w:p>
    <w:p>
      <w:pPr>
        <w:spacing w:line="253" w:lineRule="exact" w:before="0"/>
        <w:ind w:left="129" w:right="0" w:firstLine="0"/>
        <w:jc w:val="both"/>
        <w:rPr>
          <w:sz w:val="20"/>
        </w:rPr>
      </w:pPr>
      <w:r>
        <w:rPr>
          <w:i/>
          <w:color w:val="010101"/>
          <w:w w:val="110"/>
          <w:sz w:val="19"/>
        </w:rPr>
        <w:t>risk </w:t>
      </w:r>
      <w:r>
        <w:rPr>
          <w:color w:val="010101"/>
          <w:w w:val="110"/>
          <w:sz w:val="20"/>
        </w:rPr>
        <w:t>for the  </w:t>
      </w:r>
      <w:r>
        <w:rPr>
          <w:rFonts w:ascii="Arial"/>
          <w:i/>
          <w:color w:val="010101"/>
          <w:w w:val="110"/>
          <w:sz w:val="17"/>
        </w:rPr>
        <w:t>(t </w:t>
      </w:r>
      <w:r>
        <w:rPr>
          <w:rFonts w:ascii="Arial"/>
          <w:color w:val="010101"/>
          <w:w w:val="110"/>
          <w:sz w:val="30"/>
        </w:rPr>
        <w:t>+ </w:t>
      </w:r>
      <w:r>
        <w:rPr>
          <w:color w:val="010101"/>
          <w:w w:val="110"/>
          <w:sz w:val="19"/>
        </w:rPr>
        <w:t>1</w:t>
      </w:r>
      <w:r>
        <w:rPr>
          <w:color w:val="010101"/>
          <w:w w:val="110"/>
          <w:sz w:val="20"/>
        </w:rPr>
        <w:t>)-th year.</w:t>
      </w:r>
    </w:p>
    <w:p>
      <w:pPr>
        <w:spacing w:after="0" w:line="253" w:lineRule="exact"/>
        <w:jc w:val="both"/>
        <w:rPr>
          <w:sz w:val="20"/>
        </w:rPr>
        <w:sectPr>
          <w:type w:val="continuous"/>
          <w:pgSz w:w="7200" w:h="11340"/>
          <w:pgMar w:top="1100" w:bottom="0" w:left="660" w:right="560"/>
        </w:sectPr>
      </w:pPr>
    </w:p>
    <w:p>
      <w:pPr>
        <w:tabs>
          <w:tab w:pos="1574" w:val="left" w:leader="none"/>
          <w:tab w:pos="5853" w:val="right" w:leader="none"/>
        </w:tabs>
        <w:spacing w:before="45"/>
        <w:ind w:left="132" w:right="0" w:firstLine="0"/>
        <w:jc w:val="left"/>
        <w:rPr>
          <w:sz w:val="21"/>
        </w:rPr>
      </w:pPr>
      <w:r>
        <w:rPr>
          <w:b/>
          <w:color w:val="010101"/>
          <w:sz w:val="15"/>
        </w:rPr>
        <w:t>SEC.</w:t>
      </w:r>
      <w:r>
        <w:rPr>
          <w:b/>
          <w:color w:val="010101"/>
          <w:spacing w:val="34"/>
          <w:sz w:val="15"/>
        </w:rPr>
        <w:t> </w:t>
      </w:r>
      <w:r>
        <w:rPr>
          <w:rFonts w:ascii="Arial"/>
          <w:b/>
          <w:color w:val="010101"/>
          <w:sz w:val="19"/>
        </w:rPr>
        <w:t>5)</w:t>
        <w:tab/>
      </w:r>
      <w:r>
        <w:rPr>
          <w:b/>
          <w:color w:val="010101"/>
          <w:sz w:val="15"/>
        </w:rPr>
        <w:t>SUCCESSIVE   TERMINAL </w:t>
      </w:r>
      <w:r>
        <w:rPr>
          <w:b/>
          <w:color w:val="010101"/>
          <w:spacing w:val="35"/>
          <w:sz w:val="15"/>
        </w:rPr>
        <w:t> </w:t>
      </w:r>
      <w:r>
        <w:rPr>
          <w:b/>
          <w:color w:val="010101"/>
          <w:sz w:val="15"/>
        </w:rPr>
        <w:t>RF.SERVE6</w:t>
      </w:r>
      <w:r>
        <w:rPr>
          <w:color w:val="010101"/>
          <w:sz w:val="21"/>
        </w:rPr>
        <w:tab/>
      </w:r>
      <w:r>
        <w:rPr>
          <w:color w:val="010101"/>
          <w:spacing w:val="-17"/>
          <w:sz w:val="21"/>
        </w:rPr>
        <w:t>107</w:t>
      </w:r>
    </w:p>
    <w:p>
      <w:pPr>
        <w:pStyle w:val="BodyText"/>
        <w:spacing w:line="247" w:lineRule="auto" w:before="237"/>
        <w:ind w:left="129" w:right="133" w:firstLine="193"/>
      </w:pPr>
      <w:r>
        <w:rPr>
          <w:color w:val="010101"/>
          <w:w w:val="105"/>
        </w:rPr>
        <w:t>This discussion need not </w:t>
      </w:r>
      <w:r>
        <w:rPr>
          <w:rFonts w:ascii="Arial"/>
          <w:color w:val="010101"/>
          <w:w w:val="105"/>
        </w:rPr>
        <w:t>be </w:t>
      </w:r>
      <w:r>
        <w:rPr>
          <w:color w:val="010101"/>
          <w:w w:val="105"/>
        </w:rPr>
        <w:t>confined </w:t>
      </w:r>
      <w:r>
        <w:rPr>
          <w:color w:val="010101"/>
          <w:w w:val="105"/>
          <w:sz w:val="21"/>
        </w:rPr>
        <w:t>to </w:t>
      </w:r>
      <w:r>
        <w:rPr>
          <w:color w:val="010101"/>
          <w:w w:val="105"/>
        </w:rPr>
        <w:t>ordinary </w:t>
      </w:r>
      <w:r>
        <w:rPr>
          <w:color w:val="010101"/>
          <w:w w:val="105"/>
          <w:sz w:val="21"/>
        </w:rPr>
        <w:t>lif</w:t>
      </w:r>
      <w:r>
        <w:rPr>
          <w:color w:val="010101"/>
          <w:w w:val="105"/>
        </w:rPr>
        <w:t>e insurance, and  the results may  </w:t>
      </w:r>
      <w:r>
        <w:rPr>
          <w:rFonts w:ascii="Arial"/>
          <w:color w:val="010101"/>
          <w:w w:val="105"/>
        </w:rPr>
        <w:t>be </w:t>
      </w:r>
      <w:r>
        <w:rPr>
          <w:color w:val="010101"/>
          <w:w w:val="105"/>
        </w:rPr>
        <w:t>generally  summarized  in the equations:</w:t>
      </w:r>
    </w:p>
    <w:p>
      <w:pPr>
        <w:spacing w:after="0" w:line="247" w:lineRule="auto"/>
        <w:sectPr>
          <w:pgSz w:w="7200" w:h="11340"/>
          <w:pgMar w:top="500" w:bottom="280" w:left="660" w:right="560"/>
        </w:sectPr>
      </w:pPr>
    </w:p>
    <w:p>
      <w:pPr>
        <w:spacing w:before="46"/>
        <w:ind w:left="1040" w:right="0" w:firstLine="0"/>
        <w:jc w:val="left"/>
        <w:rPr>
          <w:rFonts w:ascii="Arial"/>
          <w:i/>
          <w:sz w:val="19"/>
        </w:rPr>
      </w:pPr>
      <w:r>
        <w:rPr>
          <w:rFonts w:ascii="Arial"/>
          <w:i/>
          <w:color w:val="010101"/>
          <w:w w:val="105"/>
          <w:sz w:val="19"/>
        </w:rPr>
        <w:t>( ,V </w:t>
      </w:r>
      <w:r>
        <w:rPr>
          <w:rFonts w:ascii="Arial"/>
          <w:i/>
          <w:color w:val="010101"/>
          <w:w w:val="145"/>
          <w:sz w:val="19"/>
        </w:rPr>
        <w:t>+ </w:t>
      </w:r>
      <w:r>
        <w:rPr>
          <w:rFonts w:ascii="Arial"/>
          <w:color w:val="010101"/>
          <w:w w:val="105"/>
          <w:sz w:val="19"/>
        </w:rPr>
        <w:t>P) </w:t>
      </w:r>
      <w:r>
        <w:rPr>
          <w:color w:val="010101"/>
          <w:w w:val="105"/>
          <w:sz w:val="20"/>
        </w:rPr>
        <w:t>(1 </w:t>
      </w:r>
      <w:r>
        <w:rPr>
          <w:rFonts w:ascii="Arial"/>
          <w:color w:val="010101"/>
          <w:w w:val="105"/>
          <w:sz w:val="30"/>
        </w:rPr>
        <w:t>+ </w:t>
      </w:r>
      <w:r>
        <w:rPr>
          <w:color w:val="010101"/>
          <w:w w:val="115"/>
          <w:sz w:val="19"/>
        </w:rPr>
        <w:t>i)  </w:t>
      </w:r>
      <w:r>
        <w:rPr>
          <w:color w:val="010101"/>
          <w:w w:val="105"/>
          <w:sz w:val="23"/>
        </w:rPr>
        <w:t>= </w:t>
      </w:r>
      <w:r>
        <w:rPr>
          <w:i/>
          <w:color w:val="010101"/>
          <w:w w:val="105"/>
          <w:sz w:val="17"/>
        </w:rPr>
        <w:t>qz+, </w:t>
      </w:r>
      <w:r>
        <w:rPr>
          <w:rFonts w:ascii="Arial"/>
          <w:color w:val="010101"/>
          <w:w w:val="105"/>
          <w:sz w:val="30"/>
        </w:rPr>
        <w:t>+ </w:t>
      </w:r>
      <w:r>
        <w:rPr>
          <w:i/>
          <w:color w:val="010101"/>
          <w:w w:val="105"/>
          <w:sz w:val="17"/>
        </w:rPr>
        <w:t>Pz+t </w:t>
      </w:r>
      <w:r>
        <w:rPr>
          <w:i/>
          <w:color w:val="1D1D1D"/>
          <w:w w:val="105"/>
          <w:sz w:val="17"/>
        </w:rPr>
        <w:t>' </w:t>
      </w:r>
      <w:r>
        <w:rPr>
          <w:rFonts w:ascii="Arial"/>
          <w:i/>
          <w:color w:val="010101"/>
          <w:w w:val="105"/>
          <w:sz w:val="19"/>
        </w:rPr>
        <w:t>,+1V,</w:t>
      </w:r>
    </w:p>
    <w:p>
      <w:pPr>
        <w:spacing w:before="9"/>
        <w:ind w:left="1044" w:right="0" w:firstLine="0"/>
        <w:jc w:val="left"/>
        <w:rPr>
          <w:b/>
          <w:sz w:val="21"/>
        </w:rPr>
      </w:pPr>
      <w:r>
        <w:rPr>
          <w:b/>
          <w:i/>
          <w:color w:val="010101"/>
          <w:w w:val="95"/>
          <w:sz w:val="21"/>
        </w:rPr>
        <w:t>( ,V </w:t>
      </w:r>
      <w:r>
        <w:rPr>
          <w:b/>
          <w:i/>
          <w:color w:val="010101"/>
          <w:w w:val="120"/>
          <w:sz w:val="21"/>
        </w:rPr>
        <w:t>+ </w:t>
      </w:r>
      <w:r>
        <w:rPr>
          <w:b/>
          <w:color w:val="010101"/>
          <w:w w:val="120"/>
          <w:sz w:val="19"/>
        </w:rPr>
        <w:t>P) (l </w:t>
      </w:r>
      <w:r>
        <w:rPr>
          <w:rFonts w:ascii="Arial"/>
          <w:color w:val="010101"/>
          <w:w w:val="120"/>
          <w:sz w:val="30"/>
        </w:rPr>
        <w:t>+</w:t>
      </w:r>
      <w:r>
        <w:rPr>
          <w:rFonts w:ascii="Arial"/>
          <w:color w:val="010101"/>
          <w:spacing w:val="-58"/>
          <w:w w:val="120"/>
          <w:sz w:val="30"/>
        </w:rPr>
        <w:t> </w:t>
      </w:r>
      <w:r>
        <w:rPr>
          <w:color w:val="010101"/>
          <w:w w:val="120"/>
          <w:sz w:val="19"/>
        </w:rPr>
        <w:t>i) </w:t>
      </w:r>
      <w:r>
        <w:rPr>
          <w:color w:val="010101"/>
          <w:w w:val="115"/>
          <w:sz w:val="26"/>
        </w:rPr>
        <w:t>= </w:t>
      </w:r>
      <w:r>
        <w:rPr>
          <w:b/>
          <w:i/>
          <w:color w:val="010101"/>
          <w:w w:val="95"/>
          <w:sz w:val="21"/>
        </w:rPr>
        <w:t>1+1V </w:t>
      </w:r>
      <w:r>
        <w:rPr>
          <w:rFonts w:ascii="Arial"/>
          <w:color w:val="010101"/>
          <w:w w:val="120"/>
          <w:sz w:val="31"/>
        </w:rPr>
        <w:t>+</w:t>
      </w:r>
      <w:r>
        <w:rPr>
          <w:rFonts w:ascii="Arial"/>
          <w:color w:val="010101"/>
          <w:spacing w:val="-61"/>
          <w:w w:val="120"/>
          <w:sz w:val="31"/>
        </w:rPr>
        <w:t> </w:t>
      </w:r>
      <w:r>
        <w:rPr>
          <w:b/>
          <w:color w:val="010101"/>
          <w:w w:val="95"/>
          <w:sz w:val="19"/>
        </w:rPr>
        <w:t>qz+e </w:t>
      </w:r>
      <w:r>
        <w:rPr>
          <w:b/>
          <w:color w:val="010101"/>
          <w:w w:val="120"/>
          <w:sz w:val="19"/>
        </w:rPr>
        <w:t>(l </w:t>
      </w:r>
      <w:r>
        <w:rPr>
          <w:color w:val="010101"/>
          <w:w w:val="270"/>
          <w:sz w:val="19"/>
        </w:rPr>
        <w:t>-</w:t>
      </w:r>
      <w:r>
        <w:rPr>
          <w:color w:val="010101"/>
          <w:spacing w:val="-79"/>
          <w:w w:val="270"/>
          <w:sz w:val="19"/>
        </w:rPr>
        <w:t> </w:t>
      </w:r>
      <w:r>
        <w:rPr>
          <w:b/>
          <w:color w:val="010101"/>
          <w:w w:val="95"/>
          <w:sz w:val="21"/>
        </w:rPr>
        <w:t>e+1V).</w:t>
      </w:r>
    </w:p>
    <w:p>
      <w:pPr>
        <w:pStyle w:val="BodyText"/>
        <w:spacing w:before="126"/>
        <w:ind w:left="328" w:right="-19"/>
      </w:pPr>
      <w:r>
        <w:rPr/>
        <w:br w:type="column"/>
      </w:r>
      <w:r>
        <w:rPr>
          <w:color w:val="010101"/>
          <w:w w:val="105"/>
        </w:rPr>
        <w:t>(5.16)</w:t>
      </w:r>
    </w:p>
    <w:p>
      <w:pPr>
        <w:pStyle w:val="BodyText"/>
        <w:spacing w:before="129"/>
        <w:ind w:left="336" w:right="-19"/>
      </w:pPr>
      <w:r>
        <w:rPr>
          <w:color w:val="010101"/>
        </w:rPr>
        <w:t>(5.17 )</w:t>
      </w:r>
    </w:p>
    <w:p>
      <w:pPr>
        <w:spacing w:after="0"/>
        <w:sectPr>
          <w:type w:val="continuous"/>
          <w:pgSz w:w="7200" w:h="11340"/>
          <w:pgMar w:top="1100" w:bottom="0" w:left="660" w:right="560"/>
          <w:cols w:num="2" w:equalWidth="0">
            <w:col w:w="4970" w:space="40"/>
            <w:col w:w="970"/>
          </w:cols>
        </w:sectPr>
      </w:pPr>
    </w:p>
    <w:p>
      <w:pPr>
        <w:pStyle w:val="BodyText"/>
        <w:spacing w:line="240" w:lineRule="exact" w:before="84"/>
        <w:ind w:left="132" w:right="122" w:firstLine="7"/>
        <w:jc w:val="both"/>
      </w:pPr>
      <w:r>
        <w:rPr>
          <w:color w:val="010101"/>
          <w:w w:val="105"/>
        </w:rPr>
        <w:t>With </w:t>
      </w:r>
      <w:r>
        <w:rPr>
          <w:i/>
          <w:color w:val="010101"/>
          <w:w w:val="105"/>
        </w:rPr>
        <w:t>P </w:t>
      </w:r>
      <w:r>
        <w:rPr>
          <w:color w:val="010101"/>
          <w:w w:val="105"/>
          <w:sz w:val="26"/>
        </w:rPr>
        <w:t>= </w:t>
      </w:r>
      <w:r>
        <w:rPr>
          <w:color w:val="010101"/>
          <w:w w:val="105"/>
          <w:sz w:val="21"/>
        </w:rPr>
        <w:t>O, </w:t>
      </w:r>
      <w:r>
        <w:rPr>
          <w:color w:val="010101"/>
          <w:w w:val="105"/>
        </w:rPr>
        <w:t>these equations apply also to single premium insur­ ance and to limited-payment insurance when </w:t>
      </w:r>
      <w:r>
        <w:rPr>
          <w:i/>
          <w:color w:val="010101"/>
          <w:w w:val="105"/>
          <w:sz w:val="21"/>
        </w:rPr>
        <w:t>t </w:t>
      </w:r>
      <w:r>
        <w:rPr>
          <w:color w:val="010101"/>
          <w:w w:val="105"/>
        </w:rPr>
        <w:t>exceeds the pre­ mium-paying period.</w:t>
      </w:r>
    </w:p>
    <w:p>
      <w:pPr>
        <w:pStyle w:val="BodyText"/>
        <w:spacing w:before="9"/>
        <w:ind w:left="330" w:right="739"/>
      </w:pPr>
      <w:r>
        <w:rPr>
          <w:color w:val="010101"/>
          <w:w w:val="105"/>
        </w:rPr>
        <w:t>Solving equation  (5.17) for </w:t>
      </w:r>
      <w:r>
        <w:rPr>
          <w:rFonts w:ascii="Arial"/>
          <w:i/>
          <w:color w:val="010101"/>
          <w:w w:val="105"/>
        </w:rPr>
        <w:t>P, </w:t>
      </w:r>
      <w:r>
        <w:rPr>
          <w:color w:val="010101"/>
          <w:w w:val="105"/>
        </w:rPr>
        <w:t>we  obtain</w:t>
      </w:r>
    </w:p>
    <w:p>
      <w:pPr>
        <w:spacing w:before="53"/>
        <w:ind w:left="1226" w:right="739" w:firstLine="0"/>
        <w:jc w:val="left"/>
        <w:rPr>
          <w:rFonts w:ascii="Arial" w:hAnsi="Arial"/>
          <w:i/>
          <w:sz w:val="21"/>
        </w:rPr>
      </w:pPr>
      <w:r>
        <w:rPr>
          <w:rFonts w:ascii="Arial" w:hAnsi="Arial"/>
          <w:i/>
          <w:color w:val="010101"/>
          <w:sz w:val="21"/>
        </w:rPr>
        <w:t>P </w:t>
      </w:r>
      <w:r>
        <w:rPr>
          <w:color w:val="010101"/>
          <w:sz w:val="26"/>
        </w:rPr>
        <w:t>= </w:t>
      </w:r>
      <w:r>
        <w:rPr>
          <w:color w:val="010101"/>
          <w:sz w:val="18"/>
        </w:rPr>
        <w:t>vqs+e </w:t>
      </w:r>
      <w:r>
        <w:rPr>
          <w:color w:val="010101"/>
          <w:w w:val="130"/>
          <w:sz w:val="18"/>
        </w:rPr>
        <w:t>(l </w:t>
      </w:r>
      <w:r>
        <w:rPr>
          <w:color w:val="010101"/>
          <w:w w:val="275"/>
          <w:sz w:val="18"/>
        </w:rPr>
        <w:t>- </w:t>
      </w:r>
      <w:r>
        <w:rPr>
          <w:rFonts w:ascii="Arial" w:hAnsi="Arial"/>
          <w:i/>
          <w:color w:val="010101"/>
          <w:sz w:val="19"/>
        </w:rPr>
        <w:t>1+1V ) </w:t>
      </w:r>
      <w:r>
        <w:rPr>
          <w:color w:val="010101"/>
          <w:sz w:val="29"/>
        </w:rPr>
        <w:t>+ </w:t>
      </w:r>
      <w:r>
        <w:rPr>
          <w:rFonts w:ascii="Arial" w:hAnsi="Arial"/>
          <w:i/>
          <w:color w:val="010101"/>
          <w:sz w:val="19"/>
        </w:rPr>
        <w:t>(v·1+1V </w:t>
      </w:r>
      <w:r>
        <w:rPr>
          <w:rFonts w:ascii="Arial" w:hAnsi="Arial"/>
          <w:color w:val="010101"/>
          <w:w w:val="275"/>
          <w:sz w:val="19"/>
        </w:rPr>
        <w:t>-</w:t>
      </w:r>
      <w:r>
        <w:rPr>
          <w:rFonts w:ascii="Arial" w:hAnsi="Arial"/>
          <w:color w:val="010101"/>
          <w:spacing w:val="-95"/>
          <w:w w:val="275"/>
          <w:sz w:val="19"/>
        </w:rPr>
        <w:t> </w:t>
      </w:r>
      <w:r>
        <w:rPr>
          <w:rFonts w:ascii="Arial" w:hAnsi="Arial"/>
          <w:i/>
          <w:color w:val="010101"/>
          <w:spacing w:val="3"/>
          <w:sz w:val="21"/>
        </w:rPr>
        <w:t>,V).</w:t>
      </w:r>
    </w:p>
    <w:p>
      <w:pPr>
        <w:pStyle w:val="BodyText"/>
        <w:spacing w:line="247" w:lineRule="auto" w:before="97"/>
        <w:ind w:left="125" w:right="122" w:firstLine="7"/>
        <w:jc w:val="both"/>
      </w:pPr>
      <w:r>
        <w:rPr>
          <w:color w:val="010101"/>
          <w:w w:val="105"/>
        </w:rPr>
        <w:t>This equation demonstrates that the net annual premium is </w:t>
      </w:r>
      <w:r>
        <w:rPr>
          <w:color w:val="010101"/>
          <w:w w:val="105"/>
          <w:sz w:val="21"/>
        </w:rPr>
        <w:t>suffi­ </w:t>
      </w:r>
      <w:r>
        <w:rPr>
          <w:color w:val="010101"/>
          <w:w w:val="105"/>
        </w:rPr>
        <w:t>cient in any year </w:t>
      </w:r>
      <w:r>
        <w:rPr>
          <w:color w:val="010101"/>
          <w:w w:val="105"/>
          <w:sz w:val="21"/>
        </w:rPr>
        <w:t>to </w:t>
      </w:r>
      <w:r>
        <w:rPr>
          <w:color w:val="010101"/>
          <w:w w:val="105"/>
        </w:rPr>
        <w:t>provide </w:t>
      </w:r>
      <w:r>
        <w:rPr>
          <w:rFonts w:ascii="Arial" w:hAnsi="Arial"/>
          <w:color w:val="010101"/>
          <w:w w:val="105"/>
          <w:sz w:val="19"/>
        </w:rPr>
        <w:t>(1) </w:t>
      </w:r>
      <w:r>
        <w:rPr>
          <w:color w:val="010101"/>
          <w:w w:val="105"/>
        </w:rPr>
        <w:t>an amount which will accumulate with interest to the cost of  insurance  based  upon  the net amount at risk and (2) an amount which together with the previous </w:t>
      </w:r>
      <w:r>
        <w:rPr>
          <w:color w:val="010101"/>
          <w:spacing w:val="-1"/>
          <w:w w:val="115"/>
        </w:rPr>
        <w:t>year</w:t>
      </w:r>
      <w:r>
        <w:rPr>
          <w:color w:val="010101"/>
          <w:spacing w:val="-1"/>
          <w:w w:val="115"/>
          <w:position w:val="8"/>
          <w:sz w:val="9"/>
        </w:rPr>
        <w:t>1</w:t>
      </w:r>
      <w:r>
        <w:rPr>
          <w:color w:val="010101"/>
          <w:spacing w:val="-1"/>
          <w:w w:val="115"/>
        </w:rPr>
        <w:t>s</w:t>
      </w:r>
      <w:r>
        <w:rPr>
          <w:color w:val="010101"/>
          <w:w w:val="115"/>
        </w:rPr>
        <w:t> </w:t>
      </w:r>
      <w:r>
        <w:rPr>
          <w:color w:val="010101"/>
          <w:w w:val="102"/>
        </w:rPr>
        <w:t>reserve </w:t>
      </w:r>
      <w:r>
        <w:rPr>
          <w:color w:val="010101"/>
          <w:w w:val="92"/>
          <w:sz w:val="21"/>
        </w:rPr>
        <w:t>will </w:t>
      </w:r>
      <w:r>
        <w:rPr>
          <w:color w:val="010101"/>
          <w:w w:val="105"/>
        </w:rPr>
        <w:t>accumulate </w:t>
      </w:r>
      <w:r>
        <w:rPr>
          <w:color w:val="010101"/>
          <w:w w:val="103"/>
        </w:rPr>
        <w:t>with </w:t>
      </w:r>
      <w:r>
        <w:rPr>
          <w:color w:val="010101"/>
          <w:w w:val="107"/>
        </w:rPr>
        <w:t>interest </w:t>
      </w:r>
      <w:r>
        <w:rPr>
          <w:color w:val="010101"/>
          <w:w w:val="112"/>
        </w:rPr>
        <w:t>to </w:t>
      </w:r>
      <w:r>
        <w:rPr>
          <w:color w:val="010101"/>
          <w:w w:val="109"/>
        </w:rPr>
        <w:t>the </w:t>
      </w:r>
      <w:r>
        <w:rPr>
          <w:color w:val="010101"/>
          <w:w w:val="105"/>
        </w:rPr>
        <w:t>terminal </w:t>
      </w:r>
      <w:r>
        <w:rPr>
          <w:color w:val="010101"/>
          <w:w w:val="92"/>
          <w:sz w:val="21"/>
        </w:rPr>
        <w:t>re­  </w:t>
      </w:r>
      <w:r>
        <w:rPr>
          <w:color w:val="010101"/>
          <w:w w:val="105"/>
        </w:rPr>
        <w:t>serve for the  current</w:t>
      </w:r>
      <w:r>
        <w:rPr>
          <w:color w:val="010101"/>
          <w:spacing w:val="32"/>
          <w:w w:val="105"/>
        </w:rPr>
        <w:t> </w:t>
      </w:r>
      <w:r>
        <w:rPr>
          <w:color w:val="010101"/>
          <w:w w:val="105"/>
        </w:rPr>
        <w:t>year.</w:t>
      </w:r>
    </w:p>
    <w:p>
      <w:pPr>
        <w:pStyle w:val="BodyText"/>
        <w:spacing w:line="249" w:lineRule="auto" w:before="4"/>
        <w:ind w:left="132" w:right="119" w:firstLine="200"/>
        <w:jc w:val="both"/>
      </w:pPr>
      <w:r>
        <w:rPr>
          <w:color w:val="010101"/>
          <w:w w:val="105"/>
        </w:rPr>
        <w:t>This analysis suggests that the reserve can be expressed as the accumulation of the net premiums with int.erest minus the ac­ cumulation at interest of the cost of insurance based upon the net amount at risk. We can obtain an algebraic justification by writing (5.17) as</w:t>
      </w:r>
    </w:p>
    <w:p>
      <w:pPr>
        <w:spacing w:before="44"/>
        <w:ind w:left="1226" w:right="739" w:firstLine="0"/>
        <w:jc w:val="left"/>
        <w:rPr>
          <w:b/>
          <w:i/>
          <w:sz w:val="16"/>
        </w:rPr>
      </w:pPr>
      <w:r>
        <w:rPr>
          <w:color w:val="010101"/>
          <w:w w:val="145"/>
          <w:sz w:val="13"/>
        </w:rPr>
        <w:t>Hl </w:t>
      </w:r>
      <w:r>
        <w:rPr>
          <w:i/>
          <w:color w:val="010101"/>
          <w:w w:val="120"/>
          <w:sz w:val="20"/>
        </w:rPr>
        <w:t>V </w:t>
      </w:r>
      <w:r>
        <w:rPr>
          <w:color w:val="010101"/>
          <w:w w:val="255"/>
          <w:sz w:val="20"/>
        </w:rPr>
        <w:t>-</w:t>
      </w:r>
      <w:r>
        <w:rPr>
          <w:color w:val="010101"/>
          <w:spacing w:val="-50"/>
          <w:w w:val="255"/>
          <w:sz w:val="20"/>
        </w:rPr>
        <w:t> </w:t>
      </w:r>
      <w:r>
        <w:rPr>
          <w:color w:val="010101"/>
          <w:w w:val="120"/>
          <w:sz w:val="20"/>
        </w:rPr>
        <w:t>(1 </w:t>
      </w:r>
      <w:r>
        <w:rPr>
          <w:rFonts w:ascii="Arial"/>
          <w:color w:val="010101"/>
          <w:w w:val="120"/>
          <w:sz w:val="30"/>
        </w:rPr>
        <w:t>+</w:t>
      </w:r>
      <w:r>
        <w:rPr>
          <w:rFonts w:ascii="Arial"/>
          <w:color w:val="010101"/>
          <w:spacing w:val="-51"/>
          <w:w w:val="120"/>
          <w:sz w:val="30"/>
        </w:rPr>
        <w:t> </w:t>
      </w:r>
      <w:r>
        <w:rPr>
          <w:color w:val="010101"/>
          <w:spacing w:val="5"/>
          <w:w w:val="120"/>
          <w:sz w:val="19"/>
        </w:rPr>
        <w:t>i)</w:t>
      </w:r>
      <w:r>
        <w:rPr>
          <w:i/>
          <w:color w:val="010101"/>
          <w:spacing w:val="5"/>
          <w:w w:val="120"/>
          <w:sz w:val="14"/>
        </w:rPr>
        <w:t>t </w:t>
      </w:r>
      <w:r>
        <w:rPr>
          <w:i/>
          <w:color w:val="010101"/>
          <w:w w:val="120"/>
          <w:sz w:val="20"/>
        </w:rPr>
        <w:t>V </w:t>
      </w:r>
      <w:r>
        <w:rPr>
          <w:color w:val="010101"/>
          <w:w w:val="120"/>
          <w:sz w:val="23"/>
        </w:rPr>
        <w:t>= </w:t>
      </w:r>
      <w:r>
        <w:rPr>
          <w:i/>
          <w:color w:val="010101"/>
          <w:w w:val="120"/>
          <w:sz w:val="20"/>
        </w:rPr>
        <w:t>P </w:t>
      </w:r>
      <w:r>
        <w:rPr>
          <w:color w:val="010101"/>
          <w:w w:val="120"/>
          <w:sz w:val="20"/>
        </w:rPr>
        <w:t>(1 </w:t>
      </w:r>
      <w:r>
        <w:rPr>
          <w:rFonts w:ascii="Arial"/>
          <w:color w:val="010101"/>
          <w:w w:val="120"/>
          <w:sz w:val="30"/>
        </w:rPr>
        <w:t>+</w:t>
      </w:r>
      <w:r>
        <w:rPr>
          <w:rFonts w:ascii="Arial"/>
          <w:color w:val="010101"/>
          <w:spacing w:val="-51"/>
          <w:w w:val="120"/>
          <w:sz w:val="30"/>
        </w:rPr>
        <w:t> </w:t>
      </w:r>
      <w:r>
        <w:rPr>
          <w:color w:val="010101"/>
          <w:w w:val="120"/>
          <w:sz w:val="20"/>
        </w:rPr>
        <w:t>i) </w:t>
      </w:r>
      <w:r>
        <w:rPr>
          <w:color w:val="010101"/>
          <w:w w:val="255"/>
          <w:sz w:val="20"/>
        </w:rPr>
        <w:t>-</w:t>
      </w:r>
      <w:r>
        <w:rPr>
          <w:color w:val="010101"/>
          <w:spacing w:val="-84"/>
          <w:w w:val="255"/>
          <w:sz w:val="20"/>
        </w:rPr>
        <w:t> </w:t>
      </w:r>
      <w:r>
        <w:rPr>
          <w:b/>
          <w:i/>
          <w:color w:val="010101"/>
          <w:w w:val="120"/>
          <w:sz w:val="16"/>
        </w:rPr>
        <w:t>K </w:t>
      </w:r>
      <w:r>
        <w:rPr>
          <w:b/>
          <w:i/>
          <w:color w:val="010101"/>
          <w:sz w:val="16"/>
        </w:rPr>
        <w:t>z+&amp;</w:t>
      </w:r>
    </w:p>
    <w:p>
      <w:pPr>
        <w:spacing w:line="156" w:lineRule="auto" w:before="127"/>
        <w:ind w:left="132" w:right="134" w:firstLine="0"/>
        <w:jc w:val="both"/>
        <w:rPr>
          <w:sz w:val="20"/>
        </w:rPr>
      </w:pPr>
      <w:r>
        <w:rPr>
          <w:color w:val="010101"/>
          <w:w w:val="110"/>
          <w:sz w:val="20"/>
        </w:rPr>
        <w:t>where </w:t>
      </w:r>
      <w:r>
        <w:rPr>
          <w:i/>
          <w:color w:val="010101"/>
          <w:w w:val="115"/>
          <w:sz w:val="15"/>
        </w:rPr>
        <w:t>K </w:t>
      </w:r>
      <w:r>
        <w:rPr>
          <w:i/>
          <w:color w:val="010101"/>
          <w:w w:val="110"/>
          <w:sz w:val="15"/>
        </w:rPr>
        <w:t>z+t </w:t>
      </w:r>
      <w:r>
        <w:rPr>
          <w:color w:val="010101"/>
          <w:w w:val="110"/>
          <w:sz w:val="26"/>
        </w:rPr>
        <w:t>= </w:t>
      </w:r>
      <w:r>
        <w:rPr>
          <w:i/>
          <w:color w:val="010101"/>
          <w:w w:val="110"/>
          <w:sz w:val="17"/>
        </w:rPr>
        <w:t>qz+i </w:t>
      </w:r>
      <w:r>
        <w:rPr>
          <w:color w:val="010101"/>
          <w:w w:val="115"/>
          <w:sz w:val="19"/>
        </w:rPr>
        <w:t>(l </w:t>
      </w:r>
      <w:r>
        <w:rPr>
          <w:color w:val="010101"/>
          <w:w w:val="260"/>
          <w:sz w:val="19"/>
        </w:rPr>
        <w:t>- </w:t>
      </w:r>
      <w:r>
        <w:rPr>
          <w:color w:val="010101"/>
          <w:w w:val="110"/>
          <w:sz w:val="17"/>
        </w:rPr>
        <w:t>,+1</w:t>
      </w:r>
      <w:r>
        <w:rPr>
          <w:color w:val="010101"/>
          <w:w w:val="110"/>
          <w:sz w:val="20"/>
        </w:rPr>
        <w:t>V), the cost oí insurance ha.sed upon the net amount </w:t>
      </w:r>
      <w:r>
        <w:rPr>
          <w:color w:val="010101"/>
          <w:w w:val="115"/>
          <w:sz w:val="20"/>
        </w:rPr>
        <w:t>at </w:t>
      </w:r>
      <w:r>
        <w:rPr>
          <w:color w:val="010101"/>
          <w:w w:val="110"/>
          <w:sz w:val="20"/>
        </w:rPr>
        <w:t>risk  for the  </w:t>
      </w:r>
      <w:r>
        <w:rPr>
          <w:rFonts w:ascii="Arial" w:hAnsi="Arial"/>
          <w:i/>
          <w:color w:val="010101"/>
          <w:w w:val="110"/>
          <w:sz w:val="19"/>
        </w:rPr>
        <w:t>(t  </w:t>
      </w:r>
      <w:r>
        <w:rPr>
          <w:rFonts w:ascii="Arial" w:hAnsi="Arial"/>
          <w:color w:val="010101"/>
          <w:w w:val="110"/>
          <w:sz w:val="30"/>
        </w:rPr>
        <w:t>+ </w:t>
      </w:r>
      <w:r>
        <w:rPr>
          <w:color w:val="010101"/>
          <w:w w:val="110"/>
          <w:sz w:val="20"/>
        </w:rPr>
        <w:t>1)-th year. Multiplying  by </w:t>
      </w:r>
      <w:r>
        <w:rPr>
          <w:color w:val="010101"/>
          <w:w w:val="115"/>
          <w:sz w:val="19"/>
        </w:rPr>
        <w:t>(l  </w:t>
      </w:r>
      <w:r>
        <w:rPr>
          <w:rFonts w:ascii="Arial" w:hAnsi="Arial"/>
          <w:color w:val="010101"/>
          <w:w w:val="110"/>
          <w:sz w:val="30"/>
        </w:rPr>
        <w:t>+ </w:t>
      </w:r>
      <w:r>
        <w:rPr>
          <w:color w:val="010101"/>
          <w:w w:val="150"/>
          <w:sz w:val="19"/>
        </w:rPr>
        <w:t>i)</w:t>
      </w:r>
      <w:r>
        <w:rPr>
          <w:i/>
          <w:color w:val="010101"/>
          <w:w w:val="150"/>
          <w:sz w:val="12"/>
        </w:rPr>
        <w:t>n-t-i </w:t>
      </w:r>
      <w:r>
        <w:rPr>
          <w:color w:val="010101"/>
          <w:w w:val="110"/>
          <w:sz w:val="20"/>
        </w:rPr>
        <w:t>and summing, we have</w:t>
      </w:r>
    </w:p>
    <w:p>
      <w:pPr>
        <w:spacing w:line="341" w:lineRule="exact" w:before="126"/>
        <w:ind w:left="157" w:right="0" w:firstLine="0"/>
        <w:jc w:val="both"/>
        <w:rPr>
          <w:sz w:val="21"/>
        </w:rPr>
      </w:pPr>
      <w:r>
        <w:rPr/>
        <w:pict>
          <v:shape style="position:absolute;margin-left:39.820629pt;margin-top:6.827673pt;width:14.25pt;height:7pt;mso-position-horizontal-relative:page;mso-position-vertical-relative:paragraph;z-index:-726208" type="#_x0000_t202" filled="false" stroked="false">
            <v:textbox inset="0,0,0,0">
              <w:txbxContent>
                <w:p>
                  <w:pPr>
                    <w:spacing w:line="140" w:lineRule="exact" w:before="0"/>
                    <w:ind w:left="0" w:right="-20" w:firstLine="0"/>
                    <w:jc w:val="left"/>
                    <w:rPr>
                      <w:sz w:val="14"/>
                    </w:rPr>
                  </w:pPr>
                  <w:r>
                    <w:rPr>
                      <w:color w:val="010101"/>
                      <w:w w:val="232"/>
                      <w:sz w:val="14"/>
                    </w:rPr>
                    <w:t>•</w:t>
                  </w:r>
                  <w:r>
                    <w:rPr>
                      <w:color w:val="010101"/>
                      <w:spacing w:val="-19"/>
                      <w:w w:val="232"/>
                      <w:sz w:val="14"/>
                    </w:rPr>
                    <w:t>-</w:t>
                  </w:r>
                  <w:r>
                    <w:rPr>
                      <w:color w:val="010101"/>
                      <w:w w:val="115"/>
                      <w:sz w:val="14"/>
                    </w:rPr>
                    <w:t>1</w:t>
                  </w:r>
                </w:p>
              </w:txbxContent>
            </v:textbox>
            <w10:wrap type="none"/>
          </v:shape>
        </w:pict>
      </w:r>
      <w:r>
        <w:rPr>
          <w:b/>
          <w:i/>
          <w:color w:val="010101"/>
          <w:w w:val="120"/>
          <w:sz w:val="34"/>
        </w:rPr>
        <w:t>L </w:t>
      </w:r>
      <w:r>
        <w:rPr>
          <w:rFonts w:ascii="Arial"/>
          <w:color w:val="010101"/>
          <w:w w:val="120"/>
          <w:sz w:val="19"/>
        </w:rPr>
        <w:t>[ (1 </w:t>
      </w:r>
      <w:r>
        <w:rPr>
          <w:rFonts w:ascii="Arial"/>
          <w:color w:val="010101"/>
          <w:w w:val="120"/>
          <w:sz w:val="30"/>
        </w:rPr>
        <w:t>+</w:t>
      </w:r>
      <w:r>
        <w:rPr>
          <w:rFonts w:ascii="Arial"/>
          <w:color w:val="010101"/>
          <w:spacing w:val="-52"/>
          <w:w w:val="120"/>
          <w:sz w:val="30"/>
        </w:rPr>
        <w:t> </w:t>
      </w:r>
      <w:r>
        <w:rPr>
          <w:color w:val="010101"/>
          <w:w w:val="140"/>
          <w:sz w:val="19"/>
        </w:rPr>
        <w:t>i) </w:t>
      </w:r>
      <w:r>
        <w:rPr>
          <w:color w:val="010101"/>
          <w:w w:val="120"/>
          <w:sz w:val="19"/>
        </w:rPr>
        <w:t>n-H </w:t>
      </w:r>
      <w:r>
        <w:rPr>
          <w:rFonts w:ascii="Arial"/>
          <w:i/>
          <w:color w:val="010101"/>
          <w:w w:val="140"/>
          <w:sz w:val="14"/>
        </w:rPr>
        <w:t>t+lV </w:t>
      </w:r>
      <w:r>
        <w:rPr>
          <w:rFonts w:ascii="Arial"/>
          <w:color w:val="010101"/>
          <w:w w:val="310"/>
          <w:sz w:val="14"/>
        </w:rPr>
        <w:t>- </w:t>
      </w:r>
      <w:r>
        <w:rPr>
          <w:rFonts w:ascii="Arial"/>
          <w:color w:val="010101"/>
          <w:w w:val="155"/>
          <w:sz w:val="18"/>
        </w:rPr>
        <w:t>(l </w:t>
      </w:r>
      <w:r>
        <w:rPr>
          <w:rFonts w:ascii="Arial"/>
          <w:color w:val="010101"/>
          <w:w w:val="120"/>
          <w:sz w:val="30"/>
        </w:rPr>
        <w:t>+</w:t>
      </w:r>
      <w:r>
        <w:rPr>
          <w:rFonts w:ascii="Arial"/>
          <w:color w:val="010101"/>
          <w:spacing w:val="-55"/>
          <w:w w:val="120"/>
          <w:sz w:val="30"/>
        </w:rPr>
        <w:t> </w:t>
      </w:r>
      <w:r>
        <w:rPr>
          <w:i/>
          <w:color w:val="010101"/>
          <w:w w:val="120"/>
          <w:sz w:val="19"/>
        </w:rPr>
        <w:t>i)n-t </w:t>
      </w:r>
      <w:r>
        <w:rPr>
          <w:color w:val="010101"/>
          <w:w w:val="110"/>
          <w:sz w:val="21"/>
        </w:rPr>
        <w:t>,V]</w:t>
      </w:r>
    </w:p>
    <w:p>
      <w:pPr>
        <w:spacing w:line="169" w:lineRule="exact" w:before="0"/>
        <w:ind w:left="147" w:right="0" w:firstLine="0"/>
        <w:jc w:val="both"/>
        <w:rPr>
          <w:b/>
          <w:sz w:val="19"/>
        </w:rPr>
      </w:pPr>
      <w:r>
        <w:rPr>
          <w:b/>
          <w:color w:val="010101"/>
          <w:w w:val="110"/>
          <w:sz w:val="19"/>
        </w:rPr>
        <w:t>,-o</w:t>
      </w:r>
    </w:p>
    <w:p>
      <w:pPr>
        <w:tabs>
          <w:tab w:pos="3878" w:val="left" w:leader="none"/>
        </w:tabs>
        <w:spacing w:line="91" w:lineRule="exact" w:before="94"/>
        <w:ind w:left="2120" w:right="739" w:firstLine="0"/>
        <w:jc w:val="left"/>
        <w:rPr>
          <w:rFonts w:ascii="Arial"/>
          <w:sz w:val="12"/>
        </w:rPr>
      </w:pPr>
      <w:r>
        <w:rPr/>
        <w:pict>
          <v:shape style="position:absolute;margin-left:138.834106pt;margin-top:7.258373pt;width:10.25pt;height:17pt;mso-position-horizontal-relative:page;mso-position-vertical-relative:paragraph;z-index:-726184" type="#_x0000_t202" filled="false" stroked="false">
            <v:textbox inset="0,0,0,0">
              <w:txbxContent>
                <w:p>
                  <w:pPr>
                    <w:spacing w:line="340" w:lineRule="exact" w:before="0"/>
                    <w:ind w:left="0" w:right="0" w:firstLine="0"/>
                    <w:jc w:val="left"/>
                    <w:rPr>
                      <w:i/>
                      <w:sz w:val="34"/>
                    </w:rPr>
                  </w:pPr>
                  <w:r>
                    <w:rPr>
                      <w:i/>
                      <w:color w:val="010101"/>
                      <w:w w:val="107"/>
                      <w:sz w:val="34"/>
                    </w:rPr>
                    <w:t>L</w:t>
                  </w:r>
                </w:p>
              </w:txbxContent>
            </v:textbox>
            <w10:wrap type="none"/>
          </v:shape>
        </w:pict>
      </w:r>
      <w:r>
        <w:rPr>
          <w:rFonts w:ascii="Arial"/>
          <w:color w:val="010101"/>
          <w:w w:val="170"/>
          <w:sz w:val="11"/>
        </w:rPr>
        <w:t>n-1</w:t>
        <w:tab/>
      </w:r>
      <w:r>
        <w:rPr>
          <w:rFonts w:ascii="Arial"/>
          <w:color w:val="010101"/>
          <w:w w:val="170"/>
          <w:sz w:val="12"/>
        </w:rPr>
        <w:t>n-1</w:t>
      </w:r>
    </w:p>
    <w:p>
      <w:pPr>
        <w:tabs>
          <w:tab w:pos="2410" w:val="left" w:leader="none"/>
          <w:tab w:pos="4222" w:val="left" w:leader="none"/>
        </w:tabs>
        <w:spacing w:line="218" w:lineRule="exact" w:before="0"/>
        <w:ind w:left="1851" w:right="0" w:firstLine="0"/>
        <w:jc w:val="left"/>
        <w:rPr>
          <w:sz w:val="16"/>
        </w:rPr>
      </w:pPr>
      <w:r>
        <w:rPr>
          <w:color w:val="010101"/>
          <w:sz w:val="28"/>
        </w:rPr>
        <w:t>=</w:t>
        <w:tab/>
      </w:r>
      <w:r>
        <w:rPr>
          <w:rFonts w:ascii="Arial" w:hAnsi="Arial"/>
          <w:i/>
          <w:color w:val="010101"/>
          <w:w w:val="125"/>
          <w:sz w:val="18"/>
        </w:rPr>
        <w:t>P </w:t>
      </w:r>
      <w:r>
        <w:rPr>
          <w:rFonts w:ascii="Arial" w:hAnsi="Arial"/>
          <w:color w:val="010101"/>
          <w:w w:val="155"/>
          <w:sz w:val="18"/>
        </w:rPr>
        <w:t>(l </w:t>
      </w:r>
      <w:r>
        <w:rPr>
          <w:rFonts w:ascii="Arial" w:hAnsi="Arial"/>
          <w:color w:val="010101"/>
          <w:w w:val="125"/>
          <w:sz w:val="30"/>
        </w:rPr>
        <w:t>+</w:t>
      </w:r>
      <w:r>
        <w:rPr>
          <w:rFonts w:ascii="Arial" w:hAnsi="Arial"/>
          <w:color w:val="010101"/>
          <w:spacing w:val="-36"/>
          <w:w w:val="125"/>
          <w:sz w:val="30"/>
        </w:rPr>
        <w:t> </w:t>
      </w:r>
      <w:r>
        <w:rPr>
          <w:i/>
          <w:color w:val="010101"/>
          <w:w w:val="125"/>
          <w:sz w:val="19"/>
        </w:rPr>
        <w:t>i)n-t </w:t>
      </w:r>
      <w:r>
        <w:rPr>
          <w:i/>
          <w:color w:val="010101"/>
          <w:spacing w:val="3"/>
          <w:w w:val="125"/>
          <w:sz w:val="19"/>
        </w:rPr>
        <w:t> </w:t>
      </w:r>
      <w:r>
        <w:rPr>
          <w:color w:val="010101"/>
          <w:w w:val="245"/>
          <w:sz w:val="19"/>
        </w:rPr>
        <w:t>-</w:t>
        <w:tab/>
      </w:r>
      <w:r>
        <w:rPr>
          <w:color w:val="010101"/>
          <w:w w:val="125"/>
          <w:sz w:val="19"/>
        </w:rPr>
        <w:t>(l </w:t>
      </w:r>
      <w:r>
        <w:rPr>
          <w:rFonts w:ascii="Arial" w:hAnsi="Arial"/>
          <w:color w:val="010101"/>
          <w:w w:val="125"/>
          <w:sz w:val="30"/>
        </w:rPr>
        <w:t>+</w:t>
      </w:r>
      <w:r>
        <w:rPr>
          <w:rFonts w:ascii="Arial" w:hAnsi="Arial"/>
          <w:color w:val="010101"/>
          <w:spacing w:val="-72"/>
          <w:w w:val="125"/>
          <w:sz w:val="30"/>
        </w:rPr>
        <w:t> </w:t>
      </w:r>
      <w:r>
        <w:rPr>
          <w:color w:val="010101"/>
          <w:spacing w:val="2"/>
          <w:w w:val="125"/>
          <w:sz w:val="19"/>
        </w:rPr>
        <w:t>i)n-t-1</w:t>
      </w:r>
      <w:r>
        <w:rPr>
          <w:color w:val="010101"/>
          <w:spacing w:val="-22"/>
          <w:w w:val="125"/>
          <w:sz w:val="19"/>
        </w:rPr>
        <w:t> </w:t>
      </w:r>
      <w:r>
        <w:rPr>
          <w:b/>
          <w:i/>
          <w:color w:val="010101"/>
          <w:w w:val="125"/>
          <w:sz w:val="16"/>
        </w:rPr>
        <w:t>K</w:t>
      </w:r>
      <w:r>
        <w:rPr>
          <w:b/>
          <w:i/>
          <w:color w:val="010101"/>
          <w:spacing w:val="-32"/>
          <w:w w:val="125"/>
          <w:sz w:val="16"/>
        </w:rPr>
        <w:t> </w:t>
      </w:r>
      <w:r>
        <w:rPr>
          <w:b/>
          <w:i/>
          <w:color w:val="010101"/>
          <w:w w:val="125"/>
          <w:sz w:val="16"/>
        </w:rPr>
        <w:t>z+t</w:t>
      </w:r>
      <w:r>
        <w:rPr>
          <w:b/>
          <w:i/>
          <w:color w:val="010101"/>
          <w:spacing w:val="1"/>
          <w:w w:val="125"/>
          <w:sz w:val="16"/>
        </w:rPr>
        <w:t> </w:t>
      </w:r>
      <w:r>
        <w:rPr>
          <w:color w:val="010101"/>
          <w:sz w:val="16"/>
        </w:rPr>
        <w:t>•</w:t>
      </w:r>
    </w:p>
    <w:p>
      <w:pPr>
        <w:tabs>
          <w:tab w:pos="3910" w:val="left" w:leader="none"/>
        </w:tabs>
        <w:spacing w:line="220" w:lineRule="exact" w:before="0"/>
        <w:ind w:left="2134" w:right="739" w:firstLine="0"/>
        <w:jc w:val="left"/>
        <w:rPr>
          <w:i/>
          <w:sz w:val="12"/>
        </w:rPr>
      </w:pPr>
      <w:r>
        <w:rPr>
          <w:color w:val="010101"/>
          <w:sz w:val="26"/>
        </w:rPr>
        <w:t>,-o</w:t>
        <w:tab/>
      </w:r>
      <w:r>
        <w:rPr>
          <w:i/>
          <w:color w:val="010101"/>
          <w:w w:val="140"/>
          <w:sz w:val="12"/>
        </w:rPr>
        <w:t>t-0</w:t>
      </w:r>
    </w:p>
    <w:p>
      <w:pPr>
        <w:pStyle w:val="BodyText"/>
        <w:spacing w:before="35"/>
        <w:ind w:left="118" w:right="739"/>
      </w:pPr>
      <w:r>
        <w:rPr>
          <w:color w:val="010101"/>
        </w:rPr>
        <w:t>Since </w:t>
      </w:r>
      <w:r>
        <w:rPr>
          <w:rFonts w:ascii="Arial"/>
          <w:color w:val="010101"/>
          <w:position w:val="-2"/>
          <w:sz w:val="12"/>
        </w:rPr>
        <w:t>O </w:t>
      </w:r>
      <w:r>
        <w:rPr>
          <w:rFonts w:ascii="Arial"/>
          <w:i/>
          <w:color w:val="010101"/>
        </w:rPr>
        <w:t>V  </w:t>
      </w:r>
      <w:r>
        <w:rPr>
          <w:color w:val="010101"/>
          <w:sz w:val="26"/>
        </w:rPr>
        <w:t>=  </w:t>
      </w:r>
      <w:r>
        <w:rPr>
          <w:color w:val="010101"/>
        </w:rPr>
        <w:t>O,  this expression  reduces to</w:t>
      </w:r>
    </w:p>
    <w:p>
      <w:pPr>
        <w:spacing w:line="39" w:lineRule="exact" w:before="93"/>
        <w:ind w:left="74" w:right="721" w:firstLine="0"/>
        <w:jc w:val="center"/>
        <w:rPr>
          <w:rFonts w:ascii="Arial"/>
          <w:b/>
          <w:sz w:val="12"/>
        </w:rPr>
      </w:pPr>
      <w:r>
        <w:rPr>
          <w:rFonts w:ascii="Arial"/>
          <w:b/>
          <w:color w:val="010101"/>
          <w:w w:val="160"/>
          <w:sz w:val="12"/>
        </w:rPr>
        <w:t>n-1</w:t>
      </w:r>
    </w:p>
    <w:p>
      <w:pPr>
        <w:spacing w:after="0" w:line="39" w:lineRule="exact"/>
        <w:jc w:val="center"/>
        <w:rPr>
          <w:rFonts w:ascii="Arial"/>
          <w:sz w:val="12"/>
        </w:rPr>
        <w:sectPr>
          <w:type w:val="continuous"/>
          <w:pgSz w:w="7200" w:h="11340"/>
          <w:pgMar w:top="1100" w:bottom="0" w:left="660" w:right="560"/>
        </w:sectPr>
      </w:pPr>
    </w:p>
    <w:p>
      <w:pPr>
        <w:spacing w:before="96"/>
        <w:ind w:left="0" w:right="0" w:firstLine="0"/>
        <w:jc w:val="right"/>
        <w:rPr>
          <w:sz w:val="23"/>
        </w:rPr>
      </w:pPr>
      <w:r>
        <w:rPr>
          <w:i/>
          <w:color w:val="010101"/>
          <w:w w:val="105"/>
          <w:sz w:val="13"/>
        </w:rPr>
        <w:t>n </w:t>
      </w:r>
      <w:r>
        <w:rPr>
          <w:rFonts w:ascii="Arial"/>
          <w:i/>
          <w:color w:val="010101"/>
          <w:w w:val="105"/>
          <w:position w:val="2"/>
          <w:sz w:val="20"/>
        </w:rPr>
        <w:t>V </w:t>
      </w:r>
      <w:r>
        <w:rPr>
          <w:color w:val="010101"/>
          <w:w w:val="105"/>
          <w:sz w:val="23"/>
        </w:rPr>
        <w:t>=</w:t>
      </w:r>
    </w:p>
    <w:p>
      <w:pPr>
        <w:spacing w:line="281" w:lineRule="exact" w:before="0"/>
        <w:ind w:left="68" w:right="0" w:firstLine="0"/>
        <w:jc w:val="left"/>
        <w:rPr>
          <w:sz w:val="13"/>
        </w:rPr>
      </w:pPr>
      <w:r>
        <w:rPr/>
        <w:br w:type="column"/>
      </w:r>
      <w:r>
        <w:rPr>
          <w:rFonts w:ascii="Arial" w:hAnsi="Arial"/>
          <w:color w:val="010101"/>
          <w:spacing w:val="15"/>
          <w:w w:val="126"/>
          <w:position w:val="-4"/>
          <w:sz w:val="20"/>
        </w:rPr>
        <w:t>/</w:t>
      </w:r>
      <w:r>
        <w:rPr>
          <w:rFonts w:ascii="Arial" w:hAnsi="Arial"/>
          <w:color w:val="010101"/>
          <w:w w:val="57"/>
          <w:sz w:val="14"/>
        </w:rPr>
        <w:t>&gt;</w:t>
      </w:r>
      <w:r>
        <w:rPr>
          <w:rFonts w:ascii="Arial" w:hAnsi="Arial"/>
          <w:color w:val="010101"/>
          <w:spacing w:val="-8"/>
          <w:sz w:val="14"/>
        </w:rPr>
        <w:t> </w:t>
      </w:r>
      <w:r>
        <w:rPr>
          <w:color w:val="010101"/>
          <w:spacing w:val="-20"/>
          <w:w w:val="118"/>
          <w:position w:val="-6"/>
          <w:sz w:val="23"/>
        </w:rPr>
        <w:t>·</w:t>
      </w:r>
      <w:r>
        <w:rPr>
          <w:color w:val="010101"/>
          <w:spacing w:val="-57"/>
          <w:w w:val="75"/>
          <w:position w:val="-6"/>
          <w:sz w:val="18"/>
        </w:rPr>
        <w:t>b</w:t>
      </w:r>
      <w:r>
        <w:rPr>
          <w:rFonts w:ascii="Arial" w:hAnsi="Arial"/>
          <w:color w:val="1D1D1D"/>
          <w:spacing w:val="-12"/>
          <w:w w:val="69"/>
          <w:sz w:val="14"/>
        </w:rPr>
        <w:t>•</w:t>
      </w:r>
      <w:r>
        <w:rPr>
          <w:rFonts w:ascii="Arial" w:hAnsi="Arial"/>
          <w:color w:val="010101"/>
          <w:spacing w:val="-62"/>
          <w:w w:val="125"/>
          <w:sz w:val="14"/>
        </w:rPr>
        <w:t>.</w:t>
      </w:r>
      <w:r>
        <w:rPr>
          <w:color w:val="010101"/>
          <w:w w:val="51"/>
          <w:position w:val="-6"/>
          <w:sz w:val="18"/>
        </w:rPr>
        <w:t>-;;-J</w:t>
      </w:r>
      <w:r>
        <w:rPr>
          <w:color w:val="010101"/>
          <w:position w:val="-6"/>
          <w:sz w:val="18"/>
        </w:rPr>
        <w:t> </w:t>
      </w:r>
      <w:r>
        <w:rPr>
          <w:color w:val="010101"/>
          <w:spacing w:val="14"/>
          <w:position w:val="-6"/>
          <w:sz w:val="18"/>
        </w:rPr>
        <w:t> </w:t>
      </w:r>
      <w:r>
        <w:rPr>
          <w:color w:val="010101"/>
          <w:w w:val="296"/>
          <w:position w:val="-6"/>
          <w:sz w:val="18"/>
        </w:rPr>
        <w:t>-</w:t>
      </w:r>
      <w:r>
        <w:rPr>
          <w:color w:val="010101"/>
          <w:position w:val="-6"/>
          <w:sz w:val="18"/>
        </w:rPr>
        <w:t> </w:t>
      </w:r>
      <w:r>
        <w:rPr>
          <w:color w:val="010101"/>
          <w:spacing w:val="-3"/>
          <w:position w:val="-6"/>
          <w:sz w:val="18"/>
        </w:rPr>
        <w:t> </w:t>
      </w:r>
      <w:r>
        <w:rPr>
          <w:rFonts w:ascii="Arial" w:hAnsi="Arial"/>
          <w:color w:val="010101"/>
          <w:w w:val="121"/>
          <w:sz w:val="14"/>
        </w:rPr>
        <w:t>"""'</w:t>
      </w:r>
      <w:r>
        <w:rPr>
          <w:rFonts w:ascii="Arial" w:hAnsi="Arial"/>
          <w:color w:val="010101"/>
          <w:sz w:val="14"/>
        </w:rPr>
        <w:t>  </w:t>
      </w:r>
      <w:r>
        <w:rPr>
          <w:rFonts w:ascii="Arial" w:hAnsi="Arial"/>
          <w:color w:val="010101"/>
          <w:spacing w:val="-12"/>
          <w:sz w:val="14"/>
        </w:rPr>
        <w:t> </w:t>
      </w:r>
      <w:r>
        <w:rPr>
          <w:color w:val="010101"/>
          <w:w w:val="121"/>
          <w:sz w:val="20"/>
        </w:rPr>
        <w:t>(</w:t>
      </w:r>
      <w:r>
        <w:rPr>
          <w:color w:val="010101"/>
          <w:w w:val="121"/>
          <w:sz w:val="20"/>
        </w:rPr>
        <w:t>l</w:t>
      </w:r>
      <w:r>
        <w:rPr>
          <w:color w:val="010101"/>
          <w:sz w:val="20"/>
        </w:rPr>
        <w:t> </w:t>
      </w:r>
      <w:r>
        <w:rPr>
          <w:color w:val="010101"/>
          <w:spacing w:val="-5"/>
          <w:sz w:val="20"/>
        </w:rPr>
        <w:t> </w:t>
      </w:r>
      <w:r>
        <w:rPr>
          <w:rFonts w:ascii="Arial" w:hAnsi="Arial"/>
          <w:color w:val="010101"/>
          <w:w w:val="106"/>
          <w:sz w:val="30"/>
        </w:rPr>
        <w:t>+</w:t>
      </w:r>
      <w:r>
        <w:rPr>
          <w:rFonts w:ascii="Arial" w:hAnsi="Arial"/>
          <w:color w:val="010101"/>
          <w:spacing w:val="-27"/>
          <w:sz w:val="30"/>
        </w:rPr>
        <w:t> </w:t>
      </w:r>
      <w:r>
        <w:rPr>
          <w:rFonts w:ascii="Arial" w:hAnsi="Arial"/>
          <w:i/>
          <w:color w:val="010101"/>
          <w:spacing w:val="-14"/>
          <w:w w:val="72"/>
          <w:position w:val="-6"/>
          <w:sz w:val="13"/>
        </w:rPr>
        <w:t>1</w:t>
      </w:r>
      <w:r>
        <w:rPr>
          <w:rFonts w:ascii="Arial" w:hAnsi="Arial"/>
          <w:color w:val="010101"/>
          <w:spacing w:val="-28"/>
          <w:w w:val="70"/>
          <w:sz w:val="30"/>
        </w:rPr>
        <w:t>'</w:t>
      </w:r>
      <w:r>
        <w:rPr>
          <w:rFonts w:ascii="Arial" w:hAnsi="Arial"/>
          <w:i/>
          <w:color w:val="010101"/>
          <w:w w:val="72"/>
          <w:position w:val="-6"/>
          <w:sz w:val="13"/>
        </w:rPr>
        <w:t>.</w:t>
      </w:r>
      <w:r>
        <w:rPr>
          <w:rFonts w:ascii="Arial" w:hAnsi="Arial"/>
          <w:color w:val="010101"/>
          <w:w w:val="70"/>
          <w:sz w:val="30"/>
        </w:rPr>
        <w:t>)</w:t>
      </w:r>
      <w:r>
        <w:rPr>
          <w:rFonts w:ascii="Arial" w:hAnsi="Arial"/>
          <w:color w:val="010101"/>
          <w:spacing w:val="-59"/>
          <w:sz w:val="30"/>
        </w:rPr>
        <w:t> </w:t>
      </w:r>
      <w:r>
        <w:rPr>
          <w:rFonts w:ascii="Arial" w:hAnsi="Arial"/>
          <w:color w:val="010101"/>
          <w:w w:val="190"/>
          <w:sz w:val="11"/>
        </w:rPr>
        <w:t>n-</w:t>
      </w:r>
      <w:r>
        <w:rPr>
          <w:rFonts w:ascii="Arial" w:hAnsi="Arial"/>
          <w:color w:val="010101"/>
          <w:spacing w:val="-23"/>
          <w:w w:val="190"/>
          <w:sz w:val="11"/>
        </w:rPr>
        <w:t>,</w:t>
      </w:r>
      <w:r>
        <w:rPr>
          <w:rFonts w:ascii="Arial" w:hAnsi="Arial"/>
          <w:color w:val="010101"/>
          <w:w w:val="186"/>
          <w:sz w:val="11"/>
        </w:rPr>
        <w:t>-1</w:t>
      </w:r>
      <w:r>
        <w:rPr>
          <w:rFonts w:ascii="Arial" w:hAnsi="Arial"/>
          <w:color w:val="010101"/>
          <w:spacing w:val="9"/>
          <w:sz w:val="11"/>
        </w:rPr>
        <w:t> </w:t>
      </w:r>
      <w:r>
        <w:rPr>
          <w:rFonts w:ascii="Arial" w:hAnsi="Arial"/>
          <w:i/>
          <w:color w:val="010101"/>
          <w:spacing w:val="23"/>
          <w:w w:val="105"/>
          <w:sz w:val="20"/>
        </w:rPr>
        <w:t>K</w:t>
      </w:r>
      <w:r>
        <w:rPr>
          <w:i/>
          <w:color w:val="010101"/>
          <w:w w:val="120"/>
          <w:position w:val="-6"/>
          <w:sz w:val="13"/>
        </w:rPr>
        <w:t>z+t</w:t>
      </w:r>
      <w:r>
        <w:rPr>
          <w:i/>
          <w:color w:val="010101"/>
          <w:position w:val="-6"/>
          <w:sz w:val="13"/>
        </w:rPr>
        <w:t>  </w:t>
      </w:r>
      <w:r>
        <w:rPr>
          <w:i/>
          <w:color w:val="010101"/>
          <w:spacing w:val="-15"/>
          <w:position w:val="-6"/>
          <w:sz w:val="13"/>
        </w:rPr>
        <w:t> </w:t>
      </w:r>
      <w:r>
        <w:rPr>
          <w:color w:val="010101"/>
          <w:w w:val="87"/>
          <w:position w:val="-6"/>
          <w:sz w:val="13"/>
        </w:rPr>
        <w:t>•</w:t>
      </w:r>
    </w:p>
    <w:p>
      <w:pPr>
        <w:spacing w:line="226" w:lineRule="exact" w:before="0"/>
        <w:ind w:left="857" w:right="0" w:firstLine="0"/>
        <w:jc w:val="left"/>
        <w:rPr>
          <w:rFonts w:ascii="Arial"/>
          <w:b/>
          <w:sz w:val="12"/>
        </w:rPr>
      </w:pPr>
      <w:r>
        <w:rPr>
          <w:rFonts w:ascii="Courier New"/>
          <w:color w:val="010101"/>
          <w:spacing w:val="-81"/>
          <w:w w:val="60"/>
          <w:position w:val="-11"/>
          <w:sz w:val="25"/>
        </w:rPr>
        <w:t>,</w:t>
      </w:r>
      <w:r>
        <w:rPr>
          <w:rFonts w:ascii="Arial"/>
          <w:b/>
          <w:color w:val="010101"/>
          <w:spacing w:val="-3"/>
          <w:w w:val="124"/>
          <w:sz w:val="12"/>
        </w:rPr>
        <w:t>,</w:t>
      </w:r>
      <w:r>
        <w:rPr>
          <w:rFonts w:ascii="Courier New"/>
          <w:color w:val="010101"/>
          <w:spacing w:val="-87"/>
          <w:w w:val="58"/>
          <w:position w:val="-11"/>
          <w:sz w:val="25"/>
        </w:rPr>
        <w:t>-</w:t>
      </w:r>
      <w:r>
        <w:rPr>
          <w:rFonts w:ascii="Arial"/>
          <w:b/>
          <w:color w:val="010101"/>
          <w:w w:val="124"/>
          <w:sz w:val="12"/>
        </w:rPr>
        <w:t>t</w:t>
      </w:r>
      <w:r>
        <w:rPr>
          <w:rFonts w:ascii="Arial"/>
          <w:b/>
          <w:color w:val="010101"/>
          <w:spacing w:val="-6"/>
          <w:w w:val="124"/>
          <w:sz w:val="12"/>
        </w:rPr>
        <w:t>.</w:t>
      </w:r>
      <w:r>
        <w:rPr>
          <w:rFonts w:ascii="Courier New"/>
          <w:color w:val="010101"/>
          <w:spacing w:val="-84"/>
          <w:w w:val="58"/>
          <w:position w:val="-11"/>
          <w:sz w:val="25"/>
        </w:rPr>
        <w:t>o</w:t>
      </w:r>
      <w:r>
        <w:rPr>
          <w:rFonts w:ascii="Arial"/>
          <w:b/>
          <w:color w:val="010101"/>
          <w:w w:val="124"/>
          <w:sz w:val="12"/>
        </w:rPr>
        <w:t>_</w:t>
      </w:r>
    </w:p>
    <w:p>
      <w:pPr>
        <w:pStyle w:val="BodyText"/>
        <w:spacing w:before="103"/>
        <w:ind w:left="845"/>
      </w:pPr>
      <w:r>
        <w:rPr/>
        <w:br w:type="column"/>
      </w:r>
      <w:r>
        <w:rPr>
          <w:color w:val="010101"/>
          <w:w w:val="105"/>
        </w:rPr>
        <w:t>(5.18)</w:t>
      </w:r>
    </w:p>
    <w:p>
      <w:pPr>
        <w:spacing w:after="0"/>
        <w:sectPr>
          <w:type w:val="continuous"/>
          <w:pgSz w:w="7200" w:h="11340"/>
          <w:pgMar w:top="1100" w:bottom="0" w:left="660" w:right="560"/>
          <w:cols w:num="3" w:equalWidth="0">
            <w:col w:w="1629" w:space="40"/>
            <w:col w:w="2799" w:space="40"/>
            <w:col w:w="1472"/>
          </w:cols>
        </w:sectPr>
      </w:pPr>
    </w:p>
    <w:p>
      <w:pPr>
        <w:pStyle w:val="BodyText"/>
        <w:spacing w:line="247" w:lineRule="auto" w:before="71"/>
        <w:ind w:left="122" w:right="123" w:firstLine="3"/>
      </w:pPr>
      <w:r>
        <w:rPr>
          <w:color w:val="010101"/>
          <w:w w:val="105"/>
        </w:rPr>
        <w:t>Although </w:t>
      </w:r>
      <w:r>
        <w:rPr>
          <w:i/>
          <w:color w:val="010101"/>
          <w:w w:val="105"/>
          <w:sz w:val="19"/>
        </w:rPr>
        <w:t>P </w:t>
      </w:r>
      <w:r>
        <w:rPr>
          <w:color w:val="010101"/>
          <w:w w:val="105"/>
        </w:rPr>
        <w:t>and </w:t>
      </w:r>
      <w:r>
        <w:rPr>
          <w:i/>
          <w:color w:val="010101"/>
          <w:w w:val="105"/>
          <w:sz w:val="19"/>
        </w:rPr>
        <w:t>K </w:t>
      </w:r>
      <w:r>
        <w:rPr>
          <w:color w:val="010101"/>
          <w:w w:val="105"/>
        </w:rPr>
        <w:t>are functions which involve mortality, the accumulations  in  this  formul  are  at  interest  only.  The  result  is</w:t>
      </w:r>
    </w:p>
    <w:p>
      <w:pPr>
        <w:spacing w:after="0" w:line="247" w:lineRule="auto"/>
        <w:sectPr>
          <w:type w:val="continuous"/>
          <w:pgSz w:w="7200" w:h="11340"/>
          <w:pgMar w:top="1100" w:bottom="0" w:left="660" w:right="560"/>
        </w:sectPr>
      </w:pPr>
    </w:p>
    <w:p>
      <w:pPr>
        <w:tabs>
          <w:tab w:pos="1651" w:val="left" w:leader="none"/>
          <w:tab w:pos="5424" w:val="left" w:leader="none"/>
        </w:tabs>
        <w:spacing w:before="47"/>
        <w:ind w:left="154" w:right="0" w:firstLine="21"/>
        <w:jc w:val="both"/>
        <w:rPr>
          <w:b/>
          <w:sz w:val="19"/>
        </w:rPr>
      </w:pPr>
      <w:r>
        <w:rPr>
          <w:w w:val="105"/>
          <w:sz w:val="20"/>
        </w:rPr>
        <w:t>108</w:t>
        <w:tab/>
      </w:r>
      <w:r>
        <w:rPr>
          <w:b/>
          <w:w w:val="105"/>
          <w:sz w:val="15"/>
        </w:rPr>
        <w:t>NET  LEVEL </w:t>
      </w:r>
      <w:r>
        <w:rPr>
          <w:b/>
          <w:spacing w:val="28"/>
          <w:w w:val="105"/>
          <w:sz w:val="15"/>
        </w:rPr>
        <w:t> </w:t>
      </w:r>
      <w:r>
        <w:rPr>
          <w:b/>
          <w:w w:val="105"/>
          <w:sz w:val="15"/>
        </w:rPr>
        <w:t>PREMIUM </w:t>
      </w:r>
      <w:r>
        <w:rPr>
          <w:b/>
          <w:spacing w:val="21"/>
          <w:w w:val="105"/>
          <w:sz w:val="15"/>
        </w:rPr>
        <w:t> </w:t>
      </w:r>
      <w:r>
        <w:rPr>
          <w:b/>
          <w:w w:val="105"/>
          <w:sz w:val="15"/>
        </w:rPr>
        <w:t>RESERVES</w:t>
        <w:tab/>
      </w:r>
      <w:r>
        <w:rPr>
          <w:b/>
          <w:w w:val="95"/>
          <w:position w:val="1"/>
          <w:sz w:val="18"/>
        </w:rPr>
        <w:t>[CH.</w:t>
      </w:r>
      <w:r>
        <w:rPr>
          <w:b/>
          <w:spacing w:val="-3"/>
          <w:w w:val="95"/>
          <w:position w:val="1"/>
          <w:sz w:val="18"/>
        </w:rPr>
        <w:t> </w:t>
      </w:r>
      <w:r>
        <w:rPr>
          <w:b/>
          <w:w w:val="95"/>
          <w:position w:val="1"/>
          <w:sz w:val="19"/>
        </w:rPr>
        <w:t>5</w:t>
      </w:r>
    </w:p>
    <w:p>
      <w:pPr>
        <w:pStyle w:val="BodyText"/>
        <w:rPr>
          <w:b/>
          <w:sz w:val="21"/>
        </w:rPr>
      </w:pPr>
    </w:p>
    <w:p>
      <w:pPr>
        <w:pStyle w:val="BodyText"/>
        <w:spacing w:line="247" w:lineRule="auto"/>
        <w:ind w:left="150" w:right="102" w:firstLine="3"/>
        <w:jc w:val="both"/>
      </w:pPr>
      <w:r>
        <w:rPr>
          <w:w w:val="105"/>
        </w:rPr>
        <w:t>not restricted to policies with level  amounts of  insurance;  it has usef ul applications to policies with varying insurance benefits as well.</w:t>
      </w:r>
    </w:p>
    <w:p>
      <w:pPr>
        <w:pStyle w:val="ListParagraph"/>
        <w:numPr>
          <w:ilvl w:val="0"/>
          <w:numId w:val="42"/>
        </w:numPr>
        <w:tabs>
          <w:tab w:pos="417" w:val="left" w:leader="none"/>
        </w:tabs>
        <w:spacing w:line="240" w:lineRule="auto" w:before="176" w:after="0"/>
        <w:ind w:left="416" w:right="0" w:hanging="266"/>
        <w:jc w:val="both"/>
        <w:rPr>
          <w:b/>
          <w:sz w:val="19"/>
        </w:rPr>
      </w:pPr>
      <w:r>
        <w:rPr>
          <w:b/>
          <w:w w:val="120"/>
          <w:sz w:val="19"/>
        </w:rPr>
        <w:t>Reserves on policies with fractional</w:t>
      </w:r>
      <w:r>
        <w:rPr>
          <w:b/>
          <w:spacing w:val="-6"/>
          <w:w w:val="120"/>
          <w:sz w:val="19"/>
        </w:rPr>
        <w:t> </w:t>
      </w:r>
      <w:r>
        <w:rPr>
          <w:b/>
          <w:w w:val="120"/>
          <w:sz w:val="19"/>
        </w:rPr>
        <w:t>premiums</w:t>
      </w:r>
    </w:p>
    <w:p>
      <w:pPr>
        <w:pStyle w:val="BodyText"/>
        <w:spacing w:line="249" w:lineRule="auto" w:before="81"/>
        <w:ind w:left="146" w:right="121" w:firstLine="198"/>
        <w:jc w:val="both"/>
      </w:pPr>
      <w:r>
        <w:rPr>
          <w:w w:val="110"/>
        </w:rPr>
        <w:t>The </w:t>
      </w:r>
      <w:r>
        <w:rPr>
          <w:w w:val="102"/>
        </w:rPr>
        <w:t>symbol  </w:t>
      </w:r>
      <w:r>
        <w:rPr>
          <w:spacing w:val="1"/>
          <w:w w:val="81"/>
        </w:rPr>
        <w:t>,</w:t>
      </w:r>
      <w:r>
        <w:rPr>
          <w:i/>
          <w:spacing w:val="1"/>
          <w:w w:val="81"/>
        </w:rPr>
        <w:t>v&lt;m&gt;</w:t>
      </w:r>
      <w:r>
        <w:rPr>
          <w:i/>
          <w:w w:val="81"/>
        </w:rPr>
        <w:t>  </w:t>
      </w:r>
      <w:r>
        <w:rPr>
          <w:w w:val="96"/>
        </w:rPr>
        <w:t>is  </w:t>
      </w:r>
      <w:r>
        <w:rPr>
          <w:w w:val="100"/>
        </w:rPr>
        <w:t>used  </w:t>
      </w:r>
      <w:r>
        <w:rPr>
          <w:w w:val="110"/>
        </w:rPr>
        <w:t>to </w:t>
      </w:r>
      <w:r>
        <w:rPr>
          <w:w w:val="106"/>
        </w:rPr>
        <w:t>denote </w:t>
      </w:r>
      <w:r>
        <w:rPr>
          <w:w w:val="108"/>
        </w:rPr>
        <w:t>the  </w:t>
      </w:r>
      <w:r>
        <w:rPr>
          <w:w w:val="102"/>
        </w:rPr>
        <w:t>reserve  </w:t>
      </w:r>
      <w:r>
        <w:rPr>
          <w:w w:val="120"/>
        </w:rPr>
        <w:t>at </w:t>
      </w:r>
      <w:r>
        <w:rPr>
          <w:w w:val="108"/>
        </w:rPr>
        <w:t>the  </w:t>
      </w:r>
      <w:r>
        <w:rPr>
          <w:w w:val="102"/>
        </w:rPr>
        <w:t>end  </w:t>
      </w:r>
      <w:r>
        <w:rPr>
          <w:w w:val="87"/>
        </w:rPr>
        <w:t>of   </w:t>
      </w:r>
      <w:r>
        <w:rPr>
          <w:rFonts w:ascii="Arial" w:hAnsi="Arial"/>
          <w:i/>
          <w:sz w:val="17"/>
        </w:rPr>
        <w:t>t </w:t>
      </w:r>
      <w:r>
        <w:rPr/>
        <w:t>years on a policy with true fractional premiums  </w:t>
      </w:r>
      <w:r>
        <w:rPr>
          <w:i/>
          <w:sz w:val="18"/>
        </w:rPr>
        <w:t>p&lt; </w:t>
      </w:r>
      <w:r>
        <w:rPr>
          <w:i/>
          <w:w w:val="95"/>
          <w:sz w:val="18"/>
        </w:rPr>
        <w:t>m&gt; </w:t>
      </w:r>
      <w:r>
        <w:rPr>
          <w:i/>
          <w:w w:val="130"/>
          <w:sz w:val="18"/>
        </w:rPr>
        <w:t>. </w:t>
      </w:r>
      <w:r>
        <w:rPr/>
        <w:t>lf  pre­  miums  are  assumed   to  be  payable  momently,   the  reserve </w:t>
      </w:r>
      <w:r>
        <w:rPr>
          <w:spacing w:val="28"/>
        </w:rPr>
        <w:t> </w:t>
      </w:r>
      <w:r>
        <w:rPr/>
        <w:t>symbol</w:t>
      </w:r>
    </w:p>
    <w:p>
      <w:pPr>
        <w:pStyle w:val="BodyText"/>
        <w:spacing w:line="240" w:lineRule="exact"/>
        <w:ind w:left="150"/>
        <w:jc w:val="both"/>
      </w:pPr>
      <w:r>
        <w:rPr>
          <w:w w:val="105"/>
        </w:rPr>
        <w:t>becomes ,</w:t>
      </w:r>
      <w:r>
        <w:rPr>
          <w:rFonts w:ascii="Arial"/>
          <w:i/>
          <w:w w:val="105"/>
          <w:sz w:val="24"/>
        </w:rPr>
        <w:t>V. </w:t>
      </w:r>
      <w:r>
        <w:rPr>
          <w:w w:val="105"/>
        </w:rPr>
        <w:t>For ordinary life insurance,</w:t>
      </w:r>
    </w:p>
    <w:p>
      <w:pPr>
        <w:spacing w:after="0" w:line="240" w:lineRule="exact"/>
        <w:jc w:val="both"/>
        <w:sectPr>
          <w:pgSz w:w="7200" w:h="11340"/>
          <w:pgMar w:top="500" w:bottom="280" w:left="620" w:right="560"/>
        </w:sectPr>
      </w:pPr>
    </w:p>
    <w:p>
      <w:pPr>
        <w:pStyle w:val="BodyText"/>
      </w:pPr>
    </w:p>
    <w:p>
      <w:pPr>
        <w:pStyle w:val="BodyText"/>
        <w:spacing w:before="7"/>
        <w:rPr>
          <w:sz w:val="21"/>
        </w:rPr>
      </w:pPr>
    </w:p>
    <w:p>
      <w:pPr>
        <w:pStyle w:val="BodyText"/>
        <w:ind w:left="139" w:right="-19"/>
      </w:pPr>
      <w:r>
        <w:rPr>
          <w:w w:val="110"/>
        </w:rPr>
        <w:t>and</w:t>
      </w:r>
    </w:p>
    <w:p>
      <w:pPr>
        <w:spacing w:line="396" w:lineRule="exact" w:before="0"/>
        <w:ind w:left="139" w:right="0" w:firstLine="0"/>
        <w:jc w:val="left"/>
        <w:rPr>
          <w:sz w:val="37"/>
        </w:rPr>
      </w:pPr>
      <w:r>
        <w:rPr/>
        <w:br w:type="column"/>
      </w:r>
      <w:r>
        <w:rPr>
          <w:rFonts w:ascii="Arial"/>
          <w:i/>
          <w:spacing w:val="-4"/>
          <w:w w:val="116"/>
          <w:sz w:val="20"/>
        </w:rPr>
        <w:t>,</w:t>
      </w:r>
      <w:r>
        <w:rPr>
          <w:rFonts w:ascii="Arial"/>
          <w:i/>
          <w:spacing w:val="-16"/>
          <w:w w:val="170"/>
          <w:sz w:val="20"/>
        </w:rPr>
        <w:t>V</w:t>
      </w:r>
      <w:r>
        <w:rPr>
          <w:rFonts w:ascii="Arial"/>
          <w:i/>
          <w:w w:val="65"/>
          <w:sz w:val="20"/>
        </w:rPr>
        <w:t>"'&gt;</w:t>
      </w:r>
      <w:r>
        <w:rPr>
          <w:rFonts w:ascii="Arial"/>
          <w:i/>
          <w:sz w:val="20"/>
        </w:rPr>
        <w:t> </w:t>
      </w:r>
      <w:r>
        <w:rPr>
          <w:rFonts w:ascii="Arial"/>
          <w:i/>
          <w:spacing w:val="-8"/>
          <w:sz w:val="20"/>
        </w:rPr>
        <w:t> </w:t>
      </w:r>
      <w:r>
        <w:rPr>
          <w:w w:val="101"/>
          <w:sz w:val="23"/>
        </w:rPr>
        <w:t>=</w:t>
      </w:r>
      <w:r>
        <w:rPr>
          <w:sz w:val="23"/>
        </w:rPr>
        <w:t> </w:t>
      </w:r>
      <w:r>
        <w:rPr>
          <w:spacing w:val="-10"/>
          <w:sz w:val="23"/>
        </w:rPr>
        <w:t> </w:t>
      </w:r>
      <w:r>
        <w:rPr>
          <w:rFonts w:ascii="Arial"/>
          <w:i/>
          <w:w w:val="79"/>
          <w:sz w:val="20"/>
        </w:rPr>
        <w:t>Az+c</w:t>
      </w:r>
      <w:r>
        <w:rPr>
          <w:rFonts w:ascii="Arial"/>
          <w:i/>
          <w:sz w:val="20"/>
        </w:rPr>
        <w:t> </w:t>
      </w:r>
      <w:r>
        <w:rPr>
          <w:rFonts w:ascii="Arial"/>
          <w:i/>
          <w:spacing w:val="7"/>
          <w:sz w:val="20"/>
        </w:rPr>
        <w:t> </w:t>
      </w:r>
      <w:r>
        <w:rPr>
          <w:rFonts w:ascii="Arial"/>
          <w:w w:val="255"/>
          <w:sz w:val="20"/>
        </w:rPr>
        <w:t>-</w:t>
      </w:r>
      <w:r>
        <w:rPr>
          <w:rFonts w:ascii="Arial"/>
          <w:spacing w:val="11"/>
          <w:sz w:val="20"/>
        </w:rPr>
        <w:t> </w:t>
      </w:r>
      <w:r>
        <w:rPr>
          <w:i/>
          <w:spacing w:val="17"/>
          <w:w w:val="153"/>
          <w:sz w:val="20"/>
        </w:rPr>
        <w:t>P</w:t>
      </w:r>
      <w:r>
        <w:rPr>
          <w:i/>
          <w:w w:val="62"/>
          <w:sz w:val="20"/>
        </w:rPr>
        <w:t>"'&gt;</w:t>
      </w:r>
      <w:r>
        <w:rPr>
          <w:i/>
          <w:spacing w:val="-24"/>
          <w:sz w:val="20"/>
        </w:rPr>
        <w:t> </w:t>
      </w:r>
      <w:r>
        <w:rPr>
          <w:w w:val="28"/>
          <w:sz w:val="37"/>
        </w:rPr>
        <w:t>-</w:t>
      </w:r>
      <w:r>
        <w:rPr>
          <w:spacing w:val="40"/>
          <w:sz w:val="37"/>
        </w:rPr>
        <w:t> </w:t>
      </w:r>
      <w:r>
        <w:rPr>
          <w:spacing w:val="-195"/>
          <w:w w:val="238"/>
          <w:sz w:val="37"/>
        </w:rPr>
        <w:t>:</w:t>
      </w:r>
      <w:r>
        <w:rPr>
          <w:w w:val="94"/>
          <w:sz w:val="37"/>
        </w:rPr>
        <w:t>!</w:t>
      </w:r>
    </w:p>
    <w:p>
      <w:pPr>
        <w:spacing w:before="65"/>
        <w:ind w:left="233" w:right="0" w:firstLine="0"/>
        <w:jc w:val="left"/>
        <w:rPr>
          <w:b/>
          <w:sz w:val="17"/>
        </w:rPr>
      </w:pPr>
      <w:r>
        <w:rPr>
          <w:b/>
          <w:i/>
          <w:w w:val="110"/>
          <w:sz w:val="16"/>
        </w:rPr>
        <w:t>,Vz    </w:t>
      </w:r>
      <w:r>
        <w:rPr>
          <w:w w:val="110"/>
          <w:sz w:val="23"/>
        </w:rPr>
        <w:t>= </w:t>
      </w:r>
      <w:r>
        <w:rPr>
          <w:b/>
          <w:i/>
          <w:w w:val="110"/>
          <w:sz w:val="16"/>
        </w:rPr>
        <w:t>Á z+c  </w:t>
      </w:r>
      <w:r>
        <w:rPr>
          <w:w w:val="305"/>
          <w:sz w:val="16"/>
        </w:rPr>
        <w:t>- </w:t>
      </w:r>
      <w:r>
        <w:rPr>
          <w:b/>
          <w:w w:val="110"/>
          <w:sz w:val="17"/>
        </w:rPr>
        <w:t>Í's·ds+c ,</w:t>
      </w:r>
    </w:p>
    <w:p>
      <w:pPr>
        <w:pStyle w:val="BodyText"/>
        <w:spacing w:before="122"/>
        <w:ind w:left="143"/>
      </w:pPr>
      <w:r>
        <w:rPr/>
        <w:br w:type="column"/>
      </w:r>
      <w:r>
        <w:rPr>
          <w:w w:val="105"/>
        </w:rPr>
        <w:t>(5.19)</w:t>
      </w:r>
    </w:p>
    <w:p>
      <w:pPr>
        <w:spacing w:before="138"/>
        <w:ind w:left="139" w:right="0" w:firstLine="0"/>
        <w:jc w:val="left"/>
        <w:rPr>
          <w:rFonts w:ascii="Arial"/>
          <w:sz w:val="19"/>
        </w:rPr>
      </w:pPr>
      <w:r>
        <w:rPr>
          <w:rFonts w:ascii="Arial"/>
          <w:w w:val="105"/>
          <w:sz w:val="19"/>
        </w:rPr>
        <w:t>(5.20)</w:t>
      </w:r>
    </w:p>
    <w:p>
      <w:pPr>
        <w:spacing w:after="0"/>
        <w:jc w:val="left"/>
        <w:rPr>
          <w:rFonts w:ascii="Arial"/>
          <w:sz w:val="19"/>
        </w:rPr>
        <w:sectPr>
          <w:type w:val="continuous"/>
          <w:pgSz w:w="7200" w:h="11340"/>
          <w:pgMar w:top="1100" w:bottom="0" w:left="620" w:right="560"/>
          <w:cols w:num="3" w:equalWidth="0">
            <w:col w:w="458" w:space="1296"/>
            <w:col w:w="2482" w:space="1006"/>
            <w:col w:w="778"/>
          </w:cols>
        </w:sectPr>
      </w:pPr>
    </w:p>
    <w:p>
      <w:pPr>
        <w:pStyle w:val="BodyText"/>
        <w:spacing w:line="247" w:lineRule="auto" w:before="89"/>
        <w:ind w:left="139" w:right="229" w:firstLine="201"/>
      </w:pPr>
      <w:r>
        <w:rPr>
          <w:w w:val="101"/>
        </w:rPr>
        <w:t>We </w:t>
      </w:r>
      <w:r>
        <w:rPr>
          <w:w w:val="105"/>
        </w:rPr>
        <w:t>can </w:t>
      </w:r>
      <w:r>
        <w:rPr>
          <w:w w:val="107"/>
        </w:rPr>
        <w:t>estimate </w:t>
      </w:r>
      <w:r>
        <w:rPr>
          <w:w w:val="100"/>
        </w:rPr>
        <w:t>how  </w:t>
      </w:r>
      <w:r>
        <w:rPr>
          <w:w w:val="101"/>
        </w:rPr>
        <w:t>much  </w:t>
      </w:r>
      <w:r>
        <w:rPr>
          <w:rFonts w:ascii="Arial"/>
          <w:spacing w:val="-6"/>
          <w:w w:val="89"/>
          <w:sz w:val="22"/>
        </w:rPr>
        <w:t>,V!"'&gt;</w:t>
      </w:r>
      <w:r>
        <w:rPr>
          <w:rFonts w:ascii="Arial"/>
          <w:w w:val="89"/>
          <w:sz w:val="22"/>
        </w:rPr>
        <w:t>  </w:t>
      </w:r>
      <w:r>
        <w:rPr>
          <w:w w:val="100"/>
        </w:rPr>
        <w:t>differs  </w:t>
      </w:r>
      <w:r>
        <w:rPr>
          <w:w w:val="102"/>
        </w:rPr>
        <w:t>from  </w:t>
      </w:r>
      <w:r>
        <w:rPr>
          <w:i/>
          <w:spacing w:val="-4"/>
          <w:w w:val="114"/>
          <w:sz w:val="19"/>
        </w:rPr>
        <w:t>,Vz</w:t>
      </w:r>
      <w:r>
        <w:rPr>
          <w:i/>
          <w:w w:val="114"/>
          <w:sz w:val="19"/>
        </w:rPr>
        <w:t>  </w:t>
      </w:r>
      <w:r>
        <w:rPr>
          <w:w w:val="105"/>
        </w:rPr>
        <w:t>by  </w:t>
      </w:r>
      <w:r>
        <w:rPr>
          <w:w w:val="101"/>
        </w:rPr>
        <w:t>using  </w:t>
      </w:r>
      <w:r>
        <w:rPr>
          <w:w w:val="105"/>
        </w:rPr>
        <w:t>the following expressions for </w:t>
      </w:r>
      <w:r>
        <w:rPr>
          <w:i/>
          <w:w w:val="125"/>
        </w:rPr>
        <w:t>P </w:t>
      </w:r>
      <w:r>
        <w:rPr>
          <w:i/>
          <w:w w:val="85"/>
        </w:rPr>
        <w:t>m&gt;  </w:t>
      </w:r>
      <w:r>
        <w:rPr>
          <w:w w:val="105"/>
        </w:rPr>
        <w:t>and </w:t>
      </w:r>
      <w:r>
        <w:rPr>
          <w:w w:val="160"/>
        </w:rPr>
        <w:t>a</w:t>
      </w:r>
      <w:r>
        <w:rPr>
          <w:spacing w:val="-24"/>
          <w:w w:val="160"/>
        </w:rPr>
        <w:t> </w:t>
      </w:r>
      <w:r>
        <w:rPr>
          <w:spacing w:val="14"/>
          <w:w w:val="125"/>
        </w:rPr>
        <w:t>!:</w:t>
      </w:r>
    </w:p>
    <w:p>
      <w:pPr>
        <w:spacing w:line="318" w:lineRule="exact" w:before="98"/>
        <w:ind w:left="1453" w:right="0" w:firstLine="0"/>
        <w:jc w:val="left"/>
        <w:rPr>
          <w:rFonts w:ascii="Arial"/>
          <w:i/>
          <w:sz w:val="17"/>
        </w:rPr>
      </w:pPr>
      <w:r>
        <w:rPr/>
        <w:pict>
          <v:shape style="position:absolute;margin-left:175.139999pt;margin-top:16.834433pt;width:12.5pt;height:9.5pt;mso-position-horizontal-relative:page;mso-position-vertical-relative:paragraph;z-index:-726040" type="#_x0000_t202" filled="false" stroked="false">
            <v:textbox inset="0,0,0,0">
              <w:txbxContent>
                <w:p>
                  <w:pPr>
                    <w:spacing w:line="190" w:lineRule="exact" w:before="0"/>
                    <w:ind w:left="0" w:right="-13" w:firstLine="0"/>
                    <w:jc w:val="left"/>
                    <w:rPr>
                      <w:sz w:val="19"/>
                    </w:rPr>
                  </w:pPr>
                  <w:r>
                    <w:rPr>
                      <w:sz w:val="19"/>
                    </w:rPr>
                    <w:t>2m</w:t>
                  </w:r>
                </w:p>
              </w:txbxContent>
            </v:textbox>
            <w10:wrap type="none"/>
          </v:shape>
        </w:pict>
      </w:r>
      <w:r>
        <w:rPr>
          <w:rFonts w:ascii="Arial"/>
          <w:b/>
          <w:spacing w:val="-31"/>
          <w:w w:val="243"/>
          <w:sz w:val="11"/>
        </w:rPr>
        <w:t>p</w:t>
      </w:r>
      <w:r>
        <w:rPr>
          <w:rFonts w:ascii="Arial"/>
          <w:b/>
          <w:spacing w:val="-37"/>
          <w:w w:val="118"/>
          <w:sz w:val="11"/>
        </w:rPr>
        <w:t>z</w:t>
      </w:r>
      <w:r>
        <w:rPr>
          <w:rFonts w:ascii="Arial"/>
          <w:b/>
          <w:w w:val="118"/>
          <w:sz w:val="11"/>
        </w:rPr>
        <w:t>(</w:t>
      </w:r>
      <w:r>
        <w:rPr>
          <w:rFonts w:ascii="Arial"/>
          <w:b/>
          <w:w w:val="117"/>
          <w:sz w:val="11"/>
        </w:rPr>
        <w:t>m</w:t>
      </w:r>
      <w:r>
        <w:rPr>
          <w:rFonts w:ascii="Arial"/>
          <w:b/>
          <w:w w:val="117"/>
          <w:sz w:val="11"/>
        </w:rPr>
        <w:t>)</w:t>
      </w:r>
      <w:r>
        <w:rPr>
          <w:rFonts w:ascii="Arial"/>
          <w:b/>
          <w:sz w:val="11"/>
        </w:rPr>
        <w:t>   </w:t>
      </w:r>
      <w:r>
        <w:rPr>
          <w:rFonts w:ascii="Arial"/>
          <w:b/>
          <w:spacing w:val="-15"/>
          <w:sz w:val="11"/>
        </w:rPr>
        <w:t> </w:t>
      </w:r>
      <w:r>
        <w:rPr>
          <w:w w:val="50"/>
          <w:sz w:val="23"/>
        </w:rPr>
        <w:t>==</w:t>
      </w:r>
      <w:r>
        <w:rPr>
          <w:sz w:val="23"/>
        </w:rPr>
        <w:t> </w:t>
      </w:r>
      <w:r>
        <w:rPr>
          <w:spacing w:val="-10"/>
          <w:sz w:val="23"/>
        </w:rPr>
        <w:t> </w:t>
      </w:r>
      <w:r>
        <w:rPr>
          <w:b/>
          <w:i/>
          <w:w w:val="119"/>
          <w:sz w:val="20"/>
        </w:rPr>
        <w:t>p</w:t>
      </w:r>
      <w:r>
        <w:rPr>
          <w:b/>
          <w:i/>
          <w:sz w:val="20"/>
        </w:rPr>
        <w:t>   </w:t>
      </w:r>
      <w:r>
        <w:rPr>
          <w:b/>
          <w:i/>
          <w:spacing w:val="-10"/>
          <w:sz w:val="20"/>
        </w:rPr>
        <w:t> </w:t>
      </w:r>
      <w:r>
        <w:rPr>
          <w:rFonts w:ascii="Arial"/>
          <w:w w:val="105"/>
          <w:sz w:val="31"/>
        </w:rPr>
        <w:t>+</w:t>
      </w:r>
      <w:r>
        <w:rPr>
          <w:rFonts w:ascii="Arial"/>
          <w:spacing w:val="-37"/>
          <w:sz w:val="31"/>
        </w:rPr>
        <w:t> </w:t>
      </w:r>
      <w:r>
        <w:rPr>
          <w:rFonts w:ascii="Arial"/>
          <w:b/>
          <w:i/>
          <w:w w:val="103"/>
          <w:sz w:val="17"/>
        </w:rPr>
        <w:t>m</w:t>
      </w:r>
      <w:r>
        <w:rPr>
          <w:rFonts w:ascii="Arial"/>
          <w:b/>
          <w:i/>
          <w:sz w:val="17"/>
        </w:rPr>
        <w:t> </w:t>
      </w:r>
      <w:r>
        <w:rPr>
          <w:rFonts w:ascii="Arial"/>
          <w:b/>
          <w:i/>
          <w:spacing w:val="3"/>
          <w:sz w:val="17"/>
        </w:rPr>
        <w:t> </w:t>
      </w:r>
      <w:r>
        <w:rPr>
          <w:rFonts w:ascii="Arial"/>
          <w:w w:val="293"/>
          <w:sz w:val="17"/>
        </w:rPr>
        <w:t>-</w:t>
      </w:r>
      <w:r>
        <w:rPr>
          <w:rFonts w:ascii="Arial"/>
          <w:sz w:val="17"/>
        </w:rPr>
        <w:t> </w:t>
      </w:r>
      <w:r>
        <w:rPr>
          <w:rFonts w:ascii="Arial"/>
          <w:spacing w:val="-9"/>
          <w:sz w:val="17"/>
        </w:rPr>
        <w:t> </w:t>
      </w:r>
      <w:r>
        <w:rPr>
          <w:w w:val="114"/>
          <w:sz w:val="19"/>
        </w:rPr>
        <w:t>1</w:t>
      </w:r>
      <w:r>
        <w:rPr>
          <w:spacing w:val="-19"/>
          <w:sz w:val="19"/>
        </w:rPr>
        <w:t> </w:t>
      </w:r>
      <w:r>
        <w:rPr>
          <w:b/>
          <w:i/>
          <w:w w:val="63"/>
          <w:sz w:val="20"/>
        </w:rPr>
        <w:t>p&lt;rn&gt;</w:t>
      </w:r>
      <w:r>
        <w:rPr>
          <w:b/>
          <w:i/>
          <w:spacing w:val="18"/>
          <w:sz w:val="20"/>
        </w:rPr>
        <w:t> </w:t>
      </w:r>
      <w:r>
        <w:rPr>
          <w:b/>
          <w:i/>
          <w:w w:val="63"/>
          <w:sz w:val="20"/>
        </w:rPr>
        <w:t>(</w:t>
      </w:r>
      <w:r>
        <w:rPr>
          <w:b/>
          <w:i/>
          <w:spacing w:val="-14"/>
          <w:sz w:val="20"/>
        </w:rPr>
        <w:t> </w:t>
      </w:r>
      <w:r>
        <w:rPr>
          <w:b/>
          <w:i/>
          <w:w w:val="116"/>
          <w:sz w:val="20"/>
        </w:rPr>
        <w:t>p</w:t>
      </w:r>
      <w:r>
        <w:rPr>
          <w:b/>
          <w:i/>
          <w:sz w:val="20"/>
        </w:rPr>
        <w:t>   </w:t>
      </w:r>
      <w:r>
        <w:rPr>
          <w:b/>
          <w:i/>
          <w:spacing w:val="-18"/>
          <w:sz w:val="20"/>
        </w:rPr>
        <w:t> </w:t>
      </w:r>
      <w:r>
        <w:rPr>
          <w:rFonts w:ascii="Arial"/>
          <w:w w:val="105"/>
          <w:sz w:val="31"/>
        </w:rPr>
        <w:t>+</w:t>
      </w:r>
      <w:r>
        <w:rPr>
          <w:rFonts w:ascii="Arial"/>
          <w:spacing w:val="-19"/>
          <w:sz w:val="31"/>
        </w:rPr>
        <w:t> </w:t>
      </w:r>
      <w:r>
        <w:rPr>
          <w:rFonts w:ascii="Arial"/>
          <w:i/>
          <w:spacing w:val="21"/>
          <w:w w:val="106"/>
          <w:sz w:val="17"/>
        </w:rPr>
        <w:t>d</w:t>
      </w:r>
      <w:r>
        <w:rPr>
          <w:rFonts w:ascii="Arial"/>
          <w:i/>
          <w:w w:val="87"/>
          <w:sz w:val="17"/>
        </w:rPr>
        <w:t>)</w:t>
      </w:r>
    </w:p>
    <w:p>
      <w:pPr>
        <w:pStyle w:val="ListParagraph"/>
        <w:numPr>
          <w:ilvl w:val="1"/>
          <w:numId w:val="42"/>
        </w:numPr>
        <w:tabs>
          <w:tab w:pos="2311" w:val="left" w:leader="none"/>
          <w:tab w:pos="3494" w:val="left" w:leader="none"/>
          <w:tab w:pos="3980" w:val="left" w:leader="none"/>
        </w:tabs>
        <w:spacing w:line="100" w:lineRule="exact" w:before="0" w:after="0"/>
        <w:ind w:left="2310" w:right="0" w:hanging="277"/>
        <w:jc w:val="left"/>
        <w:rPr>
          <w:sz w:val="12"/>
        </w:rPr>
      </w:pPr>
      <w:r>
        <w:rPr>
          <w:w w:val="125"/>
          <w:sz w:val="12"/>
        </w:rPr>
        <w:t>z</w:t>
        <w:tab/>
        <w:t>z</w:t>
        <w:tab/>
        <w:t>z</w:t>
      </w:r>
    </w:p>
    <w:p>
      <w:pPr>
        <w:pStyle w:val="BodyText"/>
        <w:rPr>
          <w:sz w:val="12"/>
        </w:rPr>
      </w:pPr>
    </w:p>
    <w:p>
      <w:pPr>
        <w:spacing w:before="83"/>
        <w:ind w:left="293" w:right="76" w:firstLine="0"/>
        <w:jc w:val="center"/>
        <w:rPr>
          <w:sz w:val="19"/>
        </w:rPr>
      </w:pPr>
      <w:r>
        <w:rPr/>
        <w:drawing>
          <wp:anchor distT="0" distB="0" distL="0" distR="0" allowOverlap="1" layoutInCell="1" locked="0" behindDoc="1" simplePos="0" relativeHeight="267709319">
            <wp:simplePos x="0" y="0"/>
            <wp:positionH relativeFrom="page">
              <wp:posOffset>1335024</wp:posOffset>
            </wp:positionH>
            <wp:positionV relativeFrom="paragraph">
              <wp:posOffset>115050</wp:posOffset>
            </wp:positionV>
            <wp:extent cx="640080" cy="155448"/>
            <wp:effectExtent l="0" t="0" r="0" b="0"/>
            <wp:wrapNone/>
            <wp:docPr id="247" name="image128.png" descr=""/>
            <wp:cNvGraphicFramePr>
              <a:graphicFrameLocks noChangeAspect="1"/>
            </wp:cNvGraphicFramePr>
            <a:graphic>
              <a:graphicData uri="http://schemas.openxmlformats.org/drawingml/2006/picture">
                <pic:pic>
                  <pic:nvPicPr>
                    <pic:cNvPr id="248" name="image128.png"/>
                    <pic:cNvPicPr/>
                  </pic:nvPicPr>
                  <pic:blipFill>
                    <a:blip r:embed="rId132" cstate="print"/>
                    <a:stretch>
                      <a:fillRect/>
                    </a:stretch>
                  </pic:blipFill>
                  <pic:spPr>
                    <a:xfrm>
                      <a:off x="0" y="0"/>
                      <a:ext cx="640080" cy="155448"/>
                    </a:xfrm>
                    <a:prstGeom prst="rect">
                      <a:avLst/>
                    </a:prstGeom>
                  </pic:spPr>
                </pic:pic>
              </a:graphicData>
            </a:graphic>
          </wp:anchor>
        </w:drawing>
      </w:r>
      <w:r>
        <w:rPr>
          <w:rFonts w:ascii="Arial"/>
          <w:i/>
          <w:w w:val="120"/>
          <w:sz w:val="18"/>
        </w:rPr>
        <w:t>m </w:t>
      </w:r>
      <w:r>
        <w:rPr>
          <w:rFonts w:ascii="Arial"/>
          <w:w w:val="265"/>
          <w:sz w:val="18"/>
        </w:rPr>
        <w:t>- </w:t>
      </w:r>
      <w:r>
        <w:rPr>
          <w:w w:val="120"/>
          <w:sz w:val="19"/>
        </w:rPr>
        <w:t>1</w:t>
      </w:r>
    </w:p>
    <w:p>
      <w:pPr>
        <w:spacing w:before="45"/>
        <w:ind w:left="2980" w:right="0" w:firstLine="0"/>
        <w:jc w:val="left"/>
        <w:rPr>
          <w:rFonts w:ascii="Arial"/>
          <w:i/>
          <w:sz w:val="18"/>
        </w:rPr>
      </w:pPr>
      <w:r>
        <w:rPr>
          <w:rFonts w:ascii="Arial"/>
          <w:i/>
          <w:w w:val="105"/>
          <w:sz w:val="18"/>
        </w:rPr>
        <w:t>2m</w:t>
      </w:r>
    </w:p>
    <w:p>
      <w:pPr>
        <w:pStyle w:val="BodyText"/>
        <w:spacing w:before="128"/>
        <w:ind w:left="139"/>
      </w:pPr>
      <w:r>
        <w:rPr>
          <w:w w:val="105"/>
        </w:rPr>
        <w:t>Making  these  substítutions  in   (5.19),</w:t>
      </w:r>
    </w:p>
    <w:p>
      <w:pPr>
        <w:spacing w:after="0"/>
        <w:sectPr>
          <w:type w:val="continuous"/>
          <w:pgSz w:w="7200" w:h="11340"/>
          <w:pgMar w:top="1100" w:bottom="0" w:left="620" w:right="560"/>
        </w:sectPr>
      </w:pPr>
    </w:p>
    <w:p>
      <w:pPr>
        <w:pStyle w:val="BodyText"/>
        <w:spacing w:before="1"/>
        <w:rPr>
          <w:sz w:val="19"/>
        </w:rPr>
      </w:pPr>
    </w:p>
    <w:p>
      <w:pPr>
        <w:spacing w:before="1"/>
        <w:ind w:left="139" w:right="0" w:firstLine="0"/>
        <w:jc w:val="left"/>
        <w:rPr>
          <w:rFonts w:ascii="Arial"/>
          <w:sz w:val="13"/>
        </w:rPr>
      </w:pPr>
      <w:r>
        <w:rPr>
          <w:i/>
          <w:w w:val="115"/>
          <w:sz w:val="13"/>
        </w:rPr>
        <w:t>t</w:t>
      </w:r>
      <w:r>
        <w:rPr>
          <w:i/>
          <w:spacing w:val="-14"/>
          <w:sz w:val="13"/>
        </w:rPr>
        <w:t> </w:t>
      </w:r>
      <w:r>
        <w:rPr>
          <w:i/>
          <w:spacing w:val="-4"/>
          <w:w w:val="117"/>
          <w:position w:val="3"/>
          <w:sz w:val="19"/>
        </w:rPr>
        <w:t>V</w:t>
      </w:r>
      <w:r>
        <w:rPr>
          <w:i/>
          <w:spacing w:val="-34"/>
          <w:w w:val="115"/>
          <w:sz w:val="13"/>
        </w:rPr>
        <w:t>z</w:t>
      </w:r>
      <w:r>
        <w:rPr>
          <w:rFonts w:ascii="Arial"/>
          <w:i/>
          <w:w w:val="58"/>
          <w:position w:val="6"/>
          <w:sz w:val="20"/>
        </w:rPr>
        <w:t>&lt;"'&gt;</w:t>
      </w:r>
      <w:r>
        <w:rPr>
          <w:rFonts w:ascii="Arial"/>
          <w:i/>
          <w:position w:val="6"/>
          <w:sz w:val="20"/>
        </w:rPr>
        <w:t> </w:t>
      </w:r>
      <w:r>
        <w:rPr>
          <w:rFonts w:ascii="Arial"/>
          <w:i/>
          <w:spacing w:val="-25"/>
          <w:position w:val="6"/>
          <w:sz w:val="20"/>
        </w:rPr>
        <w:t> </w:t>
      </w:r>
      <w:r>
        <w:rPr>
          <w:rFonts w:ascii="Arial"/>
          <w:spacing w:val="-103"/>
          <w:w w:val="141"/>
          <w:position w:val="6"/>
          <w:sz w:val="20"/>
        </w:rPr>
        <w:t>.</w:t>
      </w:r>
      <w:r>
        <w:rPr>
          <w:rFonts w:ascii="Arial"/>
          <w:w w:val="48"/>
          <w:sz w:val="13"/>
        </w:rPr>
        <w:t>===:</w:t>
      </w:r>
    </w:p>
    <w:p>
      <w:pPr>
        <w:spacing w:line="509" w:lineRule="exact" w:before="0"/>
        <w:ind w:left="68" w:right="0" w:firstLine="0"/>
        <w:jc w:val="left"/>
        <w:rPr>
          <w:sz w:val="49"/>
        </w:rPr>
      </w:pPr>
      <w:r>
        <w:rPr/>
        <w:br w:type="column"/>
      </w:r>
      <w:r>
        <w:rPr>
          <w:i/>
          <w:w w:val="102"/>
          <w:sz w:val="19"/>
        </w:rPr>
        <w:t>A</w:t>
      </w:r>
      <w:r>
        <w:rPr>
          <w:i/>
          <w:spacing w:val="-20"/>
          <w:sz w:val="19"/>
        </w:rPr>
        <w:t> </w:t>
      </w:r>
      <w:r>
        <w:rPr>
          <w:b/>
          <w:w w:val="90"/>
          <w:position w:val="-5"/>
          <w:sz w:val="16"/>
        </w:rPr>
        <w:t>z+c</w:t>
      </w:r>
      <w:r>
        <w:rPr>
          <w:b/>
          <w:position w:val="-5"/>
          <w:sz w:val="16"/>
        </w:rPr>
        <w:t>  </w:t>
      </w:r>
      <w:r>
        <w:rPr>
          <w:b/>
          <w:spacing w:val="-8"/>
          <w:position w:val="-5"/>
          <w:sz w:val="16"/>
        </w:rPr>
        <w:t> </w:t>
      </w:r>
      <w:r>
        <w:rPr>
          <w:w w:val="335"/>
          <w:position w:val="-5"/>
          <w:sz w:val="16"/>
        </w:rPr>
        <w:t>-</w:t>
      </w:r>
      <w:r>
        <w:rPr>
          <w:spacing w:val="11"/>
          <w:position w:val="-5"/>
          <w:sz w:val="16"/>
        </w:rPr>
        <w:t> </w:t>
      </w:r>
      <w:r>
        <w:rPr>
          <w:rFonts w:ascii="Arial" w:hAnsi="Arial"/>
          <w:i/>
          <w:w w:val="77"/>
          <w:sz w:val="20"/>
        </w:rPr>
        <w:t>p</w:t>
      </w:r>
      <w:r>
        <w:rPr>
          <w:rFonts w:ascii="Arial" w:hAnsi="Arial"/>
          <w:i/>
          <w:spacing w:val="-41"/>
          <w:w w:val="77"/>
          <w:sz w:val="20"/>
        </w:rPr>
        <w:t>&lt;</w:t>
      </w:r>
      <w:r>
        <w:rPr>
          <w:b/>
          <w:spacing w:val="-39"/>
          <w:w w:val="119"/>
          <w:position w:val="-5"/>
          <w:sz w:val="17"/>
        </w:rPr>
        <w:t>s</w:t>
      </w:r>
      <w:r>
        <w:rPr>
          <w:rFonts w:ascii="Arial" w:hAnsi="Arial"/>
          <w:i/>
          <w:w w:val="77"/>
          <w:sz w:val="20"/>
        </w:rPr>
        <w:t>"'&gt;</w:t>
      </w:r>
      <w:r>
        <w:rPr>
          <w:rFonts w:ascii="Arial" w:hAnsi="Arial"/>
          <w:i/>
          <w:sz w:val="20"/>
        </w:rPr>
        <w:t> </w:t>
      </w:r>
      <w:r>
        <w:rPr>
          <w:rFonts w:ascii="Arial" w:hAnsi="Arial"/>
          <w:i/>
          <w:spacing w:val="-12"/>
          <w:sz w:val="20"/>
        </w:rPr>
        <w:t> </w:t>
      </w:r>
      <w:r>
        <w:rPr>
          <w:rFonts w:ascii="Arial" w:hAnsi="Arial"/>
          <w:spacing w:val="-10"/>
          <w:w w:val="170"/>
          <w:sz w:val="20"/>
        </w:rPr>
        <w:t>(</w:t>
      </w:r>
      <w:r>
        <w:rPr>
          <w:b/>
          <w:i/>
          <w:spacing w:val="-94"/>
          <w:w w:val="111"/>
          <w:position w:val="-5"/>
          <w:sz w:val="16"/>
        </w:rPr>
        <w:t>a</w:t>
      </w:r>
      <w:r>
        <w:rPr>
          <w:rFonts w:ascii="Arial" w:hAnsi="Arial"/>
          <w:spacing w:val="-57"/>
          <w:w w:val="170"/>
          <w:sz w:val="20"/>
        </w:rPr>
        <w:t>·</w:t>
      </w:r>
      <w:r>
        <w:rPr>
          <w:rFonts w:ascii="Arial" w:hAnsi="Arial"/>
          <w:spacing w:val="-77"/>
          <w:w w:val="141"/>
          <w:sz w:val="20"/>
        </w:rPr>
        <w:t>·</w:t>
      </w:r>
      <w:r>
        <w:rPr>
          <w:b/>
          <w:i/>
          <w:w w:val="110"/>
          <w:position w:val="-5"/>
          <w:sz w:val="16"/>
        </w:rPr>
        <w:t>z+t</w:t>
      </w:r>
      <w:r>
        <w:rPr>
          <w:b/>
          <w:i/>
          <w:position w:val="-5"/>
          <w:sz w:val="16"/>
        </w:rPr>
        <w:t>  </w:t>
      </w:r>
      <w:r>
        <w:rPr>
          <w:b/>
          <w:i/>
          <w:spacing w:val="-4"/>
          <w:position w:val="-5"/>
          <w:sz w:val="16"/>
        </w:rPr>
        <w:t> </w:t>
      </w:r>
      <w:r>
        <w:rPr>
          <w:w w:val="353"/>
          <w:position w:val="-5"/>
          <w:sz w:val="16"/>
        </w:rPr>
        <w:t>-</w:t>
      </w:r>
      <w:r>
        <w:rPr>
          <w:spacing w:val="1"/>
          <w:position w:val="-5"/>
          <w:sz w:val="16"/>
        </w:rPr>
        <w:t> </w:t>
      </w:r>
      <w:r>
        <w:rPr>
          <w:rFonts w:ascii="Arial" w:hAnsi="Arial"/>
          <w:i/>
          <w:w w:val="107"/>
          <w:sz w:val="18"/>
        </w:rPr>
        <w:t>m</w:t>
      </w:r>
      <w:r>
        <w:rPr>
          <w:rFonts w:ascii="Arial" w:hAnsi="Arial"/>
          <w:i/>
          <w:sz w:val="18"/>
        </w:rPr>
        <w:t> </w:t>
      </w:r>
      <w:r>
        <w:rPr>
          <w:rFonts w:ascii="Arial" w:hAnsi="Arial"/>
          <w:i/>
          <w:spacing w:val="-10"/>
          <w:sz w:val="18"/>
        </w:rPr>
        <w:t> </w:t>
      </w:r>
      <w:r>
        <w:rPr>
          <w:rFonts w:ascii="Arial" w:hAnsi="Arial"/>
          <w:w w:val="291"/>
          <w:sz w:val="18"/>
        </w:rPr>
        <w:t>-</w:t>
      </w:r>
      <w:r>
        <w:rPr>
          <w:rFonts w:ascii="Arial" w:hAnsi="Arial"/>
          <w:sz w:val="18"/>
        </w:rPr>
        <w:t> </w:t>
      </w:r>
      <w:r>
        <w:rPr>
          <w:rFonts w:ascii="Arial" w:hAnsi="Arial"/>
          <w:spacing w:val="-20"/>
          <w:sz w:val="18"/>
        </w:rPr>
        <w:t> </w:t>
      </w:r>
      <w:r>
        <w:rPr>
          <w:w w:val="57"/>
          <w:sz w:val="49"/>
        </w:rPr>
        <w:t>1)</w:t>
      </w:r>
    </w:p>
    <w:p>
      <w:pPr>
        <w:spacing w:after="0" w:line="509" w:lineRule="exact"/>
        <w:jc w:val="left"/>
        <w:rPr>
          <w:sz w:val="49"/>
        </w:rPr>
        <w:sectPr>
          <w:type w:val="continuous"/>
          <w:pgSz w:w="7200" w:h="11340"/>
          <w:pgMar w:top="1100" w:bottom="0" w:left="620" w:right="560"/>
          <w:cols w:num="2" w:equalWidth="0">
            <w:col w:w="809" w:space="40"/>
            <w:col w:w="5171"/>
          </w:cols>
        </w:sectPr>
      </w:pPr>
    </w:p>
    <w:p>
      <w:pPr>
        <w:spacing w:before="15"/>
        <w:ind w:left="539" w:right="0" w:firstLine="0"/>
        <w:jc w:val="left"/>
        <w:rPr>
          <w:rFonts w:ascii="Arial" w:hAnsi="Arial"/>
          <w:i/>
          <w:sz w:val="19"/>
        </w:rPr>
      </w:pPr>
      <w:r>
        <w:rPr/>
        <w:drawing>
          <wp:anchor distT="0" distB="0" distL="0" distR="0" allowOverlap="1" layoutInCell="1" locked="0" behindDoc="0" simplePos="0" relativeHeight="9952">
            <wp:simplePos x="0" y="0"/>
            <wp:positionH relativeFrom="page">
              <wp:posOffset>3291840</wp:posOffset>
            </wp:positionH>
            <wp:positionV relativeFrom="paragraph">
              <wp:posOffset>163202</wp:posOffset>
            </wp:positionV>
            <wp:extent cx="841248" cy="256031"/>
            <wp:effectExtent l="0" t="0" r="0" b="0"/>
            <wp:wrapNone/>
            <wp:docPr id="249" name="image129.png" descr=""/>
            <wp:cNvGraphicFramePr>
              <a:graphicFrameLocks noChangeAspect="1"/>
            </wp:cNvGraphicFramePr>
            <a:graphic>
              <a:graphicData uri="http://schemas.openxmlformats.org/drawingml/2006/picture">
                <pic:pic>
                  <pic:nvPicPr>
                    <pic:cNvPr id="250" name="image129.png"/>
                    <pic:cNvPicPr/>
                  </pic:nvPicPr>
                  <pic:blipFill>
                    <a:blip r:embed="rId133" cstate="print"/>
                    <a:stretch>
                      <a:fillRect/>
                    </a:stretch>
                  </pic:blipFill>
                  <pic:spPr>
                    <a:xfrm>
                      <a:off x="0" y="0"/>
                      <a:ext cx="841248" cy="256031"/>
                    </a:xfrm>
                    <a:prstGeom prst="rect">
                      <a:avLst/>
                    </a:prstGeom>
                  </pic:spPr>
                </pic:pic>
              </a:graphicData>
            </a:graphic>
          </wp:anchor>
        </w:drawing>
      </w:r>
      <w:r>
        <w:rPr/>
        <w:pict>
          <v:line style="position:absolute;mso-position-horizontal-relative:page;mso-position-vertical-relative:paragraph;z-index:-726088" from="145.619995pt,30.49062pt" to="158.039995pt,30.49062pt" stroked="true" strokeweight="5.04pt" strokecolor="#000000">
            <w10:wrap type="none"/>
          </v:line>
        </w:pict>
      </w:r>
      <w:r>
        <w:rPr>
          <w:rFonts w:ascii="Arial" w:hAnsi="Arial"/>
          <w:i/>
          <w:w w:val="75"/>
          <w:sz w:val="25"/>
        </w:rPr>
        <w:t>=e </w:t>
      </w:r>
      <w:r>
        <w:rPr>
          <w:rFonts w:ascii="Arial" w:hAnsi="Arial"/>
          <w:i/>
          <w:spacing w:val="-8"/>
          <w:sz w:val="19"/>
        </w:rPr>
        <w:t>A,+1 </w:t>
      </w:r>
      <w:r>
        <w:rPr>
          <w:rFonts w:ascii="Arial" w:hAnsi="Arial"/>
          <w:w w:val="250"/>
          <w:sz w:val="19"/>
        </w:rPr>
        <w:t>-</w:t>
      </w:r>
      <w:r>
        <w:rPr>
          <w:rFonts w:ascii="Arial" w:hAnsi="Arial"/>
          <w:spacing w:val="-94"/>
          <w:w w:val="250"/>
          <w:sz w:val="19"/>
        </w:rPr>
        <w:t> </w:t>
      </w:r>
      <w:r>
        <w:rPr>
          <w:i/>
          <w:w w:val="75"/>
          <w:sz w:val="29"/>
        </w:rPr>
        <w:t>[ </w:t>
      </w:r>
      <w:r>
        <w:rPr>
          <w:i/>
          <w:sz w:val="29"/>
        </w:rPr>
        <w:t>P, </w:t>
      </w:r>
      <w:r>
        <w:rPr>
          <w:rFonts w:ascii="Arial" w:hAnsi="Arial"/>
          <w:sz w:val="31"/>
        </w:rPr>
        <w:t>+</w:t>
      </w:r>
      <w:r>
        <w:rPr>
          <w:rFonts w:ascii="Arial" w:hAnsi="Arial"/>
          <w:spacing w:val="-58"/>
          <w:sz w:val="31"/>
        </w:rPr>
        <w:t> </w:t>
      </w:r>
      <w:r>
        <w:rPr>
          <w:i/>
          <w:w w:val="75"/>
          <w:sz w:val="56"/>
        </w:rPr>
        <w:t>m;:</w:t>
      </w:r>
      <w:r>
        <w:rPr>
          <w:i/>
          <w:spacing w:val="-53"/>
          <w:w w:val="75"/>
          <w:sz w:val="56"/>
        </w:rPr>
        <w:t> </w:t>
      </w:r>
      <w:r>
        <w:rPr>
          <w:position w:val="13"/>
          <w:sz w:val="20"/>
        </w:rPr>
        <w:t>1 </w:t>
      </w:r>
      <w:r>
        <w:rPr>
          <w:i/>
          <w:sz w:val="29"/>
        </w:rPr>
        <w:t>P!ª'</w:t>
      </w:r>
      <w:r>
        <w:rPr>
          <w:i/>
          <w:spacing w:val="-53"/>
          <w:sz w:val="29"/>
        </w:rPr>
        <w:t> </w:t>
      </w:r>
      <w:r>
        <w:rPr>
          <w:i/>
          <w:w w:val="75"/>
          <w:sz w:val="29"/>
        </w:rPr>
        <w:t>( </w:t>
      </w:r>
      <w:r>
        <w:rPr>
          <w:i/>
          <w:sz w:val="29"/>
        </w:rPr>
        <w:t>P, </w:t>
      </w:r>
      <w:r>
        <w:rPr>
          <w:rFonts w:ascii="Arial" w:hAnsi="Arial"/>
          <w:sz w:val="31"/>
        </w:rPr>
        <w:t>+</w:t>
      </w:r>
      <w:r>
        <w:rPr>
          <w:rFonts w:ascii="Arial" w:hAnsi="Arial"/>
          <w:spacing w:val="-63"/>
          <w:sz w:val="31"/>
        </w:rPr>
        <w:t> </w:t>
      </w:r>
      <w:r>
        <w:rPr>
          <w:i/>
          <w:w w:val="75"/>
          <w:sz w:val="29"/>
        </w:rPr>
        <w:t>d ) ] </w:t>
      </w:r>
      <w:r>
        <w:rPr>
          <w:rFonts w:ascii="Arial" w:hAnsi="Arial"/>
          <w:i/>
          <w:spacing w:val="-9"/>
          <w:sz w:val="19"/>
        </w:rPr>
        <w:t>0.+1</w:t>
      </w:r>
    </w:p>
    <w:p>
      <w:pPr>
        <w:pStyle w:val="BodyText"/>
        <w:spacing w:before="3"/>
        <w:rPr>
          <w:rFonts w:ascii="Arial"/>
          <w:i/>
          <w:sz w:val="10"/>
        </w:rPr>
      </w:pPr>
    </w:p>
    <w:p>
      <w:pPr>
        <w:spacing w:after="0"/>
        <w:rPr>
          <w:rFonts w:ascii="Arial"/>
          <w:sz w:val="10"/>
        </w:rPr>
        <w:sectPr>
          <w:type w:val="continuous"/>
          <w:pgSz w:w="7200" w:h="11340"/>
          <w:pgMar w:top="1100" w:bottom="0" w:left="620" w:right="560"/>
        </w:sectPr>
      </w:pPr>
    </w:p>
    <w:p>
      <w:pPr>
        <w:spacing w:line="95" w:lineRule="exact" w:before="70"/>
        <w:ind w:left="733" w:right="-12" w:firstLine="0"/>
        <w:jc w:val="left"/>
        <w:rPr>
          <w:rFonts w:ascii="Arial"/>
          <w:sz w:val="23"/>
        </w:rPr>
      </w:pPr>
      <w:r>
        <w:rPr>
          <w:i/>
          <w:sz w:val="19"/>
        </w:rPr>
        <w:t>(</w:t>
      </w:r>
      <w:r>
        <w:rPr>
          <w:i/>
          <w:spacing w:val="-18"/>
          <w:sz w:val="19"/>
        </w:rPr>
        <w:t> </w:t>
      </w:r>
      <w:r>
        <w:rPr>
          <w:i/>
          <w:sz w:val="19"/>
        </w:rPr>
        <w:t>As+t </w:t>
      </w:r>
      <w:r>
        <w:rPr>
          <w:i/>
          <w:spacing w:val="5"/>
          <w:sz w:val="19"/>
        </w:rPr>
        <w:t> </w:t>
      </w:r>
      <w:r>
        <w:rPr>
          <w:w w:val="260"/>
          <w:sz w:val="19"/>
        </w:rPr>
        <w:t>-</w:t>
      </w:r>
      <w:r>
        <w:rPr>
          <w:spacing w:val="-94"/>
          <w:w w:val="260"/>
          <w:sz w:val="19"/>
        </w:rPr>
        <w:t> </w:t>
      </w:r>
      <w:r>
        <w:rPr>
          <w:i/>
          <w:sz w:val="19"/>
        </w:rPr>
        <w:t>Pz</w:t>
      </w:r>
      <w:r>
        <w:rPr>
          <w:i/>
          <w:spacing w:val="-4"/>
          <w:sz w:val="19"/>
        </w:rPr>
        <w:t> </w:t>
      </w:r>
      <w:r>
        <w:rPr>
          <w:i/>
          <w:sz w:val="19"/>
        </w:rPr>
        <w:t>iiz+t</w:t>
      </w:r>
      <w:r>
        <w:rPr>
          <w:i/>
          <w:spacing w:val="-12"/>
          <w:sz w:val="19"/>
        </w:rPr>
        <w:t> </w:t>
      </w:r>
      <w:r>
        <w:rPr>
          <w:i/>
          <w:sz w:val="19"/>
        </w:rPr>
        <w:t>) </w:t>
      </w:r>
      <w:r>
        <w:rPr>
          <w:i/>
          <w:spacing w:val="7"/>
          <w:sz w:val="19"/>
        </w:rPr>
        <w:t> </w:t>
      </w:r>
      <w:r>
        <w:rPr>
          <w:rFonts w:ascii="Arial"/>
          <w:sz w:val="30"/>
        </w:rPr>
        <w:t>+</w:t>
      </w:r>
      <w:r>
        <w:rPr>
          <w:rFonts w:ascii="Arial"/>
          <w:spacing w:val="-39"/>
          <w:sz w:val="30"/>
        </w:rPr>
        <w:t> </w:t>
      </w:r>
      <w:r>
        <w:rPr>
          <w:rFonts w:ascii="Arial"/>
          <w:i/>
          <w:spacing w:val="3"/>
          <w:sz w:val="18"/>
        </w:rPr>
        <w:t>m</w:t>
      </w:r>
      <w:r>
        <w:rPr>
          <w:rFonts w:ascii="Arial"/>
          <w:spacing w:val="3"/>
          <w:position w:val="-12"/>
          <w:sz w:val="23"/>
        </w:rPr>
        <w:t>2</w:t>
      </w:r>
    </w:p>
    <w:p>
      <w:pPr>
        <w:spacing w:line="104" w:lineRule="exact" w:before="60"/>
        <w:ind w:left="161" w:right="0" w:firstLine="0"/>
        <w:jc w:val="left"/>
        <w:rPr>
          <w:sz w:val="19"/>
        </w:rPr>
      </w:pPr>
      <w:r>
        <w:rPr/>
        <w:br w:type="column"/>
      </w:r>
      <w:r>
        <w:rPr>
          <w:w w:val="139"/>
          <w:sz w:val="19"/>
        </w:rPr>
        <w:t>l</w:t>
      </w:r>
      <w:r>
        <w:rPr>
          <w:spacing w:val="22"/>
          <w:sz w:val="19"/>
        </w:rPr>
        <w:t> </w:t>
      </w:r>
      <w:r>
        <w:rPr>
          <w:i/>
          <w:spacing w:val="24"/>
          <w:w w:val="158"/>
          <w:sz w:val="19"/>
        </w:rPr>
        <w:t>P</w:t>
      </w:r>
      <w:r>
        <w:rPr>
          <w:i/>
          <w:w w:val="68"/>
          <w:sz w:val="19"/>
        </w:rPr>
        <w:t>"'&gt;</w:t>
      </w:r>
      <w:r>
        <w:rPr>
          <w:i/>
          <w:spacing w:val="18"/>
          <w:sz w:val="19"/>
        </w:rPr>
        <w:t> </w:t>
      </w:r>
      <w:r>
        <w:rPr>
          <w:w w:val="94"/>
          <w:sz w:val="20"/>
        </w:rPr>
        <w:t>[1</w:t>
      </w:r>
      <w:r>
        <w:rPr>
          <w:sz w:val="20"/>
        </w:rPr>
        <w:t> </w:t>
      </w:r>
      <w:r>
        <w:rPr>
          <w:spacing w:val="-21"/>
          <w:sz w:val="20"/>
        </w:rPr>
        <w:t> </w:t>
      </w:r>
      <w:r>
        <w:rPr>
          <w:w w:val="274"/>
          <w:sz w:val="20"/>
        </w:rPr>
        <w:t>-</w:t>
      </w:r>
      <w:r>
        <w:rPr>
          <w:spacing w:val="22"/>
          <w:sz w:val="20"/>
        </w:rPr>
        <w:t> </w:t>
      </w:r>
      <w:r>
        <w:rPr>
          <w:i/>
          <w:w w:val="73"/>
          <w:sz w:val="19"/>
        </w:rPr>
        <w:t>(</w:t>
      </w:r>
      <w:r>
        <w:rPr>
          <w:i/>
          <w:spacing w:val="-19"/>
          <w:sz w:val="19"/>
        </w:rPr>
        <w:t> </w:t>
      </w:r>
      <w:r>
        <w:rPr>
          <w:i/>
          <w:w w:val="109"/>
          <w:sz w:val="19"/>
        </w:rPr>
        <w:t>Ps</w:t>
      </w:r>
      <w:r>
        <w:rPr>
          <w:i/>
          <w:sz w:val="19"/>
        </w:rPr>
        <w:t> </w:t>
      </w:r>
      <w:r>
        <w:rPr>
          <w:i/>
          <w:spacing w:val="-2"/>
          <w:sz w:val="19"/>
        </w:rPr>
        <w:t> </w:t>
      </w:r>
      <w:r>
        <w:rPr>
          <w:rFonts w:ascii="Arial"/>
          <w:w w:val="103"/>
          <w:sz w:val="31"/>
        </w:rPr>
        <w:t>+</w:t>
      </w:r>
      <w:r>
        <w:rPr>
          <w:rFonts w:ascii="Arial"/>
          <w:spacing w:val="-26"/>
          <w:sz w:val="31"/>
        </w:rPr>
        <w:t> </w:t>
      </w:r>
      <w:r>
        <w:rPr>
          <w:w w:val="110"/>
          <w:sz w:val="19"/>
        </w:rPr>
        <w:t>d)</w:t>
      </w:r>
      <w:r>
        <w:rPr>
          <w:w w:val="109"/>
          <w:sz w:val="19"/>
        </w:rPr>
        <w:t>as+</w:t>
      </w:r>
      <w:r>
        <w:rPr>
          <w:spacing w:val="4"/>
          <w:w w:val="109"/>
          <w:sz w:val="19"/>
        </w:rPr>
        <w:t>,</w:t>
      </w:r>
      <w:r>
        <w:rPr>
          <w:w w:val="78"/>
          <w:sz w:val="19"/>
        </w:rPr>
        <w:t>1</w:t>
      </w:r>
    </w:p>
    <w:p>
      <w:pPr>
        <w:spacing w:after="0" w:line="104" w:lineRule="exact"/>
        <w:jc w:val="left"/>
        <w:rPr>
          <w:sz w:val="19"/>
        </w:rPr>
        <w:sectPr>
          <w:type w:val="continuous"/>
          <w:pgSz w:w="7200" w:h="11340"/>
          <w:pgMar w:top="1100" w:bottom="0" w:left="620" w:right="560"/>
          <w:cols w:num="2" w:equalWidth="0">
            <w:col w:w="2797" w:space="40"/>
            <w:col w:w="3183"/>
          </w:cols>
        </w:sectPr>
      </w:pPr>
    </w:p>
    <w:p>
      <w:pPr>
        <w:spacing w:line="235" w:lineRule="exact" w:before="0"/>
        <w:ind w:left="0" w:right="68" w:firstLine="0"/>
        <w:jc w:val="center"/>
        <w:rPr>
          <w:rFonts w:ascii="Arial"/>
          <w:sz w:val="23"/>
        </w:rPr>
      </w:pPr>
      <w:r>
        <w:rPr>
          <w:rFonts w:ascii="Arial"/>
          <w:w w:val="600"/>
          <w:sz w:val="23"/>
        </w:rPr>
        <w:t>:</w:t>
      </w:r>
    </w:p>
    <w:p>
      <w:pPr>
        <w:pStyle w:val="BodyText"/>
        <w:spacing w:line="98" w:lineRule="exact"/>
        <w:ind w:left="2614"/>
        <w:rPr>
          <w:rFonts w:ascii="Arial"/>
          <w:sz w:val="9"/>
        </w:rPr>
      </w:pPr>
      <w:r>
        <w:rPr>
          <w:rFonts w:ascii="Arial"/>
          <w:position w:val="-1"/>
          <w:sz w:val="9"/>
        </w:rPr>
        <w:pict>
          <v:group style="width:17.350pt;height:4.9pt;mso-position-horizontal-relative:char;mso-position-vertical-relative:line" coordorigin="0,0" coordsize="347,98">
            <v:line style="position:absolute" from="49,49" to="297,49" stroked="true" strokeweight="4.860pt" strokecolor="#000000"/>
          </v:group>
        </w:pict>
      </w:r>
      <w:r>
        <w:rPr>
          <w:rFonts w:ascii="Arial"/>
          <w:position w:val="-1"/>
          <w:sz w:val="9"/>
        </w:rPr>
      </w:r>
    </w:p>
    <w:p>
      <w:pPr>
        <w:spacing w:before="114"/>
        <w:ind w:left="719" w:right="0" w:firstLine="0"/>
        <w:jc w:val="left"/>
        <w:rPr>
          <w:sz w:val="20"/>
        </w:rPr>
      </w:pPr>
      <w:r>
        <w:rPr/>
        <w:pict>
          <v:line style="position:absolute;mso-position-horizontal-relative:page;mso-position-vertical-relative:paragraph;z-index:-726064" from="118.980003pt,26.83279pt" to="131.220003pt,26.83279pt" stroked="true" strokeweight="5.04pt" strokecolor="#000000">
            <w10:wrap type="none"/>
          </v:line>
        </w:pict>
      </w:r>
      <w:r>
        <w:rPr>
          <w:rFonts w:ascii="Arial" w:hAnsi="Arial"/>
          <w:spacing w:val="-47"/>
          <w:w w:val="191"/>
          <w:sz w:val="21"/>
        </w:rPr>
        <w:t>,</w:t>
      </w:r>
      <w:r>
        <w:rPr>
          <w:rFonts w:ascii="Arial" w:hAnsi="Arial"/>
          <w:i/>
          <w:spacing w:val="9"/>
          <w:w w:val="95"/>
          <w:sz w:val="21"/>
        </w:rPr>
        <w:t>V</w:t>
      </w:r>
      <w:r>
        <w:rPr>
          <w:rFonts w:ascii="Arial" w:hAnsi="Arial"/>
          <w:i/>
          <w:w w:val="178"/>
          <w:sz w:val="21"/>
        </w:rPr>
        <w:t>,</w:t>
      </w:r>
      <w:r>
        <w:rPr>
          <w:rFonts w:ascii="Arial" w:hAnsi="Arial"/>
          <w:i/>
          <w:spacing w:val="-33"/>
          <w:sz w:val="21"/>
        </w:rPr>
        <w:t> </w:t>
      </w:r>
      <w:r>
        <w:rPr>
          <w:rFonts w:ascii="Arial" w:hAnsi="Arial"/>
          <w:spacing w:val="-22"/>
          <w:w w:val="215"/>
          <w:sz w:val="21"/>
        </w:rPr>
        <w:t>(</w:t>
      </w:r>
      <w:r>
        <w:rPr>
          <w:w w:val="122"/>
          <w:sz w:val="20"/>
        </w:rPr>
        <w:t>1</w:t>
      </w:r>
      <w:r>
        <w:rPr>
          <w:spacing w:val="-14"/>
          <w:sz w:val="20"/>
        </w:rPr>
        <w:t> </w:t>
      </w:r>
      <w:r>
        <w:rPr>
          <w:rFonts w:ascii="Arial" w:hAnsi="Arial"/>
          <w:w w:val="104"/>
          <w:sz w:val="30"/>
        </w:rPr>
        <w:t>+</w:t>
      </w:r>
      <w:r>
        <w:rPr>
          <w:rFonts w:ascii="Arial" w:hAnsi="Arial"/>
          <w:spacing w:val="-30"/>
          <w:sz w:val="30"/>
        </w:rPr>
        <w:t> </w:t>
      </w:r>
      <w:r>
        <w:rPr>
          <w:rFonts w:ascii="Arial" w:hAnsi="Arial"/>
          <w:w w:val="57"/>
          <w:sz w:val="37"/>
        </w:rPr>
        <w:t>"!</w:t>
      </w:r>
      <w:r>
        <w:rPr>
          <w:rFonts w:ascii="Arial" w:hAnsi="Arial"/>
          <w:spacing w:val="-23"/>
          <w:w w:val="57"/>
          <w:sz w:val="37"/>
        </w:rPr>
        <w:t>.</w:t>
      </w:r>
      <w:r>
        <w:rPr>
          <w:rFonts w:ascii="Arial" w:hAnsi="Arial"/>
          <w:w w:val="73"/>
          <w:sz w:val="37"/>
        </w:rPr>
        <w:t>i,;.</w:t>
      </w:r>
      <w:r>
        <w:rPr>
          <w:rFonts w:ascii="Arial" w:hAnsi="Arial"/>
          <w:spacing w:val="-53"/>
          <w:sz w:val="37"/>
        </w:rPr>
        <w:t> </w:t>
      </w:r>
      <w:r>
        <w:rPr>
          <w:w w:val="108"/>
          <w:position w:val="13"/>
          <w:sz w:val="20"/>
        </w:rPr>
        <w:t>1</w:t>
      </w:r>
      <w:r>
        <w:rPr>
          <w:spacing w:val="-7"/>
          <w:position w:val="13"/>
          <w:sz w:val="20"/>
        </w:rPr>
        <w:t> </w:t>
      </w:r>
      <w:r>
        <w:rPr>
          <w:spacing w:val="-25"/>
          <w:w w:val="77"/>
          <w:sz w:val="34"/>
        </w:rPr>
        <w:t>P</w:t>
      </w:r>
      <w:r>
        <w:rPr>
          <w:spacing w:val="-136"/>
          <w:w w:val="170"/>
          <w:sz w:val="34"/>
        </w:rPr>
        <w:t>!</w:t>
      </w:r>
      <w:r>
        <w:rPr>
          <w:w w:val="110"/>
          <w:sz w:val="34"/>
        </w:rPr>
        <w:t>ª'</w:t>
      </w:r>
      <w:r>
        <w:rPr>
          <w:w w:val="110"/>
          <w:sz w:val="34"/>
        </w:rPr>
        <w:t>)</w:t>
      </w:r>
      <w:r>
        <w:rPr>
          <w:spacing w:val="-23"/>
          <w:sz w:val="34"/>
        </w:rPr>
        <w:t> </w:t>
      </w:r>
      <w:r>
        <w:rPr>
          <w:w w:val="56"/>
          <w:sz w:val="34"/>
        </w:rPr>
        <w:t>,</w:t>
      </w:r>
      <w:r>
        <w:rPr>
          <w:spacing w:val="-39"/>
          <w:sz w:val="34"/>
        </w:rPr>
        <w:t> </w:t>
      </w:r>
      <w:r>
        <w:rPr>
          <w:w w:val="104"/>
          <w:sz w:val="20"/>
        </w:rPr>
        <w:t>using</w:t>
      </w:r>
      <w:r>
        <w:rPr>
          <w:spacing w:val="-1"/>
          <w:sz w:val="20"/>
        </w:rPr>
        <w:t> </w:t>
      </w:r>
      <w:r>
        <w:rPr>
          <w:w w:val="106"/>
          <w:sz w:val="20"/>
        </w:rPr>
        <w:t>formulas</w:t>
      </w:r>
      <w:r>
        <w:rPr>
          <w:spacing w:val="10"/>
          <w:sz w:val="20"/>
        </w:rPr>
        <w:t> </w:t>
      </w:r>
      <w:r>
        <w:rPr>
          <w:spacing w:val="16"/>
          <w:w w:val="104"/>
          <w:sz w:val="20"/>
        </w:rPr>
        <w:t>(</w:t>
      </w:r>
      <w:r>
        <w:rPr>
          <w:spacing w:val="-19"/>
          <w:w w:val="119"/>
          <w:sz w:val="20"/>
        </w:rPr>
        <w:t>5</w:t>
      </w:r>
      <w:r>
        <w:rPr>
          <w:spacing w:val="-25"/>
          <w:w w:val="165"/>
          <w:sz w:val="20"/>
        </w:rPr>
        <w:t>.</w:t>
      </w:r>
      <w:r>
        <w:rPr>
          <w:w w:val="115"/>
          <w:sz w:val="20"/>
        </w:rPr>
        <w:t>1)</w:t>
      </w:r>
      <w:r>
        <w:rPr>
          <w:spacing w:val="-12"/>
          <w:sz w:val="20"/>
        </w:rPr>
        <w:t> </w:t>
      </w:r>
      <w:r>
        <w:rPr>
          <w:w w:val="109"/>
          <w:sz w:val="20"/>
        </w:rPr>
        <w:t>and</w:t>
      </w:r>
      <w:r>
        <w:rPr>
          <w:spacing w:val="14"/>
          <w:sz w:val="20"/>
        </w:rPr>
        <w:t> </w:t>
      </w:r>
      <w:r>
        <w:rPr>
          <w:w w:val="104"/>
          <w:sz w:val="20"/>
        </w:rPr>
        <w:t>(</w:t>
      </w:r>
      <w:r>
        <w:rPr>
          <w:spacing w:val="-27"/>
          <w:sz w:val="20"/>
        </w:rPr>
        <w:t> </w:t>
      </w:r>
      <w:r>
        <w:rPr>
          <w:spacing w:val="-26"/>
          <w:w w:val="119"/>
          <w:sz w:val="20"/>
        </w:rPr>
        <w:t>5</w:t>
      </w:r>
      <w:r>
        <w:rPr>
          <w:spacing w:val="-49"/>
          <w:w w:val="198"/>
          <w:sz w:val="20"/>
        </w:rPr>
        <w:t>.</w:t>
      </w:r>
      <w:r>
        <w:rPr>
          <w:w w:val="118"/>
          <w:sz w:val="20"/>
        </w:rPr>
        <w:t>5).</w:t>
      </w:r>
    </w:p>
    <w:p>
      <w:pPr>
        <w:pStyle w:val="BodyText"/>
        <w:spacing w:before="10"/>
        <w:rPr>
          <w:sz w:val="14"/>
        </w:rPr>
      </w:pPr>
    </w:p>
    <w:p>
      <w:pPr>
        <w:spacing w:after="0"/>
        <w:rPr>
          <w:sz w:val="14"/>
        </w:rPr>
        <w:sectPr>
          <w:type w:val="continuous"/>
          <w:pgSz w:w="7200" w:h="11340"/>
          <w:pgMar w:top="1100" w:bottom="0" w:left="620" w:right="560"/>
        </w:sectPr>
      </w:pPr>
    </w:p>
    <w:p>
      <w:pPr>
        <w:pStyle w:val="BodyText"/>
        <w:spacing w:before="75"/>
        <w:ind w:left="132" w:right="-6"/>
      </w:pPr>
      <w:r>
        <w:rPr>
          <w:spacing w:val="-3"/>
          <w:w w:val="105"/>
        </w:rPr>
        <w:t>I•'rom </w:t>
      </w:r>
      <w:r>
        <w:rPr>
          <w:w w:val="105"/>
        </w:rPr>
        <w:t>this result,</w:t>
      </w:r>
    </w:p>
    <w:p>
      <w:pPr>
        <w:spacing w:line="398" w:lineRule="exact" w:before="319"/>
        <w:ind w:left="21" w:right="-14" w:firstLine="0"/>
        <w:jc w:val="left"/>
        <w:rPr>
          <w:rFonts w:ascii="Arial"/>
          <w:sz w:val="36"/>
        </w:rPr>
      </w:pPr>
      <w:r>
        <w:rPr/>
        <w:br w:type="column"/>
      </w:r>
      <w:r>
        <w:rPr>
          <w:rFonts w:ascii="Arial"/>
          <w:i/>
          <w:w w:val="95"/>
          <w:sz w:val="20"/>
        </w:rPr>
        <w:t>y&lt;'"&gt;</w:t>
      </w:r>
      <w:r>
        <w:rPr>
          <w:rFonts w:ascii="Arial"/>
          <w:i/>
          <w:spacing w:val="5"/>
          <w:w w:val="95"/>
          <w:sz w:val="20"/>
        </w:rPr>
        <w:t> </w:t>
      </w:r>
      <w:r>
        <w:rPr>
          <w:w w:val="70"/>
          <w:sz w:val="23"/>
        </w:rPr>
        <w:t>== </w:t>
      </w:r>
      <w:r>
        <w:rPr>
          <w:spacing w:val="6"/>
          <w:w w:val="70"/>
          <w:sz w:val="23"/>
        </w:rPr>
        <w:t> </w:t>
      </w:r>
      <w:r>
        <w:rPr>
          <w:rFonts w:ascii="Arial"/>
          <w:i/>
          <w:w w:val="115"/>
          <w:sz w:val="20"/>
        </w:rPr>
        <w:t>V</w:t>
      </w:r>
      <w:r>
        <w:rPr>
          <w:rFonts w:ascii="Arial"/>
          <w:i/>
          <w:spacing w:val="-3"/>
          <w:w w:val="115"/>
          <w:sz w:val="20"/>
        </w:rPr>
        <w:t> </w:t>
      </w:r>
      <w:r>
        <w:rPr>
          <w:rFonts w:ascii="Arial"/>
          <w:spacing w:val="-4"/>
          <w:w w:val="115"/>
          <w:sz w:val="48"/>
        </w:rPr>
        <w:t>(i</w:t>
      </w:r>
      <w:r>
        <w:rPr>
          <w:spacing w:val="-4"/>
          <w:w w:val="115"/>
          <w:sz w:val="29"/>
        </w:rPr>
        <w:t>+</w:t>
      </w:r>
      <w:r>
        <w:rPr>
          <w:spacing w:val="-50"/>
          <w:w w:val="115"/>
          <w:sz w:val="29"/>
        </w:rPr>
        <w:t> </w:t>
      </w:r>
      <w:r>
        <w:rPr>
          <w:rFonts w:ascii="Arial"/>
          <w:i/>
          <w:w w:val="115"/>
          <w:sz w:val="19"/>
        </w:rPr>
        <w:t>m</w:t>
      </w:r>
      <w:r>
        <w:rPr>
          <w:rFonts w:ascii="Arial"/>
          <w:i/>
          <w:spacing w:val="-22"/>
          <w:w w:val="115"/>
          <w:sz w:val="19"/>
        </w:rPr>
        <w:t> </w:t>
      </w:r>
      <w:r>
        <w:rPr>
          <w:rFonts w:ascii="Arial"/>
          <w:w w:val="250"/>
          <w:sz w:val="19"/>
        </w:rPr>
        <w:t>-</w:t>
      </w:r>
      <w:r>
        <w:rPr>
          <w:rFonts w:ascii="Arial"/>
          <w:spacing w:val="-96"/>
          <w:w w:val="250"/>
          <w:sz w:val="19"/>
        </w:rPr>
        <w:t> </w:t>
      </w:r>
      <w:r>
        <w:rPr>
          <w:w w:val="115"/>
          <w:sz w:val="20"/>
        </w:rPr>
        <w:t>1</w:t>
      </w:r>
      <w:r>
        <w:rPr>
          <w:spacing w:val="-48"/>
          <w:w w:val="115"/>
          <w:sz w:val="20"/>
        </w:rPr>
        <w:t> </w:t>
      </w:r>
      <w:r>
        <w:rPr>
          <w:rFonts w:ascii="Arial"/>
          <w:w w:val="70"/>
          <w:sz w:val="36"/>
        </w:rPr>
        <w:t>p&lt;"'&gt;)</w:t>
      </w:r>
    </w:p>
    <w:p>
      <w:pPr>
        <w:pStyle w:val="BodyText"/>
        <w:rPr>
          <w:rFonts w:ascii="Arial"/>
        </w:rPr>
      </w:pPr>
      <w:r>
        <w:rPr/>
        <w:br w:type="column"/>
      </w:r>
      <w:r>
        <w:rPr>
          <w:rFonts w:ascii="Arial"/>
        </w:rPr>
      </w:r>
    </w:p>
    <w:p>
      <w:pPr>
        <w:pStyle w:val="BodyText"/>
        <w:rPr>
          <w:rFonts w:ascii="Arial"/>
        </w:rPr>
      </w:pPr>
    </w:p>
    <w:p>
      <w:pPr>
        <w:pStyle w:val="BodyText"/>
        <w:spacing w:line="124" w:lineRule="exact" w:before="133"/>
        <w:ind w:left="132"/>
      </w:pPr>
      <w:r>
        <w:rPr>
          <w:w w:val="110"/>
        </w:rPr>
        <w:t>( 5.21)</w:t>
      </w:r>
    </w:p>
    <w:p>
      <w:pPr>
        <w:spacing w:after="0" w:line="124" w:lineRule="exact"/>
        <w:sectPr>
          <w:type w:val="continuous"/>
          <w:pgSz w:w="7200" w:h="11340"/>
          <w:pgMar w:top="1100" w:bottom="0" w:left="620" w:right="560"/>
          <w:cols w:num="3" w:equalWidth="0">
            <w:col w:w="1573" w:space="40"/>
            <w:col w:w="2700" w:space="918"/>
            <w:col w:w="789"/>
          </w:cols>
        </w:sectPr>
      </w:pPr>
    </w:p>
    <w:p>
      <w:pPr>
        <w:tabs>
          <w:tab w:pos="2187" w:val="left" w:leader="none"/>
          <w:tab w:pos="3357" w:val="left" w:leader="none"/>
          <w:tab w:pos="3969" w:val="left" w:leader="none"/>
          <w:tab w:pos="4383" w:val="left" w:leader="none"/>
        </w:tabs>
        <w:spacing w:line="184" w:lineRule="exact" w:before="0"/>
        <w:ind w:left="1561" w:right="0" w:firstLine="0"/>
        <w:jc w:val="left"/>
        <w:rPr>
          <w:rFonts w:ascii="Arial"/>
          <w:sz w:val="11"/>
        </w:rPr>
      </w:pPr>
      <w:r>
        <w:rPr>
          <w:w w:val="260"/>
          <w:sz w:val="14"/>
        </w:rPr>
        <w:t>'</w:t>
      </w:r>
      <w:r>
        <w:rPr>
          <w:spacing w:val="33"/>
          <w:w w:val="260"/>
          <w:sz w:val="14"/>
        </w:rPr>
        <w:t> </w:t>
      </w:r>
      <w:r>
        <w:rPr>
          <w:i/>
          <w:w w:val="115"/>
          <w:sz w:val="14"/>
        </w:rPr>
        <w:t>z</w:t>
        <w:tab/>
      </w:r>
      <w:r>
        <w:rPr>
          <w:w w:val="160"/>
          <w:sz w:val="14"/>
        </w:rPr>
        <w:t>.</w:t>
      </w:r>
      <w:r>
        <w:rPr>
          <w:spacing w:val="24"/>
          <w:w w:val="160"/>
          <w:sz w:val="14"/>
        </w:rPr>
        <w:t> </w:t>
      </w:r>
      <w:r>
        <w:rPr>
          <w:w w:val="260"/>
          <w:sz w:val="14"/>
        </w:rPr>
        <w:t>'</w:t>
      </w:r>
      <w:r>
        <w:rPr>
          <w:spacing w:val="44"/>
          <w:w w:val="260"/>
          <w:sz w:val="14"/>
        </w:rPr>
        <w:t> </w:t>
      </w:r>
      <w:r>
        <w:rPr>
          <w:rFonts w:ascii="Arial"/>
          <w:w w:val="115"/>
          <w:sz w:val="11"/>
        </w:rPr>
        <w:t>z</w:t>
        <w:tab/>
      </w:r>
      <w:r>
        <w:rPr>
          <w:rFonts w:ascii="Arial"/>
          <w:i/>
          <w:w w:val="115"/>
          <w:sz w:val="18"/>
        </w:rPr>
        <w:t>2m</w:t>
        <w:tab/>
      </w:r>
      <w:r>
        <w:rPr>
          <w:rFonts w:ascii="Arial"/>
          <w:w w:val="160"/>
          <w:sz w:val="11"/>
        </w:rPr>
        <w:t>s</w:t>
        <w:tab/>
      </w:r>
      <w:r>
        <w:rPr>
          <w:rFonts w:ascii="Arial"/>
          <w:w w:val="285"/>
          <w:sz w:val="11"/>
        </w:rPr>
        <w:t>,</w:t>
      </w:r>
    </w:p>
    <w:p>
      <w:pPr>
        <w:pStyle w:val="BodyText"/>
        <w:spacing w:before="10"/>
        <w:rPr>
          <w:rFonts w:ascii="Arial"/>
          <w:sz w:val="11"/>
        </w:rPr>
      </w:pPr>
    </w:p>
    <w:p>
      <w:pPr>
        <w:pStyle w:val="BodyText"/>
        <w:spacing w:line="244" w:lineRule="auto" w:before="74"/>
        <w:ind w:left="117" w:right="140" w:firstLine="14"/>
        <w:jc w:val="both"/>
      </w:pPr>
      <w:r>
        <w:rPr>
          <w:w w:val="105"/>
        </w:rPr>
        <w:t>we see that the reserve is larger when  t rue fractional  premiums  are paid. This is because there will be a loss of  premium  in  the year  of  death  </w:t>
      </w:r>
      <w:r>
        <w:rPr>
          <w:w w:val="105"/>
          <w:sz w:val="21"/>
        </w:rPr>
        <w:t>if  </w:t>
      </w:r>
      <w:r>
        <w:rPr>
          <w:w w:val="105"/>
        </w:rPr>
        <w:t>death  occurs  before  all the fractional </w:t>
      </w:r>
      <w:r>
        <w:rPr>
          <w:spacing w:val="15"/>
          <w:w w:val="105"/>
        </w:rPr>
        <w:t> </w:t>
      </w:r>
      <w:r>
        <w:rPr>
          <w:w w:val="105"/>
        </w:rPr>
        <w:t>premiums</w:t>
      </w:r>
    </w:p>
    <w:p>
      <w:pPr>
        <w:spacing w:after="0" w:line="244" w:lineRule="auto"/>
        <w:jc w:val="both"/>
        <w:sectPr>
          <w:type w:val="continuous"/>
          <w:pgSz w:w="7200" w:h="11340"/>
          <w:pgMar w:top="1100" w:bottom="0" w:left="620" w:right="560"/>
        </w:sectPr>
      </w:pPr>
    </w:p>
    <w:p>
      <w:pPr>
        <w:tabs>
          <w:tab w:pos="1316" w:val="left" w:leader="none"/>
          <w:tab w:pos="5871" w:val="right" w:leader="none"/>
        </w:tabs>
        <w:spacing w:before="52"/>
        <w:ind w:left="125" w:right="0" w:firstLine="0"/>
        <w:jc w:val="left"/>
        <w:rPr>
          <w:b/>
          <w:sz w:val="22"/>
        </w:rPr>
      </w:pPr>
      <w:r>
        <w:rPr>
          <w:b/>
          <w:color w:val="010101"/>
          <w:sz w:val="16"/>
        </w:rPr>
        <w:t>SEC.</w:t>
      </w:r>
      <w:r>
        <w:rPr>
          <w:b/>
          <w:color w:val="010101"/>
          <w:spacing w:val="18"/>
          <w:sz w:val="16"/>
        </w:rPr>
        <w:t> </w:t>
      </w:r>
      <w:r>
        <w:rPr>
          <w:b/>
          <w:color w:val="010101"/>
          <w:sz w:val="21"/>
        </w:rPr>
        <w:t>6]</w:t>
        <w:tab/>
      </w:r>
      <w:r>
        <w:rPr>
          <w:b/>
          <w:color w:val="010101"/>
          <w:position w:val="1"/>
          <w:sz w:val="16"/>
        </w:rPr>
        <w:t>POLICIES  W1TH </w:t>
      </w:r>
      <w:r>
        <w:rPr>
          <w:b/>
          <w:color w:val="010101"/>
          <w:spacing w:val="26"/>
          <w:position w:val="1"/>
          <w:sz w:val="16"/>
        </w:rPr>
        <w:t> </w:t>
      </w:r>
      <w:r>
        <w:rPr>
          <w:b/>
          <w:color w:val="010101"/>
          <w:position w:val="1"/>
          <w:sz w:val="16"/>
        </w:rPr>
        <w:t>l'RACTIONAL </w:t>
      </w:r>
      <w:r>
        <w:rPr>
          <w:b/>
          <w:color w:val="010101"/>
          <w:spacing w:val="17"/>
          <w:position w:val="1"/>
          <w:sz w:val="16"/>
        </w:rPr>
        <w:t> </w:t>
      </w:r>
      <w:r>
        <w:rPr>
          <w:b/>
          <w:color w:val="010101"/>
          <w:position w:val="1"/>
          <w:sz w:val="16"/>
        </w:rPr>
        <w:t>PRmllUMS</w:t>
      </w:r>
      <w:r>
        <w:rPr>
          <w:b/>
          <w:color w:val="010101"/>
          <w:position w:val="1"/>
          <w:sz w:val="22"/>
        </w:rPr>
        <w:tab/>
        <w:t>109</w:t>
      </w:r>
    </w:p>
    <w:p>
      <w:pPr>
        <w:spacing w:after="0"/>
        <w:jc w:val="left"/>
        <w:rPr>
          <w:sz w:val="22"/>
        </w:rPr>
        <w:sectPr>
          <w:pgSz w:w="7200" w:h="11340"/>
          <w:pgMar w:top="480" w:bottom="280" w:left="660" w:right="540"/>
        </w:sectPr>
      </w:pPr>
    </w:p>
    <w:p>
      <w:pPr>
        <w:spacing w:line="199" w:lineRule="exact" w:before="347"/>
        <w:ind w:left="114" w:right="0" w:firstLine="0"/>
        <w:jc w:val="left"/>
        <w:rPr>
          <w:rFonts w:ascii="Arial"/>
          <w:i/>
          <w:sz w:val="18"/>
        </w:rPr>
      </w:pPr>
      <w:r>
        <w:rPr>
          <w:color w:val="010101"/>
          <w:w w:val="105"/>
          <w:sz w:val="19"/>
        </w:rPr>
        <w:t>a.re due.  The  average loas  </w:t>
      </w:r>
      <w:r>
        <w:rPr>
          <w:rFonts w:ascii="Arial"/>
          <w:color w:val="010101"/>
          <w:w w:val="105"/>
          <w:sz w:val="21"/>
        </w:rPr>
        <w:t>is </w:t>
      </w:r>
      <w:r>
        <w:rPr>
          <w:color w:val="010101"/>
          <w:w w:val="105"/>
          <w:sz w:val="19"/>
        </w:rPr>
        <w:t>a.pproxima.tely  </w:t>
      </w:r>
      <w:r>
        <w:rPr>
          <w:rFonts w:ascii="Arial"/>
          <w:i/>
          <w:color w:val="010101"/>
          <w:w w:val="105"/>
          <w:sz w:val="18"/>
        </w:rPr>
        <w:t>m</w:t>
      </w:r>
    </w:p>
    <w:p>
      <w:pPr>
        <w:spacing w:line="176" w:lineRule="exact" w:before="0"/>
        <w:ind w:left="0" w:right="0" w:firstLine="0"/>
        <w:jc w:val="right"/>
        <w:rPr>
          <w:sz w:val="19"/>
        </w:rPr>
      </w:pPr>
      <w:r>
        <w:rPr>
          <w:color w:val="010101"/>
          <w:w w:val="115"/>
          <w:sz w:val="19"/>
        </w:rPr>
        <w:t>2</w:t>
      </w:r>
    </w:p>
    <w:p>
      <w:pPr>
        <w:spacing w:before="247"/>
        <w:ind w:left="114" w:right="0" w:firstLine="0"/>
        <w:jc w:val="left"/>
        <w:rPr>
          <w:sz w:val="19"/>
        </w:rPr>
      </w:pPr>
      <w:r>
        <w:rPr/>
        <w:br w:type="column"/>
      </w:r>
      <w:r>
        <w:rPr>
          <w:color w:val="010101"/>
          <w:w w:val="125"/>
          <w:position w:val="12"/>
          <w:sz w:val="19"/>
        </w:rPr>
        <w:t>1 </w:t>
      </w:r>
      <w:r>
        <w:rPr>
          <w:color w:val="010101"/>
          <w:w w:val="125"/>
          <w:sz w:val="19"/>
        </w:rPr>
        <w:t>P </w:t>
      </w:r>
      <w:r>
        <w:rPr>
          <w:color w:val="010101"/>
          <w:sz w:val="19"/>
        </w:rPr>
        <w:t>,,.&gt;, </w:t>
      </w:r>
      <w:r>
        <w:rPr>
          <w:color w:val="010101"/>
          <w:w w:val="110"/>
          <w:sz w:val="19"/>
        </w:rPr>
        <w:t>a.nd the</w:t>
      </w:r>
    </w:p>
    <w:p>
      <w:pPr>
        <w:spacing w:after="0"/>
        <w:jc w:val="left"/>
        <w:rPr>
          <w:sz w:val="19"/>
        </w:rPr>
        <w:sectPr>
          <w:type w:val="continuous"/>
          <w:pgSz w:w="7200" w:h="11340"/>
          <w:pgMar w:top="1100" w:bottom="0" w:left="660" w:right="540"/>
          <w:cols w:num="2" w:equalWidth="0">
            <w:col w:w="4278" w:space="123"/>
            <w:col w:w="1599"/>
          </w:cols>
        </w:sectPr>
      </w:pPr>
    </w:p>
    <w:p>
      <w:pPr>
        <w:spacing w:line="242" w:lineRule="auto" w:before="8"/>
        <w:ind w:left="125" w:right="119" w:firstLine="0"/>
        <w:jc w:val="both"/>
        <w:rPr>
          <w:sz w:val="19"/>
        </w:rPr>
      </w:pPr>
      <w:r>
        <w:rPr/>
        <w:pict>
          <v:rect style="position:absolute;margin-left:241.434998pt;margin-top:-8.705285pt;width:12.7354pt;height:6.636771pt;mso-position-horizontal-relative:page;mso-position-vertical-relative:paragraph;z-index:-726016" filled="true" fillcolor="#000000" stroked="false">
            <v:fill type="solid"/>
            <w10:wrap type="none"/>
          </v:rect>
        </w:pict>
      </w:r>
      <w:r>
        <w:rPr>
          <w:color w:val="010101"/>
          <w:w w:val="110"/>
          <w:sz w:val="19"/>
        </w:rPr>
        <w:t>reserve on the fractiona.l premium  ha.sis  is approximately  equal  </w:t>
      </w:r>
      <w:r>
        <w:rPr>
          <w:color w:val="010101"/>
          <w:w w:val="110"/>
          <w:sz w:val="21"/>
        </w:rPr>
        <w:t>to </w:t>
      </w:r>
      <w:r>
        <w:rPr>
          <w:color w:val="010101"/>
          <w:w w:val="110"/>
          <w:sz w:val="19"/>
        </w:rPr>
        <w:t>the reserve on an annual  premium  basis  for an  insurance  with  a benefit of  </w:t>
      </w:r>
      <w:r>
        <w:rPr>
          <w:color w:val="010101"/>
          <w:spacing w:val="2"/>
          <w:w w:val="110"/>
          <w:sz w:val="21"/>
        </w:rPr>
        <w:t>1</w:t>
      </w:r>
      <w:r>
        <w:rPr>
          <w:color w:val="010101"/>
          <w:spacing w:val="2"/>
          <w:w w:val="110"/>
          <w:sz w:val="19"/>
        </w:rPr>
        <w:t>plus </w:t>
      </w:r>
      <w:r>
        <w:rPr>
          <w:color w:val="010101"/>
          <w:w w:val="110"/>
          <w:sz w:val="19"/>
        </w:rPr>
        <w:t>the average loas of</w:t>
      </w:r>
      <w:r>
        <w:rPr>
          <w:color w:val="010101"/>
          <w:spacing w:val="18"/>
          <w:w w:val="110"/>
          <w:sz w:val="19"/>
        </w:rPr>
        <w:t> </w:t>
      </w:r>
      <w:r>
        <w:rPr>
          <w:color w:val="010101"/>
          <w:w w:val="110"/>
          <w:sz w:val="19"/>
        </w:rPr>
        <w:t>premium.</w:t>
      </w:r>
    </w:p>
    <w:p>
      <w:pPr>
        <w:spacing w:line="239" w:lineRule="exact" w:before="0"/>
        <w:ind w:left="322" w:right="0" w:firstLine="0"/>
        <w:jc w:val="left"/>
        <w:rPr>
          <w:sz w:val="19"/>
        </w:rPr>
      </w:pPr>
      <w:r>
        <w:rPr>
          <w:color w:val="010101"/>
          <w:w w:val="105"/>
          <w:sz w:val="22"/>
        </w:rPr>
        <w:t>When </w:t>
      </w:r>
      <w:r>
        <w:rPr>
          <w:color w:val="010101"/>
          <w:w w:val="105"/>
          <w:sz w:val="19"/>
        </w:rPr>
        <w:t>the insta.lment  </w:t>
      </w:r>
      <w:r>
        <w:rPr>
          <w:color w:val="010101"/>
          <w:w w:val="105"/>
          <w:sz w:val="20"/>
        </w:rPr>
        <w:t>type </w:t>
      </w:r>
      <w:r>
        <w:rPr>
          <w:color w:val="010101"/>
          <w:w w:val="105"/>
          <w:sz w:val="22"/>
        </w:rPr>
        <w:t>of  </w:t>
      </w:r>
      <w:r>
        <w:rPr>
          <w:color w:val="010101"/>
          <w:w w:val="105"/>
          <w:sz w:val="19"/>
        </w:rPr>
        <w:t>fractional  premium  </w:t>
      </w:r>
      <w:r>
        <w:rPr>
          <w:rFonts w:ascii="Arial"/>
          <w:color w:val="010101"/>
          <w:w w:val="105"/>
          <w:sz w:val="19"/>
        </w:rPr>
        <w:t>is  </w:t>
      </w:r>
      <w:r>
        <w:rPr>
          <w:color w:val="010101"/>
          <w:w w:val="105"/>
          <w:sz w:val="19"/>
        </w:rPr>
        <w:t>payable, the</w:t>
      </w:r>
    </w:p>
    <w:p>
      <w:pPr>
        <w:spacing w:line="240" w:lineRule="exact" w:before="0"/>
        <w:ind w:left="125" w:right="0" w:firstLine="0"/>
        <w:jc w:val="both"/>
        <w:rPr>
          <w:sz w:val="19"/>
        </w:rPr>
      </w:pPr>
      <w:r>
        <w:rPr>
          <w:color w:val="010101"/>
          <w:w w:val="105"/>
          <w:sz w:val="21"/>
        </w:rPr>
        <w:t>amount  of  </w:t>
      </w:r>
      <w:r>
        <w:rPr>
          <w:color w:val="010101"/>
          <w:w w:val="105"/>
          <w:sz w:val="19"/>
        </w:rPr>
        <w:t>the policy  proceeds  can </w:t>
      </w:r>
      <w:r>
        <w:rPr>
          <w:rFonts w:ascii="Arial"/>
          <w:color w:val="010101"/>
          <w:w w:val="105"/>
          <w:sz w:val="19"/>
        </w:rPr>
        <w:t>be </w:t>
      </w:r>
      <w:r>
        <w:rPr>
          <w:color w:val="010101"/>
          <w:w w:val="105"/>
          <w:sz w:val="19"/>
        </w:rPr>
        <w:t>approximated as</w:t>
      </w:r>
    </w:p>
    <w:p>
      <w:pPr>
        <w:spacing w:before="53"/>
        <w:ind w:left="140" w:right="0" w:firstLine="0"/>
        <w:jc w:val="both"/>
        <w:rPr>
          <w:rFonts w:ascii="Arial" w:hAnsi="Arial"/>
          <w:sz w:val="19"/>
        </w:rPr>
      </w:pPr>
      <w:r>
        <w:rPr/>
        <w:pict>
          <v:shape style="position:absolute;margin-left:127.5336pt;margin-top:8.592073pt;width:52.6pt;height:9.5pt;mso-position-horizontal-relative:page;mso-position-vertical-relative:paragraph;z-index:-725968" type="#_x0000_t202" filled="false" stroked="false">
            <v:textbox inset="0,0,0,0">
              <w:txbxContent>
                <w:p>
                  <w:pPr>
                    <w:spacing w:line="190" w:lineRule="exact" w:before="0"/>
                    <w:ind w:left="0" w:right="0" w:firstLine="0"/>
                    <w:jc w:val="left"/>
                    <w:rPr>
                      <w:sz w:val="19"/>
                    </w:rPr>
                  </w:pPr>
                  <w:r>
                    <w:rPr>
                      <w:rFonts w:ascii="Arial"/>
                      <w:color w:val="010101"/>
                      <w:w w:val="105"/>
                      <w:sz w:val="17"/>
                    </w:rPr>
                    <w:t>e  </w:t>
                  </w:r>
                  <w:r>
                    <w:rPr>
                      <w:color w:val="010101"/>
                      <w:w w:val="105"/>
                      <w:sz w:val="19"/>
                    </w:rPr>
                    <w:t>then ha.ve</w:t>
                  </w:r>
                </w:p>
              </w:txbxContent>
            </v:textbox>
            <w10:wrap type="none"/>
          </v:shape>
        </w:pict>
      </w:r>
      <w:r>
        <w:rPr>
          <w:color w:val="010101"/>
          <w:w w:val="128"/>
          <w:position w:val="-8"/>
          <w:sz w:val="21"/>
        </w:rPr>
        <w:t>1</w:t>
      </w:r>
      <w:r>
        <w:rPr>
          <w:color w:val="010101"/>
          <w:spacing w:val="-19"/>
          <w:position w:val="-8"/>
          <w:sz w:val="21"/>
        </w:rPr>
        <w:t> </w:t>
      </w:r>
      <w:r>
        <w:rPr>
          <w:color w:val="010101"/>
          <w:w w:val="267"/>
          <w:position w:val="-8"/>
          <w:sz w:val="21"/>
        </w:rPr>
        <w:t>-</w:t>
      </w:r>
      <w:r>
        <w:rPr>
          <w:color w:val="010101"/>
          <w:position w:val="-8"/>
          <w:sz w:val="21"/>
        </w:rPr>
        <w:t> </w:t>
      </w:r>
      <w:r>
        <w:rPr>
          <w:rFonts w:ascii="Arial" w:hAnsi="Arial"/>
          <w:color w:val="010101"/>
          <w:w w:val="110"/>
          <w:sz w:val="19"/>
        </w:rPr>
        <w:t>m</w:t>
      </w:r>
      <w:r>
        <w:rPr>
          <w:rFonts w:ascii="Arial" w:hAnsi="Arial"/>
          <w:color w:val="010101"/>
          <w:spacing w:val="4"/>
          <w:sz w:val="19"/>
        </w:rPr>
        <w:t> </w:t>
      </w:r>
      <w:r>
        <w:rPr>
          <w:rFonts w:ascii="Arial" w:hAnsi="Arial"/>
          <w:color w:val="010101"/>
          <w:w w:val="282"/>
          <w:sz w:val="19"/>
        </w:rPr>
        <w:t>-</w:t>
      </w:r>
      <w:r>
        <w:rPr>
          <w:rFonts w:ascii="Arial" w:hAnsi="Arial"/>
          <w:color w:val="010101"/>
          <w:spacing w:val="15"/>
          <w:sz w:val="19"/>
        </w:rPr>
        <w:t> </w:t>
      </w:r>
      <w:r>
        <w:rPr>
          <w:rFonts w:ascii="Arial" w:hAnsi="Arial"/>
          <w:color w:val="010101"/>
          <w:spacing w:val="5"/>
          <w:w w:val="133"/>
          <w:sz w:val="19"/>
        </w:rPr>
        <w:t>1</w:t>
      </w:r>
      <w:r>
        <w:rPr>
          <w:i/>
          <w:color w:val="010101"/>
          <w:spacing w:val="-2"/>
          <w:w w:val="116"/>
          <w:position w:val="-8"/>
          <w:sz w:val="22"/>
        </w:rPr>
        <w:t>P</w:t>
      </w:r>
      <w:r>
        <w:rPr>
          <w:i/>
          <w:color w:val="010101"/>
          <w:spacing w:val="-60"/>
          <w:w w:val="117"/>
          <w:position w:val="-8"/>
          <w:sz w:val="22"/>
        </w:rPr>
        <w:t>.</w:t>
      </w:r>
      <w:r>
        <w:rPr>
          <w:rFonts w:ascii="Arial" w:hAnsi="Arial"/>
          <w:color w:val="010101"/>
          <w:spacing w:val="-38"/>
          <w:w w:val="252"/>
          <w:sz w:val="16"/>
        </w:rPr>
        <w:t>l</w:t>
      </w:r>
      <w:r>
        <w:rPr>
          <w:rFonts w:ascii="Arial" w:hAnsi="Arial"/>
          <w:color w:val="010101"/>
          <w:spacing w:val="-41"/>
          <w:w w:val="250"/>
          <w:sz w:val="16"/>
        </w:rPr>
        <w:t>•</w:t>
      </w:r>
      <w:r>
        <w:rPr>
          <w:rFonts w:ascii="Arial" w:hAnsi="Arial"/>
          <w:color w:val="010101"/>
          <w:w w:val="55"/>
          <w:sz w:val="16"/>
        </w:rPr>
        <w:t>J</w:t>
      </w:r>
      <w:r>
        <w:rPr>
          <w:rFonts w:ascii="Arial" w:hAnsi="Arial"/>
          <w:color w:val="010101"/>
          <w:spacing w:val="-21"/>
          <w:sz w:val="16"/>
        </w:rPr>
        <w:t> </w:t>
      </w:r>
      <w:r>
        <w:rPr>
          <w:color w:val="010101"/>
          <w:w w:val="149"/>
          <w:position w:val="-8"/>
          <w:sz w:val="22"/>
        </w:rPr>
        <w:t>.</w:t>
      </w:r>
      <w:r>
        <w:rPr>
          <w:color w:val="010101"/>
          <w:spacing w:val="-8"/>
          <w:position w:val="-8"/>
          <w:sz w:val="22"/>
        </w:rPr>
        <w:t> </w:t>
      </w:r>
      <w:r>
        <w:rPr>
          <w:rFonts w:ascii="Arial" w:hAnsi="Arial"/>
          <w:color w:val="010101"/>
          <w:w w:val="110"/>
          <w:sz w:val="19"/>
        </w:rPr>
        <w:t>W</w:t>
      </w:r>
    </w:p>
    <w:p>
      <w:pPr>
        <w:spacing w:line="397" w:lineRule="exact" w:before="86"/>
        <w:ind w:left="132" w:right="0" w:firstLine="0"/>
        <w:jc w:val="both"/>
        <w:rPr>
          <w:rFonts w:ascii="Arial" w:hAnsi="Arial"/>
          <w:sz w:val="19"/>
        </w:rPr>
      </w:pPr>
      <w:r>
        <w:rPr>
          <w:b/>
          <w:color w:val="010101"/>
          <w:w w:val="81"/>
          <w:position w:val="-8"/>
          <w:sz w:val="12"/>
        </w:rPr>
        <w:t>S</w:t>
      </w:r>
      <w:r>
        <w:rPr>
          <w:b/>
          <w:color w:val="010101"/>
          <w:spacing w:val="-21"/>
          <w:position w:val="-8"/>
          <w:sz w:val="12"/>
        </w:rPr>
        <w:t> </w:t>
      </w:r>
      <w:r>
        <w:rPr>
          <w:color w:val="010101"/>
          <w:spacing w:val="15"/>
          <w:w w:val="41"/>
          <w:position w:val="-3"/>
          <w:sz w:val="45"/>
        </w:rPr>
        <w:t>V</w:t>
      </w:r>
      <w:r>
        <w:rPr>
          <w:rFonts w:ascii="Arial" w:hAnsi="Arial"/>
          <w:color w:val="010101"/>
          <w:spacing w:val="-57"/>
          <w:w w:val="212"/>
          <w:sz w:val="19"/>
        </w:rPr>
        <w:t>l</w:t>
      </w:r>
      <w:r>
        <w:rPr>
          <w:rFonts w:ascii="Arial" w:hAnsi="Arial"/>
          <w:color w:val="010101"/>
          <w:spacing w:val="-28"/>
          <w:w w:val="218"/>
          <w:sz w:val="19"/>
        </w:rPr>
        <w:t>•</w:t>
      </w:r>
      <w:r>
        <w:rPr>
          <w:rFonts w:ascii="Arial" w:hAnsi="Arial"/>
          <w:color w:val="010101"/>
          <w:w w:val="212"/>
          <w:sz w:val="19"/>
        </w:rPr>
        <w:t>l</w:t>
      </w:r>
      <w:r>
        <w:rPr>
          <w:rFonts w:ascii="Arial" w:hAnsi="Arial"/>
          <w:color w:val="010101"/>
          <w:spacing w:val="8"/>
          <w:sz w:val="19"/>
        </w:rPr>
        <w:t> </w:t>
      </w:r>
      <w:r>
        <w:rPr>
          <w:rFonts w:ascii="Arial" w:hAnsi="Arial"/>
          <w:color w:val="010101"/>
          <w:w w:val="95"/>
          <w:sz w:val="19"/>
        </w:rPr>
        <w:t>:.-</w:t>
      </w:r>
      <w:r>
        <w:rPr>
          <w:rFonts w:ascii="Arial" w:hAnsi="Arial"/>
          <w:color w:val="010101"/>
          <w:spacing w:val="25"/>
          <w:sz w:val="19"/>
        </w:rPr>
        <w:t> </w:t>
      </w:r>
      <w:r>
        <w:rPr>
          <w:rFonts w:ascii="Arial" w:hAnsi="Arial"/>
          <w:i/>
          <w:color w:val="010101"/>
          <w:spacing w:val="14"/>
          <w:w w:val="104"/>
          <w:sz w:val="20"/>
        </w:rPr>
        <w:t>A</w:t>
      </w:r>
      <w:r>
        <w:rPr>
          <w:b/>
          <w:i/>
          <w:color w:val="010101"/>
          <w:w w:val="109"/>
          <w:position w:val="-8"/>
          <w:sz w:val="11"/>
        </w:rPr>
        <w:t>s-f-l</w:t>
      </w:r>
      <w:r>
        <w:rPr>
          <w:b/>
          <w:i/>
          <w:color w:val="010101"/>
          <w:position w:val="-8"/>
          <w:sz w:val="11"/>
        </w:rPr>
        <w:t>  </w:t>
      </w:r>
      <w:r>
        <w:rPr>
          <w:b/>
          <w:i/>
          <w:color w:val="010101"/>
          <w:spacing w:val="-1"/>
          <w:position w:val="-8"/>
          <w:sz w:val="11"/>
        </w:rPr>
        <w:t> </w:t>
      </w:r>
      <w:r>
        <w:rPr>
          <w:color w:val="010101"/>
          <w:spacing w:val="-2"/>
          <w:w w:val="86"/>
          <w:sz w:val="45"/>
        </w:rPr>
        <w:t>(</w:t>
      </w:r>
      <w:r>
        <w:rPr>
          <w:color w:val="010101"/>
          <w:w w:val="59"/>
          <w:sz w:val="45"/>
        </w:rPr>
        <w:t>1</w:t>
      </w:r>
      <w:r>
        <w:rPr>
          <w:color w:val="010101"/>
          <w:spacing w:val="-74"/>
          <w:sz w:val="45"/>
        </w:rPr>
        <w:t> </w:t>
      </w:r>
      <w:r>
        <w:rPr>
          <w:color w:val="010101"/>
          <w:spacing w:val="31"/>
          <w:w w:val="129"/>
          <w:sz w:val="45"/>
        </w:rPr>
        <w:t>-</w:t>
      </w:r>
      <w:r>
        <w:rPr>
          <w:rFonts w:ascii="Arial" w:hAnsi="Arial"/>
          <w:i/>
          <w:color w:val="010101"/>
          <w:w w:val="100"/>
          <w:sz w:val="20"/>
        </w:rPr>
        <w:t>m</w:t>
      </w:r>
      <w:r>
        <w:rPr>
          <w:rFonts w:ascii="Arial" w:hAnsi="Arial"/>
          <w:i/>
          <w:color w:val="010101"/>
          <w:spacing w:val="27"/>
          <w:sz w:val="20"/>
        </w:rPr>
        <w:t> </w:t>
      </w:r>
      <w:r>
        <w:rPr>
          <w:rFonts w:ascii="Arial" w:hAnsi="Arial"/>
          <w:color w:val="010101"/>
          <w:w w:val="274"/>
          <w:sz w:val="20"/>
        </w:rPr>
        <w:t>-</w:t>
      </w:r>
      <w:r>
        <w:rPr>
          <w:rFonts w:ascii="Arial" w:hAnsi="Arial"/>
          <w:color w:val="010101"/>
          <w:spacing w:val="12"/>
          <w:sz w:val="20"/>
        </w:rPr>
        <w:t> </w:t>
      </w:r>
      <w:r>
        <w:rPr>
          <w:color w:val="010101"/>
          <w:spacing w:val="14"/>
          <w:w w:val="62"/>
          <w:sz w:val="45"/>
        </w:rPr>
        <w:t>1</w:t>
      </w:r>
      <w:r>
        <w:rPr>
          <w:rFonts w:ascii="Arial" w:hAnsi="Arial"/>
          <w:color w:val="010101"/>
          <w:w w:val="159"/>
          <w:sz w:val="19"/>
        </w:rPr>
        <w:t>p</w:t>
      </w:r>
      <w:r>
        <w:rPr>
          <w:rFonts w:ascii="Arial" w:hAnsi="Arial"/>
          <w:color w:val="010101"/>
          <w:spacing w:val="-33"/>
          <w:w w:val="159"/>
          <w:sz w:val="19"/>
        </w:rPr>
        <w:t>l</w:t>
      </w:r>
      <w:r>
        <w:rPr>
          <w:rFonts w:ascii="Arial" w:hAnsi="Arial"/>
          <w:color w:val="010101"/>
          <w:spacing w:val="-31"/>
          <w:w w:val="218"/>
          <w:sz w:val="19"/>
        </w:rPr>
        <w:t>•</w:t>
      </w:r>
      <w:r>
        <w:rPr>
          <w:rFonts w:ascii="Arial" w:hAnsi="Arial"/>
          <w:color w:val="010101"/>
          <w:spacing w:val="-37"/>
          <w:w w:val="212"/>
          <w:sz w:val="19"/>
        </w:rPr>
        <w:t>l</w:t>
      </w:r>
      <w:r>
        <w:rPr>
          <w:rFonts w:ascii="Arial" w:hAnsi="Arial"/>
          <w:color w:val="010101"/>
          <w:w w:val="253"/>
          <w:sz w:val="19"/>
        </w:rPr>
        <w:t>)</w:t>
      </w:r>
      <w:r>
        <w:rPr>
          <w:rFonts w:ascii="Arial" w:hAnsi="Arial"/>
          <w:color w:val="010101"/>
          <w:spacing w:val="-6"/>
          <w:sz w:val="19"/>
        </w:rPr>
        <w:t> </w:t>
      </w:r>
      <w:r>
        <w:rPr>
          <w:rFonts w:ascii="Arial" w:hAnsi="Arial"/>
          <w:color w:val="010101"/>
          <w:w w:val="282"/>
          <w:sz w:val="19"/>
        </w:rPr>
        <w:t>-</w:t>
      </w:r>
      <w:r>
        <w:rPr>
          <w:rFonts w:ascii="Arial" w:hAnsi="Arial"/>
          <w:color w:val="010101"/>
          <w:spacing w:val="8"/>
          <w:sz w:val="19"/>
        </w:rPr>
        <w:t> </w:t>
      </w:r>
      <w:r>
        <w:rPr>
          <w:rFonts w:ascii="Arial" w:hAnsi="Arial"/>
          <w:color w:val="010101"/>
          <w:w w:val="104"/>
          <w:sz w:val="19"/>
        </w:rPr>
        <w:t>pC</w:t>
      </w:r>
      <w:r>
        <w:rPr>
          <w:rFonts w:ascii="Arial" w:hAnsi="Arial"/>
          <w:color w:val="010101"/>
          <w:spacing w:val="-6"/>
          <w:w w:val="104"/>
          <w:sz w:val="19"/>
        </w:rPr>
        <w:t>•</w:t>
      </w:r>
      <w:r>
        <w:rPr>
          <w:rFonts w:ascii="Arial" w:hAnsi="Arial"/>
          <w:color w:val="010101"/>
          <w:spacing w:val="-38"/>
          <w:w w:val="233"/>
          <w:sz w:val="19"/>
        </w:rPr>
        <w:t>l</w:t>
      </w:r>
      <w:r>
        <w:rPr>
          <w:rFonts w:ascii="Arial" w:hAnsi="Arial"/>
          <w:color w:val="010101"/>
          <w:w w:val="49"/>
          <w:sz w:val="19"/>
        </w:rPr>
        <w:t>,.&lt;11!'&gt;</w:t>
      </w:r>
    </w:p>
    <w:p>
      <w:pPr>
        <w:spacing w:after="0" w:line="397" w:lineRule="exact"/>
        <w:jc w:val="both"/>
        <w:rPr>
          <w:rFonts w:ascii="Arial" w:hAnsi="Arial"/>
          <w:sz w:val="19"/>
        </w:rPr>
        <w:sectPr>
          <w:type w:val="continuous"/>
          <w:pgSz w:w="7200" w:h="11340"/>
          <w:pgMar w:top="1100" w:bottom="0" w:left="660" w:right="540"/>
        </w:sectPr>
      </w:pPr>
    </w:p>
    <w:p>
      <w:pPr>
        <w:tabs>
          <w:tab w:pos="674" w:val="left" w:leader="none"/>
        </w:tabs>
        <w:spacing w:line="143" w:lineRule="exact" w:before="0"/>
        <w:ind w:left="333" w:right="0" w:firstLine="0"/>
        <w:jc w:val="left"/>
        <w:rPr>
          <w:sz w:val="14"/>
        </w:rPr>
      </w:pPr>
      <w:r>
        <w:rPr>
          <w:b/>
          <w:color w:val="010101"/>
          <w:w w:val="125"/>
          <w:sz w:val="14"/>
        </w:rPr>
        <w:t>a</w:t>
        <w:tab/>
      </w:r>
      <w:r>
        <w:rPr>
          <w:color w:val="010101"/>
          <w:w w:val="185"/>
          <w:sz w:val="14"/>
        </w:rPr>
        <w:t>-:</w:t>
      </w:r>
    </w:p>
    <w:p>
      <w:pPr>
        <w:pStyle w:val="ListParagraph"/>
        <w:numPr>
          <w:ilvl w:val="0"/>
          <w:numId w:val="44"/>
        </w:numPr>
        <w:tabs>
          <w:tab w:pos="1156" w:val="left" w:leader="none"/>
        </w:tabs>
        <w:spacing w:line="240" w:lineRule="auto" w:before="0" w:after="0"/>
        <w:ind w:left="1155" w:right="0" w:hanging="822"/>
        <w:jc w:val="left"/>
        <w:rPr>
          <w:b/>
          <w:sz w:val="12"/>
        </w:rPr>
      </w:pPr>
      <w:r>
        <w:rPr>
          <w:color w:val="010101"/>
          <w:w w:val="277"/>
          <w:sz w:val="11"/>
        </w:rPr>
        <w:br w:type="column"/>
      </w:r>
      <w:r>
        <w:rPr>
          <w:color w:val="010101"/>
          <w:w w:val="250"/>
          <w:sz w:val="11"/>
        </w:rPr>
        <w:t>•</w:t>
      </w:r>
      <w:r>
        <w:rPr>
          <w:color w:val="010101"/>
          <w:spacing w:val="30"/>
          <w:w w:val="250"/>
          <w:sz w:val="11"/>
        </w:rPr>
        <w:t> </w:t>
      </w:r>
      <w:r>
        <w:rPr>
          <w:b/>
          <w:color w:val="010101"/>
          <w:w w:val="135"/>
          <w:sz w:val="12"/>
        </w:rPr>
        <w:t>USTI</w:t>
      </w:r>
    </w:p>
    <w:p>
      <w:pPr>
        <w:spacing w:after="0" w:line="240" w:lineRule="auto"/>
        <w:jc w:val="left"/>
        <w:rPr>
          <w:sz w:val="12"/>
        </w:rPr>
        <w:sectPr>
          <w:type w:val="continuous"/>
          <w:pgSz w:w="7200" w:h="11340"/>
          <w:pgMar w:top="1100" w:bottom="0" w:left="660" w:right="540"/>
          <w:cols w:num="2" w:equalWidth="0">
            <w:col w:w="848" w:space="1480"/>
            <w:col w:w="3672"/>
          </w:cols>
        </w:sectPr>
      </w:pPr>
    </w:p>
    <w:p>
      <w:pPr>
        <w:pStyle w:val="BodyText"/>
        <w:spacing w:before="1"/>
        <w:rPr>
          <w:b/>
          <w:sz w:val="17"/>
        </w:rPr>
      </w:pPr>
    </w:p>
    <w:p>
      <w:pPr>
        <w:tabs>
          <w:tab w:pos="929" w:val="left" w:leader="none"/>
          <w:tab w:pos="2500" w:val="left" w:leader="none"/>
          <w:tab w:pos="2938" w:val="left" w:leader="none"/>
        </w:tabs>
        <w:spacing w:line="189" w:lineRule="exact" w:before="73"/>
        <w:ind w:left="0" w:right="1648" w:firstLine="0"/>
        <w:jc w:val="center"/>
        <w:rPr>
          <w:sz w:val="11"/>
        </w:rPr>
      </w:pPr>
      <w:r>
        <w:rPr>
          <w:rFonts w:ascii="Arial" w:hAnsi="Arial"/>
          <w:color w:val="010101"/>
          <w:w w:val="176"/>
          <w:sz w:val="20"/>
        </w:rPr>
        <w:t>.</w:t>
      </w:r>
      <w:r>
        <w:rPr>
          <w:rFonts w:ascii="Arial" w:hAnsi="Arial"/>
          <w:color w:val="010101"/>
          <w:sz w:val="20"/>
        </w:rPr>
        <w:t>  </w:t>
      </w:r>
      <w:r>
        <w:rPr>
          <w:rFonts w:ascii="Arial" w:hAnsi="Arial"/>
          <w:color w:val="010101"/>
          <w:spacing w:val="-25"/>
          <w:sz w:val="20"/>
        </w:rPr>
        <w:t> </w:t>
      </w:r>
      <w:r>
        <w:rPr>
          <w:rFonts w:ascii="Arial" w:hAnsi="Arial"/>
          <w:i/>
          <w:color w:val="010101"/>
          <w:w w:val="104"/>
          <w:sz w:val="20"/>
        </w:rPr>
        <w:t>A</w:t>
      </w:r>
      <w:r>
        <w:rPr>
          <w:rFonts w:ascii="Arial" w:hAnsi="Arial"/>
          <w:i/>
          <w:color w:val="010101"/>
          <w:sz w:val="20"/>
        </w:rPr>
        <w:tab/>
      </w:r>
      <w:r>
        <w:rPr>
          <w:rFonts w:ascii="Arial" w:hAnsi="Arial"/>
          <w:i/>
          <w:color w:val="010101"/>
          <w:w w:val="106"/>
          <w:sz w:val="19"/>
        </w:rPr>
        <w:t>m</w:t>
      </w:r>
      <w:r>
        <w:rPr>
          <w:rFonts w:ascii="Arial" w:hAnsi="Arial"/>
          <w:i/>
          <w:color w:val="010101"/>
          <w:sz w:val="19"/>
        </w:rPr>
        <w:t> </w:t>
      </w:r>
      <w:r>
        <w:rPr>
          <w:rFonts w:ascii="Arial" w:hAnsi="Arial"/>
          <w:i/>
          <w:color w:val="010101"/>
          <w:spacing w:val="-21"/>
          <w:sz w:val="19"/>
        </w:rPr>
        <w:t> </w:t>
      </w:r>
      <w:r>
        <w:rPr>
          <w:rFonts w:ascii="Arial" w:hAnsi="Arial"/>
          <w:color w:val="010101"/>
          <w:w w:val="282"/>
          <w:sz w:val="19"/>
        </w:rPr>
        <w:t>-</w:t>
      </w:r>
      <w:r>
        <w:rPr>
          <w:rFonts w:ascii="Arial" w:hAnsi="Arial"/>
          <w:color w:val="010101"/>
          <w:spacing w:val="19"/>
          <w:sz w:val="19"/>
        </w:rPr>
        <w:t> </w:t>
      </w:r>
      <w:r>
        <w:rPr>
          <w:color w:val="010101"/>
          <w:w w:val="122"/>
          <w:sz w:val="21"/>
        </w:rPr>
        <w:t>1</w:t>
      </w:r>
      <w:r>
        <w:rPr>
          <w:color w:val="010101"/>
          <w:spacing w:val="-9"/>
          <w:sz w:val="21"/>
        </w:rPr>
        <w:t> </w:t>
      </w:r>
      <w:r>
        <w:rPr>
          <w:rFonts w:ascii="Arial" w:hAnsi="Arial"/>
          <w:color w:val="010101"/>
          <w:spacing w:val="-79"/>
          <w:w w:val="178"/>
          <w:sz w:val="16"/>
        </w:rPr>
        <w:t>n</w:t>
      </w:r>
      <w:r>
        <w:rPr>
          <w:rFonts w:ascii="Arial" w:hAnsi="Arial"/>
          <w:color w:val="010101"/>
          <w:spacing w:val="-112"/>
          <w:w w:val="277"/>
          <w:sz w:val="16"/>
        </w:rPr>
        <w:t>l</w:t>
      </w:r>
      <w:r>
        <w:rPr>
          <w:rFonts w:ascii="Arial" w:hAnsi="Arial"/>
          <w:color w:val="010101"/>
          <w:spacing w:val="-36"/>
          <w:w w:val="268"/>
          <w:sz w:val="16"/>
        </w:rPr>
        <w:t>•</w:t>
      </w:r>
      <w:r>
        <w:rPr>
          <w:rFonts w:ascii="Arial" w:hAnsi="Arial"/>
          <w:color w:val="010101"/>
          <w:spacing w:val="-11"/>
          <w:w w:val="252"/>
          <w:sz w:val="16"/>
        </w:rPr>
        <w:t>l</w:t>
      </w:r>
      <w:r>
        <w:rPr>
          <w:rFonts w:ascii="Arial" w:hAnsi="Arial"/>
          <w:color w:val="010101"/>
          <w:w w:val="140"/>
          <w:sz w:val="16"/>
        </w:rPr>
        <w:t>(</w:t>
      </w:r>
      <w:r>
        <w:rPr>
          <w:rFonts w:ascii="Arial" w:hAnsi="Arial"/>
          <w:color w:val="010101"/>
          <w:spacing w:val="-27"/>
          <w:sz w:val="16"/>
        </w:rPr>
        <w:t> </w:t>
      </w:r>
      <w:r>
        <w:rPr>
          <w:color w:val="010101"/>
          <w:w w:val="128"/>
          <w:sz w:val="21"/>
        </w:rPr>
        <w:t>1</w:t>
      </w:r>
      <w:r>
        <w:rPr>
          <w:color w:val="010101"/>
          <w:sz w:val="21"/>
        </w:rPr>
        <w:tab/>
      </w:r>
      <w:r>
        <w:rPr>
          <w:i/>
          <w:color w:val="010101"/>
          <w:w w:val="154"/>
          <w:sz w:val="11"/>
        </w:rPr>
        <w:t>,lA</w:t>
      </w:r>
      <w:r>
        <w:rPr>
          <w:i/>
          <w:color w:val="010101"/>
          <w:sz w:val="11"/>
        </w:rPr>
        <w:tab/>
      </w:r>
      <w:r>
        <w:rPr>
          <w:color w:val="010101"/>
          <w:w w:val="190"/>
          <w:sz w:val="11"/>
        </w:rPr>
        <w:t>)</w:t>
      </w:r>
    </w:p>
    <w:p>
      <w:pPr>
        <w:tabs>
          <w:tab w:pos="387" w:val="left" w:leader="none"/>
          <w:tab w:pos="1581" w:val="left" w:leader="none"/>
          <w:tab w:pos="2252" w:val="left" w:leader="none"/>
        </w:tabs>
        <w:spacing w:line="143" w:lineRule="exact" w:before="0"/>
        <w:ind w:left="0" w:right="1748" w:firstLine="0"/>
        <w:jc w:val="center"/>
        <w:rPr>
          <w:rFonts w:ascii="Arial" w:hAnsi="Arial"/>
          <w:b/>
          <w:i/>
          <w:sz w:val="11"/>
        </w:rPr>
      </w:pPr>
      <w:r>
        <w:rPr/>
        <w:pict>
          <v:shape style="position:absolute;margin-left:122.331802pt;margin-top:10.744654pt;width:75.350pt;height:25.5pt;mso-position-horizontal-relative:page;mso-position-vertical-relative:paragraph;z-index:-725944" type="#_x0000_t202" filled="false" stroked="false">
            <v:textbox inset="0,0,0,0">
              <w:txbxContent>
                <w:p>
                  <w:pPr>
                    <w:tabs>
                      <w:tab w:pos="1273" w:val="left" w:leader="none"/>
                    </w:tabs>
                    <w:spacing w:line="510" w:lineRule="exact" w:before="0"/>
                    <w:ind w:left="0" w:right="0" w:firstLine="0"/>
                    <w:jc w:val="left"/>
                    <w:rPr>
                      <w:sz w:val="50"/>
                    </w:rPr>
                  </w:pPr>
                  <w:r>
                    <w:rPr>
                      <w:color w:val="010101"/>
                      <w:w w:val="65"/>
                      <w:sz w:val="51"/>
                    </w:rPr>
                    <w:t>(4</w:t>
                    <w:tab/>
                  </w:r>
                  <w:r>
                    <w:rPr>
                      <w:color w:val="010101"/>
                      <w:w w:val="55"/>
                      <w:sz w:val="50"/>
                    </w:rPr>
                    <w:t>1)</w:t>
                  </w:r>
                </w:p>
              </w:txbxContent>
            </v:textbox>
            <w10:wrap type="none"/>
          </v:shape>
        </w:pict>
      </w:r>
      <w:r>
        <w:rPr>
          <w:rFonts w:ascii="Arial" w:hAnsi="Arial"/>
          <w:color w:val="010101"/>
          <w:w w:val="105"/>
          <w:sz w:val="17"/>
        </w:rPr>
        <w:t>=:</w:t>
        <w:tab/>
      </w:r>
      <w:r>
        <w:rPr>
          <w:rFonts w:ascii="Arial" w:hAnsi="Arial"/>
          <w:b/>
          <w:i/>
          <w:color w:val="010101"/>
          <w:w w:val="105"/>
          <w:sz w:val="11"/>
        </w:rPr>
        <w:t>a,.f-1 </w:t>
      </w:r>
      <w:r>
        <w:rPr>
          <w:rFonts w:ascii="Arial" w:hAnsi="Arial"/>
          <w:b/>
          <w:i/>
          <w:color w:val="010101"/>
          <w:spacing w:val="10"/>
          <w:w w:val="105"/>
          <w:sz w:val="11"/>
        </w:rPr>
        <w:t> </w:t>
      </w:r>
      <w:r>
        <w:rPr>
          <w:rFonts w:ascii="Arial" w:hAnsi="Arial"/>
          <w:color w:val="010101"/>
          <w:w w:val="475"/>
          <w:sz w:val="11"/>
        </w:rPr>
        <w:t>-</w:t>
        <w:tab/>
      </w:r>
      <w:r>
        <w:rPr>
          <w:rFonts w:ascii="Arial" w:hAnsi="Arial"/>
          <w:b/>
          <w:i/>
          <w:color w:val="010101"/>
          <w:w w:val="200"/>
          <w:sz w:val="11"/>
        </w:rPr>
        <w:t>C•</w:t>
        <w:tab/>
      </w:r>
      <w:r>
        <w:rPr>
          <w:rFonts w:ascii="Arial" w:hAnsi="Arial"/>
          <w:color w:val="010101"/>
          <w:w w:val="475"/>
          <w:sz w:val="11"/>
        </w:rPr>
        <w:t>-</w:t>
      </w:r>
      <w:r>
        <w:rPr>
          <w:rFonts w:ascii="Arial" w:hAnsi="Arial"/>
          <w:color w:val="010101"/>
          <w:spacing w:val="-42"/>
          <w:w w:val="475"/>
          <w:sz w:val="11"/>
        </w:rPr>
        <w:t> </w:t>
      </w:r>
      <w:r>
        <w:rPr>
          <w:rFonts w:ascii="Arial" w:hAnsi="Arial"/>
          <w:b/>
          <w:i/>
          <w:color w:val="010101"/>
          <w:w w:val="105"/>
          <w:sz w:val="11"/>
        </w:rPr>
        <w:t>u.us.+I</w:t>
      </w:r>
    </w:p>
    <w:p>
      <w:pPr>
        <w:pStyle w:val="BodyText"/>
        <w:rPr>
          <w:rFonts w:ascii="Arial"/>
          <w:b/>
          <w:i/>
          <w:sz w:val="16"/>
        </w:rPr>
      </w:pPr>
    </w:p>
    <w:p>
      <w:pPr>
        <w:tabs>
          <w:tab w:pos="1208" w:val="left" w:leader="none"/>
        </w:tabs>
        <w:spacing w:line="166" w:lineRule="exact" w:before="119"/>
        <w:ind w:left="0" w:right="1668" w:firstLine="0"/>
        <w:jc w:val="center"/>
        <w:rPr>
          <w:rFonts w:ascii="Arial" w:hAnsi="Arial"/>
          <w:sz w:val="19"/>
        </w:rPr>
      </w:pPr>
      <w:r>
        <w:rPr>
          <w:color w:val="010101"/>
          <w:w w:val="157"/>
          <w:sz w:val="18"/>
        </w:rPr>
        <w:t>pt</w:t>
      </w:r>
      <w:r>
        <w:rPr>
          <w:color w:val="010101"/>
          <w:spacing w:val="2"/>
          <w:w w:val="157"/>
          <w:sz w:val="18"/>
        </w:rPr>
        <w:t>•</w:t>
      </w:r>
      <w:r>
        <w:rPr>
          <w:color w:val="010101"/>
          <w:w w:val="52"/>
          <w:sz w:val="18"/>
        </w:rPr>
        <w:t>J</w:t>
      </w:r>
      <w:r>
        <w:rPr>
          <w:color w:val="010101"/>
          <w:sz w:val="18"/>
        </w:rPr>
        <w:tab/>
      </w:r>
      <w:r>
        <w:rPr>
          <w:rFonts w:ascii="Arial" w:hAnsi="Arial"/>
          <w:i/>
          <w:color w:val="010101"/>
          <w:w w:val="108"/>
          <w:sz w:val="19"/>
        </w:rPr>
        <w:t>m</w:t>
      </w:r>
      <w:r>
        <w:rPr>
          <w:rFonts w:ascii="Arial" w:hAnsi="Arial"/>
          <w:i/>
          <w:color w:val="010101"/>
          <w:sz w:val="19"/>
        </w:rPr>
        <w:t> </w:t>
      </w:r>
      <w:r>
        <w:rPr>
          <w:rFonts w:ascii="Arial" w:hAnsi="Arial"/>
          <w:i/>
          <w:color w:val="010101"/>
          <w:spacing w:val="-20"/>
          <w:sz w:val="19"/>
        </w:rPr>
        <w:t> </w:t>
      </w:r>
      <w:r>
        <w:rPr>
          <w:rFonts w:ascii="Arial" w:hAnsi="Arial"/>
          <w:color w:val="010101"/>
          <w:w w:val="282"/>
          <w:sz w:val="19"/>
        </w:rPr>
        <w:t>-</w:t>
      </w:r>
    </w:p>
    <w:p>
      <w:pPr>
        <w:tabs>
          <w:tab w:pos="2005" w:val="left" w:leader="none"/>
        </w:tabs>
        <w:spacing w:line="143" w:lineRule="exact" w:before="0"/>
        <w:ind w:left="1097" w:right="0" w:firstLine="0"/>
        <w:jc w:val="left"/>
        <w:rPr>
          <w:b/>
          <w:sz w:val="17"/>
        </w:rPr>
      </w:pPr>
      <w:r>
        <w:rPr>
          <w:color w:val="010101"/>
          <w:w w:val="325"/>
          <w:sz w:val="17"/>
        </w:rPr>
        <w:t>-</w:t>
      </w:r>
      <w:r>
        <w:rPr>
          <w:color w:val="010101"/>
          <w:spacing w:val="38"/>
          <w:w w:val="325"/>
          <w:sz w:val="17"/>
        </w:rPr>
        <w:t> </w:t>
      </w:r>
      <w:r>
        <w:rPr>
          <w:color w:val="010101"/>
          <w:w w:val="190"/>
          <w:sz w:val="17"/>
        </w:rPr>
        <w:t>•</w:t>
        <w:tab/>
      </w:r>
      <w:r>
        <w:rPr>
          <w:b/>
          <w:color w:val="010101"/>
          <w:w w:val="120"/>
          <w:sz w:val="17"/>
        </w:rPr>
        <w:t>s+•</w:t>
      </w:r>
      <w:r>
        <w:rPr>
          <w:b/>
          <w:color w:val="010101"/>
          <w:spacing w:val="17"/>
          <w:w w:val="120"/>
          <w:sz w:val="17"/>
        </w:rPr>
        <w:t> </w:t>
      </w:r>
      <w:r>
        <w:rPr>
          <w:b/>
          <w:color w:val="010101"/>
          <w:w w:val="280"/>
          <w:sz w:val="17"/>
        </w:rPr>
        <w:t>-</w:t>
      </w:r>
    </w:p>
    <w:p>
      <w:pPr>
        <w:pStyle w:val="BodyText"/>
        <w:spacing w:before="2"/>
        <w:rPr>
          <w:b/>
          <w:sz w:val="17"/>
        </w:rPr>
      </w:pPr>
    </w:p>
    <w:p>
      <w:pPr>
        <w:spacing w:before="72"/>
        <w:ind w:left="681" w:right="0" w:firstLine="0"/>
        <w:jc w:val="left"/>
        <w:rPr>
          <w:sz w:val="21"/>
        </w:rPr>
      </w:pPr>
      <w:r>
        <w:rPr>
          <w:color w:val="010101"/>
          <w:w w:val="91"/>
          <w:sz w:val="26"/>
        </w:rPr>
        <w:t>=</w:t>
      </w:r>
      <w:r>
        <w:rPr>
          <w:color w:val="010101"/>
          <w:spacing w:val="29"/>
          <w:sz w:val="26"/>
        </w:rPr>
        <w:t> </w:t>
      </w:r>
      <w:r>
        <w:rPr>
          <w:i/>
          <w:color w:val="010101"/>
          <w:w w:val="58"/>
          <w:sz w:val="22"/>
        </w:rPr>
        <w:t>As-+-s</w:t>
      </w:r>
      <w:r>
        <w:rPr>
          <w:i/>
          <w:color w:val="010101"/>
          <w:sz w:val="22"/>
        </w:rPr>
        <w:t> </w:t>
      </w:r>
      <w:r>
        <w:rPr>
          <w:i/>
          <w:color w:val="010101"/>
          <w:spacing w:val="5"/>
          <w:sz w:val="22"/>
        </w:rPr>
        <w:t> </w:t>
      </w:r>
      <w:r>
        <w:rPr>
          <w:color w:val="010101"/>
          <w:w w:val="261"/>
          <w:sz w:val="22"/>
        </w:rPr>
        <w:t>-</w:t>
      </w:r>
      <w:r>
        <w:rPr>
          <w:color w:val="010101"/>
          <w:spacing w:val="-14"/>
          <w:sz w:val="22"/>
        </w:rPr>
        <w:t> </w:t>
      </w:r>
      <w:r>
        <w:rPr>
          <w:rFonts w:ascii="Arial" w:hAnsi="Arial"/>
          <w:i/>
          <w:color w:val="010101"/>
          <w:w w:val="75"/>
          <w:sz w:val="23"/>
        </w:rPr>
        <w:t>as+,</w:t>
      </w:r>
      <w:r>
        <w:rPr>
          <w:rFonts w:ascii="Arial" w:hAnsi="Arial"/>
          <w:i/>
          <w:color w:val="010101"/>
          <w:spacing w:val="-1"/>
          <w:sz w:val="23"/>
        </w:rPr>
        <w:t> </w:t>
      </w:r>
      <w:r>
        <w:rPr>
          <w:i/>
          <w:color w:val="010101"/>
          <w:w w:val="112"/>
          <w:sz w:val="22"/>
        </w:rPr>
        <w:t>P</w:t>
      </w:r>
      <w:r>
        <w:rPr>
          <w:i/>
          <w:color w:val="010101"/>
          <w:spacing w:val="-53"/>
          <w:w w:val="113"/>
          <w:sz w:val="22"/>
        </w:rPr>
        <w:t>.</w:t>
      </w:r>
      <w:r>
        <w:rPr>
          <w:rFonts w:ascii="Arial" w:hAnsi="Arial"/>
          <w:color w:val="010101"/>
          <w:w w:val="155"/>
          <w:position w:val="8"/>
          <w:sz w:val="16"/>
        </w:rPr>
        <w:t>r</w:t>
      </w:r>
      <w:r>
        <w:rPr>
          <w:rFonts w:ascii="Arial" w:hAnsi="Arial"/>
          <w:color w:val="010101"/>
          <w:spacing w:val="-17"/>
          <w:w w:val="155"/>
          <w:position w:val="8"/>
          <w:sz w:val="16"/>
        </w:rPr>
        <w:t>•</w:t>
      </w:r>
      <w:r>
        <w:rPr>
          <w:rFonts w:ascii="Arial" w:hAnsi="Arial"/>
          <w:color w:val="010101"/>
          <w:w w:val="252"/>
          <w:position w:val="8"/>
          <w:sz w:val="16"/>
        </w:rPr>
        <w:t>l</w:t>
      </w:r>
      <w:r>
        <w:rPr>
          <w:rFonts w:ascii="Arial" w:hAnsi="Arial"/>
          <w:color w:val="010101"/>
          <w:spacing w:val="-16"/>
          <w:position w:val="8"/>
          <w:sz w:val="16"/>
        </w:rPr>
        <w:t> </w:t>
      </w:r>
      <w:r>
        <w:rPr>
          <w:rFonts w:ascii="Arial" w:hAnsi="Arial"/>
          <w:color w:val="010101"/>
          <w:spacing w:val="-32"/>
          <w:w w:val="301"/>
          <w:position w:val="8"/>
          <w:sz w:val="16"/>
        </w:rPr>
        <w:t>(</w:t>
      </w:r>
      <w:r>
        <w:rPr>
          <w:color w:val="010101"/>
          <w:w w:val="128"/>
          <w:sz w:val="21"/>
        </w:rPr>
        <w:t>1</w:t>
      </w:r>
      <w:r>
        <w:rPr>
          <w:color w:val="010101"/>
          <w:spacing w:val="-12"/>
          <w:sz w:val="21"/>
        </w:rPr>
        <w:t> </w:t>
      </w:r>
      <w:r>
        <w:rPr>
          <w:color w:val="010101"/>
          <w:w w:val="260"/>
          <w:sz w:val="21"/>
        </w:rPr>
        <w:t>-</w:t>
      </w:r>
      <w:r>
        <w:rPr>
          <w:color w:val="010101"/>
          <w:spacing w:val="-13"/>
          <w:sz w:val="21"/>
        </w:rPr>
        <w:t> </w:t>
      </w:r>
      <w:r>
        <w:rPr>
          <w:rFonts w:ascii="Arial" w:hAnsi="Arial"/>
          <w:i/>
          <w:color w:val="010101"/>
          <w:w w:val="106"/>
          <w:position w:val="8"/>
          <w:sz w:val="19"/>
        </w:rPr>
        <w:t>m</w:t>
      </w:r>
      <w:r>
        <w:rPr>
          <w:rFonts w:ascii="Arial" w:hAnsi="Arial"/>
          <w:i/>
          <w:color w:val="010101"/>
          <w:position w:val="8"/>
          <w:sz w:val="19"/>
        </w:rPr>
        <w:t> </w:t>
      </w:r>
      <w:r>
        <w:rPr>
          <w:rFonts w:ascii="Arial" w:hAnsi="Arial"/>
          <w:i/>
          <w:color w:val="010101"/>
          <w:spacing w:val="-24"/>
          <w:position w:val="8"/>
          <w:sz w:val="19"/>
        </w:rPr>
        <w:t> </w:t>
      </w:r>
      <w:r>
        <w:rPr>
          <w:rFonts w:ascii="Arial" w:hAnsi="Arial"/>
          <w:color w:val="010101"/>
          <w:w w:val="289"/>
          <w:position w:val="8"/>
          <w:sz w:val="19"/>
        </w:rPr>
        <w:t>-</w:t>
      </w:r>
      <w:r>
        <w:rPr>
          <w:rFonts w:ascii="Arial" w:hAnsi="Arial"/>
          <w:color w:val="010101"/>
          <w:spacing w:val="18"/>
          <w:position w:val="8"/>
          <w:sz w:val="19"/>
        </w:rPr>
        <w:t> </w:t>
      </w:r>
      <w:r>
        <w:rPr>
          <w:color w:val="010101"/>
          <w:spacing w:val="9"/>
          <w:w w:val="128"/>
          <w:position w:val="8"/>
          <w:sz w:val="21"/>
        </w:rPr>
        <w:t>1</w:t>
      </w:r>
      <w:r>
        <w:rPr>
          <w:i/>
          <w:color w:val="010101"/>
          <w:spacing w:val="9"/>
          <w:w w:val="83"/>
          <w:sz w:val="22"/>
        </w:rPr>
        <w:t>d</w:t>
      </w:r>
      <w:r>
        <w:rPr>
          <w:color w:val="010101"/>
          <w:w w:val="187"/>
          <w:position w:val="8"/>
          <w:sz w:val="21"/>
        </w:rPr>
        <w:t>)</w:t>
      </w:r>
    </w:p>
    <w:p>
      <w:pPr>
        <w:pStyle w:val="BodyText"/>
        <w:spacing w:before="1"/>
        <w:rPr>
          <w:sz w:val="11"/>
        </w:rPr>
      </w:pPr>
    </w:p>
    <w:p>
      <w:pPr>
        <w:spacing w:after="0"/>
        <w:rPr>
          <w:sz w:val="11"/>
        </w:rPr>
        <w:sectPr>
          <w:type w:val="continuous"/>
          <w:pgSz w:w="7200" w:h="11340"/>
          <w:pgMar w:top="1100" w:bottom="0" w:left="660" w:right="540"/>
        </w:sectPr>
      </w:pPr>
    </w:p>
    <w:p>
      <w:pPr>
        <w:spacing w:before="72"/>
        <w:ind w:left="918" w:right="-17" w:firstLine="0"/>
        <w:jc w:val="left"/>
        <w:rPr>
          <w:b/>
          <w:sz w:val="17"/>
        </w:rPr>
      </w:pPr>
      <w:r>
        <w:rPr>
          <w:b/>
          <w:i/>
          <w:color w:val="010101"/>
          <w:w w:val="95"/>
          <w:sz w:val="23"/>
        </w:rPr>
        <w:t>As-t </w:t>
      </w:r>
      <w:r>
        <w:rPr>
          <w:b/>
          <w:i/>
          <w:color w:val="010101"/>
          <w:sz w:val="23"/>
        </w:rPr>
        <w:t>, </w:t>
      </w:r>
      <w:r>
        <w:rPr>
          <w:color w:val="010101"/>
          <w:w w:val="225"/>
          <w:sz w:val="23"/>
        </w:rPr>
        <w:t>-</w:t>
      </w:r>
      <w:r>
        <w:rPr>
          <w:color w:val="010101"/>
          <w:spacing w:val="-114"/>
          <w:w w:val="225"/>
          <w:sz w:val="23"/>
        </w:rPr>
        <w:t> </w:t>
      </w:r>
      <w:r>
        <w:rPr>
          <w:b/>
          <w:color w:val="010101"/>
          <w:w w:val="95"/>
          <w:sz w:val="23"/>
        </w:rPr>
        <w:t>Pa </w:t>
      </w:r>
      <w:r>
        <w:rPr>
          <w:b/>
          <w:color w:val="010101"/>
          <w:sz w:val="17"/>
        </w:rPr>
        <w:t>4s+,</w:t>
      </w:r>
    </w:p>
    <w:p>
      <w:pPr>
        <w:spacing w:before="28"/>
        <w:ind w:left="678" w:right="-17" w:firstLine="0"/>
        <w:jc w:val="left"/>
        <w:rPr>
          <w:rFonts w:ascii="Arial" w:hAnsi="Arial"/>
          <w:b/>
          <w:i/>
          <w:sz w:val="30"/>
        </w:rPr>
      </w:pPr>
      <w:r>
        <w:rPr>
          <w:color w:val="010101"/>
          <w:w w:val="90"/>
          <w:sz w:val="28"/>
        </w:rPr>
        <w:t>= </w:t>
      </w:r>
      <w:r>
        <w:rPr>
          <w:rFonts w:ascii="Arial" w:hAnsi="Arial"/>
          <w:b/>
          <w:i/>
          <w:color w:val="010101"/>
          <w:spacing w:val="4"/>
          <w:w w:val="90"/>
          <w:sz w:val="30"/>
        </w:rPr>
        <w:t>,v•</w:t>
      </w:r>
      <w:r>
        <w:rPr>
          <w:rFonts w:ascii="Arial" w:hAnsi="Arial"/>
          <w:b/>
          <w:i/>
          <w:color w:val="010101"/>
          <w:spacing w:val="-65"/>
          <w:w w:val="90"/>
          <w:sz w:val="30"/>
        </w:rPr>
        <w:t> </w:t>
      </w:r>
      <w:r>
        <w:rPr>
          <w:rFonts w:ascii="Arial" w:hAnsi="Arial"/>
          <w:b/>
          <w:i/>
          <w:color w:val="010101"/>
          <w:w w:val="90"/>
          <w:sz w:val="30"/>
        </w:rPr>
        <w:t>.</w:t>
      </w:r>
    </w:p>
    <w:p>
      <w:pPr>
        <w:spacing w:before="73"/>
        <w:ind w:left="363" w:right="-6" w:firstLine="0"/>
        <w:jc w:val="left"/>
        <w:rPr>
          <w:b/>
          <w:sz w:val="21"/>
        </w:rPr>
      </w:pPr>
      <w:r>
        <w:rPr/>
        <w:br w:type="column"/>
      </w:r>
      <w:r>
        <w:rPr>
          <w:color w:val="010101"/>
          <w:w w:val="110"/>
          <w:sz w:val="19"/>
        </w:rPr>
        <w:t>by  </w:t>
      </w:r>
      <w:r>
        <w:rPr>
          <w:b/>
          <w:color w:val="010101"/>
          <w:w w:val="110"/>
          <w:sz w:val="21"/>
        </w:rPr>
        <w:t>(4.22)</w:t>
      </w:r>
    </w:p>
    <w:p>
      <w:pPr>
        <w:pStyle w:val="BodyText"/>
        <w:rPr>
          <w:b/>
          <w:sz w:val="18"/>
        </w:rPr>
      </w:pPr>
      <w:r>
        <w:rPr/>
        <w:br w:type="column"/>
      </w:r>
      <w:r>
        <w:rPr>
          <w:b/>
          <w:sz w:val="18"/>
        </w:rPr>
      </w:r>
    </w:p>
    <w:p>
      <w:pPr>
        <w:pStyle w:val="BodyText"/>
        <w:spacing w:before="6"/>
        <w:rPr>
          <w:b/>
          <w:sz w:val="21"/>
        </w:rPr>
      </w:pPr>
    </w:p>
    <w:p>
      <w:pPr>
        <w:spacing w:before="1"/>
        <w:ind w:left="678" w:right="0" w:firstLine="0"/>
        <w:jc w:val="left"/>
        <w:rPr>
          <w:sz w:val="19"/>
        </w:rPr>
      </w:pPr>
      <w:r>
        <w:rPr>
          <w:color w:val="010101"/>
          <w:w w:val="125"/>
          <w:sz w:val="19"/>
        </w:rPr>
        <w:t>(5.22)</w:t>
      </w:r>
    </w:p>
    <w:p>
      <w:pPr>
        <w:spacing w:after="0"/>
        <w:jc w:val="left"/>
        <w:rPr>
          <w:sz w:val="19"/>
        </w:rPr>
        <w:sectPr>
          <w:type w:val="continuous"/>
          <w:pgSz w:w="7200" w:h="11340"/>
          <w:pgMar w:top="1100" w:bottom="0" w:left="660" w:right="540"/>
          <w:cols w:num="3" w:equalWidth="0">
            <w:col w:w="2231" w:space="40"/>
            <w:col w:w="1249" w:space="1166"/>
            <w:col w:w="1314"/>
          </w:cols>
        </w:sectPr>
      </w:pPr>
    </w:p>
    <w:p>
      <w:pPr>
        <w:spacing w:line="268" w:lineRule="auto" w:before="108"/>
        <w:ind w:left="129" w:right="126" w:firstLine="3"/>
        <w:jc w:val="both"/>
        <w:rPr>
          <w:sz w:val="19"/>
        </w:rPr>
      </w:pPr>
      <w:r>
        <w:rPr>
          <w:color w:val="010101"/>
          <w:w w:val="110"/>
          <w:sz w:val="19"/>
        </w:rPr>
        <w:t>Hence, no reserve adjustment  is necessary  in this case. The result</w:t>
      </w:r>
      <w:r>
        <w:rPr>
          <w:color w:val="010101"/>
          <w:spacing w:val="52"/>
          <w:w w:val="110"/>
          <w:sz w:val="19"/>
        </w:rPr>
        <w:t> </w:t>
      </w:r>
      <w:r>
        <w:rPr>
          <w:rFonts w:ascii="Arial"/>
          <w:color w:val="010101"/>
          <w:w w:val="110"/>
          <w:sz w:val="19"/>
        </w:rPr>
        <w:t>is </w:t>
      </w:r>
      <w:r>
        <w:rPr>
          <w:color w:val="010101"/>
          <w:w w:val="110"/>
          <w:sz w:val="19"/>
        </w:rPr>
        <w:t>not surprising, since there is no loss of premium in the year of death.</w:t>
      </w:r>
    </w:p>
    <w:p>
      <w:pPr>
        <w:spacing w:line="211" w:lineRule="auto" w:before="11"/>
        <w:ind w:left="125" w:right="116" w:firstLine="208"/>
        <w:jc w:val="both"/>
        <w:rPr>
          <w:sz w:val="21"/>
        </w:rPr>
      </w:pPr>
      <w:r>
        <w:rPr>
          <w:color w:val="010101"/>
          <w:w w:val="110"/>
          <w:sz w:val="19"/>
        </w:rPr>
        <w:t>With apportionable premiums, there is an average loss of </w:t>
      </w:r>
      <w:r>
        <w:rPr>
          <w:color w:val="010101"/>
          <w:w w:val="110"/>
          <w:sz w:val="19"/>
        </w:rPr>
        <w:t>premium </w:t>
      </w:r>
      <w:r>
        <w:rPr>
          <w:color w:val="010101"/>
          <w:w w:val="117"/>
          <w:sz w:val="19"/>
        </w:rPr>
        <w:t>oí </w:t>
      </w:r>
      <w:r>
        <w:rPr>
          <w:color w:val="010101"/>
          <w:w w:val="145"/>
          <w:sz w:val="26"/>
        </w:rPr>
        <w:t>i </w:t>
      </w:r>
      <w:r>
        <w:rPr>
          <w:color w:val="010101"/>
          <w:w w:val="135"/>
          <w:sz w:val="19"/>
        </w:rPr>
        <w:t>P </w:t>
      </w:r>
      <w:r>
        <w:rPr>
          <w:color w:val="010101"/>
          <w:spacing w:val="-16"/>
          <w:w w:val="141"/>
          <w:sz w:val="17"/>
        </w:rPr>
        <w:t>•J</w:t>
      </w:r>
      <w:r>
        <w:rPr>
          <w:color w:val="010101"/>
          <w:w w:val="141"/>
          <w:sz w:val="17"/>
        </w:rPr>
        <w:t> </w:t>
      </w:r>
      <w:r>
        <w:rPr>
          <w:rFonts w:ascii="Arial" w:hAnsi="Arial"/>
          <w:color w:val="010101"/>
          <w:w w:val="106"/>
          <w:sz w:val="21"/>
        </w:rPr>
        <w:t>in </w:t>
      </w:r>
      <w:r>
        <w:rPr>
          <w:color w:val="010101"/>
          <w:w w:val="120"/>
          <w:sz w:val="19"/>
        </w:rPr>
        <w:t>the </w:t>
      </w:r>
      <w:r>
        <w:rPr>
          <w:color w:val="010101"/>
          <w:w w:val="89"/>
          <w:sz w:val="21"/>
        </w:rPr>
        <w:t>yea.r </w:t>
      </w:r>
      <w:r>
        <w:rPr>
          <w:color w:val="010101"/>
          <w:w w:val="91"/>
          <w:sz w:val="19"/>
        </w:rPr>
        <w:t>of </w:t>
      </w:r>
      <w:r>
        <w:rPr>
          <w:color w:val="010101"/>
          <w:w w:val="115"/>
          <w:sz w:val="19"/>
        </w:rPr>
        <w:t>death, </w:t>
      </w:r>
      <w:r>
        <w:rPr>
          <w:color w:val="010101"/>
          <w:w w:val="115"/>
          <w:sz w:val="19"/>
        </w:rPr>
        <w:t>and </w:t>
      </w:r>
      <w:r>
        <w:rPr>
          <w:color w:val="010101"/>
          <w:w w:val="109"/>
          <w:sz w:val="19"/>
        </w:rPr>
        <w:t>general </w:t>
      </w:r>
      <w:r>
        <w:rPr>
          <w:color w:val="010101"/>
          <w:w w:val="109"/>
          <w:sz w:val="19"/>
        </w:rPr>
        <w:t>reasoning </w:t>
      </w:r>
      <w:r>
        <w:rPr>
          <w:color w:val="010101"/>
          <w:w w:val="105"/>
          <w:sz w:val="21"/>
        </w:rPr>
        <w:t>suggests</w:t>
      </w:r>
      <w:r>
        <w:rPr>
          <w:color w:val="010101"/>
          <w:spacing w:val="-1"/>
          <w:w w:val="105"/>
          <w:sz w:val="21"/>
        </w:rPr>
        <w:t> </w:t>
      </w:r>
      <w:r>
        <w:rPr>
          <w:color w:val="010101"/>
          <w:w w:val="105"/>
          <w:sz w:val="21"/>
        </w:rPr>
        <w:t>that</w:t>
      </w:r>
    </w:p>
    <w:p>
      <w:pPr>
        <w:tabs>
          <w:tab w:pos="2618" w:val="left" w:leader="none"/>
          <w:tab w:pos="5374" w:val="left" w:leader="none"/>
        </w:tabs>
        <w:spacing w:before="32"/>
        <w:ind w:left="1847" w:right="0" w:firstLine="0"/>
        <w:jc w:val="left"/>
        <w:rPr>
          <w:sz w:val="20"/>
        </w:rPr>
      </w:pPr>
      <w:r>
        <w:rPr>
          <w:rFonts w:ascii="Arial"/>
          <w:i/>
          <w:color w:val="010101"/>
          <w:spacing w:val="-5"/>
          <w:w w:val="95"/>
          <w:sz w:val="25"/>
        </w:rPr>
        <w:t>,VJ"'</w:t>
      </w:r>
      <w:r>
        <w:rPr>
          <w:rFonts w:ascii="Arial"/>
          <w:i/>
          <w:color w:val="010101"/>
          <w:spacing w:val="-59"/>
          <w:w w:val="95"/>
          <w:sz w:val="25"/>
        </w:rPr>
        <w:t> </w:t>
      </w:r>
      <w:r>
        <w:rPr>
          <w:rFonts w:ascii="Arial"/>
          <w:i/>
          <w:color w:val="010101"/>
          <w:w w:val="90"/>
          <w:position w:val="7"/>
          <w:sz w:val="15"/>
        </w:rPr>
        <w:t>1</w:t>
        <w:tab/>
      </w:r>
      <w:r>
        <w:rPr>
          <w:rFonts w:ascii="Arial"/>
          <w:i/>
          <w:color w:val="010101"/>
          <w:spacing w:val="-5"/>
          <w:sz w:val="25"/>
        </w:rPr>
        <w:t>,Va</w:t>
      </w:r>
      <w:r>
        <w:rPr>
          <w:rFonts w:ascii="Arial"/>
          <w:i/>
          <w:color w:val="010101"/>
          <w:spacing w:val="-11"/>
          <w:sz w:val="25"/>
        </w:rPr>
        <w:t> </w:t>
      </w:r>
      <w:r>
        <w:rPr>
          <w:color w:val="010101"/>
          <w:sz w:val="20"/>
        </w:rPr>
        <w:t>(1</w:t>
      </w:r>
      <w:r>
        <w:rPr>
          <w:color w:val="010101"/>
          <w:spacing w:val="2"/>
          <w:sz w:val="20"/>
        </w:rPr>
        <w:t> </w:t>
      </w:r>
      <w:r>
        <w:rPr>
          <w:rFonts w:ascii="Arial"/>
          <w:color w:val="010101"/>
          <w:sz w:val="31"/>
        </w:rPr>
        <w:t>+</w:t>
      </w:r>
      <w:r>
        <w:rPr>
          <w:rFonts w:ascii="Arial"/>
          <w:color w:val="010101"/>
          <w:spacing w:val="-42"/>
          <w:sz w:val="31"/>
        </w:rPr>
        <w:t> </w:t>
      </w:r>
      <w:r>
        <w:rPr>
          <w:color w:val="010101"/>
          <w:w w:val="115"/>
          <w:sz w:val="27"/>
        </w:rPr>
        <w:t>i</w:t>
      </w:r>
      <w:r>
        <w:rPr>
          <w:color w:val="010101"/>
          <w:spacing w:val="-32"/>
          <w:w w:val="115"/>
          <w:sz w:val="27"/>
        </w:rPr>
        <w:t> </w:t>
      </w:r>
      <w:r>
        <w:rPr>
          <w:rFonts w:ascii="Arial"/>
          <w:i/>
          <w:color w:val="010101"/>
          <w:sz w:val="25"/>
        </w:rPr>
        <w:t>P;"'</w:t>
      </w:r>
      <w:r>
        <w:rPr>
          <w:rFonts w:ascii="Arial"/>
          <w:i/>
          <w:color w:val="010101"/>
          <w:spacing w:val="-48"/>
          <w:sz w:val="25"/>
        </w:rPr>
        <w:t> </w:t>
      </w:r>
      <w:r>
        <w:rPr>
          <w:rFonts w:ascii="Arial"/>
          <w:i/>
          <w:color w:val="010101"/>
          <w:w w:val="90"/>
          <w:position w:val="7"/>
          <w:sz w:val="15"/>
        </w:rPr>
        <w:t>1</w:t>
      </w:r>
      <w:r>
        <w:rPr>
          <w:rFonts w:ascii="Arial"/>
          <w:i/>
          <w:color w:val="010101"/>
          <w:spacing w:val="-18"/>
          <w:w w:val="90"/>
          <w:position w:val="7"/>
          <w:sz w:val="15"/>
        </w:rPr>
        <w:t> </w:t>
      </w:r>
      <w:r>
        <w:rPr>
          <w:rFonts w:ascii="Arial"/>
          <w:i/>
          <w:color w:val="010101"/>
          <w:w w:val="115"/>
          <w:sz w:val="15"/>
        </w:rPr>
        <w:t>).</w:t>
        <w:tab/>
      </w:r>
      <w:r>
        <w:rPr>
          <w:color w:val="010101"/>
          <w:sz w:val="20"/>
        </w:rPr>
        <w:t>(5.23)</w:t>
      </w:r>
    </w:p>
    <w:p>
      <w:pPr>
        <w:spacing w:line="100" w:lineRule="auto" w:before="208"/>
        <w:ind w:left="132" w:right="0" w:hanging="4"/>
        <w:jc w:val="left"/>
        <w:rPr>
          <w:sz w:val="19"/>
        </w:rPr>
      </w:pPr>
      <w:r>
        <w:rPr>
          <w:rFonts w:ascii="Arial" w:hAnsi="Arial"/>
          <w:b/>
          <w:color w:val="010101"/>
          <w:w w:val="115"/>
          <w:sz w:val="20"/>
        </w:rPr>
        <w:t>W</w:t>
      </w:r>
      <w:r>
        <w:rPr>
          <w:rFonts w:ascii="Arial" w:hAnsi="Arial"/>
          <w:b/>
          <w:color w:val="010101"/>
          <w:w w:val="115"/>
          <w:sz w:val="17"/>
        </w:rPr>
        <w:t>e </w:t>
      </w:r>
      <w:r>
        <w:rPr>
          <w:color w:val="010101"/>
          <w:w w:val="115"/>
          <w:sz w:val="19"/>
        </w:rPr>
        <w:t>can verify this result algebraica.1ly. Recalling tha.t the policy </w:t>
      </w:r>
      <w:r>
        <w:rPr>
          <w:color w:val="010101"/>
          <w:w w:val="107"/>
          <w:sz w:val="19"/>
        </w:rPr>
        <w:t>proceeds </w:t>
      </w:r>
      <w:r>
        <w:rPr>
          <w:color w:val="010101"/>
          <w:w w:val="112"/>
          <w:sz w:val="19"/>
        </w:rPr>
        <w:t>can </w:t>
      </w:r>
      <w:r>
        <w:rPr>
          <w:rFonts w:ascii="Arial" w:hAnsi="Arial"/>
          <w:color w:val="010101"/>
          <w:w w:val="98"/>
          <w:sz w:val="19"/>
        </w:rPr>
        <w:t>be </w:t>
      </w:r>
      <w:r>
        <w:rPr>
          <w:color w:val="010101"/>
          <w:w w:val="112"/>
          <w:sz w:val="19"/>
        </w:rPr>
        <w:t>estimated </w:t>
      </w:r>
      <w:r>
        <w:rPr>
          <w:color w:val="010101"/>
          <w:w w:val="118"/>
          <w:sz w:val="19"/>
        </w:rPr>
        <w:t>as </w:t>
      </w:r>
      <w:r>
        <w:rPr>
          <w:color w:val="010101"/>
          <w:w w:val="135"/>
          <w:sz w:val="19"/>
        </w:rPr>
        <w:t>1 </w:t>
      </w:r>
      <w:r>
        <w:rPr>
          <w:color w:val="010101"/>
          <w:w w:val="100"/>
          <w:sz w:val="29"/>
        </w:rPr>
        <w:t>+ </w:t>
      </w:r>
      <w:r>
        <w:rPr>
          <w:i/>
          <w:color w:val="010101"/>
          <w:spacing w:val="-54"/>
          <w:w w:val="86"/>
          <w:sz w:val="49"/>
        </w:rPr>
        <w:t>;m </w:t>
      </w:r>
      <w:r>
        <w:rPr>
          <w:color w:val="010101"/>
          <w:w w:val="143"/>
          <w:sz w:val="19"/>
        </w:rPr>
        <w:t>P </w:t>
      </w:r>
      <w:r>
        <w:rPr>
          <w:color w:val="010101"/>
          <w:spacing w:val="6"/>
          <w:w w:val="146"/>
          <w:sz w:val="19"/>
        </w:rPr>
        <w:t>ª</w:t>
      </w:r>
      <w:r>
        <w:rPr>
          <w:rFonts w:ascii="Arial" w:hAnsi="Arial"/>
          <w:color w:val="010101"/>
          <w:spacing w:val="6"/>
          <w:w w:val="146"/>
          <w:position w:val="7"/>
          <w:sz w:val="16"/>
        </w:rPr>
        <w:t>1</w:t>
      </w:r>
      <w:r>
        <w:rPr>
          <w:rFonts w:ascii="Arial" w:hAnsi="Arial"/>
          <w:color w:val="010101"/>
          <w:spacing w:val="6"/>
          <w:w w:val="146"/>
          <w:sz w:val="16"/>
        </w:rPr>
        <w:t>,</w:t>
      </w:r>
      <w:r>
        <w:rPr>
          <w:rFonts w:ascii="Arial" w:hAnsi="Arial"/>
          <w:color w:val="010101"/>
          <w:spacing w:val="-47"/>
          <w:w w:val="146"/>
          <w:sz w:val="16"/>
        </w:rPr>
        <w:t> </w:t>
      </w:r>
      <w:r>
        <w:rPr>
          <w:color w:val="010101"/>
          <w:w w:val="106"/>
          <w:sz w:val="19"/>
        </w:rPr>
        <w:t>we </w:t>
      </w:r>
      <w:r>
        <w:rPr>
          <w:color w:val="010101"/>
          <w:w w:val="112"/>
          <w:sz w:val="19"/>
        </w:rPr>
        <w:t>have</w:t>
      </w:r>
    </w:p>
    <w:p>
      <w:pPr>
        <w:spacing w:line="406" w:lineRule="exact" w:before="132"/>
        <w:ind w:left="294" w:right="0" w:firstLine="0"/>
        <w:jc w:val="left"/>
        <w:rPr>
          <w:rFonts w:ascii="Arial" w:hAnsi="Arial"/>
          <w:sz w:val="19"/>
        </w:rPr>
      </w:pPr>
      <w:r>
        <w:rPr>
          <w:b/>
          <w:color w:val="010101"/>
          <w:w w:val="98"/>
          <w:position w:val="-7"/>
          <w:sz w:val="13"/>
        </w:rPr>
        <w:t>1</w:t>
      </w:r>
      <w:r>
        <w:rPr>
          <w:color w:val="010101"/>
          <w:spacing w:val="17"/>
          <w:w w:val="41"/>
          <w:position w:val="-2"/>
          <w:sz w:val="45"/>
        </w:rPr>
        <w:t>V</w:t>
      </w:r>
      <w:r>
        <w:rPr>
          <w:rFonts w:ascii="Arial" w:hAnsi="Arial"/>
          <w:color w:val="010101"/>
          <w:spacing w:val="-29"/>
          <w:w w:val="169"/>
          <w:sz w:val="19"/>
        </w:rPr>
        <w:t>l</w:t>
      </w:r>
      <w:r>
        <w:rPr>
          <w:rFonts w:ascii="Arial" w:hAnsi="Arial"/>
          <w:color w:val="010101"/>
          <w:spacing w:val="-28"/>
          <w:w w:val="218"/>
          <w:sz w:val="19"/>
        </w:rPr>
        <w:t>•</w:t>
      </w:r>
      <w:r>
        <w:rPr>
          <w:rFonts w:ascii="Arial" w:hAnsi="Arial"/>
          <w:color w:val="010101"/>
          <w:w w:val="190"/>
          <w:sz w:val="19"/>
        </w:rPr>
        <w:t>l</w:t>
      </w:r>
      <w:r>
        <w:rPr>
          <w:rFonts w:ascii="Arial" w:hAnsi="Arial"/>
          <w:color w:val="010101"/>
          <w:spacing w:val="-5"/>
          <w:sz w:val="19"/>
        </w:rPr>
        <w:t> </w:t>
      </w:r>
      <w:r>
        <w:rPr>
          <w:rFonts w:ascii="Arial" w:hAnsi="Arial"/>
          <w:color w:val="010101"/>
          <w:w w:val="76"/>
          <w:sz w:val="19"/>
        </w:rPr>
        <w:t>:...</w:t>
      </w:r>
      <w:r>
        <w:rPr>
          <w:rFonts w:ascii="Arial" w:hAnsi="Arial"/>
          <w:color w:val="010101"/>
          <w:spacing w:val="14"/>
          <w:sz w:val="19"/>
        </w:rPr>
        <w:t> </w:t>
      </w:r>
      <w:r>
        <w:rPr>
          <w:rFonts w:ascii="Arial" w:hAnsi="Arial"/>
          <w:i/>
          <w:color w:val="010101"/>
          <w:spacing w:val="10"/>
          <w:w w:val="107"/>
          <w:sz w:val="20"/>
        </w:rPr>
        <w:t>A</w:t>
      </w:r>
      <w:r>
        <w:rPr>
          <w:rFonts w:ascii="Arial" w:hAnsi="Arial"/>
          <w:b/>
          <w:i/>
          <w:color w:val="010101"/>
          <w:w w:val="103"/>
          <w:position w:val="-7"/>
          <w:sz w:val="14"/>
        </w:rPr>
        <w:t>s+I</w:t>
      </w:r>
      <w:r>
        <w:rPr>
          <w:rFonts w:ascii="Arial" w:hAnsi="Arial"/>
          <w:b/>
          <w:i/>
          <w:color w:val="010101"/>
          <w:position w:val="-7"/>
          <w:sz w:val="14"/>
        </w:rPr>
        <w:t> </w:t>
      </w:r>
      <w:r>
        <w:rPr>
          <w:rFonts w:ascii="Arial" w:hAnsi="Arial"/>
          <w:b/>
          <w:i/>
          <w:color w:val="010101"/>
          <w:spacing w:val="-1"/>
          <w:position w:val="-7"/>
          <w:sz w:val="14"/>
        </w:rPr>
        <w:t> </w:t>
      </w:r>
      <w:r>
        <w:rPr>
          <w:color w:val="010101"/>
          <w:spacing w:val="-24"/>
          <w:w w:val="108"/>
          <w:sz w:val="45"/>
        </w:rPr>
        <w:t>[</w:t>
      </w:r>
      <w:r>
        <w:rPr>
          <w:color w:val="010101"/>
          <w:spacing w:val="31"/>
          <w:w w:val="56"/>
          <w:sz w:val="45"/>
        </w:rPr>
        <w:t>1</w:t>
      </w:r>
      <w:r>
        <w:rPr>
          <w:rFonts w:ascii="Arial" w:hAnsi="Arial"/>
          <w:color w:val="010101"/>
          <w:w w:val="107"/>
          <w:sz w:val="31"/>
        </w:rPr>
        <w:t>+</w:t>
      </w:r>
      <w:r>
        <w:rPr>
          <w:rFonts w:ascii="Arial" w:hAnsi="Arial"/>
          <w:color w:val="010101"/>
          <w:spacing w:val="-41"/>
          <w:sz w:val="31"/>
        </w:rPr>
        <w:t> </w:t>
      </w:r>
      <w:r>
        <w:rPr>
          <w:rFonts w:ascii="Arial" w:hAnsi="Arial"/>
          <w:b/>
          <w:i/>
          <w:color w:val="010101"/>
          <w:spacing w:val="-10"/>
          <w:w w:val="102"/>
          <w:position w:val="-7"/>
          <w:sz w:val="18"/>
        </w:rPr>
        <w:t>2</w:t>
      </w:r>
      <w:r>
        <w:rPr>
          <w:color w:val="010101"/>
          <w:spacing w:val="-117"/>
          <w:w w:val="56"/>
          <w:sz w:val="45"/>
        </w:rPr>
        <w:t>1</w:t>
      </w:r>
      <w:r>
        <w:rPr>
          <w:rFonts w:ascii="Arial" w:hAnsi="Arial"/>
          <w:b/>
          <w:i/>
          <w:color w:val="010101"/>
          <w:w w:val="102"/>
          <w:position w:val="-7"/>
          <w:sz w:val="18"/>
        </w:rPr>
        <w:t>m</w:t>
      </w:r>
      <w:r>
        <w:rPr>
          <w:rFonts w:ascii="Arial" w:hAnsi="Arial"/>
          <w:b/>
          <w:i/>
          <w:color w:val="010101"/>
          <w:spacing w:val="4"/>
          <w:position w:val="-7"/>
          <w:sz w:val="18"/>
        </w:rPr>
        <w:t> </w:t>
      </w:r>
      <w:r>
        <w:rPr>
          <w:rFonts w:ascii="Arial" w:hAnsi="Arial"/>
          <w:color w:val="010101"/>
          <w:spacing w:val="-37"/>
          <w:w w:val="144"/>
          <w:sz w:val="19"/>
        </w:rPr>
        <w:t>p</w:t>
      </w:r>
      <w:r>
        <w:rPr>
          <w:rFonts w:ascii="Arial" w:hAnsi="Arial"/>
          <w:color w:val="010101"/>
          <w:spacing w:val="-84"/>
          <w:w w:val="150"/>
          <w:position w:val="-7"/>
          <w:sz w:val="18"/>
        </w:rPr>
        <w:t>•</w:t>
      </w:r>
      <w:r>
        <w:rPr>
          <w:rFonts w:ascii="Arial" w:hAnsi="Arial"/>
          <w:color w:val="010101"/>
          <w:spacing w:val="-18"/>
          <w:w w:val="144"/>
          <w:sz w:val="19"/>
        </w:rPr>
        <w:t>l</w:t>
      </w:r>
      <w:r>
        <w:rPr>
          <w:rFonts w:ascii="Arial" w:hAnsi="Arial"/>
          <w:color w:val="010101"/>
          <w:spacing w:val="-31"/>
          <w:w w:val="218"/>
          <w:sz w:val="19"/>
        </w:rPr>
        <w:t>•</w:t>
      </w:r>
      <w:r>
        <w:rPr>
          <w:rFonts w:ascii="Arial" w:hAnsi="Arial"/>
          <w:color w:val="010101"/>
          <w:w w:val="226"/>
          <w:sz w:val="19"/>
        </w:rPr>
        <w:t>l]</w:t>
      </w:r>
      <w:r>
        <w:rPr>
          <w:rFonts w:ascii="Arial" w:hAnsi="Arial"/>
          <w:color w:val="010101"/>
          <w:spacing w:val="-10"/>
          <w:sz w:val="19"/>
        </w:rPr>
        <w:t> </w:t>
      </w:r>
      <w:r>
        <w:rPr>
          <w:rFonts w:ascii="Arial" w:hAnsi="Arial"/>
          <w:color w:val="010101"/>
          <w:w w:val="275"/>
          <w:sz w:val="19"/>
        </w:rPr>
        <w:t>-</w:t>
      </w:r>
      <w:r>
        <w:rPr>
          <w:rFonts w:ascii="Arial" w:hAnsi="Arial"/>
          <w:color w:val="010101"/>
          <w:spacing w:val="16"/>
          <w:sz w:val="19"/>
        </w:rPr>
        <w:t> </w:t>
      </w:r>
      <w:r>
        <w:rPr>
          <w:rFonts w:ascii="Arial" w:hAnsi="Arial"/>
          <w:color w:val="010101"/>
          <w:w w:val="109"/>
          <w:sz w:val="19"/>
        </w:rPr>
        <w:t>p</w:t>
      </w:r>
      <w:r>
        <w:rPr>
          <w:rFonts w:ascii="Arial" w:hAnsi="Arial"/>
          <w:color w:val="010101"/>
          <w:spacing w:val="-34"/>
          <w:w w:val="109"/>
          <w:sz w:val="19"/>
        </w:rPr>
        <w:t>l</w:t>
      </w:r>
      <w:r>
        <w:rPr>
          <w:rFonts w:ascii="Arial" w:hAnsi="Arial"/>
          <w:color w:val="010101"/>
          <w:spacing w:val="-62"/>
          <w:w w:val="150"/>
          <w:position w:val="-7"/>
          <w:sz w:val="18"/>
        </w:rPr>
        <w:t>•</w:t>
      </w:r>
      <w:r>
        <w:rPr>
          <w:rFonts w:ascii="Arial" w:hAnsi="Arial"/>
          <w:color w:val="010101"/>
          <w:w w:val="109"/>
          <w:sz w:val="19"/>
        </w:rPr>
        <w:t>"'l;;&lt;</w:t>
      </w:r>
      <w:r>
        <w:rPr>
          <w:rFonts w:ascii="Arial" w:hAnsi="Arial"/>
          <w:color w:val="010101"/>
          <w:spacing w:val="-3"/>
          <w:w w:val="109"/>
          <w:sz w:val="19"/>
        </w:rPr>
        <w:t>•</w:t>
      </w:r>
      <w:r>
        <w:rPr>
          <w:rFonts w:ascii="Arial" w:hAnsi="Arial"/>
          <w:color w:val="010101"/>
          <w:w w:val="37"/>
          <w:sz w:val="19"/>
        </w:rPr>
        <w:t>&gt;</w:t>
      </w:r>
    </w:p>
    <w:p>
      <w:pPr>
        <w:spacing w:after="0" w:line="406" w:lineRule="exact"/>
        <w:jc w:val="left"/>
        <w:rPr>
          <w:rFonts w:ascii="Arial" w:hAnsi="Arial"/>
          <w:sz w:val="19"/>
        </w:rPr>
        <w:sectPr>
          <w:type w:val="continuous"/>
          <w:pgSz w:w="7200" w:h="11340"/>
          <w:pgMar w:top="1100" w:bottom="0" w:left="660" w:right="540"/>
        </w:sectPr>
      </w:pPr>
    </w:p>
    <w:p>
      <w:pPr>
        <w:tabs>
          <w:tab w:pos="803" w:val="left" w:leader="none"/>
        </w:tabs>
        <w:spacing w:line="123" w:lineRule="exact" w:before="0"/>
        <w:ind w:left="487" w:right="0" w:firstLine="0"/>
        <w:jc w:val="left"/>
        <w:rPr>
          <w:rFonts w:ascii="Arial"/>
          <w:sz w:val="12"/>
        </w:rPr>
      </w:pPr>
      <w:r>
        <w:rPr/>
        <w:pict>
          <v:line style="position:absolute;mso-position-horizontal-relative:page;mso-position-vertical-relative:paragraph;z-index:10072" from="133.452896pt,6.929888pt" to="146.367696pt,6.929888pt" stroked="true" strokeweight="4.125561pt" strokecolor="#000000">
            <w10:wrap type="none"/>
          </v:line>
        </w:pict>
      </w:r>
      <w:r>
        <w:rPr>
          <w:rFonts w:ascii="Arial"/>
          <w:b/>
          <w:color w:val="010101"/>
          <w:w w:val="150"/>
          <w:sz w:val="12"/>
        </w:rPr>
        <w:t>s</w:t>
        <w:tab/>
      </w:r>
      <w:r>
        <w:rPr>
          <w:rFonts w:ascii="Arial"/>
          <w:color w:val="010101"/>
          <w:w w:val="225"/>
          <w:sz w:val="12"/>
        </w:rPr>
        <w:t>-;</w:t>
      </w:r>
    </w:p>
    <w:p>
      <w:pPr>
        <w:spacing w:before="3"/>
        <w:ind w:left="487" w:right="0" w:firstLine="0"/>
        <w:jc w:val="left"/>
        <w:rPr>
          <w:rFonts w:ascii="Arial"/>
          <w:b/>
          <w:sz w:val="10"/>
        </w:rPr>
      </w:pPr>
      <w:r>
        <w:rPr/>
        <w:br w:type="column"/>
      </w:r>
      <w:r>
        <w:rPr>
          <w:rFonts w:ascii="Arial"/>
          <w:b/>
          <w:color w:val="010101"/>
          <w:w w:val="130"/>
          <w:sz w:val="10"/>
        </w:rPr>
        <w:t>Us+&amp;</w:t>
      </w:r>
    </w:p>
    <w:p>
      <w:pPr>
        <w:spacing w:after="0"/>
        <w:jc w:val="left"/>
        <w:rPr>
          <w:rFonts w:ascii="Arial"/>
          <w:sz w:val="10"/>
        </w:rPr>
        <w:sectPr>
          <w:type w:val="continuous"/>
          <w:pgSz w:w="7200" w:h="11340"/>
          <w:pgMar w:top="1100" w:bottom="0" w:left="660" w:right="540"/>
          <w:cols w:num="2" w:equalWidth="0">
            <w:col w:w="981" w:space="2025"/>
            <w:col w:w="2994"/>
          </w:cols>
        </w:sectPr>
      </w:pPr>
    </w:p>
    <w:p>
      <w:pPr>
        <w:pStyle w:val="BodyText"/>
        <w:rPr>
          <w:rFonts w:ascii="Arial"/>
          <w:b/>
          <w:sz w:val="19"/>
        </w:rPr>
      </w:pPr>
    </w:p>
    <w:p>
      <w:pPr>
        <w:spacing w:line="185" w:lineRule="exact" w:before="72"/>
        <w:ind w:left="800" w:right="0" w:firstLine="0"/>
        <w:jc w:val="left"/>
        <w:rPr>
          <w:rFonts w:ascii="Arial" w:hAnsi="Arial"/>
          <w:sz w:val="19"/>
        </w:rPr>
      </w:pPr>
      <w:r>
        <w:rPr>
          <w:color w:val="010101"/>
          <w:w w:val="86"/>
          <w:position w:val="-9"/>
          <w:sz w:val="29"/>
        </w:rPr>
        <w:t>=</w:t>
      </w:r>
      <w:r>
        <w:rPr>
          <w:color w:val="010101"/>
          <w:spacing w:val="18"/>
          <w:position w:val="-9"/>
          <w:sz w:val="29"/>
        </w:rPr>
        <w:t> </w:t>
      </w:r>
      <w:r>
        <w:rPr>
          <w:i/>
          <w:color w:val="010101"/>
          <w:spacing w:val="13"/>
          <w:w w:val="104"/>
          <w:position w:val="-5"/>
          <w:sz w:val="22"/>
        </w:rPr>
        <w:t>A</w:t>
      </w:r>
      <w:r>
        <w:rPr>
          <w:rFonts w:ascii="Arial" w:hAnsi="Arial"/>
          <w:b/>
          <w:i/>
          <w:color w:val="010101"/>
          <w:w w:val="105"/>
          <w:position w:val="-9"/>
          <w:sz w:val="14"/>
        </w:rPr>
        <w:t>s+I</w:t>
      </w:r>
      <w:r>
        <w:rPr>
          <w:rFonts w:ascii="Arial" w:hAnsi="Arial"/>
          <w:b/>
          <w:i/>
          <w:color w:val="010101"/>
          <w:position w:val="-9"/>
          <w:sz w:val="14"/>
        </w:rPr>
        <w:t> </w:t>
      </w:r>
      <w:r>
        <w:rPr>
          <w:rFonts w:ascii="Arial" w:hAnsi="Arial"/>
          <w:b/>
          <w:i/>
          <w:color w:val="010101"/>
          <w:spacing w:val="6"/>
          <w:position w:val="-9"/>
          <w:sz w:val="14"/>
        </w:rPr>
        <w:t> </w:t>
      </w:r>
      <w:r>
        <w:rPr>
          <w:rFonts w:ascii="Arial" w:hAnsi="Arial"/>
          <w:color w:val="010101"/>
          <w:w w:val="105"/>
          <w:position w:val="-5"/>
          <w:sz w:val="19"/>
        </w:rPr>
        <w:t>(</w:t>
      </w:r>
      <w:r>
        <w:rPr>
          <w:rFonts w:ascii="Arial" w:hAnsi="Arial"/>
          <w:color w:val="010101"/>
          <w:w w:val="105"/>
          <w:position w:val="-5"/>
          <w:sz w:val="19"/>
        </w:rPr>
        <w:t>1</w:t>
      </w:r>
      <w:r>
        <w:rPr>
          <w:rFonts w:ascii="Arial" w:hAnsi="Arial"/>
          <w:color w:val="010101"/>
          <w:spacing w:val="-10"/>
          <w:position w:val="-5"/>
          <w:sz w:val="19"/>
        </w:rPr>
        <w:t> </w:t>
      </w:r>
      <w:r>
        <w:rPr>
          <w:rFonts w:ascii="Arial" w:hAnsi="Arial"/>
          <w:color w:val="010101"/>
          <w:w w:val="110"/>
          <w:position w:val="-12"/>
          <w:sz w:val="31"/>
        </w:rPr>
        <w:t>+</w:t>
      </w:r>
      <w:r>
        <w:rPr>
          <w:rFonts w:ascii="Arial" w:hAnsi="Arial"/>
          <w:color w:val="010101"/>
          <w:spacing w:val="-50"/>
          <w:position w:val="-12"/>
          <w:sz w:val="31"/>
        </w:rPr>
        <w:t> </w:t>
      </w:r>
      <w:r>
        <w:rPr>
          <w:rFonts w:ascii="Arial" w:hAnsi="Arial"/>
          <w:color w:val="010101"/>
          <w:w w:val="82"/>
          <w:sz w:val="19"/>
        </w:rPr>
        <w:t>.1.</w:t>
      </w:r>
      <w:r>
        <w:rPr>
          <w:rFonts w:ascii="Arial" w:hAnsi="Arial"/>
          <w:color w:val="010101"/>
          <w:spacing w:val="-8"/>
          <w:w w:val="82"/>
          <w:sz w:val="19"/>
        </w:rPr>
        <w:t>p</w:t>
      </w:r>
      <w:r>
        <w:rPr>
          <w:rFonts w:ascii="Arial" w:hAnsi="Arial"/>
          <w:color w:val="010101"/>
          <w:spacing w:val="-29"/>
          <w:w w:val="169"/>
          <w:sz w:val="19"/>
        </w:rPr>
        <w:t>l</w:t>
      </w:r>
      <w:r>
        <w:rPr>
          <w:rFonts w:ascii="Arial" w:hAnsi="Arial"/>
          <w:color w:val="010101"/>
          <w:spacing w:val="-28"/>
          <w:w w:val="218"/>
          <w:sz w:val="19"/>
        </w:rPr>
        <w:t>•</w:t>
      </w:r>
      <w:r>
        <w:rPr>
          <w:rFonts w:ascii="Arial" w:hAnsi="Arial"/>
          <w:color w:val="010101"/>
          <w:spacing w:val="-36"/>
          <w:w w:val="156"/>
          <w:sz w:val="19"/>
        </w:rPr>
        <w:t>I</w:t>
      </w:r>
      <w:r>
        <w:rPr>
          <w:rFonts w:ascii="Arial" w:hAnsi="Arial"/>
          <w:color w:val="010101"/>
          <w:w w:val="51"/>
          <w:sz w:val="19"/>
        </w:rPr>
        <w:t>J</w:t>
      </w:r>
      <w:r>
        <w:rPr>
          <w:rFonts w:ascii="Arial" w:hAnsi="Arial"/>
          <w:color w:val="010101"/>
          <w:sz w:val="19"/>
        </w:rPr>
        <w:t> </w:t>
      </w:r>
      <w:r>
        <w:rPr>
          <w:rFonts w:ascii="Arial" w:hAnsi="Arial"/>
          <w:color w:val="010101"/>
          <w:spacing w:val="-7"/>
          <w:sz w:val="19"/>
        </w:rPr>
        <w:t> </w:t>
      </w:r>
      <w:r>
        <w:rPr>
          <w:rFonts w:ascii="Arial" w:hAnsi="Arial"/>
          <w:color w:val="010101"/>
          <w:w w:val="413"/>
          <w:position w:val="-9"/>
          <w:sz w:val="13"/>
        </w:rPr>
        <w:t>-</w:t>
      </w:r>
      <w:r>
        <w:rPr>
          <w:rFonts w:ascii="Arial" w:hAnsi="Arial"/>
          <w:color w:val="010101"/>
          <w:spacing w:val="17"/>
          <w:position w:val="-9"/>
          <w:sz w:val="13"/>
        </w:rPr>
        <w:t> </w:t>
      </w:r>
      <w:r>
        <w:rPr>
          <w:i/>
          <w:color w:val="010101"/>
          <w:spacing w:val="13"/>
          <w:w w:val="104"/>
          <w:sz w:val="22"/>
        </w:rPr>
        <w:t>A</w:t>
      </w:r>
      <w:r>
        <w:rPr>
          <w:rFonts w:ascii="Arial" w:hAnsi="Arial"/>
          <w:b/>
          <w:i/>
          <w:color w:val="010101"/>
          <w:w w:val="103"/>
          <w:position w:val="-9"/>
          <w:sz w:val="14"/>
        </w:rPr>
        <w:t>s+I</w:t>
      </w:r>
      <w:r>
        <w:rPr>
          <w:rFonts w:ascii="Arial" w:hAnsi="Arial"/>
          <w:b/>
          <w:i/>
          <w:color w:val="010101"/>
          <w:position w:val="-9"/>
          <w:sz w:val="14"/>
        </w:rPr>
        <w:t> </w:t>
      </w:r>
      <w:r>
        <w:rPr>
          <w:rFonts w:ascii="Arial" w:hAnsi="Arial"/>
          <w:b/>
          <w:i/>
          <w:color w:val="010101"/>
          <w:spacing w:val="-1"/>
          <w:position w:val="-9"/>
          <w:sz w:val="14"/>
        </w:rPr>
        <w:t> </w:t>
      </w:r>
      <w:r>
        <w:rPr>
          <w:rFonts w:ascii="Arial" w:hAnsi="Arial"/>
          <w:i/>
          <w:color w:val="010101"/>
          <w:w w:val="104"/>
          <w:sz w:val="18"/>
        </w:rPr>
        <w:t>m</w:t>
      </w:r>
      <w:r>
        <w:rPr>
          <w:rFonts w:ascii="Arial" w:hAnsi="Arial"/>
          <w:i/>
          <w:color w:val="010101"/>
          <w:sz w:val="18"/>
        </w:rPr>
        <w:t> </w:t>
      </w:r>
      <w:r>
        <w:rPr>
          <w:rFonts w:ascii="Arial" w:hAnsi="Arial"/>
          <w:i/>
          <w:color w:val="010101"/>
          <w:spacing w:val="-7"/>
          <w:sz w:val="18"/>
        </w:rPr>
        <w:t> </w:t>
      </w:r>
      <w:r>
        <w:rPr>
          <w:rFonts w:ascii="Arial" w:hAnsi="Arial"/>
          <w:color w:val="010101"/>
          <w:w w:val="290"/>
          <w:sz w:val="18"/>
        </w:rPr>
        <w:t>-</w:t>
      </w:r>
      <w:r>
        <w:rPr>
          <w:rFonts w:ascii="Arial" w:hAnsi="Arial"/>
          <w:color w:val="010101"/>
          <w:sz w:val="18"/>
        </w:rPr>
        <w:t> </w:t>
      </w:r>
      <w:r>
        <w:rPr>
          <w:rFonts w:ascii="Arial" w:hAnsi="Arial"/>
          <w:color w:val="010101"/>
          <w:spacing w:val="-24"/>
          <w:sz w:val="18"/>
        </w:rPr>
        <w:t> </w:t>
      </w:r>
      <w:r>
        <w:rPr>
          <w:rFonts w:ascii="Arial" w:hAnsi="Arial"/>
          <w:color w:val="010101"/>
          <w:spacing w:val="16"/>
          <w:w w:val="126"/>
          <w:sz w:val="19"/>
        </w:rPr>
        <w:t>1</w:t>
      </w:r>
      <w:r>
        <w:rPr>
          <w:rFonts w:ascii="Arial" w:hAnsi="Arial"/>
          <w:color w:val="010101"/>
          <w:spacing w:val="-22"/>
          <w:w w:val="165"/>
          <w:sz w:val="19"/>
        </w:rPr>
        <w:t>p</w:t>
      </w:r>
      <w:r>
        <w:rPr>
          <w:rFonts w:ascii="Arial" w:hAnsi="Arial"/>
          <w:color w:val="010101"/>
          <w:spacing w:val="-27"/>
          <w:w w:val="147"/>
          <w:sz w:val="19"/>
        </w:rPr>
        <w:t>l</w:t>
      </w:r>
      <w:r>
        <w:rPr>
          <w:rFonts w:ascii="Arial" w:hAnsi="Arial"/>
          <w:color w:val="010101"/>
          <w:spacing w:val="-29"/>
          <w:w w:val="225"/>
          <w:sz w:val="19"/>
        </w:rPr>
        <w:t>•</w:t>
      </w:r>
      <w:r>
        <w:rPr>
          <w:rFonts w:ascii="Arial" w:hAnsi="Arial"/>
          <w:color w:val="010101"/>
          <w:w w:val="147"/>
          <w:sz w:val="19"/>
        </w:rPr>
        <w:t>l</w:t>
      </w:r>
      <w:r>
        <w:rPr>
          <w:rFonts w:ascii="Arial" w:hAnsi="Arial"/>
          <w:color w:val="010101"/>
          <w:spacing w:val="21"/>
          <w:sz w:val="19"/>
        </w:rPr>
        <w:t> </w:t>
      </w:r>
      <w:r>
        <w:rPr>
          <w:rFonts w:ascii="Arial" w:hAnsi="Arial"/>
          <w:color w:val="010101"/>
          <w:w w:val="551"/>
          <w:position w:val="-9"/>
          <w:sz w:val="10"/>
        </w:rPr>
        <w:t>-</w:t>
      </w:r>
      <w:r>
        <w:rPr>
          <w:rFonts w:ascii="Arial" w:hAnsi="Arial"/>
          <w:color w:val="010101"/>
          <w:position w:val="-9"/>
          <w:sz w:val="10"/>
        </w:rPr>
        <w:t>  </w:t>
      </w:r>
      <w:r>
        <w:rPr>
          <w:rFonts w:ascii="Arial" w:hAnsi="Arial"/>
          <w:color w:val="010101"/>
          <w:spacing w:val="-21"/>
          <w:w w:val="161"/>
          <w:sz w:val="19"/>
        </w:rPr>
        <w:t>p</w:t>
      </w:r>
      <w:r>
        <w:rPr>
          <w:rFonts w:ascii="Arial" w:hAnsi="Arial"/>
          <w:color w:val="010101"/>
          <w:spacing w:val="-29"/>
          <w:w w:val="169"/>
          <w:sz w:val="19"/>
        </w:rPr>
        <w:t>l</w:t>
      </w:r>
      <w:r>
        <w:rPr>
          <w:rFonts w:ascii="Arial" w:hAnsi="Arial"/>
          <w:color w:val="010101"/>
          <w:w w:val="142"/>
          <w:sz w:val="19"/>
        </w:rPr>
        <w:t>.</w:t>
      </w:r>
      <w:r>
        <w:rPr>
          <w:rFonts w:ascii="Arial" w:hAnsi="Arial"/>
          <w:color w:val="010101"/>
          <w:spacing w:val="-33"/>
          <w:w w:val="142"/>
          <w:sz w:val="19"/>
        </w:rPr>
        <w:t>.</w:t>
      </w:r>
      <w:r>
        <w:rPr>
          <w:rFonts w:ascii="Arial" w:hAnsi="Arial"/>
          <w:color w:val="010101"/>
          <w:w w:val="72"/>
          <w:sz w:val="19"/>
        </w:rPr>
        <w:t>l,a.&lt;</w:t>
      </w:r>
      <w:r>
        <w:rPr>
          <w:rFonts w:ascii="Arial" w:hAnsi="Arial"/>
          <w:color w:val="010101"/>
          <w:spacing w:val="8"/>
          <w:w w:val="72"/>
          <w:sz w:val="19"/>
        </w:rPr>
        <w:t>•</w:t>
      </w:r>
      <w:r>
        <w:rPr>
          <w:rFonts w:ascii="Arial" w:hAnsi="Arial"/>
          <w:color w:val="010101"/>
          <w:w w:val="37"/>
          <w:sz w:val="19"/>
        </w:rPr>
        <w:t>&gt;</w:t>
      </w:r>
    </w:p>
    <w:p>
      <w:pPr>
        <w:spacing w:after="0" w:line="185" w:lineRule="exact"/>
        <w:jc w:val="left"/>
        <w:rPr>
          <w:rFonts w:ascii="Arial" w:hAnsi="Arial"/>
          <w:sz w:val="19"/>
        </w:rPr>
        <w:sectPr>
          <w:type w:val="continuous"/>
          <w:pgSz w:w="7200" w:h="11340"/>
          <w:pgMar w:top="1100" w:bottom="0" w:left="660" w:right="540"/>
        </w:sectPr>
      </w:pPr>
    </w:p>
    <w:p>
      <w:pPr>
        <w:spacing w:line="148" w:lineRule="exact" w:before="0"/>
        <w:ind w:left="0" w:right="0" w:firstLine="0"/>
        <w:jc w:val="right"/>
        <w:rPr>
          <w:rFonts w:ascii="Arial" w:hAnsi="Arial"/>
          <w:sz w:val="13"/>
        </w:rPr>
      </w:pPr>
      <w:r>
        <w:rPr>
          <w:rFonts w:ascii="Arial" w:hAnsi="Arial"/>
          <w:b/>
          <w:color w:val="010101"/>
          <w:sz w:val="13"/>
        </w:rPr>
        <w:t>J"  </w:t>
      </w:r>
      <w:r>
        <w:rPr>
          <w:rFonts w:ascii="Arial" w:hAnsi="Arial"/>
          <w:color w:val="010101"/>
          <w:w w:val="190"/>
          <w:sz w:val="13"/>
        </w:rPr>
        <w:t>•</w:t>
      </w:r>
    </w:p>
    <w:p>
      <w:pPr>
        <w:tabs>
          <w:tab w:pos="2383" w:val="left" w:leader="none"/>
        </w:tabs>
        <w:spacing w:line="153" w:lineRule="exact" w:before="0"/>
        <w:ind w:left="1694" w:right="0" w:firstLine="0"/>
        <w:jc w:val="left"/>
        <w:rPr>
          <w:b/>
          <w:i/>
          <w:sz w:val="15"/>
        </w:rPr>
      </w:pPr>
      <w:r>
        <w:rPr/>
        <w:br w:type="column"/>
      </w:r>
      <w:r>
        <w:rPr>
          <w:rFonts w:ascii="Arial"/>
          <w:b/>
          <w:color w:val="010101"/>
          <w:w w:val="125"/>
          <w:sz w:val="10"/>
        </w:rPr>
        <w:t>s</w:t>
        <w:tab/>
        <w:t>a </w:t>
      </w:r>
      <w:r>
        <w:rPr>
          <w:rFonts w:ascii="Arial"/>
          <w:b/>
          <w:color w:val="010101"/>
          <w:spacing w:val="24"/>
          <w:w w:val="125"/>
          <w:sz w:val="10"/>
        </w:rPr>
        <w:t> </w:t>
      </w:r>
      <w:r>
        <w:rPr>
          <w:b/>
          <w:i/>
          <w:color w:val="010101"/>
          <w:w w:val="125"/>
          <w:sz w:val="15"/>
        </w:rPr>
        <w:t>u.s+i</w:t>
      </w:r>
    </w:p>
    <w:p>
      <w:pPr>
        <w:spacing w:after="0" w:line="153" w:lineRule="exact"/>
        <w:jc w:val="left"/>
        <w:rPr>
          <w:sz w:val="15"/>
        </w:rPr>
        <w:sectPr>
          <w:type w:val="continuous"/>
          <w:pgSz w:w="7200" w:h="11340"/>
          <w:pgMar w:top="1100" w:bottom="0" w:left="660" w:right="540"/>
          <w:cols w:num="2" w:equalWidth="0">
            <w:col w:w="2270" w:space="40"/>
            <w:col w:w="3690"/>
          </w:cols>
        </w:sectPr>
      </w:pPr>
    </w:p>
    <w:p>
      <w:pPr>
        <w:tabs>
          <w:tab w:pos="1624" w:val="left" w:leader="none"/>
          <w:tab w:pos="5397" w:val="left" w:leader="none"/>
        </w:tabs>
        <w:spacing w:before="54"/>
        <w:ind w:left="170" w:right="0" w:firstLine="0"/>
        <w:jc w:val="left"/>
        <w:rPr>
          <w:b/>
          <w:sz w:val="20"/>
        </w:rPr>
      </w:pPr>
      <w:r>
        <w:rPr>
          <w:rFonts w:ascii="Arial"/>
          <w:b/>
          <w:w w:val="105"/>
          <w:sz w:val="19"/>
        </w:rPr>
        <w:t>110</w:t>
        <w:tab/>
      </w:r>
      <w:r>
        <w:rPr>
          <w:rFonts w:ascii="Arial"/>
          <w:b/>
          <w:w w:val="110"/>
          <w:sz w:val="14"/>
        </w:rPr>
        <w:t>NET   LEVEL </w:t>
      </w:r>
      <w:r>
        <w:rPr>
          <w:rFonts w:ascii="Arial"/>
          <w:b/>
          <w:spacing w:val="28"/>
          <w:w w:val="110"/>
          <w:sz w:val="14"/>
        </w:rPr>
        <w:t> </w:t>
      </w:r>
      <w:r>
        <w:rPr>
          <w:rFonts w:ascii="Arial"/>
          <w:b/>
          <w:w w:val="110"/>
          <w:sz w:val="14"/>
        </w:rPr>
        <w:t>PREMIUM </w:t>
      </w:r>
      <w:r>
        <w:rPr>
          <w:rFonts w:ascii="Arial"/>
          <w:b/>
          <w:spacing w:val="24"/>
          <w:w w:val="110"/>
          <w:sz w:val="14"/>
        </w:rPr>
        <w:t> </w:t>
      </w:r>
      <w:r>
        <w:rPr>
          <w:rFonts w:ascii="Arial"/>
          <w:b/>
          <w:w w:val="110"/>
          <w:sz w:val="14"/>
        </w:rPr>
        <w:t>RESERVES</w:t>
        <w:tab/>
      </w:r>
      <w:r>
        <w:rPr>
          <w:rFonts w:ascii="Arial"/>
          <w:b/>
          <w:w w:val="110"/>
          <w:position w:val="1"/>
          <w:sz w:val="14"/>
        </w:rPr>
        <w:t>[CH.</w:t>
      </w:r>
      <w:r>
        <w:rPr>
          <w:rFonts w:ascii="Arial"/>
          <w:b/>
          <w:spacing w:val="-17"/>
          <w:w w:val="110"/>
          <w:position w:val="1"/>
          <w:sz w:val="14"/>
        </w:rPr>
        <w:t> </w:t>
      </w:r>
      <w:r>
        <w:rPr>
          <w:b/>
          <w:spacing w:val="-12"/>
          <w:w w:val="110"/>
          <w:position w:val="1"/>
          <w:sz w:val="20"/>
        </w:rPr>
        <w:t>,5</w:t>
      </w:r>
    </w:p>
    <w:p>
      <w:pPr>
        <w:pStyle w:val="BodyText"/>
        <w:spacing w:before="11"/>
        <w:rPr>
          <w:b/>
        </w:rPr>
      </w:pPr>
      <w:r>
        <w:rPr/>
        <w:drawing>
          <wp:anchor distT="0" distB="0" distL="0" distR="0" allowOverlap="1" layoutInCell="1" locked="0" behindDoc="0" simplePos="0" relativeHeight="10144">
            <wp:simplePos x="0" y="0"/>
            <wp:positionH relativeFrom="page">
              <wp:posOffset>905255</wp:posOffset>
            </wp:positionH>
            <wp:positionV relativeFrom="paragraph">
              <wp:posOffset>177886</wp:posOffset>
            </wp:positionV>
            <wp:extent cx="2587751" cy="265175"/>
            <wp:effectExtent l="0" t="0" r="0" b="0"/>
            <wp:wrapTopAndBottom/>
            <wp:docPr id="251" name="image130.png" descr=""/>
            <wp:cNvGraphicFramePr>
              <a:graphicFrameLocks noChangeAspect="1"/>
            </wp:cNvGraphicFramePr>
            <a:graphic>
              <a:graphicData uri="http://schemas.openxmlformats.org/drawingml/2006/picture">
                <pic:pic>
                  <pic:nvPicPr>
                    <pic:cNvPr id="252" name="image130.png"/>
                    <pic:cNvPicPr/>
                  </pic:nvPicPr>
                  <pic:blipFill>
                    <a:blip r:embed="rId134" cstate="print"/>
                    <a:stretch>
                      <a:fillRect/>
                    </a:stretch>
                  </pic:blipFill>
                  <pic:spPr>
                    <a:xfrm>
                      <a:off x="0" y="0"/>
                      <a:ext cx="2587751" cy="265175"/>
                    </a:xfrm>
                    <a:prstGeom prst="rect">
                      <a:avLst/>
                    </a:prstGeom>
                  </pic:spPr>
                </pic:pic>
              </a:graphicData>
            </a:graphic>
          </wp:anchor>
        </w:drawing>
      </w:r>
    </w:p>
    <w:p>
      <w:pPr>
        <w:spacing w:after="0"/>
        <w:sectPr>
          <w:pgSz w:w="7200" w:h="11340"/>
          <w:pgMar w:top="480" w:bottom="280" w:left="640" w:right="560"/>
        </w:sectPr>
      </w:pPr>
    </w:p>
    <w:p>
      <w:pPr>
        <w:tabs>
          <w:tab w:pos="2673" w:val="left" w:leader="none"/>
        </w:tabs>
        <w:spacing w:line="500" w:lineRule="exact" w:before="0"/>
        <w:ind w:left="1494" w:right="0" w:firstLine="0"/>
        <w:jc w:val="left"/>
        <w:rPr>
          <w:sz w:val="50"/>
        </w:rPr>
      </w:pPr>
      <w:r>
        <w:rPr>
          <w:rFonts w:ascii="Arial" w:hAnsi="Arial"/>
          <w:spacing w:val="-3"/>
          <w:w w:val="150"/>
          <w:sz w:val="19"/>
        </w:rPr>
        <w:t>pl•l</w:t>
      </w:r>
      <w:r>
        <w:rPr>
          <w:rFonts w:ascii="Arial" w:hAnsi="Arial"/>
          <w:spacing w:val="-19"/>
          <w:w w:val="150"/>
          <w:sz w:val="19"/>
        </w:rPr>
        <w:t> </w:t>
      </w:r>
      <w:r>
        <w:rPr>
          <w:rFonts w:ascii="Arial" w:hAnsi="Arial"/>
          <w:spacing w:val="-18"/>
          <w:w w:val="150"/>
          <w:sz w:val="19"/>
        </w:rPr>
        <w:t>(··</w:t>
        <w:tab/>
      </w:r>
      <w:r>
        <w:rPr>
          <w:rFonts w:ascii="Arial" w:hAnsi="Arial"/>
          <w:i/>
          <w:w w:val="125"/>
          <w:sz w:val="18"/>
        </w:rPr>
        <w:t>m</w:t>
      </w:r>
      <w:r>
        <w:rPr>
          <w:rFonts w:ascii="Arial" w:hAnsi="Arial"/>
          <w:i/>
          <w:spacing w:val="-33"/>
          <w:w w:val="125"/>
          <w:sz w:val="18"/>
        </w:rPr>
        <w:t> </w:t>
      </w:r>
      <w:r>
        <w:rPr>
          <w:rFonts w:ascii="Arial" w:hAnsi="Arial"/>
          <w:w w:val="200"/>
          <w:sz w:val="18"/>
        </w:rPr>
        <w:t>-</w:t>
      </w:r>
      <w:r>
        <w:rPr>
          <w:rFonts w:ascii="Arial" w:hAnsi="Arial"/>
          <w:spacing w:val="-73"/>
          <w:w w:val="200"/>
          <w:sz w:val="18"/>
        </w:rPr>
        <w:t> </w:t>
      </w:r>
      <w:r>
        <w:rPr>
          <w:w w:val="85"/>
          <w:sz w:val="50"/>
        </w:rPr>
        <w:t>1)</w:t>
      </w:r>
    </w:p>
    <w:p>
      <w:pPr>
        <w:tabs>
          <w:tab w:pos="3550" w:val="left" w:leader="none"/>
        </w:tabs>
        <w:spacing w:line="327" w:lineRule="exact" w:before="103"/>
        <w:ind w:left="194" w:right="0" w:firstLine="0"/>
        <w:jc w:val="left"/>
        <w:rPr>
          <w:sz w:val="20"/>
        </w:rPr>
      </w:pPr>
      <w:r>
        <w:rPr/>
        <w:pict>
          <v:shape style="position:absolute;margin-left:94.860001pt;margin-top:-12.300274pt;width:83.05pt;height:12.5pt;mso-position-horizontal-relative:page;mso-position-vertical-relative:paragraph;z-index:-725872" type="#_x0000_t202" filled="false" stroked="false">
            <v:textbox inset="0,0,0,0">
              <w:txbxContent>
                <w:p>
                  <w:pPr>
                    <w:tabs>
                      <w:tab w:pos="777" w:val="left" w:leader="none"/>
                    </w:tabs>
                    <w:spacing w:line="250" w:lineRule="exact" w:before="0"/>
                    <w:ind w:left="0" w:right="0" w:firstLine="0"/>
                    <w:jc w:val="left"/>
                    <w:rPr>
                      <w:rFonts w:ascii="Arial"/>
                      <w:b/>
                      <w:sz w:val="25"/>
                    </w:rPr>
                  </w:pPr>
                  <w:r>
                    <w:rPr>
                      <w:rFonts w:ascii="Arial"/>
                      <w:w w:val="445"/>
                      <w:sz w:val="11"/>
                    </w:rPr>
                    <w:t>-</w:t>
                  </w:r>
                  <w:r>
                    <w:rPr>
                      <w:rFonts w:ascii="Arial"/>
                      <w:spacing w:val="56"/>
                      <w:w w:val="445"/>
                      <w:sz w:val="11"/>
                    </w:rPr>
                    <w:t> </w:t>
                  </w:r>
                  <w:r>
                    <w:rPr>
                      <w:rFonts w:ascii="Arial"/>
                      <w:b/>
                      <w:i/>
                      <w:w w:val="145"/>
                      <w:sz w:val="11"/>
                    </w:rPr>
                    <w:t>z</w:t>
                    <w:tab/>
                  </w:r>
                  <w:r>
                    <w:rPr>
                      <w:rFonts w:ascii="Arial"/>
                      <w:b/>
                      <w:i/>
                      <w:w w:val="105"/>
                      <w:sz w:val="17"/>
                    </w:rPr>
                    <w:t>az+I </w:t>
                  </w:r>
                  <w:r>
                    <w:rPr>
                      <w:b/>
                      <w:w w:val="190"/>
                      <w:sz w:val="10"/>
                    </w:rPr>
                    <w:t>-r</w:t>
                  </w:r>
                  <w:r>
                    <w:rPr>
                      <w:b/>
                      <w:spacing w:val="29"/>
                      <w:w w:val="190"/>
                      <w:sz w:val="10"/>
                    </w:rPr>
                    <w:t> </w:t>
                  </w:r>
                  <w:r>
                    <w:rPr>
                      <w:rFonts w:ascii="Arial"/>
                      <w:b/>
                      <w:w w:val="190"/>
                      <w:sz w:val="25"/>
                    </w:rPr>
                    <w:t>2</w:t>
                  </w:r>
                </w:p>
              </w:txbxContent>
            </v:textbox>
            <w10:wrap type="none"/>
          </v:shape>
        </w:pict>
      </w:r>
      <w:r>
        <w:rPr>
          <w:spacing w:val="-769"/>
          <w:w w:val="463"/>
          <w:position w:val="-5"/>
          <w:sz w:val="11"/>
        </w:rPr>
        <w:t>-</w:t>
      </w:r>
      <w:r>
        <w:rPr>
          <w:w w:val="118"/>
          <w:sz w:val="41"/>
        </w:rPr>
        <w:t>-</w:t>
      </w:r>
      <w:r>
        <w:rPr>
          <w:spacing w:val="-35"/>
          <w:sz w:val="41"/>
        </w:rPr>
        <w:t> </w:t>
      </w:r>
      <w:r>
        <w:rPr>
          <w:i/>
          <w:spacing w:val="27"/>
          <w:w w:val="50"/>
          <w:sz w:val="41"/>
        </w:rPr>
        <w:t>A</w:t>
      </w:r>
      <w:r>
        <w:rPr>
          <w:b/>
          <w:i/>
          <w:w w:val="148"/>
          <w:position w:val="-5"/>
          <w:sz w:val="11"/>
        </w:rPr>
        <w:t>z+t</w:t>
      </w:r>
      <w:r>
        <w:rPr>
          <w:b/>
          <w:i/>
          <w:position w:val="-5"/>
          <w:sz w:val="11"/>
        </w:rPr>
        <w:t>  </w:t>
      </w:r>
      <w:r>
        <w:rPr>
          <w:b/>
          <w:i/>
          <w:spacing w:val="3"/>
          <w:position w:val="-5"/>
          <w:sz w:val="11"/>
        </w:rPr>
        <w:t> </w:t>
      </w:r>
      <w:r>
        <w:rPr>
          <w:w w:val="124"/>
          <w:sz w:val="20"/>
        </w:rPr>
        <w:t>[l</w:t>
      </w:r>
      <w:r>
        <w:rPr>
          <w:spacing w:val="24"/>
          <w:sz w:val="20"/>
        </w:rPr>
        <w:t> </w:t>
      </w:r>
      <w:r>
        <w:rPr>
          <w:rFonts w:ascii="Arial" w:hAnsi="Arial"/>
          <w:w w:val="105"/>
          <w:sz w:val="31"/>
        </w:rPr>
        <w:t>+</w:t>
      </w:r>
      <w:r>
        <w:rPr>
          <w:rFonts w:ascii="Arial" w:hAnsi="Arial"/>
          <w:spacing w:val="-12"/>
          <w:sz w:val="31"/>
        </w:rPr>
        <w:t> </w:t>
      </w:r>
      <w:r>
        <w:rPr>
          <w:w w:val="202"/>
          <w:sz w:val="11"/>
        </w:rPr>
        <w:t>i</w:t>
      </w:r>
      <w:r>
        <w:rPr>
          <w:spacing w:val="-3"/>
          <w:sz w:val="11"/>
        </w:rPr>
        <w:t> </w:t>
      </w:r>
      <w:r>
        <w:rPr>
          <w:rFonts w:ascii="Arial" w:hAnsi="Arial"/>
          <w:spacing w:val="-33"/>
          <w:w w:val="152"/>
          <w:sz w:val="19"/>
        </w:rPr>
        <w:t>p</w:t>
      </w:r>
      <w:r>
        <w:rPr>
          <w:b/>
          <w:i/>
          <w:spacing w:val="-30"/>
          <w:w w:val="142"/>
          <w:position w:val="-5"/>
          <w:sz w:val="11"/>
        </w:rPr>
        <w:t>z</w:t>
      </w:r>
      <w:r>
        <w:rPr>
          <w:rFonts w:ascii="Arial" w:hAnsi="Arial"/>
          <w:w w:val="152"/>
          <w:sz w:val="19"/>
        </w:rPr>
        <w:t>l</w:t>
      </w:r>
      <w:r>
        <w:rPr>
          <w:rFonts w:ascii="Arial" w:hAnsi="Arial"/>
          <w:spacing w:val="-15"/>
          <w:w w:val="152"/>
          <w:sz w:val="19"/>
        </w:rPr>
        <w:t>•</w:t>
      </w:r>
      <w:r>
        <w:rPr>
          <w:rFonts w:ascii="Arial" w:hAnsi="Arial"/>
          <w:w w:val="125"/>
          <w:sz w:val="19"/>
        </w:rPr>
        <w:t>l]</w:t>
      </w:r>
      <w:r>
        <w:rPr>
          <w:rFonts w:ascii="Arial" w:hAnsi="Arial"/>
          <w:spacing w:val="25"/>
          <w:sz w:val="19"/>
        </w:rPr>
        <w:t> </w:t>
      </w:r>
      <w:r>
        <w:rPr>
          <w:w w:val="514"/>
          <w:position w:val="-5"/>
          <w:sz w:val="11"/>
        </w:rPr>
        <w:t>-</w:t>
      </w:r>
      <w:r>
        <w:rPr>
          <w:position w:val="-5"/>
          <w:sz w:val="11"/>
        </w:rPr>
        <w:t> </w:t>
      </w:r>
      <w:r>
        <w:rPr>
          <w:spacing w:val="-3"/>
          <w:position w:val="-5"/>
          <w:sz w:val="11"/>
        </w:rPr>
        <w:t> </w:t>
      </w:r>
      <w:r>
        <w:rPr>
          <w:rFonts w:ascii="Arial" w:hAnsi="Arial"/>
          <w:spacing w:val="-31"/>
          <w:w w:val="123"/>
          <w:sz w:val="19"/>
        </w:rPr>
        <w:t>p</w:t>
      </w:r>
      <w:r>
        <w:rPr>
          <w:b/>
          <w:i/>
          <w:spacing w:val="-86"/>
          <w:w w:val="150"/>
          <w:position w:val="-5"/>
          <w:sz w:val="11"/>
        </w:rPr>
        <w:t>z</w:t>
      </w:r>
      <w:r>
        <w:rPr>
          <w:rFonts w:ascii="Arial" w:hAnsi="Arial"/>
          <w:w w:val="123"/>
          <w:sz w:val="19"/>
        </w:rPr>
        <w:t>l"'l</w:t>
      </w:r>
      <w:r>
        <w:rPr>
          <w:rFonts w:ascii="Arial" w:hAnsi="Arial"/>
          <w:spacing w:val="-17"/>
          <w:sz w:val="19"/>
        </w:rPr>
        <w:t> </w:t>
      </w:r>
      <w:r>
        <w:rPr>
          <w:rFonts w:ascii="Arial" w:hAnsi="Arial"/>
          <w:w w:val="101"/>
          <w:sz w:val="19"/>
        </w:rPr>
        <w:t>-</w:t>
      </w:r>
      <w:r>
        <w:rPr>
          <w:rFonts w:ascii="Arial" w:hAnsi="Arial"/>
          <w:sz w:val="19"/>
        </w:rPr>
        <w:tab/>
      </w:r>
      <w:r>
        <w:rPr>
          <w:rFonts w:ascii="Arial" w:hAnsi="Arial"/>
          <w:spacing w:val="-6"/>
          <w:w w:val="270"/>
          <w:sz w:val="19"/>
        </w:rPr>
        <w:t>[</w:t>
      </w:r>
      <w:r>
        <w:rPr>
          <w:w w:val="122"/>
          <w:sz w:val="20"/>
        </w:rPr>
        <w:t>1</w:t>
      </w:r>
    </w:p>
    <w:p>
      <w:pPr>
        <w:pStyle w:val="BodyText"/>
        <w:spacing w:before="5"/>
        <w:rPr>
          <w:sz w:val="52"/>
        </w:rPr>
      </w:pPr>
      <w:r>
        <w:rPr/>
        <w:br w:type="column"/>
      </w:r>
      <w:r>
        <w:rPr>
          <w:sz w:val="52"/>
        </w:rPr>
      </w:r>
    </w:p>
    <w:p>
      <w:pPr>
        <w:spacing w:line="327" w:lineRule="exact" w:before="0"/>
        <w:ind w:left="113" w:right="0" w:firstLine="0"/>
        <w:jc w:val="left"/>
        <w:rPr>
          <w:rFonts w:ascii="Arial"/>
          <w:sz w:val="25"/>
        </w:rPr>
      </w:pPr>
      <w:r>
        <w:rPr>
          <w:rFonts w:ascii="Arial"/>
          <w:b/>
          <w:spacing w:val="-379"/>
          <w:w w:val="166"/>
          <w:position w:val="-5"/>
          <w:sz w:val="25"/>
        </w:rPr>
        <w:t>2</w:t>
      </w:r>
      <w:r>
        <w:rPr>
          <w:rFonts w:ascii="Arial"/>
          <w:i/>
          <w:spacing w:val="-161"/>
          <w:w w:val="111"/>
          <w:sz w:val="17"/>
        </w:rPr>
        <w:t>m</w:t>
      </w:r>
      <w:r>
        <w:rPr>
          <w:rFonts w:ascii="Arial"/>
          <w:b/>
          <w:spacing w:val="-567"/>
          <w:w w:val="166"/>
          <w:position w:val="-5"/>
          <w:sz w:val="25"/>
        </w:rPr>
        <w:t>m</w:t>
      </w:r>
      <w:r>
        <w:rPr>
          <w:rFonts w:ascii="Arial"/>
          <w:w w:val="301"/>
          <w:sz w:val="17"/>
        </w:rPr>
        <w:t>-</w:t>
      </w:r>
      <w:r>
        <w:rPr>
          <w:rFonts w:ascii="Arial"/>
          <w:sz w:val="17"/>
        </w:rPr>
        <w:t> </w:t>
      </w:r>
      <w:r>
        <w:rPr>
          <w:rFonts w:ascii="Arial"/>
          <w:spacing w:val="-14"/>
          <w:sz w:val="17"/>
        </w:rPr>
        <w:t> </w:t>
      </w:r>
      <w:r>
        <w:rPr>
          <w:spacing w:val="11"/>
          <w:w w:val="129"/>
          <w:sz w:val="20"/>
        </w:rPr>
        <w:t>1</w:t>
      </w:r>
      <w:r>
        <w:rPr>
          <w:i/>
          <w:spacing w:val="21"/>
          <w:w w:val="42"/>
          <w:sz w:val="41"/>
        </w:rPr>
        <w:t>d</w:t>
      </w:r>
      <w:r>
        <w:rPr>
          <w:i/>
          <w:w w:val="49"/>
          <w:sz w:val="41"/>
        </w:rPr>
        <w:t>]</w:t>
      </w:r>
      <w:r>
        <w:rPr>
          <w:i/>
          <w:spacing w:val="-14"/>
          <w:sz w:val="41"/>
        </w:rPr>
        <w:t> </w:t>
      </w:r>
      <w:r>
        <w:rPr>
          <w:rFonts w:ascii="Arial"/>
          <w:w w:val="127"/>
          <w:position w:val="-5"/>
          <w:sz w:val="25"/>
        </w:rPr>
        <w:t>.</w:t>
      </w:r>
    </w:p>
    <w:p>
      <w:pPr>
        <w:spacing w:after="0" w:line="327" w:lineRule="exact"/>
        <w:jc w:val="left"/>
        <w:rPr>
          <w:rFonts w:ascii="Arial"/>
          <w:sz w:val="25"/>
        </w:rPr>
        <w:sectPr>
          <w:type w:val="continuous"/>
          <w:pgSz w:w="7200" w:h="11340"/>
          <w:pgMar w:top="1100" w:bottom="0" w:left="640" w:right="560"/>
          <w:cols w:num="2" w:equalWidth="0">
            <w:col w:w="3810" w:space="40"/>
            <w:col w:w="2150"/>
          </w:cols>
        </w:sectPr>
      </w:pPr>
    </w:p>
    <w:p>
      <w:pPr>
        <w:tabs>
          <w:tab w:pos="3161" w:val="left" w:leader="none"/>
          <w:tab w:pos="3859" w:val="left" w:leader="none"/>
        </w:tabs>
        <w:spacing w:line="144" w:lineRule="exact" w:before="0"/>
        <w:ind w:left="1952" w:right="0" w:firstLine="0"/>
        <w:jc w:val="left"/>
        <w:rPr>
          <w:sz w:val="14"/>
        </w:rPr>
      </w:pPr>
      <w:r>
        <w:rPr>
          <w:rFonts w:ascii="Arial"/>
          <w:b/>
          <w:w w:val="130"/>
          <w:sz w:val="14"/>
        </w:rPr>
        <w:t>2</w:t>
        <w:tab/>
      </w:r>
      <w:r>
        <w:rPr>
          <w:b/>
          <w:i/>
          <w:sz w:val="14"/>
        </w:rPr>
        <w:t>O:r:+t</w:t>
        <w:tab/>
      </w:r>
      <w:r>
        <w:rPr>
          <w:w w:val="370"/>
          <w:sz w:val="14"/>
        </w:rPr>
        <w:t>-</w:t>
      </w:r>
    </w:p>
    <w:p>
      <w:pPr>
        <w:tabs>
          <w:tab w:pos="2931" w:val="left" w:leader="none"/>
        </w:tabs>
        <w:spacing w:before="90"/>
        <w:ind w:left="130" w:right="0" w:firstLine="0"/>
        <w:jc w:val="left"/>
        <w:rPr>
          <w:rFonts w:ascii="Arial" w:hAnsi="Arial"/>
          <w:sz w:val="16"/>
        </w:rPr>
      </w:pPr>
      <w:r>
        <w:rPr/>
        <w:pict>
          <v:rect style="position:absolute;margin-left:161.820007pt;margin-top:26.906261pt;width:12.6pt;height:6.48pt;mso-position-horizontal-relative:page;mso-position-vertical-relative:paragraph;z-index:-725896" filled="true" fillcolor="#000000" stroked="false">
            <v:fill type="solid"/>
            <w10:wrap type="none"/>
          </v:rect>
        </w:pict>
      </w:r>
      <w:r>
        <w:rPr/>
        <w:pict>
          <v:shape style="position:absolute;margin-left:161.639999pt;margin-top:23.437328pt;width:5.8pt;height:12.5pt;mso-position-horizontal-relative:page;mso-position-vertical-relative:paragraph;z-index:-725848" type="#_x0000_t202" filled="false" stroked="false">
            <v:textbox inset="0,0,0,0">
              <w:txbxContent>
                <w:p>
                  <w:pPr>
                    <w:spacing w:line="250" w:lineRule="exact" w:before="0"/>
                    <w:ind w:left="0" w:right="0" w:firstLine="0"/>
                    <w:jc w:val="left"/>
                    <w:rPr>
                      <w:rFonts w:ascii="Arial"/>
                      <w:sz w:val="25"/>
                    </w:rPr>
                  </w:pPr>
                  <w:r>
                    <w:rPr>
                      <w:rFonts w:ascii="Arial"/>
                      <w:w w:val="82"/>
                      <w:sz w:val="25"/>
                    </w:rPr>
                    <w:t>2</w:t>
                  </w:r>
                </w:p>
              </w:txbxContent>
            </v:textbox>
            <w10:wrap type="none"/>
          </v:shape>
        </w:pict>
      </w:r>
      <w:r>
        <w:rPr>
          <w:b/>
          <w:w w:val="100"/>
          <w:sz w:val="21"/>
        </w:rPr>
        <w:t>But</w:t>
      </w:r>
      <w:r>
        <w:rPr>
          <w:b/>
          <w:spacing w:val="6"/>
          <w:sz w:val="21"/>
        </w:rPr>
        <w:t> </w:t>
      </w:r>
      <w:r>
        <w:rPr>
          <w:b/>
          <w:w w:val="101"/>
          <w:sz w:val="21"/>
        </w:rPr>
        <w:t>by</w:t>
      </w:r>
      <w:r>
        <w:rPr>
          <w:b/>
          <w:sz w:val="21"/>
        </w:rPr>
        <w:t> </w:t>
      </w:r>
      <w:r>
        <w:rPr>
          <w:b/>
          <w:spacing w:val="-22"/>
          <w:sz w:val="21"/>
        </w:rPr>
        <w:t> </w:t>
      </w:r>
      <w:r>
        <w:rPr>
          <w:b/>
          <w:w w:val="105"/>
          <w:sz w:val="20"/>
        </w:rPr>
        <w:t>(4.24),</w:t>
      </w:r>
      <w:r>
        <w:rPr>
          <w:b/>
          <w:spacing w:val="18"/>
          <w:sz w:val="20"/>
        </w:rPr>
        <w:t> </w:t>
      </w:r>
      <w:r>
        <w:rPr>
          <w:rFonts w:ascii="Arial" w:hAnsi="Arial"/>
          <w:spacing w:val="-46"/>
          <w:w w:val="125"/>
          <w:sz w:val="25"/>
        </w:rPr>
        <w:t>p</w:t>
      </w:r>
      <w:r>
        <w:rPr>
          <w:rFonts w:ascii="Arial" w:hAnsi="Arial"/>
          <w:w w:val="87"/>
          <w:sz w:val="25"/>
        </w:rPr>
        <w:t>J</w:t>
      </w:r>
      <w:r>
        <w:rPr>
          <w:rFonts w:ascii="Arial" w:hAnsi="Arial"/>
          <w:spacing w:val="2"/>
          <w:w w:val="86"/>
          <w:sz w:val="25"/>
        </w:rPr>
        <w:t>•</w:t>
      </w:r>
      <w:r>
        <w:rPr>
          <w:rFonts w:ascii="Arial" w:hAnsi="Arial"/>
          <w:w w:val="128"/>
          <w:sz w:val="25"/>
        </w:rPr>
        <w:t>l</w:t>
      </w:r>
      <w:r>
        <w:rPr>
          <w:rFonts w:ascii="Arial" w:hAnsi="Arial"/>
          <w:spacing w:val="-26"/>
          <w:sz w:val="25"/>
        </w:rPr>
        <w:t> </w:t>
      </w:r>
      <w:r>
        <w:rPr>
          <w:rFonts w:ascii="Arial" w:hAnsi="Arial"/>
          <w:spacing w:val="-22"/>
          <w:w w:val="180"/>
          <w:sz w:val="25"/>
        </w:rPr>
        <w:t>(</w:t>
      </w:r>
      <w:r>
        <w:rPr>
          <w:b/>
          <w:w w:val="94"/>
          <w:sz w:val="21"/>
        </w:rPr>
        <w:t>1</w:t>
      </w:r>
      <w:r>
        <w:rPr>
          <w:b/>
          <w:sz w:val="21"/>
        </w:rPr>
        <w:t> </w:t>
      </w:r>
      <w:r>
        <w:rPr>
          <w:b/>
          <w:spacing w:val="-24"/>
          <w:sz w:val="21"/>
        </w:rPr>
        <w:t> </w:t>
      </w:r>
      <w:r>
        <w:rPr>
          <w:w w:val="268"/>
          <w:sz w:val="21"/>
        </w:rPr>
        <w:t>-</w:t>
      </w:r>
      <w:r>
        <w:rPr>
          <w:spacing w:val="-18"/>
          <w:sz w:val="21"/>
        </w:rPr>
        <w:t> </w:t>
      </w:r>
      <w:r>
        <w:rPr>
          <w:rFonts w:ascii="Arial" w:hAnsi="Arial"/>
          <w:b/>
          <w:i/>
          <w:w w:val="102"/>
          <w:sz w:val="18"/>
        </w:rPr>
        <w:t>m</w:t>
      </w:r>
      <w:r>
        <w:rPr>
          <w:rFonts w:ascii="Arial" w:hAnsi="Arial"/>
          <w:b/>
          <w:i/>
          <w:sz w:val="18"/>
        </w:rPr>
        <w:tab/>
      </w:r>
      <w:r>
        <w:rPr>
          <w:w w:val="156"/>
          <w:sz w:val="20"/>
        </w:rPr>
        <w:t>l</w:t>
      </w:r>
      <w:r>
        <w:rPr>
          <w:spacing w:val="7"/>
          <w:sz w:val="20"/>
        </w:rPr>
        <w:t> </w:t>
      </w:r>
      <w:r>
        <w:rPr>
          <w:i/>
          <w:spacing w:val="14"/>
          <w:w w:val="36"/>
          <w:sz w:val="48"/>
        </w:rPr>
        <w:t>d</w:t>
      </w:r>
      <w:r>
        <w:rPr>
          <w:i/>
          <w:w w:val="61"/>
          <w:sz w:val="48"/>
        </w:rPr>
        <w:t>)</w:t>
      </w:r>
      <w:r>
        <w:rPr>
          <w:i/>
          <w:spacing w:val="-11"/>
          <w:sz w:val="48"/>
        </w:rPr>
        <w:t> </w:t>
      </w:r>
      <w:r>
        <w:rPr>
          <w:rFonts w:ascii="Arial" w:hAnsi="Arial"/>
          <w:w w:val="103"/>
          <w:sz w:val="18"/>
        </w:rPr>
        <w:t>=;</w:t>
      </w:r>
      <w:r>
        <w:rPr>
          <w:rFonts w:ascii="Arial" w:hAnsi="Arial"/>
          <w:sz w:val="18"/>
        </w:rPr>
        <w:t> </w:t>
      </w:r>
      <w:r>
        <w:rPr>
          <w:rFonts w:ascii="Arial" w:hAnsi="Arial"/>
          <w:spacing w:val="-17"/>
          <w:sz w:val="18"/>
        </w:rPr>
        <w:t> </w:t>
      </w:r>
      <w:r>
        <w:rPr>
          <w:b/>
          <w:w w:val="110"/>
          <w:sz w:val="21"/>
        </w:rPr>
        <w:t>P,</w:t>
      </w:r>
      <w:r>
        <w:rPr>
          <w:b/>
          <w:w w:val="110"/>
          <w:sz w:val="21"/>
        </w:rPr>
        <w:t>(</w:t>
      </w:r>
      <w:r>
        <w:rPr>
          <w:b/>
          <w:spacing w:val="-14"/>
          <w:sz w:val="21"/>
        </w:rPr>
        <w:t> </w:t>
      </w:r>
      <w:r>
        <w:rPr>
          <w:b/>
          <w:w w:val="86"/>
          <w:sz w:val="21"/>
        </w:rPr>
        <w:t>I</w:t>
      </w:r>
      <w:r>
        <w:rPr>
          <w:b/>
          <w:sz w:val="21"/>
        </w:rPr>
        <w:t> </w:t>
      </w:r>
      <w:r>
        <w:rPr>
          <w:b/>
          <w:spacing w:val="-18"/>
          <w:sz w:val="21"/>
        </w:rPr>
        <w:t> </w:t>
      </w:r>
      <w:r>
        <w:rPr>
          <w:rFonts w:ascii="Arial" w:hAnsi="Arial"/>
          <w:spacing w:val="-29"/>
          <w:w w:val="110"/>
          <w:sz w:val="31"/>
        </w:rPr>
        <w:t>+</w:t>
      </w:r>
      <w:r>
        <w:rPr>
          <w:rFonts w:ascii="Arial" w:hAnsi="Arial"/>
          <w:spacing w:val="-187"/>
          <w:w w:val="288"/>
          <w:sz w:val="25"/>
        </w:rPr>
        <w:t>!</w:t>
      </w:r>
      <w:r>
        <w:rPr>
          <w:rFonts w:ascii="Arial" w:hAnsi="Arial"/>
          <w:spacing w:val="-42"/>
          <w:w w:val="102"/>
          <w:sz w:val="25"/>
        </w:rPr>
        <w:t>P</w:t>
      </w:r>
      <w:r>
        <w:rPr>
          <w:rFonts w:ascii="Arial" w:hAnsi="Arial"/>
          <w:w w:val="77"/>
          <w:sz w:val="25"/>
        </w:rPr>
        <w:t>J</w:t>
      </w:r>
      <w:r>
        <w:rPr>
          <w:rFonts w:ascii="Arial" w:hAnsi="Arial"/>
          <w:spacing w:val="6"/>
          <w:w w:val="77"/>
          <w:sz w:val="25"/>
        </w:rPr>
        <w:t>*</w:t>
      </w:r>
      <w:r>
        <w:rPr>
          <w:rFonts w:ascii="Arial" w:hAnsi="Arial"/>
          <w:w w:val="65"/>
          <w:position w:val="7"/>
          <w:sz w:val="16"/>
        </w:rPr>
        <w:t>1</w:t>
      </w:r>
      <w:r>
        <w:rPr>
          <w:rFonts w:ascii="Arial" w:hAnsi="Arial"/>
          <w:spacing w:val="-32"/>
          <w:position w:val="7"/>
          <w:sz w:val="16"/>
        </w:rPr>
        <w:t> </w:t>
      </w:r>
      <w:r>
        <w:rPr>
          <w:rFonts w:ascii="Arial" w:hAnsi="Arial"/>
          <w:w w:val="133"/>
          <w:sz w:val="16"/>
        </w:rPr>
        <w:t>)</w:t>
      </w:r>
      <w:r>
        <w:rPr>
          <w:rFonts w:ascii="Arial" w:hAnsi="Arial"/>
          <w:w w:val="133"/>
          <w:sz w:val="16"/>
        </w:rPr>
        <w:t>.</w:t>
      </w:r>
    </w:p>
    <w:p>
      <w:pPr>
        <w:spacing w:line="376" w:lineRule="exact" w:before="65"/>
        <w:ind w:left="821" w:right="0" w:firstLine="0"/>
        <w:jc w:val="left"/>
        <w:rPr>
          <w:i/>
          <w:sz w:val="22"/>
        </w:rPr>
      </w:pPr>
      <w:r>
        <w:rPr>
          <w:rFonts w:ascii="Arial"/>
          <w:i/>
          <w:w w:val="124"/>
          <w:sz w:val="22"/>
        </w:rPr>
        <w:t>:.</w:t>
      </w:r>
      <w:r>
        <w:rPr>
          <w:rFonts w:ascii="Arial"/>
          <w:i/>
          <w:spacing w:val="13"/>
          <w:sz w:val="22"/>
        </w:rPr>
        <w:t> </w:t>
      </w:r>
      <w:r>
        <w:rPr>
          <w:rFonts w:ascii="Arial"/>
          <w:spacing w:val="-28"/>
          <w:w w:val="151"/>
          <w:sz w:val="22"/>
        </w:rPr>
        <w:t>,</w:t>
      </w:r>
      <w:r>
        <w:rPr>
          <w:rFonts w:ascii="Arial"/>
          <w:w w:val="76"/>
          <w:sz w:val="22"/>
        </w:rPr>
        <w:t>V</w:t>
      </w:r>
      <w:r>
        <w:rPr>
          <w:rFonts w:ascii="Arial"/>
          <w:spacing w:val="-4"/>
          <w:w w:val="76"/>
          <w:sz w:val="22"/>
        </w:rPr>
        <w:t>J</w:t>
      </w:r>
      <w:r>
        <w:rPr>
          <w:rFonts w:ascii="Arial"/>
          <w:w w:val="114"/>
          <w:sz w:val="22"/>
        </w:rPr>
        <w:t>.</w:t>
      </w:r>
      <w:r>
        <w:rPr>
          <w:rFonts w:ascii="Arial"/>
          <w:spacing w:val="-25"/>
          <w:w w:val="114"/>
          <w:sz w:val="22"/>
        </w:rPr>
        <w:t>.</w:t>
      </w:r>
      <w:r>
        <w:rPr>
          <w:w w:val="62"/>
          <w:sz w:val="17"/>
        </w:rPr>
        <w:t>l</w:t>
      </w:r>
      <w:r>
        <w:rPr>
          <w:sz w:val="17"/>
        </w:rPr>
        <w:t>  </w:t>
      </w:r>
      <w:r>
        <w:rPr>
          <w:spacing w:val="-21"/>
          <w:sz w:val="17"/>
        </w:rPr>
        <w:t> </w:t>
      </w:r>
      <w:r>
        <w:rPr>
          <w:rFonts w:ascii="Arial"/>
          <w:w w:val="93"/>
          <w:sz w:val="20"/>
        </w:rPr>
        <w:t>=;</w:t>
      </w:r>
      <w:r>
        <w:rPr>
          <w:rFonts w:ascii="Arial"/>
          <w:spacing w:val="20"/>
          <w:sz w:val="20"/>
        </w:rPr>
        <w:t> </w:t>
      </w:r>
      <w:r>
        <w:rPr>
          <w:b/>
          <w:i/>
          <w:w w:val="107"/>
          <w:sz w:val="23"/>
        </w:rPr>
        <w:t>A*</w:t>
      </w:r>
      <w:r>
        <w:rPr>
          <w:b/>
          <w:i/>
          <w:spacing w:val="-9"/>
          <w:sz w:val="23"/>
        </w:rPr>
        <w:t> </w:t>
      </w:r>
      <w:r>
        <w:rPr>
          <w:b/>
          <w:i/>
          <w:w w:val="96"/>
          <w:sz w:val="23"/>
        </w:rPr>
        <w:t>'</w:t>
      </w:r>
      <w:r>
        <w:rPr>
          <w:b/>
          <w:i/>
          <w:spacing w:val="-5"/>
          <w:sz w:val="23"/>
        </w:rPr>
        <w:t> </w:t>
      </w:r>
      <w:r>
        <w:rPr>
          <w:rFonts w:ascii="Arial"/>
          <w:b/>
          <w:w w:val="102"/>
          <w:sz w:val="20"/>
        </w:rPr>
        <w:t>[1</w:t>
      </w:r>
      <w:r>
        <w:rPr>
          <w:rFonts w:ascii="Arial"/>
          <w:b/>
          <w:spacing w:val="-12"/>
          <w:sz w:val="20"/>
        </w:rPr>
        <w:t> </w:t>
      </w:r>
      <w:r>
        <w:rPr>
          <w:rFonts w:ascii="Arial"/>
          <w:spacing w:val="-125"/>
          <w:w w:val="103"/>
          <w:sz w:val="33"/>
        </w:rPr>
        <w:t>+</w:t>
      </w:r>
      <w:r>
        <w:rPr>
          <w:rFonts w:ascii="Arial"/>
          <w:spacing w:val="-303"/>
          <w:w w:val="341"/>
          <w:sz w:val="22"/>
        </w:rPr>
        <w:t>!</w:t>
      </w:r>
      <w:r>
        <w:rPr>
          <w:rFonts w:ascii="Arial"/>
          <w:w w:val="111"/>
          <w:sz w:val="22"/>
        </w:rPr>
        <w:t>P</w:t>
      </w:r>
      <w:r>
        <w:rPr>
          <w:rFonts w:ascii="Arial"/>
          <w:spacing w:val="-31"/>
          <w:sz w:val="22"/>
        </w:rPr>
        <w:t> </w:t>
      </w:r>
      <w:r>
        <w:rPr>
          <w:rFonts w:ascii="Arial"/>
          <w:w w:val="95"/>
          <w:sz w:val="22"/>
        </w:rPr>
        <w:t>"'</w:t>
      </w:r>
      <w:r>
        <w:rPr>
          <w:spacing w:val="-4"/>
          <w:w w:val="63"/>
          <w:position w:val="7"/>
          <w:sz w:val="17"/>
        </w:rPr>
        <w:t>1</w:t>
      </w:r>
      <w:r>
        <w:rPr>
          <w:w w:val="115"/>
          <w:sz w:val="17"/>
        </w:rPr>
        <w:t>]</w:t>
      </w:r>
      <w:r>
        <w:rPr>
          <w:sz w:val="17"/>
        </w:rPr>
        <w:t>  </w:t>
      </w:r>
      <w:r>
        <w:rPr>
          <w:w w:val="323"/>
          <w:sz w:val="17"/>
        </w:rPr>
        <w:t>-</w:t>
      </w:r>
      <w:r>
        <w:rPr>
          <w:spacing w:val="15"/>
          <w:sz w:val="17"/>
        </w:rPr>
        <w:t> </w:t>
      </w:r>
      <w:r>
        <w:rPr>
          <w:rFonts w:ascii="Arial"/>
          <w:i/>
          <w:w w:val="91"/>
          <w:sz w:val="19"/>
        </w:rPr>
        <w:t>Pz</w:t>
      </w:r>
      <w:r>
        <w:rPr>
          <w:rFonts w:ascii="Arial"/>
          <w:i/>
          <w:w w:val="91"/>
          <w:sz w:val="19"/>
        </w:rPr>
        <w:t>(</w:t>
      </w:r>
      <w:r>
        <w:rPr>
          <w:rFonts w:ascii="Arial"/>
          <w:i/>
          <w:spacing w:val="5"/>
          <w:sz w:val="19"/>
        </w:rPr>
        <w:t> </w:t>
      </w:r>
      <w:r>
        <w:rPr>
          <w:w w:val="129"/>
          <w:sz w:val="20"/>
        </w:rPr>
        <w:t>1</w:t>
      </w:r>
      <w:r>
        <w:rPr>
          <w:spacing w:val="-17"/>
          <w:sz w:val="20"/>
        </w:rPr>
        <w:t> </w:t>
      </w:r>
      <w:r>
        <w:rPr>
          <w:rFonts w:ascii="Arial"/>
          <w:w w:val="107"/>
          <w:sz w:val="31"/>
        </w:rPr>
        <w:t>+</w:t>
      </w:r>
      <w:r>
        <w:rPr>
          <w:rFonts w:ascii="Arial"/>
          <w:spacing w:val="-26"/>
          <w:sz w:val="31"/>
        </w:rPr>
        <w:t> </w:t>
      </w:r>
      <w:r>
        <w:rPr>
          <w:rFonts w:ascii="Arial"/>
          <w:w w:val="114"/>
          <w:sz w:val="22"/>
        </w:rPr>
        <w:t>}</w:t>
      </w:r>
      <w:r>
        <w:rPr>
          <w:rFonts w:ascii="Arial"/>
          <w:spacing w:val="-23"/>
          <w:w w:val="114"/>
          <w:sz w:val="22"/>
        </w:rPr>
        <w:t>P</w:t>
      </w:r>
      <w:r>
        <w:rPr>
          <w:rFonts w:ascii="Arial"/>
          <w:w w:val="74"/>
          <w:sz w:val="22"/>
        </w:rPr>
        <w:t>J"</w:t>
      </w:r>
      <w:r>
        <w:rPr>
          <w:rFonts w:ascii="Arial"/>
          <w:spacing w:val="11"/>
          <w:w w:val="74"/>
          <w:sz w:val="22"/>
        </w:rPr>
        <w:t>'</w:t>
      </w:r>
      <w:r>
        <w:rPr>
          <w:w w:val="55"/>
          <w:position w:val="7"/>
          <w:sz w:val="17"/>
        </w:rPr>
        <w:t>1</w:t>
      </w:r>
      <w:r>
        <w:rPr>
          <w:spacing w:val="-21"/>
          <w:position w:val="7"/>
          <w:sz w:val="17"/>
        </w:rPr>
        <w:t> </w:t>
      </w:r>
      <w:r>
        <w:rPr>
          <w:i/>
          <w:w w:val="83"/>
          <w:sz w:val="22"/>
        </w:rPr>
        <w:t>)</w:t>
      </w:r>
      <w:r>
        <w:rPr>
          <w:i/>
          <w:spacing w:val="26"/>
          <w:w w:val="83"/>
          <w:sz w:val="22"/>
        </w:rPr>
        <w:t>a</w:t>
      </w:r>
      <w:r>
        <w:rPr>
          <w:i/>
          <w:w w:val="195"/>
          <w:sz w:val="22"/>
        </w:rPr>
        <w:t>*,</w:t>
      </w:r>
    </w:p>
    <w:p>
      <w:pPr>
        <w:spacing w:line="353" w:lineRule="exact" w:before="0"/>
        <w:ind w:left="1563" w:right="0" w:firstLine="0"/>
        <w:jc w:val="left"/>
        <w:rPr>
          <w:rFonts w:ascii="Arial"/>
          <w:sz w:val="14"/>
        </w:rPr>
      </w:pPr>
      <w:r>
        <w:rPr>
          <w:w w:val="101"/>
          <w:sz w:val="23"/>
        </w:rPr>
        <w:t>=</w:t>
      </w:r>
      <w:r>
        <w:rPr>
          <w:sz w:val="23"/>
        </w:rPr>
        <w:t> </w:t>
      </w:r>
      <w:r>
        <w:rPr>
          <w:spacing w:val="-10"/>
          <w:sz w:val="23"/>
        </w:rPr>
        <w:t> </w:t>
      </w:r>
      <w:r>
        <w:rPr>
          <w:spacing w:val="4"/>
          <w:w w:val="105"/>
          <w:sz w:val="23"/>
        </w:rPr>
        <w:t>,</w:t>
      </w:r>
      <w:r>
        <w:rPr>
          <w:i/>
          <w:spacing w:val="-1"/>
          <w:w w:val="106"/>
          <w:sz w:val="21"/>
        </w:rPr>
        <w:t>V</w:t>
      </w:r>
      <w:r>
        <w:rPr>
          <w:i/>
          <w:w w:val="74"/>
          <w:sz w:val="21"/>
        </w:rPr>
        <w:t>z</w:t>
      </w:r>
      <w:r>
        <w:rPr>
          <w:i/>
          <w:sz w:val="21"/>
        </w:rPr>
        <w:t> </w:t>
      </w:r>
      <w:r>
        <w:rPr>
          <w:i/>
          <w:spacing w:val="-23"/>
          <w:sz w:val="21"/>
        </w:rPr>
        <w:t> </w:t>
      </w:r>
      <w:r>
        <w:rPr>
          <w:rFonts w:ascii="Arial"/>
          <w:w w:val="109"/>
          <w:sz w:val="20"/>
        </w:rPr>
        <w:t>[1</w:t>
      </w:r>
      <w:r>
        <w:rPr>
          <w:rFonts w:ascii="Arial"/>
          <w:spacing w:val="-16"/>
          <w:sz w:val="20"/>
        </w:rPr>
        <w:t> </w:t>
      </w:r>
      <w:r>
        <w:rPr>
          <w:rFonts w:ascii="Arial"/>
          <w:w w:val="107"/>
          <w:sz w:val="31"/>
        </w:rPr>
        <w:t>+</w:t>
      </w:r>
      <w:r>
        <w:rPr>
          <w:rFonts w:ascii="Arial"/>
          <w:spacing w:val="-30"/>
          <w:sz w:val="31"/>
        </w:rPr>
        <w:t> </w:t>
      </w:r>
      <w:r>
        <w:rPr>
          <w:rFonts w:ascii="Arial"/>
          <w:w w:val="116"/>
          <w:sz w:val="22"/>
        </w:rPr>
        <w:t>}</w:t>
      </w:r>
      <w:r>
        <w:rPr>
          <w:rFonts w:ascii="Arial"/>
          <w:spacing w:val="-27"/>
          <w:w w:val="116"/>
          <w:sz w:val="22"/>
        </w:rPr>
        <w:t>P</w:t>
      </w:r>
      <w:r>
        <w:rPr>
          <w:rFonts w:ascii="Arial"/>
          <w:w w:val="78"/>
          <w:sz w:val="22"/>
        </w:rPr>
        <w:t>J"</w:t>
      </w:r>
      <w:r>
        <w:rPr>
          <w:rFonts w:ascii="Arial"/>
          <w:spacing w:val="5"/>
          <w:w w:val="78"/>
          <w:sz w:val="22"/>
        </w:rPr>
        <w:t>'</w:t>
      </w:r>
      <w:r>
        <w:rPr>
          <w:rFonts w:ascii="Arial"/>
          <w:spacing w:val="3"/>
          <w:w w:val="55"/>
          <w:position w:val="7"/>
          <w:sz w:val="14"/>
        </w:rPr>
        <w:t>1</w:t>
      </w:r>
      <w:r>
        <w:rPr>
          <w:rFonts w:ascii="Arial"/>
          <w:w w:val="134"/>
          <w:sz w:val="14"/>
        </w:rPr>
        <w:t>].</w:t>
      </w:r>
    </w:p>
    <w:p>
      <w:pPr>
        <w:pStyle w:val="BodyText"/>
        <w:spacing w:line="247" w:lineRule="auto" w:before="107"/>
        <w:ind w:left="119" w:right="129" w:firstLine="208"/>
        <w:jc w:val="both"/>
      </w:pPr>
      <w:r>
        <w:rPr>
          <w:w w:val="105"/>
        </w:rPr>
        <w:t>For other forms of insurance, the added reserve which is re­ quired in the case of </w:t>
      </w:r>
      <w:r>
        <w:rPr>
          <w:i/>
          <w:w w:val="105"/>
          <w:sz w:val="19"/>
        </w:rPr>
        <w:t>true f ractional </w:t>
      </w:r>
      <w:r>
        <w:rPr>
          <w:w w:val="105"/>
        </w:rPr>
        <w:t>and </w:t>
      </w:r>
      <w:r>
        <w:rPr>
          <w:i/>
          <w:w w:val="105"/>
          <w:sz w:val="19"/>
        </w:rPr>
        <w:t>ap portionable </w:t>
      </w:r>
      <w:r>
        <w:rPr>
          <w:w w:val="105"/>
        </w:rPr>
        <w:t>premiums is on a term insurance basis, since the loss of premium </w:t>
      </w:r>
      <w:r>
        <w:rPr>
          <w:w w:val="105"/>
          <w:sz w:val="21"/>
        </w:rPr>
        <w:t>will </w:t>
      </w:r>
      <w:r>
        <w:rPr>
          <w:w w:val="105"/>
        </w:rPr>
        <w:t>only be sustained during  the  premium-paying  period.  This  is  illustratcd in the following formulas:</w:t>
      </w:r>
    </w:p>
    <w:p>
      <w:pPr>
        <w:pStyle w:val="BodyText"/>
        <w:spacing w:before="5"/>
        <w:rPr>
          <w:sz w:val="12"/>
        </w:rPr>
      </w:pPr>
    </w:p>
    <w:p>
      <w:pPr>
        <w:spacing w:after="0"/>
        <w:rPr>
          <w:sz w:val="12"/>
        </w:rPr>
        <w:sectPr>
          <w:type w:val="continuous"/>
          <w:pgSz w:w="7200" w:h="11340"/>
          <w:pgMar w:top="1100" w:bottom="0" w:left="640" w:right="560"/>
        </w:sectPr>
      </w:pPr>
    </w:p>
    <w:p>
      <w:pPr>
        <w:spacing w:line="94" w:lineRule="exact" w:before="87"/>
        <w:ind w:left="0" w:right="35" w:firstLine="0"/>
        <w:jc w:val="right"/>
        <w:rPr>
          <w:rFonts w:ascii="Arial"/>
          <w:b/>
          <w:i/>
          <w:sz w:val="10"/>
        </w:rPr>
      </w:pPr>
      <w:r>
        <w:rPr/>
        <w:pict>
          <v:shape style="position:absolute;margin-left:80.279999pt;margin-top:6.516789pt;width:6.1pt;height:10pt;mso-position-horizontal-relative:page;mso-position-vertical-relative:paragraph;z-index:-725824" type="#_x0000_t202" filled="false" stroked="false">
            <v:textbox inset="0,0,0,0">
              <w:txbxContent>
                <w:p>
                  <w:pPr>
                    <w:spacing w:line="200" w:lineRule="exact" w:before="0"/>
                    <w:ind w:left="0" w:right="0" w:firstLine="0"/>
                    <w:jc w:val="left"/>
                    <w:rPr>
                      <w:rFonts w:ascii="Arial"/>
                      <w:b/>
                      <w:i/>
                      <w:sz w:val="20"/>
                    </w:rPr>
                  </w:pPr>
                  <w:r>
                    <w:rPr>
                      <w:rFonts w:ascii="Arial"/>
                      <w:b/>
                      <w:i/>
                      <w:w w:val="90"/>
                      <w:sz w:val="20"/>
                    </w:rPr>
                    <w:t>V</w:t>
                  </w:r>
                </w:p>
              </w:txbxContent>
            </v:textbox>
            <w10:wrap type="none"/>
          </v:shape>
        </w:pict>
      </w:r>
      <w:r>
        <w:rPr>
          <w:rFonts w:ascii="Arial"/>
          <w:b/>
          <w:i/>
          <w:w w:val="105"/>
          <w:sz w:val="10"/>
        </w:rPr>
        <w:t>(m)</w:t>
      </w:r>
    </w:p>
    <w:p>
      <w:pPr>
        <w:spacing w:line="186" w:lineRule="exact" w:before="0"/>
        <w:ind w:left="0" w:right="0" w:firstLine="0"/>
        <w:jc w:val="right"/>
        <w:rPr>
          <w:sz w:val="18"/>
        </w:rPr>
      </w:pPr>
      <w:r>
        <w:rPr>
          <w:i/>
          <w:sz w:val="13"/>
        </w:rPr>
        <w:t>t    </w:t>
      </w:r>
      <w:r>
        <w:rPr>
          <w:sz w:val="18"/>
        </w:rPr>
        <w:t>z:nl</w:t>
      </w:r>
    </w:p>
    <w:p>
      <w:pPr>
        <w:pStyle w:val="BodyText"/>
        <w:ind w:left="293"/>
      </w:pPr>
      <w:r>
        <w:rPr/>
        <w:br w:type="column"/>
      </w:r>
      <w:r>
        <w:rPr/>
        <w:drawing>
          <wp:inline distT="0" distB="0" distL="0" distR="0">
            <wp:extent cx="1536192" cy="265175"/>
            <wp:effectExtent l="0" t="0" r="0" b="0"/>
            <wp:docPr id="253" name="image131.png" descr=""/>
            <wp:cNvGraphicFramePr>
              <a:graphicFrameLocks noChangeAspect="1"/>
            </wp:cNvGraphicFramePr>
            <a:graphic>
              <a:graphicData uri="http://schemas.openxmlformats.org/drawingml/2006/picture">
                <pic:pic>
                  <pic:nvPicPr>
                    <pic:cNvPr id="254" name="image131.png"/>
                    <pic:cNvPicPr/>
                  </pic:nvPicPr>
                  <pic:blipFill>
                    <a:blip r:embed="rId135" cstate="print"/>
                    <a:stretch>
                      <a:fillRect/>
                    </a:stretch>
                  </pic:blipFill>
                  <pic:spPr>
                    <a:xfrm>
                      <a:off x="0" y="0"/>
                      <a:ext cx="1536192" cy="265175"/>
                    </a:xfrm>
                    <a:prstGeom prst="rect">
                      <a:avLst/>
                    </a:prstGeom>
                  </pic:spPr>
                </pic:pic>
              </a:graphicData>
            </a:graphic>
          </wp:inline>
        </w:drawing>
      </w:r>
      <w:r>
        <w:rPr/>
      </w:r>
    </w:p>
    <w:p>
      <w:pPr>
        <w:tabs>
          <w:tab w:pos="963" w:val="left" w:leader="none"/>
          <w:tab w:pos="1629" w:val="left" w:leader="none"/>
          <w:tab w:pos="2572" w:val="left" w:leader="none"/>
          <w:tab w:pos="3209" w:val="left" w:leader="none"/>
        </w:tabs>
        <w:spacing w:before="168"/>
        <w:ind w:left="358" w:right="0" w:firstLine="0"/>
        <w:jc w:val="left"/>
        <w:rPr>
          <w:i/>
          <w:sz w:val="20"/>
        </w:rPr>
      </w:pPr>
      <w:r>
        <w:rPr/>
        <w:pict>
          <v:shape style="position:absolute;margin-left:117.18pt;margin-top:2.981221pt;width:83.05pt;height:15pt;mso-position-horizontal-relative:page;mso-position-vertical-relative:paragraph;z-index:-725800" type="#_x0000_t202" filled="false" stroked="false">
            <v:textbox inset="0,0,0,0">
              <w:txbxContent>
                <w:p>
                  <w:pPr>
                    <w:spacing w:line="300" w:lineRule="exact" w:before="0"/>
                    <w:ind w:left="0" w:right="0" w:firstLine="0"/>
                    <w:jc w:val="left"/>
                    <w:rPr>
                      <w:rFonts w:ascii="Arial" w:hAnsi="Arial"/>
                      <w:sz w:val="11"/>
                    </w:rPr>
                  </w:pPr>
                  <w:r>
                    <w:rPr>
                      <w:i/>
                      <w:sz w:val="21"/>
                    </w:rPr>
                    <w:t>n </w:t>
                  </w:r>
                  <w:r>
                    <w:rPr>
                      <w:i/>
                      <w:w w:val="125"/>
                      <w:sz w:val="21"/>
                    </w:rPr>
                    <w:t>y  </w:t>
                  </w:r>
                  <w:r>
                    <w:rPr>
                      <w:rFonts w:ascii="Arial" w:hAnsi="Arial"/>
                      <w:w w:val="125"/>
                      <w:sz w:val="30"/>
                    </w:rPr>
                    <w:t>+ </w:t>
                  </w:r>
                  <w:r>
                    <w:rPr>
                      <w:rFonts w:ascii="Arial" w:hAnsi="Arial"/>
                      <w:w w:val="415"/>
                      <w:sz w:val="11"/>
                    </w:rPr>
                    <w:t>l </w:t>
                  </w:r>
                  <w:r>
                    <w:rPr>
                      <w:rFonts w:ascii="Arial" w:hAnsi="Arial"/>
                      <w:w w:val="150"/>
                      <w:sz w:val="19"/>
                    </w:rPr>
                    <w:t>pf•l </w:t>
                  </w:r>
                  <w:r>
                    <w:rPr>
                      <w:rFonts w:ascii="Arial" w:hAnsi="Arial"/>
                      <w:w w:val="245"/>
                      <w:sz w:val="11"/>
                    </w:rPr>
                    <w:t>vl</w:t>
                  </w:r>
                </w:p>
              </w:txbxContent>
            </v:textbox>
            <w10:wrap type="none"/>
          </v:shape>
        </w:pict>
      </w:r>
      <w:r>
        <w:rPr>
          <w:rFonts w:ascii="Arial"/>
          <w:b/>
          <w:sz w:val="10"/>
        </w:rPr>
        <w:t>1   </w:t>
      </w:r>
      <w:r>
        <w:rPr>
          <w:rFonts w:ascii="Arial"/>
          <w:b/>
          <w:spacing w:val="19"/>
          <w:sz w:val="10"/>
        </w:rPr>
        <w:t> </w:t>
      </w:r>
      <w:r>
        <w:rPr>
          <w:rFonts w:ascii="Arial"/>
          <w:w w:val="90"/>
          <w:sz w:val="11"/>
        </w:rPr>
        <w:t>:z:</w:t>
        <w:tab/>
      </w:r>
      <w:r>
        <w:rPr>
          <w:rFonts w:ascii="Arial"/>
          <w:sz w:val="13"/>
        </w:rPr>
        <w:t>2  </w:t>
      </w:r>
      <w:r>
        <w:rPr>
          <w:rFonts w:ascii="Arial"/>
          <w:i/>
          <w:w w:val="140"/>
          <w:sz w:val="10"/>
        </w:rPr>
        <w:t>'</w:t>
      </w:r>
      <w:r>
        <w:rPr>
          <w:rFonts w:ascii="Arial"/>
          <w:i/>
          <w:spacing w:val="-26"/>
          <w:w w:val="140"/>
          <w:sz w:val="10"/>
        </w:rPr>
        <w:t> </w:t>
      </w:r>
      <w:r>
        <w:rPr>
          <w:rFonts w:ascii="Arial"/>
          <w:i/>
          <w:w w:val="140"/>
          <w:sz w:val="10"/>
        </w:rPr>
        <w:t>n  </w:t>
      </w:r>
      <w:r>
        <w:rPr>
          <w:rFonts w:ascii="Arial"/>
          <w:i/>
          <w:spacing w:val="23"/>
          <w:w w:val="140"/>
          <w:sz w:val="10"/>
        </w:rPr>
        <w:t> </w:t>
      </w:r>
      <w:r>
        <w:rPr>
          <w:rFonts w:ascii="Arial"/>
          <w:b/>
          <w:i/>
          <w:sz w:val="11"/>
        </w:rPr>
        <w:t>z</w:t>
        <w:tab/>
      </w:r>
      <w:r>
        <w:rPr>
          <w:rFonts w:ascii="Arial"/>
          <w:w w:val="195"/>
          <w:sz w:val="11"/>
        </w:rPr>
        <w:t>'</w:t>
      </w:r>
      <w:r>
        <w:rPr>
          <w:rFonts w:ascii="Arial"/>
          <w:spacing w:val="-29"/>
          <w:w w:val="195"/>
          <w:sz w:val="11"/>
        </w:rPr>
        <w:t> </w:t>
      </w:r>
      <w:r>
        <w:rPr>
          <w:i/>
          <w:sz w:val="12"/>
        </w:rPr>
        <w:t>t   </w:t>
      </w:r>
      <w:r>
        <w:rPr>
          <w:i/>
          <w:spacing w:val="20"/>
          <w:sz w:val="12"/>
        </w:rPr>
        <w:t> </w:t>
      </w:r>
      <w:r>
        <w:rPr>
          <w:sz w:val="13"/>
        </w:rPr>
        <w:t>z:</w:t>
      </w:r>
      <w:r>
        <w:rPr>
          <w:rFonts w:ascii="Arial"/>
          <w:sz w:val="18"/>
        </w:rPr>
        <w:t>;-J</w:t>
        <w:tab/>
      </w:r>
      <w:r>
        <w:rPr>
          <w:position w:val="2"/>
          <w:sz w:val="20"/>
        </w:rPr>
        <w:t>for</w:t>
        <w:tab/>
      </w:r>
      <w:r>
        <w:rPr>
          <w:i/>
          <w:position w:val="1"/>
          <w:sz w:val="20"/>
        </w:rPr>
        <w:t>l  &lt; </w:t>
      </w:r>
      <w:r>
        <w:rPr>
          <w:i/>
          <w:spacing w:val="4"/>
          <w:position w:val="1"/>
          <w:sz w:val="20"/>
        </w:rPr>
        <w:t> </w:t>
      </w:r>
      <w:r>
        <w:rPr>
          <w:i/>
          <w:position w:val="1"/>
          <w:sz w:val="20"/>
        </w:rPr>
        <w:t>n</w:t>
      </w:r>
    </w:p>
    <w:p>
      <w:pPr>
        <w:spacing w:after="0"/>
        <w:jc w:val="left"/>
        <w:rPr>
          <w:sz w:val="20"/>
        </w:rPr>
        <w:sectPr>
          <w:type w:val="continuous"/>
          <w:pgSz w:w="7200" w:h="11340"/>
          <w:pgMar w:top="1100" w:bottom="0" w:left="640" w:right="560"/>
          <w:cols w:num="2" w:equalWidth="0">
            <w:col w:w="1345" w:space="40"/>
            <w:col w:w="4615"/>
          </w:cols>
        </w:sectPr>
      </w:pPr>
    </w:p>
    <w:p>
      <w:pPr>
        <w:tabs>
          <w:tab w:pos="2416" w:val="left" w:leader="none"/>
          <w:tab w:pos="3057" w:val="left" w:leader="none"/>
          <w:tab w:pos="3435" w:val="left" w:leader="none"/>
        </w:tabs>
        <w:spacing w:before="151"/>
        <w:ind w:left="123" w:right="0" w:firstLine="0"/>
        <w:jc w:val="left"/>
        <w:rPr>
          <w:i/>
          <w:sz w:val="21"/>
        </w:rPr>
      </w:pPr>
      <w:r>
        <w:rPr>
          <w:spacing w:val="-10"/>
          <w:w w:val="110"/>
          <w:sz w:val="19"/>
        </w:rPr>
        <w:t>:rnd</w:t>
        <w:tab/>
      </w:r>
      <w:r>
        <w:rPr>
          <w:w w:val="110"/>
          <w:sz w:val="20"/>
        </w:rPr>
        <w:t>for</w:t>
        <w:tab/>
      </w:r>
      <w:r>
        <w:rPr>
          <w:rFonts w:ascii="Arial"/>
          <w:i/>
          <w:w w:val="110"/>
          <w:sz w:val="17"/>
        </w:rPr>
        <w:t>t</w:t>
        <w:tab/>
      </w:r>
      <w:r>
        <w:rPr>
          <w:i/>
          <w:w w:val="110"/>
          <w:sz w:val="21"/>
        </w:rPr>
        <w:t>n.</w:t>
      </w:r>
    </w:p>
    <w:p>
      <w:pPr>
        <w:pStyle w:val="BodyText"/>
        <w:spacing w:before="7"/>
        <w:rPr>
          <w:i/>
          <w:sz w:val="17"/>
        </w:rPr>
      </w:pPr>
    </w:p>
    <w:p>
      <w:pPr>
        <w:spacing w:before="1"/>
        <w:ind w:left="130" w:right="0" w:firstLine="0"/>
        <w:jc w:val="left"/>
        <w:rPr>
          <w:b/>
          <w:sz w:val="19"/>
        </w:rPr>
      </w:pPr>
      <w:r>
        <w:rPr>
          <w:w w:val="120"/>
          <w:sz w:val="20"/>
        </w:rPr>
        <w:t>7. </w:t>
      </w:r>
      <w:r>
        <w:rPr>
          <w:b/>
          <w:w w:val="120"/>
          <w:sz w:val="19"/>
        </w:rPr>
        <w:t>Reserves at fractional durations</w:t>
      </w:r>
    </w:p>
    <w:p>
      <w:pPr>
        <w:pStyle w:val="BodyText"/>
        <w:spacing w:line="247" w:lineRule="auto" w:before="68"/>
        <w:ind w:left="115" w:right="148" w:firstLine="205"/>
        <w:jc w:val="both"/>
      </w:pPr>
      <w:r>
        <w:rPr>
          <w:w w:val="105"/>
          <w:sz w:val="22"/>
        </w:rPr>
        <w:t>In </w:t>
      </w:r>
      <w:r>
        <w:rPr>
          <w:w w:val="105"/>
        </w:rPr>
        <w:t>the formulas derived for ,</w:t>
      </w:r>
      <w:r>
        <w:rPr>
          <w:i/>
          <w:w w:val="105"/>
        </w:rPr>
        <w:t>V </w:t>
      </w:r>
      <w:r>
        <w:rPr>
          <w:w w:val="105"/>
        </w:rPr>
        <w:t>thus far, an integral  value  of  </w:t>
      </w:r>
      <w:r>
        <w:rPr>
          <w:rFonts w:ascii="Arial" w:hAnsi="Arial"/>
          <w:i/>
          <w:w w:val="105"/>
          <w:sz w:val="17"/>
        </w:rPr>
        <w:t>t</w:t>
      </w:r>
      <w:r>
        <w:rPr>
          <w:rFonts w:ascii="Arial" w:hAnsi="Arial"/>
          <w:i/>
          <w:spacing w:val="49"/>
          <w:w w:val="105"/>
          <w:sz w:val="17"/>
        </w:rPr>
        <w:t> </w:t>
      </w:r>
      <w:r>
        <w:rPr>
          <w:w w:val="105"/>
        </w:rPr>
        <w:t>has been assumed, and the resulting functions have been  defined  as terminal reserves. For accounting purposes, it is often  neces­ sary to compute reserves at fiactional durations. The </w:t>
      </w:r>
      <w:r>
        <w:rPr>
          <w:i/>
          <w:w w:val="105"/>
          <w:sz w:val="21"/>
        </w:rPr>
        <w:t>mean </w:t>
      </w:r>
      <w:r>
        <w:rPr>
          <w:w w:val="105"/>
        </w:rPr>
        <w:t>reserve </w:t>
      </w:r>
      <w:r>
        <w:rPr>
          <w:i/>
          <w:w w:val="105"/>
          <w:sz w:val="17"/>
        </w:rPr>
        <w:t>t+i </w:t>
      </w:r>
      <w:r>
        <w:rPr>
          <w:rFonts w:ascii="Arial" w:hAnsi="Arial"/>
          <w:i/>
          <w:w w:val="105"/>
          <w:sz w:val="19"/>
        </w:rPr>
        <w:t>V </w:t>
      </w:r>
      <w:r>
        <w:rPr>
          <w:w w:val="105"/>
        </w:rPr>
        <w:t>is especially important since, in making an over-all valuation of an insurer's policy  liabilities,  it  is  customary  to  assume  that on  any  particular  day  the average  duration  of  all policies</w:t>
      </w:r>
      <w:r>
        <w:rPr>
          <w:spacing w:val="31"/>
          <w:w w:val="105"/>
        </w:rPr>
        <w:t> </w:t>
      </w:r>
      <w:r>
        <w:rPr>
          <w:w w:val="105"/>
        </w:rPr>
        <w:t>issued</w:t>
      </w:r>
    </w:p>
    <w:p>
      <w:pPr>
        <w:spacing w:line="251" w:lineRule="exact" w:before="0"/>
        <w:ind w:left="115" w:right="0" w:firstLine="0"/>
        <w:jc w:val="left"/>
        <w:rPr>
          <w:sz w:val="20"/>
        </w:rPr>
      </w:pPr>
      <w:r>
        <w:rPr>
          <w:w w:val="101"/>
          <w:sz w:val="20"/>
        </w:rPr>
        <w:t>between</w:t>
      </w:r>
      <w:r>
        <w:rPr>
          <w:sz w:val="20"/>
        </w:rPr>
        <w:t> </w:t>
      </w:r>
      <w:r>
        <w:rPr>
          <w:spacing w:val="-20"/>
          <w:sz w:val="20"/>
        </w:rPr>
        <w:t> </w:t>
      </w:r>
      <w:r>
        <w:rPr>
          <w:i/>
          <w:w w:val="101"/>
          <w:sz w:val="17"/>
        </w:rPr>
        <w:t>l</w:t>
      </w:r>
      <w:r>
        <w:rPr>
          <w:i/>
          <w:sz w:val="17"/>
        </w:rPr>
        <w:t> </w:t>
      </w:r>
      <w:r>
        <w:rPr>
          <w:i/>
          <w:spacing w:val="-15"/>
          <w:sz w:val="17"/>
        </w:rPr>
        <w:t> </w:t>
      </w:r>
      <w:r>
        <w:rPr>
          <w:w w:val="108"/>
          <w:sz w:val="20"/>
        </w:rPr>
        <w:t>and</w:t>
      </w:r>
      <w:r>
        <w:rPr>
          <w:spacing w:val="13"/>
          <w:sz w:val="20"/>
        </w:rPr>
        <w:t> </w:t>
      </w:r>
      <w:r>
        <w:rPr>
          <w:rFonts w:ascii="Arial"/>
          <w:i/>
          <w:w w:val="95"/>
          <w:sz w:val="18"/>
        </w:rPr>
        <w:t>t</w:t>
      </w:r>
      <w:r>
        <w:rPr>
          <w:rFonts w:ascii="Arial"/>
          <w:i/>
          <w:sz w:val="18"/>
        </w:rPr>
        <w:t> </w:t>
      </w:r>
      <w:r>
        <w:rPr>
          <w:rFonts w:ascii="Arial"/>
          <w:i/>
          <w:spacing w:val="-15"/>
          <w:sz w:val="18"/>
        </w:rPr>
        <w:t> </w:t>
      </w:r>
      <w:r>
        <w:rPr>
          <w:rFonts w:ascii="Arial"/>
          <w:w w:val="103"/>
          <w:sz w:val="31"/>
        </w:rPr>
        <w:t>+</w:t>
      </w:r>
      <w:r>
        <w:rPr>
          <w:rFonts w:ascii="Arial"/>
          <w:spacing w:val="-19"/>
          <w:sz w:val="31"/>
        </w:rPr>
        <w:t> </w:t>
      </w:r>
      <w:r>
        <w:rPr>
          <w:w w:val="117"/>
          <w:sz w:val="19"/>
        </w:rPr>
        <w:t>I</w:t>
      </w:r>
      <w:r>
        <w:rPr>
          <w:sz w:val="19"/>
        </w:rPr>
        <w:t> </w:t>
      </w:r>
      <w:r>
        <w:rPr>
          <w:spacing w:val="-23"/>
          <w:sz w:val="19"/>
        </w:rPr>
        <w:t> </w:t>
      </w:r>
      <w:r>
        <w:rPr>
          <w:w w:val="105"/>
          <w:sz w:val="20"/>
        </w:rPr>
        <w:t>years</w:t>
      </w:r>
      <w:r>
        <w:rPr>
          <w:spacing w:val="17"/>
          <w:sz w:val="20"/>
        </w:rPr>
        <w:t> </w:t>
      </w:r>
      <w:r>
        <w:rPr>
          <w:w w:val="104"/>
          <w:sz w:val="20"/>
        </w:rPr>
        <w:t>earlier</w:t>
      </w:r>
      <w:r>
        <w:rPr>
          <w:spacing w:val="15"/>
          <w:sz w:val="20"/>
        </w:rPr>
        <w:t> </w:t>
      </w:r>
      <w:r>
        <w:rPr>
          <w:w w:val="102"/>
          <w:sz w:val="20"/>
        </w:rPr>
        <w:t>is</w:t>
      </w:r>
      <w:r>
        <w:rPr>
          <w:spacing w:val="3"/>
          <w:sz w:val="20"/>
        </w:rPr>
        <w:t> </w:t>
      </w:r>
      <w:r>
        <w:rPr>
          <w:i/>
          <w:w w:val="101"/>
          <w:sz w:val="17"/>
        </w:rPr>
        <w:t>l</w:t>
      </w:r>
      <w:r>
        <w:rPr>
          <w:i/>
          <w:sz w:val="17"/>
        </w:rPr>
        <w:t>  </w:t>
      </w:r>
      <w:r>
        <w:rPr>
          <w:rFonts w:ascii="Arial"/>
          <w:w w:val="103"/>
          <w:sz w:val="31"/>
        </w:rPr>
        <w:t>+</w:t>
      </w:r>
      <w:r>
        <w:rPr>
          <w:rFonts w:ascii="Arial"/>
          <w:spacing w:val="-26"/>
          <w:sz w:val="31"/>
        </w:rPr>
        <w:t> </w:t>
      </w:r>
      <w:r>
        <w:rPr>
          <w:spacing w:val="-66"/>
          <w:w w:val="249"/>
          <w:sz w:val="26"/>
        </w:rPr>
        <w:t>!</w:t>
      </w:r>
      <w:r>
        <w:rPr>
          <w:w w:val="104"/>
          <w:sz w:val="20"/>
        </w:rPr>
        <w:t>years.</w:t>
      </w:r>
    </w:p>
    <w:p>
      <w:pPr>
        <w:pStyle w:val="BodyText"/>
        <w:spacing w:line="252" w:lineRule="auto"/>
        <w:ind w:left="112" w:right="153" w:firstLine="205"/>
        <w:jc w:val="both"/>
      </w:pPr>
      <w:r>
        <w:rPr>
          <w:w w:val="105"/>
        </w:rPr>
        <w:t>Consider an ordinary life policy of 1 with premiums payable annually.  An   exact   expression   for  the  prospective   reserve   at</w:t>
      </w:r>
    </w:p>
    <w:p>
      <w:pPr>
        <w:spacing w:line="256" w:lineRule="exact" w:before="0"/>
        <w:ind w:left="112" w:right="0" w:firstLine="0"/>
        <w:jc w:val="left"/>
        <w:rPr>
          <w:sz w:val="20"/>
        </w:rPr>
      </w:pPr>
      <w:r>
        <w:rPr>
          <w:w w:val="105"/>
          <w:sz w:val="20"/>
        </w:rPr>
        <w:t>duration </w:t>
      </w:r>
      <w:r>
        <w:rPr>
          <w:i/>
          <w:w w:val="105"/>
          <w:sz w:val="22"/>
        </w:rPr>
        <w:t>t </w:t>
      </w:r>
      <w:r>
        <w:rPr>
          <w:rFonts w:ascii="Arial"/>
          <w:w w:val="105"/>
          <w:sz w:val="31"/>
        </w:rPr>
        <w:t>+ </w:t>
      </w:r>
      <w:r>
        <w:rPr>
          <w:i/>
          <w:w w:val="105"/>
          <w:sz w:val="20"/>
        </w:rPr>
        <w:t>h </w:t>
      </w:r>
      <w:r>
        <w:rPr>
          <w:rFonts w:ascii="Arial"/>
          <w:i/>
          <w:w w:val="105"/>
          <w:sz w:val="19"/>
        </w:rPr>
        <w:t>(t </w:t>
      </w:r>
      <w:r>
        <w:rPr>
          <w:w w:val="105"/>
          <w:sz w:val="20"/>
        </w:rPr>
        <w:t>integral and O </w:t>
      </w:r>
      <w:r>
        <w:rPr>
          <w:rFonts w:ascii="Arial"/>
          <w:w w:val="105"/>
          <w:sz w:val="24"/>
        </w:rPr>
        <w:t>&lt; </w:t>
      </w:r>
      <w:r>
        <w:rPr>
          <w:i/>
          <w:w w:val="105"/>
          <w:sz w:val="20"/>
        </w:rPr>
        <w:t>h </w:t>
      </w:r>
      <w:r>
        <w:rPr>
          <w:w w:val="105"/>
          <w:sz w:val="23"/>
        </w:rPr>
        <w:t>&lt; </w:t>
      </w:r>
      <w:r>
        <w:rPr>
          <w:w w:val="105"/>
          <w:sz w:val="20"/>
        </w:rPr>
        <w:t>1)  is</w:t>
      </w:r>
    </w:p>
    <w:p>
      <w:pPr>
        <w:spacing w:line="285" w:lineRule="exact" w:before="61"/>
        <w:ind w:left="123" w:right="0" w:firstLine="0"/>
        <w:jc w:val="left"/>
        <w:rPr>
          <w:b/>
          <w:sz w:val="15"/>
        </w:rPr>
      </w:pPr>
      <w:r>
        <w:rPr/>
        <w:pict>
          <v:shape style="position:absolute;margin-left:82.980003pt;margin-top:11.553765pt;width:3.1pt;height:7.5pt;mso-position-horizontal-relative:page;mso-position-vertical-relative:paragraph;z-index:-725776" type="#_x0000_t202" filled="false" stroked="false">
            <v:textbox inset="0,0,0,0">
              <w:txbxContent>
                <w:p>
                  <w:pPr>
                    <w:spacing w:line="150" w:lineRule="exact" w:before="0"/>
                    <w:ind w:left="0" w:right="0" w:firstLine="0"/>
                    <w:jc w:val="left"/>
                    <w:rPr>
                      <w:b/>
                      <w:sz w:val="15"/>
                    </w:rPr>
                  </w:pPr>
                  <w:r>
                    <w:rPr>
                      <w:b/>
                      <w:w w:val="122"/>
                      <w:sz w:val="15"/>
                    </w:rPr>
                    <w:t>-</w:t>
                  </w:r>
                </w:p>
              </w:txbxContent>
            </v:textbox>
            <w10:wrap type="none"/>
          </v:shape>
        </w:pict>
      </w:r>
      <w:r>
        <w:rPr>
          <w:b/>
          <w:i/>
          <w:sz w:val="13"/>
        </w:rPr>
        <w:t>t+A</w:t>
      </w:r>
      <w:r>
        <w:rPr>
          <w:b/>
          <w:i/>
          <w:sz w:val="22"/>
        </w:rPr>
        <w:t>Vz   </w:t>
      </w:r>
      <w:r>
        <w:rPr>
          <w:sz w:val="26"/>
        </w:rPr>
        <w:t>=  </w:t>
      </w:r>
      <w:r>
        <w:rPr>
          <w:b/>
          <w:sz w:val="15"/>
        </w:rPr>
        <w:t>U</w:t>
      </w:r>
      <w:r>
        <w:rPr>
          <w:b/>
          <w:position w:val="11"/>
          <w:sz w:val="12"/>
        </w:rPr>
        <w:t>1  </w:t>
      </w:r>
      <w:r>
        <w:rPr>
          <w:b/>
          <w:sz w:val="15"/>
        </w:rPr>
        <w:t>\1-A9z+l+1'    </w:t>
      </w:r>
      <w:r>
        <w:rPr>
          <w:rFonts w:ascii="Arial" w:hAnsi="Arial"/>
          <w:sz w:val="31"/>
        </w:rPr>
        <w:t>+ </w:t>
      </w:r>
      <w:r>
        <w:rPr>
          <w:b/>
          <w:sz w:val="15"/>
        </w:rPr>
        <w:t>l-APz+1+AÁz+e+1)</w:t>
      </w:r>
    </w:p>
    <w:p>
      <w:pPr>
        <w:spacing w:after="0" w:line="285" w:lineRule="exact"/>
        <w:jc w:val="left"/>
        <w:rPr>
          <w:sz w:val="15"/>
        </w:rPr>
        <w:sectPr>
          <w:type w:val="continuous"/>
          <w:pgSz w:w="7200" w:h="11340"/>
          <w:pgMar w:top="1100" w:bottom="0" w:left="640" w:right="560"/>
        </w:sectPr>
      </w:pPr>
    </w:p>
    <w:p>
      <w:pPr>
        <w:pStyle w:val="BodyText"/>
        <w:spacing w:before="11"/>
        <w:rPr>
          <w:b/>
          <w:sz w:val="19"/>
        </w:rPr>
      </w:pPr>
    </w:p>
    <w:p>
      <w:pPr>
        <w:spacing w:before="0"/>
        <w:ind w:left="0" w:right="0" w:firstLine="0"/>
        <w:jc w:val="right"/>
        <w:rPr>
          <w:sz w:val="15"/>
        </w:rPr>
      </w:pPr>
      <w:r>
        <w:rPr>
          <w:w w:val="175"/>
          <w:sz w:val="15"/>
        </w:rPr>
        <w:t>- </w:t>
      </w:r>
      <w:r>
        <w:rPr>
          <w:b/>
          <w:w w:val="130"/>
          <w:sz w:val="15"/>
        </w:rPr>
        <w:t>Pz'l-JilOz+c+A </w:t>
      </w:r>
      <w:r>
        <w:rPr>
          <w:w w:val="175"/>
          <w:sz w:val="15"/>
        </w:rPr>
        <w:t>·</w:t>
      </w:r>
    </w:p>
    <w:p>
      <w:pPr>
        <w:pStyle w:val="BodyText"/>
        <w:spacing w:line="204" w:lineRule="exact"/>
        <w:ind w:left="122"/>
      </w:pPr>
      <w:r>
        <w:rPr/>
        <w:br w:type="column"/>
      </w:r>
      <w:r>
        <w:rPr>
          <w:w w:val="105"/>
        </w:rPr>
        <w:t>(5.24a)</w:t>
      </w:r>
    </w:p>
    <w:p>
      <w:pPr>
        <w:spacing w:after="0" w:line="204" w:lineRule="exact"/>
        <w:sectPr>
          <w:type w:val="continuous"/>
          <w:pgSz w:w="7200" w:h="11340"/>
          <w:pgMar w:top="1100" w:bottom="0" w:left="640" w:right="560"/>
          <w:cols w:num="2" w:equalWidth="0">
            <w:col w:w="5070" w:space="40"/>
            <w:col w:w="890"/>
          </w:cols>
        </w:sectPr>
      </w:pPr>
    </w:p>
    <w:p>
      <w:pPr>
        <w:tabs>
          <w:tab w:pos="1345" w:val="left" w:leader="none"/>
          <w:tab w:pos="5899" w:val="right" w:leader="none"/>
        </w:tabs>
        <w:spacing w:before="45"/>
        <w:ind w:left="117" w:right="0" w:firstLine="0"/>
        <w:jc w:val="both"/>
        <w:rPr>
          <w:sz w:val="19"/>
        </w:rPr>
      </w:pPr>
      <w:r>
        <w:rPr>
          <w:b/>
          <w:w w:val="105"/>
          <w:sz w:val="14"/>
        </w:rPr>
        <w:t>BEC.</w:t>
      </w:r>
      <w:r>
        <w:rPr>
          <w:b/>
          <w:spacing w:val="32"/>
          <w:w w:val="105"/>
          <w:sz w:val="14"/>
        </w:rPr>
        <w:t> </w:t>
      </w:r>
      <w:r>
        <w:rPr>
          <w:b/>
          <w:w w:val="105"/>
          <w:sz w:val="21"/>
        </w:rPr>
        <w:t>7]</w:t>
        <w:tab/>
      </w:r>
      <w:r>
        <w:rPr>
          <w:b/>
          <w:w w:val="105"/>
          <w:position w:val="1"/>
          <w:sz w:val="15"/>
        </w:rPr>
        <w:t>RESERVES   AT</w:t>
      </w:r>
      <w:r>
        <w:rPr>
          <w:b/>
          <w:spacing w:val="32"/>
          <w:w w:val="105"/>
          <w:position w:val="1"/>
          <w:sz w:val="15"/>
        </w:rPr>
        <w:t> </w:t>
      </w:r>
      <w:r>
        <w:rPr>
          <w:b/>
          <w:w w:val="105"/>
          <w:position w:val="1"/>
          <w:sz w:val="15"/>
        </w:rPr>
        <w:t>ll'RACTIONAL </w:t>
      </w:r>
      <w:r>
        <w:rPr>
          <w:b/>
          <w:spacing w:val="29"/>
          <w:w w:val="105"/>
          <w:position w:val="1"/>
          <w:sz w:val="15"/>
        </w:rPr>
        <w:t> </w:t>
      </w:r>
      <w:r>
        <w:rPr>
          <w:b/>
          <w:w w:val="105"/>
          <w:position w:val="1"/>
          <w:sz w:val="15"/>
        </w:rPr>
        <w:t>DURATIONS</w:t>
      </w:r>
      <w:r>
        <w:rPr>
          <w:w w:val="105"/>
          <w:position w:val="1"/>
          <w:sz w:val="19"/>
        </w:rPr>
        <w:tab/>
      </w:r>
      <w:r>
        <w:rPr>
          <w:spacing w:val="-12"/>
          <w:w w:val="105"/>
          <w:position w:val="1"/>
          <w:sz w:val="19"/>
        </w:rPr>
        <w:t>111</w:t>
      </w:r>
    </w:p>
    <w:p>
      <w:pPr>
        <w:pStyle w:val="BodyText"/>
        <w:spacing w:before="3"/>
      </w:pPr>
    </w:p>
    <w:p>
      <w:pPr>
        <w:spacing w:line="259" w:lineRule="auto" w:before="0"/>
        <w:ind w:left="117" w:right="148" w:firstLine="3"/>
        <w:jc w:val="both"/>
        <w:rPr>
          <w:sz w:val="19"/>
        </w:rPr>
      </w:pPr>
      <w:r>
        <w:rPr>
          <w:w w:val="115"/>
          <w:sz w:val="19"/>
        </w:rPr>
        <w:t>It should be noted that it is not correct </w:t>
      </w:r>
      <w:r>
        <w:rPr>
          <w:w w:val="115"/>
          <w:sz w:val="21"/>
        </w:rPr>
        <w:t>to </w:t>
      </w:r>
      <w:r>
        <w:rPr>
          <w:w w:val="115"/>
          <w:sz w:val="19"/>
        </w:rPr>
        <w:t>use </w:t>
      </w:r>
      <w:r>
        <w:rPr>
          <w:i/>
          <w:w w:val="105"/>
          <w:sz w:val="19"/>
        </w:rPr>
        <w:t>As+a+r. </w:t>
      </w:r>
      <w:r>
        <w:rPr>
          <w:w w:val="115"/>
          <w:sz w:val="19"/>
        </w:rPr>
        <w:t>in place of the</w:t>
      </w:r>
      <w:r>
        <w:rPr>
          <w:spacing w:val="-21"/>
          <w:w w:val="115"/>
          <w:sz w:val="19"/>
        </w:rPr>
        <w:t> </w:t>
      </w:r>
      <w:r>
        <w:rPr>
          <w:w w:val="115"/>
          <w:sz w:val="19"/>
        </w:rPr>
        <w:t>first</w:t>
      </w:r>
      <w:r>
        <w:rPr>
          <w:spacing w:val="-16"/>
          <w:w w:val="115"/>
          <w:sz w:val="19"/>
        </w:rPr>
        <w:t> </w:t>
      </w:r>
      <w:r>
        <w:rPr>
          <w:w w:val="115"/>
          <w:sz w:val="19"/>
        </w:rPr>
        <w:t>term</w:t>
      </w:r>
      <w:r>
        <w:rPr>
          <w:spacing w:val="-11"/>
          <w:w w:val="115"/>
          <w:sz w:val="19"/>
        </w:rPr>
        <w:t> </w:t>
      </w:r>
      <w:r>
        <w:rPr>
          <w:w w:val="115"/>
          <w:sz w:val="19"/>
        </w:rPr>
        <w:t>of</w:t>
      </w:r>
      <w:r>
        <w:rPr>
          <w:spacing w:val="18"/>
          <w:w w:val="115"/>
          <w:sz w:val="19"/>
        </w:rPr>
        <w:t> </w:t>
      </w:r>
      <w:r>
        <w:rPr>
          <w:w w:val="115"/>
          <w:sz w:val="19"/>
        </w:rPr>
        <w:t>(5.24a).</w:t>
      </w:r>
      <w:r>
        <w:rPr>
          <w:spacing w:val="-18"/>
          <w:w w:val="115"/>
          <w:sz w:val="19"/>
        </w:rPr>
        <w:t> </w:t>
      </w:r>
      <w:r>
        <w:rPr>
          <w:i/>
          <w:w w:val="105"/>
          <w:sz w:val="19"/>
        </w:rPr>
        <w:t>As+i+r.</w:t>
      </w:r>
      <w:r>
        <w:rPr>
          <w:i/>
          <w:spacing w:val="-12"/>
          <w:w w:val="105"/>
          <w:sz w:val="19"/>
        </w:rPr>
        <w:t> </w:t>
      </w:r>
      <w:r>
        <w:rPr>
          <w:w w:val="115"/>
          <w:sz w:val="19"/>
        </w:rPr>
        <w:t>would</w:t>
      </w:r>
      <w:r>
        <w:rPr>
          <w:spacing w:val="-8"/>
          <w:w w:val="115"/>
          <w:sz w:val="19"/>
        </w:rPr>
        <w:t> </w:t>
      </w:r>
      <w:r>
        <w:rPr>
          <w:w w:val="115"/>
          <w:sz w:val="19"/>
        </w:rPr>
        <w:t>provide</w:t>
      </w:r>
      <w:r>
        <w:rPr>
          <w:spacing w:val="-10"/>
          <w:w w:val="115"/>
          <w:sz w:val="19"/>
        </w:rPr>
        <w:t> </w:t>
      </w:r>
      <w:r>
        <w:rPr>
          <w:w w:val="115"/>
          <w:sz w:val="19"/>
        </w:rPr>
        <w:t>for</w:t>
      </w:r>
      <w:r>
        <w:rPr>
          <w:spacing w:val="-18"/>
          <w:w w:val="115"/>
          <w:sz w:val="19"/>
        </w:rPr>
        <w:t> </w:t>
      </w:r>
      <w:r>
        <w:rPr>
          <w:w w:val="115"/>
          <w:sz w:val="19"/>
        </w:rPr>
        <w:t>death</w:t>
      </w:r>
      <w:r>
        <w:rPr>
          <w:spacing w:val="-14"/>
          <w:w w:val="115"/>
          <w:sz w:val="19"/>
        </w:rPr>
        <w:t> </w:t>
      </w:r>
      <w:r>
        <w:rPr>
          <w:w w:val="115"/>
          <w:sz w:val="19"/>
        </w:rPr>
        <w:t>payments</w:t>
      </w:r>
    </w:p>
    <w:p>
      <w:pPr>
        <w:spacing w:line="237" w:lineRule="exact" w:before="0"/>
        <w:ind w:left="121" w:right="0" w:firstLine="0"/>
        <w:jc w:val="both"/>
        <w:rPr>
          <w:sz w:val="19"/>
        </w:rPr>
      </w:pPr>
      <w:r>
        <w:rPr>
          <w:w w:val="110"/>
          <w:sz w:val="22"/>
        </w:rPr>
        <w:t>at </w:t>
      </w:r>
      <w:r>
        <w:rPr>
          <w:w w:val="110"/>
          <w:sz w:val="19"/>
        </w:rPr>
        <w:t>the  ends of  years measured  from time </w:t>
      </w:r>
      <w:r>
        <w:rPr>
          <w:rFonts w:ascii="Arial"/>
          <w:i/>
          <w:w w:val="110"/>
          <w:sz w:val="17"/>
        </w:rPr>
        <w:t>t  </w:t>
      </w:r>
      <w:r>
        <w:rPr>
          <w:rFonts w:ascii="Arial"/>
          <w:w w:val="110"/>
          <w:sz w:val="31"/>
        </w:rPr>
        <w:t>+ </w:t>
      </w:r>
      <w:r>
        <w:rPr>
          <w:rFonts w:ascii="Arial"/>
          <w:i/>
          <w:w w:val="110"/>
          <w:sz w:val="19"/>
        </w:rPr>
        <w:t>h </w:t>
      </w:r>
      <w:r>
        <w:rPr>
          <w:w w:val="110"/>
          <w:sz w:val="19"/>
        </w:rPr>
        <w:t>instead  of  at   the</w:t>
      </w:r>
    </w:p>
    <w:p>
      <w:pPr>
        <w:spacing w:line="229" w:lineRule="exact" w:before="0"/>
        <w:ind w:left="117" w:right="0" w:firstLine="0"/>
        <w:jc w:val="both"/>
        <w:rPr>
          <w:sz w:val="21"/>
        </w:rPr>
      </w:pPr>
      <w:r>
        <w:rPr>
          <w:sz w:val="19"/>
        </w:rPr>
        <w:t>ends of  </w:t>
      </w:r>
      <w:r>
        <w:rPr>
          <w:i/>
          <w:sz w:val="21"/>
        </w:rPr>
        <w:t>policy </w:t>
      </w:r>
      <w:r>
        <w:rPr>
          <w:sz w:val="21"/>
        </w:rPr>
        <w:t>years.</w:t>
      </w:r>
    </w:p>
    <w:p>
      <w:pPr>
        <w:spacing w:line="264" w:lineRule="auto" w:before="18"/>
        <w:ind w:left="121" w:right="0" w:firstLine="201"/>
        <w:jc w:val="left"/>
        <w:rPr>
          <w:sz w:val="19"/>
        </w:rPr>
      </w:pPr>
      <w:r>
        <w:rPr>
          <w:w w:val="110"/>
          <w:sz w:val="19"/>
        </w:rPr>
        <w:t>Another exact expression for the reserve ma.y be obtained by analogy  from  </w:t>
      </w:r>
      <w:r>
        <w:rPr>
          <w:spacing w:val="-6"/>
          <w:w w:val="110"/>
          <w:sz w:val="19"/>
        </w:rPr>
        <w:t>(5.14):</w:t>
      </w:r>
    </w:p>
    <w:p>
      <w:pPr>
        <w:tabs>
          <w:tab w:pos="5265" w:val="left" w:leader="none"/>
        </w:tabs>
        <w:spacing w:before="14"/>
        <w:ind w:left="704" w:right="0" w:firstLine="0"/>
        <w:jc w:val="left"/>
        <w:rPr>
          <w:b/>
          <w:sz w:val="19"/>
        </w:rPr>
      </w:pPr>
      <w:r>
        <w:rPr>
          <w:b/>
          <w:w w:val="125"/>
          <w:sz w:val="16"/>
        </w:rPr>
        <w:t>1.µVs </w:t>
      </w:r>
      <w:r>
        <w:rPr>
          <w:b/>
          <w:sz w:val="19"/>
        </w:rPr>
        <w:t>(1 </w:t>
      </w:r>
      <w:r>
        <w:rPr>
          <w:rFonts w:ascii="Arial" w:hAnsi="Arial"/>
          <w:sz w:val="31"/>
        </w:rPr>
        <w:t>+ </w:t>
      </w:r>
      <w:r>
        <w:rPr>
          <w:b/>
          <w:w w:val="135"/>
          <w:sz w:val="17"/>
        </w:rPr>
        <w:t>i)l-l </w:t>
      </w:r>
      <w:r>
        <w:rPr>
          <w:sz w:val="26"/>
        </w:rPr>
        <w:t>= </w:t>
      </w:r>
      <w:r>
        <w:rPr>
          <w:b/>
          <w:w w:val="125"/>
          <w:sz w:val="16"/>
        </w:rPr>
        <w:t>HlVz </w:t>
      </w:r>
      <w:r>
        <w:rPr>
          <w:rFonts w:ascii="Arial" w:hAnsi="Arial"/>
          <w:sz w:val="31"/>
        </w:rPr>
        <w:t>+ </w:t>
      </w:r>
      <w:r>
        <w:rPr>
          <w:b/>
          <w:sz w:val="17"/>
        </w:rPr>
        <w:t>1-Aqz+a+A  </w:t>
      </w:r>
      <w:r>
        <w:rPr>
          <w:b/>
          <w:sz w:val="19"/>
        </w:rPr>
        <w:t>(1</w:t>
      </w:r>
      <w:r>
        <w:rPr>
          <w:b/>
          <w:spacing w:val="42"/>
          <w:sz w:val="19"/>
        </w:rPr>
        <w:t> </w:t>
      </w:r>
      <w:r>
        <w:rPr>
          <w:w w:val="270"/>
          <w:sz w:val="19"/>
        </w:rPr>
        <w:t>-</w:t>
      </w:r>
      <w:r>
        <w:rPr>
          <w:spacing w:val="-81"/>
          <w:w w:val="270"/>
          <w:sz w:val="19"/>
        </w:rPr>
        <w:t> </w:t>
      </w:r>
      <w:r>
        <w:rPr>
          <w:b/>
          <w:w w:val="125"/>
          <w:sz w:val="16"/>
        </w:rPr>
        <w:t>HlVz).</w:t>
        <w:tab/>
      </w:r>
      <w:r>
        <w:rPr>
          <w:b/>
          <w:sz w:val="19"/>
        </w:rPr>
        <w:t>(5.24b)</w:t>
      </w:r>
    </w:p>
    <w:p>
      <w:pPr>
        <w:spacing w:line="249" w:lineRule="auto" w:before="86"/>
        <w:ind w:left="128" w:right="142" w:firstLine="0"/>
        <w:jc w:val="both"/>
        <w:rPr>
          <w:sz w:val="19"/>
        </w:rPr>
      </w:pPr>
      <w:r>
        <w:rPr>
          <w:rFonts w:ascii="Arial" w:hAnsi="Arial"/>
          <w:w w:val="140"/>
          <w:sz w:val="21"/>
        </w:rPr>
        <w:t>It </w:t>
      </w:r>
      <w:r>
        <w:rPr>
          <w:w w:val="115"/>
          <w:sz w:val="19"/>
        </w:rPr>
        <w:t>can readily be shown that (5.24a) and (5.24b) are equivalent. Neither formula, however, is amenable </w:t>
      </w:r>
      <w:r>
        <w:rPr>
          <w:w w:val="115"/>
          <w:sz w:val="21"/>
        </w:rPr>
        <w:t>to </w:t>
      </w:r>
      <w:r>
        <w:rPr>
          <w:w w:val="115"/>
          <w:sz w:val="19"/>
        </w:rPr>
        <w:t>exact calculation, and neither suggests a simple approximation. Consequently it is customary </w:t>
      </w:r>
      <w:r>
        <w:rPr>
          <w:w w:val="115"/>
          <w:sz w:val="21"/>
        </w:rPr>
        <w:t>to </w:t>
      </w:r>
      <w:r>
        <w:rPr>
          <w:w w:val="115"/>
          <w:sz w:val="19"/>
        </w:rPr>
        <w:t>obtain a value for </w:t>
      </w:r>
      <w:r>
        <w:rPr>
          <w:rFonts w:ascii="Arial" w:hAnsi="Arial"/>
          <w:w w:val="115"/>
          <w:sz w:val="15"/>
        </w:rPr>
        <w:t>•+A </w:t>
      </w:r>
      <w:r>
        <w:rPr>
          <w:rFonts w:ascii="Arial" w:hAnsi="Arial"/>
          <w:i/>
          <w:w w:val="115"/>
          <w:sz w:val="19"/>
        </w:rPr>
        <w:t>V</w:t>
      </w:r>
      <w:r>
        <w:rPr>
          <w:w w:val="115"/>
          <w:sz w:val="14"/>
        </w:rPr>
        <w:t>z </w:t>
      </w:r>
      <w:r>
        <w:rPr>
          <w:w w:val="115"/>
          <w:sz w:val="19"/>
        </w:rPr>
        <w:t>by mea.ns of linear inter­ polation based on reserve values for integral durations.</w:t>
      </w:r>
    </w:p>
    <w:p>
      <w:pPr>
        <w:spacing w:line="239" w:lineRule="exact" w:before="0"/>
        <w:ind w:left="124" w:right="0" w:firstLine="201"/>
        <w:jc w:val="left"/>
        <w:rPr>
          <w:i/>
          <w:sz w:val="22"/>
        </w:rPr>
      </w:pPr>
      <w:r>
        <w:rPr>
          <w:w w:val="110"/>
          <w:sz w:val="19"/>
        </w:rPr>
        <w:t>Since  the  reserve   ,</w:t>
      </w:r>
      <w:r>
        <w:rPr>
          <w:i/>
          <w:w w:val="110"/>
          <w:sz w:val="22"/>
        </w:rPr>
        <w:t>Vª  </w:t>
      </w:r>
      <w:r>
        <w:rPr>
          <w:w w:val="110"/>
          <w:sz w:val="19"/>
        </w:rPr>
        <w:t>is  based  on  the  payment   of   exactly  </w:t>
      </w:r>
      <w:r>
        <w:rPr>
          <w:i/>
          <w:w w:val="110"/>
          <w:sz w:val="22"/>
        </w:rPr>
        <w:t>t</w:t>
      </w:r>
    </w:p>
    <w:p>
      <w:pPr>
        <w:spacing w:line="160" w:lineRule="auto" w:before="63"/>
        <w:ind w:left="124" w:right="142" w:firstLine="0"/>
        <w:jc w:val="both"/>
        <w:rPr>
          <w:sz w:val="19"/>
        </w:rPr>
      </w:pPr>
      <w:r>
        <w:rPr>
          <w:w w:val="116"/>
          <w:sz w:val="19"/>
        </w:rPr>
        <w:t>annual </w:t>
      </w:r>
      <w:r>
        <w:rPr>
          <w:w w:val="108"/>
          <w:sz w:val="19"/>
        </w:rPr>
        <w:t>premiums, </w:t>
      </w:r>
      <w:r>
        <w:rPr>
          <w:w w:val="115"/>
          <w:sz w:val="19"/>
        </w:rPr>
        <w:t>and </w:t>
      </w:r>
      <w:r>
        <w:rPr>
          <w:w w:val="119"/>
          <w:sz w:val="19"/>
        </w:rPr>
        <w:t>the </w:t>
      </w:r>
      <w:r>
        <w:rPr>
          <w:w w:val="108"/>
          <w:sz w:val="19"/>
        </w:rPr>
        <w:t>reserves </w:t>
      </w:r>
      <w:r>
        <w:rPr>
          <w:w w:val="94"/>
          <w:sz w:val="13"/>
        </w:rPr>
        <w:t>e+A </w:t>
      </w:r>
      <w:r>
        <w:rPr>
          <w:i/>
          <w:spacing w:val="-4"/>
          <w:w w:val="86"/>
          <w:sz w:val="22"/>
        </w:rPr>
        <w:t>Vz</w:t>
      </w:r>
      <w:r>
        <w:rPr>
          <w:i/>
          <w:w w:val="86"/>
          <w:sz w:val="22"/>
        </w:rPr>
        <w:t> </w:t>
      </w:r>
      <w:r>
        <w:rPr>
          <w:w w:val="115"/>
          <w:sz w:val="19"/>
        </w:rPr>
        <w:t>and </w:t>
      </w:r>
      <w:r>
        <w:rPr>
          <w:spacing w:val="-10"/>
          <w:w w:val="98"/>
          <w:sz w:val="13"/>
        </w:rPr>
        <w:t>1+1</w:t>
      </w:r>
      <w:r>
        <w:rPr>
          <w:i/>
          <w:spacing w:val="-10"/>
          <w:w w:val="98"/>
          <w:sz w:val="22"/>
        </w:rPr>
        <w:t>V:r</w:t>
      </w:r>
      <w:r>
        <w:rPr>
          <w:i/>
          <w:w w:val="98"/>
          <w:sz w:val="22"/>
        </w:rPr>
        <w:t>  </w:t>
      </w:r>
      <w:r>
        <w:rPr>
          <w:w w:val="117"/>
          <w:sz w:val="19"/>
        </w:rPr>
        <w:t>are </w:t>
      </w:r>
      <w:r>
        <w:rPr>
          <w:w w:val="107"/>
          <w:sz w:val="19"/>
        </w:rPr>
        <w:t>based  </w:t>
      </w:r>
      <w:r>
        <w:rPr>
          <w:w w:val="105"/>
          <w:sz w:val="19"/>
        </w:rPr>
        <w:t>on </w:t>
      </w:r>
      <w:r>
        <w:rPr>
          <w:w w:val="110"/>
          <w:sz w:val="19"/>
        </w:rPr>
        <w:t>the payment of exactly </w:t>
      </w:r>
      <w:r>
        <w:rPr>
          <w:i/>
          <w:w w:val="110"/>
          <w:sz w:val="22"/>
        </w:rPr>
        <w:t>t </w:t>
      </w:r>
      <w:r>
        <w:rPr>
          <w:w w:val="110"/>
          <w:sz w:val="29"/>
        </w:rPr>
        <w:t>+ </w:t>
      </w:r>
      <w:r>
        <w:rPr>
          <w:w w:val="115"/>
          <w:sz w:val="19"/>
        </w:rPr>
        <w:t>1 </w:t>
      </w:r>
      <w:r>
        <w:rPr>
          <w:w w:val="110"/>
          <w:sz w:val="19"/>
        </w:rPr>
        <w:t>annual premiums, the interpolation must  be between  </w:t>
      </w:r>
      <w:r>
        <w:rPr>
          <w:spacing w:val="-5"/>
          <w:w w:val="115"/>
          <w:sz w:val="19"/>
        </w:rPr>
        <w:t>,</w:t>
      </w:r>
      <w:r>
        <w:rPr>
          <w:rFonts w:ascii="Arial"/>
          <w:i/>
          <w:spacing w:val="-5"/>
          <w:w w:val="115"/>
          <w:sz w:val="20"/>
        </w:rPr>
        <w:t>V</w:t>
      </w:r>
      <w:r>
        <w:rPr>
          <w:rFonts w:ascii="Arial"/>
          <w:spacing w:val="-5"/>
          <w:w w:val="115"/>
          <w:sz w:val="12"/>
        </w:rPr>
        <w:t>s  </w:t>
      </w:r>
      <w:r>
        <w:rPr>
          <w:rFonts w:ascii="Arial"/>
          <w:w w:val="110"/>
          <w:sz w:val="31"/>
        </w:rPr>
        <w:t>+ </w:t>
      </w:r>
      <w:r>
        <w:rPr>
          <w:rFonts w:ascii="Arial"/>
          <w:i/>
          <w:w w:val="110"/>
          <w:sz w:val="20"/>
        </w:rPr>
        <w:t>P</w:t>
      </w:r>
      <w:r>
        <w:rPr>
          <w:rFonts w:ascii="Arial"/>
          <w:w w:val="110"/>
          <w:sz w:val="12"/>
        </w:rPr>
        <w:t>z </w:t>
      </w:r>
      <w:r>
        <w:rPr>
          <w:rFonts w:ascii="Arial"/>
          <w:w w:val="250"/>
          <w:sz w:val="12"/>
        </w:rPr>
        <w:t>, </w:t>
      </w:r>
      <w:r>
        <w:rPr>
          <w:w w:val="110"/>
          <w:sz w:val="19"/>
        </w:rPr>
        <w:t>defined  as the </w:t>
      </w:r>
      <w:r>
        <w:rPr>
          <w:rFonts w:ascii="Arial"/>
          <w:i/>
          <w:w w:val="110"/>
          <w:sz w:val="20"/>
        </w:rPr>
        <w:t>initial </w:t>
      </w:r>
      <w:r>
        <w:rPr>
          <w:w w:val="110"/>
          <w:sz w:val="19"/>
        </w:rPr>
        <w:t>reserve for the</w:t>
      </w:r>
      <w:r>
        <w:rPr>
          <w:spacing w:val="52"/>
          <w:w w:val="110"/>
          <w:sz w:val="19"/>
        </w:rPr>
        <w:t> </w:t>
      </w:r>
      <w:r>
        <w:rPr>
          <w:rFonts w:ascii="Arial"/>
          <w:b/>
          <w:i/>
          <w:w w:val="105"/>
          <w:sz w:val="20"/>
        </w:rPr>
        <w:t>(t  </w:t>
      </w:r>
      <w:r>
        <w:rPr>
          <w:rFonts w:ascii="Arial"/>
          <w:w w:val="110"/>
          <w:sz w:val="31"/>
        </w:rPr>
        <w:t>+ </w:t>
      </w:r>
      <w:r>
        <w:rPr>
          <w:spacing w:val="-3"/>
          <w:w w:val="110"/>
          <w:sz w:val="19"/>
        </w:rPr>
        <w:t>1)-th  </w:t>
      </w:r>
      <w:r>
        <w:rPr>
          <w:w w:val="110"/>
          <w:sz w:val="19"/>
        </w:rPr>
        <w:t>year,  and  </w:t>
      </w:r>
      <w:r>
        <w:rPr>
          <w:spacing w:val="2"/>
          <w:w w:val="110"/>
          <w:sz w:val="15"/>
        </w:rPr>
        <w:t>a+I</w:t>
      </w:r>
      <w:r>
        <w:rPr>
          <w:i/>
          <w:spacing w:val="2"/>
          <w:w w:val="110"/>
          <w:sz w:val="22"/>
        </w:rPr>
        <w:t>Va </w:t>
      </w:r>
      <w:r>
        <w:rPr>
          <w:i/>
          <w:w w:val="110"/>
          <w:sz w:val="22"/>
        </w:rPr>
        <w:t>,  </w:t>
      </w:r>
      <w:r>
        <w:rPr>
          <w:w w:val="110"/>
          <w:sz w:val="19"/>
        </w:rPr>
        <w:t>the  terminal  reserve  for  that</w:t>
      </w:r>
      <w:r>
        <w:rPr>
          <w:spacing w:val="7"/>
          <w:w w:val="110"/>
          <w:sz w:val="19"/>
        </w:rPr>
        <w:t> </w:t>
      </w:r>
      <w:r>
        <w:rPr>
          <w:w w:val="110"/>
          <w:sz w:val="19"/>
        </w:rPr>
        <w:t>year,</w:t>
      </w:r>
    </w:p>
    <w:p>
      <w:pPr>
        <w:spacing w:line="259" w:lineRule="auto" w:before="1"/>
        <w:ind w:left="128" w:right="152" w:firstLine="7"/>
        <w:jc w:val="both"/>
        <w:rPr>
          <w:sz w:val="19"/>
        </w:rPr>
      </w:pPr>
      <w:r>
        <w:rPr>
          <w:w w:val="115"/>
          <w:sz w:val="19"/>
        </w:rPr>
        <w:t>rather than between ,</w:t>
      </w:r>
      <w:r>
        <w:rPr>
          <w:i/>
          <w:w w:val="115"/>
          <w:sz w:val="21"/>
        </w:rPr>
        <w:t>V</w:t>
      </w:r>
      <w:r>
        <w:rPr>
          <w:rFonts w:ascii="Arial"/>
          <w:w w:val="115"/>
          <w:sz w:val="12"/>
        </w:rPr>
        <w:t>s </w:t>
      </w:r>
      <w:r>
        <w:rPr>
          <w:w w:val="115"/>
          <w:sz w:val="19"/>
        </w:rPr>
        <w:t>and </w:t>
      </w:r>
      <w:r>
        <w:rPr>
          <w:w w:val="115"/>
          <w:sz w:val="13"/>
        </w:rPr>
        <w:t>1+1</w:t>
      </w:r>
      <w:r>
        <w:rPr>
          <w:i/>
          <w:w w:val="115"/>
          <w:sz w:val="21"/>
        </w:rPr>
        <w:t>V</w:t>
      </w:r>
      <w:r>
        <w:rPr>
          <w:rFonts w:ascii="Arial"/>
          <w:w w:val="115"/>
          <w:sz w:val="12"/>
        </w:rPr>
        <w:t>z </w:t>
      </w:r>
      <w:r>
        <w:rPr>
          <w:rFonts w:ascii="Arial"/>
          <w:w w:val="225"/>
          <w:sz w:val="12"/>
        </w:rPr>
        <w:t>, </w:t>
      </w:r>
      <w:r>
        <w:rPr>
          <w:w w:val="115"/>
          <w:sz w:val="19"/>
        </w:rPr>
        <w:t>the successive terminal reserves. We thus ha.ve</w:t>
      </w:r>
    </w:p>
    <w:p>
      <w:pPr>
        <w:tabs>
          <w:tab w:pos="5297" w:val="left" w:leader="none"/>
        </w:tabs>
        <w:spacing w:before="35"/>
        <w:ind w:left="992" w:right="0" w:firstLine="0"/>
        <w:jc w:val="left"/>
        <w:rPr>
          <w:b/>
          <w:sz w:val="19"/>
        </w:rPr>
      </w:pPr>
      <w:r>
        <w:rPr>
          <w:b/>
          <w:i/>
          <w:w w:val="95"/>
          <w:sz w:val="21"/>
        </w:rPr>
        <w:t>c+r.Va  </w:t>
      </w:r>
      <w:r>
        <w:rPr>
          <w:w w:val="80"/>
          <w:sz w:val="20"/>
        </w:rPr>
        <w:t>==:   </w:t>
      </w:r>
      <w:r>
        <w:rPr>
          <w:b/>
          <w:sz w:val="19"/>
        </w:rPr>
        <w:t>(1  </w:t>
      </w:r>
      <w:r>
        <w:rPr>
          <w:w w:val="275"/>
          <w:sz w:val="19"/>
        </w:rPr>
        <w:t>- </w:t>
      </w:r>
      <w:r>
        <w:rPr>
          <w:b/>
          <w:i/>
          <w:spacing w:val="5"/>
          <w:sz w:val="21"/>
        </w:rPr>
        <w:t>h)( </w:t>
      </w:r>
      <w:r>
        <w:rPr>
          <w:b/>
          <w:i/>
          <w:w w:val="95"/>
          <w:sz w:val="21"/>
        </w:rPr>
        <w:t>1Va  </w:t>
      </w:r>
      <w:r>
        <w:rPr>
          <w:sz w:val="29"/>
        </w:rPr>
        <w:t>+ </w:t>
      </w:r>
      <w:r>
        <w:rPr>
          <w:b/>
          <w:i/>
          <w:w w:val="95"/>
          <w:sz w:val="21"/>
        </w:rPr>
        <w:t>Pa )  </w:t>
      </w:r>
      <w:r>
        <w:rPr>
          <w:sz w:val="29"/>
        </w:rPr>
        <w:t>+ </w:t>
      </w:r>
      <w:r>
        <w:rPr>
          <w:b/>
          <w:i/>
          <w:sz w:val="21"/>
        </w:rPr>
        <w:t>h· </w:t>
      </w:r>
      <w:r>
        <w:rPr>
          <w:b/>
          <w:i/>
          <w:w w:val="95"/>
          <w:sz w:val="21"/>
        </w:rPr>
        <w:t>,+1V</w:t>
      </w:r>
      <w:r>
        <w:rPr>
          <w:b/>
          <w:i/>
          <w:spacing w:val="15"/>
          <w:w w:val="95"/>
          <w:sz w:val="21"/>
        </w:rPr>
        <w:t> </w:t>
      </w:r>
      <w:r>
        <w:rPr>
          <w:b/>
          <w:i/>
          <w:w w:val="95"/>
          <w:sz w:val="21"/>
        </w:rPr>
        <w:t>z</w:t>
      </w:r>
      <w:r>
        <w:rPr>
          <w:b/>
          <w:i/>
          <w:spacing w:val="4"/>
          <w:w w:val="95"/>
          <w:sz w:val="21"/>
        </w:rPr>
        <w:t> </w:t>
      </w:r>
      <w:r>
        <w:rPr>
          <w:b/>
          <w:i/>
          <w:sz w:val="21"/>
        </w:rPr>
        <w:t>.</w:t>
        <w:tab/>
      </w:r>
      <w:r>
        <w:rPr>
          <w:b/>
          <w:sz w:val="19"/>
        </w:rPr>
        <w:t>(5.24c)</w:t>
      </w:r>
    </w:p>
    <w:p>
      <w:pPr>
        <w:tabs>
          <w:tab w:pos="5812" w:val="left" w:leader="none"/>
        </w:tabs>
        <w:spacing w:before="77"/>
        <w:ind w:left="337" w:right="0" w:firstLine="0"/>
        <w:jc w:val="left"/>
        <w:rPr>
          <w:sz w:val="19"/>
        </w:rPr>
      </w:pPr>
      <w:r>
        <w:rPr>
          <w:w w:val="110"/>
          <w:sz w:val="22"/>
        </w:rPr>
        <w:t>In  </w:t>
      </w:r>
      <w:r>
        <w:rPr>
          <w:w w:val="110"/>
          <w:sz w:val="19"/>
        </w:rPr>
        <w:t>the  general  case,  considering  a  policy  with</w:t>
      </w:r>
      <w:r>
        <w:rPr>
          <w:spacing w:val="22"/>
          <w:w w:val="110"/>
          <w:sz w:val="19"/>
        </w:rPr>
        <w:t> </w:t>
      </w:r>
      <w:r>
        <w:rPr>
          <w:w w:val="110"/>
          <w:sz w:val="19"/>
        </w:rPr>
        <w:t>insurance</w:t>
      </w:r>
      <w:r>
        <w:rPr>
          <w:spacing w:val="47"/>
          <w:w w:val="110"/>
          <w:sz w:val="19"/>
        </w:rPr>
        <w:t> </w:t>
      </w:r>
      <w:r>
        <w:rPr>
          <w:w w:val="110"/>
          <w:sz w:val="19"/>
        </w:rPr>
        <w:t>of</w:t>
        <w:tab/>
        <w:t>1</w:t>
      </w:r>
    </w:p>
    <w:p>
      <w:pPr>
        <w:spacing w:before="15"/>
        <w:ind w:left="128" w:right="0" w:firstLine="0"/>
        <w:jc w:val="both"/>
        <w:rPr>
          <w:sz w:val="19"/>
        </w:rPr>
      </w:pPr>
      <w:r>
        <w:rPr>
          <w:w w:val="110"/>
          <w:sz w:val="19"/>
        </w:rPr>
        <w:t>a.nd  premium  </w:t>
      </w:r>
      <w:r>
        <w:rPr>
          <w:rFonts w:ascii="Arial"/>
          <w:i/>
          <w:w w:val="110"/>
          <w:sz w:val="19"/>
        </w:rPr>
        <w:t>P </w:t>
      </w:r>
      <w:r>
        <w:rPr>
          <w:w w:val="110"/>
          <w:sz w:val="19"/>
        </w:rPr>
        <w:t>paya.ble  annually,  the formula is</w:t>
      </w:r>
    </w:p>
    <w:p>
      <w:pPr>
        <w:spacing w:before="35"/>
        <w:ind w:left="543" w:right="543" w:firstLine="0"/>
        <w:jc w:val="center"/>
        <w:rPr>
          <w:rFonts w:ascii="Arial" w:hAnsi="Arial"/>
          <w:i/>
          <w:sz w:val="28"/>
        </w:rPr>
      </w:pPr>
      <w:r>
        <w:rPr>
          <w:rFonts w:ascii="Arial" w:hAnsi="Arial"/>
          <w:i/>
          <w:spacing w:val="-8"/>
          <w:w w:val="110"/>
          <w:sz w:val="28"/>
        </w:rPr>
        <w:t>,+'v </w:t>
      </w:r>
      <w:r>
        <w:rPr>
          <w:rFonts w:ascii="Arial" w:hAnsi="Arial"/>
          <w:w w:val="90"/>
          <w:sz w:val="21"/>
        </w:rPr>
        <w:t>=; </w:t>
      </w:r>
      <w:r>
        <w:rPr>
          <w:w w:val="110"/>
          <w:sz w:val="20"/>
        </w:rPr>
        <w:t>(1 </w:t>
      </w:r>
      <w:r>
        <w:rPr>
          <w:w w:val="245"/>
          <w:sz w:val="20"/>
        </w:rPr>
        <w:t>-</w:t>
      </w:r>
      <w:r>
        <w:rPr>
          <w:spacing w:val="-91"/>
          <w:w w:val="245"/>
          <w:sz w:val="20"/>
        </w:rPr>
        <w:t> </w:t>
      </w:r>
      <w:r>
        <w:rPr>
          <w:rFonts w:ascii="Arial" w:hAnsi="Arial"/>
          <w:i/>
          <w:spacing w:val="11"/>
          <w:w w:val="90"/>
          <w:sz w:val="19"/>
        </w:rPr>
        <w:t>h) </w:t>
      </w:r>
      <w:r>
        <w:rPr>
          <w:rFonts w:ascii="Arial" w:hAnsi="Arial"/>
          <w:i/>
          <w:spacing w:val="-7"/>
          <w:w w:val="90"/>
          <w:sz w:val="28"/>
        </w:rPr>
        <w:t>&lt;,v </w:t>
      </w:r>
      <w:r>
        <w:rPr>
          <w:rFonts w:ascii="Arial" w:hAnsi="Arial"/>
          <w:w w:val="110"/>
          <w:sz w:val="31"/>
        </w:rPr>
        <w:t>+</w:t>
      </w:r>
      <w:r>
        <w:rPr>
          <w:rFonts w:ascii="Arial" w:hAnsi="Arial"/>
          <w:spacing w:val="-65"/>
          <w:w w:val="110"/>
          <w:sz w:val="31"/>
        </w:rPr>
        <w:t> </w:t>
      </w:r>
      <w:r>
        <w:rPr>
          <w:rFonts w:ascii="Arial" w:hAnsi="Arial"/>
          <w:i/>
          <w:spacing w:val="12"/>
          <w:w w:val="90"/>
          <w:sz w:val="19"/>
        </w:rPr>
        <w:t>P) </w:t>
      </w:r>
      <w:r>
        <w:rPr>
          <w:rFonts w:ascii="Arial" w:hAnsi="Arial"/>
          <w:w w:val="110"/>
          <w:sz w:val="31"/>
        </w:rPr>
        <w:t>+</w:t>
      </w:r>
      <w:r>
        <w:rPr>
          <w:rFonts w:ascii="Arial" w:hAnsi="Arial"/>
          <w:spacing w:val="-64"/>
          <w:w w:val="110"/>
          <w:sz w:val="31"/>
        </w:rPr>
        <w:t> </w:t>
      </w:r>
      <w:r>
        <w:rPr>
          <w:rFonts w:ascii="Arial" w:hAnsi="Arial"/>
          <w:i/>
          <w:w w:val="90"/>
          <w:sz w:val="28"/>
        </w:rPr>
        <w:t>h·e+1v</w:t>
      </w:r>
    </w:p>
    <w:p>
      <w:pPr>
        <w:tabs>
          <w:tab w:pos="5384" w:val="left" w:leader="none"/>
        </w:tabs>
        <w:spacing w:before="0"/>
        <w:ind w:left="1842" w:right="0" w:firstLine="0"/>
        <w:jc w:val="left"/>
        <w:rPr>
          <w:sz w:val="19"/>
        </w:rPr>
      </w:pPr>
      <w:r>
        <w:rPr>
          <w:sz w:val="28"/>
        </w:rPr>
        <w:t>=</w:t>
      </w:r>
      <w:r>
        <w:rPr>
          <w:spacing w:val="23"/>
          <w:sz w:val="28"/>
        </w:rPr>
        <w:t> </w:t>
      </w:r>
      <w:r>
        <w:rPr>
          <w:b/>
          <w:w w:val="120"/>
          <w:sz w:val="19"/>
        </w:rPr>
        <w:t>(1</w:t>
      </w:r>
      <w:r>
        <w:rPr>
          <w:b/>
          <w:spacing w:val="5"/>
          <w:w w:val="120"/>
          <w:sz w:val="19"/>
        </w:rPr>
        <w:t> </w:t>
      </w:r>
      <w:r>
        <w:rPr>
          <w:w w:val="270"/>
          <w:sz w:val="19"/>
        </w:rPr>
        <w:t>-</w:t>
      </w:r>
      <w:r>
        <w:rPr>
          <w:spacing w:val="-89"/>
          <w:w w:val="270"/>
          <w:sz w:val="19"/>
        </w:rPr>
        <w:t> </w:t>
      </w:r>
      <w:r>
        <w:rPr>
          <w:rFonts w:ascii="Arial" w:hAnsi="Arial"/>
          <w:i/>
          <w:spacing w:val="7"/>
          <w:w w:val="120"/>
          <w:sz w:val="19"/>
        </w:rPr>
        <w:t>h},V</w:t>
      </w:r>
      <w:r>
        <w:rPr>
          <w:rFonts w:ascii="Arial" w:hAnsi="Arial"/>
          <w:i/>
          <w:spacing w:val="-11"/>
          <w:w w:val="120"/>
          <w:sz w:val="19"/>
        </w:rPr>
        <w:t> </w:t>
      </w:r>
      <w:r>
        <w:rPr>
          <w:rFonts w:ascii="Arial" w:hAnsi="Arial"/>
          <w:w w:val="120"/>
          <w:sz w:val="31"/>
        </w:rPr>
        <w:t>+</w:t>
      </w:r>
      <w:r>
        <w:rPr>
          <w:rFonts w:ascii="Arial" w:hAnsi="Arial"/>
          <w:spacing w:val="-66"/>
          <w:w w:val="120"/>
          <w:sz w:val="31"/>
        </w:rPr>
        <w:t> </w:t>
      </w:r>
      <w:r>
        <w:rPr>
          <w:rFonts w:ascii="Arial" w:hAnsi="Arial"/>
          <w:i/>
          <w:sz w:val="20"/>
        </w:rPr>
        <w:t>h·1+1V</w:t>
      </w:r>
      <w:r>
        <w:rPr>
          <w:rFonts w:ascii="Arial" w:hAnsi="Arial"/>
          <w:i/>
          <w:spacing w:val="25"/>
          <w:sz w:val="20"/>
        </w:rPr>
        <w:t> </w:t>
      </w:r>
      <w:r>
        <w:rPr>
          <w:rFonts w:ascii="Arial" w:hAnsi="Arial"/>
          <w:w w:val="120"/>
          <w:sz w:val="31"/>
        </w:rPr>
        <w:t>+</w:t>
      </w:r>
      <w:r>
        <w:rPr>
          <w:rFonts w:ascii="Arial" w:hAnsi="Arial"/>
          <w:spacing w:val="-45"/>
          <w:w w:val="120"/>
          <w:sz w:val="31"/>
        </w:rPr>
        <w:t> </w:t>
      </w:r>
      <w:r>
        <w:rPr>
          <w:w w:val="120"/>
          <w:sz w:val="19"/>
        </w:rPr>
        <w:t>(1</w:t>
      </w:r>
      <w:r>
        <w:rPr>
          <w:spacing w:val="-7"/>
          <w:w w:val="120"/>
          <w:sz w:val="19"/>
        </w:rPr>
        <w:t> </w:t>
      </w:r>
      <w:r>
        <w:rPr>
          <w:w w:val="270"/>
          <w:sz w:val="19"/>
        </w:rPr>
        <w:t>-</w:t>
      </w:r>
      <w:r>
        <w:rPr>
          <w:spacing w:val="-94"/>
          <w:w w:val="270"/>
          <w:sz w:val="19"/>
        </w:rPr>
        <w:t> </w:t>
      </w:r>
      <w:r>
        <w:rPr>
          <w:rFonts w:ascii="Arial" w:hAnsi="Arial"/>
          <w:i/>
          <w:spacing w:val="4"/>
          <w:w w:val="120"/>
          <w:sz w:val="19"/>
        </w:rPr>
        <w:t>h)P</w:t>
        <w:tab/>
      </w:r>
      <w:r>
        <w:rPr>
          <w:w w:val="120"/>
          <w:sz w:val="19"/>
        </w:rPr>
        <w:t>(5.25)</w:t>
      </w:r>
    </w:p>
    <w:p>
      <w:pPr>
        <w:spacing w:line="256" w:lineRule="auto" w:before="63"/>
        <w:ind w:left="132" w:right="128" w:firstLine="3196"/>
        <w:jc w:val="both"/>
        <w:rPr>
          <w:sz w:val="19"/>
        </w:rPr>
      </w:pPr>
      <w:r>
        <w:rPr>
          <w:w w:val="105"/>
          <w:sz w:val="19"/>
        </w:rPr>
        <w:t>for integral </w:t>
      </w:r>
      <w:r>
        <w:rPr>
          <w:i/>
          <w:w w:val="105"/>
          <w:sz w:val="22"/>
        </w:rPr>
        <w:t>t </w:t>
      </w:r>
      <w:r>
        <w:rPr>
          <w:w w:val="105"/>
          <w:sz w:val="19"/>
        </w:rPr>
        <w:t>and O </w:t>
      </w:r>
      <w:r>
        <w:rPr>
          <w:w w:val="105"/>
          <w:sz w:val="24"/>
        </w:rPr>
        <w:t>&lt; </w:t>
      </w:r>
      <w:r>
        <w:rPr>
          <w:rFonts w:ascii="Arial"/>
          <w:i/>
          <w:w w:val="105"/>
          <w:sz w:val="20"/>
        </w:rPr>
        <w:t>h </w:t>
      </w:r>
      <w:r>
        <w:rPr>
          <w:w w:val="115"/>
          <w:sz w:val="20"/>
        </w:rPr>
        <w:t>l.  </w:t>
      </w:r>
      <w:r>
        <w:rPr>
          <w:w w:val="105"/>
          <w:sz w:val="19"/>
        </w:rPr>
        <w:t>Since the terminal reserves are normally tabulated for all integral durations,  formula   (5.25)   a.ffords  a  convenient </w:t>
      </w:r>
      <w:r>
        <w:rPr>
          <w:spacing w:val="47"/>
          <w:w w:val="105"/>
          <w:sz w:val="19"/>
        </w:rPr>
        <w:t> </w:t>
      </w:r>
      <w:r>
        <w:rPr>
          <w:w w:val="105"/>
          <w:sz w:val="19"/>
        </w:rPr>
        <w:t>approximation.</w:t>
      </w:r>
    </w:p>
    <w:p>
      <w:pPr>
        <w:spacing w:line="227" w:lineRule="exact" w:before="0"/>
        <w:ind w:left="337" w:right="0" w:firstLine="0"/>
        <w:jc w:val="left"/>
        <w:rPr>
          <w:sz w:val="19"/>
        </w:rPr>
      </w:pPr>
      <w:r>
        <w:rPr>
          <w:rFonts w:ascii="Arial"/>
          <w:w w:val="145"/>
          <w:sz w:val="21"/>
        </w:rPr>
        <w:t>It </w:t>
      </w:r>
      <w:r>
        <w:rPr>
          <w:w w:val="115"/>
          <w:sz w:val="19"/>
        </w:rPr>
        <w:t>is interesting </w:t>
      </w:r>
      <w:r>
        <w:rPr>
          <w:w w:val="115"/>
          <w:sz w:val="21"/>
        </w:rPr>
        <w:t>to </w:t>
      </w:r>
      <w:r>
        <w:rPr>
          <w:w w:val="115"/>
          <w:sz w:val="19"/>
        </w:rPr>
        <w:t>consider the analogue of  (5.24a} when   the</w:t>
      </w:r>
    </w:p>
    <w:p>
      <w:pPr>
        <w:spacing w:before="18"/>
        <w:ind w:left="135" w:right="0" w:firstLine="0"/>
        <w:jc w:val="both"/>
        <w:rPr>
          <w:sz w:val="19"/>
        </w:rPr>
      </w:pPr>
      <w:r>
        <w:rPr>
          <w:w w:val="110"/>
          <w:sz w:val="19"/>
        </w:rPr>
        <w:t>insurance is paya.ble  at the moment  of  death:</w:t>
      </w:r>
    </w:p>
    <w:p>
      <w:pPr>
        <w:spacing w:before="72"/>
        <w:ind w:left="476" w:right="543" w:firstLine="0"/>
        <w:jc w:val="center"/>
        <w:rPr>
          <w:sz w:val="14"/>
        </w:rPr>
      </w:pPr>
      <w:r>
        <w:rPr>
          <w:b/>
          <w:i/>
          <w:w w:val="90"/>
          <w:sz w:val="21"/>
        </w:rPr>
        <w:t>a+r.V </w:t>
      </w:r>
      <w:r>
        <w:rPr>
          <w:b/>
          <w:i/>
          <w:spacing w:val="4"/>
          <w:w w:val="90"/>
          <w:sz w:val="21"/>
        </w:rPr>
        <w:t>(As </w:t>
      </w:r>
      <w:r>
        <w:rPr>
          <w:b/>
          <w:i/>
          <w:w w:val="90"/>
          <w:sz w:val="21"/>
        </w:rPr>
        <w:t>}  </w:t>
      </w:r>
      <w:r>
        <w:rPr>
          <w:w w:val="90"/>
          <w:sz w:val="28"/>
        </w:rPr>
        <w:t>= </w:t>
      </w:r>
      <w:r>
        <w:rPr>
          <w:b/>
          <w:w w:val="125"/>
          <w:sz w:val="14"/>
        </w:rPr>
        <w:t>Áa+Hlt </w:t>
      </w:r>
      <w:r>
        <w:rPr>
          <w:w w:val="365"/>
          <w:sz w:val="14"/>
        </w:rPr>
        <w:t>-</w:t>
      </w:r>
      <w:r>
        <w:rPr>
          <w:spacing w:val="-114"/>
          <w:w w:val="365"/>
          <w:sz w:val="14"/>
        </w:rPr>
        <w:t> </w:t>
      </w:r>
      <w:r>
        <w:rPr>
          <w:b/>
          <w:spacing w:val="-4"/>
          <w:w w:val="90"/>
          <w:sz w:val="23"/>
        </w:rPr>
        <w:t>P(.,L:} </w:t>
      </w:r>
      <w:r>
        <w:rPr>
          <w:b/>
          <w:w w:val="125"/>
          <w:sz w:val="14"/>
        </w:rPr>
        <w:t>·1-11dz+Hh </w:t>
      </w:r>
      <w:r>
        <w:rPr>
          <w:w w:val="90"/>
          <w:sz w:val="14"/>
        </w:rPr>
        <w:t>•</w:t>
      </w:r>
    </w:p>
    <w:p>
      <w:pPr>
        <w:spacing w:before="104"/>
        <w:ind w:left="135" w:right="0" w:firstLine="0"/>
        <w:jc w:val="both"/>
        <w:rPr>
          <w:sz w:val="19"/>
        </w:rPr>
      </w:pPr>
      <w:r>
        <w:rPr>
          <w:w w:val="115"/>
          <w:sz w:val="19"/>
        </w:rPr>
        <w:t>By  using  the linear interpolation</w:t>
      </w:r>
    </w:p>
    <w:p>
      <w:pPr>
        <w:spacing w:before="36"/>
        <w:ind w:left="527" w:right="543" w:firstLine="0"/>
        <w:jc w:val="center"/>
        <w:rPr>
          <w:b/>
          <w:sz w:val="17"/>
        </w:rPr>
      </w:pPr>
      <w:r>
        <w:rPr>
          <w:b/>
          <w:i/>
          <w:w w:val="110"/>
          <w:sz w:val="17"/>
        </w:rPr>
        <w:t>Ás+t+r. </w:t>
      </w:r>
      <w:r>
        <w:rPr>
          <w:w w:val="85"/>
          <w:sz w:val="20"/>
        </w:rPr>
        <w:t>==: </w:t>
      </w:r>
      <w:r>
        <w:rPr>
          <w:rFonts w:ascii="Arial" w:hAnsi="Arial"/>
          <w:b/>
          <w:w w:val="110"/>
          <w:sz w:val="19"/>
        </w:rPr>
        <w:t>(1 </w:t>
      </w:r>
      <w:r>
        <w:rPr>
          <w:rFonts w:ascii="Arial" w:hAnsi="Arial"/>
          <w:w w:val="240"/>
          <w:sz w:val="19"/>
        </w:rPr>
        <w:t>- </w:t>
      </w:r>
      <w:r>
        <w:rPr>
          <w:rFonts w:ascii="Arial" w:hAnsi="Arial"/>
          <w:b/>
          <w:i/>
          <w:spacing w:val="8"/>
          <w:w w:val="110"/>
          <w:sz w:val="19"/>
        </w:rPr>
        <w:t>h) </w:t>
      </w:r>
      <w:r>
        <w:rPr>
          <w:b/>
          <w:i/>
          <w:w w:val="110"/>
          <w:sz w:val="17"/>
        </w:rPr>
        <w:t>Ás+t </w:t>
      </w:r>
      <w:r>
        <w:rPr>
          <w:rFonts w:ascii="Arial" w:hAnsi="Arial"/>
          <w:w w:val="110"/>
          <w:sz w:val="32"/>
        </w:rPr>
        <w:t>+</w:t>
      </w:r>
      <w:r>
        <w:rPr>
          <w:rFonts w:ascii="Arial" w:hAnsi="Arial"/>
          <w:spacing w:val="-84"/>
          <w:w w:val="110"/>
          <w:sz w:val="32"/>
        </w:rPr>
        <w:t> </w:t>
      </w:r>
      <w:r>
        <w:rPr>
          <w:b/>
          <w:w w:val="110"/>
          <w:sz w:val="17"/>
        </w:rPr>
        <w:t>h.Aa+t+l</w:t>
      </w:r>
    </w:p>
    <w:p>
      <w:pPr>
        <w:spacing w:before="89"/>
        <w:ind w:left="132" w:right="0" w:firstLine="0"/>
        <w:jc w:val="both"/>
        <w:rPr>
          <w:sz w:val="19"/>
        </w:rPr>
      </w:pPr>
      <w:r>
        <w:rPr>
          <w:w w:val="115"/>
          <w:sz w:val="19"/>
        </w:rPr>
        <w:t>and the standard approxima.tion</w:t>
      </w:r>
    </w:p>
    <w:p>
      <w:pPr>
        <w:spacing w:before="26"/>
        <w:ind w:left="128" w:right="0" w:firstLine="0"/>
        <w:jc w:val="both"/>
        <w:rPr>
          <w:rFonts w:ascii="Arial" w:hAnsi="Arial"/>
          <w:b/>
          <w:i/>
          <w:sz w:val="19"/>
        </w:rPr>
      </w:pPr>
      <w:r>
        <w:rPr>
          <w:b/>
          <w:w w:val="170"/>
          <w:sz w:val="14"/>
        </w:rPr>
        <w:t>1-.\l+Hh </w:t>
      </w:r>
      <w:r>
        <w:rPr>
          <w:rFonts w:ascii="Arial" w:hAnsi="Arial"/>
          <w:w w:val="105"/>
          <w:sz w:val="17"/>
        </w:rPr>
        <w:t>=¡ </w:t>
      </w:r>
      <w:r>
        <w:rPr>
          <w:rFonts w:ascii="Arial" w:hAnsi="Arial"/>
          <w:b/>
          <w:w w:val="105"/>
          <w:sz w:val="15"/>
        </w:rPr>
        <w:t>4.+c+A </w:t>
      </w:r>
      <w:r>
        <w:rPr>
          <w:rFonts w:ascii="Arial" w:hAnsi="Arial"/>
          <w:w w:val="325"/>
          <w:sz w:val="15"/>
        </w:rPr>
        <w:t>-</w:t>
      </w:r>
      <w:r>
        <w:rPr>
          <w:rFonts w:ascii="Arial" w:hAnsi="Arial"/>
          <w:spacing w:val="-59"/>
          <w:w w:val="325"/>
          <w:sz w:val="15"/>
        </w:rPr>
        <w:t> </w:t>
      </w:r>
      <w:r>
        <w:rPr>
          <w:b/>
          <w:w w:val="105"/>
          <w:sz w:val="19"/>
        </w:rPr>
        <w:t>(1 </w:t>
      </w:r>
      <w:r>
        <w:rPr>
          <w:w w:val="270"/>
          <w:sz w:val="19"/>
        </w:rPr>
        <w:t>-</w:t>
      </w:r>
      <w:r>
        <w:rPr>
          <w:spacing w:val="-102"/>
          <w:w w:val="270"/>
          <w:sz w:val="19"/>
        </w:rPr>
        <w:t> </w:t>
      </w:r>
      <w:r>
        <w:rPr>
          <w:rFonts w:ascii="Arial" w:hAnsi="Arial"/>
          <w:b/>
          <w:i/>
          <w:spacing w:val="6"/>
          <w:w w:val="105"/>
          <w:sz w:val="19"/>
        </w:rPr>
        <w:t>h) </w:t>
      </w:r>
      <w:r>
        <w:rPr>
          <w:rFonts w:ascii="Arial" w:hAnsi="Arial"/>
          <w:w w:val="105"/>
          <w:sz w:val="17"/>
        </w:rPr>
        <w:t>=¡ </w:t>
      </w:r>
      <w:r>
        <w:rPr>
          <w:w w:val="105"/>
          <w:sz w:val="20"/>
        </w:rPr>
        <w:t>(1 </w:t>
      </w:r>
      <w:r>
        <w:rPr>
          <w:w w:val="270"/>
          <w:sz w:val="20"/>
        </w:rPr>
        <w:t>-</w:t>
      </w:r>
      <w:r>
        <w:rPr>
          <w:spacing w:val="-111"/>
          <w:w w:val="270"/>
          <w:sz w:val="20"/>
        </w:rPr>
        <w:t> </w:t>
      </w:r>
      <w:r>
        <w:rPr>
          <w:b/>
          <w:w w:val="130"/>
          <w:sz w:val="19"/>
        </w:rPr>
        <w:t>h} </w:t>
      </w:r>
      <w:r>
        <w:rPr>
          <w:b/>
          <w:w w:val="105"/>
          <w:sz w:val="14"/>
        </w:rPr>
        <w:t>Oa+t </w:t>
      </w:r>
      <w:r>
        <w:rPr>
          <w:rFonts w:ascii="Arial" w:hAnsi="Arial"/>
          <w:w w:val="105"/>
          <w:sz w:val="32"/>
        </w:rPr>
        <w:t>+</w:t>
      </w:r>
      <w:r>
        <w:rPr>
          <w:rFonts w:ascii="Arial" w:hAnsi="Arial"/>
          <w:spacing w:val="-65"/>
          <w:w w:val="105"/>
          <w:sz w:val="32"/>
        </w:rPr>
        <w:t> </w:t>
      </w:r>
      <w:r>
        <w:rPr>
          <w:b/>
          <w:w w:val="130"/>
          <w:sz w:val="14"/>
        </w:rPr>
        <w:t>Mz+Hl </w:t>
      </w:r>
      <w:r>
        <w:rPr>
          <w:w w:val="365"/>
          <w:sz w:val="14"/>
        </w:rPr>
        <w:t>-</w:t>
      </w:r>
      <w:r>
        <w:rPr>
          <w:spacing w:val="-89"/>
          <w:w w:val="365"/>
          <w:sz w:val="14"/>
        </w:rPr>
        <w:t> </w:t>
      </w:r>
      <w:r>
        <w:rPr>
          <w:b/>
          <w:w w:val="105"/>
          <w:sz w:val="19"/>
        </w:rPr>
        <w:t>{1 </w:t>
      </w:r>
      <w:r>
        <w:rPr>
          <w:w w:val="270"/>
          <w:sz w:val="19"/>
        </w:rPr>
        <w:t>-</w:t>
      </w:r>
      <w:r>
        <w:rPr>
          <w:spacing w:val="-102"/>
          <w:w w:val="270"/>
          <w:sz w:val="19"/>
        </w:rPr>
        <w:t> </w:t>
      </w:r>
      <w:r>
        <w:rPr>
          <w:rFonts w:ascii="Arial" w:hAnsi="Arial"/>
          <w:b/>
          <w:i/>
          <w:spacing w:val="6"/>
          <w:w w:val="105"/>
          <w:sz w:val="19"/>
        </w:rPr>
        <w:t>h),</w:t>
      </w:r>
    </w:p>
    <w:p>
      <w:pPr>
        <w:spacing w:after="0"/>
        <w:jc w:val="both"/>
        <w:rPr>
          <w:rFonts w:ascii="Arial" w:hAnsi="Arial"/>
          <w:sz w:val="19"/>
        </w:rPr>
        <w:sectPr>
          <w:pgSz w:w="7200" w:h="11340"/>
          <w:pgMar w:top="500" w:bottom="280" w:left="660" w:right="500"/>
        </w:sectPr>
      </w:pPr>
    </w:p>
    <w:p>
      <w:pPr>
        <w:tabs>
          <w:tab w:pos="1618" w:val="left" w:leader="none"/>
          <w:tab w:pos="5387" w:val="left" w:leader="none"/>
        </w:tabs>
        <w:spacing w:before="49"/>
        <w:ind w:left="139" w:right="0" w:firstLine="0"/>
        <w:jc w:val="left"/>
        <w:rPr>
          <w:rFonts w:ascii="Arial"/>
          <w:b/>
          <w:sz w:val="19"/>
        </w:rPr>
      </w:pPr>
      <w:r>
        <w:rPr>
          <w:w w:val="110"/>
          <w:sz w:val="19"/>
        </w:rPr>
        <w:t>112</w:t>
        <w:tab/>
      </w:r>
      <w:r>
        <w:rPr>
          <w:rFonts w:ascii="Arial"/>
          <w:b/>
          <w:w w:val="110"/>
          <w:position w:val="1"/>
          <w:sz w:val="14"/>
        </w:rPr>
        <w:t>NET   LEVEL </w:t>
      </w:r>
      <w:r>
        <w:rPr>
          <w:rFonts w:ascii="Arial"/>
          <w:b/>
          <w:spacing w:val="27"/>
          <w:w w:val="110"/>
          <w:position w:val="1"/>
          <w:sz w:val="14"/>
        </w:rPr>
        <w:t> </w:t>
      </w:r>
      <w:r>
        <w:rPr>
          <w:rFonts w:ascii="Arial"/>
          <w:b/>
          <w:w w:val="110"/>
          <w:position w:val="1"/>
          <w:sz w:val="14"/>
        </w:rPr>
        <w:t>PREMIUM </w:t>
      </w:r>
      <w:r>
        <w:rPr>
          <w:rFonts w:ascii="Arial"/>
          <w:b/>
          <w:spacing w:val="25"/>
          <w:w w:val="110"/>
          <w:position w:val="1"/>
          <w:sz w:val="14"/>
        </w:rPr>
        <w:t> </w:t>
      </w:r>
      <w:r>
        <w:rPr>
          <w:rFonts w:ascii="Arial"/>
          <w:b/>
          <w:w w:val="110"/>
          <w:position w:val="1"/>
          <w:sz w:val="14"/>
        </w:rPr>
        <w:t>RESERVES</w:t>
        <w:tab/>
      </w:r>
      <w:r>
        <w:rPr>
          <w:b/>
          <w:w w:val="95"/>
          <w:position w:val="1"/>
          <w:sz w:val="17"/>
        </w:rPr>
        <w:t>{CH.</w:t>
      </w:r>
      <w:r>
        <w:rPr>
          <w:b/>
          <w:spacing w:val="6"/>
          <w:w w:val="95"/>
          <w:position w:val="1"/>
          <w:sz w:val="17"/>
        </w:rPr>
        <w:t> </w:t>
      </w:r>
      <w:r>
        <w:rPr>
          <w:rFonts w:ascii="Arial"/>
          <w:b/>
          <w:w w:val="95"/>
          <w:position w:val="1"/>
          <w:sz w:val="19"/>
        </w:rPr>
        <w:t>5</w:t>
      </w:r>
    </w:p>
    <w:p>
      <w:pPr>
        <w:pStyle w:val="BodyText"/>
        <w:spacing w:before="2"/>
        <w:rPr>
          <w:rFonts w:ascii="Arial"/>
          <w:b/>
          <w:sz w:val="21"/>
        </w:rPr>
      </w:pPr>
    </w:p>
    <w:p>
      <w:pPr>
        <w:pStyle w:val="BodyText"/>
        <w:ind w:left="121"/>
      </w:pPr>
      <w:r>
        <w:rPr>
          <w:w w:val="105"/>
        </w:rPr>
        <w:t>the formula  reduces to</w:t>
      </w:r>
    </w:p>
    <w:p>
      <w:pPr>
        <w:spacing w:before="51"/>
        <w:ind w:left="142" w:right="0" w:firstLine="0"/>
        <w:jc w:val="left"/>
        <w:rPr>
          <w:rFonts w:ascii="Arial" w:hAnsi="Arial"/>
          <w:i/>
          <w:sz w:val="18"/>
        </w:rPr>
      </w:pPr>
      <w:r>
        <w:rPr>
          <w:i/>
          <w:w w:val="85"/>
          <w:sz w:val="18"/>
        </w:rPr>
        <w:t>t+hV'</w:t>
      </w:r>
      <w:r>
        <w:rPr>
          <w:i/>
          <w:spacing w:val="9"/>
          <w:sz w:val="18"/>
        </w:rPr>
        <w:t> </w:t>
      </w:r>
      <w:r>
        <w:rPr>
          <w:i/>
          <w:spacing w:val="-39"/>
          <w:w w:val="77"/>
          <w:sz w:val="18"/>
        </w:rPr>
        <w:t>(</w:t>
      </w:r>
      <w:r>
        <w:rPr>
          <w:i/>
          <w:spacing w:val="-117"/>
          <w:w w:val="278"/>
          <w:sz w:val="18"/>
        </w:rPr>
        <w:t>,</w:t>
      </w:r>
      <w:r>
        <w:rPr>
          <w:i/>
          <w:w w:val="107"/>
          <w:sz w:val="18"/>
        </w:rPr>
        <w:t>L:</w:t>
      </w:r>
      <w:r>
        <w:rPr>
          <w:i/>
          <w:w w:val="107"/>
          <w:sz w:val="18"/>
        </w:rPr>
        <w:t>)</w:t>
      </w:r>
      <w:r>
        <w:rPr>
          <w:i/>
          <w:sz w:val="18"/>
        </w:rPr>
        <w:t>  </w:t>
      </w:r>
      <w:r>
        <w:rPr>
          <w:i/>
          <w:spacing w:val="12"/>
          <w:sz w:val="18"/>
        </w:rPr>
        <w:t> </w:t>
      </w:r>
      <w:r>
        <w:rPr>
          <w:rFonts w:ascii="Arial" w:hAnsi="Arial"/>
          <w:w w:val="49"/>
          <w:sz w:val="19"/>
        </w:rPr>
        <w:t>==:</w:t>
      </w:r>
      <w:r>
        <w:rPr>
          <w:rFonts w:ascii="Arial" w:hAnsi="Arial"/>
          <w:sz w:val="19"/>
        </w:rPr>
        <w:t>  </w:t>
      </w:r>
      <w:r>
        <w:rPr>
          <w:rFonts w:ascii="Arial" w:hAnsi="Arial"/>
          <w:spacing w:val="3"/>
          <w:sz w:val="19"/>
        </w:rPr>
        <w:t> </w:t>
      </w:r>
      <w:r>
        <w:rPr>
          <w:rFonts w:ascii="Arial" w:hAnsi="Arial"/>
          <w:w w:val="109"/>
          <w:sz w:val="19"/>
        </w:rPr>
        <w:t>(</w:t>
      </w:r>
      <w:r>
        <w:rPr>
          <w:rFonts w:ascii="Arial" w:hAnsi="Arial"/>
          <w:w w:val="109"/>
          <w:sz w:val="19"/>
        </w:rPr>
        <w:t>1</w:t>
      </w:r>
      <w:r>
        <w:rPr>
          <w:rFonts w:ascii="Arial" w:hAnsi="Arial"/>
          <w:sz w:val="19"/>
        </w:rPr>
        <w:t> </w:t>
      </w:r>
      <w:r>
        <w:rPr>
          <w:rFonts w:ascii="Arial" w:hAnsi="Arial"/>
          <w:spacing w:val="-15"/>
          <w:sz w:val="19"/>
        </w:rPr>
        <w:t> </w:t>
      </w:r>
      <w:r>
        <w:rPr>
          <w:rFonts w:ascii="Arial" w:hAnsi="Arial"/>
          <w:w w:val="262"/>
          <w:sz w:val="19"/>
        </w:rPr>
        <w:t>-</w:t>
      </w:r>
      <w:r>
        <w:rPr>
          <w:rFonts w:ascii="Arial" w:hAnsi="Arial"/>
          <w:sz w:val="19"/>
        </w:rPr>
        <w:t> </w:t>
      </w:r>
      <w:r>
        <w:rPr>
          <w:rFonts w:ascii="Arial" w:hAnsi="Arial"/>
          <w:spacing w:val="-6"/>
          <w:sz w:val="19"/>
        </w:rPr>
        <w:t> </w:t>
      </w:r>
      <w:r>
        <w:rPr>
          <w:rFonts w:ascii="Arial" w:hAnsi="Arial"/>
          <w:w w:val="116"/>
          <w:sz w:val="19"/>
        </w:rPr>
        <w:t>h</w:t>
      </w:r>
      <w:r>
        <w:rPr>
          <w:rFonts w:ascii="Arial" w:hAnsi="Arial"/>
          <w:w w:val="116"/>
          <w:sz w:val="19"/>
        </w:rPr>
        <w:t>)</w:t>
      </w:r>
      <w:r>
        <w:rPr>
          <w:rFonts w:ascii="Arial" w:hAnsi="Arial"/>
          <w:w w:val="116"/>
          <w:sz w:val="19"/>
        </w:rPr>
        <w:t>,V</w:t>
      </w:r>
      <w:r>
        <w:rPr>
          <w:rFonts w:ascii="Arial" w:hAnsi="Arial"/>
          <w:spacing w:val="-21"/>
          <w:sz w:val="19"/>
        </w:rPr>
        <w:t> </w:t>
      </w:r>
      <w:r>
        <w:rPr>
          <w:rFonts w:ascii="Arial" w:hAnsi="Arial"/>
          <w:spacing w:val="-14"/>
          <w:w w:val="117"/>
          <w:sz w:val="19"/>
        </w:rPr>
        <w:t>(</w:t>
      </w:r>
      <w:r>
        <w:rPr>
          <w:rFonts w:ascii="Arial" w:hAnsi="Arial"/>
          <w:w w:val="72"/>
          <w:sz w:val="19"/>
        </w:rPr>
        <w:t>.</w:t>
      </w:r>
      <w:r>
        <w:rPr>
          <w:rFonts w:ascii="Arial" w:hAnsi="Arial"/>
          <w:spacing w:val="-38"/>
          <w:w w:val="72"/>
          <w:sz w:val="19"/>
        </w:rPr>
        <w:t>.</w:t>
      </w:r>
      <w:r>
        <w:rPr>
          <w:rFonts w:ascii="Arial" w:hAnsi="Arial"/>
          <w:w w:val="98"/>
          <w:sz w:val="22"/>
        </w:rPr>
        <w:t>,</w:t>
      </w:r>
      <w:r>
        <w:rPr>
          <w:rFonts w:ascii="Arial" w:hAnsi="Arial"/>
          <w:spacing w:val="-27"/>
          <w:w w:val="98"/>
          <w:sz w:val="22"/>
        </w:rPr>
        <w:t>L</w:t>
      </w:r>
      <w:r>
        <w:rPr>
          <w:rFonts w:ascii="Arial" w:hAnsi="Arial"/>
          <w:w w:val="95"/>
          <w:sz w:val="22"/>
        </w:rPr>
        <w:t>:</w:t>
      </w:r>
      <w:r>
        <w:rPr>
          <w:rFonts w:ascii="Arial" w:hAnsi="Arial"/>
          <w:w w:val="95"/>
          <w:sz w:val="22"/>
        </w:rPr>
        <w:t>)</w:t>
      </w:r>
      <w:r>
        <w:rPr>
          <w:rFonts w:ascii="Arial" w:hAnsi="Arial"/>
          <w:sz w:val="22"/>
        </w:rPr>
        <w:t> </w:t>
      </w:r>
      <w:r>
        <w:rPr>
          <w:rFonts w:ascii="Arial" w:hAnsi="Arial"/>
          <w:spacing w:val="-18"/>
          <w:sz w:val="22"/>
        </w:rPr>
        <w:t> </w:t>
      </w:r>
      <w:r>
        <w:rPr>
          <w:w w:val="104"/>
          <w:sz w:val="28"/>
        </w:rPr>
        <w:t>+</w:t>
      </w:r>
      <w:r>
        <w:rPr>
          <w:sz w:val="28"/>
        </w:rPr>
        <w:t> </w:t>
      </w:r>
      <w:r>
        <w:rPr>
          <w:spacing w:val="-32"/>
          <w:sz w:val="28"/>
        </w:rPr>
        <w:t> </w:t>
      </w:r>
      <w:r>
        <w:rPr>
          <w:rFonts w:ascii="Arial" w:hAnsi="Arial"/>
          <w:i/>
          <w:w w:val="102"/>
          <w:sz w:val="19"/>
        </w:rPr>
        <w:t>h·</w:t>
      </w:r>
      <w:r>
        <w:rPr>
          <w:rFonts w:ascii="Arial" w:hAnsi="Arial"/>
          <w:i/>
          <w:spacing w:val="-15"/>
          <w:sz w:val="19"/>
        </w:rPr>
        <w:t> </w:t>
      </w:r>
      <w:r>
        <w:rPr>
          <w:rFonts w:ascii="Arial" w:hAnsi="Arial"/>
          <w:i/>
          <w:w w:val="82"/>
          <w:sz w:val="19"/>
        </w:rPr>
        <w:t>,+1V</w:t>
      </w:r>
      <w:r>
        <w:rPr>
          <w:rFonts w:ascii="Arial" w:hAnsi="Arial"/>
          <w:i/>
          <w:spacing w:val="11"/>
          <w:sz w:val="19"/>
        </w:rPr>
        <w:t> </w:t>
      </w:r>
      <w:r>
        <w:rPr>
          <w:rFonts w:ascii="Arial" w:hAnsi="Arial"/>
          <w:i/>
          <w:w w:val="80"/>
          <w:sz w:val="19"/>
        </w:rPr>
        <w:t>(</w:t>
      </w:r>
      <w:r>
        <w:rPr>
          <w:rFonts w:ascii="Arial" w:hAnsi="Arial"/>
          <w:i/>
          <w:w w:val="80"/>
          <w:sz w:val="19"/>
        </w:rPr>
        <w:t>.A:</w:t>
      </w:r>
      <w:r>
        <w:rPr>
          <w:rFonts w:ascii="Arial" w:hAnsi="Arial"/>
          <w:i/>
          <w:spacing w:val="-23"/>
          <w:w w:val="80"/>
          <w:sz w:val="19"/>
        </w:rPr>
        <w:t>.</w:t>
      </w:r>
      <w:r>
        <w:rPr>
          <w:rFonts w:ascii="Arial" w:hAnsi="Arial"/>
          <w:i/>
          <w:w w:val="104"/>
          <w:sz w:val="19"/>
        </w:rPr>
        <w:t>:</w:t>
      </w:r>
      <w:r>
        <w:rPr>
          <w:rFonts w:ascii="Arial" w:hAnsi="Arial"/>
          <w:i/>
          <w:w w:val="104"/>
          <w:sz w:val="19"/>
        </w:rPr>
        <w:t>)</w:t>
      </w:r>
      <w:r>
        <w:rPr>
          <w:rFonts w:ascii="Arial" w:hAnsi="Arial"/>
          <w:i/>
          <w:sz w:val="19"/>
        </w:rPr>
        <w:t> </w:t>
      </w:r>
      <w:r>
        <w:rPr>
          <w:rFonts w:ascii="Arial" w:hAnsi="Arial"/>
          <w:i/>
          <w:spacing w:val="6"/>
          <w:sz w:val="19"/>
        </w:rPr>
        <w:t> </w:t>
      </w:r>
      <w:r>
        <w:rPr>
          <w:w w:val="102"/>
          <w:sz w:val="28"/>
        </w:rPr>
        <w:t>+</w:t>
      </w:r>
      <w:r>
        <w:rPr>
          <w:sz w:val="28"/>
        </w:rPr>
        <w:t> </w:t>
      </w:r>
      <w:r>
        <w:rPr>
          <w:spacing w:val="14"/>
          <w:sz w:val="28"/>
        </w:rPr>
        <w:t> </w:t>
      </w:r>
      <w:r>
        <w:rPr>
          <w:rFonts w:ascii="Arial" w:hAnsi="Arial"/>
          <w:w w:val="109"/>
          <w:sz w:val="19"/>
        </w:rPr>
        <w:t>(</w:t>
      </w:r>
      <w:r>
        <w:rPr>
          <w:rFonts w:ascii="Arial" w:hAnsi="Arial"/>
          <w:w w:val="109"/>
          <w:sz w:val="19"/>
        </w:rPr>
        <w:t>1</w:t>
      </w:r>
      <w:r>
        <w:rPr>
          <w:rFonts w:ascii="Arial" w:hAnsi="Arial"/>
          <w:sz w:val="19"/>
        </w:rPr>
        <w:t> </w:t>
      </w:r>
      <w:r>
        <w:rPr>
          <w:rFonts w:ascii="Arial" w:hAnsi="Arial"/>
          <w:spacing w:val="-15"/>
          <w:sz w:val="19"/>
        </w:rPr>
        <w:t> </w:t>
      </w:r>
      <w:r>
        <w:rPr>
          <w:rFonts w:ascii="Arial" w:hAnsi="Arial"/>
          <w:w w:val="262"/>
          <w:sz w:val="19"/>
        </w:rPr>
        <w:t>-</w:t>
      </w:r>
      <w:r>
        <w:rPr>
          <w:rFonts w:ascii="Arial" w:hAnsi="Arial"/>
          <w:sz w:val="19"/>
        </w:rPr>
        <w:t> </w:t>
      </w:r>
      <w:r>
        <w:rPr>
          <w:rFonts w:ascii="Arial" w:hAnsi="Arial"/>
          <w:spacing w:val="-6"/>
          <w:sz w:val="19"/>
        </w:rPr>
        <w:t> </w:t>
      </w:r>
      <w:r>
        <w:rPr>
          <w:rFonts w:ascii="Arial" w:hAnsi="Arial"/>
          <w:i/>
          <w:spacing w:val="18"/>
          <w:w w:val="99"/>
          <w:sz w:val="18"/>
        </w:rPr>
        <w:t>h</w:t>
      </w:r>
      <w:r>
        <w:rPr>
          <w:rFonts w:ascii="Arial" w:hAnsi="Arial"/>
          <w:i/>
          <w:w w:val="106"/>
          <w:sz w:val="18"/>
        </w:rPr>
        <w:t>)</w:t>
      </w:r>
      <w:r>
        <w:rPr>
          <w:rFonts w:ascii="Arial" w:hAnsi="Arial"/>
          <w:i/>
          <w:w w:val="106"/>
          <w:sz w:val="18"/>
        </w:rPr>
        <w:t>P</w:t>
      </w:r>
      <w:r>
        <w:rPr>
          <w:rFonts w:ascii="Arial" w:hAnsi="Arial"/>
          <w:i/>
          <w:spacing w:val="13"/>
          <w:sz w:val="18"/>
        </w:rPr>
        <w:t> </w:t>
      </w:r>
      <w:r>
        <w:rPr>
          <w:rFonts w:ascii="Arial" w:hAnsi="Arial"/>
          <w:i/>
          <w:spacing w:val="11"/>
          <w:w w:val="82"/>
          <w:sz w:val="18"/>
        </w:rPr>
        <w:t>(</w:t>
      </w:r>
      <w:r>
        <w:rPr>
          <w:rFonts w:ascii="Arial" w:hAnsi="Arial"/>
          <w:i/>
          <w:w w:val="97"/>
          <w:sz w:val="18"/>
        </w:rPr>
        <w:t>A:i:</w:t>
      </w:r>
      <w:r>
        <w:rPr>
          <w:rFonts w:ascii="Arial" w:hAnsi="Arial"/>
          <w:i/>
          <w:w w:val="97"/>
          <w:sz w:val="18"/>
        </w:rPr>
        <w:t>)</w:t>
      </w:r>
      <w:r>
        <w:rPr>
          <w:rFonts w:ascii="Arial" w:hAnsi="Arial"/>
          <w:i/>
          <w:w w:val="97"/>
          <w:sz w:val="18"/>
        </w:rPr>
        <w:t>,</w:t>
      </w:r>
    </w:p>
    <w:p>
      <w:pPr>
        <w:pStyle w:val="BodyText"/>
        <w:spacing w:before="105"/>
        <w:ind w:left="121"/>
      </w:pPr>
      <w:r>
        <w:rPr>
          <w:w w:val="105"/>
        </w:rPr>
        <w:t>which  is the exact analogue of  (5.25 ).</w:t>
      </w:r>
    </w:p>
    <w:p>
      <w:pPr>
        <w:pStyle w:val="BodyText"/>
        <w:spacing w:line="247" w:lineRule="auto" w:before="7"/>
        <w:ind w:left="121" w:right="143" w:firstLine="205"/>
        <w:jc w:val="both"/>
      </w:pPr>
      <w:r>
        <w:rPr>
          <w:w w:val="105"/>
        </w:rPr>
        <w:t>When (5.25) is applied to limited-payment plans, there is of course no need to adjust for the net premium at durations beyond the premium-paying period. </w:t>
      </w:r>
      <w:r>
        <w:rPr>
          <w:w w:val="105"/>
          <w:sz w:val="21"/>
        </w:rPr>
        <w:t>In </w:t>
      </w:r>
      <w:r>
        <w:rPr>
          <w:w w:val="105"/>
        </w:rPr>
        <w:t>such cases, as for single premium insurance, the interim reserve is obtained by interpolation  be­ tween  the terminal</w:t>
      </w:r>
      <w:r>
        <w:rPr>
          <w:spacing w:val="39"/>
          <w:w w:val="105"/>
        </w:rPr>
        <w:t> </w:t>
      </w:r>
      <w:r>
        <w:rPr>
          <w:w w:val="105"/>
        </w:rPr>
        <w:t>reserves.</w:t>
      </w:r>
    </w:p>
    <w:p>
      <w:pPr>
        <w:pStyle w:val="BodyText"/>
        <w:spacing w:line="156" w:lineRule="auto" w:before="66"/>
        <w:ind w:left="121" w:right="129" w:firstLine="201"/>
        <w:jc w:val="both"/>
        <w:rPr>
          <w:rFonts w:ascii="Arial"/>
          <w:i/>
          <w:sz w:val="19"/>
        </w:rPr>
      </w:pPr>
      <w:r>
        <w:rPr>
          <w:w w:val="105"/>
        </w:rPr>
        <w:t>When fractional premiums are paid </w:t>
      </w:r>
      <w:r>
        <w:rPr>
          <w:rFonts w:ascii="Arial"/>
          <w:i/>
          <w:w w:val="105"/>
          <w:sz w:val="18"/>
        </w:rPr>
        <w:t>m </w:t>
      </w:r>
      <w:r>
        <w:rPr>
          <w:w w:val="105"/>
        </w:rPr>
        <w:t>times a year, two cases arise in evaluating the reserve at duration </w:t>
      </w:r>
      <w:r>
        <w:rPr>
          <w:rFonts w:ascii="Arial"/>
          <w:i/>
          <w:w w:val="105"/>
          <w:sz w:val="18"/>
        </w:rPr>
        <w:t>t  </w:t>
      </w:r>
      <w:r>
        <w:rPr>
          <w:rFonts w:ascii="Arial"/>
          <w:w w:val="105"/>
          <w:sz w:val="30"/>
        </w:rPr>
        <w:t>+ </w:t>
      </w:r>
      <w:r>
        <w:rPr>
          <w:rFonts w:ascii="Arial"/>
          <w:i/>
          <w:w w:val="105"/>
          <w:sz w:val="19"/>
        </w:rPr>
        <w:t>h.</w:t>
      </w:r>
    </w:p>
    <w:p>
      <w:pPr>
        <w:pStyle w:val="BodyText"/>
        <w:spacing w:line="170" w:lineRule="exact"/>
        <w:ind w:right="629"/>
        <w:jc w:val="center"/>
      </w:pPr>
      <w:r>
        <w:rPr>
          <w:w w:val="115"/>
        </w:rPr>
        <w:t>1</w:t>
      </w:r>
    </w:p>
    <w:p>
      <w:pPr>
        <w:spacing w:line="144" w:lineRule="exact" w:before="0"/>
        <w:ind w:left="330" w:right="0" w:firstLine="0"/>
        <w:jc w:val="left"/>
        <w:rPr>
          <w:sz w:val="20"/>
        </w:rPr>
      </w:pPr>
      <w:r>
        <w:rPr>
          <w:i/>
          <w:w w:val="105"/>
          <w:sz w:val="20"/>
        </w:rPr>
        <w:t>Case </w:t>
      </w:r>
      <w:r>
        <w:rPr>
          <w:rFonts w:ascii="Arial"/>
          <w:i/>
          <w:w w:val="105"/>
          <w:sz w:val="18"/>
        </w:rPr>
        <w:t>1: </w:t>
      </w:r>
      <w:r>
        <w:rPr>
          <w:i/>
          <w:w w:val="105"/>
          <w:sz w:val="20"/>
        </w:rPr>
        <w:t>h is a multiple  of </w:t>
      </w:r>
      <w:r>
        <w:rPr>
          <w:w w:val="155"/>
          <w:sz w:val="20"/>
        </w:rPr>
        <w:t>-. </w:t>
      </w:r>
      <w:r>
        <w:rPr>
          <w:w w:val="105"/>
          <w:sz w:val="20"/>
        </w:rPr>
        <w:t>Assuming  a policy  of  1 subject  to</w:t>
      </w:r>
    </w:p>
    <w:p>
      <w:pPr>
        <w:spacing w:line="162" w:lineRule="exact" w:before="0"/>
        <w:ind w:left="0" w:right="661" w:firstLine="0"/>
        <w:jc w:val="center"/>
        <w:rPr>
          <w:rFonts w:ascii="Arial"/>
          <w:i/>
          <w:sz w:val="18"/>
        </w:rPr>
      </w:pPr>
      <w:r>
        <w:rPr>
          <w:rFonts w:ascii="Arial"/>
          <w:i/>
          <w:w w:val="102"/>
          <w:sz w:val="18"/>
        </w:rPr>
        <w:t>m</w:t>
      </w:r>
    </w:p>
    <w:p>
      <w:pPr>
        <w:spacing w:line="156" w:lineRule="exact" w:before="2"/>
        <w:ind w:left="886" w:right="0" w:firstLine="0"/>
        <w:jc w:val="center"/>
        <w:rPr>
          <w:i/>
          <w:sz w:val="18"/>
        </w:rPr>
      </w:pPr>
      <w:r>
        <w:rPr>
          <w:i/>
          <w:w w:val="106"/>
          <w:sz w:val="18"/>
        </w:rPr>
        <w:t>k</w:t>
      </w:r>
    </w:p>
    <w:p>
      <w:pPr>
        <w:pStyle w:val="BodyText"/>
        <w:spacing w:line="163" w:lineRule="exact"/>
        <w:ind w:left="67" w:right="87"/>
        <w:jc w:val="center"/>
      </w:pPr>
      <w:r>
        <w:rPr>
          <w:w w:val="105"/>
        </w:rPr>
        <w:t>true fractional premiums,  we let </w:t>
      </w:r>
      <w:r>
        <w:rPr>
          <w:rFonts w:ascii="Arial"/>
          <w:i/>
          <w:w w:val="105"/>
        </w:rPr>
        <w:t>h </w:t>
      </w:r>
      <w:r>
        <w:rPr>
          <w:w w:val="105"/>
          <w:sz w:val="23"/>
        </w:rPr>
        <w:t>=  </w:t>
      </w:r>
      <w:r>
        <w:rPr>
          <w:w w:val="200"/>
          <w:sz w:val="23"/>
        </w:rPr>
        <w:t>- </w:t>
      </w:r>
      <w:r>
        <w:rPr>
          <w:w w:val="105"/>
        </w:rPr>
        <w:t>where </w:t>
      </w:r>
      <w:r>
        <w:rPr>
          <w:rFonts w:ascii="Arial"/>
          <w:i/>
          <w:w w:val="105"/>
        </w:rPr>
        <w:t>k </w:t>
      </w:r>
      <w:r>
        <w:rPr>
          <w:w w:val="105"/>
        </w:rPr>
        <w:t>is an integer,  and</w:t>
      </w:r>
    </w:p>
    <w:p>
      <w:pPr>
        <w:spacing w:line="157" w:lineRule="exact" w:before="0"/>
        <w:ind w:left="956" w:right="0" w:firstLine="0"/>
        <w:jc w:val="center"/>
        <w:rPr>
          <w:rFonts w:ascii="Arial"/>
          <w:i/>
          <w:sz w:val="18"/>
        </w:rPr>
      </w:pPr>
      <w:r>
        <w:rPr>
          <w:rFonts w:ascii="Arial"/>
          <w:i/>
          <w:w w:val="102"/>
          <w:sz w:val="18"/>
        </w:rPr>
        <w:t>m</w:t>
      </w:r>
    </w:p>
    <w:p>
      <w:pPr>
        <w:pStyle w:val="BodyText"/>
        <w:spacing w:line="220" w:lineRule="exact" w:before="12"/>
        <w:ind w:left="80" w:right="87"/>
        <w:jc w:val="center"/>
      </w:pPr>
      <w:r>
        <w:rPr>
          <w:w w:val="101"/>
        </w:rPr>
        <w:t>consider</w:t>
      </w:r>
      <w:r>
        <w:rPr/>
        <w:t> </w:t>
      </w:r>
      <w:r>
        <w:rPr>
          <w:spacing w:val="12"/>
        </w:rPr>
        <w:t> </w:t>
      </w:r>
      <w:r>
        <w:rPr>
          <w:w w:val="111"/>
        </w:rPr>
        <w:t>the</w:t>
      </w:r>
      <w:r>
        <w:rPr/>
        <w:t> </w:t>
      </w:r>
      <w:r>
        <w:rPr>
          <w:spacing w:val="1"/>
        </w:rPr>
        <w:t> </w:t>
      </w:r>
      <w:r>
        <w:rPr>
          <w:w w:val="106"/>
        </w:rPr>
        <w:t>computation</w:t>
      </w:r>
      <w:r>
        <w:rPr/>
        <w:t> </w:t>
      </w:r>
      <w:r>
        <w:rPr>
          <w:spacing w:val="19"/>
        </w:rPr>
        <w:t> </w:t>
      </w:r>
      <w:r>
        <w:rPr>
          <w:w w:val="87"/>
        </w:rPr>
        <w:t>of</w:t>
      </w:r>
      <w:r>
        <w:rPr/>
        <w:t>  </w:t>
      </w:r>
      <w:r>
        <w:rPr>
          <w:spacing w:val="-20"/>
        </w:rPr>
        <w:t> </w:t>
      </w:r>
      <w:r>
        <w:rPr>
          <w:spacing w:val="14"/>
          <w:w w:val="264"/>
          <w:sz w:val="13"/>
        </w:rPr>
        <w:t>H</w:t>
      </w:r>
      <w:r>
        <w:rPr>
          <w:rFonts w:ascii="Arial"/>
          <w:w w:val="78"/>
          <w:sz w:val="19"/>
        </w:rPr>
        <w:t>V</w:t>
      </w:r>
      <w:r>
        <w:rPr>
          <w:rFonts w:ascii="Arial"/>
          <w:w w:val="78"/>
          <w:sz w:val="19"/>
        </w:rPr>
        <w:t>(</w:t>
      </w:r>
      <w:r>
        <w:rPr>
          <w:rFonts w:ascii="Arial"/>
          <w:w w:val="78"/>
          <w:sz w:val="19"/>
        </w:rPr>
        <w:t>m&gt;.</w:t>
      </w:r>
      <w:r>
        <w:rPr>
          <w:rFonts w:ascii="Arial"/>
          <w:sz w:val="19"/>
        </w:rPr>
        <w:t> </w:t>
      </w:r>
      <w:r>
        <w:rPr>
          <w:rFonts w:ascii="Arial"/>
          <w:spacing w:val="12"/>
          <w:sz w:val="19"/>
        </w:rPr>
        <w:t> </w:t>
      </w:r>
      <w:r>
        <w:rPr>
          <w:w w:val="98"/>
        </w:rPr>
        <w:t>Now</w:t>
      </w:r>
      <w:r>
        <w:rPr/>
        <w:t> </w:t>
      </w:r>
      <w:r>
        <w:rPr>
          <w:spacing w:val="15"/>
        </w:rPr>
        <w:t> </w:t>
      </w:r>
      <w:r>
        <w:rPr>
          <w:w w:val="113"/>
        </w:rPr>
        <w:t>the</w:t>
      </w:r>
      <w:r>
        <w:rPr/>
        <w:t> </w:t>
      </w:r>
      <w:r>
        <w:rPr>
          <w:spacing w:val="-4"/>
        </w:rPr>
        <w:t> </w:t>
      </w:r>
      <w:r>
        <w:rPr>
          <w:w w:val="107"/>
        </w:rPr>
        <w:t>terminal</w:t>
      </w:r>
      <w:r>
        <w:rPr/>
        <w:t> </w:t>
      </w:r>
      <w:r>
        <w:rPr>
          <w:spacing w:val="20"/>
        </w:rPr>
        <w:t> </w:t>
      </w:r>
      <w:r>
        <w:rPr>
          <w:w w:val="103"/>
        </w:rPr>
        <w:t>reserve</w:t>
      </w:r>
    </w:p>
    <w:p>
      <w:pPr>
        <w:spacing w:line="94" w:lineRule="exact" w:before="0"/>
        <w:ind w:left="17" w:right="87" w:firstLine="0"/>
        <w:jc w:val="center"/>
        <w:rPr>
          <w:sz w:val="9"/>
        </w:rPr>
      </w:pPr>
      <w:r>
        <w:rPr>
          <w:w w:val="125"/>
          <w:sz w:val="9"/>
        </w:rPr>
        <w:t>ffl</w:t>
      </w:r>
    </w:p>
    <w:p>
      <w:pPr>
        <w:pStyle w:val="BodyText"/>
        <w:rPr>
          <w:sz w:val="7"/>
        </w:rPr>
      </w:pPr>
    </w:p>
    <w:p>
      <w:pPr>
        <w:spacing w:line="144" w:lineRule="auto" w:before="0"/>
        <w:ind w:left="124" w:right="129" w:hanging="3"/>
        <w:jc w:val="center"/>
        <w:rPr>
          <w:sz w:val="20"/>
        </w:rPr>
      </w:pPr>
      <w:r>
        <w:rPr>
          <w:i/>
          <w:sz w:val="13"/>
        </w:rPr>
        <w:t>t </w:t>
      </w:r>
      <w:r>
        <w:rPr>
          <w:rFonts w:ascii="Arial"/>
          <w:i/>
          <w:sz w:val="19"/>
        </w:rPr>
        <w:t>y&lt; </w:t>
      </w:r>
      <w:r>
        <w:rPr>
          <w:rFonts w:ascii="Arial"/>
          <w:i/>
          <w:w w:val="90"/>
          <w:sz w:val="19"/>
        </w:rPr>
        <w:t>m&gt; </w:t>
      </w:r>
      <w:r>
        <w:rPr>
          <w:sz w:val="20"/>
        </w:rPr>
        <w:t>is based on the payment  of  premiums  for  exactly  </w:t>
      </w:r>
      <w:r>
        <w:rPr>
          <w:rFonts w:ascii="Arial"/>
          <w:i/>
          <w:sz w:val="18"/>
        </w:rPr>
        <w:t>t  </w:t>
      </w:r>
      <w:r>
        <w:rPr>
          <w:sz w:val="20"/>
        </w:rPr>
        <w:t>years, and  </w:t>
      </w:r>
      <w:r>
        <w:rPr>
          <w:w w:val="120"/>
          <w:sz w:val="12"/>
        </w:rPr>
        <w:t>t+i </w:t>
      </w:r>
      <w:r>
        <w:rPr>
          <w:rFonts w:ascii="Arial"/>
          <w:i/>
          <w:sz w:val="19"/>
        </w:rPr>
        <w:t>y&lt; </w:t>
      </w:r>
      <w:r>
        <w:rPr>
          <w:rFonts w:ascii="Arial"/>
          <w:i/>
          <w:w w:val="90"/>
          <w:sz w:val="19"/>
        </w:rPr>
        <w:t>m&gt;  </w:t>
      </w:r>
      <w:r>
        <w:rPr>
          <w:sz w:val="20"/>
        </w:rPr>
        <w:t>assumes premiums  paid  for exactly  </w:t>
      </w:r>
      <w:r>
        <w:rPr>
          <w:rFonts w:ascii="Arial"/>
          <w:i/>
          <w:sz w:val="18"/>
        </w:rPr>
        <w:t>t  </w:t>
      </w:r>
      <w:r>
        <w:rPr>
          <w:rFonts w:ascii="Arial"/>
          <w:sz w:val="31"/>
        </w:rPr>
        <w:t>+ </w:t>
      </w:r>
      <w:r>
        <w:rPr>
          <w:sz w:val="20"/>
        </w:rPr>
        <w:t>1 years. </w:t>
      </w:r>
      <w:r>
        <w:rPr>
          <w:sz w:val="19"/>
        </w:rPr>
        <w:t>If</w:t>
      </w:r>
      <w:r>
        <w:rPr>
          <w:spacing w:val="35"/>
          <w:sz w:val="19"/>
        </w:rPr>
        <w:t> </w:t>
      </w:r>
      <w:r>
        <w:rPr>
          <w:sz w:val="20"/>
        </w:rPr>
        <w:t>we</w:t>
      </w:r>
    </w:p>
    <w:p>
      <w:pPr>
        <w:pStyle w:val="BodyText"/>
        <w:spacing w:line="259" w:lineRule="auto" w:before="11"/>
        <w:ind w:left="121" w:right="129" w:firstLine="1"/>
        <w:jc w:val="center"/>
      </w:pPr>
      <w:r>
        <w:rPr/>
        <w:t>interpolate directly between </w:t>
      </w:r>
      <w:r>
        <w:rPr>
          <w:rFonts w:ascii="Arial"/>
          <w:i/>
          <w:sz w:val="19"/>
        </w:rPr>
        <w:t>,y&lt; </w:t>
      </w:r>
      <w:r>
        <w:rPr>
          <w:rFonts w:ascii="Arial"/>
          <w:i/>
          <w:w w:val="85"/>
          <w:sz w:val="19"/>
        </w:rPr>
        <w:t>m&gt; </w:t>
      </w:r>
      <w:r>
        <w:rPr/>
        <w:t>and </w:t>
      </w:r>
      <w:r>
        <w:rPr>
          <w:sz w:val="15"/>
        </w:rPr>
        <w:t>i+1V( m&gt;, </w:t>
      </w:r>
      <w:r>
        <w:rPr/>
        <w:t>we obtain a value consistent  with  the  assumption  that  premiums  have  been  paid    for</w:t>
      </w:r>
    </w:p>
    <w:p>
      <w:pPr>
        <w:pStyle w:val="BodyText"/>
        <w:tabs>
          <w:tab w:pos="608" w:val="left" w:leader="none"/>
        </w:tabs>
        <w:spacing w:line="307" w:lineRule="exact" w:before="8"/>
        <w:ind w:right="15"/>
        <w:jc w:val="center"/>
      </w:pPr>
      <w:r>
        <w:rPr>
          <w:rFonts w:ascii="Arial"/>
          <w:i/>
          <w:sz w:val="18"/>
        </w:rPr>
        <w:t>t</w:t>
      </w:r>
      <w:r>
        <w:rPr>
          <w:rFonts w:ascii="Arial"/>
          <w:i/>
          <w:spacing w:val="44"/>
          <w:sz w:val="18"/>
        </w:rPr>
        <w:t> </w:t>
      </w:r>
      <w:r>
        <w:rPr>
          <w:rFonts w:ascii="Arial"/>
          <w:sz w:val="31"/>
        </w:rPr>
        <w:t>+</w:t>
        <w:tab/>
      </w:r>
      <w:r>
        <w:rPr/>
        <w:t>years,  and  this  is  precisely  what  we  require  in  this</w:t>
      </w:r>
      <w:r>
        <w:rPr>
          <w:spacing w:val="16"/>
        </w:rPr>
        <w:t> </w:t>
      </w:r>
      <w:r>
        <w:rPr/>
        <w:t>particu-</w:t>
      </w:r>
    </w:p>
    <w:p>
      <w:pPr>
        <w:spacing w:line="146" w:lineRule="exact" w:before="0"/>
        <w:ind w:left="510" w:right="0" w:firstLine="0"/>
        <w:jc w:val="left"/>
        <w:rPr>
          <w:rFonts w:ascii="Arial"/>
          <w:i/>
          <w:sz w:val="17"/>
        </w:rPr>
      </w:pPr>
      <w:r>
        <w:rPr>
          <w:rFonts w:ascii="Arial"/>
          <w:i/>
          <w:w w:val="108"/>
          <w:sz w:val="17"/>
        </w:rPr>
        <w:t>m</w:t>
      </w:r>
    </w:p>
    <w:p>
      <w:pPr>
        <w:pStyle w:val="BodyText"/>
        <w:spacing w:before="15"/>
        <w:ind w:left="117"/>
      </w:pPr>
      <w:r>
        <w:rPr>
          <w:w w:val="105"/>
        </w:rPr>
        <w:t>lar case. Hence we can  write</w:t>
      </w:r>
    </w:p>
    <w:p>
      <w:pPr>
        <w:spacing w:after="0"/>
        <w:sectPr>
          <w:pgSz w:w="7200" w:h="11340"/>
          <w:pgMar w:top="500" w:bottom="280" w:left="660" w:right="540"/>
        </w:sectPr>
      </w:pPr>
    </w:p>
    <w:p>
      <w:pPr>
        <w:tabs>
          <w:tab w:pos="2817" w:val="left" w:leader="none"/>
          <w:tab w:pos="4325" w:val="left" w:leader="none"/>
        </w:tabs>
        <w:spacing w:line="466" w:lineRule="exact" w:before="0"/>
        <w:ind w:left="1438" w:right="0" w:firstLine="0"/>
        <w:jc w:val="left"/>
        <w:rPr>
          <w:rFonts w:ascii="Arial"/>
          <w:b/>
          <w:sz w:val="10"/>
        </w:rPr>
      </w:pPr>
      <w:r>
        <w:rPr/>
        <w:pict>
          <v:shape style="position:absolute;margin-left:97.019997pt;margin-top:17.859526pt;width:173.05pt;height:8pt;mso-position-horizontal-relative:page;mso-position-vertical-relative:paragraph;z-index:-725752" type="#_x0000_t202" filled="false" stroked="false">
            <v:textbox inset="0,0,0,0">
              <w:txbxContent>
                <w:p>
                  <w:pPr>
                    <w:tabs>
                      <w:tab w:pos="709" w:val="left" w:leader="none"/>
                      <w:tab w:pos="1252" w:val="left" w:leader="none"/>
                      <w:tab w:pos="2573" w:val="left" w:leader="none"/>
                      <w:tab w:pos="3401" w:val="left" w:leader="none"/>
                    </w:tabs>
                    <w:spacing w:line="160" w:lineRule="exact" w:before="0"/>
                    <w:ind w:left="0" w:right="0" w:firstLine="0"/>
                    <w:jc w:val="left"/>
                    <w:rPr>
                      <w:sz w:val="14"/>
                    </w:rPr>
                  </w:pPr>
                  <w:r>
                    <w:rPr>
                      <w:b/>
                      <w:i/>
                      <w:w w:val="190"/>
                      <w:sz w:val="16"/>
                    </w:rPr>
                    <w:t>t+</w:t>
                    <w:tab/>
                  </w:r>
                  <w:r>
                    <w:rPr>
                      <w:w w:val="115"/>
                      <w:sz w:val="16"/>
                    </w:rPr>
                    <w:t>--:</w:t>
                    <w:tab/>
                  </w:r>
                  <w:r>
                    <w:rPr>
                      <w:w w:val="325"/>
                      <w:sz w:val="16"/>
                    </w:rPr>
                    <w:t>-</w:t>
                  </w:r>
                  <w:r>
                    <w:rPr>
                      <w:spacing w:val="-73"/>
                      <w:w w:val="325"/>
                      <w:sz w:val="16"/>
                    </w:rPr>
                    <w:t> </w:t>
                  </w:r>
                  <w:r>
                    <w:rPr>
                      <w:w w:val="325"/>
                      <w:sz w:val="16"/>
                    </w:rPr>
                    <w:t>-</w:t>
                  </w:r>
                  <w:r>
                    <w:rPr>
                      <w:spacing w:val="32"/>
                      <w:w w:val="325"/>
                      <w:sz w:val="16"/>
                    </w:rPr>
                    <w:t> </w:t>
                  </w:r>
                  <w:r>
                    <w:rPr>
                      <w:rFonts w:ascii="Arial" w:hAnsi="Arial"/>
                      <w:b/>
                      <w:i/>
                      <w:w w:val="115"/>
                      <w:sz w:val="10"/>
                    </w:rPr>
                    <w:t>t</w:t>
                    <w:tab/>
                  </w:r>
                  <w:r>
                    <w:rPr>
                      <w:rFonts w:ascii="Arial" w:hAnsi="Arial"/>
                      <w:w w:val="415"/>
                      <w:sz w:val="10"/>
                    </w:rPr>
                    <w:t>-</w:t>
                  </w:r>
                  <w:r>
                    <w:rPr>
                      <w:rFonts w:ascii="Arial" w:hAnsi="Arial"/>
                      <w:spacing w:val="-79"/>
                      <w:w w:val="415"/>
                      <w:sz w:val="10"/>
                    </w:rPr>
                    <w:t> </w:t>
                  </w:r>
                  <w:r>
                    <w:rPr>
                      <w:rFonts w:ascii="Arial" w:hAnsi="Arial"/>
                      <w:w w:val="115"/>
                      <w:sz w:val="10"/>
                    </w:rPr>
                    <w:t>•</w:t>
                  </w:r>
                  <w:r>
                    <w:rPr>
                      <w:rFonts w:ascii="Arial" w:hAnsi="Arial"/>
                      <w:spacing w:val="3"/>
                      <w:w w:val="115"/>
                      <w:sz w:val="10"/>
                    </w:rPr>
                    <w:t> </w:t>
                  </w:r>
                  <w:r>
                    <w:rPr>
                      <w:b/>
                      <w:w w:val="115"/>
                      <w:sz w:val="14"/>
                    </w:rPr>
                    <w:t>t+l</w:t>
                    <w:tab/>
                  </w:r>
                  <w:r>
                    <w:rPr>
                      <w:w w:val="215"/>
                      <w:sz w:val="14"/>
                    </w:rPr>
                    <w:t>'</w:t>
                  </w:r>
                </w:p>
              </w:txbxContent>
            </v:textbox>
            <w10:wrap type="none"/>
          </v:shape>
        </w:pict>
      </w:r>
      <w:r>
        <w:rPr>
          <w:w w:val="140"/>
          <w:sz w:val="6"/>
        </w:rPr>
        <w:t>L  </w:t>
      </w:r>
      <w:r>
        <w:rPr>
          <w:b/>
          <w:i/>
          <w:sz w:val="19"/>
        </w:rPr>
        <w:t>y&lt;m </w:t>
      </w:r>
      <w:r>
        <w:rPr>
          <w:b/>
          <w:i/>
          <w:w w:val="75"/>
          <w:sz w:val="19"/>
        </w:rPr>
        <w:t>)</w:t>
      </w:r>
      <w:r>
        <w:rPr>
          <w:b/>
          <w:i/>
          <w:spacing w:val="11"/>
          <w:w w:val="75"/>
          <w:sz w:val="19"/>
        </w:rPr>
        <w:t> </w:t>
      </w:r>
      <w:r>
        <w:rPr>
          <w:w w:val="75"/>
          <w:sz w:val="19"/>
        </w:rPr>
        <w:t>:.....</w:t>
      </w:r>
      <w:r>
        <w:rPr>
          <w:spacing w:val="28"/>
          <w:w w:val="75"/>
          <w:sz w:val="19"/>
        </w:rPr>
        <w:t> </w:t>
      </w:r>
      <w:r>
        <w:rPr>
          <w:rFonts w:ascii="Arial"/>
          <w:sz w:val="48"/>
        </w:rPr>
        <w:t>(i</w:t>
        <w:tab/>
      </w:r>
      <w:r>
        <w:rPr>
          <w:b/>
          <w:i/>
          <w:spacing w:val="2"/>
          <w:w w:val="75"/>
          <w:sz w:val="40"/>
        </w:rPr>
        <w:t>k)  </w:t>
      </w:r>
      <w:r>
        <w:rPr>
          <w:rFonts w:ascii="Arial"/>
          <w:b/>
          <w:w w:val="140"/>
          <w:sz w:val="10"/>
        </w:rPr>
        <w:t>y(m) </w:t>
      </w:r>
      <w:r>
        <w:rPr>
          <w:rFonts w:ascii="Arial"/>
          <w:b/>
          <w:spacing w:val="1"/>
          <w:w w:val="140"/>
          <w:sz w:val="10"/>
        </w:rPr>
        <w:t> </w:t>
      </w:r>
      <w:r>
        <w:rPr>
          <w:rFonts w:ascii="Arial"/>
          <w:sz w:val="31"/>
        </w:rPr>
        <w:t>+</w:t>
      </w:r>
      <w:r>
        <w:rPr>
          <w:rFonts w:ascii="Arial"/>
          <w:spacing w:val="2"/>
          <w:sz w:val="31"/>
        </w:rPr>
        <w:t> </w:t>
      </w:r>
      <w:r>
        <w:rPr>
          <w:b/>
          <w:i/>
          <w:w w:val="75"/>
          <w:sz w:val="40"/>
        </w:rPr>
        <w:t>k</w:t>
        <w:tab/>
      </w:r>
      <w:r>
        <w:rPr>
          <w:rFonts w:ascii="Arial"/>
          <w:b/>
          <w:w w:val="140"/>
          <w:sz w:val="10"/>
        </w:rPr>
        <w:t>y(m)</w:t>
      </w:r>
    </w:p>
    <w:p>
      <w:pPr>
        <w:tabs>
          <w:tab w:pos="2763" w:val="left" w:leader="none"/>
          <w:tab w:pos="3843" w:val="left" w:leader="none"/>
        </w:tabs>
        <w:spacing w:line="202" w:lineRule="exact" w:before="0"/>
        <w:ind w:left="1424" w:right="0" w:firstLine="0"/>
        <w:jc w:val="left"/>
        <w:rPr>
          <w:i/>
          <w:sz w:val="21"/>
        </w:rPr>
      </w:pPr>
      <w:r>
        <w:rPr>
          <w:sz w:val="21"/>
        </w:rPr>
        <w:t>"'</w:t>
        <w:tab/>
      </w:r>
      <w:r>
        <w:rPr>
          <w:i/>
          <w:sz w:val="21"/>
        </w:rPr>
        <w:t>m</w:t>
        <w:tab/>
        <w:t>m</w:t>
      </w:r>
    </w:p>
    <w:p>
      <w:pPr>
        <w:pStyle w:val="BodyText"/>
        <w:spacing w:before="131"/>
        <w:ind w:left="117"/>
      </w:pPr>
      <w:r>
        <w:rPr>
          <w:w w:val="105"/>
        </w:rPr>
        <w:t>without  any  premium  adjustment.</w:t>
      </w:r>
    </w:p>
    <w:p>
      <w:pPr>
        <w:pStyle w:val="BodyText"/>
        <w:spacing w:before="5"/>
        <w:rPr>
          <w:sz w:val="23"/>
        </w:rPr>
      </w:pPr>
      <w:r>
        <w:rPr/>
        <w:br w:type="column"/>
      </w:r>
      <w:r>
        <w:rPr>
          <w:sz w:val="23"/>
        </w:rPr>
      </w:r>
    </w:p>
    <w:p>
      <w:pPr>
        <w:pStyle w:val="BodyText"/>
        <w:spacing w:before="1"/>
        <w:ind w:left="117" w:right="-19"/>
      </w:pPr>
      <w:r>
        <w:rPr/>
        <w:t>(5.26 )</w:t>
      </w:r>
    </w:p>
    <w:p>
      <w:pPr>
        <w:spacing w:after="0"/>
        <w:sectPr>
          <w:type w:val="continuous"/>
          <w:pgSz w:w="7200" w:h="11340"/>
          <w:pgMar w:top="1100" w:bottom="0" w:left="660" w:right="540"/>
          <w:cols w:num="2" w:equalWidth="0">
            <w:col w:w="4741" w:space="489"/>
            <w:col w:w="770"/>
          </w:cols>
        </w:sectPr>
      </w:pPr>
    </w:p>
    <w:p>
      <w:pPr>
        <w:spacing w:line="169" w:lineRule="exact" w:before="107"/>
        <w:ind w:left="319" w:right="0" w:firstLine="0"/>
        <w:jc w:val="left"/>
        <w:rPr>
          <w:i/>
          <w:sz w:val="20"/>
        </w:rPr>
      </w:pPr>
      <w:r>
        <w:rPr>
          <w:i/>
          <w:sz w:val="20"/>
        </w:rPr>
        <w:t>Case 2: h  </w:t>
      </w:r>
      <w:r>
        <w:rPr>
          <w:i/>
          <w:sz w:val="22"/>
        </w:rPr>
        <w:t>is </w:t>
      </w:r>
      <w:r>
        <w:rPr>
          <w:i/>
          <w:sz w:val="20"/>
        </w:rPr>
        <w:t>not  a  mvltiple of</w:t>
      </w:r>
    </w:p>
    <w:p>
      <w:pPr>
        <w:tabs>
          <w:tab w:pos="1460" w:val="left" w:leader="none"/>
        </w:tabs>
        <w:spacing w:line="254" w:lineRule="exact" w:before="22"/>
        <w:ind w:left="77" w:right="0" w:firstLine="0"/>
        <w:jc w:val="left"/>
        <w:rPr>
          <w:sz w:val="24"/>
        </w:rPr>
      </w:pPr>
      <w:r>
        <w:rPr/>
        <w:br w:type="column"/>
      </w:r>
      <w:r>
        <w:rPr>
          <w:w w:val="69"/>
          <w:sz w:val="24"/>
        </w:rPr>
        <w:t>!</w:t>
      </w:r>
      <w:r>
        <w:rPr>
          <w:spacing w:val="14"/>
          <w:w w:val="69"/>
          <w:sz w:val="24"/>
        </w:rPr>
        <w:t>_</w:t>
      </w:r>
      <w:r>
        <w:rPr>
          <w:w w:val="21"/>
          <w:sz w:val="24"/>
        </w:rPr>
        <w:t>_</w:t>
      </w:r>
      <w:r>
        <w:rPr>
          <w:sz w:val="24"/>
        </w:rPr>
        <w:t> </w:t>
      </w:r>
      <w:r>
        <w:rPr>
          <w:spacing w:val="-12"/>
          <w:sz w:val="24"/>
        </w:rPr>
        <w:t> </w:t>
      </w:r>
      <w:r>
        <w:rPr>
          <w:w w:val="111"/>
          <w:sz w:val="19"/>
        </w:rPr>
        <w:t>Let</w:t>
      </w:r>
      <w:r>
        <w:rPr>
          <w:sz w:val="19"/>
        </w:rPr>
        <w:t> </w:t>
      </w:r>
      <w:r>
        <w:rPr>
          <w:spacing w:val="-4"/>
          <w:sz w:val="19"/>
        </w:rPr>
        <w:t> </w:t>
      </w:r>
      <w:r>
        <w:rPr>
          <w:i/>
          <w:w w:val="99"/>
          <w:sz w:val="20"/>
        </w:rPr>
        <w:t>h</w:t>
      </w:r>
      <w:r>
        <w:rPr>
          <w:i/>
          <w:sz w:val="20"/>
        </w:rPr>
        <w:t> </w:t>
      </w:r>
      <w:r>
        <w:rPr>
          <w:i/>
          <w:spacing w:val="2"/>
          <w:sz w:val="20"/>
        </w:rPr>
        <w:t> </w:t>
      </w:r>
      <w:r>
        <w:rPr>
          <w:w w:val="100"/>
          <w:sz w:val="24"/>
        </w:rPr>
        <w:t>=</w:t>
      </w:r>
      <w:r>
        <w:rPr>
          <w:sz w:val="24"/>
        </w:rPr>
        <w:tab/>
      </w:r>
      <w:r>
        <w:rPr>
          <w:rFonts w:ascii="Arial"/>
          <w:w w:val="103"/>
          <w:sz w:val="31"/>
        </w:rPr>
        <w:t>+</w:t>
      </w:r>
      <w:r>
        <w:rPr>
          <w:rFonts w:ascii="Arial"/>
          <w:spacing w:val="-15"/>
          <w:sz w:val="31"/>
        </w:rPr>
        <w:t> </w:t>
      </w:r>
      <w:r>
        <w:rPr>
          <w:i/>
          <w:w w:val="95"/>
          <w:sz w:val="20"/>
        </w:rPr>
        <w:t>r</w:t>
      </w:r>
      <w:r>
        <w:rPr>
          <w:i/>
          <w:sz w:val="20"/>
        </w:rPr>
        <w:t> </w:t>
      </w:r>
      <w:r>
        <w:rPr>
          <w:i/>
          <w:spacing w:val="-13"/>
          <w:sz w:val="20"/>
        </w:rPr>
        <w:t> </w:t>
      </w:r>
      <w:r>
        <w:rPr>
          <w:w w:val="105"/>
          <w:sz w:val="20"/>
        </w:rPr>
        <w:t>with</w:t>
      </w:r>
      <w:r>
        <w:rPr>
          <w:sz w:val="20"/>
        </w:rPr>
        <w:t> </w:t>
      </w:r>
      <w:r>
        <w:rPr>
          <w:spacing w:val="-9"/>
          <w:sz w:val="20"/>
        </w:rPr>
        <w:t> </w:t>
      </w:r>
      <w:r>
        <w:rPr>
          <w:i/>
          <w:w w:val="95"/>
          <w:sz w:val="20"/>
        </w:rPr>
        <w:t>r</w:t>
      </w:r>
      <w:r>
        <w:rPr>
          <w:i/>
          <w:sz w:val="20"/>
        </w:rPr>
        <w:t> </w:t>
      </w:r>
      <w:r>
        <w:rPr>
          <w:i/>
          <w:spacing w:val="19"/>
          <w:sz w:val="20"/>
        </w:rPr>
        <w:t> </w:t>
      </w:r>
      <w:r>
        <w:rPr>
          <w:w w:val="103"/>
          <w:sz w:val="24"/>
        </w:rPr>
        <w:t>&lt;</w:t>
      </w:r>
    </w:p>
    <w:p>
      <w:pPr>
        <w:spacing w:line="169" w:lineRule="exact" w:before="107"/>
        <w:ind w:left="71" w:right="0" w:firstLine="0"/>
        <w:jc w:val="left"/>
        <w:rPr>
          <w:sz w:val="22"/>
        </w:rPr>
      </w:pPr>
      <w:r>
        <w:rPr/>
        <w:br w:type="column"/>
      </w:r>
      <w:r>
        <w:rPr>
          <w:w w:val="55"/>
          <w:sz w:val="22"/>
        </w:rPr>
        <w:t>.!:_ ,</w:t>
      </w:r>
    </w:p>
    <w:p>
      <w:pPr>
        <w:spacing w:after="0" w:line="169" w:lineRule="exact"/>
        <w:jc w:val="left"/>
        <w:rPr>
          <w:sz w:val="22"/>
        </w:rPr>
        <w:sectPr>
          <w:type w:val="continuous"/>
          <w:pgSz w:w="7200" w:h="11340"/>
          <w:pgMar w:top="1100" w:bottom="0" w:left="660" w:right="540"/>
          <w:cols w:num="3" w:equalWidth="0">
            <w:col w:w="2841" w:space="40"/>
            <w:col w:w="2685" w:space="40"/>
            <w:col w:w="394"/>
          </w:cols>
        </w:sectPr>
      </w:pPr>
    </w:p>
    <w:p>
      <w:pPr>
        <w:tabs>
          <w:tab w:pos="4077" w:val="left" w:leader="none"/>
          <w:tab w:pos="5668" w:val="left" w:leader="none"/>
        </w:tabs>
        <w:spacing w:line="217" w:lineRule="exact" w:before="0"/>
        <w:ind w:left="2940" w:right="0" w:firstLine="0"/>
        <w:jc w:val="left"/>
        <w:rPr>
          <w:i/>
          <w:sz w:val="22"/>
        </w:rPr>
      </w:pPr>
      <w:r>
        <w:rPr>
          <w:i/>
          <w:sz w:val="22"/>
        </w:rPr>
        <w:t>m</w:t>
        <w:tab/>
        <w:t>m</w:t>
        <w:tab/>
        <w:t>m</w:t>
      </w:r>
    </w:p>
    <w:p>
      <w:pPr>
        <w:pStyle w:val="BodyText"/>
        <w:spacing w:line="171" w:lineRule="exact"/>
        <w:ind w:left="117"/>
      </w:pPr>
      <w:r>
        <w:rPr>
          <w:w w:val="108"/>
        </w:rPr>
        <w:t>and</w:t>
      </w:r>
      <w:r>
        <w:rPr/>
        <w:t>  </w:t>
      </w:r>
      <w:r>
        <w:rPr>
          <w:spacing w:val="10"/>
        </w:rPr>
        <w:t> </w:t>
      </w:r>
      <w:r>
        <w:rPr>
          <w:w w:val="101"/>
        </w:rPr>
        <w:t>consider</w:t>
      </w:r>
      <w:r>
        <w:rPr/>
        <w:t>  </w:t>
      </w:r>
      <w:r>
        <w:rPr>
          <w:spacing w:val="9"/>
        </w:rPr>
        <w:t> </w:t>
      </w:r>
      <w:r>
        <w:rPr>
          <w:w w:val="110"/>
        </w:rPr>
        <w:t>the</w:t>
      </w:r>
      <w:r>
        <w:rPr/>
        <w:t>  </w:t>
      </w:r>
      <w:r>
        <w:rPr>
          <w:spacing w:val="21"/>
        </w:rPr>
        <w:t> </w:t>
      </w:r>
      <w:r>
        <w:rPr>
          <w:w w:val="106"/>
        </w:rPr>
        <w:t>value</w:t>
      </w:r>
      <w:r>
        <w:rPr/>
        <w:t>   </w:t>
      </w:r>
      <w:r>
        <w:rPr>
          <w:spacing w:val="-23"/>
        </w:rPr>
        <w:t> </w:t>
      </w:r>
      <w:r>
        <w:rPr>
          <w:w w:val="91"/>
        </w:rPr>
        <w:t>o</w:t>
      </w:r>
      <w:r>
        <w:rPr>
          <w:spacing w:val="3"/>
          <w:w w:val="91"/>
        </w:rPr>
        <w:t>f</w:t>
      </w:r>
      <w:r>
        <w:rPr>
          <w:spacing w:val="-265"/>
          <w:w w:val="600"/>
          <w:sz w:val="17"/>
        </w:rPr>
        <w:t>,</w:t>
      </w:r>
      <w:r>
        <w:rPr>
          <w:w w:val="98"/>
          <w:sz w:val="17"/>
        </w:rPr>
        <w:t>+r</w:t>
      </w:r>
      <w:r>
        <w:rPr>
          <w:spacing w:val="-21"/>
          <w:sz w:val="17"/>
        </w:rPr>
        <w:t> </w:t>
      </w:r>
      <w:r>
        <w:rPr>
          <w:rFonts w:ascii="Arial"/>
          <w:i/>
          <w:w w:val="86"/>
          <w:sz w:val="19"/>
        </w:rPr>
        <w:t>y&lt;</w:t>
      </w:r>
      <w:r>
        <w:rPr>
          <w:rFonts w:ascii="Arial"/>
          <w:i/>
          <w:spacing w:val="-27"/>
          <w:sz w:val="19"/>
        </w:rPr>
        <w:t> </w:t>
      </w:r>
      <w:r>
        <w:rPr>
          <w:rFonts w:ascii="Arial"/>
          <w:i/>
          <w:w w:val="48"/>
          <w:sz w:val="19"/>
        </w:rPr>
        <w:t>m&gt;</w:t>
      </w:r>
      <w:r>
        <w:rPr>
          <w:rFonts w:ascii="Arial"/>
          <w:i/>
          <w:spacing w:val="-19"/>
          <w:sz w:val="19"/>
        </w:rPr>
        <w:t> </w:t>
      </w:r>
      <w:r>
        <w:rPr>
          <w:rFonts w:ascii="Arial"/>
          <w:i/>
          <w:w w:val="107"/>
          <w:sz w:val="19"/>
        </w:rPr>
        <w:t>.</w:t>
      </w:r>
      <w:r>
        <w:rPr>
          <w:rFonts w:ascii="Arial"/>
          <w:i/>
          <w:sz w:val="19"/>
        </w:rPr>
        <w:t>  </w:t>
      </w:r>
      <w:r>
        <w:rPr>
          <w:rFonts w:ascii="Arial"/>
          <w:i/>
          <w:spacing w:val="4"/>
          <w:sz w:val="19"/>
        </w:rPr>
        <w:t> </w:t>
      </w:r>
      <w:r>
        <w:rPr>
          <w:w w:val="109"/>
        </w:rPr>
        <w:t>Interpolating</w:t>
      </w:r>
      <w:r>
        <w:rPr/>
        <w:t>   </w:t>
      </w:r>
      <w:r>
        <w:rPr>
          <w:spacing w:val="-18"/>
        </w:rPr>
        <w:t> </w:t>
      </w:r>
      <w:r>
        <w:rPr>
          <w:w w:val="105"/>
        </w:rPr>
        <w:t>directly</w:t>
      </w:r>
    </w:p>
    <w:p>
      <w:pPr>
        <w:spacing w:line="181" w:lineRule="exact" w:before="0"/>
        <w:ind w:left="193" w:right="0" w:firstLine="0"/>
        <w:jc w:val="center"/>
        <w:rPr>
          <w:rFonts w:ascii="Arial" w:hAnsi="Arial"/>
          <w:sz w:val="24"/>
        </w:rPr>
      </w:pPr>
      <w:r>
        <w:rPr>
          <w:rFonts w:ascii="Arial" w:hAnsi="Arial"/>
          <w:w w:val="166"/>
          <w:sz w:val="24"/>
        </w:rPr>
        <w:t>•</w:t>
      </w:r>
    </w:p>
    <w:p>
      <w:pPr>
        <w:spacing w:line="187" w:lineRule="exact" w:before="0"/>
        <w:ind w:left="110" w:right="0" w:firstLine="7"/>
        <w:jc w:val="left"/>
        <w:rPr>
          <w:sz w:val="20"/>
        </w:rPr>
      </w:pPr>
      <w:r>
        <w:rPr>
          <w:sz w:val="20"/>
        </w:rPr>
        <w:t>between  ,</w:t>
      </w:r>
      <w:r>
        <w:rPr>
          <w:rFonts w:ascii="Arial"/>
          <w:i/>
          <w:sz w:val="19"/>
        </w:rPr>
        <w:t>y&lt; </w:t>
      </w:r>
      <w:r>
        <w:rPr>
          <w:rFonts w:ascii="Arial"/>
          <w:i/>
          <w:w w:val="90"/>
          <w:sz w:val="19"/>
        </w:rPr>
        <w:t>m&gt;  </w:t>
      </w:r>
      <w:r>
        <w:rPr>
          <w:sz w:val="20"/>
        </w:rPr>
        <w:t>and  </w:t>
      </w:r>
      <w:r>
        <w:rPr>
          <w:sz w:val="12"/>
        </w:rPr>
        <w:t>1+1</w:t>
      </w:r>
      <w:r>
        <w:rPr>
          <w:rFonts w:ascii="Arial"/>
          <w:i/>
          <w:sz w:val="19"/>
        </w:rPr>
        <w:t>y&lt; </w:t>
      </w:r>
      <w:r>
        <w:rPr>
          <w:rFonts w:ascii="Arial"/>
          <w:i/>
          <w:w w:val="90"/>
          <w:sz w:val="19"/>
        </w:rPr>
        <w:t>m&gt;  </w:t>
      </w:r>
      <w:r>
        <w:rPr>
          <w:sz w:val="20"/>
        </w:rPr>
        <w:t>produces  a  value  which  is consistent</w:t>
      </w:r>
    </w:p>
    <w:p>
      <w:pPr>
        <w:pStyle w:val="BodyText"/>
        <w:tabs>
          <w:tab w:pos="3879" w:val="left" w:leader="none"/>
        </w:tabs>
        <w:spacing w:line="370" w:lineRule="atLeast" w:before="36"/>
        <w:ind w:left="114" w:right="128" w:hanging="4"/>
      </w:pPr>
      <w:r>
        <w:rPr>
          <w:w w:val="105"/>
        </w:rPr>
        <w:t>with the assumption that premiums are paid for </w:t>
      </w:r>
      <w:r>
        <w:rPr>
          <w:i/>
          <w:w w:val="105"/>
          <w:sz w:val="22"/>
        </w:rPr>
        <w:t>t </w:t>
      </w:r>
      <w:r>
        <w:rPr>
          <w:rFonts w:ascii="Arial" w:hAnsi="Arial"/>
          <w:w w:val="105"/>
          <w:sz w:val="31"/>
        </w:rPr>
        <w:t>+ </w:t>
      </w:r>
      <w:r>
        <w:rPr>
          <w:rFonts w:ascii="Arial" w:hAnsi="Arial"/>
          <w:i/>
          <w:w w:val="105"/>
          <w:position w:val="-13"/>
          <w:sz w:val="18"/>
        </w:rPr>
        <w:t>m </w:t>
      </w:r>
      <w:r>
        <w:rPr>
          <w:rFonts w:ascii="Arial" w:hAnsi="Arial"/>
          <w:w w:val="105"/>
          <w:sz w:val="31"/>
        </w:rPr>
        <w:t>+ </w:t>
      </w:r>
      <w:r>
        <w:rPr>
          <w:i/>
          <w:w w:val="105"/>
          <w:sz w:val="21"/>
        </w:rPr>
        <w:t>r </w:t>
      </w:r>
      <w:r>
        <w:rPr>
          <w:w w:val="105"/>
        </w:rPr>
        <w:t>years. Since premiums  are </w:t>
      </w:r>
      <w:r>
        <w:rPr>
          <w:w w:val="105"/>
          <w:sz w:val="19"/>
        </w:rPr>
        <w:t>in </w:t>
      </w:r>
      <w:r>
        <w:rPr>
          <w:w w:val="105"/>
        </w:rPr>
        <w:t>fact paid  for</w:t>
      </w:r>
      <w:r>
        <w:rPr>
          <w:spacing w:val="29"/>
          <w:w w:val="105"/>
        </w:rPr>
        <w:t> </w:t>
      </w:r>
      <w:r>
        <w:rPr>
          <w:i/>
          <w:w w:val="105"/>
          <w:sz w:val="22"/>
        </w:rPr>
        <w:t>t</w:t>
      </w:r>
      <w:r>
        <w:rPr>
          <w:i/>
          <w:spacing w:val="26"/>
          <w:w w:val="105"/>
          <w:sz w:val="22"/>
        </w:rPr>
        <w:t> </w:t>
      </w:r>
      <w:r>
        <w:rPr>
          <w:rFonts w:ascii="Arial" w:hAnsi="Arial"/>
          <w:w w:val="105"/>
          <w:sz w:val="31"/>
        </w:rPr>
        <w:t>+</w:t>
        <w:tab/>
        <w:t>+</w:t>
      </w:r>
      <w:r>
        <w:rPr>
          <w:rFonts w:ascii="Arial" w:hAnsi="Arial"/>
          <w:spacing w:val="-55"/>
          <w:w w:val="105"/>
          <w:sz w:val="31"/>
        </w:rPr>
        <w:t> </w:t>
      </w:r>
      <w:r>
        <w:rPr>
          <w:rFonts w:ascii="Arial" w:hAnsi="Arial"/>
          <w:w w:val="90"/>
          <w:sz w:val="29"/>
        </w:rPr>
        <w:t>.!..</w:t>
      </w:r>
      <w:r>
        <w:rPr>
          <w:rFonts w:ascii="Arial" w:hAnsi="Arial"/>
          <w:spacing w:val="-49"/>
          <w:w w:val="90"/>
          <w:sz w:val="29"/>
        </w:rPr>
        <w:t> </w:t>
      </w:r>
      <w:r>
        <w:rPr>
          <w:w w:val="105"/>
        </w:rPr>
        <w:t>years,</w:t>
      </w:r>
      <w:r>
        <w:rPr>
          <w:spacing w:val="-4"/>
          <w:w w:val="105"/>
        </w:rPr>
        <w:t> </w:t>
      </w:r>
      <w:r>
        <w:rPr>
          <w:w w:val="105"/>
        </w:rPr>
        <w:t>it</w:t>
      </w:r>
      <w:r>
        <w:rPr>
          <w:spacing w:val="-1"/>
          <w:w w:val="105"/>
        </w:rPr>
        <w:t> </w:t>
      </w:r>
      <w:r>
        <w:rPr>
          <w:rFonts w:ascii="Arial" w:hAnsi="Arial"/>
          <w:w w:val="105"/>
        </w:rPr>
        <w:t>is</w:t>
      </w:r>
      <w:r>
        <w:rPr>
          <w:rFonts w:ascii="Arial" w:hAnsi="Arial"/>
          <w:spacing w:val="-17"/>
          <w:w w:val="105"/>
        </w:rPr>
        <w:t> </w:t>
      </w:r>
      <w:r>
        <w:rPr>
          <w:w w:val="105"/>
        </w:rPr>
        <w:t>neces­</w:t>
      </w:r>
    </w:p>
    <w:p>
      <w:pPr>
        <w:tabs>
          <w:tab w:pos="4120" w:val="left" w:leader="none"/>
        </w:tabs>
        <w:spacing w:line="117" w:lineRule="exact" w:before="0"/>
        <w:ind w:left="3634" w:right="0" w:firstLine="0"/>
        <w:jc w:val="left"/>
        <w:rPr>
          <w:rFonts w:ascii="Courier New"/>
          <w:i/>
          <w:sz w:val="22"/>
        </w:rPr>
      </w:pPr>
      <w:r>
        <w:rPr>
          <w:rFonts w:ascii="Courier New"/>
          <w:i/>
          <w:w w:val="115"/>
          <w:sz w:val="22"/>
        </w:rPr>
        <w:t>m</w:t>
        <w:tab/>
        <w:t>m</w:t>
      </w:r>
    </w:p>
    <w:p>
      <w:pPr>
        <w:pStyle w:val="BodyText"/>
        <w:spacing w:line="217" w:lineRule="exact"/>
        <w:ind w:left="110"/>
      </w:pPr>
      <w:r>
        <w:rPr>
          <w:w w:val="105"/>
        </w:rPr>
        <w:t>sary to adjust  the interpolated  value  by  adding the diff erence    of</w:t>
      </w:r>
    </w:p>
    <w:p>
      <w:pPr>
        <w:tabs>
          <w:tab w:pos="470" w:val="left" w:leader="none"/>
        </w:tabs>
        <w:spacing w:before="126"/>
        <w:ind w:left="117" w:right="0" w:firstLine="0"/>
        <w:jc w:val="left"/>
        <w:rPr>
          <w:sz w:val="20"/>
        </w:rPr>
      </w:pPr>
      <w:r>
        <w:rPr>
          <w:rFonts w:ascii="Arial"/>
          <w:w w:val="235"/>
          <w:sz w:val="19"/>
        </w:rPr>
        <w:t>(</w:t>
        <w:tab/>
      </w:r>
      <w:r>
        <w:rPr>
          <w:rFonts w:ascii="Arial"/>
          <w:w w:val="230"/>
          <w:sz w:val="19"/>
        </w:rPr>
        <w:t>-</w:t>
      </w:r>
      <w:r>
        <w:rPr>
          <w:rFonts w:ascii="Arial"/>
          <w:spacing w:val="-76"/>
          <w:w w:val="230"/>
          <w:sz w:val="19"/>
        </w:rPr>
        <w:t> </w:t>
      </w:r>
      <w:r>
        <w:rPr>
          <w:rFonts w:ascii="Arial"/>
          <w:w w:val="230"/>
          <w:sz w:val="19"/>
        </w:rPr>
        <w:t>)</w:t>
      </w:r>
      <w:r>
        <w:rPr>
          <w:rFonts w:ascii="Arial"/>
          <w:spacing w:val="-112"/>
          <w:w w:val="230"/>
          <w:sz w:val="19"/>
        </w:rPr>
        <w:t> </w:t>
      </w:r>
      <w:r>
        <w:rPr>
          <w:rFonts w:ascii="Arial"/>
          <w:i/>
          <w:w w:val="95"/>
          <w:sz w:val="19"/>
        </w:rPr>
        <w:t>p&lt;m&gt;</w:t>
      </w:r>
      <w:r>
        <w:rPr>
          <w:rFonts w:ascii="Arial"/>
          <w:i/>
          <w:spacing w:val="-38"/>
          <w:w w:val="95"/>
          <w:sz w:val="19"/>
        </w:rPr>
        <w:t> </w:t>
      </w:r>
      <w:r>
        <w:rPr>
          <w:rFonts w:ascii="Arial"/>
          <w:i/>
          <w:w w:val="120"/>
          <w:sz w:val="19"/>
        </w:rPr>
        <w:t>.</w:t>
      </w:r>
      <w:r>
        <w:rPr>
          <w:rFonts w:ascii="Arial"/>
          <w:i/>
          <w:spacing w:val="-49"/>
          <w:w w:val="120"/>
          <w:sz w:val="19"/>
        </w:rPr>
        <w:t> </w:t>
      </w:r>
      <w:r>
        <w:rPr>
          <w:w w:val="120"/>
          <w:sz w:val="20"/>
        </w:rPr>
        <w:t>We</w:t>
      </w:r>
      <w:r>
        <w:rPr>
          <w:spacing w:val="-42"/>
          <w:w w:val="120"/>
          <w:sz w:val="20"/>
        </w:rPr>
        <w:t> </w:t>
      </w:r>
      <w:r>
        <w:rPr>
          <w:w w:val="120"/>
          <w:sz w:val="20"/>
        </w:rPr>
        <w:t>then</w:t>
      </w:r>
      <w:r>
        <w:rPr>
          <w:spacing w:val="-40"/>
          <w:w w:val="120"/>
          <w:sz w:val="20"/>
        </w:rPr>
        <w:t> </w:t>
      </w:r>
      <w:r>
        <w:rPr>
          <w:w w:val="120"/>
          <w:sz w:val="20"/>
        </w:rPr>
        <w:t>have</w:t>
      </w:r>
    </w:p>
    <w:p>
      <w:pPr>
        <w:spacing w:after="0"/>
        <w:jc w:val="left"/>
        <w:rPr>
          <w:sz w:val="20"/>
        </w:rPr>
        <w:sectPr>
          <w:type w:val="continuous"/>
          <w:pgSz w:w="7200" w:h="11340"/>
          <w:pgMar w:top="1100" w:bottom="0" w:left="660" w:right="540"/>
        </w:sectPr>
      </w:pPr>
    </w:p>
    <w:p>
      <w:pPr>
        <w:tabs>
          <w:tab w:pos="2659" w:val="left" w:leader="none"/>
          <w:tab w:pos="6534" w:val="right" w:leader="none"/>
        </w:tabs>
        <w:spacing w:before="59"/>
        <w:ind w:left="782" w:right="0" w:firstLine="0"/>
        <w:jc w:val="left"/>
        <w:rPr>
          <w:rFonts w:ascii="Arial"/>
          <w:b/>
          <w:sz w:val="19"/>
        </w:rPr>
      </w:pPr>
      <w:r>
        <w:rPr>
          <w:b/>
          <w:color w:val="010101"/>
          <w:sz w:val="15"/>
        </w:rPr>
        <w:t>SEC.</w:t>
      </w:r>
      <w:r>
        <w:rPr>
          <w:b/>
          <w:color w:val="010101"/>
          <w:spacing w:val="32"/>
          <w:sz w:val="15"/>
        </w:rPr>
        <w:t> </w:t>
      </w:r>
      <w:r>
        <w:rPr>
          <w:rFonts w:ascii="Arial"/>
          <w:b/>
          <w:color w:val="010101"/>
          <w:sz w:val="19"/>
        </w:rPr>
        <w:t>8)</w:t>
        <w:tab/>
      </w:r>
      <w:r>
        <w:rPr>
          <w:b/>
          <w:color w:val="010101"/>
          <w:sz w:val="15"/>
        </w:rPr>
        <w:t>CONTINUOUS  </w:t>
      </w:r>
      <w:r>
        <w:rPr>
          <w:b/>
          <w:color w:val="010101"/>
          <w:spacing w:val="6"/>
          <w:sz w:val="15"/>
        </w:rPr>
        <w:t> </w:t>
      </w:r>
      <w:r>
        <w:rPr>
          <w:b/>
          <w:color w:val="010101"/>
          <w:sz w:val="15"/>
        </w:rPr>
        <w:t>RESERVES</w:t>
      </w:r>
      <w:r>
        <w:rPr>
          <w:rFonts w:ascii="Arial"/>
          <w:b/>
          <w:color w:val="010101"/>
          <w:sz w:val="19"/>
        </w:rPr>
        <w:tab/>
      </w:r>
      <w:r>
        <w:rPr>
          <w:rFonts w:ascii="Arial"/>
          <w:b/>
          <w:color w:val="010101"/>
          <w:spacing w:val="-10"/>
          <w:sz w:val="19"/>
        </w:rPr>
        <w:t>113</w:t>
      </w:r>
    </w:p>
    <w:p>
      <w:pPr>
        <w:spacing w:line="566" w:lineRule="exact" w:before="68"/>
        <w:ind w:left="-456" w:right="0" w:firstLine="0"/>
        <w:jc w:val="left"/>
        <w:rPr>
          <w:rFonts w:ascii="Arial" w:hAnsi="Arial"/>
          <w:i/>
          <w:sz w:val="20"/>
        </w:rPr>
      </w:pPr>
      <w:r>
        <w:rPr>
          <w:color w:val="010101"/>
          <w:spacing w:val="-1521"/>
          <w:w w:val="600"/>
          <w:position w:val="-4"/>
          <w:sz w:val="28"/>
        </w:rPr>
        <w:t>,</w:t>
      </w:r>
      <w:r>
        <w:rPr>
          <w:rFonts w:ascii="Arial" w:hAnsi="Arial"/>
          <w:color w:val="010101"/>
          <w:spacing w:val="-19"/>
          <w:w w:val="117"/>
          <w:sz w:val="21"/>
        </w:rPr>
        <w:t>'</w:t>
      </w:r>
      <w:r>
        <w:rPr>
          <w:rFonts w:ascii="Arial" w:hAnsi="Arial"/>
          <w:color w:val="010101"/>
          <w:w w:val="100"/>
          <w:sz w:val="21"/>
        </w:rPr>
        <w:t>·</w:t>
      </w:r>
      <w:r>
        <w:rPr>
          <w:rFonts w:ascii="Arial" w:hAnsi="Arial"/>
          <w:color w:val="010101"/>
          <w:spacing w:val="28"/>
          <w:sz w:val="21"/>
        </w:rPr>
        <w:t> </w:t>
      </w:r>
      <w:r>
        <w:rPr>
          <w:color w:val="010101"/>
          <w:w w:val="49"/>
          <w:position w:val="-4"/>
          <w:sz w:val="28"/>
        </w:rPr>
        <w:t>,</w:t>
      </w:r>
      <w:r>
        <w:rPr>
          <w:color w:val="010101"/>
          <w:spacing w:val="6"/>
          <w:w w:val="49"/>
          <w:position w:val="-4"/>
          <w:sz w:val="28"/>
        </w:rPr>
        <w:t>.</w:t>
      </w:r>
      <w:r>
        <w:rPr>
          <w:rFonts w:ascii="Arial" w:hAnsi="Arial"/>
          <w:i/>
          <w:color w:val="010101"/>
          <w:w w:val="84"/>
          <w:sz w:val="21"/>
        </w:rPr>
        <w:t>V'"'</w:t>
      </w:r>
      <w:r>
        <w:rPr>
          <w:rFonts w:ascii="Arial" w:hAnsi="Arial"/>
          <w:i/>
          <w:color w:val="010101"/>
          <w:spacing w:val="14"/>
          <w:w w:val="84"/>
          <w:sz w:val="21"/>
        </w:rPr>
        <w:t>&gt;</w:t>
      </w:r>
      <w:r>
        <w:rPr>
          <w:color w:val="010101"/>
          <w:spacing w:val="-169"/>
          <w:w w:val="218"/>
          <w:position w:val="-4"/>
          <w:sz w:val="13"/>
        </w:rPr>
        <w:t>-</w:t>
      </w:r>
      <w:r>
        <w:rPr>
          <w:rFonts w:ascii="Arial" w:hAnsi="Arial"/>
          <w:color w:val="010101"/>
          <w:w w:val="30"/>
          <w:sz w:val="21"/>
        </w:rPr>
        <w:t>::......</w:t>
      </w:r>
      <w:r>
        <w:rPr>
          <w:rFonts w:ascii="Arial" w:hAnsi="Arial"/>
          <w:color w:val="010101"/>
          <w:spacing w:val="27"/>
          <w:sz w:val="21"/>
        </w:rPr>
        <w:t> </w:t>
      </w:r>
      <w:r>
        <w:rPr>
          <w:rFonts w:ascii="Arial" w:hAnsi="Arial"/>
          <w:b/>
          <w:color w:val="010101"/>
          <w:spacing w:val="-11"/>
          <w:w w:val="93"/>
          <w:sz w:val="48"/>
        </w:rPr>
        <w:t>(</w:t>
      </w:r>
      <w:r>
        <w:rPr>
          <w:rFonts w:ascii="Arial" w:hAnsi="Arial"/>
          <w:b/>
          <w:color w:val="010101"/>
          <w:w w:val="40"/>
          <w:sz w:val="48"/>
        </w:rPr>
        <w:t>1</w:t>
      </w:r>
      <w:r>
        <w:rPr>
          <w:rFonts w:ascii="Arial" w:hAnsi="Arial"/>
          <w:b/>
          <w:color w:val="010101"/>
          <w:spacing w:val="-75"/>
          <w:sz w:val="48"/>
        </w:rPr>
        <w:t> </w:t>
      </w:r>
      <w:r>
        <w:rPr>
          <w:color w:val="010101"/>
          <w:w w:val="179"/>
          <w:position w:val="-4"/>
          <w:sz w:val="32"/>
        </w:rPr>
        <w:t>-</w:t>
      </w:r>
      <w:r>
        <w:rPr>
          <w:color w:val="010101"/>
          <w:spacing w:val="-43"/>
          <w:position w:val="-4"/>
          <w:sz w:val="32"/>
        </w:rPr>
        <w:t> </w:t>
      </w:r>
      <w:r>
        <w:rPr>
          <w:b/>
          <w:i/>
          <w:color w:val="010101"/>
          <w:spacing w:val="-68"/>
          <w:w w:val="92"/>
          <w:sz w:val="21"/>
        </w:rPr>
        <w:t>k</w:t>
      </w:r>
      <w:r>
        <w:rPr>
          <w:color w:val="010101"/>
          <w:w w:val="165"/>
          <w:position w:val="-4"/>
          <w:sz w:val="32"/>
        </w:rPr>
        <w:t>-</w:t>
      </w:r>
      <w:r>
        <w:rPr>
          <w:color w:val="010101"/>
          <w:spacing w:val="-46"/>
          <w:position w:val="-4"/>
          <w:sz w:val="32"/>
        </w:rPr>
        <w:t> </w:t>
      </w:r>
      <w:r>
        <w:rPr>
          <w:color w:val="010101"/>
          <w:w w:val="179"/>
          <w:position w:val="-4"/>
          <w:sz w:val="32"/>
        </w:rPr>
        <w:t>-</w:t>
      </w:r>
      <w:r>
        <w:rPr>
          <w:color w:val="010101"/>
          <w:spacing w:val="-32"/>
          <w:position w:val="-4"/>
          <w:sz w:val="32"/>
        </w:rPr>
        <w:t> </w:t>
      </w:r>
      <w:r>
        <w:rPr>
          <w:color w:val="010101"/>
          <w:w w:val="55"/>
          <w:sz w:val="50"/>
        </w:rPr>
        <w:t>r)</w:t>
      </w:r>
      <w:r>
        <w:rPr>
          <w:color w:val="010101"/>
          <w:spacing w:val="-50"/>
          <w:sz w:val="50"/>
        </w:rPr>
        <w:t> </w:t>
      </w:r>
      <w:r>
        <w:rPr>
          <w:rFonts w:ascii="Arial" w:hAnsi="Arial"/>
          <w:color w:val="010101"/>
          <w:spacing w:val="-6"/>
          <w:w w:val="120"/>
          <w:position w:val="-4"/>
          <w:sz w:val="32"/>
        </w:rPr>
        <w:t>'</w:t>
      </w:r>
      <w:r>
        <w:rPr>
          <w:rFonts w:ascii="Arial" w:hAnsi="Arial"/>
          <w:i/>
          <w:color w:val="010101"/>
          <w:w w:val="70"/>
          <w:sz w:val="20"/>
        </w:rPr>
        <w:t>y&lt;-.&gt;</w:t>
      </w:r>
    </w:p>
    <w:p>
      <w:pPr>
        <w:tabs>
          <w:tab w:pos="1482" w:val="left" w:leader="none"/>
          <w:tab w:pos="5075" w:val="left" w:leader="none"/>
        </w:tabs>
        <w:spacing w:line="177" w:lineRule="exact" w:before="0"/>
        <w:ind w:left="0" w:right="126" w:firstLine="0"/>
        <w:jc w:val="right"/>
        <w:rPr>
          <w:sz w:val="21"/>
        </w:rPr>
      </w:pPr>
      <w:r>
        <w:rPr>
          <w:color w:val="010101"/>
          <w:w w:val="265"/>
          <w:position w:val="11"/>
          <w:sz w:val="14"/>
        </w:rPr>
        <w:t>-</w:t>
        <w:tab/>
      </w:r>
      <w:r>
        <w:rPr>
          <w:b/>
          <w:color w:val="010101"/>
          <w:w w:val="115"/>
          <w:position w:val="11"/>
          <w:sz w:val="14"/>
        </w:rPr>
        <w:t>ffl</w:t>
        <w:tab/>
      </w:r>
      <w:r>
        <w:rPr>
          <w:color w:val="010101"/>
          <w:spacing w:val="-3"/>
          <w:w w:val="105"/>
          <w:sz w:val="21"/>
        </w:rPr>
        <w:t>(5.27)</w:t>
      </w:r>
    </w:p>
    <w:p>
      <w:pPr>
        <w:spacing w:line="463" w:lineRule="exact" w:before="0"/>
        <w:ind w:left="2541" w:right="0" w:firstLine="0"/>
        <w:jc w:val="left"/>
        <w:rPr>
          <w:rFonts w:ascii="Arial" w:hAnsi="Arial"/>
          <w:sz w:val="22"/>
        </w:rPr>
      </w:pPr>
      <w:r>
        <w:rPr/>
        <w:pict>
          <v:shape style="position:absolute;margin-left:200.996994pt;margin-top:8.11571pt;width:3.4pt;height:6pt;mso-position-horizontal-relative:page;mso-position-vertical-relative:paragraph;z-index:-725728" type="#_x0000_t202" filled="false" stroked="false">
            <v:textbox inset="0,0,0,0">
              <w:txbxContent>
                <w:p>
                  <w:pPr>
                    <w:spacing w:line="120" w:lineRule="exact" w:before="0"/>
                    <w:ind w:left="0" w:right="0" w:firstLine="0"/>
                    <w:jc w:val="left"/>
                    <w:rPr>
                      <w:sz w:val="12"/>
                    </w:rPr>
                  </w:pPr>
                  <w:r>
                    <w:rPr>
                      <w:color w:val="010101"/>
                      <w:w w:val="112"/>
                      <w:sz w:val="12"/>
                    </w:rPr>
                    <w:t>1</w:t>
                  </w:r>
                </w:p>
              </w:txbxContent>
            </v:textbox>
            <w10:wrap type="none"/>
          </v:shape>
        </w:pict>
      </w:r>
      <w:r>
        <w:rPr>
          <w:color w:val="010101"/>
          <w:w w:val="101"/>
          <w:sz w:val="30"/>
        </w:rPr>
        <w:t>+</w:t>
      </w:r>
      <w:r>
        <w:rPr>
          <w:color w:val="010101"/>
          <w:spacing w:val="3"/>
          <w:sz w:val="30"/>
        </w:rPr>
        <w:t> </w:t>
      </w:r>
      <w:r>
        <w:rPr>
          <w:color w:val="010101"/>
          <w:spacing w:val="36"/>
          <w:w w:val="300"/>
          <w:sz w:val="30"/>
        </w:rPr>
        <w:t>(</w:t>
      </w:r>
      <w:r>
        <w:rPr>
          <w:color w:val="010101"/>
          <w:w w:val="101"/>
          <w:sz w:val="30"/>
        </w:rPr>
        <w:t>+</w:t>
      </w:r>
      <w:r>
        <w:rPr>
          <w:color w:val="010101"/>
          <w:spacing w:val="3"/>
          <w:sz w:val="30"/>
        </w:rPr>
        <w:t> </w:t>
      </w:r>
      <w:r>
        <w:rPr>
          <w:color w:val="010101"/>
          <w:spacing w:val="-55"/>
          <w:w w:val="178"/>
          <w:sz w:val="30"/>
        </w:rPr>
        <w:t>,</w:t>
      </w:r>
      <w:r>
        <w:rPr>
          <w:color w:val="010101"/>
          <w:w w:val="130"/>
          <w:sz w:val="30"/>
        </w:rPr>
        <w:t>)</w:t>
      </w:r>
      <w:r>
        <w:rPr>
          <w:color w:val="010101"/>
          <w:spacing w:val="-20"/>
          <w:sz w:val="30"/>
        </w:rPr>
        <w:t> </w:t>
      </w:r>
      <w:r>
        <w:rPr>
          <w:color w:val="010101"/>
          <w:w w:val="121"/>
          <w:sz w:val="15"/>
        </w:rPr>
        <w:t>1+1v</w:t>
      </w:r>
      <w:r>
        <w:rPr>
          <w:color w:val="010101"/>
          <w:spacing w:val="1"/>
          <w:sz w:val="15"/>
        </w:rPr>
        <w:t> </w:t>
      </w:r>
      <w:r>
        <w:rPr>
          <w:rFonts w:ascii="Arial" w:hAnsi="Arial"/>
          <w:color w:val="010101"/>
          <w:w w:val="76"/>
          <w:sz w:val="22"/>
        </w:rPr>
        <w:t>-&gt;</w:t>
      </w:r>
      <w:r>
        <w:rPr>
          <w:rFonts w:ascii="Arial" w:hAnsi="Arial"/>
          <w:color w:val="010101"/>
          <w:spacing w:val="20"/>
          <w:sz w:val="22"/>
        </w:rPr>
        <w:t> </w:t>
      </w:r>
      <w:r>
        <w:rPr>
          <w:color w:val="010101"/>
          <w:w w:val="101"/>
          <w:sz w:val="30"/>
        </w:rPr>
        <w:t>+</w:t>
      </w:r>
      <w:r>
        <w:rPr>
          <w:color w:val="010101"/>
          <w:spacing w:val="3"/>
          <w:sz w:val="30"/>
        </w:rPr>
        <w:t> </w:t>
      </w:r>
      <w:r>
        <w:rPr>
          <w:color w:val="010101"/>
          <w:spacing w:val="-32"/>
          <w:w w:val="86"/>
          <w:sz w:val="48"/>
        </w:rPr>
        <w:t>(</w:t>
      </w:r>
      <w:r>
        <w:rPr>
          <w:color w:val="010101"/>
          <w:spacing w:val="49"/>
          <w:w w:val="151"/>
          <w:sz w:val="48"/>
        </w:rPr>
        <w:t>i</w:t>
      </w:r>
      <w:r>
        <w:rPr>
          <w:color w:val="010101"/>
          <w:spacing w:val="44"/>
          <w:w w:val="115"/>
          <w:sz w:val="48"/>
        </w:rPr>
        <w:t>-</w:t>
      </w:r>
      <w:r>
        <w:rPr>
          <w:color w:val="010101"/>
          <w:spacing w:val="-67"/>
          <w:w w:val="121"/>
          <w:sz w:val="48"/>
        </w:rPr>
        <w:t>,</w:t>
      </w:r>
      <w:r>
        <w:rPr>
          <w:color w:val="010101"/>
          <w:w w:val="86"/>
          <w:sz w:val="48"/>
        </w:rPr>
        <w:t>)</w:t>
      </w:r>
      <w:r>
        <w:rPr>
          <w:color w:val="010101"/>
          <w:spacing w:val="-73"/>
          <w:sz w:val="48"/>
        </w:rPr>
        <w:t> </w:t>
      </w:r>
      <w:r>
        <w:rPr>
          <w:rFonts w:ascii="Arial" w:hAnsi="Arial"/>
          <w:color w:val="010101"/>
          <w:spacing w:val="-25"/>
          <w:w w:val="142"/>
          <w:sz w:val="22"/>
        </w:rPr>
        <w:t>p</w:t>
      </w:r>
      <w:r>
        <w:rPr>
          <w:rFonts w:ascii="Arial" w:hAnsi="Arial"/>
          <w:color w:val="010101"/>
          <w:w w:val="76"/>
          <w:sz w:val="22"/>
        </w:rPr>
        <w:t>&lt;</w:t>
      </w:r>
      <w:r>
        <w:rPr>
          <w:rFonts w:ascii="Arial" w:hAnsi="Arial"/>
          <w:color w:val="010101"/>
          <w:spacing w:val="-15"/>
          <w:w w:val="76"/>
          <w:sz w:val="22"/>
        </w:rPr>
        <w:t>•</w:t>
      </w:r>
      <w:r>
        <w:rPr>
          <w:rFonts w:ascii="Arial" w:hAnsi="Arial"/>
          <w:color w:val="010101"/>
          <w:w w:val="52"/>
          <w:sz w:val="22"/>
        </w:rPr>
        <w:t>&gt;.</w:t>
      </w:r>
    </w:p>
    <w:p>
      <w:pPr>
        <w:spacing w:before="160"/>
        <w:ind w:left="796" w:right="118" w:firstLine="201"/>
        <w:jc w:val="both"/>
        <w:rPr>
          <w:sz w:val="21"/>
        </w:rPr>
      </w:pPr>
      <w:r>
        <w:rPr>
          <w:color w:val="010101"/>
          <w:sz w:val="21"/>
        </w:rPr>
        <w:t>Formulas (5.25), (5.26), and (5.27) are all contained in the following general rule: Interpolate between successive terminal reserves and add the amount of net premium paid for any period beyond  the date of  valuation.</w:t>
      </w:r>
    </w:p>
    <w:p>
      <w:pPr>
        <w:spacing w:line="240" w:lineRule="auto" w:before="0"/>
        <w:ind w:left="793" w:right="115" w:firstLine="204"/>
        <w:jc w:val="both"/>
        <w:rPr>
          <w:sz w:val="21"/>
        </w:rPr>
      </w:pPr>
      <w:r>
        <w:rPr>
          <w:color w:val="010101"/>
          <w:sz w:val="21"/>
        </w:rPr>
        <w:t>In practice, it is frequently desirable to express formulas of this kind in terms of existing tabulated values of annual-premium ter­ minal reserves. This can always be done by substituting the ex­ pressions derived in Section 6 for the fractional-premium reserves  in the formulas</w:t>
      </w:r>
      <w:r>
        <w:rPr>
          <w:color w:val="010101"/>
          <w:spacing w:val="18"/>
          <w:sz w:val="21"/>
        </w:rPr>
        <w:t> </w:t>
      </w:r>
      <w:r>
        <w:rPr>
          <w:color w:val="010101"/>
          <w:sz w:val="21"/>
        </w:rPr>
        <w:t>above.</w:t>
      </w:r>
    </w:p>
    <w:p>
      <w:pPr>
        <w:pStyle w:val="ListParagraph"/>
        <w:numPr>
          <w:ilvl w:val="0"/>
          <w:numId w:val="45"/>
        </w:numPr>
        <w:tabs>
          <w:tab w:pos="1063" w:val="left" w:leader="none"/>
        </w:tabs>
        <w:spacing w:line="240" w:lineRule="auto" w:before="174" w:after="0"/>
        <w:ind w:left="1062" w:right="0" w:hanging="269"/>
        <w:jc w:val="both"/>
        <w:rPr>
          <w:b/>
          <w:color w:val="010101"/>
          <w:sz w:val="20"/>
        </w:rPr>
      </w:pPr>
      <w:r>
        <w:rPr>
          <w:b/>
          <w:color w:val="010101"/>
          <w:w w:val="115"/>
          <w:sz w:val="19"/>
        </w:rPr>
        <w:t>Continuous</w:t>
      </w:r>
      <w:r>
        <w:rPr>
          <w:b/>
          <w:color w:val="010101"/>
          <w:spacing w:val="41"/>
          <w:w w:val="115"/>
          <w:sz w:val="19"/>
        </w:rPr>
        <w:t> </w:t>
      </w:r>
      <w:r>
        <w:rPr>
          <w:b/>
          <w:color w:val="010101"/>
          <w:w w:val="115"/>
          <w:sz w:val="19"/>
        </w:rPr>
        <w:t>reserves</w:t>
      </w:r>
    </w:p>
    <w:p>
      <w:pPr>
        <w:spacing w:line="230" w:lineRule="auto" w:before="81"/>
        <w:ind w:left="793" w:right="112" w:firstLine="204"/>
        <w:jc w:val="both"/>
        <w:rPr>
          <w:sz w:val="21"/>
        </w:rPr>
      </w:pPr>
      <w:r>
        <w:rPr>
          <w:color w:val="010101"/>
          <w:sz w:val="21"/>
        </w:rPr>
        <w:t>When we consider a whole life insurance payable at the moment of death and purchased by continuous premiums </w:t>
      </w:r>
      <w:r>
        <w:rPr>
          <w:rFonts w:ascii="Arial" w:hAnsi="Arial"/>
          <w:i/>
          <w:color w:val="010101"/>
          <w:sz w:val="24"/>
        </w:rPr>
        <w:t>P( </w:t>
      </w:r>
      <w:r>
        <w:rPr>
          <w:rFonts w:ascii="Arial" w:hAnsi="Arial"/>
          <w:i/>
          <w:color w:val="010101"/>
          <w:spacing w:val="-8"/>
          <w:sz w:val="24"/>
        </w:rPr>
        <w:t>X,J </w:t>
      </w:r>
      <w:r>
        <w:rPr>
          <w:rFonts w:ascii="Arial" w:hAnsi="Arial"/>
          <w:i/>
          <w:color w:val="010101"/>
          <w:sz w:val="24"/>
        </w:rPr>
        <w:t>, </w:t>
      </w:r>
      <w:r>
        <w:rPr>
          <w:color w:val="010101"/>
          <w:sz w:val="21"/>
        </w:rPr>
        <w:t>we encounter a reserve function, ,</w:t>
      </w:r>
      <w:r>
        <w:rPr>
          <w:rFonts w:ascii="Arial" w:hAnsi="Arial"/>
          <w:i/>
          <w:color w:val="010101"/>
          <w:sz w:val="24"/>
        </w:rPr>
        <w:t>V </w:t>
      </w:r>
      <w:r>
        <w:rPr>
          <w:color w:val="010101"/>
          <w:sz w:val="19"/>
        </w:rPr>
        <w:t>(Ar ), </w:t>
      </w:r>
      <w:r>
        <w:rPr>
          <w:color w:val="010101"/>
          <w:sz w:val="21"/>
        </w:rPr>
        <w:t>which for a given age </w:t>
      </w:r>
      <w:r>
        <w:rPr>
          <w:rFonts w:ascii="Arial" w:hAnsi="Arial"/>
          <w:i/>
          <w:color w:val="010101"/>
          <w:sz w:val="17"/>
        </w:rPr>
        <w:t>x </w:t>
      </w:r>
      <w:r>
        <w:rPr>
          <w:color w:val="010101"/>
          <w:sz w:val="21"/>
        </w:rPr>
        <w:t>is a continuous function of time </w:t>
      </w:r>
      <w:r>
        <w:rPr>
          <w:i/>
          <w:color w:val="010101"/>
          <w:sz w:val="21"/>
        </w:rPr>
        <w:t>t. </w:t>
      </w:r>
      <w:r>
        <w:rPr>
          <w:color w:val="010101"/>
          <w:sz w:val="21"/>
        </w:rPr>
        <w:t>Premiums are being paid continu­ ously, interest may be considered  to be credited  momently,  and the insurance costs are deducted at each instant. Although pro­ spective and retrospective expressions for this reserve are readily formulated  by  analogy  with  the  formulas  already  considered,  </w:t>
      </w:r>
      <w:r>
        <w:rPr>
          <w:color w:val="010101"/>
          <w:spacing w:val="6"/>
          <w:sz w:val="21"/>
        </w:rPr>
        <w:t> </w:t>
      </w:r>
      <w:r>
        <w:rPr>
          <w:color w:val="010101"/>
          <w:sz w:val="21"/>
        </w:rPr>
        <w:t>a</w:t>
      </w:r>
    </w:p>
    <w:p>
      <w:pPr>
        <w:spacing w:line="240" w:lineRule="exact" w:before="5"/>
        <w:ind w:left="796" w:right="119" w:firstLine="0"/>
        <w:jc w:val="right"/>
        <w:rPr>
          <w:i/>
          <w:sz w:val="21"/>
        </w:rPr>
      </w:pPr>
      <w:r>
        <w:rPr>
          <w:color w:val="010101"/>
          <w:sz w:val="21"/>
        </w:rPr>
        <w:t>diff erent approach is possible which gives  valuable insights into</w:t>
      </w:r>
      <w:r>
        <w:rPr>
          <w:color w:val="010101"/>
          <w:w w:val="101"/>
          <w:sz w:val="21"/>
        </w:rPr>
        <w:t> </w:t>
      </w:r>
      <w:r>
        <w:rPr>
          <w:color w:val="010101"/>
          <w:sz w:val="21"/>
        </w:rPr>
        <w:t>the application of calculus methods to life contingency problems.</w:t>
      </w:r>
      <w:r>
        <w:rPr>
          <w:color w:val="010101"/>
          <w:w w:val="96"/>
          <w:sz w:val="21"/>
        </w:rPr>
        <w:t> </w:t>
      </w:r>
      <w:r>
        <w:rPr>
          <w:color w:val="010101"/>
          <w:sz w:val="21"/>
        </w:rPr>
        <w:t>Consider a group of </w:t>
      </w:r>
      <w:r>
        <w:rPr>
          <w:rFonts w:ascii="Arial"/>
          <w:i/>
          <w:color w:val="010101"/>
          <w:sz w:val="22"/>
        </w:rPr>
        <w:t>l: </w:t>
      </w:r>
      <w:r>
        <w:rPr>
          <w:color w:val="010101"/>
          <w:sz w:val="21"/>
        </w:rPr>
        <w:t>whole life insurances of  1 issued at age  </w:t>
      </w:r>
      <w:r>
        <w:rPr>
          <w:i/>
          <w:color w:val="010101"/>
          <w:sz w:val="21"/>
        </w:rPr>
        <w:t>x.</w:t>
      </w:r>
    </w:p>
    <w:p>
      <w:pPr>
        <w:spacing w:line="228" w:lineRule="auto" w:before="3"/>
        <w:ind w:left="793" w:right="120" w:firstLine="0"/>
        <w:jc w:val="both"/>
        <w:rPr>
          <w:sz w:val="21"/>
        </w:rPr>
      </w:pPr>
      <w:r>
        <w:rPr>
          <w:color w:val="010101"/>
          <w:sz w:val="21"/>
        </w:rPr>
        <w:t>The insurance is payable at the moment of  death,  and  premiums are payable momently. Let us examine the  fund  which  results from the continuous crediting of premiums and interest and the continuous  debiting  of  death  benefit  payments.  We write  </w:t>
      </w:r>
      <w:r>
        <w:rPr>
          <w:color w:val="010101"/>
          <w:spacing w:val="3"/>
          <w:sz w:val="21"/>
        </w:rPr>
        <w:t>,</w:t>
      </w:r>
      <w:r>
        <w:rPr>
          <w:rFonts w:ascii="Arial"/>
          <w:i/>
          <w:color w:val="010101"/>
          <w:spacing w:val="3"/>
          <w:sz w:val="24"/>
        </w:rPr>
        <w:t>V</w:t>
      </w:r>
      <w:r>
        <w:rPr>
          <w:rFonts w:ascii="Arial"/>
          <w:i/>
          <w:color w:val="010101"/>
          <w:spacing w:val="8"/>
          <w:sz w:val="24"/>
        </w:rPr>
        <w:t> </w:t>
      </w:r>
      <w:r>
        <w:rPr>
          <w:color w:val="010101"/>
          <w:sz w:val="21"/>
        </w:rPr>
        <w:t>for</w:t>
      </w:r>
    </w:p>
    <w:p>
      <w:pPr>
        <w:spacing w:line="208" w:lineRule="auto" w:before="0"/>
        <w:ind w:left="793" w:right="114" w:firstLine="14"/>
        <w:jc w:val="both"/>
        <w:rPr>
          <w:sz w:val="21"/>
        </w:rPr>
      </w:pPr>
      <w:r>
        <w:rPr>
          <w:color w:val="010101"/>
          <w:spacing w:val="-3"/>
          <w:w w:val="105"/>
          <w:sz w:val="25"/>
        </w:rPr>
        <w:t>,</w:t>
      </w:r>
      <w:r>
        <w:rPr>
          <w:i/>
          <w:color w:val="010101"/>
          <w:spacing w:val="-3"/>
          <w:w w:val="105"/>
          <w:sz w:val="25"/>
        </w:rPr>
        <w:t>V </w:t>
      </w:r>
      <w:r>
        <w:rPr>
          <w:color w:val="010101"/>
          <w:spacing w:val="-8"/>
          <w:w w:val="105"/>
          <w:sz w:val="20"/>
        </w:rPr>
        <w:t>(A:.:). </w:t>
      </w:r>
      <w:r>
        <w:rPr>
          <w:color w:val="010101"/>
          <w:w w:val="105"/>
          <w:sz w:val="21"/>
        </w:rPr>
        <w:t>Since ,</w:t>
      </w:r>
      <w:r>
        <w:rPr>
          <w:i/>
          <w:color w:val="010101"/>
          <w:w w:val="105"/>
          <w:sz w:val="25"/>
        </w:rPr>
        <w:t>V </w:t>
      </w:r>
      <w:r>
        <w:rPr>
          <w:color w:val="010101"/>
          <w:w w:val="105"/>
          <w:sz w:val="21"/>
        </w:rPr>
        <w:t>represents t.he share </w:t>
      </w:r>
      <w:r>
        <w:rPr>
          <w:color w:val="010101"/>
          <w:sz w:val="21"/>
        </w:rPr>
        <w:t>of </w:t>
      </w:r>
      <w:r>
        <w:rPr>
          <w:color w:val="010101"/>
          <w:w w:val="105"/>
          <w:sz w:val="21"/>
        </w:rPr>
        <w:t>each policy in this</w:t>
      </w:r>
      <w:r>
        <w:rPr>
          <w:color w:val="010101"/>
          <w:spacing w:val="-33"/>
          <w:w w:val="105"/>
          <w:sz w:val="21"/>
        </w:rPr>
        <w:t> </w:t>
      </w:r>
      <w:r>
        <w:rPr>
          <w:color w:val="010101"/>
          <w:w w:val="105"/>
          <w:sz w:val="21"/>
        </w:rPr>
        <w:t>fund </w:t>
      </w:r>
      <w:r>
        <w:rPr>
          <w:color w:val="010101"/>
          <w:w w:val="114"/>
          <w:sz w:val="21"/>
        </w:rPr>
        <w:t>at </w:t>
      </w:r>
      <w:r>
        <w:rPr>
          <w:color w:val="010101"/>
          <w:w w:val="103"/>
          <w:sz w:val="21"/>
        </w:rPr>
        <w:t>duration </w:t>
      </w:r>
      <w:r>
        <w:rPr>
          <w:i/>
          <w:color w:val="010101"/>
          <w:spacing w:val="6"/>
          <w:w w:val="90"/>
          <w:sz w:val="22"/>
        </w:rPr>
        <w:t>t,</w:t>
      </w:r>
      <w:r>
        <w:rPr>
          <w:i/>
          <w:color w:val="010101"/>
          <w:w w:val="90"/>
          <w:sz w:val="22"/>
        </w:rPr>
        <w:t> </w:t>
      </w:r>
      <w:r>
        <w:rPr>
          <w:color w:val="010101"/>
          <w:w w:val="107"/>
          <w:sz w:val="21"/>
        </w:rPr>
        <w:t>the </w:t>
      </w:r>
      <w:r>
        <w:rPr>
          <w:color w:val="010101"/>
          <w:w w:val="106"/>
          <w:sz w:val="21"/>
        </w:rPr>
        <w:t>total </w:t>
      </w:r>
      <w:r>
        <w:rPr>
          <w:color w:val="010101"/>
          <w:w w:val="98"/>
          <w:sz w:val="21"/>
        </w:rPr>
        <w:t>fund </w:t>
      </w:r>
      <w:r>
        <w:rPr>
          <w:color w:val="010101"/>
          <w:w w:val="111"/>
          <w:sz w:val="21"/>
        </w:rPr>
        <w:t>at </w:t>
      </w:r>
      <w:r>
        <w:rPr>
          <w:color w:val="010101"/>
          <w:w w:val="99"/>
          <w:sz w:val="21"/>
        </w:rPr>
        <w:t>time </w:t>
      </w:r>
      <w:r>
        <w:rPr>
          <w:i/>
          <w:color w:val="010101"/>
          <w:w w:val="79"/>
          <w:sz w:val="22"/>
        </w:rPr>
        <w:t>t </w:t>
      </w:r>
      <w:r>
        <w:rPr>
          <w:rFonts w:ascii="Arial" w:hAnsi="Arial"/>
          <w:color w:val="010101"/>
          <w:w w:val="101"/>
          <w:sz w:val="19"/>
        </w:rPr>
        <w:t>is </w:t>
      </w:r>
      <w:r>
        <w:rPr>
          <w:color w:val="010101"/>
          <w:w w:val="97"/>
          <w:sz w:val="21"/>
        </w:rPr>
        <w:t>given </w:t>
      </w:r>
      <w:r>
        <w:rPr>
          <w:color w:val="010101"/>
          <w:w w:val="96"/>
          <w:sz w:val="21"/>
        </w:rPr>
        <w:t>by </w:t>
      </w:r>
      <w:r>
        <w:rPr>
          <w:i/>
          <w:color w:val="010101"/>
          <w:w w:val="101"/>
          <w:sz w:val="16"/>
        </w:rPr>
        <w:t>lx+t </w:t>
      </w:r>
      <w:r>
        <w:rPr>
          <w:color w:val="010101"/>
          <w:spacing w:val="-3"/>
          <w:w w:val="126"/>
          <w:sz w:val="16"/>
        </w:rPr>
        <w:t>·,</w:t>
      </w:r>
      <w:r>
        <w:rPr>
          <w:i/>
          <w:color w:val="010101"/>
          <w:spacing w:val="-3"/>
          <w:w w:val="126"/>
          <w:sz w:val="25"/>
        </w:rPr>
        <w:t>V,</w:t>
      </w:r>
      <w:r>
        <w:rPr>
          <w:i/>
          <w:color w:val="010101"/>
          <w:w w:val="126"/>
          <w:sz w:val="25"/>
        </w:rPr>
        <w:t> </w:t>
      </w:r>
      <w:r>
        <w:rPr>
          <w:color w:val="010101"/>
          <w:w w:val="101"/>
          <w:sz w:val="21"/>
        </w:rPr>
        <w:t>and </w:t>
      </w:r>
      <w:r>
        <w:rPr>
          <w:color w:val="010101"/>
          <w:w w:val="104"/>
          <w:sz w:val="21"/>
        </w:rPr>
        <w:t>it </w:t>
      </w:r>
      <w:r>
        <w:rPr>
          <w:color w:val="010101"/>
          <w:w w:val="94"/>
          <w:sz w:val="21"/>
        </w:rPr>
        <w:t>is </w:t>
      </w:r>
      <w:r>
        <w:rPr>
          <w:color w:val="010101"/>
          <w:w w:val="105"/>
          <w:sz w:val="21"/>
        </w:rPr>
        <w:t>possible</w:t>
      </w:r>
      <w:r>
        <w:rPr>
          <w:color w:val="010101"/>
          <w:spacing w:val="-13"/>
          <w:w w:val="105"/>
          <w:sz w:val="21"/>
        </w:rPr>
        <w:t> </w:t>
      </w:r>
      <w:r>
        <w:rPr>
          <w:color w:val="010101"/>
          <w:w w:val="105"/>
          <w:sz w:val="21"/>
        </w:rPr>
        <w:t>to</w:t>
      </w:r>
      <w:r>
        <w:rPr>
          <w:color w:val="010101"/>
          <w:spacing w:val="-17"/>
          <w:w w:val="105"/>
          <w:sz w:val="21"/>
        </w:rPr>
        <w:t> </w:t>
      </w:r>
      <w:r>
        <w:rPr>
          <w:color w:val="010101"/>
          <w:w w:val="105"/>
          <w:sz w:val="21"/>
        </w:rPr>
        <w:t>find</w:t>
      </w:r>
      <w:r>
        <w:rPr>
          <w:color w:val="010101"/>
          <w:spacing w:val="-18"/>
          <w:w w:val="105"/>
          <w:sz w:val="21"/>
        </w:rPr>
        <w:t> </w:t>
      </w:r>
      <w:r>
        <w:rPr>
          <w:color w:val="010101"/>
          <w:w w:val="105"/>
          <w:sz w:val="21"/>
        </w:rPr>
        <w:t>an</w:t>
      </w:r>
      <w:r>
        <w:rPr>
          <w:color w:val="010101"/>
          <w:spacing w:val="-12"/>
          <w:w w:val="105"/>
          <w:sz w:val="21"/>
        </w:rPr>
        <w:t> </w:t>
      </w:r>
      <w:r>
        <w:rPr>
          <w:color w:val="010101"/>
          <w:w w:val="105"/>
          <w:sz w:val="21"/>
        </w:rPr>
        <w:t>expression</w:t>
      </w:r>
      <w:r>
        <w:rPr>
          <w:color w:val="010101"/>
          <w:spacing w:val="-8"/>
          <w:w w:val="105"/>
          <w:sz w:val="21"/>
        </w:rPr>
        <w:t> </w:t>
      </w:r>
      <w:r>
        <w:rPr>
          <w:color w:val="010101"/>
          <w:w w:val="105"/>
          <w:sz w:val="21"/>
        </w:rPr>
        <w:t>for</w:t>
      </w:r>
      <w:r>
        <w:rPr>
          <w:color w:val="010101"/>
          <w:spacing w:val="-14"/>
          <w:w w:val="105"/>
          <w:sz w:val="21"/>
        </w:rPr>
        <w:t> </w:t>
      </w:r>
      <w:r>
        <w:rPr>
          <w:color w:val="010101"/>
          <w:w w:val="105"/>
          <w:sz w:val="21"/>
        </w:rPr>
        <w:t>,</w:t>
      </w:r>
      <w:r>
        <w:rPr>
          <w:rFonts w:ascii="Arial" w:hAnsi="Arial"/>
          <w:i/>
          <w:color w:val="010101"/>
          <w:w w:val="105"/>
          <w:sz w:val="24"/>
        </w:rPr>
        <w:t>V</w:t>
      </w:r>
      <w:r>
        <w:rPr>
          <w:rFonts w:ascii="Arial" w:hAnsi="Arial"/>
          <w:i/>
          <w:color w:val="010101"/>
          <w:spacing w:val="-37"/>
          <w:w w:val="105"/>
          <w:sz w:val="24"/>
        </w:rPr>
        <w:t> </w:t>
      </w:r>
      <w:r>
        <w:rPr>
          <w:color w:val="010101"/>
          <w:w w:val="105"/>
          <w:sz w:val="21"/>
        </w:rPr>
        <w:t>from</w:t>
      </w:r>
      <w:r>
        <w:rPr>
          <w:color w:val="010101"/>
          <w:spacing w:val="-12"/>
          <w:w w:val="105"/>
          <w:sz w:val="21"/>
        </w:rPr>
        <w:t> </w:t>
      </w:r>
      <w:r>
        <w:rPr>
          <w:color w:val="010101"/>
          <w:w w:val="105"/>
          <w:sz w:val="21"/>
        </w:rPr>
        <w:t>consideration</w:t>
      </w:r>
      <w:r>
        <w:rPr>
          <w:color w:val="010101"/>
          <w:spacing w:val="-3"/>
          <w:w w:val="105"/>
          <w:sz w:val="21"/>
        </w:rPr>
        <w:t> </w:t>
      </w:r>
      <w:r>
        <w:rPr>
          <w:color w:val="010101"/>
          <w:sz w:val="21"/>
        </w:rPr>
        <w:t>of</w:t>
      </w:r>
      <w:r>
        <w:rPr>
          <w:color w:val="010101"/>
          <w:spacing w:val="-6"/>
          <w:sz w:val="21"/>
        </w:rPr>
        <w:t> </w:t>
      </w:r>
      <w:r>
        <w:rPr>
          <w:color w:val="010101"/>
          <w:w w:val="105"/>
          <w:sz w:val="21"/>
        </w:rPr>
        <w:t>the</w:t>
      </w:r>
      <w:r>
        <w:rPr>
          <w:color w:val="010101"/>
          <w:spacing w:val="-18"/>
          <w:w w:val="105"/>
          <w:sz w:val="21"/>
        </w:rPr>
        <w:t> </w:t>
      </w:r>
      <w:r>
        <w:rPr>
          <w:color w:val="010101"/>
          <w:w w:val="105"/>
          <w:sz w:val="21"/>
        </w:rPr>
        <w:t>rate </w:t>
      </w:r>
      <w:r>
        <w:rPr>
          <w:color w:val="010101"/>
          <w:w w:val="84"/>
          <w:sz w:val="21"/>
        </w:rPr>
        <w:t>of </w:t>
      </w:r>
      <w:r>
        <w:rPr>
          <w:color w:val="010101"/>
          <w:w w:val="99"/>
          <w:sz w:val="21"/>
        </w:rPr>
        <w:t>change </w:t>
      </w:r>
      <w:r>
        <w:rPr>
          <w:color w:val="010101"/>
          <w:w w:val="82"/>
          <w:sz w:val="21"/>
        </w:rPr>
        <w:t>of </w:t>
      </w:r>
      <w:r>
        <w:rPr>
          <w:i/>
          <w:color w:val="010101"/>
          <w:w w:val="103"/>
          <w:sz w:val="16"/>
        </w:rPr>
        <w:t>lx+t </w:t>
      </w:r>
      <w:r>
        <w:rPr>
          <w:color w:val="010101"/>
          <w:spacing w:val="-7"/>
          <w:w w:val="145"/>
          <w:sz w:val="16"/>
        </w:rPr>
        <w:t>·,</w:t>
      </w:r>
      <w:r>
        <w:rPr>
          <w:rFonts w:ascii="Arial" w:hAnsi="Arial"/>
          <w:i/>
          <w:color w:val="010101"/>
          <w:spacing w:val="-7"/>
          <w:w w:val="145"/>
          <w:sz w:val="24"/>
        </w:rPr>
        <w:t>V</w:t>
      </w:r>
      <w:r>
        <w:rPr>
          <w:rFonts w:ascii="Arial" w:hAnsi="Arial"/>
          <w:i/>
          <w:color w:val="010101"/>
          <w:w w:val="145"/>
          <w:sz w:val="24"/>
        </w:rPr>
        <w:t> </w:t>
      </w:r>
      <w:r>
        <w:rPr>
          <w:color w:val="010101"/>
          <w:w w:val="98"/>
          <w:sz w:val="21"/>
        </w:rPr>
        <w:t>with </w:t>
      </w:r>
      <w:r>
        <w:rPr>
          <w:color w:val="010101"/>
          <w:w w:val="96"/>
          <w:sz w:val="21"/>
        </w:rPr>
        <w:t>respect </w:t>
      </w:r>
      <w:r>
        <w:rPr>
          <w:color w:val="010101"/>
          <w:w w:val="102"/>
          <w:sz w:val="21"/>
        </w:rPr>
        <w:t>to </w:t>
      </w:r>
      <w:r>
        <w:rPr>
          <w:i/>
          <w:color w:val="010101"/>
          <w:w w:val="117"/>
          <w:sz w:val="21"/>
        </w:rPr>
        <w:t>t. </w:t>
      </w:r>
      <w:r>
        <w:rPr>
          <w:color w:val="010101"/>
          <w:w w:val="100"/>
          <w:sz w:val="21"/>
        </w:rPr>
        <w:t>At </w:t>
      </w:r>
      <w:r>
        <w:rPr>
          <w:color w:val="010101"/>
          <w:w w:val="102"/>
          <w:sz w:val="21"/>
        </w:rPr>
        <w:t>any </w:t>
      </w:r>
      <w:r>
        <w:rPr>
          <w:color w:val="010101"/>
          <w:w w:val="104"/>
          <w:sz w:val="21"/>
        </w:rPr>
        <w:t>instant </w:t>
      </w:r>
      <w:r>
        <w:rPr>
          <w:color w:val="010101"/>
          <w:w w:val="97"/>
          <w:sz w:val="21"/>
        </w:rPr>
        <w:t>each </w:t>
      </w:r>
      <w:r>
        <w:rPr>
          <w:color w:val="010101"/>
          <w:w w:val="97"/>
          <w:sz w:val="21"/>
        </w:rPr>
        <w:t>existing </w:t>
      </w:r>
      <w:r>
        <w:rPr>
          <w:color w:val="010101"/>
          <w:w w:val="105"/>
          <w:sz w:val="21"/>
        </w:rPr>
        <w:t>policy is contributing premium to the fund at the rate </w:t>
      </w:r>
      <w:r>
        <w:rPr>
          <w:color w:val="010101"/>
          <w:sz w:val="21"/>
        </w:rPr>
        <w:t>of </w:t>
      </w:r>
      <w:r>
        <w:rPr>
          <w:rFonts w:ascii="Arial" w:hAnsi="Arial"/>
          <w:i/>
          <w:color w:val="010101"/>
          <w:w w:val="105"/>
          <w:sz w:val="23"/>
        </w:rPr>
        <w:t>P </w:t>
      </w:r>
      <w:r>
        <w:rPr>
          <w:color w:val="010101"/>
          <w:w w:val="105"/>
          <w:sz w:val="21"/>
        </w:rPr>
        <w:t>per annum, and the total fund </w:t>
      </w:r>
      <w:r>
        <w:rPr>
          <w:i/>
          <w:color w:val="010101"/>
          <w:w w:val="105"/>
          <w:sz w:val="16"/>
        </w:rPr>
        <w:t>lx+t </w:t>
      </w:r>
      <w:r>
        <w:rPr>
          <w:color w:val="010101"/>
          <w:spacing w:val="-6"/>
          <w:w w:val="125"/>
          <w:sz w:val="16"/>
        </w:rPr>
        <w:t>·,</w:t>
      </w:r>
      <w:r>
        <w:rPr>
          <w:rFonts w:ascii="Arial" w:hAnsi="Arial"/>
          <w:i/>
          <w:color w:val="010101"/>
          <w:spacing w:val="-6"/>
          <w:w w:val="125"/>
          <w:sz w:val="24"/>
        </w:rPr>
        <w:t>V </w:t>
      </w:r>
      <w:r>
        <w:rPr>
          <w:color w:val="010101"/>
          <w:w w:val="105"/>
          <w:sz w:val="21"/>
        </w:rPr>
        <w:t>is increasing on this account at time </w:t>
      </w:r>
      <w:r>
        <w:rPr>
          <w:rFonts w:ascii="Arial" w:hAnsi="Arial"/>
          <w:i/>
          <w:color w:val="010101"/>
          <w:w w:val="105"/>
          <w:sz w:val="17"/>
        </w:rPr>
        <w:t>t </w:t>
      </w:r>
      <w:r>
        <w:rPr>
          <w:color w:val="010101"/>
          <w:w w:val="105"/>
          <w:sz w:val="21"/>
        </w:rPr>
        <w:t>at the rate </w:t>
      </w:r>
      <w:r>
        <w:rPr>
          <w:color w:val="010101"/>
          <w:sz w:val="21"/>
        </w:rPr>
        <w:t>of </w:t>
      </w:r>
      <w:r>
        <w:rPr>
          <w:i/>
          <w:color w:val="010101"/>
          <w:w w:val="105"/>
          <w:sz w:val="16"/>
        </w:rPr>
        <w:t>lz+t </w:t>
      </w:r>
      <w:r>
        <w:rPr>
          <w:rFonts w:ascii="Arial" w:hAnsi="Arial"/>
          <w:i/>
          <w:color w:val="010101"/>
          <w:spacing w:val="-7"/>
          <w:w w:val="125"/>
          <w:sz w:val="23"/>
        </w:rPr>
        <w:t>.f' </w:t>
      </w:r>
      <w:r>
        <w:rPr>
          <w:color w:val="010101"/>
          <w:w w:val="105"/>
          <w:sz w:val="21"/>
        </w:rPr>
        <w:t>per annum. In terest is bcing added to the fund at time </w:t>
      </w:r>
      <w:r>
        <w:rPr>
          <w:rFonts w:ascii="Arial" w:hAnsi="Arial"/>
          <w:i/>
          <w:color w:val="010101"/>
          <w:w w:val="105"/>
          <w:sz w:val="17"/>
        </w:rPr>
        <w:t>t </w:t>
      </w:r>
      <w:r>
        <w:rPr>
          <w:color w:val="010101"/>
          <w:w w:val="105"/>
          <w:sz w:val="21"/>
        </w:rPr>
        <w:t>at the rate </w:t>
      </w:r>
      <w:r>
        <w:rPr>
          <w:color w:val="010101"/>
          <w:sz w:val="21"/>
        </w:rPr>
        <w:t>of </w:t>
      </w:r>
      <w:r>
        <w:rPr>
          <w:rFonts w:ascii="Arial" w:hAnsi="Arial"/>
          <w:i/>
          <w:color w:val="010101"/>
          <w:sz w:val="24"/>
        </w:rPr>
        <w:t>o· </w:t>
      </w:r>
      <w:r>
        <w:rPr>
          <w:i/>
          <w:color w:val="010101"/>
          <w:w w:val="105"/>
          <w:sz w:val="16"/>
        </w:rPr>
        <w:t>lx+t </w:t>
      </w:r>
      <w:r>
        <w:rPr>
          <w:color w:val="010101"/>
          <w:w w:val="105"/>
          <w:sz w:val="16"/>
        </w:rPr>
        <w:t>·,</w:t>
      </w:r>
      <w:r>
        <w:rPr>
          <w:rFonts w:ascii="Arial" w:hAnsi="Arial"/>
          <w:i/>
          <w:color w:val="010101"/>
          <w:w w:val="105"/>
          <w:sz w:val="24"/>
        </w:rPr>
        <w:t>V </w:t>
      </w:r>
      <w:r>
        <w:rPr>
          <w:color w:val="010101"/>
          <w:w w:val="105"/>
          <w:sz w:val="21"/>
        </w:rPr>
        <w:t>per annum. The </w:t>
      </w:r>
      <w:r>
        <w:rPr>
          <w:color w:val="010101"/>
          <w:spacing w:val="3"/>
          <w:w w:val="105"/>
          <w:sz w:val="21"/>
        </w:rPr>
        <w:t>fund</w:t>
      </w:r>
      <w:r>
        <w:rPr>
          <w:color w:val="010101"/>
          <w:spacing w:val="35"/>
          <w:w w:val="105"/>
          <w:sz w:val="21"/>
        </w:rPr>
        <w:t> </w:t>
      </w:r>
      <w:r>
        <w:rPr>
          <w:color w:val="010101"/>
          <w:w w:val="105"/>
          <w:sz w:val="21"/>
        </w:rPr>
        <w:t>is</w:t>
      </w:r>
    </w:p>
    <w:p>
      <w:pPr>
        <w:spacing w:after="0" w:line="208" w:lineRule="auto"/>
        <w:jc w:val="both"/>
        <w:rPr>
          <w:sz w:val="21"/>
        </w:rPr>
        <w:sectPr>
          <w:pgSz w:w="7200" w:h="11340"/>
          <w:pgMar w:top="500" w:bottom="280" w:left="0" w:right="540"/>
        </w:sectPr>
      </w:pPr>
    </w:p>
    <w:p>
      <w:pPr>
        <w:tabs>
          <w:tab w:pos="1652" w:val="left" w:leader="none"/>
        </w:tabs>
        <w:spacing w:before="46"/>
        <w:ind w:left="170" w:right="0" w:firstLine="14"/>
        <w:jc w:val="both"/>
        <w:rPr>
          <w:b/>
          <w:sz w:val="19"/>
        </w:rPr>
      </w:pPr>
      <w:r>
        <w:rPr>
          <w:rFonts w:ascii="Arial"/>
          <w:b/>
          <w:color w:val="010101"/>
          <w:spacing w:val="-11"/>
          <w:sz w:val="19"/>
        </w:rPr>
        <w:t>114</w:t>
        <w:tab/>
      </w:r>
      <w:r>
        <w:rPr>
          <w:rFonts w:ascii="Courier New"/>
          <w:b/>
          <w:color w:val="010101"/>
          <w:sz w:val="17"/>
        </w:rPr>
        <w:t>NET LEVEL PREMIUM RESERVES          </w:t>
      </w:r>
      <w:r>
        <w:rPr>
          <w:rFonts w:ascii="Arial"/>
          <w:b/>
          <w:color w:val="010101"/>
          <w:sz w:val="19"/>
        </w:rPr>
        <w:t>[CH.</w:t>
      </w:r>
      <w:r>
        <w:rPr>
          <w:rFonts w:ascii="Arial"/>
          <w:b/>
          <w:color w:val="010101"/>
          <w:spacing w:val="37"/>
          <w:sz w:val="19"/>
        </w:rPr>
        <w:t> </w:t>
      </w:r>
      <w:r>
        <w:rPr>
          <w:b/>
          <w:color w:val="010101"/>
          <w:sz w:val="19"/>
        </w:rPr>
        <w:t>5</w:t>
      </w:r>
    </w:p>
    <w:p>
      <w:pPr>
        <w:pStyle w:val="BodyText"/>
        <w:spacing w:before="9"/>
        <w:rPr>
          <w:b/>
          <w:sz w:val="19"/>
        </w:rPr>
      </w:pPr>
    </w:p>
    <w:p>
      <w:pPr>
        <w:spacing w:line="235" w:lineRule="auto" w:before="0"/>
        <w:ind w:left="160" w:right="127" w:firstLine="10"/>
        <w:jc w:val="both"/>
        <w:rPr>
          <w:sz w:val="21"/>
        </w:rPr>
      </w:pPr>
      <w:r>
        <w:rPr>
          <w:color w:val="010101"/>
          <w:w w:val="105"/>
          <w:sz w:val="21"/>
        </w:rPr>
        <w:t>being decreased at each instant by the</w:t>
      </w:r>
      <w:r>
        <w:rPr>
          <w:color w:val="212121"/>
          <w:w w:val="105"/>
          <w:sz w:val="21"/>
        </w:rPr>
        <w:t>, </w:t>
      </w:r>
      <w:r>
        <w:rPr>
          <w:color w:val="010101"/>
          <w:w w:val="105"/>
          <w:sz w:val="21"/>
        </w:rPr>
        <w:t>claims incurred, and the rate of decrement on this account at time </w:t>
      </w:r>
      <w:r>
        <w:rPr>
          <w:rFonts w:ascii="Arial" w:hAnsi="Arial"/>
          <w:i/>
          <w:color w:val="010101"/>
          <w:w w:val="105"/>
          <w:sz w:val="18"/>
        </w:rPr>
        <w:t>t </w:t>
      </w:r>
      <w:r>
        <w:rPr>
          <w:rFonts w:ascii="Arial" w:hAnsi="Arial"/>
          <w:color w:val="010101"/>
          <w:w w:val="105"/>
          <w:sz w:val="20"/>
        </w:rPr>
        <w:t>is </w:t>
      </w:r>
      <w:r>
        <w:rPr>
          <w:i/>
          <w:color w:val="010101"/>
          <w:w w:val="105"/>
          <w:sz w:val="17"/>
        </w:rPr>
        <w:t>lz+úl;+t </w:t>
      </w:r>
      <w:r>
        <w:rPr>
          <w:color w:val="010101"/>
          <w:w w:val="105"/>
          <w:sz w:val="17"/>
        </w:rPr>
        <w:t>. </w:t>
      </w:r>
      <w:r>
        <w:rPr>
          <w:color w:val="010101"/>
          <w:w w:val="105"/>
          <w:sz w:val="21"/>
        </w:rPr>
        <w:t>The net effect of these three factors </w:t>
      </w:r>
      <w:r>
        <w:rPr>
          <w:color w:val="010101"/>
          <w:w w:val="105"/>
          <w:sz w:val="19"/>
        </w:rPr>
        <w:t>is </w:t>
      </w:r>
      <w:r>
        <w:rPr>
          <w:color w:val="010101"/>
          <w:w w:val="105"/>
          <w:sz w:val="21"/>
        </w:rPr>
        <w:t>to produce a total rate of change at</w:t>
      </w:r>
    </w:p>
    <w:p>
      <w:pPr>
        <w:spacing w:line="232" w:lineRule="exact" w:before="0"/>
        <w:ind w:left="163" w:right="0" w:firstLine="0"/>
        <w:jc w:val="both"/>
        <w:rPr>
          <w:sz w:val="21"/>
        </w:rPr>
      </w:pPr>
      <w:r>
        <w:rPr>
          <w:color w:val="010101"/>
          <w:w w:val="105"/>
          <w:sz w:val="21"/>
        </w:rPr>
        <w:t>time </w:t>
      </w:r>
      <w:r>
        <w:rPr>
          <w:rFonts w:ascii="Arial" w:hAnsi="Arial"/>
          <w:i/>
          <w:color w:val="010101"/>
          <w:w w:val="105"/>
          <w:sz w:val="18"/>
        </w:rPr>
        <w:t>t </w:t>
      </w:r>
      <w:r>
        <w:rPr>
          <w:color w:val="010101"/>
          <w:sz w:val="21"/>
        </w:rPr>
        <w:t>of </w:t>
      </w:r>
      <w:r>
        <w:rPr>
          <w:b/>
          <w:i/>
          <w:color w:val="010101"/>
          <w:w w:val="105"/>
          <w:sz w:val="16"/>
        </w:rPr>
        <w:t>Plz+ </w:t>
      </w:r>
      <w:r>
        <w:rPr>
          <w:b/>
          <w:i/>
          <w:color w:val="010101"/>
          <w:w w:val="80"/>
          <w:sz w:val="16"/>
        </w:rPr>
        <w:t>I   </w:t>
      </w:r>
      <w:r>
        <w:rPr>
          <w:rFonts w:ascii="Arial" w:hAnsi="Arial"/>
          <w:color w:val="010101"/>
          <w:w w:val="105"/>
          <w:sz w:val="31"/>
        </w:rPr>
        <w:t>+ </w:t>
      </w:r>
      <w:r>
        <w:rPr>
          <w:i/>
          <w:color w:val="010101"/>
          <w:sz w:val="17"/>
        </w:rPr>
        <w:t>M </w:t>
      </w:r>
      <w:r>
        <w:rPr>
          <w:i/>
          <w:color w:val="010101"/>
          <w:w w:val="105"/>
          <w:sz w:val="17"/>
        </w:rPr>
        <w:t>z+i· ,</w:t>
      </w:r>
      <w:r>
        <w:rPr>
          <w:rFonts w:ascii="Arial" w:hAnsi="Arial"/>
          <w:i/>
          <w:color w:val="010101"/>
          <w:w w:val="105"/>
          <w:sz w:val="24"/>
        </w:rPr>
        <w:t>V </w:t>
      </w:r>
      <w:r>
        <w:rPr>
          <w:rFonts w:ascii="Arial" w:hAnsi="Arial"/>
          <w:color w:val="010101"/>
          <w:w w:val="185"/>
          <w:sz w:val="24"/>
        </w:rPr>
        <w:t>- </w:t>
      </w:r>
      <w:r>
        <w:rPr>
          <w:i/>
          <w:color w:val="010101"/>
          <w:w w:val="105"/>
          <w:sz w:val="17"/>
        </w:rPr>
        <w:t>lz+úlz+ </w:t>
      </w:r>
      <w:r>
        <w:rPr>
          <w:i/>
          <w:color w:val="010101"/>
          <w:sz w:val="17"/>
        </w:rPr>
        <w:t>t </w:t>
      </w:r>
      <w:r>
        <w:rPr>
          <w:i/>
          <w:color w:val="010101"/>
          <w:w w:val="105"/>
          <w:sz w:val="17"/>
        </w:rPr>
        <w:t>' </w:t>
      </w:r>
      <w:r>
        <w:rPr>
          <w:color w:val="010101"/>
          <w:w w:val="105"/>
          <w:sz w:val="21"/>
        </w:rPr>
        <w:t>and </w:t>
      </w:r>
      <w:r>
        <w:rPr>
          <w:color w:val="010101"/>
          <w:sz w:val="21"/>
        </w:rPr>
        <w:t>we </w:t>
      </w:r>
      <w:r>
        <w:rPr>
          <w:color w:val="010101"/>
          <w:w w:val="105"/>
          <w:sz w:val="21"/>
        </w:rPr>
        <w:t>may write the  </w:t>
      </w:r>
      <w:r>
        <w:rPr>
          <w:color w:val="010101"/>
          <w:sz w:val="21"/>
        </w:rPr>
        <w:t>fol­</w:t>
      </w:r>
    </w:p>
    <w:p>
      <w:pPr>
        <w:spacing w:line="258" w:lineRule="exact" w:before="0"/>
        <w:ind w:left="160" w:right="0" w:firstLine="0"/>
        <w:jc w:val="both"/>
        <w:rPr>
          <w:sz w:val="26"/>
        </w:rPr>
      </w:pPr>
      <w:r>
        <w:rPr>
          <w:color w:val="010101"/>
          <w:sz w:val="21"/>
        </w:rPr>
        <w:t>lowing diff erential equation for </w:t>
      </w:r>
      <w:r>
        <w:rPr>
          <w:i/>
          <w:color w:val="010101"/>
          <w:sz w:val="17"/>
        </w:rPr>
        <w:t>lz+i </w:t>
      </w:r>
      <w:r>
        <w:rPr>
          <w:color w:val="010101"/>
          <w:sz w:val="26"/>
        </w:rPr>
        <w:t>·,V:</w:t>
      </w:r>
    </w:p>
    <w:p>
      <w:pPr>
        <w:tabs>
          <w:tab w:pos="1259" w:val="left" w:leader="none"/>
          <w:tab w:pos="2518" w:val="left" w:leader="none"/>
        </w:tabs>
        <w:spacing w:line="189" w:lineRule="exact" w:before="106"/>
        <w:ind w:left="0" w:right="1041" w:firstLine="0"/>
        <w:jc w:val="center"/>
        <w:rPr>
          <w:sz w:val="20"/>
        </w:rPr>
      </w:pPr>
      <w:r>
        <w:rPr/>
        <w:pict>
          <v:shape style="position:absolute;margin-left:139.910294pt;margin-top:9.449063pt;width:46.55pt;height:15.5pt;mso-position-horizontal-relative:page;mso-position-vertical-relative:paragraph;z-index:-725608" type="#_x0000_t202" filled="false" stroked="false">
            <v:textbox inset="0,0,0,0">
              <w:txbxContent>
                <w:p>
                  <w:pPr>
                    <w:tabs>
                      <w:tab w:pos="738" w:val="left" w:leader="none"/>
                    </w:tabs>
                    <w:spacing w:line="310" w:lineRule="exact" w:before="0"/>
                    <w:ind w:left="0" w:right="0" w:firstLine="0"/>
                    <w:jc w:val="left"/>
                    <w:rPr>
                      <w:rFonts w:ascii="Arial"/>
                      <w:sz w:val="31"/>
                    </w:rPr>
                  </w:pPr>
                  <w:r>
                    <w:rPr>
                      <w:color w:val="010101"/>
                      <w:sz w:val="26"/>
                    </w:rPr>
                    <w:t>=</w:t>
                    <w:tab/>
                  </w:r>
                  <w:r>
                    <w:rPr>
                      <w:rFonts w:ascii="Arial"/>
                      <w:color w:val="010101"/>
                      <w:sz w:val="31"/>
                    </w:rPr>
                    <w:t>+</w:t>
                  </w:r>
                </w:p>
              </w:txbxContent>
            </v:textbox>
            <w10:wrap type="none"/>
          </v:shape>
        </w:pict>
      </w:r>
      <w:r>
        <w:rPr>
          <w:i/>
          <w:color w:val="010101"/>
          <w:w w:val="105"/>
          <w:sz w:val="20"/>
        </w:rPr>
        <w:t>d(</w:t>
      </w:r>
      <w:r>
        <w:rPr>
          <w:i/>
          <w:color w:val="010101"/>
          <w:spacing w:val="-20"/>
          <w:w w:val="105"/>
          <w:sz w:val="20"/>
        </w:rPr>
        <w:t> </w:t>
      </w:r>
      <w:r>
        <w:rPr>
          <w:i/>
          <w:color w:val="010101"/>
          <w:w w:val="105"/>
          <w:sz w:val="20"/>
        </w:rPr>
        <w:t>lz+,·</w:t>
      </w:r>
      <w:r>
        <w:rPr>
          <w:i/>
          <w:color w:val="010101"/>
          <w:spacing w:val="-29"/>
          <w:w w:val="105"/>
          <w:sz w:val="20"/>
        </w:rPr>
        <w:t> </w:t>
      </w:r>
      <w:r>
        <w:rPr>
          <w:i/>
          <w:color w:val="010101"/>
          <w:spacing w:val="-4"/>
          <w:w w:val="105"/>
          <w:sz w:val="20"/>
        </w:rPr>
        <w:t>,V</w:t>
      </w:r>
      <w:r>
        <w:rPr>
          <w:i/>
          <w:color w:val="010101"/>
          <w:spacing w:val="-30"/>
          <w:w w:val="105"/>
          <w:sz w:val="20"/>
        </w:rPr>
        <w:t> </w:t>
      </w:r>
      <w:r>
        <w:rPr>
          <w:i/>
          <w:color w:val="010101"/>
          <w:sz w:val="20"/>
        </w:rPr>
        <w:t>)</w:t>
        <w:tab/>
      </w:r>
      <w:r>
        <w:rPr>
          <w:color w:val="010101"/>
          <w:w w:val="105"/>
          <w:sz w:val="20"/>
        </w:rPr>
        <w:t>-</w:t>
        <w:tab/>
        <w:t>-</w:t>
      </w:r>
    </w:p>
    <w:p>
      <w:pPr>
        <w:tabs>
          <w:tab w:pos="2387" w:val="left" w:leader="none"/>
          <w:tab w:pos="3144" w:val="left" w:leader="none"/>
        </w:tabs>
        <w:spacing w:line="189" w:lineRule="exact" w:before="0"/>
        <w:ind w:left="160" w:right="0" w:firstLine="1381"/>
        <w:jc w:val="left"/>
        <w:rPr>
          <w:i/>
          <w:sz w:val="17"/>
        </w:rPr>
      </w:pPr>
      <w:r>
        <w:rPr/>
        <w:pict>
          <v:rect style="position:absolute;margin-left:109.237701pt;margin-top:7.27931pt;width:7.713pt;height:5.022422pt;mso-position-horizontal-relative:page;mso-position-vertical-relative:paragraph;z-index:-725656" filled="true" fillcolor="#000000" stroked="false">
            <v:fill type="solid"/>
            <w10:wrap type="none"/>
          </v:rect>
        </w:pict>
      </w:r>
      <w:r>
        <w:rPr>
          <w:i/>
          <w:color w:val="010101"/>
          <w:w w:val="105"/>
          <w:sz w:val="19"/>
        </w:rPr>
        <w:t>dt</w:t>
        <w:tab/>
      </w:r>
      <w:r>
        <w:rPr>
          <w:i/>
          <w:color w:val="010101"/>
          <w:w w:val="105"/>
          <w:sz w:val="20"/>
        </w:rPr>
        <w:t>Plz+,</w:t>
        <w:tab/>
      </w:r>
      <w:r>
        <w:rPr>
          <w:i/>
          <w:color w:val="010101"/>
          <w:w w:val="105"/>
          <w:sz w:val="19"/>
        </w:rPr>
        <w:t>óls+'</w:t>
      </w:r>
      <w:r>
        <w:rPr>
          <w:i/>
          <w:color w:val="010101"/>
          <w:spacing w:val="-22"/>
          <w:w w:val="105"/>
          <w:sz w:val="19"/>
        </w:rPr>
        <w:t> </w:t>
      </w:r>
      <w:r>
        <w:rPr>
          <w:i/>
          <w:color w:val="010101"/>
          <w:spacing w:val="-4"/>
          <w:w w:val="150"/>
          <w:sz w:val="19"/>
        </w:rPr>
        <w:t>·,V</w:t>
      </w:r>
      <w:r>
        <w:rPr>
          <w:i/>
          <w:color w:val="010101"/>
          <w:spacing w:val="-17"/>
          <w:w w:val="150"/>
          <w:sz w:val="19"/>
        </w:rPr>
        <w:t> </w:t>
      </w:r>
      <w:r>
        <w:rPr>
          <w:color w:val="010101"/>
          <w:w w:val="270"/>
          <w:sz w:val="19"/>
        </w:rPr>
        <w:t>-</w:t>
      </w:r>
      <w:r>
        <w:rPr>
          <w:color w:val="010101"/>
          <w:spacing w:val="-104"/>
          <w:w w:val="270"/>
          <w:sz w:val="19"/>
        </w:rPr>
        <w:t> </w:t>
      </w:r>
      <w:r>
        <w:rPr>
          <w:i/>
          <w:color w:val="010101"/>
          <w:w w:val="105"/>
          <w:sz w:val="17"/>
        </w:rPr>
        <w:t>lz+tµz+t</w:t>
      </w:r>
      <w:r>
        <w:rPr>
          <w:i/>
          <w:color w:val="010101"/>
          <w:spacing w:val="-7"/>
          <w:w w:val="105"/>
          <w:sz w:val="17"/>
        </w:rPr>
        <w:t> </w:t>
      </w:r>
      <w:r>
        <w:rPr>
          <w:i/>
          <w:color w:val="010101"/>
          <w:w w:val="150"/>
          <w:sz w:val="17"/>
        </w:rPr>
        <w:t>.</w:t>
      </w:r>
    </w:p>
    <w:p>
      <w:pPr>
        <w:pStyle w:val="BodyText"/>
        <w:spacing w:before="11"/>
        <w:rPr>
          <w:i/>
          <w:sz w:val="17"/>
        </w:rPr>
      </w:pPr>
    </w:p>
    <w:p>
      <w:pPr>
        <w:spacing w:before="0"/>
        <w:ind w:left="160" w:right="0" w:firstLine="0"/>
        <w:jc w:val="both"/>
        <w:rPr>
          <w:sz w:val="21"/>
        </w:rPr>
      </w:pPr>
      <w:r>
        <w:rPr>
          <w:color w:val="010101"/>
          <w:sz w:val="21"/>
        </w:rPr>
        <w:t>Multiplying  this equation  by </w:t>
      </w:r>
      <w:r>
        <w:rPr>
          <w:i/>
          <w:color w:val="010101"/>
          <w:sz w:val="21"/>
        </w:rPr>
        <w:t>v'  </w:t>
      </w:r>
      <w:r>
        <w:rPr>
          <w:color w:val="010101"/>
          <w:sz w:val="21"/>
        </w:rPr>
        <w:t>and rearranging tcnns,</w:t>
      </w:r>
    </w:p>
    <w:p>
      <w:pPr>
        <w:tabs>
          <w:tab w:pos="2366" w:val="left" w:leader="none"/>
          <w:tab w:pos="2994" w:val="left" w:leader="none"/>
          <w:tab w:pos="3614" w:val="left" w:leader="none"/>
          <w:tab w:pos="5135" w:val="left" w:leader="none"/>
        </w:tabs>
        <w:spacing w:line="189" w:lineRule="exact" w:before="172"/>
        <w:ind w:left="845" w:right="0" w:firstLine="0"/>
        <w:jc w:val="left"/>
        <w:rPr>
          <w:sz w:val="21"/>
        </w:rPr>
      </w:pPr>
      <w:r>
        <w:rPr/>
        <w:pict>
          <v:shape style="position:absolute;margin-left:99.910316pt;margin-top:13.6448pt;width:126.75pt;height:11.5pt;mso-position-horizontal-relative:page;mso-position-vertical-relative:paragraph;z-index:-725584" type="#_x0000_t202" filled="false" stroked="false">
            <v:textbox inset="0,0,0,0">
              <w:txbxContent>
                <w:p>
                  <w:pPr>
                    <w:tabs>
                      <w:tab w:pos="606" w:val="left" w:leader="none"/>
                      <w:tab w:pos="1937" w:val="left" w:leader="none"/>
                      <w:tab w:pos="2396" w:val="left" w:leader="none"/>
                    </w:tabs>
                    <w:spacing w:line="230" w:lineRule="exact" w:before="0"/>
                    <w:ind w:left="0" w:right="0" w:firstLine="0"/>
                    <w:jc w:val="left"/>
                    <w:rPr>
                      <w:rFonts w:ascii="Arial"/>
                      <w:b/>
                      <w:i/>
                      <w:sz w:val="20"/>
                    </w:rPr>
                  </w:pPr>
                  <w:r>
                    <w:rPr>
                      <w:b/>
                      <w:i/>
                      <w:color w:val="010101"/>
                      <w:sz w:val="21"/>
                    </w:rPr>
                    <w:t>dt</w:t>
                    <w:tab/>
                  </w:r>
                  <w:r>
                    <w:rPr>
                      <w:color w:val="010101"/>
                      <w:w w:val="240"/>
                      <w:sz w:val="21"/>
                    </w:rPr>
                    <w:t>-</w:t>
                    <w:tab/>
                  </w:r>
                  <w:r>
                    <w:rPr>
                      <w:color w:val="010101"/>
                      <w:sz w:val="23"/>
                    </w:rPr>
                    <w:t>=</w:t>
                    <w:tab/>
                  </w:r>
                  <w:r>
                    <w:rPr>
                      <w:rFonts w:ascii="Arial"/>
                      <w:b/>
                      <w:i/>
                      <w:color w:val="010101"/>
                      <w:sz w:val="20"/>
                    </w:rPr>
                    <w:t>P</w:t>
                  </w:r>
                </w:p>
              </w:txbxContent>
            </v:textbox>
            <w10:wrap type="none"/>
          </v:shape>
        </w:pict>
      </w:r>
      <w:r>
        <w:rPr>
          <w:color w:val="010101"/>
          <w:sz w:val="20"/>
        </w:rPr>
        <w:t>,</w:t>
      </w:r>
      <w:r>
        <w:rPr>
          <w:color w:val="010101"/>
          <w:spacing w:val="-13"/>
          <w:sz w:val="20"/>
        </w:rPr>
        <w:t> </w:t>
      </w:r>
      <w:r>
        <w:rPr>
          <w:i/>
          <w:color w:val="010101"/>
          <w:w w:val="95"/>
          <w:sz w:val="20"/>
        </w:rPr>
        <w:t>dO:r:+1</w:t>
      </w:r>
      <w:r>
        <w:rPr>
          <w:i/>
          <w:color w:val="010101"/>
          <w:spacing w:val="-31"/>
          <w:w w:val="95"/>
          <w:sz w:val="20"/>
        </w:rPr>
        <w:t> </w:t>
      </w:r>
      <w:r>
        <w:rPr>
          <w:i/>
          <w:color w:val="010101"/>
          <w:spacing w:val="3"/>
          <w:sz w:val="20"/>
        </w:rPr>
        <w:t>·,V</w:t>
      </w:r>
      <w:r>
        <w:rPr>
          <w:i/>
          <w:color w:val="010101"/>
          <w:spacing w:val="-36"/>
          <w:sz w:val="20"/>
        </w:rPr>
        <w:t> </w:t>
      </w:r>
      <w:r>
        <w:rPr>
          <w:i/>
          <w:color w:val="010101"/>
          <w:w w:val="95"/>
          <w:sz w:val="20"/>
        </w:rPr>
        <w:t>)</w:t>
        <w:tab/>
      </w:r>
      <w:r>
        <w:rPr>
          <w:color w:val="010101"/>
          <w:spacing w:val="6"/>
          <w:sz w:val="21"/>
        </w:rPr>
        <w:t>'(l</w:t>
        <w:tab/>
      </w:r>
      <w:r>
        <w:rPr>
          <w:color w:val="010101"/>
          <w:sz w:val="21"/>
        </w:rPr>
        <w:t>-</w:t>
      </w:r>
      <w:r>
        <w:rPr>
          <w:color w:val="010101"/>
          <w:spacing w:val="-8"/>
          <w:sz w:val="21"/>
        </w:rPr>
        <w:t> </w:t>
      </w:r>
      <w:r>
        <w:rPr>
          <w:color w:val="010101"/>
          <w:w w:val="95"/>
          <w:sz w:val="21"/>
        </w:rPr>
        <w:t>)</w:t>
        <w:tab/>
      </w:r>
      <w:r>
        <w:rPr>
          <w:color w:val="010101"/>
          <w:sz w:val="21"/>
        </w:rPr>
        <w:t>'(</w:t>
      </w:r>
      <w:r>
        <w:rPr>
          <w:color w:val="010101"/>
          <w:spacing w:val="30"/>
          <w:sz w:val="21"/>
        </w:rPr>
        <w:t> </w:t>
      </w:r>
      <w:r>
        <w:rPr>
          <w:color w:val="010101"/>
          <w:sz w:val="21"/>
        </w:rPr>
        <w:t>-l</w:t>
        <w:tab/>
      </w:r>
      <w:r>
        <w:rPr>
          <w:color w:val="010101"/>
          <w:w w:val="95"/>
          <w:sz w:val="21"/>
        </w:rPr>
        <w:t>)</w:t>
      </w:r>
    </w:p>
    <w:p>
      <w:pPr>
        <w:tabs>
          <w:tab w:pos="2201" w:val="left" w:leader="none"/>
          <w:tab w:pos="2563" w:val="left" w:leader="none"/>
          <w:tab w:pos="3528" w:val="left" w:leader="none"/>
          <w:tab w:pos="3955" w:val="left" w:leader="none"/>
        </w:tabs>
        <w:spacing w:line="132" w:lineRule="exact" w:before="0"/>
        <w:ind w:left="762" w:right="0" w:firstLine="0"/>
        <w:jc w:val="left"/>
        <w:rPr>
          <w:sz w:val="16"/>
        </w:rPr>
      </w:pPr>
      <w:r>
        <w:rPr>
          <w:b/>
          <w:i/>
          <w:color w:val="010101"/>
          <w:w w:val="85"/>
          <w:sz w:val="14"/>
        </w:rPr>
        <w:t>V  </w:t>
      </w:r>
      <w:r>
        <w:rPr>
          <w:b/>
          <w:i/>
          <w:color w:val="010101"/>
          <w:spacing w:val="2"/>
          <w:w w:val="85"/>
          <w:sz w:val="14"/>
        </w:rPr>
        <w:t> </w:t>
      </w:r>
      <w:r>
        <w:rPr>
          <w:b/>
          <w:i/>
          <w:color w:val="010101"/>
          <w:w w:val="125"/>
          <w:sz w:val="14"/>
        </w:rPr>
        <w:t>·</w:t>
        <w:tab/>
      </w:r>
      <w:r>
        <w:rPr>
          <w:b/>
          <w:i/>
          <w:color w:val="010101"/>
          <w:w w:val="85"/>
          <w:sz w:val="14"/>
        </w:rPr>
        <w:t>ÓV</w:t>
        <w:tab/>
      </w:r>
      <w:r>
        <w:rPr>
          <w:b/>
          <w:i/>
          <w:color w:val="010101"/>
          <w:w w:val="110"/>
          <w:sz w:val="16"/>
        </w:rPr>
        <w:t>z+c</w:t>
      </w:r>
      <w:r>
        <w:rPr>
          <w:b/>
          <w:i/>
          <w:color w:val="010101"/>
          <w:spacing w:val="-5"/>
          <w:w w:val="110"/>
          <w:sz w:val="16"/>
        </w:rPr>
        <w:t> </w:t>
      </w:r>
      <w:r>
        <w:rPr>
          <w:b/>
          <w:i/>
          <w:color w:val="010101"/>
          <w:w w:val="110"/>
          <w:sz w:val="16"/>
        </w:rPr>
        <w:t>·</w:t>
      </w:r>
      <w:r>
        <w:rPr>
          <w:b/>
          <w:i/>
          <w:color w:val="010101"/>
          <w:spacing w:val="-21"/>
          <w:w w:val="110"/>
          <w:sz w:val="16"/>
        </w:rPr>
        <w:t> </w:t>
      </w:r>
      <w:r>
        <w:rPr>
          <w:b/>
          <w:i/>
          <w:color w:val="010101"/>
          <w:w w:val="110"/>
          <w:sz w:val="16"/>
        </w:rPr>
        <w:t>,V</w:t>
        <w:tab/>
      </w:r>
      <w:r>
        <w:rPr>
          <w:b/>
          <w:i/>
          <w:color w:val="010101"/>
          <w:w w:val="85"/>
          <w:sz w:val="14"/>
        </w:rPr>
        <w:t>V</w:t>
        <w:tab/>
      </w:r>
      <w:r>
        <w:rPr>
          <w:b/>
          <w:i/>
          <w:color w:val="010101"/>
          <w:w w:val="85"/>
          <w:sz w:val="13"/>
        </w:rPr>
        <w:t>:r:-+ </w:t>
      </w:r>
      <w:r>
        <w:rPr>
          <w:b/>
          <w:i/>
          <w:color w:val="010101"/>
          <w:w w:val="110"/>
          <w:sz w:val="13"/>
        </w:rPr>
        <w:t>t  </w:t>
      </w:r>
      <w:r>
        <w:rPr>
          <w:color w:val="010101"/>
          <w:w w:val="405"/>
          <w:sz w:val="13"/>
        </w:rPr>
        <w:t>-</w:t>
      </w:r>
      <w:r>
        <w:rPr>
          <w:color w:val="010101"/>
          <w:spacing w:val="-82"/>
          <w:w w:val="405"/>
          <w:sz w:val="13"/>
        </w:rPr>
        <w:t> </w:t>
      </w:r>
      <w:r>
        <w:rPr>
          <w:b/>
          <w:i/>
          <w:color w:val="010101"/>
          <w:w w:val="110"/>
          <w:sz w:val="16"/>
        </w:rPr>
        <w:t>lz+tP.z+t </w:t>
      </w:r>
      <w:r>
        <w:rPr>
          <w:color w:val="010101"/>
          <w:w w:val="125"/>
          <w:sz w:val="16"/>
        </w:rPr>
        <w:t>,</w:t>
      </w:r>
    </w:p>
    <w:p>
      <w:pPr>
        <w:pStyle w:val="BodyText"/>
        <w:spacing w:before="3"/>
      </w:pPr>
    </w:p>
    <w:p>
      <w:pPr>
        <w:spacing w:line="240" w:lineRule="exact" w:before="0"/>
        <w:ind w:left="156" w:right="150" w:hanging="8"/>
        <w:jc w:val="both"/>
        <w:rPr>
          <w:sz w:val="21"/>
        </w:rPr>
      </w:pPr>
      <w:r>
        <w:rPr>
          <w:color w:val="010101"/>
          <w:sz w:val="21"/>
        </w:rPr>
        <w:t>we note that the left-hand side is the derivative of </w:t>
      </w:r>
      <w:r>
        <w:rPr>
          <w:i/>
          <w:color w:val="010101"/>
          <w:sz w:val="20"/>
        </w:rPr>
        <w:t>v'l:r:+i </w:t>
      </w:r>
      <w:r>
        <w:rPr>
          <w:color w:val="010101"/>
          <w:sz w:val="20"/>
        </w:rPr>
        <w:t>·,</w:t>
      </w:r>
      <w:r>
        <w:rPr>
          <w:color w:val="010101"/>
          <w:sz w:val="26"/>
        </w:rPr>
        <w:t>V, </w:t>
      </w:r>
      <w:r>
        <w:rPr>
          <w:color w:val="010101"/>
          <w:sz w:val="21"/>
        </w:rPr>
        <w:t>and integrating  both  sides between  the limits O and  </w:t>
      </w:r>
      <w:r>
        <w:rPr>
          <w:i/>
          <w:color w:val="010101"/>
          <w:sz w:val="20"/>
        </w:rPr>
        <w:t>t , </w:t>
      </w:r>
      <w:r>
        <w:rPr>
          <w:color w:val="010101"/>
          <w:sz w:val="21"/>
        </w:rPr>
        <w:t>we have</w:t>
      </w:r>
    </w:p>
    <w:p>
      <w:pPr>
        <w:spacing w:after="0" w:line="240" w:lineRule="exact"/>
        <w:jc w:val="both"/>
        <w:rPr>
          <w:sz w:val="21"/>
        </w:rPr>
        <w:sectPr>
          <w:pgSz w:w="7200" w:h="11340"/>
          <w:pgMar w:top="520" w:bottom="280" w:left="640" w:right="540"/>
        </w:sectPr>
      </w:pPr>
    </w:p>
    <w:p>
      <w:pPr>
        <w:pStyle w:val="BodyText"/>
        <w:spacing w:before="4"/>
        <w:rPr>
          <w:sz w:val="22"/>
        </w:rPr>
      </w:pPr>
    </w:p>
    <w:p>
      <w:pPr>
        <w:spacing w:line="221" w:lineRule="exact" w:before="0"/>
        <w:ind w:left="1010" w:right="0" w:firstLine="0"/>
        <w:jc w:val="left"/>
        <w:rPr>
          <w:rFonts w:ascii="Arial" w:hAnsi="Arial"/>
          <w:i/>
          <w:sz w:val="20"/>
        </w:rPr>
      </w:pPr>
      <w:r>
        <w:rPr/>
        <w:pict>
          <v:shape style="position:absolute;margin-left:86.995506pt;margin-top:-.60599pt;width:30.25pt;height:5pt;mso-position-horizontal-relative:page;mso-position-vertical-relative:paragraph;z-index:-725560" type="#_x0000_t202" filled="false" stroked="false">
            <v:textbox inset="0,0,0,0">
              <w:txbxContent>
                <w:p>
                  <w:pPr>
                    <w:tabs>
                      <w:tab w:pos="530" w:val="left" w:leader="none"/>
                    </w:tabs>
                    <w:spacing w:line="100" w:lineRule="exact" w:before="0"/>
                    <w:ind w:left="0" w:right="0" w:firstLine="0"/>
                    <w:jc w:val="left"/>
                    <w:rPr>
                      <w:rFonts w:ascii="Arial"/>
                      <w:sz w:val="10"/>
                    </w:rPr>
                  </w:pPr>
                  <w:r>
                    <w:rPr>
                      <w:rFonts w:ascii="Arial"/>
                      <w:b/>
                      <w:i/>
                      <w:color w:val="010101"/>
                      <w:w w:val="120"/>
                      <w:sz w:val="10"/>
                    </w:rPr>
                    <w:t>t</w:t>
                    <w:tab/>
                  </w:r>
                  <w:r>
                    <w:rPr>
                      <w:rFonts w:ascii="Arial"/>
                      <w:color w:val="010101"/>
                      <w:w w:val="205"/>
                      <w:sz w:val="10"/>
                    </w:rPr>
                    <w:t>-</w:t>
                  </w:r>
                </w:p>
              </w:txbxContent>
            </v:textbox>
            <w10:wrap type="none"/>
          </v:shape>
        </w:pict>
      </w:r>
      <w:r>
        <w:rPr>
          <w:rFonts w:ascii="Arial" w:hAnsi="Arial"/>
          <w:i/>
          <w:color w:val="010101"/>
          <w:w w:val="81"/>
          <w:sz w:val="19"/>
        </w:rPr>
        <w:t>v</w:t>
      </w:r>
      <w:r>
        <w:rPr>
          <w:rFonts w:ascii="Arial" w:hAnsi="Arial"/>
          <w:i/>
          <w:color w:val="010101"/>
          <w:spacing w:val="6"/>
          <w:sz w:val="19"/>
        </w:rPr>
        <w:t> </w:t>
      </w:r>
      <w:r>
        <w:rPr>
          <w:i/>
          <w:color w:val="010101"/>
          <w:w w:val="81"/>
          <w:sz w:val="20"/>
        </w:rPr>
        <w:t>lz+i</w:t>
      </w:r>
      <w:r>
        <w:rPr>
          <w:i/>
          <w:color w:val="010101"/>
          <w:sz w:val="20"/>
        </w:rPr>
        <w:t> </w:t>
      </w:r>
      <w:r>
        <w:rPr>
          <w:color w:val="010101"/>
          <w:w w:val="121"/>
          <w:sz w:val="20"/>
        </w:rPr>
        <w:t>·</w:t>
      </w:r>
      <w:r>
        <w:rPr>
          <w:color w:val="010101"/>
          <w:spacing w:val="-14"/>
          <w:w w:val="121"/>
          <w:sz w:val="20"/>
        </w:rPr>
        <w:t>,</w:t>
      </w:r>
      <w:r>
        <w:rPr>
          <w:rFonts w:ascii="Arial" w:hAnsi="Arial"/>
          <w:i/>
          <w:color w:val="010101"/>
          <w:spacing w:val="-101"/>
          <w:w w:val="102"/>
          <w:sz w:val="20"/>
        </w:rPr>
        <w:t>V</w:t>
      </w:r>
    </w:p>
    <w:p>
      <w:pPr>
        <w:spacing w:line="478" w:lineRule="exact" w:before="0"/>
        <w:ind w:left="86" w:right="0" w:firstLine="0"/>
        <w:jc w:val="left"/>
        <w:rPr>
          <w:rFonts w:ascii="Arial"/>
          <w:i/>
          <w:sz w:val="20"/>
        </w:rPr>
      </w:pPr>
      <w:r>
        <w:rPr/>
        <w:br w:type="column"/>
      </w:r>
      <w:r>
        <w:rPr>
          <w:color w:val="010101"/>
          <w:w w:val="101"/>
          <w:sz w:val="23"/>
        </w:rPr>
        <w:t>=</w:t>
      </w:r>
      <w:r>
        <w:rPr>
          <w:color w:val="010101"/>
          <w:sz w:val="23"/>
        </w:rPr>
        <w:t> </w:t>
      </w:r>
      <w:r>
        <w:rPr>
          <w:color w:val="010101"/>
          <w:spacing w:val="-18"/>
          <w:sz w:val="23"/>
        </w:rPr>
        <w:t> </w:t>
      </w:r>
      <w:r>
        <w:rPr>
          <w:rFonts w:ascii="Arial"/>
          <w:i/>
          <w:color w:val="010101"/>
          <w:spacing w:val="40"/>
          <w:w w:val="112"/>
          <w:position w:val="-8"/>
          <w:sz w:val="51"/>
        </w:rPr>
        <w:t>i</w:t>
      </w:r>
      <w:r>
        <w:rPr>
          <w:i/>
          <w:color w:val="010101"/>
          <w:w w:val="125"/>
          <w:position w:val="4"/>
          <w:sz w:val="12"/>
        </w:rPr>
        <w:t>t</w:t>
      </w:r>
      <w:r>
        <w:rPr>
          <w:i/>
          <w:color w:val="010101"/>
          <w:position w:val="4"/>
          <w:sz w:val="12"/>
        </w:rPr>
        <w:t> </w:t>
      </w:r>
      <w:r>
        <w:rPr>
          <w:i/>
          <w:color w:val="010101"/>
          <w:spacing w:val="5"/>
          <w:position w:val="4"/>
          <w:sz w:val="12"/>
        </w:rPr>
        <w:t> </w:t>
      </w:r>
      <w:r>
        <w:rPr>
          <w:i/>
          <w:color w:val="010101"/>
          <w:spacing w:val="9"/>
          <w:w w:val="86"/>
          <w:sz w:val="20"/>
        </w:rPr>
        <w:t>v</w:t>
      </w:r>
      <w:r>
        <w:rPr>
          <w:rFonts w:ascii="Arial"/>
          <w:b/>
          <w:color w:val="010101"/>
          <w:spacing w:val="-49"/>
          <w:w w:val="100"/>
          <w:position w:val="12"/>
          <w:sz w:val="10"/>
        </w:rPr>
        <w:t>1</w:t>
      </w:r>
      <w:r>
        <w:rPr>
          <w:i/>
          <w:color w:val="212121"/>
          <w:spacing w:val="-6"/>
          <w:w w:val="89"/>
          <w:sz w:val="20"/>
        </w:rPr>
        <w:t>.</w:t>
      </w:r>
      <w:r>
        <w:rPr>
          <w:i/>
          <w:color w:val="010101"/>
          <w:spacing w:val="-61"/>
          <w:w w:val="66"/>
          <w:sz w:val="20"/>
        </w:rPr>
        <w:t>P</w:t>
      </w:r>
      <w:r>
        <w:rPr>
          <w:rFonts w:ascii="Arial"/>
          <w:color w:val="010101"/>
          <w:spacing w:val="-86"/>
          <w:w w:val="221"/>
          <w:position w:val="12"/>
          <w:sz w:val="10"/>
        </w:rPr>
        <w:t>-</w:t>
      </w:r>
      <w:r>
        <w:rPr>
          <w:i/>
          <w:color w:val="010101"/>
          <w:w w:val="66"/>
          <w:sz w:val="20"/>
        </w:rPr>
        <w:t>l:i:+1</w:t>
      </w:r>
      <w:r>
        <w:rPr>
          <w:i/>
          <w:color w:val="010101"/>
          <w:sz w:val="20"/>
        </w:rPr>
        <w:t> </w:t>
      </w:r>
      <w:r>
        <w:rPr>
          <w:i/>
          <w:color w:val="010101"/>
          <w:spacing w:val="-15"/>
          <w:sz w:val="20"/>
        </w:rPr>
        <w:t> </w:t>
      </w:r>
      <w:r>
        <w:rPr>
          <w:rFonts w:ascii="Arial"/>
          <w:i/>
          <w:color w:val="010101"/>
          <w:w w:val="86"/>
          <w:sz w:val="20"/>
        </w:rPr>
        <w:t>dt</w:t>
      </w:r>
      <w:r>
        <w:rPr>
          <w:rFonts w:ascii="Arial"/>
          <w:i/>
          <w:color w:val="010101"/>
          <w:sz w:val="20"/>
        </w:rPr>
        <w:t> </w:t>
      </w:r>
      <w:r>
        <w:rPr>
          <w:rFonts w:ascii="Arial"/>
          <w:i/>
          <w:color w:val="010101"/>
          <w:spacing w:val="-9"/>
          <w:sz w:val="20"/>
        </w:rPr>
        <w:t> </w:t>
      </w:r>
      <w:r>
        <w:rPr>
          <w:rFonts w:ascii="Arial"/>
          <w:color w:val="010101"/>
          <w:w w:val="254"/>
          <w:sz w:val="20"/>
        </w:rPr>
        <w:t>-</w:t>
      </w:r>
      <w:r>
        <w:rPr>
          <w:rFonts w:ascii="Arial"/>
          <w:color w:val="010101"/>
          <w:spacing w:val="7"/>
          <w:sz w:val="20"/>
        </w:rPr>
        <w:t> </w:t>
      </w:r>
      <w:r>
        <w:rPr>
          <w:rFonts w:ascii="Arial"/>
          <w:i/>
          <w:color w:val="010101"/>
          <w:w w:val="88"/>
          <w:position w:val="4"/>
          <w:sz w:val="51"/>
        </w:rPr>
        <w:t>i'</w:t>
      </w:r>
      <w:r>
        <w:rPr>
          <w:rFonts w:ascii="Arial"/>
          <w:i/>
          <w:color w:val="010101"/>
          <w:spacing w:val="-57"/>
          <w:position w:val="4"/>
          <w:sz w:val="51"/>
        </w:rPr>
        <w:t> </w:t>
      </w:r>
      <w:r>
        <w:rPr>
          <w:rFonts w:ascii="Arial"/>
          <w:i/>
          <w:color w:val="010101"/>
          <w:spacing w:val="6"/>
          <w:w w:val="84"/>
          <w:sz w:val="19"/>
        </w:rPr>
        <w:t>v</w:t>
      </w:r>
      <w:r>
        <w:rPr>
          <w:b/>
          <w:i/>
          <w:color w:val="010101"/>
          <w:w w:val="99"/>
          <w:position w:val="12"/>
          <w:sz w:val="12"/>
        </w:rPr>
        <w:t>t</w:t>
      </w:r>
      <w:r>
        <w:rPr>
          <w:b/>
          <w:i/>
          <w:color w:val="010101"/>
          <w:spacing w:val="-13"/>
          <w:position w:val="12"/>
          <w:sz w:val="12"/>
        </w:rPr>
        <w:t> </w:t>
      </w:r>
      <w:r>
        <w:rPr>
          <w:i/>
          <w:color w:val="010101"/>
          <w:w w:val="64"/>
          <w:sz w:val="20"/>
        </w:rPr>
        <w:t>lz+tP.:r:+t</w:t>
      </w:r>
      <w:r>
        <w:rPr>
          <w:i/>
          <w:color w:val="010101"/>
          <w:sz w:val="20"/>
        </w:rPr>
        <w:t> </w:t>
      </w:r>
      <w:r>
        <w:rPr>
          <w:i/>
          <w:color w:val="010101"/>
          <w:spacing w:val="-9"/>
          <w:sz w:val="20"/>
        </w:rPr>
        <w:t> </w:t>
      </w:r>
      <w:r>
        <w:rPr>
          <w:rFonts w:ascii="Arial"/>
          <w:i/>
          <w:color w:val="010101"/>
          <w:w w:val="86"/>
          <w:sz w:val="20"/>
        </w:rPr>
        <w:t>dt</w:t>
      </w:r>
    </w:p>
    <w:p>
      <w:pPr>
        <w:spacing w:after="0" w:line="478" w:lineRule="exact"/>
        <w:jc w:val="left"/>
        <w:rPr>
          <w:rFonts w:ascii="Arial"/>
          <w:sz w:val="20"/>
        </w:rPr>
        <w:sectPr>
          <w:type w:val="continuous"/>
          <w:pgSz w:w="7200" w:h="11340"/>
          <w:pgMar w:top="1100" w:bottom="0" w:left="640" w:right="540"/>
          <w:cols w:num="2" w:equalWidth="0">
            <w:col w:w="1705" w:space="40"/>
            <w:col w:w="4275"/>
          </w:cols>
        </w:sectPr>
      </w:pPr>
    </w:p>
    <w:p>
      <w:pPr>
        <w:tabs>
          <w:tab w:pos="1377" w:val="left" w:leader="none"/>
        </w:tabs>
        <w:spacing w:line="126" w:lineRule="exact" w:before="0"/>
        <w:ind w:left="0" w:right="279" w:firstLine="0"/>
        <w:jc w:val="center"/>
        <w:rPr>
          <w:sz w:val="12"/>
        </w:rPr>
      </w:pPr>
      <w:r>
        <w:rPr>
          <w:color w:val="010101"/>
          <w:w w:val="110"/>
          <w:sz w:val="12"/>
        </w:rPr>
        <w:t>0</w:t>
        <w:tab/>
        <w:t>0</w:t>
      </w:r>
    </w:p>
    <w:p>
      <w:pPr>
        <w:spacing w:after="0" w:line="126" w:lineRule="exact"/>
        <w:jc w:val="center"/>
        <w:rPr>
          <w:sz w:val="12"/>
        </w:rPr>
        <w:sectPr>
          <w:type w:val="continuous"/>
          <w:pgSz w:w="7200" w:h="11340"/>
          <w:pgMar w:top="1100" w:bottom="0" w:left="640" w:right="540"/>
        </w:sectPr>
      </w:pPr>
    </w:p>
    <w:p>
      <w:pPr>
        <w:pStyle w:val="BodyText"/>
        <w:rPr>
          <w:sz w:val="22"/>
        </w:rPr>
      </w:pPr>
    </w:p>
    <w:p>
      <w:pPr>
        <w:pStyle w:val="BodyText"/>
        <w:rPr>
          <w:sz w:val="22"/>
        </w:rPr>
      </w:pPr>
    </w:p>
    <w:p>
      <w:pPr>
        <w:pStyle w:val="BodyText"/>
        <w:spacing w:before="5"/>
        <w:rPr>
          <w:sz w:val="17"/>
        </w:rPr>
      </w:pPr>
    </w:p>
    <w:p>
      <w:pPr>
        <w:spacing w:before="1"/>
        <w:ind w:left="134" w:right="0" w:firstLine="3"/>
        <w:jc w:val="left"/>
        <w:rPr>
          <w:b/>
          <w:sz w:val="22"/>
        </w:rPr>
      </w:pPr>
      <w:r>
        <w:rPr>
          <w:b/>
          <w:color w:val="010101"/>
          <w:sz w:val="22"/>
        </w:rPr>
        <w:t>Then,</w:t>
      </w:r>
    </w:p>
    <w:p>
      <w:pPr>
        <w:pStyle w:val="BodyText"/>
        <w:rPr>
          <w:b/>
          <w:sz w:val="22"/>
        </w:rPr>
      </w:pPr>
    </w:p>
    <w:p>
      <w:pPr>
        <w:pStyle w:val="BodyText"/>
        <w:rPr>
          <w:b/>
          <w:sz w:val="22"/>
        </w:rPr>
      </w:pPr>
    </w:p>
    <w:p>
      <w:pPr>
        <w:spacing w:before="196"/>
        <w:ind w:left="134" w:right="0" w:firstLine="0"/>
        <w:jc w:val="left"/>
        <w:rPr>
          <w:sz w:val="21"/>
        </w:rPr>
      </w:pPr>
      <w:r>
        <w:rPr>
          <w:color w:val="010101"/>
          <w:w w:val="105"/>
          <w:sz w:val="21"/>
        </w:rPr>
        <w:t>that is,</w:t>
      </w:r>
    </w:p>
    <w:p>
      <w:pPr>
        <w:pStyle w:val="BodyText"/>
        <w:spacing w:before="3"/>
        <w:rPr>
          <w:sz w:val="11"/>
        </w:rPr>
      </w:pPr>
      <w:r>
        <w:rPr/>
        <w:br w:type="column"/>
      </w:r>
      <w:r>
        <w:rPr>
          <w:sz w:val="11"/>
        </w:rPr>
      </w:r>
    </w:p>
    <w:p>
      <w:pPr>
        <w:pStyle w:val="BodyText"/>
        <w:ind w:left="163"/>
      </w:pPr>
      <w:r>
        <w:rPr/>
        <w:drawing>
          <wp:inline distT="0" distB="0" distL="0" distR="0">
            <wp:extent cx="2029967" cy="292608"/>
            <wp:effectExtent l="0" t="0" r="0" b="0"/>
            <wp:docPr id="255" name="image132.png" descr=""/>
            <wp:cNvGraphicFramePr>
              <a:graphicFrameLocks noChangeAspect="1"/>
            </wp:cNvGraphicFramePr>
            <a:graphic>
              <a:graphicData uri="http://schemas.openxmlformats.org/drawingml/2006/picture">
                <pic:pic>
                  <pic:nvPicPr>
                    <pic:cNvPr id="256" name="image132.png"/>
                    <pic:cNvPicPr/>
                  </pic:nvPicPr>
                  <pic:blipFill>
                    <a:blip r:embed="rId136" cstate="print"/>
                    <a:stretch>
                      <a:fillRect/>
                    </a:stretch>
                  </pic:blipFill>
                  <pic:spPr>
                    <a:xfrm>
                      <a:off x="0" y="0"/>
                      <a:ext cx="2029967" cy="292608"/>
                    </a:xfrm>
                    <a:prstGeom prst="rect">
                      <a:avLst/>
                    </a:prstGeom>
                  </pic:spPr>
                </pic:pic>
              </a:graphicData>
            </a:graphic>
          </wp:inline>
        </w:drawing>
      </w:r>
      <w:r>
        <w:rPr/>
      </w:r>
    </w:p>
    <w:p>
      <w:pPr>
        <w:pStyle w:val="BodyText"/>
      </w:pPr>
    </w:p>
    <w:p>
      <w:pPr>
        <w:pStyle w:val="BodyText"/>
        <w:spacing w:before="11"/>
        <w:rPr>
          <w:sz w:val="22"/>
        </w:rPr>
      </w:pPr>
      <w:r>
        <w:rPr/>
        <w:drawing>
          <wp:anchor distT="0" distB="0" distL="0" distR="0" allowOverlap="1" layoutInCell="1" locked="0" behindDoc="0" simplePos="0" relativeHeight="10360">
            <wp:simplePos x="0" y="0"/>
            <wp:positionH relativeFrom="page">
              <wp:posOffset>1545336</wp:posOffset>
            </wp:positionH>
            <wp:positionV relativeFrom="paragraph">
              <wp:posOffset>192455</wp:posOffset>
            </wp:positionV>
            <wp:extent cx="1554480" cy="283463"/>
            <wp:effectExtent l="0" t="0" r="0" b="0"/>
            <wp:wrapTopAndBottom/>
            <wp:docPr id="257" name="image133.png" descr=""/>
            <wp:cNvGraphicFramePr>
              <a:graphicFrameLocks noChangeAspect="1"/>
            </wp:cNvGraphicFramePr>
            <a:graphic>
              <a:graphicData uri="http://schemas.openxmlformats.org/drawingml/2006/picture">
                <pic:pic>
                  <pic:nvPicPr>
                    <pic:cNvPr id="258" name="image133.png"/>
                    <pic:cNvPicPr/>
                  </pic:nvPicPr>
                  <pic:blipFill>
                    <a:blip r:embed="rId137" cstate="print"/>
                    <a:stretch>
                      <a:fillRect/>
                    </a:stretch>
                  </pic:blipFill>
                  <pic:spPr>
                    <a:xfrm>
                      <a:off x="0" y="0"/>
                      <a:ext cx="1554480" cy="283463"/>
                    </a:xfrm>
                    <a:prstGeom prst="rect">
                      <a:avLst/>
                    </a:prstGeom>
                  </pic:spPr>
                </pic:pic>
              </a:graphicData>
            </a:graphic>
          </wp:anchor>
        </w:drawing>
      </w:r>
    </w:p>
    <w:p>
      <w:pPr>
        <w:pStyle w:val="BodyText"/>
        <w:rPr>
          <w:sz w:val="34"/>
        </w:rPr>
      </w:pPr>
    </w:p>
    <w:p>
      <w:pPr>
        <w:tabs>
          <w:tab w:pos="2120" w:val="left" w:leader="none"/>
          <w:tab w:pos="3720" w:val="left" w:leader="none"/>
        </w:tabs>
        <w:spacing w:before="0"/>
        <w:ind w:left="323" w:right="0" w:firstLine="0"/>
        <w:jc w:val="left"/>
        <w:rPr>
          <w:sz w:val="19"/>
        </w:rPr>
      </w:pPr>
      <w:r>
        <w:rPr>
          <w:color w:val="010101"/>
          <w:sz w:val="26"/>
        </w:rPr>
        <w:t>,</w:t>
      </w:r>
      <w:r>
        <w:rPr>
          <w:i/>
          <w:color w:val="010101"/>
          <w:sz w:val="26"/>
        </w:rPr>
        <w:t>V</w:t>
      </w:r>
      <w:r>
        <w:rPr>
          <w:i/>
          <w:color w:val="010101"/>
          <w:spacing w:val="-48"/>
          <w:sz w:val="26"/>
        </w:rPr>
        <w:t> </w:t>
      </w:r>
      <w:r>
        <w:rPr>
          <w:i/>
          <w:color w:val="010101"/>
          <w:spacing w:val="3"/>
          <w:sz w:val="20"/>
        </w:rPr>
        <w:t>(Az</w:t>
      </w:r>
      <w:r>
        <w:rPr>
          <w:i/>
          <w:color w:val="010101"/>
          <w:spacing w:val="-32"/>
          <w:sz w:val="20"/>
        </w:rPr>
        <w:t> </w:t>
      </w:r>
      <w:r>
        <w:rPr>
          <w:i/>
          <w:color w:val="010101"/>
          <w:w w:val="85"/>
          <w:sz w:val="20"/>
        </w:rPr>
        <w:t>)</w:t>
      </w:r>
      <w:r>
        <w:rPr>
          <w:i/>
          <w:color w:val="010101"/>
          <w:spacing w:val="8"/>
          <w:w w:val="85"/>
          <w:sz w:val="20"/>
        </w:rPr>
        <w:t> </w:t>
      </w:r>
      <w:r>
        <w:rPr>
          <w:color w:val="010101"/>
          <w:sz w:val="26"/>
        </w:rPr>
        <w:t>=</w:t>
      </w:r>
      <w:r>
        <w:rPr>
          <w:color w:val="010101"/>
          <w:spacing w:val="-25"/>
          <w:sz w:val="26"/>
        </w:rPr>
        <w:t> </w:t>
      </w:r>
      <w:r>
        <w:rPr>
          <w:i/>
          <w:color w:val="010101"/>
          <w:w w:val="85"/>
          <w:sz w:val="26"/>
        </w:rPr>
        <w:t>Ps:i:TJ</w:t>
        <w:tab/>
      </w:r>
      <w:r>
        <w:rPr>
          <w:i/>
          <w:color w:val="010101"/>
          <w:spacing w:val="-7"/>
          <w:sz w:val="20"/>
        </w:rPr>
        <w:t>,kz</w:t>
      </w:r>
      <w:r>
        <w:rPr>
          <w:i/>
          <w:color w:val="010101"/>
          <w:spacing w:val="22"/>
          <w:sz w:val="20"/>
        </w:rPr>
        <w:t> </w:t>
      </w:r>
      <w:r>
        <w:rPr>
          <w:color w:val="010101"/>
          <w:w w:val="120"/>
          <w:sz w:val="20"/>
        </w:rPr>
        <w:t>.</w:t>
        <w:tab/>
      </w:r>
      <w:r>
        <w:rPr>
          <w:color w:val="010101"/>
          <w:sz w:val="19"/>
        </w:rPr>
        <w:t>(5.28)</w:t>
      </w:r>
    </w:p>
    <w:p>
      <w:pPr>
        <w:spacing w:after="0"/>
        <w:jc w:val="left"/>
        <w:rPr>
          <w:sz w:val="19"/>
        </w:rPr>
        <w:sectPr>
          <w:type w:val="continuous"/>
          <w:pgSz w:w="7200" w:h="11340"/>
          <w:pgMar w:top="1100" w:bottom="0" w:left="640" w:right="540"/>
          <w:cols w:num="2" w:equalWidth="0">
            <w:col w:w="754" w:space="905"/>
            <w:col w:w="4361"/>
          </w:cols>
        </w:sectPr>
      </w:pPr>
    </w:p>
    <w:p>
      <w:pPr>
        <w:spacing w:before="100"/>
        <w:ind w:left="131" w:right="157" w:firstLine="3"/>
        <w:jc w:val="both"/>
        <w:rPr>
          <w:sz w:val="21"/>
        </w:rPr>
      </w:pPr>
      <w:r>
        <w:rPr>
          <w:color w:val="010101"/>
          <w:sz w:val="21"/>
        </w:rPr>
        <w:t>The reserve is thus seen to be equal to the  accumulation  of  the past premiums minus the accumulation of the insurance coverage provided-a direct expression of the usual retrospective principie. The prospective formula may also  be derived.  Expressing  </w:t>
      </w:r>
      <w:r>
        <w:rPr>
          <w:rFonts w:ascii="Arial"/>
          <w:b/>
          <w:color w:val="010101"/>
          <w:sz w:val="19"/>
        </w:rPr>
        <w:t>(5.28)  </w:t>
      </w:r>
      <w:r>
        <w:rPr>
          <w:color w:val="010101"/>
          <w:sz w:val="21"/>
        </w:rPr>
        <w:t>in commutation</w:t>
      </w:r>
      <w:r>
        <w:rPr>
          <w:color w:val="010101"/>
          <w:spacing w:val="20"/>
          <w:sz w:val="21"/>
        </w:rPr>
        <w:t> </w:t>
      </w:r>
      <w:r>
        <w:rPr>
          <w:color w:val="010101"/>
          <w:sz w:val="21"/>
        </w:rPr>
        <w:t>symbols,</w:t>
      </w:r>
    </w:p>
    <w:p>
      <w:pPr>
        <w:spacing w:line="255" w:lineRule="exact" w:before="132"/>
        <w:ind w:left="1103" w:right="0" w:firstLine="0"/>
        <w:jc w:val="left"/>
        <w:rPr>
          <w:i/>
          <w:sz w:val="20"/>
        </w:rPr>
      </w:pPr>
      <w:r>
        <w:rPr/>
        <w:pict>
          <v:line style="position:absolute;mso-position-horizontal-relative:page;mso-position-vertical-relative:paragraph;z-index:-725632" from="184.753403pt,17.695929pt" to="185.650203pt,17.695929pt" stroked="true" strokeweight=".717489pt" strokecolor="#000000">
            <w10:wrap type="none"/>
          </v:line>
        </w:pict>
      </w:r>
      <w:r>
        <w:rPr>
          <w:i/>
          <w:color w:val="010101"/>
          <w:spacing w:val="8"/>
          <w:w w:val="110"/>
          <w:sz w:val="20"/>
        </w:rPr>
        <w:t>V( </w:t>
      </w:r>
      <w:r>
        <w:rPr>
          <w:i/>
          <w:color w:val="010101"/>
          <w:w w:val="110"/>
          <w:sz w:val="20"/>
        </w:rPr>
        <w:t>A </w:t>
      </w:r>
      <w:r>
        <w:rPr>
          <w:color w:val="010101"/>
          <w:w w:val="85"/>
          <w:sz w:val="20"/>
        </w:rPr>
        <w:t>)  </w:t>
      </w:r>
      <w:r>
        <w:rPr>
          <w:color w:val="010101"/>
          <w:w w:val="110"/>
          <w:sz w:val="23"/>
        </w:rPr>
        <w:t>= </w:t>
      </w:r>
      <w:r>
        <w:rPr>
          <w:i/>
          <w:color w:val="010101"/>
          <w:w w:val="110"/>
          <w:sz w:val="20"/>
        </w:rPr>
        <w:t>P( </w:t>
      </w:r>
      <w:r>
        <w:rPr>
          <w:i/>
          <w:color w:val="010101"/>
          <w:w w:val="85"/>
          <w:sz w:val="20"/>
        </w:rPr>
        <w:t>Ñ:r: </w:t>
      </w:r>
      <w:r>
        <w:rPr>
          <w:color w:val="010101"/>
          <w:w w:val="260"/>
          <w:sz w:val="20"/>
        </w:rPr>
        <w:t>-</w:t>
      </w:r>
      <w:r>
        <w:rPr>
          <w:color w:val="010101"/>
          <w:spacing w:val="-86"/>
          <w:w w:val="260"/>
          <w:sz w:val="20"/>
        </w:rPr>
        <w:t> </w:t>
      </w:r>
      <w:r>
        <w:rPr>
          <w:i/>
          <w:color w:val="010101"/>
          <w:w w:val="110"/>
          <w:sz w:val="20"/>
        </w:rPr>
        <w:t>Ñ </w:t>
      </w:r>
      <w:r>
        <w:rPr>
          <w:i/>
          <w:color w:val="010101"/>
          <w:w w:val="85"/>
          <w:sz w:val="20"/>
        </w:rPr>
        <w:t>z+, )  </w:t>
      </w:r>
      <w:r>
        <w:rPr>
          <w:color w:val="010101"/>
          <w:w w:val="260"/>
          <w:sz w:val="20"/>
        </w:rPr>
        <w:t>-</w:t>
      </w:r>
      <w:r>
        <w:rPr>
          <w:color w:val="010101"/>
          <w:spacing w:val="-75"/>
          <w:w w:val="260"/>
          <w:sz w:val="20"/>
        </w:rPr>
        <w:t> </w:t>
      </w:r>
      <w:r>
        <w:rPr>
          <w:i/>
          <w:color w:val="010101"/>
          <w:w w:val="85"/>
          <w:sz w:val="20"/>
        </w:rPr>
        <w:t>( </w:t>
      </w:r>
      <w:r>
        <w:rPr>
          <w:i/>
          <w:color w:val="010101"/>
          <w:w w:val="110"/>
          <w:sz w:val="20"/>
        </w:rPr>
        <w:t>M </w:t>
      </w:r>
      <w:r>
        <w:rPr>
          <w:i/>
          <w:color w:val="010101"/>
          <w:w w:val="85"/>
          <w:sz w:val="20"/>
        </w:rPr>
        <w:t>z </w:t>
      </w:r>
      <w:r>
        <w:rPr>
          <w:color w:val="010101"/>
          <w:w w:val="260"/>
          <w:sz w:val="20"/>
        </w:rPr>
        <w:t>-</w:t>
      </w:r>
      <w:r>
        <w:rPr>
          <w:color w:val="010101"/>
          <w:spacing w:val="-90"/>
          <w:w w:val="260"/>
          <w:sz w:val="20"/>
        </w:rPr>
        <w:t> </w:t>
      </w:r>
      <w:r>
        <w:rPr>
          <w:i/>
          <w:color w:val="010101"/>
          <w:w w:val="110"/>
          <w:sz w:val="20"/>
        </w:rPr>
        <w:t>M </w:t>
      </w:r>
      <w:r>
        <w:rPr>
          <w:i/>
          <w:color w:val="010101"/>
          <w:w w:val="85"/>
          <w:sz w:val="20"/>
        </w:rPr>
        <w:t>z+, )</w:t>
      </w:r>
    </w:p>
    <w:p>
      <w:pPr>
        <w:spacing w:line="58" w:lineRule="exact" w:before="0"/>
        <w:ind w:left="1498" w:right="0" w:firstLine="0"/>
        <w:jc w:val="left"/>
        <w:rPr>
          <w:rFonts w:ascii="Arial"/>
          <w:i/>
          <w:sz w:val="9"/>
        </w:rPr>
      </w:pPr>
      <w:r>
        <w:rPr>
          <w:rFonts w:ascii="Arial"/>
          <w:i/>
          <w:color w:val="010101"/>
          <w:w w:val="90"/>
          <w:sz w:val="9"/>
        </w:rPr>
        <w:t>11</w:t>
      </w:r>
    </w:p>
    <w:p>
      <w:pPr>
        <w:tabs>
          <w:tab w:pos="3216" w:val="left" w:leader="none"/>
          <w:tab w:pos="4877" w:val="left" w:leader="none"/>
        </w:tabs>
        <w:spacing w:line="194" w:lineRule="exact" w:before="0"/>
        <w:ind w:left="1042" w:right="0" w:firstLine="0"/>
        <w:jc w:val="left"/>
        <w:rPr>
          <w:sz w:val="20"/>
        </w:rPr>
      </w:pPr>
      <w:r>
        <w:rPr>
          <w:rFonts w:ascii="Arial"/>
          <w:color w:val="010101"/>
          <w:w w:val="365"/>
          <w:sz w:val="9"/>
        </w:rPr>
        <w:t>'</w:t>
        <w:tab/>
      </w:r>
      <w:r>
        <w:rPr>
          <w:i/>
          <w:color w:val="010101"/>
          <w:w w:val="75"/>
          <w:sz w:val="20"/>
        </w:rPr>
        <w:t>D:i:+1</w:t>
        <w:tab/>
      </w:r>
      <w:r>
        <w:rPr>
          <w:color w:val="010101"/>
          <w:w w:val="220"/>
          <w:sz w:val="20"/>
        </w:rPr>
        <w:t>'</w:t>
      </w:r>
    </w:p>
    <w:p>
      <w:pPr>
        <w:pStyle w:val="BodyText"/>
        <w:spacing w:before="3"/>
        <w:rPr>
          <w:sz w:val="14"/>
        </w:rPr>
      </w:pPr>
      <w:r>
        <w:rPr/>
        <w:drawing>
          <wp:anchor distT="0" distB="0" distL="0" distR="0" allowOverlap="1" layoutInCell="1" locked="0" behindDoc="0" simplePos="0" relativeHeight="10384">
            <wp:simplePos x="0" y="0"/>
            <wp:positionH relativeFrom="page">
              <wp:posOffset>475487</wp:posOffset>
            </wp:positionH>
            <wp:positionV relativeFrom="paragraph">
              <wp:posOffset>128941</wp:posOffset>
            </wp:positionV>
            <wp:extent cx="3191256" cy="155447"/>
            <wp:effectExtent l="0" t="0" r="0" b="0"/>
            <wp:wrapTopAndBottom/>
            <wp:docPr id="259" name="image134.png" descr=""/>
            <wp:cNvGraphicFramePr>
              <a:graphicFrameLocks noChangeAspect="1"/>
            </wp:cNvGraphicFramePr>
            <a:graphic>
              <a:graphicData uri="http://schemas.openxmlformats.org/drawingml/2006/picture">
                <pic:pic>
                  <pic:nvPicPr>
                    <pic:cNvPr id="260" name="image134.png"/>
                    <pic:cNvPicPr/>
                  </pic:nvPicPr>
                  <pic:blipFill>
                    <a:blip r:embed="rId138" cstate="print"/>
                    <a:stretch>
                      <a:fillRect/>
                    </a:stretch>
                  </pic:blipFill>
                  <pic:spPr>
                    <a:xfrm>
                      <a:off x="0" y="0"/>
                      <a:ext cx="3191256" cy="155447"/>
                    </a:xfrm>
                    <a:prstGeom prst="rect">
                      <a:avLst/>
                    </a:prstGeom>
                  </pic:spPr>
                </pic:pic>
              </a:graphicData>
            </a:graphic>
          </wp:anchor>
        </w:drawing>
      </w:r>
    </w:p>
    <w:p>
      <w:pPr>
        <w:spacing w:after="0"/>
        <w:rPr>
          <w:sz w:val="14"/>
        </w:rPr>
        <w:sectPr>
          <w:type w:val="continuous"/>
          <w:pgSz w:w="7200" w:h="11340"/>
          <w:pgMar w:top="1100" w:bottom="0" w:left="640" w:right="540"/>
        </w:sectPr>
      </w:pPr>
    </w:p>
    <w:p>
      <w:pPr>
        <w:spacing w:before="114"/>
        <w:ind w:left="124" w:right="16" w:firstLine="0"/>
        <w:jc w:val="left"/>
        <w:rPr>
          <w:sz w:val="21"/>
        </w:rPr>
      </w:pPr>
      <w:r>
        <w:rPr>
          <w:color w:val="010101"/>
          <w:sz w:val="21"/>
        </w:rPr>
        <w:t>we have</w:t>
      </w:r>
    </w:p>
    <w:p>
      <w:pPr>
        <w:spacing w:before="92"/>
        <w:ind w:left="185" w:right="16" w:firstLine="0"/>
        <w:jc w:val="left"/>
        <w:rPr>
          <w:i/>
          <w:sz w:val="20"/>
        </w:rPr>
      </w:pPr>
      <w:r>
        <w:rPr>
          <w:i/>
          <w:color w:val="010101"/>
          <w:w w:val="95"/>
          <w:sz w:val="20"/>
        </w:rPr>
        <w:t>,V(A:r:) </w:t>
      </w:r>
      <w:r>
        <w:rPr>
          <w:color w:val="010101"/>
          <w:w w:val="95"/>
          <w:sz w:val="23"/>
        </w:rPr>
        <w:t>= </w:t>
      </w:r>
      <w:r>
        <w:rPr>
          <w:i/>
          <w:color w:val="010101"/>
          <w:w w:val="95"/>
          <w:sz w:val="20"/>
          <w:u w:val="single" w:color="000000"/>
        </w:rPr>
        <w:t>( M z </w:t>
      </w:r>
      <w:r>
        <w:rPr>
          <w:color w:val="010101"/>
          <w:w w:val="245"/>
          <w:sz w:val="20"/>
          <w:u w:val="single" w:color="000000"/>
        </w:rPr>
        <w:t>- </w:t>
      </w:r>
      <w:r>
        <w:rPr>
          <w:i/>
          <w:color w:val="010101"/>
          <w:w w:val="95"/>
          <w:sz w:val="20"/>
          <w:u w:val="single" w:color="000000"/>
        </w:rPr>
        <w:t>.P </w:t>
      </w:r>
      <w:r>
        <w:rPr>
          <w:i/>
          <w:color w:val="212121"/>
          <w:w w:val="95"/>
          <w:sz w:val="20"/>
          <w:u w:val="single" w:color="000000"/>
        </w:rPr>
        <w:t>·</w:t>
      </w:r>
      <w:r>
        <w:rPr>
          <w:i/>
          <w:color w:val="010101"/>
          <w:w w:val="95"/>
          <w:sz w:val="20"/>
          <w:u w:val="single" w:color="000000"/>
        </w:rPr>
        <w:t>Ñ:r:+t ) </w:t>
      </w:r>
      <w:r>
        <w:rPr>
          <w:color w:val="010101"/>
          <w:w w:val="245"/>
          <w:sz w:val="20"/>
          <w:u w:val="single" w:color="000000"/>
        </w:rPr>
        <w:t>- </w:t>
      </w:r>
      <w:r>
        <w:rPr>
          <w:i/>
          <w:color w:val="010101"/>
          <w:w w:val="95"/>
          <w:sz w:val="20"/>
          <w:u w:val="single" w:color="000000"/>
        </w:rPr>
        <w:t>( M z </w:t>
      </w:r>
      <w:r>
        <w:rPr>
          <w:color w:val="010101"/>
          <w:w w:val="245"/>
          <w:sz w:val="20"/>
          <w:u w:val="single" w:color="000000"/>
        </w:rPr>
        <w:t>- </w:t>
      </w:r>
      <w:r>
        <w:rPr>
          <w:i/>
          <w:color w:val="010101"/>
          <w:w w:val="95"/>
          <w:sz w:val="20"/>
          <w:u w:val="single" w:color="000000"/>
        </w:rPr>
        <w:t>M </w:t>
      </w:r>
      <w:r>
        <w:rPr>
          <w:i/>
          <w:color w:val="010101"/>
          <w:w w:val="80"/>
          <w:sz w:val="20"/>
          <w:u w:val="single" w:color="000000"/>
        </w:rPr>
        <w:t>z+, )</w:t>
      </w:r>
    </w:p>
    <w:p>
      <w:pPr>
        <w:spacing w:before="4"/>
        <w:ind w:left="2423" w:right="16" w:firstLine="0"/>
        <w:jc w:val="left"/>
        <w:rPr>
          <w:i/>
          <w:sz w:val="20"/>
        </w:rPr>
      </w:pPr>
      <w:r>
        <w:rPr>
          <w:i/>
          <w:color w:val="010101"/>
          <w:sz w:val="20"/>
        </w:rPr>
        <w:t>Dz+i</w:t>
      </w:r>
    </w:p>
    <w:p>
      <w:pPr>
        <w:pStyle w:val="BodyText"/>
        <w:rPr>
          <w:i/>
        </w:rPr>
      </w:pPr>
      <w:r>
        <w:rPr/>
        <w:br w:type="column"/>
      </w:r>
      <w:r>
        <w:rPr>
          <w:i/>
        </w:rPr>
      </w:r>
    </w:p>
    <w:p>
      <w:pPr>
        <w:pStyle w:val="BodyText"/>
        <w:spacing w:before="9"/>
        <w:rPr>
          <w:i/>
        </w:rPr>
      </w:pPr>
    </w:p>
    <w:p>
      <w:pPr>
        <w:spacing w:before="0"/>
        <w:ind w:left="44" w:right="156" w:firstLine="0"/>
        <w:jc w:val="center"/>
        <w:rPr>
          <w:i/>
          <w:sz w:val="20"/>
        </w:rPr>
      </w:pPr>
      <w:r>
        <w:rPr>
          <w:i/>
          <w:color w:val="010101"/>
          <w:w w:val="120"/>
          <w:sz w:val="20"/>
          <w:u w:val="single" w:color="000000"/>
        </w:rPr>
        <w:t>M </w:t>
      </w:r>
      <w:r>
        <w:rPr>
          <w:i/>
          <w:color w:val="010101"/>
          <w:sz w:val="20"/>
          <w:u w:val="single" w:color="000000"/>
        </w:rPr>
        <w:t>z+1 </w:t>
      </w:r>
      <w:r>
        <w:rPr>
          <w:color w:val="010101"/>
          <w:w w:val="260"/>
          <w:sz w:val="20"/>
          <w:u w:val="single" w:color="000000"/>
        </w:rPr>
        <w:t>-</w:t>
      </w:r>
      <w:r>
        <w:rPr>
          <w:color w:val="010101"/>
          <w:spacing w:val="-98"/>
          <w:w w:val="260"/>
          <w:sz w:val="20"/>
          <w:u w:val="single" w:color="000000"/>
        </w:rPr>
        <w:t> </w:t>
      </w:r>
      <w:r>
        <w:rPr>
          <w:i/>
          <w:color w:val="010101"/>
          <w:w w:val="120"/>
          <w:sz w:val="20"/>
          <w:u w:val="single" w:color="000000"/>
        </w:rPr>
        <w:t>P·Ñ•+</w:t>
      </w:r>
      <w:r>
        <w:rPr>
          <w:i/>
          <w:color w:val="010101"/>
          <w:w w:val="120"/>
          <w:sz w:val="20"/>
        </w:rPr>
        <w:t>'</w:t>
      </w:r>
    </w:p>
    <w:p>
      <w:pPr>
        <w:spacing w:before="7"/>
        <w:ind w:left="20" w:right="156" w:firstLine="0"/>
        <w:jc w:val="center"/>
        <w:rPr>
          <w:i/>
          <w:sz w:val="20"/>
        </w:rPr>
      </w:pPr>
      <w:r>
        <w:rPr>
          <w:i/>
          <w:color w:val="010101"/>
          <w:w w:val="90"/>
          <w:sz w:val="20"/>
        </w:rPr>
        <w:t>Dz+a</w:t>
      </w:r>
    </w:p>
    <w:p>
      <w:pPr>
        <w:spacing w:after="0"/>
        <w:jc w:val="center"/>
        <w:rPr>
          <w:sz w:val="20"/>
        </w:rPr>
        <w:sectPr>
          <w:type w:val="continuous"/>
          <w:pgSz w:w="7200" w:h="11340"/>
          <w:pgMar w:top="1100" w:bottom="0" w:left="640" w:right="540"/>
          <w:cols w:num="2" w:equalWidth="0">
            <w:col w:w="4060" w:space="227"/>
            <w:col w:w="1733"/>
          </w:cols>
        </w:sectPr>
      </w:pPr>
    </w:p>
    <w:p>
      <w:pPr>
        <w:spacing w:before="50"/>
        <w:ind w:left="117" w:right="0" w:firstLine="0"/>
        <w:jc w:val="left"/>
        <w:rPr>
          <w:rFonts w:ascii="Arial"/>
          <w:b/>
          <w:sz w:val="20"/>
        </w:rPr>
      </w:pPr>
      <w:r>
        <w:rPr>
          <w:b/>
          <w:sz w:val="15"/>
        </w:rPr>
        <w:t>SEC. </w:t>
      </w:r>
      <w:r>
        <w:rPr>
          <w:rFonts w:ascii="Arial"/>
          <w:b/>
          <w:sz w:val="20"/>
        </w:rPr>
        <w:t>9]</w:t>
      </w:r>
    </w:p>
    <w:p>
      <w:pPr>
        <w:spacing w:before="90"/>
        <w:ind w:left="117" w:right="0" w:firstLine="0"/>
        <w:jc w:val="left"/>
        <w:rPr>
          <w:b/>
          <w:sz w:val="15"/>
        </w:rPr>
      </w:pPr>
      <w:r>
        <w:rPr/>
        <w:br w:type="column"/>
      </w:r>
      <w:r>
        <w:rPr>
          <w:b/>
          <w:w w:val="105"/>
          <w:sz w:val="15"/>
        </w:rPr>
        <w:t>THE  FACKLER  RESERVE FORMULA</w:t>
      </w:r>
    </w:p>
    <w:p>
      <w:pPr>
        <w:spacing w:before="59"/>
        <w:ind w:left="117" w:right="0" w:firstLine="0"/>
        <w:jc w:val="left"/>
        <w:rPr>
          <w:rFonts w:ascii="Arial"/>
          <w:sz w:val="19"/>
        </w:rPr>
      </w:pPr>
      <w:r>
        <w:rPr/>
        <w:br w:type="column"/>
      </w:r>
      <w:r>
        <w:rPr>
          <w:rFonts w:ascii="Arial"/>
          <w:w w:val="105"/>
          <w:sz w:val="19"/>
        </w:rPr>
        <w:t>115</w:t>
      </w:r>
    </w:p>
    <w:p>
      <w:pPr>
        <w:spacing w:after="0"/>
        <w:jc w:val="left"/>
        <w:rPr>
          <w:rFonts w:ascii="Arial"/>
          <w:sz w:val="19"/>
        </w:rPr>
        <w:sectPr>
          <w:pgSz w:w="7200" w:h="11340"/>
          <w:pgMar w:top="500" w:bottom="280" w:left="660" w:right="560"/>
          <w:cols w:num="3" w:equalWidth="0">
            <w:col w:w="692" w:space="712"/>
            <w:col w:w="3012" w:space="1027"/>
            <w:col w:w="537"/>
          </w:cols>
        </w:sectPr>
      </w:pPr>
    </w:p>
    <w:p>
      <w:pPr>
        <w:pStyle w:val="BodyText"/>
        <w:spacing w:before="7"/>
        <w:rPr>
          <w:rFonts w:ascii="Arial"/>
          <w:sz w:val="9"/>
        </w:rPr>
      </w:pPr>
    </w:p>
    <w:p>
      <w:pPr>
        <w:spacing w:after="0"/>
        <w:rPr>
          <w:rFonts w:ascii="Arial"/>
          <w:sz w:val="9"/>
        </w:rPr>
        <w:sectPr>
          <w:type w:val="continuous"/>
          <w:pgSz w:w="7200" w:h="11340"/>
          <w:pgMar w:top="1100" w:bottom="0" w:left="660" w:right="560"/>
        </w:sectPr>
      </w:pPr>
    </w:p>
    <w:p>
      <w:pPr>
        <w:tabs>
          <w:tab w:pos="1813" w:val="left" w:leader="none"/>
        </w:tabs>
        <w:spacing w:before="64"/>
        <w:ind w:left="124" w:right="0" w:firstLine="0"/>
        <w:jc w:val="left"/>
        <w:rPr>
          <w:b/>
          <w:sz w:val="20"/>
        </w:rPr>
      </w:pPr>
      <w:r>
        <w:rPr>
          <w:sz w:val="20"/>
        </w:rPr>
        <w:t>or</w:t>
        <w:tab/>
      </w:r>
      <w:r>
        <w:rPr>
          <w:b/>
          <w:sz w:val="23"/>
        </w:rPr>
        <w:t>,V(.As) </w:t>
      </w:r>
      <w:r>
        <w:rPr>
          <w:sz w:val="28"/>
        </w:rPr>
        <w:t>= </w:t>
      </w:r>
      <w:r>
        <w:rPr>
          <w:b/>
          <w:sz w:val="20"/>
        </w:rPr>
        <w:t>ÁsH </w:t>
      </w:r>
      <w:r>
        <w:rPr>
          <w:b/>
          <w:w w:val="160"/>
          <w:sz w:val="20"/>
        </w:rPr>
        <w:t>-.</w:t>
      </w:r>
      <w:r>
        <w:rPr>
          <w:b/>
          <w:spacing w:val="-71"/>
          <w:w w:val="160"/>
          <w:sz w:val="20"/>
        </w:rPr>
        <w:t> </w:t>
      </w:r>
      <w:r>
        <w:rPr>
          <w:b/>
          <w:sz w:val="20"/>
        </w:rPr>
        <w:t>P·&lt;is+c ,</w:t>
      </w:r>
    </w:p>
    <w:p>
      <w:pPr>
        <w:pStyle w:val="BodyText"/>
        <w:spacing w:before="105"/>
        <w:ind w:left="128"/>
      </w:pPr>
      <w:r>
        <w:rPr>
          <w:w w:val="105"/>
        </w:rPr>
        <w:t>the corresponding  fonnula  in prospective tenns.</w:t>
      </w:r>
    </w:p>
    <w:p>
      <w:pPr>
        <w:spacing w:before="141"/>
        <w:ind w:left="124" w:right="0" w:firstLine="0"/>
        <w:jc w:val="left"/>
        <w:rPr>
          <w:sz w:val="19"/>
        </w:rPr>
      </w:pPr>
      <w:r>
        <w:rPr/>
        <w:br w:type="column"/>
      </w:r>
      <w:r>
        <w:rPr>
          <w:sz w:val="19"/>
        </w:rPr>
        <w:t>(5.29 )</w:t>
      </w:r>
    </w:p>
    <w:p>
      <w:pPr>
        <w:spacing w:after="0"/>
        <w:jc w:val="left"/>
        <w:rPr>
          <w:sz w:val="19"/>
        </w:rPr>
        <w:sectPr>
          <w:type w:val="continuous"/>
          <w:pgSz w:w="7200" w:h="11340"/>
          <w:pgMar w:top="1100" w:bottom="0" w:left="660" w:right="560"/>
          <w:cols w:num="2" w:equalWidth="0">
            <w:col w:w="4263" w:space="950"/>
            <w:col w:w="767"/>
          </w:cols>
        </w:sectPr>
      </w:pPr>
    </w:p>
    <w:p>
      <w:pPr>
        <w:pStyle w:val="BodyText"/>
        <w:spacing w:line="249" w:lineRule="exact"/>
        <w:ind w:left="319"/>
      </w:pPr>
      <w:r>
        <w:rPr>
          <w:w w:val="105"/>
        </w:rPr>
        <w:t>The difference  between  </w:t>
      </w:r>
      <w:r>
        <w:rPr>
          <w:rFonts w:ascii="Arial"/>
          <w:i/>
          <w:w w:val="105"/>
          <w:sz w:val="24"/>
        </w:rPr>
        <w:t>,V (A.) </w:t>
      </w:r>
      <w:r>
        <w:rPr>
          <w:w w:val="105"/>
        </w:rPr>
        <w:t>and  </w:t>
      </w:r>
      <w:r>
        <w:rPr>
          <w:rFonts w:ascii="Arial"/>
          <w:i/>
          <w:w w:val="105"/>
          <w:sz w:val="21"/>
        </w:rPr>
        <w:t>,V. </w:t>
      </w:r>
      <w:r>
        <w:rPr>
          <w:w w:val="105"/>
        </w:rPr>
        <w:t>can  be  estimated. We</w:t>
      </w:r>
    </w:p>
    <w:p>
      <w:pPr>
        <w:pStyle w:val="BodyText"/>
        <w:spacing w:before="11"/>
        <w:ind w:left="121" w:right="739"/>
      </w:pPr>
      <w:r>
        <w:rPr>
          <w:w w:val="105"/>
        </w:rPr>
        <w:t>write</w:t>
      </w:r>
    </w:p>
    <w:p>
      <w:pPr>
        <w:spacing w:before="172"/>
        <w:ind w:left="1615" w:right="739" w:firstLine="0"/>
        <w:jc w:val="left"/>
        <w:rPr>
          <w:sz w:val="19"/>
        </w:rPr>
      </w:pPr>
      <w:r>
        <w:rPr>
          <w:position w:val="-15"/>
        </w:rPr>
        <w:drawing>
          <wp:inline distT="0" distB="0" distL="0" distR="0">
            <wp:extent cx="914399" cy="265175"/>
            <wp:effectExtent l="0" t="0" r="0" b="0"/>
            <wp:docPr id="261" name="image135.png" descr=""/>
            <wp:cNvGraphicFramePr>
              <a:graphicFrameLocks noChangeAspect="1"/>
            </wp:cNvGraphicFramePr>
            <a:graphic>
              <a:graphicData uri="http://schemas.openxmlformats.org/drawingml/2006/picture">
                <pic:pic>
                  <pic:nvPicPr>
                    <pic:cNvPr id="262" name="image135.png"/>
                    <pic:cNvPicPr/>
                  </pic:nvPicPr>
                  <pic:blipFill>
                    <a:blip r:embed="rId139" cstate="print"/>
                    <a:stretch>
                      <a:fillRect/>
                    </a:stretch>
                  </pic:blipFill>
                  <pic:spPr>
                    <a:xfrm>
                      <a:off x="0" y="0"/>
                      <a:ext cx="914399" cy="265175"/>
                    </a:xfrm>
                    <a:prstGeom prst="rect">
                      <a:avLst/>
                    </a:prstGeom>
                  </pic:spPr>
                </pic:pic>
              </a:graphicData>
            </a:graphic>
          </wp:inline>
        </w:drawing>
      </w:r>
      <w:r>
        <w:rPr>
          <w:position w:val="-15"/>
        </w:rPr>
      </w:r>
      <w:r>
        <w:rPr>
          <w:sz w:val="20"/>
        </w:rPr>
        <w:t>       </w:t>
      </w:r>
      <w:r>
        <w:rPr>
          <w:rFonts w:ascii="Arial"/>
          <w:w w:val="120"/>
          <w:sz w:val="19"/>
        </w:rPr>
        <w:t>from</w:t>
      </w:r>
      <w:r>
        <w:rPr>
          <w:rFonts w:ascii="Arial"/>
          <w:spacing w:val="12"/>
          <w:w w:val="120"/>
          <w:sz w:val="19"/>
        </w:rPr>
        <w:t> </w:t>
      </w:r>
      <w:r>
        <w:rPr>
          <w:spacing w:val="-10"/>
          <w:w w:val="120"/>
          <w:sz w:val="19"/>
        </w:rPr>
        <w:t>(5.7)</w:t>
      </w:r>
    </w:p>
    <w:p>
      <w:pPr>
        <w:spacing w:before="91"/>
        <w:ind w:left="117" w:right="739" w:firstLine="0"/>
        <w:jc w:val="left"/>
        <w:rPr>
          <w:rFonts w:ascii="Arial"/>
          <w:sz w:val="24"/>
        </w:rPr>
      </w:pPr>
      <w:r>
        <w:rPr>
          <w:w w:val="110"/>
          <w:sz w:val="20"/>
        </w:rPr>
        <w:t>and there is </w:t>
      </w:r>
      <w:r>
        <w:rPr>
          <w:rFonts w:ascii="Arial"/>
          <w:w w:val="110"/>
          <w:sz w:val="18"/>
        </w:rPr>
        <w:t>a </w:t>
      </w:r>
      <w:r>
        <w:rPr>
          <w:w w:val="110"/>
          <w:sz w:val="20"/>
        </w:rPr>
        <w:t>similar expression for </w:t>
      </w:r>
      <w:r>
        <w:rPr>
          <w:spacing w:val="-5"/>
          <w:w w:val="110"/>
          <w:sz w:val="20"/>
        </w:rPr>
        <w:t>,</w:t>
      </w:r>
      <w:r>
        <w:rPr>
          <w:rFonts w:ascii="Arial"/>
          <w:i/>
          <w:spacing w:val="-5"/>
          <w:w w:val="110"/>
          <w:sz w:val="24"/>
        </w:rPr>
        <w:t>V</w:t>
      </w:r>
      <w:r>
        <w:rPr>
          <w:rFonts w:ascii="Arial"/>
          <w:i/>
          <w:spacing w:val="-55"/>
          <w:w w:val="110"/>
          <w:sz w:val="24"/>
        </w:rPr>
        <w:t> </w:t>
      </w:r>
      <w:r>
        <w:rPr>
          <w:rFonts w:ascii="Arial"/>
          <w:i/>
          <w:spacing w:val="-5"/>
          <w:w w:val="110"/>
          <w:sz w:val="24"/>
        </w:rPr>
        <w:t>(A.) </w:t>
      </w:r>
      <w:r>
        <w:rPr>
          <w:rFonts w:ascii="Arial"/>
          <w:w w:val="110"/>
          <w:sz w:val="24"/>
        </w:rPr>
        <w:t>:</w:t>
      </w:r>
    </w:p>
    <w:p>
      <w:pPr>
        <w:spacing w:after="0"/>
        <w:jc w:val="left"/>
        <w:rPr>
          <w:rFonts w:ascii="Arial"/>
          <w:sz w:val="24"/>
        </w:rPr>
        <w:sectPr>
          <w:type w:val="continuous"/>
          <w:pgSz w:w="7200" w:h="11340"/>
          <w:pgMar w:top="1100" w:bottom="0" w:left="660" w:right="560"/>
        </w:sectPr>
      </w:pPr>
    </w:p>
    <w:p>
      <w:pPr>
        <w:spacing w:line="492" w:lineRule="exact" w:before="0"/>
        <w:ind w:left="0" w:right="0" w:firstLine="0"/>
        <w:jc w:val="right"/>
        <w:rPr>
          <w:sz w:val="46"/>
        </w:rPr>
      </w:pPr>
      <w:r>
        <w:rPr>
          <w:i/>
          <w:spacing w:val="-6"/>
          <w:w w:val="135"/>
          <w:position w:val="-5"/>
          <w:sz w:val="22"/>
        </w:rPr>
        <w:t>,</w:t>
      </w:r>
      <w:r>
        <w:rPr>
          <w:i/>
          <w:spacing w:val="-102"/>
          <w:w w:val="104"/>
          <w:position w:val="-5"/>
          <w:sz w:val="22"/>
        </w:rPr>
        <w:t>V</w:t>
      </w:r>
      <w:r>
        <w:rPr>
          <w:spacing w:val="26"/>
          <w:w w:val="59"/>
          <w:sz w:val="46"/>
        </w:rPr>
        <w:t>-</w:t>
      </w:r>
      <w:r>
        <w:rPr>
          <w:spacing w:val="16"/>
          <w:w w:val="40"/>
          <w:sz w:val="46"/>
        </w:rPr>
        <w:t>(</w:t>
      </w:r>
      <w:r>
        <w:rPr>
          <w:i/>
          <w:spacing w:val="-105"/>
          <w:w w:val="125"/>
          <w:position w:val="-5"/>
          <w:sz w:val="22"/>
        </w:rPr>
        <w:t>A</w:t>
      </w:r>
      <w:r>
        <w:rPr>
          <w:spacing w:val="12"/>
          <w:w w:val="59"/>
          <w:sz w:val="46"/>
        </w:rPr>
        <w:t>-</w:t>
      </w:r>
      <w:r>
        <w:rPr>
          <w:i/>
          <w:spacing w:val="2"/>
          <w:w w:val="126"/>
          <w:position w:val="-5"/>
          <w:sz w:val="22"/>
        </w:rPr>
        <w:t>.</w:t>
      </w:r>
      <w:r>
        <w:rPr>
          <w:w w:val="40"/>
          <w:sz w:val="46"/>
        </w:rPr>
        <w:t>)</w:t>
      </w:r>
    </w:p>
    <w:p>
      <w:pPr>
        <w:spacing w:line="454" w:lineRule="exact" w:before="0"/>
        <w:ind w:left="28" w:right="1990" w:firstLine="0"/>
        <w:jc w:val="center"/>
        <w:rPr>
          <w:sz w:val="26"/>
        </w:rPr>
      </w:pPr>
      <w:r>
        <w:rPr/>
        <w:br w:type="column"/>
      </w:r>
      <w:r>
        <w:rPr>
          <w:position w:val="-5"/>
          <w:sz w:val="26"/>
        </w:rPr>
        <w:t>= </w:t>
      </w:r>
      <w:r>
        <w:rPr>
          <w:i/>
          <w:sz w:val="46"/>
        </w:rPr>
        <w:t>ª·</w:t>
      </w:r>
      <w:r>
        <w:rPr>
          <w:i/>
          <w:spacing w:val="-99"/>
          <w:sz w:val="46"/>
        </w:rPr>
        <w:t> </w:t>
      </w:r>
      <w:r>
        <w:rPr>
          <w:sz w:val="46"/>
        </w:rPr>
        <w:t>-</w:t>
      </w:r>
      <w:r>
        <w:rPr>
          <w:spacing w:val="-95"/>
          <w:sz w:val="46"/>
        </w:rPr>
        <w:t> </w:t>
      </w:r>
      <w:r>
        <w:rPr>
          <w:w w:val="90"/>
          <w:sz w:val="23"/>
        </w:rPr>
        <w:t>da..+, </w:t>
      </w:r>
      <w:r>
        <w:rPr>
          <w:position w:val="-5"/>
          <w:sz w:val="26"/>
        </w:rPr>
        <w:t>.</w:t>
      </w:r>
    </w:p>
    <w:p>
      <w:pPr>
        <w:spacing w:line="160" w:lineRule="exact" w:before="0"/>
        <w:ind w:left="28" w:right="1877" w:firstLine="0"/>
        <w:jc w:val="center"/>
        <w:rPr>
          <w:b/>
          <w:sz w:val="18"/>
        </w:rPr>
      </w:pPr>
      <w:r>
        <w:rPr>
          <w:b/>
          <w:w w:val="110"/>
          <w:sz w:val="18"/>
        </w:rPr>
        <w:t>ás</w:t>
      </w:r>
    </w:p>
    <w:p>
      <w:pPr>
        <w:spacing w:after="0" w:line="160" w:lineRule="exact"/>
        <w:jc w:val="center"/>
        <w:rPr>
          <w:sz w:val="18"/>
        </w:rPr>
        <w:sectPr>
          <w:type w:val="continuous"/>
          <w:pgSz w:w="7200" w:h="11340"/>
          <w:pgMar w:top="1100" w:bottom="0" w:left="660" w:right="560"/>
          <w:cols w:num="2" w:equalWidth="0">
            <w:col w:w="2654" w:space="40"/>
            <w:col w:w="3286"/>
          </w:cols>
        </w:sectPr>
      </w:pPr>
    </w:p>
    <w:p>
      <w:pPr>
        <w:tabs>
          <w:tab w:pos="877" w:val="left" w:leader="none"/>
        </w:tabs>
        <w:spacing w:before="28"/>
        <w:ind w:left="128" w:right="739" w:firstLine="0"/>
        <w:jc w:val="left"/>
        <w:rPr>
          <w:sz w:val="20"/>
        </w:rPr>
      </w:pPr>
      <w:r>
        <w:rPr>
          <w:w w:val="110"/>
          <w:sz w:val="20"/>
        </w:rPr>
        <w:t>Since</w:t>
        <w:tab/>
      </w:r>
      <w:r>
        <w:rPr>
          <w:w w:val="245"/>
          <w:sz w:val="20"/>
        </w:rPr>
        <w:t>-</w:t>
      </w:r>
      <w:r>
        <w:rPr>
          <w:spacing w:val="-91"/>
          <w:w w:val="245"/>
          <w:sz w:val="20"/>
        </w:rPr>
        <w:t> </w:t>
      </w:r>
      <w:r>
        <w:rPr>
          <w:i/>
          <w:w w:val="110"/>
          <w:sz w:val="17"/>
        </w:rPr>
        <w:t>az+i</w:t>
      </w:r>
      <w:r>
        <w:rPr>
          <w:i/>
          <w:spacing w:val="30"/>
          <w:w w:val="110"/>
          <w:sz w:val="17"/>
        </w:rPr>
        <w:t> </w:t>
      </w:r>
      <w:r>
        <w:rPr>
          <w:w w:val="90"/>
          <w:sz w:val="29"/>
        </w:rPr>
        <w:t>=:</w:t>
      </w:r>
      <w:r>
        <w:rPr>
          <w:spacing w:val="-6"/>
          <w:w w:val="90"/>
          <w:sz w:val="29"/>
        </w:rPr>
        <w:t> </w:t>
      </w:r>
      <w:r>
        <w:rPr>
          <w:i/>
          <w:w w:val="110"/>
          <w:sz w:val="17"/>
        </w:rPr>
        <w:t>áz</w:t>
      </w:r>
      <w:r>
        <w:rPr>
          <w:i/>
          <w:spacing w:val="16"/>
          <w:w w:val="110"/>
          <w:sz w:val="17"/>
        </w:rPr>
        <w:t> </w:t>
      </w:r>
      <w:r>
        <w:rPr>
          <w:w w:val="295"/>
          <w:sz w:val="17"/>
        </w:rPr>
        <w:t>-</w:t>
      </w:r>
      <w:r>
        <w:rPr>
          <w:spacing w:val="-94"/>
          <w:w w:val="295"/>
          <w:sz w:val="17"/>
        </w:rPr>
        <w:t> </w:t>
      </w:r>
      <w:r>
        <w:rPr>
          <w:i/>
          <w:w w:val="110"/>
          <w:sz w:val="17"/>
        </w:rPr>
        <w:t>az+i</w:t>
      </w:r>
      <w:r>
        <w:rPr>
          <w:i/>
          <w:spacing w:val="4"/>
          <w:w w:val="110"/>
          <w:sz w:val="17"/>
        </w:rPr>
        <w:t> </w:t>
      </w:r>
      <w:r>
        <w:rPr>
          <w:w w:val="110"/>
          <w:sz w:val="20"/>
        </w:rPr>
        <w:t>from</w:t>
      </w:r>
      <w:r>
        <w:rPr>
          <w:spacing w:val="18"/>
          <w:w w:val="110"/>
          <w:sz w:val="20"/>
        </w:rPr>
        <w:t> </w:t>
      </w:r>
      <w:r>
        <w:rPr>
          <w:spacing w:val="-3"/>
          <w:w w:val="110"/>
          <w:sz w:val="20"/>
        </w:rPr>
        <w:t>(2.27</w:t>
      </w:r>
      <w:r>
        <w:rPr>
          <w:spacing w:val="-33"/>
          <w:w w:val="110"/>
          <w:sz w:val="20"/>
        </w:rPr>
        <w:t> </w:t>
      </w:r>
      <w:r>
        <w:rPr>
          <w:w w:val="110"/>
          <w:sz w:val="20"/>
        </w:rPr>
        <w:t>),</w:t>
      </w:r>
      <w:r>
        <w:rPr>
          <w:spacing w:val="-8"/>
          <w:w w:val="110"/>
          <w:sz w:val="20"/>
        </w:rPr>
        <w:t> </w:t>
      </w:r>
      <w:r>
        <w:rPr>
          <w:w w:val="110"/>
          <w:sz w:val="20"/>
        </w:rPr>
        <w:t>it</w:t>
      </w:r>
      <w:r>
        <w:rPr>
          <w:spacing w:val="-5"/>
          <w:w w:val="110"/>
          <w:sz w:val="20"/>
        </w:rPr>
        <w:t> </w:t>
      </w:r>
      <w:r>
        <w:rPr>
          <w:w w:val="110"/>
          <w:sz w:val="20"/>
        </w:rPr>
        <w:t>follows</w:t>
      </w:r>
      <w:r>
        <w:rPr>
          <w:spacing w:val="-5"/>
          <w:w w:val="110"/>
          <w:sz w:val="20"/>
        </w:rPr>
        <w:t> </w:t>
      </w:r>
      <w:r>
        <w:rPr>
          <w:w w:val="110"/>
          <w:sz w:val="20"/>
        </w:rPr>
        <w:t>that</w:t>
      </w:r>
    </w:p>
    <w:p>
      <w:pPr>
        <w:spacing w:before="185"/>
        <w:ind w:left="74" w:right="45" w:firstLine="0"/>
        <w:jc w:val="center"/>
        <w:rPr>
          <w:sz w:val="22"/>
        </w:rPr>
      </w:pPr>
      <w:r>
        <w:rPr>
          <w:rFonts w:ascii="Arial" w:hAnsi="Arial"/>
          <w:i/>
          <w:w w:val="105"/>
          <w:sz w:val="24"/>
        </w:rPr>
        <w:t>'V( </w:t>
      </w:r>
      <w:r>
        <w:rPr>
          <w:rFonts w:ascii="Arial" w:hAnsi="Arial"/>
          <w:i/>
          <w:w w:val="90"/>
          <w:sz w:val="24"/>
        </w:rPr>
        <w:t>Az ) </w:t>
      </w:r>
      <w:r>
        <w:rPr>
          <w:w w:val="90"/>
          <w:sz w:val="29"/>
        </w:rPr>
        <w:t>=: </w:t>
      </w:r>
      <w:r>
        <w:rPr>
          <w:i/>
          <w:w w:val="105"/>
          <w:sz w:val="22"/>
        </w:rPr>
        <w:t>'Ys· </w:t>
      </w:r>
      <w:r>
        <w:rPr>
          <w:w w:val="195"/>
          <w:sz w:val="22"/>
        </w:rPr>
        <w:t>:.</w:t>
      </w:r>
    </w:p>
    <w:p>
      <w:pPr>
        <w:pStyle w:val="BodyText"/>
        <w:spacing w:before="7"/>
        <w:rPr>
          <w:sz w:val="10"/>
        </w:rPr>
      </w:pPr>
    </w:p>
    <w:p>
      <w:pPr>
        <w:spacing w:after="0"/>
        <w:rPr>
          <w:sz w:val="10"/>
        </w:rPr>
        <w:sectPr>
          <w:type w:val="continuous"/>
          <w:pgSz w:w="7200" w:h="11340"/>
          <w:pgMar w:top="1100" w:bottom="0" w:left="660" w:right="560"/>
        </w:sectPr>
      </w:pPr>
    </w:p>
    <w:p>
      <w:pPr>
        <w:pStyle w:val="BodyText"/>
        <w:spacing w:before="75"/>
        <w:ind w:left="117" w:right="-7"/>
      </w:pPr>
      <w:r>
        <w:rPr>
          <w:w w:val="105"/>
        </w:rPr>
        <w:t>Since</w:t>
      </w:r>
    </w:p>
    <w:p>
      <w:pPr>
        <w:pStyle w:val="BodyText"/>
      </w:pPr>
    </w:p>
    <w:p>
      <w:pPr>
        <w:pStyle w:val="BodyText"/>
      </w:pPr>
    </w:p>
    <w:p>
      <w:pPr>
        <w:pStyle w:val="BodyText"/>
        <w:spacing w:before="10"/>
        <w:rPr>
          <w:sz w:val="23"/>
        </w:rPr>
      </w:pPr>
    </w:p>
    <w:p>
      <w:pPr>
        <w:spacing w:before="0"/>
        <w:ind w:left="117" w:right="-7" w:firstLine="0"/>
        <w:jc w:val="left"/>
        <w:rPr>
          <w:sz w:val="20"/>
        </w:rPr>
      </w:pPr>
      <w:r>
        <w:rPr/>
        <w:drawing>
          <wp:anchor distT="0" distB="0" distL="0" distR="0" allowOverlap="1" layoutInCell="1" locked="0" behindDoc="0" simplePos="0" relativeHeight="10552">
            <wp:simplePos x="0" y="0"/>
            <wp:positionH relativeFrom="page">
              <wp:posOffset>1463039</wp:posOffset>
            </wp:positionH>
            <wp:positionV relativeFrom="paragraph">
              <wp:posOffset>228294</wp:posOffset>
            </wp:positionV>
            <wp:extent cx="1700784" cy="146303"/>
            <wp:effectExtent l="0" t="0" r="0" b="0"/>
            <wp:wrapNone/>
            <wp:docPr id="263" name="image136.png" descr=""/>
            <wp:cNvGraphicFramePr>
              <a:graphicFrameLocks noChangeAspect="1"/>
            </wp:cNvGraphicFramePr>
            <a:graphic>
              <a:graphicData uri="http://schemas.openxmlformats.org/drawingml/2006/picture">
                <pic:pic>
                  <pic:nvPicPr>
                    <pic:cNvPr id="264" name="image136.png"/>
                    <pic:cNvPicPr/>
                  </pic:nvPicPr>
                  <pic:blipFill>
                    <a:blip r:embed="rId140" cstate="print"/>
                    <a:stretch>
                      <a:fillRect/>
                    </a:stretch>
                  </pic:blipFill>
                  <pic:spPr>
                    <a:xfrm>
                      <a:off x="0" y="0"/>
                      <a:ext cx="1700784" cy="146303"/>
                    </a:xfrm>
                    <a:prstGeom prst="rect">
                      <a:avLst/>
                    </a:prstGeom>
                  </pic:spPr>
                </pic:pic>
              </a:graphicData>
            </a:graphic>
          </wp:anchor>
        </w:drawing>
      </w:r>
      <w:r>
        <w:rPr>
          <w:rFonts w:ascii="Arial"/>
          <w:w w:val="105"/>
          <w:sz w:val="18"/>
        </w:rPr>
        <w:t>we </w:t>
      </w:r>
      <w:r>
        <w:rPr>
          <w:w w:val="105"/>
          <w:sz w:val="20"/>
        </w:rPr>
        <w:t>have</w:t>
      </w:r>
    </w:p>
    <w:p>
      <w:pPr>
        <w:pStyle w:val="BodyText"/>
        <w:spacing w:before="8"/>
        <w:rPr>
          <w:sz w:val="33"/>
        </w:rPr>
      </w:pPr>
      <w:r>
        <w:rPr/>
        <w:br w:type="column"/>
      </w:r>
      <w:r>
        <w:rPr>
          <w:sz w:val="33"/>
        </w:rPr>
      </w:r>
    </w:p>
    <w:p>
      <w:pPr>
        <w:spacing w:line="363" w:lineRule="exact" w:before="0"/>
        <w:ind w:left="105" w:right="0" w:firstLine="0"/>
        <w:jc w:val="left"/>
        <w:rPr>
          <w:rFonts w:ascii="Arial" w:hAnsi="Arial"/>
          <w:sz w:val="18"/>
        </w:rPr>
      </w:pPr>
      <w:r>
        <w:rPr>
          <w:rFonts w:ascii="Arial" w:hAnsi="Arial"/>
          <w:spacing w:val="-344"/>
          <w:w w:val="335"/>
          <w:position w:val="-4"/>
          <w:sz w:val="18"/>
        </w:rPr>
        <w:t>-</w:t>
      </w:r>
      <w:r>
        <w:rPr>
          <w:rFonts w:ascii="Arial" w:hAnsi="Arial"/>
          <w:i/>
          <w:w w:val="84"/>
          <w:sz w:val="33"/>
        </w:rPr>
        <w:t>ª•</w:t>
      </w:r>
      <w:r>
        <w:rPr>
          <w:rFonts w:ascii="Arial" w:hAnsi="Arial"/>
          <w:i/>
          <w:spacing w:val="-39"/>
          <w:sz w:val="33"/>
        </w:rPr>
        <w:t> </w:t>
      </w:r>
      <w:r>
        <w:rPr>
          <w:rFonts w:ascii="Arial" w:hAnsi="Arial"/>
          <w:i/>
          <w:spacing w:val="-69"/>
          <w:w w:val="78"/>
          <w:sz w:val="33"/>
        </w:rPr>
        <w:t>.</w:t>
      </w:r>
      <w:r>
        <w:rPr>
          <w:rFonts w:ascii="Arial" w:hAnsi="Arial"/>
          <w:w w:val="103"/>
          <w:position w:val="-4"/>
          <w:sz w:val="18"/>
        </w:rPr>
        <w:t>=:</w:t>
      </w:r>
      <w:r>
        <w:rPr>
          <w:rFonts w:ascii="Arial" w:hAnsi="Arial"/>
          <w:spacing w:val="15"/>
          <w:position w:val="-4"/>
          <w:sz w:val="18"/>
        </w:rPr>
        <w:t> </w:t>
      </w:r>
      <w:r>
        <w:rPr>
          <w:rFonts w:ascii="Arial" w:hAnsi="Arial"/>
          <w:i/>
          <w:w w:val="86"/>
          <w:sz w:val="33"/>
        </w:rPr>
        <w:t>ª•</w:t>
      </w:r>
      <w:r>
        <w:rPr>
          <w:rFonts w:ascii="Arial" w:hAnsi="Arial"/>
          <w:i/>
          <w:spacing w:val="-50"/>
          <w:sz w:val="33"/>
        </w:rPr>
        <w:t> </w:t>
      </w:r>
      <w:r>
        <w:rPr>
          <w:rFonts w:ascii="Arial" w:hAnsi="Arial"/>
          <w:w w:val="106"/>
          <w:sz w:val="32"/>
        </w:rPr>
        <w:t>+</w:t>
      </w:r>
      <w:r>
        <w:rPr>
          <w:rFonts w:ascii="Arial" w:hAnsi="Arial"/>
          <w:spacing w:val="-33"/>
          <w:sz w:val="32"/>
        </w:rPr>
        <w:t> </w:t>
      </w:r>
      <w:r>
        <w:rPr>
          <w:w w:val="104"/>
          <w:sz w:val="30"/>
        </w:rPr>
        <w:t>t</w:t>
      </w:r>
      <w:r>
        <w:rPr>
          <w:spacing w:val="32"/>
          <w:sz w:val="30"/>
        </w:rPr>
        <w:t> </w:t>
      </w:r>
      <w:r>
        <w:rPr>
          <w:rFonts w:ascii="Arial" w:hAnsi="Arial"/>
          <w:w w:val="150"/>
          <w:position w:val="-4"/>
          <w:sz w:val="18"/>
        </w:rPr>
        <w:t>=</w:t>
      </w:r>
    </w:p>
    <w:p>
      <w:pPr>
        <w:tabs>
          <w:tab w:pos="942" w:val="left" w:leader="none"/>
        </w:tabs>
        <w:spacing w:line="172" w:lineRule="exact" w:before="0"/>
        <w:ind w:left="243" w:right="0" w:firstLine="0"/>
        <w:jc w:val="left"/>
        <w:rPr>
          <w:i/>
          <w:sz w:val="18"/>
        </w:rPr>
      </w:pPr>
      <w:r>
        <w:rPr/>
        <w:drawing>
          <wp:anchor distT="0" distB="0" distL="0" distR="0" allowOverlap="1" layoutInCell="1" locked="0" behindDoc="0" simplePos="0" relativeHeight="10528">
            <wp:simplePos x="0" y="0"/>
            <wp:positionH relativeFrom="page">
              <wp:posOffset>2020823</wp:posOffset>
            </wp:positionH>
            <wp:positionV relativeFrom="paragraph">
              <wp:posOffset>-173512</wp:posOffset>
            </wp:positionV>
            <wp:extent cx="1490472" cy="265175"/>
            <wp:effectExtent l="0" t="0" r="0" b="0"/>
            <wp:wrapNone/>
            <wp:docPr id="265" name="image137.png" descr=""/>
            <wp:cNvGraphicFramePr>
              <a:graphicFrameLocks noChangeAspect="1"/>
            </wp:cNvGraphicFramePr>
            <a:graphic>
              <a:graphicData uri="http://schemas.openxmlformats.org/drawingml/2006/picture">
                <pic:pic>
                  <pic:nvPicPr>
                    <pic:cNvPr id="266" name="image137.png"/>
                    <pic:cNvPicPr/>
                  </pic:nvPicPr>
                  <pic:blipFill>
                    <a:blip r:embed="rId141" cstate="print"/>
                    <a:stretch>
                      <a:fillRect/>
                    </a:stretch>
                  </pic:blipFill>
                  <pic:spPr>
                    <a:xfrm>
                      <a:off x="0" y="0"/>
                      <a:ext cx="1490472" cy="265175"/>
                    </a:xfrm>
                    <a:prstGeom prst="rect">
                      <a:avLst/>
                    </a:prstGeom>
                  </pic:spPr>
                </pic:pic>
              </a:graphicData>
            </a:graphic>
          </wp:anchor>
        </w:drawing>
      </w:r>
      <w:r>
        <w:rPr>
          <w:sz w:val="18"/>
        </w:rPr>
        <w:t>Oz</w:t>
        <w:tab/>
      </w:r>
      <w:r>
        <w:rPr>
          <w:i/>
          <w:sz w:val="18"/>
        </w:rPr>
        <w:t>tlz</w:t>
      </w:r>
    </w:p>
    <w:p>
      <w:pPr>
        <w:pStyle w:val="BodyText"/>
        <w:rPr>
          <w:i/>
          <w:sz w:val="18"/>
        </w:rPr>
      </w:pPr>
      <w:r>
        <w:rPr/>
        <w:br w:type="column"/>
      </w:r>
      <w:r>
        <w:rPr>
          <w:i/>
          <w:sz w:val="18"/>
        </w:rPr>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
        <w:rPr>
          <w:i/>
          <w:sz w:val="14"/>
        </w:rPr>
      </w:pPr>
    </w:p>
    <w:p>
      <w:pPr>
        <w:spacing w:before="0"/>
        <w:ind w:left="117" w:right="0" w:firstLine="0"/>
        <w:jc w:val="left"/>
        <w:rPr>
          <w:rFonts w:ascii="Arial"/>
          <w:sz w:val="19"/>
        </w:rPr>
      </w:pPr>
      <w:r>
        <w:rPr>
          <w:rFonts w:ascii="Arial"/>
          <w:w w:val="105"/>
          <w:sz w:val="19"/>
        </w:rPr>
        <w:t>(5.30)</w:t>
      </w:r>
    </w:p>
    <w:p>
      <w:pPr>
        <w:spacing w:after="0"/>
        <w:jc w:val="left"/>
        <w:rPr>
          <w:rFonts w:ascii="Arial"/>
          <w:sz w:val="19"/>
        </w:rPr>
        <w:sectPr>
          <w:type w:val="continuous"/>
          <w:pgSz w:w="7200" w:h="11340"/>
          <w:pgMar w:top="1100" w:bottom="0" w:left="660" w:right="560"/>
          <w:cols w:num="3" w:equalWidth="0">
            <w:col w:w="821" w:space="40"/>
            <w:col w:w="4010" w:space="353"/>
            <w:col w:w="756"/>
          </w:cols>
        </w:sectPr>
      </w:pPr>
    </w:p>
    <w:p>
      <w:pPr>
        <w:pStyle w:val="BodyText"/>
        <w:spacing w:line="184" w:lineRule="auto" w:before="158"/>
        <w:ind w:left="117" w:right="109" w:firstLine="3"/>
        <w:rPr>
          <w:i/>
          <w:sz w:val="27"/>
        </w:rPr>
      </w:pPr>
      <w:r>
        <w:rPr>
          <w:w w:val="105"/>
          <w:sz w:val="22"/>
        </w:rPr>
        <w:t>In </w:t>
      </w:r>
      <w:r>
        <w:rPr>
          <w:w w:val="105"/>
        </w:rPr>
        <w:t>this result, the adjustment of </w:t>
      </w:r>
      <w:r>
        <w:rPr>
          <w:w w:val="105"/>
          <w:sz w:val="19"/>
        </w:rPr>
        <w:t>}.P </w:t>
      </w:r>
      <w:r>
        <w:rPr>
          <w:w w:val="105"/>
        </w:rPr>
        <w:t>covers the average loss of a half-year's  premium   in  the  year  of  death,  and  the  factor  of </w:t>
      </w:r>
      <w:r>
        <w:rPr>
          <w:i/>
          <w:w w:val="105"/>
          <w:sz w:val="27"/>
        </w:rPr>
        <w:t>!o</w:t>
      </w:r>
    </w:p>
    <w:p>
      <w:pPr>
        <w:pStyle w:val="BodyText"/>
        <w:spacing w:line="252" w:lineRule="auto" w:before="9"/>
        <w:ind w:left="124" w:right="133" w:hanging="8"/>
      </w:pPr>
      <w:r>
        <w:rPr>
          <w:w w:val="105"/>
        </w:rPr>
        <w:t>covers the average loss of interest on the sum insured due to the immediate  payment  of  the death benefit.</w:t>
      </w:r>
    </w:p>
    <w:p>
      <w:pPr>
        <w:pStyle w:val="ListParagraph"/>
        <w:numPr>
          <w:ilvl w:val="0"/>
          <w:numId w:val="45"/>
        </w:numPr>
        <w:tabs>
          <w:tab w:pos="374" w:val="left" w:leader="none"/>
        </w:tabs>
        <w:spacing w:line="240" w:lineRule="auto" w:before="171" w:after="0"/>
        <w:ind w:left="373" w:right="0" w:hanging="259"/>
        <w:jc w:val="left"/>
        <w:rPr>
          <w:b/>
          <w:sz w:val="19"/>
        </w:rPr>
      </w:pPr>
      <w:r>
        <w:rPr>
          <w:b/>
          <w:w w:val="120"/>
          <w:sz w:val="19"/>
        </w:rPr>
        <w:t>The Fackler reserve accumulation</w:t>
      </w:r>
      <w:r>
        <w:rPr>
          <w:b/>
          <w:spacing w:val="-35"/>
          <w:w w:val="120"/>
          <w:sz w:val="19"/>
        </w:rPr>
        <w:t> </w:t>
      </w:r>
      <w:r>
        <w:rPr>
          <w:b/>
          <w:w w:val="120"/>
          <w:sz w:val="19"/>
        </w:rPr>
        <w:t>formula</w:t>
      </w:r>
    </w:p>
    <w:p>
      <w:pPr>
        <w:pStyle w:val="BodyText"/>
        <w:spacing w:before="88"/>
        <w:ind w:left="315" w:right="739"/>
      </w:pPr>
      <w:r>
        <w:rPr>
          <w:w w:val="105"/>
        </w:rPr>
        <w:t>Solving for </w:t>
      </w:r>
      <w:r>
        <w:rPr>
          <w:w w:val="105"/>
          <w:sz w:val="15"/>
        </w:rPr>
        <w:t>,+1</w:t>
      </w:r>
      <w:r>
        <w:rPr>
          <w:rFonts w:ascii="Arial"/>
          <w:i/>
          <w:w w:val="105"/>
        </w:rPr>
        <w:t>V </w:t>
      </w:r>
      <w:r>
        <w:rPr>
          <w:w w:val="105"/>
        </w:rPr>
        <w:t>in equation  (5.16), we  obtain</w:t>
      </w:r>
    </w:p>
    <w:p>
      <w:pPr>
        <w:spacing w:before="59"/>
        <w:ind w:left="74" w:right="47" w:firstLine="0"/>
        <w:jc w:val="center"/>
        <w:rPr>
          <w:i/>
          <w:sz w:val="21"/>
        </w:rPr>
      </w:pPr>
      <w:r>
        <w:rPr>
          <w:i/>
          <w:w w:val="105"/>
          <w:sz w:val="20"/>
        </w:rPr>
        <w:t>i+iV  </w:t>
      </w:r>
      <w:r>
        <w:rPr>
          <w:w w:val="105"/>
          <w:sz w:val="23"/>
        </w:rPr>
        <w:t>= </w:t>
      </w:r>
      <w:r>
        <w:rPr>
          <w:i/>
          <w:sz w:val="20"/>
          <w:u w:val="single"/>
        </w:rPr>
        <w:t>( </w:t>
      </w:r>
      <w:r>
        <w:rPr>
          <w:i/>
          <w:w w:val="105"/>
          <w:sz w:val="20"/>
          <w:u w:val="single"/>
        </w:rPr>
        <w:t>,V </w:t>
      </w:r>
      <w:r>
        <w:rPr>
          <w:i/>
          <w:w w:val="145"/>
          <w:sz w:val="20"/>
          <w:u w:val="single"/>
        </w:rPr>
        <w:t>+ </w:t>
      </w:r>
      <w:r>
        <w:rPr>
          <w:w w:val="145"/>
          <w:sz w:val="20"/>
          <w:u w:val="single"/>
        </w:rPr>
        <w:t>P)(l </w:t>
      </w:r>
      <w:r>
        <w:rPr>
          <w:rFonts w:ascii="Arial"/>
          <w:w w:val="105"/>
          <w:sz w:val="32"/>
          <w:u w:val="single"/>
        </w:rPr>
        <w:t>+ </w:t>
      </w:r>
      <w:r>
        <w:rPr>
          <w:w w:val="145"/>
          <w:sz w:val="20"/>
          <w:u w:val="single"/>
        </w:rPr>
        <w:t>i) </w:t>
      </w:r>
      <w:r>
        <w:rPr>
          <w:w w:val="270"/>
          <w:sz w:val="20"/>
          <w:u w:val="single"/>
        </w:rPr>
        <w:t>- </w:t>
      </w:r>
      <w:r>
        <w:rPr>
          <w:i/>
          <w:w w:val="175"/>
          <w:sz w:val="21"/>
          <w:u w:val="single"/>
        </w:rPr>
        <w:t>q</w:t>
      </w:r>
      <w:r>
        <w:rPr>
          <w:i/>
          <w:w w:val="175"/>
          <w:sz w:val="21"/>
        </w:rPr>
        <w:t>, </w:t>
      </w:r>
      <w:r>
        <w:rPr>
          <w:i/>
          <w:w w:val="145"/>
          <w:sz w:val="21"/>
        </w:rPr>
        <w:t>.</w:t>
      </w:r>
    </w:p>
    <w:p>
      <w:pPr>
        <w:spacing w:before="8"/>
        <w:ind w:left="1485" w:right="948" w:firstLine="0"/>
        <w:jc w:val="center"/>
        <w:rPr>
          <w:rFonts w:ascii="Arial"/>
          <w:b/>
          <w:i/>
          <w:sz w:val="18"/>
        </w:rPr>
      </w:pPr>
      <w:r>
        <w:rPr>
          <w:rFonts w:ascii="Arial"/>
          <w:b/>
          <w:i/>
          <w:w w:val="95"/>
          <w:sz w:val="18"/>
        </w:rPr>
        <w:t>Pz+I</w:t>
      </w:r>
    </w:p>
    <w:p>
      <w:pPr>
        <w:spacing w:after="0"/>
        <w:jc w:val="center"/>
        <w:rPr>
          <w:rFonts w:ascii="Arial"/>
          <w:sz w:val="18"/>
        </w:rPr>
        <w:sectPr>
          <w:type w:val="continuous"/>
          <w:pgSz w:w="7200" w:h="11340"/>
          <w:pgMar w:top="1100" w:bottom="0" w:left="660" w:right="560"/>
        </w:sectPr>
      </w:pPr>
    </w:p>
    <w:p>
      <w:pPr>
        <w:pStyle w:val="BodyText"/>
        <w:spacing w:before="84"/>
        <w:ind w:left="117" w:right="-18"/>
      </w:pPr>
      <w:r>
        <w:rPr>
          <w:w w:val="110"/>
        </w:rPr>
        <w:t>With  the</w:t>
      </w:r>
      <w:r>
        <w:rPr>
          <w:spacing w:val="-8"/>
          <w:w w:val="110"/>
        </w:rPr>
        <w:t> </w:t>
      </w:r>
      <w:r>
        <w:rPr>
          <w:w w:val="110"/>
        </w:rPr>
        <w:t>substitutions</w:t>
      </w:r>
    </w:p>
    <w:p>
      <w:pPr>
        <w:pStyle w:val="BodyText"/>
        <w:spacing w:before="4"/>
        <w:rPr>
          <w:sz w:val="30"/>
        </w:rPr>
      </w:pPr>
      <w:r>
        <w:rPr/>
        <w:br w:type="column"/>
      </w:r>
      <w:r>
        <w:rPr>
          <w:sz w:val="30"/>
        </w:rPr>
      </w:r>
    </w:p>
    <w:p>
      <w:pPr>
        <w:spacing w:line="206" w:lineRule="exact" w:before="0"/>
        <w:ind w:left="117" w:right="0" w:firstLine="0"/>
        <w:jc w:val="left"/>
        <w:rPr>
          <w:i/>
          <w:sz w:val="22"/>
        </w:rPr>
      </w:pPr>
      <w:r>
        <w:rPr>
          <w:w w:val="125"/>
          <w:sz w:val="20"/>
        </w:rPr>
        <w:t>1 </w:t>
      </w:r>
      <w:r>
        <w:rPr>
          <w:rFonts w:ascii="Arial"/>
          <w:w w:val="125"/>
          <w:sz w:val="32"/>
        </w:rPr>
        <w:t>+</w:t>
      </w:r>
      <w:r>
        <w:rPr>
          <w:rFonts w:ascii="Arial"/>
          <w:spacing w:val="-76"/>
          <w:w w:val="125"/>
          <w:sz w:val="32"/>
        </w:rPr>
        <w:t> </w:t>
      </w:r>
      <w:r>
        <w:rPr>
          <w:i/>
          <w:w w:val="125"/>
          <w:sz w:val="22"/>
        </w:rPr>
        <w:t>i</w:t>
      </w:r>
    </w:p>
    <w:p>
      <w:pPr>
        <w:spacing w:after="0" w:line="206" w:lineRule="exact"/>
        <w:jc w:val="left"/>
        <w:rPr>
          <w:sz w:val="22"/>
        </w:rPr>
        <w:sectPr>
          <w:type w:val="continuous"/>
          <w:pgSz w:w="7200" w:h="11340"/>
          <w:pgMar w:top="1100" w:bottom="0" w:left="660" w:right="560"/>
          <w:cols w:num="2" w:equalWidth="0">
            <w:col w:w="2098" w:space="156"/>
            <w:col w:w="3726"/>
          </w:cols>
        </w:sectPr>
      </w:pPr>
    </w:p>
    <w:p>
      <w:pPr>
        <w:pStyle w:val="BodyText"/>
        <w:rPr>
          <w:i/>
          <w:sz w:val="22"/>
        </w:rPr>
      </w:pPr>
    </w:p>
    <w:p>
      <w:pPr>
        <w:pStyle w:val="BodyText"/>
        <w:spacing w:before="10"/>
        <w:rPr>
          <w:i/>
          <w:sz w:val="26"/>
        </w:rPr>
      </w:pPr>
    </w:p>
    <w:p>
      <w:pPr>
        <w:spacing w:before="0"/>
        <w:ind w:left="114" w:right="-17" w:firstLine="0"/>
        <w:jc w:val="left"/>
        <w:rPr>
          <w:b/>
          <w:sz w:val="22"/>
        </w:rPr>
      </w:pPr>
      <w:r>
        <w:rPr>
          <w:b/>
          <w:w w:val="90"/>
          <w:sz w:val="22"/>
        </w:rPr>
        <w:t>and</w:t>
      </w:r>
    </w:p>
    <w:p>
      <w:pPr>
        <w:spacing w:before="52"/>
        <w:ind w:left="114" w:right="0" w:firstLine="0"/>
        <w:jc w:val="left"/>
        <w:rPr>
          <w:rFonts w:ascii="Arial"/>
          <w:b/>
          <w:i/>
          <w:sz w:val="18"/>
        </w:rPr>
      </w:pPr>
      <w:r>
        <w:rPr/>
        <w:br w:type="column"/>
      </w:r>
      <w:r>
        <w:rPr>
          <w:spacing w:val="-1583"/>
          <w:w w:val="504"/>
          <w:position w:val="9"/>
          <w:sz w:val="23"/>
        </w:rPr>
        <w:t>-</w:t>
      </w:r>
      <w:r>
        <w:rPr>
          <w:rFonts w:ascii="Arial"/>
          <w:b/>
          <w:i/>
          <w:w w:val="84"/>
          <w:sz w:val="18"/>
        </w:rPr>
        <w:t>Pz</w:t>
      </w:r>
      <w:r>
        <w:rPr>
          <w:rFonts w:ascii="Arial"/>
          <w:b/>
          <w:i/>
          <w:w w:val="84"/>
          <w:sz w:val="18"/>
        </w:rPr>
        <w:t>+</w:t>
      </w:r>
      <w:r>
        <w:rPr>
          <w:rFonts w:ascii="Arial"/>
          <w:b/>
          <w:i/>
          <w:w w:val="84"/>
          <w:sz w:val="18"/>
        </w:rPr>
        <w:t>I</w:t>
      </w:r>
    </w:p>
    <w:p>
      <w:pPr>
        <w:spacing w:line="337" w:lineRule="exact" w:before="0"/>
        <w:ind w:left="113" w:right="-15" w:firstLine="0"/>
        <w:jc w:val="left"/>
        <w:rPr>
          <w:rFonts w:ascii="Arial" w:hAnsi="Arial"/>
          <w:sz w:val="33"/>
        </w:rPr>
      </w:pPr>
      <w:r>
        <w:rPr/>
        <w:br w:type="column"/>
      </w:r>
      <w:r>
        <w:rPr>
          <w:w w:val="104"/>
          <w:sz w:val="23"/>
        </w:rPr>
        <w:t>=</w:t>
      </w:r>
      <w:r>
        <w:rPr>
          <w:sz w:val="23"/>
        </w:rPr>
        <w:t> </w:t>
      </w:r>
      <w:r>
        <w:rPr>
          <w:spacing w:val="-28"/>
          <w:sz w:val="23"/>
        </w:rPr>
        <w:t> </w:t>
      </w:r>
      <w:r>
        <w:rPr>
          <w:rFonts w:ascii="Arial" w:hAnsi="Arial"/>
          <w:spacing w:val="-30"/>
          <w:w w:val="126"/>
          <w:sz w:val="33"/>
        </w:rPr>
        <w:t>"</w:t>
      </w:r>
      <w:r>
        <w:rPr>
          <w:rFonts w:ascii="Arial" w:hAnsi="Arial"/>
          <w:w w:val="51"/>
          <w:sz w:val="33"/>
        </w:rPr>
        <w:t>»+'</w:t>
      </w:r>
    </w:p>
    <w:p>
      <w:pPr>
        <w:spacing w:after="0" w:line="337" w:lineRule="exact"/>
        <w:jc w:val="left"/>
        <w:rPr>
          <w:rFonts w:ascii="Arial" w:hAnsi="Arial"/>
          <w:sz w:val="33"/>
        </w:rPr>
        <w:sectPr>
          <w:type w:val="continuous"/>
          <w:pgSz w:w="7200" w:h="11340"/>
          <w:pgMar w:top="1100" w:bottom="0" w:left="660" w:right="560"/>
          <w:cols w:num="3" w:equalWidth="0">
            <w:col w:w="437" w:space="559"/>
            <w:col w:w="1743" w:space="87"/>
            <w:col w:w="3154"/>
          </w:cols>
        </w:sectPr>
      </w:pPr>
    </w:p>
    <w:p>
      <w:pPr>
        <w:pStyle w:val="BodyText"/>
        <w:spacing w:before="10"/>
        <w:rPr>
          <w:rFonts w:ascii="Arial"/>
          <w:sz w:val="13"/>
        </w:rPr>
      </w:pPr>
    </w:p>
    <w:p>
      <w:pPr>
        <w:pStyle w:val="BodyText"/>
        <w:spacing w:before="74"/>
        <w:ind w:left="114" w:right="739"/>
      </w:pPr>
      <w:r>
        <w:rPr/>
        <w:drawing>
          <wp:anchor distT="0" distB="0" distL="0" distR="0" allowOverlap="1" layoutInCell="1" locked="0" behindDoc="0" simplePos="0" relativeHeight="10576">
            <wp:simplePos x="0" y="0"/>
            <wp:positionH relativeFrom="page">
              <wp:posOffset>1993392</wp:posOffset>
            </wp:positionH>
            <wp:positionV relativeFrom="paragraph">
              <wp:posOffset>-261925</wp:posOffset>
            </wp:positionV>
            <wp:extent cx="694944" cy="256031"/>
            <wp:effectExtent l="0" t="0" r="0" b="0"/>
            <wp:wrapNone/>
            <wp:docPr id="267" name="image138.png" descr=""/>
            <wp:cNvGraphicFramePr>
              <a:graphicFrameLocks noChangeAspect="1"/>
            </wp:cNvGraphicFramePr>
            <a:graphic>
              <a:graphicData uri="http://schemas.openxmlformats.org/drawingml/2006/picture">
                <pic:pic>
                  <pic:nvPicPr>
                    <pic:cNvPr id="268" name="image138.png"/>
                    <pic:cNvPicPr/>
                  </pic:nvPicPr>
                  <pic:blipFill>
                    <a:blip r:embed="rId142" cstate="print"/>
                    <a:stretch>
                      <a:fillRect/>
                    </a:stretch>
                  </pic:blipFill>
                  <pic:spPr>
                    <a:xfrm>
                      <a:off x="0" y="0"/>
                      <a:ext cx="694944" cy="256031"/>
                    </a:xfrm>
                    <a:prstGeom prst="rect">
                      <a:avLst/>
                    </a:prstGeom>
                  </pic:spPr>
                </pic:pic>
              </a:graphicData>
            </a:graphic>
          </wp:anchor>
        </w:drawing>
      </w:r>
      <w:r>
        <w:rPr>
          <w:w w:val="105"/>
        </w:rPr>
        <w:t>this becomes</w:t>
      </w:r>
    </w:p>
    <w:p>
      <w:pPr>
        <w:spacing w:after="0"/>
        <w:sectPr>
          <w:type w:val="continuous"/>
          <w:pgSz w:w="7200" w:h="11340"/>
          <w:pgMar w:top="1100" w:bottom="0" w:left="660" w:right="560"/>
        </w:sectPr>
      </w:pPr>
    </w:p>
    <w:p>
      <w:pPr>
        <w:tabs>
          <w:tab w:pos="1637" w:val="left" w:leader="none"/>
          <w:tab w:pos="5387" w:val="left" w:leader="none"/>
        </w:tabs>
        <w:spacing w:before="47"/>
        <w:ind w:left="169" w:right="0" w:firstLine="0"/>
        <w:jc w:val="left"/>
        <w:rPr>
          <w:rFonts w:ascii="Arial"/>
          <w:b/>
          <w:sz w:val="18"/>
        </w:rPr>
      </w:pPr>
      <w:r>
        <w:rPr>
          <w:rFonts w:ascii="Arial"/>
          <w:color w:val="010101"/>
          <w:spacing w:val="-11"/>
          <w:position w:val="1"/>
          <w:sz w:val="19"/>
        </w:rPr>
        <w:t>116</w:t>
        <w:tab/>
      </w:r>
      <w:r>
        <w:rPr>
          <w:b/>
          <w:color w:val="010101"/>
          <w:position w:val="1"/>
          <w:sz w:val="15"/>
        </w:rPr>
        <w:t>NET   LEVEL </w:t>
      </w:r>
      <w:r>
        <w:rPr>
          <w:b/>
          <w:color w:val="010101"/>
          <w:spacing w:val="37"/>
          <w:position w:val="1"/>
          <w:sz w:val="15"/>
        </w:rPr>
        <w:t> </w:t>
      </w:r>
      <w:r>
        <w:rPr>
          <w:b/>
          <w:color w:val="010101"/>
          <w:position w:val="1"/>
          <w:sz w:val="15"/>
        </w:rPr>
        <w:t>PREMIUM  </w:t>
      </w:r>
      <w:r>
        <w:rPr>
          <w:b/>
          <w:color w:val="010101"/>
          <w:spacing w:val="22"/>
          <w:position w:val="1"/>
          <w:sz w:val="15"/>
        </w:rPr>
        <w:t> </w:t>
      </w:r>
      <w:r>
        <w:rPr>
          <w:b/>
          <w:color w:val="010101"/>
          <w:position w:val="1"/>
          <w:sz w:val="15"/>
        </w:rPr>
        <w:t>RESERVES</w:t>
        <w:tab/>
      </w:r>
      <w:r>
        <w:rPr>
          <w:rFonts w:ascii="Arial"/>
          <w:b/>
          <w:color w:val="010101"/>
          <w:sz w:val="17"/>
        </w:rPr>
        <w:t>[CH.</w:t>
      </w:r>
      <w:r>
        <w:rPr>
          <w:rFonts w:ascii="Arial"/>
          <w:b/>
          <w:color w:val="010101"/>
          <w:spacing w:val="-7"/>
          <w:sz w:val="17"/>
        </w:rPr>
        <w:t> </w:t>
      </w:r>
      <w:r>
        <w:rPr>
          <w:rFonts w:ascii="Arial"/>
          <w:b/>
          <w:color w:val="010101"/>
          <w:sz w:val="18"/>
        </w:rPr>
        <w:t>5</w:t>
      </w:r>
    </w:p>
    <w:p>
      <w:pPr>
        <w:pStyle w:val="BodyText"/>
        <w:spacing w:before="10"/>
        <w:rPr>
          <w:rFonts w:ascii="Arial"/>
          <w:b/>
          <w:sz w:val="14"/>
        </w:rPr>
      </w:pPr>
    </w:p>
    <w:p>
      <w:pPr>
        <w:pStyle w:val="BodyText"/>
        <w:spacing w:before="75"/>
        <w:ind w:left="1672"/>
      </w:pPr>
      <w:r>
        <w:rPr>
          <w:position w:val="-3"/>
        </w:rPr>
        <w:drawing>
          <wp:inline distT="0" distB="0" distL="0" distR="0">
            <wp:extent cx="1709927" cy="128016"/>
            <wp:effectExtent l="0" t="0" r="0" b="0"/>
            <wp:docPr id="269" name="image139.png" descr=""/>
            <wp:cNvGraphicFramePr>
              <a:graphicFrameLocks noChangeAspect="1"/>
            </wp:cNvGraphicFramePr>
            <a:graphic>
              <a:graphicData uri="http://schemas.openxmlformats.org/drawingml/2006/picture">
                <pic:pic>
                  <pic:nvPicPr>
                    <pic:cNvPr id="270" name="image139.png"/>
                    <pic:cNvPicPr/>
                  </pic:nvPicPr>
                  <pic:blipFill>
                    <a:blip r:embed="rId143" cstate="print"/>
                    <a:stretch>
                      <a:fillRect/>
                    </a:stretch>
                  </pic:blipFill>
                  <pic:spPr>
                    <a:xfrm>
                      <a:off x="0" y="0"/>
                      <a:ext cx="1709927" cy="128016"/>
                    </a:xfrm>
                    <a:prstGeom prst="rect">
                      <a:avLst/>
                    </a:prstGeom>
                  </pic:spPr>
                </pic:pic>
              </a:graphicData>
            </a:graphic>
          </wp:inline>
        </w:drawing>
      </w:r>
      <w:r>
        <w:rPr>
          <w:position w:val="-3"/>
        </w:rPr>
      </w:r>
      <w:r>
        <w:rPr/>
        <w:t>                   </w:t>
      </w:r>
      <w:r>
        <w:rPr>
          <w:color w:val="010101"/>
          <w:w w:val="105"/>
        </w:rPr>
        <w:t>(5.31)</w:t>
      </w:r>
    </w:p>
    <w:p>
      <w:pPr>
        <w:spacing w:line="238" w:lineRule="exact" w:before="126"/>
        <w:ind w:left="140" w:right="125" w:firstLine="3"/>
        <w:jc w:val="left"/>
        <w:rPr>
          <w:sz w:val="21"/>
        </w:rPr>
      </w:pPr>
      <w:r>
        <w:rPr>
          <w:color w:val="010101"/>
          <w:sz w:val="21"/>
        </w:rPr>
        <w:t>The </w:t>
      </w:r>
      <w:r>
        <w:rPr>
          <w:color w:val="010101"/>
          <w:sz w:val="14"/>
        </w:rPr>
        <w:t>U:i: </w:t>
      </w:r>
      <w:r>
        <w:rPr>
          <w:color w:val="010101"/>
          <w:sz w:val="21"/>
        </w:rPr>
        <w:t>and </w:t>
      </w:r>
      <w:r>
        <w:rPr>
          <w:i/>
          <w:color w:val="010101"/>
          <w:sz w:val="20"/>
        </w:rPr>
        <w:t>kz </w:t>
      </w:r>
      <w:r>
        <w:rPr>
          <w:color w:val="010101"/>
          <w:sz w:val="21"/>
        </w:rPr>
        <w:t>functions are called </w:t>
      </w:r>
      <w:r>
        <w:rPr>
          <w:i/>
          <w:color w:val="010101"/>
          <w:sz w:val="21"/>
        </w:rPr>
        <w:t>Fackler valuation functions, </w:t>
      </w:r>
      <w:r>
        <w:rPr>
          <w:color w:val="010101"/>
          <w:sz w:val="21"/>
        </w:rPr>
        <w:t>after the  American </w:t>
      </w:r>
      <w:r>
        <w:rPr>
          <w:color w:val="1F1F1F"/>
          <w:w w:val="70"/>
          <w:sz w:val="21"/>
        </w:rPr>
        <w:t>· </w:t>
      </w:r>
      <w:r>
        <w:rPr>
          <w:color w:val="010101"/>
          <w:sz w:val="21"/>
        </w:rPr>
        <w:t>actuary,  David  Parks Fackler.</w:t>
      </w:r>
    </w:p>
    <w:p>
      <w:pPr>
        <w:tabs>
          <w:tab w:pos="2918" w:val="left" w:leader="none"/>
          <w:tab w:pos="4110" w:val="left" w:leader="none"/>
        </w:tabs>
        <w:spacing w:line="287" w:lineRule="exact" w:before="22"/>
        <w:ind w:left="2107" w:right="0" w:firstLine="0"/>
        <w:jc w:val="left"/>
        <w:rPr>
          <w:b/>
          <w:i/>
          <w:sz w:val="20"/>
        </w:rPr>
      </w:pPr>
      <w:r>
        <w:rPr>
          <w:rFonts w:ascii="Arial"/>
          <w:b/>
          <w:color w:val="010101"/>
          <w:sz w:val="19"/>
        </w:rPr>
        <w:t>1 </w:t>
      </w:r>
      <w:r>
        <w:rPr>
          <w:rFonts w:ascii="Arial"/>
          <w:color w:val="010101"/>
          <w:sz w:val="32"/>
        </w:rPr>
        <w:t>+</w:t>
      </w:r>
      <w:r>
        <w:rPr>
          <w:rFonts w:ascii="Arial"/>
          <w:color w:val="010101"/>
          <w:spacing w:val="-23"/>
          <w:sz w:val="32"/>
        </w:rPr>
        <w:t> </w:t>
      </w:r>
      <w:r>
        <w:rPr>
          <w:i/>
          <w:color w:val="010101"/>
          <w:w w:val="120"/>
          <w:sz w:val="22"/>
        </w:rPr>
        <w:t>i</w:t>
        <w:tab/>
      </w:r>
      <w:r>
        <w:rPr>
          <w:color w:val="010101"/>
          <w:sz w:val="22"/>
        </w:rPr>
        <w:t>( </w:t>
      </w:r>
      <w:r>
        <w:rPr>
          <w:rFonts w:ascii="Arial"/>
          <w:b/>
          <w:color w:val="010101"/>
          <w:sz w:val="19"/>
        </w:rPr>
        <w:t>1 </w:t>
      </w:r>
      <w:r>
        <w:rPr>
          <w:rFonts w:ascii="Arial"/>
          <w:color w:val="010101"/>
          <w:sz w:val="32"/>
        </w:rPr>
        <w:t>+</w:t>
      </w:r>
      <w:r>
        <w:rPr>
          <w:rFonts w:ascii="Arial"/>
          <w:color w:val="010101"/>
          <w:spacing w:val="-70"/>
          <w:sz w:val="32"/>
        </w:rPr>
        <w:t> </w:t>
      </w:r>
      <w:r>
        <w:rPr>
          <w:b/>
          <w:i/>
          <w:color w:val="010101"/>
          <w:w w:val="120"/>
          <w:sz w:val="20"/>
        </w:rPr>
        <w:t>i</w:t>
      </w:r>
      <w:r>
        <w:rPr>
          <w:b/>
          <w:i/>
          <w:color w:val="010101"/>
          <w:spacing w:val="-37"/>
          <w:w w:val="120"/>
          <w:sz w:val="20"/>
        </w:rPr>
        <w:t> </w:t>
      </w:r>
      <w:r>
        <w:rPr>
          <w:b/>
          <w:i/>
          <w:color w:val="010101"/>
          <w:sz w:val="20"/>
        </w:rPr>
        <w:t>)lz</w:t>
        <w:tab/>
        <w:t>Dz</w:t>
      </w:r>
    </w:p>
    <w:p>
      <w:pPr>
        <w:tabs>
          <w:tab w:pos="3162" w:val="left" w:leader="none"/>
          <w:tab w:pos="3812" w:val="left" w:leader="none"/>
          <w:tab w:pos="5341" w:val="left" w:leader="none"/>
        </w:tabs>
        <w:spacing w:line="281" w:lineRule="exact" w:before="0"/>
        <w:ind w:left="1579" w:right="0" w:firstLine="0"/>
        <w:jc w:val="left"/>
        <w:rPr>
          <w:sz w:val="21"/>
        </w:rPr>
      </w:pPr>
      <w:r>
        <w:rPr/>
        <w:pict>
          <v:line style="position:absolute;mso-position-horizontal-relative:page;mso-position-vertical-relative:paragraph;z-index:-725464" from="215.712906pt,1.012350pt" to="218.404806pt,1.012350pt" stroked="true" strokeweight=".717846pt" strokecolor="#000000">
            <w10:wrap type="none"/>
          </v:line>
        </w:pict>
      </w:r>
      <w:r>
        <w:rPr>
          <w:b/>
          <w:i/>
          <w:color w:val="010101"/>
          <w:spacing w:val="5"/>
          <w:w w:val="105"/>
          <w:sz w:val="14"/>
        </w:rPr>
        <w:t>Uz   </w:t>
      </w:r>
      <w:r>
        <w:rPr>
          <w:color w:val="010101"/>
          <w:w w:val="105"/>
          <w:sz w:val="26"/>
        </w:rPr>
        <w:t>=</w:t>
      </w:r>
      <w:r>
        <w:rPr>
          <w:color w:val="010101"/>
          <w:spacing w:val="36"/>
          <w:w w:val="105"/>
          <w:sz w:val="26"/>
        </w:rPr>
        <w:t> </w:t>
      </w:r>
      <w:r>
        <w:rPr>
          <w:b/>
          <w:i/>
          <w:color w:val="010101"/>
          <w:w w:val="195"/>
          <w:sz w:val="26"/>
        </w:rPr>
        <w:t>P,</w:t>
      </w:r>
      <w:r>
        <w:rPr>
          <w:b/>
          <w:i/>
          <w:color w:val="010101"/>
          <w:spacing w:val="-50"/>
          <w:w w:val="195"/>
          <w:sz w:val="26"/>
        </w:rPr>
        <w:t> </w:t>
      </w:r>
      <w:r>
        <w:rPr>
          <w:color w:val="010101"/>
          <w:w w:val="105"/>
          <w:sz w:val="26"/>
        </w:rPr>
        <w:t>=</w:t>
        <w:tab/>
      </w:r>
      <w:r>
        <w:rPr>
          <w:b/>
          <w:i/>
          <w:color w:val="010101"/>
          <w:w w:val="105"/>
          <w:sz w:val="20"/>
        </w:rPr>
        <w:t>lz+l</w:t>
        <w:tab/>
      </w:r>
      <w:r>
        <w:rPr>
          <w:color w:val="010101"/>
          <w:w w:val="105"/>
          <w:sz w:val="26"/>
        </w:rPr>
        <w:t>=</w:t>
      </w:r>
      <w:r>
        <w:rPr>
          <w:color w:val="010101"/>
          <w:spacing w:val="14"/>
          <w:w w:val="105"/>
          <w:sz w:val="26"/>
        </w:rPr>
        <w:t> </w:t>
      </w:r>
      <w:r>
        <w:rPr>
          <w:b/>
          <w:i/>
          <w:color w:val="010101"/>
          <w:w w:val="105"/>
          <w:sz w:val="16"/>
          <w:u w:val="thick" w:color="000000"/>
        </w:rPr>
        <w:t>Dz+l</w:t>
      </w:r>
      <w:r>
        <w:rPr>
          <w:b/>
          <w:i/>
          <w:color w:val="010101"/>
          <w:w w:val="105"/>
          <w:sz w:val="16"/>
        </w:rPr>
        <w:tab/>
      </w:r>
      <w:r>
        <w:rPr>
          <w:color w:val="010101"/>
          <w:position w:val="11"/>
          <w:sz w:val="21"/>
        </w:rPr>
        <w:t>(</w:t>
      </w:r>
      <w:r>
        <w:rPr>
          <w:color w:val="010101"/>
          <w:spacing w:val="-29"/>
          <w:position w:val="11"/>
          <w:sz w:val="21"/>
        </w:rPr>
        <w:t> </w:t>
      </w:r>
      <w:r>
        <w:rPr>
          <w:color w:val="010101"/>
          <w:spacing w:val="-4"/>
          <w:position w:val="11"/>
          <w:sz w:val="21"/>
        </w:rPr>
        <w:t>5.32)</w:t>
      </w:r>
    </w:p>
    <w:p>
      <w:pPr>
        <w:pStyle w:val="BodyText"/>
        <w:spacing w:before="9"/>
        <w:rPr>
          <w:sz w:val="9"/>
        </w:rPr>
      </w:pPr>
    </w:p>
    <w:p>
      <w:pPr>
        <w:spacing w:after="0"/>
        <w:rPr>
          <w:sz w:val="9"/>
        </w:rPr>
        <w:sectPr>
          <w:pgSz w:w="7200" w:h="11340"/>
          <w:pgMar w:top="520" w:bottom="280" w:left="660" w:right="540"/>
        </w:sectPr>
      </w:pPr>
    </w:p>
    <w:p>
      <w:pPr>
        <w:tabs>
          <w:tab w:pos="3004" w:val="left" w:leader="none"/>
          <w:tab w:pos="3593" w:val="left" w:leader="none"/>
        </w:tabs>
        <w:spacing w:line="206" w:lineRule="auto" w:before="100"/>
        <w:ind w:left="2487" w:right="0" w:hanging="492"/>
        <w:jc w:val="left"/>
        <w:rPr>
          <w:b/>
          <w:i/>
          <w:sz w:val="16"/>
        </w:rPr>
      </w:pPr>
      <w:r>
        <w:rPr>
          <w:b/>
          <w:i/>
          <w:color w:val="010101"/>
          <w:sz w:val="20"/>
        </w:rPr>
        <w:t>kz </w:t>
      </w:r>
      <w:r>
        <w:rPr>
          <w:color w:val="010101"/>
          <w:sz w:val="22"/>
        </w:rPr>
        <w:t>= </w:t>
      </w:r>
      <w:r>
        <w:rPr>
          <w:b/>
          <w:i/>
          <w:color w:val="010101"/>
          <w:sz w:val="20"/>
          <w:u w:val="single" w:color="000000"/>
        </w:rPr>
        <w:t>qz  </w:t>
      </w:r>
      <w:r>
        <w:rPr>
          <w:color w:val="010101"/>
          <w:sz w:val="22"/>
        </w:rPr>
        <w:t>=  </w:t>
      </w:r>
      <w:r>
        <w:rPr>
          <w:rFonts w:ascii="Arial"/>
          <w:i/>
          <w:color w:val="010101"/>
          <w:w w:val="80"/>
          <w:sz w:val="17"/>
        </w:rPr>
        <w:t>!!:_=._  </w:t>
      </w:r>
      <w:r>
        <w:rPr>
          <w:color w:val="010101"/>
          <w:sz w:val="22"/>
        </w:rPr>
        <w:t>=  </w:t>
      </w:r>
      <w:r>
        <w:rPr>
          <w:b/>
          <w:i/>
          <w:color w:val="010101"/>
          <w:sz w:val="20"/>
          <w:u w:val="single" w:color="000000"/>
        </w:rPr>
        <w:t>Cz </w:t>
      </w:r>
      <w:r>
        <w:rPr>
          <w:b/>
          <w:i/>
          <w:color w:val="010101"/>
          <w:sz w:val="20"/>
        </w:rPr>
        <w:t>Pz</w:t>
        <w:tab/>
        <w:t>lz+l</w:t>
        <w:tab/>
      </w:r>
      <w:r>
        <w:rPr>
          <w:b/>
          <w:i/>
          <w:color w:val="010101"/>
          <w:sz w:val="16"/>
        </w:rPr>
        <w:t>Dz+l</w:t>
      </w:r>
    </w:p>
    <w:p>
      <w:pPr>
        <w:pStyle w:val="BodyText"/>
        <w:spacing w:before="133"/>
        <w:ind w:right="148"/>
        <w:jc w:val="right"/>
      </w:pPr>
      <w:r>
        <w:rPr/>
        <w:br w:type="column"/>
      </w:r>
      <w:r>
        <w:rPr>
          <w:color w:val="010101"/>
          <w:w w:val="110"/>
        </w:rPr>
        <w:t>(5.33)</w:t>
      </w:r>
    </w:p>
    <w:p>
      <w:pPr>
        <w:spacing w:after="0"/>
        <w:jc w:val="right"/>
        <w:sectPr>
          <w:type w:val="continuous"/>
          <w:pgSz w:w="7200" w:h="11340"/>
          <w:pgMar w:top="1100" w:bottom="0" w:left="660" w:right="540"/>
          <w:cols w:num="2" w:equalWidth="0">
            <w:col w:w="3948" w:space="40"/>
            <w:col w:w="2012"/>
          </w:cols>
        </w:sectPr>
      </w:pPr>
    </w:p>
    <w:p>
      <w:pPr>
        <w:spacing w:line="240" w:lineRule="auto" w:before="90"/>
        <w:ind w:left="126" w:right="113" w:firstLine="7"/>
        <w:jc w:val="both"/>
        <w:rPr>
          <w:sz w:val="21"/>
        </w:rPr>
      </w:pPr>
      <w:r>
        <w:rPr>
          <w:color w:val="010101"/>
          <w:sz w:val="21"/>
        </w:rPr>
        <w:t>Note that  </w:t>
      </w:r>
      <w:r>
        <w:rPr>
          <w:i/>
          <w:color w:val="010101"/>
          <w:sz w:val="20"/>
        </w:rPr>
        <w:t>kz  </w:t>
      </w:r>
      <w:r>
        <w:rPr>
          <w:color w:val="010101"/>
          <w:sz w:val="21"/>
        </w:rPr>
        <w:t>is a function  of  mortality  alone,  being  independent of the rate of interest. Both </w:t>
      </w:r>
      <w:r>
        <w:rPr>
          <w:i/>
          <w:color w:val="010101"/>
          <w:sz w:val="21"/>
        </w:rPr>
        <w:t>uz </w:t>
      </w:r>
      <w:r>
        <w:rPr>
          <w:color w:val="010101"/>
          <w:sz w:val="21"/>
        </w:rPr>
        <w:t>and </w:t>
      </w:r>
      <w:r>
        <w:rPr>
          <w:i/>
          <w:color w:val="010101"/>
          <w:sz w:val="20"/>
        </w:rPr>
        <w:t>kz </w:t>
      </w:r>
      <w:r>
        <w:rPr>
          <w:color w:val="010101"/>
          <w:sz w:val="21"/>
        </w:rPr>
        <w:t>are special cases of more general functions defined earlier. From  (2.15),  we  see that  </w:t>
      </w:r>
      <w:r>
        <w:rPr>
          <w:i/>
          <w:color w:val="010101"/>
          <w:sz w:val="14"/>
        </w:rPr>
        <w:t>Uz  </w:t>
      </w:r>
      <w:r>
        <w:rPr>
          <w:color w:val="010101"/>
          <w:sz w:val="21"/>
        </w:rPr>
        <w:t>is the same as </w:t>
      </w:r>
      <w:r>
        <w:rPr>
          <w:color w:val="010101"/>
          <w:spacing w:val="-5"/>
          <w:sz w:val="18"/>
        </w:rPr>
        <w:t>S:dl </w:t>
      </w:r>
      <w:r>
        <w:rPr>
          <w:color w:val="010101"/>
          <w:sz w:val="21"/>
        </w:rPr>
        <w:t>(or </w:t>
      </w:r>
      <w:r>
        <w:rPr>
          <w:color w:val="010101"/>
          <w:spacing w:val="-9"/>
          <w:sz w:val="16"/>
        </w:rPr>
        <w:t>1'Uz </w:t>
      </w:r>
      <w:r>
        <w:rPr>
          <w:color w:val="010101"/>
          <w:w w:val="130"/>
          <w:sz w:val="16"/>
        </w:rPr>
        <w:t>), </w:t>
      </w:r>
      <w:r>
        <w:rPr>
          <w:color w:val="010101"/>
          <w:sz w:val="21"/>
        </w:rPr>
        <w:t>and from (5.4a ), </w:t>
      </w:r>
      <w:r>
        <w:rPr>
          <w:i/>
          <w:color w:val="010101"/>
          <w:sz w:val="20"/>
        </w:rPr>
        <w:t>kz </w:t>
      </w:r>
      <w:r>
        <w:rPr>
          <w:color w:val="010101"/>
          <w:sz w:val="21"/>
        </w:rPr>
        <w:t>is the same as </w:t>
      </w:r>
      <w:r>
        <w:rPr>
          <w:i/>
          <w:color w:val="010101"/>
          <w:sz w:val="20"/>
        </w:rPr>
        <w:t>1kz </w:t>
      </w:r>
      <w:r>
        <w:rPr>
          <w:i/>
          <w:color w:val="010101"/>
          <w:w w:val="130"/>
          <w:sz w:val="20"/>
        </w:rPr>
        <w:t>. </w:t>
      </w:r>
      <w:r>
        <w:rPr>
          <w:color w:val="010101"/>
          <w:sz w:val="21"/>
        </w:rPr>
        <w:t>The continuous forms </w:t>
      </w:r>
      <w:r>
        <w:rPr>
          <w:i/>
          <w:color w:val="010101"/>
          <w:w w:val="95"/>
          <w:sz w:val="19"/>
        </w:rPr>
        <w:t>1Zz </w:t>
      </w:r>
      <w:r>
        <w:rPr>
          <w:color w:val="010101"/>
          <w:sz w:val="21"/>
        </w:rPr>
        <w:t>and </w:t>
      </w:r>
      <w:r>
        <w:rPr>
          <w:i/>
          <w:color w:val="010101"/>
          <w:sz w:val="19"/>
        </w:rPr>
        <w:t>kz </w:t>
      </w:r>
      <w:r>
        <w:rPr>
          <w:color w:val="010101"/>
          <w:sz w:val="21"/>
        </w:rPr>
        <w:t>are also</w:t>
      </w:r>
      <w:r>
        <w:rPr>
          <w:color w:val="010101"/>
          <w:spacing w:val="5"/>
          <w:sz w:val="21"/>
        </w:rPr>
        <w:t> </w:t>
      </w:r>
      <w:r>
        <w:rPr>
          <w:color w:val="010101"/>
          <w:sz w:val="21"/>
        </w:rPr>
        <w:t>used.</w:t>
      </w:r>
    </w:p>
    <w:p>
      <w:pPr>
        <w:spacing w:line="237" w:lineRule="auto" w:before="0"/>
        <w:ind w:left="126" w:right="152" w:firstLine="197"/>
        <w:jc w:val="both"/>
        <w:rPr>
          <w:sz w:val="21"/>
        </w:rPr>
      </w:pPr>
      <w:r>
        <w:rPr>
          <w:color w:val="010101"/>
          <w:sz w:val="21"/>
        </w:rPr>
        <w:t>The Fackler formula (5.31) forms the basis of a convenient method for preparing reserve tables. When the values of </w:t>
      </w:r>
      <w:r>
        <w:rPr>
          <w:i/>
          <w:color w:val="010101"/>
          <w:sz w:val="14"/>
        </w:rPr>
        <w:t>Uz </w:t>
      </w:r>
      <w:r>
        <w:rPr>
          <w:color w:val="010101"/>
          <w:sz w:val="21"/>
        </w:rPr>
        <w:t>and </w:t>
      </w:r>
      <w:r>
        <w:rPr>
          <w:i/>
          <w:color w:val="010101"/>
          <w:sz w:val="20"/>
        </w:rPr>
        <w:t>kz </w:t>
      </w:r>
      <w:r>
        <w:rPr>
          <w:color w:val="010101"/>
          <w:sz w:val="21"/>
        </w:rPr>
        <w:t>are available at ali ages, we require only the value of the net pre­ mium  on  a  policy  to  produce  termina]  reserves  sequentially for</w:t>
      </w:r>
    </w:p>
    <w:p>
      <w:pPr>
        <w:spacing w:line="248" w:lineRule="exact" w:before="0"/>
        <w:ind w:left="129" w:right="0" w:hanging="4"/>
        <w:jc w:val="both"/>
        <w:rPr>
          <w:sz w:val="21"/>
        </w:rPr>
      </w:pPr>
      <w:r>
        <w:rPr>
          <w:color w:val="010101"/>
          <w:sz w:val="21"/>
        </w:rPr>
        <w:t>all  durations,  starting  with  the  initial  value  </w:t>
      </w:r>
      <w:r>
        <w:rPr>
          <w:rFonts w:ascii="Arial"/>
          <w:color w:val="010101"/>
          <w:sz w:val="15"/>
        </w:rPr>
        <w:t>o </w:t>
      </w:r>
      <w:r>
        <w:rPr>
          <w:rFonts w:ascii="Arial"/>
          <w:i/>
          <w:color w:val="010101"/>
          <w:sz w:val="20"/>
        </w:rPr>
        <w:t>V  </w:t>
      </w:r>
      <w:r>
        <w:rPr>
          <w:color w:val="010101"/>
          <w:sz w:val="26"/>
        </w:rPr>
        <w:t>=  </w:t>
      </w:r>
      <w:r>
        <w:rPr>
          <w:color w:val="010101"/>
          <w:sz w:val="20"/>
        </w:rPr>
        <w:t>O.  </w:t>
      </w:r>
      <w:r>
        <w:rPr>
          <w:color w:val="010101"/>
          <w:sz w:val="21"/>
        </w:rPr>
        <w:t>Since the</w:t>
      </w:r>
    </w:p>
    <w:p>
      <w:pPr>
        <w:spacing w:line="237" w:lineRule="auto" w:before="0"/>
        <w:ind w:left="126" w:right="166" w:firstLine="3"/>
        <w:jc w:val="both"/>
        <w:rPr>
          <w:sz w:val="21"/>
        </w:rPr>
      </w:pPr>
      <w:r>
        <w:rPr>
          <w:color w:val="010101"/>
          <w:sz w:val="21"/>
        </w:rPr>
        <w:t>formula produces these values by a continued accumulation proc­ ess, the work is self-checking, and the calculations can be assumed to be accurate if  the reserves  accumulate  to  the correct  amount  at </w:t>
      </w:r>
      <w:r>
        <w:rPr>
          <w:color w:val="010101"/>
          <w:spacing w:val="24"/>
          <w:sz w:val="21"/>
        </w:rPr>
        <w:t> </w:t>
      </w:r>
      <w:r>
        <w:rPr>
          <w:color w:val="010101"/>
          <w:sz w:val="21"/>
        </w:rPr>
        <w:t>maturity.</w:t>
      </w:r>
    </w:p>
    <w:p>
      <w:pPr>
        <w:pStyle w:val="BodyText"/>
        <w:spacing w:before="8"/>
        <w:rPr>
          <w:sz w:val="8"/>
        </w:rPr>
      </w:pPr>
    </w:p>
    <w:p>
      <w:pPr>
        <w:spacing w:before="74"/>
        <w:ind w:left="133" w:right="0" w:firstLine="0"/>
        <w:jc w:val="left"/>
        <w:rPr>
          <w:b/>
          <w:sz w:val="20"/>
        </w:rPr>
      </w:pPr>
      <w:r>
        <w:rPr>
          <w:b/>
          <w:color w:val="010101"/>
          <w:w w:val="105"/>
          <w:sz w:val="20"/>
        </w:rPr>
        <w:t>JO.  Methods  of valuation</w:t>
      </w:r>
    </w:p>
    <w:p>
      <w:pPr>
        <w:spacing w:line="237" w:lineRule="auto" w:before="79"/>
        <w:ind w:left="115" w:right="160" w:firstLine="204"/>
        <w:jc w:val="both"/>
        <w:rPr>
          <w:sz w:val="21"/>
        </w:rPr>
      </w:pPr>
      <w:r>
        <w:rPr>
          <w:color w:val="010101"/>
          <w:sz w:val="21"/>
        </w:rPr>
        <w:t>The process of computing the aggregate reserve for a group of policies is called </w:t>
      </w:r>
      <w:r>
        <w:rPr>
          <w:i/>
          <w:color w:val="010101"/>
          <w:sz w:val="21"/>
        </w:rPr>
        <w:t>valuation. </w:t>
      </w:r>
      <w:r>
        <w:rPr>
          <w:color w:val="010101"/>
          <w:sz w:val="21"/>
        </w:rPr>
        <w:t>We consider here certain practica! aspects of  the valuation  process.</w:t>
      </w:r>
    </w:p>
    <w:p>
      <w:pPr>
        <w:spacing w:line="238" w:lineRule="exact" w:before="9"/>
        <w:ind w:left="115" w:right="172" w:firstLine="204"/>
        <w:jc w:val="both"/>
        <w:rPr>
          <w:sz w:val="21"/>
        </w:rPr>
      </w:pPr>
      <w:r>
        <w:rPr>
          <w:color w:val="010101"/>
          <w:sz w:val="21"/>
        </w:rPr>
        <w:t>One of the standard valuation methods </w:t>
      </w:r>
      <w:r>
        <w:rPr>
          <w:rFonts w:ascii="Arial" w:hAnsi="Arial"/>
          <w:color w:val="010101"/>
          <w:sz w:val="19"/>
        </w:rPr>
        <w:t>is </w:t>
      </w:r>
      <w:r>
        <w:rPr>
          <w:color w:val="010101"/>
          <w:sz w:val="21"/>
        </w:rPr>
        <w:t>based on the retro­ spective formula</w:t>
      </w:r>
    </w:p>
    <w:p>
      <w:pPr>
        <w:spacing w:after="0" w:line="238" w:lineRule="exact"/>
        <w:jc w:val="both"/>
        <w:rPr>
          <w:sz w:val="21"/>
        </w:rPr>
        <w:sectPr>
          <w:type w:val="continuous"/>
          <w:pgSz w:w="7200" w:h="11340"/>
          <w:pgMar w:top="1100" w:bottom="0" w:left="660" w:right="540"/>
        </w:sectPr>
      </w:pPr>
    </w:p>
    <w:p>
      <w:pPr>
        <w:spacing w:before="124"/>
        <w:ind w:left="1321" w:right="0" w:firstLine="0"/>
        <w:jc w:val="left"/>
        <w:rPr>
          <w:i/>
          <w:sz w:val="22"/>
        </w:rPr>
      </w:pPr>
      <w:r>
        <w:rPr/>
        <w:pict>
          <v:line style="position:absolute;mso-position-horizontal-relative:page;mso-position-vertical-relative:paragraph;z-index:-725440" from="142.492493pt,16.829136pt" to="145.363893pt,16.829136pt" stroked="true" strokeweight=".717846pt" strokecolor="#000000">
            <w10:wrap type="none"/>
          </v:line>
        </w:pict>
      </w:r>
      <w:r>
        <w:rPr>
          <w:i/>
          <w:color w:val="010101"/>
          <w:sz w:val="22"/>
        </w:rPr>
        <w:t>V </w:t>
      </w:r>
      <w:r>
        <w:rPr>
          <w:color w:val="010101"/>
          <w:w w:val="210"/>
          <w:sz w:val="22"/>
        </w:rPr>
        <w:t>-</w:t>
      </w:r>
      <w:r>
        <w:rPr>
          <w:color w:val="010101"/>
          <w:spacing w:val="-67"/>
          <w:w w:val="210"/>
          <w:sz w:val="22"/>
        </w:rPr>
        <w:t> </w:t>
      </w:r>
      <w:r>
        <w:rPr>
          <w:b/>
          <w:i/>
          <w:color w:val="010101"/>
          <w:sz w:val="20"/>
        </w:rPr>
        <w:t>P( N z </w:t>
      </w:r>
      <w:r>
        <w:rPr>
          <w:color w:val="010101"/>
          <w:w w:val="275"/>
          <w:sz w:val="20"/>
        </w:rPr>
        <w:t>-</w:t>
      </w:r>
      <w:r>
        <w:rPr>
          <w:color w:val="010101"/>
          <w:spacing w:val="-99"/>
          <w:w w:val="275"/>
          <w:sz w:val="20"/>
        </w:rPr>
        <w:t> </w:t>
      </w:r>
      <w:r>
        <w:rPr>
          <w:color w:val="010101"/>
          <w:sz w:val="19"/>
        </w:rPr>
        <w:t>Nz+,)  </w:t>
      </w:r>
      <w:r>
        <w:rPr>
          <w:color w:val="010101"/>
          <w:w w:val="275"/>
          <w:sz w:val="19"/>
        </w:rPr>
        <w:t>-</w:t>
      </w:r>
      <w:r>
        <w:rPr>
          <w:color w:val="010101"/>
          <w:spacing w:val="-77"/>
          <w:w w:val="275"/>
          <w:sz w:val="19"/>
        </w:rPr>
        <w:t> </w:t>
      </w:r>
      <w:r>
        <w:rPr>
          <w:b/>
          <w:i/>
          <w:color w:val="010101"/>
          <w:w w:val="95"/>
          <w:sz w:val="20"/>
        </w:rPr>
        <w:t>( </w:t>
      </w:r>
      <w:r>
        <w:rPr>
          <w:b/>
          <w:i/>
          <w:color w:val="010101"/>
          <w:sz w:val="20"/>
        </w:rPr>
        <w:t>M z </w:t>
      </w:r>
      <w:r>
        <w:rPr>
          <w:color w:val="010101"/>
          <w:w w:val="275"/>
          <w:sz w:val="20"/>
        </w:rPr>
        <w:t>-</w:t>
      </w:r>
      <w:r>
        <w:rPr>
          <w:color w:val="010101"/>
          <w:spacing w:val="-96"/>
          <w:w w:val="275"/>
          <w:sz w:val="20"/>
        </w:rPr>
        <w:t> </w:t>
      </w:r>
      <w:r>
        <w:rPr>
          <w:i/>
          <w:color w:val="010101"/>
          <w:sz w:val="22"/>
        </w:rPr>
        <w:t>M </w:t>
      </w:r>
      <w:r>
        <w:rPr>
          <w:i/>
          <w:color w:val="010101"/>
          <w:w w:val="95"/>
          <w:sz w:val="22"/>
        </w:rPr>
        <w:t>z+, )</w:t>
      </w:r>
    </w:p>
    <w:p>
      <w:pPr>
        <w:tabs>
          <w:tab w:pos="1554" w:val="left" w:leader="none"/>
          <w:tab w:pos="3008" w:val="left" w:leader="none"/>
          <w:tab w:pos="4662" w:val="left" w:leader="none"/>
        </w:tabs>
        <w:spacing w:before="44"/>
        <w:ind w:left="1256" w:right="0" w:firstLine="0"/>
        <w:jc w:val="left"/>
        <w:rPr>
          <w:sz w:val="16"/>
        </w:rPr>
      </w:pPr>
      <w:r>
        <w:rPr>
          <w:color w:val="010101"/>
          <w:w w:val="205"/>
          <w:sz w:val="16"/>
        </w:rPr>
        <w:t>'</w:t>
        <w:tab/>
      </w:r>
      <w:r>
        <w:rPr>
          <w:color w:val="010101"/>
          <w:w w:val="280"/>
          <w:sz w:val="16"/>
        </w:rPr>
        <w:t>-</w:t>
        <w:tab/>
      </w:r>
      <w:r>
        <w:rPr>
          <w:b/>
          <w:i/>
          <w:color w:val="010101"/>
          <w:w w:val="120"/>
          <w:sz w:val="16"/>
        </w:rPr>
        <w:t>Dz+e</w:t>
        <w:tab/>
      </w:r>
      <w:r>
        <w:rPr>
          <w:color w:val="010101"/>
          <w:w w:val="180"/>
          <w:sz w:val="16"/>
        </w:rPr>
        <w:t>'</w:t>
      </w:r>
    </w:p>
    <w:p>
      <w:pPr>
        <w:pStyle w:val="BodyText"/>
        <w:spacing w:before="8"/>
      </w:pPr>
      <w:r>
        <w:rPr/>
        <w:br w:type="column"/>
      </w:r>
      <w:r>
        <w:rPr/>
      </w:r>
    </w:p>
    <w:p>
      <w:pPr>
        <w:spacing w:before="0"/>
        <w:ind w:left="561" w:right="0" w:firstLine="0"/>
        <w:jc w:val="left"/>
        <w:rPr>
          <w:sz w:val="21"/>
        </w:rPr>
      </w:pPr>
      <w:r>
        <w:rPr>
          <w:color w:val="010101"/>
          <w:w w:val="110"/>
          <w:sz w:val="21"/>
        </w:rPr>
        <w:t>(5.34)</w:t>
      </w:r>
    </w:p>
    <w:p>
      <w:pPr>
        <w:spacing w:after="0"/>
        <w:jc w:val="left"/>
        <w:rPr>
          <w:sz w:val="21"/>
        </w:rPr>
        <w:sectPr>
          <w:type w:val="continuous"/>
          <w:pgSz w:w="7200" w:h="11340"/>
          <w:pgMar w:top="1100" w:bottom="0" w:left="660" w:right="540"/>
          <w:cols w:num="2" w:equalWidth="0">
            <w:col w:w="4715" w:space="40"/>
            <w:col w:w="1245"/>
          </w:cols>
        </w:sectPr>
      </w:pPr>
    </w:p>
    <w:p>
      <w:pPr>
        <w:spacing w:line="237" w:lineRule="auto" w:before="116"/>
        <w:ind w:left="118" w:right="148" w:firstLine="0"/>
        <w:jc w:val="both"/>
        <w:rPr>
          <w:sz w:val="21"/>
        </w:rPr>
      </w:pPr>
      <w:r>
        <w:rPr>
          <w:color w:val="010101"/>
          <w:sz w:val="21"/>
        </w:rPr>
        <w:t>valid for any life, term, or endowment  insurance  of  level amount  1</w:t>
      </w:r>
      <w:r>
        <w:rPr>
          <w:color w:val="010101"/>
          <w:spacing w:val="-35"/>
          <w:sz w:val="21"/>
        </w:rPr>
        <w:t> </w:t>
      </w:r>
      <w:r>
        <w:rPr>
          <w:color w:val="010101"/>
          <w:sz w:val="21"/>
        </w:rPr>
        <w:t>for</w:t>
      </w:r>
      <w:r>
        <w:rPr>
          <w:color w:val="010101"/>
          <w:spacing w:val="-20"/>
          <w:sz w:val="21"/>
        </w:rPr>
        <w:t> </w:t>
      </w:r>
      <w:r>
        <w:rPr>
          <w:color w:val="010101"/>
          <w:sz w:val="21"/>
        </w:rPr>
        <w:t>which</w:t>
      </w:r>
      <w:r>
        <w:rPr>
          <w:color w:val="010101"/>
          <w:spacing w:val="-2"/>
          <w:sz w:val="21"/>
        </w:rPr>
        <w:t> </w:t>
      </w:r>
      <w:r>
        <w:rPr>
          <w:color w:val="010101"/>
          <w:sz w:val="21"/>
        </w:rPr>
        <w:t>premiums</w:t>
      </w:r>
      <w:r>
        <w:rPr>
          <w:color w:val="010101"/>
          <w:spacing w:val="-8"/>
          <w:sz w:val="21"/>
        </w:rPr>
        <w:t> </w:t>
      </w:r>
      <w:r>
        <w:rPr>
          <w:color w:val="010101"/>
          <w:sz w:val="21"/>
        </w:rPr>
        <w:t>have</w:t>
      </w:r>
      <w:r>
        <w:rPr>
          <w:color w:val="010101"/>
          <w:spacing w:val="-13"/>
          <w:sz w:val="21"/>
        </w:rPr>
        <w:t> </w:t>
      </w:r>
      <w:r>
        <w:rPr>
          <w:color w:val="010101"/>
          <w:sz w:val="21"/>
        </w:rPr>
        <w:t>not</w:t>
      </w:r>
      <w:r>
        <w:rPr>
          <w:color w:val="010101"/>
          <w:spacing w:val="-9"/>
          <w:sz w:val="21"/>
        </w:rPr>
        <w:t> </w:t>
      </w:r>
      <w:r>
        <w:rPr>
          <w:color w:val="010101"/>
          <w:sz w:val="21"/>
        </w:rPr>
        <w:t>ceased.</w:t>
      </w:r>
      <w:r>
        <w:rPr>
          <w:color w:val="010101"/>
          <w:spacing w:val="-13"/>
          <w:sz w:val="21"/>
        </w:rPr>
        <w:t> </w:t>
      </w:r>
      <w:r>
        <w:rPr>
          <w:color w:val="010101"/>
          <w:sz w:val="21"/>
        </w:rPr>
        <w:t>By</w:t>
      </w:r>
      <w:r>
        <w:rPr>
          <w:color w:val="010101"/>
          <w:spacing w:val="-12"/>
          <w:sz w:val="21"/>
        </w:rPr>
        <w:t> </w:t>
      </w:r>
      <w:r>
        <w:rPr>
          <w:color w:val="010101"/>
          <w:sz w:val="21"/>
        </w:rPr>
        <w:t>this</w:t>
      </w:r>
      <w:r>
        <w:rPr>
          <w:color w:val="010101"/>
          <w:spacing w:val="-19"/>
          <w:sz w:val="21"/>
        </w:rPr>
        <w:t> </w:t>
      </w:r>
      <w:r>
        <w:rPr>
          <w:i/>
          <w:color w:val="010101"/>
          <w:sz w:val="21"/>
        </w:rPr>
        <w:t>retrospective</w:t>
      </w:r>
      <w:r>
        <w:rPr>
          <w:i/>
          <w:color w:val="010101"/>
          <w:spacing w:val="2"/>
          <w:sz w:val="21"/>
        </w:rPr>
        <w:t> </w:t>
      </w:r>
      <w:r>
        <w:rPr>
          <w:i/>
          <w:color w:val="010101"/>
          <w:sz w:val="21"/>
        </w:rPr>
        <w:t>method</w:t>
      </w:r>
      <w:r>
        <w:rPr>
          <w:i/>
          <w:color w:val="010101"/>
          <w:spacing w:val="-31"/>
          <w:sz w:val="21"/>
        </w:rPr>
        <w:t> </w:t>
      </w:r>
      <w:r>
        <w:rPr>
          <w:i/>
          <w:color w:val="010101"/>
          <w:sz w:val="21"/>
        </w:rPr>
        <w:t>, </w:t>
      </w:r>
      <w:r>
        <w:rPr>
          <w:color w:val="010101"/>
          <w:sz w:val="21"/>
        </w:rPr>
        <w:t>all policies of the above type .having the same year of issue and  age at issue can be grouped together  for valuation.  For  each of  the resulting groups, the total net premiums </w:t>
      </w:r>
      <w:r>
        <w:rPr>
          <w:rFonts w:ascii="Arial"/>
          <w:i/>
          <w:color w:val="010101"/>
          <w:sz w:val="19"/>
        </w:rPr>
        <w:t>( !.P ) </w:t>
      </w:r>
      <w:r>
        <w:rPr>
          <w:color w:val="010101"/>
          <w:sz w:val="21"/>
        </w:rPr>
        <w:t>and the total  sums insured  </w:t>
      </w:r>
      <w:r>
        <w:rPr>
          <w:rFonts w:ascii="Arial"/>
          <w:color w:val="010101"/>
          <w:sz w:val="18"/>
        </w:rPr>
        <w:t>(!.S) </w:t>
      </w:r>
      <w:r>
        <w:rPr>
          <w:color w:val="010101"/>
          <w:sz w:val="21"/>
        </w:rPr>
        <w:t>are obtained. Then the  </w:t>
      </w:r>
      <w:r>
        <w:rPr>
          <w:color w:val="010101"/>
          <w:spacing w:val="9"/>
          <w:sz w:val="21"/>
        </w:rPr>
        <w:t> </w:t>
      </w:r>
      <w:r>
        <w:rPr>
          <w:color w:val="010101"/>
          <w:sz w:val="21"/>
        </w:rPr>
        <w:t>formula</w:t>
      </w:r>
    </w:p>
    <w:p>
      <w:pPr>
        <w:spacing w:after="0" w:line="237" w:lineRule="auto"/>
        <w:jc w:val="both"/>
        <w:rPr>
          <w:sz w:val="21"/>
        </w:rPr>
        <w:sectPr>
          <w:type w:val="continuous"/>
          <w:pgSz w:w="7200" w:h="11340"/>
          <w:pgMar w:top="1100" w:bottom="0" w:left="660" w:right="540"/>
        </w:sectPr>
      </w:pPr>
    </w:p>
    <w:p>
      <w:pPr>
        <w:tabs>
          <w:tab w:pos="1906" w:val="left" w:leader="none"/>
          <w:tab w:pos="5832" w:val="right" w:leader="none"/>
        </w:tabs>
        <w:spacing w:before="59"/>
        <w:ind w:left="112" w:right="0" w:firstLine="0"/>
        <w:jc w:val="left"/>
        <w:rPr>
          <w:sz w:val="22"/>
        </w:rPr>
      </w:pPr>
      <w:r>
        <w:rPr>
          <w:b/>
          <w:color w:val="010101"/>
          <w:sz w:val="15"/>
        </w:rPr>
        <w:t>SEC, </w:t>
      </w:r>
      <w:r>
        <w:rPr>
          <w:b/>
          <w:color w:val="010101"/>
          <w:spacing w:val="2"/>
          <w:sz w:val="15"/>
        </w:rPr>
        <w:t> </w:t>
      </w:r>
      <w:r>
        <w:rPr>
          <w:rFonts w:ascii="Arial"/>
          <w:b/>
          <w:color w:val="010101"/>
          <w:sz w:val="19"/>
        </w:rPr>
        <w:t>10)</w:t>
        <w:tab/>
      </w:r>
      <w:r>
        <w:rPr>
          <w:b/>
          <w:color w:val="010101"/>
          <w:position w:val="1"/>
          <w:sz w:val="15"/>
        </w:rPr>
        <w:t>METHOD8 </w:t>
      </w:r>
      <w:r>
        <w:rPr>
          <w:b/>
          <w:color w:val="010101"/>
          <w:spacing w:val="32"/>
          <w:position w:val="1"/>
          <w:sz w:val="15"/>
        </w:rPr>
        <w:t> </w:t>
      </w:r>
      <w:r>
        <w:rPr>
          <w:b/>
          <w:color w:val="010101"/>
          <w:position w:val="1"/>
          <w:sz w:val="15"/>
        </w:rPr>
        <w:t>OF </w:t>
      </w:r>
      <w:r>
        <w:rPr>
          <w:b/>
          <w:color w:val="010101"/>
          <w:spacing w:val="19"/>
          <w:position w:val="1"/>
          <w:sz w:val="15"/>
        </w:rPr>
        <w:t> </w:t>
      </w:r>
      <w:r>
        <w:rPr>
          <w:b/>
          <w:color w:val="010101"/>
          <w:position w:val="1"/>
          <w:sz w:val="15"/>
        </w:rPr>
        <w:t>VALUATION</w:t>
      </w:r>
      <w:r>
        <w:rPr>
          <w:color w:val="010101"/>
          <w:sz w:val="22"/>
        </w:rPr>
        <w:tab/>
      </w:r>
      <w:r>
        <w:rPr>
          <w:color w:val="010101"/>
          <w:spacing w:val="-13"/>
          <w:sz w:val="22"/>
        </w:rPr>
        <w:t>117</w:t>
      </w:r>
    </w:p>
    <w:p>
      <w:pPr>
        <w:tabs>
          <w:tab w:pos="4776" w:val="left" w:leader="none"/>
          <w:tab w:pos="5310" w:val="left" w:leader="none"/>
        </w:tabs>
        <w:spacing w:before="72"/>
        <w:ind w:left="1063" w:right="0" w:firstLine="0"/>
        <w:jc w:val="left"/>
        <w:rPr>
          <w:sz w:val="20"/>
        </w:rPr>
      </w:pPr>
      <w:r>
        <w:rPr/>
        <w:pict>
          <v:line style="position:absolute;mso-position-horizontal-relative:page;mso-position-vertical-relative:paragraph;z-index:-725416" from="97.757851pt,30.806662pt" to="156.053801pt,30.806662pt" stroked="true" strokeweight="8.430493pt" strokecolor="#000000">
            <w10:wrap type="none"/>
          </v:line>
        </w:pict>
      </w:r>
      <w:r>
        <w:rPr/>
        <w:pict>
          <v:line style="position:absolute;mso-position-horizontal-relative:page;mso-position-vertical-relative:paragraph;z-index:-725392" from="188.340805pt,30.98649pt" to="227.982105pt,30.98649pt" stroked="true" strokeweight="8.430493pt" strokecolor="#000000">
            <w10:wrap type="none"/>
          </v:line>
        </w:pict>
      </w:r>
      <w:r>
        <w:rPr/>
        <w:pict>
          <v:shape style="position:absolute;margin-left:117.129997pt;margin-top:23.672752pt;width:110.7pt;height:13pt;mso-position-horizontal-relative:page;mso-position-vertical-relative:paragraph;z-index:-725344" type="#_x0000_t202" filled="false" stroked="false">
            <v:textbox inset="0,0,0,0">
              <w:txbxContent>
                <w:p>
                  <w:pPr>
                    <w:tabs>
                      <w:tab w:pos="1843" w:val="left" w:leader="none"/>
                    </w:tabs>
                    <w:spacing w:line="260" w:lineRule="exact" w:before="0"/>
                    <w:ind w:left="0" w:right="0" w:firstLine="0"/>
                    <w:jc w:val="left"/>
                    <w:rPr>
                      <w:b/>
                      <w:i/>
                      <w:sz w:val="26"/>
                    </w:rPr>
                  </w:pPr>
                  <w:r>
                    <w:rPr>
                      <w:b/>
                      <w:i/>
                      <w:color w:val="010101"/>
                      <w:w w:val="90"/>
                      <w:sz w:val="22"/>
                    </w:rPr>
                    <w:t>DzH</w:t>
                    <w:tab/>
                  </w:r>
                  <w:r>
                    <w:rPr>
                      <w:b/>
                      <w:i/>
                      <w:color w:val="010101"/>
                      <w:w w:val="70"/>
                      <w:sz w:val="26"/>
                    </w:rPr>
                    <w:t>D.._,</w:t>
                  </w:r>
                </w:p>
              </w:txbxContent>
            </v:textbox>
            <w10:wrap type="none"/>
          </v:shape>
        </w:pict>
      </w:r>
      <w:r>
        <w:rPr>
          <w:color w:val="010101"/>
          <w:w w:val="133"/>
          <w:sz w:val="22"/>
        </w:rPr>
        <w:t>p</w:t>
      </w:r>
      <w:r>
        <w:rPr>
          <w:color w:val="010101"/>
          <w:spacing w:val="-1"/>
          <w:sz w:val="22"/>
        </w:rPr>
        <w:t> </w:t>
      </w:r>
      <w:r>
        <w:rPr>
          <w:rFonts w:ascii="Arial" w:hAnsi="Arial"/>
          <w:color w:val="010101"/>
          <w:spacing w:val="-44"/>
          <w:w w:val="96"/>
          <w:sz w:val="49"/>
        </w:rPr>
        <w:t>(</w:t>
      </w:r>
      <w:r>
        <w:rPr>
          <w:rFonts w:ascii="Arial" w:hAnsi="Arial"/>
          <w:color w:val="010101"/>
          <w:spacing w:val="-37"/>
          <w:w w:val="57"/>
          <w:sz w:val="49"/>
        </w:rPr>
        <w:t>N</w:t>
      </w:r>
      <w:r>
        <w:rPr>
          <w:rFonts w:ascii="Arial" w:hAnsi="Arial"/>
          <w:color w:val="010101"/>
          <w:w w:val="53"/>
          <w:sz w:val="49"/>
        </w:rPr>
        <w:t>•</w:t>
      </w:r>
      <w:r>
        <w:rPr>
          <w:rFonts w:ascii="Arial" w:hAnsi="Arial"/>
          <w:color w:val="010101"/>
          <w:spacing w:val="-71"/>
          <w:sz w:val="49"/>
        </w:rPr>
        <w:t> </w:t>
      </w:r>
      <w:r>
        <w:rPr>
          <w:rFonts w:ascii="Arial" w:hAnsi="Arial"/>
          <w:color w:val="010101"/>
          <w:w w:val="107"/>
          <w:sz w:val="49"/>
        </w:rPr>
        <w:t>-</w:t>
      </w:r>
      <w:r>
        <w:rPr>
          <w:rFonts w:ascii="Arial" w:hAnsi="Arial"/>
          <w:color w:val="010101"/>
          <w:spacing w:val="-80"/>
          <w:sz w:val="49"/>
        </w:rPr>
        <w:t> </w:t>
      </w:r>
      <w:r>
        <w:rPr>
          <w:rFonts w:ascii="Arial" w:hAnsi="Arial"/>
          <w:b/>
          <w:i/>
          <w:color w:val="010101"/>
          <w:w w:val="44"/>
          <w:sz w:val="43"/>
        </w:rPr>
        <w:t>N-</w:t>
      </w:r>
      <w:r>
        <w:rPr>
          <w:rFonts w:ascii="Arial" w:hAnsi="Arial"/>
          <w:b/>
          <w:i/>
          <w:color w:val="010101"/>
          <w:spacing w:val="27"/>
          <w:w w:val="44"/>
          <w:sz w:val="43"/>
        </w:rPr>
        <w:t>+</w:t>
      </w:r>
      <w:r>
        <w:rPr>
          <w:rFonts w:ascii="Arial" w:hAnsi="Arial"/>
          <w:b/>
          <w:i/>
          <w:color w:val="010101"/>
          <w:spacing w:val="-8"/>
          <w:w w:val="49"/>
          <w:sz w:val="43"/>
        </w:rPr>
        <w:t>'</w:t>
      </w:r>
      <w:r>
        <w:rPr>
          <w:rFonts w:ascii="Arial" w:hAnsi="Arial"/>
          <w:b/>
          <w:i/>
          <w:color w:val="010101"/>
          <w:w w:val="70"/>
          <w:sz w:val="43"/>
        </w:rPr>
        <w:t>)</w:t>
      </w:r>
      <w:r>
        <w:rPr>
          <w:rFonts w:ascii="Arial" w:hAnsi="Arial"/>
          <w:b/>
          <w:i/>
          <w:color w:val="010101"/>
          <w:spacing w:val="-10"/>
          <w:sz w:val="43"/>
        </w:rPr>
        <w:t> </w:t>
      </w:r>
      <w:r>
        <w:rPr>
          <w:rFonts w:ascii="Arial" w:hAnsi="Arial"/>
          <w:b/>
          <w:i/>
          <w:color w:val="010101"/>
          <w:w w:val="111"/>
          <w:sz w:val="43"/>
        </w:rPr>
        <w:t>-</w:t>
      </w:r>
      <w:r>
        <w:rPr>
          <w:rFonts w:ascii="Arial" w:hAnsi="Arial"/>
          <w:b/>
          <w:i/>
          <w:color w:val="010101"/>
          <w:sz w:val="43"/>
        </w:rPr>
        <w:t> </w:t>
      </w:r>
      <w:r>
        <w:rPr>
          <w:rFonts w:ascii="Arial" w:hAnsi="Arial"/>
          <w:b/>
          <w:i/>
          <w:color w:val="010101"/>
          <w:spacing w:val="-45"/>
          <w:sz w:val="43"/>
        </w:rPr>
        <w:t> </w:t>
      </w:r>
      <w:r>
        <w:rPr>
          <w:i/>
          <w:color w:val="010101"/>
          <w:w w:val="94"/>
          <w:sz w:val="23"/>
        </w:rPr>
        <w:t>S</w:t>
      </w:r>
      <w:r>
        <w:rPr>
          <w:i/>
          <w:color w:val="010101"/>
          <w:spacing w:val="20"/>
          <w:sz w:val="23"/>
        </w:rPr>
        <w:t> </w:t>
      </w:r>
      <w:r>
        <w:rPr>
          <w:b/>
          <w:color w:val="010101"/>
          <w:w w:val="50"/>
          <w:sz w:val="46"/>
        </w:rPr>
        <w:t>(</w:t>
      </w:r>
      <w:r>
        <w:rPr>
          <w:b/>
          <w:color w:val="010101"/>
          <w:w w:val="50"/>
          <w:sz w:val="46"/>
        </w:rPr>
        <w:t>Mª</w:t>
      </w:r>
      <w:r>
        <w:rPr>
          <w:b/>
          <w:color w:val="010101"/>
          <w:spacing w:val="-19"/>
          <w:sz w:val="46"/>
        </w:rPr>
        <w:t> </w:t>
      </w:r>
      <w:r>
        <w:rPr>
          <w:color w:val="010101"/>
          <w:spacing w:val="45"/>
          <w:w w:val="126"/>
          <w:sz w:val="46"/>
        </w:rPr>
        <w:t>-</w:t>
      </w:r>
      <w:r>
        <w:rPr>
          <w:rFonts w:ascii="Arial" w:hAnsi="Arial"/>
          <w:b/>
          <w:i/>
          <w:color w:val="010101"/>
          <w:w w:val="47"/>
          <w:sz w:val="43"/>
        </w:rPr>
        <w:t>M.._,</w:t>
      </w:r>
      <w:r>
        <w:rPr>
          <w:rFonts w:ascii="Arial" w:hAnsi="Arial"/>
          <w:b/>
          <w:i/>
          <w:color w:val="010101"/>
          <w:w w:val="47"/>
          <w:sz w:val="43"/>
        </w:rPr>
        <w:t>)</w:t>
      </w:r>
      <w:r>
        <w:rPr>
          <w:rFonts w:ascii="Arial" w:hAnsi="Arial"/>
          <w:b/>
          <w:i/>
          <w:color w:val="010101"/>
          <w:spacing w:val="-8"/>
          <w:sz w:val="43"/>
        </w:rPr>
        <w:t> </w:t>
      </w:r>
      <w:r>
        <w:rPr>
          <w:color w:val="010101"/>
          <w:w w:val="89"/>
          <w:sz w:val="26"/>
        </w:rPr>
        <w:t>=</w:t>
      </w:r>
      <w:r>
        <w:rPr>
          <w:color w:val="010101"/>
          <w:sz w:val="26"/>
        </w:rPr>
        <w:tab/>
      </w:r>
      <w:r>
        <w:rPr>
          <w:i/>
          <w:color w:val="010101"/>
          <w:spacing w:val="-31"/>
          <w:w w:val="171"/>
          <w:sz w:val="23"/>
        </w:rPr>
        <w:t>.</w:t>
      </w:r>
      <w:r>
        <w:rPr>
          <w:i/>
          <w:color w:val="010101"/>
          <w:w w:val="99"/>
          <w:sz w:val="23"/>
        </w:rPr>
        <w:t>V</w:t>
      </w:r>
      <w:r>
        <w:rPr>
          <w:i/>
          <w:color w:val="010101"/>
          <w:sz w:val="23"/>
        </w:rPr>
        <w:tab/>
      </w:r>
      <w:r>
        <w:rPr>
          <w:color w:val="010101"/>
          <w:w w:val="116"/>
          <w:sz w:val="20"/>
        </w:rPr>
        <w:t>(</w:t>
      </w:r>
      <w:r>
        <w:rPr>
          <w:color w:val="010101"/>
          <w:spacing w:val="-16"/>
          <w:w w:val="116"/>
          <w:sz w:val="20"/>
        </w:rPr>
        <w:t>5</w:t>
      </w:r>
      <w:r>
        <w:rPr>
          <w:color w:val="010101"/>
          <w:spacing w:val="-35"/>
          <w:w w:val="147"/>
          <w:sz w:val="20"/>
        </w:rPr>
        <w:t>.</w:t>
      </w:r>
      <w:r>
        <w:rPr>
          <w:color w:val="010101"/>
          <w:w w:val="108"/>
          <w:sz w:val="20"/>
        </w:rPr>
        <w:t>35)</w:t>
      </w:r>
    </w:p>
    <w:p>
      <w:pPr>
        <w:spacing w:line="241" w:lineRule="exact" w:before="196"/>
        <w:ind w:left="116" w:right="0" w:firstLine="0"/>
        <w:jc w:val="left"/>
        <w:rPr>
          <w:sz w:val="21"/>
        </w:rPr>
      </w:pPr>
      <w:r>
        <w:rPr>
          <w:color w:val="010101"/>
          <w:w w:val="105"/>
          <w:sz w:val="21"/>
        </w:rPr>
        <w:t>produces the total t-th yea.r terminal reserve for the group.</w:t>
      </w:r>
    </w:p>
    <w:p>
      <w:pPr>
        <w:spacing w:line="237" w:lineRule="auto" w:before="1"/>
        <w:ind w:left="105" w:right="119" w:firstLine="204"/>
        <w:jc w:val="both"/>
        <w:rPr>
          <w:sz w:val="21"/>
        </w:rPr>
      </w:pPr>
      <w:r>
        <w:rPr>
          <w:color w:val="010101"/>
          <w:sz w:val="21"/>
        </w:rPr>
        <w:t>The retrospective method can be further improved by a device which permits the replacement of the two-fold grouping  by  age and year of issue by a single grouping by attained age at the valuation date. This </w:t>
      </w:r>
      <w:r>
        <w:rPr>
          <w:i/>
          <w:color w:val="010101"/>
          <w:sz w:val="21"/>
        </w:rPr>
        <w:t>atlained age </w:t>
      </w:r>
      <w:r>
        <w:rPr>
          <w:color w:val="010101"/>
          <w:sz w:val="21"/>
        </w:rPr>
        <w:t>fonnula is derived from formula (5.34) by adding </w:t>
      </w:r>
      <w:r>
        <w:rPr>
          <w:i/>
          <w:color w:val="010101"/>
          <w:sz w:val="22"/>
        </w:rPr>
        <w:t>M z </w:t>
      </w:r>
      <w:r>
        <w:rPr>
          <w:color w:val="010101"/>
          <w:sz w:val="21"/>
        </w:rPr>
        <w:t>to the numerator and subtracting the equiva- lent expression </w:t>
      </w:r>
      <w:r>
        <w:rPr>
          <w:i/>
          <w:color w:val="010101"/>
          <w:spacing w:val="5"/>
          <w:sz w:val="21"/>
        </w:rPr>
        <w:t>P</w:t>
      </w:r>
      <w:r>
        <w:rPr>
          <w:i/>
          <w:color w:val="010101"/>
          <w:spacing w:val="5"/>
          <w:sz w:val="14"/>
        </w:rPr>
        <w:t>z </w:t>
      </w:r>
      <w:r>
        <w:rPr>
          <w:color w:val="010101"/>
          <w:sz w:val="14"/>
        </w:rPr>
        <w:t>• </w:t>
      </w:r>
      <w:r>
        <w:rPr>
          <w:i/>
          <w:color w:val="010101"/>
          <w:sz w:val="21"/>
        </w:rPr>
        <w:t>Ns </w:t>
      </w:r>
      <w:r>
        <w:rPr>
          <w:color w:val="010101"/>
          <w:w w:val="110"/>
          <w:sz w:val="21"/>
        </w:rPr>
        <w:t>.</w:t>
      </w:r>
      <w:r>
        <w:rPr>
          <w:color w:val="010101"/>
          <w:spacing w:val="38"/>
          <w:w w:val="110"/>
          <w:sz w:val="21"/>
        </w:rPr>
        <w:t> </w:t>
      </w:r>
      <w:r>
        <w:rPr>
          <w:color w:val="010101"/>
          <w:sz w:val="21"/>
        </w:rPr>
        <w:t>Then,</w:t>
      </w:r>
    </w:p>
    <w:p>
      <w:pPr>
        <w:spacing w:before="45"/>
        <w:ind w:left="124" w:right="131" w:firstLine="0"/>
        <w:jc w:val="center"/>
        <w:rPr>
          <w:b/>
          <w:i/>
          <w:sz w:val="22"/>
        </w:rPr>
      </w:pPr>
      <w:r>
        <w:rPr>
          <w:b/>
          <w:i/>
          <w:color w:val="010101"/>
          <w:w w:val="95"/>
          <w:sz w:val="23"/>
        </w:rPr>
        <w:t>,V </w:t>
      </w:r>
      <w:r>
        <w:rPr>
          <w:b/>
          <w:i/>
          <w:color w:val="010101"/>
          <w:w w:val="110"/>
          <w:sz w:val="23"/>
        </w:rPr>
        <w:t>= </w:t>
      </w:r>
      <w:r>
        <w:rPr>
          <w:b/>
          <w:i/>
          <w:color w:val="010101"/>
          <w:w w:val="95"/>
          <w:sz w:val="23"/>
        </w:rPr>
        <w:t>M.._, </w:t>
      </w:r>
      <w:r>
        <w:rPr>
          <w:color w:val="010101"/>
          <w:w w:val="225"/>
          <w:sz w:val="23"/>
        </w:rPr>
        <w:t>-</w:t>
      </w:r>
      <w:r>
        <w:rPr>
          <w:color w:val="010101"/>
          <w:spacing w:val="-94"/>
          <w:w w:val="225"/>
          <w:sz w:val="23"/>
        </w:rPr>
        <w:t> </w:t>
      </w:r>
      <w:r>
        <w:rPr>
          <w:b/>
          <w:i/>
          <w:color w:val="010101"/>
          <w:w w:val="95"/>
          <w:sz w:val="22"/>
        </w:rPr>
        <w:t>P · N zH </w:t>
      </w:r>
      <w:r>
        <w:rPr>
          <w:rFonts w:ascii="Arial" w:hAnsi="Arial"/>
          <w:color w:val="010101"/>
          <w:w w:val="110"/>
          <w:sz w:val="31"/>
        </w:rPr>
        <w:t>+ </w:t>
      </w:r>
      <w:r>
        <w:rPr>
          <w:rFonts w:ascii="Arial" w:hAnsi="Arial"/>
          <w:b/>
          <w:color w:val="010101"/>
          <w:w w:val="110"/>
          <w:sz w:val="19"/>
        </w:rPr>
        <w:t>(P </w:t>
      </w:r>
      <w:r>
        <w:rPr>
          <w:rFonts w:ascii="Arial" w:hAnsi="Arial"/>
          <w:color w:val="010101"/>
          <w:w w:val="255"/>
          <w:sz w:val="19"/>
        </w:rPr>
        <w:t>-</w:t>
      </w:r>
      <w:r>
        <w:rPr>
          <w:rFonts w:ascii="Arial" w:hAnsi="Arial"/>
          <w:color w:val="010101"/>
          <w:spacing w:val="-96"/>
          <w:w w:val="255"/>
          <w:sz w:val="19"/>
        </w:rPr>
        <w:t> </w:t>
      </w:r>
      <w:r>
        <w:rPr>
          <w:b/>
          <w:i/>
          <w:color w:val="010101"/>
          <w:w w:val="75"/>
          <w:sz w:val="22"/>
        </w:rPr>
        <w:t>P:I&amp; </w:t>
      </w:r>
      <w:r>
        <w:rPr>
          <w:b/>
          <w:i/>
          <w:color w:val="010101"/>
          <w:w w:val="95"/>
          <w:sz w:val="22"/>
        </w:rPr>
        <w:t>)N z</w:t>
      </w:r>
    </w:p>
    <w:p>
      <w:pPr>
        <w:spacing w:before="51"/>
        <w:ind w:left="609" w:right="131" w:firstLine="0"/>
        <w:jc w:val="center"/>
        <w:rPr>
          <w:b/>
          <w:i/>
          <w:sz w:val="14"/>
        </w:rPr>
      </w:pPr>
      <w:r>
        <w:rPr>
          <w:b/>
          <w:i/>
          <w:color w:val="010101"/>
          <w:w w:val="130"/>
          <w:sz w:val="14"/>
        </w:rPr>
        <w:t>DzH</w:t>
      </w:r>
    </w:p>
    <w:p>
      <w:pPr>
        <w:spacing w:after="0"/>
        <w:jc w:val="center"/>
        <w:rPr>
          <w:sz w:val="14"/>
        </w:rPr>
        <w:sectPr>
          <w:pgSz w:w="7200" w:h="11340"/>
          <w:pgMar w:top="480" w:bottom="280" w:left="680" w:right="560"/>
        </w:sectPr>
      </w:pPr>
    </w:p>
    <w:p>
      <w:pPr>
        <w:tabs>
          <w:tab w:pos="1303" w:val="left" w:leader="none"/>
        </w:tabs>
        <w:spacing w:line="259" w:lineRule="exact" w:before="200"/>
        <w:ind w:left="105" w:right="0" w:firstLine="0"/>
        <w:jc w:val="left"/>
        <w:rPr>
          <w:sz w:val="26"/>
        </w:rPr>
      </w:pPr>
      <w:r>
        <w:rPr>
          <w:color w:val="010101"/>
          <w:w w:val="105"/>
          <w:sz w:val="21"/>
        </w:rPr>
        <w:t>or</w:t>
        <w:tab/>
      </w:r>
      <w:r>
        <w:rPr>
          <w:color w:val="010101"/>
          <w:w w:val="105"/>
          <w:position w:val="-1"/>
          <w:sz w:val="26"/>
        </w:rPr>
        <w:t>,</w:t>
      </w:r>
      <w:r>
        <w:rPr>
          <w:i/>
          <w:color w:val="010101"/>
          <w:w w:val="105"/>
          <w:sz w:val="22"/>
        </w:rPr>
        <w:t>V</w:t>
      </w:r>
      <w:r>
        <w:rPr>
          <w:i/>
          <w:color w:val="010101"/>
          <w:spacing w:val="14"/>
          <w:w w:val="105"/>
          <w:sz w:val="22"/>
        </w:rPr>
        <w:t> </w:t>
      </w:r>
      <w:r>
        <w:rPr>
          <w:color w:val="010101"/>
          <w:w w:val="105"/>
          <w:position w:val="-1"/>
          <w:sz w:val="26"/>
        </w:rPr>
        <w:t>=</w:t>
      </w:r>
    </w:p>
    <w:p>
      <w:pPr>
        <w:tabs>
          <w:tab w:pos="1328" w:val="left" w:leader="none"/>
        </w:tabs>
        <w:spacing w:line="432" w:lineRule="exact" w:before="28"/>
        <w:ind w:left="62" w:right="0" w:firstLine="0"/>
        <w:jc w:val="left"/>
        <w:rPr>
          <w:sz w:val="23"/>
        </w:rPr>
      </w:pPr>
      <w:r>
        <w:rPr/>
        <w:br w:type="column"/>
      </w:r>
      <w:r>
        <w:rPr>
          <w:i/>
          <w:color w:val="010101"/>
          <w:w w:val="98"/>
          <w:position w:val="-9"/>
          <w:sz w:val="22"/>
        </w:rPr>
        <w:t>A</w:t>
      </w:r>
      <w:r>
        <w:rPr>
          <w:i/>
          <w:color w:val="010101"/>
          <w:spacing w:val="-30"/>
          <w:position w:val="-9"/>
          <w:sz w:val="22"/>
        </w:rPr>
        <w:t> </w:t>
      </w:r>
      <w:r>
        <w:rPr>
          <w:color w:val="010101"/>
          <w:w w:val="83"/>
          <w:position w:val="-12"/>
          <w:sz w:val="18"/>
        </w:rPr>
        <w:t>z+c</w:t>
      </w:r>
      <w:r>
        <w:rPr>
          <w:color w:val="010101"/>
          <w:position w:val="-12"/>
          <w:sz w:val="18"/>
        </w:rPr>
        <w:t> </w:t>
      </w:r>
      <w:r>
        <w:rPr>
          <w:color w:val="010101"/>
          <w:spacing w:val="10"/>
          <w:position w:val="-12"/>
          <w:sz w:val="18"/>
        </w:rPr>
        <w:t> </w:t>
      </w:r>
      <w:r>
        <w:rPr>
          <w:color w:val="010101"/>
          <w:w w:val="304"/>
          <w:position w:val="-12"/>
          <w:sz w:val="18"/>
        </w:rPr>
        <w:t>-</w:t>
      </w:r>
      <w:r>
        <w:rPr>
          <w:color w:val="010101"/>
          <w:spacing w:val="12"/>
          <w:position w:val="-12"/>
          <w:sz w:val="18"/>
        </w:rPr>
        <w:t> </w:t>
      </w:r>
      <w:r>
        <w:rPr>
          <w:i/>
          <w:color w:val="010101"/>
          <w:w w:val="96"/>
          <w:position w:val="-9"/>
          <w:sz w:val="22"/>
        </w:rPr>
        <w:t>P</w:t>
      </w:r>
      <w:r>
        <w:rPr>
          <w:i/>
          <w:color w:val="010101"/>
          <w:spacing w:val="-10"/>
          <w:position w:val="-9"/>
          <w:sz w:val="22"/>
        </w:rPr>
        <w:t> </w:t>
      </w:r>
      <w:r>
        <w:rPr>
          <w:i/>
          <w:color w:val="010101"/>
          <w:spacing w:val="-30"/>
          <w:w w:val="113"/>
          <w:sz w:val="22"/>
        </w:rPr>
        <w:t>.</w:t>
      </w:r>
      <w:r>
        <w:rPr>
          <w:i/>
          <w:color w:val="010101"/>
          <w:w w:val="97"/>
          <w:sz w:val="22"/>
        </w:rPr>
        <w:t>.</w:t>
      </w:r>
      <w:r>
        <w:rPr>
          <w:i/>
          <w:color w:val="010101"/>
          <w:sz w:val="22"/>
        </w:rPr>
        <w:tab/>
      </w:r>
      <w:r>
        <w:rPr>
          <w:rFonts w:ascii="Arial"/>
          <w:color w:val="010101"/>
          <w:w w:val="102"/>
          <w:sz w:val="31"/>
        </w:rPr>
        <w:t>+</w:t>
      </w:r>
      <w:r>
        <w:rPr>
          <w:rFonts w:ascii="Arial"/>
          <w:color w:val="010101"/>
          <w:spacing w:val="-14"/>
          <w:sz w:val="31"/>
        </w:rPr>
        <w:t> </w:t>
      </w:r>
      <w:r>
        <w:rPr>
          <w:rFonts w:ascii="Arial"/>
          <w:color w:val="010101"/>
          <w:spacing w:val="-15"/>
          <w:w w:val="128"/>
          <w:sz w:val="19"/>
        </w:rPr>
        <w:t>(</w:t>
      </w:r>
      <w:r>
        <w:rPr>
          <w:rFonts w:ascii="Arial"/>
          <w:color w:val="010101"/>
          <w:spacing w:val="-152"/>
          <w:w w:val="128"/>
          <w:sz w:val="19"/>
        </w:rPr>
        <w:t>P</w:t>
      </w:r>
      <w:r>
        <w:rPr>
          <w:rFonts w:ascii="Arial"/>
          <w:color w:val="010101"/>
          <w:spacing w:val="-348"/>
          <w:w w:val="275"/>
          <w:sz w:val="19"/>
        </w:rPr>
        <w:t>-</w:t>
      </w:r>
      <w:r>
        <w:rPr>
          <w:i/>
          <w:color w:val="010101"/>
          <w:w w:val="88"/>
          <w:position w:val="-12"/>
          <w:sz w:val="23"/>
        </w:rPr>
        <w:t>D</w:t>
      </w:r>
      <w:r>
        <w:rPr>
          <w:i/>
          <w:color w:val="010101"/>
          <w:spacing w:val="-1"/>
          <w:position w:val="-12"/>
          <w:sz w:val="23"/>
        </w:rPr>
        <w:t> </w:t>
      </w:r>
      <w:r>
        <w:rPr>
          <w:i/>
          <w:color w:val="010101"/>
          <w:w w:val="81"/>
          <w:sz w:val="22"/>
        </w:rPr>
        <w:t>Pa</w:t>
      </w:r>
      <w:r>
        <w:rPr>
          <w:i/>
          <w:color w:val="010101"/>
          <w:spacing w:val="-30"/>
          <w:sz w:val="22"/>
        </w:rPr>
        <w:t> </w:t>
      </w:r>
      <w:r>
        <w:rPr>
          <w:i/>
          <w:color w:val="010101"/>
          <w:w w:val="89"/>
          <w:sz w:val="22"/>
        </w:rPr>
        <w:t>)</w:t>
      </w:r>
      <w:r>
        <w:rPr>
          <w:i/>
          <w:color w:val="010101"/>
          <w:w w:val="89"/>
          <w:sz w:val="22"/>
        </w:rPr>
        <w:t>N</w:t>
      </w:r>
      <w:r>
        <w:rPr>
          <w:i/>
          <w:color w:val="010101"/>
          <w:spacing w:val="-6"/>
          <w:sz w:val="22"/>
        </w:rPr>
        <w:t> </w:t>
      </w:r>
      <w:r>
        <w:rPr>
          <w:i/>
          <w:color w:val="010101"/>
          <w:w w:val="67"/>
          <w:sz w:val="22"/>
        </w:rPr>
        <w:t>z</w:t>
      </w:r>
      <w:r>
        <w:rPr>
          <w:i/>
          <w:color w:val="010101"/>
          <w:spacing w:val="5"/>
          <w:sz w:val="22"/>
        </w:rPr>
        <w:t> </w:t>
      </w:r>
      <w:r>
        <w:rPr>
          <w:color w:val="010101"/>
          <w:w w:val="142"/>
          <w:position w:val="-12"/>
          <w:sz w:val="23"/>
        </w:rPr>
        <w:t>.</w:t>
      </w:r>
    </w:p>
    <w:p>
      <w:pPr>
        <w:pStyle w:val="BodyText"/>
        <w:spacing w:before="6"/>
        <w:rPr>
          <w:sz w:val="19"/>
        </w:rPr>
      </w:pPr>
      <w:r>
        <w:rPr/>
        <w:br w:type="column"/>
      </w:r>
      <w:r>
        <w:rPr>
          <w:sz w:val="19"/>
        </w:rPr>
      </w:r>
    </w:p>
    <w:p>
      <w:pPr>
        <w:pStyle w:val="BodyText"/>
        <w:spacing w:before="1"/>
        <w:ind w:left="105"/>
      </w:pPr>
      <w:r>
        <w:rPr>
          <w:color w:val="010101"/>
          <w:w w:val="125"/>
        </w:rPr>
        <w:t>(5.36)</w:t>
      </w:r>
    </w:p>
    <w:p>
      <w:pPr>
        <w:spacing w:after="0"/>
        <w:sectPr>
          <w:type w:val="continuous"/>
          <w:pgSz w:w="7200" w:h="11340"/>
          <w:pgMar w:top="1100" w:bottom="0" w:left="680" w:right="560"/>
          <w:cols w:num="3" w:equalWidth="0">
            <w:col w:w="1740" w:space="40"/>
            <w:col w:w="2817" w:space="612"/>
            <w:col w:w="751"/>
          </w:cols>
        </w:sectPr>
      </w:pPr>
    </w:p>
    <w:p>
      <w:pPr>
        <w:spacing w:line="153" w:lineRule="exact" w:before="0"/>
        <w:ind w:left="3879" w:right="0" w:firstLine="0"/>
        <w:jc w:val="left"/>
        <w:rPr>
          <w:rFonts w:ascii="Arial"/>
          <w:b/>
          <w:sz w:val="15"/>
        </w:rPr>
      </w:pPr>
      <w:r>
        <w:rPr/>
        <w:pict>
          <v:line style="position:absolute;mso-position-horizontal-relative:page;mso-position-vertical-relative:paragraph;z-index:-725368" from="202.331802pt,-4.44254pt" to="255.964102pt,-4.44254pt" stroked="true" strokeweight=".896861pt" strokecolor="#000000">
            <w10:wrap type="none"/>
          </v:line>
        </w:pict>
      </w:r>
      <w:r>
        <w:rPr/>
        <w:pict>
          <v:shape style="position:absolute;margin-left:168.7892pt;margin-top:-7.998103pt;width:15.9pt;height:9pt;mso-position-horizontal-relative:page;mso-position-vertical-relative:paragraph;z-index:-725320" type="#_x0000_t202" filled="false" stroked="false">
            <v:textbox inset="0,0,0,0">
              <w:txbxContent>
                <w:p>
                  <w:pPr>
                    <w:spacing w:line="180" w:lineRule="exact" w:before="0"/>
                    <w:ind w:left="0" w:right="-10" w:firstLine="0"/>
                    <w:jc w:val="left"/>
                    <w:rPr>
                      <w:i/>
                      <w:sz w:val="18"/>
                    </w:rPr>
                  </w:pPr>
                  <w:r>
                    <w:rPr>
                      <w:i/>
                      <w:color w:val="010101"/>
                      <w:w w:val="85"/>
                      <w:sz w:val="18"/>
                    </w:rPr>
                    <w:t>az+c</w:t>
                  </w:r>
                </w:p>
              </w:txbxContent>
            </v:textbox>
            <w10:wrap type="none"/>
          </v:shape>
        </w:pict>
      </w:r>
      <w:r>
        <w:rPr>
          <w:rFonts w:ascii="Arial"/>
          <w:b/>
          <w:color w:val="010101"/>
          <w:w w:val="85"/>
          <w:sz w:val="15"/>
        </w:rPr>
        <w:t>s+C</w:t>
      </w:r>
    </w:p>
    <w:p>
      <w:pPr>
        <w:spacing w:line="237" w:lineRule="auto" w:before="90"/>
        <w:ind w:left="109" w:right="109" w:firstLine="7"/>
        <w:jc w:val="both"/>
        <w:rPr>
          <w:sz w:val="21"/>
        </w:rPr>
      </w:pPr>
      <w:r>
        <w:rPr>
          <w:color w:val="010101"/>
          <w:sz w:val="21"/>
        </w:rPr>
        <w:t>It must be remembered that </w:t>
      </w:r>
      <w:r>
        <w:rPr>
          <w:rFonts w:ascii="Arial" w:hAnsi="Arial"/>
          <w:i/>
          <w:color w:val="010101"/>
          <w:sz w:val="19"/>
        </w:rPr>
        <w:t>P </w:t>
      </w:r>
      <w:r>
        <w:rPr>
          <w:color w:val="010101"/>
          <w:sz w:val="21"/>
        </w:rPr>
        <w:t>stands for the net premium on the plan being valued and </w:t>
      </w:r>
      <w:r>
        <w:rPr>
          <w:rFonts w:ascii="Arial" w:hAnsi="Arial"/>
          <w:i/>
          <w:color w:val="010101"/>
          <w:sz w:val="19"/>
        </w:rPr>
        <w:t>P</w:t>
      </w:r>
      <w:r>
        <w:rPr>
          <w:i/>
          <w:color w:val="010101"/>
          <w:sz w:val="13"/>
        </w:rPr>
        <w:t>z </w:t>
      </w:r>
      <w:r>
        <w:rPr>
          <w:color w:val="010101"/>
          <w:sz w:val="21"/>
        </w:rPr>
        <w:t>is the ordinary lif e net premium at the same a.ge. The expression (P </w:t>
      </w:r>
      <w:r>
        <w:rPr>
          <w:color w:val="010101"/>
          <w:w w:val="230"/>
          <w:sz w:val="21"/>
        </w:rPr>
        <w:t>- </w:t>
      </w:r>
      <w:r>
        <w:rPr>
          <w:i/>
          <w:color w:val="010101"/>
          <w:sz w:val="22"/>
        </w:rPr>
        <w:t>Ps )N </w:t>
      </w:r>
      <w:r>
        <w:rPr>
          <w:i/>
          <w:color w:val="010101"/>
          <w:w w:val="95"/>
          <w:sz w:val="22"/>
        </w:rPr>
        <w:t>z </w:t>
      </w:r>
      <w:r>
        <w:rPr>
          <w:color w:val="010101"/>
          <w:sz w:val="21"/>
        </w:rPr>
        <w:t>is constant throughout the duration of the policy  and  its use is the characteristic  feature of  the attained age method. It is denoted by </w:t>
      </w:r>
      <w:r>
        <w:rPr>
          <w:i/>
          <w:color w:val="010101"/>
          <w:w w:val="95"/>
          <w:sz w:val="20"/>
        </w:rPr>
        <w:t>Bz </w:t>
      </w:r>
      <w:r>
        <w:rPr>
          <w:i/>
          <w:color w:val="010101"/>
          <w:sz w:val="20"/>
        </w:rPr>
        <w:t>, </w:t>
      </w:r>
      <w:r>
        <w:rPr>
          <w:color w:val="010101"/>
          <w:sz w:val="21"/>
        </w:rPr>
        <w:t>and its value is recorded for each policy issued. The actual valuation then requires  a single sorting of policies into attained age groups. For each </w:t>
      </w:r>
      <w:r>
        <w:rPr>
          <w:color w:val="010101"/>
          <w:w w:val="99"/>
          <w:sz w:val="21"/>
        </w:rPr>
        <w:t>group, </w:t>
      </w:r>
      <w:r>
        <w:rPr>
          <w:color w:val="010101"/>
          <w:w w:val="105"/>
          <w:sz w:val="21"/>
        </w:rPr>
        <w:t>the </w:t>
      </w:r>
      <w:r>
        <w:rPr>
          <w:color w:val="010101"/>
          <w:w w:val="108"/>
          <w:sz w:val="21"/>
        </w:rPr>
        <w:t>total </w:t>
      </w:r>
      <w:r>
        <w:rPr>
          <w:color w:val="010101"/>
          <w:w w:val="102"/>
          <w:sz w:val="21"/>
        </w:rPr>
        <w:t>net </w:t>
      </w:r>
      <w:r>
        <w:rPr>
          <w:color w:val="010101"/>
          <w:w w:val="97"/>
          <w:sz w:val="21"/>
        </w:rPr>
        <w:t>premiums </w:t>
      </w:r>
      <w:r>
        <w:rPr>
          <w:color w:val="010101"/>
          <w:spacing w:val="-4"/>
          <w:w w:val="166"/>
          <w:sz w:val="21"/>
        </w:rPr>
        <w:t>(P),</w:t>
      </w:r>
      <w:r>
        <w:rPr>
          <w:color w:val="010101"/>
          <w:w w:val="166"/>
          <w:sz w:val="21"/>
        </w:rPr>
        <w:t> </w:t>
      </w:r>
      <w:r>
        <w:rPr>
          <w:color w:val="010101"/>
          <w:w w:val="107"/>
          <w:sz w:val="21"/>
        </w:rPr>
        <w:t>the </w:t>
      </w:r>
      <w:r>
        <w:rPr>
          <w:color w:val="010101"/>
          <w:w w:val="106"/>
          <w:sz w:val="21"/>
        </w:rPr>
        <w:t>total </w:t>
      </w:r>
      <w:r>
        <w:rPr>
          <w:color w:val="010101"/>
          <w:w w:val="100"/>
          <w:sz w:val="21"/>
        </w:rPr>
        <w:t>sums </w:t>
      </w:r>
      <w:r>
        <w:rPr>
          <w:color w:val="010101"/>
          <w:w w:val="98"/>
          <w:sz w:val="21"/>
        </w:rPr>
        <w:t>insured </w:t>
      </w:r>
      <w:r>
        <w:rPr>
          <w:color w:val="010101"/>
          <w:spacing w:val="-3"/>
          <w:w w:val="164"/>
          <w:sz w:val="21"/>
        </w:rPr>
        <w:t>(S),</w:t>
      </w:r>
      <w:r>
        <w:rPr>
          <w:color w:val="010101"/>
          <w:w w:val="164"/>
          <w:sz w:val="21"/>
        </w:rPr>
        <w:t> </w:t>
      </w:r>
      <w:r>
        <w:rPr>
          <w:color w:val="010101"/>
          <w:w w:val="104"/>
          <w:sz w:val="21"/>
        </w:rPr>
        <w:t>and </w:t>
      </w:r>
      <w:r>
        <w:rPr>
          <w:color w:val="010101"/>
          <w:w w:val="107"/>
          <w:sz w:val="21"/>
        </w:rPr>
        <w:t>the </w:t>
      </w:r>
      <w:r>
        <w:rPr>
          <w:color w:val="010101"/>
          <w:w w:val="108"/>
          <w:sz w:val="21"/>
        </w:rPr>
        <w:t>total </w:t>
      </w:r>
      <w:r>
        <w:rPr>
          <w:color w:val="010101"/>
          <w:w w:val="97"/>
          <w:sz w:val="21"/>
        </w:rPr>
        <w:t>8-factors </w:t>
      </w:r>
      <w:r>
        <w:rPr>
          <w:color w:val="010101"/>
          <w:spacing w:val="-4"/>
          <w:w w:val="172"/>
          <w:sz w:val="20"/>
        </w:rPr>
        <w:t>(9)</w:t>
      </w:r>
      <w:r>
        <w:rPr>
          <w:color w:val="010101"/>
          <w:w w:val="172"/>
          <w:sz w:val="20"/>
        </w:rPr>
        <w:t> </w:t>
      </w:r>
      <w:r>
        <w:rPr>
          <w:color w:val="010101"/>
          <w:w w:val="103"/>
          <w:sz w:val="21"/>
        </w:rPr>
        <w:t>are </w:t>
      </w:r>
      <w:r>
        <w:rPr>
          <w:color w:val="010101"/>
          <w:w w:val="101"/>
          <w:sz w:val="21"/>
        </w:rPr>
        <w:t>obtained. </w:t>
      </w:r>
      <w:r>
        <w:rPr>
          <w:color w:val="010101"/>
          <w:w w:val="104"/>
          <w:sz w:val="21"/>
        </w:rPr>
        <w:t>Then </w:t>
      </w:r>
      <w:r>
        <w:rPr>
          <w:color w:val="010101"/>
          <w:w w:val="106"/>
          <w:sz w:val="21"/>
        </w:rPr>
        <w:t>a </w:t>
      </w:r>
      <w:r>
        <w:rPr>
          <w:color w:val="010101"/>
          <w:w w:val="95"/>
          <w:sz w:val="21"/>
        </w:rPr>
        <w:t>single </w:t>
      </w:r>
      <w:r>
        <w:rPr>
          <w:color w:val="010101"/>
          <w:w w:val="99"/>
          <w:sz w:val="21"/>
        </w:rPr>
        <w:t>applica­ </w:t>
      </w:r>
      <w:r>
        <w:rPr>
          <w:color w:val="010101"/>
          <w:sz w:val="21"/>
        </w:rPr>
        <w:t>tion of the </w:t>
      </w:r>
      <w:r>
        <w:rPr>
          <w:color w:val="010101"/>
          <w:spacing w:val="5"/>
          <w:sz w:val="21"/>
        </w:rPr>
        <w:t> </w:t>
      </w:r>
      <w:r>
        <w:rPr>
          <w:color w:val="010101"/>
          <w:sz w:val="21"/>
        </w:rPr>
        <w:t>formula</w:t>
      </w:r>
    </w:p>
    <w:p>
      <w:pPr>
        <w:pStyle w:val="BodyText"/>
        <w:rPr>
          <w:sz w:val="9"/>
        </w:rPr>
      </w:pPr>
    </w:p>
    <w:p>
      <w:pPr>
        <w:spacing w:line="316" w:lineRule="exact" w:before="62"/>
        <w:ind w:left="1924" w:right="0" w:firstLine="0"/>
        <w:jc w:val="left"/>
        <w:rPr>
          <w:i/>
          <w:sz w:val="23"/>
        </w:rPr>
      </w:pPr>
      <w:r>
        <w:rPr>
          <w:i/>
          <w:color w:val="010101"/>
          <w:w w:val="94"/>
          <w:sz w:val="23"/>
        </w:rPr>
        <w:t>S</w:t>
      </w:r>
      <w:r>
        <w:rPr>
          <w:i/>
          <w:color w:val="010101"/>
          <w:spacing w:val="-8"/>
          <w:sz w:val="23"/>
        </w:rPr>
        <w:t> </w:t>
      </w:r>
      <w:r>
        <w:rPr>
          <w:i/>
          <w:color w:val="010101"/>
          <w:spacing w:val="-1"/>
          <w:w w:val="114"/>
          <w:sz w:val="23"/>
        </w:rPr>
        <w:t>·</w:t>
      </w:r>
      <w:r>
        <w:rPr>
          <w:i/>
          <w:color w:val="010101"/>
          <w:w w:val="94"/>
          <w:sz w:val="23"/>
        </w:rPr>
        <w:t>A..-,</w:t>
      </w:r>
      <w:r>
        <w:rPr>
          <w:i/>
          <w:color w:val="010101"/>
          <w:sz w:val="23"/>
        </w:rPr>
        <w:t> </w:t>
      </w:r>
      <w:r>
        <w:rPr>
          <w:i/>
          <w:color w:val="010101"/>
          <w:spacing w:val="-23"/>
          <w:sz w:val="23"/>
        </w:rPr>
        <w:t> </w:t>
      </w:r>
      <w:r>
        <w:rPr>
          <w:i/>
          <w:color w:val="010101"/>
          <w:spacing w:val="-13"/>
          <w:w w:val="409"/>
          <w:sz w:val="23"/>
        </w:rPr>
        <w:t>-</w:t>
      </w:r>
      <w:r>
        <w:rPr>
          <w:i/>
          <w:color w:val="010101"/>
          <w:w w:val="86"/>
          <w:sz w:val="23"/>
        </w:rPr>
        <w:t>P</w:t>
      </w:r>
      <w:r>
        <w:rPr>
          <w:i/>
          <w:color w:val="010101"/>
          <w:spacing w:val="-8"/>
          <w:sz w:val="23"/>
        </w:rPr>
        <w:t> </w:t>
      </w:r>
      <w:r>
        <w:rPr>
          <w:i/>
          <w:color w:val="010101"/>
          <w:w w:val="43"/>
          <w:sz w:val="23"/>
        </w:rPr>
        <w:t>-</w:t>
      </w:r>
      <w:r>
        <w:rPr>
          <w:i/>
          <w:color w:val="010101"/>
          <w:spacing w:val="-31"/>
          <w:sz w:val="23"/>
        </w:rPr>
        <w:t> </w:t>
      </w:r>
      <w:r>
        <w:rPr>
          <w:i/>
          <w:color w:val="010101"/>
          <w:w w:val="79"/>
          <w:sz w:val="23"/>
        </w:rPr>
        <w:t>azH</w:t>
      </w:r>
      <w:r>
        <w:rPr>
          <w:i/>
          <w:color w:val="010101"/>
          <w:sz w:val="23"/>
        </w:rPr>
        <w:t> </w:t>
      </w:r>
      <w:r>
        <w:rPr>
          <w:i/>
          <w:color w:val="010101"/>
          <w:spacing w:val="-10"/>
          <w:sz w:val="23"/>
        </w:rPr>
        <w:t> </w:t>
      </w:r>
      <w:r>
        <w:rPr>
          <w:color w:val="010101"/>
          <w:w w:val="100"/>
          <w:sz w:val="29"/>
        </w:rPr>
        <w:t>+</w:t>
      </w:r>
      <w:r>
        <w:rPr>
          <w:color w:val="010101"/>
          <w:spacing w:val="-1"/>
          <w:sz w:val="29"/>
        </w:rPr>
        <w:t> </w:t>
      </w:r>
      <w:r>
        <w:rPr>
          <w:i/>
          <w:color w:val="010101"/>
          <w:spacing w:val="-51"/>
          <w:w w:val="88"/>
          <w:sz w:val="23"/>
        </w:rPr>
        <w:t>D</w:t>
      </w:r>
      <w:r>
        <w:rPr>
          <w:i/>
          <w:color w:val="010101"/>
          <w:w w:val="122"/>
          <w:sz w:val="23"/>
        </w:rPr>
        <w:t>io</w:t>
      </w:r>
    </w:p>
    <w:p>
      <w:pPr>
        <w:spacing w:line="143" w:lineRule="exact" w:before="0"/>
        <w:ind w:left="3944" w:right="0" w:firstLine="0"/>
        <w:jc w:val="left"/>
        <w:rPr>
          <w:b/>
          <w:sz w:val="14"/>
        </w:rPr>
      </w:pPr>
      <w:r>
        <w:rPr>
          <w:b/>
          <w:color w:val="010101"/>
          <w:w w:val="105"/>
          <w:sz w:val="14"/>
        </w:rPr>
        <w:t>z+c</w:t>
      </w:r>
    </w:p>
    <w:p>
      <w:pPr>
        <w:spacing w:line="235" w:lineRule="auto" w:before="94"/>
        <w:ind w:left="116" w:right="111" w:firstLine="7"/>
        <w:jc w:val="right"/>
        <w:rPr>
          <w:sz w:val="21"/>
        </w:rPr>
      </w:pPr>
      <w:r>
        <w:rPr>
          <w:color w:val="010101"/>
          <w:sz w:val="21"/>
        </w:rPr>
        <w:t>produce.a the total terminal reserve </w:t>
      </w:r>
      <w:r>
        <w:rPr>
          <w:color w:val="010101"/>
          <w:sz w:val="20"/>
        </w:rPr>
        <w:t>(l:,</w:t>
      </w:r>
      <w:r>
        <w:rPr>
          <w:color w:val="010101"/>
          <w:sz w:val="21"/>
        </w:rPr>
        <w:t>V ) for the group of policies.</w:t>
      </w:r>
      <w:r>
        <w:rPr>
          <w:color w:val="010101"/>
          <w:w w:val="94"/>
          <w:sz w:val="21"/>
        </w:rPr>
        <w:t> </w:t>
      </w:r>
      <w:r>
        <w:rPr>
          <w:color w:val="010101"/>
          <w:sz w:val="21"/>
        </w:rPr>
        <w:t>The retrospective method and the attained age method are</w:t>
      </w:r>
      <w:r>
        <w:rPr>
          <w:color w:val="010101"/>
          <w:w w:val="103"/>
          <w:sz w:val="21"/>
        </w:rPr>
        <w:t> </w:t>
      </w:r>
      <w:r>
        <w:rPr>
          <w:color w:val="010101"/>
          <w:sz w:val="21"/>
        </w:rPr>
        <w:t>conveniently adapted to punched-card systems using mechanical</w:t>
      </w:r>
      <w:r>
        <w:rPr>
          <w:color w:val="010101"/>
          <w:w w:val="98"/>
          <w:sz w:val="21"/>
        </w:rPr>
        <w:t> </w:t>
      </w:r>
      <w:r>
        <w:rPr>
          <w:color w:val="010101"/>
          <w:sz w:val="21"/>
        </w:rPr>
        <w:t>tabulating equipment, and these methods  have  been  widely</w:t>
      </w:r>
      <w:r>
        <w:rPr>
          <w:color w:val="010101"/>
          <w:w w:val="95"/>
          <w:sz w:val="21"/>
        </w:rPr>
        <w:t> </w:t>
      </w:r>
      <w:r>
        <w:rPr>
          <w:color w:val="010101"/>
          <w:sz w:val="21"/>
        </w:rPr>
        <w:t>applied in this way for many years. Through the use of electronic</w:t>
      </w:r>
      <w:r>
        <w:rPr>
          <w:color w:val="010101"/>
          <w:w w:val="97"/>
          <w:sz w:val="21"/>
        </w:rPr>
        <w:t> </w:t>
      </w:r>
      <w:r>
        <w:rPr>
          <w:color w:val="010101"/>
          <w:sz w:val="21"/>
        </w:rPr>
        <w:t>computers, a high degree of efficiency can be obtained without</w:t>
      </w:r>
      <w:r>
        <w:rPr>
          <w:color w:val="010101"/>
          <w:w w:val="102"/>
          <w:sz w:val="21"/>
        </w:rPr>
        <w:t> </w:t>
      </w:r>
      <w:r>
        <w:rPr>
          <w:color w:val="010101"/>
          <w:sz w:val="21"/>
        </w:rPr>
        <w:t>introducing special methods which require  a considerable amount</w:t>
      </w:r>
      <w:r>
        <w:rPr>
          <w:color w:val="010101"/>
          <w:w w:val="101"/>
          <w:sz w:val="21"/>
        </w:rPr>
        <w:t> </w:t>
      </w:r>
      <w:r>
        <w:rPr>
          <w:color w:val="010101"/>
          <w:sz w:val="21"/>
        </w:rPr>
        <w:t>of prior data processing. </w:t>
      </w:r>
      <w:r>
        <w:rPr>
          <w:color w:val="010101"/>
          <w:sz w:val="22"/>
        </w:rPr>
        <w:t>It </w:t>
      </w:r>
      <w:r>
        <w:rPr>
          <w:color w:val="010101"/>
          <w:sz w:val="21"/>
        </w:rPr>
        <w:t>is found, for example, that a simple</w:t>
      </w:r>
      <w:r>
        <w:rPr>
          <w:color w:val="010101"/>
          <w:w w:val="97"/>
          <w:sz w:val="21"/>
        </w:rPr>
        <w:t> </w:t>
      </w:r>
      <w:r>
        <w:rPr>
          <w:color w:val="010101"/>
          <w:sz w:val="21"/>
        </w:rPr>
        <w:t>seria.tiro method of valuing each individual policy, or a grouping</w:t>
      </w:r>
      <w:r>
        <w:rPr>
          <w:color w:val="010101"/>
          <w:w w:val="97"/>
          <w:sz w:val="21"/>
        </w:rPr>
        <w:t> </w:t>
      </w:r>
      <w:r>
        <w:rPr>
          <w:color w:val="010101"/>
          <w:sz w:val="21"/>
        </w:rPr>
        <w:t>method  based  on plans of  insurance,  can be used advantageously</w:t>
      </w:r>
    </w:p>
    <w:p>
      <w:pPr>
        <w:spacing w:line="238" w:lineRule="exact" w:before="0"/>
        <w:ind w:left="123" w:right="0" w:firstLine="0"/>
        <w:jc w:val="left"/>
        <w:rPr>
          <w:sz w:val="21"/>
        </w:rPr>
      </w:pPr>
      <w:r>
        <w:rPr>
          <w:color w:val="010101"/>
          <w:sz w:val="21"/>
        </w:rPr>
        <w:t>with high-speed computers.</w:t>
      </w:r>
    </w:p>
    <w:p>
      <w:pPr>
        <w:spacing w:after="0" w:line="238" w:lineRule="exact"/>
        <w:jc w:val="left"/>
        <w:rPr>
          <w:sz w:val="21"/>
        </w:rPr>
        <w:sectPr>
          <w:type w:val="continuous"/>
          <w:pgSz w:w="7200" w:h="11340"/>
          <w:pgMar w:top="1100" w:bottom="0" w:left="680" w:right="560"/>
        </w:sectPr>
      </w:pPr>
    </w:p>
    <w:p>
      <w:pPr>
        <w:tabs>
          <w:tab w:pos="1605" w:val="left" w:leader="none"/>
          <w:tab w:pos="5354" w:val="left" w:leader="none"/>
        </w:tabs>
        <w:spacing w:before="50"/>
        <w:ind w:left="137" w:right="0" w:firstLine="0"/>
        <w:jc w:val="left"/>
        <w:rPr>
          <w:b/>
          <w:sz w:val="19"/>
        </w:rPr>
      </w:pPr>
      <w:r>
        <w:rPr>
          <w:rFonts w:ascii="Arial"/>
          <w:b/>
          <w:color w:val="030303"/>
          <w:w w:val="110"/>
          <w:sz w:val="19"/>
        </w:rPr>
        <w:t>118</w:t>
        <w:tab/>
      </w:r>
      <w:r>
        <w:rPr>
          <w:rFonts w:ascii="Arial"/>
          <w:b/>
          <w:color w:val="030303"/>
          <w:w w:val="110"/>
          <w:position w:val="1"/>
          <w:sz w:val="14"/>
        </w:rPr>
        <w:t>NET  LEVEL </w:t>
      </w:r>
      <w:r>
        <w:rPr>
          <w:rFonts w:ascii="Arial"/>
          <w:b/>
          <w:color w:val="030303"/>
          <w:spacing w:val="30"/>
          <w:w w:val="110"/>
          <w:position w:val="1"/>
          <w:sz w:val="14"/>
        </w:rPr>
        <w:t> </w:t>
      </w:r>
      <w:r>
        <w:rPr>
          <w:rFonts w:ascii="Arial"/>
          <w:b/>
          <w:color w:val="030303"/>
          <w:w w:val="110"/>
          <w:position w:val="1"/>
          <w:sz w:val="14"/>
        </w:rPr>
        <w:t>PREMIUM </w:t>
      </w:r>
      <w:r>
        <w:rPr>
          <w:rFonts w:ascii="Arial"/>
          <w:b/>
          <w:color w:val="030303"/>
          <w:spacing w:val="30"/>
          <w:w w:val="110"/>
          <w:position w:val="1"/>
          <w:sz w:val="14"/>
        </w:rPr>
        <w:t> </w:t>
      </w:r>
      <w:r>
        <w:rPr>
          <w:rFonts w:ascii="Arial"/>
          <w:b/>
          <w:color w:val="030303"/>
          <w:w w:val="110"/>
          <w:position w:val="1"/>
          <w:sz w:val="14"/>
        </w:rPr>
        <w:t>REF;ERVES</w:t>
        <w:tab/>
      </w:r>
      <w:r>
        <w:rPr>
          <w:b/>
          <w:color w:val="030303"/>
          <w:w w:val="110"/>
          <w:sz w:val="13"/>
        </w:rPr>
        <w:t>(CH .</w:t>
      </w:r>
      <w:r>
        <w:rPr>
          <w:b/>
          <w:color w:val="030303"/>
          <w:spacing w:val="15"/>
          <w:w w:val="110"/>
          <w:sz w:val="13"/>
        </w:rPr>
        <w:t> </w:t>
      </w:r>
      <w:r>
        <w:rPr>
          <w:b/>
          <w:color w:val="030303"/>
          <w:w w:val="110"/>
          <w:sz w:val="19"/>
        </w:rPr>
        <w:t>5</w:t>
      </w:r>
    </w:p>
    <w:p>
      <w:pPr>
        <w:pStyle w:val="BodyText"/>
        <w:spacing w:before="5"/>
        <w:rPr>
          <w:b/>
          <w:sz w:val="22"/>
        </w:rPr>
      </w:pPr>
    </w:p>
    <w:p>
      <w:pPr>
        <w:spacing w:before="0"/>
        <w:ind w:left="123" w:right="0" w:firstLine="0"/>
        <w:jc w:val="left"/>
        <w:rPr>
          <w:b/>
          <w:sz w:val="18"/>
        </w:rPr>
      </w:pPr>
      <w:r>
        <w:rPr>
          <w:b/>
          <w:color w:val="030303"/>
          <w:w w:val="145"/>
          <w:sz w:val="18"/>
        </w:rPr>
        <w:t>ll </w:t>
      </w:r>
      <w:r>
        <w:rPr>
          <w:b/>
          <w:color w:val="030303"/>
          <w:w w:val="130"/>
          <w:sz w:val="18"/>
        </w:rPr>
        <w:t>. Eft'ects of ,·arialion in interest and mortality</w:t>
      </w:r>
    </w:p>
    <w:p>
      <w:pPr>
        <w:spacing w:line="259" w:lineRule="auto" w:before="78"/>
        <w:ind w:left="109" w:right="123" w:firstLine="208"/>
        <w:jc w:val="both"/>
        <w:rPr>
          <w:sz w:val="19"/>
        </w:rPr>
      </w:pPr>
      <w:r>
        <w:rPr>
          <w:color w:val="030303"/>
          <w:w w:val="110"/>
          <w:sz w:val="21"/>
        </w:rPr>
        <w:t>It </w:t>
      </w:r>
      <w:r>
        <w:rPr>
          <w:color w:val="030303"/>
          <w:w w:val="110"/>
          <w:sz w:val="19"/>
        </w:rPr>
        <w:t>is often useful to be able to determine  in  advancc t hc effcct on reserves when changcs are to be made in the interest and mor­ tality assumpt ions. Evcn though thc  cffect  of  such  changes  on nct  premiums  may  be  readily  determined,  it  is not  always  easy t o analyze their effe&lt;:t on reserves, and even the most careful mathemat.ical investigations of the problem have been found to  lead only to a partial solut ion. The most  significant  contribution</w:t>
      </w:r>
      <w:r>
        <w:rPr>
          <w:color w:val="030303"/>
          <w:spacing w:val="52"/>
          <w:w w:val="110"/>
          <w:sz w:val="19"/>
        </w:rPr>
        <w:t> </w:t>
      </w:r>
      <w:r>
        <w:rPr>
          <w:color w:val="030303"/>
          <w:w w:val="110"/>
          <w:sz w:val="19"/>
        </w:rPr>
        <w:t>to t he subject was mude in a paper presented to the Institute of Attuaries by G. </w:t>
      </w:r>
      <w:r>
        <w:rPr>
          <w:color w:val="030303"/>
          <w:w w:val="110"/>
          <w:sz w:val="21"/>
        </w:rPr>
        <w:t>J. </w:t>
      </w:r>
      <w:r>
        <w:rPr>
          <w:color w:val="030303"/>
          <w:w w:val="110"/>
          <w:sz w:val="19"/>
        </w:rPr>
        <w:t>Lidstone (1905 ). His principal result may he summarized  in the following </w:t>
      </w:r>
      <w:r>
        <w:rPr>
          <w:color w:val="030303"/>
          <w:spacing w:val="21"/>
          <w:w w:val="110"/>
          <w:sz w:val="19"/>
        </w:rPr>
        <w:t> </w:t>
      </w:r>
      <w:r>
        <w:rPr>
          <w:color w:val="030303"/>
          <w:w w:val="110"/>
          <w:sz w:val="19"/>
        </w:rPr>
        <w:t>theorem.</w:t>
      </w:r>
    </w:p>
    <w:p>
      <w:pPr>
        <w:pStyle w:val="BodyText"/>
        <w:spacing w:before="2"/>
        <w:rPr>
          <w:sz w:val="19"/>
        </w:rPr>
      </w:pPr>
    </w:p>
    <w:p>
      <w:pPr>
        <w:spacing w:line="240" w:lineRule="exact" w:before="0"/>
        <w:ind w:left="105" w:right="132" w:firstLine="204"/>
        <w:jc w:val="both"/>
        <w:rPr>
          <w:sz w:val="19"/>
        </w:rPr>
      </w:pPr>
      <w:r>
        <w:rPr>
          <w:i/>
          <w:color w:val="030303"/>
          <w:w w:val="105"/>
          <w:sz w:val="21"/>
        </w:rPr>
        <w:t>Lidstone's 1'h.eorem. </w:t>
      </w:r>
      <w:r>
        <w:rPr>
          <w:color w:val="030303"/>
          <w:w w:val="105"/>
          <w:sz w:val="19"/>
        </w:rPr>
        <w:t>For an insuranec of uniform amount 1 with level annual premiums   payahle   throughout   the   n-year   duration of the policy, let </w:t>
      </w:r>
      <w:r>
        <w:rPr>
          <w:i/>
          <w:color w:val="030303"/>
          <w:w w:val="105"/>
          <w:sz w:val="19"/>
        </w:rPr>
        <w:t>P </w:t>
      </w:r>
      <w:r>
        <w:rPr>
          <w:color w:val="030303"/>
          <w:w w:val="105"/>
          <w:sz w:val="19"/>
        </w:rPr>
        <w:t>and ,</w:t>
      </w:r>
      <w:r>
        <w:rPr>
          <w:i/>
          <w:color w:val="030303"/>
          <w:w w:val="105"/>
          <w:sz w:val="19"/>
        </w:rPr>
        <w:t>Y </w:t>
      </w:r>
      <w:r>
        <w:rPr>
          <w:color w:val="030303"/>
          <w:w w:val="105"/>
          <w:sz w:val="19"/>
        </w:rPr>
        <w:t>denote the net level premium and  thc tenninal   reserve  at  the  end  of   </w:t>
      </w:r>
      <w:r>
        <w:rPr>
          <w:rFonts w:ascii="Arial"/>
          <w:i/>
          <w:color w:val="030303"/>
          <w:w w:val="105"/>
          <w:sz w:val="17"/>
        </w:rPr>
        <w:t>t  </w:t>
      </w:r>
      <w:r>
        <w:rPr>
          <w:color w:val="030303"/>
          <w:w w:val="105"/>
          <w:sz w:val="19"/>
        </w:rPr>
        <w:t>years  on  a  standard  basis    wit h</w:t>
      </w:r>
    </w:p>
    <w:p>
      <w:pPr>
        <w:spacing w:after="0" w:line="240" w:lineRule="exact"/>
        <w:jc w:val="both"/>
        <w:rPr>
          <w:sz w:val="19"/>
        </w:rPr>
        <w:sectPr>
          <w:pgSz w:w="7200" w:h="11340"/>
          <w:pgMar w:top="520" w:bottom="280" w:left="680" w:right="560"/>
        </w:sectPr>
      </w:pPr>
    </w:p>
    <w:p>
      <w:pPr>
        <w:spacing w:before="2"/>
        <w:ind w:left="116" w:right="0" w:firstLine="0"/>
        <w:jc w:val="left"/>
        <w:rPr>
          <w:rFonts w:ascii="Arial"/>
          <w:i/>
          <w:sz w:val="19"/>
        </w:rPr>
      </w:pPr>
      <w:r>
        <w:rPr/>
        <w:pict>
          <v:shape style="position:absolute;margin-left:239.103104pt;margin-top:.060394pt;width:2.5pt;height:4.5pt;mso-position-horizontal-relative:page;mso-position-vertical-relative:paragraph;z-index:10768" type="#_x0000_t202" filled="false" stroked="false">
            <v:textbox inset="0,0,0,0">
              <w:txbxContent>
                <w:p>
                  <w:pPr>
                    <w:spacing w:line="90" w:lineRule="exact" w:before="0"/>
                    <w:ind w:left="0" w:right="0" w:firstLine="0"/>
                    <w:jc w:val="left"/>
                    <w:rPr>
                      <w:i/>
                      <w:sz w:val="9"/>
                    </w:rPr>
                  </w:pPr>
                  <w:r>
                    <w:rPr>
                      <w:i/>
                      <w:color w:val="030303"/>
                      <w:w w:val="110"/>
                      <w:sz w:val="9"/>
                    </w:rPr>
                    <w:t>1</w:t>
                  </w:r>
                </w:p>
              </w:txbxContent>
            </v:textbox>
            <w10:wrap type="none"/>
          </v:shape>
        </w:pict>
      </w:r>
      <w:r>
        <w:rPr>
          <w:color w:val="030303"/>
          <w:w w:val="105"/>
          <w:sz w:val="19"/>
        </w:rPr>
        <w:t>interest  rate  </w:t>
      </w:r>
      <w:r>
        <w:rPr>
          <w:color w:val="030303"/>
          <w:w w:val="105"/>
          <w:sz w:val="20"/>
        </w:rPr>
        <w:t>i </w:t>
      </w:r>
      <w:r>
        <w:rPr>
          <w:color w:val="030303"/>
          <w:w w:val="105"/>
          <w:sz w:val="19"/>
        </w:rPr>
        <w:t>ami  mort ality  rates </w:t>
      </w:r>
      <w:r>
        <w:rPr>
          <w:rFonts w:ascii="Arial"/>
          <w:i/>
          <w:color w:val="030303"/>
          <w:w w:val="105"/>
          <w:sz w:val="18"/>
        </w:rPr>
        <w:t>q, </w:t>
      </w:r>
      <w:r>
        <w:rPr>
          <w:color w:val="030303"/>
          <w:w w:val="105"/>
          <w:sz w:val="19"/>
        </w:rPr>
        <w:t>and  let </w:t>
      </w:r>
      <w:r>
        <w:rPr>
          <w:rFonts w:ascii="Arial"/>
          <w:i/>
          <w:color w:val="030303"/>
          <w:w w:val="105"/>
          <w:sz w:val="19"/>
        </w:rPr>
        <w:t>/&gt;</w:t>
      </w:r>
    </w:p>
    <w:p>
      <w:pPr>
        <w:spacing w:line="247" w:lineRule="exact" w:before="0"/>
        <w:ind w:left="28" w:right="0" w:firstLine="0"/>
        <w:jc w:val="left"/>
        <w:rPr>
          <w:sz w:val="19"/>
        </w:rPr>
      </w:pPr>
      <w:r>
        <w:rPr/>
        <w:br w:type="column"/>
      </w:r>
      <w:r>
        <w:rPr>
          <w:color w:val="030303"/>
          <w:sz w:val="19"/>
        </w:rPr>
        <w:t>and  ,</w:t>
      </w:r>
      <w:r>
        <w:rPr>
          <w:rFonts w:ascii="Arial" w:hAnsi="Arial"/>
          <w:i/>
          <w:color w:val="161616"/>
          <w:sz w:val="27"/>
        </w:rPr>
        <w:t>·v' </w:t>
      </w:r>
      <w:r>
        <w:rPr>
          <w:color w:val="030303"/>
          <w:sz w:val="19"/>
        </w:rPr>
        <w:t>denote the</w:t>
      </w:r>
    </w:p>
    <w:p>
      <w:pPr>
        <w:spacing w:after="0" w:line="247" w:lineRule="exact"/>
        <w:jc w:val="left"/>
        <w:rPr>
          <w:sz w:val="19"/>
        </w:rPr>
        <w:sectPr>
          <w:type w:val="continuous"/>
          <w:pgSz w:w="7200" w:h="11340"/>
          <w:pgMar w:top="1100" w:bottom="0" w:left="680" w:right="560"/>
          <w:cols w:num="2" w:equalWidth="0">
            <w:col w:w="4152" w:space="40"/>
            <w:col w:w="1768"/>
          </w:cols>
        </w:sectPr>
      </w:pPr>
    </w:p>
    <w:p>
      <w:pPr>
        <w:spacing w:line="261" w:lineRule="auto" w:before="6"/>
        <w:ind w:left="112" w:right="146" w:hanging="8"/>
        <w:jc w:val="both"/>
        <w:rPr>
          <w:i/>
          <w:sz w:val="19"/>
        </w:rPr>
      </w:pPr>
      <w:r>
        <w:rPr>
          <w:color w:val="030303"/>
          <w:w w:val="115"/>
          <w:sz w:val="19"/>
        </w:rPr>
        <w:t>corrcsponding net premium and reserve on a special basis with </w:t>
      </w:r>
      <w:r>
        <w:rPr>
          <w:color w:val="030303"/>
          <w:w w:val="110"/>
          <w:sz w:val="19"/>
        </w:rPr>
        <w:t>interest  </w:t>
      </w:r>
      <w:r>
        <w:rPr>
          <w:color w:val="030303"/>
          <w:w w:val="111"/>
          <w:sz w:val="19"/>
        </w:rPr>
        <w:t>rute </w:t>
      </w:r>
      <w:r>
        <w:rPr>
          <w:i/>
          <w:color w:val="030303"/>
          <w:w w:val="132"/>
          <w:sz w:val="19"/>
        </w:rPr>
        <w:t>{ </w:t>
      </w:r>
      <w:r>
        <w:rPr>
          <w:color w:val="030303"/>
          <w:w w:val="112"/>
          <w:sz w:val="19"/>
        </w:rPr>
        <w:t>and </w:t>
      </w:r>
      <w:r>
        <w:rPr>
          <w:color w:val="030303"/>
          <w:w w:val="114"/>
          <w:sz w:val="19"/>
        </w:rPr>
        <w:t>mortality  </w:t>
      </w:r>
      <w:r>
        <w:rPr>
          <w:color w:val="030303"/>
          <w:w w:val="112"/>
          <w:sz w:val="19"/>
        </w:rPr>
        <w:t>rates </w:t>
      </w:r>
      <w:r>
        <w:rPr>
          <w:i/>
          <w:color w:val="030303"/>
          <w:w w:val="176"/>
          <w:sz w:val="19"/>
        </w:rPr>
        <w:t>q'.</w:t>
      </w:r>
    </w:p>
    <w:p>
      <w:pPr>
        <w:spacing w:before="3"/>
        <w:ind w:left="310" w:right="0" w:firstLine="0"/>
        <w:jc w:val="left"/>
        <w:rPr>
          <w:sz w:val="19"/>
        </w:rPr>
      </w:pPr>
      <w:r>
        <w:rPr>
          <w:color w:val="030303"/>
          <w:w w:val="110"/>
          <w:sz w:val="19"/>
        </w:rPr>
        <w:t>Conider  the  "critica} funct ion"</w:t>
      </w:r>
    </w:p>
    <w:p>
      <w:pPr>
        <w:tabs>
          <w:tab w:pos="5142" w:val="left" w:leader="none"/>
        </w:tabs>
        <w:spacing w:before="67"/>
        <w:ind w:left="281" w:right="0" w:firstLine="0"/>
        <w:jc w:val="left"/>
        <w:rPr>
          <w:i/>
          <w:sz w:val="19"/>
        </w:rPr>
      </w:pPr>
      <w:r>
        <w:rPr>
          <w:i/>
          <w:color w:val="030303"/>
          <w:w w:val="115"/>
          <w:sz w:val="19"/>
        </w:rPr>
        <w:t>e, = </w:t>
      </w:r>
      <w:r>
        <w:rPr>
          <w:i/>
          <w:color w:val="030303"/>
          <w:w w:val="90"/>
          <w:sz w:val="19"/>
        </w:rPr>
        <w:t>( </w:t>
      </w:r>
      <w:r>
        <w:rPr>
          <w:i/>
          <w:color w:val="030303"/>
          <w:w w:val="115"/>
          <w:sz w:val="19"/>
        </w:rPr>
        <w:t>,V </w:t>
      </w:r>
      <w:r>
        <w:rPr>
          <w:i/>
          <w:color w:val="030303"/>
          <w:w w:val="130"/>
          <w:sz w:val="19"/>
        </w:rPr>
        <w:t>+ </w:t>
      </w:r>
      <w:r>
        <w:rPr>
          <w:i/>
          <w:color w:val="030303"/>
          <w:w w:val="115"/>
          <w:sz w:val="19"/>
        </w:rPr>
        <w:t>P </w:t>
      </w:r>
      <w:r>
        <w:rPr>
          <w:i/>
          <w:color w:val="030303"/>
          <w:w w:val="90"/>
          <w:sz w:val="19"/>
        </w:rPr>
        <w:t>) </w:t>
      </w:r>
      <w:r>
        <w:rPr>
          <w:color w:val="030303"/>
          <w:w w:val="115"/>
          <w:sz w:val="20"/>
        </w:rPr>
        <w:t>(i' </w:t>
      </w:r>
      <w:r>
        <w:rPr>
          <w:color w:val="030303"/>
          <w:w w:val="255"/>
          <w:sz w:val="20"/>
        </w:rPr>
        <w:t>- </w:t>
      </w:r>
      <w:r>
        <w:rPr>
          <w:color w:val="030303"/>
          <w:w w:val="115"/>
          <w:sz w:val="19"/>
        </w:rPr>
        <w:t>i) </w:t>
      </w:r>
      <w:r>
        <w:rPr>
          <w:color w:val="030303"/>
          <w:w w:val="255"/>
          <w:sz w:val="19"/>
        </w:rPr>
        <w:t>- </w:t>
      </w:r>
      <w:r>
        <w:rPr>
          <w:b/>
          <w:i/>
          <w:color w:val="030303"/>
          <w:w w:val="90"/>
          <w:sz w:val="20"/>
        </w:rPr>
        <w:t>( q:  </w:t>
      </w:r>
      <w:r>
        <w:rPr>
          <w:color w:val="030303"/>
          <w:w w:val="255"/>
          <w:sz w:val="20"/>
        </w:rPr>
        <w:t>- </w:t>
      </w:r>
      <w:r>
        <w:rPr>
          <w:b/>
          <w:color w:val="030303"/>
          <w:w w:val="90"/>
          <w:sz w:val="20"/>
        </w:rPr>
        <w:t>q, </w:t>
      </w:r>
      <w:r>
        <w:rPr>
          <w:b/>
          <w:color w:val="030303"/>
          <w:w w:val="115"/>
          <w:sz w:val="20"/>
        </w:rPr>
        <w:t>)(1 </w:t>
      </w:r>
      <w:r>
        <w:rPr>
          <w:color w:val="030303"/>
          <w:w w:val="255"/>
          <w:sz w:val="20"/>
        </w:rPr>
        <w:t>-</w:t>
      </w:r>
      <w:r>
        <w:rPr>
          <w:color w:val="030303"/>
          <w:spacing w:val="-51"/>
          <w:w w:val="255"/>
          <w:sz w:val="20"/>
        </w:rPr>
        <w:t> </w:t>
      </w:r>
      <w:r>
        <w:rPr>
          <w:color w:val="030303"/>
          <w:w w:val="115"/>
          <w:sz w:val="19"/>
        </w:rPr>
        <w:t>1+1l'),  </w:t>
      </w:r>
      <w:r>
        <w:rPr>
          <w:color w:val="030303"/>
          <w:spacing w:val="19"/>
          <w:w w:val="115"/>
          <w:sz w:val="19"/>
        </w:rPr>
        <w:t> </w:t>
      </w:r>
      <w:r>
        <w:rPr>
          <w:rFonts w:ascii="Arial"/>
          <w:color w:val="030303"/>
          <w:w w:val="90"/>
          <w:sz w:val="18"/>
        </w:rPr>
        <w:t>O</w:t>
        <w:tab/>
      </w:r>
      <w:r>
        <w:rPr>
          <w:rFonts w:ascii="Arial"/>
          <w:i/>
          <w:color w:val="030303"/>
          <w:w w:val="115"/>
          <w:sz w:val="17"/>
        </w:rPr>
        <w:t>t  </w:t>
      </w:r>
      <w:r>
        <w:rPr>
          <w:rFonts w:ascii="Arial"/>
          <w:color w:val="030303"/>
          <w:w w:val="115"/>
          <w:sz w:val="23"/>
        </w:rPr>
        <w:t>&lt;</w:t>
      </w:r>
      <w:r>
        <w:rPr>
          <w:rFonts w:ascii="Arial"/>
          <w:color w:val="030303"/>
          <w:spacing w:val="-26"/>
          <w:w w:val="115"/>
          <w:sz w:val="23"/>
        </w:rPr>
        <w:t> </w:t>
      </w:r>
      <w:r>
        <w:rPr>
          <w:i/>
          <w:color w:val="030303"/>
          <w:w w:val="115"/>
          <w:sz w:val="19"/>
        </w:rPr>
        <w:t>n.</w:t>
      </w:r>
    </w:p>
    <w:p>
      <w:pPr>
        <w:spacing w:line="211" w:lineRule="auto" w:before="95"/>
        <w:ind w:left="105" w:right="118" w:firstLine="7"/>
        <w:jc w:val="both"/>
        <w:rPr>
          <w:sz w:val="19"/>
        </w:rPr>
      </w:pPr>
      <w:r>
        <w:rPr>
          <w:color w:val="030303"/>
          <w:sz w:val="20"/>
        </w:rPr>
        <w:t>If </w:t>
      </w:r>
      <w:r>
        <w:rPr>
          <w:color w:val="030303"/>
          <w:sz w:val="19"/>
        </w:rPr>
        <w:t>t he crítical funct.ion always decrcases as </w:t>
      </w:r>
      <w:r>
        <w:rPr>
          <w:i/>
          <w:color w:val="030303"/>
          <w:sz w:val="21"/>
        </w:rPr>
        <w:t>t </w:t>
      </w:r>
      <w:r>
        <w:rPr>
          <w:color w:val="030303"/>
          <w:sz w:val="19"/>
        </w:rPr>
        <w:t>increases, the special </w:t>
      </w:r>
      <w:r>
        <w:rPr>
          <w:color w:val="030303"/>
          <w:w w:val="105"/>
          <w:sz w:val="19"/>
        </w:rPr>
        <w:t>reserves </w:t>
      </w:r>
      <w:r>
        <w:rPr>
          <w:color w:val="030303"/>
          <w:w w:val="106"/>
          <w:position w:val="-2"/>
          <w:sz w:val="11"/>
        </w:rPr>
        <w:t>1</w:t>
      </w:r>
      <w:r>
        <w:rPr>
          <w:color w:val="030303"/>
          <w:w w:val="106"/>
          <w:sz w:val="19"/>
        </w:rPr>
        <w:t>1/' </w:t>
      </w:r>
      <w:r>
        <w:rPr>
          <w:color w:val="030303"/>
          <w:w w:val="102"/>
          <w:sz w:val="19"/>
        </w:rPr>
        <w:t>excced </w:t>
      </w:r>
      <w:r>
        <w:rPr>
          <w:color w:val="030303"/>
          <w:w w:val="114"/>
          <w:sz w:val="19"/>
        </w:rPr>
        <w:t>the </w:t>
      </w:r>
      <w:r>
        <w:rPr>
          <w:color w:val="030303"/>
          <w:w w:val="114"/>
          <w:sz w:val="19"/>
        </w:rPr>
        <w:t>standard </w:t>
      </w:r>
      <w:r>
        <w:rPr>
          <w:color w:val="030303"/>
          <w:w w:val="106"/>
          <w:sz w:val="19"/>
        </w:rPr>
        <w:t>reserves </w:t>
      </w:r>
      <w:r>
        <w:rPr>
          <w:color w:val="030303"/>
          <w:w w:val="110"/>
          <w:sz w:val="19"/>
        </w:rPr>
        <w:t>,</w:t>
      </w:r>
      <w:r>
        <w:rPr>
          <w:i/>
          <w:color w:val="030303"/>
          <w:w w:val="110"/>
          <w:sz w:val="19"/>
        </w:rPr>
        <w:t>V </w:t>
      </w:r>
      <w:r>
        <w:rPr>
          <w:color w:val="030303"/>
          <w:w w:val="109"/>
          <w:sz w:val="19"/>
        </w:rPr>
        <w:t>for </w:t>
      </w:r>
      <w:r>
        <w:rPr>
          <w:color w:val="030303"/>
          <w:w w:val="73"/>
          <w:sz w:val="19"/>
        </w:rPr>
        <w:t>O </w:t>
      </w:r>
      <w:r>
        <w:rPr>
          <w:color w:val="030303"/>
          <w:w w:val="99"/>
          <w:sz w:val="24"/>
        </w:rPr>
        <w:t>&lt; </w:t>
      </w:r>
      <w:r>
        <w:rPr>
          <w:rFonts w:ascii="Arial" w:hAnsi="Arial"/>
          <w:i/>
          <w:color w:val="030303"/>
          <w:w w:val="95"/>
          <w:sz w:val="18"/>
        </w:rPr>
        <w:t>t </w:t>
      </w:r>
      <w:r>
        <w:rPr>
          <w:rFonts w:ascii="Arial" w:hAnsi="Arial"/>
          <w:color w:val="030303"/>
          <w:w w:val="102"/>
          <w:sz w:val="26"/>
        </w:rPr>
        <w:t>&lt; </w:t>
      </w:r>
      <w:r>
        <w:rPr>
          <w:rFonts w:ascii="Arial" w:hAnsi="Arial"/>
          <w:i/>
          <w:color w:val="030303"/>
          <w:w w:val="88"/>
          <w:sz w:val="18"/>
        </w:rPr>
        <w:t>n; </w:t>
      </w:r>
      <w:r>
        <w:rPr>
          <w:color w:val="030303"/>
          <w:w w:val="86"/>
          <w:sz w:val="19"/>
        </w:rPr>
        <w:t>if </w:t>
      </w:r>
      <w:r>
        <w:rPr>
          <w:color w:val="030303"/>
          <w:w w:val="117"/>
          <w:sz w:val="19"/>
        </w:rPr>
        <w:t>the </w:t>
      </w:r>
      <w:r>
        <w:rPr>
          <w:color w:val="030303"/>
          <w:sz w:val="19"/>
        </w:rPr>
        <w:t>eritic.:al    function    always    inereases   wit h    </w:t>
      </w:r>
      <w:r>
        <w:rPr>
          <w:i/>
          <w:color w:val="030303"/>
          <w:sz w:val="21"/>
        </w:rPr>
        <w:t>t ,   </w:t>
      </w:r>
      <w:r>
        <w:rPr>
          <w:color w:val="030303"/>
          <w:sz w:val="19"/>
        </w:rPr>
        <w:t>the   special  reserves</w:t>
      </w:r>
    </w:p>
    <w:p>
      <w:pPr>
        <w:spacing w:line="240" w:lineRule="exact" w:before="9"/>
        <w:ind w:left="109" w:right="123" w:hanging="4"/>
        <w:jc w:val="both"/>
        <w:rPr>
          <w:sz w:val="19"/>
        </w:rPr>
      </w:pPr>
      <w:r>
        <w:rPr>
          <w:color w:val="030303"/>
          <w:w w:val="105"/>
          <w:sz w:val="19"/>
        </w:rPr>
        <w:t>are lcss than the standard reserves for </w:t>
      </w:r>
      <w:r>
        <w:rPr>
          <w:color w:val="030303"/>
          <w:sz w:val="19"/>
        </w:rPr>
        <w:t>O </w:t>
      </w:r>
      <w:r>
        <w:rPr>
          <w:color w:val="030303"/>
          <w:w w:val="105"/>
          <w:sz w:val="25"/>
        </w:rPr>
        <w:t>&lt;  </w:t>
      </w:r>
      <w:r>
        <w:rPr>
          <w:i/>
          <w:color w:val="030303"/>
          <w:w w:val="105"/>
          <w:sz w:val="22"/>
        </w:rPr>
        <w:t>t  </w:t>
      </w:r>
      <w:r>
        <w:rPr>
          <w:color w:val="030303"/>
          <w:w w:val="105"/>
          <w:sz w:val="25"/>
        </w:rPr>
        <w:t>&lt;  </w:t>
      </w:r>
      <w:r>
        <w:rPr>
          <w:rFonts w:ascii="Arial"/>
          <w:i/>
          <w:color w:val="030303"/>
          <w:spacing w:val="12"/>
          <w:w w:val="105"/>
          <w:sz w:val="18"/>
        </w:rPr>
        <w:t>n;  </w:t>
      </w:r>
      <w:r>
        <w:rPr>
          <w:color w:val="030303"/>
          <w:w w:val="105"/>
          <w:sz w:val="19"/>
        </w:rPr>
        <w:t>and,  if  the</w:t>
      </w:r>
      <w:r>
        <w:rPr>
          <w:color w:val="030303"/>
          <w:spacing w:val="49"/>
          <w:w w:val="105"/>
          <w:sz w:val="19"/>
        </w:rPr>
        <w:t> </w:t>
      </w:r>
      <w:r>
        <w:rPr>
          <w:color w:val="030303"/>
          <w:w w:val="105"/>
          <w:sz w:val="19"/>
        </w:rPr>
        <w:t>critical  function   is  constant ,  the  special  reserves  are  equal  to </w:t>
      </w:r>
      <w:r>
        <w:rPr>
          <w:color w:val="030303"/>
          <w:spacing w:val="31"/>
          <w:w w:val="105"/>
          <w:sz w:val="19"/>
        </w:rPr>
        <w:t> </w:t>
      </w:r>
      <w:r>
        <w:rPr>
          <w:color w:val="030303"/>
          <w:w w:val="105"/>
          <w:sz w:val="19"/>
        </w:rPr>
        <w:t>the</w:t>
      </w:r>
    </w:p>
    <w:p>
      <w:pPr>
        <w:spacing w:before="0"/>
        <w:ind w:left="109" w:right="0" w:firstLine="0"/>
        <w:jc w:val="both"/>
        <w:rPr>
          <w:i/>
          <w:sz w:val="21"/>
        </w:rPr>
      </w:pPr>
      <w:r>
        <w:rPr>
          <w:color w:val="030303"/>
          <w:w w:val="105"/>
          <w:sz w:val="19"/>
        </w:rPr>
        <w:t>standard reserves for O      </w:t>
      </w:r>
      <w:r>
        <w:rPr>
          <w:i/>
          <w:color w:val="030303"/>
          <w:w w:val="105"/>
          <w:sz w:val="16"/>
        </w:rPr>
        <w:t>l         </w:t>
      </w:r>
      <w:r>
        <w:rPr>
          <w:i/>
          <w:color w:val="030303"/>
          <w:w w:val="105"/>
          <w:sz w:val="21"/>
        </w:rPr>
        <w:t>n.</w:t>
      </w:r>
    </w:p>
    <w:p>
      <w:pPr>
        <w:pStyle w:val="BodyText"/>
        <w:spacing w:before="9"/>
        <w:rPr>
          <w:i/>
        </w:rPr>
      </w:pPr>
    </w:p>
    <w:p>
      <w:pPr>
        <w:spacing w:line="254" w:lineRule="auto" w:before="0"/>
        <w:ind w:left="112" w:right="110" w:firstLine="204"/>
        <w:jc w:val="both"/>
        <w:rPr>
          <w:sz w:val="19"/>
        </w:rPr>
      </w:pPr>
      <w:r>
        <w:rPr>
          <w:color w:val="030303"/>
          <w:w w:val="105"/>
          <w:sz w:val="20"/>
        </w:rPr>
        <w:t>lt </w:t>
      </w:r>
      <w:r>
        <w:rPr>
          <w:color w:val="030303"/>
          <w:w w:val="105"/>
          <w:sz w:val="19"/>
        </w:rPr>
        <w:t>should be un&lt;ler.3tood that thc theorem refers only to termi nal reserves, with </w:t>
      </w:r>
      <w:r>
        <w:rPr>
          <w:rFonts w:ascii="Arial" w:hAnsi="Arial"/>
          <w:i/>
          <w:color w:val="030303"/>
          <w:w w:val="105"/>
          <w:sz w:val="18"/>
        </w:rPr>
        <w:t>t </w:t>
      </w:r>
      <w:r>
        <w:rPr>
          <w:color w:val="030303"/>
          <w:w w:val="105"/>
          <w:sz w:val="19"/>
        </w:rPr>
        <w:t>assuming only integral values  from  </w:t>
      </w:r>
      <w:r>
        <w:rPr>
          <w:color w:val="030303"/>
          <w:sz w:val="19"/>
        </w:rPr>
        <w:t>O  </w:t>
      </w:r>
      <w:r>
        <w:rPr>
          <w:color w:val="030303"/>
          <w:w w:val="105"/>
          <w:sz w:val="19"/>
        </w:rPr>
        <w:t>to  </w:t>
      </w:r>
      <w:r>
        <w:rPr>
          <w:i/>
          <w:color w:val="030303"/>
          <w:w w:val="105"/>
          <w:sz w:val="21"/>
        </w:rPr>
        <w:t>n.  </w:t>
      </w:r>
      <w:r>
        <w:rPr>
          <w:color w:val="030303"/>
          <w:w w:val="105"/>
          <w:sz w:val="19"/>
        </w:rPr>
        <w:t>Thf'</w:t>
      </w:r>
      <w:r>
        <w:rPr>
          <w:color w:val="030303"/>
          <w:spacing w:val="49"/>
          <w:w w:val="105"/>
          <w:sz w:val="19"/>
        </w:rPr>
        <w:t> </w:t>
      </w:r>
      <w:r>
        <w:rPr>
          <w:color w:val="030303"/>
          <w:w w:val="105"/>
          <w:sz w:val="19"/>
        </w:rPr>
        <w:t>proof of t he t heorem involves a closely reasoned  argument,  </w:t>
      </w:r>
      <w:r>
        <w:rPr>
          <w:color w:val="030303"/>
          <w:sz w:val="19"/>
        </w:rPr>
        <w:t>thC' </w:t>
      </w:r>
      <w:r>
        <w:rPr>
          <w:color w:val="030303"/>
          <w:spacing w:val="4"/>
          <w:w w:val="105"/>
          <w:sz w:val="19"/>
        </w:rPr>
        <w:t>steps </w:t>
      </w:r>
      <w:r>
        <w:rPr>
          <w:color w:val="030303"/>
          <w:w w:val="105"/>
          <w:sz w:val="19"/>
        </w:rPr>
        <w:t>of  whieh  are set  </w:t>
      </w:r>
      <w:r>
        <w:rPr>
          <w:color w:val="030303"/>
          <w:spacing w:val="4"/>
          <w:w w:val="105"/>
          <w:sz w:val="19"/>
        </w:rPr>
        <w:t>forth  </w:t>
      </w:r>
      <w:r>
        <w:rPr>
          <w:color w:val="030303"/>
          <w:w w:val="105"/>
          <w:sz w:val="19"/>
        </w:rPr>
        <w:t>for coneiseness  in  the  accompa </w:t>
      </w:r>
      <w:r>
        <w:rPr>
          <w:color w:val="030303"/>
          <w:spacing w:val="8"/>
          <w:w w:val="105"/>
          <w:sz w:val="19"/>
        </w:rPr>
        <w:t> </w:t>
      </w:r>
      <w:r>
        <w:rPr>
          <w:color w:val="030303"/>
          <w:w w:val="105"/>
          <w:sz w:val="19"/>
        </w:rPr>
        <w:t>nyiníl;</w:t>
      </w:r>
    </w:p>
    <w:p>
      <w:pPr>
        <w:spacing w:before="6"/>
        <w:ind w:left="112" w:right="0" w:firstLine="0"/>
        <w:jc w:val="both"/>
        <w:rPr>
          <w:sz w:val="19"/>
        </w:rPr>
      </w:pPr>
      <w:r>
        <w:rPr>
          <w:color w:val="030303"/>
          <w:sz w:val="19"/>
        </w:rPr>
        <w:t>&lt;leductive   scheme   ( pagc  119).</w:t>
      </w:r>
    </w:p>
    <w:p>
      <w:pPr>
        <w:spacing w:before="22"/>
        <w:ind w:left="120" w:right="0" w:firstLine="190"/>
        <w:jc w:val="both"/>
        <w:rPr>
          <w:sz w:val="19"/>
        </w:rPr>
      </w:pPr>
      <w:r>
        <w:rPr>
          <w:color w:val="030303"/>
          <w:w w:val="110"/>
          <w:sz w:val="19"/>
        </w:rPr>
        <w:t>Two   irnportant    corollaries   to   Lidst one's   theorem   may  be</w:t>
      </w:r>
    </w:p>
    <w:p>
      <w:pPr>
        <w:spacing w:line="127" w:lineRule="auto" w:before="106"/>
        <w:ind w:left="123" w:right="113" w:hanging="4"/>
        <w:jc w:val="both"/>
        <w:rPr>
          <w:sz w:val="19"/>
        </w:rPr>
      </w:pPr>
      <w:r>
        <w:rPr>
          <w:color w:val="030303"/>
          <w:sz w:val="19"/>
        </w:rPr>
        <w:t>derived.  Suppose   that   t hc   special   basis   involves   only   a   change  in  the  mte  of   int crcst.  Then  </w:t>
      </w:r>
      <w:r>
        <w:rPr>
          <w:i/>
          <w:color w:val="030303"/>
          <w:w w:val="90"/>
          <w:sz w:val="32"/>
        </w:rPr>
        <w:t>q:  </w:t>
      </w:r>
      <w:r>
        <w:rPr>
          <w:color w:val="030303"/>
          <w:sz w:val="23"/>
        </w:rPr>
        <w:t>=  </w:t>
      </w:r>
      <w:r>
        <w:rPr>
          <w:i/>
          <w:color w:val="030303"/>
          <w:spacing w:val="8"/>
          <w:w w:val="90"/>
          <w:sz w:val="32"/>
        </w:rPr>
        <w:t>q, </w:t>
      </w:r>
      <w:r>
        <w:rPr>
          <w:color w:val="030303"/>
          <w:w w:val="90"/>
          <w:sz w:val="32"/>
        </w:rPr>
        <w:t>, </w:t>
      </w:r>
      <w:r>
        <w:rPr>
          <w:color w:val="030303"/>
          <w:spacing w:val="-11"/>
          <w:sz w:val="19"/>
        </w:rPr>
        <w:t>:rnd   </w:t>
      </w:r>
      <w:r>
        <w:rPr>
          <w:rFonts w:ascii="Arial" w:hAnsi="Arial"/>
          <w:color w:val="030303"/>
          <w:sz w:val="16"/>
        </w:rPr>
        <w:t>t </w:t>
      </w:r>
      <w:r>
        <w:rPr>
          <w:color w:val="030303"/>
          <w:sz w:val="19"/>
        </w:rPr>
        <w:t>he  crit i,·al</w:t>
      </w:r>
      <w:r>
        <w:rPr>
          <w:color w:val="030303"/>
          <w:spacing w:val="45"/>
          <w:sz w:val="19"/>
        </w:rPr>
        <w:t> </w:t>
      </w:r>
      <w:r>
        <w:rPr>
          <w:color w:val="030303"/>
          <w:sz w:val="19"/>
        </w:rPr>
        <w:t>func-tion</w:t>
      </w:r>
    </w:p>
    <w:p>
      <w:pPr>
        <w:spacing w:before="30"/>
        <w:ind w:left="123" w:right="0" w:firstLine="0"/>
        <w:jc w:val="both"/>
        <w:rPr>
          <w:sz w:val="19"/>
        </w:rPr>
      </w:pPr>
      <w:r>
        <w:rPr>
          <w:color w:val="030303"/>
          <w:w w:val="115"/>
          <w:sz w:val="19"/>
        </w:rPr>
        <w:t>become</w:t>
      </w:r>
    </w:p>
    <w:p>
      <w:pPr>
        <w:spacing w:line="335" w:lineRule="exact" w:before="0"/>
        <w:ind w:left="1931" w:right="0" w:firstLine="0"/>
        <w:jc w:val="left"/>
        <w:rPr>
          <w:sz w:val="19"/>
        </w:rPr>
      </w:pPr>
      <w:r>
        <w:rPr>
          <w:i/>
          <w:color w:val="030303"/>
          <w:sz w:val="19"/>
        </w:rPr>
        <w:t>e </w:t>
      </w:r>
      <w:r>
        <w:rPr>
          <w:i/>
          <w:color w:val="030303"/>
          <w:w w:val="125"/>
          <w:sz w:val="19"/>
        </w:rPr>
        <w:t>, = </w:t>
      </w:r>
      <w:r>
        <w:rPr>
          <w:color w:val="030303"/>
          <w:w w:val="125"/>
          <w:sz w:val="20"/>
        </w:rPr>
        <w:t>(,l· </w:t>
      </w:r>
      <w:r>
        <w:rPr>
          <w:rFonts w:ascii="Arial" w:hAnsi="Arial"/>
          <w:color w:val="030303"/>
          <w:w w:val="125"/>
          <w:sz w:val="30"/>
        </w:rPr>
        <w:t>+ </w:t>
      </w:r>
      <w:r>
        <w:rPr>
          <w:rFonts w:ascii="Arial" w:hAnsi="Arial"/>
          <w:i/>
          <w:color w:val="030303"/>
          <w:w w:val="125"/>
          <w:sz w:val="18"/>
        </w:rPr>
        <w:t>P </w:t>
      </w:r>
      <w:r>
        <w:rPr>
          <w:rFonts w:ascii="Arial" w:hAnsi="Arial"/>
          <w:i/>
          <w:color w:val="030303"/>
          <w:sz w:val="18"/>
        </w:rPr>
        <w:t>) ( </w:t>
      </w:r>
      <w:r>
        <w:rPr>
          <w:rFonts w:ascii="Arial" w:hAnsi="Arial"/>
          <w:i/>
          <w:color w:val="030303"/>
          <w:w w:val="125"/>
          <w:sz w:val="18"/>
        </w:rPr>
        <w:t>{ </w:t>
      </w:r>
      <w:r>
        <w:rPr>
          <w:rFonts w:ascii="Arial" w:hAnsi="Arial"/>
          <w:color w:val="030303"/>
          <w:w w:val="240"/>
          <w:sz w:val="18"/>
        </w:rPr>
        <w:t>-</w:t>
      </w:r>
      <w:r>
        <w:rPr>
          <w:rFonts w:ascii="Arial" w:hAnsi="Arial"/>
          <w:color w:val="030303"/>
          <w:spacing w:val="-84"/>
          <w:w w:val="240"/>
          <w:sz w:val="18"/>
        </w:rPr>
        <w:t> </w:t>
      </w:r>
      <w:r>
        <w:rPr>
          <w:color w:val="030303"/>
          <w:w w:val="125"/>
          <w:sz w:val="19"/>
        </w:rPr>
        <w:t>i).</w:t>
      </w:r>
    </w:p>
    <w:p>
      <w:pPr>
        <w:spacing w:after="0" w:line="335" w:lineRule="exact"/>
        <w:jc w:val="left"/>
        <w:rPr>
          <w:sz w:val="19"/>
        </w:rPr>
        <w:sectPr>
          <w:type w:val="continuous"/>
          <w:pgSz w:w="7200" w:h="11340"/>
          <w:pgMar w:top="1100" w:bottom="0" w:left="680" w:right="560"/>
        </w:sectPr>
      </w:pPr>
    </w:p>
    <w:p>
      <w:pPr>
        <w:spacing w:before="59"/>
        <w:ind w:left="1716" w:right="0" w:firstLine="0"/>
        <w:jc w:val="left"/>
        <w:rPr>
          <w:rFonts w:ascii="Arial"/>
          <w:sz w:val="13"/>
        </w:rPr>
      </w:pPr>
      <w:r>
        <w:rPr>
          <w:color w:val="010101"/>
          <w:w w:val="125"/>
          <w:sz w:val="19"/>
        </w:rPr>
        <w:t>Paoor or </w:t>
      </w:r>
      <w:r>
        <w:rPr>
          <w:rFonts w:ascii="Arial"/>
          <w:color w:val="010101"/>
          <w:w w:val="155"/>
          <w:sz w:val="13"/>
        </w:rPr>
        <w:t>L </w:t>
      </w:r>
      <w:r>
        <w:rPr>
          <w:rFonts w:ascii="Arial"/>
          <w:color w:val="010101"/>
          <w:w w:val="125"/>
          <w:sz w:val="13"/>
        </w:rPr>
        <w:t>DSTONs's THsORKII</w:t>
      </w:r>
    </w:p>
    <w:p>
      <w:pPr>
        <w:spacing w:after="0"/>
        <w:jc w:val="left"/>
        <w:rPr>
          <w:rFonts w:ascii="Arial"/>
          <w:sz w:val="13"/>
        </w:rPr>
        <w:sectPr>
          <w:pgSz w:w="7200" w:h="11340"/>
          <w:pgMar w:top="500" w:bottom="280" w:left="660" w:right="580"/>
        </w:sectPr>
      </w:pPr>
    </w:p>
    <w:p>
      <w:pPr>
        <w:pStyle w:val="BodyText"/>
        <w:spacing w:before="8"/>
        <w:rPr>
          <w:rFonts w:ascii="Arial"/>
          <w:sz w:val="14"/>
        </w:rPr>
      </w:pPr>
    </w:p>
    <w:p>
      <w:pPr>
        <w:spacing w:before="0"/>
        <w:ind w:left="642" w:right="533" w:firstLine="0"/>
        <w:jc w:val="center"/>
        <w:rPr>
          <w:sz w:val="14"/>
        </w:rPr>
      </w:pPr>
      <w:r>
        <w:rPr>
          <w:color w:val="010101"/>
          <w:w w:val="110"/>
          <w:sz w:val="14"/>
        </w:rPr>
        <w:t>Statemeats</w:t>
      </w:r>
    </w:p>
    <w:p>
      <w:pPr>
        <w:pStyle w:val="BodyText"/>
        <w:rPr>
          <w:sz w:val="13"/>
        </w:rPr>
      </w:pPr>
    </w:p>
    <w:p>
      <w:pPr>
        <w:spacing w:line="289" w:lineRule="exact" w:before="0"/>
        <w:ind w:left="212" w:right="-6" w:firstLine="0"/>
        <w:jc w:val="left"/>
        <w:rPr>
          <w:sz w:val="16"/>
        </w:rPr>
      </w:pPr>
      <w:r>
        <w:rPr>
          <w:color w:val="010101"/>
          <w:w w:val="130"/>
          <w:sz w:val="17"/>
        </w:rPr>
        <w:t>l. </w:t>
      </w:r>
      <w:r>
        <w:rPr>
          <w:i/>
          <w:color w:val="010101"/>
          <w:sz w:val="18"/>
        </w:rPr>
        <w:t>( </w:t>
      </w:r>
      <w:r>
        <w:rPr>
          <w:i/>
          <w:color w:val="010101"/>
          <w:spacing w:val="-6"/>
          <w:w w:val="130"/>
          <w:sz w:val="18"/>
        </w:rPr>
        <w:t>,V </w:t>
      </w:r>
      <w:r>
        <w:rPr>
          <w:i/>
          <w:color w:val="010101"/>
          <w:w w:val="130"/>
          <w:sz w:val="18"/>
        </w:rPr>
        <w:t>+ </w:t>
      </w:r>
      <w:r>
        <w:rPr>
          <w:color w:val="010101"/>
          <w:w w:val="130"/>
          <w:sz w:val="17"/>
        </w:rPr>
        <w:t>P)(l </w:t>
      </w:r>
      <w:r>
        <w:rPr>
          <w:rFonts w:ascii="Arial"/>
          <w:color w:val="010101"/>
          <w:sz w:val="26"/>
        </w:rPr>
        <w:t>+ </w:t>
      </w:r>
      <w:r>
        <w:rPr>
          <w:color w:val="010101"/>
          <w:w w:val="130"/>
          <w:sz w:val="16"/>
        </w:rPr>
        <w:t>i)  </w:t>
      </w:r>
      <w:r>
        <w:rPr>
          <w:color w:val="010101"/>
          <w:sz w:val="21"/>
        </w:rPr>
        <w:t>=  </w:t>
      </w:r>
      <w:r>
        <w:rPr>
          <w:color w:val="010101"/>
          <w:sz w:val="16"/>
        </w:rPr>
        <w:t>1+1V </w:t>
      </w:r>
      <w:r>
        <w:rPr>
          <w:rFonts w:ascii="Arial"/>
          <w:color w:val="010101"/>
          <w:sz w:val="26"/>
        </w:rPr>
        <w:t>+ </w:t>
      </w:r>
      <w:r>
        <w:rPr>
          <w:color w:val="010101"/>
          <w:sz w:val="17"/>
        </w:rPr>
        <w:t>q,(1 </w:t>
      </w:r>
      <w:r>
        <w:rPr>
          <w:color w:val="010101"/>
          <w:w w:val="245"/>
          <w:sz w:val="17"/>
        </w:rPr>
        <w:t>-</w:t>
      </w:r>
      <w:r>
        <w:rPr>
          <w:color w:val="010101"/>
          <w:spacing w:val="-70"/>
          <w:w w:val="245"/>
          <w:sz w:val="17"/>
        </w:rPr>
        <w:t> </w:t>
      </w:r>
      <w:r>
        <w:rPr>
          <w:color w:val="010101"/>
          <w:sz w:val="16"/>
        </w:rPr>
        <w:t>1+1V)</w:t>
      </w:r>
    </w:p>
    <w:p>
      <w:pPr>
        <w:spacing w:line="156" w:lineRule="exact" w:before="0"/>
        <w:ind w:left="416" w:right="-6" w:firstLine="0"/>
        <w:jc w:val="left"/>
        <w:rPr>
          <w:sz w:val="17"/>
        </w:rPr>
      </w:pPr>
      <w:r>
        <w:rPr>
          <w:color w:val="010101"/>
          <w:w w:val="110"/>
          <w:sz w:val="17"/>
        </w:rPr>
        <w:t>and</w:t>
      </w:r>
    </w:p>
    <w:p>
      <w:pPr>
        <w:spacing w:line="246" w:lineRule="exact" w:before="0"/>
        <w:ind w:left="420" w:right="-6" w:firstLine="0"/>
        <w:jc w:val="left"/>
        <w:rPr>
          <w:rFonts w:ascii="Arial"/>
          <w:i/>
          <w:sz w:val="15"/>
        </w:rPr>
      </w:pPr>
      <w:r>
        <w:rPr>
          <w:color w:val="010101"/>
          <w:w w:val="130"/>
          <w:sz w:val="18"/>
        </w:rPr>
        <w:t>(,V'</w:t>
      </w:r>
      <w:r>
        <w:rPr>
          <w:color w:val="010101"/>
          <w:spacing w:val="-27"/>
          <w:w w:val="130"/>
          <w:sz w:val="18"/>
        </w:rPr>
        <w:t> </w:t>
      </w:r>
      <w:r>
        <w:rPr>
          <w:color w:val="010101"/>
          <w:w w:val="130"/>
          <w:sz w:val="18"/>
        </w:rPr>
        <w:t>+</w:t>
      </w:r>
      <w:r>
        <w:rPr>
          <w:color w:val="010101"/>
          <w:spacing w:val="-22"/>
          <w:w w:val="130"/>
          <w:sz w:val="18"/>
        </w:rPr>
        <w:t> </w:t>
      </w:r>
      <w:r>
        <w:rPr>
          <w:color w:val="010101"/>
          <w:w w:val="130"/>
          <w:sz w:val="17"/>
        </w:rPr>
        <w:t>P')(l</w:t>
      </w:r>
      <w:r>
        <w:rPr>
          <w:color w:val="010101"/>
          <w:spacing w:val="-13"/>
          <w:w w:val="130"/>
          <w:sz w:val="17"/>
        </w:rPr>
        <w:t> </w:t>
      </w:r>
      <w:r>
        <w:rPr>
          <w:color w:val="010101"/>
          <w:w w:val="130"/>
          <w:sz w:val="18"/>
        </w:rPr>
        <w:t>+</w:t>
      </w:r>
      <w:r>
        <w:rPr>
          <w:color w:val="010101"/>
          <w:spacing w:val="-23"/>
          <w:w w:val="130"/>
          <w:sz w:val="18"/>
        </w:rPr>
        <w:t> </w:t>
      </w:r>
      <w:r>
        <w:rPr>
          <w:color w:val="010101"/>
          <w:w w:val="130"/>
          <w:sz w:val="17"/>
        </w:rPr>
        <w:t>i')</w:t>
      </w:r>
      <w:r>
        <w:rPr>
          <w:color w:val="010101"/>
          <w:spacing w:val="-6"/>
          <w:w w:val="130"/>
          <w:sz w:val="17"/>
        </w:rPr>
        <w:t> </w:t>
      </w:r>
      <w:r>
        <w:rPr>
          <w:color w:val="010101"/>
          <w:w w:val="95"/>
          <w:sz w:val="23"/>
        </w:rPr>
        <w:t>=</w:t>
      </w:r>
      <w:r>
        <w:rPr>
          <w:color w:val="010101"/>
          <w:spacing w:val="6"/>
          <w:w w:val="95"/>
          <w:sz w:val="23"/>
        </w:rPr>
        <w:t> </w:t>
      </w:r>
      <w:r>
        <w:rPr>
          <w:color w:val="010101"/>
          <w:w w:val="95"/>
          <w:sz w:val="18"/>
        </w:rPr>
        <w:t>&amp;+1V'</w:t>
      </w:r>
      <w:r>
        <w:rPr>
          <w:color w:val="010101"/>
          <w:spacing w:val="-4"/>
          <w:w w:val="95"/>
          <w:sz w:val="18"/>
        </w:rPr>
        <w:t> </w:t>
      </w:r>
      <w:r>
        <w:rPr>
          <w:color w:val="010101"/>
          <w:w w:val="115"/>
          <w:sz w:val="24"/>
        </w:rPr>
        <w:t>+</w:t>
      </w:r>
      <w:r>
        <w:rPr>
          <w:color w:val="010101"/>
          <w:spacing w:val="-31"/>
          <w:w w:val="115"/>
          <w:sz w:val="24"/>
        </w:rPr>
        <w:t> </w:t>
      </w:r>
      <w:r>
        <w:rPr>
          <w:i/>
          <w:color w:val="010101"/>
          <w:w w:val="115"/>
          <w:sz w:val="18"/>
        </w:rPr>
        <w:t>q;(l</w:t>
      </w:r>
      <w:r>
        <w:rPr>
          <w:i/>
          <w:color w:val="010101"/>
          <w:spacing w:val="3"/>
          <w:w w:val="115"/>
          <w:sz w:val="18"/>
        </w:rPr>
        <w:t> </w:t>
      </w:r>
      <w:r>
        <w:rPr>
          <w:color w:val="010101"/>
          <w:w w:val="230"/>
          <w:sz w:val="18"/>
        </w:rPr>
        <w:t>-</w:t>
      </w:r>
      <w:r>
        <w:rPr>
          <w:color w:val="010101"/>
          <w:spacing w:val="-72"/>
          <w:w w:val="230"/>
          <w:sz w:val="18"/>
        </w:rPr>
        <w:t> </w:t>
      </w:r>
      <w:r>
        <w:rPr>
          <w:rFonts w:ascii="Arial"/>
          <w:i/>
          <w:color w:val="010101"/>
          <w:w w:val="95"/>
          <w:sz w:val="15"/>
        </w:rPr>
        <w:t>1+1V</w:t>
      </w:r>
      <w:r>
        <w:rPr>
          <w:rFonts w:ascii="Arial"/>
          <w:i/>
          <w:color w:val="010101"/>
          <w:spacing w:val="14"/>
          <w:w w:val="95"/>
          <w:sz w:val="15"/>
        </w:rPr>
        <w:t> </w:t>
      </w:r>
      <w:r>
        <w:rPr>
          <w:rFonts w:ascii="Arial"/>
          <w:i/>
          <w:color w:val="010101"/>
          <w:w w:val="95"/>
          <w:sz w:val="15"/>
        </w:rPr>
        <w:t>)</w:t>
      </w:r>
    </w:p>
    <w:p>
      <w:pPr>
        <w:spacing w:line="170" w:lineRule="exact" w:before="179"/>
        <w:ind w:left="205" w:right="-6" w:firstLine="0"/>
        <w:jc w:val="left"/>
        <w:rPr>
          <w:sz w:val="16"/>
        </w:rPr>
      </w:pPr>
      <w:r>
        <w:rPr>
          <w:color w:val="010101"/>
          <w:w w:val="115"/>
          <w:sz w:val="17"/>
        </w:rPr>
        <w:t>2. </w:t>
      </w:r>
      <w:r>
        <w:rPr>
          <w:i/>
          <w:color w:val="010101"/>
          <w:sz w:val="18"/>
        </w:rPr>
        <w:t>( </w:t>
      </w:r>
      <w:r>
        <w:rPr>
          <w:i/>
          <w:color w:val="010101"/>
          <w:spacing w:val="-3"/>
          <w:w w:val="115"/>
          <w:sz w:val="18"/>
        </w:rPr>
        <w:t>,V </w:t>
      </w:r>
      <w:r>
        <w:rPr>
          <w:i/>
          <w:color w:val="010101"/>
          <w:w w:val="135"/>
          <w:sz w:val="18"/>
        </w:rPr>
        <w:t>+ </w:t>
      </w:r>
      <w:r>
        <w:rPr>
          <w:i/>
          <w:color w:val="010101"/>
          <w:spacing w:val="2"/>
          <w:w w:val="115"/>
          <w:sz w:val="18"/>
        </w:rPr>
        <w:t>P)(i'  </w:t>
      </w:r>
      <w:r>
        <w:rPr>
          <w:color w:val="010101"/>
          <w:w w:val="245"/>
          <w:sz w:val="18"/>
        </w:rPr>
        <w:t>-</w:t>
      </w:r>
      <w:r>
        <w:rPr>
          <w:color w:val="010101"/>
          <w:spacing w:val="-71"/>
          <w:w w:val="245"/>
          <w:sz w:val="18"/>
        </w:rPr>
        <w:t> </w:t>
      </w:r>
      <w:r>
        <w:rPr>
          <w:color w:val="010101"/>
          <w:w w:val="135"/>
          <w:sz w:val="16"/>
        </w:rPr>
        <w:t>i)</w:t>
      </w:r>
    </w:p>
    <w:p>
      <w:pPr>
        <w:spacing w:line="252" w:lineRule="exact" w:before="0"/>
        <w:ind w:left="423" w:right="-6" w:firstLine="0"/>
        <w:jc w:val="left"/>
        <w:rPr>
          <w:sz w:val="17"/>
        </w:rPr>
      </w:pPr>
      <w:r>
        <w:rPr>
          <w:rFonts w:ascii="Arial"/>
          <w:color w:val="010101"/>
          <w:w w:val="130"/>
          <w:sz w:val="26"/>
        </w:rPr>
        <w:t>+ </w:t>
      </w:r>
      <w:r>
        <w:rPr>
          <w:i/>
          <w:color w:val="010101"/>
          <w:sz w:val="18"/>
        </w:rPr>
        <w:t>( </w:t>
      </w:r>
      <w:r>
        <w:rPr>
          <w:i/>
          <w:color w:val="010101"/>
          <w:spacing w:val="-4"/>
          <w:w w:val="130"/>
          <w:sz w:val="18"/>
        </w:rPr>
        <w:t>,V' </w:t>
      </w:r>
      <w:r>
        <w:rPr>
          <w:color w:val="010101"/>
          <w:w w:val="235"/>
          <w:sz w:val="18"/>
        </w:rPr>
        <w:t>- </w:t>
      </w:r>
      <w:r>
        <w:rPr>
          <w:i/>
          <w:color w:val="010101"/>
          <w:w w:val="130"/>
          <w:sz w:val="18"/>
        </w:rPr>
        <w:t>,V + </w:t>
      </w:r>
      <w:r>
        <w:rPr>
          <w:i/>
          <w:color w:val="010101"/>
          <w:sz w:val="18"/>
        </w:rPr>
        <w:t>P'  </w:t>
      </w:r>
      <w:r>
        <w:rPr>
          <w:color w:val="010101"/>
          <w:w w:val="235"/>
          <w:sz w:val="18"/>
        </w:rPr>
        <w:t>-</w:t>
      </w:r>
      <w:r>
        <w:rPr>
          <w:color w:val="010101"/>
          <w:spacing w:val="-55"/>
          <w:w w:val="235"/>
          <w:sz w:val="18"/>
        </w:rPr>
        <w:t> </w:t>
      </w:r>
      <w:r>
        <w:rPr>
          <w:color w:val="010101"/>
          <w:w w:val="130"/>
          <w:sz w:val="17"/>
        </w:rPr>
        <w:t>P)(l </w:t>
      </w:r>
      <w:r>
        <w:rPr>
          <w:rFonts w:ascii="Arial"/>
          <w:color w:val="010101"/>
          <w:sz w:val="26"/>
        </w:rPr>
        <w:t>+ </w:t>
      </w:r>
      <w:r>
        <w:rPr>
          <w:color w:val="010101"/>
          <w:w w:val="130"/>
          <w:sz w:val="17"/>
        </w:rPr>
        <w:t>i')</w:t>
      </w:r>
    </w:p>
    <w:p>
      <w:pPr>
        <w:spacing w:line="150" w:lineRule="exact" w:before="0"/>
        <w:ind w:left="575" w:right="1408" w:firstLine="0"/>
        <w:jc w:val="center"/>
        <w:rPr>
          <w:rFonts w:ascii="Arial"/>
          <w:i/>
          <w:sz w:val="15"/>
        </w:rPr>
      </w:pPr>
      <w:r>
        <w:rPr>
          <w:rFonts w:ascii="Arial"/>
          <w:i/>
          <w:color w:val="010101"/>
          <w:w w:val="120"/>
          <w:sz w:val="15"/>
        </w:rPr>
        <w:t>(q; </w:t>
      </w:r>
      <w:r>
        <w:rPr>
          <w:rFonts w:ascii="Arial"/>
          <w:color w:val="010101"/>
          <w:w w:val="255"/>
          <w:sz w:val="15"/>
        </w:rPr>
        <w:t>-</w:t>
      </w:r>
      <w:r>
        <w:rPr>
          <w:rFonts w:ascii="Arial"/>
          <w:color w:val="010101"/>
          <w:spacing w:val="-58"/>
          <w:w w:val="255"/>
          <w:sz w:val="15"/>
        </w:rPr>
        <w:t> </w:t>
      </w:r>
      <w:r>
        <w:rPr>
          <w:color w:val="010101"/>
          <w:w w:val="120"/>
          <w:sz w:val="17"/>
        </w:rPr>
        <w:t>q,)(1 </w:t>
      </w:r>
      <w:r>
        <w:rPr>
          <w:color w:val="010101"/>
          <w:w w:val="255"/>
          <w:sz w:val="17"/>
        </w:rPr>
        <w:t>-</w:t>
      </w:r>
      <w:r>
        <w:rPr>
          <w:color w:val="010101"/>
          <w:spacing w:val="-61"/>
          <w:w w:val="255"/>
          <w:sz w:val="17"/>
        </w:rPr>
        <w:t> </w:t>
      </w:r>
      <w:r>
        <w:rPr>
          <w:color w:val="010101"/>
          <w:w w:val="120"/>
          <w:sz w:val="12"/>
        </w:rPr>
        <w:t>1+1</w:t>
      </w:r>
      <w:r>
        <w:rPr>
          <w:rFonts w:ascii="Arial"/>
          <w:i/>
          <w:color w:val="010101"/>
          <w:w w:val="120"/>
          <w:sz w:val="15"/>
        </w:rPr>
        <w:t>V)</w:t>
      </w:r>
    </w:p>
    <w:p>
      <w:pPr>
        <w:spacing w:line="263" w:lineRule="exact" w:before="0"/>
        <w:ind w:left="423" w:right="-6" w:firstLine="0"/>
        <w:jc w:val="left"/>
        <w:rPr>
          <w:rFonts w:ascii="Arial"/>
          <w:i/>
          <w:sz w:val="15"/>
        </w:rPr>
      </w:pPr>
      <w:r>
        <w:rPr>
          <w:rFonts w:ascii="Arial"/>
          <w:color w:val="010101"/>
          <w:sz w:val="26"/>
        </w:rPr>
        <w:t>+ </w:t>
      </w:r>
      <w:r>
        <w:rPr>
          <w:rFonts w:ascii="Arial"/>
          <w:color w:val="010101"/>
          <w:w w:val="135"/>
          <w:sz w:val="16"/>
        </w:rPr>
        <w:t>(1 </w:t>
      </w:r>
      <w:r>
        <w:rPr>
          <w:rFonts w:ascii="Arial"/>
          <w:color w:val="010101"/>
          <w:w w:val="260"/>
          <w:sz w:val="16"/>
        </w:rPr>
        <w:t>-</w:t>
      </w:r>
      <w:r>
        <w:rPr>
          <w:rFonts w:ascii="Arial"/>
          <w:color w:val="010101"/>
          <w:spacing w:val="-73"/>
          <w:w w:val="260"/>
          <w:sz w:val="16"/>
        </w:rPr>
        <w:t> </w:t>
      </w:r>
      <w:r>
        <w:rPr>
          <w:rFonts w:ascii="Arial"/>
          <w:i/>
          <w:color w:val="010101"/>
          <w:w w:val="135"/>
          <w:sz w:val="15"/>
        </w:rPr>
        <w:t>q;)( </w:t>
      </w:r>
      <w:r>
        <w:rPr>
          <w:rFonts w:ascii="Arial"/>
          <w:i/>
          <w:color w:val="010101"/>
          <w:spacing w:val="-5"/>
          <w:w w:val="160"/>
          <w:sz w:val="15"/>
        </w:rPr>
        <w:t>..,V' </w:t>
      </w:r>
      <w:r>
        <w:rPr>
          <w:rFonts w:ascii="Arial"/>
          <w:color w:val="010101"/>
          <w:w w:val="260"/>
          <w:sz w:val="15"/>
        </w:rPr>
        <w:t>-</w:t>
      </w:r>
      <w:r>
        <w:rPr>
          <w:rFonts w:ascii="Arial"/>
          <w:color w:val="010101"/>
          <w:spacing w:val="-62"/>
          <w:w w:val="260"/>
          <w:sz w:val="15"/>
        </w:rPr>
        <w:t> </w:t>
      </w:r>
      <w:r>
        <w:rPr>
          <w:rFonts w:ascii="Arial"/>
          <w:i/>
          <w:color w:val="010101"/>
          <w:spacing w:val="2"/>
          <w:sz w:val="15"/>
        </w:rPr>
        <w:t>1+1V)</w:t>
      </w:r>
    </w:p>
    <w:p>
      <w:pPr>
        <w:spacing w:line="235" w:lineRule="exact" w:before="125"/>
        <w:ind w:left="212" w:right="-6" w:firstLine="0"/>
        <w:jc w:val="left"/>
        <w:rPr>
          <w:i/>
          <w:sz w:val="19"/>
        </w:rPr>
      </w:pPr>
      <w:r>
        <w:rPr>
          <w:color w:val="010101"/>
          <w:w w:val="115"/>
          <w:sz w:val="17"/>
        </w:rPr>
        <w:t>3. Define </w:t>
      </w:r>
      <w:r>
        <w:rPr>
          <w:i/>
          <w:color w:val="010101"/>
          <w:w w:val="115"/>
          <w:sz w:val="19"/>
        </w:rPr>
        <w:t>R, </w:t>
      </w:r>
      <w:r>
        <w:rPr>
          <w:color w:val="010101"/>
          <w:w w:val="110"/>
          <w:sz w:val="23"/>
        </w:rPr>
        <w:t>= </w:t>
      </w:r>
      <w:r>
        <w:rPr>
          <w:i/>
          <w:color w:val="010101"/>
          <w:w w:val="115"/>
          <w:sz w:val="19"/>
        </w:rPr>
        <w:t>,V' </w:t>
      </w:r>
      <w:r>
        <w:rPr>
          <w:color w:val="010101"/>
          <w:w w:val="215"/>
          <w:sz w:val="19"/>
        </w:rPr>
        <w:t>- </w:t>
      </w:r>
      <w:r>
        <w:rPr>
          <w:i/>
          <w:color w:val="010101"/>
          <w:w w:val="115"/>
          <w:sz w:val="19"/>
        </w:rPr>
        <w:t>,V</w:t>
      </w:r>
    </w:p>
    <w:p>
      <w:pPr>
        <w:spacing w:line="189" w:lineRule="exact" w:before="0"/>
        <w:ind w:left="423" w:right="-6" w:firstLine="0"/>
        <w:jc w:val="left"/>
        <w:rPr>
          <w:sz w:val="23"/>
        </w:rPr>
      </w:pPr>
      <w:r>
        <w:rPr>
          <w:color w:val="010101"/>
          <w:w w:val="105"/>
          <w:sz w:val="17"/>
        </w:rPr>
        <w:t>and  </w:t>
      </w:r>
      <w:r>
        <w:rPr>
          <w:i/>
          <w:color w:val="010101"/>
          <w:w w:val="105"/>
          <w:sz w:val="18"/>
        </w:rPr>
        <w:t>S </w:t>
      </w:r>
      <w:r>
        <w:rPr>
          <w:i/>
          <w:color w:val="010101"/>
          <w:w w:val="110"/>
          <w:sz w:val="18"/>
        </w:rPr>
        <w:t>, </w:t>
      </w:r>
      <w:r>
        <w:rPr>
          <w:color w:val="010101"/>
          <w:w w:val="105"/>
          <w:sz w:val="23"/>
        </w:rPr>
        <w:t>=</w:t>
      </w:r>
    </w:p>
    <w:p>
      <w:pPr>
        <w:spacing w:line="247" w:lineRule="exact" w:before="0"/>
        <w:ind w:left="434" w:right="-6" w:firstLine="0"/>
        <w:jc w:val="left"/>
        <w:rPr>
          <w:sz w:val="17"/>
        </w:rPr>
      </w:pPr>
      <w:r>
        <w:rPr>
          <w:i/>
          <w:color w:val="010101"/>
          <w:sz w:val="18"/>
        </w:rPr>
        <w:t>( </w:t>
      </w:r>
      <w:r>
        <w:rPr>
          <w:i/>
          <w:color w:val="010101"/>
          <w:spacing w:val="-4"/>
          <w:w w:val="140"/>
          <w:sz w:val="18"/>
        </w:rPr>
        <w:t>,V </w:t>
      </w:r>
      <w:r>
        <w:rPr>
          <w:i/>
          <w:color w:val="010101"/>
          <w:w w:val="140"/>
          <w:sz w:val="18"/>
        </w:rPr>
        <w:t>+ </w:t>
      </w:r>
      <w:r>
        <w:rPr>
          <w:color w:val="010101"/>
          <w:w w:val="140"/>
          <w:sz w:val="17"/>
        </w:rPr>
        <w:t>P)(i' </w:t>
      </w:r>
      <w:r>
        <w:rPr>
          <w:color w:val="010101"/>
          <w:w w:val="255"/>
          <w:sz w:val="17"/>
        </w:rPr>
        <w:t>-</w:t>
      </w:r>
      <w:r>
        <w:rPr>
          <w:color w:val="010101"/>
          <w:spacing w:val="-73"/>
          <w:w w:val="255"/>
          <w:sz w:val="17"/>
        </w:rPr>
        <w:t> </w:t>
      </w:r>
      <w:r>
        <w:rPr>
          <w:color w:val="010101"/>
          <w:w w:val="140"/>
          <w:sz w:val="17"/>
        </w:rPr>
        <w:t>i) </w:t>
      </w:r>
      <w:r>
        <w:rPr>
          <w:rFonts w:ascii="Arial"/>
          <w:color w:val="010101"/>
          <w:w w:val="125"/>
          <w:sz w:val="26"/>
        </w:rPr>
        <w:t>+ </w:t>
      </w:r>
      <w:r>
        <w:rPr>
          <w:color w:val="010101"/>
          <w:w w:val="140"/>
          <w:sz w:val="17"/>
        </w:rPr>
        <w:t>(P' </w:t>
      </w:r>
      <w:r>
        <w:rPr>
          <w:color w:val="010101"/>
          <w:w w:val="255"/>
          <w:sz w:val="17"/>
        </w:rPr>
        <w:t>-</w:t>
      </w:r>
      <w:r>
        <w:rPr>
          <w:color w:val="010101"/>
          <w:spacing w:val="-66"/>
          <w:w w:val="255"/>
          <w:sz w:val="17"/>
        </w:rPr>
        <w:t> </w:t>
      </w:r>
      <w:r>
        <w:rPr>
          <w:color w:val="010101"/>
          <w:w w:val="140"/>
          <w:sz w:val="17"/>
        </w:rPr>
        <w:t>P)(l </w:t>
      </w:r>
      <w:r>
        <w:rPr>
          <w:rFonts w:ascii="Arial"/>
          <w:color w:val="010101"/>
          <w:w w:val="125"/>
          <w:sz w:val="26"/>
        </w:rPr>
        <w:t>+</w:t>
      </w:r>
      <w:r>
        <w:rPr>
          <w:rFonts w:ascii="Arial"/>
          <w:color w:val="010101"/>
          <w:spacing w:val="-58"/>
          <w:w w:val="125"/>
          <w:sz w:val="26"/>
        </w:rPr>
        <w:t> </w:t>
      </w:r>
      <w:r>
        <w:rPr>
          <w:color w:val="010101"/>
          <w:w w:val="140"/>
          <w:sz w:val="17"/>
        </w:rPr>
        <w:t>i')</w:t>
      </w:r>
    </w:p>
    <w:p>
      <w:pPr>
        <w:spacing w:line="189" w:lineRule="exact" w:before="0"/>
        <w:ind w:left="431" w:right="-6" w:firstLine="0"/>
        <w:jc w:val="left"/>
        <w:rPr>
          <w:rFonts w:ascii="Arial"/>
          <w:i/>
          <w:sz w:val="15"/>
        </w:rPr>
      </w:pPr>
      <w:r>
        <w:rPr>
          <w:rFonts w:ascii="Arial"/>
          <w:color w:val="010101"/>
          <w:w w:val="255"/>
          <w:sz w:val="16"/>
        </w:rPr>
        <w:t>-</w:t>
      </w:r>
      <w:r>
        <w:rPr>
          <w:rFonts w:ascii="Arial"/>
          <w:color w:val="010101"/>
          <w:spacing w:val="-53"/>
          <w:w w:val="255"/>
          <w:sz w:val="16"/>
        </w:rPr>
        <w:t> </w:t>
      </w:r>
      <w:r>
        <w:rPr>
          <w:rFonts w:ascii="Arial"/>
          <w:i/>
          <w:color w:val="010101"/>
          <w:w w:val="155"/>
          <w:sz w:val="16"/>
        </w:rPr>
        <w:t>(q </w:t>
      </w:r>
      <w:r>
        <w:rPr>
          <w:rFonts w:ascii="Arial"/>
          <w:color w:val="010101"/>
          <w:w w:val="255"/>
          <w:sz w:val="16"/>
        </w:rPr>
        <w:t>-</w:t>
      </w:r>
      <w:r>
        <w:rPr>
          <w:rFonts w:ascii="Arial"/>
          <w:color w:val="010101"/>
          <w:spacing w:val="-61"/>
          <w:w w:val="255"/>
          <w:sz w:val="16"/>
        </w:rPr>
        <w:t> </w:t>
      </w:r>
      <w:r>
        <w:rPr>
          <w:color w:val="010101"/>
          <w:w w:val="125"/>
          <w:sz w:val="17"/>
        </w:rPr>
        <w:t>q,)(1 </w:t>
      </w:r>
      <w:r>
        <w:rPr>
          <w:color w:val="010101"/>
          <w:w w:val="255"/>
          <w:sz w:val="17"/>
        </w:rPr>
        <w:t>-</w:t>
      </w:r>
      <w:r>
        <w:rPr>
          <w:color w:val="010101"/>
          <w:spacing w:val="-63"/>
          <w:w w:val="255"/>
          <w:sz w:val="17"/>
        </w:rPr>
        <w:t> </w:t>
      </w:r>
      <w:r>
        <w:rPr>
          <w:color w:val="010101"/>
          <w:w w:val="155"/>
          <w:sz w:val="11"/>
        </w:rPr>
        <w:t>l+I </w:t>
      </w:r>
      <w:r>
        <w:rPr>
          <w:rFonts w:ascii="Arial"/>
          <w:i/>
          <w:color w:val="010101"/>
          <w:spacing w:val="3"/>
          <w:w w:val="125"/>
          <w:sz w:val="15"/>
        </w:rPr>
        <w:t>V)</w:t>
      </w:r>
    </w:p>
    <w:p>
      <w:pPr>
        <w:spacing w:before="122"/>
        <w:ind w:left="208" w:right="-6" w:firstLine="0"/>
        <w:jc w:val="left"/>
        <w:rPr>
          <w:i/>
          <w:sz w:val="19"/>
        </w:rPr>
      </w:pPr>
      <w:r>
        <w:rPr>
          <w:color w:val="010101"/>
          <w:w w:val="115"/>
          <w:sz w:val="17"/>
        </w:rPr>
        <w:t>4. R,(1 </w:t>
      </w:r>
      <w:r>
        <w:rPr>
          <w:rFonts w:ascii="Arial"/>
          <w:color w:val="010101"/>
          <w:w w:val="115"/>
          <w:sz w:val="26"/>
        </w:rPr>
        <w:t>+ </w:t>
      </w:r>
      <w:r>
        <w:rPr>
          <w:color w:val="010101"/>
          <w:w w:val="130"/>
          <w:sz w:val="17"/>
        </w:rPr>
        <w:t>i') </w:t>
      </w:r>
      <w:r>
        <w:rPr>
          <w:rFonts w:ascii="Arial"/>
          <w:color w:val="010101"/>
          <w:w w:val="115"/>
          <w:sz w:val="26"/>
        </w:rPr>
        <w:t>+</w:t>
      </w:r>
      <w:r>
        <w:rPr>
          <w:rFonts w:ascii="Arial"/>
          <w:color w:val="010101"/>
          <w:spacing w:val="-53"/>
          <w:w w:val="115"/>
          <w:sz w:val="26"/>
        </w:rPr>
        <w:t> </w:t>
      </w:r>
      <w:r>
        <w:rPr>
          <w:i/>
          <w:color w:val="010101"/>
          <w:spacing w:val="11"/>
          <w:w w:val="115"/>
          <w:sz w:val="19"/>
        </w:rPr>
        <w:t>S, </w:t>
      </w:r>
      <w:r>
        <w:rPr>
          <w:color w:val="010101"/>
          <w:w w:val="115"/>
          <w:sz w:val="21"/>
        </w:rPr>
        <w:t>= </w:t>
      </w:r>
      <w:r>
        <w:rPr>
          <w:rFonts w:ascii="Arial"/>
          <w:i/>
          <w:color w:val="010101"/>
          <w:sz w:val="23"/>
        </w:rPr>
        <w:t>p; </w:t>
      </w:r>
      <w:r>
        <w:rPr>
          <w:i/>
          <w:color w:val="010101"/>
          <w:w w:val="130"/>
          <w:sz w:val="19"/>
        </w:rPr>
        <w:t>R,..</w:t>
      </w:r>
    </w:p>
    <w:p>
      <w:pPr>
        <w:pStyle w:val="BodyText"/>
        <w:spacing w:before="9"/>
        <w:rPr>
          <w:i/>
          <w:sz w:val="31"/>
        </w:rPr>
      </w:pPr>
    </w:p>
    <w:p>
      <w:pPr>
        <w:spacing w:before="0"/>
        <w:ind w:left="215" w:right="-6" w:firstLine="0"/>
        <w:jc w:val="left"/>
        <w:rPr>
          <w:sz w:val="18"/>
        </w:rPr>
      </w:pPr>
      <w:r>
        <w:rPr>
          <w:color w:val="010101"/>
          <w:sz w:val="18"/>
        </w:rPr>
        <w:t>5. Ro =  </w:t>
      </w:r>
      <w:r>
        <w:rPr>
          <w:i/>
          <w:color w:val="010101"/>
          <w:sz w:val="20"/>
        </w:rPr>
        <w:t>R.. = </w:t>
      </w:r>
      <w:r>
        <w:rPr>
          <w:color w:val="010101"/>
          <w:sz w:val="18"/>
        </w:rPr>
        <w:t>O</w:t>
      </w:r>
    </w:p>
    <w:p>
      <w:pPr>
        <w:pStyle w:val="BodyText"/>
        <w:spacing w:before="9"/>
        <w:rPr>
          <w:sz w:val="15"/>
        </w:rPr>
      </w:pPr>
      <w:r>
        <w:rPr/>
        <w:br w:type="column"/>
      </w:r>
      <w:r>
        <w:rPr>
          <w:sz w:val="15"/>
        </w:rPr>
      </w:r>
    </w:p>
    <w:p>
      <w:pPr>
        <w:spacing w:before="0"/>
        <w:ind w:left="847" w:right="922" w:firstLine="0"/>
        <w:jc w:val="center"/>
        <w:rPr>
          <w:rFonts w:ascii="Arial"/>
          <w:b/>
          <w:sz w:val="13"/>
        </w:rPr>
      </w:pPr>
      <w:r>
        <w:rPr>
          <w:rFonts w:ascii="Arial"/>
          <w:b/>
          <w:color w:val="010101"/>
          <w:sz w:val="13"/>
        </w:rPr>
        <w:t>R.euom</w:t>
      </w:r>
    </w:p>
    <w:p>
      <w:pPr>
        <w:pStyle w:val="BodyText"/>
        <w:rPr>
          <w:rFonts w:ascii="Arial"/>
          <w:b/>
          <w:sz w:val="12"/>
        </w:rPr>
      </w:pPr>
    </w:p>
    <w:p>
      <w:pPr>
        <w:spacing w:before="85"/>
        <w:ind w:left="103" w:right="0" w:firstLine="0"/>
        <w:jc w:val="left"/>
        <w:rPr>
          <w:sz w:val="17"/>
        </w:rPr>
      </w:pPr>
      <w:r>
        <w:rPr>
          <w:color w:val="010101"/>
          <w:w w:val="110"/>
          <w:sz w:val="17"/>
        </w:rPr>
        <w:t>Formula  (5.17)</w:t>
      </w:r>
    </w:p>
    <w:p>
      <w:pPr>
        <w:pStyle w:val="BodyText"/>
        <w:rPr>
          <w:sz w:val="16"/>
        </w:rPr>
      </w:pPr>
    </w:p>
    <w:p>
      <w:pPr>
        <w:pStyle w:val="BodyText"/>
        <w:rPr>
          <w:sz w:val="16"/>
        </w:rPr>
      </w:pPr>
    </w:p>
    <w:p>
      <w:pPr>
        <w:pStyle w:val="BodyText"/>
        <w:spacing w:before="5"/>
        <w:rPr>
          <w:sz w:val="21"/>
        </w:rPr>
      </w:pPr>
    </w:p>
    <w:p>
      <w:pPr>
        <w:spacing w:line="237" w:lineRule="auto" w:before="0"/>
        <w:ind w:left="261" w:right="113" w:hanging="162"/>
        <w:jc w:val="both"/>
        <w:rPr>
          <w:sz w:val="17"/>
        </w:rPr>
      </w:pPr>
      <w:r>
        <w:rPr>
          <w:color w:val="010101"/>
          <w:w w:val="110"/>
          <w:sz w:val="17"/>
        </w:rPr>
        <w:t>Subtracting the equations  in Statement </w:t>
      </w:r>
      <w:r>
        <w:rPr>
          <w:color w:val="010101"/>
          <w:w w:val="110"/>
          <w:sz w:val="18"/>
        </w:rPr>
        <w:t>1 </w:t>
      </w:r>
      <w:r>
        <w:rPr>
          <w:color w:val="010101"/>
          <w:w w:val="110"/>
          <w:sz w:val="17"/>
        </w:rPr>
        <w:t>and </w:t>
      </w:r>
      <w:r>
        <w:rPr>
          <w:color w:val="424242"/>
          <w:w w:val="95"/>
          <w:sz w:val="17"/>
        </w:rPr>
        <w:t>. </w:t>
      </w:r>
      <w:r>
        <w:rPr>
          <w:color w:val="010101"/>
          <w:w w:val="110"/>
          <w:sz w:val="17"/>
        </w:rPr>
        <w:t>re­ </w:t>
      </w:r>
      <w:r>
        <w:rPr>
          <w:b/>
          <w:color w:val="010101"/>
          <w:w w:val="105"/>
          <w:sz w:val="17"/>
        </w:rPr>
        <w:t>arranging</w:t>
      </w:r>
      <w:r>
        <w:rPr>
          <w:b/>
          <w:color w:val="010101"/>
          <w:spacing w:val="24"/>
          <w:w w:val="105"/>
          <w:sz w:val="17"/>
        </w:rPr>
        <w:t> </w:t>
      </w:r>
      <w:r>
        <w:rPr>
          <w:color w:val="010101"/>
          <w:w w:val="105"/>
          <w:sz w:val="17"/>
        </w:rPr>
        <w:t>terms</w:t>
      </w:r>
    </w:p>
    <w:p>
      <w:pPr>
        <w:pStyle w:val="BodyText"/>
        <w:rPr>
          <w:sz w:val="16"/>
        </w:rPr>
      </w:pPr>
    </w:p>
    <w:p>
      <w:pPr>
        <w:pStyle w:val="BodyText"/>
        <w:spacing w:before="6"/>
        <w:rPr>
          <w:sz w:val="19"/>
        </w:rPr>
      </w:pPr>
    </w:p>
    <w:p>
      <w:pPr>
        <w:spacing w:before="0"/>
        <w:ind w:left="103" w:right="0" w:firstLine="0"/>
        <w:jc w:val="left"/>
        <w:rPr>
          <w:sz w:val="17"/>
        </w:rPr>
      </w:pPr>
      <w:r>
        <w:rPr>
          <w:color w:val="010101"/>
          <w:w w:val="110"/>
          <w:sz w:val="17"/>
        </w:rPr>
        <w:t>Definitions</w:t>
      </w:r>
    </w:p>
    <w:p>
      <w:pPr>
        <w:pStyle w:val="BodyText"/>
        <w:rPr>
          <w:sz w:val="16"/>
        </w:rPr>
      </w:pPr>
    </w:p>
    <w:p>
      <w:pPr>
        <w:pStyle w:val="BodyText"/>
        <w:rPr>
          <w:sz w:val="16"/>
        </w:rPr>
      </w:pPr>
    </w:p>
    <w:p>
      <w:pPr>
        <w:pStyle w:val="BodyText"/>
        <w:rPr>
          <w:sz w:val="16"/>
        </w:rPr>
      </w:pPr>
    </w:p>
    <w:p>
      <w:pPr>
        <w:pStyle w:val="BodyText"/>
        <w:rPr>
          <w:sz w:val="22"/>
        </w:rPr>
      </w:pPr>
    </w:p>
    <w:p>
      <w:pPr>
        <w:spacing w:before="0"/>
        <w:ind w:left="107" w:right="0" w:firstLine="0"/>
        <w:jc w:val="left"/>
        <w:rPr>
          <w:i/>
          <w:sz w:val="18"/>
        </w:rPr>
      </w:pPr>
      <w:r>
        <w:rPr>
          <w:color w:val="010101"/>
          <w:w w:val="115"/>
          <w:sz w:val="17"/>
        </w:rPr>
        <w:t>Substituting for </w:t>
      </w:r>
      <w:r>
        <w:rPr>
          <w:i/>
          <w:color w:val="010101"/>
          <w:w w:val="115"/>
          <w:sz w:val="18"/>
        </w:rPr>
        <w:t>R, </w:t>
      </w:r>
      <w:r>
        <w:rPr>
          <w:color w:val="010101"/>
          <w:w w:val="115"/>
          <w:sz w:val="17"/>
        </w:rPr>
        <w:t>and  </w:t>
      </w:r>
      <w:r>
        <w:rPr>
          <w:i/>
          <w:color w:val="010101"/>
          <w:w w:val="115"/>
          <w:sz w:val="18"/>
        </w:rPr>
        <w:t>S</w:t>
      </w:r>
    </w:p>
    <w:p>
      <w:pPr>
        <w:spacing w:before="0"/>
        <w:ind w:left="268" w:right="0" w:firstLine="0"/>
        <w:jc w:val="left"/>
        <w:rPr>
          <w:rFonts w:ascii="Arial"/>
          <w:sz w:val="16"/>
        </w:rPr>
      </w:pPr>
      <w:r>
        <w:rPr>
          <w:color w:val="010101"/>
          <w:w w:val="115"/>
          <w:sz w:val="17"/>
        </w:rPr>
        <w:t>in Statement </w:t>
      </w:r>
      <w:r>
        <w:rPr>
          <w:rFonts w:ascii="Arial"/>
          <w:color w:val="010101"/>
          <w:w w:val="115"/>
          <w:sz w:val="16"/>
        </w:rPr>
        <w:t>2</w:t>
      </w:r>
    </w:p>
    <w:p>
      <w:pPr>
        <w:pStyle w:val="BodyText"/>
        <w:rPr>
          <w:rFonts w:ascii="Arial"/>
          <w:sz w:val="15"/>
        </w:rPr>
      </w:pPr>
    </w:p>
    <w:p>
      <w:pPr>
        <w:spacing w:before="1"/>
        <w:ind w:left="110" w:right="0" w:firstLine="0"/>
        <w:jc w:val="left"/>
        <w:rPr>
          <w:i/>
          <w:sz w:val="16"/>
        </w:rPr>
      </w:pPr>
      <w:r>
        <w:rPr>
          <w:i/>
          <w:color w:val="010101"/>
          <w:w w:val="105"/>
          <w:sz w:val="16"/>
        </w:rPr>
        <w:t>oV  </w:t>
      </w:r>
      <w:r>
        <w:rPr>
          <w:color w:val="010101"/>
          <w:w w:val="105"/>
          <w:sz w:val="21"/>
        </w:rPr>
        <w:t>= </w:t>
      </w:r>
      <w:r>
        <w:rPr>
          <w:i/>
          <w:color w:val="010101"/>
          <w:w w:val="105"/>
          <w:sz w:val="16"/>
        </w:rPr>
        <w:t>oV </w:t>
      </w:r>
      <w:r>
        <w:rPr>
          <w:i/>
          <w:color w:val="010101"/>
          <w:w w:val="160"/>
          <w:sz w:val="16"/>
        </w:rPr>
        <w:t>' </w:t>
      </w:r>
      <w:r>
        <w:rPr>
          <w:color w:val="010101"/>
          <w:w w:val="105"/>
          <w:sz w:val="17"/>
        </w:rPr>
        <w:t>and </w:t>
      </w:r>
      <w:r>
        <w:rPr>
          <w:i/>
          <w:color w:val="010101"/>
          <w:w w:val="105"/>
          <w:sz w:val="16"/>
        </w:rPr>
        <w:t>,.V  = </w:t>
      </w:r>
      <w:r>
        <w:rPr>
          <w:rFonts w:ascii="Arial"/>
          <w:i/>
          <w:color w:val="010101"/>
          <w:w w:val="90"/>
          <w:position w:val="-1"/>
          <w:sz w:val="7"/>
        </w:rPr>
        <w:t>111 </w:t>
      </w:r>
      <w:r>
        <w:rPr>
          <w:i/>
          <w:color w:val="010101"/>
          <w:w w:val="105"/>
          <w:sz w:val="16"/>
        </w:rPr>
        <w:t>V </w:t>
      </w:r>
      <w:r>
        <w:rPr>
          <w:i/>
          <w:color w:val="010101"/>
          <w:w w:val="115"/>
          <w:sz w:val="16"/>
        </w:rPr>
        <w:t>'</w:t>
      </w:r>
    </w:p>
    <w:p>
      <w:pPr>
        <w:spacing w:after="0"/>
        <w:jc w:val="left"/>
        <w:rPr>
          <w:sz w:val="16"/>
        </w:rPr>
        <w:sectPr>
          <w:type w:val="continuous"/>
          <w:pgSz w:w="7200" w:h="11340"/>
          <w:pgMar w:top="1100" w:bottom="0" w:left="660" w:right="580"/>
          <w:cols w:num="2" w:equalWidth="0">
            <w:col w:w="3633" w:space="40"/>
            <w:col w:w="2287"/>
          </w:cols>
        </w:sectPr>
      </w:pPr>
    </w:p>
    <w:p>
      <w:pPr>
        <w:pStyle w:val="BodyText"/>
        <w:spacing w:before="10"/>
        <w:rPr>
          <w:i/>
          <w:sz w:val="14"/>
        </w:rPr>
      </w:pPr>
    </w:p>
    <w:p>
      <w:pPr>
        <w:spacing w:line="210" w:lineRule="exact" w:before="0"/>
        <w:ind w:left="201" w:right="0" w:firstLine="0"/>
        <w:jc w:val="left"/>
        <w:rPr>
          <w:rFonts w:ascii="Arial"/>
          <w:sz w:val="15"/>
        </w:rPr>
      </w:pPr>
      <w:r>
        <w:rPr>
          <w:rFonts w:ascii="Arial"/>
          <w:color w:val="010101"/>
          <w:w w:val="110"/>
          <w:sz w:val="15"/>
        </w:rPr>
        <w:t>6. </w:t>
      </w:r>
      <w:r>
        <w:rPr>
          <w:i/>
          <w:color w:val="010101"/>
          <w:w w:val="110"/>
          <w:sz w:val="19"/>
        </w:rPr>
        <w:t>.S ,</w:t>
      </w:r>
      <w:r>
        <w:rPr>
          <w:color w:val="010101"/>
          <w:w w:val="110"/>
          <w:sz w:val="17"/>
        </w:rPr>
        <w:t>can neither be positive for every </w:t>
      </w:r>
      <w:r>
        <w:rPr>
          <w:rFonts w:ascii="Arial"/>
          <w:i/>
          <w:color w:val="010101"/>
          <w:w w:val="110"/>
          <w:sz w:val="16"/>
        </w:rPr>
        <w:t>t </w:t>
      </w:r>
      <w:r>
        <w:rPr>
          <w:color w:val="010101"/>
          <w:w w:val="110"/>
          <w:sz w:val="17"/>
        </w:rPr>
        <w:t>nor be   Statements </w:t>
      </w:r>
      <w:r>
        <w:rPr>
          <w:rFonts w:ascii="Arial"/>
          <w:color w:val="010101"/>
          <w:w w:val="110"/>
          <w:sz w:val="15"/>
        </w:rPr>
        <w:t>4 </w:t>
      </w:r>
      <w:r>
        <w:rPr>
          <w:color w:val="010101"/>
          <w:w w:val="110"/>
          <w:sz w:val="17"/>
        </w:rPr>
        <w:t>and </w:t>
      </w:r>
      <w:r>
        <w:rPr>
          <w:rFonts w:ascii="Arial"/>
          <w:color w:val="010101"/>
          <w:w w:val="110"/>
          <w:sz w:val="15"/>
        </w:rPr>
        <w:t>5</w:t>
      </w:r>
    </w:p>
    <w:p>
      <w:pPr>
        <w:spacing w:line="210" w:lineRule="exact" w:before="0"/>
        <w:ind w:left="420" w:right="0" w:firstLine="0"/>
        <w:jc w:val="left"/>
        <w:rPr>
          <w:i/>
          <w:sz w:val="19"/>
        </w:rPr>
      </w:pPr>
      <w:r>
        <w:rPr>
          <w:color w:val="010101"/>
          <w:w w:val="115"/>
          <w:sz w:val="17"/>
        </w:rPr>
        <w:t>negative for every </w:t>
      </w:r>
      <w:r>
        <w:rPr>
          <w:i/>
          <w:color w:val="010101"/>
          <w:w w:val="115"/>
          <w:sz w:val="19"/>
        </w:rPr>
        <w:t>t.</w:t>
      </w:r>
    </w:p>
    <w:p>
      <w:pPr>
        <w:pStyle w:val="BodyText"/>
        <w:spacing w:before="9"/>
        <w:rPr>
          <w:i/>
          <w:sz w:val="16"/>
        </w:rPr>
      </w:pPr>
    </w:p>
    <w:p>
      <w:pPr>
        <w:pStyle w:val="ListParagraph"/>
        <w:numPr>
          <w:ilvl w:val="0"/>
          <w:numId w:val="46"/>
        </w:numPr>
        <w:tabs>
          <w:tab w:pos="424" w:val="left" w:leader="none"/>
          <w:tab w:pos="3776" w:val="left" w:leader="none"/>
        </w:tabs>
        <w:spacing w:line="240" w:lineRule="auto" w:before="0" w:after="0"/>
        <w:ind w:left="413" w:right="0" w:hanging="212"/>
        <w:jc w:val="left"/>
        <w:rPr>
          <w:color w:val="010101"/>
          <w:sz w:val="17"/>
        </w:rPr>
      </w:pPr>
      <w:r>
        <w:rPr>
          <w:rFonts w:ascii="Arial"/>
          <w:color w:val="010101"/>
          <w:w w:val="120"/>
          <w:sz w:val="17"/>
        </w:rPr>
        <w:t>If</w:t>
      </w:r>
      <w:r>
        <w:rPr>
          <w:rFonts w:ascii="Arial"/>
          <w:color w:val="010101"/>
          <w:spacing w:val="-30"/>
          <w:w w:val="120"/>
          <w:sz w:val="17"/>
        </w:rPr>
        <w:t> </w:t>
      </w:r>
      <w:r>
        <w:rPr>
          <w:i/>
          <w:color w:val="010101"/>
          <w:spacing w:val="11"/>
          <w:w w:val="120"/>
          <w:sz w:val="18"/>
        </w:rPr>
        <w:t>S,</w:t>
      </w:r>
      <w:r>
        <w:rPr>
          <w:i/>
          <w:color w:val="010101"/>
          <w:spacing w:val="-37"/>
          <w:w w:val="120"/>
          <w:sz w:val="18"/>
        </w:rPr>
        <w:t> </w:t>
      </w:r>
      <w:r>
        <w:rPr>
          <w:color w:val="010101"/>
          <w:w w:val="120"/>
          <w:sz w:val="17"/>
        </w:rPr>
        <w:t>is</w:t>
      </w:r>
      <w:r>
        <w:rPr>
          <w:color w:val="010101"/>
          <w:spacing w:val="-16"/>
          <w:w w:val="120"/>
          <w:sz w:val="17"/>
        </w:rPr>
        <w:t> </w:t>
      </w:r>
      <w:r>
        <w:rPr>
          <w:color w:val="010101"/>
          <w:w w:val="120"/>
          <w:sz w:val="17"/>
        </w:rPr>
        <w:t>constant,</w:t>
      </w:r>
      <w:r>
        <w:rPr>
          <w:color w:val="010101"/>
          <w:spacing w:val="-13"/>
          <w:w w:val="120"/>
          <w:sz w:val="17"/>
        </w:rPr>
        <w:t> </w:t>
      </w:r>
      <w:r>
        <w:rPr>
          <w:color w:val="010101"/>
          <w:w w:val="120"/>
          <w:sz w:val="17"/>
        </w:rPr>
        <w:t>it</w:t>
      </w:r>
      <w:r>
        <w:rPr>
          <w:color w:val="010101"/>
          <w:spacing w:val="-18"/>
          <w:w w:val="120"/>
          <w:sz w:val="17"/>
        </w:rPr>
        <w:t> </w:t>
      </w:r>
      <w:r>
        <w:rPr>
          <w:color w:val="010101"/>
          <w:w w:val="120"/>
          <w:sz w:val="17"/>
        </w:rPr>
        <w:t>must</w:t>
      </w:r>
      <w:r>
        <w:rPr>
          <w:color w:val="010101"/>
          <w:spacing w:val="-7"/>
          <w:w w:val="120"/>
          <w:sz w:val="17"/>
        </w:rPr>
        <w:t> </w:t>
      </w:r>
      <w:r>
        <w:rPr>
          <w:color w:val="010101"/>
          <w:w w:val="120"/>
          <w:sz w:val="17"/>
        </w:rPr>
        <w:t>be</w:t>
      </w:r>
      <w:r>
        <w:rPr>
          <w:color w:val="010101"/>
          <w:spacing w:val="-18"/>
          <w:w w:val="120"/>
          <w:sz w:val="17"/>
        </w:rPr>
        <w:t> </w:t>
      </w:r>
      <w:r>
        <w:rPr>
          <w:color w:val="010101"/>
          <w:w w:val="120"/>
          <w:sz w:val="17"/>
        </w:rPr>
        <w:t>equal</w:t>
      </w:r>
      <w:r>
        <w:rPr>
          <w:color w:val="010101"/>
          <w:spacing w:val="-14"/>
          <w:w w:val="120"/>
          <w:sz w:val="17"/>
        </w:rPr>
        <w:t> </w:t>
      </w:r>
      <w:r>
        <w:rPr>
          <w:color w:val="010101"/>
          <w:w w:val="120"/>
          <w:sz w:val="17"/>
        </w:rPr>
        <w:t>to</w:t>
      </w:r>
      <w:r>
        <w:rPr>
          <w:color w:val="010101"/>
          <w:spacing w:val="-17"/>
          <w:w w:val="120"/>
          <w:sz w:val="17"/>
        </w:rPr>
        <w:t> </w:t>
      </w:r>
      <w:r>
        <w:rPr>
          <w:color w:val="010101"/>
          <w:w w:val="120"/>
          <w:sz w:val="17"/>
        </w:rPr>
        <w:t>zero.</w:t>
        <w:tab/>
        <w:t>Statement</w:t>
      </w:r>
      <w:r>
        <w:rPr>
          <w:color w:val="010101"/>
          <w:spacing w:val="-23"/>
          <w:w w:val="120"/>
          <w:sz w:val="17"/>
        </w:rPr>
        <w:t> </w:t>
      </w:r>
      <w:r>
        <w:rPr>
          <w:color w:val="010101"/>
          <w:w w:val="120"/>
          <w:sz w:val="17"/>
        </w:rPr>
        <w:t>6</w:t>
      </w:r>
    </w:p>
    <w:p>
      <w:pPr>
        <w:pStyle w:val="BodyText"/>
        <w:spacing w:before="6"/>
        <w:rPr>
          <w:sz w:val="14"/>
        </w:rPr>
      </w:pPr>
    </w:p>
    <w:p>
      <w:pPr>
        <w:pStyle w:val="ListParagraph"/>
        <w:numPr>
          <w:ilvl w:val="0"/>
          <w:numId w:val="46"/>
        </w:numPr>
        <w:tabs>
          <w:tab w:pos="428" w:val="left" w:leader="none"/>
        </w:tabs>
        <w:spacing w:line="234" w:lineRule="exact" w:before="0" w:after="0"/>
        <w:ind w:left="427" w:right="0" w:hanging="230"/>
        <w:jc w:val="left"/>
        <w:rPr>
          <w:color w:val="010101"/>
          <w:sz w:val="18"/>
        </w:rPr>
      </w:pPr>
      <w:r>
        <w:rPr>
          <w:rFonts w:ascii="Arial"/>
          <w:color w:val="010101"/>
          <w:w w:val="120"/>
          <w:sz w:val="17"/>
        </w:rPr>
        <w:t>If </w:t>
      </w:r>
      <w:r>
        <w:rPr>
          <w:i/>
          <w:color w:val="010101"/>
          <w:spacing w:val="11"/>
          <w:w w:val="110"/>
          <w:sz w:val="19"/>
        </w:rPr>
        <w:t>S, </w:t>
      </w:r>
      <w:r>
        <w:rPr>
          <w:color w:val="010101"/>
          <w:w w:val="110"/>
          <w:sz w:val="17"/>
        </w:rPr>
        <w:t>is eonstant, then  </w:t>
      </w:r>
      <w:r>
        <w:rPr>
          <w:i/>
          <w:color w:val="010101"/>
          <w:w w:val="110"/>
          <w:sz w:val="19"/>
        </w:rPr>
        <w:t>R, </w:t>
      </w:r>
      <w:r>
        <w:rPr>
          <w:color w:val="010101"/>
          <w:w w:val="110"/>
          <w:sz w:val="21"/>
        </w:rPr>
        <w:t>= </w:t>
      </w:r>
      <w:r>
        <w:rPr>
          <w:color w:val="010101"/>
          <w:sz w:val="18"/>
        </w:rPr>
        <w:t>O </w:t>
      </w:r>
      <w:r>
        <w:rPr>
          <w:color w:val="010101"/>
          <w:w w:val="110"/>
          <w:sz w:val="17"/>
        </w:rPr>
        <w:t>for every t,   Statements </w:t>
      </w:r>
      <w:r>
        <w:rPr>
          <w:color w:val="010101"/>
          <w:w w:val="110"/>
          <w:sz w:val="18"/>
        </w:rPr>
        <w:t>4, 5, </w:t>
      </w:r>
      <w:r>
        <w:rPr>
          <w:color w:val="010101"/>
          <w:w w:val="110"/>
          <w:sz w:val="17"/>
        </w:rPr>
        <w:t>an&lt;l </w:t>
      </w:r>
      <w:r>
        <w:rPr>
          <w:color w:val="010101"/>
          <w:spacing w:val="24"/>
          <w:w w:val="110"/>
          <w:sz w:val="17"/>
        </w:rPr>
        <w:t> </w:t>
      </w:r>
      <w:r>
        <w:rPr>
          <w:color w:val="010101"/>
          <w:w w:val="110"/>
          <w:sz w:val="18"/>
        </w:rPr>
        <w:t>7</w:t>
      </w:r>
    </w:p>
    <w:p>
      <w:pPr>
        <w:spacing w:line="199" w:lineRule="exact" w:before="0"/>
        <w:ind w:left="413" w:right="0" w:firstLine="0"/>
        <w:jc w:val="left"/>
        <w:rPr>
          <w:i/>
          <w:sz w:val="18"/>
        </w:rPr>
      </w:pPr>
      <w:r>
        <w:rPr>
          <w:color w:val="010101"/>
          <w:w w:val="115"/>
          <w:sz w:val="17"/>
        </w:rPr>
        <w:t>and </w:t>
      </w:r>
      <w:r>
        <w:rPr>
          <w:i/>
          <w:color w:val="010101"/>
          <w:w w:val="115"/>
          <w:sz w:val="18"/>
        </w:rPr>
        <w:t>,V' </w:t>
      </w:r>
      <w:r>
        <w:rPr>
          <w:b/>
          <w:color w:val="010101"/>
          <w:w w:val="115"/>
          <w:sz w:val="18"/>
        </w:rPr>
        <w:t>is aiways </w:t>
      </w:r>
      <w:r>
        <w:rPr>
          <w:color w:val="010101"/>
          <w:w w:val="115"/>
          <w:sz w:val="17"/>
        </w:rPr>
        <w:t>equal to </w:t>
      </w:r>
      <w:r>
        <w:rPr>
          <w:i/>
          <w:color w:val="010101"/>
          <w:w w:val="115"/>
          <w:sz w:val="18"/>
        </w:rPr>
        <w:t>,V.</w:t>
      </w:r>
    </w:p>
    <w:p>
      <w:pPr>
        <w:pStyle w:val="BodyText"/>
        <w:spacing w:before="3"/>
        <w:rPr>
          <w:i/>
          <w:sz w:val="10"/>
        </w:rPr>
      </w:pPr>
    </w:p>
    <w:p>
      <w:pPr>
        <w:spacing w:after="0"/>
        <w:rPr>
          <w:sz w:val="10"/>
        </w:rPr>
        <w:sectPr>
          <w:type w:val="continuous"/>
          <w:pgSz w:w="7200" w:h="11340"/>
          <w:pgMar w:top="1100" w:bottom="0" w:left="660" w:right="580"/>
        </w:sectPr>
      </w:pPr>
    </w:p>
    <w:p>
      <w:pPr>
        <w:pStyle w:val="ListParagraph"/>
        <w:numPr>
          <w:ilvl w:val="0"/>
          <w:numId w:val="46"/>
        </w:numPr>
        <w:tabs>
          <w:tab w:pos="424" w:val="left" w:leader="none"/>
        </w:tabs>
        <w:spacing w:line="187" w:lineRule="auto" w:before="114" w:after="0"/>
        <w:ind w:left="413" w:right="5" w:hanging="212"/>
        <w:jc w:val="both"/>
        <w:rPr>
          <w:i/>
          <w:color w:val="010101"/>
          <w:sz w:val="17"/>
        </w:rPr>
      </w:pPr>
      <w:r>
        <w:rPr>
          <w:rFonts w:ascii="Arial"/>
          <w:color w:val="010101"/>
          <w:w w:val="135"/>
          <w:sz w:val="17"/>
        </w:rPr>
        <w:t>lf</w:t>
      </w:r>
      <w:r>
        <w:rPr>
          <w:rFonts w:ascii="Arial"/>
          <w:color w:val="010101"/>
          <w:spacing w:val="-39"/>
          <w:w w:val="135"/>
          <w:sz w:val="17"/>
        </w:rPr>
        <w:t> </w:t>
      </w:r>
      <w:r>
        <w:rPr>
          <w:i/>
          <w:color w:val="010101"/>
          <w:w w:val="115"/>
          <w:sz w:val="18"/>
        </w:rPr>
        <w:t>S</w:t>
      </w:r>
      <w:r>
        <w:rPr>
          <w:i/>
          <w:color w:val="010101"/>
          <w:spacing w:val="-34"/>
          <w:w w:val="115"/>
          <w:sz w:val="18"/>
        </w:rPr>
        <w:t> </w:t>
      </w:r>
      <w:r>
        <w:rPr>
          <w:i/>
          <w:color w:val="010101"/>
          <w:w w:val="115"/>
          <w:sz w:val="18"/>
        </w:rPr>
        <w:t>,</w:t>
      </w:r>
      <w:r>
        <w:rPr>
          <w:i/>
          <w:color w:val="010101"/>
          <w:spacing w:val="-31"/>
          <w:w w:val="115"/>
          <w:sz w:val="18"/>
        </w:rPr>
        <w:t> </w:t>
      </w:r>
      <w:r>
        <w:rPr>
          <w:color w:val="010101"/>
          <w:w w:val="115"/>
          <w:sz w:val="17"/>
        </w:rPr>
        <w:t>is</w:t>
      </w:r>
      <w:r>
        <w:rPr>
          <w:color w:val="010101"/>
          <w:spacing w:val="-17"/>
          <w:w w:val="115"/>
          <w:sz w:val="17"/>
        </w:rPr>
        <w:t> </w:t>
      </w:r>
      <w:r>
        <w:rPr>
          <w:color w:val="010101"/>
          <w:w w:val="115"/>
          <w:sz w:val="17"/>
        </w:rPr>
        <w:t>first</w:t>
      </w:r>
      <w:r>
        <w:rPr>
          <w:color w:val="010101"/>
          <w:spacing w:val="-15"/>
          <w:w w:val="115"/>
          <w:sz w:val="17"/>
        </w:rPr>
        <w:t> </w:t>
      </w:r>
      <w:r>
        <w:rPr>
          <w:color w:val="010101"/>
          <w:w w:val="115"/>
          <w:sz w:val="17"/>
        </w:rPr>
        <w:t>positive</w:t>
      </w:r>
      <w:r>
        <w:rPr>
          <w:color w:val="010101"/>
          <w:spacing w:val="-8"/>
          <w:w w:val="115"/>
          <w:sz w:val="17"/>
        </w:rPr>
        <w:t> </w:t>
      </w:r>
      <w:r>
        <w:rPr>
          <w:color w:val="010101"/>
          <w:w w:val="115"/>
          <w:sz w:val="17"/>
        </w:rPr>
        <w:t>and</w:t>
      </w:r>
      <w:r>
        <w:rPr>
          <w:color w:val="010101"/>
          <w:spacing w:val="-16"/>
          <w:w w:val="115"/>
          <w:sz w:val="17"/>
        </w:rPr>
        <w:t> </w:t>
      </w:r>
      <w:r>
        <w:rPr>
          <w:color w:val="010101"/>
          <w:w w:val="115"/>
          <w:sz w:val="17"/>
        </w:rPr>
        <w:t>then</w:t>
      </w:r>
      <w:r>
        <w:rPr>
          <w:color w:val="010101"/>
          <w:spacing w:val="-10"/>
          <w:w w:val="115"/>
          <w:sz w:val="17"/>
        </w:rPr>
        <w:t> </w:t>
      </w:r>
      <w:r>
        <w:rPr>
          <w:color w:val="010101"/>
          <w:w w:val="115"/>
          <w:sz w:val="17"/>
        </w:rPr>
        <w:t>becomes</w:t>
      </w:r>
      <w:r>
        <w:rPr>
          <w:color w:val="010101"/>
          <w:spacing w:val="-8"/>
          <w:w w:val="115"/>
          <w:sz w:val="17"/>
        </w:rPr>
        <w:t> </w:t>
      </w:r>
      <w:r>
        <w:rPr>
          <w:i/>
          <w:color w:val="010101"/>
          <w:w w:val="115"/>
          <w:sz w:val="17"/>
        </w:rPr>
        <w:t>and </w:t>
      </w:r>
      <w:r>
        <w:rPr>
          <w:color w:val="010101"/>
          <w:w w:val="115"/>
          <w:sz w:val="17"/>
        </w:rPr>
        <w:t>remaim</w:t>
      </w:r>
      <w:r>
        <w:rPr>
          <w:color w:val="010101"/>
          <w:spacing w:val="-24"/>
          <w:w w:val="115"/>
          <w:sz w:val="17"/>
        </w:rPr>
        <w:t> </w:t>
      </w:r>
      <w:r>
        <w:rPr>
          <w:color w:val="010101"/>
          <w:w w:val="115"/>
          <w:sz w:val="17"/>
        </w:rPr>
        <w:t>negative,</w:t>
      </w:r>
      <w:r>
        <w:rPr>
          <w:color w:val="010101"/>
          <w:spacing w:val="-20"/>
          <w:w w:val="115"/>
          <w:sz w:val="17"/>
        </w:rPr>
        <w:t> </w:t>
      </w:r>
      <w:r>
        <w:rPr>
          <w:color w:val="010101"/>
          <w:w w:val="115"/>
          <w:sz w:val="17"/>
        </w:rPr>
        <w:t>then</w:t>
      </w:r>
      <w:r>
        <w:rPr>
          <w:color w:val="010101"/>
          <w:spacing w:val="-29"/>
          <w:w w:val="115"/>
          <w:sz w:val="17"/>
        </w:rPr>
        <w:t> </w:t>
      </w:r>
      <w:r>
        <w:rPr>
          <w:color w:val="010101"/>
          <w:w w:val="115"/>
          <w:sz w:val="17"/>
        </w:rPr>
        <w:t>R,</w:t>
      </w:r>
      <w:r>
        <w:rPr>
          <w:color w:val="010101"/>
          <w:spacing w:val="-6"/>
          <w:w w:val="115"/>
          <w:sz w:val="17"/>
        </w:rPr>
        <w:t> </w:t>
      </w:r>
      <w:r>
        <w:rPr>
          <w:color w:val="010101"/>
          <w:w w:val="115"/>
          <w:sz w:val="23"/>
        </w:rPr>
        <w:t>&gt;</w:t>
      </w:r>
      <w:r>
        <w:rPr>
          <w:color w:val="010101"/>
          <w:spacing w:val="-31"/>
          <w:w w:val="115"/>
          <w:sz w:val="23"/>
        </w:rPr>
        <w:t> </w:t>
      </w:r>
      <w:r>
        <w:rPr>
          <w:color w:val="010101"/>
          <w:sz w:val="17"/>
        </w:rPr>
        <w:t>O</w:t>
      </w:r>
      <w:r>
        <w:rPr>
          <w:color w:val="010101"/>
          <w:spacing w:val="-22"/>
          <w:sz w:val="17"/>
        </w:rPr>
        <w:t> </w:t>
      </w:r>
      <w:r>
        <w:rPr>
          <w:color w:val="010101"/>
          <w:w w:val="115"/>
          <w:sz w:val="17"/>
        </w:rPr>
        <w:t>and</w:t>
      </w:r>
      <w:r>
        <w:rPr>
          <w:color w:val="010101"/>
          <w:spacing w:val="-14"/>
          <w:w w:val="115"/>
          <w:sz w:val="17"/>
        </w:rPr>
        <w:t> </w:t>
      </w:r>
      <w:r>
        <w:rPr>
          <w:i/>
          <w:color w:val="010101"/>
          <w:spacing w:val="-3"/>
          <w:w w:val="115"/>
          <w:sz w:val="20"/>
        </w:rPr>
        <w:t>,V'</w:t>
      </w:r>
      <w:r>
        <w:rPr>
          <w:i/>
          <w:color w:val="010101"/>
          <w:spacing w:val="-25"/>
          <w:w w:val="115"/>
          <w:sz w:val="20"/>
        </w:rPr>
        <w:t> </w:t>
      </w:r>
      <w:r>
        <w:rPr>
          <w:i/>
          <w:color w:val="010101"/>
          <w:w w:val="115"/>
          <w:sz w:val="20"/>
        </w:rPr>
        <w:t>&gt;</w:t>
      </w:r>
      <w:r>
        <w:rPr>
          <w:i/>
          <w:color w:val="010101"/>
          <w:spacing w:val="-26"/>
          <w:w w:val="115"/>
          <w:sz w:val="20"/>
        </w:rPr>
        <w:t> </w:t>
      </w:r>
      <w:r>
        <w:rPr>
          <w:i/>
          <w:color w:val="010101"/>
          <w:spacing w:val="-6"/>
          <w:w w:val="115"/>
          <w:sz w:val="20"/>
        </w:rPr>
        <w:t>,V </w:t>
      </w:r>
      <w:r>
        <w:rPr>
          <w:color w:val="010101"/>
          <w:w w:val="115"/>
          <w:sz w:val="17"/>
        </w:rPr>
        <w:t>for</w:t>
      </w:r>
      <w:r>
        <w:rPr>
          <w:color w:val="010101"/>
          <w:spacing w:val="-22"/>
          <w:w w:val="115"/>
          <w:sz w:val="17"/>
        </w:rPr>
        <w:t> </w:t>
      </w:r>
      <w:r>
        <w:rPr>
          <w:color w:val="010101"/>
          <w:sz w:val="17"/>
        </w:rPr>
        <w:t>O</w:t>
      </w:r>
      <w:r>
        <w:rPr>
          <w:color w:val="010101"/>
          <w:spacing w:val="-6"/>
          <w:sz w:val="17"/>
        </w:rPr>
        <w:t> </w:t>
      </w:r>
      <w:r>
        <w:rPr>
          <w:rFonts w:ascii="Arial"/>
          <w:color w:val="010101"/>
          <w:w w:val="115"/>
          <w:sz w:val="22"/>
        </w:rPr>
        <w:t>&lt;</w:t>
      </w:r>
      <w:r>
        <w:rPr>
          <w:rFonts w:ascii="Arial"/>
          <w:color w:val="010101"/>
          <w:spacing w:val="-38"/>
          <w:w w:val="115"/>
          <w:sz w:val="22"/>
        </w:rPr>
        <w:t> </w:t>
      </w:r>
      <w:r>
        <w:rPr>
          <w:rFonts w:ascii="Arial"/>
          <w:i/>
          <w:color w:val="010101"/>
          <w:w w:val="115"/>
          <w:sz w:val="15"/>
        </w:rPr>
        <w:t>t</w:t>
      </w:r>
      <w:r>
        <w:rPr>
          <w:rFonts w:ascii="Arial"/>
          <w:i/>
          <w:color w:val="010101"/>
          <w:spacing w:val="-27"/>
          <w:w w:val="115"/>
          <w:sz w:val="15"/>
        </w:rPr>
        <w:t> </w:t>
      </w:r>
      <w:r>
        <w:rPr>
          <w:rFonts w:ascii="Arial"/>
          <w:color w:val="010101"/>
          <w:w w:val="115"/>
          <w:sz w:val="22"/>
        </w:rPr>
        <w:t>&lt;</w:t>
      </w:r>
      <w:r>
        <w:rPr>
          <w:rFonts w:ascii="Arial"/>
          <w:color w:val="010101"/>
          <w:spacing w:val="-46"/>
          <w:w w:val="115"/>
          <w:sz w:val="22"/>
        </w:rPr>
        <w:t> </w:t>
      </w:r>
      <w:r>
        <w:rPr>
          <w:color w:val="010101"/>
          <w:w w:val="115"/>
          <w:sz w:val="17"/>
        </w:rPr>
        <w:t>n;</w:t>
      </w:r>
      <w:r>
        <w:rPr>
          <w:color w:val="010101"/>
          <w:spacing w:val="-21"/>
          <w:w w:val="115"/>
          <w:sz w:val="17"/>
        </w:rPr>
        <w:t> </w:t>
      </w:r>
      <w:r>
        <w:rPr>
          <w:color w:val="010101"/>
          <w:w w:val="115"/>
          <w:sz w:val="17"/>
        </w:rPr>
        <w:t>if</w:t>
      </w:r>
      <w:r>
        <w:rPr>
          <w:color w:val="010101"/>
          <w:spacing w:val="-12"/>
          <w:w w:val="115"/>
          <w:sz w:val="17"/>
        </w:rPr>
        <w:t> </w:t>
      </w:r>
      <w:r>
        <w:rPr>
          <w:i/>
          <w:color w:val="010101"/>
          <w:spacing w:val="11"/>
          <w:w w:val="115"/>
          <w:sz w:val="18"/>
        </w:rPr>
        <w:t>S,</w:t>
      </w:r>
      <w:r>
        <w:rPr>
          <w:i/>
          <w:color w:val="010101"/>
          <w:spacing w:val="-37"/>
          <w:w w:val="115"/>
          <w:sz w:val="18"/>
        </w:rPr>
        <w:t> </w:t>
      </w:r>
      <w:r>
        <w:rPr>
          <w:color w:val="010101"/>
          <w:w w:val="115"/>
          <w:sz w:val="17"/>
        </w:rPr>
        <w:t>is</w:t>
      </w:r>
      <w:r>
        <w:rPr>
          <w:color w:val="010101"/>
          <w:spacing w:val="-19"/>
          <w:w w:val="115"/>
          <w:sz w:val="17"/>
        </w:rPr>
        <w:t> </w:t>
      </w:r>
      <w:r>
        <w:rPr>
          <w:color w:val="010101"/>
          <w:w w:val="115"/>
          <w:sz w:val="17"/>
        </w:rPr>
        <w:t>first</w:t>
      </w:r>
      <w:r>
        <w:rPr>
          <w:color w:val="010101"/>
          <w:spacing w:val="-12"/>
          <w:w w:val="115"/>
          <w:sz w:val="17"/>
        </w:rPr>
        <w:t> </w:t>
      </w:r>
      <w:r>
        <w:rPr>
          <w:color w:val="010101"/>
          <w:w w:val="115"/>
          <w:sz w:val="17"/>
        </w:rPr>
        <w:t>negative</w:t>
      </w:r>
      <w:r>
        <w:rPr>
          <w:color w:val="010101"/>
          <w:spacing w:val="-17"/>
          <w:w w:val="115"/>
          <w:sz w:val="17"/>
        </w:rPr>
        <w:t> </w:t>
      </w:r>
      <w:r>
        <w:rPr>
          <w:color w:val="010101"/>
          <w:w w:val="115"/>
          <w:sz w:val="17"/>
        </w:rPr>
        <w:t>and</w:t>
      </w:r>
      <w:r>
        <w:rPr>
          <w:color w:val="010101"/>
          <w:spacing w:val="-19"/>
          <w:w w:val="115"/>
          <w:sz w:val="17"/>
        </w:rPr>
        <w:t> </w:t>
      </w:r>
      <w:r>
        <w:rPr>
          <w:color w:val="010101"/>
          <w:w w:val="115"/>
          <w:sz w:val="17"/>
        </w:rPr>
        <w:t>then becomes</w:t>
      </w:r>
      <w:r>
        <w:rPr>
          <w:color w:val="010101"/>
          <w:spacing w:val="-23"/>
          <w:w w:val="115"/>
          <w:sz w:val="17"/>
        </w:rPr>
        <w:t> </w:t>
      </w:r>
      <w:r>
        <w:rPr>
          <w:i/>
          <w:color w:val="010101"/>
          <w:w w:val="115"/>
          <w:sz w:val="17"/>
        </w:rPr>
        <w:t>and</w:t>
      </w:r>
      <w:r>
        <w:rPr>
          <w:i/>
          <w:color w:val="010101"/>
          <w:spacing w:val="-17"/>
          <w:w w:val="115"/>
          <w:sz w:val="17"/>
        </w:rPr>
        <w:t> </w:t>
      </w:r>
      <w:r>
        <w:rPr>
          <w:i/>
          <w:color w:val="010101"/>
          <w:w w:val="115"/>
          <w:sz w:val="17"/>
        </w:rPr>
        <w:t>remains</w:t>
      </w:r>
      <w:r>
        <w:rPr>
          <w:i/>
          <w:color w:val="010101"/>
          <w:spacing w:val="-23"/>
          <w:w w:val="115"/>
          <w:sz w:val="17"/>
        </w:rPr>
        <w:t> </w:t>
      </w:r>
      <w:r>
        <w:rPr>
          <w:color w:val="010101"/>
          <w:w w:val="115"/>
          <w:sz w:val="17"/>
        </w:rPr>
        <w:t>positive,</w:t>
      </w:r>
      <w:r>
        <w:rPr>
          <w:color w:val="010101"/>
          <w:spacing w:val="-19"/>
          <w:w w:val="115"/>
          <w:sz w:val="17"/>
        </w:rPr>
        <w:t> </w:t>
      </w:r>
      <w:r>
        <w:rPr>
          <w:color w:val="010101"/>
          <w:w w:val="115"/>
          <w:sz w:val="17"/>
        </w:rPr>
        <w:t>then</w:t>
      </w:r>
      <w:r>
        <w:rPr>
          <w:color w:val="010101"/>
          <w:spacing w:val="-22"/>
          <w:w w:val="115"/>
          <w:sz w:val="17"/>
        </w:rPr>
        <w:t> </w:t>
      </w:r>
      <w:r>
        <w:rPr>
          <w:i/>
          <w:color w:val="010101"/>
          <w:w w:val="115"/>
          <w:sz w:val="17"/>
        </w:rPr>
        <w:t>R,</w:t>
      </w:r>
      <w:r>
        <w:rPr>
          <w:i/>
          <w:color w:val="010101"/>
          <w:spacing w:val="-22"/>
          <w:w w:val="115"/>
          <w:sz w:val="17"/>
        </w:rPr>
        <w:t> </w:t>
      </w:r>
      <w:r>
        <w:rPr>
          <w:rFonts w:ascii="Arial"/>
          <w:color w:val="010101"/>
          <w:w w:val="115"/>
          <w:sz w:val="22"/>
        </w:rPr>
        <w:t>&lt;</w:t>
      </w:r>
      <w:r>
        <w:rPr>
          <w:rFonts w:ascii="Arial"/>
          <w:color w:val="010101"/>
          <w:spacing w:val="-51"/>
          <w:w w:val="115"/>
          <w:sz w:val="22"/>
        </w:rPr>
        <w:t> </w:t>
      </w:r>
      <w:r>
        <w:rPr>
          <w:rFonts w:ascii="Arial"/>
          <w:color w:val="010101"/>
          <w:sz w:val="16"/>
        </w:rPr>
        <w:t>O </w:t>
      </w:r>
      <w:r>
        <w:rPr>
          <w:color w:val="010101"/>
          <w:w w:val="115"/>
          <w:sz w:val="17"/>
        </w:rPr>
        <w:t>and </w:t>
      </w:r>
      <w:r>
        <w:rPr>
          <w:color w:val="010101"/>
          <w:spacing w:val="-7"/>
          <w:w w:val="115"/>
          <w:sz w:val="17"/>
        </w:rPr>
        <w:t>,</w:t>
      </w:r>
      <w:r>
        <w:rPr>
          <w:i/>
          <w:color w:val="010101"/>
          <w:spacing w:val="-7"/>
          <w:w w:val="115"/>
          <w:sz w:val="16"/>
        </w:rPr>
        <w:t>V.' </w:t>
      </w:r>
      <w:r>
        <w:rPr>
          <w:color w:val="010101"/>
          <w:w w:val="115"/>
          <w:sz w:val="22"/>
        </w:rPr>
        <w:t>&lt; ,</w:t>
      </w:r>
      <w:r>
        <w:rPr>
          <w:rFonts w:ascii="Arial"/>
          <w:i/>
          <w:color w:val="010101"/>
          <w:w w:val="115"/>
          <w:sz w:val="17"/>
        </w:rPr>
        <w:t>V </w:t>
      </w:r>
      <w:r>
        <w:rPr>
          <w:color w:val="010101"/>
          <w:w w:val="115"/>
          <w:sz w:val="17"/>
        </w:rPr>
        <w:t>for </w:t>
      </w:r>
      <w:r>
        <w:rPr>
          <w:rFonts w:ascii="Arial"/>
          <w:color w:val="010101"/>
          <w:sz w:val="16"/>
        </w:rPr>
        <w:t>O </w:t>
      </w:r>
      <w:r>
        <w:rPr>
          <w:rFonts w:ascii="Arial"/>
          <w:color w:val="010101"/>
          <w:w w:val="115"/>
          <w:sz w:val="22"/>
        </w:rPr>
        <w:t>&lt; </w:t>
      </w:r>
      <w:r>
        <w:rPr>
          <w:i/>
          <w:color w:val="010101"/>
          <w:w w:val="115"/>
          <w:sz w:val="19"/>
        </w:rPr>
        <w:t>t </w:t>
      </w:r>
      <w:r>
        <w:rPr>
          <w:rFonts w:ascii="Arial"/>
          <w:color w:val="010101"/>
          <w:w w:val="115"/>
          <w:sz w:val="22"/>
        </w:rPr>
        <w:t>&lt;</w:t>
      </w:r>
      <w:r>
        <w:rPr>
          <w:rFonts w:ascii="Arial"/>
          <w:color w:val="010101"/>
          <w:spacing w:val="70"/>
          <w:w w:val="115"/>
          <w:sz w:val="22"/>
        </w:rPr>
        <w:t> </w:t>
      </w:r>
      <w:r>
        <w:rPr>
          <w:i/>
          <w:color w:val="010101"/>
          <w:w w:val="115"/>
          <w:sz w:val="18"/>
        </w:rPr>
        <w:t>n.</w:t>
      </w:r>
    </w:p>
    <w:p>
      <w:pPr>
        <w:pStyle w:val="ListParagraph"/>
        <w:numPr>
          <w:ilvl w:val="0"/>
          <w:numId w:val="46"/>
        </w:numPr>
        <w:tabs>
          <w:tab w:pos="428" w:val="left" w:leader="none"/>
        </w:tabs>
        <w:spacing w:line="217" w:lineRule="exact" w:before="151" w:after="0"/>
        <w:ind w:left="427" w:right="0" w:hanging="298"/>
        <w:jc w:val="left"/>
        <w:rPr>
          <w:color w:val="010101"/>
          <w:sz w:val="17"/>
        </w:rPr>
      </w:pPr>
      <w:r>
        <w:rPr>
          <w:color w:val="010101"/>
          <w:sz w:val="18"/>
        </w:rPr>
        <w:t>If  </w:t>
      </w:r>
      <w:r>
        <w:rPr>
          <w:i/>
          <w:color w:val="010101"/>
          <w:w w:val="105"/>
          <w:sz w:val="18"/>
        </w:rPr>
        <w:t>e,</w:t>
      </w:r>
      <w:r>
        <w:rPr>
          <w:i/>
          <w:color w:val="010101"/>
          <w:spacing w:val="-9"/>
          <w:w w:val="105"/>
          <w:sz w:val="18"/>
        </w:rPr>
        <w:t> </w:t>
      </w:r>
      <w:r>
        <w:rPr>
          <w:color w:val="010101"/>
          <w:sz w:val="23"/>
        </w:rPr>
        <w:t>=</w:t>
      </w:r>
    </w:p>
    <w:p>
      <w:pPr>
        <w:spacing w:line="238" w:lineRule="exact" w:before="0"/>
        <w:ind w:left="434" w:right="0" w:firstLine="0"/>
        <w:jc w:val="both"/>
        <w:rPr>
          <w:sz w:val="18"/>
        </w:rPr>
      </w:pPr>
      <w:r>
        <w:rPr>
          <w:rFonts w:ascii="Arial"/>
          <w:i/>
          <w:color w:val="010101"/>
          <w:w w:val="125"/>
          <w:sz w:val="17"/>
        </w:rPr>
        <w:t>(,V </w:t>
      </w:r>
      <w:r>
        <w:rPr>
          <w:rFonts w:ascii="Arial"/>
          <w:color w:val="010101"/>
          <w:w w:val="125"/>
          <w:sz w:val="26"/>
        </w:rPr>
        <w:t>+ </w:t>
      </w:r>
      <w:r>
        <w:rPr>
          <w:rFonts w:ascii="Arial"/>
          <w:i/>
          <w:color w:val="010101"/>
          <w:w w:val="125"/>
          <w:sz w:val="17"/>
        </w:rPr>
        <w:t>P)(i' </w:t>
      </w:r>
      <w:r>
        <w:rPr>
          <w:rFonts w:ascii="Arial"/>
          <w:color w:val="010101"/>
          <w:w w:val="255"/>
          <w:sz w:val="17"/>
        </w:rPr>
        <w:t>-</w:t>
      </w:r>
      <w:r>
        <w:rPr>
          <w:rFonts w:ascii="Arial"/>
          <w:color w:val="010101"/>
          <w:spacing w:val="-70"/>
          <w:w w:val="255"/>
          <w:sz w:val="17"/>
        </w:rPr>
        <w:t> </w:t>
      </w:r>
      <w:r>
        <w:rPr>
          <w:rFonts w:ascii="Arial"/>
          <w:i/>
          <w:color w:val="010101"/>
          <w:w w:val="165"/>
          <w:sz w:val="16"/>
        </w:rPr>
        <w:t>i</w:t>
      </w:r>
      <w:r>
        <w:rPr>
          <w:rFonts w:ascii="Arial"/>
          <w:i/>
          <w:color w:val="010101"/>
          <w:spacing w:val="-61"/>
          <w:w w:val="165"/>
          <w:sz w:val="16"/>
        </w:rPr>
        <w:t> </w:t>
      </w:r>
      <w:r>
        <w:rPr>
          <w:rFonts w:ascii="Arial"/>
          <w:i/>
          <w:color w:val="010101"/>
          <w:sz w:val="16"/>
        </w:rPr>
        <w:t>) </w:t>
      </w:r>
      <w:r>
        <w:rPr>
          <w:rFonts w:ascii="Arial"/>
          <w:color w:val="010101"/>
          <w:w w:val="255"/>
          <w:sz w:val="16"/>
        </w:rPr>
        <w:t>-</w:t>
      </w:r>
      <w:r>
        <w:rPr>
          <w:rFonts w:ascii="Arial"/>
          <w:color w:val="010101"/>
          <w:spacing w:val="-50"/>
          <w:w w:val="255"/>
          <w:sz w:val="16"/>
        </w:rPr>
        <w:t> </w:t>
      </w:r>
      <w:r>
        <w:rPr>
          <w:rFonts w:ascii="Arial"/>
          <w:i/>
          <w:color w:val="010101"/>
          <w:w w:val="125"/>
          <w:sz w:val="16"/>
        </w:rPr>
        <w:t>(q; </w:t>
      </w:r>
      <w:r>
        <w:rPr>
          <w:rFonts w:ascii="Arial"/>
          <w:color w:val="010101"/>
          <w:w w:val="255"/>
          <w:sz w:val="16"/>
        </w:rPr>
        <w:t>-</w:t>
      </w:r>
      <w:r>
        <w:rPr>
          <w:rFonts w:ascii="Arial"/>
          <w:color w:val="010101"/>
          <w:spacing w:val="-62"/>
          <w:w w:val="255"/>
          <w:sz w:val="16"/>
        </w:rPr>
        <w:t> </w:t>
      </w:r>
      <w:r>
        <w:rPr>
          <w:color w:val="010101"/>
          <w:w w:val="125"/>
          <w:sz w:val="17"/>
        </w:rPr>
        <w:t>q,)(1 </w:t>
      </w:r>
      <w:r>
        <w:rPr>
          <w:color w:val="010101"/>
          <w:w w:val="255"/>
          <w:sz w:val="17"/>
        </w:rPr>
        <w:t>-</w:t>
      </w:r>
      <w:r>
        <w:rPr>
          <w:color w:val="010101"/>
          <w:spacing w:val="-58"/>
          <w:w w:val="255"/>
          <w:sz w:val="17"/>
        </w:rPr>
        <w:t> </w:t>
      </w:r>
      <w:r>
        <w:rPr>
          <w:color w:val="010101"/>
          <w:sz w:val="18"/>
        </w:rPr>
        <w:t>1+1V)</w:t>
      </w:r>
    </w:p>
    <w:p>
      <w:pPr>
        <w:spacing w:line="194" w:lineRule="exact" w:before="0"/>
        <w:ind w:left="416" w:right="0" w:firstLine="0"/>
        <w:jc w:val="both"/>
        <w:rPr>
          <w:sz w:val="17"/>
        </w:rPr>
      </w:pPr>
      <w:r>
        <w:rPr>
          <w:b/>
          <w:color w:val="010101"/>
          <w:w w:val="110"/>
          <w:sz w:val="18"/>
        </w:rPr>
        <w:t>always </w:t>
      </w:r>
      <w:r>
        <w:rPr>
          <w:color w:val="010101"/>
          <w:w w:val="110"/>
          <w:sz w:val="17"/>
        </w:rPr>
        <w:t>decreases, then </w:t>
      </w:r>
      <w:r>
        <w:rPr>
          <w:i/>
          <w:color w:val="010101"/>
          <w:w w:val="110"/>
          <w:sz w:val="18"/>
        </w:rPr>
        <w:t>S , </w:t>
      </w:r>
      <w:r>
        <w:rPr>
          <w:color w:val="010101"/>
          <w:w w:val="110"/>
          <w:sz w:val="17"/>
        </w:rPr>
        <w:t>is first  positive</w:t>
      </w:r>
    </w:p>
    <w:p>
      <w:pPr>
        <w:spacing w:line="232" w:lineRule="auto" w:before="5"/>
        <w:ind w:left="409" w:right="0" w:firstLine="7"/>
        <w:jc w:val="both"/>
        <w:rPr>
          <w:sz w:val="17"/>
        </w:rPr>
      </w:pPr>
      <w:r>
        <w:rPr>
          <w:color w:val="010101"/>
          <w:w w:val="110"/>
          <w:sz w:val="17"/>
        </w:rPr>
        <w:t>and then beeomes  and remains nega.tive;  if </w:t>
      </w:r>
      <w:r>
        <w:rPr>
          <w:i/>
          <w:color w:val="010101"/>
          <w:spacing w:val="8"/>
          <w:w w:val="110"/>
          <w:sz w:val="19"/>
        </w:rPr>
        <w:t>e,</w:t>
      </w:r>
      <w:r>
        <w:rPr>
          <w:i/>
          <w:color w:val="010101"/>
          <w:spacing w:val="-38"/>
          <w:w w:val="110"/>
          <w:sz w:val="19"/>
        </w:rPr>
        <w:t> </w:t>
      </w:r>
      <w:r>
        <w:rPr>
          <w:color w:val="010101"/>
          <w:w w:val="110"/>
          <w:sz w:val="17"/>
        </w:rPr>
        <w:t>always inereases, then </w:t>
      </w:r>
      <w:r>
        <w:rPr>
          <w:i/>
          <w:color w:val="010101"/>
          <w:w w:val="110"/>
          <w:sz w:val="18"/>
        </w:rPr>
        <w:t>S , </w:t>
      </w:r>
      <w:r>
        <w:rPr>
          <w:color w:val="010101"/>
          <w:w w:val="110"/>
          <w:sz w:val="17"/>
        </w:rPr>
        <w:t>is first nega­ tive and then positive; if </w:t>
      </w:r>
      <w:r>
        <w:rPr>
          <w:i/>
          <w:color w:val="010101"/>
          <w:w w:val="110"/>
          <w:sz w:val="18"/>
        </w:rPr>
        <w:t>e, </w:t>
      </w:r>
      <w:r>
        <w:rPr>
          <w:color w:val="010101"/>
          <w:w w:val="110"/>
          <w:sz w:val="17"/>
        </w:rPr>
        <w:t>is eonstant, </w:t>
      </w:r>
      <w:r>
        <w:rPr>
          <w:i/>
          <w:color w:val="010101"/>
          <w:spacing w:val="11"/>
          <w:w w:val="110"/>
          <w:sz w:val="18"/>
        </w:rPr>
        <w:t>S, </w:t>
      </w:r>
      <w:r>
        <w:rPr>
          <w:color w:val="010101"/>
          <w:w w:val="110"/>
          <w:sz w:val="17"/>
        </w:rPr>
        <w:t>is </w:t>
      </w:r>
      <w:r>
        <w:rPr>
          <w:color w:val="010101"/>
          <w:spacing w:val="10"/>
          <w:w w:val="110"/>
          <w:sz w:val="17"/>
        </w:rPr>
        <w:t> </w:t>
      </w:r>
      <w:r>
        <w:rPr>
          <w:color w:val="010101"/>
          <w:w w:val="110"/>
          <w:sz w:val="17"/>
        </w:rPr>
        <w:t>constant.</w:t>
      </w:r>
    </w:p>
    <w:p>
      <w:pPr>
        <w:spacing w:before="87"/>
        <w:ind w:left="69" w:right="0" w:firstLine="0"/>
        <w:jc w:val="left"/>
        <w:rPr>
          <w:rFonts w:ascii="Arial"/>
          <w:sz w:val="15"/>
        </w:rPr>
      </w:pPr>
      <w:r>
        <w:rPr/>
        <w:br w:type="column"/>
      </w:r>
      <w:r>
        <w:rPr>
          <w:color w:val="010101"/>
          <w:w w:val="115"/>
          <w:sz w:val="17"/>
        </w:rPr>
        <w:t>Statements </w:t>
      </w:r>
      <w:r>
        <w:rPr>
          <w:rFonts w:ascii="Arial"/>
          <w:color w:val="010101"/>
          <w:w w:val="115"/>
          <w:sz w:val="15"/>
        </w:rPr>
        <w:t>4 </w:t>
      </w:r>
      <w:r>
        <w:rPr>
          <w:color w:val="010101"/>
          <w:w w:val="115"/>
          <w:sz w:val="17"/>
        </w:rPr>
        <w:t>and </w:t>
      </w:r>
      <w:r>
        <w:rPr>
          <w:rFonts w:ascii="Arial"/>
          <w:color w:val="010101"/>
          <w:w w:val="115"/>
          <w:sz w:val="15"/>
        </w:rPr>
        <w:t>5</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2"/>
        <w:rPr>
          <w:rFonts w:ascii="Arial"/>
          <w:sz w:val="19"/>
        </w:rPr>
      </w:pPr>
    </w:p>
    <w:p>
      <w:pPr>
        <w:spacing w:line="225" w:lineRule="exact" w:before="0"/>
        <w:ind w:left="66" w:right="0" w:firstLine="0"/>
        <w:jc w:val="left"/>
        <w:rPr>
          <w:sz w:val="23"/>
        </w:rPr>
      </w:pPr>
      <w:r>
        <w:rPr>
          <w:rFonts w:ascii="Courier New"/>
          <w:i/>
          <w:color w:val="010101"/>
          <w:w w:val="85"/>
          <w:sz w:val="21"/>
        </w:rPr>
        <w:t>S,</w:t>
      </w:r>
      <w:r>
        <w:rPr>
          <w:rFonts w:ascii="Courier New"/>
          <w:i/>
          <w:color w:val="010101"/>
          <w:spacing w:val="-76"/>
          <w:w w:val="85"/>
          <w:sz w:val="21"/>
        </w:rPr>
        <w:t> </w:t>
      </w:r>
      <w:r>
        <w:rPr>
          <w:color w:val="010101"/>
          <w:w w:val="85"/>
          <w:sz w:val="23"/>
        </w:rPr>
        <w:t>=</w:t>
      </w:r>
    </w:p>
    <w:p>
      <w:pPr>
        <w:spacing w:line="235" w:lineRule="exact" w:before="0"/>
        <w:ind w:left="216" w:right="0" w:firstLine="0"/>
        <w:jc w:val="left"/>
        <w:rPr>
          <w:sz w:val="18"/>
        </w:rPr>
      </w:pPr>
      <w:r>
        <w:rPr>
          <w:i/>
          <w:color w:val="010101"/>
          <w:w w:val="125"/>
          <w:sz w:val="18"/>
        </w:rPr>
        <w:t>e, </w:t>
      </w:r>
      <w:r>
        <w:rPr>
          <w:rFonts w:ascii="Arial"/>
          <w:color w:val="010101"/>
          <w:w w:val="125"/>
          <w:sz w:val="26"/>
        </w:rPr>
        <w:t>+ </w:t>
      </w:r>
      <w:r>
        <w:rPr>
          <w:i/>
          <w:color w:val="010101"/>
          <w:sz w:val="18"/>
        </w:rPr>
        <w:t>( </w:t>
      </w:r>
      <w:r>
        <w:rPr>
          <w:i/>
          <w:color w:val="010101"/>
          <w:w w:val="125"/>
          <w:sz w:val="18"/>
        </w:rPr>
        <w:t>P' </w:t>
      </w:r>
      <w:r>
        <w:rPr>
          <w:color w:val="010101"/>
          <w:w w:val="220"/>
          <w:sz w:val="18"/>
        </w:rPr>
        <w:t>-</w:t>
      </w:r>
      <w:r>
        <w:rPr>
          <w:color w:val="010101"/>
          <w:spacing w:val="-50"/>
          <w:w w:val="220"/>
          <w:sz w:val="18"/>
        </w:rPr>
        <w:t> </w:t>
      </w:r>
      <w:r>
        <w:rPr>
          <w:color w:val="010101"/>
          <w:w w:val="125"/>
          <w:sz w:val="17"/>
        </w:rPr>
        <w:t>P)(l </w:t>
      </w:r>
      <w:r>
        <w:rPr>
          <w:rFonts w:ascii="Arial"/>
          <w:color w:val="010101"/>
          <w:w w:val="125"/>
          <w:sz w:val="26"/>
        </w:rPr>
        <w:t>+ </w:t>
      </w:r>
      <w:r>
        <w:rPr>
          <w:color w:val="010101"/>
          <w:w w:val="125"/>
          <w:sz w:val="18"/>
        </w:rPr>
        <w:t>i'),</w:t>
      </w:r>
    </w:p>
    <w:p>
      <w:pPr>
        <w:spacing w:line="144" w:lineRule="exact" w:before="0"/>
        <w:ind w:left="227" w:right="0" w:firstLine="0"/>
        <w:jc w:val="left"/>
        <w:rPr>
          <w:sz w:val="17"/>
        </w:rPr>
      </w:pPr>
      <w:r>
        <w:rPr>
          <w:color w:val="010101"/>
          <w:w w:val="110"/>
          <w:sz w:val="17"/>
        </w:rPr>
        <w:t>and  the term</w:t>
      </w:r>
    </w:p>
    <w:p>
      <w:pPr>
        <w:spacing w:line="253" w:lineRule="exact" w:before="0"/>
        <w:ind w:left="220" w:right="0" w:firstLine="17"/>
        <w:jc w:val="left"/>
        <w:rPr>
          <w:sz w:val="17"/>
        </w:rPr>
      </w:pPr>
      <w:r>
        <w:rPr>
          <w:i/>
          <w:color w:val="010101"/>
          <w:sz w:val="17"/>
        </w:rPr>
        <w:t>( </w:t>
      </w:r>
      <w:r>
        <w:rPr>
          <w:i/>
          <w:color w:val="010101"/>
          <w:w w:val="120"/>
          <w:sz w:val="17"/>
        </w:rPr>
        <w:t>P' </w:t>
      </w:r>
      <w:r>
        <w:rPr>
          <w:color w:val="010101"/>
          <w:w w:val="235"/>
          <w:sz w:val="17"/>
        </w:rPr>
        <w:t>- </w:t>
      </w:r>
      <w:r>
        <w:rPr>
          <w:color w:val="010101"/>
          <w:w w:val="120"/>
          <w:sz w:val="17"/>
        </w:rPr>
        <w:t>P)(l </w:t>
      </w:r>
      <w:r>
        <w:rPr>
          <w:rFonts w:ascii="Arial" w:hAnsi="Arial"/>
          <w:color w:val="010101"/>
          <w:w w:val="120"/>
          <w:sz w:val="26"/>
        </w:rPr>
        <w:t>+</w:t>
      </w:r>
      <w:r>
        <w:rPr>
          <w:rFonts w:ascii="Arial" w:hAnsi="Arial"/>
          <w:color w:val="010101"/>
          <w:spacing w:val="-68"/>
          <w:w w:val="120"/>
          <w:sz w:val="26"/>
        </w:rPr>
        <w:t> </w:t>
      </w:r>
      <w:r>
        <w:rPr>
          <w:color w:val="010101"/>
          <w:w w:val="135"/>
          <w:sz w:val="17"/>
        </w:rPr>
        <w:t>i') </w:t>
      </w:r>
      <w:r>
        <w:rPr>
          <w:color w:val="010101"/>
          <w:w w:val="120"/>
          <w:sz w:val="17"/>
        </w:rPr>
        <w:t>is con­</w:t>
      </w:r>
    </w:p>
    <w:p>
      <w:pPr>
        <w:spacing w:line="189" w:lineRule="exact" w:before="0"/>
        <w:ind w:left="220" w:right="0" w:firstLine="0"/>
        <w:jc w:val="left"/>
        <w:rPr>
          <w:rFonts w:ascii="Arial"/>
          <w:sz w:val="16"/>
        </w:rPr>
      </w:pPr>
      <w:r>
        <w:rPr>
          <w:color w:val="010101"/>
          <w:w w:val="110"/>
          <w:sz w:val="17"/>
        </w:rPr>
        <w:t>stant.  Also  Statement  </w:t>
      </w:r>
      <w:r>
        <w:rPr>
          <w:rFonts w:ascii="Arial"/>
          <w:color w:val="010101"/>
          <w:w w:val="110"/>
          <w:sz w:val="16"/>
        </w:rPr>
        <w:t>6</w:t>
      </w:r>
    </w:p>
    <w:p>
      <w:pPr>
        <w:spacing w:after="0" w:line="189" w:lineRule="exact"/>
        <w:jc w:val="left"/>
        <w:rPr>
          <w:rFonts w:ascii="Arial"/>
          <w:sz w:val="16"/>
        </w:rPr>
        <w:sectPr>
          <w:type w:val="continuous"/>
          <w:pgSz w:w="7200" w:h="11340"/>
          <w:pgMar w:top="1100" w:bottom="0" w:left="660" w:right="580"/>
          <w:cols w:num="2" w:equalWidth="0">
            <w:col w:w="3667" w:space="40"/>
            <w:col w:w="2253"/>
          </w:cols>
        </w:sectPr>
      </w:pPr>
    </w:p>
    <w:p>
      <w:pPr>
        <w:pStyle w:val="ListParagraph"/>
        <w:numPr>
          <w:ilvl w:val="0"/>
          <w:numId w:val="46"/>
        </w:numPr>
        <w:tabs>
          <w:tab w:pos="421" w:val="left" w:leader="none"/>
        </w:tabs>
        <w:spacing w:line="214" w:lineRule="exact" w:before="163" w:after="0"/>
        <w:ind w:left="420" w:right="0" w:hanging="298"/>
        <w:jc w:val="left"/>
        <w:rPr>
          <w:color w:val="010101"/>
          <w:sz w:val="17"/>
        </w:rPr>
      </w:pPr>
      <w:r>
        <w:rPr/>
        <w:pict>
          <v:group style="position:absolute;margin-left:38.209251pt;margin-top:41.781471pt;width:286.850pt;height:482.65pt;mso-position-horizontal-relative:page;mso-position-vertical-relative:page;z-index:-725272" coordorigin="764,836" coordsize="5737,9653">
            <v:shape style="position:absolute;left:772;top:859;width:5722;height:9638" coordorigin="772,859" coordsize="5722,9638" path="m4332,10481l4332,877m772,843l6493,843m786,1239l5520,1239e" filled="false" stroked="true" strokeweight=".717846pt" strokecolor="#000000">
              <v:path arrowok="t"/>
            </v:shape>
            <v:line style="position:absolute" from="800,10470" to="6489,10470" stroked="true" strokeweight=".538385pt" strokecolor="#000000"/>
            <w10:wrap type="none"/>
          </v:group>
        </w:pict>
      </w:r>
      <w:r>
        <w:rPr>
          <w:rFonts w:ascii="Arial"/>
          <w:color w:val="010101"/>
          <w:w w:val="135"/>
          <w:sz w:val="17"/>
        </w:rPr>
        <w:t>lf </w:t>
      </w:r>
      <w:r>
        <w:rPr>
          <w:i/>
          <w:color w:val="010101"/>
          <w:w w:val="115"/>
          <w:sz w:val="18"/>
        </w:rPr>
        <w:t>e, </w:t>
      </w:r>
      <w:r>
        <w:rPr>
          <w:color w:val="010101"/>
          <w:w w:val="115"/>
          <w:sz w:val="17"/>
        </w:rPr>
        <w:t>always decreases, then  </w:t>
      </w:r>
      <w:r>
        <w:rPr>
          <w:i/>
          <w:color w:val="010101"/>
          <w:spacing w:val="-3"/>
          <w:w w:val="115"/>
          <w:sz w:val="17"/>
        </w:rPr>
        <w:t>,V' </w:t>
      </w:r>
      <w:r>
        <w:rPr>
          <w:color w:val="010101"/>
          <w:w w:val="115"/>
          <w:sz w:val="21"/>
        </w:rPr>
        <w:t>&gt; </w:t>
      </w:r>
      <w:r>
        <w:rPr>
          <w:i/>
          <w:color w:val="010101"/>
          <w:spacing w:val="-5"/>
          <w:w w:val="115"/>
          <w:sz w:val="17"/>
        </w:rPr>
        <w:t>,V </w:t>
      </w:r>
      <w:r>
        <w:rPr>
          <w:color w:val="010101"/>
          <w:w w:val="115"/>
          <w:sz w:val="17"/>
        </w:rPr>
        <w:t>for  Statements 8, 9, and </w:t>
      </w:r>
      <w:r>
        <w:rPr>
          <w:color w:val="010101"/>
          <w:spacing w:val="26"/>
          <w:w w:val="115"/>
          <w:sz w:val="17"/>
        </w:rPr>
        <w:t> </w:t>
      </w:r>
      <w:r>
        <w:rPr>
          <w:color w:val="010101"/>
          <w:w w:val="115"/>
          <w:sz w:val="17"/>
        </w:rPr>
        <w:t>10</w:t>
      </w:r>
    </w:p>
    <w:p>
      <w:pPr>
        <w:spacing w:line="198" w:lineRule="exact" w:before="0"/>
        <w:ind w:left="406" w:right="0" w:firstLine="0"/>
        <w:jc w:val="left"/>
        <w:rPr>
          <w:sz w:val="17"/>
        </w:rPr>
      </w:pPr>
      <w:r>
        <w:rPr>
          <w:rFonts w:ascii="Arial"/>
          <w:color w:val="010101"/>
          <w:sz w:val="16"/>
        </w:rPr>
        <w:t>O  </w:t>
      </w:r>
      <w:r>
        <w:rPr>
          <w:rFonts w:ascii="Arial"/>
          <w:color w:val="010101"/>
          <w:sz w:val="22"/>
        </w:rPr>
        <w:t>&lt;  </w:t>
      </w:r>
      <w:r>
        <w:rPr>
          <w:i/>
          <w:color w:val="010101"/>
          <w:sz w:val="19"/>
        </w:rPr>
        <w:t>t   </w:t>
      </w:r>
      <w:r>
        <w:rPr>
          <w:rFonts w:ascii="Arial"/>
          <w:color w:val="010101"/>
          <w:sz w:val="22"/>
        </w:rPr>
        <w:t>&lt; </w:t>
      </w:r>
      <w:r>
        <w:rPr>
          <w:i/>
          <w:color w:val="010101"/>
          <w:sz w:val="17"/>
        </w:rPr>
        <w:t>n ;  </w:t>
      </w:r>
      <w:r>
        <w:rPr>
          <w:color w:val="010101"/>
          <w:sz w:val="17"/>
        </w:rPr>
        <w:t>if   </w:t>
      </w:r>
      <w:r>
        <w:rPr>
          <w:i/>
          <w:color w:val="010101"/>
          <w:sz w:val="17"/>
        </w:rPr>
        <w:t>e,  </w:t>
      </w:r>
      <w:r>
        <w:rPr>
          <w:b/>
          <w:color w:val="010101"/>
          <w:sz w:val="16"/>
        </w:rPr>
        <w:t>a.lways   </w:t>
      </w:r>
      <w:r>
        <w:rPr>
          <w:color w:val="010101"/>
          <w:sz w:val="17"/>
        </w:rPr>
        <w:t>increases, then</w:t>
      </w:r>
    </w:p>
    <w:p>
      <w:pPr>
        <w:spacing w:line="184" w:lineRule="exact" w:before="0"/>
        <w:ind w:left="420" w:right="0" w:firstLine="0"/>
        <w:jc w:val="left"/>
        <w:rPr>
          <w:sz w:val="17"/>
        </w:rPr>
      </w:pPr>
      <w:r>
        <w:rPr>
          <w:b/>
          <w:i/>
          <w:color w:val="010101"/>
          <w:w w:val="105"/>
          <w:sz w:val="17"/>
        </w:rPr>
        <w:t>,V'  </w:t>
      </w:r>
      <w:r>
        <w:rPr>
          <w:rFonts w:ascii="Arial"/>
          <w:color w:val="010101"/>
          <w:w w:val="105"/>
          <w:sz w:val="22"/>
        </w:rPr>
        <w:t>&lt; </w:t>
      </w:r>
      <w:r>
        <w:rPr>
          <w:rFonts w:ascii="Arial"/>
          <w:i/>
          <w:color w:val="010101"/>
          <w:w w:val="105"/>
          <w:sz w:val="22"/>
        </w:rPr>
        <w:t>,V </w:t>
      </w:r>
      <w:r>
        <w:rPr>
          <w:color w:val="010101"/>
          <w:w w:val="105"/>
          <w:sz w:val="17"/>
        </w:rPr>
        <w:t>for </w:t>
      </w:r>
      <w:r>
        <w:rPr>
          <w:rFonts w:ascii="Arial"/>
          <w:color w:val="010101"/>
          <w:sz w:val="16"/>
        </w:rPr>
        <w:t>O  </w:t>
      </w:r>
      <w:r>
        <w:rPr>
          <w:rFonts w:ascii="Arial"/>
          <w:color w:val="010101"/>
          <w:w w:val="105"/>
          <w:sz w:val="22"/>
        </w:rPr>
        <w:t>&lt; </w:t>
      </w:r>
      <w:r>
        <w:rPr>
          <w:i/>
          <w:color w:val="010101"/>
          <w:w w:val="105"/>
          <w:sz w:val="18"/>
        </w:rPr>
        <w:t>t  </w:t>
      </w:r>
      <w:r>
        <w:rPr>
          <w:rFonts w:ascii="Arial"/>
          <w:color w:val="010101"/>
          <w:w w:val="105"/>
          <w:sz w:val="22"/>
        </w:rPr>
        <w:t>&lt; </w:t>
      </w:r>
      <w:r>
        <w:rPr>
          <w:color w:val="010101"/>
          <w:w w:val="105"/>
          <w:sz w:val="17"/>
        </w:rPr>
        <w:t>n; if  </w:t>
      </w:r>
      <w:r>
        <w:rPr>
          <w:i/>
          <w:color w:val="010101"/>
          <w:w w:val="105"/>
          <w:sz w:val="17"/>
        </w:rPr>
        <w:t>e , </w:t>
      </w:r>
      <w:r>
        <w:rPr>
          <w:color w:val="010101"/>
          <w:w w:val="105"/>
          <w:sz w:val="17"/>
        </w:rPr>
        <w:t>is constant,</w:t>
      </w:r>
    </w:p>
    <w:p>
      <w:pPr>
        <w:tabs>
          <w:tab w:pos="5409" w:val="left" w:leader="none"/>
        </w:tabs>
        <w:spacing w:line="246" w:lineRule="exact" w:before="0"/>
        <w:ind w:left="413" w:right="0" w:firstLine="0"/>
        <w:jc w:val="left"/>
        <w:rPr>
          <w:sz w:val="17"/>
        </w:rPr>
      </w:pPr>
      <w:r>
        <w:rPr>
          <w:color w:val="010101"/>
          <w:w w:val="115"/>
          <w:sz w:val="17"/>
        </w:rPr>
        <w:t>then  </w:t>
      </w:r>
      <w:r>
        <w:rPr>
          <w:i/>
          <w:color w:val="010101"/>
          <w:w w:val="115"/>
          <w:sz w:val="17"/>
        </w:rPr>
        <w:t>,V ' = </w:t>
      </w:r>
      <w:r>
        <w:rPr>
          <w:color w:val="010101"/>
          <w:w w:val="115"/>
          <w:sz w:val="17"/>
        </w:rPr>
        <w:t>, </w:t>
      </w:r>
      <w:r>
        <w:rPr>
          <w:color w:val="010101"/>
          <w:sz w:val="17"/>
        </w:rPr>
        <w:t>V </w:t>
      </w:r>
      <w:r>
        <w:rPr>
          <w:color w:val="010101"/>
          <w:w w:val="115"/>
          <w:sz w:val="17"/>
        </w:rPr>
        <w:t>for </w:t>
      </w:r>
      <w:r>
        <w:rPr>
          <w:color w:val="010101"/>
          <w:sz w:val="17"/>
        </w:rPr>
        <w:t>O </w:t>
      </w:r>
      <w:r>
        <w:rPr>
          <w:color w:val="010101"/>
          <w:w w:val="115"/>
          <w:sz w:val="17"/>
        </w:rPr>
        <w:t>&lt;  </w:t>
      </w:r>
      <w:r>
        <w:rPr>
          <w:i/>
          <w:color w:val="010101"/>
          <w:sz w:val="25"/>
        </w:rPr>
        <w:t>t</w:t>
      </w:r>
      <w:r>
        <w:rPr>
          <w:i/>
          <w:color w:val="010101"/>
          <w:spacing w:val="1"/>
          <w:sz w:val="25"/>
        </w:rPr>
        <w:t> </w:t>
      </w:r>
      <w:r>
        <w:rPr>
          <w:i/>
          <w:color w:val="010101"/>
          <w:sz w:val="25"/>
        </w:rPr>
        <w:t>&lt;</w:t>
      </w:r>
      <w:r>
        <w:rPr>
          <w:i/>
          <w:color w:val="010101"/>
          <w:spacing w:val="-12"/>
          <w:sz w:val="25"/>
        </w:rPr>
        <w:t> </w:t>
      </w:r>
      <w:r>
        <w:rPr>
          <w:i/>
          <w:color w:val="010101"/>
          <w:w w:val="115"/>
          <w:sz w:val="18"/>
        </w:rPr>
        <w:t>n.</w:t>
        <w:tab/>
      </w:r>
      <w:r>
        <w:rPr>
          <w:color w:val="010101"/>
          <w:w w:val="115"/>
          <w:sz w:val="17"/>
        </w:rPr>
        <w:t>q.e.d.</w:t>
      </w:r>
    </w:p>
    <w:p>
      <w:pPr>
        <w:pStyle w:val="BodyText"/>
        <w:spacing w:before="1"/>
        <w:rPr>
          <w:sz w:val="19"/>
        </w:rPr>
      </w:pPr>
    </w:p>
    <w:p>
      <w:pPr>
        <w:spacing w:before="0"/>
        <w:ind w:left="142" w:right="131" w:firstLine="0"/>
        <w:jc w:val="center"/>
        <w:rPr>
          <w:rFonts w:ascii="Arial"/>
          <w:sz w:val="16"/>
        </w:rPr>
      </w:pPr>
      <w:r>
        <w:rPr>
          <w:rFonts w:ascii="Arial"/>
          <w:color w:val="010101"/>
          <w:w w:val="105"/>
          <w:sz w:val="16"/>
        </w:rPr>
        <w:t>119</w:t>
      </w:r>
    </w:p>
    <w:p>
      <w:pPr>
        <w:spacing w:after="0"/>
        <w:jc w:val="center"/>
        <w:rPr>
          <w:rFonts w:ascii="Arial"/>
          <w:sz w:val="16"/>
        </w:rPr>
        <w:sectPr>
          <w:type w:val="continuous"/>
          <w:pgSz w:w="7200" w:h="11340"/>
          <w:pgMar w:top="1100" w:bottom="0" w:left="660" w:right="580"/>
        </w:sectPr>
      </w:pPr>
    </w:p>
    <w:p>
      <w:pPr>
        <w:tabs>
          <w:tab w:pos="1635" w:val="left" w:leader="none"/>
          <w:tab w:pos="5400" w:val="left" w:leader="none"/>
        </w:tabs>
        <w:spacing w:before="61"/>
        <w:ind w:left="144" w:right="0" w:firstLine="21"/>
        <w:jc w:val="both"/>
        <w:rPr>
          <w:rFonts w:ascii="Arial"/>
          <w:sz w:val="19"/>
        </w:rPr>
      </w:pPr>
      <w:r>
        <w:rPr>
          <w:b/>
          <w:w w:val="110"/>
          <w:sz w:val="19"/>
        </w:rPr>
        <w:t>120</w:t>
        <w:tab/>
      </w:r>
      <w:r>
        <w:rPr>
          <w:rFonts w:ascii="Arial"/>
          <w:b/>
          <w:w w:val="110"/>
          <w:position w:val="1"/>
          <w:sz w:val="14"/>
        </w:rPr>
        <w:t>NET   LEVEL </w:t>
      </w:r>
      <w:r>
        <w:rPr>
          <w:rFonts w:ascii="Arial"/>
          <w:b/>
          <w:spacing w:val="23"/>
          <w:w w:val="110"/>
          <w:position w:val="1"/>
          <w:sz w:val="14"/>
        </w:rPr>
        <w:t> </w:t>
      </w:r>
      <w:r>
        <w:rPr>
          <w:rFonts w:ascii="Arial"/>
          <w:b/>
          <w:w w:val="110"/>
          <w:position w:val="1"/>
          <w:sz w:val="14"/>
        </w:rPr>
        <w:t>PREMIDM </w:t>
      </w:r>
      <w:r>
        <w:rPr>
          <w:rFonts w:ascii="Arial"/>
          <w:b/>
          <w:spacing w:val="35"/>
          <w:w w:val="110"/>
          <w:position w:val="1"/>
          <w:sz w:val="14"/>
        </w:rPr>
        <w:t> </w:t>
      </w:r>
      <w:r>
        <w:rPr>
          <w:rFonts w:ascii="Arial"/>
          <w:b/>
          <w:w w:val="110"/>
          <w:position w:val="1"/>
          <w:sz w:val="14"/>
        </w:rPr>
        <w:t>RESERVES</w:t>
        <w:tab/>
      </w:r>
      <w:r>
        <w:rPr>
          <w:rFonts w:ascii="Arial"/>
          <w:b/>
          <w:position w:val="1"/>
          <w:sz w:val="17"/>
        </w:rPr>
        <w:t>[CH.</w:t>
      </w:r>
      <w:r>
        <w:rPr>
          <w:rFonts w:ascii="Arial"/>
          <w:b/>
          <w:spacing w:val="-11"/>
          <w:position w:val="1"/>
          <w:sz w:val="17"/>
        </w:rPr>
        <w:t> </w:t>
      </w:r>
      <w:r>
        <w:rPr>
          <w:rFonts w:ascii="Arial"/>
          <w:position w:val="1"/>
          <w:sz w:val="19"/>
        </w:rPr>
        <w:t>5</w:t>
      </w:r>
    </w:p>
    <w:p>
      <w:pPr>
        <w:pStyle w:val="BodyText"/>
        <w:spacing w:before="7"/>
        <w:rPr>
          <w:rFonts w:ascii="Arial"/>
          <w:sz w:val="18"/>
        </w:rPr>
      </w:pPr>
    </w:p>
    <w:p>
      <w:pPr>
        <w:spacing w:line="242" w:lineRule="auto" w:before="0"/>
        <w:ind w:left="119" w:right="648" w:firstLine="25"/>
        <w:jc w:val="both"/>
        <w:rPr>
          <w:b/>
          <w:sz w:val="19"/>
        </w:rPr>
      </w:pPr>
      <w:r>
        <w:rPr>
          <w:rFonts w:ascii="Arial" w:hAnsi="Arial"/>
          <w:w w:val="120"/>
          <w:sz w:val="20"/>
        </w:rPr>
        <w:t>If </w:t>
      </w:r>
      <w:r>
        <w:rPr>
          <w:i/>
          <w:w w:val="105"/>
          <w:sz w:val="21"/>
        </w:rPr>
        <w:t>Í </w:t>
      </w:r>
      <w:r>
        <w:rPr>
          <w:w w:val="105"/>
          <w:sz w:val="21"/>
        </w:rPr>
        <w:t>is greater  than </w:t>
      </w:r>
      <w:r>
        <w:rPr>
          <w:i/>
          <w:w w:val="120"/>
          <w:sz w:val="22"/>
        </w:rPr>
        <w:t>i </w:t>
      </w:r>
      <w:r>
        <w:rPr>
          <w:w w:val="105"/>
          <w:sz w:val="21"/>
        </w:rPr>
        <w:t>and  ,</w:t>
      </w:r>
      <w:r>
        <w:rPr>
          <w:rFonts w:ascii="Arial" w:hAnsi="Arial"/>
          <w:i/>
          <w:w w:val="105"/>
          <w:sz w:val="20"/>
        </w:rPr>
        <w:t>V </w:t>
      </w:r>
      <w:r>
        <w:rPr>
          <w:w w:val="105"/>
          <w:sz w:val="21"/>
        </w:rPr>
        <w:t>increases with  </w:t>
      </w:r>
      <w:r>
        <w:rPr>
          <w:i/>
          <w:spacing w:val="7"/>
          <w:w w:val="105"/>
          <w:sz w:val="21"/>
        </w:rPr>
        <w:t>t, </w:t>
      </w:r>
      <w:r>
        <w:rPr>
          <w:w w:val="105"/>
          <w:sz w:val="21"/>
        </w:rPr>
        <w:t>it  follows that </w:t>
      </w:r>
      <w:r>
        <w:rPr>
          <w:i/>
          <w:w w:val="105"/>
          <w:sz w:val="20"/>
        </w:rPr>
        <w:t>e,  </w:t>
      </w:r>
      <w:r>
        <w:rPr>
          <w:w w:val="105"/>
          <w:sz w:val="21"/>
        </w:rPr>
        <w:t>is an increasing function, and the theorem indicates that the special reserves are less than the standard reserves. If ,/ is less than</w:t>
      </w:r>
      <w:r>
        <w:rPr>
          <w:spacing w:val="2"/>
          <w:w w:val="105"/>
          <w:sz w:val="21"/>
        </w:rPr>
        <w:t> </w:t>
      </w:r>
      <w:r>
        <w:rPr>
          <w:i/>
          <w:w w:val="120"/>
          <w:sz w:val="21"/>
        </w:rPr>
        <w:t>i</w:t>
      </w:r>
      <w:r>
        <w:rPr>
          <w:i/>
          <w:spacing w:val="-23"/>
          <w:w w:val="120"/>
          <w:sz w:val="21"/>
        </w:rPr>
        <w:t> </w:t>
      </w:r>
      <w:r>
        <w:rPr>
          <w:w w:val="105"/>
          <w:sz w:val="21"/>
        </w:rPr>
        <w:t>and</w:t>
      </w:r>
      <w:r>
        <w:rPr>
          <w:spacing w:val="15"/>
          <w:w w:val="105"/>
          <w:sz w:val="21"/>
        </w:rPr>
        <w:t> </w:t>
      </w:r>
      <w:r>
        <w:rPr>
          <w:w w:val="120"/>
          <w:sz w:val="21"/>
        </w:rPr>
        <w:t>,l'</w:t>
      </w:r>
      <w:r>
        <w:rPr>
          <w:spacing w:val="-29"/>
          <w:w w:val="120"/>
          <w:sz w:val="21"/>
        </w:rPr>
        <w:t> </w:t>
      </w:r>
      <w:r>
        <w:rPr>
          <w:w w:val="105"/>
          <w:sz w:val="21"/>
        </w:rPr>
        <w:t>increases,</w:t>
      </w:r>
      <w:r>
        <w:rPr>
          <w:spacing w:val="5"/>
          <w:w w:val="105"/>
          <w:sz w:val="21"/>
        </w:rPr>
        <w:t> </w:t>
      </w:r>
      <w:r>
        <w:rPr>
          <w:i/>
          <w:w w:val="105"/>
          <w:sz w:val="21"/>
        </w:rPr>
        <w:t>e,</w:t>
      </w:r>
      <w:r>
        <w:rPr>
          <w:i/>
          <w:spacing w:val="-29"/>
          <w:w w:val="105"/>
          <w:sz w:val="21"/>
        </w:rPr>
        <w:t> </w:t>
      </w:r>
      <w:r>
        <w:rPr>
          <w:rFonts w:ascii="Arial" w:hAnsi="Arial"/>
          <w:w w:val="105"/>
          <w:sz w:val="19"/>
        </w:rPr>
        <w:t>is</w:t>
      </w:r>
      <w:r>
        <w:rPr>
          <w:rFonts w:ascii="Arial" w:hAnsi="Arial"/>
          <w:spacing w:val="-15"/>
          <w:w w:val="105"/>
          <w:sz w:val="19"/>
        </w:rPr>
        <w:t> </w:t>
      </w:r>
      <w:r>
        <w:rPr>
          <w:w w:val="105"/>
          <w:sz w:val="21"/>
        </w:rPr>
        <w:t>a</w:t>
      </w:r>
      <w:r>
        <w:rPr>
          <w:spacing w:val="-4"/>
          <w:w w:val="105"/>
          <w:sz w:val="21"/>
        </w:rPr>
        <w:t> </w:t>
      </w:r>
      <w:r>
        <w:rPr>
          <w:w w:val="105"/>
          <w:sz w:val="21"/>
        </w:rPr>
        <w:t>decreasing</w:t>
      </w:r>
      <w:r>
        <w:rPr>
          <w:spacing w:val="5"/>
          <w:w w:val="105"/>
          <w:sz w:val="21"/>
        </w:rPr>
        <w:t> </w:t>
      </w:r>
      <w:r>
        <w:rPr>
          <w:w w:val="105"/>
          <w:sz w:val="21"/>
        </w:rPr>
        <w:t>function,</w:t>
      </w:r>
      <w:r>
        <w:rPr>
          <w:spacing w:val="6"/>
          <w:w w:val="105"/>
          <w:sz w:val="21"/>
        </w:rPr>
        <w:t> </w:t>
      </w:r>
      <w:r>
        <w:rPr>
          <w:w w:val="105"/>
          <w:sz w:val="21"/>
        </w:rPr>
        <w:t>and</w:t>
      </w:r>
      <w:r>
        <w:rPr>
          <w:spacing w:val="-4"/>
          <w:w w:val="105"/>
          <w:sz w:val="21"/>
        </w:rPr>
        <w:t> </w:t>
      </w:r>
      <w:r>
        <w:rPr>
          <w:w w:val="105"/>
          <w:sz w:val="21"/>
        </w:rPr>
        <w:t>the</w:t>
      </w:r>
      <w:r>
        <w:rPr>
          <w:spacing w:val="-3"/>
          <w:w w:val="105"/>
          <w:sz w:val="21"/>
        </w:rPr>
        <w:t> </w:t>
      </w:r>
      <w:r>
        <w:rPr>
          <w:w w:val="105"/>
          <w:sz w:val="21"/>
        </w:rPr>
        <w:t>special reserves exceed the standard reserves. These results may </w:t>
      </w:r>
      <w:r>
        <w:rPr>
          <w:w w:val="105"/>
          <w:sz w:val="19"/>
        </w:rPr>
        <w:t>be </w:t>
      </w:r>
      <w:r>
        <w:rPr>
          <w:b/>
          <w:w w:val="105"/>
          <w:sz w:val="19"/>
        </w:rPr>
        <w:t>summarized as</w:t>
      </w:r>
      <w:r>
        <w:rPr>
          <w:b/>
          <w:spacing w:val="18"/>
          <w:w w:val="105"/>
          <w:sz w:val="19"/>
        </w:rPr>
        <w:t> </w:t>
      </w:r>
      <w:r>
        <w:rPr>
          <w:b/>
          <w:w w:val="105"/>
          <w:sz w:val="19"/>
        </w:rPr>
        <w:t>follows:</w:t>
      </w:r>
    </w:p>
    <w:p>
      <w:pPr>
        <w:pStyle w:val="BodyText"/>
        <w:spacing w:before="10"/>
        <w:rPr>
          <w:b/>
          <w:sz w:val="19"/>
        </w:rPr>
      </w:pPr>
    </w:p>
    <w:p>
      <w:pPr>
        <w:spacing w:line="240" w:lineRule="auto" w:before="0"/>
        <w:ind w:left="328" w:right="685" w:firstLine="208"/>
        <w:jc w:val="both"/>
        <w:rPr>
          <w:sz w:val="21"/>
        </w:rPr>
      </w:pPr>
      <w:r>
        <w:rPr>
          <w:i/>
          <w:sz w:val="21"/>
        </w:rPr>
        <w:t>Corollary </w:t>
      </w:r>
      <w:r>
        <w:rPr>
          <w:rFonts w:ascii="Arial" w:hAnsi="Arial"/>
          <w:i/>
          <w:sz w:val="18"/>
        </w:rPr>
        <w:t>1. </w:t>
      </w:r>
      <w:r>
        <w:rPr>
          <w:sz w:val="21"/>
        </w:rPr>
        <w:t>An increase in the rate of interest produces a decrease in reserves, and a decrease in the rate of interest pro­ duces an increase in reserves, provided that the reserves increase with  duration.</w:t>
      </w:r>
    </w:p>
    <w:p>
      <w:pPr>
        <w:pStyle w:val="BodyText"/>
        <w:spacing w:before="1"/>
        <w:rPr>
          <w:sz w:val="21"/>
        </w:rPr>
      </w:pPr>
    </w:p>
    <w:p>
      <w:pPr>
        <w:spacing w:line="238" w:lineRule="exact" w:before="0"/>
        <w:ind w:left="134" w:right="691" w:firstLine="194"/>
        <w:jc w:val="both"/>
        <w:rPr>
          <w:sz w:val="21"/>
        </w:rPr>
      </w:pPr>
      <w:r>
        <w:rPr>
          <w:sz w:val="21"/>
        </w:rPr>
        <w:t>The second corollary relates to the eff cct of  a constant  change  in  the  rate  of  mortality,  with  no  change  in  the  rate  of</w:t>
      </w:r>
      <w:r>
        <w:rPr>
          <w:spacing w:val="17"/>
          <w:sz w:val="21"/>
        </w:rPr>
        <w:t> </w:t>
      </w:r>
      <w:r>
        <w:rPr>
          <w:sz w:val="21"/>
        </w:rPr>
        <w:t>interest.</w:t>
      </w:r>
    </w:p>
    <w:p>
      <w:pPr>
        <w:spacing w:line="275" w:lineRule="exact" w:before="0"/>
        <w:ind w:left="134" w:right="0" w:firstLine="0"/>
        <w:jc w:val="both"/>
        <w:rPr>
          <w:sz w:val="21"/>
        </w:rPr>
      </w:pPr>
      <w:r>
        <w:rPr>
          <w:sz w:val="21"/>
        </w:rPr>
        <w:t>Let </w:t>
      </w:r>
      <w:r>
        <w:rPr>
          <w:i/>
          <w:w w:val="85"/>
          <w:sz w:val="36"/>
        </w:rPr>
        <w:t>q: </w:t>
      </w:r>
      <w:r>
        <w:rPr>
          <w:sz w:val="26"/>
        </w:rPr>
        <w:t>= </w:t>
      </w:r>
      <w:r>
        <w:rPr>
          <w:i/>
          <w:w w:val="85"/>
          <w:sz w:val="36"/>
        </w:rPr>
        <w:t>q, </w:t>
      </w:r>
      <w:r>
        <w:rPr>
          <w:rFonts w:ascii="Arial" w:hAnsi="Arial"/>
          <w:sz w:val="32"/>
        </w:rPr>
        <w:t>+ </w:t>
      </w:r>
      <w:r>
        <w:rPr>
          <w:rFonts w:ascii="Arial" w:hAnsi="Arial"/>
          <w:i/>
          <w:sz w:val="20"/>
        </w:rPr>
        <w:t>k, </w:t>
      </w:r>
      <w:r>
        <w:rPr>
          <w:sz w:val="21"/>
        </w:rPr>
        <w:t>and, since </w:t>
      </w:r>
      <w:r>
        <w:rPr>
          <w:i/>
          <w:sz w:val="21"/>
        </w:rPr>
        <w:t>Í </w:t>
      </w:r>
      <w:r>
        <w:rPr>
          <w:sz w:val="23"/>
        </w:rPr>
        <w:t>= </w:t>
      </w:r>
      <w:r>
        <w:rPr>
          <w:sz w:val="21"/>
        </w:rPr>
        <w:t>i, we then have</w:t>
      </w:r>
    </w:p>
    <w:p>
      <w:pPr>
        <w:spacing w:before="107"/>
        <w:ind w:left="1656" w:right="0" w:firstLine="0"/>
        <w:jc w:val="left"/>
        <w:rPr>
          <w:sz w:val="14"/>
        </w:rPr>
      </w:pPr>
      <w:r>
        <w:rPr>
          <w:i/>
          <w:w w:val="115"/>
          <w:sz w:val="14"/>
        </w:rPr>
        <w:t>Ct  </w:t>
      </w:r>
      <w:r>
        <w:rPr>
          <w:w w:val="115"/>
          <w:sz w:val="23"/>
        </w:rPr>
        <w:t>=</w:t>
      </w:r>
      <w:r>
        <w:rPr>
          <w:spacing w:val="53"/>
          <w:w w:val="115"/>
          <w:sz w:val="23"/>
        </w:rPr>
        <w:t> </w:t>
      </w:r>
      <w:r>
        <w:rPr>
          <w:rFonts w:ascii="Arial"/>
          <w:w w:val="250"/>
          <w:sz w:val="19"/>
        </w:rPr>
        <w:t>-</w:t>
      </w:r>
      <w:r>
        <w:rPr>
          <w:rFonts w:ascii="Arial"/>
          <w:spacing w:val="-101"/>
          <w:w w:val="250"/>
          <w:sz w:val="19"/>
        </w:rPr>
        <w:t> </w:t>
      </w:r>
      <w:r>
        <w:rPr>
          <w:rFonts w:ascii="Arial"/>
          <w:w w:val="115"/>
          <w:sz w:val="19"/>
        </w:rPr>
        <w:t>(q: </w:t>
      </w:r>
      <w:r>
        <w:rPr>
          <w:rFonts w:ascii="Arial"/>
          <w:w w:val="250"/>
          <w:sz w:val="19"/>
        </w:rPr>
        <w:t>-</w:t>
      </w:r>
      <w:r>
        <w:rPr>
          <w:rFonts w:ascii="Arial"/>
          <w:spacing w:val="-73"/>
          <w:w w:val="250"/>
          <w:sz w:val="19"/>
        </w:rPr>
        <w:t> </w:t>
      </w:r>
      <w:r>
        <w:rPr>
          <w:rFonts w:ascii="Arial"/>
          <w:spacing w:val="2"/>
          <w:w w:val="115"/>
          <w:sz w:val="19"/>
        </w:rPr>
        <w:t>q,) </w:t>
      </w:r>
      <w:r>
        <w:rPr>
          <w:rFonts w:ascii="Arial"/>
          <w:w w:val="115"/>
          <w:sz w:val="19"/>
        </w:rPr>
        <w:t>(1 </w:t>
      </w:r>
      <w:r>
        <w:rPr>
          <w:rFonts w:ascii="Arial"/>
          <w:w w:val="250"/>
          <w:sz w:val="19"/>
        </w:rPr>
        <w:t>-</w:t>
      </w:r>
      <w:r>
        <w:rPr>
          <w:rFonts w:ascii="Arial"/>
          <w:spacing w:val="-52"/>
          <w:w w:val="250"/>
          <w:sz w:val="19"/>
        </w:rPr>
        <w:t> </w:t>
      </w:r>
      <w:r>
        <w:rPr>
          <w:w w:val="115"/>
          <w:sz w:val="14"/>
        </w:rPr>
        <w:t>t+l V' )</w:t>
      </w:r>
    </w:p>
    <w:p>
      <w:pPr>
        <w:spacing w:before="125"/>
        <w:ind w:left="1887" w:right="0" w:firstLine="0"/>
        <w:jc w:val="left"/>
        <w:rPr>
          <w:sz w:val="19"/>
        </w:rPr>
      </w:pPr>
      <w:r>
        <w:rPr/>
        <w:pict>
          <v:group style="position:absolute;margin-left:355.679993pt;margin-top:21.446716pt;width:4pt;height:200.3pt;mso-position-horizontal-relative:page;mso-position-vertical-relative:paragraph;z-index:10816" coordorigin="7114,429" coordsize="80,4006">
            <v:shape style="position:absolute;left:7114;top:429;width:72;height:1570" type="#_x0000_t75" stroked="false">
              <v:imagedata r:id="rId144" o:title=""/>
            </v:shape>
            <v:line style="position:absolute" from="7173,4414" to="7173,2009" stroked="true" strokeweight="1.98pt" strokecolor="#000000"/>
            <w10:wrap type="none"/>
          </v:group>
        </w:pict>
      </w:r>
      <w:r>
        <w:rPr>
          <w:w w:val="86"/>
          <w:sz w:val="26"/>
        </w:rPr>
        <w:t>=</w:t>
      </w:r>
      <w:r>
        <w:rPr>
          <w:sz w:val="26"/>
        </w:rPr>
        <w:t> </w:t>
      </w:r>
      <w:r>
        <w:rPr>
          <w:spacing w:val="1"/>
          <w:sz w:val="26"/>
        </w:rPr>
        <w:t> </w:t>
      </w:r>
      <w:r>
        <w:rPr>
          <w:spacing w:val="-6"/>
          <w:w w:val="205"/>
          <w:sz w:val="26"/>
        </w:rPr>
        <w:t>-</w:t>
      </w:r>
      <w:r>
        <w:rPr>
          <w:i/>
          <w:w w:val="91"/>
          <w:sz w:val="20"/>
        </w:rPr>
        <w:t>k</w:t>
      </w:r>
      <w:r>
        <w:rPr>
          <w:i/>
          <w:spacing w:val="1"/>
          <w:sz w:val="20"/>
        </w:rPr>
        <w:t> </w:t>
      </w:r>
      <w:r>
        <w:rPr>
          <w:w w:val="102"/>
          <w:sz w:val="20"/>
        </w:rPr>
        <w:t>(1</w:t>
      </w:r>
      <w:r>
        <w:rPr>
          <w:sz w:val="20"/>
        </w:rPr>
        <w:t> </w:t>
      </w:r>
      <w:r>
        <w:rPr>
          <w:spacing w:val="-13"/>
          <w:sz w:val="20"/>
        </w:rPr>
        <w:t> </w:t>
      </w:r>
      <w:r>
        <w:rPr>
          <w:w w:val="260"/>
          <w:sz w:val="20"/>
        </w:rPr>
        <w:t>-</w:t>
      </w:r>
      <w:r>
        <w:rPr>
          <w:spacing w:val="20"/>
          <w:sz w:val="20"/>
        </w:rPr>
        <w:t> </w:t>
      </w:r>
      <w:r>
        <w:rPr>
          <w:w w:val="127"/>
          <w:sz w:val="14"/>
        </w:rPr>
        <w:t>t+l</w:t>
      </w:r>
      <w:r>
        <w:rPr>
          <w:spacing w:val="-9"/>
          <w:sz w:val="14"/>
        </w:rPr>
        <w:t> </w:t>
      </w:r>
      <w:r>
        <w:rPr>
          <w:w w:val="148"/>
          <w:sz w:val="19"/>
        </w:rPr>
        <w:t>l'</w:t>
      </w:r>
      <w:r>
        <w:rPr>
          <w:w w:val="148"/>
          <w:sz w:val="19"/>
        </w:rPr>
        <w:t>).</w:t>
      </w:r>
    </w:p>
    <w:p>
      <w:pPr>
        <w:spacing w:line="235" w:lineRule="auto" w:before="147"/>
        <w:ind w:left="130" w:right="698" w:firstLine="7"/>
        <w:jc w:val="both"/>
        <w:rPr>
          <w:sz w:val="21"/>
        </w:rPr>
      </w:pPr>
      <w:r>
        <w:rPr>
          <w:rFonts w:ascii="Arial" w:hAnsi="Arial"/>
          <w:w w:val="125"/>
          <w:sz w:val="20"/>
        </w:rPr>
        <w:t>If </w:t>
      </w:r>
      <w:r>
        <w:rPr>
          <w:w w:val="105"/>
          <w:sz w:val="21"/>
        </w:rPr>
        <w:t>the reserves increase with  duration,  the net  amount  at risk,  1 </w:t>
      </w:r>
      <w:r>
        <w:rPr>
          <w:w w:val="225"/>
          <w:sz w:val="21"/>
        </w:rPr>
        <w:t>- </w:t>
      </w:r>
      <w:r>
        <w:rPr>
          <w:w w:val="105"/>
          <w:sz w:val="14"/>
        </w:rPr>
        <w:t>t+l </w:t>
      </w:r>
      <w:r>
        <w:rPr>
          <w:rFonts w:ascii="Arial" w:hAnsi="Arial"/>
          <w:i/>
          <w:spacing w:val="3"/>
          <w:w w:val="105"/>
          <w:sz w:val="19"/>
        </w:rPr>
        <w:t>V, </w:t>
      </w:r>
      <w:r>
        <w:rPr>
          <w:rFonts w:ascii="Arial" w:hAnsi="Arial"/>
          <w:w w:val="105"/>
          <w:sz w:val="19"/>
        </w:rPr>
        <w:t>is </w:t>
      </w:r>
      <w:r>
        <w:rPr>
          <w:w w:val="105"/>
          <w:sz w:val="21"/>
        </w:rPr>
        <w:t>a decreasing function. Hence, </w:t>
      </w:r>
      <w:r>
        <w:rPr>
          <w:sz w:val="21"/>
        </w:rPr>
        <w:t>if </w:t>
      </w:r>
      <w:r>
        <w:rPr>
          <w:rFonts w:ascii="Arial" w:hAnsi="Arial"/>
          <w:i/>
          <w:w w:val="105"/>
          <w:sz w:val="19"/>
        </w:rPr>
        <w:t>k </w:t>
      </w:r>
      <w:r>
        <w:rPr>
          <w:rFonts w:ascii="Arial" w:hAnsi="Arial"/>
          <w:w w:val="105"/>
          <w:sz w:val="19"/>
        </w:rPr>
        <w:t>is </w:t>
      </w:r>
      <w:r>
        <w:rPr>
          <w:w w:val="105"/>
          <w:sz w:val="21"/>
        </w:rPr>
        <w:t>positive, </w:t>
      </w:r>
      <w:r>
        <w:rPr>
          <w:i/>
          <w:w w:val="105"/>
          <w:sz w:val="20"/>
        </w:rPr>
        <w:t>e, </w:t>
      </w:r>
      <w:r>
        <w:rPr>
          <w:w w:val="105"/>
          <w:sz w:val="21"/>
        </w:rPr>
        <w:t>in­ creases, and the special reserves are decreased; </w:t>
      </w:r>
      <w:r>
        <w:rPr>
          <w:sz w:val="21"/>
        </w:rPr>
        <w:t>if </w:t>
      </w:r>
      <w:r>
        <w:rPr>
          <w:i/>
          <w:w w:val="105"/>
          <w:sz w:val="20"/>
        </w:rPr>
        <w:t>k </w:t>
      </w:r>
      <w:r>
        <w:rPr>
          <w:w w:val="105"/>
          <w:sz w:val="21"/>
        </w:rPr>
        <w:t>is negative,  </w:t>
      </w:r>
      <w:r>
        <w:rPr>
          <w:i/>
          <w:w w:val="105"/>
          <w:sz w:val="22"/>
        </w:rPr>
        <w:t>e,</w:t>
      </w:r>
      <w:r>
        <w:rPr>
          <w:i/>
          <w:spacing w:val="-44"/>
          <w:w w:val="105"/>
          <w:sz w:val="22"/>
        </w:rPr>
        <w:t> </w:t>
      </w:r>
      <w:r>
        <w:rPr>
          <w:w w:val="105"/>
          <w:sz w:val="21"/>
        </w:rPr>
        <w:t>decreases,</w:t>
      </w:r>
      <w:r>
        <w:rPr>
          <w:spacing w:val="-22"/>
          <w:w w:val="105"/>
          <w:sz w:val="21"/>
        </w:rPr>
        <w:t> </w:t>
      </w:r>
      <w:r>
        <w:rPr>
          <w:w w:val="105"/>
          <w:sz w:val="21"/>
        </w:rPr>
        <w:t>and</w:t>
      </w:r>
      <w:r>
        <w:rPr>
          <w:spacing w:val="-28"/>
          <w:w w:val="105"/>
          <w:sz w:val="21"/>
        </w:rPr>
        <w:t> </w:t>
      </w:r>
      <w:r>
        <w:rPr>
          <w:w w:val="105"/>
          <w:sz w:val="21"/>
        </w:rPr>
        <w:t>the</w:t>
      </w:r>
      <w:r>
        <w:rPr>
          <w:spacing w:val="-31"/>
          <w:w w:val="105"/>
          <w:sz w:val="21"/>
        </w:rPr>
        <w:t> </w:t>
      </w:r>
      <w:r>
        <w:rPr>
          <w:w w:val="105"/>
          <w:sz w:val="21"/>
        </w:rPr>
        <w:t>special</w:t>
      </w:r>
      <w:r>
        <w:rPr>
          <w:spacing w:val="-25"/>
          <w:w w:val="105"/>
          <w:sz w:val="21"/>
        </w:rPr>
        <w:t> </w:t>
      </w:r>
      <w:r>
        <w:rPr>
          <w:w w:val="105"/>
          <w:sz w:val="21"/>
        </w:rPr>
        <w:t>reserves</w:t>
      </w:r>
      <w:r>
        <w:rPr>
          <w:spacing w:val="-26"/>
          <w:w w:val="105"/>
          <w:sz w:val="21"/>
        </w:rPr>
        <w:t> </w:t>
      </w:r>
      <w:r>
        <w:rPr>
          <w:w w:val="105"/>
          <w:sz w:val="21"/>
        </w:rPr>
        <w:t>are</w:t>
      </w:r>
      <w:r>
        <w:rPr>
          <w:spacing w:val="-28"/>
          <w:w w:val="105"/>
          <w:sz w:val="21"/>
        </w:rPr>
        <w:t> </w:t>
      </w:r>
      <w:r>
        <w:rPr>
          <w:w w:val="105"/>
          <w:sz w:val="21"/>
        </w:rPr>
        <w:t>increased.</w:t>
      </w:r>
    </w:p>
    <w:p>
      <w:pPr>
        <w:pStyle w:val="BodyText"/>
        <w:spacing w:before="9"/>
      </w:pPr>
    </w:p>
    <w:p>
      <w:pPr>
        <w:spacing w:before="0"/>
        <w:ind w:left="332" w:right="692" w:firstLine="198"/>
        <w:jc w:val="both"/>
        <w:rPr>
          <w:sz w:val="21"/>
        </w:rPr>
      </w:pPr>
      <w:r>
        <w:rPr>
          <w:i/>
          <w:sz w:val="20"/>
        </w:rPr>
        <w:t>Corollary 2. </w:t>
      </w:r>
      <w:r>
        <w:rPr>
          <w:sz w:val="21"/>
        </w:rPr>
        <w:t>A constant increase in the rate of mortality produces a decrease in reserves, and a constant decrease in the rate of mortality produces an increase in reserves, provided that the  reserves  increase  with duration.</w:t>
      </w:r>
    </w:p>
    <w:p>
      <w:pPr>
        <w:pStyle w:val="BodyText"/>
        <w:spacing w:before="10"/>
      </w:pPr>
    </w:p>
    <w:p>
      <w:pPr>
        <w:spacing w:before="1"/>
        <w:ind w:left="134" w:right="701" w:firstLine="198"/>
        <w:jc w:val="both"/>
        <w:rPr>
          <w:sz w:val="21"/>
        </w:rPr>
      </w:pPr>
      <w:r>
        <w:rPr>
          <w:sz w:val="21"/>
        </w:rPr>
        <w:t>The requirement that reserves increase with duration is nor­  mally satisfied in the case of ordinary life and endowment insur­ ance, but not in the case of term insurance. The two  corollaries  thus do not hold  for term </w:t>
      </w:r>
      <w:r>
        <w:rPr>
          <w:spacing w:val="41"/>
          <w:sz w:val="21"/>
        </w:rPr>
        <w:t> </w:t>
      </w:r>
      <w:r>
        <w:rPr>
          <w:sz w:val="21"/>
        </w:rPr>
        <w:t>insurance.</w:t>
      </w:r>
    </w:p>
    <w:p>
      <w:pPr>
        <w:spacing w:line="237" w:lineRule="auto" w:before="0"/>
        <w:ind w:left="134" w:right="689" w:firstLine="201"/>
        <w:jc w:val="both"/>
        <w:rPr>
          <w:sz w:val="21"/>
        </w:rPr>
      </w:pPr>
      <w:r>
        <w:rPr>
          <w:sz w:val="22"/>
        </w:rPr>
        <w:t>It </w:t>
      </w:r>
      <w:r>
        <w:rPr>
          <w:sz w:val="21"/>
        </w:rPr>
        <w:t>will be seen that Lidstone's thcorem </w:t>
      </w:r>
      <w:r>
        <w:rPr>
          <w:rFonts w:ascii="Arial" w:hAnsi="Arial"/>
          <w:sz w:val="19"/>
        </w:rPr>
        <w:t>is </w:t>
      </w:r>
      <w:r>
        <w:rPr>
          <w:sz w:val="21"/>
        </w:rPr>
        <w:t>of limited utility, applying only to ccrtain forms of  insurance  and  being  restricted to three spccial typcs oí critica! function. Furthermore, the </w:t>
      </w:r>
      <w:r>
        <w:rPr>
          <w:rFonts w:ascii="Arial" w:hAnsi="Arial"/>
          <w:sz w:val="19"/>
        </w:rPr>
        <w:t>be­ </w:t>
      </w:r>
      <w:r>
        <w:rPr>
          <w:sz w:val="21"/>
        </w:rPr>
        <w:t>havior of the critica! function is not usually evident mtless the standard and special hascs are connected by a simple mathe­  matical</w:t>
      </w:r>
      <w:r>
        <w:rPr>
          <w:spacing w:val="1"/>
          <w:sz w:val="21"/>
        </w:rPr>
        <w:t> </w:t>
      </w:r>
      <w:r>
        <w:rPr>
          <w:sz w:val="21"/>
        </w:rPr>
        <w:t>re]ationship.</w:t>
      </w:r>
    </w:p>
    <w:p>
      <w:pPr>
        <w:spacing w:after="0" w:line="237" w:lineRule="auto"/>
        <w:jc w:val="both"/>
        <w:rPr>
          <w:sz w:val="21"/>
        </w:rPr>
        <w:sectPr>
          <w:pgSz w:w="7200" w:h="11340"/>
          <w:pgMar w:top="460" w:bottom="280" w:left="640" w:right="0"/>
        </w:sectPr>
      </w:pPr>
    </w:p>
    <w:p>
      <w:pPr>
        <w:tabs>
          <w:tab w:pos="1211" w:val="left" w:leader="none"/>
          <w:tab w:pos="5881" w:val="right" w:leader="none"/>
        </w:tabs>
        <w:spacing w:before="61"/>
        <w:ind w:left="124" w:right="0" w:firstLine="0"/>
        <w:jc w:val="left"/>
        <w:rPr>
          <w:sz w:val="20"/>
        </w:rPr>
      </w:pPr>
      <w:r>
        <w:rPr>
          <w:b/>
          <w:sz w:val="15"/>
        </w:rPr>
        <w:t>SEC. </w:t>
      </w:r>
      <w:r>
        <w:rPr>
          <w:b/>
          <w:spacing w:val="7"/>
          <w:sz w:val="15"/>
        </w:rPr>
        <w:t> </w:t>
      </w:r>
      <w:r>
        <w:rPr>
          <w:rFonts w:ascii="Arial"/>
          <w:b/>
          <w:sz w:val="19"/>
        </w:rPr>
        <w:t>11]</w:t>
        <w:tab/>
      </w:r>
      <w:r>
        <w:rPr>
          <w:b/>
          <w:position w:val="1"/>
          <w:sz w:val="15"/>
        </w:rPr>
        <w:t>VARJATION   IN   INTEREST </w:t>
      </w:r>
      <w:r>
        <w:rPr>
          <w:b/>
          <w:spacing w:val="34"/>
          <w:position w:val="1"/>
          <w:sz w:val="15"/>
        </w:rPr>
        <w:t> </w:t>
      </w:r>
      <w:r>
        <w:rPr>
          <w:b/>
          <w:position w:val="1"/>
          <w:sz w:val="15"/>
        </w:rPr>
        <w:t>AND </w:t>
      </w:r>
      <w:r>
        <w:rPr>
          <w:b/>
          <w:spacing w:val="31"/>
          <w:position w:val="1"/>
          <w:sz w:val="15"/>
        </w:rPr>
        <w:t> </w:t>
      </w:r>
      <w:r>
        <w:rPr>
          <w:b/>
          <w:position w:val="1"/>
          <w:sz w:val="15"/>
        </w:rPr>
        <w:t>MORTALITY</w:t>
      </w:r>
      <w:r>
        <w:rPr>
          <w:position w:val="1"/>
          <w:sz w:val="20"/>
        </w:rPr>
        <w:tab/>
        <w:t>121</w:t>
      </w:r>
    </w:p>
    <w:p>
      <w:pPr>
        <w:spacing w:line="242" w:lineRule="auto" w:before="221"/>
        <w:ind w:left="114" w:right="119" w:firstLine="194"/>
        <w:jc w:val="both"/>
        <w:rPr>
          <w:sz w:val="21"/>
        </w:rPr>
      </w:pPr>
      <w:r>
        <w:rPr>
          <w:w w:val="105"/>
          <w:sz w:val="21"/>
        </w:rPr>
        <w:t>When Lidstone's theorem cannot be· applied, it is sometimes possible to use other criteria. For example, with ordinary lif e insurance, it follows from formula (5.6) that</w:t>
      </w:r>
    </w:p>
    <w:p>
      <w:pPr>
        <w:spacing w:after="0" w:line="242" w:lineRule="auto"/>
        <w:jc w:val="both"/>
        <w:rPr>
          <w:sz w:val="21"/>
        </w:rPr>
        <w:sectPr>
          <w:pgSz w:w="7200" w:h="11340"/>
          <w:pgMar w:top="480" w:bottom="280" w:left="660" w:right="540"/>
        </w:sectPr>
      </w:pPr>
    </w:p>
    <w:p>
      <w:pPr>
        <w:spacing w:before="605"/>
        <w:ind w:left="121" w:right="-1" w:firstLine="0"/>
        <w:jc w:val="left"/>
        <w:rPr>
          <w:sz w:val="21"/>
        </w:rPr>
      </w:pPr>
      <w:r>
        <w:rPr>
          <w:sz w:val="21"/>
        </w:rPr>
        <w:t>according as</w:t>
      </w:r>
    </w:p>
    <w:p>
      <w:pPr>
        <w:pStyle w:val="BodyText"/>
        <w:spacing w:before="7"/>
        <w:rPr>
          <w:sz w:val="8"/>
        </w:rPr>
      </w:pPr>
      <w:r>
        <w:rPr/>
        <w:br w:type="column"/>
      </w:r>
      <w:r>
        <w:rPr>
          <w:sz w:val="8"/>
        </w:rPr>
      </w:r>
    </w:p>
    <w:p>
      <w:pPr>
        <w:pStyle w:val="BodyText"/>
        <w:ind w:left="538"/>
      </w:pPr>
      <w:r>
        <w:rPr/>
        <w:drawing>
          <wp:inline distT="0" distB="0" distL="0" distR="0">
            <wp:extent cx="521207" cy="173736"/>
            <wp:effectExtent l="0" t="0" r="0" b="0"/>
            <wp:docPr id="271" name="image141.png" descr=""/>
            <wp:cNvGraphicFramePr>
              <a:graphicFrameLocks noChangeAspect="1"/>
            </wp:cNvGraphicFramePr>
            <a:graphic>
              <a:graphicData uri="http://schemas.openxmlformats.org/drawingml/2006/picture">
                <pic:pic>
                  <pic:nvPicPr>
                    <pic:cNvPr id="272" name="image141.png"/>
                    <pic:cNvPicPr/>
                  </pic:nvPicPr>
                  <pic:blipFill>
                    <a:blip r:embed="rId145" cstate="print"/>
                    <a:stretch>
                      <a:fillRect/>
                    </a:stretch>
                  </pic:blipFill>
                  <pic:spPr>
                    <a:xfrm>
                      <a:off x="0" y="0"/>
                      <a:ext cx="521207" cy="173736"/>
                    </a:xfrm>
                    <a:prstGeom prst="rect">
                      <a:avLst/>
                    </a:prstGeom>
                  </pic:spPr>
                </pic:pic>
              </a:graphicData>
            </a:graphic>
          </wp:inline>
        </w:drawing>
      </w:r>
      <w:r>
        <w:rPr/>
      </w:r>
    </w:p>
    <w:p>
      <w:pPr>
        <w:tabs>
          <w:tab w:pos="1111" w:val="left" w:leader="none"/>
        </w:tabs>
        <w:spacing w:line="327" w:lineRule="exact" w:before="44"/>
        <w:ind w:left="121" w:right="0" w:firstLine="0"/>
        <w:jc w:val="left"/>
        <w:rPr>
          <w:b/>
          <w:i/>
          <w:sz w:val="16"/>
        </w:rPr>
      </w:pPr>
      <w:r>
        <w:rPr/>
        <w:pict>
          <v:line style="position:absolute;mso-position-horizontal-relative:page;mso-position-vertical-relative:paragraph;z-index:-725200" from="158.580002pt,18.814844pt" to="173.520002pt,18.814844pt" stroked="true" strokeweight=".9pt" strokecolor="#000000">
            <w10:wrap type="none"/>
          </v:line>
        </w:pict>
      </w:r>
      <w:r>
        <w:rPr>
          <w:rFonts w:ascii="Arial"/>
          <w:b/>
          <w:w w:val="210"/>
          <w:sz w:val="19"/>
        </w:rPr>
        <w:t>l </w:t>
      </w:r>
      <w:r>
        <w:rPr>
          <w:rFonts w:ascii="Arial"/>
          <w:w w:val="120"/>
          <w:sz w:val="19"/>
        </w:rPr>
        <w:t>_</w:t>
      </w:r>
      <w:r>
        <w:rPr>
          <w:rFonts w:ascii="Arial"/>
          <w:spacing w:val="-29"/>
          <w:w w:val="120"/>
          <w:sz w:val="19"/>
        </w:rPr>
        <w:t> </w:t>
      </w:r>
      <w:r>
        <w:rPr>
          <w:b/>
          <w:i/>
          <w:spacing w:val="-21"/>
          <w:w w:val="120"/>
          <w:sz w:val="16"/>
        </w:rPr>
        <w:t>dz</w:t>
      </w:r>
      <w:r>
        <w:rPr>
          <w:rFonts w:ascii="Arial"/>
          <w:spacing w:val="-21"/>
          <w:w w:val="120"/>
          <w:position w:val="6"/>
          <w:sz w:val="25"/>
        </w:rPr>
        <w:t>'</w:t>
      </w:r>
      <w:r>
        <w:rPr>
          <w:b/>
          <w:i/>
          <w:spacing w:val="-21"/>
          <w:w w:val="120"/>
          <w:sz w:val="16"/>
        </w:rPr>
        <w:t>+</w:t>
      </w:r>
      <w:r>
        <w:rPr>
          <w:b/>
          <w:i/>
          <w:spacing w:val="-30"/>
          <w:w w:val="120"/>
          <w:sz w:val="16"/>
        </w:rPr>
        <w:t> </w:t>
      </w:r>
      <w:r>
        <w:rPr>
          <w:b/>
          <w:i/>
          <w:w w:val="80"/>
          <w:sz w:val="16"/>
        </w:rPr>
        <w:t>I</w:t>
        <w:tab/>
      </w:r>
      <w:r>
        <w:rPr>
          <w:rFonts w:ascii="Arial"/>
          <w:b/>
          <w:w w:val="210"/>
          <w:sz w:val="19"/>
        </w:rPr>
        <w:t>l </w:t>
      </w:r>
      <w:r>
        <w:rPr>
          <w:rFonts w:ascii="Arial"/>
          <w:w w:val="120"/>
          <w:sz w:val="19"/>
        </w:rPr>
        <w:t>_</w:t>
      </w:r>
      <w:r>
        <w:rPr>
          <w:rFonts w:ascii="Arial"/>
          <w:spacing w:val="-35"/>
          <w:w w:val="120"/>
          <w:sz w:val="19"/>
        </w:rPr>
        <w:t> </w:t>
      </w:r>
      <w:r>
        <w:rPr>
          <w:b/>
          <w:i/>
          <w:w w:val="120"/>
          <w:sz w:val="16"/>
          <w:u w:val="single"/>
        </w:rPr>
        <w:t>dr+t</w:t>
      </w:r>
    </w:p>
    <w:p>
      <w:pPr>
        <w:tabs>
          <w:tab w:pos="1633" w:val="left" w:leader="none"/>
        </w:tabs>
        <w:spacing w:line="133" w:lineRule="exact" w:before="0"/>
        <w:ind w:left="643" w:right="0" w:firstLine="0"/>
        <w:jc w:val="left"/>
        <w:rPr>
          <w:sz w:val="17"/>
        </w:rPr>
      </w:pPr>
      <w:r>
        <w:rPr>
          <w:spacing w:val="-10"/>
          <w:w w:val="120"/>
          <w:sz w:val="17"/>
        </w:rPr>
        <w:t>··' </w:t>
      </w:r>
      <w:r>
        <w:rPr>
          <w:spacing w:val="30"/>
          <w:w w:val="120"/>
          <w:sz w:val="17"/>
        </w:rPr>
        <w:t> </w:t>
      </w:r>
      <w:r>
        <w:rPr>
          <w:w w:val="120"/>
          <w:sz w:val="17"/>
        </w:rPr>
        <w:t>&lt;</w:t>
        <w:tab/>
      </w:r>
      <w:r>
        <w:rPr>
          <w:sz w:val="17"/>
        </w:rPr>
        <w:t>..   </w:t>
      </w:r>
      <w:r>
        <w:rPr>
          <w:spacing w:val="19"/>
          <w:sz w:val="17"/>
        </w:rPr>
        <w:t> </w:t>
      </w:r>
      <w:r>
        <w:rPr>
          <w:w w:val="165"/>
          <w:sz w:val="17"/>
        </w:rPr>
        <w:t>'</w:t>
      </w:r>
    </w:p>
    <w:p>
      <w:pPr>
        <w:spacing w:line="93" w:lineRule="exact" w:before="0"/>
        <w:ind w:left="1564" w:right="2237" w:firstLine="0"/>
        <w:jc w:val="center"/>
        <w:rPr>
          <w:sz w:val="17"/>
        </w:rPr>
      </w:pPr>
      <w:r>
        <w:rPr>
          <w:w w:val="95"/>
          <w:sz w:val="17"/>
        </w:rPr>
        <w:t>Oz</w:t>
      </w:r>
    </w:p>
    <w:p>
      <w:pPr>
        <w:spacing w:after="0" w:line="93" w:lineRule="exact"/>
        <w:jc w:val="center"/>
        <w:rPr>
          <w:sz w:val="17"/>
        </w:rPr>
        <w:sectPr>
          <w:type w:val="continuous"/>
          <w:pgSz w:w="7200" w:h="11340"/>
          <w:pgMar w:top="1100" w:bottom="0" w:left="660" w:right="540"/>
          <w:cols w:num="2" w:equalWidth="0">
            <w:col w:w="1196" w:space="773"/>
            <w:col w:w="4031"/>
          </w:cols>
        </w:sectPr>
      </w:pPr>
    </w:p>
    <w:p>
      <w:pPr>
        <w:spacing w:line="214" w:lineRule="exact" w:before="0"/>
        <w:ind w:left="0" w:right="713" w:firstLine="0"/>
        <w:jc w:val="center"/>
        <w:rPr>
          <w:sz w:val="22"/>
        </w:rPr>
      </w:pPr>
      <w:r>
        <w:rPr>
          <w:w w:val="121"/>
          <w:sz w:val="22"/>
        </w:rPr>
        <w:t>,</w:t>
      </w:r>
    </w:p>
    <w:p>
      <w:pPr>
        <w:spacing w:line="139" w:lineRule="exact" w:before="0"/>
        <w:ind w:left="98" w:right="244" w:firstLine="0"/>
        <w:jc w:val="center"/>
        <w:rPr>
          <w:b/>
          <w:i/>
          <w:sz w:val="16"/>
        </w:rPr>
      </w:pPr>
      <w:r>
        <w:rPr/>
        <w:pict>
          <v:shape style="position:absolute;margin-left:177.479996pt;margin-top:3.611994pt;width:22.15pt;height:13.5pt;mso-position-horizontal-relative:page;mso-position-vertical-relative:paragraph;z-index:-725152" type="#_x0000_t202" filled="false" stroked="false">
            <v:textbox inset="0,0,0,0">
              <w:txbxContent>
                <w:p>
                  <w:pPr>
                    <w:spacing w:line="270" w:lineRule="exact" w:before="0"/>
                    <w:ind w:left="0" w:right="-10" w:firstLine="0"/>
                    <w:jc w:val="left"/>
                    <w:rPr>
                      <w:rFonts w:ascii="Arial"/>
                      <w:sz w:val="27"/>
                    </w:rPr>
                  </w:pPr>
                  <w:r>
                    <w:rPr>
                      <w:rFonts w:ascii="Arial"/>
                      <w:spacing w:val="-96"/>
                      <w:w w:val="70"/>
                      <w:sz w:val="27"/>
                    </w:rPr>
                    <w:t>&gt;</w:t>
                  </w:r>
                  <w:r>
                    <w:rPr>
                      <w:rFonts w:ascii="Arial"/>
                      <w:spacing w:val="-244"/>
                      <w:w w:val="208"/>
                      <w:sz w:val="27"/>
                    </w:rPr>
                    <w:t>-</w:t>
                  </w:r>
                  <w:r>
                    <w:rPr>
                      <w:rFonts w:ascii="Arial"/>
                      <w:w w:val="82"/>
                      <w:sz w:val="27"/>
                    </w:rPr>
                    <w:t>_</w:t>
                  </w:r>
                  <w:r>
                    <w:rPr>
                      <w:rFonts w:ascii="Arial"/>
                      <w:spacing w:val="-45"/>
                      <w:w w:val="82"/>
                      <w:sz w:val="27"/>
                    </w:rPr>
                    <w:t>-</w:t>
                  </w:r>
                </w:p>
              </w:txbxContent>
            </v:textbox>
            <w10:wrap type="none"/>
          </v:shape>
        </w:pict>
      </w:r>
      <w:r>
        <w:rPr>
          <w:b/>
          <w:w w:val="90"/>
          <w:sz w:val="14"/>
        </w:rPr>
        <w:t>Ó:z:+e </w:t>
      </w:r>
      <w:r>
        <w:rPr>
          <w:rFonts w:ascii="Arial" w:hAnsi="Arial"/>
          <w:w w:val="90"/>
          <w:sz w:val="18"/>
        </w:rPr>
        <w:t>&lt; </w:t>
      </w:r>
      <w:r>
        <w:rPr>
          <w:b/>
          <w:i/>
          <w:w w:val="90"/>
          <w:sz w:val="16"/>
        </w:rPr>
        <w:t>ii:z:+t</w:t>
      </w:r>
    </w:p>
    <w:p>
      <w:pPr>
        <w:tabs>
          <w:tab w:pos="2515" w:val="left" w:leader="none"/>
        </w:tabs>
        <w:spacing w:line="139" w:lineRule="exact" w:before="0"/>
        <w:ind w:left="110" w:right="0" w:firstLine="0"/>
        <w:jc w:val="left"/>
        <w:rPr>
          <w:rFonts w:ascii="Arial"/>
          <w:i/>
          <w:sz w:val="22"/>
        </w:rPr>
      </w:pPr>
      <w:r>
        <w:rPr>
          <w:rFonts w:ascii="Arial"/>
          <w:b/>
          <w:position w:val="3"/>
          <w:sz w:val="19"/>
        </w:rPr>
        <w:t>or</w:t>
        <w:tab/>
      </w:r>
      <w:r>
        <w:rPr>
          <w:rFonts w:ascii="Arial"/>
          <w:i/>
          <w:spacing w:val="-7"/>
          <w:sz w:val="22"/>
        </w:rPr>
        <w:t>-::r</w:t>
      </w:r>
    </w:p>
    <w:p>
      <w:pPr>
        <w:tabs>
          <w:tab w:pos="561" w:val="left" w:leader="none"/>
        </w:tabs>
        <w:spacing w:line="228" w:lineRule="exact" w:before="0"/>
        <w:ind w:left="0" w:right="122" w:firstLine="0"/>
        <w:jc w:val="center"/>
        <w:rPr>
          <w:sz w:val="20"/>
        </w:rPr>
      </w:pPr>
      <w:r>
        <w:rPr>
          <w:rFonts w:ascii="Arial" w:hAnsi="Arial"/>
          <w:i/>
          <w:w w:val="70"/>
          <w:sz w:val="25"/>
        </w:rPr>
        <w:t>ª%</w:t>
        <w:tab/>
      </w:r>
      <w:r>
        <w:rPr>
          <w:w w:val="70"/>
          <w:sz w:val="20"/>
        </w:rPr>
        <w:t>a:z:</w:t>
      </w:r>
    </w:p>
    <w:p>
      <w:pPr>
        <w:tabs>
          <w:tab w:pos="565" w:val="left" w:leader="none"/>
        </w:tabs>
        <w:spacing w:line="92" w:lineRule="exact" w:before="57"/>
        <w:ind w:left="0" w:right="185" w:firstLine="0"/>
        <w:jc w:val="center"/>
        <w:rPr>
          <w:rFonts w:ascii="Arial"/>
          <w:i/>
          <w:sz w:val="9"/>
        </w:rPr>
      </w:pPr>
      <w:r>
        <w:rPr>
          <w:rFonts w:ascii="Arial"/>
          <w:i/>
          <w:w w:val="185"/>
          <w:sz w:val="9"/>
        </w:rPr>
        <w:t>I</w:t>
        <w:tab/>
        <w:t>I</w:t>
      </w:r>
    </w:p>
    <w:p>
      <w:pPr>
        <w:tabs>
          <w:tab w:pos="2344" w:val="left" w:leader="none"/>
        </w:tabs>
        <w:spacing w:line="272" w:lineRule="exact" w:before="0"/>
        <w:ind w:left="114" w:right="0" w:firstLine="0"/>
        <w:jc w:val="left"/>
        <w:rPr>
          <w:sz w:val="27"/>
        </w:rPr>
      </w:pPr>
      <w:r>
        <w:rPr>
          <w:w w:val="104"/>
          <w:position w:val="-9"/>
          <w:sz w:val="21"/>
        </w:rPr>
        <w:t>or</w:t>
      </w:r>
      <w:r>
        <w:rPr>
          <w:position w:val="-9"/>
          <w:sz w:val="21"/>
        </w:rPr>
        <w:tab/>
      </w:r>
      <w:r>
        <w:rPr>
          <w:spacing w:val="-364"/>
          <w:w w:val="218"/>
          <w:position w:val="-12"/>
          <w:sz w:val="27"/>
        </w:rPr>
        <w:t>-</w:t>
      </w:r>
      <w:r>
        <w:rPr>
          <w:i/>
          <w:w w:val="98"/>
          <w:sz w:val="17"/>
        </w:rPr>
        <w:t>l</w:t>
      </w:r>
      <w:r>
        <w:rPr>
          <w:i/>
          <w:spacing w:val="-47"/>
          <w:w w:val="98"/>
          <w:sz w:val="17"/>
        </w:rPr>
        <w:t>l</w:t>
      </w:r>
      <w:r>
        <w:rPr>
          <w:w w:val="46"/>
          <w:position w:val="-12"/>
          <w:sz w:val="27"/>
        </w:rPr>
        <w:t>.</w:t>
      </w:r>
      <w:r>
        <w:rPr>
          <w:spacing w:val="-16"/>
          <w:w w:val="46"/>
          <w:position w:val="-12"/>
          <w:sz w:val="27"/>
        </w:rPr>
        <w:t>.</w:t>
      </w:r>
      <w:r>
        <w:rPr>
          <w:i/>
          <w:spacing w:val="-2"/>
          <w:w w:val="98"/>
          <w:sz w:val="17"/>
        </w:rPr>
        <w:t>z</w:t>
      </w:r>
      <w:r>
        <w:rPr>
          <w:spacing w:val="-211"/>
          <w:w w:val="224"/>
          <w:position w:val="-12"/>
          <w:sz w:val="27"/>
        </w:rPr>
        <w:t>-</w:t>
      </w:r>
      <w:r>
        <w:rPr>
          <w:i/>
          <w:w w:val="98"/>
          <w:sz w:val="17"/>
        </w:rPr>
        <w:t>+</w:t>
      </w:r>
      <w:r>
        <w:rPr>
          <w:i/>
          <w:w w:val="98"/>
          <w:sz w:val="17"/>
        </w:rPr>
        <w:t>i</w:t>
      </w:r>
      <w:r>
        <w:rPr>
          <w:i/>
          <w:sz w:val="17"/>
        </w:rPr>
        <w:t> </w:t>
      </w:r>
      <w:r>
        <w:rPr>
          <w:i/>
          <w:spacing w:val="-8"/>
          <w:sz w:val="17"/>
        </w:rPr>
        <w:t> </w:t>
      </w:r>
      <w:r>
        <w:rPr>
          <w:spacing w:val="-95"/>
          <w:w w:val="102"/>
          <w:sz w:val="17"/>
        </w:rPr>
        <w:t>&lt;</w:t>
      </w:r>
      <w:r>
        <w:rPr>
          <w:w w:val="60"/>
          <w:position w:val="-12"/>
          <w:sz w:val="27"/>
        </w:rPr>
        <w:t>&gt;</w:t>
      </w:r>
      <w:r>
        <w:rPr>
          <w:spacing w:val="1"/>
          <w:position w:val="-12"/>
          <w:sz w:val="27"/>
        </w:rPr>
        <w:t> </w:t>
      </w:r>
      <w:r>
        <w:rPr>
          <w:rFonts w:ascii="Arial" w:hAnsi="Arial"/>
          <w:b/>
          <w:i/>
          <w:spacing w:val="-74"/>
          <w:w w:val="80"/>
          <w:sz w:val="17"/>
        </w:rPr>
        <w:t>d</w:t>
      </w:r>
      <w:r>
        <w:rPr>
          <w:w w:val="47"/>
          <w:position w:val="-12"/>
          <w:sz w:val="27"/>
        </w:rPr>
        <w:t>-</w:t>
      </w:r>
      <w:r>
        <w:rPr>
          <w:spacing w:val="-6"/>
          <w:w w:val="47"/>
          <w:position w:val="-12"/>
          <w:sz w:val="27"/>
        </w:rPr>
        <w:t>:</w:t>
      </w:r>
      <w:r>
        <w:rPr>
          <w:rFonts w:ascii="Arial" w:hAnsi="Arial"/>
          <w:b/>
          <w:i/>
          <w:spacing w:val="-33"/>
          <w:w w:val="80"/>
          <w:sz w:val="17"/>
        </w:rPr>
        <w:t>,</w:t>
      </w:r>
      <w:r>
        <w:rPr>
          <w:spacing w:val="-4"/>
          <w:w w:val="47"/>
          <w:position w:val="-12"/>
          <w:sz w:val="27"/>
        </w:rPr>
        <w:t>:</w:t>
      </w:r>
      <w:r>
        <w:rPr>
          <w:rFonts w:ascii="Arial" w:hAnsi="Arial"/>
          <w:b/>
          <w:i/>
          <w:spacing w:val="-43"/>
          <w:w w:val="80"/>
          <w:sz w:val="17"/>
        </w:rPr>
        <w:t>:</w:t>
      </w:r>
      <w:r>
        <w:rPr>
          <w:w w:val="47"/>
          <w:position w:val="-12"/>
          <w:sz w:val="27"/>
        </w:rPr>
        <w:t>­</w:t>
      </w:r>
    </w:p>
    <w:p>
      <w:pPr>
        <w:tabs>
          <w:tab w:pos="565" w:val="left" w:leader="none"/>
        </w:tabs>
        <w:spacing w:line="177" w:lineRule="exact" w:before="0"/>
        <w:ind w:left="0" w:right="283" w:firstLine="0"/>
        <w:jc w:val="center"/>
        <w:rPr>
          <w:i/>
          <w:sz w:val="21"/>
        </w:rPr>
      </w:pPr>
      <w:r>
        <w:rPr>
          <w:sz w:val="14"/>
        </w:rPr>
        <w:t>ª..r-H</w:t>
        <w:tab/>
      </w:r>
      <w:r>
        <w:rPr>
          <w:i/>
          <w:sz w:val="21"/>
        </w:rPr>
        <w:t>az</w:t>
      </w:r>
    </w:p>
    <w:p>
      <w:pPr>
        <w:spacing w:before="65"/>
        <w:ind w:left="0" w:right="1330" w:firstLine="0"/>
        <w:jc w:val="right"/>
        <w:rPr>
          <w:i/>
          <w:sz w:val="9"/>
        </w:rPr>
      </w:pPr>
      <w:r>
        <w:rPr>
          <w:i/>
          <w:w w:val="107"/>
          <w:sz w:val="9"/>
        </w:rPr>
        <w:t>I</w:t>
      </w:r>
    </w:p>
    <w:p>
      <w:pPr>
        <w:spacing w:line="197" w:lineRule="exact" w:before="29"/>
        <w:ind w:left="121" w:right="0" w:firstLine="0"/>
        <w:jc w:val="both"/>
        <w:rPr>
          <w:sz w:val="21"/>
        </w:rPr>
      </w:pPr>
      <w:r>
        <w:rPr>
          <w:sz w:val="21"/>
        </w:rPr>
        <w:t>Here it is only necessary  to calculate the values of   </w:t>
      </w:r>
      <w:r>
        <w:rPr>
          <w:sz w:val="12"/>
        </w:rPr>
        <w:t>z  </w:t>
      </w:r>
      <w:r>
        <w:rPr>
          <w:sz w:val="21"/>
        </w:rPr>
        <w:t>for all   values</w:t>
      </w:r>
    </w:p>
    <w:p>
      <w:pPr>
        <w:spacing w:line="176" w:lineRule="exact" w:before="0"/>
        <w:ind w:left="0" w:right="1313" w:firstLine="0"/>
        <w:jc w:val="right"/>
        <w:rPr>
          <w:b/>
          <w:i/>
          <w:sz w:val="20"/>
        </w:rPr>
      </w:pPr>
      <w:r>
        <w:rPr>
          <w:b/>
          <w:i/>
          <w:w w:val="90"/>
          <w:sz w:val="20"/>
        </w:rPr>
        <w:t>az</w:t>
      </w:r>
    </w:p>
    <w:p>
      <w:pPr>
        <w:spacing w:line="240" w:lineRule="auto" w:before="0"/>
        <w:ind w:left="121" w:right="107" w:hanging="4"/>
        <w:jc w:val="both"/>
        <w:rPr>
          <w:sz w:val="21"/>
        </w:rPr>
      </w:pPr>
      <w:r>
        <w:rPr>
          <w:sz w:val="21"/>
        </w:rPr>
        <w:t>of </w:t>
      </w:r>
      <w:r>
        <w:rPr>
          <w:i/>
          <w:sz w:val="21"/>
        </w:rPr>
        <w:t>x, </w:t>
      </w:r>
      <w:r>
        <w:rPr>
          <w:sz w:val="21"/>
        </w:rPr>
        <w:t>and a simple inspection of these values then shows the ages  and durations  at  which  ordinary  life  reserves  on  the  special basis exceed  those on the standard  basis.  The criterion </w:t>
      </w:r>
      <w:r>
        <w:rPr>
          <w:spacing w:val="5"/>
          <w:sz w:val="21"/>
        </w:rPr>
        <w:t> </w:t>
      </w:r>
      <w:r>
        <w:rPr>
          <w:sz w:val="21"/>
        </w:rPr>
        <w:t>is</w:t>
      </w:r>
    </w:p>
    <w:p>
      <w:pPr>
        <w:spacing w:after="0" w:line="240" w:lineRule="auto"/>
        <w:jc w:val="both"/>
        <w:rPr>
          <w:sz w:val="21"/>
        </w:rPr>
        <w:sectPr>
          <w:type w:val="continuous"/>
          <w:pgSz w:w="7200" w:h="11340"/>
          <w:pgMar w:top="1100" w:bottom="0" w:left="660" w:right="540"/>
        </w:sectPr>
      </w:pPr>
    </w:p>
    <w:p>
      <w:pPr>
        <w:tabs>
          <w:tab w:pos="2446" w:val="left" w:leader="none"/>
        </w:tabs>
        <w:spacing w:before="196"/>
        <w:ind w:left="1240" w:right="0" w:firstLine="0"/>
        <w:jc w:val="left"/>
        <w:rPr>
          <w:sz w:val="21"/>
        </w:rPr>
      </w:pPr>
      <w:r>
        <w:rPr/>
        <w:pict>
          <v:shape style="position:absolute;margin-left:106.019997pt;margin-top:9.569773pt;width:11.6pt;height:9pt;mso-position-horizontal-relative:page;mso-position-vertical-relative:paragraph;z-index:-725128" type="#_x0000_t202" filled="false" stroked="false">
            <v:textbox inset="0,0,0,0">
              <w:txbxContent>
                <w:p>
                  <w:pPr>
                    <w:spacing w:line="180" w:lineRule="exact" w:before="0"/>
                    <w:ind w:left="0" w:right="-9" w:firstLine="0"/>
                    <w:jc w:val="left"/>
                    <w:rPr>
                      <w:sz w:val="18"/>
                    </w:rPr>
                  </w:pPr>
                  <w:r>
                    <w:rPr>
                      <w:i/>
                      <w:sz w:val="11"/>
                    </w:rPr>
                    <w:t>I   </w:t>
                  </w:r>
                  <w:r>
                    <w:rPr>
                      <w:sz w:val="18"/>
                    </w:rPr>
                    <w:t>&gt;</w:t>
                  </w:r>
                </w:p>
              </w:txbxContent>
            </v:textbox>
            <w10:wrap type="none"/>
          </v:shape>
        </w:pict>
      </w:r>
      <w:r>
        <w:rPr>
          <w:i/>
          <w:sz w:val="20"/>
        </w:rPr>
        <w:t>,Vz</w:t>
      </w:r>
      <w:r>
        <w:rPr>
          <w:i/>
          <w:spacing w:val="-20"/>
          <w:sz w:val="20"/>
        </w:rPr>
        <w:t> </w:t>
      </w:r>
      <w:r>
        <w:rPr>
          <w:rFonts w:ascii="Arial"/>
          <w:sz w:val="28"/>
        </w:rPr>
        <w:t>&lt;</w:t>
      </w:r>
      <w:r>
        <w:rPr>
          <w:rFonts w:ascii="Arial"/>
          <w:spacing w:val="-48"/>
          <w:sz w:val="28"/>
        </w:rPr>
        <w:t> </w:t>
      </w:r>
      <w:r>
        <w:rPr>
          <w:sz w:val="25"/>
        </w:rPr>
        <w:t>,Va:</w:t>
        <w:tab/>
      </w:r>
      <w:r>
        <w:rPr>
          <w:position w:val="2"/>
          <w:sz w:val="21"/>
        </w:rPr>
        <w:t>according</w:t>
      </w:r>
      <w:r>
        <w:rPr>
          <w:spacing w:val="22"/>
          <w:position w:val="2"/>
          <w:sz w:val="21"/>
        </w:rPr>
        <w:t> </w:t>
      </w:r>
      <w:r>
        <w:rPr>
          <w:position w:val="2"/>
          <w:sz w:val="21"/>
        </w:rPr>
        <w:t>as</w:t>
      </w:r>
    </w:p>
    <w:p>
      <w:pPr>
        <w:pStyle w:val="BodyText"/>
        <w:spacing w:before="2"/>
        <w:rPr>
          <w:sz w:val="8"/>
        </w:rPr>
      </w:pPr>
      <w:r>
        <w:rPr/>
        <w:br w:type="column"/>
      </w:r>
      <w:r>
        <w:rPr>
          <w:sz w:val="8"/>
        </w:rPr>
      </w:r>
    </w:p>
    <w:p>
      <w:pPr>
        <w:tabs>
          <w:tab w:pos="1023" w:val="left" w:leader="none"/>
        </w:tabs>
        <w:spacing w:line="98" w:lineRule="exact" w:before="0"/>
        <w:ind w:left="458" w:right="1174" w:firstLine="0"/>
        <w:jc w:val="left"/>
        <w:rPr>
          <w:rFonts w:ascii="Arial"/>
          <w:i/>
          <w:sz w:val="10"/>
        </w:rPr>
      </w:pPr>
      <w:r>
        <w:rPr>
          <w:rFonts w:ascii="Arial"/>
          <w:i/>
          <w:w w:val="175"/>
          <w:sz w:val="10"/>
        </w:rPr>
        <w:t>I</w:t>
        <w:tab/>
        <w:t>I</w:t>
      </w:r>
    </w:p>
    <w:p>
      <w:pPr>
        <w:spacing w:line="168" w:lineRule="auto" w:before="33"/>
        <w:ind w:left="350" w:right="1174" w:firstLine="0"/>
        <w:jc w:val="left"/>
        <w:rPr>
          <w:sz w:val="18"/>
        </w:rPr>
      </w:pPr>
      <w:r>
        <w:rPr/>
        <w:pict>
          <v:line style="position:absolute;mso-position-horizontal-relative:page;mso-position-vertical-relative:paragraph;z-index:-725176" from="234pt,19.501650pt" to="236.88pt,19.501650pt" stroked="true" strokeweight=".9pt" strokecolor="#000000">
            <w10:wrap type="none"/>
          </v:line>
        </w:pict>
      </w:r>
      <w:r>
        <w:rPr>
          <w:rFonts w:ascii="Arial" w:hAnsi="Arial"/>
          <w:b/>
          <w:sz w:val="16"/>
        </w:rPr>
        <w:t>Óz+c </w:t>
      </w:r>
      <w:r>
        <w:rPr>
          <w:sz w:val="18"/>
        </w:rPr>
        <w:t>&lt; </w:t>
      </w:r>
      <w:r>
        <w:rPr>
          <w:b/>
          <w:i/>
          <w:w w:val="105"/>
          <w:sz w:val="16"/>
        </w:rPr>
        <w:t>dz </w:t>
      </w:r>
      <w:r>
        <w:rPr>
          <w:b/>
          <w:i/>
          <w:sz w:val="16"/>
        </w:rPr>
        <w:t>d..r+t </w:t>
      </w:r>
      <w:r>
        <w:rPr>
          <w:rFonts w:ascii="Arial" w:hAnsi="Arial"/>
          <w:sz w:val="27"/>
        </w:rPr>
        <w:t>&gt;</w:t>
      </w:r>
      <w:r>
        <w:rPr>
          <w:rFonts w:ascii="Arial" w:hAnsi="Arial"/>
          <w:spacing w:val="-52"/>
          <w:sz w:val="27"/>
        </w:rPr>
        <w:t> </w:t>
      </w:r>
      <w:r>
        <w:rPr>
          <w:b/>
          <w:sz w:val="18"/>
          <w:u w:val="single"/>
        </w:rPr>
        <w:t>dz </w:t>
      </w:r>
      <w:r>
        <w:rPr>
          <w:w w:val="145"/>
          <w:sz w:val="18"/>
        </w:rPr>
        <w:t>·</w:t>
      </w:r>
    </w:p>
    <w:p>
      <w:pPr>
        <w:spacing w:after="0" w:line="168" w:lineRule="auto"/>
        <w:jc w:val="left"/>
        <w:rPr>
          <w:sz w:val="18"/>
        </w:rPr>
        <w:sectPr>
          <w:type w:val="continuous"/>
          <w:pgSz w:w="7200" w:h="11340"/>
          <w:pgMar w:top="1100" w:bottom="0" w:left="660" w:right="540"/>
          <w:cols w:num="2" w:equalWidth="0">
            <w:col w:w="3525" w:space="40"/>
            <w:col w:w="2435"/>
          </w:cols>
        </w:sectPr>
      </w:pPr>
    </w:p>
    <w:p>
      <w:pPr>
        <w:spacing w:before="109"/>
        <w:ind w:left="326" w:right="0" w:firstLine="0"/>
        <w:jc w:val="left"/>
        <w:rPr>
          <w:sz w:val="21"/>
        </w:rPr>
      </w:pPr>
      <w:r>
        <w:rPr>
          <w:sz w:val="21"/>
        </w:rPr>
        <w:t>There is a similar criterion for endowment  insurance. </w:t>
      </w:r>
      <w:r>
        <w:rPr>
          <w:spacing w:val="50"/>
          <w:sz w:val="21"/>
        </w:rPr>
        <w:t> </w:t>
      </w:r>
      <w:r>
        <w:rPr>
          <w:sz w:val="21"/>
        </w:rPr>
        <w:t>Thus,</w:t>
      </w:r>
    </w:p>
    <w:p>
      <w:pPr>
        <w:tabs>
          <w:tab w:pos="3832" w:val="left" w:leader="none"/>
        </w:tabs>
        <w:spacing w:before="113"/>
        <w:ind w:left="2382" w:right="0" w:firstLine="0"/>
        <w:jc w:val="left"/>
        <w:rPr>
          <w:sz w:val="21"/>
        </w:rPr>
      </w:pPr>
      <w:r>
        <w:rPr/>
        <w:drawing>
          <wp:anchor distT="0" distB="0" distL="0" distR="0" allowOverlap="1" layoutInCell="1" locked="0" behindDoc="0" simplePos="0" relativeHeight="10840">
            <wp:simplePos x="0" y="0"/>
            <wp:positionH relativeFrom="page">
              <wp:posOffset>914400</wp:posOffset>
            </wp:positionH>
            <wp:positionV relativeFrom="paragraph">
              <wp:posOffset>144906</wp:posOffset>
            </wp:positionV>
            <wp:extent cx="758951" cy="173736"/>
            <wp:effectExtent l="0" t="0" r="0" b="0"/>
            <wp:wrapNone/>
            <wp:docPr id="273" name="image142.png" descr=""/>
            <wp:cNvGraphicFramePr>
              <a:graphicFrameLocks noChangeAspect="1"/>
            </wp:cNvGraphicFramePr>
            <a:graphic>
              <a:graphicData uri="http://schemas.openxmlformats.org/drawingml/2006/picture">
                <pic:pic>
                  <pic:nvPicPr>
                    <pic:cNvPr id="274" name="image142.png"/>
                    <pic:cNvPicPr/>
                  </pic:nvPicPr>
                  <pic:blipFill>
                    <a:blip r:embed="rId146" cstate="print"/>
                    <a:stretch>
                      <a:fillRect/>
                    </a:stretch>
                  </pic:blipFill>
                  <pic:spPr>
                    <a:xfrm>
                      <a:off x="0" y="0"/>
                      <a:ext cx="758951" cy="173736"/>
                    </a:xfrm>
                    <a:prstGeom prst="rect">
                      <a:avLst/>
                    </a:prstGeom>
                  </pic:spPr>
                </pic:pic>
              </a:graphicData>
            </a:graphic>
          </wp:anchor>
        </w:drawing>
      </w:r>
      <w:r>
        <w:rPr>
          <w:sz w:val="21"/>
        </w:rPr>
        <w:t>according</w:t>
      </w:r>
      <w:r>
        <w:rPr>
          <w:spacing w:val="22"/>
          <w:sz w:val="21"/>
        </w:rPr>
        <w:t> </w:t>
      </w:r>
      <w:r>
        <w:rPr>
          <w:sz w:val="21"/>
        </w:rPr>
        <w:t>as</w:t>
        <w:tab/>
      </w:r>
      <w:r>
        <w:rPr>
          <w:position w:val="-17"/>
          <w:sz w:val="21"/>
        </w:rPr>
        <w:drawing>
          <wp:inline distT="0" distB="0" distL="0" distR="0">
            <wp:extent cx="896112" cy="320039"/>
            <wp:effectExtent l="0" t="0" r="0" b="0"/>
            <wp:docPr id="275" name="image143.png" descr=""/>
            <wp:cNvGraphicFramePr>
              <a:graphicFrameLocks noChangeAspect="1"/>
            </wp:cNvGraphicFramePr>
            <a:graphic>
              <a:graphicData uri="http://schemas.openxmlformats.org/drawingml/2006/picture">
                <pic:pic>
                  <pic:nvPicPr>
                    <pic:cNvPr id="276" name="image143.png"/>
                    <pic:cNvPicPr/>
                  </pic:nvPicPr>
                  <pic:blipFill>
                    <a:blip r:embed="rId147" cstate="print"/>
                    <a:stretch>
                      <a:fillRect/>
                    </a:stretch>
                  </pic:blipFill>
                  <pic:spPr>
                    <a:xfrm>
                      <a:off x="0" y="0"/>
                      <a:ext cx="896112" cy="320039"/>
                    </a:xfrm>
                    <a:prstGeom prst="rect">
                      <a:avLst/>
                    </a:prstGeom>
                  </pic:spPr>
                </pic:pic>
              </a:graphicData>
            </a:graphic>
          </wp:inline>
        </w:drawing>
      </w:r>
      <w:r>
        <w:rPr>
          <w:position w:val="-17"/>
          <w:sz w:val="21"/>
        </w:rPr>
      </w:r>
    </w:p>
    <w:p>
      <w:pPr>
        <w:spacing w:line="242" w:lineRule="auto" w:before="102"/>
        <w:ind w:left="128" w:right="241" w:hanging="4"/>
        <w:jc w:val="left"/>
        <w:rPr>
          <w:sz w:val="21"/>
        </w:rPr>
      </w:pPr>
      <w:r>
        <w:rPr>
          <w:sz w:val="21"/>
        </w:rPr>
        <w:t>These criteria apply equally  to changes in  interest,  or mortality,  or</w:t>
      </w:r>
      <w:r>
        <w:rPr>
          <w:spacing w:val="30"/>
          <w:sz w:val="21"/>
        </w:rPr>
        <w:t> </w:t>
      </w:r>
      <w:r>
        <w:rPr>
          <w:sz w:val="21"/>
        </w:rPr>
        <w:t>both.</w:t>
      </w:r>
    </w:p>
    <w:p>
      <w:pPr>
        <w:spacing w:line="237" w:lineRule="auto" w:before="0"/>
        <w:ind w:left="124" w:right="110" w:firstLine="198"/>
        <w:jc w:val="both"/>
        <w:rPr>
          <w:sz w:val="21"/>
        </w:rPr>
      </w:pPr>
      <w:r>
        <w:rPr>
          <w:sz w:val="21"/>
        </w:rPr>
        <w:t>A problem of somc interest </w:t>
      </w:r>
      <w:r>
        <w:rPr>
          <w:rFonts w:ascii="Arial"/>
          <w:sz w:val="20"/>
        </w:rPr>
        <w:t>is </w:t>
      </w:r>
      <w:r>
        <w:rPr>
          <w:sz w:val="21"/>
        </w:rPr>
        <w:t>to determine the condition under which two different mortality tables produce  identical  reserves  over a given interval. Suppose that  an ordinary  life policy  issued  at age </w:t>
      </w:r>
      <w:r>
        <w:rPr>
          <w:rFonts w:ascii="Arial"/>
          <w:i/>
          <w:sz w:val="18"/>
        </w:rPr>
        <w:t>x </w:t>
      </w:r>
      <w:r>
        <w:rPr>
          <w:sz w:val="21"/>
        </w:rPr>
        <w:t>has identical terminal reserves for the first </w:t>
      </w:r>
      <w:r>
        <w:rPr>
          <w:rFonts w:ascii="Arial"/>
          <w:i/>
          <w:sz w:val="18"/>
        </w:rPr>
        <w:t>m </w:t>
      </w:r>
      <w:r>
        <w:rPr>
          <w:sz w:val="21"/>
        </w:rPr>
        <w:t>years on two diff erent mortality bases, the rate of interest being  the same on  both  bases.</w:t>
      </w:r>
      <w:r>
        <w:rPr>
          <w:spacing w:val="17"/>
          <w:sz w:val="21"/>
        </w:rPr>
        <w:t> </w:t>
      </w:r>
      <w:r>
        <w:rPr>
          <w:sz w:val="21"/>
        </w:rPr>
        <w:t>Then,</w:t>
      </w:r>
    </w:p>
    <w:p>
      <w:pPr>
        <w:tabs>
          <w:tab w:pos="4923" w:val="left" w:leader="none"/>
          <w:tab w:pos="5355" w:val="left" w:leader="none"/>
          <w:tab w:pos="5737" w:val="left" w:leader="none"/>
        </w:tabs>
        <w:spacing w:before="12"/>
        <w:ind w:left="2673" w:right="0" w:firstLine="0"/>
        <w:jc w:val="left"/>
        <w:rPr>
          <w:rFonts w:ascii="Arial"/>
          <w:i/>
          <w:sz w:val="18"/>
        </w:rPr>
      </w:pPr>
      <w:r>
        <w:rPr>
          <w:rFonts w:ascii="Arial"/>
          <w:i/>
          <w:position w:val="1"/>
          <w:sz w:val="32"/>
        </w:rPr>
        <w:t>,v;</w:t>
      </w:r>
      <w:r>
        <w:rPr>
          <w:rFonts w:ascii="Arial"/>
          <w:i/>
          <w:spacing w:val="-17"/>
          <w:position w:val="1"/>
          <w:sz w:val="32"/>
        </w:rPr>
        <w:t> </w:t>
      </w:r>
      <w:r>
        <w:rPr>
          <w:rFonts w:ascii="Arial"/>
          <w:w w:val="140"/>
          <w:position w:val="1"/>
          <w:sz w:val="17"/>
        </w:rPr>
        <w:t>=</w:t>
      </w:r>
      <w:r>
        <w:rPr>
          <w:rFonts w:ascii="Arial"/>
          <w:spacing w:val="8"/>
          <w:w w:val="140"/>
          <w:position w:val="1"/>
          <w:sz w:val="17"/>
        </w:rPr>
        <w:t> </w:t>
      </w:r>
      <w:r>
        <w:rPr>
          <w:i/>
          <w:position w:val="1"/>
          <w:sz w:val="20"/>
        </w:rPr>
        <w:t>,Vz</w:t>
        <w:tab/>
      </w:r>
      <w:r>
        <w:rPr>
          <w:sz w:val="21"/>
        </w:rPr>
        <w:t>O</w:t>
        <w:tab/>
      </w:r>
      <w:r>
        <w:rPr>
          <w:i/>
          <w:sz w:val="22"/>
        </w:rPr>
        <w:t>t</w:t>
        <w:tab/>
      </w:r>
      <w:r>
        <w:rPr>
          <w:rFonts w:ascii="Arial"/>
          <w:i/>
          <w:sz w:val="18"/>
        </w:rPr>
        <w:t>m</w:t>
      </w:r>
    </w:p>
    <w:p>
      <w:pPr>
        <w:tabs>
          <w:tab w:pos="792" w:val="left" w:leader="none"/>
        </w:tabs>
        <w:spacing w:line="78" w:lineRule="exact" w:before="77"/>
        <w:ind w:left="137" w:right="0" w:firstLine="0"/>
        <w:jc w:val="center"/>
        <w:rPr>
          <w:rFonts w:ascii="Arial"/>
          <w:i/>
          <w:sz w:val="9"/>
        </w:rPr>
      </w:pPr>
      <w:r>
        <w:rPr>
          <w:rFonts w:ascii="Arial"/>
          <w:i/>
          <w:w w:val="185"/>
          <w:sz w:val="9"/>
        </w:rPr>
        <w:t>I</w:t>
        <w:tab/>
        <w:t>I</w:t>
      </w:r>
    </w:p>
    <w:p>
      <w:pPr>
        <w:spacing w:after="0" w:line="78" w:lineRule="exact"/>
        <w:jc w:val="center"/>
        <w:rPr>
          <w:rFonts w:ascii="Arial"/>
          <w:sz w:val="9"/>
        </w:rPr>
        <w:sectPr>
          <w:type w:val="continuous"/>
          <w:pgSz w:w="7200" w:h="11340"/>
          <w:pgMar w:top="1100" w:bottom="0" w:left="660" w:right="540"/>
        </w:sectPr>
      </w:pPr>
    </w:p>
    <w:p>
      <w:pPr>
        <w:tabs>
          <w:tab w:pos="2605" w:val="left" w:leader="none"/>
        </w:tabs>
        <w:spacing w:line="229" w:lineRule="exact" w:before="24"/>
        <w:ind w:left="128" w:right="0" w:firstLine="0"/>
        <w:jc w:val="left"/>
        <w:rPr>
          <w:i/>
          <w:sz w:val="15"/>
        </w:rPr>
      </w:pPr>
      <w:r>
        <w:rPr>
          <w:w w:val="105"/>
          <w:position w:val="-7"/>
          <w:sz w:val="21"/>
        </w:rPr>
        <w:t>and</w:t>
        <w:tab/>
      </w:r>
      <w:r>
        <w:rPr>
          <w:i/>
          <w:sz w:val="15"/>
        </w:rPr>
        <w:t>Óz+t</w:t>
      </w:r>
    </w:p>
    <w:p>
      <w:pPr>
        <w:spacing w:line="142" w:lineRule="exact" w:before="0"/>
        <w:ind w:left="303" w:right="0" w:firstLine="0"/>
        <w:jc w:val="left"/>
        <w:rPr>
          <w:rFonts w:ascii="Arial"/>
          <w:sz w:val="19"/>
        </w:rPr>
      </w:pPr>
      <w:r>
        <w:rPr/>
        <w:br w:type="column"/>
      </w:r>
      <w:r>
        <w:rPr>
          <w:rFonts w:ascii="Arial"/>
          <w:w w:val="95"/>
          <w:sz w:val="19"/>
        </w:rPr>
        <w:t>tiz</w:t>
      </w:r>
    </w:p>
    <w:p>
      <w:pPr>
        <w:tabs>
          <w:tab w:pos="1905" w:val="left" w:leader="none"/>
          <w:tab w:pos="2337" w:val="left" w:leader="none"/>
          <w:tab w:pos="2722" w:val="left" w:leader="none"/>
        </w:tabs>
        <w:spacing w:line="112" w:lineRule="exact" w:before="0"/>
        <w:ind w:left="69" w:right="0" w:firstLine="0"/>
        <w:jc w:val="left"/>
        <w:rPr>
          <w:rFonts w:ascii="Arial"/>
          <w:i/>
          <w:sz w:val="18"/>
        </w:rPr>
      </w:pPr>
      <w:r>
        <w:rPr>
          <w:rFonts w:ascii="Arial"/>
          <w:w w:val="145"/>
          <w:sz w:val="17"/>
        </w:rPr>
        <w:t>=</w:t>
      </w:r>
      <w:r>
        <w:rPr>
          <w:rFonts w:ascii="Arial"/>
          <w:spacing w:val="13"/>
          <w:w w:val="145"/>
          <w:sz w:val="17"/>
        </w:rPr>
        <w:t> </w:t>
      </w:r>
      <w:r>
        <w:rPr>
          <w:rFonts w:ascii="Arial"/>
          <w:w w:val="265"/>
          <w:sz w:val="17"/>
        </w:rPr>
        <w:t>-</w:t>
        <w:tab/>
      </w:r>
      <w:r>
        <w:rPr>
          <w:rFonts w:ascii="Arial"/>
          <w:i/>
          <w:position w:val="1"/>
          <w:sz w:val="18"/>
        </w:rPr>
        <w:t>O</w:t>
        <w:tab/>
        <w:t>t</w:t>
        <w:tab/>
        <w:t>m.</w:t>
      </w:r>
    </w:p>
    <w:p>
      <w:pPr>
        <w:spacing w:after="0" w:line="112" w:lineRule="exact"/>
        <w:jc w:val="left"/>
        <w:rPr>
          <w:rFonts w:ascii="Arial"/>
          <w:sz w:val="18"/>
        </w:rPr>
        <w:sectPr>
          <w:type w:val="continuous"/>
          <w:pgSz w:w="7200" w:h="11340"/>
          <w:pgMar w:top="1100" w:bottom="0" w:left="660" w:right="540"/>
          <w:cols w:num="2" w:equalWidth="0">
            <w:col w:w="2921" w:space="40"/>
            <w:col w:w="3039"/>
          </w:cols>
        </w:sectPr>
      </w:pPr>
    </w:p>
    <w:p>
      <w:pPr>
        <w:tabs>
          <w:tab w:pos="696" w:val="left" w:leader="none"/>
        </w:tabs>
        <w:spacing w:line="185" w:lineRule="exact" w:before="0"/>
        <w:ind w:left="34" w:right="0" w:firstLine="0"/>
        <w:jc w:val="center"/>
        <w:rPr>
          <w:rFonts w:ascii="Arial"/>
          <w:b/>
          <w:sz w:val="17"/>
        </w:rPr>
      </w:pPr>
      <w:r>
        <w:rPr>
          <w:b/>
          <w:i/>
          <w:sz w:val="17"/>
        </w:rPr>
        <w:t>iiz+t</w:t>
        <w:tab/>
      </w:r>
      <w:r>
        <w:rPr>
          <w:rFonts w:ascii="Arial"/>
          <w:b/>
          <w:position w:val="1"/>
          <w:sz w:val="17"/>
        </w:rPr>
        <w:t>&lt;iz</w:t>
      </w:r>
    </w:p>
    <w:p>
      <w:pPr>
        <w:spacing w:line="252" w:lineRule="exact" w:before="146"/>
        <w:ind w:left="91" w:right="87" w:firstLine="0"/>
        <w:jc w:val="center"/>
        <w:rPr>
          <w:sz w:val="21"/>
        </w:rPr>
      </w:pPr>
      <w:r>
        <w:rPr>
          <w:w w:val="105"/>
          <w:sz w:val="21"/>
        </w:rPr>
        <w:t>This implies that  the ratio </w:t>
      </w:r>
      <w:r>
        <w:rPr>
          <w:i/>
          <w:w w:val="105"/>
          <w:sz w:val="27"/>
        </w:rPr>
        <w:t>a' </w:t>
      </w:r>
      <w:r>
        <w:rPr>
          <w:w w:val="105"/>
          <w:sz w:val="21"/>
        </w:rPr>
        <w:t>is constant  over  the  interval,  and</w:t>
      </w:r>
    </w:p>
    <w:p>
      <w:pPr>
        <w:spacing w:line="194" w:lineRule="exact" w:before="0"/>
        <w:ind w:left="0" w:right="627" w:firstLine="0"/>
        <w:jc w:val="center"/>
        <w:rPr>
          <w:rFonts w:ascii="Arial"/>
          <w:i/>
          <w:sz w:val="22"/>
        </w:rPr>
      </w:pPr>
      <w:r>
        <w:rPr>
          <w:rFonts w:ascii="Arial"/>
          <w:i/>
          <w:w w:val="89"/>
          <w:sz w:val="22"/>
        </w:rPr>
        <w:t>a</w:t>
      </w:r>
    </w:p>
    <w:p>
      <w:pPr>
        <w:spacing w:after="0" w:line="194" w:lineRule="exact"/>
        <w:jc w:val="center"/>
        <w:rPr>
          <w:rFonts w:ascii="Arial"/>
          <w:sz w:val="22"/>
        </w:rPr>
        <w:sectPr>
          <w:type w:val="continuous"/>
          <w:pgSz w:w="7200" w:h="11340"/>
          <w:pgMar w:top="1100" w:bottom="0" w:left="660" w:right="540"/>
        </w:sectPr>
      </w:pPr>
    </w:p>
    <w:p>
      <w:pPr>
        <w:tabs>
          <w:tab w:pos="1631" w:val="left" w:leader="none"/>
          <w:tab w:pos="5404" w:val="left" w:leader="none"/>
        </w:tabs>
        <w:spacing w:before="69"/>
        <w:ind w:left="155" w:right="0" w:firstLine="0"/>
        <w:jc w:val="left"/>
        <w:rPr>
          <w:rFonts w:ascii="Arial"/>
          <w:sz w:val="19"/>
        </w:rPr>
      </w:pPr>
      <w:r>
        <w:rPr>
          <w:sz w:val="19"/>
        </w:rPr>
        <w:t>122</w:t>
        <w:tab/>
      </w:r>
      <w:r>
        <w:rPr>
          <w:rFonts w:ascii="Courier New"/>
          <w:b/>
          <w:position w:val="1"/>
          <w:sz w:val="17"/>
        </w:rPr>
        <w:t>NET LEVEL</w:t>
      </w:r>
      <w:r>
        <w:rPr>
          <w:rFonts w:ascii="Courier New"/>
          <w:b/>
          <w:spacing w:val="41"/>
          <w:position w:val="1"/>
          <w:sz w:val="17"/>
        </w:rPr>
        <w:t> </w:t>
      </w:r>
      <w:r>
        <w:rPr>
          <w:rFonts w:ascii="Courier New"/>
          <w:b/>
          <w:position w:val="1"/>
          <w:sz w:val="17"/>
        </w:rPr>
        <w:t>PREMIUM</w:t>
      </w:r>
      <w:r>
        <w:rPr>
          <w:rFonts w:ascii="Courier New"/>
          <w:b/>
          <w:spacing w:val="36"/>
          <w:position w:val="1"/>
          <w:sz w:val="17"/>
        </w:rPr>
        <w:t> </w:t>
      </w:r>
      <w:r>
        <w:rPr>
          <w:rFonts w:ascii="Courier New"/>
          <w:b/>
          <w:position w:val="1"/>
          <w:sz w:val="17"/>
        </w:rPr>
        <w:t>RESERVES</w:t>
        <w:tab/>
      </w:r>
      <w:r>
        <w:rPr>
          <w:w w:val="95"/>
          <w:sz w:val="19"/>
        </w:rPr>
        <w:t>[CH.</w:t>
      </w:r>
      <w:r>
        <w:rPr>
          <w:spacing w:val="-18"/>
          <w:w w:val="95"/>
          <w:sz w:val="19"/>
        </w:rPr>
        <w:t> </w:t>
      </w:r>
      <w:r>
        <w:rPr>
          <w:rFonts w:ascii="Arial"/>
          <w:w w:val="95"/>
          <w:sz w:val="19"/>
        </w:rPr>
        <w:t>5</w:t>
      </w:r>
    </w:p>
    <w:p>
      <w:pPr>
        <w:pStyle w:val="BodyText"/>
        <w:rPr>
          <w:rFonts w:ascii="Arial"/>
          <w:sz w:val="15"/>
        </w:rPr>
      </w:pPr>
    </w:p>
    <w:p>
      <w:pPr>
        <w:spacing w:after="0"/>
        <w:rPr>
          <w:rFonts w:ascii="Arial"/>
          <w:sz w:val="15"/>
        </w:rPr>
        <w:sectPr>
          <w:pgSz w:w="7200" w:h="11340"/>
          <w:pgMar w:top="480" w:bottom="280" w:left="640" w:right="560"/>
        </w:sectPr>
      </w:pPr>
    </w:p>
    <w:p>
      <w:pPr>
        <w:pStyle w:val="BodyText"/>
        <w:spacing w:before="75"/>
        <w:ind w:left="134"/>
      </w:pPr>
      <w:r>
        <w:rPr>
          <w:w w:val="105"/>
        </w:rPr>
        <w:t>we may write</w:t>
      </w:r>
    </w:p>
    <w:p>
      <w:pPr>
        <w:spacing w:line="446" w:lineRule="exact" w:before="271"/>
        <w:ind w:left="155" w:right="0" w:firstLine="0"/>
        <w:jc w:val="left"/>
        <w:rPr>
          <w:i/>
          <w:sz w:val="41"/>
        </w:rPr>
      </w:pPr>
      <w:r>
        <w:rPr/>
        <w:br w:type="column"/>
      </w:r>
      <w:r>
        <w:rPr>
          <w:rFonts w:ascii="Arial" w:hAnsi="Arial"/>
          <w:i/>
          <w:spacing w:val="-2"/>
          <w:w w:val="83"/>
          <w:sz w:val="33"/>
        </w:rPr>
        <w:t>ª</w:t>
      </w:r>
      <w:r>
        <w:rPr>
          <w:rFonts w:ascii="Arial" w:hAnsi="Arial"/>
          <w:i/>
          <w:w w:val="36"/>
          <w:sz w:val="33"/>
        </w:rPr>
        <w:t>"'</w:t>
      </w:r>
      <w:r>
        <w:rPr>
          <w:rFonts w:ascii="Arial" w:hAnsi="Arial"/>
          <w:i/>
          <w:spacing w:val="3"/>
          <w:sz w:val="33"/>
        </w:rPr>
        <w:t> </w:t>
      </w:r>
      <w:r>
        <w:rPr>
          <w:w w:val="104"/>
          <w:sz w:val="23"/>
        </w:rPr>
        <w:t>=</w:t>
      </w:r>
      <w:r>
        <w:rPr>
          <w:sz w:val="23"/>
        </w:rPr>
        <w:t> </w:t>
      </w:r>
      <w:r>
        <w:rPr>
          <w:spacing w:val="19"/>
          <w:sz w:val="23"/>
        </w:rPr>
        <w:t> </w:t>
      </w:r>
      <w:r>
        <w:rPr>
          <w:rFonts w:ascii="Arial" w:hAnsi="Arial"/>
          <w:w w:val="112"/>
          <w:sz w:val="19"/>
        </w:rPr>
        <w:t>(</w:t>
      </w:r>
      <w:r>
        <w:rPr>
          <w:rFonts w:ascii="Arial" w:hAnsi="Arial"/>
          <w:w w:val="112"/>
          <w:sz w:val="19"/>
        </w:rPr>
        <w:t>1</w:t>
      </w:r>
      <w:r>
        <w:rPr>
          <w:rFonts w:ascii="Arial" w:hAnsi="Arial"/>
          <w:spacing w:val="-3"/>
          <w:sz w:val="19"/>
        </w:rPr>
        <w:t> </w:t>
      </w:r>
      <w:r>
        <w:rPr>
          <w:w w:val="101"/>
          <w:sz w:val="29"/>
        </w:rPr>
        <w:t>+</w:t>
      </w:r>
      <w:r>
        <w:rPr>
          <w:spacing w:val="5"/>
          <w:sz w:val="29"/>
        </w:rPr>
        <w:t> </w:t>
      </w:r>
      <w:r>
        <w:rPr>
          <w:rFonts w:ascii="Arial" w:hAnsi="Arial"/>
          <w:i/>
          <w:w w:val="93"/>
          <w:sz w:val="19"/>
        </w:rPr>
        <w:t>k</w:t>
      </w:r>
      <w:r>
        <w:rPr>
          <w:rFonts w:ascii="Arial" w:hAnsi="Arial"/>
          <w:i/>
          <w:spacing w:val="-16"/>
          <w:sz w:val="19"/>
        </w:rPr>
        <w:t> </w:t>
      </w:r>
      <w:r>
        <w:rPr>
          <w:rFonts w:ascii="Arial" w:hAnsi="Arial"/>
          <w:i/>
          <w:w w:val="83"/>
          <w:sz w:val="19"/>
        </w:rPr>
        <w:t>)</w:t>
      </w:r>
      <w:r>
        <w:rPr>
          <w:rFonts w:ascii="Arial" w:hAnsi="Arial"/>
          <w:i/>
          <w:sz w:val="19"/>
        </w:rPr>
        <w:t> </w:t>
      </w:r>
      <w:r>
        <w:rPr>
          <w:rFonts w:ascii="Arial" w:hAnsi="Arial"/>
          <w:i/>
          <w:spacing w:val="-19"/>
          <w:sz w:val="19"/>
        </w:rPr>
        <w:t> </w:t>
      </w:r>
      <w:r>
        <w:rPr>
          <w:i/>
          <w:w w:val="49"/>
          <w:sz w:val="41"/>
        </w:rPr>
        <w:t>a;</w:t>
      </w:r>
    </w:p>
    <w:p>
      <w:pPr>
        <w:tabs>
          <w:tab w:pos="2679" w:val="left" w:leader="none"/>
          <w:tab w:pos="3111" w:val="left" w:leader="none"/>
        </w:tabs>
        <w:spacing w:line="331" w:lineRule="exact" w:before="0"/>
        <w:ind w:left="134" w:right="0" w:firstLine="0"/>
        <w:jc w:val="left"/>
        <w:rPr>
          <w:i/>
          <w:sz w:val="21"/>
        </w:rPr>
      </w:pPr>
      <w:r>
        <w:rPr>
          <w:w w:val="105"/>
          <w:sz w:val="20"/>
        </w:rPr>
        <w:t>where </w:t>
      </w:r>
      <w:r>
        <w:rPr>
          <w:i/>
          <w:w w:val="105"/>
          <w:sz w:val="20"/>
        </w:rPr>
        <w:t>k  </w:t>
      </w:r>
      <w:r>
        <w:rPr>
          <w:w w:val="105"/>
          <w:sz w:val="20"/>
        </w:rPr>
        <w:t>is constant</w:t>
      </w:r>
      <w:r>
        <w:rPr>
          <w:spacing w:val="29"/>
          <w:w w:val="105"/>
          <w:sz w:val="20"/>
        </w:rPr>
        <w:t> </w:t>
      </w:r>
      <w:r>
        <w:rPr>
          <w:w w:val="105"/>
          <w:sz w:val="20"/>
        </w:rPr>
        <w:t>and</w:t>
      </w:r>
      <w:r>
        <w:rPr>
          <w:spacing w:val="14"/>
          <w:w w:val="105"/>
          <w:sz w:val="20"/>
        </w:rPr>
        <w:t> </w:t>
      </w:r>
      <w:r>
        <w:rPr>
          <w:i/>
          <w:w w:val="105"/>
          <w:sz w:val="21"/>
        </w:rPr>
        <w:t>x</w:t>
        <w:tab/>
      </w:r>
      <w:r>
        <w:rPr>
          <w:rFonts w:ascii="Arial"/>
          <w:i/>
          <w:w w:val="105"/>
          <w:sz w:val="17"/>
        </w:rPr>
        <w:t>y</w:t>
        <w:tab/>
      </w:r>
      <w:r>
        <w:rPr>
          <w:i/>
          <w:w w:val="105"/>
          <w:sz w:val="21"/>
        </w:rPr>
        <w:t>x  </w:t>
      </w:r>
      <w:r>
        <w:rPr>
          <w:rFonts w:ascii="Arial"/>
          <w:w w:val="105"/>
          <w:sz w:val="31"/>
        </w:rPr>
        <w:t>+</w:t>
      </w:r>
      <w:r>
        <w:rPr>
          <w:rFonts w:ascii="Arial"/>
          <w:spacing w:val="-45"/>
          <w:w w:val="105"/>
          <w:sz w:val="31"/>
        </w:rPr>
        <w:t> </w:t>
      </w:r>
      <w:r>
        <w:rPr>
          <w:i/>
          <w:w w:val="105"/>
          <w:sz w:val="21"/>
        </w:rPr>
        <w:t>m.</w:t>
      </w:r>
    </w:p>
    <w:p>
      <w:pPr>
        <w:spacing w:after="0" w:line="331" w:lineRule="exact"/>
        <w:jc w:val="left"/>
        <w:rPr>
          <w:sz w:val="21"/>
        </w:rPr>
        <w:sectPr>
          <w:type w:val="continuous"/>
          <w:pgSz w:w="7200" w:h="11340"/>
          <w:pgMar w:top="1100" w:bottom="0" w:left="640" w:right="560"/>
          <w:cols w:num="2" w:equalWidth="0">
            <w:col w:w="1308" w:space="816"/>
            <w:col w:w="3876"/>
          </w:cols>
        </w:sectPr>
      </w:pPr>
    </w:p>
    <w:p>
      <w:pPr>
        <w:tabs>
          <w:tab w:pos="1138" w:val="left" w:leader="none"/>
        </w:tabs>
        <w:spacing w:line="337" w:lineRule="exact" w:before="18"/>
        <w:ind w:left="134" w:right="0" w:firstLine="0"/>
        <w:jc w:val="left"/>
        <w:rPr>
          <w:rFonts w:ascii="Arial"/>
          <w:i/>
          <w:sz w:val="19"/>
        </w:rPr>
      </w:pPr>
      <w:r>
        <w:rPr>
          <w:sz w:val="20"/>
        </w:rPr>
        <w:t>Then</w:t>
        <w:tab/>
      </w:r>
      <w:r>
        <w:rPr>
          <w:w w:val="115"/>
          <w:sz w:val="20"/>
        </w:rPr>
        <w:t>1 </w:t>
      </w:r>
      <w:r>
        <w:rPr>
          <w:rFonts w:ascii="Arial"/>
          <w:sz w:val="31"/>
        </w:rPr>
        <w:t>+ </w:t>
      </w:r>
      <w:r>
        <w:rPr>
          <w:rFonts w:ascii="Arial"/>
          <w:sz w:val="18"/>
        </w:rPr>
        <w:t>vp"'li,,+1 </w:t>
      </w:r>
      <w:r>
        <w:rPr>
          <w:sz w:val="23"/>
        </w:rPr>
        <w:t>=  </w:t>
      </w:r>
      <w:r>
        <w:rPr>
          <w:sz w:val="20"/>
        </w:rPr>
        <w:t>(1 </w:t>
      </w:r>
      <w:r>
        <w:rPr>
          <w:rFonts w:ascii="Arial"/>
          <w:sz w:val="31"/>
        </w:rPr>
        <w:t>+ </w:t>
      </w:r>
      <w:r>
        <w:rPr>
          <w:rFonts w:ascii="Arial"/>
          <w:i/>
          <w:sz w:val="19"/>
        </w:rPr>
        <w:t>k ) </w:t>
      </w:r>
      <w:r>
        <w:rPr>
          <w:rFonts w:ascii="Arial"/>
          <w:sz w:val="31"/>
        </w:rPr>
        <w:t>+ </w:t>
      </w:r>
      <w:r>
        <w:rPr>
          <w:sz w:val="20"/>
        </w:rPr>
        <w:t>(1 </w:t>
      </w:r>
      <w:r>
        <w:rPr>
          <w:rFonts w:ascii="Arial"/>
          <w:sz w:val="31"/>
        </w:rPr>
        <w:t>+ </w:t>
      </w:r>
      <w:r>
        <w:rPr>
          <w:rFonts w:ascii="Arial"/>
          <w:i/>
          <w:sz w:val="19"/>
        </w:rPr>
        <w:t>k )vp;a;+i</w:t>
      </w:r>
      <w:r>
        <w:rPr>
          <w:rFonts w:ascii="Arial"/>
          <w:i/>
          <w:spacing w:val="20"/>
          <w:sz w:val="19"/>
        </w:rPr>
        <w:t> </w:t>
      </w:r>
      <w:r>
        <w:rPr>
          <w:rFonts w:ascii="Arial"/>
          <w:i/>
          <w:w w:val="115"/>
          <w:sz w:val="19"/>
        </w:rPr>
        <w:t>.</w:t>
      </w:r>
    </w:p>
    <w:p>
      <w:pPr>
        <w:spacing w:line="371" w:lineRule="exact" w:before="0"/>
        <w:ind w:left="137" w:right="0" w:firstLine="0"/>
        <w:jc w:val="left"/>
        <w:rPr>
          <w:sz w:val="20"/>
        </w:rPr>
      </w:pPr>
      <w:r>
        <w:rPr>
          <w:sz w:val="20"/>
        </w:rPr>
        <w:t>Replacing  </w:t>
      </w:r>
      <w:r>
        <w:rPr>
          <w:sz w:val="19"/>
        </w:rPr>
        <w:t>(1 </w:t>
      </w:r>
      <w:r>
        <w:rPr>
          <w:rFonts w:ascii="Arial" w:hAnsi="Arial"/>
          <w:sz w:val="31"/>
        </w:rPr>
        <w:t>+ </w:t>
      </w:r>
      <w:r>
        <w:rPr>
          <w:rFonts w:ascii="Arial" w:hAnsi="Arial"/>
          <w:i/>
          <w:sz w:val="19"/>
        </w:rPr>
        <w:t>k )  </w:t>
      </w:r>
      <w:r>
        <w:rPr>
          <w:rFonts w:ascii="Arial" w:hAnsi="Arial"/>
          <w:i/>
          <w:w w:val="85"/>
          <w:sz w:val="34"/>
        </w:rPr>
        <w:t>a;+i </w:t>
      </w:r>
      <w:r>
        <w:rPr>
          <w:sz w:val="20"/>
        </w:rPr>
        <w:t>in the </w:t>
      </w:r>
      <w:r>
        <w:rPr>
          <w:sz w:val="19"/>
        </w:rPr>
        <w:t>righ t </w:t>
      </w:r>
      <w:r>
        <w:rPr>
          <w:sz w:val="20"/>
        </w:rPr>
        <w:t>member by </w:t>
      </w:r>
      <w:r>
        <w:rPr>
          <w:i/>
          <w:sz w:val="14"/>
        </w:rPr>
        <w:t>Ü.y+1  </w:t>
      </w:r>
      <w:r>
        <w:rPr>
          <w:sz w:val="14"/>
        </w:rPr>
        <w:t>,  </w:t>
      </w:r>
      <w:r>
        <w:rPr>
          <w:sz w:val="19"/>
        </w:rPr>
        <w:t>we </w:t>
      </w:r>
      <w:r>
        <w:rPr>
          <w:sz w:val="20"/>
        </w:rPr>
        <w:t>have</w:t>
      </w:r>
    </w:p>
    <w:p>
      <w:pPr>
        <w:spacing w:before="5"/>
        <w:ind w:left="796" w:right="0" w:firstLine="0"/>
        <w:jc w:val="left"/>
        <w:rPr>
          <w:sz w:val="20"/>
        </w:rPr>
      </w:pPr>
      <w:r>
        <w:rPr>
          <w:b/>
          <w:i/>
          <w:w w:val="95"/>
          <w:sz w:val="20"/>
        </w:rPr>
        <w:t>VPwiiv+t </w:t>
      </w:r>
      <w:r>
        <w:rPr>
          <w:w w:val="95"/>
          <w:sz w:val="23"/>
        </w:rPr>
        <w:t>= </w:t>
      </w:r>
      <w:r>
        <w:rPr>
          <w:b/>
          <w:i/>
          <w:w w:val="95"/>
          <w:sz w:val="21"/>
        </w:rPr>
        <w:t>k </w:t>
      </w:r>
      <w:r>
        <w:rPr>
          <w:rFonts w:ascii="Arial" w:hAnsi="Arial"/>
          <w:w w:val="95"/>
          <w:sz w:val="32"/>
        </w:rPr>
        <w:t>+ </w:t>
      </w:r>
      <w:r>
        <w:rPr>
          <w:b/>
          <w:i/>
          <w:w w:val="95"/>
          <w:sz w:val="20"/>
        </w:rPr>
        <w:t>VPA+1 </w:t>
      </w:r>
      <w:r>
        <w:rPr>
          <w:w w:val="95"/>
          <w:sz w:val="20"/>
        </w:rPr>
        <w:t>•</w:t>
      </w:r>
    </w:p>
    <w:p>
      <w:pPr>
        <w:spacing w:after="0"/>
        <w:jc w:val="left"/>
        <w:rPr>
          <w:sz w:val="20"/>
        </w:rPr>
        <w:sectPr>
          <w:type w:val="continuous"/>
          <w:pgSz w:w="7200" w:h="11340"/>
          <w:pgMar w:top="1100" w:bottom="0" w:left="640" w:right="560"/>
        </w:sectPr>
      </w:pPr>
    </w:p>
    <w:p>
      <w:pPr>
        <w:pStyle w:val="BodyText"/>
        <w:spacing w:before="7"/>
        <w:rPr>
          <w:sz w:val="17"/>
        </w:rPr>
      </w:pPr>
    </w:p>
    <w:p>
      <w:pPr>
        <w:pStyle w:val="BodyText"/>
        <w:ind w:left="126" w:right="-7"/>
      </w:pPr>
      <w:r>
        <w:rPr>
          <w:w w:val="105"/>
        </w:rPr>
        <w:t>Then</w:t>
      </w:r>
    </w:p>
    <w:p>
      <w:pPr>
        <w:spacing w:line="331" w:lineRule="exact" w:before="110"/>
        <w:ind w:left="109" w:right="3359" w:firstLine="0"/>
        <w:jc w:val="center"/>
        <w:rPr>
          <w:sz w:val="20"/>
        </w:rPr>
      </w:pPr>
      <w:r>
        <w:rPr/>
        <w:br w:type="column"/>
      </w:r>
      <w:r>
        <w:rPr>
          <w:i/>
          <w:w w:val="50"/>
          <w:sz w:val="20"/>
        </w:rPr>
        <w:t>P11</w:t>
      </w:r>
      <w:r>
        <w:rPr>
          <w:i/>
          <w:sz w:val="20"/>
        </w:rPr>
        <w:t> </w:t>
      </w:r>
      <w:r>
        <w:rPr>
          <w:i/>
          <w:spacing w:val="9"/>
          <w:sz w:val="20"/>
        </w:rPr>
        <w:t> </w:t>
      </w:r>
      <w:r>
        <w:rPr>
          <w:w w:val="91"/>
          <w:sz w:val="24"/>
        </w:rPr>
        <w:t>=</w:t>
      </w:r>
      <w:r>
        <w:rPr>
          <w:sz w:val="24"/>
        </w:rPr>
        <w:t> </w:t>
      </w:r>
      <w:r>
        <w:rPr>
          <w:spacing w:val="-25"/>
          <w:sz w:val="24"/>
        </w:rPr>
        <w:t> </w:t>
      </w:r>
      <w:r>
        <w:rPr>
          <w:spacing w:val="-43"/>
          <w:w w:val="210"/>
          <w:sz w:val="24"/>
        </w:rPr>
        <w:t>-</w:t>
      </w:r>
      <w:r>
        <w:rPr>
          <w:spacing w:val="-15"/>
          <w:w w:val="67"/>
          <w:sz w:val="24"/>
        </w:rPr>
        <w:t>.</w:t>
      </w:r>
      <w:r>
        <w:rPr>
          <w:i/>
          <w:spacing w:val="-82"/>
          <w:w w:val="95"/>
          <w:position w:val="11"/>
          <w:sz w:val="20"/>
        </w:rPr>
        <w:t>k</w:t>
      </w:r>
      <w:r>
        <w:rPr>
          <w:w w:val="67"/>
          <w:sz w:val="24"/>
        </w:rPr>
        <w:t>.</w:t>
      </w:r>
      <w:r>
        <w:rPr>
          <w:spacing w:val="4"/>
          <w:sz w:val="24"/>
        </w:rPr>
        <w:t> </w:t>
      </w:r>
      <w:r>
        <w:rPr>
          <w:w w:val="216"/>
          <w:sz w:val="24"/>
        </w:rPr>
        <w:t>-</w:t>
      </w:r>
      <w:r>
        <w:rPr>
          <w:spacing w:val="-11"/>
          <w:sz w:val="24"/>
        </w:rPr>
        <w:t> </w:t>
      </w:r>
      <w:r>
        <w:rPr>
          <w:rFonts w:ascii="Arial"/>
          <w:w w:val="105"/>
          <w:sz w:val="31"/>
        </w:rPr>
        <w:t>+</w:t>
      </w:r>
      <w:r>
        <w:rPr>
          <w:rFonts w:ascii="Arial"/>
          <w:sz w:val="31"/>
        </w:rPr>
        <w:t> </w:t>
      </w:r>
      <w:r>
        <w:rPr>
          <w:rFonts w:ascii="Arial"/>
          <w:spacing w:val="10"/>
          <w:sz w:val="31"/>
        </w:rPr>
        <w:t> </w:t>
      </w:r>
      <w:r>
        <w:rPr>
          <w:w w:val="197"/>
          <w:position w:val="11"/>
          <w:sz w:val="20"/>
        </w:rPr>
        <w:t>'</w:t>
      </w:r>
    </w:p>
    <w:p>
      <w:pPr>
        <w:spacing w:line="107" w:lineRule="exact" w:before="0"/>
        <w:ind w:left="75" w:right="3359" w:firstLine="0"/>
        <w:jc w:val="center"/>
        <w:rPr>
          <w:i/>
          <w:sz w:val="12"/>
        </w:rPr>
      </w:pPr>
      <w:r>
        <w:rPr/>
        <w:pict>
          <v:shape style="position:absolute;margin-left:153.360001pt;margin-top:-9.768293pt;width:8.25pt;height:10pt;mso-position-horizontal-relative:page;mso-position-vertical-relative:paragraph;z-index:-725104" type="#_x0000_t202" filled="false" stroked="false">
            <v:textbox inset="0,0,0,0">
              <w:txbxContent>
                <w:p>
                  <w:pPr>
                    <w:spacing w:line="200" w:lineRule="exact" w:before="0"/>
                    <w:ind w:left="0" w:right="-14" w:firstLine="0"/>
                    <w:jc w:val="left"/>
                    <w:rPr>
                      <w:i/>
                      <w:sz w:val="20"/>
                    </w:rPr>
                  </w:pPr>
                  <w:r>
                    <w:rPr>
                      <w:i/>
                      <w:w w:val="75"/>
                      <w:sz w:val="20"/>
                    </w:rPr>
                    <w:t>Pv</w:t>
                  </w:r>
                </w:p>
              </w:txbxContent>
            </v:textbox>
            <w10:wrap type="none"/>
          </v:shape>
        </w:pict>
      </w:r>
      <w:r>
        <w:rPr>
          <w:i/>
          <w:w w:val="130"/>
          <w:sz w:val="12"/>
        </w:rPr>
        <w:t>l'lly+l</w:t>
      </w:r>
    </w:p>
    <w:p>
      <w:pPr>
        <w:spacing w:after="0" w:line="107" w:lineRule="exact"/>
        <w:jc w:val="center"/>
        <w:rPr>
          <w:sz w:val="12"/>
        </w:rPr>
        <w:sectPr>
          <w:type w:val="continuous"/>
          <w:pgSz w:w="7200" w:h="11340"/>
          <w:pgMar w:top="1100" w:bottom="0" w:left="640" w:right="560"/>
          <w:cols w:num="2" w:equalWidth="0">
            <w:col w:w="571" w:space="502"/>
            <w:col w:w="4927"/>
          </w:cols>
        </w:sectPr>
      </w:pPr>
    </w:p>
    <w:p>
      <w:pPr>
        <w:tabs>
          <w:tab w:pos="1094" w:val="left" w:leader="none"/>
        </w:tabs>
        <w:spacing w:line="319" w:lineRule="exact" w:before="162"/>
        <w:ind w:left="0" w:right="0" w:firstLine="0"/>
        <w:jc w:val="right"/>
        <w:rPr>
          <w:rFonts w:ascii="Arial" w:hAnsi="Arial"/>
          <w:sz w:val="31"/>
        </w:rPr>
      </w:pPr>
      <w:r>
        <w:rPr>
          <w:w w:val="104"/>
          <w:sz w:val="21"/>
        </w:rPr>
        <w:t>or</w:t>
      </w:r>
      <w:r>
        <w:rPr>
          <w:sz w:val="21"/>
        </w:rPr>
        <w:tab/>
      </w:r>
      <w:r>
        <w:rPr>
          <w:rFonts w:ascii="Arial" w:hAnsi="Arial"/>
          <w:i/>
          <w:w w:val="55"/>
          <w:sz w:val="18"/>
        </w:rPr>
        <w:t>q'</w:t>
      </w:r>
      <w:r>
        <w:rPr>
          <w:rFonts w:ascii="Arial" w:hAnsi="Arial"/>
          <w:i/>
          <w:spacing w:val="-46"/>
          <w:w w:val="55"/>
          <w:sz w:val="18"/>
        </w:rPr>
        <w:t>V</w:t>
      </w:r>
      <w:r>
        <w:rPr>
          <w:w w:val="197"/>
          <w:position w:val="8"/>
          <w:sz w:val="20"/>
        </w:rPr>
        <w:t>'</w:t>
      </w:r>
      <w:r>
        <w:rPr>
          <w:position w:val="8"/>
          <w:sz w:val="20"/>
        </w:rPr>
        <w:t> </w:t>
      </w:r>
      <w:r>
        <w:rPr>
          <w:spacing w:val="-21"/>
          <w:position w:val="8"/>
          <w:sz w:val="20"/>
        </w:rPr>
        <w:t> </w:t>
      </w:r>
      <w:r>
        <w:rPr>
          <w:w w:val="94"/>
          <w:sz w:val="24"/>
        </w:rPr>
        <w:t>=</w:t>
      </w:r>
      <w:r>
        <w:rPr>
          <w:sz w:val="24"/>
        </w:rPr>
        <w:t> </w:t>
      </w:r>
      <w:r>
        <w:rPr>
          <w:spacing w:val="-11"/>
          <w:sz w:val="24"/>
        </w:rPr>
        <w:t> </w:t>
      </w:r>
      <w:r>
        <w:rPr>
          <w:rFonts w:ascii="Arial" w:hAnsi="Arial"/>
          <w:i/>
          <w:w w:val="69"/>
          <w:sz w:val="18"/>
        </w:rPr>
        <w:t>q¡¡</w:t>
      </w:r>
      <w:r>
        <w:rPr>
          <w:rFonts w:ascii="Arial" w:hAnsi="Arial"/>
          <w:i/>
          <w:sz w:val="18"/>
        </w:rPr>
        <w:t> </w:t>
      </w:r>
      <w:r>
        <w:rPr>
          <w:rFonts w:ascii="Arial" w:hAnsi="Arial"/>
          <w:i/>
          <w:spacing w:val="-20"/>
          <w:sz w:val="18"/>
        </w:rPr>
        <w:t> </w:t>
      </w:r>
      <w:r>
        <w:rPr>
          <w:rFonts w:ascii="Arial" w:hAnsi="Arial"/>
          <w:w w:val="103"/>
          <w:sz w:val="31"/>
        </w:rPr>
        <w:t>+</w:t>
      </w:r>
      <w:r>
        <w:rPr>
          <w:rFonts w:ascii="Arial" w:hAnsi="Arial"/>
          <w:spacing w:val="6"/>
          <w:sz w:val="31"/>
        </w:rPr>
        <w:t> </w:t>
      </w:r>
      <w:r>
        <w:rPr>
          <w:rFonts w:ascii="Arial" w:hAnsi="Arial"/>
          <w:spacing w:val="-47"/>
          <w:w w:val="142"/>
          <w:sz w:val="31"/>
        </w:rPr>
        <w:t>-</w:t>
      </w:r>
      <w:r>
        <w:rPr>
          <w:rFonts w:ascii="Arial" w:hAnsi="Arial"/>
          <w:spacing w:val="-55"/>
          <w:w w:val="92"/>
          <w:sz w:val="31"/>
        </w:rPr>
        <w:t>.</w:t>
      </w:r>
      <w:r>
        <w:rPr>
          <w:i/>
          <w:spacing w:val="-82"/>
          <w:w w:val="91"/>
          <w:position w:val="8"/>
          <w:sz w:val="20"/>
        </w:rPr>
        <w:t>k</w:t>
      </w:r>
      <w:r>
        <w:rPr>
          <w:rFonts w:ascii="Arial" w:hAnsi="Arial"/>
          <w:spacing w:val="-4"/>
          <w:w w:val="67"/>
          <w:sz w:val="31"/>
        </w:rPr>
        <w:t>.</w:t>
      </w:r>
      <w:r>
        <w:rPr>
          <w:rFonts w:ascii="Arial" w:hAnsi="Arial"/>
          <w:spacing w:val="-32"/>
          <w:w w:val="92"/>
          <w:sz w:val="31"/>
        </w:rPr>
        <w:t>-</w:t>
      </w:r>
      <w:r>
        <w:rPr>
          <w:rFonts w:ascii="Arial" w:hAnsi="Arial"/>
          <w:w w:val="146"/>
          <w:sz w:val="31"/>
        </w:rPr>
        <w:t>-</w:t>
      </w:r>
    </w:p>
    <w:p>
      <w:pPr>
        <w:spacing w:line="124" w:lineRule="exact" w:before="0"/>
        <w:ind w:left="0" w:right="7" w:firstLine="0"/>
        <w:jc w:val="right"/>
        <w:rPr>
          <w:rFonts w:ascii="Arial"/>
          <w:i/>
          <w:sz w:val="14"/>
        </w:rPr>
      </w:pPr>
      <w:r>
        <w:rPr>
          <w:rFonts w:ascii="Arial"/>
          <w:i/>
          <w:w w:val="110"/>
          <w:sz w:val="14"/>
        </w:rPr>
        <w:t>Vay .n</w:t>
      </w:r>
    </w:p>
    <w:p>
      <w:pPr>
        <w:tabs>
          <w:tab w:pos="756" w:val="left" w:leader="none"/>
          <w:tab w:pos="1192" w:val="left" w:leader="none"/>
          <w:tab w:pos="2477" w:val="left" w:leader="none"/>
        </w:tabs>
        <w:spacing w:before="155"/>
        <w:ind w:left="119" w:right="0" w:firstLine="0"/>
        <w:jc w:val="left"/>
        <w:rPr>
          <w:b/>
          <w:sz w:val="20"/>
        </w:rPr>
      </w:pPr>
      <w:r>
        <w:rPr/>
        <w:br w:type="column"/>
      </w:r>
      <w:r>
        <w:rPr>
          <w:position w:val="1"/>
          <w:sz w:val="20"/>
        </w:rPr>
        <w:t>for</w:t>
        <w:tab/>
      </w:r>
      <w:r>
        <w:rPr>
          <w:rFonts w:ascii="Arial"/>
          <w:b/>
          <w:i/>
          <w:sz w:val="13"/>
        </w:rPr>
        <w:t>X</w:t>
        <w:tab/>
      </w:r>
      <w:r>
        <w:rPr>
          <w:b/>
          <w:i/>
          <w:sz w:val="20"/>
        </w:rPr>
        <w:t>y   </w:t>
      </w:r>
      <w:r>
        <w:rPr>
          <w:sz w:val="25"/>
        </w:rPr>
        <w:t>&lt; </w:t>
      </w:r>
      <w:r>
        <w:rPr>
          <w:rFonts w:ascii="Arial"/>
          <w:b/>
          <w:i/>
          <w:sz w:val="13"/>
        </w:rPr>
        <w:t>X </w:t>
      </w:r>
      <w:r>
        <w:rPr>
          <w:rFonts w:ascii="Arial"/>
          <w:b/>
          <w:i/>
          <w:spacing w:val="33"/>
          <w:sz w:val="13"/>
        </w:rPr>
        <w:t> </w:t>
      </w:r>
      <w:r>
        <w:rPr>
          <w:rFonts w:ascii="Arial"/>
          <w:sz w:val="31"/>
        </w:rPr>
        <w:t>+</w:t>
      </w:r>
      <w:r>
        <w:rPr>
          <w:rFonts w:ascii="Arial"/>
          <w:spacing w:val="-31"/>
          <w:sz w:val="31"/>
        </w:rPr>
        <w:t> </w:t>
      </w:r>
      <w:r>
        <w:rPr>
          <w:rFonts w:ascii="Arial"/>
          <w:b/>
          <w:i/>
          <w:sz w:val="17"/>
        </w:rPr>
        <w:t>m.</w:t>
        <w:tab/>
      </w:r>
      <w:r>
        <w:rPr>
          <w:rFonts w:ascii="Arial"/>
          <w:spacing w:val="3"/>
          <w:sz w:val="17"/>
        </w:rPr>
        <w:t>(</w:t>
      </w:r>
      <w:r>
        <w:rPr>
          <w:b/>
          <w:spacing w:val="3"/>
          <w:sz w:val="20"/>
        </w:rPr>
        <w:t>5.37</w:t>
      </w:r>
      <w:r>
        <w:rPr>
          <w:b/>
          <w:spacing w:val="-30"/>
          <w:sz w:val="20"/>
        </w:rPr>
        <w:t> </w:t>
      </w:r>
      <w:r>
        <w:rPr>
          <w:b/>
          <w:sz w:val="20"/>
        </w:rPr>
        <w:t>)</w:t>
      </w:r>
    </w:p>
    <w:p>
      <w:pPr>
        <w:spacing w:after="0"/>
        <w:jc w:val="left"/>
        <w:rPr>
          <w:sz w:val="20"/>
        </w:rPr>
        <w:sectPr>
          <w:type w:val="continuous"/>
          <w:pgSz w:w="7200" w:h="11340"/>
          <w:pgMar w:top="1100" w:bottom="0" w:left="640" w:right="560"/>
          <w:cols w:num="2" w:equalWidth="0">
            <w:col w:w="2612" w:space="257"/>
            <w:col w:w="3131"/>
          </w:cols>
        </w:sectPr>
      </w:pPr>
    </w:p>
    <w:p>
      <w:pPr>
        <w:pStyle w:val="BodyText"/>
        <w:spacing w:line="249" w:lineRule="auto" w:before="125"/>
        <w:ind w:left="119" w:right="131"/>
        <w:jc w:val="both"/>
      </w:pPr>
      <w:r>
        <w:rPr>
          <w:w w:val="105"/>
        </w:rPr>
        <w:t>The quantity </w:t>
      </w:r>
      <w:r>
        <w:rPr>
          <w:w w:val="105"/>
          <w:sz w:val="17"/>
        </w:rPr>
        <w:t>d¡,+1 </w:t>
      </w:r>
      <w:r>
        <w:rPr>
          <w:w w:val="105"/>
        </w:rPr>
        <w:t>normally decreases as </w:t>
      </w:r>
      <w:r>
        <w:rPr>
          <w:rFonts w:ascii="Arial" w:hAnsi="Arial"/>
          <w:i/>
          <w:w w:val="105"/>
          <w:sz w:val="18"/>
        </w:rPr>
        <w:t>y </w:t>
      </w:r>
      <w:r>
        <w:rPr>
          <w:w w:val="105"/>
        </w:rPr>
        <w:t>increases, nnd hence we see from (5.37 ) that when the reserves are equul, thc mortality  rates </w:t>
      </w:r>
      <w:r>
        <w:rPr>
          <w:rFonts w:ascii="Arial" w:hAnsi="Arial"/>
          <w:w w:val="105"/>
          <w:sz w:val="19"/>
        </w:rPr>
        <w:t>diff</w:t>
      </w:r>
      <w:r>
        <w:rPr>
          <w:w w:val="105"/>
        </w:rPr>
        <w:t>er by an amount which increases with </w:t>
      </w:r>
      <w:r>
        <w:rPr>
          <w:spacing w:val="11"/>
          <w:w w:val="105"/>
        </w:rPr>
        <w:t> </w:t>
      </w:r>
      <w:r>
        <w:rPr>
          <w:w w:val="105"/>
        </w:rPr>
        <w:t>age.</w:t>
      </w:r>
    </w:p>
    <w:p>
      <w:pPr>
        <w:spacing w:line="235" w:lineRule="exact" w:before="0"/>
        <w:ind w:left="317" w:right="0" w:firstLine="0"/>
        <w:jc w:val="left"/>
        <w:rPr>
          <w:sz w:val="20"/>
        </w:rPr>
      </w:pPr>
      <w:r>
        <w:rPr>
          <w:w w:val="105"/>
          <w:sz w:val="21"/>
        </w:rPr>
        <w:t>A </w:t>
      </w:r>
      <w:r>
        <w:rPr>
          <w:w w:val="105"/>
          <w:sz w:val="20"/>
        </w:rPr>
        <w:t>sufficient  condition  </w:t>
      </w:r>
      <w:r>
        <w:rPr>
          <w:w w:val="105"/>
          <w:sz w:val="19"/>
        </w:rPr>
        <w:t>for  </w:t>
      </w:r>
      <w:r>
        <w:rPr>
          <w:w w:val="105"/>
          <w:sz w:val="21"/>
        </w:rPr>
        <w:t>thc </w:t>
      </w:r>
      <w:r>
        <w:rPr>
          <w:w w:val="105"/>
          <w:sz w:val="20"/>
        </w:rPr>
        <w:t>equality  </w:t>
      </w:r>
      <w:r>
        <w:rPr>
          <w:w w:val="105"/>
          <w:sz w:val="21"/>
        </w:rPr>
        <w:t>of  </w:t>
      </w:r>
      <w:r>
        <w:rPr>
          <w:w w:val="105"/>
          <w:sz w:val="20"/>
        </w:rPr>
        <w:t>these reserves  can be</w:t>
      </w:r>
    </w:p>
    <w:p>
      <w:pPr>
        <w:spacing w:before="12"/>
        <w:ind w:left="123" w:right="0" w:firstLine="0"/>
        <w:jc w:val="both"/>
        <w:rPr>
          <w:sz w:val="19"/>
        </w:rPr>
      </w:pPr>
      <w:r>
        <w:rPr>
          <w:w w:val="105"/>
          <w:sz w:val="19"/>
        </w:rPr>
        <w:t>given  </w:t>
      </w:r>
      <w:r>
        <w:rPr>
          <w:w w:val="105"/>
          <w:sz w:val="20"/>
        </w:rPr>
        <w:t>in the </w:t>
      </w:r>
      <w:r>
        <w:rPr>
          <w:w w:val="105"/>
          <w:sz w:val="19"/>
        </w:rPr>
        <w:t>following forrn:</w:t>
      </w:r>
    </w:p>
    <w:p>
      <w:pPr>
        <w:tabs>
          <w:tab w:pos="2153" w:val="left" w:leader="none"/>
        </w:tabs>
        <w:spacing w:line="31" w:lineRule="exact" w:before="166"/>
        <w:ind w:left="1131" w:right="0" w:firstLine="0"/>
        <w:jc w:val="left"/>
        <w:rPr>
          <w:i/>
          <w:sz w:val="20"/>
        </w:rPr>
      </w:pPr>
      <w:r>
        <w:rPr>
          <w:w w:val="195"/>
          <w:sz w:val="20"/>
        </w:rPr>
        <w:t>'</w:t>
        <w:tab/>
      </w:r>
      <w:r>
        <w:rPr>
          <w:i/>
          <w:w w:val="115"/>
          <w:sz w:val="20"/>
        </w:rPr>
        <w:t>k</w:t>
      </w:r>
    </w:p>
    <w:p>
      <w:pPr>
        <w:tabs>
          <w:tab w:pos="1033" w:val="left" w:leader="none"/>
          <w:tab w:pos="2801" w:val="left" w:leader="none"/>
          <w:tab w:pos="3445" w:val="left" w:leader="none"/>
          <w:tab w:pos="3874" w:val="left" w:leader="none"/>
        </w:tabs>
        <w:spacing w:line="290" w:lineRule="exact" w:before="0"/>
        <w:ind w:left="328" w:right="0" w:firstLine="0"/>
        <w:jc w:val="left"/>
        <w:rPr>
          <w:i/>
          <w:sz w:val="20"/>
        </w:rPr>
      </w:pPr>
      <w:r>
        <w:rPr>
          <w:rFonts w:ascii="Arial"/>
          <w:i/>
          <w:w w:val="95"/>
          <w:position w:val="2"/>
          <w:sz w:val="20"/>
        </w:rPr>
        <w:t>H</w:t>
      </w:r>
      <w:r>
        <w:rPr>
          <w:rFonts w:ascii="Arial"/>
          <w:i/>
          <w:position w:val="2"/>
          <w:sz w:val="20"/>
        </w:rPr>
        <w:tab/>
      </w:r>
      <w:r>
        <w:rPr>
          <w:i/>
          <w:spacing w:val="-8"/>
          <w:w w:val="98"/>
          <w:sz w:val="20"/>
        </w:rPr>
        <w:t>q</w:t>
      </w:r>
      <w:r>
        <w:rPr>
          <w:i/>
          <w:w w:val="108"/>
          <w:sz w:val="20"/>
        </w:rPr>
        <w:t>"</w:t>
      </w:r>
      <w:r>
        <w:rPr>
          <w:i/>
          <w:spacing w:val="20"/>
          <w:sz w:val="20"/>
        </w:rPr>
        <w:t> </w:t>
      </w:r>
      <w:r>
        <w:rPr>
          <w:w w:val="101"/>
          <w:sz w:val="23"/>
        </w:rPr>
        <w:t>=</w:t>
      </w:r>
      <w:r>
        <w:rPr>
          <w:sz w:val="23"/>
        </w:rPr>
        <w:t> </w:t>
      </w:r>
      <w:r>
        <w:rPr>
          <w:spacing w:val="-14"/>
          <w:sz w:val="23"/>
        </w:rPr>
        <w:t> </w:t>
      </w:r>
      <w:r>
        <w:rPr>
          <w:i/>
          <w:w w:val="53"/>
          <w:sz w:val="20"/>
        </w:rPr>
        <w:t>q11</w:t>
      </w:r>
      <w:r>
        <w:rPr>
          <w:i/>
          <w:sz w:val="20"/>
        </w:rPr>
        <w:t> </w:t>
      </w:r>
      <w:r>
        <w:rPr>
          <w:i/>
          <w:spacing w:val="-15"/>
          <w:sz w:val="20"/>
        </w:rPr>
        <w:t> </w:t>
      </w:r>
      <w:r>
        <w:rPr>
          <w:rFonts w:ascii="Arial"/>
          <w:w w:val="104"/>
          <w:sz w:val="32"/>
        </w:rPr>
        <w:t>+</w:t>
      </w:r>
      <w:r>
        <w:rPr>
          <w:rFonts w:ascii="Arial"/>
          <w:spacing w:val="-37"/>
          <w:sz w:val="32"/>
        </w:rPr>
        <w:t> </w:t>
      </w:r>
      <w:r>
        <w:rPr>
          <w:rFonts w:ascii="Arial"/>
          <w:spacing w:val="-38"/>
          <w:w w:val="146"/>
          <w:sz w:val="32"/>
        </w:rPr>
        <w:t>-</w:t>
      </w:r>
      <w:r>
        <w:rPr>
          <w:rFonts w:ascii="Arial"/>
          <w:spacing w:val="-49"/>
          <w:w w:val="55"/>
          <w:sz w:val="32"/>
        </w:rPr>
        <w:t>-</w:t>
      </w:r>
      <w:r>
        <w:rPr>
          <w:rFonts w:ascii="Arial"/>
          <w:w w:val="295"/>
          <w:sz w:val="32"/>
        </w:rPr>
        <w:t>-</w:t>
      </w:r>
      <w:r>
        <w:rPr>
          <w:rFonts w:ascii="Arial"/>
          <w:sz w:val="32"/>
        </w:rPr>
        <w:tab/>
      </w:r>
      <w:r>
        <w:rPr>
          <w:w w:val="105"/>
          <w:sz w:val="20"/>
        </w:rPr>
        <w:t>for</w:t>
      </w:r>
      <w:r>
        <w:rPr>
          <w:sz w:val="20"/>
        </w:rPr>
        <w:tab/>
      </w:r>
      <w:r>
        <w:rPr>
          <w:i/>
          <w:w w:val="96"/>
          <w:sz w:val="20"/>
        </w:rPr>
        <w:t>x</w:t>
      </w:r>
      <w:r>
        <w:rPr>
          <w:i/>
          <w:sz w:val="20"/>
        </w:rPr>
        <w:tab/>
      </w:r>
      <w:r>
        <w:rPr>
          <w:rFonts w:ascii="Arial"/>
          <w:i/>
          <w:w w:val="94"/>
          <w:sz w:val="18"/>
        </w:rPr>
        <w:t>y</w:t>
      </w:r>
      <w:r>
        <w:rPr>
          <w:rFonts w:ascii="Arial"/>
          <w:i/>
          <w:sz w:val="18"/>
        </w:rPr>
        <w:t> </w:t>
      </w:r>
      <w:r>
        <w:rPr>
          <w:rFonts w:ascii="Arial"/>
          <w:i/>
          <w:spacing w:val="13"/>
          <w:sz w:val="18"/>
        </w:rPr>
        <w:t> </w:t>
      </w:r>
      <w:r>
        <w:rPr>
          <w:w w:val="104"/>
          <w:sz w:val="25"/>
        </w:rPr>
        <w:t>&lt;</w:t>
      </w:r>
      <w:r>
        <w:rPr>
          <w:spacing w:val="23"/>
          <w:sz w:val="25"/>
        </w:rPr>
        <w:t> </w:t>
      </w:r>
      <w:r>
        <w:rPr>
          <w:i/>
          <w:w w:val="100"/>
          <w:sz w:val="20"/>
        </w:rPr>
        <w:t>x</w:t>
      </w:r>
      <w:r>
        <w:rPr>
          <w:i/>
          <w:sz w:val="20"/>
        </w:rPr>
        <w:t> </w:t>
      </w:r>
      <w:r>
        <w:rPr>
          <w:i/>
          <w:spacing w:val="1"/>
          <w:sz w:val="20"/>
        </w:rPr>
        <w:t> </w:t>
      </w:r>
      <w:r>
        <w:rPr>
          <w:rFonts w:ascii="Arial"/>
          <w:w w:val="94"/>
          <w:sz w:val="33"/>
        </w:rPr>
        <w:t>+</w:t>
      </w:r>
      <w:r>
        <w:rPr>
          <w:rFonts w:ascii="Arial"/>
          <w:spacing w:val="-34"/>
          <w:sz w:val="33"/>
        </w:rPr>
        <w:t> </w:t>
      </w:r>
      <w:r>
        <w:rPr>
          <w:i/>
          <w:w w:val="117"/>
          <w:sz w:val="20"/>
        </w:rPr>
        <w:t>m,</w:t>
      </w:r>
    </w:p>
    <w:p>
      <w:pPr>
        <w:spacing w:line="148" w:lineRule="exact" w:before="0"/>
        <w:ind w:left="61" w:right="1648" w:firstLine="0"/>
        <w:jc w:val="center"/>
        <w:rPr>
          <w:b/>
          <w:sz w:val="17"/>
        </w:rPr>
      </w:pPr>
      <w:r>
        <w:rPr>
          <w:b/>
          <w:w w:val="80"/>
          <w:sz w:val="17"/>
        </w:rPr>
        <w:t>Vt1w+1</w:t>
      </w:r>
    </w:p>
    <w:p>
      <w:pPr>
        <w:tabs>
          <w:tab w:pos="1325" w:val="left" w:leader="none"/>
          <w:tab w:pos="2981" w:val="left" w:leader="none"/>
          <w:tab w:pos="3762" w:val="left" w:leader="none"/>
        </w:tabs>
        <w:spacing w:line="317" w:lineRule="exact" w:before="89"/>
        <w:ind w:left="108" w:right="0" w:firstLine="0"/>
        <w:jc w:val="left"/>
        <w:rPr>
          <w:rFonts w:ascii="Arial" w:hAnsi="Arial"/>
          <w:i/>
          <w:sz w:val="23"/>
        </w:rPr>
      </w:pPr>
      <w:r>
        <w:rPr>
          <w:w w:val="115"/>
          <w:sz w:val="20"/>
        </w:rPr>
        <w:t>where</w:t>
        <w:tab/>
      </w:r>
      <w:r>
        <w:rPr>
          <w:i/>
          <w:w w:val="115"/>
          <w:position w:val="2"/>
          <w:sz w:val="20"/>
        </w:rPr>
        <w:t>k  </w:t>
      </w:r>
      <w:r>
        <w:rPr>
          <w:rFonts w:ascii="Arial" w:hAnsi="Arial"/>
          <w:w w:val="170"/>
          <w:position w:val="2"/>
          <w:sz w:val="16"/>
        </w:rPr>
        <w:t>= </w:t>
      </w:r>
      <w:r>
        <w:rPr>
          <w:rFonts w:ascii="Arial" w:hAnsi="Arial"/>
          <w:i/>
          <w:spacing w:val="-5"/>
          <w:w w:val="115"/>
          <w:position w:val="2"/>
          <w:sz w:val="27"/>
        </w:rPr>
        <w:t>ª;+•</w:t>
      </w:r>
      <w:r>
        <w:rPr>
          <w:rFonts w:ascii="Arial" w:hAnsi="Arial"/>
          <w:i/>
          <w:spacing w:val="-70"/>
          <w:w w:val="115"/>
          <w:position w:val="2"/>
          <w:sz w:val="27"/>
        </w:rPr>
        <w:t> </w:t>
      </w:r>
      <w:r>
        <w:rPr>
          <w:rFonts w:ascii="Arial" w:hAnsi="Arial"/>
          <w:w w:val="170"/>
          <w:position w:val="2"/>
          <w:sz w:val="27"/>
        </w:rPr>
        <w:t>-</w:t>
      </w:r>
      <w:r>
        <w:rPr>
          <w:rFonts w:ascii="Arial" w:hAnsi="Arial"/>
          <w:spacing w:val="-58"/>
          <w:w w:val="170"/>
          <w:position w:val="2"/>
          <w:sz w:val="27"/>
        </w:rPr>
        <w:t> </w:t>
      </w:r>
      <w:r>
        <w:rPr>
          <w:w w:val="115"/>
          <w:position w:val="2"/>
          <w:sz w:val="19"/>
        </w:rPr>
        <w:t>1</w:t>
        <w:tab/>
      </w:r>
      <w:r>
        <w:rPr>
          <w:w w:val="115"/>
          <w:position w:val="2"/>
          <w:sz w:val="20"/>
        </w:rPr>
        <w:t>then</w:t>
        <w:tab/>
      </w:r>
      <w:r>
        <w:rPr>
          <w:rFonts w:ascii="Arial" w:hAnsi="Arial"/>
          <w:i/>
          <w:spacing w:val="-6"/>
          <w:w w:val="110"/>
          <w:position w:val="2"/>
          <w:sz w:val="32"/>
        </w:rPr>
        <w:t>,v; </w:t>
      </w:r>
      <w:r>
        <w:rPr>
          <w:rFonts w:ascii="Arial" w:hAnsi="Arial"/>
          <w:w w:val="170"/>
          <w:position w:val="2"/>
          <w:sz w:val="16"/>
        </w:rPr>
        <w:t>=</w:t>
      </w:r>
      <w:r>
        <w:rPr>
          <w:rFonts w:ascii="Arial" w:hAnsi="Arial"/>
          <w:spacing w:val="-52"/>
          <w:w w:val="170"/>
          <w:position w:val="2"/>
          <w:sz w:val="16"/>
        </w:rPr>
        <w:t> </w:t>
      </w:r>
      <w:r>
        <w:rPr>
          <w:rFonts w:ascii="Arial" w:hAnsi="Arial"/>
          <w:i/>
          <w:spacing w:val="-4"/>
          <w:w w:val="115"/>
          <w:position w:val="2"/>
          <w:sz w:val="23"/>
        </w:rPr>
        <w:t>,V,</w:t>
      </w:r>
    </w:p>
    <w:p>
      <w:pPr>
        <w:tabs>
          <w:tab w:pos="2542" w:val="left" w:leader="none"/>
        </w:tabs>
        <w:spacing w:line="167" w:lineRule="exact" w:before="0"/>
        <w:ind w:left="1743" w:right="0" w:firstLine="0"/>
        <w:jc w:val="left"/>
        <w:rPr>
          <w:rFonts w:ascii="Arial"/>
          <w:b/>
          <w:sz w:val="9"/>
        </w:rPr>
      </w:pPr>
      <w:r>
        <w:rPr>
          <w:b/>
          <w:w w:val="70"/>
          <w:sz w:val="19"/>
          <w:u w:val="thick"/>
        </w:rPr>
        <w:t>Oz+111</w:t>
      </w:r>
      <w:r>
        <w:rPr>
          <w:b/>
          <w:w w:val="70"/>
          <w:sz w:val="19"/>
        </w:rPr>
        <w:tab/>
      </w:r>
      <w:r>
        <w:rPr>
          <w:rFonts w:ascii="Arial"/>
          <w:b/>
          <w:w w:val="80"/>
          <w:sz w:val="9"/>
        </w:rPr>
        <w:t>J</w:t>
      </w:r>
    </w:p>
    <w:p>
      <w:pPr>
        <w:tabs>
          <w:tab w:pos="850" w:val="left" w:leader="none"/>
          <w:tab w:pos="1231" w:val="left" w:leader="none"/>
        </w:tabs>
        <w:spacing w:before="130"/>
        <w:ind w:left="119" w:right="0" w:firstLine="0"/>
        <w:jc w:val="left"/>
        <w:rPr>
          <w:i/>
          <w:sz w:val="21"/>
        </w:rPr>
      </w:pPr>
      <w:r>
        <w:rPr>
          <w:sz w:val="19"/>
        </w:rPr>
        <w:t>for</w:t>
      </w:r>
      <w:r>
        <w:rPr>
          <w:spacing w:val="1"/>
          <w:sz w:val="19"/>
        </w:rPr>
        <w:t> </w:t>
      </w:r>
      <w:r>
        <w:rPr>
          <w:rFonts w:ascii="Arial"/>
          <w:sz w:val="19"/>
        </w:rPr>
        <w:t>O</w:t>
        <w:tab/>
      </w:r>
      <w:r>
        <w:rPr>
          <w:rFonts w:ascii="Arial"/>
          <w:i/>
          <w:sz w:val="18"/>
        </w:rPr>
        <w:t>t</w:t>
        <w:tab/>
      </w:r>
      <w:r>
        <w:rPr>
          <w:i/>
          <w:sz w:val="21"/>
        </w:rPr>
        <w:t>m.</w:t>
      </w:r>
    </w:p>
    <w:p>
      <w:pPr>
        <w:tabs>
          <w:tab w:pos="1656" w:val="left" w:leader="none"/>
        </w:tabs>
        <w:spacing w:line="160" w:lineRule="auto" w:before="89"/>
        <w:ind w:left="112" w:right="241" w:firstLine="205"/>
        <w:jc w:val="left"/>
        <w:rPr>
          <w:i/>
          <w:sz w:val="19"/>
        </w:rPr>
      </w:pPr>
      <w:r>
        <w:rPr>
          <w:w w:val="105"/>
          <w:sz w:val="20"/>
        </w:rPr>
        <w:t>The proof is by induction. Suppose that, </w:t>
      </w:r>
      <w:r>
        <w:rPr>
          <w:w w:val="105"/>
          <w:sz w:val="19"/>
        </w:rPr>
        <w:t>for </w:t>
      </w:r>
      <w:r>
        <w:rPr>
          <w:w w:val="105"/>
          <w:sz w:val="20"/>
        </w:rPr>
        <w:t>sorne </w:t>
      </w:r>
      <w:r>
        <w:rPr>
          <w:w w:val="105"/>
          <w:sz w:val="19"/>
        </w:rPr>
        <w:t>age </w:t>
      </w:r>
      <w:r>
        <w:rPr>
          <w:i/>
          <w:w w:val="105"/>
          <w:sz w:val="21"/>
        </w:rPr>
        <w:t>u </w:t>
      </w:r>
      <w:r>
        <w:rPr>
          <w:w w:val="105"/>
          <w:sz w:val="20"/>
        </w:rPr>
        <w:t>on the interval </w:t>
      </w:r>
      <w:r>
        <w:rPr>
          <w:i/>
          <w:w w:val="105"/>
          <w:sz w:val="19"/>
        </w:rPr>
        <w:t>x </w:t>
      </w:r>
      <w:r>
        <w:rPr>
          <w:i/>
          <w:spacing w:val="14"/>
          <w:w w:val="105"/>
          <w:sz w:val="19"/>
        </w:rPr>
        <w:t> </w:t>
      </w:r>
      <w:r>
        <w:rPr>
          <w:w w:val="105"/>
          <w:sz w:val="25"/>
        </w:rPr>
        <w:t>&lt;</w:t>
      </w:r>
      <w:r>
        <w:rPr>
          <w:spacing w:val="23"/>
          <w:w w:val="105"/>
          <w:sz w:val="25"/>
        </w:rPr>
        <w:t> </w:t>
      </w:r>
      <w:r>
        <w:rPr>
          <w:i/>
          <w:w w:val="105"/>
          <w:sz w:val="19"/>
        </w:rPr>
        <w:t>u</w:t>
        <w:tab/>
        <w:t>x  </w:t>
      </w:r>
      <w:r>
        <w:rPr>
          <w:rFonts w:ascii="Arial"/>
          <w:w w:val="105"/>
          <w:sz w:val="31"/>
        </w:rPr>
        <w:t>+</w:t>
      </w:r>
      <w:r>
        <w:rPr>
          <w:rFonts w:ascii="Arial"/>
          <w:spacing w:val="-25"/>
          <w:w w:val="105"/>
          <w:sz w:val="31"/>
        </w:rPr>
        <w:t> </w:t>
      </w:r>
      <w:r>
        <w:rPr>
          <w:i/>
          <w:w w:val="105"/>
          <w:sz w:val="19"/>
        </w:rPr>
        <w:t>m,</w:t>
      </w:r>
    </w:p>
    <w:p>
      <w:pPr>
        <w:spacing w:before="13"/>
        <w:ind w:left="1466" w:right="0" w:firstLine="0"/>
        <w:jc w:val="left"/>
        <w:rPr>
          <w:rFonts w:ascii="Arial" w:hAnsi="Arial"/>
          <w:sz w:val="23"/>
        </w:rPr>
      </w:pPr>
      <w:r>
        <w:rPr>
          <w:rFonts w:ascii="Arial" w:hAnsi="Arial"/>
          <w:i/>
          <w:sz w:val="35"/>
        </w:rPr>
        <w:t>ª" </w:t>
      </w:r>
      <w:r>
        <w:rPr>
          <w:sz w:val="23"/>
        </w:rPr>
        <w:t>=  </w:t>
      </w:r>
      <w:r>
        <w:rPr>
          <w:rFonts w:ascii="Arial" w:hAnsi="Arial"/>
          <w:sz w:val="19"/>
        </w:rPr>
        <w:t>(1 </w:t>
      </w:r>
      <w:r>
        <w:rPr>
          <w:rFonts w:ascii="Arial" w:hAnsi="Arial"/>
          <w:sz w:val="31"/>
        </w:rPr>
        <w:t>+</w:t>
      </w:r>
      <w:r>
        <w:rPr>
          <w:rFonts w:ascii="Arial" w:hAnsi="Arial"/>
          <w:spacing w:val="-63"/>
          <w:sz w:val="31"/>
        </w:rPr>
        <w:t> </w:t>
      </w:r>
      <w:r>
        <w:rPr>
          <w:rFonts w:ascii="Arial" w:hAnsi="Arial"/>
          <w:i/>
          <w:sz w:val="23"/>
        </w:rPr>
        <w:t>k )a: </w:t>
      </w:r>
      <w:r>
        <w:rPr>
          <w:rFonts w:ascii="Arial" w:hAnsi="Arial"/>
          <w:w w:val="110"/>
          <w:sz w:val="23"/>
        </w:rPr>
        <w:t>.</w:t>
      </w:r>
    </w:p>
    <w:p>
      <w:pPr>
        <w:spacing w:after="0"/>
        <w:jc w:val="left"/>
        <w:rPr>
          <w:rFonts w:ascii="Arial" w:hAnsi="Arial"/>
          <w:sz w:val="23"/>
        </w:rPr>
        <w:sectPr>
          <w:type w:val="continuous"/>
          <w:pgSz w:w="7200" w:h="11340"/>
          <w:pgMar w:top="1100" w:bottom="0" w:left="640" w:right="560"/>
        </w:sectPr>
      </w:pPr>
    </w:p>
    <w:p>
      <w:pPr>
        <w:pStyle w:val="BodyText"/>
        <w:spacing w:before="70"/>
        <w:ind w:left="112" w:right="-1"/>
      </w:pPr>
      <w:r>
        <w:rPr>
          <w:w w:val="105"/>
        </w:rPr>
        <w:t>Then,</w:t>
      </w:r>
    </w:p>
    <w:p>
      <w:pPr>
        <w:pStyle w:val="BodyText"/>
        <w:spacing w:before="2"/>
        <w:rPr>
          <w:sz w:val="31"/>
        </w:rPr>
      </w:pPr>
      <w:r>
        <w:rPr/>
        <w:br w:type="column"/>
      </w:r>
      <w:r>
        <w:rPr>
          <w:sz w:val="31"/>
        </w:rPr>
      </w:r>
    </w:p>
    <w:p>
      <w:pPr>
        <w:spacing w:line="337" w:lineRule="exact" w:before="0"/>
        <w:ind w:left="112" w:right="0" w:firstLine="0"/>
        <w:jc w:val="left"/>
        <w:rPr>
          <w:rFonts w:ascii="Arial"/>
          <w:sz w:val="18"/>
        </w:rPr>
      </w:pPr>
      <w:r>
        <w:rPr>
          <w:rFonts w:ascii="Arial"/>
          <w:w w:val="133"/>
          <w:sz w:val="18"/>
        </w:rPr>
        <w:t>0</w:t>
      </w:r>
      <w:r>
        <w:rPr>
          <w:rFonts w:ascii="Arial"/>
          <w:spacing w:val="-25"/>
          <w:w w:val="133"/>
          <w:sz w:val="18"/>
        </w:rPr>
        <w:t>.</w:t>
      </w:r>
      <w:r>
        <w:rPr>
          <w:rFonts w:ascii="Arial"/>
          <w:spacing w:val="-9"/>
          <w:w w:val="188"/>
          <w:sz w:val="18"/>
        </w:rPr>
        <w:t>-</w:t>
      </w:r>
      <w:r>
        <w:rPr>
          <w:rFonts w:ascii="Arial"/>
          <w:w w:val="88"/>
          <w:sz w:val="18"/>
        </w:rPr>
        <w:t>1</w:t>
      </w:r>
      <w:r>
        <w:rPr>
          <w:rFonts w:ascii="Arial"/>
          <w:spacing w:val="1"/>
          <w:sz w:val="18"/>
        </w:rPr>
        <w:t> </w:t>
      </w:r>
      <w:r>
        <w:rPr>
          <w:w w:val="90"/>
          <w:sz w:val="28"/>
        </w:rPr>
        <w:t>=</w:t>
      </w:r>
      <w:r>
        <w:rPr>
          <w:sz w:val="28"/>
        </w:rPr>
        <w:t> </w:t>
      </w:r>
      <w:r>
        <w:rPr>
          <w:spacing w:val="-32"/>
          <w:sz w:val="28"/>
        </w:rPr>
        <w:t> </w:t>
      </w:r>
      <w:r>
        <w:rPr>
          <w:w w:val="129"/>
          <w:sz w:val="20"/>
        </w:rPr>
        <w:t>1</w:t>
      </w:r>
      <w:r>
        <w:rPr>
          <w:spacing w:val="-10"/>
          <w:sz w:val="20"/>
        </w:rPr>
        <w:t> </w:t>
      </w:r>
      <w:r>
        <w:rPr>
          <w:rFonts w:ascii="Arial"/>
          <w:w w:val="107"/>
          <w:sz w:val="31"/>
        </w:rPr>
        <w:t>+</w:t>
      </w:r>
      <w:r>
        <w:rPr>
          <w:rFonts w:ascii="Arial"/>
          <w:spacing w:val="-37"/>
          <w:sz w:val="31"/>
        </w:rPr>
        <w:t> </w:t>
      </w:r>
      <w:r>
        <w:rPr>
          <w:rFonts w:ascii="Arial"/>
          <w:w w:val="117"/>
          <w:sz w:val="18"/>
        </w:rPr>
        <w:t>vp</w:t>
      </w:r>
      <w:r>
        <w:rPr>
          <w:rFonts w:ascii="Arial"/>
          <w:spacing w:val="-17"/>
          <w:w w:val="117"/>
          <w:sz w:val="18"/>
        </w:rPr>
        <w:t>.</w:t>
      </w:r>
      <w:r>
        <w:rPr>
          <w:rFonts w:ascii="Arial"/>
          <w:spacing w:val="-18"/>
          <w:w w:val="196"/>
          <w:sz w:val="18"/>
        </w:rPr>
        <w:t>-</w:t>
      </w:r>
      <w:r>
        <w:rPr>
          <w:rFonts w:ascii="Arial"/>
          <w:spacing w:val="-54"/>
          <w:w w:val="103"/>
          <w:sz w:val="18"/>
        </w:rPr>
        <w:t>1</w:t>
      </w:r>
      <w:r>
        <w:rPr>
          <w:rFonts w:ascii="Arial"/>
          <w:w w:val="132"/>
          <w:sz w:val="18"/>
        </w:rPr>
        <w:t>a.</w:t>
      </w:r>
    </w:p>
    <w:p>
      <w:pPr>
        <w:tabs>
          <w:tab w:pos="2405" w:val="left" w:leader="none"/>
        </w:tabs>
        <w:spacing w:line="544" w:lineRule="exact" w:before="0"/>
        <w:ind w:left="792" w:right="0" w:firstLine="0"/>
        <w:jc w:val="left"/>
        <w:rPr>
          <w:sz w:val="25"/>
        </w:rPr>
      </w:pPr>
      <w:r>
        <w:rPr>
          <w:spacing w:val="32"/>
          <w:w w:val="58"/>
          <w:sz w:val="46"/>
        </w:rPr>
        <w:t>1</w:t>
      </w:r>
      <w:r>
        <w:rPr>
          <w:rFonts w:ascii="Arial"/>
          <w:w w:val="106"/>
          <w:sz w:val="32"/>
        </w:rPr>
        <w:t>+</w:t>
      </w:r>
      <w:r>
        <w:rPr>
          <w:rFonts w:ascii="Arial"/>
          <w:spacing w:val="-44"/>
          <w:sz w:val="32"/>
        </w:rPr>
        <w:t> </w:t>
      </w:r>
      <w:r>
        <w:rPr>
          <w:rFonts w:ascii="Arial"/>
          <w:w w:val="61"/>
          <w:sz w:val="19"/>
        </w:rPr>
        <w:t>w</w:t>
      </w:r>
      <w:r>
        <w:rPr>
          <w:rFonts w:ascii="Arial"/>
          <w:spacing w:val="13"/>
          <w:sz w:val="19"/>
        </w:rPr>
        <w:t> </w:t>
      </w:r>
      <w:r>
        <w:rPr>
          <w:w w:val="57"/>
          <w:sz w:val="46"/>
        </w:rPr>
        <w:t>(</w:t>
      </w:r>
      <w:r>
        <w:rPr>
          <w:spacing w:val="-7"/>
          <w:w w:val="57"/>
          <w:sz w:val="46"/>
        </w:rPr>
        <w:t>P</w:t>
      </w:r>
      <w:r>
        <w:rPr>
          <w:spacing w:val="-106"/>
          <w:w w:val="155"/>
          <w:sz w:val="46"/>
        </w:rPr>
        <w:t>:</w:t>
      </w:r>
      <w:r>
        <w:rPr>
          <w:w w:val="46"/>
          <w:sz w:val="46"/>
        </w:rPr>
        <w:t>-1</w:t>
      </w:r>
      <w:r>
        <w:rPr>
          <w:spacing w:val="-58"/>
          <w:sz w:val="46"/>
        </w:rPr>
        <w:t> </w:t>
      </w:r>
      <w:r>
        <w:rPr>
          <w:rFonts w:ascii="Arial"/>
          <w:w w:val="106"/>
          <w:sz w:val="32"/>
        </w:rPr>
        <w:t>+</w:t>
      </w:r>
      <w:r>
        <w:rPr>
          <w:rFonts w:ascii="Arial"/>
          <w:sz w:val="32"/>
        </w:rPr>
        <w:tab/>
      </w:r>
      <w:r>
        <w:rPr>
          <w:rFonts w:ascii="Arial"/>
          <w:spacing w:val="34"/>
          <w:w w:val="97"/>
          <w:sz w:val="49"/>
        </w:rPr>
        <w:t>)</w:t>
      </w:r>
      <w:r>
        <w:rPr>
          <w:rFonts w:ascii="Arial"/>
          <w:spacing w:val="19"/>
          <w:w w:val="53"/>
          <w:sz w:val="49"/>
        </w:rPr>
        <w:t>(</w:t>
      </w:r>
      <w:r>
        <w:rPr>
          <w:w w:val="52"/>
          <w:sz w:val="46"/>
        </w:rPr>
        <w:t>1</w:t>
      </w:r>
      <w:r>
        <w:rPr>
          <w:spacing w:val="-69"/>
          <w:sz w:val="46"/>
        </w:rPr>
        <w:t> </w:t>
      </w:r>
      <w:r>
        <w:rPr>
          <w:rFonts w:ascii="Arial"/>
          <w:w w:val="102"/>
          <w:sz w:val="32"/>
        </w:rPr>
        <w:t>+</w:t>
      </w:r>
      <w:r>
        <w:rPr>
          <w:rFonts w:ascii="Arial"/>
          <w:spacing w:val="-30"/>
          <w:sz w:val="32"/>
        </w:rPr>
        <w:t> </w:t>
      </w:r>
      <w:r>
        <w:rPr>
          <w:i/>
          <w:w w:val="95"/>
          <w:sz w:val="20"/>
        </w:rPr>
        <w:t>k</w:t>
      </w:r>
      <w:r>
        <w:rPr>
          <w:i/>
          <w:spacing w:val="-20"/>
          <w:sz w:val="20"/>
        </w:rPr>
        <w:t> </w:t>
      </w:r>
      <w:r>
        <w:rPr>
          <w:w w:val="106"/>
          <w:sz w:val="25"/>
        </w:rPr>
        <w:t>)</w:t>
      </w:r>
      <w:r>
        <w:rPr>
          <w:w w:val="106"/>
          <w:sz w:val="25"/>
        </w:rPr>
        <w:t>a:</w:t>
      </w:r>
    </w:p>
    <w:p>
      <w:pPr>
        <w:spacing w:before="59"/>
        <w:ind w:left="540" w:right="0" w:firstLine="0"/>
        <w:jc w:val="left"/>
        <w:rPr>
          <w:sz w:val="26"/>
        </w:rPr>
      </w:pPr>
      <w:r>
        <w:rPr>
          <w:w w:val="105"/>
          <w:sz w:val="25"/>
        </w:rPr>
        <w:t>= </w:t>
      </w:r>
      <w:r>
        <w:rPr>
          <w:w w:val="105"/>
          <w:sz w:val="20"/>
        </w:rPr>
        <w:t>(1 </w:t>
      </w:r>
      <w:r>
        <w:rPr>
          <w:rFonts w:ascii="Arial"/>
          <w:w w:val="105"/>
          <w:sz w:val="31"/>
        </w:rPr>
        <w:t>+</w:t>
      </w:r>
      <w:r>
        <w:rPr>
          <w:rFonts w:ascii="Arial"/>
          <w:spacing w:val="-65"/>
          <w:w w:val="105"/>
          <w:sz w:val="31"/>
        </w:rPr>
        <w:t> </w:t>
      </w:r>
      <w:r>
        <w:rPr>
          <w:i/>
          <w:w w:val="105"/>
          <w:sz w:val="19"/>
        </w:rPr>
        <w:t>k </w:t>
      </w:r>
      <w:r>
        <w:rPr>
          <w:w w:val="105"/>
          <w:sz w:val="20"/>
        </w:rPr>
        <w:t>)(1 </w:t>
      </w:r>
      <w:r>
        <w:rPr>
          <w:w w:val="105"/>
          <w:sz w:val="29"/>
        </w:rPr>
        <w:t>+ </w:t>
      </w:r>
      <w:r>
        <w:rPr>
          <w:spacing w:val="-5"/>
          <w:w w:val="105"/>
          <w:sz w:val="26"/>
        </w:rPr>
        <w:t>vp:_1a:)</w:t>
      </w:r>
    </w:p>
    <w:p>
      <w:pPr>
        <w:spacing w:before="7"/>
        <w:ind w:left="803" w:right="0" w:firstLine="0"/>
        <w:jc w:val="left"/>
        <w:rPr>
          <w:rFonts w:ascii="Arial"/>
          <w:i/>
          <w:sz w:val="20"/>
        </w:rPr>
      </w:pPr>
      <w:r>
        <w:rPr>
          <w:w w:val="110"/>
          <w:sz w:val="20"/>
        </w:rPr>
        <w:t>(1 </w:t>
      </w:r>
      <w:r>
        <w:rPr>
          <w:rFonts w:ascii="Arial"/>
          <w:w w:val="110"/>
          <w:sz w:val="31"/>
        </w:rPr>
        <w:t>+</w:t>
      </w:r>
      <w:r>
        <w:rPr>
          <w:rFonts w:ascii="Arial"/>
          <w:spacing w:val="-65"/>
          <w:w w:val="110"/>
          <w:sz w:val="31"/>
        </w:rPr>
        <w:t> </w:t>
      </w:r>
      <w:r>
        <w:rPr>
          <w:rFonts w:ascii="Arial"/>
          <w:i/>
          <w:w w:val="110"/>
          <w:sz w:val="20"/>
        </w:rPr>
        <w:t>k </w:t>
      </w:r>
      <w:r>
        <w:rPr>
          <w:rFonts w:ascii="Arial"/>
          <w:i/>
          <w:spacing w:val="2"/>
          <w:w w:val="110"/>
          <w:sz w:val="20"/>
        </w:rPr>
        <w:t>)a:_1 </w:t>
      </w:r>
      <w:r>
        <w:rPr>
          <w:rFonts w:ascii="Arial"/>
          <w:i/>
          <w:w w:val="120"/>
          <w:sz w:val="20"/>
        </w:rPr>
        <w:t>.</w:t>
      </w:r>
    </w:p>
    <w:p>
      <w:pPr>
        <w:spacing w:after="0"/>
        <w:jc w:val="left"/>
        <w:rPr>
          <w:rFonts w:ascii="Arial"/>
          <w:sz w:val="20"/>
        </w:rPr>
        <w:sectPr>
          <w:type w:val="continuous"/>
          <w:pgSz w:w="7200" w:h="11340"/>
          <w:pgMar w:top="1100" w:bottom="0" w:left="640" w:right="560"/>
          <w:cols w:num="2" w:equalWidth="0">
            <w:col w:w="615" w:space="595"/>
            <w:col w:w="4790"/>
          </w:cols>
        </w:sectPr>
      </w:pPr>
    </w:p>
    <w:p>
      <w:pPr>
        <w:spacing w:before="69"/>
        <w:ind w:left="106" w:right="-17" w:firstLine="0"/>
        <w:jc w:val="left"/>
        <w:rPr>
          <w:rFonts w:ascii="Arial"/>
          <w:sz w:val="19"/>
        </w:rPr>
      </w:pPr>
      <w:r>
        <w:rPr>
          <w:color w:val="010101"/>
          <w:w w:val="110"/>
          <w:sz w:val="15"/>
        </w:rPr>
        <w:t>SEC. </w:t>
      </w:r>
      <w:r>
        <w:rPr>
          <w:rFonts w:ascii="Arial"/>
          <w:color w:val="010101"/>
          <w:w w:val="110"/>
          <w:sz w:val="19"/>
        </w:rPr>
        <w:t>12)</w:t>
      </w:r>
    </w:p>
    <w:p>
      <w:pPr>
        <w:pStyle w:val="BodyText"/>
        <w:spacing w:before="6"/>
        <w:rPr>
          <w:rFonts w:ascii="Arial"/>
          <w:sz w:val="21"/>
        </w:rPr>
      </w:pPr>
    </w:p>
    <w:p>
      <w:pPr>
        <w:spacing w:before="0"/>
        <w:ind w:left="102" w:right="-17" w:firstLine="0"/>
        <w:jc w:val="left"/>
        <w:rPr>
          <w:sz w:val="20"/>
        </w:rPr>
      </w:pPr>
      <w:r>
        <w:rPr>
          <w:color w:val="010101"/>
          <w:w w:val="105"/>
          <w:sz w:val="19"/>
        </w:rPr>
        <w:t>Since, </w:t>
      </w:r>
      <w:r>
        <w:rPr>
          <w:color w:val="010101"/>
          <w:w w:val="105"/>
          <w:sz w:val="20"/>
        </w:rPr>
        <w:t>by</w:t>
      </w:r>
      <w:r>
        <w:rPr>
          <w:color w:val="010101"/>
          <w:spacing w:val="51"/>
          <w:w w:val="105"/>
          <w:sz w:val="20"/>
        </w:rPr>
        <w:t> </w:t>
      </w:r>
      <w:r>
        <w:rPr>
          <w:color w:val="010101"/>
          <w:w w:val="105"/>
          <w:sz w:val="20"/>
        </w:rPr>
        <w:t>hypothesis,</w:t>
      </w:r>
    </w:p>
    <w:p>
      <w:pPr>
        <w:tabs>
          <w:tab w:pos="3881" w:val="right" w:leader="none"/>
        </w:tabs>
        <w:spacing w:before="62"/>
        <w:ind w:left="59" w:right="0" w:firstLine="0"/>
        <w:jc w:val="left"/>
        <w:rPr>
          <w:rFonts w:ascii="Arial"/>
          <w:sz w:val="19"/>
        </w:rPr>
      </w:pPr>
      <w:r>
        <w:rPr/>
        <w:br w:type="column"/>
      </w:r>
      <w:r>
        <w:rPr>
          <w:rFonts w:ascii="Courier New"/>
          <w:b/>
          <w:color w:val="010101"/>
          <w:w w:val="105"/>
          <w:sz w:val="17"/>
        </w:rPr>
        <w:t>PAYMENT</w:t>
      </w:r>
      <w:r>
        <w:rPr>
          <w:rFonts w:ascii="Courier New"/>
          <w:b/>
          <w:color w:val="010101"/>
          <w:spacing w:val="-15"/>
          <w:w w:val="105"/>
          <w:sz w:val="17"/>
        </w:rPr>
        <w:t> </w:t>
      </w:r>
      <w:r>
        <w:rPr>
          <w:rFonts w:ascii="Courier New"/>
          <w:b/>
          <w:color w:val="010101"/>
          <w:w w:val="105"/>
          <w:sz w:val="17"/>
        </w:rPr>
        <w:t>OF</w:t>
      </w:r>
      <w:r>
        <w:rPr>
          <w:rFonts w:ascii="Courier New"/>
          <w:b/>
          <w:color w:val="010101"/>
          <w:spacing w:val="-6"/>
          <w:w w:val="105"/>
          <w:sz w:val="17"/>
        </w:rPr>
        <w:t> </w:t>
      </w:r>
      <w:r>
        <w:rPr>
          <w:rFonts w:ascii="Courier New"/>
          <w:b/>
          <w:color w:val="010101"/>
          <w:w w:val="105"/>
          <w:sz w:val="17"/>
        </w:rPr>
        <w:t>RESERVE</w:t>
      </w:r>
      <w:r>
        <w:rPr>
          <w:rFonts w:ascii="Arial"/>
          <w:color w:val="010101"/>
          <w:w w:val="105"/>
          <w:sz w:val="19"/>
        </w:rPr>
        <w:tab/>
      </w:r>
      <w:r>
        <w:rPr>
          <w:rFonts w:ascii="Arial"/>
          <w:color w:val="010101"/>
          <w:spacing w:val="-12"/>
          <w:w w:val="105"/>
          <w:sz w:val="19"/>
        </w:rPr>
        <w:t>123</w:t>
      </w:r>
    </w:p>
    <w:p>
      <w:pPr>
        <w:spacing w:before="517"/>
        <w:ind w:left="52" w:right="0" w:firstLine="0"/>
        <w:jc w:val="left"/>
        <w:rPr>
          <w:rFonts w:ascii="Arial" w:hAnsi="Arial"/>
          <w:sz w:val="19"/>
        </w:rPr>
      </w:pPr>
      <w:r>
        <w:rPr>
          <w:rFonts w:ascii="Arial" w:hAnsi="Arial"/>
          <w:b/>
          <w:i/>
          <w:color w:val="010101"/>
          <w:w w:val="110"/>
          <w:sz w:val="18"/>
        </w:rPr>
        <w:t>iiz+• </w:t>
      </w:r>
      <w:r>
        <w:rPr>
          <w:color w:val="010101"/>
          <w:w w:val="110"/>
          <w:sz w:val="26"/>
        </w:rPr>
        <w:t>= </w:t>
      </w:r>
      <w:r>
        <w:rPr>
          <w:b/>
          <w:color w:val="010101"/>
          <w:w w:val="110"/>
          <w:sz w:val="20"/>
        </w:rPr>
        <w:t>{l </w:t>
      </w:r>
      <w:r>
        <w:rPr>
          <w:rFonts w:ascii="Arial" w:hAnsi="Arial"/>
          <w:color w:val="010101"/>
          <w:w w:val="110"/>
          <w:sz w:val="31"/>
        </w:rPr>
        <w:t>+ </w:t>
      </w:r>
      <w:r>
        <w:rPr>
          <w:b/>
          <w:i/>
          <w:color w:val="010101"/>
          <w:w w:val="110"/>
          <w:sz w:val="21"/>
        </w:rPr>
        <w:t>k </w:t>
      </w:r>
      <w:r>
        <w:rPr>
          <w:rFonts w:ascii="Arial" w:hAnsi="Arial"/>
          <w:b/>
          <w:color w:val="010101"/>
          <w:w w:val="110"/>
          <w:sz w:val="19"/>
        </w:rPr>
        <w:t>)&lt;4+• </w:t>
      </w:r>
      <w:r>
        <w:rPr>
          <w:rFonts w:ascii="Arial" w:hAnsi="Arial"/>
          <w:color w:val="010101"/>
          <w:w w:val="145"/>
          <w:sz w:val="19"/>
        </w:rPr>
        <w:t>,</w:t>
      </w:r>
    </w:p>
    <w:p>
      <w:pPr>
        <w:spacing w:after="0"/>
        <w:jc w:val="left"/>
        <w:rPr>
          <w:rFonts w:ascii="Arial" w:hAnsi="Arial"/>
          <w:sz w:val="19"/>
        </w:rPr>
        <w:sectPr>
          <w:pgSz w:w="7200" w:h="11340"/>
          <w:pgMar w:top="500" w:bottom="280" w:left="680" w:right="540"/>
          <w:cols w:num="2" w:equalWidth="0">
            <w:col w:w="1913" w:space="40"/>
            <w:col w:w="4027"/>
          </w:cols>
        </w:sectPr>
      </w:pPr>
    </w:p>
    <w:p>
      <w:pPr>
        <w:spacing w:before="89"/>
        <w:ind w:left="109" w:right="739" w:firstLine="0"/>
        <w:jc w:val="left"/>
        <w:rPr>
          <w:sz w:val="20"/>
        </w:rPr>
      </w:pPr>
      <w:r>
        <w:rPr>
          <w:color w:val="010101"/>
          <w:w w:val="110"/>
          <w:sz w:val="20"/>
        </w:rPr>
        <w:t>it  </w:t>
      </w:r>
      <w:r>
        <w:rPr>
          <w:color w:val="010101"/>
          <w:w w:val="110"/>
          <w:sz w:val="19"/>
        </w:rPr>
        <w:t>follows </w:t>
      </w:r>
      <w:r>
        <w:rPr>
          <w:color w:val="010101"/>
          <w:w w:val="110"/>
          <w:sz w:val="20"/>
        </w:rPr>
        <w:t>by  </w:t>
      </w:r>
      <w:r>
        <w:rPr>
          <w:color w:val="010101"/>
          <w:w w:val="110"/>
          <w:sz w:val="19"/>
        </w:rPr>
        <w:t>induction </w:t>
      </w:r>
      <w:r>
        <w:rPr>
          <w:color w:val="010101"/>
          <w:w w:val="110"/>
          <w:sz w:val="20"/>
        </w:rPr>
        <w:t>that</w:t>
      </w:r>
    </w:p>
    <w:p>
      <w:pPr>
        <w:spacing w:line="356" w:lineRule="exact" w:before="40"/>
        <w:ind w:left="74" w:right="102" w:firstLine="0"/>
        <w:jc w:val="center"/>
        <w:rPr>
          <w:rFonts w:ascii="Arial" w:hAnsi="Arial"/>
          <w:i/>
          <w:sz w:val="19"/>
        </w:rPr>
      </w:pPr>
      <w:r>
        <w:rPr>
          <w:b/>
          <w:i/>
          <w:color w:val="010101"/>
          <w:w w:val="90"/>
          <w:sz w:val="23"/>
        </w:rPr>
        <w:t>áw </w:t>
      </w:r>
      <w:r>
        <w:rPr>
          <w:color w:val="010101"/>
          <w:sz w:val="26"/>
        </w:rPr>
        <w:t>= </w:t>
      </w:r>
      <w:r>
        <w:rPr>
          <w:rFonts w:ascii="Arial" w:hAnsi="Arial"/>
          <w:color w:val="010101"/>
          <w:sz w:val="19"/>
        </w:rPr>
        <w:t>(1 </w:t>
      </w:r>
      <w:r>
        <w:rPr>
          <w:rFonts w:ascii="Arial" w:hAnsi="Arial"/>
          <w:color w:val="010101"/>
          <w:sz w:val="31"/>
        </w:rPr>
        <w:t>+ </w:t>
      </w:r>
      <w:r>
        <w:rPr>
          <w:rFonts w:ascii="Arial" w:hAnsi="Arial"/>
          <w:i/>
          <w:color w:val="010101"/>
          <w:sz w:val="19"/>
        </w:rPr>
        <w:t>k )a;</w:t>
      </w:r>
    </w:p>
    <w:p>
      <w:pPr>
        <w:tabs>
          <w:tab w:pos="4786" w:val="left" w:leader="none"/>
          <w:tab w:pos="5213" w:val="left" w:leader="none"/>
        </w:tabs>
        <w:spacing w:line="356" w:lineRule="exact" w:before="0"/>
        <w:ind w:left="2726" w:right="0" w:firstLine="0"/>
        <w:jc w:val="left"/>
        <w:rPr>
          <w:i/>
          <w:sz w:val="20"/>
        </w:rPr>
      </w:pPr>
      <w:r>
        <w:rPr>
          <w:color w:val="010101"/>
          <w:w w:val="105"/>
          <w:sz w:val="20"/>
        </w:rPr>
        <w:t>for ali </w:t>
      </w:r>
      <w:r>
        <w:rPr>
          <w:rFonts w:ascii="Arial"/>
          <w:i/>
          <w:color w:val="010101"/>
          <w:w w:val="105"/>
          <w:sz w:val="19"/>
        </w:rPr>
        <w:t>y </w:t>
      </w:r>
      <w:r>
        <w:rPr>
          <w:color w:val="010101"/>
          <w:w w:val="105"/>
          <w:sz w:val="20"/>
        </w:rPr>
        <w:t>such </w:t>
      </w:r>
      <w:r>
        <w:rPr>
          <w:color w:val="010101"/>
          <w:spacing w:val="25"/>
          <w:w w:val="105"/>
          <w:sz w:val="20"/>
        </w:rPr>
        <w:t> </w:t>
      </w:r>
      <w:r>
        <w:rPr>
          <w:color w:val="010101"/>
          <w:w w:val="105"/>
          <w:sz w:val="20"/>
        </w:rPr>
        <w:t>that</w:t>
      </w:r>
      <w:r>
        <w:rPr>
          <w:color w:val="010101"/>
          <w:spacing w:val="20"/>
          <w:w w:val="105"/>
          <w:sz w:val="20"/>
        </w:rPr>
        <w:t> </w:t>
      </w:r>
      <w:r>
        <w:rPr>
          <w:i/>
          <w:color w:val="010101"/>
          <w:w w:val="105"/>
          <w:sz w:val="20"/>
        </w:rPr>
        <w:t>x</w:t>
        <w:tab/>
      </w:r>
      <w:r>
        <w:rPr>
          <w:rFonts w:ascii="Arial"/>
          <w:i/>
          <w:color w:val="010101"/>
          <w:w w:val="105"/>
          <w:sz w:val="19"/>
        </w:rPr>
        <w:t>y</w:t>
        <w:tab/>
      </w:r>
      <w:r>
        <w:rPr>
          <w:i/>
          <w:color w:val="010101"/>
          <w:w w:val="105"/>
          <w:sz w:val="20"/>
        </w:rPr>
        <w:t>x  </w:t>
      </w:r>
      <w:r>
        <w:rPr>
          <w:rFonts w:ascii="Arial"/>
          <w:color w:val="010101"/>
          <w:w w:val="105"/>
          <w:sz w:val="31"/>
        </w:rPr>
        <w:t>+</w:t>
      </w:r>
      <w:r>
        <w:rPr>
          <w:rFonts w:ascii="Arial"/>
          <w:color w:val="010101"/>
          <w:spacing w:val="-28"/>
          <w:w w:val="105"/>
          <w:sz w:val="31"/>
        </w:rPr>
        <w:t> </w:t>
      </w:r>
      <w:r>
        <w:rPr>
          <w:i/>
          <w:color w:val="010101"/>
          <w:w w:val="105"/>
          <w:sz w:val="20"/>
        </w:rPr>
        <w:t>m,</w:t>
      </w:r>
    </w:p>
    <w:p>
      <w:pPr>
        <w:spacing w:after="0" w:line="356" w:lineRule="exact"/>
        <w:jc w:val="left"/>
        <w:rPr>
          <w:sz w:val="20"/>
        </w:rPr>
        <w:sectPr>
          <w:type w:val="continuous"/>
          <w:pgSz w:w="7200" w:h="11340"/>
          <w:pgMar w:top="1100" w:bottom="0" w:left="680" w:right="540"/>
        </w:sectPr>
      </w:pPr>
    </w:p>
    <w:p>
      <w:pPr>
        <w:pStyle w:val="BodyText"/>
        <w:spacing w:before="107"/>
        <w:ind w:left="109"/>
      </w:pPr>
      <w:r>
        <w:rPr>
          <w:color w:val="010101"/>
          <w:w w:val="110"/>
        </w:rPr>
        <w:t>and hence that</w:t>
      </w:r>
    </w:p>
    <w:p>
      <w:pPr>
        <w:pStyle w:val="BodyText"/>
        <w:rPr>
          <w:sz w:val="24"/>
        </w:rPr>
      </w:pPr>
      <w:r>
        <w:rPr/>
        <w:br w:type="column"/>
      </w:r>
      <w:r>
        <w:rPr>
          <w:sz w:val="24"/>
        </w:rPr>
      </w:r>
    </w:p>
    <w:p>
      <w:pPr>
        <w:tabs>
          <w:tab w:pos="3232" w:val="left" w:leader="none"/>
          <w:tab w:pos="3659" w:val="left" w:leader="none"/>
        </w:tabs>
        <w:spacing w:before="160"/>
        <w:ind w:left="109" w:right="0" w:firstLine="0"/>
        <w:jc w:val="left"/>
        <w:rPr>
          <w:i/>
          <w:sz w:val="20"/>
        </w:rPr>
      </w:pPr>
      <w:r>
        <w:rPr>
          <w:i/>
          <w:color w:val="010101"/>
          <w:sz w:val="21"/>
        </w:rPr>
        <w:t>,V   </w:t>
      </w:r>
      <w:r>
        <w:rPr>
          <w:color w:val="010101"/>
          <w:sz w:val="24"/>
        </w:rPr>
        <w:t>=  </w:t>
      </w:r>
      <w:r>
        <w:rPr>
          <w:i/>
          <w:color w:val="010101"/>
          <w:spacing w:val="6"/>
          <w:sz w:val="21"/>
        </w:rPr>
        <w:t>tVz  </w:t>
      </w:r>
      <w:r>
        <w:rPr>
          <w:color w:val="010101"/>
          <w:sz w:val="20"/>
        </w:rPr>
        <w:t>for  all  </w:t>
      </w:r>
      <w:r>
        <w:rPr>
          <w:rFonts w:ascii="Arial"/>
          <w:i/>
          <w:color w:val="010101"/>
          <w:sz w:val="18"/>
        </w:rPr>
        <w:t>t  </w:t>
      </w:r>
      <w:r>
        <w:rPr>
          <w:color w:val="010101"/>
          <w:sz w:val="20"/>
        </w:rPr>
        <w:t>such</w:t>
      </w:r>
      <w:r>
        <w:rPr>
          <w:color w:val="010101"/>
          <w:spacing w:val="15"/>
          <w:sz w:val="20"/>
        </w:rPr>
        <w:t> </w:t>
      </w:r>
      <w:r>
        <w:rPr>
          <w:color w:val="010101"/>
          <w:sz w:val="20"/>
        </w:rPr>
        <w:t>that</w:t>
      </w:r>
      <w:r>
        <w:rPr>
          <w:color w:val="010101"/>
          <w:spacing w:val="43"/>
          <w:sz w:val="20"/>
        </w:rPr>
        <w:t> </w:t>
      </w:r>
      <w:r>
        <w:rPr>
          <w:color w:val="010101"/>
          <w:sz w:val="20"/>
        </w:rPr>
        <w:t>O</w:t>
        <w:tab/>
      </w:r>
      <w:r>
        <w:rPr>
          <w:rFonts w:ascii="Arial"/>
          <w:i/>
          <w:color w:val="010101"/>
          <w:sz w:val="18"/>
        </w:rPr>
        <w:t>t</w:t>
        <w:tab/>
      </w:r>
      <w:r>
        <w:rPr>
          <w:i/>
          <w:color w:val="010101"/>
          <w:sz w:val="20"/>
        </w:rPr>
        <w:t>m.</w:t>
      </w:r>
    </w:p>
    <w:p>
      <w:pPr>
        <w:spacing w:after="0"/>
        <w:jc w:val="left"/>
        <w:rPr>
          <w:sz w:val="20"/>
        </w:rPr>
        <w:sectPr>
          <w:type w:val="continuous"/>
          <w:pgSz w:w="7200" w:h="11340"/>
          <w:pgMar w:top="1100" w:bottom="0" w:left="680" w:right="540"/>
          <w:cols w:num="2" w:equalWidth="0">
            <w:col w:w="1400" w:space="603"/>
            <w:col w:w="3977"/>
          </w:cols>
        </w:sectPr>
      </w:pPr>
    </w:p>
    <w:p>
      <w:pPr>
        <w:pStyle w:val="BodyText"/>
        <w:spacing w:before="8"/>
        <w:rPr>
          <w:i/>
          <w:sz w:val="14"/>
        </w:rPr>
      </w:pPr>
    </w:p>
    <w:p>
      <w:pPr>
        <w:pStyle w:val="ListParagraph"/>
        <w:numPr>
          <w:ilvl w:val="0"/>
          <w:numId w:val="47"/>
        </w:numPr>
        <w:tabs>
          <w:tab w:pos="473" w:val="left" w:leader="none"/>
        </w:tabs>
        <w:spacing w:line="240" w:lineRule="auto" w:before="1" w:after="0"/>
        <w:ind w:left="472" w:right="0" w:hanging="348"/>
        <w:jc w:val="left"/>
        <w:rPr>
          <w:b/>
          <w:color w:val="010101"/>
          <w:sz w:val="19"/>
        </w:rPr>
      </w:pPr>
      <w:r>
        <w:rPr>
          <w:b/>
          <w:color w:val="010101"/>
          <w:w w:val="120"/>
          <w:sz w:val="19"/>
        </w:rPr>
        <w:t>Payment of reserve in addition to face</w:t>
      </w:r>
      <w:r>
        <w:rPr>
          <w:b/>
          <w:color w:val="010101"/>
          <w:spacing w:val="52"/>
          <w:w w:val="120"/>
          <w:sz w:val="19"/>
        </w:rPr>
        <w:t> </w:t>
      </w:r>
      <w:r>
        <w:rPr>
          <w:b/>
          <w:color w:val="010101"/>
          <w:w w:val="120"/>
          <w:sz w:val="19"/>
        </w:rPr>
        <w:t>amount</w:t>
      </w:r>
    </w:p>
    <w:p>
      <w:pPr>
        <w:pStyle w:val="BodyText"/>
        <w:spacing w:line="249" w:lineRule="auto" w:before="88"/>
        <w:ind w:left="113" w:right="119" w:firstLine="197"/>
        <w:jc w:val="both"/>
      </w:pPr>
      <w:r>
        <w:rPr>
          <w:color w:val="010101"/>
          <w:w w:val="105"/>
        </w:rPr>
        <w:t>The nature of the reserve is not always dearly  understood  by those who purchase life insurance, and there havc been many demands upon insurance compan ies for the paymen t of thc reserve in addition </w:t>
      </w:r>
      <w:r>
        <w:rPr>
          <w:color w:val="010101"/>
          <w:w w:val="105"/>
          <w:sz w:val="22"/>
        </w:rPr>
        <w:t>to </w:t>
      </w:r>
      <w:r>
        <w:rPr>
          <w:color w:val="010101"/>
          <w:w w:val="105"/>
        </w:rPr>
        <w:t>the faee amount of insurance upon the death of the insured. In the case of the usual insurance contract, such a demand must be met with an explanation that the premiums  are calculated to provide only the face amount of insurance at death, and  that  they are not sufficient to cover the increasing amounts of insurance that would result from the additional  payment  of  the amount  of the reserve. The insured must </w:t>
      </w:r>
      <w:r>
        <w:rPr>
          <w:color w:val="010101"/>
          <w:w w:val="105"/>
          <w:sz w:val="19"/>
        </w:rPr>
        <w:t>be </w:t>
      </w:r>
      <w:r>
        <w:rPr>
          <w:color w:val="010101"/>
          <w:w w:val="105"/>
        </w:rPr>
        <w:t>shown that  the reserve  at any  time while the policy is </w:t>
      </w:r>
      <w:r>
        <w:rPr>
          <w:rFonts w:ascii="Arial" w:hAnsi="Arial"/>
          <w:color w:val="010101"/>
          <w:w w:val="105"/>
        </w:rPr>
        <w:t>in </w:t>
      </w:r>
      <w:r>
        <w:rPr>
          <w:color w:val="010101"/>
          <w:w w:val="105"/>
        </w:rPr>
        <w:t>existence is a measure of  the value of  the policy at that time, not a surplus accumulated in excess of that value, and that it</w:t>
      </w:r>
      <w:r>
        <w:rPr>
          <w:color w:val="2D2D2D"/>
          <w:w w:val="105"/>
        </w:rPr>
        <w:t>. </w:t>
      </w:r>
      <w:r>
        <w:rPr>
          <w:color w:val="010101"/>
          <w:w w:val="105"/>
        </w:rPr>
        <w:t>exists oruy as a technical or accounting conse­ quence of the payment of a level premium for a risk which iu­ creases from year to</w:t>
      </w:r>
      <w:r>
        <w:rPr>
          <w:color w:val="010101"/>
          <w:spacing w:val="25"/>
          <w:w w:val="105"/>
        </w:rPr>
        <w:t> </w:t>
      </w:r>
      <w:r>
        <w:rPr>
          <w:color w:val="010101"/>
          <w:w w:val="105"/>
        </w:rPr>
        <w:t>year.</w:t>
      </w:r>
    </w:p>
    <w:p>
      <w:pPr>
        <w:pStyle w:val="BodyText"/>
        <w:tabs>
          <w:tab w:pos="4998" w:val="left" w:leader="none"/>
        </w:tabs>
        <w:spacing w:line="249" w:lineRule="auto" w:before="2"/>
        <w:ind w:left="120" w:right="119" w:firstLine="204"/>
        <w:jc w:val="both"/>
      </w:pPr>
      <w:r>
        <w:rPr>
          <w:color w:val="010101"/>
          <w:w w:val="110"/>
        </w:rPr>
        <w:t>lt </w:t>
      </w:r>
      <w:r>
        <w:rPr>
          <w:color w:val="010101"/>
        </w:rPr>
        <w:t>is possible, however, to prepare a special type of  policy  which will provide for the payment of the amount of its  reserve  in  ad­  dition to the face amount of insurance upon death. Such a policy requires a net prcmium correspondingly higher than  when  only  the </w:t>
      </w:r>
      <w:r>
        <w:rPr>
          <w:rFonts w:ascii="Arial" w:hAnsi="Arial"/>
          <w:color w:val="010101"/>
          <w:spacing w:val="2"/>
          <w:sz w:val="18"/>
        </w:rPr>
        <w:t>f</w:t>
      </w:r>
      <w:r>
        <w:rPr>
          <w:color w:val="010101"/>
          <w:spacing w:val="2"/>
        </w:rPr>
        <w:t>ace </w:t>
      </w:r>
      <w:r>
        <w:rPr>
          <w:color w:val="010101"/>
        </w:rPr>
        <w:t>amount is payable. The method of determining the necessary special premium will be illustrated for the case of an ordinary life insurance.</w:t>
        <w:tab/>
      </w:r>
      <w:r>
        <w:rPr>
          <w:color w:val="010101"/>
          <w:w w:val="85"/>
        </w:rPr>
        <w:t>,</w:t>
      </w:r>
    </w:p>
    <w:p>
      <w:pPr>
        <w:pStyle w:val="BodyText"/>
        <w:spacing w:line="235" w:lineRule="auto"/>
        <w:ind w:left="116" w:right="121" w:firstLine="204"/>
        <w:jc w:val="both"/>
        <w:rPr>
          <w:i/>
        </w:rPr>
      </w:pPr>
      <w:r>
        <w:rPr>
          <w:color w:val="010101"/>
          <w:spacing w:val="3"/>
          <w:w w:val="105"/>
        </w:rPr>
        <w:t>We </w:t>
      </w:r>
      <w:r>
        <w:rPr>
          <w:color w:val="010101"/>
          <w:w w:val="105"/>
        </w:rPr>
        <w:t>will assume that an ordinary life insurance of 1 is issued at age </w:t>
      </w:r>
      <w:r>
        <w:rPr>
          <w:rFonts w:ascii="Arial"/>
          <w:i/>
          <w:color w:val="010101"/>
          <w:w w:val="105"/>
          <w:sz w:val="18"/>
        </w:rPr>
        <w:t>x </w:t>
      </w:r>
      <w:r>
        <w:rPr>
          <w:color w:val="010101"/>
          <w:w w:val="105"/>
        </w:rPr>
        <w:t>with the provision  that  the reserve </w:t>
      </w:r>
      <w:r>
        <w:rPr>
          <w:color w:val="010101"/>
          <w:w w:val="105"/>
          <w:sz w:val="21"/>
        </w:rPr>
        <w:t>will </w:t>
      </w:r>
      <w:r>
        <w:rPr>
          <w:color w:val="010101"/>
          <w:w w:val="105"/>
        </w:rPr>
        <w:t>be paid  </w:t>
      </w:r>
      <w:r>
        <w:rPr>
          <w:rFonts w:ascii="Arial"/>
          <w:color w:val="010101"/>
          <w:w w:val="105"/>
        </w:rPr>
        <w:t>in </w:t>
      </w:r>
      <w:r>
        <w:rPr>
          <w:color w:val="010101"/>
          <w:w w:val="105"/>
        </w:rPr>
        <w:t>addition  to the face amount in the event of death during  the first  </w:t>
      </w:r>
      <w:r>
        <w:rPr>
          <w:i/>
          <w:color w:val="010101"/>
          <w:w w:val="105"/>
          <w:sz w:val="22"/>
        </w:rPr>
        <w:t>n </w:t>
      </w:r>
      <w:r>
        <w:rPr>
          <w:color w:val="010101"/>
          <w:w w:val="105"/>
        </w:rPr>
        <w:t>years, the extra premium  for the additional  benefit  to  be payable  for   </w:t>
      </w:r>
      <w:r>
        <w:rPr>
          <w:color w:val="010101"/>
          <w:spacing w:val="14"/>
          <w:w w:val="105"/>
        </w:rPr>
        <w:t> </w:t>
      </w:r>
      <w:r>
        <w:rPr>
          <w:i/>
          <w:color w:val="010101"/>
          <w:w w:val="105"/>
        </w:rPr>
        <w:t>n</w:t>
      </w:r>
    </w:p>
    <w:p>
      <w:pPr>
        <w:spacing w:after="0" w:line="235" w:lineRule="auto"/>
        <w:jc w:val="both"/>
        <w:sectPr>
          <w:type w:val="continuous"/>
          <w:pgSz w:w="7200" w:h="11340"/>
          <w:pgMar w:top="1100" w:bottom="0" w:left="680" w:right="540"/>
        </w:sectPr>
      </w:pPr>
    </w:p>
    <w:p>
      <w:pPr>
        <w:tabs>
          <w:tab w:pos="1636" w:val="left" w:leader="none"/>
          <w:tab w:pos="5395" w:val="left" w:leader="none"/>
        </w:tabs>
        <w:spacing w:before="53"/>
        <w:ind w:left="142" w:right="0" w:firstLine="21"/>
        <w:jc w:val="both"/>
        <w:rPr>
          <w:rFonts w:ascii="Arial"/>
          <w:sz w:val="18"/>
        </w:rPr>
      </w:pPr>
      <w:r>
        <w:rPr>
          <w:sz w:val="19"/>
        </w:rPr>
        <w:t>124</w:t>
        <w:tab/>
      </w:r>
      <w:r>
        <w:rPr>
          <w:position w:val="1"/>
          <w:sz w:val="15"/>
        </w:rPr>
        <w:t>NET    LEVEL   </w:t>
      </w:r>
      <w:r>
        <w:rPr>
          <w:spacing w:val="8"/>
          <w:position w:val="1"/>
          <w:sz w:val="15"/>
        </w:rPr>
        <w:t> </w:t>
      </w:r>
      <w:r>
        <w:rPr>
          <w:b/>
          <w:position w:val="1"/>
          <w:sz w:val="14"/>
        </w:rPr>
        <w:t>PREMIUM   </w:t>
      </w:r>
      <w:r>
        <w:rPr>
          <w:b/>
          <w:spacing w:val="30"/>
          <w:position w:val="1"/>
          <w:sz w:val="14"/>
        </w:rPr>
        <w:t> </w:t>
      </w:r>
      <w:r>
        <w:rPr>
          <w:position w:val="1"/>
          <w:sz w:val="15"/>
        </w:rPr>
        <w:t>RESERVES</w:t>
        <w:tab/>
      </w:r>
      <w:r>
        <w:rPr>
          <w:b/>
          <w:w w:val="95"/>
          <w:sz w:val="19"/>
        </w:rPr>
        <w:t>(CH.</w:t>
      </w:r>
      <w:r>
        <w:rPr>
          <w:b/>
          <w:spacing w:val="-9"/>
          <w:w w:val="95"/>
          <w:sz w:val="19"/>
        </w:rPr>
        <w:t> </w:t>
      </w:r>
      <w:r>
        <w:rPr>
          <w:rFonts w:ascii="Arial"/>
          <w:w w:val="95"/>
          <w:sz w:val="18"/>
        </w:rPr>
        <w:t>5</w:t>
      </w:r>
    </w:p>
    <w:p>
      <w:pPr>
        <w:pStyle w:val="BodyText"/>
        <w:spacing w:before="159"/>
        <w:ind w:left="142" w:right="128"/>
        <w:jc w:val="both"/>
        <w:rPr>
          <w:rFonts w:ascii="Arial"/>
          <w:sz w:val="19"/>
        </w:rPr>
      </w:pPr>
      <w:r>
        <w:rPr>
          <w:w w:val="105"/>
        </w:rPr>
        <w:t>years. The death benefit in  the  </w:t>
      </w:r>
      <w:r>
        <w:rPr>
          <w:rFonts w:ascii="Arial"/>
          <w:i/>
          <w:w w:val="105"/>
          <w:sz w:val="18"/>
        </w:rPr>
        <w:t>(t  </w:t>
      </w:r>
      <w:r>
        <w:rPr>
          <w:w w:val="105"/>
          <w:sz w:val="29"/>
        </w:rPr>
        <w:t>+ </w:t>
      </w:r>
      <w:r>
        <w:rPr>
          <w:w w:val="105"/>
        </w:rPr>
        <w:t>1)-th  year  is  1 </w:t>
      </w:r>
      <w:r>
        <w:rPr>
          <w:w w:val="105"/>
          <w:sz w:val="29"/>
        </w:rPr>
        <w:t>+ </w:t>
      </w:r>
      <w:r>
        <w:rPr>
          <w:i/>
          <w:w w:val="105"/>
          <w:sz w:val="15"/>
        </w:rPr>
        <w:t>t+i </w:t>
      </w:r>
      <w:r>
        <w:rPr>
          <w:rFonts w:ascii="Arial"/>
          <w:i/>
          <w:w w:val="105"/>
        </w:rPr>
        <w:t>V </w:t>
      </w:r>
      <w:r>
        <w:rPr>
          <w:w w:val="105"/>
        </w:rPr>
        <w:t>and the corresponding cost  of  insurance  based  upon  thc net  amount at  risk </w:t>
      </w:r>
      <w:r>
        <w:rPr>
          <w:rFonts w:ascii="Arial"/>
          <w:w w:val="105"/>
          <w:sz w:val="19"/>
        </w:rPr>
        <w:t>is</w:t>
      </w:r>
    </w:p>
    <w:p>
      <w:pPr>
        <w:spacing w:before="33"/>
        <w:ind w:left="1230" w:right="0" w:firstLine="0"/>
        <w:jc w:val="left"/>
        <w:rPr>
          <w:sz w:val="21"/>
        </w:rPr>
      </w:pPr>
      <w:r>
        <w:rPr>
          <w:i/>
          <w:w w:val="124"/>
          <w:sz w:val="21"/>
        </w:rPr>
        <w:t>K</w:t>
      </w:r>
      <w:r>
        <w:rPr>
          <w:i/>
          <w:spacing w:val="-18"/>
          <w:w w:val="124"/>
          <w:sz w:val="21"/>
        </w:rPr>
        <w:t>.</w:t>
      </w:r>
      <w:r>
        <w:rPr>
          <w:i/>
          <w:w w:val="77"/>
          <w:sz w:val="21"/>
        </w:rPr>
        <w:t>+t</w:t>
      </w:r>
      <w:r>
        <w:rPr>
          <w:i/>
          <w:sz w:val="21"/>
        </w:rPr>
        <w:t> </w:t>
      </w:r>
      <w:r>
        <w:rPr>
          <w:i/>
          <w:spacing w:val="-6"/>
          <w:sz w:val="21"/>
        </w:rPr>
        <w:t> </w:t>
      </w:r>
      <w:r>
        <w:rPr>
          <w:w w:val="101"/>
          <w:sz w:val="23"/>
        </w:rPr>
        <w:t>=</w:t>
      </w:r>
      <w:r>
        <w:rPr>
          <w:sz w:val="23"/>
        </w:rPr>
        <w:t> </w:t>
      </w:r>
      <w:r>
        <w:rPr>
          <w:spacing w:val="-10"/>
          <w:sz w:val="23"/>
        </w:rPr>
        <w:t> </w:t>
      </w:r>
      <w:r>
        <w:rPr>
          <w:i/>
          <w:w w:val="113"/>
          <w:sz w:val="21"/>
        </w:rPr>
        <w:t>q</w:t>
      </w:r>
      <w:r>
        <w:rPr>
          <w:i/>
          <w:spacing w:val="-27"/>
          <w:w w:val="113"/>
          <w:sz w:val="21"/>
        </w:rPr>
        <w:t>.</w:t>
      </w:r>
      <w:r>
        <w:rPr>
          <w:i/>
          <w:w w:val="77"/>
          <w:sz w:val="21"/>
        </w:rPr>
        <w:t>+</w:t>
      </w:r>
      <w:r>
        <w:rPr>
          <w:i/>
          <w:spacing w:val="9"/>
          <w:w w:val="77"/>
          <w:sz w:val="21"/>
        </w:rPr>
        <w:t>t</w:t>
      </w:r>
      <w:r>
        <w:rPr>
          <w:i/>
          <w:w w:val="45"/>
          <w:sz w:val="21"/>
        </w:rPr>
        <w:t>[</w:t>
      </w:r>
      <w:r>
        <w:rPr>
          <w:i/>
          <w:spacing w:val="-22"/>
          <w:sz w:val="21"/>
        </w:rPr>
        <w:t> </w:t>
      </w:r>
      <w:r>
        <w:rPr>
          <w:w w:val="92"/>
          <w:sz w:val="21"/>
        </w:rPr>
        <w:t>(</w:t>
      </w:r>
      <w:r>
        <w:rPr>
          <w:spacing w:val="-24"/>
          <w:sz w:val="21"/>
        </w:rPr>
        <w:t> </w:t>
      </w:r>
      <w:r>
        <w:rPr>
          <w:rFonts w:ascii="Arial"/>
          <w:w w:val="120"/>
          <w:sz w:val="20"/>
        </w:rPr>
        <w:t>1</w:t>
      </w:r>
      <w:r>
        <w:rPr>
          <w:rFonts w:ascii="Arial"/>
          <w:spacing w:val="-29"/>
          <w:sz w:val="20"/>
        </w:rPr>
        <w:t> </w:t>
      </w:r>
      <w:r>
        <w:rPr>
          <w:rFonts w:ascii="Arial"/>
          <w:w w:val="107"/>
          <w:sz w:val="31"/>
        </w:rPr>
        <w:t>+</w:t>
      </w:r>
      <w:r>
        <w:rPr>
          <w:rFonts w:ascii="Arial"/>
          <w:spacing w:val="-23"/>
          <w:sz w:val="31"/>
        </w:rPr>
        <w:t> </w:t>
      </w:r>
      <w:r>
        <w:rPr>
          <w:w w:val="104"/>
          <w:sz w:val="15"/>
        </w:rPr>
        <w:t>a+l</w:t>
      </w:r>
      <w:r>
        <w:rPr>
          <w:spacing w:val="-20"/>
          <w:sz w:val="15"/>
        </w:rPr>
        <w:t> </w:t>
      </w:r>
      <w:r>
        <w:rPr>
          <w:i/>
          <w:spacing w:val="21"/>
          <w:w w:val="106"/>
          <w:sz w:val="21"/>
        </w:rPr>
        <w:t>V</w:t>
      </w:r>
      <w:r>
        <w:rPr>
          <w:i/>
          <w:w w:val="71"/>
          <w:sz w:val="21"/>
        </w:rPr>
        <w:t>)</w:t>
      </w:r>
      <w:r>
        <w:rPr>
          <w:i/>
          <w:sz w:val="21"/>
        </w:rPr>
        <w:t> </w:t>
      </w:r>
      <w:r>
        <w:rPr>
          <w:i/>
          <w:spacing w:val="17"/>
          <w:sz w:val="21"/>
        </w:rPr>
        <w:t> </w:t>
      </w:r>
      <w:r>
        <w:rPr>
          <w:w w:val="268"/>
          <w:sz w:val="21"/>
        </w:rPr>
        <w:t>-</w:t>
      </w:r>
      <w:r>
        <w:rPr>
          <w:sz w:val="21"/>
        </w:rPr>
        <w:t> </w:t>
      </w:r>
      <w:r>
        <w:rPr>
          <w:w w:val="132"/>
          <w:sz w:val="15"/>
        </w:rPr>
        <w:t>Hl</w:t>
      </w:r>
      <w:r>
        <w:rPr>
          <w:spacing w:val="-18"/>
          <w:sz w:val="15"/>
        </w:rPr>
        <w:t> </w:t>
      </w:r>
      <w:r>
        <w:rPr>
          <w:rFonts w:ascii="Arial"/>
          <w:w w:val="102"/>
          <w:sz w:val="20"/>
        </w:rPr>
        <w:t>V]</w:t>
      </w:r>
      <w:r>
        <w:rPr>
          <w:rFonts w:ascii="Arial"/>
          <w:sz w:val="20"/>
        </w:rPr>
        <w:t> </w:t>
      </w:r>
      <w:r>
        <w:rPr>
          <w:rFonts w:ascii="Arial"/>
          <w:spacing w:val="-11"/>
          <w:sz w:val="20"/>
        </w:rPr>
        <w:t> </w:t>
      </w:r>
      <w:r>
        <w:rPr>
          <w:w w:val="101"/>
          <w:sz w:val="23"/>
        </w:rPr>
        <w:t>=</w:t>
      </w:r>
      <w:r>
        <w:rPr>
          <w:sz w:val="23"/>
        </w:rPr>
        <w:t> </w:t>
      </w:r>
      <w:r>
        <w:rPr>
          <w:spacing w:val="-14"/>
          <w:sz w:val="23"/>
        </w:rPr>
        <w:t> </w:t>
      </w:r>
      <w:r>
        <w:rPr>
          <w:i/>
          <w:w w:val="119"/>
          <w:sz w:val="21"/>
        </w:rPr>
        <w:t>q</w:t>
      </w:r>
      <w:r>
        <w:rPr>
          <w:i/>
          <w:spacing w:val="-33"/>
          <w:w w:val="119"/>
          <w:sz w:val="21"/>
        </w:rPr>
        <w:t>.</w:t>
      </w:r>
      <w:r>
        <w:rPr>
          <w:i/>
          <w:w w:val="77"/>
          <w:sz w:val="21"/>
        </w:rPr>
        <w:t>+t</w:t>
      </w:r>
      <w:r>
        <w:rPr>
          <w:i/>
          <w:spacing w:val="7"/>
          <w:sz w:val="21"/>
        </w:rPr>
        <w:t> </w:t>
      </w:r>
      <w:r>
        <w:rPr>
          <w:w w:val="141"/>
          <w:sz w:val="21"/>
        </w:rPr>
        <w:t>.</w:t>
      </w:r>
    </w:p>
    <w:p>
      <w:pPr>
        <w:pStyle w:val="BodyText"/>
        <w:spacing w:line="237" w:lineRule="auto" w:before="88"/>
        <w:ind w:left="139" w:right="136" w:firstLine="10"/>
        <w:jc w:val="both"/>
      </w:pPr>
      <w:r>
        <w:rPr>
          <w:spacing w:val="2"/>
          <w:w w:val="105"/>
        </w:rPr>
        <w:t>We </w:t>
      </w:r>
      <w:r>
        <w:rPr>
          <w:w w:val="105"/>
        </w:rPr>
        <w:t>can now  determine  the  premium  </w:t>
      </w:r>
      <w:r>
        <w:rPr>
          <w:rFonts w:ascii="Arial"/>
          <w:i/>
          <w:w w:val="105"/>
          <w:sz w:val="19"/>
        </w:rPr>
        <w:t>P </w:t>
      </w:r>
      <w:r>
        <w:rPr>
          <w:w w:val="105"/>
        </w:rPr>
        <w:t>payable  during  the first  </w:t>
      </w:r>
      <w:r>
        <w:rPr>
          <w:i/>
          <w:w w:val="105"/>
          <w:sz w:val="22"/>
        </w:rPr>
        <w:t>n </w:t>
      </w:r>
      <w:r>
        <w:rPr>
          <w:w w:val="105"/>
        </w:rPr>
        <w:t>years by using formula (5.18), where </w:t>
      </w:r>
      <w:r>
        <w:rPr>
          <w:i/>
          <w:w w:val="105"/>
          <w:sz w:val="21"/>
        </w:rPr>
        <w:t>,.V </w:t>
      </w:r>
      <w:r>
        <w:rPr>
          <w:w w:val="105"/>
        </w:rPr>
        <w:t>is simply the ordinary life reserve </w:t>
      </w:r>
      <w:r>
        <w:rPr>
          <w:w w:val="105"/>
          <w:position w:val="-2"/>
          <w:sz w:val="9"/>
        </w:rPr>
        <w:t>II </w:t>
      </w:r>
      <w:r>
        <w:rPr>
          <w:i/>
          <w:w w:val="105"/>
        </w:rPr>
        <w:t>Vs , </w:t>
      </w:r>
      <w:r>
        <w:rPr>
          <w:w w:val="105"/>
        </w:rPr>
        <w:t>the usual ordinary life death benefit being payable after </w:t>
      </w:r>
      <w:r>
        <w:rPr>
          <w:i/>
          <w:w w:val="105"/>
          <w:sz w:val="21"/>
        </w:rPr>
        <w:t>n </w:t>
      </w:r>
      <w:r>
        <w:rPr>
          <w:w w:val="105"/>
        </w:rPr>
        <w:t>years. We thus </w:t>
      </w:r>
      <w:r>
        <w:rPr>
          <w:spacing w:val="14"/>
          <w:w w:val="105"/>
        </w:rPr>
        <w:t> </w:t>
      </w:r>
      <w:r>
        <w:rPr>
          <w:w w:val="105"/>
        </w:rPr>
        <w:t>have</w:t>
      </w:r>
    </w:p>
    <w:p>
      <w:pPr>
        <w:spacing w:line="96" w:lineRule="exact" w:before="89"/>
        <w:ind w:left="293" w:right="544" w:firstLine="0"/>
        <w:jc w:val="center"/>
        <w:rPr>
          <w:b/>
          <w:sz w:val="13"/>
        </w:rPr>
      </w:pPr>
      <w:r>
        <w:rPr/>
        <w:pict>
          <v:shape style="position:absolute;margin-left:170.460007pt;margin-top:7.818903pt;width:20pt;height:17pt;mso-position-horizontal-relative:page;mso-position-vertical-relative:paragraph;z-index:-725056" type="#_x0000_t202" filled="false" stroked="false">
            <v:textbox inset="0,0,0,0">
              <w:txbxContent>
                <w:p>
                  <w:pPr>
                    <w:spacing w:line="340" w:lineRule="exact" w:before="0"/>
                    <w:ind w:left="0" w:right="0" w:firstLine="0"/>
                    <w:jc w:val="left"/>
                    <w:rPr>
                      <w:sz w:val="34"/>
                    </w:rPr>
                  </w:pPr>
                  <w:r>
                    <w:rPr>
                      <w:i/>
                      <w:sz w:val="34"/>
                    </w:rPr>
                    <w:t>L </w:t>
                  </w:r>
                  <w:r>
                    <w:rPr>
                      <w:w w:val="90"/>
                      <w:sz w:val="34"/>
                    </w:rPr>
                    <w:t>(</w:t>
                  </w:r>
                </w:p>
              </w:txbxContent>
            </v:textbox>
            <w10:wrap type="none"/>
          </v:shape>
        </w:pict>
      </w:r>
      <w:r>
        <w:rPr>
          <w:b/>
          <w:w w:val="120"/>
          <w:sz w:val="13"/>
        </w:rPr>
        <w:t>11-l</w:t>
      </w:r>
    </w:p>
    <w:p>
      <w:pPr>
        <w:tabs>
          <w:tab w:pos="3181" w:val="left" w:leader="none"/>
        </w:tabs>
        <w:spacing w:line="62" w:lineRule="exact" w:before="0"/>
        <w:ind w:left="1424" w:right="0" w:firstLine="0"/>
        <w:jc w:val="left"/>
        <w:rPr>
          <w:i/>
          <w:sz w:val="21"/>
        </w:rPr>
      </w:pPr>
      <w:r>
        <w:rPr>
          <w:rFonts w:ascii="Arial"/>
          <w:w w:val="107"/>
          <w:sz w:val="8"/>
        </w:rPr>
        <w:t>1</w:t>
      </w:r>
      <w:r>
        <w:rPr>
          <w:rFonts w:ascii="Arial"/>
          <w:spacing w:val="1"/>
          <w:w w:val="107"/>
          <w:sz w:val="8"/>
        </w:rPr>
        <w:t>1</w:t>
      </w:r>
      <w:r>
        <w:rPr>
          <w:i/>
          <w:w w:val="111"/>
          <w:sz w:val="32"/>
        </w:rPr>
        <w:t>v.</w:t>
      </w:r>
      <w:r>
        <w:rPr>
          <w:i/>
          <w:spacing w:val="-34"/>
          <w:sz w:val="32"/>
        </w:rPr>
        <w:t> </w:t>
      </w:r>
      <w:r>
        <w:rPr>
          <w:w w:val="104"/>
          <w:sz w:val="23"/>
        </w:rPr>
        <w:t>=</w:t>
      </w:r>
      <w:r>
        <w:rPr>
          <w:sz w:val="23"/>
        </w:rPr>
        <w:t> </w:t>
      </w:r>
      <w:r>
        <w:rPr>
          <w:spacing w:val="-10"/>
          <w:sz w:val="23"/>
        </w:rPr>
        <w:t> </w:t>
      </w:r>
      <w:r>
        <w:rPr>
          <w:i/>
          <w:w w:val="99"/>
          <w:sz w:val="21"/>
        </w:rPr>
        <w:t>Ps;i</w:t>
      </w:r>
      <w:r>
        <w:rPr>
          <w:i/>
          <w:sz w:val="21"/>
        </w:rPr>
        <w:t> </w:t>
      </w:r>
      <w:r>
        <w:rPr>
          <w:i/>
          <w:spacing w:val="10"/>
          <w:sz w:val="21"/>
        </w:rPr>
        <w:t> </w:t>
      </w:r>
      <w:r>
        <w:rPr>
          <w:w w:val="261"/>
          <w:sz w:val="21"/>
        </w:rPr>
        <w:t>-</w:t>
      </w:r>
      <w:r>
        <w:rPr>
          <w:sz w:val="21"/>
        </w:rPr>
        <w:tab/>
      </w:r>
      <w:r>
        <w:rPr>
          <w:w w:val="129"/>
          <w:sz w:val="20"/>
        </w:rPr>
        <w:t>1</w:t>
      </w:r>
      <w:r>
        <w:rPr>
          <w:spacing w:val="-14"/>
          <w:sz w:val="20"/>
        </w:rPr>
        <w:t> </w:t>
      </w:r>
      <w:r>
        <w:rPr>
          <w:rFonts w:ascii="Arial"/>
          <w:w w:val="107"/>
          <w:sz w:val="31"/>
        </w:rPr>
        <w:t>+</w:t>
      </w:r>
      <w:r>
        <w:rPr>
          <w:rFonts w:ascii="Arial"/>
          <w:spacing w:val="-33"/>
          <w:sz w:val="31"/>
        </w:rPr>
        <w:t> </w:t>
      </w:r>
      <w:r>
        <w:rPr>
          <w:rFonts w:ascii="Arial"/>
          <w:i/>
          <w:w w:val="148"/>
          <w:sz w:val="19"/>
        </w:rPr>
        <w:t>i</w:t>
      </w:r>
      <w:r>
        <w:rPr>
          <w:rFonts w:ascii="Arial"/>
          <w:i/>
          <w:spacing w:val="-26"/>
          <w:sz w:val="19"/>
        </w:rPr>
        <w:t> </w:t>
      </w:r>
      <w:r>
        <w:rPr>
          <w:rFonts w:ascii="Arial"/>
          <w:i/>
          <w:w w:val="90"/>
          <w:sz w:val="19"/>
        </w:rPr>
        <w:t>)</w:t>
      </w:r>
      <w:r>
        <w:rPr>
          <w:rFonts w:ascii="Arial"/>
          <w:i/>
          <w:w w:val="90"/>
          <w:sz w:val="19"/>
        </w:rPr>
        <w:t>"</w:t>
      </w:r>
      <w:r>
        <w:rPr>
          <w:rFonts w:ascii="Arial"/>
          <w:i/>
          <w:spacing w:val="-14"/>
          <w:sz w:val="19"/>
        </w:rPr>
        <w:t> </w:t>
      </w:r>
      <w:r>
        <w:rPr>
          <w:rFonts w:ascii="Arial"/>
          <w:i/>
          <w:w w:val="78"/>
          <w:sz w:val="19"/>
        </w:rPr>
        <w:t>_</w:t>
      </w:r>
      <w:r>
        <w:rPr>
          <w:rFonts w:ascii="Arial"/>
          <w:i/>
          <w:spacing w:val="18"/>
          <w:sz w:val="19"/>
        </w:rPr>
        <w:t> </w:t>
      </w:r>
      <w:r>
        <w:rPr>
          <w:rFonts w:ascii="Arial"/>
          <w:i/>
          <w:w w:val="132"/>
          <w:sz w:val="11"/>
        </w:rPr>
        <w:t>_</w:t>
      </w:r>
      <w:r>
        <w:rPr>
          <w:rFonts w:ascii="Arial"/>
          <w:i/>
          <w:sz w:val="11"/>
        </w:rPr>
        <w:t> </w:t>
      </w:r>
      <w:r>
        <w:rPr>
          <w:rFonts w:ascii="Arial"/>
          <w:i/>
          <w:spacing w:val="12"/>
          <w:sz w:val="11"/>
        </w:rPr>
        <w:t> </w:t>
      </w:r>
      <w:r>
        <w:rPr>
          <w:i/>
          <w:w w:val="113"/>
          <w:sz w:val="21"/>
        </w:rPr>
        <w:t>q</w:t>
      </w:r>
      <w:r>
        <w:rPr>
          <w:i/>
          <w:spacing w:val="-27"/>
          <w:w w:val="113"/>
          <w:sz w:val="21"/>
        </w:rPr>
        <w:t>.</w:t>
      </w:r>
      <w:r>
        <w:rPr>
          <w:i/>
          <w:w w:val="77"/>
          <w:sz w:val="21"/>
        </w:rPr>
        <w:t>+t</w:t>
      </w:r>
      <w:r>
        <w:rPr>
          <w:i/>
          <w:spacing w:val="4"/>
          <w:sz w:val="21"/>
        </w:rPr>
        <w:t> </w:t>
      </w:r>
      <w:r>
        <w:rPr>
          <w:i/>
          <w:w w:val="154"/>
          <w:sz w:val="21"/>
        </w:rPr>
        <w:t>.</w:t>
      </w:r>
    </w:p>
    <w:p>
      <w:pPr>
        <w:spacing w:line="109" w:lineRule="exact" w:before="0"/>
        <w:ind w:left="3951" w:right="0" w:firstLine="0"/>
        <w:jc w:val="left"/>
        <w:rPr>
          <w:rFonts w:ascii="Arial"/>
          <w:i/>
          <w:sz w:val="11"/>
        </w:rPr>
      </w:pPr>
      <w:r>
        <w:rPr>
          <w:rFonts w:ascii="Arial"/>
          <w:i/>
          <w:sz w:val="11"/>
        </w:rPr>
        <w:t>1   1</w:t>
      </w:r>
    </w:p>
    <w:p>
      <w:pPr>
        <w:spacing w:line="261" w:lineRule="exact" w:before="0"/>
        <w:ind w:left="293" w:right="581" w:firstLine="0"/>
        <w:jc w:val="center"/>
        <w:rPr>
          <w:b/>
          <w:sz w:val="23"/>
        </w:rPr>
      </w:pPr>
      <w:r>
        <w:rPr>
          <w:b/>
          <w:w w:val="95"/>
          <w:sz w:val="23"/>
        </w:rPr>
        <w:t>,-o</w:t>
      </w:r>
    </w:p>
    <w:p>
      <w:pPr>
        <w:pStyle w:val="BodyText"/>
        <w:spacing w:before="112"/>
        <w:ind w:left="132"/>
      </w:pPr>
      <w:r>
        <w:rPr>
          <w:w w:val="105"/>
        </w:rPr>
        <w:t>The summation  term can </w:t>
      </w:r>
      <w:r>
        <w:rPr>
          <w:w w:val="105"/>
          <w:sz w:val="19"/>
        </w:rPr>
        <w:t>be </w:t>
      </w:r>
      <w:r>
        <w:rPr>
          <w:w w:val="105"/>
        </w:rPr>
        <w:t>simplified  as follows:</w:t>
      </w:r>
    </w:p>
    <w:p>
      <w:pPr>
        <w:tabs>
          <w:tab w:pos="3188" w:val="left" w:leader="none"/>
        </w:tabs>
        <w:spacing w:line="98" w:lineRule="exact" w:before="94"/>
        <w:ind w:left="146" w:right="0" w:firstLine="0"/>
        <w:jc w:val="left"/>
        <w:rPr>
          <w:b/>
          <w:sz w:val="13"/>
        </w:rPr>
      </w:pPr>
      <w:r>
        <w:rPr>
          <w:b/>
          <w:w w:val="120"/>
          <w:sz w:val="13"/>
        </w:rPr>
        <w:t>11-l</w:t>
        <w:tab/>
        <w:t>11-l</w:t>
      </w:r>
    </w:p>
    <w:p>
      <w:pPr>
        <w:spacing w:line="246" w:lineRule="exact" w:before="0"/>
        <w:ind w:left="142" w:right="0" w:firstLine="0"/>
        <w:jc w:val="left"/>
        <w:rPr>
          <w:b/>
          <w:i/>
          <w:sz w:val="18"/>
        </w:rPr>
      </w:pPr>
      <w:r>
        <w:rPr>
          <w:rFonts w:ascii="Arial" w:hAnsi="Arial"/>
          <w:b/>
          <w:i/>
          <w:w w:val="125"/>
          <w:sz w:val="31"/>
        </w:rPr>
        <w:t>L</w:t>
      </w:r>
      <w:r>
        <w:rPr>
          <w:rFonts w:ascii="Arial" w:hAnsi="Arial"/>
          <w:b/>
          <w:i/>
          <w:spacing w:val="6"/>
          <w:sz w:val="31"/>
        </w:rPr>
        <w:t> </w:t>
      </w:r>
      <w:r>
        <w:rPr>
          <w:rFonts w:ascii="Arial" w:hAnsi="Arial"/>
          <w:w w:val="76"/>
          <w:sz w:val="31"/>
        </w:rPr>
        <w:t>(</w:t>
      </w:r>
      <w:r>
        <w:rPr>
          <w:rFonts w:ascii="Arial" w:hAnsi="Arial"/>
          <w:spacing w:val="-65"/>
          <w:sz w:val="31"/>
        </w:rPr>
        <w:t> </w:t>
      </w:r>
      <w:r>
        <w:rPr>
          <w:rFonts w:ascii="Arial" w:hAnsi="Arial"/>
          <w:b/>
          <w:w w:val="106"/>
          <w:sz w:val="19"/>
        </w:rPr>
        <w:t>1</w:t>
      </w:r>
      <w:r>
        <w:rPr>
          <w:rFonts w:ascii="Arial" w:hAnsi="Arial"/>
          <w:b/>
          <w:spacing w:val="-8"/>
          <w:sz w:val="19"/>
        </w:rPr>
        <w:t> </w:t>
      </w:r>
      <w:r>
        <w:rPr>
          <w:rFonts w:ascii="Arial" w:hAnsi="Arial"/>
          <w:w w:val="107"/>
          <w:sz w:val="31"/>
        </w:rPr>
        <w:t>+</w:t>
      </w:r>
      <w:r>
        <w:rPr>
          <w:rFonts w:ascii="Arial" w:hAnsi="Arial"/>
          <w:spacing w:val="-33"/>
          <w:sz w:val="31"/>
        </w:rPr>
        <w:t> </w:t>
      </w:r>
      <w:r>
        <w:rPr>
          <w:b/>
          <w:w w:val="121"/>
          <w:sz w:val="21"/>
        </w:rPr>
        <w:t>i</w:t>
      </w:r>
      <w:r>
        <w:rPr>
          <w:b/>
          <w:spacing w:val="12"/>
          <w:w w:val="121"/>
          <w:sz w:val="21"/>
        </w:rPr>
        <w:t>)</w:t>
      </w:r>
      <w:r>
        <w:rPr>
          <w:b/>
          <w:w w:val="59"/>
          <w:position w:val="9"/>
          <w:sz w:val="13"/>
        </w:rPr>
        <w:t>1</w:t>
      </w:r>
      <w:r>
        <w:rPr>
          <w:b/>
          <w:spacing w:val="-2"/>
          <w:w w:val="59"/>
          <w:position w:val="9"/>
          <w:sz w:val="13"/>
        </w:rPr>
        <w:t>1</w:t>
      </w:r>
      <w:r>
        <w:rPr>
          <w:b/>
          <w:w w:val="107"/>
          <w:sz w:val="20"/>
        </w:rPr>
        <w:t>-Hq•+'</w:t>
      </w:r>
      <w:r>
        <w:rPr>
          <w:b/>
          <w:sz w:val="20"/>
        </w:rPr>
        <w:t> </w:t>
      </w:r>
      <w:r>
        <w:rPr>
          <w:b/>
          <w:spacing w:val="-2"/>
          <w:sz w:val="20"/>
        </w:rPr>
        <w:t> </w:t>
      </w:r>
      <w:r>
        <w:rPr>
          <w:w w:val="89"/>
          <w:sz w:val="26"/>
        </w:rPr>
        <w:t>=</w:t>
      </w:r>
      <w:r>
        <w:rPr>
          <w:sz w:val="26"/>
        </w:rPr>
        <w:t> </w:t>
      </w:r>
      <w:r>
        <w:rPr>
          <w:spacing w:val="-10"/>
          <w:sz w:val="26"/>
        </w:rPr>
        <w:t> </w:t>
      </w:r>
      <w:r>
        <w:rPr>
          <w:w w:val="79"/>
          <w:sz w:val="26"/>
        </w:rPr>
        <w:t>(</w:t>
      </w:r>
      <w:r>
        <w:rPr>
          <w:spacing w:val="-34"/>
          <w:sz w:val="26"/>
        </w:rPr>
        <w:t> </w:t>
      </w:r>
      <w:r>
        <w:rPr>
          <w:rFonts w:ascii="Arial" w:hAnsi="Arial"/>
          <w:b/>
          <w:w w:val="106"/>
          <w:sz w:val="19"/>
        </w:rPr>
        <w:t>1</w:t>
      </w:r>
      <w:r>
        <w:rPr>
          <w:rFonts w:ascii="Arial" w:hAnsi="Arial"/>
          <w:b/>
          <w:spacing w:val="-8"/>
          <w:sz w:val="19"/>
        </w:rPr>
        <w:t> </w:t>
      </w:r>
      <w:r>
        <w:rPr>
          <w:rFonts w:ascii="Arial" w:hAnsi="Arial"/>
          <w:w w:val="110"/>
          <w:sz w:val="31"/>
        </w:rPr>
        <w:t>+</w:t>
      </w:r>
      <w:r>
        <w:rPr>
          <w:rFonts w:ascii="Arial" w:hAnsi="Arial"/>
          <w:spacing w:val="-39"/>
          <w:sz w:val="31"/>
        </w:rPr>
        <w:t> </w:t>
      </w:r>
      <w:r>
        <w:rPr>
          <w:w w:val="113"/>
          <w:sz w:val="20"/>
        </w:rPr>
        <w:t>i</w:t>
      </w:r>
      <w:r>
        <w:rPr>
          <w:w w:val="113"/>
          <w:sz w:val="20"/>
        </w:rPr>
        <w:t>)</w:t>
      </w:r>
      <w:r>
        <w:rPr>
          <w:w w:val="113"/>
          <w:sz w:val="20"/>
        </w:rPr>
        <w:t>ª+"</w:t>
      </w:r>
      <w:r>
        <w:rPr>
          <w:spacing w:val="9"/>
          <w:sz w:val="20"/>
        </w:rPr>
        <w:t> </w:t>
      </w:r>
      <w:r>
        <w:rPr>
          <w:rFonts w:ascii="Arial" w:hAnsi="Arial"/>
          <w:b/>
          <w:i/>
          <w:w w:val="127"/>
          <w:sz w:val="31"/>
        </w:rPr>
        <w:t>L</w:t>
      </w:r>
      <w:r>
        <w:rPr>
          <w:rFonts w:ascii="Arial" w:hAnsi="Arial"/>
          <w:b/>
          <w:i/>
          <w:spacing w:val="-15"/>
          <w:sz w:val="31"/>
        </w:rPr>
        <w:t> </w:t>
      </w:r>
      <w:r>
        <w:rPr>
          <w:b/>
          <w:i/>
          <w:spacing w:val="4"/>
          <w:w w:val="64"/>
          <w:sz w:val="18"/>
        </w:rPr>
        <w:t>V</w:t>
      </w:r>
      <w:r>
        <w:rPr>
          <w:b/>
          <w:i/>
          <w:w w:val="97"/>
          <w:sz w:val="18"/>
        </w:rPr>
        <w:t>s+t+iq•+t</w:t>
      </w:r>
    </w:p>
    <w:p>
      <w:pPr>
        <w:tabs>
          <w:tab w:pos="3191" w:val="left" w:leader="none"/>
        </w:tabs>
        <w:spacing w:line="183" w:lineRule="exact" w:before="0"/>
        <w:ind w:left="146" w:right="0" w:firstLine="0"/>
        <w:jc w:val="left"/>
        <w:rPr>
          <w:b/>
          <w:sz w:val="21"/>
        </w:rPr>
      </w:pPr>
      <w:r>
        <w:rPr/>
        <w:drawing>
          <wp:anchor distT="0" distB="0" distL="0" distR="0" allowOverlap="1" layoutInCell="1" locked="0" behindDoc="0" simplePos="0" relativeHeight="10984">
            <wp:simplePos x="0" y="0"/>
            <wp:positionH relativeFrom="page">
              <wp:posOffset>1755648</wp:posOffset>
            </wp:positionH>
            <wp:positionV relativeFrom="paragraph">
              <wp:posOffset>176263</wp:posOffset>
            </wp:positionV>
            <wp:extent cx="2386583" cy="530351"/>
            <wp:effectExtent l="0" t="0" r="0" b="0"/>
            <wp:wrapNone/>
            <wp:docPr id="277" name="image144.png" descr=""/>
            <wp:cNvGraphicFramePr>
              <a:graphicFrameLocks noChangeAspect="1"/>
            </wp:cNvGraphicFramePr>
            <a:graphic>
              <a:graphicData uri="http://schemas.openxmlformats.org/drawingml/2006/picture">
                <pic:pic>
                  <pic:nvPicPr>
                    <pic:cNvPr id="278" name="image144.png"/>
                    <pic:cNvPicPr/>
                  </pic:nvPicPr>
                  <pic:blipFill>
                    <a:blip r:embed="rId148" cstate="print"/>
                    <a:stretch>
                      <a:fillRect/>
                    </a:stretch>
                  </pic:blipFill>
                  <pic:spPr>
                    <a:xfrm>
                      <a:off x="0" y="0"/>
                      <a:ext cx="2386583" cy="530351"/>
                    </a:xfrm>
                    <a:prstGeom prst="rect">
                      <a:avLst/>
                    </a:prstGeom>
                  </pic:spPr>
                </pic:pic>
              </a:graphicData>
            </a:graphic>
          </wp:anchor>
        </w:drawing>
      </w:r>
      <w:r>
        <w:rPr>
          <w:b/>
          <w:sz w:val="21"/>
        </w:rPr>
        <w:t>,-o</w:t>
        <w:tab/>
        <w:t>,-o</w:t>
      </w:r>
    </w:p>
    <w:p>
      <w:pPr>
        <w:pStyle w:val="BodyText"/>
        <w:rPr>
          <w:b/>
        </w:rPr>
      </w:pPr>
    </w:p>
    <w:p>
      <w:pPr>
        <w:pStyle w:val="BodyText"/>
        <w:rPr>
          <w:b/>
        </w:rPr>
      </w:pPr>
    </w:p>
    <w:p>
      <w:pPr>
        <w:spacing w:before="133"/>
        <w:ind w:left="124" w:right="0" w:firstLine="0"/>
        <w:jc w:val="left"/>
        <w:rPr>
          <w:b/>
          <w:sz w:val="21"/>
        </w:rPr>
      </w:pPr>
      <w:r>
        <w:rPr>
          <w:b/>
          <w:sz w:val="21"/>
        </w:rPr>
        <w:t>where</w:t>
      </w:r>
    </w:p>
    <w:p>
      <w:pPr>
        <w:pStyle w:val="BodyText"/>
        <w:spacing w:before="3"/>
        <w:rPr>
          <w:b/>
          <w:sz w:val="18"/>
        </w:rPr>
      </w:pPr>
    </w:p>
    <w:p>
      <w:pPr>
        <w:spacing w:after="0"/>
        <w:rPr>
          <w:sz w:val="18"/>
        </w:rPr>
        <w:sectPr>
          <w:pgSz w:w="7200" w:h="11340"/>
          <w:pgMar w:top="500" w:bottom="280" w:left="660" w:right="520"/>
        </w:sectPr>
      </w:pPr>
    </w:p>
    <w:p>
      <w:pPr>
        <w:pStyle w:val="BodyText"/>
        <w:spacing w:before="75"/>
        <w:ind w:left="124" w:right="42"/>
      </w:pPr>
      <w:r>
        <w:rPr>
          <w:w w:val="105"/>
        </w:rPr>
        <w:t>Solving for </w:t>
      </w:r>
      <w:r>
        <w:rPr>
          <w:rFonts w:ascii="Arial"/>
          <w:i/>
          <w:w w:val="105"/>
        </w:rPr>
        <w:t>P, </w:t>
      </w:r>
      <w:r>
        <w:rPr>
          <w:w w:val="105"/>
        </w:rPr>
        <w:t>we have</w:t>
      </w:r>
    </w:p>
    <w:p>
      <w:pPr>
        <w:spacing w:before="90"/>
        <w:ind w:left="1323" w:right="42" w:firstLine="0"/>
        <w:jc w:val="left"/>
        <w:rPr>
          <w:b/>
          <w:i/>
          <w:sz w:val="18"/>
        </w:rPr>
      </w:pPr>
      <w:r>
        <w:rPr>
          <w:i/>
          <w:w w:val="105"/>
          <w:sz w:val="22"/>
        </w:rPr>
        <w:t>p  </w:t>
      </w:r>
      <w:r>
        <w:rPr>
          <w:w w:val="101"/>
          <w:sz w:val="23"/>
        </w:rPr>
        <w:t>= </w:t>
      </w:r>
      <w:r>
        <w:rPr>
          <w:b/>
          <w:w w:val="89"/>
          <w:sz w:val="25"/>
          <w:u w:val="single"/>
        </w:rPr>
        <w:t>,Ys </w:t>
      </w:r>
      <w:r>
        <w:rPr>
          <w:rFonts w:ascii="Arial"/>
          <w:w w:val="107"/>
          <w:sz w:val="31"/>
          <w:u w:val="single"/>
        </w:rPr>
        <w:t>+ </w:t>
      </w:r>
      <w:r>
        <w:rPr>
          <w:w w:val="115"/>
          <w:sz w:val="20"/>
          <w:u w:val="single"/>
        </w:rPr>
        <w:t>(1 </w:t>
      </w:r>
      <w:r>
        <w:rPr>
          <w:rFonts w:ascii="Arial"/>
          <w:w w:val="103"/>
          <w:sz w:val="31"/>
          <w:u w:val="single"/>
        </w:rPr>
        <w:t>+ </w:t>
      </w:r>
      <w:r>
        <w:rPr>
          <w:b/>
          <w:w w:val="126"/>
          <w:sz w:val="20"/>
          <w:u w:val="single"/>
        </w:rPr>
        <w:t>i)+"( </w:t>
      </w:r>
      <w:r>
        <w:rPr>
          <w:b/>
          <w:w w:val="105"/>
          <w:sz w:val="20"/>
          <w:u w:val="single"/>
        </w:rPr>
        <w:t>M; </w:t>
      </w:r>
      <w:r>
        <w:rPr>
          <w:w w:val="282"/>
          <w:sz w:val="20"/>
          <w:u w:val="single"/>
        </w:rPr>
        <w:t>- </w:t>
      </w:r>
      <w:r>
        <w:rPr>
          <w:b/>
          <w:i/>
          <w:w w:val="105"/>
          <w:sz w:val="18"/>
          <w:u w:val="single"/>
        </w:rPr>
        <w:t>M+,.)</w:t>
      </w:r>
      <w:r>
        <w:rPr>
          <w:b/>
          <w:i/>
          <w:sz w:val="18"/>
        </w:rPr>
        <w:t>  </w:t>
      </w:r>
      <w:r>
        <w:rPr>
          <w:b/>
          <w:i/>
          <w:w w:val="110"/>
          <w:sz w:val="18"/>
        </w:rPr>
        <w:t>.</w:t>
      </w:r>
    </w:p>
    <w:p>
      <w:pPr>
        <w:spacing w:before="24"/>
        <w:ind w:left="3076" w:right="42" w:firstLine="0"/>
        <w:jc w:val="left"/>
        <w:rPr>
          <w:rFonts w:ascii="Arial"/>
          <w:i/>
          <w:sz w:val="18"/>
        </w:rPr>
      </w:pPr>
      <w:r>
        <w:rPr>
          <w:rFonts w:ascii="Arial"/>
          <w:i/>
          <w:w w:val="80"/>
          <w:sz w:val="18"/>
        </w:rPr>
        <w:t>8-;J</w:t>
      </w:r>
    </w:p>
    <w:p>
      <w:pPr>
        <w:pStyle w:val="BodyText"/>
        <w:rPr>
          <w:rFonts w:ascii="Arial"/>
          <w:i/>
        </w:rPr>
      </w:pPr>
      <w:r>
        <w:rPr/>
        <w:br w:type="column"/>
      </w:r>
      <w:r>
        <w:rPr>
          <w:rFonts w:ascii="Arial"/>
          <w:i/>
        </w:rPr>
      </w:r>
    </w:p>
    <w:p>
      <w:pPr>
        <w:pStyle w:val="BodyText"/>
        <w:rPr>
          <w:rFonts w:ascii="Arial"/>
          <w:i/>
        </w:rPr>
      </w:pPr>
    </w:p>
    <w:p>
      <w:pPr>
        <w:pStyle w:val="BodyText"/>
        <w:spacing w:before="145"/>
        <w:ind w:left="124"/>
      </w:pPr>
      <w:r>
        <w:rPr>
          <w:w w:val="105"/>
        </w:rPr>
        <w:t>( 5.38)</w:t>
      </w:r>
    </w:p>
    <w:p>
      <w:pPr>
        <w:spacing w:after="0"/>
        <w:sectPr>
          <w:type w:val="continuous"/>
          <w:pgSz w:w="7200" w:h="11340"/>
          <w:pgMar w:top="1100" w:bottom="0" w:left="660" w:right="520"/>
          <w:cols w:num="2" w:equalWidth="0">
            <w:col w:w="4691" w:space="529"/>
            <w:col w:w="800"/>
          </w:cols>
        </w:sectPr>
      </w:pPr>
    </w:p>
    <w:p>
      <w:pPr>
        <w:pStyle w:val="BodyText"/>
        <w:spacing w:line="242" w:lineRule="exact" w:before="124"/>
        <w:ind w:left="121" w:right="160"/>
        <w:jc w:val="both"/>
        <w:rPr>
          <w:sz w:val="22"/>
        </w:rPr>
      </w:pPr>
      <w:r>
        <w:rPr>
          <w:w w:val="105"/>
        </w:rPr>
        <w:t>Af ter </w:t>
      </w:r>
      <w:r>
        <w:rPr>
          <w:i/>
          <w:w w:val="105"/>
          <w:sz w:val="21"/>
        </w:rPr>
        <w:t>n </w:t>
      </w:r>
      <w:r>
        <w:rPr>
          <w:w w:val="105"/>
        </w:rPr>
        <w:t>years, when the extra death benefit </w:t>
      </w:r>
      <w:r>
        <w:rPr>
          <w:rFonts w:ascii="Arial" w:hAnsi="Arial"/>
          <w:w w:val="105"/>
          <w:sz w:val="19"/>
        </w:rPr>
        <w:t>is </w:t>
      </w:r>
      <w:r>
        <w:rPr>
          <w:w w:val="105"/>
        </w:rPr>
        <w:t>no longer in effect, the  premium  reduces  to  </w:t>
      </w:r>
      <w:r>
        <w:rPr>
          <w:i/>
          <w:w w:val="105"/>
          <w:sz w:val="22"/>
        </w:rPr>
        <w:t>P• </w:t>
      </w:r>
      <w:r>
        <w:rPr>
          <w:w w:val="105"/>
          <w:sz w:val="22"/>
        </w:rPr>
        <w:t>.</w:t>
      </w:r>
    </w:p>
    <w:p>
      <w:pPr>
        <w:pStyle w:val="BodyText"/>
        <w:spacing w:line="254" w:lineRule="exact"/>
        <w:ind w:left="124" w:firstLine="198"/>
      </w:pPr>
      <w:r>
        <w:rPr>
          <w:w w:val="105"/>
        </w:rPr>
        <w:t>It  should  be  understood  that  the special  symbol </w:t>
      </w:r>
      <w:r>
        <w:rPr>
          <w:rFonts w:ascii="Arial"/>
          <w:i/>
          <w:sz w:val="32"/>
        </w:rPr>
        <w:t>M; </w:t>
      </w:r>
      <w:r>
        <w:rPr>
          <w:w w:val="105"/>
        </w:rPr>
        <w:t>has been</w:t>
      </w:r>
    </w:p>
    <w:p>
      <w:pPr>
        <w:pStyle w:val="BodyText"/>
        <w:ind w:left="117" w:right="163" w:firstLine="7"/>
        <w:jc w:val="both"/>
      </w:pPr>
      <w:r>
        <w:rPr>
          <w:w w:val="105"/>
        </w:rPr>
        <w:t>introduced here as a convenient simplifying device for this par­ ticular context only . </w:t>
      </w:r>
      <w:r>
        <w:rPr>
          <w:w w:val="105"/>
          <w:sz w:val="22"/>
        </w:rPr>
        <w:t>It </w:t>
      </w:r>
      <w:r>
        <w:rPr>
          <w:w w:val="105"/>
        </w:rPr>
        <w:t>does not define a standard function,  and  will not necessarily be used in the same sense </w:t>
      </w:r>
      <w:r>
        <w:rPr>
          <w:spacing w:val="30"/>
          <w:w w:val="105"/>
        </w:rPr>
        <w:t> </w:t>
      </w:r>
      <w:r>
        <w:rPr>
          <w:w w:val="105"/>
        </w:rPr>
        <w:t>elsewhere.</w:t>
      </w:r>
    </w:p>
    <w:p>
      <w:pPr>
        <w:pStyle w:val="BodyText"/>
        <w:spacing w:before="3"/>
        <w:rPr>
          <w:sz w:val="9"/>
        </w:rPr>
      </w:pPr>
    </w:p>
    <w:p>
      <w:pPr>
        <w:pStyle w:val="ListParagraph"/>
        <w:numPr>
          <w:ilvl w:val="0"/>
          <w:numId w:val="47"/>
        </w:numPr>
        <w:tabs>
          <w:tab w:pos="482" w:val="left" w:leader="none"/>
        </w:tabs>
        <w:spacing w:line="240" w:lineRule="auto" w:before="76" w:after="0"/>
        <w:ind w:left="481" w:right="0" w:hanging="353"/>
        <w:jc w:val="left"/>
        <w:rPr>
          <w:b/>
          <w:sz w:val="19"/>
        </w:rPr>
      </w:pPr>
      <w:r>
        <w:rPr>
          <w:b/>
          <w:w w:val="120"/>
          <w:sz w:val="19"/>
        </w:rPr>
        <w:t>Summary of notation for</w:t>
      </w:r>
      <w:r>
        <w:rPr>
          <w:b/>
          <w:spacing w:val="-23"/>
          <w:w w:val="120"/>
          <w:sz w:val="19"/>
        </w:rPr>
        <w:t> </w:t>
      </w:r>
      <w:r>
        <w:rPr>
          <w:b/>
          <w:w w:val="120"/>
          <w:sz w:val="19"/>
        </w:rPr>
        <w:t>reserves</w:t>
      </w:r>
    </w:p>
    <w:p>
      <w:pPr>
        <w:pStyle w:val="ListParagraph"/>
        <w:numPr>
          <w:ilvl w:val="1"/>
          <w:numId w:val="47"/>
        </w:numPr>
        <w:tabs>
          <w:tab w:pos="564" w:val="left" w:leader="none"/>
        </w:tabs>
        <w:spacing w:line="240" w:lineRule="auto" w:before="88" w:after="0"/>
        <w:ind w:left="106" w:right="0" w:firstLine="220"/>
        <w:jc w:val="left"/>
        <w:rPr>
          <w:sz w:val="20"/>
        </w:rPr>
      </w:pPr>
      <w:r>
        <w:rPr>
          <w:w w:val="105"/>
          <w:sz w:val="20"/>
        </w:rPr>
        <w:t>The principal  symbol  </w:t>
      </w:r>
      <w:r>
        <w:rPr>
          <w:rFonts w:ascii="Arial"/>
          <w:i/>
          <w:w w:val="105"/>
          <w:sz w:val="20"/>
        </w:rPr>
        <w:t>V </w:t>
      </w:r>
      <w:r>
        <w:rPr>
          <w:rFonts w:ascii="Arial"/>
          <w:w w:val="105"/>
          <w:sz w:val="19"/>
        </w:rPr>
        <w:t>is </w:t>
      </w:r>
      <w:r>
        <w:rPr>
          <w:w w:val="105"/>
          <w:sz w:val="20"/>
        </w:rPr>
        <w:t>used  to denote a reserve </w:t>
      </w:r>
      <w:r>
        <w:rPr>
          <w:spacing w:val="39"/>
          <w:w w:val="105"/>
          <w:sz w:val="20"/>
        </w:rPr>
        <w:t> </w:t>
      </w:r>
      <w:r>
        <w:rPr>
          <w:w w:val="105"/>
          <w:sz w:val="20"/>
        </w:rPr>
        <w:t>value.</w:t>
      </w:r>
    </w:p>
    <w:p>
      <w:pPr>
        <w:pStyle w:val="ListParagraph"/>
        <w:numPr>
          <w:ilvl w:val="1"/>
          <w:numId w:val="47"/>
        </w:numPr>
        <w:tabs>
          <w:tab w:pos="572" w:val="left" w:leader="none"/>
        </w:tabs>
        <w:spacing w:line="247" w:lineRule="auto" w:before="11" w:after="0"/>
        <w:ind w:left="106" w:right="171" w:firstLine="206"/>
        <w:jc w:val="both"/>
        <w:rPr>
          <w:sz w:val="21"/>
        </w:rPr>
      </w:pPr>
      <w:r>
        <w:rPr>
          <w:w w:val="105"/>
          <w:sz w:val="20"/>
        </w:rPr>
        <w:t>Except for simple insurance benefits  payable  at the end of  the year of death, the </w:t>
      </w:r>
      <w:r>
        <w:rPr>
          <w:rFonts w:ascii="Arial"/>
          <w:i/>
          <w:w w:val="105"/>
          <w:sz w:val="20"/>
        </w:rPr>
        <w:t>V </w:t>
      </w:r>
      <w:r>
        <w:rPr>
          <w:w w:val="105"/>
          <w:sz w:val="20"/>
        </w:rPr>
        <w:t>symbol is used in conjunction with the </w:t>
      </w:r>
      <w:r>
        <w:rPr>
          <w:w w:val="111"/>
          <w:sz w:val="20"/>
        </w:rPr>
        <w:t>net </w:t>
      </w:r>
      <w:r>
        <w:rPr>
          <w:w w:val="100"/>
          <w:sz w:val="20"/>
        </w:rPr>
        <w:t>single </w:t>
      </w:r>
      <w:r>
        <w:rPr>
          <w:w w:val="103"/>
          <w:sz w:val="20"/>
        </w:rPr>
        <w:t>premium </w:t>
      </w:r>
      <w:r>
        <w:rPr>
          <w:w w:val="102"/>
          <w:sz w:val="20"/>
        </w:rPr>
        <w:t>for </w:t>
      </w:r>
      <w:r>
        <w:rPr>
          <w:w w:val="111"/>
          <w:sz w:val="20"/>
        </w:rPr>
        <w:t>the </w:t>
      </w:r>
      <w:r>
        <w:rPr>
          <w:w w:val="104"/>
          <w:sz w:val="20"/>
        </w:rPr>
        <w:t>benefit; </w:t>
      </w:r>
      <w:r>
        <w:rPr>
          <w:w w:val="102"/>
          <w:sz w:val="20"/>
        </w:rPr>
        <w:t>e.g., </w:t>
      </w:r>
      <w:r>
        <w:rPr>
          <w:i/>
          <w:spacing w:val="-4"/>
          <w:w w:val="117"/>
          <w:sz w:val="20"/>
        </w:rPr>
        <w:t>,V</w:t>
      </w:r>
      <w:r>
        <w:rPr>
          <w:i/>
          <w:w w:val="117"/>
          <w:sz w:val="20"/>
        </w:rPr>
        <w:t> </w:t>
      </w:r>
      <w:r>
        <w:rPr>
          <w:i/>
          <w:spacing w:val="3"/>
          <w:w w:val="96"/>
          <w:sz w:val="20"/>
        </w:rPr>
        <w:t>(As</w:t>
      </w:r>
      <w:r>
        <w:rPr>
          <w:i/>
          <w:w w:val="96"/>
          <w:sz w:val="20"/>
        </w:rPr>
        <w:t> </w:t>
      </w:r>
      <w:r>
        <w:rPr>
          <w:i/>
          <w:w w:val="100"/>
          <w:sz w:val="20"/>
        </w:rPr>
        <w:t>),    </w:t>
      </w:r>
      <w:r>
        <w:rPr>
          <w:w w:val="92"/>
          <w:sz w:val="20"/>
        </w:rPr>
        <w:t>V</w:t>
      </w:r>
      <w:r>
        <w:rPr>
          <w:spacing w:val="-18"/>
          <w:w w:val="92"/>
          <w:sz w:val="20"/>
        </w:rPr>
        <w:t> </w:t>
      </w:r>
      <w:r>
        <w:rPr>
          <w:spacing w:val="-1"/>
          <w:w w:val="88"/>
          <w:sz w:val="20"/>
        </w:rPr>
        <w:t>(11</w:t>
      </w:r>
      <w:r>
        <w:rPr>
          <w:spacing w:val="-1"/>
          <w:w w:val="88"/>
          <w:position w:val="-3"/>
          <w:sz w:val="20"/>
        </w:rPr>
        <w:t>1</w:t>
      </w:r>
      <w:r>
        <w:rPr>
          <w:spacing w:val="-1"/>
          <w:w w:val="88"/>
          <w:sz w:val="21"/>
        </w:rPr>
        <w:t>a.).</w:t>
      </w:r>
    </w:p>
    <w:p>
      <w:pPr>
        <w:pStyle w:val="ListParagraph"/>
        <w:numPr>
          <w:ilvl w:val="1"/>
          <w:numId w:val="47"/>
        </w:numPr>
        <w:tabs>
          <w:tab w:pos="561" w:val="left" w:leader="none"/>
        </w:tabs>
        <w:spacing w:line="189" w:lineRule="exact" w:before="0" w:after="0"/>
        <w:ind w:left="560" w:right="0" w:hanging="248"/>
        <w:jc w:val="left"/>
        <w:rPr>
          <w:sz w:val="20"/>
        </w:rPr>
      </w:pPr>
      <w:r>
        <w:rPr>
          <w:w w:val="105"/>
          <w:sz w:val="20"/>
        </w:rPr>
        <w:t>A  prefixed  suhscript  with  </w:t>
      </w:r>
      <w:r>
        <w:rPr>
          <w:rFonts w:ascii="Arial"/>
          <w:i/>
          <w:w w:val="105"/>
          <w:sz w:val="20"/>
        </w:rPr>
        <w:t>V </w:t>
      </w:r>
      <w:r>
        <w:rPr>
          <w:w w:val="105"/>
          <w:sz w:val="20"/>
        </w:rPr>
        <w:t>indicates  the  duration  in</w:t>
      </w:r>
      <w:r>
        <w:rPr>
          <w:spacing w:val="9"/>
          <w:w w:val="105"/>
          <w:sz w:val="20"/>
        </w:rPr>
        <w:t> </w:t>
      </w:r>
      <w:r>
        <w:rPr>
          <w:w w:val="105"/>
          <w:sz w:val="20"/>
        </w:rPr>
        <w:t>years</w:t>
      </w:r>
    </w:p>
    <w:p>
      <w:pPr>
        <w:pStyle w:val="BodyText"/>
        <w:spacing w:before="11"/>
        <w:ind w:left="114"/>
      </w:pPr>
      <w:r>
        <w:rPr>
          <w:w w:val="110"/>
        </w:rPr>
        <w:t>at which the reserve value </w:t>
      </w:r>
      <w:r>
        <w:rPr>
          <w:rFonts w:ascii="Arial"/>
          <w:w w:val="110"/>
          <w:sz w:val="19"/>
        </w:rPr>
        <w:t>is</w:t>
      </w:r>
      <w:r>
        <w:rPr>
          <w:rFonts w:ascii="Arial"/>
          <w:spacing w:val="50"/>
          <w:w w:val="110"/>
          <w:sz w:val="19"/>
        </w:rPr>
        <w:t> </w:t>
      </w:r>
      <w:r>
        <w:rPr>
          <w:w w:val="110"/>
        </w:rPr>
        <w:t>taken.</w:t>
      </w:r>
    </w:p>
    <w:p>
      <w:pPr>
        <w:spacing w:after="0"/>
        <w:sectPr>
          <w:type w:val="continuous"/>
          <w:pgSz w:w="7200" w:h="11340"/>
          <w:pgMar w:top="1100" w:bottom="0" w:left="660" w:right="520"/>
        </w:sectPr>
      </w:pPr>
    </w:p>
    <w:p>
      <w:pPr>
        <w:spacing w:before="55"/>
        <w:ind w:left="0" w:right="108" w:firstLine="0"/>
        <w:jc w:val="right"/>
        <w:rPr>
          <w:sz w:val="21"/>
        </w:rPr>
      </w:pPr>
      <w:r>
        <w:rPr/>
        <w:drawing>
          <wp:anchor distT="0" distB="0" distL="0" distR="0" allowOverlap="1" layoutInCell="1" locked="0" behindDoc="0" simplePos="0" relativeHeight="11032">
            <wp:simplePos x="0" y="0"/>
            <wp:positionH relativeFrom="page">
              <wp:posOffset>2002535</wp:posOffset>
            </wp:positionH>
            <wp:positionV relativeFrom="paragraph">
              <wp:posOffset>81120</wp:posOffset>
            </wp:positionV>
            <wp:extent cx="694944" cy="82296"/>
            <wp:effectExtent l="0" t="0" r="0" b="0"/>
            <wp:wrapNone/>
            <wp:docPr id="279" name="image145.png" descr=""/>
            <wp:cNvGraphicFramePr>
              <a:graphicFrameLocks noChangeAspect="1"/>
            </wp:cNvGraphicFramePr>
            <a:graphic>
              <a:graphicData uri="http://schemas.openxmlformats.org/drawingml/2006/picture">
                <pic:pic>
                  <pic:nvPicPr>
                    <pic:cNvPr id="280" name="image145.png"/>
                    <pic:cNvPicPr/>
                  </pic:nvPicPr>
                  <pic:blipFill>
                    <a:blip r:embed="rId149" cstate="print"/>
                    <a:stretch>
                      <a:fillRect/>
                    </a:stretch>
                  </pic:blipFill>
                  <pic:spPr>
                    <a:xfrm>
                      <a:off x="0" y="0"/>
                      <a:ext cx="694944" cy="82296"/>
                    </a:xfrm>
                    <a:prstGeom prst="rect">
                      <a:avLst/>
                    </a:prstGeom>
                  </pic:spPr>
                </pic:pic>
              </a:graphicData>
            </a:graphic>
          </wp:anchor>
        </w:drawing>
      </w:r>
      <w:r>
        <w:rPr>
          <w:color w:val="010101"/>
          <w:w w:val="105"/>
          <w:sz w:val="21"/>
        </w:rPr>
        <w:t>125</w:t>
      </w:r>
    </w:p>
    <w:p>
      <w:pPr>
        <w:pStyle w:val="BodyText"/>
        <w:spacing w:before="9"/>
        <w:rPr>
          <w:sz w:val="12"/>
        </w:rPr>
      </w:pPr>
    </w:p>
    <w:p>
      <w:pPr>
        <w:spacing w:line="240" w:lineRule="exact" w:before="85"/>
        <w:ind w:left="123" w:right="123" w:firstLine="192"/>
        <w:jc w:val="both"/>
        <w:rPr>
          <w:sz w:val="21"/>
        </w:rPr>
      </w:pPr>
      <w:r>
        <w:rPr>
          <w:rFonts w:ascii="Arial"/>
          <w:b/>
          <w:color w:val="010101"/>
          <w:sz w:val="20"/>
        </w:rPr>
        <w:t>4. A </w:t>
      </w:r>
      <w:r>
        <w:rPr>
          <w:color w:val="010101"/>
          <w:sz w:val="21"/>
        </w:rPr>
        <w:t>prefixed superscript </w:t>
      </w:r>
      <w:r>
        <w:rPr>
          <w:color w:val="010101"/>
          <w:sz w:val="22"/>
        </w:rPr>
        <w:t>is </w:t>
      </w:r>
      <w:r>
        <w:rPr>
          <w:color w:val="010101"/>
          <w:sz w:val="21"/>
        </w:rPr>
        <w:t>used with </w:t>
      </w:r>
      <w:r>
        <w:rPr>
          <w:rFonts w:ascii="Arial"/>
          <w:i/>
          <w:color w:val="010101"/>
          <w:sz w:val="20"/>
        </w:rPr>
        <w:t>V </w:t>
      </w:r>
      <w:r>
        <w:rPr>
          <w:color w:val="010101"/>
          <w:sz w:val="21"/>
        </w:rPr>
        <w:t>when there </w:t>
      </w:r>
      <w:r>
        <w:rPr>
          <w:color w:val="010101"/>
          <w:sz w:val="22"/>
        </w:rPr>
        <w:t>is </w:t>
      </w:r>
      <w:r>
        <w:rPr>
          <w:color w:val="010101"/>
          <w:sz w:val="21"/>
        </w:rPr>
        <w:t>a limited premium-pa.yment </w:t>
      </w:r>
      <w:r>
        <w:rPr>
          <w:color w:val="010101"/>
          <w:sz w:val="20"/>
        </w:rPr>
        <w:t>period, </w:t>
      </w:r>
      <w:r>
        <w:rPr>
          <w:color w:val="010101"/>
          <w:sz w:val="21"/>
        </w:rPr>
        <w:t>and indica.tes its dura.tion in yea.rs.</w:t>
      </w:r>
    </w:p>
    <w:p>
      <w:pPr>
        <w:spacing w:line="233" w:lineRule="exact" w:before="0"/>
        <w:ind w:left="116" w:right="0" w:firstLine="199"/>
        <w:jc w:val="both"/>
        <w:rPr>
          <w:sz w:val="21"/>
        </w:rPr>
      </w:pPr>
      <w:r>
        <w:rPr>
          <w:color w:val="010101"/>
          <w:sz w:val="21"/>
        </w:rPr>
        <w:t>5. A suffixed superscript  and a horizontal  bar over the  </w:t>
      </w:r>
      <w:r>
        <w:rPr>
          <w:rFonts w:ascii="Arial" w:hAnsi="Arial"/>
          <w:i/>
          <w:color w:val="010101"/>
          <w:sz w:val="20"/>
        </w:rPr>
        <w:t>V   </w:t>
      </w:r>
      <w:r>
        <w:rPr>
          <w:color w:val="010101"/>
          <w:sz w:val="21"/>
        </w:rPr>
        <w:t>sym­</w:t>
      </w:r>
    </w:p>
    <w:p>
      <w:pPr>
        <w:spacing w:line="172" w:lineRule="auto" w:before="52"/>
        <w:ind w:left="120" w:right="19" w:hanging="4"/>
        <w:jc w:val="left"/>
        <w:rPr>
          <w:rFonts w:ascii="Arial" w:hAnsi="Arial"/>
          <w:sz w:val="19"/>
        </w:rPr>
      </w:pPr>
      <w:r>
        <w:rPr>
          <w:color w:val="010101"/>
          <w:w w:val="105"/>
          <w:sz w:val="21"/>
        </w:rPr>
        <w:t>bol relate </w:t>
      </w:r>
      <w:r>
        <w:rPr>
          <w:color w:val="010101"/>
          <w:w w:val="105"/>
          <w:sz w:val="22"/>
        </w:rPr>
        <w:t>to </w:t>
      </w:r>
      <w:r>
        <w:rPr>
          <w:color w:val="010101"/>
          <w:w w:val="105"/>
          <w:sz w:val="21"/>
        </w:rPr>
        <w:t>the frequency of premium pa.yment and ha.ve the </w:t>
      </w:r>
      <w:r>
        <w:rPr>
          <w:color w:val="010101"/>
          <w:w w:val="101"/>
          <w:sz w:val="21"/>
        </w:rPr>
        <w:t>same </w:t>
      </w:r>
      <w:r>
        <w:rPr>
          <w:rFonts w:ascii="Arial" w:hAnsi="Arial"/>
          <w:color w:val="010101"/>
          <w:spacing w:val="-12"/>
          <w:w w:val="100"/>
          <w:sz w:val="15"/>
        </w:rPr>
        <w:t>s</w:t>
      </w:r>
      <w:r>
        <w:rPr>
          <w:rFonts w:ascii="Arial" w:hAnsi="Arial"/>
          <w:color w:val="010101"/>
          <w:spacing w:val="-12"/>
          <w:w w:val="100"/>
          <w:position w:val="5"/>
          <w:sz w:val="20"/>
        </w:rPr>
        <w:t>•</w:t>
      </w:r>
      <w:r>
        <w:rPr>
          <w:rFonts w:ascii="Arial" w:hAnsi="Arial"/>
          <w:color w:val="010101"/>
          <w:spacing w:val="-12"/>
          <w:w w:val="100"/>
          <w:sz w:val="15"/>
        </w:rPr>
        <w:t>ign1</w:t>
      </w:r>
      <w:r>
        <w:rPr>
          <w:rFonts w:ascii="Arial" w:hAnsi="Arial"/>
          <w:b/>
          <w:color w:val="010101"/>
          <w:spacing w:val="-12"/>
          <w:w w:val="100"/>
          <w:position w:val="5"/>
          <w:sz w:val="20"/>
        </w:rPr>
        <w:t>"fi</w:t>
      </w:r>
      <w:r>
        <w:rPr>
          <w:color w:val="010101"/>
          <w:spacing w:val="-12"/>
          <w:w w:val="100"/>
          <w:sz w:val="21"/>
        </w:rPr>
        <w:t>canee </w:t>
      </w:r>
      <w:r>
        <w:rPr>
          <w:color w:val="010101"/>
          <w:w w:val="108"/>
          <w:sz w:val="21"/>
        </w:rPr>
        <w:t>as </w:t>
      </w:r>
      <w:r>
        <w:rPr>
          <w:color w:val="010101"/>
          <w:spacing w:val="-2"/>
          <w:w w:val="100"/>
          <w:sz w:val="19"/>
        </w:rPr>
        <w:t>w</w:t>
      </w:r>
      <w:r>
        <w:rPr>
          <w:b/>
          <w:color w:val="010101"/>
          <w:spacing w:val="-2"/>
          <w:w w:val="100"/>
          <w:position w:val="5"/>
          <w:sz w:val="22"/>
        </w:rPr>
        <w:t>h</w:t>
      </w:r>
      <w:r>
        <w:rPr>
          <w:color w:val="010101"/>
          <w:spacing w:val="-2"/>
          <w:w w:val="100"/>
          <w:sz w:val="21"/>
        </w:rPr>
        <w:t>en </w:t>
      </w:r>
      <w:r>
        <w:rPr>
          <w:b/>
          <w:color w:val="010101"/>
          <w:w w:val="83"/>
          <w:position w:val="5"/>
          <w:sz w:val="23"/>
        </w:rPr>
        <w:t>used </w:t>
      </w:r>
      <w:r>
        <w:rPr>
          <w:color w:val="010101"/>
          <w:spacing w:val="-8"/>
          <w:w w:val="89"/>
          <w:sz w:val="21"/>
        </w:rPr>
        <w:t>wi</w:t>
      </w:r>
      <w:r>
        <w:rPr>
          <w:color w:val="010101"/>
          <w:spacing w:val="-8"/>
          <w:w w:val="89"/>
          <w:position w:val="5"/>
          <w:sz w:val="23"/>
        </w:rPr>
        <w:t>•</w:t>
      </w:r>
      <w:r>
        <w:rPr>
          <w:color w:val="010101"/>
          <w:spacing w:val="-8"/>
          <w:w w:val="89"/>
          <w:sz w:val="21"/>
        </w:rPr>
        <w:t>t</w:t>
      </w:r>
      <w:r>
        <w:rPr>
          <w:b/>
          <w:color w:val="010101"/>
          <w:spacing w:val="-8"/>
          <w:w w:val="89"/>
          <w:position w:val="5"/>
          <w:sz w:val="22"/>
        </w:rPr>
        <w:t>h </w:t>
      </w:r>
      <w:r>
        <w:rPr>
          <w:b/>
          <w:i/>
          <w:color w:val="010101"/>
          <w:w w:val="106"/>
          <w:position w:val="5"/>
          <w:sz w:val="21"/>
        </w:rPr>
        <w:t>p </w:t>
      </w:r>
      <w:r>
        <w:rPr>
          <w:color w:val="010101"/>
          <w:spacing w:val="-4"/>
          <w:w w:val="124"/>
          <w:sz w:val="21"/>
        </w:rPr>
        <w:t>;e.g</w:t>
      </w:r>
      <w:r>
        <w:rPr>
          <w:color w:val="1F1F1F"/>
          <w:spacing w:val="-4"/>
          <w:w w:val="124"/>
          <w:sz w:val="21"/>
        </w:rPr>
        <w:t>.</w:t>
      </w:r>
      <w:r>
        <w:rPr>
          <w:color w:val="010101"/>
          <w:spacing w:val="-4"/>
          <w:w w:val="124"/>
          <w:sz w:val="21"/>
        </w:rPr>
        <w:t>, </w:t>
      </w:r>
      <w:r>
        <w:rPr>
          <w:color w:val="010101"/>
          <w:spacing w:val="-10"/>
          <w:w w:val="143"/>
          <w:sz w:val="21"/>
        </w:rPr>
        <w:t>,</w:t>
      </w:r>
      <w:r>
        <w:rPr>
          <w:rFonts w:ascii="Arial" w:hAnsi="Arial"/>
          <w:b/>
          <w:color w:val="010101"/>
          <w:spacing w:val="-10"/>
          <w:w w:val="143"/>
          <w:position w:val="5"/>
          <w:sz w:val="11"/>
        </w:rPr>
        <w:t>y(</w:t>
      </w:r>
      <w:r>
        <w:rPr>
          <w:rFonts w:ascii="Arial" w:hAnsi="Arial"/>
          <w:color w:val="010101"/>
          <w:spacing w:val="-10"/>
          <w:w w:val="143"/>
          <w:sz w:val="12"/>
        </w:rPr>
        <w:t>s</w:t>
      </w:r>
      <w:r>
        <w:rPr>
          <w:rFonts w:ascii="Arial" w:hAnsi="Arial"/>
          <w:b/>
          <w:color w:val="010101"/>
          <w:spacing w:val="-10"/>
          <w:w w:val="143"/>
          <w:position w:val="5"/>
          <w:sz w:val="11"/>
        </w:rPr>
        <w:t>fll) </w:t>
      </w:r>
      <w:r>
        <w:rPr>
          <w:rFonts w:ascii="Arial" w:hAnsi="Arial"/>
          <w:color w:val="010101"/>
          <w:spacing w:val="-17"/>
          <w:w w:val="139"/>
          <w:sz w:val="12"/>
        </w:rPr>
        <w:t>,,</w:t>
      </w:r>
      <w:r>
        <w:rPr>
          <w:rFonts w:ascii="Arial" w:hAnsi="Arial"/>
          <w:b/>
          <w:color w:val="010101"/>
          <w:spacing w:val="-17"/>
          <w:w w:val="139"/>
          <w:position w:val="5"/>
          <w:sz w:val="12"/>
        </w:rPr>
        <w:t>T</w:t>
      </w:r>
      <w:r>
        <w:rPr>
          <w:color w:val="010101"/>
          <w:spacing w:val="-17"/>
          <w:w w:val="139"/>
          <w:sz w:val="15"/>
        </w:rPr>
        <w:t>v</w:t>
      </w:r>
      <w:r>
        <w:rPr>
          <w:rFonts w:ascii="Arial" w:hAnsi="Arial"/>
          <w:b/>
          <w:color w:val="010101"/>
          <w:spacing w:val="-17"/>
          <w:w w:val="139"/>
          <w:position w:val="5"/>
          <w:sz w:val="12"/>
        </w:rPr>
        <w:t>7'</w:t>
      </w:r>
      <w:r>
        <w:rPr>
          <w:color w:val="010101"/>
          <w:spacing w:val="-17"/>
          <w:w w:val="139"/>
          <w:sz w:val="15"/>
        </w:rPr>
        <w:t>a:</w:t>
      </w:r>
      <w:r>
        <w:rPr>
          <w:rFonts w:ascii="Arial" w:hAnsi="Arial"/>
          <w:color w:val="010101"/>
          <w:spacing w:val="-17"/>
          <w:w w:val="139"/>
          <w:sz w:val="19"/>
        </w:rPr>
        <w:t>iif </w:t>
      </w:r>
      <w:r>
        <w:rPr>
          <w:rFonts w:ascii="Arial" w:hAnsi="Arial"/>
          <w:color w:val="010101"/>
          <w:w w:val="156"/>
          <w:sz w:val="19"/>
        </w:rPr>
        <w:t>,</w:t>
      </w:r>
      <w:r>
        <w:rPr>
          <w:rFonts w:ascii="Arial" w:hAnsi="Arial"/>
          <w:color w:val="010101"/>
          <w:spacing w:val="-50"/>
          <w:w w:val="156"/>
          <w:sz w:val="19"/>
        </w:rPr>
        <w:t> </w:t>
      </w:r>
      <w:r>
        <w:rPr>
          <w:rFonts w:ascii="Arial" w:hAnsi="Arial"/>
          <w:color w:val="010101"/>
          <w:spacing w:val="-35"/>
          <w:w w:val="133"/>
          <w:position w:val="5"/>
          <w:sz w:val="21"/>
        </w:rPr>
        <w:t>"</w:t>
      </w:r>
      <w:r>
        <w:rPr>
          <w:rFonts w:ascii="Arial" w:hAnsi="Arial"/>
          <w:color w:val="010101"/>
          <w:spacing w:val="-35"/>
          <w:w w:val="133"/>
          <w:sz w:val="19"/>
        </w:rPr>
        <w:t>,</w:t>
      </w:r>
      <w:r>
        <w:rPr>
          <w:rFonts w:ascii="Arial" w:hAnsi="Arial"/>
          <w:color w:val="010101"/>
          <w:spacing w:val="-35"/>
          <w:w w:val="133"/>
          <w:position w:val="5"/>
          <w:sz w:val="21"/>
        </w:rPr>
        <w:t>y</w:t>
      </w:r>
      <w:r>
        <w:rPr>
          <w:rFonts w:ascii="Arial" w:hAnsi="Arial"/>
          <w:color w:val="010101"/>
          <w:spacing w:val="-35"/>
          <w:w w:val="133"/>
          <w:sz w:val="19"/>
        </w:rPr>
        <w:t>•</w:t>
      </w:r>
      <w:r>
        <w:rPr>
          <w:rFonts w:ascii="Arial" w:hAnsi="Arial"/>
          <w:color w:val="010101"/>
          <w:spacing w:val="-35"/>
          <w:w w:val="133"/>
          <w:position w:val="5"/>
          <w:sz w:val="21"/>
        </w:rPr>
        <w:t>f•) </w:t>
      </w:r>
      <w:r>
        <w:rPr>
          <w:rFonts w:ascii="Arial" w:hAnsi="Arial"/>
          <w:color w:val="010101"/>
          <w:w w:val="166"/>
          <w:sz w:val="19"/>
        </w:rPr>
        <w:t>.</w:t>
      </w:r>
    </w:p>
    <w:p>
      <w:pPr>
        <w:spacing w:before="189"/>
        <w:ind w:left="120" w:right="19" w:firstLine="0"/>
        <w:jc w:val="left"/>
        <w:rPr>
          <w:b/>
          <w:sz w:val="19"/>
        </w:rPr>
      </w:pPr>
      <w:r>
        <w:rPr>
          <w:b/>
          <w:color w:val="010101"/>
          <w:w w:val="115"/>
          <w:sz w:val="19"/>
        </w:rPr>
        <w:t>References</w:t>
      </w:r>
    </w:p>
    <w:p>
      <w:pPr>
        <w:spacing w:before="78"/>
        <w:ind w:left="127" w:right="111" w:firstLine="192"/>
        <w:jc w:val="both"/>
        <w:rPr>
          <w:sz w:val="21"/>
        </w:rPr>
      </w:pPr>
      <w:r>
        <w:rPr>
          <w:color w:val="010101"/>
          <w:sz w:val="21"/>
        </w:rPr>
        <w:t>7. Mereu (1961) has investigated the error involved in the a.ssumption of linearity of reserves. Procedures for obtaining interim reserves by ada.pting these formulas to digital computers are described  by Davidson  and Birkenshaw (1958).</w:t>
      </w:r>
    </w:p>
    <w:p>
      <w:pPr>
        <w:spacing w:before="0"/>
        <w:ind w:left="127" w:right="119" w:firstLine="189"/>
        <w:jc w:val="both"/>
        <w:rPr>
          <w:sz w:val="21"/>
        </w:rPr>
      </w:pPr>
      <w:r>
        <w:rPr>
          <w:b/>
          <w:color w:val="010101"/>
          <w:sz w:val="21"/>
        </w:rPr>
        <w:t>8. A </w:t>
      </w:r>
      <w:r>
        <w:rPr>
          <w:color w:val="010101"/>
          <w:sz w:val="21"/>
        </w:rPr>
        <w:t>generaliza.tion to other forros of insurance is given by Mereu (1963).</w:t>
      </w:r>
    </w:p>
    <w:p>
      <w:pPr>
        <w:spacing w:line="237" w:lineRule="auto" w:before="1"/>
        <w:ind w:left="123" w:right="110" w:firstLine="203"/>
        <w:jc w:val="both"/>
        <w:rPr>
          <w:sz w:val="21"/>
        </w:rPr>
      </w:pPr>
      <w:r>
        <w:rPr>
          <w:b/>
          <w:color w:val="010101"/>
          <w:sz w:val="20"/>
        </w:rPr>
        <w:t>11. </w:t>
      </w:r>
      <w:r>
        <w:rPr>
          <w:color w:val="010101"/>
          <w:sz w:val="21"/>
        </w:rPr>
        <w:t>The classical paper is tha.t  of  Lidstone  (1905).  Extensions of Lidstone's results are given by Gershenson (1951) and Baillie (1951). The inductive proof of the sufficiency of the condition for equal ordinary life reserves is taken from T. N. E. Greville's dis­ cussion of Gershenson  (1951), TSA 3, pp.  533-4.</w:t>
      </w:r>
    </w:p>
    <w:p>
      <w:pPr>
        <w:spacing w:line="237" w:lineRule="auto" w:before="1"/>
        <w:ind w:left="109" w:right="109" w:firstLine="213"/>
        <w:jc w:val="both"/>
        <w:rPr>
          <w:sz w:val="21"/>
        </w:rPr>
      </w:pPr>
      <w:r>
        <w:rPr>
          <w:color w:val="010101"/>
          <w:spacing w:val="-16"/>
          <w:sz w:val="21"/>
        </w:rPr>
        <w:t>12. </w:t>
      </w:r>
      <w:r>
        <w:rPr>
          <w:color w:val="010101"/>
          <w:sz w:val="21"/>
        </w:rPr>
        <w:t>The original paper is that of Marshall </w:t>
      </w:r>
      <w:r>
        <w:rPr>
          <w:color w:val="010101"/>
          <w:spacing w:val="-3"/>
          <w:sz w:val="21"/>
        </w:rPr>
        <w:t>(1933). </w:t>
      </w:r>
      <w:r>
        <w:rPr>
          <w:color w:val="010101"/>
          <w:sz w:val="21"/>
        </w:rPr>
        <w:t>Using  a  different approach, Nowlin and Greville </w:t>
      </w:r>
      <w:r>
        <w:rPr>
          <w:color w:val="010101"/>
          <w:spacing w:val="-3"/>
          <w:sz w:val="21"/>
        </w:rPr>
        <w:t>(1956) </w:t>
      </w:r>
      <w:r>
        <w:rPr>
          <w:color w:val="010101"/>
          <w:sz w:val="21"/>
        </w:rPr>
        <w:t>obtained a result tha.t is slightly more general than our formula (5.38). Further generaliza.tions a.re cited in Chapter</w:t>
      </w:r>
      <w:r>
        <w:rPr>
          <w:color w:val="010101"/>
          <w:spacing w:val="17"/>
          <w:sz w:val="21"/>
        </w:rPr>
        <w:t> </w:t>
      </w:r>
      <w:r>
        <w:rPr>
          <w:color w:val="010101"/>
          <w:sz w:val="21"/>
        </w:rPr>
        <w:t>6.</w:t>
      </w:r>
    </w:p>
    <w:p>
      <w:pPr>
        <w:spacing w:before="154"/>
        <w:ind w:left="78" w:right="112" w:firstLine="0"/>
        <w:jc w:val="center"/>
        <w:rPr>
          <w:sz w:val="19"/>
        </w:rPr>
      </w:pPr>
      <w:r>
        <w:rPr>
          <w:color w:val="010101"/>
          <w:sz w:val="19"/>
        </w:rPr>
        <w:t>EXERCISES</w:t>
      </w:r>
    </w:p>
    <w:p>
      <w:pPr>
        <w:spacing w:before="155"/>
        <w:ind w:left="116" w:right="19" w:firstLine="0"/>
        <w:jc w:val="left"/>
        <w:rPr>
          <w:b/>
          <w:sz w:val="17"/>
        </w:rPr>
      </w:pPr>
      <w:r>
        <w:rPr>
          <w:color w:val="010101"/>
          <w:w w:val="120"/>
          <w:sz w:val="17"/>
        </w:rPr>
        <w:t>l, </w:t>
      </w:r>
      <w:r>
        <w:rPr>
          <w:b/>
          <w:color w:val="010101"/>
          <w:w w:val="120"/>
          <w:sz w:val="17"/>
        </w:rPr>
        <w:t>2. Prospective formulas</w:t>
      </w:r>
    </w:p>
    <w:p>
      <w:pPr>
        <w:pStyle w:val="ListParagraph"/>
        <w:numPr>
          <w:ilvl w:val="0"/>
          <w:numId w:val="48"/>
        </w:numPr>
        <w:tabs>
          <w:tab w:pos="474" w:val="left" w:leader="none"/>
        </w:tabs>
        <w:spacing w:line="200" w:lineRule="exact" w:before="83" w:after="0"/>
        <w:ind w:left="109" w:right="122" w:firstLine="168"/>
        <w:jc w:val="both"/>
        <w:rPr>
          <w:sz w:val="18"/>
        </w:rPr>
      </w:pPr>
      <w:r>
        <w:rPr/>
        <w:pict>
          <v:shape style="position:absolute;margin-left:71.679047pt;margin-top:17.309799pt;width:13.1pt;height:19pt;mso-position-horizontal-relative:page;mso-position-vertical-relative:paragraph;z-index:-725008" type="#_x0000_t202" filled="false" stroked="false">
            <v:textbox inset="0,0,0,0">
              <w:txbxContent>
                <w:p>
                  <w:pPr>
                    <w:spacing w:line="380" w:lineRule="exact" w:before="0"/>
                    <w:ind w:left="0" w:right="-12" w:firstLine="0"/>
                    <w:jc w:val="left"/>
                    <w:rPr>
                      <w:i/>
                      <w:sz w:val="38"/>
                    </w:rPr>
                  </w:pPr>
                  <w:r>
                    <w:rPr>
                      <w:i/>
                      <w:color w:val="010101"/>
                      <w:spacing w:val="-7"/>
                      <w:w w:val="65"/>
                      <w:sz w:val="38"/>
                    </w:rPr>
                    <w:t>::v</w:t>
                  </w:r>
                </w:p>
              </w:txbxContent>
            </v:textbox>
            <w10:wrap type="none"/>
          </v:shape>
        </w:pict>
      </w:r>
      <w:r>
        <w:rPr>
          <w:color w:val="010101"/>
          <w:sz w:val="18"/>
        </w:rPr>
        <w:t>Write prospective reserve formul&amp;a in terms of commutation functions for  the</w:t>
      </w:r>
      <w:r>
        <w:rPr>
          <w:color w:val="010101"/>
          <w:spacing w:val="26"/>
          <w:sz w:val="18"/>
        </w:rPr>
        <w:t> </w:t>
      </w:r>
      <w:r>
        <w:rPr>
          <w:color w:val="010101"/>
          <w:sz w:val="18"/>
        </w:rPr>
        <w:t>following:</w:t>
      </w:r>
    </w:p>
    <w:p>
      <w:pPr>
        <w:pStyle w:val="ListParagraph"/>
        <w:numPr>
          <w:ilvl w:val="1"/>
          <w:numId w:val="48"/>
        </w:numPr>
        <w:tabs>
          <w:tab w:pos="987" w:val="left" w:leader="none"/>
        </w:tabs>
        <w:spacing w:line="240" w:lineRule="auto" w:before="18" w:after="0"/>
        <w:ind w:left="986" w:right="0" w:hanging="549"/>
        <w:jc w:val="left"/>
        <w:rPr>
          <w:color w:val="010101"/>
          <w:sz w:val="16"/>
        </w:rPr>
      </w:pPr>
      <w:r>
        <w:rPr>
          <w:color w:val="010101"/>
          <w:w w:val="120"/>
          <w:sz w:val="11"/>
        </w:rPr>
        <w:t>IO</w:t>
      </w:r>
      <w:r>
        <w:rPr>
          <w:color w:val="1F1F1F"/>
          <w:w w:val="120"/>
          <w:sz w:val="11"/>
        </w:rPr>
        <w:t>:</w:t>
      </w:r>
      <w:r>
        <w:rPr>
          <w:color w:val="010101"/>
          <w:w w:val="120"/>
          <w:sz w:val="11"/>
        </w:rPr>
        <w:t>ii}</w:t>
      </w:r>
    </w:p>
    <w:p>
      <w:pPr>
        <w:pStyle w:val="ListParagraph"/>
        <w:numPr>
          <w:ilvl w:val="1"/>
          <w:numId w:val="48"/>
        </w:numPr>
        <w:tabs>
          <w:tab w:pos="738" w:val="left" w:leader="none"/>
        </w:tabs>
        <w:spacing w:line="174" w:lineRule="exact" w:before="0" w:after="0"/>
        <w:ind w:left="737" w:right="0" w:hanging="296"/>
        <w:jc w:val="left"/>
        <w:rPr>
          <w:color w:val="010101"/>
          <w:sz w:val="17"/>
        </w:rPr>
      </w:pPr>
      <w:r>
        <w:rPr>
          <w:color w:val="010101"/>
          <w:w w:val="144"/>
          <w:sz w:val="16"/>
        </w:rPr>
        <w:t>uV</w:t>
      </w:r>
      <w:r>
        <w:rPr>
          <w:color w:val="010101"/>
          <w:w w:val="144"/>
          <w:sz w:val="16"/>
        </w:rPr>
        <w:t>(</w:t>
      </w:r>
      <w:r>
        <w:rPr>
          <w:color w:val="010101"/>
          <w:spacing w:val="20"/>
          <w:w w:val="144"/>
          <w:sz w:val="16"/>
        </w:rPr>
        <w:t>A</w:t>
      </w:r>
      <w:r>
        <w:rPr>
          <w:color w:val="1F1F1F"/>
          <w:spacing w:val="8"/>
          <w:w w:val="59"/>
          <w:sz w:val="16"/>
        </w:rPr>
        <w:t>,</w:t>
      </w:r>
      <w:r>
        <w:rPr>
          <w:color w:val="010101"/>
          <w:spacing w:val="-6"/>
          <w:w w:val="150"/>
          <w:sz w:val="16"/>
        </w:rPr>
        <w:t>ü</w:t>
      </w:r>
      <w:r>
        <w:rPr>
          <w:color w:val="010101"/>
          <w:w w:val="74"/>
          <w:sz w:val="16"/>
        </w:rPr>
        <w:t>1)</w:t>
      </w:r>
    </w:p>
    <w:p>
      <w:pPr>
        <w:pStyle w:val="ListParagraph"/>
        <w:numPr>
          <w:ilvl w:val="0"/>
          <w:numId w:val="49"/>
        </w:numPr>
        <w:tabs>
          <w:tab w:pos="474" w:val="left" w:leader="none"/>
        </w:tabs>
        <w:spacing w:line="136" w:lineRule="exact" w:before="0" w:after="0"/>
        <w:ind w:left="473" w:right="0" w:hanging="207"/>
        <w:jc w:val="left"/>
        <w:rPr>
          <w:sz w:val="17"/>
        </w:rPr>
      </w:pPr>
      <w:r>
        <w:rPr>
          <w:color w:val="010101"/>
          <w:w w:val="98"/>
          <w:sz w:val="18"/>
        </w:rPr>
        <w:t>Show</w:t>
      </w:r>
      <w:r>
        <w:rPr>
          <w:color w:val="010101"/>
          <w:spacing w:val="5"/>
          <w:sz w:val="18"/>
        </w:rPr>
        <w:t> </w:t>
      </w:r>
      <w:r>
        <w:rPr>
          <w:color w:val="010101"/>
          <w:w w:val="115"/>
          <w:sz w:val="18"/>
        </w:rPr>
        <w:t>that</w:t>
      </w:r>
      <w:r>
        <w:rPr>
          <w:color w:val="010101"/>
          <w:spacing w:val="20"/>
          <w:sz w:val="18"/>
        </w:rPr>
        <w:t> </w:t>
      </w:r>
      <w:r>
        <w:rPr>
          <w:color w:val="010101"/>
          <w:spacing w:val="-34"/>
          <w:w w:val="329"/>
          <w:sz w:val="17"/>
        </w:rPr>
        <w:t>-</w:t>
      </w:r>
      <w:r>
        <w:rPr>
          <w:color w:val="010101"/>
          <w:w w:val="110"/>
          <w:sz w:val="17"/>
        </w:rPr>
        <w:t>•-tVs</w:t>
      </w:r>
      <w:r>
        <w:rPr>
          <w:color w:val="010101"/>
          <w:sz w:val="17"/>
        </w:rPr>
        <w:t> </w:t>
      </w:r>
      <w:r>
        <w:rPr>
          <w:color w:val="010101"/>
          <w:spacing w:val="-2"/>
          <w:sz w:val="17"/>
        </w:rPr>
        <w:t> </w:t>
      </w:r>
      <w:r>
        <w:rPr>
          <w:color w:val="010101"/>
          <w:w w:val="85"/>
          <w:sz w:val="23"/>
        </w:rPr>
        <w:t>=</w:t>
      </w:r>
      <w:r>
        <w:rPr>
          <w:color w:val="010101"/>
          <w:spacing w:val="27"/>
          <w:sz w:val="23"/>
        </w:rPr>
        <w:t> </w:t>
      </w:r>
      <w:r>
        <w:rPr>
          <w:color w:val="010101"/>
          <w:w w:val="72"/>
          <w:sz w:val="12"/>
        </w:rPr>
        <w:t>11</w:t>
      </w:r>
      <w:r>
        <w:rPr>
          <w:color w:val="010101"/>
          <w:sz w:val="12"/>
        </w:rPr>
        <w:t> </w:t>
      </w:r>
      <w:r>
        <w:rPr>
          <w:color w:val="010101"/>
          <w:spacing w:val="-4"/>
          <w:sz w:val="12"/>
        </w:rPr>
        <w:t> </w:t>
      </w:r>
      <w:r>
        <w:rPr>
          <w:color w:val="010101"/>
          <w:w w:val="385"/>
          <w:sz w:val="12"/>
        </w:rPr>
        <w:t>-</w:t>
      </w:r>
      <w:r>
        <w:rPr>
          <w:color w:val="010101"/>
          <w:sz w:val="12"/>
        </w:rPr>
        <w:t> </w:t>
      </w:r>
      <w:r>
        <w:rPr>
          <w:color w:val="010101"/>
          <w:spacing w:val="-11"/>
          <w:sz w:val="12"/>
        </w:rPr>
        <w:t> </w:t>
      </w:r>
      <w:r>
        <w:rPr>
          <w:color w:val="010101"/>
          <w:w w:val="117"/>
          <w:sz w:val="17"/>
        </w:rPr>
        <w:t>Ps</w:t>
      </w:r>
      <w:r>
        <w:rPr>
          <w:color w:val="010101"/>
          <w:spacing w:val="21"/>
          <w:sz w:val="17"/>
        </w:rPr>
        <w:t> </w:t>
      </w:r>
      <w:r>
        <w:rPr>
          <w:color w:val="010101"/>
          <w:w w:val="173"/>
          <w:sz w:val="17"/>
        </w:rPr>
        <w:t>.</w:t>
      </w:r>
    </w:p>
    <w:p>
      <w:pPr>
        <w:spacing w:line="102" w:lineRule="exact" w:before="0"/>
        <w:ind w:left="189" w:right="112" w:firstLine="0"/>
        <w:jc w:val="center"/>
        <w:rPr>
          <w:rFonts w:ascii="Arial" w:hAnsi="Arial"/>
          <w:i/>
          <w:sz w:val="24"/>
        </w:rPr>
      </w:pPr>
      <w:r>
        <w:rPr>
          <w:rFonts w:ascii="Arial" w:hAnsi="Arial"/>
          <w:i/>
          <w:color w:val="010101"/>
          <w:spacing w:val="-21"/>
          <w:w w:val="115"/>
          <w:sz w:val="24"/>
        </w:rPr>
        <w:t>,</w:t>
      </w:r>
      <w:r>
        <w:rPr>
          <w:rFonts w:ascii="Arial" w:hAnsi="Arial"/>
          <w:i/>
          <w:color w:val="010101"/>
          <w:w w:val="114"/>
          <w:sz w:val="24"/>
        </w:rPr>
        <w:t>vU</w:t>
      </w:r>
      <w:r>
        <w:rPr>
          <w:rFonts w:ascii="Arial" w:hAnsi="Arial"/>
          <w:i/>
          <w:color w:val="010101"/>
          <w:spacing w:val="-43"/>
          <w:w w:val="114"/>
          <w:sz w:val="24"/>
        </w:rPr>
        <w:t>.</w:t>
      </w:r>
      <w:r>
        <w:rPr>
          <w:rFonts w:ascii="Arial" w:hAnsi="Arial"/>
          <w:i/>
          <w:color w:val="010101"/>
          <w:w w:val="47"/>
          <w:sz w:val="24"/>
        </w:rPr>
        <w:t>&gt;</w:t>
      </w:r>
      <w:r>
        <w:rPr>
          <w:rFonts w:ascii="Arial" w:hAnsi="Arial"/>
          <w:i/>
          <w:color w:val="010101"/>
          <w:spacing w:val="8"/>
          <w:sz w:val="24"/>
        </w:rPr>
        <w:t> </w:t>
      </w:r>
      <w:r>
        <w:rPr>
          <w:color w:val="010101"/>
          <w:w w:val="121"/>
          <w:sz w:val="14"/>
        </w:rPr>
        <w:t>i.,</w:t>
      </w:r>
      <w:r>
        <w:rPr>
          <w:color w:val="010101"/>
          <w:sz w:val="14"/>
        </w:rPr>
        <w:t> </w:t>
      </w:r>
      <w:r>
        <w:rPr>
          <w:color w:val="010101"/>
          <w:spacing w:val="-3"/>
          <w:sz w:val="14"/>
        </w:rPr>
        <w:t> </w:t>
      </w:r>
      <w:r>
        <w:rPr>
          <w:color w:val="010101"/>
          <w:spacing w:val="-25"/>
          <w:w w:val="85"/>
          <w:sz w:val="51"/>
        </w:rPr>
        <w:t>(</w:t>
      </w:r>
      <w:r>
        <w:rPr>
          <w:color w:val="010101"/>
          <w:spacing w:val="25"/>
          <w:w w:val="46"/>
          <w:sz w:val="51"/>
        </w:rPr>
        <w:t>1</w:t>
      </w:r>
      <w:r>
        <w:rPr>
          <w:rFonts w:ascii="Arial" w:hAnsi="Arial"/>
          <w:color w:val="010101"/>
          <w:w w:val="103"/>
          <w:sz w:val="27"/>
        </w:rPr>
        <w:t>+</w:t>
      </w:r>
      <w:r>
        <w:rPr>
          <w:rFonts w:ascii="Arial" w:hAnsi="Arial"/>
          <w:color w:val="010101"/>
          <w:spacing w:val="-39"/>
          <w:sz w:val="27"/>
        </w:rPr>
        <w:t> </w:t>
      </w:r>
      <w:r>
        <w:rPr>
          <w:rFonts w:ascii="Arial" w:hAnsi="Arial"/>
          <w:color w:val="010101"/>
          <w:spacing w:val="14"/>
          <w:w w:val="52"/>
          <w:sz w:val="87"/>
        </w:rPr>
        <w:t>n</w:t>
      </w:r>
      <w:r>
        <w:rPr>
          <w:rFonts w:ascii="Arial" w:hAnsi="Arial"/>
          <w:i/>
          <w:color w:val="010101"/>
          <w:w w:val="88"/>
          <w:sz w:val="24"/>
        </w:rPr>
        <w:t>,</w:t>
      </w:r>
      <w:r>
        <w:rPr>
          <w:rFonts w:ascii="Arial" w:hAnsi="Arial"/>
          <w:i/>
          <w:color w:val="010101"/>
          <w:spacing w:val="12"/>
          <w:w w:val="88"/>
          <w:sz w:val="24"/>
        </w:rPr>
        <w:t>v</w:t>
      </w:r>
      <w:r>
        <w:rPr>
          <w:rFonts w:ascii="Arial" w:hAnsi="Arial"/>
          <w:i/>
          <w:color w:val="010101"/>
          <w:w w:val="103"/>
          <w:sz w:val="24"/>
        </w:rPr>
        <w:t>•.</w:t>
      </w:r>
    </w:p>
    <w:p>
      <w:pPr>
        <w:pStyle w:val="ListParagraph"/>
        <w:numPr>
          <w:ilvl w:val="0"/>
          <w:numId w:val="49"/>
        </w:numPr>
        <w:tabs>
          <w:tab w:pos="470" w:val="left" w:leader="none"/>
        </w:tabs>
        <w:spacing w:line="184" w:lineRule="exact" w:before="0" w:after="0"/>
        <w:ind w:left="469" w:right="0" w:hanging="210"/>
        <w:jc w:val="left"/>
        <w:rPr>
          <w:sz w:val="18"/>
        </w:rPr>
      </w:pPr>
      <w:r>
        <w:rPr>
          <w:color w:val="010101"/>
          <w:w w:val="105"/>
          <w:sz w:val="18"/>
        </w:rPr>
        <w:t>Show</w:t>
      </w:r>
      <w:r>
        <w:rPr>
          <w:color w:val="010101"/>
          <w:spacing w:val="14"/>
          <w:w w:val="105"/>
          <w:sz w:val="18"/>
        </w:rPr>
        <w:t> </w:t>
      </w:r>
      <w:r>
        <w:rPr>
          <w:color w:val="010101"/>
          <w:w w:val="105"/>
          <w:sz w:val="18"/>
        </w:rPr>
        <w:t>that</w:t>
      </w:r>
    </w:p>
    <w:p>
      <w:pPr>
        <w:pStyle w:val="BodyText"/>
      </w:pPr>
    </w:p>
    <w:p>
      <w:pPr>
        <w:pStyle w:val="BodyText"/>
      </w:pPr>
    </w:p>
    <w:p>
      <w:pPr>
        <w:pStyle w:val="BodyText"/>
        <w:spacing w:before="6"/>
        <w:rPr>
          <w:sz w:val="21"/>
        </w:rPr>
      </w:pPr>
    </w:p>
    <w:p>
      <w:pPr>
        <w:spacing w:before="0"/>
        <w:ind w:left="105" w:right="19" w:firstLine="0"/>
        <w:jc w:val="left"/>
        <w:rPr>
          <w:sz w:val="17"/>
        </w:rPr>
      </w:pPr>
      <w:r>
        <w:rPr>
          <w:color w:val="010101"/>
          <w:w w:val="105"/>
          <w:sz w:val="18"/>
        </w:rPr>
        <w:t>Write the corresponding  approximation  for  </w:t>
      </w:r>
      <w:r>
        <w:rPr>
          <w:color w:val="010101"/>
          <w:w w:val="105"/>
          <w:sz w:val="17"/>
        </w:rPr>
        <w:t>,V(Ás </w:t>
      </w:r>
      <w:r>
        <w:rPr>
          <w:color w:val="1F1F1F"/>
          <w:w w:val="105"/>
          <w:sz w:val="17"/>
        </w:rPr>
        <w:t>:</w:t>
      </w:r>
      <w:r>
        <w:rPr>
          <w:color w:val="010101"/>
          <w:w w:val="105"/>
          <w:sz w:val="17"/>
        </w:rPr>
        <w:t>il),</w:t>
      </w:r>
    </w:p>
    <w:p>
      <w:pPr>
        <w:pStyle w:val="ListParagraph"/>
        <w:numPr>
          <w:ilvl w:val="0"/>
          <w:numId w:val="50"/>
        </w:numPr>
        <w:tabs>
          <w:tab w:pos="324" w:val="left" w:leader="none"/>
        </w:tabs>
        <w:spacing w:line="240" w:lineRule="auto" w:before="161" w:after="0"/>
        <w:ind w:left="323" w:right="0" w:hanging="221"/>
        <w:jc w:val="left"/>
        <w:rPr>
          <w:b/>
          <w:color w:val="010101"/>
          <w:sz w:val="17"/>
        </w:rPr>
      </w:pPr>
      <w:r>
        <w:rPr>
          <w:b/>
          <w:color w:val="010101"/>
          <w:w w:val="110"/>
          <w:sz w:val="17"/>
        </w:rPr>
        <w:t>Retroepeetive</w:t>
      </w:r>
      <w:r>
        <w:rPr>
          <w:b/>
          <w:color w:val="010101"/>
          <w:spacing w:val="33"/>
          <w:w w:val="110"/>
          <w:sz w:val="17"/>
        </w:rPr>
        <w:t> </w:t>
      </w:r>
      <w:r>
        <w:rPr>
          <w:b/>
          <w:color w:val="010101"/>
          <w:spacing w:val="-4"/>
          <w:w w:val="110"/>
          <w:sz w:val="17"/>
        </w:rPr>
        <w:t>Cormulas</w:t>
      </w:r>
    </w:p>
    <w:p>
      <w:pPr>
        <w:pStyle w:val="ListParagraph"/>
        <w:numPr>
          <w:ilvl w:val="0"/>
          <w:numId w:val="51"/>
        </w:numPr>
        <w:tabs>
          <w:tab w:pos="470" w:val="left" w:leader="none"/>
        </w:tabs>
        <w:spacing w:line="163" w:lineRule="auto" w:before="121" w:after="0"/>
        <w:ind w:left="105" w:right="117" w:firstLine="157"/>
        <w:jc w:val="left"/>
        <w:rPr>
          <w:color w:val="010101"/>
          <w:sz w:val="18"/>
        </w:rPr>
      </w:pPr>
      <w:r>
        <w:rPr>
          <w:color w:val="010101"/>
          <w:w w:val="105"/>
          <w:sz w:val="18"/>
        </w:rPr>
        <w:t>Write retrospective formulas for </w:t>
      </w:r>
      <w:r>
        <w:rPr>
          <w:rFonts w:ascii="Arial" w:hAnsi="Arial"/>
          <w:color w:val="010101"/>
          <w:w w:val="105"/>
          <w:sz w:val="18"/>
        </w:rPr>
        <w:t>V. </w:t>
      </w:r>
      <w:r>
        <w:rPr>
          <w:color w:val="010101"/>
          <w:w w:val="105"/>
          <w:sz w:val="18"/>
        </w:rPr>
        <w:t>in commutation functions, con­ sidering the c&amp;aes where </w:t>
      </w:r>
      <w:r>
        <w:rPr>
          <w:rFonts w:ascii="Arial" w:hAnsi="Arial"/>
          <w:i/>
          <w:color w:val="010101"/>
          <w:w w:val="105"/>
          <w:sz w:val="15"/>
        </w:rPr>
        <w:t>t </w:t>
      </w:r>
      <w:r>
        <w:rPr>
          <w:rFonts w:ascii="Arial" w:hAnsi="Arial"/>
          <w:color w:val="010101"/>
          <w:w w:val="105"/>
          <w:sz w:val="24"/>
        </w:rPr>
        <w:t>&lt; </w:t>
      </w:r>
      <w:r>
        <w:rPr>
          <w:i/>
          <w:color w:val="010101"/>
          <w:w w:val="105"/>
          <w:sz w:val="18"/>
        </w:rPr>
        <w:t>n </w:t>
      </w:r>
      <w:r>
        <w:rPr>
          <w:color w:val="010101"/>
          <w:w w:val="105"/>
          <w:sz w:val="18"/>
        </w:rPr>
        <w:t>and </w:t>
      </w:r>
      <w:r>
        <w:rPr>
          <w:rFonts w:ascii="Arial" w:hAnsi="Arial"/>
          <w:i/>
          <w:color w:val="010101"/>
          <w:w w:val="105"/>
          <w:sz w:val="15"/>
        </w:rPr>
        <w:t>t </w:t>
      </w:r>
      <w:r>
        <w:rPr>
          <w:color w:val="010101"/>
          <w:w w:val="105"/>
          <w:sz w:val="21"/>
        </w:rPr>
        <w:t>&gt; </w:t>
      </w:r>
      <w:r>
        <w:rPr>
          <w:i/>
          <w:color w:val="010101"/>
          <w:w w:val="105"/>
          <w:sz w:val="18"/>
        </w:rPr>
        <w:t>n. </w:t>
      </w:r>
      <w:r>
        <w:rPr>
          <w:color w:val="010101"/>
          <w:w w:val="105"/>
          <w:sz w:val="18"/>
        </w:rPr>
        <w:t>In each case, show that the</w:t>
      </w:r>
      <w:r>
        <w:rPr>
          <w:color w:val="010101"/>
          <w:spacing w:val="19"/>
          <w:w w:val="105"/>
          <w:sz w:val="18"/>
        </w:rPr>
        <w:t> </w:t>
      </w:r>
      <w:r>
        <w:rPr>
          <w:color w:val="010101"/>
          <w:w w:val="105"/>
          <w:sz w:val="18"/>
        </w:rPr>
        <w:t>retro­</w:t>
      </w:r>
    </w:p>
    <w:p>
      <w:pPr>
        <w:spacing w:line="202" w:lineRule="exact" w:before="0"/>
        <w:ind w:left="105" w:right="19" w:firstLine="0"/>
        <w:jc w:val="left"/>
        <w:rPr>
          <w:sz w:val="18"/>
        </w:rPr>
      </w:pPr>
      <w:r>
        <w:rPr>
          <w:color w:val="010101"/>
          <w:w w:val="105"/>
          <w:sz w:val="18"/>
        </w:rPr>
        <w:t>spective expression is equivalent  to the prospective  formula.</w:t>
      </w:r>
    </w:p>
    <w:p>
      <w:pPr>
        <w:spacing w:after="0" w:line="202" w:lineRule="exact"/>
        <w:jc w:val="left"/>
        <w:rPr>
          <w:sz w:val="18"/>
        </w:rPr>
        <w:sectPr>
          <w:pgSz w:w="7200" w:h="11340"/>
          <w:pgMar w:top="520" w:bottom="280" w:left="700" w:right="560"/>
        </w:sectPr>
      </w:pPr>
    </w:p>
    <w:p>
      <w:pPr>
        <w:tabs>
          <w:tab w:pos="1477" w:val="left" w:leader="none"/>
          <w:tab w:pos="5237" w:val="left" w:leader="none"/>
        </w:tabs>
        <w:spacing w:before="50"/>
        <w:ind w:left="0" w:right="98" w:firstLine="0"/>
        <w:jc w:val="right"/>
        <w:rPr>
          <w:rFonts w:ascii="Arial"/>
          <w:sz w:val="19"/>
        </w:rPr>
      </w:pPr>
      <w:r>
        <w:rPr>
          <w:color w:val="010101"/>
          <w:sz w:val="20"/>
        </w:rPr>
        <w:t>126</w:t>
        <w:tab/>
      </w:r>
      <w:r>
        <w:rPr>
          <w:b/>
          <w:color w:val="010101"/>
          <w:sz w:val="15"/>
        </w:rPr>
        <w:t>NET   LEVEL  </w:t>
      </w:r>
      <w:r>
        <w:rPr>
          <w:b/>
          <w:color w:val="010101"/>
          <w:spacing w:val="26"/>
          <w:sz w:val="15"/>
        </w:rPr>
        <w:t> </w:t>
      </w:r>
      <w:r>
        <w:rPr>
          <w:b/>
          <w:color w:val="010101"/>
          <w:sz w:val="15"/>
        </w:rPr>
        <w:t>PREMIUM    </w:t>
      </w:r>
      <w:r>
        <w:rPr>
          <w:color w:val="010101"/>
          <w:sz w:val="15"/>
        </w:rPr>
        <w:t>RESERVES</w:t>
        <w:tab/>
      </w:r>
      <w:r>
        <w:rPr>
          <w:color w:val="010101"/>
          <w:w w:val="95"/>
          <w:sz w:val="19"/>
        </w:rPr>
        <w:t>[CH.</w:t>
      </w:r>
      <w:r>
        <w:rPr>
          <w:color w:val="010101"/>
          <w:spacing w:val="-12"/>
          <w:w w:val="95"/>
          <w:sz w:val="19"/>
        </w:rPr>
        <w:t> </w:t>
      </w:r>
      <w:r>
        <w:rPr>
          <w:rFonts w:ascii="Arial"/>
          <w:color w:val="010101"/>
          <w:w w:val="95"/>
          <w:sz w:val="19"/>
        </w:rPr>
        <w:t>5</w:t>
      </w:r>
    </w:p>
    <w:p>
      <w:pPr>
        <w:pStyle w:val="BodyText"/>
        <w:spacing w:before="10"/>
        <w:rPr>
          <w:rFonts w:ascii="Arial"/>
        </w:rPr>
      </w:pPr>
    </w:p>
    <w:p>
      <w:pPr>
        <w:pStyle w:val="ListParagraph"/>
        <w:numPr>
          <w:ilvl w:val="0"/>
          <w:numId w:val="51"/>
        </w:numPr>
        <w:tabs>
          <w:tab w:pos="496" w:val="left" w:leader="none"/>
        </w:tabs>
        <w:spacing w:line="244" w:lineRule="auto" w:before="0" w:after="0"/>
        <w:ind w:left="114" w:right="103" w:firstLine="169"/>
        <w:jc w:val="both"/>
        <w:rPr>
          <w:rFonts w:ascii="Arial" w:hAnsi="Arial"/>
          <w:i/>
          <w:color w:val="010101"/>
          <w:sz w:val="17"/>
        </w:rPr>
      </w:pPr>
      <w:r>
        <w:rPr>
          <w:color w:val="010101"/>
          <w:w w:val="110"/>
          <w:sz w:val="17"/>
        </w:rPr>
        <w:t>Suppose that 90,000 lives aged 30 each purchase an ordinary life in­ surance of </w:t>
      </w:r>
      <w:r>
        <w:rPr>
          <w:color w:val="010101"/>
          <w:w w:val="125"/>
          <w:sz w:val="16"/>
        </w:rPr>
        <w:t>l. </w:t>
      </w:r>
      <w:r>
        <w:rPr>
          <w:color w:val="010101"/>
          <w:w w:val="110"/>
          <w:sz w:val="17"/>
        </w:rPr>
        <w:t>The net annual premium is .02</w:t>
      </w:r>
      <w:r>
        <w:rPr>
          <w:color w:val="1A1A1A"/>
          <w:w w:val="110"/>
          <w:sz w:val="17"/>
        </w:rPr>
        <w:t>. </w:t>
      </w:r>
      <w:r>
        <w:rPr>
          <w:color w:val="010101"/>
          <w:w w:val="110"/>
          <w:sz w:val="17"/>
        </w:rPr>
        <w:t>If interest is at 3% and if the mortality table used provides for 700 deaths at age 30, compute   </w:t>
      </w:r>
      <w:r>
        <w:rPr>
          <w:color w:val="010101"/>
          <w:spacing w:val="44"/>
          <w:w w:val="110"/>
          <w:sz w:val="17"/>
        </w:rPr>
        <w:t> </w:t>
      </w:r>
      <w:r>
        <w:rPr>
          <w:color w:val="010101"/>
          <w:w w:val="110"/>
          <w:sz w:val="10"/>
        </w:rPr>
        <w:t>1</w:t>
      </w:r>
      <w:r>
        <w:rPr>
          <w:rFonts w:ascii="Arial" w:hAnsi="Arial"/>
          <w:i/>
          <w:color w:val="010101"/>
          <w:w w:val="110"/>
          <w:sz w:val="16"/>
        </w:rPr>
        <w:t>Vao .</w:t>
      </w:r>
    </w:p>
    <w:p>
      <w:pPr>
        <w:spacing w:line="194" w:lineRule="exact" w:before="0"/>
        <w:ind w:left="0" w:right="120" w:firstLine="0"/>
        <w:jc w:val="right"/>
        <w:rPr>
          <w:sz w:val="17"/>
        </w:rPr>
      </w:pPr>
      <w:r>
        <w:rPr>
          <w:color w:val="010101"/>
          <w:w w:val="105"/>
          <w:sz w:val="17"/>
        </w:rPr>
        <w:t>(Ans. .013)</w:t>
      </w:r>
    </w:p>
    <w:p>
      <w:pPr>
        <w:pStyle w:val="ListParagraph"/>
        <w:numPr>
          <w:ilvl w:val="0"/>
          <w:numId w:val="51"/>
        </w:numPr>
        <w:tabs>
          <w:tab w:pos="488" w:val="left" w:leader="none"/>
        </w:tabs>
        <w:spacing w:line="240" w:lineRule="auto" w:before="6" w:after="0"/>
        <w:ind w:left="114" w:right="126" w:firstLine="158"/>
        <w:jc w:val="both"/>
        <w:rPr>
          <w:i/>
          <w:color w:val="010101"/>
          <w:sz w:val="17"/>
        </w:rPr>
      </w:pPr>
      <w:r>
        <w:rPr>
          <w:color w:val="010101"/>
          <w:w w:val="105"/>
          <w:sz w:val="17"/>
        </w:rPr>
        <w:t>Show that the product of the t-th year terminal reserve for an annual premium n-year pure endowment issued  at  age </w:t>
      </w:r>
      <w:r>
        <w:rPr>
          <w:i/>
          <w:color w:val="010101"/>
          <w:w w:val="105"/>
          <w:sz w:val="17"/>
        </w:rPr>
        <w:t>x  </w:t>
      </w:r>
      <w:r>
        <w:rPr>
          <w:color w:val="010101"/>
          <w:w w:val="105"/>
          <w:sz w:val="17"/>
        </w:rPr>
        <w:t>a.nd  the  annual  premium for a pure endowment  of  like amount  issued  at  the same a.ge but  maturing  in  </w:t>
      </w:r>
      <w:r>
        <w:rPr>
          <w:i/>
          <w:color w:val="010101"/>
          <w:w w:val="105"/>
          <w:sz w:val="18"/>
        </w:rPr>
        <w:t>t </w:t>
      </w:r>
      <w:r>
        <w:rPr>
          <w:color w:val="010101"/>
          <w:w w:val="105"/>
          <w:sz w:val="17"/>
        </w:rPr>
        <w:t>years  is constant  for  ali  values  of </w:t>
      </w:r>
      <w:r>
        <w:rPr>
          <w:color w:val="010101"/>
          <w:spacing w:val="26"/>
          <w:w w:val="105"/>
          <w:sz w:val="17"/>
        </w:rPr>
        <w:t> </w:t>
      </w:r>
      <w:r>
        <w:rPr>
          <w:i/>
          <w:color w:val="010101"/>
          <w:w w:val="105"/>
          <w:sz w:val="17"/>
        </w:rPr>
        <w:t>t.</w:t>
      </w:r>
    </w:p>
    <w:p>
      <w:pPr>
        <w:pStyle w:val="BodyText"/>
        <w:spacing w:before="6"/>
        <w:rPr>
          <w:i/>
          <w:sz w:val="14"/>
        </w:rPr>
      </w:pPr>
    </w:p>
    <w:p>
      <w:pPr>
        <w:pStyle w:val="ListParagraph"/>
        <w:numPr>
          <w:ilvl w:val="0"/>
          <w:numId w:val="50"/>
        </w:numPr>
        <w:tabs>
          <w:tab w:pos="327" w:val="left" w:leader="none"/>
        </w:tabs>
        <w:spacing w:line="240" w:lineRule="auto" w:before="0" w:after="0"/>
        <w:ind w:left="326" w:right="0" w:hanging="219"/>
        <w:jc w:val="left"/>
        <w:rPr>
          <w:b/>
          <w:color w:val="010101"/>
          <w:sz w:val="16"/>
        </w:rPr>
      </w:pPr>
      <w:r>
        <w:rPr>
          <w:b/>
          <w:color w:val="010101"/>
          <w:w w:val="120"/>
          <w:sz w:val="16"/>
        </w:rPr>
        <w:t>Other formulas  for terminal</w:t>
      </w:r>
      <w:r>
        <w:rPr>
          <w:b/>
          <w:color w:val="010101"/>
          <w:spacing w:val="43"/>
          <w:w w:val="120"/>
          <w:sz w:val="16"/>
        </w:rPr>
        <w:t> </w:t>
      </w:r>
      <w:r>
        <w:rPr>
          <w:b/>
          <w:color w:val="010101"/>
          <w:w w:val="120"/>
          <w:sz w:val="16"/>
        </w:rPr>
        <w:t>reserves</w:t>
      </w:r>
    </w:p>
    <w:p>
      <w:pPr>
        <w:spacing w:after="0" w:line="240" w:lineRule="auto"/>
        <w:jc w:val="left"/>
        <w:rPr>
          <w:sz w:val="16"/>
        </w:rPr>
        <w:sectPr>
          <w:pgSz w:w="7200" w:h="11340"/>
          <w:pgMar w:top="500" w:bottom="280" w:left="660" w:right="560"/>
        </w:sectPr>
      </w:pPr>
    </w:p>
    <w:p>
      <w:pPr>
        <w:pStyle w:val="ListParagraph"/>
        <w:numPr>
          <w:ilvl w:val="1"/>
          <w:numId w:val="50"/>
        </w:numPr>
        <w:tabs>
          <w:tab w:pos="485" w:val="left" w:leader="none"/>
        </w:tabs>
        <w:spacing w:line="511" w:lineRule="exact" w:before="0" w:after="0"/>
        <w:ind w:left="774" w:right="0" w:hanging="505"/>
        <w:jc w:val="left"/>
        <w:rPr>
          <w:i/>
          <w:sz w:val="46"/>
        </w:rPr>
      </w:pPr>
      <w:r>
        <w:rPr>
          <w:color w:val="010101"/>
          <w:w w:val="101"/>
          <w:sz w:val="17"/>
        </w:rPr>
        <w:t>Show</w:t>
      </w:r>
      <w:r>
        <w:rPr>
          <w:color w:val="010101"/>
          <w:sz w:val="17"/>
        </w:rPr>
        <w:t> </w:t>
      </w:r>
      <w:r>
        <w:rPr>
          <w:color w:val="010101"/>
          <w:spacing w:val="-14"/>
          <w:sz w:val="17"/>
        </w:rPr>
        <w:t> </w:t>
      </w:r>
      <w:r>
        <w:rPr>
          <w:color w:val="010101"/>
          <w:w w:val="119"/>
          <w:sz w:val="17"/>
        </w:rPr>
        <w:t>that</w:t>
      </w:r>
      <w:r>
        <w:rPr>
          <w:color w:val="010101"/>
          <w:sz w:val="17"/>
        </w:rPr>
        <w:t> </w:t>
      </w:r>
      <w:r>
        <w:rPr>
          <w:color w:val="010101"/>
          <w:spacing w:val="4"/>
          <w:sz w:val="17"/>
        </w:rPr>
        <w:t> </w:t>
      </w:r>
      <w:r>
        <w:rPr>
          <w:color w:val="010101"/>
          <w:w w:val="111"/>
          <w:sz w:val="16"/>
        </w:rPr>
        <w:t>(</w:t>
      </w:r>
      <w:r>
        <w:rPr>
          <w:color w:val="010101"/>
          <w:w w:val="111"/>
          <w:sz w:val="16"/>
        </w:rPr>
        <w:t>a</w:t>
      </w:r>
      <w:r>
        <w:rPr>
          <w:color w:val="010101"/>
          <w:w w:val="111"/>
          <w:sz w:val="16"/>
        </w:rPr>
        <w:t>)</w:t>
      </w:r>
      <w:r>
        <w:rPr>
          <w:color w:val="010101"/>
          <w:sz w:val="16"/>
        </w:rPr>
        <w:t> </w:t>
      </w:r>
      <w:r>
        <w:rPr>
          <w:color w:val="010101"/>
          <w:spacing w:val="8"/>
          <w:sz w:val="16"/>
        </w:rPr>
        <w:t> </w:t>
      </w:r>
      <w:r>
        <w:rPr>
          <w:color w:val="010101"/>
          <w:spacing w:val="9"/>
          <w:w w:val="121"/>
          <w:sz w:val="16"/>
        </w:rPr>
        <w:t>,</w:t>
      </w:r>
      <w:r>
        <w:rPr>
          <w:i/>
          <w:color w:val="010101"/>
          <w:spacing w:val="-1"/>
          <w:w w:val="110"/>
          <w:sz w:val="17"/>
        </w:rPr>
        <w:t>V</w:t>
      </w:r>
      <w:r>
        <w:rPr>
          <w:i/>
          <w:color w:val="010101"/>
          <w:w w:val="77"/>
          <w:sz w:val="17"/>
        </w:rPr>
        <w:t>z</w:t>
      </w:r>
      <w:r>
        <w:rPr>
          <w:i/>
          <w:color w:val="010101"/>
          <w:sz w:val="17"/>
        </w:rPr>
        <w:t> </w:t>
      </w:r>
      <w:r>
        <w:rPr>
          <w:i/>
          <w:color w:val="010101"/>
          <w:spacing w:val="14"/>
          <w:sz w:val="17"/>
        </w:rPr>
        <w:t> </w:t>
      </w:r>
      <w:r>
        <w:rPr>
          <w:color w:val="010101"/>
          <w:w w:val="118"/>
          <w:sz w:val="10"/>
        </w:rPr>
        <w:t>:o:</w:t>
      </w:r>
      <w:r>
        <w:rPr>
          <w:color w:val="010101"/>
          <w:sz w:val="10"/>
        </w:rPr>
        <w:t>  </w:t>
      </w:r>
      <w:r>
        <w:rPr>
          <w:color w:val="010101"/>
          <w:spacing w:val="-11"/>
          <w:sz w:val="10"/>
        </w:rPr>
        <w:t> </w:t>
      </w:r>
      <w:r>
        <w:rPr>
          <w:i/>
          <w:color w:val="010101"/>
          <w:w w:val="91"/>
          <w:sz w:val="17"/>
        </w:rPr>
        <w:t>Az+</w:t>
      </w:r>
      <w:r>
        <w:rPr>
          <w:i/>
          <w:color w:val="010101"/>
          <w:spacing w:val="-18"/>
          <w:sz w:val="17"/>
        </w:rPr>
        <w:t> </w:t>
      </w:r>
      <w:r>
        <w:rPr>
          <w:i/>
          <w:color w:val="010101"/>
          <w:w w:val="36"/>
          <w:sz w:val="17"/>
        </w:rPr>
        <w:t>I</w:t>
      </w:r>
      <w:r>
        <w:rPr>
          <w:i/>
          <w:color w:val="010101"/>
          <w:sz w:val="17"/>
        </w:rPr>
        <w:t> </w:t>
      </w:r>
      <w:r>
        <w:rPr>
          <w:i/>
          <w:color w:val="010101"/>
          <w:spacing w:val="1"/>
          <w:sz w:val="17"/>
        </w:rPr>
        <w:t> </w:t>
      </w:r>
      <w:r>
        <w:rPr>
          <w:color w:val="010101"/>
          <w:spacing w:val="-5"/>
          <w:w w:val="216"/>
          <w:position w:val="-5"/>
          <w:sz w:val="17"/>
        </w:rPr>
        <w:t>(</w:t>
      </w:r>
      <w:r>
        <w:rPr>
          <w:color w:val="010101"/>
          <w:w w:val="111"/>
          <w:sz w:val="17"/>
        </w:rPr>
        <w:t>1</w:t>
      </w:r>
      <w:r>
        <w:rPr>
          <w:color w:val="010101"/>
          <w:spacing w:val="6"/>
          <w:sz w:val="17"/>
        </w:rPr>
        <w:t> </w:t>
      </w:r>
      <w:r>
        <w:rPr>
          <w:rFonts w:ascii="Arial"/>
          <w:color w:val="010101"/>
          <w:w w:val="103"/>
          <w:sz w:val="25"/>
        </w:rPr>
        <w:t>+</w:t>
      </w:r>
      <w:r>
        <w:rPr>
          <w:rFonts w:ascii="Arial"/>
          <w:color w:val="010101"/>
          <w:spacing w:val="-9"/>
          <w:sz w:val="25"/>
        </w:rPr>
        <w:t> </w:t>
      </w:r>
      <w:r>
        <w:rPr>
          <w:color w:val="010101"/>
          <w:spacing w:val="-98"/>
          <w:w w:val="111"/>
          <w:position w:val="10"/>
          <w:sz w:val="17"/>
        </w:rPr>
        <w:t>1</w:t>
      </w:r>
      <w:r>
        <w:rPr>
          <w:i/>
          <w:color w:val="010101"/>
          <w:spacing w:val="-347"/>
          <w:w w:val="145"/>
          <w:sz w:val="46"/>
        </w:rPr>
        <w:t>T</w:t>
      </w:r>
    </w:p>
    <w:p>
      <w:pPr>
        <w:tabs>
          <w:tab w:pos="599" w:val="left" w:leader="none"/>
        </w:tabs>
        <w:spacing w:line="252" w:lineRule="exact" w:before="79"/>
        <w:ind w:left="69" w:right="0" w:firstLine="0"/>
        <w:jc w:val="left"/>
        <w:rPr>
          <w:rFonts w:ascii="Arial"/>
          <w:i/>
          <w:sz w:val="16"/>
        </w:rPr>
      </w:pPr>
      <w:r>
        <w:rPr/>
        <w:br w:type="column"/>
      </w:r>
      <w:r>
        <w:rPr>
          <w:rFonts w:ascii="Arial"/>
          <w:color w:val="010101"/>
          <w:w w:val="120"/>
          <w:sz w:val="25"/>
        </w:rPr>
        <w:t>+</w:t>
      </w:r>
      <w:r>
        <w:rPr>
          <w:rFonts w:ascii="Arial"/>
          <w:color w:val="010101"/>
          <w:spacing w:val="-13"/>
          <w:w w:val="120"/>
          <w:sz w:val="25"/>
        </w:rPr>
        <w:t> </w:t>
      </w:r>
      <w:r>
        <w:rPr>
          <w:rFonts w:ascii="Arial"/>
          <w:color w:val="1A1A1A"/>
          <w:w w:val="120"/>
          <w:sz w:val="25"/>
        </w:rPr>
        <w:t>.</w:t>
        <w:tab/>
      </w:r>
      <w:r>
        <w:rPr>
          <w:rFonts w:ascii="Arial"/>
          <w:color w:val="010101"/>
          <w:w w:val="150"/>
          <w:sz w:val="25"/>
        </w:rPr>
        <w:t>) </w:t>
      </w:r>
      <w:r>
        <w:rPr>
          <w:rFonts w:ascii="Arial"/>
          <w:i/>
          <w:color w:val="010101"/>
          <w:w w:val="135"/>
          <w:sz w:val="16"/>
        </w:rPr>
        <w:t>_ </w:t>
      </w:r>
      <w:r>
        <w:rPr>
          <w:rFonts w:ascii="Arial"/>
          <w:i/>
          <w:color w:val="010101"/>
          <w:w w:val="135"/>
          <w:sz w:val="16"/>
          <w:u w:val="single" w:color="000000"/>
        </w:rPr>
        <w:t>I </w:t>
      </w:r>
      <w:r>
        <w:rPr>
          <w:rFonts w:ascii="Arial"/>
          <w:i/>
          <w:color w:val="010101"/>
          <w:w w:val="150"/>
          <w:sz w:val="16"/>
          <w:u w:val="single" w:color="000000"/>
        </w:rPr>
        <w:t>+ </w:t>
      </w:r>
      <w:r>
        <w:rPr>
          <w:rFonts w:ascii="Arial"/>
          <w:i/>
          <w:color w:val="010101"/>
          <w:w w:val="135"/>
          <w:sz w:val="16"/>
          <w:u w:val="single" w:color="000000"/>
        </w:rPr>
        <w:t>i</w:t>
      </w:r>
      <w:r>
        <w:rPr>
          <w:rFonts w:ascii="Arial"/>
          <w:i/>
          <w:color w:val="010101"/>
          <w:spacing w:val="8"/>
          <w:w w:val="135"/>
          <w:sz w:val="16"/>
          <w:u w:val="single" w:color="000000"/>
        </w:rPr>
        <w:t> </w:t>
      </w:r>
      <w:r>
        <w:rPr>
          <w:rFonts w:ascii="Arial"/>
          <w:i/>
          <w:color w:val="010101"/>
          <w:w w:val="135"/>
          <w:sz w:val="16"/>
        </w:rPr>
        <w:t>p</w:t>
      </w:r>
    </w:p>
    <w:p>
      <w:pPr>
        <w:tabs>
          <w:tab w:pos="469" w:val="left" w:leader="none"/>
        </w:tabs>
        <w:spacing w:line="180" w:lineRule="exact" w:before="0"/>
        <w:ind w:left="46" w:right="0" w:firstLine="0"/>
        <w:jc w:val="center"/>
        <w:rPr>
          <w:rFonts w:ascii="Courier New" w:hAnsi="Courier New"/>
          <w:sz w:val="8"/>
        </w:rPr>
      </w:pPr>
      <w:r>
        <w:rPr/>
        <w:pict>
          <v:shape style="position:absolute;margin-left:208.071701pt;margin-top:-2.860974pt;width:9.65pt;height:8.5pt;mso-position-horizontal-relative:page;mso-position-vertical-relative:paragraph;z-index:-724840" type="#_x0000_t202" filled="false" stroked="false">
            <v:textbox inset="0,0,0,0">
              <w:txbxContent>
                <w:p>
                  <w:pPr>
                    <w:spacing w:line="170" w:lineRule="exact" w:before="0"/>
                    <w:ind w:left="0" w:right="-7" w:firstLine="0"/>
                    <w:jc w:val="left"/>
                    <w:rPr>
                      <w:i/>
                      <w:sz w:val="17"/>
                    </w:rPr>
                  </w:pPr>
                  <w:r>
                    <w:rPr>
                      <w:i/>
                      <w:color w:val="010101"/>
                      <w:w w:val="95"/>
                      <w:sz w:val="17"/>
                    </w:rPr>
                    <w:t>P..</w:t>
                  </w:r>
                </w:p>
              </w:txbxContent>
            </v:textbox>
            <w10:wrap type="none"/>
          </v:shape>
        </w:pict>
      </w:r>
      <w:r>
        <w:rPr>
          <w:rFonts w:ascii="Courier New" w:hAnsi="Courier New"/>
          <w:color w:val="010101"/>
          <w:w w:val="95"/>
          <w:sz w:val="19"/>
        </w:rPr>
        <w:t>i</w:t>
        <w:tab/>
      </w:r>
      <w:r>
        <w:rPr>
          <w:rFonts w:ascii="Courier New" w:hAnsi="Courier New"/>
          <w:color w:val="010101"/>
          <w:w w:val="140"/>
          <w:sz w:val="8"/>
        </w:rPr>
        <w:t>%</w:t>
      </w:r>
      <w:r>
        <w:rPr>
          <w:rFonts w:ascii="Courier New" w:hAnsi="Courier New"/>
          <w:color w:val="010101"/>
          <w:spacing w:val="-17"/>
          <w:w w:val="140"/>
          <w:sz w:val="8"/>
        </w:rPr>
        <w:t> </w:t>
      </w:r>
      <w:r>
        <w:rPr>
          <w:rFonts w:ascii="Courier New" w:hAnsi="Courier New"/>
          <w:color w:val="010101"/>
          <w:w w:val="110"/>
          <w:sz w:val="8"/>
        </w:rPr>
        <w:t>•</w:t>
      </w:r>
    </w:p>
    <w:p>
      <w:pPr>
        <w:spacing w:after="0" w:line="180" w:lineRule="exact"/>
        <w:jc w:val="center"/>
        <w:rPr>
          <w:rFonts w:ascii="Courier New" w:hAnsi="Courier New"/>
          <w:sz w:val="8"/>
        </w:rPr>
        <w:sectPr>
          <w:type w:val="continuous"/>
          <w:pgSz w:w="7200" w:h="11340"/>
          <w:pgMar w:top="1100" w:bottom="0" w:left="660" w:right="560"/>
          <w:cols w:num="2" w:equalWidth="0">
            <w:col w:w="3052" w:space="40"/>
            <w:col w:w="2888"/>
          </w:cols>
        </w:sectPr>
      </w:pPr>
    </w:p>
    <w:p>
      <w:pPr>
        <w:pStyle w:val="BodyText"/>
        <w:spacing w:before="2"/>
        <w:rPr>
          <w:rFonts w:ascii="Courier New"/>
          <w:sz w:val="17"/>
        </w:rPr>
      </w:pPr>
    </w:p>
    <w:p>
      <w:pPr>
        <w:pStyle w:val="BodyText"/>
        <w:spacing w:line="187" w:lineRule="exact"/>
        <w:ind w:left="1356"/>
        <w:rPr>
          <w:rFonts w:ascii="Courier New"/>
          <w:sz w:val="18"/>
        </w:rPr>
      </w:pPr>
      <w:r>
        <w:rPr>
          <w:rFonts w:ascii="Courier New"/>
          <w:position w:val="-3"/>
          <w:sz w:val="18"/>
        </w:rPr>
        <w:drawing>
          <wp:inline distT="0" distB="0" distL="0" distR="0">
            <wp:extent cx="2706623" cy="118872"/>
            <wp:effectExtent l="0" t="0" r="0" b="0"/>
            <wp:docPr id="281" name="image146.png" descr=""/>
            <wp:cNvGraphicFramePr>
              <a:graphicFrameLocks noChangeAspect="1"/>
            </wp:cNvGraphicFramePr>
            <a:graphic>
              <a:graphicData uri="http://schemas.openxmlformats.org/drawingml/2006/picture">
                <pic:pic>
                  <pic:nvPicPr>
                    <pic:cNvPr id="282" name="image146.png"/>
                    <pic:cNvPicPr/>
                  </pic:nvPicPr>
                  <pic:blipFill>
                    <a:blip r:embed="rId150" cstate="print"/>
                    <a:stretch>
                      <a:fillRect/>
                    </a:stretch>
                  </pic:blipFill>
                  <pic:spPr>
                    <a:xfrm>
                      <a:off x="0" y="0"/>
                      <a:ext cx="2706623" cy="118872"/>
                    </a:xfrm>
                    <a:prstGeom prst="rect">
                      <a:avLst/>
                    </a:prstGeom>
                  </pic:spPr>
                </pic:pic>
              </a:graphicData>
            </a:graphic>
          </wp:inline>
        </w:drawing>
      </w:r>
      <w:r>
        <w:rPr>
          <w:rFonts w:ascii="Courier New"/>
          <w:position w:val="-3"/>
          <w:sz w:val="18"/>
        </w:rPr>
      </w:r>
    </w:p>
    <w:p>
      <w:pPr>
        <w:pStyle w:val="ListParagraph"/>
        <w:numPr>
          <w:ilvl w:val="1"/>
          <w:numId w:val="50"/>
        </w:numPr>
        <w:tabs>
          <w:tab w:pos="481" w:val="left" w:leader="none"/>
        </w:tabs>
        <w:spacing w:line="165" w:lineRule="exact" w:before="114" w:after="0"/>
        <w:ind w:left="480" w:right="0" w:hanging="215"/>
        <w:jc w:val="left"/>
        <w:rPr>
          <w:sz w:val="17"/>
        </w:rPr>
      </w:pPr>
      <w:r>
        <w:rPr>
          <w:color w:val="010101"/>
          <w:w w:val="110"/>
          <w:sz w:val="17"/>
        </w:rPr>
        <w:t>Show</w:t>
      </w:r>
      <w:r>
        <w:rPr>
          <w:color w:val="010101"/>
          <w:spacing w:val="9"/>
          <w:w w:val="110"/>
          <w:sz w:val="17"/>
        </w:rPr>
        <w:t> </w:t>
      </w:r>
      <w:r>
        <w:rPr>
          <w:color w:val="010101"/>
          <w:w w:val="110"/>
          <w:sz w:val="17"/>
        </w:rPr>
        <w:t>that</w:t>
      </w:r>
    </w:p>
    <w:p>
      <w:pPr>
        <w:spacing w:line="246" w:lineRule="exact" w:before="0"/>
        <w:ind w:left="74" w:right="2321" w:firstLine="0"/>
        <w:jc w:val="center"/>
        <w:rPr>
          <w:i/>
          <w:sz w:val="16"/>
        </w:rPr>
      </w:pPr>
      <w:r>
        <w:rPr>
          <w:rFonts w:ascii="Arial" w:hAnsi="Arial"/>
          <w:color w:val="010101"/>
          <w:w w:val="115"/>
          <w:sz w:val="14"/>
        </w:rPr>
        <w:t>(</w:t>
      </w:r>
      <w:r>
        <w:rPr>
          <w:rFonts w:ascii="Arial" w:hAnsi="Arial"/>
          <w:color w:val="010101"/>
          <w:w w:val="115"/>
          <w:sz w:val="14"/>
        </w:rPr>
        <w:t>a</w:t>
      </w:r>
      <w:r>
        <w:rPr>
          <w:rFonts w:ascii="Arial" w:hAnsi="Arial"/>
          <w:color w:val="010101"/>
          <w:w w:val="115"/>
          <w:sz w:val="14"/>
        </w:rPr>
        <w:t>)</w:t>
      </w:r>
      <w:r>
        <w:rPr>
          <w:rFonts w:ascii="Arial" w:hAnsi="Arial"/>
          <w:color w:val="010101"/>
          <w:sz w:val="14"/>
        </w:rPr>
        <w:t>  </w:t>
      </w:r>
      <w:r>
        <w:rPr>
          <w:rFonts w:ascii="Arial" w:hAnsi="Arial"/>
          <w:color w:val="010101"/>
          <w:spacing w:val="-11"/>
          <w:sz w:val="14"/>
        </w:rPr>
        <w:t> </w:t>
      </w:r>
      <w:r>
        <w:rPr>
          <w:color w:val="010101"/>
          <w:w w:val="93"/>
          <w:sz w:val="17"/>
        </w:rPr>
        <w:t>,Vz</w:t>
      </w:r>
      <w:r>
        <w:rPr>
          <w:color w:val="010101"/>
          <w:spacing w:val="-14"/>
          <w:sz w:val="17"/>
        </w:rPr>
        <w:t> </w:t>
      </w:r>
      <w:r>
        <w:rPr>
          <w:color w:val="1A1A1A"/>
          <w:spacing w:val="-30"/>
          <w:w w:val="171"/>
          <w:sz w:val="17"/>
        </w:rPr>
        <w:t>,</w:t>
      </w:r>
      <w:r>
        <w:rPr>
          <w:color w:val="010101"/>
          <w:w w:val="112"/>
          <w:sz w:val="17"/>
        </w:rPr>
        <w:t>;</w:t>
      </w:r>
      <w:r>
        <w:rPr>
          <w:color w:val="010101"/>
          <w:spacing w:val="-28"/>
          <w:w w:val="112"/>
          <w:sz w:val="17"/>
        </w:rPr>
        <w:t>;</w:t>
      </w:r>
      <w:r>
        <w:rPr>
          <w:color w:val="1A1A1A"/>
          <w:w w:val="55"/>
          <w:sz w:val="17"/>
        </w:rPr>
        <w:t>¡</w:t>
      </w:r>
      <w:r>
        <w:rPr>
          <w:color w:val="1A1A1A"/>
          <w:sz w:val="17"/>
        </w:rPr>
        <w:t> </w:t>
      </w:r>
      <w:r>
        <w:rPr>
          <w:color w:val="1A1A1A"/>
          <w:spacing w:val="-2"/>
          <w:sz w:val="17"/>
        </w:rPr>
        <w:t> </w:t>
      </w:r>
      <w:r>
        <w:rPr>
          <w:color w:val="010101"/>
          <w:w w:val="85"/>
          <w:sz w:val="21"/>
        </w:rPr>
        <w:t>=</w:t>
      </w:r>
      <w:r>
        <w:rPr>
          <w:color w:val="010101"/>
          <w:sz w:val="21"/>
        </w:rPr>
        <w:t> </w:t>
      </w:r>
      <w:r>
        <w:rPr>
          <w:color w:val="010101"/>
          <w:spacing w:val="1"/>
          <w:sz w:val="21"/>
        </w:rPr>
        <w:t> </w:t>
      </w:r>
      <w:r>
        <w:rPr>
          <w:color w:val="010101"/>
          <w:w w:val="111"/>
          <w:sz w:val="17"/>
        </w:rPr>
        <w:t>1</w:t>
      </w:r>
      <w:r>
        <w:rPr>
          <w:color w:val="010101"/>
          <w:spacing w:val="10"/>
          <w:sz w:val="17"/>
        </w:rPr>
        <w:t> </w:t>
      </w:r>
      <w:r>
        <w:rPr>
          <w:color w:val="010101"/>
          <w:w w:val="256"/>
          <w:sz w:val="17"/>
        </w:rPr>
        <w:t>-</w:t>
      </w:r>
      <w:r>
        <w:rPr>
          <w:color w:val="010101"/>
          <w:sz w:val="17"/>
        </w:rPr>
        <w:t> </w:t>
      </w:r>
      <w:r>
        <w:rPr>
          <w:color w:val="010101"/>
          <w:spacing w:val="-1"/>
          <w:sz w:val="17"/>
        </w:rPr>
        <w:t> </w:t>
      </w:r>
      <w:r>
        <w:rPr>
          <w:color w:val="010101"/>
          <w:w w:val="126"/>
          <w:sz w:val="14"/>
        </w:rPr>
        <w:t>(</w:t>
      </w:r>
      <w:r>
        <w:rPr>
          <w:color w:val="010101"/>
          <w:w w:val="126"/>
          <w:sz w:val="14"/>
        </w:rPr>
        <w:t>Pz</w:t>
      </w:r>
      <w:r>
        <w:rPr>
          <w:color w:val="010101"/>
          <w:spacing w:val="-10"/>
          <w:sz w:val="14"/>
        </w:rPr>
        <w:t> </w:t>
      </w:r>
      <w:r>
        <w:rPr>
          <w:color w:val="1A1A1A"/>
          <w:w w:val="68"/>
          <w:sz w:val="14"/>
        </w:rPr>
        <w:t>,</w:t>
      </w:r>
      <w:r>
        <w:rPr>
          <w:color w:val="1A1A1A"/>
          <w:spacing w:val="-13"/>
          <w:sz w:val="14"/>
        </w:rPr>
        <w:t> </w:t>
      </w:r>
      <w:r>
        <w:rPr>
          <w:color w:val="010101"/>
          <w:w w:val="71"/>
          <w:sz w:val="14"/>
        </w:rPr>
        <w:t>;;J</w:t>
      </w:r>
      <w:r>
        <w:rPr>
          <w:color w:val="010101"/>
          <w:sz w:val="14"/>
        </w:rPr>
        <w:t> </w:t>
      </w:r>
      <w:r>
        <w:rPr>
          <w:color w:val="010101"/>
          <w:spacing w:val="14"/>
          <w:sz w:val="14"/>
        </w:rPr>
        <w:t> </w:t>
      </w:r>
      <w:r>
        <w:rPr>
          <w:rFonts w:ascii="Arial" w:hAnsi="Arial"/>
          <w:color w:val="010101"/>
          <w:w w:val="104"/>
          <w:sz w:val="24"/>
        </w:rPr>
        <w:t>+</w:t>
      </w:r>
      <w:r>
        <w:rPr>
          <w:rFonts w:ascii="Arial" w:hAnsi="Arial"/>
          <w:color w:val="010101"/>
          <w:spacing w:val="5"/>
          <w:sz w:val="24"/>
        </w:rPr>
        <w:t> </w:t>
      </w:r>
      <w:r>
        <w:rPr>
          <w:i/>
          <w:color w:val="010101"/>
          <w:w w:val="95"/>
          <w:sz w:val="16"/>
        </w:rPr>
        <w:t>d</w:t>
      </w:r>
      <w:r>
        <w:rPr>
          <w:i/>
          <w:color w:val="010101"/>
          <w:spacing w:val="-20"/>
          <w:sz w:val="16"/>
        </w:rPr>
        <w:t> </w:t>
      </w:r>
      <w:r>
        <w:rPr>
          <w:i/>
          <w:color w:val="010101"/>
          <w:w w:val="91"/>
          <w:sz w:val="16"/>
        </w:rPr>
        <w:t>)</w:t>
      </w:r>
      <w:r>
        <w:rPr>
          <w:i/>
          <w:color w:val="010101"/>
          <w:w w:val="91"/>
          <w:sz w:val="16"/>
        </w:rPr>
        <w:t>az+t</w:t>
      </w:r>
      <w:r>
        <w:rPr>
          <w:i/>
          <w:color w:val="010101"/>
          <w:spacing w:val="9"/>
          <w:sz w:val="16"/>
        </w:rPr>
        <w:t> </w:t>
      </w:r>
      <w:r>
        <w:rPr>
          <w:i/>
          <w:color w:val="1A1A1A"/>
          <w:spacing w:val="11"/>
          <w:w w:val="61"/>
          <w:sz w:val="16"/>
        </w:rPr>
        <w:t>,</w:t>
      </w:r>
      <w:r>
        <w:rPr>
          <w:i/>
          <w:color w:val="010101"/>
          <w:w w:val="94"/>
          <w:sz w:val="16"/>
        </w:rPr>
        <w:t>;=,¡</w:t>
      </w:r>
    </w:p>
    <w:p>
      <w:pPr>
        <w:spacing w:line="254" w:lineRule="exact" w:before="156"/>
        <w:ind w:left="74" w:right="2501" w:firstLine="0"/>
        <w:jc w:val="center"/>
        <w:rPr>
          <w:sz w:val="14"/>
        </w:rPr>
      </w:pPr>
      <w:r>
        <w:rPr/>
        <w:pict>
          <v:line style="position:absolute;mso-position-horizontal-relative:page;mso-position-vertical-relative:paragraph;z-index:-724984" from="130.403549pt,14.874653pt" to="131.121038pt,14.874653pt" stroked="true" strokeweight="1.079pt" strokecolor="#000000">
            <w10:wrap type="none"/>
          </v:line>
        </w:pict>
      </w:r>
      <w:r>
        <w:rPr>
          <w:color w:val="010101"/>
          <w:w w:val="220"/>
          <w:position w:val="-9"/>
          <w:sz w:val="18"/>
        </w:rPr>
        <w:t>-</w:t>
      </w:r>
      <w:r>
        <w:rPr>
          <w:color w:val="010101"/>
          <w:spacing w:val="-56"/>
          <w:w w:val="220"/>
          <w:position w:val="-9"/>
          <w:sz w:val="18"/>
        </w:rPr>
        <w:t> </w:t>
      </w:r>
      <w:r>
        <w:rPr>
          <w:color w:val="010101"/>
          <w:w w:val="115"/>
          <w:position w:val="-9"/>
          <w:sz w:val="18"/>
        </w:rPr>
        <w:t>1 </w:t>
      </w:r>
      <w:r>
        <w:rPr>
          <w:color w:val="010101"/>
          <w:w w:val="220"/>
          <w:position w:val="-9"/>
          <w:sz w:val="18"/>
        </w:rPr>
        <w:t>-</w:t>
      </w:r>
      <w:r>
        <w:rPr>
          <w:color w:val="010101"/>
          <w:spacing w:val="-65"/>
          <w:w w:val="220"/>
          <w:position w:val="-9"/>
          <w:sz w:val="18"/>
        </w:rPr>
        <w:t> </w:t>
      </w:r>
      <w:r>
        <w:rPr>
          <w:color w:val="010101"/>
          <w:w w:val="115"/>
          <w:sz w:val="14"/>
        </w:rPr>
        <w:t>tlz+t </w:t>
      </w:r>
      <w:r>
        <w:rPr>
          <w:color w:val="2F2F2F"/>
          <w:w w:val="115"/>
          <w:sz w:val="14"/>
        </w:rPr>
        <w:t>:</w:t>
      </w:r>
      <w:r>
        <w:rPr>
          <w:color w:val="010101"/>
          <w:w w:val="115"/>
          <w:sz w:val="14"/>
        </w:rPr>
        <w:t>n-1/</w:t>
      </w:r>
    </w:p>
    <w:p>
      <w:pPr>
        <w:spacing w:line="145" w:lineRule="exact" w:before="0"/>
        <w:ind w:left="1887" w:right="739" w:firstLine="0"/>
        <w:jc w:val="left"/>
        <w:rPr>
          <w:sz w:val="14"/>
        </w:rPr>
      </w:pPr>
      <w:r>
        <w:rPr>
          <w:color w:val="010101"/>
          <w:sz w:val="14"/>
        </w:rPr>
        <w:t>0.r </w:t>
      </w:r>
      <w:r>
        <w:rPr>
          <w:color w:val="2F2F2F"/>
          <w:sz w:val="14"/>
        </w:rPr>
        <w:t>:</w:t>
      </w:r>
      <w:r>
        <w:rPr>
          <w:color w:val="010101"/>
          <w:sz w:val="14"/>
        </w:rPr>
        <w:t>ñl</w:t>
      </w:r>
    </w:p>
    <w:p>
      <w:pPr>
        <w:spacing w:after="0" w:line="145" w:lineRule="exact"/>
        <w:jc w:val="left"/>
        <w:rPr>
          <w:sz w:val="14"/>
        </w:rPr>
        <w:sectPr>
          <w:type w:val="continuous"/>
          <w:pgSz w:w="7200" w:h="11340"/>
          <w:pgMar w:top="1100" w:bottom="0" w:left="660" w:right="560"/>
        </w:sectPr>
      </w:pPr>
    </w:p>
    <w:p>
      <w:pPr>
        <w:pStyle w:val="BodyText"/>
        <w:spacing w:before="3"/>
        <w:rPr>
          <w:sz w:val="17"/>
        </w:rPr>
      </w:pPr>
    </w:p>
    <w:p>
      <w:pPr>
        <w:spacing w:before="0"/>
        <w:ind w:left="1409" w:right="0" w:firstLine="0"/>
        <w:jc w:val="center"/>
        <w:rPr>
          <w:sz w:val="13"/>
        </w:rPr>
      </w:pPr>
      <w:r>
        <w:rPr/>
        <w:pict>
          <v:line style="position:absolute;mso-position-horizontal-relative:page;mso-position-vertical-relative:paragraph;z-index:-724960" from="137.578506pt,6.71496pt" to="139.551606pt,6.71496pt" stroked="true" strokeweight=".358744pt" strokecolor="#000000">
            <w10:wrap type="none"/>
          </v:line>
        </w:pict>
      </w:r>
      <w:r>
        <w:rPr>
          <w:color w:val="010101"/>
          <w:w w:val="115"/>
          <w:sz w:val="14"/>
        </w:rPr>
        <w:t>d.r </w:t>
      </w:r>
      <w:r>
        <w:rPr>
          <w:color w:val="1A1A1A"/>
          <w:spacing w:val="-6"/>
          <w:w w:val="115"/>
          <w:sz w:val="14"/>
        </w:rPr>
        <w:t>:</w:t>
      </w:r>
      <w:r>
        <w:rPr>
          <w:color w:val="010101"/>
          <w:spacing w:val="-6"/>
          <w:w w:val="115"/>
          <w:sz w:val="14"/>
        </w:rPr>
        <w:t>ñl  </w:t>
      </w:r>
      <w:r>
        <w:rPr>
          <w:color w:val="010101"/>
          <w:w w:val="285"/>
          <w:sz w:val="14"/>
        </w:rPr>
        <w:t>-</w:t>
      </w:r>
      <w:r>
        <w:rPr>
          <w:color w:val="010101"/>
          <w:spacing w:val="-63"/>
          <w:w w:val="285"/>
          <w:sz w:val="14"/>
        </w:rPr>
        <w:t> </w:t>
      </w:r>
      <w:r>
        <w:rPr>
          <w:color w:val="010101"/>
          <w:w w:val="115"/>
          <w:sz w:val="13"/>
        </w:rPr>
        <w:t>az+1</w:t>
      </w:r>
      <w:r>
        <w:rPr>
          <w:color w:val="1A1A1A"/>
          <w:w w:val="115"/>
          <w:sz w:val="13"/>
        </w:rPr>
        <w:t>:</w:t>
      </w:r>
      <w:r>
        <w:rPr>
          <w:color w:val="010101"/>
          <w:w w:val="115"/>
          <w:sz w:val="13"/>
        </w:rPr>
        <w:t>;=¡]</w:t>
      </w:r>
    </w:p>
    <w:p>
      <w:pPr>
        <w:spacing w:before="76"/>
        <w:ind w:left="0" w:right="444" w:firstLine="0"/>
        <w:jc w:val="right"/>
        <w:rPr>
          <w:sz w:val="14"/>
        </w:rPr>
      </w:pPr>
      <w:r>
        <w:rPr>
          <w:color w:val="010101"/>
          <w:w w:val="70"/>
          <w:sz w:val="14"/>
        </w:rPr>
        <w:t>éi.r </w:t>
      </w:r>
      <w:r>
        <w:rPr>
          <w:color w:val="1A1A1A"/>
          <w:w w:val="70"/>
          <w:sz w:val="14"/>
        </w:rPr>
        <w:t>:</w:t>
      </w:r>
      <w:r>
        <w:rPr>
          <w:color w:val="010101"/>
          <w:w w:val="70"/>
          <w:sz w:val="14"/>
        </w:rPr>
        <w:t>-;;']</w:t>
      </w:r>
    </w:p>
    <w:p>
      <w:pPr>
        <w:pStyle w:val="BodyText"/>
        <w:spacing w:before="3"/>
        <w:rPr>
          <w:sz w:val="15"/>
        </w:rPr>
      </w:pPr>
      <w:r>
        <w:rPr/>
        <w:br w:type="column"/>
      </w:r>
      <w:r>
        <w:rPr>
          <w:sz w:val="15"/>
        </w:rPr>
      </w:r>
    </w:p>
    <w:p>
      <w:pPr>
        <w:spacing w:before="1"/>
        <w:ind w:left="214" w:right="1877" w:firstLine="0"/>
        <w:jc w:val="center"/>
        <w:rPr>
          <w:i/>
          <w:sz w:val="16"/>
        </w:rPr>
      </w:pPr>
      <w:r>
        <w:rPr>
          <w:i/>
          <w:color w:val="010101"/>
          <w:w w:val="92"/>
          <w:sz w:val="16"/>
        </w:rPr>
        <w:t>Ar+t</w:t>
      </w:r>
      <w:r>
        <w:rPr>
          <w:i/>
          <w:color w:val="010101"/>
          <w:spacing w:val="7"/>
          <w:sz w:val="16"/>
        </w:rPr>
        <w:t> </w:t>
      </w:r>
      <w:r>
        <w:rPr>
          <w:i/>
          <w:color w:val="1A1A1A"/>
          <w:spacing w:val="8"/>
          <w:w w:val="30"/>
          <w:sz w:val="16"/>
        </w:rPr>
        <w:t>:</w:t>
      </w:r>
      <w:r>
        <w:rPr>
          <w:i/>
          <w:color w:val="010101"/>
          <w:w w:val="86"/>
          <w:sz w:val="16"/>
        </w:rPr>
        <w:t>;=¡¡</w:t>
      </w:r>
      <w:r>
        <w:rPr>
          <w:i/>
          <w:color w:val="010101"/>
          <w:sz w:val="16"/>
        </w:rPr>
        <w:t> </w:t>
      </w:r>
      <w:r>
        <w:rPr>
          <w:i/>
          <w:color w:val="010101"/>
          <w:spacing w:val="8"/>
          <w:sz w:val="16"/>
        </w:rPr>
        <w:t> </w:t>
      </w:r>
      <w:r>
        <w:rPr>
          <w:color w:val="010101"/>
          <w:w w:val="272"/>
          <w:sz w:val="16"/>
        </w:rPr>
        <w:t>-</w:t>
      </w:r>
      <w:r>
        <w:rPr>
          <w:color w:val="010101"/>
          <w:spacing w:val="8"/>
          <w:sz w:val="16"/>
        </w:rPr>
        <w:t> </w:t>
      </w:r>
      <w:r>
        <w:rPr>
          <w:i/>
          <w:color w:val="010101"/>
          <w:w w:val="103"/>
          <w:sz w:val="16"/>
        </w:rPr>
        <w:t>A¿</w:t>
      </w:r>
      <w:r>
        <w:rPr>
          <w:i/>
          <w:color w:val="010101"/>
          <w:spacing w:val="-14"/>
          <w:sz w:val="16"/>
        </w:rPr>
        <w:t> </w:t>
      </w:r>
      <w:r>
        <w:rPr>
          <w:i/>
          <w:color w:val="1A1A1A"/>
          <w:w w:val="41"/>
          <w:sz w:val="16"/>
        </w:rPr>
        <w:t>:</w:t>
      </w:r>
      <w:r>
        <w:rPr>
          <w:i/>
          <w:color w:val="1A1A1A"/>
          <w:spacing w:val="-27"/>
          <w:sz w:val="16"/>
        </w:rPr>
        <w:t> </w:t>
      </w:r>
      <w:r>
        <w:rPr>
          <w:i/>
          <w:color w:val="010101"/>
          <w:w w:val="74"/>
          <w:sz w:val="16"/>
        </w:rPr>
        <w:t>ñl</w:t>
      </w:r>
    </w:p>
    <w:p>
      <w:pPr>
        <w:spacing w:before="62"/>
        <w:ind w:left="214" w:right="1848" w:firstLine="0"/>
        <w:jc w:val="center"/>
        <w:rPr>
          <w:sz w:val="14"/>
        </w:rPr>
      </w:pPr>
      <w:r>
        <w:rPr/>
        <w:pict>
          <v:line style="position:absolute;mso-position-horizontal-relative:page;mso-position-vertical-relative:paragraph;z-index:-724936" from="226.905807pt,-1.553988pt" to="229.058307pt,-1.553988pt" stroked="true" strokeweight=".358744pt" strokecolor="#000000">
            <w10:wrap type="none"/>
          </v:line>
        </w:pict>
      </w:r>
      <w:r>
        <w:rPr>
          <w:rFonts w:ascii="Arial"/>
          <w:color w:val="010101"/>
          <w:w w:val="133"/>
          <w:sz w:val="15"/>
        </w:rPr>
        <w:t>1</w:t>
      </w:r>
      <w:r>
        <w:rPr>
          <w:rFonts w:ascii="Arial"/>
          <w:color w:val="010101"/>
          <w:sz w:val="15"/>
        </w:rPr>
        <w:t> </w:t>
      </w:r>
      <w:r>
        <w:rPr>
          <w:rFonts w:ascii="Arial"/>
          <w:color w:val="010101"/>
          <w:w w:val="278"/>
          <w:sz w:val="15"/>
        </w:rPr>
        <w:t>-</w:t>
      </w:r>
      <w:r>
        <w:rPr>
          <w:rFonts w:ascii="Arial"/>
          <w:color w:val="010101"/>
          <w:spacing w:val="12"/>
          <w:sz w:val="15"/>
        </w:rPr>
        <w:t> </w:t>
      </w:r>
      <w:r>
        <w:rPr>
          <w:rFonts w:ascii="Arial"/>
          <w:color w:val="010101"/>
          <w:w w:val="104"/>
          <w:sz w:val="15"/>
        </w:rPr>
        <w:t>A</w:t>
      </w:r>
      <w:r>
        <w:rPr>
          <w:rFonts w:ascii="Arial"/>
          <w:color w:val="010101"/>
          <w:spacing w:val="-11"/>
          <w:sz w:val="15"/>
        </w:rPr>
        <w:t> </w:t>
      </w:r>
      <w:r>
        <w:rPr>
          <w:rFonts w:ascii="Arial"/>
          <w:color w:val="010101"/>
          <w:w w:val="79"/>
          <w:sz w:val="15"/>
        </w:rPr>
        <w:t>.</w:t>
      </w:r>
      <w:r>
        <w:rPr>
          <w:rFonts w:ascii="Arial"/>
          <w:color w:val="010101"/>
          <w:spacing w:val="8"/>
          <w:w w:val="79"/>
          <w:sz w:val="15"/>
        </w:rPr>
        <w:t>.</w:t>
      </w:r>
      <w:r>
        <w:rPr>
          <w:color w:val="1A1A1A"/>
          <w:w w:val="91"/>
          <w:sz w:val="14"/>
        </w:rPr>
        <w:t>:</w:t>
      </w:r>
      <w:r>
        <w:rPr>
          <w:color w:val="010101"/>
          <w:w w:val="165"/>
          <w:sz w:val="14"/>
        </w:rPr>
        <w:t>ij</w:t>
      </w:r>
    </w:p>
    <w:p>
      <w:pPr>
        <w:spacing w:after="0"/>
        <w:jc w:val="center"/>
        <w:rPr>
          <w:sz w:val="14"/>
        </w:rPr>
        <w:sectPr>
          <w:type w:val="continuous"/>
          <w:pgSz w:w="7200" w:h="11340"/>
          <w:pgMar w:top="1100" w:bottom="0" w:left="660" w:right="560"/>
          <w:cols w:num="2" w:equalWidth="0">
            <w:col w:w="2577" w:space="40"/>
            <w:col w:w="3363"/>
          </w:cols>
        </w:sectPr>
      </w:pPr>
    </w:p>
    <w:p>
      <w:pPr>
        <w:pStyle w:val="BodyText"/>
        <w:spacing w:before="5"/>
        <w:rPr>
          <w:sz w:val="13"/>
        </w:rPr>
      </w:pPr>
    </w:p>
    <w:p>
      <w:pPr>
        <w:spacing w:after="0"/>
        <w:rPr>
          <w:sz w:val="13"/>
        </w:rPr>
        <w:sectPr>
          <w:type w:val="continuous"/>
          <w:pgSz w:w="7200" w:h="11340"/>
          <w:pgMar w:top="1100" w:bottom="0" w:left="660" w:right="560"/>
        </w:sectPr>
      </w:pPr>
    </w:p>
    <w:p>
      <w:pPr>
        <w:spacing w:before="80"/>
        <w:ind w:left="437" w:right="0" w:firstLine="0"/>
        <w:jc w:val="left"/>
        <w:rPr>
          <w:sz w:val="16"/>
        </w:rPr>
      </w:pPr>
      <w:r>
        <w:rPr>
          <w:rFonts w:ascii="Arial" w:hAnsi="Arial"/>
          <w:color w:val="010101"/>
          <w:w w:val="105"/>
          <w:sz w:val="16"/>
        </w:rPr>
        <w:t>(</w:t>
      </w:r>
      <w:r>
        <w:rPr>
          <w:rFonts w:ascii="Arial" w:hAnsi="Arial"/>
          <w:color w:val="010101"/>
          <w:spacing w:val="-8"/>
          <w:w w:val="105"/>
          <w:sz w:val="16"/>
        </w:rPr>
        <w:t>b</w:t>
      </w:r>
      <w:r>
        <w:rPr>
          <w:color w:val="010101"/>
          <w:w w:val="97"/>
          <w:position w:val="2"/>
          <w:sz w:val="16"/>
        </w:rPr>
        <w:t>)</w:t>
      </w:r>
      <w:r>
        <w:rPr>
          <w:color w:val="010101"/>
          <w:position w:val="2"/>
          <w:sz w:val="16"/>
        </w:rPr>
        <w:t> </w:t>
      </w:r>
      <w:r>
        <w:rPr>
          <w:color w:val="010101"/>
          <w:spacing w:val="11"/>
          <w:position w:val="2"/>
          <w:sz w:val="16"/>
        </w:rPr>
        <w:t> </w:t>
      </w:r>
      <w:r>
        <w:rPr>
          <w:rFonts w:ascii="Arial" w:hAnsi="Arial"/>
          <w:color w:val="010101"/>
          <w:spacing w:val="-21"/>
          <w:w w:val="166"/>
          <w:sz w:val="16"/>
        </w:rPr>
        <w:t>,</w:t>
      </w:r>
      <w:r>
        <w:rPr>
          <w:rFonts w:ascii="Arial" w:hAnsi="Arial"/>
          <w:color w:val="010101"/>
          <w:w w:val="106"/>
          <w:sz w:val="15"/>
        </w:rPr>
        <w:t>l</w:t>
      </w:r>
      <w:r>
        <w:rPr>
          <w:rFonts w:ascii="Arial" w:hAnsi="Arial"/>
          <w:color w:val="010101"/>
          <w:spacing w:val="-18"/>
          <w:w w:val="106"/>
          <w:sz w:val="15"/>
        </w:rPr>
        <w:t>-</w:t>
      </w:r>
      <w:r>
        <w:rPr>
          <w:color w:val="010101"/>
          <w:spacing w:val="-9"/>
          <w:w w:val="98"/>
          <w:position w:val="6"/>
          <w:sz w:val="16"/>
        </w:rPr>
        <w:t>•</w:t>
      </w:r>
      <w:r>
        <w:rPr>
          <w:color w:val="010101"/>
          <w:w w:val="79"/>
          <w:sz w:val="15"/>
        </w:rPr>
        <w:t>z</w:t>
      </w:r>
      <w:r>
        <w:rPr>
          <w:color w:val="010101"/>
          <w:spacing w:val="-16"/>
          <w:sz w:val="15"/>
        </w:rPr>
        <w:t> </w:t>
      </w:r>
      <w:r>
        <w:rPr>
          <w:color w:val="1A1A1A"/>
          <w:spacing w:val="-11"/>
          <w:w w:val="85"/>
          <w:sz w:val="15"/>
        </w:rPr>
        <w:t>:</w:t>
      </w:r>
      <w:r>
        <w:rPr>
          <w:color w:val="010101"/>
          <w:w w:val="57"/>
          <w:sz w:val="15"/>
        </w:rPr>
        <w:t>-;;J</w:t>
      </w:r>
      <w:r>
        <w:rPr>
          <w:color w:val="010101"/>
          <w:sz w:val="15"/>
        </w:rPr>
        <w:t>  </w:t>
      </w:r>
      <w:r>
        <w:rPr>
          <w:color w:val="010101"/>
          <w:spacing w:val="-5"/>
          <w:sz w:val="15"/>
        </w:rPr>
        <w:t> </w:t>
      </w:r>
      <w:r>
        <w:rPr>
          <w:color w:val="010101"/>
          <w:w w:val="105"/>
          <w:sz w:val="19"/>
        </w:rPr>
        <w:t>=</w:t>
      </w:r>
      <w:r>
        <w:rPr>
          <w:color w:val="010101"/>
          <w:sz w:val="19"/>
        </w:rPr>
        <w:t> </w:t>
      </w:r>
      <w:r>
        <w:rPr>
          <w:color w:val="010101"/>
          <w:spacing w:val="-19"/>
          <w:sz w:val="19"/>
        </w:rPr>
        <w:t> </w:t>
      </w:r>
      <w:r>
        <w:rPr>
          <w:rFonts w:ascii="Arial" w:hAnsi="Arial"/>
          <w:i/>
          <w:color w:val="010101"/>
          <w:w w:val="93"/>
          <w:sz w:val="17"/>
        </w:rPr>
        <w:t>A</w:t>
      </w:r>
      <w:r>
        <w:rPr>
          <w:rFonts w:ascii="Arial" w:hAnsi="Arial"/>
          <w:i/>
          <w:color w:val="010101"/>
          <w:spacing w:val="-21"/>
          <w:sz w:val="17"/>
        </w:rPr>
        <w:t> </w:t>
      </w:r>
      <w:r>
        <w:rPr>
          <w:rFonts w:ascii="Arial" w:hAnsi="Arial"/>
          <w:i/>
          <w:color w:val="010101"/>
          <w:w w:val="71"/>
          <w:sz w:val="17"/>
        </w:rPr>
        <w:t>.</w:t>
      </w:r>
      <w:r>
        <w:rPr>
          <w:rFonts w:ascii="Arial" w:hAnsi="Arial"/>
          <w:i/>
          <w:color w:val="010101"/>
          <w:spacing w:val="-4"/>
          <w:w w:val="71"/>
          <w:sz w:val="17"/>
        </w:rPr>
        <w:t>.</w:t>
      </w:r>
      <w:r>
        <w:rPr>
          <w:i/>
          <w:color w:val="010101"/>
          <w:w w:val="71"/>
          <w:sz w:val="15"/>
        </w:rPr>
        <w:t>+</w:t>
      </w:r>
      <w:r>
        <w:rPr>
          <w:i/>
          <w:color w:val="010101"/>
          <w:spacing w:val="9"/>
          <w:w w:val="71"/>
          <w:sz w:val="15"/>
        </w:rPr>
        <w:t>1</w:t>
      </w:r>
      <w:r>
        <w:rPr>
          <w:i/>
          <w:color w:val="1A1A1A"/>
          <w:spacing w:val="7"/>
          <w:w w:val="56"/>
          <w:sz w:val="15"/>
        </w:rPr>
        <w:t>:</w:t>
      </w:r>
      <w:r>
        <w:rPr>
          <w:i/>
          <w:color w:val="010101"/>
          <w:w w:val="88"/>
          <w:sz w:val="15"/>
        </w:rPr>
        <w:t>íi=il</w:t>
      </w:r>
      <w:r>
        <w:rPr>
          <w:i/>
          <w:color w:val="010101"/>
          <w:sz w:val="15"/>
        </w:rPr>
        <w:t> </w:t>
      </w:r>
      <w:r>
        <w:rPr>
          <w:i/>
          <w:color w:val="010101"/>
          <w:spacing w:val="-12"/>
          <w:sz w:val="15"/>
        </w:rPr>
        <w:t> </w:t>
      </w:r>
      <w:r>
        <w:rPr>
          <w:color w:val="010101"/>
          <w:spacing w:val="-145"/>
          <w:w w:val="230"/>
          <w:position w:val="6"/>
          <w:sz w:val="16"/>
        </w:rPr>
        <w:t>(</w:t>
      </w:r>
    </w:p>
    <w:p>
      <w:pPr>
        <w:tabs>
          <w:tab w:pos="569" w:val="left" w:leader="none"/>
        </w:tabs>
        <w:spacing w:line="228" w:lineRule="exact" w:before="79"/>
        <w:ind w:left="78" w:right="0" w:firstLine="0"/>
        <w:jc w:val="left"/>
        <w:rPr>
          <w:sz w:val="16"/>
        </w:rPr>
      </w:pPr>
      <w:r>
        <w:rPr/>
        <w:br w:type="column"/>
      </w:r>
      <w:r>
        <w:rPr>
          <w:rFonts w:ascii="Arial"/>
          <w:color w:val="010101"/>
          <w:w w:val="115"/>
          <w:position w:val="-5"/>
          <w:sz w:val="16"/>
        </w:rPr>
        <w:t>1 </w:t>
      </w:r>
      <w:r>
        <w:rPr>
          <w:rFonts w:ascii="Arial"/>
          <w:color w:val="010101"/>
          <w:w w:val="225"/>
          <w:position w:val="-5"/>
          <w:sz w:val="16"/>
        </w:rPr>
        <w:t>-</w:t>
        <w:tab/>
      </w:r>
      <w:r>
        <w:rPr>
          <w:i/>
          <w:color w:val="010101"/>
          <w:w w:val="115"/>
          <w:sz w:val="16"/>
        </w:rPr>
        <w:t>Pz: </w:t>
      </w:r>
      <w:r>
        <w:rPr>
          <w:i/>
          <w:color w:val="010101"/>
          <w:w w:val="75"/>
          <w:sz w:val="16"/>
        </w:rPr>
        <w:t>;;J  </w:t>
      </w:r>
      <w:r>
        <w:rPr>
          <w:color w:val="010101"/>
          <w:w w:val="225"/>
          <w:sz w:val="16"/>
        </w:rPr>
        <w:t>)</w:t>
      </w:r>
    </w:p>
    <w:p>
      <w:pPr>
        <w:spacing w:line="146" w:lineRule="exact" w:before="0"/>
        <w:ind w:left="433" w:right="0" w:firstLine="0"/>
        <w:jc w:val="left"/>
        <w:rPr>
          <w:sz w:val="14"/>
        </w:rPr>
      </w:pPr>
      <w:r>
        <w:rPr>
          <w:color w:val="010101"/>
          <w:sz w:val="14"/>
        </w:rPr>
        <w:t>P.s+c </w:t>
      </w:r>
      <w:r>
        <w:rPr>
          <w:color w:val="1A1A1A"/>
          <w:sz w:val="14"/>
        </w:rPr>
        <w:t>:</w:t>
      </w:r>
      <w:r>
        <w:rPr>
          <w:color w:val="010101"/>
          <w:sz w:val="14"/>
        </w:rPr>
        <w:t>ii=i]</w:t>
      </w:r>
    </w:p>
    <w:p>
      <w:pPr>
        <w:spacing w:after="0" w:line="146" w:lineRule="exact"/>
        <w:jc w:val="left"/>
        <w:rPr>
          <w:sz w:val="14"/>
        </w:rPr>
        <w:sectPr>
          <w:type w:val="continuous"/>
          <w:pgSz w:w="7200" w:h="11340"/>
          <w:pgMar w:top="1100" w:bottom="0" w:left="660" w:right="560"/>
          <w:cols w:num="2" w:equalWidth="0">
            <w:col w:w="2099" w:space="40"/>
            <w:col w:w="3841"/>
          </w:cols>
        </w:sectPr>
      </w:pPr>
    </w:p>
    <w:p>
      <w:pPr>
        <w:spacing w:before="150"/>
        <w:ind w:left="1216" w:right="739" w:firstLine="0"/>
        <w:jc w:val="left"/>
        <w:rPr>
          <w:sz w:val="14"/>
        </w:rPr>
      </w:pPr>
      <w:r>
        <w:rPr/>
        <w:pict>
          <v:line style="position:absolute;mso-position-horizontal-relative:page;mso-position-vertical-relative:paragraph;z-index:-724912" from="132.735397pt,16.082237pt" to="134.170397pt,16.082237pt" stroked="true" strokeweight=".358744pt" strokecolor="#000000">
            <w10:wrap type="none"/>
          </v:line>
        </w:pict>
      </w:r>
      <w:r>
        <w:rPr>
          <w:rFonts w:ascii="Arial"/>
          <w:color w:val="010101"/>
          <w:sz w:val="15"/>
        </w:rPr>
        <w:t>-= </w:t>
      </w:r>
      <w:r>
        <w:rPr>
          <w:i/>
          <w:color w:val="010101"/>
          <w:sz w:val="18"/>
        </w:rPr>
        <w:t>( Pz+1 </w:t>
      </w:r>
      <w:r>
        <w:rPr>
          <w:color w:val="010101"/>
          <w:sz w:val="18"/>
        </w:rPr>
        <w:t>..</w:t>
      </w:r>
      <w:r>
        <w:rPr>
          <w:color w:val="010101"/>
          <w:sz w:val="16"/>
        </w:rPr>
        <w:t>-,1 </w:t>
      </w:r>
      <w:r>
        <w:rPr>
          <w:color w:val="010101"/>
          <w:w w:val="245"/>
          <w:sz w:val="16"/>
        </w:rPr>
        <w:t>-</w:t>
      </w:r>
      <w:r>
        <w:rPr>
          <w:color w:val="010101"/>
          <w:spacing w:val="-81"/>
          <w:w w:val="245"/>
          <w:sz w:val="16"/>
        </w:rPr>
        <w:t> </w:t>
      </w:r>
      <w:r>
        <w:rPr>
          <w:color w:val="010101"/>
          <w:sz w:val="14"/>
        </w:rPr>
        <w:t>P.s</w:t>
      </w:r>
      <w:r>
        <w:rPr>
          <w:color w:val="565656"/>
          <w:sz w:val="14"/>
        </w:rPr>
        <w:t>:</w:t>
      </w:r>
      <w:r>
        <w:rPr>
          <w:color w:val="010101"/>
          <w:sz w:val="14"/>
        </w:rPr>
        <w:t>"i!)Oz+1</w:t>
      </w:r>
      <w:r>
        <w:rPr>
          <w:color w:val="1A1A1A"/>
          <w:sz w:val="14"/>
        </w:rPr>
        <w:t>:</w:t>
      </w:r>
      <w:r>
        <w:rPr>
          <w:color w:val="010101"/>
          <w:sz w:val="14"/>
        </w:rPr>
        <w:t>-;;=;i</w:t>
      </w:r>
    </w:p>
    <w:p>
      <w:pPr>
        <w:spacing w:line="165" w:lineRule="exact" w:before="139"/>
        <w:ind w:left="74" w:right="1992" w:firstLine="0"/>
        <w:jc w:val="center"/>
        <w:rPr>
          <w:rFonts w:ascii="Arial" w:hAnsi="Arial"/>
          <w:sz w:val="14"/>
        </w:rPr>
      </w:pPr>
      <w:r>
        <w:rPr/>
        <w:pict>
          <v:line style="position:absolute;mso-position-horizontal-relative:page;mso-position-vertical-relative:paragraph;z-index:-724888" from="163.946167pt,14.958299pt" to="164.843028pt,14.958299pt" stroked="true" strokeweight="1.0789pt" strokecolor="#000000">
            <w10:wrap type="none"/>
          </v:line>
        </w:pict>
      </w:r>
      <w:r>
        <w:rPr>
          <w:i/>
          <w:color w:val="010101"/>
          <w:spacing w:val="3"/>
          <w:sz w:val="16"/>
        </w:rPr>
        <w:t>Pz+t </w:t>
      </w:r>
      <w:r>
        <w:rPr>
          <w:color w:val="010101"/>
          <w:sz w:val="14"/>
        </w:rPr>
        <w:t>-;=jj </w:t>
      </w:r>
      <w:r>
        <w:rPr>
          <w:color w:val="010101"/>
          <w:w w:val="285"/>
          <w:sz w:val="14"/>
        </w:rPr>
        <w:t>-</w:t>
      </w:r>
      <w:r>
        <w:rPr>
          <w:color w:val="010101"/>
          <w:spacing w:val="-84"/>
          <w:w w:val="285"/>
          <w:sz w:val="14"/>
        </w:rPr>
        <w:t> </w:t>
      </w:r>
      <w:r>
        <w:rPr>
          <w:i/>
          <w:color w:val="010101"/>
          <w:sz w:val="16"/>
        </w:rPr>
        <w:t>P </w:t>
      </w:r>
      <w:r>
        <w:rPr>
          <w:color w:val="010101"/>
          <w:w w:val="130"/>
          <w:sz w:val="11"/>
        </w:rPr>
        <w:t>z </w:t>
      </w:r>
      <w:r>
        <w:rPr>
          <w:rFonts w:ascii="Arial" w:hAnsi="Arial"/>
          <w:color w:val="010101"/>
          <w:w w:val="80"/>
          <w:sz w:val="14"/>
        </w:rPr>
        <w:t>""ñJ</w:t>
      </w:r>
    </w:p>
    <w:p>
      <w:pPr>
        <w:spacing w:line="268" w:lineRule="exact" w:before="0"/>
        <w:ind w:left="1535" w:right="739" w:firstLine="0"/>
        <w:jc w:val="left"/>
        <w:rPr>
          <w:sz w:val="17"/>
        </w:rPr>
      </w:pPr>
      <w:r>
        <w:rPr/>
        <w:pict>
          <v:line style="position:absolute;mso-position-horizontal-relative:page;mso-position-vertical-relative:paragraph;z-index:-724864" from="116.053802pt,10.931543pt" to="118.565002pt,10.931543pt" stroked="true" strokeweight=".358744pt" strokecolor="#000000">
            <w10:wrap type="none"/>
          </v:line>
        </w:pict>
      </w:r>
      <w:r>
        <w:rPr>
          <w:i/>
          <w:color w:val="010101"/>
          <w:sz w:val="15"/>
        </w:rPr>
        <w:t>Pz+1: ..-,1  </w:t>
      </w:r>
      <w:r>
        <w:rPr>
          <w:rFonts w:ascii="Arial"/>
          <w:color w:val="010101"/>
          <w:sz w:val="25"/>
        </w:rPr>
        <w:t>+ </w:t>
      </w:r>
      <w:r>
        <w:rPr>
          <w:i/>
          <w:color w:val="010101"/>
          <w:sz w:val="17"/>
        </w:rPr>
        <w:t>d   </w:t>
      </w:r>
      <w:r>
        <w:rPr>
          <w:color w:val="010101"/>
          <w:w w:val="105"/>
          <w:sz w:val="17"/>
        </w:rPr>
        <w:t>.</w:t>
      </w:r>
    </w:p>
    <w:p>
      <w:pPr>
        <w:pStyle w:val="ListParagraph"/>
        <w:numPr>
          <w:ilvl w:val="1"/>
          <w:numId w:val="50"/>
        </w:numPr>
        <w:tabs>
          <w:tab w:pos="488" w:val="left" w:leader="none"/>
        </w:tabs>
        <w:spacing w:line="213" w:lineRule="auto" w:before="125" w:after="0"/>
        <w:ind w:left="774" w:right="133" w:hanging="523"/>
        <w:jc w:val="both"/>
        <w:rPr>
          <w:sz w:val="17"/>
        </w:rPr>
      </w:pPr>
      <w:r>
        <w:rPr>
          <w:color w:val="010101"/>
          <w:w w:val="105"/>
          <w:sz w:val="17"/>
        </w:rPr>
        <w:t>(a) Given tables of </w:t>
      </w:r>
      <w:r>
        <w:rPr>
          <w:i/>
          <w:color w:val="010101"/>
          <w:spacing w:val="5"/>
          <w:w w:val="105"/>
          <w:sz w:val="17"/>
        </w:rPr>
        <w:t>P.. </w:t>
      </w:r>
      <w:r>
        <w:rPr>
          <w:color w:val="010101"/>
          <w:w w:val="105"/>
          <w:sz w:val="17"/>
        </w:rPr>
        <w:t>for </w:t>
      </w:r>
      <w:r>
        <w:rPr>
          <w:rFonts w:ascii="Arial" w:hAnsi="Arial"/>
          <w:i/>
          <w:color w:val="010101"/>
          <w:w w:val="105"/>
          <w:sz w:val="15"/>
        </w:rPr>
        <w:t>x </w:t>
      </w:r>
      <w:r>
        <w:rPr>
          <w:color w:val="010101"/>
          <w:w w:val="105"/>
          <w:sz w:val="21"/>
        </w:rPr>
        <w:t>= </w:t>
      </w:r>
      <w:r>
        <w:rPr>
          <w:color w:val="010101"/>
          <w:w w:val="105"/>
          <w:sz w:val="17"/>
        </w:rPr>
        <w:t>10 to 70 and tables of </w:t>
      </w:r>
      <w:r>
        <w:rPr>
          <w:color w:val="010101"/>
          <w:spacing w:val="3"/>
          <w:w w:val="105"/>
          <w:sz w:val="17"/>
        </w:rPr>
        <w:t>,.</w:t>
      </w:r>
      <w:r>
        <w:rPr>
          <w:i/>
          <w:color w:val="010101"/>
          <w:spacing w:val="3"/>
          <w:w w:val="105"/>
          <w:sz w:val="17"/>
        </w:rPr>
        <w:t>Vz </w:t>
      </w:r>
      <w:r>
        <w:rPr>
          <w:color w:val="010101"/>
          <w:w w:val="105"/>
          <w:sz w:val="17"/>
        </w:rPr>
        <w:t>for the same range of </w:t>
      </w:r>
      <w:r>
        <w:rPr>
          <w:i/>
          <w:color w:val="010101"/>
          <w:w w:val="105"/>
          <w:sz w:val="18"/>
        </w:rPr>
        <w:t>x </w:t>
      </w:r>
      <w:r>
        <w:rPr>
          <w:color w:val="010101"/>
          <w:w w:val="105"/>
          <w:sz w:val="17"/>
        </w:rPr>
        <w:t>and for </w:t>
      </w:r>
      <w:r>
        <w:rPr>
          <w:i/>
          <w:color w:val="010101"/>
          <w:w w:val="105"/>
          <w:sz w:val="18"/>
        </w:rPr>
        <w:t>n  </w:t>
      </w:r>
      <w:r>
        <w:rPr>
          <w:color w:val="010101"/>
          <w:w w:val="105"/>
          <w:sz w:val="22"/>
        </w:rPr>
        <w:t>=  </w:t>
      </w:r>
      <w:r>
        <w:rPr>
          <w:color w:val="010101"/>
          <w:w w:val="105"/>
          <w:sz w:val="17"/>
        </w:rPr>
        <w:t>1 to 20, show how  you  would  find the rate  oí interest  and  the  values  of  </w:t>
      </w:r>
      <w:r>
        <w:rPr>
          <w:i/>
          <w:color w:val="010101"/>
          <w:w w:val="105"/>
          <w:sz w:val="17"/>
        </w:rPr>
        <w:t>qz  </w:t>
      </w:r>
      <w:r>
        <w:rPr>
          <w:color w:val="010101"/>
          <w:w w:val="105"/>
          <w:sz w:val="17"/>
        </w:rPr>
        <w:t>for  ages  from  10 to</w:t>
      </w:r>
      <w:r>
        <w:rPr>
          <w:color w:val="010101"/>
          <w:spacing w:val="-16"/>
          <w:w w:val="105"/>
          <w:sz w:val="17"/>
        </w:rPr>
        <w:t> </w:t>
      </w:r>
      <w:r>
        <w:rPr>
          <w:color w:val="010101"/>
          <w:w w:val="105"/>
          <w:sz w:val="17"/>
        </w:rPr>
        <w:t>89.</w:t>
      </w:r>
    </w:p>
    <w:p>
      <w:pPr>
        <w:spacing w:line="247" w:lineRule="auto" w:before="10"/>
        <w:ind w:left="771" w:right="136" w:hanging="284"/>
        <w:jc w:val="both"/>
        <w:rPr>
          <w:sz w:val="17"/>
        </w:rPr>
      </w:pPr>
      <w:r>
        <w:rPr>
          <w:rFonts w:ascii="Arial" w:hAnsi="Arial"/>
          <w:color w:val="010101"/>
          <w:w w:val="105"/>
          <w:sz w:val="15"/>
        </w:rPr>
        <w:t>(b)  </w:t>
      </w:r>
      <w:r>
        <w:rPr>
          <w:color w:val="010101"/>
          <w:w w:val="105"/>
          <w:sz w:val="17"/>
        </w:rPr>
        <w:t>Find  the  fifteenth-year  terminal  reserve  for   a.n  endowment   at a.ge </w:t>
      </w:r>
      <w:r>
        <w:rPr>
          <w:rFonts w:ascii="Arial" w:hAnsi="Arial"/>
          <w:color w:val="010101"/>
          <w:w w:val="105"/>
          <w:sz w:val="16"/>
        </w:rPr>
        <w:t>65 </w:t>
      </w:r>
      <w:r>
        <w:rPr>
          <w:color w:val="010101"/>
          <w:w w:val="105"/>
          <w:sz w:val="17"/>
        </w:rPr>
        <w:t>policy issued  at a.ge </w:t>
      </w:r>
      <w:r>
        <w:rPr>
          <w:rFonts w:ascii="Arial" w:hAnsi="Arial"/>
          <w:color w:val="010101"/>
          <w:w w:val="105"/>
          <w:sz w:val="16"/>
        </w:rPr>
        <w:t>47 </w:t>
      </w:r>
      <w:r>
        <w:rPr>
          <w:color w:val="010101"/>
          <w:w w:val="105"/>
          <w:sz w:val="17"/>
        </w:rPr>
        <w:t>with  a.nnual  premiums,  given  only a complete table of terminal reserves for  annual  premium  twenty­ year  endowment  policies  issued  at  ali ages.</w:t>
      </w:r>
    </w:p>
    <w:p>
      <w:pPr>
        <w:pStyle w:val="ListParagraph"/>
        <w:numPr>
          <w:ilvl w:val="1"/>
          <w:numId w:val="50"/>
        </w:numPr>
        <w:tabs>
          <w:tab w:pos="553" w:val="left" w:leader="none"/>
        </w:tabs>
        <w:spacing w:line="204" w:lineRule="exact" w:before="0" w:after="0"/>
        <w:ind w:left="552" w:right="0" w:hanging="283"/>
        <w:jc w:val="left"/>
        <w:rPr>
          <w:sz w:val="17"/>
        </w:rPr>
      </w:pPr>
      <w:r>
        <w:rPr>
          <w:color w:val="010101"/>
          <w:w w:val="107"/>
          <w:sz w:val="17"/>
        </w:rPr>
        <w:t>Find</w:t>
      </w:r>
      <w:r>
        <w:rPr>
          <w:color w:val="010101"/>
          <w:sz w:val="17"/>
        </w:rPr>
        <w:t> </w:t>
      </w:r>
      <w:r>
        <w:rPr>
          <w:color w:val="010101"/>
          <w:spacing w:val="-9"/>
          <w:sz w:val="17"/>
        </w:rPr>
        <w:t> </w:t>
      </w:r>
      <w:r>
        <w:rPr>
          <w:color w:val="010101"/>
          <w:w w:val="113"/>
          <w:sz w:val="17"/>
        </w:rPr>
        <w:t>the</w:t>
      </w:r>
      <w:r>
        <w:rPr>
          <w:color w:val="010101"/>
          <w:sz w:val="17"/>
        </w:rPr>
        <w:t> </w:t>
      </w:r>
      <w:r>
        <w:rPr>
          <w:color w:val="010101"/>
          <w:spacing w:val="-21"/>
          <w:sz w:val="17"/>
        </w:rPr>
        <w:t> </w:t>
      </w:r>
      <w:r>
        <w:rPr>
          <w:color w:val="010101"/>
          <w:w w:val="96"/>
          <w:sz w:val="17"/>
        </w:rPr>
        <w:t>va.lue</w:t>
      </w:r>
      <w:r>
        <w:rPr>
          <w:color w:val="010101"/>
          <w:sz w:val="17"/>
        </w:rPr>
        <w:t> </w:t>
      </w:r>
      <w:r>
        <w:rPr>
          <w:color w:val="010101"/>
          <w:spacing w:val="-13"/>
          <w:sz w:val="17"/>
        </w:rPr>
        <w:t> </w:t>
      </w:r>
      <w:r>
        <w:rPr>
          <w:color w:val="010101"/>
          <w:w w:val="93"/>
          <w:sz w:val="17"/>
        </w:rPr>
        <w:t>of</w:t>
      </w:r>
      <w:r>
        <w:rPr>
          <w:color w:val="010101"/>
          <w:sz w:val="17"/>
        </w:rPr>
        <w:t> </w:t>
      </w:r>
      <w:r>
        <w:rPr>
          <w:color w:val="010101"/>
          <w:spacing w:val="-7"/>
          <w:sz w:val="17"/>
        </w:rPr>
        <w:t> </w:t>
      </w:r>
      <w:r>
        <w:rPr>
          <w:i/>
          <w:color w:val="010101"/>
          <w:w w:val="145"/>
          <w:sz w:val="18"/>
        </w:rPr>
        <w:t>P</w:t>
      </w:r>
      <w:r>
        <w:rPr>
          <w:i/>
          <w:color w:val="010101"/>
          <w:spacing w:val="-12"/>
          <w:sz w:val="18"/>
        </w:rPr>
        <w:t> </w:t>
      </w:r>
      <w:r>
        <w:rPr>
          <w:i/>
          <w:color w:val="1A1A1A"/>
          <w:spacing w:val="-11"/>
          <w:w w:val="70"/>
          <w:sz w:val="18"/>
        </w:rPr>
        <w:t>;</w:t>
      </w:r>
      <w:r>
        <w:rPr>
          <w:i/>
          <w:color w:val="010101"/>
          <w:spacing w:val="-27"/>
          <w:w w:val="175"/>
          <w:sz w:val="18"/>
        </w:rPr>
        <w:t>;</w:t>
      </w:r>
      <w:r>
        <w:rPr>
          <w:i/>
          <w:color w:val="010101"/>
          <w:w w:val="55"/>
          <w:sz w:val="18"/>
        </w:rPr>
        <w:t>¡</w:t>
      </w:r>
      <w:r>
        <w:rPr>
          <w:i/>
          <w:color w:val="010101"/>
          <w:spacing w:val="19"/>
          <w:sz w:val="18"/>
        </w:rPr>
        <w:t> </w:t>
      </w:r>
      <w:r>
        <w:rPr>
          <w:color w:val="010101"/>
          <w:w w:val="87"/>
          <w:sz w:val="17"/>
        </w:rPr>
        <w:t>if</w:t>
      </w:r>
      <w:r>
        <w:rPr>
          <w:color w:val="010101"/>
          <w:sz w:val="17"/>
        </w:rPr>
        <w:t> </w:t>
      </w:r>
      <w:r>
        <w:rPr>
          <w:color w:val="010101"/>
          <w:spacing w:val="-8"/>
          <w:sz w:val="17"/>
        </w:rPr>
        <w:t> </w:t>
      </w:r>
      <w:r>
        <w:rPr>
          <w:i/>
          <w:color w:val="010101"/>
          <w:w w:val="93"/>
          <w:sz w:val="17"/>
        </w:rPr>
        <w:t>,.V</w:t>
      </w:r>
      <w:r>
        <w:rPr>
          <w:i/>
          <w:color w:val="010101"/>
          <w:spacing w:val="-19"/>
          <w:sz w:val="17"/>
        </w:rPr>
        <w:t> </w:t>
      </w:r>
      <w:r>
        <w:rPr>
          <w:i/>
          <w:color w:val="010101"/>
          <w:w w:val="77"/>
          <w:sz w:val="17"/>
        </w:rPr>
        <w:t>z</w:t>
      </w:r>
      <w:r>
        <w:rPr>
          <w:i/>
          <w:color w:val="010101"/>
          <w:sz w:val="17"/>
        </w:rPr>
        <w:t> </w:t>
      </w:r>
      <w:r>
        <w:rPr>
          <w:i/>
          <w:color w:val="010101"/>
          <w:spacing w:val="14"/>
          <w:sz w:val="17"/>
        </w:rPr>
        <w:t> </w:t>
      </w:r>
      <w:r>
        <w:rPr>
          <w:color w:val="010101"/>
          <w:w w:val="81"/>
          <w:sz w:val="22"/>
        </w:rPr>
        <w:t>=</w:t>
      </w:r>
      <w:r>
        <w:rPr>
          <w:color w:val="010101"/>
          <w:sz w:val="22"/>
        </w:rPr>
        <w:t> </w:t>
      </w:r>
      <w:r>
        <w:rPr>
          <w:color w:val="010101"/>
          <w:spacing w:val="-8"/>
          <w:sz w:val="22"/>
        </w:rPr>
        <w:t> </w:t>
      </w:r>
      <w:r>
        <w:rPr>
          <w:color w:val="010101"/>
          <w:w w:val="99"/>
          <w:sz w:val="17"/>
        </w:rPr>
        <w:t>.080,</w:t>
      </w:r>
      <w:r>
        <w:rPr>
          <w:color w:val="010101"/>
          <w:spacing w:val="11"/>
          <w:sz w:val="17"/>
        </w:rPr>
        <w:t> </w:t>
      </w:r>
      <w:r>
        <w:rPr>
          <w:i/>
          <w:color w:val="010101"/>
          <w:w w:val="113"/>
          <w:sz w:val="15"/>
        </w:rPr>
        <w:t>Pz</w:t>
      </w:r>
      <w:r>
        <w:rPr>
          <w:i/>
          <w:color w:val="010101"/>
          <w:sz w:val="15"/>
        </w:rPr>
        <w:t>  </w:t>
      </w:r>
      <w:r>
        <w:rPr>
          <w:i/>
          <w:color w:val="010101"/>
          <w:spacing w:val="-15"/>
          <w:sz w:val="15"/>
        </w:rPr>
        <w:t> </w:t>
      </w:r>
      <w:r>
        <w:rPr>
          <w:color w:val="010101"/>
          <w:w w:val="84"/>
          <w:sz w:val="22"/>
        </w:rPr>
        <w:t>=</w:t>
      </w:r>
      <w:r>
        <w:rPr>
          <w:color w:val="010101"/>
          <w:sz w:val="22"/>
        </w:rPr>
        <w:t> </w:t>
      </w:r>
      <w:r>
        <w:rPr>
          <w:color w:val="010101"/>
          <w:spacing w:val="-11"/>
          <w:sz w:val="22"/>
        </w:rPr>
        <w:t> </w:t>
      </w:r>
      <w:r>
        <w:rPr>
          <w:color w:val="010101"/>
          <w:w w:val="85"/>
          <w:sz w:val="17"/>
        </w:rPr>
        <w:t>.O'M,</w:t>
      </w:r>
      <w:r>
        <w:rPr>
          <w:color w:val="010101"/>
          <w:spacing w:val="13"/>
          <w:sz w:val="17"/>
        </w:rPr>
        <w:t> </w:t>
      </w:r>
      <w:r>
        <w:rPr>
          <w:color w:val="010101"/>
          <w:w w:val="112"/>
          <w:sz w:val="17"/>
        </w:rPr>
        <w:t>and</w:t>
      </w:r>
      <w:r>
        <w:rPr>
          <w:color w:val="010101"/>
          <w:sz w:val="17"/>
        </w:rPr>
        <w:t> </w:t>
      </w:r>
      <w:r>
        <w:rPr>
          <w:color w:val="010101"/>
          <w:spacing w:val="-18"/>
          <w:sz w:val="17"/>
        </w:rPr>
        <w:t> </w:t>
      </w:r>
      <w:r>
        <w:rPr>
          <w:i/>
          <w:color w:val="010101"/>
          <w:w w:val="142"/>
          <w:sz w:val="18"/>
        </w:rPr>
        <w:t>Pz:</w:t>
      </w:r>
      <w:r>
        <w:rPr>
          <w:i/>
          <w:color w:val="010101"/>
          <w:sz w:val="18"/>
        </w:rPr>
        <w:t> </w:t>
      </w:r>
      <w:r>
        <w:rPr>
          <w:i/>
          <w:color w:val="010101"/>
          <w:spacing w:val="12"/>
          <w:sz w:val="18"/>
        </w:rPr>
        <w:t> </w:t>
      </w:r>
      <w:r>
        <w:rPr>
          <w:color w:val="010101"/>
          <w:w w:val="84"/>
          <w:sz w:val="22"/>
        </w:rPr>
        <w:t>=</w:t>
      </w:r>
      <w:r>
        <w:rPr>
          <w:color w:val="010101"/>
          <w:sz w:val="22"/>
        </w:rPr>
        <w:t> </w:t>
      </w:r>
      <w:r>
        <w:rPr>
          <w:color w:val="010101"/>
          <w:spacing w:val="-11"/>
          <w:sz w:val="22"/>
        </w:rPr>
        <w:t> </w:t>
      </w:r>
      <w:r>
        <w:rPr>
          <w:color w:val="010101"/>
          <w:w w:val="99"/>
          <w:sz w:val="17"/>
        </w:rPr>
        <w:t>.200.</w:t>
      </w:r>
    </w:p>
    <w:p>
      <w:pPr>
        <w:tabs>
          <w:tab w:pos="756" w:val="left" w:leader="none"/>
        </w:tabs>
        <w:spacing w:line="189" w:lineRule="exact" w:before="0"/>
        <w:ind w:left="0" w:right="137" w:firstLine="0"/>
        <w:jc w:val="right"/>
        <w:rPr>
          <w:sz w:val="17"/>
        </w:rPr>
      </w:pPr>
      <w:r>
        <w:rPr>
          <w:color w:val="010101"/>
          <w:spacing w:val="3"/>
          <w:w w:val="115"/>
          <w:sz w:val="17"/>
        </w:rPr>
        <w:t>(Ans.</w:t>
      </w:r>
      <w:r>
        <w:rPr>
          <w:color w:val="010101"/>
          <w:spacing w:val="4"/>
          <w:w w:val="115"/>
          <w:sz w:val="17"/>
        </w:rPr>
        <w:t> </w:t>
      </w:r>
      <w:r>
        <w:rPr>
          <w:color w:val="010101"/>
          <w:w w:val="115"/>
          <w:sz w:val="17"/>
        </w:rPr>
        <w:t>.</w:t>
        <w:tab/>
      </w:r>
      <w:r>
        <w:rPr>
          <w:color w:val="010101"/>
          <w:w w:val="105"/>
          <w:sz w:val="17"/>
        </w:rPr>
        <w:t>)</w:t>
      </w:r>
    </w:p>
    <w:p>
      <w:pPr>
        <w:pStyle w:val="BodyText"/>
        <w:spacing w:before="10"/>
        <w:rPr>
          <w:sz w:val="14"/>
        </w:rPr>
      </w:pPr>
    </w:p>
    <w:p>
      <w:pPr>
        <w:pStyle w:val="ListParagraph"/>
        <w:numPr>
          <w:ilvl w:val="0"/>
          <w:numId w:val="52"/>
        </w:numPr>
        <w:tabs>
          <w:tab w:pos="320" w:val="left" w:leader="none"/>
        </w:tabs>
        <w:spacing w:line="240" w:lineRule="auto" w:before="0" w:after="0"/>
        <w:ind w:left="319" w:right="0" w:hanging="219"/>
        <w:jc w:val="left"/>
        <w:rPr>
          <w:b/>
          <w:sz w:val="16"/>
        </w:rPr>
      </w:pPr>
      <w:r>
        <w:rPr>
          <w:b/>
          <w:color w:val="010101"/>
          <w:w w:val="120"/>
          <w:sz w:val="16"/>
        </w:rPr>
        <w:t>Formulas  connecting  auccessive  terminal</w:t>
      </w:r>
      <w:r>
        <w:rPr>
          <w:b/>
          <w:color w:val="010101"/>
          <w:spacing w:val="-3"/>
          <w:w w:val="120"/>
          <w:sz w:val="16"/>
        </w:rPr>
        <w:t> </w:t>
      </w:r>
      <w:r>
        <w:rPr>
          <w:b/>
          <w:color w:val="010101"/>
          <w:w w:val="120"/>
          <w:sz w:val="16"/>
        </w:rPr>
        <w:t>reserves</w:t>
      </w:r>
    </w:p>
    <w:p>
      <w:pPr>
        <w:pStyle w:val="ListParagraph"/>
        <w:numPr>
          <w:ilvl w:val="1"/>
          <w:numId w:val="52"/>
        </w:numPr>
        <w:tabs>
          <w:tab w:pos="546" w:val="left" w:leader="none"/>
        </w:tabs>
        <w:spacing w:line="240" w:lineRule="auto" w:before="81" w:after="0"/>
        <w:ind w:left="141" w:right="0" w:firstLine="124"/>
        <w:jc w:val="left"/>
        <w:rPr>
          <w:color w:val="010101"/>
          <w:sz w:val="17"/>
        </w:rPr>
      </w:pPr>
      <w:r>
        <w:rPr>
          <w:color w:val="010101"/>
          <w:w w:val="110"/>
          <w:sz w:val="17"/>
        </w:rPr>
        <w:t>Show</w:t>
      </w:r>
      <w:r>
        <w:rPr>
          <w:color w:val="010101"/>
          <w:spacing w:val="18"/>
          <w:w w:val="110"/>
          <w:sz w:val="17"/>
        </w:rPr>
        <w:t> </w:t>
      </w:r>
      <w:r>
        <w:rPr>
          <w:color w:val="010101"/>
          <w:w w:val="110"/>
          <w:sz w:val="17"/>
        </w:rPr>
        <w:t>that</w:t>
      </w:r>
    </w:p>
    <w:p>
      <w:pPr>
        <w:spacing w:before="63"/>
        <w:ind w:left="1115" w:right="739" w:firstLine="0"/>
        <w:jc w:val="left"/>
        <w:rPr>
          <w:rFonts w:ascii="Arial" w:hAnsi="Arial"/>
          <w:i/>
          <w:sz w:val="16"/>
        </w:rPr>
      </w:pPr>
      <w:r>
        <w:rPr>
          <w:rFonts w:ascii="Arial" w:hAnsi="Arial"/>
          <w:i/>
          <w:color w:val="010101"/>
          <w:w w:val="113"/>
          <w:sz w:val="16"/>
        </w:rPr>
        <w:t>P</w:t>
      </w:r>
      <w:r>
        <w:rPr>
          <w:rFonts w:ascii="Arial" w:hAnsi="Arial"/>
          <w:i/>
          <w:color w:val="010101"/>
          <w:sz w:val="16"/>
        </w:rPr>
        <w:t> </w:t>
      </w:r>
      <w:r>
        <w:rPr>
          <w:rFonts w:ascii="Arial" w:hAnsi="Arial"/>
          <w:i/>
          <w:color w:val="010101"/>
          <w:spacing w:val="-17"/>
          <w:sz w:val="16"/>
        </w:rPr>
        <w:t> </w:t>
      </w:r>
      <w:r>
        <w:rPr>
          <w:rFonts w:ascii="Arial" w:hAnsi="Arial"/>
          <w:color w:val="010101"/>
          <w:w w:val="103"/>
          <w:sz w:val="25"/>
        </w:rPr>
        <w:t>+</w:t>
      </w:r>
      <w:r>
        <w:rPr>
          <w:rFonts w:ascii="Arial" w:hAnsi="Arial"/>
          <w:color w:val="010101"/>
          <w:spacing w:val="-13"/>
          <w:sz w:val="25"/>
        </w:rPr>
        <w:t> </w:t>
      </w:r>
      <w:r>
        <w:rPr>
          <w:rFonts w:ascii="Arial" w:hAnsi="Arial"/>
          <w:i/>
          <w:color w:val="010101"/>
          <w:w w:val="104"/>
          <w:sz w:val="16"/>
        </w:rPr>
        <w:t>d·</w:t>
      </w:r>
      <w:r>
        <w:rPr>
          <w:rFonts w:ascii="Arial" w:hAnsi="Arial"/>
          <w:i/>
          <w:color w:val="010101"/>
          <w:spacing w:val="-11"/>
          <w:sz w:val="16"/>
        </w:rPr>
        <w:t> </w:t>
      </w:r>
      <w:r>
        <w:rPr>
          <w:rFonts w:ascii="Arial" w:hAnsi="Arial"/>
          <w:i/>
          <w:color w:val="010101"/>
          <w:w w:val="99"/>
          <w:sz w:val="16"/>
        </w:rPr>
        <w:t>,V</w:t>
      </w:r>
      <w:r>
        <w:rPr>
          <w:rFonts w:ascii="Arial" w:hAnsi="Arial"/>
          <w:i/>
          <w:color w:val="010101"/>
          <w:sz w:val="16"/>
        </w:rPr>
        <w:t> </w:t>
      </w:r>
      <w:r>
        <w:rPr>
          <w:rFonts w:ascii="Arial" w:hAnsi="Arial"/>
          <w:i/>
          <w:color w:val="010101"/>
          <w:spacing w:val="18"/>
          <w:sz w:val="16"/>
        </w:rPr>
        <w:t> </w:t>
      </w:r>
      <w:r>
        <w:rPr>
          <w:rFonts w:ascii="Arial" w:hAnsi="Arial"/>
          <w:color w:val="010101"/>
          <w:w w:val="58"/>
          <w:sz w:val="15"/>
        </w:rPr>
        <w:t>==</w:t>
      </w:r>
      <w:r>
        <w:rPr>
          <w:rFonts w:ascii="Arial" w:hAnsi="Arial"/>
          <w:color w:val="010101"/>
          <w:sz w:val="15"/>
        </w:rPr>
        <w:t> </w:t>
      </w:r>
      <w:r>
        <w:rPr>
          <w:rFonts w:ascii="Arial" w:hAnsi="Arial"/>
          <w:color w:val="010101"/>
          <w:spacing w:val="7"/>
          <w:sz w:val="15"/>
        </w:rPr>
        <w:t> </w:t>
      </w:r>
      <w:r>
        <w:rPr>
          <w:rFonts w:ascii="Arial" w:hAnsi="Arial"/>
          <w:i/>
          <w:color w:val="010101"/>
          <w:w w:val="94"/>
          <w:sz w:val="16"/>
        </w:rPr>
        <w:t>v</w:t>
      </w:r>
      <w:r>
        <w:rPr>
          <w:rFonts w:ascii="Arial" w:hAnsi="Arial"/>
          <w:i/>
          <w:color w:val="010101"/>
          <w:spacing w:val="-7"/>
          <w:w w:val="94"/>
          <w:sz w:val="16"/>
        </w:rPr>
        <w:t>q</w:t>
      </w:r>
      <w:r>
        <w:rPr>
          <w:rFonts w:ascii="Arial" w:hAnsi="Arial"/>
          <w:i/>
          <w:color w:val="010101"/>
          <w:w w:val="47"/>
          <w:sz w:val="16"/>
        </w:rPr>
        <w:t>..</w:t>
      </w:r>
      <w:r>
        <w:rPr>
          <w:rFonts w:ascii="Arial" w:hAnsi="Arial"/>
          <w:i/>
          <w:color w:val="010101"/>
          <w:spacing w:val="4"/>
          <w:w w:val="47"/>
          <w:sz w:val="16"/>
        </w:rPr>
        <w:t>.</w:t>
      </w:r>
      <w:r>
        <w:rPr>
          <w:rFonts w:ascii="Arial" w:hAnsi="Arial"/>
          <w:i/>
          <w:color w:val="010101"/>
          <w:w w:val="102"/>
          <w:sz w:val="16"/>
        </w:rPr>
        <w:t>+,</w:t>
      </w:r>
      <w:r>
        <w:rPr>
          <w:rFonts w:ascii="Arial" w:hAnsi="Arial"/>
          <w:i/>
          <w:color w:val="010101"/>
          <w:w w:val="102"/>
          <w:sz w:val="16"/>
        </w:rPr>
        <w:t>(</w:t>
      </w:r>
      <w:r>
        <w:rPr>
          <w:rFonts w:ascii="Arial" w:hAnsi="Arial"/>
          <w:i/>
          <w:color w:val="010101"/>
          <w:w w:val="102"/>
          <w:sz w:val="16"/>
        </w:rPr>
        <w:t>1</w:t>
      </w:r>
      <w:r>
        <w:rPr>
          <w:rFonts w:ascii="Arial" w:hAnsi="Arial"/>
          <w:i/>
          <w:color w:val="010101"/>
          <w:sz w:val="16"/>
        </w:rPr>
        <w:t> </w:t>
      </w:r>
      <w:r>
        <w:rPr>
          <w:rFonts w:ascii="Arial" w:hAnsi="Arial"/>
          <w:i/>
          <w:color w:val="010101"/>
          <w:spacing w:val="-19"/>
          <w:sz w:val="16"/>
        </w:rPr>
        <w:t> </w:t>
      </w:r>
      <w:r>
        <w:rPr>
          <w:rFonts w:ascii="Arial" w:hAnsi="Arial"/>
          <w:color w:val="010101"/>
          <w:w w:val="261"/>
          <w:sz w:val="16"/>
        </w:rPr>
        <w:t>-</w:t>
      </w:r>
      <w:r>
        <w:rPr>
          <w:rFonts w:ascii="Arial" w:hAnsi="Arial"/>
          <w:color w:val="010101"/>
          <w:sz w:val="16"/>
        </w:rPr>
        <w:t> </w:t>
      </w:r>
      <w:r>
        <w:rPr>
          <w:rFonts w:ascii="Arial" w:hAnsi="Arial"/>
          <w:color w:val="010101"/>
          <w:spacing w:val="-10"/>
          <w:sz w:val="16"/>
        </w:rPr>
        <w:t> </w:t>
      </w:r>
      <w:r>
        <w:rPr>
          <w:rFonts w:ascii="Arial" w:hAnsi="Arial"/>
          <w:i/>
          <w:color w:val="010101"/>
          <w:spacing w:val="-8"/>
          <w:w w:val="130"/>
          <w:sz w:val="16"/>
        </w:rPr>
        <w:t>,</w:t>
      </w:r>
      <w:r>
        <w:rPr>
          <w:rFonts w:ascii="Arial" w:hAnsi="Arial"/>
          <w:i/>
          <w:color w:val="010101"/>
          <w:spacing w:val="10"/>
          <w:w w:val="107"/>
          <w:sz w:val="16"/>
        </w:rPr>
        <w:t>V</w:t>
      </w:r>
      <w:r>
        <w:rPr>
          <w:rFonts w:ascii="Arial" w:hAnsi="Arial"/>
          <w:i/>
          <w:color w:val="010101"/>
          <w:w w:val="86"/>
          <w:sz w:val="16"/>
        </w:rPr>
        <w:t>)</w:t>
      </w:r>
      <w:r>
        <w:rPr>
          <w:rFonts w:ascii="Arial" w:hAnsi="Arial"/>
          <w:i/>
          <w:color w:val="010101"/>
          <w:sz w:val="16"/>
        </w:rPr>
        <w:t> </w:t>
      </w:r>
      <w:r>
        <w:rPr>
          <w:rFonts w:ascii="Arial" w:hAnsi="Arial"/>
          <w:i/>
          <w:color w:val="010101"/>
          <w:spacing w:val="1"/>
          <w:sz w:val="16"/>
        </w:rPr>
        <w:t> </w:t>
      </w:r>
      <w:r>
        <w:rPr>
          <w:rFonts w:ascii="Arial" w:hAnsi="Arial"/>
          <w:color w:val="010101"/>
          <w:w w:val="106"/>
          <w:sz w:val="25"/>
        </w:rPr>
        <w:t>+</w:t>
      </w:r>
      <w:r>
        <w:rPr>
          <w:rFonts w:ascii="Arial" w:hAnsi="Arial"/>
          <w:color w:val="010101"/>
          <w:spacing w:val="-14"/>
          <w:sz w:val="25"/>
        </w:rPr>
        <w:t> </w:t>
      </w:r>
      <w:r>
        <w:rPr>
          <w:color w:val="010101"/>
          <w:w w:val="76"/>
          <w:sz w:val="17"/>
        </w:rPr>
        <w:t>v</w:t>
      </w:r>
      <w:r>
        <w:rPr>
          <w:color w:val="010101"/>
          <w:spacing w:val="-15"/>
          <w:w w:val="76"/>
          <w:sz w:val="17"/>
        </w:rPr>
        <w:t>7</w:t>
      </w:r>
      <w:r>
        <w:rPr>
          <w:color w:val="010101"/>
          <w:w w:val="95"/>
          <w:sz w:val="17"/>
        </w:rPr>
        <w:t>,</w:t>
      </w:r>
      <w:r>
        <w:rPr>
          <w:color w:val="010101"/>
          <w:spacing w:val="-28"/>
          <w:w w:val="94"/>
          <w:sz w:val="17"/>
        </w:rPr>
        <w:t>:</w:t>
      </w:r>
      <w:r>
        <w:rPr>
          <w:color w:val="010101"/>
          <w:w w:val="81"/>
          <w:sz w:val="17"/>
        </w:rPr>
        <w:t>.</w:t>
      </w:r>
      <w:r>
        <w:rPr>
          <w:color w:val="010101"/>
          <w:spacing w:val="-5"/>
          <w:w w:val="81"/>
          <w:sz w:val="17"/>
        </w:rPr>
        <w:t>.</w:t>
      </w:r>
      <w:r>
        <w:rPr>
          <w:color w:val="010101"/>
          <w:w w:val="104"/>
          <w:sz w:val="12"/>
        </w:rPr>
        <w:t>+1C1+1Y</w:t>
      </w:r>
      <w:r>
        <w:rPr>
          <w:color w:val="010101"/>
          <w:sz w:val="12"/>
        </w:rPr>
        <w:t>  </w:t>
      </w:r>
      <w:r>
        <w:rPr>
          <w:color w:val="010101"/>
          <w:spacing w:val="-4"/>
          <w:sz w:val="12"/>
        </w:rPr>
        <w:t> </w:t>
      </w:r>
      <w:r>
        <w:rPr>
          <w:color w:val="010101"/>
          <w:w w:val="387"/>
          <w:sz w:val="12"/>
        </w:rPr>
        <w:t>-</w:t>
      </w:r>
      <w:r>
        <w:rPr>
          <w:color w:val="010101"/>
          <w:sz w:val="12"/>
        </w:rPr>
        <w:t> </w:t>
      </w:r>
      <w:r>
        <w:rPr>
          <w:color w:val="010101"/>
          <w:spacing w:val="7"/>
          <w:sz w:val="12"/>
        </w:rPr>
        <w:t> </w:t>
      </w:r>
      <w:r>
        <w:rPr>
          <w:rFonts w:ascii="Arial" w:hAnsi="Arial"/>
          <w:i/>
          <w:color w:val="010101"/>
          <w:spacing w:val="-8"/>
          <w:w w:val="130"/>
          <w:sz w:val="16"/>
        </w:rPr>
        <w:t>,</w:t>
      </w:r>
      <w:r>
        <w:rPr>
          <w:rFonts w:ascii="Arial" w:hAnsi="Arial"/>
          <w:i/>
          <w:color w:val="010101"/>
          <w:spacing w:val="6"/>
          <w:w w:val="111"/>
          <w:sz w:val="16"/>
        </w:rPr>
        <w:t>V</w:t>
      </w:r>
      <w:r>
        <w:rPr>
          <w:rFonts w:ascii="Arial" w:hAnsi="Arial"/>
          <w:i/>
          <w:color w:val="010101"/>
          <w:w w:val="113"/>
          <w:sz w:val="16"/>
        </w:rPr>
        <w:t>)</w:t>
      </w:r>
      <w:r>
        <w:rPr>
          <w:rFonts w:ascii="Arial" w:hAnsi="Arial"/>
          <w:i/>
          <w:color w:val="010101"/>
          <w:w w:val="113"/>
          <w:sz w:val="16"/>
        </w:rPr>
        <w:t>,</w:t>
      </w:r>
    </w:p>
    <w:p>
      <w:pPr>
        <w:spacing w:before="94"/>
        <w:ind w:left="104" w:right="739" w:firstLine="0"/>
        <w:jc w:val="left"/>
        <w:rPr>
          <w:sz w:val="17"/>
        </w:rPr>
      </w:pPr>
      <w:r>
        <w:rPr>
          <w:color w:val="010101"/>
          <w:w w:val="105"/>
          <w:sz w:val="17"/>
        </w:rPr>
        <w:t>and  give  a  verbal   </w:t>
      </w:r>
      <w:r>
        <w:rPr>
          <w:color w:val="010101"/>
          <w:sz w:val="17"/>
        </w:rPr>
        <w:t>i </w:t>
      </w:r>
      <w:r>
        <w:rPr>
          <w:color w:val="010101"/>
          <w:w w:val="105"/>
          <w:sz w:val="17"/>
        </w:rPr>
        <w:t>nterpretation   of  this equation.</w:t>
      </w:r>
    </w:p>
    <w:p>
      <w:pPr>
        <w:spacing w:after="0"/>
        <w:jc w:val="left"/>
        <w:rPr>
          <w:sz w:val="17"/>
        </w:rPr>
        <w:sectPr>
          <w:type w:val="continuous"/>
          <w:pgSz w:w="7200" w:h="11340"/>
          <w:pgMar w:top="1100" w:bottom="0" w:left="660" w:right="560"/>
        </w:sectPr>
      </w:pPr>
    </w:p>
    <w:p>
      <w:pPr>
        <w:tabs>
          <w:tab w:pos="3373" w:val="right" w:leader="none"/>
        </w:tabs>
        <w:spacing w:before="53"/>
        <w:ind w:left="0" w:right="112" w:firstLine="0"/>
        <w:jc w:val="right"/>
        <w:rPr>
          <w:rFonts w:ascii="Courier New"/>
          <w:sz w:val="22"/>
        </w:rPr>
      </w:pPr>
      <w:r>
        <w:rPr>
          <w:w w:val="110"/>
          <w:position w:val="1"/>
          <w:sz w:val="15"/>
        </w:rPr>
        <w:t>EXERCISES</w:t>
      </w:r>
      <w:r>
        <w:rPr>
          <w:rFonts w:ascii="Courier New"/>
          <w:w w:val="110"/>
          <w:sz w:val="22"/>
        </w:rPr>
        <w:tab/>
      </w:r>
      <w:r>
        <w:rPr>
          <w:rFonts w:ascii="Courier New"/>
          <w:spacing w:val="-24"/>
          <w:w w:val="110"/>
          <w:sz w:val="22"/>
        </w:rPr>
        <w:t>127</w:t>
      </w:r>
    </w:p>
    <w:p>
      <w:pPr>
        <w:pStyle w:val="BodyText"/>
        <w:spacing w:before="10"/>
        <w:rPr>
          <w:rFonts w:ascii="Courier New"/>
          <w:sz w:val="18"/>
        </w:rPr>
      </w:pPr>
    </w:p>
    <w:p>
      <w:pPr>
        <w:pStyle w:val="ListParagraph"/>
        <w:numPr>
          <w:ilvl w:val="1"/>
          <w:numId w:val="52"/>
        </w:numPr>
        <w:tabs>
          <w:tab w:pos="588" w:val="left" w:leader="none"/>
          <w:tab w:pos="5008" w:val="left" w:leader="none"/>
        </w:tabs>
        <w:spacing w:line="247" w:lineRule="auto" w:before="0" w:after="0"/>
        <w:ind w:left="141" w:right="149" w:firstLine="162"/>
        <w:jc w:val="right"/>
        <w:rPr>
          <w:sz w:val="17"/>
        </w:rPr>
      </w:pPr>
      <w:r>
        <w:rPr>
          <w:w w:val="110"/>
          <w:sz w:val="17"/>
        </w:rPr>
        <w:t>A life aged 35, whose bea.lth is impaired, parchases </w:t>
      </w:r>
      <w:r>
        <w:rPr>
          <w:rFonts w:ascii="Arial" w:hAnsi="Arial"/>
          <w:w w:val="110"/>
          <w:sz w:val="15"/>
        </w:rPr>
        <w:t>a </w:t>
      </w:r>
      <w:r>
        <w:rPr>
          <w:spacing w:val="-6"/>
          <w:w w:val="110"/>
          <w:sz w:val="17"/>
        </w:rPr>
        <w:t>$1000</w:t>
      </w:r>
      <w:r>
        <w:rPr>
          <w:spacing w:val="3"/>
          <w:w w:val="110"/>
          <w:sz w:val="17"/>
        </w:rPr>
        <w:t> </w:t>
      </w:r>
      <w:r>
        <w:rPr>
          <w:w w:val="110"/>
          <w:sz w:val="17"/>
        </w:rPr>
        <w:t>policy</w:t>
      </w:r>
      <w:r>
        <w:rPr>
          <w:spacing w:val="9"/>
          <w:w w:val="110"/>
          <w:sz w:val="17"/>
        </w:rPr>
        <w:t> </w:t>
      </w:r>
      <w:r>
        <w:rPr>
          <w:w w:val="110"/>
          <w:sz w:val="17"/>
        </w:rPr>
        <w:t>on</w:t>
      </w:r>
      <w:r>
        <w:rPr>
          <w:w w:val="104"/>
          <w:sz w:val="17"/>
        </w:rPr>
        <w:t> </w:t>
      </w:r>
      <w:r>
        <w:rPr>
          <w:w w:val="110"/>
          <w:sz w:val="17"/>
        </w:rPr>
        <w:t>the 10-payment </w:t>
      </w:r>
      <w:r>
        <w:rPr>
          <w:spacing w:val="-7"/>
          <w:w w:val="110"/>
          <w:sz w:val="17"/>
        </w:rPr>
        <w:t>15-year </w:t>
      </w:r>
      <w:r>
        <w:rPr>
          <w:w w:val="110"/>
          <w:sz w:val="17"/>
        </w:rPr>
        <w:t>endowment plan. The substandard</w:t>
      </w:r>
      <w:r>
        <w:rPr>
          <w:spacing w:val="37"/>
          <w:w w:val="110"/>
          <w:sz w:val="17"/>
        </w:rPr>
        <w:t> </w:t>
      </w:r>
      <w:r>
        <w:rPr>
          <w:w w:val="110"/>
          <w:sz w:val="17"/>
        </w:rPr>
        <w:t>net</w:t>
      </w:r>
      <w:r>
        <w:rPr>
          <w:spacing w:val="3"/>
          <w:w w:val="110"/>
          <w:sz w:val="17"/>
        </w:rPr>
        <w:t> </w:t>
      </w:r>
      <w:r>
        <w:rPr>
          <w:w w:val="110"/>
          <w:sz w:val="17"/>
        </w:rPr>
        <w:t>premium</w:t>
      </w:r>
      <w:r>
        <w:rPr>
          <w:w w:val="107"/>
          <w:sz w:val="17"/>
        </w:rPr>
        <w:t> </w:t>
      </w:r>
      <w:r>
        <w:rPr>
          <w:w w:val="110"/>
          <w:sz w:val="17"/>
        </w:rPr>
        <w:t>which he pays is </w:t>
      </w:r>
      <w:r>
        <w:rPr>
          <w:rFonts w:ascii="Arial" w:hAnsi="Arial"/>
          <w:b/>
          <w:w w:val="110"/>
          <w:sz w:val="15"/>
        </w:rPr>
        <w:t>$5 </w:t>
      </w:r>
      <w:r>
        <w:rPr>
          <w:w w:val="110"/>
          <w:sz w:val="17"/>
        </w:rPr>
        <w:t>greater than the normal net premium at that </w:t>
      </w:r>
      <w:r>
        <w:rPr>
          <w:b/>
          <w:w w:val="110"/>
          <w:sz w:val="17"/>
        </w:rPr>
        <w:t>age.</w:t>
      </w:r>
      <w:r>
        <w:rPr>
          <w:b/>
          <w:spacing w:val="21"/>
          <w:w w:val="110"/>
          <w:sz w:val="17"/>
        </w:rPr>
        <w:t> </w:t>
      </w:r>
      <w:r>
        <w:rPr>
          <w:w w:val="110"/>
          <w:sz w:val="17"/>
        </w:rPr>
        <w:t>If</w:t>
      </w:r>
      <w:r>
        <w:rPr>
          <w:spacing w:val="23"/>
          <w:w w:val="110"/>
          <w:sz w:val="17"/>
        </w:rPr>
        <w:t> </w:t>
      </w:r>
      <w:r>
        <w:rPr>
          <w:w w:val="110"/>
          <w:sz w:val="17"/>
        </w:rPr>
        <w:t>the</w:t>
      </w:r>
      <w:r>
        <w:rPr>
          <w:w w:val="115"/>
          <w:sz w:val="17"/>
        </w:rPr>
        <w:t> </w:t>
      </w:r>
      <w:r>
        <w:rPr>
          <w:w w:val="110"/>
          <w:sz w:val="17"/>
        </w:rPr>
        <w:t>insurer maintains the usual </w:t>
      </w:r>
      <w:r>
        <w:rPr>
          <w:spacing w:val="-10"/>
          <w:w w:val="110"/>
          <w:sz w:val="16"/>
        </w:rPr>
        <w:t>1958 </w:t>
      </w:r>
      <w:r>
        <w:rPr>
          <w:w w:val="110"/>
          <w:sz w:val="17"/>
        </w:rPr>
        <w:t>CSO </w:t>
      </w:r>
      <w:r>
        <w:rPr>
          <w:w w:val="110"/>
          <w:sz w:val="16"/>
        </w:rPr>
        <w:t>3% </w:t>
      </w:r>
      <w:r>
        <w:rPr>
          <w:w w:val="110"/>
          <w:sz w:val="17"/>
        </w:rPr>
        <w:t>reserves, for what rate of</w:t>
      </w:r>
      <w:r>
        <w:rPr>
          <w:spacing w:val="36"/>
          <w:w w:val="110"/>
          <w:sz w:val="17"/>
        </w:rPr>
        <w:t> </w:t>
      </w:r>
      <w:r>
        <w:rPr>
          <w:w w:val="110"/>
          <w:sz w:val="17"/>
        </w:rPr>
        <w:t>mor­</w:t>
      </w:r>
      <w:r>
        <w:rPr>
          <w:w w:val="109"/>
          <w:sz w:val="17"/>
        </w:rPr>
        <w:t> </w:t>
      </w:r>
      <w:r>
        <w:rPr>
          <w:w w:val="110"/>
          <w:sz w:val="17"/>
        </w:rPr>
        <w:t>tality does this total premium  provide  in  the  first  policy  year?</w:t>
      </w:r>
      <w:r>
        <w:rPr>
          <w:spacing w:val="-9"/>
          <w:w w:val="110"/>
          <w:sz w:val="17"/>
        </w:rPr>
        <w:t> </w:t>
      </w:r>
      <w:r>
        <w:rPr>
          <w:w w:val="110"/>
          <w:sz w:val="17"/>
        </w:rPr>
        <w:t>(Use</w:t>
      </w:r>
      <w:r>
        <w:rPr>
          <w:spacing w:val="30"/>
          <w:w w:val="110"/>
          <w:sz w:val="17"/>
        </w:rPr>
        <w:t> </w:t>
      </w:r>
      <w:r>
        <w:rPr>
          <w:w w:val="110"/>
          <w:sz w:val="17"/>
        </w:rPr>
        <w:t>the</w:t>
      </w:r>
      <w:r>
        <w:rPr>
          <w:w w:val="117"/>
          <w:sz w:val="17"/>
        </w:rPr>
        <w:t> </w:t>
      </w:r>
      <w:r>
        <w:rPr>
          <w:w w:val="110"/>
          <w:sz w:val="17"/>
        </w:rPr>
        <w:t>net  premium  and reserves  given in</w:t>
      </w:r>
      <w:r>
        <w:rPr>
          <w:spacing w:val="11"/>
          <w:w w:val="110"/>
          <w:sz w:val="17"/>
        </w:rPr>
        <w:t> </w:t>
      </w:r>
      <w:r>
        <w:rPr>
          <w:w w:val="110"/>
          <w:sz w:val="17"/>
        </w:rPr>
        <w:t>Table</w:t>
      </w:r>
      <w:r>
        <w:rPr>
          <w:spacing w:val="22"/>
          <w:w w:val="110"/>
          <w:sz w:val="17"/>
        </w:rPr>
        <w:t> </w:t>
      </w:r>
      <w:r>
        <w:rPr>
          <w:w w:val="110"/>
          <w:sz w:val="16"/>
        </w:rPr>
        <w:t>4.)</w:t>
        <w:tab/>
      </w:r>
      <w:r>
        <w:rPr>
          <w:spacing w:val="3"/>
          <w:w w:val="105"/>
          <w:sz w:val="17"/>
        </w:rPr>
        <w:t>(Ans.</w:t>
      </w:r>
      <w:r>
        <w:rPr>
          <w:spacing w:val="-2"/>
          <w:w w:val="105"/>
          <w:sz w:val="17"/>
        </w:rPr>
        <w:t> </w:t>
      </w:r>
      <w:r>
        <w:rPr>
          <w:w w:val="105"/>
          <w:sz w:val="17"/>
        </w:rPr>
        <w:t>.</w:t>
      </w:r>
      <w:r>
        <w:rPr>
          <w:w w:val="105"/>
          <w:sz w:val="16"/>
        </w:rPr>
        <w:t>0081)</w:t>
      </w:r>
      <w:r>
        <w:rPr>
          <w:w w:val="101"/>
          <w:sz w:val="16"/>
        </w:rPr>
        <w:t> </w:t>
      </w:r>
      <w:r>
        <w:rPr>
          <w:spacing w:val="-17"/>
          <w:w w:val="110"/>
          <w:sz w:val="16"/>
        </w:rPr>
        <w:t>13.   </w:t>
      </w:r>
      <w:r>
        <w:rPr>
          <w:w w:val="110"/>
          <w:sz w:val="17"/>
        </w:rPr>
        <w:t>An  insured  under  an ordinary life policy  for </w:t>
      </w:r>
      <w:r>
        <w:rPr>
          <w:spacing w:val="-3"/>
          <w:w w:val="110"/>
          <w:sz w:val="16"/>
        </w:rPr>
        <w:t>$1000,  </w:t>
      </w:r>
      <w:r>
        <w:rPr>
          <w:w w:val="110"/>
          <w:sz w:val="17"/>
        </w:rPr>
        <w:t>issued  at age</w:t>
      </w:r>
      <w:r>
        <w:rPr>
          <w:spacing w:val="14"/>
          <w:w w:val="110"/>
          <w:sz w:val="17"/>
        </w:rPr>
        <w:t> </w:t>
      </w:r>
      <w:r>
        <w:rPr>
          <w:w w:val="110"/>
          <w:sz w:val="16"/>
        </w:rPr>
        <w:t>20,</w:t>
      </w:r>
    </w:p>
    <w:p>
      <w:pPr>
        <w:tabs>
          <w:tab w:pos="5051" w:val="left" w:leader="none"/>
        </w:tabs>
        <w:spacing w:line="244" w:lineRule="auto" w:before="0"/>
        <w:ind w:left="137" w:right="151" w:firstLine="3"/>
        <w:jc w:val="right"/>
        <w:rPr>
          <w:sz w:val="17"/>
        </w:rPr>
      </w:pPr>
      <w:r>
        <w:rPr>
          <w:w w:val="110"/>
          <w:sz w:val="17"/>
        </w:rPr>
        <w:t>is to be subject during the eleventh policy year to an extra</w:t>
      </w:r>
      <w:r>
        <w:rPr>
          <w:spacing w:val="-14"/>
          <w:w w:val="110"/>
          <w:sz w:val="17"/>
        </w:rPr>
        <w:t> </w:t>
      </w:r>
      <w:r>
        <w:rPr>
          <w:w w:val="110"/>
          <w:sz w:val="17"/>
        </w:rPr>
        <w:t>mortality</w:t>
      </w:r>
      <w:r>
        <w:rPr>
          <w:spacing w:val="40"/>
          <w:w w:val="110"/>
          <w:sz w:val="17"/>
        </w:rPr>
        <w:t> </w:t>
      </w:r>
      <w:r>
        <w:rPr>
          <w:w w:val="110"/>
          <w:sz w:val="17"/>
        </w:rPr>
        <w:t>not</w:t>
      </w:r>
      <w:r>
        <w:rPr>
          <w:w w:val="110"/>
          <w:sz w:val="17"/>
        </w:rPr>
        <w:t> </w:t>
      </w:r>
      <w:r>
        <w:rPr>
          <w:w w:val="110"/>
          <w:sz w:val="17"/>
        </w:rPr>
        <w:t>covered by the terms of the policy. This extra risk may be expressed</w:t>
      </w:r>
      <w:r>
        <w:rPr>
          <w:spacing w:val="28"/>
          <w:w w:val="110"/>
          <w:sz w:val="17"/>
        </w:rPr>
        <w:t> </w:t>
      </w:r>
      <w:r>
        <w:rPr>
          <w:w w:val="110"/>
          <w:sz w:val="17"/>
        </w:rPr>
        <w:t>as</w:t>
      </w:r>
      <w:r>
        <w:rPr>
          <w:spacing w:val="12"/>
          <w:w w:val="110"/>
          <w:sz w:val="17"/>
        </w:rPr>
        <w:t> </w:t>
      </w:r>
      <w:r>
        <w:rPr>
          <w:w w:val="110"/>
          <w:sz w:val="17"/>
        </w:rPr>
        <w:t>an</w:t>
      </w:r>
      <w:r>
        <w:rPr>
          <w:w w:val="110"/>
          <w:sz w:val="17"/>
        </w:rPr>
        <w:t> </w:t>
      </w:r>
      <w:r>
        <w:rPr>
          <w:w w:val="110"/>
          <w:sz w:val="17"/>
        </w:rPr>
        <w:t>addition of </w:t>
      </w:r>
      <w:r>
        <w:rPr>
          <w:w w:val="110"/>
          <w:sz w:val="16"/>
        </w:rPr>
        <w:t>.01 </w:t>
      </w:r>
      <w:r>
        <w:rPr>
          <w:w w:val="110"/>
          <w:sz w:val="17"/>
        </w:rPr>
        <w:t>to the normal rate of mortality during that year.</w:t>
      </w:r>
      <w:r>
        <w:rPr>
          <w:spacing w:val="35"/>
          <w:w w:val="110"/>
          <w:sz w:val="17"/>
        </w:rPr>
        <w:t> </w:t>
      </w:r>
      <w:r>
        <w:rPr>
          <w:w w:val="110"/>
          <w:sz w:val="16"/>
        </w:rPr>
        <w:t>If</w:t>
      </w:r>
      <w:r>
        <w:rPr>
          <w:spacing w:val="18"/>
          <w:w w:val="110"/>
          <w:sz w:val="16"/>
        </w:rPr>
        <w:t> </w:t>
      </w:r>
      <w:r>
        <w:rPr>
          <w:w w:val="110"/>
          <w:sz w:val="17"/>
        </w:rPr>
        <w:t>the</w:t>
      </w:r>
      <w:r>
        <w:rPr>
          <w:w w:val="115"/>
          <w:sz w:val="17"/>
        </w:rPr>
        <w:t> </w:t>
      </w:r>
      <w:r>
        <w:rPr>
          <w:w w:val="110"/>
          <w:sz w:val="17"/>
        </w:rPr>
        <w:t>eleventh year terminal  reserve  is </w:t>
      </w:r>
      <w:r>
        <w:rPr>
          <w:w w:val="110"/>
          <w:sz w:val="16"/>
        </w:rPr>
        <w:t>$81.54 </w:t>
      </w:r>
      <w:r>
        <w:rPr>
          <w:w w:val="110"/>
          <w:sz w:val="17"/>
        </w:rPr>
        <w:t>and  the  tabular  rate</w:t>
      </w:r>
      <w:r>
        <w:rPr>
          <w:spacing w:val="-5"/>
          <w:w w:val="110"/>
          <w:sz w:val="17"/>
        </w:rPr>
        <w:t> </w:t>
      </w:r>
      <w:r>
        <w:rPr>
          <w:w w:val="110"/>
          <w:sz w:val="17"/>
        </w:rPr>
        <w:t>of</w:t>
      </w:r>
      <w:r>
        <w:rPr>
          <w:spacing w:val="43"/>
          <w:w w:val="110"/>
          <w:sz w:val="17"/>
        </w:rPr>
        <w:t> </w:t>
      </w:r>
      <w:r>
        <w:rPr>
          <w:w w:val="110"/>
          <w:sz w:val="17"/>
        </w:rPr>
        <w:t>mortality</w:t>
      </w:r>
      <w:r>
        <w:rPr>
          <w:w w:val="114"/>
          <w:sz w:val="17"/>
        </w:rPr>
        <w:t> </w:t>
      </w:r>
      <w:r>
        <w:rPr>
          <w:w w:val="110"/>
          <w:sz w:val="17"/>
        </w:rPr>
        <w:t>at a.ge 30 is .008427, calculate on a net basis the theoretical reduction</w:t>
      </w:r>
      <w:r>
        <w:rPr>
          <w:spacing w:val="4"/>
          <w:w w:val="110"/>
          <w:sz w:val="17"/>
        </w:rPr>
        <w:t> </w:t>
      </w:r>
      <w:r>
        <w:rPr>
          <w:w w:val="110"/>
          <w:sz w:val="17"/>
        </w:rPr>
        <w:t>in</w:t>
      </w:r>
      <w:r>
        <w:rPr>
          <w:spacing w:val="5"/>
          <w:w w:val="110"/>
          <w:sz w:val="17"/>
        </w:rPr>
        <w:t> </w:t>
      </w:r>
      <w:r>
        <w:rPr>
          <w:w w:val="110"/>
          <w:sz w:val="17"/>
        </w:rPr>
        <w:t>the</w:t>
      </w:r>
      <w:r>
        <w:rPr>
          <w:w w:val="113"/>
          <w:sz w:val="17"/>
        </w:rPr>
        <w:t> </w:t>
      </w:r>
      <w:r>
        <w:rPr>
          <w:w w:val="110"/>
          <w:sz w:val="17"/>
        </w:rPr>
        <w:t>amount of  insurance the company should require during the </w:t>
      </w:r>
      <w:r>
        <w:rPr>
          <w:spacing w:val="15"/>
          <w:w w:val="110"/>
          <w:sz w:val="17"/>
        </w:rPr>
        <w:t> </w:t>
      </w:r>
      <w:r>
        <w:rPr>
          <w:w w:val="110"/>
          <w:sz w:val="17"/>
        </w:rPr>
        <w:t>eleventh</w:t>
      </w:r>
      <w:r>
        <w:rPr>
          <w:spacing w:val="24"/>
          <w:w w:val="110"/>
          <w:sz w:val="17"/>
        </w:rPr>
        <w:t> </w:t>
      </w:r>
      <w:r>
        <w:rPr>
          <w:w w:val="110"/>
          <w:sz w:val="17"/>
        </w:rPr>
        <w:t>year</w:t>
      </w:r>
      <w:r>
        <w:rPr>
          <w:w w:val="109"/>
          <w:sz w:val="17"/>
        </w:rPr>
        <w:t> </w:t>
      </w:r>
      <w:r>
        <w:rPr>
          <w:w w:val="110"/>
          <w:sz w:val="17"/>
        </w:rPr>
        <w:t>if  the  policy  is  to  be  amended  to  include  the</w:t>
      </w:r>
      <w:r>
        <w:rPr>
          <w:spacing w:val="30"/>
          <w:w w:val="110"/>
          <w:sz w:val="17"/>
        </w:rPr>
        <w:t> </w:t>
      </w:r>
      <w:r>
        <w:rPr>
          <w:w w:val="110"/>
          <w:sz w:val="17"/>
        </w:rPr>
        <w:t>extra</w:t>
      </w:r>
      <w:r>
        <w:rPr>
          <w:spacing w:val="41"/>
          <w:w w:val="110"/>
          <w:sz w:val="17"/>
        </w:rPr>
        <w:t> </w:t>
      </w:r>
      <w:r>
        <w:rPr>
          <w:w w:val="110"/>
          <w:sz w:val="17"/>
        </w:rPr>
        <w:t>risk.</w:t>
        <w:tab/>
        <w:t>(Ans.</w:t>
      </w:r>
      <w:r>
        <w:rPr>
          <w:spacing w:val="-19"/>
          <w:w w:val="110"/>
          <w:sz w:val="17"/>
        </w:rPr>
        <w:t> </w:t>
      </w:r>
      <w:r>
        <w:rPr>
          <w:rFonts w:ascii="Arial"/>
          <w:w w:val="110"/>
          <w:sz w:val="14"/>
        </w:rPr>
        <w:t>$498)</w:t>
      </w:r>
      <w:r>
        <w:rPr>
          <w:rFonts w:ascii="Arial"/>
          <w:w w:val="103"/>
          <w:sz w:val="14"/>
        </w:rPr>
        <w:t> </w:t>
      </w:r>
      <w:r>
        <w:rPr>
          <w:spacing w:val="-18"/>
          <w:w w:val="110"/>
          <w:sz w:val="17"/>
        </w:rPr>
        <w:t>14. </w:t>
      </w:r>
      <w:r>
        <w:rPr>
          <w:w w:val="110"/>
          <w:sz w:val="17"/>
        </w:rPr>
        <w:t>A special retirement plan provides  an  annual  payment  of  1</w:t>
      </w:r>
      <w:r>
        <w:rPr>
          <w:spacing w:val="29"/>
          <w:w w:val="110"/>
          <w:sz w:val="17"/>
        </w:rPr>
        <w:t> </w:t>
      </w:r>
      <w:r>
        <w:rPr>
          <w:w w:val="110"/>
          <w:sz w:val="17"/>
        </w:rPr>
        <w:t>at</w:t>
      </w:r>
      <w:r>
        <w:rPr>
          <w:spacing w:val="40"/>
          <w:w w:val="110"/>
          <w:sz w:val="17"/>
        </w:rPr>
        <w:t> </w:t>
      </w:r>
      <w:r>
        <w:rPr>
          <w:w w:val="110"/>
          <w:sz w:val="17"/>
        </w:rPr>
        <w:t>the</w:t>
      </w:r>
      <w:r>
        <w:rPr>
          <w:w w:val="117"/>
          <w:sz w:val="17"/>
        </w:rPr>
        <w:t> </w:t>
      </w:r>
      <w:r>
        <w:rPr>
          <w:w w:val="110"/>
          <w:sz w:val="17"/>
        </w:rPr>
        <w:t>end of ea.ch year of survival and a death benefit of one-half  of </w:t>
      </w:r>
      <w:r>
        <w:rPr>
          <w:spacing w:val="21"/>
          <w:w w:val="110"/>
          <w:sz w:val="17"/>
        </w:rPr>
        <w:t> </w:t>
      </w:r>
      <w:r>
        <w:rPr>
          <w:w w:val="110"/>
          <w:sz w:val="17"/>
        </w:rPr>
        <w:t>the</w:t>
      </w:r>
      <w:r>
        <w:rPr>
          <w:spacing w:val="15"/>
          <w:w w:val="110"/>
          <w:sz w:val="17"/>
        </w:rPr>
        <w:t> </w:t>
      </w:r>
      <w:r>
        <w:rPr>
          <w:w w:val="110"/>
          <w:sz w:val="17"/>
        </w:rPr>
        <w:t>reserve</w:t>
      </w:r>
      <w:r>
        <w:rPr>
          <w:w w:val="108"/>
          <w:sz w:val="17"/>
        </w:rPr>
        <w:t> </w:t>
      </w:r>
      <w:r>
        <w:rPr>
          <w:w w:val="110"/>
          <w:sz w:val="17"/>
        </w:rPr>
        <w:t>at the end of the year of death. </w:t>
      </w:r>
      <w:r>
        <w:rPr>
          <w:w w:val="110"/>
          <w:sz w:val="16"/>
        </w:rPr>
        <w:t>lf </w:t>
      </w:r>
      <w:r>
        <w:rPr>
          <w:w w:val="110"/>
          <w:sz w:val="17"/>
        </w:rPr>
        <w:t>retirement begins at age </w:t>
      </w:r>
      <w:r>
        <w:rPr>
          <w:rFonts w:ascii="Arial"/>
          <w:i/>
          <w:w w:val="110"/>
          <w:sz w:val="15"/>
        </w:rPr>
        <w:t>x </w:t>
      </w:r>
      <w:r>
        <w:rPr>
          <w:w w:val="110"/>
          <w:sz w:val="17"/>
        </w:rPr>
        <w:t>and</w:t>
      </w:r>
      <w:r>
        <w:rPr>
          <w:spacing w:val="20"/>
          <w:w w:val="110"/>
          <w:sz w:val="17"/>
        </w:rPr>
        <w:t> </w:t>
      </w:r>
      <w:r>
        <w:rPr>
          <w:w w:val="110"/>
          <w:sz w:val="17"/>
        </w:rPr>
        <w:t>if</w:t>
      </w:r>
      <w:r>
        <w:rPr>
          <w:spacing w:val="2"/>
          <w:w w:val="110"/>
          <w:sz w:val="17"/>
        </w:rPr>
        <w:t> </w:t>
      </w:r>
      <w:r>
        <w:rPr>
          <w:i/>
          <w:sz w:val="19"/>
        </w:rPr>
        <w:t>,R,.,</w:t>
      </w:r>
      <w:r>
        <w:rPr>
          <w:i/>
          <w:w w:val="73"/>
          <w:sz w:val="19"/>
        </w:rPr>
        <w:t> </w:t>
      </w:r>
      <w:r>
        <w:rPr>
          <w:w w:val="110"/>
          <w:sz w:val="17"/>
        </w:rPr>
        <w:t>denotes the reserve  immediately  before  the  t-th  retirement  payment ,</w:t>
      </w:r>
      <w:r>
        <w:rPr>
          <w:spacing w:val="1"/>
          <w:w w:val="110"/>
          <w:sz w:val="17"/>
        </w:rPr>
        <w:t> </w:t>
      </w:r>
      <w:r>
        <w:rPr>
          <w:w w:val="110"/>
          <w:sz w:val="17"/>
        </w:rPr>
        <w:t>find</w:t>
      </w:r>
    </w:p>
    <w:p>
      <w:pPr>
        <w:spacing w:before="6"/>
        <w:ind w:left="159" w:right="0" w:firstLine="0"/>
        <w:jc w:val="left"/>
        <w:rPr>
          <w:sz w:val="17"/>
        </w:rPr>
      </w:pPr>
      <w:r>
        <w:rPr>
          <w:rFonts w:ascii="Arial"/>
          <w:i/>
          <w:w w:val="105"/>
          <w:sz w:val="15"/>
        </w:rPr>
        <w:t>1+1R: </w:t>
      </w:r>
      <w:r>
        <w:rPr>
          <w:w w:val="105"/>
          <w:sz w:val="17"/>
        </w:rPr>
        <w:t>in terms of  </w:t>
      </w:r>
      <w:r>
        <w:rPr>
          <w:i/>
          <w:w w:val="105"/>
          <w:sz w:val="17"/>
        </w:rPr>
        <w:t>cRz  </w:t>
      </w:r>
      <w:r>
        <w:rPr>
          <w:w w:val="105"/>
          <w:sz w:val="17"/>
        </w:rPr>
        <w:t>, </w:t>
      </w:r>
      <w:r>
        <w:rPr>
          <w:rFonts w:ascii="Arial"/>
          <w:i/>
          <w:w w:val="105"/>
          <w:sz w:val="16"/>
        </w:rPr>
        <w:t>p, q, </w:t>
      </w:r>
      <w:r>
        <w:rPr>
          <w:w w:val="105"/>
          <w:sz w:val="17"/>
        </w:rPr>
        <w:t>and  </w:t>
      </w:r>
      <w:r>
        <w:rPr>
          <w:w w:val="110"/>
          <w:sz w:val="17"/>
        </w:rPr>
        <w:t>i.</w:t>
      </w:r>
    </w:p>
    <w:p>
      <w:pPr>
        <w:pStyle w:val="BodyText"/>
        <w:spacing w:before="9"/>
        <w:rPr>
          <w:sz w:val="14"/>
        </w:rPr>
      </w:pPr>
    </w:p>
    <w:p>
      <w:pPr>
        <w:spacing w:before="0"/>
        <w:ind w:left="137" w:right="0" w:firstLine="0"/>
        <w:jc w:val="left"/>
        <w:rPr>
          <w:b/>
          <w:sz w:val="16"/>
        </w:rPr>
      </w:pPr>
      <w:r>
        <w:rPr>
          <w:b/>
          <w:w w:val="125"/>
          <w:sz w:val="16"/>
        </w:rPr>
        <w:t>6. Reserves on policies with fractional premiums</w:t>
      </w:r>
    </w:p>
    <w:p>
      <w:pPr>
        <w:spacing w:line="284" w:lineRule="exact" w:before="2"/>
        <w:ind w:left="299" w:right="0" w:firstLine="0"/>
        <w:jc w:val="left"/>
        <w:rPr>
          <w:sz w:val="17"/>
        </w:rPr>
      </w:pPr>
      <w:r>
        <w:rPr>
          <w:rFonts w:ascii="Arial" w:hAnsi="Arial"/>
          <w:b/>
          <w:w w:val="110"/>
          <w:sz w:val="15"/>
        </w:rPr>
        <w:t>15.  </w:t>
      </w:r>
      <w:r>
        <w:rPr>
          <w:w w:val="110"/>
          <w:sz w:val="17"/>
        </w:rPr>
        <w:t>Show that  </w:t>
      </w:r>
      <w:r>
        <w:rPr>
          <w:rFonts w:ascii="Arial" w:hAnsi="Arial"/>
          <w:b/>
          <w:w w:val="110"/>
          <w:sz w:val="21"/>
        </w:rPr>
        <w:t>,'t\ </w:t>
      </w:r>
      <w:r>
        <w:rPr>
          <w:b/>
          <w:sz w:val="16"/>
        </w:rPr>
        <w:t>:o¡  </w:t>
      </w:r>
      <w:r>
        <w:rPr>
          <w:rFonts w:ascii="Arial" w:hAnsi="Arial"/>
          <w:b/>
          <w:w w:val="110"/>
          <w:sz w:val="15"/>
        </w:rPr>
        <w:t>(1 </w:t>
      </w:r>
      <w:r>
        <w:rPr>
          <w:rFonts w:ascii="Arial" w:hAnsi="Arial"/>
          <w:w w:val="110"/>
          <w:sz w:val="26"/>
        </w:rPr>
        <w:t>+  </w:t>
      </w:r>
      <w:r>
        <w:rPr>
          <w:w w:val="110"/>
          <w:sz w:val="17"/>
        </w:rPr>
        <w:t>Pz),Vz </w:t>
      </w:r>
      <w:r>
        <w:rPr>
          <w:w w:val="125"/>
          <w:sz w:val="17"/>
        </w:rPr>
        <w:t>.</w:t>
      </w:r>
    </w:p>
    <w:p>
      <w:pPr>
        <w:pStyle w:val="ListParagraph"/>
        <w:numPr>
          <w:ilvl w:val="0"/>
          <w:numId w:val="53"/>
        </w:numPr>
        <w:tabs>
          <w:tab w:pos="584" w:val="left" w:leader="none"/>
        </w:tabs>
        <w:spacing w:line="160" w:lineRule="exact" w:before="0" w:after="0"/>
        <w:ind w:left="584" w:right="173" w:hanging="285"/>
        <w:jc w:val="right"/>
        <w:rPr>
          <w:sz w:val="17"/>
        </w:rPr>
      </w:pPr>
      <w:r>
        <w:rPr>
          <w:w w:val="107"/>
          <w:sz w:val="17"/>
        </w:rPr>
        <w:t>Given</w:t>
      </w:r>
      <w:r>
        <w:rPr>
          <w:sz w:val="17"/>
        </w:rPr>
        <w:t> </w:t>
      </w:r>
      <w:r>
        <w:rPr>
          <w:spacing w:val="-12"/>
          <w:sz w:val="17"/>
        </w:rPr>
        <w:t> </w:t>
      </w:r>
      <w:r>
        <w:rPr>
          <w:i/>
          <w:w w:val="100"/>
          <w:sz w:val="17"/>
        </w:rPr>
        <w:t>Pz</w:t>
      </w:r>
      <w:r>
        <w:rPr>
          <w:i/>
          <w:sz w:val="17"/>
        </w:rPr>
        <w:t> </w:t>
      </w:r>
      <w:r>
        <w:rPr>
          <w:i/>
          <w:spacing w:val="13"/>
          <w:sz w:val="17"/>
        </w:rPr>
        <w:t> </w:t>
      </w:r>
      <w:r>
        <w:rPr>
          <w:w w:val="105"/>
          <w:sz w:val="19"/>
        </w:rPr>
        <w:t>=</w:t>
      </w:r>
      <w:r>
        <w:rPr>
          <w:sz w:val="19"/>
        </w:rPr>
        <w:t>  </w:t>
      </w:r>
      <w:r>
        <w:rPr>
          <w:w w:val="104"/>
          <w:sz w:val="16"/>
        </w:rPr>
        <w:t>.0240,</w:t>
      </w:r>
      <w:r>
        <w:rPr>
          <w:sz w:val="16"/>
        </w:rPr>
        <w:t> </w:t>
      </w:r>
      <w:r>
        <w:rPr>
          <w:spacing w:val="-18"/>
          <w:sz w:val="16"/>
        </w:rPr>
        <w:t> </w:t>
      </w:r>
      <w:r>
        <w:rPr>
          <w:i/>
          <w:spacing w:val="-20"/>
          <w:w w:val="191"/>
          <w:sz w:val="17"/>
        </w:rPr>
        <w:t>,</w:t>
      </w:r>
      <w:r>
        <w:rPr>
          <w:i/>
          <w:spacing w:val="3"/>
          <w:w w:val="114"/>
          <w:sz w:val="17"/>
        </w:rPr>
        <w:t>V</w:t>
      </w:r>
      <w:r>
        <w:rPr>
          <w:i/>
          <w:w w:val="72"/>
          <w:sz w:val="17"/>
        </w:rPr>
        <w:t>z</w:t>
      </w:r>
      <w:r>
        <w:rPr>
          <w:i/>
          <w:sz w:val="17"/>
        </w:rPr>
        <w:t> </w:t>
      </w:r>
      <w:r>
        <w:rPr>
          <w:i/>
          <w:spacing w:val="14"/>
          <w:sz w:val="17"/>
        </w:rPr>
        <w:t> </w:t>
      </w:r>
      <w:r>
        <w:rPr>
          <w:w w:val="105"/>
          <w:sz w:val="19"/>
        </w:rPr>
        <w:t>=</w:t>
      </w:r>
      <w:r>
        <w:rPr>
          <w:sz w:val="19"/>
        </w:rPr>
        <w:t>  </w:t>
      </w:r>
      <w:r>
        <w:rPr>
          <w:b/>
          <w:w w:val="95"/>
          <w:sz w:val="17"/>
        </w:rPr>
        <w:t>.0600,</w:t>
      </w:r>
      <w:r>
        <w:rPr>
          <w:b/>
          <w:sz w:val="17"/>
        </w:rPr>
        <w:t> </w:t>
      </w:r>
      <w:r>
        <w:rPr>
          <w:b/>
          <w:spacing w:val="-18"/>
          <w:sz w:val="17"/>
        </w:rPr>
        <w:t> </w:t>
      </w:r>
      <w:r>
        <w:rPr>
          <w:w w:val="111"/>
          <w:sz w:val="17"/>
        </w:rPr>
        <w:t>and</w:t>
      </w:r>
      <w:r>
        <w:rPr>
          <w:sz w:val="17"/>
        </w:rPr>
        <w:t> </w:t>
      </w:r>
      <w:r>
        <w:rPr>
          <w:spacing w:val="-18"/>
          <w:sz w:val="17"/>
        </w:rPr>
        <w:t> </w:t>
      </w:r>
      <w:r>
        <w:rPr>
          <w:i/>
          <w:w w:val="89"/>
          <w:sz w:val="17"/>
        </w:rPr>
        <w:t>d</w:t>
      </w:r>
      <w:r>
        <w:rPr>
          <w:i/>
          <w:sz w:val="17"/>
        </w:rPr>
        <w:t> </w:t>
      </w:r>
      <w:r>
        <w:rPr>
          <w:i/>
          <w:spacing w:val="12"/>
          <w:sz w:val="17"/>
        </w:rPr>
        <w:t> </w:t>
      </w:r>
      <w:r>
        <w:rPr>
          <w:w w:val="101"/>
          <w:sz w:val="19"/>
        </w:rPr>
        <w:t>=</w:t>
      </w:r>
      <w:r>
        <w:rPr>
          <w:sz w:val="19"/>
        </w:rPr>
        <w:t> </w:t>
      </w:r>
      <w:r>
        <w:rPr>
          <w:spacing w:val="4"/>
          <w:sz w:val="19"/>
        </w:rPr>
        <w:t> </w:t>
      </w:r>
      <w:r>
        <w:rPr>
          <w:w w:val="105"/>
          <w:sz w:val="16"/>
        </w:rPr>
        <w:t>.026,</w:t>
      </w:r>
      <w:r>
        <w:rPr>
          <w:spacing w:val="16"/>
          <w:sz w:val="16"/>
        </w:rPr>
        <w:t> </w:t>
      </w:r>
      <w:r>
        <w:rPr>
          <w:w w:val="113"/>
          <w:sz w:val="17"/>
        </w:rPr>
        <w:t>estímate</w:t>
      </w:r>
      <w:r>
        <w:rPr>
          <w:sz w:val="17"/>
        </w:rPr>
        <w:t> </w:t>
      </w:r>
      <w:r>
        <w:rPr>
          <w:spacing w:val="-17"/>
          <w:sz w:val="17"/>
        </w:rPr>
        <w:t> </w:t>
      </w:r>
      <w:r>
        <w:rPr>
          <w:w w:val="113"/>
          <w:sz w:val="17"/>
        </w:rPr>
        <w:t>the</w:t>
      </w:r>
      <w:r>
        <w:rPr>
          <w:sz w:val="17"/>
        </w:rPr>
        <w:t> </w:t>
      </w:r>
      <w:r>
        <w:rPr>
          <w:spacing w:val="-16"/>
          <w:sz w:val="17"/>
        </w:rPr>
        <w:t> </w:t>
      </w:r>
      <w:r>
        <w:rPr>
          <w:w w:val="108"/>
          <w:sz w:val="17"/>
        </w:rPr>
        <w:t>values</w:t>
      </w:r>
      <w:r>
        <w:rPr>
          <w:sz w:val="17"/>
        </w:rPr>
        <w:t> </w:t>
      </w:r>
      <w:r>
        <w:rPr>
          <w:spacing w:val="-11"/>
          <w:sz w:val="17"/>
        </w:rPr>
        <w:t> </w:t>
      </w:r>
      <w:r>
        <w:rPr>
          <w:w w:val="89"/>
          <w:sz w:val="17"/>
        </w:rPr>
        <w:t>of</w:t>
      </w:r>
    </w:p>
    <w:p>
      <w:pPr>
        <w:spacing w:line="166" w:lineRule="exact" w:before="0"/>
        <w:ind w:left="187" w:right="0" w:firstLine="0"/>
        <w:jc w:val="left"/>
        <w:rPr>
          <w:sz w:val="17"/>
        </w:rPr>
      </w:pPr>
      <w:r>
        <w:rPr>
          <w:w w:val="66"/>
          <w:sz w:val="26"/>
        </w:rPr>
        <w:t>Vl'&gt;,</w:t>
      </w:r>
      <w:r>
        <w:rPr>
          <w:spacing w:val="-2"/>
          <w:sz w:val="26"/>
        </w:rPr>
        <w:t> </w:t>
      </w:r>
      <w:r>
        <w:rPr>
          <w:w w:val="68"/>
          <w:sz w:val="26"/>
        </w:rPr>
        <w:t>,VJ</w:t>
      </w:r>
      <w:r>
        <w:rPr>
          <w:spacing w:val="-47"/>
          <w:sz w:val="26"/>
        </w:rPr>
        <w:t> </w:t>
      </w:r>
      <w:r>
        <w:rPr>
          <w:w w:val="126"/>
          <w:position w:val="4"/>
          <w:sz w:val="10"/>
        </w:rPr>
        <w:t>1</w:t>
      </w:r>
      <w:r>
        <w:rPr>
          <w:spacing w:val="14"/>
          <w:w w:val="126"/>
          <w:position w:val="4"/>
          <w:sz w:val="10"/>
        </w:rPr>
        <w:t>2</w:t>
      </w:r>
      <w:r>
        <w:rPr>
          <w:w w:val="104"/>
          <w:sz w:val="14"/>
        </w:rPr>
        <w:t>1,</w:t>
      </w:r>
      <w:r>
        <w:rPr>
          <w:spacing w:val="3"/>
          <w:sz w:val="14"/>
        </w:rPr>
        <w:t> </w:t>
      </w:r>
      <w:r>
        <w:rPr>
          <w:w w:val="77"/>
          <w:sz w:val="26"/>
        </w:rPr>
        <w:t>,V</w:t>
      </w:r>
      <w:r>
        <w:rPr>
          <w:spacing w:val="-5"/>
          <w:w w:val="77"/>
          <w:sz w:val="26"/>
        </w:rPr>
        <w:t>l</w:t>
      </w:r>
      <w:r>
        <w:rPr>
          <w:spacing w:val="-14"/>
          <w:w w:val="135"/>
          <w:position w:val="6"/>
          <w:sz w:val="10"/>
        </w:rPr>
        <w:t>1</w:t>
      </w:r>
      <w:r>
        <w:rPr>
          <w:rFonts w:ascii="Arial" w:hAnsi="Arial"/>
          <w:w w:val="153"/>
          <w:sz w:val="16"/>
        </w:rPr>
        <w:t>l,</w:t>
      </w:r>
      <w:r>
        <w:rPr>
          <w:rFonts w:ascii="Arial" w:hAnsi="Arial"/>
          <w:spacing w:val="-6"/>
          <w:sz w:val="16"/>
        </w:rPr>
        <w:t> </w:t>
      </w:r>
      <w:r>
        <w:rPr>
          <w:w w:val="111"/>
          <w:sz w:val="17"/>
        </w:rPr>
        <w:t>and</w:t>
      </w:r>
      <w:r>
        <w:rPr>
          <w:spacing w:val="17"/>
          <w:sz w:val="17"/>
        </w:rPr>
        <w:t> </w:t>
      </w:r>
      <w:r>
        <w:rPr>
          <w:rFonts w:ascii="Arial" w:hAnsi="Arial"/>
          <w:i/>
          <w:spacing w:val="-30"/>
          <w:w w:val="149"/>
          <w:sz w:val="21"/>
        </w:rPr>
        <w:t>¡</w:t>
      </w:r>
      <w:r>
        <w:rPr>
          <w:rFonts w:ascii="Arial" w:hAnsi="Arial"/>
          <w:i/>
          <w:w w:val="157"/>
          <w:sz w:val="21"/>
        </w:rPr>
        <w:t>t\</w:t>
      </w:r>
      <w:r>
        <w:rPr>
          <w:rFonts w:ascii="Arial" w:hAnsi="Arial"/>
          <w:i/>
          <w:spacing w:val="-1"/>
          <w:sz w:val="21"/>
        </w:rPr>
        <w:t> </w:t>
      </w:r>
      <w:r>
        <w:rPr>
          <w:rFonts w:ascii="Arial" w:hAnsi="Arial"/>
          <w:i/>
          <w:w w:val="99"/>
          <w:sz w:val="21"/>
        </w:rPr>
        <w:t>,</w:t>
      </w:r>
      <w:r>
        <w:rPr>
          <w:rFonts w:ascii="Arial" w:hAnsi="Arial"/>
          <w:i/>
          <w:spacing w:val="-13"/>
          <w:sz w:val="21"/>
        </w:rPr>
        <w:t> </w:t>
      </w:r>
      <w:r>
        <w:rPr>
          <w:w w:val="106"/>
          <w:sz w:val="17"/>
        </w:rPr>
        <w:t>using</w:t>
      </w:r>
      <w:r>
        <w:rPr>
          <w:sz w:val="17"/>
        </w:rPr>
        <w:t> </w:t>
      </w:r>
      <w:r>
        <w:rPr>
          <w:spacing w:val="-15"/>
          <w:sz w:val="17"/>
        </w:rPr>
        <w:t> </w:t>
      </w:r>
      <w:r>
        <w:rPr>
          <w:w w:val="115"/>
          <w:sz w:val="17"/>
        </w:rPr>
        <w:t>the</w:t>
      </w:r>
      <w:r>
        <w:rPr>
          <w:sz w:val="17"/>
        </w:rPr>
        <w:t> </w:t>
      </w:r>
      <w:r>
        <w:rPr>
          <w:spacing w:val="-20"/>
          <w:sz w:val="17"/>
        </w:rPr>
        <w:t> </w:t>
      </w:r>
      <w:r>
        <w:rPr>
          <w:w w:val="116"/>
          <w:sz w:val="17"/>
        </w:rPr>
        <w:t>standard</w:t>
      </w:r>
      <w:r>
        <w:rPr>
          <w:sz w:val="17"/>
        </w:rPr>
        <w:t> </w:t>
      </w:r>
      <w:r>
        <w:rPr>
          <w:spacing w:val="-14"/>
          <w:sz w:val="17"/>
        </w:rPr>
        <w:t> </w:t>
      </w:r>
      <w:r>
        <w:rPr>
          <w:w w:val="111"/>
          <w:sz w:val="17"/>
        </w:rPr>
        <w:t>approximation.</w:t>
      </w:r>
    </w:p>
    <w:p>
      <w:pPr>
        <w:spacing w:line="89" w:lineRule="exact" w:before="0"/>
        <w:ind w:left="115" w:right="0" w:firstLine="0"/>
        <w:jc w:val="left"/>
        <w:rPr>
          <w:sz w:val="10"/>
        </w:rPr>
      </w:pPr>
      <w:r>
        <w:rPr>
          <w:w w:val="110"/>
          <w:sz w:val="10"/>
        </w:rPr>
        <w:t>4</w:t>
      </w:r>
    </w:p>
    <w:p>
      <w:pPr>
        <w:pStyle w:val="ListParagraph"/>
        <w:numPr>
          <w:ilvl w:val="0"/>
          <w:numId w:val="53"/>
        </w:numPr>
        <w:tabs>
          <w:tab w:pos="581" w:val="left" w:leader="none"/>
        </w:tabs>
        <w:spacing w:line="183" w:lineRule="exact" w:before="0" w:after="0"/>
        <w:ind w:left="580" w:right="0" w:hanging="281"/>
        <w:jc w:val="left"/>
        <w:rPr>
          <w:sz w:val="17"/>
        </w:rPr>
      </w:pPr>
      <w:r>
        <w:rPr>
          <w:w w:val="110"/>
          <w:sz w:val="17"/>
        </w:rPr>
        <w:t>Write formulas which express the following in terms </w:t>
      </w:r>
      <w:r>
        <w:rPr>
          <w:rFonts w:ascii="Arial" w:hAnsi="Arial"/>
          <w:w w:val="110"/>
          <w:sz w:val="16"/>
        </w:rPr>
        <w:t>of </w:t>
      </w:r>
      <w:r>
        <w:rPr>
          <w:w w:val="110"/>
          <w:sz w:val="17"/>
        </w:rPr>
        <w:t>reserves   </w:t>
      </w:r>
      <w:r>
        <w:rPr>
          <w:spacing w:val="4"/>
          <w:w w:val="110"/>
          <w:sz w:val="17"/>
        </w:rPr>
        <w:t> </w:t>
      </w:r>
      <w:r>
        <w:rPr>
          <w:w w:val="110"/>
          <w:sz w:val="17"/>
        </w:rPr>
        <w:t>sub­</w:t>
      </w:r>
    </w:p>
    <w:p>
      <w:pPr>
        <w:spacing w:before="6"/>
        <w:ind w:left="130" w:right="0" w:firstLine="0"/>
        <w:jc w:val="left"/>
        <w:rPr>
          <w:sz w:val="17"/>
        </w:rPr>
      </w:pPr>
      <w:r>
        <w:rPr>
          <w:w w:val="115"/>
          <w:sz w:val="17"/>
        </w:rPr>
        <w:t>ject to annual premiums  (using the standard approximation):</w:t>
      </w:r>
    </w:p>
    <w:p>
      <w:pPr>
        <w:spacing w:line="129" w:lineRule="exact" w:before="99"/>
        <w:ind w:left="87" w:right="4067" w:firstLine="0"/>
        <w:jc w:val="center"/>
        <w:rPr>
          <w:rFonts w:ascii="Arial"/>
          <w:b/>
          <w:sz w:val="12"/>
        </w:rPr>
      </w:pPr>
      <w:r>
        <w:rPr>
          <w:rFonts w:ascii="Arial"/>
          <w:b/>
          <w:w w:val="70"/>
          <w:sz w:val="12"/>
        </w:rPr>
        <w:t>Cm&gt;</w:t>
      </w:r>
    </w:p>
    <w:p>
      <w:pPr>
        <w:spacing w:line="198" w:lineRule="exact" w:before="0"/>
        <w:ind w:left="468" w:right="0" w:firstLine="0"/>
        <w:jc w:val="left"/>
        <w:rPr>
          <w:sz w:val="18"/>
        </w:rPr>
      </w:pPr>
      <w:r>
        <w:rPr>
          <w:rFonts w:ascii="Arial" w:hAnsi="Arial"/>
          <w:w w:val="110"/>
          <w:sz w:val="15"/>
        </w:rPr>
        <w:t>(</w:t>
      </w:r>
      <w:r>
        <w:rPr>
          <w:rFonts w:ascii="Arial" w:hAnsi="Arial"/>
          <w:w w:val="110"/>
          <w:sz w:val="15"/>
        </w:rPr>
        <w:t>a</w:t>
      </w:r>
      <w:r>
        <w:rPr>
          <w:rFonts w:ascii="Arial" w:hAnsi="Arial"/>
          <w:w w:val="110"/>
          <w:sz w:val="15"/>
        </w:rPr>
        <w:t>)</w:t>
      </w:r>
      <w:r>
        <w:rPr>
          <w:rFonts w:ascii="Arial" w:hAnsi="Arial"/>
          <w:sz w:val="15"/>
        </w:rPr>
        <w:t> </w:t>
      </w:r>
      <w:r>
        <w:rPr>
          <w:rFonts w:ascii="Arial" w:hAnsi="Arial"/>
          <w:spacing w:val="19"/>
          <w:sz w:val="15"/>
        </w:rPr>
        <w:t> </w:t>
      </w:r>
      <w:r>
        <w:rPr>
          <w:rFonts w:ascii="Arial" w:hAnsi="Arial"/>
          <w:spacing w:val="-27"/>
          <w:w w:val="201"/>
          <w:sz w:val="15"/>
        </w:rPr>
        <w:t>,</w:t>
      </w:r>
      <w:r>
        <w:rPr>
          <w:w w:val="93"/>
          <w:sz w:val="18"/>
        </w:rPr>
        <w:t>V</w:t>
      </w:r>
      <w:r>
        <w:rPr>
          <w:spacing w:val="1"/>
          <w:w w:val="93"/>
          <w:sz w:val="18"/>
        </w:rPr>
        <w:t>!</w:t>
      </w:r>
      <w:r>
        <w:rPr>
          <w:spacing w:val="-35"/>
          <w:w w:val="148"/>
          <w:sz w:val="18"/>
        </w:rPr>
        <w:t>;</w:t>
      </w:r>
      <w:r>
        <w:rPr>
          <w:w w:val="118"/>
          <w:sz w:val="18"/>
        </w:rPr>
        <w:t>;¡</w:t>
      </w:r>
      <w:r>
        <w:rPr>
          <w:spacing w:val="-3"/>
          <w:sz w:val="18"/>
        </w:rPr>
        <w:t> </w:t>
      </w:r>
      <w:r>
        <w:rPr>
          <w:w w:val="94"/>
          <w:sz w:val="18"/>
        </w:rPr>
        <w:t>,</w:t>
      </w:r>
    </w:p>
    <w:p>
      <w:pPr>
        <w:spacing w:before="56"/>
        <w:ind w:left="472" w:right="0" w:firstLine="0"/>
        <w:jc w:val="left"/>
        <w:rPr>
          <w:rFonts w:ascii="Arial"/>
          <w:i/>
          <w:sz w:val="17"/>
        </w:rPr>
      </w:pPr>
      <w:r>
        <w:rPr>
          <w:rFonts w:ascii="Arial"/>
          <w:w w:val="114"/>
          <w:sz w:val="15"/>
        </w:rPr>
        <w:t>(</w:t>
      </w:r>
      <w:r>
        <w:rPr>
          <w:rFonts w:ascii="Arial"/>
          <w:w w:val="114"/>
          <w:sz w:val="15"/>
        </w:rPr>
        <w:t>b</w:t>
      </w:r>
      <w:r>
        <w:rPr>
          <w:rFonts w:ascii="Arial"/>
          <w:w w:val="114"/>
          <w:sz w:val="15"/>
        </w:rPr>
        <w:t>)</w:t>
      </w:r>
      <w:r>
        <w:rPr>
          <w:rFonts w:ascii="Arial"/>
          <w:sz w:val="15"/>
        </w:rPr>
        <w:t> </w:t>
      </w:r>
      <w:r>
        <w:rPr>
          <w:rFonts w:ascii="Arial"/>
          <w:spacing w:val="-7"/>
          <w:sz w:val="15"/>
        </w:rPr>
        <w:t> </w:t>
      </w:r>
      <w:r>
        <w:rPr>
          <w:spacing w:val="-87"/>
          <w:w w:val="186"/>
          <w:sz w:val="26"/>
        </w:rPr>
        <w:t>!</w:t>
      </w:r>
      <w:r>
        <w:rPr>
          <w:w w:val="64"/>
          <w:sz w:val="26"/>
        </w:rPr>
        <w:t>Vl"''</w:t>
      </w:r>
      <w:r>
        <w:rPr>
          <w:spacing w:val="17"/>
          <w:sz w:val="26"/>
        </w:rPr>
        <w:t> </w:t>
      </w:r>
      <w:r>
        <w:rPr>
          <w:w w:val="107"/>
          <w:sz w:val="17"/>
        </w:rPr>
        <w:t>for</w:t>
      </w:r>
      <w:r>
        <w:rPr>
          <w:sz w:val="17"/>
        </w:rPr>
        <w:t> </w:t>
      </w:r>
      <w:r>
        <w:rPr>
          <w:spacing w:val="-15"/>
          <w:sz w:val="17"/>
        </w:rPr>
        <w:t> </w:t>
      </w:r>
      <w:r>
        <w:rPr>
          <w:i/>
          <w:w w:val="90"/>
          <w:sz w:val="18"/>
        </w:rPr>
        <w:t>t</w:t>
      </w:r>
      <w:r>
        <w:rPr>
          <w:i/>
          <w:sz w:val="18"/>
        </w:rPr>
        <w:t> </w:t>
      </w:r>
      <w:r>
        <w:rPr>
          <w:i/>
          <w:spacing w:val="-3"/>
          <w:sz w:val="18"/>
        </w:rPr>
        <w:t> </w:t>
      </w:r>
      <w:r>
        <w:rPr>
          <w:w w:val="103"/>
          <w:sz w:val="20"/>
        </w:rPr>
        <w:t>&lt;</w:t>
      </w:r>
      <w:r>
        <w:rPr>
          <w:sz w:val="20"/>
        </w:rPr>
        <w:t> </w:t>
      </w:r>
      <w:r>
        <w:rPr>
          <w:spacing w:val="-12"/>
          <w:sz w:val="20"/>
        </w:rPr>
        <w:t> </w:t>
      </w:r>
      <w:r>
        <w:rPr>
          <w:rFonts w:ascii="Arial"/>
          <w:i/>
          <w:w w:val="112"/>
          <w:sz w:val="17"/>
        </w:rPr>
        <w:t>k,</w:t>
      </w:r>
    </w:p>
    <w:p>
      <w:pPr>
        <w:spacing w:line="145" w:lineRule="exact" w:before="112"/>
        <w:ind w:left="980" w:right="0" w:firstLine="0"/>
        <w:jc w:val="left"/>
        <w:rPr>
          <w:sz w:val="14"/>
        </w:rPr>
      </w:pPr>
      <w:r>
        <w:rPr>
          <w:w w:val="90"/>
          <w:sz w:val="14"/>
        </w:rPr>
        <w:t>lni l</w:t>
      </w:r>
    </w:p>
    <w:p>
      <w:pPr>
        <w:spacing w:line="191" w:lineRule="exact" w:before="0"/>
        <w:ind w:left="472" w:right="0" w:firstLine="0"/>
        <w:jc w:val="left"/>
        <w:rPr>
          <w:i/>
          <w:sz w:val="18"/>
        </w:rPr>
      </w:pPr>
      <w:r>
        <w:rPr>
          <w:w w:val="109"/>
          <w:sz w:val="16"/>
        </w:rPr>
        <w:t>(</w:t>
      </w:r>
      <w:r>
        <w:rPr>
          <w:w w:val="109"/>
          <w:sz w:val="16"/>
        </w:rPr>
        <w:t>e</w:t>
      </w:r>
      <w:r>
        <w:rPr>
          <w:w w:val="109"/>
          <w:sz w:val="16"/>
        </w:rPr>
        <w:t>)</w:t>
      </w:r>
      <w:r>
        <w:rPr>
          <w:sz w:val="16"/>
        </w:rPr>
        <w:t>  </w:t>
      </w:r>
      <w:r>
        <w:rPr>
          <w:spacing w:val="-13"/>
          <w:sz w:val="16"/>
        </w:rPr>
        <w:t> </w:t>
      </w:r>
      <w:r>
        <w:rPr>
          <w:i/>
          <w:spacing w:val="-5"/>
          <w:w w:val="138"/>
          <w:sz w:val="18"/>
        </w:rPr>
        <w:t>,</w:t>
      </w:r>
      <w:r>
        <w:rPr>
          <w:i/>
          <w:w w:val="149"/>
          <w:sz w:val="18"/>
        </w:rPr>
        <w:t>V</w:t>
      </w:r>
      <w:r>
        <w:rPr>
          <w:i/>
          <w:spacing w:val="-59"/>
          <w:w w:val="150"/>
          <w:sz w:val="18"/>
        </w:rPr>
        <w:t>¿</w:t>
      </w:r>
      <w:r>
        <w:rPr>
          <w:i/>
          <w:spacing w:val="-23"/>
          <w:w w:val="151"/>
          <w:sz w:val="18"/>
        </w:rPr>
        <w:t>;</w:t>
      </w:r>
      <w:r>
        <w:rPr>
          <w:i/>
          <w:w w:val="63"/>
          <w:sz w:val="18"/>
        </w:rPr>
        <w:t>¡</w:t>
      </w:r>
      <w:r>
        <w:rPr>
          <w:i/>
          <w:spacing w:val="14"/>
          <w:sz w:val="18"/>
        </w:rPr>
        <w:t> </w:t>
      </w:r>
      <w:r>
        <w:rPr>
          <w:i/>
          <w:w w:val="110"/>
          <w:sz w:val="18"/>
        </w:rPr>
        <w:t>,</w:t>
      </w:r>
    </w:p>
    <w:p>
      <w:pPr>
        <w:pStyle w:val="BodyText"/>
        <w:spacing w:before="4"/>
        <w:rPr>
          <w:i/>
          <w:sz w:val="15"/>
        </w:rPr>
      </w:pPr>
    </w:p>
    <w:p>
      <w:pPr>
        <w:spacing w:before="0"/>
        <w:ind w:left="472" w:right="0" w:firstLine="0"/>
        <w:jc w:val="left"/>
        <w:rPr>
          <w:sz w:val="17"/>
        </w:rPr>
      </w:pPr>
      <w:r>
        <w:rPr>
          <w:rFonts w:ascii="Arial"/>
          <w:w w:val="90"/>
          <w:sz w:val="16"/>
        </w:rPr>
        <w:t>(&lt;l) </w:t>
      </w:r>
      <w:r>
        <w:rPr>
          <w:w w:val="90"/>
          <w:sz w:val="17"/>
        </w:rPr>
        <w:t>c'Vz:-;;J .</w:t>
      </w:r>
    </w:p>
    <w:p>
      <w:pPr>
        <w:pStyle w:val="BodyText"/>
        <w:spacing w:before="7"/>
        <w:rPr>
          <w:sz w:val="13"/>
        </w:rPr>
      </w:pPr>
    </w:p>
    <w:p>
      <w:pPr>
        <w:pStyle w:val="ListParagraph"/>
        <w:numPr>
          <w:ilvl w:val="0"/>
          <w:numId w:val="54"/>
        </w:numPr>
        <w:tabs>
          <w:tab w:pos="361" w:val="left" w:leader="none"/>
        </w:tabs>
        <w:spacing w:line="240" w:lineRule="auto" w:before="1" w:after="0"/>
        <w:ind w:left="360" w:right="0" w:hanging="226"/>
        <w:jc w:val="left"/>
        <w:rPr>
          <w:b/>
          <w:sz w:val="16"/>
        </w:rPr>
      </w:pPr>
      <w:r>
        <w:rPr>
          <w:b/>
          <w:w w:val="125"/>
          <w:sz w:val="16"/>
        </w:rPr>
        <w:t>Reserves at fractional</w:t>
      </w:r>
      <w:r>
        <w:rPr>
          <w:b/>
          <w:spacing w:val="11"/>
          <w:w w:val="125"/>
          <w:sz w:val="16"/>
        </w:rPr>
        <w:t> </w:t>
      </w:r>
      <w:r>
        <w:rPr>
          <w:b/>
          <w:w w:val="125"/>
          <w:sz w:val="16"/>
        </w:rPr>
        <w:t>durations</w:t>
      </w:r>
    </w:p>
    <w:p>
      <w:pPr>
        <w:pStyle w:val="ListParagraph"/>
        <w:numPr>
          <w:ilvl w:val="1"/>
          <w:numId w:val="54"/>
        </w:numPr>
        <w:tabs>
          <w:tab w:pos="581" w:val="left" w:leader="none"/>
        </w:tabs>
        <w:spacing w:line="252" w:lineRule="auto" w:before="78" w:after="0"/>
        <w:ind w:left="134" w:right="179" w:firstLine="165"/>
        <w:jc w:val="left"/>
        <w:rPr>
          <w:sz w:val="16"/>
        </w:rPr>
      </w:pPr>
      <w:r>
        <w:rPr>
          <w:w w:val="110"/>
          <w:sz w:val="17"/>
        </w:rPr>
        <w:t>Write the expressions you  would  use  in  obtaining  approxima.tions to  the</w:t>
      </w:r>
      <w:r>
        <w:rPr>
          <w:spacing w:val="2"/>
          <w:w w:val="110"/>
          <w:sz w:val="17"/>
        </w:rPr>
        <w:t> </w:t>
      </w:r>
      <w:r>
        <w:rPr>
          <w:w w:val="110"/>
          <w:sz w:val="17"/>
        </w:rPr>
        <w:t>following:</w:t>
      </w:r>
    </w:p>
    <w:p>
      <w:pPr>
        <w:spacing w:line="418" w:lineRule="exact" w:before="0"/>
        <w:ind w:left="458" w:right="0" w:firstLine="0"/>
        <w:jc w:val="left"/>
        <w:rPr>
          <w:rFonts w:ascii="Arial"/>
          <w:sz w:val="13"/>
        </w:rPr>
      </w:pPr>
      <w:r>
        <w:rPr>
          <w:rFonts w:ascii="Arial"/>
          <w:w w:val="112"/>
          <w:sz w:val="15"/>
        </w:rPr>
        <w:t>(</w:t>
      </w:r>
      <w:r>
        <w:rPr>
          <w:rFonts w:ascii="Arial"/>
          <w:w w:val="112"/>
          <w:sz w:val="15"/>
        </w:rPr>
        <w:t>a</w:t>
      </w:r>
      <w:r>
        <w:rPr>
          <w:rFonts w:ascii="Arial"/>
          <w:w w:val="112"/>
          <w:sz w:val="15"/>
        </w:rPr>
        <w:t>)</w:t>
      </w:r>
      <w:r>
        <w:rPr>
          <w:rFonts w:ascii="Arial"/>
          <w:sz w:val="15"/>
        </w:rPr>
        <w:t> </w:t>
      </w:r>
      <w:r>
        <w:rPr>
          <w:rFonts w:ascii="Arial"/>
          <w:spacing w:val="4"/>
          <w:sz w:val="15"/>
        </w:rPr>
        <w:t> </w:t>
      </w:r>
      <w:r>
        <w:rPr>
          <w:rFonts w:ascii="Arial"/>
          <w:spacing w:val="-16"/>
          <w:w w:val="314"/>
          <w:sz w:val="15"/>
        </w:rPr>
        <w:t>,</w:t>
      </w:r>
      <w:r>
        <w:rPr>
          <w:spacing w:val="13"/>
          <w:w w:val="98"/>
          <w:sz w:val="40"/>
        </w:rPr>
        <w:t>.</w:t>
      </w:r>
      <w:r>
        <w:rPr>
          <w:w w:val="68"/>
          <w:sz w:val="40"/>
        </w:rPr>
        <w:t>:</w:t>
      </w:r>
      <w:r>
        <w:rPr>
          <w:spacing w:val="12"/>
          <w:w w:val="68"/>
          <w:sz w:val="40"/>
        </w:rPr>
        <w:t>v</w:t>
      </w:r>
      <w:r>
        <w:rPr>
          <w:rFonts w:ascii="Arial"/>
          <w:w w:val="120"/>
          <w:sz w:val="13"/>
        </w:rPr>
        <w:t>101</w:t>
      </w:r>
    </w:p>
    <w:p>
      <w:pPr>
        <w:spacing w:before="28"/>
        <w:ind w:left="450" w:right="0" w:firstLine="0"/>
        <w:jc w:val="left"/>
        <w:rPr>
          <w:sz w:val="27"/>
        </w:rPr>
      </w:pPr>
      <w:r>
        <w:rPr>
          <w:w w:val="55"/>
          <w:sz w:val="21"/>
        </w:rPr>
        <w:t>Cb&gt;</w:t>
      </w:r>
      <w:r>
        <w:rPr>
          <w:sz w:val="21"/>
        </w:rPr>
        <w:t> </w:t>
      </w:r>
      <w:r>
        <w:rPr>
          <w:spacing w:val="-6"/>
          <w:sz w:val="21"/>
        </w:rPr>
        <w:t> </w:t>
      </w:r>
      <w:r>
        <w:rPr>
          <w:w w:val="151"/>
          <w:sz w:val="21"/>
        </w:rPr>
        <w:t>,</w:t>
      </w:r>
      <w:r>
        <w:rPr>
          <w:spacing w:val="-10"/>
          <w:sz w:val="21"/>
        </w:rPr>
        <w:t> </w:t>
      </w:r>
      <w:r>
        <w:rPr>
          <w:spacing w:val="-33"/>
          <w:w w:val="134"/>
          <w:sz w:val="27"/>
        </w:rPr>
        <w:t>.</w:t>
      </w:r>
      <w:r>
        <w:rPr>
          <w:spacing w:val="-71"/>
          <w:w w:val="142"/>
          <w:sz w:val="27"/>
        </w:rPr>
        <w:t>!</w:t>
      </w:r>
      <w:r>
        <w:rPr>
          <w:spacing w:val="-51"/>
          <w:w w:val="168"/>
          <w:sz w:val="27"/>
        </w:rPr>
        <w:t>:</w:t>
      </w:r>
      <w:r>
        <w:rPr>
          <w:w w:val="89"/>
          <w:sz w:val="27"/>
        </w:rPr>
        <w:t>v</w:t>
      </w:r>
      <w:r>
        <w:rPr>
          <w:spacing w:val="-8"/>
          <w:sz w:val="27"/>
        </w:rPr>
        <w:t> </w:t>
      </w:r>
      <w:r>
        <w:rPr>
          <w:spacing w:val="-34"/>
          <w:w w:val="88"/>
          <w:sz w:val="27"/>
        </w:rPr>
        <w:t>!</w:t>
      </w:r>
      <w:r>
        <w:rPr>
          <w:spacing w:val="-123"/>
          <w:w w:val="203"/>
          <w:sz w:val="27"/>
        </w:rPr>
        <w:t>!</w:t>
      </w:r>
      <w:r>
        <w:rPr>
          <w:w w:val="49"/>
          <w:sz w:val="27"/>
        </w:rPr>
        <w:t>1</w:t>
      </w:r>
    </w:p>
    <w:p>
      <w:pPr>
        <w:spacing w:after="0"/>
        <w:jc w:val="left"/>
        <w:rPr>
          <w:sz w:val="27"/>
        </w:rPr>
        <w:sectPr>
          <w:pgSz w:w="7200" w:h="11340"/>
          <w:pgMar w:top="520" w:bottom="280" w:left="640" w:right="500"/>
        </w:sectPr>
      </w:pPr>
    </w:p>
    <w:p>
      <w:pPr>
        <w:spacing w:before="116"/>
        <w:ind w:left="458" w:right="0" w:firstLine="0"/>
        <w:jc w:val="left"/>
        <w:rPr>
          <w:sz w:val="10"/>
        </w:rPr>
      </w:pPr>
      <w:r>
        <w:rPr>
          <w:w w:val="120"/>
          <w:sz w:val="16"/>
        </w:rPr>
        <w:t>(</w:t>
      </w:r>
      <w:r>
        <w:rPr>
          <w:w w:val="120"/>
          <w:position w:val="-3"/>
          <w:sz w:val="11"/>
        </w:rPr>
        <w:t>C</w:t>
      </w:r>
      <w:r>
        <w:rPr>
          <w:w w:val="120"/>
          <w:sz w:val="16"/>
        </w:rPr>
        <w:t>) </w:t>
      </w:r>
      <w:r>
        <w:rPr>
          <w:w w:val="180"/>
          <w:position w:val="-3"/>
          <w:sz w:val="10"/>
        </w:rPr>
        <w:t>i</w:t>
      </w:r>
    </w:p>
    <w:p>
      <w:pPr>
        <w:spacing w:line="169" w:lineRule="exact" w:before="48"/>
        <w:ind w:left="86" w:right="0" w:firstLine="0"/>
        <w:jc w:val="left"/>
        <w:rPr>
          <w:sz w:val="16"/>
        </w:rPr>
      </w:pPr>
      <w:r>
        <w:rPr/>
        <w:br w:type="column"/>
      </w:r>
      <w:r>
        <w:rPr>
          <w:sz w:val="16"/>
        </w:rPr>
        <w:t>10 </w:t>
      </w:r>
      <w:r>
        <w:rPr>
          <w:w w:val="105"/>
          <w:sz w:val="16"/>
        </w:rPr>
        <w:t>yltl</w:t>
      </w:r>
    </w:p>
    <w:p>
      <w:pPr>
        <w:spacing w:line="112" w:lineRule="exact" w:before="0"/>
        <w:ind w:left="32" w:right="0" w:firstLine="0"/>
        <w:jc w:val="left"/>
        <w:rPr>
          <w:sz w:val="11"/>
        </w:rPr>
      </w:pPr>
      <w:r>
        <w:rPr>
          <w:w w:val="130"/>
          <w:sz w:val="10"/>
        </w:rPr>
        <w:t>l/C    </w:t>
      </w:r>
      <w:r>
        <w:rPr>
          <w:w w:val="130"/>
          <w:sz w:val="11"/>
        </w:rPr>
        <w:t>(401</w:t>
      </w:r>
    </w:p>
    <w:p>
      <w:pPr>
        <w:spacing w:after="0" w:line="112" w:lineRule="exact"/>
        <w:jc w:val="left"/>
        <w:rPr>
          <w:sz w:val="11"/>
        </w:rPr>
        <w:sectPr>
          <w:type w:val="continuous"/>
          <w:pgSz w:w="7200" w:h="11340"/>
          <w:pgMar w:top="1100" w:bottom="0" w:left="640" w:right="500"/>
          <w:cols w:num="2" w:equalWidth="0">
            <w:col w:w="815" w:space="40"/>
            <w:col w:w="5205"/>
          </w:cols>
        </w:sectPr>
      </w:pPr>
    </w:p>
    <w:p>
      <w:pPr>
        <w:pStyle w:val="ListParagraph"/>
        <w:numPr>
          <w:ilvl w:val="1"/>
          <w:numId w:val="54"/>
        </w:numPr>
        <w:tabs>
          <w:tab w:pos="570" w:val="left" w:leader="none"/>
        </w:tabs>
        <w:spacing w:line="194" w:lineRule="exact" w:before="134" w:after="0"/>
        <w:ind w:left="569" w:right="0" w:hanging="281"/>
        <w:jc w:val="center"/>
        <w:rPr>
          <w:sz w:val="17"/>
        </w:rPr>
      </w:pPr>
      <w:r>
        <w:rPr>
          <w:w w:val="115"/>
          <w:sz w:val="17"/>
        </w:rPr>
        <w:t>On February l, </w:t>
      </w:r>
      <w:r>
        <w:rPr>
          <w:spacing w:val="-12"/>
          <w:w w:val="115"/>
          <w:sz w:val="17"/>
        </w:rPr>
        <w:t>1922, </w:t>
      </w:r>
      <w:r>
        <w:rPr>
          <w:w w:val="115"/>
          <w:sz w:val="17"/>
        </w:rPr>
        <w:t>a </w:t>
      </w:r>
      <w:r>
        <w:rPr>
          <w:spacing w:val="-14"/>
          <w:w w:val="115"/>
          <w:sz w:val="17"/>
        </w:rPr>
        <w:t>$1000 </w:t>
      </w:r>
      <w:r>
        <w:rPr>
          <w:w w:val="115"/>
          <w:sz w:val="17"/>
        </w:rPr>
        <w:t>ordinary life policy was i88ued</w:t>
      </w:r>
      <w:r>
        <w:rPr>
          <w:spacing w:val="46"/>
          <w:w w:val="115"/>
          <w:sz w:val="17"/>
        </w:rPr>
        <w:t> </w:t>
      </w:r>
      <w:r>
        <w:rPr>
          <w:w w:val="115"/>
          <w:sz w:val="17"/>
        </w:rPr>
        <w:t>eubject</w:t>
      </w:r>
    </w:p>
    <w:p>
      <w:pPr>
        <w:spacing w:line="205" w:lineRule="exact" w:before="0"/>
        <w:ind w:left="2" w:right="45" w:firstLine="0"/>
        <w:jc w:val="center"/>
        <w:rPr>
          <w:sz w:val="17"/>
        </w:rPr>
      </w:pPr>
      <w:r>
        <w:rPr>
          <w:w w:val="110"/>
          <w:sz w:val="18"/>
        </w:rPr>
        <w:t>to </w:t>
      </w:r>
      <w:r>
        <w:rPr>
          <w:w w:val="110"/>
          <w:sz w:val="17"/>
        </w:rPr>
        <w:t>true  net  monthly-premiums  </w:t>
      </w:r>
      <w:r>
        <w:rPr>
          <w:w w:val="110"/>
          <w:sz w:val="14"/>
        </w:rPr>
        <w:t>·OÍ </w:t>
      </w:r>
      <w:r>
        <w:rPr>
          <w:w w:val="110"/>
          <w:sz w:val="18"/>
        </w:rPr>
        <w:t>Sl.80 </w:t>
      </w:r>
      <w:r>
        <w:rPr>
          <w:w w:val="110"/>
          <w:sz w:val="17"/>
        </w:rPr>
        <w:t>each.  </w:t>
      </w:r>
      <w:r>
        <w:rPr>
          <w:w w:val="110"/>
          <w:sz w:val="18"/>
        </w:rPr>
        <w:t>lf  the  </w:t>
      </w:r>
      <w:r>
        <w:rPr>
          <w:w w:val="110"/>
          <w:sz w:val="17"/>
        </w:rPr>
        <w:t>reserve  on the corre-</w:t>
      </w:r>
    </w:p>
    <w:p>
      <w:pPr>
        <w:spacing w:after="0" w:line="205" w:lineRule="exact"/>
        <w:jc w:val="center"/>
        <w:rPr>
          <w:sz w:val="17"/>
        </w:rPr>
        <w:sectPr>
          <w:type w:val="continuous"/>
          <w:pgSz w:w="7200" w:h="11340"/>
          <w:pgMar w:top="1100" w:bottom="0" w:left="640" w:right="500"/>
        </w:sectPr>
      </w:pPr>
    </w:p>
    <w:p>
      <w:pPr>
        <w:tabs>
          <w:tab w:pos="1649" w:val="left" w:leader="none"/>
          <w:tab w:pos="5418" w:val="left" w:leader="none"/>
        </w:tabs>
        <w:spacing w:before="51"/>
        <w:ind w:left="144" w:right="0" w:firstLine="36"/>
        <w:jc w:val="both"/>
        <w:rPr>
          <w:rFonts w:ascii="Arial"/>
          <w:sz w:val="18"/>
        </w:rPr>
      </w:pPr>
      <w:r>
        <w:rPr>
          <w:spacing w:val="-16"/>
          <w:w w:val="110"/>
          <w:sz w:val="20"/>
        </w:rPr>
        <w:t>128</w:t>
        <w:tab/>
      </w:r>
      <w:r>
        <w:rPr>
          <w:w w:val="110"/>
          <w:position w:val="1"/>
          <w:sz w:val="15"/>
        </w:rPr>
        <w:t>NET   LEVEL </w:t>
      </w:r>
      <w:r>
        <w:rPr>
          <w:spacing w:val="41"/>
          <w:w w:val="110"/>
          <w:position w:val="1"/>
          <w:sz w:val="15"/>
        </w:rPr>
        <w:t> </w:t>
      </w:r>
      <w:r>
        <w:rPr>
          <w:rFonts w:ascii="Arial"/>
          <w:b/>
          <w:w w:val="110"/>
          <w:position w:val="1"/>
          <w:sz w:val="14"/>
        </w:rPr>
        <w:t>PREMIUM </w:t>
      </w:r>
      <w:r>
        <w:rPr>
          <w:rFonts w:ascii="Arial"/>
          <w:b/>
          <w:spacing w:val="12"/>
          <w:w w:val="110"/>
          <w:position w:val="1"/>
          <w:sz w:val="14"/>
        </w:rPr>
        <w:t> </w:t>
      </w:r>
      <w:r>
        <w:rPr>
          <w:w w:val="110"/>
          <w:position w:val="1"/>
          <w:sz w:val="15"/>
        </w:rPr>
        <w:t>RESERVES</w:t>
        <w:tab/>
      </w:r>
      <w:r>
        <w:rPr>
          <w:w w:val="105"/>
          <w:sz w:val="16"/>
        </w:rPr>
        <w:t>{CH.</w:t>
      </w:r>
      <w:r>
        <w:rPr>
          <w:spacing w:val="-10"/>
          <w:w w:val="105"/>
          <w:sz w:val="16"/>
        </w:rPr>
        <w:t> </w:t>
      </w:r>
      <w:r>
        <w:rPr>
          <w:rFonts w:ascii="Arial"/>
          <w:w w:val="105"/>
          <w:sz w:val="18"/>
        </w:rPr>
        <w:t>5</w:t>
      </w:r>
    </w:p>
    <w:p>
      <w:pPr>
        <w:pStyle w:val="BodyText"/>
        <w:spacing w:before="7"/>
        <w:rPr>
          <w:rFonts w:ascii="Arial"/>
        </w:rPr>
      </w:pPr>
    </w:p>
    <w:p>
      <w:pPr>
        <w:spacing w:line="244" w:lineRule="auto" w:before="0"/>
        <w:ind w:left="137" w:right="153" w:firstLine="7"/>
        <w:jc w:val="both"/>
        <w:rPr>
          <w:sz w:val="17"/>
        </w:rPr>
      </w:pPr>
      <w:r>
        <w:rPr>
          <w:w w:val="110"/>
          <w:sz w:val="17"/>
        </w:rPr>
        <w:t>sponding annual premium policy would have been $240 on January </w:t>
      </w:r>
      <w:r>
        <w:rPr>
          <w:spacing w:val="-4"/>
          <w:w w:val="110"/>
          <w:sz w:val="17"/>
        </w:rPr>
        <w:t>31, </w:t>
      </w:r>
      <w:r>
        <w:rPr>
          <w:spacing w:val="-10"/>
          <w:w w:val="110"/>
          <w:sz w:val="17"/>
        </w:rPr>
        <w:t>1936, </w:t>
      </w:r>
      <w:r>
        <w:rPr>
          <w:w w:val="110"/>
          <w:sz w:val="17"/>
        </w:rPr>
        <w:t>and </w:t>
      </w:r>
      <w:r>
        <w:rPr>
          <w:rFonts w:ascii="Arial"/>
          <w:w w:val="110"/>
          <w:sz w:val="15"/>
        </w:rPr>
        <w:t>$260 </w:t>
      </w:r>
      <w:r>
        <w:rPr>
          <w:w w:val="110"/>
          <w:sz w:val="17"/>
        </w:rPr>
        <w:t>on </w:t>
      </w:r>
      <w:r>
        <w:rPr>
          <w:rFonts w:ascii="Arial"/>
          <w:w w:val="110"/>
          <w:sz w:val="16"/>
        </w:rPr>
        <w:t>J</w:t>
      </w:r>
      <w:r>
        <w:rPr>
          <w:w w:val="110"/>
          <w:sz w:val="17"/>
        </w:rPr>
        <w:t>anu.ary </w:t>
      </w:r>
      <w:r>
        <w:rPr>
          <w:spacing w:val="-3"/>
          <w:w w:val="110"/>
          <w:sz w:val="17"/>
        </w:rPr>
        <w:t>31, </w:t>
      </w:r>
      <w:r>
        <w:rPr>
          <w:spacing w:val="-10"/>
          <w:w w:val="110"/>
          <w:sz w:val="17"/>
        </w:rPr>
        <w:t>1937, </w:t>
      </w:r>
      <w:r>
        <w:rPr>
          <w:w w:val="110"/>
          <w:sz w:val="17"/>
        </w:rPr>
        <w:t>compute an approximate value for the reserve on  tbe  monthly  premium  policy  on  January  </w:t>
      </w:r>
      <w:r>
        <w:rPr>
          <w:spacing w:val="-17"/>
          <w:w w:val="110"/>
          <w:sz w:val="17"/>
        </w:rPr>
        <w:t>31,  </w:t>
      </w:r>
      <w:r>
        <w:rPr>
          <w:spacing w:val="-8"/>
          <w:w w:val="110"/>
          <w:sz w:val="17"/>
        </w:rPr>
        <w:t>1936;  </w:t>
      </w:r>
      <w:r>
        <w:rPr>
          <w:w w:val="110"/>
          <w:sz w:val="17"/>
        </w:rPr>
        <w:t>January  </w:t>
      </w:r>
      <w:r>
        <w:rPr>
          <w:spacing w:val="-17"/>
          <w:w w:val="110"/>
          <w:sz w:val="17"/>
        </w:rPr>
        <w:t>31,      </w:t>
      </w:r>
      <w:r>
        <w:rPr>
          <w:spacing w:val="-10"/>
          <w:w w:val="110"/>
          <w:sz w:val="17"/>
        </w:rPr>
        <w:t>1937;</w:t>
      </w:r>
    </w:p>
    <w:p>
      <w:pPr>
        <w:spacing w:line="193" w:lineRule="exact" w:before="1"/>
        <w:ind w:left="137" w:right="0" w:firstLine="0"/>
        <w:jc w:val="both"/>
        <w:rPr>
          <w:sz w:val="17"/>
        </w:rPr>
      </w:pPr>
      <w:r>
        <w:rPr>
          <w:w w:val="110"/>
          <w:sz w:val="17"/>
        </w:rPr>
        <w:t>September 30, 1936; and October </w:t>
      </w:r>
      <w:r>
        <w:rPr>
          <w:rFonts w:ascii="Arial"/>
          <w:i/>
          <w:w w:val="110"/>
          <w:sz w:val="17"/>
        </w:rPr>
        <w:t>20, </w:t>
      </w:r>
      <w:r>
        <w:rPr>
          <w:w w:val="110"/>
          <w:sz w:val="17"/>
        </w:rPr>
        <w:t>1936.</w:t>
      </w:r>
    </w:p>
    <w:p>
      <w:pPr>
        <w:spacing w:line="204" w:lineRule="exact" w:before="0"/>
        <w:ind w:left="292" w:right="0" w:firstLine="0"/>
        <w:jc w:val="left"/>
        <w:rPr>
          <w:sz w:val="17"/>
        </w:rPr>
      </w:pPr>
      <w:r>
        <w:rPr>
          <w:i/>
          <w:w w:val="110"/>
          <w:sz w:val="17"/>
        </w:rPr>
        <w:t>20.  </w:t>
      </w:r>
      <w:r>
        <w:rPr>
          <w:rFonts w:ascii="Arial"/>
          <w:w w:val="110"/>
          <w:sz w:val="17"/>
        </w:rPr>
        <w:t>Verify </w:t>
      </w:r>
      <w:r>
        <w:rPr>
          <w:w w:val="110"/>
          <w:sz w:val="18"/>
        </w:rPr>
        <w:t>the </w:t>
      </w:r>
      <w:r>
        <w:rPr>
          <w:w w:val="110"/>
          <w:sz w:val="17"/>
        </w:rPr>
        <w:t>following formula for computing  mean  reserves:</w:t>
      </w:r>
    </w:p>
    <w:p>
      <w:pPr>
        <w:tabs>
          <w:tab w:pos="737" w:val="left" w:leader="none"/>
        </w:tabs>
        <w:spacing w:before="36"/>
        <w:ind w:left="0" w:right="5" w:firstLine="0"/>
        <w:jc w:val="center"/>
        <w:rPr>
          <w:rFonts w:ascii="Arial" w:hAnsi="Arial"/>
          <w:i/>
          <w:sz w:val="19"/>
        </w:rPr>
      </w:pPr>
      <w:r>
        <w:rPr>
          <w:i/>
          <w:spacing w:val="-4"/>
          <w:w w:val="105"/>
          <w:sz w:val="27"/>
        </w:rPr>
        <w:t>.,v•.</w:t>
      </w:r>
      <w:r>
        <w:rPr>
          <w:i/>
          <w:spacing w:val="-4"/>
          <w:w w:val="105"/>
          <w:sz w:val="19"/>
        </w:rPr>
        <w:t>p.</w:t>
        <w:tab/>
      </w:r>
      <w:r>
        <w:rPr>
          <w:rFonts w:ascii="Arial" w:hAnsi="Arial"/>
          <w:w w:val="105"/>
          <w:sz w:val="25"/>
        </w:rPr>
        <w:t>+ </w:t>
      </w:r>
      <w:r>
        <w:rPr>
          <w:spacing w:val="-14"/>
          <w:w w:val="105"/>
          <w:sz w:val="18"/>
        </w:rPr>
        <w:t>1000 </w:t>
      </w:r>
      <w:r>
        <w:rPr>
          <w:rFonts w:ascii="Arial" w:hAnsi="Arial"/>
          <w:i/>
          <w:spacing w:val="-7"/>
          <w:w w:val="105"/>
          <w:sz w:val="19"/>
        </w:rPr>
        <w:t>Q.+r</w:t>
      </w:r>
      <w:r>
        <w:rPr>
          <w:rFonts w:ascii="Arial" w:hAnsi="Arial"/>
          <w:i/>
          <w:spacing w:val="-32"/>
          <w:w w:val="105"/>
          <w:sz w:val="19"/>
        </w:rPr>
        <w:t> </w:t>
      </w:r>
      <w:r>
        <w:rPr>
          <w:rFonts w:ascii="Arial" w:hAnsi="Arial"/>
          <w:i/>
          <w:w w:val="105"/>
          <w:sz w:val="19"/>
        </w:rPr>
        <w:t>,</w:t>
      </w:r>
    </w:p>
    <w:p>
      <w:pPr>
        <w:spacing w:before="86"/>
        <w:ind w:left="126" w:right="0" w:firstLine="0"/>
        <w:jc w:val="both"/>
        <w:rPr>
          <w:sz w:val="17"/>
        </w:rPr>
      </w:pPr>
      <w:r>
        <w:rPr>
          <w:w w:val="115"/>
          <w:sz w:val="17"/>
        </w:rPr>
        <w:t>where </w:t>
      </w:r>
      <w:r>
        <w:rPr>
          <w:i/>
          <w:w w:val="115"/>
          <w:sz w:val="17"/>
        </w:rPr>
        <w:t>rV. </w:t>
      </w:r>
      <w:r>
        <w:rPr>
          <w:w w:val="115"/>
          <w:sz w:val="17"/>
        </w:rPr>
        <w:t>ie </w:t>
      </w:r>
      <w:r>
        <w:rPr>
          <w:w w:val="115"/>
          <w:sz w:val="18"/>
        </w:rPr>
        <w:t>the </w:t>
      </w:r>
      <w:r>
        <w:rPr>
          <w:w w:val="115"/>
          <w:sz w:val="17"/>
        </w:rPr>
        <w:t>r-th year terminal reserve  for insurance </w:t>
      </w:r>
      <w:r>
        <w:rPr>
          <w:w w:val="115"/>
          <w:sz w:val="16"/>
        </w:rPr>
        <w:t>of   </w:t>
      </w:r>
      <w:r>
        <w:rPr>
          <w:w w:val="115"/>
          <w:sz w:val="17"/>
        </w:rPr>
        <w:t>$1(8),</w:t>
      </w:r>
    </w:p>
    <w:p>
      <w:pPr>
        <w:spacing w:before="59"/>
        <w:ind w:left="87" w:right="157" w:firstLine="0"/>
        <w:jc w:val="center"/>
        <w:rPr>
          <w:rFonts w:ascii="Arial" w:hAnsi="Arial"/>
          <w:sz w:val="26"/>
        </w:rPr>
      </w:pPr>
      <w:r>
        <w:rPr>
          <w:i/>
          <w:spacing w:val="12"/>
          <w:w w:val="106"/>
          <w:sz w:val="19"/>
        </w:rPr>
        <w:t>P</w:t>
      </w:r>
      <w:r>
        <w:rPr>
          <w:rFonts w:ascii="Arial" w:hAnsi="Arial"/>
          <w:i/>
          <w:w w:val="117"/>
          <w:sz w:val="14"/>
        </w:rPr>
        <w:t>•</w:t>
      </w:r>
      <w:r>
        <w:rPr>
          <w:rFonts w:ascii="Arial" w:hAnsi="Arial"/>
          <w:i/>
          <w:spacing w:val="-11"/>
          <w:w w:val="117"/>
          <w:sz w:val="14"/>
        </w:rPr>
        <w:t>+</w:t>
      </w:r>
      <w:r>
        <w:rPr>
          <w:rFonts w:ascii="Arial" w:hAnsi="Arial"/>
          <w:i/>
          <w:w w:val="102"/>
          <w:sz w:val="14"/>
        </w:rPr>
        <w:t>'I</w:t>
      </w:r>
      <w:r>
        <w:rPr>
          <w:rFonts w:ascii="Arial" w:hAnsi="Arial"/>
          <w:i/>
          <w:sz w:val="14"/>
        </w:rPr>
        <w:t> </w:t>
      </w:r>
      <w:r>
        <w:rPr>
          <w:rFonts w:ascii="Arial" w:hAnsi="Arial"/>
          <w:i/>
          <w:spacing w:val="-16"/>
          <w:sz w:val="14"/>
        </w:rPr>
        <w:t> </w:t>
      </w:r>
      <w:r>
        <w:rPr>
          <w:rFonts w:ascii="Arial" w:hAnsi="Arial"/>
          <w:w w:val="290"/>
          <w:sz w:val="14"/>
        </w:rPr>
        <w:t>-</w:t>
      </w:r>
      <w:r>
        <w:rPr>
          <w:rFonts w:ascii="Arial" w:hAnsi="Arial"/>
          <w:sz w:val="14"/>
        </w:rPr>
        <w:t> </w:t>
      </w:r>
      <w:r>
        <w:rPr>
          <w:rFonts w:ascii="Arial" w:hAnsi="Arial"/>
          <w:spacing w:val="-16"/>
          <w:sz w:val="14"/>
        </w:rPr>
        <w:t> </w:t>
      </w:r>
      <w:r>
        <w:rPr>
          <w:rFonts w:ascii="Arial" w:hAnsi="Arial"/>
          <w:spacing w:val="-64"/>
          <w:w w:val="165"/>
          <w:sz w:val="17"/>
        </w:rPr>
        <w:t>1</w:t>
      </w:r>
      <w:r>
        <w:rPr>
          <w:rFonts w:ascii="Arial" w:hAnsi="Arial"/>
          <w:w w:val="115"/>
          <w:sz w:val="17"/>
        </w:rPr>
        <w:t>(</w:t>
      </w:r>
      <w:r>
        <w:rPr>
          <w:rFonts w:ascii="Arial" w:hAnsi="Arial"/>
          <w:w w:val="115"/>
          <w:sz w:val="17"/>
        </w:rPr>
        <w:t>1</w:t>
      </w:r>
      <w:r>
        <w:rPr>
          <w:rFonts w:ascii="Arial" w:hAnsi="Arial"/>
          <w:spacing w:val="-14"/>
          <w:sz w:val="17"/>
        </w:rPr>
        <w:t> </w:t>
      </w:r>
      <w:r>
        <w:rPr>
          <w:rFonts w:ascii="Arial" w:hAnsi="Arial"/>
          <w:w w:val="105"/>
          <w:sz w:val="26"/>
        </w:rPr>
        <w:t>+</w:t>
      </w:r>
      <w:r>
        <w:rPr>
          <w:rFonts w:ascii="Arial" w:hAnsi="Arial"/>
          <w:spacing w:val="-28"/>
          <w:sz w:val="26"/>
        </w:rPr>
        <w:t> </w:t>
      </w:r>
      <w:r>
        <w:rPr>
          <w:rFonts w:ascii="Arial" w:hAnsi="Arial"/>
          <w:w w:val="82"/>
          <w:sz w:val="26"/>
        </w:rPr>
        <w:t>-,</w:t>
      </w:r>
      <w:r>
        <w:rPr>
          <w:rFonts w:ascii="Arial" w:hAnsi="Arial"/>
          <w:spacing w:val="-28"/>
          <w:w w:val="82"/>
          <w:sz w:val="26"/>
        </w:rPr>
        <w:t>,</w:t>
      </w:r>
      <w:r>
        <w:rPr>
          <w:rFonts w:ascii="Arial" w:hAnsi="Arial"/>
          <w:spacing w:val="-97"/>
          <w:w w:val="205"/>
          <w:sz w:val="26"/>
        </w:rPr>
        <w:t>.</w:t>
      </w:r>
      <w:r>
        <w:rPr>
          <w:rFonts w:ascii="Arial" w:hAnsi="Arial"/>
          <w:w w:val="83"/>
          <w:sz w:val="26"/>
        </w:rPr>
        <w:t>...</w:t>
      </w:r>
      <w:r>
        <w:rPr>
          <w:rFonts w:ascii="Arial" w:hAnsi="Arial"/>
          <w:spacing w:val="-37"/>
          <w:w w:val="83"/>
          <w:sz w:val="26"/>
        </w:rPr>
        <w:t>.</w:t>
      </w:r>
      <w:r>
        <w:rPr>
          <w:rFonts w:ascii="Arial" w:hAnsi="Arial"/>
          <w:spacing w:val="-67"/>
          <w:w w:val="167"/>
          <w:sz w:val="26"/>
        </w:rPr>
        <w:t>,</w:t>
      </w:r>
      <w:r>
        <w:rPr>
          <w:rFonts w:ascii="Arial" w:hAnsi="Arial"/>
          <w:w w:val="73"/>
          <w:sz w:val="26"/>
        </w:rPr>
        <w:t>)</w:t>
      </w:r>
    </w:p>
    <w:p>
      <w:pPr>
        <w:spacing w:after="0"/>
        <w:jc w:val="center"/>
        <w:rPr>
          <w:rFonts w:ascii="Arial" w:hAnsi="Arial"/>
          <w:sz w:val="26"/>
        </w:rPr>
        <w:sectPr>
          <w:pgSz w:w="7200" w:h="11340"/>
          <w:pgMar w:top="500" w:bottom="280" w:left="640" w:right="500"/>
        </w:sectPr>
      </w:pPr>
    </w:p>
    <w:p>
      <w:pPr>
        <w:spacing w:before="80"/>
        <w:ind w:left="126" w:right="-19" w:firstLine="0"/>
        <w:jc w:val="left"/>
        <w:rPr>
          <w:rFonts w:ascii="Courier New"/>
          <w:b/>
          <w:sz w:val="20"/>
        </w:rPr>
      </w:pPr>
      <w:r>
        <w:rPr>
          <w:rFonts w:ascii="Courier New"/>
          <w:b/>
          <w:w w:val="85"/>
          <w:sz w:val="20"/>
        </w:rPr>
        <w:t>and</w:t>
      </w:r>
    </w:p>
    <w:p>
      <w:pPr>
        <w:pStyle w:val="BodyText"/>
        <w:rPr>
          <w:rFonts w:ascii="Courier New"/>
          <w:b/>
        </w:rPr>
      </w:pPr>
    </w:p>
    <w:p>
      <w:pPr>
        <w:pStyle w:val="BodyText"/>
        <w:spacing w:before="4"/>
        <w:rPr>
          <w:rFonts w:ascii="Courier New"/>
          <w:b/>
          <w:sz w:val="19"/>
        </w:rPr>
      </w:pPr>
    </w:p>
    <w:p>
      <w:pPr>
        <w:spacing w:before="0"/>
        <w:ind w:left="123" w:right="-19" w:firstLine="0"/>
        <w:jc w:val="left"/>
        <w:rPr>
          <w:b/>
          <w:sz w:val="18"/>
        </w:rPr>
      </w:pPr>
      <w:r>
        <w:rPr>
          <w:b/>
          <w:spacing w:val="-6"/>
          <w:w w:val="180"/>
          <w:sz w:val="19"/>
        </w:rPr>
        <w:t>l</w:t>
      </w:r>
      <w:r>
        <w:rPr>
          <w:b/>
          <w:w w:val="62"/>
          <w:sz w:val="19"/>
        </w:rPr>
        <w:t>..</w:t>
      </w:r>
      <w:r>
        <w:rPr>
          <w:b/>
          <w:sz w:val="19"/>
        </w:rPr>
        <w:t> </w:t>
      </w:r>
      <w:r>
        <w:rPr>
          <w:b/>
          <w:spacing w:val="-21"/>
          <w:sz w:val="19"/>
        </w:rPr>
        <w:t> </w:t>
      </w:r>
      <w:r>
        <w:rPr>
          <w:b/>
          <w:w w:val="114"/>
          <w:sz w:val="18"/>
        </w:rPr>
        <w:t>Centiauoee</w:t>
      </w:r>
      <w:r>
        <w:rPr>
          <w:b/>
          <w:spacing w:val="18"/>
          <w:sz w:val="18"/>
        </w:rPr>
        <w:t> </w:t>
      </w:r>
      <w:r>
        <w:rPr>
          <w:b/>
          <w:w w:val="153"/>
          <w:sz w:val="18"/>
        </w:rPr>
        <w:t>raena</w:t>
      </w:r>
    </w:p>
    <w:p>
      <w:pPr>
        <w:pStyle w:val="BodyText"/>
        <w:spacing w:before="3"/>
        <w:rPr>
          <w:b/>
          <w:sz w:val="28"/>
        </w:rPr>
      </w:pPr>
      <w:r>
        <w:rPr/>
        <w:br w:type="column"/>
      </w:r>
      <w:r>
        <w:rPr>
          <w:b/>
          <w:sz w:val="28"/>
        </w:rPr>
      </w:r>
    </w:p>
    <w:p>
      <w:pPr>
        <w:tabs>
          <w:tab w:pos="1167" w:val="left" w:leader="none"/>
        </w:tabs>
        <w:spacing w:before="0"/>
        <w:ind w:left="123" w:right="0" w:firstLine="0"/>
        <w:jc w:val="left"/>
        <w:rPr>
          <w:b/>
          <w:sz w:val="18"/>
        </w:rPr>
      </w:pPr>
      <w:r>
        <w:rPr>
          <w:b/>
          <w:spacing w:val="-17"/>
          <w:w w:val="103"/>
          <w:sz w:val="29"/>
        </w:rPr>
        <w:t>o</w:t>
      </w:r>
      <w:r>
        <w:rPr>
          <w:b/>
          <w:w w:val="90"/>
          <w:sz w:val="29"/>
        </w:rPr>
        <w:t>.</w:t>
      </w:r>
      <w:r>
        <w:rPr>
          <w:b/>
          <w:spacing w:val="-18"/>
          <w:w w:val="90"/>
          <w:sz w:val="29"/>
        </w:rPr>
        <w:t>•</w:t>
      </w:r>
      <w:r>
        <w:rPr>
          <w:b/>
          <w:w w:val="45"/>
          <w:sz w:val="29"/>
        </w:rPr>
        <w:t>.,</w:t>
      </w:r>
      <w:r>
        <w:rPr>
          <w:b/>
          <w:spacing w:val="2"/>
          <w:sz w:val="29"/>
        </w:rPr>
        <w:t> </w:t>
      </w:r>
      <w:r>
        <w:rPr>
          <w:w w:val="139"/>
          <w:sz w:val="29"/>
        </w:rPr>
        <w:t>-</w:t>
      </w:r>
      <w:r>
        <w:rPr>
          <w:spacing w:val="-17"/>
          <w:sz w:val="29"/>
        </w:rPr>
        <w:t> </w:t>
      </w:r>
      <w:r>
        <w:rPr>
          <w:b/>
          <w:w w:val="82"/>
          <w:sz w:val="18"/>
        </w:rPr>
        <w:t>tOf</w:t>
      </w:r>
      <w:r>
        <w:rPr>
          <w:b/>
          <w:sz w:val="18"/>
        </w:rPr>
        <w:tab/>
      </w:r>
      <w:r>
        <w:rPr>
          <w:b/>
          <w:w w:val="111"/>
          <w:sz w:val="18"/>
        </w:rPr>
        <w:t>-l</w:t>
      </w:r>
      <w:r>
        <w:rPr>
          <w:b/>
          <w:spacing w:val="19"/>
          <w:sz w:val="18"/>
        </w:rPr>
        <w:t> </w:t>
      </w:r>
      <w:r>
        <w:rPr>
          <w:b/>
          <w:w w:val="96"/>
          <w:sz w:val="18"/>
        </w:rPr>
        <w:t>.</w:t>
      </w:r>
    </w:p>
    <w:p>
      <w:pPr>
        <w:spacing w:after="0"/>
        <w:jc w:val="left"/>
        <w:rPr>
          <w:sz w:val="18"/>
        </w:rPr>
        <w:sectPr>
          <w:type w:val="continuous"/>
          <w:pgSz w:w="7200" w:h="11340"/>
          <w:pgMar w:top="1100" w:bottom="0" w:left="640" w:right="500"/>
          <w:cols w:num="2" w:equalWidth="0">
            <w:col w:w="2075" w:space="157"/>
            <w:col w:w="3828"/>
          </w:cols>
        </w:sectPr>
      </w:pPr>
    </w:p>
    <w:p>
      <w:pPr>
        <w:pStyle w:val="ListParagraph"/>
        <w:numPr>
          <w:ilvl w:val="0"/>
          <w:numId w:val="55"/>
        </w:numPr>
        <w:tabs>
          <w:tab w:pos="574" w:val="left" w:leader="none"/>
        </w:tabs>
        <w:spacing w:line="205" w:lineRule="exact" w:before="27" w:after="0"/>
        <w:ind w:left="126" w:right="0" w:firstLine="152"/>
        <w:jc w:val="left"/>
        <w:rPr>
          <w:sz w:val="17"/>
        </w:rPr>
      </w:pPr>
      <w:r>
        <w:rPr>
          <w:w w:val="115"/>
          <w:sz w:val="17"/>
        </w:rPr>
        <w:t>Show that the ha.sic differential equation for </w:t>
      </w:r>
      <w:r>
        <w:rPr>
          <w:spacing w:val="-7"/>
          <w:w w:val="115"/>
          <w:sz w:val="17"/>
        </w:rPr>
        <w:t>,</w:t>
      </w:r>
      <w:r>
        <w:rPr>
          <w:spacing w:val="-7"/>
          <w:w w:val="115"/>
          <w:sz w:val="22"/>
        </w:rPr>
        <w:t>f </w:t>
      </w:r>
      <w:r>
        <w:rPr>
          <w:w w:val="115"/>
          <w:sz w:val="17"/>
        </w:rPr>
        <w:t>can </w:t>
      </w:r>
      <w:r>
        <w:rPr>
          <w:w w:val="115"/>
          <w:sz w:val="18"/>
        </w:rPr>
        <w:t>be </w:t>
      </w:r>
      <w:r>
        <w:rPr>
          <w:w w:val="115"/>
          <w:sz w:val="17"/>
        </w:rPr>
        <w:t>writt.en </w:t>
      </w:r>
      <w:r>
        <w:rPr>
          <w:spacing w:val="6"/>
          <w:w w:val="115"/>
          <w:sz w:val="17"/>
        </w:rPr>
        <w:t> </w:t>
      </w:r>
      <w:r>
        <w:rPr>
          <w:w w:val="115"/>
          <w:sz w:val="17"/>
        </w:rPr>
        <w:t>as</w:t>
      </w:r>
    </w:p>
    <w:p>
      <w:pPr>
        <w:spacing w:line="561" w:lineRule="exact" w:before="0"/>
        <w:ind w:left="1646" w:right="0" w:firstLine="0"/>
        <w:jc w:val="left"/>
        <w:rPr>
          <w:i/>
          <w:sz w:val="31"/>
        </w:rPr>
      </w:pPr>
      <w:r>
        <w:rPr>
          <w:i/>
          <w:spacing w:val="-4"/>
          <w:w w:val="80"/>
          <w:sz w:val="53"/>
        </w:rPr>
        <w:t>1,v</w:t>
      </w:r>
      <w:r>
        <w:rPr>
          <w:i/>
          <w:spacing w:val="-72"/>
          <w:w w:val="80"/>
          <w:sz w:val="53"/>
        </w:rPr>
        <w:t> </w:t>
      </w:r>
      <w:r>
        <w:rPr>
          <w:sz w:val="53"/>
        </w:rPr>
        <w:t>-</w:t>
      </w:r>
      <w:r>
        <w:rPr>
          <w:spacing w:val="-114"/>
          <w:sz w:val="53"/>
        </w:rPr>
        <w:t> </w:t>
      </w:r>
      <w:r>
        <w:rPr>
          <w:rFonts w:ascii="Arial"/>
          <w:i/>
          <w:sz w:val="20"/>
        </w:rPr>
        <w:t>P </w:t>
      </w:r>
      <w:r>
        <w:rPr>
          <w:sz w:val="24"/>
        </w:rPr>
        <w:t>+ </w:t>
      </w:r>
      <w:r>
        <w:rPr>
          <w:spacing w:val="-6"/>
          <w:w w:val="145"/>
          <w:sz w:val="24"/>
        </w:rPr>
        <w:t>,.,,</w:t>
      </w:r>
      <w:r>
        <w:rPr>
          <w:spacing w:val="-74"/>
          <w:w w:val="145"/>
          <w:sz w:val="24"/>
        </w:rPr>
        <w:t> </w:t>
      </w:r>
      <w:r>
        <w:rPr>
          <w:w w:val="170"/>
          <w:sz w:val="24"/>
        </w:rPr>
        <w:t>-</w:t>
      </w:r>
      <w:r>
        <w:rPr>
          <w:spacing w:val="-90"/>
          <w:w w:val="170"/>
          <w:sz w:val="24"/>
        </w:rPr>
        <w:t> </w:t>
      </w:r>
      <w:r>
        <w:rPr>
          <w:w w:val="80"/>
          <w:sz w:val="25"/>
        </w:rPr>
        <w:t>,.,.a+' </w:t>
      </w:r>
      <w:r>
        <w:rPr>
          <w:rFonts w:ascii="Arial"/>
          <w:sz w:val="28"/>
        </w:rPr>
        <w:t>o </w:t>
      </w:r>
      <w:r>
        <w:rPr>
          <w:rFonts w:ascii="Arial"/>
          <w:w w:val="145"/>
          <w:sz w:val="28"/>
        </w:rPr>
        <w:t>-</w:t>
      </w:r>
      <w:r>
        <w:rPr>
          <w:rFonts w:ascii="Arial"/>
          <w:spacing w:val="-88"/>
          <w:w w:val="145"/>
          <w:sz w:val="28"/>
        </w:rPr>
        <w:t> </w:t>
      </w:r>
      <w:r>
        <w:rPr>
          <w:i/>
          <w:w w:val="80"/>
          <w:sz w:val="31"/>
        </w:rPr>
        <w:t>,t&gt;.</w:t>
      </w:r>
    </w:p>
    <w:p>
      <w:pPr>
        <w:spacing w:before="202"/>
        <w:ind w:left="123" w:right="0" w:firstLine="0"/>
        <w:jc w:val="left"/>
        <w:rPr>
          <w:sz w:val="17"/>
        </w:rPr>
      </w:pPr>
      <w:r>
        <w:rPr>
          <w:w w:val="115"/>
          <w:sz w:val="17"/>
        </w:rPr>
        <w:t>Give a verbal interpretation.</w:t>
      </w:r>
    </w:p>
    <w:p>
      <w:pPr>
        <w:pStyle w:val="ListParagraph"/>
        <w:numPr>
          <w:ilvl w:val="0"/>
          <w:numId w:val="55"/>
        </w:numPr>
        <w:tabs>
          <w:tab w:pos="574" w:val="left" w:leader="none"/>
        </w:tabs>
        <w:spacing w:line="247" w:lineRule="auto" w:before="6" w:after="0"/>
        <w:ind w:left="126" w:right="184" w:firstLine="159"/>
        <w:jc w:val="left"/>
        <w:rPr>
          <w:sz w:val="17"/>
        </w:rPr>
      </w:pPr>
      <w:r>
        <w:rPr>
          <w:w w:val="110"/>
          <w:sz w:val="17"/>
        </w:rPr>
        <w:t>Show that, if premiums are paid continuously  and claims  are pay­ able a.t the moment  of death, formula. </w:t>
      </w:r>
      <w:r>
        <w:rPr>
          <w:spacing w:val="-5"/>
          <w:w w:val="110"/>
          <w:sz w:val="17"/>
        </w:rPr>
        <w:t>(5.12) </w:t>
      </w:r>
      <w:r>
        <w:rPr>
          <w:spacing w:val="7"/>
          <w:w w:val="110"/>
          <w:sz w:val="17"/>
        </w:rPr>
        <w:t> </w:t>
      </w:r>
      <w:r>
        <w:rPr>
          <w:w w:val="110"/>
          <w:sz w:val="17"/>
        </w:rPr>
        <w:t>beeomes</w:t>
      </w:r>
    </w:p>
    <w:p>
      <w:pPr>
        <w:spacing w:before="101"/>
        <w:ind w:left="1559" w:right="0" w:firstLine="0"/>
        <w:jc w:val="left"/>
        <w:rPr>
          <w:i/>
          <w:sz w:val="16"/>
        </w:rPr>
      </w:pPr>
      <w:r>
        <w:rPr>
          <w:i/>
          <w:spacing w:val="-5"/>
          <w:w w:val="118"/>
          <w:sz w:val="21"/>
        </w:rPr>
        <w:t>,</w:t>
      </w:r>
      <w:r>
        <w:rPr>
          <w:i/>
          <w:w w:val="83"/>
          <w:sz w:val="21"/>
        </w:rPr>
        <w:t>V</w:t>
      </w:r>
      <w:r>
        <w:rPr>
          <w:i/>
          <w:sz w:val="21"/>
        </w:rPr>
        <w:t> </w:t>
      </w:r>
      <w:r>
        <w:rPr>
          <w:i/>
          <w:spacing w:val="-22"/>
          <w:sz w:val="21"/>
        </w:rPr>
        <w:t> </w:t>
      </w:r>
      <w:r>
        <w:rPr>
          <w:i/>
          <w:w w:val="111"/>
          <w:sz w:val="21"/>
        </w:rPr>
        <w:t>+</w:t>
      </w:r>
      <w:r>
        <w:rPr>
          <w:i/>
          <w:spacing w:val="1"/>
          <w:sz w:val="21"/>
        </w:rPr>
        <w:t> </w:t>
      </w:r>
      <w:r>
        <w:rPr>
          <w:i/>
          <w:w w:val="70"/>
          <w:sz w:val="21"/>
        </w:rPr>
        <w:t>Páz-..t</w:t>
      </w:r>
      <w:r>
        <w:rPr>
          <w:i/>
          <w:spacing w:val="-6"/>
          <w:sz w:val="21"/>
        </w:rPr>
        <w:t> </w:t>
      </w:r>
      <w:r>
        <w:rPr>
          <w:i/>
          <w:spacing w:val="4"/>
          <w:w w:val="39"/>
          <w:sz w:val="21"/>
        </w:rPr>
        <w:t>:</w:t>
      </w:r>
      <w:r>
        <w:rPr>
          <w:i/>
          <w:w w:val="70"/>
          <w:sz w:val="21"/>
        </w:rPr>
        <w:t>I!</w:t>
      </w:r>
      <w:r>
        <w:rPr>
          <w:i/>
          <w:sz w:val="21"/>
        </w:rPr>
        <w:t> </w:t>
      </w:r>
      <w:r>
        <w:rPr>
          <w:i/>
          <w:spacing w:val="4"/>
          <w:sz w:val="21"/>
        </w:rPr>
        <w:t> </w:t>
      </w:r>
      <w:r>
        <w:rPr>
          <w:w w:val="85"/>
          <w:sz w:val="21"/>
        </w:rPr>
        <w:t>=</w:t>
      </w:r>
      <w:r>
        <w:rPr>
          <w:sz w:val="21"/>
        </w:rPr>
        <w:t> </w:t>
      </w:r>
      <w:r>
        <w:rPr>
          <w:spacing w:val="-13"/>
          <w:sz w:val="21"/>
        </w:rPr>
        <w:t> </w:t>
      </w:r>
      <w:r>
        <w:rPr>
          <w:i/>
          <w:spacing w:val="12"/>
          <w:w w:val="270"/>
          <w:sz w:val="16"/>
        </w:rPr>
        <w:t>A</w:t>
      </w:r>
      <w:r>
        <w:rPr>
          <w:i/>
          <w:w w:val="42"/>
          <w:sz w:val="16"/>
        </w:rPr>
        <w:t>t="i'J</w:t>
      </w:r>
      <w:r>
        <w:rPr>
          <w:i/>
          <w:sz w:val="16"/>
        </w:rPr>
        <w:t> </w:t>
      </w:r>
      <w:r>
        <w:rPr>
          <w:i/>
          <w:spacing w:val="17"/>
          <w:sz w:val="16"/>
        </w:rPr>
        <w:t> </w:t>
      </w:r>
      <w:r>
        <w:rPr>
          <w:rFonts w:ascii="Arial" w:hAnsi="Arial"/>
          <w:w w:val="104"/>
          <w:sz w:val="25"/>
        </w:rPr>
        <w:t>+</w:t>
      </w:r>
      <w:r>
        <w:rPr>
          <w:rFonts w:ascii="Arial" w:hAnsi="Arial"/>
          <w:spacing w:val="-11"/>
          <w:sz w:val="25"/>
        </w:rPr>
        <w:t> </w:t>
      </w:r>
      <w:r>
        <w:rPr>
          <w:i/>
          <w:spacing w:val="4"/>
          <w:w w:val="65"/>
          <w:sz w:val="16"/>
        </w:rPr>
        <w:t>V</w:t>
      </w:r>
      <w:r>
        <w:rPr>
          <w:i/>
          <w:w w:val="87"/>
          <w:sz w:val="16"/>
        </w:rPr>
        <w:t>P.r+t·t+i</w:t>
      </w:r>
      <w:r>
        <w:rPr>
          <w:i/>
          <w:sz w:val="16"/>
        </w:rPr>
        <w:t> </w:t>
      </w:r>
      <w:r>
        <w:rPr>
          <w:i/>
          <w:w w:val="105"/>
          <w:sz w:val="16"/>
        </w:rPr>
        <w:t>f</w:t>
      </w:r>
      <w:r>
        <w:rPr>
          <w:i/>
          <w:sz w:val="16"/>
        </w:rPr>
        <w:t> </w:t>
      </w:r>
      <w:r>
        <w:rPr>
          <w:i/>
          <w:spacing w:val="6"/>
          <w:sz w:val="16"/>
        </w:rPr>
        <w:t> </w:t>
      </w:r>
      <w:r>
        <w:rPr>
          <w:i/>
          <w:w w:val="157"/>
          <w:sz w:val="16"/>
        </w:rPr>
        <w:t>.</w:t>
      </w:r>
    </w:p>
    <w:p>
      <w:pPr>
        <w:spacing w:after="0"/>
        <w:jc w:val="left"/>
        <w:rPr>
          <w:sz w:val="16"/>
        </w:rPr>
        <w:sectPr>
          <w:type w:val="continuous"/>
          <w:pgSz w:w="7200" w:h="11340"/>
          <w:pgMar w:top="1100" w:bottom="0" w:left="640" w:right="500"/>
        </w:sectPr>
      </w:pPr>
    </w:p>
    <w:p>
      <w:pPr>
        <w:pStyle w:val="ListParagraph"/>
        <w:numPr>
          <w:ilvl w:val="0"/>
          <w:numId w:val="55"/>
        </w:numPr>
        <w:tabs>
          <w:tab w:pos="574" w:val="left" w:leader="none"/>
        </w:tabs>
        <w:spacing w:line="240" w:lineRule="auto" w:before="90" w:after="0"/>
        <w:ind w:left="573" w:right="0" w:hanging="295"/>
        <w:jc w:val="left"/>
        <w:rPr>
          <w:sz w:val="16"/>
        </w:rPr>
      </w:pPr>
      <w:r>
        <w:rPr>
          <w:w w:val="115"/>
          <w:sz w:val="16"/>
        </w:rPr>
        <w:t>Show</w:t>
      </w:r>
      <w:r>
        <w:rPr>
          <w:spacing w:val="19"/>
          <w:w w:val="115"/>
          <w:sz w:val="16"/>
        </w:rPr>
        <w:t> </w:t>
      </w:r>
      <w:r>
        <w:rPr>
          <w:w w:val="115"/>
          <w:sz w:val="17"/>
        </w:rPr>
        <w:t>that</w:t>
      </w:r>
    </w:p>
    <w:p>
      <w:pPr>
        <w:pStyle w:val="BodyText"/>
        <w:rPr>
          <w:sz w:val="21"/>
        </w:rPr>
      </w:pPr>
    </w:p>
    <w:p>
      <w:pPr>
        <w:spacing w:line="162" w:lineRule="exact" w:before="0"/>
        <w:ind w:left="431" w:right="676" w:firstLine="0"/>
        <w:jc w:val="center"/>
        <w:rPr>
          <w:sz w:val="16"/>
        </w:rPr>
      </w:pPr>
      <w:r>
        <w:rPr>
          <w:w w:val="115"/>
          <w:sz w:val="16"/>
        </w:rPr>
        <w:t>(a)</w:t>
      </w:r>
    </w:p>
    <w:p>
      <w:pPr>
        <w:pStyle w:val="BodyText"/>
        <w:rPr>
          <w:sz w:val="38"/>
        </w:rPr>
      </w:pPr>
      <w:r>
        <w:rPr/>
        <w:br w:type="column"/>
      </w:r>
      <w:r>
        <w:rPr>
          <w:sz w:val="38"/>
        </w:rPr>
      </w:r>
    </w:p>
    <w:p>
      <w:pPr>
        <w:tabs>
          <w:tab w:pos="1347" w:val="left" w:leader="none"/>
        </w:tabs>
        <w:spacing w:line="253" w:lineRule="exact" w:before="0"/>
        <w:ind w:left="277" w:right="0" w:firstLine="0"/>
        <w:jc w:val="left"/>
        <w:rPr>
          <w:i/>
          <w:sz w:val="17"/>
        </w:rPr>
      </w:pPr>
      <w:r>
        <w:rPr>
          <w:rFonts w:ascii="Arial" w:hAnsi="Arial"/>
          <w:i/>
          <w:spacing w:val="-19"/>
          <w:position w:val="-9"/>
          <w:sz w:val="25"/>
        </w:rPr>
        <w:t>;</w:t>
      </w:r>
      <w:r>
        <w:rPr>
          <w:i/>
          <w:spacing w:val="-19"/>
          <w:position w:val="1"/>
          <w:sz w:val="17"/>
        </w:rPr>
        <w:t>d</w:t>
      </w:r>
      <w:r>
        <w:rPr>
          <w:rFonts w:ascii="Arial" w:hAnsi="Arial"/>
          <w:i/>
          <w:spacing w:val="-19"/>
          <w:position w:val="-9"/>
          <w:sz w:val="25"/>
        </w:rPr>
        <w:t>¡¡ </w:t>
      </w:r>
      <w:r>
        <w:rPr>
          <w:rFonts w:ascii="Arial" w:hAnsi="Arial"/>
          <w:position w:val="-9"/>
          <w:sz w:val="20"/>
        </w:rPr>
        <w:t>f, </w:t>
      </w:r>
      <w:r>
        <w:rPr>
          <w:w w:val="120"/>
          <w:position w:val="1"/>
          <w:sz w:val="17"/>
        </w:rPr>
        <w:t>-</w:t>
      </w:r>
      <w:r>
        <w:rPr>
          <w:spacing w:val="21"/>
          <w:w w:val="120"/>
          <w:position w:val="1"/>
          <w:sz w:val="17"/>
        </w:rPr>
        <w:t> </w:t>
      </w:r>
      <w:r>
        <w:rPr>
          <w:w w:val="120"/>
          <w:position w:val="1"/>
          <w:sz w:val="17"/>
        </w:rPr>
        <w:t>-</w:t>
      </w:r>
      <w:r>
        <w:rPr>
          <w:spacing w:val="-32"/>
          <w:w w:val="120"/>
          <w:position w:val="1"/>
          <w:sz w:val="17"/>
        </w:rPr>
        <w:t> </w:t>
      </w:r>
      <w:r>
        <w:rPr>
          <w:position w:val="-9"/>
          <w:sz w:val="18"/>
        </w:rPr>
        <w:t>)J</w:t>
        <w:tab/>
      </w:r>
      <w:r>
        <w:rPr>
          <w:i/>
          <w:w w:val="115"/>
          <w:sz w:val="16"/>
          <w:u w:val="single"/>
        </w:rPr>
        <w:t>A.,+, </w:t>
      </w:r>
      <w:r>
        <w:rPr>
          <w:w w:val="115"/>
          <w:sz w:val="16"/>
          <w:u w:val="single"/>
        </w:rPr>
        <w:t>-</w:t>
      </w:r>
      <w:r>
        <w:rPr>
          <w:spacing w:val="-31"/>
          <w:w w:val="115"/>
          <w:sz w:val="16"/>
          <w:u w:val="single"/>
        </w:rPr>
        <w:t> </w:t>
      </w:r>
      <w:r>
        <w:rPr>
          <w:i/>
          <w:sz w:val="17"/>
          <w:u w:val="single"/>
        </w:rPr>
        <w:t>Jl:c+'ª'"+</w:t>
      </w:r>
      <w:r>
        <w:rPr>
          <w:i/>
          <w:sz w:val="17"/>
        </w:rPr>
        <w:t>'</w:t>
      </w:r>
    </w:p>
    <w:p>
      <w:pPr>
        <w:spacing w:after="0" w:line="253" w:lineRule="exact"/>
        <w:jc w:val="left"/>
        <w:rPr>
          <w:sz w:val="17"/>
        </w:rPr>
        <w:sectPr>
          <w:type w:val="continuous"/>
          <w:pgSz w:w="7200" w:h="11340"/>
          <w:pgMar w:top="1100" w:bottom="0" w:left="640" w:right="500"/>
          <w:cols w:num="2" w:equalWidth="0">
            <w:col w:w="1352" w:space="261"/>
            <w:col w:w="4447"/>
          </w:cols>
        </w:sectPr>
      </w:pPr>
    </w:p>
    <w:p>
      <w:pPr>
        <w:spacing w:line="153" w:lineRule="exact" w:before="0"/>
        <w:ind w:left="2343" w:right="1325" w:firstLine="0"/>
        <w:jc w:val="center"/>
        <w:rPr>
          <w:i/>
          <w:sz w:val="15"/>
        </w:rPr>
      </w:pPr>
      <w:r>
        <w:rPr/>
        <w:pict>
          <v:shape style="position:absolute;margin-left:142.380005pt;margin-top:-6.60701pt;width:16.850pt;height:9pt;mso-position-horizontal-relative:page;mso-position-vertical-relative:paragraph;z-index:-724792" type="#_x0000_t202" filled="false" stroked="false">
            <v:textbox inset="0,0,0,0">
              <w:txbxContent>
                <w:p>
                  <w:pPr>
                    <w:spacing w:line="180" w:lineRule="exact" w:before="0"/>
                    <w:ind w:left="0" w:right="-16" w:firstLine="0"/>
                    <w:jc w:val="left"/>
                    <w:rPr>
                      <w:sz w:val="18"/>
                    </w:rPr>
                  </w:pPr>
                  <w:r>
                    <w:rPr>
                      <w:w w:val="90"/>
                      <w:sz w:val="18"/>
                    </w:rPr>
                    <w:t>VU:r</w:t>
                  </w:r>
                </w:p>
              </w:txbxContent>
            </v:textbox>
            <w10:wrap type="none"/>
          </v:shape>
        </w:pict>
      </w:r>
      <w:r>
        <w:rPr>
          <w:i/>
          <w:w w:val="110"/>
          <w:sz w:val="15"/>
        </w:rPr>
        <w:t>á.,</w:t>
      </w:r>
    </w:p>
    <w:p>
      <w:pPr>
        <w:pStyle w:val="BodyText"/>
        <w:rPr>
          <w:i/>
          <w:sz w:val="14"/>
        </w:rPr>
      </w:pPr>
    </w:p>
    <w:p>
      <w:pPr>
        <w:pStyle w:val="BodyText"/>
        <w:spacing w:before="2"/>
        <w:rPr>
          <w:i/>
          <w:sz w:val="11"/>
        </w:rPr>
      </w:pPr>
    </w:p>
    <w:p>
      <w:pPr>
        <w:spacing w:before="0"/>
        <w:ind w:left="458" w:right="0" w:firstLine="0"/>
        <w:jc w:val="left"/>
        <w:rPr>
          <w:sz w:val="16"/>
        </w:rPr>
      </w:pPr>
      <w:r>
        <w:rPr/>
        <w:drawing>
          <wp:anchor distT="0" distB="0" distL="0" distR="0" allowOverlap="1" layoutInCell="1" locked="0" behindDoc="0" simplePos="0" relativeHeight="11248">
            <wp:simplePos x="0" y="0"/>
            <wp:positionH relativeFrom="page">
              <wp:posOffset>1261872</wp:posOffset>
            </wp:positionH>
            <wp:positionV relativeFrom="paragraph">
              <wp:posOffset>-78882</wp:posOffset>
            </wp:positionV>
            <wp:extent cx="2093976" cy="274319"/>
            <wp:effectExtent l="0" t="0" r="0" b="0"/>
            <wp:wrapNone/>
            <wp:docPr id="283" name="image147.png" descr=""/>
            <wp:cNvGraphicFramePr>
              <a:graphicFrameLocks noChangeAspect="1"/>
            </wp:cNvGraphicFramePr>
            <a:graphic>
              <a:graphicData uri="http://schemas.openxmlformats.org/drawingml/2006/picture">
                <pic:pic>
                  <pic:nvPicPr>
                    <pic:cNvPr id="284" name="image147.png"/>
                    <pic:cNvPicPr/>
                  </pic:nvPicPr>
                  <pic:blipFill>
                    <a:blip r:embed="rId151" cstate="print"/>
                    <a:stretch>
                      <a:fillRect/>
                    </a:stretch>
                  </pic:blipFill>
                  <pic:spPr>
                    <a:xfrm>
                      <a:off x="0" y="0"/>
                      <a:ext cx="2093976" cy="274319"/>
                    </a:xfrm>
                    <a:prstGeom prst="rect">
                      <a:avLst/>
                    </a:prstGeom>
                  </pic:spPr>
                </pic:pic>
              </a:graphicData>
            </a:graphic>
          </wp:anchor>
        </w:drawing>
      </w:r>
      <w:r>
        <w:rPr>
          <w:w w:val="110"/>
          <w:sz w:val="16"/>
        </w:rPr>
        <w:t>(b)</w:t>
      </w:r>
    </w:p>
    <w:p>
      <w:pPr>
        <w:pStyle w:val="BodyText"/>
        <w:spacing w:before="1"/>
        <w:rPr>
          <w:sz w:val="23"/>
        </w:rPr>
      </w:pPr>
    </w:p>
    <w:p>
      <w:pPr>
        <w:pStyle w:val="ListParagraph"/>
        <w:numPr>
          <w:ilvl w:val="0"/>
          <w:numId w:val="56"/>
        </w:numPr>
        <w:tabs>
          <w:tab w:pos="336" w:val="left" w:leader="none"/>
        </w:tabs>
        <w:spacing w:line="240" w:lineRule="auto" w:before="79" w:after="0"/>
        <w:ind w:left="335" w:right="0" w:hanging="216"/>
        <w:jc w:val="left"/>
        <w:rPr>
          <w:b/>
          <w:sz w:val="16"/>
        </w:rPr>
      </w:pPr>
      <w:r>
        <w:rPr>
          <w:b/>
          <w:w w:val="125"/>
          <w:sz w:val="16"/>
        </w:rPr>
        <w:t>Thc Fackler </w:t>
      </w:r>
      <w:r>
        <w:rPr>
          <w:w w:val="125"/>
          <w:sz w:val="16"/>
        </w:rPr>
        <w:t>reserve </w:t>
      </w:r>
      <w:r>
        <w:rPr>
          <w:b/>
          <w:w w:val="125"/>
          <w:sz w:val="16"/>
        </w:rPr>
        <w:t>accumulation</w:t>
      </w:r>
      <w:r>
        <w:rPr>
          <w:b/>
          <w:spacing w:val="26"/>
          <w:w w:val="125"/>
          <w:sz w:val="16"/>
        </w:rPr>
        <w:t> </w:t>
      </w:r>
      <w:r>
        <w:rPr>
          <w:b/>
          <w:w w:val="125"/>
          <w:sz w:val="16"/>
        </w:rPr>
        <w:t>formula</w:t>
      </w:r>
    </w:p>
    <w:p>
      <w:pPr>
        <w:tabs>
          <w:tab w:pos="4515" w:val="left" w:leader="none"/>
        </w:tabs>
        <w:spacing w:before="44"/>
        <w:ind w:left="281" w:right="0" w:firstLine="0"/>
        <w:jc w:val="left"/>
        <w:rPr>
          <w:sz w:val="17"/>
        </w:rPr>
      </w:pPr>
      <w:r>
        <w:rPr>
          <w:w w:val="105"/>
          <w:sz w:val="17"/>
        </w:rPr>
        <w:t>24.  Find </w:t>
      </w:r>
      <w:r>
        <w:rPr>
          <w:rFonts w:ascii="Arial"/>
          <w:w w:val="130"/>
          <w:sz w:val="17"/>
        </w:rPr>
        <w:t>IV. , </w:t>
      </w:r>
      <w:r>
        <w:rPr>
          <w:w w:val="105"/>
          <w:sz w:val="17"/>
        </w:rPr>
        <w:t>given  </w:t>
      </w:r>
      <w:r>
        <w:rPr>
          <w:i/>
          <w:w w:val="105"/>
          <w:sz w:val="18"/>
        </w:rPr>
        <w:t>P"  </w:t>
      </w:r>
      <w:r>
        <w:rPr>
          <w:w w:val="105"/>
          <w:sz w:val="22"/>
        </w:rPr>
        <w:t>= </w:t>
      </w:r>
      <w:r>
        <w:rPr>
          <w:spacing w:val="-6"/>
          <w:w w:val="105"/>
          <w:sz w:val="17"/>
        </w:rPr>
        <w:t>.025, </w:t>
      </w:r>
      <w:r>
        <w:rPr>
          <w:i/>
          <w:sz w:val="17"/>
        </w:rPr>
        <w:t>u:c  </w:t>
      </w:r>
      <w:r>
        <w:rPr>
          <w:w w:val="105"/>
          <w:sz w:val="22"/>
        </w:rPr>
        <w:t>= </w:t>
      </w:r>
      <w:r>
        <w:rPr>
          <w:w w:val="105"/>
          <w:sz w:val="17"/>
        </w:rPr>
        <w:t>1.032,</w:t>
      </w:r>
      <w:r>
        <w:rPr>
          <w:spacing w:val="10"/>
          <w:w w:val="105"/>
          <w:sz w:val="17"/>
        </w:rPr>
        <w:t> </w:t>
      </w:r>
      <w:r>
        <w:rPr>
          <w:w w:val="105"/>
          <w:sz w:val="17"/>
        </w:rPr>
        <w:t>and</w:t>
      </w:r>
      <w:r>
        <w:rPr>
          <w:spacing w:val="16"/>
          <w:w w:val="105"/>
          <w:sz w:val="17"/>
        </w:rPr>
        <w:t> </w:t>
      </w:r>
      <w:r>
        <w:rPr>
          <w:i/>
          <w:w w:val="105"/>
          <w:sz w:val="18"/>
        </w:rPr>
        <w:t>k.,</w:t>
        <w:tab/>
      </w:r>
      <w:r>
        <w:rPr>
          <w:spacing w:val="-4"/>
          <w:w w:val="105"/>
          <w:sz w:val="17"/>
        </w:rPr>
        <w:t>.015.</w:t>
      </w:r>
    </w:p>
    <w:p>
      <w:pPr>
        <w:spacing w:after="0"/>
        <w:jc w:val="left"/>
        <w:rPr>
          <w:sz w:val="17"/>
        </w:rPr>
        <w:sectPr>
          <w:type w:val="continuous"/>
          <w:pgSz w:w="7200" w:h="11340"/>
          <w:pgMar w:top="1100" w:bottom="0" w:left="640" w:right="500"/>
        </w:sectPr>
      </w:pPr>
    </w:p>
    <w:p>
      <w:pPr>
        <w:pStyle w:val="ListParagraph"/>
        <w:numPr>
          <w:ilvl w:val="1"/>
          <w:numId w:val="56"/>
        </w:numPr>
        <w:tabs>
          <w:tab w:pos="574" w:val="left" w:leader="none"/>
        </w:tabs>
        <w:spacing w:line="319" w:lineRule="exact" w:before="110" w:after="0"/>
        <w:ind w:left="573" w:right="0" w:hanging="292"/>
        <w:jc w:val="left"/>
        <w:rPr>
          <w:sz w:val="18"/>
        </w:rPr>
      </w:pPr>
      <w:r>
        <w:rPr/>
        <w:pict>
          <v:shape style="position:absolute;margin-left:103.139999pt;margin-top:13.062613pt;width:10.85pt;height:8.5pt;mso-position-horizontal-relative:page;mso-position-vertical-relative:paragraph;z-index:-724768" type="#_x0000_t202" filled="false" stroked="false">
            <v:textbox inset="0,0,0,0">
              <w:txbxContent>
                <w:p>
                  <w:pPr>
                    <w:spacing w:line="170" w:lineRule="exact" w:before="0"/>
                    <w:ind w:left="0" w:right="0" w:firstLine="0"/>
                    <w:jc w:val="left"/>
                    <w:rPr>
                      <w:sz w:val="17"/>
                    </w:rPr>
                  </w:pPr>
                  <w:r>
                    <w:rPr>
                      <w:w w:val="382"/>
                      <w:sz w:val="17"/>
                    </w:rPr>
                    <w:t>-</w:t>
                  </w:r>
                </w:p>
              </w:txbxContent>
            </v:textbox>
            <w10:wrap type="none"/>
          </v:shape>
        </w:pict>
      </w:r>
      <w:r>
        <w:rPr>
          <w:sz w:val="18"/>
        </w:rPr>
        <w:t>Show </w:t>
      </w:r>
      <w:r>
        <w:rPr>
          <w:sz w:val="17"/>
        </w:rPr>
        <w:t>tha.t </w:t>
      </w:r>
      <w:r>
        <w:rPr>
          <w:b/>
          <w:i/>
          <w:w w:val="95"/>
          <w:position w:val="12"/>
          <w:sz w:val="18"/>
        </w:rPr>
        <w:t>k.a</w:t>
      </w:r>
      <w:r>
        <w:rPr>
          <w:b/>
          <w:i/>
          <w:spacing w:val="29"/>
          <w:w w:val="95"/>
          <w:position w:val="12"/>
          <w:sz w:val="18"/>
        </w:rPr>
        <w:t> </w:t>
      </w:r>
      <w:r>
        <w:rPr>
          <w:sz w:val="22"/>
        </w:rPr>
        <w:t>=</w:t>
      </w:r>
    </w:p>
    <w:p>
      <w:pPr>
        <w:spacing w:line="121" w:lineRule="exact" w:before="0"/>
        <w:ind w:left="0" w:right="195" w:firstLine="0"/>
        <w:jc w:val="right"/>
        <w:rPr>
          <w:i/>
          <w:sz w:val="12"/>
        </w:rPr>
      </w:pPr>
      <w:r>
        <w:rPr>
          <w:i/>
          <w:w w:val="85"/>
          <w:sz w:val="12"/>
        </w:rPr>
        <w:t>U.:i</w:t>
      </w:r>
    </w:p>
    <w:p>
      <w:pPr>
        <w:pStyle w:val="BodyText"/>
        <w:rPr>
          <w:i/>
          <w:sz w:val="10"/>
        </w:rPr>
      </w:pPr>
      <w:r>
        <w:rPr/>
        <w:br w:type="column"/>
      </w:r>
      <w:r>
        <w:rPr>
          <w:i/>
          <w:sz w:val="10"/>
        </w:rPr>
      </w:r>
    </w:p>
    <w:p>
      <w:pPr>
        <w:spacing w:line="82" w:lineRule="exact" w:before="75"/>
        <w:ind w:left="9" w:right="3699" w:firstLine="0"/>
        <w:jc w:val="center"/>
        <w:rPr>
          <w:sz w:val="10"/>
        </w:rPr>
      </w:pPr>
      <w:r>
        <w:rPr>
          <w:w w:val="170"/>
          <w:sz w:val="10"/>
        </w:rPr>
        <w:t>l _</w:t>
      </w:r>
    </w:p>
    <w:p>
      <w:pPr>
        <w:spacing w:line="163" w:lineRule="exact" w:before="0"/>
        <w:ind w:left="19" w:right="3699" w:firstLine="0"/>
        <w:jc w:val="center"/>
        <w:rPr>
          <w:sz w:val="17"/>
        </w:rPr>
      </w:pPr>
      <w:r>
        <w:rPr>
          <w:w w:val="95"/>
          <w:sz w:val="17"/>
        </w:rPr>
        <w:t>A.,,11 .</w:t>
      </w:r>
    </w:p>
    <w:p>
      <w:pPr>
        <w:spacing w:after="0" w:line="163" w:lineRule="exact"/>
        <w:jc w:val="center"/>
        <w:rPr>
          <w:sz w:val="17"/>
        </w:rPr>
        <w:sectPr>
          <w:type w:val="continuous"/>
          <w:pgSz w:w="7200" w:h="11340"/>
          <w:pgMar w:top="1100" w:bottom="0" w:left="640" w:right="500"/>
          <w:cols w:num="2" w:equalWidth="0">
            <w:col w:w="1781" w:space="40"/>
            <w:col w:w="4239"/>
          </w:cols>
        </w:sectPr>
      </w:pPr>
    </w:p>
    <w:p>
      <w:pPr>
        <w:pStyle w:val="BodyText"/>
        <w:spacing w:before="11"/>
        <w:rPr>
          <w:sz w:val="13"/>
        </w:rPr>
      </w:pPr>
    </w:p>
    <w:p>
      <w:pPr>
        <w:pStyle w:val="ListParagraph"/>
        <w:numPr>
          <w:ilvl w:val="1"/>
          <w:numId w:val="56"/>
        </w:numPr>
        <w:tabs>
          <w:tab w:pos="577" w:val="left" w:leader="none"/>
        </w:tabs>
        <w:spacing w:line="240" w:lineRule="auto" w:before="0" w:after="0"/>
        <w:ind w:left="576" w:right="0" w:hanging="288"/>
        <w:jc w:val="left"/>
        <w:rPr>
          <w:sz w:val="17"/>
        </w:rPr>
      </w:pPr>
      <w:r>
        <w:rPr>
          <w:w w:val="110"/>
          <w:sz w:val="17"/>
        </w:rPr>
        <w:t>Wright's reserve  accumulation  formula</w:t>
      </w:r>
      <w:r>
        <w:rPr>
          <w:spacing w:val="24"/>
          <w:w w:val="110"/>
          <w:sz w:val="17"/>
        </w:rPr>
        <w:t> </w:t>
      </w:r>
      <w:r>
        <w:rPr>
          <w:w w:val="110"/>
          <w:sz w:val="17"/>
        </w:rPr>
        <w:t>is</w:t>
      </w:r>
    </w:p>
    <w:p>
      <w:pPr>
        <w:spacing w:before="74"/>
        <w:ind w:left="1872" w:right="0" w:firstLine="0"/>
        <w:jc w:val="left"/>
        <w:rPr>
          <w:i/>
          <w:sz w:val="11"/>
        </w:rPr>
      </w:pPr>
      <w:r>
        <w:rPr>
          <w:sz w:val="17"/>
        </w:rPr>
        <w:t>1+1V </w:t>
      </w:r>
      <w:r>
        <w:rPr>
          <w:sz w:val="21"/>
        </w:rPr>
        <w:t>= </w:t>
      </w:r>
      <w:r>
        <w:rPr>
          <w:w w:val="120"/>
          <w:sz w:val="15"/>
        </w:rPr>
        <w:t>(cV </w:t>
      </w:r>
      <w:r>
        <w:rPr>
          <w:w w:val="120"/>
          <w:sz w:val="24"/>
        </w:rPr>
        <w:t>+ </w:t>
      </w:r>
      <w:r>
        <w:rPr>
          <w:rFonts w:ascii="Arial"/>
          <w:b/>
          <w:i/>
          <w:w w:val="120"/>
          <w:sz w:val="17"/>
        </w:rPr>
        <w:t>P </w:t>
      </w:r>
      <w:r>
        <w:rPr>
          <w:rFonts w:ascii="Arial"/>
          <w:w w:val="225"/>
          <w:sz w:val="17"/>
        </w:rPr>
        <w:t>-</w:t>
      </w:r>
      <w:r>
        <w:rPr>
          <w:rFonts w:ascii="Arial"/>
          <w:spacing w:val="-89"/>
          <w:w w:val="225"/>
          <w:sz w:val="17"/>
        </w:rPr>
        <w:t> </w:t>
      </w:r>
      <w:r>
        <w:rPr>
          <w:i/>
          <w:w w:val="120"/>
          <w:sz w:val="11"/>
        </w:rPr>
        <w:t>C.:+1)U z+1 </w:t>
      </w:r>
      <w:r>
        <w:rPr>
          <w:i/>
          <w:w w:val="225"/>
          <w:sz w:val="11"/>
        </w:rPr>
        <w:t>.</w:t>
      </w:r>
    </w:p>
    <w:p>
      <w:pPr>
        <w:spacing w:before="99"/>
        <w:ind w:left="137" w:right="0" w:firstLine="0"/>
        <w:jc w:val="left"/>
        <w:rPr>
          <w:sz w:val="17"/>
        </w:rPr>
      </w:pPr>
      <w:r>
        <w:rPr>
          <w:sz w:val="17"/>
        </w:rPr>
        <w:t>How  mnst  </w:t>
      </w:r>
      <w:r>
        <w:rPr>
          <w:i/>
          <w:sz w:val="16"/>
        </w:rPr>
        <w:t>Cz+t  </w:t>
      </w:r>
      <w:r>
        <w:rPr>
          <w:rFonts w:ascii="Arial"/>
          <w:sz w:val="16"/>
        </w:rPr>
        <w:t>be </w:t>
      </w:r>
      <w:r>
        <w:rPr>
          <w:sz w:val="17"/>
        </w:rPr>
        <w:t>defined  i n  this formula?</w:t>
      </w:r>
    </w:p>
    <w:p>
      <w:pPr>
        <w:pStyle w:val="BodyText"/>
        <w:spacing w:before="1"/>
        <w:rPr>
          <w:sz w:val="15"/>
        </w:rPr>
      </w:pPr>
    </w:p>
    <w:p>
      <w:pPr>
        <w:pStyle w:val="ListParagraph"/>
        <w:numPr>
          <w:ilvl w:val="0"/>
          <w:numId w:val="57"/>
        </w:numPr>
        <w:tabs>
          <w:tab w:pos="433" w:val="left" w:leader="none"/>
        </w:tabs>
        <w:spacing w:line="240" w:lineRule="auto" w:before="0" w:after="0"/>
        <w:ind w:left="432" w:right="0" w:hanging="277"/>
        <w:jc w:val="left"/>
        <w:rPr>
          <w:b/>
          <w:sz w:val="16"/>
        </w:rPr>
      </w:pPr>
      <w:r>
        <w:rPr>
          <w:b/>
          <w:w w:val="125"/>
          <w:sz w:val="16"/>
        </w:rPr>
        <w:t>Methods oí</w:t>
      </w:r>
      <w:r>
        <w:rPr>
          <w:b/>
          <w:spacing w:val="-2"/>
          <w:w w:val="125"/>
          <w:sz w:val="16"/>
        </w:rPr>
        <w:t> </w:t>
      </w:r>
      <w:r>
        <w:rPr>
          <w:b/>
          <w:w w:val="125"/>
          <w:sz w:val="16"/>
        </w:rPr>
        <w:t>valuation</w:t>
      </w:r>
    </w:p>
    <w:p>
      <w:pPr>
        <w:spacing w:line="242" w:lineRule="auto" w:before="87"/>
        <w:ind w:left="130" w:right="153" w:firstLine="154"/>
        <w:jc w:val="left"/>
        <w:rPr>
          <w:sz w:val="17"/>
        </w:rPr>
      </w:pPr>
      <w:r>
        <w:rPr>
          <w:rFonts w:ascii="Arial"/>
          <w:i/>
          <w:w w:val="105"/>
          <w:sz w:val="16"/>
        </w:rPr>
        <w:t>Zl. </w:t>
      </w:r>
      <w:r>
        <w:rPr>
          <w:w w:val="105"/>
          <w:sz w:val="17"/>
        </w:rPr>
        <w:t>How should </w:t>
      </w:r>
      <w:r>
        <w:rPr>
          <w:rFonts w:ascii="Arial"/>
          <w:i/>
          <w:sz w:val="14"/>
        </w:rPr>
        <w:t>fJ"' </w:t>
      </w:r>
      <w:r>
        <w:rPr>
          <w:rFonts w:ascii="Arial"/>
          <w:w w:val="105"/>
          <w:sz w:val="16"/>
        </w:rPr>
        <w:t>be. </w:t>
      </w:r>
      <w:r>
        <w:rPr>
          <w:w w:val="105"/>
          <w:sz w:val="17"/>
        </w:rPr>
        <w:t>defined so that the attained. age formula can  be </w:t>
      </w:r>
      <w:r>
        <w:rPr>
          <w:sz w:val="17"/>
        </w:rPr>
        <w:t>. </w:t>
      </w:r>
      <w:r>
        <w:rPr>
          <w:w w:val="105"/>
          <w:sz w:val="17"/>
        </w:rPr>
        <w:t>applied  to  a  single  premium  n-year  term insurance?</w:t>
      </w:r>
    </w:p>
    <w:p>
      <w:pPr>
        <w:spacing w:after="0" w:line="242" w:lineRule="auto"/>
        <w:jc w:val="left"/>
        <w:rPr>
          <w:sz w:val="17"/>
        </w:rPr>
        <w:sectPr>
          <w:type w:val="continuous"/>
          <w:pgSz w:w="7200" w:h="11340"/>
          <w:pgMar w:top="1100" w:bottom="0" w:left="640" w:right="500"/>
        </w:sectPr>
      </w:pPr>
    </w:p>
    <w:p>
      <w:pPr>
        <w:tabs>
          <w:tab w:pos="5861" w:val="right" w:leader="none"/>
        </w:tabs>
        <w:spacing w:before="49"/>
        <w:ind w:left="2524" w:right="0" w:firstLine="0"/>
        <w:jc w:val="left"/>
        <w:rPr>
          <w:sz w:val="19"/>
        </w:rPr>
      </w:pPr>
      <w:r>
        <w:rPr>
          <w:b/>
          <w:color w:val="010101"/>
          <w:w w:val="105"/>
          <w:sz w:val="15"/>
        </w:rPr>
        <w:t>EXERCISES</w:t>
      </w:r>
      <w:r>
        <w:rPr>
          <w:color w:val="010101"/>
          <w:w w:val="105"/>
          <w:sz w:val="19"/>
        </w:rPr>
        <w:tab/>
        <w:t>129</w:t>
      </w:r>
    </w:p>
    <w:p>
      <w:pPr>
        <w:pStyle w:val="BodyText"/>
        <w:spacing w:before="1"/>
        <w:rPr>
          <w:sz w:val="21"/>
        </w:rPr>
      </w:pPr>
    </w:p>
    <w:p>
      <w:pPr>
        <w:pStyle w:val="ListParagraph"/>
        <w:numPr>
          <w:ilvl w:val="1"/>
          <w:numId w:val="57"/>
        </w:numPr>
        <w:tabs>
          <w:tab w:pos="561" w:val="left" w:leader="none"/>
        </w:tabs>
        <w:spacing w:line="244" w:lineRule="auto" w:before="1" w:after="0"/>
        <w:ind w:left="120" w:right="156" w:firstLine="150"/>
        <w:jc w:val="both"/>
        <w:rPr>
          <w:sz w:val="17"/>
        </w:rPr>
      </w:pPr>
      <w:r>
        <w:rPr>
          <w:color w:val="010101"/>
          <w:w w:val="110"/>
          <w:sz w:val="17"/>
        </w:rPr>
        <w:t>Show that the reserve at the end of </w:t>
      </w:r>
      <w:r>
        <w:rPr>
          <w:i/>
          <w:color w:val="010101"/>
          <w:w w:val="110"/>
          <w:sz w:val="18"/>
        </w:rPr>
        <w:t>t </w:t>
      </w:r>
      <w:r>
        <w:rPr>
          <w:color w:val="010101"/>
          <w:w w:val="110"/>
          <w:sz w:val="17"/>
        </w:rPr>
        <w:t>year.s for an annual premium n-ycar deferred  immediate annuity issued at age </w:t>
      </w:r>
      <w:r>
        <w:rPr>
          <w:i/>
          <w:color w:val="010101"/>
          <w:w w:val="110"/>
          <w:sz w:val="17"/>
        </w:rPr>
        <w:t>x </w:t>
      </w:r>
      <w:r>
        <w:rPr>
          <w:color w:val="010101"/>
          <w:w w:val="110"/>
          <w:sz w:val="17"/>
        </w:rPr>
        <w:t>can be expressed  </w:t>
      </w:r>
      <w:r>
        <w:rPr>
          <w:color w:val="010101"/>
          <w:spacing w:val="17"/>
          <w:w w:val="110"/>
          <w:sz w:val="17"/>
        </w:rPr>
        <w:t> </w:t>
      </w:r>
      <w:r>
        <w:rPr>
          <w:color w:val="010101"/>
          <w:w w:val="110"/>
          <w:sz w:val="17"/>
        </w:rPr>
        <w:t>as</w:t>
      </w:r>
    </w:p>
    <w:p>
      <w:pPr>
        <w:pStyle w:val="BodyText"/>
        <w:spacing w:before="10"/>
        <w:rPr>
          <w:sz w:val="14"/>
        </w:rPr>
      </w:pPr>
    </w:p>
    <w:p>
      <w:pPr>
        <w:tabs>
          <w:tab w:pos="3816" w:val="left" w:leader="none"/>
        </w:tabs>
        <w:spacing w:before="1"/>
        <w:ind w:left="1716" w:right="739" w:firstLine="0"/>
        <w:jc w:val="left"/>
        <w:rPr>
          <w:i/>
          <w:sz w:val="17"/>
        </w:rPr>
      </w:pPr>
      <w:r>
        <w:rPr>
          <w:position w:val="-14"/>
        </w:rPr>
        <w:drawing>
          <wp:inline distT="0" distB="0" distL="0" distR="0">
            <wp:extent cx="658367" cy="246887"/>
            <wp:effectExtent l="0" t="0" r="0" b="0"/>
            <wp:docPr id="285" name="image148.png" descr=""/>
            <wp:cNvGraphicFramePr>
              <a:graphicFrameLocks noChangeAspect="1"/>
            </wp:cNvGraphicFramePr>
            <a:graphic>
              <a:graphicData uri="http://schemas.openxmlformats.org/drawingml/2006/picture">
                <pic:pic>
                  <pic:nvPicPr>
                    <pic:cNvPr id="286" name="image148.png"/>
                    <pic:cNvPicPr/>
                  </pic:nvPicPr>
                  <pic:blipFill>
                    <a:blip r:embed="rId152" cstate="print"/>
                    <a:stretch>
                      <a:fillRect/>
                    </a:stretch>
                  </pic:blipFill>
                  <pic:spPr>
                    <a:xfrm>
                      <a:off x="0" y="0"/>
                      <a:ext cx="658367" cy="246887"/>
                    </a:xfrm>
                    <a:prstGeom prst="rect">
                      <a:avLst/>
                    </a:prstGeom>
                  </pic:spPr>
                </pic:pic>
              </a:graphicData>
            </a:graphic>
          </wp:inline>
        </w:drawing>
      </w:r>
      <w:r>
        <w:rPr>
          <w:position w:val="-14"/>
        </w:rPr>
      </w:r>
      <w:r>
        <w:rPr>
          <w:position w:val="1"/>
          <w:sz w:val="20"/>
        </w:rPr>
        <w:t>     </w:t>
      </w:r>
      <w:r>
        <w:rPr>
          <w:b/>
          <w:color w:val="010101"/>
          <w:w w:val="105"/>
          <w:position w:val="1"/>
          <w:sz w:val="18"/>
        </w:rPr>
        <w:t>where</w:t>
        <w:tab/>
      </w:r>
      <w:r>
        <w:rPr>
          <w:rFonts w:ascii="Arial"/>
          <w:i/>
          <w:color w:val="010101"/>
          <w:w w:val="105"/>
          <w:sz w:val="14"/>
        </w:rPr>
        <w:t>t  </w:t>
      </w:r>
      <w:r>
        <w:rPr>
          <w:rFonts w:ascii="Arial"/>
          <w:color w:val="010101"/>
          <w:w w:val="105"/>
          <w:sz w:val="23"/>
        </w:rPr>
        <w:t>&lt;</w:t>
      </w:r>
      <w:r>
        <w:rPr>
          <w:rFonts w:ascii="Arial"/>
          <w:color w:val="010101"/>
          <w:spacing w:val="4"/>
          <w:w w:val="105"/>
          <w:sz w:val="23"/>
        </w:rPr>
        <w:t> </w:t>
      </w:r>
      <w:r>
        <w:rPr>
          <w:i/>
          <w:color w:val="010101"/>
          <w:w w:val="105"/>
          <w:sz w:val="17"/>
        </w:rPr>
        <w:t>n</w:t>
      </w:r>
    </w:p>
    <w:p>
      <w:pPr>
        <w:spacing w:before="153"/>
        <w:ind w:left="109" w:right="739" w:firstLine="0"/>
        <w:jc w:val="left"/>
        <w:rPr>
          <w:b/>
          <w:i/>
          <w:sz w:val="16"/>
        </w:rPr>
      </w:pPr>
      <w:r>
        <w:rPr>
          <w:b/>
          <w:color w:val="010101"/>
          <w:sz w:val="17"/>
        </w:rPr>
        <w:t>and  </w:t>
      </w:r>
      <w:r>
        <w:rPr>
          <w:b/>
          <w:i/>
          <w:color w:val="010101"/>
          <w:sz w:val="18"/>
        </w:rPr>
        <w:t>P  is  </w:t>
      </w:r>
      <w:r>
        <w:rPr>
          <w:color w:val="010101"/>
          <w:sz w:val="17"/>
        </w:rPr>
        <w:t>the  net  premium.  </w:t>
      </w:r>
      <w:r>
        <w:rPr>
          <w:b/>
          <w:color w:val="010101"/>
          <w:sz w:val="17"/>
        </w:rPr>
        <w:t>What  is </w:t>
      </w:r>
      <w:r>
        <w:rPr>
          <w:b/>
          <w:i/>
          <w:color w:val="010101"/>
          <w:sz w:val="16"/>
        </w:rPr>
        <w:t>8" ?</w:t>
      </w:r>
    </w:p>
    <w:p>
      <w:pPr>
        <w:pStyle w:val="ListParagraph"/>
        <w:numPr>
          <w:ilvl w:val="1"/>
          <w:numId w:val="57"/>
        </w:numPr>
        <w:tabs>
          <w:tab w:pos="564" w:val="left" w:leader="none"/>
        </w:tabs>
        <w:spacing w:line="247" w:lineRule="auto" w:before="0" w:after="0"/>
        <w:ind w:left="109" w:right="141" w:firstLine="168"/>
        <w:jc w:val="both"/>
        <w:rPr>
          <w:sz w:val="17"/>
        </w:rPr>
      </w:pPr>
      <w:r>
        <w:rPr>
          <w:color w:val="010101"/>
          <w:w w:val="110"/>
          <w:sz w:val="17"/>
        </w:rPr>
        <w:t>Show that the n-th terminal reserve under any net level annual pre­ mium policy for an insurance of unity issued at a.ge </w:t>
      </w:r>
      <w:r>
        <w:rPr>
          <w:i/>
          <w:color w:val="010101"/>
          <w:w w:val="110"/>
          <w:sz w:val="17"/>
        </w:rPr>
        <w:t>x ,</w:t>
      </w:r>
      <w:r>
        <w:rPr>
          <w:i/>
          <w:color w:val="010101"/>
          <w:spacing w:val="-31"/>
          <w:w w:val="110"/>
          <w:sz w:val="17"/>
        </w:rPr>
        <w:t> </w:t>
      </w:r>
      <w:r>
        <w:rPr>
          <w:color w:val="010101"/>
          <w:w w:val="110"/>
          <w:sz w:val="17"/>
        </w:rPr>
        <w:t>premiums not having ceased,</w:t>
      </w:r>
      <w:r>
        <w:rPr>
          <w:color w:val="010101"/>
          <w:spacing w:val="15"/>
          <w:w w:val="110"/>
          <w:sz w:val="17"/>
        </w:rPr>
        <w:t> </w:t>
      </w:r>
      <w:r>
        <w:rPr>
          <w:color w:val="010101"/>
          <w:w w:val="110"/>
          <w:sz w:val="17"/>
        </w:rPr>
        <w:t>equals</w:t>
      </w:r>
    </w:p>
    <w:p>
      <w:pPr>
        <w:spacing w:before="57"/>
        <w:ind w:left="74" w:right="94" w:firstLine="0"/>
        <w:jc w:val="center"/>
        <w:rPr>
          <w:rFonts w:ascii="Arial" w:hAnsi="Arial"/>
          <w:sz w:val="16"/>
        </w:rPr>
      </w:pPr>
      <w:r>
        <w:rPr>
          <w:rFonts w:ascii="Arial" w:hAnsi="Arial"/>
          <w:color w:val="010101"/>
          <w:w w:val="110"/>
          <w:sz w:val="16"/>
        </w:rPr>
        <w:t>(1 </w:t>
      </w:r>
      <w:r>
        <w:rPr>
          <w:rFonts w:ascii="Arial" w:hAnsi="Arial"/>
          <w:color w:val="010101"/>
          <w:w w:val="110"/>
          <w:sz w:val="25"/>
        </w:rPr>
        <w:t>+ </w:t>
      </w:r>
      <w:r>
        <w:rPr>
          <w:b/>
          <w:color w:val="010101"/>
          <w:w w:val="90"/>
          <w:sz w:val="17"/>
        </w:rPr>
        <w:t>B"D;.:_ ,.) </w:t>
      </w:r>
      <w:r>
        <w:rPr>
          <w:color w:val="010101"/>
          <w:w w:val="245"/>
          <w:sz w:val="17"/>
        </w:rPr>
        <w:t>-</w:t>
      </w:r>
      <w:r>
        <w:rPr>
          <w:color w:val="010101"/>
          <w:spacing w:val="-62"/>
          <w:w w:val="245"/>
          <w:sz w:val="17"/>
        </w:rPr>
        <w:t> </w:t>
      </w:r>
      <w:r>
        <w:rPr>
          <w:rFonts w:ascii="Arial" w:hAnsi="Arial"/>
          <w:color w:val="010101"/>
          <w:w w:val="110"/>
          <w:sz w:val="16"/>
        </w:rPr>
        <w:t>(P </w:t>
      </w:r>
      <w:r>
        <w:rPr>
          <w:rFonts w:ascii="Arial" w:hAnsi="Arial"/>
          <w:color w:val="010101"/>
          <w:w w:val="110"/>
          <w:sz w:val="25"/>
        </w:rPr>
        <w:t>+ </w:t>
      </w:r>
      <w:r>
        <w:rPr>
          <w:rFonts w:ascii="Arial" w:hAnsi="Arial"/>
          <w:color w:val="010101"/>
          <w:w w:val="110"/>
          <w:sz w:val="16"/>
        </w:rPr>
        <w:t>d)4z+•</w:t>
      </w:r>
    </w:p>
    <w:p>
      <w:pPr>
        <w:spacing w:line="247" w:lineRule="auto" w:before="139"/>
        <w:ind w:left="120" w:right="152" w:firstLine="0"/>
        <w:jc w:val="both"/>
        <w:rPr>
          <w:sz w:val="17"/>
        </w:rPr>
      </w:pPr>
      <w:r>
        <w:rPr>
          <w:color w:val="010101"/>
          <w:w w:val="105"/>
          <w:sz w:val="17"/>
        </w:rPr>
        <w:t>where </w:t>
      </w:r>
      <w:r>
        <w:rPr>
          <w:rFonts w:ascii="Arial"/>
          <w:i/>
          <w:color w:val="010101"/>
          <w:w w:val="105"/>
          <w:sz w:val="17"/>
        </w:rPr>
        <w:t>P </w:t>
      </w:r>
      <w:r>
        <w:rPr>
          <w:color w:val="010101"/>
          <w:w w:val="105"/>
          <w:sz w:val="17"/>
        </w:rPr>
        <w:t>is the net annual premium and </w:t>
      </w:r>
      <w:r>
        <w:rPr>
          <w:i/>
          <w:color w:val="010101"/>
          <w:w w:val="105"/>
          <w:sz w:val="12"/>
        </w:rPr>
        <w:t>(J" </w:t>
      </w:r>
      <w:r>
        <w:rPr>
          <w:color w:val="010101"/>
          <w:w w:val="105"/>
          <w:sz w:val="17"/>
        </w:rPr>
        <w:t>is a function i:ndependent of duration.</w:t>
      </w:r>
    </w:p>
    <w:p>
      <w:pPr>
        <w:pStyle w:val="BodyText"/>
        <w:spacing w:before="4"/>
        <w:rPr>
          <w:sz w:val="16"/>
        </w:rPr>
      </w:pPr>
    </w:p>
    <w:p>
      <w:pPr>
        <w:pStyle w:val="ListParagraph"/>
        <w:numPr>
          <w:ilvl w:val="0"/>
          <w:numId w:val="57"/>
        </w:numPr>
        <w:tabs>
          <w:tab w:pos="414" w:val="left" w:leader="none"/>
        </w:tabs>
        <w:spacing w:line="240" w:lineRule="auto" w:before="0" w:after="0"/>
        <w:ind w:left="413" w:right="0" w:hanging="283"/>
        <w:jc w:val="both"/>
        <w:rPr>
          <w:b/>
          <w:color w:val="010101"/>
          <w:sz w:val="17"/>
        </w:rPr>
      </w:pPr>
      <w:r>
        <w:rPr>
          <w:b/>
          <w:color w:val="010101"/>
          <w:w w:val="120"/>
          <w:sz w:val="16"/>
        </w:rPr>
        <w:t>Eft'ects </w:t>
      </w:r>
      <w:r>
        <w:rPr>
          <w:b/>
          <w:i/>
          <w:color w:val="010101"/>
          <w:w w:val="120"/>
          <w:sz w:val="18"/>
        </w:rPr>
        <w:t>ol </w:t>
      </w:r>
      <w:r>
        <w:rPr>
          <w:b/>
          <w:color w:val="010101"/>
          <w:w w:val="120"/>
          <w:sz w:val="16"/>
        </w:rPr>
        <w:t>variation  in interest and  mortality</w:t>
      </w:r>
    </w:p>
    <w:p>
      <w:pPr>
        <w:pStyle w:val="ListParagraph"/>
        <w:numPr>
          <w:ilvl w:val="0"/>
          <w:numId w:val="58"/>
        </w:numPr>
        <w:tabs>
          <w:tab w:pos="571" w:val="left" w:leader="none"/>
        </w:tabs>
        <w:spacing w:line="156" w:lineRule="auto" w:before="132" w:after="0"/>
        <w:ind w:left="120" w:right="133" w:firstLine="157"/>
        <w:jc w:val="left"/>
        <w:rPr>
          <w:sz w:val="17"/>
        </w:rPr>
      </w:pPr>
      <w:r>
        <w:rPr>
          <w:color w:val="010101"/>
          <w:w w:val="105"/>
          <w:sz w:val="17"/>
        </w:rPr>
        <w:t>Determine the eff ect on ordinary life reserves if ea.ch </w:t>
      </w:r>
      <w:r>
        <w:rPr>
          <w:i/>
          <w:color w:val="010101"/>
          <w:w w:val="105"/>
          <w:sz w:val="18"/>
        </w:rPr>
        <w:t>p " </w:t>
      </w:r>
      <w:r>
        <w:rPr>
          <w:color w:val="010101"/>
          <w:w w:val="105"/>
          <w:sz w:val="17"/>
        </w:rPr>
        <w:t>in the mor­ tality  table  is multiplied  by  (1 </w:t>
      </w:r>
      <w:r>
        <w:rPr>
          <w:rFonts w:ascii="Arial" w:hAnsi="Arial"/>
          <w:color w:val="010101"/>
          <w:w w:val="105"/>
          <w:sz w:val="25"/>
        </w:rPr>
        <w:t>+ </w:t>
      </w:r>
      <w:r>
        <w:rPr>
          <w:rFonts w:ascii="Arial" w:hAnsi="Arial"/>
          <w:i/>
          <w:color w:val="010101"/>
          <w:spacing w:val="5"/>
          <w:w w:val="105"/>
          <w:sz w:val="17"/>
        </w:rPr>
        <w:t>k), </w:t>
      </w:r>
      <w:r>
        <w:rPr>
          <w:color w:val="010101"/>
          <w:w w:val="105"/>
          <w:sz w:val="17"/>
        </w:rPr>
        <w:t>where  </w:t>
      </w:r>
      <w:r>
        <w:rPr>
          <w:rFonts w:ascii="Arial" w:hAnsi="Arial"/>
          <w:i/>
          <w:color w:val="010101"/>
          <w:w w:val="105"/>
          <w:sz w:val="17"/>
        </w:rPr>
        <w:t>k  </w:t>
      </w:r>
      <w:r>
        <w:rPr>
          <w:color w:val="010101"/>
          <w:w w:val="105"/>
          <w:sz w:val="17"/>
        </w:rPr>
        <w:t>is  a positive  </w:t>
      </w:r>
      <w:r>
        <w:rPr>
          <w:color w:val="010101"/>
          <w:spacing w:val="18"/>
          <w:w w:val="105"/>
          <w:sz w:val="17"/>
        </w:rPr>
        <w:t> </w:t>
      </w:r>
      <w:r>
        <w:rPr>
          <w:color w:val="010101"/>
          <w:w w:val="105"/>
          <w:sz w:val="17"/>
        </w:rPr>
        <w:t>constant.</w:t>
      </w:r>
    </w:p>
    <w:p>
      <w:pPr>
        <w:pStyle w:val="ListParagraph"/>
        <w:numPr>
          <w:ilvl w:val="0"/>
          <w:numId w:val="58"/>
        </w:numPr>
        <w:tabs>
          <w:tab w:pos="575" w:val="left" w:leader="none"/>
        </w:tabs>
        <w:spacing w:line="169" w:lineRule="exact" w:before="4" w:after="0"/>
        <w:ind w:left="574" w:right="0" w:hanging="297"/>
        <w:jc w:val="left"/>
        <w:rPr>
          <w:sz w:val="17"/>
        </w:rPr>
      </w:pPr>
      <w:r>
        <w:rPr>
          <w:color w:val="010101"/>
          <w:w w:val="110"/>
          <w:sz w:val="17"/>
        </w:rPr>
        <w:t>lf  the critica! function  in  Lidstone's  theorem  has the·constant</w:t>
      </w:r>
      <w:r>
        <w:rPr>
          <w:color w:val="010101"/>
          <w:spacing w:val="19"/>
          <w:w w:val="110"/>
          <w:sz w:val="17"/>
        </w:rPr>
        <w:t> </w:t>
      </w:r>
      <w:r>
        <w:rPr>
          <w:color w:val="010101"/>
          <w:w w:val="110"/>
          <w:sz w:val="17"/>
        </w:rPr>
        <w:t>value</w:t>
      </w:r>
    </w:p>
    <w:p>
      <w:pPr>
        <w:spacing w:line="241" w:lineRule="exact" w:before="0"/>
        <w:ind w:left="116" w:right="0" w:firstLine="0"/>
        <w:jc w:val="both"/>
        <w:rPr>
          <w:i/>
          <w:sz w:val="18"/>
        </w:rPr>
      </w:pPr>
      <w:r>
        <w:rPr>
          <w:i/>
          <w:color w:val="010101"/>
          <w:w w:val="110"/>
          <w:sz w:val="18"/>
        </w:rPr>
        <w:t>e, </w:t>
      </w:r>
      <w:r>
        <w:rPr>
          <w:color w:val="010101"/>
          <w:w w:val="110"/>
          <w:sz w:val="17"/>
        </w:rPr>
        <w:t>show that  </w:t>
      </w:r>
      <w:r>
        <w:rPr>
          <w:i/>
          <w:color w:val="010101"/>
          <w:w w:val="110"/>
          <w:sz w:val="18"/>
        </w:rPr>
        <w:t>P  </w:t>
      </w:r>
      <w:r>
        <w:rPr>
          <w:color w:val="010101"/>
          <w:w w:val="110"/>
          <w:sz w:val="21"/>
        </w:rPr>
        <w:t>= </w:t>
      </w:r>
      <w:r>
        <w:rPr>
          <w:i/>
          <w:color w:val="010101"/>
          <w:w w:val="110"/>
          <w:sz w:val="18"/>
        </w:rPr>
        <w:t>P'  </w:t>
      </w:r>
      <w:r>
        <w:rPr>
          <w:color w:val="010101"/>
          <w:w w:val="110"/>
          <w:sz w:val="24"/>
        </w:rPr>
        <w:t>+ </w:t>
      </w:r>
      <w:r>
        <w:rPr>
          <w:i/>
          <w:color w:val="010101"/>
          <w:w w:val="110"/>
          <w:sz w:val="18"/>
        </w:rPr>
        <w:t>cv'.</w:t>
      </w:r>
    </w:p>
    <w:p>
      <w:pPr>
        <w:pStyle w:val="ListParagraph"/>
        <w:numPr>
          <w:ilvl w:val="0"/>
          <w:numId w:val="58"/>
        </w:numPr>
        <w:tabs>
          <w:tab w:pos="575" w:val="left" w:leader="none"/>
        </w:tabs>
        <w:spacing w:line="141" w:lineRule="auto" w:before="56" w:after="0"/>
        <w:ind w:left="123" w:right="134" w:firstLine="158"/>
        <w:jc w:val="left"/>
        <w:rPr>
          <w:sz w:val="17"/>
        </w:rPr>
      </w:pPr>
      <w:r>
        <w:rPr>
          <w:color w:val="010101"/>
          <w:w w:val="105"/>
          <w:sz w:val="17"/>
        </w:rPr>
        <w:t>A certain substandard class is subject  to  extra  mortality  which  re­  sults in ordinary  life annual  net  premiums  </w:t>
      </w:r>
      <w:r>
        <w:rPr>
          <w:rFonts w:ascii="Arial" w:hAnsi="Arial"/>
          <w:i/>
          <w:color w:val="010101"/>
          <w:w w:val="105"/>
          <w:sz w:val="26"/>
        </w:rPr>
        <w:t>p; </w:t>
      </w:r>
      <w:r>
        <w:rPr>
          <w:color w:val="010101"/>
          <w:w w:val="105"/>
          <w:sz w:val="17"/>
        </w:rPr>
        <w:t>which  are related  to</w:t>
      </w:r>
      <w:r>
        <w:rPr>
          <w:color w:val="010101"/>
          <w:spacing w:val="40"/>
          <w:w w:val="105"/>
          <w:sz w:val="17"/>
        </w:rPr>
        <w:t> </w:t>
      </w:r>
      <w:r>
        <w:rPr>
          <w:color w:val="010101"/>
          <w:w w:val="105"/>
          <w:sz w:val="17"/>
        </w:rPr>
        <w:t>standard</w:t>
      </w:r>
    </w:p>
    <w:p>
      <w:pPr>
        <w:spacing w:before="4"/>
        <w:ind w:left="123" w:right="0" w:firstLine="0"/>
        <w:jc w:val="both"/>
        <w:rPr>
          <w:sz w:val="17"/>
        </w:rPr>
      </w:pPr>
      <w:r>
        <w:rPr>
          <w:color w:val="010101"/>
          <w:w w:val="110"/>
          <w:sz w:val="17"/>
        </w:rPr>
        <w:t>ordinary life net premiums  </w:t>
      </w:r>
      <w:r>
        <w:rPr>
          <w:i/>
          <w:color w:val="010101"/>
          <w:w w:val="110"/>
          <w:sz w:val="18"/>
        </w:rPr>
        <w:t>P"  </w:t>
      </w:r>
      <w:r>
        <w:rPr>
          <w:color w:val="010101"/>
          <w:w w:val="110"/>
          <w:sz w:val="17"/>
        </w:rPr>
        <w:t>by the formula</w:t>
      </w:r>
    </w:p>
    <w:p>
      <w:pPr>
        <w:spacing w:before="132"/>
        <w:ind w:left="74" w:right="72" w:firstLine="0"/>
        <w:jc w:val="center"/>
        <w:rPr>
          <w:i/>
          <w:sz w:val="18"/>
        </w:rPr>
      </w:pPr>
      <w:r>
        <w:rPr>
          <w:i/>
          <w:color w:val="010101"/>
          <w:w w:val="145"/>
          <w:sz w:val="17"/>
        </w:rPr>
        <w:t>p  </w:t>
      </w:r>
      <w:r>
        <w:rPr>
          <w:color w:val="010101"/>
          <w:w w:val="105"/>
          <w:sz w:val="19"/>
        </w:rPr>
        <w:t>=  </w:t>
      </w:r>
      <w:r>
        <w:rPr>
          <w:rFonts w:ascii="Arial"/>
          <w:color w:val="010101"/>
          <w:w w:val="105"/>
          <w:sz w:val="16"/>
        </w:rPr>
        <w:t>(1 </w:t>
      </w:r>
      <w:r>
        <w:rPr>
          <w:rFonts w:ascii="Arial"/>
          <w:color w:val="010101"/>
          <w:w w:val="105"/>
          <w:sz w:val="25"/>
        </w:rPr>
        <w:t>+ </w:t>
      </w:r>
      <w:r>
        <w:rPr>
          <w:i/>
          <w:color w:val="010101"/>
          <w:w w:val="105"/>
          <w:sz w:val="17"/>
        </w:rPr>
        <w:t>k)P"  </w:t>
      </w:r>
      <w:r>
        <w:rPr>
          <w:rFonts w:ascii="Arial"/>
          <w:color w:val="010101"/>
          <w:w w:val="105"/>
          <w:sz w:val="25"/>
        </w:rPr>
        <w:t>+ </w:t>
      </w:r>
      <w:r>
        <w:rPr>
          <w:i/>
          <w:color w:val="010101"/>
          <w:w w:val="105"/>
          <w:sz w:val="18"/>
        </w:rPr>
        <w:t>c.</w:t>
      </w:r>
    </w:p>
    <w:p>
      <w:pPr>
        <w:spacing w:line="242" w:lineRule="auto" w:before="176"/>
        <w:ind w:left="120" w:right="142" w:firstLine="0"/>
        <w:jc w:val="both"/>
        <w:rPr>
          <w:rFonts w:ascii="Arial"/>
          <w:i/>
          <w:sz w:val="17"/>
        </w:rPr>
      </w:pPr>
      <w:r>
        <w:rPr>
          <w:color w:val="010101"/>
          <w:w w:val="110"/>
          <w:sz w:val="17"/>
        </w:rPr>
        <w:t>Show that the substandard class reserves will be greater than, less than, or equal to the standard ordinary life reserves according as </w:t>
      </w:r>
      <w:r>
        <w:rPr>
          <w:i/>
          <w:color w:val="010101"/>
          <w:w w:val="110"/>
          <w:sz w:val="18"/>
        </w:rPr>
        <w:t>e </w:t>
      </w:r>
      <w:r>
        <w:rPr>
          <w:rFonts w:ascii="Arial"/>
          <w:color w:val="010101"/>
          <w:w w:val="110"/>
          <w:sz w:val="17"/>
        </w:rPr>
        <w:t>is </w:t>
      </w:r>
      <w:r>
        <w:rPr>
          <w:color w:val="010101"/>
          <w:w w:val="110"/>
          <w:sz w:val="17"/>
        </w:rPr>
        <w:t>less than, </w:t>
      </w:r>
      <w:r>
        <w:rPr>
          <w:rFonts w:ascii="Arial"/>
          <w:b/>
          <w:color w:val="010101"/>
          <w:w w:val="110"/>
          <w:sz w:val="15"/>
        </w:rPr>
        <w:t>greater </w:t>
      </w:r>
      <w:r>
        <w:rPr>
          <w:color w:val="010101"/>
          <w:w w:val="110"/>
          <w:sz w:val="17"/>
        </w:rPr>
        <w:t>than, or equal to   </w:t>
      </w:r>
      <w:r>
        <w:rPr>
          <w:rFonts w:ascii="Arial"/>
          <w:i/>
          <w:color w:val="010101"/>
          <w:w w:val="110"/>
          <w:sz w:val="17"/>
        </w:rPr>
        <w:t>kd.</w:t>
      </w:r>
    </w:p>
    <w:p>
      <w:pPr>
        <w:pStyle w:val="ListParagraph"/>
        <w:numPr>
          <w:ilvl w:val="0"/>
          <w:numId w:val="58"/>
        </w:numPr>
        <w:tabs>
          <w:tab w:pos="571" w:val="left" w:leader="none"/>
        </w:tabs>
        <w:spacing w:line="139" w:lineRule="exact" w:before="3" w:after="0"/>
        <w:ind w:left="571" w:right="0" w:hanging="290"/>
        <w:jc w:val="left"/>
        <w:rPr>
          <w:sz w:val="17"/>
        </w:rPr>
      </w:pPr>
      <w:r>
        <w:rPr>
          <w:color w:val="010101"/>
          <w:w w:val="110"/>
          <w:sz w:val="17"/>
        </w:rPr>
        <w:t>Given the following data based  upon  two mortality  tables  </w:t>
      </w:r>
      <w:r>
        <w:rPr>
          <w:i/>
          <w:color w:val="010101"/>
          <w:w w:val="110"/>
          <w:sz w:val="17"/>
        </w:rPr>
        <w:t>T  </w:t>
      </w:r>
      <w:r>
        <w:rPr>
          <w:color w:val="010101"/>
          <w:w w:val="110"/>
          <w:sz w:val="17"/>
        </w:rPr>
        <w:t>and</w:t>
      </w:r>
      <w:r>
        <w:rPr>
          <w:color w:val="010101"/>
          <w:spacing w:val="32"/>
          <w:w w:val="110"/>
          <w:sz w:val="17"/>
        </w:rPr>
        <w:t> </w:t>
      </w:r>
      <w:r>
        <w:rPr>
          <w:color w:val="010101"/>
          <w:w w:val="110"/>
          <w:sz w:val="17"/>
        </w:rPr>
        <w:t>T':</w:t>
      </w:r>
    </w:p>
    <w:p>
      <w:pPr>
        <w:spacing w:line="286" w:lineRule="exact" w:before="0"/>
        <w:ind w:left="0" w:right="1520" w:firstLine="0"/>
        <w:jc w:val="right"/>
        <w:rPr>
          <w:sz w:val="47"/>
        </w:rPr>
      </w:pPr>
      <w:r>
        <w:rPr>
          <w:color w:val="010101"/>
          <w:spacing w:val="-52"/>
          <w:w w:val="144"/>
          <w:sz w:val="32"/>
        </w:rPr>
        <w:t>,</w:t>
      </w:r>
      <w:r>
        <w:rPr>
          <w:color w:val="010101"/>
          <w:spacing w:val="-133"/>
          <w:w w:val="118"/>
          <w:sz w:val="47"/>
        </w:rPr>
        <w:t>.</w:t>
      </w:r>
      <w:r>
        <w:rPr>
          <w:color w:val="010101"/>
          <w:spacing w:val="-2"/>
          <w:w w:val="113"/>
          <w:position w:val="15"/>
          <w:sz w:val="17"/>
        </w:rPr>
        <w:t>,</w:t>
      </w:r>
      <w:r>
        <w:rPr>
          <w:color w:val="010101"/>
          <w:spacing w:val="-83"/>
          <w:w w:val="125"/>
          <w:sz w:val="47"/>
        </w:rPr>
        <w:t>.</w:t>
      </w:r>
      <w:r>
        <w:rPr>
          <w:color w:val="010101"/>
          <w:w w:val="49"/>
          <w:sz w:val="47"/>
        </w:rPr>
        <w:t>..</w:t>
      </w:r>
    </w:p>
    <w:p>
      <w:pPr>
        <w:tabs>
          <w:tab w:pos="2918" w:val="left" w:leader="none"/>
          <w:tab w:pos="4210" w:val="left" w:leader="none"/>
        </w:tabs>
        <w:spacing w:line="419" w:lineRule="exact" w:before="0"/>
        <w:ind w:left="1683" w:right="739" w:firstLine="0"/>
        <w:jc w:val="left"/>
        <w:rPr>
          <w:sz w:val="41"/>
        </w:rPr>
      </w:pPr>
      <w:r>
        <w:rPr>
          <w:rFonts w:ascii="Arial" w:hAnsi="Arial"/>
          <w:color w:val="010101"/>
          <w:w w:val="105"/>
          <w:position w:val="1"/>
          <w:sz w:val="28"/>
        </w:rPr>
        <w:t>•</w:t>
      </w:r>
      <w:r>
        <w:rPr>
          <w:rFonts w:ascii="Arial" w:hAnsi="Arial"/>
          <w:color w:val="010101"/>
          <w:position w:val="1"/>
          <w:sz w:val="28"/>
        </w:rPr>
        <w:tab/>
      </w:r>
      <w:r>
        <w:rPr>
          <w:color w:val="010101"/>
          <w:w w:val="79"/>
          <w:sz w:val="41"/>
        </w:rPr>
        <w:t>,.</w:t>
      </w:r>
      <w:r>
        <w:rPr>
          <w:color w:val="010101"/>
          <w:sz w:val="41"/>
        </w:rPr>
        <w:tab/>
      </w:r>
      <w:r>
        <w:rPr>
          <w:color w:val="010101"/>
          <w:spacing w:val="-10"/>
          <w:w w:val="79"/>
          <w:sz w:val="41"/>
        </w:rPr>
        <w:t>,</w:t>
      </w:r>
      <w:r>
        <w:rPr>
          <w:color w:val="010101"/>
          <w:spacing w:val="-39"/>
          <w:w w:val="121"/>
          <w:position w:val="10"/>
          <w:sz w:val="16"/>
        </w:rPr>
        <w:t>,</w:t>
      </w:r>
      <w:r>
        <w:rPr>
          <w:color w:val="010101"/>
          <w:w w:val="79"/>
          <w:sz w:val="41"/>
        </w:rPr>
        <w:t>.</w:t>
      </w:r>
    </w:p>
    <w:p>
      <w:pPr>
        <w:tabs>
          <w:tab w:pos="2857" w:val="left" w:leader="none"/>
          <w:tab w:pos="4120" w:val="left" w:leader="none"/>
        </w:tabs>
        <w:spacing w:before="109"/>
        <w:ind w:left="1644" w:right="739" w:firstLine="0"/>
        <w:jc w:val="left"/>
        <w:rPr>
          <w:sz w:val="17"/>
        </w:rPr>
      </w:pPr>
      <w:r>
        <w:rPr>
          <w:color w:val="010101"/>
          <w:w w:val="110"/>
          <w:sz w:val="17"/>
        </w:rPr>
        <w:t>30</w:t>
        <w:tab/>
      </w:r>
      <w:r>
        <w:rPr>
          <w:color w:val="010101"/>
          <w:spacing w:val="-3"/>
          <w:w w:val="110"/>
          <w:sz w:val="17"/>
        </w:rPr>
        <w:t>.981</w:t>
        <w:tab/>
      </w:r>
      <w:r>
        <w:rPr>
          <w:color w:val="010101"/>
          <w:w w:val="110"/>
          <w:position w:val="1"/>
          <w:sz w:val="17"/>
        </w:rPr>
        <w:t>.870</w:t>
      </w:r>
    </w:p>
    <w:p>
      <w:pPr>
        <w:tabs>
          <w:tab w:pos="2857" w:val="left" w:leader="none"/>
          <w:tab w:pos="4124" w:val="left" w:leader="none"/>
        </w:tabs>
        <w:spacing w:line="156" w:lineRule="exact" w:before="2"/>
        <w:ind w:left="1644" w:right="739" w:firstLine="0"/>
        <w:jc w:val="left"/>
        <w:rPr>
          <w:sz w:val="17"/>
        </w:rPr>
      </w:pPr>
      <w:r>
        <w:rPr>
          <w:rFonts w:ascii="Arial"/>
          <w:color w:val="010101"/>
          <w:w w:val="105"/>
          <w:sz w:val="15"/>
        </w:rPr>
        <w:t>40</w:t>
        <w:tab/>
      </w:r>
      <w:r>
        <w:rPr>
          <w:color w:val="010101"/>
          <w:w w:val="105"/>
          <w:sz w:val="17"/>
        </w:rPr>
        <w:t>.988</w:t>
        <w:tab/>
      </w:r>
      <w:r>
        <w:rPr>
          <w:color w:val="010101"/>
          <w:spacing w:val="-6"/>
          <w:w w:val="105"/>
          <w:sz w:val="17"/>
        </w:rPr>
        <w:t>.815</w:t>
      </w:r>
    </w:p>
    <w:p>
      <w:pPr>
        <w:tabs>
          <w:tab w:pos="2857" w:val="left" w:leader="none"/>
          <w:tab w:pos="4124" w:val="left" w:leader="none"/>
        </w:tabs>
        <w:spacing w:line="261" w:lineRule="exact" w:before="0"/>
        <w:ind w:left="1648" w:right="739" w:firstLine="0"/>
        <w:jc w:val="left"/>
        <w:rPr>
          <w:rFonts w:ascii="Courier New"/>
          <w:sz w:val="19"/>
        </w:rPr>
      </w:pPr>
      <w:r>
        <w:rPr>
          <w:color w:val="010101"/>
          <w:sz w:val="26"/>
        </w:rPr>
        <w:t>so</w:t>
        <w:tab/>
      </w:r>
      <w:r>
        <w:rPr>
          <w:color w:val="010101"/>
          <w:sz w:val="17"/>
        </w:rPr>
        <w:t>.979</w:t>
        <w:tab/>
      </w:r>
      <w:r>
        <w:rPr>
          <w:rFonts w:ascii="Courier New"/>
          <w:color w:val="010101"/>
          <w:spacing w:val="-28"/>
          <w:sz w:val="19"/>
        </w:rPr>
        <w:t>.757</w:t>
      </w:r>
    </w:p>
    <w:p>
      <w:pPr>
        <w:spacing w:before="55"/>
        <w:ind w:left="130" w:right="133" w:firstLine="0"/>
        <w:jc w:val="left"/>
        <w:rPr>
          <w:sz w:val="14"/>
        </w:rPr>
      </w:pPr>
      <w:r>
        <w:rPr>
          <w:color w:val="010101"/>
          <w:w w:val="110"/>
          <w:sz w:val="17"/>
        </w:rPr>
        <w:t>Rank in order of magnitude the values of </w:t>
      </w:r>
      <w:r>
        <w:rPr>
          <w:color w:val="010101"/>
          <w:w w:val="110"/>
          <w:sz w:val="14"/>
        </w:rPr>
        <w:t>10Vao , 10V•o ,  </w:t>
      </w:r>
      <w:r>
        <w:rPr>
          <w:i/>
          <w:color w:val="010101"/>
          <w:w w:val="95"/>
          <w:sz w:val="18"/>
        </w:rPr>
        <w:t>10V  o </w:t>
      </w:r>
      <w:r>
        <w:rPr>
          <w:i/>
          <w:color w:val="010101"/>
          <w:w w:val="110"/>
          <w:sz w:val="18"/>
        </w:rPr>
        <w:t>, </w:t>
      </w:r>
      <w:r>
        <w:rPr>
          <w:color w:val="010101"/>
          <w:w w:val="110"/>
          <w:sz w:val="17"/>
        </w:rPr>
        <w:t>and </w:t>
      </w:r>
      <w:r>
        <w:rPr>
          <w:color w:val="010101"/>
          <w:w w:val="110"/>
          <w:sz w:val="14"/>
        </w:rPr>
        <w:t>10Vo  </w:t>
      </w:r>
      <w:r>
        <w:rPr>
          <w:color w:val="010101"/>
          <w:w w:val="135"/>
          <w:sz w:val="14"/>
        </w:rPr>
        <w:t>.</w:t>
      </w:r>
    </w:p>
    <w:p>
      <w:pPr>
        <w:pStyle w:val="BodyText"/>
        <w:spacing w:before="9"/>
        <w:rPr>
          <w:sz w:val="16"/>
        </w:rPr>
      </w:pPr>
    </w:p>
    <w:p>
      <w:pPr>
        <w:pStyle w:val="ListParagraph"/>
        <w:numPr>
          <w:ilvl w:val="0"/>
          <w:numId w:val="57"/>
        </w:numPr>
        <w:tabs>
          <w:tab w:pos="425" w:val="left" w:leader="none"/>
        </w:tabs>
        <w:spacing w:line="240" w:lineRule="auto" w:before="0" w:after="0"/>
        <w:ind w:left="424" w:right="0" w:hanging="286"/>
        <w:jc w:val="left"/>
        <w:rPr>
          <w:b/>
          <w:color w:val="010101"/>
          <w:sz w:val="17"/>
        </w:rPr>
      </w:pPr>
      <w:r>
        <w:rPr>
          <w:b/>
          <w:color w:val="010101"/>
          <w:w w:val="125"/>
          <w:sz w:val="16"/>
        </w:rPr>
        <w:t>Payment of reserve in addition </w:t>
      </w:r>
      <w:r>
        <w:rPr>
          <w:color w:val="010101"/>
          <w:w w:val="125"/>
          <w:sz w:val="16"/>
        </w:rPr>
        <w:t>to </w:t>
      </w:r>
      <w:r>
        <w:rPr>
          <w:b/>
          <w:color w:val="010101"/>
          <w:w w:val="125"/>
          <w:sz w:val="16"/>
        </w:rPr>
        <w:t>lace </w:t>
      </w:r>
      <w:r>
        <w:rPr>
          <w:b/>
          <w:color w:val="010101"/>
          <w:spacing w:val="7"/>
          <w:w w:val="125"/>
          <w:sz w:val="16"/>
        </w:rPr>
        <w:t> </w:t>
      </w:r>
      <w:r>
        <w:rPr>
          <w:b/>
          <w:color w:val="010101"/>
          <w:w w:val="125"/>
          <w:sz w:val="16"/>
        </w:rPr>
        <w:t>amount</w:t>
      </w:r>
    </w:p>
    <w:p>
      <w:pPr>
        <w:pStyle w:val="ListParagraph"/>
        <w:numPr>
          <w:ilvl w:val="0"/>
          <w:numId w:val="59"/>
        </w:numPr>
        <w:tabs>
          <w:tab w:pos="575" w:val="left" w:leader="none"/>
        </w:tabs>
        <w:spacing w:line="242" w:lineRule="auto" w:before="81" w:after="0"/>
        <w:ind w:left="123" w:right="138" w:firstLine="154"/>
        <w:jc w:val="both"/>
        <w:rPr>
          <w:color w:val="010101"/>
          <w:sz w:val="17"/>
        </w:rPr>
      </w:pPr>
      <w:r>
        <w:rPr>
          <w:color w:val="010101"/>
          <w:w w:val="105"/>
          <w:sz w:val="17"/>
        </w:rPr>
        <w:t>Draft a letter of reply to </w:t>
      </w:r>
      <w:r>
        <w:rPr>
          <w:b/>
          <w:color w:val="010101"/>
          <w:w w:val="105"/>
          <w:sz w:val="17"/>
        </w:rPr>
        <w:t>a </w:t>
      </w:r>
      <w:r>
        <w:rPr>
          <w:color w:val="010101"/>
          <w:w w:val="105"/>
          <w:sz w:val="17"/>
        </w:rPr>
        <w:t>beneficiary under one oí your company's ordinary life policies who claims  that  the  policy  proceeds  should  include  the amount  of  the  reserve  on the  policy  in  addition  to  the  fa.ce </w:t>
      </w:r>
      <w:r>
        <w:rPr>
          <w:color w:val="010101"/>
          <w:spacing w:val="2"/>
          <w:w w:val="105"/>
          <w:sz w:val="17"/>
        </w:rPr>
        <w:t> </w:t>
      </w:r>
      <w:r>
        <w:rPr>
          <w:color w:val="010101"/>
          <w:w w:val="105"/>
          <w:sz w:val="17"/>
        </w:rPr>
        <w:t>amount.</w:t>
      </w:r>
    </w:p>
    <w:p>
      <w:pPr>
        <w:pStyle w:val="ListParagraph"/>
        <w:numPr>
          <w:ilvl w:val="0"/>
          <w:numId w:val="59"/>
        </w:numPr>
        <w:tabs>
          <w:tab w:pos="571" w:val="left" w:leader="none"/>
        </w:tabs>
        <w:spacing w:line="240" w:lineRule="auto" w:before="0" w:after="0"/>
        <w:ind w:left="120" w:right="138" w:firstLine="161"/>
        <w:jc w:val="both"/>
        <w:rPr>
          <w:color w:val="010101"/>
          <w:sz w:val="17"/>
        </w:rPr>
      </w:pPr>
      <w:r>
        <w:rPr>
          <w:color w:val="010101"/>
          <w:w w:val="110"/>
          <w:sz w:val="17"/>
        </w:rPr>
        <w:t>An ordinary life policy of 1 is issued to (x) with the provision  that  the reserve will be </w:t>
      </w:r>
      <w:r>
        <w:rPr>
          <w:b/>
          <w:color w:val="010101"/>
          <w:w w:val="110"/>
          <w:sz w:val="17"/>
        </w:rPr>
        <w:t>paid </w:t>
      </w:r>
      <w:r>
        <w:rPr>
          <w:color w:val="010101"/>
          <w:w w:val="110"/>
          <w:sz w:val="17"/>
        </w:rPr>
        <w:t>in addition to the fa.ce amount in the event oí death during the first </w:t>
      </w:r>
      <w:r>
        <w:rPr>
          <w:i/>
          <w:color w:val="010101"/>
          <w:w w:val="110"/>
          <w:sz w:val="18"/>
        </w:rPr>
        <w:t>n </w:t>
      </w:r>
      <w:r>
        <w:rPr>
          <w:rFonts w:ascii="Arial" w:hAnsi="Arial"/>
          <w:b/>
          <w:color w:val="010101"/>
          <w:w w:val="110"/>
          <w:sz w:val="15"/>
        </w:rPr>
        <w:t>years. </w:t>
      </w:r>
      <w:r>
        <w:rPr>
          <w:color w:val="010101"/>
          <w:w w:val="110"/>
          <w:sz w:val="17"/>
        </w:rPr>
        <w:t>Show that the net annual premium for this policy payable  for the lifetime of  (x) </w:t>
      </w:r>
      <w:r>
        <w:rPr>
          <w:b/>
          <w:color w:val="010101"/>
          <w:w w:val="110"/>
          <w:sz w:val="17"/>
        </w:rPr>
        <w:t>is given  </w:t>
      </w:r>
      <w:r>
        <w:rPr>
          <w:color w:val="010101"/>
          <w:w w:val="110"/>
          <w:sz w:val="17"/>
        </w:rPr>
        <w:t>by</w:t>
      </w:r>
    </w:p>
    <w:p>
      <w:pPr>
        <w:spacing w:after="0" w:line="240" w:lineRule="auto"/>
        <w:jc w:val="both"/>
        <w:rPr>
          <w:sz w:val="17"/>
        </w:rPr>
        <w:sectPr>
          <w:pgSz w:w="7200" w:h="11340"/>
          <w:pgMar w:top="520" w:bottom="280" w:left="660" w:right="560"/>
        </w:sectPr>
      </w:pPr>
    </w:p>
    <w:p>
      <w:pPr>
        <w:tabs>
          <w:tab w:pos="1627" w:val="left" w:leader="none"/>
        </w:tabs>
        <w:spacing w:before="69"/>
        <w:ind w:left="152" w:right="0" w:firstLine="0"/>
        <w:jc w:val="left"/>
        <w:rPr>
          <w:sz w:val="15"/>
        </w:rPr>
      </w:pPr>
      <w:r>
        <w:rPr>
          <w:rFonts w:ascii="Arial"/>
          <w:spacing w:val="-14"/>
          <w:w w:val="110"/>
          <w:sz w:val="19"/>
        </w:rPr>
        <w:t>130</w:t>
        <w:tab/>
      </w:r>
      <w:r>
        <w:rPr>
          <w:w w:val="110"/>
          <w:position w:val="1"/>
          <w:sz w:val="15"/>
        </w:rPr>
        <w:t>NET   LEVEL    </w:t>
      </w:r>
      <w:r>
        <w:rPr>
          <w:rFonts w:ascii="Arial"/>
          <w:b/>
          <w:w w:val="110"/>
          <w:position w:val="1"/>
          <w:sz w:val="13"/>
        </w:rPr>
        <w:t>PREMIUM </w:t>
      </w:r>
      <w:r>
        <w:rPr>
          <w:rFonts w:ascii="Arial"/>
          <w:b/>
          <w:spacing w:val="37"/>
          <w:w w:val="110"/>
          <w:position w:val="1"/>
          <w:sz w:val="13"/>
        </w:rPr>
        <w:t> </w:t>
      </w:r>
      <w:r>
        <w:rPr>
          <w:w w:val="110"/>
          <w:position w:val="1"/>
          <w:sz w:val="15"/>
        </w:rPr>
        <w:t>RESERVES</w:t>
      </w:r>
    </w:p>
    <w:p>
      <w:pPr>
        <w:pStyle w:val="BodyText"/>
        <w:spacing w:before="2"/>
        <w:rPr>
          <w:sz w:val="15"/>
        </w:rPr>
      </w:pPr>
    </w:p>
    <w:p>
      <w:pPr>
        <w:spacing w:line="266" w:lineRule="exact" w:before="0"/>
        <w:ind w:left="1754" w:right="265" w:firstLine="0"/>
        <w:jc w:val="center"/>
        <w:rPr>
          <w:rFonts w:ascii="Arial" w:hAnsi="Arial"/>
          <w:b/>
          <w:i/>
          <w:sz w:val="17"/>
        </w:rPr>
      </w:pPr>
      <w:r>
        <w:rPr/>
        <w:pict>
          <v:line style="position:absolute;mso-position-horizontal-relative:page;mso-position-vertical-relative:paragraph;z-index:-724720" from="127.620003pt,11.904868pt" to="129.960003pt,11.904868pt" stroked="true" strokeweight=".36pt" strokecolor="#000000">
            <w10:wrap type="none"/>
          </v:line>
        </w:pict>
      </w:r>
      <w:r>
        <w:rPr>
          <w:b/>
          <w:w w:val="105"/>
          <w:sz w:val="16"/>
        </w:rPr>
        <w:t>Ás+" </w:t>
      </w:r>
      <w:r>
        <w:rPr>
          <w:rFonts w:ascii="Arial" w:hAnsi="Arial"/>
          <w:w w:val="105"/>
          <w:sz w:val="25"/>
        </w:rPr>
        <w:t>+ </w:t>
      </w:r>
      <w:r>
        <w:rPr>
          <w:w w:val="105"/>
          <w:sz w:val="15"/>
        </w:rPr>
        <w:t>(1 </w:t>
      </w:r>
      <w:r>
        <w:rPr>
          <w:rFonts w:ascii="Arial" w:hAnsi="Arial"/>
          <w:w w:val="105"/>
          <w:sz w:val="25"/>
        </w:rPr>
        <w:t>+ </w:t>
      </w:r>
      <w:r>
        <w:rPr>
          <w:b/>
          <w:w w:val="105"/>
          <w:sz w:val="16"/>
        </w:rPr>
        <w:t>i)s+.(M;  </w:t>
      </w:r>
      <w:r>
        <w:rPr>
          <w:w w:val="245"/>
          <w:sz w:val="16"/>
        </w:rPr>
        <w:t>-</w:t>
      </w:r>
      <w:r>
        <w:rPr>
          <w:spacing w:val="-66"/>
          <w:w w:val="245"/>
          <w:sz w:val="16"/>
        </w:rPr>
        <w:t> </w:t>
      </w:r>
      <w:r>
        <w:rPr>
          <w:rFonts w:ascii="Arial" w:hAnsi="Arial"/>
          <w:b/>
          <w:i/>
          <w:w w:val="105"/>
          <w:sz w:val="17"/>
        </w:rPr>
        <w:t>M;+")</w:t>
      </w:r>
    </w:p>
    <w:p>
      <w:pPr>
        <w:spacing w:line="266" w:lineRule="exact" w:before="0"/>
        <w:ind w:left="1754" w:right="154" w:firstLine="0"/>
        <w:jc w:val="center"/>
        <w:rPr>
          <w:sz w:val="13"/>
        </w:rPr>
      </w:pPr>
      <w:r>
        <w:rPr>
          <w:w w:val="110"/>
          <w:sz w:val="17"/>
        </w:rPr>
        <w:t>;¡ </w:t>
      </w:r>
      <w:r>
        <w:rPr>
          <w:rFonts w:ascii="Arial" w:hAnsi="Arial"/>
          <w:sz w:val="25"/>
        </w:rPr>
        <w:t>+</w:t>
      </w:r>
      <w:r>
        <w:rPr>
          <w:rFonts w:ascii="Arial" w:hAnsi="Arial"/>
          <w:spacing w:val="-52"/>
          <w:sz w:val="25"/>
        </w:rPr>
        <w:t> </w:t>
      </w:r>
      <w:r>
        <w:rPr>
          <w:sz w:val="13"/>
        </w:rPr>
        <w:t>Ó.r+&gt;i</w:t>
      </w:r>
    </w:p>
    <w:p>
      <w:pPr>
        <w:spacing w:before="54"/>
        <w:ind w:left="152" w:right="0" w:firstLine="0"/>
        <w:jc w:val="left"/>
        <w:rPr>
          <w:rFonts w:ascii="Arial"/>
          <w:sz w:val="19"/>
        </w:rPr>
      </w:pPr>
      <w:r>
        <w:rPr/>
        <w:br w:type="column"/>
      </w:r>
      <w:r>
        <w:rPr>
          <w:w w:val="95"/>
          <w:sz w:val="19"/>
        </w:rPr>
        <w:t>[CH. </w:t>
      </w:r>
      <w:r>
        <w:rPr>
          <w:rFonts w:ascii="Arial"/>
          <w:w w:val="95"/>
          <w:sz w:val="19"/>
        </w:rPr>
        <w:t>5</w:t>
      </w:r>
    </w:p>
    <w:p>
      <w:pPr>
        <w:spacing w:after="0"/>
        <w:jc w:val="left"/>
        <w:rPr>
          <w:rFonts w:ascii="Arial"/>
          <w:sz w:val="19"/>
        </w:rPr>
        <w:sectPr>
          <w:pgSz w:w="7200" w:h="11340"/>
          <w:pgMar w:top="480" w:bottom="280" w:left="640" w:right="560"/>
          <w:cols w:num="2" w:equalWidth="0">
            <w:col w:w="4379" w:space="859"/>
            <w:col w:w="762"/>
          </w:cols>
        </w:sectPr>
      </w:pPr>
    </w:p>
    <w:p>
      <w:pPr>
        <w:spacing w:line="338" w:lineRule="exact" w:before="0"/>
        <w:ind w:left="126" w:right="0" w:firstLine="0"/>
        <w:jc w:val="left"/>
        <w:rPr>
          <w:sz w:val="32"/>
        </w:rPr>
      </w:pPr>
      <w:r>
        <w:rPr>
          <w:w w:val="104"/>
          <w:sz w:val="17"/>
        </w:rPr>
        <w:t>where</w:t>
      </w:r>
      <w:r>
        <w:rPr>
          <w:sz w:val="17"/>
        </w:rPr>
        <w:t> </w:t>
      </w:r>
      <w:r>
        <w:rPr>
          <w:spacing w:val="-14"/>
          <w:sz w:val="17"/>
        </w:rPr>
        <w:t> </w:t>
      </w:r>
      <w:r>
        <w:rPr>
          <w:b/>
          <w:i/>
          <w:w w:val="133"/>
          <w:sz w:val="18"/>
        </w:rPr>
        <w:t>M</w:t>
      </w:r>
      <w:r>
        <w:rPr>
          <w:b/>
          <w:i/>
          <w:sz w:val="18"/>
        </w:rPr>
        <w:t>  </w:t>
      </w:r>
      <w:r>
        <w:rPr>
          <w:b/>
          <w:i/>
          <w:spacing w:val="-22"/>
          <w:sz w:val="18"/>
        </w:rPr>
        <w:t> </w:t>
      </w:r>
      <w:r>
        <w:rPr>
          <w:w w:val="100"/>
          <w:sz w:val="18"/>
        </w:rPr>
        <w:t>=</w:t>
      </w:r>
      <w:r>
        <w:rPr>
          <w:sz w:val="18"/>
        </w:rPr>
        <w:t> </w:t>
      </w:r>
      <w:r>
        <w:rPr>
          <w:spacing w:val="9"/>
          <w:sz w:val="18"/>
        </w:rPr>
        <w:t> </w:t>
      </w:r>
      <w:r>
        <w:rPr>
          <w:b/>
          <w:i/>
          <w:spacing w:val="33"/>
          <w:w w:val="144"/>
          <w:sz w:val="32"/>
        </w:rPr>
        <w:t>L</w:t>
      </w:r>
      <w:r>
        <w:rPr>
          <w:b/>
          <w:i/>
          <w:w w:val="59"/>
          <w:sz w:val="32"/>
        </w:rPr>
        <w:t>:!v</w:t>
      </w:r>
      <w:r>
        <w:rPr>
          <w:b/>
          <w:i/>
          <w:spacing w:val="21"/>
          <w:w w:val="59"/>
          <w:sz w:val="32"/>
        </w:rPr>
        <w:t>t</w:t>
      </w:r>
      <w:r>
        <w:rPr>
          <w:b/>
          <w:i/>
          <w:w w:val="15"/>
          <w:sz w:val="32"/>
        </w:rPr>
        <w:t>-'-</w:t>
      </w:r>
      <w:r>
        <w:rPr>
          <w:b/>
          <w:i/>
          <w:spacing w:val="-50"/>
          <w:sz w:val="32"/>
        </w:rPr>
        <w:t> </w:t>
      </w:r>
      <w:r>
        <w:rPr>
          <w:b/>
          <w:i/>
          <w:spacing w:val="-3"/>
          <w:w w:val="47"/>
          <w:sz w:val="32"/>
        </w:rPr>
        <w:t>'</w:t>
      </w:r>
      <w:r>
        <w:rPr>
          <w:b/>
          <w:i/>
          <w:w w:val="37"/>
          <w:sz w:val="32"/>
        </w:rPr>
        <w:t>q¡,</w:t>
      </w:r>
      <w:r>
        <w:rPr>
          <w:b/>
          <w:i/>
          <w:spacing w:val="-14"/>
          <w:sz w:val="32"/>
        </w:rPr>
        <w:t> </w:t>
      </w:r>
      <w:r>
        <w:rPr>
          <w:w w:val="61"/>
          <w:sz w:val="32"/>
        </w:rPr>
        <w:t>.</w:t>
      </w:r>
    </w:p>
    <w:p>
      <w:pPr>
        <w:pStyle w:val="ListParagraph"/>
        <w:numPr>
          <w:ilvl w:val="0"/>
          <w:numId w:val="59"/>
        </w:numPr>
        <w:tabs>
          <w:tab w:pos="584" w:val="left" w:leader="none"/>
        </w:tabs>
        <w:spacing w:line="244" w:lineRule="auto" w:before="0" w:after="0"/>
        <w:ind w:left="116" w:right="121" w:firstLine="169"/>
        <w:jc w:val="both"/>
        <w:rPr>
          <w:sz w:val="17"/>
        </w:rPr>
      </w:pPr>
      <w:r>
        <w:rPr>
          <w:w w:val="105"/>
          <w:sz w:val="17"/>
        </w:rPr>
        <w:t>Derive </w:t>
      </w:r>
      <w:r>
        <w:rPr>
          <w:w w:val="105"/>
          <w:sz w:val="16"/>
        </w:rPr>
        <w:t>a </w:t>
      </w:r>
      <w:r>
        <w:rPr>
          <w:w w:val="105"/>
          <w:sz w:val="17"/>
        </w:rPr>
        <w:t>formula </w:t>
      </w:r>
      <w:r>
        <w:rPr>
          <w:w w:val="105"/>
          <w:sz w:val="16"/>
        </w:rPr>
        <w:t>for </w:t>
      </w:r>
      <w:r>
        <w:rPr>
          <w:w w:val="105"/>
          <w:sz w:val="17"/>
        </w:rPr>
        <w:t>calculat íng net annual premi ums for </w:t>
      </w:r>
      <w:r>
        <w:rPr>
          <w:w w:val="105"/>
          <w:sz w:val="16"/>
        </w:rPr>
        <w:t>a </w:t>
      </w:r>
      <w:r>
        <w:rPr>
          <w:w w:val="105"/>
          <w:sz w:val="17"/>
        </w:rPr>
        <w:t>special 20-yea.r endowment poliry which provides for the payment </w:t>
      </w:r>
      <w:r>
        <w:rPr>
          <w:rFonts w:ascii="Arial" w:hAnsi="Arial"/>
          <w:w w:val="105"/>
          <w:sz w:val="15"/>
        </w:rPr>
        <w:t>of </w:t>
      </w:r>
      <w:r>
        <w:rPr>
          <w:w w:val="105"/>
          <w:sz w:val="17"/>
        </w:rPr>
        <w:t>t he terminal reserve on the ent ire poliey in addition to the fa.ce amount in the  event  of death withi n 20 years but which matures for the fa.ce amount only. Give </w:t>
      </w:r>
      <w:r>
        <w:rPr>
          <w:rFonts w:ascii="Arial" w:hAnsi="Arial"/>
          <w:w w:val="105"/>
          <w:sz w:val="14"/>
        </w:rPr>
        <w:t>a </w:t>
      </w:r>
      <w:r>
        <w:rPr>
          <w:w w:val="105"/>
          <w:sz w:val="17"/>
        </w:rPr>
        <w:t>formula for oht </w:t>
      </w:r>
      <w:r>
        <w:rPr>
          <w:spacing w:val="3"/>
          <w:w w:val="105"/>
          <w:sz w:val="17"/>
        </w:rPr>
        <w:t>aining </w:t>
      </w:r>
      <w:r>
        <w:rPr>
          <w:w w:val="105"/>
          <w:sz w:val="17"/>
        </w:rPr>
        <w:t>a. reasona.bly close approximation to  the  true  pre­ mium  for this pol icy, indicati ng  t he  nat me of  the  error </w:t>
      </w:r>
      <w:r>
        <w:rPr>
          <w:spacing w:val="25"/>
          <w:w w:val="105"/>
          <w:sz w:val="17"/>
        </w:rPr>
        <w:t> </w:t>
      </w:r>
      <w:r>
        <w:rPr>
          <w:w w:val="105"/>
          <w:sz w:val="16"/>
        </w:rPr>
        <w:t>im·oh·e&lt;l.</w:t>
      </w:r>
    </w:p>
    <w:p>
      <w:pPr>
        <w:spacing w:before="127"/>
        <w:ind w:left="115" w:right="0" w:firstLine="0"/>
        <w:jc w:val="left"/>
        <w:rPr>
          <w:b/>
          <w:sz w:val="16"/>
        </w:rPr>
      </w:pPr>
      <w:r>
        <w:rPr>
          <w:b/>
          <w:w w:val="120"/>
          <w:sz w:val="16"/>
        </w:rPr>
        <w:t>Miscellaneous  prohlems</w:t>
      </w:r>
    </w:p>
    <w:p>
      <w:pPr>
        <w:pStyle w:val="ListParagraph"/>
        <w:numPr>
          <w:ilvl w:val="0"/>
          <w:numId w:val="59"/>
        </w:numPr>
        <w:tabs>
          <w:tab w:pos="563" w:val="left" w:leader="none"/>
          <w:tab w:pos="5137" w:val="left" w:leader="none"/>
        </w:tabs>
        <w:spacing w:line="194" w:lineRule="exact" w:before="94" w:after="0"/>
        <w:ind w:left="123" w:right="132" w:firstLine="151"/>
        <w:jc w:val="both"/>
        <w:rPr>
          <w:sz w:val="17"/>
        </w:rPr>
      </w:pPr>
      <w:r>
        <w:rPr>
          <w:w w:val="105"/>
          <w:sz w:val="17"/>
        </w:rPr>
        <w:t>Given </w:t>
      </w:r>
      <w:r>
        <w:rPr>
          <w:w w:val="120"/>
          <w:sz w:val="17"/>
        </w:rPr>
        <w:t>.E! n </w:t>
      </w:r>
      <w:r>
        <w:rPr>
          <w:w w:val="105"/>
          <w:sz w:val="17"/>
        </w:rPr>
        <w:t>log (1 </w:t>
      </w:r>
      <w:r>
        <w:rPr>
          <w:w w:val="235"/>
          <w:sz w:val="17"/>
        </w:rPr>
        <w:t>- </w:t>
      </w:r>
      <w:r>
        <w:rPr>
          <w:w w:val="105"/>
          <w:sz w:val="13"/>
        </w:rPr>
        <w:t>1V.r) </w:t>
      </w:r>
      <w:r>
        <w:rPr>
          <w:w w:val="105"/>
          <w:sz w:val="21"/>
        </w:rPr>
        <w:t>= </w:t>
      </w:r>
      <w:r>
        <w:rPr>
          <w:w w:val="120"/>
          <w:sz w:val="17"/>
        </w:rPr>
        <w:t>-log </w:t>
      </w:r>
      <w:r>
        <w:rPr>
          <w:w w:val="105"/>
          <w:sz w:val="17"/>
        </w:rPr>
        <w:t>7/5, find úl'a1  correct  </w:t>
      </w:r>
      <w:r>
        <w:rPr>
          <w:w w:val="120"/>
          <w:sz w:val="17"/>
        </w:rPr>
        <w:t>to  </w:t>
      </w:r>
      <w:r>
        <w:rPr>
          <w:w w:val="105"/>
          <w:sz w:val="17"/>
        </w:rPr>
        <w:t>two  decimal </w:t>
      </w:r>
      <w:r>
        <w:rPr>
          <w:spacing w:val="19"/>
          <w:w w:val="105"/>
          <w:sz w:val="17"/>
        </w:rPr>
        <w:t> </w:t>
      </w:r>
      <w:r>
        <w:rPr>
          <w:w w:val="105"/>
          <w:sz w:val="17"/>
        </w:rPr>
        <w:t>places.</w:t>
        <w:tab/>
      </w:r>
      <w:r>
        <w:rPr>
          <w:spacing w:val="3"/>
          <w:w w:val="105"/>
          <w:sz w:val="17"/>
        </w:rPr>
        <w:t>(Ans.</w:t>
      </w:r>
      <w:r>
        <w:rPr>
          <w:spacing w:val="28"/>
          <w:w w:val="105"/>
          <w:sz w:val="17"/>
        </w:rPr>
        <w:t> </w:t>
      </w:r>
      <w:r>
        <w:rPr>
          <w:spacing w:val="-3"/>
          <w:w w:val="105"/>
          <w:sz w:val="17"/>
        </w:rPr>
        <w:t>.</w:t>
      </w:r>
      <w:r>
        <w:rPr>
          <w:spacing w:val="-3"/>
          <w:w w:val="105"/>
          <w:sz w:val="15"/>
        </w:rPr>
        <w:t>29)</w:t>
      </w:r>
    </w:p>
    <w:p>
      <w:pPr>
        <w:pStyle w:val="ListParagraph"/>
        <w:numPr>
          <w:ilvl w:val="0"/>
          <w:numId w:val="59"/>
        </w:numPr>
        <w:tabs>
          <w:tab w:pos="570" w:val="left" w:leader="none"/>
        </w:tabs>
        <w:spacing w:line="244" w:lineRule="auto" w:before="0" w:after="0"/>
        <w:ind w:left="116" w:right="135" w:firstLine="165"/>
        <w:jc w:val="both"/>
        <w:rPr>
          <w:sz w:val="17"/>
        </w:rPr>
      </w:pPr>
      <w:r>
        <w:rPr>
          <w:w w:val="105"/>
          <w:sz w:val="17"/>
        </w:rPr>
        <w:t>An applicant aged </w:t>
      </w:r>
      <w:r>
        <w:rPr>
          <w:i/>
          <w:w w:val="105"/>
          <w:sz w:val="17"/>
        </w:rPr>
        <w:t>25 </w:t>
      </w:r>
      <w:r>
        <w:rPr>
          <w:w w:val="105"/>
          <w:sz w:val="17"/>
        </w:rPr>
        <w:t>purchases an ordinary life poli </w:t>
      </w:r>
      <w:r>
        <w:rPr>
          <w:spacing w:val="4"/>
          <w:w w:val="105"/>
          <w:sz w:val="16"/>
        </w:rPr>
        <w:t>e</w:t>
      </w:r>
      <w:r>
        <w:rPr>
          <w:spacing w:val="4"/>
          <w:w w:val="105"/>
          <w:sz w:val="17"/>
        </w:rPr>
        <w:t>y. </w:t>
      </w:r>
      <w:r>
        <w:rPr>
          <w:w w:val="105"/>
          <w:sz w:val="17"/>
        </w:rPr>
        <w:t>Each year he invest s elsewhere the ditference between the net premium  for his policy  and the corresponding net premium for a twent y-year endowment policy. </w:t>
      </w:r>
      <w:r>
        <w:rPr>
          <w:b/>
          <w:w w:val="105"/>
          <w:sz w:val="16"/>
        </w:rPr>
        <w:t>Ap­ </w:t>
      </w:r>
      <w:r>
        <w:rPr>
          <w:w w:val="105"/>
          <w:sz w:val="17"/>
        </w:rPr>
        <w:t>proximately </w:t>
      </w:r>
      <w:r>
        <w:rPr>
          <w:b/>
          <w:w w:val="105"/>
          <w:sz w:val="16"/>
        </w:rPr>
        <w:t>what </w:t>
      </w:r>
      <w:r>
        <w:rPr>
          <w:w w:val="105"/>
          <w:sz w:val="17"/>
        </w:rPr>
        <w:t>interest rate  must  he  earn  </w:t>
      </w:r>
      <w:r>
        <w:rPr>
          <w:w w:val="105"/>
          <w:sz w:val="16"/>
        </w:rPr>
        <w:t>on  </w:t>
      </w:r>
      <w:r>
        <w:rPr>
          <w:w w:val="105"/>
          <w:sz w:val="17"/>
        </w:rPr>
        <w:t>t his  investment  in  order </w:t>
      </w:r>
      <w:r>
        <w:rPr>
          <w:b/>
          <w:w w:val="105"/>
          <w:sz w:val="17"/>
        </w:rPr>
        <w:t>that </w:t>
      </w:r>
      <w:r>
        <w:rPr>
          <w:w w:val="105"/>
          <w:sz w:val="17"/>
        </w:rPr>
        <w:t>it may accumulat e </w:t>
      </w:r>
      <w:r>
        <w:rPr>
          <w:w w:val="105"/>
          <w:sz w:val="18"/>
        </w:rPr>
        <w:t>at </w:t>
      </w:r>
      <w:r>
        <w:rPr>
          <w:w w:val="105"/>
          <w:sz w:val="17"/>
        </w:rPr>
        <w:t>the end of twent y years </w:t>
      </w:r>
      <w:r>
        <w:rPr>
          <w:w w:val="105"/>
          <w:sz w:val="16"/>
        </w:rPr>
        <w:t>to </w:t>
      </w:r>
      <w:r>
        <w:rPr>
          <w:w w:val="105"/>
          <w:sz w:val="17"/>
        </w:rPr>
        <w:t>t he differenc:e bet ween </w:t>
      </w:r>
      <w:r>
        <w:rPr>
          <w:b/>
          <w:w w:val="105"/>
          <w:sz w:val="17"/>
        </w:rPr>
        <w:t>the </w:t>
      </w:r>
      <w:r>
        <w:rPr>
          <w:w w:val="105"/>
          <w:sz w:val="17"/>
        </w:rPr>
        <w:t>face  nmount  and  the  reserve  for  his  poliey?  Given</w:t>
      </w:r>
      <w:r>
        <w:rPr>
          <w:spacing w:val="-1"/>
          <w:w w:val="105"/>
          <w:sz w:val="17"/>
        </w:rPr>
        <w:t> </w:t>
      </w:r>
      <w:r>
        <w:rPr>
          <w:w w:val="105"/>
          <w:sz w:val="17"/>
        </w:rPr>
        <w:t>:</w:t>
      </w:r>
    </w:p>
    <w:p>
      <w:pPr>
        <w:tabs>
          <w:tab w:pos="2682" w:val="left" w:leader="none"/>
        </w:tabs>
        <w:spacing w:before="81"/>
        <w:ind w:left="1552" w:right="0" w:firstLine="0"/>
        <w:jc w:val="left"/>
        <w:rPr>
          <w:rFonts w:ascii="Arial"/>
          <w:b/>
          <w:i/>
          <w:sz w:val="15"/>
        </w:rPr>
      </w:pPr>
      <w:r>
        <w:rPr>
          <w:rFonts w:ascii="Arial"/>
          <w:b/>
          <w:i/>
          <w:w w:val="96"/>
          <w:position w:val="0"/>
          <w:sz w:val="19"/>
        </w:rPr>
        <w:t>au</w:t>
      </w:r>
      <w:r>
        <w:rPr>
          <w:rFonts w:ascii="Arial"/>
          <w:b/>
          <w:i/>
          <w:position w:val="0"/>
          <w:sz w:val="19"/>
        </w:rPr>
        <w:t> </w:t>
      </w:r>
      <w:r>
        <w:rPr>
          <w:rFonts w:ascii="Arial"/>
          <w:b/>
          <w:i/>
          <w:spacing w:val="-22"/>
          <w:position w:val="0"/>
          <w:sz w:val="19"/>
        </w:rPr>
        <w:t> </w:t>
      </w:r>
      <w:r>
        <w:rPr>
          <w:w w:val="80"/>
          <w:position w:val="0"/>
          <w:sz w:val="23"/>
        </w:rPr>
        <w:t>=</w:t>
      </w:r>
      <w:r>
        <w:rPr>
          <w:position w:val="0"/>
          <w:sz w:val="23"/>
        </w:rPr>
        <w:t> </w:t>
      </w:r>
      <w:r>
        <w:rPr>
          <w:spacing w:val="-22"/>
          <w:position w:val="0"/>
          <w:sz w:val="23"/>
        </w:rPr>
        <w:t> </w:t>
      </w:r>
      <w:r>
        <w:rPr>
          <w:w w:val="103"/>
          <w:sz w:val="16"/>
        </w:rPr>
        <w:t>23</w:t>
      </w:r>
      <w:r>
        <w:rPr>
          <w:sz w:val="16"/>
        </w:rPr>
        <w:tab/>
      </w:r>
      <w:r>
        <w:rPr>
          <w:rFonts w:ascii="Arial"/>
          <w:i/>
          <w:w w:val="98"/>
          <w:sz w:val="17"/>
        </w:rPr>
        <w:t>i</w:t>
      </w:r>
      <w:r>
        <w:rPr>
          <w:rFonts w:ascii="Arial"/>
          <w:i/>
          <w:spacing w:val="12"/>
          <w:w w:val="98"/>
          <w:sz w:val="17"/>
        </w:rPr>
        <w:t>i</w:t>
      </w:r>
      <w:r>
        <w:rPr>
          <w:rFonts w:ascii="Arial"/>
          <w:i/>
          <w:spacing w:val="-63"/>
          <w:w w:val="165"/>
          <w:sz w:val="17"/>
        </w:rPr>
        <w:t>,</w:t>
      </w:r>
      <w:r>
        <w:rPr>
          <w:rFonts w:ascii="Arial"/>
          <w:i/>
          <w:w w:val="85"/>
          <w:sz w:val="17"/>
        </w:rPr>
        <w:t>o;</w:t>
      </w:r>
      <w:r>
        <w:rPr>
          <w:rFonts w:ascii="Arial"/>
          <w:i/>
          <w:sz w:val="17"/>
        </w:rPr>
        <w:t> </w:t>
      </w:r>
      <w:r>
        <w:rPr>
          <w:rFonts w:ascii="Arial"/>
          <w:i/>
          <w:spacing w:val="-12"/>
          <w:sz w:val="17"/>
        </w:rPr>
        <w:t> </w:t>
      </w:r>
      <w:r>
        <w:rPr>
          <w:rFonts w:ascii="Arial"/>
          <w:w w:val="103"/>
          <w:sz w:val="15"/>
        </w:rPr>
        <w:t>at</w:t>
      </w:r>
      <w:r>
        <w:rPr>
          <w:rFonts w:ascii="Arial"/>
          <w:sz w:val="15"/>
        </w:rPr>
        <w:t> </w:t>
      </w:r>
      <w:r>
        <w:rPr>
          <w:rFonts w:ascii="Arial"/>
          <w:spacing w:val="6"/>
          <w:sz w:val="15"/>
        </w:rPr>
        <w:t> </w:t>
      </w:r>
      <w:r>
        <w:rPr>
          <w:spacing w:val="-8"/>
          <w:w w:val="89"/>
          <w:sz w:val="22"/>
        </w:rPr>
        <w:t>3</w:t>
      </w:r>
      <w:r>
        <w:rPr>
          <w:w w:val="85"/>
          <w:sz w:val="22"/>
        </w:rPr>
        <w:t>1</w:t>
      </w:r>
      <w:r>
        <w:rPr>
          <w:spacing w:val="-9"/>
          <w:sz w:val="22"/>
        </w:rPr>
        <w:t> </w:t>
      </w:r>
      <w:r>
        <w:rPr>
          <w:w w:val="104"/>
          <w:sz w:val="17"/>
        </w:rPr>
        <w:t>per</w:t>
      </w:r>
      <w:r>
        <w:rPr>
          <w:sz w:val="17"/>
        </w:rPr>
        <w:t> </w:t>
      </w:r>
      <w:r>
        <w:rPr>
          <w:spacing w:val="-7"/>
          <w:sz w:val="17"/>
        </w:rPr>
        <w:t> </w:t>
      </w:r>
      <w:r>
        <w:rPr>
          <w:w w:val="105"/>
          <w:sz w:val="17"/>
        </w:rPr>
        <w:t>cent</w:t>
      </w:r>
      <w:r>
        <w:rPr>
          <w:sz w:val="17"/>
        </w:rPr>
        <w:t>  </w:t>
      </w:r>
      <w:r>
        <w:rPr>
          <w:spacing w:val="-14"/>
          <w:sz w:val="17"/>
        </w:rPr>
        <w:t> </w:t>
      </w:r>
      <w:r>
        <w:rPr>
          <w:w w:val="84"/>
          <w:position w:val="-1"/>
          <w:sz w:val="22"/>
        </w:rPr>
        <w:t>=</w:t>
      </w:r>
      <w:r>
        <w:rPr>
          <w:position w:val="-1"/>
          <w:sz w:val="22"/>
        </w:rPr>
        <w:t> </w:t>
      </w:r>
      <w:r>
        <w:rPr>
          <w:spacing w:val="-11"/>
          <w:position w:val="-1"/>
          <w:sz w:val="22"/>
        </w:rPr>
        <w:t> </w:t>
      </w:r>
      <w:r>
        <w:rPr>
          <w:rFonts w:ascii="Arial"/>
          <w:b/>
          <w:i/>
          <w:w w:val="88"/>
          <w:position w:val="1"/>
          <w:sz w:val="15"/>
        </w:rPr>
        <w:t>14</w:t>
      </w:r>
      <w:r>
        <w:rPr>
          <w:rFonts w:ascii="Arial"/>
          <w:b/>
          <w:i/>
          <w:spacing w:val="-25"/>
          <w:position w:val="1"/>
          <w:sz w:val="15"/>
        </w:rPr>
        <w:t> </w:t>
      </w:r>
      <w:r>
        <w:rPr>
          <w:rFonts w:ascii="Arial"/>
          <w:b/>
          <w:i/>
          <w:w w:val="121"/>
          <w:position w:val="1"/>
          <w:sz w:val="15"/>
        </w:rPr>
        <w:t>.i</w:t>
      </w:r>
    </w:p>
    <w:p>
      <w:pPr>
        <w:tabs>
          <w:tab w:pos="1231" w:val="left" w:leader="none"/>
        </w:tabs>
        <w:spacing w:before="48"/>
        <w:ind w:left="108" w:right="0" w:firstLine="0"/>
        <w:jc w:val="center"/>
        <w:rPr>
          <w:sz w:val="17"/>
        </w:rPr>
      </w:pPr>
      <w:r>
        <w:rPr>
          <w:b/>
          <w:w w:val="115"/>
          <w:position w:val="0"/>
          <w:sz w:val="10"/>
        </w:rPr>
        <w:t>d45 </w:t>
      </w:r>
      <w:r>
        <w:rPr>
          <w:b/>
          <w:spacing w:val="23"/>
          <w:w w:val="115"/>
          <w:position w:val="0"/>
          <w:sz w:val="10"/>
        </w:rPr>
        <w:t> </w:t>
      </w:r>
      <w:r>
        <w:rPr>
          <w:position w:val="0"/>
          <w:sz w:val="23"/>
        </w:rPr>
        <w:t>=</w:t>
      </w:r>
      <w:r>
        <w:rPr>
          <w:spacing w:val="36"/>
          <w:position w:val="0"/>
          <w:sz w:val="23"/>
        </w:rPr>
        <w:t> </w:t>
      </w:r>
      <w:r>
        <w:rPr>
          <w:w w:val="115"/>
          <w:sz w:val="16"/>
        </w:rPr>
        <w:t>16</w:t>
        <w:tab/>
      </w:r>
      <w:r>
        <w:rPr>
          <w:i/>
          <w:sz w:val="19"/>
        </w:rPr>
        <w:t>ato; </w:t>
      </w:r>
      <w:r>
        <w:rPr>
          <w:rFonts w:ascii="Arial" w:hAnsi="Arial"/>
          <w:w w:val="115"/>
          <w:sz w:val="13"/>
        </w:rPr>
        <w:t>Rt  </w:t>
      </w:r>
      <w:r>
        <w:rPr>
          <w:sz w:val="16"/>
        </w:rPr>
        <w:t>4 </w:t>
      </w:r>
      <w:r>
        <w:rPr>
          <w:w w:val="115"/>
          <w:sz w:val="17"/>
        </w:rPr>
        <w:t>pn </w:t>
      </w:r>
      <w:r>
        <w:rPr>
          <w:sz w:val="17"/>
        </w:rPr>
        <w:t>c•ent  </w:t>
      </w:r>
      <w:r>
        <w:rPr>
          <w:position w:val="-1"/>
          <w:sz w:val="23"/>
        </w:rPr>
        <w:t>= </w:t>
      </w:r>
      <w:r>
        <w:rPr>
          <w:spacing w:val="3"/>
          <w:position w:val="-1"/>
          <w:sz w:val="23"/>
        </w:rPr>
        <w:t> </w:t>
      </w:r>
      <w:r>
        <w:rPr>
          <w:w w:val="140"/>
          <w:sz w:val="17"/>
        </w:rPr>
        <w:t>lU</w:t>
      </w:r>
    </w:p>
    <w:p>
      <w:pPr>
        <w:tabs>
          <w:tab w:pos="1331" w:val="left" w:leader="none"/>
          <w:tab w:pos="2771" w:val="left" w:leader="none"/>
        </w:tabs>
        <w:spacing w:before="69"/>
        <w:ind w:left="0" w:right="217" w:firstLine="0"/>
        <w:jc w:val="center"/>
        <w:rPr>
          <w:sz w:val="16"/>
        </w:rPr>
      </w:pPr>
      <w:r>
        <w:rPr>
          <w:rFonts w:ascii="Arial"/>
          <w:i/>
          <w:position w:val="-1"/>
          <w:sz w:val="14"/>
        </w:rPr>
        <w:t>&lt;iu </w:t>
      </w:r>
      <w:r>
        <w:rPr>
          <w:rFonts w:ascii="Arial"/>
          <w:w w:val="95"/>
          <w:position w:val="-1"/>
          <w:sz w:val="19"/>
        </w:rPr>
        <w:t>ioJ</w:t>
      </w:r>
      <w:r>
        <w:rPr>
          <w:rFonts w:ascii="Arial"/>
          <w:spacing w:val="13"/>
          <w:w w:val="95"/>
          <w:position w:val="-1"/>
          <w:sz w:val="19"/>
        </w:rPr>
        <w:t> </w:t>
      </w:r>
      <w:r>
        <w:rPr>
          <w:position w:val="-2"/>
          <w:sz w:val="23"/>
        </w:rPr>
        <w:t>=</w:t>
      </w:r>
      <w:r>
        <w:rPr>
          <w:spacing w:val="22"/>
          <w:position w:val="-2"/>
          <w:sz w:val="23"/>
        </w:rPr>
        <w:t> </w:t>
      </w:r>
      <w:r>
        <w:rPr>
          <w:position w:val="1"/>
          <w:sz w:val="17"/>
        </w:rPr>
        <w:t>15</w:t>
        <w:tab/>
      </w:r>
      <w:r>
        <w:rPr>
          <w:i/>
          <w:sz w:val="17"/>
        </w:rPr>
        <w:t>d  </w:t>
      </w:r>
      <w:r>
        <w:rPr>
          <w:position w:val="-1"/>
          <w:sz w:val="22"/>
        </w:rPr>
        <w:t>=  </w:t>
      </w:r>
      <w:r>
        <w:rPr>
          <w:rFonts w:ascii="Arial"/>
          <w:position w:val="1"/>
          <w:sz w:val="16"/>
        </w:rPr>
        <w:t>.0338</w:t>
      </w:r>
      <w:r>
        <w:rPr>
          <w:rFonts w:ascii="Arial"/>
          <w:spacing w:val="9"/>
          <w:position w:val="1"/>
          <w:sz w:val="16"/>
        </w:rPr>
        <w:t> </w:t>
      </w:r>
      <w:r>
        <w:rPr>
          <w:position w:val="1"/>
          <w:sz w:val="16"/>
        </w:rPr>
        <w:t>for</w:t>
      </w:r>
      <w:r>
        <w:rPr>
          <w:spacing w:val="20"/>
          <w:position w:val="1"/>
          <w:sz w:val="16"/>
        </w:rPr>
        <w:t> </w:t>
      </w:r>
      <w:r>
        <w:rPr>
          <w:i/>
          <w:position w:val="1"/>
          <w:sz w:val="18"/>
        </w:rPr>
        <w:t>i</w:t>
        <w:tab/>
      </w:r>
      <w:r>
        <w:rPr>
          <w:position w:val="1"/>
          <w:sz w:val="16"/>
        </w:rPr>
        <w:t>.035</w:t>
      </w:r>
    </w:p>
    <w:p>
      <w:pPr>
        <w:tabs>
          <w:tab w:pos="4133" w:val="left" w:leader="none"/>
        </w:tabs>
        <w:spacing w:before="106"/>
        <w:ind w:left="2690" w:right="0" w:firstLine="0"/>
        <w:jc w:val="left"/>
        <w:rPr>
          <w:sz w:val="17"/>
        </w:rPr>
      </w:pPr>
      <w:r>
        <w:rPr>
          <w:rFonts w:ascii="Courier New"/>
          <w:i/>
          <w:sz w:val="19"/>
        </w:rPr>
        <w:t>d =</w:t>
      </w:r>
      <w:r>
        <w:rPr>
          <w:rFonts w:ascii="Courier New"/>
          <w:i/>
          <w:spacing w:val="-75"/>
          <w:sz w:val="19"/>
        </w:rPr>
        <w:t> </w:t>
      </w:r>
      <w:r>
        <w:rPr>
          <w:spacing w:val="-7"/>
          <w:position w:val="1"/>
          <w:sz w:val="17"/>
        </w:rPr>
        <w:t>.0.385  </w:t>
      </w:r>
      <w:r>
        <w:rPr>
          <w:position w:val="1"/>
          <w:sz w:val="17"/>
        </w:rPr>
        <w:t>for</w:t>
      </w:r>
      <w:r>
        <w:rPr>
          <w:spacing w:val="20"/>
          <w:position w:val="1"/>
          <w:sz w:val="17"/>
        </w:rPr>
        <w:t> </w:t>
      </w:r>
      <w:r>
        <w:rPr>
          <w:i/>
          <w:position w:val="1"/>
          <w:sz w:val="18"/>
        </w:rPr>
        <w:t>i</w:t>
        <w:tab/>
      </w:r>
      <w:r>
        <w:rPr>
          <w:position w:val="1"/>
          <w:sz w:val="17"/>
        </w:rPr>
        <w:t>.04</w:t>
      </w:r>
    </w:p>
    <w:p>
      <w:pPr>
        <w:spacing w:line="247" w:lineRule="auto" w:before="137"/>
        <w:ind w:left="123" w:right="241" w:firstLine="0"/>
        <w:jc w:val="left"/>
        <w:rPr>
          <w:sz w:val="17"/>
        </w:rPr>
      </w:pPr>
      <w:r>
        <w:rPr>
          <w:w w:val="110"/>
          <w:sz w:val="17"/>
        </w:rPr>
        <w:t>Explain briefly </w:t>
      </w:r>
      <w:r>
        <w:rPr>
          <w:w w:val="110"/>
          <w:sz w:val="16"/>
        </w:rPr>
        <w:t>why </w:t>
      </w:r>
      <w:r>
        <w:rPr>
          <w:w w:val="110"/>
          <w:sz w:val="17"/>
        </w:rPr>
        <w:t>the rate he must earn on his inve!!t ment differs from that  used  in the calcu)ation  of  the annual  premium .</w:t>
      </w:r>
    </w:p>
    <w:p>
      <w:pPr>
        <w:pStyle w:val="ListParagraph"/>
        <w:numPr>
          <w:ilvl w:val="0"/>
          <w:numId w:val="59"/>
        </w:numPr>
        <w:tabs>
          <w:tab w:pos="566" w:val="left" w:leader="none"/>
        </w:tabs>
        <w:spacing w:line="223" w:lineRule="auto" w:before="11" w:after="0"/>
        <w:ind w:left="126" w:right="143" w:firstLine="148"/>
        <w:jc w:val="both"/>
        <w:rPr>
          <w:sz w:val="17"/>
        </w:rPr>
      </w:pPr>
      <w:r>
        <w:rPr>
          <w:w w:val="105"/>
          <w:sz w:val="17"/>
        </w:rPr>
        <w:t>An n-year term policy providing decrea. ing insurance calh; for level annua) premiums payable for </w:t>
      </w:r>
      <w:r>
        <w:rPr>
          <w:rFonts w:ascii="Arial" w:hAnsi="Arial"/>
          <w:i/>
          <w:w w:val="105"/>
          <w:sz w:val="17"/>
        </w:rPr>
        <w:t>k </w:t>
      </w:r>
      <w:r>
        <w:rPr>
          <w:w w:val="105"/>
          <w:sz w:val="17"/>
        </w:rPr>
        <w:t>years </w:t>
      </w:r>
      <w:r>
        <w:rPr>
          <w:rFonts w:ascii="Arial" w:hAnsi="Arial"/>
          <w:i/>
          <w:w w:val="105"/>
          <w:sz w:val="17"/>
        </w:rPr>
        <w:t>(k </w:t>
      </w:r>
      <w:r>
        <w:rPr>
          <w:rFonts w:ascii="Arial" w:hAnsi="Arial"/>
          <w:w w:val="105"/>
          <w:sz w:val="20"/>
        </w:rPr>
        <w:t>&lt; </w:t>
      </w:r>
      <w:r>
        <w:rPr>
          <w:rFonts w:ascii="Arial" w:hAnsi="Arial"/>
          <w:i/>
          <w:w w:val="105"/>
          <w:sz w:val="14"/>
        </w:rPr>
        <w:t>n ). </w:t>
      </w:r>
      <w:r>
        <w:rPr>
          <w:w w:val="105"/>
          <w:sz w:val="17"/>
        </w:rPr>
        <w:t>The amou nt of  </w:t>
      </w:r>
      <w:r>
        <w:rPr>
          <w:w w:val="95"/>
          <w:sz w:val="17"/>
        </w:rPr>
        <w:t>i </w:t>
      </w:r>
      <w:r>
        <w:rPr>
          <w:w w:val="105"/>
          <w:sz w:val="17"/>
        </w:rPr>
        <w:t>nsurarn·e  </w:t>
      </w:r>
      <w:r>
        <w:rPr>
          <w:w w:val="95"/>
          <w:sz w:val="17"/>
        </w:rPr>
        <w:t>i </w:t>
      </w:r>
      <w:r>
        <w:rPr>
          <w:w w:val="105"/>
          <w:sz w:val="17"/>
        </w:rPr>
        <w:t>n the  t-th  polic.r  year  is  </w:t>
      </w:r>
      <w:r>
        <w:rPr>
          <w:rFonts w:ascii="Arial" w:hAnsi="Arial"/>
          <w:i/>
          <w:w w:val="105"/>
          <w:sz w:val="18"/>
        </w:rPr>
        <w:t>B, </w:t>
      </w:r>
      <w:r>
        <w:rPr>
          <w:rFonts w:ascii="Arial" w:hAnsi="Arial"/>
          <w:w w:val="105"/>
          <w:sz w:val="18"/>
        </w:rPr>
        <w:t>,</w:t>
      </w:r>
      <w:r>
        <w:rPr>
          <w:rFonts w:ascii="Arial" w:hAnsi="Arial"/>
          <w:spacing w:val="-31"/>
          <w:w w:val="105"/>
          <w:sz w:val="18"/>
        </w:rPr>
        <w:t> </w:t>
      </w:r>
      <w:r>
        <w:rPr>
          <w:w w:val="105"/>
          <w:sz w:val="17"/>
        </w:rPr>
        <w:t>and</w:t>
      </w:r>
    </w:p>
    <w:p>
      <w:pPr>
        <w:pStyle w:val="BodyText"/>
        <w:spacing w:before="3"/>
        <w:rPr>
          <w:sz w:val="12"/>
        </w:rPr>
      </w:pPr>
      <w:r>
        <w:rPr/>
        <w:drawing>
          <wp:anchor distT="0" distB="0" distL="0" distR="0" allowOverlap="1" layoutInCell="1" locked="0" behindDoc="0" simplePos="0" relativeHeight="11320">
            <wp:simplePos x="0" y="0"/>
            <wp:positionH relativeFrom="page">
              <wp:posOffset>1417319</wp:posOffset>
            </wp:positionH>
            <wp:positionV relativeFrom="paragraph">
              <wp:posOffset>114633</wp:posOffset>
            </wp:positionV>
            <wp:extent cx="1773935" cy="118872"/>
            <wp:effectExtent l="0" t="0" r="0" b="0"/>
            <wp:wrapTopAndBottom/>
            <wp:docPr id="287" name="image149.png" descr=""/>
            <wp:cNvGraphicFramePr>
              <a:graphicFrameLocks noChangeAspect="1"/>
            </wp:cNvGraphicFramePr>
            <a:graphic>
              <a:graphicData uri="http://schemas.openxmlformats.org/drawingml/2006/picture">
                <pic:pic>
                  <pic:nvPicPr>
                    <pic:cNvPr id="288" name="image149.png"/>
                    <pic:cNvPicPr/>
                  </pic:nvPicPr>
                  <pic:blipFill>
                    <a:blip r:embed="rId153" cstate="print"/>
                    <a:stretch>
                      <a:fillRect/>
                    </a:stretch>
                  </pic:blipFill>
                  <pic:spPr>
                    <a:xfrm>
                      <a:off x="0" y="0"/>
                      <a:ext cx="1773935" cy="118872"/>
                    </a:xfrm>
                    <a:prstGeom prst="rect">
                      <a:avLst/>
                    </a:prstGeom>
                  </pic:spPr>
                </pic:pic>
              </a:graphicData>
            </a:graphic>
          </wp:anchor>
        </w:drawing>
      </w:r>
    </w:p>
    <w:p>
      <w:pPr>
        <w:spacing w:line="192" w:lineRule="exact" w:before="125"/>
        <w:ind w:left="130" w:right="0" w:firstLine="0"/>
        <w:jc w:val="left"/>
        <w:rPr>
          <w:sz w:val="17"/>
        </w:rPr>
      </w:pPr>
      <w:r>
        <w:rPr>
          <w:w w:val="105"/>
          <w:sz w:val="17"/>
        </w:rPr>
        <w:t>where </w:t>
      </w:r>
      <w:r>
        <w:rPr>
          <w:rFonts w:ascii="Arial"/>
          <w:i/>
          <w:w w:val="105"/>
          <w:sz w:val="16"/>
        </w:rPr>
        <w:t>:r  </w:t>
      </w:r>
      <w:r>
        <w:rPr>
          <w:w w:val="105"/>
          <w:sz w:val="17"/>
        </w:rPr>
        <w:t>is the  </w:t>
      </w:r>
      <w:r>
        <w:rPr>
          <w:rFonts w:ascii="Arial"/>
          <w:w w:val="105"/>
          <w:sz w:val="15"/>
        </w:rPr>
        <w:t>age </w:t>
      </w:r>
      <w:r>
        <w:rPr>
          <w:w w:val="105"/>
          <w:sz w:val="17"/>
        </w:rPr>
        <w:t>at  issue.</w:t>
      </w:r>
    </w:p>
    <w:p>
      <w:pPr>
        <w:pStyle w:val="ListParagraph"/>
        <w:numPr>
          <w:ilvl w:val="1"/>
          <w:numId w:val="59"/>
        </w:numPr>
        <w:tabs>
          <w:tab w:pos="750" w:val="left" w:leader="none"/>
        </w:tabs>
        <w:spacing w:line="249" w:lineRule="auto" w:before="0" w:after="0"/>
        <w:ind w:left="746" w:right="142" w:hanging="288"/>
        <w:jc w:val="left"/>
        <w:rPr>
          <w:sz w:val="17"/>
        </w:rPr>
      </w:pPr>
      <w:r>
        <w:rPr>
          <w:sz w:val="17"/>
        </w:rPr>
        <w:t>Show that all terminal reserves </w:t>
      </w:r>
      <w:r>
        <w:rPr>
          <w:sz w:val="18"/>
        </w:rPr>
        <w:t>will </w:t>
      </w:r>
      <w:r>
        <w:rPr>
          <w:sz w:val="17"/>
        </w:rPr>
        <w:t>he posit i ve if t he  fi rst  year terminal   reserve   is  </w:t>
      </w:r>
      <w:r>
        <w:rPr>
          <w:spacing w:val="16"/>
          <w:sz w:val="17"/>
        </w:rPr>
        <w:t> </w:t>
      </w:r>
      <w:r>
        <w:rPr>
          <w:sz w:val="17"/>
        </w:rPr>
        <w:t>positive.</w:t>
      </w:r>
    </w:p>
    <w:p>
      <w:pPr>
        <w:pStyle w:val="ListParagraph"/>
        <w:numPr>
          <w:ilvl w:val="1"/>
          <w:numId w:val="59"/>
        </w:numPr>
        <w:tabs>
          <w:tab w:pos="750" w:val="left" w:leader="none"/>
        </w:tabs>
        <w:spacing w:line="247" w:lineRule="auto" w:before="0" w:after="0"/>
        <w:ind w:left="749" w:right="141" w:hanging="295"/>
        <w:jc w:val="left"/>
        <w:rPr>
          <w:sz w:val="17"/>
        </w:rPr>
      </w:pPr>
      <w:r>
        <w:rPr/>
        <w:pict>
          <v:shape style="position:absolute;margin-left:194.399994pt;margin-top:24.578312pt;width:10.25pt;height:23pt;mso-position-horizontal-relative:page;mso-position-vertical-relative:paragraph;z-index:-724696" type="#_x0000_t202" filled="false" stroked="false">
            <v:textbox inset="0,0,0,0">
              <w:txbxContent>
                <w:p>
                  <w:pPr>
                    <w:spacing w:line="460" w:lineRule="exact" w:before="0"/>
                    <w:ind w:left="0" w:right="0" w:firstLine="0"/>
                    <w:jc w:val="left"/>
                    <w:rPr>
                      <w:rFonts w:ascii="Arial" w:hAnsi="Arial"/>
                      <w:sz w:val="46"/>
                    </w:rPr>
                  </w:pPr>
                  <w:r>
                    <w:rPr>
                      <w:rFonts w:ascii="Arial" w:hAnsi="Arial"/>
                      <w:w w:val="80"/>
                      <w:sz w:val="46"/>
                    </w:rPr>
                    <w:t>±</w:t>
                  </w:r>
                </w:p>
              </w:txbxContent>
            </v:textbox>
            <w10:wrap type="none"/>
          </v:shape>
        </w:pict>
      </w:r>
      <w:r>
        <w:rPr>
          <w:w w:val="105"/>
          <w:sz w:val="17"/>
        </w:rPr>
        <w:t>Prove t hat t he largest value  oí </w:t>
      </w:r>
      <w:r>
        <w:rPr>
          <w:i/>
          <w:w w:val="105"/>
          <w:sz w:val="17"/>
        </w:rPr>
        <w:t>k  </w:t>
      </w:r>
      <w:r>
        <w:rPr>
          <w:w w:val="105"/>
          <w:sz w:val="17"/>
        </w:rPr>
        <w:t>permissible  if  termi nal  reserves e.re never  to be negative  is the large.st  val11e of  </w:t>
      </w:r>
      <w:r>
        <w:rPr>
          <w:i/>
          <w:w w:val="105"/>
          <w:sz w:val="17"/>
        </w:rPr>
        <w:t>k  </w:t>
      </w:r>
      <w:r>
        <w:rPr>
          <w:w w:val="105"/>
          <w:sz w:val="17"/>
        </w:rPr>
        <w:t>for</w:t>
      </w:r>
      <w:r>
        <w:rPr>
          <w:spacing w:val="29"/>
          <w:w w:val="105"/>
          <w:sz w:val="17"/>
        </w:rPr>
        <w:t> </w:t>
      </w:r>
      <w:r>
        <w:rPr>
          <w:w w:val="105"/>
          <w:sz w:val="17"/>
        </w:rPr>
        <w:t>whir·h</w:t>
      </w:r>
    </w:p>
    <w:p>
      <w:pPr>
        <w:pStyle w:val="BodyText"/>
        <w:spacing w:before="4"/>
        <w:rPr>
          <w:sz w:val="21"/>
        </w:rPr>
      </w:pPr>
    </w:p>
    <w:p>
      <w:pPr>
        <w:tabs>
          <w:tab w:pos="1792" w:val="left" w:leader="none"/>
        </w:tabs>
        <w:spacing w:line="243" w:lineRule="exact" w:before="0"/>
        <w:ind w:left="0" w:right="39" w:firstLine="0"/>
        <w:jc w:val="center"/>
        <w:rPr>
          <w:rFonts w:ascii="Arial" w:hAnsi="Arial"/>
          <w:sz w:val="16"/>
        </w:rPr>
      </w:pPr>
      <w:r>
        <w:rPr>
          <w:b/>
          <w:w w:val="120"/>
          <w:sz w:val="13"/>
        </w:rPr>
        <w:t>Ns+t  </w:t>
      </w:r>
      <w:r>
        <w:rPr>
          <w:rFonts w:ascii="Arial" w:hAnsi="Arial"/>
          <w:w w:val="120"/>
          <w:sz w:val="23"/>
        </w:rPr>
        <w:t>&gt; </w:t>
      </w:r>
      <w:r>
        <w:rPr>
          <w:w w:val="95"/>
          <w:sz w:val="18"/>
        </w:rPr>
        <w:t>lVs</w:t>
      </w:r>
      <w:r>
        <w:rPr>
          <w:spacing w:val="9"/>
          <w:w w:val="95"/>
          <w:sz w:val="18"/>
        </w:rPr>
        <w:t> </w:t>
      </w:r>
      <w:r>
        <w:rPr>
          <w:w w:val="215"/>
          <w:sz w:val="18"/>
        </w:rPr>
        <w:t>-</w:t>
      </w:r>
      <w:r>
        <w:rPr>
          <w:spacing w:val="-54"/>
          <w:w w:val="215"/>
          <w:sz w:val="18"/>
        </w:rPr>
        <w:t> </w:t>
      </w:r>
      <w:r>
        <w:rPr>
          <w:i/>
          <w:spacing w:val="-22"/>
          <w:w w:val="95"/>
          <w:sz w:val="18"/>
        </w:rPr>
        <w:t>BDC</w:t>
        <w:tab/>
      </w:r>
      <w:r>
        <w:rPr>
          <w:rFonts w:ascii="Arial" w:hAnsi="Arial"/>
          <w:i/>
          <w:spacing w:val="-3"/>
          <w:w w:val="110"/>
          <w:sz w:val="16"/>
        </w:rPr>
        <w:t>B,CHl-1</w:t>
      </w:r>
      <w:r>
        <w:rPr>
          <w:rFonts w:ascii="Arial" w:hAnsi="Arial"/>
          <w:i/>
          <w:spacing w:val="-26"/>
          <w:w w:val="110"/>
          <w:sz w:val="16"/>
        </w:rPr>
        <w:t> </w:t>
      </w:r>
      <w:r>
        <w:rPr>
          <w:rFonts w:ascii="Arial" w:hAnsi="Arial"/>
          <w:w w:val="95"/>
          <w:sz w:val="16"/>
        </w:rPr>
        <w:t>•</w:t>
      </w:r>
    </w:p>
    <w:p>
      <w:pPr>
        <w:spacing w:line="105" w:lineRule="exact" w:before="0"/>
        <w:ind w:left="530" w:right="87" w:firstLine="0"/>
        <w:jc w:val="center"/>
        <w:rPr>
          <w:rFonts w:ascii="Arial" w:hAnsi="Arial"/>
          <w:i/>
          <w:sz w:val="11"/>
        </w:rPr>
      </w:pPr>
      <w:r>
        <w:rPr>
          <w:w w:val="240"/>
          <w:sz w:val="10"/>
        </w:rPr>
        <w:t>¡ </w:t>
      </w:r>
      <w:r>
        <w:rPr>
          <w:i/>
          <w:w w:val="110"/>
          <w:sz w:val="9"/>
        </w:rPr>
        <w:t>:I   </w:t>
      </w:r>
      <w:r>
        <w:rPr>
          <w:rFonts w:ascii="Arial" w:hAnsi="Arial"/>
          <w:i/>
          <w:w w:val="240"/>
          <w:sz w:val="11"/>
        </w:rPr>
        <w:t>t-l</w:t>
      </w:r>
    </w:p>
    <w:p>
      <w:pPr>
        <w:pStyle w:val="BodyText"/>
        <w:spacing w:before="4"/>
        <w:rPr>
          <w:rFonts w:ascii="Arial"/>
          <w:i/>
          <w:sz w:val="13"/>
        </w:rPr>
      </w:pPr>
    </w:p>
    <w:p>
      <w:pPr>
        <w:pStyle w:val="ListParagraph"/>
        <w:numPr>
          <w:ilvl w:val="0"/>
          <w:numId w:val="59"/>
        </w:numPr>
        <w:tabs>
          <w:tab w:pos="581" w:val="left" w:leader="none"/>
        </w:tabs>
        <w:spacing w:line="244" w:lineRule="auto" w:before="0" w:after="0"/>
        <w:ind w:left="119" w:right="126" w:firstLine="166"/>
        <w:jc w:val="both"/>
        <w:rPr>
          <w:sz w:val="17"/>
        </w:rPr>
      </w:pPr>
      <w:r>
        <w:rPr>
          <w:w w:val="105"/>
          <w:sz w:val="17"/>
        </w:rPr>
        <w:t>An ordinary life policy oí unit amount is issued on a life aged </w:t>
      </w:r>
      <w:r>
        <w:rPr>
          <w:i/>
          <w:w w:val="105"/>
          <w:sz w:val="18"/>
        </w:rPr>
        <w:t>x. </w:t>
      </w:r>
      <w:r>
        <w:rPr>
          <w:w w:val="105"/>
          <w:sz w:val="17"/>
        </w:rPr>
        <w:t>The annual premium is payable Cor five years, at the end of which t ime t he in­ sured  has  the  option  of  either  continuing  the  policy  or  convert ing  it ,  </w:t>
      </w:r>
      <w:r>
        <w:rPr>
          <w:spacing w:val="10"/>
          <w:w w:val="105"/>
          <w:sz w:val="17"/>
        </w:rPr>
        <w:t> </w:t>
      </w:r>
      <w:r>
        <w:rPr>
          <w:w w:val="105"/>
          <w:sz w:val="17"/>
        </w:rPr>
        <w:t>hy</w:t>
      </w:r>
    </w:p>
    <w:p>
      <w:pPr>
        <w:spacing w:after="0" w:line="244" w:lineRule="auto"/>
        <w:jc w:val="both"/>
        <w:rPr>
          <w:sz w:val="17"/>
        </w:rPr>
        <w:sectPr>
          <w:type w:val="continuous"/>
          <w:pgSz w:w="7200" w:h="11340"/>
          <w:pgMar w:top="1100" w:bottom="0" w:left="640" w:right="560"/>
        </w:sectPr>
      </w:pPr>
    </w:p>
    <w:p>
      <w:pPr>
        <w:tabs>
          <w:tab w:pos="5898" w:val="right" w:leader="none"/>
        </w:tabs>
        <w:spacing w:before="51"/>
        <w:ind w:left="2533" w:right="0" w:firstLine="0"/>
        <w:jc w:val="left"/>
        <w:rPr>
          <w:sz w:val="20"/>
        </w:rPr>
      </w:pPr>
      <w:r>
        <w:rPr>
          <w:rFonts w:ascii="Arial"/>
          <w:b/>
          <w:w w:val="110"/>
          <w:sz w:val="14"/>
        </w:rPr>
        <w:t>EXERCISF.8</w:t>
      </w:r>
      <w:r>
        <w:rPr>
          <w:w w:val="110"/>
          <w:sz w:val="20"/>
        </w:rPr>
        <w:tab/>
      </w:r>
      <w:r>
        <w:rPr>
          <w:spacing w:val="-6"/>
          <w:w w:val="110"/>
          <w:sz w:val="20"/>
        </w:rPr>
        <w:t>131</w:t>
      </w:r>
    </w:p>
    <w:p>
      <w:pPr>
        <w:pStyle w:val="BodyText"/>
        <w:spacing w:before="8"/>
        <w:rPr>
          <w:sz w:val="27"/>
        </w:rPr>
      </w:pPr>
    </w:p>
    <w:p>
      <w:pPr>
        <w:spacing w:line="132" w:lineRule="auto" w:before="1"/>
        <w:ind w:left="114" w:right="241" w:firstLine="3"/>
        <w:jc w:val="left"/>
        <w:rPr>
          <w:i/>
          <w:sz w:val="18"/>
        </w:rPr>
      </w:pPr>
      <w:r>
        <w:rPr>
          <w:w w:val="110"/>
          <w:sz w:val="17"/>
        </w:rPr>
        <w:t>payment of an increased annual premium, to an endowment for the same face amount and maturing  at  age </w:t>
      </w:r>
      <w:r>
        <w:rPr>
          <w:i/>
          <w:w w:val="110"/>
          <w:sz w:val="18"/>
        </w:rPr>
        <w:t>x  </w:t>
      </w:r>
      <w:r>
        <w:rPr>
          <w:rFonts w:ascii="Arial"/>
          <w:w w:val="110"/>
          <w:sz w:val="27"/>
        </w:rPr>
        <w:t>+ </w:t>
      </w:r>
      <w:r>
        <w:rPr>
          <w:i/>
          <w:w w:val="110"/>
          <w:sz w:val="18"/>
        </w:rPr>
        <w:t>n.</w:t>
      </w:r>
    </w:p>
    <w:p>
      <w:pPr>
        <w:pStyle w:val="ListParagraph"/>
        <w:numPr>
          <w:ilvl w:val="1"/>
          <w:numId w:val="59"/>
        </w:numPr>
        <w:tabs>
          <w:tab w:pos="755" w:val="left" w:leader="none"/>
        </w:tabs>
        <w:spacing w:line="244" w:lineRule="auto" w:before="2" w:after="0"/>
        <w:ind w:left="744" w:right="142" w:hanging="296"/>
        <w:jc w:val="both"/>
        <w:rPr>
          <w:sz w:val="17"/>
        </w:rPr>
      </w:pPr>
      <w:r>
        <w:rPr>
          <w:w w:val="110"/>
          <w:sz w:val="18"/>
        </w:rPr>
        <w:t>lf </w:t>
      </w:r>
      <w:r>
        <w:rPr>
          <w:w w:val="110"/>
          <w:sz w:val="17"/>
        </w:rPr>
        <w:t>the conversion option is elected, find an expression for the net. annual premium payable for the remaining term of the </w:t>
      </w:r>
      <w:r>
        <w:rPr>
          <w:spacing w:val="22"/>
          <w:w w:val="110"/>
          <w:sz w:val="17"/>
        </w:rPr>
        <w:t> </w:t>
      </w:r>
      <w:r>
        <w:rPr>
          <w:w w:val="110"/>
          <w:sz w:val="17"/>
        </w:rPr>
        <w:t>endowment.</w:t>
      </w:r>
    </w:p>
    <w:p>
      <w:pPr>
        <w:pStyle w:val="ListParagraph"/>
        <w:numPr>
          <w:ilvl w:val="1"/>
          <w:numId w:val="59"/>
        </w:numPr>
        <w:tabs>
          <w:tab w:pos="748" w:val="left" w:leader="none"/>
        </w:tabs>
        <w:spacing w:line="247" w:lineRule="auto" w:before="2" w:after="0"/>
        <w:ind w:left="744" w:right="136" w:hanging="288"/>
        <w:jc w:val="both"/>
        <w:rPr>
          <w:sz w:val="17"/>
        </w:rPr>
      </w:pPr>
      <w:r>
        <w:rPr>
          <w:w w:val="110"/>
          <w:sz w:val="17"/>
        </w:rPr>
        <w:t>Show that the reserve by the prospective  method  at  the end  of  five years after such conversion, immediately before  payment  of the 6th increased premium, is equal to the reserve which  would have been held had the policy not been converted, together with the difference in the net premiums paid, accumulated with interest and survivorship. Assume that the reserve is calculated on the same mortality  and  interest  basis  as the  net</w:t>
      </w:r>
      <w:r>
        <w:rPr>
          <w:spacing w:val="6"/>
          <w:w w:val="110"/>
          <w:sz w:val="17"/>
        </w:rPr>
        <w:t> </w:t>
      </w:r>
      <w:r>
        <w:rPr>
          <w:w w:val="110"/>
          <w:sz w:val="17"/>
        </w:rPr>
        <w:t>premiums.</w:t>
      </w:r>
    </w:p>
    <w:p>
      <w:pPr>
        <w:tabs>
          <w:tab w:pos="766" w:val="left" w:leader="none"/>
        </w:tabs>
        <w:spacing w:line="154" w:lineRule="exact" w:before="0"/>
        <w:ind w:left="0" w:right="806" w:firstLine="0"/>
        <w:jc w:val="right"/>
        <w:rPr>
          <w:sz w:val="18"/>
        </w:rPr>
      </w:pPr>
      <w:r>
        <w:rPr>
          <w:w w:val="120"/>
          <w:sz w:val="18"/>
        </w:rPr>
        <w:t>,</w:t>
        <w:tab/>
      </w:r>
      <w:r>
        <w:rPr>
          <w:spacing w:val="-16"/>
          <w:w w:val="110"/>
          <w:sz w:val="18"/>
        </w:rPr>
        <w:t>.52</w:t>
      </w:r>
    </w:p>
    <w:p>
      <w:pPr>
        <w:pStyle w:val="ListParagraph"/>
        <w:numPr>
          <w:ilvl w:val="0"/>
          <w:numId w:val="59"/>
        </w:numPr>
        <w:tabs>
          <w:tab w:pos="568" w:val="left" w:leader="none"/>
        </w:tabs>
        <w:spacing w:line="172" w:lineRule="exact" w:before="0" w:after="0"/>
        <w:ind w:left="567" w:right="0" w:hanging="295"/>
        <w:jc w:val="left"/>
        <w:rPr>
          <w:sz w:val="17"/>
        </w:rPr>
      </w:pPr>
      <w:r>
        <w:rPr>
          <w:w w:val="125"/>
          <w:sz w:val="17"/>
        </w:rPr>
        <w:t>Two</w:t>
      </w:r>
      <w:r>
        <w:rPr>
          <w:spacing w:val="-17"/>
          <w:w w:val="125"/>
          <w:sz w:val="17"/>
        </w:rPr>
        <w:t> </w:t>
      </w:r>
      <w:r>
        <w:rPr>
          <w:w w:val="125"/>
          <w:sz w:val="17"/>
        </w:rPr>
        <w:t>mortality</w:t>
      </w:r>
      <w:r>
        <w:rPr>
          <w:spacing w:val="-9"/>
          <w:w w:val="125"/>
          <w:sz w:val="17"/>
        </w:rPr>
        <w:t> </w:t>
      </w:r>
      <w:r>
        <w:rPr>
          <w:w w:val="125"/>
          <w:sz w:val="17"/>
        </w:rPr>
        <w:t>tables</w:t>
      </w:r>
      <w:r>
        <w:rPr>
          <w:spacing w:val="-5"/>
          <w:w w:val="125"/>
          <w:sz w:val="17"/>
        </w:rPr>
        <w:t> </w:t>
      </w:r>
      <w:r>
        <w:rPr>
          <w:i/>
          <w:w w:val="125"/>
          <w:sz w:val="18"/>
        </w:rPr>
        <w:t>T</w:t>
      </w:r>
      <w:r>
        <w:rPr>
          <w:i/>
          <w:spacing w:val="-13"/>
          <w:w w:val="125"/>
          <w:sz w:val="18"/>
        </w:rPr>
        <w:t> </w:t>
      </w:r>
      <w:r>
        <w:rPr>
          <w:w w:val="125"/>
          <w:sz w:val="17"/>
        </w:rPr>
        <w:t>and</w:t>
      </w:r>
      <w:r>
        <w:rPr>
          <w:spacing w:val="-7"/>
          <w:w w:val="125"/>
          <w:sz w:val="17"/>
        </w:rPr>
        <w:t> </w:t>
      </w:r>
      <w:r>
        <w:rPr>
          <w:i/>
          <w:w w:val="125"/>
          <w:sz w:val="18"/>
        </w:rPr>
        <w:t>T'</w:t>
      </w:r>
      <w:r>
        <w:rPr>
          <w:i/>
          <w:spacing w:val="-13"/>
          <w:w w:val="125"/>
          <w:sz w:val="18"/>
        </w:rPr>
        <w:t> </w:t>
      </w:r>
      <w:r>
        <w:rPr>
          <w:w w:val="125"/>
          <w:sz w:val="17"/>
        </w:rPr>
        <w:t>are</w:t>
      </w:r>
      <w:r>
        <w:rPr>
          <w:spacing w:val="-18"/>
          <w:w w:val="125"/>
          <w:sz w:val="17"/>
        </w:rPr>
        <w:t> </w:t>
      </w:r>
      <w:r>
        <w:rPr>
          <w:w w:val="125"/>
          <w:sz w:val="17"/>
        </w:rPr>
        <w:t>such</w:t>
      </w:r>
      <w:r>
        <w:rPr>
          <w:spacing w:val="-18"/>
          <w:w w:val="125"/>
          <w:sz w:val="17"/>
        </w:rPr>
        <w:t> </w:t>
      </w:r>
      <w:r>
        <w:rPr>
          <w:w w:val="125"/>
          <w:sz w:val="17"/>
        </w:rPr>
        <w:t>that</w:t>
      </w:r>
      <w:r>
        <w:rPr>
          <w:spacing w:val="-7"/>
          <w:w w:val="125"/>
          <w:sz w:val="17"/>
        </w:rPr>
        <w:t> </w:t>
      </w:r>
      <w:r>
        <w:rPr>
          <w:i/>
          <w:w w:val="90"/>
          <w:sz w:val="18"/>
        </w:rPr>
        <w:t>q,,</w:t>
      </w:r>
      <w:r>
        <w:rPr>
          <w:i/>
          <w:spacing w:val="-1"/>
          <w:w w:val="90"/>
          <w:sz w:val="18"/>
        </w:rPr>
        <w:t> </w:t>
      </w:r>
      <w:r>
        <w:rPr>
          <w:w w:val="125"/>
          <w:sz w:val="18"/>
        </w:rPr>
        <w:t>=</w:t>
      </w:r>
      <w:r>
        <w:rPr>
          <w:spacing w:val="-2"/>
          <w:w w:val="125"/>
          <w:sz w:val="18"/>
        </w:rPr>
        <w:t> </w:t>
      </w:r>
      <w:r>
        <w:rPr>
          <w:i/>
          <w:w w:val="90"/>
          <w:sz w:val="18"/>
        </w:rPr>
        <w:t>q</w:t>
      </w:r>
      <w:r>
        <w:rPr>
          <w:rFonts w:ascii="Arial"/>
          <w:i/>
          <w:w w:val="90"/>
          <w:position w:val="-3"/>
          <w:sz w:val="15"/>
        </w:rPr>
        <w:t>11</w:t>
      </w:r>
      <w:r>
        <w:rPr>
          <w:rFonts w:ascii="Arial"/>
          <w:i/>
          <w:spacing w:val="19"/>
          <w:w w:val="90"/>
          <w:position w:val="-3"/>
          <w:sz w:val="15"/>
        </w:rPr>
        <w:t> </w:t>
      </w:r>
      <w:r>
        <w:rPr>
          <w:rFonts w:ascii="Arial"/>
          <w:w w:val="260"/>
          <w:sz w:val="15"/>
        </w:rPr>
        <w:t>-</w:t>
      </w:r>
      <w:r>
        <w:rPr>
          <w:rFonts w:ascii="Arial"/>
          <w:spacing w:val="-62"/>
          <w:w w:val="260"/>
          <w:sz w:val="15"/>
        </w:rPr>
        <w:t> </w:t>
      </w:r>
      <w:r>
        <w:rPr>
          <w:rFonts w:ascii="Arial"/>
          <w:w w:val="570"/>
          <w:sz w:val="15"/>
        </w:rPr>
        <w:t>-</w:t>
      </w:r>
      <w:r>
        <w:rPr>
          <w:rFonts w:ascii="Arial"/>
          <w:spacing w:val="-228"/>
          <w:w w:val="570"/>
          <w:sz w:val="15"/>
        </w:rPr>
        <w:t> </w:t>
      </w:r>
      <w:r>
        <w:rPr>
          <w:w w:val="125"/>
          <w:sz w:val="17"/>
        </w:rPr>
        <w:t>at</w:t>
      </w:r>
      <w:r>
        <w:rPr>
          <w:spacing w:val="-9"/>
          <w:w w:val="125"/>
          <w:sz w:val="17"/>
        </w:rPr>
        <w:t> </w:t>
      </w:r>
      <w:r>
        <w:rPr>
          <w:w w:val="90"/>
          <w:sz w:val="17"/>
        </w:rPr>
        <w:t>a.ges</w:t>
      </w:r>
    </w:p>
    <w:p>
      <w:pPr>
        <w:spacing w:line="133" w:lineRule="exact" w:before="0"/>
        <w:ind w:left="0" w:right="733" w:firstLine="0"/>
        <w:jc w:val="right"/>
        <w:rPr>
          <w:rFonts w:ascii="Arial" w:hAnsi="Arial"/>
          <w:i/>
          <w:sz w:val="15"/>
        </w:rPr>
      </w:pPr>
      <w:r>
        <w:rPr>
          <w:rFonts w:ascii="Arial" w:hAnsi="Arial"/>
          <w:i/>
          <w:w w:val="70"/>
          <w:sz w:val="15"/>
        </w:rPr>
        <w:t>ª11+1</w:t>
      </w:r>
    </w:p>
    <w:p>
      <w:pPr>
        <w:spacing w:line="151" w:lineRule="auto" w:before="46"/>
        <w:ind w:left="114" w:right="136" w:firstLine="0"/>
        <w:jc w:val="left"/>
        <w:rPr>
          <w:sz w:val="17"/>
        </w:rPr>
      </w:pPr>
      <w:r>
        <w:rPr/>
        <w:pict>
          <v:shape style="position:absolute;margin-left:168.479996pt;margin-top:12.795261pt;width:7.65pt;height:18pt;mso-position-horizontal-relative:page;mso-position-vertical-relative:paragraph;z-index:-724672" type="#_x0000_t202" filled="false" stroked="false">
            <v:textbox inset="0,0,0,0">
              <w:txbxContent>
                <w:p>
                  <w:pPr>
                    <w:spacing w:line="360" w:lineRule="exact" w:before="0"/>
                    <w:ind w:left="0" w:right="-17" w:firstLine="0"/>
                    <w:jc w:val="left"/>
                    <w:rPr>
                      <w:i/>
                      <w:sz w:val="36"/>
                    </w:rPr>
                  </w:pPr>
                  <w:r>
                    <w:rPr>
                      <w:i/>
                      <w:w w:val="50"/>
                      <w:sz w:val="36"/>
                    </w:rPr>
                    <w:t>a:</w:t>
                  </w:r>
                </w:p>
              </w:txbxContent>
            </v:textbox>
            <w10:wrap type="none"/>
          </v:shape>
        </w:pict>
      </w:r>
      <w:r>
        <w:rPr>
          <w:w w:val="105"/>
          <w:sz w:val="17"/>
        </w:rPr>
        <w:t>90 through 99, where the interest  rate  used  for  calculating  </w:t>
      </w:r>
      <w:r>
        <w:rPr>
          <w:rFonts w:ascii="Arial" w:hAnsi="Arial"/>
          <w:i/>
          <w:w w:val="105"/>
          <w:sz w:val="15"/>
        </w:rPr>
        <w:t>ªv+i  </w:t>
      </w:r>
      <w:r>
        <w:rPr>
          <w:w w:val="105"/>
          <w:sz w:val="17"/>
        </w:rPr>
        <w:t>is  4%.  At  </w:t>
      </w:r>
      <w:r>
        <w:rPr>
          <w:w w:val="105"/>
          <w:position w:val="2"/>
          <w:sz w:val="17"/>
        </w:rPr>
        <w:t>the  same  interest  rate,  </w:t>
      </w:r>
      <w:r>
        <w:rPr>
          <w:i/>
          <w:w w:val="105"/>
          <w:position w:val="2"/>
          <w:sz w:val="17"/>
        </w:rPr>
        <w:t>,V</w:t>
      </w:r>
      <w:r>
        <w:rPr>
          <w:rFonts w:ascii="Arial" w:hAnsi="Arial"/>
          <w:i/>
          <w:w w:val="105"/>
          <w:sz w:val="10"/>
        </w:rPr>
        <w:t>90   </w:t>
      </w:r>
      <w:r>
        <w:rPr>
          <w:w w:val="95"/>
          <w:position w:val="2"/>
          <w:sz w:val="23"/>
        </w:rPr>
        <w:t>=  </w:t>
      </w:r>
      <w:r>
        <w:rPr>
          <w:i/>
          <w:spacing w:val="-6"/>
          <w:w w:val="105"/>
          <w:position w:val="2"/>
          <w:sz w:val="17"/>
        </w:rPr>
        <w:t>,V  </w:t>
      </w:r>
      <w:r>
        <w:rPr>
          <w:i/>
          <w:w w:val="95"/>
          <w:position w:val="2"/>
          <w:sz w:val="17"/>
        </w:rPr>
        <w:t>o  </w:t>
      </w:r>
      <w:r>
        <w:rPr>
          <w:w w:val="105"/>
          <w:position w:val="2"/>
          <w:sz w:val="17"/>
        </w:rPr>
        <w:t>for  </w:t>
      </w:r>
      <w:r>
        <w:rPr>
          <w:w w:val="95"/>
          <w:position w:val="2"/>
          <w:sz w:val="17"/>
        </w:rPr>
        <w:t>O  </w:t>
      </w:r>
      <w:r>
        <w:rPr>
          <w:rFonts w:ascii="Arial" w:hAnsi="Arial"/>
          <w:w w:val="105"/>
          <w:position w:val="2"/>
          <w:sz w:val="25"/>
        </w:rPr>
        <w:t>&lt; </w:t>
      </w:r>
      <w:r>
        <w:rPr>
          <w:rFonts w:ascii="Arial" w:hAnsi="Arial"/>
          <w:i/>
          <w:w w:val="105"/>
          <w:position w:val="2"/>
          <w:sz w:val="14"/>
        </w:rPr>
        <w:t>t  </w:t>
      </w:r>
      <w:r>
        <w:rPr>
          <w:rFonts w:ascii="Arial" w:hAnsi="Arial"/>
          <w:w w:val="105"/>
          <w:position w:val="2"/>
          <w:sz w:val="25"/>
        </w:rPr>
        <w:t>&lt; </w:t>
      </w:r>
      <w:r>
        <w:rPr>
          <w:spacing w:val="-15"/>
          <w:w w:val="105"/>
          <w:position w:val="2"/>
          <w:sz w:val="17"/>
        </w:rPr>
        <w:t>10.  </w:t>
      </w:r>
      <w:r>
        <w:rPr>
          <w:w w:val="105"/>
          <w:position w:val="2"/>
          <w:sz w:val="17"/>
        </w:rPr>
        <w:t>The  limiting  age </w:t>
      </w:r>
      <w:r>
        <w:rPr>
          <w:rFonts w:ascii="Arial" w:hAnsi="Arial"/>
          <w:i/>
          <w:w w:val="105"/>
          <w:position w:val="2"/>
          <w:sz w:val="12"/>
        </w:rPr>
        <w:t>w</w:t>
      </w:r>
      <w:r>
        <w:rPr>
          <w:rFonts w:ascii="Arial" w:hAnsi="Arial"/>
          <w:i/>
          <w:spacing w:val="32"/>
          <w:w w:val="105"/>
          <w:position w:val="2"/>
          <w:sz w:val="12"/>
        </w:rPr>
        <w:t> </w:t>
      </w:r>
      <w:r>
        <w:rPr>
          <w:w w:val="105"/>
          <w:position w:val="2"/>
          <w:sz w:val="17"/>
        </w:rPr>
        <w:t>for</w:t>
      </w:r>
    </w:p>
    <w:p>
      <w:pPr>
        <w:tabs>
          <w:tab w:pos="2864" w:val="left" w:leader="none"/>
        </w:tabs>
        <w:spacing w:line="208" w:lineRule="exact" w:before="0"/>
        <w:ind w:left="124" w:right="0" w:firstLine="0"/>
        <w:jc w:val="left"/>
        <w:rPr>
          <w:sz w:val="17"/>
        </w:rPr>
      </w:pPr>
      <w:r>
        <w:rPr>
          <w:w w:val="110"/>
          <w:sz w:val="17"/>
        </w:rPr>
        <w:t>table  </w:t>
      </w:r>
      <w:r>
        <w:rPr>
          <w:i/>
          <w:w w:val="110"/>
          <w:sz w:val="18"/>
        </w:rPr>
        <w:t>T </w:t>
      </w:r>
      <w:r>
        <w:rPr>
          <w:w w:val="110"/>
          <w:sz w:val="17"/>
        </w:rPr>
        <w:t>is 101. Find  the</w:t>
      </w:r>
      <w:r>
        <w:rPr>
          <w:spacing w:val="14"/>
          <w:w w:val="110"/>
          <w:sz w:val="17"/>
        </w:rPr>
        <w:t> </w:t>
      </w:r>
      <w:r>
        <w:rPr>
          <w:w w:val="110"/>
          <w:sz w:val="17"/>
        </w:rPr>
        <w:t>value</w:t>
      </w:r>
      <w:r>
        <w:rPr>
          <w:spacing w:val="17"/>
          <w:w w:val="110"/>
          <w:sz w:val="17"/>
        </w:rPr>
        <w:t> </w:t>
      </w:r>
      <w:r>
        <w:rPr>
          <w:w w:val="110"/>
          <w:sz w:val="17"/>
        </w:rPr>
        <w:t>of</w:t>
        <w:tab/>
      </w:r>
      <w:r>
        <w:rPr>
          <w:i/>
          <w:w w:val="110"/>
          <w:position w:val="-1"/>
          <w:sz w:val="10"/>
        </w:rPr>
        <w:t>00   </w:t>
      </w:r>
      <w:r>
        <w:rPr>
          <w:w w:val="110"/>
          <w:sz w:val="17"/>
        </w:rPr>
        <w:t>at  4%</w:t>
      </w:r>
      <w:r>
        <w:rPr>
          <w:spacing w:val="21"/>
          <w:w w:val="110"/>
          <w:sz w:val="17"/>
        </w:rPr>
        <w:t> </w:t>
      </w:r>
      <w:r>
        <w:rPr>
          <w:w w:val="110"/>
          <w:sz w:val="17"/>
        </w:rPr>
        <w:t>interest.</w:t>
      </w:r>
    </w:p>
    <w:p>
      <w:pPr>
        <w:spacing w:after="0" w:line="208" w:lineRule="exact"/>
        <w:jc w:val="left"/>
        <w:rPr>
          <w:sz w:val="17"/>
        </w:rPr>
        <w:sectPr>
          <w:pgSz w:w="7200" w:h="11340"/>
          <w:pgMar w:top="500" w:bottom="280" w:left="660" w:right="540"/>
        </w:sectPr>
      </w:pPr>
    </w:p>
    <w:p>
      <w:pPr>
        <w:pStyle w:val="BodyText"/>
        <w:spacing w:before="6"/>
        <w:rPr>
          <w:sz w:val="16"/>
        </w:rPr>
      </w:pPr>
    </w:p>
    <w:p>
      <w:pPr>
        <w:spacing w:before="76"/>
        <w:ind w:left="64" w:right="143" w:firstLine="0"/>
        <w:jc w:val="center"/>
        <w:rPr>
          <w:rFonts w:ascii="Arial"/>
          <w:sz w:val="19"/>
        </w:rPr>
      </w:pPr>
      <w:bookmarkStart w:name="6. The Expense Factor" w:id="11"/>
      <w:bookmarkEnd w:id="11"/>
      <w:r>
        <w:rPr/>
      </w:r>
      <w:r>
        <w:rPr>
          <w:rFonts w:ascii="Arial"/>
          <w:w w:val="105"/>
          <w:sz w:val="15"/>
        </w:rPr>
        <w:t>CHAl&gt;TER  </w:t>
      </w:r>
      <w:r>
        <w:rPr>
          <w:rFonts w:ascii="Arial"/>
          <w:w w:val="105"/>
          <w:sz w:val="19"/>
        </w:rPr>
        <w:t>6</w:t>
      </w:r>
    </w:p>
    <w:p>
      <w:pPr>
        <w:spacing w:before="110"/>
        <w:ind w:left="56" w:right="165" w:firstLine="0"/>
        <w:jc w:val="center"/>
        <w:rPr>
          <w:sz w:val="22"/>
        </w:rPr>
      </w:pPr>
      <w:r>
        <w:rPr>
          <w:sz w:val="22"/>
        </w:rPr>
        <w:t>THE  EXPENSE  FACTOR</w:t>
      </w:r>
    </w:p>
    <w:p>
      <w:pPr>
        <w:pStyle w:val="BodyText"/>
        <w:spacing w:before="7"/>
      </w:pPr>
    </w:p>
    <w:p>
      <w:pPr>
        <w:spacing w:before="0"/>
        <w:ind w:left="132" w:right="0" w:firstLine="0"/>
        <w:jc w:val="left"/>
        <w:rPr>
          <w:b/>
          <w:sz w:val="20"/>
        </w:rPr>
      </w:pPr>
      <w:r>
        <w:rPr>
          <w:b/>
          <w:w w:val="120"/>
          <w:sz w:val="20"/>
        </w:rPr>
        <w:t>l. The evaluation of expenses</w:t>
      </w:r>
    </w:p>
    <w:p>
      <w:pPr>
        <w:spacing w:line="237" w:lineRule="auto" w:before="119"/>
        <w:ind w:left="121" w:right="99" w:firstLine="194"/>
        <w:jc w:val="left"/>
        <w:rPr>
          <w:sz w:val="21"/>
        </w:rPr>
      </w:pPr>
      <w:r>
        <w:rPr>
          <w:sz w:val="21"/>
        </w:rPr>
        <w:t>The  determination  of  life  insurance  and  annuity  premiums  on </w:t>
      </w:r>
      <w:r>
        <w:rPr>
          <w:rFonts w:ascii="Arial" w:hAnsi="Arial"/>
          <w:sz w:val="18"/>
        </w:rPr>
        <w:t>a </w:t>
      </w:r>
      <w:r>
        <w:rPr>
          <w:sz w:val="21"/>
        </w:rPr>
        <w:t>commercial basis involves certain  elements  not  yet  considered. The rate of premium charged for a given contract must not merely cover the net value of the benefit; it must also </w:t>
      </w:r>
      <w:r>
        <w:rPr>
          <w:sz w:val="19"/>
        </w:rPr>
        <w:t>be </w:t>
      </w:r>
      <w:r>
        <w:rPr>
          <w:sz w:val="21"/>
        </w:rPr>
        <w:t>sufficient to pro­ vide for </w:t>
      </w:r>
      <w:r>
        <w:rPr>
          <w:w w:val="55"/>
          <w:sz w:val="21"/>
        </w:rPr>
        <w:t>. </w:t>
      </w:r>
      <w:r>
        <w:rPr>
          <w:sz w:val="21"/>
        </w:rPr>
        <w:t>the ·expenses which the  insurer will  incur  in carrying out the contract. </w:t>
      </w:r>
      <w:r>
        <w:rPr>
          <w:w w:val="120"/>
          <w:sz w:val="21"/>
        </w:rPr>
        <w:t>lt </w:t>
      </w:r>
      <w:r>
        <w:rPr>
          <w:sz w:val="21"/>
        </w:rPr>
        <w:t>is important </w:t>
      </w:r>
      <w:r>
        <w:rPr>
          <w:sz w:val="22"/>
        </w:rPr>
        <w:t>to </w:t>
      </w:r>
      <w:r>
        <w:rPr>
          <w:sz w:val="21"/>
        </w:rPr>
        <w:t>understand the character of these </w:t>
      </w:r>
      <w:r>
        <w:rPr>
          <w:w w:val="95"/>
          <w:sz w:val="21"/>
        </w:rPr>
        <w:t>expenses, </w:t>
      </w:r>
      <w:r>
        <w:rPr>
          <w:w w:val="96"/>
          <w:sz w:val="21"/>
        </w:rPr>
        <w:t>since </w:t>
      </w:r>
      <w:r>
        <w:rPr>
          <w:w w:val="103"/>
          <w:sz w:val="21"/>
        </w:rPr>
        <w:t>they </w:t>
      </w:r>
      <w:r>
        <w:rPr>
          <w:w w:val="101"/>
          <w:sz w:val="21"/>
        </w:rPr>
        <w:t>have </w:t>
      </w:r>
      <w:r>
        <w:rPr>
          <w:w w:val="111"/>
          <w:sz w:val="21"/>
        </w:rPr>
        <w:t>a </w:t>
      </w:r>
      <w:r>
        <w:rPr>
          <w:w w:val="97"/>
          <w:sz w:val="21"/>
        </w:rPr>
        <w:t>significant </w:t>
      </w:r>
      <w:r>
        <w:rPr>
          <w:w w:val="94"/>
          <w:sz w:val="21"/>
        </w:rPr>
        <w:t>effect </w:t>
      </w:r>
      <w:r>
        <w:rPr>
          <w:w w:val="99"/>
          <w:sz w:val="21"/>
        </w:rPr>
        <w:t>upon </w:t>
      </w:r>
      <w:r>
        <w:rPr>
          <w:w w:val="106"/>
          <w:sz w:val="21"/>
        </w:rPr>
        <w:t>the </w:t>
      </w:r>
      <w:r>
        <w:rPr>
          <w:w w:val="114"/>
          <w:sz w:val="21"/>
        </w:rPr>
        <w:t>actuaria.! </w:t>
      </w:r>
      <w:r>
        <w:rPr>
          <w:sz w:val="21"/>
        </w:rPr>
        <w:t>basis of the policy of insurance.</w:t>
      </w:r>
    </w:p>
    <w:p>
      <w:pPr>
        <w:spacing w:line="237" w:lineRule="auto" w:before="2"/>
        <w:ind w:left="117" w:right="216" w:firstLine="201"/>
        <w:jc w:val="both"/>
        <w:rPr>
          <w:sz w:val="21"/>
        </w:rPr>
      </w:pPr>
      <w:r>
        <w:rPr>
          <w:rFonts w:ascii="Arial" w:hAnsi="Arial"/>
          <w:sz w:val="20"/>
        </w:rPr>
        <w:t>A </w:t>
      </w:r>
      <w:r>
        <w:rPr>
          <w:sz w:val="21"/>
        </w:rPr>
        <w:t>considerable portion of the total expense on a policy is in­ curred when the policy is issued. This initial expense includes the cost of underwriting the risk, which  may  involve  </w:t>
      </w:r>
      <w:r>
        <w:rPr>
          <w:spacing w:val="2"/>
          <w:sz w:val="21"/>
        </w:rPr>
        <w:t>medieal  </w:t>
      </w:r>
      <w:r>
        <w:rPr>
          <w:rFonts w:ascii="Arial" w:hAnsi="Arial"/>
          <w:sz w:val="19"/>
        </w:rPr>
        <w:t>f</w:t>
      </w:r>
      <w:r>
        <w:rPr>
          <w:sz w:val="21"/>
        </w:rPr>
        <w:t>ees, and the clerical expense of issuing the policy and listing the details of the transaction on the insurer's records. After the policy is estab­ lished on the insurer's books, there are continuing administrative expenses, and finally, when the policy is terminated by death or maturity, there is the cost of settlement. In addition  to these types  of expense, there are commission payments and premium taxes </w:t>
      </w:r>
      <w:r>
        <w:rPr>
          <w:sz w:val="22"/>
        </w:rPr>
        <w:t>to </w:t>
      </w:r>
      <w:r>
        <w:rPr>
          <w:sz w:val="21"/>
        </w:rPr>
        <w:t>be taken into account. Under the usual American system of agents' compensation, the rate of commission is higher </w:t>
      </w:r>
      <w:r>
        <w:rPr>
          <w:sz w:val="19"/>
        </w:rPr>
        <w:t>in  </w:t>
      </w:r>
      <w:r>
        <w:rPr>
          <w:sz w:val="21"/>
        </w:rPr>
        <w:t>the first  </w:t>
      </w:r>
      <w:r>
        <w:rPr>
          <w:b/>
          <w:sz w:val="19"/>
        </w:rPr>
        <w:t>year </w:t>
      </w:r>
      <w:r>
        <w:rPr>
          <w:sz w:val="21"/>
        </w:rPr>
        <w:t>than in the renewal years, and thus the initial expenses are further weighted  on this</w:t>
      </w:r>
      <w:r>
        <w:rPr>
          <w:spacing w:val="6"/>
          <w:sz w:val="21"/>
        </w:rPr>
        <w:t> </w:t>
      </w:r>
      <w:r>
        <w:rPr>
          <w:sz w:val="21"/>
        </w:rPr>
        <w:t>account.</w:t>
      </w:r>
    </w:p>
    <w:p>
      <w:pPr>
        <w:spacing w:line="237" w:lineRule="auto" w:before="0"/>
        <w:ind w:left="121" w:right="215" w:firstLine="205"/>
        <w:jc w:val="both"/>
        <w:rPr>
          <w:sz w:val="21"/>
        </w:rPr>
      </w:pPr>
      <w:r>
        <w:rPr>
          <w:sz w:val="21"/>
        </w:rPr>
        <w:t>In calculating premiums which make allowance for expenses, insurers first make detailed cost studies in which each expense ítem is expressed as a percentage of the premium,  or </w:t>
      </w:r>
      <w:r>
        <w:rPr>
          <w:rFonts w:ascii="Arial" w:hAnsi="Arial"/>
          <w:sz w:val="18"/>
        </w:rPr>
        <w:t>as </w:t>
      </w:r>
      <w:r>
        <w:rPr>
          <w:sz w:val="21"/>
        </w:rPr>
        <w:t>a flat  amount per </w:t>
      </w:r>
      <w:r>
        <w:rPr>
          <w:spacing w:val="-11"/>
          <w:sz w:val="21"/>
        </w:rPr>
        <w:t>$1000 </w:t>
      </w:r>
      <w:r>
        <w:rPr>
          <w:sz w:val="21"/>
        </w:rPr>
        <w:t>of insurance, or </w:t>
      </w:r>
      <w:r>
        <w:rPr>
          <w:rFonts w:ascii="Arial" w:hAnsi="Arial"/>
          <w:sz w:val="18"/>
        </w:rPr>
        <w:t>as </w:t>
      </w:r>
      <w:r>
        <w:rPr>
          <w:sz w:val="21"/>
        </w:rPr>
        <w:t>a flat amount per policy. The expenses which appear  as a flat  amount  per  policy  can be  translated  into  a flat amount per </w:t>
      </w:r>
      <w:r>
        <w:rPr>
          <w:spacing w:val="-11"/>
          <w:sz w:val="21"/>
        </w:rPr>
        <w:t>$1000 </w:t>
      </w:r>
      <w:r>
        <w:rPr>
          <w:sz w:val="21"/>
        </w:rPr>
        <w:t>of insurance by  the use of  an assumption </w:t>
      </w:r>
      <w:r>
        <w:rPr>
          <w:rFonts w:ascii="Arial" w:hAnsi="Arial"/>
          <w:sz w:val="19"/>
        </w:rPr>
        <w:t>as </w:t>
      </w:r>
      <w:r>
        <w:rPr>
          <w:sz w:val="21"/>
        </w:rPr>
        <w:t>to the average amount of insurance per  policy.  The  expense data can thus be reduced to a form which  is easily assimilated  </w:t>
      </w:r>
      <w:r>
        <w:rPr>
          <w:sz w:val="19"/>
        </w:rPr>
        <w:t>in  </w:t>
      </w:r>
      <w:r>
        <w:rPr>
          <w:sz w:val="21"/>
        </w:rPr>
        <w:t>the premium formula. Once the expense rates are available in this form, the premium formula </w:t>
      </w:r>
      <w:r>
        <w:rPr>
          <w:sz w:val="19"/>
        </w:rPr>
        <w:t>is </w:t>
      </w:r>
      <w:r>
        <w:rPr>
          <w:sz w:val="21"/>
        </w:rPr>
        <w:t>established from the  principie  that the present value of the premiums </w:t>
      </w:r>
      <w:r>
        <w:rPr>
          <w:sz w:val="22"/>
        </w:rPr>
        <w:t>to </w:t>
      </w:r>
      <w:r>
        <w:rPr>
          <w:sz w:val="21"/>
        </w:rPr>
        <w:t>be received must equal the present value of the benefits </w:t>
      </w:r>
      <w:r>
        <w:rPr>
          <w:sz w:val="22"/>
        </w:rPr>
        <w:t>to </w:t>
      </w:r>
      <w:r>
        <w:rPr>
          <w:sz w:val="21"/>
        </w:rPr>
        <w:t>be provided plus the present value  of the expenses to be </w:t>
      </w:r>
      <w:r>
        <w:rPr>
          <w:spacing w:val="10"/>
          <w:sz w:val="21"/>
        </w:rPr>
        <w:t> </w:t>
      </w:r>
      <w:r>
        <w:rPr>
          <w:sz w:val="21"/>
        </w:rPr>
        <w:t>paid.</w:t>
      </w:r>
    </w:p>
    <w:p>
      <w:pPr>
        <w:spacing w:after="0" w:line="237" w:lineRule="auto"/>
        <w:jc w:val="both"/>
        <w:rPr>
          <w:sz w:val="21"/>
        </w:rPr>
        <w:sectPr>
          <w:pgSz w:w="7200" w:h="11340"/>
          <w:pgMar w:top="1060" w:bottom="280" w:left="660" w:right="460"/>
        </w:sectPr>
      </w:pPr>
    </w:p>
    <w:p>
      <w:pPr>
        <w:tabs>
          <w:tab w:pos="1759" w:val="left" w:leader="none"/>
          <w:tab w:pos="5879" w:val="right" w:leader="none"/>
        </w:tabs>
        <w:spacing w:before="57"/>
        <w:ind w:left="124" w:right="0" w:firstLine="0"/>
        <w:jc w:val="left"/>
        <w:rPr>
          <w:sz w:val="20"/>
        </w:rPr>
      </w:pPr>
      <w:r>
        <w:rPr>
          <w:b/>
          <w:sz w:val="15"/>
        </w:rPr>
        <w:t>SEC.</w:t>
      </w:r>
      <w:r>
        <w:rPr>
          <w:b/>
          <w:spacing w:val="33"/>
          <w:sz w:val="15"/>
        </w:rPr>
        <w:t> </w:t>
      </w:r>
      <w:r>
        <w:rPr>
          <w:rFonts w:ascii="Arial"/>
          <w:b/>
          <w:sz w:val="20"/>
        </w:rPr>
        <w:t>2]</w:t>
        <w:tab/>
      </w:r>
      <w:r>
        <w:rPr>
          <w:b/>
          <w:position w:val="1"/>
          <w:sz w:val="15"/>
        </w:rPr>
        <w:t>MODIFIED  </w:t>
      </w:r>
      <w:r>
        <w:rPr>
          <w:b/>
          <w:spacing w:val="2"/>
          <w:position w:val="1"/>
          <w:sz w:val="15"/>
        </w:rPr>
        <w:t> </w:t>
      </w:r>
      <w:r>
        <w:rPr>
          <w:b/>
          <w:position w:val="1"/>
          <w:sz w:val="15"/>
        </w:rPr>
        <w:t>RESERVE </w:t>
      </w:r>
      <w:r>
        <w:rPr>
          <w:b/>
          <w:spacing w:val="33"/>
          <w:position w:val="1"/>
          <w:sz w:val="15"/>
        </w:rPr>
        <w:t> </w:t>
      </w:r>
      <w:r>
        <w:rPr>
          <w:b/>
          <w:position w:val="1"/>
          <w:sz w:val="15"/>
        </w:rPr>
        <w:t>SYSTEMS</w:t>
      </w:r>
      <w:r>
        <w:rPr>
          <w:position w:val="1"/>
          <w:sz w:val="20"/>
        </w:rPr>
        <w:tab/>
      </w:r>
      <w:r>
        <w:rPr>
          <w:spacing w:val="-14"/>
          <w:position w:val="1"/>
          <w:sz w:val="20"/>
        </w:rPr>
        <w:t>133</w:t>
      </w:r>
    </w:p>
    <w:p>
      <w:pPr>
        <w:pStyle w:val="BodyText"/>
        <w:spacing w:before="8"/>
      </w:pPr>
    </w:p>
    <w:p>
      <w:pPr>
        <w:pStyle w:val="BodyText"/>
        <w:spacing w:before="1"/>
        <w:ind w:left="117" w:right="102" w:firstLine="201"/>
        <w:jc w:val="both"/>
      </w:pPr>
      <w:r>
        <w:rPr>
          <w:w w:val="105"/>
        </w:rPr>
        <w:t>For example, suppose that the expenses on an ordinary  life  policy</w:t>
      </w:r>
      <w:r>
        <w:rPr>
          <w:spacing w:val="8"/>
          <w:w w:val="105"/>
        </w:rPr>
        <w:t> </w:t>
      </w:r>
      <w:r>
        <w:rPr>
          <w:w w:val="105"/>
        </w:rPr>
        <w:t>are</w:t>
      </w:r>
      <w:r>
        <w:rPr>
          <w:spacing w:val="-13"/>
          <w:w w:val="105"/>
        </w:rPr>
        <w:t> </w:t>
      </w:r>
      <w:r>
        <w:rPr>
          <w:w w:val="105"/>
        </w:rPr>
        <w:t>assumed</w:t>
      </w:r>
      <w:r>
        <w:rPr>
          <w:spacing w:val="2"/>
          <w:w w:val="105"/>
        </w:rPr>
        <w:t> </w:t>
      </w:r>
      <w:r>
        <w:rPr>
          <w:w w:val="105"/>
          <w:sz w:val="21"/>
        </w:rPr>
        <w:t>to</w:t>
      </w:r>
      <w:r>
        <w:rPr>
          <w:spacing w:val="-9"/>
          <w:w w:val="105"/>
          <w:sz w:val="21"/>
        </w:rPr>
        <w:t> </w:t>
      </w:r>
      <w:r>
        <w:rPr>
          <w:w w:val="105"/>
        </w:rPr>
        <w:t>be</w:t>
      </w:r>
      <w:r>
        <w:rPr>
          <w:spacing w:val="-3"/>
          <w:w w:val="105"/>
        </w:rPr>
        <w:t> </w:t>
      </w:r>
      <w:r>
        <w:rPr>
          <w:w w:val="105"/>
        </w:rPr>
        <w:t>as</w:t>
      </w:r>
      <w:r>
        <w:rPr>
          <w:spacing w:val="-15"/>
          <w:w w:val="105"/>
        </w:rPr>
        <w:t> </w:t>
      </w:r>
      <w:r>
        <w:rPr>
          <w:w w:val="105"/>
        </w:rPr>
        <w:t>follows:</w:t>
      </w:r>
      <w:r>
        <w:rPr>
          <w:spacing w:val="-19"/>
          <w:w w:val="105"/>
        </w:rPr>
        <w:t> </w:t>
      </w:r>
      <w:r>
        <w:rPr>
          <w:rFonts w:ascii="Arial"/>
          <w:spacing w:val="-3"/>
          <w:w w:val="105"/>
        </w:rPr>
        <w:t>75</w:t>
      </w:r>
      <w:r>
        <w:rPr>
          <w:rFonts w:ascii="Arial"/>
          <w:spacing w:val="-38"/>
          <w:w w:val="105"/>
        </w:rPr>
        <w:t> </w:t>
      </w:r>
      <w:r>
        <w:rPr>
          <w:rFonts w:ascii="Arial"/>
          <w:w w:val="105"/>
          <w:sz w:val="19"/>
        </w:rPr>
        <w:t>%</w:t>
      </w:r>
      <w:r>
        <w:rPr>
          <w:rFonts w:ascii="Arial"/>
          <w:spacing w:val="-19"/>
          <w:w w:val="105"/>
          <w:sz w:val="19"/>
        </w:rPr>
        <w:t> </w:t>
      </w:r>
      <w:r>
        <w:rPr>
          <w:w w:val="105"/>
        </w:rPr>
        <w:t>of</w:t>
      </w:r>
      <w:r>
        <w:rPr>
          <w:spacing w:val="6"/>
          <w:w w:val="105"/>
        </w:rPr>
        <w:t> </w:t>
      </w:r>
      <w:r>
        <w:rPr>
          <w:w w:val="105"/>
        </w:rPr>
        <w:t>the</w:t>
      </w:r>
      <w:r>
        <w:rPr>
          <w:spacing w:val="-10"/>
          <w:w w:val="105"/>
        </w:rPr>
        <w:t> </w:t>
      </w:r>
      <w:r>
        <w:rPr>
          <w:w w:val="105"/>
        </w:rPr>
        <w:t>first</w:t>
      </w:r>
      <w:r>
        <w:rPr>
          <w:spacing w:val="-10"/>
          <w:w w:val="105"/>
        </w:rPr>
        <w:t> </w:t>
      </w:r>
      <w:r>
        <w:rPr>
          <w:w w:val="105"/>
        </w:rPr>
        <w:t>premium,</w:t>
      </w:r>
      <w:r>
        <w:rPr>
          <w:spacing w:val="8"/>
          <w:w w:val="105"/>
        </w:rPr>
        <w:t> </w:t>
      </w:r>
      <w:r>
        <w:rPr>
          <w:rFonts w:ascii="Arial"/>
          <w:w w:val="105"/>
        </w:rPr>
        <w:t>20</w:t>
      </w:r>
      <w:r>
        <w:rPr>
          <w:rFonts w:ascii="Arial"/>
          <w:spacing w:val="-31"/>
          <w:w w:val="105"/>
        </w:rPr>
        <w:t> </w:t>
      </w:r>
      <w:r>
        <w:rPr>
          <w:rFonts w:ascii="Arial"/>
          <w:w w:val="105"/>
          <w:sz w:val="19"/>
        </w:rPr>
        <w:t>% </w:t>
      </w:r>
      <w:r>
        <w:rPr>
          <w:w w:val="105"/>
        </w:rPr>
        <w:t>of the second premium, </w:t>
      </w:r>
      <w:r>
        <w:rPr>
          <w:spacing w:val="-25"/>
          <w:w w:val="105"/>
          <w:sz w:val="21"/>
        </w:rPr>
        <w:t>10 </w:t>
      </w:r>
      <w:r>
        <w:rPr>
          <w:rFonts w:ascii="Arial"/>
          <w:w w:val="105"/>
          <w:sz w:val="19"/>
        </w:rPr>
        <w:t>% </w:t>
      </w:r>
      <w:r>
        <w:rPr>
          <w:w w:val="105"/>
        </w:rPr>
        <w:t>of the third through sixth premiums, and </w:t>
      </w:r>
      <w:r>
        <w:rPr>
          <w:spacing w:val="4"/>
          <w:w w:val="105"/>
          <w:sz w:val="19"/>
        </w:rPr>
        <w:t>5</w:t>
      </w:r>
      <w:r>
        <w:rPr>
          <w:rFonts w:ascii="Arial"/>
          <w:spacing w:val="4"/>
          <w:w w:val="105"/>
          <w:sz w:val="19"/>
        </w:rPr>
        <w:t>% </w:t>
      </w:r>
      <w:r>
        <w:rPr>
          <w:w w:val="105"/>
        </w:rPr>
        <w:t>of each premium thereafter, plus </w:t>
      </w:r>
      <w:r>
        <w:rPr>
          <w:spacing w:val="-4"/>
          <w:w w:val="105"/>
          <w:sz w:val="19"/>
        </w:rPr>
        <w:t>$10 </w:t>
      </w:r>
      <w:r>
        <w:rPr>
          <w:w w:val="105"/>
        </w:rPr>
        <w:t>at the beginning  of  the first year and  </w:t>
      </w:r>
      <w:r>
        <w:rPr>
          <w:w w:val="105"/>
          <w:sz w:val="19"/>
        </w:rPr>
        <w:t>$2 </w:t>
      </w:r>
      <w:r>
        <w:rPr>
          <w:w w:val="105"/>
          <w:sz w:val="22"/>
        </w:rPr>
        <w:t>at </w:t>
      </w:r>
      <w:r>
        <w:rPr>
          <w:w w:val="105"/>
        </w:rPr>
        <w:t>the beginning  of  each subsequent  year</w:t>
      </w:r>
      <w:r>
        <w:rPr>
          <w:spacing w:val="50"/>
          <w:w w:val="105"/>
        </w:rPr>
        <w:t> </w:t>
      </w:r>
      <w:r>
        <w:rPr>
          <w:w w:val="105"/>
        </w:rPr>
        <w:t>per</w:t>
      </w:r>
    </w:p>
    <w:p>
      <w:pPr>
        <w:pStyle w:val="BodyText"/>
        <w:spacing w:line="242" w:lineRule="auto"/>
        <w:ind w:left="117" w:right="109" w:firstLine="7"/>
        <w:jc w:val="both"/>
      </w:pPr>
      <w:r>
        <w:rPr>
          <w:w w:val="105"/>
          <w:sz w:val="21"/>
        </w:rPr>
        <w:t>$1()00 </w:t>
      </w:r>
      <w:r>
        <w:rPr>
          <w:w w:val="105"/>
        </w:rPr>
        <w:t>of insurance, with </w:t>
      </w:r>
      <w:r>
        <w:rPr>
          <w:w w:val="105"/>
          <w:sz w:val="22"/>
        </w:rPr>
        <w:t>$5 </w:t>
      </w:r>
      <w:r>
        <w:rPr>
          <w:w w:val="105"/>
        </w:rPr>
        <w:t>per </w:t>
      </w:r>
      <w:r>
        <w:rPr>
          <w:w w:val="105"/>
          <w:sz w:val="21"/>
        </w:rPr>
        <w:t>$1000 </w:t>
      </w:r>
      <w:r>
        <w:rPr>
          <w:w w:val="105"/>
        </w:rPr>
        <w:t>as the cost of settlement. </w:t>
      </w:r>
      <w:r>
        <w:rPr>
          <w:w w:val="105"/>
          <w:sz w:val="21"/>
        </w:rPr>
        <w:t>If </w:t>
      </w:r>
      <w:r>
        <w:rPr>
          <w:rFonts w:ascii="Arial"/>
          <w:i/>
          <w:w w:val="105"/>
          <w:sz w:val="19"/>
        </w:rPr>
        <w:t>G </w:t>
      </w:r>
      <w:r>
        <w:rPr>
          <w:w w:val="105"/>
        </w:rPr>
        <w:t>is the annual premium per </w:t>
      </w:r>
      <w:r>
        <w:rPr>
          <w:w w:val="105"/>
          <w:sz w:val="21"/>
        </w:rPr>
        <w:t>$1000 </w:t>
      </w:r>
      <w:r>
        <w:rPr>
          <w:w w:val="105"/>
        </w:rPr>
        <w:t>of insurance with provision for expenses and the immediate payment  of  claims, we  have</w:t>
      </w:r>
    </w:p>
    <w:p>
      <w:pPr>
        <w:spacing w:before="124"/>
        <w:ind w:left="117" w:right="0" w:firstLine="0"/>
        <w:jc w:val="both"/>
        <w:rPr>
          <w:rFonts w:ascii="Arial" w:hAnsi="Arial"/>
          <w:sz w:val="20"/>
        </w:rPr>
      </w:pPr>
      <w:r>
        <w:rPr>
          <w:i/>
          <w:w w:val="63"/>
          <w:sz w:val="30"/>
        </w:rPr>
        <w:t>G·iJ,,</w:t>
      </w:r>
      <w:r>
        <w:rPr>
          <w:i/>
          <w:spacing w:val="-7"/>
          <w:sz w:val="30"/>
        </w:rPr>
        <w:t> </w:t>
      </w:r>
      <w:r>
        <w:rPr>
          <w:rFonts w:ascii="Arial" w:hAnsi="Arial"/>
          <w:w w:val="98"/>
          <w:sz w:val="18"/>
        </w:rPr>
        <w:t>=¡</w:t>
      </w:r>
      <w:r>
        <w:rPr>
          <w:rFonts w:ascii="Arial" w:hAnsi="Arial"/>
          <w:sz w:val="18"/>
        </w:rPr>
        <w:t> </w:t>
      </w:r>
      <w:r>
        <w:rPr>
          <w:rFonts w:ascii="Arial" w:hAnsi="Arial"/>
          <w:spacing w:val="-12"/>
          <w:sz w:val="18"/>
        </w:rPr>
        <w:t> </w:t>
      </w:r>
      <w:r>
        <w:rPr>
          <w:spacing w:val="-57"/>
          <w:w w:val="129"/>
          <w:sz w:val="21"/>
        </w:rPr>
        <w:t>1</w:t>
      </w:r>
      <w:r>
        <w:rPr>
          <w:w w:val="101"/>
          <w:sz w:val="21"/>
        </w:rPr>
        <w:t>005</w:t>
      </w:r>
      <w:r>
        <w:rPr>
          <w:spacing w:val="-4"/>
          <w:sz w:val="21"/>
        </w:rPr>
        <w:t> </w:t>
      </w:r>
      <w:r>
        <w:rPr>
          <w:spacing w:val="-19"/>
          <w:w w:val="200"/>
          <w:sz w:val="21"/>
        </w:rPr>
        <w:t>(</w:t>
      </w:r>
      <w:r>
        <w:rPr>
          <w:w w:val="129"/>
          <w:sz w:val="21"/>
        </w:rPr>
        <w:t>1</w:t>
      </w:r>
      <w:r>
        <w:rPr>
          <w:spacing w:val="-23"/>
          <w:sz w:val="21"/>
        </w:rPr>
        <w:t> </w:t>
      </w:r>
      <w:r>
        <w:rPr>
          <w:i/>
          <w:w w:val="106"/>
          <w:sz w:val="30"/>
        </w:rPr>
        <w:t>+</w:t>
      </w:r>
      <w:r>
        <w:rPr>
          <w:i/>
          <w:sz w:val="30"/>
        </w:rPr>
        <w:t> </w:t>
      </w:r>
      <w:r>
        <w:rPr>
          <w:i/>
          <w:spacing w:val="-21"/>
          <w:sz w:val="30"/>
        </w:rPr>
        <w:t> </w:t>
      </w:r>
      <w:r>
        <w:rPr>
          <w:i/>
          <w:w w:val="100"/>
          <w:sz w:val="30"/>
        </w:rPr>
        <w:t>)</w:t>
      </w:r>
      <w:r>
        <w:rPr>
          <w:i/>
          <w:spacing w:val="4"/>
          <w:sz w:val="30"/>
        </w:rPr>
        <w:t> </w:t>
      </w:r>
      <w:r>
        <w:rPr>
          <w:i/>
          <w:w w:val="99"/>
          <w:sz w:val="30"/>
        </w:rPr>
        <w:t>A,+</w:t>
      </w:r>
      <w:r>
        <w:rPr>
          <w:i/>
          <w:spacing w:val="19"/>
          <w:sz w:val="30"/>
        </w:rPr>
        <w:t> </w:t>
      </w:r>
      <w:r>
        <w:rPr>
          <w:i/>
          <w:spacing w:val="-47"/>
          <w:w w:val="119"/>
          <w:sz w:val="30"/>
        </w:rPr>
        <w:t>.</w:t>
      </w:r>
      <w:r>
        <w:rPr>
          <w:i/>
          <w:w w:val="66"/>
          <w:sz w:val="30"/>
        </w:rPr>
        <w:t>75G</w:t>
      </w:r>
      <w:r>
        <w:rPr>
          <w:i/>
          <w:spacing w:val="-11"/>
          <w:sz w:val="30"/>
        </w:rPr>
        <w:t> </w:t>
      </w:r>
      <w:r>
        <w:rPr>
          <w:rFonts w:ascii="Arial" w:hAnsi="Arial"/>
          <w:w w:val="105"/>
          <w:sz w:val="31"/>
        </w:rPr>
        <w:t>+</w:t>
      </w:r>
      <w:r>
        <w:rPr>
          <w:rFonts w:ascii="Arial" w:hAnsi="Arial"/>
          <w:spacing w:val="-33"/>
          <w:sz w:val="31"/>
        </w:rPr>
        <w:t> </w:t>
      </w:r>
      <w:r>
        <w:rPr>
          <w:rFonts w:ascii="Arial" w:hAnsi="Arial"/>
          <w:spacing w:val="-49"/>
          <w:w w:val="177"/>
          <w:sz w:val="20"/>
        </w:rPr>
        <w:t>.</w:t>
      </w:r>
      <w:r>
        <w:rPr>
          <w:rFonts w:ascii="Arial" w:hAnsi="Arial"/>
          <w:w w:val="86"/>
          <w:sz w:val="20"/>
        </w:rPr>
        <w:t>2G</w:t>
      </w:r>
      <w:r>
        <w:rPr>
          <w:rFonts w:ascii="Arial" w:hAnsi="Arial"/>
          <w:w w:val="86"/>
          <w:sz w:val="20"/>
        </w:rPr>
        <w:t>(</w:t>
      </w:r>
      <w:r>
        <w:rPr>
          <w:rFonts w:ascii="Arial" w:hAnsi="Arial"/>
          <w:w w:val="86"/>
          <w:sz w:val="20"/>
        </w:rPr>
        <w:t>&lt;</w:t>
      </w:r>
      <w:r>
        <w:rPr>
          <w:rFonts w:ascii="Arial" w:hAnsi="Arial"/>
          <w:spacing w:val="-6"/>
          <w:w w:val="86"/>
          <w:sz w:val="20"/>
        </w:rPr>
        <w:t>i</w:t>
      </w:r>
      <w:r>
        <w:rPr>
          <w:rFonts w:ascii="Arial" w:hAnsi="Arial"/>
          <w:w w:val="129"/>
          <w:sz w:val="20"/>
        </w:rPr>
        <w:t>,</w:t>
      </w:r>
      <w:r>
        <w:rPr>
          <w:rFonts w:ascii="Arial" w:hAnsi="Arial"/>
          <w:spacing w:val="-29"/>
          <w:w w:val="129"/>
          <w:sz w:val="20"/>
        </w:rPr>
        <w:t>,</w:t>
      </w:r>
      <w:r>
        <w:rPr>
          <w:rFonts w:ascii="Arial" w:hAnsi="Arial"/>
          <w:w w:val="111"/>
          <w:sz w:val="20"/>
        </w:rPr>
        <w:t>¡¡</w:t>
      </w:r>
      <w:r>
        <w:rPr>
          <w:rFonts w:ascii="Arial" w:hAnsi="Arial"/>
          <w:spacing w:val="4"/>
          <w:sz w:val="20"/>
        </w:rPr>
        <w:t> </w:t>
      </w:r>
      <w:r>
        <w:rPr>
          <w:rFonts w:ascii="Arial" w:hAnsi="Arial"/>
          <w:w w:val="262"/>
          <w:sz w:val="20"/>
        </w:rPr>
        <w:t>-</w:t>
      </w:r>
      <w:r>
        <w:rPr>
          <w:rFonts w:ascii="Arial" w:hAnsi="Arial"/>
          <w:spacing w:val="6"/>
          <w:sz w:val="20"/>
        </w:rPr>
        <w:t> </w:t>
      </w:r>
      <w:r>
        <w:rPr>
          <w:rFonts w:ascii="Arial" w:hAnsi="Arial"/>
          <w:w w:val="66"/>
          <w:sz w:val="20"/>
        </w:rPr>
        <w:t>&lt;</w:t>
      </w:r>
      <w:r>
        <w:rPr>
          <w:rFonts w:ascii="Arial" w:hAnsi="Arial"/>
          <w:spacing w:val="-15"/>
          <w:w w:val="66"/>
          <w:sz w:val="20"/>
        </w:rPr>
        <w:t>i</w:t>
      </w:r>
      <w:r>
        <w:rPr>
          <w:rFonts w:ascii="Arial" w:hAnsi="Arial"/>
          <w:w w:val="131"/>
          <w:sz w:val="20"/>
        </w:rPr>
        <w:t>.</w:t>
      </w:r>
      <w:r>
        <w:rPr>
          <w:rFonts w:ascii="Arial" w:hAnsi="Arial"/>
          <w:spacing w:val="-24"/>
          <w:w w:val="131"/>
          <w:sz w:val="20"/>
        </w:rPr>
        <w:t>,</w:t>
      </w:r>
      <w:r>
        <w:rPr>
          <w:rFonts w:ascii="Arial" w:hAnsi="Arial"/>
          <w:spacing w:val="-86"/>
          <w:w w:val="147"/>
          <w:sz w:val="20"/>
        </w:rPr>
        <w:t>1</w:t>
      </w:r>
      <w:r>
        <w:rPr>
          <w:rFonts w:ascii="Arial" w:hAnsi="Arial"/>
          <w:w w:val="95"/>
          <w:sz w:val="20"/>
        </w:rPr>
        <w:t>¡)</w:t>
      </w:r>
    </w:p>
    <w:p>
      <w:pPr>
        <w:spacing w:before="86"/>
        <w:ind w:left="1284" w:right="0" w:firstLine="0"/>
        <w:jc w:val="left"/>
        <w:rPr>
          <w:i/>
          <w:sz w:val="21"/>
        </w:rPr>
      </w:pPr>
      <w:r>
        <w:rPr>
          <w:rFonts w:ascii="Arial"/>
          <w:w w:val="107"/>
          <w:sz w:val="31"/>
        </w:rPr>
        <w:t>+</w:t>
      </w:r>
      <w:r>
        <w:rPr>
          <w:rFonts w:ascii="Arial"/>
          <w:spacing w:val="-30"/>
          <w:sz w:val="31"/>
        </w:rPr>
        <w:t> </w:t>
      </w:r>
      <w:r>
        <w:rPr>
          <w:w w:val="104"/>
          <w:sz w:val="20"/>
        </w:rPr>
        <w:t>.lG</w:t>
      </w:r>
      <w:r>
        <w:rPr>
          <w:w w:val="104"/>
          <w:sz w:val="20"/>
        </w:rPr>
        <w:t>(</w:t>
      </w:r>
      <w:r>
        <w:rPr>
          <w:w w:val="104"/>
          <w:sz w:val="20"/>
        </w:rPr>
        <w:t>dz;i]</w:t>
      </w:r>
      <w:r>
        <w:rPr>
          <w:sz w:val="20"/>
        </w:rPr>
        <w:t> </w:t>
      </w:r>
      <w:r>
        <w:rPr>
          <w:spacing w:val="-18"/>
          <w:sz w:val="20"/>
        </w:rPr>
        <w:t> </w:t>
      </w:r>
      <w:r>
        <w:rPr>
          <w:w w:val="282"/>
          <w:sz w:val="20"/>
        </w:rPr>
        <w:t>-</w:t>
      </w:r>
      <w:r>
        <w:rPr>
          <w:spacing w:val="-5"/>
          <w:sz w:val="20"/>
        </w:rPr>
        <w:t> </w:t>
      </w:r>
      <w:r>
        <w:rPr>
          <w:w w:val="89"/>
          <w:sz w:val="18"/>
        </w:rPr>
        <w:t>d:i::i]</w:t>
      </w:r>
      <w:r>
        <w:rPr>
          <w:w w:val="89"/>
          <w:sz w:val="18"/>
        </w:rPr>
        <w:t>)</w:t>
      </w:r>
      <w:r>
        <w:rPr>
          <w:sz w:val="18"/>
        </w:rPr>
        <w:t> </w:t>
      </w:r>
      <w:r>
        <w:rPr>
          <w:spacing w:val="11"/>
          <w:sz w:val="18"/>
        </w:rPr>
        <w:t> </w:t>
      </w:r>
      <w:r>
        <w:rPr>
          <w:rFonts w:ascii="Arial"/>
          <w:w w:val="105"/>
          <w:sz w:val="31"/>
        </w:rPr>
        <w:t>+</w:t>
      </w:r>
      <w:r>
        <w:rPr>
          <w:rFonts w:ascii="Arial"/>
          <w:spacing w:val="-30"/>
          <w:sz w:val="31"/>
        </w:rPr>
        <w:t> </w:t>
      </w:r>
      <w:r>
        <w:rPr>
          <w:spacing w:val="-31"/>
          <w:w w:val="148"/>
          <w:sz w:val="20"/>
        </w:rPr>
        <w:t>.</w:t>
      </w:r>
      <w:r>
        <w:rPr>
          <w:w w:val="89"/>
          <w:sz w:val="20"/>
        </w:rPr>
        <w:t>05G(</w:t>
      </w:r>
      <w:r>
        <w:rPr>
          <w:w w:val="89"/>
          <w:sz w:val="20"/>
        </w:rPr>
        <w:t>a:i:</w:t>
      </w:r>
      <w:r>
        <w:rPr>
          <w:sz w:val="20"/>
        </w:rPr>
        <w:t> </w:t>
      </w:r>
      <w:r>
        <w:rPr>
          <w:spacing w:val="-9"/>
          <w:sz w:val="20"/>
        </w:rPr>
        <w:t> </w:t>
      </w:r>
      <w:r>
        <w:rPr>
          <w:w w:val="282"/>
          <w:sz w:val="20"/>
        </w:rPr>
        <w:t>-</w:t>
      </w:r>
      <w:r>
        <w:rPr>
          <w:spacing w:val="2"/>
          <w:sz w:val="20"/>
        </w:rPr>
        <w:t> </w:t>
      </w:r>
      <w:r>
        <w:rPr>
          <w:w w:val="101"/>
          <w:sz w:val="18"/>
        </w:rPr>
        <w:t>tir:6</w:t>
      </w:r>
      <w:r>
        <w:rPr>
          <w:w w:val="36"/>
          <w:sz w:val="18"/>
        </w:rPr>
        <w:t>1</w:t>
      </w:r>
      <w:r>
        <w:rPr>
          <w:spacing w:val="-24"/>
          <w:sz w:val="18"/>
        </w:rPr>
        <w:t> </w:t>
      </w:r>
      <w:r>
        <w:rPr>
          <w:w w:val="108"/>
          <w:sz w:val="18"/>
        </w:rPr>
        <w:t>)</w:t>
      </w:r>
      <w:r>
        <w:rPr>
          <w:sz w:val="18"/>
        </w:rPr>
        <w:t> </w:t>
      </w:r>
      <w:r>
        <w:rPr>
          <w:spacing w:val="-1"/>
          <w:sz w:val="18"/>
        </w:rPr>
        <w:t> </w:t>
      </w:r>
      <w:r>
        <w:rPr>
          <w:rFonts w:ascii="Arial"/>
          <w:w w:val="107"/>
          <w:sz w:val="31"/>
        </w:rPr>
        <w:t>+</w:t>
      </w:r>
      <w:r>
        <w:rPr>
          <w:rFonts w:ascii="Arial"/>
          <w:spacing w:val="-12"/>
          <w:sz w:val="31"/>
        </w:rPr>
        <w:t> </w:t>
      </w:r>
      <w:r>
        <w:rPr>
          <w:sz w:val="20"/>
        </w:rPr>
        <w:t>10</w:t>
      </w:r>
      <w:r>
        <w:rPr>
          <w:spacing w:val="9"/>
          <w:sz w:val="20"/>
        </w:rPr>
        <w:t> </w:t>
      </w:r>
      <w:r>
        <w:rPr>
          <w:rFonts w:ascii="Arial"/>
          <w:w w:val="105"/>
          <w:sz w:val="31"/>
        </w:rPr>
        <w:t>+</w:t>
      </w:r>
      <w:r>
        <w:rPr>
          <w:rFonts w:ascii="Arial"/>
          <w:spacing w:val="-26"/>
          <w:sz w:val="31"/>
        </w:rPr>
        <w:t> </w:t>
      </w:r>
      <w:r>
        <w:rPr>
          <w:i/>
          <w:w w:val="72"/>
          <w:sz w:val="21"/>
        </w:rPr>
        <w:t>2a.r</w:t>
      </w:r>
    </w:p>
    <w:p>
      <w:pPr>
        <w:spacing w:line="296" w:lineRule="exact" w:before="108"/>
        <w:ind w:left="1377" w:right="739" w:firstLine="0"/>
        <w:jc w:val="left"/>
        <w:rPr>
          <w:rFonts w:ascii="Arial" w:hAnsi="Arial"/>
          <w:sz w:val="20"/>
        </w:rPr>
      </w:pPr>
      <w:r>
        <w:rPr>
          <w:i/>
          <w:w w:val="92"/>
          <w:sz w:val="22"/>
        </w:rPr>
        <w:t>G</w:t>
      </w:r>
      <w:r>
        <w:rPr>
          <w:i/>
          <w:spacing w:val="20"/>
          <w:sz w:val="22"/>
        </w:rPr>
        <w:t> </w:t>
      </w:r>
      <w:r>
        <w:rPr>
          <w:rFonts w:ascii="Arial" w:hAnsi="Arial"/>
          <w:w w:val="104"/>
          <w:sz w:val="18"/>
        </w:rPr>
        <w:t>=¡</w:t>
      </w:r>
      <w:r>
        <w:rPr>
          <w:rFonts w:ascii="Arial" w:hAnsi="Arial"/>
          <w:sz w:val="18"/>
        </w:rPr>
        <w:t>  </w:t>
      </w:r>
      <w:r>
        <w:rPr>
          <w:rFonts w:ascii="Arial" w:hAnsi="Arial"/>
          <w:spacing w:val="-7"/>
          <w:sz w:val="18"/>
        </w:rPr>
        <w:t> </w:t>
      </w:r>
      <w:r>
        <w:rPr>
          <w:spacing w:val="-57"/>
          <w:w w:val="129"/>
          <w:sz w:val="21"/>
        </w:rPr>
        <w:t>1</w:t>
      </w:r>
      <w:r>
        <w:rPr>
          <w:w w:val="105"/>
          <w:sz w:val="21"/>
        </w:rPr>
        <w:t>0</w:t>
      </w:r>
      <w:r>
        <w:rPr>
          <w:spacing w:val="-19"/>
          <w:w w:val="105"/>
          <w:sz w:val="21"/>
        </w:rPr>
        <w:t>0</w:t>
      </w:r>
      <w:r>
        <w:rPr>
          <w:w w:val="122"/>
          <w:sz w:val="21"/>
        </w:rPr>
        <w:t>5</w:t>
      </w:r>
      <w:r>
        <w:rPr>
          <w:spacing w:val="-15"/>
          <w:sz w:val="21"/>
        </w:rPr>
        <w:t> </w:t>
      </w:r>
      <w:r>
        <w:rPr>
          <w:spacing w:val="-72"/>
          <w:w w:val="199"/>
          <w:sz w:val="21"/>
        </w:rPr>
        <w:t>{</w:t>
      </w:r>
      <w:r>
        <w:rPr>
          <w:w w:val="129"/>
          <w:sz w:val="21"/>
        </w:rPr>
        <w:t>1</w:t>
      </w:r>
      <w:r>
        <w:rPr>
          <w:spacing w:val="-23"/>
          <w:sz w:val="21"/>
        </w:rPr>
        <w:t> </w:t>
      </w:r>
      <w:r>
        <w:rPr>
          <w:w w:val="102"/>
          <w:sz w:val="30"/>
        </w:rPr>
        <w:t>+</w:t>
      </w:r>
      <w:r>
        <w:rPr>
          <w:sz w:val="30"/>
        </w:rPr>
        <w:t> </w:t>
      </w:r>
      <w:r>
        <w:rPr>
          <w:spacing w:val="21"/>
          <w:sz w:val="30"/>
        </w:rPr>
        <w:t> </w:t>
      </w:r>
      <w:r>
        <w:rPr>
          <w:w w:val="130"/>
          <w:sz w:val="30"/>
        </w:rPr>
        <w:t>)</w:t>
      </w:r>
      <w:r>
        <w:rPr>
          <w:spacing w:val="-34"/>
          <w:sz w:val="30"/>
        </w:rPr>
        <w:t> </w:t>
      </w:r>
      <w:r>
        <w:rPr>
          <w:i/>
          <w:w w:val="129"/>
          <w:sz w:val="22"/>
        </w:rPr>
        <w:t>A.</w:t>
      </w:r>
      <w:r>
        <w:rPr>
          <w:i/>
          <w:spacing w:val="8"/>
          <w:sz w:val="22"/>
        </w:rPr>
        <w:t> </w:t>
      </w:r>
      <w:r>
        <w:rPr>
          <w:w w:val="102"/>
          <w:sz w:val="30"/>
        </w:rPr>
        <w:t>+</w:t>
      </w:r>
      <w:r>
        <w:rPr>
          <w:spacing w:val="3"/>
          <w:sz w:val="30"/>
        </w:rPr>
        <w:t> </w:t>
      </w:r>
      <w:r>
        <w:rPr>
          <w:w w:val="114"/>
          <w:sz w:val="21"/>
        </w:rPr>
        <w:t>8</w:t>
      </w:r>
      <w:r>
        <w:rPr>
          <w:spacing w:val="7"/>
          <w:sz w:val="21"/>
        </w:rPr>
        <w:t> </w:t>
      </w:r>
      <w:r>
        <w:rPr>
          <w:w w:val="102"/>
          <w:sz w:val="30"/>
        </w:rPr>
        <w:t>+</w:t>
      </w:r>
      <w:r>
        <w:rPr>
          <w:spacing w:val="3"/>
          <w:sz w:val="30"/>
        </w:rPr>
        <w:t> </w:t>
      </w:r>
      <w:r>
        <w:rPr>
          <w:rFonts w:ascii="Arial" w:hAnsi="Arial"/>
          <w:w w:val="77"/>
          <w:sz w:val="20"/>
        </w:rPr>
        <w:t>2&lt;</w:t>
      </w:r>
      <w:r>
        <w:rPr>
          <w:rFonts w:ascii="Arial" w:hAnsi="Arial"/>
          <w:spacing w:val="-11"/>
          <w:w w:val="77"/>
          <w:sz w:val="20"/>
        </w:rPr>
        <w:t>i</w:t>
      </w:r>
      <w:r>
        <w:rPr>
          <w:rFonts w:ascii="Arial" w:hAnsi="Arial"/>
          <w:spacing w:val="26"/>
          <w:w w:val="303"/>
          <w:sz w:val="20"/>
        </w:rPr>
        <w:t>,</w:t>
      </w:r>
      <w:r>
        <w:rPr>
          <w:rFonts w:ascii="Arial" w:hAnsi="Arial"/>
          <w:w w:val="141"/>
          <w:sz w:val="20"/>
        </w:rPr>
        <w:t>.</w:t>
      </w:r>
    </w:p>
    <w:p>
      <w:pPr>
        <w:pStyle w:val="BodyText"/>
        <w:spacing w:line="169" w:lineRule="exact"/>
        <w:ind w:left="121" w:right="739"/>
      </w:pPr>
      <w:r>
        <w:rPr/>
        <w:pict>
          <v:line style="position:absolute;mso-position-horizontal-relative:page;mso-position-vertical-relative:paragraph;z-index:11416" from="128.880005pt,5.346737pt" to="254.880005pt,5.346737pt" stroked="true" strokeweight="1.08pt" strokecolor="#000000">
            <w10:wrap type="none"/>
          </v:line>
        </w:pict>
      </w:r>
      <w:r>
        <w:rPr>
          <w:w w:val="110"/>
        </w:rPr>
        <w:t>or</w:t>
      </w:r>
    </w:p>
    <w:p>
      <w:pPr>
        <w:spacing w:line="206" w:lineRule="exact" w:before="0"/>
        <w:ind w:left="1485" w:right="1107" w:firstLine="0"/>
        <w:jc w:val="center"/>
        <w:rPr>
          <w:sz w:val="20"/>
        </w:rPr>
      </w:pPr>
      <w:r>
        <w:rPr>
          <w:b/>
          <w:sz w:val="21"/>
        </w:rPr>
        <w:t>.95ds </w:t>
      </w:r>
      <w:r>
        <w:rPr>
          <w:w w:val="260"/>
          <w:sz w:val="21"/>
        </w:rPr>
        <w:t>-</w:t>
      </w:r>
      <w:r>
        <w:rPr>
          <w:spacing w:val="-120"/>
          <w:w w:val="260"/>
          <w:sz w:val="21"/>
        </w:rPr>
        <w:t> </w:t>
      </w:r>
      <w:r>
        <w:rPr>
          <w:b/>
          <w:sz w:val="21"/>
        </w:rPr>
        <w:t>.05ás:ej </w:t>
      </w:r>
      <w:r>
        <w:rPr>
          <w:w w:val="260"/>
          <w:sz w:val="21"/>
        </w:rPr>
        <w:t>-</w:t>
      </w:r>
      <w:r>
        <w:rPr>
          <w:spacing w:val="-119"/>
          <w:w w:val="260"/>
          <w:sz w:val="21"/>
        </w:rPr>
        <w:t> </w:t>
      </w:r>
      <w:r>
        <w:rPr>
          <w:sz w:val="20"/>
        </w:rPr>
        <w:t>.ld:i::i] </w:t>
      </w:r>
      <w:r>
        <w:rPr>
          <w:w w:val="260"/>
          <w:sz w:val="20"/>
        </w:rPr>
        <w:t>-</w:t>
      </w:r>
      <w:r>
        <w:rPr>
          <w:spacing w:val="-113"/>
          <w:w w:val="260"/>
          <w:sz w:val="20"/>
        </w:rPr>
        <w:t> </w:t>
      </w:r>
      <w:r>
        <w:rPr>
          <w:spacing w:val="-9"/>
          <w:w w:val="135"/>
          <w:sz w:val="20"/>
        </w:rPr>
        <w:t>.55</w:t>
      </w:r>
    </w:p>
    <w:p>
      <w:pPr>
        <w:pStyle w:val="BodyText"/>
        <w:spacing w:before="77"/>
        <w:ind w:left="203"/>
        <w:jc w:val="center"/>
      </w:pPr>
      <w:r>
        <w:rPr>
          <w:w w:val="105"/>
        </w:rPr>
        <w:t>The premium  actually charged, including provision  for expenses</w:t>
      </w:r>
    </w:p>
    <w:p>
      <w:pPr>
        <w:pStyle w:val="BodyText"/>
        <w:spacing w:line="249" w:lineRule="auto" w:before="11"/>
        <w:ind w:left="124" w:right="104" w:hanging="4"/>
        <w:jc w:val="both"/>
        <w:rPr>
          <w:i/>
        </w:rPr>
      </w:pPr>
      <w:r>
        <w:rPr>
          <w:w w:val="105"/>
        </w:rPr>
        <w:t>and any provision for safety margins and other factors which the insurer may feel </w:t>
      </w:r>
      <w:r>
        <w:rPr>
          <w:w w:val="105"/>
          <w:sz w:val="21"/>
        </w:rPr>
        <w:t>to </w:t>
      </w:r>
      <w:r>
        <w:rPr>
          <w:w w:val="105"/>
        </w:rPr>
        <w:t>be nécessary, is called the </w:t>
      </w:r>
      <w:r>
        <w:rPr>
          <w:rFonts w:ascii="Arial" w:hAnsi="Arial"/>
          <w:i/>
          <w:w w:val="105"/>
          <w:sz w:val="18"/>
        </w:rPr>
        <w:t>gross premium. </w:t>
      </w:r>
      <w:r>
        <w:rPr>
          <w:w w:val="105"/>
        </w:rPr>
        <w:t>The amount by which the gross premium exceeds the assumed net premium is called </w:t>
      </w:r>
      <w:r>
        <w:rPr>
          <w:i/>
          <w:w w:val="105"/>
        </w:rPr>
        <w:t>loading.</w:t>
      </w:r>
    </w:p>
    <w:p>
      <w:pPr>
        <w:pStyle w:val="BodyText"/>
        <w:spacing w:line="233" w:lineRule="exact"/>
        <w:ind w:left="128" w:firstLine="194"/>
        <w:jc w:val="both"/>
      </w:pPr>
      <w:r>
        <w:rPr>
          <w:w w:val="105"/>
        </w:rPr>
        <w:t>Gross premium  formulas may become quite complex. </w:t>
      </w:r>
      <w:r>
        <w:rPr>
          <w:w w:val="105"/>
          <w:sz w:val="22"/>
        </w:rPr>
        <w:t>It </w:t>
      </w:r>
      <w:r>
        <w:rPr>
          <w:w w:val="105"/>
        </w:rPr>
        <w:t>is  often</w:t>
      </w:r>
    </w:p>
    <w:p>
      <w:pPr>
        <w:pStyle w:val="BodyText"/>
        <w:spacing w:line="252" w:lineRule="auto" w:before="7"/>
        <w:ind w:left="121" w:right="102" w:firstLine="7"/>
        <w:jc w:val="both"/>
      </w:pPr>
      <w:r>
        <w:rPr>
          <w:w w:val="105"/>
        </w:rPr>
        <w:t>found, however, that the result of a complicated gross premium formula can be approximated with sufficient accuracy by adding sorne simple loading to the net premium. For example, the net premium may be loaded by a percentage of itself, or by a constant, or by a percentage plus a constant. We shall often use a simple loading of this type when gross premiums are required in our sub­ sequent work.</w:t>
      </w:r>
    </w:p>
    <w:p>
      <w:pPr>
        <w:pStyle w:val="BodyText"/>
        <w:spacing w:line="244" w:lineRule="auto"/>
        <w:ind w:left="121" w:right="107" w:firstLine="201"/>
        <w:jc w:val="both"/>
      </w:pPr>
      <w:r>
        <w:rPr>
          <w:w w:val="110"/>
        </w:rPr>
        <w:t>Fractional gross premiums are usually established as a</w:t>
      </w:r>
      <w:r>
        <w:rPr>
          <w:spacing w:val="-34"/>
          <w:w w:val="110"/>
        </w:rPr>
        <w:t> </w:t>
      </w:r>
      <w:r>
        <w:rPr>
          <w:w w:val="110"/>
        </w:rPr>
        <w:t>constant percentage</w:t>
      </w:r>
      <w:r>
        <w:rPr>
          <w:spacing w:val="-18"/>
          <w:w w:val="110"/>
        </w:rPr>
        <w:t> </w:t>
      </w:r>
      <w:r>
        <w:rPr>
          <w:w w:val="110"/>
        </w:rPr>
        <w:t>of</w:t>
      </w:r>
      <w:r>
        <w:rPr>
          <w:spacing w:val="-18"/>
          <w:w w:val="110"/>
        </w:rPr>
        <w:t> </w:t>
      </w:r>
      <w:r>
        <w:rPr>
          <w:w w:val="110"/>
        </w:rPr>
        <w:t>the</w:t>
      </w:r>
      <w:r>
        <w:rPr>
          <w:spacing w:val="-25"/>
          <w:w w:val="110"/>
        </w:rPr>
        <w:t> </w:t>
      </w:r>
      <w:r>
        <w:rPr>
          <w:w w:val="110"/>
        </w:rPr>
        <w:t>corresponding</w:t>
      </w:r>
      <w:r>
        <w:rPr>
          <w:spacing w:val="-22"/>
          <w:w w:val="110"/>
        </w:rPr>
        <w:t> </w:t>
      </w:r>
      <w:r>
        <w:rPr>
          <w:w w:val="110"/>
        </w:rPr>
        <w:t>annual</w:t>
      </w:r>
      <w:r>
        <w:rPr>
          <w:spacing w:val="-19"/>
          <w:w w:val="110"/>
        </w:rPr>
        <w:t> </w:t>
      </w:r>
      <w:r>
        <w:rPr>
          <w:w w:val="110"/>
        </w:rPr>
        <w:t>premiums.</w:t>
      </w:r>
      <w:r>
        <w:rPr>
          <w:spacing w:val="-16"/>
          <w:w w:val="110"/>
        </w:rPr>
        <w:t> </w:t>
      </w:r>
      <w:r>
        <w:rPr>
          <w:w w:val="110"/>
        </w:rPr>
        <w:t>Thus,</w:t>
      </w:r>
      <w:r>
        <w:rPr>
          <w:spacing w:val="-19"/>
          <w:w w:val="110"/>
        </w:rPr>
        <w:t> </w:t>
      </w:r>
      <w:r>
        <w:rPr>
          <w:w w:val="110"/>
        </w:rPr>
        <w:t>a</w:t>
      </w:r>
      <w:r>
        <w:rPr>
          <w:spacing w:val="-29"/>
          <w:w w:val="110"/>
        </w:rPr>
        <w:t> </w:t>
      </w:r>
      <w:r>
        <w:rPr>
          <w:w w:val="110"/>
        </w:rPr>
        <w:t>particu­ lar insurer"might calculate </w:t>
      </w:r>
      <w:r>
        <w:rPr>
          <w:b/>
          <w:w w:val="110"/>
          <w:sz w:val="23"/>
        </w:rPr>
        <w:t>all </w:t>
      </w:r>
      <w:r>
        <w:rPr>
          <w:w w:val="110"/>
        </w:rPr>
        <w:t>semi-annual premiums as</w:t>
      </w:r>
      <w:r>
        <w:rPr>
          <w:spacing w:val="-23"/>
          <w:w w:val="110"/>
        </w:rPr>
        <w:t> </w:t>
      </w:r>
      <w:r>
        <w:rPr>
          <w:w w:val="110"/>
        </w:rPr>
        <w:t>one-half of the annual premium increased by 2 </w:t>
      </w:r>
      <w:r>
        <w:rPr>
          <w:w w:val="110"/>
          <w:sz w:val="19"/>
        </w:rPr>
        <w:t>%. </w:t>
      </w:r>
      <w:r>
        <w:rPr>
          <w:w w:val="110"/>
        </w:rPr>
        <w:t>The actual percentages used are determined from an analysis of the net fractional pre­ miums of the appropriate type-true, instalment, or apportion­ able-and by a study of the extra expense involved in making the </w:t>
      </w:r>
      <w:r>
        <w:rPr>
          <w:w w:val="105"/>
        </w:rPr>
        <w:t>more frequent premium </w:t>
      </w:r>
      <w:r>
        <w:rPr>
          <w:spacing w:val="1"/>
          <w:w w:val="105"/>
        </w:rPr>
        <w:t> </w:t>
      </w:r>
      <w:r>
        <w:rPr>
          <w:w w:val="105"/>
        </w:rPr>
        <w:t>collections.</w:t>
      </w:r>
    </w:p>
    <w:p>
      <w:pPr>
        <w:pStyle w:val="ListParagraph"/>
        <w:numPr>
          <w:ilvl w:val="0"/>
          <w:numId w:val="60"/>
        </w:numPr>
        <w:tabs>
          <w:tab w:pos="348" w:val="left" w:leader="none"/>
        </w:tabs>
        <w:spacing w:line="240" w:lineRule="auto" w:before="109" w:after="0"/>
        <w:ind w:left="348" w:right="0" w:hanging="227"/>
        <w:jc w:val="both"/>
        <w:rPr>
          <w:b/>
          <w:sz w:val="21"/>
        </w:rPr>
      </w:pPr>
      <w:r>
        <w:rPr>
          <w:b/>
          <w:w w:val="110"/>
          <w:sz w:val="21"/>
        </w:rPr>
        <w:t>Modified  </w:t>
      </w:r>
      <w:r>
        <w:rPr>
          <w:b/>
          <w:w w:val="110"/>
          <w:sz w:val="19"/>
        </w:rPr>
        <w:t>reserve systems</w:t>
      </w:r>
    </w:p>
    <w:p>
      <w:pPr>
        <w:pStyle w:val="BodyText"/>
        <w:spacing w:line="247" w:lineRule="auto" w:before="81"/>
        <w:ind w:left="128" w:right="105" w:firstLine="194"/>
        <w:jc w:val="both"/>
      </w:pPr>
      <w:r>
        <w:rPr>
          <w:w w:val="105"/>
        </w:rPr>
        <w:t>When the net level premium reserve is used as the basis of an insurer's  valuation,  the  loading  available  for  expenses  is  a level</w:t>
      </w:r>
    </w:p>
    <w:p>
      <w:pPr>
        <w:spacing w:after="0" w:line="247" w:lineRule="auto"/>
        <w:jc w:val="both"/>
        <w:sectPr>
          <w:pgSz w:w="7200" w:h="11340"/>
          <w:pgMar w:top="480" w:bottom="280" w:left="660" w:right="560"/>
        </w:sectPr>
      </w:pPr>
    </w:p>
    <w:p>
      <w:pPr>
        <w:tabs>
          <w:tab w:pos="2043" w:val="left" w:leader="none"/>
          <w:tab w:pos="5377" w:val="left" w:leader="none"/>
        </w:tabs>
        <w:spacing w:before="52"/>
        <w:ind w:left="139" w:right="0" w:firstLine="21"/>
        <w:jc w:val="both"/>
        <w:rPr>
          <w:rFonts w:ascii="Arial"/>
          <w:b/>
          <w:sz w:val="18"/>
        </w:rPr>
      </w:pPr>
      <w:r>
        <w:rPr>
          <w:spacing w:val="-15"/>
          <w:w w:val="105"/>
          <w:sz w:val="21"/>
        </w:rPr>
        <w:t>134</w:t>
        <w:tab/>
      </w:r>
      <w:r>
        <w:rPr>
          <w:rFonts w:ascii="Courier New"/>
          <w:b/>
          <w:w w:val="105"/>
          <w:position w:val="1"/>
          <w:sz w:val="17"/>
        </w:rPr>
        <w:t>THE</w:t>
      </w:r>
      <w:r>
        <w:rPr>
          <w:rFonts w:ascii="Courier New"/>
          <w:b/>
          <w:spacing w:val="-21"/>
          <w:w w:val="105"/>
          <w:position w:val="1"/>
          <w:sz w:val="17"/>
        </w:rPr>
        <w:t> </w:t>
      </w:r>
      <w:r>
        <w:rPr>
          <w:rFonts w:ascii="Courier New"/>
          <w:b/>
          <w:w w:val="105"/>
          <w:position w:val="1"/>
          <w:sz w:val="17"/>
        </w:rPr>
        <w:t>EXPENSE</w:t>
      </w:r>
      <w:r>
        <w:rPr>
          <w:rFonts w:ascii="Courier New"/>
          <w:b/>
          <w:spacing w:val="-1"/>
          <w:w w:val="105"/>
          <w:position w:val="1"/>
          <w:sz w:val="17"/>
        </w:rPr>
        <w:t> </w:t>
      </w:r>
      <w:r>
        <w:rPr>
          <w:rFonts w:ascii="Courier New"/>
          <w:b/>
          <w:w w:val="105"/>
          <w:position w:val="1"/>
          <w:sz w:val="17"/>
        </w:rPr>
        <w:t>FACTOR</w:t>
        <w:tab/>
      </w:r>
      <w:r>
        <w:rPr>
          <w:b/>
          <w:w w:val="105"/>
          <w:position w:val="1"/>
          <w:sz w:val="15"/>
        </w:rPr>
        <w:t>{CH.</w:t>
      </w:r>
      <w:r>
        <w:rPr>
          <w:b/>
          <w:spacing w:val="13"/>
          <w:w w:val="105"/>
          <w:position w:val="1"/>
          <w:sz w:val="15"/>
        </w:rPr>
        <w:t> </w:t>
      </w:r>
      <w:r>
        <w:rPr>
          <w:rFonts w:ascii="Arial"/>
          <w:b/>
          <w:w w:val="105"/>
          <w:position w:val="1"/>
          <w:sz w:val="18"/>
        </w:rPr>
        <w:t>6</w:t>
      </w:r>
    </w:p>
    <w:p>
      <w:pPr>
        <w:pStyle w:val="BodyText"/>
        <w:spacing w:before="5"/>
        <w:rPr>
          <w:rFonts w:ascii="Arial"/>
          <w:b/>
        </w:rPr>
      </w:pPr>
    </w:p>
    <w:p>
      <w:pPr>
        <w:pStyle w:val="BodyText"/>
        <w:spacing w:line="249" w:lineRule="auto" w:before="1"/>
        <w:ind w:left="128" w:right="108" w:firstLine="10"/>
        <w:jc w:val="both"/>
      </w:pPr>
      <w:r>
        <w:rPr>
          <w:w w:val="105"/>
        </w:rPr>
        <w:t>amount from year to year, although the actual expenses are higher  in the first ycar than in subsequent years. There is a('cordingly a dPficiency in the first year which must </w:t>
      </w:r>
      <w:r>
        <w:rPr>
          <w:rFonts w:ascii="Arial" w:hAnsi="Arial"/>
          <w:w w:val="105"/>
        </w:rPr>
        <w:t>be </w:t>
      </w:r>
      <w:r>
        <w:rPr>
          <w:w w:val="105"/>
        </w:rPr>
        <w:t>made up by drawing t.emporari)y on the insurer's surplus, with the  amount  drawn  in this way being returned in later years as the loading becomcs more t.han enough to meet current expcns,•s. For a small or a newly­ fomwd company, with a relatively small working capital, this need to draw on surplus for the financing of new business could </w:t>
      </w:r>
      <w:r>
        <w:rPr>
          <w:rFonts w:ascii="Arial" w:hAnsi="Arial"/>
          <w:w w:val="105"/>
        </w:rPr>
        <w:t>be </w:t>
      </w:r>
      <w:r>
        <w:rPr>
          <w:w w:val="105"/>
        </w:rPr>
        <w:t>a real hardship. Such a company might find itself in a position where it could not afford to accept any additional new </w:t>
      </w:r>
      <w:r>
        <w:rPr>
          <w:w w:val="135"/>
        </w:rPr>
        <w:t>busin </w:t>
      </w:r>
      <w:r>
        <w:rPr>
          <w:w w:val="105"/>
        </w:rPr>
        <w:t>for a tem­ porary</w:t>
      </w:r>
      <w:r>
        <w:rPr>
          <w:spacing w:val="24"/>
          <w:w w:val="105"/>
        </w:rPr>
        <w:t> </w:t>
      </w:r>
      <w:r>
        <w:rPr>
          <w:w w:val="105"/>
        </w:rPr>
        <w:t>period.</w:t>
      </w:r>
    </w:p>
    <w:p>
      <w:pPr>
        <w:pStyle w:val="BodyText"/>
        <w:spacing w:line="247" w:lineRule="auto"/>
        <w:ind w:left="117" w:right="112" w:firstLine="208"/>
        <w:jc w:val="right"/>
      </w:pPr>
      <w:r>
        <w:rPr>
          <w:w w:val="105"/>
        </w:rPr>
        <w:t>This situation can be alleviated by the use of a</w:t>
      </w:r>
      <w:r>
        <w:rPr>
          <w:spacing w:val="41"/>
          <w:w w:val="105"/>
        </w:rPr>
        <w:t> </w:t>
      </w:r>
      <w:r>
        <w:rPr>
          <w:w w:val="105"/>
        </w:rPr>
        <w:t>reserve</w:t>
      </w:r>
      <w:r>
        <w:rPr>
          <w:spacing w:val="32"/>
          <w:w w:val="105"/>
        </w:rPr>
        <w:t> </w:t>
      </w:r>
      <w:r>
        <w:rPr>
          <w:w w:val="105"/>
        </w:rPr>
        <w:t>system</w:t>
      </w:r>
      <w:r>
        <w:rPr>
          <w:w w:val="104"/>
        </w:rPr>
        <w:t> </w:t>
      </w:r>
      <w:r>
        <w:rPr>
          <w:w w:val="105"/>
        </w:rPr>
        <w:t>which gives recognition to the decreasing incidence of</w:t>
      </w:r>
      <w:r>
        <w:rPr>
          <w:spacing w:val="5"/>
          <w:w w:val="105"/>
        </w:rPr>
        <w:t> </w:t>
      </w:r>
      <w:r>
        <w:rPr>
          <w:w w:val="105"/>
        </w:rPr>
        <w:t>expense</w:t>
      </w:r>
      <w:r>
        <w:rPr>
          <w:spacing w:val="6"/>
          <w:w w:val="105"/>
        </w:rPr>
        <w:t> </w:t>
      </w:r>
      <w:r>
        <w:rPr>
          <w:w w:val="105"/>
        </w:rPr>
        <w:t>and</w:t>
      </w:r>
      <w:r>
        <w:rPr>
          <w:w w:val="107"/>
        </w:rPr>
        <w:t> </w:t>
      </w:r>
      <w:r>
        <w:rPr>
          <w:w w:val="105"/>
        </w:rPr>
        <w:t>provides a larger loading in the first policy year than in</w:t>
      </w:r>
      <w:r>
        <w:rPr>
          <w:spacing w:val="43"/>
          <w:w w:val="105"/>
        </w:rPr>
        <w:t> </w:t>
      </w:r>
      <w:r>
        <w:rPr>
          <w:w w:val="105"/>
        </w:rPr>
        <w:t>the</w:t>
      </w:r>
      <w:r>
        <w:rPr>
          <w:spacing w:val="4"/>
          <w:w w:val="105"/>
        </w:rPr>
        <w:t> </w:t>
      </w:r>
      <w:r>
        <w:rPr>
          <w:w w:val="105"/>
        </w:rPr>
        <w:t>renewal</w:t>
      </w:r>
      <w:r>
        <w:rPr>
          <w:w w:val="100"/>
        </w:rPr>
        <w:t> </w:t>
      </w:r>
      <w:r>
        <w:rPr>
          <w:w w:val="105"/>
        </w:rPr>
        <w:t>years. This of course implies that the reserve must be built</w:t>
      </w:r>
      <w:r>
        <w:rPr>
          <w:spacing w:val="49"/>
          <w:w w:val="105"/>
        </w:rPr>
        <w:t> </w:t>
      </w:r>
      <w:r>
        <w:rPr>
          <w:w w:val="105"/>
        </w:rPr>
        <w:t>from</w:t>
      </w:r>
      <w:r>
        <w:rPr>
          <w:spacing w:val="18"/>
          <w:w w:val="105"/>
        </w:rPr>
        <w:t> </w:t>
      </w:r>
      <w:r>
        <w:rPr>
          <w:w w:val="105"/>
        </w:rPr>
        <w:t>a</w:t>
      </w:r>
      <w:r>
        <w:rPr>
          <w:w w:val="108"/>
        </w:rPr>
        <w:t> </w:t>
      </w:r>
      <w:r>
        <w:rPr>
          <w:w w:val="106"/>
        </w:rPr>
        <w:t>first</w:t>
      </w:r>
      <w:r>
        <w:rPr>
          <w:spacing w:val="-19"/>
          <w:w w:val="106"/>
        </w:rPr>
        <w:t> </w:t>
      </w:r>
      <w:r>
        <w:rPr>
          <w:w w:val="107"/>
        </w:rPr>
        <w:t>year</w:t>
      </w:r>
      <w:r>
        <w:rPr>
          <w:spacing w:val="-9"/>
          <w:w w:val="107"/>
        </w:rPr>
        <w:t> </w:t>
      </w:r>
      <w:r>
        <w:rPr>
          <w:w w:val="106"/>
        </w:rPr>
        <w:t>net</w:t>
      </w:r>
      <w:r>
        <w:rPr>
          <w:spacing w:val="-4"/>
          <w:w w:val="106"/>
        </w:rPr>
        <w:t> </w:t>
      </w:r>
      <w:r>
        <w:rPr>
          <w:w w:val="102"/>
        </w:rPr>
        <w:t>premium</w:t>
      </w:r>
      <w:r>
        <w:rPr>
          <w:spacing w:val="-2"/>
          <w:w w:val="102"/>
        </w:rPr>
        <w:t> </w:t>
      </w:r>
      <w:r>
        <w:rPr>
          <w:w w:val="101"/>
        </w:rPr>
        <w:t>which</w:t>
      </w:r>
      <w:r>
        <w:rPr>
          <w:spacing w:val="2"/>
          <w:w w:val="101"/>
        </w:rPr>
        <w:t> </w:t>
      </w:r>
      <w:r>
        <w:rPr>
          <w:rFonts w:ascii="Arial" w:hAnsi="Arial"/>
          <w:w w:val="101"/>
          <w:sz w:val="19"/>
        </w:rPr>
        <w:t>is</w:t>
      </w:r>
      <w:r>
        <w:rPr>
          <w:rFonts w:ascii="Arial" w:hAnsi="Arial"/>
          <w:spacing w:val="-28"/>
          <w:w w:val="101"/>
          <w:sz w:val="19"/>
        </w:rPr>
        <w:t> </w:t>
      </w:r>
      <w:r>
        <w:rPr>
          <w:spacing w:val="2"/>
          <w:w w:val="210"/>
        </w:rPr>
        <w:t>lthan</w:t>
      </w:r>
      <w:r>
        <w:rPr>
          <w:spacing w:val="-62"/>
          <w:w w:val="210"/>
        </w:rPr>
        <w:t> </w:t>
      </w:r>
      <w:r>
        <w:rPr>
          <w:w w:val="110"/>
        </w:rPr>
        <w:t>the</w:t>
      </w:r>
      <w:r>
        <w:rPr>
          <w:spacing w:val="-11"/>
          <w:w w:val="110"/>
        </w:rPr>
        <w:t> </w:t>
      </w:r>
      <w:r>
        <w:rPr>
          <w:w w:val="100"/>
        </w:rPr>
        <w:t>renewal</w:t>
      </w:r>
      <w:r>
        <w:rPr>
          <w:spacing w:val="5"/>
          <w:w w:val="100"/>
        </w:rPr>
        <w:t> </w:t>
      </w:r>
      <w:r>
        <w:rPr>
          <w:w w:val="106"/>
        </w:rPr>
        <w:t>net</w:t>
      </w:r>
      <w:r>
        <w:rPr>
          <w:spacing w:val="-4"/>
          <w:w w:val="106"/>
        </w:rPr>
        <w:t> </w:t>
      </w:r>
      <w:r>
        <w:rPr>
          <w:w w:val="103"/>
        </w:rPr>
        <w:t>premiums. </w:t>
      </w:r>
      <w:r>
        <w:rPr>
          <w:w w:val="105"/>
          <w:sz w:val="22"/>
        </w:rPr>
        <w:t>In </w:t>
      </w:r>
      <w:r>
        <w:rPr>
          <w:w w:val="105"/>
        </w:rPr>
        <w:t>any modified reserve system of this kind, the</w:t>
      </w:r>
      <w:r>
        <w:rPr>
          <w:spacing w:val="16"/>
          <w:w w:val="105"/>
        </w:rPr>
        <w:t> </w:t>
      </w:r>
      <w:r>
        <w:rPr>
          <w:w w:val="105"/>
        </w:rPr>
        <w:t>sequcnce</w:t>
      </w:r>
      <w:r>
        <w:rPr>
          <w:spacing w:val="43"/>
          <w:w w:val="105"/>
        </w:rPr>
        <w:t> </w:t>
      </w:r>
      <w:r>
        <w:rPr>
          <w:w w:val="105"/>
        </w:rPr>
        <w:t>of</w:t>
      </w:r>
      <w:r>
        <w:rPr>
          <w:w w:val="87"/>
        </w:rPr>
        <w:t> </w:t>
      </w:r>
      <w:r>
        <w:rPr>
          <w:w w:val="109"/>
        </w:rPr>
        <w:t>net </w:t>
      </w:r>
      <w:r>
        <w:rPr>
          <w:spacing w:val="-5"/>
          <w:w w:val="113"/>
        </w:rPr>
        <w:t>leve!premiums</w:t>
      </w:r>
      <w:r>
        <w:rPr>
          <w:w w:val="113"/>
        </w:rPr>
        <w:t> </w:t>
      </w:r>
      <w:r>
        <w:rPr>
          <w:i/>
          <w:w w:val="103"/>
          <w:sz w:val="21"/>
        </w:rPr>
        <w:t>P </w:t>
      </w:r>
      <w:r>
        <w:rPr>
          <w:rFonts w:ascii="Arial" w:hAnsi="Arial"/>
          <w:w w:val="98"/>
          <w:sz w:val="19"/>
        </w:rPr>
        <w:t>is </w:t>
      </w:r>
      <w:r>
        <w:rPr>
          <w:w w:val="100"/>
        </w:rPr>
        <w:t>replaced </w:t>
      </w:r>
      <w:r>
        <w:rPr>
          <w:w w:val="105"/>
        </w:rPr>
        <w:t>during </w:t>
      </w:r>
      <w:r>
        <w:rPr>
          <w:w w:val="116"/>
        </w:rPr>
        <w:t>a </w:t>
      </w:r>
      <w:r>
        <w:rPr>
          <w:w w:val="92"/>
        </w:rPr>
        <w:t>speci.fied </w:t>
      </w:r>
      <w:r>
        <w:rPr>
          <w:w w:val="104"/>
        </w:rPr>
        <w:t>number</w:t>
      </w:r>
      <w:r>
        <w:rPr>
          <w:spacing w:val="49"/>
          <w:w w:val="104"/>
        </w:rPr>
        <w:t> </w:t>
      </w:r>
      <w:r>
        <w:rPr>
          <w:w w:val="89"/>
        </w:rPr>
        <w:t>of</w:t>
      </w:r>
      <w:r>
        <w:rPr>
          <w:spacing w:val="23"/>
          <w:w w:val="89"/>
        </w:rPr>
        <w:t> </w:t>
      </w:r>
      <w:r>
        <w:rPr>
          <w:w w:val="105"/>
        </w:rPr>
        <w:t>years </w:t>
      </w:r>
      <w:r>
        <w:rPr>
          <w:i/>
          <w:w w:val="105"/>
        </w:rPr>
        <w:t>k </w:t>
      </w:r>
      <w:r>
        <w:rPr>
          <w:w w:val="105"/>
          <w:sz w:val="19"/>
        </w:rPr>
        <w:t>by </w:t>
      </w:r>
      <w:r>
        <w:rPr>
          <w:w w:val="105"/>
        </w:rPr>
        <w:t>a reduced first year net premium </w:t>
      </w:r>
      <w:r>
        <w:rPr>
          <w:i/>
          <w:w w:val="105"/>
          <w:sz w:val="18"/>
        </w:rPr>
        <w:t>a </w:t>
      </w:r>
      <w:r>
        <w:rPr>
          <w:w w:val="105"/>
        </w:rPr>
        <w:t>followed by a series</w:t>
      </w:r>
      <w:r>
        <w:rPr>
          <w:spacing w:val="39"/>
          <w:w w:val="105"/>
        </w:rPr>
        <w:t> </w:t>
      </w:r>
      <w:r>
        <w:rPr>
          <w:w w:val="105"/>
        </w:rPr>
        <w:t>of</w:t>
      </w:r>
      <w:r>
        <w:rPr>
          <w:spacing w:val="25"/>
          <w:w w:val="105"/>
        </w:rPr>
        <w:t> </w:t>
      </w:r>
      <w:r>
        <w:rPr>
          <w:w w:val="105"/>
          <w:sz w:val="19"/>
        </w:rPr>
        <w:t>in­</w:t>
      </w:r>
      <w:r>
        <w:rPr>
          <w:w w:val="106"/>
          <w:sz w:val="19"/>
        </w:rPr>
        <w:t> </w:t>
      </w:r>
      <w:r>
        <w:rPr>
          <w:w w:val="105"/>
        </w:rPr>
        <w:t>creased renewal premiums </w:t>
      </w:r>
      <w:r>
        <w:rPr>
          <w:i/>
          <w:w w:val="105"/>
          <w:sz w:val="18"/>
        </w:rPr>
        <w:t>(3. </w:t>
      </w:r>
      <w:r>
        <w:rPr>
          <w:w w:val="105"/>
          <w:sz w:val="21"/>
        </w:rPr>
        <w:t>If </w:t>
      </w:r>
      <w:r>
        <w:rPr>
          <w:w w:val="105"/>
        </w:rPr>
        <w:t>the modification period of</w:t>
      </w:r>
      <w:r>
        <w:rPr>
          <w:spacing w:val="33"/>
          <w:w w:val="105"/>
        </w:rPr>
        <w:t> </w:t>
      </w:r>
      <w:r>
        <w:rPr>
          <w:i/>
          <w:w w:val="105"/>
        </w:rPr>
        <w:t>k</w:t>
      </w:r>
      <w:r>
        <w:rPr>
          <w:i/>
          <w:spacing w:val="10"/>
          <w:w w:val="105"/>
        </w:rPr>
        <w:t> </w:t>
      </w:r>
      <w:r>
        <w:rPr>
          <w:w w:val="105"/>
        </w:rPr>
        <w:t>years</w:t>
      </w:r>
      <w:r>
        <w:rPr>
          <w:w w:val="107"/>
        </w:rPr>
        <w:t> </w:t>
      </w:r>
      <w:r>
        <w:rPr>
          <w:w w:val="105"/>
        </w:rPr>
        <w:t>is </w:t>
      </w:r>
      <w:r>
        <w:rPr>
          <w:spacing w:val="-5"/>
          <w:w w:val="105"/>
        </w:rPr>
        <w:t>le.ss </w:t>
      </w:r>
      <w:r>
        <w:rPr>
          <w:w w:val="105"/>
        </w:rPr>
        <w:t>than the premium-paying period, net level </w:t>
      </w:r>
      <w:r>
        <w:rPr>
          <w:spacing w:val="4"/>
          <w:w w:val="105"/>
        </w:rPr>
        <w:t> </w:t>
      </w:r>
      <w:r>
        <w:rPr>
          <w:w w:val="105"/>
        </w:rPr>
        <w:t>premiums</w:t>
      </w:r>
      <w:r>
        <w:rPr>
          <w:spacing w:val="48"/>
          <w:w w:val="105"/>
        </w:rPr>
        <w:t> </w:t>
      </w:r>
      <w:r>
        <w:rPr>
          <w:w w:val="105"/>
        </w:rPr>
        <w:t>and</w:t>
      </w:r>
      <w:r>
        <w:rPr>
          <w:w w:val="107"/>
        </w:rPr>
        <w:t> </w:t>
      </w:r>
      <w:r>
        <w:rPr>
          <w:w w:val="105"/>
        </w:rPr>
        <w:t>full net level premium reserves are used </w:t>
      </w:r>
      <w:r>
        <w:rPr>
          <w:spacing w:val="4"/>
          <w:w w:val="105"/>
        </w:rPr>
        <w:t>after </w:t>
      </w:r>
      <w:r>
        <w:rPr>
          <w:i/>
          <w:w w:val="105"/>
        </w:rPr>
        <w:t>k </w:t>
      </w:r>
      <w:r>
        <w:rPr>
          <w:w w:val="105"/>
        </w:rPr>
        <w:t>years.</w:t>
      </w:r>
      <w:r>
        <w:rPr>
          <w:spacing w:val="11"/>
          <w:w w:val="105"/>
        </w:rPr>
        <w:t> </w:t>
      </w:r>
      <w:r>
        <w:rPr>
          <w:w w:val="105"/>
        </w:rPr>
        <w:t>The</w:t>
      </w:r>
      <w:r>
        <w:rPr>
          <w:spacing w:val="25"/>
          <w:w w:val="105"/>
        </w:rPr>
        <w:t> </w:t>
      </w:r>
      <w:r>
        <w:rPr>
          <w:w w:val="105"/>
        </w:rPr>
        <w:t>initial</w:t>
      </w:r>
      <w:r>
        <w:rPr>
          <w:w w:val="106"/>
        </w:rPr>
        <w:t> </w:t>
      </w:r>
      <w:r>
        <w:rPr>
          <w:w w:val="105"/>
        </w:rPr>
        <w:t>value of the sequence of modified net premiums must </w:t>
      </w:r>
      <w:r>
        <w:rPr>
          <w:rFonts w:ascii="Arial" w:hAnsi="Arial"/>
          <w:w w:val="105"/>
        </w:rPr>
        <w:t>be</w:t>
      </w:r>
      <w:r>
        <w:rPr>
          <w:rFonts w:ascii="Arial" w:hAnsi="Arial"/>
          <w:spacing w:val="27"/>
          <w:w w:val="105"/>
        </w:rPr>
        <w:t> </w:t>
      </w:r>
      <w:r>
        <w:rPr>
          <w:w w:val="105"/>
        </w:rPr>
        <w:t>equal</w:t>
      </w:r>
      <w:r>
        <w:rPr>
          <w:spacing w:val="19"/>
          <w:w w:val="105"/>
        </w:rPr>
        <w:t> </w:t>
      </w:r>
      <w:r>
        <w:rPr>
          <w:w w:val="105"/>
        </w:rPr>
        <w:t>to</w:t>
      </w:r>
      <w:r>
        <w:rPr>
          <w:w w:val="110"/>
        </w:rPr>
        <w:t> </w:t>
      </w:r>
      <w:r>
        <w:rPr>
          <w:w w:val="105"/>
        </w:rPr>
        <w:t>the  initial value  of  the net  level  premiums  </w:t>
      </w:r>
      <w:r>
        <w:rPr>
          <w:i/>
          <w:w w:val="105"/>
          <w:sz w:val="21"/>
        </w:rPr>
        <w:t>P  </w:t>
      </w:r>
      <w:r>
        <w:rPr>
          <w:w w:val="105"/>
        </w:rPr>
        <w:t>during  the k-yea </w:t>
      </w:r>
      <w:r>
        <w:rPr>
          <w:spacing w:val="13"/>
          <w:w w:val="105"/>
        </w:rPr>
        <w:t> </w:t>
      </w:r>
      <w:r>
        <w:rPr>
          <w:w w:val="105"/>
        </w:rPr>
        <w:t>r</w:t>
      </w:r>
    </w:p>
    <w:p>
      <w:pPr>
        <w:pStyle w:val="BodyText"/>
        <w:spacing w:line="234" w:lineRule="exact"/>
        <w:ind w:left="121"/>
        <w:jc w:val="both"/>
      </w:pPr>
      <w:r>
        <w:rPr>
          <w:w w:val="105"/>
        </w:rPr>
        <w:t>period. </w:t>
      </w:r>
      <w:r>
        <w:rPr>
          <w:w w:val="105"/>
          <w:sz w:val="21"/>
        </w:rPr>
        <w:t>If </w:t>
      </w:r>
      <w:r>
        <w:rPr>
          <w:i/>
          <w:w w:val="105"/>
        </w:rPr>
        <w:t>x </w:t>
      </w:r>
      <w:r>
        <w:rPr>
          <w:rFonts w:ascii="Arial"/>
          <w:w w:val="105"/>
          <w:sz w:val="19"/>
        </w:rPr>
        <w:t>is </w:t>
      </w:r>
      <w:r>
        <w:rPr>
          <w:w w:val="105"/>
        </w:rPr>
        <w:t>the age at is.sue, we have</w:t>
      </w:r>
    </w:p>
    <w:p>
      <w:pPr>
        <w:spacing w:before="32"/>
        <w:ind w:left="1964" w:right="739" w:firstLine="0"/>
        <w:jc w:val="left"/>
        <w:rPr>
          <w:sz w:val="23"/>
        </w:rPr>
      </w:pPr>
      <w:r>
        <w:rPr>
          <w:b/>
          <w:i/>
          <w:w w:val="105"/>
          <w:sz w:val="18"/>
        </w:rPr>
        <w:t>a </w:t>
      </w:r>
      <w:r>
        <w:rPr>
          <w:rFonts w:ascii="Arial" w:hAnsi="Arial"/>
          <w:sz w:val="32"/>
        </w:rPr>
        <w:t>+ </w:t>
      </w:r>
      <w:r>
        <w:rPr>
          <w:rFonts w:ascii="Arial" w:hAnsi="Arial"/>
          <w:b/>
          <w:i/>
          <w:sz w:val="16"/>
        </w:rPr>
        <w:t>fj </w:t>
      </w:r>
      <w:r>
        <w:rPr>
          <w:rFonts w:ascii="Arial" w:hAnsi="Arial"/>
          <w:sz w:val="16"/>
        </w:rPr>
        <w:t>·</w:t>
      </w:r>
      <w:r>
        <w:rPr>
          <w:rFonts w:ascii="Arial" w:hAnsi="Arial"/>
          <w:b/>
          <w:sz w:val="17"/>
        </w:rPr>
        <w:t>az;i=i]  </w:t>
      </w:r>
      <w:r>
        <w:rPr>
          <w:sz w:val="26"/>
        </w:rPr>
        <w:t>= </w:t>
      </w:r>
      <w:r>
        <w:rPr>
          <w:b/>
          <w:sz w:val="23"/>
        </w:rPr>
        <w:t>Pds:il </w:t>
      </w:r>
      <w:r>
        <w:rPr>
          <w:w w:val="105"/>
          <w:sz w:val="23"/>
        </w:rPr>
        <w:t>.</w:t>
      </w:r>
    </w:p>
    <w:p>
      <w:pPr>
        <w:pStyle w:val="BodyText"/>
        <w:spacing w:line="247" w:lineRule="auto" w:before="75"/>
        <w:ind w:left="110" w:right="120" w:firstLine="3"/>
        <w:jc w:val="both"/>
      </w:pPr>
      <w:r>
        <w:rPr>
          <w:w w:val="105"/>
        </w:rPr>
        <w:t>From this equation, the renewal net premium </w:t>
      </w:r>
      <w:r>
        <w:rPr>
          <w:rFonts w:ascii="Arial"/>
          <w:i/>
          <w:w w:val="95"/>
          <w:sz w:val="22"/>
        </w:rPr>
        <w:t>fJ </w:t>
      </w:r>
      <w:r>
        <w:rPr>
          <w:w w:val="105"/>
        </w:rPr>
        <w:t>may be obtained when  the value of </w:t>
      </w:r>
      <w:r>
        <w:rPr>
          <w:i/>
          <w:w w:val="105"/>
          <w:sz w:val="18"/>
        </w:rPr>
        <w:t>a </w:t>
      </w:r>
      <w:r>
        <w:rPr>
          <w:rFonts w:ascii="Arial"/>
          <w:w w:val="105"/>
          <w:sz w:val="19"/>
        </w:rPr>
        <w:t>is</w:t>
      </w:r>
      <w:r>
        <w:rPr>
          <w:rFonts w:ascii="Arial"/>
          <w:spacing w:val="51"/>
          <w:w w:val="105"/>
          <w:sz w:val="19"/>
        </w:rPr>
        <w:t> </w:t>
      </w:r>
      <w:r>
        <w:rPr>
          <w:w w:val="105"/>
        </w:rPr>
        <w:t>known:</w:t>
      </w:r>
    </w:p>
    <w:p>
      <w:pPr>
        <w:spacing w:after="0" w:line="247" w:lineRule="auto"/>
        <w:jc w:val="both"/>
        <w:sectPr>
          <w:pgSz w:w="7200" w:h="11340"/>
          <w:pgMar w:top="500" w:bottom="280" w:left="660" w:right="560"/>
        </w:sectPr>
      </w:pPr>
    </w:p>
    <w:p>
      <w:pPr>
        <w:spacing w:before="128"/>
        <w:ind w:left="2259" w:right="0" w:firstLine="0"/>
        <w:jc w:val="left"/>
        <w:rPr>
          <w:sz w:val="20"/>
        </w:rPr>
      </w:pPr>
      <w:r>
        <w:rPr>
          <w:rFonts w:ascii="Arial"/>
          <w:i/>
          <w:w w:val="130"/>
          <w:sz w:val="18"/>
        </w:rPr>
        <w:t>fj </w:t>
      </w:r>
      <w:r>
        <w:rPr>
          <w:sz w:val="26"/>
        </w:rPr>
        <w:t>= </w:t>
      </w:r>
      <w:r>
        <w:rPr>
          <w:rFonts w:ascii="Arial"/>
          <w:i/>
          <w:sz w:val="21"/>
          <w:u w:val="thick"/>
        </w:rPr>
        <w:t>Pds:i]  </w:t>
      </w:r>
      <w:r>
        <w:rPr>
          <w:rFonts w:ascii="Arial"/>
          <w:w w:val="220"/>
          <w:sz w:val="21"/>
          <w:u w:val="thick"/>
        </w:rPr>
        <w:t>- </w:t>
      </w:r>
      <w:r>
        <w:rPr>
          <w:i/>
          <w:w w:val="130"/>
          <w:sz w:val="20"/>
          <w:u w:val="thick"/>
        </w:rPr>
        <w:t>a </w:t>
      </w:r>
      <w:r>
        <w:rPr>
          <w:w w:val="145"/>
          <w:sz w:val="20"/>
        </w:rPr>
        <w:t>.</w:t>
      </w:r>
    </w:p>
    <w:p>
      <w:pPr>
        <w:spacing w:before="33"/>
        <w:ind w:left="0" w:right="331" w:firstLine="0"/>
        <w:jc w:val="right"/>
        <w:rPr>
          <w:sz w:val="17"/>
        </w:rPr>
      </w:pPr>
      <w:r>
        <w:rPr>
          <w:w w:val="115"/>
          <w:sz w:val="17"/>
        </w:rPr>
        <w:t>:í=i}</w:t>
      </w:r>
    </w:p>
    <w:p>
      <w:pPr>
        <w:pStyle w:val="BodyText"/>
        <w:spacing w:before="8"/>
      </w:pPr>
      <w:r>
        <w:rPr/>
        <w:br w:type="column"/>
      </w:r>
      <w:r>
        <w:rPr/>
      </w:r>
    </w:p>
    <w:p>
      <w:pPr>
        <w:pStyle w:val="BodyText"/>
        <w:ind w:right="98"/>
        <w:jc w:val="right"/>
      </w:pPr>
      <w:r>
        <w:rPr>
          <w:w w:val="110"/>
        </w:rPr>
        <w:t>(6.1)</w:t>
      </w:r>
    </w:p>
    <w:p>
      <w:pPr>
        <w:spacing w:after="0"/>
        <w:jc w:val="right"/>
        <w:sectPr>
          <w:type w:val="continuous"/>
          <w:pgSz w:w="7200" w:h="11340"/>
          <w:pgMar w:top="1100" w:bottom="0" w:left="660" w:right="560"/>
          <w:cols w:num="2" w:equalWidth="0">
            <w:col w:w="3747" w:space="40"/>
            <w:col w:w="2193"/>
          </w:cols>
        </w:sectPr>
      </w:pPr>
    </w:p>
    <w:p>
      <w:pPr>
        <w:spacing w:line="220" w:lineRule="auto" w:before="68"/>
        <w:ind w:left="110" w:right="133" w:firstLine="3"/>
        <w:jc w:val="left"/>
        <w:rPr>
          <w:sz w:val="22"/>
        </w:rPr>
      </w:pPr>
      <w:r>
        <w:rPr>
          <w:w w:val="115"/>
          <w:sz w:val="20"/>
        </w:rPr>
        <w:t>If we substitute as:Rl </w:t>
      </w:r>
      <w:r>
        <w:rPr>
          <w:w w:val="105"/>
          <w:sz w:val="28"/>
        </w:rPr>
        <w:t>= </w:t>
      </w:r>
      <w:r>
        <w:rPr>
          <w:w w:val="105"/>
          <w:sz w:val="18"/>
        </w:rPr>
        <w:t>dis:i] </w:t>
      </w:r>
      <w:r>
        <w:rPr>
          <w:w w:val="270"/>
          <w:sz w:val="18"/>
        </w:rPr>
        <w:t>- </w:t>
      </w:r>
      <w:r>
        <w:rPr>
          <w:w w:val="115"/>
          <w:sz w:val="20"/>
        </w:rPr>
        <w:t>1, the formula </w:t>
      </w:r>
      <w:r>
        <w:rPr>
          <w:w w:val="105"/>
          <w:sz w:val="20"/>
        </w:rPr>
        <w:t>ma.y </w:t>
      </w:r>
      <w:r>
        <w:rPr>
          <w:w w:val="115"/>
          <w:sz w:val="19"/>
        </w:rPr>
        <w:t>be </w:t>
      </w:r>
      <w:r>
        <w:rPr>
          <w:w w:val="115"/>
          <w:sz w:val="20"/>
        </w:rPr>
        <w:t>trans­ </w:t>
      </w:r>
      <w:r>
        <w:rPr>
          <w:w w:val="110"/>
          <w:sz w:val="20"/>
        </w:rPr>
        <w:t>formed </w:t>
      </w:r>
      <w:r>
        <w:rPr>
          <w:w w:val="110"/>
          <w:sz w:val="22"/>
        </w:rPr>
        <w:t>to</w:t>
      </w:r>
    </w:p>
    <w:p>
      <w:pPr>
        <w:pStyle w:val="BodyText"/>
        <w:spacing w:before="5"/>
        <w:rPr>
          <w:sz w:val="10"/>
        </w:rPr>
      </w:pPr>
    </w:p>
    <w:p>
      <w:pPr>
        <w:spacing w:after="0"/>
        <w:rPr>
          <w:sz w:val="10"/>
        </w:rPr>
        <w:sectPr>
          <w:type w:val="continuous"/>
          <w:pgSz w:w="7200" w:h="11340"/>
          <w:pgMar w:top="1100" w:bottom="0" w:left="660" w:right="560"/>
        </w:sectPr>
      </w:pPr>
    </w:p>
    <w:p>
      <w:pPr>
        <w:spacing w:line="234" w:lineRule="exact" w:before="72"/>
        <w:ind w:left="2252" w:right="0" w:firstLine="0"/>
        <w:jc w:val="left"/>
        <w:rPr>
          <w:rFonts w:ascii="Arial"/>
          <w:i/>
          <w:sz w:val="22"/>
        </w:rPr>
      </w:pPr>
      <w:r>
        <w:rPr>
          <w:rFonts w:ascii="Arial"/>
          <w:i/>
          <w:w w:val="85"/>
          <w:sz w:val="22"/>
          <w:u w:val="thick"/>
        </w:rPr>
        <w:t>fJ </w:t>
      </w:r>
      <w:r>
        <w:rPr>
          <w:rFonts w:ascii="Arial"/>
          <w:i/>
          <w:w w:val="110"/>
          <w:sz w:val="22"/>
        </w:rPr>
        <w:t>= P </w:t>
      </w:r>
      <w:r>
        <w:rPr>
          <w:rFonts w:ascii="Arial"/>
          <w:i/>
          <w:w w:val="135"/>
          <w:sz w:val="22"/>
        </w:rPr>
        <w:t>+</w:t>
      </w:r>
      <w:r>
        <w:rPr>
          <w:rFonts w:ascii="Arial"/>
          <w:i/>
          <w:spacing w:val="-63"/>
          <w:w w:val="135"/>
          <w:sz w:val="22"/>
        </w:rPr>
        <w:t> </w:t>
      </w:r>
      <w:r>
        <w:rPr>
          <w:rFonts w:ascii="Arial"/>
          <w:i/>
          <w:w w:val="85"/>
          <w:sz w:val="22"/>
        </w:rPr>
        <w:t>fJ </w:t>
      </w:r>
      <w:r>
        <w:rPr>
          <w:rFonts w:ascii="Arial"/>
          <w:i/>
          <w:w w:val="215"/>
          <w:sz w:val="22"/>
        </w:rPr>
        <w:t>-</w:t>
      </w:r>
      <w:r>
        <w:rPr>
          <w:rFonts w:ascii="Arial"/>
          <w:i/>
          <w:spacing w:val="-78"/>
          <w:w w:val="215"/>
          <w:sz w:val="22"/>
        </w:rPr>
        <w:t> </w:t>
      </w:r>
      <w:r>
        <w:rPr>
          <w:rFonts w:ascii="Arial"/>
          <w:i/>
          <w:w w:val="110"/>
          <w:sz w:val="22"/>
        </w:rPr>
        <w:t>a</w:t>
      </w:r>
    </w:p>
    <w:p>
      <w:pPr>
        <w:spacing w:line="188" w:lineRule="exact" w:before="0"/>
        <w:ind w:left="0" w:right="0" w:firstLine="0"/>
        <w:jc w:val="right"/>
        <w:rPr>
          <w:sz w:val="18"/>
        </w:rPr>
      </w:pPr>
      <w:r>
        <w:rPr>
          <w:w w:val="110"/>
          <w:sz w:val="18"/>
        </w:rPr>
        <w:t>Os:i]  </w:t>
      </w:r>
      <w:r>
        <w:rPr>
          <w:w w:val="120"/>
          <w:sz w:val="18"/>
        </w:rPr>
        <w:t>,</w:t>
      </w:r>
    </w:p>
    <w:p>
      <w:pPr>
        <w:pStyle w:val="BodyText"/>
        <w:spacing w:before="110"/>
        <w:ind w:right="121"/>
        <w:jc w:val="right"/>
      </w:pPr>
      <w:r>
        <w:rPr/>
        <w:br w:type="column"/>
      </w:r>
      <w:r>
        <w:rPr>
          <w:w w:val="110"/>
        </w:rPr>
        <w:t>(6.2)</w:t>
      </w:r>
    </w:p>
    <w:p>
      <w:pPr>
        <w:spacing w:after="0"/>
        <w:jc w:val="right"/>
        <w:sectPr>
          <w:type w:val="continuous"/>
          <w:pgSz w:w="7200" w:h="11340"/>
          <w:pgMar w:top="1100" w:bottom="0" w:left="660" w:right="560"/>
          <w:cols w:num="2" w:equalWidth="0">
            <w:col w:w="3753" w:space="40"/>
            <w:col w:w="2187"/>
          </w:cols>
        </w:sectPr>
      </w:pPr>
    </w:p>
    <w:p>
      <w:pPr>
        <w:pStyle w:val="BodyText"/>
        <w:spacing w:before="143"/>
        <w:ind w:left="114"/>
      </w:pPr>
      <w:r>
        <w:rPr>
          <w:w w:val="105"/>
        </w:rPr>
        <w:t>which  </w:t>
      </w:r>
      <w:r>
        <w:rPr>
          <w:w w:val="105"/>
          <w:sz w:val="21"/>
        </w:rPr>
        <w:t>is </w:t>
      </w:r>
      <w:r>
        <w:rPr>
          <w:w w:val="105"/>
        </w:rPr>
        <w:t>useful  since </w:t>
      </w:r>
      <w:r>
        <w:rPr>
          <w:w w:val="105"/>
          <w:sz w:val="19"/>
        </w:rPr>
        <w:t>sorne </w:t>
      </w:r>
      <w:r>
        <w:rPr>
          <w:w w:val="105"/>
        </w:rPr>
        <w:t>modifications  are defined  in terms   of</w:t>
      </w:r>
    </w:p>
    <w:p>
      <w:pPr>
        <w:spacing w:after="0"/>
        <w:sectPr>
          <w:type w:val="continuous"/>
          <w:pgSz w:w="7200" w:h="11340"/>
          <w:pgMar w:top="1100" w:bottom="0" w:left="660" w:right="560"/>
        </w:sectPr>
      </w:pPr>
    </w:p>
    <w:p>
      <w:pPr>
        <w:tabs>
          <w:tab w:pos="1420" w:val="left" w:leader="none"/>
          <w:tab w:pos="5877" w:val="right" w:leader="none"/>
        </w:tabs>
        <w:spacing w:before="46"/>
        <w:ind w:left="140" w:right="0" w:firstLine="0"/>
        <w:jc w:val="left"/>
        <w:rPr>
          <w:sz w:val="20"/>
        </w:rPr>
      </w:pPr>
      <w:r>
        <w:rPr>
          <w:b/>
          <w:color w:val="010101"/>
          <w:sz w:val="15"/>
        </w:rPr>
        <w:t>SEC.</w:t>
      </w:r>
      <w:r>
        <w:rPr>
          <w:b/>
          <w:color w:val="010101"/>
          <w:spacing w:val="31"/>
          <w:sz w:val="15"/>
        </w:rPr>
        <w:t> </w:t>
      </w:r>
      <w:r>
        <w:rPr>
          <w:rFonts w:ascii="Arial"/>
          <w:b/>
          <w:color w:val="010101"/>
          <w:sz w:val="20"/>
        </w:rPr>
        <w:t>3]</w:t>
        <w:tab/>
      </w:r>
      <w:r>
        <w:rPr>
          <w:b/>
          <w:color w:val="010101"/>
          <w:sz w:val="15"/>
        </w:rPr>
        <w:t>THE   FULL   PRELIMINARY </w:t>
      </w:r>
      <w:r>
        <w:rPr>
          <w:b/>
          <w:color w:val="010101"/>
          <w:spacing w:val="35"/>
          <w:sz w:val="15"/>
        </w:rPr>
        <w:t> </w:t>
      </w:r>
      <w:r>
        <w:rPr>
          <w:b/>
          <w:color w:val="010101"/>
          <w:sz w:val="15"/>
        </w:rPr>
        <w:t>TERM </w:t>
      </w:r>
      <w:r>
        <w:rPr>
          <w:b/>
          <w:color w:val="010101"/>
          <w:spacing w:val="37"/>
          <w:sz w:val="15"/>
        </w:rPr>
        <w:t> </w:t>
      </w:r>
      <w:r>
        <w:rPr>
          <w:b/>
          <w:color w:val="010101"/>
          <w:sz w:val="15"/>
        </w:rPr>
        <w:t>PLAN</w:t>
      </w:r>
      <w:r>
        <w:rPr>
          <w:color w:val="010101"/>
          <w:sz w:val="20"/>
        </w:rPr>
        <w:tab/>
        <w:t>135</w:t>
      </w:r>
    </w:p>
    <w:p>
      <w:pPr>
        <w:pStyle w:val="BodyText"/>
        <w:spacing w:before="3"/>
      </w:pPr>
    </w:p>
    <w:p>
      <w:pPr>
        <w:pStyle w:val="BodyText"/>
        <w:spacing w:line="247" w:lineRule="auto"/>
        <w:ind w:left="129" w:right="133"/>
        <w:rPr>
          <w:i/>
          <w:sz w:val="18"/>
        </w:rPr>
      </w:pPr>
      <w:r>
        <w:rPr>
          <w:color w:val="010101"/>
          <w:w w:val="110"/>
        </w:rPr>
        <w:t>the excess of the rcnwal nct premium </w:t>
      </w:r>
      <w:r>
        <w:rPr>
          <w:i/>
          <w:color w:val="010101"/>
          <w:w w:val="95"/>
          <w:sz w:val="22"/>
        </w:rPr>
        <w:t>/3 </w:t>
      </w:r>
      <w:r>
        <w:rPr>
          <w:color w:val="010101"/>
          <w:w w:val="110"/>
        </w:rPr>
        <w:t>ovcr thc first year net premium </w:t>
      </w:r>
      <w:r>
        <w:rPr>
          <w:i/>
          <w:color w:val="010101"/>
          <w:w w:val="115"/>
          <w:sz w:val="18"/>
        </w:rPr>
        <w:t>a.</w:t>
      </w:r>
    </w:p>
    <w:p>
      <w:pPr>
        <w:pStyle w:val="BodyText"/>
        <w:spacing w:line="249" w:lineRule="auto"/>
        <w:ind w:left="129" w:right="113" w:firstLine="200"/>
        <w:jc w:val="both"/>
      </w:pPr>
      <w:r>
        <w:rPr>
          <w:color w:val="010101"/>
        </w:rPr>
        <w:t>The  following  formulas  give  the  reserves  for  the  general  case  of an n-payment m-year endowment insurance under a modified valuation   method   with   a   modification   period   of   </w:t>
      </w:r>
      <w:r>
        <w:rPr>
          <w:i/>
          <w:color w:val="010101"/>
        </w:rPr>
        <w:t>k   </w:t>
      </w:r>
      <w:r>
        <w:rPr>
          <w:color w:val="010101"/>
        </w:rPr>
        <w:t>years.   For </w:t>
      </w:r>
      <w:r>
        <w:rPr>
          <w:rFonts w:ascii="Arial"/>
          <w:i/>
          <w:color w:val="010101"/>
          <w:sz w:val="17"/>
        </w:rPr>
        <w:t>t        </w:t>
      </w:r>
      <w:r>
        <w:rPr>
          <w:i/>
          <w:color w:val="010101"/>
        </w:rPr>
        <w:t>k        </w:t>
      </w:r>
      <w:r>
        <w:rPr>
          <w:i/>
          <w:color w:val="010101"/>
          <w:sz w:val="21"/>
        </w:rPr>
        <w:t>n, </w:t>
      </w:r>
      <w:r>
        <w:rPr>
          <w:color w:val="010101"/>
        </w:rPr>
        <w:t>the  prospective  formula</w:t>
      </w:r>
      <w:r>
        <w:rPr>
          <w:color w:val="010101"/>
          <w:spacing w:val="-14"/>
        </w:rPr>
        <w:t> </w:t>
      </w:r>
      <w:r>
        <w:rPr>
          <w:color w:val="010101"/>
        </w:rPr>
        <w:t>is</w:t>
      </w:r>
    </w:p>
    <w:p>
      <w:pPr>
        <w:spacing w:line="132" w:lineRule="exact" w:before="86"/>
        <w:ind w:left="140" w:right="739" w:firstLine="0"/>
        <w:jc w:val="left"/>
        <w:rPr>
          <w:b/>
          <w:sz w:val="13"/>
        </w:rPr>
      </w:pPr>
      <w:r>
        <w:rPr>
          <w:b/>
          <w:color w:val="010101"/>
          <w:w w:val="105"/>
          <w:sz w:val="9"/>
        </w:rPr>
        <w:t>,a       </w:t>
      </w:r>
      <w:r>
        <w:rPr>
          <w:b/>
          <w:color w:val="010101"/>
          <w:w w:val="105"/>
          <w:sz w:val="13"/>
        </w:rPr>
        <w:t>Mod</w:t>
      </w:r>
    </w:p>
    <w:p>
      <w:pPr>
        <w:spacing w:line="135" w:lineRule="exact" w:before="0"/>
        <w:ind w:left="175" w:right="739" w:firstLine="0"/>
        <w:jc w:val="left"/>
        <w:rPr>
          <w:b/>
          <w:sz w:val="17"/>
        </w:rPr>
      </w:pPr>
      <w:r>
        <w:rPr>
          <w:color w:val="010101"/>
          <w:w w:val="105"/>
          <w:sz w:val="17"/>
        </w:rPr>
        <w:t>,</w:t>
      </w:r>
      <w:r>
        <w:rPr>
          <w:b/>
          <w:color w:val="010101"/>
          <w:w w:val="105"/>
          <w:sz w:val="17"/>
        </w:rPr>
        <w:t>Vz:.i]</w:t>
      </w:r>
    </w:p>
    <w:p>
      <w:pPr>
        <w:spacing w:after="0" w:line="135" w:lineRule="exact"/>
        <w:jc w:val="left"/>
        <w:rPr>
          <w:sz w:val="17"/>
        </w:rPr>
        <w:sectPr>
          <w:pgSz w:w="7200" w:h="11340"/>
          <w:pgMar w:top="500" w:bottom="280" w:left="660" w:right="560"/>
        </w:sectPr>
      </w:pPr>
    </w:p>
    <w:p>
      <w:pPr>
        <w:spacing w:before="161"/>
        <w:ind w:left="473" w:right="-6" w:firstLine="0"/>
        <w:jc w:val="left"/>
        <w:rPr>
          <w:sz w:val="17"/>
        </w:rPr>
      </w:pPr>
      <w:r>
        <w:rPr/>
        <w:pict>
          <v:line style="position:absolute;mso-position-horizontal-relative:page;mso-position-vertical-relative:paragraph;z-index:-724624" from="261.345306pt,18.966141pt" to="263.856506pt,18.966141pt" stroked="true" strokeweight=".358744pt" strokecolor="#000000">
            <w10:wrap type="none"/>
          </v:line>
        </w:pict>
      </w:r>
      <w:r>
        <w:rPr>
          <w:color w:val="010101"/>
          <w:sz w:val="23"/>
        </w:rPr>
        <w:t>=</w:t>
      </w:r>
      <w:r>
        <w:rPr>
          <w:color w:val="010101"/>
          <w:spacing w:val="-17"/>
          <w:sz w:val="23"/>
        </w:rPr>
        <w:t> </w:t>
      </w:r>
      <w:r>
        <w:rPr>
          <w:b/>
          <w:i/>
          <w:color w:val="010101"/>
          <w:w w:val="80"/>
          <w:sz w:val="22"/>
        </w:rPr>
        <w:t>Az+e:..=-;¡</w:t>
      </w:r>
      <w:r>
        <w:rPr>
          <w:b/>
          <w:i/>
          <w:color w:val="010101"/>
          <w:spacing w:val="5"/>
          <w:w w:val="80"/>
          <w:sz w:val="22"/>
        </w:rPr>
        <w:t> </w:t>
      </w:r>
      <w:r>
        <w:rPr>
          <w:color w:val="010101"/>
          <w:w w:val="245"/>
          <w:sz w:val="22"/>
        </w:rPr>
        <w:t>-</w:t>
      </w:r>
      <w:r>
        <w:rPr>
          <w:color w:val="010101"/>
          <w:spacing w:val="-115"/>
          <w:w w:val="245"/>
          <w:sz w:val="22"/>
        </w:rPr>
        <w:t> </w:t>
      </w:r>
      <w:r>
        <w:rPr>
          <w:b/>
          <w:color w:val="010101"/>
          <w:w w:val="80"/>
          <w:sz w:val="22"/>
        </w:rPr>
        <w:t>11P:i::-J</w:t>
      </w:r>
      <w:r>
        <w:rPr>
          <w:b/>
          <w:color w:val="010101"/>
          <w:spacing w:val="-25"/>
          <w:w w:val="80"/>
          <w:sz w:val="22"/>
        </w:rPr>
        <w:t> </w:t>
      </w:r>
      <w:r>
        <w:rPr>
          <w:color w:val="010101"/>
          <w:sz w:val="17"/>
        </w:rPr>
        <w:t>·iiz+e:-;;-=;i </w:t>
      </w:r>
      <w:r>
        <w:rPr>
          <w:color w:val="010101"/>
          <w:w w:val="295"/>
          <w:sz w:val="17"/>
        </w:rPr>
        <w:t>-</w:t>
      </w:r>
      <w:r>
        <w:rPr>
          <w:color w:val="010101"/>
          <w:spacing w:val="-97"/>
          <w:w w:val="295"/>
          <w:sz w:val="17"/>
        </w:rPr>
        <w:t> </w:t>
      </w:r>
      <w:r>
        <w:rPr>
          <w:color w:val="010101"/>
          <w:sz w:val="20"/>
        </w:rPr>
        <w:t>(/3</w:t>
      </w:r>
      <w:r>
        <w:rPr>
          <w:color w:val="010101"/>
          <w:spacing w:val="-16"/>
          <w:sz w:val="20"/>
        </w:rPr>
        <w:t> </w:t>
      </w:r>
      <w:r>
        <w:rPr>
          <w:color w:val="010101"/>
          <w:w w:val="245"/>
          <w:sz w:val="20"/>
        </w:rPr>
        <w:t>-</w:t>
      </w:r>
      <w:r>
        <w:rPr>
          <w:color w:val="010101"/>
          <w:spacing w:val="-101"/>
          <w:w w:val="245"/>
          <w:sz w:val="20"/>
        </w:rPr>
        <w:t> </w:t>
      </w:r>
      <w:r>
        <w:rPr>
          <w:color w:val="010101"/>
          <w:w w:val="80"/>
          <w:sz w:val="17"/>
        </w:rPr>
        <w:t>n</w:t>
      </w:r>
      <w:r>
        <w:rPr>
          <w:color w:val="010101"/>
          <w:spacing w:val="-22"/>
          <w:w w:val="80"/>
          <w:sz w:val="17"/>
        </w:rPr>
        <w:t> </w:t>
      </w:r>
      <w:r>
        <w:rPr>
          <w:color w:val="010101"/>
          <w:sz w:val="17"/>
        </w:rPr>
        <w:t>Pz</w:t>
      </w:r>
      <w:r>
        <w:rPr>
          <w:color w:val="2B2B2B"/>
          <w:sz w:val="17"/>
        </w:rPr>
        <w:t>:</w:t>
      </w:r>
      <w:r>
        <w:rPr>
          <w:color w:val="010101"/>
          <w:sz w:val="17"/>
        </w:rPr>
        <w:t>iñ]</w:t>
      </w:r>
      <w:r>
        <w:rPr>
          <w:color w:val="010101"/>
          <w:spacing w:val="-33"/>
          <w:sz w:val="17"/>
        </w:rPr>
        <w:t> </w:t>
      </w:r>
      <w:r>
        <w:rPr>
          <w:color w:val="010101"/>
          <w:sz w:val="17"/>
        </w:rPr>
        <w:t>)l1.xH:k-t</w:t>
      </w:r>
      <w:r>
        <w:rPr>
          <w:color w:val="010101"/>
          <w:spacing w:val="-31"/>
          <w:sz w:val="17"/>
        </w:rPr>
        <w:t> </w:t>
      </w:r>
      <w:r>
        <w:rPr>
          <w:color w:val="010101"/>
          <w:w w:val="80"/>
          <w:sz w:val="17"/>
        </w:rPr>
        <w:t>l</w:t>
      </w:r>
    </w:p>
    <w:p>
      <w:pPr>
        <w:pStyle w:val="BodyText"/>
        <w:spacing w:before="109"/>
        <w:ind w:left="122" w:right="-6"/>
      </w:pPr>
      <w:r>
        <w:rPr/>
        <w:pict>
          <v:shape style="position:absolute;margin-left:104.573997pt;margin-top:22.681005pt;width:147.6pt;height:16pt;mso-position-horizontal-relative:page;mso-position-vertical-relative:paragraph;z-index:-724600" type="#_x0000_t202" filled="false" stroked="false">
            <v:textbox inset="0,0,0,0">
              <w:txbxContent>
                <w:p>
                  <w:pPr>
                    <w:tabs>
                      <w:tab w:pos="1155" w:val="left" w:leader="none"/>
                      <w:tab w:pos="2866" w:val="left" w:leader="none"/>
                    </w:tabs>
                    <w:spacing w:line="320" w:lineRule="exact" w:before="0"/>
                    <w:ind w:left="0" w:right="0" w:firstLine="0"/>
                    <w:jc w:val="left"/>
                    <w:rPr>
                      <w:i/>
                      <w:sz w:val="20"/>
                    </w:rPr>
                  </w:pPr>
                  <w:r>
                    <w:rPr>
                      <w:color w:val="010101"/>
                      <w:w w:val="115"/>
                      <w:sz w:val="13"/>
                    </w:rPr>
                    <w:t>,.</w:t>
                  </w:r>
                  <w:r>
                    <w:rPr>
                      <w:color w:val="010101"/>
                      <w:spacing w:val="-23"/>
                      <w:w w:val="115"/>
                      <w:sz w:val="13"/>
                    </w:rPr>
                    <w:t> </w:t>
                  </w:r>
                  <w:r>
                    <w:rPr>
                      <w:color w:val="010101"/>
                      <w:w w:val="115"/>
                      <w:sz w:val="13"/>
                    </w:rPr>
                    <w:t>VMod</w:t>
                    <w:tab/>
                  </w:r>
                  <w:r>
                    <w:rPr>
                      <w:color w:val="010101"/>
                      <w:w w:val="115"/>
                      <w:sz w:val="20"/>
                    </w:rPr>
                    <w:t>1  </w:t>
                  </w:r>
                  <w:r>
                    <w:rPr>
                      <w:rFonts w:ascii="Arial"/>
                      <w:color w:val="010101"/>
                      <w:w w:val="115"/>
                      <w:sz w:val="32"/>
                    </w:rPr>
                    <w:t>+</w:t>
                  </w:r>
                  <w:r>
                    <w:rPr>
                      <w:rFonts w:ascii="Arial"/>
                      <w:color w:val="010101"/>
                      <w:spacing w:val="-41"/>
                      <w:w w:val="115"/>
                      <w:sz w:val="32"/>
                    </w:rPr>
                    <w:t> </w:t>
                  </w:r>
                  <w:r>
                    <w:rPr>
                      <w:rFonts w:ascii="Arial"/>
                      <w:i/>
                      <w:color w:val="010101"/>
                      <w:w w:val="115"/>
                      <w:sz w:val="11"/>
                    </w:rPr>
                    <w:t>IJ  </w:t>
                  </w:r>
                  <w:r>
                    <w:rPr>
                      <w:rFonts w:ascii="Arial"/>
                      <w:i/>
                      <w:color w:val="010101"/>
                      <w:spacing w:val="11"/>
                      <w:w w:val="115"/>
                      <w:sz w:val="11"/>
                    </w:rPr>
                    <w:t> </w:t>
                  </w:r>
                  <w:r>
                    <w:rPr>
                      <w:rFonts w:ascii="Arial"/>
                      <w:color w:val="010101"/>
                      <w:w w:val="115"/>
                      <w:sz w:val="11"/>
                    </w:rPr>
                    <w:t>..</w:t>
                    <w:tab/>
                  </w:r>
                  <w:r>
                    <w:rPr>
                      <w:i/>
                      <w:color w:val="010101"/>
                      <w:w w:val="95"/>
                      <w:sz w:val="20"/>
                    </w:rPr>
                    <w:t>k</w:t>
                  </w:r>
                </w:p>
              </w:txbxContent>
            </v:textbox>
            <w10:wrap type="none"/>
          </v:shape>
        </w:pict>
      </w:r>
      <w:r>
        <w:rPr>
          <w:color w:val="010101"/>
          <w:w w:val="105"/>
        </w:rPr>
        <w:t>and the retrospective  formula  is</w:t>
      </w:r>
    </w:p>
    <w:p>
      <w:pPr>
        <w:pStyle w:val="BodyText"/>
        <w:spacing w:before="9"/>
      </w:pPr>
    </w:p>
    <w:p>
      <w:pPr>
        <w:tabs>
          <w:tab w:pos="3078" w:val="left" w:leader="none"/>
        </w:tabs>
        <w:spacing w:before="1"/>
        <w:ind w:left="1470" w:right="0" w:firstLine="0"/>
        <w:jc w:val="left"/>
        <w:rPr>
          <w:i/>
          <w:sz w:val="12"/>
        </w:rPr>
      </w:pPr>
      <w:r>
        <w:rPr>
          <w:i/>
          <w:color w:val="010101"/>
          <w:w w:val="110"/>
          <w:sz w:val="13"/>
        </w:rPr>
        <w:t>t   </w:t>
      </w:r>
      <w:r>
        <w:rPr>
          <w:color w:val="010101"/>
          <w:spacing w:val="-4"/>
          <w:w w:val="110"/>
          <w:sz w:val="17"/>
        </w:rPr>
        <w:t>z:,ii]  </w:t>
      </w:r>
      <w:r>
        <w:rPr>
          <w:color w:val="010101"/>
          <w:w w:val="110"/>
          <w:sz w:val="24"/>
        </w:rPr>
        <w:t>=</w:t>
      </w:r>
      <w:r>
        <w:rPr>
          <w:color w:val="010101"/>
          <w:spacing w:val="44"/>
          <w:w w:val="110"/>
          <w:sz w:val="24"/>
        </w:rPr>
        <w:t> </w:t>
      </w:r>
      <w:r>
        <w:rPr>
          <w:b/>
          <w:i/>
          <w:color w:val="010101"/>
          <w:w w:val="110"/>
          <w:sz w:val="22"/>
        </w:rPr>
        <w:t>a·</w:t>
      </w:r>
      <w:r>
        <w:rPr>
          <w:b/>
          <w:i/>
          <w:color w:val="010101"/>
          <w:spacing w:val="9"/>
          <w:w w:val="110"/>
          <w:sz w:val="22"/>
        </w:rPr>
        <w:t> </w:t>
      </w:r>
      <w:r>
        <w:rPr>
          <w:b/>
          <w:i/>
          <w:color w:val="010101"/>
          <w:w w:val="110"/>
          <w:sz w:val="22"/>
        </w:rPr>
        <w:t>E</w:t>
        <w:tab/>
      </w:r>
      <w:r>
        <w:rPr>
          <w:rFonts w:ascii="Arial" w:hAnsi="Arial"/>
          <w:i/>
          <w:color w:val="010101"/>
          <w:w w:val="110"/>
          <w:sz w:val="11"/>
        </w:rPr>
        <w:t>IJ </w:t>
      </w:r>
      <w:r>
        <w:rPr>
          <w:color w:val="010101"/>
          <w:w w:val="110"/>
          <w:sz w:val="14"/>
        </w:rPr>
        <w:t>·Sz-tt:7=il </w:t>
      </w:r>
      <w:r>
        <w:rPr>
          <w:color w:val="010101"/>
          <w:spacing w:val="38"/>
          <w:w w:val="110"/>
          <w:sz w:val="14"/>
        </w:rPr>
        <w:t> </w:t>
      </w:r>
      <w:r>
        <w:rPr>
          <w:color w:val="010101"/>
          <w:w w:val="375"/>
          <w:sz w:val="14"/>
        </w:rPr>
        <w:t>- </w:t>
      </w:r>
      <w:r>
        <w:rPr>
          <w:color w:val="010101"/>
          <w:w w:val="155"/>
          <w:sz w:val="14"/>
        </w:rPr>
        <w:t>,  </w:t>
      </w:r>
      <w:r>
        <w:rPr>
          <w:i/>
          <w:color w:val="010101"/>
          <w:w w:val="110"/>
          <w:sz w:val="12"/>
        </w:rPr>
        <w:t>x</w:t>
      </w:r>
      <w:r>
        <w:rPr>
          <w:i/>
          <w:color w:val="010101"/>
          <w:spacing w:val="5"/>
          <w:w w:val="110"/>
          <w:sz w:val="12"/>
        </w:rPr>
        <w:t> </w:t>
      </w:r>
      <w:r>
        <w:rPr>
          <w:i/>
          <w:color w:val="010101"/>
          <w:w w:val="220"/>
          <w:sz w:val="12"/>
        </w:rPr>
        <w:t>.</w:t>
      </w:r>
    </w:p>
    <w:p>
      <w:pPr>
        <w:spacing w:line="184" w:lineRule="exact" w:before="0"/>
        <w:ind w:left="122" w:right="0" w:firstLine="14"/>
        <w:jc w:val="left"/>
        <w:rPr>
          <w:rFonts w:ascii="Arial"/>
          <w:i/>
          <w:sz w:val="18"/>
        </w:rPr>
      </w:pPr>
      <w:r>
        <w:rPr/>
        <w:br w:type="column"/>
      </w:r>
      <w:r>
        <w:rPr>
          <w:rFonts w:ascii="Arial"/>
          <w:color w:val="010101"/>
          <w:sz w:val="18"/>
        </w:rPr>
        <w:t>(</w:t>
      </w:r>
      <w:r>
        <w:rPr>
          <w:rFonts w:ascii="Arial"/>
          <w:i/>
          <w:color w:val="010101"/>
          <w:sz w:val="18"/>
        </w:rPr>
        <w:t>6.:-b)</w:t>
      </w:r>
    </w:p>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8"/>
        <w:rPr>
          <w:rFonts w:ascii="Arial"/>
          <w:i/>
          <w:sz w:val="17"/>
        </w:rPr>
      </w:pPr>
    </w:p>
    <w:p>
      <w:pPr>
        <w:pStyle w:val="BodyText"/>
        <w:spacing w:before="1"/>
        <w:ind w:left="122"/>
      </w:pPr>
      <w:r>
        <w:rPr>
          <w:color w:val="010101"/>
        </w:rPr>
        <w:t>(6.3b )</w:t>
      </w:r>
    </w:p>
    <w:p>
      <w:pPr>
        <w:spacing w:after="0"/>
        <w:sectPr>
          <w:type w:val="continuous"/>
          <w:pgSz w:w="7200" w:h="11340"/>
          <w:pgMar w:top="1100" w:bottom="0" w:left="660" w:right="560"/>
          <w:cols w:num="2" w:equalWidth="0">
            <w:col w:w="5119" w:space="86"/>
            <w:col w:w="775"/>
          </w:cols>
        </w:sectPr>
      </w:pPr>
    </w:p>
    <w:p>
      <w:pPr>
        <w:pStyle w:val="BodyText"/>
        <w:spacing w:before="9"/>
        <w:rPr>
          <w:sz w:val="6"/>
        </w:rPr>
      </w:pPr>
    </w:p>
    <w:p>
      <w:pPr>
        <w:spacing w:before="0"/>
        <w:ind w:left="74" w:right="791" w:firstLine="0"/>
        <w:jc w:val="center"/>
        <w:rPr>
          <w:sz w:val="8"/>
        </w:rPr>
      </w:pPr>
      <w:r>
        <w:rPr>
          <w:color w:val="010101"/>
          <w:w w:val="385"/>
          <w:sz w:val="8"/>
        </w:rPr>
        <w:t>' </w:t>
      </w:r>
      <w:r>
        <w:rPr>
          <w:color w:val="010101"/>
          <w:w w:val="120"/>
          <w:sz w:val="8"/>
        </w:rPr>
        <w:t>%</w:t>
      </w:r>
    </w:p>
    <w:p>
      <w:pPr>
        <w:pStyle w:val="BodyText"/>
        <w:tabs>
          <w:tab w:pos="889" w:val="left" w:leader="none"/>
        </w:tabs>
        <w:spacing w:before="36"/>
        <w:ind w:left="125" w:right="739"/>
      </w:pPr>
      <w:r>
        <w:rPr>
          <w:color w:val="010101"/>
        </w:rPr>
        <w:t>For</w:t>
      </w:r>
      <w:r>
        <w:rPr>
          <w:color w:val="010101"/>
          <w:spacing w:val="23"/>
        </w:rPr>
        <w:t> </w:t>
      </w:r>
      <w:r>
        <w:rPr>
          <w:i/>
          <w:color w:val="010101"/>
          <w:sz w:val="22"/>
        </w:rPr>
        <w:t>t</w:t>
        <w:tab/>
      </w:r>
      <w:r>
        <w:rPr>
          <w:rFonts w:ascii="Arial"/>
          <w:i/>
          <w:color w:val="010101"/>
        </w:rPr>
        <w:t>k, </w:t>
      </w:r>
      <w:r>
        <w:rPr>
          <w:color w:val="010101"/>
        </w:rPr>
        <w:t>the  reserves  are  net  level  premium</w:t>
      </w:r>
      <w:r>
        <w:rPr>
          <w:color w:val="010101"/>
          <w:spacing w:val="25"/>
        </w:rPr>
        <w:t> </w:t>
      </w:r>
      <w:r>
        <w:rPr>
          <w:color w:val="010101"/>
        </w:rPr>
        <w:t>reserves.</w:t>
      </w:r>
    </w:p>
    <w:p>
      <w:pPr>
        <w:pStyle w:val="BodyText"/>
        <w:spacing w:line="252" w:lineRule="auto" w:before="6"/>
        <w:ind w:left="122" w:right="135" w:firstLine="197"/>
        <w:jc w:val="both"/>
      </w:pPr>
      <w:r>
        <w:rPr>
          <w:color w:val="010101"/>
          <w:w w:val="105"/>
        </w:rPr>
        <w:t>The reserves can also </w:t>
      </w:r>
      <w:r>
        <w:rPr>
          <w:color w:val="010101"/>
          <w:w w:val="105"/>
          <w:sz w:val="19"/>
        </w:rPr>
        <w:t>be </w:t>
      </w:r>
      <w:r>
        <w:rPr>
          <w:color w:val="010101"/>
          <w:w w:val="105"/>
        </w:rPr>
        <w:t>computed sequcntially using the Fackler accumulation formula (5,31) with </w:t>
      </w:r>
      <w:r>
        <w:rPr>
          <w:i/>
          <w:color w:val="010101"/>
          <w:w w:val="105"/>
        </w:rPr>
        <w:t>P </w:t>
      </w:r>
      <w:r>
        <w:rPr>
          <w:color w:val="010101"/>
          <w:w w:val="105"/>
        </w:rPr>
        <w:t>replaced by the appropriate modified net premium.</w:t>
      </w:r>
    </w:p>
    <w:p>
      <w:pPr>
        <w:pStyle w:val="BodyText"/>
        <w:spacing w:line="237" w:lineRule="auto"/>
        <w:ind w:left="114" w:right="124" w:firstLine="211"/>
        <w:jc w:val="both"/>
      </w:pPr>
      <w:r>
        <w:rPr>
          <w:color w:val="010101"/>
          <w:w w:val="105"/>
        </w:rPr>
        <w:t>In the sections that follow, we shall examine the details of</w:t>
      </w:r>
      <w:r>
        <w:rPr>
          <w:color w:val="010101"/>
          <w:spacing w:val="-17"/>
          <w:w w:val="105"/>
        </w:rPr>
        <w:t> </w:t>
      </w:r>
      <w:r>
        <w:rPr>
          <w:color w:val="010101"/>
          <w:w w:val="105"/>
        </w:rPr>
        <w:t>severa] specific modification methods. </w:t>
      </w:r>
      <w:r>
        <w:rPr>
          <w:color w:val="010101"/>
          <w:w w:val="105"/>
          <w:sz w:val="22"/>
        </w:rPr>
        <w:t>In </w:t>
      </w:r>
      <w:r>
        <w:rPr>
          <w:color w:val="010101"/>
          <w:w w:val="105"/>
        </w:rPr>
        <w:t>the notation,  we  shall continue to use certain special conventions which have been introduced above. The symbol </w:t>
      </w:r>
      <w:r>
        <w:rPr>
          <w:rFonts w:ascii="Arial" w:hAnsi="Arial"/>
          <w:i/>
          <w:color w:val="010101"/>
          <w:w w:val="105"/>
        </w:rPr>
        <w:t>P </w:t>
      </w:r>
      <w:r>
        <w:rPr>
          <w:color w:val="010101"/>
          <w:w w:val="105"/>
        </w:rPr>
        <w:t>refers </w:t>
      </w:r>
      <w:r>
        <w:rPr>
          <w:color w:val="010101"/>
          <w:w w:val="105"/>
          <w:sz w:val="21"/>
        </w:rPr>
        <w:t>to </w:t>
      </w:r>
      <w:r>
        <w:rPr>
          <w:color w:val="010101"/>
          <w:w w:val="105"/>
        </w:rPr>
        <w:t>the net level premium for an un­ specified plan and issue age. The symbols </w:t>
      </w:r>
      <w:r>
        <w:rPr>
          <w:i/>
          <w:color w:val="010101"/>
          <w:w w:val="105"/>
          <w:sz w:val="18"/>
        </w:rPr>
        <w:t>a </w:t>
      </w:r>
      <w:r>
        <w:rPr>
          <w:color w:val="010101"/>
          <w:w w:val="105"/>
        </w:rPr>
        <w:t>and </w:t>
      </w:r>
      <w:r>
        <w:rPr>
          <w:i/>
          <w:color w:val="010101"/>
          <w:w w:val="95"/>
          <w:sz w:val="22"/>
        </w:rPr>
        <w:t>/3 </w:t>
      </w:r>
      <w:r>
        <w:rPr>
          <w:color w:val="010101"/>
          <w:w w:val="105"/>
        </w:rPr>
        <w:t>refer to modified net premiums with the plan,  issue age, and modification  method  </w:t>
      </w:r>
      <w:r>
        <w:rPr>
          <w:color w:val="010101"/>
          <w:w w:val="105"/>
          <w:sz w:val="21"/>
        </w:rPr>
        <w:t>ali </w:t>
      </w:r>
      <w:r>
        <w:rPr>
          <w:color w:val="010101"/>
          <w:w w:val="105"/>
        </w:rPr>
        <w:t>unspecified. The symbols ,</w:t>
      </w:r>
      <w:r>
        <w:rPr>
          <w:i/>
          <w:color w:val="010101"/>
          <w:w w:val="105"/>
        </w:rPr>
        <w:t>V </w:t>
      </w:r>
      <w:r>
        <w:rPr>
          <w:color w:val="010101"/>
          <w:w w:val="105"/>
        </w:rPr>
        <w:t>and ,</w:t>
      </w:r>
      <w:r>
        <w:rPr>
          <w:color w:val="010101"/>
          <w:w w:val="105"/>
          <w:sz w:val="16"/>
        </w:rPr>
        <w:t>yMod  </w:t>
      </w:r>
      <w:r>
        <w:rPr>
          <w:color w:val="010101"/>
          <w:w w:val="105"/>
        </w:rPr>
        <w:t>refer to net level</w:t>
      </w:r>
      <w:r>
        <w:rPr>
          <w:color w:val="010101"/>
          <w:spacing w:val="-9"/>
          <w:w w:val="105"/>
        </w:rPr>
        <w:t> </w:t>
      </w:r>
      <w:r>
        <w:rPr>
          <w:color w:val="010101"/>
          <w:w w:val="105"/>
        </w:rPr>
        <w:t>reserves</w:t>
      </w:r>
    </w:p>
    <w:p>
      <w:pPr>
        <w:spacing w:after="0" w:line="237" w:lineRule="auto"/>
        <w:jc w:val="both"/>
        <w:sectPr>
          <w:type w:val="continuous"/>
          <w:pgSz w:w="7200" w:h="11340"/>
          <w:pgMar w:top="1100" w:bottom="0" w:left="660" w:right="560"/>
        </w:sectPr>
      </w:pPr>
    </w:p>
    <w:p>
      <w:pPr>
        <w:pStyle w:val="BodyText"/>
        <w:spacing w:line="42" w:lineRule="exact"/>
        <w:ind w:left="114" w:right="-13"/>
        <w:rPr>
          <w:sz w:val="55"/>
        </w:rPr>
      </w:pPr>
      <w:r>
        <w:rPr>
          <w:color w:val="010101"/>
          <w:w w:val="106"/>
        </w:rPr>
        <w:t>subscripts</w:t>
      </w:r>
      <w:r>
        <w:rPr>
          <w:color w:val="010101"/>
          <w:spacing w:val="-9"/>
        </w:rPr>
        <w:t> </w:t>
      </w:r>
      <w:r>
        <w:rPr>
          <w:color w:val="010101"/>
          <w:w w:val="106"/>
        </w:rPr>
        <w:t>are</w:t>
      </w:r>
      <w:r>
        <w:rPr>
          <w:color w:val="010101"/>
          <w:spacing w:val="-14"/>
        </w:rPr>
        <w:t> </w:t>
      </w:r>
      <w:r>
        <w:rPr>
          <w:color w:val="010101"/>
          <w:w w:val="101"/>
        </w:rPr>
        <w:t>used,</w:t>
      </w:r>
      <w:r>
        <w:rPr>
          <w:color w:val="010101"/>
          <w:spacing w:val="16"/>
        </w:rPr>
        <w:t> </w:t>
      </w:r>
      <w:r>
        <w:rPr>
          <w:color w:val="010101"/>
          <w:w w:val="108"/>
        </w:rPr>
        <w:t>as</w:t>
      </w:r>
      <w:r>
        <w:rPr>
          <w:color w:val="010101"/>
          <w:spacing w:val="-9"/>
        </w:rPr>
        <w:t> </w:t>
      </w:r>
      <w:r>
        <w:rPr>
          <w:color w:val="010101"/>
          <w:w w:val="99"/>
        </w:rPr>
        <w:t>in</w:t>
      </w:r>
      <w:r>
        <w:rPr>
          <w:color w:val="010101"/>
          <w:spacing w:val="-9"/>
        </w:rPr>
        <w:t> </w:t>
      </w:r>
      <w:r>
        <w:rPr>
          <w:rFonts w:ascii="Arial"/>
          <w:i/>
          <w:color w:val="010101"/>
          <w:spacing w:val="4"/>
          <w:w w:val="101"/>
        </w:rPr>
        <w:t>P</w:t>
      </w:r>
      <w:r>
        <w:rPr>
          <w:i/>
          <w:color w:val="010101"/>
          <w:w w:val="106"/>
          <w:sz w:val="14"/>
        </w:rPr>
        <w:t>z</w:t>
      </w:r>
      <w:r>
        <w:rPr>
          <w:i/>
          <w:color w:val="010101"/>
          <w:sz w:val="14"/>
        </w:rPr>
        <w:t> </w:t>
      </w:r>
      <w:r>
        <w:rPr>
          <w:i/>
          <w:color w:val="010101"/>
          <w:spacing w:val="-3"/>
          <w:sz w:val="14"/>
        </w:rPr>
        <w:t> </w:t>
      </w:r>
      <w:r>
        <w:rPr>
          <w:color w:val="010101"/>
          <w:w w:val="109"/>
        </w:rPr>
        <w:t>and</w:t>
      </w:r>
      <w:r>
        <w:rPr>
          <w:color w:val="010101"/>
          <w:spacing w:val="20"/>
        </w:rPr>
        <w:t> </w:t>
      </w:r>
      <w:r>
        <w:rPr>
          <w:color w:val="010101"/>
          <w:spacing w:val="-4"/>
          <w:w w:val="121"/>
        </w:rPr>
        <w:t>,</w:t>
      </w:r>
      <w:r>
        <w:rPr>
          <w:i/>
          <w:color w:val="010101"/>
          <w:spacing w:val="-3"/>
          <w:w w:val="53"/>
          <w:sz w:val="55"/>
        </w:rPr>
        <w:t>v</w:t>
      </w:r>
      <w:r>
        <w:rPr>
          <w:i/>
          <w:color w:val="010101"/>
          <w:w w:val="118"/>
          <w:sz w:val="55"/>
        </w:rPr>
        <w:t>:</w:t>
      </w:r>
      <w:r>
        <w:rPr>
          <w:i/>
          <w:color w:val="010101"/>
          <w:spacing w:val="-12"/>
          <w:sz w:val="55"/>
        </w:rPr>
        <w:t> </w:t>
      </w:r>
      <w:r>
        <w:rPr>
          <w:color w:val="010101"/>
          <w:w w:val="34"/>
          <w:sz w:val="55"/>
        </w:rPr>
        <w:t>,</w:t>
      </w:r>
    </w:p>
    <w:p>
      <w:pPr>
        <w:pStyle w:val="BodyText"/>
        <w:spacing w:line="237" w:lineRule="exact" w:before="42"/>
        <w:ind w:left="114"/>
      </w:pPr>
      <w:r>
        <w:rPr/>
        <w:br w:type="column"/>
      </w:r>
      <w:r>
        <w:rPr>
          <w:color w:val="010101"/>
          <w:w w:val="105"/>
        </w:rPr>
        <w:t>will  identify  the plan</w:t>
      </w:r>
    </w:p>
    <w:p>
      <w:pPr>
        <w:spacing w:after="0" w:line="237" w:lineRule="exact"/>
        <w:sectPr>
          <w:type w:val="continuous"/>
          <w:pgSz w:w="7200" w:h="11340"/>
          <w:pgMar w:top="1100" w:bottom="0" w:left="660" w:right="560"/>
          <w:cols w:num="2" w:equalWidth="0">
            <w:col w:w="3452" w:space="412"/>
            <w:col w:w="2116"/>
          </w:cols>
        </w:sectPr>
      </w:pPr>
    </w:p>
    <w:p>
      <w:pPr>
        <w:pStyle w:val="BodyText"/>
        <w:spacing w:line="33" w:lineRule="exact"/>
        <w:ind w:left="111"/>
        <w:jc w:val="both"/>
      </w:pPr>
      <w:r>
        <w:rPr>
          <w:color w:val="010101"/>
        </w:rPr>
        <w:t>and modified  reserves  for  an unspecified  plan  and  issue  age. When</w:t>
      </w:r>
    </w:p>
    <w:p>
      <w:pPr>
        <w:pStyle w:val="BodyText"/>
        <w:ind w:left="1485" w:right="51"/>
        <w:jc w:val="center"/>
      </w:pPr>
      <w:r>
        <w:rPr>
          <w:color w:val="010101"/>
          <w:w w:val="105"/>
        </w:rPr>
        <w:t>they</w:t>
      </w:r>
    </w:p>
    <w:p>
      <w:pPr>
        <w:pStyle w:val="BodyText"/>
        <w:spacing w:line="242" w:lineRule="auto" w:before="29"/>
        <w:ind w:left="107" w:right="132" w:firstLine="7"/>
        <w:jc w:val="both"/>
      </w:pPr>
      <w:r>
        <w:rPr>
          <w:color w:val="010101"/>
        </w:rPr>
        <w:t>and a.ge in accordance with the standard rules. Although we shall sometimes use these symbols without  subscripts  even  when  they refer </w:t>
      </w:r>
      <w:r>
        <w:rPr>
          <w:color w:val="010101"/>
          <w:sz w:val="22"/>
        </w:rPr>
        <w:t>to </w:t>
      </w:r>
      <w:r>
        <w:rPr>
          <w:color w:val="010101"/>
        </w:rPr>
        <w:t>a specific plan or age, the specification  should  always  be clear  from   the  context.   Particular   modification   methods   will </w:t>
      </w:r>
      <w:r>
        <w:rPr>
          <w:color w:val="010101"/>
          <w:spacing w:val="16"/>
        </w:rPr>
        <w:t> </w:t>
      </w:r>
      <w:r>
        <w:rPr>
          <w:color w:val="010101"/>
        </w:rPr>
        <w:t>al­</w:t>
      </w:r>
    </w:p>
    <w:p>
      <w:pPr>
        <w:spacing w:line="233" w:lineRule="exact" w:before="0"/>
        <w:ind w:left="107" w:right="0" w:firstLine="0"/>
        <w:jc w:val="both"/>
        <w:rPr>
          <w:sz w:val="16"/>
        </w:rPr>
      </w:pPr>
      <w:r>
        <w:rPr>
          <w:b/>
          <w:color w:val="010101"/>
          <w:w w:val="105"/>
          <w:sz w:val="20"/>
        </w:rPr>
        <w:t>ways </w:t>
      </w:r>
      <w:r>
        <w:rPr>
          <w:color w:val="010101"/>
          <w:w w:val="105"/>
          <w:sz w:val="20"/>
        </w:rPr>
        <w:t>be  indicated  by  a superscript,  as in </w:t>
      </w:r>
      <w:r>
        <w:rPr>
          <w:color w:val="010101"/>
          <w:w w:val="105"/>
          <w:sz w:val="24"/>
        </w:rPr>
        <w:t>a', </w:t>
      </w:r>
      <w:r>
        <w:rPr>
          <w:color w:val="010101"/>
          <w:w w:val="105"/>
          <w:sz w:val="16"/>
        </w:rPr>
        <w:t>{3can,  ,ycom.</w:t>
      </w:r>
    </w:p>
    <w:p>
      <w:pPr>
        <w:pStyle w:val="ListParagraph"/>
        <w:numPr>
          <w:ilvl w:val="0"/>
          <w:numId w:val="60"/>
        </w:numPr>
        <w:tabs>
          <w:tab w:pos="327" w:val="left" w:leader="none"/>
        </w:tabs>
        <w:spacing w:line="240" w:lineRule="auto" w:before="173" w:after="0"/>
        <w:ind w:left="326" w:right="0" w:hanging="215"/>
        <w:jc w:val="both"/>
        <w:rPr>
          <w:b/>
          <w:color w:val="010101"/>
          <w:sz w:val="19"/>
        </w:rPr>
      </w:pPr>
      <w:r>
        <w:rPr>
          <w:b/>
          <w:color w:val="010101"/>
          <w:w w:val="120"/>
          <w:sz w:val="19"/>
        </w:rPr>
        <w:t>The full preliminary term</w:t>
      </w:r>
      <w:r>
        <w:rPr>
          <w:b/>
          <w:color w:val="010101"/>
          <w:spacing w:val="38"/>
          <w:w w:val="120"/>
          <w:sz w:val="19"/>
        </w:rPr>
        <w:t> </w:t>
      </w:r>
      <w:r>
        <w:rPr>
          <w:b/>
          <w:color w:val="010101"/>
          <w:w w:val="120"/>
          <w:sz w:val="19"/>
        </w:rPr>
        <w:t>plan</w:t>
      </w:r>
    </w:p>
    <w:p>
      <w:pPr>
        <w:pStyle w:val="BodyText"/>
        <w:spacing w:line="235" w:lineRule="auto" w:before="74"/>
        <w:ind w:left="104" w:right="146" w:firstLine="208"/>
        <w:jc w:val="both"/>
      </w:pPr>
      <w:r>
        <w:rPr>
          <w:color w:val="010101"/>
          <w:w w:val="105"/>
          <w:sz w:val="22"/>
        </w:rPr>
        <w:t>In </w:t>
      </w:r>
      <w:r>
        <w:rPr>
          <w:color w:val="010101"/>
          <w:w w:val="105"/>
        </w:rPr>
        <w:t>order to avoid a negative reserve at the end of the first year, the first year modified net premium must be not less than the cost  of insurance for that year. </w:t>
      </w:r>
      <w:r>
        <w:rPr>
          <w:color w:val="010101"/>
          <w:w w:val="105"/>
          <w:sz w:val="22"/>
        </w:rPr>
        <w:t>In </w:t>
      </w:r>
      <w:r>
        <w:rPr>
          <w:color w:val="010101"/>
          <w:w w:val="105"/>
        </w:rPr>
        <w:t>other words, we should have for </w:t>
      </w:r>
      <w:r>
        <w:rPr>
          <w:rFonts w:ascii="Arial"/>
          <w:i/>
          <w:color w:val="010101"/>
          <w:w w:val="105"/>
          <w:sz w:val="17"/>
        </w:rPr>
        <w:t>any </w:t>
      </w:r>
      <w:r>
        <w:rPr>
          <w:color w:val="010101"/>
          <w:w w:val="105"/>
        </w:rPr>
        <w:t>modified reserve system </w:t>
      </w:r>
      <w:r>
        <w:rPr>
          <w:i/>
          <w:color w:val="010101"/>
          <w:w w:val="105"/>
          <w:sz w:val="18"/>
        </w:rPr>
        <w:t>a      </w:t>
      </w:r>
      <w:r>
        <w:rPr>
          <w:i/>
          <w:color w:val="010101"/>
          <w:w w:val="125"/>
          <w:sz w:val="21"/>
        </w:rPr>
        <w:t>A </w:t>
      </w:r>
      <w:r>
        <w:rPr>
          <w:i/>
          <w:color w:val="2B2B2B"/>
          <w:w w:val="80"/>
          <w:sz w:val="21"/>
        </w:rPr>
        <w:t>: </w:t>
      </w:r>
      <w:r>
        <w:rPr>
          <w:rFonts w:ascii="Arial"/>
          <w:color w:val="010101"/>
          <w:w w:val="80"/>
          <w:sz w:val="21"/>
        </w:rPr>
        <w:t>iJ </w:t>
      </w:r>
      <w:r>
        <w:rPr>
          <w:rFonts w:ascii="Arial"/>
          <w:color w:val="010101"/>
          <w:w w:val="125"/>
          <w:sz w:val="21"/>
        </w:rPr>
        <w:t>. </w:t>
      </w:r>
      <w:r>
        <w:rPr>
          <w:color w:val="010101"/>
          <w:w w:val="105"/>
        </w:rPr>
        <w:t>The reserve method  for</w:t>
      </w:r>
      <w:r>
        <w:rPr>
          <w:color w:val="010101"/>
          <w:spacing w:val="2"/>
          <w:w w:val="105"/>
        </w:rPr>
        <w:t> </w:t>
      </w:r>
      <w:r>
        <w:rPr>
          <w:color w:val="010101"/>
          <w:w w:val="105"/>
        </w:rPr>
        <w:t>which</w:t>
      </w:r>
    </w:p>
    <w:p>
      <w:pPr>
        <w:spacing w:after="0" w:line="235" w:lineRule="auto"/>
        <w:jc w:val="both"/>
        <w:sectPr>
          <w:type w:val="continuous"/>
          <w:pgSz w:w="7200" w:h="11340"/>
          <w:pgMar w:top="1100" w:bottom="0" w:left="660" w:right="560"/>
        </w:sectPr>
      </w:pPr>
    </w:p>
    <w:p>
      <w:pPr>
        <w:tabs>
          <w:tab w:pos="2021" w:val="left" w:leader="none"/>
          <w:tab w:pos="5351" w:val="left" w:leader="none"/>
        </w:tabs>
        <w:spacing w:before="48"/>
        <w:ind w:left="129" w:right="0" w:firstLine="10"/>
        <w:jc w:val="both"/>
        <w:rPr>
          <w:rFonts w:ascii="Arial"/>
          <w:b/>
          <w:sz w:val="18"/>
        </w:rPr>
      </w:pPr>
      <w:r>
        <w:rPr>
          <w:color w:val="010101"/>
          <w:spacing w:val="-21"/>
          <w:w w:val="105"/>
          <w:sz w:val="19"/>
        </w:rPr>
        <w:t>136</w:t>
        <w:tab/>
      </w:r>
      <w:r>
        <w:rPr>
          <w:rFonts w:ascii="Courier New"/>
          <w:b/>
          <w:color w:val="010101"/>
          <w:w w:val="105"/>
          <w:sz w:val="17"/>
        </w:rPr>
        <w:t>THE</w:t>
      </w:r>
      <w:r>
        <w:rPr>
          <w:rFonts w:ascii="Courier New"/>
          <w:b/>
          <w:color w:val="010101"/>
          <w:spacing w:val="-20"/>
          <w:w w:val="105"/>
          <w:sz w:val="17"/>
        </w:rPr>
        <w:t> </w:t>
      </w:r>
      <w:r>
        <w:rPr>
          <w:rFonts w:ascii="Courier New"/>
          <w:b/>
          <w:color w:val="010101"/>
          <w:w w:val="105"/>
          <w:sz w:val="17"/>
        </w:rPr>
        <w:t>EXPENSE</w:t>
      </w:r>
      <w:r>
        <w:rPr>
          <w:rFonts w:ascii="Courier New"/>
          <w:b/>
          <w:color w:val="010101"/>
          <w:spacing w:val="-4"/>
          <w:w w:val="105"/>
          <w:sz w:val="17"/>
        </w:rPr>
        <w:t> </w:t>
      </w:r>
      <w:r>
        <w:rPr>
          <w:rFonts w:ascii="Courier New"/>
          <w:b/>
          <w:color w:val="010101"/>
          <w:w w:val="105"/>
          <w:sz w:val="17"/>
        </w:rPr>
        <w:t>FACTOR</w:t>
        <w:tab/>
      </w:r>
      <w:r>
        <w:rPr>
          <w:b/>
          <w:color w:val="010101"/>
          <w:sz w:val="17"/>
        </w:rPr>
        <w:t>(CH.</w:t>
      </w:r>
      <w:r>
        <w:rPr>
          <w:b/>
          <w:color w:val="010101"/>
          <w:spacing w:val="-4"/>
          <w:sz w:val="17"/>
        </w:rPr>
        <w:t> </w:t>
      </w:r>
      <w:r>
        <w:rPr>
          <w:rFonts w:ascii="Arial"/>
          <w:b/>
          <w:color w:val="010101"/>
          <w:sz w:val="18"/>
        </w:rPr>
        <w:t>6</w:t>
      </w:r>
    </w:p>
    <w:p>
      <w:pPr>
        <w:pStyle w:val="BodyText"/>
        <w:spacing w:before="5"/>
        <w:rPr>
          <w:rFonts w:ascii="Arial"/>
          <w:b/>
          <w:sz w:val="19"/>
        </w:rPr>
      </w:pPr>
    </w:p>
    <w:p>
      <w:pPr>
        <w:spacing w:line="232" w:lineRule="auto" w:before="1"/>
        <w:ind w:left="133" w:right="121" w:hanging="4"/>
        <w:jc w:val="both"/>
        <w:rPr>
          <w:rFonts w:ascii="Arial"/>
          <w:sz w:val="13"/>
        </w:rPr>
      </w:pPr>
      <w:r>
        <w:rPr>
          <w:color w:val="010101"/>
          <w:w w:val="120"/>
          <w:sz w:val="18"/>
        </w:rPr>
        <w:t>a = </w:t>
      </w:r>
      <w:r>
        <w:rPr>
          <w:color w:val="010101"/>
          <w:spacing w:val="4"/>
          <w:sz w:val="22"/>
        </w:rPr>
        <w:t>A:'il </w:t>
      </w:r>
      <w:r>
        <w:rPr>
          <w:color w:val="010101"/>
          <w:sz w:val="22"/>
        </w:rPr>
        <w:t>, </w:t>
      </w:r>
      <w:r>
        <w:rPr>
          <w:color w:val="010101"/>
          <w:sz w:val="20"/>
        </w:rPr>
        <w:t>and under which  the largest  amount  of  first year loading is therefore available, </w:t>
      </w:r>
      <w:r>
        <w:rPr>
          <w:rFonts w:ascii="Arial"/>
          <w:color w:val="010101"/>
          <w:sz w:val="20"/>
        </w:rPr>
        <w:t>is </w:t>
      </w:r>
      <w:r>
        <w:rPr>
          <w:color w:val="010101"/>
          <w:sz w:val="20"/>
        </w:rPr>
        <w:t>known  as </w:t>
      </w:r>
      <w:r>
        <w:rPr>
          <w:i/>
          <w:color w:val="010101"/>
          <w:sz w:val="19"/>
        </w:rPr>
        <w:t>Jull  1rreliminary  term  </w:t>
      </w:r>
      <w:r>
        <w:rPr>
          <w:color w:val="010101"/>
          <w:sz w:val="20"/>
        </w:rPr>
        <w:t>valuatiou. In  this  context,  </w:t>
      </w:r>
      <w:r>
        <w:rPr>
          <w:color w:val="010101"/>
          <w:sz w:val="23"/>
        </w:rPr>
        <w:t>A::il </w:t>
      </w:r>
      <w:r>
        <w:rPr>
          <w:color w:val="010101"/>
          <w:sz w:val="20"/>
        </w:rPr>
        <w:t>is usually  represented  by  thc  symbol </w:t>
      </w:r>
      <w:r>
        <w:rPr>
          <w:rFonts w:ascii="Arial"/>
          <w:color w:val="010101"/>
          <w:sz w:val="13"/>
        </w:rPr>
        <w:t>Cs </w:t>
      </w:r>
      <w:r>
        <w:rPr>
          <w:rFonts w:ascii="Arial"/>
          <w:color w:val="010101"/>
          <w:spacing w:val="11"/>
          <w:sz w:val="13"/>
        </w:rPr>
        <w:t> </w:t>
      </w:r>
      <w:r>
        <w:rPr>
          <w:rFonts w:ascii="Arial"/>
          <w:color w:val="010101"/>
          <w:w w:val="190"/>
          <w:sz w:val="13"/>
        </w:rPr>
        <w:t>:</w:t>
      </w:r>
    </w:p>
    <w:p>
      <w:pPr>
        <w:spacing w:line="182" w:lineRule="exact" w:before="163"/>
        <w:ind w:left="1229" w:right="131" w:firstLine="0"/>
        <w:jc w:val="center"/>
        <w:rPr>
          <w:i/>
          <w:sz w:val="22"/>
        </w:rPr>
      </w:pPr>
      <w:r>
        <w:rPr/>
        <w:pict>
          <v:shape style="position:absolute;margin-left:167.617096pt;margin-top:13.189158pt;width:13.55pt;height:12.45pt;mso-position-horizontal-relative:page;mso-position-vertical-relative:paragraph;z-index:-724504" type="#_x0000_t202" filled="false" stroked="false">
            <v:textbox inset="0,0,0,0">
              <w:txbxContent>
                <w:p>
                  <w:pPr>
                    <w:spacing w:line="249" w:lineRule="exact" w:before="0"/>
                    <w:ind w:left="0" w:right="-19" w:firstLine="0"/>
                    <w:jc w:val="left"/>
                    <w:rPr>
                      <w:sz w:val="13"/>
                    </w:rPr>
                  </w:pPr>
                  <w:r>
                    <w:rPr>
                      <w:rFonts w:ascii="Arial"/>
                      <w:color w:val="010101"/>
                      <w:w w:val="115"/>
                      <w:position w:val="-9"/>
                      <w:sz w:val="21"/>
                    </w:rPr>
                    <w:t>A</w:t>
                  </w:r>
                  <w:r>
                    <w:rPr>
                      <w:rFonts w:ascii="Arial"/>
                      <w:color w:val="010101"/>
                      <w:spacing w:val="-56"/>
                      <w:w w:val="115"/>
                      <w:position w:val="-9"/>
                      <w:sz w:val="21"/>
                    </w:rPr>
                    <w:t> </w:t>
                  </w:r>
                  <w:r>
                    <w:rPr>
                      <w:color w:val="010101"/>
                      <w:w w:val="150"/>
                      <w:sz w:val="13"/>
                    </w:rPr>
                    <w:t>1</w:t>
                  </w:r>
                </w:p>
              </w:txbxContent>
            </v:textbox>
            <w10:wrap type="none"/>
          </v:shape>
        </w:pict>
      </w:r>
      <w:r>
        <w:rPr>
          <w:i/>
          <w:color w:val="010101"/>
          <w:w w:val="90"/>
          <w:sz w:val="22"/>
        </w:rPr>
        <w:t>Ca</w:t>
      </w:r>
    </w:p>
    <w:p>
      <w:pPr>
        <w:tabs>
          <w:tab w:pos="613" w:val="left" w:leader="none"/>
        </w:tabs>
        <w:spacing w:line="228" w:lineRule="exact" w:before="0"/>
        <w:ind w:left="0" w:right="13" w:firstLine="0"/>
        <w:jc w:val="center"/>
        <w:rPr>
          <w:sz w:val="22"/>
        </w:rPr>
      </w:pPr>
      <w:r>
        <w:rPr/>
        <w:pict>
          <v:line style="position:absolute;mso-position-horizontal-relative:page;mso-position-vertical-relative:paragraph;z-index:-724576" from="202.791595pt,11.080766pt" to="213.918195pt,11.080766pt" stroked="true" strokeweight="5.024925pt" strokecolor="#000000">
            <w10:wrap type="none"/>
          </v:line>
        </w:pict>
      </w:r>
      <w:r>
        <w:rPr>
          <w:rFonts w:ascii="Arial" w:hAnsi="Arial"/>
          <w:b/>
          <w:color w:val="010101"/>
          <w:sz w:val="12"/>
        </w:rPr>
        <w:t>Cs </w:t>
      </w:r>
      <w:r>
        <w:rPr>
          <w:rFonts w:ascii="Arial" w:hAnsi="Arial"/>
          <w:b/>
          <w:color w:val="010101"/>
          <w:spacing w:val="17"/>
          <w:sz w:val="12"/>
        </w:rPr>
        <w:t> </w:t>
      </w:r>
      <w:r>
        <w:rPr>
          <w:color w:val="010101"/>
          <w:sz w:val="26"/>
        </w:rPr>
        <w:t>=</w:t>
        <w:tab/>
      </w:r>
      <w:r>
        <w:rPr>
          <w:rFonts w:ascii="Arial" w:hAnsi="Arial"/>
          <w:b/>
          <w:color w:val="010101"/>
          <w:sz w:val="12"/>
        </w:rPr>
        <w:t>s:'il  </w:t>
      </w:r>
      <w:r>
        <w:rPr>
          <w:color w:val="010101"/>
          <w:sz w:val="26"/>
        </w:rPr>
        <w:t>= </w:t>
      </w:r>
      <w:r>
        <w:rPr>
          <w:b/>
          <w:i/>
          <w:color w:val="010101"/>
          <w:sz w:val="22"/>
        </w:rPr>
        <w:t>Dz</w:t>
      </w:r>
      <w:r>
        <w:rPr>
          <w:b/>
          <w:i/>
          <w:color w:val="010101"/>
          <w:spacing w:val="28"/>
          <w:sz w:val="22"/>
        </w:rPr>
        <w:t> </w:t>
      </w:r>
      <w:r>
        <w:rPr>
          <w:color w:val="010101"/>
          <w:sz w:val="22"/>
        </w:rPr>
        <w:t>•</w:t>
      </w:r>
    </w:p>
    <w:p>
      <w:pPr>
        <w:pStyle w:val="BodyText"/>
        <w:spacing w:line="198" w:lineRule="exact" w:before="231"/>
        <w:ind w:left="118"/>
        <w:jc w:val="both"/>
        <w:rPr>
          <w:sz w:val="19"/>
        </w:rPr>
      </w:pPr>
      <w:r>
        <w:rPr>
          <w:color w:val="010101"/>
          <w:w w:val="105"/>
        </w:rPr>
        <w:t>The modification  extends  over  the  cutirc prcmium-paying </w:t>
      </w:r>
      <w:r>
        <w:rPr>
          <w:color w:val="010101"/>
          <w:w w:val="105"/>
          <w:sz w:val="19"/>
        </w:rPr>
        <w:t>period,</w:t>
      </w:r>
    </w:p>
    <w:p>
      <w:pPr>
        <w:spacing w:line="285" w:lineRule="exact" w:before="0"/>
        <w:ind w:left="122" w:right="0" w:firstLine="3"/>
        <w:jc w:val="both"/>
        <w:rPr>
          <w:sz w:val="20"/>
        </w:rPr>
      </w:pPr>
      <w:r>
        <w:rPr>
          <w:color w:val="010101"/>
          <w:w w:val="105"/>
          <w:sz w:val="20"/>
        </w:rPr>
        <w:t>and, with </w:t>
      </w:r>
      <w:r>
        <w:rPr>
          <w:i/>
          <w:color w:val="010101"/>
          <w:w w:val="105"/>
          <w:sz w:val="18"/>
        </w:rPr>
        <w:t>a  </w:t>
      </w:r>
      <w:r>
        <w:rPr>
          <w:color w:val="010101"/>
          <w:w w:val="105"/>
          <w:sz w:val="28"/>
        </w:rPr>
        <w:t>= </w:t>
      </w:r>
      <w:r>
        <w:rPr>
          <w:rFonts w:ascii="Arial"/>
          <w:color w:val="010101"/>
          <w:w w:val="105"/>
          <w:sz w:val="13"/>
        </w:rPr>
        <w:t>Cs  </w:t>
      </w:r>
      <w:r>
        <w:rPr>
          <w:rFonts w:ascii="Arial"/>
          <w:color w:val="010101"/>
          <w:w w:val="200"/>
          <w:sz w:val="13"/>
        </w:rPr>
        <w:t>, </w:t>
      </w:r>
      <w:r>
        <w:rPr>
          <w:color w:val="010101"/>
          <w:w w:val="105"/>
          <w:sz w:val="20"/>
        </w:rPr>
        <w:t>the renewal  net premium </w:t>
      </w:r>
      <w:r>
        <w:rPr>
          <w:i/>
          <w:color w:val="010101"/>
          <w:w w:val="85"/>
          <w:sz w:val="23"/>
        </w:rPr>
        <w:t>/3 </w:t>
      </w:r>
      <w:r>
        <w:rPr>
          <w:color w:val="010101"/>
          <w:w w:val="105"/>
          <w:sz w:val="20"/>
        </w:rPr>
        <w:t>may </w:t>
      </w:r>
      <w:r>
        <w:rPr>
          <w:color w:val="010101"/>
          <w:w w:val="105"/>
          <w:sz w:val="19"/>
        </w:rPr>
        <w:t>be  </w:t>
      </w:r>
      <w:r>
        <w:rPr>
          <w:color w:val="010101"/>
          <w:w w:val="105"/>
          <w:sz w:val="20"/>
        </w:rPr>
        <w:t>detennined</w:t>
      </w:r>
    </w:p>
    <w:p>
      <w:pPr>
        <w:pStyle w:val="BodyText"/>
        <w:spacing w:line="247" w:lineRule="auto"/>
        <w:ind w:left="122" w:right="117"/>
        <w:jc w:val="both"/>
        <w:rPr>
          <w:i/>
          <w:sz w:val="21"/>
        </w:rPr>
      </w:pPr>
      <w:r>
        <w:rPr>
          <w:color w:val="010101"/>
          <w:w w:val="110"/>
        </w:rPr>
        <w:t>from</w:t>
      </w:r>
      <w:r>
        <w:rPr>
          <w:color w:val="010101"/>
          <w:spacing w:val="-1"/>
          <w:w w:val="110"/>
        </w:rPr>
        <w:t> </w:t>
      </w:r>
      <w:r>
        <w:rPr>
          <w:color w:val="010101"/>
          <w:w w:val="110"/>
        </w:rPr>
        <w:t>formula</w:t>
      </w:r>
      <w:r>
        <w:rPr>
          <w:color w:val="010101"/>
          <w:spacing w:val="25"/>
          <w:w w:val="110"/>
        </w:rPr>
        <w:t> </w:t>
      </w:r>
      <w:r>
        <w:rPr>
          <w:color w:val="010101"/>
          <w:spacing w:val="2"/>
          <w:w w:val="110"/>
          <w:sz w:val="19"/>
        </w:rPr>
        <w:t>(6.1).</w:t>
      </w:r>
      <w:r>
        <w:rPr>
          <w:color w:val="010101"/>
          <w:spacing w:val="-9"/>
          <w:w w:val="110"/>
          <w:sz w:val="19"/>
        </w:rPr>
        <w:t> </w:t>
      </w:r>
      <w:r>
        <w:rPr>
          <w:color w:val="010101"/>
          <w:w w:val="110"/>
        </w:rPr>
        <w:t>We</w:t>
      </w:r>
      <w:r>
        <w:rPr>
          <w:color w:val="010101"/>
          <w:spacing w:val="-8"/>
          <w:w w:val="110"/>
        </w:rPr>
        <w:t> </w:t>
      </w:r>
      <w:r>
        <w:rPr>
          <w:color w:val="010101"/>
          <w:w w:val="110"/>
        </w:rPr>
        <w:t>let</w:t>
      </w:r>
      <w:r>
        <w:rPr>
          <w:color w:val="010101"/>
          <w:spacing w:val="-7"/>
          <w:w w:val="110"/>
        </w:rPr>
        <w:t> </w:t>
      </w:r>
      <w:r>
        <w:rPr>
          <w:color w:val="010101"/>
          <w:w w:val="175"/>
          <w:sz w:val="18"/>
        </w:rPr>
        <w:t>a'</w:t>
      </w:r>
      <w:r>
        <w:rPr>
          <w:color w:val="010101"/>
          <w:spacing w:val="-52"/>
          <w:w w:val="175"/>
          <w:sz w:val="18"/>
        </w:rPr>
        <w:t> </w:t>
      </w:r>
      <w:r>
        <w:rPr>
          <w:color w:val="010101"/>
          <w:w w:val="110"/>
        </w:rPr>
        <w:t>and</w:t>
      </w:r>
      <w:r>
        <w:rPr>
          <w:color w:val="010101"/>
          <w:spacing w:val="-12"/>
          <w:w w:val="110"/>
        </w:rPr>
        <w:t> </w:t>
      </w:r>
      <w:r>
        <w:rPr>
          <w:i/>
          <w:color w:val="010101"/>
          <w:w w:val="110"/>
          <w:sz w:val="18"/>
        </w:rPr>
        <w:t>{J' </w:t>
      </w:r>
      <w:r>
        <w:rPr>
          <w:color w:val="010101"/>
          <w:w w:val="110"/>
        </w:rPr>
        <w:t>denote</w:t>
      </w:r>
      <w:r>
        <w:rPr>
          <w:color w:val="010101"/>
          <w:spacing w:val="-9"/>
          <w:w w:val="110"/>
        </w:rPr>
        <w:t> </w:t>
      </w:r>
      <w:r>
        <w:rPr>
          <w:color w:val="010101"/>
          <w:w w:val="110"/>
        </w:rPr>
        <w:t>the</w:t>
      </w:r>
      <w:r>
        <w:rPr>
          <w:color w:val="010101"/>
          <w:spacing w:val="-8"/>
          <w:w w:val="110"/>
        </w:rPr>
        <w:t> </w:t>
      </w:r>
      <w:r>
        <w:rPr>
          <w:color w:val="010101"/>
          <w:w w:val="110"/>
        </w:rPr>
        <w:t>first</w:t>
      </w:r>
      <w:r>
        <w:rPr>
          <w:color w:val="010101"/>
          <w:spacing w:val="-6"/>
          <w:w w:val="110"/>
        </w:rPr>
        <w:t> </w:t>
      </w:r>
      <w:r>
        <w:rPr>
          <w:color w:val="010101"/>
          <w:w w:val="110"/>
        </w:rPr>
        <w:t>year</w:t>
      </w:r>
      <w:r>
        <w:rPr>
          <w:color w:val="010101"/>
          <w:spacing w:val="-4"/>
          <w:w w:val="110"/>
        </w:rPr>
        <w:t> </w:t>
      </w:r>
      <w:r>
        <w:rPr>
          <w:color w:val="010101"/>
          <w:w w:val="110"/>
        </w:rPr>
        <w:t>a.nd</w:t>
      </w:r>
      <w:r>
        <w:rPr>
          <w:color w:val="010101"/>
          <w:spacing w:val="-2"/>
          <w:w w:val="110"/>
        </w:rPr>
        <w:t> </w:t>
      </w:r>
      <w:r>
        <w:rPr>
          <w:color w:val="010101"/>
          <w:w w:val="110"/>
        </w:rPr>
        <w:t>the renewal net premiums respectively on the </w:t>
      </w:r>
      <w:r>
        <w:rPr>
          <w:color w:val="010101"/>
          <w:w w:val="110"/>
          <w:sz w:val="19"/>
        </w:rPr>
        <w:t>full </w:t>
      </w:r>
      <w:r>
        <w:rPr>
          <w:color w:val="010101"/>
          <w:w w:val="110"/>
        </w:rPr>
        <w:t>preliminary term basis, and then, considcring again an n-payment m-year endow­ ment insurance issued at age</w:t>
      </w:r>
      <w:r>
        <w:rPr>
          <w:color w:val="010101"/>
          <w:spacing w:val="-30"/>
          <w:w w:val="110"/>
        </w:rPr>
        <w:t> </w:t>
      </w:r>
      <w:r>
        <w:rPr>
          <w:i/>
          <w:color w:val="010101"/>
          <w:w w:val="110"/>
          <w:sz w:val="21"/>
        </w:rPr>
        <w:t>x,</w:t>
      </w:r>
    </w:p>
    <w:p>
      <w:pPr>
        <w:tabs>
          <w:tab w:pos="5319" w:val="left" w:leader="none"/>
        </w:tabs>
        <w:spacing w:before="90"/>
        <w:ind w:left="2649" w:right="0" w:firstLine="0"/>
        <w:jc w:val="left"/>
        <w:rPr>
          <w:sz w:val="19"/>
        </w:rPr>
      </w:pPr>
      <w:r>
        <w:rPr>
          <w:b/>
          <w:i/>
          <w:color w:val="010101"/>
          <w:spacing w:val="3"/>
          <w:w w:val="105"/>
          <w:sz w:val="18"/>
        </w:rPr>
        <w:t>a</w:t>
      </w:r>
      <w:r>
        <w:rPr>
          <w:b/>
          <w:i/>
          <w:color w:val="010101"/>
          <w:spacing w:val="3"/>
          <w:w w:val="105"/>
          <w:position w:val="11"/>
          <w:sz w:val="18"/>
        </w:rPr>
        <w:t>r</w:t>
      </w:r>
      <w:r>
        <w:rPr>
          <w:b/>
          <w:i/>
          <w:color w:val="010101"/>
          <w:spacing w:val="40"/>
          <w:w w:val="105"/>
          <w:position w:val="11"/>
          <w:sz w:val="18"/>
        </w:rPr>
        <w:t> </w:t>
      </w:r>
      <w:r>
        <w:rPr>
          <w:color w:val="010101"/>
          <w:w w:val="105"/>
          <w:sz w:val="26"/>
        </w:rPr>
        <w:t>=</w:t>
      </w:r>
      <w:r>
        <w:rPr>
          <w:color w:val="010101"/>
          <w:spacing w:val="24"/>
          <w:w w:val="105"/>
          <w:sz w:val="26"/>
        </w:rPr>
        <w:t> </w:t>
      </w:r>
      <w:r>
        <w:rPr>
          <w:b/>
          <w:i/>
          <w:color w:val="010101"/>
          <w:w w:val="105"/>
          <w:sz w:val="14"/>
        </w:rPr>
        <w:t>Ca</w:t>
        <w:tab/>
      </w:r>
      <w:r>
        <w:rPr>
          <w:color w:val="010101"/>
          <w:w w:val="105"/>
          <w:position w:val="1"/>
          <w:sz w:val="19"/>
        </w:rPr>
        <w:t>(6.4a)</w:t>
      </w:r>
    </w:p>
    <w:p>
      <w:pPr>
        <w:spacing w:after="0"/>
        <w:jc w:val="left"/>
        <w:rPr>
          <w:sz w:val="19"/>
        </w:rPr>
        <w:sectPr>
          <w:pgSz w:w="7200" w:h="11340"/>
          <w:pgMar w:top="540" w:bottom="280" w:left="660" w:right="580"/>
        </w:sectPr>
      </w:pPr>
    </w:p>
    <w:p>
      <w:pPr>
        <w:pStyle w:val="BodyText"/>
        <w:spacing w:before="141"/>
        <w:ind w:left="122"/>
      </w:pPr>
      <w:r>
        <w:rPr>
          <w:color w:val="010101"/>
          <w:w w:val="105"/>
        </w:rPr>
        <w:t>and from  (6.1),</w:t>
      </w:r>
    </w:p>
    <w:p>
      <w:pPr>
        <w:spacing w:line="354" w:lineRule="exact" w:before="91"/>
        <w:ind w:left="0" w:right="149" w:firstLine="0"/>
        <w:jc w:val="center"/>
        <w:rPr>
          <w:b/>
          <w:i/>
          <w:sz w:val="22"/>
        </w:rPr>
      </w:pPr>
      <w:r>
        <w:rPr/>
        <w:pict>
          <v:line style="position:absolute;mso-position-horizontal-relative:page;mso-position-vertical-relative:paragraph;z-index:-724552" from="90.62812pt,20.996002pt" to="90.62812pt,19.557802pt" stroked="true" strokeweight=".717846pt" strokecolor="#000000">
            <w10:wrap type="none"/>
          </v:line>
        </w:pict>
      </w:r>
      <w:r>
        <w:rPr>
          <w:rFonts w:ascii="Arial" w:hAnsi="Arial"/>
          <w:b/>
          <w:i/>
          <w:color w:val="010101"/>
          <w:sz w:val="21"/>
        </w:rPr>
        <w:t>f3' </w:t>
      </w:r>
      <w:r>
        <w:rPr>
          <w:rFonts w:ascii="Arial" w:hAnsi="Arial"/>
          <w:color w:val="010101"/>
          <w:w w:val="140"/>
          <w:sz w:val="17"/>
        </w:rPr>
        <w:t>= </w:t>
      </w:r>
      <w:r>
        <w:rPr>
          <w:rFonts w:ascii="Arial" w:hAnsi="Arial"/>
          <w:b/>
          <w:color w:val="010101"/>
          <w:sz w:val="16"/>
        </w:rPr>
        <w:t>11Ps:tii] ·Os:nf </w:t>
      </w:r>
      <w:r>
        <w:rPr>
          <w:rFonts w:ascii="Arial" w:hAnsi="Arial"/>
          <w:color w:val="010101"/>
          <w:w w:val="290"/>
          <w:sz w:val="16"/>
        </w:rPr>
        <w:t>-</w:t>
      </w:r>
      <w:r>
        <w:rPr>
          <w:rFonts w:ascii="Arial" w:hAnsi="Arial"/>
          <w:color w:val="010101"/>
          <w:spacing w:val="-93"/>
          <w:w w:val="290"/>
          <w:sz w:val="16"/>
        </w:rPr>
        <w:t> </w:t>
      </w:r>
      <w:r>
        <w:rPr>
          <w:rFonts w:ascii="Arial" w:hAnsi="Arial"/>
          <w:b/>
          <w:color w:val="010101"/>
          <w:sz w:val="16"/>
        </w:rPr>
        <w:t>Cs </w:t>
      </w:r>
      <w:r>
        <w:rPr>
          <w:rFonts w:ascii="Arial" w:hAnsi="Arial"/>
          <w:color w:val="010101"/>
          <w:w w:val="140"/>
          <w:sz w:val="17"/>
        </w:rPr>
        <w:t>= </w:t>
      </w:r>
      <w:r>
        <w:rPr>
          <w:b/>
          <w:i/>
          <w:color w:val="010101"/>
          <w:sz w:val="22"/>
          <w:u w:val="single" w:color="000000"/>
        </w:rPr>
        <w:t>Ms </w:t>
      </w:r>
      <w:r>
        <w:rPr>
          <w:color w:val="010101"/>
          <w:w w:val="245"/>
          <w:sz w:val="22"/>
          <w:u w:val="single" w:color="000000"/>
        </w:rPr>
        <w:t>-</w:t>
      </w:r>
      <w:r>
        <w:rPr>
          <w:color w:val="010101"/>
          <w:spacing w:val="-66"/>
          <w:w w:val="245"/>
          <w:sz w:val="22"/>
          <w:u w:val="single" w:color="000000"/>
        </w:rPr>
        <w:t> </w:t>
      </w:r>
      <w:r>
        <w:rPr>
          <w:b/>
          <w:i/>
          <w:color w:val="010101"/>
          <w:sz w:val="22"/>
          <w:u w:val="single" w:color="000000"/>
        </w:rPr>
        <w:t>Ms-ta </w:t>
      </w:r>
      <w:r>
        <w:rPr>
          <w:rFonts w:ascii="Arial" w:hAnsi="Arial"/>
          <w:color w:val="010101"/>
          <w:sz w:val="32"/>
          <w:u w:val="single" w:color="000000"/>
        </w:rPr>
        <w:t>+</w:t>
      </w:r>
      <w:r>
        <w:rPr>
          <w:rFonts w:ascii="Arial" w:hAnsi="Arial"/>
          <w:color w:val="010101"/>
          <w:spacing w:val="-61"/>
          <w:sz w:val="32"/>
          <w:u w:val="single" w:color="000000"/>
        </w:rPr>
        <w:t> </w:t>
      </w:r>
      <w:r>
        <w:rPr>
          <w:b/>
          <w:i/>
          <w:color w:val="010101"/>
          <w:w w:val="120"/>
          <w:sz w:val="22"/>
          <w:u w:val="single" w:color="000000"/>
        </w:rPr>
        <w:t>Dz+</w:t>
      </w:r>
      <w:r>
        <w:rPr>
          <w:b/>
          <w:i/>
          <w:color w:val="010101"/>
          <w:w w:val="120"/>
          <w:sz w:val="22"/>
        </w:rPr>
        <w:t>. </w:t>
      </w:r>
      <w:r>
        <w:rPr>
          <w:color w:val="010101"/>
          <w:w w:val="245"/>
          <w:sz w:val="22"/>
        </w:rPr>
        <w:t>-</w:t>
      </w:r>
      <w:r>
        <w:rPr>
          <w:color w:val="010101"/>
          <w:spacing w:val="-103"/>
          <w:w w:val="245"/>
          <w:sz w:val="22"/>
        </w:rPr>
        <w:t> </w:t>
      </w:r>
      <w:r>
        <w:rPr>
          <w:b/>
          <w:i/>
          <w:color w:val="010101"/>
          <w:sz w:val="22"/>
        </w:rPr>
        <w:t>Cs</w:t>
      </w:r>
    </w:p>
    <w:p>
      <w:pPr>
        <w:tabs>
          <w:tab w:pos="3008" w:val="left" w:leader="none"/>
        </w:tabs>
        <w:spacing w:line="228" w:lineRule="exact" w:before="0"/>
        <w:ind w:left="1127" w:right="0" w:firstLine="0"/>
        <w:jc w:val="left"/>
        <w:rPr>
          <w:b/>
          <w:sz w:val="14"/>
        </w:rPr>
      </w:pPr>
      <w:r>
        <w:rPr>
          <w:color w:val="010101"/>
          <w:w w:val="130"/>
          <w:sz w:val="13"/>
        </w:rPr>
        <w:t>Bz:</w:t>
      </w:r>
      <w:r>
        <w:rPr>
          <w:color w:val="010101"/>
          <w:w w:val="130"/>
          <w:sz w:val="17"/>
        </w:rPr>
        <w:t>i=¡¡</w:t>
        <w:tab/>
      </w:r>
      <w:r>
        <w:rPr>
          <w:rFonts w:ascii="Arial" w:hAnsi="Arial"/>
          <w:b/>
          <w:i/>
          <w:color w:val="010101"/>
          <w:w w:val="130"/>
          <w:sz w:val="21"/>
        </w:rPr>
        <w:t>N</w:t>
      </w:r>
      <w:r>
        <w:rPr>
          <w:b/>
          <w:color w:val="010101"/>
          <w:w w:val="130"/>
          <w:sz w:val="14"/>
        </w:rPr>
        <w:t>z+l</w:t>
      </w:r>
      <w:r>
        <w:rPr>
          <w:b/>
          <w:color w:val="010101"/>
          <w:spacing w:val="-14"/>
          <w:w w:val="130"/>
          <w:sz w:val="14"/>
        </w:rPr>
        <w:t> </w:t>
      </w:r>
      <w:r>
        <w:rPr>
          <w:color w:val="010101"/>
          <w:w w:val="360"/>
          <w:sz w:val="14"/>
        </w:rPr>
        <w:t>-</w:t>
      </w:r>
      <w:r>
        <w:rPr>
          <w:color w:val="010101"/>
          <w:spacing w:val="-111"/>
          <w:w w:val="360"/>
          <w:sz w:val="14"/>
        </w:rPr>
        <w:t> </w:t>
      </w:r>
      <w:r>
        <w:rPr>
          <w:rFonts w:ascii="Arial" w:hAnsi="Arial"/>
          <w:b/>
          <w:i/>
          <w:color w:val="010101"/>
          <w:w w:val="110"/>
          <w:sz w:val="21"/>
        </w:rPr>
        <w:t>N</w:t>
      </w:r>
      <w:r>
        <w:rPr>
          <w:b/>
          <w:color w:val="010101"/>
          <w:w w:val="110"/>
          <w:sz w:val="14"/>
        </w:rPr>
        <w:t>z+11</w:t>
      </w:r>
    </w:p>
    <w:p>
      <w:pPr>
        <w:tabs>
          <w:tab w:pos="972" w:val="left" w:leader="none"/>
          <w:tab w:pos="3786" w:val="left" w:leader="none"/>
        </w:tabs>
        <w:spacing w:line="304" w:lineRule="exact" w:before="11"/>
        <w:ind w:left="0" w:right="237" w:firstLine="0"/>
        <w:jc w:val="center"/>
        <w:rPr>
          <w:i/>
          <w:sz w:val="22"/>
        </w:rPr>
      </w:pPr>
      <w:r>
        <w:rPr/>
        <w:pict>
          <v:line style="position:absolute;mso-position-horizontal-relative:page;mso-position-vertical-relative:paragraph;z-index:-724528" from="188.973099pt,15.647717pt" to="190.947199pt,15.647717pt" stroked="true" strokeweight=".179462pt" strokecolor="#000000">
            <w10:wrap type="none"/>
          </v:line>
        </w:pict>
      </w:r>
      <w:r>
        <w:rPr>
          <w:rFonts w:ascii="Arial" w:hAnsi="Arial"/>
          <w:color w:val="010101"/>
          <w:w w:val="115"/>
          <w:sz w:val="20"/>
        </w:rPr>
        <w:t>_</w:t>
      </w:r>
      <w:r>
        <w:rPr>
          <w:rFonts w:ascii="Arial" w:hAnsi="Arial"/>
          <w:color w:val="010101"/>
          <w:spacing w:val="56"/>
          <w:w w:val="115"/>
          <w:sz w:val="20"/>
        </w:rPr>
        <w:t> </w:t>
      </w:r>
      <w:r>
        <w:rPr>
          <w:rFonts w:ascii="Arial" w:hAnsi="Arial"/>
          <w:i/>
          <w:color w:val="010101"/>
          <w:spacing w:val="-11"/>
          <w:w w:val="115"/>
          <w:sz w:val="20"/>
          <w:u w:val="single" w:color="000000"/>
        </w:rPr>
        <w:t>M</w:t>
      </w:r>
      <w:r>
        <w:rPr>
          <w:color w:val="010101"/>
          <w:spacing w:val="-11"/>
          <w:w w:val="115"/>
          <w:sz w:val="13"/>
          <w:u w:val="single" w:color="000000"/>
        </w:rPr>
        <w:t>s+i</w:t>
      </w:r>
      <w:r>
        <w:rPr>
          <w:color w:val="010101"/>
          <w:spacing w:val="-11"/>
          <w:w w:val="115"/>
          <w:sz w:val="13"/>
        </w:rPr>
        <w:tab/>
      </w:r>
      <w:r>
        <w:rPr>
          <w:rFonts w:ascii="Arial" w:hAnsi="Arial"/>
          <w:i/>
          <w:color w:val="010101"/>
          <w:w w:val="115"/>
          <w:sz w:val="20"/>
          <w:u w:val="single" w:color="000000"/>
        </w:rPr>
        <w:t>M</w:t>
      </w:r>
      <w:r>
        <w:rPr>
          <w:color w:val="010101"/>
          <w:w w:val="115"/>
          <w:sz w:val="15"/>
          <w:u w:val="single" w:color="000000"/>
        </w:rPr>
        <w:t>z+• </w:t>
      </w:r>
      <w:r>
        <w:rPr>
          <w:rFonts w:ascii="Arial" w:hAnsi="Arial"/>
          <w:color w:val="010101"/>
          <w:w w:val="115"/>
          <w:sz w:val="32"/>
          <w:u w:val="single" w:color="000000"/>
        </w:rPr>
        <w:t>+</w:t>
      </w:r>
      <w:r>
        <w:rPr>
          <w:rFonts w:ascii="Arial" w:hAnsi="Arial"/>
          <w:color w:val="010101"/>
          <w:spacing w:val="-42"/>
          <w:w w:val="115"/>
          <w:sz w:val="32"/>
          <w:u w:val="single" w:color="000000"/>
        </w:rPr>
        <w:t> </w:t>
      </w:r>
      <w:r>
        <w:rPr>
          <w:color w:val="010101"/>
          <w:w w:val="110"/>
          <w:sz w:val="22"/>
          <w:u w:val="single" w:color="000000"/>
        </w:rPr>
        <w:t>Ds-ta </w:t>
      </w:r>
      <w:r>
        <w:rPr>
          <w:color w:val="010101"/>
          <w:w w:val="115"/>
          <w:sz w:val="22"/>
        </w:rPr>
        <w:t>_ </w:t>
      </w:r>
      <w:r>
        <w:rPr>
          <w:color w:val="010101"/>
          <w:w w:val="115"/>
          <w:sz w:val="16"/>
        </w:rPr>
        <w:t>As+1:tii=i]</w:t>
      </w:r>
      <w:r>
        <w:rPr>
          <w:color w:val="010101"/>
          <w:spacing w:val="21"/>
          <w:w w:val="115"/>
          <w:sz w:val="16"/>
        </w:rPr>
        <w:t> </w:t>
      </w:r>
      <w:r>
        <w:rPr>
          <w:color w:val="010101"/>
          <w:w w:val="125"/>
          <w:sz w:val="16"/>
        </w:rPr>
        <w:t>_</w:t>
        <w:tab/>
      </w:r>
      <w:r>
        <w:rPr>
          <w:i/>
          <w:color w:val="010101"/>
          <w:w w:val="115"/>
          <w:sz w:val="22"/>
        </w:rPr>
        <w:t>p</w:t>
      </w:r>
    </w:p>
    <w:p>
      <w:pPr>
        <w:tabs>
          <w:tab w:pos="1098" w:val="left" w:leader="none"/>
          <w:tab w:pos="1812" w:val="left" w:leader="none"/>
          <w:tab w:pos="2738" w:val="left" w:leader="none"/>
          <w:tab w:pos="3783" w:val="left" w:leader="none"/>
        </w:tabs>
        <w:spacing w:line="135" w:lineRule="exact" w:before="0"/>
        <w:ind w:left="470" w:right="0" w:firstLine="0"/>
        <w:jc w:val="left"/>
        <w:rPr>
          <w:sz w:val="13"/>
        </w:rPr>
      </w:pPr>
      <w:r>
        <w:rPr>
          <w:rFonts w:ascii="Arial" w:hAnsi="Arial"/>
          <w:color w:val="010101"/>
          <w:w w:val="190"/>
          <w:sz w:val="21"/>
        </w:rPr>
        <w:t>-</w:t>
        <w:tab/>
      </w:r>
      <w:r>
        <w:rPr>
          <w:rFonts w:ascii="Arial" w:hAnsi="Arial"/>
          <w:b/>
          <w:i/>
          <w:color w:val="010101"/>
          <w:w w:val="120"/>
          <w:sz w:val="21"/>
        </w:rPr>
        <w:t>N</w:t>
        <w:tab/>
        <w:t>N</w:t>
        <w:tab/>
      </w:r>
      <w:r>
        <w:rPr>
          <w:rFonts w:ascii="Arial" w:hAnsi="Arial"/>
          <w:color w:val="010101"/>
          <w:w w:val="190"/>
          <w:sz w:val="21"/>
        </w:rPr>
        <w:t>-</w:t>
        <w:tab/>
        <w:t>- </w:t>
      </w:r>
      <w:r>
        <w:rPr>
          <w:color w:val="010101"/>
          <w:spacing w:val="-6"/>
          <w:w w:val="155"/>
          <w:sz w:val="13"/>
        </w:rPr>
        <w:t>a-1 </w:t>
      </w:r>
      <w:r>
        <w:rPr>
          <w:color w:val="010101"/>
          <w:w w:val="120"/>
          <w:sz w:val="13"/>
        </w:rPr>
        <w:t>z-+1:iii=i']</w:t>
      </w:r>
      <w:r>
        <w:rPr>
          <w:color w:val="010101"/>
          <w:spacing w:val="3"/>
          <w:w w:val="120"/>
          <w:sz w:val="13"/>
        </w:rPr>
        <w:t> </w:t>
      </w:r>
      <w:r>
        <w:rPr>
          <w:color w:val="010101"/>
          <w:w w:val="120"/>
          <w:sz w:val="13"/>
        </w:rPr>
        <w:t>•</w:t>
      </w:r>
    </w:p>
    <w:p>
      <w:pPr>
        <w:tabs>
          <w:tab w:pos="714" w:val="left" w:leader="none"/>
          <w:tab w:pos="1697" w:val="left" w:leader="none"/>
        </w:tabs>
        <w:spacing w:line="153" w:lineRule="exact" w:before="0"/>
        <w:ind w:left="0" w:right="155" w:firstLine="0"/>
        <w:jc w:val="center"/>
        <w:rPr>
          <w:sz w:val="17"/>
        </w:rPr>
      </w:pPr>
      <w:r>
        <w:rPr>
          <w:b/>
          <w:color w:val="010101"/>
          <w:w w:val="115"/>
          <w:sz w:val="14"/>
        </w:rPr>
        <w:t>z+l </w:t>
      </w:r>
      <w:r>
        <w:rPr>
          <w:b/>
          <w:color w:val="010101"/>
          <w:spacing w:val="26"/>
          <w:w w:val="115"/>
          <w:sz w:val="14"/>
        </w:rPr>
        <w:t> </w:t>
      </w:r>
      <w:r>
        <w:rPr>
          <w:color w:val="010101"/>
          <w:w w:val="385"/>
          <w:sz w:val="14"/>
        </w:rPr>
        <w:t>-</w:t>
        <w:tab/>
      </w:r>
      <w:r>
        <w:rPr>
          <w:b/>
          <w:i/>
          <w:color w:val="010101"/>
          <w:w w:val="115"/>
          <w:sz w:val="16"/>
        </w:rPr>
        <w:t>z+•</w:t>
        <w:tab/>
      </w:r>
      <w:r>
        <w:rPr>
          <w:b/>
          <w:color w:val="010101"/>
          <w:w w:val="115"/>
          <w:sz w:val="15"/>
        </w:rPr>
        <w:t>'2z+l:</w:t>
      </w:r>
      <w:r>
        <w:rPr>
          <w:color w:val="010101"/>
          <w:w w:val="115"/>
          <w:sz w:val="17"/>
        </w:rPr>
        <w:t>ñ=i}</w:t>
      </w:r>
    </w:p>
    <w:p>
      <w:pPr>
        <w:pStyle w:val="BodyText"/>
      </w:pPr>
      <w:r>
        <w:rPr/>
        <w:br w:type="column"/>
      </w:r>
      <w:r>
        <w:rPr/>
      </w:r>
    </w:p>
    <w:p>
      <w:pPr>
        <w:pStyle w:val="BodyText"/>
      </w:pPr>
    </w:p>
    <w:p>
      <w:pPr>
        <w:pStyle w:val="BodyText"/>
      </w:pPr>
    </w:p>
    <w:p>
      <w:pPr>
        <w:pStyle w:val="BodyText"/>
      </w:pPr>
    </w:p>
    <w:p>
      <w:pPr>
        <w:pStyle w:val="BodyText"/>
      </w:pPr>
    </w:p>
    <w:p>
      <w:pPr>
        <w:pStyle w:val="BodyText"/>
        <w:spacing w:before="121"/>
        <w:ind w:left="122"/>
      </w:pPr>
      <w:r>
        <w:rPr>
          <w:color w:val="010101"/>
          <w:w w:val="110"/>
        </w:rPr>
        <w:t>(6.4b)</w:t>
      </w:r>
    </w:p>
    <w:p>
      <w:pPr>
        <w:spacing w:after="0"/>
        <w:sectPr>
          <w:type w:val="continuous"/>
          <w:pgSz w:w="7200" w:h="11340"/>
          <w:pgMar w:top="1100" w:bottom="0" w:left="660" w:right="580"/>
          <w:cols w:num="2" w:equalWidth="0">
            <w:col w:w="5082" w:space="94"/>
            <w:col w:w="784"/>
          </w:cols>
        </w:sectPr>
      </w:pPr>
    </w:p>
    <w:p>
      <w:pPr>
        <w:pStyle w:val="BodyText"/>
        <w:spacing w:before="1"/>
        <w:rPr>
          <w:sz w:val="9"/>
        </w:rPr>
      </w:pPr>
    </w:p>
    <w:p>
      <w:pPr>
        <w:pStyle w:val="BodyText"/>
        <w:spacing w:line="252" w:lineRule="auto" w:before="74"/>
        <w:ind w:left="115" w:right="121" w:firstLine="3"/>
        <w:jc w:val="both"/>
      </w:pPr>
      <w:r>
        <w:rPr>
          <w:color w:val="010101"/>
          <w:w w:val="105"/>
        </w:rPr>
        <w:t>Thus the renewal net premium is the net level premium for a simi­ lar insurance issued at an age one year older, with premiums pay­ able for one year less, and maturing at the same age as the original insurance.</w:t>
      </w:r>
    </w:p>
    <w:p>
      <w:pPr>
        <w:pStyle w:val="BodyText"/>
        <w:spacing w:line="244" w:lineRule="auto"/>
        <w:ind w:left="108" w:right="125" w:firstLine="208"/>
        <w:jc w:val="both"/>
      </w:pPr>
      <w:r>
        <w:rPr/>
        <w:pict>
          <v:shape style="position:absolute;margin-left:175.513504pt;margin-top:115.371735pt;width:19.95pt;height:10pt;mso-position-horizontal-relative:page;mso-position-vertical-relative:paragraph;z-index:-724480" type="#_x0000_t202" filled="false" stroked="false">
            <v:textbox inset="0,0,0,0">
              <w:txbxContent>
                <w:p>
                  <w:pPr>
                    <w:pStyle w:val="BodyText"/>
                    <w:spacing w:line="200" w:lineRule="exact"/>
                    <w:ind w:right="-16"/>
                  </w:pPr>
                  <w:r>
                    <w:rPr>
                      <w:color w:val="010101"/>
                      <w:spacing w:val="-9"/>
                      <w:w w:val="120"/>
                    </w:rPr>
                    <w:t>,.-1y</w:t>
                  </w:r>
                </w:p>
              </w:txbxContent>
            </v:textbox>
            <w10:wrap type="none"/>
          </v:shape>
        </w:pict>
      </w:r>
      <w:r>
        <w:rPr>
          <w:color w:val="010101"/>
          <w:w w:val="105"/>
          <w:sz w:val="21"/>
        </w:rPr>
        <w:t>It </w:t>
      </w:r>
      <w:r>
        <w:rPr>
          <w:color w:val="010101"/>
          <w:w w:val="105"/>
        </w:rPr>
        <w:t>is apparent that this method  assumes  that  the  entire  first  year gross premium is needed for expenses and death claim pay­ ments. Accordingly, the reserve at the end of the first year is zero. </w:t>
      </w:r>
      <w:r>
        <w:rPr>
          <w:color w:val="010101"/>
          <w:w w:val="105"/>
          <w:sz w:val="22"/>
        </w:rPr>
        <w:t>In </w:t>
      </w:r>
      <w:r>
        <w:rPr>
          <w:color w:val="010101"/>
          <w:w w:val="105"/>
        </w:rPr>
        <w:t>the renewal years the premium required is the same as the net level premium for </w:t>
      </w:r>
      <w:r>
        <w:rPr>
          <w:rFonts w:ascii="Arial" w:hAnsi="Arial"/>
          <w:color w:val="010101"/>
          <w:w w:val="105"/>
          <w:sz w:val="18"/>
        </w:rPr>
        <w:t>a </w:t>
      </w:r>
      <w:r>
        <w:rPr>
          <w:color w:val="010101"/>
          <w:w w:val="105"/>
        </w:rPr>
        <w:t>policy issued at the end of the first year at an age one year higher. </w:t>
      </w:r>
      <w:r>
        <w:rPr>
          <w:color w:val="010101"/>
          <w:w w:val="105"/>
          <w:sz w:val="21"/>
        </w:rPr>
        <w:t>It </w:t>
      </w:r>
      <w:r>
        <w:rPr>
          <w:color w:val="010101"/>
          <w:w w:val="105"/>
        </w:rPr>
        <w:t>follows that the reserves on the full pre­ liminary term basis, ,</w:t>
      </w:r>
      <w:r>
        <w:rPr>
          <w:i/>
          <w:color w:val="010101"/>
          <w:w w:val="105"/>
          <w:sz w:val="22"/>
        </w:rPr>
        <w:t>V',</w:t>
      </w:r>
      <w:r>
        <w:rPr>
          <w:color w:val="010101"/>
          <w:w w:val="105"/>
        </w:rPr>
        <w:t>can </w:t>
      </w:r>
      <w:r>
        <w:rPr>
          <w:color w:val="010101"/>
          <w:w w:val="105"/>
          <w:sz w:val="19"/>
        </w:rPr>
        <w:t>be </w:t>
      </w:r>
      <w:r>
        <w:rPr>
          <w:color w:val="010101"/>
          <w:w w:val="105"/>
        </w:rPr>
        <w:t>expressed in tenns of the net level premium reserves for an insurance issued at an age one year older, thus:</w:t>
      </w:r>
    </w:p>
    <w:p>
      <w:pPr>
        <w:spacing w:after="0" w:line="244" w:lineRule="auto"/>
        <w:jc w:val="both"/>
        <w:sectPr>
          <w:type w:val="continuous"/>
          <w:pgSz w:w="7200" w:h="11340"/>
          <w:pgMar w:top="1100" w:bottom="0" w:left="660" w:right="580"/>
        </w:sectPr>
      </w:pPr>
    </w:p>
    <w:p>
      <w:pPr>
        <w:spacing w:before="84"/>
        <w:ind w:left="0" w:right="0" w:firstLine="0"/>
        <w:jc w:val="right"/>
        <w:rPr>
          <w:sz w:val="26"/>
        </w:rPr>
      </w:pPr>
      <w:r>
        <w:rPr>
          <w:i/>
          <w:color w:val="010101"/>
          <w:spacing w:val="-81"/>
          <w:w w:val="129"/>
          <w:position w:val="8"/>
          <w:sz w:val="22"/>
        </w:rPr>
        <w:t>"</w:t>
      </w:r>
      <w:r>
        <w:rPr>
          <w:color w:val="010101"/>
          <w:spacing w:val="13"/>
          <w:w w:val="167"/>
          <w:sz w:val="16"/>
        </w:rPr>
        <w:t>,</w:t>
      </w:r>
      <w:r>
        <w:rPr>
          <w:i/>
          <w:color w:val="010101"/>
          <w:spacing w:val="-65"/>
          <w:w w:val="129"/>
          <w:position w:val="8"/>
          <w:sz w:val="22"/>
        </w:rPr>
        <w:t>V</w:t>
      </w:r>
      <w:r>
        <w:rPr>
          <w:b/>
          <w:color w:val="010101"/>
          <w:w w:val="76"/>
          <w:sz w:val="16"/>
        </w:rPr>
        <w:t>z</w:t>
      </w:r>
      <w:r>
        <w:rPr>
          <w:b/>
          <w:color w:val="010101"/>
          <w:spacing w:val="-32"/>
          <w:w w:val="76"/>
          <w:sz w:val="16"/>
        </w:rPr>
        <w:t>:</w:t>
      </w:r>
      <w:r>
        <w:rPr>
          <w:i/>
          <w:color w:val="010101"/>
          <w:spacing w:val="-30"/>
          <w:w w:val="129"/>
          <w:position w:val="8"/>
          <w:sz w:val="22"/>
        </w:rPr>
        <w:t>'</w:t>
      </w:r>
      <w:r>
        <w:rPr>
          <w:b/>
          <w:color w:val="010101"/>
          <w:w w:val="76"/>
          <w:sz w:val="16"/>
        </w:rPr>
        <w:t>iii'l</w:t>
      </w:r>
      <w:r>
        <w:rPr>
          <w:b/>
          <w:color w:val="010101"/>
          <w:sz w:val="16"/>
        </w:rPr>
        <w:t> </w:t>
      </w:r>
      <w:r>
        <w:rPr>
          <w:b/>
          <w:color w:val="010101"/>
          <w:spacing w:val="16"/>
          <w:sz w:val="16"/>
        </w:rPr>
        <w:t> </w:t>
      </w:r>
      <w:r>
        <w:rPr>
          <w:color w:val="010101"/>
          <w:w w:val="91"/>
          <w:sz w:val="26"/>
        </w:rPr>
        <w:t>=</w:t>
      </w:r>
    </w:p>
    <w:p>
      <w:pPr>
        <w:tabs>
          <w:tab w:pos="474" w:val="left" w:leader="none"/>
          <w:tab w:pos="2639" w:val="left" w:leader="none"/>
        </w:tabs>
        <w:spacing w:before="162"/>
        <w:ind w:left="108" w:right="0" w:firstLine="0"/>
        <w:jc w:val="left"/>
        <w:rPr>
          <w:sz w:val="20"/>
        </w:rPr>
      </w:pPr>
      <w:r>
        <w:rPr/>
        <w:br w:type="column"/>
      </w:r>
      <w:r>
        <w:rPr>
          <w:rFonts w:ascii="Arial"/>
          <w:b/>
          <w:color w:val="010101"/>
          <w:w w:val="150"/>
          <w:sz w:val="12"/>
        </w:rPr>
        <w:t>,-</w:t>
        <w:tab/>
      </w:r>
      <w:r>
        <w:rPr>
          <w:b/>
          <w:color w:val="010101"/>
          <w:w w:val="110"/>
          <w:sz w:val="16"/>
        </w:rPr>
        <w:t>s+l:iii='i]</w:t>
      </w:r>
      <w:r>
        <w:rPr>
          <w:b/>
          <w:color w:val="010101"/>
          <w:spacing w:val="-9"/>
          <w:w w:val="110"/>
          <w:sz w:val="16"/>
        </w:rPr>
        <w:t> </w:t>
      </w:r>
      <w:r>
        <w:rPr>
          <w:color w:val="010101"/>
          <w:w w:val="110"/>
          <w:sz w:val="16"/>
        </w:rPr>
        <w:t>,</w:t>
        <w:tab/>
      </w:r>
      <w:r>
        <w:rPr>
          <w:color w:val="010101"/>
          <w:w w:val="110"/>
          <w:position w:val="2"/>
          <w:sz w:val="20"/>
        </w:rPr>
        <w:t>(6.5)</w:t>
      </w:r>
    </w:p>
    <w:p>
      <w:pPr>
        <w:spacing w:after="0"/>
        <w:jc w:val="left"/>
        <w:rPr>
          <w:sz w:val="20"/>
        </w:rPr>
        <w:sectPr>
          <w:type w:val="continuous"/>
          <w:pgSz w:w="7200" w:h="11340"/>
          <w:pgMar w:top="1100" w:bottom="0" w:left="660" w:right="580"/>
          <w:cols w:num="2" w:equalWidth="0">
            <w:col w:w="2738" w:space="40"/>
            <w:col w:w="3182"/>
          </w:cols>
        </w:sectPr>
      </w:pPr>
    </w:p>
    <w:p>
      <w:pPr>
        <w:spacing w:before="141"/>
        <w:ind w:left="115" w:right="0" w:hanging="4"/>
        <w:jc w:val="left"/>
        <w:rPr>
          <w:sz w:val="16"/>
        </w:rPr>
      </w:pPr>
      <w:r>
        <w:rPr>
          <w:color w:val="010101"/>
          <w:w w:val="110"/>
          <w:sz w:val="20"/>
        </w:rPr>
        <w:t>The full preliminary tenn reserves can also </w:t>
      </w:r>
      <w:r>
        <w:rPr>
          <w:color w:val="010101"/>
          <w:w w:val="110"/>
          <w:sz w:val="19"/>
        </w:rPr>
        <w:t>be </w:t>
      </w:r>
      <w:r>
        <w:rPr>
          <w:color w:val="010101"/>
          <w:w w:val="110"/>
          <w:sz w:val="20"/>
        </w:rPr>
        <w:t>calculated </w:t>
      </w:r>
      <w:r>
        <w:rPr>
          <w:rFonts w:ascii="Arial"/>
          <w:color w:val="010101"/>
          <w:w w:val="110"/>
          <w:sz w:val="20"/>
        </w:rPr>
        <w:t>f</w:t>
      </w:r>
      <w:r>
        <w:rPr>
          <w:color w:val="010101"/>
          <w:w w:val="110"/>
          <w:sz w:val="20"/>
        </w:rPr>
        <w:t>rom formulas (6.3) with </w:t>
      </w:r>
      <w:r>
        <w:rPr>
          <w:i/>
          <w:color w:val="010101"/>
          <w:w w:val="110"/>
          <w:sz w:val="18"/>
        </w:rPr>
        <w:t>a </w:t>
      </w:r>
      <w:r>
        <w:rPr>
          <w:color w:val="010101"/>
          <w:w w:val="110"/>
          <w:sz w:val="20"/>
        </w:rPr>
        <w:t>taken as </w:t>
      </w:r>
      <w:r>
        <w:rPr>
          <w:rFonts w:ascii="Arial"/>
          <w:i/>
          <w:color w:val="010101"/>
          <w:w w:val="110"/>
          <w:sz w:val="12"/>
        </w:rPr>
        <w:t>Cs </w:t>
      </w:r>
      <w:r>
        <w:rPr>
          <w:color w:val="010101"/>
          <w:w w:val="110"/>
          <w:sz w:val="20"/>
        </w:rPr>
        <w:t>and </w:t>
      </w:r>
      <w:r>
        <w:rPr>
          <w:rFonts w:ascii="Arial"/>
          <w:i/>
          <w:color w:val="010101"/>
          <w:w w:val="110"/>
          <w:sz w:val="17"/>
        </w:rPr>
        <w:t>fj </w:t>
      </w:r>
      <w:r>
        <w:rPr>
          <w:color w:val="010101"/>
          <w:w w:val="110"/>
          <w:sz w:val="20"/>
        </w:rPr>
        <w:t>as </w:t>
      </w:r>
      <w:r>
        <w:rPr>
          <w:color w:val="010101"/>
          <w:w w:val="110"/>
          <w:sz w:val="21"/>
        </w:rPr>
        <w:t>,._1P</w:t>
      </w:r>
      <w:r>
        <w:rPr>
          <w:b/>
          <w:color w:val="010101"/>
          <w:w w:val="110"/>
          <w:sz w:val="16"/>
        </w:rPr>
        <w:t>s+i:iii=i] </w:t>
      </w:r>
      <w:r>
        <w:rPr>
          <w:color w:val="010101"/>
          <w:w w:val="135"/>
          <w:sz w:val="16"/>
        </w:rPr>
        <w:t>.</w:t>
      </w:r>
    </w:p>
    <w:p>
      <w:pPr>
        <w:spacing w:after="0"/>
        <w:jc w:val="left"/>
        <w:rPr>
          <w:sz w:val="16"/>
        </w:rPr>
        <w:sectPr>
          <w:type w:val="continuous"/>
          <w:pgSz w:w="7200" w:h="11340"/>
          <w:pgMar w:top="1100" w:bottom="0" w:left="660" w:right="580"/>
        </w:sectPr>
      </w:pPr>
    </w:p>
    <w:p>
      <w:pPr>
        <w:tabs>
          <w:tab w:pos="1411" w:val="left" w:leader="none"/>
          <w:tab w:pos="5927" w:val="right" w:leader="none"/>
        </w:tabs>
        <w:spacing w:before="50"/>
        <w:ind w:left="148" w:right="0" w:firstLine="0"/>
        <w:jc w:val="left"/>
        <w:rPr>
          <w:sz w:val="19"/>
        </w:rPr>
      </w:pPr>
      <w:r>
        <w:rPr>
          <w:b/>
          <w:sz w:val="15"/>
        </w:rPr>
        <w:t>SEC.</w:t>
      </w:r>
      <w:r>
        <w:rPr>
          <w:b/>
          <w:spacing w:val="28"/>
          <w:sz w:val="15"/>
        </w:rPr>
        <w:t> </w:t>
      </w:r>
      <w:r>
        <w:rPr>
          <w:rFonts w:ascii="Arial"/>
          <w:b/>
          <w:sz w:val="19"/>
        </w:rPr>
        <w:t>4]</w:t>
        <w:tab/>
      </w:r>
      <w:r>
        <w:rPr>
          <w:b/>
          <w:position w:val="1"/>
          <w:sz w:val="15"/>
        </w:rPr>
        <w:t>MODIFIED   PRELIMINARY  </w:t>
      </w:r>
      <w:r>
        <w:rPr>
          <w:b/>
          <w:spacing w:val="17"/>
          <w:position w:val="1"/>
          <w:sz w:val="15"/>
        </w:rPr>
        <w:t> </w:t>
      </w:r>
      <w:r>
        <w:rPr>
          <w:b/>
          <w:position w:val="1"/>
          <w:sz w:val="15"/>
        </w:rPr>
        <w:t>TERM   PLANS</w:t>
      </w:r>
      <w:r>
        <w:rPr>
          <w:position w:val="1"/>
          <w:sz w:val="19"/>
        </w:rPr>
        <w:tab/>
        <w:t>137</w:t>
      </w:r>
    </w:p>
    <w:p>
      <w:pPr>
        <w:pStyle w:val="BodyText"/>
        <w:spacing w:before="9"/>
      </w:pPr>
    </w:p>
    <w:p>
      <w:pPr>
        <w:pStyle w:val="ListParagraph"/>
        <w:numPr>
          <w:ilvl w:val="0"/>
          <w:numId w:val="60"/>
        </w:numPr>
        <w:tabs>
          <w:tab w:pos="372" w:val="left" w:leader="none"/>
        </w:tabs>
        <w:spacing w:line="240" w:lineRule="auto" w:before="0" w:after="0"/>
        <w:ind w:left="371" w:right="0" w:hanging="219"/>
        <w:jc w:val="left"/>
        <w:rPr>
          <w:b/>
          <w:sz w:val="19"/>
        </w:rPr>
      </w:pPr>
      <w:r>
        <w:rPr>
          <w:b/>
          <w:w w:val="115"/>
          <w:sz w:val="19"/>
        </w:rPr>
        <w:t>Modified  preliminary  term</w:t>
      </w:r>
      <w:r>
        <w:rPr>
          <w:b/>
          <w:spacing w:val="-9"/>
          <w:w w:val="115"/>
          <w:sz w:val="19"/>
        </w:rPr>
        <w:t> </w:t>
      </w:r>
      <w:r>
        <w:rPr>
          <w:b/>
          <w:w w:val="115"/>
          <w:sz w:val="19"/>
        </w:rPr>
        <w:t>plans</w:t>
      </w:r>
    </w:p>
    <w:p>
      <w:pPr>
        <w:pStyle w:val="BodyText"/>
        <w:spacing w:line="249" w:lineRule="auto" w:before="79"/>
        <w:ind w:left="137" w:right="133" w:firstLine="216"/>
        <w:jc w:val="both"/>
      </w:pPr>
      <w:r>
        <w:rPr>
          <w:w w:val="105"/>
          <w:sz w:val="21"/>
        </w:rPr>
        <w:t>In </w:t>
      </w:r>
      <w:r>
        <w:rPr>
          <w:w w:val="105"/>
        </w:rPr>
        <w:t>the full preliminary term method,  the first year  net  premium at a given age is the same for all plans of insurance, and the extra first year expense allowance is large or small according as the in­ surance is on a high or low premium form. For example, the first year net premium </w:t>
      </w:r>
      <w:r>
        <w:rPr>
          <w:i/>
          <w:w w:val="105"/>
          <w:sz w:val="21"/>
        </w:rPr>
        <w:t>es </w:t>
      </w:r>
      <w:r>
        <w:rPr>
          <w:rFonts w:ascii="Arial" w:hAnsi="Arial"/>
          <w:w w:val="105"/>
          <w:sz w:val="19"/>
        </w:rPr>
        <w:t>is </w:t>
      </w:r>
      <w:r>
        <w:rPr>
          <w:w w:val="105"/>
        </w:rPr>
        <w:t>a much smaller part of the 20-year endow­ ment gross premium than of the  ordinary  life gross  premium  at the same age, so that a relatively larger portion of the endowment premium is available as first year loading. </w:t>
      </w:r>
      <w:r>
        <w:rPr>
          <w:w w:val="105"/>
          <w:sz w:val="21"/>
        </w:rPr>
        <w:t>If </w:t>
      </w:r>
      <w:r>
        <w:rPr>
          <w:w w:val="105"/>
        </w:rPr>
        <w:t>the full preliminary term method is regarded as providing equitable first year expense allowances on low premium  forms such as ordinary </w:t>
      </w:r>
      <w:r>
        <w:rPr>
          <w:w w:val="105"/>
          <w:sz w:val="19"/>
        </w:rPr>
        <w:t>life </w:t>
      </w:r>
      <w:r>
        <w:rPr>
          <w:w w:val="105"/>
        </w:rPr>
        <w:t>insurance,  it must be concluded that it provides unnecessarily large allow­ ances for high premium forms such as 20-year endowment insur­ ance.</w:t>
      </w:r>
    </w:p>
    <w:p>
      <w:pPr>
        <w:pStyle w:val="BodyText"/>
        <w:spacing w:line="249" w:lineRule="auto"/>
        <w:ind w:left="134" w:right="144" w:firstLine="208"/>
        <w:jc w:val="both"/>
      </w:pPr>
      <w:r>
        <w:rPr>
          <w:w w:val="105"/>
        </w:rPr>
        <w:t>Because of this fact, most state laws which specify a mínimum valuation basis restrict the use of the full preliminary term method  to certain low premium forms of insurance. For the higher premium forms a </w:t>
      </w:r>
      <w:r>
        <w:rPr>
          <w:i/>
          <w:w w:val="105"/>
        </w:rPr>
        <w:t>modified preliminar y term </w:t>
      </w:r>
      <w:r>
        <w:rPr>
          <w:w w:val="105"/>
        </w:rPr>
        <w:t>basis is prescribed. A number of different modi.fied preliminary term systems have been used. The various modifications diff er in the length of the modification period and in the amount of the extra first year  expense  allowance.  </w:t>
      </w:r>
      <w:r>
        <w:rPr>
          <w:w w:val="105"/>
          <w:sz w:val="21"/>
        </w:rPr>
        <w:t>In </w:t>
      </w:r>
      <w:r>
        <w:rPr>
          <w:w w:val="105"/>
        </w:rPr>
        <w:t>each case, the modified net premiums can be determined from (6.1) or (6.2). We shall consider two methods which are of current inter­ est; others will be described  in the </w:t>
      </w:r>
      <w:r>
        <w:rPr>
          <w:spacing w:val="26"/>
          <w:w w:val="105"/>
        </w:rPr>
        <w:t> </w:t>
      </w:r>
      <w:r>
        <w:rPr>
          <w:w w:val="105"/>
        </w:rPr>
        <w:t>exercises.</w:t>
      </w:r>
    </w:p>
    <w:p>
      <w:pPr>
        <w:pStyle w:val="ListParagraph"/>
        <w:numPr>
          <w:ilvl w:val="1"/>
          <w:numId w:val="60"/>
        </w:numPr>
        <w:tabs>
          <w:tab w:pos="743" w:val="left" w:leader="none"/>
        </w:tabs>
        <w:spacing w:line="240" w:lineRule="auto" w:before="164" w:after="0"/>
        <w:ind w:left="742" w:right="0" w:hanging="371"/>
        <w:jc w:val="left"/>
        <w:rPr>
          <w:i/>
          <w:sz w:val="20"/>
        </w:rPr>
      </w:pPr>
      <w:r>
        <w:rPr>
          <w:i/>
          <w:sz w:val="20"/>
        </w:rPr>
        <w:t>)  The Commissioners reserve valuation</w:t>
      </w:r>
      <w:r>
        <w:rPr>
          <w:i/>
          <w:spacing w:val="7"/>
          <w:sz w:val="20"/>
        </w:rPr>
        <w:t> </w:t>
      </w:r>
      <w:r>
        <w:rPr>
          <w:i/>
          <w:sz w:val="20"/>
        </w:rPr>
        <w:t>method</w:t>
      </w:r>
    </w:p>
    <w:p>
      <w:pPr>
        <w:pStyle w:val="BodyText"/>
        <w:spacing w:line="249" w:lineRule="auto" w:before="90"/>
        <w:ind w:left="130" w:right="155" w:firstLine="208"/>
        <w:jc w:val="both"/>
      </w:pPr>
      <w:r>
        <w:rPr>
          <w:w w:val="105"/>
        </w:rPr>
        <w:t>Most states which specify a mínimum valuation basis prescribe the Commissioners reserve valuation method for policies currently being issued. This method provides a special modi.fication for poli­ cies for which the net renewal premium  on the full preliminary  term basis exceeds the full preliminary term renewal premium for 20-payment life insurance at the same age. Thus,  this modifica­ tion, which we shall call the Commissioners  modification,  is </w:t>
      </w:r>
      <w:r>
        <w:rPr>
          <w:spacing w:val="49"/>
          <w:w w:val="105"/>
        </w:rPr>
        <w:t> </w:t>
      </w:r>
      <w:r>
        <w:rPr>
          <w:w w:val="105"/>
        </w:rPr>
        <w:t>used</w:t>
      </w:r>
    </w:p>
    <w:p>
      <w:pPr>
        <w:spacing w:line="242" w:lineRule="exact" w:before="0"/>
        <w:ind w:left="130" w:right="0" w:firstLine="0"/>
        <w:jc w:val="left"/>
        <w:rPr>
          <w:sz w:val="20"/>
        </w:rPr>
      </w:pPr>
      <w:r>
        <w:rPr>
          <w:w w:val="110"/>
          <w:sz w:val="20"/>
        </w:rPr>
        <w:t>for policies for which </w:t>
      </w:r>
      <w:r>
        <w:rPr>
          <w:rFonts w:ascii="Arial"/>
          <w:i/>
          <w:w w:val="145"/>
          <w:sz w:val="17"/>
        </w:rPr>
        <w:t>[j' </w:t>
      </w:r>
      <w:r>
        <w:rPr>
          <w:w w:val="110"/>
          <w:sz w:val="25"/>
        </w:rPr>
        <w:t>&gt; </w:t>
      </w:r>
      <w:r>
        <w:rPr>
          <w:w w:val="145"/>
          <w:sz w:val="12"/>
        </w:rPr>
        <w:t>19P</w:t>
      </w:r>
      <w:r>
        <w:rPr>
          <w:w w:val="145"/>
          <w:sz w:val="14"/>
        </w:rPr>
        <w:t>z+i , </w:t>
      </w:r>
      <w:r>
        <w:rPr>
          <w:w w:val="110"/>
          <w:sz w:val="20"/>
        </w:rPr>
        <w:t>where </w:t>
      </w:r>
      <w:r>
        <w:rPr>
          <w:rFonts w:ascii="Arial"/>
          <w:i/>
          <w:w w:val="110"/>
          <w:sz w:val="16"/>
        </w:rPr>
        <w:t>x </w:t>
      </w:r>
      <w:r>
        <w:rPr>
          <w:w w:val="110"/>
          <w:sz w:val="20"/>
        </w:rPr>
        <w:t>is the age at issue. For</w:t>
      </w:r>
    </w:p>
    <w:p>
      <w:pPr>
        <w:pStyle w:val="BodyText"/>
        <w:tabs>
          <w:tab w:pos="3507" w:val="left" w:leader="none"/>
        </w:tabs>
        <w:spacing w:line="247" w:lineRule="auto"/>
        <w:ind w:left="130" w:right="169"/>
      </w:pPr>
      <w:r>
        <w:rPr>
          <w:w w:val="110"/>
        </w:rPr>
        <w:t>all</w:t>
      </w:r>
      <w:r>
        <w:rPr>
          <w:spacing w:val="-17"/>
          <w:w w:val="110"/>
        </w:rPr>
        <w:t> </w:t>
      </w:r>
      <w:r>
        <w:rPr>
          <w:w w:val="110"/>
        </w:rPr>
        <w:t>other</w:t>
      </w:r>
      <w:r>
        <w:rPr>
          <w:spacing w:val="-12"/>
          <w:w w:val="110"/>
        </w:rPr>
        <w:t> </w:t>
      </w:r>
      <w:r>
        <w:rPr>
          <w:w w:val="110"/>
        </w:rPr>
        <w:t>policies, those</w:t>
      </w:r>
      <w:r>
        <w:rPr>
          <w:spacing w:val="-12"/>
          <w:w w:val="110"/>
        </w:rPr>
        <w:t> </w:t>
      </w:r>
      <w:r>
        <w:rPr>
          <w:w w:val="110"/>
        </w:rPr>
        <w:t>for</w:t>
      </w:r>
      <w:r>
        <w:rPr>
          <w:spacing w:val="-20"/>
          <w:w w:val="110"/>
        </w:rPr>
        <w:t> </w:t>
      </w:r>
      <w:r>
        <w:rPr>
          <w:w w:val="110"/>
        </w:rPr>
        <w:t>which</w:t>
      </w:r>
      <w:r>
        <w:rPr>
          <w:spacing w:val="-14"/>
          <w:w w:val="110"/>
        </w:rPr>
        <w:t> </w:t>
      </w:r>
      <w:r>
        <w:rPr>
          <w:i/>
          <w:w w:val="110"/>
          <w:sz w:val="17"/>
        </w:rPr>
        <w:t>{j'</w:t>
        <w:tab/>
      </w:r>
      <w:r>
        <w:rPr>
          <w:spacing w:val="-8"/>
          <w:w w:val="120"/>
          <w:sz w:val="12"/>
        </w:rPr>
        <w:t>19P</w:t>
      </w:r>
      <w:r>
        <w:rPr>
          <w:spacing w:val="-8"/>
          <w:w w:val="120"/>
          <w:sz w:val="14"/>
        </w:rPr>
        <w:t>z+i  </w:t>
      </w:r>
      <w:r>
        <w:rPr>
          <w:w w:val="120"/>
          <w:sz w:val="14"/>
        </w:rPr>
        <w:t>, </w:t>
      </w:r>
      <w:r>
        <w:rPr>
          <w:w w:val="110"/>
        </w:rPr>
        <w:t>the</w:t>
      </w:r>
      <w:r>
        <w:rPr>
          <w:spacing w:val="33"/>
          <w:w w:val="110"/>
        </w:rPr>
        <w:t> </w:t>
      </w:r>
      <w:r>
        <w:rPr>
          <w:w w:val="110"/>
        </w:rPr>
        <w:t>method</w:t>
      </w:r>
      <w:r>
        <w:rPr>
          <w:spacing w:val="33"/>
          <w:w w:val="110"/>
        </w:rPr>
        <w:t> </w:t>
      </w:r>
      <w:r>
        <w:rPr>
          <w:w w:val="110"/>
        </w:rPr>
        <w:t>requires</w:t>
      </w:r>
      <w:r>
        <w:rPr>
          <w:w w:val="103"/>
        </w:rPr>
        <w:t> </w:t>
      </w:r>
      <w:r>
        <w:rPr>
          <w:w w:val="110"/>
        </w:rPr>
        <w:t>full preliminary term</w:t>
      </w:r>
      <w:r>
        <w:rPr>
          <w:spacing w:val="-28"/>
          <w:w w:val="110"/>
        </w:rPr>
        <w:t> </w:t>
      </w:r>
      <w:r>
        <w:rPr>
          <w:w w:val="110"/>
        </w:rPr>
        <w:t>valuation.</w:t>
      </w:r>
    </w:p>
    <w:p>
      <w:pPr>
        <w:pStyle w:val="BodyText"/>
        <w:spacing w:line="237" w:lineRule="auto"/>
        <w:ind w:left="119" w:right="177" w:firstLine="205"/>
        <w:jc w:val="both"/>
        <w:rPr>
          <w:sz w:val="22"/>
        </w:rPr>
      </w:pPr>
      <w:r>
        <w:rPr>
          <w:w w:val="105"/>
        </w:rPr>
        <w:t>The Commissioners modification extends over the full premium­ paying period of the policy and prescribes the following relation­ ship between </w:t>
      </w:r>
      <w:r>
        <w:rPr>
          <w:i/>
          <w:w w:val="105"/>
          <w:sz w:val="18"/>
        </w:rPr>
        <w:t>a </w:t>
      </w:r>
      <w:r>
        <w:rPr>
          <w:w w:val="105"/>
        </w:rPr>
        <w:t>and </w:t>
      </w:r>
      <w:r>
        <w:rPr>
          <w:w w:val="105"/>
          <w:sz w:val="22"/>
        </w:rPr>
        <w:t>/3:</w:t>
      </w:r>
    </w:p>
    <w:p>
      <w:pPr>
        <w:spacing w:after="0" w:line="237" w:lineRule="auto"/>
        <w:jc w:val="both"/>
        <w:rPr>
          <w:sz w:val="22"/>
        </w:rPr>
        <w:sectPr>
          <w:pgSz w:w="7200" w:h="11340"/>
          <w:pgMar w:top="500" w:bottom="280" w:left="640" w:right="520"/>
        </w:sectPr>
      </w:pPr>
    </w:p>
    <w:p>
      <w:pPr>
        <w:tabs>
          <w:tab w:pos="2041" w:val="left" w:leader="none"/>
          <w:tab w:pos="5389" w:val="left" w:leader="none"/>
        </w:tabs>
        <w:spacing w:before="60"/>
        <w:ind w:left="152" w:right="0" w:firstLine="0"/>
        <w:jc w:val="both"/>
        <w:rPr>
          <w:rFonts w:ascii="Arial"/>
          <w:b/>
          <w:sz w:val="19"/>
        </w:rPr>
      </w:pPr>
      <w:r>
        <w:rPr>
          <w:spacing w:val="-23"/>
          <w:w w:val="110"/>
          <w:sz w:val="19"/>
        </w:rPr>
        <w:t>138</w:t>
        <w:tab/>
      </w:r>
      <w:r>
        <w:rPr>
          <w:b/>
          <w:sz w:val="15"/>
        </w:rPr>
        <w:t>THE </w:t>
      </w:r>
      <w:r>
        <w:rPr>
          <w:b/>
          <w:spacing w:val="36"/>
          <w:sz w:val="15"/>
        </w:rPr>
        <w:t> </w:t>
      </w:r>
      <w:r>
        <w:rPr>
          <w:b/>
          <w:sz w:val="15"/>
        </w:rPr>
        <w:t>EXPENSE  </w:t>
      </w:r>
      <w:r>
        <w:rPr>
          <w:b/>
          <w:spacing w:val="17"/>
          <w:sz w:val="15"/>
        </w:rPr>
        <w:t> </w:t>
      </w:r>
      <w:r>
        <w:rPr>
          <w:b/>
          <w:sz w:val="15"/>
        </w:rPr>
        <w:t>FACTOR</w:t>
        <w:tab/>
      </w:r>
      <w:r>
        <w:rPr>
          <w:b/>
          <w:w w:val="90"/>
          <w:sz w:val="20"/>
        </w:rPr>
        <w:t>(CH.</w:t>
      </w:r>
      <w:r>
        <w:rPr>
          <w:b/>
          <w:spacing w:val="-9"/>
          <w:w w:val="90"/>
          <w:sz w:val="20"/>
        </w:rPr>
        <w:t> </w:t>
      </w:r>
      <w:r>
        <w:rPr>
          <w:rFonts w:ascii="Arial"/>
          <w:b/>
          <w:w w:val="90"/>
          <w:sz w:val="19"/>
        </w:rPr>
        <w:t>6</w:t>
      </w:r>
    </w:p>
    <w:p>
      <w:pPr>
        <w:pStyle w:val="BodyText"/>
        <w:spacing w:before="7"/>
        <w:rPr>
          <w:rFonts w:ascii="Arial"/>
          <w:b/>
        </w:rPr>
      </w:pPr>
    </w:p>
    <w:p>
      <w:pPr>
        <w:pStyle w:val="BodyText"/>
        <w:ind w:left="1764"/>
      </w:pPr>
      <w:r>
        <w:rPr>
          <w:position w:val="-2"/>
        </w:rPr>
        <w:drawing>
          <wp:inline distT="0" distB="0" distL="0" distR="0">
            <wp:extent cx="1581912" cy="146304"/>
            <wp:effectExtent l="0" t="0" r="0" b="0"/>
            <wp:docPr id="289" name="image150.png" descr=""/>
            <wp:cNvGraphicFramePr>
              <a:graphicFrameLocks noChangeAspect="1"/>
            </wp:cNvGraphicFramePr>
            <a:graphic>
              <a:graphicData uri="http://schemas.openxmlformats.org/drawingml/2006/picture">
                <pic:pic>
                  <pic:nvPicPr>
                    <pic:cNvPr id="290" name="image150.png"/>
                    <pic:cNvPicPr/>
                  </pic:nvPicPr>
                  <pic:blipFill>
                    <a:blip r:embed="rId154" cstate="print"/>
                    <a:stretch>
                      <a:fillRect/>
                    </a:stretch>
                  </pic:blipFill>
                  <pic:spPr>
                    <a:xfrm>
                      <a:off x="0" y="0"/>
                      <a:ext cx="1581912" cy="146304"/>
                    </a:xfrm>
                    <a:prstGeom prst="rect">
                      <a:avLst/>
                    </a:prstGeom>
                  </pic:spPr>
                </pic:pic>
              </a:graphicData>
            </a:graphic>
          </wp:inline>
        </w:drawing>
      </w:r>
      <w:r>
        <w:rPr>
          <w:position w:val="-2"/>
        </w:rPr>
      </w:r>
      <w:r>
        <w:rPr/>
        <w:t>                       </w:t>
      </w:r>
      <w:r>
        <w:rPr>
          <w:w w:val="105"/>
        </w:rPr>
        <w:t>(6.6)</w:t>
      </w:r>
    </w:p>
    <w:p>
      <w:pPr>
        <w:spacing w:line="261" w:lineRule="auto" w:before="135"/>
        <w:ind w:left="134" w:right="119" w:firstLine="0"/>
        <w:jc w:val="both"/>
        <w:rPr>
          <w:sz w:val="19"/>
        </w:rPr>
      </w:pPr>
      <w:r>
        <w:rPr>
          <w:w w:val="110"/>
          <w:sz w:val="19"/>
        </w:rPr>
        <w:t>This is equivalent to a requirement that the first year loading ex­ ceed the rcncwal Ioading by the same amount as the full preliminary term method allows for 20-payment  life insurance.</w:t>
      </w:r>
    </w:p>
    <w:p>
      <w:pPr>
        <w:spacing w:line="221" w:lineRule="exact" w:before="0"/>
        <w:ind w:left="335" w:right="0" w:firstLine="0"/>
        <w:jc w:val="left"/>
        <w:rPr>
          <w:sz w:val="19"/>
        </w:rPr>
      </w:pPr>
      <w:r>
        <w:rPr>
          <w:w w:val="105"/>
          <w:sz w:val="19"/>
        </w:rPr>
        <w:t>Combining  </w:t>
      </w:r>
      <w:r>
        <w:rPr>
          <w:w w:val="105"/>
          <w:sz w:val="20"/>
        </w:rPr>
        <w:t>(6.6 )  </w:t>
      </w:r>
      <w:r>
        <w:rPr>
          <w:w w:val="105"/>
          <w:sz w:val="19"/>
        </w:rPr>
        <w:t>with   </w:t>
      </w:r>
      <w:r>
        <w:rPr>
          <w:w w:val="105"/>
          <w:sz w:val="20"/>
        </w:rPr>
        <w:t>(6.2), </w:t>
      </w:r>
      <w:r>
        <w:rPr>
          <w:w w:val="105"/>
          <w:sz w:val="19"/>
        </w:rPr>
        <w:t>we have</w:t>
      </w:r>
    </w:p>
    <w:p>
      <w:pPr>
        <w:spacing w:after="0" w:line="221" w:lineRule="exact"/>
        <w:jc w:val="left"/>
        <w:rPr>
          <w:sz w:val="19"/>
        </w:rPr>
        <w:sectPr>
          <w:pgSz w:w="7200" w:h="11340"/>
          <w:pgMar w:top="480" w:bottom="280" w:left="640" w:right="560"/>
        </w:sectPr>
      </w:pPr>
    </w:p>
    <w:p>
      <w:pPr>
        <w:spacing w:line="342" w:lineRule="exact" w:before="69"/>
        <w:ind w:left="1880" w:right="-4" w:firstLine="0"/>
        <w:jc w:val="left"/>
        <w:rPr>
          <w:b/>
          <w:i/>
          <w:sz w:val="13"/>
        </w:rPr>
      </w:pPr>
      <w:r>
        <w:rPr/>
        <w:pict>
          <v:line style="position:absolute;mso-position-horizontal-relative:page;mso-position-vertical-relative:paragraph;z-index:-724408" from="200.160004pt,20.958813pt" to="236.880004pt,20.958813pt" stroked="true" strokeweight="5.94pt" strokecolor="#000000">
            <w10:wrap type="none"/>
          </v:line>
        </w:pict>
      </w:r>
      <w:r>
        <w:rPr>
          <w:b/>
          <w:w w:val="105"/>
          <w:sz w:val="12"/>
        </w:rPr>
        <w:t>{3Com  </w:t>
      </w:r>
      <w:r>
        <w:rPr>
          <w:w w:val="105"/>
          <w:sz w:val="23"/>
        </w:rPr>
        <w:t>= </w:t>
      </w:r>
      <w:r>
        <w:rPr>
          <w:b/>
          <w:i/>
          <w:w w:val="105"/>
          <w:sz w:val="21"/>
        </w:rPr>
        <w:t>p </w:t>
      </w:r>
      <w:r>
        <w:rPr>
          <w:rFonts w:ascii="Arial"/>
          <w:w w:val="105"/>
          <w:sz w:val="31"/>
        </w:rPr>
        <w:t>+ </w:t>
      </w:r>
      <w:r>
        <w:rPr>
          <w:b/>
          <w:w w:val="105"/>
          <w:sz w:val="19"/>
        </w:rPr>
        <w:t>19P.rl </w:t>
      </w:r>
      <w:r>
        <w:rPr>
          <w:w w:val="260"/>
          <w:sz w:val="19"/>
        </w:rPr>
        <w:t>- </w:t>
      </w:r>
      <w:r>
        <w:rPr>
          <w:b/>
          <w:i/>
          <w:w w:val="105"/>
          <w:sz w:val="13"/>
        </w:rPr>
        <w:t>C,:  </w:t>
      </w:r>
      <w:r>
        <w:rPr>
          <w:b/>
          <w:i/>
          <w:w w:val="170"/>
          <w:sz w:val="13"/>
        </w:rPr>
        <w:t>'</w:t>
      </w:r>
    </w:p>
    <w:p>
      <w:pPr>
        <w:spacing w:line="215" w:lineRule="exact" w:before="0"/>
        <w:ind w:left="0" w:right="438" w:firstLine="0"/>
        <w:jc w:val="right"/>
        <w:rPr>
          <w:b/>
          <w:i/>
          <w:sz w:val="20"/>
        </w:rPr>
      </w:pPr>
      <w:r>
        <w:rPr>
          <w:b/>
          <w:i/>
          <w:w w:val="70"/>
          <w:sz w:val="20"/>
        </w:rPr>
        <w:t>az:"il</w:t>
      </w:r>
    </w:p>
    <w:p>
      <w:pPr>
        <w:pStyle w:val="BodyText"/>
        <w:spacing w:before="7"/>
        <w:rPr>
          <w:b/>
          <w:i/>
          <w:sz w:val="21"/>
        </w:rPr>
      </w:pPr>
      <w:r>
        <w:rPr/>
        <w:br w:type="column"/>
      </w:r>
      <w:r>
        <w:rPr>
          <w:b/>
          <w:i/>
          <w:sz w:val="21"/>
        </w:rPr>
      </w:r>
    </w:p>
    <w:p>
      <w:pPr>
        <w:pStyle w:val="BodyText"/>
        <w:ind w:left="1183"/>
      </w:pPr>
      <w:r>
        <w:rPr/>
        <w:t>( 6.7a )</w:t>
      </w:r>
    </w:p>
    <w:p>
      <w:pPr>
        <w:spacing w:after="0"/>
        <w:sectPr>
          <w:type w:val="continuous"/>
          <w:pgSz w:w="7200" w:h="11340"/>
          <w:pgMar w:top="1100" w:bottom="0" w:left="640" w:right="560"/>
          <w:cols w:num="2" w:equalWidth="0">
            <w:col w:w="4127" w:space="40"/>
            <w:col w:w="1833"/>
          </w:cols>
        </w:sectPr>
      </w:pPr>
    </w:p>
    <w:p>
      <w:pPr>
        <w:spacing w:line="256" w:lineRule="auto" w:before="105"/>
        <w:ind w:left="126" w:right="125" w:hanging="4"/>
        <w:jc w:val="left"/>
        <w:rPr>
          <w:sz w:val="19"/>
        </w:rPr>
      </w:pPr>
      <w:r>
        <w:rPr>
          <w:w w:val="110"/>
          <w:sz w:val="19"/>
        </w:rPr>
        <w:t>where </w:t>
      </w:r>
      <w:r>
        <w:rPr>
          <w:i/>
          <w:w w:val="110"/>
          <w:sz w:val="20"/>
        </w:rPr>
        <w:t>P </w:t>
      </w:r>
      <w:r>
        <w:rPr>
          <w:w w:val="110"/>
          <w:sz w:val="19"/>
        </w:rPr>
        <w:t>is the nct levcl prcmium, </w:t>
      </w:r>
      <w:r>
        <w:rPr>
          <w:i/>
          <w:w w:val="110"/>
          <w:sz w:val="20"/>
        </w:rPr>
        <w:t>x </w:t>
      </w:r>
      <w:r>
        <w:rPr>
          <w:w w:val="110"/>
          <w:sz w:val="19"/>
        </w:rPr>
        <w:t>is the age at issue, and </w:t>
      </w:r>
      <w:r>
        <w:rPr>
          <w:i/>
          <w:w w:val="110"/>
          <w:sz w:val="20"/>
        </w:rPr>
        <w:t>n </w:t>
      </w:r>
      <w:r>
        <w:rPr>
          <w:w w:val="110"/>
          <w:sz w:val="19"/>
        </w:rPr>
        <w:t>is the premium-paying period. From  (6.6 ),</w:t>
      </w:r>
    </w:p>
    <w:p>
      <w:pPr>
        <w:tabs>
          <w:tab w:pos="5343" w:val="left" w:leader="none"/>
        </w:tabs>
        <w:spacing w:before="75"/>
        <w:ind w:left="1696" w:right="0" w:firstLine="0"/>
        <w:jc w:val="left"/>
        <w:rPr>
          <w:sz w:val="19"/>
        </w:rPr>
      </w:pPr>
      <w:r>
        <w:rPr>
          <w:b/>
          <w:i/>
          <w:w w:val="115"/>
          <w:sz w:val="17"/>
        </w:rPr>
        <w:t>a</w:t>
      </w:r>
      <w:r>
        <w:rPr>
          <w:w w:val="115"/>
          <w:sz w:val="12"/>
        </w:rPr>
        <w:t>Com  </w:t>
      </w:r>
      <w:r>
        <w:rPr>
          <w:w w:val="115"/>
          <w:sz w:val="23"/>
        </w:rPr>
        <w:t>= </w:t>
      </w:r>
      <w:r>
        <w:rPr>
          <w:i/>
          <w:w w:val="115"/>
          <w:sz w:val="13"/>
        </w:rPr>
        <w:t>f)Com  </w:t>
      </w:r>
      <w:r>
        <w:rPr>
          <w:w w:val="420"/>
          <w:sz w:val="13"/>
        </w:rPr>
        <w:t>- </w:t>
      </w:r>
      <w:r>
        <w:rPr>
          <w:b/>
          <w:w w:val="115"/>
          <w:sz w:val="19"/>
        </w:rPr>
        <w:t>(19P</w:t>
      </w:r>
      <w:r>
        <w:rPr>
          <w:w w:val="115"/>
          <w:sz w:val="12"/>
        </w:rPr>
        <w:t>,:+l </w:t>
      </w:r>
      <w:r>
        <w:rPr>
          <w:w w:val="420"/>
          <w:sz w:val="12"/>
        </w:rPr>
        <w:t>-</w:t>
      </w:r>
      <w:r>
        <w:rPr>
          <w:spacing w:val="-104"/>
          <w:w w:val="420"/>
          <w:sz w:val="12"/>
        </w:rPr>
        <w:t> </w:t>
      </w:r>
      <w:r>
        <w:rPr>
          <w:b/>
          <w:sz w:val="19"/>
        </w:rPr>
        <w:t>C,:)</w:t>
      </w:r>
      <w:r>
        <w:rPr>
          <w:b/>
          <w:spacing w:val="-23"/>
          <w:sz w:val="19"/>
        </w:rPr>
        <w:t> </w:t>
      </w:r>
      <w:r>
        <w:rPr>
          <w:b/>
          <w:w w:val="115"/>
          <w:sz w:val="19"/>
        </w:rPr>
        <w:t>.</w:t>
        <w:tab/>
      </w:r>
      <w:r>
        <w:rPr>
          <w:w w:val="115"/>
          <w:position w:val="-2"/>
          <w:sz w:val="19"/>
        </w:rPr>
        <w:t>(6.7b)</w:t>
      </w:r>
    </w:p>
    <w:p>
      <w:pPr>
        <w:spacing w:line="259" w:lineRule="auto" w:before="136"/>
        <w:ind w:left="123" w:right="124" w:firstLine="194"/>
        <w:jc w:val="both"/>
        <w:rPr>
          <w:sz w:val="19"/>
        </w:rPr>
      </w:pPr>
      <w:r>
        <w:rPr>
          <w:w w:val="110"/>
          <w:sz w:val="19"/>
        </w:rPr>
        <w:t>Thc Commissioners reserves may now be obtained by using formulas similar to </w:t>
      </w:r>
      <w:r>
        <w:rPr>
          <w:w w:val="110"/>
          <w:sz w:val="20"/>
        </w:rPr>
        <w:t>(6.3a ) </w:t>
      </w:r>
      <w:r>
        <w:rPr>
          <w:w w:val="110"/>
          <w:sz w:val="19"/>
        </w:rPr>
        <w:t>or (6.3b), or by using the Fackler ac­ cumulation method.</w:t>
      </w:r>
    </w:p>
    <w:p>
      <w:pPr>
        <w:pStyle w:val="BodyText"/>
        <w:spacing w:before="10"/>
        <w:rPr>
          <w:sz w:val="14"/>
        </w:rPr>
      </w:pPr>
    </w:p>
    <w:p>
      <w:pPr>
        <w:spacing w:before="0"/>
        <w:ind w:left="353" w:right="0" w:firstLine="0"/>
        <w:jc w:val="left"/>
        <w:rPr>
          <w:i/>
          <w:sz w:val="19"/>
        </w:rPr>
      </w:pPr>
      <w:r>
        <w:rPr>
          <w:w w:val="105"/>
          <w:sz w:val="18"/>
        </w:rPr>
        <w:t>(b)  </w:t>
      </w:r>
      <w:r>
        <w:rPr>
          <w:i/>
          <w:w w:val="105"/>
          <w:sz w:val="19"/>
        </w:rPr>
        <w:t>The Canadian reserve valuation method</w:t>
      </w:r>
    </w:p>
    <w:p>
      <w:pPr>
        <w:spacing w:line="259" w:lineRule="auto" w:before="105"/>
        <w:ind w:left="105" w:right="136" w:firstLine="208"/>
        <w:jc w:val="both"/>
        <w:rPr>
          <w:sz w:val="19"/>
        </w:rPr>
      </w:pPr>
      <w:r>
        <w:rPr>
          <w:w w:val="115"/>
          <w:sz w:val="19"/>
        </w:rPr>
        <w:t>The Canadian method prescribes </w:t>
      </w:r>
      <w:r>
        <w:rPr>
          <w:rFonts w:ascii="Arial"/>
          <w:w w:val="115"/>
          <w:sz w:val="18"/>
        </w:rPr>
        <w:t>a </w:t>
      </w:r>
      <w:r>
        <w:rPr>
          <w:w w:val="115"/>
          <w:sz w:val="19"/>
        </w:rPr>
        <w:t>special modification for all policies</w:t>
      </w:r>
      <w:r>
        <w:rPr>
          <w:spacing w:val="-10"/>
          <w:w w:val="115"/>
          <w:sz w:val="19"/>
        </w:rPr>
        <w:t> </w:t>
      </w:r>
      <w:r>
        <w:rPr>
          <w:w w:val="115"/>
          <w:sz w:val="19"/>
        </w:rPr>
        <w:t>with</w:t>
      </w:r>
      <w:r>
        <w:rPr>
          <w:spacing w:val="-3"/>
          <w:w w:val="115"/>
          <w:sz w:val="19"/>
        </w:rPr>
        <w:t> </w:t>
      </w:r>
      <w:r>
        <w:rPr>
          <w:rFonts w:ascii="Arial"/>
          <w:w w:val="115"/>
          <w:sz w:val="18"/>
        </w:rPr>
        <w:t>a</w:t>
      </w:r>
      <w:r>
        <w:rPr>
          <w:rFonts w:ascii="Arial"/>
          <w:spacing w:val="-25"/>
          <w:w w:val="115"/>
          <w:sz w:val="18"/>
        </w:rPr>
        <w:t> </w:t>
      </w:r>
      <w:r>
        <w:rPr>
          <w:w w:val="115"/>
          <w:sz w:val="19"/>
        </w:rPr>
        <w:t>net</w:t>
      </w:r>
      <w:r>
        <w:rPr>
          <w:spacing w:val="-8"/>
          <w:w w:val="115"/>
          <w:sz w:val="19"/>
        </w:rPr>
        <w:t> </w:t>
      </w:r>
      <w:r>
        <w:rPr>
          <w:w w:val="115"/>
          <w:sz w:val="19"/>
        </w:rPr>
        <w:t>level</w:t>
      </w:r>
      <w:r>
        <w:rPr>
          <w:spacing w:val="-10"/>
          <w:w w:val="115"/>
          <w:sz w:val="19"/>
        </w:rPr>
        <w:t> </w:t>
      </w:r>
      <w:r>
        <w:rPr>
          <w:w w:val="115"/>
          <w:sz w:val="19"/>
        </w:rPr>
        <w:t>premium</w:t>
      </w:r>
      <w:r>
        <w:rPr>
          <w:spacing w:val="3"/>
          <w:w w:val="115"/>
          <w:sz w:val="19"/>
        </w:rPr>
        <w:t> </w:t>
      </w:r>
      <w:r>
        <w:rPr>
          <w:w w:val="115"/>
          <w:sz w:val="19"/>
        </w:rPr>
        <w:t>greater</w:t>
      </w:r>
      <w:r>
        <w:rPr>
          <w:spacing w:val="-9"/>
          <w:w w:val="115"/>
          <w:sz w:val="19"/>
        </w:rPr>
        <w:t> </w:t>
      </w:r>
      <w:r>
        <w:rPr>
          <w:w w:val="115"/>
          <w:sz w:val="19"/>
        </w:rPr>
        <w:t>than</w:t>
      </w:r>
      <w:r>
        <w:rPr>
          <w:spacing w:val="-8"/>
          <w:w w:val="115"/>
          <w:sz w:val="19"/>
        </w:rPr>
        <w:t> </w:t>
      </w:r>
      <w:r>
        <w:rPr>
          <w:w w:val="115"/>
          <w:sz w:val="19"/>
        </w:rPr>
        <w:t>the</w:t>
      </w:r>
      <w:r>
        <w:rPr>
          <w:spacing w:val="-14"/>
          <w:w w:val="115"/>
          <w:sz w:val="19"/>
        </w:rPr>
        <w:t> </w:t>
      </w:r>
      <w:r>
        <w:rPr>
          <w:w w:val="115"/>
          <w:sz w:val="19"/>
        </w:rPr>
        <w:t>ordinary</w:t>
      </w:r>
      <w:r>
        <w:rPr>
          <w:spacing w:val="-3"/>
          <w:w w:val="115"/>
          <w:sz w:val="19"/>
        </w:rPr>
        <w:t> </w:t>
      </w:r>
      <w:r>
        <w:rPr>
          <w:w w:val="115"/>
          <w:sz w:val="19"/>
        </w:rPr>
        <w:t>Iife</w:t>
      </w:r>
      <w:r>
        <w:rPr>
          <w:spacing w:val="-13"/>
          <w:w w:val="115"/>
          <w:sz w:val="19"/>
        </w:rPr>
        <w:t> </w:t>
      </w:r>
      <w:r>
        <w:rPr>
          <w:w w:val="115"/>
          <w:sz w:val="19"/>
        </w:rPr>
        <w:t>net level</w:t>
      </w:r>
      <w:r>
        <w:rPr>
          <w:spacing w:val="-12"/>
          <w:w w:val="115"/>
          <w:sz w:val="19"/>
        </w:rPr>
        <w:t> </w:t>
      </w:r>
      <w:r>
        <w:rPr>
          <w:w w:val="115"/>
          <w:sz w:val="19"/>
        </w:rPr>
        <w:t>premium</w:t>
      </w:r>
      <w:r>
        <w:rPr>
          <w:spacing w:val="-5"/>
          <w:w w:val="115"/>
          <w:sz w:val="19"/>
        </w:rPr>
        <w:t> </w:t>
      </w:r>
      <w:r>
        <w:rPr>
          <w:w w:val="115"/>
          <w:sz w:val="19"/>
        </w:rPr>
        <w:t>at</w:t>
      </w:r>
      <w:r>
        <w:rPr>
          <w:spacing w:val="-20"/>
          <w:w w:val="115"/>
          <w:sz w:val="19"/>
        </w:rPr>
        <w:t> </w:t>
      </w:r>
      <w:r>
        <w:rPr>
          <w:w w:val="115"/>
          <w:sz w:val="19"/>
        </w:rPr>
        <w:t>the</w:t>
      </w:r>
      <w:r>
        <w:rPr>
          <w:spacing w:val="-19"/>
          <w:w w:val="115"/>
          <w:sz w:val="19"/>
        </w:rPr>
        <w:t> </w:t>
      </w:r>
      <w:r>
        <w:rPr>
          <w:w w:val="115"/>
          <w:sz w:val="19"/>
        </w:rPr>
        <w:t>same</w:t>
      </w:r>
      <w:r>
        <w:rPr>
          <w:spacing w:val="-16"/>
          <w:w w:val="115"/>
          <w:sz w:val="19"/>
        </w:rPr>
        <w:t> </w:t>
      </w:r>
      <w:r>
        <w:rPr>
          <w:w w:val="115"/>
          <w:sz w:val="19"/>
        </w:rPr>
        <w:t>age,</w:t>
      </w:r>
      <w:r>
        <w:rPr>
          <w:spacing w:val="-16"/>
          <w:w w:val="115"/>
          <w:sz w:val="19"/>
        </w:rPr>
        <w:t> </w:t>
      </w:r>
      <w:r>
        <w:rPr>
          <w:w w:val="115"/>
          <w:sz w:val="19"/>
        </w:rPr>
        <w:t>and</w:t>
      </w:r>
      <w:r>
        <w:rPr>
          <w:spacing w:val="-15"/>
          <w:w w:val="115"/>
          <w:sz w:val="19"/>
        </w:rPr>
        <w:t> </w:t>
      </w:r>
      <w:r>
        <w:rPr>
          <w:w w:val="115"/>
          <w:sz w:val="20"/>
        </w:rPr>
        <w:t>full</w:t>
      </w:r>
      <w:r>
        <w:rPr>
          <w:spacing w:val="-16"/>
          <w:w w:val="115"/>
          <w:sz w:val="20"/>
        </w:rPr>
        <w:t> </w:t>
      </w:r>
      <w:r>
        <w:rPr>
          <w:w w:val="115"/>
          <w:sz w:val="19"/>
        </w:rPr>
        <w:t>preliminary</w:t>
      </w:r>
      <w:r>
        <w:rPr>
          <w:spacing w:val="4"/>
          <w:w w:val="115"/>
          <w:sz w:val="19"/>
        </w:rPr>
        <w:t> </w:t>
      </w:r>
      <w:r>
        <w:rPr>
          <w:w w:val="115"/>
          <w:sz w:val="19"/>
        </w:rPr>
        <w:t>term</w:t>
      </w:r>
      <w:r>
        <w:rPr>
          <w:spacing w:val="-12"/>
          <w:w w:val="115"/>
          <w:sz w:val="19"/>
        </w:rPr>
        <w:t> </w:t>
      </w:r>
      <w:r>
        <w:rPr>
          <w:w w:val="115"/>
          <w:sz w:val="19"/>
        </w:rPr>
        <w:t>valuation for all other policies. The modification, which extends ovcr the entire premium-paying period, is based upon the excess of the net level prcmium </w:t>
      </w:r>
      <w:r>
        <w:rPr>
          <w:rFonts w:ascii="Arial"/>
          <w:i/>
          <w:w w:val="115"/>
          <w:sz w:val="20"/>
        </w:rPr>
        <w:t>P </w:t>
      </w:r>
      <w:r>
        <w:rPr>
          <w:w w:val="115"/>
          <w:sz w:val="19"/>
        </w:rPr>
        <w:t>over the first year modified net premium </w:t>
      </w:r>
      <w:r>
        <w:rPr>
          <w:i/>
          <w:w w:val="115"/>
          <w:sz w:val="18"/>
        </w:rPr>
        <w:t>a, </w:t>
      </w:r>
      <w:r>
        <w:rPr>
          <w:w w:val="115"/>
          <w:sz w:val="19"/>
        </w:rPr>
        <w:t>and this exccss, </w:t>
      </w:r>
      <w:r>
        <w:rPr>
          <w:rFonts w:ascii="Arial"/>
          <w:i/>
          <w:w w:val="115"/>
          <w:sz w:val="20"/>
        </w:rPr>
        <w:t>P </w:t>
      </w:r>
      <w:r>
        <w:rPr>
          <w:rFonts w:ascii="Arial"/>
          <w:w w:val="235"/>
          <w:sz w:val="20"/>
        </w:rPr>
        <w:t>- </w:t>
      </w:r>
      <w:r>
        <w:rPr>
          <w:b/>
          <w:i/>
          <w:w w:val="115"/>
          <w:sz w:val="17"/>
        </w:rPr>
        <w:t>a, </w:t>
      </w:r>
      <w:r>
        <w:rPr>
          <w:w w:val="115"/>
          <w:sz w:val="19"/>
        </w:rPr>
        <w:t>is set equal to the corresponding diff erence, </w:t>
      </w:r>
      <w:r>
        <w:rPr>
          <w:rFonts w:ascii="Arial"/>
          <w:i/>
          <w:spacing w:val="1"/>
          <w:w w:val="100"/>
          <w:sz w:val="20"/>
        </w:rPr>
        <w:t>P</w:t>
      </w:r>
      <w:r>
        <w:rPr>
          <w:i/>
          <w:spacing w:val="1"/>
          <w:w w:val="100"/>
          <w:sz w:val="9"/>
        </w:rPr>
        <w:t>1:</w:t>
      </w:r>
      <w:r>
        <w:rPr>
          <w:i/>
          <w:w w:val="100"/>
          <w:sz w:val="9"/>
        </w:rPr>
        <w:t> </w:t>
      </w:r>
      <w:r>
        <w:rPr>
          <w:w w:val="600"/>
          <w:sz w:val="9"/>
        </w:rPr>
        <w:t>- </w:t>
      </w:r>
      <w:r>
        <w:rPr>
          <w:rFonts w:ascii="Arial"/>
          <w:b/>
          <w:i/>
          <w:w w:val="94"/>
          <w:sz w:val="13"/>
        </w:rPr>
        <w:t>Cz </w:t>
      </w:r>
      <w:r>
        <w:rPr>
          <w:rFonts w:ascii="Arial"/>
          <w:w w:val="232"/>
          <w:sz w:val="13"/>
        </w:rPr>
        <w:t>, </w:t>
      </w:r>
      <w:r>
        <w:rPr>
          <w:w w:val="107"/>
          <w:sz w:val="19"/>
        </w:rPr>
        <w:t>produced </w:t>
      </w:r>
      <w:r>
        <w:rPr>
          <w:w w:val="110"/>
          <w:sz w:val="19"/>
        </w:rPr>
        <w:t>by </w:t>
      </w:r>
      <w:r>
        <w:rPr>
          <w:w w:val="117"/>
          <w:sz w:val="19"/>
        </w:rPr>
        <w:t>the </w:t>
      </w:r>
      <w:r>
        <w:rPr>
          <w:w w:val="101"/>
          <w:sz w:val="20"/>
        </w:rPr>
        <w:t>full </w:t>
      </w:r>
      <w:r>
        <w:rPr>
          <w:w w:val="108"/>
          <w:sz w:val="19"/>
        </w:rPr>
        <w:t>preliminary </w:t>
      </w:r>
      <w:r>
        <w:rPr>
          <w:w w:val="114"/>
          <w:sz w:val="19"/>
        </w:rPr>
        <w:t>term </w:t>
      </w:r>
      <w:r>
        <w:rPr>
          <w:w w:val="111"/>
          <w:sz w:val="19"/>
        </w:rPr>
        <w:t>method </w:t>
      </w:r>
      <w:r>
        <w:rPr>
          <w:w w:val="110"/>
          <w:sz w:val="19"/>
        </w:rPr>
        <w:t>applied </w:t>
      </w:r>
      <w:r>
        <w:rPr>
          <w:w w:val="121"/>
          <w:sz w:val="19"/>
        </w:rPr>
        <w:t>to </w:t>
      </w:r>
      <w:r>
        <w:rPr>
          <w:w w:val="115"/>
          <w:sz w:val="19"/>
        </w:rPr>
        <w:t>ordinary life insurance. We thus</w:t>
      </w:r>
      <w:r>
        <w:rPr>
          <w:spacing w:val="-8"/>
          <w:w w:val="115"/>
          <w:sz w:val="19"/>
        </w:rPr>
        <w:t> </w:t>
      </w:r>
      <w:r>
        <w:rPr>
          <w:w w:val="115"/>
          <w:sz w:val="19"/>
        </w:rPr>
        <w:t>have</w:t>
      </w:r>
    </w:p>
    <w:p>
      <w:pPr>
        <w:tabs>
          <w:tab w:pos="4756" w:val="left" w:leader="none"/>
        </w:tabs>
        <w:spacing w:before="62"/>
        <w:ind w:left="2074" w:right="0" w:firstLine="0"/>
        <w:jc w:val="left"/>
        <w:rPr>
          <w:i/>
          <w:sz w:val="20"/>
        </w:rPr>
      </w:pPr>
      <w:r>
        <w:rPr>
          <w:i/>
          <w:w w:val="120"/>
          <w:sz w:val="22"/>
        </w:rPr>
        <w:t>p </w:t>
      </w:r>
      <w:r>
        <w:rPr>
          <w:w w:val="225"/>
          <w:sz w:val="22"/>
        </w:rPr>
        <w:t>- </w:t>
      </w:r>
      <w:r>
        <w:rPr>
          <w:b/>
          <w:i/>
          <w:w w:val="120"/>
          <w:sz w:val="18"/>
        </w:rPr>
        <w:t>a</w:t>
      </w:r>
      <w:r>
        <w:rPr>
          <w:rFonts w:ascii="Arial"/>
          <w:b/>
          <w:w w:val="120"/>
          <w:sz w:val="11"/>
        </w:rPr>
        <w:t>Can  </w:t>
      </w:r>
      <w:r>
        <w:rPr>
          <w:w w:val="120"/>
          <w:sz w:val="23"/>
        </w:rPr>
        <w:t>= </w:t>
      </w:r>
      <w:r>
        <w:rPr>
          <w:i/>
          <w:spacing w:val="11"/>
          <w:w w:val="120"/>
          <w:sz w:val="22"/>
        </w:rPr>
        <w:t>p</w:t>
      </w:r>
      <w:r>
        <w:rPr>
          <w:i/>
          <w:spacing w:val="11"/>
          <w:w w:val="120"/>
          <w:sz w:val="14"/>
        </w:rPr>
        <w:t>z</w:t>
      </w:r>
      <w:r>
        <w:rPr>
          <w:i/>
          <w:spacing w:val="44"/>
          <w:w w:val="120"/>
          <w:sz w:val="14"/>
        </w:rPr>
        <w:t> </w:t>
      </w:r>
      <w:r>
        <w:rPr>
          <w:w w:val="360"/>
          <w:sz w:val="14"/>
        </w:rPr>
        <w:t>-</w:t>
      </w:r>
      <w:r>
        <w:rPr>
          <w:spacing w:val="-78"/>
          <w:w w:val="360"/>
          <w:sz w:val="14"/>
        </w:rPr>
        <w:t> </w:t>
      </w:r>
      <w:r>
        <w:rPr>
          <w:rFonts w:ascii="Arial"/>
          <w:i/>
          <w:sz w:val="13"/>
        </w:rPr>
        <w:t>C:r</w:t>
        <w:tab/>
      </w:r>
      <w:r>
        <w:rPr>
          <w:w w:val="120"/>
          <w:position w:val="-3"/>
          <w:sz w:val="19"/>
        </w:rPr>
        <w:t>for </w:t>
      </w:r>
      <w:r>
        <w:rPr>
          <w:i/>
          <w:w w:val="120"/>
          <w:position w:val="-3"/>
          <w:sz w:val="20"/>
        </w:rPr>
        <w:t>P </w:t>
      </w:r>
      <w:r>
        <w:rPr>
          <w:rFonts w:ascii="Arial"/>
          <w:w w:val="120"/>
          <w:position w:val="-3"/>
          <w:sz w:val="27"/>
        </w:rPr>
        <w:t>&gt;</w:t>
      </w:r>
      <w:r>
        <w:rPr>
          <w:rFonts w:ascii="Arial"/>
          <w:spacing w:val="-61"/>
          <w:w w:val="120"/>
          <w:position w:val="-3"/>
          <w:sz w:val="27"/>
        </w:rPr>
        <w:t> </w:t>
      </w:r>
      <w:r>
        <w:rPr>
          <w:i/>
          <w:w w:val="120"/>
          <w:position w:val="-3"/>
          <w:sz w:val="20"/>
        </w:rPr>
        <w:t>Pz ,</w:t>
      </w:r>
    </w:p>
    <w:p>
      <w:pPr>
        <w:spacing w:after="0"/>
        <w:jc w:val="left"/>
        <w:rPr>
          <w:sz w:val="20"/>
        </w:rPr>
        <w:sectPr>
          <w:type w:val="continuous"/>
          <w:pgSz w:w="7200" w:h="11340"/>
          <w:pgMar w:top="1100" w:bottom="0" w:left="640" w:right="560"/>
        </w:sectPr>
      </w:pPr>
    </w:p>
    <w:p>
      <w:pPr>
        <w:tabs>
          <w:tab w:pos="1923" w:val="left" w:leader="none"/>
        </w:tabs>
        <w:spacing w:line="379" w:lineRule="auto" w:before="93"/>
        <w:ind w:left="105" w:right="0" w:firstLine="0"/>
        <w:jc w:val="left"/>
        <w:rPr>
          <w:sz w:val="19"/>
        </w:rPr>
      </w:pPr>
      <w:r>
        <w:rPr/>
        <w:drawing>
          <wp:anchor distT="0" distB="0" distL="0" distR="0" allowOverlap="1" layoutInCell="1" locked="0" behindDoc="1" simplePos="0" relativeHeight="267710999">
            <wp:simplePos x="0" y="0"/>
            <wp:positionH relativeFrom="page">
              <wp:posOffset>1344167</wp:posOffset>
            </wp:positionH>
            <wp:positionV relativeFrom="paragraph">
              <wp:posOffset>497966</wp:posOffset>
            </wp:positionV>
            <wp:extent cx="1188720" cy="320039"/>
            <wp:effectExtent l="0" t="0" r="0" b="0"/>
            <wp:wrapNone/>
            <wp:docPr id="291" name="image151.png" descr=""/>
            <wp:cNvGraphicFramePr>
              <a:graphicFrameLocks noChangeAspect="1"/>
            </wp:cNvGraphicFramePr>
            <a:graphic>
              <a:graphicData uri="http://schemas.openxmlformats.org/drawingml/2006/picture">
                <pic:pic>
                  <pic:nvPicPr>
                    <pic:cNvPr id="292" name="image151.png"/>
                    <pic:cNvPicPr/>
                  </pic:nvPicPr>
                  <pic:blipFill>
                    <a:blip r:embed="rId155" cstate="print"/>
                    <a:stretch>
                      <a:fillRect/>
                    </a:stretch>
                  </pic:blipFill>
                  <pic:spPr>
                    <a:xfrm>
                      <a:off x="0" y="0"/>
                      <a:ext cx="1188720" cy="320039"/>
                    </a:xfrm>
                    <a:prstGeom prst="rect">
                      <a:avLst/>
                    </a:prstGeom>
                  </pic:spPr>
                </pic:pic>
              </a:graphicData>
            </a:graphic>
          </wp:anchor>
        </w:drawing>
      </w:r>
      <w:r>
        <w:rPr>
          <w:w w:val="105"/>
          <w:sz w:val="19"/>
        </w:rPr>
        <w:t>whence</w:t>
        <w:tab/>
      </w:r>
      <w:r>
        <w:rPr>
          <w:position w:val="-3"/>
          <w:sz w:val="19"/>
        </w:rPr>
        <w:drawing>
          <wp:inline distT="0" distB="0" distL="0" distR="0">
            <wp:extent cx="1325880" cy="155448"/>
            <wp:effectExtent l="0" t="0" r="0" b="0"/>
            <wp:docPr id="293" name="image152.png" descr=""/>
            <wp:cNvGraphicFramePr>
              <a:graphicFrameLocks noChangeAspect="1"/>
            </wp:cNvGraphicFramePr>
            <a:graphic>
              <a:graphicData uri="http://schemas.openxmlformats.org/drawingml/2006/picture">
                <pic:pic>
                  <pic:nvPicPr>
                    <pic:cNvPr id="294" name="image152.png"/>
                    <pic:cNvPicPr/>
                  </pic:nvPicPr>
                  <pic:blipFill>
                    <a:blip r:embed="rId156" cstate="print"/>
                    <a:stretch>
                      <a:fillRect/>
                    </a:stretch>
                  </pic:blipFill>
                  <pic:spPr>
                    <a:xfrm>
                      <a:off x="0" y="0"/>
                      <a:ext cx="1325880" cy="155448"/>
                    </a:xfrm>
                    <a:prstGeom prst="rect">
                      <a:avLst/>
                    </a:prstGeom>
                  </pic:spPr>
                </pic:pic>
              </a:graphicData>
            </a:graphic>
          </wp:inline>
        </w:drawing>
      </w:r>
      <w:r>
        <w:rPr>
          <w:position w:val="-3"/>
          <w:sz w:val="19"/>
        </w:rPr>
      </w:r>
      <w:r>
        <w:rPr>
          <w:position w:val="-3"/>
          <w:sz w:val="19"/>
        </w:rPr>
        <w:t>              </w:t>
      </w:r>
      <w:r>
        <w:rPr>
          <w:w w:val="110"/>
          <w:sz w:val="19"/>
        </w:rPr>
        <w:t>Then,  from </w:t>
      </w:r>
      <w:r>
        <w:rPr>
          <w:spacing w:val="8"/>
          <w:w w:val="110"/>
          <w:sz w:val="19"/>
        </w:rPr>
        <w:t> </w:t>
      </w:r>
      <w:r>
        <w:rPr>
          <w:w w:val="110"/>
          <w:sz w:val="19"/>
        </w:rPr>
        <w:t>(6.1)</w:t>
      </w:r>
    </w:p>
    <w:p>
      <w:pPr>
        <w:pStyle w:val="BodyText"/>
        <w:spacing w:before="108"/>
        <w:ind w:left="105"/>
      </w:pPr>
      <w:r>
        <w:rPr/>
        <w:br w:type="column"/>
      </w:r>
      <w:r>
        <w:rPr>
          <w:w w:val="110"/>
        </w:rPr>
        <w:t>(6.8a)</w:t>
      </w:r>
    </w:p>
    <w:p>
      <w:pPr>
        <w:spacing w:after="0"/>
        <w:sectPr>
          <w:type w:val="continuous"/>
          <w:pgSz w:w="7200" w:h="11340"/>
          <w:pgMar w:top="1100" w:bottom="0" w:left="640" w:right="560"/>
          <w:cols w:num="2" w:equalWidth="0">
            <w:col w:w="4012" w:space="1223"/>
            <w:col w:w="765"/>
          </w:cols>
        </w:sectPr>
      </w:pPr>
    </w:p>
    <w:p>
      <w:pPr>
        <w:pStyle w:val="BodyText"/>
      </w:pPr>
    </w:p>
    <w:p>
      <w:pPr>
        <w:pStyle w:val="BodyText"/>
        <w:spacing w:before="11"/>
        <w:rPr>
          <w:sz w:val="16"/>
        </w:rPr>
      </w:pPr>
    </w:p>
    <w:p>
      <w:pPr>
        <w:spacing w:after="0"/>
        <w:rPr>
          <w:sz w:val="16"/>
        </w:rPr>
        <w:sectPr>
          <w:type w:val="continuous"/>
          <w:pgSz w:w="7200" w:h="11340"/>
          <w:pgMar w:top="1100" w:bottom="0" w:left="640" w:right="560"/>
        </w:sectPr>
      </w:pPr>
    </w:p>
    <w:p>
      <w:pPr>
        <w:pStyle w:val="BodyText"/>
        <w:rPr>
          <w:sz w:val="18"/>
        </w:rPr>
      </w:pPr>
    </w:p>
    <w:p>
      <w:pPr>
        <w:pStyle w:val="BodyText"/>
        <w:rPr>
          <w:sz w:val="18"/>
        </w:rPr>
      </w:pPr>
    </w:p>
    <w:p>
      <w:pPr>
        <w:pStyle w:val="BodyText"/>
        <w:spacing w:before="4"/>
        <w:rPr>
          <w:sz w:val="26"/>
        </w:rPr>
      </w:pPr>
    </w:p>
    <w:p>
      <w:pPr>
        <w:spacing w:before="0"/>
        <w:ind w:left="101" w:right="0" w:firstLine="0"/>
        <w:jc w:val="left"/>
        <w:rPr>
          <w:sz w:val="19"/>
        </w:rPr>
      </w:pPr>
      <w:r>
        <w:rPr/>
        <w:drawing>
          <wp:anchor distT="0" distB="0" distL="0" distR="0" allowOverlap="1" layoutInCell="1" locked="0" behindDoc="0" simplePos="0" relativeHeight="11632">
            <wp:simplePos x="0" y="0"/>
            <wp:positionH relativeFrom="page">
              <wp:posOffset>1673351</wp:posOffset>
            </wp:positionH>
            <wp:positionV relativeFrom="paragraph">
              <wp:posOffset>210936</wp:posOffset>
            </wp:positionV>
            <wp:extent cx="1234439" cy="301752"/>
            <wp:effectExtent l="0" t="0" r="0" b="0"/>
            <wp:wrapNone/>
            <wp:docPr id="295" name="image153.png" descr=""/>
            <wp:cNvGraphicFramePr>
              <a:graphicFrameLocks noChangeAspect="1"/>
            </wp:cNvGraphicFramePr>
            <a:graphic>
              <a:graphicData uri="http://schemas.openxmlformats.org/drawingml/2006/picture">
                <pic:pic>
                  <pic:nvPicPr>
                    <pic:cNvPr id="296" name="image153.png"/>
                    <pic:cNvPicPr/>
                  </pic:nvPicPr>
                  <pic:blipFill>
                    <a:blip r:embed="rId157" cstate="print"/>
                    <a:stretch>
                      <a:fillRect/>
                    </a:stretch>
                  </pic:blipFill>
                  <pic:spPr>
                    <a:xfrm>
                      <a:off x="0" y="0"/>
                      <a:ext cx="1234439" cy="301752"/>
                    </a:xfrm>
                    <a:prstGeom prst="rect">
                      <a:avLst/>
                    </a:prstGeom>
                  </pic:spPr>
                </pic:pic>
              </a:graphicData>
            </a:graphic>
          </wp:anchor>
        </w:drawing>
      </w:r>
      <w:r>
        <w:rPr>
          <w:w w:val="110"/>
          <w:sz w:val="19"/>
        </w:rPr>
        <w:t>which reduces to</w:t>
      </w:r>
    </w:p>
    <w:p>
      <w:pPr>
        <w:spacing w:before="60"/>
        <w:ind w:left="101" w:right="-16" w:firstLine="0"/>
        <w:jc w:val="left"/>
        <w:rPr>
          <w:b/>
          <w:sz w:val="20"/>
        </w:rPr>
      </w:pPr>
      <w:r>
        <w:rPr/>
        <w:br w:type="column"/>
      </w:r>
      <w:r>
        <w:rPr>
          <w:w w:val="105"/>
          <w:sz w:val="24"/>
        </w:rPr>
        <w:t>=</w:t>
      </w:r>
      <w:r>
        <w:rPr>
          <w:spacing w:val="27"/>
          <w:sz w:val="24"/>
        </w:rPr>
        <w:t> </w:t>
      </w:r>
      <w:r>
        <w:rPr>
          <w:rFonts w:ascii="Arial"/>
          <w:b/>
          <w:i/>
          <w:spacing w:val="-8"/>
          <w:w w:val="245"/>
          <w:sz w:val="20"/>
        </w:rPr>
        <w:t>P</w:t>
      </w:r>
      <w:r>
        <w:rPr>
          <w:rFonts w:ascii="Arial"/>
          <w:b/>
          <w:i/>
          <w:w w:val="54"/>
          <w:sz w:val="20"/>
        </w:rPr>
        <w:t>:i"J</w:t>
      </w:r>
      <w:r>
        <w:rPr>
          <w:rFonts w:ascii="Arial"/>
          <w:b/>
          <w:i/>
          <w:sz w:val="20"/>
        </w:rPr>
        <w:t> </w:t>
      </w:r>
      <w:r>
        <w:rPr>
          <w:rFonts w:ascii="Arial"/>
          <w:b/>
          <w:i/>
          <w:spacing w:val="-4"/>
          <w:sz w:val="20"/>
        </w:rPr>
        <w:t> </w:t>
      </w:r>
      <w:r>
        <w:rPr>
          <w:rFonts w:ascii="Arial"/>
          <w:w w:val="255"/>
          <w:sz w:val="20"/>
        </w:rPr>
        <w:t>-</w:t>
      </w:r>
      <w:r>
        <w:rPr>
          <w:rFonts w:ascii="Arial"/>
          <w:spacing w:val="11"/>
          <w:sz w:val="20"/>
        </w:rPr>
        <w:t> </w:t>
      </w:r>
      <w:r>
        <w:rPr>
          <w:rFonts w:ascii="Arial"/>
          <w:b/>
          <w:i/>
          <w:w w:val="106"/>
          <w:sz w:val="20"/>
        </w:rPr>
        <w:t>P</w:t>
      </w:r>
      <w:r>
        <w:rPr>
          <w:rFonts w:ascii="Arial"/>
          <w:b/>
          <w:i/>
          <w:spacing w:val="25"/>
          <w:sz w:val="20"/>
        </w:rPr>
        <w:t> </w:t>
      </w:r>
      <w:r>
        <w:rPr>
          <w:rFonts w:ascii="Arial"/>
          <w:w w:val="107"/>
          <w:sz w:val="31"/>
        </w:rPr>
        <w:t>+</w:t>
      </w:r>
      <w:r>
        <w:rPr>
          <w:rFonts w:ascii="Arial"/>
          <w:spacing w:val="-15"/>
          <w:sz w:val="31"/>
        </w:rPr>
        <w:t> </w:t>
      </w:r>
      <w:r>
        <w:rPr>
          <w:rFonts w:ascii="Arial"/>
          <w:b/>
          <w:i/>
          <w:w w:val="75"/>
          <w:sz w:val="20"/>
        </w:rPr>
        <w:t>(</w:t>
      </w:r>
      <w:r>
        <w:rPr>
          <w:rFonts w:ascii="Arial"/>
          <w:b/>
          <w:i/>
          <w:spacing w:val="-27"/>
          <w:sz w:val="20"/>
        </w:rPr>
        <w:t> </w:t>
      </w:r>
      <w:r>
        <w:rPr>
          <w:rFonts w:ascii="Arial"/>
          <w:b/>
          <w:i/>
          <w:w w:val="91"/>
          <w:sz w:val="20"/>
        </w:rPr>
        <w:t>P,,</w:t>
      </w:r>
      <w:r>
        <w:rPr>
          <w:rFonts w:ascii="Arial"/>
          <w:b/>
          <w:i/>
          <w:spacing w:val="22"/>
          <w:sz w:val="20"/>
        </w:rPr>
        <w:t> </w:t>
      </w:r>
      <w:r>
        <w:rPr>
          <w:rFonts w:ascii="Arial"/>
          <w:w w:val="268"/>
          <w:sz w:val="20"/>
        </w:rPr>
        <w:t>-</w:t>
      </w:r>
      <w:r>
        <w:rPr>
          <w:rFonts w:ascii="Arial"/>
          <w:spacing w:val="2"/>
          <w:sz w:val="20"/>
        </w:rPr>
        <w:t> </w:t>
      </w:r>
      <w:r>
        <w:rPr>
          <w:b/>
          <w:w w:val="77"/>
          <w:sz w:val="20"/>
        </w:rPr>
        <w:t>Cz</w:t>
      </w:r>
      <w:r>
        <w:rPr>
          <w:b/>
          <w:w w:val="77"/>
          <w:sz w:val="20"/>
        </w:rPr>
        <w:t>)</w:t>
      </w:r>
    </w:p>
    <w:p>
      <w:pPr>
        <w:spacing w:before="39"/>
        <w:ind w:left="1160" w:right="-16" w:firstLine="0"/>
        <w:jc w:val="left"/>
        <w:rPr>
          <w:sz w:val="15"/>
        </w:rPr>
      </w:pPr>
      <w:r>
        <w:rPr/>
        <w:pict>
          <v:line style="position:absolute;mso-position-horizontal-relative:page;mso-position-vertical-relative:paragraph;z-index:-724384" from="241.380005pt,-3.108047pt" to="244.080005pt,-3.108047pt" stroked="true" strokeweight=".36pt" strokecolor="#000000">
            <w10:wrap type="none"/>
          </v:line>
        </w:pict>
      </w:r>
      <w:r>
        <w:rPr>
          <w:w w:val="115"/>
          <w:sz w:val="15"/>
        </w:rPr>
        <w:t>Oz:a=i)</w:t>
      </w:r>
    </w:p>
    <w:p>
      <w:pPr>
        <w:pStyle w:val="BodyText"/>
      </w:pPr>
      <w:r>
        <w:rPr/>
        <w:br w:type="column"/>
      </w:r>
      <w:r>
        <w:rPr/>
      </w:r>
    </w:p>
    <w:p>
      <w:pPr>
        <w:pStyle w:val="BodyText"/>
      </w:pPr>
    </w:p>
    <w:p>
      <w:pPr>
        <w:pStyle w:val="BodyText"/>
      </w:pPr>
    </w:p>
    <w:p>
      <w:pPr>
        <w:pStyle w:val="BodyText"/>
      </w:pPr>
    </w:p>
    <w:p>
      <w:pPr>
        <w:pStyle w:val="BodyText"/>
        <w:spacing w:before="1"/>
        <w:rPr>
          <w:sz w:val="19"/>
        </w:rPr>
      </w:pPr>
    </w:p>
    <w:p>
      <w:pPr>
        <w:pStyle w:val="BodyText"/>
        <w:spacing w:before="1"/>
        <w:ind w:left="101"/>
      </w:pPr>
      <w:r>
        <w:rPr>
          <w:w w:val="110"/>
        </w:rPr>
        <w:t>(6.8b)</w:t>
      </w:r>
    </w:p>
    <w:p>
      <w:pPr>
        <w:spacing w:after="0"/>
        <w:sectPr>
          <w:type w:val="continuous"/>
          <w:pgSz w:w="7200" w:h="11340"/>
          <w:pgMar w:top="1100" w:bottom="0" w:left="640" w:right="560"/>
          <w:cols w:num="3" w:equalWidth="0">
            <w:col w:w="1549" w:space="272"/>
            <w:col w:w="2521" w:space="870"/>
            <w:col w:w="788"/>
          </w:cols>
        </w:sectPr>
      </w:pPr>
    </w:p>
    <w:p>
      <w:pPr>
        <w:tabs>
          <w:tab w:pos="2407" w:val="left" w:leader="none"/>
          <w:tab w:pos="5910" w:val="right" w:leader="none"/>
        </w:tabs>
        <w:spacing w:before="44"/>
        <w:ind w:left="120" w:right="0" w:firstLine="0"/>
        <w:jc w:val="left"/>
        <w:rPr>
          <w:rFonts w:ascii="Courier New"/>
          <w:sz w:val="22"/>
        </w:rPr>
      </w:pPr>
      <w:r>
        <w:rPr>
          <w:b/>
          <w:color w:val="010101"/>
          <w:position w:val="1"/>
          <w:sz w:val="15"/>
        </w:rPr>
        <w:t>SEC.  </w:t>
      </w:r>
      <w:r>
        <w:rPr>
          <w:b/>
          <w:color w:val="010101"/>
          <w:position w:val="1"/>
          <w:sz w:val="20"/>
        </w:rPr>
        <w:t>5]</w:t>
        <w:tab/>
      </w:r>
      <w:r>
        <w:rPr>
          <w:b/>
          <w:color w:val="010101"/>
          <w:sz w:val="15"/>
        </w:rPr>
        <w:t>CASH </w:t>
      </w:r>
      <w:r>
        <w:rPr>
          <w:b/>
          <w:color w:val="010101"/>
          <w:spacing w:val="28"/>
          <w:sz w:val="15"/>
        </w:rPr>
        <w:t> </w:t>
      </w:r>
      <w:r>
        <w:rPr>
          <w:b/>
          <w:color w:val="010101"/>
          <w:sz w:val="15"/>
        </w:rPr>
        <w:t>VALUES</w:t>
      </w:r>
      <w:r>
        <w:rPr>
          <w:rFonts w:ascii="Courier New"/>
          <w:color w:val="010101"/>
          <w:sz w:val="22"/>
        </w:rPr>
        <w:tab/>
      </w:r>
      <w:r>
        <w:rPr>
          <w:rFonts w:ascii="Courier New"/>
          <w:color w:val="010101"/>
          <w:spacing w:val="-6"/>
          <w:sz w:val="22"/>
        </w:rPr>
        <w:t>139</w:t>
      </w:r>
    </w:p>
    <w:p>
      <w:pPr>
        <w:pStyle w:val="BodyText"/>
        <w:rPr>
          <w:rFonts w:ascii="Courier New"/>
          <w:sz w:val="19"/>
        </w:rPr>
      </w:pPr>
    </w:p>
    <w:p>
      <w:pPr>
        <w:pStyle w:val="ListParagraph"/>
        <w:numPr>
          <w:ilvl w:val="0"/>
          <w:numId w:val="60"/>
        </w:numPr>
        <w:tabs>
          <w:tab w:pos="369" w:val="left" w:leader="none"/>
        </w:tabs>
        <w:spacing w:line="240" w:lineRule="auto" w:before="1" w:after="0"/>
        <w:ind w:left="368" w:right="0" w:hanging="244"/>
        <w:jc w:val="both"/>
        <w:rPr>
          <w:b/>
          <w:color w:val="010101"/>
          <w:sz w:val="21"/>
        </w:rPr>
      </w:pPr>
      <w:r>
        <w:rPr>
          <w:b/>
          <w:color w:val="010101"/>
          <w:w w:val="105"/>
          <w:sz w:val="21"/>
        </w:rPr>
        <w:t>Cash</w:t>
      </w:r>
      <w:r>
        <w:rPr>
          <w:b/>
          <w:color w:val="010101"/>
          <w:spacing w:val="10"/>
          <w:w w:val="105"/>
          <w:sz w:val="21"/>
        </w:rPr>
        <w:t> </w:t>
      </w:r>
      <w:r>
        <w:rPr>
          <w:b/>
          <w:color w:val="010101"/>
          <w:w w:val="105"/>
          <w:sz w:val="21"/>
        </w:rPr>
        <w:t>values</w:t>
      </w:r>
    </w:p>
    <w:p>
      <w:pPr>
        <w:pStyle w:val="BodyText"/>
        <w:spacing w:line="249" w:lineRule="auto" w:before="80"/>
        <w:ind w:left="124" w:right="150" w:firstLine="201"/>
        <w:jc w:val="both"/>
      </w:pPr>
      <w:r>
        <w:rPr>
          <w:color w:val="010101"/>
          <w:w w:val="105"/>
        </w:rPr>
        <w:t>An important feature of the modern lif e insurance policy is the provision for nonforfeiture in the event of default in premium pay­ ment. The usual nonforfeiture clause provides for a cash surrender value, together with a choice of other options involving insurance benefi in place of the cash value. The determination of the equi­ table amount of cash value to </w:t>
      </w:r>
      <w:r>
        <w:rPr>
          <w:color w:val="010101"/>
          <w:w w:val="105"/>
          <w:sz w:val="19"/>
        </w:rPr>
        <w:t>be </w:t>
      </w:r>
      <w:r>
        <w:rPr>
          <w:color w:val="010101"/>
          <w:w w:val="105"/>
        </w:rPr>
        <w:t>paid to a discontinuing policy­ holder is </w:t>
      </w:r>
      <w:r>
        <w:rPr>
          <w:rFonts w:ascii="Arial" w:hAnsi="Arial"/>
          <w:color w:val="010101"/>
          <w:w w:val="105"/>
          <w:sz w:val="17"/>
        </w:rPr>
        <w:t>a </w:t>
      </w:r>
      <w:r>
        <w:rPr>
          <w:color w:val="010101"/>
          <w:w w:val="105"/>
        </w:rPr>
        <w:t>problem requiring careful analysis. The surrendering policyholder is entitled to </w:t>
      </w:r>
      <w:r>
        <w:rPr>
          <w:rFonts w:ascii="Arial" w:hAnsi="Arial"/>
          <w:color w:val="010101"/>
          <w:w w:val="105"/>
          <w:sz w:val="17"/>
        </w:rPr>
        <w:t>a </w:t>
      </w:r>
      <w:r>
        <w:rPr>
          <w:color w:val="010101"/>
          <w:w w:val="105"/>
        </w:rPr>
        <w:t>value based on the amount which  he  has contributed to the insurer's funds, after deductions have been made for the cost of insurance and expenses. </w:t>
      </w:r>
      <w:r>
        <w:rPr>
          <w:color w:val="010101"/>
          <w:w w:val="105"/>
          <w:sz w:val="22"/>
        </w:rPr>
        <w:t>In </w:t>
      </w:r>
      <w:r>
        <w:rPr>
          <w:color w:val="010101"/>
          <w:w w:val="105"/>
        </w:rPr>
        <w:t>policies of term insurance, the resulting value is often so small that no nonforfeiture clause is required. With life and endowment plans, however, the nonforfeiturc clause is a standard </w:t>
      </w:r>
      <w:r>
        <w:rPr>
          <w:color w:val="010101"/>
          <w:spacing w:val="24"/>
          <w:w w:val="105"/>
        </w:rPr>
        <w:t> </w:t>
      </w:r>
      <w:r>
        <w:rPr>
          <w:color w:val="010101"/>
          <w:w w:val="105"/>
        </w:rPr>
        <w:t>provision.</w:t>
      </w:r>
    </w:p>
    <w:p>
      <w:pPr>
        <w:pStyle w:val="BodyText"/>
        <w:spacing w:line="252" w:lineRule="auto" w:before="2"/>
        <w:ind w:left="124" w:right="147" w:firstLine="208"/>
        <w:jc w:val="both"/>
      </w:pPr>
      <w:r>
        <w:rPr>
          <w:color w:val="010101"/>
        </w:rPr>
        <w:t>For many years, it was the practice to compute cash values </w:t>
      </w:r>
      <w:r>
        <w:rPr>
          <w:color w:val="010101"/>
          <w:sz w:val="19"/>
        </w:rPr>
        <w:t>by </w:t>
      </w:r>
      <w:r>
        <w:rPr>
          <w:color w:val="010101"/>
        </w:rPr>
        <w:t>applying a scale of deductions to the terminal reserves. Thesc de­ ductions varied by duration and by plan of insurance, and were designed so that the resulting cash values would  have  a  proper relation to the  actual  funds  accumulated  by  the  insurer  on  the given policies. The method was somewhat artificial, and since the deductions were called </w:t>
      </w:r>
      <w:r>
        <w:rPr>
          <w:i/>
          <w:color w:val="010101"/>
          <w:sz w:val="19"/>
        </w:rPr>
        <w:t>surrender charges, </w:t>
      </w:r>
      <w:r>
        <w:rPr>
          <w:color w:val="010101"/>
        </w:rPr>
        <w:t>they were of ten misunder­ stood  by  the </w:t>
      </w:r>
      <w:r>
        <w:rPr>
          <w:color w:val="010101"/>
          <w:spacing w:val="9"/>
        </w:rPr>
        <w:t> </w:t>
      </w:r>
      <w:r>
        <w:rPr>
          <w:color w:val="010101"/>
        </w:rPr>
        <w:t>policyholders.</w:t>
      </w:r>
    </w:p>
    <w:p>
      <w:pPr>
        <w:pStyle w:val="BodyText"/>
        <w:spacing w:line="249" w:lineRule="auto"/>
        <w:ind w:left="124" w:right="147" w:firstLine="204"/>
        <w:jc w:val="both"/>
      </w:pPr>
      <w:r>
        <w:rPr>
          <w:color w:val="010101"/>
          <w:w w:val="105"/>
        </w:rPr>
        <w:t>Modern practice involves the computation of cash values by a more realistic  approach,  the </w:t>
      </w:r>
      <w:r>
        <w:rPr>
          <w:i/>
          <w:color w:val="010101"/>
          <w:w w:val="105"/>
          <w:sz w:val="19"/>
        </w:rPr>
        <w:t>adjusted premium  method . </w:t>
      </w:r>
      <w:r>
        <w:rPr>
          <w:color w:val="010101"/>
          <w:w w:val="105"/>
        </w:rPr>
        <w:t>The laws  of most states now prescribe this method as t.he basis for deter­ mining mínimum cash values.</w:t>
      </w:r>
    </w:p>
    <w:p>
      <w:pPr>
        <w:pStyle w:val="BodyText"/>
        <w:spacing w:line="249" w:lineRule="auto" w:before="2"/>
        <w:ind w:left="124" w:right="158" w:firstLine="201"/>
        <w:jc w:val="both"/>
      </w:pPr>
      <w:r>
        <w:rPr>
          <w:color w:val="010101"/>
          <w:w w:val="105"/>
        </w:rPr>
        <w:t>With this method, the expense on a policy is assumed  to be of two kinds: </w:t>
      </w:r>
      <w:r>
        <w:rPr>
          <w:rFonts w:ascii="Arial"/>
          <w:b/>
          <w:color w:val="010101"/>
          <w:w w:val="105"/>
          <w:sz w:val="19"/>
        </w:rPr>
        <w:t>(1) </w:t>
      </w:r>
      <w:r>
        <w:rPr>
          <w:rFonts w:ascii="Arial"/>
          <w:color w:val="010101"/>
          <w:w w:val="105"/>
          <w:sz w:val="17"/>
        </w:rPr>
        <w:t>a </w:t>
      </w:r>
      <w:r>
        <w:rPr>
          <w:color w:val="010101"/>
          <w:w w:val="105"/>
        </w:rPr>
        <w:t>level amount </w:t>
      </w:r>
      <w:r>
        <w:rPr>
          <w:i/>
          <w:color w:val="010101"/>
          <w:w w:val="105"/>
        </w:rPr>
        <w:t>E </w:t>
      </w:r>
      <w:r>
        <w:rPr>
          <w:color w:val="010101"/>
          <w:w w:val="105"/>
        </w:rPr>
        <w:t>incurred each year throughout the premium-paying  period,  and  (2 )  an  additional  first year amount</w:t>
      </w:r>
    </w:p>
    <w:p>
      <w:pPr>
        <w:spacing w:line="242" w:lineRule="exact" w:before="0"/>
        <w:ind w:left="124" w:right="0" w:firstLine="0"/>
        <w:jc w:val="both"/>
        <w:rPr>
          <w:rFonts w:ascii="Arial" w:hAnsi="Arial"/>
          <w:i/>
          <w:sz w:val="11"/>
        </w:rPr>
      </w:pPr>
      <w:r>
        <w:rPr>
          <w:color w:val="010101"/>
          <w:sz w:val="22"/>
        </w:rPr>
        <w:t>E</w:t>
      </w:r>
      <w:r>
        <w:rPr>
          <w:color w:val="010101"/>
          <w:position w:val="10"/>
          <w:sz w:val="11"/>
        </w:rPr>
        <w:t>1</w:t>
      </w:r>
      <w:r>
        <w:rPr>
          <w:color w:val="010101"/>
          <w:sz w:val="11"/>
        </w:rPr>
        <w:t>•   </w:t>
      </w:r>
      <w:r>
        <w:rPr>
          <w:color w:val="010101"/>
          <w:sz w:val="20"/>
        </w:rPr>
        <w:t>The  total  first year  expense  is thus </w:t>
      </w:r>
      <w:r>
        <w:rPr>
          <w:i/>
          <w:color w:val="010101"/>
          <w:sz w:val="20"/>
        </w:rPr>
        <w:t>E  </w:t>
      </w:r>
      <w:r>
        <w:rPr>
          <w:rFonts w:ascii="Arial" w:hAnsi="Arial"/>
          <w:color w:val="010101"/>
          <w:sz w:val="31"/>
        </w:rPr>
        <w:t>+ </w:t>
      </w:r>
      <w:r>
        <w:rPr>
          <w:i/>
          <w:color w:val="010101"/>
          <w:sz w:val="20"/>
        </w:rPr>
        <w:t>E </w:t>
      </w:r>
      <w:r>
        <w:rPr>
          <w:rFonts w:ascii="Arial" w:hAnsi="Arial"/>
          <w:i/>
          <w:color w:val="010101"/>
          <w:position w:val="10"/>
          <w:sz w:val="11"/>
        </w:rPr>
        <w:t>1 </w:t>
      </w:r>
      <w:r>
        <w:rPr>
          <w:rFonts w:ascii="Arial" w:hAnsi="Arial"/>
          <w:i/>
          <w:color w:val="010101"/>
          <w:sz w:val="11"/>
        </w:rPr>
        <w:t>•</w:t>
      </w:r>
    </w:p>
    <w:p>
      <w:pPr>
        <w:spacing w:line="225" w:lineRule="auto" w:before="0"/>
        <w:ind w:left="117" w:right="216" w:firstLine="201"/>
        <w:jc w:val="both"/>
        <w:rPr>
          <w:sz w:val="22"/>
        </w:rPr>
      </w:pPr>
      <w:r>
        <w:rPr>
          <w:color w:val="010101"/>
          <w:w w:val="105"/>
          <w:sz w:val="20"/>
        </w:rPr>
        <w:t>The gross premium </w:t>
      </w:r>
      <w:r>
        <w:rPr>
          <w:i/>
          <w:color w:val="010101"/>
          <w:w w:val="105"/>
          <w:sz w:val="21"/>
        </w:rPr>
        <w:t>G is </w:t>
      </w:r>
      <w:r>
        <w:rPr>
          <w:color w:val="010101"/>
          <w:w w:val="105"/>
          <w:sz w:val="20"/>
        </w:rPr>
        <w:t>assumed to be made up of an </w:t>
      </w:r>
      <w:r>
        <w:rPr>
          <w:i/>
          <w:color w:val="010101"/>
          <w:w w:val="105"/>
          <w:sz w:val="19"/>
        </w:rPr>
        <w:t>adjusted </w:t>
      </w:r>
      <w:r>
        <w:rPr>
          <w:i/>
          <w:color w:val="010101"/>
          <w:w w:val="105"/>
          <w:sz w:val="19"/>
        </w:rPr>
        <w:t>premium  </w:t>
      </w:r>
      <w:r>
        <w:rPr>
          <w:i/>
          <w:color w:val="010101"/>
          <w:w w:val="105"/>
          <w:sz w:val="21"/>
        </w:rPr>
        <w:t>pA  </w:t>
      </w:r>
      <w:r>
        <w:rPr>
          <w:color w:val="010101"/>
          <w:w w:val="105"/>
          <w:sz w:val="20"/>
        </w:rPr>
        <w:t>plus a loading equal to the level annual expense   </w:t>
      </w:r>
      <w:r>
        <w:rPr>
          <w:color w:val="010101"/>
          <w:w w:val="105"/>
          <w:sz w:val="22"/>
        </w:rPr>
        <w:t>E:</w:t>
      </w:r>
    </w:p>
    <w:p>
      <w:pPr>
        <w:spacing w:before="20"/>
        <w:ind w:left="293" w:right="306" w:firstLine="0"/>
        <w:jc w:val="center"/>
        <w:rPr>
          <w:rFonts w:ascii="Arial"/>
          <w:i/>
          <w:sz w:val="20"/>
        </w:rPr>
      </w:pPr>
      <w:r>
        <w:rPr>
          <w:rFonts w:ascii="Arial"/>
          <w:i/>
          <w:color w:val="010101"/>
          <w:sz w:val="20"/>
        </w:rPr>
        <w:t>G </w:t>
      </w:r>
      <w:r>
        <w:rPr>
          <w:color w:val="010101"/>
          <w:sz w:val="24"/>
        </w:rPr>
        <w:t>=  </w:t>
      </w:r>
      <w:r>
        <w:rPr>
          <w:i/>
          <w:color w:val="010101"/>
          <w:sz w:val="21"/>
        </w:rPr>
        <w:t>pA  </w:t>
      </w:r>
      <w:r>
        <w:rPr>
          <w:rFonts w:ascii="Arial"/>
          <w:color w:val="010101"/>
          <w:sz w:val="31"/>
        </w:rPr>
        <w:t>+ </w:t>
      </w:r>
      <w:r>
        <w:rPr>
          <w:rFonts w:ascii="Arial"/>
          <w:i/>
          <w:color w:val="010101"/>
          <w:sz w:val="20"/>
        </w:rPr>
        <w:t>E.</w:t>
      </w:r>
    </w:p>
    <w:p>
      <w:pPr>
        <w:pStyle w:val="BodyText"/>
        <w:spacing w:line="237" w:lineRule="auto" w:before="115"/>
        <w:ind w:left="117" w:right="161"/>
        <w:jc w:val="both"/>
      </w:pPr>
      <w:r>
        <w:rPr>
          <w:color w:val="010101"/>
          <w:w w:val="105"/>
        </w:rPr>
        <w:t>Letting </w:t>
      </w:r>
      <w:r>
        <w:rPr>
          <w:rFonts w:ascii="Arial" w:hAnsi="Arial"/>
          <w:i/>
          <w:color w:val="010101"/>
          <w:w w:val="105"/>
        </w:rPr>
        <w:t>A </w:t>
      </w:r>
      <w:r>
        <w:rPr>
          <w:color w:val="010101"/>
          <w:w w:val="105"/>
        </w:rPr>
        <w:t>denote the net single premium at issue for the insurance bcnefit., and </w:t>
      </w:r>
      <w:r>
        <w:rPr>
          <w:rFonts w:ascii="Arial" w:hAnsi="Arial"/>
          <w:i/>
          <w:color w:val="010101"/>
          <w:w w:val="105"/>
          <w:sz w:val="22"/>
        </w:rPr>
        <w:t>a </w:t>
      </w:r>
      <w:r>
        <w:rPr>
          <w:color w:val="010101"/>
          <w:w w:val="105"/>
        </w:rPr>
        <w:t>the present value at issue of a temporary life annuity for thc prcmium-paying period, we have the gross premium equa­ tion</w:t>
      </w:r>
    </w:p>
    <w:p>
      <w:pPr>
        <w:spacing w:before="29"/>
        <w:ind w:left="1283" w:right="0" w:firstLine="0"/>
        <w:jc w:val="left"/>
        <w:rPr>
          <w:sz w:val="23"/>
        </w:rPr>
      </w:pPr>
      <w:r>
        <w:rPr>
          <w:rFonts w:ascii="Arial" w:hAnsi="Arial"/>
          <w:i/>
          <w:color w:val="010101"/>
          <w:w w:val="105"/>
          <w:sz w:val="20"/>
        </w:rPr>
        <w:t>G·a </w:t>
      </w:r>
      <w:r>
        <w:rPr>
          <w:rFonts w:ascii="Arial" w:hAnsi="Arial"/>
          <w:color w:val="010101"/>
          <w:w w:val="135"/>
          <w:sz w:val="17"/>
        </w:rPr>
        <w:t>=  </w:t>
      </w:r>
      <w:r>
        <w:rPr>
          <w:rFonts w:ascii="Arial" w:hAnsi="Arial"/>
          <w:i/>
          <w:color w:val="010101"/>
          <w:w w:val="105"/>
          <w:sz w:val="19"/>
        </w:rPr>
        <w:t>(PA </w:t>
      </w:r>
      <w:r>
        <w:rPr>
          <w:rFonts w:ascii="Arial" w:hAnsi="Arial"/>
          <w:color w:val="010101"/>
          <w:w w:val="105"/>
          <w:sz w:val="31"/>
        </w:rPr>
        <w:t>+ </w:t>
      </w:r>
      <w:r>
        <w:rPr>
          <w:rFonts w:ascii="Arial" w:hAnsi="Arial"/>
          <w:i/>
          <w:color w:val="010101"/>
          <w:spacing w:val="9"/>
          <w:w w:val="105"/>
          <w:sz w:val="20"/>
        </w:rPr>
        <w:t>E)a </w:t>
      </w:r>
      <w:r>
        <w:rPr>
          <w:rFonts w:ascii="Arial" w:hAnsi="Arial"/>
          <w:color w:val="010101"/>
          <w:w w:val="135"/>
          <w:sz w:val="17"/>
        </w:rPr>
        <w:t>= </w:t>
      </w:r>
      <w:r>
        <w:rPr>
          <w:rFonts w:ascii="Arial" w:hAnsi="Arial"/>
          <w:i/>
          <w:color w:val="010101"/>
          <w:w w:val="105"/>
          <w:sz w:val="20"/>
        </w:rPr>
        <w:t>A  </w:t>
      </w:r>
      <w:r>
        <w:rPr>
          <w:rFonts w:ascii="Arial" w:hAnsi="Arial"/>
          <w:color w:val="010101"/>
          <w:w w:val="105"/>
          <w:sz w:val="31"/>
        </w:rPr>
        <w:t>+ </w:t>
      </w:r>
      <w:r>
        <w:rPr>
          <w:rFonts w:ascii="Arial" w:hAnsi="Arial"/>
          <w:i/>
          <w:color w:val="010101"/>
          <w:w w:val="105"/>
          <w:sz w:val="20"/>
        </w:rPr>
        <w:t>E·a </w:t>
      </w:r>
      <w:r>
        <w:rPr>
          <w:rFonts w:ascii="Arial" w:hAnsi="Arial"/>
          <w:color w:val="010101"/>
          <w:w w:val="105"/>
          <w:sz w:val="31"/>
        </w:rPr>
        <w:t>+</w:t>
      </w:r>
      <w:r>
        <w:rPr>
          <w:rFonts w:ascii="Arial" w:hAnsi="Arial"/>
          <w:color w:val="010101"/>
          <w:spacing w:val="-67"/>
          <w:w w:val="105"/>
          <w:sz w:val="31"/>
        </w:rPr>
        <w:t> </w:t>
      </w:r>
      <w:r>
        <w:rPr>
          <w:color w:val="010101"/>
          <w:sz w:val="23"/>
        </w:rPr>
        <w:t>E1,</w:t>
      </w:r>
    </w:p>
    <w:p>
      <w:pPr>
        <w:spacing w:after="0"/>
        <w:jc w:val="left"/>
        <w:rPr>
          <w:sz w:val="23"/>
        </w:rPr>
        <w:sectPr>
          <w:pgSz w:w="7200" w:h="11340"/>
          <w:pgMar w:top="500" w:bottom="280" w:left="640" w:right="540"/>
        </w:sectPr>
      </w:pPr>
    </w:p>
    <w:p>
      <w:pPr>
        <w:tabs>
          <w:tab w:pos="2032" w:val="left" w:leader="none"/>
        </w:tabs>
        <w:spacing w:before="66"/>
        <w:ind w:left="175" w:right="0" w:firstLine="0"/>
        <w:jc w:val="left"/>
        <w:rPr>
          <w:sz w:val="19"/>
        </w:rPr>
      </w:pPr>
      <w:r>
        <w:rPr>
          <w:color w:val="010101"/>
          <w:w w:val="110"/>
          <w:position w:val="2"/>
          <w:sz w:val="19"/>
        </w:rPr>
        <w:t>140</w:t>
        <w:tab/>
      </w:r>
      <w:r>
        <w:rPr>
          <w:color w:val="010101"/>
          <w:sz w:val="19"/>
        </w:rPr>
        <w:drawing>
          <wp:inline distT="0" distB="0" distL="0" distR="0">
            <wp:extent cx="1234439" cy="91440"/>
            <wp:effectExtent l="0" t="0" r="0" b="0"/>
            <wp:docPr id="297" name="image154.png" descr=""/>
            <wp:cNvGraphicFramePr>
              <a:graphicFrameLocks noChangeAspect="1"/>
            </wp:cNvGraphicFramePr>
            <a:graphic>
              <a:graphicData uri="http://schemas.openxmlformats.org/drawingml/2006/picture">
                <pic:pic>
                  <pic:nvPicPr>
                    <pic:cNvPr id="298" name="image154.png"/>
                    <pic:cNvPicPr/>
                  </pic:nvPicPr>
                  <pic:blipFill>
                    <a:blip r:embed="rId158" cstate="print"/>
                    <a:stretch>
                      <a:fillRect/>
                    </a:stretch>
                  </pic:blipFill>
                  <pic:spPr>
                    <a:xfrm>
                      <a:off x="0" y="0"/>
                      <a:ext cx="1234439" cy="91440"/>
                    </a:xfrm>
                    <a:prstGeom prst="rect">
                      <a:avLst/>
                    </a:prstGeom>
                  </pic:spPr>
                </pic:pic>
              </a:graphicData>
            </a:graphic>
          </wp:inline>
        </w:drawing>
      </w:r>
      <w:r>
        <w:rPr>
          <w:color w:val="010101"/>
          <w:sz w:val="19"/>
        </w:rPr>
      </w:r>
    </w:p>
    <w:p>
      <w:pPr>
        <w:pStyle w:val="BodyText"/>
        <w:rPr>
          <w:sz w:val="18"/>
        </w:rPr>
      </w:pPr>
    </w:p>
    <w:p>
      <w:pPr>
        <w:spacing w:before="151"/>
        <w:ind w:left="161" w:right="0" w:firstLine="0"/>
        <w:jc w:val="left"/>
        <w:rPr>
          <w:sz w:val="19"/>
        </w:rPr>
      </w:pPr>
      <w:r>
        <w:rPr/>
        <w:drawing>
          <wp:anchor distT="0" distB="0" distL="0" distR="0" allowOverlap="1" layoutInCell="1" locked="0" behindDoc="0" simplePos="0" relativeHeight="11704">
            <wp:simplePos x="0" y="0"/>
            <wp:positionH relativeFrom="page">
              <wp:posOffset>1901951</wp:posOffset>
            </wp:positionH>
            <wp:positionV relativeFrom="paragraph">
              <wp:posOffset>10439</wp:posOffset>
            </wp:positionV>
            <wp:extent cx="877824" cy="292608"/>
            <wp:effectExtent l="0" t="0" r="0" b="0"/>
            <wp:wrapNone/>
            <wp:docPr id="299" name="image155.png" descr=""/>
            <wp:cNvGraphicFramePr>
              <a:graphicFrameLocks noChangeAspect="1"/>
            </wp:cNvGraphicFramePr>
            <a:graphic>
              <a:graphicData uri="http://schemas.openxmlformats.org/drawingml/2006/picture">
                <pic:pic>
                  <pic:nvPicPr>
                    <pic:cNvPr id="300" name="image155.png"/>
                    <pic:cNvPicPr/>
                  </pic:nvPicPr>
                  <pic:blipFill>
                    <a:blip r:embed="rId159" cstate="print"/>
                    <a:stretch>
                      <a:fillRect/>
                    </a:stretch>
                  </pic:blipFill>
                  <pic:spPr>
                    <a:xfrm>
                      <a:off x="0" y="0"/>
                      <a:ext cx="877824" cy="292608"/>
                    </a:xfrm>
                    <a:prstGeom prst="rect">
                      <a:avLst/>
                    </a:prstGeom>
                  </pic:spPr>
                </pic:pic>
              </a:graphicData>
            </a:graphic>
          </wp:anchor>
        </w:drawing>
      </w:r>
      <w:r>
        <w:rPr>
          <w:color w:val="010101"/>
          <w:w w:val="105"/>
          <w:sz w:val="19"/>
        </w:rPr>
        <w:t>whence</w:t>
      </w:r>
    </w:p>
    <w:p>
      <w:pPr>
        <w:spacing w:before="45"/>
        <w:ind w:left="161" w:right="0" w:firstLine="0"/>
        <w:jc w:val="left"/>
        <w:rPr>
          <w:sz w:val="21"/>
        </w:rPr>
      </w:pPr>
      <w:r>
        <w:rPr/>
        <w:br w:type="column"/>
      </w:r>
      <w:r>
        <w:rPr>
          <w:color w:val="010101"/>
          <w:w w:val="109"/>
          <w:sz w:val="21"/>
        </w:rPr>
        <w:t>(</w:t>
      </w:r>
      <w:r>
        <w:rPr>
          <w:color w:val="010101"/>
          <w:w w:val="109"/>
          <w:sz w:val="21"/>
        </w:rPr>
        <w:t>ca</w:t>
      </w:r>
      <w:r>
        <w:rPr>
          <w:color w:val="010101"/>
          <w:spacing w:val="15"/>
          <w:w w:val="109"/>
          <w:sz w:val="21"/>
        </w:rPr>
        <w:t>.</w:t>
      </w:r>
      <w:r>
        <w:rPr>
          <w:color w:val="959595"/>
          <w:spacing w:val="14"/>
          <w:w w:val="30"/>
          <w:sz w:val="21"/>
        </w:rPr>
        <w:t>·</w:t>
      </w:r>
      <w:r>
        <w:rPr>
          <w:color w:val="010101"/>
          <w:w w:val="372"/>
          <w:sz w:val="21"/>
        </w:rPr>
        <w:t>,</w:t>
      </w:r>
    </w:p>
    <w:p>
      <w:pPr>
        <w:pStyle w:val="BodyText"/>
      </w:pPr>
    </w:p>
    <w:p>
      <w:pPr>
        <w:pStyle w:val="BodyText"/>
        <w:spacing w:before="127"/>
        <w:ind w:left="222"/>
      </w:pPr>
      <w:r>
        <w:rPr>
          <w:color w:val="010101"/>
          <w:w w:val="120"/>
        </w:rPr>
        <w:t>(6.9)</w:t>
      </w:r>
    </w:p>
    <w:p>
      <w:pPr>
        <w:spacing w:after="0"/>
        <w:sectPr>
          <w:pgSz w:w="7200" w:h="11340"/>
          <w:pgMar w:top="500" w:bottom="280" w:left="660" w:right="440"/>
          <w:cols w:num="2" w:equalWidth="0">
            <w:col w:w="3977" w:space="1257"/>
            <w:col w:w="866"/>
          </w:cols>
        </w:sectPr>
      </w:pPr>
    </w:p>
    <w:p>
      <w:pPr>
        <w:spacing w:before="103"/>
        <w:ind w:left="351" w:right="0" w:firstLine="0"/>
        <w:jc w:val="left"/>
        <w:rPr>
          <w:sz w:val="19"/>
        </w:rPr>
      </w:pPr>
      <w:r>
        <w:rPr>
          <w:color w:val="010101"/>
          <w:w w:val="115"/>
          <w:sz w:val="19"/>
        </w:rPr>
        <w:t>Thil formula can be </w:t>
      </w:r>
      <w:r>
        <w:rPr>
          <w:rFonts w:ascii="Arial"/>
          <w:color w:val="010101"/>
          <w:w w:val="115"/>
          <w:sz w:val="19"/>
        </w:rPr>
        <w:t>rewritten </w:t>
      </w:r>
      <w:r>
        <w:rPr>
          <w:rFonts w:ascii="Arial"/>
          <w:color w:val="010101"/>
          <w:w w:val="115"/>
          <w:sz w:val="14"/>
        </w:rPr>
        <w:t>88 </w:t>
      </w:r>
      <w:r>
        <w:rPr>
          <w:color w:val="010101"/>
          <w:w w:val="115"/>
          <w:sz w:val="19"/>
        </w:rPr>
        <w:t>follows (replacing </w:t>
      </w:r>
      <w:r>
        <w:rPr>
          <w:rFonts w:ascii="Arial"/>
          <w:color w:val="010101"/>
          <w:w w:val="105"/>
          <w:sz w:val="18"/>
        </w:rPr>
        <w:t>el </w:t>
      </w:r>
      <w:r>
        <w:rPr>
          <w:color w:val="010101"/>
          <w:w w:val="115"/>
          <w:sz w:val="19"/>
        </w:rPr>
        <w:t>by </w:t>
      </w:r>
      <w:r>
        <w:rPr>
          <w:i/>
          <w:color w:val="010101"/>
          <w:w w:val="115"/>
          <w:sz w:val="23"/>
        </w:rPr>
        <w:t>a </w:t>
      </w:r>
      <w:r>
        <w:rPr>
          <w:rFonts w:ascii="Arial"/>
          <w:color w:val="010101"/>
          <w:w w:val="120"/>
          <w:sz w:val="35"/>
        </w:rPr>
        <w:t>+</w:t>
      </w:r>
      <w:r>
        <w:rPr>
          <w:color w:val="010101"/>
          <w:w w:val="120"/>
          <w:sz w:val="19"/>
        </w:rPr>
        <w:t>1):</w:t>
      </w:r>
    </w:p>
    <w:p>
      <w:pPr>
        <w:spacing w:line="359" w:lineRule="exact" w:before="0"/>
        <w:ind w:left="1915" w:right="0" w:firstLine="0"/>
        <w:jc w:val="left"/>
        <w:rPr>
          <w:b/>
          <w:i/>
          <w:sz w:val="21"/>
        </w:rPr>
      </w:pPr>
      <w:r>
        <w:rPr/>
        <w:pict>
          <v:shape style="position:absolute;margin-left:171.479797pt;margin-top:9.626175pt;width:3.75pt;height:6pt;mso-position-horizontal-relative:page;mso-position-vertical-relative:paragraph;z-index:-724336" type="#_x0000_t202" filled="false" stroked="false">
            <v:textbox inset="0,0,0,0">
              <w:txbxContent>
                <w:p>
                  <w:pPr>
                    <w:spacing w:line="120" w:lineRule="exact" w:before="0"/>
                    <w:ind w:left="0" w:right="0" w:firstLine="0"/>
                    <w:jc w:val="left"/>
                    <w:rPr>
                      <w:sz w:val="12"/>
                    </w:rPr>
                  </w:pPr>
                  <w:r>
                    <w:rPr>
                      <w:color w:val="010101"/>
                      <w:w w:val="185"/>
                      <w:sz w:val="12"/>
                    </w:rPr>
                    <w:t>)</w:t>
                  </w:r>
                </w:p>
              </w:txbxContent>
            </v:textbox>
            <w10:wrap type="none"/>
          </v:shape>
        </w:pict>
      </w:r>
      <w:r>
        <w:rPr>
          <w:rFonts w:ascii="Arial"/>
          <w:i/>
          <w:color w:val="010101"/>
          <w:w w:val="140"/>
          <w:sz w:val="33"/>
        </w:rPr>
        <w:t>(r</w:t>
      </w:r>
      <w:r>
        <w:rPr>
          <w:rFonts w:ascii="Arial"/>
          <w:i/>
          <w:color w:val="010101"/>
          <w:spacing w:val="-59"/>
          <w:w w:val="140"/>
          <w:sz w:val="33"/>
        </w:rPr>
        <w:t> </w:t>
      </w:r>
      <w:r>
        <w:rPr>
          <w:rFonts w:ascii="Arial"/>
          <w:color w:val="010101"/>
          <w:w w:val="140"/>
          <w:sz w:val="33"/>
        </w:rPr>
        <w:t>-</w:t>
      </w:r>
      <w:r>
        <w:rPr>
          <w:rFonts w:ascii="Arial"/>
          <w:color w:val="010101"/>
          <w:spacing w:val="-87"/>
          <w:w w:val="140"/>
          <w:sz w:val="33"/>
        </w:rPr>
        <w:t> </w:t>
      </w:r>
      <w:r>
        <w:rPr>
          <w:color w:val="010101"/>
          <w:spacing w:val="-5"/>
          <w:w w:val="140"/>
          <w:sz w:val="23"/>
        </w:rPr>
        <w:t>E</w:t>
      </w:r>
      <w:r>
        <w:rPr>
          <w:color w:val="010101"/>
          <w:spacing w:val="-5"/>
          <w:w w:val="140"/>
          <w:position w:val="10"/>
          <w:sz w:val="12"/>
        </w:rPr>
        <w:t>1  </w:t>
      </w:r>
      <w:r>
        <w:rPr>
          <w:rFonts w:ascii="Arial"/>
          <w:color w:val="010101"/>
          <w:w w:val="110"/>
          <w:sz w:val="32"/>
        </w:rPr>
        <w:t>+</w:t>
      </w:r>
      <w:r>
        <w:rPr>
          <w:rFonts w:ascii="Arial"/>
          <w:color w:val="010101"/>
          <w:spacing w:val="-61"/>
          <w:w w:val="110"/>
          <w:sz w:val="32"/>
        </w:rPr>
        <w:t> </w:t>
      </w:r>
      <w:r>
        <w:rPr>
          <w:rFonts w:ascii="Arial"/>
          <w:i/>
          <w:color w:val="010101"/>
          <w:w w:val="160"/>
          <w:sz w:val="33"/>
        </w:rPr>
        <w:t>r</w:t>
      </w:r>
      <w:r>
        <w:rPr>
          <w:rFonts w:ascii="Arial"/>
          <w:i/>
          <w:color w:val="010101"/>
          <w:spacing w:val="-93"/>
          <w:w w:val="160"/>
          <w:sz w:val="33"/>
        </w:rPr>
        <w:t> </w:t>
      </w:r>
      <w:r>
        <w:rPr>
          <w:rFonts w:ascii="Arial"/>
          <w:i/>
          <w:color w:val="010101"/>
          <w:w w:val="70"/>
          <w:sz w:val="33"/>
        </w:rPr>
        <w:t>- </w:t>
      </w:r>
      <w:r>
        <w:rPr>
          <w:rFonts w:ascii="Arial"/>
          <w:i/>
          <w:color w:val="010101"/>
          <w:w w:val="95"/>
          <w:sz w:val="33"/>
        </w:rPr>
        <w:t>a </w:t>
      </w:r>
      <w:r>
        <w:rPr>
          <w:color w:val="010101"/>
          <w:w w:val="110"/>
          <w:sz w:val="28"/>
        </w:rPr>
        <w:t>= </w:t>
      </w:r>
      <w:r>
        <w:rPr>
          <w:b/>
          <w:i/>
          <w:color w:val="010101"/>
          <w:w w:val="95"/>
          <w:sz w:val="21"/>
        </w:rPr>
        <w:t>.A </w:t>
      </w:r>
      <w:r>
        <w:rPr>
          <w:b/>
          <w:i/>
          <w:color w:val="010101"/>
          <w:w w:val="110"/>
          <w:sz w:val="21"/>
        </w:rPr>
        <w:t>.</w:t>
      </w:r>
    </w:p>
    <w:p>
      <w:pPr>
        <w:spacing w:line="189" w:lineRule="exact" w:before="100"/>
        <w:ind w:left="147" w:right="0" w:firstLine="0"/>
        <w:jc w:val="left"/>
        <w:rPr>
          <w:rFonts w:ascii="Arial"/>
          <w:b/>
          <w:i/>
          <w:sz w:val="24"/>
        </w:rPr>
      </w:pPr>
      <w:r>
        <w:rPr>
          <w:color w:val="010101"/>
          <w:w w:val="115"/>
          <w:sz w:val="20"/>
        </w:rPr>
        <w:t>This</w:t>
      </w:r>
      <w:r>
        <w:rPr>
          <w:color w:val="010101"/>
          <w:spacing w:val="-35"/>
          <w:w w:val="115"/>
          <w:sz w:val="20"/>
        </w:rPr>
        <w:t> </w:t>
      </w:r>
      <w:r>
        <w:rPr>
          <w:color w:val="010101"/>
          <w:w w:val="115"/>
          <w:sz w:val="19"/>
        </w:rPr>
        <w:t>shows</w:t>
      </w:r>
      <w:r>
        <w:rPr>
          <w:color w:val="010101"/>
          <w:spacing w:val="-33"/>
          <w:w w:val="115"/>
          <w:sz w:val="19"/>
        </w:rPr>
        <w:t> </w:t>
      </w:r>
      <w:r>
        <w:rPr>
          <w:color w:val="010101"/>
          <w:w w:val="115"/>
          <w:sz w:val="19"/>
        </w:rPr>
        <w:t>that</w:t>
      </w:r>
      <w:r>
        <w:rPr>
          <w:color w:val="010101"/>
          <w:spacing w:val="-21"/>
          <w:w w:val="115"/>
          <w:sz w:val="19"/>
        </w:rPr>
        <w:t> </w:t>
      </w:r>
      <w:r>
        <w:rPr>
          <w:color w:val="010101"/>
          <w:w w:val="115"/>
          <w:sz w:val="19"/>
        </w:rPr>
        <w:t>the</w:t>
      </w:r>
      <w:r>
        <w:rPr>
          <w:color w:val="010101"/>
          <w:spacing w:val="-31"/>
          <w:w w:val="115"/>
          <w:sz w:val="19"/>
        </w:rPr>
        <w:t> </w:t>
      </w:r>
      <w:r>
        <w:rPr>
          <w:color w:val="010101"/>
          <w:w w:val="115"/>
          <w:sz w:val="19"/>
        </w:rPr>
        <w:t>first</w:t>
      </w:r>
      <w:r>
        <w:rPr>
          <w:color w:val="010101"/>
          <w:spacing w:val="-33"/>
          <w:w w:val="115"/>
          <w:sz w:val="19"/>
        </w:rPr>
        <w:t> </w:t>
      </w:r>
      <w:r>
        <w:rPr>
          <w:color w:val="010101"/>
          <w:w w:val="115"/>
          <w:sz w:val="19"/>
        </w:rPr>
        <w:t>year</w:t>
      </w:r>
      <w:r>
        <w:rPr>
          <w:color w:val="010101"/>
          <w:spacing w:val="-28"/>
          <w:w w:val="115"/>
          <w:sz w:val="19"/>
        </w:rPr>
        <w:t> </w:t>
      </w:r>
      <w:r>
        <w:rPr>
          <w:color w:val="010101"/>
          <w:w w:val="115"/>
          <w:sz w:val="19"/>
        </w:rPr>
        <w:t>net</w:t>
      </w:r>
      <w:r>
        <w:rPr>
          <w:color w:val="010101"/>
          <w:spacing w:val="-24"/>
          <w:w w:val="115"/>
          <w:sz w:val="19"/>
        </w:rPr>
        <w:t> </w:t>
      </w:r>
      <w:r>
        <w:rPr>
          <w:color w:val="010101"/>
          <w:w w:val="115"/>
          <w:sz w:val="19"/>
        </w:rPr>
        <w:t>premium</w:t>
      </w:r>
      <w:r>
        <w:rPr>
          <w:color w:val="010101"/>
          <w:spacing w:val="-17"/>
          <w:w w:val="115"/>
          <w:sz w:val="19"/>
        </w:rPr>
        <w:t> </w:t>
      </w:r>
      <w:r>
        <w:rPr>
          <w:color w:val="010101"/>
          <w:w w:val="115"/>
          <w:sz w:val="19"/>
        </w:rPr>
        <w:t>can</w:t>
      </w:r>
      <w:r>
        <w:rPr>
          <w:color w:val="010101"/>
          <w:spacing w:val="-26"/>
          <w:w w:val="115"/>
          <w:sz w:val="19"/>
        </w:rPr>
        <w:t> </w:t>
      </w:r>
      <w:r>
        <w:rPr>
          <w:b/>
          <w:color w:val="010101"/>
          <w:w w:val="115"/>
          <w:sz w:val="22"/>
        </w:rPr>
        <w:t>be</w:t>
      </w:r>
      <w:r>
        <w:rPr>
          <w:b/>
          <w:color w:val="010101"/>
          <w:spacing w:val="-41"/>
          <w:w w:val="115"/>
          <w:sz w:val="22"/>
        </w:rPr>
        <w:t> </w:t>
      </w:r>
      <w:r>
        <w:rPr>
          <w:b/>
          <w:color w:val="010101"/>
          <w:w w:val="115"/>
          <w:sz w:val="20"/>
        </w:rPr>
        <w:t>taken</w:t>
      </w:r>
      <w:r>
        <w:rPr>
          <w:b/>
          <w:color w:val="010101"/>
          <w:spacing w:val="-28"/>
          <w:w w:val="115"/>
          <w:sz w:val="20"/>
        </w:rPr>
        <w:t> </w:t>
      </w:r>
      <w:r>
        <w:rPr>
          <w:rFonts w:ascii="Arial"/>
          <w:b/>
          <w:color w:val="010101"/>
          <w:w w:val="115"/>
          <w:sz w:val="14"/>
        </w:rPr>
        <w:t>88</w:t>
      </w:r>
      <w:r>
        <w:rPr>
          <w:rFonts w:ascii="Arial"/>
          <w:b/>
          <w:color w:val="010101"/>
          <w:spacing w:val="-27"/>
          <w:w w:val="115"/>
          <w:sz w:val="14"/>
        </w:rPr>
        <w:t> </w:t>
      </w:r>
      <w:r>
        <w:rPr>
          <w:rFonts w:ascii="Arial"/>
          <w:b/>
          <w:i/>
          <w:color w:val="010101"/>
          <w:sz w:val="24"/>
        </w:rPr>
        <w:t>J&gt;'</w:t>
      </w:r>
      <w:r>
        <w:rPr>
          <w:rFonts w:ascii="Arial"/>
          <w:b/>
          <w:i/>
          <w:color w:val="010101"/>
          <w:spacing w:val="-15"/>
          <w:sz w:val="24"/>
        </w:rPr>
        <w:t> </w:t>
      </w:r>
      <w:r>
        <w:rPr>
          <w:rFonts w:ascii="Arial"/>
          <w:color w:val="010101"/>
          <w:w w:val="195"/>
          <w:sz w:val="24"/>
        </w:rPr>
        <w:t>-</w:t>
      </w:r>
      <w:r>
        <w:rPr>
          <w:rFonts w:ascii="Arial"/>
          <w:color w:val="010101"/>
          <w:spacing w:val="-108"/>
          <w:w w:val="195"/>
          <w:sz w:val="24"/>
        </w:rPr>
        <w:t> </w:t>
      </w:r>
      <w:r>
        <w:rPr>
          <w:rFonts w:ascii="Arial"/>
          <w:b/>
          <w:i/>
          <w:color w:val="010101"/>
          <w:sz w:val="24"/>
        </w:rPr>
        <w:t>J/</w:t>
      </w:r>
    </w:p>
    <w:p>
      <w:pPr>
        <w:spacing w:line="317" w:lineRule="exact" w:before="0"/>
        <w:ind w:left="143" w:right="0" w:firstLine="0"/>
        <w:jc w:val="left"/>
        <w:rPr>
          <w:b/>
          <w:sz w:val="22"/>
        </w:rPr>
      </w:pPr>
      <w:r>
        <w:rPr>
          <w:color w:val="010101"/>
          <w:w w:val="116"/>
          <w:sz w:val="19"/>
        </w:rPr>
        <w:t>and</w:t>
      </w:r>
      <w:r>
        <w:rPr>
          <w:color w:val="010101"/>
          <w:spacing w:val="22"/>
          <w:sz w:val="19"/>
        </w:rPr>
        <w:t> </w:t>
      </w:r>
      <w:r>
        <w:rPr>
          <w:color w:val="010101"/>
          <w:w w:val="118"/>
          <w:sz w:val="19"/>
        </w:rPr>
        <w:t>the</w:t>
      </w:r>
      <w:r>
        <w:rPr>
          <w:color w:val="010101"/>
          <w:spacing w:val="21"/>
          <w:sz w:val="19"/>
        </w:rPr>
        <w:t> </w:t>
      </w:r>
      <w:r>
        <w:rPr>
          <w:color w:val="010101"/>
          <w:w w:val="107"/>
          <w:sz w:val="19"/>
        </w:rPr>
        <w:t>renewal</w:t>
      </w:r>
      <w:r>
        <w:rPr>
          <w:color w:val="010101"/>
          <w:sz w:val="19"/>
        </w:rPr>
        <w:t> </w:t>
      </w:r>
      <w:r>
        <w:rPr>
          <w:color w:val="010101"/>
          <w:spacing w:val="-16"/>
          <w:sz w:val="19"/>
        </w:rPr>
        <w:t> </w:t>
      </w:r>
      <w:r>
        <w:rPr>
          <w:color w:val="010101"/>
          <w:w w:val="113"/>
          <w:sz w:val="19"/>
        </w:rPr>
        <w:t>net</w:t>
      </w:r>
      <w:r>
        <w:rPr>
          <w:color w:val="010101"/>
          <w:sz w:val="19"/>
        </w:rPr>
        <w:t> </w:t>
      </w:r>
      <w:r>
        <w:rPr>
          <w:color w:val="010101"/>
          <w:spacing w:val="-15"/>
          <w:sz w:val="19"/>
        </w:rPr>
        <w:t> </w:t>
      </w:r>
      <w:r>
        <w:rPr>
          <w:color w:val="010101"/>
          <w:w w:val="107"/>
          <w:sz w:val="19"/>
        </w:rPr>
        <w:t>premium</w:t>
      </w:r>
      <w:r>
        <w:rPr>
          <w:color w:val="010101"/>
          <w:sz w:val="19"/>
        </w:rPr>
        <w:t>  </w:t>
      </w:r>
      <w:r>
        <w:rPr>
          <w:color w:val="010101"/>
          <w:w w:val="118"/>
          <w:sz w:val="19"/>
        </w:rPr>
        <w:t>as</w:t>
      </w:r>
      <w:r>
        <w:rPr>
          <w:color w:val="010101"/>
          <w:spacing w:val="11"/>
          <w:sz w:val="19"/>
        </w:rPr>
        <w:t> </w:t>
      </w:r>
      <w:r>
        <w:rPr>
          <w:i/>
          <w:color w:val="010101"/>
          <w:w w:val="144"/>
          <w:sz w:val="39"/>
        </w:rPr>
        <w:t>r.</w:t>
      </w:r>
      <w:r>
        <w:rPr>
          <w:color w:val="010101"/>
          <w:w w:val="120"/>
          <w:sz w:val="19"/>
        </w:rPr>
        <w:t>The</w:t>
      </w:r>
      <w:r>
        <w:rPr>
          <w:color w:val="010101"/>
          <w:spacing w:val="4"/>
          <w:sz w:val="19"/>
        </w:rPr>
        <w:t> </w:t>
      </w:r>
      <w:r>
        <w:rPr>
          <w:color w:val="010101"/>
          <w:w w:val="96"/>
          <w:sz w:val="19"/>
        </w:rPr>
        <w:t>ca.sh</w:t>
      </w:r>
      <w:r>
        <w:rPr>
          <w:color w:val="010101"/>
          <w:sz w:val="19"/>
        </w:rPr>
        <w:t> </w:t>
      </w:r>
      <w:r>
        <w:rPr>
          <w:color w:val="010101"/>
          <w:spacing w:val="-24"/>
          <w:sz w:val="19"/>
        </w:rPr>
        <w:t> </w:t>
      </w:r>
      <w:r>
        <w:rPr>
          <w:color w:val="010101"/>
          <w:w w:val="107"/>
          <w:sz w:val="19"/>
        </w:rPr>
        <w:t>vaJues</w:t>
      </w:r>
      <w:r>
        <w:rPr>
          <w:color w:val="010101"/>
          <w:spacing w:val="15"/>
          <w:sz w:val="19"/>
        </w:rPr>
        <w:t> </w:t>
      </w:r>
      <w:r>
        <w:rPr>
          <w:b/>
          <w:color w:val="010101"/>
          <w:w w:val="90"/>
          <w:sz w:val="22"/>
        </w:rPr>
        <w:t>are</w:t>
      </w:r>
      <w:r>
        <w:rPr>
          <w:b/>
          <w:color w:val="010101"/>
          <w:spacing w:val="1"/>
          <w:sz w:val="22"/>
        </w:rPr>
        <w:t> </w:t>
      </w:r>
      <w:r>
        <w:rPr>
          <w:b/>
          <w:color w:val="010101"/>
          <w:w w:val="89"/>
          <w:sz w:val="22"/>
        </w:rPr>
        <w:t>now</w:t>
      </w:r>
      <w:r>
        <w:rPr>
          <w:b/>
          <w:color w:val="010101"/>
          <w:spacing w:val="16"/>
          <w:sz w:val="22"/>
        </w:rPr>
        <w:t> </w:t>
      </w:r>
      <w:r>
        <w:rPr>
          <w:b/>
          <w:color w:val="010101"/>
          <w:w w:val="91"/>
          <w:sz w:val="22"/>
        </w:rPr>
        <w:t>de­</w:t>
      </w:r>
    </w:p>
    <w:p>
      <w:pPr>
        <w:spacing w:line="164" w:lineRule="exact" w:before="0"/>
        <w:ind w:left="143" w:right="0" w:firstLine="0"/>
        <w:jc w:val="left"/>
        <w:rPr>
          <w:rFonts w:ascii="Arial"/>
          <w:b/>
          <w:i/>
          <w:sz w:val="24"/>
        </w:rPr>
      </w:pPr>
      <w:r>
        <w:rPr>
          <w:color w:val="010101"/>
          <w:w w:val="110"/>
          <w:sz w:val="19"/>
        </w:rPr>
        <w:t>fined as the modified. preliminary tenn reserves with </w:t>
      </w:r>
      <w:r>
        <w:rPr>
          <w:i/>
          <w:color w:val="010101"/>
          <w:w w:val="110"/>
          <w:sz w:val="19"/>
        </w:rPr>
        <w:t>a </w:t>
      </w:r>
      <w:r>
        <w:rPr>
          <w:color w:val="010101"/>
          <w:w w:val="110"/>
          <w:sz w:val="26"/>
        </w:rPr>
        <w:t>= </w:t>
      </w:r>
      <w:r>
        <w:rPr>
          <w:rFonts w:ascii="Arial"/>
          <w:b/>
          <w:i/>
          <w:color w:val="010101"/>
          <w:sz w:val="24"/>
        </w:rPr>
        <w:t>P"' </w:t>
      </w:r>
      <w:r>
        <w:rPr>
          <w:rFonts w:ascii="Arial"/>
          <w:color w:val="010101"/>
          <w:w w:val="195"/>
          <w:sz w:val="24"/>
        </w:rPr>
        <w:t>-</w:t>
      </w:r>
      <w:r>
        <w:rPr>
          <w:rFonts w:ascii="Arial"/>
          <w:color w:val="010101"/>
          <w:spacing w:val="-69"/>
          <w:w w:val="195"/>
          <w:sz w:val="24"/>
        </w:rPr>
        <w:t> </w:t>
      </w:r>
      <w:r>
        <w:rPr>
          <w:rFonts w:ascii="Arial"/>
          <w:b/>
          <w:i/>
          <w:color w:val="010101"/>
          <w:w w:val="110"/>
          <w:sz w:val="24"/>
        </w:rPr>
        <w:t>E'</w:t>
      </w:r>
    </w:p>
    <w:p>
      <w:pPr>
        <w:spacing w:line="337" w:lineRule="exact" w:before="0"/>
        <w:ind w:left="136" w:right="0" w:firstLine="3"/>
        <w:jc w:val="left"/>
        <w:rPr>
          <w:sz w:val="21"/>
        </w:rPr>
      </w:pPr>
      <w:r>
        <w:rPr>
          <w:color w:val="010101"/>
          <w:w w:val="116"/>
          <w:sz w:val="19"/>
        </w:rPr>
        <w:t>and</w:t>
      </w:r>
      <w:r>
        <w:rPr>
          <w:color w:val="010101"/>
          <w:spacing w:val="-3"/>
          <w:sz w:val="19"/>
        </w:rPr>
        <w:t> </w:t>
      </w:r>
      <w:r>
        <w:rPr>
          <w:rFonts w:ascii="Arial" w:hAnsi="Arial"/>
          <w:i/>
          <w:color w:val="010101"/>
          <w:w w:val="63"/>
          <w:sz w:val="22"/>
        </w:rPr>
        <w:t>fJ</w:t>
      </w:r>
      <w:r>
        <w:rPr>
          <w:rFonts w:ascii="Arial" w:hAnsi="Arial"/>
          <w:i/>
          <w:color w:val="010101"/>
          <w:spacing w:val="16"/>
          <w:sz w:val="22"/>
        </w:rPr>
        <w:t> </w:t>
      </w:r>
      <w:r>
        <w:rPr>
          <w:color w:val="010101"/>
          <w:w w:val="94"/>
          <w:sz w:val="26"/>
        </w:rPr>
        <w:t>=</w:t>
      </w:r>
      <w:r>
        <w:rPr>
          <w:color w:val="010101"/>
          <w:spacing w:val="21"/>
          <w:sz w:val="26"/>
        </w:rPr>
        <w:t> </w:t>
      </w:r>
      <w:r>
        <w:rPr>
          <w:i/>
          <w:color w:val="010101"/>
          <w:w w:val="142"/>
          <w:sz w:val="39"/>
        </w:rPr>
        <w:t>r</w:t>
      </w:r>
      <w:r>
        <w:rPr>
          <w:i/>
          <w:color w:val="010101"/>
          <w:spacing w:val="-9"/>
          <w:w w:val="142"/>
          <w:sz w:val="39"/>
        </w:rPr>
        <w:t>.</w:t>
      </w:r>
      <w:r>
        <w:rPr>
          <w:color w:val="010101"/>
          <w:spacing w:val="5"/>
          <w:w w:val="93"/>
          <w:sz w:val="32"/>
        </w:rPr>
        <w:t>u</w:t>
      </w:r>
      <w:r>
        <w:rPr>
          <w:color w:val="010101"/>
          <w:w w:val="108"/>
          <w:sz w:val="19"/>
        </w:rPr>
        <w:t>sing</w:t>
      </w:r>
      <w:r>
        <w:rPr>
          <w:color w:val="010101"/>
          <w:spacing w:val="2"/>
          <w:sz w:val="19"/>
        </w:rPr>
        <w:t> </w:t>
      </w:r>
      <w:r>
        <w:rPr>
          <w:color w:val="010101"/>
          <w:w w:val="118"/>
          <w:sz w:val="19"/>
        </w:rPr>
        <w:t>the</w:t>
      </w:r>
      <w:r>
        <w:rPr>
          <w:color w:val="010101"/>
          <w:spacing w:val="6"/>
          <w:sz w:val="19"/>
        </w:rPr>
        <w:t> </w:t>
      </w:r>
      <w:r>
        <w:rPr>
          <w:color w:val="010101"/>
          <w:w w:val="109"/>
          <w:sz w:val="19"/>
        </w:rPr>
        <w:t>prospective</w:t>
      </w:r>
      <w:r>
        <w:rPr>
          <w:color w:val="010101"/>
          <w:spacing w:val="19"/>
          <w:sz w:val="19"/>
        </w:rPr>
        <w:t> </w:t>
      </w:r>
      <w:r>
        <w:rPr>
          <w:color w:val="010101"/>
          <w:w w:val="115"/>
          <w:sz w:val="19"/>
        </w:rPr>
        <w:t>fonn,</w:t>
      </w:r>
      <w:r>
        <w:rPr>
          <w:color w:val="010101"/>
          <w:spacing w:val="6"/>
          <w:sz w:val="19"/>
        </w:rPr>
        <w:t> </w:t>
      </w:r>
      <w:r>
        <w:rPr>
          <w:color w:val="010101"/>
          <w:w w:val="116"/>
          <w:sz w:val="19"/>
        </w:rPr>
        <w:t>and</w:t>
      </w:r>
      <w:r>
        <w:rPr>
          <w:color w:val="010101"/>
          <w:spacing w:val="8"/>
          <w:sz w:val="19"/>
        </w:rPr>
        <w:t> </w:t>
      </w:r>
      <w:r>
        <w:rPr>
          <w:color w:val="010101"/>
          <w:w w:val="109"/>
          <w:sz w:val="19"/>
        </w:rPr>
        <w:t>assuming</w:t>
      </w:r>
      <w:r>
        <w:rPr>
          <w:color w:val="010101"/>
          <w:spacing w:val="6"/>
          <w:sz w:val="19"/>
        </w:rPr>
        <w:t> </w:t>
      </w:r>
      <w:r>
        <w:rPr>
          <w:color w:val="010101"/>
          <w:w w:val="112"/>
          <w:sz w:val="19"/>
        </w:rPr>
        <w:t>for</w:t>
      </w:r>
      <w:r>
        <w:rPr>
          <w:color w:val="010101"/>
          <w:spacing w:val="3"/>
          <w:sz w:val="19"/>
        </w:rPr>
        <w:t> </w:t>
      </w:r>
      <w:r>
        <w:rPr>
          <w:color w:val="010101"/>
          <w:w w:val="102"/>
          <w:sz w:val="21"/>
        </w:rPr>
        <w:t>illustra­</w:t>
      </w:r>
    </w:p>
    <w:p>
      <w:pPr>
        <w:spacing w:line="214" w:lineRule="exact" w:before="0"/>
        <w:ind w:left="136" w:right="0" w:firstLine="0"/>
        <w:jc w:val="left"/>
        <w:rPr>
          <w:rFonts w:ascii="Arial"/>
          <w:sz w:val="21"/>
        </w:rPr>
      </w:pPr>
      <w:r>
        <w:rPr>
          <w:color w:val="010101"/>
          <w:w w:val="115"/>
          <w:sz w:val="19"/>
        </w:rPr>
        <w:t>tion an ordinary life policy issued. at age </w:t>
      </w:r>
      <w:r>
        <w:rPr>
          <w:i/>
          <w:color w:val="010101"/>
          <w:w w:val="115"/>
          <w:sz w:val="21"/>
        </w:rPr>
        <w:t>x, </w:t>
      </w:r>
      <w:r>
        <w:rPr>
          <w:color w:val="010101"/>
          <w:w w:val="115"/>
          <w:sz w:val="19"/>
        </w:rPr>
        <w:t>the cash value at  </w:t>
      </w:r>
      <w:r>
        <w:rPr>
          <w:rFonts w:ascii="Arial"/>
          <w:color w:val="010101"/>
          <w:w w:val="115"/>
          <w:sz w:val="21"/>
        </w:rPr>
        <w:t>the</w:t>
      </w:r>
    </w:p>
    <w:p>
      <w:pPr>
        <w:spacing w:line="246" w:lineRule="exact" w:before="0"/>
        <w:ind w:left="136" w:right="0" w:firstLine="0"/>
        <w:jc w:val="left"/>
        <w:rPr>
          <w:sz w:val="20"/>
        </w:rPr>
      </w:pPr>
      <w:r>
        <w:rPr>
          <w:color w:val="010101"/>
          <w:w w:val="105"/>
          <w:sz w:val="19"/>
        </w:rPr>
        <w:t>end  oí </w:t>
      </w:r>
      <w:r>
        <w:rPr>
          <w:i/>
          <w:color w:val="010101"/>
          <w:w w:val="105"/>
          <w:sz w:val="22"/>
        </w:rPr>
        <w:t>t </w:t>
      </w:r>
      <w:r>
        <w:rPr>
          <w:color w:val="010101"/>
          <w:w w:val="105"/>
          <w:sz w:val="19"/>
        </w:rPr>
        <w:t>years  </w:t>
      </w:r>
      <w:r>
        <w:rPr>
          <w:color w:val="010101"/>
          <w:w w:val="105"/>
          <w:sz w:val="20"/>
        </w:rPr>
        <w:t>is </w:t>
      </w:r>
      <w:r>
        <w:rPr>
          <w:color w:val="010101"/>
          <w:w w:val="105"/>
          <w:sz w:val="19"/>
        </w:rPr>
        <w:t>given </w:t>
      </w:r>
      <w:r>
        <w:rPr>
          <w:color w:val="010101"/>
          <w:w w:val="105"/>
          <w:sz w:val="20"/>
        </w:rPr>
        <w:t>by</w:t>
      </w:r>
    </w:p>
    <w:p>
      <w:pPr>
        <w:tabs>
          <w:tab w:pos="4599" w:val="left" w:leader="none"/>
          <w:tab w:pos="4986" w:val="left" w:leader="none"/>
          <w:tab w:pos="5363" w:val="left" w:leader="none"/>
        </w:tabs>
        <w:spacing w:before="147"/>
        <w:ind w:left="1908" w:right="0" w:firstLine="0"/>
        <w:jc w:val="left"/>
        <w:rPr>
          <w:b/>
          <w:sz w:val="20"/>
        </w:rPr>
      </w:pPr>
      <w:r>
        <w:rPr>
          <w:b/>
          <w:i/>
          <w:color w:val="010101"/>
          <w:w w:val="105"/>
          <w:sz w:val="23"/>
        </w:rPr>
        <w:t>.CY</w:t>
      </w:r>
      <w:r>
        <w:rPr>
          <w:b/>
          <w:i/>
          <w:color w:val="010101"/>
          <w:spacing w:val="-42"/>
          <w:w w:val="105"/>
          <w:sz w:val="23"/>
        </w:rPr>
        <w:t> </w:t>
      </w:r>
      <w:r>
        <w:rPr>
          <w:b/>
          <w:i/>
          <w:color w:val="010101"/>
          <w:w w:val="105"/>
          <w:sz w:val="23"/>
        </w:rPr>
        <w:t>s</w:t>
      </w:r>
      <w:r>
        <w:rPr>
          <w:b/>
          <w:i/>
          <w:color w:val="010101"/>
          <w:spacing w:val="-18"/>
          <w:w w:val="105"/>
          <w:sz w:val="23"/>
        </w:rPr>
        <w:t> </w:t>
      </w:r>
      <w:r>
        <w:rPr>
          <w:color w:val="010101"/>
          <w:w w:val="105"/>
          <w:sz w:val="25"/>
        </w:rPr>
        <w:t>=</w:t>
      </w:r>
      <w:r>
        <w:rPr>
          <w:color w:val="010101"/>
          <w:spacing w:val="-7"/>
          <w:w w:val="105"/>
          <w:sz w:val="25"/>
        </w:rPr>
        <w:t> </w:t>
      </w:r>
      <w:r>
        <w:rPr>
          <w:b/>
          <w:color w:val="010101"/>
          <w:w w:val="135"/>
          <w:sz w:val="15"/>
        </w:rPr>
        <w:t>AsH</w:t>
      </w:r>
      <w:r>
        <w:rPr>
          <w:b/>
          <w:color w:val="010101"/>
          <w:spacing w:val="4"/>
          <w:w w:val="135"/>
          <w:sz w:val="15"/>
        </w:rPr>
        <w:t> </w:t>
      </w:r>
      <w:r>
        <w:rPr>
          <w:color w:val="010101"/>
          <w:w w:val="365"/>
          <w:sz w:val="15"/>
        </w:rPr>
        <w:t>-</w:t>
      </w:r>
      <w:r>
        <w:rPr>
          <w:color w:val="010101"/>
          <w:spacing w:val="-117"/>
          <w:w w:val="365"/>
          <w:sz w:val="15"/>
        </w:rPr>
        <w:t> </w:t>
      </w:r>
      <w:r>
        <w:rPr>
          <w:b/>
          <w:color w:val="010101"/>
          <w:w w:val="105"/>
          <w:sz w:val="22"/>
        </w:rPr>
        <w:t>J&gt;!·</w:t>
      </w:r>
      <w:r>
        <w:rPr>
          <w:b/>
          <w:color w:val="010101"/>
          <w:spacing w:val="-50"/>
          <w:w w:val="105"/>
          <w:sz w:val="22"/>
        </w:rPr>
        <w:t> </w:t>
      </w:r>
      <w:r>
        <w:rPr>
          <w:b/>
          <w:color w:val="010101"/>
          <w:sz w:val="22"/>
        </w:rPr>
        <w:t>da+s</w:t>
      </w:r>
      <w:r>
        <w:rPr>
          <w:b/>
          <w:color w:val="010101"/>
          <w:spacing w:val="-27"/>
          <w:sz w:val="22"/>
        </w:rPr>
        <w:t> </w:t>
      </w:r>
      <w:r>
        <w:rPr>
          <w:b/>
          <w:color w:val="010101"/>
          <w:w w:val="105"/>
          <w:sz w:val="22"/>
        </w:rPr>
        <w:t>,</w:t>
        <w:tab/>
      </w:r>
      <w:r>
        <w:rPr>
          <w:i/>
          <w:color w:val="010101"/>
          <w:w w:val="105"/>
          <w:position w:val="1"/>
          <w:sz w:val="22"/>
        </w:rPr>
        <w:t>t</w:t>
        <w:tab/>
      </w:r>
      <w:r>
        <w:rPr>
          <w:color w:val="010101"/>
          <w:w w:val="135"/>
          <w:position w:val="1"/>
          <w:sz w:val="20"/>
        </w:rPr>
        <w:t>l.</w:t>
        <w:tab/>
      </w:r>
      <w:r>
        <w:rPr>
          <w:b/>
          <w:color w:val="010101"/>
          <w:w w:val="105"/>
          <w:position w:val="1"/>
          <w:sz w:val="20"/>
        </w:rPr>
        <w:t>(6.10)</w:t>
      </w:r>
    </w:p>
    <w:p>
      <w:pPr>
        <w:spacing w:before="137"/>
        <w:ind w:left="136" w:right="0" w:firstLine="0"/>
        <w:jc w:val="left"/>
        <w:rPr>
          <w:sz w:val="20"/>
        </w:rPr>
      </w:pPr>
      <w:r>
        <w:rPr>
          <w:color w:val="010101"/>
          <w:w w:val="110"/>
          <w:sz w:val="20"/>
        </w:rPr>
        <w:t>When  </w:t>
      </w:r>
      <w:r>
        <w:rPr>
          <w:color w:val="010101"/>
          <w:w w:val="110"/>
          <w:sz w:val="19"/>
        </w:rPr>
        <w:t>appropriate  aasumptions  </w:t>
      </w:r>
      <w:r>
        <w:rPr>
          <w:color w:val="010101"/>
          <w:w w:val="110"/>
          <w:sz w:val="20"/>
        </w:rPr>
        <w:t>are  made  for  interest  and mor­</w:t>
      </w:r>
    </w:p>
    <w:p>
      <w:pPr>
        <w:spacing w:after="0"/>
        <w:jc w:val="left"/>
        <w:rPr>
          <w:sz w:val="20"/>
        </w:rPr>
        <w:sectPr>
          <w:type w:val="continuous"/>
          <w:pgSz w:w="7200" w:h="11340"/>
          <w:pgMar w:top="1100" w:bottom="0" w:left="660" w:right="440"/>
        </w:sectPr>
      </w:pPr>
    </w:p>
    <w:p>
      <w:pPr>
        <w:spacing w:line="241" w:lineRule="exact" w:before="0"/>
        <w:ind w:left="125" w:right="-13" w:firstLine="0"/>
        <w:jc w:val="left"/>
        <w:rPr>
          <w:sz w:val="12"/>
        </w:rPr>
      </w:pPr>
      <w:r>
        <w:rPr/>
        <w:pict>
          <v:shape style="position:absolute;margin-left:222.959595pt;margin-top:5.057374pt;width:3.05pt;height:6pt;mso-position-horizontal-relative:page;mso-position-vertical-relative:paragraph;z-index:-724312" type="#_x0000_t202" filled="false" stroked="false">
            <v:textbox inset="0,0,0,0">
              <w:txbxContent>
                <w:p>
                  <w:pPr>
                    <w:spacing w:line="120" w:lineRule="exact" w:before="0"/>
                    <w:ind w:left="0" w:right="0" w:firstLine="0"/>
                    <w:jc w:val="left"/>
                    <w:rPr>
                      <w:sz w:val="12"/>
                    </w:rPr>
                  </w:pPr>
                  <w:r>
                    <w:rPr>
                      <w:color w:val="010101"/>
                      <w:w w:val="203"/>
                      <w:sz w:val="12"/>
                    </w:rPr>
                    <w:t>,</w:t>
                  </w:r>
                </w:p>
              </w:txbxContent>
            </v:textbox>
            <w10:wrap type="none"/>
          </v:shape>
        </w:pict>
      </w:r>
      <w:r>
        <w:rPr>
          <w:color w:val="010101"/>
          <w:w w:val="115"/>
          <w:sz w:val="20"/>
        </w:rPr>
        <w:t>tality </w:t>
      </w:r>
      <w:r>
        <w:rPr>
          <w:color w:val="010101"/>
          <w:w w:val="115"/>
          <w:sz w:val="19"/>
        </w:rPr>
        <w:t>and for the extra </w:t>
      </w:r>
      <w:r>
        <w:rPr>
          <w:color w:val="010101"/>
          <w:w w:val="115"/>
          <w:sz w:val="20"/>
        </w:rPr>
        <w:t>initial </w:t>
      </w:r>
      <w:r>
        <w:rPr>
          <w:color w:val="010101"/>
          <w:w w:val="115"/>
          <w:sz w:val="19"/>
        </w:rPr>
        <w:t>expense   </w:t>
      </w:r>
      <w:r>
        <w:rPr>
          <w:color w:val="010101"/>
          <w:w w:val="115"/>
          <w:sz w:val="20"/>
        </w:rPr>
        <w:t>E</w:t>
      </w:r>
      <w:r>
        <w:rPr>
          <w:color w:val="010101"/>
          <w:w w:val="115"/>
          <w:position w:val="9"/>
          <w:sz w:val="12"/>
        </w:rPr>
        <w:t>1</w:t>
      </w:r>
    </w:p>
    <w:p>
      <w:pPr>
        <w:spacing w:before="11"/>
        <w:ind w:left="28" w:right="0" w:firstLine="0"/>
        <w:jc w:val="left"/>
        <w:rPr>
          <w:sz w:val="20"/>
        </w:rPr>
      </w:pPr>
      <w:r>
        <w:rPr/>
        <w:br w:type="column"/>
      </w:r>
      <w:r>
        <w:rPr>
          <w:color w:val="010101"/>
          <w:w w:val="110"/>
          <w:sz w:val="19"/>
        </w:rPr>
        <w:t>the </w:t>
      </w:r>
      <w:r>
        <w:rPr>
          <w:color w:val="010101"/>
          <w:w w:val="110"/>
          <w:sz w:val="20"/>
        </w:rPr>
        <w:t>adjusted premium</w:t>
      </w:r>
    </w:p>
    <w:p>
      <w:pPr>
        <w:spacing w:after="0"/>
        <w:jc w:val="left"/>
        <w:rPr>
          <w:sz w:val="20"/>
        </w:rPr>
        <w:sectPr>
          <w:type w:val="continuous"/>
          <w:pgSz w:w="7200" w:h="11340"/>
          <w:pgMar w:top="1100" w:bottom="0" w:left="660" w:right="440"/>
          <w:cols w:num="2" w:equalWidth="0">
            <w:col w:w="3861" w:space="40"/>
            <w:col w:w="2199"/>
          </w:cols>
        </w:sectPr>
      </w:pPr>
    </w:p>
    <w:p>
      <w:pPr>
        <w:spacing w:line="240" w:lineRule="exact" w:before="5"/>
        <w:ind w:left="125" w:right="226" w:firstLine="3"/>
        <w:jc w:val="both"/>
        <w:rPr>
          <w:sz w:val="19"/>
        </w:rPr>
      </w:pPr>
      <w:r>
        <w:rPr>
          <w:rFonts w:ascii="Arial"/>
          <w:i/>
          <w:color w:val="010101"/>
          <w:sz w:val="24"/>
        </w:rPr>
        <w:t>P'4 </w:t>
      </w:r>
      <w:r>
        <w:rPr>
          <w:color w:val="010101"/>
          <w:w w:val="110"/>
          <w:sz w:val="19"/>
        </w:rPr>
        <w:t>is </w:t>
      </w:r>
      <w:r>
        <w:rPr>
          <w:color w:val="010101"/>
          <w:w w:val="110"/>
          <w:sz w:val="20"/>
        </w:rPr>
        <w:t>fully </w:t>
      </w:r>
      <w:r>
        <w:rPr>
          <w:color w:val="010101"/>
          <w:w w:val="110"/>
          <w:sz w:val="19"/>
        </w:rPr>
        <w:t>defined </w:t>
      </w:r>
      <w:r>
        <w:rPr>
          <w:color w:val="010101"/>
          <w:w w:val="110"/>
          <w:sz w:val="20"/>
        </w:rPr>
        <w:t>by </w:t>
      </w:r>
      <w:r>
        <w:rPr>
          <w:color w:val="010101"/>
          <w:spacing w:val="-3"/>
          <w:w w:val="110"/>
          <w:sz w:val="20"/>
        </w:rPr>
        <w:t>(6.9) </w:t>
      </w:r>
      <w:r>
        <w:rPr>
          <w:color w:val="010101"/>
          <w:w w:val="110"/>
          <w:sz w:val="19"/>
        </w:rPr>
        <w:t>and the values computed as shown </w:t>
      </w:r>
      <w:r>
        <w:rPr>
          <w:color w:val="010101"/>
          <w:w w:val="110"/>
          <w:sz w:val="21"/>
        </w:rPr>
        <w:t>in </w:t>
      </w:r>
      <w:r>
        <w:rPr>
          <w:color w:val="010101"/>
          <w:w w:val="110"/>
          <w:sz w:val="20"/>
        </w:rPr>
        <w:t>(6.10)</w:t>
      </w:r>
      <w:r>
        <w:rPr>
          <w:color w:val="010101"/>
          <w:spacing w:val="1"/>
          <w:w w:val="110"/>
          <w:sz w:val="20"/>
        </w:rPr>
        <w:t> </w:t>
      </w:r>
      <w:r>
        <w:rPr>
          <w:color w:val="010101"/>
          <w:w w:val="110"/>
          <w:sz w:val="19"/>
        </w:rPr>
        <w:t>provide</w:t>
      </w:r>
      <w:r>
        <w:rPr>
          <w:color w:val="010101"/>
          <w:spacing w:val="2"/>
          <w:w w:val="110"/>
          <w:sz w:val="19"/>
        </w:rPr>
        <w:t> </w:t>
      </w:r>
      <w:r>
        <w:rPr>
          <w:color w:val="010101"/>
          <w:w w:val="110"/>
          <w:sz w:val="19"/>
        </w:rPr>
        <w:t>a</w:t>
      </w:r>
      <w:r>
        <w:rPr>
          <w:color w:val="010101"/>
          <w:spacing w:val="-12"/>
          <w:w w:val="110"/>
          <w:sz w:val="19"/>
        </w:rPr>
        <w:t> </w:t>
      </w:r>
      <w:r>
        <w:rPr>
          <w:color w:val="010101"/>
          <w:w w:val="110"/>
          <w:sz w:val="19"/>
        </w:rPr>
        <w:t>scalc</w:t>
      </w:r>
      <w:r>
        <w:rPr>
          <w:color w:val="010101"/>
          <w:spacing w:val="-13"/>
          <w:w w:val="110"/>
          <w:sz w:val="19"/>
        </w:rPr>
        <w:t> </w:t>
      </w:r>
      <w:r>
        <w:rPr>
          <w:color w:val="010101"/>
          <w:w w:val="110"/>
          <w:sz w:val="19"/>
        </w:rPr>
        <w:t>of</w:t>
      </w:r>
      <w:r>
        <w:rPr>
          <w:color w:val="010101"/>
          <w:spacing w:val="-1"/>
          <w:w w:val="110"/>
          <w:sz w:val="19"/>
        </w:rPr>
        <w:t> </w:t>
      </w:r>
      <w:r>
        <w:rPr>
          <w:color w:val="010101"/>
          <w:w w:val="110"/>
          <w:sz w:val="19"/>
        </w:rPr>
        <w:t>cash</w:t>
      </w:r>
      <w:r>
        <w:rPr>
          <w:color w:val="010101"/>
          <w:spacing w:val="-6"/>
          <w:w w:val="110"/>
          <w:sz w:val="19"/>
        </w:rPr>
        <w:t> </w:t>
      </w:r>
      <w:r>
        <w:rPr>
          <w:color w:val="010101"/>
          <w:w w:val="110"/>
          <w:sz w:val="19"/>
        </w:rPr>
        <w:t>values</w:t>
      </w:r>
      <w:r>
        <w:rPr>
          <w:color w:val="010101"/>
          <w:spacing w:val="-14"/>
          <w:w w:val="110"/>
          <w:sz w:val="19"/>
        </w:rPr>
        <w:t> </w:t>
      </w:r>
      <w:r>
        <w:rPr>
          <w:color w:val="010101"/>
          <w:w w:val="110"/>
          <w:sz w:val="19"/>
        </w:rPr>
        <w:t>which</w:t>
      </w:r>
      <w:r>
        <w:rPr>
          <w:color w:val="010101"/>
          <w:spacing w:val="-19"/>
          <w:w w:val="110"/>
          <w:sz w:val="19"/>
        </w:rPr>
        <w:t> </w:t>
      </w:r>
      <w:r>
        <w:rPr>
          <w:color w:val="010101"/>
          <w:w w:val="110"/>
          <w:sz w:val="19"/>
        </w:rPr>
        <w:t>makes</w:t>
      </w:r>
      <w:r>
        <w:rPr>
          <w:color w:val="010101"/>
          <w:spacing w:val="-18"/>
          <w:w w:val="110"/>
          <w:sz w:val="19"/>
        </w:rPr>
        <w:t> </w:t>
      </w:r>
      <w:r>
        <w:rPr>
          <w:color w:val="010101"/>
          <w:w w:val="110"/>
          <w:sz w:val="19"/>
        </w:rPr>
        <w:t>allowance</w:t>
      </w:r>
      <w:r>
        <w:rPr>
          <w:color w:val="010101"/>
          <w:spacing w:val="-19"/>
          <w:w w:val="110"/>
          <w:sz w:val="19"/>
        </w:rPr>
        <w:t> </w:t>
      </w:r>
      <w:r>
        <w:rPr>
          <w:b/>
          <w:color w:val="010101"/>
          <w:spacing w:val="-7"/>
          <w:w w:val="110"/>
          <w:sz w:val="22"/>
        </w:rPr>
        <w:t>for</w:t>
      </w:r>
      <w:r>
        <w:rPr>
          <w:b/>
          <w:color w:val="010101"/>
          <w:spacing w:val="-36"/>
          <w:w w:val="110"/>
          <w:sz w:val="22"/>
        </w:rPr>
        <w:t> </w:t>
      </w:r>
      <w:r>
        <w:rPr>
          <w:b/>
          <w:color w:val="010101"/>
          <w:w w:val="110"/>
          <w:sz w:val="22"/>
        </w:rPr>
        <w:t>the </w:t>
      </w:r>
      <w:r>
        <w:rPr>
          <w:color w:val="010101"/>
          <w:w w:val="110"/>
          <w:sz w:val="19"/>
        </w:rPr>
        <w:t>extra initial</w:t>
      </w:r>
      <w:r>
        <w:rPr>
          <w:color w:val="010101"/>
          <w:spacing w:val="51"/>
          <w:w w:val="110"/>
          <w:sz w:val="19"/>
        </w:rPr>
        <w:t> </w:t>
      </w:r>
      <w:r>
        <w:rPr>
          <w:color w:val="010101"/>
          <w:w w:val="110"/>
          <w:sz w:val="19"/>
        </w:rPr>
        <w:t>expense.</w:t>
      </w:r>
    </w:p>
    <w:p>
      <w:pPr>
        <w:spacing w:line="237" w:lineRule="auto" w:before="0"/>
        <w:ind w:left="122" w:right="225" w:firstLine="193"/>
        <w:jc w:val="both"/>
        <w:rPr>
          <w:b/>
          <w:sz w:val="20"/>
        </w:rPr>
      </w:pPr>
      <w:r>
        <w:rPr>
          <w:color w:val="010101"/>
          <w:w w:val="110"/>
          <w:sz w:val="20"/>
        </w:rPr>
        <w:t>The</w:t>
      </w:r>
      <w:r>
        <w:rPr>
          <w:color w:val="010101"/>
          <w:spacing w:val="-11"/>
          <w:w w:val="110"/>
          <w:sz w:val="20"/>
        </w:rPr>
        <w:t> </w:t>
      </w:r>
      <w:r>
        <w:rPr>
          <w:i/>
          <w:color w:val="010101"/>
          <w:w w:val="110"/>
          <w:sz w:val="21"/>
        </w:rPr>
        <w:t>mínimum</w:t>
      </w:r>
      <w:r>
        <w:rPr>
          <w:i/>
          <w:color w:val="010101"/>
          <w:spacing w:val="-15"/>
          <w:w w:val="110"/>
          <w:sz w:val="21"/>
        </w:rPr>
        <w:t> </w:t>
      </w:r>
      <w:r>
        <w:rPr>
          <w:color w:val="010101"/>
          <w:w w:val="110"/>
          <w:sz w:val="19"/>
        </w:rPr>
        <w:t>cash</w:t>
      </w:r>
      <w:r>
        <w:rPr>
          <w:color w:val="010101"/>
          <w:spacing w:val="-1"/>
          <w:w w:val="110"/>
          <w:sz w:val="19"/>
        </w:rPr>
        <w:t> </w:t>
      </w:r>
      <w:r>
        <w:rPr>
          <w:color w:val="010101"/>
          <w:w w:val="110"/>
          <w:sz w:val="19"/>
        </w:rPr>
        <w:t>values</w:t>
      </w:r>
      <w:r>
        <w:rPr>
          <w:color w:val="010101"/>
          <w:spacing w:val="-13"/>
          <w:w w:val="110"/>
          <w:sz w:val="19"/>
        </w:rPr>
        <w:t> </w:t>
      </w:r>
      <w:r>
        <w:rPr>
          <w:color w:val="010101"/>
          <w:w w:val="110"/>
          <w:sz w:val="19"/>
        </w:rPr>
        <w:t>which</w:t>
      </w:r>
      <w:r>
        <w:rPr>
          <w:color w:val="010101"/>
          <w:spacing w:val="6"/>
          <w:w w:val="110"/>
          <w:sz w:val="19"/>
        </w:rPr>
        <w:t> </w:t>
      </w:r>
      <w:r>
        <w:rPr>
          <w:color w:val="010101"/>
          <w:w w:val="110"/>
          <w:sz w:val="19"/>
        </w:rPr>
        <w:t>an</w:t>
      </w:r>
      <w:r>
        <w:rPr>
          <w:color w:val="010101"/>
          <w:spacing w:val="-1"/>
          <w:w w:val="110"/>
          <w:sz w:val="19"/>
        </w:rPr>
        <w:t> </w:t>
      </w:r>
      <w:r>
        <w:rPr>
          <w:color w:val="010101"/>
          <w:w w:val="110"/>
          <w:sz w:val="19"/>
        </w:rPr>
        <w:t>insurer</w:t>
      </w:r>
      <w:r>
        <w:rPr>
          <w:color w:val="010101"/>
          <w:spacing w:val="-6"/>
          <w:w w:val="110"/>
          <w:sz w:val="19"/>
        </w:rPr>
        <w:t> </w:t>
      </w:r>
      <w:r>
        <w:rPr>
          <w:color w:val="010101"/>
          <w:w w:val="110"/>
          <w:sz w:val="20"/>
        </w:rPr>
        <w:t>may</w:t>
      </w:r>
      <w:r>
        <w:rPr>
          <w:color w:val="010101"/>
          <w:spacing w:val="-1"/>
          <w:w w:val="110"/>
          <w:sz w:val="20"/>
        </w:rPr>
        <w:t> </w:t>
      </w:r>
      <w:r>
        <w:rPr>
          <w:rFonts w:ascii="Arial" w:hAnsi="Arial"/>
          <w:color w:val="010101"/>
          <w:w w:val="110"/>
          <w:sz w:val="19"/>
        </w:rPr>
        <w:t>off</w:t>
      </w:r>
      <w:r>
        <w:rPr>
          <w:color w:val="010101"/>
          <w:w w:val="110"/>
          <w:sz w:val="19"/>
        </w:rPr>
        <w:t>er</w:t>
      </w:r>
      <w:r>
        <w:rPr>
          <w:color w:val="010101"/>
          <w:spacing w:val="-6"/>
          <w:w w:val="110"/>
          <w:sz w:val="19"/>
        </w:rPr>
        <w:t> </w:t>
      </w:r>
      <w:r>
        <w:rPr>
          <w:color w:val="010101"/>
          <w:w w:val="110"/>
          <w:sz w:val="20"/>
        </w:rPr>
        <w:t>are</w:t>
      </w:r>
      <w:r>
        <w:rPr>
          <w:color w:val="010101"/>
          <w:spacing w:val="-14"/>
          <w:w w:val="110"/>
          <w:sz w:val="20"/>
        </w:rPr>
        <w:t> </w:t>
      </w:r>
      <w:r>
        <w:rPr>
          <w:color w:val="010101"/>
          <w:w w:val="110"/>
          <w:sz w:val="19"/>
        </w:rPr>
        <w:t>defined </w:t>
      </w:r>
      <w:r>
        <w:rPr>
          <w:color w:val="010101"/>
          <w:w w:val="110"/>
          <w:sz w:val="20"/>
        </w:rPr>
        <w:t>by </w:t>
      </w:r>
      <w:r>
        <w:rPr>
          <w:color w:val="010101"/>
          <w:sz w:val="21"/>
        </w:rPr>
        <w:t>la.w  </w:t>
      </w:r>
      <w:r>
        <w:rPr>
          <w:color w:val="010101"/>
          <w:w w:val="110"/>
          <w:sz w:val="22"/>
        </w:rPr>
        <w:t>to </w:t>
      </w:r>
      <w:r>
        <w:rPr>
          <w:rFonts w:ascii="Arial" w:hAnsi="Arial"/>
          <w:color w:val="010101"/>
          <w:w w:val="110"/>
          <w:sz w:val="19"/>
        </w:rPr>
        <w:t>be </w:t>
      </w:r>
      <w:r>
        <w:rPr>
          <w:color w:val="010101"/>
          <w:w w:val="110"/>
          <w:sz w:val="19"/>
        </w:rPr>
        <w:t>adjusted  premium  surrender  va.lues  computed  </w:t>
      </w:r>
      <w:r>
        <w:rPr>
          <w:color w:val="010101"/>
          <w:w w:val="110"/>
          <w:sz w:val="21"/>
        </w:rPr>
        <w:t>on </w:t>
      </w:r>
      <w:r>
        <w:rPr>
          <w:color w:val="010101"/>
          <w:w w:val="110"/>
          <w:sz w:val="19"/>
        </w:rPr>
        <w:t>a prescribed. mortality and interest ha.sis with the extra initial expense </w:t>
      </w:r>
      <w:r>
        <w:rPr>
          <w:color w:val="010101"/>
          <w:w w:val="110"/>
          <w:sz w:val="22"/>
        </w:rPr>
        <w:t>E</w:t>
      </w:r>
      <w:r>
        <w:rPr>
          <w:color w:val="010101"/>
          <w:w w:val="110"/>
          <w:position w:val="10"/>
          <w:sz w:val="12"/>
        </w:rPr>
        <w:t>1 </w:t>
      </w:r>
      <w:r>
        <w:rPr>
          <w:color w:val="010101"/>
          <w:w w:val="110"/>
          <w:sz w:val="19"/>
        </w:rPr>
        <w:t>derived from the following formula </w:t>
      </w:r>
      <w:r>
        <w:rPr>
          <w:color w:val="010101"/>
          <w:w w:val="110"/>
          <w:sz w:val="20"/>
        </w:rPr>
        <w:t>(based </w:t>
      </w:r>
      <w:r>
        <w:rPr>
          <w:color w:val="010101"/>
          <w:w w:val="110"/>
          <w:sz w:val="19"/>
        </w:rPr>
        <w:t>on a </w:t>
      </w:r>
      <w:r>
        <w:rPr>
          <w:b/>
          <w:color w:val="010101"/>
          <w:sz w:val="22"/>
        </w:rPr>
        <w:t>IeveJ </w:t>
      </w:r>
      <w:r>
        <w:rPr>
          <w:color w:val="010101"/>
          <w:w w:val="110"/>
          <w:sz w:val="19"/>
        </w:rPr>
        <w:t>insurance amount of </w:t>
      </w:r>
      <w:r>
        <w:rPr>
          <w:b/>
          <w:color w:val="010101"/>
          <w:w w:val="110"/>
          <w:sz w:val="20"/>
        </w:rPr>
        <w:t>$1000)</w:t>
      </w:r>
      <w:r>
        <w:rPr>
          <w:b/>
          <w:color w:val="010101"/>
          <w:spacing w:val="-5"/>
          <w:w w:val="110"/>
          <w:sz w:val="20"/>
        </w:rPr>
        <w:t> </w:t>
      </w:r>
      <w:r>
        <w:rPr>
          <w:b/>
          <w:color w:val="010101"/>
          <w:w w:val="110"/>
          <w:sz w:val="20"/>
        </w:rPr>
        <w:t>;</w:t>
      </w:r>
    </w:p>
    <w:p>
      <w:pPr>
        <w:pStyle w:val="ListParagraph"/>
        <w:numPr>
          <w:ilvl w:val="0"/>
          <w:numId w:val="61"/>
        </w:numPr>
        <w:tabs>
          <w:tab w:pos="711" w:val="left" w:leader="none"/>
        </w:tabs>
        <w:spacing w:line="264" w:lineRule="auto" w:before="20" w:after="0"/>
        <w:ind w:left="714" w:right="246" w:hanging="356"/>
        <w:jc w:val="both"/>
        <w:rPr>
          <w:sz w:val="19"/>
        </w:rPr>
      </w:pPr>
      <w:r>
        <w:rPr>
          <w:color w:val="010101"/>
          <w:w w:val="115"/>
          <w:sz w:val="19"/>
        </w:rPr>
        <w:t>40</w:t>
      </w:r>
      <w:r>
        <w:rPr>
          <w:color w:val="010101"/>
          <w:spacing w:val="-33"/>
          <w:w w:val="115"/>
          <w:sz w:val="19"/>
        </w:rPr>
        <w:t> </w:t>
      </w:r>
      <w:r>
        <w:rPr>
          <w:rFonts w:ascii="Arial"/>
          <w:color w:val="010101"/>
          <w:w w:val="115"/>
          <w:sz w:val="19"/>
        </w:rPr>
        <w:t>%</w:t>
      </w:r>
      <w:r>
        <w:rPr>
          <w:rFonts w:ascii="Arial"/>
          <w:color w:val="010101"/>
          <w:spacing w:val="-33"/>
          <w:w w:val="115"/>
          <w:sz w:val="19"/>
        </w:rPr>
        <w:t> </w:t>
      </w:r>
      <w:r>
        <w:rPr>
          <w:color w:val="010101"/>
          <w:w w:val="115"/>
          <w:sz w:val="19"/>
        </w:rPr>
        <w:t>of</w:t>
      </w:r>
      <w:r>
        <w:rPr>
          <w:color w:val="010101"/>
          <w:spacing w:val="-10"/>
          <w:w w:val="115"/>
          <w:sz w:val="19"/>
        </w:rPr>
        <w:t> </w:t>
      </w:r>
      <w:r>
        <w:rPr>
          <w:color w:val="010101"/>
          <w:w w:val="115"/>
          <w:sz w:val="19"/>
        </w:rPr>
        <w:t>the</w:t>
      </w:r>
      <w:r>
        <w:rPr>
          <w:color w:val="010101"/>
          <w:spacing w:val="-17"/>
          <w:w w:val="115"/>
          <w:sz w:val="19"/>
        </w:rPr>
        <w:t> </w:t>
      </w:r>
      <w:r>
        <w:rPr>
          <w:color w:val="010101"/>
          <w:w w:val="115"/>
          <w:sz w:val="19"/>
        </w:rPr>
        <w:t>adjusted</w:t>
      </w:r>
      <w:r>
        <w:rPr>
          <w:color w:val="010101"/>
          <w:spacing w:val="-12"/>
          <w:w w:val="115"/>
          <w:sz w:val="19"/>
        </w:rPr>
        <w:t> </w:t>
      </w:r>
      <w:r>
        <w:rPr>
          <w:color w:val="010101"/>
          <w:w w:val="115"/>
          <w:sz w:val="19"/>
        </w:rPr>
        <w:t>premium</w:t>
      </w:r>
      <w:r>
        <w:rPr>
          <w:color w:val="010101"/>
          <w:spacing w:val="-5"/>
          <w:w w:val="115"/>
          <w:sz w:val="19"/>
        </w:rPr>
        <w:t> </w:t>
      </w:r>
      <w:r>
        <w:rPr>
          <w:color w:val="010101"/>
          <w:w w:val="115"/>
          <w:sz w:val="19"/>
        </w:rPr>
        <w:t>for</w:t>
      </w:r>
      <w:r>
        <w:rPr>
          <w:color w:val="010101"/>
          <w:spacing w:val="-15"/>
          <w:w w:val="115"/>
          <w:sz w:val="19"/>
        </w:rPr>
        <w:t> </w:t>
      </w:r>
      <w:r>
        <w:rPr>
          <w:color w:val="010101"/>
          <w:w w:val="115"/>
          <w:sz w:val="19"/>
        </w:rPr>
        <w:t>the</w:t>
      </w:r>
      <w:r>
        <w:rPr>
          <w:color w:val="010101"/>
          <w:spacing w:val="-13"/>
          <w:w w:val="115"/>
          <w:sz w:val="19"/>
        </w:rPr>
        <w:t> </w:t>
      </w:r>
      <w:r>
        <w:rPr>
          <w:color w:val="010101"/>
          <w:w w:val="115"/>
          <w:sz w:val="19"/>
        </w:rPr>
        <w:t>policy,</w:t>
      </w:r>
      <w:r>
        <w:rPr>
          <w:color w:val="010101"/>
          <w:spacing w:val="-12"/>
          <w:w w:val="115"/>
          <w:sz w:val="19"/>
        </w:rPr>
        <w:t> </w:t>
      </w:r>
      <w:r>
        <w:rPr>
          <w:color w:val="010101"/>
          <w:w w:val="115"/>
          <w:sz w:val="19"/>
        </w:rPr>
        <w:t>but</w:t>
      </w:r>
      <w:r>
        <w:rPr>
          <w:color w:val="010101"/>
          <w:spacing w:val="-5"/>
          <w:w w:val="115"/>
          <w:sz w:val="19"/>
        </w:rPr>
        <w:t> </w:t>
      </w:r>
      <w:r>
        <w:rPr>
          <w:color w:val="010101"/>
          <w:w w:val="115"/>
          <w:sz w:val="19"/>
        </w:rPr>
        <w:t>the</w:t>
      </w:r>
      <w:r>
        <w:rPr>
          <w:color w:val="010101"/>
          <w:spacing w:val="-22"/>
          <w:w w:val="115"/>
          <w:sz w:val="19"/>
        </w:rPr>
        <w:t> </w:t>
      </w:r>
      <w:r>
        <w:rPr>
          <w:color w:val="010101"/>
          <w:w w:val="115"/>
          <w:sz w:val="19"/>
        </w:rPr>
        <w:t>amount not to exceed </w:t>
      </w:r>
      <w:r>
        <w:rPr>
          <w:color w:val="010101"/>
          <w:spacing w:val="-14"/>
          <w:w w:val="115"/>
          <w:sz w:val="19"/>
        </w:rPr>
        <w:t>$16; </w:t>
      </w:r>
      <w:r>
        <w:rPr>
          <w:color w:val="010101"/>
          <w:spacing w:val="-13"/>
          <w:w w:val="115"/>
          <w:sz w:val="19"/>
        </w:rPr>
        <w:t> </w:t>
      </w:r>
      <w:r>
        <w:rPr>
          <w:color w:val="010101"/>
          <w:w w:val="115"/>
          <w:sz w:val="19"/>
        </w:rPr>
        <w:t>plus</w:t>
      </w:r>
    </w:p>
    <w:p>
      <w:pPr>
        <w:pStyle w:val="ListParagraph"/>
        <w:numPr>
          <w:ilvl w:val="0"/>
          <w:numId w:val="61"/>
        </w:numPr>
        <w:tabs>
          <w:tab w:pos="714" w:val="left" w:leader="none"/>
        </w:tabs>
        <w:spacing w:line="247" w:lineRule="auto" w:before="0" w:after="0"/>
        <w:ind w:left="710" w:right="231" w:hanging="355"/>
        <w:jc w:val="both"/>
        <w:rPr>
          <w:sz w:val="19"/>
        </w:rPr>
      </w:pPr>
      <w:r>
        <w:rPr>
          <w:color w:val="010101"/>
          <w:w w:val="110"/>
          <w:sz w:val="19"/>
        </w:rPr>
        <w:t>25 </w:t>
      </w:r>
      <w:r>
        <w:rPr>
          <w:rFonts w:ascii="Arial" w:hAnsi="Arial"/>
          <w:color w:val="010101"/>
          <w:w w:val="110"/>
          <w:sz w:val="19"/>
        </w:rPr>
        <w:t>% </w:t>
      </w:r>
      <w:r>
        <w:rPr>
          <w:color w:val="010101"/>
          <w:w w:val="105"/>
          <w:sz w:val="19"/>
        </w:rPr>
        <w:t>of </w:t>
      </w:r>
      <w:r>
        <w:rPr>
          <w:color w:val="010101"/>
          <w:w w:val="110"/>
          <w:sz w:val="19"/>
        </w:rPr>
        <w:t>the adjusted premium for the policy or </w:t>
      </w:r>
      <w:r>
        <w:rPr>
          <w:color w:val="010101"/>
          <w:w w:val="105"/>
          <w:sz w:val="19"/>
        </w:rPr>
        <w:t>of </w:t>
      </w:r>
      <w:r>
        <w:rPr>
          <w:color w:val="010101"/>
          <w:w w:val="110"/>
          <w:sz w:val="19"/>
        </w:rPr>
        <w:t>the </w:t>
      </w:r>
      <w:r>
        <w:rPr>
          <w:color w:val="010101"/>
          <w:w w:val="110"/>
          <w:sz w:val="20"/>
        </w:rPr>
        <w:t>ad­ </w:t>
      </w:r>
      <w:r>
        <w:rPr>
          <w:color w:val="010101"/>
          <w:w w:val="110"/>
          <w:sz w:val="19"/>
        </w:rPr>
        <w:t>justed premium for an otherwise similar ordinary life policy, whichever  </w:t>
      </w:r>
      <w:r>
        <w:rPr>
          <w:rFonts w:ascii="Arial" w:hAnsi="Arial"/>
          <w:color w:val="010101"/>
          <w:w w:val="110"/>
          <w:sz w:val="19"/>
        </w:rPr>
        <w:t>is </w:t>
      </w:r>
      <w:r>
        <w:rPr>
          <w:color w:val="010101"/>
          <w:w w:val="105"/>
          <w:sz w:val="19"/>
        </w:rPr>
        <w:t>les.5, </w:t>
      </w:r>
      <w:r>
        <w:rPr>
          <w:color w:val="010101"/>
          <w:w w:val="110"/>
          <w:sz w:val="19"/>
        </w:rPr>
        <w:t>but the amount not </w:t>
      </w:r>
      <w:r>
        <w:rPr>
          <w:color w:val="010101"/>
          <w:w w:val="110"/>
          <w:sz w:val="22"/>
        </w:rPr>
        <w:t>to </w:t>
      </w:r>
      <w:r>
        <w:rPr>
          <w:color w:val="010101"/>
          <w:w w:val="110"/>
          <w:sz w:val="19"/>
        </w:rPr>
        <w:t>exceed </w:t>
      </w:r>
      <w:r>
        <w:rPr>
          <w:color w:val="010101"/>
          <w:spacing w:val="-18"/>
          <w:w w:val="110"/>
          <w:sz w:val="19"/>
        </w:rPr>
        <w:t>$10;  </w:t>
      </w:r>
      <w:r>
        <w:rPr>
          <w:color w:val="010101"/>
          <w:spacing w:val="12"/>
          <w:w w:val="110"/>
          <w:sz w:val="19"/>
        </w:rPr>
        <w:t> </w:t>
      </w:r>
      <w:r>
        <w:rPr>
          <w:color w:val="010101"/>
          <w:w w:val="110"/>
          <w:sz w:val="19"/>
        </w:rPr>
        <w:t>plus</w:t>
      </w:r>
    </w:p>
    <w:p>
      <w:pPr>
        <w:spacing w:line="234" w:lineRule="exact" w:before="0"/>
        <w:ind w:left="348" w:right="0" w:firstLine="0"/>
        <w:jc w:val="left"/>
        <w:rPr>
          <w:b/>
          <w:sz w:val="22"/>
        </w:rPr>
      </w:pPr>
      <w:r>
        <w:rPr>
          <w:color w:val="010101"/>
          <w:sz w:val="20"/>
        </w:rPr>
        <w:t>(e) </w:t>
      </w:r>
      <w:r>
        <w:rPr>
          <w:b/>
          <w:color w:val="010101"/>
          <w:sz w:val="22"/>
        </w:rPr>
        <w:t>$20.</w:t>
      </w:r>
    </w:p>
    <w:p>
      <w:pPr>
        <w:spacing w:line="240" w:lineRule="auto" w:before="18"/>
        <w:ind w:left="107" w:right="244" w:firstLine="0"/>
        <w:jc w:val="both"/>
        <w:rPr>
          <w:sz w:val="19"/>
        </w:rPr>
      </w:pPr>
      <w:r>
        <w:rPr>
          <w:color w:val="010101"/>
          <w:w w:val="110"/>
          <w:sz w:val="19"/>
        </w:rPr>
        <w:t>The formula allows the extra initial expense to </w:t>
      </w:r>
      <w:r>
        <w:rPr>
          <w:rFonts w:ascii="Arial"/>
          <w:color w:val="010101"/>
          <w:w w:val="110"/>
          <w:sz w:val="19"/>
        </w:rPr>
        <w:t>vary </w:t>
      </w:r>
      <w:r>
        <w:rPr>
          <w:color w:val="010101"/>
          <w:w w:val="110"/>
          <w:sz w:val="19"/>
        </w:rPr>
        <w:t>with  the plan  </w:t>
      </w:r>
      <w:r>
        <w:rPr>
          <w:color w:val="010101"/>
          <w:w w:val="110"/>
          <w:sz w:val="21"/>
        </w:rPr>
        <w:t>of </w:t>
      </w:r>
      <w:r>
        <w:rPr>
          <w:color w:val="010101"/>
          <w:w w:val="110"/>
          <w:sz w:val="19"/>
        </w:rPr>
        <w:t>insurance-but only within a </w:t>
      </w:r>
      <w:r>
        <w:rPr>
          <w:color w:val="010101"/>
          <w:w w:val="110"/>
          <w:sz w:val="21"/>
        </w:rPr>
        <w:t>reasona.ble </w:t>
      </w:r>
      <w:r>
        <w:rPr>
          <w:color w:val="010101"/>
          <w:w w:val="110"/>
          <w:sz w:val="19"/>
        </w:rPr>
        <w:t>range, </w:t>
      </w:r>
      <w:r>
        <w:rPr>
          <w:color w:val="010101"/>
          <w:spacing w:val="2"/>
          <w:w w:val="110"/>
          <w:sz w:val="21"/>
        </w:rPr>
        <w:t>f</w:t>
      </w:r>
      <w:r>
        <w:rPr>
          <w:color w:val="010101"/>
          <w:spacing w:val="2"/>
          <w:w w:val="110"/>
          <w:sz w:val="19"/>
        </w:rPr>
        <w:t>rom </w:t>
      </w:r>
      <w:r>
        <w:rPr>
          <w:b/>
          <w:color w:val="010101"/>
          <w:w w:val="110"/>
          <w:sz w:val="22"/>
        </w:rPr>
        <w:t>about </w:t>
      </w:r>
      <w:r>
        <w:rPr>
          <w:rFonts w:ascii="Arial"/>
          <w:b/>
          <w:color w:val="010101"/>
          <w:w w:val="110"/>
          <w:sz w:val="18"/>
        </w:rPr>
        <w:t>$25 </w:t>
      </w:r>
      <w:r>
        <w:rPr>
          <w:color w:val="010101"/>
          <w:w w:val="110"/>
          <w:sz w:val="19"/>
        </w:rPr>
        <w:t>per </w:t>
      </w:r>
      <w:r>
        <w:rPr>
          <w:color w:val="010101"/>
          <w:spacing w:val="-12"/>
          <w:w w:val="110"/>
          <w:sz w:val="19"/>
        </w:rPr>
        <w:t>$1000 </w:t>
      </w:r>
      <w:r>
        <w:rPr>
          <w:color w:val="010101"/>
          <w:w w:val="110"/>
          <w:sz w:val="19"/>
        </w:rPr>
        <w:t>of insurance on the Iowest premium plan </w:t>
      </w:r>
      <w:r>
        <w:rPr>
          <w:color w:val="010101"/>
          <w:w w:val="110"/>
          <w:sz w:val="22"/>
        </w:rPr>
        <w:t>to </w:t>
      </w:r>
      <w:r>
        <w:rPr>
          <w:color w:val="010101"/>
          <w:w w:val="110"/>
          <w:sz w:val="19"/>
        </w:rPr>
        <w:t>a maximum  of</w:t>
      </w:r>
      <w:r>
        <w:rPr>
          <w:color w:val="010101"/>
          <w:spacing w:val="-4"/>
          <w:w w:val="110"/>
          <w:sz w:val="19"/>
        </w:rPr>
        <w:t> </w:t>
      </w:r>
      <w:r>
        <w:rPr>
          <w:color w:val="010101"/>
          <w:w w:val="110"/>
          <w:sz w:val="19"/>
        </w:rPr>
        <w:t>$46.</w:t>
      </w:r>
    </w:p>
    <w:p>
      <w:pPr>
        <w:spacing w:line="237" w:lineRule="auto" w:before="7"/>
        <w:ind w:left="111" w:right="245" w:firstLine="197"/>
        <w:jc w:val="both"/>
        <w:rPr>
          <w:sz w:val="19"/>
        </w:rPr>
      </w:pPr>
      <w:r>
        <w:rPr>
          <w:color w:val="010101"/>
          <w:w w:val="110"/>
          <w:sz w:val="20"/>
        </w:rPr>
        <w:t>The </w:t>
      </w:r>
      <w:r>
        <w:rPr>
          <w:color w:val="010101"/>
          <w:w w:val="110"/>
          <w:sz w:val="19"/>
        </w:rPr>
        <w:t>simple formula for </w:t>
      </w:r>
      <w:r>
        <w:rPr>
          <w:rFonts w:ascii="Arial" w:hAnsi="Arial"/>
          <w:i/>
          <w:color w:val="010101"/>
          <w:sz w:val="20"/>
        </w:rPr>
        <w:t>P-'- </w:t>
      </w:r>
      <w:r>
        <w:rPr>
          <w:color w:val="010101"/>
          <w:w w:val="110"/>
          <w:sz w:val="19"/>
        </w:rPr>
        <w:t>given by (6.9) ca.nnot usually be di­ </w:t>
      </w:r>
      <w:r>
        <w:rPr>
          <w:color w:val="010101"/>
          <w:w w:val="110"/>
          <w:sz w:val="20"/>
        </w:rPr>
        <w:t>rectly </w:t>
      </w:r>
      <w:r>
        <w:rPr>
          <w:color w:val="010101"/>
          <w:w w:val="110"/>
          <w:sz w:val="19"/>
        </w:rPr>
        <w:t>applied </w:t>
      </w:r>
      <w:r>
        <w:rPr>
          <w:color w:val="010101"/>
          <w:w w:val="110"/>
          <w:sz w:val="22"/>
        </w:rPr>
        <w:t>to </w:t>
      </w:r>
      <w:r>
        <w:rPr>
          <w:color w:val="010101"/>
          <w:w w:val="110"/>
          <w:sz w:val="19"/>
        </w:rPr>
        <w:t>find the adjusted premium, since </w:t>
      </w:r>
      <w:r>
        <w:rPr>
          <w:rFonts w:ascii="Arial" w:hAnsi="Arial"/>
          <w:i/>
          <w:color w:val="010101"/>
          <w:sz w:val="24"/>
        </w:rPr>
        <w:t>E1 </w:t>
      </w:r>
      <w:r>
        <w:rPr>
          <w:rFonts w:ascii="Arial" w:hAnsi="Arial"/>
          <w:color w:val="010101"/>
          <w:w w:val="110"/>
          <w:sz w:val="19"/>
        </w:rPr>
        <w:t>is </w:t>
      </w:r>
      <w:r>
        <w:rPr>
          <w:color w:val="010101"/>
          <w:w w:val="110"/>
          <w:sz w:val="19"/>
        </w:rPr>
        <w:t>defined </w:t>
      </w:r>
      <w:r>
        <w:rPr>
          <w:color w:val="010101"/>
          <w:w w:val="110"/>
          <w:sz w:val="20"/>
        </w:rPr>
        <w:t>partly </w:t>
      </w:r>
      <w:r>
        <w:rPr>
          <w:color w:val="010101"/>
          <w:w w:val="110"/>
          <w:sz w:val="19"/>
        </w:rPr>
        <w:t>in terms of certain percentages </w:t>
      </w:r>
      <w:r>
        <w:rPr>
          <w:color w:val="010101"/>
          <w:sz w:val="19"/>
        </w:rPr>
        <w:t>of </w:t>
      </w:r>
      <w:r>
        <w:rPr>
          <w:rFonts w:ascii="Arial" w:hAnsi="Arial"/>
          <w:i/>
          <w:color w:val="010101"/>
          <w:sz w:val="20"/>
        </w:rPr>
        <w:t>P-'-. </w:t>
      </w:r>
      <w:r>
        <w:rPr>
          <w:color w:val="010101"/>
          <w:w w:val="110"/>
          <w:sz w:val="19"/>
        </w:rPr>
        <w:t>Furthennore,  care must be taken that the maximum elements, defined in (a) and (b),</w:t>
      </w:r>
      <w:r>
        <w:rPr>
          <w:color w:val="010101"/>
          <w:spacing w:val="52"/>
          <w:w w:val="110"/>
          <w:sz w:val="19"/>
        </w:rPr>
        <w:t> </w:t>
      </w:r>
      <w:r>
        <w:rPr>
          <w:color w:val="010101"/>
          <w:w w:val="110"/>
          <w:sz w:val="19"/>
        </w:rPr>
        <w:t>a.re  not  exceedd.  </w:t>
      </w:r>
      <w:r>
        <w:rPr>
          <w:color w:val="010101"/>
          <w:spacing w:val="-3"/>
          <w:w w:val="110"/>
          <w:sz w:val="19"/>
        </w:rPr>
        <w:t>I</w:t>
      </w:r>
      <w:r>
        <w:rPr>
          <w:color w:val="010101"/>
          <w:spacing w:val="-3"/>
          <w:w w:val="110"/>
          <w:sz w:val="22"/>
        </w:rPr>
        <w:t>t  </w:t>
      </w:r>
      <w:r>
        <w:rPr>
          <w:rFonts w:ascii="Arial" w:hAnsi="Arial"/>
          <w:color w:val="010101"/>
          <w:w w:val="110"/>
          <w:sz w:val="21"/>
        </w:rPr>
        <w:t>will </w:t>
      </w:r>
      <w:r>
        <w:rPr>
          <w:color w:val="010101"/>
          <w:w w:val="110"/>
          <w:sz w:val="19"/>
        </w:rPr>
        <w:t>be  noted  that  the  maximum  amount of</w:t>
      </w:r>
    </w:p>
    <w:p>
      <w:pPr>
        <w:spacing w:after="0" w:line="237" w:lineRule="auto"/>
        <w:jc w:val="both"/>
        <w:rPr>
          <w:sz w:val="19"/>
        </w:rPr>
        <w:sectPr>
          <w:type w:val="continuous"/>
          <w:pgSz w:w="7200" w:h="11340"/>
          <w:pgMar w:top="1100" w:bottom="0" w:left="660" w:right="440"/>
        </w:sectPr>
      </w:pPr>
    </w:p>
    <w:p>
      <w:pPr>
        <w:tabs>
          <w:tab w:pos="2401" w:val="left" w:leader="none"/>
          <w:tab w:pos="5900" w:val="right" w:leader="none"/>
        </w:tabs>
        <w:spacing w:before="46"/>
        <w:ind w:left="115" w:right="0" w:firstLine="0"/>
        <w:jc w:val="both"/>
        <w:rPr>
          <w:rFonts w:ascii="Courier New"/>
          <w:sz w:val="23"/>
        </w:rPr>
      </w:pPr>
      <w:r>
        <w:rPr>
          <w:b/>
          <w:color w:val="010101"/>
          <w:sz w:val="16"/>
        </w:rPr>
        <w:t>BEC.</w:t>
      </w:r>
      <w:r>
        <w:rPr>
          <w:b/>
          <w:color w:val="010101"/>
          <w:spacing w:val="18"/>
          <w:sz w:val="16"/>
        </w:rPr>
        <w:t> </w:t>
      </w:r>
      <w:r>
        <w:rPr>
          <w:rFonts w:ascii="Arial"/>
          <w:b/>
          <w:color w:val="010101"/>
          <w:sz w:val="20"/>
        </w:rPr>
        <w:t>5)</w:t>
        <w:tab/>
      </w:r>
      <w:r>
        <w:rPr>
          <w:rFonts w:ascii="Courier New"/>
          <w:b/>
          <w:color w:val="010101"/>
          <w:position w:val="1"/>
          <w:sz w:val="17"/>
        </w:rPr>
        <w:t>CASH</w:t>
      </w:r>
      <w:r>
        <w:rPr>
          <w:rFonts w:ascii="Courier New"/>
          <w:b/>
          <w:color w:val="010101"/>
          <w:spacing w:val="-4"/>
          <w:position w:val="1"/>
          <w:sz w:val="17"/>
        </w:rPr>
        <w:t> </w:t>
      </w:r>
      <w:r>
        <w:rPr>
          <w:rFonts w:ascii="Courier New"/>
          <w:b/>
          <w:color w:val="010101"/>
          <w:position w:val="1"/>
          <w:sz w:val="17"/>
        </w:rPr>
        <w:t>YALUES</w:t>
      </w:r>
      <w:r>
        <w:rPr>
          <w:rFonts w:ascii="Courier New"/>
          <w:color w:val="010101"/>
          <w:position w:val="1"/>
          <w:sz w:val="23"/>
        </w:rPr>
        <w:tab/>
      </w:r>
      <w:r>
        <w:rPr>
          <w:rFonts w:ascii="Courier New"/>
          <w:color w:val="010101"/>
          <w:spacing w:val="-31"/>
          <w:position w:val="1"/>
          <w:sz w:val="23"/>
        </w:rPr>
        <w:t>141</w:t>
      </w:r>
    </w:p>
    <w:p>
      <w:pPr>
        <w:pStyle w:val="BodyText"/>
        <w:rPr>
          <w:rFonts w:ascii="Courier New"/>
          <w:sz w:val="19"/>
        </w:rPr>
      </w:pPr>
    </w:p>
    <w:p>
      <w:pPr>
        <w:pStyle w:val="BodyText"/>
        <w:spacing w:line="237" w:lineRule="exact"/>
        <w:ind w:left="115"/>
        <w:jc w:val="both"/>
      </w:pPr>
      <w:r>
        <w:rPr>
          <w:color w:val="010101"/>
          <w:w w:val="110"/>
        </w:rPr>
        <w:t>$16 in (a) must be used whenever </w:t>
      </w:r>
      <w:r>
        <w:rPr>
          <w:i/>
          <w:color w:val="010101"/>
          <w:w w:val="110"/>
          <w:sz w:val="21"/>
        </w:rPr>
        <w:t>P.. </w:t>
      </w:r>
      <w:r>
        <w:rPr>
          <w:rFonts w:ascii="Arial"/>
          <w:color w:val="010101"/>
          <w:w w:val="110"/>
          <w:sz w:val="19"/>
        </w:rPr>
        <w:t>is </w:t>
      </w:r>
      <w:r>
        <w:rPr>
          <w:color w:val="010101"/>
          <w:w w:val="110"/>
        </w:rPr>
        <w:t>greater than </w:t>
      </w:r>
      <w:r>
        <w:rPr>
          <w:color w:val="010101"/>
          <w:w w:val="110"/>
          <w:sz w:val="21"/>
        </w:rPr>
        <w:t>$40, </w:t>
      </w:r>
      <w:r>
        <w:rPr>
          <w:color w:val="010101"/>
          <w:w w:val="110"/>
        </w:rPr>
        <w:t>a.nd the</w:t>
      </w:r>
    </w:p>
    <w:p>
      <w:pPr>
        <w:pStyle w:val="BodyText"/>
        <w:spacing w:line="232" w:lineRule="auto" w:before="1"/>
        <w:ind w:left="108" w:right="153" w:firstLine="7"/>
        <w:jc w:val="both"/>
      </w:pPr>
      <w:r>
        <w:rPr>
          <w:color w:val="010101"/>
          <w:spacing w:val="-4"/>
          <w:w w:val="109"/>
        </w:rPr>
        <w:t>$10 </w:t>
      </w:r>
      <w:r>
        <w:rPr>
          <w:color w:val="010101"/>
          <w:spacing w:val="-4"/>
          <w:w w:val="103"/>
        </w:rPr>
        <w:t>maximum </w:t>
      </w:r>
      <w:r>
        <w:rPr>
          <w:color w:val="010101"/>
          <w:spacing w:val="-4"/>
          <w:w w:val="106"/>
        </w:rPr>
        <w:t>in </w:t>
      </w:r>
      <w:r>
        <w:rPr>
          <w:color w:val="010101"/>
          <w:spacing w:val="-4"/>
          <w:w w:val="115"/>
        </w:rPr>
        <w:t>(b) </w:t>
      </w:r>
      <w:r>
        <w:rPr>
          <w:color w:val="010101"/>
          <w:spacing w:val="-4"/>
          <w:w w:val="107"/>
        </w:rPr>
        <w:t>must </w:t>
      </w:r>
      <w:r>
        <w:rPr>
          <w:color w:val="010101"/>
          <w:spacing w:val="-4"/>
          <w:w w:val="103"/>
        </w:rPr>
        <w:t>be </w:t>
      </w:r>
      <w:r>
        <w:rPr>
          <w:color w:val="010101"/>
          <w:spacing w:val="-4"/>
          <w:w w:val="102"/>
        </w:rPr>
        <w:t>used </w:t>
      </w:r>
      <w:r>
        <w:rPr>
          <w:color w:val="010101"/>
          <w:spacing w:val="-4"/>
          <w:w w:val="86"/>
        </w:rPr>
        <w:t>if </w:t>
      </w:r>
      <w:r>
        <w:rPr>
          <w:color w:val="010101"/>
          <w:spacing w:val="-4"/>
          <w:w w:val="115"/>
        </w:rPr>
        <w:t>the </w:t>
      </w:r>
      <w:r>
        <w:rPr>
          <w:color w:val="010101"/>
          <w:spacing w:val="-12"/>
          <w:w w:val="273"/>
        </w:rPr>
        <w:t>ler </w:t>
      </w:r>
      <w:r>
        <w:rPr>
          <w:color w:val="010101"/>
          <w:spacing w:val="-12"/>
          <w:w w:val="91"/>
        </w:rPr>
        <w:t>of </w:t>
      </w:r>
      <w:r>
        <w:rPr>
          <w:i/>
          <w:color w:val="010101"/>
          <w:spacing w:val="-12"/>
          <w:w w:val="90"/>
          <w:sz w:val="22"/>
        </w:rPr>
        <w:t>pA </w:t>
      </w:r>
      <w:r>
        <w:rPr>
          <w:color w:val="010101"/>
          <w:spacing w:val="-12"/>
          <w:w w:val="109"/>
        </w:rPr>
        <w:t>and </w:t>
      </w:r>
      <w:r>
        <w:rPr>
          <w:color w:val="010101"/>
          <w:spacing w:val="-12"/>
          <w:w w:val="112"/>
        </w:rPr>
        <w:t>the </w:t>
      </w:r>
      <w:r>
        <w:rPr>
          <w:color w:val="010101"/>
          <w:spacing w:val="-12"/>
          <w:w w:val="106"/>
        </w:rPr>
        <w:t>ordi­ </w:t>
      </w:r>
      <w:r>
        <w:rPr>
          <w:color w:val="010101"/>
          <w:spacing w:val="-12"/>
          <w:w w:val="105"/>
        </w:rPr>
        <w:t>nary life a.djusted premium at the same age exceeds </w:t>
      </w:r>
      <w:r>
        <w:rPr>
          <w:color w:val="010101"/>
          <w:spacing w:val="-12"/>
          <w:w w:val="105"/>
          <w:sz w:val="21"/>
        </w:rPr>
        <w:t>$40. </w:t>
      </w:r>
      <w:r>
        <w:rPr>
          <w:color w:val="010101"/>
          <w:spacing w:val="-12"/>
          <w:w w:val="105"/>
        </w:rPr>
        <w:t>The for­ mula. for </w:t>
      </w:r>
      <w:r>
        <w:rPr>
          <w:b/>
          <w:i/>
          <w:color w:val="010101"/>
          <w:spacing w:val="-12"/>
          <w:w w:val="105"/>
          <w:sz w:val="22"/>
        </w:rPr>
        <w:t>pA </w:t>
      </w:r>
      <w:r>
        <w:rPr>
          <w:b/>
          <w:color w:val="010101"/>
          <w:spacing w:val="-12"/>
          <w:w w:val="105"/>
          <w:sz w:val="22"/>
        </w:rPr>
        <w:t>will </w:t>
      </w:r>
      <w:r>
        <w:rPr>
          <w:color w:val="010101"/>
          <w:spacing w:val="-12"/>
          <w:w w:val="105"/>
        </w:rPr>
        <w:t>thus</w:t>
      </w:r>
      <w:r>
        <w:rPr>
          <w:color w:val="010101"/>
          <w:w w:val="105"/>
        </w:rPr>
        <w:t> va.ry according as</w:t>
      </w:r>
    </w:p>
    <w:p>
      <w:pPr>
        <w:pStyle w:val="ListParagraph"/>
        <w:numPr>
          <w:ilvl w:val="1"/>
          <w:numId w:val="61"/>
        </w:numPr>
        <w:tabs>
          <w:tab w:pos="701" w:val="left" w:leader="none"/>
        </w:tabs>
        <w:spacing w:line="241" w:lineRule="exact" w:before="2" w:after="0"/>
        <w:ind w:left="700" w:right="0" w:hanging="355"/>
        <w:jc w:val="left"/>
        <w:rPr>
          <w:sz w:val="21"/>
        </w:rPr>
      </w:pPr>
      <w:r>
        <w:rPr>
          <w:rFonts w:ascii="Arial"/>
          <w:i/>
          <w:color w:val="010101"/>
          <w:w w:val="105"/>
          <w:sz w:val="19"/>
        </w:rPr>
        <w:t>pA </w:t>
      </w:r>
      <w:r>
        <w:rPr>
          <w:color w:val="010101"/>
          <w:w w:val="105"/>
          <w:sz w:val="20"/>
        </w:rPr>
        <w:t>is greater or lesa than</w:t>
      </w:r>
      <w:r>
        <w:rPr>
          <w:color w:val="010101"/>
          <w:spacing w:val="34"/>
          <w:w w:val="105"/>
          <w:sz w:val="20"/>
        </w:rPr>
        <w:t> </w:t>
      </w:r>
      <w:r>
        <w:rPr>
          <w:color w:val="010101"/>
          <w:w w:val="105"/>
          <w:sz w:val="21"/>
        </w:rPr>
        <w:t>$40,</w:t>
      </w:r>
    </w:p>
    <w:p>
      <w:pPr>
        <w:pStyle w:val="ListParagraph"/>
        <w:numPr>
          <w:ilvl w:val="1"/>
          <w:numId w:val="61"/>
        </w:numPr>
        <w:tabs>
          <w:tab w:pos="701" w:val="left" w:leader="none"/>
        </w:tabs>
        <w:spacing w:line="207" w:lineRule="exact" w:before="0" w:after="0"/>
        <w:ind w:left="700" w:right="0" w:hanging="355"/>
        <w:jc w:val="left"/>
        <w:rPr>
          <w:sz w:val="20"/>
        </w:rPr>
      </w:pPr>
      <w:r>
        <w:rPr>
          <w:i/>
          <w:color w:val="010101"/>
          <w:spacing w:val="4"/>
          <w:w w:val="105"/>
          <w:sz w:val="21"/>
        </w:rPr>
        <w:t>P.. </w:t>
      </w:r>
      <w:r>
        <w:rPr>
          <w:color w:val="010101"/>
          <w:w w:val="105"/>
          <w:sz w:val="20"/>
        </w:rPr>
        <w:t>is greater or lesa tha.n the ordinary life adjusted</w:t>
      </w:r>
      <w:r>
        <w:rPr>
          <w:color w:val="010101"/>
          <w:spacing w:val="6"/>
          <w:w w:val="105"/>
          <w:sz w:val="20"/>
        </w:rPr>
        <w:t> </w:t>
      </w:r>
      <w:r>
        <w:rPr>
          <w:color w:val="010101"/>
          <w:w w:val="105"/>
          <w:sz w:val="20"/>
        </w:rPr>
        <w:t>premium</w:t>
      </w:r>
    </w:p>
    <w:p>
      <w:pPr>
        <w:pStyle w:val="BodyText"/>
        <w:spacing w:line="257" w:lineRule="exact"/>
        <w:ind w:left="700"/>
      </w:pPr>
      <w:r>
        <w:rPr>
          <w:rFonts w:ascii="Arial"/>
          <w:i/>
          <w:color w:val="010101"/>
          <w:w w:val="105"/>
          <w:sz w:val="29"/>
        </w:rPr>
        <w:t>P: </w:t>
      </w:r>
      <w:r>
        <w:rPr>
          <w:color w:val="010101"/>
          <w:w w:val="105"/>
        </w:rPr>
        <w:t>at the same a.ge, and</w:t>
      </w:r>
    </w:p>
    <w:p>
      <w:pPr>
        <w:pStyle w:val="ListParagraph"/>
        <w:numPr>
          <w:ilvl w:val="1"/>
          <w:numId w:val="61"/>
        </w:numPr>
        <w:tabs>
          <w:tab w:pos="708" w:val="left" w:leader="none"/>
        </w:tabs>
        <w:spacing w:line="264" w:lineRule="exact" w:before="0" w:after="0"/>
        <w:ind w:left="707" w:right="0" w:hanging="355"/>
        <w:jc w:val="left"/>
        <w:rPr>
          <w:sz w:val="21"/>
        </w:rPr>
      </w:pPr>
      <w:r>
        <w:rPr>
          <w:rFonts w:ascii="Arial"/>
          <w:i/>
          <w:color w:val="010101"/>
          <w:sz w:val="28"/>
        </w:rPr>
        <w:t>P. </w:t>
      </w:r>
      <w:r>
        <w:rPr>
          <w:rFonts w:ascii="Arial"/>
          <w:color w:val="010101"/>
          <w:sz w:val="19"/>
        </w:rPr>
        <w:t>is </w:t>
      </w:r>
      <w:r>
        <w:rPr>
          <w:rFonts w:ascii="Arial"/>
          <w:b/>
          <w:color w:val="010101"/>
          <w:sz w:val="18"/>
        </w:rPr>
        <w:t>greater </w:t>
      </w:r>
      <w:r>
        <w:rPr>
          <w:color w:val="010101"/>
          <w:sz w:val="20"/>
        </w:rPr>
        <w:t>or lesa the.n</w:t>
      </w:r>
      <w:r>
        <w:rPr>
          <w:color w:val="010101"/>
          <w:spacing w:val="21"/>
          <w:sz w:val="20"/>
        </w:rPr>
        <w:t> </w:t>
      </w:r>
      <w:r>
        <w:rPr>
          <w:color w:val="010101"/>
          <w:sz w:val="21"/>
        </w:rPr>
        <w:t>$40.</w:t>
      </w:r>
    </w:p>
    <w:p>
      <w:pPr>
        <w:pStyle w:val="BodyText"/>
        <w:spacing w:line="240" w:lineRule="exact" w:before="6"/>
        <w:ind w:left="118" w:right="161" w:hanging="4"/>
        <w:jc w:val="both"/>
      </w:pPr>
      <w:r>
        <w:rPr>
          <w:color w:val="010101"/>
          <w:w w:val="105"/>
        </w:rPr>
        <w:t>These limitations on </w:t>
      </w:r>
      <w:r>
        <w:rPr>
          <w:color w:val="010101"/>
          <w:w w:val="105"/>
          <w:sz w:val="23"/>
        </w:rPr>
        <w:t>E</w:t>
      </w:r>
      <w:r>
        <w:rPr>
          <w:color w:val="010101"/>
          <w:w w:val="105"/>
          <w:position w:val="10"/>
          <w:sz w:val="12"/>
        </w:rPr>
        <w:t>1 </w:t>
      </w:r>
      <w:r>
        <w:rPr>
          <w:color w:val="010101"/>
          <w:w w:val="105"/>
        </w:rPr>
        <w:t>can be reduced </w:t>
      </w:r>
      <w:r>
        <w:rPr>
          <w:color w:val="010101"/>
          <w:w w:val="105"/>
          <w:sz w:val="21"/>
        </w:rPr>
        <w:t>to </w:t>
      </w:r>
      <w:r>
        <w:rPr>
          <w:color w:val="010101"/>
          <w:w w:val="105"/>
        </w:rPr>
        <w:t>the following formula, a.ssuming a. unit a.mount of insurance is.sued at age x:</w:t>
      </w:r>
    </w:p>
    <w:p>
      <w:pPr>
        <w:tabs>
          <w:tab w:pos="5337" w:val="left" w:leader="none"/>
        </w:tabs>
        <w:spacing w:line="819" w:lineRule="exact" w:before="0"/>
        <w:ind w:left="1472" w:right="0" w:firstLine="0"/>
        <w:jc w:val="left"/>
        <w:rPr>
          <w:sz w:val="20"/>
        </w:rPr>
      </w:pPr>
      <w:r>
        <w:rPr>
          <w:i/>
          <w:color w:val="010101"/>
          <w:w w:val="110"/>
          <w:sz w:val="21"/>
        </w:rPr>
        <w:t>Ñ</w:t>
      </w:r>
      <w:r>
        <w:rPr>
          <w:i/>
          <w:color w:val="010101"/>
          <w:spacing w:val="33"/>
          <w:w w:val="110"/>
          <w:sz w:val="21"/>
        </w:rPr>
        <w:t> </w:t>
      </w:r>
      <w:r>
        <w:rPr>
          <w:color w:val="010101"/>
          <w:w w:val="110"/>
          <w:sz w:val="24"/>
        </w:rPr>
        <w:t>=</w:t>
      </w:r>
      <w:r>
        <w:rPr>
          <w:color w:val="010101"/>
          <w:spacing w:val="-7"/>
          <w:w w:val="110"/>
          <w:sz w:val="24"/>
        </w:rPr>
        <w:t> </w:t>
      </w:r>
      <w:r>
        <w:rPr>
          <w:color w:val="010101"/>
          <w:spacing w:val="-34"/>
          <w:w w:val="125"/>
          <w:sz w:val="20"/>
        </w:rPr>
        <w:t>.4</w:t>
      </w:r>
      <w:r>
        <w:rPr>
          <w:color w:val="010101"/>
          <w:spacing w:val="-23"/>
          <w:w w:val="125"/>
          <w:sz w:val="20"/>
        </w:rPr>
        <w:t> </w:t>
      </w:r>
      <w:r>
        <w:rPr>
          <w:color w:val="010101"/>
          <w:w w:val="70"/>
          <w:sz w:val="85"/>
        </w:rPr>
        <w:t>[</w:t>
      </w:r>
      <w:r>
        <w:rPr>
          <w:color w:val="010101"/>
          <w:spacing w:val="-24"/>
          <w:w w:val="70"/>
          <w:sz w:val="85"/>
        </w:rPr>
        <w:t> </w:t>
      </w:r>
      <w:r>
        <w:rPr>
          <w:color w:val="010101"/>
          <w:w w:val="70"/>
          <w:sz w:val="85"/>
        </w:rPr>
        <w:t>J</w:t>
      </w:r>
      <w:r>
        <w:rPr>
          <w:color w:val="010101"/>
          <w:spacing w:val="-101"/>
          <w:w w:val="70"/>
          <w:sz w:val="85"/>
        </w:rPr>
        <w:t> </w:t>
      </w:r>
      <w:r>
        <w:rPr>
          <w:rFonts w:ascii="Arial" w:hAnsi="Arial"/>
          <w:color w:val="010101"/>
          <w:w w:val="110"/>
          <w:sz w:val="34"/>
        </w:rPr>
        <w:t>+</w:t>
      </w:r>
      <w:r>
        <w:rPr>
          <w:rFonts w:ascii="Arial" w:hAnsi="Arial"/>
          <w:color w:val="010101"/>
          <w:spacing w:val="34"/>
          <w:w w:val="110"/>
          <w:sz w:val="34"/>
        </w:rPr>
        <w:t> </w:t>
      </w:r>
      <w:r>
        <w:rPr>
          <w:color w:val="010101"/>
          <w:w w:val="110"/>
          <w:sz w:val="20"/>
        </w:rPr>
        <w:t>5</w:t>
      </w:r>
      <w:r>
        <w:rPr>
          <w:color w:val="010101"/>
          <w:spacing w:val="-28"/>
          <w:w w:val="110"/>
          <w:sz w:val="20"/>
        </w:rPr>
        <w:t> </w:t>
      </w:r>
      <w:r>
        <w:rPr>
          <w:color w:val="010101"/>
          <w:w w:val="70"/>
          <w:sz w:val="85"/>
        </w:rPr>
        <w:t>[EJ</w:t>
      </w:r>
      <w:r>
        <w:rPr>
          <w:color w:val="010101"/>
          <w:spacing w:val="-97"/>
          <w:w w:val="70"/>
          <w:sz w:val="85"/>
        </w:rPr>
        <w:t> </w:t>
      </w:r>
      <w:r>
        <w:rPr>
          <w:rFonts w:ascii="Arial" w:hAnsi="Arial"/>
          <w:color w:val="010101"/>
          <w:w w:val="110"/>
          <w:sz w:val="34"/>
        </w:rPr>
        <w:t>+</w:t>
      </w:r>
      <w:r>
        <w:rPr>
          <w:rFonts w:ascii="Arial" w:hAnsi="Arial"/>
          <w:color w:val="010101"/>
          <w:spacing w:val="-63"/>
          <w:w w:val="110"/>
          <w:sz w:val="34"/>
        </w:rPr>
        <w:t> </w:t>
      </w:r>
      <w:r>
        <w:rPr>
          <w:color w:val="010101"/>
          <w:spacing w:val="-16"/>
          <w:w w:val="110"/>
          <w:sz w:val="20"/>
        </w:rPr>
        <w:t>.02</w:t>
      </w:r>
      <w:r>
        <w:rPr>
          <w:color w:val="010101"/>
          <w:spacing w:val="-14"/>
          <w:w w:val="110"/>
          <w:sz w:val="20"/>
        </w:rPr>
        <w:t> </w:t>
      </w:r>
      <w:r>
        <w:rPr>
          <w:color w:val="010101"/>
          <w:w w:val="70"/>
          <w:sz w:val="20"/>
        </w:rPr>
        <w:t>•</w:t>
        <w:tab/>
      </w:r>
      <w:r>
        <w:rPr>
          <w:color w:val="010101"/>
          <w:w w:val="110"/>
          <w:position w:val="8"/>
          <w:sz w:val="20"/>
        </w:rPr>
        <w:t>(6.11)</w:t>
      </w:r>
    </w:p>
    <w:p>
      <w:pPr>
        <w:pStyle w:val="BodyText"/>
        <w:spacing w:line="237" w:lineRule="auto" w:before="154"/>
        <w:ind w:left="115" w:right="161"/>
        <w:jc w:val="both"/>
      </w:pPr>
      <w:r>
        <w:rPr>
          <w:color w:val="010101"/>
          <w:w w:val="110"/>
        </w:rPr>
        <w:t>where the smallest of the quantities in each bracket </w:t>
      </w:r>
      <w:r>
        <w:rPr>
          <w:rFonts w:ascii="Arial"/>
          <w:color w:val="010101"/>
          <w:w w:val="110"/>
          <w:sz w:val="19"/>
        </w:rPr>
        <w:t>is </w:t>
      </w:r>
      <w:r>
        <w:rPr>
          <w:color w:val="010101"/>
          <w:w w:val="110"/>
          <w:sz w:val="21"/>
        </w:rPr>
        <w:t>to </w:t>
      </w:r>
      <w:r>
        <w:rPr>
          <w:color w:val="010101"/>
          <w:w w:val="110"/>
        </w:rPr>
        <w:t>be used. </w:t>
      </w:r>
      <w:r>
        <w:rPr>
          <w:i/>
          <w:color w:val="010101"/>
          <w:spacing w:val="5"/>
          <w:w w:val="110"/>
          <w:sz w:val="22"/>
        </w:rPr>
        <w:t>P..</w:t>
      </w:r>
      <w:r>
        <w:rPr>
          <w:i/>
          <w:color w:val="010101"/>
          <w:spacing w:val="-27"/>
          <w:w w:val="110"/>
          <w:sz w:val="22"/>
        </w:rPr>
        <w:t> </w:t>
      </w:r>
      <w:r>
        <w:rPr>
          <w:color w:val="010101"/>
          <w:w w:val="110"/>
        </w:rPr>
        <w:t>is</w:t>
      </w:r>
      <w:r>
        <w:rPr>
          <w:color w:val="010101"/>
          <w:spacing w:val="-16"/>
          <w:w w:val="110"/>
        </w:rPr>
        <w:t> </w:t>
      </w:r>
      <w:r>
        <w:rPr>
          <w:color w:val="010101"/>
          <w:w w:val="110"/>
        </w:rPr>
        <w:t>the</w:t>
      </w:r>
      <w:r>
        <w:rPr>
          <w:color w:val="010101"/>
          <w:spacing w:val="-9"/>
          <w:w w:val="110"/>
        </w:rPr>
        <w:t> </w:t>
      </w:r>
      <w:r>
        <w:rPr>
          <w:color w:val="010101"/>
          <w:w w:val="110"/>
        </w:rPr>
        <w:t>required</w:t>
      </w:r>
      <w:r>
        <w:rPr>
          <w:color w:val="010101"/>
          <w:spacing w:val="6"/>
          <w:w w:val="110"/>
        </w:rPr>
        <w:t> </w:t>
      </w:r>
      <w:r>
        <w:rPr>
          <w:color w:val="010101"/>
          <w:w w:val="110"/>
        </w:rPr>
        <w:t>adjusted</w:t>
      </w:r>
      <w:r>
        <w:rPr>
          <w:color w:val="010101"/>
          <w:spacing w:val="-3"/>
          <w:w w:val="110"/>
        </w:rPr>
        <w:t> </w:t>
      </w:r>
      <w:r>
        <w:rPr>
          <w:color w:val="010101"/>
          <w:w w:val="110"/>
        </w:rPr>
        <w:t>premium,</w:t>
      </w:r>
      <w:r>
        <w:rPr>
          <w:color w:val="010101"/>
          <w:spacing w:val="9"/>
          <w:w w:val="110"/>
        </w:rPr>
        <w:t> </w:t>
      </w:r>
      <w:r>
        <w:rPr>
          <w:color w:val="010101"/>
          <w:w w:val="110"/>
        </w:rPr>
        <w:t>paya.ble for</w:t>
      </w:r>
      <w:r>
        <w:rPr>
          <w:color w:val="010101"/>
          <w:spacing w:val="-13"/>
          <w:w w:val="110"/>
        </w:rPr>
        <w:t> </w:t>
      </w:r>
      <w:r>
        <w:rPr>
          <w:i/>
          <w:color w:val="010101"/>
          <w:w w:val="110"/>
          <w:sz w:val="21"/>
        </w:rPr>
        <w:t>n</w:t>
      </w:r>
      <w:r>
        <w:rPr>
          <w:i/>
          <w:color w:val="010101"/>
          <w:spacing w:val="-22"/>
          <w:w w:val="110"/>
          <w:sz w:val="21"/>
        </w:rPr>
        <w:t> </w:t>
      </w:r>
      <w:r>
        <w:rPr>
          <w:color w:val="010101"/>
          <w:w w:val="110"/>
        </w:rPr>
        <w:t>years,</w:t>
      </w:r>
      <w:r>
        <w:rPr>
          <w:color w:val="010101"/>
          <w:spacing w:val="4"/>
          <w:w w:val="110"/>
        </w:rPr>
        <w:t> </w:t>
      </w:r>
      <w:r>
        <w:rPr>
          <w:color w:val="010101"/>
          <w:w w:val="110"/>
        </w:rPr>
        <w:t>and</w:t>
      </w:r>
      <w:r>
        <w:rPr>
          <w:color w:val="010101"/>
          <w:spacing w:val="-5"/>
          <w:w w:val="110"/>
        </w:rPr>
        <w:t> </w:t>
      </w:r>
      <w:r>
        <w:rPr>
          <w:i/>
          <w:color w:val="010101"/>
          <w:w w:val="110"/>
          <w:sz w:val="22"/>
        </w:rPr>
        <w:t>P: </w:t>
      </w:r>
      <w:r>
        <w:rPr>
          <w:rFonts w:ascii="Arial"/>
          <w:color w:val="010101"/>
          <w:w w:val="110"/>
          <w:sz w:val="19"/>
        </w:rPr>
        <w:t>is</w:t>
      </w:r>
      <w:r>
        <w:rPr>
          <w:rFonts w:ascii="Arial"/>
          <w:color w:val="010101"/>
          <w:spacing w:val="-31"/>
          <w:w w:val="110"/>
          <w:sz w:val="19"/>
        </w:rPr>
        <w:t> </w:t>
      </w:r>
      <w:r>
        <w:rPr>
          <w:color w:val="010101"/>
          <w:w w:val="110"/>
        </w:rPr>
        <w:t>the</w:t>
      </w:r>
      <w:r>
        <w:rPr>
          <w:color w:val="010101"/>
          <w:spacing w:val="-19"/>
          <w:w w:val="110"/>
        </w:rPr>
        <w:t> </w:t>
      </w:r>
      <w:r>
        <w:rPr>
          <w:color w:val="010101"/>
          <w:w w:val="110"/>
        </w:rPr>
        <w:t>ordinary</w:t>
      </w:r>
      <w:r>
        <w:rPr>
          <w:color w:val="010101"/>
          <w:spacing w:val="-16"/>
          <w:w w:val="110"/>
        </w:rPr>
        <w:t> </w:t>
      </w:r>
      <w:r>
        <w:rPr>
          <w:color w:val="010101"/>
          <w:w w:val="110"/>
        </w:rPr>
        <w:t>life</w:t>
      </w:r>
      <w:r>
        <w:rPr>
          <w:color w:val="010101"/>
          <w:spacing w:val="-16"/>
          <w:w w:val="110"/>
        </w:rPr>
        <w:t> </w:t>
      </w:r>
      <w:r>
        <w:rPr>
          <w:color w:val="010101"/>
          <w:w w:val="110"/>
        </w:rPr>
        <w:t>a.djusted</w:t>
      </w:r>
      <w:r>
        <w:rPr>
          <w:color w:val="010101"/>
          <w:spacing w:val="-11"/>
          <w:w w:val="110"/>
        </w:rPr>
        <w:t> </w:t>
      </w:r>
      <w:r>
        <w:rPr>
          <w:color w:val="010101"/>
          <w:w w:val="110"/>
        </w:rPr>
        <w:t>premium.</w:t>
      </w:r>
    </w:p>
    <w:p>
      <w:pPr>
        <w:pStyle w:val="BodyText"/>
        <w:spacing w:line="240" w:lineRule="exact" w:before="6"/>
        <w:ind w:left="111" w:right="229" w:firstLine="208"/>
      </w:pPr>
      <w:r>
        <w:rPr>
          <w:color w:val="010101"/>
          <w:w w:val="105"/>
          <w:sz w:val="23"/>
        </w:rPr>
        <w:t>In </w:t>
      </w:r>
      <w:r>
        <w:rPr>
          <w:color w:val="010101"/>
          <w:w w:val="105"/>
        </w:rPr>
        <w:t>using the formula., one first computes the ordinary life ad­ justed  premium. We ha.ve</w:t>
      </w:r>
    </w:p>
    <w:p>
      <w:pPr>
        <w:spacing w:line="337" w:lineRule="exact" w:before="82"/>
        <w:ind w:left="293" w:right="332" w:firstLine="0"/>
        <w:jc w:val="center"/>
        <w:rPr>
          <w:i/>
          <w:sz w:val="30"/>
        </w:rPr>
      </w:pPr>
      <w:r>
        <w:rPr>
          <w:i/>
          <w:color w:val="010101"/>
          <w:spacing w:val="-3"/>
          <w:w w:val="69"/>
          <w:sz w:val="30"/>
        </w:rPr>
        <w:t>P</w:t>
      </w:r>
      <w:r>
        <w:rPr>
          <w:i/>
          <w:color w:val="010101"/>
          <w:w w:val="161"/>
          <w:sz w:val="30"/>
        </w:rPr>
        <w:t>:</w:t>
      </w:r>
      <w:r>
        <w:rPr>
          <w:i/>
          <w:color w:val="010101"/>
          <w:spacing w:val="-22"/>
          <w:sz w:val="30"/>
        </w:rPr>
        <w:t> </w:t>
      </w:r>
      <w:r>
        <w:rPr>
          <w:i/>
          <w:color w:val="010101"/>
          <w:w w:val="79"/>
          <w:sz w:val="30"/>
        </w:rPr>
        <w:t>=</w:t>
      </w:r>
      <w:r>
        <w:rPr>
          <w:i/>
          <w:color w:val="010101"/>
          <w:spacing w:val="-11"/>
          <w:sz w:val="30"/>
        </w:rPr>
        <w:t> </w:t>
      </w:r>
      <w:r>
        <w:rPr>
          <w:i/>
          <w:color w:val="010101"/>
          <w:w w:val="91"/>
          <w:sz w:val="30"/>
          <w:u w:val="thick" w:color="000000"/>
        </w:rPr>
        <w:t>A</w:t>
      </w:r>
      <w:r>
        <w:rPr>
          <w:i/>
          <w:color w:val="010101"/>
          <w:w w:val="92"/>
          <w:sz w:val="30"/>
          <w:u w:val="thick" w:color="000000"/>
        </w:rPr>
        <w:t>.</w:t>
      </w:r>
      <w:r>
        <w:rPr>
          <w:i/>
          <w:color w:val="010101"/>
          <w:spacing w:val="-20"/>
          <w:sz w:val="30"/>
          <w:u w:val="thick" w:color="000000"/>
        </w:rPr>
        <w:t> </w:t>
      </w:r>
      <w:r>
        <w:rPr>
          <w:i/>
          <w:color w:val="010101"/>
          <w:w w:val="104"/>
          <w:sz w:val="30"/>
          <w:u w:val="thick" w:color="000000"/>
        </w:rPr>
        <w:t>+</w:t>
      </w:r>
      <w:r>
        <w:rPr>
          <w:i/>
          <w:color w:val="010101"/>
          <w:spacing w:val="-38"/>
          <w:sz w:val="30"/>
          <w:u w:val="thick" w:color="000000"/>
        </w:rPr>
        <w:t> </w:t>
      </w:r>
      <w:r>
        <w:rPr>
          <w:i/>
          <w:color w:val="010101"/>
          <w:w w:val="61"/>
          <w:sz w:val="30"/>
          <w:u w:val="thick" w:color="000000"/>
        </w:rPr>
        <w:t>E1</w:t>
      </w:r>
    </w:p>
    <w:p>
      <w:pPr>
        <w:spacing w:line="165" w:lineRule="exact" w:before="0"/>
        <w:ind w:left="1428" w:right="894" w:firstLine="0"/>
        <w:jc w:val="center"/>
        <w:rPr>
          <w:b/>
          <w:i/>
          <w:sz w:val="17"/>
        </w:rPr>
      </w:pPr>
      <w:r>
        <w:rPr>
          <w:b/>
          <w:i/>
          <w:color w:val="010101"/>
          <w:w w:val="110"/>
          <w:sz w:val="17"/>
        </w:rPr>
        <w:t>dz</w:t>
      </w:r>
    </w:p>
    <w:p>
      <w:pPr>
        <w:spacing w:after="0" w:line="165" w:lineRule="exact"/>
        <w:jc w:val="center"/>
        <w:rPr>
          <w:sz w:val="17"/>
        </w:rPr>
        <w:sectPr>
          <w:pgSz w:w="7200" w:h="11340"/>
          <w:pgMar w:top="500" w:bottom="280" w:left="660" w:right="520"/>
        </w:sectPr>
      </w:pPr>
    </w:p>
    <w:p>
      <w:pPr>
        <w:tabs>
          <w:tab w:pos="1751" w:val="left" w:leader="none"/>
          <w:tab w:pos="2580" w:val="left" w:leader="none"/>
          <w:tab w:pos="3959" w:val="left" w:leader="none"/>
        </w:tabs>
        <w:spacing w:before="66"/>
        <w:ind w:left="664" w:right="0" w:firstLine="0"/>
        <w:jc w:val="left"/>
        <w:rPr>
          <w:i/>
          <w:sz w:val="30"/>
        </w:rPr>
      </w:pPr>
      <w:r>
        <w:rPr>
          <w:i/>
          <w:color w:val="010101"/>
          <w:w w:val="105"/>
          <w:sz w:val="30"/>
        </w:rPr>
        <w:t>g</w:t>
      </w:r>
      <w:r>
        <w:rPr>
          <w:i/>
          <w:color w:val="010101"/>
          <w:spacing w:val="13"/>
          <w:w w:val="105"/>
          <w:sz w:val="30"/>
        </w:rPr>
        <w:t> </w:t>
      </w:r>
      <w:r>
        <w:rPr>
          <w:i/>
          <w:color w:val="010101"/>
          <w:sz w:val="30"/>
        </w:rPr>
        <w:t>=</w:t>
        <w:tab/>
      </w:r>
      <w:r>
        <w:rPr>
          <w:i/>
          <w:color w:val="010101"/>
          <w:w w:val="105"/>
          <w:sz w:val="30"/>
        </w:rPr>
        <w:t>+</w:t>
        <w:tab/>
        <w:t>+</w:t>
      </w:r>
      <w:r>
        <w:rPr>
          <w:i/>
          <w:color w:val="010101"/>
          <w:spacing w:val="-46"/>
          <w:w w:val="105"/>
          <w:sz w:val="30"/>
        </w:rPr>
        <w:t> </w:t>
      </w:r>
      <w:r>
        <w:rPr>
          <w:i/>
          <w:color w:val="010101"/>
          <w:w w:val="105"/>
          <w:sz w:val="30"/>
        </w:rPr>
        <w:t>m</w:t>
      </w:r>
      <w:r>
        <w:rPr>
          <w:i/>
          <w:color w:val="010101"/>
          <w:spacing w:val="-22"/>
          <w:w w:val="105"/>
          <w:sz w:val="30"/>
        </w:rPr>
        <w:t> </w:t>
      </w:r>
      <w:r>
        <w:rPr>
          <w:i/>
          <w:color w:val="010101"/>
          <w:sz w:val="30"/>
        </w:rPr>
        <w:t>=</w:t>
        <w:tab/>
      </w:r>
      <w:r>
        <w:rPr>
          <w:i/>
          <w:color w:val="010101"/>
          <w:w w:val="105"/>
          <w:sz w:val="30"/>
        </w:rPr>
        <w:t>+</w:t>
      </w:r>
      <w:r>
        <w:rPr>
          <w:i/>
          <w:color w:val="010101"/>
          <w:spacing w:val="-30"/>
          <w:w w:val="105"/>
          <w:sz w:val="30"/>
        </w:rPr>
        <w:t> </w:t>
      </w:r>
      <w:r>
        <w:rPr>
          <w:i/>
          <w:color w:val="010101"/>
          <w:w w:val="105"/>
          <w:sz w:val="30"/>
        </w:rPr>
        <w:t>m</w:t>
      </w:r>
    </w:p>
    <w:p>
      <w:pPr>
        <w:tabs>
          <w:tab w:pos="1339" w:val="left" w:leader="none"/>
        </w:tabs>
        <w:spacing w:before="18"/>
        <w:ind w:left="118" w:right="0" w:firstLine="0"/>
        <w:jc w:val="left"/>
        <w:rPr>
          <w:sz w:val="20"/>
        </w:rPr>
      </w:pPr>
      <w:r>
        <w:rPr>
          <w:color w:val="010101"/>
          <w:w w:val="105"/>
          <w:sz w:val="20"/>
        </w:rPr>
        <w:t>and</w:t>
        <w:tab/>
      </w:r>
      <w:r>
        <w:rPr>
          <w:i/>
          <w:color w:val="010101"/>
          <w:spacing w:val="6"/>
          <w:w w:val="105"/>
          <w:sz w:val="21"/>
        </w:rPr>
        <w:t>E</w:t>
      </w:r>
      <w:r>
        <w:rPr>
          <w:i/>
          <w:color w:val="010101"/>
          <w:spacing w:val="6"/>
          <w:w w:val="105"/>
          <w:position w:val="10"/>
          <w:sz w:val="12"/>
        </w:rPr>
        <w:t>1  </w:t>
      </w:r>
      <w:r>
        <w:rPr>
          <w:color w:val="010101"/>
          <w:w w:val="105"/>
          <w:sz w:val="28"/>
        </w:rPr>
        <w:t>= </w:t>
      </w:r>
      <w:r>
        <w:rPr>
          <w:color w:val="010101"/>
          <w:spacing w:val="-10"/>
          <w:w w:val="105"/>
          <w:sz w:val="20"/>
        </w:rPr>
        <w:t>.016 </w:t>
      </w:r>
      <w:r>
        <w:rPr>
          <w:color w:val="010101"/>
          <w:w w:val="105"/>
          <w:sz w:val="30"/>
        </w:rPr>
        <w:t>+ </w:t>
      </w:r>
      <w:r>
        <w:rPr>
          <w:color w:val="010101"/>
          <w:spacing w:val="-9"/>
          <w:w w:val="105"/>
          <w:sz w:val="21"/>
        </w:rPr>
        <w:t>.010  </w:t>
      </w:r>
      <w:r>
        <w:rPr>
          <w:color w:val="010101"/>
          <w:w w:val="105"/>
          <w:sz w:val="30"/>
        </w:rPr>
        <w:t>+ </w:t>
      </w:r>
      <w:r>
        <w:rPr>
          <w:color w:val="010101"/>
          <w:spacing w:val="-9"/>
          <w:w w:val="105"/>
          <w:sz w:val="21"/>
        </w:rPr>
        <w:t>.020  </w:t>
      </w:r>
      <w:r>
        <w:rPr>
          <w:color w:val="010101"/>
          <w:w w:val="105"/>
          <w:sz w:val="28"/>
        </w:rPr>
        <w:t>=</w:t>
      </w:r>
      <w:r>
        <w:rPr>
          <w:color w:val="010101"/>
          <w:spacing w:val="61"/>
          <w:w w:val="105"/>
          <w:sz w:val="28"/>
        </w:rPr>
        <w:t> </w:t>
      </w:r>
      <w:r>
        <w:rPr>
          <w:color w:val="010101"/>
          <w:spacing w:val="-8"/>
          <w:w w:val="105"/>
          <w:sz w:val="20"/>
        </w:rPr>
        <w:t>.046</w:t>
      </w:r>
    </w:p>
    <w:p>
      <w:pPr>
        <w:pStyle w:val="BodyText"/>
        <w:spacing w:before="100"/>
        <w:ind w:left="115"/>
      </w:pPr>
      <w:r>
        <w:rPr>
          <w:color w:val="010101"/>
          <w:w w:val="105"/>
        </w:rPr>
        <w:t>These lead to the following  formulas:</w:t>
      </w:r>
    </w:p>
    <w:p>
      <w:pPr>
        <w:tabs>
          <w:tab w:pos="1066" w:val="left" w:leader="none"/>
        </w:tabs>
        <w:spacing w:line="175" w:lineRule="auto" w:before="53"/>
        <w:ind w:left="115" w:right="144" w:firstLine="122"/>
        <w:jc w:val="left"/>
        <w:rPr>
          <w:sz w:val="20"/>
        </w:rPr>
      </w:pPr>
      <w:r>
        <w:rPr/>
        <w:br w:type="column"/>
      </w:r>
      <w:r>
        <w:rPr>
          <w:color w:val="010101"/>
          <w:sz w:val="20"/>
        </w:rPr>
        <w:t>for</w:t>
      </w:r>
      <w:r>
        <w:rPr>
          <w:color w:val="010101"/>
          <w:spacing w:val="-28"/>
          <w:sz w:val="20"/>
        </w:rPr>
        <w:t> </w:t>
      </w:r>
      <w:r>
        <w:rPr>
          <w:i/>
          <w:color w:val="010101"/>
          <w:spacing w:val="8"/>
          <w:sz w:val="43"/>
        </w:rPr>
        <w:t>P:</w:t>
        <w:tab/>
      </w:r>
      <w:r>
        <w:rPr>
          <w:color w:val="010101"/>
          <w:spacing w:val="-16"/>
          <w:sz w:val="20"/>
        </w:rPr>
        <w:t>.04 </w:t>
      </w:r>
      <w:r>
        <w:rPr>
          <w:color w:val="010101"/>
          <w:w w:val="105"/>
          <w:sz w:val="20"/>
        </w:rPr>
        <w:t>for </w:t>
      </w:r>
      <w:r>
        <w:rPr>
          <w:i/>
          <w:color w:val="010101"/>
          <w:spacing w:val="8"/>
          <w:w w:val="71"/>
          <w:sz w:val="43"/>
        </w:rPr>
        <w:t>P:</w:t>
      </w:r>
      <w:r>
        <w:rPr>
          <w:i/>
          <w:color w:val="010101"/>
          <w:w w:val="71"/>
          <w:sz w:val="43"/>
        </w:rPr>
        <w:t> </w:t>
      </w:r>
      <w:r>
        <w:rPr>
          <w:color w:val="010101"/>
          <w:w w:val="102"/>
          <w:sz w:val="26"/>
        </w:rPr>
        <w:t>&gt;</w:t>
      </w:r>
      <w:r>
        <w:rPr>
          <w:color w:val="010101"/>
          <w:spacing w:val="-12"/>
          <w:w w:val="102"/>
          <w:sz w:val="26"/>
        </w:rPr>
        <w:t> </w:t>
      </w:r>
      <w:r>
        <w:rPr>
          <w:color w:val="010101"/>
          <w:w w:val="101"/>
          <w:sz w:val="20"/>
        </w:rPr>
        <w:t>.04.</w:t>
      </w:r>
    </w:p>
    <w:p>
      <w:pPr>
        <w:spacing w:after="0" w:line="175" w:lineRule="auto"/>
        <w:jc w:val="left"/>
        <w:rPr>
          <w:sz w:val="20"/>
        </w:rPr>
        <w:sectPr>
          <w:type w:val="continuous"/>
          <w:pgSz w:w="7200" w:h="11340"/>
          <w:pgMar w:top="1100" w:bottom="0" w:left="660" w:right="520"/>
          <w:cols w:num="2" w:equalWidth="0">
            <w:col w:w="4449" w:space="109"/>
            <w:col w:w="1462"/>
          </w:cols>
        </w:sectPr>
      </w:pPr>
    </w:p>
    <w:p>
      <w:pPr>
        <w:pStyle w:val="BodyText"/>
        <w:rPr>
          <w:sz w:val="24"/>
        </w:rPr>
      </w:pPr>
    </w:p>
    <w:p>
      <w:pPr>
        <w:pStyle w:val="BodyText"/>
        <w:rPr>
          <w:sz w:val="24"/>
        </w:rPr>
      </w:pPr>
    </w:p>
    <w:p>
      <w:pPr>
        <w:pStyle w:val="BodyText"/>
        <w:spacing w:before="7"/>
        <w:rPr>
          <w:sz w:val="24"/>
        </w:rPr>
      </w:pPr>
    </w:p>
    <w:p>
      <w:pPr>
        <w:spacing w:before="0"/>
        <w:ind w:left="111" w:right="-8" w:firstLine="0"/>
        <w:jc w:val="left"/>
        <w:rPr>
          <w:rFonts w:ascii="Courier New"/>
          <w:sz w:val="24"/>
        </w:rPr>
      </w:pPr>
      <w:r>
        <w:rPr>
          <w:rFonts w:ascii="Courier New"/>
          <w:color w:val="010101"/>
          <w:spacing w:val="-7"/>
          <w:w w:val="80"/>
          <w:sz w:val="24"/>
        </w:rPr>
        <w:t>and</w:t>
      </w:r>
    </w:p>
    <w:p>
      <w:pPr>
        <w:spacing w:line="321" w:lineRule="exact" w:before="90"/>
        <w:ind w:left="129" w:right="-11" w:firstLine="0"/>
        <w:jc w:val="left"/>
        <w:rPr>
          <w:sz w:val="21"/>
        </w:rPr>
      </w:pPr>
      <w:r>
        <w:rPr/>
        <w:br w:type="column"/>
      </w:r>
      <w:r>
        <w:rPr>
          <w:rFonts w:ascii="Arial"/>
          <w:i/>
          <w:color w:val="010101"/>
          <w:sz w:val="27"/>
        </w:rPr>
        <w:t>P: </w:t>
      </w:r>
      <w:r>
        <w:rPr>
          <w:i/>
          <w:color w:val="010101"/>
          <w:sz w:val="30"/>
        </w:rPr>
        <w:t>= </w:t>
      </w:r>
      <w:r>
        <w:rPr>
          <w:i/>
          <w:color w:val="010101"/>
          <w:sz w:val="30"/>
          <w:u w:val="thick" w:color="000000"/>
        </w:rPr>
        <w:t>A. + </w:t>
      </w:r>
      <w:r>
        <w:rPr>
          <w:color w:val="010101"/>
          <w:spacing w:val="-15"/>
          <w:sz w:val="21"/>
          <w:u w:val="thick" w:color="000000"/>
        </w:rPr>
        <w:t>.02</w:t>
      </w:r>
    </w:p>
    <w:p>
      <w:pPr>
        <w:spacing w:line="206" w:lineRule="exact" w:before="0"/>
        <w:ind w:left="684" w:right="95" w:firstLine="0"/>
        <w:jc w:val="center"/>
        <w:rPr>
          <w:rFonts w:ascii="Arial"/>
          <w:b/>
          <w:sz w:val="20"/>
        </w:rPr>
      </w:pPr>
      <w:r>
        <w:rPr>
          <w:b/>
          <w:i/>
          <w:color w:val="010101"/>
          <w:w w:val="105"/>
          <w:sz w:val="17"/>
        </w:rPr>
        <w:t>dz  </w:t>
      </w:r>
      <w:r>
        <w:rPr>
          <w:color w:val="010101"/>
          <w:w w:val="320"/>
          <w:sz w:val="17"/>
        </w:rPr>
        <w:t>-</w:t>
      </w:r>
      <w:r>
        <w:rPr>
          <w:color w:val="010101"/>
          <w:spacing w:val="-103"/>
          <w:w w:val="320"/>
          <w:sz w:val="17"/>
        </w:rPr>
        <w:t> </w:t>
      </w:r>
      <w:r>
        <w:rPr>
          <w:rFonts w:ascii="Arial"/>
          <w:b/>
          <w:color w:val="010101"/>
          <w:w w:val="105"/>
          <w:sz w:val="20"/>
        </w:rPr>
        <w:t>.65</w:t>
      </w:r>
    </w:p>
    <w:p>
      <w:pPr>
        <w:spacing w:line="333" w:lineRule="exact" w:before="69"/>
        <w:ind w:left="111" w:right="-13" w:firstLine="0"/>
        <w:jc w:val="left"/>
        <w:rPr>
          <w:sz w:val="21"/>
        </w:rPr>
      </w:pPr>
      <w:r>
        <w:rPr>
          <w:i/>
          <w:color w:val="010101"/>
          <w:spacing w:val="4"/>
          <w:w w:val="69"/>
          <w:sz w:val="30"/>
        </w:rPr>
        <w:t>P</w:t>
      </w:r>
      <w:r>
        <w:rPr>
          <w:i/>
          <w:color w:val="010101"/>
          <w:w w:val="149"/>
          <w:sz w:val="30"/>
        </w:rPr>
        <w:t>:</w:t>
      </w:r>
      <w:r>
        <w:rPr>
          <w:i/>
          <w:color w:val="010101"/>
          <w:spacing w:val="-17"/>
          <w:sz w:val="30"/>
        </w:rPr>
        <w:t> </w:t>
      </w:r>
      <w:r>
        <w:rPr>
          <w:i/>
          <w:color w:val="010101"/>
          <w:w w:val="81"/>
          <w:sz w:val="30"/>
        </w:rPr>
        <w:t>=</w:t>
      </w:r>
      <w:r>
        <w:rPr>
          <w:i/>
          <w:color w:val="010101"/>
          <w:spacing w:val="-15"/>
          <w:sz w:val="30"/>
        </w:rPr>
        <w:t> </w:t>
      </w:r>
      <w:r>
        <w:rPr>
          <w:i/>
          <w:color w:val="010101"/>
          <w:w w:val="91"/>
          <w:sz w:val="30"/>
          <w:u w:val="thick" w:color="000000"/>
        </w:rPr>
        <w:t>A</w:t>
      </w:r>
      <w:r>
        <w:rPr>
          <w:i/>
          <w:color w:val="010101"/>
          <w:w w:val="92"/>
          <w:sz w:val="30"/>
          <w:u w:val="thick" w:color="000000"/>
        </w:rPr>
        <w:t>.</w:t>
      </w:r>
      <w:r>
        <w:rPr>
          <w:i/>
          <w:color w:val="010101"/>
          <w:spacing w:val="-16"/>
          <w:sz w:val="30"/>
          <w:u w:val="thick" w:color="000000"/>
        </w:rPr>
        <w:t> </w:t>
      </w:r>
      <w:r>
        <w:rPr>
          <w:i/>
          <w:color w:val="010101"/>
          <w:w w:val="101"/>
          <w:sz w:val="30"/>
          <w:u w:val="thick" w:color="000000"/>
        </w:rPr>
        <w:t>+</w:t>
      </w:r>
      <w:r>
        <w:rPr>
          <w:i/>
          <w:color w:val="010101"/>
          <w:spacing w:val="-26"/>
          <w:sz w:val="30"/>
          <w:u w:val="thick" w:color="000000"/>
        </w:rPr>
        <w:t> </w:t>
      </w:r>
      <w:r>
        <w:rPr>
          <w:color w:val="010101"/>
          <w:spacing w:val="-46"/>
          <w:w w:val="156"/>
          <w:sz w:val="21"/>
          <w:u w:val="thick" w:color="000000"/>
        </w:rPr>
        <w:t>.</w:t>
      </w:r>
      <w:r>
        <w:rPr>
          <w:color w:val="010101"/>
          <w:w w:val="96"/>
          <w:sz w:val="21"/>
          <w:u w:val="thick" w:color="000000"/>
        </w:rPr>
        <w:t>046</w:t>
      </w:r>
    </w:p>
    <w:p>
      <w:pPr>
        <w:spacing w:line="195" w:lineRule="exact" w:before="0"/>
        <w:ind w:left="790" w:right="95" w:firstLine="0"/>
        <w:jc w:val="center"/>
        <w:rPr>
          <w:b/>
          <w:sz w:val="18"/>
        </w:rPr>
      </w:pPr>
      <w:r>
        <w:rPr>
          <w:b/>
          <w:color w:val="010101"/>
          <w:w w:val="90"/>
          <w:sz w:val="18"/>
        </w:rPr>
        <w:t>d.s</w:t>
      </w:r>
    </w:p>
    <w:p>
      <w:pPr>
        <w:pStyle w:val="BodyText"/>
        <w:spacing w:before="2"/>
        <w:rPr>
          <w:b/>
          <w:sz w:val="22"/>
        </w:rPr>
      </w:pPr>
      <w:r>
        <w:rPr/>
        <w:br w:type="column"/>
      </w:r>
      <w:r>
        <w:rPr>
          <w:b/>
          <w:sz w:val="22"/>
        </w:rPr>
      </w:r>
    </w:p>
    <w:p>
      <w:pPr>
        <w:pStyle w:val="BodyText"/>
        <w:tabs>
          <w:tab w:pos="760" w:val="left" w:leader="none"/>
        </w:tabs>
        <w:ind w:left="111"/>
      </w:pPr>
      <w:r>
        <w:rPr>
          <w:color w:val="010101"/>
          <w:w w:val="105"/>
        </w:rPr>
        <w:t>for</w:t>
        <w:tab/>
      </w:r>
      <w:r>
        <w:rPr>
          <w:color w:val="010101"/>
          <w:position w:val="-4"/>
        </w:rPr>
        <w:drawing>
          <wp:inline distT="0" distB="0" distL="0" distR="0">
            <wp:extent cx="539496" cy="146304"/>
            <wp:effectExtent l="0" t="0" r="0" b="0"/>
            <wp:docPr id="301" name="image156.png" descr=""/>
            <wp:cNvGraphicFramePr>
              <a:graphicFrameLocks noChangeAspect="1"/>
            </wp:cNvGraphicFramePr>
            <a:graphic>
              <a:graphicData uri="http://schemas.openxmlformats.org/drawingml/2006/picture">
                <pic:pic>
                  <pic:nvPicPr>
                    <pic:cNvPr id="302" name="image156.png"/>
                    <pic:cNvPicPr/>
                  </pic:nvPicPr>
                  <pic:blipFill>
                    <a:blip r:embed="rId160" cstate="print"/>
                    <a:stretch>
                      <a:fillRect/>
                    </a:stretch>
                  </pic:blipFill>
                  <pic:spPr>
                    <a:xfrm>
                      <a:off x="0" y="0"/>
                      <a:ext cx="539496" cy="146304"/>
                    </a:xfrm>
                    <a:prstGeom prst="rect">
                      <a:avLst/>
                    </a:prstGeom>
                  </pic:spPr>
                </pic:pic>
              </a:graphicData>
            </a:graphic>
          </wp:inline>
        </w:drawing>
      </w:r>
      <w:r>
        <w:rPr>
          <w:color w:val="010101"/>
          <w:position w:val="-4"/>
        </w:rPr>
      </w:r>
      <w:r>
        <w:rPr>
          <w:color w:val="010101"/>
        </w:rPr>
        <w:t>            </w:t>
      </w:r>
      <w:r>
        <w:rPr>
          <w:color w:val="010101"/>
          <w:w w:val="105"/>
        </w:rPr>
        <w:t>(6.12a)</w:t>
      </w:r>
    </w:p>
    <w:p>
      <w:pPr>
        <w:tabs>
          <w:tab w:pos="789" w:val="left" w:leader="none"/>
          <w:tab w:pos="2214" w:val="left" w:leader="none"/>
        </w:tabs>
        <w:spacing w:before="146"/>
        <w:ind w:left="140" w:right="0" w:firstLine="0"/>
        <w:jc w:val="left"/>
        <w:rPr>
          <w:sz w:val="20"/>
        </w:rPr>
      </w:pPr>
      <w:r>
        <w:rPr>
          <w:color w:val="010101"/>
          <w:w w:val="105"/>
          <w:sz w:val="20"/>
        </w:rPr>
        <w:t>for</w:t>
      </w:r>
      <w:r>
        <w:rPr>
          <w:color w:val="010101"/>
          <w:sz w:val="20"/>
        </w:rPr>
        <w:tab/>
      </w:r>
      <w:r>
        <w:rPr>
          <w:i/>
          <w:color w:val="010101"/>
          <w:spacing w:val="5"/>
          <w:w w:val="46"/>
          <w:sz w:val="43"/>
        </w:rPr>
        <w:t>P</w:t>
      </w:r>
      <w:r>
        <w:rPr>
          <w:i/>
          <w:color w:val="010101"/>
          <w:w w:val="103"/>
          <w:sz w:val="43"/>
        </w:rPr>
        <w:t>:</w:t>
      </w:r>
      <w:r>
        <w:rPr>
          <w:i/>
          <w:color w:val="010101"/>
          <w:spacing w:val="-59"/>
          <w:sz w:val="43"/>
        </w:rPr>
        <w:t> </w:t>
      </w:r>
      <w:r>
        <w:rPr>
          <w:color w:val="010101"/>
          <w:w w:val="100"/>
          <w:sz w:val="26"/>
        </w:rPr>
        <w:t>&gt;</w:t>
      </w:r>
      <w:r>
        <w:rPr>
          <w:color w:val="010101"/>
          <w:spacing w:val="29"/>
          <w:sz w:val="26"/>
        </w:rPr>
        <w:t> </w:t>
      </w:r>
      <w:r>
        <w:rPr>
          <w:color w:val="010101"/>
          <w:spacing w:val="-53"/>
          <w:w w:val="181"/>
          <w:sz w:val="20"/>
        </w:rPr>
        <w:t>.</w:t>
      </w:r>
      <w:r>
        <w:rPr>
          <w:color w:val="010101"/>
          <w:w w:val="105"/>
          <w:sz w:val="20"/>
        </w:rPr>
        <w:t>04.</w:t>
      </w:r>
      <w:r>
        <w:rPr>
          <w:color w:val="010101"/>
          <w:sz w:val="20"/>
        </w:rPr>
        <w:tab/>
      </w:r>
      <w:r>
        <w:rPr>
          <w:color w:val="010101"/>
          <w:w w:val="108"/>
          <w:position w:val="1"/>
          <w:sz w:val="20"/>
        </w:rPr>
        <w:t>(6</w:t>
      </w:r>
      <w:r>
        <w:rPr>
          <w:color w:val="010101"/>
          <w:spacing w:val="4"/>
          <w:w w:val="108"/>
          <w:position w:val="1"/>
          <w:sz w:val="20"/>
        </w:rPr>
        <w:t>.</w:t>
      </w:r>
      <w:r>
        <w:rPr>
          <w:color w:val="010101"/>
          <w:w w:val="108"/>
          <w:position w:val="1"/>
          <w:sz w:val="20"/>
        </w:rPr>
        <w:t>12b)</w:t>
      </w:r>
    </w:p>
    <w:p>
      <w:pPr>
        <w:spacing w:after="0"/>
        <w:jc w:val="left"/>
        <w:rPr>
          <w:sz w:val="20"/>
        </w:rPr>
        <w:sectPr>
          <w:type w:val="continuous"/>
          <w:pgSz w:w="7200" w:h="11340"/>
          <w:pgMar w:top="1100" w:bottom="0" w:left="660" w:right="520"/>
          <w:cols w:num="3" w:equalWidth="0">
            <w:col w:w="448" w:space="732"/>
            <w:col w:w="1574" w:space="260"/>
            <w:col w:w="3006"/>
          </w:cols>
        </w:sectPr>
      </w:pPr>
    </w:p>
    <w:p>
      <w:pPr>
        <w:pStyle w:val="BodyText"/>
        <w:spacing w:before="99"/>
        <w:ind w:left="111" w:firstLine="197"/>
      </w:pPr>
      <w:r>
        <w:rPr>
          <w:color w:val="010101"/>
          <w:w w:val="105"/>
        </w:rPr>
        <w:t>Suppoee now  that  we  wish  </w:t>
      </w:r>
      <w:r>
        <w:rPr>
          <w:color w:val="010101"/>
          <w:w w:val="105"/>
          <w:sz w:val="21"/>
        </w:rPr>
        <w:t>to  </w:t>
      </w:r>
      <w:r>
        <w:rPr>
          <w:color w:val="010101"/>
          <w:w w:val="105"/>
        </w:rPr>
        <w:t>compute  the  adjusted premium</w:t>
      </w:r>
    </w:p>
    <w:p>
      <w:pPr>
        <w:pStyle w:val="BodyText"/>
        <w:spacing w:line="177" w:lineRule="auto" w:before="57"/>
        <w:ind w:left="111" w:right="55"/>
      </w:pPr>
      <w:r>
        <w:rPr>
          <w:color w:val="010101"/>
          <w:w w:val="110"/>
        </w:rPr>
        <w:t>for a </w:t>
      </w:r>
      <w:r>
        <w:rPr>
          <w:color w:val="010101"/>
          <w:spacing w:val="-6"/>
          <w:w w:val="110"/>
        </w:rPr>
        <w:t>10-payment </w:t>
      </w:r>
      <w:r>
        <w:rPr>
          <w:color w:val="010101"/>
          <w:spacing w:val="-7"/>
          <w:w w:val="110"/>
        </w:rPr>
        <w:t>15-year </w:t>
      </w:r>
      <w:r>
        <w:rPr>
          <w:color w:val="010101"/>
          <w:w w:val="110"/>
        </w:rPr>
        <w:t>endowment issued at age </w:t>
      </w:r>
      <w:r>
        <w:rPr>
          <w:color w:val="010101"/>
          <w:spacing w:val="-8"/>
          <w:w w:val="110"/>
        </w:rPr>
        <w:t>35. </w:t>
      </w:r>
      <w:r>
        <w:rPr>
          <w:color w:val="010101"/>
          <w:w w:val="110"/>
        </w:rPr>
        <w:t>Let us as­ sume, as will usually be the case, that the value of </w:t>
      </w:r>
      <w:r>
        <w:rPr>
          <w:rFonts w:ascii="Arial" w:hAnsi="Arial"/>
          <w:i/>
          <w:color w:val="010101"/>
          <w:w w:val="110"/>
          <w:sz w:val="27"/>
        </w:rPr>
        <w:t>Pt,</w:t>
      </w:r>
      <w:r>
        <w:rPr>
          <w:rFonts w:ascii="Arial" w:hAnsi="Arial"/>
          <w:i/>
          <w:color w:val="010101"/>
          <w:spacing w:val="-51"/>
          <w:w w:val="110"/>
          <w:sz w:val="27"/>
        </w:rPr>
        <w:t> </w:t>
      </w:r>
      <w:r>
        <w:rPr>
          <w:rFonts w:ascii="Arial" w:hAnsi="Arial"/>
          <w:color w:val="010101"/>
          <w:w w:val="110"/>
          <w:sz w:val="19"/>
        </w:rPr>
        <w:t>is </w:t>
      </w:r>
      <w:r>
        <w:rPr>
          <w:color w:val="010101"/>
          <w:w w:val="110"/>
        </w:rPr>
        <w:t>Iess than</w:t>
      </w:r>
    </w:p>
    <w:p>
      <w:pPr>
        <w:pStyle w:val="BodyText"/>
        <w:spacing w:line="211" w:lineRule="exact"/>
        <w:ind w:left="120"/>
      </w:pPr>
      <w:r>
        <w:rPr>
          <w:color w:val="010101"/>
          <w:spacing w:val="-18"/>
          <w:w w:val="105"/>
        </w:rPr>
        <w:t>.04  </w:t>
      </w:r>
      <w:r>
        <w:rPr>
          <w:color w:val="010101"/>
          <w:w w:val="105"/>
        </w:rPr>
        <w:t>and the value of  </w:t>
      </w:r>
      <w:r>
        <w:rPr>
          <w:rFonts w:ascii="Arial"/>
          <w:color w:val="010101"/>
          <w:spacing w:val="-10"/>
          <w:w w:val="105"/>
          <w:sz w:val="23"/>
        </w:rPr>
        <w:t>1J&gt;t.:ii1 </w:t>
      </w:r>
      <w:r>
        <w:rPr>
          <w:rFonts w:ascii="Arial"/>
          <w:color w:val="010101"/>
          <w:w w:val="105"/>
          <w:sz w:val="19"/>
        </w:rPr>
        <w:t>is </w:t>
      </w:r>
      <w:r>
        <w:rPr>
          <w:color w:val="010101"/>
          <w:w w:val="105"/>
        </w:rPr>
        <w:t>greater  than  .04. We  can compute</w:t>
      </w:r>
    </w:p>
    <w:p>
      <w:pPr>
        <w:pStyle w:val="BodyText"/>
        <w:spacing w:line="275" w:lineRule="exact"/>
        <w:ind w:left="108"/>
      </w:pPr>
      <w:r>
        <w:rPr>
          <w:rFonts w:ascii="Arial"/>
          <w:i/>
          <w:color w:val="010101"/>
          <w:sz w:val="27"/>
        </w:rPr>
        <w:t>J&gt;t, </w:t>
      </w:r>
      <w:r>
        <w:rPr>
          <w:color w:val="010101"/>
        </w:rPr>
        <w:t>from  (6.12a),  and then</w:t>
      </w:r>
    </w:p>
    <w:p>
      <w:pPr>
        <w:spacing w:line="304" w:lineRule="exact" w:before="18"/>
        <w:ind w:left="1476" w:right="894" w:firstLine="0"/>
        <w:jc w:val="center"/>
        <w:rPr>
          <w:sz w:val="12"/>
        </w:rPr>
      </w:pPr>
      <w:r>
        <w:rPr>
          <w:color w:val="010101"/>
          <w:w w:val="110"/>
          <w:sz w:val="21"/>
        </w:rPr>
        <w:t>_ </w:t>
      </w:r>
      <w:r>
        <w:rPr>
          <w:b/>
          <w:color w:val="010101"/>
          <w:sz w:val="21"/>
        </w:rPr>
        <w:t>A11:ii) </w:t>
      </w:r>
      <w:r>
        <w:rPr>
          <w:rFonts w:ascii="Arial"/>
          <w:color w:val="010101"/>
          <w:sz w:val="33"/>
        </w:rPr>
        <w:t>+ </w:t>
      </w:r>
      <w:r>
        <w:rPr>
          <w:color w:val="010101"/>
          <w:w w:val="110"/>
          <w:sz w:val="22"/>
        </w:rPr>
        <w:t>E</w:t>
      </w:r>
      <w:r>
        <w:rPr>
          <w:color w:val="010101"/>
          <w:w w:val="110"/>
          <w:position w:val="12"/>
          <w:sz w:val="12"/>
        </w:rPr>
        <w:t>1</w:t>
      </w:r>
    </w:p>
    <w:p>
      <w:pPr>
        <w:tabs>
          <w:tab w:pos="3180" w:val="left" w:leader="none"/>
          <w:tab w:pos="3970" w:val="left" w:leader="none"/>
        </w:tabs>
        <w:spacing w:line="159" w:lineRule="exact" w:before="0"/>
        <w:ind w:left="1942" w:right="0" w:firstLine="0"/>
        <w:jc w:val="left"/>
        <w:rPr>
          <w:b/>
          <w:sz w:val="8"/>
        </w:rPr>
      </w:pPr>
      <w:r>
        <w:rPr/>
        <w:pict>
          <v:line style="position:absolute;mso-position-horizontal-relative:page;mso-position-vertical-relative:paragraph;z-index:-724288" from="178.205399pt,2.810867pt" to="228.454599pt,2.810867pt" stroked="true" strokeweight="1.07677pt" strokecolor="#000000">
            <w10:wrap type="none"/>
          </v:line>
        </w:pict>
      </w:r>
      <w:r>
        <w:rPr>
          <w:b/>
          <w:color w:val="010101"/>
          <w:w w:val="110"/>
          <w:sz w:val="13"/>
        </w:rPr>
        <w:t>lOÁ</w:t>
      </w:r>
      <w:r>
        <w:rPr>
          <w:b/>
          <w:color w:val="010101"/>
          <w:spacing w:val="-18"/>
          <w:w w:val="110"/>
          <w:sz w:val="13"/>
        </w:rPr>
        <w:t> </w:t>
      </w:r>
      <w:r>
        <w:rPr>
          <w:b/>
          <w:color w:val="010101"/>
          <w:w w:val="110"/>
          <w:sz w:val="13"/>
        </w:rPr>
        <w:t>11:</w:t>
      </w:r>
      <w:r>
        <w:rPr>
          <w:color w:val="010101"/>
          <w:w w:val="110"/>
          <w:sz w:val="23"/>
        </w:rPr>
        <w:t>iil</w:t>
      </w:r>
      <w:r>
        <w:rPr>
          <w:color w:val="010101"/>
          <w:spacing w:val="17"/>
          <w:w w:val="110"/>
          <w:sz w:val="23"/>
        </w:rPr>
        <w:t> </w:t>
      </w:r>
      <w:r>
        <w:rPr>
          <w:color w:val="010101"/>
          <w:w w:val="190"/>
          <w:sz w:val="23"/>
        </w:rPr>
        <w:t>-</w:t>
        <w:tab/>
      </w:r>
      <w:r>
        <w:rPr>
          <w:rFonts w:ascii="Arial" w:hAnsi="Arial"/>
          <w:b/>
          <w:i/>
          <w:color w:val="010101"/>
          <w:w w:val="135"/>
          <w:sz w:val="9"/>
        </w:rPr>
        <w:t>A    </w:t>
      </w:r>
      <w:r>
        <w:rPr>
          <w:rFonts w:ascii="Arial" w:hAnsi="Arial"/>
          <w:b/>
          <w:i/>
          <w:color w:val="010101"/>
          <w:spacing w:val="14"/>
          <w:w w:val="135"/>
          <w:sz w:val="9"/>
        </w:rPr>
        <w:t> </w:t>
      </w:r>
      <w:r>
        <w:rPr>
          <w:b/>
          <w:color w:val="010101"/>
          <w:w w:val="135"/>
          <w:sz w:val="9"/>
        </w:rPr>
        <w:t>;;¡J</w:t>
        <w:tab/>
      </w:r>
      <w:r>
        <w:rPr>
          <w:b/>
          <w:color w:val="010101"/>
          <w:w w:val="110"/>
          <w:sz w:val="8"/>
        </w:rPr>
        <w:t>J</w:t>
      </w:r>
    </w:p>
    <w:p>
      <w:pPr>
        <w:spacing w:line="120" w:lineRule="exact" w:before="0"/>
        <w:ind w:left="1624" w:right="835" w:firstLine="0"/>
        <w:jc w:val="center"/>
        <w:rPr>
          <w:b/>
          <w:sz w:val="13"/>
        </w:rPr>
      </w:pPr>
      <w:r>
        <w:rPr>
          <w:b/>
          <w:color w:val="010101"/>
          <w:w w:val="120"/>
          <w:sz w:val="13"/>
        </w:rPr>
        <w:t>ul6:l01</w:t>
      </w:r>
    </w:p>
    <w:p>
      <w:pPr>
        <w:spacing w:after="0" w:line="120" w:lineRule="exact"/>
        <w:jc w:val="center"/>
        <w:rPr>
          <w:sz w:val="13"/>
        </w:rPr>
        <w:sectPr>
          <w:type w:val="continuous"/>
          <w:pgSz w:w="7200" w:h="11340"/>
          <w:pgMar w:top="1100" w:bottom="0" w:left="660" w:right="520"/>
        </w:sectPr>
      </w:pPr>
    </w:p>
    <w:p>
      <w:pPr>
        <w:spacing w:before="56"/>
        <w:ind w:left="155" w:right="-20" w:firstLine="0"/>
        <w:jc w:val="left"/>
        <w:rPr>
          <w:rFonts w:ascii="Arial"/>
          <w:b/>
          <w:sz w:val="20"/>
        </w:rPr>
      </w:pPr>
      <w:r>
        <w:rPr>
          <w:rFonts w:ascii="Arial"/>
          <w:b/>
          <w:sz w:val="20"/>
        </w:rPr>
        <w:t>142</w:t>
      </w:r>
    </w:p>
    <w:p>
      <w:pPr>
        <w:pStyle w:val="BodyText"/>
        <w:spacing w:before="3"/>
        <w:rPr>
          <w:rFonts w:ascii="Arial"/>
          <w:b/>
          <w:sz w:val="19"/>
        </w:rPr>
      </w:pPr>
    </w:p>
    <w:p>
      <w:pPr>
        <w:spacing w:before="0"/>
        <w:ind w:left="137" w:right="-20" w:firstLine="0"/>
        <w:jc w:val="left"/>
        <w:rPr>
          <w:b/>
          <w:sz w:val="23"/>
        </w:rPr>
      </w:pPr>
      <w:r>
        <w:rPr>
          <w:b/>
          <w:w w:val="85"/>
          <w:sz w:val="23"/>
        </w:rPr>
        <w:t>where</w:t>
      </w:r>
    </w:p>
    <w:p>
      <w:pPr>
        <w:tabs>
          <w:tab w:pos="3813" w:val="left" w:leader="none"/>
        </w:tabs>
        <w:spacing w:before="69"/>
        <w:ind w:left="457" w:right="0" w:firstLine="0"/>
        <w:jc w:val="left"/>
        <w:rPr>
          <w:rFonts w:ascii="Arial"/>
          <w:b/>
          <w:sz w:val="19"/>
        </w:rPr>
      </w:pPr>
      <w:r>
        <w:rPr/>
        <w:br w:type="column"/>
      </w:r>
      <w:r>
        <w:rPr>
          <w:rFonts w:ascii="Courier New"/>
          <w:b/>
          <w:w w:val="105"/>
          <w:sz w:val="16"/>
        </w:rPr>
        <w:t>THE</w:t>
      </w:r>
      <w:r>
        <w:rPr>
          <w:rFonts w:ascii="Courier New"/>
          <w:b/>
          <w:spacing w:val="7"/>
          <w:w w:val="105"/>
          <w:sz w:val="16"/>
        </w:rPr>
        <w:t> </w:t>
      </w:r>
      <w:r>
        <w:rPr>
          <w:rFonts w:ascii="Courier New"/>
          <w:b/>
          <w:w w:val="105"/>
          <w:sz w:val="16"/>
        </w:rPr>
        <w:t>SXPENSE</w:t>
      </w:r>
      <w:r>
        <w:rPr>
          <w:rFonts w:ascii="Courier New"/>
          <w:b/>
          <w:spacing w:val="7"/>
          <w:w w:val="105"/>
          <w:sz w:val="16"/>
        </w:rPr>
        <w:t> </w:t>
      </w:r>
      <w:r>
        <w:rPr>
          <w:rFonts w:ascii="Courier New"/>
          <w:b/>
          <w:spacing w:val="-6"/>
          <w:w w:val="105"/>
          <w:sz w:val="16"/>
        </w:rPr>
        <w:t>l'ACN&gt;B</w:t>
        <w:tab/>
      </w:r>
      <w:r>
        <w:rPr>
          <w:rFonts w:ascii="Arial"/>
          <w:b/>
          <w:w w:val="95"/>
          <w:sz w:val="19"/>
        </w:rPr>
        <w:t>{CH.</w:t>
      </w:r>
      <w:r>
        <w:rPr>
          <w:rFonts w:ascii="Arial"/>
          <w:b/>
          <w:spacing w:val="-20"/>
          <w:w w:val="95"/>
          <w:sz w:val="19"/>
        </w:rPr>
        <w:t> </w:t>
      </w:r>
      <w:r>
        <w:rPr>
          <w:rFonts w:ascii="Arial"/>
          <w:b/>
          <w:w w:val="95"/>
          <w:sz w:val="19"/>
        </w:rPr>
        <w:t>6</w:t>
      </w:r>
    </w:p>
    <w:p>
      <w:pPr>
        <w:spacing w:before="132"/>
        <w:ind w:left="137" w:right="0" w:firstLine="0"/>
        <w:jc w:val="left"/>
        <w:rPr>
          <w:sz w:val="20"/>
        </w:rPr>
      </w:pPr>
      <w:r>
        <w:rPr>
          <w:i/>
          <w:w w:val="130"/>
          <w:sz w:val="27"/>
        </w:rPr>
        <w:t>E </w:t>
      </w:r>
      <w:r>
        <w:rPr>
          <w:w w:val="115"/>
          <w:sz w:val="28"/>
        </w:rPr>
        <w:t>= </w:t>
      </w:r>
      <w:r>
        <w:rPr>
          <w:spacing w:val="-34"/>
          <w:w w:val="130"/>
          <w:sz w:val="20"/>
        </w:rPr>
        <w:t>.016 </w:t>
      </w:r>
      <w:r>
        <w:rPr>
          <w:rFonts w:ascii="Arial"/>
          <w:w w:val="115"/>
          <w:sz w:val="33"/>
        </w:rPr>
        <w:t>+</w:t>
      </w:r>
      <w:r>
        <w:rPr>
          <w:rFonts w:ascii="Arial"/>
          <w:spacing w:val="-64"/>
          <w:w w:val="115"/>
          <w:sz w:val="33"/>
        </w:rPr>
        <w:t> </w:t>
      </w:r>
      <w:r>
        <w:rPr>
          <w:rFonts w:ascii="Arial"/>
          <w:w w:val="115"/>
          <w:sz w:val="19"/>
        </w:rPr>
        <w:t>.25 </w:t>
      </w:r>
      <w:r>
        <w:rPr>
          <w:i/>
          <w:w w:val="180"/>
          <w:sz w:val="22"/>
        </w:rPr>
        <w:t>P </w:t>
      </w:r>
      <w:r>
        <w:rPr>
          <w:rFonts w:ascii="Arial"/>
          <w:w w:val="115"/>
          <w:sz w:val="33"/>
        </w:rPr>
        <w:t>+</w:t>
      </w:r>
      <w:r>
        <w:rPr>
          <w:rFonts w:ascii="Arial"/>
          <w:spacing w:val="-61"/>
          <w:w w:val="115"/>
          <w:sz w:val="33"/>
        </w:rPr>
        <w:t> </w:t>
      </w:r>
      <w:r>
        <w:rPr>
          <w:spacing w:val="-11"/>
          <w:w w:val="130"/>
          <w:sz w:val="20"/>
        </w:rPr>
        <w:t>.020.</w:t>
      </w:r>
    </w:p>
    <w:p>
      <w:pPr>
        <w:spacing w:after="0"/>
        <w:jc w:val="left"/>
        <w:rPr>
          <w:sz w:val="20"/>
        </w:rPr>
        <w:sectPr>
          <w:pgSz w:w="7200" w:h="11340"/>
          <w:pgMar w:top="480" w:bottom="280" w:left="640" w:right="520"/>
          <w:cols w:num="2" w:equalWidth="0">
            <w:col w:w="648" w:space="947"/>
            <w:col w:w="4445"/>
          </w:cols>
        </w:sectPr>
      </w:pPr>
    </w:p>
    <w:p>
      <w:pPr>
        <w:pStyle w:val="BodyText"/>
        <w:spacing w:before="84"/>
        <w:ind w:left="130"/>
        <w:jc w:val="both"/>
      </w:pPr>
      <w:r>
        <w:rPr/>
        <w:t>The mínimum  cash  values  for the policy  may  </w:t>
      </w:r>
      <w:r>
        <w:rPr>
          <w:rFonts w:ascii="Arial" w:hAnsi="Arial"/>
        </w:rPr>
        <w:t>be </w:t>
      </w:r>
      <w:r>
        <w:rPr/>
        <w:t>expresscd·prospec­</w:t>
      </w:r>
    </w:p>
    <w:p>
      <w:pPr>
        <w:spacing w:before="4"/>
        <w:ind w:left="134" w:right="0" w:firstLine="0"/>
        <w:jc w:val="both"/>
        <w:rPr>
          <w:rFonts w:ascii="Arial"/>
          <w:b/>
          <w:sz w:val="14"/>
        </w:rPr>
      </w:pPr>
      <w:r>
        <w:rPr>
          <w:b/>
          <w:w w:val="115"/>
          <w:sz w:val="20"/>
        </w:rPr>
        <w:t>tively </w:t>
      </w:r>
      <w:r>
        <w:rPr>
          <w:rFonts w:ascii="Arial"/>
          <w:b/>
          <w:w w:val="115"/>
          <w:sz w:val="14"/>
        </w:rPr>
        <w:t>88</w:t>
      </w:r>
    </w:p>
    <w:p>
      <w:pPr>
        <w:tabs>
          <w:tab w:pos="4337" w:val="left" w:leader="none"/>
          <w:tab w:pos="4737" w:val="left" w:leader="none"/>
        </w:tabs>
        <w:spacing w:before="95"/>
        <w:ind w:left="72" w:right="0" w:firstLine="0"/>
        <w:jc w:val="center"/>
        <w:rPr>
          <w:sz w:val="20"/>
        </w:rPr>
      </w:pPr>
      <w:r>
        <w:rPr/>
        <w:pict>
          <v:line style="position:absolute;mso-position-horizontal-relative:page;mso-position-vertical-relative:paragraph;z-index:-724264" from="192.960007pt,17.156717pt" to="200.880007pt,17.156717pt" stroked="true" strokeweight=".54pt" strokecolor="#000000">
            <w10:wrap type="none"/>
          </v:line>
        </w:pict>
      </w:r>
      <w:r>
        <w:rPr/>
        <w:pict>
          <v:shape style="position:absolute;margin-left:58.860001pt;margin-top:2.497643pt;width:3.7pt;height:10.5pt;mso-position-horizontal-relative:page;mso-position-vertical-relative:paragraph;z-index:-724216" type="#_x0000_t202" filled="false" stroked="false">
            <v:textbox inset="0,0,0,0">
              <w:txbxContent>
                <w:p>
                  <w:pPr>
                    <w:spacing w:line="210" w:lineRule="exact" w:before="0"/>
                    <w:ind w:left="0" w:right="0" w:firstLine="0"/>
                    <w:jc w:val="left"/>
                    <w:rPr>
                      <w:b/>
                      <w:sz w:val="21"/>
                    </w:rPr>
                  </w:pPr>
                  <w:r>
                    <w:rPr>
                      <w:b/>
                      <w:w w:val="70"/>
                      <w:sz w:val="21"/>
                    </w:rPr>
                    <w:t>1</w:t>
                  </w:r>
                </w:p>
              </w:txbxContent>
            </v:textbox>
            <w10:wrap type="none"/>
          </v:shape>
        </w:pict>
      </w:r>
      <w:r>
        <w:rPr>
          <w:b/>
          <w:spacing w:val="-67"/>
          <w:w w:val="197"/>
          <w:sz w:val="21"/>
        </w:rPr>
        <w:t>!</w:t>
      </w:r>
      <w:r>
        <w:rPr>
          <w:b/>
          <w:w w:val="91"/>
          <w:sz w:val="21"/>
        </w:rPr>
        <w:t>CVa:ii</w:t>
      </w:r>
      <w:r>
        <w:rPr>
          <w:b/>
          <w:w w:val="91"/>
          <w:sz w:val="21"/>
        </w:rPr>
        <w:t>)</w:t>
      </w:r>
      <w:r>
        <w:rPr>
          <w:b/>
          <w:sz w:val="21"/>
        </w:rPr>
        <w:t> </w:t>
      </w:r>
      <w:r>
        <w:rPr>
          <w:b/>
          <w:spacing w:val="-4"/>
          <w:sz w:val="21"/>
        </w:rPr>
        <w:t> </w:t>
      </w:r>
      <w:r>
        <w:rPr>
          <w:w w:val="94"/>
          <w:sz w:val="26"/>
        </w:rPr>
        <w:t>=</w:t>
      </w:r>
      <w:r>
        <w:rPr>
          <w:spacing w:val="29"/>
          <w:sz w:val="26"/>
        </w:rPr>
        <w:t> </w:t>
      </w:r>
      <w:r>
        <w:rPr>
          <w:b/>
          <w:w w:val="83"/>
          <w:sz w:val="21"/>
        </w:rPr>
        <w:t>Aa+e:1</w:t>
      </w:r>
      <w:r>
        <w:rPr>
          <w:b/>
          <w:w w:val="84"/>
          <w:sz w:val="21"/>
          <w:u w:val="single"/>
        </w:rPr>
        <w:t>1</w:t>
      </w:r>
      <w:r>
        <w:rPr>
          <w:b/>
          <w:w w:val="84"/>
          <w:sz w:val="21"/>
        </w:rPr>
        <w:t>-,f</w:t>
      </w:r>
      <w:r>
        <w:rPr>
          <w:b/>
          <w:sz w:val="21"/>
        </w:rPr>
        <w:t> </w:t>
      </w:r>
      <w:r>
        <w:rPr>
          <w:b/>
          <w:spacing w:val="22"/>
          <w:sz w:val="21"/>
        </w:rPr>
        <w:t> </w:t>
      </w:r>
      <w:r>
        <w:rPr>
          <w:w w:val="268"/>
          <w:sz w:val="21"/>
        </w:rPr>
        <w:t>-</w:t>
      </w:r>
      <w:r>
        <w:rPr>
          <w:spacing w:val="-3"/>
          <w:sz w:val="21"/>
        </w:rPr>
        <w:t> </w:t>
      </w:r>
      <w:r>
        <w:rPr>
          <w:b/>
          <w:w w:val="96"/>
          <w:sz w:val="21"/>
        </w:rPr>
        <w:t>.P:a:</w:t>
      </w:r>
      <w:r>
        <w:rPr>
          <w:b/>
          <w:spacing w:val="-40"/>
          <w:w w:val="97"/>
          <w:sz w:val="21"/>
        </w:rPr>
        <w:t>1</w:t>
      </w:r>
      <w:r>
        <w:rPr>
          <w:b/>
          <w:w w:val="95"/>
          <w:sz w:val="21"/>
        </w:rPr>
        <w:t>"i</w:t>
      </w:r>
      <w:r>
        <w:rPr>
          <w:b/>
          <w:w w:val="95"/>
          <w:sz w:val="21"/>
        </w:rPr>
        <w:t>)</w:t>
      </w:r>
      <w:r>
        <w:rPr>
          <w:b/>
          <w:w w:val="95"/>
          <w:sz w:val="21"/>
        </w:rPr>
        <w:t>·cia+u.-,¡</w:t>
      </w:r>
      <w:r>
        <w:rPr>
          <w:b/>
          <w:spacing w:val="3"/>
          <w:sz w:val="21"/>
        </w:rPr>
        <w:t> </w:t>
      </w:r>
      <w:r>
        <w:rPr>
          <w:b/>
          <w:sz w:val="21"/>
        </w:rPr>
        <w:t>,</w:t>
      </w:r>
      <w:r>
        <w:rPr>
          <w:b/>
          <w:spacing w:val="17"/>
          <w:sz w:val="21"/>
        </w:rPr>
        <w:t> </w:t>
      </w:r>
      <w:r>
        <w:rPr>
          <w:w w:val="149"/>
          <w:sz w:val="20"/>
        </w:rPr>
        <w:t>1</w:t>
      </w:r>
      <w:r>
        <w:rPr>
          <w:sz w:val="20"/>
        </w:rPr>
        <w:tab/>
      </w:r>
      <w:r>
        <w:rPr>
          <w:i/>
          <w:w w:val="92"/>
          <w:sz w:val="22"/>
        </w:rPr>
        <w:t>t</w:t>
      </w:r>
      <w:r>
        <w:rPr>
          <w:i/>
          <w:sz w:val="22"/>
        </w:rPr>
        <w:tab/>
      </w:r>
      <w:r>
        <w:rPr>
          <w:spacing w:val="-47"/>
          <w:w w:val="129"/>
          <w:sz w:val="20"/>
        </w:rPr>
        <w:t>1</w:t>
      </w:r>
      <w:r>
        <w:rPr>
          <w:w w:val="116"/>
          <w:sz w:val="20"/>
        </w:rPr>
        <w:t>0.</w:t>
      </w:r>
    </w:p>
    <w:p>
      <w:pPr>
        <w:pStyle w:val="BodyText"/>
        <w:spacing w:before="102"/>
        <w:ind w:left="126" w:right="127" w:firstLine="201"/>
        <w:jc w:val="both"/>
        <w:rPr>
          <w:sz w:val="21"/>
        </w:rPr>
      </w:pPr>
      <w:r>
        <w:rPr>
          <w:w w:val="110"/>
        </w:rPr>
        <w:t>Although</w:t>
      </w:r>
      <w:r>
        <w:rPr>
          <w:spacing w:val="-10"/>
          <w:w w:val="110"/>
        </w:rPr>
        <w:t> </w:t>
      </w:r>
      <w:r>
        <w:rPr>
          <w:w w:val="110"/>
        </w:rPr>
        <w:t>the</w:t>
      </w:r>
      <w:r>
        <w:rPr>
          <w:spacing w:val="-27"/>
          <w:w w:val="110"/>
        </w:rPr>
        <w:t> </w:t>
      </w:r>
      <w:r>
        <w:rPr>
          <w:w w:val="110"/>
        </w:rPr>
        <w:t>statutes</w:t>
      </w:r>
      <w:r>
        <w:rPr>
          <w:spacing w:val="-25"/>
          <w:w w:val="110"/>
        </w:rPr>
        <w:t> </w:t>
      </w:r>
      <w:r>
        <w:rPr>
          <w:w w:val="110"/>
        </w:rPr>
        <w:t>define</w:t>
      </w:r>
      <w:r>
        <w:rPr>
          <w:spacing w:val="-32"/>
          <w:w w:val="110"/>
        </w:rPr>
        <w:t> </w:t>
      </w:r>
      <w:r>
        <w:rPr>
          <w:w w:val="110"/>
        </w:rPr>
        <w:t>minimum</w:t>
      </w:r>
      <w:r>
        <w:rPr>
          <w:spacing w:val="-11"/>
          <w:w w:val="110"/>
        </w:rPr>
        <w:t> </w:t>
      </w:r>
      <w:r>
        <w:rPr>
          <w:w w:val="110"/>
        </w:rPr>
        <w:t>cash</w:t>
      </w:r>
      <w:r>
        <w:rPr>
          <w:spacing w:val="-28"/>
          <w:w w:val="110"/>
        </w:rPr>
        <w:t> </w:t>
      </w:r>
      <w:r>
        <w:rPr>
          <w:w w:val="110"/>
        </w:rPr>
        <w:t>values</w:t>
      </w:r>
      <w:r>
        <w:rPr>
          <w:spacing w:val="-17"/>
          <w:w w:val="110"/>
        </w:rPr>
        <w:t> </w:t>
      </w:r>
      <w:r>
        <w:rPr>
          <w:w w:val="110"/>
        </w:rPr>
        <w:t>in</w:t>
      </w:r>
      <w:r>
        <w:rPr>
          <w:spacing w:val="-21"/>
          <w:w w:val="110"/>
        </w:rPr>
        <w:t> </w:t>
      </w:r>
      <w:r>
        <w:rPr>
          <w:w w:val="110"/>
        </w:rPr>
        <w:t>terms</w:t>
      </w:r>
      <w:r>
        <w:rPr>
          <w:spacing w:val="-26"/>
          <w:w w:val="110"/>
        </w:rPr>
        <w:t> </w:t>
      </w:r>
      <w:r>
        <w:rPr>
          <w:w w:val="110"/>
        </w:rPr>
        <w:t>of</w:t>
      </w:r>
      <w:r>
        <w:rPr>
          <w:spacing w:val="-13"/>
          <w:w w:val="110"/>
        </w:rPr>
        <w:t> </w:t>
      </w:r>
      <w:r>
        <w:rPr>
          <w:w w:val="110"/>
        </w:rPr>
        <w:t>the adjusted premium method, insurers are free to calculate their</w:t>
      </w:r>
      <w:r>
        <w:rPr>
          <w:spacing w:val="-30"/>
          <w:w w:val="110"/>
        </w:rPr>
        <w:t> </w:t>
      </w:r>
      <w:r>
        <w:rPr>
          <w:w w:val="110"/>
        </w:rPr>
        <w:t>cash values on </w:t>
      </w:r>
      <w:r>
        <w:rPr>
          <w:w w:val="110"/>
          <w:sz w:val="21"/>
        </w:rPr>
        <w:t>any </w:t>
      </w:r>
      <w:r>
        <w:rPr>
          <w:w w:val="110"/>
        </w:rPr>
        <w:t>basis that produces values which are not less than the</w:t>
      </w:r>
      <w:r>
        <w:rPr>
          <w:spacing w:val="-15"/>
          <w:w w:val="110"/>
        </w:rPr>
        <w:t> </w:t>
      </w:r>
      <w:r>
        <w:rPr>
          <w:spacing w:val="-3"/>
          <w:w w:val="110"/>
        </w:rPr>
        <w:t>prescnbed</w:t>
      </w:r>
      <w:r>
        <w:rPr>
          <w:spacing w:val="-4"/>
          <w:w w:val="110"/>
        </w:rPr>
        <w:t> </w:t>
      </w:r>
      <w:r>
        <w:rPr>
          <w:w w:val="110"/>
        </w:rPr>
        <w:t>mínimum.</w:t>
      </w:r>
      <w:r>
        <w:rPr>
          <w:spacing w:val="-4"/>
          <w:w w:val="110"/>
        </w:rPr>
        <w:t> </w:t>
      </w:r>
      <w:r>
        <w:rPr>
          <w:w w:val="110"/>
          <w:sz w:val="21"/>
        </w:rPr>
        <w:t>Many</w:t>
      </w:r>
      <w:r>
        <w:rPr>
          <w:spacing w:val="-7"/>
          <w:w w:val="110"/>
          <w:sz w:val="21"/>
        </w:rPr>
        <w:t> </w:t>
      </w:r>
      <w:r>
        <w:rPr>
          <w:w w:val="110"/>
        </w:rPr>
        <w:t>policies</w:t>
      </w:r>
      <w:r>
        <w:rPr>
          <w:spacing w:val="-4"/>
          <w:w w:val="110"/>
        </w:rPr>
        <w:t> </w:t>
      </w:r>
      <w:r>
        <w:rPr>
          <w:w w:val="110"/>
        </w:rPr>
        <w:t>provide</w:t>
      </w:r>
      <w:r>
        <w:rPr>
          <w:spacing w:val="-2"/>
          <w:w w:val="110"/>
        </w:rPr>
        <w:t> </w:t>
      </w:r>
      <w:r>
        <w:rPr>
          <w:w w:val="110"/>
        </w:rPr>
        <w:t>the</w:t>
      </w:r>
      <w:r>
        <w:rPr>
          <w:spacing w:val="-12"/>
          <w:w w:val="110"/>
        </w:rPr>
        <w:t> </w:t>
      </w:r>
      <w:r>
        <w:rPr>
          <w:w w:val="110"/>
        </w:rPr>
        <w:t>full</w:t>
      </w:r>
      <w:r>
        <w:rPr>
          <w:spacing w:val="-9"/>
          <w:w w:val="110"/>
        </w:rPr>
        <w:t> </w:t>
      </w:r>
      <w:r>
        <w:rPr>
          <w:w w:val="110"/>
        </w:rPr>
        <w:t>reserve</w:t>
      </w:r>
      <w:r>
        <w:rPr>
          <w:spacing w:val="-1"/>
          <w:w w:val="110"/>
        </w:rPr>
        <w:t> </w:t>
      </w:r>
      <w:r>
        <w:rPr>
          <w:w w:val="110"/>
        </w:rPr>
        <w:t>as a cash value after a certain number of</w:t>
      </w:r>
      <w:r>
        <w:rPr>
          <w:spacing w:val="53"/>
          <w:w w:val="110"/>
        </w:rPr>
        <w:t> </w:t>
      </w:r>
      <w:r>
        <w:rPr>
          <w:w w:val="110"/>
          <w:sz w:val="21"/>
        </w:rPr>
        <w:t>years.</w:t>
      </w:r>
    </w:p>
    <w:p>
      <w:pPr>
        <w:pStyle w:val="BodyText"/>
        <w:ind w:left="123" w:right="144" w:firstLine="201"/>
        <w:jc w:val="both"/>
      </w:pPr>
      <w:r>
        <w:rPr>
          <w:w w:val="115"/>
          <w:sz w:val="21"/>
        </w:rPr>
        <w:t>The</w:t>
      </w:r>
      <w:r>
        <w:rPr>
          <w:spacing w:val="-35"/>
          <w:w w:val="115"/>
          <w:sz w:val="21"/>
        </w:rPr>
        <w:t> </w:t>
      </w:r>
      <w:r>
        <w:rPr>
          <w:w w:val="115"/>
        </w:rPr>
        <w:t>cash</w:t>
      </w:r>
      <w:r>
        <w:rPr>
          <w:spacing w:val="-30"/>
          <w:w w:val="115"/>
        </w:rPr>
        <w:t> </w:t>
      </w:r>
      <w:r>
        <w:rPr>
          <w:w w:val="115"/>
        </w:rPr>
        <w:t>value</w:t>
      </w:r>
      <w:r>
        <w:rPr>
          <w:spacing w:val="-30"/>
          <w:w w:val="115"/>
        </w:rPr>
        <w:t> </w:t>
      </w:r>
      <w:r>
        <w:rPr>
          <w:w w:val="115"/>
        </w:rPr>
        <w:t>fonns</w:t>
      </w:r>
      <w:r>
        <w:rPr>
          <w:spacing w:val="-36"/>
          <w:w w:val="115"/>
        </w:rPr>
        <w:t> </w:t>
      </w:r>
      <w:r>
        <w:rPr>
          <w:w w:val="115"/>
        </w:rPr>
        <w:t>the</w:t>
      </w:r>
      <w:r>
        <w:rPr>
          <w:spacing w:val="-31"/>
          <w:w w:val="115"/>
        </w:rPr>
        <w:t> </w:t>
      </w:r>
      <w:r>
        <w:rPr>
          <w:w w:val="115"/>
          <w:sz w:val="21"/>
        </w:rPr>
        <w:t>basis</w:t>
      </w:r>
      <w:r>
        <w:rPr>
          <w:spacing w:val="-33"/>
          <w:w w:val="115"/>
          <w:sz w:val="21"/>
        </w:rPr>
        <w:t> </w:t>
      </w:r>
      <w:r>
        <w:rPr>
          <w:w w:val="115"/>
        </w:rPr>
        <w:t>of</w:t>
      </w:r>
      <w:r>
        <w:rPr>
          <w:spacing w:val="-26"/>
          <w:w w:val="115"/>
        </w:rPr>
        <w:t> </w:t>
      </w:r>
      <w:r>
        <w:rPr>
          <w:w w:val="115"/>
        </w:rPr>
        <w:t>another</w:t>
      </w:r>
      <w:r>
        <w:rPr>
          <w:spacing w:val="-27"/>
          <w:w w:val="115"/>
        </w:rPr>
        <w:t> </w:t>
      </w:r>
      <w:r>
        <w:rPr>
          <w:rFonts w:ascii="Arial" w:hAnsi="Arial"/>
          <w:spacing w:val="-3"/>
          <w:w w:val="115"/>
          <w:sz w:val="19"/>
        </w:rPr>
        <w:t>important</w:t>
      </w:r>
      <w:r>
        <w:rPr>
          <w:rFonts w:ascii="Arial" w:hAnsi="Arial"/>
          <w:spacing w:val="-32"/>
          <w:w w:val="115"/>
          <w:sz w:val="19"/>
        </w:rPr>
        <w:t> </w:t>
      </w:r>
      <w:r>
        <w:rPr>
          <w:w w:val="115"/>
        </w:rPr>
        <w:t>policy</w:t>
      </w:r>
      <w:r>
        <w:rPr>
          <w:spacing w:val="-22"/>
          <w:w w:val="115"/>
        </w:rPr>
        <w:t> </w:t>
      </w:r>
      <w:r>
        <w:rPr>
          <w:w w:val="115"/>
        </w:rPr>
        <w:t>pro­ </w:t>
      </w:r>
      <w:r>
        <w:rPr>
          <w:w w:val="115"/>
          <w:sz w:val="21"/>
        </w:rPr>
        <w:t>vision-the</w:t>
      </w:r>
      <w:r>
        <w:rPr>
          <w:spacing w:val="-28"/>
          <w:w w:val="115"/>
          <w:sz w:val="21"/>
        </w:rPr>
        <w:t> </w:t>
      </w:r>
      <w:r>
        <w:rPr>
          <w:w w:val="115"/>
        </w:rPr>
        <w:t>loan</w:t>
      </w:r>
      <w:r>
        <w:rPr>
          <w:spacing w:val="-25"/>
          <w:w w:val="115"/>
        </w:rPr>
        <w:t> </w:t>
      </w:r>
      <w:r>
        <w:rPr>
          <w:w w:val="115"/>
          <w:sz w:val="21"/>
        </w:rPr>
        <w:t>clause.</w:t>
      </w:r>
      <w:r>
        <w:rPr>
          <w:spacing w:val="-26"/>
          <w:w w:val="115"/>
          <w:sz w:val="21"/>
        </w:rPr>
        <w:t> </w:t>
      </w:r>
      <w:r>
        <w:rPr>
          <w:w w:val="115"/>
          <w:sz w:val="21"/>
        </w:rPr>
        <w:t>This</w:t>
      </w:r>
      <w:r>
        <w:rPr>
          <w:spacing w:val="-27"/>
          <w:w w:val="115"/>
          <w:sz w:val="21"/>
        </w:rPr>
        <w:t> </w:t>
      </w:r>
      <w:r>
        <w:rPr>
          <w:w w:val="115"/>
        </w:rPr>
        <w:t>provides</w:t>
      </w:r>
      <w:r>
        <w:rPr>
          <w:spacing w:val="-17"/>
          <w:w w:val="115"/>
        </w:rPr>
        <w:t> </w:t>
      </w:r>
      <w:r>
        <w:rPr>
          <w:w w:val="115"/>
        </w:rPr>
        <w:t>that</w:t>
      </w:r>
      <w:r>
        <w:rPr>
          <w:spacing w:val="-19"/>
          <w:w w:val="115"/>
        </w:rPr>
        <w:t> </w:t>
      </w:r>
      <w:r>
        <w:rPr>
          <w:w w:val="115"/>
          <w:sz w:val="21"/>
        </w:rPr>
        <w:t>the</w:t>
      </w:r>
      <w:r>
        <w:rPr>
          <w:spacing w:val="-24"/>
          <w:w w:val="115"/>
          <w:sz w:val="21"/>
        </w:rPr>
        <w:t> </w:t>
      </w:r>
      <w:r>
        <w:rPr>
          <w:w w:val="115"/>
        </w:rPr>
        <w:t>insurer</w:t>
      </w:r>
      <w:r>
        <w:rPr>
          <w:spacing w:val="-19"/>
          <w:w w:val="115"/>
        </w:rPr>
        <w:t> </w:t>
      </w:r>
      <w:r>
        <w:rPr>
          <w:w w:val="115"/>
          <w:sz w:val="21"/>
        </w:rPr>
        <w:t>will</w:t>
      </w:r>
      <w:r>
        <w:rPr>
          <w:spacing w:val="-21"/>
          <w:w w:val="115"/>
          <w:sz w:val="21"/>
        </w:rPr>
        <w:t> </w:t>
      </w:r>
      <w:r>
        <w:rPr>
          <w:w w:val="115"/>
        </w:rPr>
        <w:t>grant, on</w:t>
      </w:r>
      <w:r>
        <w:rPr>
          <w:spacing w:val="-33"/>
          <w:w w:val="115"/>
        </w:rPr>
        <w:t> </w:t>
      </w:r>
      <w:r>
        <w:rPr>
          <w:w w:val="115"/>
        </w:rPr>
        <w:t>the</w:t>
      </w:r>
      <w:r>
        <w:rPr>
          <w:spacing w:val="-34"/>
          <w:w w:val="115"/>
        </w:rPr>
        <w:t> </w:t>
      </w:r>
      <w:r>
        <w:rPr>
          <w:w w:val="115"/>
        </w:rPr>
        <w:t>security</w:t>
      </w:r>
      <w:r>
        <w:rPr>
          <w:spacing w:val="-34"/>
          <w:w w:val="115"/>
        </w:rPr>
        <w:t> </w:t>
      </w:r>
      <w:r>
        <w:rPr>
          <w:w w:val="115"/>
        </w:rPr>
        <w:t>of</w:t>
      </w:r>
      <w:r>
        <w:rPr>
          <w:spacing w:val="-26"/>
          <w:w w:val="115"/>
        </w:rPr>
        <w:t> </w:t>
      </w:r>
      <w:r>
        <w:rPr>
          <w:w w:val="115"/>
        </w:rPr>
        <w:t>the</w:t>
      </w:r>
      <w:r>
        <w:rPr>
          <w:spacing w:val="-36"/>
          <w:w w:val="115"/>
        </w:rPr>
        <w:t> </w:t>
      </w:r>
      <w:r>
        <w:rPr>
          <w:w w:val="115"/>
        </w:rPr>
        <w:t>policy,</w:t>
      </w:r>
      <w:r>
        <w:rPr>
          <w:spacing w:val="-28"/>
          <w:w w:val="115"/>
        </w:rPr>
        <w:t> </w:t>
      </w:r>
      <w:r>
        <w:rPr>
          <w:w w:val="115"/>
        </w:rPr>
        <w:t>a</w:t>
      </w:r>
      <w:r>
        <w:rPr>
          <w:spacing w:val="-37"/>
          <w:w w:val="115"/>
        </w:rPr>
        <w:t> </w:t>
      </w:r>
      <w:r>
        <w:rPr>
          <w:w w:val="115"/>
        </w:rPr>
        <w:t>loan</w:t>
      </w:r>
      <w:r>
        <w:rPr>
          <w:spacing w:val="-29"/>
          <w:w w:val="115"/>
        </w:rPr>
        <w:t> </w:t>
      </w:r>
      <w:r>
        <w:rPr>
          <w:w w:val="115"/>
          <w:sz w:val="21"/>
        </w:rPr>
        <w:t>not</w:t>
      </w:r>
      <w:r>
        <w:rPr>
          <w:spacing w:val="-36"/>
          <w:w w:val="115"/>
          <w:sz w:val="21"/>
        </w:rPr>
        <w:t> </w:t>
      </w:r>
      <w:r>
        <w:rPr>
          <w:w w:val="115"/>
        </w:rPr>
        <w:t>greater</w:t>
      </w:r>
      <w:r>
        <w:rPr>
          <w:spacing w:val="-30"/>
          <w:w w:val="115"/>
        </w:rPr>
        <w:t> </w:t>
      </w:r>
      <w:r>
        <w:rPr>
          <w:w w:val="115"/>
        </w:rPr>
        <w:t>than</w:t>
      </w:r>
      <w:r>
        <w:rPr>
          <w:spacing w:val="-29"/>
          <w:w w:val="115"/>
        </w:rPr>
        <w:t> </w:t>
      </w:r>
      <w:r>
        <w:rPr>
          <w:w w:val="115"/>
        </w:rPr>
        <w:t>the</w:t>
      </w:r>
      <w:r>
        <w:rPr>
          <w:spacing w:val="-36"/>
          <w:w w:val="115"/>
        </w:rPr>
        <w:t> </w:t>
      </w:r>
      <w:r>
        <w:rPr>
          <w:w w:val="115"/>
        </w:rPr>
        <w:t>cash</w:t>
      </w:r>
      <w:r>
        <w:rPr>
          <w:spacing w:val="-30"/>
          <w:w w:val="115"/>
        </w:rPr>
        <w:t> </w:t>
      </w:r>
      <w:r>
        <w:rPr>
          <w:w w:val="115"/>
        </w:rPr>
        <w:t>value. </w:t>
      </w:r>
      <w:r>
        <w:rPr>
          <w:rFonts w:ascii="Arial" w:hAnsi="Arial"/>
          <w:spacing w:val="3"/>
          <w:w w:val="115"/>
        </w:rPr>
        <w:t>If,</w:t>
      </w:r>
      <w:r>
        <w:rPr>
          <w:spacing w:val="3"/>
          <w:w w:val="115"/>
        </w:rPr>
        <w:t>as</w:t>
      </w:r>
      <w:r>
        <w:rPr>
          <w:spacing w:val="-31"/>
          <w:w w:val="115"/>
        </w:rPr>
        <w:t> </w:t>
      </w:r>
      <w:r>
        <w:rPr>
          <w:w w:val="115"/>
        </w:rPr>
        <w:t>a</w:t>
      </w:r>
      <w:r>
        <w:rPr>
          <w:spacing w:val="-27"/>
          <w:w w:val="115"/>
        </w:rPr>
        <w:t> </w:t>
      </w:r>
      <w:r>
        <w:rPr>
          <w:w w:val="115"/>
        </w:rPr>
        <w:t>result</w:t>
      </w:r>
      <w:r>
        <w:rPr>
          <w:spacing w:val="-20"/>
          <w:w w:val="115"/>
        </w:rPr>
        <w:t> </w:t>
      </w:r>
      <w:r>
        <w:rPr>
          <w:w w:val="115"/>
        </w:rPr>
        <w:t>of</w:t>
      </w:r>
      <w:r>
        <w:rPr>
          <w:spacing w:val="-20"/>
          <w:w w:val="115"/>
        </w:rPr>
        <w:t> </w:t>
      </w:r>
      <w:r>
        <w:rPr>
          <w:w w:val="115"/>
        </w:rPr>
        <w:t>the</w:t>
      </w:r>
      <w:r>
        <w:rPr>
          <w:spacing w:val="-25"/>
          <w:w w:val="115"/>
        </w:rPr>
        <w:t> </w:t>
      </w:r>
      <w:r>
        <w:rPr>
          <w:w w:val="115"/>
        </w:rPr>
        <w:t>operation</w:t>
      </w:r>
      <w:r>
        <w:rPr>
          <w:spacing w:val="-19"/>
          <w:w w:val="115"/>
        </w:rPr>
        <w:t> </w:t>
      </w:r>
      <w:r>
        <w:rPr>
          <w:w w:val="115"/>
        </w:rPr>
        <w:t>of</w:t>
      </w:r>
      <w:r>
        <w:rPr>
          <w:spacing w:val="-16"/>
          <w:w w:val="115"/>
        </w:rPr>
        <w:t> </w:t>
      </w:r>
      <w:r>
        <w:rPr>
          <w:w w:val="115"/>
        </w:rPr>
        <w:t>this</w:t>
      </w:r>
      <w:r>
        <w:rPr>
          <w:spacing w:val="-25"/>
          <w:w w:val="115"/>
        </w:rPr>
        <w:t> </w:t>
      </w:r>
      <w:r>
        <w:rPr>
          <w:w w:val="115"/>
        </w:rPr>
        <w:t>clause,</w:t>
      </w:r>
      <w:r>
        <w:rPr>
          <w:spacing w:val="-18"/>
          <w:w w:val="115"/>
        </w:rPr>
        <w:t> </w:t>
      </w:r>
      <w:r>
        <w:rPr>
          <w:w w:val="115"/>
        </w:rPr>
        <w:t>there</w:t>
      </w:r>
      <w:r>
        <w:rPr>
          <w:spacing w:val="-20"/>
          <w:w w:val="115"/>
        </w:rPr>
        <w:t> </w:t>
      </w:r>
      <w:r>
        <w:rPr>
          <w:rFonts w:ascii="Arial" w:hAnsi="Arial"/>
          <w:w w:val="115"/>
        </w:rPr>
        <w:t>is</w:t>
      </w:r>
      <w:r>
        <w:rPr>
          <w:rFonts w:ascii="Arial" w:hAnsi="Arial"/>
          <w:spacing w:val="-38"/>
          <w:w w:val="115"/>
        </w:rPr>
        <w:t> </w:t>
      </w:r>
      <w:r>
        <w:rPr>
          <w:w w:val="115"/>
        </w:rPr>
        <w:t>any</w:t>
      </w:r>
      <w:r>
        <w:rPr>
          <w:spacing w:val="-23"/>
          <w:w w:val="115"/>
        </w:rPr>
        <w:t> </w:t>
      </w:r>
      <w:r>
        <w:rPr>
          <w:w w:val="115"/>
        </w:rPr>
        <w:t>indebted­ ness</w:t>
      </w:r>
      <w:r>
        <w:rPr>
          <w:spacing w:val="-41"/>
          <w:w w:val="115"/>
        </w:rPr>
        <w:t> </w:t>
      </w:r>
      <w:r>
        <w:rPr>
          <w:w w:val="115"/>
        </w:rPr>
        <w:t>outstanding</w:t>
      </w:r>
      <w:r>
        <w:rPr>
          <w:spacing w:val="-37"/>
          <w:w w:val="115"/>
        </w:rPr>
        <w:t> </w:t>
      </w:r>
      <w:r>
        <w:rPr>
          <w:w w:val="115"/>
        </w:rPr>
        <w:t>at</w:t>
      </w:r>
      <w:r>
        <w:rPr>
          <w:spacing w:val="-41"/>
          <w:w w:val="115"/>
        </w:rPr>
        <w:t> </w:t>
      </w:r>
      <w:r>
        <w:rPr>
          <w:w w:val="115"/>
        </w:rPr>
        <w:t>the</w:t>
      </w:r>
      <w:r>
        <w:rPr>
          <w:spacing w:val="-42"/>
          <w:w w:val="115"/>
        </w:rPr>
        <w:t> </w:t>
      </w:r>
      <w:r>
        <w:rPr>
          <w:w w:val="115"/>
        </w:rPr>
        <w:t>time</w:t>
      </w:r>
      <w:r>
        <w:rPr>
          <w:spacing w:val="-41"/>
          <w:w w:val="115"/>
        </w:rPr>
        <w:t> </w:t>
      </w:r>
      <w:r>
        <w:rPr>
          <w:w w:val="115"/>
        </w:rPr>
        <w:t>of</w:t>
      </w:r>
      <w:r>
        <w:rPr>
          <w:spacing w:val="-36"/>
          <w:w w:val="115"/>
        </w:rPr>
        <w:t> </w:t>
      </w:r>
      <w:r>
        <w:rPr>
          <w:w w:val="115"/>
        </w:rPr>
        <w:t>settlement</w:t>
      </w:r>
      <w:r>
        <w:rPr>
          <w:spacing w:val="-38"/>
          <w:w w:val="115"/>
        </w:rPr>
        <w:t> </w:t>
      </w:r>
      <w:r>
        <w:rPr>
          <w:w w:val="115"/>
        </w:rPr>
        <w:t>of</w:t>
      </w:r>
      <w:r>
        <w:rPr>
          <w:spacing w:val="-35"/>
          <w:w w:val="115"/>
        </w:rPr>
        <w:t> </w:t>
      </w:r>
      <w:r>
        <w:rPr>
          <w:w w:val="115"/>
        </w:rPr>
        <w:t>the</w:t>
      </w:r>
      <w:r>
        <w:rPr>
          <w:spacing w:val="-42"/>
          <w:w w:val="115"/>
        </w:rPr>
        <w:t> </w:t>
      </w:r>
      <w:r>
        <w:rPr>
          <w:w w:val="115"/>
        </w:rPr>
        <w:t>policy,</w:t>
      </w:r>
      <w:r>
        <w:rPr>
          <w:spacing w:val="-37"/>
          <w:w w:val="115"/>
        </w:rPr>
        <w:t> </w:t>
      </w:r>
      <w:r>
        <w:rPr>
          <w:w w:val="115"/>
          <w:sz w:val="21"/>
        </w:rPr>
        <w:t>the</w:t>
      </w:r>
      <w:r>
        <w:rPr>
          <w:spacing w:val="-42"/>
          <w:w w:val="115"/>
          <w:sz w:val="21"/>
        </w:rPr>
        <w:t> </w:t>
      </w:r>
      <w:r>
        <w:rPr>
          <w:w w:val="115"/>
        </w:rPr>
        <w:t>amount of</w:t>
      </w:r>
      <w:r>
        <w:rPr>
          <w:spacing w:val="-31"/>
          <w:w w:val="115"/>
        </w:rPr>
        <w:t> </w:t>
      </w:r>
      <w:r>
        <w:rPr>
          <w:w w:val="115"/>
        </w:rPr>
        <w:t>the</w:t>
      </w:r>
      <w:r>
        <w:rPr>
          <w:spacing w:val="-37"/>
          <w:w w:val="115"/>
        </w:rPr>
        <w:t> </w:t>
      </w:r>
      <w:r>
        <w:rPr>
          <w:w w:val="115"/>
          <w:sz w:val="21"/>
        </w:rPr>
        <w:t>debt</w:t>
      </w:r>
      <w:r>
        <w:rPr>
          <w:spacing w:val="-36"/>
          <w:w w:val="115"/>
          <w:sz w:val="21"/>
        </w:rPr>
        <w:t> </w:t>
      </w:r>
      <w:r>
        <w:rPr>
          <w:w w:val="115"/>
        </w:rPr>
        <w:t>is</w:t>
      </w:r>
      <w:r>
        <w:rPr>
          <w:spacing w:val="-37"/>
          <w:w w:val="115"/>
        </w:rPr>
        <w:t> </w:t>
      </w:r>
      <w:r>
        <w:rPr>
          <w:w w:val="115"/>
        </w:rPr>
        <w:t>deducted</w:t>
      </w:r>
      <w:r>
        <w:rPr>
          <w:spacing w:val="-30"/>
          <w:w w:val="115"/>
        </w:rPr>
        <w:t> </w:t>
      </w:r>
      <w:r>
        <w:rPr>
          <w:w w:val="115"/>
        </w:rPr>
        <w:t>from</w:t>
      </w:r>
      <w:r>
        <w:rPr>
          <w:spacing w:val="-37"/>
          <w:w w:val="115"/>
        </w:rPr>
        <w:t> </w:t>
      </w:r>
      <w:r>
        <w:rPr>
          <w:w w:val="115"/>
        </w:rPr>
        <w:t>the</w:t>
      </w:r>
      <w:r>
        <w:rPr>
          <w:spacing w:val="-38"/>
          <w:w w:val="115"/>
        </w:rPr>
        <w:t> </w:t>
      </w:r>
      <w:r>
        <w:rPr>
          <w:w w:val="115"/>
        </w:rPr>
        <w:t>policy</w:t>
      </w:r>
      <w:r>
        <w:rPr>
          <w:spacing w:val="-30"/>
          <w:w w:val="115"/>
        </w:rPr>
        <w:t> </w:t>
      </w:r>
      <w:r>
        <w:rPr>
          <w:w w:val="115"/>
        </w:rPr>
        <w:t>proceeds.</w:t>
      </w:r>
    </w:p>
    <w:p>
      <w:pPr>
        <w:numPr>
          <w:ilvl w:val="0"/>
          <w:numId w:val="60"/>
        </w:numPr>
        <w:tabs>
          <w:tab w:pos="372" w:val="left" w:leader="none"/>
        </w:tabs>
        <w:spacing w:before="171"/>
        <w:ind w:left="371" w:right="0" w:hanging="245"/>
        <w:jc w:val="both"/>
        <w:rPr>
          <w:b/>
          <w:sz w:val="20"/>
        </w:rPr>
      </w:pPr>
      <w:r>
        <w:rPr>
          <w:b/>
          <w:w w:val="110"/>
          <w:sz w:val="20"/>
        </w:rPr>
        <w:t>Paid-up insurance and ext.ended</w:t>
      </w:r>
      <w:r>
        <w:rPr>
          <w:b/>
          <w:spacing w:val="8"/>
          <w:w w:val="110"/>
          <w:sz w:val="20"/>
        </w:rPr>
        <w:t> </w:t>
      </w:r>
      <w:r>
        <w:rPr>
          <w:b/>
          <w:w w:val="110"/>
          <w:sz w:val="20"/>
        </w:rPr>
        <w:t>in81ll'allce</w:t>
      </w:r>
    </w:p>
    <w:p>
      <w:pPr>
        <w:spacing w:line="240" w:lineRule="auto" w:before="77"/>
        <w:ind w:left="123" w:right="151" w:firstLine="201"/>
        <w:jc w:val="both"/>
        <w:rPr>
          <w:rFonts w:ascii="Arial"/>
          <w:sz w:val="20"/>
        </w:rPr>
      </w:pPr>
      <w:r>
        <w:rPr>
          <w:w w:val="105"/>
          <w:sz w:val="20"/>
        </w:rPr>
        <w:t>One of the options available in place of a cash value </w:t>
      </w:r>
      <w:r>
        <w:rPr>
          <w:rFonts w:ascii="Arial"/>
          <w:w w:val="105"/>
          <w:sz w:val="19"/>
        </w:rPr>
        <w:t>is </w:t>
      </w:r>
      <w:r>
        <w:rPr>
          <w:i/>
          <w:w w:val="105"/>
          <w:sz w:val="21"/>
        </w:rPr>
        <w:t>reduced </w:t>
      </w:r>
      <w:r>
        <w:rPr>
          <w:i/>
          <w:w w:val="105"/>
          <w:sz w:val="20"/>
        </w:rPr>
        <w:t>paid-up insurance. </w:t>
      </w:r>
      <w:r>
        <w:rPr>
          <w:w w:val="105"/>
          <w:sz w:val="20"/>
        </w:rPr>
        <w:t>Under this option, the insurance </w:t>
      </w:r>
      <w:r>
        <w:rPr>
          <w:rFonts w:ascii="Arial"/>
          <w:w w:val="105"/>
          <w:sz w:val="19"/>
        </w:rPr>
        <w:t>is </w:t>
      </w:r>
      <w:r>
        <w:rPr>
          <w:w w:val="105"/>
          <w:sz w:val="20"/>
        </w:rPr>
        <w:t>reduced </w:t>
      </w:r>
      <w:r>
        <w:rPr>
          <w:w w:val="105"/>
          <w:sz w:val="21"/>
        </w:rPr>
        <w:t>to </w:t>
      </w:r>
      <w:r>
        <w:rPr>
          <w:w w:val="105"/>
          <w:sz w:val="20"/>
        </w:rPr>
        <w:t>such an a.mount </w:t>
      </w:r>
      <w:r>
        <w:rPr>
          <w:w w:val="105"/>
          <w:sz w:val="21"/>
        </w:rPr>
        <w:t>as the </w:t>
      </w:r>
      <w:r>
        <w:rPr>
          <w:w w:val="105"/>
          <w:sz w:val="20"/>
        </w:rPr>
        <w:t>cash value will purehase on a </w:t>
      </w:r>
      <w:r>
        <w:rPr>
          <w:w w:val="105"/>
          <w:sz w:val="21"/>
        </w:rPr>
        <w:t>net </w:t>
      </w:r>
      <w:r>
        <w:rPr>
          <w:w w:val="105"/>
          <w:sz w:val="20"/>
        </w:rPr>
        <w:t>single premium </w:t>
      </w:r>
      <w:r>
        <w:rPr>
          <w:w w:val="105"/>
          <w:sz w:val="21"/>
        </w:rPr>
        <w:t>ha.sis, </w:t>
      </w:r>
      <w:r>
        <w:rPr>
          <w:w w:val="105"/>
          <w:sz w:val="20"/>
        </w:rPr>
        <w:t>the calculation being </w:t>
      </w:r>
      <w:r>
        <w:rPr>
          <w:w w:val="105"/>
          <w:sz w:val="21"/>
        </w:rPr>
        <w:t>made on the mortality </w:t>
      </w:r>
      <w:r>
        <w:rPr>
          <w:w w:val="105"/>
          <w:sz w:val="20"/>
        </w:rPr>
        <w:t>and </w:t>
      </w:r>
      <w:r>
        <w:rPr>
          <w:w w:val="105"/>
          <w:sz w:val="21"/>
        </w:rPr>
        <w:t>interest </w:t>
      </w:r>
      <w:r>
        <w:rPr>
          <w:w w:val="105"/>
          <w:sz w:val="20"/>
        </w:rPr>
        <w:t>assumptions specified in the policy. With ordinary life insurance, for example, the amount of  paid-up  insurance provided at the end of </w:t>
      </w:r>
      <w:r>
        <w:rPr>
          <w:rFonts w:ascii="Arial"/>
          <w:i/>
          <w:w w:val="105"/>
          <w:sz w:val="17"/>
        </w:rPr>
        <w:t>t </w:t>
      </w:r>
      <w:r>
        <w:rPr>
          <w:w w:val="105"/>
          <w:sz w:val="20"/>
        </w:rPr>
        <w:t>years by the cash value of </w:t>
      </w:r>
      <w:r>
        <w:rPr>
          <w:i/>
          <w:w w:val="105"/>
          <w:sz w:val="22"/>
        </w:rPr>
        <w:t>,CV. </w:t>
      </w:r>
      <w:r>
        <w:rPr>
          <w:w w:val="105"/>
          <w:sz w:val="21"/>
        </w:rPr>
        <w:t>will </w:t>
      </w:r>
      <w:r>
        <w:rPr>
          <w:rFonts w:ascii="Arial"/>
          <w:w w:val="105"/>
          <w:sz w:val="20"/>
        </w:rPr>
        <w:t>be</w:t>
      </w:r>
    </w:p>
    <w:p>
      <w:pPr>
        <w:pStyle w:val="Heading4"/>
        <w:spacing w:line="359" w:lineRule="exact" w:before="5"/>
        <w:ind w:left="523" w:right="543"/>
        <w:jc w:val="center"/>
        <w:rPr>
          <w:i/>
        </w:rPr>
      </w:pPr>
      <w:r>
        <w:rPr>
          <w:i/>
          <w:spacing w:val="-54"/>
          <w:w w:val="126"/>
        </w:rPr>
        <w:t>.</w:t>
      </w:r>
      <w:r>
        <w:rPr>
          <w:i/>
          <w:w w:val="91"/>
        </w:rPr>
        <w:t>o</w:t>
      </w:r>
      <w:r>
        <w:rPr>
          <w:i/>
          <w:spacing w:val="-15"/>
          <w:w w:val="91"/>
        </w:rPr>
        <w:t>v</w:t>
      </w:r>
      <w:r>
        <w:rPr>
          <w:i/>
          <w:w w:val="212"/>
        </w:rPr>
        <w:t>.</w:t>
      </w:r>
    </w:p>
    <w:p>
      <w:pPr>
        <w:spacing w:line="222" w:lineRule="exact" w:before="0"/>
        <w:ind w:left="515" w:right="543" w:firstLine="0"/>
        <w:jc w:val="center"/>
        <w:rPr>
          <w:b/>
          <w:i/>
          <w:sz w:val="22"/>
        </w:rPr>
      </w:pPr>
      <w:r>
        <w:rPr>
          <w:b/>
          <w:i/>
          <w:sz w:val="22"/>
          <w:u w:val="thick"/>
        </w:rPr>
        <w:t>As+, </w:t>
      </w:r>
      <w:r>
        <w:rPr>
          <w:b/>
          <w:i/>
          <w:sz w:val="22"/>
        </w:rPr>
        <w:t>.</w:t>
      </w:r>
    </w:p>
    <w:p>
      <w:pPr>
        <w:pStyle w:val="BodyText"/>
        <w:spacing w:line="247" w:lineRule="auto" w:before="134"/>
        <w:ind w:left="115" w:right="158" w:firstLine="7"/>
        <w:jc w:val="both"/>
      </w:pPr>
      <w:r>
        <w:rPr>
          <w:rFonts w:ascii="Arial"/>
          <w:w w:val="120"/>
        </w:rPr>
        <w:t>If </w:t>
      </w:r>
      <w:r>
        <w:rPr>
          <w:w w:val="105"/>
          <w:sz w:val="21"/>
        </w:rPr>
        <w:t>there </w:t>
      </w:r>
      <w:r>
        <w:rPr>
          <w:w w:val="105"/>
        </w:rPr>
        <w:t>is </w:t>
      </w:r>
      <w:r>
        <w:rPr>
          <w:w w:val="105"/>
          <w:sz w:val="21"/>
        </w:rPr>
        <w:t>a loan a.gainst the </w:t>
      </w:r>
      <w:r>
        <w:rPr>
          <w:w w:val="105"/>
        </w:rPr>
        <w:t>policy when the paid-up option is elected, the amount of the cash value </w:t>
      </w:r>
      <w:r>
        <w:rPr>
          <w:rFonts w:ascii="Arial"/>
          <w:w w:val="105"/>
          <w:sz w:val="19"/>
        </w:rPr>
        <w:t>is </w:t>
      </w:r>
      <w:r>
        <w:rPr>
          <w:w w:val="105"/>
        </w:rPr>
        <w:t>reduced by the amount of the indebtedness before being applied </w:t>
      </w:r>
      <w:r>
        <w:rPr>
          <w:w w:val="105"/>
          <w:sz w:val="21"/>
        </w:rPr>
        <w:t>to </w:t>
      </w:r>
      <w:r>
        <w:rPr>
          <w:w w:val="105"/>
        </w:rPr>
        <w:t>purchase the paid-up insurance. The paid-up policy </w:t>
      </w:r>
      <w:r>
        <w:rPr>
          <w:rFonts w:ascii="Arial"/>
          <w:w w:val="105"/>
        </w:rPr>
        <w:t>is </w:t>
      </w:r>
      <w:r>
        <w:rPr>
          <w:w w:val="105"/>
        </w:rPr>
        <w:t>then free of </w:t>
      </w:r>
      <w:r>
        <w:rPr>
          <w:spacing w:val="47"/>
          <w:w w:val="105"/>
        </w:rPr>
        <w:t> </w:t>
      </w:r>
      <w:r>
        <w:rPr>
          <w:w w:val="105"/>
        </w:rPr>
        <w:t>indebtedness.</w:t>
      </w:r>
    </w:p>
    <w:p>
      <w:pPr>
        <w:pStyle w:val="BodyText"/>
        <w:spacing w:line="235" w:lineRule="auto" w:before="8"/>
        <w:ind w:left="112" w:right="166" w:firstLine="201"/>
        <w:jc w:val="both"/>
      </w:pPr>
      <w:r>
        <w:rPr>
          <w:w w:val="105"/>
        </w:rPr>
        <w:t>The amount of paid-up insurance that can </w:t>
      </w:r>
      <w:r>
        <w:rPr>
          <w:rFonts w:ascii="Arial" w:hAnsi="Arial"/>
          <w:w w:val="105"/>
          <w:sz w:val="19"/>
        </w:rPr>
        <w:t>be </w:t>
      </w:r>
      <w:r>
        <w:rPr>
          <w:w w:val="105"/>
        </w:rPr>
        <w:t>provided on an ordinary </w:t>
      </w:r>
      <w:r>
        <w:rPr>
          <w:w w:val="105"/>
          <w:sz w:val="21"/>
        </w:rPr>
        <w:t>lif</w:t>
      </w:r>
      <w:r>
        <w:rPr>
          <w:w w:val="105"/>
        </w:rPr>
        <w:t>e policy at duration </w:t>
      </w:r>
      <w:r>
        <w:rPr>
          <w:i/>
          <w:w w:val="105"/>
          <w:sz w:val="21"/>
        </w:rPr>
        <w:t>t </w:t>
      </w:r>
      <w:r>
        <w:rPr>
          <w:w w:val="105"/>
        </w:rPr>
        <w:t>by the full net level premium re­ serve  ,</w:t>
      </w:r>
      <w:r>
        <w:rPr>
          <w:i/>
          <w:w w:val="105"/>
          <w:sz w:val="22"/>
        </w:rPr>
        <w:t>V.</w:t>
      </w:r>
      <w:r>
        <w:rPr>
          <w:rFonts w:ascii="Arial" w:hAnsi="Arial"/>
          <w:w w:val="105"/>
          <w:sz w:val="19"/>
        </w:rPr>
        <w:t>is </w:t>
      </w:r>
      <w:r>
        <w:rPr>
          <w:w w:val="105"/>
        </w:rPr>
        <w:t>denoted  by   ,</w:t>
      </w:r>
      <w:r>
        <w:rPr>
          <w:i/>
          <w:w w:val="105"/>
          <w:sz w:val="22"/>
        </w:rPr>
        <w:t>W.</w:t>
      </w:r>
      <w:r>
        <w:rPr>
          <w:w w:val="105"/>
          <w:sz w:val="22"/>
        </w:rPr>
        <w:t>, </w:t>
      </w:r>
      <w:r>
        <w:rPr>
          <w:w w:val="105"/>
        </w:rPr>
        <w:t>and</w:t>
      </w:r>
    </w:p>
    <w:p>
      <w:pPr>
        <w:spacing w:after="0" w:line="235" w:lineRule="auto"/>
        <w:jc w:val="both"/>
        <w:sectPr>
          <w:type w:val="continuous"/>
          <w:pgSz w:w="7200" w:h="11340"/>
          <w:pgMar w:top="1100" w:bottom="0" w:left="640" w:right="520"/>
        </w:sectPr>
      </w:pPr>
    </w:p>
    <w:p>
      <w:pPr>
        <w:spacing w:line="334" w:lineRule="exact" w:before="114"/>
        <w:ind w:left="0" w:right="0" w:firstLine="0"/>
        <w:jc w:val="right"/>
        <w:rPr>
          <w:b/>
          <w:i/>
          <w:sz w:val="31"/>
        </w:rPr>
      </w:pPr>
      <w:r>
        <w:rPr/>
        <w:pict>
          <v:line style="position:absolute;mso-position-horizontal-relative:page;mso-position-vertical-relative:paragraph;z-index:-724240" from="208.080002pt,20.980707pt" to="209.700002pt,20.980707pt" stroked="true" strokeweight="1.62pt" strokecolor="#000000">
            <w10:wrap type="none"/>
          </v:line>
        </w:pict>
      </w:r>
      <w:r>
        <w:rPr>
          <w:b/>
          <w:i/>
          <w:sz w:val="31"/>
        </w:rPr>
        <w:t>.w. </w:t>
      </w:r>
      <w:r>
        <w:rPr>
          <w:sz w:val="26"/>
        </w:rPr>
        <w:t>=  </w:t>
      </w:r>
      <w:r>
        <w:rPr>
          <w:b/>
          <w:i/>
          <w:sz w:val="31"/>
        </w:rPr>
        <w:t>.v. .</w:t>
      </w:r>
    </w:p>
    <w:p>
      <w:pPr>
        <w:spacing w:line="207" w:lineRule="exact" w:before="0"/>
        <w:ind w:left="0" w:right="120" w:firstLine="0"/>
        <w:jc w:val="right"/>
        <w:rPr>
          <w:rFonts w:ascii="Arial" w:hAnsi="Arial"/>
          <w:b/>
          <w:i/>
          <w:sz w:val="20"/>
        </w:rPr>
      </w:pPr>
      <w:r>
        <w:rPr>
          <w:rFonts w:ascii="Arial" w:hAnsi="Arial"/>
          <w:b/>
          <w:i/>
          <w:w w:val="90"/>
          <w:sz w:val="20"/>
        </w:rPr>
        <w:t>A-+•</w:t>
      </w:r>
    </w:p>
    <w:p>
      <w:pPr>
        <w:pStyle w:val="BodyText"/>
        <w:spacing w:before="3"/>
        <w:rPr>
          <w:rFonts w:ascii="Arial"/>
          <w:b/>
          <w:i/>
          <w:sz w:val="21"/>
        </w:rPr>
      </w:pPr>
      <w:r>
        <w:rPr/>
        <w:br w:type="column"/>
      </w:r>
      <w:r>
        <w:rPr>
          <w:rFonts w:ascii="Arial"/>
          <w:b/>
          <w:i/>
          <w:sz w:val="21"/>
        </w:rPr>
      </w:r>
    </w:p>
    <w:p>
      <w:pPr>
        <w:pStyle w:val="BodyText"/>
        <w:spacing w:before="1"/>
        <w:ind w:right="177"/>
        <w:jc w:val="right"/>
      </w:pPr>
      <w:r>
        <w:rPr>
          <w:w w:val="110"/>
        </w:rPr>
        <w:t>(6.13)</w:t>
      </w:r>
    </w:p>
    <w:p>
      <w:pPr>
        <w:spacing w:after="0"/>
        <w:jc w:val="right"/>
        <w:sectPr>
          <w:type w:val="continuous"/>
          <w:pgSz w:w="7200" w:h="11340"/>
          <w:pgMar w:top="1100" w:bottom="0" w:left="640" w:right="520"/>
          <w:cols w:num="2" w:equalWidth="0">
            <w:col w:w="3571" w:space="40"/>
            <w:col w:w="2429"/>
          </w:cols>
        </w:sectPr>
      </w:pPr>
    </w:p>
    <w:p>
      <w:pPr>
        <w:tabs>
          <w:tab w:pos="1422" w:val="left" w:leader="none"/>
          <w:tab w:pos="5901" w:val="right" w:leader="none"/>
        </w:tabs>
        <w:spacing w:before="47"/>
        <w:ind w:left="123" w:right="0" w:firstLine="0"/>
        <w:jc w:val="left"/>
        <w:rPr>
          <w:sz w:val="20"/>
        </w:rPr>
      </w:pPr>
      <w:r>
        <w:rPr>
          <w:w w:val="105"/>
          <w:sz w:val="15"/>
        </w:rPr>
        <w:t>SEC.</w:t>
      </w:r>
      <w:r>
        <w:rPr>
          <w:spacing w:val="24"/>
          <w:w w:val="105"/>
          <w:sz w:val="15"/>
        </w:rPr>
        <w:t> </w:t>
      </w:r>
      <w:r>
        <w:rPr>
          <w:rFonts w:ascii="Arial"/>
          <w:w w:val="105"/>
          <w:sz w:val="20"/>
        </w:rPr>
        <w:t>6)</w:t>
        <w:tab/>
      </w:r>
      <w:r>
        <w:rPr>
          <w:b/>
          <w:w w:val="105"/>
          <w:position w:val="1"/>
          <w:sz w:val="15"/>
        </w:rPr>
        <w:t>PAID-UP   ANO </w:t>
      </w:r>
      <w:r>
        <w:rPr>
          <w:b/>
          <w:spacing w:val="27"/>
          <w:w w:val="105"/>
          <w:position w:val="1"/>
          <w:sz w:val="15"/>
        </w:rPr>
        <w:t> </w:t>
      </w:r>
      <w:r>
        <w:rPr>
          <w:b/>
          <w:w w:val="105"/>
          <w:position w:val="1"/>
          <w:sz w:val="15"/>
        </w:rPr>
        <w:t>EXTENDED  </w:t>
      </w:r>
      <w:r>
        <w:rPr>
          <w:b/>
          <w:spacing w:val="2"/>
          <w:w w:val="105"/>
          <w:position w:val="1"/>
          <w:sz w:val="15"/>
        </w:rPr>
        <w:t> </w:t>
      </w:r>
      <w:r>
        <w:rPr>
          <w:w w:val="105"/>
          <w:position w:val="1"/>
          <w:sz w:val="15"/>
        </w:rPr>
        <w:t>INSURANCE</w:t>
      </w:r>
      <w:r>
        <w:rPr>
          <w:w w:val="105"/>
          <w:sz w:val="20"/>
        </w:rPr>
        <w:tab/>
      </w:r>
      <w:r>
        <w:rPr>
          <w:spacing w:val="-16"/>
          <w:w w:val="105"/>
          <w:sz w:val="20"/>
        </w:rPr>
        <w:t>143</w:t>
      </w:r>
    </w:p>
    <w:p>
      <w:pPr>
        <w:spacing w:after="0"/>
        <w:jc w:val="left"/>
        <w:rPr>
          <w:sz w:val="20"/>
        </w:rPr>
        <w:sectPr>
          <w:pgSz w:w="7200" w:h="11340"/>
          <w:pgMar w:top="500" w:bottom="280" w:left="640" w:right="540"/>
        </w:sectPr>
      </w:pPr>
    </w:p>
    <w:p>
      <w:pPr>
        <w:pStyle w:val="BodyText"/>
        <w:spacing w:before="7"/>
        <w:rPr>
          <w:sz w:val="21"/>
        </w:rPr>
      </w:pPr>
    </w:p>
    <w:p>
      <w:pPr>
        <w:pStyle w:val="BodyText"/>
        <w:ind w:left="123" w:right="-17"/>
      </w:pPr>
      <w:r>
        <w:rPr>
          <w:w w:val="105"/>
        </w:rPr>
        <w:t>This can </w:t>
      </w:r>
      <w:r>
        <w:rPr>
          <w:rFonts w:ascii="Arial"/>
          <w:w w:val="105"/>
          <w:sz w:val="18"/>
        </w:rPr>
        <w:t>be </w:t>
      </w:r>
      <w:r>
        <w:rPr>
          <w:w w:val="105"/>
        </w:rPr>
        <w:t>expressed  as</w:t>
      </w:r>
    </w:p>
    <w:p>
      <w:pPr>
        <w:spacing w:line="309" w:lineRule="exact" w:before="122"/>
        <w:ind w:left="2078" w:right="-17" w:firstLine="0"/>
        <w:jc w:val="left"/>
        <w:rPr>
          <w:i/>
          <w:sz w:val="22"/>
        </w:rPr>
      </w:pPr>
      <w:r>
        <w:rPr/>
        <w:pict>
          <v:line style="position:absolute;mso-position-horizontal-relative:page;mso-position-vertical-relative:paragraph;z-index:-724192" from="208.080002pt,16.639519pt" to="211.140002pt,16.639519pt" stroked="true" strokeweight=".54pt" strokecolor="#000000">
            <w10:wrap type="none"/>
          </v:line>
        </w:pict>
      </w:r>
      <w:r>
        <w:rPr>
          <w:rFonts w:ascii="Arial" w:hAnsi="Arial"/>
          <w:i/>
          <w:position w:val="-10"/>
          <w:sz w:val="20"/>
        </w:rPr>
        <w:t>W  </w:t>
      </w:r>
      <w:r>
        <w:rPr>
          <w:rFonts w:ascii="Arial" w:hAnsi="Arial"/>
          <w:w w:val="130"/>
          <w:sz w:val="20"/>
        </w:rPr>
        <w:t>_ </w:t>
      </w:r>
      <w:r>
        <w:rPr>
          <w:rFonts w:ascii="Arial" w:hAnsi="Arial"/>
          <w:i/>
          <w:sz w:val="20"/>
        </w:rPr>
        <w:t>As+e </w:t>
      </w:r>
      <w:r>
        <w:rPr>
          <w:rFonts w:ascii="Arial" w:hAnsi="Arial"/>
          <w:w w:val="245"/>
          <w:sz w:val="20"/>
        </w:rPr>
        <w:t>-</w:t>
      </w:r>
      <w:r>
        <w:rPr>
          <w:rFonts w:ascii="Arial" w:hAnsi="Arial"/>
          <w:spacing w:val="-74"/>
          <w:w w:val="245"/>
          <w:sz w:val="20"/>
        </w:rPr>
        <w:t> </w:t>
      </w:r>
      <w:r>
        <w:rPr>
          <w:i/>
          <w:sz w:val="22"/>
        </w:rPr>
        <w:t>Ps·as+,</w:t>
      </w:r>
    </w:p>
    <w:p>
      <w:pPr>
        <w:tabs>
          <w:tab w:pos="1133" w:val="left" w:leader="none"/>
        </w:tabs>
        <w:spacing w:line="199" w:lineRule="exact" w:before="0"/>
        <w:ind w:left="0" w:right="502" w:firstLine="0"/>
        <w:jc w:val="right"/>
        <w:rPr>
          <w:b/>
          <w:i/>
          <w:sz w:val="17"/>
        </w:rPr>
      </w:pPr>
      <w:r>
        <w:rPr>
          <w:w w:val="310"/>
          <w:position w:val="9"/>
          <w:sz w:val="13"/>
        </w:rPr>
        <w:t>'</w:t>
      </w:r>
      <w:r>
        <w:rPr>
          <w:spacing w:val="70"/>
          <w:w w:val="310"/>
          <w:position w:val="9"/>
          <w:sz w:val="13"/>
        </w:rPr>
        <w:t> </w:t>
      </w:r>
      <w:r>
        <w:rPr>
          <w:b/>
          <w:w w:val="125"/>
          <w:position w:val="9"/>
          <w:sz w:val="13"/>
        </w:rPr>
        <w:t>a </w:t>
      </w:r>
      <w:r>
        <w:rPr>
          <w:b/>
          <w:spacing w:val="21"/>
          <w:w w:val="125"/>
          <w:position w:val="9"/>
          <w:sz w:val="13"/>
        </w:rPr>
        <w:t> </w:t>
      </w:r>
      <w:r>
        <w:rPr>
          <w:w w:val="390"/>
          <w:position w:val="9"/>
          <w:sz w:val="13"/>
        </w:rPr>
        <w:t>-</w:t>
        <w:tab/>
      </w:r>
      <w:r>
        <w:rPr>
          <w:b/>
          <w:i/>
          <w:spacing w:val="-1"/>
          <w:w w:val="110"/>
          <w:sz w:val="17"/>
        </w:rPr>
        <w:t>As+'</w:t>
      </w:r>
    </w:p>
    <w:p>
      <w:pPr>
        <w:spacing w:line="282" w:lineRule="exact" w:before="110"/>
        <w:ind w:left="2434" w:right="-17" w:firstLine="0"/>
        <w:jc w:val="left"/>
        <w:rPr>
          <w:sz w:val="20"/>
        </w:rPr>
      </w:pPr>
      <w:r>
        <w:rPr>
          <w:w w:val="125"/>
          <w:sz w:val="24"/>
        </w:rPr>
        <w:t>= </w:t>
      </w:r>
      <w:r>
        <w:rPr>
          <w:w w:val="125"/>
          <w:position w:val="-7"/>
          <w:sz w:val="20"/>
        </w:rPr>
        <w:t>1 </w:t>
      </w:r>
      <w:r>
        <w:rPr>
          <w:w w:val="125"/>
          <w:sz w:val="20"/>
        </w:rPr>
        <w:t>_ </w:t>
      </w:r>
      <w:r>
        <w:rPr>
          <w:spacing w:val="57"/>
          <w:w w:val="125"/>
          <w:sz w:val="20"/>
        </w:rPr>
        <w:t> </w:t>
      </w:r>
      <w:r>
        <w:rPr>
          <w:spacing w:val="-10"/>
          <w:w w:val="125"/>
          <w:sz w:val="20"/>
          <w:u w:val="single"/>
        </w:rPr>
        <w:t>Ps</w:t>
      </w:r>
    </w:p>
    <w:p>
      <w:pPr>
        <w:spacing w:line="188" w:lineRule="exact" w:before="0"/>
        <w:ind w:left="0" w:right="441" w:firstLine="0"/>
        <w:jc w:val="right"/>
        <w:rPr>
          <w:sz w:val="22"/>
        </w:rPr>
      </w:pPr>
      <w:r>
        <w:rPr>
          <w:sz w:val="22"/>
        </w:rPr>
        <w:t>Pz+,·</w:t>
      </w:r>
    </w:p>
    <w:p>
      <w:pPr>
        <w:pStyle w:val="BodyText"/>
      </w:pPr>
      <w:r>
        <w:rPr/>
        <w:br w:type="column"/>
      </w:r>
      <w:r>
        <w:rPr/>
      </w:r>
    </w:p>
    <w:p>
      <w:pPr>
        <w:pStyle w:val="BodyText"/>
      </w:pPr>
    </w:p>
    <w:p>
      <w:pPr>
        <w:pStyle w:val="BodyText"/>
      </w:pPr>
    </w:p>
    <w:p>
      <w:pPr>
        <w:pStyle w:val="BodyText"/>
      </w:pPr>
    </w:p>
    <w:p>
      <w:pPr>
        <w:pStyle w:val="BodyText"/>
      </w:pPr>
    </w:p>
    <w:p>
      <w:pPr>
        <w:pStyle w:val="BodyText"/>
        <w:spacing w:before="179"/>
        <w:ind w:left="123"/>
      </w:pPr>
      <w:r>
        <w:rPr>
          <w:w w:val="115"/>
        </w:rPr>
        <w:t>(6.14)</w:t>
      </w:r>
    </w:p>
    <w:p>
      <w:pPr>
        <w:spacing w:after="0"/>
        <w:sectPr>
          <w:type w:val="continuous"/>
          <w:pgSz w:w="7200" w:h="11340"/>
          <w:pgMar w:top="1100" w:bottom="0" w:left="640" w:right="540"/>
          <w:cols w:num="2" w:equalWidth="0">
            <w:col w:w="4015" w:space="1234"/>
            <w:col w:w="771"/>
          </w:cols>
        </w:sectPr>
      </w:pPr>
    </w:p>
    <w:p>
      <w:pPr>
        <w:pStyle w:val="BodyText"/>
        <w:spacing w:line="252" w:lineRule="auto" w:before="133"/>
        <w:ind w:left="126" w:right="99"/>
      </w:pPr>
      <w:r>
        <w:rPr>
          <w:w w:val="105"/>
        </w:rPr>
        <w:t>Formula (6.14) can be obtained by general reasoning. After </w:t>
      </w:r>
      <w:r>
        <w:rPr>
          <w:rFonts w:ascii="Arial" w:hAnsi="Arial"/>
          <w:i/>
          <w:w w:val="105"/>
          <w:sz w:val="18"/>
        </w:rPr>
        <w:t>t </w:t>
      </w:r>
      <w:r>
        <w:rPr>
          <w:w w:val="105"/>
        </w:rPr>
        <w:t>years the net  annual  premium  for an  insurance  of  1 effected  at  the at­</w:t>
      </w:r>
    </w:p>
    <w:p>
      <w:pPr>
        <w:pStyle w:val="BodyText"/>
        <w:spacing w:line="194" w:lineRule="exact"/>
        <w:ind w:left="126"/>
      </w:pPr>
      <w:r>
        <w:rPr>
          <w:w w:val="110"/>
        </w:rPr>
        <w:t>tained age is </w:t>
      </w:r>
      <w:r>
        <w:rPr>
          <w:i/>
          <w:w w:val="110"/>
          <w:sz w:val="18"/>
        </w:rPr>
        <w:t>Pz+t </w:t>
      </w:r>
      <w:r>
        <w:rPr>
          <w:i/>
          <w:w w:val="150"/>
          <w:sz w:val="18"/>
        </w:rPr>
        <w:t>. </w:t>
      </w:r>
      <w:r>
        <w:rPr>
          <w:rFonts w:ascii="Arial"/>
          <w:w w:val="110"/>
        </w:rPr>
        <w:t>An </w:t>
      </w:r>
      <w:r>
        <w:rPr>
          <w:w w:val="110"/>
        </w:rPr>
        <w:t>annual premium of </w:t>
      </w:r>
      <w:r>
        <w:rPr>
          <w:w w:val="110"/>
          <w:sz w:val="22"/>
        </w:rPr>
        <w:t>Ps </w:t>
      </w:r>
      <w:r>
        <w:rPr>
          <w:w w:val="110"/>
        </w:rPr>
        <w:t>payable at that</w:t>
      </w:r>
      <w:r>
        <w:rPr>
          <w:spacing w:val="53"/>
          <w:w w:val="110"/>
        </w:rPr>
        <w:t> </w:t>
      </w:r>
      <w:r>
        <w:rPr>
          <w:w w:val="110"/>
        </w:rPr>
        <w:t>age</w:t>
      </w:r>
    </w:p>
    <w:p>
      <w:pPr>
        <w:spacing w:line="180" w:lineRule="exact" w:before="0"/>
        <w:ind w:left="3996" w:right="0" w:firstLine="0"/>
        <w:jc w:val="left"/>
        <w:rPr>
          <w:i/>
          <w:sz w:val="22"/>
        </w:rPr>
      </w:pPr>
      <w:r>
        <w:rPr>
          <w:i/>
          <w:w w:val="107"/>
          <w:sz w:val="22"/>
        </w:rPr>
        <w:t>p</w:t>
      </w:r>
    </w:p>
    <w:p>
      <w:pPr>
        <w:spacing w:line="208" w:lineRule="exact" w:before="0"/>
        <w:ind w:left="137" w:right="0" w:firstLine="0"/>
        <w:jc w:val="left"/>
        <w:rPr>
          <w:sz w:val="20"/>
        </w:rPr>
      </w:pPr>
      <w:r>
        <w:rPr>
          <w:rFonts w:ascii="Arial" w:hAnsi="Arial"/>
          <w:w w:val="105"/>
          <w:sz w:val="19"/>
        </w:rPr>
        <w:t>is </w:t>
      </w:r>
      <w:r>
        <w:rPr>
          <w:w w:val="105"/>
          <w:sz w:val="20"/>
        </w:rPr>
        <w:t>sufficient  to  provide  insurance  of  only  </w:t>
      </w:r>
      <w:r>
        <w:rPr>
          <w:i/>
          <w:w w:val="105"/>
          <w:sz w:val="22"/>
        </w:rPr>
        <w:t>p  </w:t>
      </w:r>
      <w:r>
        <w:rPr>
          <w:w w:val="105"/>
          <w:sz w:val="12"/>
        </w:rPr>
        <w:t>z     •   </w:t>
      </w:r>
      <w:r>
        <w:rPr>
          <w:w w:val="105"/>
          <w:sz w:val="20"/>
        </w:rPr>
        <w:t>Since  </w:t>
      </w:r>
      <w:r>
        <w:rPr>
          <w:i/>
          <w:w w:val="105"/>
          <w:sz w:val="20"/>
        </w:rPr>
        <w:t>P</w:t>
      </w:r>
      <w:r>
        <w:rPr>
          <w:i/>
          <w:w w:val="105"/>
          <w:sz w:val="14"/>
        </w:rPr>
        <w:t>z   </w:t>
      </w:r>
      <w:r>
        <w:rPr>
          <w:w w:val="105"/>
          <w:sz w:val="20"/>
        </w:rPr>
        <w:t>is the</w:t>
      </w:r>
    </w:p>
    <w:p>
      <w:pPr>
        <w:spacing w:line="145" w:lineRule="exact" w:before="0"/>
        <w:ind w:left="0" w:right="1729" w:firstLine="0"/>
        <w:jc w:val="right"/>
        <w:rPr>
          <w:b/>
          <w:i/>
          <w:sz w:val="14"/>
        </w:rPr>
      </w:pPr>
      <w:r>
        <w:rPr>
          <w:b/>
          <w:i/>
          <w:w w:val="125"/>
          <w:sz w:val="14"/>
        </w:rPr>
        <w:t>z+t</w:t>
      </w:r>
    </w:p>
    <w:p>
      <w:pPr>
        <w:pStyle w:val="BodyText"/>
        <w:spacing w:line="252" w:lineRule="auto"/>
        <w:ind w:left="123" w:right="109"/>
      </w:pPr>
      <w:r>
        <w:rPr>
          <w:w w:val="105"/>
        </w:rPr>
        <w:t>amount of premium actually being paid for a policy providi.ng in­ surance of  1, the amount  of  paid-up insurance  provided  by the re­</w:t>
      </w:r>
    </w:p>
    <w:p>
      <w:pPr>
        <w:spacing w:after="0" w:line="252" w:lineRule="auto"/>
        <w:sectPr>
          <w:type w:val="continuous"/>
          <w:pgSz w:w="7200" w:h="11340"/>
          <w:pgMar w:top="1100" w:bottom="0" w:left="640" w:right="540"/>
        </w:sectPr>
      </w:pPr>
    </w:p>
    <w:p>
      <w:pPr>
        <w:pStyle w:val="BodyText"/>
        <w:spacing w:before="122"/>
        <w:ind w:left="126" w:right="-15"/>
      </w:pPr>
      <w:r>
        <w:rPr>
          <w:w w:val="115"/>
        </w:rPr>
        <w:t>serve must be the balance, or 1</w:t>
      </w:r>
      <w:r>
        <w:rPr>
          <w:spacing w:val="-40"/>
          <w:w w:val="115"/>
        </w:rPr>
        <w:t> </w:t>
      </w:r>
      <w:r>
        <w:rPr>
          <w:w w:val="245"/>
        </w:rPr>
        <w:t>-</w:t>
      </w:r>
    </w:p>
    <w:p>
      <w:pPr>
        <w:spacing w:line="183" w:lineRule="exact" w:before="0"/>
        <w:ind w:left="82" w:right="0" w:firstLine="0"/>
        <w:jc w:val="left"/>
        <w:rPr>
          <w:rFonts w:ascii="Courier New"/>
          <w:sz w:val="25"/>
        </w:rPr>
      </w:pPr>
      <w:r>
        <w:rPr/>
        <w:br w:type="column"/>
      </w:r>
      <w:r>
        <w:rPr>
          <w:rFonts w:ascii="Courier New"/>
          <w:sz w:val="25"/>
        </w:rPr>
        <w:t>Pz</w:t>
      </w:r>
    </w:p>
    <w:p>
      <w:pPr>
        <w:spacing w:line="161" w:lineRule="exact" w:before="0"/>
        <w:ind w:left="0" w:right="2260" w:firstLine="0"/>
        <w:jc w:val="center"/>
        <w:rPr>
          <w:rFonts w:ascii="Arial"/>
          <w:sz w:val="20"/>
        </w:rPr>
      </w:pPr>
      <w:r>
        <w:rPr/>
        <w:pict>
          <v:shape style="position:absolute;margin-left:190.539597pt;margin-top:-1.780035pt;width:1.7pt;height:10pt;mso-position-horizontal-relative:page;mso-position-vertical-relative:paragraph;z-index:11920" type="#_x0000_t202" filled="false" stroked="false">
            <v:textbox inset="0,0,0,0">
              <w:txbxContent>
                <w:p>
                  <w:pPr>
                    <w:spacing w:line="200" w:lineRule="exact" w:before="0"/>
                    <w:ind w:left="0" w:right="0" w:firstLine="0"/>
                    <w:jc w:val="left"/>
                    <w:rPr>
                      <w:rFonts w:ascii="Arial"/>
                      <w:i/>
                      <w:sz w:val="20"/>
                    </w:rPr>
                  </w:pPr>
                  <w:r>
                    <w:rPr>
                      <w:rFonts w:ascii="Arial"/>
                      <w:i/>
                      <w:spacing w:val="-179"/>
                      <w:w w:val="129"/>
                      <w:sz w:val="20"/>
                    </w:rPr>
                    <w:t>p</w:t>
                  </w:r>
                </w:p>
              </w:txbxContent>
            </v:textbox>
            <w10:wrap type="none"/>
          </v:shape>
        </w:pict>
      </w:r>
      <w:r>
        <w:rPr>
          <w:rFonts w:ascii="Arial"/>
          <w:i/>
          <w:w w:val="565"/>
          <w:sz w:val="20"/>
        </w:rPr>
        <w:t>-</w:t>
      </w:r>
      <w:r>
        <w:rPr>
          <w:rFonts w:ascii="Arial"/>
          <w:i/>
          <w:spacing w:val="-263"/>
          <w:w w:val="565"/>
          <w:sz w:val="20"/>
        </w:rPr>
        <w:t> </w:t>
      </w:r>
      <w:r>
        <w:rPr>
          <w:rFonts w:ascii="Arial"/>
          <w:w w:val="180"/>
          <w:sz w:val="20"/>
        </w:rPr>
        <w:t>.</w:t>
      </w:r>
    </w:p>
    <w:p>
      <w:pPr>
        <w:spacing w:line="141" w:lineRule="exact" w:before="0"/>
        <w:ind w:left="0" w:right="2298" w:firstLine="0"/>
        <w:jc w:val="center"/>
        <w:rPr>
          <w:b/>
          <w:i/>
          <w:sz w:val="13"/>
        </w:rPr>
      </w:pPr>
      <w:r>
        <w:rPr>
          <w:b/>
          <w:i/>
          <w:w w:val="140"/>
          <w:sz w:val="13"/>
        </w:rPr>
        <w:t>z+t</w:t>
      </w:r>
    </w:p>
    <w:p>
      <w:pPr>
        <w:spacing w:after="0" w:line="141" w:lineRule="exact"/>
        <w:jc w:val="center"/>
        <w:rPr>
          <w:sz w:val="13"/>
        </w:rPr>
        <w:sectPr>
          <w:type w:val="continuous"/>
          <w:pgSz w:w="7200" w:h="11340"/>
          <w:pgMar w:top="1100" w:bottom="0" w:left="640" w:right="540"/>
          <w:cols w:num="2" w:equalWidth="0">
            <w:col w:w="3154" w:space="40"/>
            <w:col w:w="2826"/>
          </w:cols>
        </w:sectPr>
      </w:pPr>
    </w:p>
    <w:p>
      <w:pPr>
        <w:pStyle w:val="BodyText"/>
        <w:spacing w:line="252" w:lineRule="auto"/>
        <w:ind w:left="134" w:firstLine="190"/>
      </w:pPr>
      <w:r>
        <w:rPr>
          <w:w w:val="105"/>
        </w:rPr>
        <w:t>Formulas (6.13) and (6.14) take the following forms for endow­ ment  insurance:</w:t>
      </w:r>
    </w:p>
    <w:p>
      <w:pPr>
        <w:tabs>
          <w:tab w:pos="2427" w:val="left" w:leader="none"/>
          <w:tab w:pos="3118" w:val="left" w:leader="none"/>
          <w:tab w:pos="3935" w:val="left" w:leader="none"/>
          <w:tab w:pos="4554" w:val="left" w:leader="none"/>
        </w:tabs>
        <w:spacing w:line="134" w:lineRule="exact" w:before="147"/>
        <w:ind w:left="1422" w:right="0" w:firstLine="0"/>
        <w:jc w:val="left"/>
        <w:rPr>
          <w:sz w:val="25"/>
        </w:rPr>
      </w:pPr>
      <w:r>
        <w:rPr>
          <w:spacing w:val="-21"/>
          <w:w w:val="172"/>
          <w:position w:val="-14"/>
          <w:sz w:val="25"/>
        </w:rPr>
        <w:t>'</w:t>
      </w:r>
      <w:r>
        <w:rPr>
          <w:rFonts w:ascii="Arial" w:hAnsi="Arial"/>
          <w:i/>
          <w:spacing w:val="-2"/>
          <w:w w:val="99"/>
          <w:position w:val="-9"/>
          <w:sz w:val="20"/>
        </w:rPr>
        <w:t>W</w:t>
      </w:r>
      <w:r>
        <w:rPr>
          <w:b/>
          <w:w w:val="62"/>
          <w:position w:val="-14"/>
          <w:sz w:val="25"/>
        </w:rPr>
        <w:t>z:'iil</w:t>
      </w:r>
      <w:r>
        <w:rPr>
          <w:b/>
          <w:position w:val="-14"/>
          <w:sz w:val="25"/>
        </w:rPr>
        <w:t> </w:t>
      </w:r>
      <w:r>
        <w:rPr>
          <w:b/>
          <w:spacing w:val="-26"/>
          <w:position w:val="-14"/>
          <w:sz w:val="25"/>
        </w:rPr>
        <w:t> </w:t>
      </w:r>
      <w:r>
        <w:rPr>
          <w:rFonts w:ascii="Arial" w:hAnsi="Arial"/>
          <w:w w:val="115"/>
          <w:sz w:val="20"/>
        </w:rPr>
        <w:t>_</w:t>
      </w:r>
      <w:r>
        <w:rPr>
          <w:rFonts w:ascii="Arial" w:hAnsi="Arial"/>
          <w:sz w:val="20"/>
        </w:rPr>
        <w:tab/>
      </w:r>
      <w:r>
        <w:rPr>
          <w:i/>
          <w:w w:val="79"/>
          <w:sz w:val="13"/>
        </w:rPr>
        <w:t>I</w:t>
      </w:r>
      <w:r>
        <w:rPr>
          <w:i/>
          <w:spacing w:val="4"/>
          <w:sz w:val="13"/>
        </w:rPr>
        <w:t> </w:t>
      </w:r>
      <w:r>
        <w:rPr>
          <w:rFonts w:ascii="Arial" w:hAnsi="Arial"/>
          <w:i/>
          <w:w w:val="69"/>
          <w:sz w:val="20"/>
        </w:rPr>
        <w:t>Vz:";;J</w:t>
      </w:r>
      <w:r>
        <w:rPr>
          <w:rFonts w:ascii="Arial" w:hAnsi="Arial"/>
          <w:i/>
          <w:sz w:val="20"/>
        </w:rPr>
        <w:tab/>
      </w:r>
      <w:r>
        <w:rPr>
          <w:rFonts w:ascii="Arial" w:hAnsi="Arial"/>
          <w:w w:val="108"/>
          <w:sz w:val="20"/>
        </w:rPr>
        <w:t>_</w:t>
      </w:r>
      <w:r>
        <w:rPr>
          <w:rFonts w:ascii="Arial" w:hAnsi="Arial"/>
          <w:sz w:val="20"/>
        </w:rPr>
        <w:t> </w:t>
      </w:r>
      <w:r>
        <w:rPr>
          <w:rFonts w:ascii="Arial" w:hAnsi="Arial"/>
          <w:spacing w:val="19"/>
          <w:sz w:val="20"/>
        </w:rPr>
        <w:t> </w:t>
      </w:r>
      <w:r>
        <w:rPr>
          <w:b/>
          <w:w w:val="127"/>
          <w:sz w:val="20"/>
        </w:rPr>
        <w:t>l</w:t>
      </w:r>
      <w:r>
        <w:rPr>
          <w:b/>
          <w:sz w:val="20"/>
        </w:rPr>
        <w:t> </w:t>
      </w:r>
      <w:r>
        <w:rPr>
          <w:b/>
          <w:spacing w:val="1"/>
          <w:sz w:val="20"/>
        </w:rPr>
        <w:t> </w:t>
      </w:r>
      <w:r>
        <w:rPr>
          <w:w w:val="141"/>
          <w:sz w:val="20"/>
        </w:rPr>
        <w:t>_</w:t>
      </w:r>
      <w:r>
        <w:rPr>
          <w:sz w:val="20"/>
        </w:rPr>
        <w:tab/>
      </w:r>
      <w:r>
        <w:rPr>
          <w:b/>
          <w:spacing w:val="-20"/>
          <w:w w:val="130"/>
          <w:sz w:val="20"/>
        </w:rPr>
        <w:t>P</w:t>
      </w:r>
      <w:r>
        <w:rPr>
          <w:b/>
          <w:w w:val="73"/>
          <w:sz w:val="20"/>
        </w:rPr>
        <w:t>s:';1</w:t>
      </w:r>
      <w:r>
        <w:rPr>
          <w:b/>
          <w:sz w:val="20"/>
        </w:rPr>
        <w:tab/>
      </w:r>
      <w:r>
        <w:rPr>
          <w:w w:val="56"/>
          <w:position w:val="-14"/>
          <w:sz w:val="25"/>
        </w:rPr>
        <w:t>•</w:t>
      </w:r>
    </w:p>
    <w:p>
      <w:pPr>
        <w:spacing w:after="0" w:line="134" w:lineRule="exact"/>
        <w:jc w:val="left"/>
        <w:rPr>
          <w:sz w:val="25"/>
        </w:rPr>
        <w:sectPr>
          <w:type w:val="continuous"/>
          <w:pgSz w:w="7200" w:h="11340"/>
          <w:pgMar w:top="1100" w:bottom="0" w:left="640" w:right="540"/>
        </w:sectPr>
      </w:pPr>
    </w:p>
    <w:p>
      <w:pPr>
        <w:spacing w:line="364" w:lineRule="exact" w:before="0"/>
        <w:ind w:left="2063" w:right="-16" w:firstLine="0"/>
        <w:jc w:val="left"/>
        <w:rPr>
          <w:sz w:val="25"/>
        </w:rPr>
      </w:pPr>
      <w:r>
        <w:rPr>
          <w:w w:val="170"/>
          <w:position w:val="12"/>
          <w:sz w:val="25"/>
        </w:rPr>
        <w:t>-</w:t>
      </w:r>
      <w:r>
        <w:rPr>
          <w:spacing w:val="-90"/>
          <w:w w:val="170"/>
          <w:position w:val="12"/>
          <w:sz w:val="25"/>
        </w:rPr>
        <w:t> </w:t>
      </w:r>
      <w:r>
        <w:rPr>
          <w:w w:val="105"/>
          <w:sz w:val="22"/>
        </w:rPr>
        <w:t>As+e:i=il</w:t>
      </w:r>
      <w:r>
        <w:rPr>
          <w:spacing w:val="-18"/>
          <w:w w:val="105"/>
          <w:sz w:val="22"/>
        </w:rPr>
        <w:t> </w:t>
      </w:r>
      <w:r>
        <w:rPr>
          <w:w w:val="170"/>
          <w:position w:val="12"/>
          <w:sz w:val="25"/>
        </w:rPr>
        <w:t>-</w:t>
      </w:r>
    </w:p>
    <w:p>
      <w:pPr>
        <w:spacing w:before="111"/>
        <w:ind w:left="447" w:right="0" w:firstLine="0"/>
        <w:jc w:val="left"/>
        <w:rPr>
          <w:sz w:val="22"/>
        </w:rPr>
      </w:pPr>
      <w:r>
        <w:rPr/>
        <w:br w:type="column"/>
      </w:r>
      <w:r>
        <w:rPr>
          <w:i/>
          <w:w w:val="125"/>
          <w:sz w:val="22"/>
        </w:rPr>
        <w:t>P</w:t>
      </w:r>
      <w:r>
        <w:rPr>
          <w:w w:val="125"/>
          <w:sz w:val="22"/>
        </w:rPr>
        <w:t>z+•=</w:t>
      </w:r>
    </w:p>
    <w:p>
      <w:pPr>
        <w:spacing w:after="0"/>
        <w:jc w:val="left"/>
        <w:rPr>
          <w:sz w:val="22"/>
        </w:rPr>
        <w:sectPr>
          <w:type w:val="continuous"/>
          <w:pgSz w:w="7200" w:h="11340"/>
          <w:pgMar w:top="1100" w:bottom="0" w:left="640" w:right="540"/>
          <w:cols w:num="2" w:equalWidth="0">
            <w:col w:w="3283" w:space="40"/>
            <w:col w:w="2697"/>
          </w:cols>
        </w:sectPr>
      </w:pPr>
    </w:p>
    <w:p>
      <w:pPr>
        <w:pStyle w:val="BodyText"/>
        <w:spacing w:before="82"/>
        <w:ind w:left="130"/>
      </w:pPr>
      <w:r>
        <w:rPr>
          <w:w w:val="105"/>
        </w:rPr>
        <w:t>For an n-payment  life policy,  we have</w:t>
      </w:r>
    </w:p>
    <w:p>
      <w:pPr>
        <w:pStyle w:val="BodyText"/>
        <w:spacing w:before="1"/>
        <w:rPr>
          <w:sz w:val="18"/>
        </w:rPr>
      </w:pPr>
    </w:p>
    <w:p>
      <w:pPr>
        <w:tabs>
          <w:tab w:pos="4230" w:val="left" w:leader="none"/>
        </w:tabs>
        <w:spacing w:line="224" w:lineRule="exact" w:before="0"/>
        <w:ind w:left="1854" w:right="0" w:firstLine="0"/>
        <w:jc w:val="left"/>
        <w:rPr>
          <w:rFonts w:ascii="Arial"/>
          <w:sz w:val="19"/>
        </w:rPr>
      </w:pPr>
      <w:r>
        <w:rPr/>
        <w:pict>
          <v:line style="position:absolute;mso-position-horizontal-relative:page;mso-position-vertical-relative:paragraph;z-index:-724168" from="158.220001pt,11.079526pt" to="159.480001pt,11.079526pt" stroked="true" strokeweight=".54pt" strokecolor="#000000">
            <w10:wrap type="none"/>
          </v:line>
        </w:pict>
      </w:r>
      <w:r>
        <w:rPr>
          <w:b/>
          <w:i/>
          <w:sz w:val="22"/>
        </w:rPr>
        <w:t>Ws  </w:t>
      </w:r>
      <w:r>
        <w:rPr>
          <w:rFonts w:ascii="Arial"/>
          <w:w w:val="150"/>
          <w:sz w:val="16"/>
        </w:rPr>
        <w:t>=   </w:t>
      </w:r>
      <w:r>
        <w:rPr>
          <w:b/>
          <w:i/>
          <w:sz w:val="22"/>
        </w:rPr>
        <w:t>Vz   </w:t>
      </w:r>
      <w:r>
        <w:rPr>
          <w:rFonts w:ascii="Arial"/>
          <w:w w:val="150"/>
          <w:sz w:val="16"/>
        </w:rPr>
        <w:t>=</w:t>
      </w:r>
      <w:r>
        <w:rPr>
          <w:rFonts w:ascii="Arial"/>
          <w:spacing w:val="-12"/>
          <w:w w:val="150"/>
          <w:sz w:val="16"/>
        </w:rPr>
        <w:t> </w:t>
      </w:r>
      <w:r>
        <w:rPr>
          <w:rFonts w:ascii="Arial"/>
          <w:b/>
          <w:sz w:val="19"/>
        </w:rPr>
        <w:t>1</w:t>
      </w:r>
      <w:r>
        <w:rPr>
          <w:rFonts w:ascii="Arial"/>
          <w:b/>
          <w:spacing w:val="9"/>
          <w:sz w:val="19"/>
        </w:rPr>
        <w:t> </w:t>
      </w:r>
      <w:r>
        <w:rPr>
          <w:rFonts w:ascii="Arial"/>
          <w:w w:val="255"/>
          <w:sz w:val="19"/>
        </w:rPr>
        <w:t>-</w:t>
        <w:tab/>
      </w:r>
      <w:r>
        <w:rPr>
          <w:rFonts w:ascii="Arial"/>
          <w:w w:val="150"/>
          <w:sz w:val="19"/>
        </w:rPr>
        <w:t>,</w:t>
      </w:r>
    </w:p>
    <w:p>
      <w:pPr>
        <w:tabs>
          <w:tab w:pos="3568" w:val="left" w:leader="none"/>
        </w:tabs>
        <w:spacing w:line="201" w:lineRule="exact" w:before="0"/>
        <w:ind w:left="2434" w:right="0" w:firstLine="0"/>
        <w:jc w:val="left"/>
        <w:rPr>
          <w:i/>
          <w:sz w:val="13"/>
        </w:rPr>
      </w:pPr>
      <w:r>
        <w:rPr>
          <w:rFonts w:ascii="Arial"/>
          <w:i/>
          <w:w w:val="105"/>
          <w:sz w:val="20"/>
        </w:rPr>
        <w:t>Az+,</w:t>
        <w:tab/>
      </w:r>
      <w:r>
        <w:rPr>
          <w:b/>
          <w:w w:val="105"/>
          <w:sz w:val="20"/>
        </w:rPr>
        <w:t>tl-,P</w:t>
      </w:r>
      <w:r>
        <w:rPr>
          <w:i/>
          <w:w w:val="105"/>
          <w:sz w:val="13"/>
        </w:rPr>
        <w:t>z+t</w:t>
      </w:r>
    </w:p>
    <w:p>
      <w:pPr>
        <w:pStyle w:val="BodyText"/>
        <w:spacing w:line="242" w:lineRule="auto" w:before="105"/>
        <w:ind w:left="119" w:right="121" w:firstLine="201"/>
        <w:jc w:val="both"/>
      </w:pPr>
      <w:r>
        <w:rPr>
          <w:w w:val="105"/>
        </w:rPr>
        <w:t>A second insurance option, known as </w:t>
      </w:r>
      <w:r>
        <w:rPr>
          <w:i/>
          <w:w w:val="105"/>
        </w:rPr>
        <w:t>extended insurance, </w:t>
      </w:r>
      <w:r>
        <w:rPr>
          <w:w w:val="105"/>
        </w:rPr>
        <w:t>pro­ vides for the use of the cash value to purchase term insurance  for  the full amount of the policy for a limited period. </w:t>
      </w:r>
      <w:r>
        <w:rPr>
          <w:w w:val="105"/>
          <w:sz w:val="21"/>
        </w:rPr>
        <w:t>If </w:t>
      </w:r>
      <w:r>
        <w:rPr>
          <w:w w:val="105"/>
        </w:rPr>
        <w:t>the face amount </w:t>
      </w:r>
      <w:r>
        <w:rPr>
          <w:rFonts w:ascii="Arial" w:hAnsi="Arial"/>
          <w:w w:val="105"/>
        </w:rPr>
        <w:t>is </w:t>
      </w:r>
      <w:r>
        <w:rPr>
          <w:spacing w:val="-19"/>
          <w:w w:val="105"/>
        </w:rPr>
        <w:t>1, </w:t>
      </w:r>
      <w:r>
        <w:rPr>
          <w:w w:val="105"/>
        </w:rPr>
        <w:t>the extended insurance period </w:t>
      </w:r>
      <w:r>
        <w:rPr>
          <w:i/>
          <w:w w:val="105"/>
          <w:sz w:val="21"/>
        </w:rPr>
        <w:t>n </w:t>
      </w:r>
      <w:r>
        <w:rPr>
          <w:w w:val="105"/>
        </w:rPr>
        <w:t>is determined from the  re­ lation</w:t>
      </w:r>
    </w:p>
    <w:p>
      <w:pPr>
        <w:spacing w:before="125"/>
        <w:ind w:left="293" w:right="304" w:firstLine="0"/>
        <w:jc w:val="center"/>
        <w:rPr>
          <w:i/>
          <w:sz w:val="20"/>
        </w:rPr>
      </w:pPr>
      <w:r>
        <w:rPr>
          <w:i/>
          <w:w w:val="105"/>
          <w:sz w:val="20"/>
        </w:rPr>
        <w:t>A.!.</w:t>
      </w:r>
      <w:r>
        <w:rPr>
          <w:i/>
          <w:w w:val="105"/>
          <w:sz w:val="20"/>
          <w:u w:val="thick"/>
        </w:rPr>
        <w:t>,:;i  </w:t>
      </w:r>
      <w:r>
        <w:rPr>
          <w:w w:val="105"/>
          <w:sz w:val="28"/>
        </w:rPr>
        <w:t>=</w:t>
      </w:r>
      <w:r>
        <w:rPr>
          <w:spacing w:val="52"/>
          <w:w w:val="105"/>
          <w:sz w:val="28"/>
        </w:rPr>
        <w:t> </w:t>
      </w:r>
      <w:r>
        <w:rPr>
          <w:i/>
          <w:spacing w:val="-9"/>
          <w:w w:val="105"/>
          <w:sz w:val="20"/>
        </w:rPr>
        <w:t>,CV</w:t>
      </w:r>
    </w:p>
    <w:p>
      <w:pPr>
        <w:pStyle w:val="BodyText"/>
        <w:spacing w:before="105"/>
        <w:ind w:left="119"/>
      </w:pPr>
      <w:r>
        <w:rPr>
          <w:w w:val="105"/>
        </w:rPr>
        <w:t>where  the value of  </w:t>
      </w:r>
      <w:r>
        <w:rPr>
          <w:i/>
          <w:w w:val="105"/>
          <w:sz w:val="22"/>
        </w:rPr>
        <w:t>n </w:t>
      </w:r>
      <w:r>
        <w:rPr>
          <w:w w:val="105"/>
        </w:rPr>
        <w:t>is customarily  interpolated  to days.</w:t>
      </w:r>
    </w:p>
    <w:p>
      <w:pPr>
        <w:pStyle w:val="BodyText"/>
        <w:spacing w:line="242" w:lineRule="auto" w:before="7"/>
        <w:ind w:left="115" w:right="126" w:firstLine="208"/>
        <w:jc w:val="both"/>
      </w:pPr>
      <w:r>
        <w:rPr>
          <w:w w:val="105"/>
        </w:rPr>
        <w:t>In the case of endowment policies, the cash value at the later durations may be more than sufficient to purchase term  insurance for the full amount to the end of the endowment period.  </w:t>
      </w:r>
      <w:r>
        <w:rPr>
          <w:w w:val="105"/>
          <w:sz w:val="22"/>
        </w:rPr>
        <w:t>In </w:t>
      </w:r>
      <w:r>
        <w:rPr>
          <w:w w:val="105"/>
        </w:rPr>
        <w:t>that case, the excess of the cash value over the amount required to pay for the term  insurance  to the  end of  the endowment  period  is</w:t>
      </w:r>
      <w:r>
        <w:rPr>
          <w:spacing w:val="50"/>
          <w:w w:val="105"/>
        </w:rPr>
        <w:t> </w:t>
      </w:r>
      <w:r>
        <w:rPr>
          <w:w w:val="105"/>
        </w:rPr>
        <w:t>ap-</w:t>
      </w:r>
    </w:p>
    <w:p>
      <w:pPr>
        <w:spacing w:after="0" w:line="242" w:lineRule="auto"/>
        <w:jc w:val="both"/>
        <w:sectPr>
          <w:type w:val="continuous"/>
          <w:pgSz w:w="7200" w:h="11340"/>
          <w:pgMar w:top="1100" w:bottom="0" w:left="640" w:right="540"/>
        </w:sectPr>
      </w:pPr>
    </w:p>
    <w:p>
      <w:pPr>
        <w:tabs>
          <w:tab w:pos="2036" w:val="left" w:leader="none"/>
          <w:tab w:pos="5405" w:val="left" w:leader="none"/>
        </w:tabs>
        <w:spacing w:before="64"/>
        <w:ind w:left="160" w:right="0" w:firstLine="0"/>
        <w:jc w:val="both"/>
        <w:rPr>
          <w:rFonts w:ascii="Arial"/>
          <w:sz w:val="19"/>
        </w:rPr>
      </w:pPr>
      <w:r>
        <w:rPr>
          <w:spacing w:val="-16"/>
          <w:w w:val="105"/>
          <w:sz w:val="19"/>
        </w:rPr>
        <w:t>144</w:t>
        <w:tab/>
      </w:r>
      <w:r>
        <w:rPr>
          <w:rFonts w:ascii="Courier New"/>
          <w:b/>
          <w:w w:val="105"/>
          <w:sz w:val="17"/>
        </w:rPr>
        <w:t>THE</w:t>
      </w:r>
      <w:r>
        <w:rPr>
          <w:rFonts w:ascii="Courier New"/>
          <w:b/>
          <w:spacing w:val="-16"/>
          <w:w w:val="105"/>
          <w:sz w:val="17"/>
        </w:rPr>
        <w:t> </w:t>
      </w:r>
      <w:r>
        <w:rPr>
          <w:rFonts w:ascii="Courier New"/>
          <w:b/>
          <w:w w:val="105"/>
          <w:sz w:val="17"/>
        </w:rPr>
        <w:t>EXPENSE</w:t>
      </w:r>
      <w:r>
        <w:rPr>
          <w:rFonts w:ascii="Courier New"/>
          <w:b/>
          <w:spacing w:val="6"/>
          <w:w w:val="105"/>
          <w:sz w:val="17"/>
        </w:rPr>
        <w:t> </w:t>
      </w:r>
      <w:r>
        <w:rPr>
          <w:rFonts w:ascii="Courier New"/>
          <w:b/>
          <w:w w:val="105"/>
          <w:sz w:val="17"/>
        </w:rPr>
        <w:t>FACTOR</w:t>
        <w:tab/>
      </w:r>
      <w:r>
        <w:rPr>
          <w:w w:val="90"/>
          <w:sz w:val="20"/>
        </w:rPr>
        <w:t>[CH.</w:t>
      </w:r>
      <w:r>
        <w:rPr>
          <w:spacing w:val="-14"/>
          <w:w w:val="90"/>
          <w:sz w:val="20"/>
        </w:rPr>
        <w:t> </w:t>
      </w:r>
      <w:r>
        <w:rPr>
          <w:rFonts w:ascii="Arial"/>
          <w:w w:val="90"/>
          <w:sz w:val="19"/>
        </w:rPr>
        <w:t>6</w:t>
      </w:r>
    </w:p>
    <w:p>
      <w:pPr>
        <w:pStyle w:val="BodyText"/>
        <w:spacing w:before="4"/>
        <w:rPr>
          <w:rFonts w:ascii="Arial"/>
          <w:sz w:val="19"/>
        </w:rPr>
      </w:pPr>
    </w:p>
    <w:p>
      <w:pPr>
        <w:spacing w:line="238" w:lineRule="exact" w:before="0"/>
        <w:ind w:left="139" w:right="109" w:firstLine="3"/>
        <w:jc w:val="both"/>
        <w:rPr>
          <w:sz w:val="21"/>
        </w:rPr>
      </w:pPr>
      <w:r>
        <w:rPr>
          <w:sz w:val="21"/>
        </w:rPr>
        <w:t>plied to purchase a pure endowment payable at ma.turity. The amount of  the pure endowment  is given by the  expression</w:t>
      </w:r>
    </w:p>
    <w:p>
      <w:pPr>
        <w:spacing w:before="133"/>
        <w:ind w:left="98" w:right="196" w:firstLine="0"/>
        <w:jc w:val="center"/>
        <w:rPr>
          <w:rFonts w:ascii="Arial" w:hAnsi="Arial"/>
          <w:i/>
          <w:sz w:val="21"/>
        </w:rPr>
      </w:pPr>
      <w:r>
        <w:rPr>
          <w:rFonts w:ascii="Arial" w:hAnsi="Arial"/>
          <w:i/>
          <w:w w:val="105"/>
          <w:sz w:val="21"/>
        </w:rPr>
        <w:t>,CV </w:t>
      </w:r>
      <w:r>
        <w:rPr>
          <w:rFonts w:ascii="Arial" w:hAnsi="Arial"/>
          <w:w w:val="105"/>
          <w:sz w:val="21"/>
        </w:rPr>
        <w:t>- </w:t>
      </w:r>
      <w:r>
        <w:rPr>
          <w:rFonts w:ascii="Arial" w:hAnsi="Arial"/>
          <w:i/>
          <w:sz w:val="21"/>
        </w:rPr>
        <w:t>A;</w:t>
      </w:r>
      <w:r>
        <w:rPr>
          <w:rFonts w:ascii="Arial" w:hAnsi="Arial"/>
          <w:i/>
          <w:sz w:val="21"/>
          <w:u w:val="thick"/>
        </w:rPr>
        <w:t>:¡:¡:</w:t>
      </w:r>
      <w:r>
        <w:rPr>
          <w:rFonts w:ascii="Arial" w:hAnsi="Arial"/>
          <w:i/>
          <w:sz w:val="21"/>
        </w:rPr>
        <w:t>n1</w:t>
      </w:r>
    </w:p>
    <w:p>
      <w:pPr>
        <w:spacing w:before="127"/>
        <w:ind w:left="37" w:right="87" w:firstLine="0"/>
        <w:jc w:val="center"/>
        <w:rPr>
          <w:i/>
          <w:sz w:val="14"/>
        </w:rPr>
      </w:pPr>
      <w:r>
        <w:rPr>
          <w:i/>
          <w:spacing w:val="18"/>
          <w:w w:val="239"/>
          <w:sz w:val="14"/>
        </w:rPr>
        <w:t>A</w:t>
      </w:r>
      <w:r>
        <w:rPr>
          <w:i/>
          <w:w w:val="117"/>
          <w:sz w:val="14"/>
        </w:rPr>
        <w:t>H</w:t>
      </w:r>
      <w:r>
        <w:rPr>
          <w:i/>
          <w:spacing w:val="4"/>
          <w:sz w:val="14"/>
        </w:rPr>
        <w:t> </w:t>
      </w:r>
      <w:r>
        <w:rPr>
          <w:i/>
          <w:w w:val="468"/>
          <w:sz w:val="14"/>
        </w:rPr>
        <w:t>:</w:t>
      </w:r>
    </w:p>
    <w:p>
      <w:pPr>
        <w:spacing w:line="232" w:lineRule="auto" w:before="94"/>
        <w:ind w:left="128" w:right="120" w:firstLine="10"/>
        <w:jc w:val="right"/>
        <w:rPr>
          <w:sz w:val="21"/>
        </w:rPr>
      </w:pPr>
      <w:r>
        <w:rPr>
          <w:w w:val="105"/>
          <w:sz w:val="21"/>
        </w:rPr>
        <w:t>where</w:t>
      </w:r>
      <w:r>
        <w:rPr>
          <w:spacing w:val="-27"/>
          <w:w w:val="105"/>
          <w:sz w:val="21"/>
        </w:rPr>
        <w:t> </w:t>
      </w:r>
      <w:r>
        <w:rPr>
          <w:i/>
          <w:w w:val="105"/>
          <w:sz w:val="22"/>
        </w:rPr>
        <w:t>n</w:t>
      </w:r>
      <w:r>
        <w:rPr>
          <w:i/>
          <w:spacing w:val="-30"/>
          <w:w w:val="105"/>
          <w:sz w:val="22"/>
        </w:rPr>
        <w:t> </w:t>
      </w:r>
      <w:r>
        <w:rPr>
          <w:w w:val="105"/>
          <w:sz w:val="21"/>
        </w:rPr>
        <w:t>is</w:t>
      </w:r>
      <w:r>
        <w:rPr>
          <w:spacing w:val="-29"/>
          <w:w w:val="105"/>
          <w:sz w:val="21"/>
        </w:rPr>
        <w:t> </w:t>
      </w:r>
      <w:r>
        <w:rPr>
          <w:w w:val="105"/>
          <w:sz w:val="21"/>
        </w:rPr>
        <w:t>the</w:t>
      </w:r>
      <w:r>
        <w:rPr>
          <w:spacing w:val="-28"/>
          <w:w w:val="105"/>
          <w:sz w:val="21"/>
        </w:rPr>
        <w:t> </w:t>
      </w:r>
      <w:r>
        <w:rPr>
          <w:w w:val="105"/>
          <w:sz w:val="21"/>
        </w:rPr>
        <w:t>number</w:t>
      </w:r>
      <w:r>
        <w:rPr>
          <w:spacing w:val="-20"/>
          <w:w w:val="105"/>
          <w:sz w:val="21"/>
        </w:rPr>
        <w:t> </w:t>
      </w:r>
      <w:r>
        <w:rPr>
          <w:w w:val="105"/>
          <w:sz w:val="21"/>
        </w:rPr>
        <w:t>of</w:t>
      </w:r>
      <w:r>
        <w:rPr>
          <w:spacing w:val="-23"/>
          <w:w w:val="105"/>
          <w:sz w:val="21"/>
        </w:rPr>
        <w:t> </w:t>
      </w:r>
      <w:r>
        <w:rPr>
          <w:w w:val="105"/>
          <w:sz w:val="21"/>
        </w:rPr>
        <w:t>years</w:t>
      </w:r>
      <w:r>
        <w:rPr>
          <w:spacing w:val="-25"/>
          <w:w w:val="105"/>
          <w:sz w:val="21"/>
        </w:rPr>
        <w:t> </w:t>
      </w:r>
      <w:r>
        <w:rPr>
          <w:w w:val="105"/>
          <w:sz w:val="21"/>
        </w:rPr>
        <w:t>remaining</w:t>
      </w:r>
      <w:r>
        <w:rPr>
          <w:spacing w:val="-17"/>
          <w:w w:val="105"/>
          <w:sz w:val="21"/>
        </w:rPr>
        <w:t> </w:t>
      </w:r>
      <w:r>
        <w:rPr>
          <w:w w:val="105"/>
          <w:sz w:val="21"/>
        </w:rPr>
        <w:t>in</w:t>
      </w:r>
      <w:r>
        <w:rPr>
          <w:spacing w:val="-26"/>
          <w:w w:val="105"/>
          <w:sz w:val="21"/>
        </w:rPr>
        <w:t> </w:t>
      </w:r>
      <w:r>
        <w:rPr>
          <w:w w:val="105"/>
          <w:sz w:val="21"/>
        </w:rPr>
        <w:t>the</w:t>
      </w:r>
      <w:r>
        <w:rPr>
          <w:spacing w:val="-26"/>
          <w:w w:val="105"/>
          <w:sz w:val="21"/>
        </w:rPr>
        <w:t> </w:t>
      </w:r>
      <w:r>
        <w:rPr>
          <w:w w:val="105"/>
          <w:sz w:val="21"/>
        </w:rPr>
        <w:t>endowment</w:t>
      </w:r>
      <w:r>
        <w:rPr>
          <w:spacing w:val="-14"/>
          <w:w w:val="105"/>
          <w:sz w:val="21"/>
        </w:rPr>
        <w:t> </w:t>
      </w:r>
      <w:r>
        <w:rPr>
          <w:w w:val="105"/>
          <w:sz w:val="21"/>
        </w:rPr>
        <w:t>period.</w:t>
      </w:r>
      <w:r>
        <w:rPr>
          <w:w w:val="98"/>
          <w:sz w:val="21"/>
        </w:rPr>
        <w:t> </w:t>
      </w:r>
      <w:r>
        <w:rPr>
          <w:w w:val="105"/>
          <w:sz w:val="22"/>
        </w:rPr>
        <w:t>If </w:t>
      </w:r>
      <w:r>
        <w:rPr>
          <w:w w:val="105"/>
          <w:sz w:val="21"/>
        </w:rPr>
        <w:t>the policy is subject </w:t>
      </w:r>
      <w:r>
        <w:rPr>
          <w:w w:val="105"/>
          <w:sz w:val="22"/>
        </w:rPr>
        <w:t>to </w:t>
      </w:r>
      <w:r>
        <w:rPr>
          <w:w w:val="105"/>
          <w:sz w:val="21"/>
        </w:rPr>
        <w:t>indebtedness of amount </w:t>
      </w:r>
      <w:r>
        <w:rPr>
          <w:i/>
          <w:w w:val="105"/>
          <w:sz w:val="22"/>
        </w:rPr>
        <w:t>L,</w:t>
      </w:r>
      <w:r>
        <w:rPr>
          <w:i/>
          <w:spacing w:val="-1"/>
          <w:w w:val="105"/>
          <w:sz w:val="22"/>
        </w:rPr>
        <w:t> </w:t>
      </w:r>
      <w:r>
        <w:rPr>
          <w:w w:val="105"/>
          <w:sz w:val="21"/>
        </w:rPr>
        <w:t>the</w:t>
      </w:r>
      <w:r>
        <w:rPr>
          <w:spacing w:val="-6"/>
          <w:w w:val="105"/>
          <w:sz w:val="21"/>
        </w:rPr>
        <w:t> </w:t>
      </w:r>
      <w:r>
        <w:rPr>
          <w:w w:val="105"/>
          <w:sz w:val="21"/>
        </w:rPr>
        <w:t>policy</w:t>
      </w:r>
      <w:r>
        <w:rPr>
          <w:w w:val="95"/>
          <w:sz w:val="21"/>
        </w:rPr>
        <w:t> </w:t>
      </w:r>
      <w:r>
        <w:rPr>
          <w:w w:val="105"/>
          <w:sz w:val="21"/>
        </w:rPr>
        <w:t>usually</w:t>
      </w:r>
      <w:r>
        <w:rPr>
          <w:spacing w:val="-12"/>
          <w:w w:val="105"/>
          <w:sz w:val="21"/>
        </w:rPr>
        <w:t> </w:t>
      </w:r>
      <w:r>
        <w:rPr>
          <w:w w:val="105"/>
          <w:sz w:val="21"/>
        </w:rPr>
        <w:t>provides</w:t>
      </w:r>
      <w:r>
        <w:rPr>
          <w:spacing w:val="-20"/>
          <w:w w:val="105"/>
          <w:sz w:val="21"/>
        </w:rPr>
        <w:t> </w:t>
      </w:r>
      <w:r>
        <w:rPr>
          <w:w w:val="105"/>
          <w:sz w:val="21"/>
        </w:rPr>
        <w:t>that</w:t>
      </w:r>
      <w:r>
        <w:rPr>
          <w:spacing w:val="-16"/>
          <w:w w:val="105"/>
          <w:sz w:val="21"/>
        </w:rPr>
        <w:t> </w:t>
      </w:r>
      <w:r>
        <w:rPr>
          <w:w w:val="105"/>
          <w:sz w:val="21"/>
        </w:rPr>
        <w:t>the</w:t>
      </w:r>
      <w:r>
        <w:rPr>
          <w:spacing w:val="-23"/>
          <w:w w:val="105"/>
          <w:sz w:val="21"/>
        </w:rPr>
        <w:t> </w:t>
      </w:r>
      <w:r>
        <w:rPr>
          <w:w w:val="105"/>
          <w:sz w:val="21"/>
        </w:rPr>
        <w:t>extended</w:t>
      </w:r>
      <w:r>
        <w:rPr>
          <w:spacing w:val="-14"/>
          <w:w w:val="105"/>
          <w:sz w:val="21"/>
        </w:rPr>
        <w:t> </w:t>
      </w:r>
      <w:r>
        <w:rPr>
          <w:w w:val="105"/>
          <w:sz w:val="21"/>
        </w:rPr>
        <w:t>insurance</w:t>
      </w:r>
      <w:r>
        <w:rPr>
          <w:spacing w:val="-21"/>
          <w:w w:val="105"/>
          <w:sz w:val="21"/>
        </w:rPr>
        <w:t> </w:t>
      </w:r>
      <w:r>
        <w:rPr>
          <w:w w:val="105"/>
          <w:sz w:val="21"/>
        </w:rPr>
        <w:t>will</w:t>
      </w:r>
      <w:r>
        <w:rPr>
          <w:spacing w:val="-19"/>
          <w:w w:val="105"/>
          <w:sz w:val="21"/>
        </w:rPr>
        <w:t> </w:t>
      </w:r>
      <w:r>
        <w:rPr>
          <w:w w:val="105"/>
          <w:sz w:val="21"/>
        </w:rPr>
        <w:t>be</w:t>
      </w:r>
      <w:r>
        <w:rPr>
          <w:spacing w:val="-25"/>
          <w:w w:val="105"/>
          <w:sz w:val="21"/>
        </w:rPr>
        <w:t> </w:t>
      </w:r>
      <w:r>
        <w:rPr>
          <w:w w:val="105"/>
          <w:sz w:val="21"/>
        </w:rPr>
        <w:t>for</w:t>
      </w:r>
      <w:r>
        <w:rPr>
          <w:spacing w:val="-24"/>
          <w:w w:val="105"/>
          <w:sz w:val="21"/>
        </w:rPr>
        <w:t> </w:t>
      </w:r>
      <w:r>
        <w:rPr>
          <w:w w:val="105"/>
          <w:sz w:val="21"/>
        </w:rPr>
        <w:t>the</w:t>
      </w:r>
      <w:r>
        <w:rPr>
          <w:spacing w:val="-21"/>
          <w:w w:val="105"/>
          <w:sz w:val="21"/>
        </w:rPr>
        <w:t> </w:t>
      </w:r>
      <w:r>
        <w:rPr>
          <w:w w:val="105"/>
          <w:sz w:val="21"/>
        </w:rPr>
        <w:t>amount</w:t>
      </w:r>
      <w:r>
        <w:rPr>
          <w:w w:val="103"/>
          <w:sz w:val="21"/>
        </w:rPr>
        <w:t> </w:t>
      </w:r>
      <w:r>
        <w:rPr>
          <w:w w:val="105"/>
          <w:sz w:val="21"/>
        </w:rPr>
        <w:t>of</w:t>
      </w:r>
      <w:r>
        <w:rPr>
          <w:spacing w:val="6"/>
          <w:w w:val="105"/>
          <w:sz w:val="21"/>
        </w:rPr>
        <w:t> </w:t>
      </w:r>
      <w:r>
        <w:rPr>
          <w:w w:val="105"/>
          <w:sz w:val="21"/>
        </w:rPr>
        <w:t>1</w:t>
      </w:r>
      <w:r>
        <w:rPr>
          <w:spacing w:val="-20"/>
          <w:w w:val="105"/>
          <w:sz w:val="21"/>
        </w:rPr>
        <w:t> </w:t>
      </w:r>
      <w:r>
        <w:rPr>
          <w:w w:val="235"/>
          <w:sz w:val="21"/>
        </w:rPr>
        <w:t>-</w:t>
      </w:r>
      <w:r>
        <w:rPr>
          <w:spacing w:val="-91"/>
          <w:w w:val="235"/>
          <w:sz w:val="21"/>
        </w:rPr>
        <w:t> </w:t>
      </w:r>
      <w:r>
        <w:rPr>
          <w:rFonts w:ascii="Arial"/>
          <w:i/>
          <w:w w:val="105"/>
          <w:sz w:val="20"/>
        </w:rPr>
        <w:t>L.</w:t>
      </w:r>
      <w:r>
        <w:rPr>
          <w:rFonts w:ascii="Arial"/>
          <w:i/>
          <w:spacing w:val="-31"/>
          <w:w w:val="105"/>
          <w:sz w:val="20"/>
        </w:rPr>
        <w:t> </w:t>
      </w:r>
      <w:r>
        <w:rPr>
          <w:w w:val="105"/>
          <w:sz w:val="21"/>
        </w:rPr>
        <w:t>Otherwise</w:t>
      </w:r>
      <w:r>
        <w:rPr>
          <w:spacing w:val="-7"/>
          <w:w w:val="105"/>
          <w:sz w:val="21"/>
        </w:rPr>
        <w:t> </w:t>
      </w:r>
      <w:r>
        <w:rPr>
          <w:w w:val="105"/>
          <w:sz w:val="21"/>
        </w:rPr>
        <w:t>the</w:t>
      </w:r>
      <w:r>
        <w:rPr>
          <w:spacing w:val="-15"/>
          <w:w w:val="105"/>
          <w:sz w:val="21"/>
        </w:rPr>
        <w:t> </w:t>
      </w:r>
      <w:r>
        <w:rPr>
          <w:w w:val="105"/>
          <w:sz w:val="21"/>
        </w:rPr>
        <w:t>policyholder</w:t>
      </w:r>
      <w:r>
        <w:rPr>
          <w:spacing w:val="1"/>
          <w:w w:val="105"/>
          <w:sz w:val="21"/>
        </w:rPr>
        <w:t> </w:t>
      </w:r>
      <w:r>
        <w:rPr>
          <w:w w:val="105"/>
          <w:sz w:val="21"/>
        </w:rPr>
        <w:t>would</w:t>
      </w:r>
      <w:r>
        <w:rPr>
          <w:spacing w:val="-5"/>
          <w:w w:val="105"/>
          <w:sz w:val="21"/>
        </w:rPr>
        <w:t> </w:t>
      </w:r>
      <w:r>
        <w:rPr>
          <w:w w:val="105"/>
          <w:sz w:val="21"/>
        </w:rPr>
        <w:t>be</w:t>
      </w:r>
      <w:r>
        <w:rPr>
          <w:spacing w:val="-14"/>
          <w:w w:val="105"/>
          <w:sz w:val="21"/>
        </w:rPr>
        <w:t> </w:t>
      </w:r>
      <w:r>
        <w:rPr>
          <w:w w:val="105"/>
          <w:sz w:val="21"/>
        </w:rPr>
        <w:t>able</w:t>
      </w:r>
      <w:r>
        <w:rPr>
          <w:spacing w:val="-15"/>
          <w:w w:val="105"/>
          <w:sz w:val="21"/>
        </w:rPr>
        <w:t> </w:t>
      </w:r>
      <w:r>
        <w:rPr>
          <w:w w:val="105"/>
          <w:sz w:val="22"/>
        </w:rPr>
        <w:t>to</w:t>
      </w:r>
      <w:r>
        <w:rPr>
          <w:spacing w:val="-18"/>
          <w:w w:val="105"/>
          <w:sz w:val="22"/>
        </w:rPr>
        <w:t> </w:t>
      </w:r>
      <w:r>
        <w:rPr>
          <w:w w:val="105"/>
          <w:sz w:val="21"/>
        </w:rPr>
        <w:t>increase</w:t>
      </w:r>
      <w:r>
        <w:rPr>
          <w:spacing w:val="-12"/>
          <w:w w:val="105"/>
          <w:sz w:val="21"/>
        </w:rPr>
        <w:t> </w:t>
      </w:r>
      <w:r>
        <w:rPr>
          <w:w w:val="105"/>
          <w:sz w:val="21"/>
        </w:rPr>
        <w:t>the</w:t>
      </w:r>
      <w:r>
        <w:rPr>
          <w:w w:val="107"/>
          <w:sz w:val="21"/>
        </w:rPr>
        <w:t> </w:t>
      </w:r>
      <w:r>
        <w:rPr>
          <w:w w:val="105"/>
          <w:sz w:val="21"/>
        </w:rPr>
        <w:t>insurer's risk by his own action in electing this option. The </w:t>
      </w:r>
      <w:r>
        <w:rPr>
          <w:spacing w:val="34"/>
          <w:w w:val="105"/>
          <w:sz w:val="21"/>
        </w:rPr>
        <w:t> </w:t>
      </w:r>
      <w:r>
        <w:rPr>
          <w:w w:val="105"/>
          <w:sz w:val="21"/>
        </w:rPr>
        <w:t>term</w:t>
      </w:r>
    </w:p>
    <w:p>
      <w:pPr>
        <w:spacing w:line="239" w:lineRule="exact" w:before="0"/>
        <w:ind w:left="128" w:right="0" w:firstLine="0"/>
        <w:jc w:val="both"/>
        <w:rPr>
          <w:sz w:val="21"/>
        </w:rPr>
      </w:pPr>
      <w:r>
        <w:rPr>
          <w:sz w:val="21"/>
        </w:rPr>
        <w:t>of the extended insurance. is then the value of </w:t>
      </w:r>
      <w:r>
        <w:rPr>
          <w:i/>
          <w:sz w:val="21"/>
        </w:rPr>
        <w:t>n </w:t>
      </w:r>
      <w:r>
        <w:rPr>
          <w:sz w:val="21"/>
        </w:rPr>
        <w:t>for which</w:t>
      </w:r>
    </w:p>
    <w:p>
      <w:pPr>
        <w:spacing w:before="151"/>
        <w:ind w:left="98" w:right="36" w:firstLine="0"/>
        <w:jc w:val="center"/>
        <w:rPr>
          <w:rFonts w:ascii="Arial"/>
          <w:i/>
          <w:sz w:val="21"/>
        </w:rPr>
      </w:pPr>
      <w:r>
        <w:rPr>
          <w:rFonts w:ascii="Arial"/>
          <w:w w:val="145"/>
          <w:sz w:val="19"/>
        </w:rPr>
        <w:t>(1</w:t>
      </w:r>
      <w:r>
        <w:rPr>
          <w:rFonts w:ascii="Arial"/>
          <w:spacing w:val="-58"/>
          <w:w w:val="145"/>
          <w:sz w:val="19"/>
        </w:rPr>
        <w:t> </w:t>
      </w:r>
      <w:r>
        <w:rPr>
          <w:rFonts w:ascii="Arial"/>
          <w:w w:val="250"/>
          <w:sz w:val="19"/>
        </w:rPr>
        <w:t>-</w:t>
      </w:r>
      <w:r>
        <w:rPr>
          <w:rFonts w:ascii="Arial"/>
          <w:spacing w:val="-112"/>
          <w:w w:val="250"/>
          <w:sz w:val="19"/>
        </w:rPr>
        <w:t> </w:t>
      </w:r>
      <w:r>
        <w:rPr>
          <w:rFonts w:ascii="Arial"/>
          <w:i/>
          <w:spacing w:val="3"/>
          <w:w w:val="120"/>
          <w:sz w:val="21"/>
        </w:rPr>
        <w:t>L)A </w:t>
      </w:r>
      <w:r>
        <w:rPr>
          <w:w w:val="75"/>
          <w:sz w:val="31"/>
          <w:u w:val="thick"/>
        </w:rPr>
        <w:t>:a::,:-;i </w:t>
      </w:r>
      <w:r>
        <w:rPr>
          <w:w w:val="120"/>
          <w:sz w:val="24"/>
        </w:rPr>
        <w:t>= </w:t>
      </w:r>
      <w:r>
        <w:rPr>
          <w:rFonts w:ascii="Arial"/>
          <w:i/>
          <w:spacing w:val="-5"/>
          <w:w w:val="120"/>
          <w:sz w:val="21"/>
        </w:rPr>
        <w:t>,CV </w:t>
      </w:r>
      <w:r>
        <w:rPr>
          <w:rFonts w:ascii="Arial"/>
          <w:w w:val="250"/>
          <w:sz w:val="21"/>
        </w:rPr>
        <w:t>-</w:t>
      </w:r>
      <w:r>
        <w:rPr>
          <w:rFonts w:ascii="Arial"/>
          <w:spacing w:val="-127"/>
          <w:w w:val="250"/>
          <w:sz w:val="21"/>
        </w:rPr>
        <w:t> </w:t>
      </w:r>
      <w:r>
        <w:rPr>
          <w:rFonts w:ascii="Arial"/>
          <w:i/>
          <w:w w:val="120"/>
          <w:sz w:val="21"/>
        </w:rPr>
        <w:t>L.</w:t>
      </w:r>
    </w:p>
    <w:p>
      <w:pPr>
        <w:spacing w:before="215"/>
        <w:ind w:left="124" w:right="125" w:firstLine="0"/>
        <w:jc w:val="both"/>
        <w:rPr>
          <w:sz w:val="21"/>
        </w:rPr>
      </w:pPr>
      <w:r>
        <w:rPr>
          <w:sz w:val="21"/>
        </w:rPr>
        <w:t>This method provides  a smaller amount of  extended insurance for  a longer period, and helps to protect the insurer against possible anti-selection  in the use of the</w:t>
      </w:r>
      <w:r>
        <w:rPr>
          <w:spacing w:val="30"/>
          <w:sz w:val="21"/>
        </w:rPr>
        <w:t> </w:t>
      </w:r>
      <w:r>
        <w:rPr>
          <w:sz w:val="21"/>
        </w:rPr>
        <w:t>option.</w:t>
      </w:r>
    </w:p>
    <w:p>
      <w:pPr>
        <w:numPr>
          <w:ilvl w:val="0"/>
          <w:numId w:val="60"/>
        </w:numPr>
        <w:tabs>
          <w:tab w:pos="370" w:val="left" w:leader="none"/>
        </w:tabs>
        <w:spacing w:before="171"/>
        <w:ind w:left="369" w:right="0" w:hanging="248"/>
        <w:jc w:val="both"/>
        <w:rPr>
          <w:b/>
          <w:sz w:val="20"/>
        </w:rPr>
      </w:pPr>
      <w:r>
        <w:rPr>
          <w:b/>
          <w:w w:val="120"/>
          <w:sz w:val="20"/>
        </w:rPr>
        <w:t>Summary</w:t>
      </w:r>
      <w:r>
        <w:rPr>
          <w:b/>
          <w:spacing w:val="-27"/>
          <w:w w:val="120"/>
          <w:sz w:val="20"/>
        </w:rPr>
        <w:t> </w:t>
      </w:r>
      <w:r>
        <w:rPr>
          <w:b/>
          <w:w w:val="120"/>
          <w:sz w:val="20"/>
        </w:rPr>
        <w:t>oí</w:t>
      </w:r>
      <w:r>
        <w:rPr>
          <w:b/>
          <w:spacing w:val="-35"/>
          <w:w w:val="120"/>
          <w:sz w:val="20"/>
        </w:rPr>
        <w:t> </w:t>
      </w:r>
      <w:r>
        <w:rPr>
          <w:b/>
          <w:w w:val="120"/>
          <w:sz w:val="20"/>
        </w:rPr>
        <w:t>notation</w:t>
      </w:r>
    </w:p>
    <w:p>
      <w:pPr>
        <w:spacing w:line="237" w:lineRule="auto" w:before="74"/>
        <w:ind w:left="117" w:right="132" w:firstLine="208"/>
        <w:jc w:val="both"/>
        <w:rPr>
          <w:sz w:val="21"/>
        </w:rPr>
      </w:pPr>
      <w:r>
        <w:rPr>
          <w:sz w:val="22"/>
        </w:rPr>
        <w:t>In </w:t>
      </w:r>
      <w:r>
        <w:rPr>
          <w:sz w:val="21"/>
        </w:rPr>
        <w:t>this chapter, a few special conventions have been adopted which are not part of the standard notation. These are described at the end of Section  2.</w:t>
      </w:r>
    </w:p>
    <w:p>
      <w:pPr>
        <w:spacing w:before="168"/>
        <w:ind w:left="117" w:right="0" w:firstLine="0"/>
        <w:jc w:val="both"/>
        <w:rPr>
          <w:b/>
          <w:sz w:val="20"/>
        </w:rPr>
      </w:pPr>
      <w:r>
        <w:rPr>
          <w:b/>
          <w:w w:val="110"/>
          <w:sz w:val="20"/>
        </w:rPr>
        <w:t>Reíerences</w:t>
      </w:r>
    </w:p>
    <w:p>
      <w:pPr>
        <w:spacing w:line="240" w:lineRule="auto" w:before="84"/>
        <w:ind w:left="110" w:right="128" w:firstLine="216"/>
        <w:jc w:val="both"/>
        <w:rPr>
          <w:sz w:val="21"/>
        </w:rPr>
      </w:pPr>
      <w:r>
        <w:rPr>
          <w:b/>
          <w:w w:val="110"/>
          <w:sz w:val="21"/>
        </w:rPr>
        <w:t>l. </w:t>
      </w:r>
      <w:r>
        <w:rPr>
          <w:w w:val="105"/>
          <w:sz w:val="21"/>
        </w:rPr>
        <w:t>Expense analysis and the other topics </w:t>
      </w:r>
      <w:r>
        <w:rPr>
          <w:rFonts w:ascii="Arial" w:hAnsi="Arial"/>
          <w:w w:val="105"/>
          <w:sz w:val="20"/>
        </w:rPr>
        <w:t>in </w:t>
      </w:r>
      <w:r>
        <w:rPr>
          <w:w w:val="105"/>
          <w:sz w:val="21"/>
        </w:rPr>
        <w:t>this chapter are covered </w:t>
      </w:r>
      <w:r>
        <w:rPr>
          <w:rFonts w:ascii="Arial" w:hAnsi="Arial"/>
          <w:w w:val="105"/>
          <w:sz w:val="20"/>
        </w:rPr>
        <w:t>in </w:t>
      </w:r>
      <w:r>
        <w:rPr>
          <w:w w:val="105"/>
          <w:sz w:val="21"/>
        </w:rPr>
        <w:t>greater detail in the course of study for the Fellowship examinations</w:t>
      </w:r>
      <w:r>
        <w:rPr>
          <w:spacing w:val="-18"/>
          <w:w w:val="105"/>
          <w:sz w:val="21"/>
        </w:rPr>
        <w:t> </w:t>
      </w:r>
      <w:r>
        <w:rPr>
          <w:w w:val="105"/>
          <w:sz w:val="21"/>
        </w:rPr>
        <w:t>given</w:t>
      </w:r>
      <w:r>
        <w:rPr>
          <w:spacing w:val="-21"/>
          <w:w w:val="105"/>
          <w:sz w:val="21"/>
        </w:rPr>
        <w:t> </w:t>
      </w:r>
      <w:r>
        <w:rPr>
          <w:w w:val="105"/>
          <w:sz w:val="21"/>
        </w:rPr>
        <w:t>by</w:t>
      </w:r>
      <w:r>
        <w:rPr>
          <w:spacing w:val="-19"/>
          <w:w w:val="105"/>
          <w:sz w:val="21"/>
        </w:rPr>
        <w:t> </w:t>
      </w:r>
      <w:r>
        <w:rPr>
          <w:w w:val="105"/>
          <w:sz w:val="21"/>
        </w:rPr>
        <w:t>the</w:t>
      </w:r>
      <w:r>
        <w:rPr>
          <w:spacing w:val="-29"/>
          <w:w w:val="105"/>
          <w:sz w:val="21"/>
        </w:rPr>
        <w:t> </w:t>
      </w:r>
      <w:r>
        <w:rPr>
          <w:w w:val="105"/>
          <w:sz w:val="21"/>
        </w:rPr>
        <w:t>Society</w:t>
      </w:r>
      <w:r>
        <w:rPr>
          <w:spacing w:val="-25"/>
          <w:w w:val="105"/>
          <w:sz w:val="21"/>
        </w:rPr>
        <w:t> </w:t>
      </w:r>
      <w:r>
        <w:rPr>
          <w:w w:val="105"/>
          <w:sz w:val="21"/>
        </w:rPr>
        <w:t>of</w:t>
      </w:r>
      <w:r>
        <w:rPr>
          <w:spacing w:val="-22"/>
          <w:w w:val="105"/>
          <w:sz w:val="21"/>
        </w:rPr>
        <w:t> </w:t>
      </w:r>
      <w:r>
        <w:rPr>
          <w:w w:val="105"/>
          <w:sz w:val="21"/>
        </w:rPr>
        <w:t>Actuaries.</w:t>
      </w:r>
      <w:r>
        <w:rPr>
          <w:spacing w:val="-21"/>
          <w:w w:val="105"/>
          <w:sz w:val="21"/>
        </w:rPr>
        <w:t> </w:t>
      </w:r>
      <w:r>
        <w:rPr>
          <w:w w:val="105"/>
          <w:sz w:val="21"/>
        </w:rPr>
        <w:t>Students</w:t>
      </w:r>
      <w:r>
        <w:rPr>
          <w:spacing w:val="-34"/>
          <w:w w:val="105"/>
          <w:sz w:val="21"/>
        </w:rPr>
        <w:t> </w:t>
      </w:r>
      <w:r>
        <w:rPr>
          <w:w w:val="105"/>
          <w:sz w:val="21"/>
        </w:rPr>
        <w:t>who</w:t>
      </w:r>
      <w:r>
        <w:rPr>
          <w:spacing w:val="-26"/>
          <w:w w:val="105"/>
          <w:sz w:val="21"/>
        </w:rPr>
        <w:t> </w:t>
      </w:r>
      <w:r>
        <w:rPr>
          <w:w w:val="105"/>
          <w:sz w:val="21"/>
        </w:rPr>
        <w:t>wish to pursue these subjects </w:t>
      </w:r>
      <w:r>
        <w:rPr>
          <w:rFonts w:ascii="Arial" w:hAnsi="Arial"/>
          <w:w w:val="105"/>
          <w:sz w:val="20"/>
        </w:rPr>
        <w:t>in </w:t>
      </w:r>
      <w:r>
        <w:rPr>
          <w:w w:val="105"/>
          <w:sz w:val="21"/>
        </w:rPr>
        <w:t>more detail at this time will find suit­ able</w:t>
      </w:r>
      <w:r>
        <w:rPr>
          <w:spacing w:val="-23"/>
          <w:w w:val="105"/>
          <w:sz w:val="21"/>
        </w:rPr>
        <w:t> </w:t>
      </w:r>
      <w:r>
        <w:rPr>
          <w:w w:val="105"/>
          <w:sz w:val="21"/>
        </w:rPr>
        <w:t>references</w:t>
      </w:r>
      <w:r>
        <w:rPr>
          <w:spacing w:val="-11"/>
          <w:w w:val="105"/>
          <w:sz w:val="21"/>
        </w:rPr>
        <w:t> </w:t>
      </w:r>
      <w:r>
        <w:rPr>
          <w:rFonts w:ascii="Arial" w:hAnsi="Arial"/>
          <w:w w:val="105"/>
          <w:sz w:val="20"/>
        </w:rPr>
        <w:t>in</w:t>
      </w:r>
      <w:r>
        <w:rPr>
          <w:rFonts w:ascii="Arial" w:hAnsi="Arial"/>
          <w:spacing w:val="-38"/>
          <w:w w:val="105"/>
          <w:sz w:val="20"/>
        </w:rPr>
        <w:t> </w:t>
      </w:r>
      <w:r>
        <w:rPr>
          <w:w w:val="105"/>
          <w:sz w:val="21"/>
        </w:rPr>
        <w:t>the</w:t>
      </w:r>
      <w:r>
        <w:rPr>
          <w:spacing w:val="-19"/>
          <w:w w:val="105"/>
          <w:sz w:val="21"/>
        </w:rPr>
        <w:t> </w:t>
      </w:r>
      <w:r>
        <w:rPr>
          <w:w w:val="105"/>
          <w:sz w:val="21"/>
        </w:rPr>
        <w:t>course</w:t>
      </w:r>
      <w:r>
        <w:rPr>
          <w:spacing w:val="-19"/>
          <w:w w:val="105"/>
          <w:sz w:val="21"/>
        </w:rPr>
        <w:t> </w:t>
      </w:r>
      <w:r>
        <w:rPr>
          <w:w w:val="105"/>
          <w:sz w:val="21"/>
        </w:rPr>
        <w:t>of</w:t>
      </w:r>
      <w:r>
        <w:rPr>
          <w:spacing w:val="-13"/>
          <w:w w:val="105"/>
          <w:sz w:val="21"/>
        </w:rPr>
        <w:t> </w:t>
      </w:r>
      <w:r>
        <w:rPr>
          <w:w w:val="105"/>
          <w:sz w:val="21"/>
        </w:rPr>
        <w:t>reading</w:t>
      </w:r>
      <w:r>
        <w:rPr>
          <w:spacing w:val="-17"/>
          <w:w w:val="105"/>
          <w:sz w:val="21"/>
        </w:rPr>
        <w:t> </w:t>
      </w:r>
      <w:r>
        <w:rPr>
          <w:w w:val="105"/>
          <w:sz w:val="21"/>
        </w:rPr>
        <w:t>prescribed</w:t>
      </w:r>
      <w:r>
        <w:rPr>
          <w:spacing w:val="-9"/>
          <w:w w:val="105"/>
          <w:sz w:val="21"/>
        </w:rPr>
        <w:t> </w:t>
      </w:r>
      <w:r>
        <w:rPr>
          <w:w w:val="105"/>
          <w:sz w:val="21"/>
        </w:rPr>
        <w:t>for</w:t>
      </w:r>
      <w:r>
        <w:rPr>
          <w:spacing w:val="-20"/>
          <w:w w:val="105"/>
          <w:sz w:val="21"/>
        </w:rPr>
        <w:t> </w:t>
      </w:r>
      <w:r>
        <w:rPr>
          <w:w w:val="105"/>
          <w:sz w:val="21"/>
        </w:rPr>
        <w:t>these</w:t>
      </w:r>
      <w:r>
        <w:rPr>
          <w:spacing w:val="-15"/>
          <w:w w:val="105"/>
          <w:sz w:val="21"/>
        </w:rPr>
        <w:t> </w:t>
      </w:r>
      <w:r>
        <w:rPr>
          <w:w w:val="105"/>
          <w:sz w:val="21"/>
        </w:rPr>
        <w:t>exami­ nations.</w:t>
      </w:r>
    </w:p>
    <w:p>
      <w:pPr>
        <w:spacing w:line="235" w:lineRule="auto" w:before="3"/>
        <w:ind w:left="114" w:right="141" w:firstLine="198"/>
        <w:jc w:val="both"/>
        <w:rPr>
          <w:sz w:val="21"/>
        </w:rPr>
      </w:pPr>
      <w:r>
        <w:rPr>
          <w:b/>
          <w:sz w:val="21"/>
        </w:rPr>
        <w:t>2, 3, 4. </w:t>
      </w:r>
      <w:r>
        <w:rPr>
          <w:sz w:val="21"/>
        </w:rPr>
        <w:t>The chapter on Modified Reserve Systems </w:t>
      </w:r>
      <w:r>
        <w:rPr>
          <w:rFonts w:ascii="Arial"/>
          <w:sz w:val="20"/>
        </w:rPr>
        <w:t>in </w:t>
      </w:r>
      <w:r>
        <w:rPr>
          <w:sz w:val="21"/>
        </w:rPr>
        <w:t>Menge and Fischer (1965) provides a good elementary introduction </w:t>
      </w:r>
      <w:r>
        <w:rPr>
          <w:sz w:val="22"/>
        </w:rPr>
        <w:t>to </w:t>
      </w:r>
      <w:r>
        <w:rPr>
          <w:sz w:val="21"/>
        </w:rPr>
        <w:t>this subject. A more detailed treatment may be seen </w:t>
      </w:r>
      <w:r>
        <w:rPr>
          <w:rFonts w:ascii="Arial"/>
          <w:sz w:val="20"/>
        </w:rPr>
        <w:t>in </w:t>
      </w:r>
      <w:r>
        <w:rPr>
          <w:sz w:val="21"/>
        </w:rPr>
        <w:t>the papers by Menge   (1936), (1946).</w:t>
      </w:r>
    </w:p>
    <w:p>
      <w:pPr>
        <w:spacing w:line="237" w:lineRule="auto" w:before="6"/>
        <w:ind w:left="114" w:right="133" w:firstLine="194"/>
        <w:jc w:val="both"/>
        <w:rPr>
          <w:sz w:val="21"/>
        </w:rPr>
      </w:pPr>
      <w:r>
        <w:rPr>
          <w:rFonts w:ascii="Arial"/>
          <w:w w:val="105"/>
          <w:sz w:val="20"/>
        </w:rPr>
        <w:t>An </w:t>
      </w:r>
      <w:r>
        <w:rPr>
          <w:w w:val="105"/>
          <w:sz w:val="21"/>
        </w:rPr>
        <w:t>early version of the text of the Standard Valuation Law, which defines the Commissioners reserve valuation method, is quoted by Menge {1946). The language of the statute does not define the method in the same terms that we use here, but it may be seen </w:t>
      </w:r>
      <w:r>
        <w:rPr>
          <w:rFonts w:ascii="Arial"/>
          <w:w w:val="105"/>
          <w:sz w:val="20"/>
        </w:rPr>
        <w:t>in </w:t>
      </w:r>
      <w:r>
        <w:rPr>
          <w:w w:val="105"/>
          <w:sz w:val="21"/>
        </w:rPr>
        <w:t>Menge's paper that the two definitions are  equivalent.</w:t>
      </w:r>
    </w:p>
    <w:p>
      <w:pPr>
        <w:spacing w:after="0" w:line="237" w:lineRule="auto"/>
        <w:jc w:val="both"/>
        <w:rPr>
          <w:sz w:val="21"/>
        </w:rPr>
        <w:sectPr>
          <w:pgSz w:w="7200" w:h="11340"/>
          <w:pgMar w:top="480" w:bottom="280" w:left="660" w:right="540"/>
        </w:sectPr>
      </w:pPr>
    </w:p>
    <w:p>
      <w:pPr>
        <w:tabs>
          <w:tab w:pos="5880" w:val="right" w:leader="none"/>
        </w:tabs>
        <w:spacing w:before="45"/>
        <w:ind w:left="2569" w:right="0" w:firstLine="0"/>
        <w:jc w:val="left"/>
        <w:rPr>
          <w:sz w:val="20"/>
        </w:rPr>
      </w:pPr>
      <w:r>
        <w:rPr>
          <w:b/>
          <w:color w:val="010101"/>
          <w:w w:val="105"/>
          <w:sz w:val="15"/>
        </w:rPr>
        <w:t>EXERCISES</w:t>
      </w:r>
      <w:r>
        <w:rPr>
          <w:color w:val="010101"/>
          <w:w w:val="105"/>
          <w:sz w:val="20"/>
        </w:rPr>
        <w:tab/>
      </w:r>
      <w:r>
        <w:rPr>
          <w:color w:val="010101"/>
          <w:spacing w:val="-17"/>
          <w:w w:val="105"/>
          <w:sz w:val="20"/>
        </w:rPr>
        <w:t>145</w:t>
      </w:r>
    </w:p>
    <w:p>
      <w:pPr>
        <w:pStyle w:val="BodyText"/>
        <w:spacing w:before="2"/>
        <w:rPr>
          <w:sz w:val="21"/>
        </w:rPr>
      </w:pPr>
    </w:p>
    <w:p>
      <w:pPr>
        <w:spacing w:line="238" w:lineRule="exact" w:before="0"/>
        <w:ind w:left="148" w:right="0" w:firstLine="3"/>
        <w:jc w:val="left"/>
        <w:rPr>
          <w:sz w:val="21"/>
        </w:rPr>
      </w:pPr>
      <w:r>
        <w:rPr>
          <w:color w:val="010101"/>
          <w:sz w:val="21"/>
        </w:rPr>
        <w:t>This paper also discusses the application of the method to policies with varying benefits or premiums.</w:t>
      </w:r>
    </w:p>
    <w:p>
      <w:pPr>
        <w:spacing w:before="0"/>
        <w:ind w:left="151" w:right="148" w:firstLine="200"/>
        <w:jc w:val="both"/>
        <w:rPr>
          <w:sz w:val="20"/>
        </w:rPr>
      </w:pPr>
      <w:r>
        <w:rPr>
          <w:color w:val="010101"/>
          <w:sz w:val="21"/>
        </w:rPr>
        <w:t>Commissioners reserves using continuous functions are</w:t>
      </w:r>
      <w:r>
        <w:rPr>
          <w:color w:val="010101"/>
          <w:spacing w:val="-33"/>
          <w:sz w:val="21"/>
        </w:rPr>
        <w:t> </w:t>
      </w:r>
      <w:r>
        <w:rPr>
          <w:color w:val="010101"/>
          <w:sz w:val="21"/>
        </w:rPr>
        <w:t>discussed by Smith  </w:t>
      </w:r>
      <w:r>
        <w:rPr>
          <w:color w:val="010101"/>
          <w:sz w:val="20"/>
        </w:rPr>
        <w:t>(1961</w:t>
      </w:r>
      <w:r>
        <w:rPr>
          <w:color w:val="010101"/>
          <w:spacing w:val="8"/>
          <w:sz w:val="20"/>
        </w:rPr>
        <w:t> </w:t>
      </w:r>
      <w:r>
        <w:rPr>
          <w:color w:val="010101"/>
          <w:sz w:val="20"/>
        </w:rPr>
        <w:t>).</w:t>
      </w:r>
    </w:p>
    <w:p>
      <w:pPr>
        <w:spacing w:line="237" w:lineRule="auto" w:before="1"/>
        <w:ind w:left="148" w:right="123" w:firstLine="203"/>
        <w:jc w:val="both"/>
        <w:rPr>
          <w:sz w:val="20"/>
        </w:rPr>
      </w:pPr>
      <w:r>
        <w:rPr>
          <w:color w:val="010101"/>
          <w:sz w:val="21"/>
        </w:rPr>
        <w:t>5. An early version of the text of the Standard  Nonforfeiture Law, which defines the  adjusted  premium  method,  may  be seen in </w:t>
      </w:r>
      <w:r>
        <w:rPr>
          <w:i/>
          <w:color w:val="010101"/>
          <w:sz w:val="21"/>
        </w:rPr>
        <w:t>Reports and StatemenúJ on N onf orf eiture Benefits and Related </w:t>
      </w:r>
      <w:r>
        <w:rPr>
          <w:i/>
          <w:color w:val="010101"/>
          <w:sz w:val="22"/>
        </w:rPr>
        <w:t>M atters, </w:t>
      </w:r>
      <w:r>
        <w:rPr>
          <w:color w:val="010101"/>
          <w:sz w:val="21"/>
        </w:rPr>
        <w:t>National Association of Insurance Commissioners, </w:t>
      </w:r>
      <w:r>
        <w:rPr>
          <w:color w:val="010101"/>
          <w:sz w:val="20"/>
        </w:rPr>
        <w:t>1942, </w:t>
      </w:r>
      <w:r>
        <w:rPr>
          <w:color w:val="010101"/>
          <w:sz w:val="21"/>
        </w:rPr>
        <w:t>pp. </w:t>
      </w:r>
      <w:r>
        <w:rPr>
          <w:color w:val="010101"/>
          <w:sz w:val="20"/>
        </w:rPr>
        <w:t>266-270. </w:t>
      </w:r>
      <w:r>
        <w:rPr>
          <w:color w:val="010101"/>
          <w:sz w:val="21"/>
        </w:rPr>
        <w:t>The Standard Valuation Law  is also  included  here, pp. </w:t>
      </w:r>
      <w:r>
        <w:rPr>
          <w:color w:val="010101"/>
          <w:sz w:val="20"/>
        </w:rPr>
        <w:t>271-274.</w:t>
      </w:r>
    </w:p>
    <w:p>
      <w:pPr>
        <w:spacing w:line="237" w:lineRule="auto" w:before="5"/>
        <w:ind w:left="148" w:right="138" w:firstLine="193"/>
        <w:jc w:val="both"/>
        <w:rPr>
          <w:sz w:val="21"/>
        </w:rPr>
      </w:pPr>
      <w:r>
        <w:rPr>
          <w:color w:val="010101"/>
          <w:sz w:val="21"/>
        </w:rPr>
        <w:t>A policy which provides for the payment of the cash value in addition to the face amount is discussed by Gold and Wilson (1963). A more general treatment of this type of policy is given by Smith</w:t>
      </w:r>
      <w:r>
        <w:rPr>
          <w:color w:val="010101"/>
          <w:spacing w:val="50"/>
          <w:sz w:val="21"/>
        </w:rPr>
        <w:t> </w:t>
      </w:r>
      <w:r>
        <w:rPr>
          <w:color w:val="010101"/>
          <w:sz w:val="21"/>
        </w:rPr>
        <w:t>(1964).</w:t>
      </w:r>
    </w:p>
    <w:p>
      <w:pPr>
        <w:spacing w:before="3"/>
        <w:ind w:left="141" w:right="142" w:firstLine="207"/>
        <w:jc w:val="both"/>
        <w:rPr>
          <w:sz w:val="21"/>
        </w:rPr>
      </w:pPr>
      <w:r>
        <w:rPr>
          <w:b/>
          <w:color w:val="010101"/>
          <w:sz w:val="21"/>
        </w:rPr>
        <w:t>6. </w:t>
      </w:r>
      <w:r>
        <w:rPr>
          <w:color w:val="010101"/>
          <w:sz w:val="21"/>
        </w:rPr>
        <w:t>Hummel and Stedman </w:t>
      </w:r>
      <w:r>
        <w:rPr>
          <w:color w:val="010101"/>
          <w:sz w:val="20"/>
        </w:rPr>
        <w:t>(1958) </w:t>
      </w:r>
      <w:r>
        <w:rPr>
          <w:color w:val="010101"/>
          <w:sz w:val="21"/>
        </w:rPr>
        <w:t>give an interesting mathe­ matical analysis of the rate of increase in the paid-up insurance values  as compared  with  the rate of  increase in  the cash values.</w:t>
      </w:r>
    </w:p>
    <w:p>
      <w:pPr>
        <w:spacing w:before="111"/>
        <w:ind w:left="84" w:right="87" w:firstLine="0"/>
        <w:jc w:val="center"/>
        <w:rPr>
          <w:sz w:val="19"/>
        </w:rPr>
      </w:pPr>
      <w:r>
        <w:rPr>
          <w:color w:val="010101"/>
          <w:sz w:val="19"/>
        </w:rPr>
        <w:t>EXERCISES</w:t>
      </w:r>
    </w:p>
    <w:p>
      <w:pPr>
        <w:spacing w:before="120"/>
        <w:ind w:left="144" w:right="0" w:firstLine="0"/>
        <w:jc w:val="left"/>
        <w:rPr>
          <w:b/>
          <w:sz w:val="16"/>
        </w:rPr>
      </w:pPr>
      <w:r>
        <w:rPr>
          <w:b/>
          <w:color w:val="010101"/>
          <w:w w:val="125"/>
          <w:sz w:val="17"/>
        </w:rPr>
        <w:t>l. </w:t>
      </w:r>
      <w:r>
        <w:rPr>
          <w:b/>
          <w:color w:val="010101"/>
          <w:w w:val="125"/>
          <w:sz w:val="16"/>
        </w:rPr>
        <w:t>The evaluation  of expenses</w:t>
      </w:r>
    </w:p>
    <w:p>
      <w:pPr>
        <w:spacing w:line="247" w:lineRule="auto" w:before="84"/>
        <w:ind w:left="141" w:right="141" w:firstLine="168"/>
        <w:jc w:val="both"/>
        <w:rPr>
          <w:sz w:val="17"/>
        </w:rPr>
      </w:pPr>
      <w:r>
        <w:rPr>
          <w:color w:val="010101"/>
          <w:w w:val="125"/>
          <w:sz w:val="17"/>
        </w:rPr>
        <w:t>l. </w:t>
      </w:r>
      <w:r>
        <w:rPr>
          <w:color w:val="010101"/>
          <w:w w:val="105"/>
          <w:sz w:val="17"/>
        </w:rPr>
        <w:t>Derive a formula in tenns of annuity valuea  for  the  grosa  annual premium at age </w:t>
      </w:r>
      <w:r>
        <w:rPr>
          <w:i/>
          <w:color w:val="010101"/>
          <w:w w:val="105"/>
          <w:sz w:val="17"/>
        </w:rPr>
        <w:t>x </w:t>
      </w:r>
      <w:r>
        <w:rPr>
          <w:color w:val="010101"/>
          <w:w w:val="105"/>
          <w:sz w:val="17"/>
        </w:rPr>
        <w:t>payable for </w:t>
      </w:r>
      <w:r>
        <w:rPr>
          <w:i/>
          <w:color w:val="010101"/>
          <w:w w:val="105"/>
          <w:sz w:val="17"/>
        </w:rPr>
        <w:t>n </w:t>
      </w:r>
      <w:r>
        <w:rPr>
          <w:color w:val="010101"/>
          <w:w w:val="105"/>
          <w:sz w:val="17"/>
        </w:rPr>
        <w:t>years for a whole life insurance of 1 if the expenses consist of  a flat  amount  of  </w:t>
      </w:r>
      <w:r>
        <w:rPr>
          <w:rFonts w:ascii="Arial"/>
          <w:i/>
          <w:color w:val="010101"/>
          <w:w w:val="105"/>
          <w:sz w:val="17"/>
        </w:rPr>
        <w:t>h </w:t>
      </w:r>
      <w:r>
        <w:rPr>
          <w:color w:val="010101"/>
          <w:w w:val="105"/>
          <w:sz w:val="17"/>
        </w:rPr>
        <w:t>per  year  plus  an additional  amount of  </w:t>
      </w:r>
      <w:r>
        <w:rPr>
          <w:i/>
          <w:color w:val="010101"/>
          <w:w w:val="105"/>
          <w:sz w:val="17"/>
        </w:rPr>
        <w:t>k  </w:t>
      </w:r>
      <w:r>
        <w:rPr>
          <w:color w:val="010101"/>
          <w:w w:val="105"/>
          <w:sz w:val="17"/>
        </w:rPr>
        <w:t>in the first year plus </w:t>
      </w:r>
      <w:r>
        <w:rPr>
          <w:i/>
          <w:color w:val="010101"/>
          <w:w w:val="105"/>
          <w:sz w:val="16"/>
        </w:rPr>
        <w:t>j  </w:t>
      </w:r>
      <w:r>
        <w:rPr>
          <w:color w:val="010101"/>
          <w:w w:val="105"/>
          <w:sz w:val="17"/>
        </w:rPr>
        <w:t>per  cent of  each premium   paid.</w:t>
      </w:r>
    </w:p>
    <w:p>
      <w:pPr>
        <w:pStyle w:val="ListParagraph"/>
        <w:numPr>
          <w:ilvl w:val="0"/>
          <w:numId w:val="62"/>
        </w:numPr>
        <w:tabs>
          <w:tab w:pos="514" w:val="left" w:leader="none"/>
        </w:tabs>
        <w:spacing w:line="247" w:lineRule="auto" w:before="0" w:after="0"/>
        <w:ind w:left="141" w:right="142" w:firstLine="161"/>
        <w:jc w:val="both"/>
        <w:rPr>
          <w:sz w:val="17"/>
        </w:rPr>
      </w:pPr>
      <w:r>
        <w:rPr>
          <w:color w:val="010101"/>
          <w:w w:val="110"/>
          <w:sz w:val="17"/>
        </w:rPr>
        <w:t>Gross premiums for single premium endowment insurances are to be calculated with the following expense</w:t>
      </w:r>
      <w:r>
        <w:rPr>
          <w:color w:val="010101"/>
          <w:spacing w:val="27"/>
          <w:w w:val="110"/>
          <w:sz w:val="17"/>
        </w:rPr>
        <w:t> </w:t>
      </w:r>
      <w:r>
        <w:rPr>
          <w:color w:val="010101"/>
          <w:w w:val="110"/>
          <w:sz w:val="17"/>
        </w:rPr>
        <w:t>assumptions:</w:t>
      </w:r>
    </w:p>
    <w:p>
      <w:pPr>
        <w:spacing w:line="242" w:lineRule="auto" w:before="3"/>
        <w:ind w:left="455" w:right="2049" w:firstLine="0"/>
        <w:jc w:val="left"/>
        <w:rPr>
          <w:sz w:val="17"/>
        </w:rPr>
      </w:pPr>
      <w:r>
        <w:rPr>
          <w:color w:val="010101"/>
          <w:w w:val="115"/>
          <w:sz w:val="17"/>
        </w:rPr>
        <w:t>Tax: </w:t>
      </w:r>
      <w:r>
        <w:rPr>
          <w:color w:val="010101"/>
          <w:w w:val="192"/>
          <w:sz w:val="17"/>
        </w:rPr>
        <w:t>2% </w:t>
      </w:r>
      <w:r>
        <w:rPr>
          <w:color w:val="010101"/>
          <w:w w:val="88"/>
          <w:sz w:val="17"/>
        </w:rPr>
        <w:t>of </w:t>
      </w:r>
      <w:r>
        <w:rPr>
          <w:color w:val="010101"/>
          <w:w w:val="111"/>
          <w:sz w:val="17"/>
        </w:rPr>
        <w:t>the </w:t>
      </w:r>
      <w:r>
        <w:rPr>
          <w:color w:val="010101"/>
          <w:w w:val="105"/>
          <w:sz w:val="17"/>
        </w:rPr>
        <w:t>gross </w:t>
      </w:r>
      <w:r>
        <w:rPr>
          <w:color w:val="010101"/>
          <w:w w:val="108"/>
          <w:sz w:val="17"/>
        </w:rPr>
        <w:t>premium; </w:t>
      </w:r>
      <w:r>
        <w:rPr>
          <w:color w:val="010101"/>
          <w:w w:val="110"/>
          <w:sz w:val="17"/>
        </w:rPr>
        <w:t>Commission: 4% of the gross premium;</w:t>
      </w:r>
    </w:p>
    <w:p>
      <w:pPr>
        <w:spacing w:line="247" w:lineRule="auto" w:before="3"/>
        <w:ind w:left="613" w:right="0" w:hanging="158"/>
        <w:jc w:val="left"/>
        <w:rPr>
          <w:sz w:val="17"/>
        </w:rPr>
      </w:pPr>
      <w:r>
        <w:rPr>
          <w:color w:val="010101"/>
          <w:w w:val="110"/>
          <w:sz w:val="17"/>
        </w:rPr>
        <w:t>Other expenses (per $1000 of insurance) : </w:t>
      </w:r>
      <w:r>
        <w:rPr>
          <w:rFonts w:ascii="Arial"/>
          <w:b/>
          <w:color w:val="010101"/>
          <w:w w:val="110"/>
          <w:sz w:val="14"/>
        </w:rPr>
        <w:t>$5 </w:t>
      </w:r>
      <w:r>
        <w:rPr>
          <w:color w:val="010101"/>
          <w:w w:val="110"/>
          <w:sz w:val="17"/>
        </w:rPr>
        <w:t>in first year and $2.50 in renewal years.</w:t>
      </w:r>
    </w:p>
    <w:p>
      <w:pPr>
        <w:spacing w:line="247" w:lineRule="auto" w:before="0"/>
        <w:ind w:left="137" w:right="136" w:hanging="4"/>
        <w:jc w:val="left"/>
        <w:rPr>
          <w:sz w:val="17"/>
        </w:rPr>
      </w:pPr>
      <w:r>
        <w:rPr>
          <w:color w:val="010101"/>
          <w:w w:val="110"/>
          <w:sz w:val="17"/>
        </w:rPr>
        <w:t>Derive a formula in commutation functiona for the gross single premium  per</w:t>
      </w:r>
      <w:r>
        <w:rPr>
          <w:color w:val="010101"/>
          <w:spacing w:val="-17"/>
          <w:w w:val="110"/>
          <w:sz w:val="17"/>
        </w:rPr>
        <w:t> </w:t>
      </w:r>
      <w:r>
        <w:rPr>
          <w:color w:val="010101"/>
          <w:w w:val="110"/>
          <w:sz w:val="17"/>
        </w:rPr>
        <w:t>$1000</w:t>
      </w:r>
      <w:r>
        <w:rPr>
          <w:color w:val="010101"/>
          <w:spacing w:val="-23"/>
          <w:w w:val="110"/>
          <w:sz w:val="17"/>
        </w:rPr>
        <w:t> </w:t>
      </w:r>
      <w:r>
        <w:rPr>
          <w:color w:val="010101"/>
          <w:w w:val="110"/>
          <w:sz w:val="17"/>
        </w:rPr>
        <w:t>of</w:t>
      </w:r>
      <w:r>
        <w:rPr>
          <w:color w:val="010101"/>
          <w:spacing w:val="-2"/>
          <w:w w:val="110"/>
          <w:sz w:val="17"/>
        </w:rPr>
        <w:t> </w:t>
      </w:r>
      <w:r>
        <w:rPr>
          <w:color w:val="010101"/>
          <w:w w:val="110"/>
          <w:sz w:val="17"/>
        </w:rPr>
        <w:t>inaurance</w:t>
      </w:r>
      <w:r>
        <w:rPr>
          <w:color w:val="010101"/>
          <w:spacing w:val="-10"/>
          <w:w w:val="110"/>
          <w:sz w:val="17"/>
        </w:rPr>
        <w:t> </w:t>
      </w:r>
      <w:r>
        <w:rPr>
          <w:color w:val="010101"/>
          <w:w w:val="110"/>
          <w:sz w:val="17"/>
        </w:rPr>
        <w:t>including</w:t>
      </w:r>
      <w:r>
        <w:rPr>
          <w:color w:val="010101"/>
          <w:spacing w:val="-16"/>
          <w:w w:val="110"/>
          <w:sz w:val="17"/>
        </w:rPr>
        <w:t> </w:t>
      </w:r>
      <w:r>
        <w:rPr>
          <w:color w:val="010101"/>
          <w:w w:val="110"/>
          <w:sz w:val="17"/>
        </w:rPr>
        <w:t>provision</w:t>
      </w:r>
      <w:r>
        <w:rPr>
          <w:color w:val="010101"/>
          <w:spacing w:val="-6"/>
          <w:w w:val="110"/>
          <w:sz w:val="17"/>
        </w:rPr>
        <w:t> </w:t>
      </w:r>
      <w:r>
        <w:rPr>
          <w:color w:val="010101"/>
          <w:w w:val="110"/>
          <w:sz w:val="17"/>
        </w:rPr>
        <w:t>for</w:t>
      </w:r>
      <w:r>
        <w:rPr>
          <w:color w:val="010101"/>
          <w:spacing w:val="-16"/>
          <w:w w:val="110"/>
          <w:sz w:val="17"/>
        </w:rPr>
        <w:t> </w:t>
      </w:r>
      <w:r>
        <w:rPr>
          <w:color w:val="010101"/>
          <w:w w:val="110"/>
          <w:sz w:val="17"/>
        </w:rPr>
        <w:t>immediate</w:t>
      </w:r>
      <w:r>
        <w:rPr>
          <w:color w:val="010101"/>
          <w:spacing w:val="-5"/>
          <w:w w:val="110"/>
          <w:sz w:val="17"/>
        </w:rPr>
        <w:t> </w:t>
      </w:r>
      <w:r>
        <w:rPr>
          <w:color w:val="010101"/>
          <w:w w:val="110"/>
          <w:sz w:val="17"/>
        </w:rPr>
        <w:t>payment</w:t>
      </w:r>
      <w:r>
        <w:rPr>
          <w:color w:val="010101"/>
          <w:spacing w:val="-2"/>
          <w:w w:val="110"/>
          <w:sz w:val="17"/>
        </w:rPr>
        <w:t> </w:t>
      </w:r>
      <w:r>
        <w:rPr>
          <w:color w:val="010101"/>
          <w:w w:val="110"/>
          <w:sz w:val="17"/>
        </w:rPr>
        <w:t>of claims.</w:t>
      </w:r>
    </w:p>
    <w:p>
      <w:pPr>
        <w:pStyle w:val="ListParagraph"/>
        <w:numPr>
          <w:ilvl w:val="0"/>
          <w:numId w:val="62"/>
        </w:numPr>
        <w:tabs>
          <w:tab w:pos="503" w:val="left" w:leader="none"/>
        </w:tabs>
        <w:spacing w:line="247" w:lineRule="auto" w:before="0" w:after="0"/>
        <w:ind w:left="126" w:right="146" w:firstLine="165"/>
        <w:jc w:val="both"/>
        <w:rPr>
          <w:sz w:val="17"/>
        </w:rPr>
      </w:pPr>
      <w:r>
        <w:rPr>
          <w:color w:val="010101"/>
          <w:w w:val="110"/>
          <w:sz w:val="17"/>
        </w:rPr>
        <w:t>Obtain</w:t>
      </w:r>
      <w:r>
        <w:rPr>
          <w:color w:val="010101"/>
          <w:spacing w:val="-5"/>
          <w:w w:val="110"/>
          <w:sz w:val="17"/>
        </w:rPr>
        <w:t> </w:t>
      </w:r>
      <w:r>
        <w:rPr>
          <w:color w:val="010101"/>
          <w:w w:val="110"/>
          <w:sz w:val="17"/>
        </w:rPr>
        <w:t>a</w:t>
      </w:r>
      <w:r>
        <w:rPr>
          <w:color w:val="010101"/>
          <w:spacing w:val="-14"/>
          <w:w w:val="110"/>
          <w:sz w:val="17"/>
        </w:rPr>
        <w:t> </w:t>
      </w:r>
      <w:r>
        <w:rPr>
          <w:color w:val="010101"/>
          <w:w w:val="110"/>
          <w:sz w:val="17"/>
        </w:rPr>
        <w:t>formula</w:t>
      </w:r>
      <w:r>
        <w:rPr>
          <w:color w:val="010101"/>
          <w:spacing w:val="-3"/>
          <w:w w:val="110"/>
          <w:sz w:val="17"/>
        </w:rPr>
        <w:t> </w:t>
      </w:r>
      <w:r>
        <w:rPr>
          <w:color w:val="010101"/>
          <w:w w:val="110"/>
          <w:sz w:val="17"/>
        </w:rPr>
        <w:t>for</w:t>
      </w:r>
      <w:r>
        <w:rPr>
          <w:color w:val="010101"/>
          <w:spacing w:val="-7"/>
          <w:w w:val="110"/>
          <w:sz w:val="17"/>
        </w:rPr>
        <w:t> </w:t>
      </w:r>
      <w:r>
        <w:rPr>
          <w:color w:val="010101"/>
          <w:w w:val="110"/>
          <w:sz w:val="17"/>
        </w:rPr>
        <w:t>the</w:t>
      </w:r>
      <w:r>
        <w:rPr>
          <w:color w:val="010101"/>
          <w:spacing w:val="-5"/>
          <w:w w:val="110"/>
          <w:sz w:val="17"/>
        </w:rPr>
        <w:t> </w:t>
      </w:r>
      <w:r>
        <w:rPr>
          <w:color w:val="010101"/>
          <w:w w:val="110"/>
          <w:sz w:val="17"/>
        </w:rPr>
        <w:t>gross</w:t>
      </w:r>
      <w:r>
        <w:rPr>
          <w:color w:val="010101"/>
          <w:spacing w:val="-13"/>
          <w:w w:val="110"/>
          <w:sz w:val="17"/>
        </w:rPr>
        <w:t> </w:t>
      </w:r>
      <w:r>
        <w:rPr>
          <w:color w:val="010101"/>
          <w:w w:val="110"/>
          <w:sz w:val="17"/>
        </w:rPr>
        <w:t>single</w:t>
      </w:r>
      <w:r>
        <w:rPr>
          <w:color w:val="010101"/>
          <w:spacing w:val="-10"/>
          <w:w w:val="110"/>
          <w:sz w:val="17"/>
        </w:rPr>
        <w:t> </w:t>
      </w:r>
      <w:r>
        <w:rPr>
          <w:color w:val="010101"/>
          <w:w w:val="110"/>
          <w:sz w:val="17"/>
        </w:rPr>
        <w:t>premium</w:t>
      </w:r>
      <w:r>
        <w:rPr>
          <w:color w:val="010101"/>
          <w:spacing w:val="11"/>
          <w:w w:val="110"/>
          <w:sz w:val="17"/>
        </w:rPr>
        <w:t> </w:t>
      </w:r>
      <w:r>
        <w:rPr>
          <w:color w:val="010101"/>
          <w:w w:val="110"/>
          <w:sz w:val="17"/>
        </w:rPr>
        <w:t>at</w:t>
      </w:r>
      <w:r>
        <w:rPr>
          <w:color w:val="010101"/>
          <w:spacing w:val="-9"/>
          <w:w w:val="110"/>
          <w:sz w:val="17"/>
        </w:rPr>
        <w:t> </w:t>
      </w:r>
      <w:r>
        <w:rPr>
          <w:color w:val="010101"/>
          <w:w w:val="110"/>
          <w:sz w:val="17"/>
        </w:rPr>
        <w:t>age</w:t>
      </w:r>
      <w:r>
        <w:rPr>
          <w:color w:val="010101"/>
          <w:spacing w:val="-12"/>
          <w:w w:val="110"/>
          <w:sz w:val="17"/>
        </w:rPr>
        <w:t> </w:t>
      </w:r>
      <w:r>
        <w:rPr>
          <w:i/>
          <w:color w:val="010101"/>
          <w:w w:val="110"/>
          <w:sz w:val="17"/>
        </w:rPr>
        <w:t>x</w:t>
      </w:r>
      <w:r>
        <w:rPr>
          <w:i/>
          <w:color w:val="010101"/>
          <w:spacing w:val="2"/>
          <w:w w:val="110"/>
          <w:sz w:val="17"/>
        </w:rPr>
        <w:t> </w:t>
      </w:r>
      <w:r>
        <w:rPr>
          <w:color w:val="010101"/>
          <w:w w:val="110"/>
          <w:sz w:val="17"/>
        </w:rPr>
        <w:t>for</w:t>
      </w:r>
      <w:r>
        <w:rPr>
          <w:color w:val="010101"/>
          <w:spacing w:val="-7"/>
          <w:w w:val="110"/>
          <w:sz w:val="17"/>
        </w:rPr>
        <w:t> </w:t>
      </w:r>
      <w:r>
        <w:rPr>
          <w:color w:val="010101"/>
          <w:w w:val="110"/>
          <w:sz w:val="17"/>
        </w:rPr>
        <w:t>an</w:t>
      </w:r>
      <w:r>
        <w:rPr>
          <w:color w:val="010101"/>
          <w:spacing w:val="-9"/>
          <w:w w:val="110"/>
          <w:sz w:val="17"/>
        </w:rPr>
        <w:t> </w:t>
      </w:r>
      <w:r>
        <w:rPr>
          <w:color w:val="010101"/>
          <w:w w:val="110"/>
          <w:sz w:val="17"/>
        </w:rPr>
        <w:t>immediate life annuity of 1 per annum payable m times  a year  if  the expenses are </w:t>
      </w:r>
      <w:r>
        <w:rPr>
          <w:rFonts w:ascii="Arial"/>
          <w:i/>
          <w:color w:val="010101"/>
          <w:w w:val="110"/>
          <w:sz w:val="17"/>
        </w:rPr>
        <w:t>k </w:t>
      </w:r>
      <w:r>
        <w:rPr>
          <w:color w:val="010101"/>
          <w:w w:val="110"/>
          <w:sz w:val="17"/>
        </w:rPr>
        <w:t>per cent of  the gross premium plus a flat amount of </w:t>
      </w:r>
      <w:r>
        <w:rPr>
          <w:rFonts w:ascii="Arial"/>
          <w:i/>
          <w:color w:val="010101"/>
          <w:w w:val="110"/>
          <w:sz w:val="17"/>
        </w:rPr>
        <w:t>h </w:t>
      </w:r>
      <w:r>
        <w:rPr>
          <w:color w:val="010101"/>
          <w:w w:val="110"/>
          <w:sz w:val="17"/>
        </w:rPr>
        <w:t>per  </w:t>
      </w:r>
      <w:r>
        <w:rPr>
          <w:color w:val="010101"/>
          <w:spacing w:val="11"/>
          <w:w w:val="110"/>
          <w:sz w:val="17"/>
        </w:rPr>
        <w:t> </w:t>
      </w:r>
      <w:r>
        <w:rPr>
          <w:color w:val="010101"/>
          <w:w w:val="110"/>
          <w:sz w:val="17"/>
        </w:rPr>
        <w:t>year.</w:t>
      </w:r>
    </w:p>
    <w:p>
      <w:pPr>
        <w:pStyle w:val="ListParagraph"/>
        <w:numPr>
          <w:ilvl w:val="0"/>
          <w:numId w:val="62"/>
        </w:numPr>
        <w:tabs>
          <w:tab w:pos="503" w:val="left" w:leader="none"/>
        </w:tabs>
        <w:spacing w:line="244" w:lineRule="auto" w:before="0" w:after="0"/>
        <w:ind w:left="126" w:right="145" w:firstLine="165"/>
        <w:jc w:val="both"/>
        <w:rPr>
          <w:sz w:val="17"/>
        </w:rPr>
      </w:pPr>
      <w:r>
        <w:rPr>
          <w:color w:val="010101"/>
          <w:w w:val="110"/>
          <w:sz w:val="17"/>
        </w:rPr>
        <w:t>Derive a formula in commutation symbols for the net annual premium for a whole life insurance providing for the return of the gross premiums paid along with the sum insured of </w:t>
      </w:r>
      <w:r>
        <w:rPr>
          <w:color w:val="010101"/>
          <w:w w:val="130"/>
          <w:sz w:val="16"/>
        </w:rPr>
        <w:t>l. </w:t>
      </w:r>
      <w:r>
        <w:rPr>
          <w:color w:val="010101"/>
          <w:w w:val="110"/>
          <w:sz w:val="17"/>
        </w:rPr>
        <w:t>Assume that the gross annual</w:t>
      </w:r>
      <w:r>
        <w:rPr>
          <w:color w:val="010101"/>
          <w:spacing w:val="-25"/>
          <w:w w:val="110"/>
          <w:sz w:val="17"/>
        </w:rPr>
        <w:t> </w:t>
      </w:r>
      <w:r>
        <w:rPr>
          <w:color w:val="010101"/>
          <w:w w:val="110"/>
          <w:sz w:val="17"/>
        </w:rPr>
        <w:t>premium</w:t>
      </w:r>
    </w:p>
    <w:p>
      <w:pPr>
        <w:spacing w:line="214" w:lineRule="exact" w:before="0"/>
        <w:ind w:left="130" w:right="0" w:firstLine="0"/>
        <w:jc w:val="left"/>
        <w:rPr>
          <w:rFonts w:ascii="Arial"/>
          <w:i/>
          <w:sz w:val="16"/>
        </w:rPr>
      </w:pPr>
      <w:r>
        <w:rPr>
          <w:rFonts w:ascii="Arial"/>
          <w:i/>
          <w:color w:val="010101"/>
          <w:w w:val="105"/>
          <w:sz w:val="16"/>
        </w:rPr>
        <w:t>G </w:t>
      </w:r>
      <w:r>
        <w:rPr>
          <w:color w:val="010101"/>
          <w:w w:val="105"/>
          <w:sz w:val="17"/>
        </w:rPr>
        <w:t>is related  to  the  net  annual  premium  </w:t>
      </w:r>
      <w:r>
        <w:rPr>
          <w:rFonts w:ascii="Arial"/>
          <w:i/>
          <w:color w:val="010101"/>
          <w:w w:val="105"/>
          <w:sz w:val="16"/>
        </w:rPr>
        <w:t>P </w:t>
      </w:r>
      <w:r>
        <w:rPr>
          <w:color w:val="010101"/>
          <w:w w:val="105"/>
          <w:sz w:val="17"/>
        </w:rPr>
        <w:t>as .follows: </w:t>
      </w:r>
      <w:r>
        <w:rPr>
          <w:rFonts w:ascii="Arial"/>
          <w:i/>
          <w:color w:val="010101"/>
          <w:w w:val="105"/>
          <w:sz w:val="16"/>
        </w:rPr>
        <w:t>G </w:t>
      </w:r>
      <w:r>
        <w:rPr>
          <w:color w:val="010101"/>
          <w:w w:val="105"/>
          <w:sz w:val="21"/>
        </w:rPr>
        <w:t>=  </w:t>
      </w:r>
      <w:r>
        <w:rPr>
          <w:rFonts w:ascii="Arial"/>
          <w:i/>
          <w:color w:val="010101"/>
          <w:w w:val="105"/>
          <w:sz w:val="16"/>
        </w:rPr>
        <w:t>(P </w:t>
      </w:r>
      <w:r>
        <w:rPr>
          <w:rFonts w:ascii="Arial"/>
          <w:color w:val="010101"/>
          <w:w w:val="105"/>
          <w:sz w:val="25"/>
        </w:rPr>
        <w:t>+ </w:t>
      </w:r>
      <w:r>
        <w:rPr>
          <w:i/>
          <w:color w:val="010101"/>
          <w:w w:val="105"/>
          <w:sz w:val="18"/>
        </w:rPr>
        <w:t>e</w:t>
      </w:r>
      <w:r>
        <w:rPr>
          <w:color w:val="010101"/>
          <w:w w:val="105"/>
          <w:sz w:val="17"/>
        </w:rPr>
        <w:t>)(1 </w:t>
      </w:r>
      <w:r>
        <w:rPr>
          <w:rFonts w:ascii="Arial"/>
          <w:color w:val="010101"/>
          <w:w w:val="105"/>
          <w:sz w:val="25"/>
        </w:rPr>
        <w:t>+ </w:t>
      </w:r>
      <w:r>
        <w:rPr>
          <w:rFonts w:ascii="Arial"/>
          <w:i/>
          <w:color w:val="010101"/>
          <w:w w:val="105"/>
          <w:sz w:val="16"/>
        </w:rPr>
        <w:t>k ).</w:t>
      </w:r>
    </w:p>
    <w:p>
      <w:pPr>
        <w:pStyle w:val="ListParagraph"/>
        <w:numPr>
          <w:ilvl w:val="0"/>
          <w:numId w:val="63"/>
        </w:numPr>
        <w:tabs>
          <w:tab w:pos="303" w:val="left" w:leader="none"/>
        </w:tabs>
        <w:spacing w:line="240" w:lineRule="auto" w:before="106" w:after="0"/>
        <w:ind w:left="302" w:right="0" w:hanging="186"/>
        <w:jc w:val="left"/>
        <w:rPr>
          <w:b/>
          <w:color w:val="010101"/>
          <w:sz w:val="16"/>
        </w:rPr>
      </w:pPr>
      <w:r>
        <w:rPr>
          <w:b/>
          <w:color w:val="010101"/>
          <w:w w:val="120"/>
          <w:sz w:val="16"/>
        </w:rPr>
        <w:t>Modified  reserve</w:t>
      </w:r>
      <w:r>
        <w:rPr>
          <w:b/>
          <w:color w:val="010101"/>
          <w:spacing w:val="9"/>
          <w:w w:val="120"/>
          <w:sz w:val="16"/>
        </w:rPr>
        <w:t> </w:t>
      </w:r>
      <w:r>
        <w:rPr>
          <w:b/>
          <w:color w:val="010101"/>
          <w:w w:val="120"/>
          <w:sz w:val="16"/>
        </w:rPr>
        <w:t>systems</w:t>
      </w:r>
    </w:p>
    <w:p>
      <w:pPr>
        <w:pStyle w:val="ListParagraph"/>
        <w:numPr>
          <w:ilvl w:val="1"/>
          <w:numId w:val="63"/>
        </w:numPr>
        <w:tabs>
          <w:tab w:pos="499" w:val="left" w:leader="none"/>
        </w:tabs>
        <w:spacing w:line="242" w:lineRule="auto" w:before="83" w:after="0"/>
        <w:ind w:left="126" w:right="155" w:firstLine="161"/>
        <w:jc w:val="both"/>
        <w:rPr>
          <w:color w:val="010101"/>
          <w:sz w:val="17"/>
        </w:rPr>
      </w:pPr>
      <w:r>
        <w:rPr>
          <w:color w:val="010101"/>
          <w:w w:val="110"/>
          <w:sz w:val="17"/>
        </w:rPr>
        <w:t>For a preliminary tenn valuation method where the  modification  covers  the entire premium-paying  period,  show  that  the modified</w:t>
      </w:r>
      <w:r>
        <w:rPr>
          <w:color w:val="010101"/>
          <w:spacing w:val="24"/>
          <w:w w:val="110"/>
          <w:sz w:val="17"/>
        </w:rPr>
        <w:t> </w:t>
      </w:r>
      <w:r>
        <w:rPr>
          <w:color w:val="010101"/>
          <w:w w:val="110"/>
          <w:sz w:val="17"/>
        </w:rPr>
        <w:t>reserve</w:t>
      </w:r>
    </w:p>
    <w:p>
      <w:pPr>
        <w:spacing w:after="0" w:line="242" w:lineRule="auto"/>
        <w:jc w:val="both"/>
        <w:rPr>
          <w:sz w:val="17"/>
        </w:rPr>
        <w:sectPr>
          <w:pgSz w:w="7200" w:h="11340"/>
          <w:pgMar w:top="540" w:bottom="280" w:left="660" w:right="540"/>
        </w:sectPr>
      </w:pPr>
    </w:p>
    <w:p>
      <w:pPr>
        <w:tabs>
          <w:tab w:pos="2076" w:val="left" w:leader="none"/>
          <w:tab w:pos="5424" w:val="left" w:leader="none"/>
        </w:tabs>
        <w:spacing w:before="45"/>
        <w:ind w:left="186" w:right="0" w:firstLine="0"/>
        <w:jc w:val="left"/>
        <w:rPr>
          <w:rFonts w:ascii="Arial"/>
          <w:sz w:val="19"/>
        </w:rPr>
      </w:pPr>
      <w:r>
        <w:rPr>
          <w:spacing w:val="-15"/>
          <w:position w:val="1"/>
          <w:sz w:val="20"/>
        </w:rPr>
        <w:t>146</w:t>
        <w:tab/>
      </w:r>
      <w:r>
        <w:rPr>
          <w:position w:val="1"/>
          <w:sz w:val="15"/>
        </w:rPr>
        <w:t>THE  </w:t>
      </w:r>
      <w:r>
        <w:rPr>
          <w:spacing w:val="9"/>
          <w:position w:val="1"/>
          <w:sz w:val="15"/>
        </w:rPr>
        <w:t> </w:t>
      </w:r>
      <w:r>
        <w:rPr>
          <w:b/>
          <w:position w:val="1"/>
          <w:sz w:val="15"/>
        </w:rPr>
        <w:t>EXPENSE  </w:t>
      </w:r>
      <w:r>
        <w:rPr>
          <w:b/>
          <w:spacing w:val="22"/>
          <w:position w:val="1"/>
          <w:sz w:val="15"/>
        </w:rPr>
        <w:t> </w:t>
      </w:r>
      <w:r>
        <w:rPr>
          <w:b/>
          <w:position w:val="1"/>
          <w:sz w:val="15"/>
        </w:rPr>
        <w:t>FACTOR</w:t>
        <w:tab/>
      </w:r>
      <w:r>
        <w:rPr>
          <w:w w:val="90"/>
          <w:sz w:val="21"/>
        </w:rPr>
        <w:t>[CH.</w:t>
      </w:r>
      <w:r>
        <w:rPr>
          <w:spacing w:val="-19"/>
          <w:w w:val="90"/>
          <w:sz w:val="21"/>
        </w:rPr>
        <w:t> </w:t>
      </w:r>
      <w:r>
        <w:rPr>
          <w:rFonts w:ascii="Arial"/>
          <w:w w:val="90"/>
          <w:sz w:val="19"/>
        </w:rPr>
        <w:t>6</w:t>
      </w:r>
    </w:p>
    <w:p>
      <w:pPr>
        <w:pStyle w:val="BodyText"/>
        <w:spacing w:before="9"/>
        <w:rPr>
          <w:rFonts w:ascii="Arial"/>
        </w:rPr>
      </w:pPr>
    </w:p>
    <w:p>
      <w:pPr>
        <w:spacing w:line="198" w:lineRule="exact" w:before="0"/>
        <w:ind w:left="157" w:right="0" w:firstLine="3"/>
        <w:jc w:val="left"/>
        <w:rPr>
          <w:sz w:val="18"/>
        </w:rPr>
      </w:pPr>
      <w:r>
        <w:rPr>
          <w:w w:val="105"/>
          <w:sz w:val="14"/>
        </w:rPr>
        <w:t>,yMod </w:t>
      </w:r>
      <w:r>
        <w:rPr>
          <w:w w:val="105"/>
          <w:sz w:val="18"/>
        </w:rPr>
        <w:t>differs from the net level premium reserve ,</w:t>
      </w:r>
      <w:r>
        <w:rPr>
          <w:rFonts w:ascii="Arial" w:hAnsi="Arial"/>
          <w:i/>
          <w:w w:val="105"/>
          <w:sz w:val="17"/>
        </w:rPr>
        <w:t>V </w:t>
      </w:r>
      <w:r>
        <w:rPr>
          <w:w w:val="105"/>
          <w:sz w:val="18"/>
        </w:rPr>
        <w:t>on a policy with pre­ miums payable for </w:t>
      </w:r>
      <w:r>
        <w:rPr>
          <w:i/>
          <w:w w:val="105"/>
          <w:sz w:val="18"/>
        </w:rPr>
        <w:t>n </w:t>
      </w:r>
      <w:r>
        <w:rPr>
          <w:w w:val="105"/>
          <w:sz w:val="18"/>
        </w:rPr>
        <w:t>years by the  amount</w:t>
      </w:r>
    </w:p>
    <w:p>
      <w:pPr>
        <w:pStyle w:val="BodyText"/>
        <w:spacing w:before="1"/>
        <w:rPr>
          <w:sz w:val="16"/>
        </w:rPr>
      </w:pPr>
    </w:p>
    <w:p>
      <w:pPr>
        <w:spacing w:line="228" w:lineRule="exact" w:before="0"/>
        <w:ind w:left="956" w:right="0" w:firstLine="0"/>
        <w:jc w:val="left"/>
        <w:rPr>
          <w:sz w:val="15"/>
        </w:rPr>
      </w:pPr>
      <w:r>
        <w:rPr/>
        <w:pict>
          <v:line style="position:absolute;mso-position-horizontal-relative:page;mso-position-vertical-relative:paragraph;z-index:-724120" from="271.799988pt,10.342742pt" to="273.599988pt,10.342742pt" stroked="true" strokeweight="1.08pt" strokecolor="#000000">
            <w10:wrap type="none"/>
          </v:line>
        </w:pict>
      </w:r>
      <w:r>
        <w:rPr>
          <w:rFonts w:ascii="Arial" w:hAnsi="Arial"/>
          <w:i/>
          <w:spacing w:val="-8"/>
          <w:w w:val="120"/>
          <w:sz w:val="16"/>
        </w:rPr>
        <w:t>,V </w:t>
      </w:r>
      <w:r>
        <w:rPr>
          <w:rFonts w:ascii="Arial" w:hAnsi="Arial"/>
          <w:w w:val="250"/>
          <w:sz w:val="16"/>
        </w:rPr>
        <w:t>-</w:t>
      </w:r>
      <w:r>
        <w:rPr>
          <w:rFonts w:ascii="Arial" w:hAnsi="Arial"/>
          <w:spacing w:val="-74"/>
          <w:w w:val="250"/>
          <w:sz w:val="16"/>
        </w:rPr>
        <w:t> </w:t>
      </w:r>
      <w:r>
        <w:rPr>
          <w:w w:val="95"/>
          <w:sz w:val="15"/>
        </w:rPr>
        <w:t>,VMoc1 </w:t>
      </w:r>
      <w:r>
        <w:rPr>
          <w:w w:val="120"/>
          <w:sz w:val="21"/>
        </w:rPr>
        <w:t>= </w:t>
      </w:r>
      <w:r>
        <w:rPr>
          <w:rFonts w:ascii="Arial" w:hAnsi="Arial"/>
          <w:i/>
          <w:w w:val="95"/>
          <w:sz w:val="16"/>
        </w:rPr>
        <w:t>(JJ </w:t>
      </w:r>
      <w:r>
        <w:rPr>
          <w:rFonts w:ascii="Arial" w:hAnsi="Arial"/>
          <w:w w:val="250"/>
          <w:sz w:val="16"/>
        </w:rPr>
        <w:t>-</w:t>
      </w:r>
      <w:r>
        <w:rPr>
          <w:rFonts w:ascii="Arial" w:hAnsi="Arial"/>
          <w:spacing w:val="-62"/>
          <w:w w:val="250"/>
          <w:sz w:val="16"/>
        </w:rPr>
        <w:t> </w:t>
      </w:r>
      <w:r>
        <w:rPr>
          <w:w w:val="120"/>
          <w:sz w:val="15"/>
        </w:rPr>
        <w:t>P)da+t:.-=i\ </w:t>
      </w:r>
      <w:r>
        <w:rPr>
          <w:w w:val="95"/>
          <w:sz w:val="15"/>
        </w:rPr>
        <w:t>,... </w:t>
      </w:r>
      <w:r>
        <w:rPr>
          <w:rFonts w:ascii="Arial" w:hAnsi="Arial"/>
          <w:i/>
          <w:w w:val="95"/>
          <w:sz w:val="17"/>
        </w:rPr>
        <w:t>(tJ </w:t>
      </w:r>
      <w:r>
        <w:rPr>
          <w:rFonts w:ascii="Arial" w:hAnsi="Arial"/>
          <w:w w:val="250"/>
          <w:sz w:val="17"/>
        </w:rPr>
        <w:t>-</w:t>
      </w:r>
      <w:r>
        <w:rPr>
          <w:rFonts w:ascii="Arial" w:hAnsi="Arial"/>
          <w:spacing w:val="-81"/>
          <w:w w:val="250"/>
          <w:sz w:val="17"/>
        </w:rPr>
        <w:t> </w:t>
      </w:r>
      <w:r>
        <w:rPr>
          <w:w w:val="120"/>
          <w:sz w:val="16"/>
        </w:rPr>
        <w:t>a) </w:t>
      </w:r>
      <w:r>
        <w:rPr>
          <w:w w:val="120"/>
          <w:sz w:val="15"/>
        </w:rPr>
        <w:t>da+c:;:J¡.</w:t>
      </w:r>
    </w:p>
    <w:p>
      <w:pPr>
        <w:spacing w:line="159" w:lineRule="exact" w:before="0"/>
        <w:ind w:left="0" w:right="1404" w:firstLine="0"/>
        <w:jc w:val="right"/>
        <w:rPr>
          <w:sz w:val="15"/>
        </w:rPr>
      </w:pPr>
      <w:r>
        <w:rPr>
          <w:w w:val="105"/>
          <w:sz w:val="15"/>
        </w:rPr>
        <w:t>da;;J</w:t>
      </w:r>
    </w:p>
    <w:p>
      <w:pPr>
        <w:pStyle w:val="ListParagraph"/>
        <w:numPr>
          <w:ilvl w:val="1"/>
          <w:numId w:val="63"/>
        </w:numPr>
        <w:tabs>
          <w:tab w:pos="529" w:val="left" w:leader="none"/>
        </w:tabs>
        <w:spacing w:line="240" w:lineRule="auto" w:before="128" w:after="0"/>
        <w:ind w:left="528" w:right="0" w:hanging="216"/>
        <w:jc w:val="left"/>
        <w:rPr>
          <w:i/>
          <w:sz w:val="18"/>
        </w:rPr>
      </w:pPr>
      <w:r>
        <w:rPr>
          <w:w w:val="105"/>
          <w:sz w:val="18"/>
        </w:rPr>
        <w:t>Show that when </w:t>
      </w:r>
      <w:r>
        <w:rPr>
          <w:i/>
          <w:w w:val="105"/>
          <w:sz w:val="16"/>
        </w:rPr>
        <w:t>k  </w:t>
      </w:r>
      <w:r>
        <w:rPr>
          <w:w w:val="105"/>
          <w:sz w:val="19"/>
        </w:rPr>
        <w:t>=  </w:t>
      </w:r>
      <w:r>
        <w:rPr>
          <w:spacing w:val="12"/>
          <w:w w:val="105"/>
          <w:sz w:val="19"/>
        </w:rPr>
        <w:t> </w:t>
      </w:r>
      <w:r>
        <w:rPr>
          <w:i/>
          <w:w w:val="105"/>
          <w:sz w:val="18"/>
        </w:rPr>
        <w:t>n</w:t>
      </w:r>
    </w:p>
    <w:p>
      <w:pPr>
        <w:spacing w:before="88"/>
        <w:ind w:left="1900" w:right="0" w:firstLine="0"/>
        <w:jc w:val="left"/>
        <w:rPr>
          <w:sz w:val="15"/>
        </w:rPr>
      </w:pPr>
      <w:r>
        <w:rPr>
          <w:rFonts w:ascii="Arial" w:hAnsi="Arial"/>
          <w:i/>
          <w:spacing w:val="-15"/>
          <w:sz w:val="28"/>
        </w:rPr>
        <w:t>,v!·?t </w:t>
      </w:r>
      <w:r>
        <w:rPr>
          <w:rFonts w:ascii="Arial" w:hAnsi="Arial"/>
          <w:sz w:val="15"/>
        </w:rPr>
        <w:t>== </w:t>
      </w:r>
      <w:r>
        <w:rPr>
          <w:w w:val="115"/>
          <w:sz w:val="18"/>
        </w:rPr>
        <w:t>1 </w:t>
      </w:r>
      <w:r>
        <w:rPr>
          <w:w w:val="230"/>
          <w:sz w:val="18"/>
        </w:rPr>
        <w:t>-</w:t>
      </w:r>
      <w:r>
        <w:rPr>
          <w:spacing w:val="-80"/>
          <w:w w:val="230"/>
          <w:sz w:val="18"/>
        </w:rPr>
        <w:t> </w:t>
      </w:r>
      <w:r>
        <w:rPr>
          <w:rFonts w:ascii="Arial" w:hAnsi="Arial"/>
          <w:i/>
          <w:sz w:val="17"/>
        </w:rPr>
        <w:t>(/J </w:t>
      </w:r>
      <w:r>
        <w:rPr>
          <w:rFonts w:ascii="Arial" w:hAnsi="Arial"/>
          <w:w w:val="115"/>
          <w:sz w:val="28"/>
        </w:rPr>
        <w:t>+</w:t>
      </w:r>
      <w:r>
        <w:rPr>
          <w:rFonts w:ascii="Arial" w:hAnsi="Arial"/>
          <w:spacing w:val="-70"/>
          <w:w w:val="115"/>
          <w:sz w:val="28"/>
        </w:rPr>
        <w:t> </w:t>
      </w:r>
      <w:r>
        <w:rPr>
          <w:w w:val="115"/>
          <w:sz w:val="15"/>
        </w:rPr>
        <w:t>d)4.+c:;::;i.</w:t>
      </w:r>
    </w:p>
    <w:p>
      <w:pPr>
        <w:pStyle w:val="ListParagraph"/>
        <w:numPr>
          <w:ilvl w:val="1"/>
          <w:numId w:val="63"/>
        </w:numPr>
        <w:tabs>
          <w:tab w:pos="525" w:val="left" w:leader="none"/>
        </w:tabs>
        <w:spacing w:line="230" w:lineRule="auto" w:before="89" w:after="0"/>
        <w:ind w:left="150" w:right="146" w:firstLine="158"/>
        <w:jc w:val="both"/>
        <w:rPr>
          <w:rFonts w:ascii="Arial"/>
          <w:sz w:val="17"/>
        </w:rPr>
      </w:pPr>
      <w:r>
        <w:rPr>
          <w:w w:val="105"/>
          <w:sz w:val="18"/>
        </w:rPr>
        <w:t>The attained age method is to </w:t>
      </w:r>
      <w:r>
        <w:rPr>
          <w:rFonts w:ascii="Arial"/>
          <w:w w:val="105"/>
          <w:sz w:val="16"/>
        </w:rPr>
        <w:t>be </w:t>
      </w:r>
      <w:r>
        <w:rPr>
          <w:w w:val="105"/>
          <w:sz w:val="17"/>
        </w:rPr>
        <w:t>used </w:t>
      </w:r>
      <w:r>
        <w:rPr>
          <w:w w:val="105"/>
          <w:sz w:val="18"/>
        </w:rPr>
        <w:t>in valuing  </w:t>
      </w:r>
      <w:r>
        <w:rPr>
          <w:w w:val="105"/>
          <w:sz w:val="17"/>
        </w:rPr>
        <w:t>a </w:t>
      </w:r>
      <w:r>
        <w:rPr>
          <w:w w:val="105"/>
          <w:sz w:val="18"/>
        </w:rPr>
        <w:t>group of  policies on </w:t>
      </w:r>
      <w:r>
        <w:rPr>
          <w:rFonts w:ascii="Arial"/>
          <w:w w:val="105"/>
          <w:sz w:val="15"/>
        </w:rPr>
        <w:t>a </w:t>
      </w:r>
      <w:r>
        <w:rPr>
          <w:w w:val="105"/>
          <w:sz w:val="18"/>
        </w:rPr>
        <w:t>modified reserve basis with first year net premium </w:t>
      </w:r>
      <w:r>
        <w:rPr>
          <w:i/>
          <w:w w:val="105"/>
          <w:sz w:val="15"/>
        </w:rPr>
        <w:t>a </w:t>
      </w:r>
      <w:r>
        <w:rPr>
          <w:w w:val="105"/>
          <w:sz w:val="18"/>
        </w:rPr>
        <w:t>and renewal premium </w:t>
      </w:r>
      <w:r>
        <w:rPr>
          <w:rFonts w:ascii="Arial"/>
          <w:i/>
          <w:w w:val="105"/>
          <w:sz w:val="17"/>
        </w:rPr>
        <w:t>fJ. </w:t>
      </w:r>
      <w:r>
        <w:rPr>
          <w:w w:val="105"/>
          <w:sz w:val="18"/>
        </w:rPr>
        <w:t>The formula</w:t>
      </w:r>
      <w:r>
        <w:rPr>
          <w:spacing w:val="-13"/>
          <w:w w:val="105"/>
          <w:sz w:val="18"/>
        </w:rPr>
        <w:t> </w:t>
      </w:r>
      <w:r>
        <w:rPr>
          <w:rFonts w:ascii="Arial"/>
          <w:w w:val="105"/>
          <w:sz w:val="18"/>
        </w:rPr>
        <w:t>is</w:t>
      </w:r>
    </w:p>
    <w:p>
      <w:pPr>
        <w:spacing w:line="306" w:lineRule="exact" w:before="0"/>
        <w:ind w:left="3923" w:right="0" w:firstLine="0"/>
        <w:jc w:val="left"/>
        <w:rPr>
          <w:rFonts w:ascii="Arial"/>
          <w:sz w:val="44"/>
        </w:rPr>
      </w:pPr>
      <w:r>
        <w:rPr/>
        <w:pict>
          <v:shape style="position:absolute;margin-left:211.860001pt;margin-top:9.826682pt;width:8.1pt;height:14pt;mso-position-horizontal-relative:page;mso-position-vertical-relative:paragraph;z-index:-724096" type="#_x0000_t202" filled="false" stroked="false">
            <v:textbox inset="0,0,0,0">
              <w:txbxContent>
                <w:p>
                  <w:pPr>
                    <w:spacing w:line="280" w:lineRule="exact" w:before="0"/>
                    <w:ind w:left="0" w:right="0" w:firstLine="0"/>
                    <w:jc w:val="left"/>
                    <w:rPr>
                      <w:rFonts w:ascii="Arial"/>
                      <w:sz w:val="28"/>
                    </w:rPr>
                  </w:pPr>
                  <w:r>
                    <w:rPr>
                      <w:rFonts w:ascii="Arial"/>
                      <w:w w:val="98"/>
                      <w:sz w:val="28"/>
                    </w:rPr>
                    <w:t>+</w:t>
                  </w:r>
                </w:p>
              </w:txbxContent>
            </v:textbox>
            <w10:wrap type="none"/>
          </v:shape>
        </w:pict>
      </w:r>
      <w:r>
        <w:rPr>
          <w:rFonts w:ascii="Arial"/>
          <w:spacing w:val="-59"/>
          <w:w w:val="140"/>
          <w:sz w:val="44"/>
        </w:rPr>
        <w:t>,.</w:t>
      </w:r>
    </w:p>
    <w:p>
      <w:pPr>
        <w:tabs>
          <w:tab w:pos="3817" w:val="left" w:leader="none"/>
        </w:tabs>
        <w:spacing w:line="121" w:lineRule="exact" w:before="0"/>
        <w:ind w:left="1799" w:right="0" w:firstLine="0"/>
        <w:jc w:val="left"/>
        <w:rPr>
          <w:rFonts w:ascii="Arial" w:hAnsi="Arial"/>
          <w:b/>
          <w:i/>
          <w:sz w:val="18"/>
        </w:rPr>
      </w:pPr>
      <w:r>
        <w:rPr>
          <w:b/>
          <w:w w:val="73"/>
          <w:sz w:val="18"/>
        </w:rPr>
        <w:t>,VMod</w:t>
      </w:r>
      <w:r>
        <w:rPr>
          <w:b/>
          <w:sz w:val="18"/>
        </w:rPr>
        <w:t> </w:t>
      </w:r>
      <w:r>
        <w:rPr>
          <w:b/>
          <w:spacing w:val="7"/>
          <w:sz w:val="18"/>
        </w:rPr>
        <w:t> </w:t>
      </w:r>
      <w:r>
        <w:rPr>
          <w:rFonts w:ascii="Arial" w:hAnsi="Arial"/>
          <w:b/>
          <w:w w:val="59"/>
          <w:sz w:val="14"/>
        </w:rPr>
        <w:t>"""</w:t>
      </w:r>
      <w:r>
        <w:rPr>
          <w:rFonts w:ascii="Arial" w:hAnsi="Arial"/>
          <w:b/>
          <w:sz w:val="14"/>
        </w:rPr>
        <w:t> </w:t>
      </w:r>
      <w:r>
        <w:rPr>
          <w:rFonts w:ascii="Arial" w:hAnsi="Arial"/>
          <w:b/>
          <w:spacing w:val="4"/>
          <w:sz w:val="14"/>
        </w:rPr>
        <w:t> </w:t>
      </w:r>
      <w:r>
        <w:rPr>
          <w:rFonts w:ascii="Arial" w:hAnsi="Arial"/>
          <w:b/>
          <w:w w:val="101"/>
          <w:sz w:val="14"/>
        </w:rPr>
        <w:t>Ás+t</w:t>
      </w:r>
      <w:r>
        <w:rPr>
          <w:rFonts w:ascii="Arial" w:hAnsi="Arial"/>
          <w:b/>
          <w:sz w:val="14"/>
        </w:rPr>
        <w:t> </w:t>
      </w:r>
      <w:r>
        <w:rPr>
          <w:rFonts w:ascii="Arial" w:hAnsi="Arial"/>
          <w:b/>
          <w:spacing w:val="12"/>
          <w:sz w:val="14"/>
        </w:rPr>
        <w:t> </w:t>
      </w:r>
      <w:r>
        <w:rPr>
          <w:rFonts w:ascii="Arial" w:hAnsi="Arial"/>
          <w:w w:val="318"/>
          <w:sz w:val="14"/>
        </w:rPr>
        <w:t>-</w:t>
      </w:r>
      <w:r>
        <w:rPr>
          <w:rFonts w:ascii="Arial" w:hAnsi="Arial"/>
          <w:spacing w:val="14"/>
          <w:sz w:val="14"/>
        </w:rPr>
        <w:t> </w:t>
      </w:r>
      <w:r>
        <w:rPr>
          <w:rFonts w:ascii="Arial" w:hAnsi="Arial"/>
          <w:b/>
          <w:w w:val="91"/>
          <w:sz w:val="15"/>
        </w:rPr>
        <w:t>fJ·4a+I</w:t>
      </w:r>
      <w:r>
        <w:rPr>
          <w:rFonts w:ascii="Arial" w:hAnsi="Arial"/>
          <w:b/>
          <w:sz w:val="15"/>
        </w:rPr>
        <w:tab/>
      </w:r>
      <w:r>
        <w:rPr>
          <w:rFonts w:ascii="Arial" w:hAnsi="Arial"/>
          <w:b/>
          <w:i/>
          <w:spacing w:val="-139"/>
          <w:w w:val="105"/>
          <w:sz w:val="18"/>
        </w:rPr>
        <w:t>D</w:t>
      </w:r>
      <w:r>
        <w:rPr>
          <w:rFonts w:ascii="Arial" w:hAnsi="Arial"/>
          <w:b/>
          <w:i/>
          <w:w w:val="559"/>
          <w:sz w:val="18"/>
        </w:rPr>
        <w:t>-</w:t>
      </w:r>
      <w:r>
        <w:rPr>
          <w:rFonts w:ascii="Arial" w:hAnsi="Arial"/>
          <w:b/>
          <w:i/>
          <w:spacing w:val="-12"/>
          <w:sz w:val="18"/>
        </w:rPr>
        <w:t> </w:t>
      </w:r>
      <w:r>
        <w:rPr>
          <w:rFonts w:ascii="Arial" w:hAnsi="Arial"/>
          <w:b/>
          <w:i/>
          <w:w w:val="93"/>
          <w:sz w:val="18"/>
        </w:rPr>
        <w:t>.</w:t>
      </w:r>
    </w:p>
    <w:p>
      <w:pPr>
        <w:spacing w:line="206" w:lineRule="exact" w:before="0"/>
        <w:ind w:left="3955" w:right="0" w:firstLine="0"/>
        <w:jc w:val="left"/>
        <w:rPr>
          <w:rFonts w:ascii="Arial" w:hAnsi="Arial"/>
          <w:sz w:val="21"/>
        </w:rPr>
      </w:pPr>
      <w:r>
        <w:rPr>
          <w:rFonts w:ascii="Arial" w:hAnsi="Arial"/>
          <w:w w:val="80"/>
          <w:sz w:val="21"/>
        </w:rPr>
        <w:t>•+•</w:t>
      </w:r>
    </w:p>
    <w:p>
      <w:pPr>
        <w:spacing w:line="262" w:lineRule="exact" w:before="30"/>
        <w:ind w:left="146" w:right="0" w:firstLine="0"/>
        <w:jc w:val="left"/>
        <w:rPr>
          <w:sz w:val="18"/>
        </w:rPr>
      </w:pPr>
      <w:r>
        <w:rPr>
          <w:w w:val="105"/>
          <w:sz w:val="18"/>
        </w:rPr>
        <w:t>Find the expression  for </w:t>
      </w:r>
      <w:r>
        <w:rPr>
          <w:i/>
          <w:w w:val="105"/>
          <w:sz w:val="24"/>
        </w:rPr>
        <w:t>e. </w:t>
      </w:r>
      <w:r>
        <w:rPr>
          <w:w w:val="105"/>
          <w:sz w:val="18"/>
        </w:rPr>
        <w:t>in this formula.</w:t>
      </w:r>
    </w:p>
    <w:p>
      <w:pPr>
        <w:spacing w:line="202" w:lineRule="exact" w:before="2"/>
        <w:ind w:left="146" w:right="139" w:firstLine="158"/>
        <w:jc w:val="left"/>
        <w:rPr>
          <w:sz w:val="18"/>
        </w:rPr>
      </w:pPr>
      <w:r>
        <w:rPr>
          <w:b/>
          <w:sz w:val="17"/>
        </w:rPr>
        <w:t>8. </w:t>
      </w:r>
      <w:r>
        <w:rPr>
          <w:sz w:val="19"/>
        </w:rPr>
        <w:t>In </w:t>
      </w:r>
      <w:r>
        <w:rPr>
          <w:sz w:val="18"/>
        </w:rPr>
        <w:t>a modifi.ed reserve system with an n-yeat modification period, the reduced  first-year  net premium  </w:t>
      </w:r>
      <w:r>
        <w:rPr>
          <w:rFonts w:ascii="Arial"/>
          <w:sz w:val="18"/>
        </w:rPr>
        <w:t>is </w:t>
      </w:r>
      <w:r>
        <w:rPr>
          <w:sz w:val="18"/>
        </w:rPr>
        <w:t>equal to one-fourth  of  the net level annual</w:t>
      </w:r>
    </w:p>
    <w:p>
      <w:pPr>
        <w:spacing w:before="58"/>
        <w:ind w:left="143" w:right="0" w:firstLine="0"/>
        <w:jc w:val="left"/>
        <w:rPr>
          <w:sz w:val="18"/>
        </w:rPr>
      </w:pPr>
      <w:r>
        <w:rPr>
          <w:w w:val="102"/>
          <w:sz w:val="18"/>
        </w:rPr>
        <w:t>prem</w:t>
      </w:r>
      <w:r>
        <w:rPr>
          <w:spacing w:val="-129"/>
          <w:w w:val="102"/>
          <w:sz w:val="18"/>
        </w:rPr>
        <w:t>m</w:t>
      </w:r>
      <w:r>
        <w:rPr>
          <w:w w:val="141"/>
          <w:position w:val="6"/>
          <w:sz w:val="17"/>
        </w:rPr>
        <w:t>·</w:t>
      </w:r>
      <w:r>
        <w:rPr>
          <w:spacing w:val="5"/>
          <w:position w:val="6"/>
          <w:sz w:val="17"/>
        </w:rPr>
        <w:t> </w:t>
      </w:r>
      <w:r>
        <w:rPr>
          <w:w w:val="102"/>
          <w:sz w:val="18"/>
        </w:rPr>
        <w:t>m.</w:t>
      </w:r>
      <w:r>
        <w:rPr>
          <w:sz w:val="18"/>
        </w:rPr>
        <w:t> </w:t>
      </w:r>
      <w:r>
        <w:rPr>
          <w:spacing w:val="-6"/>
          <w:sz w:val="18"/>
        </w:rPr>
        <w:t> </w:t>
      </w:r>
      <w:r>
        <w:rPr>
          <w:w w:val="107"/>
          <w:position w:val="6"/>
          <w:sz w:val="17"/>
        </w:rPr>
        <w:t>E</w:t>
      </w:r>
      <w:r>
        <w:rPr>
          <w:spacing w:val="5"/>
          <w:w w:val="107"/>
          <w:position w:val="6"/>
          <w:sz w:val="17"/>
        </w:rPr>
        <w:t>x</w:t>
      </w:r>
      <w:r>
        <w:rPr>
          <w:w w:val="102"/>
          <w:sz w:val="18"/>
        </w:rPr>
        <w:t>press</w:t>
      </w:r>
      <w:r>
        <w:rPr>
          <w:sz w:val="18"/>
        </w:rPr>
        <w:t> </w:t>
      </w:r>
      <w:r>
        <w:rPr>
          <w:spacing w:val="-115"/>
          <w:w w:val="163"/>
          <w:sz w:val="18"/>
        </w:rPr>
        <w:t>-</w:t>
      </w:r>
      <w:r>
        <w:rPr>
          <w:rFonts w:ascii="Arial" w:hAnsi="Arial"/>
          <w:i/>
          <w:w w:val="59"/>
          <w:position w:val="6"/>
          <w:sz w:val="17"/>
        </w:rPr>
        <w:t>{</w:t>
      </w:r>
      <w:r>
        <w:rPr>
          <w:rFonts w:ascii="Arial" w:hAnsi="Arial"/>
          <w:i/>
          <w:w w:val="60"/>
          <w:position w:val="6"/>
          <w:sz w:val="17"/>
        </w:rPr>
        <w:t>J</w:t>
      </w:r>
      <w:r>
        <w:rPr>
          <w:rFonts w:ascii="Arial" w:hAnsi="Arial"/>
          <w:i/>
          <w:spacing w:val="-31"/>
          <w:position w:val="6"/>
          <w:sz w:val="17"/>
        </w:rPr>
        <w:t> </w:t>
      </w:r>
      <w:r>
        <w:rPr>
          <w:w w:val="163"/>
          <w:sz w:val="18"/>
        </w:rPr>
        <w:t>-¡</w:t>
      </w:r>
      <w:r>
        <w:rPr>
          <w:spacing w:val="-10"/>
          <w:w w:val="163"/>
          <w:sz w:val="18"/>
        </w:rPr>
        <w:t>;</w:t>
      </w:r>
      <w:r>
        <w:rPr>
          <w:rFonts w:ascii="Arial" w:hAnsi="Arial"/>
          <w:i/>
          <w:spacing w:val="-113"/>
          <w:w w:val="107"/>
          <w:position w:val="6"/>
          <w:sz w:val="17"/>
        </w:rPr>
        <w:t>P</w:t>
      </w:r>
      <w:r>
        <w:rPr>
          <w:w w:val="163"/>
          <w:sz w:val="18"/>
        </w:rPr>
        <w:t>-</w:t>
      </w:r>
      <w:r>
        <w:rPr>
          <w:spacing w:val="16"/>
          <w:sz w:val="18"/>
        </w:rPr>
        <w:t> </w:t>
      </w:r>
      <w:r>
        <w:rPr>
          <w:spacing w:val="-152"/>
          <w:w w:val="114"/>
          <w:sz w:val="17"/>
        </w:rPr>
        <w:t>m</w:t>
      </w:r>
      <w:r>
        <w:rPr>
          <w:rFonts w:ascii="Arial" w:hAnsi="Arial"/>
          <w:i/>
          <w:w w:val="155"/>
          <w:position w:val="6"/>
          <w:sz w:val="17"/>
        </w:rPr>
        <w:t>.</w:t>
      </w:r>
      <w:r>
        <w:rPr>
          <w:rFonts w:ascii="Arial" w:hAnsi="Arial"/>
          <w:i/>
          <w:position w:val="6"/>
          <w:sz w:val="17"/>
        </w:rPr>
        <w:t>  </w:t>
      </w:r>
      <w:r>
        <w:rPr>
          <w:rFonts w:ascii="Arial" w:hAnsi="Arial"/>
          <w:i/>
          <w:spacing w:val="4"/>
          <w:position w:val="6"/>
          <w:sz w:val="17"/>
        </w:rPr>
        <w:t> </w:t>
      </w:r>
      <w:r>
        <w:rPr>
          <w:w w:val="104"/>
          <w:sz w:val="18"/>
        </w:rPr>
        <w:t>terms</w:t>
      </w:r>
      <w:r>
        <w:rPr>
          <w:sz w:val="18"/>
        </w:rPr>
        <w:t> </w:t>
      </w:r>
      <w:r>
        <w:rPr>
          <w:spacing w:val="-17"/>
          <w:sz w:val="18"/>
        </w:rPr>
        <w:t> </w:t>
      </w:r>
      <w:r>
        <w:rPr>
          <w:spacing w:val="-8"/>
          <w:w w:val="104"/>
          <w:sz w:val="18"/>
        </w:rPr>
        <w:t>o</w:t>
      </w:r>
      <w:r>
        <w:rPr>
          <w:w w:val="78"/>
          <w:position w:val="6"/>
          <w:sz w:val="18"/>
        </w:rPr>
        <w:t>f</w:t>
      </w:r>
      <w:r>
        <w:rPr>
          <w:position w:val="6"/>
          <w:sz w:val="18"/>
        </w:rPr>
        <w:t> </w:t>
      </w:r>
      <w:r>
        <w:rPr>
          <w:spacing w:val="-8"/>
          <w:position w:val="6"/>
          <w:sz w:val="18"/>
        </w:rPr>
        <w:t> </w:t>
      </w:r>
      <w:r>
        <w:rPr>
          <w:w w:val="117"/>
          <w:sz w:val="13"/>
        </w:rPr>
        <w:t>Os</w:t>
      </w:r>
      <w:r>
        <w:rPr>
          <w:spacing w:val="-19"/>
          <w:w w:val="117"/>
          <w:sz w:val="13"/>
        </w:rPr>
        <w:t>:</w:t>
      </w:r>
      <w:r>
        <w:rPr>
          <w:w w:val="119"/>
          <w:sz w:val="13"/>
        </w:rPr>
        <w:t>'i=i}</w:t>
      </w:r>
      <w:r>
        <w:rPr>
          <w:sz w:val="13"/>
        </w:rPr>
        <w:t> </w:t>
      </w:r>
      <w:r>
        <w:rPr>
          <w:spacing w:val="-11"/>
          <w:sz w:val="13"/>
        </w:rPr>
        <w:t> </w:t>
      </w:r>
      <w:r>
        <w:rPr>
          <w:w w:val="169"/>
          <w:sz w:val="13"/>
        </w:rPr>
        <w:t>,</w:t>
      </w:r>
      <w:r>
        <w:rPr>
          <w:sz w:val="13"/>
        </w:rPr>
        <w:t> </w:t>
      </w:r>
      <w:r>
        <w:rPr>
          <w:spacing w:val="-12"/>
          <w:sz w:val="13"/>
        </w:rPr>
        <w:t> </w:t>
      </w:r>
      <w:r>
        <w:rPr>
          <w:rFonts w:ascii="Arial" w:hAnsi="Arial"/>
          <w:spacing w:val="11"/>
          <w:w w:val="105"/>
          <w:sz w:val="15"/>
        </w:rPr>
        <w:t>w</w:t>
      </w:r>
      <w:r>
        <w:rPr>
          <w:rFonts w:ascii="Arial" w:hAnsi="Arial"/>
          <w:spacing w:val="-29"/>
          <w:w w:val="121"/>
          <w:position w:val="6"/>
          <w:sz w:val="18"/>
        </w:rPr>
        <w:t>h</w:t>
      </w:r>
      <w:r>
        <w:rPr>
          <w:w w:val="104"/>
          <w:sz w:val="18"/>
        </w:rPr>
        <w:t>ere</w:t>
      </w:r>
      <w:r>
        <w:rPr>
          <w:spacing w:val="9"/>
          <w:sz w:val="18"/>
        </w:rPr>
        <w:t> </w:t>
      </w:r>
      <w:r>
        <w:rPr>
          <w:rFonts w:ascii="Arial" w:hAnsi="Arial"/>
          <w:i/>
          <w:w w:val="66"/>
          <w:sz w:val="17"/>
        </w:rPr>
        <w:t>fJ</w:t>
      </w:r>
      <w:r>
        <w:rPr>
          <w:rFonts w:ascii="Arial" w:hAnsi="Arial"/>
          <w:i/>
          <w:sz w:val="17"/>
        </w:rPr>
        <w:t> </w:t>
      </w:r>
      <w:r>
        <w:rPr>
          <w:rFonts w:ascii="Arial" w:hAnsi="Arial"/>
          <w:i/>
          <w:spacing w:val="-21"/>
          <w:sz w:val="17"/>
        </w:rPr>
        <w:t> </w:t>
      </w:r>
      <w:r>
        <w:rPr>
          <w:spacing w:val="-61"/>
          <w:w w:val="109"/>
          <w:sz w:val="13"/>
        </w:rPr>
        <w:t>1</w:t>
      </w:r>
      <w:r>
        <w:rPr>
          <w:rFonts w:ascii="Arial" w:hAnsi="Arial"/>
          <w:spacing w:val="-19"/>
          <w:w w:val="157"/>
          <w:position w:val="6"/>
          <w:sz w:val="18"/>
        </w:rPr>
        <w:t>.</w:t>
      </w:r>
      <w:r>
        <w:rPr>
          <w:w w:val="109"/>
          <w:sz w:val="13"/>
        </w:rPr>
        <w:t>8</w:t>
      </w:r>
      <w:r>
        <w:rPr>
          <w:sz w:val="13"/>
        </w:rPr>
        <w:t> </w:t>
      </w:r>
      <w:r>
        <w:rPr>
          <w:spacing w:val="-9"/>
          <w:sz w:val="13"/>
        </w:rPr>
        <w:t> </w:t>
      </w:r>
      <w:r>
        <w:rPr>
          <w:spacing w:val="3"/>
          <w:w w:val="130"/>
          <w:sz w:val="18"/>
        </w:rPr>
        <w:t>t</w:t>
      </w:r>
      <w:r>
        <w:rPr>
          <w:rFonts w:ascii="Arial" w:hAnsi="Arial"/>
          <w:spacing w:val="-24"/>
          <w:w w:val="116"/>
          <w:position w:val="6"/>
          <w:sz w:val="18"/>
        </w:rPr>
        <w:t>h</w:t>
      </w:r>
      <w:r>
        <w:rPr>
          <w:w w:val="108"/>
          <w:sz w:val="18"/>
        </w:rPr>
        <w:t>e</w:t>
      </w:r>
      <w:r>
        <w:rPr>
          <w:spacing w:val="22"/>
          <w:sz w:val="18"/>
        </w:rPr>
        <w:t> </w:t>
      </w:r>
      <w:r>
        <w:rPr>
          <w:spacing w:val="-142"/>
          <w:w w:val="102"/>
          <w:sz w:val="18"/>
        </w:rPr>
        <w:t>m</w:t>
      </w:r>
      <w:r>
        <w:rPr>
          <w:rFonts w:ascii="Arial" w:hAnsi="Arial"/>
          <w:w w:val="157"/>
          <w:position w:val="6"/>
          <w:sz w:val="18"/>
        </w:rPr>
        <w:t>.</w:t>
      </w:r>
      <w:r>
        <w:rPr>
          <w:rFonts w:ascii="Arial" w:hAnsi="Arial"/>
          <w:spacing w:val="11"/>
          <w:position w:val="6"/>
          <w:sz w:val="18"/>
        </w:rPr>
        <w:t> </w:t>
      </w:r>
      <w:r>
        <w:rPr>
          <w:w w:val="102"/>
          <w:sz w:val="18"/>
        </w:rPr>
        <w:t>creas</w:t>
      </w:r>
      <w:r>
        <w:rPr>
          <w:spacing w:val="9"/>
          <w:w w:val="102"/>
          <w:sz w:val="18"/>
        </w:rPr>
        <w:t>e</w:t>
      </w:r>
      <w:r>
        <w:rPr>
          <w:rFonts w:ascii="Arial" w:hAnsi="Arial"/>
          <w:w w:val="104"/>
          <w:position w:val="6"/>
          <w:sz w:val="18"/>
        </w:rPr>
        <w:t>d</w:t>
      </w:r>
      <w:r>
        <w:rPr>
          <w:rFonts w:ascii="Arial" w:hAnsi="Arial"/>
          <w:spacing w:val="10"/>
          <w:position w:val="6"/>
          <w:sz w:val="18"/>
        </w:rPr>
        <w:t> </w:t>
      </w:r>
      <w:r>
        <w:rPr>
          <w:w w:val="104"/>
          <w:sz w:val="18"/>
        </w:rPr>
        <w:t>re-</w:t>
      </w:r>
    </w:p>
    <w:p>
      <w:pPr>
        <w:spacing w:before="100"/>
        <w:ind w:left="143" w:right="0" w:firstLine="0"/>
        <w:jc w:val="left"/>
        <w:rPr>
          <w:sz w:val="18"/>
        </w:rPr>
      </w:pPr>
      <w:r>
        <w:rPr>
          <w:w w:val="105"/>
          <w:sz w:val="18"/>
        </w:rPr>
        <w:t>newal net premium and </w:t>
      </w:r>
      <w:r>
        <w:rPr>
          <w:i/>
          <w:w w:val="105"/>
          <w:sz w:val="19"/>
        </w:rPr>
        <w:t>P is </w:t>
      </w:r>
      <w:r>
        <w:rPr>
          <w:w w:val="105"/>
          <w:sz w:val="18"/>
        </w:rPr>
        <w:t>the net level annual premium.</w:t>
      </w:r>
    </w:p>
    <w:p>
      <w:pPr>
        <w:pStyle w:val="ListParagraph"/>
        <w:numPr>
          <w:ilvl w:val="0"/>
          <w:numId w:val="63"/>
        </w:numPr>
        <w:tabs>
          <w:tab w:pos="320" w:val="left" w:leader="none"/>
        </w:tabs>
        <w:spacing w:line="240" w:lineRule="auto" w:before="151" w:after="0"/>
        <w:ind w:left="319" w:right="0" w:hanging="191"/>
        <w:jc w:val="left"/>
        <w:rPr>
          <w:b/>
          <w:sz w:val="16"/>
        </w:rPr>
      </w:pPr>
      <w:r>
        <w:rPr>
          <w:b/>
          <w:w w:val="125"/>
          <w:sz w:val="16"/>
        </w:rPr>
        <w:t>The </w:t>
      </w:r>
      <w:r>
        <w:rPr>
          <w:b/>
          <w:spacing w:val="2"/>
          <w:w w:val="125"/>
          <w:sz w:val="18"/>
        </w:rPr>
        <w:t>f</w:t>
      </w:r>
      <w:r>
        <w:rPr>
          <w:b/>
          <w:spacing w:val="2"/>
          <w:w w:val="125"/>
          <w:sz w:val="16"/>
        </w:rPr>
        <w:t>ull </w:t>
      </w:r>
      <w:r>
        <w:rPr>
          <w:b/>
          <w:w w:val="125"/>
          <w:sz w:val="16"/>
        </w:rPr>
        <w:t>preliminar</w:t>
      </w:r>
      <w:r>
        <w:rPr>
          <w:rFonts w:ascii="Arial"/>
          <w:b/>
          <w:w w:val="125"/>
          <w:sz w:val="14"/>
        </w:rPr>
        <w:t>y  </w:t>
      </w:r>
      <w:r>
        <w:rPr>
          <w:b/>
          <w:w w:val="125"/>
          <w:sz w:val="16"/>
        </w:rPr>
        <w:t>term</w:t>
      </w:r>
      <w:r>
        <w:rPr>
          <w:b/>
          <w:spacing w:val="26"/>
          <w:w w:val="125"/>
          <w:sz w:val="16"/>
        </w:rPr>
        <w:t> </w:t>
      </w:r>
      <w:r>
        <w:rPr>
          <w:b/>
          <w:w w:val="125"/>
          <w:sz w:val="16"/>
        </w:rPr>
        <w:t>plan</w:t>
      </w:r>
    </w:p>
    <w:p>
      <w:pPr>
        <w:pStyle w:val="ListParagraph"/>
        <w:numPr>
          <w:ilvl w:val="0"/>
          <w:numId w:val="64"/>
        </w:numPr>
        <w:tabs>
          <w:tab w:pos="507" w:val="left" w:leader="none"/>
        </w:tabs>
        <w:spacing w:line="240" w:lineRule="auto" w:before="74" w:after="0"/>
        <w:ind w:left="121" w:right="0" w:firstLine="169"/>
        <w:jc w:val="left"/>
        <w:rPr>
          <w:sz w:val="17"/>
        </w:rPr>
      </w:pPr>
      <w:r>
        <w:rPr>
          <w:w w:val="105"/>
          <w:sz w:val="18"/>
        </w:rPr>
        <w:t>Give a mathematical demonstration  of the following</w:t>
      </w:r>
      <w:r>
        <w:rPr>
          <w:spacing w:val="38"/>
          <w:w w:val="105"/>
          <w:sz w:val="18"/>
        </w:rPr>
        <w:t> </w:t>
      </w:r>
      <w:r>
        <w:rPr>
          <w:w w:val="105"/>
          <w:sz w:val="18"/>
        </w:rPr>
        <w:t>equivalence:</w:t>
      </w:r>
    </w:p>
    <w:p>
      <w:pPr>
        <w:spacing w:before="81"/>
        <w:ind w:left="582" w:right="543" w:firstLine="0"/>
        <w:jc w:val="center"/>
        <w:rPr>
          <w:rFonts w:ascii="Arial"/>
          <w:sz w:val="18"/>
        </w:rPr>
      </w:pPr>
      <w:r>
        <w:rPr>
          <w:i/>
          <w:w w:val="105"/>
          <w:sz w:val="23"/>
        </w:rPr>
        <w:t>W</w:t>
      </w:r>
      <w:r>
        <w:rPr>
          <w:i/>
          <w:spacing w:val="-15"/>
          <w:w w:val="105"/>
          <w:sz w:val="23"/>
        </w:rPr>
        <w:t>!</w:t>
      </w:r>
      <w:r>
        <w:rPr>
          <w:i/>
          <w:spacing w:val="-29"/>
          <w:w w:val="55"/>
          <w:sz w:val="23"/>
        </w:rPr>
        <w:t>-</w:t>
      </w:r>
      <w:r>
        <w:rPr>
          <w:i/>
          <w:spacing w:val="-33"/>
          <w:w w:val="106"/>
          <w:sz w:val="23"/>
        </w:rPr>
        <w:t>.</w:t>
      </w:r>
      <w:r>
        <w:rPr>
          <w:i/>
          <w:w w:val="55"/>
          <w:sz w:val="23"/>
        </w:rPr>
        <w:t>-1</w:t>
      </w:r>
      <w:r>
        <w:rPr>
          <w:i/>
          <w:sz w:val="23"/>
        </w:rPr>
        <w:t> </w:t>
      </w:r>
      <w:r>
        <w:rPr>
          <w:i/>
          <w:spacing w:val="-24"/>
          <w:sz w:val="23"/>
        </w:rPr>
        <w:t> </w:t>
      </w:r>
      <w:r>
        <w:rPr>
          <w:spacing w:val="-9"/>
          <w:w w:val="89"/>
          <w:sz w:val="23"/>
        </w:rPr>
        <w:t>=</w:t>
      </w:r>
      <w:r>
        <w:rPr>
          <w:rFonts w:ascii="Arial"/>
          <w:spacing w:val="-221"/>
          <w:w w:val="299"/>
          <w:sz w:val="18"/>
        </w:rPr>
        <w:t>;</w:t>
      </w:r>
      <w:r>
        <w:rPr>
          <w:rFonts w:ascii="Arial"/>
          <w:spacing w:val="-107"/>
          <w:w w:val="416"/>
          <w:sz w:val="18"/>
        </w:rPr>
        <w:t>:</w:t>
      </w:r>
      <w:r>
        <w:rPr>
          <w:rFonts w:ascii="Arial"/>
          <w:w w:val="94"/>
          <w:sz w:val="18"/>
        </w:rPr>
        <w:t>Y</w:t>
      </w:r>
      <w:r>
        <w:rPr>
          <w:rFonts w:ascii="Arial"/>
          <w:spacing w:val="8"/>
          <w:sz w:val="18"/>
        </w:rPr>
        <w:t> </w:t>
      </w:r>
      <w:r>
        <w:rPr>
          <w:rFonts w:ascii="Arial"/>
          <w:w w:val="75"/>
          <w:sz w:val="18"/>
        </w:rPr>
        <w:t>+</w:t>
      </w:r>
      <w:r>
        <w:rPr>
          <w:rFonts w:ascii="Arial"/>
          <w:spacing w:val="-16"/>
          <w:w w:val="75"/>
          <w:sz w:val="18"/>
        </w:rPr>
        <w:t>1</w:t>
      </w:r>
      <w:r>
        <w:rPr>
          <w:rFonts w:ascii="Arial"/>
          <w:w w:val="94"/>
          <w:sz w:val="18"/>
        </w:rPr>
        <w:t>;;::i</w:t>
      </w:r>
      <w:r>
        <w:rPr>
          <w:rFonts w:ascii="Arial"/>
          <w:w w:val="94"/>
          <w:sz w:val="18"/>
        </w:rPr>
        <w:t>\</w:t>
      </w:r>
      <w:r>
        <w:rPr>
          <w:rFonts w:ascii="Arial"/>
          <w:w w:val="94"/>
          <w:sz w:val="18"/>
        </w:rPr>
        <w:t>-</w:t>
      </w:r>
    </w:p>
    <w:p>
      <w:pPr>
        <w:spacing w:after="0"/>
        <w:jc w:val="center"/>
        <w:rPr>
          <w:rFonts w:ascii="Arial"/>
          <w:sz w:val="18"/>
        </w:rPr>
        <w:sectPr>
          <w:pgSz w:w="7200" w:h="11340"/>
          <w:pgMar w:top="500" w:bottom="280" w:left="620" w:right="540"/>
        </w:sectPr>
      </w:pPr>
    </w:p>
    <w:p>
      <w:pPr>
        <w:pStyle w:val="ListParagraph"/>
        <w:numPr>
          <w:ilvl w:val="0"/>
          <w:numId w:val="64"/>
        </w:numPr>
        <w:tabs>
          <w:tab w:pos="579" w:val="left" w:leader="none"/>
        </w:tabs>
        <w:spacing w:line="240" w:lineRule="auto" w:before="92" w:after="0"/>
        <w:ind w:left="578" w:right="0" w:hanging="280"/>
        <w:jc w:val="left"/>
        <w:rPr>
          <w:sz w:val="17"/>
        </w:rPr>
      </w:pPr>
      <w:r>
        <w:rPr>
          <w:w w:val="105"/>
          <w:sz w:val="18"/>
        </w:rPr>
        <w:t>Show</w:t>
      </w:r>
      <w:r>
        <w:rPr>
          <w:spacing w:val="19"/>
          <w:w w:val="105"/>
          <w:sz w:val="18"/>
        </w:rPr>
        <w:t> </w:t>
      </w:r>
      <w:r>
        <w:rPr>
          <w:w w:val="105"/>
          <w:sz w:val="18"/>
        </w:rPr>
        <w:t>that</w:t>
      </w:r>
    </w:p>
    <w:p>
      <w:pPr>
        <w:pStyle w:val="BodyText"/>
        <w:spacing w:before="3"/>
        <w:rPr>
          <w:sz w:val="35"/>
        </w:rPr>
      </w:pPr>
      <w:r>
        <w:rPr/>
        <w:br w:type="column"/>
      </w:r>
      <w:r>
        <w:rPr>
          <w:sz w:val="35"/>
        </w:rPr>
      </w:r>
    </w:p>
    <w:p>
      <w:pPr>
        <w:spacing w:before="0"/>
        <w:ind w:left="53" w:right="-10" w:firstLine="0"/>
        <w:jc w:val="left"/>
        <w:rPr>
          <w:rFonts w:ascii="Arial"/>
          <w:b/>
          <w:sz w:val="17"/>
        </w:rPr>
      </w:pPr>
      <w:r>
        <w:rPr>
          <w:rFonts w:ascii="Arial"/>
          <w:b/>
          <w:w w:val="72"/>
          <w:sz w:val="17"/>
        </w:rPr>
        <w:t>,Y</w:t>
      </w:r>
      <w:r>
        <w:rPr>
          <w:rFonts w:ascii="Arial"/>
          <w:b/>
          <w:spacing w:val="-64"/>
          <w:w w:val="72"/>
          <w:sz w:val="17"/>
        </w:rPr>
        <w:t>s</w:t>
      </w:r>
      <w:r>
        <w:rPr>
          <w:spacing w:val="-202"/>
          <w:w w:val="214"/>
          <w:position w:val="8"/>
          <w:sz w:val="24"/>
        </w:rPr>
        <w:t>,</w:t>
      </w:r>
      <w:r>
        <w:rPr>
          <w:rFonts w:ascii="Arial"/>
          <w:b/>
          <w:w w:val="72"/>
          <w:sz w:val="17"/>
        </w:rPr>
        <w:t>:</w:t>
      </w:r>
      <w:r>
        <w:rPr>
          <w:rFonts w:ascii="Arial"/>
          <w:b/>
          <w:w w:val="72"/>
          <w:sz w:val="17"/>
        </w:rPr>
        <w:t>"iil</w:t>
      </w:r>
    </w:p>
    <w:p>
      <w:pPr>
        <w:pStyle w:val="BodyText"/>
        <w:spacing w:before="7"/>
        <w:rPr>
          <w:rFonts w:ascii="Arial"/>
          <w:b/>
          <w:sz w:val="35"/>
        </w:rPr>
      </w:pPr>
      <w:r>
        <w:rPr/>
        <w:br w:type="column"/>
      </w:r>
      <w:r>
        <w:rPr>
          <w:rFonts w:ascii="Arial"/>
          <w:b/>
          <w:sz w:val="35"/>
        </w:rPr>
      </w:r>
    </w:p>
    <w:p>
      <w:pPr>
        <w:spacing w:before="0"/>
        <w:ind w:left="63" w:right="-17" w:firstLine="0"/>
        <w:jc w:val="left"/>
        <w:rPr>
          <w:rFonts w:ascii="Arial" w:hAnsi="Arial"/>
          <w:b/>
          <w:sz w:val="17"/>
        </w:rPr>
      </w:pPr>
      <w:r>
        <w:rPr>
          <w:w w:val="95"/>
          <w:sz w:val="24"/>
        </w:rPr>
        <w:t>=</w:t>
      </w:r>
      <w:r>
        <w:rPr>
          <w:spacing w:val="-26"/>
          <w:w w:val="95"/>
          <w:sz w:val="24"/>
        </w:rPr>
        <w:t> </w:t>
      </w:r>
      <w:r>
        <w:rPr>
          <w:w w:val="120"/>
          <w:sz w:val="17"/>
        </w:rPr>
        <w:t>1</w:t>
      </w:r>
      <w:r>
        <w:rPr>
          <w:spacing w:val="-35"/>
          <w:w w:val="120"/>
          <w:sz w:val="17"/>
        </w:rPr>
        <w:t> </w:t>
      </w:r>
      <w:r>
        <w:rPr>
          <w:w w:val="120"/>
          <w:sz w:val="17"/>
        </w:rPr>
        <w:t>-</w:t>
      </w:r>
      <w:r>
        <w:rPr>
          <w:spacing w:val="-43"/>
          <w:w w:val="120"/>
          <w:sz w:val="17"/>
        </w:rPr>
        <w:t> </w:t>
      </w:r>
      <w:r>
        <w:rPr>
          <w:rFonts w:ascii="Arial" w:hAnsi="Arial"/>
          <w:b/>
          <w:w w:val="95"/>
          <w:sz w:val="17"/>
          <w:u w:val="single"/>
        </w:rPr>
        <w:t>d.+C:11-•</w:t>
      </w:r>
      <w:r>
        <w:rPr>
          <w:rFonts w:ascii="Arial" w:hAnsi="Arial"/>
          <w:b/>
          <w:w w:val="95"/>
          <w:sz w:val="17"/>
        </w:rPr>
        <w:t>I</w:t>
      </w:r>
    </w:p>
    <w:p>
      <w:pPr>
        <w:pStyle w:val="BodyText"/>
        <w:rPr>
          <w:rFonts w:ascii="Arial"/>
          <w:b/>
          <w:sz w:val="26"/>
        </w:rPr>
      </w:pPr>
      <w:r>
        <w:rPr/>
        <w:br w:type="column"/>
      </w:r>
      <w:r>
        <w:rPr>
          <w:rFonts w:ascii="Arial"/>
          <w:b/>
          <w:sz w:val="26"/>
        </w:rPr>
      </w:r>
    </w:p>
    <w:p>
      <w:pPr>
        <w:spacing w:before="170"/>
        <w:ind w:left="298" w:right="0" w:firstLine="0"/>
        <w:jc w:val="left"/>
        <w:rPr>
          <w:i/>
          <w:sz w:val="18"/>
        </w:rPr>
      </w:pPr>
      <w:r>
        <w:rPr>
          <w:w w:val="110"/>
          <w:sz w:val="18"/>
        </w:rPr>
        <w:t>for 1 </w:t>
      </w:r>
      <w:r>
        <w:rPr>
          <w:rFonts w:ascii="Arial"/>
          <w:w w:val="110"/>
          <w:sz w:val="24"/>
        </w:rPr>
        <w:t>&lt; </w:t>
      </w:r>
      <w:r>
        <w:rPr>
          <w:rFonts w:ascii="Arial"/>
          <w:i/>
          <w:w w:val="110"/>
          <w:sz w:val="16"/>
        </w:rPr>
        <w:t>t  </w:t>
      </w:r>
      <w:r>
        <w:rPr>
          <w:rFonts w:ascii="Arial"/>
          <w:w w:val="110"/>
          <w:sz w:val="26"/>
        </w:rPr>
        <w:t>&lt; </w:t>
      </w:r>
      <w:r>
        <w:rPr>
          <w:i/>
          <w:w w:val="110"/>
          <w:sz w:val="18"/>
        </w:rPr>
        <w:t>n.</w:t>
      </w:r>
    </w:p>
    <w:p>
      <w:pPr>
        <w:spacing w:after="0"/>
        <w:jc w:val="left"/>
        <w:rPr>
          <w:sz w:val="18"/>
        </w:rPr>
        <w:sectPr>
          <w:type w:val="continuous"/>
          <w:pgSz w:w="7200" w:h="11340"/>
          <w:pgMar w:top="1100" w:bottom="0" w:left="620" w:right="540"/>
          <w:cols w:num="4" w:equalWidth="0">
            <w:col w:w="1361" w:space="40"/>
            <w:col w:w="443" w:space="40"/>
            <w:col w:w="1163" w:space="53"/>
            <w:col w:w="2940"/>
          </w:cols>
        </w:sectPr>
      </w:pPr>
    </w:p>
    <w:p>
      <w:pPr>
        <w:pStyle w:val="BodyText"/>
        <w:spacing w:before="10"/>
        <w:rPr>
          <w:i/>
          <w:sz w:val="14"/>
        </w:rPr>
      </w:pPr>
    </w:p>
    <w:p>
      <w:pPr>
        <w:pStyle w:val="ListParagraph"/>
        <w:numPr>
          <w:ilvl w:val="0"/>
          <w:numId w:val="64"/>
        </w:numPr>
        <w:tabs>
          <w:tab w:pos="576" w:val="left" w:leader="none"/>
        </w:tabs>
        <w:spacing w:line="202" w:lineRule="exact" w:before="84" w:after="0"/>
        <w:ind w:left="121" w:right="169" w:firstLine="173"/>
        <w:jc w:val="both"/>
        <w:rPr>
          <w:sz w:val="18"/>
        </w:rPr>
      </w:pPr>
      <w:r>
        <w:rPr>
          <w:sz w:val="18"/>
        </w:rPr>
        <w:t>A twenty-five payment whole life policy issued at age 40 provides insurance  of  5 during  the  first  twenty-five  years  and  1 thereaf ter. Give</w:t>
      </w:r>
      <w:r>
        <w:rPr>
          <w:spacing w:val="5"/>
          <w:sz w:val="18"/>
        </w:rPr>
        <w:t> </w:t>
      </w:r>
      <w:r>
        <w:rPr>
          <w:sz w:val="18"/>
        </w:rPr>
        <w:t>ex­</w:t>
      </w:r>
    </w:p>
    <w:p>
      <w:pPr>
        <w:spacing w:line="213" w:lineRule="exact" w:before="0"/>
        <w:ind w:left="121" w:right="0" w:firstLine="0"/>
        <w:jc w:val="left"/>
        <w:rPr>
          <w:sz w:val="18"/>
        </w:rPr>
      </w:pPr>
      <w:r>
        <w:rPr>
          <w:w w:val="105"/>
          <w:sz w:val="18"/>
        </w:rPr>
        <w:t>pressions for </w:t>
      </w:r>
      <w:r>
        <w:rPr>
          <w:i/>
          <w:w w:val="105"/>
          <w:sz w:val="24"/>
        </w:rPr>
        <w:t>a' </w:t>
      </w:r>
      <w:r>
        <w:rPr>
          <w:w w:val="105"/>
          <w:sz w:val="18"/>
        </w:rPr>
        <w:t>and </w:t>
      </w:r>
      <w:r>
        <w:rPr>
          <w:rFonts w:ascii="Arial"/>
          <w:i/>
          <w:w w:val="105"/>
          <w:sz w:val="17"/>
        </w:rPr>
        <w:t>fJ' </w:t>
      </w:r>
      <w:r>
        <w:rPr>
          <w:w w:val="105"/>
          <w:sz w:val="18"/>
        </w:rPr>
        <w:t>in terms of commutation functions.</w:t>
      </w:r>
    </w:p>
    <w:p>
      <w:pPr>
        <w:pStyle w:val="ListParagraph"/>
        <w:numPr>
          <w:ilvl w:val="0"/>
          <w:numId w:val="63"/>
        </w:numPr>
        <w:tabs>
          <w:tab w:pos="309" w:val="left" w:leader="none"/>
        </w:tabs>
        <w:spacing w:line="240" w:lineRule="auto" w:before="158" w:after="0"/>
        <w:ind w:left="308" w:right="0" w:hanging="194"/>
        <w:jc w:val="left"/>
        <w:rPr>
          <w:b/>
          <w:sz w:val="16"/>
        </w:rPr>
      </w:pPr>
      <w:r>
        <w:rPr>
          <w:b/>
          <w:w w:val="120"/>
          <w:sz w:val="16"/>
        </w:rPr>
        <w:t>Modi.fied preliminary term </w:t>
      </w:r>
      <w:r>
        <w:rPr>
          <w:b/>
          <w:spacing w:val="5"/>
          <w:w w:val="120"/>
          <w:sz w:val="16"/>
        </w:rPr>
        <w:t> </w:t>
      </w:r>
      <w:r>
        <w:rPr>
          <w:b/>
          <w:w w:val="120"/>
          <w:sz w:val="16"/>
        </w:rPr>
        <w:t>plans</w:t>
      </w:r>
    </w:p>
    <w:p>
      <w:pPr>
        <w:pStyle w:val="ListParagraph"/>
        <w:numPr>
          <w:ilvl w:val="0"/>
          <w:numId w:val="65"/>
        </w:numPr>
        <w:tabs>
          <w:tab w:pos="572" w:val="left" w:leader="none"/>
        </w:tabs>
        <w:spacing w:line="201" w:lineRule="auto" w:before="105" w:after="0"/>
        <w:ind w:left="114" w:right="162" w:firstLine="173"/>
        <w:jc w:val="both"/>
        <w:rPr>
          <w:sz w:val="18"/>
        </w:rPr>
      </w:pPr>
      <w:r>
        <w:rPr>
          <w:w w:val="105"/>
          <w:sz w:val="18"/>
        </w:rPr>
        <w:t>The n-th year terminal reserve by the Commissioners reserve valua­ tion</w:t>
      </w:r>
      <w:r>
        <w:rPr>
          <w:spacing w:val="-10"/>
          <w:w w:val="105"/>
          <w:sz w:val="18"/>
        </w:rPr>
        <w:t> </w:t>
      </w:r>
      <w:r>
        <w:rPr>
          <w:w w:val="105"/>
          <w:sz w:val="18"/>
        </w:rPr>
        <w:t>method</w:t>
      </w:r>
      <w:r>
        <w:rPr>
          <w:spacing w:val="4"/>
          <w:w w:val="105"/>
          <w:sz w:val="18"/>
        </w:rPr>
        <w:t> </w:t>
      </w:r>
      <w:r>
        <w:rPr>
          <w:w w:val="105"/>
          <w:sz w:val="18"/>
        </w:rPr>
        <w:t>for</w:t>
      </w:r>
      <w:r>
        <w:rPr>
          <w:spacing w:val="-14"/>
          <w:w w:val="105"/>
          <w:sz w:val="18"/>
        </w:rPr>
        <w:t> </w:t>
      </w:r>
      <w:r>
        <w:rPr>
          <w:w w:val="105"/>
          <w:sz w:val="18"/>
        </w:rPr>
        <w:t>a</w:t>
      </w:r>
      <w:r>
        <w:rPr>
          <w:spacing w:val="-10"/>
          <w:w w:val="105"/>
          <w:sz w:val="18"/>
        </w:rPr>
        <w:t> </w:t>
      </w:r>
      <w:r>
        <w:rPr>
          <w:w w:val="105"/>
          <w:sz w:val="18"/>
        </w:rPr>
        <w:t>premium-paying</w:t>
      </w:r>
      <w:r>
        <w:rPr>
          <w:spacing w:val="9"/>
          <w:w w:val="105"/>
          <w:sz w:val="18"/>
        </w:rPr>
        <w:t> </w:t>
      </w:r>
      <w:r>
        <w:rPr>
          <w:w w:val="105"/>
          <w:sz w:val="18"/>
        </w:rPr>
        <w:t>policy</w:t>
      </w:r>
      <w:r>
        <w:rPr>
          <w:spacing w:val="1"/>
          <w:w w:val="105"/>
          <w:sz w:val="18"/>
        </w:rPr>
        <w:t> </w:t>
      </w:r>
      <w:r>
        <w:rPr>
          <w:w w:val="105"/>
          <w:sz w:val="18"/>
        </w:rPr>
        <w:t>issued</w:t>
      </w:r>
      <w:r>
        <w:rPr>
          <w:spacing w:val="2"/>
          <w:w w:val="105"/>
          <w:sz w:val="18"/>
        </w:rPr>
        <w:t> </w:t>
      </w:r>
      <w:r>
        <w:rPr>
          <w:w w:val="105"/>
          <w:sz w:val="18"/>
        </w:rPr>
        <w:t>at</w:t>
      </w:r>
      <w:r>
        <w:rPr>
          <w:spacing w:val="-13"/>
          <w:w w:val="105"/>
          <w:sz w:val="18"/>
        </w:rPr>
        <w:t> </w:t>
      </w:r>
      <w:r>
        <w:rPr>
          <w:w w:val="105"/>
          <w:sz w:val="18"/>
        </w:rPr>
        <w:t>age</w:t>
      </w:r>
      <w:r>
        <w:rPr>
          <w:spacing w:val="-14"/>
          <w:w w:val="105"/>
          <w:sz w:val="18"/>
        </w:rPr>
        <w:t> </w:t>
      </w:r>
      <w:r>
        <w:rPr>
          <w:i/>
          <w:w w:val="105"/>
          <w:sz w:val="18"/>
        </w:rPr>
        <w:t>x,</w:t>
      </w:r>
      <w:r>
        <w:rPr>
          <w:i/>
          <w:spacing w:val="-17"/>
          <w:w w:val="105"/>
          <w:sz w:val="18"/>
        </w:rPr>
        <w:t> </w:t>
      </w:r>
      <w:r>
        <w:rPr>
          <w:w w:val="105"/>
          <w:sz w:val="18"/>
        </w:rPr>
        <w:t>where</w:t>
      </w:r>
      <w:r>
        <w:rPr>
          <w:spacing w:val="-11"/>
          <w:w w:val="105"/>
          <w:sz w:val="18"/>
        </w:rPr>
        <w:t> </w:t>
      </w:r>
      <w:r>
        <w:rPr>
          <w:rFonts w:ascii="Arial" w:hAnsi="Arial"/>
          <w:i/>
          <w:w w:val="105"/>
          <w:sz w:val="18"/>
        </w:rPr>
        <w:t>fJ'</w:t>
      </w:r>
      <w:r>
        <w:rPr>
          <w:rFonts w:ascii="Arial" w:hAnsi="Arial"/>
          <w:i/>
          <w:spacing w:val="3"/>
          <w:w w:val="105"/>
          <w:sz w:val="18"/>
        </w:rPr>
        <w:t> </w:t>
      </w:r>
      <w:r>
        <w:rPr>
          <w:rFonts w:ascii="Arial" w:hAnsi="Arial"/>
          <w:w w:val="105"/>
          <w:sz w:val="23"/>
        </w:rPr>
        <w:t>&gt;</w:t>
      </w:r>
      <w:r>
        <w:rPr>
          <w:rFonts w:ascii="Arial" w:hAnsi="Arial"/>
          <w:spacing w:val="-27"/>
          <w:w w:val="105"/>
          <w:sz w:val="23"/>
        </w:rPr>
        <w:t> </w:t>
      </w:r>
      <w:r>
        <w:rPr>
          <w:w w:val="115"/>
          <w:sz w:val="15"/>
        </w:rPr>
        <w:t>u</w:t>
      </w:r>
      <w:r>
        <w:rPr>
          <w:spacing w:val="-20"/>
          <w:w w:val="115"/>
          <w:sz w:val="15"/>
        </w:rPr>
        <w:t> </w:t>
      </w:r>
      <w:r>
        <w:rPr>
          <w:w w:val="105"/>
          <w:sz w:val="15"/>
        </w:rPr>
        <w:t>Ps+i</w:t>
      </w:r>
      <w:r>
        <w:rPr>
          <w:spacing w:val="29"/>
          <w:w w:val="105"/>
          <w:sz w:val="15"/>
        </w:rPr>
        <w:t> </w:t>
      </w:r>
      <w:r>
        <w:rPr>
          <w:w w:val="115"/>
          <w:sz w:val="15"/>
        </w:rPr>
        <w:t>, </w:t>
      </w:r>
      <w:r>
        <w:rPr>
          <w:w w:val="105"/>
          <w:sz w:val="18"/>
        </w:rPr>
        <w:t>may  </w:t>
      </w:r>
      <w:r>
        <w:rPr>
          <w:rFonts w:ascii="Arial" w:hAnsi="Arial"/>
          <w:w w:val="105"/>
          <w:sz w:val="16"/>
        </w:rPr>
        <w:t>be </w:t>
      </w:r>
      <w:r>
        <w:rPr>
          <w:w w:val="105"/>
          <w:sz w:val="18"/>
        </w:rPr>
        <w:t>written</w:t>
      </w:r>
      <w:r>
        <w:rPr>
          <w:spacing w:val="16"/>
          <w:w w:val="105"/>
          <w:sz w:val="18"/>
        </w:rPr>
        <w:t> </w:t>
      </w:r>
      <w:r>
        <w:rPr>
          <w:w w:val="105"/>
          <w:sz w:val="18"/>
        </w:rPr>
        <w:t>as</w:t>
      </w:r>
    </w:p>
    <w:p>
      <w:pPr>
        <w:tabs>
          <w:tab w:pos="2249" w:val="left" w:leader="none"/>
        </w:tabs>
        <w:spacing w:line="147" w:lineRule="exact" w:before="75"/>
        <w:ind w:left="1201" w:right="0" w:firstLine="0"/>
        <w:jc w:val="left"/>
        <w:rPr>
          <w:b/>
          <w:sz w:val="17"/>
        </w:rPr>
      </w:pPr>
      <w:r>
        <w:rPr>
          <w:b/>
          <w:i/>
          <w:w w:val="90"/>
          <w:sz w:val="23"/>
        </w:rPr>
        <w:t>"ycom</w:t>
      </w:r>
      <w:r>
        <w:rPr>
          <w:b/>
          <w:i/>
          <w:spacing w:val="-10"/>
          <w:w w:val="90"/>
          <w:sz w:val="23"/>
        </w:rPr>
        <w:t> </w:t>
      </w:r>
      <w:r>
        <w:rPr>
          <w:rFonts w:ascii="Arial"/>
          <w:w w:val="90"/>
          <w:sz w:val="15"/>
        </w:rPr>
        <w:t>==</w:t>
        <w:tab/>
      </w:r>
      <w:r>
        <w:rPr>
          <w:w w:val="90"/>
          <w:sz w:val="12"/>
        </w:rPr>
        <w:t>om    </w:t>
      </w:r>
      <w:r>
        <w:rPr>
          <w:rFonts w:ascii="Arial"/>
          <w:w w:val="115"/>
          <w:sz w:val="28"/>
        </w:rPr>
        <w:t>+ </w:t>
      </w:r>
      <w:r>
        <w:rPr>
          <w:rFonts w:ascii="Arial"/>
          <w:i/>
          <w:w w:val="115"/>
          <w:sz w:val="17"/>
          <w:u w:val="single"/>
        </w:rPr>
        <w:t>T(N. </w:t>
      </w:r>
      <w:r>
        <w:rPr>
          <w:rFonts w:ascii="Arial"/>
          <w:w w:val="235"/>
          <w:sz w:val="17"/>
          <w:u w:val="single"/>
        </w:rPr>
        <w:t>-</w:t>
      </w:r>
      <w:r>
        <w:rPr>
          <w:rFonts w:ascii="Arial"/>
          <w:spacing w:val="21"/>
          <w:w w:val="235"/>
          <w:sz w:val="17"/>
          <w:u w:val="single"/>
        </w:rPr>
        <w:t> </w:t>
      </w:r>
      <w:r>
        <w:rPr>
          <w:b/>
          <w:w w:val="90"/>
          <w:sz w:val="17"/>
          <w:u w:val="single"/>
        </w:rPr>
        <w:t>N:+fl</w:t>
      </w:r>
      <w:r>
        <w:rPr>
          <w:b/>
          <w:w w:val="90"/>
          <w:sz w:val="17"/>
        </w:rPr>
        <w:t>)</w:t>
      </w:r>
    </w:p>
    <w:p>
      <w:pPr>
        <w:spacing w:after="0" w:line="147" w:lineRule="exact"/>
        <w:jc w:val="left"/>
        <w:rPr>
          <w:sz w:val="17"/>
        </w:rPr>
        <w:sectPr>
          <w:type w:val="continuous"/>
          <w:pgSz w:w="7200" w:h="11340"/>
          <w:pgMar w:top="1100" w:bottom="0" w:left="620" w:right="540"/>
        </w:sectPr>
      </w:pPr>
    </w:p>
    <w:p>
      <w:pPr>
        <w:pStyle w:val="BodyText"/>
        <w:rPr>
          <w:b/>
          <w:sz w:val="18"/>
        </w:rPr>
      </w:pPr>
    </w:p>
    <w:p>
      <w:pPr>
        <w:pStyle w:val="BodyText"/>
        <w:spacing w:before="4"/>
        <w:rPr>
          <w:b/>
          <w:sz w:val="24"/>
        </w:rPr>
      </w:pPr>
    </w:p>
    <w:p>
      <w:pPr>
        <w:spacing w:before="0"/>
        <w:ind w:left="114" w:right="0" w:firstLine="0"/>
        <w:jc w:val="left"/>
        <w:rPr>
          <w:rFonts w:ascii="Arial"/>
          <w:i/>
          <w:sz w:val="17"/>
        </w:rPr>
      </w:pPr>
      <w:r>
        <w:rPr>
          <w:w w:val="105"/>
          <w:sz w:val="18"/>
        </w:rPr>
        <w:t>Find  the expression  for </w:t>
      </w:r>
      <w:r>
        <w:rPr>
          <w:rFonts w:ascii="Arial"/>
          <w:i/>
          <w:w w:val="105"/>
          <w:sz w:val="17"/>
        </w:rPr>
        <w:t>T.</w:t>
      </w:r>
    </w:p>
    <w:p>
      <w:pPr>
        <w:pStyle w:val="BodyText"/>
        <w:spacing w:before="5"/>
        <w:rPr>
          <w:rFonts w:ascii="Arial"/>
          <w:i/>
          <w:sz w:val="16"/>
        </w:rPr>
      </w:pPr>
      <w:r>
        <w:rPr/>
        <w:br w:type="column"/>
      </w:r>
      <w:r>
        <w:rPr>
          <w:rFonts w:ascii="Arial"/>
          <w:i/>
          <w:sz w:val="16"/>
        </w:rPr>
      </w:r>
    </w:p>
    <w:p>
      <w:pPr>
        <w:spacing w:before="0"/>
        <w:ind w:left="114" w:right="-10" w:firstLine="0"/>
        <w:jc w:val="left"/>
        <w:rPr>
          <w:b/>
          <w:sz w:val="14"/>
        </w:rPr>
      </w:pPr>
      <w:r>
        <w:rPr>
          <w:b/>
          <w:w w:val="110"/>
          <w:sz w:val="14"/>
        </w:rPr>
        <w:t>Ds+a</w:t>
      </w:r>
    </w:p>
    <w:p>
      <w:pPr>
        <w:tabs>
          <w:tab w:pos="485" w:val="left" w:leader="none"/>
        </w:tabs>
        <w:spacing w:line="243" w:lineRule="exact" w:before="0"/>
        <w:ind w:left="114" w:right="0" w:firstLine="0"/>
        <w:jc w:val="left"/>
        <w:rPr>
          <w:b/>
          <w:sz w:val="17"/>
        </w:rPr>
      </w:pPr>
      <w:r>
        <w:rPr/>
        <w:br w:type="column"/>
      </w:r>
      <w:r>
        <w:rPr>
          <w:w w:val="125"/>
          <w:sz w:val="9"/>
        </w:rPr>
        <w:t>1</w:t>
        <w:tab/>
      </w:r>
      <w:r>
        <w:rPr>
          <w:i/>
          <w:w w:val="105"/>
          <w:position w:val="2"/>
          <w:sz w:val="18"/>
        </w:rPr>
        <w:t>n </w:t>
      </w:r>
      <w:r>
        <w:rPr>
          <w:rFonts w:ascii="Arial"/>
          <w:w w:val="105"/>
          <w:position w:val="2"/>
          <w:sz w:val="24"/>
        </w:rPr>
        <w:t>&lt;</w:t>
      </w:r>
      <w:r>
        <w:rPr>
          <w:rFonts w:ascii="Arial"/>
          <w:spacing w:val="-1"/>
          <w:w w:val="105"/>
          <w:position w:val="2"/>
          <w:sz w:val="24"/>
        </w:rPr>
        <w:t> </w:t>
      </w:r>
      <w:r>
        <w:rPr>
          <w:b/>
          <w:w w:val="105"/>
          <w:position w:val="2"/>
          <w:sz w:val="17"/>
        </w:rPr>
        <w:t>20.</w:t>
      </w:r>
    </w:p>
    <w:p>
      <w:pPr>
        <w:spacing w:after="0" w:line="243" w:lineRule="exact"/>
        <w:jc w:val="left"/>
        <w:rPr>
          <w:sz w:val="17"/>
        </w:rPr>
        <w:sectPr>
          <w:type w:val="continuous"/>
          <w:pgSz w:w="7200" w:h="11340"/>
          <w:pgMar w:top="1100" w:bottom="0" w:left="620" w:right="540"/>
          <w:cols w:num="3" w:equalWidth="0">
            <w:col w:w="2187" w:space="729"/>
            <w:col w:w="460" w:space="321"/>
            <w:col w:w="2343"/>
          </w:cols>
        </w:sectPr>
      </w:pPr>
    </w:p>
    <w:p>
      <w:pPr>
        <w:pStyle w:val="ListParagraph"/>
        <w:numPr>
          <w:ilvl w:val="0"/>
          <w:numId w:val="65"/>
        </w:numPr>
        <w:tabs>
          <w:tab w:pos="565" w:val="left" w:leader="none"/>
        </w:tabs>
        <w:spacing w:line="198" w:lineRule="exact" w:before="8" w:after="0"/>
        <w:ind w:left="107" w:right="196" w:firstLine="173"/>
        <w:jc w:val="left"/>
        <w:rPr>
          <w:sz w:val="18"/>
        </w:rPr>
      </w:pPr>
      <w:r>
        <w:rPr>
          <w:sz w:val="18"/>
        </w:rPr>
        <w:t>Give formulas for the net premiums and the first, seventh, and fif teenth year  terminal  reserves  for  a  10-payment  20-year  endowment  policy</w:t>
      </w:r>
      <w:r>
        <w:rPr>
          <w:spacing w:val="23"/>
          <w:sz w:val="18"/>
        </w:rPr>
        <w:t> </w:t>
      </w:r>
      <w:r>
        <w:rPr>
          <w:sz w:val="18"/>
        </w:rPr>
        <w:t>issued</w:t>
      </w:r>
    </w:p>
    <w:p>
      <w:pPr>
        <w:spacing w:after="0" w:line="198" w:lineRule="exact"/>
        <w:jc w:val="left"/>
        <w:rPr>
          <w:sz w:val="18"/>
        </w:rPr>
        <w:sectPr>
          <w:type w:val="continuous"/>
          <w:pgSz w:w="7200" w:h="11340"/>
          <w:pgMar w:top="1100" w:bottom="0" w:left="620" w:right="540"/>
        </w:sectPr>
      </w:pPr>
    </w:p>
    <w:p>
      <w:pPr>
        <w:tabs>
          <w:tab w:pos="5864" w:val="right" w:leader="none"/>
        </w:tabs>
        <w:spacing w:before="57"/>
        <w:ind w:left="2535" w:right="0" w:firstLine="0"/>
        <w:jc w:val="left"/>
        <w:rPr>
          <w:sz w:val="20"/>
        </w:rPr>
      </w:pPr>
      <w:r>
        <w:rPr>
          <w:b/>
          <w:color w:val="010101"/>
          <w:w w:val="105"/>
          <w:sz w:val="15"/>
        </w:rPr>
        <w:t>EXERCISES</w:t>
      </w:r>
      <w:r>
        <w:rPr>
          <w:color w:val="010101"/>
          <w:w w:val="105"/>
          <w:sz w:val="20"/>
        </w:rPr>
        <w:tab/>
      </w:r>
      <w:r>
        <w:rPr>
          <w:color w:val="010101"/>
          <w:spacing w:val="-15"/>
          <w:w w:val="105"/>
          <w:sz w:val="20"/>
        </w:rPr>
        <w:t>147</w:t>
      </w:r>
    </w:p>
    <w:p>
      <w:pPr>
        <w:spacing w:line="249" w:lineRule="auto" w:before="234"/>
        <w:ind w:left="116" w:right="138" w:firstLine="7"/>
        <w:jc w:val="left"/>
        <w:rPr>
          <w:sz w:val="17"/>
        </w:rPr>
      </w:pPr>
      <w:r>
        <w:rPr>
          <w:color w:val="010101"/>
          <w:w w:val="105"/>
          <w:sz w:val="17"/>
        </w:rPr>
        <w:t>at age 25 and valued according </w:t>
      </w:r>
      <w:r>
        <w:rPr>
          <w:color w:val="010101"/>
          <w:w w:val="105"/>
          <w:sz w:val="18"/>
        </w:rPr>
        <w:t>to </w:t>
      </w:r>
      <w:r>
        <w:rPr>
          <w:color w:val="010101"/>
          <w:w w:val="105"/>
          <w:sz w:val="17"/>
        </w:rPr>
        <w:t>the Commissioners reserve  valuation method.</w:t>
      </w:r>
    </w:p>
    <w:p>
      <w:pPr>
        <w:pStyle w:val="ListParagraph"/>
        <w:numPr>
          <w:ilvl w:val="0"/>
          <w:numId w:val="65"/>
        </w:numPr>
        <w:tabs>
          <w:tab w:pos="573" w:val="left" w:leader="none"/>
        </w:tabs>
        <w:spacing w:line="237" w:lineRule="auto" w:before="0" w:after="0"/>
        <w:ind w:left="116" w:right="117" w:firstLine="173"/>
        <w:jc w:val="both"/>
        <w:rPr>
          <w:color w:val="010101"/>
          <w:sz w:val="17"/>
        </w:rPr>
      </w:pPr>
      <w:r>
        <w:rPr>
          <w:color w:val="010101"/>
          <w:w w:val="110"/>
          <w:sz w:val="17"/>
        </w:rPr>
        <w:t>The New Jersey modified preliminary tenn reserve rnethod provides for a first year net premium of </w:t>
      </w:r>
      <w:r>
        <w:rPr>
          <w:i/>
          <w:color w:val="010101"/>
          <w:w w:val="110"/>
          <w:sz w:val="18"/>
        </w:rPr>
        <w:t>c. </w:t>
      </w:r>
      <w:r>
        <w:rPr>
          <w:color w:val="010101"/>
          <w:w w:val="110"/>
          <w:sz w:val="18"/>
        </w:rPr>
        <w:t>, </w:t>
      </w:r>
      <w:r>
        <w:rPr>
          <w:color w:val="010101"/>
          <w:w w:val="110"/>
          <w:sz w:val="17"/>
        </w:rPr>
        <w:t>renewal premiurns of </w:t>
      </w:r>
      <w:r>
        <w:rPr>
          <w:i/>
          <w:color w:val="010101"/>
          <w:sz w:val="14"/>
        </w:rPr>
        <w:t>{J </w:t>
      </w:r>
      <w:r>
        <w:rPr>
          <w:i/>
          <w:color w:val="010101"/>
          <w:w w:val="110"/>
          <w:sz w:val="14"/>
        </w:rPr>
        <w:t>J </w:t>
      </w:r>
      <w:r>
        <w:rPr>
          <w:color w:val="010101"/>
          <w:w w:val="110"/>
          <w:sz w:val="17"/>
        </w:rPr>
        <w:t>frorn the second </w:t>
      </w:r>
      <w:r>
        <w:rPr>
          <w:color w:val="010101"/>
          <w:w w:val="110"/>
          <w:sz w:val="18"/>
        </w:rPr>
        <w:t>to </w:t>
      </w:r>
      <w:r>
        <w:rPr>
          <w:color w:val="010101"/>
          <w:w w:val="110"/>
          <w:sz w:val="17"/>
        </w:rPr>
        <w:t>the twentieth year inclusive, with net level premiuma payable thereaf ter. For  an n-payment  m-year  endowment,  show</w:t>
      </w:r>
      <w:r>
        <w:rPr>
          <w:color w:val="010101"/>
          <w:spacing w:val="-15"/>
          <w:w w:val="110"/>
          <w:sz w:val="17"/>
        </w:rPr>
        <w:t> </w:t>
      </w:r>
      <w:r>
        <w:rPr>
          <w:color w:val="010101"/>
          <w:w w:val="110"/>
          <w:sz w:val="17"/>
        </w:rPr>
        <w:t>that</w:t>
      </w:r>
    </w:p>
    <w:p>
      <w:pPr>
        <w:spacing w:after="0" w:line="237" w:lineRule="auto"/>
        <w:jc w:val="both"/>
        <w:rPr>
          <w:sz w:val="17"/>
        </w:rPr>
        <w:sectPr>
          <w:pgSz w:w="7200" w:h="11340"/>
          <w:pgMar w:top="500" w:bottom="280" w:left="680" w:right="540"/>
        </w:sectPr>
      </w:pPr>
    </w:p>
    <w:p>
      <w:pPr>
        <w:spacing w:before="721"/>
        <w:ind w:left="145" w:right="-14" w:firstLine="0"/>
        <w:jc w:val="left"/>
        <w:rPr>
          <w:b/>
          <w:sz w:val="18"/>
        </w:rPr>
      </w:pPr>
      <w:r>
        <w:rPr>
          <w:color w:val="010101"/>
          <w:w w:val="105"/>
          <w:sz w:val="17"/>
        </w:rPr>
        <w:t>where  </w:t>
      </w:r>
      <w:r>
        <w:rPr>
          <w:i/>
          <w:color w:val="010101"/>
          <w:w w:val="105"/>
          <w:sz w:val="18"/>
        </w:rPr>
        <w:t>P  </w:t>
      </w:r>
      <w:r>
        <w:rPr>
          <w:color w:val="010101"/>
          <w:w w:val="105"/>
          <w:sz w:val="21"/>
        </w:rPr>
        <w:t>= </w:t>
      </w:r>
      <w:r>
        <w:rPr>
          <w:color w:val="010101"/>
          <w:spacing w:val="-4"/>
          <w:w w:val="105"/>
          <w:sz w:val="21"/>
        </w:rPr>
        <w:t>..</w:t>
      </w:r>
      <w:r>
        <w:rPr>
          <w:color w:val="010101"/>
          <w:spacing w:val="-4"/>
          <w:w w:val="105"/>
          <w:sz w:val="15"/>
        </w:rPr>
        <w:t>Ps:;¡¡ </w:t>
      </w:r>
      <w:r>
        <w:rPr>
          <w:color w:val="010101"/>
          <w:w w:val="115"/>
          <w:sz w:val="15"/>
        </w:rPr>
        <w:t>, </w:t>
      </w:r>
      <w:r>
        <w:rPr>
          <w:i/>
          <w:color w:val="010101"/>
          <w:w w:val="105"/>
          <w:sz w:val="18"/>
        </w:rPr>
        <w:t>n  </w:t>
      </w:r>
      <w:r>
        <w:rPr>
          <w:rFonts w:ascii="Arial" w:hAnsi="Arial"/>
          <w:color w:val="010101"/>
          <w:w w:val="105"/>
          <w:sz w:val="22"/>
        </w:rPr>
        <w:t>&gt; </w:t>
      </w:r>
      <w:r>
        <w:rPr>
          <w:b/>
          <w:color w:val="010101"/>
          <w:w w:val="105"/>
          <w:sz w:val="18"/>
        </w:rPr>
        <w:t>20.</w:t>
      </w:r>
    </w:p>
    <w:p>
      <w:pPr>
        <w:spacing w:line="192" w:lineRule="exact" w:before="197"/>
        <w:ind w:left="-16" w:right="0" w:firstLine="0"/>
        <w:jc w:val="left"/>
        <w:rPr>
          <w:rFonts w:ascii="Arial"/>
          <w:i/>
          <w:sz w:val="18"/>
        </w:rPr>
      </w:pPr>
      <w:r>
        <w:rPr/>
        <w:br w:type="column"/>
      </w:r>
      <w:r>
        <w:rPr>
          <w:rFonts w:ascii="Arial"/>
          <w:i/>
          <w:color w:val="010101"/>
          <w:sz w:val="18"/>
        </w:rPr>
        <w:t>fJ'  </w:t>
      </w:r>
      <w:r>
        <w:rPr>
          <w:rFonts w:ascii="Arial"/>
          <w:i/>
          <w:color w:val="010101"/>
          <w:w w:val="220"/>
          <w:sz w:val="18"/>
          <w:u w:val="thick" w:color="000000"/>
        </w:rPr>
        <w:t>- </w:t>
      </w:r>
      <w:r>
        <w:rPr>
          <w:rFonts w:ascii="Arial"/>
          <w:i/>
          <w:color w:val="010101"/>
          <w:sz w:val="18"/>
        </w:rPr>
        <w:t>P </w:t>
      </w:r>
      <w:r>
        <w:rPr>
          <w:rFonts w:ascii="Arial"/>
          <w:i/>
          <w:color w:val="010101"/>
          <w:w w:val="150"/>
          <w:sz w:val="18"/>
        </w:rPr>
        <w:t>+ </w:t>
      </w:r>
      <w:r>
        <w:rPr>
          <w:rFonts w:ascii="Arial"/>
          <w:i/>
          <w:color w:val="010101"/>
          <w:sz w:val="18"/>
        </w:rPr>
        <w:t>P  </w:t>
      </w:r>
      <w:r>
        <w:rPr>
          <w:rFonts w:ascii="Arial"/>
          <w:i/>
          <w:color w:val="010101"/>
          <w:w w:val="220"/>
          <w:sz w:val="18"/>
        </w:rPr>
        <w:t>-</w:t>
      </w:r>
      <w:r>
        <w:rPr>
          <w:rFonts w:ascii="Arial"/>
          <w:i/>
          <w:color w:val="010101"/>
          <w:spacing w:val="-65"/>
          <w:w w:val="220"/>
          <w:sz w:val="18"/>
        </w:rPr>
        <w:t> </w:t>
      </w:r>
      <w:r>
        <w:rPr>
          <w:rFonts w:ascii="Arial"/>
          <w:i/>
          <w:color w:val="010101"/>
          <w:sz w:val="18"/>
        </w:rPr>
        <w:t>c.</w:t>
      </w:r>
    </w:p>
    <w:p>
      <w:pPr>
        <w:spacing w:line="192" w:lineRule="exact" w:before="0"/>
        <w:ind w:left="971" w:right="0" w:firstLine="0"/>
        <w:jc w:val="left"/>
        <w:rPr>
          <w:rFonts w:ascii="Arial"/>
          <w:sz w:val="18"/>
        </w:rPr>
      </w:pPr>
      <w:r>
        <w:rPr>
          <w:rFonts w:ascii="Arial"/>
          <w:color w:val="010101"/>
          <w:w w:val="109"/>
          <w:sz w:val="18"/>
        </w:rPr>
        <w:t>a</w:t>
      </w:r>
      <w:r>
        <w:rPr>
          <w:rFonts w:ascii="Arial"/>
          <w:color w:val="010101"/>
          <w:spacing w:val="-39"/>
          <w:w w:val="109"/>
          <w:sz w:val="18"/>
        </w:rPr>
        <w:t>.</w:t>
      </w:r>
      <w:r>
        <w:rPr>
          <w:rFonts w:ascii="Arial"/>
          <w:color w:val="010101"/>
          <w:spacing w:val="-87"/>
          <w:w w:val="196"/>
          <w:sz w:val="18"/>
        </w:rPr>
        <w:t>:</w:t>
      </w:r>
      <w:r>
        <w:rPr>
          <w:rFonts w:ascii="Arial"/>
          <w:color w:val="010101"/>
          <w:w w:val="132"/>
          <w:sz w:val="18"/>
        </w:rPr>
        <w:t>iil</w:t>
      </w:r>
    </w:p>
    <w:p>
      <w:pPr>
        <w:spacing w:after="0" w:line="192" w:lineRule="exact"/>
        <w:jc w:val="left"/>
        <w:rPr>
          <w:rFonts w:ascii="Arial"/>
          <w:sz w:val="18"/>
        </w:rPr>
        <w:sectPr>
          <w:type w:val="continuous"/>
          <w:pgSz w:w="7200" w:h="11340"/>
          <w:pgMar w:top="1100" w:bottom="0" w:left="680" w:right="540"/>
          <w:cols w:num="2" w:equalWidth="0">
            <w:col w:w="2232" w:space="40"/>
            <w:col w:w="3708"/>
          </w:cols>
        </w:sectPr>
      </w:pPr>
    </w:p>
    <w:p>
      <w:pPr>
        <w:pStyle w:val="ListParagraph"/>
        <w:numPr>
          <w:ilvl w:val="0"/>
          <w:numId w:val="65"/>
        </w:numPr>
        <w:tabs>
          <w:tab w:pos="570" w:val="left" w:leader="none"/>
        </w:tabs>
        <w:spacing w:line="218" w:lineRule="auto" w:before="6" w:after="0"/>
        <w:ind w:left="109" w:right="107" w:firstLine="180"/>
        <w:jc w:val="both"/>
        <w:rPr>
          <w:color w:val="010101"/>
          <w:sz w:val="17"/>
        </w:rPr>
      </w:pPr>
      <w:r>
        <w:rPr>
          <w:color w:val="010101"/>
          <w:w w:val="110"/>
          <w:sz w:val="17"/>
        </w:rPr>
        <w:t>The Illinois modifi.ed preliminary </w:t>
      </w:r>
      <w:r>
        <w:rPr>
          <w:color w:val="010101"/>
          <w:w w:val="125"/>
          <w:sz w:val="17"/>
        </w:rPr>
        <w:t>tenn </w:t>
      </w:r>
      <w:r>
        <w:rPr>
          <w:color w:val="010101"/>
          <w:w w:val="110"/>
          <w:sz w:val="17"/>
        </w:rPr>
        <w:t>reserve method defines a rnodification for policies  issued  </w:t>
      </w:r>
      <w:r>
        <w:rPr>
          <w:color w:val="010101"/>
          <w:w w:val="125"/>
          <w:sz w:val="17"/>
        </w:rPr>
        <w:t>at </w:t>
      </w:r>
      <w:r>
        <w:rPr>
          <w:color w:val="010101"/>
          <w:sz w:val="17"/>
        </w:rPr>
        <w:t>11.ge  </w:t>
      </w:r>
      <w:r>
        <w:rPr>
          <w:i/>
          <w:color w:val="010101"/>
          <w:w w:val="110"/>
          <w:sz w:val="18"/>
        </w:rPr>
        <w:t>x , </w:t>
      </w:r>
      <w:r>
        <w:rPr>
          <w:color w:val="010101"/>
          <w:w w:val="110"/>
          <w:sz w:val="17"/>
        </w:rPr>
        <w:t>with </w:t>
      </w:r>
      <w:r>
        <w:rPr>
          <w:rFonts w:ascii="Arial"/>
          <w:i/>
          <w:color w:val="010101"/>
          <w:w w:val="110"/>
          <w:sz w:val="18"/>
        </w:rPr>
        <w:t>fJ'  </w:t>
      </w:r>
      <w:r>
        <w:rPr>
          <w:color w:val="010101"/>
          <w:w w:val="110"/>
          <w:sz w:val="21"/>
        </w:rPr>
        <w:t>&gt;  </w:t>
      </w:r>
      <w:r>
        <w:rPr>
          <w:color w:val="010101"/>
          <w:spacing w:val="-11"/>
          <w:w w:val="125"/>
          <w:sz w:val="15"/>
        </w:rPr>
        <w:t>1.Ps+1 </w:t>
      </w:r>
      <w:r>
        <w:rPr>
          <w:color w:val="010101"/>
          <w:w w:val="110"/>
          <w:sz w:val="15"/>
        </w:rPr>
        <w:t>,  </w:t>
      </w:r>
      <w:r>
        <w:rPr>
          <w:color w:val="010101"/>
          <w:w w:val="110"/>
          <w:sz w:val="17"/>
        </w:rPr>
        <w:t>such  </w:t>
      </w:r>
      <w:r>
        <w:rPr>
          <w:color w:val="010101"/>
          <w:w w:val="125"/>
          <w:sz w:val="17"/>
        </w:rPr>
        <w:t>that </w:t>
      </w:r>
      <w:r>
        <w:rPr>
          <w:rFonts w:ascii="Arial"/>
          <w:i/>
          <w:color w:val="010101"/>
          <w:w w:val="110"/>
          <w:sz w:val="12"/>
        </w:rPr>
        <w:t>fJ </w:t>
      </w:r>
      <w:r>
        <w:rPr>
          <w:rFonts w:ascii="Arial"/>
          <w:i/>
          <w:color w:val="010101"/>
          <w:w w:val="175"/>
          <w:sz w:val="12"/>
        </w:rPr>
        <w:t>l </w:t>
      </w:r>
      <w:r>
        <w:rPr>
          <w:rFonts w:ascii="Arial"/>
          <w:color w:val="010101"/>
          <w:w w:val="320"/>
          <w:sz w:val="12"/>
        </w:rPr>
        <w:t>- </w:t>
      </w:r>
      <w:r>
        <w:rPr>
          <w:rFonts w:ascii="Arial"/>
          <w:i/>
          <w:color w:val="010101"/>
          <w:w w:val="175"/>
          <w:sz w:val="12"/>
        </w:rPr>
        <w:t>al </w:t>
      </w:r>
      <w:r>
        <w:rPr>
          <w:color w:val="010101"/>
          <w:w w:val="110"/>
          <w:sz w:val="19"/>
        </w:rPr>
        <w:t>= </w:t>
      </w:r>
      <w:r>
        <w:rPr>
          <w:color w:val="010101"/>
          <w:spacing w:val="-5"/>
          <w:w w:val="110"/>
          <w:sz w:val="15"/>
        </w:rPr>
        <w:t>1.Ps+1 </w:t>
      </w:r>
      <w:r>
        <w:rPr>
          <w:color w:val="010101"/>
          <w:w w:val="280"/>
          <w:sz w:val="15"/>
        </w:rPr>
        <w:t>- </w:t>
      </w:r>
      <w:r>
        <w:rPr>
          <w:color w:val="010101"/>
          <w:sz w:val="15"/>
        </w:rPr>
        <w:t>Cs </w:t>
      </w:r>
      <w:r>
        <w:rPr>
          <w:color w:val="010101"/>
          <w:w w:val="125"/>
          <w:sz w:val="15"/>
        </w:rPr>
        <w:t>, </w:t>
      </w:r>
      <w:r>
        <w:rPr>
          <w:color w:val="010101"/>
          <w:w w:val="110"/>
          <w:sz w:val="17"/>
        </w:rPr>
        <w:t>wbere </w:t>
      </w:r>
      <w:r>
        <w:rPr>
          <w:color w:val="010101"/>
          <w:w w:val="125"/>
          <w:sz w:val="17"/>
        </w:rPr>
        <w:t>the </w:t>
      </w:r>
      <w:r>
        <w:rPr>
          <w:color w:val="010101"/>
          <w:w w:val="110"/>
          <w:sz w:val="17"/>
        </w:rPr>
        <w:t>rnodifi.cation period is the lesser of 20 years and the prerniurn-payment </w:t>
      </w:r>
      <w:r>
        <w:rPr>
          <w:color w:val="010101"/>
          <w:spacing w:val="42"/>
          <w:w w:val="110"/>
          <w:sz w:val="17"/>
        </w:rPr>
        <w:t> </w:t>
      </w:r>
      <w:r>
        <w:rPr>
          <w:color w:val="010101"/>
          <w:w w:val="110"/>
          <w:sz w:val="17"/>
        </w:rPr>
        <w:t>period.</w:t>
      </w:r>
    </w:p>
    <w:p>
      <w:pPr>
        <w:spacing w:line="220" w:lineRule="exact" w:before="0"/>
        <w:ind w:left="285" w:right="0" w:firstLine="0"/>
        <w:jc w:val="left"/>
        <w:rPr>
          <w:sz w:val="17"/>
        </w:rPr>
      </w:pPr>
      <w:r>
        <w:rPr>
          <w:color w:val="010101"/>
          <w:w w:val="110"/>
          <w:sz w:val="17"/>
        </w:rPr>
        <w:t>For an n-payment m-year endowment with </w:t>
      </w:r>
      <w:r>
        <w:rPr>
          <w:rFonts w:ascii="Arial"/>
          <w:i/>
          <w:color w:val="010101"/>
          <w:w w:val="110"/>
          <w:sz w:val="18"/>
        </w:rPr>
        <w:t>fJ' </w:t>
      </w:r>
      <w:r>
        <w:rPr>
          <w:rFonts w:ascii="Arial"/>
          <w:color w:val="010101"/>
          <w:w w:val="110"/>
          <w:sz w:val="22"/>
        </w:rPr>
        <w:t>&gt; </w:t>
      </w:r>
      <w:r>
        <w:rPr>
          <w:color w:val="010101"/>
          <w:w w:val="110"/>
          <w:sz w:val="15"/>
        </w:rPr>
        <w:t>1ePs+1 </w:t>
      </w:r>
      <w:r>
        <w:rPr>
          <w:color w:val="010101"/>
          <w:w w:val="110"/>
          <w:sz w:val="17"/>
        </w:rPr>
        <w:t>and </w:t>
      </w:r>
      <w:r>
        <w:rPr>
          <w:i/>
          <w:color w:val="010101"/>
          <w:w w:val="110"/>
          <w:sz w:val="18"/>
        </w:rPr>
        <w:t>n </w:t>
      </w:r>
      <w:r>
        <w:rPr>
          <w:rFonts w:ascii="Arial"/>
          <w:color w:val="010101"/>
          <w:w w:val="110"/>
          <w:sz w:val="22"/>
        </w:rPr>
        <w:t>&gt; </w:t>
      </w:r>
      <w:r>
        <w:rPr>
          <w:color w:val="010101"/>
          <w:w w:val="110"/>
          <w:sz w:val="17"/>
        </w:rPr>
        <w:t>20, show</w:t>
      </w:r>
    </w:p>
    <w:p>
      <w:pPr>
        <w:spacing w:line="193" w:lineRule="exact" w:before="0"/>
        <w:ind w:left="131" w:right="739" w:firstLine="0"/>
        <w:jc w:val="left"/>
        <w:rPr>
          <w:sz w:val="17"/>
        </w:rPr>
      </w:pPr>
      <w:r>
        <w:rPr>
          <w:color w:val="010101"/>
          <w:w w:val="125"/>
          <w:sz w:val="17"/>
        </w:rPr>
        <w:t>that</w:t>
      </w:r>
    </w:p>
    <w:p>
      <w:pPr>
        <w:tabs>
          <w:tab w:pos="1656" w:val="left" w:leader="none"/>
        </w:tabs>
        <w:spacing w:line="273" w:lineRule="exact" w:before="122"/>
        <w:ind w:left="734" w:right="739" w:firstLine="0"/>
        <w:jc w:val="left"/>
        <w:rPr>
          <w:i/>
          <w:sz w:val="18"/>
        </w:rPr>
      </w:pPr>
      <w:r>
        <w:rPr/>
        <w:pict>
          <v:shape style="position:absolute;margin-left:56.530411pt;margin-top:16.125832pt;width:10.15pt;height:8pt;mso-position-horizontal-relative:page;mso-position-vertical-relative:paragraph;z-index:11992" type="#_x0000_t202" filled="false" stroked="false">
            <v:textbox inset="0,0,0,0">
              <w:txbxContent>
                <w:p>
                  <w:pPr>
                    <w:spacing w:line="160" w:lineRule="exact" w:before="0"/>
                    <w:ind w:left="0" w:right="-16" w:firstLine="0"/>
                    <w:jc w:val="left"/>
                    <w:rPr>
                      <w:rFonts w:ascii="Arial" w:hAnsi="Arial"/>
                      <w:sz w:val="16"/>
                    </w:rPr>
                  </w:pPr>
                  <w:r>
                    <w:rPr>
                      <w:rFonts w:ascii="Arial" w:hAnsi="Arial"/>
                      <w:color w:val="010101"/>
                      <w:w w:val="120"/>
                      <w:sz w:val="16"/>
                    </w:rPr>
                    <w:t>(ª)</w:t>
                  </w:r>
                </w:p>
              </w:txbxContent>
            </v:textbox>
            <w10:wrap type="none"/>
          </v:shape>
        </w:pict>
      </w:r>
      <w:r>
        <w:rPr>
          <w:i/>
          <w:color w:val="010101"/>
          <w:w w:val="133"/>
          <w:sz w:val="11"/>
        </w:rPr>
        <w:t>Rl</w:t>
      </w:r>
      <w:r>
        <w:rPr>
          <w:i/>
          <w:color w:val="010101"/>
          <w:sz w:val="11"/>
        </w:rPr>
        <w:t>   </w:t>
      </w:r>
      <w:r>
        <w:rPr>
          <w:i/>
          <w:color w:val="010101"/>
          <w:spacing w:val="-4"/>
          <w:sz w:val="11"/>
        </w:rPr>
        <w:t> </w:t>
      </w:r>
      <w:r>
        <w:rPr>
          <w:color w:val="010101"/>
          <w:w w:val="194"/>
          <w:sz w:val="11"/>
        </w:rPr>
        <w:t>_</w:t>
      </w:r>
      <w:r>
        <w:rPr>
          <w:color w:val="010101"/>
          <w:sz w:val="11"/>
        </w:rPr>
        <w:t>     </w:t>
      </w:r>
      <w:r>
        <w:rPr>
          <w:color w:val="010101"/>
          <w:spacing w:val="-3"/>
          <w:sz w:val="11"/>
        </w:rPr>
        <w:t> </w:t>
      </w:r>
      <w:r>
        <w:rPr>
          <w:i/>
          <w:color w:val="010101"/>
          <w:w w:val="102"/>
          <w:sz w:val="18"/>
        </w:rPr>
        <w:t>P</w:t>
      </w:r>
      <w:r>
        <w:rPr>
          <w:i/>
          <w:color w:val="010101"/>
          <w:sz w:val="18"/>
        </w:rPr>
        <w:tab/>
      </w:r>
      <w:r>
        <w:rPr>
          <w:rFonts w:ascii="Arial" w:hAnsi="Arial"/>
          <w:color w:val="010101"/>
          <w:w w:val="108"/>
          <w:sz w:val="26"/>
        </w:rPr>
        <w:t>+</w:t>
      </w:r>
      <w:r>
        <w:rPr>
          <w:rFonts w:ascii="Arial" w:hAnsi="Arial"/>
          <w:color w:val="010101"/>
          <w:spacing w:val="-23"/>
          <w:sz w:val="26"/>
        </w:rPr>
        <w:t> </w:t>
      </w:r>
      <w:r>
        <w:rPr>
          <w:color w:val="010101"/>
          <w:w w:val="147"/>
          <w:sz w:val="15"/>
          <w:u w:val="thick" w:color="000000"/>
        </w:rPr>
        <w:t>u</w:t>
      </w:r>
      <w:r>
        <w:rPr>
          <w:color w:val="010101"/>
          <w:spacing w:val="-5"/>
          <w:w w:val="147"/>
          <w:sz w:val="15"/>
          <w:u w:val="thick" w:color="000000"/>
        </w:rPr>
        <w:t>P</w:t>
      </w:r>
      <w:r>
        <w:rPr>
          <w:color w:val="010101"/>
          <w:w w:val="106"/>
          <w:sz w:val="15"/>
          <w:u w:val="thick" w:color="000000"/>
        </w:rPr>
        <w:t>•+</w:t>
      </w:r>
      <w:r>
        <w:rPr>
          <w:color w:val="010101"/>
          <w:w w:val="106"/>
          <w:sz w:val="15"/>
          <w:u w:val="thick" w:color="000000"/>
        </w:rPr>
        <w:t>l</w:t>
      </w:r>
      <w:r>
        <w:rPr>
          <w:color w:val="010101"/>
          <w:spacing w:val="11"/>
          <w:sz w:val="15"/>
          <w:u w:val="thick" w:color="000000"/>
        </w:rPr>
        <w:t> </w:t>
      </w:r>
      <w:r>
        <w:rPr>
          <w:color w:val="010101"/>
          <w:spacing w:val="10"/>
          <w:w w:val="328"/>
          <w:sz w:val="15"/>
          <w:u w:val="thick" w:color="000000"/>
        </w:rPr>
        <w:t>-</w:t>
      </w:r>
      <w:r>
        <w:rPr>
          <w:i/>
          <w:color w:val="010101"/>
          <w:w w:val="128"/>
          <w:sz w:val="18"/>
          <w:u w:val="thick" w:color="000000"/>
        </w:rPr>
        <w:t>c</w:t>
      </w:r>
      <w:r>
        <w:rPr>
          <w:i/>
          <w:color w:val="010101"/>
          <w:w w:val="129"/>
          <w:sz w:val="18"/>
        </w:rPr>
        <w:t>.</w:t>
      </w:r>
    </w:p>
    <w:p>
      <w:pPr>
        <w:tabs>
          <w:tab w:pos="2137" w:val="left" w:leader="none"/>
          <w:tab w:pos="2844" w:val="right" w:leader="none"/>
        </w:tabs>
        <w:spacing w:line="67" w:lineRule="exact" w:before="0"/>
        <w:ind w:left="723" w:right="0" w:firstLine="0"/>
        <w:jc w:val="left"/>
        <w:rPr>
          <w:sz w:val="8"/>
        </w:rPr>
      </w:pPr>
      <w:r>
        <w:rPr>
          <w:rFonts w:ascii="Arial"/>
          <w:b/>
          <w:color w:val="010101"/>
          <w:w w:val="120"/>
          <w:sz w:val="10"/>
        </w:rPr>
        <w:t>t1    </w:t>
      </w:r>
      <w:r>
        <w:rPr>
          <w:rFonts w:ascii="Arial"/>
          <w:b/>
          <w:color w:val="010101"/>
          <w:w w:val="390"/>
          <w:sz w:val="10"/>
        </w:rPr>
        <w:t>-</w:t>
      </w:r>
      <w:r>
        <w:rPr>
          <w:rFonts w:ascii="Arial"/>
          <w:b/>
          <w:color w:val="010101"/>
          <w:spacing w:val="-69"/>
          <w:w w:val="390"/>
          <w:sz w:val="10"/>
        </w:rPr>
        <w:t> </w:t>
      </w:r>
      <w:r>
        <w:rPr>
          <w:rFonts w:ascii="Arial"/>
          <w:b/>
          <w:color w:val="010101"/>
          <w:sz w:val="10"/>
        </w:rPr>
        <w:t>11  </w:t>
      </w:r>
      <w:r>
        <w:rPr>
          <w:rFonts w:ascii="Arial"/>
          <w:b/>
          <w:color w:val="010101"/>
          <w:spacing w:val="12"/>
          <w:sz w:val="10"/>
        </w:rPr>
        <w:t> </w:t>
      </w:r>
      <w:r>
        <w:rPr>
          <w:rFonts w:ascii="Arial"/>
          <w:b/>
          <w:color w:val="010101"/>
          <w:w w:val="120"/>
          <w:sz w:val="10"/>
        </w:rPr>
        <w:t>s:,iij</w:t>
        <w:tab/>
      </w:r>
      <w:r>
        <w:rPr>
          <w:b/>
          <w:i/>
          <w:color w:val="010101"/>
          <w:w w:val="160"/>
          <w:sz w:val="9"/>
        </w:rPr>
        <w:t>A</w:t>
      </w:r>
      <w:r>
        <w:rPr>
          <w:color w:val="010101"/>
          <w:w w:val="160"/>
          <w:sz w:val="8"/>
        </w:rPr>
        <w:tab/>
        <w:t>1</w:t>
      </w:r>
    </w:p>
    <w:p>
      <w:pPr>
        <w:spacing w:line="139" w:lineRule="exact" w:before="0"/>
        <w:ind w:left="74" w:right="1457" w:firstLine="0"/>
        <w:jc w:val="center"/>
        <w:rPr>
          <w:sz w:val="14"/>
        </w:rPr>
      </w:pPr>
      <w:r>
        <w:rPr>
          <w:color w:val="010101"/>
          <w:w w:val="115"/>
          <w:sz w:val="14"/>
        </w:rPr>
        <w:t>...</w:t>
      </w:r>
      <w:r>
        <w:rPr>
          <w:color w:val="010101"/>
          <w:spacing w:val="-19"/>
          <w:w w:val="115"/>
          <w:sz w:val="14"/>
        </w:rPr>
        <w:t>.</w:t>
      </w:r>
      <w:r>
        <w:rPr>
          <w:color w:val="151515"/>
          <w:spacing w:val="-53"/>
          <w:w w:val="185"/>
          <w:sz w:val="14"/>
        </w:rPr>
        <w:t>:</w:t>
      </w:r>
      <w:r>
        <w:rPr>
          <w:color w:val="151515"/>
          <w:w w:val="89"/>
          <w:sz w:val="14"/>
        </w:rPr>
        <w:t>io]</w:t>
      </w:r>
    </w:p>
    <w:p>
      <w:pPr>
        <w:pStyle w:val="BodyText"/>
        <w:spacing w:before="2"/>
        <w:rPr>
          <w:sz w:val="18"/>
        </w:rPr>
      </w:pPr>
    </w:p>
    <w:p>
      <w:pPr>
        <w:tabs>
          <w:tab w:pos="2234" w:val="left" w:leader="none"/>
          <w:tab w:pos="2779" w:val="left" w:leader="none"/>
        </w:tabs>
        <w:spacing w:before="0"/>
        <w:ind w:left="773" w:right="739" w:firstLine="0"/>
        <w:jc w:val="left"/>
        <w:rPr>
          <w:i/>
          <w:sz w:val="18"/>
        </w:rPr>
      </w:pPr>
      <w:r>
        <w:rPr/>
        <w:pict>
          <v:shape style="position:absolute;margin-left:56.889332pt;margin-top:.456134pt;width:72.75pt;height:10.5pt;mso-position-horizontal-relative:page;mso-position-vertical-relative:paragraph;z-index:-724048" type="#_x0000_t202" filled="false" stroked="false">
            <v:textbox inset="0,0,0,0">
              <w:txbxContent>
                <w:p>
                  <w:pPr>
                    <w:tabs>
                      <w:tab w:pos="1012" w:val="left" w:leader="none"/>
                    </w:tabs>
                    <w:spacing w:line="210" w:lineRule="exact" w:before="0"/>
                    <w:ind w:left="0" w:right="0" w:firstLine="0"/>
                    <w:jc w:val="left"/>
                    <w:rPr>
                      <w:sz w:val="12"/>
                    </w:rPr>
                  </w:pPr>
                  <w:r>
                    <w:rPr>
                      <w:rFonts w:ascii="Arial" w:hAnsi="Arial"/>
                      <w:color w:val="010101"/>
                      <w:w w:val="125"/>
                      <w:position w:val="-7"/>
                      <w:sz w:val="16"/>
                    </w:rPr>
                    <w:t>(b)</w:t>
                  </w:r>
                  <w:r>
                    <w:rPr>
                      <w:rFonts w:ascii="Arial" w:hAnsi="Arial"/>
                      <w:color w:val="010101"/>
                      <w:spacing w:val="18"/>
                      <w:w w:val="125"/>
                      <w:position w:val="-7"/>
                      <w:sz w:val="16"/>
                    </w:rPr>
                    <w:t> </w:t>
                  </w:r>
                  <w:r>
                    <w:rPr>
                      <w:rFonts w:ascii="Arial" w:hAnsi="Arial"/>
                      <w:color w:val="010101"/>
                      <w:w w:val="125"/>
                      <w:sz w:val="7"/>
                    </w:rPr>
                    <w:t>11   </w:t>
                  </w:r>
                  <w:r>
                    <w:rPr>
                      <w:rFonts w:ascii="Arial" w:hAnsi="Arial"/>
                      <w:color w:val="010101"/>
                      <w:spacing w:val="13"/>
                      <w:w w:val="125"/>
                      <w:sz w:val="7"/>
                    </w:rPr>
                    <w:t> </w:t>
                  </w:r>
                  <w:r>
                    <w:rPr>
                      <w:rFonts w:ascii="Arial" w:hAnsi="Arial"/>
                      <w:i/>
                      <w:color w:val="010101"/>
                      <w:w w:val="155"/>
                      <w:sz w:val="11"/>
                    </w:rPr>
                    <w:t>¡</w:t>
                    <w:tab/>
                  </w:r>
                  <w:r>
                    <w:rPr>
                      <w:color w:val="010101"/>
                      <w:w w:val="125"/>
                      <w:sz w:val="12"/>
                    </w:rPr>
                    <w:t>•yCom</w:t>
                  </w:r>
                </w:p>
              </w:txbxContent>
            </v:textbox>
            <w10:wrap type="none"/>
          </v:shape>
        </w:pict>
      </w:r>
      <w:r>
        <w:rPr>
          <w:b/>
          <w:color w:val="010101"/>
          <w:w w:val="85"/>
          <w:sz w:val="12"/>
        </w:rPr>
        <w:t>C </w:t>
      </w:r>
      <w:r>
        <w:rPr>
          <w:b/>
          <w:color w:val="010101"/>
          <w:sz w:val="15"/>
        </w:rPr>
        <w:t>Ya:iiij  </w:t>
      </w:r>
      <w:r>
        <w:rPr>
          <w:rFonts w:ascii="Arial"/>
          <w:color w:val="010101"/>
          <w:sz w:val="22"/>
        </w:rPr>
        <w:t>&gt;</w:t>
      </w:r>
      <w:r>
        <w:rPr>
          <w:rFonts w:ascii="Arial"/>
          <w:color w:val="010101"/>
          <w:spacing w:val="-24"/>
          <w:sz w:val="22"/>
        </w:rPr>
        <w:t> </w:t>
      </w:r>
      <w:r>
        <w:rPr>
          <w:b/>
          <w:color w:val="010101"/>
          <w:w w:val="85"/>
          <w:sz w:val="12"/>
        </w:rPr>
        <w:t>C  </w:t>
      </w:r>
      <w:r>
        <w:rPr>
          <w:b/>
          <w:color w:val="010101"/>
          <w:spacing w:val="5"/>
          <w:w w:val="85"/>
          <w:sz w:val="12"/>
        </w:rPr>
        <w:t> </w:t>
      </w:r>
      <w:r>
        <w:rPr>
          <w:b/>
          <w:color w:val="010101"/>
          <w:sz w:val="15"/>
        </w:rPr>
        <w:t>z:ii)</w:t>
        <w:tab/>
      </w:r>
      <w:r>
        <w:rPr>
          <w:color w:val="010101"/>
          <w:position w:val="2"/>
          <w:sz w:val="17"/>
        </w:rPr>
        <w:t>for</w:t>
        <w:tab/>
      </w:r>
      <w:r>
        <w:rPr>
          <w:rFonts w:ascii="Arial"/>
          <w:i/>
          <w:color w:val="010101"/>
          <w:position w:val="1"/>
          <w:sz w:val="15"/>
        </w:rPr>
        <w:t>t   </w:t>
      </w:r>
      <w:r>
        <w:rPr>
          <w:color w:val="010101"/>
          <w:position w:val="1"/>
          <w:sz w:val="21"/>
        </w:rPr>
        <w:t>&lt;</w:t>
      </w:r>
      <w:r>
        <w:rPr>
          <w:color w:val="010101"/>
          <w:spacing w:val="23"/>
          <w:position w:val="1"/>
          <w:sz w:val="21"/>
        </w:rPr>
        <w:t> </w:t>
      </w:r>
      <w:r>
        <w:rPr>
          <w:i/>
          <w:color w:val="010101"/>
          <w:w w:val="105"/>
          <w:position w:val="1"/>
          <w:sz w:val="18"/>
        </w:rPr>
        <w:t>n.</w:t>
      </w:r>
    </w:p>
    <w:p>
      <w:pPr>
        <w:pStyle w:val="ListParagraph"/>
        <w:numPr>
          <w:ilvl w:val="0"/>
          <w:numId w:val="63"/>
        </w:numPr>
        <w:tabs>
          <w:tab w:pos="329" w:val="left" w:leader="none"/>
        </w:tabs>
        <w:spacing w:line="240" w:lineRule="auto" w:before="149" w:after="0"/>
        <w:ind w:left="328" w:right="0" w:hanging="215"/>
        <w:jc w:val="both"/>
        <w:rPr>
          <w:b/>
          <w:color w:val="010101"/>
          <w:sz w:val="16"/>
        </w:rPr>
      </w:pPr>
      <w:r>
        <w:rPr>
          <w:b/>
          <w:color w:val="010101"/>
          <w:w w:val="120"/>
          <w:sz w:val="16"/>
        </w:rPr>
        <w:t>Cash</w:t>
      </w:r>
      <w:r>
        <w:rPr>
          <w:b/>
          <w:color w:val="010101"/>
          <w:spacing w:val="40"/>
          <w:w w:val="120"/>
          <w:sz w:val="16"/>
        </w:rPr>
        <w:t> </w:t>
      </w:r>
      <w:r>
        <w:rPr>
          <w:b/>
          <w:color w:val="010101"/>
          <w:w w:val="120"/>
          <w:sz w:val="16"/>
        </w:rPr>
        <w:t>values</w:t>
      </w:r>
    </w:p>
    <w:p>
      <w:pPr>
        <w:pStyle w:val="ListParagraph"/>
        <w:numPr>
          <w:ilvl w:val="0"/>
          <w:numId w:val="66"/>
        </w:numPr>
        <w:tabs>
          <w:tab w:pos="573" w:val="left" w:leader="none"/>
        </w:tabs>
        <w:spacing w:line="189" w:lineRule="auto" w:before="117" w:after="0"/>
        <w:ind w:left="120" w:right="101" w:firstLine="169"/>
        <w:jc w:val="both"/>
        <w:rPr>
          <w:sz w:val="17"/>
        </w:rPr>
      </w:pPr>
      <w:r>
        <w:rPr>
          <w:color w:val="010101"/>
          <w:w w:val="110"/>
          <w:sz w:val="17"/>
        </w:rPr>
        <w:t>Derive an expression, corresponding to formula (6.9), for the adjusted premium</w:t>
      </w:r>
      <w:r>
        <w:rPr>
          <w:color w:val="010101"/>
          <w:spacing w:val="1"/>
          <w:w w:val="110"/>
          <w:sz w:val="17"/>
        </w:rPr>
        <w:t> </w:t>
      </w:r>
      <w:r>
        <w:rPr>
          <w:i/>
          <w:color w:val="010101"/>
          <w:w w:val="110"/>
          <w:sz w:val="18"/>
        </w:rPr>
        <w:t>P</w:t>
      </w:r>
      <w:r>
        <w:rPr>
          <w:i/>
          <w:color w:val="010101"/>
          <w:spacing w:val="-28"/>
          <w:w w:val="110"/>
          <w:sz w:val="18"/>
        </w:rPr>
        <w:t> </w:t>
      </w:r>
      <w:r>
        <w:rPr>
          <w:i/>
          <w:color w:val="010101"/>
          <w:sz w:val="18"/>
        </w:rPr>
        <w:t>A</w:t>
      </w:r>
      <w:r>
        <w:rPr>
          <w:i/>
          <w:color w:val="010101"/>
          <w:spacing w:val="-4"/>
          <w:sz w:val="18"/>
        </w:rPr>
        <w:t> </w:t>
      </w:r>
      <w:r>
        <w:rPr>
          <w:color w:val="010101"/>
          <w:w w:val="110"/>
          <w:sz w:val="17"/>
        </w:rPr>
        <w:t>on</w:t>
      </w:r>
      <w:r>
        <w:rPr>
          <w:color w:val="010101"/>
          <w:spacing w:val="-15"/>
          <w:w w:val="110"/>
          <w:sz w:val="17"/>
        </w:rPr>
        <w:t> </w:t>
      </w:r>
      <w:r>
        <w:rPr>
          <w:color w:val="010101"/>
          <w:w w:val="110"/>
          <w:sz w:val="17"/>
        </w:rPr>
        <w:t>a</w:t>
      </w:r>
      <w:r>
        <w:rPr>
          <w:color w:val="010101"/>
          <w:spacing w:val="-19"/>
          <w:w w:val="110"/>
          <w:sz w:val="17"/>
        </w:rPr>
        <w:t> </w:t>
      </w:r>
      <w:r>
        <w:rPr>
          <w:color w:val="010101"/>
          <w:w w:val="110"/>
          <w:sz w:val="17"/>
        </w:rPr>
        <w:t>policy</w:t>
      </w:r>
      <w:r>
        <w:rPr>
          <w:color w:val="010101"/>
          <w:spacing w:val="-3"/>
          <w:w w:val="110"/>
          <w:sz w:val="17"/>
        </w:rPr>
        <w:t> </w:t>
      </w:r>
      <w:r>
        <w:rPr>
          <w:color w:val="010101"/>
          <w:w w:val="110"/>
          <w:sz w:val="17"/>
        </w:rPr>
        <w:t>issued</w:t>
      </w:r>
      <w:r>
        <w:rPr>
          <w:color w:val="010101"/>
          <w:spacing w:val="-10"/>
          <w:w w:val="110"/>
          <w:sz w:val="17"/>
        </w:rPr>
        <w:t> </w:t>
      </w:r>
      <w:r>
        <w:rPr>
          <w:color w:val="010101"/>
          <w:w w:val="110"/>
          <w:sz w:val="17"/>
        </w:rPr>
        <w:t>at</w:t>
      </w:r>
      <w:r>
        <w:rPr>
          <w:color w:val="010101"/>
          <w:spacing w:val="-16"/>
          <w:w w:val="110"/>
          <w:sz w:val="17"/>
        </w:rPr>
        <w:t> </w:t>
      </w:r>
      <w:r>
        <w:rPr>
          <w:color w:val="010101"/>
          <w:w w:val="110"/>
          <w:sz w:val="17"/>
        </w:rPr>
        <w:t>age</w:t>
      </w:r>
      <w:r>
        <w:rPr>
          <w:color w:val="010101"/>
          <w:spacing w:val="-23"/>
          <w:w w:val="110"/>
          <w:sz w:val="17"/>
        </w:rPr>
        <w:t> </w:t>
      </w:r>
      <w:r>
        <w:rPr>
          <w:i/>
          <w:color w:val="010101"/>
          <w:w w:val="110"/>
          <w:sz w:val="18"/>
        </w:rPr>
        <w:t>x</w:t>
      </w:r>
      <w:r>
        <w:rPr>
          <w:i/>
          <w:color w:val="010101"/>
          <w:spacing w:val="-6"/>
          <w:w w:val="110"/>
          <w:sz w:val="18"/>
        </w:rPr>
        <w:t> </w:t>
      </w:r>
      <w:r>
        <w:rPr>
          <w:color w:val="010101"/>
          <w:w w:val="110"/>
          <w:sz w:val="17"/>
        </w:rPr>
        <w:t>when</w:t>
      </w:r>
      <w:r>
        <w:rPr>
          <w:color w:val="010101"/>
          <w:spacing w:val="-8"/>
          <w:w w:val="110"/>
          <w:sz w:val="17"/>
        </w:rPr>
        <w:t> </w:t>
      </w:r>
      <w:r>
        <w:rPr>
          <w:color w:val="010101"/>
          <w:w w:val="110"/>
          <w:sz w:val="17"/>
        </w:rPr>
        <w:t>it</w:t>
      </w:r>
      <w:r>
        <w:rPr>
          <w:color w:val="010101"/>
          <w:spacing w:val="-8"/>
          <w:w w:val="110"/>
          <w:sz w:val="17"/>
        </w:rPr>
        <w:t> </w:t>
      </w:r>
      <w:r>
        <w:rPr>
          <w:color w:val="010101"/>
          <w:w w:val="110"/>
          <w:sz w:val="17"/>
        </w:rPr>
        <w:t>is</w:t>
      </w:r>
      <w:r>
        <w:rPr>
          <w:color w:val="010101"/>
          <w:spacing w:val="-20"/>
          <w:w w:val="110"/>
          <w:sz w:val="17"/>
        </w:rPr>
        <w:t> </w:t>
      </w:r>
      <w:r>
        <w:rPr>
          <w:color w:val="010101"/>
          <w:w w:val="110"/>
          <w:sz w:val="17"/>
        </w:rPr>
        <w:t>known</w:t>
      </w:r>
      <w:r>
        <w:rPr>
          <w:color w:val="010101"/>
          <w:spacing w:val="-5"/>
          <w:w w:val="110"/>
          <w:sz w:val="17"/>
        </w:rPr>
        <w:t> </w:t>
      </w:r>
      <w:r>
        <w:rPr>
          <w:color w:val="010101"/>
          <w:w w:val="110"/>
          <w:sz w:val="17"/>
        </w:rPr>
        <w:t>that</w:t>
      </w:r>
      <w:r>
        <w:rPr>
          <w:color w:val="010101"/>
          <w:spacing w:val="-13"/>
          <w:w w:val="110"/>
          <w:sz w:val="17"/>
        </w:rPr>
        <w:t> </w:t>
      </w:r>
      <w:r>
        <w:rPr>
          <w:i/>
          <w:color w:val="010101"/>
          <w:w w:val="110"/>
          <w:sz w:val="18"/>
        </w:rPr>
        <w:t>P!</w:t>
      </w:r>
      <w:r>
        <w:rPr>
          <w:i/>
          <w:color w:val="010101"/>
          <w:spacing w:val="18"/>
          <w:w w:val="110"/>
          <w:sz w:val="18"/>
        </w:rPr>
        <w:t> </w:t>
      </w:r>
      <w:r>
        <w:rPr>
          <w:rFonts w:ascii="Arial"/>
          <w:color w:val="010101"/>
          <w:w w:val="110"/>
          <w:sz w:val="22"/>
        </w:rPr>
        <w:t>&lt;</w:t>
      </w:r>
      <w:r>
        <w:rPr>
          <w:rFonts w:ascii="Arial"/>
          <w:color w:val="010101"/>
          <w:spacing w:val="-41"/>
          <w:w w:val="110"/>
          <w:sz w:val="22"/>
        </w:rPr>
        <w:t> </w:t>
      </w:r>
      <w:r>
        <w:rPr>
          <w:i/>
          <w:color w:val="010101"/>
          <w:w w:val="110"/>
          <w:sz w:val="18"/>
        </w:rPr>
        <w:t>P</w:t>
      </w:r>
      <w:r>
        <w:rPr>
          <w:i/>
          <w:color w:val="010101"/>
          <w:spacing w:val="-28"/>
          <w:w w:val="110"/>
          <w:sz w:val="18"/>
        </w:rPr>
        <w:t> </w:t>
      </w:r>
      <w:r>
        <w:rPr>
          <w:i/>
          <w:color w:val="010101"/>
          <w:sz w:val="18"/>
        </w:rPr>
        <w:t>A</w:t>
      </w:r>
      <w:r>
        <w:rPr>
          <w:i/>
          <w:color w:val="010101"/>
          <w:spacing w:val="15"/>
          <w:sz w:val="18"/>
        </w:rPr>
        <w:t> </w:t>
      </w:r>
      <w:r>
        <w:rPr>
          <w:rFonts w:ascii="Arial"/>
          <w:color w:val="010101"/>
          <w:w w:val="110"/>
          <w:sz w:val="22"/>
        </w:rPr>
        <w:t>&lt;</w:t>
      </w:r>
      <w:r>
        <w:rPr>
          <w:rFonts w:ascii="Arial"/>
          <w:color w:val="010101"/>
          <w:spacing w:val="-28"/>
          <w:w w:val="110"/>
          <w:sz w:val="22"/>
        </w:rPr>
        <w:t> </w:t>
      </w:r>
      <w:r>
        <w:rPr>
          <w:color w:val="151515"/>
          <w:w w:val="110"/>
          <w:sz w:val="17"/>
        </w:rPr>
        <w:t>.04.</w:t>
      </w:r>
    </w:p>
    <w:p>
      <w:pPr>
        <w:pStyle w:val="ListParagraph"/>
        <w:numPr>
          <w:ilvl w:val="0"/>
          <w:numId w:val="66"/>
        </w:numPr>
        <w:tabs>
          <w:tab w:pos="573" w:val="left" w:leader="none"/>
        </w:tabs>
        <w:spacing w:line="247" w:lineRule="auto" w:before="9" w:after="0"/>
        <w:ind w:left="124" w:right="113" w:firstLine="165"/>
        <w:jc w:val="both"/>
        <w:rPr>
          <w:sz w:val="17"/>
        </w:rPr>
      </w:pPr>
      <w:r>
        <w:rPr>
          <w:color w:val="010101"/>
          <w:w w:val="105"/>
          <w:sz w:val="17"/>
        </w:rPr>
        <w:t>Compute </w:t>
      </w:r>
      <w:r>
        <w:rPr>
          <w:color w:val="010101"/>
          <w:w w:val="105"/>
          <w:sz w:val="15"/>
        </w:rPr>
        <w:t>1oPf1</w:t>
      </w:r>
      <w:r>
        <w:rPr>
          <w:color w:val="262626"/>
          <w:w w:val="105"/>
          <w:sz w:val="15"/>
        </w:rPr>
        <w:t>:</w:t>
      </w:r>
      <w:r>
        <w:rPr>
          <w:color w:val="010101"/>
          <w:w w:val="105"/>
          <w:sz w:val="15"/>
        </w:rPr>
        <w:t>iiJ </w:t>
      </w:r>
      <w:r>
        <w:rPr>
          <w:color w:val="010101"/>
          <w:w w:val="105"/>
          <w:sz w:val="17"/>
        </w:rPr>
        <w:t>given the following values on the 1958 CSO 3% </w:t>
      </w:r>
      <w:r>
        <w:rPr>
          <w:color w:val="010101"/>
          <w:w w:val="101"/>
          <w:sz w:val="17"/>
        </w:rPr>
        <w:t>ha.sis: </w:t>
      </w:r>
      <w:r>
        <w:rPr>
          <w:color w:val="010101"/>
          <w:spacing w:val="-1"/>
          <w:w w:val="108"/>
          <w:sz w:val="15"/>
        </w:rPr>
        <w:t>1oPu</w:t>
      </w:r>
      <w:r>
        <w:rPr>
          <w:color w:val="262626"/>
          <w:spacing w:val="-1"/>
          <w:w w:val="108"/>
          <w:sz w:val="15"/>
        </w:rPr>
        <w:t>:</w:t>
      </w:r>
      <w:r>
        <w:rPr>
          <w:color w:val="010101"/>
          <w:spacing w:val="-1"/>
          <w:w w:val="108"/>
          <w:sz w:val="15"/>
        </w:rPr>
        <w:t>iil</w:t>
      </w:r>
      <w:r>
        <w:rPr>
          <w:color w:val="010101"/>
          <w:w w:val="108"/>
          <w:sz w:val="15"/>
        </w:rPr>
        <w:t>  </w:t>
      </w:r>
      <w:r>
        <w:rPr>
          <w:rFonts w:ascii="Arial" w:hAnsi="Arial"/>
          <w:color w:val="010101"/>
          <w:w w:val="155"/>
          <w:sz w:val="14"/>
        </w:rPr>
        <w:t>=  </w:t>
      </w:r>
      <w:r>
        <w:rPr>
          <w:color w:val="151515"/>
          <w:w w:val="94"/>
          <w:sz w:val="17"/>
        </w:rPr>
        <w:t>.07490, </w:t>
      </w:r>
      <w:r>
        <w:rPr>
          <w:i/>
          <w:color w:val="010101"/>
          <w:w w:val="119"/>
          <w:sz w:val="16"/>
        </w:rPr>
        <w:t>Au  </w:t>
      </w:r>
      <w:r>
        <w:rPr>
          <w:rFonts w:ascii="Arial" w:hAnsi="Arial"/>
          <w:color w:val="010101"/>
          <w:w w:val="160"/>
          <w:sz w:val="14"/>
        </w:rPr>
        <w:t>= </w:t>
      </w:r>
      <w:r>
        <w:rPr>
          <w:color w:val="010101"/>
          <w:spacing w:val="-7"/>
          <w:w w:val="109"/>
          <w:sz w:val="17"/>
        </w:rPr>
        <w:t>.35866,</w:t>
      </w:r>
      <w:r>
        <w:rPr>
          <w:color w:val="010101"/>
          <w:w w:val="109"/>
          <w:sz w:val="17"/>
        </w:rPr>
        <w:t> </w:t>
      </w:r>
      <w:r>
        <w:rPr>
          <w:i/>
          <w:color w:val="010101"/>
          <w:w w:val="112"/>
          <w:sz w:val="16"/>
        </w:rPr>
        <w:t>áa  </w:t>
      </w:r>
      <w:r>
        <w:rPr>
          <w:rFonts w:ascii="Arial" w:hAnsi="Arial"/>
          <w:color w:val="010101"/>
          <w:w w:val="160"/>
          <w:sz w:val="14"/>
        </w:rPr>
        <w:t>= </w:t>
      </w:r>
      <w:r>
        <w:rPr>
          <w:color w:val="010101"/>
          <w:spacing w:val="-1"/>
          <w:w w:val="98"/>
          <w:sz w:val="17"/>
        </w:rPr>
        <w:t>22.01926,</w:t>
      </w:r>
      <w:r>
        <w:rPr>
          <w:color w:val="010101"/>
          <w:w w:val="98"/>
          <w:sz w:val="17"/>
        </w:rPr>
        <w:t> </w:t>
      </w:r>
      <w:r>
        <w:rPr>
          <w:color w:val="010101"/>
          <w:spacing w:val="-4"/>
          <w:w w:val="85"/>
          <w:sz w:val="16"/>
        </w:rPr>
        <w:t>áu:11&gt;1</w:t>
      </w:r>
      <w:r>
        <w:rPr>
          <w:color w:val="010101"/>
          <w:w w:val="85"/>
          <w:sz w:val="16"/>
        </w:rPr>
        <w:t>  </w:t>
      </w:r>
      <w:r>
        <w:rPr>
          <w:rFonts w:ascii="Arial" w:hAnsi="Arial"/>
          <w:color w:val="010101"/>
          <w:w w:val="155"/>
          <w:sz w:val="14"/>
        </w:rPr>
        <w:t>=</w:t>
      </w:r>
      <w:r>
        <w:rPr>
          <w:rFonts w:ascii="Arial" w:hAnsi="Arial"/>
          <w:color w:val="010101"/>
          <w:spacing w:val="24"/>
          <w:w w:val="155"/>
          <w:sz w:val="14"/>
        </w:rPr>
        <w:t> </w:t>
      </w:r>
      <w:r>
        <w:rPr>
          <w:color w:val="010101"/>
          <w:w w:val="96"/>
          <w:sz w:val="17"/>
        </w:rPr>
        <w:t>8.67455.</w:t>
      </w:r>
    </w:p>
    <w:p>
      <w:pPr>
        <w:spacing w:line="189" w:lineRule="exact" w:before="0"/>
        <w:ind w:left="0" w:right="116" w:firstLine="0"/>
        <w:jc w:val="right"/>
        <w:rPr>
          <w:sz w:val="17"/>
        </w:rPr>
      </w:pPr>
      <w:r>
        <w:rPr>
          <w:color w:val="010101"/>
          <w:w w:val="105"/>
          <w:sz w:val="17"/>
        </w:rPr>
        <w:t>(Ans. .07957)</w:t>
      </w:r>
    </w:p>
    <w:p>
      <w:pPr>
        <w:pStyle w:val="ListParagraph"/>
        <w:numPr>
          <w:ilvl w:val="0"/>
          <w:numId w:val="66"/>
        </w:numPr>
        <w:tabs>
          <w:tab w:pos="573" w:val="left" w:leader="none"/>
        </w:tabs>
        <w:spacing w:line="247" w:lineRule="auto" w:before="6" w:after="0"/>
        <w:ind w:left="120" w:right="106" w:firstLine="172"/>
        <w:jc w:val="both"/>
        <w:rPr>
          <w:sz w:val="17"/>
        </w:rPr>
      </w:pPr>
      <w:r>
        <w:rPr>
          <w:color w:val="010101"/>
          <w:w w:val="110"/>
          <w:sz w:val="17"/>
        </w:rPr>
        <w:t>Assuming that the value of the adjusted prernium is known, write formulas for computing adjusted premium surrender values for the  fif th  and the twelf th years for a </w:t>
      </w:r>
      <w:r>
        <w:rPr>
          <w:color w:val="010101"/>
          <w:spacing w:val="-4"/>
          <w:w w:val="110"/>
          <w:sz w:val="17"/>
        </w:rPr>
        <w:t>10-payment </w:t>
      </w:r>
      <w:r>
        <w:rPr>
          <w:color w:val="010101"/>
          <w:spacing w:val="-7"/>
          <w:w w:val="110"/>
          <w:sz w:val="17"/>
        </w:rPr>
        <w:t>15-year </w:t>
      </w:r>
      <w:r>
        <w:rPr>
          <w:color w:val="010101"/>
          <w:w w:val="110"/>
          <w:sz w:val="17"/>
        </w:rPr>
        <w:t>endowment issued at age </w:t>
      </w:r>
      <w:r>
        <w:rPr>
          <w:color w:val="010101"/>
          <w:spacing w:val="24"/>
          <w:w w:val="110"/>
          <w:sz w:val="17"/>
        </w:rPr>
        <w:t> </w:t>
      </w:r>
      <w:r>
        <w:rPr>
          <w:color w:val="010101"/>
          <w:w w:val="110"/>
          <w:sz w:val="17"/>
        </w:rPr>
        <w:t>35.</w:t>
      </w:r>
    </w:p>
    <w:p>
      <w:pPr>
        <w:pStyle w:val="BodyText"/>
        <w:rPr>
          <w:sz w:val="18"/>
        </w:rPr>
      </w:pPr>
    </w:p>
    <w:p>
      <w:pPr>
        <w:pStyle w:val="ListParagraph"/>
        <w:numPr>
          <w:ilvl w:val="0"/>
          <w:numId w:val="63"/>
        </w:numPr>
        <w:tabs>
          <w:tab w:pos="336" w:val="left" w:leader="none"/>
        </w:tabs>
        <w:spacing w:line="240" w:lineRule="auto" w:before="0" w:after="0"/>
        <w:ind w:left="335" w:right="0" w:hanging="222"/>
        <w:jc w:val="both"/>
        <w:rPr>
          <w:b/>
          <w:color w:val="010101"/>
          <w:sz w:val="16"/>
        </w:rPr>
      </w:pPr>
      <w:r>
        <w:rPr>
          <w:b/>
          <w:color w:val="010101"/>
          <w:w w:val="125"/>
          <w:sz w:val="16"/>
        </w:rPr>
        <w:t>Paid-up insurance  and extended</w:t>
      </w:r>
      <w:r>
        <w:rPr>
          <w:b/>
          <w:color w:val="010101"/>
          <w:spacing w:val="39"/>
          <w:w w:val="125"/>
          <w:sz w:val="16"/>
        </w:rPr>
        <w:t> </w:t>
      </w:r>
      <w:r>
        <w:rPr>
          <w:b/>
          <w:color w:val="010101"/>
          <w:w w:val="125"/>
          <w:sz w:val="16"/>
        </w:rPr>
        <w:t>insurance</w:t>
      </w:r>
    </w:p>
    <w:p>
      <w:pPr>
        <w:pStyle w:val="ListParagraph"/>
        <w:numPr>
          <w:ilvl w:val="0"/>
          <w:numId w:val="67"/>
        </w:numPr>
        <w:tabs>
          <w:tab w:pos="577" w:val="left" w:leader="none"/>
        </w:tabs>
        <w:spacing w:line="242" w:lineRule="auto" w:before="123" w:after="0"/>
        <w:ind w:left="124" w:right="109" w:firstLine="165"/>
        <w:jc w:val="both"/>
        <w:rPr>
          <w:color w:val="010101"/>
          <w:sz w:val="17"/>
        </w:rPr>
      </w:pPr>
      <w:r>
        <w:rPr>
          <w:color w:val="010101"/>
          <w:w w:val="110"/>
          <w:sz w:val="17"/>
        </w:rPr>
        <w:t>For a 30-year endowment policy with fa.ce arnount </w:t>
      </w:r>
      <w:r>
        <w:rPr>
          <w:color w:val="010101"/>
          <w:spacing w:val="2"/>
          <w:w w:val="110"/>
          <w:sz w:val="17"/>
        </w:rPr>
        <w:t>1issued </w:t>
      </w:r>
      <w:r>
        <w:rPr>
          <w:color w:val="010101"/>
          <w:w w:val="110"/>
          <w:sz w:val="17"/>
        </w:rPr>
        <w:t>to (x), the amount  of  reduced  paid-up  insurance at the end  of  </w:t>
      </w:r>
      <w:r>
        <w:rPr>
          <w:color w:val="010101"/>
          <w:spacing w:val="-19"/>
          <w:w w:val="110"/>
          <w:sz w:val="17"/>
        </w:rPr>
        <w:t>10  </w:t>
      </w:r>
      <w:r>
        <w:rPr>
          <w:color w:val="010101"/>
          <w:w w:val="110"/>
          <w:sz w:val="17"/>
        </w:rPr>
        <w:t>years  is .55</w:t>
      </w:r>
      <w:r>
        <w:rPr>
          <w:color w:val="262626"/>
          <w:w w:val="110"/>
          <w:sz w:val="17"/>
        </w:rPr>
        <w:t>. </w:t>
      </w:r>
      <w:r>
        <w:rPr>
          <w:color w:val="010101"/>
          <w:w w:val="110"/>
          <w:sz w:val="17"/>
        </w:rPr>
        <w:t>For </w:t>
      </w:r>
      <w:r>
        <w:rPr>
          <w:color w:val="010101"/>
          <w:spacing w:val="22"/>
          <w:w w:val="110"/>
          <w:sz w:val="17"/>
        </w:rPr>
        <w:t> </w:t>
      </w:r>
      <w:r>
        <w:rPr>
          <w:color w:val="010101"/>
          <w:w w:val="110"/>
          <w:sz w:val="17"/>
        </w:rPr>
        <w:t>a</w:t>
      </w:r>
    </w:p>
    <w:p>
      <w:pPr>
        <w:spacing w:line="212" w:lineRule="exact" w:before="0"/>
        <w:ind w:left="127" w:right="0" w:firstLine="0"/>
        <w:jc w:val="both"/>
        <w:rPr>
          <w:sz w:val="17"/>
        </w:rPr>
      </w:pPr>
      <w:r>
        <w:rPr>
          <w:color w:val="010101"/>
          <w:w w:val="110"/>
          <w:sz w:val="17"/>
        </w:rPr>
        <w:t>20-year endowrnent policy with face arnount 1issued to (z </w:t>
      </w:r>
      <w:r>
        <w:rPr>
          <w:rFonts w:ascii="Arial"/>
          <w:color w:val="010101"/>
          <w:w w:val="110"/>
          <w:sz w:val="26"/>
        </w:rPr>
        <w:t>+</w:t>
      </w:r>
      <w:r>
        <w:rPr>
          <w:rFonts w:ascii="Arial"/>
          <w:color w:val="010101"/>
          <w:spacing w:val="-58"/>
          <w:w w:val="110"/>
          <w:sz w:val="26"/>
        </w:rPr>
        <w:t> </w:t>
      </w:r>
      <w:r>
        <w:rPr>
          <w:color w:val="010101"/>
          <w:spacing w:val="-10"/>
          <w:w w:val="110"/>
          <w:sz w:val="17"/>
        </w:rPr>
        <w:t>10), </w:t>
      </w:r>
      <w:r>
        <w:rPr>
          <w:color w:val="010101"/>
          <w:w w:val="110"/>
          <w:sz w:val="17"/>
        </w:rPr>
        <w:t>the amount</w:t>
      </w:r>
    </w:p>
    <w:p>
      <w:pPr>
        <w:tabs>
          <w:tab w:pos="5048" w:val="left" w:leader="none"/>
        </w:tabs>
        <w:spacing w:line="242" w:lineRule="auto" w:before="0"/>
        <w:ind w:left="116" w:right="114" w:firstLine="10"/>
        <w:jc w:val="both"/>
        <w:rPr>
          <w:sz w:val="17"/>
        </w:rPr>
      </w:pPr>
      <w:r>
        <w:rPr>
          <w:color w:val="010101"/>
          <w:w w:val="105"/>
          <w:sz w:val="17"/>
        </w:rPr>
        <w:t>of reduced paid-up insurance at the end of 5 years is .30. For the 30-year endowment policy issued to (x), fi.nd the amount of reduced paid-up </w:t>
      </w:r>
      <w:r>
        <w:rPr>
          <w:color w:val="010101"/>
          <w:sz w:val="17"/>
        </w:rPr>
        <w:t>i </w:t>
      </w:r>
      <w:r>
        <w:rPr>
          <w:color w:val="010101"/>
          <w:w w:val="105"/>
          <w:sz w:val="17"/>
        </w:rPr>
        <w:t>n­  surance at the end of 15 years. Assume that  ca.sh  values  are  equal  to  net level</w:t>
      </w:r>
      <w:r>
        <w:rPr>
          <w:color w:val="010101"/>
          <w:spacing w:val="42"/>
          <w:w w:val="105"/>
          <w:sz w:val="17"/>
        </w:rPr>
        <w:t> </w:t>
      </w:r>
      <w:r>
        <w:rPr>
          <w:color w:val="010101"/>
          <w:w w:val="105"/>
          <w:sz w:val="17"/>
        </w:rPr>
        <w:t>reserves.</w:t>
        <w:tab/>
      </w:r>
      <w:r>
        <w:rPr>
          <w:color w:val="010101"/>
          <w:spacing w:val="3"/>
          <w:w w:val="105"/>
          <w:sz w:val="17"/>
        </w:rPr>
        <w:t>(Ans.</w:t>
      </w:r>
      <w:r>
        <w:rPr>
          <w:color w:val="010101"/>
          <w:spacing w:val="4"/>
          <w:w w:val="105"/>
          <w:sz w:val="17"/>
        </w:rPr>
        <w:t> </w:t>
      </w:r>
      <w:r>
        <w:rPr>
          <w:color w:val="010101"/>
          <w:spacing w:val="-4"/>
          <w:w w:val="105"/>
          <w:sz w:val="17"/>
        </w:rPr>
        <w:t>.685)</w:t>
      </w:r>
    </w:p>
    <w:p>
      <w:pPr>
        <w:pStyle w:val="ListParagraph"/>
        <w:numPr>
          <w:ilvl w:val="0"/>
          <w:numId w:val="67"/>
        </w:numPr>
        <w:tabs>
          <w:tab w:pos="573" w:val="left" w:leader="none"/>
        </w:tabs>
        <w:spacing w:line="242" w:lineRule="auto" w:before="4" w:after="0"/>
        <w:ind w:left="120" w:right="105" w:firstLine="161"/>
        <w:jc w:val="both"/>
        <w:rPr>
          <w:color w:val="010101"/>
          <w:sz w:val="17"/>
        </w:rPr>
      </w:pPr>
      <w:r>
        <w:rPr>
          <w:color w:val="010101"/>
          <w:w w:val="105"/>
          <w:sz w:val="17"/>
        </w:rPr>
        <w:t>At the end of  the sixteenth policy  year, as a result  of  the  non-payment of the premiurn then due, a $2,000 endowment at age 65 policy  issued  at age 43 is changed to an extended insurance basis. Loan indebtedness of $100 is out-Btanding. The cash surrender value is equal to the  reserve  according  to  the  Commissioners  reserve  valuation  rnethod.  Derive  an  expression  for</w:t>
      </w:r>
      <w:r>
        <w:rPr>
          <w:color w:val="010101"/>
          <w:spacing w:val="22"/>
          <w:w w:val="105"/>
          <w:sz w:val="17"/>
        </w:rPr>
        <w:t> </w:t>
      </w:r>
      <w:r>
        <w:rPr>
          <w:color w:val="010101"/>
          <w:w w:val="105"/>
          <w:sz w:val="17"/>
        </w:rPr>
        <w:t>the</w:t>
      </w:r>
    </w:p>
    <w:p>
      <w:pPr>
        <w:spacing w:after="0" w:line="242" w:lineRule="auto"/>
        <w:jc w:val="both"/>
        <w:rPr>
          <w:sz w:val="17"/>
        </w:rPr>
        <w:sectPr>
          <w:type w:val="continuous"/>
          <w:pgSz w:w="7200" w:h="11340"/>
          <w:pgMar w:top="1100" w:bottom="0" w:left="680" w:right="540"/>
        </w:sectPr>
      </w:pPr>
    </w:p>
    <w:p>
      <w:pPr>
        <w:tabs>
          <w:tab w:pos="2035" w:val="left" w:leader="none"/>
          <w:tab w:pos="5377" w:val="left" w:leader="none"/>
        </w:tabs>
        <w:spacing w:before="66"/>
        <w:ind w:left="136" w:right="0" w:firstLine="10"/>
        <w:jc w:val="both"/>
        <w:rPr>
          <w:rFonts w:ascii="Arial"/>
          <w:sz w:val="19"/>
        </w:rPr>
      </w:pPr>
      <w:r>
        <w:rPr>
          <w:color w:val="010101"/>
          <w:spacing w:val="-15"/>
          <w:w w:val="105"/>
          <w:sz w:val="20"/>
        </w:rPr>
        <w:t>148</w:t>
        <w:tab/>
      </w:r>
      <w:r>
        <w:rPr>
          <w:rFonts w:ascii="Courier New"/>
          <w:color w:val="010101"/>
          <w:spacing w:val="-8"/>
          <w:w w:val="105"/>
          <w:position w:val="1"/>
          <w:sz w:val="18"/>
        </w:rPr>
        <w:t>THE</w:t>
      </w:r>
      <w:r>
        <w:rPr>
          <w:rFonts w:ascii="Courier New"/>
          <w:color w:val="010101"/>
          <w:spacing w:val="-32"/>
          <w:w w:val="105"/>
          <w:position w:val="1"/>
          <w:sz w:val="18"/>
        </w:rPr>
        <w:t> </w:t>
      </w:r>
      <w:r>
        <w:rPr>
          <w:rFonts w:ascii="Courier New"/>
          <w:b/>
          <w:color w:val="010101"/>
          <w:w w:val="105"/>
          <w:position w:val="1"/>
          <w:sz w:val="17"/>
        </w:rPr>
        <w:t>EXPENSE</w:t>
      </w:r>
      <w:r>
        <w:rPr>
          <w:rFonts w:ascii="Courier New"/>
          <w:b/>
          <w:color w:val="010101"/>
          <w:spacing w:val="1"/>
          <w:w w:val="105"/>
          <w:position w:val="1"/>
          <w:sz w:val="17"/>
        </w:rPr>
        <w:t> </w:t>
      </w:r>
      <w:r>
        <w:rPr>
          <w:rFonts w:ascii="Courier New"/>
          <w:b/>
          <w:color w:val="010101"/>
          <w:w w:val="105"/>
          <w:position w:val="1"/>
          <w:sz w:val="17"/>
        </w:rPr>
        <w:t>FACTOR</w:t>
        <w:tab/>
      </w:r>
      <w:r>
        <w:rPr>
          <w:color w:val="010101"/>
          <w:w w:val="95"/>
          <w:sz w:val="20"/>
        </w:rPr>
        <w:t>[CH.</w:t>
      </w:r>
      <w:r>
        <w:rPr>
          <w:color w:val="010101"/>
          <w:spacing w:val="-24"/>
          <w:w w:val="95"/>
          <w:sz w:val="20"/>
        </w:rPr>
        <w:t> </w:t>
      </w:r>
      <w:r>
        <w:rPr>
          <w:rFonts w:ascii="Arial"/>
          <w:color w:val="010101"/>
          <w:w w:val="95"/>
          <w:sz w:val="19"/>
        </w:rPr>
        <w:t>6</w:t>
      </w:r>
    </w:p>
    <w:p>
      <w:pPr>
        <w:pStyle w:val="BodyText"/>
        <w:spacing w:before="3"/>
        <w:rPr>
          <w:rFonts w:ascii="Arial"/>
        </w:rPr>
      </w:pPr>
    </w:p>
    <w:p>
      <w:pPr>
        <w:spacing w:line="230" w:lineRule="auto" w:before="0"/>
        <w:ind w:left="133" w:right="148" w:firstLine="3"/>
        <w:jc w:val="both"/>
        <w:rPr>
          <w:sz w:val="18"/>
        </w:rPr>
      </w:pPr>
      <w:r>
        <w:rPr>
          <w:color w:val="010101"/>
          <w:w w:val="105"/>
          <w:sz w:val="18"/>
        </w:rPr>
        <w:t>cash surrender value and, asswning that the net value is used to purchase extended term insurance at net ratee for the fa.ce amount of the policy less the</w:t>
      </w:r>
      <w:r>
        <w:rPr>
          <w:color w:val="010101"/>
          <w:spacing w:val="-22"/>
          <w:w w:val="105"/>
          <w:sz w:val="18"/>
        </w:rPr>
        <w:t> </w:t>
      </w:r>
      <w:r>
        <w:rPr>
          <w:color w:val="010101"/>
          <w:w w:val="105"/>
          <w:sz w:val="18"/>
        </w:rPr>
        <w:t>loan</w:t>
      </w:r>
      <w:r>
        <w:rPr>
          <w:color w:val="010101"/>
          <w:spacing w:val="-21"/>
          <w:w w:val="105"/>
          <w:sz w:val="18"/>
        </w:rPr>
        <w:t> </w:t>
      </w:r>
      <w:r>
        <w:rPr>
          <w:color w:val="010101"/>
          <w:w w:val="105"/>
          <w:sz w:val="18"/>
        </w:rPr>
        <w:t>indebtedness,</w:t>
      </w:r>
      <w:r>
        <w:rPr>
          <w:color w:val="010101"/>
          <w:spacing w:val="-18"/>
          <w:w w:val="105"/>
          <w:sz w:val="18"/>
        </w:rPr>
        <w:t> </w:t>
      </w:r>
      <w:r>
        <w:rPr>
          <w:color w:val="010101"/>
          <w:w w:val="105"/>
          <w:sz w:val="18"/>
        </w:rPr>
        <w:t>show</w:t>
      </w:r>
      <w:r>
        <w:rPr>
          <w:color w:val="010101"/>
          <w:spacing w:val="-20"/>
          <w:w w:val="105"/>
          <w:sz w:val="18"/>
        </w:rPr>
        <w:t> </w:t>
      </w:r>
      <w:r>
        <w:rPr>
          <w:color w:val="010101"/>
          <w:w w:val="105"/>
          <w:sz w:val="18"/>
        </w:rPr>
        <w:t>how</w:t>
      </w:r>
      <w:r>
        <w:rPr>
          <w:color w:val="010101"/>
          <w:spacing w:val="-13"/>
          <w:w w:val="105"/>
          <w:sz w:val="18"/>
        </w:rPr>
        <w:t> </w:t>
      </w:r>
      <w:r>
        <w:rPr>
          <w:color w:val="010101"/>
          <w:w w:val="105"/>
          <w:sz w:val="18"/>
        </w:rPr>
        <w:t>to</w:t>
      </w:r>
      <w:r>
        <w:rPr>
          <w:color w:val="010101"/>
          <w:spacing w:val="-19"/>
          <w:w w:val="105"/>
          <w:sz w:val="18"/>
        </w:rPr>
        <w:t> </w:t>
      </w:r>
      <w:r>
        <w:rPr>
          <w:color w:val="010101"/>
          <w:w w:val="105"/>
          <w:sz w:val="18"/>
        </w:rPr>
        <w:t>calcula.te</w:t>
      </w:r>
      <w:r>
        <w:rPr>
          <w:color w:val="010101"/>
          <w:spacing w:val="-15"/>
          <w:w w:val="105"/>
          <w:sz w:val="18"/>
        </w:rPr>
        <w:t> </w:t>
      </w:r>
      <w:r>
        <w:rPr>
          <w:color w:val="010101"/>
          <w:w w:val="105"/>
          <w:sz w:val="18"/>
        </w:rPr>
        <w:t>the</w:t>
      </w:r>
      <w:r>
        <w:rPr>
          <w:color w:val="010101"/>
          <w:spacing w:val="-20"/>
          <w:w w:val="105"/>
          <w:sz w:val="18"/>
        </w:rPr>
        <w:t> </w:t>
      </w:r>
      <w:r>
        <w:rPr>
          <w:color w:val="010101"/>
          <w:w w:val="105"/>
          <w:sz w:val="18"/>
        </w:rPr>
        <w:t>a.mount</w:t>
      </w:r>
      <w:r>
        <w:rPr>
          <w:color w:val="010101"/>
          <w:spacing w:val="-17"/>
          <w:w w:val="105"/>
          <w:sz w:val="18"/>
        </w:rPr>
        <w:t> </w:t>
      </w:r>
      <w:r>
        <w:rPr>
          <w:color w:val="010101"/>
          <w:w w:val="105"/>
          <w:sz w:val="18"/>
        </w:rPr>
        <w:t>of</w:t>
      </w:r>
      <w:r>
        <w:rPr>
          <w:color w:val="010101"/>
          <w:spacing w:val="-11"/>
          <w:w w:val="105"/>
          <w:sz w:val="18"/>
        </w:rPr>
        <w:t> </w:t>
      </w:r>
      <w:r>
        <w:rPr>
          <w:color w:val="010101"/>
          <w:w w:val="105"/>
          <w:sz w:val="18"/>
        </w:rPr>
        <w:t>pure</w:t>
      </w:r>
      <w:r>
        <w:rPr>
          <w:color w:val="010101"/>
          <w:spacing w:val="-19"/>
          <w:w w:val="105"/>
          <w:sz w:val="18"/>
        </w:rPr>
        <w:t> </w:t>
      </w:r>
      <w:r>
        <w:rPr>
          <w:color w:val="010101"/>
          <w:w w:val="105"/>
          <w:sz w:val="18"/>
        </w:rPr>
        <w:t>endowment paya.ble to the insured at a.ge</w:t>
      </w:r>
      <w:r>
        <w:rPr>
          <w:color w:val="010101"/>
          <w:spacing w:val="19"/>
          <w:w w:val="105"/>
          <w:sz w:val="18"/>
        </w:rPr>
        <w:t> </w:t>
      </w:r>
      <w:r>
        <w:rPr>
          <w:color w:val="010101"/>
          <w:w w:val="105"/>
          <w:sz w:val="18"/>
        </w:rPr>
        <w:t>65.</w:t>
      </w:r>
    </w:p>
    <w:p>
      <w:pPr>
        <w:pStyle w:val="ListParagraph"/>
        <w:numPr>
          <w:ilvl w:val="0"/>
          <w:numId w:val="67"/>
        </w:numPr>
        <w:tabs>
          <w:tab w:pos="579" w:val="left" w:leader="none"/>
        </w:tabs>
        <w:spacing w:line="230" w:lineRule="auto" w:before="2" w:after="0"/>
        <w:ind w:left="126" w:right="154" w:firstLine="165"/>
        <w:jc w:val="both"/>
        <w:rPr>
          <w:color w:val="010101"/>
          <w:sz w:val="18"/>
        </w:rPr>
      </w:pPr>
      <w:r>
        <w:rPr>
          <w:color w:val="010101"/>
          <w:sz w:val="18"/>
        </w:rPr>
        <w:t>A 20-yea.r endowment policy of 1, issued a.t a.ge 25, is lapsed  at the  end of 15 years when there is indebtedness of </w:t>
      </w:r>
      <w:r>
        <w:rPr>
          <w:i/>
          <w:color w:val="010101"/>
          <w:sz w:val="18"/>
        </w:rPr>
        <w:t>L </w:t>
      </w:r>
      <w:r>
        <w:rPr>
          <w:color w:val="010101"/>
          <w:sz w:val="18"/>
        </w:rPr>
        <w:t>outstanding against the cash surrender  value  of  </w:t>
      </w:r>
      <w:r>
        <w:rPr>
          <w:rFonts w:ascii="Arial"/>
          <w:i/>
          <w:color w:val="010101"/>
          <w:sz w:val="17"/>
        </w:rPr>
        <w:t>C. </w:t>
      </w:r>
      <w:r>
        <w:rPr>
          <w:color w:val="010101"/>
          <w:sz w:val="18"/>
        </w:rPr>
        <w:t>Express  in  terms  of  commuta.tion</w:t>
      </w:r>
      <w:r>
        <w:rPr>
          <w:color w:val="010101"/>
          <w:spacing w:val="24"/>
          <w:sz w:val="18"/>
        </w:rPr>
        <w:t> </w:t>
      </w:r>
      <w:r>
        <w:rPr>
          <w:color w:val="010101"/>
          <w:sz w:val="18"/>
        </w:rPr>
        <w:t>symbols:</w:t>
      </w:r>
    </w:p>
    <w:p>
      <w:pPr>
        <w:pStyle w:val="ListParagraph"/>
        <w:numPr>
          <w:ilvl w:val="1"/>
          <w:numId w:val="67"/>
        </w:numPr>
        <w:tabs>
          <w:tab w:pos="773" w:val="left" w:leader="none"/>
        </w:tabs>
        <w:spacing w:line="230" w:lineRule="auto" w:before="2" w:after="0"/>
        <w:ind w:left="768" w:right="157" w:hanging="301"/>
        <w:jc w:val="both"/>
        <w:rPr>
          <w:color w:val="010101"/>
          <w:sz w:val="18"/>
        </w:rPr>
      </w:pPr>
      <w:r>
        <w:rPr>
          <w:color w:val="010101"/>
          <w:w w:val="105"/>
          <w:sz w:val="18"/>
        </w:rPr>
        <w:t>The amount of reduced paid-up insurance¡ and  the  amount  of pure endowment at the regular maturity date if extended insurance for the fa.ce amount of the policy less indebtedness continues to  the regular  maturity</w:t>
      </w:r>
      <w:r>
        <w:rPr>
          <w:color w:val="010101"/>
          <w:spacing w:val="35"/>
          <w:w w:val="105"/>
          <w:sz w:val="18"/>
        </w:rPr>
        <w:t> </w:t>
      </w:r>
      <w:r>
        <w:rPr>
          <w:color w:val="010101"/>
          <w:w w:val="105"/>
          <w:sz w:val="18"/>
        </w:rPr>
        <w:t>date.</w:t>
      </w:r>
    </w:p>
    <w:p>
      <w:pPr>
        <w:pStyle w:val="ListParagraph"/>
        <w:numPr>
          <w:ilvl w:val="1"/>
          <w:numId w:val="67"/>
        </w:numPr>
        <w:tabs>
          <w:tab w:pos="769" w:val="left" w:leader="none"/>
        </w:tabs>
        <w:spacing w:line="202" w:lineRule="exact" w:before="6" w:after="0"/>
        <w:ind w:left="768" w:right="159" w:hanging="305"/>
        <w:jc w:val="both"/>
        <w:rPr>
          <w:color w:val="010101"/>
          <w:sz w:val="16"/>
        </w:rPr>
      </w:pPr>
      <w:r>
        <w:rPr>
          <w:color w:val="010101"/>
          <w:w w:val="105"/>
          <w:sz w:val="18"/>
        </w:rPr>
        <w:t>The retrospective and prospective expressions for the reserve on the extended insurance and pure endowment three years af ter the date of lapse. Show that the two expressions are </w:t>
      </w:r>
      <w:r>
        <w:rPr>
          <w:color w:val="010101"/>
          <w:spacing w:val="43"/>
          <w:w w:val="105"/>
          <w:sz w:val="18"/>
        </w:rPr>
        <w:t> </w:t>
      </w:r>
      <w:r>
        <w:rPr>
          <w:color w:val="010101"/>
          <w:w w:val="105"/>
          <w:sz w:val="18"/>
        </w:rPr>
        <w:t>equivalent.</w:t>
      </w:r>
    </w:p>
    <w:p>
      <w:pPr>
        <w:pStyle w:val="BodyText"/>
        <w:spacing w:before="8"/>
        <w:rPr>
          <w:sz w:val="14"/>
        </w:rPr>
      </w:pPr>
    </w:p>
    <w:p>
      <w:pPr>
        <w:spacing w:before="0"/>
        <w:ind w:left="122" w:right="0" w:firstLine="0"/>
        <w:jc w:val="both"/>
        <w:rPr>
          <w:b/>
          <w:sz w:val="16"/>
        </w:rPr>
      </w:pPr>
      <w:r>
        <w:rPr>
          <w:b/>
          <w:color w:val="010101"/>
          <w:w w:val="120"/>
          <w:sz w:val="16"/>
        </w:rPr>
        <w:t>Miscellaneous  problems</w:t>
      </w:r>
    </w:p>
    <w:p>
      <w:pPr>
        <w:pStyle w:val="ListParagraph"/>
        <w:numPr>
          <w:ilvl w:val="0"/>
          <w:numId w:val="67"/>
        </w:numPr>
        <w:tabs>
          <w:tab w:pos="572" w:val="left" w:leader="none"/>
        </w:tabs>
        <w:spacing w:line="202" w:lineRule="exact" w:before="80" w:after="0"/>
        <w:ind w:left="126" w:right="166" w:firstLine="154"/>
        <w:jc w:val="both"/>
        <w:rPr>
          <w:color w:val="010101"/>
          <w:sz w:val="18"/>
        </w:rPr>
      </w:pPr>
      <w:r>
        <w:rPr>
          <w:color w:val="010101"/>
          <w:w w:val="105"/>
          <w:sz w:val="18"/>
        </w:rPr>
        <w:t>Find an expression in commutation functions for the gross annual premium  for a whole life policy for </w:t>
      </w:r>
      <w:r>
        <w:rPr>
          <w:color w:val="010101"/>
          <w:spacing w:val="-4"/>
          <w:w w:val="105"/>
          <w:sz w:val="18"/>
        </w:rPr>
        <w:t>$1000 </w:t>
      </w:r>
      <w:r>
        <w:rPr>
          <w:color w:val="010101"/>
          <w:w w:val="105"/>
          <w:sz w:val="18"/>
        </w:rPr>
        <w:t>issued to  (x) and subject to  </w:t>
      </w:r>
      <w:r>
        <w:rPr>
          <w:color w:val="010101"/>
          <w:spacing w:val="1"/>
          <w:w w:val="105"/>
          <w:sz w:val="18"/>
        </w:rPr>
        <w:t> </w:t>
      </w:r>
      <w:r>
        <w:rPr>
          <w:color w:val="010101"/>
          <w:w w:val="105"/>
          <w:sz w:val="18"/>
        </w:rPr>
        <w:t>the</w:t>
      </w:r>
    </w:p>
    <w:p>
      <w:pPr>
        <w:spacing w:line="205" w:lineRule="exact" w:before="0"/>
        <w:ind w:left="118" w:right="0" w:firstLine="7"/>
        <w:jc w:val="both"/>
        <w:rPr>
          <w:sz w:val="18"/>
        </w:rPr>
      </w:pPr>
      <w:r>
        <w:rPr>
          <w:color w:val="010101"/>
          <w:w w:val="105"/>
          <w:sz w:val="18"/>
        </w:rPr>
        <w:t>condition that, in the event of a cla.im before a.ge z </w:t>
      </w:r>
      <w:r>
        <w:rPr>
          <w:rFonts w:ascii="Arial" w:hAnsi="Arial"/>
          <w:color w:val="010101"/>
          <w:w w:val="105"/>
          <w:sz w:val="26"/>
        </w:rPr>
        <w:t>+</w:t>
      </w:r>
      <w:r>
        <w:rPr>
          <w:rFonts w:ascii="Arial" w:hAnsi="Arial"/>
          <w:color w:val="010101"/>
          <w:spacing w:val="-55"/>
          <w:w w:val="105"/>
          <w:sz w:val="26"/>
        </w:rPr>
        <w:t> </w:t>
      </w:r>
      <w:r>
        <w:rPr>
          <w:color w:val="010101"/>
          <w:w w:val="105"/>
          <w:sz w:val="18"/>
        </w:rPr>
        <w:t>n, the only death bene­</w:t>
      </w:r>
    </w:p>
    <w:p>
      <w:pPr>
        <w:spacing w:line="223" w:lineRule="auto" w:before="1"/>
        <w:ind w:left="111" w:right="165" w:firstLine="7"/>
        <w:jc w:val="both"/>
        <w:rPr>
          <w:b/>
          <w:sz w:val="19"/>
        </w:rPr>
      </w:pPr>
      <w:r>
        <w:rPr>
          <w:color w:val="010101"/>
          <w:sz w:val="18"/>
        </w:rPr>
        <w:t>fit will be the return of gross premiums paid without</w:t>
      </w:r>
      <w:r>
        <w:rPr>
          <w:color w:val="212121"/>
          <w:sz w:val="18"/>
        </w:rPr>
        <w:t>.</w:t>
      </w:r>
      <w:r>
        <w:rPr>
          <w:color w:val="010101"/>
          <w:sz w:val="18"/>
        </w:rPr>
        <w:t>interest. Allow for a loa.ding of  20% of  the net premium  plus </w:t>
      </w:r>
      <w:r>
        <w:rPr>
          <w:b/>
          <w:color w:val="010101"/>
          <w:sz w:val="19"/>
        </w:rPr>
        <w:t>$3.</w:t>
      </w:r>
    </w:p>
    <w:p>
      <w:pPr>
        <w:pStyle w:val="ListParagraph"/>
        <w:numPr>
          <w:ilvl w:val="0"/>
          <w:numId w:val="67"/>
        </w:numPr>
        <w:tabs>
          <w:tab w:pos="561" w:val="left" w:leader="none"/>
        </w:tabs>
        <w:spacing w:line="202" w:lineRule="exact" w:before="1" w:after="0"/>
        <w:ind w:left="115" w:right="166" w:firstLine="165"/>
        <w:jc w:val="both"/>
        <w:rPr>
          <w:color w:val="010101"/>
          <w:sz w:val="18"/>
        </w:rPr>
      </w:pPr>
      <w:r>
        <w:rPr>
          <w:color w:val="010101"/>
          <w:sz w:val="18"/>
        </w:rPr>
        <w:t>Write expressions for the difference between the Commissioners re­ serve and  the  net  level  premium  reserve  at the end  of  </w:t>
      </w:r>
      <w:r>
        <w:rPr>
          <w:i/>
          <w:color w:val="010101"/>
          <w:sz w:val="19"/>
        </w:rPr>
        <w:t>t </w:t>
      </w:r>
      <w:r>
        <w:rPr>
          <w:color w:val="010101"/>
          <w:sz w:val="18"/>
        </w:rPr>
        <w:t>years</w:t>
      </w:r>
      <w:r>
        <w:rPr>
          <w:color w:val="010101"/>
          <w:spacing w:val="-10"/>
          <w:sz w:val="18"/>
        </w:rPr>
        <w:t> </w:t>
      </w:r>
      <w:r>
        <w:rPr>
          <w:color w:val="010101"/>
          <w:sz w:val="18"/>
        </w:rPr>
        <w:t>for</w:t>
      </w:r>
    </w:p>
    <w:p>
      <w:pPr>
        <w:pStyle w:val="ListParagraph"/>
        <w:numPr>
          <w:ilvl w:val="0"/>
          <w:numId w:val="68"/>
        </w:numPr>
        <w:tabs>
          <w:tab w:pos="747" w:val="left" w:leader="none"/>
        </w:tabs>
        <w:spacing w:line="189" w:lineRule="exact" w:before="0" w:after="0"/>
        <w:ind w:left="746" w:right="0" w:hanging="290"/>
        <w:jc w:val="left"/>
        <w:rPr>
          <w:sz w:val="16"/>
        </w:rPr>
      </w:pPr>
      <w:r>
        <w:rPr>
          <w:color w:val="010101"/>
          <w:w w:val="105"/>
          <w:sz w:val="18"/>
        </w:rPr>
        <w:t>30-year endowment insurance issued </w:t>
      </w:r>
      <w:r>
        <w:rPr>
          <w:b/>
          <w:color w:val="010101"/>
          <w:w w:val="105"/>
          <w:sz w:val="17"/>
        </w:rPr>
        <w:t>a.t a.ge </w:t>
      </w:r>
      <w:r>
        <w:rPr>
          <w:color w:val="010101"/>
          <w:w w:val="105"/>
          <w:sz w:val="18"/>
        </w:rPr>
        <w:t>z, where </w:t>
      </w:r>
      <w:r>
        <w:rPr>
          <w:rFonts w:ascii="Arial" w:hAnsi="Arial"/>
          <w:i/>
          <w:color w:val="010101"/>
          <w:w w:val="105"/>
          <w:sz w:val="17"/>
        </w:rPr>
        <w:t>fJ'  </w:t>
      </w:r>
      <w:r>
        <w:rPr>
          <w:rFonts w:ascii="Arial" w:hAnsi="Arial"/>
          <w:color w:val="010101"/>
          <w:w w:val="105"/>
          <w:sz w:val="22"/>
        </w:rPr>
        <w:t>&gt; </w:t>
      </w:r>
      <w:r>
        <w:rPr>
          <w:color w:val="010101"/>
          <w:spacing w:val="-5"/>
          <w:w w:val="105"/>
          <w:sz w:val="16"/>
        </w:rPr>
        <w:t>1.Pz+i </w:t>
      </w:r>
      <w:r>
        <w:rPr>
          <w:color w:val="010101"/>
          <w:spacing w:val="12"/>
          <w:w w:val="105"/>
          <w:sz w:val="16"/>
        </w:rPr>
        <w:t> </w:t>
      </w:r>
      <w:r>
        <w:rPr>
          <w:color w:val="010101"/>
          <w:w w:val="130"/>
          <w:sz w:val="16"/>
        </w:rPr>
        <w:t>¡</w:t>
      </w:r>
    </w:p>
    <w:p>
      <w:pPr>
        <w:pStyle w:val="ListParagraph"/>
        <w:numPr>
          <w:ilvl w:val="0"/>
          <w:numId w:val="68"/>
        </w:numPr>
        <w:tabs>
          <w:tab w:pos="740" w:val="left" w:leader="none"/>
        </w:tabs>
        <w:spacing w:line="213" w:lineRule="exact" w:before="0" w:after="0"/>
        <w:ind w:left="739" w:right="0" w:hanging="283"/>
        <w:jc w:val="left"/>
        <w:rPr>
          <w:sz w:val="18"/>
        </w:rPr>
      </w:pPr>
      <w:r>
        <w:rPr>
          <w:color w:val="010101"/>
          <w:sz w:val="18"/>
        </w:rPr>
        <w:t>whole life insurance with premiums  to a.ge 65 issued  </w:t>
      </w:r>
      <w:r>
        <w:rPr>
          <w:b/>
          <w:color w:val="010101"/>
          <w:sz w:val="17"/>
        </w:rPr>
        <w:t>at a.ge </w:t>
      </w:r>
      <w:r>
        <w:rPr>
          <w:i/>
          <w:color w:val="010101"/>
          <w:sz w:val="18"/>
        </w:rPr>
        <w:t>x  </w:t>
      </w:r>
      <w:r>
        <w:rPr>
          <w:color w:val="010101"/>
          <w:sz w:val="21"/>
        </w:rPr>
        <w:t>&gt; </w:t>
      </w:r>
      <w:r>
        <w:rPr>
          <w:color w:val="010101"/>
          <w:spacing w:val="3"/>
          <w:sz w:val="21"/>
        </w:rPr>
        <w:t> </w:t>
      </w:r>
      <w:r>
        <w:rPr>
          <w:color w:val="010101"/>
          <w:sz w:val="18"/>
        </w:rPr>
        <w:t>45.</w:t>
      </w:r>
    </w:p>
    <w:p>
      <w:pPr>
        <w:pStyle w:val="ListParagraph"/>
        <w:numPr>
          <w:ilvl w:val="0"/>
          <w:numId w:val="67"/>
        </w:numPr>
        <w:tabs>
          <w:tab w:pos="568" w:val="left" w:leader="none"/>
        </w:tabs>
        <w:spacing w:line="148" w:lineRule="auto" w:before="57" w:after="0"/>
        <w:ind w:left="118" w:right="167" w:firstLine="162"/>
        <w:jc w:val="both"/>
        <w:rPr>
          <w:color w:val="010101"/>
          <w:sz w:val="18"/>
        </w:rPr>
      </w:pPr>
      <w:r>
        <w:rPr>
          <w:color w:val="010101"/>
          <w:sz w:val="18"/>
        </w:rPr>
        <w:t>Give the retrospective formula for the net level premium reserve at attained  a.ge </w:t>
      </w:r>
      <w:r>
        <w:rPr>
          <w:rFonts w:ascii="Arial"/>
          <w:i/>
          <w:color w:val="010101"/>
          <w:sz w:val="15"/>
        </w:rPr>
        <w:t>y  </w:t>
      </w:r>
      <w:r>
        <w:rPr>
          <w:color w:val="010101"/>
          <w:sz w:val="18"/>
        </w:rPr>
        <w:t>for a 20-payment  life policy issued  at age </w:t>
      </w:r>
      <w:r>
        <w:rPr>
          <w:i/>
          <w:color w:val="010101"/>
          <w:sz w:val="18"/>
        </w:rPr>
        <w:t>x, </w:t>
      </w:r>
      <w:r>
        <w:rPr>
          <w:color w:val="010101"/>
          <w:sz w:val="18"/>
        </w:rPr>
        <w:t>for </w:t>
      </w:r>
      <w:r>
        <w:rPr>
          <w:i/>
          <w:color w:val="010101"/>
          <w:w w:val="90"/>
          <w:sz w:val="16"/>
        </w:rPr>
        <w:t>'11  </w:t>
      </w:r>
      <w:r>
        <w:rPr>
          <w:rFonts w:ascii="Arial"/>
          <w:color w:val="010101"/>
          <w:sz w:val="22"/>
        </w:rPr>
        <w:t>&lt; </w:t>
      </w:r>
      <w:r>
        <w:rPr>
          <w:i/>
          <w:color w:val="010101"/>
          <w:sz w:val="18"/>
        </w:rPr>
        <w:t>x  </w:t>
      </w:r>
      <w:r>
        <w:rPr>
          <w:rFonts w:ascii="Arial"/>
          <w:color w:val="010101"/>
          <w:sz w:val="26"/>
        </w:rPr>
        <w:t>+</w:t>
      </w:r>
      <w:r>
        <w:rPr>
          <w:rFonts w:ascii="Arial"/>
          <w:color w:val="010101"/>
          <w:spacing w:val="-33"/>
          <w:sz w:val="26"/>
        </w:rPr>
        <w:t> </w:t>
      </w:r>
      <w:r>
        <w:rPr>
          <w:color w:val="010101"/>
          <w:sz w:val="18"/>
        </w:rPr>
        <w:t>20.</w:t>
      </w:r>
    </w:p>
    <w:p>
      <w:pPr>
        <w:spacing w:line="202" w:lineRule="exact" w:before="2"/>
        <w:ind w:left="115" w:right="165" w:firstLine="7"/>
        <w:jc w:val="both"/>
        <w:rPr>
          <w:sz w:val="18"/>
        </w:rPr>
      </w:pPr>
      <w:r>
        <w:rPr>
          <w:color w:val="010101"/>
          <w:w w:val="105"/>
          <w:sz w:val="18"/>
        </w:rPr>
        <w:t>Derive and </w:t>
      </w:r>
      <w:r>
        <w:rPr>
          <w:b/>
          <w:color w:val="010101"/>
          <w:w w:val="105"/>
          <w:sz w:val="17"/>
        </w:rPr>
        <w:t>give </w:t>
      </w:r>
      <w:r>
        <w:rPr>
          <w:b/>
          <w:color w:val="010101"/>
          <w:sz w:val="17"/>
        </w:rPr>
        <w:t>a. </w:t>
      </w:r>
      <w:r>
        <w:rPr>
          <w:color w:val="010101"/>
          <w:w w:val="105"/>
          <w:sz w:val="18"/>
        </w:rPr>
        <w:t>verbal interpretation of the difference between this re­ serve and the reserve at the same attained age for paid-up term insurance for the fa.ce amount of the policy, purchased by the net level premium   </w:t>
      </w:r>
      <w:r>
        <w:rPr>
          <w:color w:val="010101"/>
          <w:spacing w:val="5"/>
          <w:w w:val="105"/>
          <w:sz w:val="18"/>
        </w:rPr>
        <w:t> </w:t>
      </w:r>
      <w:r>
        <w:rPr>
          <w:color w:val="010101"/>
          <w:w w:val="105"/>
          <w:sz w:val="18"/>
        </w:rPr>
        <w:t>re­</w:t>
      </w:r>
    </w:p>
    <w:p>
      <w:pPr>
        <w:spacing w:line="200" w:lineRule="exact" w:before="0"/>
        <w:ind w:left="118" w:right="0" w:firstLine="0"/>
        <w:jc w:val="both"/>
        <w:rPr>
          <w:i/>
          <w:sz w:val="18"/>
        </w:rPr>
      </w:pPr>
      <w:r>
        <w:rPr>
          <w:color w:val="010101"/>
          <w:w w:val="105"/>
          <w:sz w:val="18"/>
        </w:rPr>
        <w:t>serve on the 20-pa.yment life policy a.t a.ge </w:t>
      </w:r>
      <w:r>
        <w:rPr>
          <w:i/>
          <w:color w:val="010101"/>
          <w:w w:val="105"/>
          <w:sz w:val="18"/>
        </w:rPr>
        <w:t>x </w:t>
      </w:r>
      <w:r>
        <w:rPr>
          <w:rFonts w:ascii="Arial"/>
          <w:color w:val="010101"/>
          <w:w w:val="105"/>
          <w:sz w:val="26"/>
        </w:rPr>
        <w:t>+ </w:t>
      </w:r>
      <w:r>
        <w:rPr>
          <w:i/>
          <w:color w:val="010101"/>
          <w:w w:val="105"/>
          <w:sz w:val="18"/>
        </w:rPr>
        <w:t>t , </w:t>
      </w:r>
      <w:r>
        <w:rPr>
          <w:color w:val="010101"/>
          <w:w w:val="105"/>
          <w:sz w:val="18"/>
        </w:rPr>
        <w:t>for </w:t>
      </w:r>
      <w:r>
        <w:rPr>
          <w:rFonts w:ascii="Arial"/>
          <w:i/>
          <w:color w:val="010101"/>
          <w:w w:val="105"/>
          <w:sz w:val="16"/>
        </w:rPr>
        <w:t>t </w:t>
      </w:r>
      <w:r>
        <w:rPr>
          <w:color w:val="010101"/>
          <w:w w:val="105"/>
          <w:sz w:val="23"/>
        </w:rPr>
        <w:t>&lt; </w:t>
      </w:r>
      <w:r>
        <w:rPr>
          <w:rFonts w:ascii="Arial"/>
          <w:i/>
          <w:color w:val="010101"/>
          <w:w w:val="105"/>
          <w:sz w:val="15"/>
        </w:rPr>
        <w:t>y </w:t>
      </w:r>
      <w:r>
        <w:rPr>
          <w:rFonts w:ascii="Arial"/>
          <w:color w:val="010101"/>
          <w:w w:val="260"/>
          <w:sz w:val="15"/>
        </w:rPr>
        <w:t>-</w:t>
      </w:r>
      <w:r>
        <w:rPr>
          <w:rFonts w:ascii="Arial"/>
          <w:color w:val="010101"/>
          <w:spacing w:val="-76"/>
          <w:w w:val="260"/>
          <w:sz w:val="15"/>
        </w:rPr>
        <w:t> </w:t>
      </w:r>
      <w:r>
        <w:rPr>
          <w:i/>
          <w:color w:val="010101"/>
          <w:w w:val="105"/>
          <w:sz w:val="18"/>
        </w:rPr>
        <w:t>x.</w:t>
      </w:r>
    </w:p>
    <w:p>
      <w:pPr>
        <w:pStyle w:val="ListParagraph"/>
        <w:numPr>
          <w:ilvl w:val="0"/>
          <w:numId w:val="67"/>
        </w:numPr>
        <w:tabs>
          <w:tab w:pos="564" w:val="left" w:leader="none"/>
        </w:tabs>
        <w:spacing w:line="202" w:lineRule="exact" w:before="0" w:after="0"/>
        <w:ind w:left="104" w:right="169" w:firstLine="176"/>
        <w:jc w:val="both"/>
        <w:rPr>
          <w:color w:val="010101"/>
          <w:sz w:val="18"/>
        </w:rPr>
      </w:pPr>
      <w:r>
        <w:rPr>
          <w:color w:val="010101"/>
          <w:sz w:val="18"/>
        </w:rPr>
        <w:t>A 20-pa.yment life policy issued 10 yea.rs ago at a.ge </w:t>
      </w:r>
      <w:r>
        <w:rPr>
          <w:i/>
          <w:color w:val="010101"/>
          <w:sz w:val="18"/>
        </w:rPr>
        <w:t>x </w:t>
      </w:r>
      <w:r>
        <w:rPr>
          <w:color w:val="010101"/>
          <w:sz w:val="18"/>
        </w:rPr>
        <w:t>is </w:t>
      </w:r>
      <w:r>
        <w:rPr>
          <w:color w:val="010101"/>
          <w:sz w:val="19"/>
        </w:rPr>
        <w:t>to </w:t>
      </w:r>
      <w:r>
        <w:rPr>
          <w:color w:val="010101"/>
          <w:sz w:val="18"/>
        </w:rPr>
        <w:t>be changed to a fully-paid life policy for the same amount. Ea.ch of the following expres­ sions has been suggested  a.s  the net  cost  to the insured  for this  </w:t>
      </w:r>
      <w:r>
        <w:rPr>
          <w:color w:val="010101"/>
          <w:spacing w:val="16"/>
          <w:sz w:val="18"/>
        </w:rPr>
        <w:t> </w:t>
      </w:r>
      <w:r>
        <w:rPr>
          <w:color w:val="010101"/>
          <w:sz w:val="18"/>
        </w:rPr>
        <w:t>change:</w:t>
      </w:r>
    </w:p>
    <w:p>
      <w:pPr>
        <w:spacing w:before="137"/>
        <w:ind w:left="449" w:right="0" w:firstLine="0"/>
        <w:jc w:val="left"/>
        <w:rPr>
          <w:sz w:val="14"/>
        </w:rPr>
      </w:pPr>
      <w:r>
        <w:rPr>
          <w:b/>
          <w:color w:val="010101"/>
          <w:sz w:val="16"/>
        </w:rPr>
        <w:t>(1}  </w:t>
      </w:r>
      <w:r>
        <w:rPr>
          <w:b/>
          <w:color w:val="010101"/>
          <w:sz w:val="14"/>
        </w:rPr>
        <w:t>toPz·&lt;lz+l </w:t>
      </w:r>
      <w:r>
        <w:rPr>
          <w:b/>
          <w:color w:val="010101"/>
          <w:w w:val="80"/>
          <w:sz w:val="14"/>
        </w:rPr>
        <w:t>O </w:t>
      </w:r>
      <w:r>
        <w:rPr>
          <w:b/>
          <w:color w:val="212121"/>
          <w:sz w:val="14"/>
        </w:rPr>
        <w:t>:</w:t>
      </w:r>
      <w:r>
        <w:rPr>
          <w:b/>
          <w:color w:val="010101"/>
          <w:sz w:val="14"/>
        </w:rPr>
        <w:t>iil  </w:t>
      </w:r>
      <w:r>
        <w:rPr>
          <w:color w:val="010101"/>
          <w:w w:val="110"/>
          <w:sz w:val="14"/>
        </w:rPr>
        <w:t>,</w:t>
      </w:r>
    </w:p>
    <w:p>
      <w:pPr>
        <w:spacing w:line="150" w:lineRule="exact" w:before="135"/>
        <w:ind w:left="445" w:right="0" w:firstLine="0"/>
        <w:jc w:val="left"/>
        <w:rPr>
          <w:sz w:val="16"/>
        </w:rPr>
      </w:pPr>
      <w:r>
        <w:rPr>
          <w:rFonts w:ascii="Arial"/>
          <w:color w:val="010101"/>
          <w:w w:val="105"/>
          <w:sz w:val="16"/>
        </w:rPr>
        <w:t>(2)  (1 </w:t>
      </w:r>
      <w:r>
        <w:rPr>
          <w:rFonts w:ascii="Arial"/>
          <w:color w:val="010101"/>
          <w:w w:val="225"/>
          <w:sz w:val="16"/>
        </w:rPr>
        <w:t>- </w:t>
      </w:r>
      <w:r>
        <w:rPr>
          <w:color w:val="010101"/>
          <w:w w:val="105"/>
          <w:sz w:val="16"/>
        </w:rPr>
        <w:t>ws)A.,+10  </w:t>
      </w:r>
      <w:r>
        <w:rPr>
          <w:color w:val="010101"/>
          <w:w w:val="140"/>
          <w:sz w:val="16"/>
        </w:rPr>
        <w:t>,</w:t>
      </w:r>
    </w:p>
    <w:p>
      <w:pPr>
        <w:spacing w:line="402" w:lineRule="exact" w:before="0"/>
        <w:ind w:left="445" w:right="0" w:firstLine="0"/>
        <w:jc w:val="left"/>
        <w:rPr>
          <w:sz w:val="38"/>
        </w:rPr>
      </w:pPr>
      <w:r>
        <w:rPr>
          <w:rFonts w:ascii="Arial"/>
          <w:color w:val="010101"/>
          <w:w w:val="101"/>
          <w:sz w:val="16"/>
        </w:rPr>
        <w:t>(</w:t>
      </w:r>
      <w:r>
        <w:rPr>
          <w:rFonts w:ascii="Arial"/>
          <w:color w:val="010101"/>
          <w:w w:val="101"/>
          <w:sz w:val="16"/>
        </w:rPr>
        <w:t>3</w:t>
      </w:r>
      <w:r>
        <w:rPr>
          <w:rFonts w:ascii="Arial"/>
          <w:color w:val="010101"/>
          <w:w w:val="101"/>
          <w:sz w:val="16"/>
        </w:rPr>
        <w:t>)</w:t>
      </w:r>
      <w:r>
        <w:rPr>
          <w:rFonts w:ascii="Arial"/>
          <w:color w:val="010101"/>
          <w:sz w:val="16"/>
        </w:rPr>
        <w:t> </w:t>
      </w:r>
      <w:r>
        <w:rPr>
          <w:rFonts w:ascii="Arial"/>
          <w:color w:val="010101"/>
          <w:spacing w:val="-12"/>
          <w:sz w:val="16"/>
        </w:rPr>
        <w:t> </w:t>
      </w:r>
      <w:r>
        <w:rPr>
          <w:color w:val="010101"/>
          <w:w w:val="70"/>
          <w:sz w:val="16"/>
        </w:rPr>
        <w:t>A.1:+10</w:t>
      </w:r>
      <w:r>
        <w:rPr>
          <w:color w:val="010101"/>
          <w:sz w:val="16"/>
        </w:rPr>
        <w:t> </w:t>
      </w:r>
      <w:r>
        <w:rPr>
          <w:color w:val="010101"/>
          <w:spacing w:val="6"/>
          <w:sz w:val="16"/>
        </w:rPr>
        <w:t> </w:t>
      </w:r>
      <w:r>
        <w:rPr>
          <w:color w:val="010101"/>
          <w:w w:val="281"/>
          <w:sz w:val="16"/>
        </w:rPr>
        <w:t>-</w:t>
      </w:r>
      <w:r>
        <w:rPr>
          <w:color w:val="010101"/>
          <w:spacing w:val="14"/>
          <w:sz w:val="16"/>
        </w:rPr>
        <w:t> </w:t>
      </w:r>
      <w:r>
        <w:rPr>
          <w:i/>
          <w:color w:val="010101"/>
          <w:spacing w:val="-45"/>
          <w:w w:val="122"/>
          <w:sz w:val="38"/>
        </w:rPr>
        <w:t>:</w:t>
      </w:r>
      <w:r>
        <w:rPr>
          <w:i/>
          <w:color w:val="010101"/>
          <w:spacing w:val="-10"/>
          <w:w w:val="73"/>
          <w:sz w:val="38"/>
        </w:rPr>
        <w:t>v</w:t>
      </w:r>
      <w:r>
        <w:rPr>
          <w:i/>
          <w:color w:val="010101"/>
          <w:w w:val="41"/>
          <w:sz w:val="38"/>
        </w:rPr>
        <w:t>..</w:t>
      </w:r>
      <w:r>
        <w:rPr>
          <w:i/>
          <w:color w:val="010101"/>
          <w:spacing w:val="-41"/>
          <w:sz w:val="38"/>
        </w:rPr>
        <w:t> </w:t>
      </w:r>
      <w:r>
        <w:rPr>
          <w:color w:val="010101"/>
          <w:w w:val="68"/>
          <w:sz w:val="38"/>
        </w:rPr>
        <w:t>.</w:t>
      </w:r>
    </w:p>
    <w:p>
      <w:pPr>
        <w:spacing w:line="202" w:lineRule="exact" w:before="69"/>
        <w:ind w:left="108" w:right="172" w:firstLine="3"/>
        <w:jc w:val="both"/>
        <w:rPr>
          <w:sz w:val="18"/>
        </w:rPr>
      </w:pPr>
      <w:r>
        <w:rPr>
          <w:color w:val="010101"/>
          <w:sz w:val="18"/>
        </w:rPr>
        <w:t>Explain the rea.soning by which ea.ch expression has been obta.íned. Demon­ strate  the  ma.thema.tical  equivalence  of  the. three expressions.</w:t>
      </w:r>
    </w:p>
    <w:p>
      <w:pPr>
        <w:pStyle w:val="ListParagraph"/>
        <w:numPr>
          <w:ilvl w:val="0"/>
          <w:numId w:val="67"/>
        </w:numPr>
        <w:tabs>
          <w:tab w:pos="557" w:val="left" w:leader="none"/>
        </w:tabs>
        <w:spacing w:line="232" w:lineRule="auto" w:before="0" w:after="0"/>
        <w:ind w:left="115" w:right="165" w:firstLine="158"/>
        <w:jc w:val="both"/>
        <w:rPr>
          <w:color w:val="010101"/>
          <w:sz w:val="18"/>
        </w:rPr>
      </w:pPr>
      <w:r>
        <w:rPr>
          <w:color w:val="010101"/>
          <w:sz w:val="18"/>
        </w:rPr>
        <w:t>A 20-payment life policy issued at a.ge 30 </w:t>
      </w:r>
      <w:r>
        <w:rPr>
          <w:color w:val="010101"/>
          <w:sz w:val="17"/>
        </w:rPr>
        <w:t>ha.e </w:t>
      </w:r>
      <w:r>
        <w:rPr>
          <w:color w:val="010101"/>
          <w:sz w:val="18"/>
        </w:rPr>
        <w:t>outsta.nding </w:t>
      </w:r>
      <w:r>
        <w:rPr>
          <w:b/>
          <w:color w:val="010101"/>
          <w:sz w:val="17"/>
        </w:rPr>
        <w:t>against </w:t>
      </w:r>
      <w:r>
        <w:rPr>
          <w:color w:val="010101"/>
          <w:sz w:val="18"/>
        </w:rPr>
        <w:t>it at the end of the fif teenth year a. loan equal to the f ull net level  premium terminal reserve. lf the rate a.t which the loan  </w:t>
      </w:r>
      <w:r>
        <w:rPr>
          <w:b/>
          <w:color w:val="010101"/>
          <w:sz w:val="17"/>
        </w:rPr>
        <w:t>draws  </w:t>
      </w:r>
      <w:r>
        <w:rPr>
          <w:color w:val="010101"/>
          <w:sz w:val="18"/>
        </w:rPr>
        <w:t>interest  and  the  in­ terest rate at which the insured rnay expect to inveat are each equal to the valuation  interest rate of 4 per cent, and if  all lirnited payment  </w:t>
      </w:r>
      <w:r>
        <w:rPr>
          <w:color w:val="010101"/>
          <w:spacing w:val="19"/>
          <w:sz w:val="18"/>
        </w:rPr>
        <w:t> </w:t>
      </w:r>
      <w:r>
        <w:rPr>
          <w:color w:val="010101"/>
          <w:sz w:val="18"/>
        </w:rPr>
        <w:t>liíe premiums</w:t>
      </w:r>
    </w:p>
    <w:p>
      <w:pPr>
        <w:spacing w:after="0" w:line="232" w:lineRule="auto"/>
        <w:jc w:val="both"/>
        <w:rPr>
          <w:sz w:val="18"/>
        </w:rPr>
        <w:sectPr>
          <w:pgSz w:w="7200" w:h="11340"/>
          <w:pgMar w:top="480" w:bottom="280" w:left="660" w:right="520"/>
        </w:sectPr>
      </w:pPr>
    </w:p>
    <w:p>
      <w:pPr>
        <w:tabs>
          <w:tab w:pos="5853" w:val="right" w:leader="none"/>
        </w:tabs>
        <w:spacing w:before="47"/>
        <w:ind w:left="2539" w:right="0" w:firstLine="0"/>
        <w:jc w:val="left"/>
        <w:rPr>
          <w:sz w:val="20"/>
        </w:rPr>
      </w:pPr>
      <w:r>
        <w:rPr>
          <w:color w:val="010101"/>
          <w:w w:val="110"/>
          <w:sz w:val="15"/>
        </w:rPr>
        <w:t>EXERCISES</w:t>
      </w:r>
      <w:r>
        <w:rPr>
          <w:color w:val="010101"/>
          <w:w w:val="110"/>
          <w:sz w:val="20"/>
        </w:rPr>
        <w:tab/>
      </w:r>
      <w:r>
        <w:rPr>
          <w:color w:val="010101"/>
          <w:spacing w:val="-17"/>
          <w:w w:val="110"/>
          <w:sz w:val="20"/>
        </w:rPr>
        <w:t>149</w:t>
      </w:r>
    </w:p>
    <w:p>
      <w:pPr>
        <w:pStyle w:val="BodyText"/>
        <w:spacing w:before="1"/>
        <w:rPr>
          <w:sz w:val="21"/>
        </w:rPr>
      </w:pPr>
    </w:p>
    <w:p>
      <w:pPr>
        <w:spacing w:line="232" w:lineRule="auto" w:before="0"/>
        <w:ind w:left="105" w:right="108" w:firstLine="3"/>
        <w:jc w:val="both"/>
        <w:rPr>
          <w:sz w:val="18"/>
        </w:rPr>
      </w:pPr>
      <w:r>
        <w:rPr>
          <w:color w:val="010101"/>
          <w:w w:val="105"/>
          <w:sz w:val="18"/>
        </w:rPr>
        <w:t>are loaded 10 per cent of the net, plus </w:t>
      </w:r>
      <w:r>
        <w:rPr>
          <w:rFonts w:ascii="Arial" w:hAnsi="Arial"/>
          <w:i/>
          <w:color w:val="010101"/>
          <w:w w:val="105"/>
          <w:sz w:val="16"/>
        </w:rPr>
        <w:t>C </w:t>
      </w:r>
      <w:r>
        <w:rPr>
          <w:color w:val="010101"/>
          <w:w w:val="105"/>
          <w:sz w:val="18"/>
        </w:rPr>
        <w:t>dollars for each dollar of insurance, what </w:t>
      </w:r>
      <w:r>
        <w:rPr>
          <w:rFonts w:ascii="Arial" w:hAnsi="Arial"/>
          <w:color w:val="010101"/>
          <w:w w:val="105"/>
          <w:sz w:val="17"/>
        </w:rPr>
        <w:t>is </w:t>
      </w:r>
      <w:r>
        <w:rPr>
          <w:color w:val="010101"/>
          <w:w w:val="105"/>
          <w:sz w:val="18"/>
        </w:rPr>
        <w:t>the maximum value of </w:t>
      </w:r>
      <w:r>
        <w:rPr>
          <w:rFonts w:ascii="Arial" w:hAnsi="Arial"/>
          <w:i/>
          <w:color w:val="010101"/>
          <w:w w:val="105"/>
          <w:sz w:val="16"/>
        </w:rPr>
        <w:t>C </w:t>
      </w:r>
      <w:r>
        <w:rPr>
          <w:color w:val="010101"/>
          <w:w w:val="105"/>
          <w:sz w:val="18"/>
        </w:rPr>
        <w:t>in order that it be to the insured's ad­ vantage to continue </w:t>
      </w:r>
      <w:r>
        <w:rPr>
          <w:rFonts w:ascii="Arial" w:hAnsi="Arial"/>
          <w:color w:val="010101"/>
          <w:w w:val="105"/>
          <w:sz w:val="17"/>
        </w:rPr>
        <w:t>hia </w:t>
      </w:r>
      <w:r>
        <w:rPr>
          <w:color w:val="010101"/>
          <w:w w:val="105"/>
          <w:sz w:val="18"/>
        </w:rPr>
        <w:t>present policy instead of  taking out a 5-payment life policy for the present  net amount at  risk?</w:t>
      </w:r>
    </w:p>
    <w:p>
      <w:pPr>
        <w:tabs>
          <w:tab w:pos="4875" w:val="left" w:leader="none"/>
        </w:tabs>
        <w:spacing w:line="230" w:lineRule="auto" w:before="0"/>
        <w:ind w:left="109" w:right="113" w:firstLine="203"/>
        <w:jc w:val="right"/>
        <w:rPr>
          <w:sz w:val="18"/>
        </w:rPr>
      </w:pPr>
      <w:r>
        <w:rPr>
          <w:color w:val="010101"/>
          <w:w w:val="105"/>
          <w:sz w:val="18"/>
        </w:rPr>
        <w:t>Given  that </w:t>
      </w:r>
      <w:r>
        <w:rPr>
          <w:rFonts w:ascii="Arial"/>
          <w:color w:val="010101"/>
          <w:w w:val="130"/>
          <w:sz w:val="14"/>
        </w:rPr>
        <w:t>do </w:t>
      </w:r>
      <w:r>
        <w:rPr>
          <w:color w:val="010101"/>
          <w:w w:val="105"/>
          <w:sz w:val="19"/>
        </w:rPr>
        <w:t>=  </w:t>
      </w:r>
      <w:r>
        <w:rPr>
          <w:color w:val="010101"/>
          <w:w w:val="105"/>
          <w:sz w:val="18"/>
        </w:rPr>
        <w:t>16.09 and </w:t>
      </w:r>
      <w:r>
        <w:rPr>
          <w:rFonts w:ascii="Arial"/>
          <w:color w:val="010101"/>
          <w:spacing w:val="-4"/>
          <w:w w:val="130"/>
          <w:sz w:val="14"/>
        </w:rPr>
        <w:t>du</w:t>
      </w:r>
      <w:r>
        <w:rPr>
          <w:rFonts w:ascii="Arial"/>
          <w:color w:val="262626"/>
          <w:spacing w:val="-4"/>
          <w:w w:val="130"/>
          <w:sz w:val="14"/>
        </w:rPr>
        <w:t>:</w:t>
      </w:r>
      <w:r>
        <w:rPr>
          <w:rFonts w:ascii="Arial"/>
          <w:color w:val="010101"/>
          <w:spacing w:val="-4"/>
          <w:w w:val="130"/>
          <w:sz w:val="14"/>
        </w:rPr>
        <w:t>il</w:t>
      </w:r>
      <w:r>
        <w:rPr>
          <w:rFonts w:ascii="Arial"/>
          <w:color w:val="010101"/>
          <w:spacing w:val="9"/>
          <w:w w:val="130"/>
          <w:sz w:val="14"/>
        </w:rPr>
        <w:t> </w:t>
      </w:r>
      <w:r>
        <w:rPr>
          <w:color w:val="010101"/>
          <w:w w:val="105"/>
          <w:sz w:val="19"/>
        </w:rPr>
        <w:t>=</w:t>
      </w:r>
      <w:r>
        <w:rPr>
          <w:color w:val="010101"/>
          <w:spacing w:val="19"/>
          <w:w w:val="105"/>
          <w:sz w:val="19"/>
        </w:rPr>
        <w:t> </w:t>
      </w:r>
      <w:r>
        <w:rPr>
          <w:color w:val="010101"/>
          <w:w w:val="105"/>
          <w:sz w:val="18"/>
        </w:rPr>
        <w:t>4.53.</w:t>
        <w:tab/>
      </w:r>
      <w:r>
        <w:rPr>
          <w:color w:val="010101"/>
          <w:spacing w:val="2"/>
          <w:w w:val="95"/>
          <w:sz w:val="18"/>
        </w:rPr>
        <w:t>(Ans.</w:t>
      </w:r>
      <w:r>
        <w:rPr>
          <w:color w:val="010101"/>
          <w:spacing w:val="18"/>
          <w:w w:val="95"/>
          <w:sz w:val="18"/>
        </w:rPr>
        <w:t> </w:t>
      </w:r>
      <w:r>
        <w:rPr>
          <w:color w:val="010101"/>
          <w:spacing w:val="-3"/>
          <w:w w:val="95"/>
          <w:sz w:val="18"/>
        </w:rPr>
        <w:t>.01366)</w:t>
      </w:r>
      <w:r>
        <w:rPr>
          <w:color w:val="010101"/>
          <w:w w:val="88"/>
          <w:sz w:val="18"/>
        </w:rPr>
        <w:t> </w:t>
      </w:r>
      <w:r>
        <w:rPr>
          <w:rFonts w:ascii="Arial"/>
          <w:i/>
          <w:color w:val="010101"/>
          <w:w w:val="130"/>
          <w:sz w:val="17"/>
        </w:rPr>
        <w:t>Tl. </w:t>
      </w:r>
      <w:r>
        <w:rPr>
          <w:color w:val="010101"/>
          <w:w w:val="105"/>
          <w:sz w:val="18"/>
        </w:rPr>
        <w:t>A policy is issued at age 20 with a maturity value of $1,500 at</w:t>
      </w:r>
      <w:r>
        <w:rPr>
          <w:color w:val="010101"/>
          <w:spacing w:val="-27"/>
          <w:w w:val="105"/>
          <w:sz w:val="18"/>
        </w:rPr>
        <w:t> </w:t>
      </w:r>
      <w:r>
        <w:rPr>
          <w:color w:val="010101"/>
          <w:w w:val="105"/>
          <w:sz w:val="18"/>
        </w:rPr>
        <w:t>age</w:t>
      </w:r>
      <w:r>
        <w:rPr>
          <w:color w:val="010101"/>
          <w:spacing w:val="-4"/>
          <w:w w:val="105"/>
          <w:sz w:val="18"/>
        </w:rPr>
        <w:t> </w:t>
      </w:r>
      <w:r>
        <w:rPr>
          <w:color w:val="010101"/>
          <w:w w:val="105"/>
          <w:sz w:val="18"/>
        </w:rPr>
        <w:t>50.</w:t>
      </w:r>
      <w:r>
        <w:rPr>
          <w:color w:val="010101"/>
          <w:w w:val="95"/>
          <w:sz w:val="18"/>
        </w:rPr>
        <w:t> </w:t>
      </w:r>
      <w:r>
        <w:rPr>
          <w:color w:val="010101"/>
          <w:w w:val="105"/>
          <w:sz w:val="18"/>
        </w:rPr>
        <w:t>Obtain an expression involving commutation symbols for the</w:t>
      </w:r>
      <w:r>
        <w:rPr>
          <w:color w:val="010101"/>
          <w:spacing w:val="34"/>
          <w:w w:val="105"/>
          <w:sz w:val="18"/>
        </w:rPr>
        <w:t> </w:t>
      </w:r>
      <w:r>
        <w:rPr>
          <w:color w:val="010101"/>
          <w:w w:val="105"/>
          <w:sz w:val="18"/>
        </w:rPr>
        <w:t>net</w:t>
      </w:r>
      <w:r>
        <w:rPr>
          <w:color w:val="010101"/>
          <w:spacing w:val="28"/>
          <w:w w:val="105"/>
          <w:sz w:val="18"/>
        </w:rPr>
        <w:t> </w:t>
      </w:r>
      <w:r>
        <w:rPr>
          <w:color w:val="010101"/>
          <w:w w:val="105"/>
          <w:sz w:val="18"/>
        </w:rPr>
        <w:t>annual</w:t>
      </w:r>
      <w:r>
        <w:rPr>
          <w:color w:val="010101"/>
          <w:w w:val="104"/>
          <w:sz w:val="18"/>
        </w:rPr>
        <w:t> </w:t>
      </w:r>
      <w:r>
        <w:rPr>
          <w:color w:val="010101"/>
          <w:w w:val="105"/>
          <w:sz w:val="18"/>
        </w:rPr>
        <w:t>premium</w:t>
      </w:r>
      <w:r>
        <w:rPr>
          <w:color w:val="010101"/>
          <w:spacing w:val="-3"/>
          <w:w w:val="105"/>
          <w:sz w:val="18"/>
        </w:rPr>
        <w:t> </w:t>
      </w:r>
      <w:r>
        <w:rPr>
          <w:color w:val="010101"/>
          <w:w w:val="105"/>
          <w:sz w:val="18"/>
        </w:rPr>
        <w:t>where</w:t>
      </w:r>
      <w:r>
        <w:rPr>
          <w:color w:val="010101"/>
          <w:spacing w:val="-9"/>
          <w:w w:val="105"/>
          <w:sz w:val="18"/>
        </w:rPr>
        <w:t> </w:t>
      </w:r>
      <w:r>
        <w:rPr>
          <w:color w:val="010101"/>
          <w:w w:val="105"/>
          <w:sz w:val="18"/>
        </w:rPr>
        <w:t>the</w:t>
      </w:r>
      <w:r>
        <w:rPr>
          <w:color w:val="010101"/>
          <w:spacing w:val="-9"/>
          <w:w w:val="105"/>
          <w:sz w:val="18"/>
        </w:rPr>
        <w:t> </w:t>
      </w:r>
      <w:r>
        <w:rPr>
          <w:color w:val="010101"/>
          <w:w w:val="105"/>
          <w:sz w:val="18"/>
        </w:rPr>
        <w:t>death</w:t>
      </w:r>
      <w:r>
        <w:rPr>
          <w:color w:val="010101"/>
          <w:spacing w:val="-11"/>
          <w:w w:val="105"/>
          <w:sz w:val="18"/>
        </w:rPr>
        <w:t> </w:t>
      </w:r>
      <w:r>
        <w:rPr>
          <w:color w:val="010101"/>
          <w:w w:val="105"/>
          <w:sz w:val="18"/>
        </w:rPr>
        <w:t>benefit</w:t>
      </w:r>
      <w:r>
        <w:rPr>
          <w:color w:val="010101"/>
          <w:spacing w:val="-3"/>
          <w:w w:val="105"/>
          <w:sz w:val="18"/>
        </w:rPr>
        <w:t> </w:t>
      </w:r>
      <w:r>
        <w:rPr>
          <w:color w:val="010101"/>
          <w:w w:val="105"/>
          <w:sz w:val="18"/>
        </w:rPr>
        <w:t>prior</w:t>
      </w:r>
      <w:r>
        <w:rPr>
          <w:color w:val="010101"/>
          <w:spacing w:val="-6"/>
          <w:w w:val="105"/>
          <w:sz w:val="18"/>
        </w:rPr>
        <w:t> </w:t>
      </w:r>
      <w:r>
        <w:rPr>
          <w:color w:val="010101"/>
          <w:w w:val="105"/>
          <w:sz w:val="18"/>
        </w:rPr>
        <w:t>to</w:t>
      </w:r>
      <w:r>
        <w:rPr>
          <w:color w:val="010101"/>
          <w:spacing w:val="-16"/>
          <w:w w:val="105"/>
          <w:sz w:val="18"/>
        </w:rPr>
        <w:t> </w:t>
      </w:r>
      <w:r>
        <w:rPr>
          <w:color w:val="010101"/>
          <w:w w:val="105"/>
          <w:sz w:val="18"/>
        </w:rPr>
        <w:t>a.ge</w:t>
      </w:r>
      <w:r>
        <w:rPr>
          <w:color w:val="010101"/>
          <w:spacing w:val="-17"/>
          <w:w w:val="105"/>
          <w:sz w:val="18"/>
        </w:rPr>
        <w:t> </w:t>
      </w:r>
      <w:r>
        <w:rPr>
          <w:color w:val="010101"/>
          <w:w w:val="105"/>
          <w:sz w:val="18"/>
        </w:rPr>
        <w:t>50</w:t>
      </w:r>
      <w:r>
        <w:rPr>
          <w:color w:val="010101"/>
          <w:spacing w:val="-21"/>
          <w:w w:val="105"/>
          <w:sz w:val="18"/>
        </w:rPr>
        <w:t> </w:t>
      </w:r>
      <w:r>
        <w:rPr>
          <w:color w:val="010101"/>
          <w:w w:val="105"/>
          <w:sz w:val="18"/>
        </w:rPr>
        <w:t>is</w:t>
      </w:r>
      <w:r>
        <w:rPr>
          <w:color w:val="010101"/>
          <w:spacing w:val="-12"/>
          <w:w w:val="105"/>
          <w:sz w:val="18"/>
        </w:rPr>
        <w:t> </w:t>
      </w:r>
      <w:r>
        <w:rPr>
          <w:color w:val="010101"/>
          <w:w w:val="105"/>
          <w:sz w:val="18"/>
        </w:rPr>
        <w:t>return</w:t>
      </w:r>
      <w:r>
        <w:rPr>
          <w:color w:val="010101"/>
          <w:spacing w:val="-6"/>
          <w:w w:val="105"/>
          <w:sz w:val="18"/>
        </w:rPr>
        <w:t> </w:t>
      </w:r>
      <w:r>
        <w:rPr>
          <w:color w:val="010101"/>
          <w:w w:val="105"/>
          <w:sz w:val="18"/>
        </w:rPr>
        <w:t>of gross</w:t>
      </w:r>
      <w:r>
        <w:rPr>
          <w:color w:val="010101"/>
          <w:spacing w:val="-10"/>
          <w:w w:val="105"/>
          <w:sz w:val="18"/>
        </w:rPr>
        <w:t> </w:t>
      </w:r>
      <w:r>
        <w:rPr>
          <w:color w:val="010101"/>
          <w:w w:val="105"/>
          <w:sz w:val="18"/>
        </w:rPr>
        <w:t>premiums</w:t>
      </w:r>
      <w:r>
        <w:rPr>
          <w:color w:val="010101"/>
          <w:w w:val="100"/>
          <w:sz w:val="18"/>
        </w:rPr>
        <w:t> </w:t>
      </w:r>
      <w:r>
        <w:rPr>
          <w:color w:val="010101"/>
          <w:w w:val="105"/>
          <w:sz w:val="18"/>
        </w:rPr>
        <w:t>paid, with  interest at the rate used  in the premium  calculation. Assume  </w:t>
      </w:r>
      <w:r>
        <w:rPr>
          <w:color w:val="010101"/>
          <w:spacing w:val="31"/>
          <w:w w:val="105"/>
          <w:sz w:val="18"/>
        </w:rPr>
        <w:t> </w:t>
      </w:r>
      <w:r>
        <w:rPr>
          <w:color w:val="010101"/>
          <w:w w:val="105"/>
          <w:sz w:val="18"/>
        </w:rPr>
        <w:t>a</w:t>
      </w:r>
    </w:p>
    <w:p>
      <w:pPr>
        <w:spacing w:line="206" w:lineRule="exact" w:before="0"/>
        <w:ind w:left="105" w:right="0" w:firstLine="0"/>
        <w:jc w:val="both"/>
        <w:rPr>
          <w:sz w:val="18"/>
        </w:rPr>
      </w:pPr>
      <w:r>
        <w:rPr>
          <w:color w:val="010101"/>
          <w:sz w:val="18"/>
        </w:rPr>
        <w:t>loading of  10%  of  the  gross premium.</w:t>
      </w:r>
    </w:p>
    <w:p>
      <w:pPr>
        <w:spacing w:after="0" w:line="206" w:lineRule="exact"/>
        <w:jc w:val="both"/>
        <w:rPr>
          <w:sz w:val="18"/>
        </w:rPr>
        <w:sectPr>
          <w:pgSz w:w="7200" w:h="11340"/>
          <w:pgMar w:top="520" w:bottom="280" w:left="660" w:right="580"/>
        </w:sectPr>
      </w:pPr>
    </w:p>
    <w:p>
      <w:pPr>
        <w:pStyle w:val="BodyText"/>
      </w:pPr>
    </w:p>
    <w:p>
      <w:pPr>
        <w:pStyle w:val="BodyText"/>
        <w:spacing w:before="8"/>
        <w:rPr>
          <w:sz w:val="17"/>
        </w:rPr>
      </w:pPr>
    </w:p>
    <w:p>
      <w:pPr>
        <w:spacing w:line="350" w:lineRule="auto" w:before="1"/>
        <w:ind w:left="2118" w:right="2119" w:firstLine="1"/>
        <w:jc w:val="center"/>
        <w:rPr>
          <w:sz w:val="21"/>
        </w:rPr>
      </w:pPr>
      <w:bookmarkStart w:name="7. Special Topics" w:id="12"/>
      <w:bookmarkEnd w:id="12"/>
      <w:r>
        <w:rPr/>
      </w:r>
      <w:r>
        <w:rPr>
          <w:rFonts w:ascii="Arial"/>
          <w:color w:val="030303"/>
          <w:w w:val="105"/>
          <w:sz w:val="14"/>
        </w:rPr>
        <w:t>CHAPTER </w:t>
      </w:r>
      <w:r>
        <w:rPr>
          <w:color w:val="030303"/>
          <w:w w:val="105"/>
          <w:sz w:val="21"/>
        </w:rPr>
        <w:t>7 SPECIAL TOPICS</w:t>
      </w:r>
    </w:p>
    <w:p>
      <w:pPr>
        <w:spacing w:before="145"/>
        <w:ind w:left="130" w:right="0" w:firstLine="0"/>
        <w:jc w:val="left"/>
        <w:rPr>
          <w:b/>
          <w:sz w:val="19"/>
        </w:rPr>
      </w:pPr>
      <w:r>
        <w:rPr>
          <w:b/>
          <w:color w:val="030303"/>
          <w:w w:val="125"/>
          <w:sz w:val="19"/>
        </w:rPr>
        <w:t>l. lntroduction</w:t>
      </w:r>
    </w:p>
    <w:p>
      <w:pPr>
        <w:spacing w:line="259" w:lineRule="auto" w:before="94"/>
        <w:ind w:left="123" w:right="125" w:firstLine="193"/>
        <w:jc w:val="both"/>
        <w:rPr>
          <w:sz w:val="19"/>
        </w:rPr>
      </w:pPr>
      <w:r>
        <w:rPr>
          <w:color w:val="030303"/>
          <w:w w:val="110"/>
          <w:sz w:val="19"/>
        </w:rPr>
        <w:t>The practice of combining more than one insurance or annuity benefit in a single policy  has resulted  in many  unusual  problems of premium determination. The solution of these problems always depends upon the application of principies established in the earlier chapters, but special methods are </w:t>
      </w:r>
      <w:r>
        <w:rPr>
          <w:color w:val="030303"/>
          <w:spacing w:val="3"/>
          <w:w w:val="110"/>
          <w:sz w:val="19"/>
        </w:rPr>
        <w:t>often </w:t>
      </w:r>
      <w:r>
        <w:rPr>
          <w:color w:val="030303"/>
          <w:w w:val="110"/>
          <w:sz w:val="19"/>
        </w:rPr>
        <w:t>required  in  order to ob­</w:t>
      </w:r>
      <w:r>
        <w:rPr>
          <w:color w:val="030303"/>
          <w:spacing w:val="52"/>
          <w:w w:val="110"/>
          <w:sz w:val="19"/>
        </w:rPr>
        <w:t> </w:t>
      </w:r>
      <w:r>
        <w:rPr>
          <w:color w:val="030303"/>
          <w:w w:val="110"/>
          <w:sz w:val="19"/>
        </w:rPr>
        <w:t>tain results which are suitable for computation. </w:t>
      </w:r>
      <w:r>
        <w:rPr>
          <w:color w:val="030303"/>
          <w:spacing w:val="3"/>
          <w:w w:val="110"/>
          <w:sz w:val="21"/>
        </w:rPr>
        <w:t>W</w:t>
      </w:r>
      <w:r>
        <w:rPr>
          <w:color w:val="030303"/>
          <w:spacing w:val="3"/>
          <w:w w:val="110"/>
          <w:sz w:val="19"/>
        </w:rPr>
        <w:t>e </w:t>
      </w:r>
      <w:r>
        <w:rPr>
          <w:color w:val="030303"/>
          <w:w w:val="110"/>
          <w:sz w:val="19"/>
        </w:rPr>
        <w:t>shall discuss </w:t>
      </w:r>
      <w:r>
        <w:rPr>
          <w:rFonts w:ascii="Arial" w:hAnsi="Arial"/>
          <w:color w:val="030303"/>
          <w:w w:val="110"/>
          <w:sz w:val="17"/>
        </w:rPr>
        <w:t>a </w:t>
      </w:r>
      <w:r>
        <w:rPr>
          <w:color w:val="030303"/>
          <w:w w:val="110"/>
          <w:sz w:val="20"/>
        </w:rPr>
        <w:t>few </w:t>
      </w:r>
      <w:r>
        <w:rPr>
          <w:color w:val="030303"/>
          <w:w w:val="110"/>
          <w:sz w:val="19"/>
        </w:rPr>
        <w:t>specific cases which </w:t>
      </w:r>
      <w:r>
        <w:rPr>
          <w:color w:val="030303"/>
          <w:w w:val="110"/>
          <w:sz w:val="20"/>
        </w:rPr>
        <w:t>will </w:t>
      </w:r>
      <w:r>
        <w:rPr>
          <w:color w:val="030303"/>
          <w:w w:val="110"/>
          <w:sz w:val="19"/>
        </w:rPr>
        <w:t>illustrate sorne important tcchniques not yet</w:t>
      </w:r>
      <w:r>
        <w:rPr>
          <w:color w:val="030303"/>
          <w:spacing w:val="48"/>
          <w:w w:val="110"/>
          <w:sz w:val="19"/>
        </w:rPr>
        <w:t> </w:t>
      </w:r>
      <w:r>
        <w:rPr>
          <w:color w:val="030303"/>
          <w:w w:val="110"/>
          <w:sz w:val="19"/>
        </w:rPr>
        <w:t>described.</w:t>
      </w:r>
    </w:p>
    <w:p>
      <w:pPr>
        <w:pStyle w:val="ListParagraph"/>
        <w:numPr>
          <w:ilvl w:val="0"/>
          <w:numId w:val="69"/>
        </w:numPr>
        <w:tabs>
          <w:tab w:pos="336" w:val="left" w:leader="none"/>
        </w:tabs>
        <w:spacing w:line="240" w:lineRule="auto" w:before="160" w:after="0"/>
        <w:ind w:left="335" w:right="0" w:hanging="219"/>
        <w:jc w:val="left"/>
        <w:rPr>
          <w:b/>
          <w:color w:val="030303"/>
          <w:sz w:val="19"/>
        </w:rPr>
      </w:pPr>
      <w:r>
        <w:rPr>
          <w:b/>
          <w:color w:val="030303"/>
          <w:w w:val="120"/>
          <w:sz w:val="19"/>
        </w:rPr>
        <w:t>Cash refund</w:t>
      </w:r>
      <w:r>
        <w:rPr>
          <w:b/>
          <w:color w:val="030303"/>
          <w:spacing w:val="13"/>
          <w:w w:val="120"/>
          <w:sz w:val="19"/>
        </w:rPr>
        <w:t> </w:t>
      </w:r>
      <w:r>
        <w:rPr>
          <w:b/>
          <w:color w:val="030303"/>
          <w:w w:val="120"/>
          <w:sz w:val="19"/>
        </w:rPr>
        <w:t>annuities</w:t>
      </w:r>
    </w:p>
    <w:p>
      <w:pPr>
        <w:spacing w:line="254" w:lineRule="auto" w:before="83"/>
        <w:ind w:left="120" w:right="141" w:firstLine="193"/>
        <w:jc w:val="both"/>
        <w:rPr>
          <w:sz w:val="19"/>
        </w:rPr>
      </w:pPr>
      <w:r>
        <w:rPr>
          <w:rFonts w:ascii="Arial" w:hAnsi="Arial"/>
          <w:color w:val="030303"/>
          <w:w w:val="110"/>
          <w:sz w:val="19"/>
        </w:rPr>
        <w:t>A </w:t>
      </w:r>
      <w:r>
        <w:rPr>
          <w:i/>
          <w:color w:val="030303"/>
          <w:w w:val="110"/>
          <w:sz w:val="20"/>
        </w:rPr>
        <w:t>cash refund </w:t>
      </w:r>
      <w:r>
        <w:rPr>
          <w:i/>
          <w:color w:val="030303"/>
          <w:spacing w:val="2"/>
          <w:w w:val="110"/>
          <w:sz w:val="20"/>
        </w:rPr>
        <w:t>annuity </w:t>
      </w:r>
      <w:r>
        <w:rPr>
          <w:color w:val="030303"/>
          <w:w w:val="110"/>
          <w:sz w:val="19"/>
        </w:rPr>
        <w:t>is a combination of the usual </w:t>
      </w:r>
      <w:r>
        <w:rPr>
          <w:color w:val="030303"/>
          <w:w w:val="110"/>
          <w:sz w:val="21"/>
        </w:rPr>
        <w:t>life </w:t>
      </w:r>
      <w:r>
        <w:rPr>
          <w:color w:val="030303"/>
          <w:w w:val="110"/>
          <w:sz w:val="19"/>
        </w:rPr>
        <w:t>annuity benefit with a death benefit equal at any time to the exress </w:t>
      </w:r>
      <w:r>
        <w:rPr>
          <w:rFonts w:ascii="Arial" w:hAnsi="Arial"/>
          <w:color w:val="030303"/>
          <w:w w:val="110"/>
          <w:sz w:val="19"/>
        </w:rPr>
        <w:t>of </w:t>
      </w:r>
      <w:r>
        <w:rPr>
          <w:color w:val="030303"/>
          <w:w w:val="110"/>
          <w:sz w:val="19"/>
        </w:rPr>
        <w:t>thc total premium paid over thc sum of the annuity payments re­  ceived. There is no death benefit whcn </w:t>
      </w:r>
      <w:r>
        <w:rPr>
          <w:color w:val="030303"/>
          <w:w w:val="110"/>
          <w:sz w:val="21"/>
        </w:rPr>
        <w:t>the </w:t>
      </w:r>
      <w:r>
        <w:rPr>
          <w:color w:val="030303"/>
          <w:w w:val="110"/>
          <w:sz w:val="19"/>
        </w:rPr>
        <w:t>surn of thc </w:t>
      </w:r>
      <w:r>
        <w:rPr>
          <w:color w:val="030303"/>
          <w:spacing w:val="3"/>
          <w:w w:val="110"/>
          <w:sz w:val="19"/>
        </w:rPr>
        <w:t>annuity </w:t>
      </w:r>
      <w:r>
        <w:rPr>
          <w:color w:val="030303"/>
          <w:w w:val="110"/>
          <w:sz w:val="19"/>
        </w:rPr>
        <w:t>payments exceeds the amount of prcmium </w:t>
      </w:r>
      <w:r>
        <w:rPr>
          <w:color w:val="030303"/>
          <w:spacing w:val="13"/>
          <w:w w:val="110"/>
          <w:sz w:val="19"/>
        </w:rPr>
        <w:t> </w:t>
      </w:r>
      <w:r>
        <w:rPr>
          <w:color w:val="030303"/>
          <w:w w:val="110"/>
          <w:sz w:val="19"/>
        </w:rPr>
        <w:t>paid.</w:t>
      </w:r>
    </w:p>
    <w:p>
      <w:pPr>
        <w:spacing w:line="247" w:lineRule="auto" w:before="0"/>
        <w:ind w:left="112" w:right="141" w:firstLine="208"/>
        <w:jc w:val="both"/>
        <w:rPr>
          <w:sz w:val="19"/>
        </w:rPr>
      </w:pPr>
      <w:r>
        <w:rPr>
          <w:color w:val="030303"/>
          <w:w w:val="105"/>
          <w:sz w:val="19"/>
        </w:rPr>
        <w:t>Let </w:t>
      </w:r>
      <w:r>
        <w:rPr>
          <w:rFonts w:ascii="Arial"/>
          <w:i/>
          <w:color w:val="030303"/>
          <w:w w:val="105"/>
          <w:sz w:val="20"/>
        </w:rPr>
        <w:t>G </w:t>
      </w:r>
      <w:r>
        <w:rPr>
          <w:color w:val="030303"/>
          <w:w w:val="105"/>
          <w:sz w:val="19"/>
        </w:rPr>
        <w:t>denote here the gross single  premium for  an  irnmediate cash refund annuity  of  </w:t>
      </w:r>
      <w:r>
        <w:rPr>
          <w:color w:val="030303"/>
          <w:w w:val="105"/>
          <w:sz w:val="20"/>
        </w:rPr>
        <w:t>1 </w:t>
      </w:r>
      <w:r>
        <w:rPr>
          <w:color w:val="030303"/>
          <w:w w:val="105"/>
          <w:sz w:val="19"/>
        </w:rPr>
        <w:t>per  annum  issued  at age </w:t>
      </w:r>
      <w:r>
        <w:rPr>
          <w:i/>
          <w:color w:val="030303"/>
          <w:w w:val="105"/>
          <w:sz w:val="20"/>
        </w:rPr>
        <w:t>x, </w:t>
      </w:r>
      <w:r>
        <w:rPr>
          <w:color w:val="030303"/>
          <w:w w:val="105"/>
          <w:sz w:val="19"/>
        </w:rPr>
        <w:t>with  a loading of </w:t>
      </w:r>
      <w:r>
        <w:rPr>
          <w:i/>
          <w:color w:val="030303"/>
          <w:w w:val="105"/>
          <w:sz w:val="21"/>
        </w:rPr>
        <w:t>r </w:t>
      </w:r>
      <w:r>
        <w:rPr>
          <w:color w:val="030303"/>
          <w:w w:val="105"/>
          <w:sz w:val="19"/>
        </w:rPr>
        <w:t>per unit  of  the gross  premium.  Then  the  net  single  premium, </w:t>
      </w:r>
      <w:r>
        <w:rPr>
          <w:rFonts w:ascii="Arial"/>
          <w:b/>
          <w:color w:val="030303"/>
          <w:w w:val="105"/>
          <w:sz w:val="19"/>
        </w:rPr>
        <w:t>(1 </w:t>
      </w:r>
      <w:r>
        <w:rPr>
          <w:rFonts w:ascii="Arial"/>
          <w:color w:val="030303"/>
          <w:w w:val="240"/>
          <w:sz w:val="19"/>
        </w:rPr>
        <w:t>- </w:t>
      </w:r>
      <w:r>
        <w:rPr>
          <w:i/>
          <w:color w:val="030303"/>
          <w:w w:val="105"/>
          <w:sz w:val="21"/>
        </w:rPr>
        <w:t>r </w:t>
      </w:r>
      <w:r>
        <w:rPr>
          <w:color w:val="030303"/>
          <w:w w:val="105"/>
          <w:sz w:val="21"/>
        </w:rPr>
        <w:t>)G, </w:t>
      </w:r>
      <w:r>
        <w:rPr>
          <w:color w:val="030303"/>
          <w:w w:val="105"/>
          <w:sz w:val="19"/>
        </w:rPr>
        <w:t>is equal to the combined  present  value  of  the  annuity and  the  death  benefit.  The  annuity portion alone   has   thc   value </w:t>
      </w:r>
      <w:r>
        <w:rPr>
          <w:i/>
          <w:color w:val="030303"/>
          <w:w w:val="105"/>
          <w:sz w:val="21"/>
        </w:rPr>
        <w:t>az </w:t>
      </w:r>
      <w:r>
        <w:rPr>
          <w:i/>
          <w:color w:val="030303"/>
          <w:w w:val="115"/>
          <w:sz w:val="21"/>
        </w:rPr>
        <w:t>. </w:t>
      </w:r>
      <w:r>
        <w:rPr>
          <w:color w:val="030303"/>
          <w:w w:val="105"/>
          <w:sz w:val="19"/>
        </w:rPr>
        <w:t>The  decreasing  death  benefit   is  </w:t>
      </w:r>
      <w:r>
        <w:rPr>
          <w:rFonts w:ascii="Arial"/>
          <w:i/>
          <w:color w:val="030303"/>
          <w:w w:val="105"/>
          <w:sz w:val="18"/>
        </w:rPr>
        <w:t>G  </w:t>
      </w:r>
      <w:r>
        <w:rPr>
          <w:color w:val="030303"/>
          <w:w w:val="105"/>
          <w:sz w:val="19"/>
        </w:rPr>
        <w:t>during  thc  fin;t  year    and</w:t>
      </w:r>
    </w:p>
    <w:p>
      <w:pPr>
        <w:spacing w:line="153" w:lineRule="auto" w:before="68"/>
        <w:ind w:left="112" w:right="141" w:firstLine="7"/>
        <w:jc w:val="center"/>
        <w:rPr>
          <w:sz w:val="19"/>
        </w:rPr>
      </w:pPr>
      <w:r>
        <w:rPr>
          <w:color w:val="030303"/>
          <w:w w:val="105"/>
          <w:sz w:val="19"/>
        </w:rPr>
        <w:t>reduces by </w:t>
      </w:r>
      <w:r>
        <w:rPr>
          <w:rFonts w:ascii="Arial"/>
          <w:color w:val="030303"/>
          <w:w w:val="105"/>
          <w:sz w:val="19"/>
        </w:rPr>
        <w:t>1 </w:t>
      </w:r>
      <w:r>
        <w:rPr>
          <w:color w:val="030303"/>
          <w:w w:val="105"/>
          <w:sz w:val="19"/>
        </w:rPr>
        <w:t>each year. </w:t>
      </w:r>
      <w:r>
        <w:rPr>
          <w:rFonts w:ascii="Arial"/>
          <w:color w:val="030303"/>
          <w:w w:val="105"/>
          <w:sz w:val="19"/>
        </w:rPr>
        <w:t>K</w:t>
      </w:r>
      <w:r>
        <w:rPr>
          <w:color w:val="030303"/>
          <w:w w:val="105"/>
          <w:sz w:val="19"/>
        </w:rPr>
        <w:t>ow if </w:t>
      </w:r>
      <w:r>
        <w:rPr>
          <w:i/>
          <w:color w:val="030303"/>
          <w:w w:val="105"/>
          <w:sz w:val="20"/>
        </w:rPr>
        <w:t>n </w:t>
      </w:r>
      <w:r>
        <w:rPr>
          <w:color w:val="030303"/>
          <w:w w:val="105"/>
          <w:sz w:val="19"/>
        </w:rPr>
        <w:t>is t he grcatest integer in  </w:t>
      </w:r>
      <w:r>
        <w:rPr>
          <w:rFonts w:ascii="Arial"/>
          <w:i/>
          <w:color w:val="030303"/>
          <w:w w:val="105"/>
          <w:sz w:val="20"/>
        </w:rPr>
        <w:t>G, </w:t>
      </w:r>
      <w:r>
        <w:rPr>
          <w:color w:val="030303"/>
          <w:w w:val="105"/>
          <w:sz w:val="19"/>
        </w:rPr>
        <w:t>thc death  benefit  will  extend  over  </w:t>
      </w:r>
      <w:r>
        <w:rPr>
          <w:i/>
          <w:color w:val="030303"/>
          <w:w w:val="105"/>
          <w:sz w:val="21"/>
        </w:rPr>
        <w:t>n  </w:t>
      </w:r>
      <w:r>
        <w:rPr>
          <w:rFonts w:ascii="Arial"/>
          <w:color w:val="030303"/>
          <w:w w:val="105"/>
          <w:sz w:val="30"/>
        </w:rPr>
        <w:t>+ </w:t>
      </w:r>
      <w:r>
        <w:rPr>
          <w:color w:val="030303"/>
          <w:w w:val="105"/>
          <w:sz w:val="20"/>
        </w:rPr>
        <w:t>1 </w:t>
      </w:r>
      <w:r>
        <w:rPr>
          <w:color w:val="030303"/>
          <w:w w:val="105"/>
          <w:sz w:val="19"/>
        </w:rPr>
        <w:t>years  and  its  prescnt value,</w:t>
      </w:r>
    </w:p>
    <w:p>
      <w:pPr>
        <w:spacing w:line="264" w:lineRule="auto" w:before="23"/>
        <w:ind w:left="120" w:right="218" w:hanging="8"/>
        <w:jc w:val="left"/>
        <w:rPr>
          <w:sz w:val="19"/>
        </w:rPr>
      </w:pPr>
      <w:r>
        <w:rPr>
          <w:color w:val="030303"/>
          <w:w w:val="105"/>
          <w:sz w:val="19"/>
        </w:rPr>
        <w:t>as.5uming payment at the end of the year of death, may  be  ex­  pressed</w:t>
      </w:r>
      <w:r>
        <w:rPr>
          <w:color w:val="030303"/>
          <w:spacing w:val="47"/>
          <w:w w:val="105"/>
          <w:sz w:val="19"/>
        </w:rPr>
        <w:t> </w:t>
      </w:r>
      <w:r>
        <w:rPr>
          <w:color w:val="030303"/>
          <w:w w:val="105"/>
          <w:sz w:val="19"/>
        </w:rPr>
        <w:t>as</w:t>
      </w:r>
    </w:p>
    <w:p>
      <w:pPr>
        <w:spacing w:before="114"/>
        <w:ind w:left="13" w:right="131" w:firstLine="0"/>
        <w:jc w:val="center"/>
        <w:rPr>
          <w:b/>
          <w:i/>
          <w:sz w:val="16"/>
        </w:rPr>
      </w:pPr>
      <w:r>
        <w:rPr/>
        <w:pict>
          <v:line style="position:absolute;mso-position-horizontal-relative:page;mso-position-vertical-relative:paragraph;z-index:-724000" from="94.529152pt,15.395634pt" to="97.578472pt,15.395634pt" stroked="true" strokeweight=".717489pt" strokecolor="#000000">
            <w10:wrap type="none"/>
          </v:line>
        </w:pict>
      </w:r>
      <w:r>
        <w:rPr>
          <w:b/>
          <w:i/>
          <w:color w:val="030303"/>
          <w:sz w:val="16"/>
        </w:rPr>
        <w:t>G( }.f z  </w:t>
      </w:r>
      <w:r>
        <w:rPr>
          <w:color w:val="030303"/>
          <w:w w:val="325"/>
          <w:sz w:val="16"/>
        </w:rPr>
        <w:t>-</w:t>
      </w:r>
      <w:r>
        <w:rPr>
          <w:color w:val="030303"/>
          <w:spacing w:val="-78"/>
          <w:w w:val="325"/>
          <w:sz w:val="16"/>
        </w:rPr>
        <w:t> </w:t>
      </w:r>
      <w:r>
        <w:rPr>
          <w:b/>
          <w:color w:val="030303"/>
          <w:sz w:val="20"/>
        </w:rPr>
        <w:t>Mz+,.+1 )  </w:t>
      </w:r>
      <w:r>
        <w:rPr>
          <w:color w:val="030303"/>
          <w:w w:val="260"/>
          <w:sz w:val="20"/>
        </w:rPr>
        <w:t>-</w:t>
      </w:r>
      <w:r>
        <w:rPr>
          <w:color w:val="030303"/>
          <w:spacing w:val="-65"/>
          <w:w w:val="260"/>
          <w:sz w:val="20"/>
        </w:rPr>
        <w:t> </w:t>
      </w:r>
      <w:r>
        <w:rPr>
          <w:b/>
          <w:color w:val="030303"/>
          <w:sz w:val="20"/>
        </w:rPr>
        <w:t>( Rz+l </w:t>
      </w:r>
      <w:r>
        <w:rPr>
          <w:color w:val="030303"/>
          <w:w w:val="260"/>
          <w:sz w:val="20"/>
        </w:rPr>
        <w:t>-</w:t>
      </w:r>
      <w:r>
        <w:rPr>
          <w:color w:val="030303"/>
          <w:spacing w:val="-86"/>
          <w:w w:val="260"/>
          <w:sz w:val="20"/>
        </w:rPr>
        <w:t> </w:t>
      </w:r>
      <w:r>
        <w:rPr>
          <w:b/>
          <w:i/>
          <w:color w:val="030303"/>
          <w:sz w:val="16"/>
        </w:rPr>
        <w:t>Rz+n+l  </w:t>
      </w:r>
      <w:r>
        <w:rPr>
          <w:color w:val="030303"/>
          <w:w w:val="325"/>
          <w:sz w:val="16"/>
        </w:rPr>
        <w:t>-</w:t>
      </w:r>
      <w:r>
        <w:rPr>
          <w:color w:val="030303"/>
          <w:spacing w:val="-89"/>
          <w:w w:val="325"/>
          <w:sz w:val="16"/>
        </w:rPr>
        <w:t> </w:t>
      </w:r>
      <w:r>
        <w:rPr>
          <w:b/>
          <w:i/>
          <w:color w:val="030303"/>
          <w:spacing w:val="3"/>
          <w:sz w:val="16"/>
        </w:rPr>
        <w:t>nMz+n+i </w:t>
      </w:r>
      <w:r>
        <w:rPr>
          <w:b/>
          <w:i/>
          <w:color w:val="030303"/>
          <w:sz w:val="16"/>
        </w:rPr>
        <w:t>)</w:t>
      </w:r>
    </w:p>
    <w:p>
      <w:pPr>
        <w:spacing w:before="3"/>
        <w:ind w:left="30" w:right="131" w:firstLine="0"/>
        <w:jc w:val="center"/>
        <w:rPr>
          <w:i/>
          <w:sz w:val="22"/>
        </w:rPr>
      </w:pPr>
      <w:r>
        <w:rPr>
          <w:i/>
          <w:color w:val="030303"/>
          <w:w w:val="80"/>
          <w:sz w:val="22"/>
        </w:rPr>
        <w:t>D.r</w:t>
      </w:r>
    </w:p>
    <w:p>
      <w:pPr>
        <w:spacing w:before="124"/>
        <w:ind w:left="123" w:right="0" w:firstLine="0"/>
        <w:jc w:val="left"/>
        <w:rPr>
          <w:sz w:val="19"/>
        </w:rPr>
      </w:pPr>
      <w:r>
        <w:rPr>
          <w:color w:val="030303"/>
          <w:w w:val="105"/>
          <w:sz w:val="19"/>
        </w:rPr>
        <w:t>Hence,</w:t>
      </w:r>
    </w:p>
    <w:p>
      <w:pPr>
        <w:spacing w:before="134"/>
        <w:ind w:left="134" w:right="0" w:firstLine="0"/>
        <w:jc w:val="left"/>
        <w:rPr>
          <w:sz w:val="19"/>
        </w:rPr>
      </w:pPr>
      <w:r>
        <w:rPr>
          <w:color w:val="030303"/>
          <w:w w:val="115"/>
          <w:sz w:val="19"/>
        </w:rPr>
        <w:t>(1 </w:t>
      </w:r>
      <w:r>
        <w:rPr>
          <w:color w:val="030303"/>
          <w:w w:val="260"/>
          <w:sz w:val="19"/>
        </w:rPr>
        <w:t>-</w:t>
      </w:r>
      <w:r>
        <w:rPr>
          <w:color w:val="030303"/>
          <w:spacing w:val="-66"/>
          <w:w w:val="260"/>
          <w:sz w:val="19"/>
        </w:rPr>
        <w:t> </w:t>
      </w:r>
      <w:r>
        <w:rPr>
          <w:color w:val="030303"/>
          <w:w w:val="115"/>
          <w:sz w:val="19"/>
        </w:rPr>
        <w:t>r )G</w:t>
      </w:r>
    </w:p>
    <w:p>
      <w:pPr>
        <w:pStyle w:val="BodyText"/>
        <w:spacing w:before="8"/>
        <w:rPr>
          <w:sz w:val="10"/>
        </w:rPr>
      </w:pPr>
      <w:r>
        <w:rPr/>
        <w:drawing>
          <wp:anchor distT="0" distB="0" distL="0" distR="0" allowOverlap="1" layoutInCell="1" locked="0" behindDoc="0" simplePos="0" relativeHeight="12040">
            <wp:simplePos x="0" y="0"/>
            <wp:positionH relativeFrom="page">
              <wp:posOffset>877824</wp:posOffset>
            </wp:positionH>
            <wp:positionV relativeFrom="paragraph">
              <wp:posOffset>103345</wp:posOffset>
            </wp:positionV>
            <wp:extent cx="3264408" cy="283464"/>
            <wp:effectExtent l="0" t="0" r="0" b="0"/>
            <wp:wrapTopAndBottom/>
            <wp:docPr id="303" name="image157.png" descr=""/>
            <wp:cNvGraphicFramePr>
              <a:graphicFrameLocks noChangeAspect="1"/>
            </wp:cNvGraphicFramePr>
            <a:graphic>
              <a:graphicData uri="http://schemas.openxmlformats.org/drawingml/2006/picture">
                <pic:pic>
                  <pic:nvPicPr>
                    <pic:cNvPr id="304" name="image157.png"/>
                    <pic:cNvPicPr/>
                  </pic:nvPicPr>
                  <pic:blipFill>
                    <a:blip r:embed="rId161" cstate="print"/>
                    <a:stretch>
                      <a:fillRect/>
                    </a:stretch>
                  </pic:blipFill>
                  <pic:spPr>
                    <a:xfrm>
                      <a:off x="0" y="0"/>
                      <a:ext cx="3264408" cy="283464"/>
                    </a:xfrm>
                    <a:prstGeom prst="rect">
                      <a:avLst/>
                    </a:prstGeom>
                  </pic:spPr>
                </pic:pic>
              </a:graphicData>
            </a:graphic>
          </wp:anchor>
        </w:drawing>
      </w:r>
    </w:p>
    <w:p>
      <w:pPr>
        <w:spacing w:before="87"/>
        <w:ind w:left="0" w:right="173" w:firstLine="0"/>
        <w:jc w:val="center"/>
        <w:rPr>
          <w:b/>
          <w:sz w:val="10"/>
        </w:rPr>
      </w:pPr>
      <w:r>
        <w:rPr>
          <w:b/>
          <w:color w:val="030303"/>
          <w:w w:val="98"/>
          <w:sz w:val="10"/>
        </w:rPr>
        <w:t>1</w:t>
      </w:r>
    </w:p>
    <w:p>
      <w:pPr>
        <w:spacing w:after="0"/>
        <w:jc w:val="center"/>
        <w:rPr>
          <w:sz w:val="10"/>
        </w:rPr>
        <w:sectPr>
          <w:pgSz w:w="7200" w:h="11340"/>
          <w:pgMar w:top="1060" w:bottom="280" w:left="680" w:right="560"/>
        </w:sectPr>
      </w:pPr>
    </w:p>
    <w:p>
      <w:pPr>
        <w:tabs>
          <w:tab w:pos="2395" w:val="left" w:leader="none"/>
          <w:tab w:pos="6376" w:val="right" w:leader="none"/>
        </w:tabs>
        <w:spacing w:before="55"/>
        <w:ind w:left="622" w:right="0" w:firstLine="0"/>
        <w:jc w:val="left"/>
        <w:rPr>
          <w:sz w:val="21"/>
        </w:rPr>
      </w:pPr>
      <w:r>
        <w:rPr>
          <w:b/>
          <w:color w:val="010101"/>
          <w:w w:val="105"/>
          <w:sz w:val="15"/>
        </w:rPr>
        <w:t>SEC. </w:t>
      </w:r>
      <w:r>
        <w:rPr>
          <w:b/>
          <w:color w:val="010101"/>
          <w:spacing w:val="14"/>
          <w:w w:val="105"/>
          <w:sz w:val="15"/>
        </w:rPr>
        <w:t> </w:t>
      </w:r>
      <w:r>
        <w:rPr>
          <w:rFonts w:ascii="Arial"/>
          <w:b/>
          <w:color w:val="010101"/>
          <w:w w:val="105"/>
          <w:sz w:val="19"/>
        </w:rPr>
        <w:t>2)</w:t>
        <w:tab/>
      </w:r>
      <w:r>
        <w:rPr>
          <w:b/>
          <w:color w:val="010101"/>
          <w:w w:val="105"/>
          <w:position w:val="1"/>
          <w:sz w:val="15"/>
        </w:rPr>
        <w:t>CASH </w:t>
      </w:r>
      <w:r>
        <w:rPr>
          <w:b/>
          <w:color w:val="010101"/>
          <w:spacing w:val="25"/>
          <w:w w:val="105"/>
          <w:position w:val="1"/>
          <w:sz w:val="15"/>
        </w:rPr>
        <w:t> </w:t>
      </w:r>
      <w:r>
        <w:rPr>
          <w:b/>
          <w:color w:val="010101"/>
          <w:w w:val="105"/>
          <w:position w:val="1"/>
          <w:sz w:val="15"/>
        </w:rPr>
        <w:t>REFUND </w:t>
      </w:r>
      <w:r>
        <w:rPr>
          <w:b/>
          <w:color w:val="010101"/>
          <w:spacing w:val="25"/>
          <w:w w:val="105"/>
          <w:position w:val="1"/>
          <w:sz w:val="15"/>
        </w:rPr>
        <w:t> </w:t>
      </w:r>
      <w:r>
        <w:rPr>
          <w:b/>
          <w:color w:val="010101"/>
          <w:w w:val="105"/>
          <w:position w:val="1"/>
          <w:sz w:val="15"/>
        </w:rPr>
        <w:t>ANNUITIES</w:t>
      </w:r>
      <w:r>
        <w:rPr>
          <w:color w:val="010101"/>
          <w:w w:val="105"/>
          <w:sz w:val="21"/>
        </w:rPr>
        <w:tab/>
      </w:r>
      <w:r>
        <w:rPr>
          <w:color w:val="010101"/>
          <w:spacing w:val="-16"/>
          <w:w w:val="105"/>
          <w:sz w:val="21"/>
        </w:rPr>
        <w:t>151</w:t>
      </w:r>
    </w:p>
    <w:p>
      <w:pPr>
        <w:pStyle w:val="BodyText"/>
        <w:spacing w:before="7"/>
        <w:rPr>
          <w:sz w:val="19"/>
        </w:rPr>
      </w:pPr>
    </w:p>
    <w:p>
      <w:pPr>
        <w:spacing w:before="0"/>
        <w:ind w:left="626" w:right="0" w:firstLine="0"/>
        <w:jc w:val="left"/>
        <w:rPr>
          <w:rFonts w:ascii="Arial"/>
          <w:i/>
          <w:sz w:val="19"/>
        </w:rPr>
      </w:pPr>
      <w:r>
        <w:rPr>
          <w:color w:val="010101"/>
          <w:sz w:val="21"/>
        </w:rPr>
        <w:t>and solving for </w:t>
      </w:r>
      <w:r>
        <w:rPr>
          <w:rFonts w:ascii="Arial"/>
          <w:i/>
          <w:color w:val="010101"/>
          <w:sz w:val="19"/>
        </w:rPr>
        <w:t>G,</w:t>
      </w:r>
    </w:p>
    <w:p>
      <w:pPr>
        <w:tabs>
          <w:tab w:pos="1187" w:val="left" w:leader="none"/>
          <w:tab w:pos="4296" w:val="left" w:leader="none"/>
        </w:tabs>
        <w:spacing w:line="262" w:lineRule="exact" w:before="126"/>
        <w:ind w:left="0" w:right="140" w:firstLine="0"/>
        <w:jc w:val="right"/>
        <w:rPr>
          <w:sz w:val="20"/>
        </w:rPr>
      </w:pPr>
      <w:r>
        <w:rPr>
          <w:i/>
          <w:color w:val="010101"/>
          <w:sz w:val="20"/>
        </w:rPr>
        <w:t>G </w:t>
      </w:r>
      <w:r>
        <w:rPr>
          <w:color w:val="010101"/>
          <w:sz w:val="24"/>
        </w:rPr>
        <w:t>=</w:t>
      </w:r>
      <w:r>
        <w:rPr>
          <w:color w:val="010101"/>
          <w:spacing w:val="31"/>
          <w:sz w:val="24"/>
        </w:rPr>
        <w:t> </w:t>
      </w:r>
      <w:r>
        <w:rPr>
          <w:i/>
          <w:color w:val="010101"/>
          <w:spacing w:val="6"/>
          <w:sz w:val="20"/>
          <w:u w:val="single" w:color="000000"/>
        </w:rPr>
        <w:t>Nz+1</w:t>
      </w:r>
      <w:r>
        <w:rPr>
          <w:i/>
          <w:color w:val="010101"/>
          <w:spacing w:val="22"/>
          <w:sz w:val="20"/>
          <w:u w:val="single" w:color="000000"/>
        </w:rPr>
        <w:t> </w:t>
      </w:r>
      <w:r>
        <w:rPr>
          <w:color w:val="010101"/>
          <w:w w:val="255"/>
          <w:sz w:val="20"/>
          <w:u w:val="single" w:color="000000"/>
        </w:rPr>
        <w:t>-</w:t>
      </w:r>
      <w:r>
        <w:rPr>
          <w:color w:val="010101"/>
          <w:w w:val="255"/>
          <w:sz w:val="20"/>
        </w:rPr>
        <w:tab/>
      </w:r>
      <w:r>
        <w:rPr>
          <w:i/>
          <w:color w:val="010101"/>
          <w:sz w:val="20"/>
          <w:u w:val="single" w:color="000000"/>
        </w:rPr>
        <w:t>( Rz+1 </w:t>
      </w:r>
      <w:r>
        <w:rPr>
          <w:color w:val="010101"/>
          <w:w w:val="255"/>
          <w:sz w:val="20"/>
          <w:u w:val="single" w:color="000000"/>
        </w:rPr>
        <w:t>- </w:t>
      </w:r>
      <w:r>
        <w:rPr>
          <w:i/>
          <w:color w:val="010101"/>
          <w:sz w:val="20"/>
          <w:u w:val="single" w:color="000000"/>
        </w:rPr>
        <w:t>Rz+n+i </w:t>
      </w:r>
      <w:r>
        <w:rPr>
          <w:color w:val="010101"/>
          <w:w w:val="255"/>
          <w:sz w:val="20"/>
          <w:u w:val="single" w:color="000000"/>
        </w:rPr>
        <w:t>- </w:t>
      </w:r>
      <w:r>
        <w:rPr>
          <w:i/>
          <w:color w:val="010101"/>
          <w:sz w:val="20"/>
          <w:u w:val="single" w:color="000000"/>
        </w:rPr>
        <w:t>nMttn+i</w:t>
      </w:r>
      <w:r>
        <w:rPr>
          <w:i/>
          <w:color w:val="010101"/>
          <w:spacing w:val="4"/>
          <w:sz w:val="20"/>
          <w:u w:val="single" w:color="000000"/>
        </w:rPr>
        <w:t> </w:t>
      </w:r>
      <w:r>
        <w:rPr>
          <w:i/>
          <w:color w:val="010101"/>
          <w:sz w:val="20"/>
          <w:u w:val="single" w:color="000000"/>
        </w:rPr>
        <w:t>)</w:t>
      </w:r>
      <w:r>
        <w:rPr>
          <w:i/>
          <w:color w:val="010101"/>
          <w:spacing w:val="21"/>
          <w:sz w:val="20"/>
          <w:u w:val="single" w:color="000000"/>
        </w:rPr>
        <w:t> </w:t>
      </w:r>
      <w:r>
        <w:rPr>
          <w:i/>
          <w:color w:val="010101"/>
          <w:w w:val="140"/>
          <w:sz w:val="20"/>
        </w:rPr>
        <w:t>.</w:t>
        <w:tab/>
      </w:r>
      <w:r>
        <w:rPr>
          <w:color w:val="010101"/>
          <w:spacing w:val="-8"/>
          <w:w w:val="130"/>
          <w:sz w:val="20"/>
        </w:rPr>
        <w:t>(¡.1)</w:t>
      </w:r>
    </w:p>
    <w:p>
      <w:pPr>
        <w:spacing w:line="227" w:lineRule="exact" w:before="0"/>
        <w:ind w:left="2399" w:right="0" w:firstLine="0"/>
        <w:jc w:val="left"/>
        <w:rPr>
          <w:b/>
          <w:sz w:val="20"/>
        </w:rPr>
      </w:pPr>
      <w:r>
        <w:rPr>
          <w:b/>
          <w:color w:val="010101"/>
          <w:sz w:val="21"/>
        </w:rPr>
        <w:t>{1 </w:t>
      </w:r>
      <w:r>
        <w:rPr>
          <w:color w:val="010101"/>
          <w:w w:val="255"/>
          <w:sz w:val="21"/>
        </w:rPr>
        <w:t>-</w:t>
      </w:r>
      <w:r>
        <w:rPr>
          <w:color w:val="010101"/>
          <w:spacing w:val="-106"/>
          <w:w w:val="255"/>
          <w:sz w:val="21"/>
        </w:rPr>
        <w:t> </w:t>
      </w:r>
      <w:r>
        <w:rPr>
          <w:b/>
          <w:i/>
          <w:color w:val="010101"/>
          <w:spacing w:val="5"/>
          <w:sz w:val="21"/>
        </w:rPr>
        <w:t>r) </w:t>
      </w:r>
      <w:r>
        <w:rPr>
          <w:b/>
          <w:i/>
          <w:color w:val="010101"/>
          <w:sz w:val="21"/>
        </w:rPr>
        <w:t>Dz </w:t>
      </w:r>
      <w:r>
        <w:rPr>
          <w:color w:val="010101"/>
          <w:w w:val="255"/>
          <w:sz w:val="21"/>
        </w:rPr>
        <w:t>-</w:t>
      </w:r>
      <w:r>
        <w:rPr>
          <w:color w:val="010101"/>
          <w:spacing w:val="-70"/>
          <w:w w:val="255"/>
          <w:sz w:val="21"/>
        </w:rPr>
        <w:t> </w:t>
      </w:r>
      <w:r>
        <w:rPr>
          <w:b/>
          <w:i/>
          <w:color w:val="010101"/>
          <w:spacing w:val="3"/>
          <w:sz w:val="21"/>
        </w:rPr>
        <w:t>(Mz </w:t>
      </w:r>
      <w:r>
        <w:rPr>
          <w:color w:val="010101"/>
          <w:w w:val="255"/>
          <w:sz w:val="21"/>
        </w:rPr>
        <w:t>-</w:t>
      </w:r>
      <w:r>
        <w:rPr>
          <w:color w:val="010101"/>
          <w:spacing w:val="-104"/>
          <w:w w:val="255"/>
          <w:sz w:val="21"/>
        </w:rPr>
        <w:t> </w:t>
      </w:r>
      <w:r>
        <w:rPr>
          <w:b/>
          <w:color w:val="010101"/>
          <w:sz w:val="20"/>
        </w:rPr>
        <w:t>Mz+n+l)</w:t>
      </w:r>
    </w:p>
    <w:p>
      <w:pPr>
        <w:spacing w:line="240" w:lineRule="auto" w:before="87"/>
        <w:ind w:left="611" w:right="130" w:firstLine="3"/>
        <w:jc w:val="right"/>
        <w:rPr>
          <w:sz w:val="21"/>
        </w:rPr>
      </w:pPr>
      <w:r>
        <w:rPr>
          <w:color w:val="010101"/>
          <w:sz w:val="21"/>
        </w:rPr>
        <w:t>Since </w:t>
      </w:r>
      <w:r>
        <w:rPr>
          <w:i/>
          <w:color w:val="010101"/>
          <w:sz w:val="22"/>
        </w:rPr>
        <w:t>n </w:t>
      </w:r>
      <w:r>
        <w:rPr>
          <w:color w:val="010101"/>
          <w:sz w:val="19"/>
        </w:rPr>
        <w:t>in </w:t>
      </w:r>
      <w:r>
        <w:rPr>
          <w:color w:val="010101"/>
          <w:sz w:val="21"/>
        </w:rPr>
        <w:t>this formula depends upon the magnitude of </w:t>
      </w:r>
      <w:r>
        <w:rPr>
          <w:rFonts w:ascii="Arial" w:hAnsi="Arial"/>
          <w:i/>
          <w:color w:val="010101"/>
          <w:sz w:val="19"/>
        </w:rPr>
        <w:t>G, </w:t>
      </w:r>
      <w:r>
        <w:rPr>
          <w:color w:val="010101"/>
          <w:sz w:val="21"/>
        </w:rPr>
        <w:t>trial</w:t>
      </w:r>
      <w:r>
        <w:rPr>
          <w:color w:val="010101"/>
          <w:w w:val="104"/>
          <w:sz w:val="21"/>
        </w:rPr>
        <w:t> </w:t>
      </w:r>
      <w:r>
        <w:rPr>
          <w:color w:val="010101"/>
          <w:sz w:val="21"/>
        </w:rPr>
        <w:t>values of </w:t>
      </w:r>
      <w:r>
        <w:rPr>
          <w:i/>
          <w:color w:val="010101"/>
          <w:sz w:val="21"/>
        </w:rPr>
        <w:t>n </w:t>
      </w:r>
      <w:r>
        <w:rPr>
          <w:color w:val="010101"/>
          <w:sz w:val="21"/>
        </w:rPr>
        <w:t>must be tested until a consistent value of </w:t>
      </w:r>
      <w:r>
        <w:rPr>
          <w:rFonts w:ascii="Arial" w:hAnsi="Arial"/>
          <w:i/>
          <w:color w:val="010101"/>
          <w:sz w:val="20"/>
        </w:rPr>
        <w:t>G </w:t>
      </w:r>
      <w:r>
        <w:rPr>
          <w:rFonts w:ascii="Arial" w:hAnsi="Arial"/>
          <w:color w:val="010101"/>
          <w:sz w:val="19"/>
        </w:rPr>
        <w:t>is </w:t>
      </w:r>
      <w:r>
        <w:rPr>
          <w:color w:val="010101"/>
          <w:sz w:val="21"/>
        </w:rPr>
        <w:t>obtained.</w:t>
      </w:r>
      <w:r>
        <w:rPr>
          <w:color w:val="010101"/>
          <w:w w:val="101"/>
          <w:sz w:val="21"/>
        </w:rPr>
        <w:t> </w:t>
      </w:r>
      <w:r>
        <w:rPr>
          <w:color w:val="010101"/>
          <w:sz w:val="21"/>
        </w:rPr>
        <w:t>Let us now consider the general case in which the annuity pay­</w:t>
      </w:r>
      <w:r>
        <w:rPr>
          <w:color w:val="010101"/>
          <w:w w:val="100"/>
          <w:sz w:val="21"/>
        </w:rPr>
        <w:t> </w:t>
      </w:r>
      <w:r>
        <w:rPr>
          <w:color w:val="010101"/>
          <w:sz w:val="21"/>
        </w:rPr>
        <w:t>ments are made </w:t>
      </w:r>
      <w:r>
        <w:rPr>
          <w:rFonts w:ascii="Arial" w:hAnsi="Arial"/>
          <w:i/>
          <w:color w:val="010101"/>
          <w:sz w:val="18"/>
        </w:rPr>
        <w:t>m </w:t>
      </w:r>
      <w:r>
        <w:rPr>
          <w:color w:val="010101"/>
          <w:sz w:val="21"/>
        </w:rPr>
        <w:t>times a year. The death benefit  now  decreases</w:t>
      </w:r>
      <w:r>
        <w:rPr>
          <w:color w:val="010101"/>
          <w:w w:val="95"/>
          <w:sz w:val="21"/>
        </w:rPr>
        <w:t> </w:t>
      </w:r>
      <w:r>
        <w:rPr>
          <w:color w:val="010101"/>
          <w:sz w:val="21"/>
        </w:rPr>
        <w:t>by 1/m at the end of each m-th part of a year. If </w:t>
      </w:r>
      <w:r>
        <w:rPr>
          <w:i/>
          <w:color w:val="010101"/>
          <w:sz w:val="21"/>
        </w:rPr>
        <w:t>n </w:t>
      </w:r>
      <w:r>
        <w:rPr>
          <w:color w:val="010101"/>
          <w:sz w:val="21"/>
        </w:rPr>
        <w:t>is the greatest</w:t>
      </w:r>
      <w:r>
        <w:rPr>
          <w:color w:val="010101"/>
          <w:w w:val="100"/>
          <w:sz w:val="21"/>
        </w:rPr>
        <w:t> </w:t>
      </w:r>
      <w:r>
        <w:rPr>
          <w:color w:val="010101"/>
          <w:sz w:val="21"/>
        </w:rPr>
        <w:t>integer  in </w:t>
      </w:r>
      <w:r>
        <w:rPr>
          <w:rFonts w:ascii="Arial" w:hAnsi="Arial"/>
          <w:i/>
          <w:color w:val="010101"/>
          <w:sz w:val="19"/>
        </w:rPr>
        <w:t>G, </w:t>
      </w:r>
      <w:r>
        <w:rPr>
          <w:color w:val="010101"/>
          <w:sz w:val="21"/>
        </w:rPr>
        <w:t>the death benefit  will extend over </w:t>
      </w:r>
      <w:r>
        <w:rPr>
          <w:i/>
          <w:color w:val="010101"/>
          <w:sz w:val="21"/>
        </w:rPr>
        <w:t>n  </w:t>
      </w:r>
      <w:r>
        <w:rPr>
          <w:color w:val="010101"/>
          <w:sz w:val="21"/>
        </w:rPr>
        <w:t>complete   years,</w:t>
      </w:r>
    </w:p>
    <w:p>
      <w:pPr>
        <w:spacing w:line="205" w:lineRule="exact" w:before="0"/>
        <w:ind w:left="611" w:right="0" w:firstLine="0"/>
        <w:jc w:val="left"/>
        <w:rPr>
          <w:sz w:val="21"/>
        </w:rPr>
      </w:pPr>
      <w:r>
        <w:rPr>
          <w:color w:val="010101"/>
          <w:sz w:val="21"/>
        </w:rPr>
        <w:t>those  between   ages  </w:t>
      </w:r>
      <w:r>
        <w:rPr>
          <w:i/>
          <w:color w:val="010101"/>
          <w:sz w:val="21"/>
        </w:rPr>
        <w:t>x   </w:t>
      </w:r>
      <w:r>
        <w:rPr>
          <w:color w:val="010101"/>
          <w:sz w:val="21"/>
        </w:rPr>
        <w:t>and  </w:t>
      </w:r>
      <w:r>
        <w:rPr>
          <w:i/>
          <w:color w:val="010101"/>
          <w:sz w:val="21"/>
        </w:rPr>
        <w:t>x   </w:t>
      </w:r>
      <w:r>
        <w:rPr>
          <w:rFonts w:ascii="Arial"/>
          <w:color w:val="010101"/>
          <w:sz w:val="31"/>
        </w:rPr>
        <w:t>+ </w:t>
      </w:r>
      <w:r>
        <w:rPr>
          <w:i/>
          <w:color w:val="010101"/>
          <w:sz w:val="21"/>
        </w:rPr>
        <w:t>n,  </w:t>
      </w:r>
      <w:r>
        <w:rPr>
          <w:color w:val="010101"/>
          <w:sz w:val="21"/>
        </w:rPr>
        <w:t>and  over  a  portion   of  the</w:t>
      </w:r>
    </w:p>
    <w:p>
      <w:pPr>
        <w:spacing w:line="286" w:lineRule="exact" w:before="0"/>
        <w:ind w:left="618" w:right="0" w:firstLine="0"/>
        <w:jc w:val="left"/>
        <w:rPr>
          <w:rFonts w:ascii="Arial"/>
          <w:i/>
          <w:sz w:val="19"/>
        </w:rPr>
      </w:pPr>
      <w:r>
        <w:rPr>
          <w:rFonts w:ascii="Arial"/>
          <w:i/>
          <w:color w:val="010101"/>
          <w:w w:val="105"/>
          <w:sz w:val="19"/>
        </w:rPr>
        <w:t>(n </w:t>
      </w:r>
      <w:r>
        <w:rPr>
          <w:rFonts w:ascii="Arial"/>
          <w:color w:val="010101"/>
          <w:w w:val="105"/>
          <w:sz w:val="31"/>
        </w:rPr>
        <w:t>+ </w:t>
      </w:r>
      <w:r>
        <w:rPr>
          <w:color w:val="010101"/>
          <w:w w:val="105"/>
          <w:sz w:val="21"/>
        </w:rPr>
        <w:t>1)-th year which starts at age </w:t>
      </w:r>
      <w:r>
        <w:rPr>
          <w:rFonts w:ascii="Arial"/>
          <w:i/>
          <w:color w:val="010101"/>
          <w:w w:val="105"/>
          <w:sz w:val="19"/>
        </w:rPr>
        <w:t>x  </w:t>
      </w:r>
      <w:r>
        <w:rPr>
          <w:color w:val="010101"/>
          <w:w w:val="105"/>
          <w:sz w:val="29"/>
        </w:rPr>
        <w:t>+ </w:t>
      </w:r>
      <w:r>
        <w:rPr>
          <w:rFonts w:ascii="Arial"/>
          <w:i/>
          <w:color w:val="010101"/>
          <w:w w:val="105"/>
          <w:sz w:val="19"/>
        </w:rPr>
        <w:t>n.</w:t>
      </w:r>
    </w:p>
    <w:p>
      <w:pPr>
        <w:tabs>
          <w:tab w:pos="3095" w:val="left" w:leader="none"/>
        </w:tabs>
        <w:spacing w:line="168" w:lineRule="auto" w:before="48"/>
        <w:ind w:left="608" w:right="126" w:firstLine="197"/>
        <w:jc w:val="right"/>
        <w:rPr>
          <w:sz w:val="21"/>
        </w:rPr>
      </w:pPr>
      <w:r>
        <w:rPr>
          <w:color w:val="010101"/>
          <w:sz w:val="21"/>
        </w:rPr>
        <w:t>An expression for the value of the death benefit during</w:t>
      </w:r>
      <w:r>
        <w:rPr>
          <w:color w:val="010101"/>
          <w:spacing w:val="42"/>
          <w:sz w:val="21"/>
        </w:rPr>
        <w:t> </w:t>
      </w:r>
      <w:r>
        <w:rPr>
          <w:color w:val="010101"/>
          <w:sz w:val="21"/>
        </w:rPr>
        <w:t>the</w:t>
      </w:r>
      <w:r>
        <w:rPr>
          <w:color w:val="010101"/>
          <w:spacing w:val="27"/>
          <w:sz w:val="21"/>
        </w:rPr>
        <w:t> </w:t>
      </w:r>
      <w:r>
        <w:rPr>
          <w:color w:val="010101"/>
          <w:sz w:val="21"/>
        </w:rPr>
        <w:t>year</w:t>
      </w:r>
      <w:r>
        <w:rPr>
          <w:color w:val="010101"/>
          <w:w w:val="100"/>
          <w:sz w:val="21"/>
        </w:rPr>
        <w:t> </w:t>
      </w:r>
      <w:r>
        <w:rPr>
          <w:color w:val="010101"/>
          <w:sz w:val="21"/>
        </w:rPr>
        <w:t>starting  at  age </w:t>
      </w:r>
      <w:r>
        <w:rPr>
          <w:i/>
          <w:color w:val="010101"/>
          <w:sz w:val="21"/>
        </w:rPr>
        <w:t>x  </w:t>
      </w:r>
      <w:r>
        <w:rPr>
          <w:color w:val="010101"/>
          <w:sz w:val="29"/>
        </w:rPr>
        <w:t>+</w:t>
      </w:r>
      <w:r>
        <w:rPr>
          <w:color w:val="010101"/>
          <w:spacing w:val="33"/>
          <w:sz w:val="29"/>
        </w:rPr>
        <w:t> </w:t>
      </w:r>
      <w:r>
        <w:rPr>
          <w:i/>
          <w:color w:val="010101"/>
          <w:sz w:val="21"/>
        </w:rPr>
        <w:t>t,</w:t>
      </w:r>
      <w:r>
        <w:rPr>
          <w:i/>
          <w:color w:val="010101"/>
          <w:spacing w:val="4"/>
          <w:sz w:val="21"/>
        </w:rPr>
        <w:t> </w:t>
      </w:r>
      <w:r>
        <w:rPr>
          <w:rFonts w:ascii="Arial" w:hAnsi="Arial"/>
          <w:b/>
          <w:color w:val="010101"/>
          <w:sz w:val="20"/>
        </w:rPr>
        <w:t>O</w:t>
        <w:tab/>
      </w:r>
      <w:r>
        <w:rPr>
          <w:i/>
          <w:color w:val="010101"/>
          <w:sz w:val="22"/>
        </w:rPr>
        <w:t>t  </w:t>
      </w:r>
      <w:r>
        <w:rPr>
          <w:color w:val="010101"/>
          <w:sz w:val="24"/>
        </w:rPr>
        <w:t>&lt;  </w:t>
      </w:r>
      <w:r>
        <w:rPr>
          <w:i/>
          <w:color w:val="010101"/>
          <w:sz w:val="21"/>
        </w:rPr>
        <w:t>n, </w:t>
      </w:r>
      <w:r>
        <w:rPr>
          <w:color w:val="010101"/>
          <w:sz w:val="21"/>
        </w:rPr>
        <w:t>can  readily  </w:t>
      </w:r>
      <w:r>
        <w:rPr>
          <w:color w:val="010101"/>
          <w:sz w:val="19"/>
        </w:rPr>
        <w:t>be  </w:t>
      </w:r>
      <w:r>
        <w:rPr>
          <w:color w:val="010101"/>
          <w:sz w:val="21"/>
        </w:rPr>
        <w:t>derived  by</w:t>
      </w:r>
      <w:r>
        <w:rPr>
          <w:color w:val="010101"/>
          <w:spacing w:val="32"/>
          <w:sz w:val="21"/>
        </w:rPr>
        <w:t> </w:t>
      </w:r>
      <w:r>
        <w:rPr>
          <w:color w:val="010101"/>
          <w:sz w:val="21"/>
        </w:rPr>
        <w:t>as­</w:t>
      </w:r>
    </w:p>
    <w:p>
      <w:pPr>
        <w:spacing w:line="148" w:lineRule="auto" w:before="72"/>
        <w:ind w:left="622" w:right="36" w:hanging="11"/>
        <w:jc w:val="left"/>
        <w:rPr>
          <w:sz w:val="21"/>
        </w:rPr>
      </w:pPr>
      <w:r>
        <w:rPr>
          <w:color w:val="010101"/>
          <w:sz w:val="21"/>
        </w:rPr>
        <w:t>suming a uniform distribution of deaths during the year of age. During  thc age interval  </w:t>
      </w:r>
      <w:r>
        <w:rPr>
          <w:i/>
          <w:color w:val="010101"/>
          <w:sz w:val="19"/>
        </w:rPr>
        <w:t>x  </w:t>
      </w:r>
      <w:r>
        <w:rPr>
          <w:rFonts w:ascii="Arial"/>
          <w:color w:val="010101"/>
          <w:sz w:val="31"/>
        </w:rPr>
        <w:t>+ </w:t>
      </w:r>
      <w:r>
        <w:rPr>
          <w:rFonts w:ascii="Arial"/>
          <w:i/>
          <w:color w:val="010101"/>
          <w:sz w:val="17"/>
        </w:rPr>
        <w:t>t  </w:t>
      </w:r>
      <w:r>
        <w:rPr>
          <w:color w:val="010101"/>
          <w:sz w:val="21"/>
        </w:rPr>
        <w:t>to </w:t>
      </w:r>
      <w:r>
        <w:rPr>
          <w:i/>
          <w:color w:val="010101"/>
          <w:sz w:val="19"/>
        </w:rPr>
        <w:t>x  </w:t>
      </w:r>
      <w:r>
        <w:rPr>
          <w:rFonts w:ascii="Arial"/>
          <w:color w:val="010101"/>
          <w:sz w:val="31"/>
        </w:rPr>
        <w:t>+ </w:t>
      </w:r>
      <w:r>
        <w:rPr>
          <w:i/>
          <w:color w:val="010101"/>
          <w:sz w:val="22"/>
        </w:rPr>
        <w:t>t  </w:t>
      </w:r>
      <w:r>
        <w:rPr>
          <w:rFonts w:ascii="Arial"/>
          <w:color w:val="010101"/>
          <w:sz w:val="31"/>
        </w:rPr>
        <w:t>+ </w:t>
      </w:r>
      <w:r>
        <w:rPr>
          <w:i/>
          <w:color w:val="010101"/>
          <w:sz w:val="19"/>
        </w:rPr>
        <w:t>I / m, </w:t>
      </w:r>
      <w:r>
        <w:rPr>
          <w:color w:val="010101"/>
          <w:sz w:val="21"/>
        </w:rPr>
        <w:t>the  death benefit</w:t>
      </w:r>
    </w:p>
    <w:p>
      <w:pPr>
        <w:spacing w:before="0"/>
        <w:ind w:left="615" w:right="0" w:firstLine="10"/>
        <w:jc w:val="left"/>
        <w:rPr>
          <w:sz w:val="21"/>
        </w:rPr>
      </w:pPr>
      <w:r>
        <w:rPr>
          <w:rFonts w:ascii="Arial"/>
          <w:color w:val="010101"/>
          <w:w w:val="105"/>
          <w:sz w:val="19"/>
        </w:rPr>
        <w:t>is </w:t>
      </w:r>
      <w:r>
        <w:rPr>
          <w:rFonts w:ascii="Arial"/>
          <w:i/>
          <w:color w:val="010101"/>
          <w:w w:val="105"/>
          <w:sz w:val="20"/>
        </w:rPr>
        <w:t>G </w:t>
      </w:r>
      <w:r>
        <w:rPr>
          <w:rFonts w:ascii="Arial"/>
          <w:color w:val="010101"/>
          <w:w w:val="225"/>
          <w:sz w:val="20"/>
        </w:rPr>
        <w:t>- </w:t>
      </w:r>
      <w:r>
        <w:rPr>
          <w:i/>
          <w:color w:val="010101"/>
          <w:w w:val="105"/>
          <w:sz w:val="21"/>
        </w:rPr>
        <w:t>t, </w:t>
      </w:r>
      <w:r>
        <w:rPr>
          <w:color w:val="010101"/>
          <w:w w:val="105"/>
          <w:sz w:val="21"/>
        </w:rPr>
        <w:t>and, with a uniform  distribution  of deaths, the present</w:t>
      </w:r>
    </w:p>
    <w:p>
      <w:pPr>
        <w:spacing w:line="213" w:lineRule="exact" w:before="103"/>
        <w:ind w:left="615" w:right="0" w:firstLine="0"/>
        <w:jc w:val="left"/>
        <w:rPr>
          <w:sz w:val="20"/>
        </w:rPr>
      </w:pPr>
      <w:r>
        <w:rPr/>
        <w:pict>
          <v:line style="position:absolute;mso-position-horizontal-relative:page;mso-position-vertical-relative:paragraph;z-index:-723976" from="282.831512pt,18.907625pt" to="301.675012pt,18.907625pt" stroked="true" strokeweight="7.178465pt" strokecolor="#000000">
            <w10:wrap type="none"/>
          </v:line>
        </w:pict>
      </w:r>
      <w:r>
        <w:rPr>
          <w:b/>
          <w:color w:val="010101"/>
          <w:w w:val="105"/>
          <w:sz w:val="20"/>
        </w:rPr>
        <w:t>value  </w:t>
      </w:r>
      <w:r>
        <w:rPr>
          <w:color w:val="010101"/>
          <w:w w:val="105"/>
          <w:sz w:val="21"/>
        </w:rPr>
        <w:t>at agc </w:t>
      </w:r>
      <w:r>
        <w:rPr>
          <w:rFonts w:ascii="Arial"/>
          <w:i/>
          <w:color w:val="010101"/>
          <w:w w:val="105"/>
          <w:sz w:val="16"/>
        </w:rPr>
        <w:t>x  </w:t>
      </w:r>
      <w:r>
        <w:rPr>
          <w:color w:val="010101"/>
          <w:w w:val="105"/>
          <w:sz w:val="21"/>
        </w:rPr>
        <w:t>of  the  insurance  for this period  </w:t>
      </w:r>
      <w:r>
        <w:rPr>
          <w:rFonts w:ascii="Arial"/>
          <w:color w:val="010101"/>
          <w:w w:val="105"/>
          <w:sz w:val="19"/>
        </w:rPr>
        <w:t>is </w:t>
      </w:r>
      <w:r>
        <w:rPr>
          <w:i/>
          <w:color w:val="010101"/>
          <w:w w:val="105"/>
          <w:sz w:val="20"/>
        </w:rPr>
        <w:t>(G  </w:t>
      </w:r>
      <w:r>
        <w:rPr>
          <w:color w:val="010101"/>
          <w:w w:val="240"/>
          <w:sz w:val="20"/>
        </w:rPr>
        <w:t>- </w:t>
      </w:r>
      <w:r>
        <w:rPr>
          <w:i/>
          <w:color w:val="010101"/>
          <w:w w:val="105"/>
          <w:sz w:val="20"/>
        </w:rPr>
        <w:t>)Cz+t </w:t>
      </w:r>
      <w:r>
        <w:rPr>
          <w:color w:val="010101"/>
          <w:w w:val="105"/>
          <w:sz w:val="20"/>
        </w:rPr>
        <w:t>.</w:t>
      </w:r>
    </w:p>
    <w:p>
      <w:pPr>
        <w:spacing w:line="128" w:lineRule="exact" w:before="0"/>
        <w:ind w:left="0" w:right="606" w:firstLine="0"/>
        <w:jc w:val="right"/>
        <w:rPr>
          <w:rFonts w:ascii="Courier New"/>
          <w:i/>
          <w:sz w:val="12"/>
        </w:rPr>
      </w:pPr>
      <w:r>
        <w:rPr>
          <w:rFonts w:ascii="Arial"/>
          <w:i/>
          <w:color w:val="010101"/>
          <w:w w:val="110"/>
          <w:sz w:val="18"/>
        </w:rPr>
        <w:t>m  </w:t>
      </w:r>
      <w:r>
        <w:rPr>
          <w:rFonts w:ascii="Courier New"/>
          <w:i/>
          <w:color w:val="010101"/>
          <w:w w:val="110"/>
          <w:sz w:val="12"/>
        </w:rPr>
        <w:t>z</w:t>
      </w:r>
    </w:p>
    <w:p>
      <w:pPr>
        <w:spacing w:line="285" w:lineRule="exact" w:before="0"/>
        <w:ind w:left="615" w:right="0" w:firstLine="3"/>
        <w:jc w:val="left"/>
        <w:rPr>
          <w:sz w:val="21"/>
        </w:rPr>
      </w:pPr>
      <w:r>
        <w:rPr>
          <w:b/>
          <w:color w:val="010101"/>
          <w:w w:val="105"/>
          <w:sz w:val="21"/>
        </w:rPr>
        <w:t>During  </w:t>
      </w:r>
      <w:r>
        <w:rPr>
          <w:color w:val="010101"/>
          <w:w w:val="105"/>
          <w:sz w:val="21"/>
        </w:rPr>
        <w:t>the  age  interval  </w:t>
      </w:r>
      <w:r>
        <w:rPr>
          <w:i/>
          <w:color w:val="010101"/>
          <w:w w:val="105"/>
          <w:sz w:val="19"/>
        </w:rPr>
        <w:t>x   </w:t>
      </w:r>
      <w:r>
        <w:rPr>
          <w:rFonts w:ascii="Arial"/>
          <w:color w:val="010101"/>
          <w:w w:val="105"/>
          <w:sz w:val="31"/>
        </w:rPr>
        <w:t>+ </w:t>
      </w:r>
      <w:r>
        <w:rPr>
          <w:rFonts w:ascii="Arial"/>
          <w:i/>
          <w:color w:val="010101"/>
          <w:w w:val="105"/>
          <w:sz w:val="18"/>
        </w:rPr>
        <w:t>t   </w:t>
      </w:r>
      <w:r>
        <w:rPr>
          <w:rFonts w:ascii="Arial"/>
          <w:color w:val="010101"/>
          <w:w w:val="105"/>
          <w:sz w:val="31"/>
        </w:rPr>
        <w:t>+ </w:t>
      </w:r>
      <w:r>
        <w:rPr>
          <w:color w:val="010101"/>
          <w:w w:val="105"/>
          <w:sz w:val="21"/>
        </w:rPr>
        <w:t>1/m  to  </w:t>
      </w:r>
      <w:r>
        <w:rPr>
          <w:i/>
          <w:color w:val="010101"/>
          <w:w w:val="105"/>
          <w:sz w:val="19"/>
        </w:rPr>
        <w:t>x   </w:t>
      </w:r>
      <w:r>
        <w:rPr>
          <w:rFonts w:ascii="Arial"/>
          <w:color w:val="010101"/>
          <w:w w:val="105"/>
          <w:sz w:val="31"/>
        </w:rPr>
        <w:t>+ </w:t>
      </w:r>
      <w:r>
        <w:rPr>
          <w:i/>
          <w:color w:val="010101"/>
          <w:w w:val="105"/>
          <w:sz w:val="22"/>
        </w:rPr>
        <w:t>t   </w:t>
      </w:r>
      <w:r>
        <w:rPr>
          <w:color w:val="010101"/>
          <w:w w:val="105"/>
          <w:sz w:val="29"/>
        </w:rPr>
        <w:t>+    </w:t>
      </w:r>
      <w:r>
        <w:rPr>
          <w:color w:val="010101"/>
          <w:w w:val="105"/>
          <w:sz w:val="21"/>
        </w:rPr>
        <w:t>2/m,</w:t>
      </w:r>
    </w:p>
    <w:p>
      <w:pPr>
        <w:spacing w:line="232" w:lineRule="exact" w:before="0"/>
        <w:ind w:left="615" w:right="0" w:firstLine="0"/>
        <w:jc w:val="left"/>
        <w:rPr>
          <w:rFonts w:ascii="Arial"/>
          <w:i/>
          <w:sz w:val="17"/>
        </w:rPr>
      </w:pPr>
      <w:r>
        <w:rPr>
          <w:color w:val="010101"/>
          <w:w w:val="105"/>
          <w:sz w:val="22"/>
        </w:rPr>
        <w:t>the </w:t>
      </w:r>
      <w:r>
        <w:rPr>
          <w:color w:val="010101"/>
          <w:w w:val="105"/>
          <w:sz w:val="21"/>
        </w:rPr>
        <w:t>death benefit is </w:t>
      </w:r>
      <w:r>
        <w:rPr>
          <w:rFonts w:ascii="Arial"/>
          <w:i/>
          <w:color w:val="010101"/>
          <w:w w:val="105"/>
          <w:sz w:val="20"/>
        </w:rPr>
        <w:t>G </w:t>
      </w:r>
      <w:r>
        <w:rPr>
          <w:rFonts w:ascii="Arial"/>
          <w:color w:val="010101"/>
          <w:w w:val="225"/>
          <w:sz w:val="20"/>
        </w:rPr>
        <w:t>-</w:t>
      </w:r>
      <w:r>
        <w:rPr>
          <w:rFonts w:ascii="Arial"/>
          <w:color w:val="010101"/>
          <w:spacing w:val="-70"/>
          <w:w w:val="225"/>
          <w:sz w:val="20"/>
        </w:rPr>
        <w:t> </w:t>
      </w:r>
      <w:r>
        <w:rPr>
          <w:i/>
          <w:color w:val="010101"/>
          <w:w w:val="105"/>
          <w:sz w:val="22"/>
        </w:rPr>
        <w:t>t </w:t>
      </w:r>
      <w:r>
        <w:rPr>
          <w:color w:val="010101"/>
          <w:w w:val="225"/>
          <w:sz w:val="22"/>
        </w:rPr>
        <w:t>-</w:t>
      </w:r>
      <w:r>
        <w:rPr>
          <w:color w:val="010101"/>
          <w:spacing w:val="-69"/>
          <w:w w:val="225"/>
          <w:sz w:val="22"/>
        </w:rPr>
        <w:t> </w:t>
      </w:r>
      <w:r>
        <w:rPr>
          <w:color w:val="010101"/>
          <w:w w:val="105"/>
          <w:sz w:val="21"/>
        </w:rPr>
        <w:t>1/m, and has a present value at age </w:t>
      </w:r>
      <w:r>
        <w:rPr>
          <w:rFonts w:ascii="Arial"/>
          <w:i/>
          <w:color w:val="010101"/>
          <w:w w:val="105"/>
          <w:sz w:val="17"/>
        </w:rPr>
        <w:t>x</w:t>
      </w:r>
    </w:p>
    <w:p>
      <w:pPr>
        <w:spacing w:after="0" w:line="232" w:lineRule="exact"/>
        <w:jc w:val="left"/>
        <w:rPr>
          <w:rFonts w:ascii="Arial"/>
          <w:sz w:val="17"/>
        </w:rPr>
        <w:sectPr>
          <w:pgSz w:w="7200" w:h="11340"/>
          <w:pgMar w:top="500" w:bottom="280" w:left="160" w:right="540"/>
        </w:sectPr>
      </w:pPr>
    </w:p>
    <w:p>
      <w:pPr>
        <w:spacing w:line="179" w:lineRule="exact" w:before="0"/>
        <w:ind w:left="880" w:right="0" w:firstLine="0"/>
        <w:jc w:val="left"/>
        <w:rPr>
          <w:sz w:val="21"/>
        </w:rPr>
      </w:pPr>
      <w:r>
        <w:rPr/>
        <w:pict>
          <v:shape style="position:absolute;margin-left:38.584251pt;margin-top:7.28568pt;width:10.4pt;height:11pt;mso-position-horizontal-relative:page;mso-position-vertical-relative:paragraph;z-index:12232" type="#_x0000_t202" filled="false" stroked="false">
            <v:textbox inset="0,0,0,0">
              <w:txbxContent>
                <w:p>
                  <w:pPr>
                    <w:spacing w:line="220" w:lineRule="exact" w:before="0"/>
                    <w:ind w:left="0" w:right="-14" w:firstLine="0"/>
                    <w:jc w:val="left"/>
                    <w:rPr>
                      <w:b/>
                      <w:sz w:val="22"/>
                    </w:rPr>
                  </w:pPr>
                  <w:r>
                    <w:rPr>
                      <w:b/>
                      <w:color w:val="010101"/>
                      <w:w w:val="55"/>
                      <w:sz w:val="22"/>
                    </w:rPr>
                    <w:t>o_f</w:t>
                  </w:r>
                  <w:r>
                    <w:rPr>
                      <w:b/>
                      <w:color w:val="4D4D4D"/>
                      <w:w w:val="55"/>
                      <w:sz w:val="22"/>
                    </w:rPr>
                    <w:t>:</w:t>
                  </w:r>
                </w:p>
              </w:txbxContent>
            </v:textbox>
            <w10:wrap type="none"/>
          </v:shape>
        </w:pict>
      </w:r>
      <w:r>
        <w:rPr>
          <w:rFonts w:ascii="Arial"/>
          <w:b/>
          <w:i/>
          <w:color w:val="010101"/>
          <w:w w:val="110"/>
          <w:sz w:val="20"/>
        </w:rPr>
        <w:t>(G </w:t>
      </w:r>
      <w:r>
        <w:rPr>
          <w:rFonts w:ascii="Arial"/>
          <w:color w:val="010101"/>
          <w:w w:val="235"/>
          <w:sz w:val="20"/>
        </w:rPr>
        <w:t>- </w:t>
      </w:r>
      <w:r>
        <w:rPr>
          <w:i/>
          <w:color w:val="010101"/>
          <w:w w:val="110"/>
          <w:sz w:val="22"/>
        </w:rPr>
        <w:t>t </w:t>
      </w:r>
      <w:r>
        <w:rPr>
          <w:color w:val="010101"/>
          <w:w w:val="235"/>
          <w:sz w:val="22"/>
        </w:rPr>
        <w:t>- </w:t>
      </w:r>
      <w:r>
        <w:rPr>
          <w:color w:val="010101"/>
          <w:w w:val="110"/>
          <w:sz w:val="21"/>
        </w:rPr>
        <w:t>1/m)C </w:t>
      </w:r>
      <w:r>
        <w:rPr>
          <w:color w:val="010101"/>
          <w:w w:val="150"/>
          <w:sz w:val="21"/>
        </w:rPr>
        <w:t>,</w:t>
      </w:r>
    </w:p>
    <w:p>
      <w:pPr>
        <w:tabs>
          <w:tab w:pos="2395" w:val="left" w:leader="none"/>
        </w:tabs>
        <w:spacing w:line="191" w:lineRule="exact" w:before="0"/>
        <w:ind w:left="1534" w:right="0" w:firstLine="0"/>
        <w:jc w:val="left"/>
        <w:rPr>
          <w:rFonts w:ascii="Arial" w:hAnsi="Arial"/>
          <w:sz w:val="20"/>
        </w:rPr>
      </w:pPr>
      <w:r>
        <w:rPr/>
        <w:pict>
          <v:line style="position:absolute;mso-position-horizontal-relative:page;mso-position-vertical-relative:paragraph;z-index:12112" from="84.705879pt,10.956175pt" to="104.087699pt,10.956175pt" stroked="true" strokeweight="5.024925pt" strokecolor="#000000">
            <w10:wrap type="none"/>
          </v:line>
        </w:pict>
      </w:r>
      <w:r>
        <w:rPr>
          <w:b/>
          <w:i/>
          <w:color w:val="010101"/>
          <w:sz w:val="22"/>
        </w:rPr>
        <w:t>mD,,</w:t>
        <w:tab/>
      </w:r>
      <w:r>
        <w:rPr>
          <w:rFonts w:ascii="Arial" w:hAnsi="Arial"/>
          <w:color w:val="010101"/>
          <w:sz w:val="20"/>
        </w:rPr>
        <w:t>•+</w:t>
      </w:r>
      <w:r>
        <w:rPr>
          <w:rFonts w:ascii="Arial" w:hAnsi="Arial"/>
          <w:color w:val="010101"/>
          <w:spacing w:val="12"/>
          <w:sz w:val="20"/>
        </w:rPr>
        <w:t> </w:t>
      </w:r>
      <w:r>
        <w:rPr>
          <w:rFonts w:ascii="Arial" w:hAnsi="Arial"/>
          <w:color w:val="010101"/>
          <w:w w:val="115"/>
          <w:sz w:val="20"/>
        </w:rPr>
        <w:t>.</w:t>
      </w:r>
    </w:p>
    <w:p>
      <w:pPr>
        <w:spacing w:before="126"/>
        <w:ind w:left="-1" w:right="0" w:firstLine="0"/>
        <w:jc w:val="left"/>
        <w:rPr>
          <w:sz w:val="21"/>
        </w:rPr>
      </w:pPr>
      <w:r>
        <w:rPr/>
        <w:br w:type="column"/>
      </w:r>
      <w:r>
        <w:rPr>
          <w:color w:val="010101"/>
          <w:sz w:val="21"/>
        </w:rPr>
        <w:t>Proceeding  throughout  the year of  age in</w:t>
      </w:r>
    </w:p>
    <w:p>
      <w:pPr>
        <w:spacing w:after="0"/>
        <w:jc w:val="left"/>
        <w:rPr>
          <w:sz w:val="21"/>
        </w:rPr>
        <w:sectPr>
          <w:type w:val="continuous"/>
          <w:pgSz w:w="7200" w:h="11340"/>
          <w:pgMar w:top="1100" w:bottom="0" w:left="160" w:right="540"/>
          <w:cols w:num="2" w:equalWidth="0">
            <w:col w:w="2715" w:space="40"/>
            <w:col w:w="3745"/>
          </w:cols>
        </w:sectPr>
      </w:pPr>
    </w:p>
    <w:p>
      <w:pPr>
        <w:spacing w:line="210" w:lineRule="exact" w:before="105"/>
        <w:ind w:left="611" w:right="0" w:firstLine="0"/>
        <w:jc w:val="left"/>
        <w:rPr>
          <w:sz w:val="21"/>
        </w:rPr>
      </w:pPr>
      <w:r>
        <w:rPr>
          <w:color w:val="010101"/>
          <w:sz w:val="21"/>
        </w:rPr>
        <w:t>this way  and summing the results, we  obtain</w:t>
      </w:r>
    </w:p>
    <w:p>
      <w:pPr>
        <w:tabs>
          <w:tab w:pos="1627" w:val="left" w:leader="none"/>
        </w:tabs>
        <w:spacing w:line="478" w:lineRule="exact" w:before="0"/>
        <w:ind w:left="920" w:right="0" w:firstLine="0"/>
        <w:jc w:val="left"/>
        <w:rPr>
          <w:sz w:val="46"/>
        </w:rPr>
      </w:pPr>
      <w:r>
        <w:rPr/>
        <w:pict>
          <v:shape style="position:absolute;margin-left:272.781708pt;margin-top:21.778845pt;width:37.7pt;height:10.25pt;mso-position-horizontal-relative:page;mso-position-vertical-relative:paragraph;z-index:-723856" type="#_x0000_t202" filled="true" fillcolor="#000000" stroked="false">
            <v:textbox inset="0,0,0,0">
              <w:txbxContent>
                <w:p>
                  <w:pPr>
                    <w:spacing w:line="205" w:lineRule="exact" w:before="0"/>
                    <w:ind w:left="61" w:right="0" w:firstLine="0"/>
                    <w:jc w:val="left"/>
                    <w:rPr>
                      <w:sz w:val="21"/>
                    </w:rPr>
                  </w:pPr>
                  <w:r>
                    <w:rPr>
                      <w:color w:val="010101"/>
                      <w:sz w:val="21"/>
                    </w:rPr>
                    <w:t>2m</w:t>
                  </w:r>
                </w:p>
              </w:txbxContent>
            </v:textbox>
            <v:fill type="solid"/>
            <w10:wrap type="none"/>
          </v:shape>
        </w:pict>
      </w:r>
      <w:r>
        <w:rPr>
          <w:i/>
          <w:color w:val="010101"/>
          <w:w w:val="110"/>
          <w:sz w:val="22"/>
        </w:rPr>
        <w:t>Ctt,</w:t>
        <w:tab/>
      </w:r>
      <w:r>
        <w:rPr>
          <w:color w:val="010101"/>
          <w:w w:val="135"/>
          <w:sz w:val="12"/>
        </w:rPr>
        <w:t>1</w:t>
      </w:r>
      <w:r>
        <w:rPr>
          <w:color w:val="010101"/>
          <w:spacing w:val="-23"/>
          <w:w w:val="135"/>
          <w:sz w:val="12"/>
        </w:rPr>
        <w:t> </w:t>
      </w:r>
      <w:r>
        <w:rPr>
          <w:i/>
          <w:color w:val="010101"/>
          <w:spacing w:val="10"/>
          <w:w w:val="80"/>
          <w:sz w:val="50"/>
        </w:rPr>
        <w:t>(a</w:t>
      </w:r>
      <w:r>
        <w:rPr>
          <w:i/>
          <w:color w:val="010101"/>
          <w:spacing w:val="-39"/>
          <w:w w:val="80"/>
          <w:sz w:val="50"/>
        </w:rPr>
        <w:t> </w:t>
      </w:r>
      <w:r>
        <w:rPr>
          <w:color w:val="010101"/>
          <w:w w:val="110"/>
          <w:sz w:val="50"/>
        </w:rPr>
        <w:t>-</w:t>
      </w:r>
      <w:r>
        <w:rPr>
          <w:color w:val="010101"/>
          <w:spacing w:val="-104"/>
          <w:w w:val="110"/>
          <w:sz w:val="50"/>
        </w:rPr>
        <w:t> </w:t>
      </w:r>
      <w:r>
        <w:rPr>
          <w:rFonts w:ascii="Arial"/>
          <w:i/>
          <w:color w:val="010101"/>
          <w:w w:val="110"/>
          <w:sz w:val="17"/>
        </w:rPr>
        <w:t>t</w:t>
      </w:r>
      <w:r>
        <w:rPr>
          <w:rFonts w:ascii="Arial"/>
          <w:i/>
          <w:color w:val="010101"/>
          <w:spacing w:val="9"/>
          <w:w w:val="110"/>
          <w:sz w:val="17"/>
        </w:rPr>
        <w:t> </w:t>
      </w:r>
      <w:r>
        <w:rPr>
          <w:rFonts w:ascii="Arial"/>
          <w:color w:val="010101"/>
          <w:w w:val="280"/>
          <w:sz w:val="17"/>
        </w:rPr>
        <w:t>-</w:t>
      </w:r>
      <w:r>
        <w:rPr>
          <w:rFonts w:ascii="Arial"/>
          <w:color w:val="010101"/>
          <w:spacing w:val="-90"/>
          <w:w w:val="280"/>
          <w:sz w:val="17"/>
        </w:rPr>
        <w:t> </w:t>
      </w:r>
      <w:r>
        <w:rPr>
          <w:rFonts w:ascii="Arial"/>
          <w:i/>
          <w:color w:val="010101"/>
          <w:spacing w:val="10"/>
          <w:w w:val="105"/>
          <w:sz w:val="49"/>
        </w:rPr>
        <w:t>i)</w:t>
      </w:r>
      <w:r>
        <w:rPr>
          <w:rFonts w:ascii="Arial"/>
          <w:i/>
          <w:color w:val="010101"/>
          <w:spacing w:val="-75"/>
          <w:w w:val="105"/>
          <w:sz w:val="49"/>
        </w:rPr>
        <w:t> </w:t>
      </w:r>
      <w:r>
        <w:rPr>
          <w:color w:val="010101"/>
          <w:w w:val="110"/>
          <w:sz w:val="24"/>
        </w:rPr>
        <w:t>=</w:t>
      </w:r>
      <w:r>
        <w:rPr>
          <w:color w:val="010101"/>
          <w:spacing w:val="-1"/>
          <w:w w:val="110"/>
          <w:sz w:val="24"/>
        </w:rPr>
        <w:t> </w:t>
      </w:r>
      <w:r>
        <w:rPr>
          <w:i/>
          <w:color w:val="010101"/>
          <w:spacing w:val="-3"/>
          <w:w w:val="110"/>
          <w:sz w:val="22"/>
        </w:rPr>
        <w:t>C""'</w:t>
      </w:r>
      <w:r>
        <w:rPr>
          <w:i/>
          <w:color w:val="010101"/>
          <w:spacing w:val="-11"/>
          <w:w w:val="110"/>
          <w:sz w:val="22"/>
        </w:rPr>
        <w:t> </w:t>
      </w:r>
      <w:r>
        <w:rPr>
          <w:i/>
          <w:color w:val="010101"/>
          <w:w w:val="110"/>
          <w:sz w:val="22"/>
        </w:rPr>
        <w:t>[</w:t>
      </w:r>
      <w:r>
        <w:rPr>
          <w:i/>
          <w:color w:val="010101"/>
          <w:spacing w:val="-41"/>
          <w:w w:val="110"/>
          <w:sz w:val="22"/>
        </w:rPr>
        <w:t> </w:t>
      </w:r>
      <w:r>
        <w:rPr>
          <w:i/>
          <w:color w:val="010101"/>
          <w:w w:val="105"/>
          <w:sz w:val="22"/>
        </w:rPr>
        <w:t>mG</w:t>
      </w:r>
      <w:r>
        <w:rPr>
          <w:i/>
          <w:color w:val="010101"/>
          <w:spacing w:val="5"/>
          <w:w w:val="105"/>
          <w:sz w:val="22"/>
        </w:rPr>
        <w:t> </w:t>
      </w:r>
      <w:r>
        <w:rPr>
          <w:color w:val="010101"/>
          <w:w w:val="235"/>
          <w:sz w:val="22"/>
        </w:rPr>
        <w:t>-</w:t>
      </w:r>
      <w:r>
        <w:rPr>
          <w:color w:val="010101"/>
          <w:spacing w:val="-100"/>
          <w:w w:val="235"/>
          <w:sz w:val="22"/>
        </w:rPr>
        <w:t> </w:t>
      </w:r>
      <w:r>
        <w:rPr>
          <w:i/>
          <w:color w:val="010101"/>
          <w:w w:val="105"/>
          <w:sz w:val="22"/>
        </w:rPr>
        <w:t>mt</w:t>
      </w:r>
      <w:r>
        <w:rPr>
          <w:i/>
          <w:color w:val="010101"/>
          <w:spacing w:val="6"/>
          <w:w w:val="105"/>
          <w:sz w:val="22"/>
        </w:rPr>
        <w:t> </w:t>
      </w:r>
      <w:r>
        <w:rPr>
          <w:color w:val="010101"/>
          <w:w w:val="235"/>
          <w:sz w:val="22"/>
        </w:rPr>
        <w:t>-</w:t>
      </w:r>
      <w:r>
        <w:rPr>
          <w:color w:val="010101"/>
          <w:spacing w:val="-100"/>
          <w:w w:val="235"/>
          <w:sz w:val="22"/>
        </w:rPr>
        <w:t> </w:t>
      </w:r>
      <w:r>
        <w:rPr>
          <w:i/>
          <w:color w:val="010101"/>
          <w:w w:val="105"/>
          <w:sz w:val="22"/>
        </w:rPr>
        <w:t>m(</w:t>
      </w:r>
      <w:r>
        <w:rPr>
          <w:i/>
          <w:color w:val="010101"/>
          <w:spacing w:val="-28"/>
          <w:w w:val="105"/>
          <w:sz w:val="22"/>
        </w:rPr>
        <w:t> </w:t>
      </w:r>
      <w:r>
        <w:rPr>
          <w:i/>
          <w:color w:val="010101"/>
          <w:w w:val="110"/>
          <w:sz w:val="22"/>
        </w:rPr>
        <w:t>m</w:t>
      </w:r>
      <w:r>
        <w:rPr>
          <w:i/>
          <w:color w:val="010101"/>
          <w:spacing w:val="-3"/>
          <w:w w:val="110"/>
          <w:sz w:val="22"/>
        </w:rPr>
        <w:t> </w:t>
      </w:r>
      <w:r>
        <w:rPr>
          <w:color w:val="010101"/>
          <w:w w:val="235"/>
          <w:sz w:val="22"/>
        </w:rPr>
        <w:t>-</w:t>
      </w:r>
      <w:r>
        <w:rPr>
          <w:color w:val="010101"/>
          <w:spacing w:val="-85"/>
          <w:w w:val="235"/>
          <w:sz w:val="22"/>
        </w:rPr>
        <w:t> </w:t>
      </w:r>
      <w:r>
        <w:rPr>
          <w:color w:val="010101"/>
          <w:w w:val="80"/>
          <w:sz w:val="46"/>
        </w:rPr>
        <w:t>l</w:t>
      </w:r>
      <w:r>
        <w:rPr>
          <w:color w:val="010101"/>
          <w:spacing w:val="-69"/>
          <w:w w:val="80"/>
          <w:sz w:val="46"/>
        </w:rPr>
        <w:t> </w:t>
      </w:r>
      <w:r>
        <w:rPr>
          <w:color w:val="010101"/>
          <w:w w:val="80"/>
          <w:sz w:val="46"/>
        </w:rPr>
        <w:t>)J</w:t>
      </w:r>
    </w:p>
    <w:p>
      <w:pPr>
        <w:tabs>
          <w:tab w:pos="2707" w:val="left" w:leader="none"/>
          <w:tab w:pos="3303" w:val="left" w:leader="none"/>
        </w:tabs>
        <w:spacing w:line="121" w:lineRule="exact" w:before="0"/>
        <w:ind w:left="909" w:right="0" w:firstLine="0"/>
        <w:jc w:val="left"/>
        <w:rPr>
          <w:i/>
          <w:sz w:val="21"/>
        </w:rPr>
      </w:pPr>
      <w:r>
        <w:rPr>
          <w:i/>
          <w:color w:val="010101"/>
          <w:w w:val="96"/>
          <w:sz w:val="21"/>
        </w:rPr>
        <w:t>mDz</w:t>
      </w:r>
      <w:r>
        <w:rPr>
          <w:i/>
          <w:color w:val="010101"/>
          <w:sz w:val="21"/>
        </w:rPr>
        <w:t>  </w:t>
      </w:r>
      <w:r>
        <w:rPr>
          <w:i/>
          <w:color w:val="010101"/>
          <w:spacing w:val="-15"/>
          <w:sz w:val="21"/>
        </w:rPr>
        <w:t> </w:t>
      </w:r>
      <w:r>
        <w:rPr>
          <w:color w:val="010101"/>
          <w:w w:val="155"/>
          <w:sz w:val="18"/>
        </w:rPr>
        <w:t>i</w:t>
      </w:r>
      <w:r>
        <w:rPr>
          <w:color w:val="010101"/>
          <w:spacing w:val="-10"/>
          <w:w w:val="155"/>
          <w:sz w:val="18"/>
        </w:rPr>
        <w:t>-</w:t>
      </w:r>
      <w:r>
        <w:rPr>
          <w:color w:val="010101"/>
          <w:w w:val="72"/>
          <w:sz w:val="18"/>
        </w:rPr>
        <w:t>o</w:t>
      </w:r>
      <w:r>
        <w:rPr>
          <w:color w:val="010101"/>
          <w:sz w:val="18"/>
        </w:rPr>
        <w:tab/>
      </w:r>
      <w:r>
        <w:rPr>
          <w:i/>
          <w:color w:val="010101"/>
          <w:w w:val="108"/>
          <w:sz w:val="21"/>
        </w:rPr>
        <w:t>m</w:t>
      </w:r>
      <w:r>
        <w:rPr>
          <w:i/>
          <w:color w:val="010101"/>
          <w:sz w:val="21"/>
        </w:rPr>
        <w:tab/>
      </w:r>
      <w:r>
        <w:rPr>
          <w:i/>
          <w:color w:val="010101"/>
          <w:w w:val="94"/>
          <w:sz w:val="21"/>
        </w:rPr>
        <w:t>mDz</w:t>
      </w:r>
    </w:p>
    <w:p>
      <w:pPr>
        <w:tabs>
          <w:tab w:pos="4110" w:val="left" w:leader="none"/>
        </w:tabs>
        <w:spacing w:line="465" w:lineRule="exact" w:before="0"/>
        <w:ind w:left="1993" w:right="0" w:firstLine="0"/>
        <w:jc w:val="center"/>
        <w:rPr>
          <w:sz w:val="50"/>
        </w:rPr>
      </w:pPr>
      <w:r>
        <w:rPr/>
        <w:pict>
          <v:line style="position:absolute;mso-position-horizontal-relative:page;mso-position-vertical-relative:paragraph;z-index:12136" from="69.272179pt,.736701pt" to="71.964109pt,.736701pt" stroked="true" strokeweight=".538385pt" strokecolor="#000000">
            <w10:wrap type="none"/>
          </v:line>
        </w:pict>
      </w:r>
      <w:r>
        <w:rPr>
          <w:color w:val="010101"/>
          <w:sz w:val="24"/>
        </w:rPr>
        <w:t>= </w:t>
      </w:r>
      <w:r>
        <w:rPr>
          <w:color w:val="010101"/>
          <w:sz w:val="21"/>
          <w:u w:val="single" w:color="000000"/>
        </w:rPr>
        <w:t>CsH </w:t>
      </w:r>
      <w:r>
        <w:rPr>
          <w:i/>
          <w:color w:val="010101"/>
          <w:spacing w:val="10"/>
          <w:w w:val="80"/>
          <w:sz w:val="50"/>
        </w:rPr>
        <w:t>(a </w:t>
      </w:r>
      <w:r>
        <w:rPr>
          <w:color w:val="010101"/>
          <w:w w:val="80"/>
          <w:sz w:val="50"/>
        </w:rPr>
        <w:t>_ </w:t>
      </w:r>
      <w:r>
        <w:rPr>
          <w:i/>
          <w:color w:val="010101"/>
          <w:sz w:val="22"/>
        </w:rPr>
        <w:t>t </w:t>
      </w:r>
      <w:r>
        <w:rPr>
          <w:color w:val="010101"/>
          <w:w w:val="105"/>
          <w:sz w:val="22"/>
        </w:rPr>
        <w:t>_</w:t>
      </w:r>
      <w:r>
        <w:rPr>
          <w:color w:val="010101"/>
          <w:spacing w:val="-2"/>
          <w:w w:val="105"/>
          <w:sz w:val="22"/>
        </w:rPr>
        <w:t> </w:t>
      </w:r>
      <w:r>
        <w:rPr>
          <w:rFonts w:ascii="Arial"/>
          <w:i/>
          <w:color w:val="010101"/>
          <w:sz w:val="18"/>
          <w:u w:val="single" w:color="000000"/>
        </w:rPr>
        <w:t>m</w:t>
      </w:r>
      <w:r>
        <w:rPr>
          <w:rFonts w:ascii="Arial"/>
          <w:i/>
          <w:color w:val="010101"/>
          <w:spacing w:val="-14"/>
          <w:sz w:val="18"/>
          <w:u w:val="single" w:color="000000"/>
        </w:rPr>
        <w:t> </w:t>
      </w:r>
      <w:r>
        <w:rPr>
          <w:rFonts w:ascii="Arial"/>
          <w:color w:val="010101"/>
          <w:w w:val="270"/>
          <w:sz w:val="18"/>
          <w:u w:val="single" w:color="000000"/>
        </w:rPr>
        <w:t>-</w:t>
      </w:r>
      <w:r>
        <w:rPr>
          <w:rFonts w:ascii="Arial"/>
          <w:color w:val="010101"/>
          <w:w w:val="270"/>
          <w:sz w:val="18"/>
        </w:rPr>
        <w:tab/>
      </w:r>
      <w:r>
        <w:rPr>
          <w:color w:val="010101"/>
          <w:w w:val="80"/>
          <w:sz w:val="50"/>
          <w:u w:val="single" w:color="000000"/>
        </w:rPr>
        <w:t>1</w:t>
      </w:r>
      <w:r>
        <w:rPr>
          <w:color w:val="010101"/>
          <w:w w:val="80"/>
          <w:sz w:val="50"/>
        </w:rPr>
        <w:t>)</w:t>
      </w:r>
    </w:p>
    <w:p>
      <w:pPr>
        <w:tabs>
          <w:tab w:pos="3469" w:val="left" w:leader="none"/>
        </w:tabs>
        <w:spacing w:line="186" w:lineRule="exact" w:before="0"/>
        <w:ind w:left="1987" w:right="0" w:firstLine="0"/>
        <w:jc w:val="center"/>
        <w:rPr>
          <w:i/>
          <w:sz w:val="20"/>
        </w:rPr>
      </w:pPr>
      <w:r>
        <w:rPr>
          <w:i/>
          <w:color w:val="010101"/>
          <w:sz w:val="21"/>
        </w:rPr>
        <w:t>Dz</w:t>
        <w:tab/>
      </w:r>
      <w:r>
        <w:rPr>
          <w:i/>
          <w:color w:val="010101"/>
          <w:sz w:val="20"/>
        </w:rPr>
        <w:t>2m</w:t>
      </w:r>
    </w:p>
    <w:p>
      <w:pPr>
        <w:spacing w:line="163" w:lineRule="auto" w:before="163"/>
        <w:ind w:left="608" w:right="129" w:firstLine="265"/>
        <w:jc w:val="both"/>
        <w:rPr>
          <w:sz w:val="21"/>
        </w:rPr>
      </w:pPr>
      <w:r>
        <w:rPr/>
        <w:pict>
          <v:shape style="position:absolute;margin-left:38.584251pt;margin-top:41.08012pt;width:122.2pt;height:25pt;mso-position-horizontal-relative:page;mso-position-vertical-relative:paragraph;z-index:-723808" type="#_x0000_t202" filled="false" stroked="false">
            <v:textbox inset="0,0,0,0">
              <w:txbxContent>
                <w:p>
                  <w:pPr>
                    <w:tabs>
                      <w:tab w:pos="750" w:val="left" w:leader="none"/>
                      <w:tab w:pos="2218" w:val="left" w:leader="none"/>
                    </w:tabs>
                    <w:spacing w:line="500" w:lineRule="exact" w:before="0"/>
                    <w:ind w:left="0" w:right="0" w:firstLine="0"/>
                    <w:jc w:val="left"/>
                    <w:rPr>
                      <w:sz w:val="50"/>
                    </w:rPr>
                  </w:pPr>
                  <w:r>
                    <w:rPr>
                      <w:b/>
                      <w:color w:val="010101"/>
                      <w:spacing w:val="-111"/>
                      <w:w w:val="143"/>
                      <w:sz w:val="50"/>
                    </w:rPr>
                    <w:t>t</w:t>
                  </w:r>
                  <w:r>
                    <w:rPr>
                      <w:b/>
                      <w:color w:val="676767"/>
                      <w:w w:val="2"/>
                      <w:sz w:val="50"/>
                    </w:rPr>
                    <w:t>.</w:t>
                  </w:r>
                  <w:r>
                    <w:rPr>
                      <w:b/>
                      <w:color w:val="676767"/>
                      <w:spacing w:val="-88"/>
                      <w:sz w:val="50"/>
                    </w:rPr>
                    <w:t> </w:t>
                  </w:r>
                  <w:r>
                    <w:rPr>
                      <w:b/>
                      <w:color w:val="4D4D4D"/>
                      <w:w w:val="2"/>
                      <w:sz w:val="50"/>
                    </w:rPr>
                    <w:t>.</w:t>
                  </w:r>
                  <w:r>
                    <w:rPr>
                      <w:b/>
                      <w:color w:val="4D4D4D"/>
                      <w:sz w:val="50"/>
                    </w:rPr>
                    <w:tab/>
                  </w:r>
                  <w:r>
                    <w:rPr>
                      <w:i/>
                      <w:color w:val="010101"/>
                      <w:spacing w:val="21"/>
                      <w:w w:val="55"/>
                      <w:sz w:val="50"/>
                    </w:rPr>
                    <w:t>(</w:t>
                  </w:r>
                  <w:r>
                    <w:rPr>
                      <w:i/>
                      <w:color w:val="010101"/>
                      <w:w w:val="54"/>
                      <w:sz w:val="50"/>
                    </w:rPr>
                    <w:t>a</w:t>
                  </w:r>
                  <w:r>
                    <w:rPr>
                      <w:i/>
                      <w:color w:val="010101"/>
                      <w:spacing w:val="-38"/>
                      <w:sz w:val="50"/>
                    </w:rPr>
                    <w:t> </w:t>
                  </w:r>
                  <w:r>
                    <w:rPr>
                      <w:color w:val="010101"/>
                      <w:w w:val="113"/>
                      <w:sz w:val="50"/>
                    </w:rPr>
                    <w:t>-</w:t>
                  </w:r>
                  <w:r>
                    <w:rPr>
                      <w:color w:val="010101"/>
                      <w:sz w:val="50"/>
                    </w:rPr>
                    <w:tab/>
                  </w:r>
                  <w:r>
                    <w:rPr>
                      <w:color w:val="010101"/>
                      <w:w w:val="54"/>
                      <w:sz w:val="50"/>
                    </w:rPr>
                    <w:t>1)</w:t>
                  </w:r>
                </w:p>
              </w:txbxContent>
            </v:textbox>
            <w10:wrap type="none"/>
          </v:shape>
        </w:pict>
      </w:r>
      <w:r>
        <w:rPr>
          <w:color w:val="010101"/>
          <w:w w:val="105"/>
          <w:sz w:val="21"/>
        </w:rPr>
        <w:t>the present value at age </w:t>
      </w:r>
      <w:r>
        <w:rPr>
          <w:rFonts w:ascii="Arial"/>
          <w:i/>
          <w:color w:val="010101"/>
          <w:w w:val="105"/>
          <w:sz w:val="17"/>
        </w:rPr>
        <w:t>x </w:t>
      </w:r>
      <w:r>
        <w:rPr>
          <w:color w:val="010101"/>
          <w:w w:val="105"/>
          <w:sz w:val="21"/>
        </w:rPr>
        <w:t>of the insurance benefit during the Jear of  age </w:t>
      </w:r>
      <w:r>
        <w:rPr>
          <w:i/>
          <w:color w:val="010101"/>
          <w:w w:val="105"/>
          <w:sz w:val="19"/>
        </w:rPr>
        <w:t>x  </w:t>
      </w:r>
      <w:r>
        <w:rPr>
          <w:color w:val="010101"/>
          <w:w w:val="105"/>
          <w:sz w:val="29"/>
        </w:rPr>
        <w:t>+ </w:t>
      </w:r>
      <w:r>
        <w:rPr>
          <w:i/>
          <w:color w:val="010101"/>
          <w:w w:val="105"/>
          <w:sz w:val="22"/>
        </w:rPr>
        <w:t>t. </w:t>
      </w:r>
      <w:r>
        <w:rPr>
          <w:color w:val="010101"/>
          <w:spacing w:val="4"/>
          <w:w w:val="105"/>
          <w:sz w:val="21"/>
        </w:rPr>
        <w:t>Now </w:t>
      </w:r>
      <w:r>
        <w:rPr>
          <w:color w:val="010101"/>
          <w:w w:val="105"/>
          <w:sz w:val="21"/>
        </w:rPr>
        <w:t>summing for ali  ages  from  </w:t>
      </w:r>
      <w:r>
        <w:rPr>
          <w:i/>
          <w:color w:val="010101"/>
          <w:w w:val="105"/>
          <w:sz w:val="19"/>
        </w:rPr>
        <w:t>x  </w:t>
      </w:r>
      <w:r>
        <w:rPr>
          <w:color w:val="010101"/>
          <w:w w:val="105"/>
          <w:sz w:val="21"/>
        </w:rPr>
        <w:t>through  </w:t>
      </w:r>
      <w:r>
        <w:rPr>
          <w:b/>
          <w:color w:val="010101"/>
          <w:w w:val="105"/>
          <w:sz w:val="21"/>
        </w:rPr>
        <w:t>z </w:t>
      </w:r>
      <w:r>
        <w:rPr>
          <w:rFonts w:ascii="Arial"/>
          <w:color w:val="010101"/>
          <w:w w:val="105"/>
          <w:sz w:val="31"/>
        </w:rPr>
        <w:t>+ </w:t>
      </w:r>
      <w:r>
        <w:rPr>
          <w:i/>
          <w:color w:val="010101"/>
          <w:w w:val="105"/>
          <w:sz w:val="22"/>
        </w:rPr>
        <w:t>n </w:t>
      </w:r>
      <w:r>
        <w:rPr>
          <w:color w:val="010101"/>
          <w:w w:val="225"/>
          <w:sz w:val="22"/>
        </w:rPr>
        <w:t>-</w:t>
      </w:r>
      <w:r>
        <w:rPr>
          <w:color w:val="010101"/>
          <w:spacing w:val="-55"/>
          <w:w w:val="225"/>
          <w:sz w:val="22"/>
        </w:rPr>
        <w:t> </w:t>
      </w:r>
      <w:r>
        <w:rPr>
          <w:color w:val="010101"/>
          <w:w w:val="105"/>
          <w:sz w:val="21"/>
        </w:rPr>
        <w:t>1, we have</w:t>
      </w:r>
    </w:p>
    <w:p>
      <w:pPr>
        <w:tabs>
          <w:tab w:pos="1939" w:val="left" w:leader="none"/>
          <w:tab w:pos="3127" w:val="left" w:leader="none"/>
        </w:tabs>
        <w:spacing w:line="245" w:lineRule="exact" w:before="158"/>
        <w:ind w:left="819" w:right="0" w:firstLine="0"/>
        <w:jc w:val="left"/>
        <w:rPr>
          <w:sz w:val="26"/>
        </w:rPr>
      </w:pPr>
      <w:r>
        <w:rPr>
          <w:b/>
          <w:color w:val="010101"/>
          <w:w w:val="165"/>
          <w:sz w:val="13"/>
        </w:rPr>
        <w:t>l</w:t>
      </w:r>
      <w:r>
        <w:rPr>
          <w:b/>
          <w:color w:val="010101"/>
          <w:spacing w:val="2"/>
          <w:w w:val="165"/>
          <w:sz w:val="13"/>
        </w:rPr>
        <w:t> </w:t>
      </w:r>
      <w:r>
        <w:rPr>
          <w:i/>
          <w:color w:val="010101"/>
          <w:w w:val="165"/>
          <w:sz w:val="20"/>
        </w:rPr>
        <w:t>c</w:t>
      </w:r>
      <w:r>
        <w:rPr>
          <w:i/>
          <w:color w:val="010101"/>
          <w:w w:val="165"/>
          <w:sz w:val="20"/>
          <w:u w:val="single" w:color="000000"/>
        </w:rPr>
        <w:t>t</w:t>
      </w:r>
      <w:r>
        <w:rPr>
          <w:i/>
          <w:color w:val="010101"/>
          <w:w w:val="165"/>
          <w:sz w:val="20"/>
        </w:rPr>
        <w:t>t,</w:t>
        <w:tab/>
      </w:r>
      <w:r>
        <w:rPr>
          <w:i/>
          <w:color w:val="010101"/>
          <w:w w:val="115"/>
          <w:sz w:val="22"/>
        </w:rPr>
        <w:t>t </w:t>
      </w:r>
      <w:r>
        <w:rPr>
          <w:color w:val="010101"/>
          <w:w w:val="240"/>
          <w:sz w:val="22"/>
        </w:rPr>
        <w:t>-</w:t>
      </w:r>
      <w:r>
        <w:rPr>
          <w:color w:val="010101"/>
          <w:spacing w:val="-57"/>
          <w:w w:val="240"/>
          <w:sz w:val="22"/>
        </w:rPr>
        <w:t> </w:t>
      </w:r>
      <w:r>
        <w:rPr>
          <w:rFonts w:ascii="Arial"/>
          <w:i/>
          <w:color w:val="010101"/>
          <w:w w:val="115"/>
          <w:sz w:val="18"/>
        </w:rPr>
        <w:t>m</w:t>
      </w:r>
      <w:r>
        <w:rPr>
          <w:rFonts w:ascii="Arial"/>
          <w:i/>
          <w:color w:val="010101"/>
          <w:spacing w:val="33"/>
          <w:w w:val="115"/>
          <w:sz w:val="18"/>
        </w:rPr>
        <w:t> </w:t>
      </w:r>
      <w:r>
        <w:rPr>
          <w:rFonts w:ascii="Arial"/>
          <w:color w:val="010101"/>
          <w:w w:val="270"/>
          <w:sz w:val="18"/>
        </w:rPr>
        <w:t>-</w:t>
        <w:tab/>
      </w:r>
      <w:r>
        <w:rPr>
          <w:color w:val="010101"/>
          <w:w w:val="115"/>
          <w:sz w:val="26"/>
        </w:rPr>
        <w:t>=</w:t>
      </w:r>
    </w:p>
    <w:p>
      <w:pPr>
        <w:tabs>
          <w:tab w:pos="2492" w:val="left" w:leader="none"/>
        </w:tabs>
        <w:spacing w:line="152" w:lineRule="exact" w:before="0"/>
        <w:ind w:left="622" w:right="0" w:firstLine="0"/>
        <w:jc w:val="left"/>
        <w:rPr>
          <w:i/>
          <w:sz w:val="21"/>
        </w:rPr>
      </w:pPr>
      <w:r>
        <w:rPr/>
        <w:pict>
          <v:line style="position:absolute;mso-position-horizontal-relative:page;mso-position-vertical-relative:paragraph;z-index:-723904" from="132.622101pt,4.484126pt" to="159.003001pt,4.484126pt" stroked="true" strokeweight="6.64008pt" strokecolor="#000000">
            <w10:wrap type="none"/>
          </v:line>
        </w:pict>
      </w:r>
      <w:r>
        <w:rPr>
          <w:rFonts w:ascii="Arial"/>
          <w:color w:val="010101"/>
          <w:sz w:val="17"/>
        </w:rPr>
        <w:t>e-o </w:t>
      </w:r>
      <w:r>
        <w:rPr>
          <w:rFonts w:ascii="Arial"/>
          <w:color w:val="010101"/>
          <w:spacing w:val="37"/>
          <w:sz w:val="17"/>
        </w:rPr>
        <w:t> </w:t>
      </w:r>
      <w:r>
        <w:rPr>
          <w:i/>
          <w:color w:val="010101"/>
          <w:sz w:val="21"/>
        </w:rPr>
        <w:t>D,,</w:t>
        <w:tab/>
        <w:t>2m</w:t>
      </w:r>
    </w:p>
    <w:p>
      <w:pPr>
        <w:spacing w:line="82" w:lineRule="exact" w:before="0"/>
        <w:ind w:left="565" w:right="0" w:firstLine="0"/>
        <w:jc w:val="left"/>
        <w:rPr>
          <w:rFonts w:ascii="Arial"/>
          <w:sz w:val="15"/>
        </w:rPr>
      </w:pPr>
      <w:r>
        <w:rPr>
          <w:rFonts w:ascii="Arial"/>
          <w:color w:val="878787"/>
          <w:w w:val="185"/>
          <w:sz w:val="7"/>
        </w:rPr>
        <w:t>'   </w:t>
      </w:r>
      <w:r>
        <w:rPr>
          <w:rFonts w:ascii="Arial"/>
          <w:color w:val="282828"/>
          <w:w w:val="185"/>
          <w:sz w:val="15"/>
        </w:rPr>
        <w:t>'</w:t>
      </w:r>
    </w:p>
    <w:p>
      <w:pPr>
        <w:spacing w:after="0" w:line="82" w:lineRule="exact"/>
        <w:jc w:val="left"/>
        <w:rPr>
          <w:rFonts w:ascii="Arial"/>
          <w:sz w:val="15"/>
        </w:rPr>
        <w:sectPr>
          <w:type w:val="continuous"/>
          <w:pgSz w:w="7200" w:h="11340"/>
          <w:pgMar w:top="1100" w:bottom="0" w:left="160" w:right="540"/>
        </w:sectPr>
      </w:pPr>
    </w:p>
    <w:p>
      <w:pPr>
        <w:spacing w:line="501" w:lineRule="exact" w:before="0"/>
        <w:ind w:left="108" w:right="0" w:firstLine="0"/>
        <w:jc w:val="left"/>
        <w:rPr>
          <w:sz w:val="19"/>
        </w:rPr>
      </w:pPr>
      <w:r>
        <w:rPr/>
        <w:pict>
          <v:line style="position:absolute;mso-position-horizontal-relative:page;mso-position-vertical-relative:paragraph;z-index:-723880" from="90.62812pt,22.72909pt" to="116.8295pt,22.72909pt" stroked="true" strokeweight="5.742772pt" strokecolor="#000000">
            <w10:wrap type="none"/>
          </v:line>
        </w:pict>
      </w:r>
      <w:r>
        <w:rPr/>
        <w:pict>
          <v:shape style="position:absolute;margin-left:90.448647pt;margin-top:17.156336pt;width:5.25pt;height:10.5pt;mso-position-horizontal-relative:page;mso-position-vertical-relative:paragraph;z-index:-723784" type="#_x0000_t202" filled="false" stroked="false">
            <v:textbox inset="0,0,0,0">
              <w:txbxContent>
                <w:p>
                  <w:pPr>
                    <w:spacing w:line="210" w:lineRule="exact" w:before="0"/>
                    <w:ind w:left="0" w:right="0" w:firstLine="0"/>
                    <w:jc w:val="left"/>
                    <w:rPr>
                      <w:sz w:val="21"/>
                    </w:rPr>
                  </w:pPr>
                  <w:r>
                    <w:rPr>
                      <w:color w:val="010101"/>
                      <w:sz w:val="21"/>
                    </w:rPr>
                    <w:t>2</w:t>
                  </w:r>
                </w:p>
              </w:txbxContent>
            </v:textbox>
            <w10:wrap type="none"/>
          </v:shape>
        </w:pict>
      </w:r>
      <w:r>
        <w:rPr>
          <w:rFonts w:ascii="Arial"/>
          <w:color w:val="010101"/>
          <w:spacing w:val="-743"/>
          <w:w w:val="426"/>
          <w:sz w:val="49"/>
        </w:rPr>
        <w:t>!</w:t>
      </w:r>
      <w:r>
        <w:rPr>
          <w:rFonts w:ascii="Arial"/>
          <w:color w:val="010101"/>
          <w:spacing w:val="-44"/>
          <w:w w:val="96"/>
          <w:sz w:val="49"/>
        </w:rPr>
        <w:t>(</w:t>
      </w:r>
      <w:r>
        <w:rPr>
          <w:i/>
          <w:color w:val="010101"/>
          <w:w w:val="96"/>
          <w:sz w:val="21"/>
        </w:rPr>
        <w:t>G</w:t>
      </w:r>
      <w:r>
        <w:rPr>
          <w:i/>
          <w:color w:val="010101"/>
          <w:sz w:val="21"/>
        </w:rPr>
        <w:t> </w:t>
      </w:r>
      <w:r>
        <w:rPr>
          <w:i/>
          <w:color w:val="010101"/>
          <w:spacing w:val="-23"/>
          <w:sz w:val="21"/>
        </w:rPr>
        <w:t> </w:t>
      </w:r>
      <w:r>
        <w:rPr>
          <w:color w:val="010101"/>
          <w:spacing w:val="18"/>
          <w:w w:val="281"/>
          <w:sz w:val="21"/>
        </w:rPr>
        <w:t>-</w:t>
      </w:r>
      <w:r>
        <w:rPr>
          <w:color w:val="010101"/>
          <w:w w:val="106"/>
          <w:sz w:val="19"/>
        </w:rPr>
        <w:t>m</w:t>
      </w:r>
    </w:p>
    <w:p>
      <w:pPr>
        <w:spacing w:line="185" w:lineRule="exact" w:before="71"/>
        <w:ind w:left="108" w:right="0" w:firstLine="0"/>
        <w:jc w:val="left"/>
        <w:rPr>
          <w:sz w:val="21"/>
        </w:rPr>
      </w:pPr>
      <w:r>
        <w:rPr/>
        <w:br w:type="column"/>
      </w:r>
      <w:r>
        <w:rPr>
          <w:color w:val="010101"/>
          <w:w w:val="130"/>
          <w:sz w:val="21"/>
        </w:rPr>
        <w:t>1</w:t>
      </w:r>
    </w:p>
    <w:p>
      <w:pPr>
        <w:spacing w:line="185" w:lineRule="exact" w:before="0"/>
        <w:ind w:left="194" w:right="0" w:firstLine="0"/>
        <w:jc w:val="left"/>
        <w:rPr>
          <w:sz w:val="21"/>
        </w:rPr>
      </w:pPr>
      <w:r>
        <w:rPr>
          <w:color w:val="010101"/>
          <w:w w:val="200"/>
          <w:sz w:val="21"/>
        </w:rPr>
        <w:t>)</w:t>
      </w:r>
      <w:r>
        <w:rPr>
          <w:color w:val="010101"/>
          <w:spacing w:val="-14"/>
          <w:sz w:val="21"/>
        </w:rPr>
        <w:t> </w:t>
      </w:r>
      <w:r>
        <w:rPr>
          <w:color w:val="010101"/>
          <w:w w:val="129"/>
          <w:sz w:val="21"/>
        </w:rPr>
        <w:t>(</w:t>
      </w:r>
      <w:r>
        <w:rPr>
          <w:color w:val="010101"/>
          <w:w w:val="129"/>
          <w:sz w:val="21"/>
        </w:rPr>
        <w:t>M,-M&lt;tt</w:t>
      </w:r>
      <w:r>
        <w:rPr>
          <w:color w:val="010101"/>
          <w:spacing w:val="-17"/>
          <w:sz w:val="21"/>
        </w:rPr>
        <w:t> </w:t>
      </w:r>
      <w:r>
        <w:rPr>
          <w:color w:val="010101"/>
          <w:w w:val="98"/>
          <w:sz w:val="21"/>
        </w:rPr>
        <w:t>)</w:t>
      </w:r>
      <w:r>
        <w:rPr>
          <w:color w:val="010101"/>
          <w:spacing w:val="7"/>
          <w:sz w:val="21"/>
        </w:rPr>
        <w:t> </w:t>
      </w:r>
      <w:r>
        <w:rPr>
          <w:color w:val="010101"/>
          <w:spacing w:val="25"/>
          <w:w w:val="281"/>
          <w:sz w:val="21"/>
        </w:rPr>
        <w:t>-</w:t>
      </w:r>
      <w:r>
        <w:rPr>
          <w:color w:val="010101"/>
          <w:w w:val="87"/>
          <w:sz w:val="21"/>
        </w:rPr>
        <w:t>[R.a</w:t>
      </w:r>
      <w:r>
        <w:rPr>
          <w:color w:val="010101"/>
          <w:spacing w:val="-16"/>
          <w:w w:val="87"/>
          <w:sz w:val="21"/>
        </w:rPr>
        <w:t>-</w:t>
      </w:r>
      <w:r>
        <w:rPr>
          <w:color w:val="010101"/>
          <w:spacing w:val="14"/>
          <w:w w:val="102"/>
          <w:sz w:val="21"/>
        </w:rPr>
        <w:t>1</w:t>
      </w:r>
      <w:r>
        <w:rPr>
          <w:color w:val="010101"/>
          <w:w w:val="281"/>
          <w:sz w:val="21"/>
        </w:rPr>
        <w:t>-</w:t>
      </w:r>
      <w:r>
        <w:rPr>
          <w:color w:val="010101"/>
          <w:spacing w:val="-28"/>
          <w:sz w:val="21"/>
        </w:rPr>
        <w:t> </w:t>
      </w:r>
      <w:r>
        <w:rPr>
          <w:i/>
          <w:color w:val="010101"/>
          <w:w w:val="105"/>
          <w:sz w:val="21"/>
        </w:rPr>
        <w:t>R</w:t>
      </w:r>
      <w:r>
        <w:rPr>
          <w:i/>
          <w:color w:val="010101"/>
          <w:w w:val="96"/>
          <w:sz w:val="21"/>
        </w:rPr>
        <w:t>&lt;tt</w:t>
      </w:r>
      <w:r>
        <w:rPr>
          <w:i/>
          <w:color w:val="010101"/>
          <w:spacing w:val="20"/>
          <w:sz w:val="21"/>
        </w:rPr>
        <w:t> </w:t>
      </w:r>
      <w:r>
        <w:rPr>
          <w:color w:val="010101"/>
          <w:w w:val="267"/>
          <w:sz w:val="21"/>
        </w:rPr>
        <w:t>-</w:t>
      </w:r>
      <w:r>
        <w:rPr>
          <w:color w:val="010101"/>
          <w:spacing w:val="-11"/>
          <w:sz w:val="21"/>
        </w:rPr>
        <w:t> </w:t>
      </w:r>
      <w:r>
        <w:rPr>
          <w:color w:val="010101"/>
          <w:w w:val="112"/>
          <w:sz w:val="19"/>
        </w:rPr>
        <w:t>(n</w:t>
      </w:r>
      <w:r>
        <w:rPr>
          <w:color w:val="010101"/>
          <w:spacing w:val="10"/>
          <w:sz w:val="19"/>
        </w:rPr>
        <w:t> </w:t>
      </w:r>
      <w:r>
        <w:rPr>
          <w:color w:val="010101"/>
          <w:w w:val="311"/>
          <w:sz w:val="19"/>
        </w:rPr>
        <w:t>-</w:t>
      </w:r>
      <w:r>
        <w:rPr>
          <w:color w:val="010101"/>
          <w:spacing w:val="-8"/>
          <w:sz w:val="19"/>
        </w:rPr>
        <w:t> </w:t>
      </w:r>
      <w:r>
        <w:rPr>
          <w:color w:val="010101"/>
          <w:spacing w:val="22"/>
          <w:w w:val="133"/>
          <w:sz w:val="21"/>
        </w:rPr>
        <w:t>l</w:t>
      </w:r>
      <w:r>
        <w:rPr>
          <w:color w:val="010101"/>
          <w:w w:val="110"/>
          <w:sz w:val="21"/>
        </w:rPr>
        <w:t>)</w:t>
      </w:r>
      <w:r>
        <w:rPr>
          <w:color w:val="010101"/>
          <w:spacing w:val="-13"/>
          <w:w w:val="110"/>
          <w:sz w:val="21"/>
        </w:rPr>
        <w:t>M</w:t>
      </w:r>
      <w:r>
        <w:rPr>
          <w:color w:val="010101"/>
          <w:w w:val="96"/>
          <w:sz w:val="21"/>
        </w:rPr>
        <w:t>.a-</w:t>
      </w:r>
      <w:r>
        <w:rPr>
          <w:color w:val="010101"/>
          <w:spacing w:val="-16"/>
          <w:w w:val="96"/>
          <w:sz w:val="21"/>
        </w:rPr>
        <w:t>.</w:t>
      </w:r>
      <w:r>
        <w:rPr>
          <w:color w:val="010101"/>
          <w:w w:val="90"/>
          <w:sz w:val="21"/>
        </w:rPr>
        <w:t>]}.</w:t>
      </w:r>
    </w:p>
    <w:p>
      <w:pPr>
        <w:spacing w:after="0" w:line="185" w:lineRule="exact"/>
        <w:jc w:val="left"/>
        <w:rPr>
          <w:sz w:val="21"/>
        </w:rPr>
        <w:sectPr>
          <w:type w:val="continuous"/>
          <w:pgSz w:w="7200" w:h="11340"/>
          <w:pgMar w:top="1100" w:bottom="0" w:left="160" w:right="540"/>
          <w:cols w:num="2" w:equalWidth="0">
            <w:col w:w="1754" w:space="123"/>
            <w:col w:w="4623"/>
          </w:cols>
        </w:sectPr>
      </w:pPr>
    </w:p>
    <w:p>
      <w:pPr>
        <w:spacing w:before="156"/>
        <w:ind w:left="805" w:right="0" w:firstLine="0"/>
        <w:jc w:val="left"/>
        <w:rPr>
          <w:sz w:val="21"/>
        </w:rPr>
      </w:pPr>
      <w:r>
        <w:rPr>
          <w:color w:val="010101"/>
          <w:sz w:val="21"/>
        </w:rPr>
        <w:t>To this must  be added  the value of  the death  benefit  for a  frac-</w:t>
      </w:r>
    </w:p>
    <w:p>
      <w:pPr>
        <w:spacing w:after="0"/>
        <w:jc w:val="left"/>
        <w:rPr>
          <w:sz w:val="21"/>
        </w:rPr>
        <w:sectPr>
          <w:type w:val="continuous"/>
          <w:pgSz w:w="7200" w:h="11340"/>
          <w:pgMar w:top="1100" w:bottom="0" w:left="160" w:right="540"/>
        </w:sectPr>
      </w:pPr>
    </w:p>
    <w:p>
      <w:pPr>
        <w:tabs>
          <w:tab w:pos="2320" w:val="left" w:leader="none"/>
          <w:tab w:pos="5355" w:val="left" w:leader="none"/>
        </w:tabs>
        <w:spacing w:before="57"/>
        <w:ind w:left="128" w:right="0" w:firstLine="14"/>
        <w:jc w:val="left"/>
        <w:rPr>
          <w:b/>
          <w:sz w:val="20"/>
        </w:rPr>
      </w:pPr>
      <w:r>
        <w:rPr>
          <w:rFonts w:ascii="Arial"/>
          <w:b/>
          <w:sz w:val="19"/>
        </w:rPr>
        <w:t>152</w:t>
        <w:tab/>
      </w:r>
      <w:r>
        <w:rPr>
          <w:b/>
          <w:position w:val="1"/>
          <w:sz w:val="14"/>
        </w:rPr>
        <w:t>SPECIAL  </w:t>
      </w:r>
      <w:r>
        <w:rPr>
          <w:b/>
          <w:spacing w:val="33"/>
          <w:position w:val="1"/>
          <w:sz w:val="14"/>
        </w:rPr>
        <w:t> </w:t>
      </w:r>
      <w:r>
        <w:rPr>
          <w:b/>
          <w:position w:val="1"/>
          <w:sz w:val="14"/>
        </w:rPr>
        <w:t>TOPICS</w:t>
        <w:tab/>
      </w:r>
      <w:r>
        <w:rPr>
          <w:b/>
          <w:sz w:val="17"/>
        </w:rPr>
        <w:t>[CH.</w:t>
      </w:r>
      <w:r>
        <w:rPr>
          <w:b/>
          <w:spacing w:val="9"/>
          <w:sz w:val="17"/>
        </w:rPr>
        <w:t> </w:t>
      </w:r>
      <w:r>
        <w:rPr>
          <w:b/>
          <w:sz w:val="20"/>
        </w:rPr>
        <w:t>7</w:t>
      </w:r>
    </w:p>
    <w:p>
      <w:pPr>
        <w:pStyle w:val="BodyText"/>
        <w:spacing w:before="10"/>
        <w:rPr>
          <w:b/>
          <w:sz w:val="15"/>
        </w:rPr>
      </w:pPr>
    </w:p>
    <w:p>
      <w:pPr>
        <w:pStyle w:val="BodyText"/>
        <w:spacing w:line="230" w:lineRule="auto"/>
        <w:ind w:left="135" w:right="126" w:hanging="8"/>
      </w:pPr>
      <w:r>
        <w:rPr/>
        <w:t>tion of the year of  agc </w:t>
      </w:r>
      <w:r>
        <w:rPr>
          <w:i/>
        </w:rPr>
        <w:t>x  </w:t>
      </w:r>
      <w:r>
        <w:rPr>
          <w:sz w:val="27"/>
        </w:rPr>
        <w:t>+ </w:t>
      </w:r>
      <w:r>
        <w:rPr>
          <w:i/>
        </w:rPr>
        <w:t>n </w:t>
      </w:r>
      <w:r>
        <w:rPr/>
        <w:t>to </w:t>
      </w:r>
      <w:r>
        <w:rPr>
          <w:i/>
        </w:rPr>
        <w:t>x  </w:t>
      </w:r>
      <w:r>
        <w:rPr>
          <w:sz w:val="27"/>
        </w:rPr>
        <w:t>+ </w:t>
      </w:r>
      <w:r>
        <w:rPr>
          <w:i/>
        </w:rPr>
        <w:t>n  </w:t>
      </w:r>
      <w:r>
        <w:rPr>
          <w:sz w:val="27"/>
        </w:rPr>
        <w:t>+  </w:t>
      </w:r>
      <w:r>
        <w:rPr>
          <w:w w:val="120"/>
        </w:rPr>
        <w:t>l. </w:t>
      </w:r>
      <w:r>
        <w:rPr/>
        <w:t>The  death  bcncfit  at  the  bcginning  of  this  yeu.r  is  </w:t>
      </w:r>
      <w:r>
        <w:rPr>
          <w:i/>
        </w:rPr>
        <w:t>G  </w:t>
      </w:r>
      <w:r>
        <w:rPr>
          <w:w w:val="240"/>
        </w:rPr>
        <w:t>- </w:t>
      </w:r>
      <w:r>
        <w:rPr>
          <w:i/>
        </w:rPr>
        <w:t>n,  </w:t>
      </w:r>
      <w:r>
        <w:rPr/>
        <w:t>and  if  we  let  </w:t>
      </w:r>
      <w:r>
        <w:rPr>
          <w:i/>
        </w:rPr>
        <w:t>k  </w:t>
      </w:r>
      <w:r>
        <w:rPr/>
        <w:t>denote </w:t>
      </w:r>
      <w:r>
        <w:rPr>
          <w:spacing w:val="2"/>
        </w:rPr>
        <w:t> </w:t>
      </w:r>
      <w:r>
        <w:rPr/>
        <w:t>the</w:t>
      </w:r>
    </w:p>
    <w:p>
      <w:pPr>
        <w:spacing w:after="0" w:line="230" w:lineRule="auto"/>
        <w:sectPr>
          <w:pgSz w:w="7200" w:h="11340"/>
          <w:pgMar w:top="480" w:bottom="280" w:left="660" w:right="540"/>
        </w:sectPr>
      </w:pPr>
    </w:p>
    <w:p>
      <w:pPr>
        <w:pStyle w:val="BodyText"/>
        <w:spacing w:before="77"/>
        <w:ind w:left="132" w:right="-17"/>
        <w:rPr>
          <w:rFonts w:ascii="Arial" w:hAnsi="Arial"/>
        </w:rPr>
      </w:pPr>
      <w:r>
        <w:rPr>
          <w:w w:val="106"/>
        </w:rPr>
        <w:t>greatest</w:t>
      </w:r>
      <w:r>
        <w:rPr>
          <w:spacing w:val="23"/>
        </w:rPr>
        <w:t> </w:t>
      </w:r>
      <w:r>
        <w:rPr>
          <w:spacing w:val="-152"/>
          <w:w w:val="101"/>
        </w:rPr>
        <w:t>m</w:t>
      </w:r>
      <w:r>
        <w:rPr>
          <w:rFonts w:ascii="Arial" w:hAnsi="Arial"/>
          <w:w w:val="123"/>
          <w:position w:val="5"/>
        </w:rPr>
        <w:t>·</w:t>
      </w:r>
      <w:r>
        <w:rPr>
          <w:rFonts w:ascii="Arial" w:hAnsi="Arial"/>
          <w:spacing w:val="13"/>
          <w:position w:val="5"/>
        </w:rPr>
        <w:t> </w:t>
      </w:r>
      <w:r>
        <w:rPr>
          <w:w w:val="101"/>
        </w:rPr>
        <w:t>teger</w:t>
      </w:r>
      <w:r>
        <w:rPr/>
        <w:t> </w:t>
      </w:r>
      <w:r>
        <w:rPr>
          <w:spacing w:val="-25"/>
        </w:rPr>
        <w:t> </w:t>
      </w:r>
      <w:r>
        <w:rPr>
          <w:spacing w:val="-137"/>
          <w:w w:val="104"/>
          <w:sz w:val="18"/>
        </w:rPr>
        <w:t>m</w:t>
      </w:r>
      <w:r>
        <w:rPr>
          <w:rFonts w:ascii="Arial" w:hAnsi="Arial"/>
          <w:w w:val="123"/>
          <w:position w:val="5"/>
        </w:rPr>
        <w:t>·</w:t>
      </w:r>
    </w:p>
    <w:p>
      <w:pPr>
        <w:spacing w:line="234" w:lineRule="exact" w:before="77"/>
        <w:ind w:left="86" w:right="0" w:firstLine="0"/>
        <w:jc w:val="left"/>
        <w:rPr>
          <w:sz w:val="18"/>
        </w:rPr>
      </w:pPr>
      <w:r>
        <w:rPr/>
        <w:br w:type="column"/>
      </w:r>
      <w:r>
        <w:rPr>
          <w:spacing w:val="17"/>
          <w:w w:val="108"/>
          <w:sz w:val="18"/>
        </w:rPr>
        <w:t>t</w:t>
      </w:r>
      <w:r>
        <w:rPr>
          <w:rFonts w:ascii="Arial" w:hAnsi="Arial"/>
          <w:spacing w:val="-11"/>
          <w:w w:val="112"/>
          <w:position w:val="5"/>
          <w:sz w:val="20"/>
        </w:rPr>
        <w:t>h</w:t>
      </w:r>
      <w:r>
        <w:rPr>
          <w:w w:val="97"/>
          <w:sz w:val="20"/>
        </w:rPr>
        <w:t>e</w:t>
      </w:r>
      <w:r>
        <w:rPr>
          <w:spacing w:val="7"/>
          <w:sz w:val="20"/>
        </w:rPr>
        <w:t> </w:t>
      </w:r>
      <w:r>
        <w:rPr>
          <w:w w:val="108"/>
          <w:sz w:val="20"/>
        </w:rPr>
        <w:t>ra</w:t>
      </w:r>
      <w:r>
        <w:rPr>
          <w:w w:val="108"/>
          <w:sz w:val="20"/>
        </w:rPr>
        <w:t>t</w:t>
      </w:r>
      <w:r>
        <w:rPr>
          <w:spacing w:val="-28"/>
          <w:w w:val="108"/>
          <w:sz w:val="20"/>
        </w:rPr>
        <w:t>i</w:t>
      </w:r>
      <w:r>
        <w:rPr>
          <w:rFonts w:ascii="Arial" w:hAnsi="Arial"/>
          <w:spacing w:val="-56"/>
          <w:w w:val="123"/>
          <w:position w:val="5"/>
          <w:sz w:val="20"/>
        </w:rPr>
        <w:t>·</w:t>
      </w:r>
      <w:r>
        <w:rPr>
          <w:w w:val="109"/>
          <w:sz w:val="20"/>
        </w:rPr>
        <w:t>o</w:t>
      </w:r>
      <w:r>
        <w:rPr>
          <w:spacing w:val="15"/>
          <w:sz w:val="20"/>
        </w:rPr>
        <w:t> </w:t>
      </w:r>
      <w:r>
        <w:rPr>
          <w:rFonts w:ascii="Arial" w:hAnsi="Arial"/>
          <w:i/>
          <w:spacing w:val="-104"/>
          <w:w w:val="99"/>
          <w:position w:val="5"/>
          <w:sz w:val="19"/>
        </w:rPr>
        <w:t>G</w:t>
      </w:r>
      <w:r>
        <w:rPr>
          <w:rFonts w:ascii="Arial" w:hAnsi="Arial"/>
          <w:spacing w:val="-116"/>
          <w:w w:val="262"/>
          <w:position w:val="5"/>
          <w:sz w:val="19"/>
        </w:rPr>
        <w:t>-</w:t>
      </w:r>
      <w:r>
        <w:rPr>
          <w:i/>
          <w:spacing w:val="14"/>
          <w:w w:val="115"/>
          <w:position w:val="5"/>
          <w:sz w:val="20"/>
        </w:rPr>
        <w:t>n</w:t>
      </w:r>
      <w:r>
        <w:rPr>
          <w:w w:val="84"/>
          <w:sz w:val="20"/>
        </w:rPr>
        <w:t>,</w:t>
      </w:r>
      <w:r>
        <w:rPr>
          <w:spacing w:val="8"/>
          <w:sz w:val="20"/>
        </w:rPr>
        <w:t> </w:t>
      </w:r>
      <w:r>
        <w:rPr>
          <w:w w:val="109"/>
          <w:sz w:val="18"/>
        </w:rPr>
        <w:t>wc</w:t>
      </w:r>
      <w:r>
        <w:rPr>
          <w:spacing w:val="15"/>
          <w:sz w:val="18"/>
        </w:rPr>
        <w:t> </w:t>
      </w:r>
      <w:r>
        <w:rPr>
          <w:w w:val="103"/>
          <w:sz w:val="20"/>
        </w:rPr>
        <w:t>can</w:t>
      </w:r>
      <w:r>
        <w:rPr>
          <w:spacing w:val="14"/>
          <w:sz w:val="20"/>
        </w:rPr>
        <w:t> </w:t>
      </w:r>
      <w:r>
        <w:rPr>
          <w:w w:val="100"/>
          <w:sz w:val="20"/>
        </w:rPr>
        <w:t>express</w:t>
      </w:r>
      <w:r>
        <w:rPr>
          <w:spacing w:val="14"/>
          <w:sz w:val="20"/>
        </w:rPr>
        <w:t> </w:t>
      </w:r>
      <w:r>
        <w:rPr>
          <w:spacing w:val="-5"/>
          <w:w w:val="111"/>
          <w:position w:val="5"/>
          <w:sz w:val="20"/>
        </w:rPr>
        <w:t>t</w:t>
      </w:r>
      <w:r>
        <w:rPr>
          <w:spacing w:val="-20"/>
          <w:w w:val="48"/>
          <w:sz w:val="20"/>
        </w:rPr>
        <w:t>.</w:t>
      </w:r>
      <w:r>
        <w:rPr>
          <w:spacing w:val="13"/>
          <w:w w:val="112"/>
          <w:position w:val="5"/>
          <w:sz w:val="20"/>
        </w:rPr>
        <w:t>h</w:t>
      </w:r>
      <w:r>
        <w:rPr>
          <w:w w:val="102"/>
          <w:sz w:val="20"/>
        </w:rPr>
        <w:t>e</w:t>
      </w:r>
      <w:r>
        <w:rPr>
          <w:spacing w:val="-1"/>
          <w:sz w:val="20"/>
        </w:rPr>
        <w:t> </w:t>
      </w:r>
      <w:r>
        <w:rPr>
          <w:w w:val="99"/>
          <w:sz w:val="20"/>
        </w:rPr>
        <w:t>va</w:t>
      </w:r>
      <w:r>
        <w:rPr>
          <w:spacing w:val="-23"/>
          <w:sz w:val="20"/>
        </w:rPr>
        <w:t> </w:t>
      </w:r>
      <w:r>
        <w:rPr>
          <w:rFonts w:ascii="Arial" w:hAnsi="Arial"/>
          <w:spacing w:val="-44"/>
          <w:w w:val="168"/>
          <w:position w:val="5"/>
          <w:sz w:val="20"/>
        </w:rPr>
        <w:t>I</w:t>
      </w:r>
      <w:r>
        <w:rPr>
          <w:w w:val="109"/>
          <w:sz w:val="18"/>
        </w:rPr>
        <w:t>uc</w:t>
      </w:r>
      <w:r>
        <w:rPr>
          <w:spacing w:val="16"/>
          <w:sz w:val="18"/>
        </w:rPr>
        <w:t> </w:t>
      </w:r>
      <w:r>
        <w:rPr>
          <w:spacing w:val="2"/>
          <w:w w:val="98"/>
          <w:sz w:val="20"/>
        </w:rPr>
        <w:t>o</w:t>
      </w:r>
      <w:r>
        <w:rPr>
          <w:rFonts w:ascii="Arial" w:hAnsi="Arial"/>
          <w:w w:val="103"/>
          <w:position w:val="5"/>
          <w:sz w:val="18"/>
        </w:rPr>
        <w:t>f</w:t>
      </w:r>
      <w:r>
        <w:rPr>
          <w:rFonts w:ascii="Arial" w:hAnsi="Arial"/>
          <w:position w:val="5"/>
          <w:sz w:val="18"/>
        </w:rPr>
        <w:t> </w:t>
      </w:r>
      <w:r>
        <w:rPr>
          <w:rFonts w:ascii="Arial" w:hAnsi="Arial"/>
          <w:spacing w:val="-16"/>
          <w:position w:val="5"/>
          <w:sz w:val="18"/>
        </w:rPr>
        <w:t> </w:t>
      </w:r>
      <w:r>
        <w:rPr>
          <w:w w:val="97"/>
          <w:sz w:val="20"/>
        </w:rPr>
        <w:t>t</w:t>
      </w:r>
      <w:r>
        <w:rPr>
          <w:spacing w:val="-33"/>
          <w:sz w:val="20"/>
        </w:rPr>
        <w:t> </w:t>
      </w:r>
      <w:r>
        <w:rPr>
          <w:rFonts w:ascii="Arial" w:hAnsi="Arial"/>
          <w:spacing w:val="-3"/>
          <w:w w:val="105"/>
          <w:position w:val="5"/>
          <w:sz w:val="20"/>
        </w:rPr>
        <w:t>h</w:t>
      </w:r>
      <w:r>
        <w:rPr>
          <w:spacing w:val="-76"/>
          <w:w w:val="87"/>
          <w:sz w:val="18"/>
        </w:rPr>
        <w:t>1</w:t>
      </w:r>
      <w:r>
        <w:rPr>
          <w:rFonts w:ascii="Arial" w:hAnsi="Arial"/>
          <w:spacing w:val="16"/>
          <w:w w:val="105"/>
          <w:position w:val="5"/>
          <w:sz w:val="20"/>
        </w:rPr>
        <w:t>.</w:t>
      </w:r>
      <w:r>
        <w:rPr>
          <w:w w:val="86"/>
          <w:sz w:val="18"/>
        </w:rPr>
        <w:t>s</w:t>
      </w:r>
    </w:p>
    <w:p>
      <w:pPr>
        <w:pStyle w:val="BodyText"/>
        <w:spacing w:line="183" w:lineRule="exact"/>
        <w:ind w:left="1112"/>
      </w:pPr>
      <w:r>
        <w:rPr>
          <w:w w:val="115"/>
        </w:rPr>
        <w:t>1</w:t>
      </w:r>
    </w:p>
    <w:p>
      <w:pPr>
        <w:spacing w:before="35"/>
        <w:ind w:left="1076" w:right="0" w:firstLine="0"/>
        <w:jc w:val="left"/>
        <w:rPr>
          <w:rFonts w:ascii="Arial"/>
          <w:i/>
          <w:sz w:val="17"/>
        </w:rPr>
      </w:pPr>
      <w:r>
        <w:rPr>
          <w:rFonts w:ascii="Arial"/>
          <w:i/>
          <w:w w:val="111"/>
          <w:sz w:val="17"/>
        </w:rPr>
        <w:t>m</w:t>
      </w:r>
    </w:p>
    <w:p>
      <w:pPr>
        <w:spacing w:after="0"/>
        <w:jc w:val="left"/>
        <w:rPr>
          <w:rFonts w:ascii="Arial"/>
          <w:sz w:val="17"/>
        </w:rPr>
        <w:sectPr>
          <w:type w:val="continuous"/>
          <w:pgSz w:w="7200" w:h="11340"/>
          <w:pgMar w:top="1100" w:bottom="0" w:left="660" w:right="540"/>
          <w:cols w:num="2" w:equalWidth="0">
            <w:col w:w="1605" w:space="40"/>
            <w:col w:w="4355"/>
          </w:cols>
        </w:sectPr>
      </w:pPr>
    </w:p>
    <w:p>
      <w:pPr>
        <w:pStyle w:val="BodyText"/>
        <w:spacing w:line="156" w:lineRule="exact"/>
        <w:ind w:left="139"/>
        <w:rPr>
          <w:sz w:val="21"/>
        </w:rPr>
      </w:pPr>
      <w:r>
        <w:rPr>
          <w:w w:val="105"/>
        </w:rPr>
        <w:t>partial  year's  insurance </w:t>
      </w:r>
      <w:r>
        <w:rPr>
          <w:w w:val="105"/>
          <w:sz w:val="21"/>
        </w:rPr>
        <w:t>as</w:t>
      </w:r>
    </w:p>
    <w:p>
      <w:pPr>
        <w:spacing w:line="523" w:lineRule="exact" w:before="0"/>
        <w:ind w:left="132" w:right="0" w:firstLine="0"/>
        <w:jc w:val="left"/>
        <w:rPr>
          <w:sz w:val="51"/>
        </w:rPr>
      </w:pPr>
      <w:r>
        <w:rPr/>
        <w:pict>
          <v:shape style="position:absolute;margin-left:61.740002pt;margin-top:20.285109pt;width:11.25pt;height:15pt;mso-position-horizontal-relative:page;mso-position-vertical-relative:paragraph;z-index:-723640" type="#_x0000_t202" filled="false" stroked="false">
            <v:textbox inset="0,0,0,0">
              <w:txbxContent>
                <w:p>
                  <w:pPr>
                    <w:spacing w:line="300" w:lineRule="exact" w:before="0"/>
                    <w:ind w:left="0" w:right="-7" w:firstLine="0"/>
                    <w:jc w:val="left"/>
                    <w:rPr>
                      <w:sz w:val="30"/>
                    </w:rPr>
                  </w:pPr>
                  <w:r>
                    <w:rPr>
                      <w:w w:val="65"/>
                      <w:sz w:val="30"/>
                    </w:rPr>
                    <w:t>,-o</w:t>
                  </w:r>
                </w:p>
              </w:txbxContent>
            </v:textbox>
            <w10:wrap type="none"/>
          </v:shape>
        </w:pict>
      </w:r>
      <w:r>
        <w:rPr>
          <w:i/>
          <w:w w:val="80"/>
          <w:sz w:val="22"/>
          <w:u w:val="single"/>
        </w:rPr>
        <w:t>Cz+n </w:t>
      </w:r>
      <w:r>
        <w:rPr>
          <w:rFonts w:ascii="Arial" w:hAnsi="Arial"/>
          <w:w w:val="80"/>
          <w:sz w:val="58"/>
        </w:rPr>
        <w:t>±</w:t>
      </w:r>
      <w:r>
        <w:rPr>
          <w:rFonts w:ascii="Arial" w:hAnsi="Arial"/>
          <w:spacing w:val="-101"/>
          <w:w w:val="80"/>
          <w:sz w:val="58"/>
        </w:rPr>
        <w:t> </w:t>
      </w:r>
      <w:r>
        <w:rPr>
          <w:i/>
          <w:w w:val="120"/>
          <w:sz w:val="22"/>
        </w:rPr>
        <w:t>(G </w:t>
      </w:r>
      <w:r>
        <w:rPr>
          <w:w w:val="120"/>
          <w:sz w:val="22"/>
        </w:rPr>
        <w:t>_ </w:t>
      </w:r>
      <w:r>
        <w:rPr>
          <w:i/>
          <w:w w:val="120"/>
          <w:sz w:val="21"/>
        </w:rPr>
        <w:t>n </w:t>
      </w:r>
      <w:r>
        <w:rPr>
          <w:w w:val="120"/>
          <w:sz w:val="21"/>
        </w:rPr>
        <w:t>_ </w:t>
      </w:r>
      <w:r>
        <w:rPr>
          <w:w w:val="80"/>
          <w:sz w:val="34"/>
        </w:rPr>
        <w:t>'±-) </w:t>
      </w:r>
      <w:r>
        <w:rPr>
          <w:w w:val="120"/>
          <w:sz w:val="23"/>
        </w:rPr>
        <w:t>= </w:t>
      </w:r>
      <w:r>
        <w:rPr>
          <w:i/>
          <w:w w:val="80"/>
          <w:sz w:val="22"/>
          <w:u w:val="single"/>
        </w:rPr>
        <w:t>Cz+n </w:t>
      </w:r>
      <w:r>
        <w:rPr>
          <w:i/>
          <w:w w:val="120"/>
          <w:sz w:val="20"/>
        </w:rPr>
        <w:t>[ </w:t>
      </w:r>
      <w:r>
        <w:rPr>
          <w:i/>
          <w:w w:val="80"/>
          <w:sz w:val="20"/>
        </w:rPr>
        <w:t>( </w:t>
      </w:r>
      <w:r>
        <w:rPr>
          <w:i/>
          <w:sz w:val="20"/>
        </w:rPr>
        <w:t>k </w:t>
      </w:r>
      <w:r>
        <w:rPr>
          <w:rFonts w:ascii="Arial" w:hAnsi="Arial"/>
          <w:w w:val="120"/>
          <w:sz w:val="30"/>
        </w:rPr>
        <w:t>+ </w:t>
      </w:r>
      <w:r>
        <w:rPr>
          <w:w w:val="120"/>
          <w:sz w:val="19"/>
        </w:rPr>
        <w:t>l)(G _ </w:t>
      </w:r>
      <w:r>
        <w:rPr>
          <w:rFonts w:ascii="Arial" w:hAnsi="Arial"/>
          <w:w w:val="120"/>
          <w:sz w:val="19"/>
        </w:rPr>
        <w:t>n) _ </w:t>
      </w:r>
      <w:r>
        <w:rPr>
          <w:i/>
          <w:sz w:val="20"/>
          <w:u w:val="single"/>
        </w:rPr>
        <w:t>k </w:t>
      </w:r>
      <w:r>
        <w:rPr>
          <w:i/>
          <w:w w:val="80"/>
          <w:sz w:val="20"/>
          <w:u w:val="single"/>
        </w:rPr>
        <w:t>( </w:t>
      </w:r>
      <w:r>
        <w:rPr>
          <w:i/>
          <w:sz w:val="20"/>
          <w:u w:val="single"/>
        </w:rPr>
        <w:t>k </w:t>
      </w:r>
      <w:r>
        <w:rPr>
          <w:rFonts w:ascii="Arial" w:hAnsi="Arial"/>
          <w:w w:val="120"/>
          <w:sz w:val="30"/>
          <w:u w:val="single"/>
        </w:rPr>
        <w:t>+ </w:t>
      </w:r>
      <w:r>
        <w:rPr>
          <w:spacing w:val="-3"/>
          <w:w w:val="80"/>
          <w:sz w:val="51"/>
          <w:u w:val="single"/>
        </w:rPr>
        <w:t>1)</w:t>
      </w:r>
      <w:r>
        <w:rPr>
          <w:spacing w:val="-3"/>
          <w:w w:val="80"/>
          <w:sz w:val="51"/>
        </w:rPr>
        <w:t>]</w:t>
      </w:r>
    </w:p>
    <w:p>
      <w:pPr>
        <w:tabs>
          <w:tab w:pos="1874" w:val="left" w:leader="none"/>
          <w:tab w:pos="2475" w:val="left" w:leader="none"/>
          <w:tab w:pos="5143" w:val="left" w:leader="none"/>
        </w:tabs>
        <w:spacing w:line="110" w:lineRule="exact" w:before="0"/>
        <w:ind w:left="124" w:right="0" w:firstLine="0"/>
        <w:jc w:val="left"/>
        <w:rPr>
          <w:sz w:val="18"/>
        </w:rPr>
      </w:pPr>
      <w:r>
        <w:rPr>
          <w:i/>
          <w:w w:val="105"/>
          <w:sz w:val="20"/>
        </w:rPr>
        <w:t>mDz</w:t>
        <w:tab/>
        <w:t>m</w:t>
        <w:tab/>
        <w:t>mDz</w:t>
        <w:tab/>
      </w:r>
      <w:r>
        <w:rPr>
          <w:w w:val="105"/>
          <w:sz w:val="18"/>
        </w:rPr>
        <w:t>2m</w:t>
      </w:r>
    </w:p>
    <w:p>
      <w:pPr>
        <w:spacing w:line="473" w:lineRule="exact" w:before="0"/>
        <w:ind w:left="2227" w:right="0" w:firstLine="0"/>
        <w:jc w:val="left"/>
        <w:rPr>
          <w:sz w:val="21"/>
        </w:rPr>
      </w:pPr>
      <w:r>
        <w:rPr>
          <w:w w:val="110"/>
          <w:sz w:val="23"/>
        </w:rPr>
        <w:t>= </w:t>
      </w:r>
      <w:r>
        <w:rPr>
          <w:w w:val="85"/>
          <w:sz w:val="23"/>
          <w:u w:val="single"/>
        </w:rPr>
        <w:t>(</w:t>
      </w:r>
      <w:r>
        <w:rPr>
          <w:rFonts w:ascii="Arial"/>
          <w:i/>
          <w:w w:val="85"/>
          <w:sz w:val="20"/>
          <w:u w:val="single"/>
        </w:rPr>
        <w:t>k </w:t>
      </w:r>
      <w:r>
        <w:rPr>
          <w:w w:val="110"/>
          <w:sz w:val="29"/>
          <w:u w:val="single"/>
        </w:rPr>
        <w:t>+ </w:t>
      </w:r>
      <w:r>
        <w:rPr>
          <w:w w:val="110"/>
          <w:sz w:val="20"/>
          <w:u w:val="single"/>
        </w:rPr>
        <w:t>1</w:t>
      </w:r>
      <w:r>
        <w:rPr>
          <w:rFonts w:ascii="Arial"/>
          <w:i/>
          <w:w w:val="110"/>
          <w:sz w:val="20"/>
          <w:u w:val="single"/>
        </w:rPr>
        <w:t>)C </w:t>
      </w:r>
      <w:r>
        <w:rPr>
          <w:w w:val="110"/>
          <w:sz w:val="13"/>
          <w:u w:val="single"/>
        </w:rPr>
        <w:t>s+n </w:t>
      </w:r>
      <w:r>
        <w:rPr>
          <w:i/>
          <w:w w:val="85"/>
          <w:sz w:val="50"/>
        </w:rPr>
        <w:t>(a </w:t>
      </w:r>
      <w:r>
        <w:rPr>
          <w:w w:val="85"/>
          <w:sz w:val="50"/>
        </w:rPr>
        <w:t>_ </w:t>
      </w:r>
      <w:r>
        <w:rPr>
          <w:i/>
          <w:w w:val="110"/>
          <w:sz w:val="21"/>
        </w:rPr>
        <w:t>n </w:t>
      </w:r>
      <w:r>
        <w:rPr>
          <w:w w:val="110"/>
          <w:sz w:val="21"/>
        </w:rPr>
        <w:t>_ </w:t>
      </w:r>
      <w:r>
        <w:rPr>
          <w:w w:val="125"/>
          <w:sz w:val="21"/>
        </w:rPr>
        <w:t>}_) .</w:t>
      </w:r>
    </w:p>
    <w:p>
      <w:pPr>
        <w:tabs>
          <w:tab w:pos="4664" w:val="left" w:leader="none"/>
        </w:tabs>
        <w:spacing w:line="205" w:lineRule="exact" w:before="0"/>
        <w:ind w:left="2817" w:right="0" w:firstLine="0"/>
        <w:jc w:val="left"/>
        <w:rPr>
          <w:rFonts w:ascii="Courier New"/>
          <w:sz w:val="21"/>
        </w:rPr>
      </w:pPr>
      <w:r>
        <w:rPr>
          <w:i/>
          <w:w w:val="110"/>
          <w:sz w:val="20"/>
        </w:rPr>
        <w:t>mDz</w:t>
        <w:tab/>
      </w:r>
      <w:r>
        <w:rPr>
          <w:rFonts w:ascii="Courier New"/>
          <w:spacing w:val="-22"/>
          <w:w w:val="110"/>
          <w:sz w:val="21"/>
        </w:rPr>
        <w:t>2m</w:t>
      </w:r>
    </w:p>
    <w:p>
      <w:pPr>
        <w:pStyle w:val="BodyText"/>
        <w:spacing w:line="228" w:lineRule="auto" w:before="141"/>
        <w:ind w:left="128" w:right="146" w:firstLine="198"/>
        <w:jc w:val="both"/>
      </w:pPr>
      <w:r>
        <w:rPr/>
        <w:t>To the above  two  expressions  must  be  added  thc  prescnt  value of the annuity  payments,  </w:t>
      </w:r>
      <w:r>
        <w:rPr>
          <w:rFonts w:ascii="Arial"/>
          <w:i/>
          <w:sz w:val="24"/>
        </w:rPr>
        <w:t>a;"'&gt;, </w:t>
      </w:r>
      <w:r>
        <w:rPr/>
        <w:t>and  </w:t>
      </w:r>
      <w:r>
        <w:rPr>
          <w:w w:val="105"/>
        </w:rPr>
        <w:t>the </w:t>
      </w:r>
      <w:r>
        <w:rPr/>
        <w:t>total  can  then  </w:t>
      </w:r>
      <w:r>
        <w:rPr>
          <w:sz w:val="19"/>
        </w:rPr>
        <w:t>be  </w:t>
      </w:r>
      <w:r>
        <w:rPr/>
        <w:t>equatcd </w:t>
      </w:r>
      <w:r>
        <w:rPr>
          <w:w w:val="105"/>
        </w:rPr>
        <w:t>to  </w:t>
      </w:r>
      <w:r>
        <w:rPr/>
        <w:t>the net  single  premium   </w:t>
      </w:r>
      <w:r>
        <w:rPr>
          <w:rFonts w:ascii="Arial"/>
          <w:sz w:val="19"/>
        </w:rPr>
        <w:t>(1 </w:t>
      </w:r>
      <w:r>
        <w:rPr>
          <w:rFonts w:ascii="Arial"/>
          <w:w w:val="225"/>
          <w:sz w:val="19"/>
        </w:rPr>
        <w:t>- </w:t>
      </w:r>
      <w:r>
        <w:rPr>
          <w:rFonts w:ascii="Arial"/>
          <w:i/>
          <w:sz w:val="18"/>
        </w:rPr>
        <w:t>r </w:t>
      </w:r>
      <w:r>
        <w:rPr/>
        <w:t>)G:</w:t>
      </w:r>
    </w:p>
    <w:p>
      <w:pPr>
        <w:spacing w:after="0" w:line="228" w:lineRule="auto"/>
        <w:jc w:val="both"/>
        <w:sectPr>
          <w:type w:val="continuous"/>
          <w:pgSz w:w="7200" w:h="11340"/>
          <w:pgMar w:top="1100" w:bottom="0" w:left="660" w:right="540"/>
        </w:sectPr>
      </w:pPr>
    </w:p>
    <w:p>
      <w:pPr>
        <w:spacing w:before="67"/>
        <w:ind w:left="146" w:right="0" w:firstLine="0"/>
        <w:jc w:val="left"/>
        <w:rPr>
          <w:rFonts w:ascii="Arial"/>
          <w:sz w:val="19"/>
        </w:rPr>
      </w:pPr>
      <w:r>
        <w:rPr/>
        <w:pict>
          <v:line style="position:absolute;mso-position-horizontal-relative:page;mso-position-vertical-relative:paragraph;z-index:-723760" from="155.880005pt,28.253742pt" to="168.300005pt,28.253742pt" stroked="true" strokeweight="4.860pt" strokecolor="#000000">
            <w10:wrap type="none"/>
          </v:line>
        </w:pict>
      </w:r>
      <w:r>
        <w:rPr/>
        <w:pict>
          <v:shape style="position:absolute;margin-left:178.559998pt;margin-top:16.877005pt;width:12.45pt;height:10pt;mso-position-horizontal-relative:page;mso-position-vertical-relative:paragraph;z-index:-723616" type="#_x0000_t202" filled="false" stroked="false">
            <v:textbox inset="0,0,0,0">
              <w:txbxContent>
                <w:p>
                  <w:pPr>
                    <w:spacing w:line="200" w:lineRule="exact" w:before="0"/>
                    <w:ind w:left="0" w:right="-15" w:firstLine="0"/>
                    <w:jc w:val="left"/>
                    <w:rPr>
                      <w:i/>
                      <w:sz w:val="20"/>
                    </w:rPr>
                  </w:pPr>
                  <w:r>
                    <w:rPr>
                      <w:i/>
                      <w:w w:val="125"/>
                      <w:sz w:val="20"/>
                    </w:rPr>
                    <w:t>D,</w:t>
                  </w:r>
                </w:p>
              </w:txbxContent>
            </v:textbox>
            <w10:wrap type="none"/>
          </v:shape>
        </w:pict>
      </w:r>
      <w:r>
        <w:rPr>
          <w:rFonts w:ascii="Arial"/>
          <w:w w:val="132"/>
          <w:sz w:val="19"/>
        </w:rPr>
        <w:t>(</w:t>
      </w:r>
      <w:r>
        <w:rPr>
          <w:rFonts w:ascii="Arial"/>
          <w:w w:val="132"/>
          <w:sz w:val="19"/>
        </w:rPr>
        <w:t>1</w:t>
      </w:r>
      <w:r>
        <w:rPr>
          <w:rFonts w:ascii="Arial"/>
          <w:spacing w:val="-4"/>
          <w:sz w:val="19"/>
        </w:rPr>
        <w:t> </w:t>
      </w:r>
      <w:r>
        <w:rPr>
          <w:rFonts w:ascii="Arial"/>
          <w:w w:val="276"/>
          <w:sz w:val="19"/>
        </w:rPr>
        <w:t>-</w:t>
      </w:r>
      <w:r>
        <w:rPr>
          <w:rFonts w:ascii="Arial"/>
          <w:spacing w:val="9"/>
          <w:sz w:val="19"/>
        </w:rPr>
        <w:t> </w:t>
      </w:r>
      <w:r>
        <w:rPr>
          <w:i/>
          <w:w w:val="100"/>
          <w:sz w:val="20"/>
        </w:rPr>
        <w:t>r</w:t>
      </w:r>
      <w:r>
        <w:rPr>
          <w:i/>
          <w:spacing w:val="-28"/>
          <w:sz w:val="20"/>
        </w:rPr>
        <w:t> </w:t>
      </w:r>
      <w:r>
        <w:rPr>
          <w:i/>
          <w:w w:val="87"/>
          <w:sz w:val="20"/>
        </w:rPr>
        <w:t>)</w:t>
      </w:r>
      <w:r>
        <w:rPr>
          <w:i/>
          <w:w w:val="87"/>
          <w:sz w:val="20"/>
        </w:rPr>
        <w:t>G</w:t>
      </w:r>
      <w:r>
        <w:rPr>
          <w:i/>
          <w:sz w:val="20"/>
        </w:rPr>
        <w:t> </w:t>
      </w:r>
      <w:r>
        <w:rPr>
          <w:i/>
          <w:spacing w:val="23"/>
          <w:sz w:val="20"/>
        </w:rPr>
        <w:t> </w:t>
      </w:r>
      <w:r>
        <w:rPr>
          <w:rFonts w:ascii="Arial"/>
          <w:w w:val="88"/>
          <w:sz w:val="21"/>
        </w:rPr>
        <w:t>=,</w:t>
      </w:r>
      <w:r>
        <w:rPr>
          <w:rFonts w:ascii="Arial"/>
          <w:spacing w:val="-11"/>
          <w:sz w:val="21"/>
        </w:rPr>
        <w:t> </w:t>
      </w:r>
      <w:r>
        <w:rPr>
          <w:rFonts w:ascii="Arial"/>
          <w:spacing w:val="-29"/>
          <w:w w:val="175"/>
          <w:sz w:val="43"/>
        </w:rPr>
        <w:t>}</w:t>
      </w:r>
      <w:r>
        <w:rPr>
          <w:rFonts w:ascii="Arial"/>
          <w:spacing w:val="-6"/>
          <w:w w:val="68"/>
          <w:sz w:val="43"/>
        </w:rPr>
        <w:t>{</w:t>
      </w:r>
      <w:r>
        <w:rPr>
          <w:rFonts w:ascii="Arial"/>
          <w:spacing w:val="-23"/>
          <w:w w:val="62"/>
          <w:sz w:val="43"/>
        </w:rPr>
        <w:t>N</w:t>
      </w:r>
      <w:r>
        <w:rPr>
          <w:w w:val="107"/>
          <w:sz w:val="20"/>
        </w:rPr>
        <w:t>.,</w:t>
      </w:r>
      <w:r>
        <w:rPr>
          <w:spacing w:val="-15"/>
          <w:w w:val="107"/>
          <w:sz w:val="20"/>
        </w:rPr>
        <w:t>-</w:t>
      </w:r>
      <w:r>
        <w:rPr>
          <w:w w:val="94"/>
          <w:sz w:val="20"/>
        </w:rPr>
        <w:t>1</w:t>
      </w:r>
      <w:r>
        <w:rPr>
          <w:sz w:val="20"/>
        </w:rPr>
        <w:t> </w:t>
      </w:r>
      <w:r>
        <w:rPr>
          <w:rFonts w:ascii="Arial"/>
          <w:spacing w:val="23"/>
          <w:w w:val="109"/>
          <w:sz w:val="30"/>
        </w:rPr>
        <w:t>+</w:t>
      </w:r>
      <w:r>
        <w:rPr>
          <w:rFonts w:ascii="Arial"/>
          <w:spacing w:val="-15"/>
          <w:w w:val="46"/>
          <w:sz w:val="46"/>
        </w:rPr>
        <w:t>m</w:t>
      </w:r>
      <w:r>
        <w:rPr>
          <w:rFonts w:ascii="Arial"/>
          <w:w w:val="59"/>
          <w:sz w:val="46"/>
        </w:rPr>
        <w:t>:z:</w:t>
      </w:r>
      <w:r>
        <w:rPr>
          <w:rFonts w:ascii="Arial"/>
          <w:spacing w:val="-81"/>
          <w:sz w:val="46"/>
        </w:rPr>
        <w:t> </w:t>
      </w:r>
      <w:r>
        <w:rPr>
          <w:rFonts w:ascii="Arial"/>
          <w:w w:val="126"/>
          <w:position w:val="14"/>
          <w:sz w:val="19"/>
        </w:rPr>
        <w:t>1</w:t>
      </w:r>
    </w:p>
    <w:p>
      <w:pPr>
        <w:spacing w:line="283" w:lineRule="exact" w:before="217"/>
        <w:ind w:left="13" w:right="-11" w:firstLine="0"/>
        <w:jc w:val="left"/>
        <w:rPr>
          <w:i/>
          <w:sz w:val="20"/>
        </w:rPr>
      </w:pPr>
      <w:r>
        <w:rPr/>
        <w:br w:type="column"/>
      </w:r>
      <w:r>
        <w:rPr>
          <w:rFonts w:ascii="Arial"/>
          <w:w w:val="109"/>
          <w:sz w:val="30"/>
        </w:rPr>
        <w:t>+</w:t>
      </w:r>
      <w:r>
        <w:rPr>
          <w:rFonts w:ascii="Arial"/>
          <w:spacing w:val="-46"/>
          <w:sz w:val="30"/>
        </w:rPr>
        <w:t> </w:t>
      </w:r>
      <w:r>
        <w:rPr>
          <w:rFonts w:ascii="Arial"/>
          <w:spacing w:val="-36"/>
          <w:w w:val="150"/>
          <w:sz w:val="30"/>
        </w:rPr>
        <w:t>(</w:t>
      </w:r>
      <w:r>
        <w:rPr>
          <w:i/>
          <w:w w:val="96"/>
          <w:sz w:val="20"/>
        </w:rPr>
        <w:t>G</w:t>
      </w:r>
      <w:r>
        <w:rPr>
          <w:i/>
          <w:sz w:val="20"/>
        </w:rPr>
        <w:t> </w:t>
      </w:r>
      <w:r>
        <w:rPr>
          <w:i/>
          <w:spacing w:val="-17"/>
          <w:sz w:val="20"/>
        </w:rPr>
        <w:t> </w:t>
      </w:r>
      <w:r>
        <w:rPr>
          <w:spacing w:val="20"/>
          <w:w w:val="282"/>
          <w:sz w:val="20"/>
        </w:rPr>
        <w:t>-</w:t>
      </w:r>
      <w:r>
        <w:rPr>
          <w:i/>
          <w:w w:val="111"/>
          <w:sz w:val="20"/>
        </w:rPr>
        <w:t>m</w:t>
      </w:r>
    </w:p>
    <w:p>
      <w:pPr>
        <w:spacing w:line="157" w:lineRule="exact" w:before="0"/>
        <w:ind w:left="0" w:right="0" w:firstLine="0"/>
        <w:jc w:val="right"/>
        <w:rPr>
          <w:rFonts w:ascii="Arial"/>
          <w:sz w:val="19"/>
        </w:rPr>
      </w:pPr>
      <w:r>
        <w:rPr>
          <w:rFonts w:ascii="Arial"/>
          <w:w w:val="101"/>
          <w:sz w:val="19"/>
        </w:rPr>
        <w:t>2</w:t>
      </w:r>
    </w:p>
    <w:p>
      <w:pPr>
        <w:pStyle w:val="BodyText"/>
        <w:spacing w:before="7"/>
        <w:rPr>
          <w:rFonts w:ascii="Arial"/>
          <w:sz w:val="15"/>
        </w:rPr>
      </w:pPr>
      <w:r>
        <w:rPr/>
        <w:br w:type="column"/>
      </w:r>
      <w:r>
        <w:rPr>
          <w:rFonts w:ascii="Arial"/>
          <w:sz w:val="15"/>
        </w:rPr>
      </w:r>
    </w:p>
    <w:p>
      <w:pPr>
        <w:spacing w:line="179" w:lineRule="exact" w:before="0"/>
        <w:ind w:left="146" w:right="0" w:firstLine="0"/>
        <w:jc w:val="left"/>
        <w:rPr>
          <w:rFonts w:ascii="Arial"/>
          <w:sz w:val="19"/>
        </w:rPr>
      </w:pPr>
      <w:r>
        <w:rPr>
          <w:rFonts w:ascii="Arial"/>
          <w:w w:val="126"/>
          <w:sz w:val="19"/>
        </w:rPr>
        <w:t>1</w:t>
      </w:r>
    </w:p>
    <w:p>
      <w:pPr>
        <w:spacing w:line="179" w:lineRule="exact" w:before="0"/>
        <w:ind w:left="232" w:right="0" w:firstLine="0"/>
        <w:jc w:val="left"/>
        <w:rPr>
          <w:rFonts w:ascii="Arial"/>
          <w:sz w:val="19"/>
        </w:rPr>
      </w:pPr>
      <w:r>
        <w:rPr/>
        <w:pict>
          <v:line style="position:absolute;mso-position-horizontal-relative:page;mso-position-vertical-relative:paragraph;z-index:-723736" from="240.839996pt,9.838858pt" to="271.259996pt,9.838858pt" stroked="true" strokeweight="5.76pt" strokecolor="#000000">
            <w10:wrap type="none"/>
          </v:line>
        </w:pict>
      </w:r>
      <w:r>
        <w:rPr>
          <w:rFonts w:ascii="Arial"/>
          <w:w w:val="150"/>
          <w:sz w:val="19"/>
        </w:rPr>
        <w:t>)(</w:t>
      </w:r>
      <w:r>
        <w:rPr>
          <w:rFonts w:ascii="Arial"/>
          <w:spacing w:val="-20"/>
          <w:w w:val="150"/>
          <w:sz w:val="19"/>
        </w:rPr>
        <w:t>M</w:t>
      </w:r>
      <w:r>
        <w:rPr>
          <w:rFonts w:ascii="Arial"/>
          <w:spacing w:val="-42"/>
          <w:w w:val="337"/>
          <w:sz w:val="19"/>
        </w:rPr>
        <w:t>.</w:t>
      </w:r>
      <w:r>
        <w:rPr>
          <w:rFonts w:ascii="Arial"/>
          <w:w w:val="262"/>
          <w:sz w:val="19"/>
        </w:rPr>
        <w:t>-</w:t>
      </w:r>
      <w:r>
        <w:rPr>
          <w:rFonts w:ascii="Arial"/>
          <w:spacing w:val="-9"/>
          <w:sz w:val="19"/>
        </w:rPr>
        <w:t> </w:t>
      </w:r>
      <w:r>
        <w:rPr>
          <w:rFonts w:ascii="Arial"/>
          <w:spacing w:val="-183"/>
          <w:w w:val="141"/>
          <w:sz w:val="19"/>
        </w:rPr>
        <w:t>M</w:t>
      </w:r>
      <w:r>
        <w:rPr>
          <w:rFonts w:ascii="Arial"/>
          <w:spacing w:val="-237"/>
          <w:w w:val="319"/>
          <w:sz w:val="19"/>
        </w:rPr>
        <w:t>,</w:t>
      </w:r>
      <w:r>
        <w:rPr>
          <w:rFonts w:ascii="Arial"/>
          <w:w w:val="121"/>
          <w:sz w:val="19"/>
        </w:rPr>
        <w:t>+J</w:t>
      </w:r>
    </w:p>
    <w:p>
      <w:pPr>
        <w:spacing w:after="0" w:line="179" w:lineRule="exact"/>
        <w:jc w:val="left"/>
        <w:rPr>
          <w:rFonts w:ascii="Arial"/>
          <w:sz w:val="19"/>
        </w:rPr>
        <w:sectPr>
          <w:type w:val="continuous"/>
          <w:pgSz w:w="7200" w:h="11340"/>
          <w:pgMar w:top="1100" w:bottom="0" w:left="660" w:right="540"/>
          <w:cols w:num="3" w:equalWidth="0">
            <w:col w:w="3161" w:space="40"/>
            <w:col w:w="1065" w:space="84"/>
            <w:col w:w="1650"/>
          </w:cols>
        </w:sectPr>
      </w:pPr>
    </w:p>
    <w:p>
      <w:pPr>
        <w:spacing w:before="74"/>
        <w:ind w:left="157" w:right="0" w:firstLine="0"/>
        <w:jc w:val="left"/>
        <w:rPr>
          <w:rFonts w:ascii="Arial"/>
          <w:sz w:val="19"/>
        </w:rPr>
      </w:pPr>
      <w:r>
        <w:rPr/>
        <w:pict>
          <v:rect style="position:absolute;margin-left:222.300003pt;margin-top:22.989815pt;width:7.56pt;height:4.68pt;mso-position-horizontal-relative:page;mso-position-vertical-relative:paragraph;z-index:-723712" filled="true" fillcolor="#000000" stroked="false">
            <v:fill type="solid"/>
            <w10:wrap type="none"/>
          </v:rect>
        </w:pict>
      </w:r>
      <w:r>
        <w:rPr/>
        <w:pict>
          <v:line style="position:absolute;mso-position-horizontal-relative:page;mso-position-vertical-relative:paragraph;z-index:12376" from="300.239990pt,25.689814pt" to="312.299990pt,25.689814pt" stroked="true" strokeweight="4.68pt" strokecolor="#000000">
            <w10:wrap type="none"/>
          </v:line>
        </w:pict>
      </w:r>
      <w:r>
        <w:rPr>
          <w:w w:val="282"/>
          <w:sz w:val="20"/>
        </w:rPr>
        <w:t>-</w:t>
      </w:r>
      <w:r>
        <w:rPr>
          <w:spacing w:val="6"/>
          <w:sz w:val="20"/>
        </w:rPr>
        <w:t> </w:t>
      </w:r>
      <w:r>
        <w:rPr>
          <w:w w:val="90"/>
          <w:sz w:val="20"/>
        </w:rPr>
        <w:t>[Rz+i</w:t>
      </w:r>
      <w:r>
        <w:rPr>
          <w:sz w:val="20"/>
        </w:rPr>
        <w:t> </w:t>
      </w:r>
      <w:r>
        <w:rPr>
          <w:spacing w:val="-12"/>
          <w:sz w:val="20"/>
        </w:rPr>
        <w:t> </w:t>
      </w:r>
      <w:r>
        <w:rPr>
          <w:w w:val="267"/>
          <w:sz w:val="20"/>
        </w:rPr>
        <w:t>-</w:t>
      </w:r>
      <w:r>
        <w:rPr>
          <w:spacing w:val="9"/>
          <w:sz w:val="20"/>
        </w:rPr>
        <w:t> </w:t>
      </w:r>
      <w:r>
        <w:rPr>
          <w:i/>
          <w:w w:val="79"/>
          <w:sz w:val="22"/>
        </w:rPr>
        <w:t>Rz</w:t>
      </w:r>
      <w:r>
        <w:rPr>
          <w:i/>
          <w:spacing w:val="11"/>
          <w:w w:val="79"/>
          <w:sz w:val="22"/>
        </w:rPr>
        <w:t>+</w:t>
      </w:r>
      <w:r>
        <w:rPr>
          <w:i/>
          <w:w w:val="93"/>
          <w:sz w:val="22"/>
        </w:rPr>
        <w:t>"</w:t>
      </w:r>
      <w:r>
        <w:rPr>
          <w:i/>
          <w:sz w:val="22"/>
        </w:rPr>
        <w:t> </w:t>
      </w:r>
      <w:r>
        <w:rPr>
          <w:i/>
          <w:spacing w:val="-24"/>
          <w:sz w:val="22"/>
        </w:rPr>
        <w:t> </w:t>
      </w:r>
      <w:r>
        <w:rPr>
          <w:w w:val="243"/>
          <w:sz w:val="22"/>
        </w:rPr>
        <w:t>-</w:t>
      </w:r>
      <w:r>
        <w:rPr>
          <w:spacing w:val="-4"/>
          <w:sz w:val="22"/>
        </w:rPr>
        <w:t> </w:t>
      </w:r>
      <w:r>
        <w:rPr>
          <w:spacing w:val="10"/>
          <w:w w:val="88"/>
          <w:sz w:val="22"/>
        </w:rPr>
        <w:t>(</w:t>
      </w:r>
      <w:r>
        <w:rPr>
          <w:i/>
          <w:w w:val="117"/>
          <w:sz w:val="21"/>
        </w:rPr>
        <w:t>n</w:t>
      </w:r>
      <w:r>
        <w:rPr>
          <w:i/>
          <w:spacing w:val="15"/>
          <w:sz w:val="21"/>
        </w:rPr>
        <w:t> </w:t>
      </w:r>
      <w:r>
        <w:rPr>
          <w:w w:val="261"/>
          <w:sz w:val="21"/>
        </w:rPr>
        <w:t>-</w:t>
      </w:r>
      <w:r>
        <w:rPr>
          <w:spacing w:val="-6"/>
          <w:sz w:val="21"/>
        </w:rPr>
        <w:t> </w:t>
      </w:r>
      <w:r>
        <w:rPr>
          <w:spacing w:val="-21"/>
          <w:w w:val="129"/>
          <w:sz w:val="20"/>
        </w:rPr>
        <w:t>1</w:t>
      </w:r>
      <w:r>
        <w:rPr>
          <w:rFonts w:ascii="Arial"/>
          <w:spacing w:val="4"/>
          <w:w w:val="111"/>
          <w:position w:val="3"/>
          <w:sz w:val="20"/>
        </w:rPr>
        <w:t>)</w:t>
      </w:r>
      <w:r>
        <w:rPr>
          <w:i/>
          <w:w w:val="90"/>
          <w:sz w:val="21"/>
        </w:rPr>
        <w:t>M</w:t>
      </w:r>
      <w:r>
        <w:rPr>
          <w:i/>
          <w:spacing w:val="-18"/>
          <w:sz w:val="21"/>
        </w:rPr>
        <w:t> </w:t>
      </w:r>
      <w:r>
        <w:rPr>
          <w:rFonts w:ascii="Arial"/>
          <w:w w:val="101"/>
          <w:sz w:val="12"/>
        </w:rPr>
        <w:t>z+,</w:t>
      </w:r>
      <w:r>
        <w:rPr>
          <w:rFonts w:ascii="Arial"/>
          <w:spacing w:val="13"/>
          <w:w w:val="101"/>
          <w:sz w:val="12"/>
        </w:rPr>
        <w:t>a</w:t>
      </w:r>
      <w:r>
        <w:rPr>
          <w:rFonts w:ascii="Arial"/>
          <w:w w:val="81"/>
          <w:position w:val="3"/>
          <w:sz w:val="20"/>
        </w:rPr>
        <w:t>)</w:t>
      </w:r>
      <w:r>
        <w:rPr>
          <w:rFonts w:ascii="Arial"/>
          <w:spacing w:val="1"/>
          <w:position w:val="3"/>
          <w:sz w:val="20"/>
        </w:rPr>
        <w:t> </w:t>
      </w:r>
      <w:r>
        <w:rPr>
          <w:rFonts w:ascii="Arial"/>
          <w:w w:val="109"/>
          <w:sz w:val="30"/>
        </w:rPr>
        <w:t>+</w:t>
      </w:r>
      <w:r>
        <w:rPr>
          <w:rFonts w:ascii="Arial"/>
          <w:spacing w:val="-35"/>
          <w:sz w:val="30"/>
        </w:rPr>
        <w:t> </w:t>
      </w:r>
      <w:r>
        <w:rPr>
          <w:rFonts w:ascii="Arial"/>
          <w:i/>
          <w:w w:val="79"/>
          <w:position w:val="9"/>
          <w:sz w:val="20"/>
        </w:rPr>
        <w:t>(</w:t>
      </w:r>
      <w:r>
        <w:rPr>
          <w:rFonts w:ascii="Arial"/>
          <w:i/>
          <w:spacing w:val="-30"/>
          <w:position w:val="9"/>
          <w:sz w:val="20"/>
        </w:rPr>
        <w:t> </w:t>
      </w:r>
      <w:r>
        <w:rPr>
          <w:rFonts w:ascii="Arial"/>
          <w:i/>
          <w:w w:val="91"/>
          <w:position w:val="9"/>
          <w:sz w:val="20"/>
        </w:rPr>
        <w:t>k</w:t>
      </w:r>
      <w:r>
        <w:rPr>
          <w:rFonts w:ascii="Arial"/>
          <w:i/>
          <w:position w:val="9"/>
          <w:sz w:val="20"/>
        </w:rPr>
        <w:t> </w:t>
      </w:r>
      <w:r>
        <w:rPr>
          <w:rFonts w:ascii="Arial"/>
          <w:i/>
          <w:spacing w:val="-19"/>
          <w:position w:val="9"/>
          <w:sz w:val="20"/>
        </w:rPr>
        <w:t> </w:t>
      </w:r>
      <w:r>
        <w:rPr>
          <w:rFonts w:ascii="Arial"/>
          <w:spacing w:val="7"/>
          <w:w w:val="104"/>
          <w:position w:val="9"/>
          <w:sz w:val="30"/>
        </w:rPr>
        <w:t>+</w:t>
      </w:r>
      <w:r>
        <w:rPr>
          <w:i/>
          <w:spacing w:val="-89"/>
          <w:w w:val="105"/>
          <w:sz w:val="21"/>
        </w:rPr>
        <w:t>m</w:t>
      </w:r>
      <w:r>
        <w:rPr>
          <w:w w:val="140"/>
          <w:position w:val="9"/>
          <w:sz w:val="20"/>
        </w:rPr>
        <w:t>l</w:t>
      </w:r>
      <w:r>
        <w:rPr>
          <w:spacing w:val="-24"/>
          <w:position w:val="9"/>
          <w:sz w:val="20"/>
        </w:rPr>
        <w:t> </w:t>
      </w:r>
      <w:r>
        <w:rPr>
          <w:w w:val="103"/>
          <w:position w:val="9"/>
          <w:sz w:val="20"/>
        </w:rPr>
        <w:t>)</w:t>
      </w:r>
      <w:r>
        <w:rPr>
          <w:w w:val="103"/>
          <w:position w:val="9"/>
          <w:sz w:val="20"/>
        </w:rPr>
        <w:t>Cz+,.</w:t>
      </w:r>
      <w:r>
        <w:rPr>
          <w:spacing w:val="10"/>
          <w:w w:val="103"/>
          <w:position w:val="9"/>
          <w:sz w:val="20"/>
        </w:rPr>
        <w:t>(</w:t>
      </w:r>
      <w:r>
        <w:rPr>
          <w:i/>
          <w:w w:val="91"/>
          <w:sz w:val="21"/>
        </w:rPr>
        <w:t>G</w:t>
      </w:r>
      <w:r>
        <w:rPr>
          <w:i/>
          <w:spacing w:val="-2"/>
          <w:sz w:val="21"/>
        </w:rPr>
        <w:t> </w:t>
      </w:r>
      <w:r>
        <w:rPr>
          <w:spacing w:val="14"/>
          <w:w w:val="261"/>
          <w:sz w:val="21"/>
        </w:rPr>
        <w:t>-</w:t>
      </w:r>
      <w:r>
        <w:rPr>
          <w:i/>
          <w:w w:val="113"/>
          <w:sz w:val="21"/>
        </w:rPr>
        <w:t>n</w:t>
      </w:r>
      <w:r>
        <w:rPr>
          <w:i/>
          <w:spacing w:val="12"/>
          <w:sz w:val="21"/>
        </w:rPr>
        <w:t> </w:t>
      </w:r>
      <w:r>
        <w:rPr>
          <w:w w:val="261"/>
          <w:sz w:val="21"/>
        </w:rPr>
        <w:t>-</w:t>
      </w:r>
      <w:r>
        <w:rPr>
          <w:spacing w:val="-27"/>
          <w:sz w:val="21"/>
        </w:rPr>
        <w:t> </w:t>
      </w:r>
      <w:r>
        <w:rPr>
          <w:rFonts w:ascii="Arial"/>
          <w:spacing w:val="-26"/>
          <w:w w:val="95"/>
          <w:sz w:val="19"/>
        </w:rPr>
        <w:t>2</w:t>
      </w:r>
      <w:r>
        <w:rPr>
          <w:rFonts w:ascii="Arial"/>
          <w:i/>
          <w:spacing w:val="-59"/>
          <w:w w:val="84"/>
          <w:position w:val="9"/>
          <w:sz w:val="20"/>
        </w:rPr>
        <w:t>k</w:t>
      </w:r>
      <w:r>
        <w:rPr>
          <w:rFonts w:ascii="Arial"/>
          <w:spacing w:val="-9"/>
          <w:w w:val="95"/>
          <w:sz w:val="19"/>
        </w:rPr>
        <w:t>m</w:t>
      </w:r>
      <w:r>
        <w:rPr>
          <w:rFonts w:ascii="Arial"/>
          <w:w w:val="178"/>
          <w:position w:val="9"/>
          <w:sz w:val="20"/>
        </w:rPr>
        <w:t>)</w:t>
      </w:r>
      <w:r>
        <w:rPr>
          <w:rFonts w:ascii="Arial"/>
          <w:spacing w:val="-19"/>
          <w:w w:val="178"/>
          <w:position w:val="9"/>
          <w:sz w:val="20"/>
        </w:rPr>
        <w:t>}</w:t>
      </w:r>
      <w:r>
        <w:rPr>
          <w:rFonts w:ascii="Arial"/>
          <w:w w:val="168"/>
          <w:sz w:val="19"/>
        </w:rPr>
        <w:t>.</w:t>
      </w:r>
    </w:p>
    <w:p>
      <w:pPr>
        <w:pStyle w:val="BodyText"/>
        <w:spacing w:before="1"/>
        <w:rPr>
          <w:rFonts w:ascii="Arial"/>
          <w:sz w:val="12"/>
        </w:rPr>
      </w:pPr>
    </w:p>
    <w:p>
      <w:pPr>
        <w:spacing w:after="0"/>
        <w:rPr>
          <w:rFonts w:ascii="Arial"/>
          <w:sz w:val="12"/>
        </w:rPr>
        <w:sectPr>
          <w:type w:val="continuous"/>
          <w:pgSz w:w="7200" w:h="11340"/>
          <w:pgMar w:top="1100" w:bottom="0" w:left="660" w:right="540"/>
        </w:sectPr>
      </w:pPr>
    </w:p>
    <w:p>
      <w:pPr>
        <w:spacing w:before="75"/>
        <w:ind w:left="124" w:right="0" w:firstLine="0"/>
        <w:jc w:val="left"/>
        <w:rPr>
          <w:sz w:val="20"/>
        </w:rPr>
      </w:pPr>
      <w:r>
        <w:rPr>
          <w:w w:val="105"/>
          <w:sz w:val="20"/>
        </w:rPr>
        <w:t>Solving </w:t>
      </w:r>
      <w:r>
        <w:rPr>
          <w:w w:val="105"/>
          <w:sz w:val="19"/>
        </w:rPr>
        <w:t>for </w:t>
      </w:r>
      <w:r>
        <w:rPr>
          <w:rFonts w:ascii="Arial"/>
          <w:i/>
          <w:w w:val="105"/>
          <w:sz w:val="19"/>
        </w:rPr>
        <w:t>G, </w:t>
      </w:r>
      <w:r>
        <w:rPr>
          <w:w w:val="105"/>
          <w:sz w:val="19"/>
        </w:rPr>
        <w:t>we </w:t>
      </w:r>
      <w:r>
        <w:rPr>
          <w:w w:val="105"/>
          <w:sz w:val="20"/>
        </w:rPr>
        <w:t>have</w:t>
      </w:r>
    </w:p>
    <w:p>
      <w:pPr>
        <w:pStyle w:val="BodyText"/>
      </w:pPr>
    </w:p>
    <w:p>
      <w:pPr>
        <w:pStyle w:val="BodyText"/>
      </w:pPr>
    </w:p>
    <w:p>
      <w:pPr>
        <w:pStyle w:val="BodyText"/>
        <w:spacing w:before="2"/>
        <w:rPr>
          <w:sz w:val="24"/>
        </w:rPr>
      </w:pPr>
    </w:p>
    <w:p>
      <w:pPr>
        <w:pStyle w:val="BodyText"/>
        <w:ind w:left="135"/>
      </w:pPr>
      <w:r>
        <w:rPr/>
        <w:t>whcre</w:t>
      </w:r>
    </w:p>
    <w:p>
      <w:pPr>
        <w:pStyle w:val="BodyText"/>
        <w:rPr>
          <w:sz w:val="24"/>
        </w:rPr>
      </w:pPr>
      <w:r>
        <w:rPr/>
        <w:br w:type="column"/>
      </w:r>
      <w:r>
        <w:rPr>
          <w:sz w:val="24"/>
        </w:rPr>
      </w:r>
    </w:p>
    <w:p>
      <w:pPr>
        <w:spacing w:line="206" w:lineRule="exact" w:before="148"/>
        <w:ind w:left="351" w:right="0" w:firstLine="0"/>
        <w:jc w:val="left"/>
        <w:rPr>
          <w:rFonts w:ascii="Courier New"/>
          <w:i/>
          <w:sz w:val="25"/>
        </w:rPr>
      </w:pPr>
      <w:r>
        <w:rPr>
          <w:rFonts w:ascii="Courier New"/>
          <w:i/>
          <w:w w:val="95"/>
          <w:sz w:val="25"/>
        </w:rPr>
        <w:t>.</w:t>
      </w:r>
      <w:r>
        <w:rPr>
          <w:rFonts w:ascii="Courier New"/>
          <w:i/>
          <w:spacing w:val="-64"/>
          <w:w w:val="95"/>
          <w:sz w:val="25"/>
        </w:rPr>
        <w:t> </w:t>
      </w:r>
      <w:r>
        <w:rPr>
          <w:rFonts w:ascii="Courier New"/>
          <w:i/>
          <w:w w:val="95"/>
          <w:sz w:val="25"/>
        </w:rPr>
        <w:t>A</w:t>
      </w:r>
    </w:p>
    <w:p>
      <w:pPr>
        <w:tabs>
          <w:tab w:pos="2918" w:val="left" w:leader="none"/>
        </w:tabs>
        <w:spacing w:line="261" w:lineRule="exact" w:before="0"/>
        <w:ind w:left="574" w:right="0" w:firstLine="0"/>
        <w:jc w:val="left"/>
        <w:rPr>
          <w:sz w:val="20"/>
        </w:rPr>
      </w:pPr>
      <w:r>
        <w:rPr/>
        <w:pict>
          <v:shape style="position:absolute;margin-left:164.699997pt;margin-top:-3.695286pt;width:7.15pt;height:12.5pt;mso-position-horizontal-relative:page;mso-position-vertical-relative:paragraph;z-index:12472" type="#_x0000_t202" filled="false" stroked="false">
            <v:textbox inset="0,0,0,0">
              <w:txbxContent>
                <w:p>
                  <w:pPr>
                    <w:spacing w:line="250" w:lineRule="exact" w:before="0"/>
                    <w:ind w:left="0" w:right="0" w:firstLine="0"/>
                    <w:jc w:val="left"/>
                    <w:rPr>
                      <w:rFonts w:ascii="Courier New"/>
                      <w:i/>
                      <w:sz w:val="25"/>
                    </w:rPr>
                  </w:pPr>
                  <w:r>
                    <w:rPr>
                      <w:rFonts w:ascii="Courier New"/>
                      <w:i/>
                      <w:w w:val="94"/>
                      <w:sz w:val="25"/>
                    </w:rPr>
                    <w:t>G</w:t>
                  </w:r>
                </w:p>
              </w:txbxContent>
            </v:textbox>
            <w10:wrap type="none"/>
          </v:shape>
        </w:pict>
      </w:r>
      <w:r>
        <w:rPr>
          <w:rFonts w:ascii="Arial"/>
          <w:i/>
          <w:position w:val="-9"/>
          <w:sz w:val="24"/>
        </w:rPr>
        <w:t>B</w:t>
      </w:r>
      <w:r>
        <w:rPr>
          <w:rFonts w:ascii="Arial"/>
          <w:i/>
          <w:spacing w:val="1"/>
          <w:position w:val="-9"/>
          <w:sz w:val="24"/>
        </w:rPr>
        <w:t> </w:t>
      </w:r>
      <w:r>
        <w:rPr>
          <w:rFonts w:ascii="Arial"/>
          <w:i/>
          <w:position w:val="-9"/>
          <w:sz w:val="24"/>
        </w:rPr>
        <w:t>'</w:t>
        <w:tab/>
      </w:r>
      <w:r>
        <w:rPr>
          <w:sz w:val="20"/>
        </w:rPr>
        <w:t>(</w:t>
      </w:r>
      <w:r>
        <w:rPr>
          <w:spacing w:val="-28"/>
          <w:sz w:val="20"/>
        </w:rPr>
        <w:t> </w:t>
      </w:r>
      <w:r>
        <w:rPr>
          <w:sz w:val="20"/>
        </w:rPr>
        <w:t>7.2)</w:t>
      </w:r>
    </w:p>
    <w:p>
      <w:pPr>
        <w:spacing w:after="0" w:line="261" w:lineRule="exact"/>
        <w:jc w:val="left"/>
        <w:rPr>
          <w:sz w:val="20"/>
        </w:rPr>
        <w:sectPr>
          <w:type w:val="continuous"/>
          <w:pgSz w:w="7200" w:h="11340"/>
          <w:pgMar w:top="1100" w:bottom="0" w:left="660" w:right="540"/>
          <w:cols w:num="2" w:equalWidth="0">
            <w:col w:w="2080" w:space="429"/>
            <w:col w:w="3491"/>
          </w:cols>
        </w:sectPr>
      </w:pPr>
    </w:p>
    <w:p>
      <w:pPr>
        <w:pStyle w:val="BodyText"/>
        <w:spacing w:after="1"/>
        <w:rPr>
          <w:sz w:val="14"/>
        </w:rPr>
      </w:pPr>
    </w:p>
    <w:p>
      <w:pPr>
        <w:pStyle w:val="BodyText"/>
        <w:ind w:left="117"/>
      </w:pPr>
      <w:r>
        <w:rPr/>
        <w:drawing>
          <wp:inline distT="0" distB="0" distL="0" distR="0">
            <wp:extent cx="2304288" cy="265175"/>
            <wp:effectExtent l="0" t="0" r="0" b="0"/>
            <wp:docPr id="305" name="image158.png" descr=""/>
            <wp:cNvGraphicFramePr>
              <a:graphicFrameLocks noChangeAspect="1"/>
            </wp:cNvGraphicFramePr>
            <a:graphic>
              <a:graphicData uri="http://schemas.openxmlformats.org/drawingml/2006/picture">
                <pic:pic>
                  <pic:nvPicPr>
                    <pic:cNvPr id="306" name="image158.png"/>
                    <pic:cNvPicPr/>
                  </pic:nvPicPr>
                  <pic:blipFill>
                    <a:blip r:embed="rId162" cstate="print"/>
                    <a:stretch>
                      <a:fillRect/>
                    </a:stretch>
                  </pic:blipFill>
                  <pic:spPr>
                    <a:xfrm>
                      <a:off x="0" y="0"/>
                      <a:ext cx="2304288" cy="265175"/>
                    </a:xfrm>
                    <a:prstGeom prst="rect">
                      <a:avLst/>
                    </a:prstGeom>
                  </pic:spPr>
                </pic:pic>
              </a:graphicData>
            </a:graphic>
          </wp:inline>
        </w:drawing>
      </w:r>
      <w:r>
        <w:rPr/>
      </w:r>
    </w:p>
    <w:p>
      <w:pPr>
        <w:spacing w:after="0"/>
        <w:sectPr>
          <w:type w:val="continuous"/>
          <w:pgSz w:w="7200" w:h="11340"/>
          <w:pgMar w:top="1100" w:bottom="0" w:left="660" w:right="540"/>
        </w:sectPr>
      </w:pPr>
    </w:p>
    <w:p>
      <w:pPr>
        <w:pStyle w:val="BodyText"/>
      </w:pPr>
    </w:p>
    <w:p>
      <w:pPr>
        <w:pStyle w:val="BodyText"/>
      </w:pPr>
    </w:p>
    <w:p>
      <w:pPr>
        <w:pStyle w:val="BodyText"/>
        <w:spacing w:before="4"/>
        <w:rPr>
          <w:sz w:val="26"/>
        </w:rPr>
      </w:pPr>
    </w:p>
    <w:p>
      <w:pPr>
        <w:pStyle w:val="BodyText"/>
        <w:ind w:left="124" w:right="-9"/>
      </w:pPr>
      <w:r>
        <w:rPr/>
        <w:pict>
          <v:line style="position:absolute;mso-position-horizontal-relative:page;mso-position-vertical-relative:paragraph;z-index:-723664" from="285.299988pt,-10.64406pt" to="297.179988pt,-10.64406pt" stroked="true" strokeweight="5.04pt" strokecolor="#000000">
            <w10:wrap type="none"/>
          </v:line>
        </w:pict>
      </w:r>
      <w:r>
        <w:rPr>
          <w:w w:val="85"/>
        </w:rPr>
        <w:t>an&lt;l</w:t>
      </w:r>
    </w:p>
    <w:p>
      <w:pPr>
        <w:spacing w:line="546" w:lineRule="exact" w:before="0"/>
        <w:ind w:left="124" w:right="-10" w:firstLine="0"/>
        <w:jc w:val="left"/>
        <w:rPr>
          <w:rFonts w:ascii="Arial" w:hAnsi="Arial"/>
          <w:sz w:val="30"/>
        </w:rPr>
      </w:pPr>
      <w:r>
        <w:rPr/>
        <w:br w:type="column"/>
      </w:r>
      <w:r>
        <w:rPr>
          <w:w w:val="267"/>
          <w:sz w:val="20"/>
        </w:rPr>
        <w:t>-</w:t>
      </w:r>
      <w:r>
        <w:rPr>
          <w:spacing w:val="12"/>
          <w:sz w:val="20"/>
        </w:rPr>
        <w:t> </w:t>
      </w:r>
      <w:r>
        <w:rPr>
          <w:w w:val="90"/>
          <w:sz w:val="20"/>
        </w:rPr>
        <w:t>[Rz+i</w:t>
      </w:r>
      <w:r>
        <w:rPr>
          <w:sz w:val="20"/>
        </w:rPr>
        <w:t> </w:t>
      </w:r>
      <w:r>
        <w:rPr>
          <w:spacing w:val="-8"/>
          <w:sz w:val="20"/>
        </w:rPr>
        <w:t> </w:t>
      </w:r>
      <w:r>
        <w:rPr>
          <w:w w:val="267"/>
          <w:sz w:val="20"/>
        </w:rPr>
        <w:t>-</w:t>
      </w:r>
      <w:r>
        <w:rPr>
          <w:spacing w:val="5"/>
          <w:sz w:val="20"/>
        </w:rPr>
        <w:t> </w:t>
      </w:r>
      <w:r>
        <w:rPr>
          <w:i/>
          <w:w w:val="70"/>
          <w:sz w:val="22"/>
        </w:rPr>
        <w:t>Rz+,¿</w:t>
      </w:r>
      <w:r>
        <w:rPr>
          <w:i/>
          <w:sz w:val="22"/>
        </w:rPr>
        <w:t> </w:t>
      </w:r>
      <w:r>
        <w:rPr>
          <w:i/>
          <w:spacing w:val="1"/>
          <w:sz w:val="22"/>
        </w:rPr>
        <w:t> </w:t>
      </w:r>
      <w:r>
        <w:rPr>
          <w:w w:val="243"/>
          <w:sz w:val="22"/>
        </w:rPr>
        <w:t>-</w:t>
      </w:r>
      <w:r>
        <w:rPr>
          <w:spacing w:val="7"/>
          <w:sz w:val="22"/>
        </w:rPr>
        <w:t> </w:t>
      </w:r>
      <w:r>
        <w:rPr>
          <w:rFonts w:ascii="Arial" w:hAnsi="Arial"/>
          <w:i/>
          <w:w w:val="88"/>
          <w:sz w:val="18"/>
        </w:rPr>
        <w:t>(</w:t>
      </w:r>
      <w:r>
        <w:rPr>
          <w:rFonts w:ascii="Arial" w:hAnsi="Arial"/>
          <w:i/>
          <w:spacing w:val="-28"/>
          <w:sz w:val="18"/>
        </w:rPr>
        <w:t> </w:t>
      </w:r>
      <w:r>
        <w:rPr>
          <w:rFonts w:ascii="Arial" w:hAnsi="Arial"/>
          <w:i/>
          <w:w w:val="121"/>
          <w:sz w:val="18"/>
        </w:rPr>
        <w:t>n</w:t>
      </w:r>
      <w:r>
        <w:rPr>
          <w:rFonts w:ascii="Arial" w:hAnsi="Arial"/>
          <w:i/>
          <w:sz w:val="18"/>
        </w:rPr>
        <w:t> </w:t>
      </w:r>
      <w:r>
        <w:rPr>
          <w:rFonts w:ascii="Arial" w:hAnsi="Arial"/>
          <w:i/>
          <w:spacing w:val="-21"/>
          <w:sz w:val="18"/>
        </w:rPr>
        <w:t> </w:t>
      </w:r>
      <w:r>
        <w:rPr>
          <w:rFonts w:ascii="Arial" w:hAnsi="Arial"/>
          <w:w w:val="276"/>
          <w:sz w:val="18"/>
        </w:rPr>
        <w:t>-</w:t>
      </w:r>
      <w:r>
        <w:rPr>
          <w:rFonts w:ascii="Arial" w:hAnsi="Arial"/>
          <w:sz w:val="18"/>
        </w:rPr>
        <w:t> </w:t>
      </w:r>
      <w:r>
        <w:rPr>
          <w:rFonts w:ascii="Arial" w:hAnsi="Arial"/>
          <w:spacing w:val="-22"/>
          <w:sz w:val="18"/>
        </w:rPr>
        <w:t> </w:t>
      </w:r>
      <w:r>
        <w:rPr>
          <w:w w:val="118"/>
          <w:sz w:val="20"/>
        </w:rPr>
        <w:t>1)</w:t>
      </w:r>
      <w:r>
        <w:rPr>
          <w:spacing w:val="-6"/>
          <w:sz w:val="20"/>
        </w:rPr>
        <w:t> </w:t>
      </w:r>
      <w:r>
        <w:rPr>
          <w:i/>
          <w:w w:val="85"/>
          <w:sz w:val="22"/>
        </w:rPr>
        <w:t>M</w:t>
      </w:r>
      <w:r>
        <w:rPr>
          <w:i/>
          <w:spacing w:val="-15"/>
          <w:sz w:val="22"/>
        </w:rPr>
        <w:t> </w:t>
      </w:r>
      <w:r>
        <w:rPr>
          <w:i/>
          <w:w w:val="65"/>
          <w:sz w:val="22"/>
        </w:rPr>
        <w:t>z+nl</w:t>
      </w:r>
      <w:r>
        <w:rPr>
          <w:i/>
          <w:sz w:val="22"/>
        </w:rPr>
        <w:t> </w:t>
      </w:r>
      <w:r>
        <w:rPr>
          <w:i/>
          <w:spacing w:val="15"/>
          <w:sz w:val="22"/>
        </w:rPr>
        <w:t> </w:t>
      </w:r>
      <w:r>
        <w:rPr>
          <w:w w:val="249"/>
          <w:sz w:val="22"/>
        </w:rPr>
        <w:t>-</w:t>
      </w:r>
      <w:r>
        <w:rPr>
          <w:spacing w:val="-5"/>
          <w:sz w:val="22"/>
        </w:rPr>
        <w:t> </w:t>
      </w:r>
      <w:r>
        <w:rPr>
          <w:i/>
          <w:spacing w:val="-69"/>
          <w:w w:val="37"/>
          <w:position w:val="7"/>
          <w:sz w:val="47"/>
        </w:rPr>
        <w:t>k</w:t>
      </w:r>
      <w:r>
        <w:rPr>
          <w:i/>
          <w:w w:val="139"/>
          <w:sz w:val="24"/>
        </w:rPr>
        <w:t>-</w:t>
      </w:r>
      <w:r>
        <w:rPr>
          <w:i/>
          <w:spacing w:val="-51"/>
          <w:w w:val="139"/>
          <w:sz w:val="24"/>
        </w:rPr>
        <w:t>;</w:t>
      </w:r>
      <w:r>
        <w:rPr>
          <w:i/>
          <w:spacing w:val="-140"/>
          <w:w w:val="59"/>
          <w:position w:val="7"/>
          <w:sz w:val="47"/>
        </w:rPr>
        <w:t>+</w:t>
      </w:r>
      <w:r>
        <w:rPr>
          <w:i/>
          <w:w w:val="139"/>
          <w:sz w:val="24"/>
        </w:rPr>
        <w:t>,i</w:t>
      </w:r>
      <w:r>
        <w:rPr>
          <w:i/>
          <w:spacing w:val="-78"/>
          <w:w w:val="139"/>
          <w:sz w:val="24"/>
        </w:rPr>
        <w:t>-</w:t>
      </w:r>
      <w:r>
        <w:rPr>
          <w:i/>
          <w:w w:val="46"/>
          <w:position w:val="7"/>
          <w:sz w:val="47"/>
        </w:rPr>
        <w:t>l</w:t>
      </w:r>
      <w:r>
        <w:rPr>
          <w:i/>
          <w:spacing w:val="-28"/>
          <w:position w:val="7"/>
          <w:sz w:val="47"/>
        </w:rPr>
        <w:t> </w:t>
      </w:r>
      <w:r>
        <w:rPr>
          <w:i/>
          <w:spacing w:val="21"/>
          <w:w w:val="54"/>
          <w:position w:val="7"/>
          <w:sz w:val="47"/>
        </w:rPr>
        <w:t>(</w:t>
      </w:r>
      <w:r>
        <w:rPr>
          <w:rFonts w:ascii="Arial" w:hAnsi="Arial"/>
          <w:i/>
          <w:w w:val="117"/>
          <w:sz w:val="18"/>
        </w:rPr>
        <w:t>n</w:t>
      </w:r>
      <w:r>
        <w:rPr>
          <w:rFonts w:ascii="Arial" w:hAnsi="Arial"/>
          <w:i/>
          <w:spacing w:val="15"/>
          <w:sz w:val="18"/>
        </w:rPr>
        <w:t> </w:t>
      </w:r>
      <w:r>
        <w:rPr>
          <w:rFonts w:ascii="Arial" w:hAnsi="Arial"/>
          <w:w w:val="104"/>
          <w:sz w:val="30"/>
        </w:rPr>
        <w:t>+</w:t>
      </w:r>
    </w:p>
    <w:p>
      <w:pPr>
        <w:spacing w:line="189" w:lineRule="auto" w:before="65"/>
        <w:ind w:left="13" w:right="113" w:firstLine="75"/>
        <w:jc w:val="left"/>
        <w:rPr>
          <w:sz w:val="20"/>
        </w:rPr>
      </w:pPr>
      <w:r>
        <w:rPr/>
        <w:br w:type="column"/>
      </w:r>
      <w:r>
        <w:rPr>
          <w:i/>
          <w:w w:val="61"/>
          <w:position w:val="7"/>
          <w:sz w:val="47"/>
        </w:rPr>
        <w:t>k</w:t>
      </w:r>
      <w:r>
        <w:rPr>
          <w:w w:val="61"/>
          <w:sz w:val="20"/>
        </w:rPr>
        <w:t>m</w:t>
      </w:r>
      <w:r>
        <w:rPr>
          <w:i/>
          <w:w w:val="61"/>
          <w:position w:val="7"/>
          <w:sz w:val="47"/>
        </w:rPr>
        <w:t>) </w:t>
      </w:r>
      <w:r>
        <w:rPr>
          <w:w w:val="68"/>
          <w:sz w:val="20"/>
        </w:rPr>
        <w:t>C:i:+n </w:t>
      </w:r>
      <w:r>
        <w:rPr>
          <w:w w:val="85"/>
          <w:sz w:val="20"/>
        </w:rPr>
        <w:t>2</w:t>
      </w:r>
    </w:p>
    <w:p>
      <w:pPr>
        <w:spacing w:after="0" w:line="189" w:lineRule="auto"/>
        <w:jc w:val="left"/>
        <w:rPr>
          <w:sz w:val="20"/>
        </w:rPr>
        <w:sectPr>
          <w:type w:val="continuous"/>
          <w:pgSz w:w="7200" w:h="11340"/>
          <w:pgMar w:top="1100" w:bottom="0" w:left="660" w:right="540"/>
          <w:cols w:num="3" w:equalWidth="0">
            <w:col w:w="439" w:space="54"/>
            <w:col w:w="4499" w:space="40"/>
            <w:col w:w="968"/>
          </w:cols>
        </w:sectPr>
      </w:pPr>
    </w:p>
    <w:p>
      <w:pPr>
        <w:pStyle w:val="BodyText"/>
        <w:spacing w:before="8" w:after="1"/>
        <w:rPr>
          <w:sz w:val="13"/>
        </w:rPr>
      </w:pPr>
    </w:p>
    <w:p>
      <w:pPr>
        <w:pStyle w:val="BodyText"/>
        <w:ind w:left="808"/>
      </w:pPr>
      <w:r>
        <w:rPr/>
        <w:drawing>
          <wp:inline distT="0" distB="0" distL="0" distR="0">
            <wp:extent cx="2761488" cy="265175"/>
            <wp:effectExtent l="0" t="0" r="0" b="0"/>
            <wp:docPr id="307" name="image159.png" descr=""/>
            <wp:cNvGraphicFramePr>
              <a:graphicFrameLocks noChangeAspect="1"/>
            </wp:cNvGraphicFramePr>
            <a:graphic>
              <a:graphicData uri="http://schemas.openxmlformats.org/drawingml/2006/picture">
                <pic:pic>
                  <pic:nvPicPr>
                    <pic:cNvPr id="308" name="image159.png"/>
                    <pic:cNvPicPr/>
                  </pic:nvPicPr>
                  <pic:blipFill>
                    <a:blip r:embed="rId163" cstate="print"/>
                    <a:stretch>
                      <a:fillRect/>
                    </a:stretch>
                  </pic:blipFill>
                  <pic:spPr>
                    <a:xfrm>
                      <a:off x="0" y="0"/>
                      <a:ext cx="2761488" cy="265175"/>
                    </a:xfrm>
                    <a:prstGeom prst="rect">
                      <a:avLst/>
                    </a:prstGeom>
                  </pic:spPr>
                </pic:pic>
              </a:graphicData>
            </a:graphic>
          </wp:inline>
        </w:drawing>
      </w:r>
      <w:r>
        <w:rPr/>
      </w:r>
    </w:p>
    <w:p>
      <w:pPr>
        <w:pStyle w:val="BodyText"/>
        <w:spacing w:before="8"/>
        <w:rPr>
          <w:sz w:val="6"/>
        </w:rPr>
      </w:pPr>
    </w:p>
    <w:p>
      <w:pPr>
        <w:pStyle w:val="BodyText"/>
        <w:spacing w:line="252" w:lineRule="auto" w:before="74"/>
        <w:ind w:left="128" w:right="128" w:firstLine="7"/>
        <w:jc w:val="both"/>
      </w:pPr>
      <w:r>
        <w:rPr/>
        <w:t>In this formula, both </w:t>
      </w:r>
      <w:r>
        <w:rPr>
          <w:i/>
        </w:rPr>
        <w:t>n </w:t>
      </w:r>
      <w:r>
        <w:rPr/>
        <w:t>an&lt;l </w:t>
      </w:r>
      <w:r>
        <w:rPr>
          <w:rFonts w:ascii="Arial" w:hAnsi="Arial"/>
          <w:i/>
          <w:sz w:val="19"/>
        </w:rPr>
        <w:t>k </w:t>
      </w:r>
      <w:r>
        <w:rPr/>
        <w:t>&lt;lcpe11d u pon  the magnitude  of  </w:t>
      </w:r>
      <w:r>
        <w:rPr>
          <w:rFonts w:ascii="Arial" w:hAnsi="Arial"/>
          <w:i/>
          <w:sz w:val="19"/>
        </w:rPr>
        <w:t>G, </w:t>
      </w:r>
      <w:r>
        <w:rPr/>
        <w:t>and trial values of </w:t>
      </w:r>
      <w:r>
        <w:rPr>
          <w:i/>
        </w:rPr>
        <w:t>n </w:t>
      </w:r>
      <w:r>
        <w:rPr/>
        <w:t>all(l </w:t>
      </w:r>
      <w:r>
        <w:rPr>
          <w:i/>
          <w:sz w:val="19"/>
        </w:rPr>
        <w:t>k </w:t>
      </w:r>
      <w:r>
        <w:rPr>
          <w:spacing w:val="4"/>
        </w:rPr>
        <w:t>mut </w:t>
      </w:r>
      <w:r>
        <w:rPr/>
        <w:t>be uhstituted until a c·011siste11t  value of </w:t>
      </w:r>
      <w:r>
        <w:rPr>
          <w:rFonts w:ascii="Arial" w:hAnsi="Arial"/>
          <w:i/>
        </w:rPr>
        <w:t>G </w:t>
      </w:r>
      <w:r>
        <w:rPr/>
        <w:t>is</w:t>
      </w:r>
      <w:r>
        <w:rPr>
          <w:spacing w:val="-2"/>
        </w:rPr>
        <w:t> </w:t>
      </w:r>
      <w:r>
        <w:rPr/>
        <w:t>obtni11rd.</w:t>
      </w:r>
    </w:p>
    <w:p>
      <w:pPr>
        <w:pStyle w:val="BodyText"/>
        <w:spacing w:line="226" w:lineRule="exact"/>
        <w:ind w:left="337"/>
      </w:pPr>
      <w:r>
        <w:rPr/>
        <w:t>In practire,  formula  (7.2)  is simplified  by  arbitrarily  in trodu&lt;'ing</w:t>
      </w:r>
    </w:p>
    <w:p>
      <w:pPr>
        <w:spacing w:after="0" w:line="226" w:lineRule="exact"/>
        <w:sectPr>
          <w:type w:val="continuous"/>
          <w:pgSz w:w="7200" w:h="11340"/>
          <w:pgMar w:top="1100" w:bottom="0" w:left="660" w:right="540"/>
        </w:sectPr>
      </w:pPr>
    </w:p>
    <w:p>
      <w:pPr>
        <w:tabs>
          <w:tab w:pos="1912" w:val="left" w:leader="none"/>
          <w:tab w:pos="5915" w:val="right" w:leader="none"/>
        </w:tabs>
        <w:spacing w:before="41"/>
        <w:ind w:left="141" w:right="0" w:firstLine="0"/>
        <w:jc w:val="both"/>
        <w:rPr>
          <w:sz w:val="20"/>
        </w:rPr>
      </w:pPr>
      <w:r>
        <w:rPr>
          <w:b/>
          <w:w w:val="105"/>
          <w:position w:val="1"/>
          <w:sz w:val="14"/>
        </w:rPr>
        <w:t>SEC. </w:t>
      </w:r>
      <w:r>
        <w:rPr>
          <w:b/>
          <w:spacing w:val="30"/>
          <w:w w:val="105"/>
          <w:position w:val="1"/>
          <w:sz w:val="14"/>
        </w:rPr>
        <w:t> </w:t>
      </w:r>
      <w:r>
        <w:rPr>
          <w:b/>
          <w:w w:val="105"/>
          <w:position w:val="1"/>
          <w:sz w:val="21"/>
        </w:rPr>
        <w:t>2]</w:t>
        <w:tab/>
      </w:r>
      <w:r>
        <w:rPr>
          <w:b/>
          <w:w w:val="105"/>
          <w:position w:val="1"/>
          <w:sz w:val="14"/>
        </w:rPr>
        <w:t>CASH </w:t>
      </w:r>
      <w:r>
        <w:rPr>
          <w:b/>
          <w:spacing w:val="34"/>
          <w:w w:val="105"/>
          <w:position w:val="1"/>
          <w:sz w:val="14"/>
        </w:rPr>
        <w:t> </w:t>
      </w:r>
      <w:r>
        <w:rPr>
          <w:b/>
          <w:w w:val="105"/>
          <w:position w:val="1"/>
          <w:sz w:val="14"/>
        </w:rPr>
        <w:t>REFUND  </w:t>
      </w:r>
      <w:r>
        <w:rPr>
          <w:b/>
          <w:spacing w:val="6"/>
          <w:w w:val="105"/>
          <w:position w:val="1"/>
          <w:sz w:val="14"/>
        </w:rPr>
        <w:t> </w:t>
      </w:r>
      <w:r>
        <w:rPr>
          <w:b/>
          <w:w w:val="105"/>
          <w:position w:val="1"/>
          <w:sz w:val="14"/>
        </w:rPr>
        <w:t>ANNUITIES</w:t>
      </w:r>
      <w:r>
        <w:rPr>
          <w:w w:val="105"/>
          <w:sz w:val="20"/>
        </w:rPr>
        <w:tab/>
        <w:t>153</w:t>
      </w:r>
    </w:p>
    <w:p>
      <w:pPr>
        <w:pStyle w:val="BodyText"/>
        <w:spacing w:before="10"/>
        <w:rPr>
          <w:sz w:val="21"/>
        </w:rPr>
      </w:pPr>
    </w:p>
    <w:p>
      <w:pPr>
        <w:pStyle w:val="BodyText"/>
        <w:spacing w:line="225" w:lineRule="auto"/>
        <w:ind w:left="134" w:right="133" w:firstLine="18"/>
        <w:jc w:val="both"/>
      </w:pPr>
      <w:r>
        <w:rPr>
          <w:w w:val="105"/>
        </w:rPr>
        <w:t>one of severa! possible substitutions which will eliminate </w:t>
      </w:r>
      <w:r>
        <w:rPr>
          <w:rFonts w:ascii="Arial"/>
          <w:i/>
          <w:w w:val="105"/>
        </w:rPr>
        <w:t>k. </w:t>
      </w:r>
      <w:r>
        <w:rPr>
          <w:w w:val="105"/>
        </w:rPr>
        <w:t>For example, the substitution </w:t>
      </w:r>
      <w:r>
        <w:rPr>
          <w:i/>
          <w:w w:val="105"/>
        </w:rPr>
        <w:t>k </w:t>
      </w:r>
      <w:r>
        <w:rPr>
          <w:w w:val="105"/>
          <w:sz w:val="24"/>
        </w:rPr>
        <w:t>= </w:t>
      </w:r>
      <w:r>
        <w:rPr>
          <w:rFonts w:ascii="Arial"/>
          <w:i/>
          <w:w w:val="105"/>
          <w:sz w:val="17"/>
        </w:rPr>
        <w:t>m </w:t>
      </w:r>
      <w:r>
        <w:rPr>
          <w:rFonts w:ascii="Arial"/>
          <w:w w:val="265"/>
          <w:sz w:val="17"/>
        </w:rPr>
        <w:t>- </w:t>
      </w:r>
      <w:r>
        <w:rPr>
          <w:rFonts w:ascii="Arial"/>
          <w:b/>
          <w:w w:val="105"/>
          <w:sz w:val="18"/>
        </w:rPr>
        <w:t>1 </w:t>
      </w:r>
      <w:r>
        <w:rPr>
          <w:w w:val="105"/>
        </w:rPr>
        <w:t>leads to the approximate formula</w:t>
      </w:r>
    </w:p>
    <w:p>
      <w:pPr>
        <w:tabs>
          <w:tab w:pos="5458" w:val="left" w:leader="none"/>
        </w:tabs>
        <w:spacing w:before="126"/>
        <w:ind w:left="134" w:right="0" w:firstLine="0"/>
        <w:jc w:val="both"/>
        <w:rPr>
          <w:sz w:val="20"/>
        </w:rPr>
      </w:pPr>
      <w:r>
        <w:rPr>
          <w:i/>
          <w:w w:val="105"/>
          <w:sz w:val="21"/>
        </w:rPr>
        <w:t>G</w:t>
        <w:tab/>
      </w:r>
      <w:r>
        <w:rPr>
          <w:w w:val="105"/>
          <w:position w:val="1"/>
          <w:sz w:val="20"/>
        </w:rPr>
        <w:t>(7.3)</w:t>
      </w:r>
    </w:p>
    <w:p>
      <w:pPr>
        <w:spacing w:before="147"/>
        <w:ind w:left="134" w:right="0" w:firstLine="0"/>
        <w:jc w:val="both"/>
        <w:rPr>
          <w:b/>
          <w:sz w:val="19"/>
        </w:rPr>
      </w:pPr>
      <w:r>
        <w:rPr/>
        <w:pict>
          <v:line style="position:absolute;mso-position-horizontal-relative:page;mso-position-vertical-relative:paragraph;z-index:-723544" from="114.660004pt,22.537811pt" to="117.180004pt,22.537811pt" stroked="true" strokeweight=".36pt" strokecolor="#000000">
            <w10:wrap type="none"/>
          </v:line>
        </w:pict>
      </w:r>
      <w:r>
        <w:rPr/>
        <w:pict>
          <v:shape style="position:absolute;margin-left:201.240005pt;margin-top:7.471074pt;width:31.15pt;height:10pt;mso-position-horizontal-relative:page;mso-position-vertical-relative:paragraph;z-index:-723520" type="#_x0000_t202" filled="false" stroked="false">
            <v:textbox inset="0,0,0,0">
              <w:txbxContent>
                <w:p>
                  <w:pPr>
                    <w:spacing w:line="200" w:lineRule="exact" w:before="0"/>
                    <w:ind w:left="0" w:right="-18" w:firstLine="0"/>
                    <w:jc w:val="left"/>
                    <w:rPr>
                      <w:sz w:val="20"/>
                    </w:rPr>
                  </w:pPr>
                  <w:r>
                    <w:rPr>
                      <w:rFonts w:ascii="Arial"/>
                      <w:i/>
                      <w:w w:val="125"/>
                      <w:sz w:val="17"/>
                    </w:rPr>
                    <w:t>m </w:t>
                  </w:r>
                  <w:r>
                    <w:rPr>
                      <w:rFonts w:ascii="Arial"/>
                      <w:w w:val="285"/>
                      <w:sz w:val="17"/>
                    </w:rPr>
                    <w:t>-</w:t>
                  </w:r>
                  <w:r>
                    <w:rPr>
                      <w:rFonts w:ascii="Arial"/>
                      <w:spacing w:val="-36"/>
                      <w:w w:val="285"/>
                      <w:sz w:val="17"/>
                    </w:rPr>
                    <w:t> </w:t>
                  </w:r>
                  <w:r>
                    <w:rPr>
                      <w:w w:val="125"/>
                      <w:sz w:val="20"/>
                    </w:rPr>
                    <w:t>1</w:t>
                  </w:r>
                </w:p>
              </w:txbxContent>
            </v:textbox>
            <w10:wrap type="none"/>
          </v:shape>
        </w:pict>
      </w:r>
      <w:r>
        <w:rPr>
          <w:b/>
          <w:w w:val="98"/>
          <w:sz w:val="19"/>
        </w:rPr>
        <w:t>Nz+l</w:t>
      </w:r>
      <w:r>
        <w:rPr>
          <w:b/>
          <w:spacing w:val="20"/>
          <w:sz w:val="19"/>
        </w:rPr>
        <w:t> </w:t>
      </w:r>
      <w:r>
        <w:rPr>
          <w:w w:val="297"/>
          <w:sz w:val="19"/>
        </w:rPr>
        <w:t>-</w:t>
      </w:r>
      <w:r>
        <w:rPr>
          <w:spacing w:val="-13"/>
          <w:sz w:val="19"/>
        </w:rPr>
        <w:t> </w:t>
      </w:r>
      <w:r>
        <w:rPr>
          <w:b/>
          <w:w w:val="98"/>
          <w:sz w:val="19"/>
        </w:rPr>
        <w:t>(</w:t>
      </w:r>
      <w:r>
        <w:rPr>
          <w:b/>
          <w:w w:val="98"/>
          <w:sz w:val="19"/>
        </w:rPr>
        <w:t>Rz+l</w:t>
      </w:r>
      <w:r>
        <w:rPr>
          <w:b/>
          <w:spacing w:val="15"/>
          <w:sz w:val="19"/>
        </w:rPr>
        <w:t> </w:t>
      </w:r>
      <w:r>
        <w:rPr>
          <w:spacing w:val="18"/>
          <w:w w:val="289"/>
          <w:sz w:val="19"/>
        </w:rPr>
        <w:t>-</w:t>
      </w:r>
      <w:r>
        <w:rPr>
          <w:b/>
          <w:w w:val="87"/>
          <w:sz w:val="19"/>
        </w:rPr>
        <w:t>Rz+n+l</w:t>
      </w:r>
      <w:r>
        <w:rPr>
          <w:b/>
          <w:sz w:val="19"/>
        </w:rPr>
        <w:t> </w:t>
      </w:r>
      <w:r>
        <w:rPr>
          <w:b/>
          <w:spacing w:val="-15"/>
          <w:sz w:val="19"/>
        </w:rPr>
        <w:t> </w:t>
      </w:r>
      <w:r>
        <w:rPr>
          <w:spacing w:val="18"/>
          <w:w w:val="282"/>
          <w:sz w:val="19"/>
        </w:rPr>
        <w:t>-</w:t>
      </w:r>
      <w:r>
        <w:rPr>
          <w:b/>
          <w:i/>
          <w:w w:val="92"/>
          <w:sz w:val="20"/>
        </w:rPr>
        <w:t>nM</w:t>
      </w:r>
      <w:r>
        <w:rPr>
          <w:b/>
          <w:i/>
          <w:spacing w:val="-10"/>
          <w:sz w:val="20"/>
        </w:rPr>
        <w:t> </w:t>
      </w:r>
      <w:r>
        <w:rPr>
          <w:b/>
          <w:i/>
          <w:w w:val="79"/>
          <w:sz w:val="20"/>
        </w:rPr>
        <w:t>z+n+l</w:t>
      </w:r>
      <w:r>
        <w:rPr>
          <w:b/>
          <w:i/>
          <w:spacing w:val="-7"/>
          <w:sz w:val="20"/>
        </w:rPr>
        <w:t> </w:t>
      </w:r>
      <w:r>
        <w:rPr>
          <w:b/>
          <w:i/>
          <w:w w:val="67"/>
          <w:sz w:val="20"/>
        </w:rPr>
        <w:t>)</w:t>
      </w:r>
      <w:r>
        <w:rPr>
          <w:b/>
          <w:i/>
          <w:sz w:val="20"/>
        </w:rPr>
        <w:t> </w:t>
      </w:r>
      <w:r>
        <w:rPr>
          <w:b/>
          <w:i/>
          <w:spacing w:val="-23"/>
          <w:sz w:val="20"/>
        </w:rPr>
        <w:t> </w:t>
      </w:r>
      <w:r>
        <w:rPr>
          <w:rFonts w:ascii="Arial"/>
          <w:w w:val="102"/>
          <w:sz w:val="32"/>
        </w:rPr>
        <w:t>+</w:t>
      </w:r>
      <w:r>
        <w:rPr>
          <w:rFonts w:ascii="Arial"/>
          <w:spacing w:val="-55"/>
          <w:sz w:val="32"/>
        </w:rPr>
        <w:t> </w:t>
      </w:r>
      <w:r>
        <w:rPr>
          <w:b/>
          <w:w w:val="162"/>
          <w:sz w:val="26"/>
        </w:rPr>
        <w:t>2m</w:t>
      </w:r>
      <w:r>
        <w:rPr>
          <w:b/>
          <w:spacing w:val="10"/>
          <w:sz w:val="26"/>
        </w:rPr>
        <w:t> </w:t>
      </w:r>
      <w:r>
        <w:rPr>
          <w:b/>
          <w:i/>
          <w:w w:val="63"/>
          <w:sz w:val="20"/>
        </w:rPr>
        <w:t>(</w:t>
      </w:r>
      <w:r>
        <w:rPr>
          <w:b/>
          <w:i/>
          <w:spacing w:val="-14"/>
          <w:sz w:val="20"/>
        </w:rPr>
        <w:t> </w:t>
      </w:r>
      <w:r>
        <w:rPr>
          <w:b/>
          <w:i/>
          <w:w w:val="92"/>
          <w:sz w:val="20"/>
        </w:rPr>
        <w:t>Dz</w:t>
      </w:r>
      <w:r>
        <w:rPr>
          <w:b/>
          <w:i/>
          <w:sz w:val="20"/>
        </w:rPr>
        <w:t> </w:t>
      </w:r>
      <w:r>
        <w:rPr>
          <w:b/>
          <w:i/>
          <w:spacing w:val="-23"/>
          <w:sz w:val="20"/>
        </w:rPr>
        <w:t> </w:t>
      </w:r>
      <w:r>
        <w:rPr>
          <w:b/>
          <w:i/>
          <w:w w:val="219"/>
          <w:sz w:val="20"/>
        </w:rPr>
        <w:t>-</w:t>
      </w:r>
      <w:r>
        <w:rPr>
          <w:b/>
          <w:i/>
          <w:spacing w:val="1"/>
          <w:sz w:val="20"/>
        </w:rPr>
        <w:t> </w:t>
      </w:r>
      <w:r>
        <w:rPr>
          <w:b/>
          <w:i/>
          <w:w w:val="92"/>
          <w:sz w:val="20"/>
        </w:rPr>
        <w:t>M</w:t>
      </w:r>
      <w:r>
        <w:rPr>
          <w:b/>
          <w:i/>
          <w:spacing w:val="-14"/>
          <w:sz w:val="20"/>
        </w:rPr>
        <w:t> </w:t>
      </w:r>
      <w:r>
        <w:rPr>
          <w:b/>
          <w:i/>
          <w:w w:val="72"/>
          <w:sz w:val="20"/>
        </w:rPr>
        <w:t>z</w:t>
      </w:r>
      <w:r>
        <w:rPr>
          <w:b/>
          <w:i/>
          <w:spacing w:val="12"/>
          <w:sz w:val="20"/>
        </w:rPr>
        <w:t> </w:t>
      </w:r>
      <w:r>
        <w:rPr>
          <w:rFonts w:ascii="Arial"/>
          <w:spacing w:val="25"/>
          <w:w w:val="99"/>
          <w:sz w:val="32"/>
        </w:rPr>
        <w:t>+</w:t>
      </w:r>
      <w:r>
        <w:rPr>
          <w:b/>
          <w:w w:val="90"/>
          <w:sz w:val="19"/>
        </w:rPr>
        <w:t>Mz+n+l</w:t>
      </w:r>
      <w:r>
        <w:rPr>
          <w:b/>
          <w:spacing w:val="-6"/>
          <w:sz w:val="19"/>
        </w:rPr>
        <w:t> </w:t>
      </w:r>
      <w:r>
        <w:rPr>
          <w:b/>
          <w:w w:val="91"/>
          <w:sz w:val="19"/>
        </w:rPr>
        <w:t>)</w:t>
      </w:r>
    </w:p>
    <w:p>
      <w:pPr>
        <w:spacing w:before="109"/>
        <w:ind w:left="293" w:right="320" w:firstLine="0"/>
        <w:jc w:val="center"/>
        <w:rPr>
          <w:b/>
          <w:i/>
          <w:sz w:val="20"/>
        </w:rPr>
      </w:pPr>
      <w:r>
        <w:rPr>
          <w:rFonts w:ascii="Arial"/>
          <w:b/>
          <w:w w:val="125"/>
          <w:sz w:val="19"/>
        </w:rPr>
        <w:t>(1 </w:t>
      </w:r>
      <w:r>
        <w:rPr>
          <w:rFonts w:ascii="Arial"/>
          <w:w w:val="255"/>
          <w:sz w:val="19"/>
        </w:rPr>
        <w:t>-</w:t>
      </w:r>
      <w:r>
        <w:rPr>
          <w:rFonts w:ascii="Arial"/>
          <w:spacing w:val="-86"/>
          <w:w w:val="255"/>
          <w:sz w:val="19"/>
        </w:rPr>
        <w:t> </w:t>
      </w:r>
      <w:r>
        <w:rPr>
          <w:b/>
          <w:i/>
          <w:spacing w:val="5"/>
          <w:w w:val="95"/>
          <w:sz w:val="20"/>
        </w:rPr>
        <w:t>r) </w:t>
      </w:r>
      <w:r>
        <w:rPr>
          <w:b/>
          <w:i/>
          <w:w w:val="95"/>
          <w:sz w:val="20"/>
        </w:rPr>
        <w:t>Dz </w:t>
      </w:r>
      <w:r>
        <w:rPr>
          <w:w w:val="255"/>
          <w:sz w:val="20"/>
        </w:rPr>
        <w:t>-</w:t>
      </w:r>
      <w:r>
        <w:rPr>
          <w:spacing w:val="-58"/>
          <w:w w:val="255"/>
          <w:sz w:val="20"/>
        </w:rPr>
        <w:t> </w:t>
      </w:r>
      <w:r>
        <w:rPr>
          <w:b/>
          <w:i/>
          <w:w w:val="95"/>
          <w:sz w:val="20"/>
        </w:rPr>
        <w:t>( M z </w:t>
      </w:r>
      <w:r>
        <w:rPr>
          <w:w w:val="255"/>
          <w:sz w:val="20"/>
        </w:rPr>
        <w:t>-</w:t>
      </w:r>
      <w:r>
        <w:rPr>
          <w:spacing w:val="-89"/>
          <w:w w:val="255"/>
          <w:sz w:val="20"/>
        </w:rPr>
        <w:t> </w:t>
      </w:r>
      <w:r>
        <w:rPr>
          <w:b/>
          <w:i/>
          <w:w w:val="95"/>
          <w:sz w:val="20"/>
        </w:rPr>
        <w:t>M z+n+l )</w:t>
      </w:r>
    </w:p>
    <w:p>
      <w:pPr>
        <w:pStyle w:val="BodyText"/>
        <w:spacing w:line="252" w:lineRule="auto" w:before="114"/>
        <w:ind w:left="126" w:right="115" w:firstLine="7"/>
        <w:jc w:val="both"/>
      </w:pPr>
      <w:r>
        <w:rPr>
          <w:w w:val="105"/>
        </w:rPr>
        <w:t>The value of </w:t>
      </w:r>
      <w:r>
        <w:rPr>
          <w:rFonts w:ascii="Arial" w:hAnsi="Arial"/>
          <w:i/>
          <w:w w:val="105"/>
        </w:rPr>
        <w:t>G </w:t>
      </w:r>
      <w:r>
        <w:rPr>
          <w:w w:val="105"/>
        </w:rPr>
        <w:t>given by formula </w:t>
      </w:r>
      <w:r>
        <w:rPr>
          <w:spacing w:val="2"/>
          <w:w w:val="105"/>
        </w:rPr>
        <w:t>(7.3) </w:t>
      </w:r>
      <w:r>
        <w:rPr>
          <w:w w:val="105"/>
        </w:rPr>
        <w:t>never exceeds the value given by (7.2), since when the true value of </w:t>
      </w:r>
      <w:r>
        <w:rPr>
          <w:i/>
          <w:w w:val="105"/>
        </w:rPr>
        <w:t>k  </w:t>
      </w:r>
      <w:r>
        <w:rPr>
          <w:w w:val="105"/>
        </w:rPr>
        <w:t>is less than  </w:t>
      </w:r>
      <w:r>
        <w:rPr>
          <w:rFonts w:ascii="Arial" w:hAnsi="Arial"/>
          <w:i/>
          <w:w w:val="105"/>
          <w:sz w:val="17"/>
        </w:rPr>
        <w:t>m  </w:t>
      </w:r>
      <w:r>
        <w:rPr>
          <w:rFonts w:ascii="Arial" w:hAnsi="Arial"/>
          <w:w w:val="265"/>
          <w:sz w:val="17"/>
        </w:rPr>
        <w:t>- </w:t>
      </w:r>
      <w:r>
        <w:rPr>
          <w:rFonts w:ascii="Arial" w:hAnsi="Arial"/>
          <w:b/>
          <w:w w:val="105"/>
          <w:sz w:val="18"/>
        </w:rPr>
        <w:t>1 </w:t>
      </w:r>
      <w:r>
        <w:rPr>
          <w:w w:val="105"/>
        </w:rPr>
        <w:t>the effect of the approximation employed is to include in the pre­ mium the value of a negative death benefit in the latter part of the year under consideration.  This  introduces  a  credit  element  into  </w:t>
      </w:r>
      <w:r>
        <w:rPr>
          <w:rFonts w:ascii="Arial" w:hAnsi="Arial"/>
          <w:i/>
          <w:w w:val="105"/>
        </w:rPr>
        <w:t>G </w:t>
      </w:r>
      <w:r>
        <w:rPr>
          <w:w w:val="105"/>
        </w:rPr>
        <w:t>which would  not  be present  in  the true value.  The magnitude  of the error is negligible for practica! </w:t>
      </w:r>
      <w:r>
        <w:rPr>
          <w:spacing w:val="31"/>
          <w:w w:val="105"/>
        </w:rPr>
        <w:t> </w:t>
      </w:r>
      <w:r>
        <w:rPr>
          <w:w w:val="105"/>
        </w:rPr>
        <w:t>purposes.</w:t>
      </w:r>
    </w:p>
    <w:p>
      <w:pPr>
        <w:pStyle w:val="BodyText"/>
        <w:ind w:left="126" w:right="145" w:firstLine="201"/>
        <w:jc w:val="both"/>
      </w:pPr>
      <w:r>
        <w:rPr>
          <w:w w:val="105"/>
        </w:rPr>
        <w:t>It can be shown that the average degree of error introduced by substituting </w:t>
      </w:r>
      <w:r>
        <w:rPr>
          <w:i/>
          <w:w w:val="105"/>
        </w:rPr>
        <w:t>k </w:t>
      </w:r>
      <w:r>
        <w:rPr>
          <w:w w:val="105"/>
          <w:sz w:val="23"/>
        </w:rPr>
        <w:t>= </w:t>
      </w:r>
      <w:r>
        <w:rPr/>
        <w:t>O </w:t>
      </w:r>
      <w:r>
        <w:rPr>
          <w:w w:val="105"/>
        </w:rPr>
        <w:t>is the same as the average degree of error in the approximation represented by  (7.3), and  is again  in the  direction of understating the premium. However, the resulting formula  is more complex  than  (7.3).</w:t>
      </w:r>
    </w:p>
    <w:p>
      <w:pPr>
        <w:pStyle w:val="BodyText"/>
        <w:spacing w:line="247" w:lineRule="auto" w:before="11"/>
        <w:ind w:left="115" w:right="151" w:firstLine="205"/>
        <w:jc w:val="both"/>
      </w:pPr>
      <w:r>
        <w:rPr>
          <w:w w:val="105"/>
        </w:rPr>
        <w:t>Formulas for single premium </w:t>
      </w:r>
      <w:r>
        <w:rPr>
          <w:i/>
          <w:w w:val="105"/>
        </w:rPr>
        <w:t>def erred </w:t>
      </w:r>
      <w:r>
        <w:rPr>
          <w:w w:val="105"/>
        </w:rPr>
        <w:t>cash refund annuities may be similarly developed. Let us assume that the annuity is issued at </w:t>
      </w:r>
      <w:r>
        <w:rPr>
          <w:b/>
          <w:w w:val="105"/>
        </w:rPr>
        <w:t>age </w:t>
      </w:r>
      <w:r>
        <w:rPr>
          <w:i/>
          <w:w w:val="105"/>
          <w:sz w:val="21"/>
        </w:rPr>
        <w:t>x  </w:t>
      </w:r>
      <w:r>
        <w:rPr>
          <w:w w:val="105"/>
        </w:rPr>
        <w:t>and provides  an annual  income of  1 payable  </w:t>
      </w:r>
      <w:r>
        <w:rPr>
          <w:i/>
          <w:w w:val="105"/>
          <w:sz w:val="21"/>
        </w:rPr>
        <w:t>m </w:t>
      </w:r>
      <w:r>
        <w:rPr>
          <w:w w:val="105"/>
        </w:rPr>
        <w:t>times a</w:t>
      </w:r>
      <w:r>
        <w:rPr>
          <w:spacing w:val="-18"/>
          <w:w w:val="105"/>
        </w:rPr>
        <w:t> </w:t>
      </w:r>
      <w:r>
        <w:rPr>
          <w:w w:val="105"/>
        </w:rPr>
        <w:t>year</w:t>
      </w:r>
    </w:p>
    <w:p>
      <w:pPr>
        <w:pStyle w:val="BodyText"/>
        <w:spacing w:line="252" w:lineRule="exact"/>
        <w:ind w:left="119"/>
        <w:jc w:val="both"/>
      </w:pPr>
      <w:r>
        <w:rPr>
          <w:w w:val="105"/>
        </w:rPr>
        <w:t>commencing at age </w:t>
      </w:r>
      <w:r>
        <w:rPr>
          <w:rFonts w:ascii="Arial"/>
          <w:i/>
          <w:w w:val="105"/>
          <w:sz w:val="17"/>
        </w:rPr>
        <w:t>x </w:t>
      </w:r>
      <w:r>
        <w:rPr>
          <w:rFonts w:ascii="Arial"/>
          <w:w w:val="105"/>
          <w:sz w:val="32"/>
        </w:rPr>
        <w:t>+ </w:t>
      </w:r>
      <w:r>
        <w:rPr>
          <w:i/>
          <w:w w:val="105"/>
        </w:rPr>
        <w:t>t. </w:t>
      </w:r>
      <w:r>
        <w:rPr>
          <w:w w:val="105"/>
        </w:rPr>
        <w:t>The benefit will then be a t-year deferred</w:t>
      </w:r>
    </w:p>
    <w:p>
      <w:pPr>
        <w:pStyle w:val="BodyText"/>
        <w:spacing w:line="222" w:lineRule="exact"/>
        <w:ind w:left="115" w:firstLine="3"/>
        <w:jc w:val="both"/>
      </w:pPr>
      <w:r>
        <w:rPr>
          <w:w w:val="105"/>
        </w:rPr>
        <w:t>cash  refund  annuity-due.  During  the  deferred  period,  the   death</w:t>
      </w:r>
    </w:p>
    <w:p>
      <w:pPr>
        <w:pStyle w:val="BodyText"/>
        <w:spacing w:line="134" w:lineRule="auto" w:before="93"/>
        <w:ind w:left="115" w:right="153"/>
        <w:jc w:val="both"/>
      </w:pPr>
      <w:r>
        <w:rPr>
          <w:w w:val="105"/>
        </w:rPr>
        <w:t>benefit is equal to the gross single premium, and this death benefit is reduced  by  the payments made at age </w:t>
      </w:r>
      <w:r>
        <w:rPr>
          <w:rFonts w:ascii="Arial"/>
          <w:i/>
          <w:w w:val="105"/>
          <w:sz w:val="17"/>
        </w:rPr>
        <w:t>x  </w:t>
      </w:r>
      <w:r>
        <w:rPr>
          <w:rFonts w:ascii="Arial"/>
          <w:w w:val="105"/>
          <w:sz w:val="32"/>
        </w:rPr>
        <w:t>+ </w:t>
      </w:r>
      <w:r>
        <w:rPr>
          <w:i/>
          <w:w w:val="105"/>
          <w:sz w:val="21"/>
        </w:rPr>
        <w:t>t </w:t>
      </w:r>
      <w:r>
        <w:rPr>
          <w:w w:val="105"/>
        </w:rPr>
        <w:t>and thereafter. </w:t>
      </w:r>
      <w:r>
        <w:rPr>
          <w:spacing w:val="6"/>
          <w:w w:val="105"/>
        </w:rPr>
        <w:t> </w:t>
      </w:r>
      <w:r>
        <w:rPr>
          <w:w w:val="105"/>
        </w:rPr>
        <w:t>The</w:t>
      </w:r>
    </w:p>
    <w:p>
      <w:pPr>
        <w:pStyle w:val="BodyText"/>
        <w:spacing w:line="249" w:lineRule="auto" w:before="13"/>
        <w:ind w:left="112" w:right="155" w:firstLine="3"/>
        <w:jc w:val="both"/>
      </w:pPr>
      <w:r>
        <w:rPr>
          <w:w w:val="105"/>
        </w:rPr>
        <w:t>student should undertake to verify the following expressions for the present values at age </w:t>
      </w:r>
      <w:r>
        <w:rPr>
          <w:rFonts w:ascii="Arial" w:hAnsi="Arial"/>
          <w:i/>
          <w:w w:val="105"/>
          <w:sz w:val="17"/>
        </w:rPr>
        <w:t>x </w:t>
      </w:r>
      <w:r>
        <w:rPr>
          <w:w w:val="105"/>
        </w:rPr>
        <w:t>of  the  various  elements  in  this  benefit. The method and assumptions are similar to those used in the der­ ivation of formula  (7.2).</w:t>
      </w:r>
    </w:p>
    <w:p>
      <w:pPr>
        <w:spacing w:before="140"/>
        <w:ind w:left="3359" w:right="0" w:firstLine="0"/>
        <w:jc w:val="left"/>
        <w:rPr>
          <w:b/>
          <w:i/>
          <w:sz w:val="16"/>
        </w:rPr>
      </w:pPr>
      <w:r>
        <w:rPr>
          <w:b/>
          <w:i/>
          <w:w w:val="105"/>
          <w:sz w:val="16"/>
        </w:rPr>
        <w:t>Present  value  at  age x</w:t>
      </w:r>
    </w:p>
    <w:p>
      <w:pPr>
        <w:tabs>
          <w:tab w:pos="3863" w:val="left" w:leader="none"/>
        </w:tabs>
        <w:spacing w:before="99"/>
        <w:ind w:left="112" w:right="0" w:firstLine="0"/>
        <w:jc w:val="both"/>
        <w:rPr>
          <w:rFonts w:ascii="Arial"/>
          <w:i/>
          <w:sz w:val="15"/>
        </w:rPr>
      </w:pPr>
      <w:r>
        <w:rPr>
          <w:b/>
          <w:w w:val="110"/>
          <w:position w:val="1"/>
          <w:sz w:val="17"/>
        </w:rPr>
        <w:t>Net</w:t>
      </w:r>
      <w:r>
        <w:rPr>
          <w:b/>
          <w:spacing w:val="-2"/>
          <w:w w:val="110"/>
          <w:position w:val="1"/>
          <w:sz w:val="17"/>
        </w:rPr>
        <w:t> </w:t>
      </w:r>
      <w:r>
        <w:rPr>
          <w:b/>
          <w:w w:val="110"/>
          <w:position w:val="1"/>
          <w:sz w:val="17"/>
        </w:rPr>
        <w:t>premium</w:t>
        <w:tab/>
      </w:r>
      <w:r>
        <w:rPr>
          <w:rFonts w:ascii="Arial"/>
          <w:w w:val="110"/>
          <w:sz w:val="15"/>
        </w:rPr>
        <w:t>(1 </w:t>
      </w:r>
      <w:r>
        <w:rPr>
          <w:rFonts w:ascii="Arial"/>
          <w:w w:val="260"/>
          <w:sz w:val="15"/>
        </w:rPr>
        <w:t>-</w:t>
      </w:r>
      <w:r>
        <w:rPr>
          <w:rFonts w:ascii="Arial"/>
          <w:spacing w:val="-53"/>
          <w:w w:val="260"/>
          <w:sz w:val="15"/>
        </w:rPr>
        <w:t> </w:t>
      </w:r>
      <w:r>
        <w:rPr>
          <w:rFonts w:ascii="Arial"/>
          <w:i/>
          <w:w w:val="110"/>
          <w:sz w:val="15"/>
        </w:rPr>
        <w:t>r )G</w:t>
      </w:r>
    </w:p>
    <w:p>
      <w:pPr>
        <w:pStyle w:val="BodyText"/>
        <w:spacing w:before="11"/>
        <w:rPr>
          <w:rFonts w:ascii="Arial"/>
          <w:i/>
          <w:sz w:val="17"/>
        </w:rPr>
      </w:pPr>
    </w:p>
    <w:p>
      <w:pPr>
        <w:tabs>
          <w:tab w:pos="3247" w:val="left" w:leader="none"/>
          <w:tab w:pos="4169" w:val="left" w:leader="none"/>
        </w:tabs>
        <w:spacing w:before="0"/>
        <w:ind w:left="108" w:right="0" w:firstLine="0"/>
        <w:jc w:val="both"/>
        <w:rPr>
          <w:rFonts w:ascii="Arial"/>
          <w:sz w:val="16"/>
        </w:rPr>
      </w:pPr>
      <w:r>
        <w:rPr/>
        <w:pict>
          <v:shape style="position:absolute;margin-left:191.339996pt;margin-top:5.904181pt;width:92.35pt;height:8.5pt;mso-position-horizontal-relative:page;mso-position-vertical-relative:paragraph;z-index:-723496" type="#_x0000_t202" filled="false" stroked="false">
            <v:textbox inset="0,0,0,0">
              <w:txbxContent>
                <w:p>
                  <w:pPr>
                    <w:tabs>
                      <w:tab w:pos="1551" w:val="left" w:leader="none"/>
                    </w:tabs>
                    <w:spacing w:line="170" w:lineRule="exact" w:before="0"/>
                    <w:ind w:left="0" w:right="0" w:firstLine="0"/>
                    <w:jc w:val="left"/>
                    <w:rPr>
                      <w:b/>
                      <w:i/>
                      <w:sz w:val="17"/>
                    </w:rPr>
                  </w:pPr>
                  <w:r>
                    <w:rPr>
                      <w:b/>
                      <w:i/>
                      <w:w w:val="95"/>
                      <w:sz w:val="17"/>
                      <w:u w:val="thick"/>
                    </w:rPr>
                    <w:t>Dz   </w:t>
                  </w:r>
                  <w:r>
                    <w:rPr>
                      <w:b/>
                      <w:i/>
                      <w:spacing w:val="17"/>
                      <w:w w:val="95"/>
                      <w:sz w:val="17"/>
                      <w:u w:val="thick"/>
                    </w:rPr>
                    <w:t> </w:t>
                  </w:r>
                  <w:r>
                    <w:rPr>
                      <w:b/>
                      <w:i/>
                      <w:w w:val="95"/>
                      <w:sz w:val="17"/>
                    </w:rPr>
                    <w:t>N"+' </w:t>
                  </w:r>
                  <w:r>
                    <w:rPr>
                      <w:b/>
                      <w:i/>
                      <w:spacing w:val="25"/>
                      <w:w w:val="95"/>
                      <w:sz w:val="17"/>
                    </w:rPr>
                    <w:t> </w:t>
                  </w:r>
                  <w:r>
                    <w:rPr>
                      <w:w w:val="240"/>
                      <w:sz w:val="17"/>
                    </w:rPr>
                    <w:t>-</w:t>
                    <w:tab/>
                  </w:r>
                  <w:r>
                    <w:rPr>
                      <w:b/>
                      <w:i/>
                      <w:w w:val="70"/>
                      <w:sz w:val="17"/>
                    </w:rPr>
                    <w:t>D:e+t</w:t>
                  </w:r>
                </w:p>
              </w:txbxContent>
            </v:textbox>
            <w10:wrap type="none"/>
          </v:shape>
        </w:pict>
      </w:r>
      <w:r>
        <w:rPr>
          <w:b/>
          <w:w w:val="115"/>
          <w:sz w:val="17"/>
        </w:rPr>
        <w:t>Annuity</w:t>
      </w:r>
      <w:r>
        <w:rPr>
          <w:b/>
          <w:spacing w:val="-21"/>
          <w:w w:val="115"/>
          <w:sz w:val="17"/>
        </w:rPr>
        <w:t> </w:t>
      </w:r>
      <w:r>
        <w:rPr>
          <w:b/>
          <w:w w:val="115"/>
          <w:sz w:val="17"/>
        </w:rPr>
        <w:t>benefit</w:t>
        <w:tab/>
      </w:r>
      <w:r>
        <w:rPr>
          <w:rFonts w:ascii="Arial"/>
          <w:b/>
          <w:w w:val="115"/>
          <w:position w:val="4"/>
          <w:sz w:val="16"/>
        </w:rPr>
        <w:t>1</w:t>
      </w:r>
      <w:r>
        <w:rPr>
          <w:rFonts w:ascii="Arial"/>
          <w:b/>
          <w:spacing w:val="36"/>
          <w:w w:val="115"/>
          <w:position w:val="4"/>
          <w:sz w:val="16"/>
        </w:rPr>
        <w:t> </w:t>
      </w:r>
      <w:r>
        <w:rPr>
          <w:rFonts w:ascii="Arial"/>
          <w:w w:val="270"/>
          <w:position w:val="4"/>
          <w:sz w:val="16"/>
        </w:rPr>
        <w:t>(</w:t>
        <w:tab/>
      </w:r>
      <w:r>
        <w:rPr>
          <w:rFonts w:ascii="Arial"/>
          <w:b/>
          <w:i/>
          <w:w w:val="115"/>
          <w:position w:val="4"/>
          <w:sz w:val="14"/>
        </w:rPr>
        <w:t>m  </w:t>
      </w:r>
      <w:r>
        <w:rPr>
          <w:rFonts w:ascii="Arial"/>
          <w:w w:val="270"/>
          <w:position w:val="4"/>
          <w:sz w:val="14"/>
        </w:rPr>
        <w:t>- </w:t>
      </w:r>
      <w:r>
        <w:rPr>
          <w:rFonts w:ascii="Arial"/>
          <w:b/>
          <w:w w:val="115"/>
          <w:position w:val="4"/>
          <w:sz w:val="16"/>
        </w:rPr>
        <w:t>1     </w:t>
      </w:r>
      <w:r>
        <w:rPr>
          <w:rFonts w:ascii="Arial"/>
          <w:b/>
          <w:spacing w:val="18"/>
          <w:w w:val="115"/>
          <w:position w:val="4"/>
          <w:sz w:val="16"/>
        </w:rPr>
        <w:t> </w:t>
      </w:r>
      <w:r>
        <w:rPr>
          <w:rFonts w:ascii="Arial"/>
          <w:w w:val="270"/>
          <w:position w:val="4"/>
          <w:sz w:val="16"/>
        </w:rPr>
        <w:t>)</w:t>
      </w:r>
    </w:p>
    <w:p>
      <w:pPr>
        <w:pStyle w:val="BodyText"/>
        <w:spacing w:before="9"/>
        <w:rPr>
          <w:rFonts w:ascii="Arial"/>
          <w:sz w:val="17"/>
        </w:rPr>
      </w:pPr>
    </w:p>
    <w:p>
      <w:pPr>
        <w:spacing w:line="161" w:lineRule="exact" w:before="79"/>
        <w:ind w:left="108" w:right="0" w:firstLine="0"/>
        <w:jc w:val="left"/>
        <w:rPr>
          <w:b/>
          <w:sz w:val="17"/>
        </w:rPr>
      </w:pPr>
      <w:r>
        <w:rPr/>
        <w:drawing>
          <wp:anchor distT="0" distB="0" distL="0" distR="0" allowOverlap="1" layoutInCell="1" locked="0" behindDoc="0" simplePos="0" relativeHeight="12496">
            <wp:simplePos x="0" y="0"/>
            <wp:positionH relativeFrom="page">
              <wp:posOffset>2660904</wp:posOffset>
            </wp:positionH>
            <wp:positionV relativeFrom="paragraph">
              <wp:posOffset>73222</wp:posOffset>
            </wp:positionV>
            <wp:extent cx="786383" cy="246888"/>
            <wp:effectExtent l="0" t="0" r="0" b="0"/>
            <wp:wrapNone/>
            <wp:docPr id="309" name="image160.png" descr=""/>
            <wp:cNvGraphicFramePr>
              <a:graphicFrameLocks noChangeAspect="1"/>
            </wp:cNvGraphicFramePr>
            <a:graphic>
              <a:graphicData uri="http://schemas.openxmlformats.org/drawingml/2006/picture">
                <pic:pic>
                  <pic:nvPicPr>
                    <pic:cNvPr id="310" name="image160.png"/>
                    <pic:cNvPicPr/>
                  </pic:nvPicPr>
                  <pic:blipFill>
                    <a:blip r:embed="rId164" cstate="print"/>
                    <a:stretch>
                      <a:fillRect/>
                    </a:stretch>
                  </pic:blipFill>
                  <pic:spPr>
                    <a:xfrm>
                      <a:off x="0" y="0"/>
                      <a:ext cx="786383" cy="246888"/>
                    </a:xfrm>
                    <a:prstGeom prst="rect">
                      <a:avLst/>
                    </a:prstGeom>
                  </pic:spPr>
                </pic:pic>
              </a:graphicData>
            </a:graphic>
          </wp:anchor>
        </w:drawing>
      </w:r>
      <w:r>
        <w:rPr>
          <w:b/>
          <w:w w:val="105"/>
          <w:sz w:val="17"/>
        </w:rPr>
        <w:t>Death  benefit  between ages</w:t>
      </w:r>
    </w:p>
    <w:p>
      <w:pPr>
        <w:spacing w:line="253" w:lineRule="exact" w:before="0"/>
        <w:ind w:left="263" w:right="0" w:firstLine="0"/>
        <w:jc w:val="left"/>
        <w:rPr>
          <w:i/>
          <w:sz w:val="18"/>
        </w:rPr>
      </w:pPr>
      <w:r>
        <w:rPr>
          <w:i/>
          <w:w w:val="105"/>
          <w:sz w:val="17"/>
        </w:rPr>
        <w:t>x  </w:t>
      </w:r>
      <w:r>
        <w:rPr>
          <w:w w:val="105"/>
          <w:sz w:val="17"/>
        </w:rPr>
        <w:t>and </w:t>
      </w:r>
      <w:r>
        <w:rPr>
          <w:i/>
          <w:w w:val="105"/>
          <w:sz w:val="17"/>
        </w:rPr>
        <w:t>x  </w:t>
      </w:r>
      <w:r>
        <w:rPr>
          <w:rFonts w:ascii="Arial"/>
          <w:w w:val="105"/>
          <w:sz w:val="25"/>
        </w:rPr>
        <w:t>+ </w:t>
      </w:r>
      <w:r>
        <w:rPr>
          <w:i/>
          <w:w w:val="105"/>
          <w:sz w:val="18"/>
        </w:rPr>
        <w:t>t</w:t>
      </w:r>
    </w:p>
    <w:p>
      <w:pPr>
        <w:spacing w:after="0" w:line="253" w:lineRule="exact"/>
        <w:jc w:val="left"/>
        <w:rPr>
          <w:sz w:val="18"/>
        </w:rPr>
        <w:sectPr>
          <w:pgSz w:w="7200" w:h="11340"/>
          <w:pgMar w:top="480" w:bottom="280" w:left="640" w:right="540"/>
        </w:sectPr>
      </w:pPr>
    </w:p>
    <w:p>
      <w:pPr>
        <w:tabs>
          <w:tab w:pos="2319" w:val="left" w:leader="none"/>
          <w:tab w:pos="5318" w:val="left" w:leader="none"/>
        </w:tabs>
        <w:spacing w:before="59"/>
        <w:ind w:left="134" w:right="0" w:firstLine="0"/>
        <w:jc w:val="left"/>
        <w:rPr>
          <w:i/>
          <w:sz w:val="22"/>
        </w:rPr>
      </w:pPr>
      <w:r>
        <w:rPr>
          <w:color w:val="010101"/>
          <w:position w:val="1"/>
          <w:sz w:val="19"/>
        </w:rPr>
        <w:t>l</w:t>
      </w:r>
      <w:r>
        <w:rPr>
          <w:color w:val="010101"/>
          <w:spacing w:val="-17"/>
          <w:position w:val="1"/>
          <w:sz w:val="19"/>
        </w:rPr>
        <w:t> </w:t>
      </w:r>
      <w:r>
        <w:rPr>
          <w:color w:val="010101"/>
          <w:position w:val="1"/>
          <w:sz w:val="19"/>
        </w:rPr>
        <w:t>M</w:t>
        <w:tab/>
      </w:r>
      <w:r>
        <w:rPr>
          <w:color w:val="010101"/>
          <w:position w:val="1"/>
          <w:sz w:val="15"/>
        </w:rPr>
        <w:t>SPECIAL  </w:t>
      </w:r>
      <w:r>
        <w:rPr>
          <w:color w:val="010101"/>
          <w:spacing w:val="28"/>
          <w:position w:val="1"/>
          <w:sz w:val="15"/>
        </w:rPr>
        <w:t> </w:t>
      </w:r>
      <w:r>
        <w:rPr>
          <w:color w:val="010101"/>
          <w:position w:val="1"/>
          <w:sz w:val="15"/>
        </w:rPr>
        <w:t>TOPICS</w:t>
        <w:tab/>
      </w:r>
      <w:r>
        <w:rPr>
          <w:color w:val="010101"/>
          <w:sz w:val="20"/>
        </w:rPr>
        <w:t>[CH.</w:t>
      </w:r>
      <w:r>
        <w:rPr>
          <w:color w:val="010101"/>
          <w:spacing w:val="-12"/>
          <w:sz w:val="20"/>
        </w:rPr>
        <w:t> </w:t>
      </w:r>
      <w:r>
        <w:rPr>
          <w:i/>
          <w:color w:val="010101"/>
          <w:w w:val="145"/>
          <w:sz w:val="22"/>
        </w:rPr>
        <w:t>i</w:t>
      </w:r>
    </w:p>
    <w:p>
      <w:pPr>
        <w:pStyle w:val="BodyText"/>
        <w:spacing w:before="10"/>
        <w:rPr>
          <w:i/>
          <w:sz w:val="19"/>
        </w:rPr>
      </w:pPr>
    </w:p>
    <w:p>
      <w:pPr>
        <w:spacing w:line="167" w:lineRule="exact" w:before="0"/>
        <w:ind w:left="120" w:right="0" w:firstLine="0"/>
        <w:jc w:val="left"/>
        <w:rPr>
          <w:sz w:val="17"/>
        </w:rPr>
      </w:pPr>
      <w:r>
        <w:rPr>
          <w:color w:val="010101"/>
          <w:w w:val="105"/>
          <w:sz w:val="17"/>
        </w:rPr>
        <w:t>Death  benefit  between  ages</w:t>
      </w:r>
    </w:p>
    <w:p>
      <w:pPr>
        <w:tabs>
          <w:tab w:pos="2627" w:val="left" w:leader="none"/>
        </w:tabs>
        <w:spacing w:line="247" w:lineRule="exact" w:before="0"/>
        <w:ind w:left="270" w:right="0" w:firstLine="0"/>
        <w:jc w:val="left"/>
        <w:rPr>
          <w:rFonts w:ascii="Arial" w:hAnsi="Arial"/>
          <w:i/>
          <w:sz w:val="17"/>
        </w:rPr>
      </w:pPr>
      <w:r>
        <w:rPr>
          <w:i/>
          <w:color w:val="010101"/>
          <w:w w:val="98"/>
          <w:position w:val="-4"/>
          <w:sz w:val="18"/>
        </w:rPr>
        <w:t>x</w:t>
      </w:r>
      <w:r>
        <w:rPr>
          <w:i/>
          <w:color w:val="010101"/>
          <w:position w:val="-4"/>
          <w:sz w:val="18"/>
        </w:rPr>
        <w:t> </w:t>
      </w:r>
      <w:r>
        <w:rPr>
          <w:i/>
          <w:color w:val="010101"/>
          <w:spacing w:val="-1"/>
          <w:position w:val="-4"/>
          <w:sz w:val="18"/>
        </w:rPr>
        <w:t> </w:t>
      </w:r>
      <w:r>
        <w:rPr>
          <w:rFonts w:ascii="Arial" w:hAnsi="Arial"/>
          <w:color w:val="010101"/>
          <w:w w:val="108"/>
          <w:position w:val="-4"/>
          <w:sz w:val="24"/>
        </w:rPr>
        <w:t>+</w:t>
      </w:r>
      <w:r>
        <w:rPr>
          <w:rFonts w:ascii="Arial" w:hAnsi="Arial"/>
          <w:color w:val="010101"/>
          <w:spacing w:val="-12"/>
          <w:position w:val="-4"/>
          <w:sz w:val="24"/>
        </w:rPr>
        <w:t> </w:t>
      </w:r>
      <w:r>
        <w:rPr>
          <w:i/>
          <w:color w:val="010101"/>
          <w:w w:val="123"/>
          <w:position w:val="-4"/>
          <w:sz w:val="14"/>
        </w:rPr>
        <w:t>l</w:t>
      </w:r>
      <w:r>
        <w:rPr>
          <w:i/>
          <w:color w:val="010101"/>
          <w:position w:val="-4"/>
          <w:sz w:val="14"/>
        </w:rPr>
        <w:t> </w:t>
      </w:r>
      <w:r>
        <w:rPr>
          <w:i/>
          <w:color w:val="010101"/>
          <w:spacing w:val="-4"/>
          <w:position w:val="-4"/>
          <w:sz w:val="14"/>
        </w:rPr>
        <w:t> </w:t>
      </w:r>
      <w:r>
        <w:rPr>
          <w:color w:val="010101"/>
          <w:w w:val="112"/>
          <w:position w:val="-4"/>
          <w:sz w:val="17"/>
        </w:rPr>
        <w:t>and</w:t>
      </w:r>
      <w:r>
        <w:rPr>
          <w:color w:val="010101"/>
          <w:spacing w:val="21"/>
          <w:position w:val="-4"/>
          <w:sz w:val="17"/>
        </w:rPr>
        <w:t> </w:t>
      </w:r>
      <w:r>
        <w:rPr>
          <w:i/>
          <w:color w:val="010101"/>
          <w:w w:val="94"/>
          <w:position w:val="-4"/>
          <w:sz w:val="18"/>
        </w:rPr>
        <w:t>x</w:t>
      </w:r>
      <w:r>
        <w:rPr>
          <w:i/>
          <w:color w:val="010101"/>
          <w:position w:val="-4"/>
          <w:sz w:val="18"/>
        </w:rPr>
        <w:t> </w:t>
      </w:r>
      <w:r>
        <w:rPr>
          <w:i/>
          <w:color w:val="010101"/>
          <w:spacing w:val="-1"/>
          <w:position w:val="-4"/>
          <w:sz w:val="18"/>
        </w:rPr>
        <w:t> </w:t>
      </w:r>
      <w:r>
        <w:rPr>
          <w:rFonts w:ascii="Arial" w:hAnsi="Arial"/>
          <w:color w:val="010101"/>
          <w:w w:val="108"/>
          <w:position w:val="-4"/>
          <w:sz w:val="24"/>
        </w:rPr>
        <w:t>+</w:t>
      </w:r>
      <w:r>
        <w:rPr>
          <w:rFonts w:ascii="Arial" w:hAnsi="Arial"/>
          <w:color w:val="010101"/>
          <w:spacing w:val="-12"/>
          <w:position w:val="-4"/>
          <w:sz w:val="24"/>
        </w:rPr>
        <w:t> </w:t>
      </w:r>
      <w:r>
        <w:rPr>
          <w:i/>
          <w:color w:val="010101"/>
          <w:w w:val="98"/>
          <w:position w:val="-4"/>
          <w:sz w:val="18"/>
        </w:rPr>
        <w:t>t</w:t>
      </w:r>
      <w:r>
        <w:rPr>
          <w:i/>
          <w:color w:val="010101"/>
          <w:position w:val="-4"/>
          <w:sz w:val="18"/>
        </w:rPr>
        <w:t> </w:t>
      </w:r>
      <w:r>
        <w:rPr>
          <w:i/>
          <w:color w:val="010101"/>
          <w:spacing w:val="-18"/>
          <w:position w:val="-4"/>
          <w:sz w:val="18"/>
        </w:rPr>
        <w:t> </w:t>
      </w:r>
      <w:r>
        <w:rPr>
          <w:rFonts w:ascii="Arial" w:hAnsi="Arial"/>
          <w:color w:val="010101"/>
          <w:w w:val="114"/>
          <w:position w:val="-4"/>
          <w:sz w:val="24"/>
        </w:rPr>
        <w:t>+</w:t>
      </w:r>
      <w:r>
        <w:rPr>
          <w:rFonts w:ascii="Arial" w:hAnsi="Arial"/>
          <w:color w:val="010101"/>
          <w:spacing w:val="-20"/>
          <w:position w:val="-4"/>
          <w:sz w:val="24"/>
        </w:rPr>
        <w:t> </w:t>
      </w:r>
      <w:r>
        <w:rPr>
          <w:i/>
          <w:color w:val="010101"/>
          <w:w w:val="119"/>
          <w:position w:val="-4"/>
          <w:sz w:val="18"/>
        </w:rPr>
        <w:t>n</w:t>
      </w:r>
      <w:r>
        <w:rPr>
          <w:i/>
          <w:color w:val="010101"/>
          <w:position w:val="-4"/>
          <w:sz w:val="18"/>
        </w:rPr>
        <w:tab/>
      </w:r>
      <w:r>
        <w:rPr>
          <w:rFonts w:ascii="Arial" w:hAnsi="Arial"/>
          <w:i/>
          <w:color w:val="010101"/>
          <w:spacing w:val="-18"/>
          <w:w w:val="311"/>
          <w:sz w:val="17"/>
        </w:rPr>
        <w:t>.</w:t>
      </w:r>
      <w:r>
        <w:rPr>
          <w:rFonts w:ascii="Arial" w:hAnsi="Arial"/>
          <w:color w:val="010101"/>
          <w:spacing w:val="-31"/>
          <w:w w:val="323"/>
          <w:sz w:val="17"/>
        </w:rPr>
        <w:t>[</w:t>
      </w:r>
      <w:r>
        <w:rPr>
          <w:rFonts w:ascii="Arial" w:hAnsi="Arial"/>
          <w:i/>
          <w:color w:val="010101"/>
          <w:w w:val="103"/>
          <w:sz w:val="17"/>
        </w:rPr>
        <w:t>G</w:t>
      </w:r>
      <w:r>
        <w:rPr>
          <w:rFonts w:ascii="Arial" w:hAnsi="Arial"/>
          <w:i/>
          <w:color w:val="010101"/>
          <w:w w:val="103"/>
          <w:sz w:val="17"/>
        </w:rPr>
        <w:t>(M</w:t>
      </w:r>
      <w:r>
        <w:rPr>
          <w:rFonts w:ascii="Arial" w:hAnsi="Arial"/>
          <w:i/>
          <w:color w:val="010101"/>
          <w:spacing w:val="-11"/>
          <w:w w:val="103"/>
          <w:sz w:val="17"/>
        </w:rPr>
        <w:t>•</w:t>
      </w:r>
      <w:r>
        <w:rPr>
          <w:rFonts w:ascii="Arial" w:hAnsi="Arial"/>
          <w:i/>
          <w:color w:val="010101"/>
          <w:w w:val="82"/>
          <w:sz w:val="17"/>
        </w:rPr>
        <w:t>+•</w:t>
      </w:r>
      <w:r>
        <w:rPr>
          <w:rFonts w:ascii="Arial" w:hAnsi="Arial"/>
          <w:i/>
          <w:color w:val="010101"/>
          <w:spacing w:val="22"/>
          <w:sz w:val="17"/>
        </w:rPr>
        <w:t> </w:t>
      </w:r>
      <w:r>
        <w:rPr>
          <w:rFonts w:ascii="Arial" w:hAnsi="Arial"/>
          <w:color w:val="010101"/>
          <w:w w:val="245"/>
          <w:sz w:val="17"/>
        </w:rPr>
        <w:t>-</w:t>
      </w:r>
      <w:r>
        <w:rPr>
          <w:rFonts w:ascii="Arial" w:hAnsi="Arial"/>
          <w:color w:val="010101"/>
          <w:spacing w:val="14"/>
          <w:sz w:val="17"/>
        </w:rPr>
        <w:t> </w:t>
      </w:r>
      <w:r>
        <w:rPr>
          <w:rFonts w:ascii="Arial" w:hAnsi="Arial"/>
          <w:i/>
          <w:color w:val="010101"/>
          <w:w w:val="125"/>
          <w:sz w:val="17"/>
        </w:rPr>
        <w:t>M</w:t>
      </w:r>
      <w:r>
        <w:rPr>
          <w:rFonts w:ascii="Arial" w:hAnsi="Arial"/>
          <w:i/>
          <w:color w:val="010101"/>
          <w:spacing w:val="-23"/>
          <w:w w:val="125"/>
          <w:sz w:val="17"/>
        </w:rPr>
        <w:t>,</w:t>
      </w:r>
      <w:r>
        <w:rPr>
          <w:rFonts w:ascii="Arial" w:hAnsi="Arial"/>
          <w:i/>
          <w:color w:val="010101"/>
          <w:w w:val="71"/>
          <w:sz w:val="17"/>
        </w:rPr>
        <w:t>+1+.J</w:t>
      </w:r>
    </w:p>
    <w:p>
      <w:pPr>
        <w:pStyle w:val="BodyText"/>
        <w:spacing w:before="3"/>
        <w:rPr>
          <w:rFonts w:ascii="Arial"/>
          <w:i/>
          <w:sz w:val="13"/>
        </w:rPr>
      </w:pPr>
      <w:r>
        <w:rPr/>
        <w:drawing>
          <wp:anchor distT="0" distB="0" distL="0" distR="0" allowOverlap="1" layoutInCell="1" locked="0" behindDoc="0" simplePos="0" relativeHeight="12592">
            <wp:simplePos x="0" y="0"/>
            <wp:positionH relativeFrom="page">
              <wp:posOffset>2386583</wp:posOffset>
            </wp:positionH>
            <wp:positionV relativeFrom="paragraph">
              <wp:posOffset>121926</wp:posOffset>
            </wp:positionV>
            <wp:extent cx="1764792" cy="493775"/>
            <wp:effectExtent l="0" t="0" r="0" b="0"/>
            <wp:wrapTopAndBottom/>
            <wp:docPr id="311" name="image161.png" descr=""/>
            <wp:cNvGraphicFramePr>
              <a:graphicFrameLocks noChangeAspect="1"/>
            </wp:cNvGraphicFramePr>
            <a:graphic>
              <a:graphicData uri="http://schemas.openxmlformats.org/drawingml/2006/picture">
                <pic:pic>
                  <pic:nvPicPr>
                    <pic:cNvPr id="312" name="image161.png"/>
                    <pic:cNvPicPr/>
                  </pic:nvPicPr>
                  <pic:blipFill>
                    <a:blip r:embed="rId165" cstate="print"/>
                    <a:stretch>
                      <a:fillRect/>
                    </a:stretch>
                  </pic:blipFill>
                  <pic:spPr>
                    <a:xfrm>
                      <a:off x="0" y="0"/>
                      <a:ext cx="1764792" cy="493775"/>
                    </a:xfrm>
                    <a:prstGeom prst="rect">
                      <a:avLst/>
                    </a:prstGeom>
                  </pic:spPr>
                </pic:pic>
              </a:graphicData>
            </a:graphic>
          </wp:anchor>
        </w:drawing>
      </w:r>
    </w:p>
    <w:p>
      <w:pPr>
        <w:spacing w:after="0"/>
        <w:rPr>
          <w:rFonts w:ascii="Arial"/>
          <w:sz w:val="13"/>
        </w:rPr>
        <w:sectPr>
          <w:pgSz w:w="7200" w:h="11340"/>
          <w:pgMar w:top="480" w:bottom="280" w:left="680" w:right="560"/>
        </w:sectPr>
      </w:pPr>
    </w:p>
    <w:p>
      <w:pPr>
        <w:pStyle w:val="BodyText"/>
        <w:rPr>
          <w:rFonts w:ascii="Arial"/>
          <w:i/>
          <w:sz w:val="16"/>
        </w:rPr>
      </w:pPr>
    </w:p>
    <w:p>
      <w:pPr>
        <w:pStyle w:val="BodyText"/>
        <w:spacing w:before="2"/>
        <w:rPr>
          <w:rFonts w:ascii="Arial"/>
          <w:i/>
          <w:sz w:val="17"/>
        </w:rPr>
      </w:pPr>
    </w:p>
    <w:p>
      <w:pPr>
        <w:spacing w:line="171" w:lineRule="exact" w:before="0"/>
        <w:ind w:left="116" w:right="0" w:firstLine="0"/>
        <w:jc w:val="left"/>
        <w:rPr>
          <w:sz w:val="17"/>
        </w:rPr>
      </w:pPr>
      <w:r>
        <w:rPr>
          <w:color w:val="010101"/>
          <w:w w:val="110"/>
          <w:sz w:val="17"/>
        </w:rPr>
        <w:t>Death bencfit  betwecn ages</w:t>
      </w:r>
    </w:p>
    <w:p>
      <w:pPr>
        <w:spacing w:line="243" w:lineRule="exact" w:before="0"/>
        <w:ind w:left="270" w:right="0" w:hanging="4"/>
        <w:jc w:val="left"/>
        <w:rPr>
          <w:sz w:val="17"/>
        </w:rPr>
      </w:pPr>
      <w:r>
        <w:rPr>
          <w:i/>
          <w:color w:val="010101"/>
          <w:w w:val="105"/>
          <w:sz w:val="18"/>
        </w:rPr>
        <w:t>x  </w:t>
      </w:r>
      <w:r>
        <w:rPr>
          <w:rFonts w:ascii="Arial"/>
          <w:color w:val="010101"/>
          <w:w w:val="105"/>
          <w:sz w:val="24"/>
        </w:rPr>
        <w:t>+ </w:t>
      </w:r>
      <w:r>
        <w:rPr>
          <w:i/>
          <w:color w:val="010101"/>
          <w:w w:val="105"/>
          <w:sz w:val="19"/>
        </w:rPr>
        <w:t>t  </w:t>
      </w:r>
      <w:r>
        <w:rPr>
          <w:rFonts w:ascii="Arial"/>
          <w:color w:val="010101"/>
          <w:w w:val="105"/>
          <w:sz w:val="24"/>
        </w:rPr>
        <w:t>+ </w:t>
      </w:r>
      <w:r>
        <w:rPr>
          <w:i/>
          <w:color w:val="010101"/>
          <w:w w:val="105"/>
          <w:sz w:val="18"/>
        </w:rPr>
        <w:t>n </w:t>
      </w:r>
      <w:r>
        <w:rPr>
          <w:color w:val="010101"/>
          <w:w w:val="105"/>
          <w:sz w:val="17"/>
        </w:rPr>
        <w:t>and</w:t>
      </w:r>
    </w:p>
    <w:p>
      <w:pPr>
        <w:spacing w:line="290" w:lineRule="exact" w:before="0"/>
        <w:ind w:left="270" w:right="0" w:firstLine="0"/>
        <w:jc w:val="left"/>
        <w:rPr>
          <w:i/>
          <w:sz w:val="17"/>
        </w:rPr>
      </w:pPr>
      <w:r>
        <w:rPr>
          <w:i/>
          <w:color w:val="010101"/>
          <w:w w:val="67"/>
          <w:sz w:val="24"/>
        </w:rPr>
        <w:t>x</w:t>
      </w:r>
      <w:r>
        <w:rPr>
          <w:i/>
          <w:color w:val="010101"/>
          <w:spacing w:val="29"/>
          <w:sz w:val="24"/>
        </w:rPr>
        <w:t> </w:t>
      </w:r>
      <w:r>
        <w:rPr>
          <w:i/>
          <w:color w:val="010101"/>
          <w:w w:val="96"/>
          <w:sz w:val="24"/>
        </w:rPr>
        <w:t>+</w:t>
      </w:r>
      <w:r>
        <w:rPr>
          <w:i/>
          <w:color w:val="010101"/>
          <w:spacing w:val="-2"/>
          <w:sz w:val="24"/>
        </w:rPr>
        <w:t> </w:t>
      </w:r>
      <w:r>
        <w:rPr>
          <w:i/>
          <w:color w:val="010101"/>
          <w:w w:val="67"/>
          <w:sz w:val="24"/>
        </w:rPr>
        <w:t>t</w:t>
      </w:r>
      <w:r>
        <w:rPr>
          <w:i/>
          <w:color w:val="010101"/>
          <w:spacing w:val="16"/>
          <w:sz w:val="24"/>
        </w:rPr>
        <w:t> </w:t>
      </w:r>
      <w:r>
        <w:rPr>
          <w:i/>
          <w:color w:val="010101"/>
          <w:w w:val="99"/>
          <w:sz w:val="24"/>
        </w:rPr>
        <w:t>+</w:t>
      </w:r>
      <w:r>
        <w:rPr>
          <w:i/>
          <w:color w:val="010101"/>
          <w:spacing w:val="-14"/>
          <w:sz w:val="24"/>
        </w:rPr>
        <w:t> </w:t>
      </w:r>
      <w:r>
        <w:rPr>
          <w:i/>
          <w:color w:val="010101"/>
          <w:w w:val="89"/>
          <w:sz w:val="24"/>
        </w:rPr>
        <w:t>n</w:t>
      </w:r>
      <w:r>
        <w:rPr>
          <w:i/>
          <w:color w:val="010101"/>
          <w:spacing w:val="1"/>
          <w:sz w:val="24"/>
        </w:rPr>
        <w:t> </w:t>
      </w:r>
      <w:r>
        <w:rPr>
          <w:i/>
          <w:color w:val="010101"/>
          <w:spacing w:val="10"/>
          <w:w w:val="102"/>
          <w:sz w:val="24"/>
        </w:rPr>
        <w:t>+</w:t>
      </w:r>
      <w:r>
        <w:rPr>
          <w:i/>
          <w:color w:val="010101"/>
          <w:spacing w:val="-128"/>
          <w:w w:val="183"/>
          <w:sz w:val="24"/>
        </w:rPr>
        <w:t>-</w:t>
      </w:r>
      <w:r>
        <w:rPr>
          <w:i/>
          <w:color w:val="010101"/>
          <w:w w:val="94"/>
          <w:position w:val="13"/>
          <w:sz w:val="17"/>
        </w:rPr>
        <w:t>k</w:t>
      </w:r>
    </w:p>
    <w:p>
      <w:pPr>
        <w:spacing w:line="130" w:lineRule="exact" w:before="0"/>
        <w:ind w:left="589" w:right="0" w:firstLine="0"/>
        <w:jc w:val="center"/>
        <w:rPr>
          <w:rFonts w:ascii="Arial"/>
          <w:i/>
          <w:sz w:val="15"/>
        </w:rPr>
      </w:pPr>
      <w:r>
        <w:rPr>
          <w:rFonts w:ascii="Arial"/>
          <w:i/>
          <w:color w:val="010101"/>
          <w:w w:val="113"/>
          <w:sz w:val="15"/>
        </w:rPr>
        <w:t>m</w:t>
      </w:r>
    </w:p>
    <w:p>
      <w:pPr>
        <w:spacing w:line="144" w:lineRule="exact" w:before="61"/>
        <w:ind w:left="782" w:right="0" w:firstLine="0"/>
        <w:jc w:val="left"/>
        <w:rPr>
          <w:rFonts w:ascii="Arial"/>
          <w:i/>
          <w:sz w:val="16"/>
        </w:rPr>
      </w:pPr>
      <w:r>
        <w:rPr/>
        <w:br w:type="column"/>
      </w:r>
      <w:r>
        <w:rPr>
          <w:color w:val="010101"/>
          <w:w w:val="110"/>
          <w:sz w:val="17"/>
        </w:rPr>
        <w:t>where  </w:t>
      </w:r>
      <w:r>
        <w:rPr>
          <w:i/>
          <w:color w:val="010101"/>
          <w:w w:val="110"/>
          <w:sz w:val="17"/>
        </w:rPr>
        <w:t>n </w:t>
      </w:r>
      <w:r>
        <w:rPr>
          <w:color w:val="010101"/>
          <w:w w:val="110"/>
          <w:sz w:val="17"/>
        </w:rPr>
        <w:t>is the greatest  integer in  </w:t>
      </w:r>
      <w:r>
        <w:rPr>
          <w:rFonts w:ascii="Arial"/>
          <w:i/>
          <w:color w:val="010101"/>
          <w:w w:val="110"/>
          <w:sz w:val="16"/>
        </w:rPr>
        <w:t>G</w:t>
      </w:r>
    </w:p>
    <w:p>
      <w:pPr>
        <w:spacing w:line="459" w:lineRule="exact" w:before="0"/>
        <w:ind w:left="153" w:right="67" w:firstLine="0"/>
        <w:jc w:val="center"/>
        <w:rPr>
          <w:sz w:val="48"/>
        </w:rPr>
      </w:pPr>
      <w:r>
        <w:rPr/>
        <w:pict>
          <v:line style="position:absolute;mso-position-horizontal-relative:page;mso-position-vertical-relative:paragraph;z-index:-723424" from="265.291504pt,24.040661pt" to="292.376704pt,24.040661pt" stroked="true" strokeweight="8.430493pt" strokecolor="#000000">
            <w10:wrap type="none"/>
          </v:line>
        </w:pict>
      </w:r>
      <w:r>
        <w:rPr>
          <w:rFonts w:ascii="Arial"/>
          <w:i/>
          <w:color w:val="010101"/>
          <w:sz w:val="17"/>
          <w:u w:val="single" w:color="000000"/>
        </w:rPr>
        <w:t>kC&amp;+'+" </w:t>
      </w:r>
      <w:r>
        <w:rPr>
          <w:i/>
          <w:color w:val="010101"/>
          <w:w w:val="75"/>
          <w:sz w:val="47"/>
        </w:rPr>
        <w:t>(</w:t>
      </w:r>
      <w:r>
        <w:rPr>
          <w:i/>
          <w:color w:val="010101"/>
          <w:spacing w:val="-73"/>
          <w:w w:val="75"/>
          <w:sz w:val="47"/>
        </w:rPr>
        <w:t> </w:t>
      </w:r>
      <w:r>
        <w:rPr>
          <w:i/>
          <w:color w:val="010101"/>
          <w:w w:val="75"/>
          <w:sz w:val="47"/>
        </w:rPr>
        <w:t>e</w:t>
      </w:r>
      <w:r>
        <w:rPr>
          <w:i/>
          <w:color w:val="010101"/>
          <w:spacing w:val="-54"/>
          <w:w w:val="75"/>
          <w:sz w:val="47"/>
        </w:rPr>
        <w:t> </w:t>
      </w:r>
      <w:r>
        <w:rPr>
          <w:color w:val="010101"/>
          <w:w w:val="75"/>
          <w:sz w:val="47"/>
        </w:rPr>
        <w:t>_ </w:t>
      </w:r>
      <w:r>
        <w:rPr>
          <w:i/>
          <w:color w:val="010101"/>
          <w:sz w:val="18"/>
        </w:rPr>
        <w:t>n </w:t>
      </w:r>
      <w:r>
        <w:rPr>
          <w:color w:val="010101"/>
          <w:sz w:val="18"/>
        </w:rPr>
        <w:t>_ </w:t>
      </w:r>
      <w:r>
        <w:rPr>
          <w:rFonts w:ascii="Arial"/>
          <w:i/>
          <w:color w:val="010101"/>
          <w:sz w:val="17"/>
        </w:rPr>
        <w:t>k </w:t>
      </w:r>
      <w:r>
        <w:rPr>
          <w:rFonts w:ascii="Arial"/>
          <w:color w:val="010101"/>
          <w:sz w:val="24"/>
        </w:rPr>
        <w:t>+ </w:t>
      </w:r>
      <w:r>
        <w:rPr>
          <w:color w:val="010101"/>
          <w:w w:val="75"/>
          <w:sz w:val="48"/>
        </w:rPr>
        <w:t>1)</w:t>
      </w:r>
    </w:p>
    <w:p>
      <w:pPr>
        <w:tabs>
          <w:tab w:pos="1481" w:val="left" w:leader="none"/>
        </w:tabs>
        <w:spacing w:line="154" w:lineRule="exact" w:before="0"/>
        <w:ind w:left="0" w:right="67" w:firstLine="0"/>
        <w:jc w:val="center"/>
        <w:rPr>
          <w:i/>
          <w:sz w:val="17"/>
        </w:rPr>
      </w:pPr>
      <w:r>
        <w:rPr>
          <w:i/>
          <w:color w:val="010101"/>
          <w:sz w:val="17"/>
        </w:rPr>
        <w:t>mDz</w:t>
        <w:tab/>
        <w:t>2m</w:t>
      </w:r>
    </w:p>
    <w:p>
      <w:pPr>
        <w:pStyle w:val="BodyText"/>
        <w:rPr>
          <w:i/>
          <w:sz w:val="16"/>
        </w:rPr>
      </w:pPr>
    </w:p>
    <w:p>
      <w:pPr>
        <w:pStyle w:val="BodyText"/>
        <w:spacing w:before="2"/>
        <w:rPr>
          <w:i/>
          <w:sz w:val="19"/>
        </w:rPr>
      </w:pPr>
    </w:p>
    <w:p>
      <w:pPr>
        <w:spacing w:before="0"/>
        <w:ind w:left="0" w:right="46" w:firstLine="0"/>
        <w:jc w:val="center"/>
        <w:rPr>
          <w:rFonts w:ascii="Arial"/>
          <w:i/>
          <w:sz w:val="15"/>
        </w:rPr>
      </w:pPr>
      <w:r>
        <w:rPr>
          <w:color w:val="010101"/>
          <w:w w:val="115"/>
          <w:sz w:val="17"/>
        </w:rPr>
        <w:t>where </w:t>
      </w:r>
      <w:r>
        <w:rPr>
          <w:rFonts w:ascii="Arial"/>
          <w:i/>
          <w:color w:val="010101"/>
          <w:w w:val="115"/>
          <w:sz w:val="15"/>
        </w:rPr>
        <w:t>k </w:t>
      </w:r>
      <w:r>
        <w:rPr>
          <w:color w:val="010101"/>
          <w:w w:val="115"/>
          <w:sz w:val="17"/>
        </w:rPr>
        <w:t>is the greatest integer in </w:t>
      </w:r>
      <w:r>
        <w:rPr>
          <w:rFonts w:ascii="Arial"/>
          <w:i/>
          <w:color w:val="010101"/>
          <w:w w:val="115"/>
          <w:sz w:val="15"/>
        </w:rPr>
        <w:t>m(G </w:t>
      </w:r>
      <w:r>
        <w:rPr>
          <w:rFonts w:ascii="Arial"/>
          <w:color w:val="010101"/>
          <w:w w:val="235"/>
          <w:sz w:val="15"/>
        </w:rPr>
        <w:t>-</w:t>
      </w:r>
      <w:r>
        <w:rPr>
          <w:rFonts w:ascii="Arial"/>
          <w:color w:val="010101"/>
          <w:spacing w:val="85"/>
          <w:w w:val="235"/>
          <w:sz w:val="15"/>
        </w:rPr>
        <w:t> </w:t>
      </w:r>
      <w:r>
        <w:rPr>
          <w:rFonts w:ascii="Arial"/>
          <w:i/>
          <w:color w:val="010101"/>
          <w:w w:val="115"/>
          <w:sz w:val="15"/>
        </w:rPr>
        <w:t>n).</w:t>
      </w:r>
    </w:p>
    <w:p>
      <w:pPr>
        <w:spacing w:after="0"/>
        <w:jc w:val="center"/>
        <w:rPr>
          <w:rFonts w:ascii="Arial"/>
          <w:sz w:val="15"/>
        </w:rPr>
        <w:sectPr>
          <w:type w:val="continuous"/>
          <w:pgSz w:w="7200" w:h="11340"/>
          <w:pgMar w:top="1100" w:bottom="0" w:left="680" w:right="560"/>
          <w:cols w:num="2" w:equalWidth="0">
            <w:col w:w="2254" w:space="40"/>
            <w:col w:w="3666"/>
          </w:cols>
        </w:sectPr>
      </w:pPr>
    </w:p>
    <w:p>
      <w:pPr>
        <w:pStyle w:val="BodyText"/>
        <w:spacing w:before="5"/>
        <w:rPr>
          <w:rFonts w:ascii="Arial"/>
          <w:i/>
          <w:sz w:val="14"/>
        </w:rPr>
      </w:pPr>
    </w:p>
    <w:p>
      <w:pPr>
        <w:spacing w:line="247" w:lineRule="auto" w:before="74"/>
        <w:ind w:left="116" w:right="136" w:firstLine="0"/>
        <w:jc w:val="left"/>
        <w:rPr>
          <w:sz w:val="20"/>
        </w:rPr>
      </w:pPr>
      <w:r>
        <w:rPr>
          <w:color w:val="010101"/>
          <w:w w:val="105"/>
          <w:sz w:val="20"/>
        </w:rPr>
        <w:t>Equating the net single prcmium to the sum of  the prcsent  valurs  of the benefit </w:t>
      </w:r>
      <w:r>
        <w:rPr>
          <w:color w:val="010101"/>
          <w:w w:val="105"/>
          <w:sz w:val="19"/>
        </w:rPr>
        <w:t>e]ements, </w:t>
      </w:r>
      <w:r>
        <w:rPr>
          <w:color w:val="010101"/>
          <w:w w:val="105"/>
          <w:sz w:val="20"/>
        </w:rPr>
        <w:t>and </w:t>
      </w:r>
      <w:r>
        <w:rPr>
          <w:color w:val="010101"/>
          <w:w w:val="105"/>
          <w:sz w:val="19"/>
        </w:rPr>
        <w:t>so]ving for </w:t>
      </w:r>
      <w:r>
        <w:rPr>
          <w:rFonts w:ascii="Arial"/>
          <w:i/>
          <w:color w:val="010101"/>
          <w:w w:val="105"/>
          <w:sz w:val="20"/>
        </w:rPr>
        <w:t>G, </w:t>
      </w:r>
      <w:r>
        <w:rPr>
          <w:color w:val="010101"/>
          <w:w w:val="105"/>
          <w:sz w:val="20"/>
        </w:rPr>
        <w:t>we </w:t>
      </w:r>
      <w:r>
        <w:rPr>
          <w:color w:val="010101"/>
          <w:spacing w:val="24"/>
          <w:w w:val="105"/>
          <w:sz w:val="20"/>
        </w:rPr>
        <w:t> </w:t>
      </w:r>
      <w:r>
        <w:rPr>
          <w:color w:val="010101"/>
          <w:w w:val="105"/>
          <w:sz w:val="20"/>
        </w:rPr>
        <w:t>find</w:t>
      </w:r>
    </w:p>
    <w:p>
      <w:pPr>
        <w:spacing w:line="188" w:lineRule="exact" w:before="132"/>
        <w:ind w:left="219" w:right="131" w:firstLine="0"/>
        <w:jc w:val="center"/>
        <w:rPr>
          <w:rFonts w:ascii="Courier New"/>
          <w:i/>
          <w:sz w:val="23"/>
        </w:rPr>
      </w:pPr>
      <w:r>
        <w:rPr/>
        <w:pict>
          <v:shape style="position:absolute;margin-left:164.843002pt;margin-top:13.476958pt;width:7.15pt;height:11.5pt;mso-position-horizontal-relative:page;mso-position-vertical-relative:paragraph;z-index:12712" type="#_x0000_t202" filled="false" stroked="false">
            <v:textbox inset="0,0,0,0">
              <w:txbxContent>
                <w:p>
                  <w:pPr>
                    <w:spacing w:line="230" w:lineRule="exact" w:before="0"/>
                    <w:ind w:left="0" w:right="0" w:firstLine="0"/>
                    <w:jc w:val="left"/>
                    <w:rPr>
                      <w:rFonts w:ascii="Courier New"/>
                      <w:i/>
                      <w:sz w:val="23"/>
                    </w:rPr>
                  </w:pPr>
                  <w:r>
                    <w:rPr>
                      <w:rFonts w:ascii="Courier New"/>
                      <w:i/>
                      <w:color w:val="010101"/>
                      <w:w w:val="102"/>
                      <w:sz w:val="23"/>
                    </w:rPr>
                    <w:t>G</w:t>
                  </w:r>
                </w:p>
              </w:txbxContent>
            </v:textbox>
            <w10:wrap type="none"/>
          </v:shape>
        </w:pict>
      </w:r>
      <w:r>
        <w:rPr>
          <w:rFonts w:ascii="Courier New"/>
          <w:i/>
          <w:color w:val="010101"/>
          <w:sz w:val="23"/>
        </w:rPr>
        <w:t>. E</w:t>
      </w:r>
    </w:p>
    <w:p>
      <w:pPr>
        <w:tabs>
          <w:tab w:pos="5400" w:val="left" w:leader="none"/>
        </w:tabs>
        <w:spacing w:line="270" w:lineRule="exact" w:before="0"/>
        <w:ind w:left="3065" w:right="0" w:firstLine="0"/>
        <w:jc w:val="left"/>
        <w:rPr>
          <w:sz w:val="20"/>
        </w:rPr>
      </w:pPr>
      <w:r>
        <w:rPr>
          <w:rFonts w:ascii="Arial"/>
          <w:i/>
          <w:color w:val="010101"/>
          <w:position w:val="-9"/>
          <w:sz w:val="26"/>
        </w:rPr>
        <w:t>F</w:t>
      </w:r>
      <w:r>
        <w:rPr>
          <w:rFonts w:ascii="Arial"/>
          <w:i/>
          <w:color w:val="010101"/>
          <w:spacing w:val="-6"/>
          <w:position w:val="-9"/>
          <w:sz w:val="26"/>
        </w:rPr>
        <w:t> </w:t>
      </w:r>
      <w:r>
        <w:rPr>
          <w:rFonts w:ascii="Arial"/>
          <w:i/>
          <w:color w:val="010101"/>
          <w:position w:val="-9"/>
          <w:sz w:val="26"/>
        </w:rPr>
        <w:t>'</w:t>
        <w:tab/>
      </w:r>
      <w:r>
        <w:rPr>
          <w:color w:val="010101"/>
          <w:sz w:val="20"/>
        </w:rPr>
        <w:t>(7.4)</w:t>
      </w:r>
    </w:p>
    <w:p>
      <w:pPr>
        <w:spacing w:after="0" w:line="270" w:lineRule="exact"/>
        <w:jc w:val="left"/>
        <w:rPr>
          <w:sz w:val="20"/>
        </w:rPr>
        <w:sectPr>
          <w:type w:val="continuous"/>
          <w:pgSz w:w="7200" w:h="11340"/>
          <w:pgMar w:top="1100" w:bottom="0" w:left="680" w:right="560"/>
        </w:sectPr>
      </w:pPr>
    </w:p>
    <w:p>
      <w:pPr>
        <w:spacing w:before="138"/>
        <w:ind w:left="112" w:right="0" w:firstLine="0"/>
        <w:jc w:val="left"/>
        <w:rPr>
          <w:b/>
          <w:sz w:val="21"/>
        </w:rPr>
      </w:pPr>
      <w:r>
        <w:rPr>
          <w:b/>
          <w:color w:val="010101"/>
          <w:sz w:val="21"/>
        </w:rPr>
        <w:t>where</w:t>
      </w:r>
    </w:p>
    <w:p>
      <w:pPr>
        <w:spacing w:before="86"/>
        <w:ind w:left="109" w:right="0" w:firstLine="0"/>
        <w:jc w:val="left"/>
        <w:rPr>
          <w:b/>
          <w:i/>
          <w:sz w:val="21"/>
        </w:rPr>
      </w:pPr>
      <w:r>
        <w:rPr>
          <w:rFonts w:ascii="Arial"/>
          <w:i/>
          <w:color w:val="010101"/>
          <w:sz w:val="20"/>
        </w:rPr>
        <w:t>E </w:t>
      </w:r>
      <w:r>
        <w:rPr>
          <w:color w:val="010101"/>
          <w:sz w:val="26"/>
        </w:rPr>
        <w:t>= </w:t>
      </w:r>
      <w:r>
        <w:rPr>
          <w:b/>
          <w:i/>
          <w:color w:val="010101"/>
          <w:sz w:val="21"/>
        </w:rPr>
        <w:t>Nz+I </w:t>
      </w:r>
      <w:r>
        <w:rPr>
          <w:color w:val="010101"/>
          <w:w w:val="255"/>
          <w:sz w:val="21"/>
        </w:rPr>
        <w:t>-</w:t>
      </w:r>
      <w:r>
        <w:rPr>
          <w:color w:val="010101"/>
          <w:spacing w:val="-95"/>
          <w:w w:val="255"/>
          <w:sz w:val="21"/>
        </w:rPr>
        <w:t> </w:t>
      </w:r>
      <w:r>
        <w:rPr>
          <w:rFonts w:ascii="Arial"/>
          <w:i/>
          <w:color w:val="010101"/>
          <w:sz w:val="20"/>
        </w:rPr>
        <w:t>( Rz+, </w:t>
      </w:r>
      <w:r>
        <w:rPr>
          <w:rFonts w:ascii="Arial"/>
          <w:color w:val="010101"/>
          <w:w w:val="255"/>
          <w:sz w:val="20"/>
        </w:rPr>
        <w:t>-</w:t>
      </w:r>
      <w:r>
        <w:rPr>
          <w:rFonts w:ascii="Arial"/>
          <w:color w:val="010101"/>
          <w:spacing w:val="-102"/>
          <w:w w:val="255"/>
          <w:sz w:val="20"/>
        </w:rPr>
        <w:t> </w:t>
      </w:r>
      <w:r>
        <w:rPr>
          <w:b/>
          <w:color w:val="010101"/>
          <w:sz w:val="14"/>
        </w:rPr>
        <w:t>Rz+c+.&amp; </w:t>
      </w:r>
      <w:r>
        <w:rPr>
          <w:color w:val="010101"/>
          <w:w w:val="375"/>
          <w:sz w:val="14"/>
        </w:rPr>
        <w:t>-</w:t>
      </w:r>
      <w:r>
        <w:rPr>
          <w:color w:val="010101"/>
          <w:spacing w:val="-104"/>
          <w:w w:val="375"/>
          <w:sz w:val="14"/>
        </w:rPr>
        <w:t> </w:t>
      </w:r>
      <w:r>
        <w:rPr>
          <w:b/>
          <w:i/>
          <w:color w:val="010101"/>
          <w:spacing w:val="6"/>
          <w:sz w:val="21"/>
        </w:rPr>
        <w:t>nMz+c+")</w:t>
      </w:r>
    </w:p>
    <w:p>
      <w:pPr>
        <w:tabs>
          <w:tab w:pos="4048" w:val="left" w:leader="none"/>
        </w:tabs>
        <w:spacing w:line="278" w:lineRule="exact" w:before="142"/>
        <w:ind w:left="396" w:right="0" w:firstLine="0"/>
        <w:jc w:val="left"/>
        <w:rPr>
          <w:b/>
          <w:i/>
          <w:sz w:val="21"/>
        </w:rPr>
      </w:pPr>
      <w:r>
        <w:rPr>
          <w:rFonts w:ascii="Arial"/>
          <w:color w:val="010101"/>
          <w:w w:val="290"/>
          <w:sz w:val="18"/>
        </w:rPr>
        <w:t>-</w:t>
      </w:r>
      <w:r>
        <w:rPr>
          <w:rFonts w:ascii="Arial"/>
          <w:color w:val="010101"/>
          <w:spacing w:val="-2"/>
          <w:sz w:val="18"/>
        </w:rPr>
        <w:t> </w:t>
      </w:r>
      <w:r>
        <w:rPr>
          <w:rFonts w:ascii="Arial"/>
          <w:i/>
          <w:color w:val="010101"/>
          <w:w w:val="114"/>
          <w:sz w:val="18"/>
        </w:rPr>
        <w:t>m</w:t>
      </w:r>
      <w:r>
        <w:rPr>
          <w:rFonts w:ascii="Arial"/>
          <w:i/>
          <w:color w:val="010101"/>
          <w:sz w:val="18"/>
        </w:rPr>
        <w:t> </w:t>
      </w:r>
      <w:r>
        <w:rPr>
          <w:rFonts w:ascii="Arial"/>
          <w:i/>
          <w:color w:val="010101"/>
          <w:spacing w:val="-22"/>
          <w:sz w:val="18"/>
        </w:rPr>
        <w:t> </w:t>
      </w:r>
      <w:r>
        <w:rPr>
          <w:rFonts w:ascii="Arial"/>
          <w:i/>
          <w:color w:val="010101"/>
          <w:w w:val="168"/>
          <w:sz w:val="20"/>
        </w:rPr>
        <w:t>:;</w:t>
      </w:r>
      <w:r>
        <w:rPr>
          <w:rFonts w:ascii="Arial"/>
          <w:i/>
          <w:color w:val="010101"/>
          <w:spacing w:val="15"/>
          <w:sz w:val="20"/>
        </w:rPr>
        <w:t> </w:t>
      </w:r>
      <w:r>
        <w:rPr>
          <w:b/>
          <w:color w:val="010101"/>
          <w:w w:val="120"/>
          <w:sz w:val="21"/>
        </w:rPr>
        <w:t>l</w:t>
      </w:r>
      <w:r>
        <w:rPr>
          <w:b/>
          <w:color w:val="010101"/>
          <w:sz w:val="21"/>
        </w:rPr>
        <w:t> </w:t>
      </w:r>
      <w:r>
        <w:rPr>
          <w:b/>
          <w:color w:val="010101"/>
          <w:spacing w:val="-18"/>
          <w:sz w:val="21"/>
        </w:rPr>
        <w:t> </w:t>
      </w:r>
      <w:r>
        <w:rPr>
          <w:b/>
          <w:color w:val="010101"/>
          <w:w w:val="102"/>
          <w:sz w:val="21"/>
        </w:rPr>
        <w:t>(</w:t>
      </w:r>
      <w:r>
        <w:rPr>
          <w:b/>
          <w:color w:val="010101"/>
          <w:w w:val="102"/>
          <w:sz w:val="21"/>
        </w:rPr>
        <w:t>D.+,</w:t>
      </w:r>
      <w:r>
        <w:rPr>
          <w:b/>
          <w:color w:val="010101"/>
          <w:sz w:val="21"/>
        </w:rPr>
        <w:t> </w:t>
      </w:r>
      <w:r>
        <w:rPr>
          <w:b/>
          <w:color w:val="010101"/>
          <w:spacing w:val="-5"/>
          <w:sz w:val="21"/>
        </w:rPr>
        <w:t> </w:t>
      </w:r>
      <w:r>
        <w:rPr>
          <w:color w:val="010101"/>
          <w:w w:val="267"/>
          <w:sz w:val="21"/>
        </w:rPr>
        <w:t>-</w:t>
      </w:r>
      <w:r>
        <w:rPr>
          <w:color w:val="010101"/>
          <w:spacing w:val="-11"/>
          <w:sz w:val="21"/>
        </w:rPr>
        <w:t> </w:t>
      </w:r>
      <w:r>
        <w:rPr>
          <w:b/>
          <w:i/>
          <w:color w:val="010101"/>
          <w:w w:val="92"/>
          <w:sz w:val="21"/>
        </w:rPr>
        <w:t>M</w:t>
      </w:r>
      <w:r>
        <w:rPr>
          <w:b/>
          <w:i/>
          <w:color w:val="010101"/>
          <w:spacing w:val="-19"/>
          <w:sz w:val="21"/>
        </w:rPr>
        <w:t> </w:t>
      </w:r>
      <w:r>
        <w:rPr>
          <w:b/>
          <w:i/>
          <w:color w:val="010101"/>
          <w:spacing w:val="-14"/>
          <w:w w:val="149"/>
          <w:sz w:val="21"/>
        </w:rPr>
        <w:t>,</w:t>
      </w:r>
      <w:r>
        <w:rPr>
          <w:b/>
          <w:i/>
          <w:color w:val="010101"/>
          <w:w w:val="70"/>
          <w:sz w:val="21"/>
        </w:rPr>
        <w:t>+1</w:t>
      </w:r>
      <w:r>
        <w:rPr>
          <w:b/>
          <w:i/>
          <w:color w:val="010101"/>
          <w:spacing w:val="24"/>
          <w:sz w:val="21"/>
        </w:rPr>
        <w:t> </w:t>
      </w:r>
      <w:r>
        <w:rPr>
          <w:color w:val="010101"/>
          <w:w w:val="101"/>
          <w:sz w:val="30"/>
        </w:rPr>
        <w:t>+</w:t>
      </w:r>
      <w:r>
        <w:rPr>
          <w:color w:val="010101"/>
          <w:spacing w:val="-4"/>
          <w:sz w:val="30"/>
        </w:rPr>
        <w:t> </w:t>
      </w:r>
      <w:r>
        <w:rPr>
          <w:b/>
          <w:color w:val="010101"/>
          <w:w w:val="101"/>
          <w:sz w:val="21"/>
        </w:rPr>
        <w:t>Mt</w:t>
      </w:r>
      <w:r>
        <w:rPr>
          <w:b/>
          <w:color w:val="010101"/>
          <w:w w:val="101"/>
          <w:sz w:val="21"/>
        </w:rPr>
        <w:t>t,..,.)</w:t>
      </w:r>
      <w:r>
        <w:rPr>
          <w:b/>
          <w:color w:val="010101"/>
          <w:sz w:val="21"/>
        </w:rPr>
        <w:t> </w:t>
      </w:r>
      <w:r>
        <w:rPr>
          <w:b/>
          <w:color w:val="010101"/>
          <w:spacing w:val="-21"/>
          <w:sz w:val="21"/>
        </w:rPr>
        <w:t> </w:t>
      </w:r>
      <w:r>
        <w:rPr>
          <w:color w:val="010101"/>
          <w:w w:val="281"/>
          <w:sz w:val="21"/>
        </w:rPr>
        <w:t>-</w:t>
      </w:r>
      <w:r>
        <w:rPr>
          <w:color w:val="010101"/>
          <w:sz w:val="21"/>
        </w:rPr>
        <w:tab/>
      </w:r>
      <w:r>
        <w:rPr>
          <w:color w:val="010101"/>
          <w:spacing w:val="-26"/>
          <w:w w:val="199"/>
          <w:sz w:val="21"/>
        </w:rPr>
        <w:t>(</w:t>
      </w:r>
      <w:r>
        <w:rPr>
          <w:b/>
          <w:i/>
          <w:color w:val="010101"/>
          <w:w w:val="98"/>
          <w:sz w:val="21"/>
        </w:rPr>
        <w:t>n</w:t>
      </w:r>
      <w:r>
        <w:rPr>
          <w:b/>
          <w:i/>
          <w:color w:val="010101"/>
          <w:spacing w:val="4"/>
          <w:sz w:val="21"/>
        </w:rPr>
        <w:t> </w:t>
      </w:r>
      <w:r>
        <w:rPr>
          <w:color w:val="010101"/>
          <w:w w:val="101"/>
          <w:sz w:val="30"/>
        </w:rPr>
        <w:t>+</w:t>
      </w:r>
      <w:r>
        <w:rPr>
          <w:color w:val="010101"/>
          <w:spacing w:val="-4"/>
          <w:sz w:val="30"/>
        </w:rPr>
        <w:t> </w:t>
      </w:r>
      <w:r>
        <w:rPr>
          <w:b/>
          <w:i/>
          <w:color w:val="010101"/>
          <w:w w:val="92"/>
          <w:sz w:val="21"/>
        </w:rPr>
        <w:t>k</w:t>
      </w:r>
    </w:p>
    <w:p>
      <w:pPr>
        <w:tabs>
          <w:tab w:pos="4708" w:val="left" w:leader="none"/>
        </w:tabs>
        <w:spacing w:line="174" w:lineRule="exact" w:before="0"/>
        <w:ind w:left="783" w:right="0" w:firstLine="0"/>
        <w:jc w:val="left"/>
        <w:rPr>
          <w:sz w:val="20"/>
        </w:rPr>
      </w:pPr>
      <w:r>
        <w:rPr/>
        <w:pict>
          <v:line style="position:absolute;mso-position-horizontal-relative:page;mso-position-vertical-relative:paragraph;z-index:-723400" from="73.183861pt,3.677331pt" to="85.739911pt,3.677331pt" stroked="true" strokeweight="5.022422pt" strokecolor="#000000">
            <w10:wrap type="none"/>
          </v:line>
        </w:pict>
      </w:r>
      <w:r>
        <w:rPr/>
        <w:pict>
          <v:line style="position:absolute;mso-position-horizontal-relative:page;mso-position-vertical-relative:paragraph;z-index:-723376" from="269.237701pt,3.227731pt" to="294.170401pt,3.227731pt" stroked="true" strokeweight="6.278027pt" strokecolor="#000000">
            <w10:wrap type="none"/>
          </v:line>
        </w:pict>
      </w:r>
      <w:r>
        <w:rPr>
          <w:rFonts w:ascii="Arial"/>
          <w:i/>
          <w:color w:val="010101"/>
          <w:position w:val="1"/>
          <w:sz w:val="20"/>
        </w:rPr>
        <w:t>2</w:t>
      </w:r>
      <w:r>
        <w:rPr>
          <w:color w:val="010101"/>
          <w:sz w:val="20"/>
        </w:rPr>
        <w:tab/>
        <w:t>2</w:t>
      </w:r>
    </w:p>
    <w:p>
      <w:pPr>
        <w:pStyle w:val="BodyText"/>
        <w:rPr>
          <w:sz w:val="32"/>
        </w:rPr>
      </w:pPr>
      <w:r>
        <w:rPr/>
        <w:br w:type="column"/>
      </w:r>
      <w:r>
        <w:rPr>
          <w:sz w:val="32"/>
        </w:rPr>
      </w:r>
    </w:p>
    <w:p>
      <w:pPr>
        <w:pStyle w:val="BodyText"/>
        <w:spacing w:before="5"/>
        <w:rPr>
          <w:sz w:val="44"/>
        </w:rPr>
      </w:pPr>
    </w:p>
    <w:p>
      <w:pPr>
        <w:spacing w:before="0"/>
        <w:ind w:left="109" w:right="0" w:firstLine="0"/>
        <w:jc w:val="left"/>
        <w:rPr>
          <w:rFonts w:ascii="Arial"/>
          <w:i/>
          <w:sz w:val="20"/>
        </w:rPr>
      </w:pPr>
      <w:r>
        <w:rPr>
          <w:color w:val="010101"/>
          <w:w w:val="135"/>
          <w:position w:val="12"/>
          <w:sz w:val="20"/>
        </w:rPr>
        <w:t>1  </w:t>
      </w:r>
      <w:r>
        <w:rPr>
          <w:rFonts w:ascii="Arial"/>
          <w:i/>
          <w:color w:val="010101"/>
          <w:w w:val="135"/>
          <w:sz w:val="20"/>
        </w:rPr>
        <w:t>C,m,</w:t>
      </w:r>
    </w:p>
    <w:p>
      <w:pPr>
        <w:spacing w:after="0"/>
        <w:jc w:val="left"/>
        <w:rPr>
          <w:rFonts w:ascii="Arial"/>
          <w:sz w:val="20"/>
        </w:rPr>
        <w:sectPr>
          <w:type w:val="continuous"/>
          <w:pgSz w:w="7200" w:h="11340"/>
          <w:pgMar w:top="1100" w:bottom="0" w:left="680" w:right="560"/>
          <w:cols w:num="2" w:equalWidth="0">
            <w:col w:w="4814" w:space="101"/>
            <w:col w:w="1045"/>
          </w:cols>
        </w:sectPr>
      </w:pPr>
    </w:p>
    <w:p>
      <w:pPr>
        <w:pStyle w:val="BodyText"/>
        <w:spacing w:before="108"/>
        <w:ind w:left="105"/>
      </w:pPr>
      <w:r>
        <w:rPr/>
        <w:pict>
          <v:shape style="position:absolute;margin-left:289.14801pt;margin-top:-16.688496pt;width:6.6pt;height:10pt;mso-position-horizontal-relative:page;mso-position-vertical-relative:paragraph;z-index:-723280" type="#_x0000_t202" filled="false" stroked="false">
            <v:textbox inset="0,0,0,0">
              <w:txbxContent>
                <w:p>
                  <w:pPr>
                    <w:pStyle w:val="BodyText"/>
                    <w:spacing w:line="200" w:lineRule="exact"/>
                  </w:pPr>
                  <w:r>
                    <w:rPr>
                      <w:color w:val="010101"/>
                      <w:w w:val="196"/>
                    </w:rPr>
                    <w:t>)</w:t>
                  </w:r>
                </w:p>
              </w:txbxContent>
            </v:textbox>
            <w10:wrap type="none"/>
          </v:shape>
        </w:pict>
      </w:r>
      <w:r>
        <w:rPr>
          <w:color w:val="010101"/>
          <w:w w:val="110"/>
        </w:rPr>
        <w:t>and</w:t>
      </w:r>
    </w:p>
    <w:p>
      <w:pPr>
        <w:pStyle w:val="BodyText"/>
        <w:spacing w:before="6"/>
        <w:rPr>
          <w:sz w:val="11"/>
        </w:rPr>
      </w:pPr>
      <w:r>
        <w:rPr/>
        <w:drawing>
          <wp:anchor distT="0" distB="0" distL="0" distR="0" allowOverlap="1" layoutInCell="1" locked="0" behindDoc="0" simplePos="0" relativeHeight="12616">
            <wp:simplePos x="0" y="0"/>
            <wp:positionH relativeFrom="page">
              <wp:posOffset>950975</wp:posOffset>
            </wp:positionH>
            <wp:positionV relativeFrom="paragraph">
              <wp:posOffset>109236</wp:posOffset>
            </wp:positionV>
            <wp:extent cx="2734055" cy="265175"/>
            <wp:effectExtent l="0" t="0" r="0" b="0"/>
            <wp:wrapTopAndBottom/>
            <wp:docPr id="313" name="image162.png" descr=""/>
            <wp:cNvGraphicFramePr>
              <a:graphicFrameLocks noChangeAspect="1"/>
            </wp:cNvGraphicFramePr>
            <a:graphic>
              <a:graphicData uri="http://schemas.openxmlformats.org/drawingml/2006/picture">
                <pic:pic>
                  <pic:nvPicPr>
                    <pic:cNvPr id="314" name="image162.png"/>
                    <pic:cNvPicPr/>
                  </pic:nvPicPr>
                  <pic:blipFill>
                    <a:blip r:embed="rId166" cstate="print"/>
                    <a:stretch>
                      <a:fillRect/>
                    </a:stretch>
                  </pic:blipFill>
                  <pic:spPr>
                    <a:xfrm>
                      <a:off x="0" y="0"/>
                      <a:ext cx="2734055" cy="265175"/>
                    </a:xfrm>
                    <a:prstGeom prst="rect">
                      <a:avLst/>
                    </a:prstGeom>
                  </pic:spPr>
                </pic:pic>
              </a:graphicData>
            </a:graphic>
          </wp:anchor>
        </w:drawing>
      </w:r>
    </w:p>
    <w:p>
      <w:pPr>
        <w:pStyle w:val="BodyText"/>
        <w:spacing w:line="252" w:lineRule="auto" w:before="114"/>
        <w:ind w:left="112" w:hanging="4"/>
      </w:pPr>
      <w:r>
        <w:rPr>
          <w:color w:val="010101"/>
          <w:w w:val="105"/>
        </w:rPr>
        <w:t>The formula may be exprcssed more l'oncisely </w:t>
      </w:r>
      <w:r>
        <w:rPr>
          <w:rFonts w:ascii="Arial"/>
          <w:color w:val="010101"/>
          <w:w w:val="105"/>
        </w:rPr>
        <w:t>if </w:t>
      </w:r>
      <w:r>
        <w:rPr>
          <w:color w:val="010101"/>
          <w:w w:val="105"/>
          <w:sz w:val="19"/>
        </w:rPr>
        <w:t>we </w:t>
      </w:r>
      <w:r>
        <w:rPr>
          <w:color w:val="010101"/>
          <w:w w:val="105"/>
        </w:rPr>
        <w:t>modify thc standard notat.ion  here and write</w:t>
      </w:r>
    </w:p>
    <w:p>
      <w:pPr>
        <w:spacing w:line="286" w:lineRule="exact" w:before="143"/>
        <w:ind w:left="1870" w:right="0" w:firstLine="0"/>
        <w:jc w:val="left"/>
        <w:rPr>
          <w:i/>
          <w:sz w:val="22"/>
        </w:rPr>
      </w:pPr>
      <w:r>
        <w:rPr>
          <w:b/>
          <w:color w:val="010101"/>
          <w:w w:val="81"/>
          <w:sz w:val="21"/>
        </w:rPr>
        <w:t>N&lt;•&gt;</w:t>
      </w:r>
      <w:r>
        <w:rPr>
          <w:b/>
          <w:color w:val="010101"/>
          <w:sz w:val="21"/>
        </w:rPr>
        <w:t> </w:t>
      </w:r>
      <w:r>
        <w:rPr>
          <w:b/>
          <w:color w:val="010101"/>
          <w:spacing w:val="9"/>
          <w:sz w:val="21"/>
        </w:rPr>
        <w:t> </w:t>
      </w:r>
      <w:r>
        <w:rPr>
          <w:color w:val="010101"/>
          <w:w w:val="104"/>
          <w:sz w:val="23"/>
        </w:rPr>
        <w:t>=</w:t>
      </w:r>
      <w:r>
        <w:rPr>
          <w:color w:val="010101"/>
          <w:sz w:val="23"/>
        </w:rPr>
        <w:t> </w:t>
      </w:r>
      <w:r>
        <w:rPr>
          <w:color w:val="010101"/>
          <w:spacing w:val="-15"/>
          <w:sz w:val="23"/>
        </w:rPr>
        <w:t> </w:t>
      </w:r>
      <w:r>
        <w:rPr>
          <w:i/>
          <w:color w:val="010101"/>
          <w:w w:val="88"/>
          <w:sz w:val="22"/>
        </w:rPr>
        <w:t>N</w:t>
      </w:r>
      <w:r>
        <w:rPr>
          <w:i/>
          <w:color w:val="010101"/>
          <w:spacing w:val="-24"/>
          <w:sz w:val="22"/>
        </w:rPr>
        <w:t> </w:t>
      </w:r>
      <w:r>
        <w:rPr>
          <w:i/>
          <w:color w:val="010101"/>
          <w:w w:val="82"/>
          <w:sz w:val="22"/>
        </w:rPr>
        <w:t>..</w:t>
      </w:r>
      <w:r>
        <w:rPr>
          <w:i/>
          <w:color w:val="010101"/>
          <w:spacing w:val="19"/>
          <w:sz w:val="22"/>
        </w:rPr>
        <w:t> </w:t>
      </w:r>
      <w:r>
        <w:rPr>
          <w:color w:val="010101"/>
          <w:w w:val="242"/>
          <w:sz w:val="22"/>
        </w:rPr>
        <w:t>-</w:t>
      </w:r>
      <w:r>
        <w:rPr>
          <w:color w:val="010101"/>
          <w:spacing w:val="-7"/>
          <w:sz w:val="22"/>
        </w:rPr>
        <w:t> </w:t>
      </w:r>
      <w:r>
        <w:rPr>
          <w:rFonts w:ascii="Arial" w:hAnsi="Arial"/>
          <w:i/>
          <w:color w:val="010101"/>
          <w:spacing w:val="-147"/>
          <w:w w:val="109"/>
          <w:position w:val="10"/>
          <w:sz w:val="18"/>
        </w:rPr>
        <w:t>m</w:t>
      </w:r>
      <w:r>
        <w:rPr>
          <w:color w:val="010101"/>
          <w:spacing w:val="-75"/>
          <w:w w:val="397"/>
          <w:sz w:val="22"/>
        </w:rPr>
        <w:t>-</w:t>
      </w:r>
      <w:r>
        <w:rPr>
          <w:rFonts w:ascii="Arial" w:hAnsi="Arial"/>
          <w:color w:val="010101"/>
          <w:spacing w:val="-82"/>
          <w:w w:val="283"/>
          <w:position w:val="10"/>
          <w:sz w:val="18"/>
        </w:rPr>
        <w:t>-</w:t>
      </w:r>
      <w:r>
        <w:rPr>
          <w:color w:val="010101"/>
          <w:spacing w:val="-229"/>
          <w:w w:val="223"/>
          <w:sz w:val="22"/>
        </w:rPr>
        <w:t>-</w:t>
      </w:r>
      <w:r>
        <w:rPr>
          <w:color w:val="010101"/>
          <w:w w:val="110"/>
          <w:position w:val="10"/>
          <w:sz w:val="19"/>
        </w:rPr>
        <w:t>I</w:t>
      </w:r>
      <w:r>
        <w:rPr>
          <w:color w:val="010101"/>
          <w:position w:val="10"/>
          <w:sz w:val="19"/>
        </w:rPr>
        <w:t> </w:t>
      </w:r>
      <w:r>
        <w:rPr>
          <w:color w:val="010101"/>
          <w:spacing w:val="-11"/>
          <w:position w:val="10"/>
          <w:sz w:val="19"/>
        </w:rPr>
        <w:t> </w:t>
      </w:r>
      <w:r>
        <w:rPr>
          <w:i/>
          <w:color w:val="010101"/>
          <w:spacing w:val="20"/>
          <w:w w:val="88"/>
          <w:sz w:val="22"/>
        </w:rPr>
        <w:t>D</w:t>
      </w:r>
      <w:r>
        <w:rPr>
          <w:i/>
          <w:color w:val="010101"/>
          <w:w w:val="77"/>
          <w:sz w:val="22"/>
        </w:rPr>
        <w:t>..</w:t>
      </w:r>
    </w:p>
    <w:p>
      <w:pPr>
        <w:tabs>
          <w:tab w:pos="863" w:val="left" w:leader="none"/>
          <w:tab w:pos="1416" w:val="left" w:leader="none"/>
          <w:tab w:pos="2072" w:val="left" w:leader="none"/>
        </w:tabs>
        <w:spacing w:line="184" w:lineRule="exact" w:before="0"/>
        <w:ind w:left="139" w:right="0" w:firstLine="0"/>
        <w:jc w:val="center"/>
        <w:rPr>
          <w:rFonts w:ascii="Arial" w:hAnsi="Arial"/>
          <w:sz w:val="18"/>
        </w:rPr>
      </w:pPr>
      <w:r>
        <w:rPr>
          <w:rFonts w:ascii="Arial" w:hAnsi="Arial"/>
          <w:color w:val="010101"/>
          <w:w w:val="115"/>
          <w:sz w:val="18"/>
        </w:rPr>
        <w:t>"</w:t>
        <w:tab/>
        <w:t>•</w:t>
        <w:tab/>
      </w:r>
      <w:r>
        <w:rPr>
          <w:rFonts w:ascii="Arial" w:hAnsi="Arial"/>
          <w:i/>
          <w:color w:val="010101"/>
          <w:w w:val="115"/>
          <w:sz w:val="18"/>
        </w:rPr>
        <w:t>2m</w:t>
        <w:tab/>
      </w:r>
      <w:r>
        <w:rPr>
          <w:rFonts w:ascii="Arial" w:hAnsi="Arial"/>
          <w:color w:val="010101"/>
          <w:w w:val="115"/>
          <w:sz w:val="18"/>
        </w:rPr>
        <w:t>•</w:t>
      </w:r>
    </w:p>
    <w:p>
      <w:pPr>
        <w:tabs>
          <w:tab w:pos="1834" w:val="left" w:leader="none"/>
        </w:tabs>
        <w:spacing w:line="272" w:lineRule="exact" w:before="151"/>
        <w:ind w:left="102" w:right="0" w:firstLine="0"/>
        <w:jc w:val="left"/>
        <w:rPr>
          <w:rFonts w:ascii="Arial" w:hAnsi="Arial"/>
          <w:i/>
          <w:sz w:val="20"/>
        </w:rPr>
      </w:pPr>
      <w:r>
        <w:rPr/>
        <w:pict>
          <v:shape style="position:absolute;margin-left:196.950699pt;margin-top:17.762323pt;width:12.4pt;height:9.5pt;mso-position-horizontal-relative:page;mso-position-vertical-relative:paragraph;z-index:-723328" type="#_x0000_t202" filled="false" stroked="false">
            <v:textbox inset="0,0,0,0">
              <w:txbxContent>
                <w:p>
                  <w:pPr>
                    <w:spacing w:line="190" w:lineRule="exact" w:before="0"/>
                    <w:ind w:left="0" w:right="-15" w:firstLine="0"/>
                    <w:jc w:val="left"/>
                    <w:rPr>
                      <w:sz w:val="19"/>
                    </w:rPr>
                  </w:pPr>
                  <w:r>
                    <w:rPr>
                      <w:color w:val="010101"/>
                      <w:sz w:val="19"/>
                    </w:rPr>
                    <w:t>2m</w:t>
                  </w:r>
                </w:p>
              </w:txbxContent>
            </v:textbox>
            <w10:wrap type="none"/>
          </v:shape>
        </w:pict>
      </w:r>
      <w:r>
        <w:rPr>
          <w:color w:val="010101"/>
          <w:w w:val="120"/>
          <w:position w:val="-4"/>
          <w:sz w:val="20"/>
        </w:rPr>
        <w:t>and</w:t>
        <w:tab/>
      </w:r>
      <w:r>
        <w:rPr>
          <w:rFonts w:ascii="Arial" w:hAnsi="Arial"/>
          <w:b/>
          <w:color w:val="010101"/>
          <w:sz w:val="21"/>
        </w:rPr>
        <w:t>R&lt;•&gt; </w:t>
      </w:r>
      <w:r>
        <w:rPr>
          <w:color w:val="010101"/>
          <w:sz w:val="24"/>
        </w:rPr>
        <w:t>= </w:t>
      </w:r>
      <w:r>
        <w:rPr>
          <w:rFonts w:ascii="Arial" w:hAnsi="Arial"/>
          <w:i/>
          <w:color w:val="010101"/>
          <w:sz w:val="20"/>
        </w:rPr>
        <w:t>R  </w:t>
      </w:r>
      <w:r>
        <w:rPr>
          <w:rFonts w:ascii="Arial" w:hAnsi="Arial"/>
          <w:color w:val="010101"/>
          <w:w w:val="250"/>
          <w:sz w:val="20"/>
        </w:rPr>
        <w:t>- </w:t>
      </w:r>
      <w:r>
        <w:rPr>
          <w:rFonts w:ascii="Arial" w:hAnsi="Arial"/>
          <w:i/>
          <w:color w:val="010101"/>
          <w:w w:val="120"/>
          <w:sz w:val="18"/>
        </w:rPr>
        <w:t>m </w:t>
      </w:r>
      <w:r>
        <w:rPr>
          <w:rFonts w:ascii="Arial" w:hAnsi="Arial"/>
          <w:color w:val="010101"/>
          <w:w w:val="250"/>
          <w:sz w:val="18"/>
        </w:rPr>
        <w:t>-</w:t>
      </w:r>
      <w:r>
        <w:rPr>
          <w:rFonts w:ascii="Arial" w:hAnsi="Arial"/>
          <w:color w:val="010101"/>
          <w:spacing w:val="-54"/>
          <w:w w:val="250"/>
          <w:sz w:val="18"/>
        </w:rPr>
        <w:t> </w:t>
      </w:r>
      <w:r>
        <w:rPr>
          <w:color w:val="010101"/>
          <w:w w:val="120"/>
          <w:sz w:val="19"/>
        </w:rPr>
        <w:t>I </w:t>
      </w:r>
      <w:r>
        <w:rPr>
          <w:rFonts w:ascii="Arial" w:hAnsi="Arial"/>
          <w:i/>
          <w:color w:val="010101"/>
          <w:w w:val="120"/>
          <w:sz w:val="20"/>
        </w:rPr>
        <w:t>M</w:t>
      </w:r>
    </w:p>
    <w:p>
      <w:pPr>
        <w:tabs>
          <w:tab w:pos="869" w:val="left" w:leader="none"/>
          <w:tab w:pos="2096" w:val="left" w:leader="none"/>
        </w:tabs>
        <w:spacing w:line="115" w:lineRule="exact" w:before="0"/>
        <w:ind w:left="152" w:right="0" w:firstLine="0"/>
        <w:jc w:val="center"/>
        <w:rPr>
          <w:sz w:val="11"/>
        </w:rPr>
      </w:pPr>
      <w:r>
        <w:rPr>
          <w:rFonts w:ascii="Arial" w:hAnsi="Arial"/>
          <w:color w:val="010101"/>
          <w:w w:val="155"/>
          <w:sz w:val="14"/>
        </w:rPr>
        <w:t>"</w:t>
        <w:tab/>
      </w:r>
      <w:r>
        <w:rPr>
          <w:rFonts w:ascii="Arial" w:hAnsi="Arial"/>
          <w:color w:val="010101"/>
          <w:sz w:val="14"/>
        </w:rPr>
        <w:t>v</w:t>
        <w:tab/>
      </w:r>
      <w:r>
        <w:rPr>
          <w:color w:val="010101"/>
          <w:sz w:val="11"/>
        </w:rPr>
        <w:t>11</w:t>
      </w:r>
      <w:r>
        <w:rPr>
          <w:color w:val="010101"/>
          <w:spacing w:val="-19"/>
          <w:sz w:val="11"/>
        </w:rPr>
        <w:t> </w:t>
      </w:r>
      <w:r>
        <w:rPr>
          <w:color w:val="010101"/>
          <w:w w:val="250"/>
          <w:sz w:val="11"/>
        </w:rPr>
        <w:t>·</w:t>
      </w:r>
    </w:p>
    <w:p>
      <w:pPr>
        <w:pStyle w:val="BodyText"/>
        <w:spacing w:before="5"/>
        <w:rPr>
          <w:sz w:val="14"/>
        </w:rPr>
      </w:pPr>
    </w:p>
    <w:p>
      <w:pPr>
        <w:pStyle w:val="BodyText"/>
        <w:ind w:left="105"/>
      </w:pPr>
      <w:r>
        <w:rPr>
          <w:color w:val="010101"/>
          <w:w w:val="105"/>
        </w:rPr>
        <w:t>Then  the numerator </w:t>
      </w:r>
      <w:r>
        <w:rPr>
          <w:i/>
          <w:color w:val="010101"/>
          <w:w w:val="105"/>
          <w:sz w:val="21"/>
        </w:rPr>
        <w:t>E  </w:t>
      </w:r>
      <w:r>
        <w:rPr>
          <w:color w:val="010101"/>
          <w:w w:val="105"/>
        </w:rPr>
        <w:t>in  (7.4)  can  be written:</w:t>
      </w:r>
    </w:p>
    <w:p>
      <w:pPr>
        <w:tabs>
          <w:tab w:pos="693" w:val="left" w:leader="none"/>
          <w:tab w:pos="5321" w:val="left" w:leader="none"/>
        </w:tabs>
        <w:spacing w:before="113"/>
        <w:ind w:left="112" w:right="0" w:firstLine="0"/>
        <w:jc w:val="left"/>
        <w:rPr>
          <w:sz w:val="16"/>
        </w:rPr>
      </w:pPr>
      <w:r>
        <w:rPr/>
        <w:pict>
          <v:shape style="position:absolute;margin-left:40.53812pt;margin-top:7.625937pt;width:258.3pt;height:15.5pt;mso-position-horizontal-relative:page;mso-position-vertical-relative:paragraph;z-index:-723304" type="#_x0000_t202" filled="false" stroked="false">
            <v:textbox inset="0,0,0,0">
              <w:txbxContent>
                <w:p>
                  <w:pPr>
                    <w:tabs>
                      <w:tab w:pos="394" w:val="left" w:leader="none"/>
                      <w:tab w:pos="1051" w:val="left" w:leader="none"/>
                      <w:tab w:pos="1768" w:val="left" w:leader="none"/>
                      <w:tab w:pos="2733" w:val="left" w:leader="none"/>
                      <w:tab w:pos="3350" w:val="left" w:leader="none"/>
                      <w:tab w:pos="3716" w:val="left" w:leader="none"/>
                      <w:tab w:pos="4419" w:val="left" w:leader="none"/>
                    </w:tabs>
                    <w:spacing w:line="310" w:lineRule="exact" w:before="0"/>
                    <w:ind w:left="0" w:right="0" w:firstLine="0"/>
                    <w:jc w:val="left"/>
                    <w:rPr>
                      <w:rFonts w:ascii="Arial" w:hAnsi="Arial"/>
                      <w:i/>
                      <w:sz w:val="21"/>
                    </w:rPr>
                  </w:pPr>
                  <w:r>
                    <w:rPr>
                      <w:color w:val="010101"/>
                      <w:w w:val="115"/>
                      <w:sz w:val="10"/>
                    </w:rPr>
                    <w:t>7:,</w:t>
                  </w:r>
                  <w:r>
                    <w:rPr>
                      <w:color w:val="010101"/>
                      <w:sz w:val="10"/>
                    </w:rPr>
                    <w:tab/>
                  </w:r>
                  <w:r>
                    <w:rPr>
                      <w:rFonts w:ascii="Arial" w:hAnsi="Arial"/>
                      <w:i/>
                      <w:color w:val="010101"/>
                      <w:w w:val="98"/>
                      <w:sz w:val="21"/>
                    </w:rPr>
                    <w:t>N&lt;•</w:t>
                  </w:r>
                  <w:r>
                    <w:rPr>
                      <w:rFonts w:ascii="Arial" w:hAnsi="Arial"/>
                      <w:i/>
                      <w:color w:val="010101"/>
                      <w:w w:val="37"/>
                      <w:sz w:val="21"/>
                    </w:rPr>
                    <w:t>&gt;</w:t>
                  </w:r>
                  <w:r>
                    <w:rPr>
                      <w:rFonts w:ascii="Arial" w:hAnsi="Arial"/>
                      <w:i/>
                      <w:color w:val="010101"/>
                      <w:sz w:val="21"/>
                    </w:rPr>
                    <w:tab/>
                  </w:r>
                  <w:r>
                    <w:rPr>
                      <w:rFonts w:ascii="Arial" w:hAnsi="Arial"/>
                      <w:color w:val="010101"/>
                      <w:w w:val="52"/>
                      <w:sz w:val="28"/>
                    </w:rPr>
                    <w:t>en&lt;"'&gt;</w:t>
                  </w:r>
                  <w:r>
                    <w:rPr>
                      <w:rFonts w:ascii="Arial" w:hAnsi="Arial"/>
                      <w:color w:val="010101"/>
                      <w:sz w:val="28"/>
                    </w:rPr>
                    <w:tab/>
                  </w:r>
                  <w:r>
                    <w:rPr>
                      <w:rFonts w:ascii="Arial" w:hAnsi="Arial"/>
                      <w:i/>
                      <w:color w:val="010101"/>
                      <w:w w:val="92"/>
                      <w:sz w:val="21"/>
                    </w:rPr>
                    <w:t>R&lt;</w:t>
                  </w:r>
                  <w:r>
                    <w:rPr>
                      <w:rFonts w:ascii="Arial" w:hAnsi="Arial"/>
                      <w:i/>
                      <w:color w:val="010101"/>
                      <w:spacing w:val="-1"/>
                      <w:w w:val="92"/>
                      <w:sz w:val="21"/>
                    </w:rPr>
                    <w:t>•</w:t>
                  </w:r>
                  <w:r>
                    <w:rPr>
                      <w:rFonts w:ascii="Arial" w:hAnsi="Arial"/>
                      <w:i/>
                      <w:color w:val="010101"/>
                      <w:w w:val="37"/>
                      <w:sz w:val="21"/>
                    </w:rPr>
                    <w:t>&gt;</w:t>
                  </w:r>
                  <w:r>
                    <w:rPr>
                      <w:rFonts w:ascii="Arial" w:hAnsi="Arial"/>
                      <w:i/>
                      <w:color w:val="010101"/>
                      <w:sz w:val="21"/>
                    </w:rPr>
                    <w:tab/>
                  </w:r>
                  <w:r>
                    <w:rPr>
                      <w:rFonts w:ascii="Arial" w:hAnsi="Arial"/>
                      <w:i/>
                      <w:color w:val="010101"/>
                      <w:w w:val="107"/>
                      <w:sz w:val="21"/>
                    </w:rPr>
                    <w:t>M</w:t>
                  </w:r>
                  <w:r>
                    <w:rPr>
                      <w:rFonts w:ascii="Arial" w:hAnsi="Arial"/>
                      <w:i/>
                      <w:color w:val="010101"/>
                      <w:sz w:val="21"/>
                    </w:rPr>
                    <w:tab/>
                  </w:r>
                  <w:r>
                    <w:rPr>
                      <w:rFonts w:ascii="Arial" w:hAnsi="Arial"/>
                      <w:color w:val="010101"/>
                      <w:w w:val="98"/>
                      <w:sz w:val="21"/>
                    </w:rPr>
                    <w:t>)</w:t>
                  </w:r>
                  <w:r>
                    <w:rPr>
                      <w:rFonts w:ascii="Arial" w:hAnsi="Arial"/>
                      <w:color w:val="010101"/>
                      <w:sz w:val="21"/>
                    </w:rPr>
                    <w:tab/>
                  </w:r>
                  <w:r>
                    <w:rPr>
                      <w:rFonts w:ascii="Arial" w:hAnsi="Arial"/>
                      <w:i/>
                      <w:color w:val="010101"/>
                      <w:w w:val="83"/>
                      <w:sz w:val="21"/>
                    </w:rPr>
                    <w:t>k</w:t>
                  </w:r>
                  <w:r>
                    <w:rPr>
                      <w:rFonts w:ascii="Arial" w:hAnsi="Arial"/>
                      <w:i/>
                      <w:color w:val="010101"/>
                      <w:sz w:val="21"/>
                    </w:rPr>
                    <w:t> </w:t>
                  </w:r>
                  <w:r>
                    <w:rPr>
                      <w:rFonts w:ascii="Arial" w:hAnsi="Arial"/>
                      <w:i/>
                      <w:color w:val="010101"/>
                      <w:spacing w:val="-11"/>
                      <w:sz w:val="21"/>
                    </w:rPr>
                    <w:t> </w:t>
                  </w:r>
                  <w:r>
                    <w:rPr>
                      <w:rFonts w:ascii="Arial" w:hAnsi="Arial"/>
                      <w:color w:val="010101"/>
                      <w:w w:val="200"/>
                      <w:sz w:val="21"/>
                    </w:rPr>
                    <w:t>(</w:t>
                  </w:r>
                  <w:r>
                    <w:rPr>
                      <w:rFonts w:ascii="Arial" w:hAnsi="Arial"/>
                      <w:color w:val="010101"/>
                      <w:sz w:val="21"/>
                    </w:rPr>
                    <w:tab/>
                  </w:r>
                  <w:r>
                    <w:rPr>
                      <w:rFonts w:ascii="Arial" w:hAnsi="Arial"/>
                      <w:i/>
                      <w:color w:val="010101"/>
                      <w:w w:val="83"/>
                      <w:sz w:val="21"/>
                    </w:rPr>
                    <w:t>k</w:t>
                  </w:r>
                  <w:r>
                    <w:rPr>
                      <w:rFonts w:ascii="Arial" w:hAnsi="Arial"/>
                      <w:i/>
                      <w:color w:val="010101"/>
                      <w:sz w:val="21"/>
                    </w:rPr>
                    <w:t> </w:t>
                  </w:r>
                  <w:r>
                    <w:rPr>
                      <w:rFonts w:ascii="Arial" w:hAnsi="Arial"/>
                      <w:i/>
                      <w:color w:val="010101"/>
                      <w:spacing w:val="-25"/>
                      <w:sz w:val="21"/>
                    </w:rPr>
                    <w:t> </w:t>
                  </w:r>
                  <w:r>
                    <w:rPr>
                      <w:rFonts w:ascii="Arial" w:hAnsi="Arial"/>
                      <w:color w:val="010101"/>
                      <w:w w:val="102"/>
                      <w:sz w:val="31"/>
                    </w:rPr>
                    <w:t>+</w:t>
                  </w:r>
                  <w:r>
                    <w:rPr>
                      <w:rFonts w:ascii="Arial" w:hAnsi="Arial"/>
                      <w:color w:val="010101"/>
                      <w:spacing w:val="-14"/>
                      <w:sz w:val="31"/>
                    </w:rPr>
                    <w:t> </w:t>
                  </w:r>
                  <w:r>
                    <w:rPr>
                      <w:rFonts w:ascii="Arial" w:hAnsi="Arial"/>
                      <w:i/>
                      <w:color w:val="010101"/>
                      <w:spacing w:val="13"/>
                      <w:w w:val="123"/>
                      <w:sz w:val="21"/>
                    </w:rPr>
                    <w:t>I</w:t>
                  </w:r>
                  <w:r>
                    <w:rPr>
                      <w:rFonts w:ascii="Arial" w:hAnsi="Arial"/>
                      <w:i/>
                      <w:color w:val="010101"/>
                      <w:w w:val="126"/>
                      <w:sz w:val="21"/>
                    </w:rPr>
                    <w:t>)c</w:t>
                  </w:r>
                </w:p>
              </w:txbxContent>
            </v:textbox>
            <w10:wrap type="none"/>
          </v:shape>
        </w:pict>
      </w:r>
      <w:r>
        <w:rPr>
          <w:b/>
          <w:i/>
          <w:color w:val="010101"/>
          <w:w w:val="80"/>
          <w:sz w:val="12"/>
        </w:rPr>
        <w:t>11.,  </w:t>
      </w:r>
      <w:r>
        <w:rPr>
          <w:b/>
          <w:i/>
          <w:color w:val="010101"/>
          <w:spacing w:val="9"/>
          <w:w w:val="80"/>
          <w:sz w:val="12"/>
        </w:rPr>
        <w:t> </w:t>
      </w:r>
      <w:r>
        <w:rPr>
          <w:color w:val="010101"/>
          <w:sz w:val="23"/>
        </w:rPr>
        <w:t>=</w:t>
        <w:tab/>
      </w:r>
      <w:r>
        <w:rPr>
          <w:b/>
          <w:color w:val="010101"/>
          <w:sz w:val="16"/>
        </w:rPr>
        <w:t>z+c </w:t>
      </w:r>
      <w:r>
        <w:rPr>
          <w:color w:val="010101"/>
          <w:w w:val="335"/>
          <w:sz w:val="16"/>
        </w:rPr>
        <w:t>- </w:t>
      </w:r>
      <w:r>
        <w:rPr>
          <w:rFonts w:ascii="Arial" w:hAnsi="Arial"/>
          <w:color w:val="010101"/>
          <w:w w:val="155"/>
          <w:sz w:val="30"/>
        </w:rPr>
        <w:t>*' - </w:t>
      </w:r>
      <w:r>
        <w:rPr>
          <w:b/>
          <w:color w:val="010101"/>
          <w:sz w:val="16"/>
        </w:rPr>
        <w:t>z+ t+" </w:t>
      </w:r>
      <w:r>
        <w:rPr>
          <w:color w:val="010101"/>
          <w:w w:val="335"/>
          <w:sz w:val="16"/>
        </w:rPr>
        <w:t>- </w:t>
      </w:r>
      <w:r>
        <w:rPr>
          <w:rFonts w:ascii="Arial" w:hAnsi="Arial"/>
          <w:b/>
          <w:i/>
          <w:color w:val="010101"/>
          <w:sz w:val="18"/>
        </w:rPr>
        <w:t>n   </w:t>
      </w:r>
      <w:r>
        <w:rPr>
          <w:b/>
          <w:color w:val="010101"/>
          <w:sz w:val="16"/>
        </w:rPr>
        <w:t>z+H"    </w:t>
      </w:r>
      <w:r>
        <w:rPr>
          <w:color w:val="010101"/>
          <w:w w:val="335"/>
          <w:sz w:val="16"/>
        </w:rPr>
        <w:t>- </w:t>
      </w:r>
      <w:r>
        <w:rPr>
          <w:b/>
          <w:i/>
          <w:color w:val="010101"/>
          <w:w w:val="80"/>
          <w:sz w:val="40"/>
        </w:rPr>
        <w:t>m</w:t>
      </w:r>
      <w:r>
        <w:rPr>
          <w:b/>
          <w:i/>
          <w:color w:val="010101"/>
          <w:spacing w:val="-17"/>
          <w:w w:val="80"/>
          <w:sz w:val="40"/>
        </w:rPr>
        <w:t> </w:t>
      </w:r>
      <w:r>
        <w:rPr>
          <w:rFonts w:ascii="Arial" w:hAnsi="Arial"/>
          <w:b/>
          <w:i/>
          <w:color w:val="010101"/>
          <w:sz w:val="18"/>
        </w:rPr>
        <w:t>n</w:t>
      </w:r>
      <w:r>
        <w:rPr>
          <w:rFonts w:ascii="Arial" w:hAnsi="Arial"/>
          <w:b/>
          <w:i/>
          <w:color w:val="010101"/>
          <w:spacing w:val="6"/>
          <w:sz w:val="18"/>
        </w:rPr>
        <w:t> </w:t>
      </w:r>
      <w:r>
        <w:rPr>
          <w:rFonts w:ascii="Arial" w:hAnsi="Arial"/>
          <w:color w:val="010101"/>
          <w:sz w:val="31"/>
        </w:rPr>
        <w:t>+</w:t>
        <w:tab/>
      </w:r>
      <w:r>
        <w:rPr>
          <w:b/>
          <w:color w:val="010101"/>
          <w:sz w:val="16"/>
        </w:rPr>
        <w:t>z+H"</w:t>
      </w:r>
      <w:r>
        <w:rPr>
          <w:b/>
          <w:color w:val="010101"/>
          <w:spacing w:val="25"/>
          <w:sz w:val="16"/>
        </w:rPr>
        <w:t> </w:t>
      </w:r>
      <w:r>
        <w:rPr>
          <w:color w:val="010101"/>
          <w:sz w:val="16"/>
        </w:rPr>
        <w:t>•</w:t>
      </w:r>
    </w:p>
    <w:p>
      <w:pPr>
        <w:pStyle w:val="BodyText"/>
        <w:spacing w:before="149"/>
        <w:ind w:left="304" w:right="127"/>
        <w:jc w:val="center"/>
      </w:pPr>
      <w:r>
        <w:rPr>
          <w:color w:val="010101"/>
          <w:w w:val="105"/>
          <w:sz w:val="21"/>
        </w:rPr>
        <w:t>In </w:t>
      </w:r>
      <w:r>
        <w:rPr>
          <w:color w:val="010101"/>
          <w:w w:val="105"/>
        </w:rPr>
        <w:t>this case,  a more  convenient  practica! formula  may  be   ob-</w:t>
      </w:r>
    </w:p>
    <w:p>
      <w:pPr>
        <w:spacing w:after="0"/>
        <w:jc w:val="center"/>
        <w:sectPr>
          <w:type w:val="continuous"/>
          <w:pgSz w:w="7200" w:h="11340"/>
          <w:pgMar w:top="1100" w:bottom="0" w:left="680" w:right="560"/>
        </w:sectPr>
      </w:pPr>
    </w:p>
    <w:p>
      <w:pPr>
        <w:tabs>
          <w:tab w:pos="1455" w:val="left" w:leader="none"/>
          <w:tab w:pos="5846" w:val="right" w:leader="none"/>
        </w:tabs>
        <w:spacing w:before="49"/>
        <w:ind w:left="109" w:right="0" w:firstLine="0"/>
        <w:jc w:val="left"/>
        <w:rPr>
          <w:rFonts w:ascii="Arial"/>
          <w:i/>
          <w:sz w:val="19"/>
        </w:rPr>
      </w:pPr>
      <w:r>
        <w:rPr>
          <w:color w:val="010101"/>
          <w:sz w:val="15"/>
        </w:rPr>
        <w:t>SEC. </w:t>
      </w:r>
      <w:r>
        <w:rPr>
          <w:color w:val="010101"/>
          <w:spacing w:val="32"/>
          <w:sz w:val="15"/>
        </w:rPr>
        <w:t> </w:t>
      </w:r>
      <w:r>
        <w:rPr>
          <w:rFonts w:ascii="Arial"/>
          <w:color w:val="010101"/>
          <w:sz w:val="19"/>
        </w:rPr>
        <w:t>3)</w:t>
        <w:tab/>
      </w:r>
      <w:r>
        <w:rPr>
          <w:color w:val="010101"/>
          <w:position w:val="1"/>
          <w:sz w:val="15"/>
        </w:rPr>
        <w:t>A1"N UITIES   WITH   A  </w:t>
      </w:r>
      <w:r>
        <w:rPr>
          <w:color w:val="010101"/>
          <w:spacing w:val="4"/>
          <w:position w:val="1"/>
          <w:sz w:val="15"/>
        </w:rPr>
        <w:t> </w:t>
      </w:r>
      <w:r>
        <w:rPr>
          <w:color w:val="010101"/>
          <w:position w:val="1"/>
          <w:sz w:val="15"/>
        </w:rPr>
        <w:t>TERM-CERTAIN</w:t>
      </w:r>
      <w:r>
        <w:rPr>
          <w:rFonts w:ascii="Arial"/>
          <w:i/>
          <w:color w:val="010101"/>
          <w:sz w:val="19"/>
        </w:rPr>
        <w:tab/>
        <w:t>155</w:t>
      </w:r>
    </w:p>
    <w:p>
      <w:pPr>
        <w:spacing w:before="208"/>
        <w:ind w:left="116" w:right="0" w:firstLine="0"/>
        <w:jc w:val="left"/>
        <w:rPr>
          <w:sz w:val="21"/>
        </w:rPr>
      </w:pPr>
      <w:r>
        <w:rPr/>
        <w:pict>
          <v:shape style="position:absolute;margin-left:186.819504pt;margin-top:28.721745pt;width:84.85pt;height:10.5pt;mso-position-horizontal-relative:page;mso-position-vertical-relative:paragraph;z-index:-723208" type="#_x0000_t202" filled="false" stroked="false">
            <v:textbox inset="0,0,0,0">
              <w:txbxContent>
                <w:p>
                  <w:pPr>
                    <w:tabs>
                      <w:tab w:pos="1015" w:val="left" w:leader="none"/>
                      <w:tab w:pos="1640" w:val="left" w:leader="none"/>
                    </w:tabs>
                    <w:spacing w:line="210" w:lineRule="exact" w:before="0"/>
                    <w:ind w:left="0" w:right="0" w:firstLine="0"/>
                    <w:jc w:val="left"/>
                    <w:rPr>
                      <w:sz w:val="21"/>
                    </w:rPr>
                  </w:pPr>
                  <w:r>
                    <w:rPr>
                      <w:rFonts w:ascii="Arial" w:hAnsi="Arial"/>
                      <w:i/>
                      <w:color w:val="010101"/>
                      <w:w w:val="105"/>
                      <w:sz w:val="20"/>
                    </w:rPr>
                    <w:t>n</w:t>
                  </w:r>
                  <w:r>
                    <w:rPr>
                      <w:rFonts w:ascii="Arial" w:hAnsi="Arial"/>
                      <w:i/>
                      <w:color w:val="010101"/>
                      <w:w w:val="105"/>
                      <w:sz w:val="20"/>
                    </w:rPr>
                    <w:t>&lt;</w:t>
                  </w:r>
                  <w:r>
                    <w:rPr>
                      <w:rFonts w:ascii="Arial" w:hAnsi="Arial"/>
                      <w:i/>
                      <w:color w:val="010101"/>
                      <w:spacing w:val="7"/>
                      <w:w w:val="105"/>
                      <w:sz w:val="20"/>
                    </w:rPr>
                    <w:t>•</w:t>
                  </w:r>
                  <w:r>
                    <w:rPr>
                      <w:rFonts w:ascii="Arial" w:hAnsi="Arial"/>
                      <w:i/>
                      <w:color w:val="010101"/>
                      <w:w w:val="35"/>
                      <w:sz w:val="20"/>
                    </w:rPr>
                    <w:t>&gt;</w:t>
                  </w:r>
                  <w:r>
                    <w:rPr>
                      <w:rFonts w:ascii="Arial" w:hAnsi="Arial"/>
                      <w:i/>
                      <w:color w:val="010101"/>
                      <w:sz w:val="20"/>
                    </w:rPr>
                    <w:tab/>
                  </w:r>
                  <w:r>
                    <w:rPr>
                      <w:i/>
                      <w:color w:val="010101"/>
                      <w:w w:val="93"/>
                      <w:sz w:val="21"/>
                    </w:rPr>
                    <w:t>M</w:t>
                  </w:r>
                  <w:r>
                    <w:rPr>
                      <w:i/>
                      <w:color w:val="010101"/>
                      <w:sz w:val="21"/>
                    </w:rPr>
                    <w:tab/>
                  </w:r>
                  <w:r>
                    <w:rPr>
                      <w:color w:val="010101"/>
                      <w:w w:val="79"/>
                      <w:sz w:val="21"/>
                    </w:rPr>
                    <w:t>)</w:t>
                  </w:r>
                </w:p>
              </w:txbxContent>
            </v:textbox>
            <w10:wrap type="none"/>
          </v:shape>
        </w:pict>
      </w:r>
      <w:r>
        <w:rPr>
          <w:color w:val="010101"/>
          <w:sz w:val="21"/>
        </w:rPr>
        <w:t>tained  by  substituting </w:t>
      </w:r>
      <w:r>
        <w:rPr>
          <w:i/>
          <w:color w:val="010101"/>
          <w:sz w:val="20"/>
        </w:rPr>
        <w:t>k  </w:t>
      </w:r>
      <w:r>
        <w:rPr>
          <w:color w:val="010101"/>
          <w:sz w:val="25"/>
        </w:rPr>
        <w:t>= </w:t>
      </w:r>
      <w:r>
        <w:rPr>
          <w:color w:val="010101"/>
          <w:sz w:val="21"/>
        </w:rPr>
        <w:t>O:</w:t>
      </w:r>
    </w:p>
    <w:p>
      <w:pPr>
        <w:spacing w:after="0"/>
        <w:jc w:val="left"/>
        <w:rPr>
          <w:sz w:val="21"/>
        </w:rPr>
        <w:sectPr>
          <w:pgSz w:w="7200" w:h="11340"/>
          <w:pgMar w:top="520" w:bottom="280" w:left="680" w:right="560"/>
        </w:sectPr>
      </w:pPr>
    </w:p>
    <w:p>
      <w:pPr>
        <w:spacing w:line="213" w:lineRule="exact" w:before="52"/>
        <w:ind w:left="0" w:right="0" w:firstLine="0"/>
        <w:jc w:val="right"/>
        <w:rPr>
          <w:i/>
          <w:sz w:val="21"/>
        </w:rPr>
      </w:pPr>
      <w:r>
        <w:rPr/>
        <w:pict>
          <v:shape style="position:absolute;margin-left:87.218353pt;margin-top:8.987267pt;width:6.4pt;height:10.5pt;mso-position-horizontal-relative:page;mso-position-vertical-relative:paragraph;z-index:12904" type="#_x0000_t202" filled="false" stroked="false">
            <v:textbox inset="0,0,0,0">
              <w:txbxContent>
                <w:p>
                  <w:pPr>
                    <w:spacing w:line="210" w:lineRule="exact" w:before="0"/>
                    <w:ind w:left="0" w:right="0" w:firstLine="0"/>
                    <w:jc w:val="left"/>
                    <w:rPr>
                      <w:b/>
                      <w:i/>
                      <w:sz w:val="21"/>
                    </w:rPr>
                  </w:pPr>
                  <w:r>
                    <w:rPr>
                      <w:b/>
                      <w:i/>
                      <w:color w:val="010101"/>
                      <w:w w:val="83"/>
                      <w:sz w:val="21"/>
                    </w:rPr>
                    <w:t>G</w:t>
                  </w:r>
                </w:p>
              </w:txbxContent>
            </v:textbox>
            <w10:wrap type="none"/>
          </v:shape>
        </w:pict>
      </w:r>
      <w:r>
        <w:rPr>
          <w:i/>
          <w:color w:val="010101"/>
          <w:w w:val="85"/>
          <w:sz w:val="21"/>
        </w:rPr>
        <w:t>N </w:t>
      </w:r>
      <w:r>
        <w:rPr>
          <w:i/>
          <w:color w:val="010101"/>
          <w:w w:val="70"/>
          <w:sz w:val="21"/>
        </w:rPr>
        <w:t>( m)</w:t>
      </w:r>
    </w:p>
    <w:p>
      <w:pPr>
        <w:spacing w:line="110" w:lineRule="exact" w:before="0"/>
        <w:ind w:left="0" w:right="0" w:firstLine="0"/>
        <w:jc w:val="right"/>
        <w:rPr>
          <w:b/>
          <w:i/>
          <w:sz w:val="12"/>
        </w:rPr>
      </w:pPr>
      <w:r>
        <w:rPr/>
        <w:pict>
          <v:line style="position:absolute;mso-position-horizontal-relative:page;mso-position-vertical-relative:paragraph;z-index:-723256" from="118.265198pt,5.979647pt" to="267.038898pt,5.979647pt" stroked="true" strokeweight=".717846pt" strokecolor="#000000">
            <w10:wrap type="none"/>
          </v:line>
        </w:pict>
      </w:r>
      <w:r>
        <w:rPr>
          <w:b/>
          <w:i/>
          <w:color w:val="010101"/>
          <w:w w:val="110"/>
          <w:sz w:val="12"/>
        </w:rPr>
        <w:t>z+ t</w:t>
      </w:r>
    </w:p>
    <w:p>
      <w:pPr>
        <w:spacing w:line="203" w:lineRule="exact" w:before="61"/>
        <w:ind w:left="332" w:right="-19" w:firstLine="0"/>
        <w:jc w:val="left"/>
        <w:rPr>
          <w:b/>
          <w:sz w:val="20"/>
        </w:rPr>
      </w:pPr>
      <w:r>
        <w:rPr/>
        <w:br w:type="column"/>
      </w:r>
      <w:r>
        <w:rPr>
          <w:b/>
          <w:color w:val="010101"/>
          <w:w w:val="85"/>
          <w:sz w:val="20"/>
        </w:rPr>
        <w:t>(</w:t>
      </w:r>
      <w:r>
        <w:rPr>
          <w:b/>
          <w:color w:val="010101"/>
          <w:spacing w:val="-21"/>
          <w:w w:val="85"/>
          <w:sz w:val="20"/>
        </w:rPr>
        <w:t> </w:t>
      </w:r>
      <w:r>
        <w:rPr>
          <w:b/>
          <w:color w:val="010101"/>
          <w:w w:val="85"/>
          <w:sz w:val="20"/>
        </w:rPr>
        <w:t>R(R}</w:t>
      </w:r>
    </w:p>
    <w:p>
      <w:pPr>
        <w:pStyle w:val="ListParagraph"/>
        <w:numPr>
          <w:ilvl w:val="0"/>
          <w:numId w:val="70"/>
        </w:numPr>
        <w:tabs>
          <w:tab w:pos="555" w:val="left" w:leader="none"/>
        </w:tabs>
        <w:spacing w:line="111" w:lineRule="exact" w:before="0" w:after="0"/>
        <w:ind w:left="554" w:right="0" w:hanging="481"/>
        <w:jc w:val="left"/>
        <w:rPr>
          <w:b/>
          <w:i/>
          <w:sz w:val="12"/>
        </w:rPr>
      </w:pPr>
      <w:r>
        <w:rPr>
          <w:b/>
          <w:i/>
          <w:color w:val="010101"/>
          <w:w w:val="145"/>
          <w:sz w:val="12"/>
        </w:rPr>
        <w:t>z+t</w:t>
      </w:r>
    </w:p>
    <w:p>
      <w:pPr>
        <w:pStyle w:val="ListParagraph"/>
        <w:numPr>
          <w:ilvl w:val="0"/>
          <w:numId w:val="70"/>
        </w:numPr>
        <w:tabs>
          <w:tab w:pos="438" w:val="left" w:leader="none"/>
        </w:tabs>
        <w:spacing w:line="240" w:lineRule="auto" w:before="152" w:after="0"/>
        <w:ind w:left="438" w:right="0" w:hanging="374"/>
        <w:jc w:val="left"/>
        <w:rPr>
          <w:b/>
          <w:sz w:val="14"/>
        </w:rPr>
      </w:pPr>
      <w:r>
        <w:rPr>
          <w:b/>
          <w:i/>
          <w:color w:val="010101"/>
          <w:w w:val="59"/>
          <w:sz w:val="21"/>
        </w:rPr>
        <w:br w:type="column"/>
      </w:r>
      <w:r>
        <w:rPr>
          <w:b/>
          <w:i/>
          <w:color w:val="010101"/>
          <w:w w:val="90"/>
          <w:sz w:val="21"/>
        </w:rPr>
        <w:t>z.+ t+n </w:t>
      </w:r>
      <w:r>
        <w:rPr>
          <w:color w:val="010101"/>
          <w:w w:val="240"/>
          <w:sz w:val="21"/>
        </w:rPr>
        <w:t>-</w:t>
      </w:r>
      <w:r>
        <w:rPr>
          <w:color w:val="010101"/>
          <w:spacing w:val="-108"/>
          <w:w w:val="240"/>
          <w:sz w:val="21"/>
        </w:rPr>
        <w:t> </w:t>
      </w:r>
      <w:r>
        <w:rPr>
          <w:b/>
          <w:i/>
          <w:color w:val="010101"/>
          <w:w w:val="125"/>
          <w:sz w:val="21"/>
        </w:rPr>
        <w:t>n  </w:t>
      </w:r>
      <w:r>
        <w:rPr>
          <w:b/>
          <w:color w:val="010101"/>
          <w:w w:val="125"/>
          <w:sz w:val="14"/>
        </w:rPr>
        <w:t>z+Hn</w:t>
      </w:r>
    </w:p>
    <w:p>
      <w:pPr>
        <w:spacing w:line="246" w:lineRule="exact" w:before="152"/>
        <w:ind w:left="629" w:right="-18" w:firstLine="0"/>
        <w:jc w:val="left"/>
        <w:rPr>
          <w:sz w:val="21"/>
        </w:rPr>
      </w:pPr>
      <w:r>
        <w:rPr/>
        <w:br w:type="column"/>
      </w:r>
      <w:r>
        <w:rPr>
          <w:color w:val="010101"/>
          <w:w w:val="130"/>
          <w:sz w:val="14"/>
        </w:rPr>
        <w:t>(</w:t>
      </w:r>
      <w:r>
        <w:rPr>
          <w:color w:val="010101"/>
          <w:spacing w:val="-18"/>
          <w:sz w:val="14"/>
        </w:rPr>
        <w:t> </w:t>
      </w:r>
      <w:r>
        <w:rPr>
          <w:color w:val="010101"/>
          <w:spacing w:val="-1"/>
          <w:position w:val="-8"/>
          <w:sz w:val="21"/>
        </w:rPr>
        <w:t>7</w:t>
      </w:r>
      <w:r>
        <w:rPr>
          <w:color w:val="010101"/>
          <w:w w:val="24"/>
          <w:sz w:val="21"/>
        </w:rPr>
        <w:t>_</w:t>
      </w:r>
      <w:r>
        <w:rPr>
          <w:color w:val="010101"/>
          <w:spacing w:val="-32"/>
          <w:sz w:val="21"/>
        </w:rPr>
        <w:t> </w:t>
      </w:r>
      <w:r>
        <w:rPr>
          <w:color w:val="010101"/>
          <w:spacing w:val="4"/>
          <w:w w:val="109"/>
          <w:position w:val="-8"/>
          <w:sz w:val="21"/>
        </w:rPr>
        <w:t>5</w:t>
      </w:r>
      <w:r>
        <w:rPr>
          <w:color w:val="010101"/>
          <w:w w:val="86"/>
          <w:sz w:val="21"/>
        </w:rPr>
        <w:t>)</w:t>
      </w:r>
    </w:p>
    <w:p>
      <w:pPr>
        <w:spacing w:after="0" w:line="246" w:lineRule="exact"/>
        <w:jc w:val="left"/>
        <w:rPr>
          <w:sz w:val="21"/>
        </w:rPr>
        <w:sectPr>
          <w:type w:val="continuous"/>
          <w:pgSz w:w="7200" w:h="11340"/>
          <w:pgMar w:top="1100" w:bottom="0" w:left="680" w:right="560"/>
          <w:cols w:num="4" w:equalWidth="0">
            <w:col w:w="1899" w:space="40"/>
            <w:col w:w="781" w:space="40"/>
            <w:col w:w="1995" w:space="40"/>
            <w:col w:w="1165"/>
          </w:cols>
        </w:sectPr>
      </w:pPr>
    </w:p>
    <w:p>
      <w:pPr>
        <w:spacing w:line="214" w:lineRule="exact" w:before="0"/>
        <w:ind w:left="1857" w:right="0" w:firstLine="0"/>
        <w:jc w:val="left"/>
        <w:rPr>
          <w:b/>
          <w:i/>
          <w:sz w:val="21"/>
        </w:rPr>
      </w:pPr>
      <w:r>
        <w:rPr>
          <w:rFonts w:ascii="Arial"/>
          <w:b/>
          <w:color w:val="010101"/>
          <w:w w:val="125"/>
          <w:sz w:val="19"/>
        </w:rPr>
        <w:t>(1 </w:t>
      </w:r>
      <w:r>
        <w:rPr>
          <w:rFonts w:ascii="Arial"/>
          <w:color w:val="010101"/>
          <w:w w:val="240"/>
          <w:sz w:val="19"/>
        </w:rPr>
        <w:t>-</w:t>
      </w:r>
      <w:r>
        <w:rPr>
          <w:rFonts w:ascii="Arial"/>
          <w:color w:val="010101"/>
          <w:spacing w:val="-78"/>
          <w:w w:val="240"/>
          <w:sz w:val="19"/>
        </w:rPr>
        <w:t> </w:t>
      </w:r>
      <w:r>
        <w:rPr>
          <w:b/>
          <w:i/>
          <w:color w:val="010101"/>
          <w:w w:val="95"/>
          <w:sz w:val="21"/>
        </w:rPr>
        <w:t>r) Dz </w:t>
      </w:r>
      <w:r>
        <w:rPr>
          <w:color w:val="010101"/>
          <w:w w:val="240"/>
          <w:sz w:val="21"/>
        </w:rPr>
        <w:t>-</w:t>
      </w:r>
      <w:r>
        <w:rPr>
          <w:color w:val="010101"/>
          <w:spacing w:val="-63"/>
          <w:w w:val="240"/>
          <w:sz w:val="21"/>
        </w:rPr>
        <w:t> </w:t>
      </w:r>
      <w:r>
        <w:rPr>
          <w:b/>
          <w:i/>
          <w:color w:val="010101"/>
          <w:w w:val="95"/>
          <w:sz w:val="21"/>
        </w:rPr>
        <w:t>( M z </w:t>
      </w:r>
      <w:r>
        <w:rPr>
          <w:color w:val="010101"/>
          <w:w w:val="240"/>
          <w:sz w:val="21"/>
        </w:rPr>
        <w:t>-</w:t>
      </w:r>
      <w:r>
        <w:rPr>
          <w:color w:val="010101"/>
          <w:spacing w:val="-87"/>
          <w:w w:val="240"/>
          <w:sz w:val="21"/>
        </w:rPr>
        <w:t> </w:t>
      </w:r>
      <w:r>
        <w:rPr>
          <w:b/>
          <w:i/>
          <w:color w:val="010101"/>
          <w:w w:val="95"/>
          <w:sz w:val="21"/>
        </w:rPr>
        <w:t>M z+t+n)</w:t>
      </w:r>
    </w:p>
    <w:p>
      <w:pPr>
        <w:spacing w:line="240" w:lineRule="exact" w:before="107"/>
        <w:ind w:left="120" w:right="108" w:hanging="8"/>
        <w:jc w:val="both"/>
        <w:rPr>
          <w:sz w:val="21"/>
        </w:rPr>
      </w:pPr>
      <w:r>
        <w:rPr>
          <w:color w:val="010101"/>
          <w:w w:val="105"/>
          <w:sz w:val="21"/>
        </w:rPr>
        <w:t>As in the case of formula </w:t>
      </w:r>
      <w:r>
        <w:rPr>
          <w:color w:val="010101"/>
          <w:spacing w:val="2"/>
          <w:w w:val="105"/>
          <w:sz w:val="21"/>
        </w:rPr>
        <w:t>(7.3) </w:t>
      </w:r>
      <w:r>
        <w:rPr>
          <w:color w:val="010101"/>
          <w:w w:val="105"/>
          <w:sz w:val="21"/>
        </w:rPr>
        <w:t>for the immediate annuity, the</w:t>
      </w:r>
      <w:r>
        <w:rPr>
          <w:color w:val="010101"/>
          <w:spacing w:val="-37"/>
          <w:w w:val="105"/>
          <w:sz w:val="21"/>
        </w:rPr>
        <w:t> </w:t>
      </w:r>
      <w:r>
        <w:rPr>
          <w:color w:val="010101"/>
          <w:w w:val="105"/>
          <w:sz w:val="21"/>
        </w:rPr>
        <w:t>ap­ proximation understates the premiwn slightly (unless the true value of </w:t>
      </w:r>
      <w:r>
        <w:rPr>
          <w:i/>
          <w:color w:val="010101"/>
          <w:w w:val="105"/>
          <w:sz w:val="20"/>
        </w:rPr>
        <w:t>k </w:t>
      </w:r>
      <w:r>
        <w:rPr>
          <w:color w:val="010101"/>
          <w:w w:val="105"/>
          <w:sz w:val="21"/>
        </w:rPr>
        <w:t>is O), although the understatement is here due </w:t>
      </w:r>
      <w:r>
        <w:rPr>
          <w:color w:val="010101"/>
          <w:w w:val="105"/>
          <w:sz w:val="22"/>
        </w:rPr>
        <w:t>to </w:t>
      </w:r>
      <w:r>
        <w:rPr>
          <w:color w:val="010101"/>
          <w:w w:val="105"/>
          <w:sz w:val="21"/>
        </w:rPr>
        <w:t>the elimination of positive benefits </w:t>
      </w:r>
      <w:r>
        <w:rPr>
          <w:color w:val="010101"/>
          <w:w w:val="105"/>
          <w:sz w:val="19"/>
        </w:rPr>
        <w:t>in </w:t>
      </w:r>
      <w:r>
        <w:rPr>
          <w:color w:val="010101"/>
          <w:w w:val="105"/>
          <w:sz w:val="21"/>
        </w:rPr>
        <w:t>the final year rather than the introduction of negative benefits. The approximation resulting from </w:t>
      </w:r>
      <w:r>
        <w:rPr>
          <w:i/>
          <w:color w:val="010101"/>
          <w:w w:val="105"/>
          <w:sz w:val="20"/>
        </w:rPr>
        <w:t>k </w:t>
      </w:r>
      <w:r>
        <w:rPr>
          <w:color w:val="010101"/>
          <w:w w:val="105"/>
          <w:sz w:val="26"/>
        </w:rPr>
        <w:t>= </w:t>
      </w:r>
      <w:r>
        <w:rPr>
          <w:rFonts w:ascii="Arial" w:hAnsi="Arial"/>
          <w:i/>
          <w:color w:val="010101"/>
          <w:w w:val="105"/>
          <w:sz w:val="17"/>
        </w:rPr>
        <w:t>m </w:t>
      </w:r>
      <w:r>
        <w:rPr>
          <w:rFonts w:ascii="Arial" w:hAnsi="Arial"/>
          <w:color w:val="010101"/>
          <w:w w:val="265"/>
          <w:sz w:val="17"/>
        </w:rPr>
        <w:t>- </w:t>
      </w:r>
      <w:r>
        <w:rPr>
          <w:color w:val="010101"/>
          <w:w w:val="105"/>
          <w:sz w:val="21"/>
        </w:rPr>
        <w:t>1 gives results which are, on the average, equally accurate,</w:t>
      </w:r>
      <w:r>
        <w:rPr>
          <w:color w:val="010101"/>
          <w:spacing w:val="-11"/>
          <w:w w:val="105"/>
          <w:sz w:val="21"/>
        </w:rPr>
        <w:t> </w:t>
      </w:r>
      <w:r>
        <w:rPr>
          <w:color w:val="010101"/>
          <w:w w:val="105"/>
          <w:sz w:val="21"/>
        </w:rPr>
        <w:t>but</w:t>
      </w:r>
      <w:r>
        <w:rPr>
          <w:color w:val="010101"/>
          <w:spacing w:val="-15"/>
          <w:w w:val="105"/>
          <w:sz w:val="21"/>
        </w:rPr>
        <w:t> </w:t>
      </w:r>
      <w:r>
        <w:rPr>
          <w:color w:val="010101"/>
          <w:w w:val="105"/>
          <w:sz w:val="21"/>
        </w:rPr>
        <w:t>produces</w:t>
      </w:r>
      <w:r>
        <w:rPr>
          <w:color w:val="010101"/>
          <w:spacing w:val="-9"/>
          <w:w w:val="105"/>
          <w:sz w:val="21"/>
        </w:rPr>
        <w:t> </w:t>
      </w:r>
      <w:r>
        <w:rPr>
          <w:color w:val="010101"/>
          <w:w w:val="105"/>
          <w:sz w:val="21"/>
        </w:rPr>
        <w:t>a</w:t>
      </w:r>
      <w:r>
        <w:rPr>
          <w:color w:val="010101"/>
          <w:spacing w:val="-22"/>
          <w:w w:val="105"/>
          <w:sz w:val="21"/>
        </w:rPr>
        <w:t> </w:t>
      </w:r>
      <w:r>
        <w:rPr>
          <w:color w:val="010101"/>
          <w:w w:val="105"/>
          <w:sz w:val="21"/>
        </w:rPr>
        <w:t>less</w:t>
      </w:r>
      <w:r>
        <w:rPr>
          <w:color w:val="010101"/>
          <w:spacing w:val="-23"/>
          <w:w w:val="105"/>
          <w:sz w:val="21"/>
        </w:rPr>
        <w:t> </w:t>
      </w:r>
      <w:r>
        <w:rPr>
          <w:color w:val="010101"/>
          <w:w w:val="105"/>
          <w:sz w:val="21"/>
        </w:rPr>
        <w:t>convenient</w:t>
      </w:r>
      <w:r>
        <w:rPr>
          <w:color w:val="010101"/>
          <w:spacing w:val="-13"/>
          <w:w w:val="105"/>
          <w:sz w:val="21"/>
        </w:rPr>
        <w:t> </w:t>
      </w:r>
      <w:r>
        <w:rPr>
          <w:color w:val="010101"/>
          <w:w w:val="105"/>
          <w:sz w:val="21"/>
        </w:rPr>
        <w:t>formula.</w:t>
      </w:r>
    </w:p>
    <w:p>
      <w:pPr>
        <w:spacing w:line="240" w:lineRule="auto" w:before="0"/>
        <w:ind w:left="120" w:right="107" w:firstLine="197"/>
        <w:jc w:val="left"/>
        <w:rPr>
          <w:sz w:val="21"/>
        </w:rPr>
      </w:pPr>
      <w:r>
        <w:rPr>
          <w:color w:val="010101"/>
          <w:sz w:val="21"/>
        </w:rPr>
        <w:t>Another practiral formula independent of </w:t>
      </w:r>
      <w:r>
        <w:rPr>
          <w:rFonts w:ascii="Arial"/>
          <w:i/>
          <w:color w:val="010101"/>
          <w:sz w:val="19"/>
        </w:rPr>
        <w:t>k,  </w:t>
      </w:r>
      <w:r>
        <w:rPr>
          <w:color w:val="010101"/>
          <w:sz w:val="21"/>
        </w:rPr>
        <w:t>similar  to  (7.5), may be derived by assuming a uniformly diminishing death  benefit</w:t>
      </w:r>
    </w:p>
    <w:p>
      <w:pPr>
        <w:spacing w:line="255" w:lineRule="exact" w:before="0"/>
        <w:ind w:left="120" w:right="0" w:firstLine="0"/>
        <w:jc w:val="both"/>
        <w:rPr>
          <w:sz w:val="21"/>
        </w:rPr>
      </w:pPr>
      <w:r>
        <w:rPr>
          <w:color w:val="010101"/>
          <w:sz w:val="21"/>
        </w:rPr>
        <w:t>over the </w:t>
      </w:r>
      <w:r>
        <w:rPr>
          <w:i/>
          <w:color w:val="010101"/>
          <w:sz w:val="19"/>
        </w:rPr>
        <w:t>entire </w:t>
      </w:r>
      <w:r>
        <w:rPr>
          <w:color w:val="010101"/>
          <w:sz w:val="21"/>
        </w:rPr>
        <w:t>year of  age </w:t>
      </w:r>
      <w:r>
        <w:rPr>
          <w:i/>
          <w:color w:val="010101"/>
          <w:sz w:val="19"/>
        </w:rPr>
        <w:t>x  </w:t>
      </w:r>
      <w:r>
        <w:rPr>
          <w:rFonts w:ascii="Arial"/>
          <w:color w:val="010101"/>
          <w:sz w:val="32"/>
        </w:rPr>
        <w:t>+ </w:t>
      </w:r>
      <w:r>
        <w:rPr>
          <w:rFonts w:ascii="Arial"/>
          <w:i/>
          <w:color w:val="010101"/>
          <w:sz w:val="18"/>
        </w:rPr>
        <w:t>t  </w:t>
      </w:r>
      <w:r>
        <w:rPr>
          <w:rFonts w:ascii="Arial"/>
          <w:color w:val="010101"/>
          <w:sz w:val="32"/>
        </w:rPr>
        <w:t>+ </w:t>
      </w:r>
      <w:r>
        <w:rPr>
          <w:i/>
          <w:color w:val="010101"/>
          <w:sz w:val="19"/>
        </w:rPr>
        <w:t>n </w:t>
      </w:r>
      <w:r>
        <w:rPr>
          <w:color w:val="010101"/>
          <w:sz w:val="22"/>
        </w:rPr>
        <w:t>to </w:t>
      </w:r>
      <w:r>
        <w:rPr>
          <w:i/>
          <w:color w:val="010101"/>
          <w:sz w:val="19"/>
        </w:rPr>
        <w:t>x  </w:t>
      </w:r>
      <w:r>
        <w:rPr>
          <w:rFonts w:ascii="Arial"/>
          <w:color w:val="010101"/>
          <w:sz w:val="32"/>
        </w:rPr>
        <w:t>+ </w:t>
      </w:r>
      <w:r>
        <w:rPr>
          <w:rFonts w:ascii="Arial"/>
          <w:i/>
          <w:color w:val="010101"/>
          <w:sz w:val="17"/>
        </w:rPr>
        <w:t>t  </w:t>
      </w:r>
      <w:r>
        <w:rPr>
          <w:rFonts w:ascii="Arial"/>
          <w:color w:val="010101"/>
          <w:sz w:val="32"/>
        </w:rPr>
        <w:t>+ </w:t>
      </w:r>
      <w:r>
        <w:rPr>
          <w:i/>
          <w:color w:val="010101"/>
          <w:sz w:val="19"/>
        </w:rPr>
        <w:t>n  </w:t>
      </w:r>
      <w:r>
        <w:rPr>
          <w:rFonts w:ascii="Arial"/>
          <w:color w:val="010101"/>
          <w:sz w:val="32"/>
        </w:rPr>
        <w:t>+ </w:t>
      </w:r>
      <w:r>
        <w:rPr>
          <w:color w:val="010101"/>
          <w:sz w:val="21"/>
        </w:rPr>
        <w:t>1, in place</w:t>
      </w:r>
    </w:p>
    <w:p>
      <w:pPr>
        <w:spacing w:line="226" w:lineRule="exact" w:before="0"/>
        <w:ind w:left="123" w:right="0" w:hanging="4"/>
        <w:jc w:val="both"/>
        <w:rPr>
          <w:sz w:val="21"/>
        </w:rPr>
      </w:pPr>
      <w:r>
        <w:rPr>
          <w:color w:val="010101"/>
          <w:sz w:val="21"/>
        </w:rPr>
        <w:t>of  the true benefit  which  diminishes uniformly  over the fractional</w:t>
      </w:r>
    </w:p>
    <w:p>
      <w:pPr>
        <w:spacing w:line="314" w:lineRule="exact" w:before="24"/>
        <w:ind w:left="123" w:right="0" w:firstLine="0"/>
        <w:jc w:val="both"/>
        <w:rPr>
          <w:sz w:val="21"/>
        </w:rPr>
      </w:pPr>
      <w:r>
        <w:rPr>
          <w:color w:val="010101"/>
          <w:sz w:val="21"/>
        </w:rPr>
        <w:t>age period </w:t>
      </w:r>
      <w:r>
        <w:rPr>
          <w:i/>
          <w:color w:val="010101"/>
          <w:sz w:val="20"/>
        </w:rPr>
        <w:t>x  </w:t>
      </w:r>
      <w:r>
        <w:rPr>
          <w:rFonts w:ascii="Arial"/>
          <w:color w:val="010101"/>
          <w:sz w:val="31"/>
        </w:rPr>
        <w:t>+ </w:t>
      </w:r>
      <w:r>
        <w:rPr>
          <w:i/>
          <w:color w:val="010101"/>
          <w:sz w:val="22"/>
        </w:rPr>
        <w:t>t  </w:t>
      </w:r>
      <w:r>
        <w:rPr>
          <w:rFonts w:ascii="Arial"/>
          <w:color w:val="010101"/>
          <w:sz w:val="32"/>
        </w:rPr>
        <w:t>+ </w:t>
      </w:r>
      <w:r>
        <w:rPr>
          <w:i/>
          <w:color w:val="010101"/>
          <w:sz w:val="20"/>
        </w:rPr>
        <w:t>n </w:t>
      </w:r>
      <w:r>
        <w:rPr>
          <w:color w:val="010101"/>
          <w:sz w:val="21"/>
        </w:rPr>
        <w:t>to </w:t>
      </w:r>
      <w:r>
        <w:rPr>
          <w:i/>
          <w:color w:val="010101"/>
          <w:sz w:val="20"/>
        </w:rPr>
        <w:t>x  </w:t>
      </w:r>
      <w:r>
        <w:rPr>
          <w:rFonts w:ascii="Arial"/>
          <w:color w:val="010101"/>
          <w:sz w:val="32"/>
        </w:rPr>
        <w:t>+ </w:t>
      </w:r>
      <w:r>
        <w:rPr>
          <w:i/>
          <w:color w:val="010101"/>
          <w:sz w:val="22"/>
        </w:rPr>
        <w:t>t </w:t>
      </w:r>
      <w:r>
        <w:rPr>
          <w:rFonts w:ascii="Arial"/>
          <w:color w:val="010101"/>
          <w:sz w:val="32"/>
        </w:rPr>
        <w:t>+ </w:t>
      </w:r>
      <w:r>
        <w:rPr>
          <w:i/>
          <w:color w:val="010101"/>
          <w:sz w:val="20"/>
        </w:rPr>
        <w:t>n </w:t>
      </w:r>
      <w:r>
        <w:rPr>
          <w:rFonts w:ascii="Arial"/>
          <w:color w:val="010101"/>
          <w:sz w:val="32"/>
        </w:rPr>
        <w:t>+</w:t>
      </w:r>
      <w:r>
        <w:rPr>
          <w:rFonts w:ascii="Arial"/>
          <w:color w:val="010101"/>
          <w:spacing w:val="88"/>
          <w:sz w:val="32"/>
        </w:rPr>
        <w:t> </w:t>
      </w:r>
      <w:r>
        <w:rPr>
          <w:rFonts w:ascii="Arial"/>
          <w:color w:val="010101"/>
          <w:w w:val="70"/>
          <w:sz w:val="32"/>
        </w:rPr>
        <w:t>- </w:t>
      </w:r>
      <w:r>
        <w:rPr>
          <w:color w:val="010101"/>
          <w:sz w:val="21"/>
        </w:rPr>
        <w:t>The student may   show</w:t>
      </w:r>
    </w:p>
    <w:p>
      <w:pPr>
        <w:spacing w:line="148" w:lineRule="exact" w:before="0"/>
        <w:ind w:left="1358" w:right="0" w:firstLine="0"/>
        <w:jc w:val="center"/>
        <w:rPr>
          <w:rFonts w:ascii="Arial"/>
          <w:i/>
          <w:sz w:val="18"/>
        </w:rPr>
      </w:pPr>
      <w:r>
        <w:rPr>
          <w:rFonts w:ascii="Arial"/>
          <w:i/>
          <w:color w:val="010101"/>
          <w:w w:val="104"/>
          <w:sz w:val="18"/>
        </w:rPr>
        <w:t>m</w:t>
      </w:r>
    </w:p>
    <w:p>
      <w:pPr>
        <w:spacing w:line="240" w:lineRule="auto" w:before="0"/>
        <w:ind w:left="120" w:right="117" w:firstLine="7"/>
        <w:jc w:val="both"/>
        <w:rPr>
          <w:sz w:val="21"/>
        </w:rPr>
      </w:pPr>
      <w:r>
        <w:rPr>
          <w:color w:val="010101"/>
          <w:sz w:val="21"/>
        </w:rPr>
        <w:t>that with this assumption the present value at age </w:t>
      </w:r>
      <w:r>
        <w:rPr>
          <w:i/>
          <w:color w:val="010101"/>
          <w:sz w:val="20"/>
        </w:rPr>
        <w:t>x </w:t>
      </w:r>
      <w:r>
        <w:rPr>
          <w:color w:val="010101"/>
          <w:sz w:val="21"/>
        </w:rPr>
        <w:t>of the final year's death  benefit is</w:t>
      </w:r>
    </w:p>
    <w:p>
      <w:pPr>
        <w:spacing w:line="422" w:lineRule="exact" w:before="0"/>
        <w:ind w:left="1857" w:right="0" w:firstLine="0"/>
        <w:jc w:val="left"/>
        <w:rPr>
          <w:rFonts w:ascii="Arial"/>
          <w:b/>
          <w:i/>
          <w:sz w:val="19"/>
        </w:rPr>
      </w:pPr>
      <w:r>
        <w:rPr>
          <w:b/>
          <w:color w:val="010101"/>
          <w:w w:val="105"/>
          <w:sz w:val="14"/>
        </w:rPr>
        <w:t>Cz+Hn </w:t>
      </w:r>
      <w:r>
        <w:rPr>
          <w:b/>
          <w:color w:val="010101"/>
          <w:w w:val="80"/>
          <w:sz w:val="45"/>
        </w:rPr>
        <w:t>(</w:t>
      </w:r>
      <w:r>
        <w:rPr>
          <w:b/>
          <w:color w:val="010101"/>
          <w:w w:val="80"/>
          <w:sz w:val="45"/>
          <w:u w:val="single" w:color="000000"/>
        </w:rPr>
        <w:t>m </w:t>
      </w:r>
      <w:r>
        <w:rPr>
          <w:color w:val="010101"/>
          <w:w w:val="105"/>
          <w:sz w:val="45"/>
          <w:u w:val="single" w:color="000000"/>
        </w:rPr>
        <w:t>-</w:t>
      </w:r>
      <w:r>
        <w:rPr>
          <w:color w:val="010101"/>
          <w:spacing w:val="-67"/>
          <w:w w:val="105"/>
          <w:sz w:val="45"/>
          <w:u w:val="single" w:color="000000"/>
        </w:rPr>
        <w:t> </w:t>
      </w:r>
      <w:r>
        <w:rPr>
          <w:rFonts w:ascii="Arial"/>
          <w:b/>
          <w:color w:val="010101"/>
          <w:w w:val="80"/>
          <w:sz w:val="47"/>
          <w:u w:val="single" w:color="000000"/>
        </w:rPr>
        <w:t>1</w:t>
      </w:r>
      <w:r>
        <w:rPr>
          <w:rFonts w:ascii="Arial"/>
          <w:b/>
          <w:color w:val="010101"/>
          <w:w w:val="80"/>
          <w:sz w:val="47"/>
        </w:rPr>
        <w:t>)</w:t>
      </w:r>
      <w:r>
        <w:rPr>
          <w:rFonts w:ascii="Arial"/>
          <w:b/>
          <w:color w:val="010101"/>
          <w:spacing w:val="-65"/>
          <w:w w:val="80"/>
          <w:sz w:val="47"/>
        </w:rPr>
        <w:t> </w:t>
      </w:r>
      <w:r>
        <w:rPr>
          <w:rFonts w:ascii="Arial"/>
          <w:b/>
          <w:i/>
          <w:color w:val="010101"/>
          <w:w w:val="80"/>
          <w:sz w:val="19"/>
        </w:rPr>
        <w:t>( </w:t>
      </w:r>
      <w:r>
        <w:rPr>
          <w:rFonts w:ascii="Arial"/>
          <w:b/>
          <w:i/>
          <w:color w:val="010101"/>
          <w:w w:val="105"/>
          <w:sz w:val="19"/>
        </w:rPr>
        <w:t>G </w:t>
      </w:r>
      <w:r>
        <w:rPr>
          <w:rFonts w:ascii="Arial"/>
          <w:color w:val="010101"/>
          <w:w w:val="105"/>
          <w:sz w:val="19"/>
        </w:rPr>
        <w:t>_ </w:t>
      </w:r>
      <w:r>
        <w:rPr>
          <w:rFonts w:ascii="Arial"/>
          <w:b/>
          <w:i/>
          <w:color w:val="010101"/>
          <w:spacing w:val="7"/>
          <w:w w:val="105"/>
          <w:sz w:val="19"/>
        </w:rPr>
        <w:t>n),</w:t>
      </w:r>
    </w:p>
    <w:p>
      <w:pPr>
        <w:tabs>
          <w:tab w:pos="724" w:val="left" w:leader="none"/>
        </w:tabs>
        <w:spacing w:line="218" w:lineRule="exact" w:before="0"/>
        <w:ind w:left="0" w:right="992" w:firstLine="0"/>
        <w:jc w:val="center"/>
        <w:rPr>
          <w:rFonts w:ascii="Courier New"/>
          <w:sz w:val="21"/>
        </w:rPr>
      </w:pPr>
      <w:r>
        <w:rPr>
          <w:i/>
          <w:color w:val="010101"/>
          <w:sz w:val="23"/>
        </w:rPr>
        <w:t>Dz</w:t>
        <w:tab/>
      </w:r>
      <w:r>
        <w:rPr>
          <w:rFonts w:ascii="Courier New"/>
          <w:color w:val="010101"/>
          <w:spacing w:val="-19"/>
          <w:sz w:val="21"/>
        </w:rPr>
        <w:t>2m</w:t>
      </w:r>
    </w:p>
    <w:p>
      <w:pPr>
        <w:spacing w:before="86"/>
        <w:ind w:left="127" w:right="122" w:firstLine="3"/>
        <w:jc w:val="both"/>
        <w:rPr>
          <w:sz w:val="21"/>
        </w:rPr>
      </w:pPr>
      <w:r>
        <w:rPr>
          <w:color w:val="010101"/>
          <w:sz w:val="21"/>
        </w:rPr>
        <w:t>leading to the following approximation, which yields a result never less than  the  true value:</w:t>
      </w:r>
    </w:p>
    <w:p>
      <w:pPr>
        <w:spacing w:after="0"/>
        <w:jc w:val="both"/>
        <w:rPr>
          <w:sz w:val="21"/>
        </w:rPr>
        <w:sectPr>
          <w:type w:val="continuous"/>
          <w:pgSz w:w="7200" w:h="11340"/>
          <w:pgMar w:top="1100" w:bottom="0" w:left="680" w:right="560"/>
        </w:sectPr>
      </w:pPr>
    </w:p>
    <w:p>
      <w:pPr>
        <w:spacing w:line="189" w:lineRule="exact" w:before="59"/>
        <w:ind w:left="1046" w:right="-14" w:firstLine="0"/>
        <w:jc w:val="left"/>
        <w:rPr>
          <w:sz w:val="20"/>
        </w:rPr>
      </w:pPr>
      <w:r>
        <w:rPr>
          <w:rFonts w:ascii="Arial" w:hAnsi="Arial"/>
          <w:i/>
          <w:color w:val="010101"/>
          <w:w w:val="110"/>
          <w:position w:val="-11"/>
          <w:sz w:val="20"/>
        </w:rPr>
        <w:t>G</w:t>
      </w:r>
      <w:r>
        <w:rPr>
          <w:rFonts w:ascii="Arial" w:hAnsi="Arial"/>
          <w:i/>
          <w:color w:val="010101"/>
          <w:spacing w:val="-21"/>
          <w:w w:val="110"/>
          <w:position w:val="-11"/>
          <w:sz w:val="20"/>
        </w:rPr>
        <w:t> </w:t>
      </w:r>
      <w:r>
        <w:rPr>
          <w:rFonts w:ascii="Arial" w:hAnsi="Arial"/>
          <w:color w:val="010101"/>
          <w:w w:val="85"/>
          <w:position w:val="-11"/>
          <w:sz w:val="23"/>
        </w:rPr>
        <w:t>==</w:t>
      </w:r>
      <w:r>
        <w:rPr>
          <w:rFonts w:ascii="Arial" w:hAnsi="Arial"/>
          <w:color w:val="010101"/>
          <w:spacing w:val="-12"/>
          <w:w w:val="85"/>
          <w:position w:val="-11"/>
          <w:sz w:val="23"/>
        </w:rPr>
        <w:t> </w:t>
      </w:r>
      <w:r>
        <w:rPr>
          <w:color w:val="010101"/>
          <w:spacing w:val="6"/>
          <w:w w:val="85"/>
          <w:position w:val="-7"/>
          <w:sz w:val="22"/>
        </w:rPr>
        <w:t>N</w:t>
      </w:r>
      <w:r>
        <w:rPr>
          <w:color w:val="010101"/>
          <w:spacing w:val="6"/>
          <w:w w:val="85"/>
          <w:sz w:val="20"/>
        </w:rPr>
        <w:t>{m)</w:t>
      </w:r>
      <w:r>
        <w:rPr>
          <w:color w:val="010101"/>
          <w:spacing w:val="3"/>
          <w:w w:val="85"/>
          <w:sz w:val="20"/>
        </w:rPr>
        <w:t> </w:t>
      </w:r>
      <w:r>
        <w:rPr>
          <w:color w:val="010101"/>
          <w:w w:val="375"/>
          <w:position w:val="-11"/>
          <w:sz w:val="14"/>
        </w:rPr>
        <w:t>-</w:t>
      </w:r>
      <w:r>
        <w:rPr>
          <w:color w:val="010101"/>
          <w:spacing w:val="-96"/>
          <w:w w:val="375"/>
          <w:position w:val="-11"/>
          <w:sz w:val="14"/>
        </w:rPr>
        <w:t> </w:t>
      </w:r>
      <w:r>
        <w:rPr>
          <w:color w:val="010101"/>
          <w:w w:val="85"/>
          <w:sz w:val="20"/>
        </w:rPr>
        <w:t>e</w:t>
      </w:r>
      <w:r>
        <w:rPr>
          <w:color w:val="010101"/>
          <w:spacing w:val="-30"/>
          <w:w w:val="85"/>
          <w:sz w:val="20"/>
        </w:rPr>
        <w:t> </w:t>
      </w:r>
      <w:r>
        <w:rPr>
          <w:color w:val="010101"/>
          <w:w w:val="110"/>
          <w:sz w:val="20"/>
        </w:rPr>
        <w:t>n&lt;•)</w:t>
      </w:r>
    </w:p>
    <w:p>
      <w:pPr>
        <w:pStyle w:val="BodyText"/>
        <w:spacing w:line="201" w:lineRule="exact" w:before="59"/>
        <w:ind w:left="303" w:right="-10"/>
      </w:pPr>
      <w:r>
        <w:rPr/>
        <w:br w:type="column"/>
      </w:r>
      <w:r>
        <w:rPr>
          <w:color w:val="010101"/>
          <w:w w:val="80"/>
        </w:rPr>
        <w:t>n&lt;m)</w:t>
      </w:r>
    </w:p>
    <w:p>
      <w:pPr>
        <w:spacing w:line="11" w:lineRule="exact" w:before="0"/>
        <w:ind w:left="66" w:right="0" w:firstLine="0"/>
        <w:jc w:val="left"/>
        <w:rPr>
          <w:sz w:val="14"/>
        </w:rPr>
      </w:pPr>
      <w:r>
        <w:rPr>
          <w:color w:val="010101"/>
          <w:w w:val="392"/>
          <w:sz w:val="14"/>
        </w:rPr>
        <w:t>-</w:t>
      </w:r>
    </w:p>
    <w:p>
      <w:pPr>
        <w:tabs>
          <w:tab w:pos="1279" w:val="left" w:leader="none"/>
        </w:tabs>
        <w:spacing w:line="96" w:lineRule="exact" w:before="152"/>
        <w:ind w:left="274" w:right="0" w:firstLine="0"/>
        <w:jc w:val="left"/>
        <w:rPr>
          <w:rFonts w:ascii="Arial"/>
          <w:sz w:val="10"/>
        </w:rPr>
      </w:pPr>
      <w:r>
        <w:rPr/>
        <w:br w:type="column"/>
      </w:r>
      <w:r>
        <w:rPr>
          <w:color w:val="010101"/>
          <w:w w:val="382"/>
          <w:position w:val="-11"/>
          <w:sz w:val="14"/>
        </w:rPr>
        <w:t>-</w:t>
      </w:r>
      <w:r>
        <w:rPr>
          <w:color w:val="010101"/>
          <w:position w:val="-11"/>
          <w:sz w:val="14"/>
        </w:rPr>
        <w:t> </w:t>
      </w:r>
      <w:r>
        <w:rPr>
          <w:color w:val="010101"/>
          <w:spacing w:val="-16"/>
          <w:position w:val="-11"/>
          <w:sz w:val="14"/>
        </w:rPr>
        <w:t> </w:t>
      </w:r>
      <w:r>
        <w:rPr>
          <w:i/>
          <w:color w:val="010101"/>
          <w:spacing w:val="-4"/>
          <w:w w:val="113"/>
          <w:position w:val="-11"/>
          <w:sz w:val="21"/>
        </w:rPr>
        <w:t>n</w:t>
      </w:r>
      <w:r>
        <w:rPr>
          <w:rFonts w:ascii="Arial"/>
          <w:color w:val="010101"/>
          <w:w w:val="186"/>
          <w:sz w:val="10"/>
        </w:rPr>
        <w:t>M(</w:t>
      </w:r>
      <w:r>
        <w:rPr>
          <w:rFonts w:ascii="Arial"/>
          <w:color w:val="010101"/>
          <w:w w:val="186"/>
          <w:sz w:val="10"/>
        </w:rPr>
        <w:t>III</w:t>
      </w:r>
      <w:r>
        <w:rPr>
          <w:rFonts w:ascii="Arial"/>
          <w:color w:val="010101"/>
          <w:w w:val="186"/>
          <w:sz w:val="10"/>
        </w:rPr>
        <w:t>)</w:t>
      </w:r>
      <w:r>
        <w:rPr>
          <w:rFonts w:ascii="Arial"/>
          <w:color w:val="010101"/>
          <w:sz w:val="10"/>
        </w:rPr>
        <w:tab/>
      </w:r>
      <w:r>
        <w:rPr>
          <w:rFonts w:ascii="Arial"/>
          <w:color w:val="010101"/>
          <w:w w:val="210"/>
          <w:sz w:val="10"/>
        </w:rPr>
        <w:t>)</w:t>
      </w:r>
    </w:p>
    <w:p>
      <w:pPr>
        <w:pStyle w:val="BodyText"/>
        <w:spacing w:before="11"/>
        <w:rPr>
          <w:rFonts w:ascii="Arial"/>
          <w:sz w:val="15"/>
        </w:rPr>
      </w:pPr>
      <w:r>
        <w:rPr/>
        <w:br w:type="column"/>
      </w:r>
      <w:r>
        <w:rPr>
          <w:rFonts w:ascii="Arial"/>
          <w:sz w:val="15"/>
        </w:rPr>
      </w:r>
    </w:p>
    <w:p>
      <w:pPr>
        <w:spacing w:line="65" w:lineRule="exact" w:before="0"/>
        <w:ind w:left="603" w:right="0" w:firstLine="0"/>
        <w:jc w:val="left"/>
        <w:rPr>
          <w:sz w:val="19"/>
        </w:rPr>
      </w:pPr>
      <w:r>
        <w:rPr>
          <w:color w:val="010101"/>
          <w:w w:val="120"/>
          <w:sz w:val="14"/>
        </w:rPr>
        <w:t>(   </w:t>
      </w:r>
      <w:r>
        <w:rPr>
          <w:color w:val="010101"/>
          <w:w w:val="60"/>
          <w:sz w:val="19"/>
        </w:rPr>
        <w:t>_   </w:t>
      </w:r>
      <w:r>
        <w:rPr>
          <w:color w:val="010101"/>
          <w:sz w:val="19"/>
        </w:rPr>
        <w:t>)</w:t>
      </w:r>
    </w:p>
    <w:p>
      <w:pPr>
        <w:spacing w:after="0" w:line="65" w:lineRule="exact"/>
        <w:jc w:val="left"/>
        <w:rPr>
          <w:sz w:val="19"/>
        </w:rPr>
        <w:sectPr>
          <w:type w:val="continuous"/>
          <w:pgSz w:w="7200" w:h="11340"/>
          <w:pgMar w:top="1100" w:bottom="0" w:left="680" w:right="560"/>
          <w:cols w:num="4" w:equalWidth="0">
            <w:col w:w="2692" w:space="40"/>
            <w:col w:w="661" w:space="40"/>
            <w:col w:w="1351" w:space="40"/>
            <w:col w:w="1136"/>
          </w:cols>
        </w:sectPr>
      </w:pPr>
    </w:p>
    <w:p>
      <w:pPr>
        <w:spacing w:line="132" w:lineRule="exact" w:before="0"/>
        <w:ind w:left="0" w:right="0" w:firstLine="0"/>
        <w:jc w:val="right"/>
        <w:rPr>
          <w:i/>
          <w:sz w:val="14"/>
        </w:rPr>
      </w:pPr>
      <w:r>
        <w:rPr/>
        <w:pict>
          <v:line style="position:absolute;mso-position-horizontal-relative:page;mso-position-vertical-relative:paragraph;z-index:-723232" from="117.1884pt,6.680381pt" to="267.2183pt,6.680381pt" stroked="true" strokeweight=".717846pt" strokecolor="#000000">
            <w10:wrap type="none"/>
          </v:line>
        </w:pict>
      </w:r>
      <w:r>
        <w:rPr>
          <w:i/>
          <w:color w:val="010101"/>
          <w:w w:val="110"/>
          <w:sz w:val="14"/>
        </w:rPr>
        <w:t>z+t</w:t>
      </w:r>
    </w:p>
    <w:p>
      <w:pPr>
        <w:spacing w:line="132" w:lineRule="exact" w:before="0"/>
        <w:ind w:left="0" w:right="0" w:firstLine="0"/>
        <w:jc w:val="right"/>
        <w:rPr>
          <w:i/>
          <w:sz w:val="14"/>
        </w:rPr>
      </w:pPr>
      <w:r>
        <w:rPr/>
        <w:br w:type="column"/>
      </w:r>
      <w:r>
        <w:rPr>
          <w:i/>
          <w:color w:val="010101"/>
          <w:w w:val="110"/>
          <w:sz w:val="14"/>
        </w:rPr>
        <w:t>z+t</w:t>
      </w:r>
    </w:p>
    <w:p>
      <w:pPr>
        <w:spacing w:line="132" w:lineRule="exact" w:before="0"/>
        <w:ind w:left="455" w:right="-17" w:firstLine="0"/>
        <w:jc w:val="left"/>
        <w:rPr>
          <w:i/>
          <w:sz w:val="14"/>
        </w:rPr>
      </w:pPr>
      <w:r>
        <w:rPr/>
        <w:br w:type="column"/>
      </w:r>
      <w:r>
        <w:rPr>
          <w:i/>
          <w:color w:val="010101"/>
          <w:w w:val="115"/>
          <w:sz w:val="14"/>
        </w:rPr>
        <w:t>z+t+n</w:t>
      </w:r>
    </w:p>
    <w:p>
      <w:pPr>
        <w:tabs>
          <w:tab w:pos="2130" w:val="right" w:leader="none"/>
        </w:tabs>
        <w:spacing w:line="148" w:lineRule="exact" w:before="0"/>
        <w:ind w:left="628" w:right="0" w:firstLine="0"/>
        <w:jc w:val="left"/>
        <w:rPr>
          <w:sz w:val="19"/>
        </w:rPr>
      </w:pPr>
      <w:r>
        <w:rPr/>
        <w:br w:type="column"/>
      </w:r>
      <w:r>
        <w:rPr>
          <w:i/>
          <w:color w:val="010101"/>
          <w:w w:val="115"/>
          <w:sz w:val="14"/>
        </w:rPr>
        <w:t>z+t+n</w:t>
      </w:r>
      <w:r>
        <w:rPr>
          <w:color w:val="010101"/>
          <w:w w:val="115"/>
          <w:position w:val="-8"/>
          <w:sz w:val="19"/>
        </w:rPr>
        <w:tab/>
        <w:t>7</w:t>
      </w:r>
      <w:r>
        <w:rPr>
          <w:color w:val="010101"/>
          <w:spacing w:val="-17"/>
          <w:w w:val="115"/>
          <w:position w:val="-8"/>
          <w:sz w:val="19"/>
        </w:rPr>
        <w:t> </w:t>
      </w:r>
      <w:r>
        <w:rPr>
          <w:color w:val="010101"/>
          <w:w w:val="115"/>
          <w:position w:val="-7"/>
          <w:sz w:val="19"/>
        </w:rPr>
        <w:t>6</w:t>
      </w:r>
    </w:p>
    <w:p>
      <w:pPr>
        <w:spacing w:after="0" w:line="148" w:lineRule="exact"/>
        <w:jc w:val="left"/>
        <w:rPr>
          <w:sz w:val="19"/>
        </w:rPr>
        <w:sectPr>
          <w:type w:val="continuous"/>
          <w:pgSz w:w="7200" w:h="11340"/>
          <w:pgMar w:top="1100" w:bottom="0" w:left="680" w:right="560"/>
          <w:cols w:num="4" w:equalWidth="0">
            <w:col w:w="1873" w:space="40"/>
            <w:col w:w="768" w:space="40"/>
            <w:col w:w="864" w:space="40"/>
            <w:col w:w="2335"/>
          </w:cols>
        </w:sectPr>
      </w:pPr>
    </w:p>
    <w:p>
      <w:pPr>
        <w:tabs>
          <w:tab w:pos="1835" w:val="left" w:leader="none"/>
          <w:tab w:pos="4847" w:val="left" w:leader="none"/>
        </w:tabs>
        <w:spacing w:line="214" w:lineRule="exact" w:before="0"/>
        <w:ind w:left="1376" w:right="0" w:firstLine="0"/>
        <w:jc w:val="left"/>
        <w:rPr>
          <w:sz w:val="21"/>
        </w:rPr>
      </w:pPr>
      <w:r>
        <w:rPr>
          <w:color w:val="010101"/>
          <w:sz w:val="19"/>
        </w:rPr>
        <w:t>·</w:t>
        <w:tab/>
      </w:r>
      <w:r>
        <w:rPr>
          <w:b/>
          <w:color w:val="010101"/>
          <w:sz w:val="19"/>
        </w:rPr>
        <w:t>(1</w:t>
      </w:r>
      <w:r>
        <w:rPr>
          <w:b/>
          <w:color w:val="010101"/>
          <w:spacing w:val="32"/>
          <w:sz w:val="19"/>
        </w:rPr>
        <w:t> </w:t>
      </w:r>
      <w:r>
        <w:rPr>
          <w:color w:val="010101"/>
          <w:w w:val="275"/>
          <w:sz w:val="19"/>
        </w:rPr>
        <w:t>-</w:t>
      </w:r>
      <w:r>
        <w:rPr>
          <w:color w:val="010101"/>
          <w:spacing w:val="-96"/>
          <w:w w:val="275"/>
          <w:sz w:val="19"/>
        </w:rPr>
        <w:t> </w:t>
      </w:r>
      <w:r>
        <w:rPr>
          <w:b/>
          <w:i/>
          <w:color w:val="010101"/>
          <w:w w:val="90"/>
          <w:sz w:val="21"/>
        </w:rPr>
        <w:t>r)</w:t>
      </w:r>
      <w:r>
        <w:rPr>
          <w:b/>
          <w:i/>
          <w:color w:val="010101"/>
          <w:spacing w:val="-10"/>
          <w:w w:val="90"/>
          <w:sz w:val="21"/>
        </w:rPr>
        <w:t> </w:t>
      </w:r>
      <w:r>
        <w:rPr>
          <w:b/>
          <w:i/>
          <w:color w:val="010101"/>
          <w:sz w:val="21"/>
        </w:rPr>
        <w:t>Dz</w:t>
      </w:r>
      <w:r>
        <w:rPr>
          <w:b/>
          <w:i/>
          <w:color w:val="010101"/>
          <w:spacing w:val="43"/>
          <w:sz w:val="21"/>
        </w:rPr>
        <w:t> </w:t>
      </w:r>
      <w:r>
        <w:rPr>
          <w:color w:val="010101"/>
          <w:w w:val="275"/>
          <w:sz w:val="21"/>
        </w:rPr>
        <w:t>-</w:t>
      </w:r>
      <w:r>
        <w:rPr>
          <w:color w:val="010101"/>
          <w:spacing w:val="-69"/>
          <w:w w:val="275"/>
          <w:sz w:val="21"/>
        </w:rPr>
        <w:t> </w:t>
      </w:r>
      <w:r>
        <w:rPr>
          <w:b/>
          <w:i/>
          <w:color w:val="010101"/>
          <w:w w:val="90"/>
          <w:sz w:val="21"/>
        </w:rPr>
        <w:t>(</w:t>
      </w:r>
      <w:r>
        <w:rPr>
          <w:b/>
          <w:i/>
          <w:color w:val="010101"/>
          <w:spacing w:val="-32"/>
          <w:w w:val="90"/>
          <w:sz w:val="21"/>
        </w:rPr>
        <w:t> </w:t>
      </w:r>
      <w:r>
        <w:rPr>
          <w:b/>
          <w:i/>
          <w:color w:val="010101"/>
          <w:sz w:val="21"/>
        </w:rPr>
        <w:t>M</w:t>
      </w:r>
      <w:r>
        <w:rPr>
          <w:b/>
          <w:i/>
          <w:color w:val="010101"/>
          <w:spacing w:val="-20"/>
          <w:sz w:val="21"/>
        </w:rPr>
        <w:t> </w:t>
      </w:r>
      <w:r>
        <w:rPr>
          <w:b/>
          <w:i/>
          <w:color w:val="010101"/>
          <w:w w:val="90"/>
          <w:sz w:val="21"/>
        </w:rPr>
        <w:t>z</w:t>
      </w:r>
      <w:r>
        <w:rPr>
          <w:b/>
          <w:i/>
          <w:color w:val="010101"/>
          <w:spacing w:val="44"/>
          <w:w w:val="90"/>
          <w:sz w:val="21"/>
        </w:rPr>
        <w:t> </w:t>
      </w:r>
      <w:r>
        <w:rPr>
          <w:color w:val="010101"/>
          <w:w w:val="275"/>
          <w:sz w:val="21"/>
        </w:rPr>
        <w:t>-</w:t>
      </w:r>
      <w:r>
        <w:rPr>
          <w:color w:val="010101"/>
          <w:spacing w:val="-100"/>
          <w:w w:val="275"/>
          <w:sz w:val="21"/>
        </w:rPr>
        <w:t> </w:t>
      </w:r>
      <w:r>
        <w:rPr>
          <w:b/>
          <w:i/>
          <w:color w:val="010101"/>
          <w:w w:val="90"/>
          <w:sz w:val="21"/>
        </w:rPr>
        <w:t>M</w:t>
      </w:r>
      <w:r>
        <w:rPr>
          <w:b/>
          <w:i/>
          <w:color w:val="010101"/>
          <w:spacing w:val="41"/>
          <w:w w:val="90"/>
          <w:sz w:val="21"/>
        </w:rPr>
        <w:t> </w:t>
      </w:r>
      <w:r>
        <w:rPr>
          <w:b/>
          <w:i/>
          <w:color w:val="010101"/>
          <w:spacing w:val="2"/>
          <w:sz w:val="21"/>
        </w:rPr>
        <w:t>++</w:t>
      </w:r>
      <w:r>
        <w:rPr>
          <w:b/>
          <w:i/>
          <w:color w:val="010101"/>
          <w:spacing w:val="-36"/>
          <w:sz w:val="21"/>
        </w:rPr>
        <w:t> </w:t>
      </w:r>
      <w:r>
        <w:rPr>
          <w:b/>
          <w:i/>
          <w:color w:val="010101"/>
          <w:spacing w:val="5"/>
          <w:w w:val="90"/>
          <w:sz w:val="21"/>
        </w:rPr>
        <w:t>n)</w:t>
        <w:tab/>
      </w:r>
      <w:r>
        <w:rPr>
          <w:color w:val="010101"/>
          <w:w w:val="150"/>
          <w:sz w:val="21"/>
        </w:rPr>
        <w:t>'</w:t>
      </w:r>
    </w:p>
    <w:p>
      <w:pPr>
        <w:spacing w:before="82"/>
        <w:ind w:left="131" w:right="0" w:firstLine="0"/>
        <w:jc w:val="left"/>
        <w:rPr>
          <w:sz w:val="21"/>
        </w:rPr>
      </w:pPr>
      <w:r>
        <w:rPr>
          <w:color w:val="010101"/>
          <w:sz w:val="21"/>
        </w:rPr>
        <w:t>where </w:t>
      </w:r>
      <w:r>
        <w:rPr>
          <w:color w:val="010101"/>
          <w:w w:val="110"/>
          <w:sz w:val="13"/>
        </w:rPr>
        <w:t>N(ml  </w:t>
      </w:r>
      <w:r>
        <w:rPr>
          <w:color w:val="010101"/>
          <w:sz w:val="21"/>
        </w:rPr>
        <w:t>and </w:t>
      </w:r>
      <w:r>
        <w:rPr>
          <w:rFonts w:ascii="Arial"/>
          <w:i/>
          <w:color w:val="010101"/>
          <w:sz w:val="20"/>
        </w:rPr>
        <w:t>n&lt; </w:t>
      </w:r>
      <w:r>
        <w:rPr>
          <w:rFonts w:ascii="Arial"/>
          <w:i/>
          <w:color w:val="010101"/>
          <w:w w:val="85"/>
          <w:sz w:val="20"/>
        </w:rPr>
        <w:t>m&gt; </w:t>
      </w:r>
      <w:r>
        <w:rPr>
          <w:color w:val="010101"/>
          <w:sz w:val="21"/>
        </w:rPr>
        <w:t>are defined as above and</w:t>
      </w:r>
    </w:p>
    <w:p>
      <w:pPr>
        <w:pStyle w:val="BodyText"/>
        <w:rPr>
          <w:sz w:val="18"/>
        </w:rPr>
      </w:pPr>
    </w:p>
    <w:p>
      <w:pPr>
        <w:spacing w:before="0"/>
        <w:ind w:left="1836" w:right="0" w:firstLine="0"/>
        <w:jc w:val="left"/>
        <w:rPr>
          <w:rFonts w:ascii="Arial" w:hAnsi="Arial"/>
          <w:i/>
          <w:sz w:val="20"/>
        </w:rPr>
      </w:pPr>
      <w:r>
        <w:rPr/>
        <w:pict>
          <v:shape style="position:absolute;margin-left:135.4935pt;margin-top:3.437346pt;width:104.9pt;height:14pt;mso-position-horizontal-relative:page;mso-position-vertical-relative:paragraph;z-index:-723184" type="#_x0000_t202" filled="false" stroked="false">
            <v:textbox inset="0,0,0,0">
              <w:txbxContent>
                <w:p>
                  <w:pPr>
                    <w:tabs>
                      <w:tab w:pos="330" w:val="left" w:leader="none"/>
                      <w:tab w:pos="757" w:val="left" w:leader="none"/>
                      <w:tab w:pos="1152" w:val="left" w:leader="none"/>
                    </w:tabs>
                    <w:spacing w:line="280" w:lineRule="exact" w:before="0"/>
                    <w:ind w:left="0" w:right="0" w:firstLine="0"/>
                    <w:jc w:val="left"/>
                    <w:rPr>
                      <w:b/>
                      <w:i/>
                      <w:sz w:val="10"/>
                    </w:rPr>
                  </w:pPr>
                  <w:r>
                    <w:rPr>
                      <w:rFonts w:ascii="Arial" w:hAnsi="Arial"/>
                      <w:b/>
                      <w:color w:val="010101"/>
                      <w:w w:val="110"/>
                      <w:sz w:val="11"/>
                    </w:rPr>
                    <w:t>1'</w:t>
                    <w:tab/>
                  </w:r>
                  <w:r>
                    <w:rPr>
                      <w:rFonts w:ascii="Arial" w:hAnsi="Arial"/>
                      <w:color w:val="010101"/>
                      <w:w w:val="410"/>
                      <w:sz w:val="11"/>
                    </w:rPr>
                    <w:t>-</w:t>
                    <w:tab/>
                  </w:r>
                  <w:r>
                    <w:rPr>
                      <w:b/>
                      <w:color w:val="010101"/>
                      <w:w w:val="110"/>
                      <w:sz w:val="11"/>
                    </w:rPr>
                    <w:t>f/</w:t>
                    <w:tab/>
                  </w:r>
                  <w:r>
                    <w:rPr>
                      <w:color w:val="010101"/>
                      <w:w w:val="170"/>
                      <w:sz w:val="28"/>
                    </w:rPr>
                    <w:t>2m </w:t>
                  </w:r>
                  <w:r>
                    <w:rPr>
                      <w:b/>
                      <w:i/>
                      <w:color w:val="010101"/>
                      <w:w w:val="95"/>
                      <w:sz w:val="10"/>
                    </w:rPr>
                    <w:t>11  </w:t>
                  </w:r>
                  <w:r>
                    <w:rPr>
                      <w:b/>
                      <w:i/>
                      <w:color w:val="010101"/>
                      <w:spacing w:val="1"/>
                      <w:w w:val="95"/>
                      <w:sz w:val="10"/>
                    </w:rPr>
                    <w:t> </w:t>
                  </w:r>
                  <w:r>
                    <w:rPr>
                      <w:b/>
                      <w:i/>
                      <w:color w:val="010101"/>
                      <w:w w:val="200"/>
                      <w:sz w:val="10"/>
                    </w:rPr>
                    <w:t>·</w:t>
                  </w:r>
                </w:p>
              </w:txbxContent>
            </v:textbox>
            <w10:wrap type="none"/>
          </v:shape>
        </w:pict>
      </w:r>
      <w:r>
        <w:rPr>
          <w:color w:val="010101"/>
          <w:w w:val="102"/>
          <w:position w:val="-4"/>
          <w:sz w:val="20"/>
        </w:rPr>
        <w:t>M</w:t>
      </w:r>
      <w:r>
        <w:rPr>
          <w:color w:val="010101"/>
          <w:spacing w:val="-18"/>
          <w:position w:val="-4"/>
          <w:sz w:val="20"/>
        </w:rPr>
        <w:t> </w:t>
      </w:r>
      <w:r>
        <w:rPr>
          <w:rFonts w:ascii="Arial" w:hAnsi="Arial"/>
          <w:color w:val="010101"/>
          <w:w w:val="82"/>
          <w:sz w:val="21"/>
        </w:rPr>
        <w:t>&lt;</w:t>
      </w:r>
      <w:r>
        <w:rPr>
          <w:rFonts w:ascii="Arial" w:hAnsi="Arial"/>
          <w:color w:val="010101"/>
          <w:spacing w:val="-2"/>
          <w:w w:val="82"/>
          <w:sz w:val="21"/>
        </w:rPr>
        <w:t>•</w:t>
      </w:r>
      <w:r>
        <w:rPr>
          <w:rFonts w:ascii="Arial" w:hAnsi="Arial"/>
          <w:color w:val="010101"/>
          <w:w w:val="33"/>
          <w:sz w:val="21"/>
        </w:rPr>
        <w:t>&gt;</w:t>
      </w:r>
      <w:r>
        <w:rPr>
          <w:rFonts w:ascii="Arial" w:hAnsi="Arial"/>
          <w:color w:val="010101"/>
          <w:sz w:val="21"/>
        </w:rPr>
        <w:t> </w:t>
      </w:r>
      <w:r>
        <w:rPr>
          <w:rFonts w:ascii="Arial" w:hAnsi="Arial"/>
          <w:color w:val="010101"/>
          <w:spacing w:val="-12"/>
          <w:sz w:val="21"/>
        </w:rPr>
        <w:t> </w:t>
      </w:r>
      <w:r>
        <w:rPr>
          <w:rFonts w:ascii="Arial" w:hAnsi="Arial"/>
          <w:color w:val="010101"/>
          <w:w w:val="223"/>
          <w:sz w:val="21"/>
        </w:rPr>
        <w:t>-</w:t>
      </w:r>
      <w:r>
        <w:rPr>
          <w:rFonts w:ascii="Arial" w:hAnsi="Arial"/>
          <w:color w:val="010101"/>
          <w:spacing w:val="18"/>
          <w:sz w:val="21"/>
        </w:rPr>
        <w:t> </w:t>
      </w:r>
      <w:r>
        <w:rPr>
          <w:rFonts w:ascii="Arial" w:hAnsi="Arial"/>
          <w:b/>
          <w:i/>
          <w:color w:val="010101"/>
          <w:w w:val="115"/>
          <w:sz w:val="20"/>
        </w:rPr>
        <w:t>M</w:t>
      </w:r>
      <w:r>
        <w:rPr>
          <w:rFonts w:ascii="Arial" w:hAnsi="Arial"/>
          <w:b/>
          <w:i/>
          <w:color w:val="010101"/>
          <w:sz w:val="20"/>
        </w:rPr>
        <w:t>  </w:t>
      </w:r>
      <w:r>
        <w:rPr>
          <w:rFonts w:ascii="Arial" w:hAnsi="Arial"/>
          <w:b/>
          <w:i/>
          <w:color w:val="010101"/>
          <w:spacing w:val="-5"/>
          <w:sz w:val="20"/>
        </w:rPr>
        <w:t> </w:t>
      </w:r>
      <w:r>
        <w:rPr>
          <w:rFonts w:ascii="Arial" w:hAnsi="Arial"/>
          <w:color w:val="010101"/>
          <w:w w:val="261"/>
          <w:sz w:val="20"/>
        </w:rPr>
        <w:t>-</w:t>
      </w:r>
      <w:r>
        <w:rPr>
          <w:rFonts w:ascii="Arial" w:hAnsi="Arial"/>
          <w:color w:val="010101"/>
          <w:spacing w:val="-1"/>
          <w:sz w:val="20"/>
        </w:rPr>
        <w:t> </w:t>
      </w:r>
      <w:r>
        <w:rPr>
          <w:rFonts w:ascii="Arial" w:hAnsi="Arial"/>
          <w:i/>
          <w:color w:val="010101"/>
          <w:w w:val="107"/>
          <w:sz w:val="18"/>
        </w:rPr>
        <w:t>m</w:t>
      </w:r>
      <w:r>
        <w:rPr>
          <w:rFonts w:ascii="Arial" w:hAnsi="Arial"/>
          <w:i/>
          <w:color w:val="010101"/>
          <w:sz w:val="18"/>
        </w:rPr>
        <w:t> </w:t>
      </w:r>
      <w:r>
        <w:rPr>
          <w:rFonts w:ascii="Arial" w:hAnsi="Arial"/>
          <w:i/>
          <w:color w:val="010101"/>
          <w:spacing w:val="-15"/>
          <w:sz w:val="18"/>
        </w:rPr>
        <w:t> </w:t>
      </w:r>
      <w:r>
        <w:rPr>
          <w:rFonts w:ascii="Arial" w:hAnsi="Arial"/>
          <w:color w:val="010101"/>
          <w:w w:val="283"/>
          <w:sz w:val="18"/>
        </w:rPr>
        <w:t>-</w:t>
      </w:r>
      <w:r>
        <w:rPr>
          <w:rFonts w:ascii="Arial" w:hAnsi="Arial"/>
          <w:color w:val="010101"/>
          <w:sz w:val="18"/>
        </w:rPr>
        <w:t> </w:t>
      </w:r>
      <w:r>
        <w:rPr>
          <w:rFonts w:ascii="Arial" w:hAnsi="Arial"/>
          <w:color w:val="010101"/>
          <w:spacing w:val="-16"/>
          <w:sz w:val="18"/>
        </w:rPr>
        <w:t> </w:t>
      </w:r>
      <w:r>
        <w:rPr>
          <w:b/>
          <w:color w:val="010101"/>
          <w:w w:val="88"/>
          <w:sz w:val="20"/>
        </w:rPr>
        <w:t>1</w:t>
      </w:r>
      <w:r>
        <w:rPr>
          <w:b/>
          <w:color w:val="010101"/>
          <w:spacing w:val="5"/>
          <w:sz w:val="20"/>
        </w:rPr>
        <w:t> </w:t>
      </w:r>
      <w:r>
        <w:rPr>
          <w:rFonts w:ascii="Arial" w:hAnsi="Arial"/>
          <w:i/>
          <w:color w:val="010101"/>
          <w:w w:val="95"/>
          <w:sz w:val="20"/>
        </w:rPr>
        <w:t>C</w:t>
      </w:r>
    </w:p>
    <w:p>
      <w:pPr>
        <w:pStyle w:val="BodyText"/>
        <w:spacing w:before="3"/>
        <w:rPr>
          <w:rFonts w:ascii="Arial"/>
          <w:i/>
          <w:sz w:val="21"/>
        </w:rPr>
      </w:pPr>
    </w:p>
    <w:p>
      <w:pPr>
        <w:spacing w:line="238" w:lineRule="exact" w:before="0"/>
        <w:ind w:left="127" w:right="106" w:firstLine="197"/>
        <w:jc w:val="both"/>
        <w:rPr>
          <w:sz w:val="21"/>
        </w:rPr>
      </w:pPr>
      <w:r>
        <w:rPr>
          <w:color w:val="010101"/>
          <w:sz w:val="21"/>
        </w:rPr>
        <w:t>Although the formulas appear complicated, the work can be arranged in a systematic way so that  the  computation,  including the testing of trial values of </w:t>
      </w:r>
      <w:r>
        <w:rPr>
          <w:i/>
          <w:color w:val="010101"/>
          <w:sz w:val="21"/>
        </w:rPr>
        <w:t>n, </w:t>
      </w:r>
      <w:r>
        <w:rPr>
          <w:color w:val="010101"/>
          <w:sz w:val="21"/>
        </w:rPr>
        <w:t>is not unduly burdensome. With a digital computer, it is possible to produce complete tables of pre­ m.iwns by,age very quickly.</w:t>
      </w:r>
    </w:p>
    <w:p>
      <w:pPr>
        <w:pStyle w:val="ListParagraph"/>
        <w:numPr>
          <w:ilvl w:val="0"/>
          <w:numId w:val="69"/>
        </w:numPr>
        <w:tabs>
          <w:tab w:pos="369" w:val="left" w:leader="none"/>
        </w:tabs>
        <w:spacing w:line="240" w:lineRule="auto" w:before="174" w:after="0"/>
        <w:ind w:left="368" w:right="0" w:hanging="244"/>
        <w:jc w:val="left"/>
        <w:rPr>
          <w:b/>
          <w:color w:val="010101"/>
          <w:sz w:val="19"/>
        </w:rPr>
      </w:pPr>
      <w:r>
        <w:rPr>
          <w:b/>
          <w:color w:val="010101"/>
          <w:w w:val="120"/>
          <w:sz w:val="19"/>
        </w:rPr>
        <w:t>Annuities with a</w:t>
      </w:r>
      <w:r>
        <w:rPr>
          <w:b/>
          <w:color w:val="010101"/>
          <w:spacing w:val="32"/>
          <w:w w:val="120"/>
          <w:sz w:val="19"/>
        </w:rPr>
        <w:t> </w:t>
      </w:r>
      <w:r>
        <w:rPr>
          <w:b/>
          <w:color w:val="010101"/>
          <w:w w:val="120"/>
          <w:sz w:val="19"/>
        </w:rPr>
        <w:t>term•certain</w:t>
      </w:r>
    </w:p>
    <w:p>
      <w:pPr>
        <w:spacing w:line="238" w:lineRule="exact" w:before="81"/>
        <w:ind w:left="120" w:right="115" w:firstLine="201"/>
        <w:jc w:val="both"/>
        <w:rPr>
          <w:sz w:val="21"/>
        </w:rPr>
      </w:pPr>
      <w:r>
        <w:rPr>
          <w:color w:val="010101"/>
          <w:sz w:val="21"/>
        </w:rPr>
        <w:t>Another type of  refund  annuity  provides  for  the  continuation of  payments  after  the  death  of  the  annuitant  in  the  event   that</w:t>
      </w:r>
    </w:p>
    <w:p>
      <w:pPr>
        <w:spacing w:after="0" w:line="238" w:lineRule="exact"/>
        <w:jc w:val="both"/>
        <w:rPr>
          <w:sz w:val="21"/>
        </w:rPr>
        <w:sectPr>
          <w:type w:val="continuous"/>
          <w:pgSz w:w="7200" w:h="11340"/>
          <w:pgMar w:top="1100" w:bottom="0" w:left="680" w:right="560"/>
        </w:sectPr>
      </w:pPr>
    </w:p>
    <w:p>
      <w:pPr>
        <w:tabs>
          <w:tab w:pos="2344" w:val="left" w:leader="none"/>
          <w:tab w:pos="5368" w:val="left" w:leader="none"/>
        </w:tabs>
        <w:spacing w:before="63"/>
        <w:ind w:left="137" w:right="0" w:firstLine="21"/>
        <w:jc w:val="both"/>
        <w:rPr>
          <w:rFonts w:ascii="Arial"/>
          <w:b/>
          <w:sz w:val="20"/>
        </w:rPr>
      </w:pPr>
      <w:r>
        <w:rPr>
          <w:spacing w:val="-12"/>
          <w:sz w:val="19"/>
        </w:rPr>
        <w:t>156</w:t>
        <w:tab/>
      </w:r>
      <w:r>
        <w:rPr>
          <w:b/>
          <w:position w:val="1"/>
          <w:sz w:val="15"/>
        </w:rPr>
        <w:t>SPECIAL </w:t>
      </w:r>
      <w:r>
        <w:rPr>
          <w:b/>
          <w:spacing w:val="28"/>
          <w:position w:val="1"/>
          <w:sz w:val="15"/>
        </w:rPr>
        <w:t> </w:t>
      </w:r>
      <w:r>
        <w:rPr>
          <w:b/>
          <w:position w:val="1"/>
          <w:sz w:val="15"/>
        </w:rPr>
        <w:t>TOPICS</w:t>
        <w:tab/>
      </w:r>
      <w:r>
        <w:rPr>
          <w:b/>
          <w:sz w:val="17"/>
        </w:rPr>
        <w:t>[CH.</w:t>
      </w:r>
      <w:r>
        <w:rPr>
          <w:b/>
          <w:spacing w:val="9"/>
          <w:sz w:val="17"/>
        </w:rPr>
        <w:t> </w:t>
      </w:r>
      <w:r>
        <w:rPr>
          <w:rFonts w:ascii="Arial"/>
          <w:b/>
          <w:sz w:val="20"/>
        </w:rPr>
        <w:t>7</w:t>
      </w:r>
    </w:p>
    <w:p>
      <w:pPr>
        <w:pStyle w:val="BodyText"/>
        <w:spacing w:before="1"/>
        <w:rPr>
          <w:rFonts w:ascii="Arial"/>
          <w:b/>
        </w:rPr>
      </w:pPr>
    </w:p>
    <w:p>
      <w:pPr>
        <w:pStyle w:val="BodyText"/>
        <w:spacing w:line="249" w:lineRule="auto"/>
        <w:ind w:left="137" w:right="106"/>
        <w:jc w:val="both"/>
      </w:pPr>
      <w:r>
        <w:rPr>
          <w:w w:val="105"/>
        </w:rPr>
        <w:t>the annuitant has failed to receive a given minimum number of payments. This mínimum may </w:t>
      </w:r>
      <w:r>
        <w:rPr>
          <w:rFonts w:ascii="Arial" w:hAnsi="Arial"/>
          <w:w w:val="105"/>
          <w:sz w:val="18"/>
        </w:rPr>
        <w:t>be </w:t>
      </w:r>
      <w:r>
        <w:rPr>
          <w:w w:val="105"/>
        </w:rPr>
        <w:t>either </w:t>
      </w:r>
      <w:r>
        <w:rPr>
          <w:rFonts w:ascii="Arial" w:hAnsi="Arial"/>
          <w:w w:val="105"/>
          <w:sz w:val="17"/>
        </w:rPr>
        <w:t>a </w:t>
      </w:r>
      <w:r>
        <w:rPr>
          <w:w w:val="105"/>
        </w:rPr>
        <w:t>specified number  of years, such as </w:t>
      </w:r>
      <w:r>
        <w:rPr>
          <w:w w:val="105"/>
          <w:sz w:val="19"/>
        </w:rPr>
        <w:t>5, 10, </w:t>
      </w:r>
      <w:r>
        <w:rPr>
          <w:w w:val="105"/>
        </w:rPr>
        <w:t>or </w:t>
      </w:r>
      <w:r>
        <w:rPr>
          <w:w w:val="105"/>
          <w:sz w:val="19"/>
        </w:rPr>
        <w:t>20, </w:t>
      </w:r>
      <w:r>
        <w:rPr>
          <w:w w:val="105"/>
        </w:rPr>
        <w:t>or the number of years required </w:t>
      </w:r>
      <w:r>
        <w:rPr>
          <w:w w:val="105"/>
          <w:sz w:val="19"/>
        </w:rPr>
        <w:t>for </w:t>
      </w:r>
      <w:r>
        <w:rPr>
          <w:w w:val="105"/>
        </w:rPr>
        <w:t>the total  payments  to equal the amount  of  premium.</w:t>
      </w:r>
    </w:p>
    <w:p>
      <w:pPr>
        <w:pStyle w:val="BodyText"/>
        <w:spacing w:line="233" w:lineRule="exact"/>
        <w:ind w:left="148" w:firstLine="198"/>
      </w:pPr>
      <w:r>
        <w:rPr>
          <w:w w:val="105"/>
          <w:sz w:val="22"/>
        </w:rPr>
        <w:t>In  </w:t>
      </w:r>
      <w:r>
        <w:rPr>
          <w:w w:val="105"/>
        </w:rPr>
        <w:t>the  first  case,  in  which  the  mínimum  number  of   annuity</w:t>
      </w:r>
    </w:p>
    <w:p>
      <w:pPr>
        <w:pStyle w:val="BodyText"/>
        <w:spacing w:line="249" w:lineRule="auto" w:before="6"/>
        <w:ind w:left="144" w:right="107" w:firstLine="3"/>
        <w:jc w:val="both"/>
      </w:pPr>
      <w:r>
        <w:rPr>
          <w:w w:val="105"/>
        </w:rPr>
        <w:t>payments </w:t>
      </w:r>
      <w:r>
        <w:rPr>
          <w:rFonts w:ascii="Arial"/>
          <w:w w:val="105"/>
        </w:rPr>
        <w:t>is </w:t>
      </w:r>
      <w:r>
        <w:rPr>
          <w:w w:val="105"/>
        </w:rPr>
        <w:t>independent of the gross premium, the benefit may be expressed </w:t>
      </w:r>
      <w:r>
        <w:rPr>
          <w:rFonts w:ascii="Arial"/>
          <w:w w:val="105"/>
          <w:sz w:val="17"/>
        </w:rPr>
        <w:t>as </w:t>
      </w:r>
      <w:r>
        <w:rPr>
          <w:w w:val="105"/>
        </w:rPr>
        <w:t>a combination of an  annuity-certain  and  a deferred </w:t>
      </w:r>
      <w:r>
        <w:rPr>
          <w:w w:val="105"/>
          <w:sz w:val="19"/>
        </w:rPr>
        <w:t>lifc </w:t>
      </w:r>
      <w:r>
        <w:rPr>
          <w:w w:val="105"/>
        </w:rPr>
        <w:t>annuity. Thus, the gross single premium,  loaded  </w:t>
      </w:r>
      <w:r>
        <w:rPr>
          <w:i/>
          <w:w w:val="105"/>
        </w:rPr>
        <w:t>r  </w:t>
      </w:r>
      <w:r>
        <w:rPr>
          <w:w w:val="105"/>
        </w:rPr>
        <w:t>per  unit,  for an immediate life ammity of </w:t>
      </w:r>
      <w:r>
        <w:rPr>
          <w:spacing w:val="2"/>
          <w:w w:val="105"/>
        </w:rPr>
        <w:t>1payable </w:t>
      </w:r>
      <w:r>
        <w:rPr>
          <w:rFonts w:ascii="Arial"/>
          <w:i/>
          <w:w w:val="105"/>
          <w:sz w:val="18"/>
        </w:rPr>
        <w:t>m </w:t>
      </w:r>
      <w:r>
        <w:rPr>
          <w:w w:val="105"/>
        </w:rPr>
        <w:t>times a year issued to </w:t>
      </w:r>
      <w:r>
        <w:rPr>
          <w:rFonts w:ascii="Arial"/>
          <w:i/>
          <w:spacing w:val="7"/>
          <w:w w:val="105"/>
          <w:sz w:val="18"/>
        </w:rPr>
        <w:t>(x) </w:t>
      </w:r>
      <w:r>
        <w:rPr>
          <w:w w:val="105"/>
        </w:rPr>
        <w:t>with payments guaranteed  </w:t>
      </w:r>
      <w:r>
        <w:rPr>
          <w:w w:val="105"/>
          <w:sz w:val="19"/>
        </w:rPr>
        <w:t>for  </w:t>
      </w:r>
      <w:r>
        <w:rPr>
          <w:rFonts w:ascii="Arial"/>
          <w:i/>
          <w:w w:val="105"/>
          <w:sz w:val="18"/>
        </w:rPr>
        <w:t>n </w:t>
      </w:r>
      <w:r>
        <w:rPr>
          <w:w w:val="105"/>
        </w:rPr>
        <w:t>years may  be obtained  from the</w:t>
      </w:r>
      <w:r>
        <w:rPr>
          <w:spacing w:val="28"/>
          <w:w w:val="105"/>
        </w:rPr>
        <w:t> </w:t>
      </w:r>
      <w:r>
        <w:rPr>
          <w:w w:val="105"/>
        </w:rPr>
        <w:t>formula,</w:t>
      </w:r>
    </w:p>
    <w:p>
      <w:pPr>
        <w:pStyle w:val="BodyText"/>
        <w:spacing w:before="106"/>
        <w:ind w:left="1836"/>
      </w:pPr>
      <w:r>
        <w:rPr>
          <w:position w:val="-4"/>
        </w:rPr>
        <w:drawing>
          <wp:inline distT="0" distB="0" distL="0" distR="0">
            <wp:extent cx="1490471" cy="164591"/>
            <wp:effectExtent l="0" t="0" r="0" b="0"/>
            <wp:docPr id="315" name="image163.png" descr=""/>
            <wp:cNvGraphicFramePr>
              <a:graphicFrameLocks noChangeAspect="1"/>
            </wp:cNvGraphicFramePr>
            <a:graphic>
              <a:graphicData uri="http://schemas.openxmlformats.org/drawingml/2006/picture">
                <pic:pic>
                  <pic:nvPicPr>
                    <pic:cNvPr id="316" name="image163.png"/>
                    <pic:cNvPicPr/>
                  </pic:nvPicPr>
                  <pic:blipFill>
                    <a:blip r:embed="rId167" cstate="print"/>
                    <a:stretch>
                      <a:fillRect/>
                    </a:stretch>
                  </pic:blipFill>
                  <pic:spPr>
                    <a:xfrm>
                      <a:off x="0" y="0"/>
                      <a:ext cx="1490471" cy="164591"/>
                    </a:xfrm>
                    <a:prstGeom prst="rect">
                      <a:avLst/>
                    </a:prstGeom>
                  </pic:spPr>
                </pic:pic>
              </a:graphicData>
            </a:graphic>
          </wp:inline>
        </w:drawing>
      </w:r>
      <w:r>
        <w:rPr>
          <w:position w:val="-4"/>
        </w:rPr>
      </w:r>
      <w:r>
        <w:rPr/>
        <w:t>                         (7.7</w:t>
      </w:r>
      <w:r>
        <w:rPr>
          <w:spacing w:val="-34"/>
        </w:rPr>
        <w:t> </w:t>
      </w:r>
      <w:r>
        <w:rPr/>
        <w:t>)</w:t>
      </w:r>
    </w:p>
    <w:p>
      <w:pPr>
        <w:pStyle w:val="BodyText"/>
        <w:spacing w:line="242" w:lineRule="auto" w:before="123"/>
        <w:ind w:left="137" w:right="118" w:firstLine="7"/>
        <w:jc w:val="both"/>
      </w:pPr>
      <w:r>
        <w:rPr>
          <w:w w:val="105"/>
        </w:rPr>
        <w:t>In thc second ca.se, in which the annuity payments are continued until  a sum equal  to the gross premium  </w:t>
      </w:r>
      <w:r>
        <w:rPr>
          <w:rFonts w:ascii="Arial"/>
          <w:i/>
          <w:w w:val="105"/>
          <w:sz w:val="19"/>
        </w:rPr>
        <w:t>G </w:t>
      </w:r>
      <w:r>
        <w:rPr>
          <w:w w:val="105"/>
        </w:rPr>
        <w:t>is retumed,  the length  of the certain period </w:t>
      </w:r>
      <w:r>
        <w:rPr>
          <w:i/>
          <w:w w:val="105"/>
          <w:sz w:val="22"/>
        </w:rPr>
        <w:t>n </w:t>
      </w:r>
      <w:r>
        <w:rPr>
          <w:w w:val="105"/>
        </w:rPr>
        <w:t>depends upon the mugnitude of </w:t>
      </w:r>
      <w:r>
        <w:rPr>
          <w:rFonts w:ascii="Arial"/>
          <w:i/>
          <w:w w:val="105"/>
          <w:sz w:val="19"/>
        </w:rPr>
        <w:t>G. </w:t>
      </w:r>
      <w:r>
        <w:rPr>
          <w:w w:val="105"/>
          <w:sz w:val="21"/>
        </w:rPr>
        <w:t>If </w:t>
      </w:r>
      <w:r>
        <w:rPr>
          <w:w w:val="105"/>
        </w:rPr>
        <w:t>the gross premium  </w:t>
      </w:r>
      <w:r>
        <w:rPr>
          <w:rFonts w:ascii="Arial"/>
          <w:i/>
          <w:w w:val="105"/>
          <w:sz w:val="19"/>
        </w:rPr>
        <w:t>G </w:t>
      </w:r>
      <w:r>
        <w:rPr>
          <w:w w:val="105"/>
        </w:rPr>
        <w:t>is an exact multiple of  the nnnuity  payment, </w:t>
      </w:r>
      <w:r>
        <w:rPr>
          <w:spacing w:val="12"/>
          <w:w w:val="105"/>
        </w:rPr>
        <w:t> </w:t>
      </w:r>
      <w:r>
        <w:rPr>
          <w:w w:val="105"/>
        </w:rPr>
        <w:t>we</w:t>
      </w:r>
    </w:p>
    <w:p>
      <w:pPr>
        <w:pStyle w:val="BodyText"/>
        <w:spacing w:line="256" w:lineRule="exact"/>
        <w:ind w:left="144"/>
        <w:jc w:val="both"/>
      </w:pPr>
      <w:r>
        <w:rPr>
          <w:w w:val="105"/>
        </w:rPr>
        <w:t>can let </w:t>
      </w:r>
      <w:r>
        <w:rPr>
          <w:i/>
          <w:w w:val="105"/>
          <w:sz w:val="21"/>
        </w:rPr>
        <w:t>n </w:t>
      </w:r>
      <w:r>
        <w:rPr>
          <w:w w:val="105"/>
          <w:sz w:val="26"/>
        </w:rPr>
        <w:t>= </w:t>
      </w:r>
      <w:r>
        <w:rPr>
          <w:rFonts w:ascii="Arial"/>
          <w:i/>
          <w:w w:val="105"/>
          <w:sz w:val="19"/>
        </w:rPr>
        <w:t>G </w:t>
      </w:r>
      <w:r>
        <w:rPr>
          <w:w w:val="105"/>
        </w:rPr>
        <w:t>in  (7.7 )  and write</w:t>
      </w:r>
    </w:p>
    <w:p>
      <w:pPr>
        <w:spacing w:after="0" w:line="256" w:lineRule="exact"/>
        <w:jc w:val="both"/>
        <w:sectPr>
          <w:pgSz w:w="7200" w:h="11340"/>
          <w:pgMar w:top="480" w:bottom="280" w:left="640" w:right="560"/>
        </w:sectPr>
      </w:pPr>
    </w:p>
    <w:p>
      <w:pPr>
        <w:pStyle w:val="BodyText"/>
        <w:spacing w:before="117"/>
        <w:jc w:val="right"/>
      </w:pPr>
      <w:r>
        <w:rPr>
          <w:w w:val="110"/>
        </w:rPr>
        <w:t>G (l</w:t>
      </w:r>
    </w:p>
    <w:p>
      <w:pPr>
        <w:spacing w:before="113"/>
        <w:ind w:left="66" w:right="-18" w:firstLine="0"/>
        <w:jc w:val="left"/>
        <w:rPr>
          <w:sz w:val="20"/>
        </w:rPr>
      </w:pPr>
      <w:r>
        <w:rPr/>
        <w:br w:type="column"/>
      </w:r>
      <w:r>
        <w:rPr>
          <w:w w:val="235"/>
          <w:sz w:val="21"/>
        </w:rPr>
        <w:t>-</w:t>
      </w:r>
      <w:r>
        <w:rPr>
          <w:spacing w:val="-104"/>
          <w:w w:val="235"/>
          <w:sz w:val="21"/>
        </w:rPr>
        <w:t> </w:t>
      </w:r>
      <w:r>
        <w:rPr>
          <w:i/>
          <w:w w:val="105"/>
          <w:sz w:val="21"/>
        </w:rPr>
        <w:t>r </w:t>
      </w:r>
      <w:r>
        <w:rPr>
          <w:w w:val="105"/>
          <w:position w:val="4"/>
          <w:sz w:val="20"/>
        </w:rPr>
        <w:t>)</w:t>
      </w:r>
    </w:p>
    <w:p>
      <w:pPr>
        <w:tabs>
          <w:tab w:pos="1216" w:val="left" w:leader="none"/>
        </w:tabs>
        <w:spacing w:line="393" w:lineRule="exact" w:before="0"/>
        <w:ind w:left="68" w:right="0" w:firstLine="0"/>
        <w:jc w:val="left"/>
        <w:rPr>
          <w:rFonts w:ascii="Arial" w:hAnsi="Arial"/>
          <w:sz w:val="14"/>
        </w:rPr>
      </w:pPr>
      <w:r>
        <w:rPr/>
        <w:br w:type="column"/>
      </w:r>
      <w:r>
        <w:rPr>
          <w:w w:val="89"/>
          <w:position w:val="-7"/>
          <w:sz w:val="26"/>
        </w:rPr>
        <w:t>=</w:t>
      </w:r>
      <w:r>
        <w:rPr>
          <w:position w:val="-7"/>
          <w:sz w:val="26"/>
        </w:rPr>
        <w:t> </w:t>
      </w:r>
      <w:r>
        <w:rPr>
          <w:spacing w:val="-28"/>
          <w:position w:val="-7"/>
          <w:sz w:val="26"/>
        </w:rPr>
        <w:t> </w:t>
      </w:r>
      <w:r>
        <w:rPr>
          <w:rFonts w:ascii="Arial" w:hAnsi="Arial"/>
          <w:i/>
          <w:w w:val="103"/>
          <w:position w:val="-7"/>
          <w:sz w:val="16"/>
        </w:rPr>
        <w:t>ª</w:t>
      </w:r>
      <w:r>
        <w:rPr>
          <w:rFonts w:ascii="Arial" w:hAnsi="Arial"/>
          <w:i/>
          <w:spacing w:val="-36"/>
          <w:w w:val="103"/>
          <w:position w:val="-7"/>
          <w:sz w:val="16"/>
        </w:rPr>
        <w:t>o</w:t>
      </w:r>
      <w:r>
        <w:rPr>
          <w:rFonts w:ascii="Arial" w:hAnsi="Arial"/>
          <w:b/>
          <w:spacing w:val="-9"/>
          <w:w w:val="131"/>
          <w:sz w:val="10"/>
        </w:rPr>
        <w:t>(</w:t>
      </w:r>
      <w:r>
        <w:rPr>
          <w:rFonts w:ascii="Arial" w:hAnsi="Arial"/>
          <w:i/>
          <w:spacing w:val="-75"/>
          <w:w w:val="104"/>
          <w:position w:val="-7"/>
          <w:sz w:val="16"/>
        </w:rPr>
        <w:t>J</w:t>
      </w:r>
      <w:r>
        <w:rPr>
          <w:rFonts w:ascii="Arial" w:hAnsi="Arial"/>
          <w:b/>
          <w:w w:val="131"/>
          <w:sz w:val="10"/>
        </w:rPr>
        <w:t>m</w:t>
      </w:r>
      <w:r>
        <w:rPr>
          <w:rFonts w:ascii="Arial" w:hAnsi="Arial"/>
          <w:b/>
          <w:w w:val="131"/>
          <w:sz w:val="10"/>
        </w:rPr>
        <w:t>)</w:t>
      </w:r>
      <w:r>
        <w:rPr>
          <w:rFonts w:ascii="Arial" w:hAnsi="Arial"/>
          <w:b/>
          <w:sz w:val="10"/>
        </w:rPr>
        <w:t>  </w:t>
      </w:r>
      <w:r>
        <w:rPr>
          <w:rFonts w:ascii="Arial" w:hAnsi="Arial"/>
          <w:b/>
          <w:spacing w:val="6"/>
          <w:sz w:val="10"/>
        </w:rPr>
        <w:t> </w:t>
      </w:r>
      <w:r>
        <w:rPr>
          <w:rFonts w:ascii="Arial" w:hAnsi="Arial"/>
          <w:w w:val="103"/>
          <w:sz w:val="31"/>
        </w:rPr>
        <w:t>+</w:t>
      </w:r>
      <w:r>
        <w:rPr>
          <w:rFonts w:ascii="Arial" w:hAnsi="Arial"/>
          <w:sz w:val="31"/>
        </w:rPr>
        <w:tab/>
      </w:r>
      <w:r>
        <w:rPr>
          <w:rFonts w:ascii="Arial" w:hAnsi="Arial"/>
          <w:b/>
          <w:w w:val="181"/>
          <w:sz w:val="10"/>
        </w:rPr>
        <w:t>(</w:t>
      </w:r>
      <w:r>
        <w:rPr>
          <w:rFonts w:ascii="Arial" w:hAnsi="Arial"/>
          <w:b/>
          <w:w w:val="181"/>
          <w:sz w:val="10"/>
        </w:rPr>
        <w:t>a</w:t>
      </w:r>
      <w:r>
        <w:rPr>
          <w:rFonts w:ascii="Arial" w:hAnsi="Arial"/>
          <w:b/>
          <w:spacing w:val="8"/>
          <w:w w:val="181"/>
          <w:sz w:val="10"/>
        </w:rPr>
        <w:t>)</w:t>
      </w:r>
      <w:r>
        <w:rPr>
          <w:rFonts w:ascii="Arial" w:hAnsi="Arial"/>
          <w:w w:val="203"/>
          <w:position w:val="-7"/>
          <w:sz w:val="14"/>
        </w:rPr>
        <w:t>·</w:t>
      </w:r>
    </w:p>
    <w:p>
      <w:pPr>
        <w:spacing w:before="78"/>
        <w:ind w:left="0" w:right="130" w:firstLine="0"/>
        <w:jc w:val="right"/>
        <w:rPr>
          <w:rFonts w:ascii="Arial"/>
          <w:b/>
          <w:sz w:val="19"/>
        </w:rPr>
      </w:pPr>
      <w:r>
        <w:rPr/>
        <w:br w:type="column"/>
      </w:r>
      <w:r>
        <w:rPr>
          <w:rFonts w:ascii="Arial"/>
          <w:b/>
          <w:sz w:val="19"/>
        </w:rPr>
        <w:t>(7.8)</w:t>
      </w:r>
    </w:p>
    <w:p>
      <w:pPr>
        <w:spacing w:after="0"/>
        <w:jc w:val="right"/>
        <w:rPr>
          <w:rFonts w:ascii="Arial"/>
          <w:sz w:val="19"/>
        </w:rPr>
        <w:sectPr>
          <w:type w:val="continuous"/>
          <w:pgSz w:w="7200" w:h="11340"/>
          <w:pgMar w:top="1100" w:bottom="0" w:left="640" w:right="560"/>
          <w:cols w:num="4" w:equalWidth="0">
            <w:col w:w="2155" w:space="40"/>
            <w:col w:w="463" w:space="40"/>
            <w:col w:w="1543" w:space="40"/>
            <w:col w:w="1719"/>
          </w:cols>
        </w:sectPr>
      </w:pPr>
    </w:p>
    <w:p>
      <w:pPr>
        <w:pStyle w:val="BodyText"/>
        <w:spacing w:line="249" w:lineRule="auto" w:before="77"/>
        <w:ind w:left="134" w:right="115"/>
        <w:jc w:val="both"/>
      </w:pPr>
      <w:r>
        <w:rPr/>
        <w:pict>
          <v:shape style="position:absolute;margin-left:215.279999pt;margin-top:-8.353316pt;width:15.5pt;height:7pt;mso-position-horizontal-relative:page;mso-position-vertical-relative:paragraph;z-index:-723136" type="#_x0000_t202" filled="false" stroked="false">
            <v:textbox inset="0,0,0,0">
              <w:txbxContent>
                <w:p>
                  <w:pPr>
                    <w:spacing w:line="140" w:lineRule="exact" w:before="0"/>
                    <w:ind w:left="0" w:right="-11" w:firstLine="0"/>
                    <w:jc w:val="left"/>
                    <w:rPr>
                      <w:rFonts w:ascii="Arial" w:hAnsi="Arial"/>
                      <w:i/>
                      <w:sz w:val="14"/>
                    </w:rPr>
                  </w:pPr>
                  <w:r>
                    <w:rPr>
                      <w:rFonts w:ascii="Arial" w:hAnsi="Arial"/>
                      <w:i/>
                      <w:w w:val="145"/>
                      <w:sz w:val="14"/>
                    </w:rPr>
                    <w:t>01ª</w:t>
                  </w:r>
                </w:p>
              </w:txbxContent>
            </v:textbox>
            <w10:wrap type="none"/>
          </v:shape>
        </w:pict>
      </w:r>
      <w:r>
        <w:rPr/>
        <w:pict>
          <v:shape style="position:absolute;margin-left:141.119995pt;margin-top:58.572697pt;width:15.55pt;height:27pt;mso-position-horizontal-relative:page;mso-position-vertical-relative:paragraph;z-index:-723112" type="#_x0000_t202" filled="false" stroked="false">
            <v:textbox inset="0,0,0,0">
              <w:txbxContent>
                <w:p>
                  <w:pPr>
                    <w:spacing w:line="540" w:lineRule="exact" w:before="0"/>
                    <w:ind w:left="0" w:right="-14" w:firstLine="0"/>
                    <w:jc w:val="left"/>
                    <w:rPr>
                      <w:i/>
                      <w:sz w:val="54"/>
                    </w:rPr>
                  </w:pPr>
                  <w:r>
                    <w:rPr>
                      <w:i/>
                      <w:spacing w:val="-16"/>
                      <w:w w:val="70"/>
                      <w:sz w:val="54"/>
                    </w:rPr>
                    <w:t>ar</w:t>
                  </w:r>
                </w:p>
              </w:txbxContent>
            </v:textbox>
            <w10:wrap type="none"/>
          </v:shape>
        </w:pict>
      </w:r>
      <w:r>
        <w:rPr>
          <w:w w:val="105"/>
        </w:rPr>
        <w:t>Since the gross premium </w:t>
      </w:r>
      <w:r>
        <w:rPr>
          <w:rFonts w:ascii="Arial" w:hAnsi="Arial"/>
          <w:i/>
          <w:w w:val="105"/>
          <w:sz w:val="21"/>
        </w:rPr>
        <w:t>G </w:t>
      </w:r>
      <w:r>
        <w:rPr>
          <w:w w:val="105"/>
        </w:rPr>
        <w:t>is nom1ally not an exact multiple of the annuity payment, the annuity  functions  in  (7.8)  will  </w:t>
      </w:r>
      <w:r>
        <w:rPr>
          <w:w w:val="105"/>
          <w:sz w:val="19"/>
        </w:rPr>
        <w:t>in  </w:t>
      </w:r>
      <w:r>
        <w:rPr>
          <w:w w:val="105"/>
        </w:rPr>
        <w:t>general not be defined. As a result, formula (7.8) cannot be directly ap­ plie&lt;l, and it is customary to find </w:t>
      </w:r>
      <w:r>
        <w:rPr>
          <w:rFonts w:ascii="Arial" w:hAnsi="Arial"/>
          <w:i/>
          <w:w w:val="105"/>
          <w:sz w:val="19"/>
        </w:rPr>
        <w:t>G </w:t>
      </w:r>
      <w:r>
        <w:rPr>
          <w:w w:val="105"/>
        </w:rPr>
        <w:t>by means of an interpolation device. </w:t>
      </w:r>
      <w:r>
        <w:rPr>
          <w:w w:val="105"/>
          <w:sz w:val="21"/>
        </w:rPr>
        <w:t>If </w:t>
      </w:r>
      <w:r>
        <w:rPr>
          <w:w w:val="105"/>
        </w:rPr>
        <w:t>we write</w:t>
      </w:r>
    </w:p>
    <w:p>
      <w:pPr>
        <w:tabs>
          <w:tab w:pos="2599" w:val="left" w:leader="none"/>
          <w:tab w:pos="5461" w:val="left" w:leader="none"/>
        </w:tabs>
        <w:spacing w:before="18"/>
        <w:ind w:left="1433" w:right="0" w:firstLine="0"/>
        <w:jc w:val="left"/>
        <w:rPr>
          <w:sz w:val="20"/>
        </w:rPr>
      </w:pPr>
      <w:r>
        <w:rPr>
          <w:i/>
          <w:sz w:val="20"/>
        </w:rPr>
        <w:t>f</w:t>
      </w:r>
      <w:r>
        <w:rPr>
          <w:i/>
          <w:spacing w:val="27"/>
          <w:sz w:val="20"/>
        </w:rPr>
        <w:t> </w:t>
      </w:r>
      <w:r>
        <w:rPr>
          <w:i/>
          <w:spacing w:val="4"/>
          <w:sz w:val="20"/>
        </w:rPr>
        <w:t>(G) </w:t>
      </w:r>
      <w:r>
        <w:rPr>
          <w:i/>
          <w:spacing w:val="7"/>
          <w:sz w:val="20"/>
        </w:rPr>
        <w:t> </w:t>
      </w:r>
      <w:r>
        <w:rPr>
          <w:sz w:val="23"/>
        </w:rPr>
        <w:t>=</w:t>
        <w:tab/>
      </w:r>
      <w:r>
        <w:rPr>
          <w:rFonts w:ascii="Arial" w:hAnsi="Arial"/>
          <w:sz w:val="31"/>
        </w:rPr>
        <w:t>+</w:t>
      </w:r>
      <w:r>
        <w:rPr>
          <w:rFonts w:ascii="Arial" w:hAnsi="Arial"/>
          <w:spacing w:val="-31"/>
          <w:sz w:val="31"/>
        </w:rPr>
        <w:t> </w:t>
      </w:r>
      <w:r>
        <w:rPr>
          <w:i/>
          <w:sz w:val="20"/>
        </w:rPr>
        <w:t>o¡</w:t>
      </w:r>
      <w:r>
        <w:rPr>
          <w:i/>
          <w:spacing w:val="-39"/>
          <w:sz w:val="20"/>
        </w:rPr>
        <w:t> </w:t>
      </w:r>
      <w:r>
        <w:rPr>
          <w:i/>
          <w:spacing w:val="-3"/>
          <w:sz w:val="20"/>
        </w:rPr>
        <w:t>a;"'&gt;</w:t>
      </w:r>
      <w:r>
        <w:rPr>
          <w:i/>
          <w:spacing w:val="16"/>
          <w:sz w:val="20"/>
        </w:rPr>
        <w:t> </w:t>
      </w:r>
      <w:r>
        <w:rPr>
          <w:w w:val="255"/>
          <w:sz w:val="20"/>
        </w:rPr>
        <w:t>-</w:t>
      </w:r>
      <w:r>
        <w:rPr>
          <w:spacing w:val="-88"/>
          <w:w w:val="255"/>
          <w:sz w:val="20"/>
        </w:rPr>
        <w:t> </w:t>
      </w:r>
      <w:r>
        <w:rPr>
          <w:sz w:val="20"/>
        </w:rPr>
        <w:t>G</w:t>
      </w:r>
      <w:r>
        <w:rPr>
          <w:spacing w:val="-24"/>
          <w:sz w:val="20"/>
        </w:rPr>
        <w:t> </w:t>
      </w:r>
      <w:r>
        <w:rPr>
          <w:w w:val="120"/>
          <w:sz w:val="20"/>
        </w:rPr>
        <w:t>(l</w:t>
      </w:r>
      <w:r>
        <w:rPr>
          <w:spacing w:val="27"/>
          <w:w w:val="120"/>
          <w:sz w:val="20"/>
        </w:rPr>
        <w:t> </w:t>
      </w:r>
      <w:r>
        <w:rPr>
          <w:w w:val="255"/>
          <w:sz w:val="20"/>
        </w:rPr>
        <w:t>-</w:t>
      </w:r>
      <w:r>
        <w:rPr>
          <w:spacing w:val="-83"/>
          <w:w w:val="255"/>
          <w:sz w:val="20"/>
        </w:rPr>
        <w:t> </w:t>
      </w:r>
      <w:r>
        <w:rPr>
          <w:i/>
          <w:sz w:val="20"/>
        </w:rPr>
        <w:t>r</w:t>
      </w:r>
      <w:r>
        <w:rPr>
          <w:i/>
          <w:spacing w:val="-24"/>
          <w:sz w:val="20"/>
        </w:rPr>
        <w:t> </w:t>
      </w:r>
      <w:r>
        <w:rPr>
          <w:i/>
          <w:sz w:val="20"/>
        </w:rPr>
        <w:t>),</w:t>
        <w:tab/>
      </w:r>
      <w:r>
        <w:rPr>
          <w:sz w:val="20"/>
        </w:rPr>
        <w:t>(7.9)</w:t>
      </w:r>
    </w:p>
    <w:p>
      <w:pPr>
        <w:spacing w:line="180" w:lineRule="auto" w:before="124"/>
        <w:ind w:left="101" w:right="128" w:firstLine="32"/>
        <w:jc w:val="both"/>
        <w:rPr>
          <w:sz w:val="20"/>
        </w:rPr>
      </w:pPr>
      <w:r>
        <w:rPr>
          <w:sz w:val="20"/>
        </w:rPr>
        <w:t>then the value of G is required  for which </w:t>
      </w:r>
      <w:r>
        <w:rPr>
          <w:rFonts w:ascii="Arial" w:hAnsi="Arial"/>
          <w:i/>
          <w:sz w:val="19"/>
        </w:rPr>
        <w:t>J(G)  </w:t>
      </w:r>
      <w:r>
        <w:rPr>
          <w:sz w:val="23"/>
        </w:rPr>
        <w:t>= </w:t>
      </w:r>
      <w:r>
        <w:rPr>
          <w:sz w:val="30"/>
        </w:rPr>
        <w:t>·o. </w:t>
      </w:r>
      <w:r>
        <w:rPr>
          <w:sz w:val="20"/>
        </w:rPr>
        <w:t>The procedure is  to  determine   by   trial   an   integer  </w:t>
      </w:r>
      <w:r>
        <w:rPr>
          <w:rFonts w:ascii="Arial" w:hAnsi="Arial"/>
          <w:i/>
          <w:sz w:val="19"/>
        </w:rPr>
        <w:t>n  </w:t>
      </w:r>
      <w:r>
        <w:rPr>
          <w:sz w:val="20"/>
        </w:rPr>
        <w:t>for  which  </w:t>
      </w:r>
      <w:r>
        <w:rPr>
          <w:rFonts w:ascii="Arial" w:hAnsi="Arial"/>
          <w:i/>
          <w:sz w:val="24"/>
        </w:rPr>
        <w:t>f </w:t>
      </w:r>
      <w:r>
        <w:rPr>
          <w:rFonts w:ascii="Arial" w:hAnsi="Arial"/>
          <w:i/>
          <w:sz w:val="19"/>
        </w:rPr>
        <w:t>(n)   </w:t>
      </w:r>
      <w:r>
        <w:rPr>
          <w:rFonts w:ascii="Arial" w:hAnsi="Arial"/>
          <w:sz w:val="26"/>
        </w:rPr>
        <w:t>&gt;  </w:t>
      </w:r>
      <w:r>
        <w:rPr>
          <w:rFonts w:ascii="Arial" w:hAnsi="Arial"/>
          <w:b/>
          <w:sz w:val="19"/>
        </w:rPr>
        <w:t>O  </w:t>
      </w:r>
      <w:r>
        <w:rPr>
          <w:sz w:val="20"/>
        </w:rPr>
        <w:t>and </w:t>
      </w:r>
      <w:r>
        <w:rPr>
          <w:rFonts w:ascii="Arial" w:hAnsi="Arial"/>
          <w:i/>
          <w:sz w:val="24"/>
        </w:rPr>
        <w:t>f </w:t>
      </w:r>
      <w:r>
        <w:rPr>
          <w:rFonts w:ascii="Arial" w:hAnsi="Arial"/>
          <w:i/>
          <w:sz w:val="19"/>
        </w:rPr>
        <w:t>(n  </w:t>
      </w:r>
      <w:r>
        <w:rPr>
          <w:rFonts w:ascii="Arial" w:hAnsi="Arial"/>
          <w:sz w:val="30"/>
        </w:rPr>
        <w:t>+ </w:t>
      </w:r>
      <w:r>
        <w:rPr>
          <w:rFonts w:ascii="Arial" w:hAnsi="Arial"/>
          <w:b/>
          <w:sz w:val="19"/>
        </w:rPr>
        <w:t>1)  </w:t>
      </w:r>
      <w:r>
        <w:rPr>
          <w:sz w:val="23"/>
        </w:rPr>
        <w:t>&lt;  </w:t>
      </w:r>
      <w:r>
        <w:rPr>
          <w:sz w:val="20"/>
        </w:rPr>
        <w:t>O.  Then  by  a. linear interpolation,</w:t>
      </w:r>
    </w:p>
    <w:p>
      <w:pPr>
        <w:tabs>
          <w:tab w:pos="3193" w:val="left" w:leader="none"/>
        </w:tabs>
        <w:spacing w:line="162" w:lineRule="exact" w:before="141"/>
        <w:ind w:left="1970" w:right="0" w:firstLine="0"/>
        <w:jc w:val="left"/>
        <w:rPr>
          <w:rFonts w:ascii="Arial"/>
          <w:sz w:val="19"/>
        </w:rPr>
      </w:pPr>
      <w:r>
        <w:rPr>
          <w:rFonts w:ascii="Arial"/>
          <w:w w:val="135"/>
          <w:sz w:val="19"/>
        </w:rPr>
        <w:t>.</w:t>
        <w:tab/>
      </w:r>
      <w:r>
        <w:rPr>
          <w:rFonts w:ascii="Arial"/>
          <w:spacing w:val="-6"/>
          <w:w w:val="135"/>
          <w:sz w:val="19"/>
        </w:rPr>
        <w:t>J(n)</w:t>
      </w:r>
    </w:p>
    <w:p>
      <w:pPr>
        <w:tabs>
          <w:tab w:pos="2203" w:val="left" w:leader="none"/>
          <w:tab w:pos="5346" w:val="left" w:leader="none"/>
        </w:tabs>
        <w:spacing w:line="306" w:lineRule="exact" w:before="0"/>
        <w:ind w:left="1746" w:right="0" w:firstLine="0"/>
        <w:jc w:val="left"/>
        <w:rPr>
          <w:sz w:val="20"/>
        </w:rPr>
      </w:pPr>
      <w:r>
        <w:rPr>
          <w:rFonts w:ascii="Arial" w:hAnsi="Arial"/>
          <w:i/>
          <w:w w:val="115"/>
          <w:sz w:val="20"/>
        </w:rPr>
        <w:t>G</w:t>
        <w:tab/>
      </w:r>
      <w:r>
        <w:rPr>
          <w:rFonts w:ascii="Arial" w:hAnsi="Arial"/>
          <w:i/>
          <w:w w:val="115"/>
          <w:sz w:val="19"/>
        </w:rPr>
        <w:t>n</w:t>
      </w:r>
      <w:r>
        <w:rPr>
          <w:rFonts w:ascii="Arial" w:hAnsi="Arial"/>
          <w:i/>
          <w:spacing w:val="11"/>
          <w:w w:val="115"/>
          <w:sz w:val="19"/>
        </w:rPr>
        <w:t> </w:t>
      </w:r>
      <w:r>
        <w:rPr>
          <w:rFonts w:ascii="Arial" w:hAnsi="Arial"/>
          <w:spacing w:val="14"/>
          <w:w w:val="115"/>
          <w:sz w:val="31"/>
        </w:rPr>
        <w:t>+</w:t>
      </w:r>
      <w:r>
        <w:rPr>
          <w:rFonts w:ascii="Arial" w:hAnsi="Arial"/>
          <w:i/>
          <w:spacing w:val="14"/>
          <w:w w:val="115"/>
          <w:sz w:val="24"/>
          <w:u w:val="thick"/>
        </w:rPr>
        <w:t>f</w:t>
      </w:r>
      <w:r>
        <w:rPr>
          <w:rFonts w:ascii="Arial" w:hAnsi="Arial"/>
          <w:i/>
          <w:spacing w:val="-21"/>
          <w:w w:val="115"/>
          <w:sz w:val="24"/>
          <w:u w:val="thick"/>
        </w:rPr>
        <w:t> </w:t>
      </w:r>
      <w:r>
        <w:rPr>
          <w:rFonts w:ascii="Arial" w:hAnsi="Arial"/>
          <w:i/>
          <w:w w:val="115"/>
          <w:sz w:val="19"/>
          <w:u w:val="thick"/>
        </w:rPr>
        <w:t>(n</w:t>
      </w:r>
      <w:r>
        <w:rPr>
          <w:rFonts w:ascii="Arial" w:hAnsi="Arial"/>
          <w:i/>
          <w:w w:val="115"/>
          <w:sz w:val="19"/>
        </w:rPr>
        <w:t>)</w:t>
      </w:r>
      <w:r>
        <w:rPr>
          <w:rFonts w:ascii="Arial" w:hAnsi="Arial"/>
          <w:i/>
          <w:spacing w:val="36"/>
          <w:w w:val="115"/>
          <w:sz w:val="19"/>
        </w:rPr>
        <w:t> </w:t>
      </w:r>
      <w:r>
        <w:rPr>
          <w:rFonts w:ascii="Arial" w:hAnsi="Arial"/>
          <w:w w:val="250"/>
          <w:sz w:val="19"/>
        </w:rPr>
        <w:t>-</w:t>
      </w:r>
      <w:r>
        <w:rPr>
          <w:rFonts w:ascii="Arial" w:hAnsi="Arial"/>
          <w:spacing w:val="-99"/>
          <w:w w:val="250"/>
          <w:sz w:val="19"/>
        </w:rPr>
        <w:t> </w:t>
      </w:r>
      <w:r>
        <w:rPr>
          <w:rFonts w:ascii="Arial" w:hAnsi="Arial"/>
          <w:b/>
          <w:i/>
          <w:w w:val="115"/>
          <w:sz w:val="23"/>
        </w:rPr>
        <w:t>f</w:t>
      </w:r>
      <w:r>
        <w:rPr>
          <w:rFonts w:ascii="Arial" w:hAnsi="Arial"/>
          <w:b/>
          <w:i/>
          <w:spacing w:val="-32"/>
          <w:w w:val="115"/>
          <w:sz w:val="23"/>
        </w:rPr>
        <w:t> </w:t>
      </w:r>
      <w:r>
        <w:rPr>
          <w:b/>
          <w:w w:val="115"/>
          <w:sz w:val="19"/>
        </w:rPr>
        <w:t>(n</w:t>
      </w:r>
      <w:r>
        <w:rPr>
          <w:b/>
          <w:spacing w:val="16"/>
          <w:w w:val="115"/>
          <w:sz w:val="19"/>
        </w:rPr>
        <w:t> </w:t>
      </w:r>
      <w:r>
        <w:rPr>
          <w:rFonts w:ascii="Arial" w:hAnsi="Arial"/>
          <w:w w:val="115"/>
          <w:sz w:val="31"/>
        </w:rPr>
        <w:t>+</w:t>
      </w:r>
      <w:r>
        <w:rPr>
          <w:rFonts w:ascii="Arial" w:hAnsi="Arial"/>
          <w:spacing w:val="-32"/>
          <w:w w:val="115"/>
          <w:sz w:val="31"/>
        </w:rPr>
        <w:t> </w:t>
      </w:r>
      <w:r>
        <w:rPr>
          <w:w w:val="115"/>
          <w:sz w:val="20"/>
        </w:rPr>
        <w:t>1)</w:t>
      </w:r>
      <w:r>
        <w:rPr>
          <w:spacing w:val="7"/>
          <w:w w:val="115"/>
          <w:sz w:val="20"/>
        </w:rPr>
        <w:t> </w:t>
      </w:r>
      <w:r>
        <w:rPr>
          <w:w w:val="135"/>
          <w:sz w:val="20"/>
        </w:rPr>
        <w:t>·</w:t>
        <w:tab/>
      </w:r>
      <w:r>
        <w:rPr>
          <w:w w:val="115"/>
          <w:position w:val="11"/>
          <w:sz w:val="20"/>
        </w:rPr>
        <w:t>(7.10)</w:t>
      </w:r>
    </w:p>
    <w:p>
      <w:pPr>
        <w:spacing w:before="161"/>
        <w:ind w:left="324" w:right="0" w:hanging="195"/>
        <w:jc w:val="left"/>
        <w:rPr>
          <w:rFonts w:ascii="Arial"/>
          <w:i/>
          <w:sz w:val="18"/>
        </w:rPr>
      </w:pPr>
      <w:r>
        <w:rPr>
          <w:sz w:val="20"/>
        </w:rPr>
        <w:t>This type of  annuity  is called  a </w:t>
      </w:r>
      <w:r>
        <w:rPr>
          <w:i/>
          <w:sz w:val="20"/>
        </w:rPr>
        <w:t>refund  </w:t>
      </w:r>
      <w:r>
        <w:rPr>
          <w:sz w:val="20"/>
        </w:rPr>
        <w:t>or </w:t>
      </w:r>
      <w:r>
        <w:rPr>
          <w:i/>
          <w:sz w:val="20"/>
        </w:rPr>
        <w:t>instalment  refund  </w:t>
      </w:r>
      <w:r>
        <w:rPr>
          <w:rFonts w:ascii="Arial"/>
          <w:i/>
          <w:sz w:val="18"/>
        </w:rPr>
        <w:t>annuity.</w:t>
      </w:r>
    </w:p>
    <w:p>
      <w:pPr>
        <w:pStyle w:val="BodyText"/>
        <w:spacing w:line="254" w:lineRule="auto" w:before="7"/>
        <w:ind w:left="130" w:right="142" w:firstLine="194"/>
        <w:jc w:val="both"/>
      </w:pPr>
      <w:r>
        <w:rPr/>
        <w:pict>
          <v:shape style="position:absolute;margin-left:236.160004pt;margin-top:49.508575pt;width:2.5pt;height:7.5pt;mso-position-horizontal-relative:page;mso-position-vertical-relative:paragraph;z-index:-723064" type="#_x0000_t202" filled="false" stroked="false">
            <v:textbox inset="0,0,0,0">
              <w:txbxContent>
                <w:p>
                  <w:pPr>
                    <w:spacing w:line="150" w:lineRule="exact" w:before="0"/>
                    <w:ind w:left="0" w:right="0" w:firstLine="0"/>
                    <w:jc w:val="left"/>
                    <w:rPr>
                      <w:rFonts w:ascii="Arial" w:hAnsi="Arial"/>
                      <w:sz w:val="15"/>
                    </w:rPr>
                  </w:pPr>
                  <w:r>
                    <w:rPr>
                      <w:rFonts w:ascii="Arial" w:hAnsi="Arial"/>
                      <w:w w:val="94"/>
                      <w:sz w:val="15"/>
                    </w:rPr>
                    <w:t>•</w:t>
                  </w:r>
                </w:p>
              </w:txbxContent>
            </v:textbox>
            <w10:wrap type="none"/>
          </v:shape>
        </w:pict>
      </w:r>
      <w:r>
        <w:rPr>
          <w:w w:val="105"/>
        </w:rPr>
        <w:t>As an examplc, consider an instalment refund  annuity providing a monthly  íncome of </w:t>
      </w:r>
      <w:r>
        <w:rPr>
          <w:spacing w:val="-7"/>
          <w:w w:val="105"/>
        </w:rPr>
        <w:t>$10 </w:t>
      </w:r>
      <w:r>
        <w:rPr>
          <w:w w:val="105"/>
        </w:rPr>
        <w:t>issued to a life aged 65 with a loading of  6 % of the gross prernium. Using formula  (7.9), we</w:t>
      </w:r>
      <w:r>
        <w:rPr>
          <w:spacing w:val="43"/>
          <w:w w:val="105"/>
        </w:rPr>
        <w:t> </w:t>
      </w:r>
      <w:r>
        <w:rPr>
          <w:w w:val="105"/>
        </w:rPr>
        <w:t>write</w:t>
      </w:r>
    </w:p>
    <w:p>
      <w:pPr>
        <w:spacing w:after="0" w:line="254" w:lineRule="auto"/>
        <w:jc w:val="both"/>
        <w:sectPr>
          <w:type w:val="continuous"/>
          <w:pgSz w:w="7200" w:h="11340"/>
          <w:pgMar w:top="1100" w:bottom="0" w:left="640" w:right="560"/>
        </w:sectPr>
      </w:pPr>
    </w:p>
    <w:p>
      <w:pPr>
        <w:tabs>
          <w:tab w:pos="3507" w:val="left" w:leader="none"/>
        </w:tabs>
        <w:spacing w:line="433" w:lineRule="exact" w:before="0"/>
        <w:ind w:left="1844" w:right="0" w:firstLine="0"/>
        <w:jc w:val="left"/>
        <w:rPr>
          <w:b/>
          <w:sz w:val="12"/>
        </w:rPr>
      </w:pPr>
      <w:r>
        <w:rPr/>
        <w:pict>
          <v:shape style="position:absolute;margin-left:195.119995pt;margin-top:12.695105pt;width:18.4pt;height:7.5pt;mso-position-horizontal-relative:page;mso-position-vertical-relative:paragraph;z-index:-723088" type="#_x0000_t202" filled="false" stroked="false">
            <v:textbox inset="0,0,0,0">
              <w:txbxContent>
                <w:p>
                  <w:pPr>
                    <w:spacing w:line="150" w:lineRule="exact" w:before="0"/>
                    <w:ind w:left="0" w:right="-16" w:firstLine="0"/>
                    <w:jc w:val="left"/>
                    <w:rPr>
                      <w:rFonts w:ascii="Arial" w:hAnsi="Arial"/>
                      <w:i/>
                      <w:sz w:val="15"/>
                    </w:rPr>
                  </w:pPr>
                  <w:r>
                    <w:rPr>
                      <w:rFonts w:ascii="Arial" w:hAnsi="Arial"/>
                      <w:i/>
                      <w:w w:val="145"/>
                      <w:sz w:val="15"/>
                    </w:rPr>
                    <w:t>"lªH</w:t>
                  </w:r>
                </w:p>
              </w:txbxContent>
            </v:textbox>
            <w10:wrap type="none"/>
          </v:shape>
        </w:pict>
      </w:r>
      <w:r>
        <w:rPr>
          <w:rFonts w:ascii="Arial" w:hAnsi="Arial"/>
          <w:i/>
          <w:w w:val="117"/>
          <w:position w:val="-9"/>
          <w:sz w:val="24"/>
        </w:rPr>
        <w:t>f</w:t>
      </w:r>
      <w:r>
        <w:rPr>
          <w:rFonts w:ascii="Arial" w:hAnsi="Arial"/>
          <w:i/>
          <w:spacing w:val="-16"/>
          <w:position w:val="-9"/>
          <w:sz w:val="24"/>
        </w:rPr>
        <w:t> </w:t>
      </w:r>
      <w:r>
        <w:rPr>
          <w:rFonts w:ascii="Arial" w:hAnsi="Arial"/>
          <w:spacing w:val="-14"/>
          <w:w w:val="92"/>
          <w:position w:val="-4"/>
          <w:sz w:val="24"/>
        </w:rPr>
        <w:t>(</w:t>
      </w:r>
      <w:r>
        <w:rPr>
          <w:i/>
          <w:spacing w:val="14"/>
          <w:w w:val="110"/>
          <w:position w:val="-8"/>
          <w:sz w:val="21"/>
        </w:rPr>
        <w:t>n</w:t>
      </w:r>
      <w:r>
        <w:rPr>
          <w:rFonts w:ascii="Arial" w:hAnsi="Arial"/>
          <w:w w:val="99"/>
          <w:position w:val="-4"/>
          <w:sz w:val="24"/>
        </w:rPr>
        <w:t>)</w:t>
      </w:r>
      <w:r>
        <w:rPr>
          <w:rFonts w:ascii="Arial" w:hAnsi="Arial"/>
          <w:spacing w:val="26"/>
          <w:w w:val="99"/>
          <w:position w:val="-4"/>
          <w:sz w:val="24"/>
        </w:rPr>
        <w:t> </w:t>
      </w:r>
      <w:r>
        <w:rPr>
          <w:w w:val="89"/>
          <w:position w:val="-8"/>
          <w:sz w:val="26"/>
        </w:rPr>
        <w:t>=</w:t>
      </w:r>
      <w:r>
        <w:rPr>
          <w:position w:val="-8"/>
          <w:sz w:val="26"/>
        </w:rPr>
        <w:t> </w:t>
      </w:r>
      <w:r>
        <w:rPr>
          <w:spacing w:val="-32"/>
          <w:position w:val="-8"/>
          <w:sz w:val="26"/>
        </w:rPr>
        <w:t> </w:t>
      </w:r>
      <w:r>
        <w:rPr>
          <w:rFonts w:ascii="Arial" w:hAnsi="Arial"/>
          <w:w w:val="114"/>
          <w:position w:val="-8"/>
          <w:sz w:val="18"/>
        </w:rPr>
        <w:t>ª</w:t>
      </w:r>
      <w:r>
        <w:rPr>
          <w:rFonts w:ascii="Arial" w:hAnsi="Arial"/>
          <w:spacing w:val="-35"/>
          <w:w w:val="114"/>
          <w:position w:val="-8"/>
          <w:sz w:val="18"/>
        </w:rPr>
        <w:t>"</w:t>
      </w:r>
      <w:r>
        <w:rPr>
          <w:b/>
          <w:spacing w:val="-24"/>
          <w:w w:val="144"/>
          <w:sz w:val="12"/>
        </w:rPr>
        <w:t>(</w:t>
      </w:r>
      <w:r>
        <w:rPr>
          <w:rFonts w:ascii="Arial" w:hAnsi="Arial"/>
          <w:spacing w:val="-92"/>
          <w:w w:val="114"/>
          <w:position w:val="-8"/>
          <w:sz w:val="18"/>
        </w:rPr>
        <w:t>1</w:t>
      </w:r>
      <w:r>
        <w:rPr>
          <w:b/>
          <w:w w:val="144"/>
          <w:sz w:val="12"/>
        </w:rPr>
        <w:t>U</w:t>
      </w:r>
      <w:r>
        <w:rPr>
          <w:b/>
          <w:w w:val="144"/>
          <w:sz w:val="12"/>
        </w:rPr>
        <w:t>)</w:t>
      </w:r>
      <w:r>
        <w:rPr>
          <w:b/>
          <w:sz w:val="12"/>
        </w:rPr>
        <w:t>  </w:t>
      </w:r>
      <w:r>
        <w:rPr>
          <w:b/>
          <w:spacing w:val="-1"/>
          <w:sz w:val="12"/>
        </w:rPr>
        <w:t> </w:t>
      </w:r>
      <w:r>
        <w:rPr>
          <w:rFonts w:ascii="Arial" w:hAnsi="Arial"/>
          <w:w w:val="105"/>
          <w:sz w:val="31"/>
        </w:rPr>
        <w:t>+</w:t>
      </w:r>
      <w:r>
        <w:rPr>
          <w:rFonts w:ascii="Arial" w:hAnsi="Arial"/>
          <w:sz w:val="31"/>
        </w:rPr>
        <w:tab/>
      </w:r>
      <w:r>
        <w:rPr>
          <w:b/>
          <w:w w:val="116"/>
          <w:sz w:val="12"/>
        </w:rPr>
        <w:t>(12)</w:t>
      </w:r>
    </w:p>
    <w:p>
      <w:pPr>
        <w:spacing w:before="108"/>
        <w:ind w:left="60" w:right="0" w:firstLine="0"/>
        <w:jc w:val="left"/>
        <w:rPr>
          <w:i/>
          <w:sz w:val="21"/>
        </w:rPr>
      </w:pPr>
      <w:r>
        <w:rPr/>
        <w:br w:type="column"/>
      </w:r>
      <w:r>
        <w:rPr>
          <w:rFonts w:ascii="Arial"/>
          <w:w w:val="320"/>
          <w:sz w:val="15"/>
        </w:rPr>
        <w:t>-</w:t>
      </w:r>
      <w:r>
        <w:rPr>
          <w:rFonts w:ascii="Arial"/>
          <w:spacing w:val="-51"/>
          <w:w w:val="320"/>
          <w:sz w:val="15"/>
        </w:rPr>
        <w:t> </w:t>
      </w:r>
      <w:r>
        <w:rPr>
          <w:b/>
          <w:w w:val="120"/>
          <w:position w:val="9"/>
          <w:sz w:val="19"/>
        </w:rPr>
        <w:t>94 </w:t>
      </w:r>
      <w:r>
        <w:rPr>
          <w:i/>
          <w:w w:val="120"/>
          <w:sz w:val="21"/>
        </w:rPr>
        <w:t>n.</w:t>
      </w:r>
    </w:p>
    <w:p>
      <w:pPr>
        <w:spacing w:after="0"/>
        <w:jc w:val="left"/>
        <w:rPr>
          <w:sz w:val="21"/>
        </w:rPr>
        <w:sectPr>
          <w:type w:val="continuous"/>
          <w:pgSz w:w="7200" w:h="11340"/>
          <w:pgMar w:top="1100" w:bottom="0" w:left="640" w:right="560"/>
          <w:cols w:num="2" w:equalWidth="0">
            <w:col w:w="3742" w:space="40"/>
            <w:col w:w="2218"/>
          </w:cols>
        </w:sectPr>
      </w:pPr>
    </w:p>
    <w:p>
      <w:pPr>
        <w:tabs>
          <w:tab w:pos="2083" w:val="left" w:leader="none"/>
          <w:tab w:pos="5864" w:val="right" w:leader="none"/>
        </w:tabs>
        <w:spacing w:before="46"/>
        <w:ind w:left="158" w:right="0" w:firstLine="0"/>
        <w:jc w:val="left"/>
        <w:rPr>
          <w:sz w:val="21"/>
        </w:rPr>
      </w:pPr>
      <w:r>
        <w:rPr>
          <w:b/>
          <w:w w:val="105"/>
          <w:position w:val="1"/>
          <w:sz w:val="15"/>
        </w:rPr>
        <w:t>SEC. </w:t>
      </w:r>
      <w:r>
        <w:rPr>
          <w:b/>
          <w:spacing w:val="7"/>
          <w:w w:val="105"/>
          <w:position w:val="1"/>
          <w:sz w:val="15"/>
        </w:rPr>
        <w:t> </w:t>
      </w:r>
      <w:r>
        <w:rPr>
          <w:rFonts w:ascii="Arial"/>
          <w:b/>
          <w:w w:val="105"/>
          <w:position w:val="1"/>
          <w:sz w:val="19"/>
        </w:rPr>
        <w:t>4]</w:t>
        <w:tab/>
      </w:r>
      <w:r>
        <w:rPr>
          <w:b/>
          <w:w w:val="105"/>
          <w:position w:val="1"/>
          <w:sz w:val="15"/>
        </w:rPr>
        <w:t>COMPLETE </w:t>
      </w:r>
      <w:r>
        <w:rPr>
          <w:b/>
          <w:spacing w:val="20"/>
          <w:w w:val="105"/>
          <w:position w:val="1"/>
          <w:sz w:val="15"/>
        </w:rPr>
        <w:t> </w:t>
      </w:r>
      <w:r>
        <w:rPr>
          <w:b/>
          <w:w w:val="105"/>
          <w:position w:val="1"/>
          <w:sz w:val="15"/>
        </w:rPr>
        <w:t>ANNUfflES</w:t>
      </w:r>
      <w:r>
        <w:rPr>
          <w:w w:val="105"/>
          <w:sz w:val="21"/>
        </w:rPr>
        <w:tab/>
      </w:r>
      <w:r>
        <w:rPr>
          <w:spacing w:val="-16"/>
          <w:w w:val="105"/>
          <w:sz w:val="21"/>
        </w:rPr>
        <w:t>157</w:t>
      </w:r>
    </w:p>
    <w:p>
      <w:pPr>
        <w:spacing w:line="291" w:lineRule="exact" w:before="171"/>
        <w:ind w:left="147" w:right="0" w:firstLine="0"/>
        <w:jc w:val="left"/>
        <w:rPr>
          <w:sz w:val="26"/>
        </w:rPr>
      </w:pPr>
      <w:r>
        <w:rPr>
          <w:sz w:val="21"/>
        </w:rPr>
        <w:t>Suppose that  after a few trials we find /(15)  </w:t>
      </w:r>
      <w:r>
        <w:rPr>
          <w:sz w:val="26"/>
        </w:rPr>
        <w:t>=  </w:t>
      </w:r>
      <w:r>
        <w:rPr>
          <w:sz w:val="21"/>
        </w:rPr>
        <w:t>.4739 a.nd /(16)  </w:t>
      </w:r>
      <w:r>
        <w:rPr>
          <w:sz w:val="26"/>
        </w:rPr>
        <w:t>=</w:t>
      </w:r>
    </w:p>
    <w:p>
      <w:pPr>
        <w:spacing w:line="234" w:lineRule="exact" w:before="0"/>
        <w:ind w:left="175" w:right="739" w:firstLine="0"/>
        <w:jc w:val="left"/>
        <w:rPr>
          <w:sz w:val="21"/>
        </w:rPr>
      </w:pPr>
      <w:r>
        <w:rPr>
          <w:w w:val="213"/>
          <w:sz w:val="21"/>
        </w:rPr>
        <w:t>-</w:t>
      </w:r>
      <w:r>
        <w:rPr>
          <w:spacing w:val="-27"/>
          <w:w w:val="213"/>
          <w:sz w:val="21"/>
        </w:rPr>
        <w:t>.</w:t>
      </w:r>
      <w:r>
        <w:rPr>
          <w:spacing w:val="-46"/>
          <w:w w:val="121"/>
          <w:sz w:val="21"/>
        </w:rPr>
        <w:t>1</w:t>
      </w:r>
      <w:r>
        <w:rPr>
          <w:w w:val="96"/>
          <w:sz w:val="21"/>
        </w:rPr>
        <w:t>094.</w:t>
      </w:r>
      <w:r>
        <w:rPr>
          <w:spacing w:val="8"/>
          <w:sz w:val="21"/>
        </w:rPr>
        <w:t> </w:t>
      </w:r>
      <w:r>
        <w:rPr>
          <w:w w:val="101"/>
          <w:sz w:val="21"/>
        </w:rPr>
        <w:t>Then</w:t>
      </w:r>
      <w:r>
        <w:rPr>
          <w:spacing w:val="14"/>
          <w:sz w:val="21"/>
        </w:rPr>
        <w:t> </w:t>
      </w:r>
      <w:r>
        <w:rPr>
          <w:w w:val="99"/>
          <w:sz w:val="21"/>
        </w:rPr>
        <w:t>from</w:t>
      </w:r>
      <w:r>
        <w:rPr>
          <w:sz w:val="21"/>
        </w:rPr>
        <w:t> </w:t>
      </w:r>
      <w:r>
        <w:rPr>
          <w:spacing w:val="-4"/>
          <w:sz w:val="21"/>
        </w:rPr>
        <w:t> </w:t>
      </w:r>
      <w:r>
        <w:rPr>
          <w:w w:val="95"/>
          <w:sz w:val="21"/>
        </w:rPr>
        <w:t>(7</w:t>
      </w:r>
      <w:r>
        <w:rPr>
          <w:spacing w:val="6"/>
          <w:w w:val="95"/>
          <w:sz w:val="21"/>
        </w:rPr>
        <w:t>.</w:t>
      </w:r>
      <w:r>
        <w:rPr>
          <w:w w:val="106"/>
          <w:sz w:val="21"/>
        </w:rPr>
        <w:t>10),</w:t>
      </w:r>
    </w:p>
    <w:p>
      <w:pPr>
        <w:pStyle w:val="BodyText"/>
        <w:spacing w:line="199" w:lineRule="exact" w:before="129"/>
        <w:ind w:left="74" w:right="72"/>
        <w:jc w:val="center"/>
        <w:rPr>
          <w:rFonts w:ascii="Arial"/>
        </w:rPr>
      </w:pPr>
      <w:r>
        <w:rPr/>
        <w:pict>
          <v:shape style="position:absolute;margin-left:92.540863pt;margin-top:9.142855pt;width:180pt;height:16pt;mso-position-horizontal-relative:page;mso-position-vertical-relative:paragraph;z-index:-722992" type="#_x0000_t202" filled="false" stroked="false">
            <v:textbox inset="0,0,0,0">
              <w:txbxContent>
                <w:p>
                  <w:pPr>
                    <w:tabs>
                      <w:tab w:pos="1586" w:val="left" w:leader="none"/>
                      <w:tab w:pos="2974" w:val="left" w:leader="none"/>
                    </w:tabs>
                    <w:spacing w:line="320" w:lineRule="exact" w:before="0"/>
                    <w:ind w:left="0" w:right="0" w:firstLine="0"/>
                    <w:jc w:val="left"/>
                    <w:rPr>
                      <w:rFonts w:ascii="Arial" w:hAnsi="Arial"/>
                      <w:sz w:val="20"/>
                    </w:rPr>
                  </w:pPr>
                  <w:r>
                    <w:rPr>
                      <w:rFonts w:ascii="Arial" w:hAnsi="Arial"/>
                      <w:i/>
                      <w:w w:val="110"/>
                      <w:sz w:val="21"/>
                    </w:rPr>
                    <w:t>G </w:t>
                  </w:r>
                  <w:r>
                    <w:rPr>
                      <w:rFonts w:ascii="Arial" w:hAnsi="Arial"/>
                      <w:w w:val="155"/>
                      <w:sz w:val="21"/>
                    </w:rPr>
                    <w:t>·</w:t>
                  </w:r>
                  <w:r>
                    <w:rPr>
                      <w:rFonts w:ascii="Arial" w:hAnsi="Arial"/>
                      <w:spacing w:val="41"/>
                      <w:w w:val="155"/>
                      <w:sz w:val="21"/>
                    </w:rPr>
                    <w:t> </w:t>
                  </w:r>
                  <w:r>
                    <w:rPr>
                      <w:spacing w:val="-21"/>
                      <w:w w:val="110"/>
                      <w:sz w:val="21"/>
                    </w:rPr>
                    <w:t>15</w:t>
                  </w:r>
                  <w:r>
                    <w:rPr>
                      <w:spacing w:val="-14"/>
                      <w:w w:val="110"/>
                      <w:sz w:val="21"/>
                    </w:rPr>
                    <w:t> </w:t>
                  </w:r>
                  <w:r>
                    <w:rPr>
                      <w:rFonts w:ascii="Arial" w:hAnsi="Arial"/>
                      <w:w w:val="110"/>
                      <w:sz w:val="32"/>
                    </w:rPr>
                    <w:t>+</w:t>
                    <w:tab/>
                    <w:t>·</w:t>
                    <w:tab/>
                  </w:r>
                  <w:r>
                    <w:rPr>
                      <w:spacing w:val="-12"/>
                      <w:w w:val="105"/>
                      <w:sz w:val="21"/>
                    </w:rPr>
                    <w:t>15.8</w:t>
                  </w:r>
                  <w:r>
                    <w:rPr>
                      <w:spacing w:val="-3"/>
                      <w:w w:val="105"/>
                      <w:sz w:val="21"/>
                    </w:rPr>
                    <w:t> </w:t>
                  </w:r>
                  <w:r>
                    <w:rPr>
                      <w:rFonts w:ascii="Arial" w:hAnsi="Arial"/>
                      <w:w w:val="105"/>
                      <w:sz w:val="20"/>
                    </w:rPr>
                    <w:t>24</w:t>
                  </w:r>
                </w:p>
              </w:txbxContent>
            </v:textbox>
            <w10:wrap type="none"/>
          </v:shape>
        </w:pict>
      </w:r>
      <w:r>
        <w:rPr>
          <w:rFonts w:ascii="Arial"/>
        </w:rPr>
        <w:t>4739</w:t>
      </w:r>
    </w:p>
    <w:p>
      <w:pPr>
        <w:tabs>
          <w:tab w:pos="2147" w:val="left" w:leader="none"/>
          <w:tab w:pos="4487" w:val="left" w:leader="none"/>
          <w:tab w:pos="4776" w:val="left" w:leader="none"/>
        </w:tabs>
        <w:spacing w:line="268" w:lineRule="exact" w:before="0"/>
        <w:ind w:left="1395" w:right="739" w:firstLine="0"/>
        <w:jc w:val="left"/>
        <w:rPr>
          <w:sz w:val="21"/>
        </w:rPr>
      </w:pPr>
      <w:r>
        <w:rPr>
          <w:rFonts w:ascii="Arial"/>
          <w:w w:val="102"/>
          <w:sz w:val="18"/>
        </w:rPr>
        <w:t>=:</w:t>
      </w:r>
      <w:r>
        <w:rPr>
          <w:rFonts w:ascii="Arial"/>
          <w:sz w:val="18"/>
        </w:rPr>
        <w:tab/>
      </w:r>
      <w:r>
        <w:rPr>
          <w:spacing w:val="-33"/>
          <w:w w:val="124"/>
          <w:sz w:val="21"/>
        </w:rPr>
        <w:t>.</w:t>
      </w:r>
      <w:r>
        <w:rPr>
          <w:w w:val="95"/>
          <w:sz w:val="21"/>
        </w:rPr>
        <w:t>4739</w:t>
      </w:r>
      <w:r>
        <w:rPr>
          <w:sz w:val="21"/>
        </w:rPr>
        <w:t> </w:t>
      </w:r>
      <w:r>
        <w:rPr>
          <w:spacing w:val="-9"/>
          <w:sz w:val="21"/>
        </w:rPr>
        <w:t> </w:t>
      </w:r>
      <w:r>
        <w:rPr>
          <w:w w:val="265"/>
          <w:sz w:val="21"/>
        </w:rPr>
        <w:t>-</w:t>
      </w:r>
      <w:r>
        <w:rPr>
          <w:sz w:val="21"/>
        </w:rPr>
        <w:t> </w:t>
      </w:r>
      <w:r>
        <w:rPr>
          <w:spacing w:val="-20"/>
          <w:sz w:val="21"/>
        </w:rPr>
        <w:t> </w:t>
      </w:r>
      <w:r>
        <w:rPr>
          <w:spacing w:val="16"/>
          <w:w w:val="98"/>
          <w:sz w:val="21"/>
        </w:rPr>
        <w:t>(</w:t>
      </w:r>
      <w:r>
        <w:rPr>
          <w:w w:val="272"/>
          <w:sz w:val="21"/>
        </w:rPr>
        <w:t>-</w:t>
      </w:r>
      <w:r>
        <w:rPr>
          <w:spacing w:val="-5"/>
          <w:sz w:val="21"/>
        </w:rPr>
        <w:t> </w:t>
      </w:r>
      <w:r>
        <w:rPr>
          <w:spacing w:val="-17"/>
          <w:w w:val="140"/>
          <w:sz w:val="21"/>
          <w:u w:val="thick"/>
        </w:rPr>
        <w:t>.</w:t>
      </w:r>
      <w:r>
        <w:rPr>
          <w:spacing w:val="-49"/>
          <w:w w:val="121"/>
          <w:sz w:val="21"/>
          <w:u w:val="thick"/>
        </w:rPr>
        <w:t>1</w:t>
      </w:r>
      <w:r>
        <w:rPr>
          <w:w w:val="98"/>
          <w:sz w:val="21"/>
          <w:u w:val="thick"/>
        </w:rPr>
        <w:t>094)</w:t>
      </w:r>
      <w:r>
        <w:rPr>
          <w:sz w:val="21"/>
        </w:rPr>
        <w:t> </w:t>
      </w:r>
      <w:r>
        <w:rPr>
          <w:spacing w:val="9"/>
          <w:sz w:val="21"/>
        </w:rPr>
        <w:t> </w:t>
      </w:r>
      <w:r>
        <w:rPr>
          <w:w w:val="93"/>
          <w:sz w:val="26"/>
        </w:rPr>
        <w:t>=</w:t>
      </w:r>
      <w:r>
        <w:rPr>
          <w:sz w:val="26"/>
        </w:rPr>
        <w:tab/>
      </w:r>
      <w:r>
        <w:rPr>
          <w:w w:val="139"/>
          <w:sz w:val="21"/>
        </w:rPr>
        <w:t>l</w:t>
      </w:r>
      <w:r>
        <w:rPr>
          <w:sz w:val="21"/>
        </w:rPr>
        <w:tab/>
      </w:r>
      <w:r>
        <w:rPr>
          <w:w w:val="124"/>
          <w:sz w:val="21"/>
        </w:rPr>
        <w:t>.</w:t>
      </w:r>
    </w:p>
    <w:p>
      <w:pPr>
        <w:spacing w:before="85"/>
        <w:ind w:left="143" w:right="133" w:firstLine="0"/>
        <w:jc w:val="left"/>
        <w:rPr>
          <w:sz w:val="21"/>
        </w:rPr>
      </w:pPr>
      <w:r>
        <w:rPr>
          <w:sz w:val="21"/>
        </w:rPr>
        <w:t>For  </w:t>
      </w:r>
      <w:r>
        <w:rPr>
          <w:spacing w:val="-4"/>
          <w:sz w:val="21"/>
        </w:rPr>
        <w:t>$10 </w:t>
      </w:r>
      <w:r>
        <w:rPr>
          <w:sz w:val="21"/>
        </w:rPr>
        <w:t>per  month,  we ha.ve  </w:t>
      </w:r>
      <w:r>
        <w:rPr>
          <w:spacing w:val="-3"/>
          <w:sz w:val="21"/>
        </w:rPr>
        <w:t>$120  </w:t>
      </w:r>
      <w:r>
        <w:rPr>
          <w:sz w:val="21"/>
        </w:rPr>
        <w:t>X  </w:t>
      </w:r>
      <w:r>
        <w:rPr>
          <w:spacing w:val="-9"/>
          <w:sz w:val="21"/>
        </w:rPr>
        <w:t>15.8124  </w:t>
      </w:r>
      <w:r>
        <w:rPr>
          <w:sz w:val="26"/>
        </w:rPr>
        <w:t>=</w:t>
      </w:r>
      <w:r>
        <w:rPr>
          <w:spacing w:val="64"/>
          <w:sz w:val="26"/>
        </w:rPr>
        <w:t> </w:t>
      </w:r>
      <w:r>
        <w:rPr>
          <w:sz w:val="21"/>
        </w:rPr>
        <w:t>$1,897</w:t>
      </w:r>
      <w:r>
        <w:rPr>
          <w:color w:val="1F1F1F"/>
          <w:sz w:val="21"/>
        </w:rPr>
        <w:t>.</w:t>
      </w:r>
      <w:r>
        <w:rPr>
          <w:sz w:val="21"/>
        </w:rPr>
        <w:t>49.</w:t>
      </w:r>
    </w:p>
    <w:p>
      <w:pPr>
        <w:numPr>
          <w:ilvl w:val="0"/>
          <w:numId w:val="69"/>
        </w:numPr>
        <w:tabs>
          <w:tab w:pos="387" w:val="left" w:leader="none"/>
        </w:tabs>
        <w:spacing w:before="159"/>
        <w:ind w:left="386" w:right="0" w:hanging="243"/>
        <w:jc w:val="left"/>
        <w:rPr>
          <w:b/>
          <w:sz w:val="20"/>
        </w:rPr>
      </w:pPr>
      <w:r>
        <w:rPr>
          <w:b/>
          <w:w w:val="115"/>
          <w:sz w:val="20"/>
        </w:rPr>
        <w:t>Complete</w:t>
      </w:r>
      <w:r>
        <w:rPr>
          <w:b/>
          <w:spacing w:val="6"/>
          <w:w w:val="115"/>
          <w:sz w:val="20"/>
        </w:rPr>
        <w:t> </w:t>
      </w:r>
      <w:r>
        <w:rPr>
          <w:b/>
          <w:w w:val="115"/>
          <w:sz w:val="20"/>
        </w:rPr>
        <w:t>annuities</w:t>
      </w:r>
    </w:p>
    <w:p>
      <w:pPr>
        <w:spacing w:line="235" w:lineRule="auto" w:before="76"/>
        <w:ind w:left="133" w:right="125" w:firstLine="206"/>
        <w:jc w:val="both"/>
        <w:rPr>
          <w:sz w:val="21"/>
        </w:rPr>
      </w:pPr>
      <w:r>
        <w:rPr>
          <w:rFonts w:ascii="Arial" w:hAnsi="Arial"/>
          <w:sz w:val="21"/>
        </w:rPr>
        <w:t>An </w:t>
      </w:r>
      <w:r>
        <w:rPr>
          <w:sz w:val="21"/>
        </w:rPr>
        <w:t>annuity which provides for a final pa.yment at death propor­ tional </w:t>
      </w:r>
      <w:r>
        <w:rPr>
          <w:sz w:val="22"/>
        </w:rPr>
        <w:t>to </w:t>
      </w:r>
      <w:r>
        <w:rPr>
          <w:sz w:val="21"/>
        </w:rPr>
        <w:t>the time el¡apsed  since the last payment  </w:t>
      </w:r>
      <w:r>
        <w:rPr>
          <w:rFonts w:ascii="Arial" w:hAnsi="Arial"/>
          <w:sz w:val="19"/>
        </w:rPr>
        <w:t>is </w:t>
      </w:r>
      <w:r>
        <w:rPr>
          <w:sz w:val="21"/>
        </w:rPr>
        <w:t>called  a </w:t>
      </w:r>
      <w:r>
        <w:rPr>
          <w:rFonts w:ascii="Arial" w:hAnsi="Arial"/>
          <w:i/>
          <w:sz w:val="19"/>
        </w:rPr>
        <w:t>com­ </w:t>
      </w:r>
      <w:r>
        <w:rPr>
          <w:i/>
          <w:sz w:val="21"/>
        </w:rPr>
        <w:t>p 'lete, </w:t>
      </w:r>
      <w:r>
        <w:rPr>
          <w:sz w:val="21"/>
        </w:rPr>
        <w:t>or </w:t>
      </w:r>
      <w:r>
        <w:rPr>
          <w:i/>
          <w:sz w:val="21"/>
        </w:rPr>
        <w:t>apportümpble, </w:t>
      </w:r>
      <w:r>
        <w:rPr>
          <w:sz w:val="21"/>
        </w:rPr>
        <w:t>annuity. The usual annuity, which doeR not provide a final fractional payment of this type, </w:t>
      </w:r>
      <w:r>
        <w:rPr>
          <w:rFonts w:ascii="Arial" w:hAnsi="Arial"/>
          <w:sz w:val="19"/>
        </w:rPr>
        <w:t>is </w:t>
      </w:r>
      <w:r>
        <w:rPr>
          <w:sz w:val="21"/>
        </w:rPr>
        <w:t>sometimes called a </w:t>
      </w:r>
      <w:r>
        <w:rPr>
          <w:i/>
          <w:sz w:val="22"/>
        </w:rPr>
        <w:t>curt.ate </w:t>
      </w:r>
      <w:r>
        <w:rPr>
          <w:sz w:val="21"/>
        </w:rPr>
        <w:t>annuity, a.nd the value of the complete a.nnuity difiera from the value of the corresponding curtate annuity by the value  of  the  proportionate  payment  at</w:t>
      </w:r>
      <w:r>
        <w:rPr>
          <w:spacing w:val="52"/>
          <w:sz w:val="21"/>
        </w:rPr>
        <w:t> </w:t>
      </w:r>
      <w:r>
        <w:rPr>
          <w:sz w:val="21"/>
        </w:rPr>
        <w:t>death.</w:t>
      </w:r>
    </w:p>
    <w:p>
      <w:pPr>
        <w:spacing w:line="240" w:lineRule="exact" w:before="0"/>
        <w:ind w:left="136" w:right="0" w:firstLine="192"/>
        <w:jc w:val="both"/>
        <w:rPr>
          <w:rFonts w:ascii="Arial" w:hAnsi="Arial"/>
          <w:sz w:val="27"/>
        </w:rPr>
      </w:pPr>
      <w:r>
        <w:rPr>
          <w:w w:val="104"/>
          <w:sz w:val="21"/>
        </w:rPr>
        <w:t>The</w:t>
      </w:r>
      <w:r>
        <w:rPr>
          <w:spacing w:val="11"/>
          <w:sz w:val="21"/>
        </w:rPr>
        <w:t> </w:t>
      </w:r>
      <w:r>
        <w:rPr>
          <w:w w:val="98"/>
          <w:sz w:val="21"/>
        </w:rPr>
        <w:t>complete</w:t>
      </w:r>
      <w:r>
        <w:rPr>
          <w:spacing w:val="13"/>
          <w:sz w:val="21"/>
        </w:rPr>
        <w:t> </w:t>
      </w:r>
      <w:r>
        <w:rPr>
          <w:w w:val="104"/>
          <w:sz w:val="21"/>
        </w:rPr>
        <w:t>annuity</w:t>
      </w:r>
      <w:r>
        <w:rPr>
          <w:spacing w:val="21"/>
          <w:sz w:val="21"/>
        </w:rPr>
        <w:t> </w:t>
      </w:r>
      <w:r>
        <w:rPr>
          <w:w w:val="92"/>
          <w:sz w:val="21"/>
        </w:rPr>
        <w:t>paya.ble</w:t>
      </w:r>
      <w:r>
        <w:rPr>
          <w:sz w:val="21"/>
        </w:rPr>
        <w:t> </w:t>
      </w:r>
      <w:r>
        <w:rPr>
          <w:spacing w:val="-23"/>
          <w:sz w:val="21"/>
        </w:rPr>
        <w:t> </w:t>
      </w:r>
      <w:r>
        <w:rPr>
          <w:rFonts w:ascii="Arial" w:hAnsi="Arial"/>
          <w:i/>
          <w:w w:val="104"/>
          <w:sz w:val="18"/>
        </w:rPr>
        <w:t>m</w:t>
      </w:r>
      <w:r>
        <w:rPr>
          <w:rFonts w:ascii="Arial" w:hAnsi="Arial"/>
          <w:i/>
          <w:spacing w:val="13"/>
          <w:sz w:val="18"/>
        </w:rPr>
        <w:t> </w:t>
      </w:r>
      <w:r>
        <w:rPr>
          <w:w w:val="99"/>
          <w:sz w:val="21"/>
        </w:rPr>
        <w:t>times</w:t>
      </w:r>
      <w:r>
        <w:rPr>
          <w:spacing w:val="21"/>
          <w:sz w:val="21"/>
        </w:rPr>
        <w:t> </w:t>
      </w:r>
      <w:r>
        <w:rPr>
          <w:w w:val="105"/>
          <w:sz w:val="21"/>
        </w:rPr>
        <w:t>a</w:t>
      </w:r>
      <w:r>
        <w:rPr>
          <w:spacing w:val="9"/>
          <w:sz w:val="21"/>
        </w:rPr>
        <w:t> </w:t>
      </w:r>
      <w:r>
        <w:rPr>
          <w:w w:val="88"/>
          <w:sz w:val="21"/>
        </w:rPr>
        <w:t>yea.r,</w:t>
      </w:r>
      <w:r>
        <w:rPr>
          <w:sz w:val="21"/>
        </w:rPr>
        <w:t> </w:t>
      </w:r>
      <w:r>
        <w:rPr>
          <w:spacing w:val="-21"/>
          <w:sz w:val="21"/>
        </w:rPr>
        <w:t> </w:t>
      </w:r>
      <w:r>
        <w:rPr>
          <w:w w:val="98"/>
          <w:sz w:val="21"/>
        </w:rPr>
        <w:t>denoted</w:t>
      </w:r>
      <w:r>
        <w:rPr>
          <w:sz w:val="21"/>
        </w:rPr>
        <w:t> </w:t>
      </w:r>
      <w:r>
        <w:rPr>
          <w:spacing w:val="-18"/>
          <w:sz w:val="21"/>
        </w:rPr>
        <w:t> </w:t>
      </w:r>
      <w:r>
        <w:rPr>
          <w:w w:val="97"/>
          <w:sz w:val="21"/>
        </w:rPr>
        <w:t>by</w:t>
      </w:r>
      <w:r>
        <w:rPr>
          <w:spacing w:val="14"/>
          <w:sz w:val="21"/>
        </w:rPr>
        <w:t> </w:t>
      </w:r>
      <w:r>
        <w:rPr>
          <w:rFonts w:ascii="Arial" w:hAnsi="Arial"/>
          <w:spacing w:val="-59"/>
          <w:w w:val="72"/>
          <w:sz w:val="27"/>
        </w:rPr>
        <w:t>a</w:t>
      </w:r>
      <w:r>
        <w:rPr>
          <w:rFonts w:ascii="Arial" w:hAnsi="Arial"/>
          <w:spacing w:val="-147"/>
          <w:w w:val="215"/>
          <w:sz w:val="27"/>
        </w:rPr>
        <w:t>!</w:t>
      </w:r>
      <w:r>
        <w:rPr>
          <w:rFonts w:ascii="Arial" w:hAnsi="Arial"/>
          <w:spacing w:val="-22"/>
          <w:w w:val="146"/>
          <w:sz w:val="27"/>
        </w:rPr>
        <w:t>•</w:t>
      </w:r>
      <w:r>
        <w:rPr>
          <w:rFonts w:ascii="Arial" w:hAnsi="Arial"/>
          <w:w w:val="47"/>
          <w:sz w:val="27"/>
        </w:rPr>
        <w:t>&gt;,</w:t>
      </w:r>
    </w:p>
    <w:p>
      <w:pPr>
        <w:spacing w:line="213" w:lineRule="auto" w:before="9"/>
        <w:ind w:left="133" w:right="31" w:firstLine="3"/>
        <w:jc w:val="left"/>
        <w:rPr>
          <w:sz w:val="21"/>
        </w:rPr>
      </w:pPr>
      <w:r>
        <w:rPr>
          <w:rFonts w:ascii="Arial" w:hAnsi="Arial"/>
          <w:w w:val="109"/>
          <w:sz w:val="19"/>
        </w:rPr>
        <w:t>is </w:t>
      </w:r>
      <w:r>
        <w:rPr>
          <w:w w:val="99"/>
          <w:sz w:val="21"/>
        </w:rPr>
        <w:t>equivalent </w:t>
      </w:r>
      <w:r>
        <w:rPr>
          <w:w w:val="103"/>
          <w:sz w:val="22"/>
        </w:rPr>
        <w:t>to </w:t>
      </w:r>
      <w:r>
        <w:rPr>
          <w:w w:val="75"/>
          <w:sz w:val="21"/>
        </w:rPr>
        <w:t>a. </w:t>
      </w:r>
      <w:r>
        <w:rPr>
          <w:w w:val="95"/>
          <w:sz w:val="21"/>
        </w:rPr>
        <w:t>curta.te </w:t>
      </w:r>
      <w:r>
        <w:rPr>
          <w:w w:val="103"/>
          <w:sz w:val="21"/>
        </w:rPr>
        <w:t>annuity, </w:t>
      </w:r>
      <w:r>
        <w:rPr>
          <w:rFonts w:ascii="Arial" w:hAnsi="Arial"/>
          <w:i/>
          <w:w w:val="122"/>
          <w:sz w:val="22"/>
        </w:rPr>
        <w:t>a•&gt; </w:t>
      </w:r>
      <w:r>
        <w:rPr>
          <w:rFonts w:ascii="Arial" w:hAnsi="Arial"/>
          <w:i/>
          <w:w w:val="115"/>
          <w:sz w:val="22"/>
        </w:rPr>
        <w:t>, </w:t>
      </w:r>
      <w:r>
        <w:rPr>
          <w:w w:val="99"/>
          <w:sz w:val="21"/>
        </w:rPr>
        <w:t>plus </w:t>
      </w:r>
      <w:r>
        <w:rPr>
          <w:w w:val="110"/>
          <w:sz w:val="21"/>
        </w:rPr>
        <w:t>a </w:t>
      </w:r>
      <w:r>
        <w:rPr>
          <w:w w:val="97"/>
          <w:sz w:val="21"/>
        </w:rPr>
        <w:t>continuously </w:t>
      </w:r>
      <w:r>
        <w:rPr>
          <w:w w:val="97"/>
          <w:sz w:val="21"/>
        </w:rPr>
        <w:t>in­ </w:t>
      </w:r>
      <w:r>
        <w:rPr>
          <w:sz w:val="21"/>
        </w:rPr>
        <w:t>creasing insurance  paya.ble  a.t  the moment  of  death,  </w:t>
      </w:r>
      <w:r>
        <w:rPr>
          <w:rFonts w:ascii="Arial" w:hAnsi="Arial"/>
          <w:i/>
          <w:sz w:val="24"/>
        </w:rPr>
        <w:t>(1A ). </w:t>
      </w:r>
      <w:r>
        <w:rPr>
          <w:rFonts w:ascii="Arial" w:hAnsi="Arial"/>
          <w:sz w:val="24"/>
        </w:rPr>
        <w:t>, </w:t>
      </w:r>
      <w:r>
        <w:rPr>
          <w:sz w:val="21"/>
        </w:rPr>
        <w:t>re-</w:t>
      </w:r>
    </w:p>
    <w:p>
      <w:pPr>
        <w:spacing w:line="216" w:lineRule="exact" w:before="95"/>
        <w:ind w:left="136" w:right="0" w:firstLine="0"/>
        <w:jc w:val="left"/>
        <w:rPr>
          <w:sz w:val="21"/>
        </w:rPr>
      </w:pPr>
      <w:r>
        <w:rPr>
          <w:sz w:val="21"/>
        </w:rPr>
        <w:t>duced at the end of ea.ch interval by </w:t>
      </w:r>
      <w:r>
        <w:rPr>
          <w:sz w:val="23"/>
        </w:rPr>
        <w:t>!_. </w:t>
      </w:r>
      <w:r>
        <w:rPr>
          <w:sz w:val="21"/>
        </w:rPr>
        <w:t>The reduction </w:t>
      </w:r>
      <w:r>
        <w:rPr>
          <w:rFonts w:ascii="Arial"/>
          <w:sz w:val="19"/>
        </w:rPr>
        <w:t>is </w:t>
      </w:r>
      <w:r>
        <w:rPr>
          <w:sz w:val="21"/>
        </w:rPr>
        <w:t>equivalent</w:t>
      </w:r>
    </w:p>
    <w:p>
      <w:pPr>
        <w:spacing w:line="159" w:lineRule="exact" w:before="0"/>
        <w:ind w:left="691" w:right="0" w:firstLine="0"/>
        <w:jc w:val="center"/>
        <w:rPr>
          <w:rFonts w:ascii="Arial"/>
          <w:i/>
          <w:sz w:val="18"/>
        </w:rPr>
      </w:pPr>
      <w:r>
        <w:rPr>
          <w:rFonts w:ascii="Arial"/>
          <w:i/>
          <w:w w:val="109"/>
          <w:sz w:val="18"/>
        </w:rPr>
        <w:t>m</w:t>
      </w:r>
    </w:p>
    <w:p>
      <w:pPr>
        <w:spacing w:line="220" w:lineRule="exact" w:before="102"/>
        <w:ind w:left="136" w:right="133" w:firstLine="0"/>
        <w:jc w:val="left"/>
        <w:rPr>
          <w:sz w:val="23"/>
        </w:rPr>
      </w:pPr>
      <w:r>
        <w:rPr>
          <w:sz w:val="21"/>
        </w:rPr>
        <w:t>to  an  increasing  insurance  which  provides  insurance  of  O,  </w:t>
      </w:r>
      <w:r>
        <w:rPr>
          <w:sz w:val="23"/>
        </w:rPr>
        <w:t>!_,</w:t>
      </w:r>
    </w:p>
    <w:p>
      <w:pPr>
        <w:spacing w:line="162" w:lineRule="exact" w:before="0"/>
        <w:ind w:left="0" w:right="181" w:firstLine="0"/>
        <w:jc w:val="right"/>
        <w:rPr>
          <w:rFonts w:ascii="Arial"/>
          <w:i/>
          <w:sz w:val="18"/>
        </w:rPr>
      </w:pPr>
      <w:r>
        <w:rPr>
          <w:rFonts w:ascii="Arial"/>
          <w:i/>
          <w:w w:val="109"/>
          <w:sz w:val="18"/>
        </w:rPr>
        <w:t>m</w:t>
      </w:r>
    </w:p>
    <w:p>
      <w:pPr>
        <w:spacing w:line="205" w:lineRule="exact" w:before="101"/>
        <w:ind w:left="0" w:right="114" w:firstLine="0"/>
        <w:jc w:val="right"/>
        <w:rPr>
          <w:rFonts w:ascii="Arial" w:hAnsi="Arial"/>
          <w:i/>
          <w:sz w:val="23"/>
        </w:rPr>
      </w:pPr>
      <w:r>
        <w:rPr/>
        <w:pict>
          <v:shape style="position:absolute;margin-left:40.475479pt;margin-top:13.48405pt;width:7.95pt;height:11.5pt;mso-position-horizontal-relative:page;mso-position-vertical-relative:paragraph;z-index:13048" type="#_x0000_t202" filled="false" stroked="false">
            <v:textbox inset="0,0,0,0">
              <w:txbxContent>
                <w:p>
                  <w:pPr>
                    <w:spacing w:line="230" w:lineRule="exact" w:before="0"/>
                    <w:ind w:left="0" w:right="0" w:firstLine="0"/>
                    <w:jc w:val="left"/>
                    <w:rPr>
                      <w:rFonts w:ascii="Courier New"/>
                      <w:i/>
                      <w:sz w:val="23"/>
                    </w:rPr>
                  </w:pPr>
                  <w:r>
                    <w:rPr>
                      <w:rFonts w:ascii="Courier New"/>
                      <w:i/>
                      <w:w w:val="114"/>
                      <w:sz w:val="23"/>
                    </w:rPr>
                    <w:t>m</w:t>
                  </w:r>
                </w:p>
              </w:txbxContent>
            </v:textbox>
            <w10:wrap type="none"/>
          </v:shape>
        </w:pict>
      </w:r>
      <w:r>
        <w:rPr>
          <w:i/>
          <w:w w:val="135"/>
          <w:sz w:val="21"/>
        </w:rPr>
        <w:t>' </w:t>
      </w:r>
      <w:r>
        <w:rPr>
          <w:w w:val="135"/>
          <w:sz w:val="21"/>
        </w:rPr>
        <w:t>···, </w:t>
      </w:r>
      <w:r>
        <w:rPr>
          <w:sz w:val="21"/>
        </w:rPr>
        <w:t>and its value is accordingly given by  </w:t>
      </w:r>
      <w:r>
        <w:rPr>
          <w:rFonts w:ascii="Arial" w:hAnsi="Arial"/>
          <w:sz w:val="19"/>
        </w:rPr>
        <w:t>(J&lt;"'&gt;A </w:t>
      </w:r>
      <w:r>
        <w:rPr>
          <w:rFonts w:ascii="Arial" w:hAnsi="Arial"/>
          <w:w w:val="135"/>
          <w:sz w:val="19"/>
        </w:rPr>
        <w:t>). </w:t>
      </w:r>
      <w:r>
        <w:rPr>
          <w:rFonts w:ascii="Arial" w:hAnsi="Arial"/>
          <w:w w:val="240"/>
          <w:sz w:val="19"/>
        </w:rPr>
        <w:t>- </w:t>
      </w:r>
      <w:r>
        <w:rPr>
          <w:rFonts w:ascii="Arial" w:hAnsi="Arial"/>
          <w:i/>
          <w:sz w:val="23"/>
        </w:rPr>
        <w:t>!_ A• .</w:t>
      </w:r>
    </w:p>
    <w:p>
      <w:pPr>
        <w:spacing w:line="201" w:lineRule="exact" w:before="0"/>
        <w:ind w:left="0" w:right="515" w:firstLine="0"/>
        <w:jc w:val="right"/>
        <w:rPr>
          <w:rFonts w:ascii="Courier New"/>
          <w:i/>
          <w:sz w:val="23"/>
        </w:rPr>
      </w:pPr>
      <w:r>
        <w:rPr>
          <w:rFonts w:ascii="Courier New"/>
          <w:i/>
          <w:w w:val="111"/>
          <w:sz w:val="23"/>
        </w:rPr>
        <w:t>m</w:t>
      </w:r>
    </w:p>
    <w:p>
      <w:pPr>
        <w:spacing w:line="217" w:lineRule="exact" w:before="0"/>
        <w:ind w:left="129" w:right="739" w:firstLine="0"/>
        <w:jc w:val="left"/>
        <w:rPr>
          <w:sz w:val="21"/>
        </w:rPr>
      </w:pPr>
      <w:r>
        <w:rPr>
          <w:sz w:val="21"/>
        </w:rPr>
        <w:t>We then ha.ve</w:t>
      </w:r>
    </w:p>
    <w:p>
      <w:pPr>
        <w:pStyle w:val="BodyText"/>
        <w:spacing w:before="3"/>
        <w:rPr>
          <w:sz w:val="21"/>
        </w:rPr>
      </w:pPr>
    </w:p>
    <w:p>
      <w:pPr>
        <w:pStyle w:val="BodyText"/>
        <w:ind w:right="139"/>
        <w:jc w:val="right"/>
      </w:pPr>
      <w:r>
        <w:rPr/>
        <w:drawing>
          <wp:anchor distT="0" distB="0" distL="0" distR="0" allowOverlap="1" layoutInCell="1" locked="0" behindDoc="0" simplePos="0" relativeHeight="13024">
            <wp:simplePos x="0" y="0"/>
            <wp:positionH relativeFrom="page">
              <wp:posOffset>1161288</wp:posOffset>
            </wp:positionH>
            <wp:positionV relativeFrom="paragraph">
              <wp:posOffset>-36377</wp:posOffset>
            </wp:positionV>
            <wp:extent cx="2359152" cy="265175"/>
            <wp:effectExtent l="0" t="0" r="0" b="0"/>
            <wp:wrapNone/>
            <wp:docPr id="317" name="image164.png" descr=""/>
            <wp:cNvGraphicFramePr>
              <a:graphicFrameLocks noChangeAspect="1"/>
            </wp:cNvGraphicFramePr>
            <a:graphic>
              <a:graphicData uri="http://schemas.openxmlformats.org/drawingml/2006/picture">
                <pic:pic>
                  <pic:nvPicPr>
                    <pic:cNvPr id="318" name="image164.png"/>
                    <pic:cNvPicPr/>
                  </pic:nvPicPr>
                  <pic:blipFill>
                    <a:blip r:embed="rId168" cstate="print"/>
                    <a:stretch>
                      <a:fillRect/>
                    </a:stretch>
                  </pic:blipFill>
                  <pic:spPr>
                    <a:xfrm>
                      <a:off x="0" y="0"/>
                      <a:ext cx="2359152" cy="265175"/>
                    </a:xfrm>
                    <a:prstGeom prst="rect">
                      <a:avLst/>
                    </a:prstGeom>
                  </pic:spPr>
                </pic:pic>
              </a:graphicData>
            </a:graphic>
          </wp:anchor>
        </w:drawing>
      </w:r>
      <w:r>
        <w:rPr>
          <w:w w:val="105"/>
        </w:rPr>
        <w:t>(7.11)</w:t>
      </w:r>
    </w:p>
    <w:p>
      <w:pPr>
        <w:pStyle w:val="BodyText"/>
        <w:spacing w:before="10"/>
        <w:rPr>
          <w:sz w:val="13"/>
        </w:rPr>
      </w:pPr>
    </w:p>
    <w:p>
      <w:pPr>
        <w:spacing w:line="236" w:lineRule="exact" w:before="89"/>
        <w:ind w:left="125" w:right="155" w:firstLine="0"/>
        <w:jc w:val="both"/>
        <w:rPr>
          <w:sz w:val="21"/>
        </w:rPr>
      </w:pPr>
      <w:r>
        <w:rPr>
          <w:b/>
          <w:w w:val="110"/>
          <w:sz w:val="22"/>
        </w:rPr>
        <w:t>lf</w:t>
      </w:r>
      <w:r>
        <w:rPr>
          <w:b/>
          <w:spacing w:val="-26"/>
          <w:w w:val="110"/>
          <w:sz w:val="22"/>
        </w:rPr>
        <w:t> </w:t>
      </w:r>
      <w:r>
        <w:rPr>
          <w:w w:val="110"/>
          <w:sz w:val="21"/>
        </w:rPr>
        <w:t>we</w:t>
      </w:r>
      <w:r>
        <w:rPr>
          <w:spacing w:val="-33"/>
          <w:w w:val="110"/>
          <w:sz w:val="21"/>
        </w:rPr>
        <w:t> </w:t>
      </w:r>
      <w:r>
        <w:rPr>
          <w:w w:val="110"/>
          <w:sz w:val="21"/>
        </w:rPr>
        <w:t>now</w:t>
      </w:r>
      <w:r>
        <w:rPr>
          <w:spacing w:val="-24"/>
          <w:w w:val="110"/>
          <w:sz w:val="21"/>
        </w:rPr>
        <w:t> </w:t>
      </w:r>
      <w:r>
        <w:rPr>
          <w:w w:val="110"/>
          <w:sz w:val="21"/>
        </w:rPr>
        <w:t>substitute</w:t>
      </w:r>
      <w:r>
        <w:rPr>
          <w:spacing w:val="-26"/>
          <w:w w:val="110"/>
          <w:sz w:val="21"/>
        </w:rPr>
        <w:t> </w:t>
      </w:r>
      <w:r>
        <w:rPr>
          <w:w w:val="110"/>
          <w:sz w:val="21"/>
        </w:rPr>
        <w:t>in</w:t>
      </w:r>
      <w:r>
        <w:rPr>
          <w:spacing w:val="-29"/>
          <w:w w:val="110"/>
          <w:sz w:val="21"/>
        </w:rPr>
        <w:t> </w:t>
      </w:r>
      <w:r>
        <w:rPr>
          <w:w w:val="110"/>
          <w:sz w:val="21"/>
        </w:rPr>
        <w:t>this</w:t>
      </w:r>
      <w:r>
        <w:rPr>
          <w:spacing w:val="-31"/>
          <w:w w:val="110"/>
          <w:sz w:val="21"/>
        </w:rPr>
        <w:t> </w:t>
      </w:r>
      <w:r>
        <w:rPr>
          <w:w w:val="110"/>
          <w:sz w:val="21"/>
        </w:rPr>
        <w:t>fonnula</w:t>
      </w:r>
      <w:r>
        <w:rPr>
          <w:spacing w:val="-28"/>
          <w:w w:val="110"/>
          <w:sz w:val="21"/>
        </w:rPr>
        <w:t> </w:t>
      </w:r>
      <w:r>
        <w:rPr>
          <w:w w:val="110"/>
          <w:sz w:val="21"/>
        </w:rPr>
        <w:t>for</w:t>
      </w:r>
      <w:r>
        <w:rPr>
          <w:spacing w:val="-15"/>
          <w:w w:val="110"/>
          <w:sz w:val="21"/>
        </w:rPr>
        <w:t> </w:t>
      </w:r>
      <w:r>
        <w:rPr>
          <w:rFonts w:ascii="Arial"/>
          <w:i/>
          <w:w w:val="110"/>
          <w:sz w:val="20"/>
        </w:rPr>
        <w:t>(]A</w:t>
      </w:r>
      <w:r>
        <w:rPr>
          <w:rFonts w:ascii="Arial"/>
          <w:i/>
          <w:spacing w:val="-41"/>
          <w:w w:val="110"/>
          <w:sz w:val="20"/>
        </w:rPr>
        <w:t> </w:t>
      </w:r>
      <w:r>
        <w:rPr>
          <w:rFonts w:ascii="Arial"/>
          <w:i/>
          <w:w w:val="110"/>
          <w:sz w:val="20"/>
        </w:rPr>
        <w:t>).</w:t>
      </w:r>
      <w:r>
        <w:rPr>
          <w:rFonts w:ascii="Arial"/>
          <w:i/>
          <w:spacing w:val="-38"/>
          <w:w w:val="110"/>
          <w:sz w:val="20"/>
        </w:rPr>
        <w:t> </w:t>
      </w:r>
      <w:r>
        <w:rPr>
          <w:w w:val="110"/>
          <w:sz w:val="21"/>
        </w:rPr>
        <w:t>from</w:t>
      </w:r>
      <w:r>
        <w:rPr>
          <w:spacing w:val="-29"/>
          <w:w w:val="110"/>
          <w:sz w:val="21"/>
        </w:rPr>
        <w:t> </w:t>
      </w:r>
      <w:r>
        <w:rPr>
          <w:w w:val="110"/>
          <w:sz w:val="21"/>
        </w:rPr>
        <w:t>fonnula</w:t>
      </w:r>
      <w:r>
        <w:rPr>
          <w:spacing w:val="-8"/>
          <w:w w:val="110"/>
          <w:sz w:val="21"/>
        </w:rPr>
        <w:t> </w:t>
      </w:r>
      <w:r>
        <w:rPr>
          <w:w w:val="110"/>
          <w:sz w:val="21"/>
        </w:rPr>
        <w:t>(3.30) </w:t>
      </w:r>
      <w:r>
        <w:rPr>
          <w:w w:val="103"/>
          <w:sz w:val="21"/>
        </w:rPr>
        <w:t>and </w:t>
      </w:r>
      <w:r>
        <w:rPr>
          <w:w w:val="97"/>
          <w:sz w:val="21"/>
        </w:rPr>
        <w:t>for </w:t>
      </w:r>
      <w:r>
        <w:rPr>
          <w:rFonts w:ascii="Arial"/>
          <w:spacing w:val="-13"/>
          <w:w w:val="131"/>
          <w:sz w:val="19"/>
        </w:rPr>
        <w:t>(I'"'&gt;A</w:t>
      </w:r>
      <w:r>
        <w:rPr>
          <w:rFonts w:ascii="Arial"/>
          <w:w w:val="131"/>
          <w:sz w:val="19"/>
        </w:rPr>
        <w:t> </w:t>
      </w:r>
      <w:r>
        <w:rPr>
          <w:rFonts w:ascii="Arial"/>
          <w:w w:val="155"/>
          <w:sz w:val="19"/>
        </w:rPr>
        <w:t>). </w:t>
      </w:r>
      <w:r>
        <w:rPr>
          <w:w w:val="98"/>
          <w:sz w:val="21"/>
        </w:rPr>
        <w:t>from </w:t>
      </w:r>
      <w:r>
        <w:rPr>
          <w:w w:val="102"/>
          <w:sz w:val="21"/>
        </w:rPr>
        <w:t>fonnula </w:t>
      </w:r>
      <w:r>
        <w:rPr>
          <w:sz w:val="21"/>
        </w:rPr>
        <w:t>(3.28), </w:t>
      </w:r>
      <w:r>
        <w:rPr>
          <w:w w:val="95"/>
          <w:sz w:val="21"/>
        </w:rPr>
        <w:t>we</w:t>
      </w:r>
      <w:r>
        <w:rPr>
          <w:spacing w:val="-2"/>
          <w:w w:val="95"/>
          <w:sz w:val="21"/>
        </w:rPr>
        <w:t> </w:t>
      </w:r>
      <w:r>
        <w:rPr>
          <w:w w:val="102"/>
          <w:sz w:val="21"/>
        </w:rPr>
        <w:t>obtain</w:t>
      </w:r>
    </w:p>
    <w:p>
      <w:pPr>
        <w:pStyle w:val="BodyText"/>
        <w:spacing w:before="5"/>
        <w:rPr>
          <w:sz w:val="17"/>
        </w:rPr>
      </w:pPr>
    </w:p>
    <w:p>
      <w:pPr>
        <w:pStyle w:val="BodyText"/>
        <w:ind w:left="2012" w:right="133"/>
        <w:rPr>
          <w:b/>
          <w:sz w:val="21"/>
        </w:rPr>
      </w:pPr>
      <w:r>
        <w:rPr>
          <w:position w:val="-16"/>
        </w:rPr>
        <w:drawing>
          <wp:inline distT="0" distB="0" distL="0" distR="0">
            <wp:extent cx="1261872" cy="256032"/>
            <wp:effectExtent l="0" t="0" r="0" b="0"/>
            <wp:docPr id="319" name="image165.png" descr=""/>
            <wp:cNvGraphicFramePr>
              <a:graphicFrameLocks noChangeAspect="1"/>
            </wp:cNvGraphicFramePr>
            <a:graphic>
              <a:graphicData uri="http://schemas.openxmlformats.org/drawingml/2006/picture">
                <pic:pic>
                  <pic:nvPicPr>
                    <pic:cNvPr id="320" name="image165.png"/>
                    <pic:cNvPicPr/>
                  </pic:nvPicPr>
                  <pic:blipFill>
                    <a:blip r:embed="rId169" cstate="print"/>
                    <a:stretch>
                      <a:fillRect/>
                    </a:stretch>
                  </pic:blipFill>
                  <pic:spPr>
                    <a:xfrm>
                      <a:off x="0" y="0"/>
                      <a:ext cx="1261872" cy="256032"/>
                    </a:xfrm>
                    <a:prstGeom prst="rect">
                      <a:avLst/>
                    </a:prstGeom>
                  </pic:spPr>
                </pic:pic>
              </a:graphicData>
            </a:graphic>
          </wp:inline>
        </w:drawing>
      </w:r>
      <w:r>
        <w:rPr>
          <w:position w:val="-16"/>
        </w:rPr>
      </w:r>
      <w:r>
        <w:rPr/>
        <w:t>                         </w:t>
      </w:r>
      <w:r>
        <w:rPr>
          <w:b/>
          <w:sz w:val="21"/>
        </w:rPr>
        <w:t>(7.12)</w:t>
      </w:r>
    </w:p>
    <w:p>
      <w:pPr>
        <w:spacing w:before="114"/>
        <w:ind w:left="118" w:right="0" w:firstLine="0"/>
        <w:jc w:val="both"/>
        <w:rPr>
          <w:sz w:val="21"/>
        </w:rPr>
      </w:pPr>
      <w:r>
        <w:rPr>
          <w:sz w:val="21"/>
        </w:rPr>
        <w:t>As  the  fonnula  shows,  the  value  of  the  apportionable  feature is</w:t>
      </w:r>
    </w:p>
    <w:p>
      <w:pPr>
        <w:spacing w:line="230" w:lineRule="auto" w:before="97"/>
        <w:ind w:left="118" w:right="154" w:firstLine="3"/>
        <w:jc w:val="both"/>
        <w:rPr>
          <w:sz w:val="21"/>
        </w:rPr>
      </w:pPr>
      <w:r>
        <w:rPr>
          <w:sz w:val="21"/>
        </w:rPr>
        <w:t>roughly equal </w:t>
      </w:r>
      <w:r>
        <w:rPr>
          <w:sz w:val="22"/>
        </w:rPr>
        <w:t>to </w:t>
      </w:r>
      <w:r>
        <w:rPr>
          <w:position w:val="-11"/>
          <w:sz w:val="21"/>
        </w:rPr>
        <w:t>2 </w:t>
      </w:r>
      <w:r>
        <w:rPr>
          <w:rFonts w:ascii="Arial" w:hAnsi="Arial"/>
          <w:i/>
          <w:sz w:val="24"/>
        </w:rPr>
        <w:t>A. , </w:t>
      </w:r>
      <w:r>
        <w:rPr>
          <w:sz w:val="21"/>
        </w:rPr>
        <w:t>an insurance of half the periodical pay­ ment, death occurring on the average halfway between two pay­ ment dates.</w:t>
      </w:r>
    </w:p>
    <w:p>
      <w:pPr>
        <w:spacing w:line="239" w:lineRule="exact" w:before="0"/>
        <w:ind w:left="314" w:right="739" w:firstLine="0"/>
        <w:jc w:val="left"/>
        <w:rPr>
          <w:sz w:val="21"/>
        </w:rPr>
      </w:pPr>
      <w:r>
        <w:rPr>
          <w:sz w:val="21"/>
        </w:rPr>
        <w:t>Another approximation,</w:t>
      </w:r>
    </w:p>
    <w:p>
      <w:pPr>
        <w:spacing w:after="0" w:line="239" w:lineRule="exact"/>
        <w:jc w:val="left"/>
        <w:rPr>
          <w:sz w:val="21"/>
        </w:rPr>
        <w:sectPr>
          <w:pgSz w:w="7200" w:h="11340"/>
          <w:pgMar w:top="500" w:bottom="280" w:left="680" w:right="540"/>
        </w:sectPr>
      </w:pPr>
    </w:p>
    <w:p>
      <w:pPr>
        <w:tabs>
          <w:tab w:pos="2313" w:val="left" w:leader="none"/>
          <w:tab w:pos="5323" w:val="left" w:leader="none"/>
        </w:tabs>
        <w:spacing w:before="52"/>
        <w:ind w:left="145" w:right="0" w:firstLine="0"/>
        <w:jc w:val="left"/>
        <w:rPr>
          <w:b/>
          <w:sz w:val="21"/>
        </w:rPr>
      </w:pPr>
      <w:r>
        <w:rPr>
          <w:color w:val="010101"/>
          <w:spacing w:val="-16"/>
          <w:sz w:val="19"/>
        </w:rPr>
        <w:t>158</w:t>
        <w:tab/>
      </w:r>
      <w:r>
        <w:rPr>
          <w:b/>
          <w:color w:val="010101"/>
          <w:sz w:val="15"/>
        </w:rPr>
        <w:t>SPECIAL </w:t>
      </w:r>
      <w:r>
        <w:rPr>
          <w:b/>
          <w:color w:val="010101"/>
          <w:spacing w:val="21"/>
          <w:sz w:val="15"/>
        </w:rPr>
        <w:t> </w:t>
      </w:r>
      <w:r>
        <w:rPr>
          <w:b/>
          <w:color w:val="010101"/>
          <w:sz w:val="15"/>
        </w:rPr>
        <w:t>TOPICS</w:t>
        <w:tab/>
      </w:r>
      <w:r>
        <w:rPr>
          <w:b/>
          <w:color w:val="010101"/>
          <w:w w:val="85"/>
          <w:sz w:val="21"/>
        </w:rPr>
        <w:t>[CH.</w:t>
      </w:r>
      <w:r>
        <w:rPr>
          <w:b/>
          <w:color w:val="010101"/>
          <w:spacing w:val="7"/>
          <w:w w:val="85"/>
          <w:sz w:val="21"/>
        </w:rPr>
        <w:t> </w:t>
      </w:r>
      <w:r>
        <w:rPr>
          <w:b/>
          <w:color w:val="010101"/>
          <w:w w:val="85"/>
          <w:sz w:val="21"/>
        </w:rPr>
        <w:t>7</w:t>
      </w:r>
    </w:p>
    <w:p>
      <w:pPr>
        <w:spacing w:after="0"/>
        <w:jc w:val="left"/>
        <w:rPr>
          <w:sz w:val="21"/>
        </w:rPr>
        <w:sectPr>
          <w:pgSz w:w="7200" w:h="11340"/>
          <w:pgMar w:top="520" w:bottom="280" w:left="660" w:right="580"/>
        </w:sectPr>
      </w:pPr>
    </w:p>
    <w:p>
      <w:pPr>
        <w:spacing w:before="48"/>
        <w:ind w:left="1737" w:right="0" w:firstLine="0"/>
        <w:jc w:val="left"/>
        <w:rPr>
          <w:sz w:val="41"/>
        </w:rPr>
      </w:pPr>
      <w:r>
        <w:rPr/>
        <w:pict>
          <v:shape style="position:absolute;margin-left:146.003998pt;margin-top:22.317965pt;width:69.4pt;height:10.5pt;mso-position-horizontal-relative:page;mso-position-vertical-relative:paragraph;z-index:-722944" type="#_x0000_t202" filled="false" stroked="false">
            <v:textbox inset="0,0,0,0">
              <w:txbxContent>
                <w:p>
                  <w:pPr>
                    <w:pStyle w:val="ListParagraph"/>
                    <w:numPr>
                      <w:ilvl w:val="0"/>
                      <w:numId w:val="71"/>
                    </w:numPr>
                    <w:tabs>
                      <w:tab w:pos="652" w:val="left" w:leader="none"/>
                    </w:tabs>
                    <w:spacing w:line="210" w:lineRule="exact" w:before="0" w:after="0"/>
                    <w:ind w:left="651" w:right="0" w:hanging="651"/>
                    <w:jc w:val="left"/>
                    <w:rPr>
                      <w:sz w:val="20"/>
                    </w:rPr>
                  </w:pPr>
                  <w:r>
                    <w:rPr>
                      <w:i/>
                      <w:color w:val="010101"/>
                      <w:w w:val="110"/>
                      <w:sz w:val="21"/>
                    </w:rPr>
                    <w:t>2m   </w:t>
                  </w:r>
                  <w:r>
                    <w:rPr>
                      <w:color w:val="010101"/>
                      <w:w w:val="110"/>
                      <w:sz w:val="20"/>
                    </w:rPr>
                    <w:t>az</w:t>
                  </w:r>
                  <w:r>
                    <w:rPr>
                      <w:color w:val="010101"/>
                      <w:spacing w:val="-35"/>
                      <w:w w:val="110"/>
                      <w:sz w:val="20"/>
                    </w:rPr>
                    <w:t> </w:t>
                  </w:r>
                  <w:r>
                    <w:rPr>
                      <w:color w:val="010101"/>
                      <w:w w:val="175"/>
                      <w:sz w:val="20"/>
                    </w:rPr>
                    <w:t>'</w:t>
                  </w:r>
                </w:p>
              </w:txbxContent>
            </v:textbox>
            <w10:wrap type="none"/>
          </v:shape>
        </w:pict>
      </w:r>
      <w:r>
        <w:rPr>
          <w:color w:val="010101"/>
          <w:w w:val="50"/>
          <w:sz w:val="21"/>
        </w:rPr>
        <w:t>..t</w:t>
      </w:r>
      <w:r>
        <w:rPr>
          <w:color w:val="010101"/>
          <w:spacing w:val="-25"/>
          <w:sz w:val="21"/>
        </w:rPr>
        <w:t> </w:t>
      </w:r>
      <w:r>
        <w:rPr>
          <w:color w:val="010101"/>
          <w:w w:val="80"/>
          <w:sz w:val="21"/>
        </w:rPr>
        <w:t>&lt;</w:t>
      </w:r>
      <w:r>
        <w:rPr>
          <w:color w:val="010101"/>
          <w:spacing w:val="5"/>
          <w:w w:val="80"/>
          <w:sz w:val="21"/>
        </w:rPr>
        <w:t>•</w:t>
      </w:r>
      <w:r>
        <w:rPr>
          <w:color w:val="010101"/>
          <w:w w:val="33"/>
          <w:sz w:val="21"/>
        </w:rPr>
        <w:t>&gt;</w:t>
      </w:r>
      <w:r>
        <w:rPr>
          <w:color w:val="010101"/>
          <w:sz w:val="21"/>
        </w:rPr>
        <w:t> </w:t>
      </w:r>
      <w:r>
        <w:rPr>
          <w:color w:val="010101"/>
          <w:spacing w:val="1"/>
          <w:sz w:val="21"/>
        </w:rPr>
        <w:t> </w:t>
      </w:r>
      <w:r>
        <w:rPr>
          <w:rFonts w:ascii="Arial" w:hAnsi="Arial"/>
          <w:color w:val="010101"/>
          <w:w w:val="52"/>
          <w:sz w:val="23"/>
        </w:rPr>
        <w:t>==</w:t>
      </w:r>
      <w:r>
        <w:rPr>
          <w:rFonts w:ascii="Arial" w:hAnsi="Arial"/>
          <w:color w:val="010101"/>
          <w:spacing w:val="26"/>
          <w:sz w:val="23"/>
        </w:rPr>
        <w:t> </w:t>
      </w:r>
      <w:r>
        <w:rPr>
          <w:color w:val="010101"/>
          <w:spacing w:val="2"/>
          <w:w w:val="77"/>
          <w:sz w:val="50"/>
        </w:rPr>
        <w:t>(</w:t>
      </w:r>
      <w:r>
        <w:rPr>
          <w:color w:val="010101"/>
          <w:w w:val="47"/>
          <w:sz w:val="50"/>
        </w:rPr>
        <w:t>1</w:t>
      </w:r>
      <w:r>
        <w:rPr>
          <w:color w:val="010101"/>
          <w:spacing w:val="-75"/>
          <w:sz w:val="50"/>
        </w:rPr>
        <w:t> </w:t>
      </w:r>
      <w:r>
        <w:rPr>
          <w:color w:val="010101"/>
          <w:spacing w:val="47"/>
          <w:w w:val="110"/>
          <w:sz w:val="50"/>
        </w:rPr>
        <w:t>-</w:t>
      </w:r>
      <w:r>
        <w:rPr>
          <w:color w:val="010101"/>
          <w:w w:val="50"/>
          <w:sz w:val="41"/>
        </w:rPr>
        <w:t>_!_)</w:t>
      </w:r>
      <w:r>
        <w:rPr>
          <w:color w:val="010101"/>
          <w:spacing w:val="14"/>
          <w:sz w:val="41"/>
        </w:rPr>
        <w:t> </w:t>
      </w:r>
      <w:r>
        <w:rPr>
          <w:color w:val="010101"/>
          <w:w w:val="56"/>
          <w:sz w:val="41"/>
        </w:rPr>
        <w:t>-</w:t>
      </w:r>
    </w:p>
    <w:p>
      <w:pPr>
        <w:pStyle w:val="BodyText"/>
        <w:spacing w:before="204"/>
        <w:ind w:left="130"/>
      </w:pPr>
      <w:r>
        <w:rPr>
          <w:color w:val="010101"/>
          <w:w w:val="105"/>
        </w:rPr>
        <w:t>is derived from  (7.12)  by means of the two  substitutions</w:t>
      </w:r>
    </w:p>
    <w:p>
      <w:pPr>
        <w:pStyle w:val="BodyText"/>
        <w:spacing w:before="8"/>
        <w:rPr>
          <w:sz w:val="11"/>
        </w:rPr>
      </w:pPr>
      <w:r>
        <w:rPr/>
        <w:drawing>
          <wp:anchor distT="0" distB="0" distL="0" distR="0" allowOverlap="1" layoutInCell="1" locked="0" behindDoc="0" simplePos="0" relativeHeight="13096">
            <wp:simplePos x="0" y="0"/>
            <wp:positionH relativeFrom="page">
              <wp:posOffset>1874520</wp:posOffset>
            </wp:positionH>
            <wp:positionV relativeFrom="paragraph">
              <wp:posOffset>110350</wp:posOffset>
            </wp:positionV>
            <wp:extent cx="896111" cy="256032"/>
            <wp:effectExtent l="0" t="0" r="0" b="0"/>
            <wp:wrapTopAndBottom/>
            <wp:docPr id="321" name="image166.png" descr=""/>
            <wp:cNvGraphicFramePr>
              <a:graphicFrameLocks noChangeAspect="1"/>
            </wp:cNvGraphicFramePr>
            <a:graphic>
              <a:graphicData uri="http://schemas.openxmlformats.org/drawingml/2006/picture">
                <pic:pic>
                  <pic:nvPicPr>
                    <pic:cNvPr id="322" name="image166.png"/>
                    <pic:cNvPicPr/>
                  </pic:nvPicPr>
                  <pic:blipFill>
                    <a:blip r:embed="rId170" cstate="print"/>
                    <a:stretch>
                      <a:fillRect/>
                    </a:stretch>
                  </pic:blipFill>
                  <pic:spPr>
                    <a:xfrm>
                      <a:off x="0" y="0"/>
                      <a:ext cx="896111" cy="256032"/>
                    </a:xfrm>
                    <a:prstGeom prst="rect">
                      <a:avLst/>
                    </a:prstGeom>
                  </pic:spPr>
                </pic:pic>
              </a:graphicData>
            </a:graphic>
          </wp:anchor>
        </w:drawing>
      </w:r>
    </w:p>
    <w:p>
      <w:pPr>
        <w:pStyle w:val="BodyText"/>
        <w:spacing w:before="123"/>
        <w:ind w:left="120"/>
      </w:pPr>
      <w:r>
        <w:rPr>
          <w:color w:val="010101"/>
          <w:w w:val="110"/>
        </w:rPr>
        <w:t>and</w:t>
      </w:r>
    </w:p>
    <w:p>
      <w:pPr>
        <w:pStyle w:val="BodyText"/>
        <w:rPr>
          <w:sz w:val="18"/>
        </w:rPr>
      </w:pPr>
      <w:r>
        <w:rPr/>
        <w:br w:type="column"/>
      </w:r>
      <w:r>
        <w:rPr>
          <w:sz w:val="18"/>
        </w:rPr>
      </w:r>
    </w:p>
    <w:p>
      <w:pPr>
        <w:spacing w:before="148"/>
        <w:ind w:left="120" w:right="0" w:firstLine="0"/>
        <w:jc w:val="left"/>
        <w:rPr>
          <w:sz w:val="19"/>
        </w:rPr>
      </w:pPr>
      <w:r>
        <w:rPr>
          <w:color w:val="010101"/>
          <w:w w:val="120"/>
          <w:sz w:val="19"/>
        </w:rPr>
        <w:t>(7.13)</w:t>
      </w:r>
    </w:p>
    <w:p>
      <w:pPr>
        <w:spacing w:after="0"/>
        <w:jc w:val="left"/>
        <w:rPr>
          <w:sz w:val="19"/>
        </w:rPr>
        <w:sectPr>
          <w:type w:val="continuous"/>
          <w:pgSz w:w="7200" w:h="11340"/>
          <w:pgMar w:top="1100" w:bottom="0" w:left="660" w:right="580"/>
          <w:cols w:num="2" w:equalWidth="0">
            <w:col w:w="5044" w:space="148"/>
            <w:col w:w="768"/>
          </w:cols>
        </w:sectPr>
      </w:pPr>
    </w:p>
    <w:p>
      <w:pPr>
        <w:pStyle w:val="BodyText"/>
        <w:spacing w:before="10"/>
        <w:rPr>
          <w:sz w:val="11"/>
        </w:rPr>
      </w:pPr>
    </w:p>
    <w:p>
      <w:pPr>
        <w:pStyle w:val="BodyText"/>
        <w:spacing w:line="216" w:lineRule="exact"/>
        <w:ind w:left="2335"/>
      </w:pPr>
      <w:r>
        <w:rPr>
          <w:position w:val="-3"/>
        </w:rPr>
        <w:drawing>
          <wp:inline distT="0" distB="0" distL="0" distR="0">
            <wp:extent cx="841247" cy="137160"/>
            <wp:effectExtent l="0" t="0" r="0" b="0"/>
            <wp:docPr id="323" name="image167.png" descr=""/>
            <wp:cNvGraphicFramePr>
              <a:graphicFrameLocks noChangeAspect="1"/>
            </wp:cNvGraphicFramePr>
            <a:graphic>
              <a:graphicData uri="http://schemas.openxmlformats.org/drawingml/2006/picture">
                <pic:pic>
                  <pic:nvPicPr>
                    <pic:cNvPr id="324" name="image167.png"/>
                    <pic:cNvPicPr/>
                  </pic:nvPicPr>
                  <pic:blipFill>
                    <a:blip r:embed="rId171" cstate="print"/>
                    <a:stretch>
                      <a:fillRect/>
                    </a:stretch>
                  </pic:blipFill>
                  <pic:spPr>
                    <a:xfrm>
                      <a:off x="0" y="0"/>
                      <a:ext cx="841247" cy="137160"/>
                    </a:xfrm>
                    <a:prstGeom prst="rect">
                      <a:avLst/>
                    </a:prstGeom>
                  </pic:spPr>
                </pic:pic>
              </a:graphicData>
            </a:graphic>
          </wp:inline>
        </w:drawing>
      </w:r>
      <w:r>
        <w:rPr>
          <w:position w:val="-3"/>
        </w:rPr>
      </w:r>
    </w:p>
    <w:p>
      <w:pPr>
        <w:pStyle w:val="BodyText"/>
        <w:spacing w:before="1"/>
        <w:rPr>
          <w:sz w:val="10"/>
        </w:rPr>
      </w:pPr>
    </w:p>
    <w:p>
      <w:pPr>
        <w:pStyle w:val="ListParagraph"/>
        <w:numPr>
          <w:ilvl w:val="0"/>
          <w:numId w:val="69"/>
        </w:numPr>
        <w:tabs>
          <w:tab w:pos="353" w:val="left" w:leader="none"/>
        </w:tabs>
        <w:spacing w:line="240" w:lineRule="auto" w:before="75" w:after="0"/>
        <w:ind w:left="352" w:right="0" w:hanging="236"/>
        <w:jc w:val="both"/>
        <w:rPr>
          <w:b/>
          <w:color w:val="010101"/>
          <w:sz w:val="19"/>
        </w:rPr>
      </w:pPr>
      <w:r>
        <w:rPr>
          <w:b/>
          <w:color w:val="010101"/>
          <w:w w:val="120"/>
          <w:sz w:val="19"/>
        </w:rPr>
        <w:t>The retirement income</w:t>
      </w:r>
      <w:r>
        <w:rPr>
          <w:b/>
          <w:color w:val="010101"/>
          <w:spacing w:val="27"/>
          <w:w w:val="120"/>
          <w:sz w:val="19"/>
        </w:rPr>
        <w:t> </w:t>
      </w:r>
      <w:r>
        <w:rPr>
          <w:b/>
          <w:color w:val="010101"/>
          <w:w w:val="120"/>
          <w:sz w:val="19"/>
        </w:rPr>
        <w:t>policy</w:t>
      </w:r>
    </w:p>
    <w:p>
      <w:pPr>
        <w:pStyle w:val="BodyText"/>
        <w:spacing w:line="249" w:lineRule="auto" w:before="88"/>
        <w:ind w:left="112" w:right="128" w:firstLine="207"/>
        <w:jc w:val="both"/>
        <w:rPr>
          <w:sz w:val="19"/>
        </w:rPr>
      </w:pPr>
      <w:r>
        <w:rPr>
          <w:color w:val="010101"/>
          <w:w w:val="105"/>
        </w:rPr>
        <w:t>Many insurers off er policies which provide a combination of insurance coverage up to a fixed retirement age and an annuity income after retirement. Premiums are normally payable until the retirement age is reached. The retirement income is often at  the  rate of </w:t>
      </w:r>
      <w:r>
        <w:rPr>
          <w:color w:val="010101"/>
          <w:spacing w:val="-18"/>
          <w:w w:val="105"/>
          <w:sz w:val="19"/>
        </w:rPr>
        <w:t>$10 </w:t>
      </w:r>
      <w:r>
        <w:rPr>
          <w:color w:val="010101"/>
          <w:w w:val="105"/>
        </w:rPr>
        <w:t>per month for each </w:t>
      </w:r>
      <w:r>
        <w:rPr>
          <w:rFonts w:ascii="Arial" w:hAnsi="Arial"/>
          <w:b/>
          <w:color w:val="010101"/>
          <w:spacing w:val="-3"/>
          <w:w w:val="105"/>
          <w:sz w:val="18"/>
        </w:rPr>
        <w:t>$1000 </w:t>
      </w:r>
      <w:r>
        <w:rPr>
          <w:color w:val="010101"/>
          <w:w w:val="105"/>
        </w:rPr>
        <w:t>of face amount and is eus­ tomarily paya.ble for a fixed number of years certain and the re­ mainder of</w:t>
      </w:r>
      <w:r>
        <w:rPr>
          <w:color w:val="010101"/>
          <w:spacing w:val="18"/>
          <w:w w:val="105"/>
        </w:rPr>
        <w:t> </w:t>
      </w:r>
      <w:r>
        <w:rPr>
          <w:color w:val="010101"/>
          <w:w w:val="105"/>
          <w:sz w:val="19"/>
        </w:rPr>
        <w:t>life.</w:t>
      </w:r>
    </w:p>
    <w:p>
      <w:pPr>
        <w:pStyle w:val="BodyText"/>
        <w:spacing w:line="247" w:lineRule="auto" w:before="1"/>
        <w:ind w:left="105" w:right="132" w:firstLine="203"/>
        <w:jc w:val="both"/>
      </w:pPr>
      <w:r>
        <w:rPr>
          <w:color w:val="010101"/>
          <w:w w:val="105"/>
        </w:rPr>
        <w:t>Under normal circumstances the present value at the retiremcnt age</w:t>
      </w:r>
      <w:r>
        <w:rPr>
          <w:color w:val="010101"/>
          <w:spacing w:val="-18"/>
          <w:w w:val="105"/>
        </w:rPr>
        <w:t> </w:t>
      </w:r>
      <w:r>
        <w:rPr>
          <w:color w:val="010101"/>
          <w:w w:val="105"/>
        </w:rPr>
        <w:t>of the</w:t>
      </w:r>
      <w:r>
        <w:rPr>
          <w:color w:val="010101"/>
          <w:spacing w:val="-12"/>
          <w:w w:val="105"/>
        </w:rPr>
        <w:t> </w:t>
      </w:r>
      <w:r>
        <w:rPr>
          <w:color w:val="010101"/>
          <w:w w:val="105"/>
        </w:rPr>
        <w:t>annuity</w:t>
      </w:r>
      <w:r>
        <w:rPr>
          <w:color w:val="010101"/>
          <w:spacing w:val="-5"/>
          <w:w w:val="105"/>
        </w:rPr>
        <w:t> </w:t>
      </w:r>
      <w:r>
        <w:rPr>
          <w:color w:val="010101"/>
          <w:w w:val="105"/>
        </w:rPr>
        <w:t>income</w:t>
      </w:r>
      <w:r>
        <w:rPr>
          <w:color w:val="010101"/>
          <w:spacing w:val="-13"/>
          <w:w w:val="105"/>
        </w:rPr>
        <w:t> </w:t>
      </w:r>
      <w:r>
        <w:rPr>
          <w:color w:val="010101"/>
          <w:w w:val="105"/>
        </w:rPr>
        <w:t>of</w:t>
      </w:r>
      <w:r>
        <w:rPr>
          <w:color w:val="010101"/>
          <w:spacing w:val="1"/>
          <w:w w:val="105"/>
        </w:rPr>
        <w:t> </w:t>
      </w:r>
      <w:r>
        <w:rPr>
          <w:color w:val="010101"/>
          <w:w w:val="105"/>
        </w:rPr>
        <w:t>$10</w:t>
      </w:r>
      <w:r>
        <w:rPr>
          <w:color w:val="010101"/>
          <w:spacing w:val="-16"/>
          <w:w w:val="105"/>
        </w:rPr>
        <w:t> </w:t>
      </w:r>
      <w:r>
        <w:rPr>
          <w:color w:val="010101"/>
          <w:w w:val="105"/>
        </w:rPr>
        <w:t>per</w:t>
      </w:r>
      <w:r>
        <w:rPr>
          <w:color w:val="010101"/>
          <w:spacing w:val="-7"/>
          <w:w w:val="105"/>
        </w:rPr>
        <w:t> </w:t>
      </w:r>
      <w:r>
        <w:rPr>
          <w:color w:val="010101"/>
          <w:w w:val="105"/>
        </w:rPr>
        <w:t>month exceeds</w:t>
      </w:r>
      <w:r>
        <w:rPr>
          <w:color w:val="010101"/>
          <w:spacing w:val="-7"/>
          <w:w w:val="105"/>
        </w:rPr>
        <w:t> </w:t>
      </w:r>
      <w:r>
        <w:rPr>
          <w:color w:val="010101"/>
          <w:w w:val="105"/>
        </w:rPr>
        <w:t>the</w:t>
      </w:r>
      <w:r>
        <w:rPr>
          <w:color w:val="010101"/>
          <w:spacing w:val="-9"/>
          <w:w w:val="105"/>
        </w:rPr>
        <w:t> </w:t>
      </w:r>
      <w:r>
        <w:rPr>
          <w:color w:val="010101"/>
          <w:w w:val="105"/>
        </w:rPr>
        <w:t>face</w:t>
      </w:r>
      <w:r>
        <w:rPr>
          <w:color w:val="010101"/>
          <w:spacing w:val="-15"/>
          <w:w w:val="105"/>
        </w:rPr>
        <w:t> </w:t>
      </w:r>
      <w:r>
        <w:rPr>
          <w:color w:val="010101"/>
          <w:w w:val="105"/>
        </w:rPr>
        <w:t>amount of </w:t>
      </w:r>
      <w:r>
        <w:rPr>
          <w:rFonts w:ascii="Arial" w:hAnsi="Arial"/>
          <w:b/>
          <w:color w:val="010101"/>
          <w:w w:val="105"/>
          <w:sz w:val="18"/>
        </w:rPr>
        <w:t>$1000. </w:t>
      </w:r>
      <w:r>
        <w:rPr>
          <w:color w:val="010101"/>
          <w:w w:val="105"/>
        </w:rPr>
        <w:t>This means that the policy must mature at the retirement age for an amount greater than the face amount, and  that  the  policy reserves and cash values, in building up to the required ma­ turity value, will also exceed the face amount for a period prior </w:t>
      </w:r>
      <w:r>
        <w:rPr>
          <w:color w:val="010101"/>
          <w:w w:val="105"/>
          <w:sz w:val="21"/>
        </w:rPr>
        <w:t>to </w:t>
      </w:r>
      <w:r>
        <w:rPr>
          <w:color w:val="010101"/>
          <w:w w:val="105"/>
        </w:rPr>
        <w:t>retirement. Since it is impractical to have the face amount of in­ surance less than the cash value, these policies provide that the death benefit </w:t>
      </w:r>
      <w:r>
        <w:rPr>
          <w:color w:val="010101"/>
          <w:w w:val="105"/>
          <w:sz w:val="21"/>
        </w:rPr>
        <w:t>will </w:t>
      </w:r>
      <w:r>
        <w:rPr>
          <w:color w:val="010101"/>
          <w:w w:val="105"/>
        </w:rPr>
        <w:t>be equal to the cash value during the  pcriod  when the cash value exceeds the face</w:t>
      </w:r>
      <w:r>
        <w:rPr>
          <w:color w:val="010101"/>
          <w:spacing w:val="22"/>
          <w:w w:val="105"/>
        </w:rPr>
        <w:t> </w:t>
      </w:r>
      <w:r>
        <w:rPr>
          <w:color w:val="010101"/>
          <w:w w:val="105"/>
        </w:rPr>
        <w:t>amount.</w:t>
      </w:r>
    </w:p>
    <w:p>
      <w:pPr>
        <w:pStyle w:val="BodyText"/>
        <w:spacing w:line="252" w:lineRule="exact"/>
        <w:ind w:left="105" w:firstLine="211"/>
        <w:jc w:val="both"/>
        <w:rPr>
          <w:i/>
        </w:rPr>
      </w:pPr>
      <w:r>
        <w:rPr>
          <w:color w:val="010101"/>
          <w:w w:val="110"/>
        </w:rPr>
        <w:t>Let 1 </w:t>
      </w:r>
      <w:r>
        <w:rPr>
          <w:rFonts w:ascii="Arial"/>
          <w:color w:val="010101"/>
          <w:w w:val="110"/>
          <w:sz w:val="31"/>
        </w:rPr>
        <w:t>+</w:t>
      </w:r>
      <w:r>
        <w:rPr>
          <w:rFonts w:ascii="Arial"/>
          <w:color w:val="010101"/>
          <w:spacing w:val="-55"/>
          <w:w w:val="110"/>
          <w:sz w:val="31"/>
        </w:rPr>
        <w:t> </w:t>
      </w:r>
      <w:r>
        <w:rPr>
          <w:i/>
          <w:color w:val="010101"/>
          <w:w w:val="110"/>
        </w:rPr>
        <w:t>k </w:t>
      </w:r>
      <w:r>
        <w:rPr>
          <w:color w:val="010101"/>
          <w:w w:val="110"/>
        </w:rPr>
        <w:t>denote the present value at the retirement age, </w:t>
      </w:r>
      <w:r>
        <w:rPr>
          <w:i/>
          <w:color w:val="010101"/>
          <w:w w:val="110"/>
        </w:rPr>
        <w:t>x </w:t>
      </w:r>
      <w:r>
        <w:rPr>
          <w:rFonts w:ascii="Arial"/>
          <w:color w:val="010101"/>
          <w:w w:val="110"/>
          <w:sz w:val="31"/>
        </w:rPr>
        <w:t>+</w:t>
      </w:r>
      <w:r>
        <w:rPr>
          <w:rFonts w:ascii="Arial"/>
          <w:color w:val="010101"/>
          <w:spacing w:val="-60"/>
          <w:w w:val="110"/>
          <w:sz w:val="31"/>
        </w:rPr>
        <w:t> </w:t>
      </w:r>
      <w:r>
        <w:rPr>
          <w:i/>
          <w:color w:val="010101"/>
          <w:w w:val="110"/>
        </w:rPr>
        <w:t>n,</w:t>
      </w:r>
    </w:p>
    <w:p>
      <w:pPr>
        <w:pStyle w:val="BodyText"/>
        <w:spacing w:line="252" w:lineRule="auto"/>
        <w:ind w:left="116" w:right="134" w:hanging="11"/>
        <w:jc w:val="both"/>
      </w:pPr>
      <w:r>
        <w:rPr>
          <w:color w:val="010101"/>
        </w:rPr>
        <w:t>of the annuity to </w:t>
      </w:r>
      <w:r>
        <w:rPr>
          <w:color w:val="010101"/>
          <w:sz w:val="19"/>
        </w:rPr>
        <w:t>be </w:t>
      </w:r>
      <w:r>
        <w:rPr>
          <w:color w:val="010101"/>
        </w:rPr>
        <w:t>provided at that  age  for  each  unit  of  face amount   issued   at  age  </w:t>
      </w:r>
      <w:r>
        <w:rPr>
          <w:i/>
          <w:color w:val="010101"/>
        </w:rPr>
        <w:t>x.  </w:t>
      </w:r>
      <w:r>
        <w:rPr>
          <w:color w:val="010101"/>
        </w:rPr>
        <w:t>Then  the  policy   ean  </w:t>
      </w:r>
      <w:r>
        <w:rPr>
          <w:color w:val="010101"/>
          <w:sz w:val="19"/>
        </w:rPr>
        <w:t>be   </w:t>
      </w:r>
      <w:r>
        <w:rPr>
          <w:color w:val="010101"/>
        </w:rPr>
        <w:t>regarded   as  a</w:t>
      </w:r>
    </w:p>
    <w:p>
      <w:pPr>
        <w:pStyle w:val="BodyText"/>
        <w:spacing w:line="245" w:lineRule="exact"/>
        <w:ind w:left="109" w:firstLine="7"/>
        <w:jc w:val="both"/>
      </w:pPr>
      <w:r>
        <w:rPr>
          <w:color w:val="010101"/>
          <w:w w:val="105"/>
        </w:rPr>
        <w:t>combination of a pure endowment of  1 </w:t>
      </w:r>
      <w:r>
        <w:rPr>
          <w:rFonts w:ascii="Arial"/>
          <w:color w:val="010101"/>
          <w:w w:val="105"/>
          <w:sz w:val="30"/>
        </w:rPr>
        <w:t>+ </w:t>
      </w:r>
      <w:r>
        <w:rPr>
          <w:i/>
          <w:color w:val="010101"/>
          <w:w w:val="105"/>
        </w:rPr>
        <w:t>k </w:t>
      </w:r>
      <w:r>
        <w:rPr>
          <w:color w:val="010101"/>
          <w:w w:val="105"/>
        </w:rPr>
        <w:t>due at the   retiremen1</w:t>
      </w:r>
    </w:p>
    <w:p>
      <w:pPr>
        <w:pStyle w:val="BodyText"/>
        <w:spacing w:line="249" w:lineRule="auto"/>
        <w:ind w:left="105" w:right="147" w:firstLine="3"/>
        <w:jc w:val="both"/>
      </w:pPr>
      <w:r>
        <w:rPr>
          <w:color w:val="010101"/>
          <w:w w:val="105"/>
        </w:rPr>
        <w:t>agc and a term insurance up to that age providing a death bencfit equal to 1or the total cash value on the policy whiehever is greatcr. The net  premium,  </w:t>
      </w:r>
      <w:r>
        <w:rPr>
          <w:rFonts w:ascii="Arial"/>
          <w:i/>
          <w:color w:val="010101"/>
          <w:w w:val="105"/>
          <w:sz w:val="19"/>
        </w:rPr>
        <w:t>P, </w:t>
      </w:r>
      <w:r>
        <w:rPr>
          <w:color w:val="010101"/>
          <w:w w:val="105"/>
        </w:rPr>
        <w:t>for the policy  can thereforP  be  writtcn</w:t>
      </w:r>
    </w:p>
    <w:p>
      <w:pPr>
        <w:spacing w:after="0" w:line="249" w:lineRule="auto"/>
        <w:jc w:val="both"/>
        <w:sectPr>
          <w:type w:val="continuous"/>
          <w:pgSz w:w="7200" w:h="11340"/>
          <w:pgMar w:top="1100" w:bottom="0" w:left="660" w:right="580"/>
        </w:sectPr>
      </w:pPr>
    </w:p>
    <w:p>
      <w:pPr>
        <w:spacing w:line="327" w:lineRule="exact" w:before="165"/>
        <w:ind w:left="578" w:right="0" w:firstLine="0"/>
        <w:jc w:val="center"/>
        <w:rPr>
          <w:b/>
          <w:i/>
          <w:sz w:val="20"/>
        </w:rPr>
      </w:pPr>
      <w:r>
        <w:rPr/>
        <w:pict>
          <v:shape style="position:absolute;margin-left:137.594406pt;margin-top:7.622685pt;width:3.9pt;height:6pt;mso-position-horizontal-relative:page;mso-position-vertical-relative:paragraph;z-index:-722920" type="#_x0000_t202" filled="false" stroked="false">
            <v:textbox inset="0,0,0,0">
              <w:txbxContent>
                <w:p>
                  <w:pPr>
                    <w:spacing w:line="120" w:lineRule="exact" w:before="0"/>
                    <w:ind w:left="0" w:right="0" w:firstLine="0"/>
                    <w:jc w:val="left"/>
                    <w:rPr>
                      <w:b/>
                      <w:i/>
                      <w:sz w:val="12"/>
                    </w:rPr>
                  </w:pPr>
                  <w:r>
                    <w:rPr>
                      <w:b/>
                      <w:i/>
                      <w:color w:val="010101"/>
                      <w:w w:val="115"/>
                      <w:sz w:val="12"/>
                    </w:rPr>
                    <w:t>n</w:t>
                  </w:r>
                </w:p>
              </w:txbxContent>
            </v:textbox>
            <w10:wrap type="none"/>
          </v:shape>
        </w:pict>
      </w:r>
      <w:r>
        <w:rPr>
          <w:b/>
          <w:i/>
          <w:color w:val="010101"/>
          <w:sz w:val="20"/>
        </w:rPr>
        <w:t>M</w:t>
      </w:r>
      <w:r>
        <w:rPr>
          <w:b/>
          <w:i/>
          <w:color w:val="010101"/>
          <w:spacing w:val="-24"/>
          <w:sz w:val="20"/>
        </w:rPr>
        <w:t> </w:t>
      </w:r>
      <w:r>
        <w:rPr>
          <w:b/>
          <w:i/>
          <w:color w:val="010101"/>
          <w:sz w:val="20"/>
        </w:rPr>
        <w:t>z</w:t>
      </w:r>
      <w:r>
        <w:rPr>
          <w:b/>
          <w:i/>
          <w:color w:val="010101"/>
          <w:spacing w:val="22"/>
          <w:sz w:val="20"/>
        </w:rPr>
        <w:t> </w:t>
      </w:r>
      <w:r>
        <w:rPr>
          <w:color w:val="010101"/>
          <w:w w:val="245"/>
          <w:sz w:val="20"/>
        </w:rPr>
        <w:t>-</w:t>
      </w:r>
      <w:r>
        <w:rPr>
          <w:color w:val="010101"/>
          <w:spacing w:val="-83"/>
          <w:w w:val="245"/>
          <w:sz w:val="20"/>
        </w:rPr>
        <w:t> </w:t>
      </w:r>
      <w:r>
        <w:rPr>
          <w:b/>
          <w:i/>
          <w:color w:val="010101"/>
          <w:sz w:val="20"/>
        </w:rPr>
        <w:t>M</w:t>
      </w:r>
      <w:r>
        <w:rPr>
          <w:b/>
          <w:i/>
          <w:color w:val="010101"/>
          <w:spacing w:val="-21"/>
          <w:sz w:val="20"/>
        </w:rPr>
        <w:t> </w:t>
      </w:r>
      <w:r>
        <w:rPr>
          <w:b/>
          <w:i/>
          <w:color w:val="010101"/>
          <w:sz w:val="20"/>
        </w:rPr>
        <w:t>z+a</w:t>
      </w:r>
      <w:r>
        <w:rPr>
          <w:b/>
          <w:i/>
          <w:color w:val="010101"/>
          <w:spacing w:val="15"/>
          <w:sz w:val="20"/>
        </w:rPr>
        <w:t> </w:t>
      </w:r>
      <w:r>
        <w:rPr>
          <w:rFonts w:ascii="Arial" w:hAnsi="Arial"/>
          <w:color w:val="010101"/>
          <w:sz w:val="31"/>
        </w:rPr>
        <w:t>+</w:t>
      </w:r>
      <w:r>
        <w:rPr>
          <w:rFonts w:ascii="Arial" w:hAnsi="Arial"/>
          <w:color w:val="010101"/>
          <w:spacing w:val="10"/>
          <w:sz w:val="31"/>
        </w:rPr>
        <w:t> </w:t>
      </w:r>
      <w:r>
        <w:rPr>
          <w:b/>
          <w:i/>
          <w:color w:val="010101"/>
          <w:sz w:val="34"/>
        </w:rPr>
        <w:t>L</w:t>
      </w:r>
      <w:r>
        <w:rPr>
          <w:b/>
          <w:i/>
          <w:color w:val="010101"/>
          <w:spacing w:val="34"/>
          <w:sz w:val="34"/>
        </w:rPr>
        <w:t> </w:t>
      </w:r>
      <w:r>
        <w:rPr>
          <w:b/>
          <w:color w:val="010101"/>
          <w:sz w:val="21"/>
        </w:rPr>
        <w:t>(</w:t>
      </w:r>
      <w:r>
        <w:rPr>
          <w:b/>
          <w:color w:val="010101"/>
          <w:spacing w:val="-35"/>
          <w:sz w:val="21"/>
        </w:rPr>
        <w:t> </w:t>
      </w:r>
      <w:r>
        <w:rPr>
          <w:b/>
          <w:color w:val="010101"/>
          <w:sz w:val="21"/>
        </w:rPr>
        <w:t>,CV·Cz+e-1</w:t>
      </w:r>
      <w:r>
        <w:rPr>
          <w:b/>
          <w:color w:val="010101"/>
          <w:spacing w:val="-34"/>
          <w:sz w:val="21"/>
        </w:rPr>
        <w:t> </w:t>
      </w:r>
      <w:r>
        <w:rPr>
          <w:b/>
          <w:color w:val="010101"/>
          <w:sz w:val="21"/>
        </w:rPr>
        <w:t>)</w:t>
      </w:r>
      <w:r>
        <w:rPr>
          <w:b/>
          <w:color w:val="010101"/>
          <w:spacing w:val="15"/>
          <w:sz w:val="21"/>
        </w:rPr>
        <w:t> </w:t>
      </w:r>
      <w:r>
        <w:rPr>
          <w:color w:val="010101"/>
          <w:sz w:val="28"/>
        </w:rPr>
        <w:t>+</w:t>
      </w:r>
      <w:r>
        <w:rPr>
          <w:color w:val="010101"/>
          <w:spacing w:val="-1"/>
          <w:sz w:val="28"/>
        </w:rPr>
        <w:t> </w:t>
      </w:r>
      <w:r>
        <w:rPr>
          <w:b/>
          <w:color w:val="010101"/>
          <w:sz w:val="20"/>
        </w:rPr>
        <w:t>(1</w:t>
      </w:r>
      <w:r>
        <w:rPr>
          <w:b/>
          <w:color w:val="010101"/>
          <w:spacing w:val="1"/>
          <w:sz w:val="20"/>
        </w:rPr>
        <w:t> </w:t>
      </w:r>
      <w:r>
        <w:rPr>
          <w:color w:val="010101"/>
          <w:sz w:val="28"/>
        </w:rPr>
        <w:t>+</w:t>
      </w:r>
      <w:r>
        <w:rPr>
          <w:color w:val="010101"/>
          <w:spacing w:val="-12"/>
          <w:sz w:val="28"/>
        </w:rPr>
        <w:t> </w:t>
      </w:r>
      <w:r>
        <w:rPr>
          <w:b/>
          <w:i/>
          <w:color w:val="010101"/>
          <w:sz w:val="20"/>
        </w:rPr>
        <w:t>k</w:t>
      </w:r>
      <w:r>
        <w:rPr>
          <w:b/>
          <w:i/>
          <w:color w:val="010101"/>
          <w:spacing w:val="-29"/>
          <w:sz w:val="20"/>
        </w:rPr>
        <w:t> </w:t>
      </w:r>
      <w:r>
        <w:rPr>
          <w:b/>
          <w:i/>
          <w:color w:val="010101"/>
          <w:sz w:val="20"/>
        </w:rPr>
        <w:t>)Dz+n</w:t>
      </w:r>
    </w:p>
    <w:p>
      <w:pPr>
        <w:tabs>
          <w:tab w:pos="1934" w:val="left" w:leader="none"/>
        </w:tabs>
        <w:spacing w:line="177" w:lineRule="exact" w:before="0"/>
        <w:ind w:left="127" w:right="0" w:firstLine="0"/>
        <w:jc w:val="left"/>
        <w:rPr>
          <w:b/>
          <w:sz w:val="12"/>
        </w:rPr>
      </w:pPr>
      <w:r>
        <w:rPr>
          <w:b/>
          <w:i/>
          <w:color w:val="010101"/>
          <w:w w:val="120"/>
          <w:sz w:val="21"/>
        </w:rPr>
        <w:t>p</w:t>
      </w:r>
      <w:r>
        <w:rPr>
          <w:b/>
          <w:i/>
          <w:color w:val="010101"/>
          <w:spacing w:val="32"/>
          <w:w w:val="120"/>
          <w:sz w:val="21"/>
        </w:rPr>
        <w:t> </w:t>
      </w:r>
      <w:r>
        <w:rPr>
          <w:color w:val="010101"/>
          <w:w w:val="120"/>
          <w:sz w:val="22"/>
        </w:rPr>
        <w:t>=</w:t>
        <w:tab/>
      </w:r>
      <w:r>
        <w:rPr>
          <w:b/>
          <w:color w:val="010101"/>
          <w:w w:val="120"/>
          <w:sz w:val="12"/>
          <w:u w:val="single" w:color="000000"/>
        </w:rPr>
        <w:t>l=a+l</w:t>
      </w:r>
    </w:p>
    <w:p>
      <w:pPr>
        <w:spacing w:line="229" w:lineRule="exact" w:before="0"/>
        <w:ind w:left="570" w:right="0" w:firstLine="0"/>
        <w:jc w:val="center"/>
        <w:rPr>
          <w:b/>
          <w:i/>
          <w:sz w:val="21"/>
        </w:rPr>
      </w:pPr>
      <w:r>
        <w:rPr>
          <w:b/>
          <w:i/>
          <w:color w:val="010101"/>
          <w:sz w:val="21"/>
        </w:rPr>
        <w:t>N z </w:t>
      </w:r>
      <w:r>
        <w:rPr>
          <w:color w:val="010101"/>
          <w:w w:val="240"/>
          <w:sz w:val="21"/>
        </w:rPr>
        <w:t>-</w:t>
      </w:r>
      <w:r>
        <w:rPr>
          <w:color w:val="010101"/>
          <w:spacing w:val="-104"/>
          <w:w w:val="240"/>
          <w:sz w:val="21"/>
        </w:rPr>
        <w:t> </w:t>
      </w:r>
      <w:r>
        <w:rPr>
          <w:b/>
          <w:i/>
          <w:color w:val="010101"/>
          <w:sz w:val="21"/>
        </w:rPr>
        <w:t>Nr+n</w:t>
      </w:r>
    </w:p>
    <w:p>
      <w:pPr>
        <w:pStyle w:val="BodyText"/>
        <w:rPr>
          <w:b/>
          <w:i/>
          <w:sz w:val="18"/>
        </w:rPr>
      </w:pPr>
      <w:r>
        <w:rPr/>
        <w:br w:type="column"/>
      </w:r>
      <w:r>
        <w:rPr>
          <w:b/>
          <w:i/>
          <w:sz w:val="18"/>
        </w:rPr>
      </w:r>
    </w:p>
    <w:p>
      <w:pPr>
        <w:pStyle w:val="BodyText"/>
        <w:rPr>
          <w:b/>
          <w:i/>
          <w:sz w:val="17"/>
        </w:rPr>
      </w:pPr>
    </w:p>
    <w:p>
      <w:pPr>
        <w:spacing w:before="0"/>
        <w:ind w:left="127" w:right="0" w:firstLine="0"/>
        <w:jc w:val="left"/>
        <w:rPr>
          <w:sz w:val="19"/>
        </w:rPr>
      </w:pPr>
      <w:r>
        <w:rPr>
          <w:color w:val="010101"/>
          <w:sz w:val="19"/>
        </w:rPr>
        <w:t>( 7.14 )</w:t>
      </w:r>
    </w:p>
    <w:p>
      <w:pPr>
        <w:spacing w:after="0"/>
        <w:jc w:val="left"/>
        <w:rPr>
          <w:sz w:val="19"/>
        </w:rPr>
        <w:sectPr>
          <w:type w:val="continuous"/>
          <w:pgSz w:w="7200" w:h="11340"/>
          <w:pgMar w:top="1100" w:bottom="0" w:left="660" w:right="580"/>
          <w:cols w:num="2" w:equalWidth="0">
            <w:col w:w="4916" w:space="251"/>
            <w:col w:w="793"/>
          </w:cols>
        </w:sectPr>
      </w:pPr>
    </w:p>
    <w:p>
      <w:pPr>
        <w:tabs>
          <w:tab w:pos="1546" w:val="left" w:leader="none"/>
          <w:tab w:pos="5900" w:val="right" w:leader="none"/>
        </w:tabs>
        <w:spacing w:before="53"/>
        <w:ind w:left="132" w:right="0" w:firstLine="0"/>
        <w:jc w:val="left"/>
        <w:rPr>
          <w:sz w:val="20"/>
        </w:rPr>
      </w:pPr>
      <w:r>
        <w:rPr>
          <w:w w:val="105"/>
          <w:position w:val="1"/>
          <w:sz w:val="15"/>
        </w:rPr>
        <w:t>SEC. </w:t>
      </w:r>
      <w:r>
        <w:rPr>
          <w:spacing w:val="15"/>
          <w:w w:val="105"/>
          <w:position w:val="1"/>
          <w:sz w:val="15"/>
        </w:rPr>
        <w:t> </w:t>
      </w:r>
      <w:r>
        <w:rPr>
          <w:rFonts w:ascii="Arial"/>
          <w:w w:val="105"/>
          <w:position w:val="1"/>
          <w:sz w:val="19"/>
        </w:rPr>
        <w:t>5]</w:t>
        <w:tab/>
      </w:r>
      <w:r>
        <w:rPr>
          <w:b/>
          <w:w w:val="105"/>
          <w:position w:val="1"/>
          <w:sz w:val="15"/>
        </w:rPr>
        <w:t>THE  RETIREMENT </w:t>
      </w:r>
      <w:r>
        <w:rPr>
          <w:b/>
          <w:spacing w:val="38"/>
          <w:w w:val="105"/>
          <w:position w:val="1"/>
          <w:sz w:val="15"/>
        </w:rPr>
        <w:t> </w:t>
      </w:r>
      <w:r>
        <w:rPr>
          <w:b/>
          <w:w w:val="105"/>
          <w:position w:val="1"/>
          <w:sz w:val="15"/>
        </w:rPr>
        <w:t>INCOME </w:t>
      </w:r>
      <w:r>
        <w:rPr>
          <w:b/>
          <w:spacing w:val="25"/>
          <w:w w:val="105"/>
          <w:position w:val="1"/>
          <w:sz w:val="15"/>
        </w:rPr>
        <w:t> </w:t>
      </w:r>
      <w:r>
        <w:rPr>
          <w:b/>
          <w:w w:val="105"/>
          <w:position w:val="1"/>
          <w:sz w:val="15"/>
        </w:rPr>
        <w:t>POLICY</w:t>
      </w:r>
      <w:r>
        <w:rPr>
          <w:w w:val="105"/>
          <w:sz w:val="20"/>
        </w:rPr>
        <w:tab/>
      </w:r>
      <w:r>
        <w:rPr>
          <w:spacing w:val="-16"/>
          <w:w w:val="105"/>
          <w:sz w:val="20"/>
        </w:rPr>
        <w:t>159</w:t>
      </w:r>
    </w:p>
    <w:p>
      <w:pPr>
        <w:pStyle w:val="BodyText"/>
        <w:spacing w:before="8"/>
        <w:rPr>
          <w:sz w:val="19"/>
        </w:rPr>
      </w:pPr>
    </w:p>
    <w:p>
      <w:pPr>
        <w:pStyle w:val="BodyText"/>
        <w:spacing w:line="238" w:lineRule="exact"/>
        <w:ind w:left="121" w:right="229" w:hanging="4"/>
      </w:pPr>
      <w:r>
        <w:rPr>
          <w:w w:val="105"/>
        </w:rPr>
        <w:t>where </w:t>
      </w:r>
      <w:r>
        <w:rPr>
          <w:rFonts w:ascii="Arial"/>
          <w:i/>
          <w:w w:val="105"/>
        </w:rPr>
        <w:t>,CV </w:t>
      </w:r>
      <w:r>
        <w:rPr>
          <w:w w:val="105"/>
        </w:rPr>
        <w:t>is the cash value  at the  end of  </w:t>
      </w:r>
      <w:r>
        <w:rPr>
          <w:i/>
          <w:w w:val="105"/>
          <w:sz w:val="22"/>
        </w:rPr>
        <w:t>t </w:t>
      </w:r>
      <w:r>
        <w:rPr>
          <w:w w:val="105"/>
        </w:rPr>
        <w:t>years  and  </w:t>
      </w:r>
      <w:r>
        <w:rPr>
          <w:rFonts w:ascii="Arial"/>
          <w:i/>
          <w:w w:val="105"/>
        </w:rPr>
        <w:t>a+1CV </w:t>
      </w:r>
      <w:r>
        <w:rPr>
          <w:w w:val="105"/>
        </w:rPr>
        <w:t>is the first  cash value that  exceeds the </w:t>
      </w:r>
      <w:r>
        <w:rPr>
          <w:w w:val="105"/>
          <w:sz w:val="21"/>
        </w:rPr>
        <w:t>f</w:t>
      </w:r>
      <w:r>
        <w:rPr>
          <w:w w:val="105"/>
        </w:rPr>
        <w:t>ace amount  of   1.</w:t>
      </w:r>
    </w:p>
    <w:p>
      <w:pPr>
        <w:pStyle w:val="BodyText"/>
        <w:spacing w:line="244" w:lineRule="auto"/>
        <w:ind w:left="117" w:right="139" w:firstLine="201"/>
        <w:jc w:val="both"/>
        <w:rPr>
          <w:rFonts w:ascii="Arial" w:hAnsi="Arial"/>
          <w:i/>
        </w:rPr>
      </w:pPr>
      <w:r>
        <w:rPr>
          <w:w w:val="110"/>
        </w:rPr>
        <w:t>Since the cash values and the premium </w:t>
      </w:r>
      <w:r>
        <w:rPr>
          <w:i/>
          <w:w w:val="110"/>
          <w:sz w:val="21"/>
        </w:rPr>
        <w:t>P </w:t>
      </w:r>
      <w:r>
        <w:rPr>
          <w:w w:val="110"/>
        </w:rPr>
        <w:t>are usually inter­ related, formula (7.14) cannot generally be solved for </w:t>
      </w:r>
      <w:r>
        <w:rPr>
          <w:i/>
          <w:w w:val="110"/>
          <w:sz w:val="21"/>
        </w:rPr>
        <w:t>P </w:t>
      </w:r>
      <w:r>
        <w:rPr>
          <w:w w:val="110"/>
        </w:rPr>
        <w:t>directly. Suppose, however, that the cash value.s at durations </w:t>
      </w:r>
      <w:r>
        <w:rPr>
          <w:i/>
          <w:w w:val="110"/>
          <w:sz w:val="21"/>
        </w:rPr>
        <w:t>a </w:t>
      </w:r>
      <w:r>
        <w:rPr>
          <w:w w:val="110"/>
        </w:rPr>
        <w:t>and</w:t>
      </w:r>
      <w:r>
        <w:rPr>
          <w:spacing w:val="-38"/>
          <w:w w:val="110"/>
        </w:rPr>
        <w:t> </w:t>
      </w:r>
      <w:r>
        <w:rPr>
          <w:w w:val="110"/>
        </w:rPr>
        <w:t>greater are equal to the net level premium reserves. With this assump­ tion</w:t>
      </w:r>
      <w:r>
        <w:rPr>
          <w:spacing w:val="-16"/>
          <w:w w:val="110"/>
        </w:rPr>
        <w:t> </w:t>
      </w:r>
      <w:r>
        <w:rPr>
          <w:w w:val="110"/>
        </w:rPr>
        <w:t>we</w:t>
      </w:r>
      <w:r>
        <w:rPr>
          <w:spacing w:val="-13"/>
          <w:w w:val="110"/>
        </w:rPr>
        <w:t> </w:t>
      </w:r>
      <w:r>
        <w:rPr>
          <w:w w:val="110"/>
        </w:rPr>
        <w:t>are</w:t>
      </w:r>
      <w:r>
        <w:rPr>
          <w:spacing w:val="-21"/>
          <w:w w:val="110"/>
        </w:rPr>
        <w:t> </w:t>
      </w:r>
      <w:r>
        <w:rPr>
          <w:w w:val="110"/>
        </w:rPr>
        <w:t>able</w:t>
      </w:r>
      <w:r>
        <w:rPr>
          <w:spacing w:val="-19"/>
          <w:w w:val="110"/>
        </w:rPr>
        <w:t> </w:t>
      </w:r>
      <w:r>
        <w:rPr>
          <w:w w:val="110"/>
        </w:rPr>
        <w:t>to</w:t>
      </w:r>
      <w:r>
        <w:rPr>
          <w:spacing w:val="-13"/>
          <w:w w:val="110"/>
        </w:rPr>
        <w:t> </w:t>
      </w:r>
      <w:r>
        <w:rPr>
          <w:w w:val="110"/>
        </w:rPr>
        <w:t>derive</w:t>
      </w:r>
      <w:r>
        <w:rPr>
          <w:spacing w:val="-13"/>
          <w:w w:val="110"/>
        </w:rPr>
        <w:t> </w:t>
      </w:r>
      <w:r>
        <w:rPr>
          <w:w w:val="110"/>
        </w:rPr>
        <w:t>an</w:t>
      </w:r>
      <w:r>
        <w:rPr>
          <w:spacing w:val="-18"/>
          <w:w w:val="110"/>
        </w:rPr>
        <w:t> </w:t>
      </w:r>
      <w:r>
        <w:rPr>
          <w:w w:val="110"/>
        </w:rPr>
        <w:t>explicit</w:t>
      </w:r>
      <w:r>
        <w:rPr>
          <w:spacing w:val="-10"/>
          <w:w w:val="110"/>
        </w:rPr>
        <w:t> </w:t>
      </w:r>
      <w:r>
        <w:rPr>
          <w:w w:val="110"/>
        </w:rPr>
        <w:t>formula</w:t>
      </w:r>
      <w:r>
        <w:rPr>
          <w:spacing w:val="-13"/>
          <w:w w:val="110"/>
        </w:rPr>
        <w:t> </w:t>
      </w:r>
      <w:r>
        <w:rPr>
          <w:w w:val="110"/>
        </w:rPr>
        <w:t>for</w:t>
      </w:r>
      <w:r>
        <w:rPr>
          <w:spacing w:val="-18"/>
          <w:w w:val="110"/>
        </w:rPr>
        <w:t> </w:t>
      </w:r>
      <w:r>
        <w:rPr>
          <w:rFonts w:ascii="Arial" w:hAnsi="Arial"/>
          <w:i/>
          <w:w w:val="110"/>
        </w:rPr>
        <w:t>P.</w:t>
      </w:r>
    </w:p>
    <w:p>
      <w:pPr>
        <w:pStyle w:val="BodyText"/>
        <w:spacing w:line="183" w:lineRule="exact" w:before="6"/>
        <w:ind w:left="184"/>
        <w:jc w:val="center"/>
      </w:pPr>
      <w:r>
        <w:rPr>
          <w:rFonts w:ascii="Arial"/>
          <w:w w:val="110"/>
          <w:sz w:val="19"/>
        </w:rPr>
        <w:t>W</w:t>
      </w:r>
      <w:r>
        <w:rPr>
          <w:w w:val="110"/>
        </w:rPr>
        <w:t>e may  assume  that  the terminal  reserves  ,</w:t>
      </w:r>
      <w:r>
        <w:rPr>
          <w:rFonts w:ascii="Arial"/>
          <w:i/>
          <w:w w:val="110"/>
        </w:rPr>
        <w:t>V </w:t>
      </w:r>
      <w:r>
        <w:rPr>
          <w:w w:val="110"/>
        </w:rPr>
        <w:t>increase  from</w:t>
      </w:r>
    </w:p>
    <w:p>
      <w:pPr>
        <w:tabs>
          <w:tab w:pos="1175" w:val="left" w:leader="none"/>
        </w:tabs>
        <w:spacing w:line="196" w:lineRule="auto" w:before="6"/>
        <w:ind w:left="121" w:right="137" w:hanging="4"/>
        <w:jc w:val="left"/>
        <w:rPr>
          <w:sz w:val="20"/>
        </w:rPr>
      </w:pPr>
      <w:r>
        <w:rPr>
          <w:rFonts w:ascii="Arial" w:hAnsi="Arial"/>
          <w:w w:val="105"/>
          <w:sz w:val="16"/>
        </w:rPr>
        <w:t>o</w:t>
      </w:r>
      <w:r>
        <w:rPr>
          <w:i/>
          <w:w w:val="105"/>
          <w:sz w:val="22"/>
        </w:rPr>
        <w:t>V </w:t>
      </w:r>
      <w:r>
        <w:rPr>
          <w:w w:val="105"/>
          <w:sz w:val="24"/>
        </w:rPr>
        <w:t>= </w:t>
      </w:r>
      <w:r>
        <w:rPr>
          <w:sz w:val="21"/>
        </w:rPr>
        <w:t>O </w:t>
      </w:r>
      <w:r>
        <w:rPr>
          <w:w w:val="105"/>
          <w:sz w:val="20"/>
        </w:rPr>
        <w:t>to </w:t>
      </w:r>
      <w:r>
        <w:rPr>
          <w:i/>
          <w:w w:val="105"/>
          <w:sz w:val="22"/>
        </w:rPr>
        <w:t>"V </w:t>
      </w:r>
      <w:r>
        <w:rPr>
          <w:w w:val="105"/>
          <w:sz w:val="24"/>
        </w:rPr>
        <w:t>= </w:t>
      </w:r>
      <w:r>
        <w:rPr>
          <w:w w:val="105"/>
          <w:sz w:val="21"/>
        </w:rPr>
        <w:t>1 </w:t>
      </w:r>
      <w:r>
        <w:rPr>
          <w:rFonts w:ascii="Arial" w:hAnsi="Arial"/>
          <w:w w:val="105"/>
          <w:sz w:val="32"/>
        </w:rPr>
        <w:t>+ </w:t>
      </w:r>
      <w:r>
        <w:rPr>
          <w:i/>
          <w:w w:val="105"/>
          <w:sz w:val="22"/>
        </w:rPr>
        <w:t>k. </w:t>
      </w:r>
      <w:r>
        <w:rPr>
          <w:w w:val="105"/>
          <w:sz w:val="20"/>
        </w:rPr>
        <w:t>Hence, there is exactly one integer </w:t>
      </w:r>
      <w:r>
        <w:rPr>
          <w:i/>
          <w:w w:val="105"/>
          <w:sz w:val="20"/>
        </w:rPr>
        <w:t>a </w:t>
      </w:r>
      <w:r>
        <w:rPr>
          <w:w w:val="105"/>
          <w:sz w:val="20"/>
        </w:rPr>
        <w:t>such </w:t>
      </w:r>
      <w:r>
        <w:rPr>
          <w:w w:val="105"/>
          <w:position w:val="2"/>
          <w:sz w:val="20"/>
        </w:rPr>
        <w:t>that</w:t>
      </w:r>
      <w:r>
        <w:rPr>
          <w:spacing w:val="44"/>
          <w:w w:val="105"/>
          <w:position w:val="2"/>
          <w:sz w:val="20"/>
        </w:rPr>
        <w:t> </w:t>
      </w:r>
      <w:r>
        <w:rPr>
          <w:i/>
          <w:w w:val="105"/>
          <w:position w:val="2"/>
          <w:sz w:val="22"/>
        </w:rPr>
        <w:t>ª</w:t>
      </w:r>
      <w:r>
        <w:rPr>
          <w:i/>
          <w:spacing w:val="-33"/>
          <w:w w:val="105"/>
          <w:position w:val="2"/>
          <w:sz w:val="22"/>
        </w:rPr>
        <w:t> </w:t>
      </w:r>
      <w:r>
        <w:rPr>
          <w:i/>
          <w:w w:val="105"/>
          <w:position w:val="2"/>
          <w:sz w:val="22"/>
        </w:rPr>
        <w:t>V</w:t>
        <w:tab/>
      </w:r>
      <w:r>
        <w:rPr>
          <w:w w:val="105"/>
          <w:position w:val="2"/>
          <w:sz w:val="20"/>
        </w:rPr>
        <w:t>1 and  </w:t>
      </w:r>
      <w:r>
        <w:rPr>
          <w:spacing w:val="-9"/>
          <w:w w:val="105"/>
          <w:position w:val="2"/>
          <w:sz w:val="17"/>
        </w:rPr>
        <w:t>a;.</w:t>
      </w:r>
      <w:r>
        <w:rPr>
          <w:spacing w:val="-9"/>
          <w:w w:val="105"/>
          <w:sz w:val="13"/>
        </w:rPr>
        <w:t>1</w:t>
      </w:r>
      <w:r>
        <w:rPr>
          <w:i/>
          <w:spacing w:val="-9"/>
          <w:w w:val="105"/>
          <w:position w:val="2"/>
          <w:sz w:val="22"/>
        </w:rPr>
        <w:t>V   </w:t>
      </w:r>
      <w:r>
        <w:rPr>
          <w:w w:val="105"/>
          <w:position w:val="2"/>
          <w:sz w:val="26"/>
        </w:rPr>
        <w:t>&gt;  </w:t>
      </w:r>
      <w:r>
        <w:rPr>
          <w:w w:val="105"/>
          <w:position w:val="2"/>
          <w:sz w:val="20"/>
        </w:rPr>
        <w:t>1. During  the  first  </w:t>
      </w:r>
      <w:r>
        <w:rPr>
          <w:i/>
          <w:w w:val="105"/>
          <w:position w:val="2"/>
          <w:sz w:val="21"/>
        </w:rPr>
        <w:t>a  </w:t>
      </w:r>
      <w:r>
        <w:rPr>
          <w:w w:val="105"/>
          <w:position w:val="2"/>
          <w:sz w:val="20"/>
        </w:rPr>
        <w:t>years,  the</w:t>
      </w:r>
      <w:r>
        <w:rPr>
          <w:spacing w:val="44"/>
          <w:w w:val="105"/>
          <w:position w:val="2"/>
          <w:sz w:val="20"/>
        </w:rPr>
        <w:t> </w:t>
      </w:r>
      <w:r>
        <w:rPr>
          <w:w w:val="105"/>
          <w:position w:val="2"/>
          <w:sz w:val="20"/>
        </w:rPr>
        <w:t>death</w:t>
      </w:r>
    </w:p>
    <w:p>
      <w:pPr>
        <w:pStyle w:val="BodyText"/>
        <w:tabs>
          <w:tab w:pos="3937" w:val="left" w:leader="none"/>
        </w:tabs>
        <w:spacing w:line="199" w:lineRule="exact"/>
        <w:ind w:left="121"/>
      </w:pPr>
      <w:r>
        <w:rPr/>
        <w:t>benefit   is  the  face  amount,  and</w:t>
      </w:r>
      <w:r>
        <w:rPr>
          <w:spacing w:val="29"/>
        </w:rPr>
        <w:t> </w:t>
      </w:r>
      <w:r>
        <w:rPr/>
        <w:t>we</w:t>
      </w:r>
      <w:r>
        <w:rPr>
          <w:spacing w:val="49"/>
        </w:rPr>
        <w:t> </w:t>
      </w:r>
      <w:r>
        <w:rPr/>
        <w:t>have</w:t>
        <w:tab/>
      </w:r>
      <w:r>
        <w:rPr>
          <w:w w:val="95"/>
        </w:rPr>
        <w:t>··</w:t>
      </w:r>
    </w:p>
    <w:p>
      <w:pPr>
        <w:spacing w:line="97" w:lineRule="exact" w:before="0"/>
        <w:ind w:left="1694" w:right="0" w:firstLine="0"/>
        <w:jc w:val="left"/>
        <w:rPr>
          <w:sz w:val="13"/>
        </w:rPr>
      </w:pPr>
      <w:r>
        <w:rPr>
          <w:w w:val="82"/>
          <w:sz w:val="13"/>
        </w:rPr>
        <w:t>l</w:t>
      </w:r>
    </w:p>
    <w:p>
      <w:pPr>
        <w:spacing w:line="339" w:lineRule="exact" w:before="0"/>
        <w:ind w:left="293" w:right="238" w:firstLine="0"/>
        <w:jc w:val="center"/>
        <w:rPr>
          <w:rFonts w:ascii="Arial"/>
          <w:i/>
          <w:sz w:val="28"/>
        </w:rPr>
      </w:pPr>
      <w:r>
        <w:rPr>
          <w:w w:val="105"/>
          <w:sz w:val="20"/>
        </w:rPr>
        <w:t>(,</w:t>
      </w:r>
      <w:r>
        <w:rPr>
          <w:i/>
          <w:w w:val="105"/>
          <w:sz w:val="20"/>
        </w:rPr>
        <w:t>V </w:t>
      </w:r>
      <w:r>
        <w:rPr>
          <w:rFonts w:ascii="Arial"/>
          <w:w w:val="105"/>
          <w:sz w:val="32"/>
        </w:rPr>
        <w:t>+ </w:t>
      </w:r>
      <w:r>
        <w:rPr>
          <w:w w:val="125"/>
          <w:sz w:val="20"/>
        </w:rPr>
        <w:t>P)(l </w:t>
      </w:r>
      <w:r>
        <w:rPr>
          <w:rFonts w:ascii="Arial"/>
          <w:w w:val="105"/>
          <w:sz w:val="32"/>
        </w:rPr>
        <w:t>+ </w:t>
      </w:r>
      <w:r>
        <w:rPr>
          <w:w w:val="105"/>
          <w:sz w:val="20"/>
        </w:rPr>
        <w:t>i) </w:t>
      </w:r>
      <w:r>
        <w:rPr>
          <w:w w:val="105"/>
          <w:sz w:val="24"/>
        </w:rPr>
        <w:t>= </w:t>
      </w:r>
      <w:r>
        <w:rPr>
          <w:i/>
          <w:sz w:val="20"/>
        </w:rPr>
        <w:t>qz+t </w:t>
      </w:r>
      <w:r>
        <w:rPr>
          <w:rFonts w:ascii="Arial"/>
          <w:w w:val="105"/>
          <w:sz w:val="32"/>
        </w:rPr>
        <w:t>+ </w:t>
      </w:r>
      <w:r>
        <w:rPr>
          <w:i/>
          <w:sz w:val="20"/>
        </w:rPr>
        <w:t>Pz+t </w:t>
      </w:r>
      <w:r>
        <w:rPr>
          <w:i/>
          <w:w w:val="105"/>
          <w:sz w:val="20"/>
        </w:rPr>
        <w:t>.</w:t>
      </w:r>
      <w:r>
        <w:rPr>
          <w:w w:val="105"/>
          <w:sz w:val="16"/>
        </w:rPr>
        <w:t>t+l </w:t>
      </w:r>
      <w:r>
        <w:rPr>
          <w:rFonts w:ascii="Arial"/>
          <w:i/>
          <w:w w:val="105"/>
          <w:sz w:val="28"/>
        </w:rPr>
        <w:t>v.</w:t>
      </w:r>
    </w:p>
    <w:p>
      <w:pPr>
        <w:pStyle w:val="BodyText"/>
        <w:spacing w:before="90"/>
        <w:ind w:left="124"/>
      </w:pPr>
      <w:r>
        <w:rPr>
          <w:rFonts w:ascii="Arial"/>
          <w:w w:val="105"/>
        </w:rPr>
        <w:t>Af</w:t>
      </w:r>
      <w:r>
        <w:rPr>
          <w:w w:val="105"/>
        </w:rPr>
        <w:t>ter </w:t>
      </w:r>
      <w:r>
        <w:rPr>
          <w:i/>
          <w:w w:val="105"/>
        </w:rPr>
        <w:t>a </w:t>
      </w:r>
      <w:r>
        <w:rPr>
          <w:w w:val="105"/>
        </w:rPr>
        <w:t>years,  the death benefit  is the reserve,   and</w:t>
      </w:r>
    </w:p>
    <w:p>
      <w:pPr>
        <w:spacing w:before="45"/>
        <w:ind w:left="293" w:right="302" w:firstLine="0"/>
        <w:jc w:val="center"/>
        <w:rPr>
          <w:rFonts w:ascii="Arial" w:hAnsi="Arial"/>
          <w:b/>
          <w:i/>
          <w:sz w:val="20"/>
        </w:rPr>
      </w:pPr>
      <w:r>
        <w:rPr>
          <w:rFonts w:ascii="Arial" w:hAnsi="Arial"/>
          <w:b/>
          <w:i/>
          <w:sz w:val="19"/>
        </w:rPr>
        <w:t>( ,V  </w:t>
      </w:r>
      <w:r>
        <w:rPr>
          <w:rFonts w:ascii="Arial" w:hAnsi="Arial"/>
          <w:sz w:val="32"/>
        </w:rPr>
        <w:t>+ </w:t>
      </w:r>
      <w:r>
        <w:rPr>
          <w:rFonts w:ascii="Arial" w:hAnsi="Arial"/>
          <w:b/>
          <w:i/>
          <w:sz w:val="19"/>
        </w:rPr>
        <w:t>P) </w:t>
      </w:r>
      <w:r>
        <w:rPr>
          <w:rFonts w:ascii="Arial" w:hAnsi="Arial"/>
          <w:b/>
          <w:sz w:val="19"/>
        </w:rPr>
        <w:t>(1 </w:t>
      </w:r>
      <w:r>
        <w:rPr>
          <w:rFonts w:ascii="Arial" w:hAnsi="Arial"/>
          <w:sz w:val="32"/>
        </w:rPr>
        <w:t>+ </w:t>
      </w:r>
      <w:r>
        <w:rPr>
          <w:w w:val="110"/>
          <w:sz w:val="20"/>
        </w:rPr>
        <w:t>i) </w:t>
      </w:r>
      <w:r>
        <w:rPr>
          <w:sz w:val="24"/>
        </w:rPr>
        <w:t>= </w:t>
      </w:r>
      <w:r>
        <w:rPr>
          <w:b/>
          <w:sz w:val="17"/>
        </w:rPr>
        <w:t>qz+e· </w:t>
      </w:r>
      <w:r>
        <w:rPr>
          <w:b/>
          <w:w w:val="110"/>
          <w:sz w:val="13"/>
        </w:rPr>
        <w:t>t+l </w:t>
      </w:r>
      <w:r>
        <w:rPr>
          <w:rFonts w:ascii="Arial" w:hAnsi="Arial"/>
          <w:b/>
          <w:i/>
          <w:sz w:val="20"/>
        </w:rPr>
        <w:t>V </w:t>
      </w:r>
      <w:r>
        <w:rPr>
          <w:rFonts w:ascii="Arial" w:hAnsi="Arial"/>
          <w:sz w:val="32"/>
        </w:rPr>
        <w:t>+ </w:t>
      </w:r>
      <w:r>
        <w:rPr>
          <w:rFonts w:ascii="Arial" w:hAnsi="Arial"/>
          <w:b/>
          <w:i/>
          <w:sz w:val="18"/>
        </w:rPr>
        <w:t>Pz+I' </w:t>
      </w:r>
      <w:r>
        <w:rPr>
          <w:b/>
          <w:sz w:val="13"/>
        </w:rPr>
        <w:t>1+1</w:t>
      </w:r>
      <w:r>
        <w:rPr>
          <w:rFonts w:ascii="Arial" w:hAnsi="Arial"/>
          <w:b/>
          <w:i/>
          <w:sz w:val="20"/>
        </w:rPr>
        <w:t>V,</w:t>
      </w:r>
    </w:p>
    <w:p>
      <w:pPr>
        <w:pStyle w:val="BodyText"/>
        <w:spacing w:before="76"/>
        <w:ind w:left="128"/>
      </w:pPr>
      <w:r>
        <w:rPr>
          <w:w w:val="105"/>
        </w:rPr>
        <w:t>or</w:t>
      </w:r>
    </w:p>
    <w:p>
      <w:pPr>
        <w:tabs>
          <w:tab w:pos="5351" w:val="left" w:leader="none"/>
        </w:tabs>
        <w:spacing w:before="34"/>
        <w:ind w:left="1870" w:right="0" w:firstLine="0"/>
        <w:jc w:val="left"/>
        <w:rPr>
          <w:sz w:val="20"/>
        </w:rPr>
      </w:pPr>
      <w:r>
        <w:rPr>
          <w:i/>
          <w:sz w:val="21"/>
        </w:rPr>
        <w:t>( </w:t>
      </w:r>
      <w:r>
        <w:rPr>
          <w:i/>
          <w:spacing w:val="-6"/>
          <w:w w:val="110"/>
          <w:sz w:val="21"/>
        </w:rPr>
        <w:t>,V </w:t>
      </w:r>
      <w:r>
        <w:rPr>
          <w:i/>
          <w:w w:val="120"/>
          <w:sz w:val="21"/>
        </w:rPr>
        <w:t>+ </w:t>
      </w:r>
      <w:r>
        <w:rPr>
          <w:i/>
          <w:w w:val="110"/>
          <w:sz w:val="21"/>
        </w:rPr>
        <w:t>P </w:t>
      </w:r>
      <w:r>
        <w:rPr>
          <w:i/>
          <w:sz w:val="21"/>
        </w:rPr>
        <w:t>) </w:t>
      </w:r>
      <w:r>
        <w:rPr>
          <w:rFonts w:ascii="Arial"/>
          <w:w w:val="110"/>
          <w:sz w:val="19"/>
        </w:rPr>
        <w:t>(1 </w:t>
      </w:r>
      <w:r>
        <w:rPr>
          <w:rFonts w:ascii="Arial"/>
          <w:w w:val="110"/>
          <w:sz w:val="32"/>
        </w:rPr>
        <w:t>+ </w:t>
      </w:r>
      <w:r>
        <w:rPr>
          <w:w w:val="120"/>
          <w:sz w:val="20"/>
        </w:rPr>
        <w:t>i) </w:t>
      </w:r>
      <w:r>
        <w:rPr>
          <w:w w:val="110"/>
          <w:sz w:val="26"/>
        </w:rPr>
        <w:t>=</w:t>
      </w:r>
      <w:r>
        <w:rPr>
          <w:spacing w:val="-18"/>
          <w:w w:val="110"/>
          <w:sz w:val="26"/>
        </w:rPr>
        <w:t> </w:t>
      </w:r>
      <w:r>
        <w:rPr>
          <w:w w:val="120"/>
          <w:sz w:val="14"/>
        </w:rPr>
        <w:t>Hl</w:t>
      </w:r>
      <w:r>
        <w:rPr>
          <w:spacing w:val="-22"/>
          <w:w w:val="120"/>
          <w:sz w:val="14"/>
        </w:rPr>
        <w:t> </w:t>
      </w:r>
      <w:r>
        <w:rPr>
          <w:i/>
          <w:w w:val="110"/>
          <w:sz w:val="30"/>
        </w:rPr>
        <w:t>v.</w:t>
        <w:tab/>
      </w:r>
      <w:r>
        <w:rPr>
          <w:w w:val="110"/>
          <w:position w:val="1"/>
          <w:sz w:val="20"/>
        </w:rPr>
        <w:t>(7.15)</w:t>
      </w:r>
    </w:p>
    <w:p>
      <w:pPr>
        <w:pStyle w:val="BodyText"/>
        <w:spacing w:line="242" w:lineRule="auto" w:before="94"/>
        <w:ind w:left="117" w:right="152"/>
        <w:jc w:val="both"/>
      </w:pPr>
      <w:r>
        <w:rPr>
          <w:w w:val="105"/>
        </w:rPr>
        <w:t>This relation shows that  the  reserve  accumulation is independent of mortality after </w:t>
      </w:r>
      <w:r>
        <w:rPr>
          <w:i/>
          <w:w w:val="105"/>
          <w:sz w:val="21"/>
        </w:rPr>
        <w:t>a </w:t>
      </w:r>
      <w:r>
        <w:rPr>
          <w:w w:val="105"/>
        </w:rPr>
        <w:t>years, there being no amount at risk and hence no insurance element. The prospective  formula for </w:t>
      </w:r>
      <w:r>
        <w:rPr>
          <w:i/>
          <w:w w:val="105"/>
          <w:sz w:val="21"/>
        </w:rPr>
        <w:t>ª </w:t>
      </w:r>
      <w:r>
        <w:rPr>
          <w:rFonts w:ascii="Arial" w:hAnsi="Arial"/>
          <w:i/>
          <w:w w:val="105"/>
        </w:rPr>
        <w:t>V </w:t>
      </w:r>
      <w:r>
        <w:rPr>
          <w:w w:val="105"/>
        </w:rPr>
        <w:t>will thus  be</w:t>
      </w:r>
    </w:p>
    <w:p>
      <w:pPr>
        <w:spacing w:after="0" w:line="242" w:lineRule="auto"/>
        <w:jc w:val="both"/>
        <w:sectPr>
          <w:pgSz w:w="7200" w:h="11340"/>
          <w:pgMar w:top="500" w:bottom="280" w:left="660" w:right="520"/>
        </w:sectPr>
      </w:pPr>
    </w:p>
    <w:p>
      <w:pPr>
        <w:spacing w:before="12"/>
        <w:ind w:left="1640" w:right="0" w:firstLine="0"/>
        <w:jc w:val="center"/>
        <w:rPr>
          <w:i/>
          <w:sz w:val="20"/>
        </w:rPr>
      </w:pPr>
      <w:r>
        <w:rPr>
          <w:b/>
          <w:i/>
          <w:sz w:val="21"/>
        </w:rPr>
        <w:t>aV </w:t>
      </w:r>
      <w:r>
        <w:rPr>
          <w:sz w:val="26"/>
        </w:rPr>
        <w:t>= </w:t>
      </w:r>
      <w:r>
        <w:rPr>
          <w:rFonts w:ascii="Arial" w:hAnsi="Arial"/>
          <w:sz w:val="19"/>
        </w:rPr>
        <w:t>(1 </w:t>
      </w:r>
      <w:r>
        <w:rPr>
          <w:rFonts w:ascii="Arial" w:hAnsi="Arial"/>
          <w:sz w:val="32"/>
        </w:rPr>
        <w:t>+ </w:t>
      </w:r>
      <w:r>
        <w:rPr>
          <w:i/>
          <w:sz w:val="20"/>
        </w:rPr>
        <w:t>k )v"-a  </w:t>
      </w:r>
      <w:r>
        <w:rPr>
          <w:w w:val="245"/>
          <w:sz w:val="20"/>
        </w:rPr>
        <w:t>- </w:t>
      </w:r>
      <w:r>
        <w:rPr>
          <w:i/>
          <w:sz w:val="20"/>
        </w:rPr>
        <w:t>P·dñ=a]</w:t>
      </w:r>
      <w:r>
        <w:rPr>
          <w:i/>
          <w:spacing w:val="-14"/>
          <w:sz w:val="20"/>
        </w:rPr>
        <w:t> </w:t>
      </w:r>
      <w:r>
        <w:rPr>
          <w:i/>
          <w:w w:val="120"/>
          <w:sz w:val="20"/>
        </w:rPr>
        <w:t>.</w:t>
      </w:r>
    </w:p>
    <w:p>
      <w:pPr>
        <w:pStyle w:val="BodyText"/>
        <w:spacing w:before="109"/>
        <w:ind w:left="114"/>
      </w:pPr>
      <w:r>
        <w:rPr>
          <w:w w:val="105"/>
        </w:rPr>
        <w:t>The retrospective  formula is</w:t>
      </w:r>
    </w:p>
    <w:p>
      <w:pPr>
        <w:spacing w:before="107"/>
        <w:ind w:left="1614" w:right="0" w:firstLine="0"/>
        <w:jc w:val="center"/>
        <w:rPr>
          <w:b/>
          <w:sz w:val="13"/>
        </w:rPr>
      </w:pPr>
      <w:r>
        <w:rPr>
          <w:b/>
          <w:spacing w:val="6"/>
          <w:w w:val="115"/>
          <w:sz w:val="13"/>
        </w:rPr>
        <w:t>a</w:t>
      </w:r>
      <w:r>
        <w:rPr>
          <w:b/>
          <w:i/>
          <w:spacing w:val="6"/>
          <w:w w:val="115"/>
          <w:sz w:val="21"/>
        </w:rPr>
        <w:t>V </w:t>
      </w:r>
      <w:r>
        <w:rPr>
          <w:w w:val="115"/>
          <w:sz w:val="24"/>
        </w:rPr>
        <w:t>= </w:t>
      </w:r>
      <w:r>
        <w:rPr>
          <w:b/>
          <w:i/>
          <w:w w:val="115"/>
          <w:sz w:val="21"/>
        </w:rPr>
        <w:t>P </w:t>
      </w:r>
      <w:r>
        <w:rPr>
          <w:b/>
          <w:i/>
          <w:w w:val="105"/>
          <w:sz w:val="21"/>
        </w:rPr>
        <w:t>· </w:t>
      </w:r>
      <w:r>
        <w:rPr>
          <w:b/>
          <w:i/>
          <w:w w:val="70"/>
          <w:sz w:val="21"/>
        </w:rPr>
        <w:t>B:i:aJ  </w:t>
      </w:r>
      <w:r>
        <w:rPr>
          <w:w w:val="240"/>
          <w:sz w:val="21"/>
        </w:rPr>
        <w:t>-</w:t>
      </w:r>
      <w:r>
        <w:rPr>
          <w:spacing w:val="-93"/>
          <w:w w:val="240"/>
          <w:sz w:val="21"/>
        </w:rPr>
        <w:t> </w:t>
      </w:r>
      <w:r>
        <w:rPr>
          <w:b/>
          <w:w w:val="115"/>
          <w:sz w:val="13"/>
        </w:rPr>
        <w:t>akz ,</w:t>
      </w:r>
    </w:p>
    <w:p>
      <w:pPr>
        <w:pStyle w:val="BodyText"/>
        <w:spacing w:before="125"/>
        <w:ind w:left="121"/>
      </w:pPr>
      <w:r>
        <w:rPr/>
        <w:br w:type="column"/>
      </w:r>
      <w:r>
        <w:rPr/>
        <w:t>(7.16 )</w:t>
      </w:r>
    </w:p>
    <w:p>
      <w:pPr>
        <w:pStyle w:val="BodyText"/>
      </w:pPr>
    </w:p>
    <w:p>
      <w:pPr>
        <w:pStyle w:val="BodyText"/>
        <w:spacing w:before="2"/>
        <w:rPr>
          <w:sz w:val="23"/>
        </w:rPr>
      </w:pPr>
    </w:p>
    <w:p>
      <w:pPr>
        <w:pStyle w:val="BodyText"/>
        <w:ind w:left="113"/>
      </w:pPr>
      <w:r>
        <w:rPr>
          <w:w w:val="105"/>
        </w:rPr>
        <w:t>(7.17)</w:t>
      </w:r>
    </w:p>
    <w:p>
      <w:pPr>
        <w:spacing w:after="0"/>
        <w:sectPr>
          <w:type w:val="continuous"/>
          <w:pgSz w:w="7200" w:h="11340"/>
          <w:pgMar w:top="1100" w:bottom="0" w:left="660" w:right="520"/>
          <w:cols w:num="2" w:equalWidth="0">
            <w:col w:w="4362" w:space="869"/>
            <w:col w:w="789"/>
          </w:cols>
        </w:sectPr>
      </w:pPr>
    </w:p>
    <w:p>
      <w:pPr>
        <w:pStyle w:val="BodyText"/>
        <w:spacing w:line="240" w:lineRule="exact" w:before="105"/>
        <w:ind w:left="117"/>
      </w:pPr>
      <w:r>
        <w:rPr>
          <w:w w:val="110"/>
        </w:rPr>
        <w:t>Equating the twoxpressions for </w:t>
      </w:r>
      <w:r>
        <w:rPr>
          <w:w w:val="110"/>
          <w:sz w:val="21"/>
        </w:rPr>
        <w:t>ª </w:t>
      </w:r>
      <w:r>
        <w:rPr>
          <w:rFonts w:ascii="Arial" w:hAnsi="Arial"/>
          <w:i/>
          <w:w w:val="110"/>
        </w:rPr>
        <w:t>V </w:t>
      </w:r>
      <w:r>
        <w:rPr>
          <w:w w:val="110"/>
        </w:rPr>
        <w:t>and solving for </w:t>
      </w:r>
      <w:r>
        <w:rPr>
          <w:rFonts w:ascii="Arial" w:hAnsi="Arial"/>
          <w:i/>
          <w:w w:val="110"/>
        </w:rPr>
        <w:t>P, </w:t>
      </w:r>
      <w:r>
        <w:rPr>
          <w:w w:val="110"/>
        </w:rPr>
        <w:t>we  find</w:t>
      </w:r>
    </w:p>
    <w:p>
      <w:pPr>
        <w:spacing w:line="328" w:lineRule="exact" w:before="0"/>
        <w:ind w:left="1305" w:right="0" w:firstLine="0"/>
        <w:jc w:val="left"/>
        <w:rPr>
          <w:i/>
          <w:sz w:val="22"/>
        </w:rPr>
      </w:pPr>
      <w:r>
        <w:rPr/>
        <w:pict>
          <v:line style="position:absolute;mso-position-horizontal-relative:page;mso-position-vertical-relative:paragraph;z-index:-722896" from="179.279999pt,15.692785pt" to="180.719999pt,15.692785pt" stroked="true" strokeweight=".54pt" strokecolor="#000000">
            <w10:wrap type="none"/>
          </v:line>
        </w:pict>
      </w:r>
      <w:r>
        <w:rPr>
          <w:b/>
          <w:i/>
          <w:w w:val="102"/>
          <w:sz w:val="22"/>
        </w:rPr>
        <w:t>p</w:t>
      </w:r>
      <w:r>
        <w:rPr>
          <w:b/>
          <w:i/>
          <w:sz w:val="22"/>
        </w:rPr>
        <w:t> </w:t>
      </w:r>
      <w:r>
        <w:rPr>
          <w:b/>
          <w:i/>
          <w:spacing w:val="1"/>
          <w:sz w:val="22"/>
        </w:rPr>
        <w:t> </w:t>
      </w:r>
      <w:r>
        <w:rPr>
          <w:w w:val="103"/>
          <w:sz w:val="24"/>
        </w:rPr>
        <w:t>=</w:t>
      </w:r>
      <w:r>
        <w:rPr>
          <w:spacing w:val="26"/>
          <w:sz w:val="24"/>
        </w:rPr>
        <w:t> </w:t>
      </w:r>
      <w:r>
        <w:rPr>
          <w:b/>
          <w:i/>
          <w:spacing w:val="-33"/>
          <w:w w:val="210"/>
          <w:sz w:val="20"/>
        </w:rPr>
        <w:t>.</w:t>
      </w:r>
      <w:r>
        <w:rPr>
          <w:b/>
          <w:i/>
          <w:w w:val="92"/>
          <w:sz w:val="20"/>
        </w:rPr>
        <w:t>kz</w:t>
      </w:r>
      <w:r>
        <w:rPr>
          <w:b/>
          <w:i/>
          <w:sz w:val="20"/>
        </w:rPr>
        <w:t> </w:t>
      </w:r>
      <w:r>
        <w:rPr>
          <w:b/>
          <w:i/>
          <w:spacing w:val="-17"/>
          <w:sz w:val="20"/>
        </w:rPr>
        <w:t> </w:t>
      </w:r>
      <w:r>
        <w:rPr>
          <w:rFonts w:ascii="Arial"/>
          <w:w w:val="103"/>
          <w:sz w:val="33"/>
        </w:rPr>
        <w:t>+</w:t>
      </w:r>
      <w:r>
        <w:rPr>
          <w:rFonts w:ascii="Arial"/>
          <w:spacing w:val="-4"/>
          <w:sz w:val="33"/>
        </w:rPr>
        <w:t> </w:t>
      </w:r>
      <w:r>
        <w:rPr>
          <w:b/>
          <w:w w:val="105"/>
          <w:sz w:val="19"/>
        </w:rPr>
        <w:t>(1</w:t>
      </w:r>
      <w:r>
        <w:rPr>
          <w:b/>
          <w:spacing w:val="11"/>
          <w:sz w:val="19"/>
        </w:rPr>
        <w:t> </w:t>
      </w:r>
      <w:r>
        <w:rPr>
          <w:rFonts w:ascii="Arial"/>
          <w:w w:val="101"/>
          <w:sz w:val="33"/>
        </w:rPr>
        <w:t>+</w:t>
      </w:r>
      <w:r>
        <w:rPr>
          <w:rFonts w:ascii="Arial"/>
          <w:spacing w:val="-58"/>
          <w:sz w:val="33"/>
        </w:rPr>
        <w:t> </w:t>
      </w:r>
      <w:r>
        <w:rPr>
          <w:rFonts w:ascii="Arial"/>
          <w:i/>
          <w:spacing w:val="13"/>
          <w:w w:val="91"/>
          <w:sz w:val="20"/>
        </w:rPr>
        <w:t>k</w:t>
      </w:r>
      <w:r>
        <w:rPr>
          <w:rFonts w:ascii="Arial"/>
          <w:i/>
          <w:w w:val="79"/>
          <w:sz w:val="20"/>
        </w:rPr>
        <w:t>)</w:t>
      </w:r>
      <w:r>
        <w:rPr>
          <w:rFonts w:ascii="Arial"/>
          <w:i/>
          <w:spacing w:val="-12"/>
          <w:sz w:val="20"/>
        </w:rPr>
        <w:t> </w:t>
      </w:r>
      <w:r>
        <w:rPr>
          <w:i/>
          <w:w w:val="132"/>
          <w:sz w:val="22"/>
        </w:rPr>
        <w:t>v"-</w:t>
      </w:r>
    </w:p>
    <w:p>
      <w:pPr>
        <w:spacing w:line="318" w:lineRule="exact" w:before="0"/>
        <w:ind w:left="293" w:right="1202" w:firstLine="0"/>
        <w:jc w:val="center"/>
        <w:rPr>
          <w:rFonts w:ascii="Arial"/>
          <w:i/>
          <w:sz w:val="17"/>
        </w:rPr>
      </w:pPr>
      <w:r>
        <w:rPr>
          <w:sz w:val="17"/>
        </w:rPr>
        <w:t>Bz:oj </w:t>
      </w:r>
      <w:r>
        <w:rPr>
          <w:rFonts w:ascii="Arial"/>
          <w:sz w:val="32"/>
        </w:rPr>
        <w:t>+ </w:t>
      </w:r>
      <w:r>
        <w:rPr>
          <w:rFonts w:ascii="Arial"/>
          <w:i/>
          <w:sz w:val="17"/>
        </w:rPr>
        <w:t>a;:=;i</w:t>
      </w:r>
    </w:p>
    <w:p>
      <w:pPr>
        <w:spacing w:after="0" w:line="318" w:lineRule="exact"/>
        <w:jc w:val="center"/>
        <w:rPr>
          <w:rFonts w:ascii="Arial"/>
          <w:sz w:val="17"/>
        </w:rPr>
        <w:sectPr>
          <w:type w:val="continuous"/>
          <w:pgSz w:w="7200" w:h="11340"/>
          <w:pgMar w:top="1100" w:bottom="0" w:left="660" w:right="520"/>
        </w:sectPr>
      </w:pPr>
    </w:p>
    <w:p>
      <w:pPr>
        <w:spacing w:line="292" w:lineRule="exact" w:before="0"/>
        <w:ind w:left="1554" w:right="-10" w:firstLine="0"/>
        <w:jc w:val="left"/>
        <w:rPr>
          <w:i/>
          <w:sz w:val="20"/>
        </w:rPr>
      </w:pPr>
      <w:r>
        <w:rPr/>
        <w:pict>
          <v:line style="position:absolute;mso-position-horizontal-relative:page;mso-position-vertical-relative:paragraph;z-index:-722872" from="171.179993pt,13.259377pt" to="173.339993pt,13.259377pt" stroked="true" strokeweight=".54pt" strokecolor="#000000">
            <w10:wrap type="none"/>
          </v:line>
        </w:pict>
      </w:r>
      <w:r>
        <w:rPr>
          <w:w w:val="115"/>
          <w:sz w:val="24"/>
        </w:rPr>
        <w:t>=</w:t>
      </w:r>
      <w:r>
        <w:rPr>
          <w:spacing w:val="-13"/>
          <w:w w:val="115"/>
          <w:sz w:val="24"/>
        </w:rPr>
        <w:t> </w:t>
      </w:r>
      <w:r>
        <w:rPr>
          <w:i/>
          <w:w w:val="115"/>
          <w:sz w:val="20"/>
        </w:rPr>
        <w:t>M</w:t>
      </w:r>
      <w:r>
        <w:rPr>
          <w:i/>
          <w:spacing w:val="-38"/>
          <w:w w:val="115"/>
          <w:sz w:val="20"/>
        </w:rPr>
        <w:t> </w:t>
      </w:r>
      <w:r>
        <w:rPr>
          <w:i/>
          <w:sz w:val="20"/>
        </w:rPr>
        <w:t>z</w:t>
      </w:r>
      <w:r>
        <w:rPr>
          <w:i/>
          <w:spacing w:val="10"/>
          <w:sz w:val="20"/>
        </w:rPr>
        <w:t> </w:t>
      </w:r>
      <w:r>
        <w:rPr>
          <w:w w:val="260"/>
          <w:sz w:val="20"/>
        </w:rPr>
        <w:t>-</w:t>
      </w:r>
      <w:r>
        <w:rPr>
          <w:spacing w:val="-101"/>
          <w:w w:val="260"/>
          <w:sz w:val="20"/>
        </w:rPr>
        <w:t> </w:t>
      </w:r>
      <w:r>
        <w:rPr>
          <w:i/>
          <w:w w:val="115"/>
          <w:sz w:val="20"/>
        </w:rPr>
        <w:t>M</w:t>
      </w:r>
      <w:r>
        <w:rPr>
          <w:i/>
          <w:spacing w:val="-40"/>
          <w:w w:val="115"/>
          <w:sz w:val="20"/>
        </w:rPr>
        <w:t> </w:t>
      </w:r>
      <w:r>
        <w:rPr>
          <w:i/>
          <w:sz w:val="20"/>
        </w:rPr>
        <w:t>z+a</w:t>
      </w:r>
      <w:r>
        <w:rPr>
          <w:i/>
          <w:spacing w:val="9"/>
          <w:sz w:val="20"/>
        </w:rPr>
        <w:t> </w:t>
      </w:r>
      <w:r>
        <w:rPr>
          <w:rFonts w:ascii="Arial"/>
          <w:w w:val="115"/>
          <w:sz w:val="32"/>
        </w:rPr>
        <w:t>+</w:t>
      </w:r>
      <w:r>
        <w:rPr>
          <w:rFonts w:ascii="Arial"/>
          <w:spacing w:val="-49"/>
          <w:w w:val="115"/>
          <w:sz w:val="32"/>
        </w:rPr>
        <w:t> </w:t>
      </w:r>
      <w:r>
        <w:rPr>
          <w:rFonts w:ascii="Arial"/>
          <w:w w:val="115"/>
          <w:sz w:val="19"/>
        </w:rPr>
        <w:t>(1</w:t>
      </w:r>
      <w:r>
        <w:rPr>
          <w:rFonts w:ascii="Arial"/>
          <w:spacing w:val="-34"/>
          <w:w w:val="115"/>
          <w:sz w:val="19"/>
        </w:rPr>
        <w:t> </w:t>
      </w:r>
      <w:r>
        <w:rPr>
          <w:rFonts w:ascii="Arial"/>
          <w:w w:val="115"/>
          <w:sz w:val="32"/>
        </w:rPr>
        <w:t>+</w:t>
      </w:r>
      <w:r>
        <w:rPr>
          <w:rFonts w:ascii="Arial"/>
          <w:spacing w:val="-69"/>
          <w:w w:val="115"/>
          <w:sz w:val="32"/>
        </w:rPr>
        <w:t> </w:t>
      </w:r>
      <w:r>
        <w:rPr>
          <w:i/>
          <w:spacing w:val="3"/>
          <w:w w:val="115"/>
          <w:sz w:val="20"/>
        </w:rPr>
        <w:t>k)v"-</w:t>
      </w:r>
      <w:r>
        <w:rPr>
          <w:i/>
          <w:spacing w:val="-45"/>
          <w:w w:val="115"/>
          <w:sz w:val="20"/>
        </w:rPr>
        <w:t> </w:t>
      </w:r>
      <w:r>
        <w:rPr>
          <w:i/>
          <w:sz w:val="20"/>
        </w:rPr>
        <w:t>Dz+a</w:t>
      </w:r>
    </w:p>
    <w:p>
      <w:pPr>
        <w:spacing w:line="321" w:lineRule="exact" w:before="0"/>
        <w:ind w:left="2108" w:right="-10" w:firstLine="0"/>
        <w:jc w:val="left"/>
        <w:rPr>
          <w:i/>
          <w:sz w:val="22"/>
        </w:rPr>
      </w:pPr>
      <w:r>
        <w:rPr>
          <w:b/>
          <w:i/>
          <w:w w:val="85"/>
          <w:sz w:val="23"/>
        </w:rPr>
        <w:t>Ns </w:t>
      </w:r>
      <w:r>
        <w:rPr>
          <w:w w:val="215"/>
          <w:sz w:val="23"/>
        </w:rPr>
        <w:t>-</w:t>
      </w:r>
      <w:r>
        <w:rPr>
          <w:spacing w:val="-85"/>
          <w:w w:val="215"/>
          <w:sz w:val="23"/>
        </w:rPr>
        <w:t> </w:t>
      </w:r>
      <w:r>
        <w:rPr>
          <w:b/>
          <w:i/>
          <w:w w:val="85"/>
          <w:sz w:val="23"/>
        </w:rPr>
        <w:t>N </w:t>
      </w:r>
      <w:r>
        <w:rPr>
          <w:rFonts w:ascii="Arial" w:hAnsi="Arial"/>
          <w:w w:val="130"/>
          <w:sz w:val="31"/>
        </w:rPr>
        <w:t>*'</w:t>
      </w:r>
      <w:r>
        <w:rPr>
          <w:rFonts w:ascii="Arial" w:hAnsi="Arial"/>
          <w:spacing w:val="-72"/>
          <w:w w:val="130"/>
          <w:sz w:val="31"/>
        </w:rPr>
        <w:t> </w:t>
      </w:r>
      <w:r>
        <w:rPr>
          <w:w w:val="120"/>
          <w:sz w:val="29"/>
        </w:rPr>
        <w:t>+ </w:t>
      </w:r>
      <w:r>
        <w:rPr>
          <w:i/>
          <w:w w:val="85"/>
          <w:sz w:val="22"/>
        </w:rPr>
        <w:t>tiñ=aJ </w:t>
      </w:r>
      <w:r>
        <w:rPr>
          <w:i/>
          <w:spacing w:val="5"/>
          <w:w w:val="130"/>
          <w:sz w:val="22"/>
        </w:rPr>
        <w:t>D*'</w:t>
      </w:r>
    </w:p>
    <w:p>
      <w:pPr>
        <w:pStyle w:val="BodyText"/>
        <w:spacing w:before="138"/>
        <w:ind w:left="699"/>
      </w:pPr>
      <w:r>
        <w:rPr/>
        <w:br w:type="column"/>
      </w:r>
      <w:r>
        <w:rPr>
          <w:w w:val="120"/>
        </w:rPr>
        <w:t>(7.18)</w:t>
      </w:r>
    </w:p>
    <w:p>
      <w:pPr>
        <w:spacing w:after="0"/>
        <w:sectPr>
          <w:type w:val="continuous"/>
          <w:pgSz w:w="7200" w:h="11340"/>
          <w:pgMar w:top="1100" w:bottom="0" w:left="660" w:right="520"/>
          <w:cols w:num="2" w:equalWidth="0">
            <w:col w:w="4584" w:space="40"/>
            <w:col w:w="1396"/>
          </w:cols>
        </w:sectPr>
      </w:pPr>
    </w:p>
    <w:p>
      <w:pPr>
        <w:pStyle w:val="BodyText"/>
        <w:spacing w:line="244" w:lineRule="auto" w:before="55"/>
        <w:ind w:left="103" w:right="150" w:firstLine="198"/>
        <w:jc w:val="both"/>
        <w:rPr>
          <w:i/>
          <w:sz w:val="21"/>
        </w:rPr>
      </w:pPr>
      <w:r>
        <w:rPr>
          <w:w w:val="105"/>
        </w:rPr>
        <w:t>The value of </w:t>
      </w:r>
      <w:r>
        <w:rPr>
          <w:i/>
          <w:w w:val="105"/>
          <w:sz w:val="21"/>
        </w:rPr>
        <w:t>a </w:t>
      </w:r>
      <w:r>
        <w:rPr>
          <w:w w:val="105"/>
        </w:rPr>
        <w:t>used in this formula depends upon the magnitude of </w:t>
      </w:r>
      <w:r>
        <w:rPr>
          <w:rFonts w:ascii="Arial"/>
          <w:i/>
          <w:w w:val="105"/>
        </w:rPr>
        <w:t>P, </w:t>
      </w:r>
      <w:r>
        <w:rPr>
          <w:w w:val="105"/>
        </w:rPr>
        <w:t>and may be determined by a trial-and-error process. It is possible, however, to develop a simple criterion which permits the independent detennination of </w:t>
      </w:r>
      <w:r>
        <w:rPr>
          <w:i/>
          <w:w w:val="105"/>
          <w:sz w:val="21"/>
        </w:rPr>
        <w:t>a.</w:t>
      </w:r>
    </w:p>
    <w:p>
      <w:pPr>
        <w:pStyle w:val="BodyText"/>
        <w:spacing w:before="1"/>
        <w:ind w:left="294"/>
      </w:pPr>
      <w:r>
        <w:rPr>
          <w:w w:val="105"/>
        </w:rPr>
        <w:t>We shall use the relations</w:t>
      </w:r>
    </w:p>
    <w:p>
      <w:pPr>
        <w:spacing w:after="0"/>
        <w:sectPr>
          <w:type w:val="continuous"/>
          <w:pgSz w:w="7200" w:h="11340"/>
          <w:pgMar w:top="1100" w:bottom="0" w:left="660" w:right="520"/>
        </w:sectPr>
      </w:pPr>
    </w:p>
    <w:p>
      <w:pPr>
        <w:tabs>
          <w:tab w:pos="2369" w:val="left" w:leader="none"/>
          <w:tab w:pos="5372" w:val="left" w:leader="none"/>
        </w:tabs>
        <w:spacing w:before="43"/>
        <w:ind w:left="195" w:right="0" w:firstLine="0"/>
        <w:jc w:val="left"/>
        <w:rPr>
          <w:b/>
          <w:sz w:val="19"/>
        </w:rPr>
      </w:pPr>
      <w:r>
        <w:rPr>
          <w:color w:val="030303"/>
          <w:spacing w:val="-13"/>
          <w:position w:val="2"/>
          <w:sz w:val="19"/>
        </w:rPr>
        <w:t>160</w:t>
        <w:tab/>
      </w:r>
      <w:r>
        <w:rPr>
          <w:b/>
          <w:color w:val="030303"/>
          <w:position w:val="1"/>
          <w:sz w:val="15"/>
        </w:rPr>
        <w:t>SPECIAL </w:t>
      </w:r>
      <w:r>
        <w:rPr>
          <w:b/>
          <w:color w:val="030303"/>
          <w:spacing w:val="29"/>
          <w:position w:val="1"/>
          <w:sz w:val="15"/>
        </w:rPr>
        <w:t> </w:t>
      </w:r>
      <w:r>
        <w:rPr>
          <w:b/>
          <w:color w:val="030303"/>
          <w:position w:val="1"/>
          <w:sz w:val="15"/>
        </w:rPr>
        <w:t>TOPICS</w:t>
        <w:tab/>
      </w:r>
      <w:r>
        <w:rPr>
          <w:color w:val="030303"/>
          <w:sz w:val="19"/>
        </w:rPr>
        <w:t>(CH.</w:t>
      </w:r>
      <w:r>
        <w:rPr>
          <w:color w:val="030303"/>
          <w:spacing w:val="1"/>
          <w:sz w:val="19"/>
        </w:rPr>
        <w:t> </w:t>
      </w:r>
      <w:r>
        <w:rPr>
          <w:b/>
          <w:color w:val="030303"/>
          <w:sz w:val="19"/>
        </w:rPr>
        <w:t>7</w:t>
      </w:r>
    </w:p>
    <w:p>
      <w:pPr>
        <w:pStyle w:val="BodyText"/>
        <w:spacing w:before="6"/>
        <w:rPr>
          <w:b/>
          <w:sz w:val="17"/>
        </w:rPr>
      </w:pPr>
    </w:p>
    <w:p>
      <w:pPr>
        <w:tabs>
          <w:tab w:pos="2384" w:val="left" w:leader="none"/>
          <w:tab w:pos="3137" w:val="left" w:leader="none"/>
          <w:tab w:pos="3837" w:val="left" w:leader="none"/>
        </w:tabs>
        <w:spacing w:before="0"/>
        <w:ind w:left="1917" w:right="0" w:firstLine="0"/>
        <w:jc w:val="left"/>
        <w:rPr>
          <w:rFonts w:ascii="Arial"/>
          <w:i/>
          <w:sz w:val="18"/>
        </w:rPr>
      </w:pPr>
      <w:r>
        <w:rPr>
          <w:rFonts w:ascii="Arial"/>
          <w:i/>
          <w:color w:val="030303"/>
          <w:sz w:val="20"/>
        </w:rPr>
        <w:t>P</w:t>
        <w:tab/>
      </w:r>
      <w:r>
        <w:rPr>
          <w:color w:val="030303"/>
          <w:spacing w:val="-9"/>
          <w:sz w:val="22"/>
        </w:rPr>
        <w:t>Ps:ol</w:t>
        <w:tab/>
      </w:r>
      <w:r>
        <w:rPr>
          <w:color w:val="030303"/>
          <w:sz w:val="20"/>
        </w:rPr>
        <w:t>and</w:t>
        <w:tab/>
      </w:r>
      <w:r>
        <w:rPr>
          <w:rFonts w:ascii="Arial"/>
          <w:i/>
          <w:color w:val="030303"/>
          <w:sz w:val="20"/>
        </w:rPr>
        <w:t>P</w:t>
      </w:r>
      <w:r>
        <w:rPr>
          <w:rFonts w:ascii="Arial"/>
          <w:i/>
          <w:color w:val="030303"/>
          <w:spacing w:val="5"/>
          <w:sz w:val="20"/>
        </w:rPr>
        <w:t> </w:t>
      </w:r>
      <w:r>
        <w:rPr>
          <w:color w:val="030303"/>
          <w:sz w:val="26"/>
        </w:rPr>
        <w:t>&gt;</w:t>
      </w:r>
      <w:r>
        <w:rPr>
          <w:color w:val="030303"/>
          <w:spacing w:val="3"/>
          <w:sz w:val="26"/>
        </w:rPr>
        <w:t> </w:t>
      </w:r>
      <w:r>
        <w:rPr>
          <w:rFonts w:ascii="Arial"/>
          <w:i/>
          <w:color w:val="030303"/>
          <w:sz w:val="18"/>
        </w:rPr>
        <w:t>P.</w:t>
      </w:r>
      <w:r>
        <w:rPr>
          <w:rFonts w:ascii="Arial"/>
          <w:i/>
          <w:color w:val="030303"/>
          <w:spacing w:val="-23"/>
          <w:sz w:val="18"/>
        </w:rPr>
        <w:t> </w:t>
      </w:r>
      <w:r>
        <w:rPr>
          <w:rFonts w:ascii="Arial"/>
          <w:i/>
          <w:color w:val="232323"/>
          <w:w w:val="85"/>
          <w:sz w:val="18"/>
        </w:rPr>
        <w:t>;</w:t>
      </w:r>
      <w:r>
        <w:rPr>
          <w:rFonts w:ascii="Arial"/>
          <w:i/>
          <w:color w:val="232323"/>
          <w:spacing w:val="-32"/>
          <w:w w:val="85"/>
          <w:sz w:val="18"/>
        </w:rPr>
        <w:t> </w:t>
      </w:r>
      <w:r>
        <w:rPr>
          <w:rFonts w:ascii="Arial"/>
          <w:i/>
          <w:color w:val="030303"/>
          <w:sz w:val="18"/>
        </w:rPr>
        <w:t>;'.+il</w:t>
      </w:r>
    </w:p>
    <w:p>
      <w:pPr>
        <w:tabs>
          <w:tab w:pos="2308" w:val="left" w:leader="none"/>
        </w:tabs>
        <w:spacing w:line="293" w:lineRule="exact" w:before="42"/>
        <w:ind w:left="174" w:right="0" w:firstLine="0"/>
        <w:jc w:val="left"/>
        <w:rPr>
          <w:sz w:val="19"/>
        </w:rPr>
      </w:pPr>
      <w:r>
        <w:rPr>
          <w:color w:val="030303"/>
          <w:w w:val="105"/>
          <w:sz w:val="20"/>
        </w:rPr>
        <w:t>which follow from</w:t>
      </w:r>
      <w:r>
        <w:rPr>
          <w:color w:val="030303"/>
          <w:spacing w:val="-9"/>
          <w:w w:val="105"/>
          <w:sz w:val="20"/>
        </w:rPr>
        <w:t> </w:t>
      </w:r>
      <w:r>
        <w:rPr>
          <w:i/>
          <w:color w:val="030303"/>
          <w:w w:val="105"/>
          <w:sz w:val="21"/>
        </w:rPr>
        <w:t>ª</w:t>
      </w:r>
      <w:r>
        <w:rPr>
          <w:i/>
          <w:color w:val="030303"/>
          <w:spacing w:val="-37"/>
          <w:w w:val="105"/>
          <w:sz w:val="21"/>
        </w:rPr>
        <w:t> </w:t>
      </w:r>
      <w:r>
        <w:rPr>
          <w:i/>
          <w:color w:val="030303"/>
          <w:w w:val="105"/>
          <w:sz w:val="20"/>
        </w:rPr>
        <w:t>V</w:t>
        <w:tab/>
      </w:r>
      <w:r>
        <w:rPr>
          <w:color w:val="030303"/>
          <w:w w:val="105"/>
          <w:sz w:val="19"/>
        </w:rPr>
        <w:t>1 </w:t>
      </w:r>
      <w:r>
        <w:rPr>
          <w:color w:val="030303"/>
          <w:w w:val="105"/>
          <w:sz w:val="20"/>
        </w:rPr>
        <w:t>and </w:t>
      </w:r>
      <w:r>
        <w:rPr>
          <w:rFonts w:ascii="Arial" w:hAnsi="Arial"/>
          <w:color w:val="030303"/>
          <w:spacing w:val="-3"/>
          <w:w w:val="130"/>
          <w:sz w:val="14"/>
        </w:rPr>
        <w:t>•+l</w:t>
      </w:r>
      <w:r>
        <w:rPr>
          <w:i/>
          <w:color w:val="030303"/>
          <w:spacing w:val="-3"/>
          <w:w w:val="130"/>
          <w:sz w:val="20"/>
        </w:rPr>
        <w:t>V </w:t>
      </w:r>
      <w:r>
        <w:rPr>
          <w:i/>
          <w:color w:val="383838"/>
          <w:w w:val="55"/>
          <w:sz w:val="20"/>
        </w:rPr>
        <w:t>.  </w:t>
      </w:r>
      <w:r>
        <w:rPr>
          <w:color w:val="030303"/>
          <w:w w:val="105"/>
          <w:sz w:val="26"/>
        </w:rPr>
        <w:t>&gt;</w:t>
      </w:r>
      <w:r>
        <w:rPr>
          <w:color w:val="030303"/>
          <w:spacing w:val="18"/>
          <w:w w:val="105"/>
          <w:sz w:val="26"/>
        </w:rPr>
        <w:t> </w:t>
      </w:r>
      <w:r>
        <w:rPr>
          <w:color w:val="030303"/>
          <w:w w:val="130"/>
          <w:sz w:val="19"/>
        </w:rPr>
        <w:t>l.</w:t>
      </w:r>
    </w:p>
    <w:p>
      <w:pPr>
        <w:pStyle w:val="BodyText"/>
        <w:spacing w:line="224" w:lineRule="exact"/>
        <w:ind w:left="98" w:right="2175"/>
        <w:jc w:val="center"/>
      </w:pPr>
      <w:r>
        <w:rPr>
          <w:color w:val="030303"/>
          <w:w w:val="110"/>
        </w:rPr>
        <w:t>We first transfonn  (7.16) as follows:</w:t>
      </w:r>
    </w:p>
    <w:p>
      <w:pPr>
        <w:spacing w:before="53"/>
        <w:ind w:left="609" w:right="87" w:firstLine="0"/>
        <w:jc w:val="center"/>
        <w:rPr>
          <w:rFonts w:ascii="Arial" w:hAnsi="Arial"/>
          <w:i/>
          <w:sz w:val="20"/>
        </w:rPr>
      </w:pPr>
      <w:r>
        <w:rPr>
          <w:rFonts w:ascii="Arial" w:hAnsi="Arial"/>
          <w:color w:val="030303"/>
          <w:w w:val="110"/>
          <w:sz w:val="20"/>
        </w:rPr>
        <w:t>•</w:t>
      </w:r>
      <w:r>
        <w:rPr>
          <w:rFonts w:ascii="Arial" w:hAnsi="Arial"/>
          <w:i/>
          <w:color w:val="030303"/>
          <w:w w:val="110"/>
          <w:sz w:val="20"/>
        </w:rPr>
        <w:t>V · </w:t>
      </w:r>
      <w:r>
        <w:rPr>
          <w:rFonts w:ascii="Arial" w:hAnsi="Arial"/>
          <w:color w:val="030303"/>
          <w:w w:val="110"/>
          <w:sz w:val="19"/>
        </w:rPr>
        <w:t>(1 </w:t>
      </w:r>
      <w:r>
        <w:rPr>
          <w:color w:val="030303"/>
          <w:w w:val="110"/>
          <w:sz w:val="29"/>
        </w:rPr>
        <w:t>+ </w:t>
      </w:r>
      <w:r>
        <w:rPr>
          <w:rFonts w:ascii="Arial" w:hAnsi="Arial"/>
          <w:i/>
          <w:color w:val="030303"/>
          <w:w w:val="120"/>
          <w:sz w:val="19"/>
        </w:rPr>
        <w:t>i </w:t>
      </w:r>
      <w:r>
        <w:rPr>
          <w:rFonts w:ascii="Arial" w:hAnsi="Arial"/>
          <w:i/>
          <w:color w:val="030303"/>
          <w:w w:val="105"/>
          <w:sz w:val="19"/>
        </w:rPr>
        <w:t>) </w:t>
      </w:r>
      <w:r>
        <w:rPr>
          <w:color w:val="030303"/>
          <w:w w:val="110"/>
          <w:sz w:val="19"/>
        </w:rPr>
        <w:t>"-ª </w:t>
      </w:r>
      <w:r>
        <w:rPr>
          <w:color w:val="030303"/>
          <w:w w:val="110"/>
          <w:sz w:val="29"/>
        </w:rPr>
        <w:t>+ </w:t>
      </w:r>
      <w:r>
        <w:rPr>
          <w:rFonts w:ascii="Arial" w:hAnsi="Arial"/>
          <w:i/>
          <w:color w:val="030303"/>
          <w:w w:val="110"/>
          <w:sz w:val="20"/>
        </w:rPr>
        <w:t>P </w:t>
      </w:r>
      <w:r>
        <w:rPr>
          <w:rFonts w:ascii="Arial" w:hAnsi="Arial"/>
          <w:color w:val="030303"/>
          <w:spacing w:val="-8"/>
          <w:w w:val="110"/>
          <w:sz w:val="20"/>
        </w:rPr>
        <w:t>·</w:t>
      </w:r>
      <w:r>
        <w:rPr>
          <w:color w:val="030303"/>
          <w:spacing w:val="-8"/>
          <w:w w:val="110"/>
          <w:sz w:val="21"/>
        </w:rPr>
        <w:t>s;::.¡ </w:t>
      </w:r>
      <w:r>
        <w:rPr>
          <w:color w:val="030303"/>
          <w:w w:val="105"/>
          <w:sz w:val="26"/>
        </w:rPr>
        <w:t>=</w:t>
      </w:r>
      <w:r>
        <w:rPr>
          <w:color w:val="030303"/>
          <w:spacing w:val="59"/>
          <w:w w:val="105"/>
          <w:sz w:val="26"/>
        </w:rPr>
        <w:t> </w:t>
      </w:r>
      <w:r>
        <w:rPr>
          <w:rFonts w:ascii="Arial" w:hAnsi="Arial"/>
          <w:color w:val="030303"/>
          <w:w w:val="110"/>
          <w:sz w:val="19"/>
        </w:rPr>
        <w:t>1 </w:t>
      </w:r>
      <w:r>
        <w:rPr>
          <w:color w:val="030303"/>
          <w:w w:val="110"/>
          <w:sz w:val="29"/>
        </w:rPr>
        <w:t>+ </w:t>
      </w:r>
      <w:r>
        <w:rPr>
          <w:rFonts w:ascii="Arial" w:hAnsi="Arial"/>
          <w:i/>
          <w:color w:val="030303"/>
          <w:w w:val="110"/>
          <w:sz w:val="20"/>
        </w:rPr>
        <w:t>k.</w:t>
      </w:r>
    </w:p>
    <w:p>
      <w:pPr>
        <w:spacing w:line="355" w:lineRule="exact" w:before="36"/>
        <w:ind w:left="167" w:right="0" w:firstLine="0"/>
        <w:jc w:val="left"/>
        <w:rPr>
          <w:sz w:val="19"/>
        </w:rPr>
      </w:pPr>
      <w:r>
        <w:rPr>
          <w:color w:val="030303"/>
          <w:w w:val="110"/>
          <w:sz w:val="20"/>
        </w:rPr>
        <w:t>In this expression, </w:t>
      </w:r>
      <w:r>
        <w:rPr>
          <w:color w:val="030303"/>
          <w:w w:val="110"/>
          <w:sz w:val="21"/>
        </w:rPr>
        <w:t>if </w:t>
      </w:r>
      <w:r>
        <w:rPr>
          <w:color w:val="030303"/>
          <w:w w:val="110"/>
          <w:sz w:val="20"/>
        </w:rPr>
        <w:t>we replace </w:t>
      </w:r>
      <w:r>
        <w:rPr>
          <w:color w:val="030303"/>
          <w:w w:val="110"/>
          <w:sz w:val="19"/>
        </w:rPr>
        <w:t>(1 </w:t>
      </w:r>
      <w:r>
        <w:rPr>
          <w:rFonts w:ascii="Arial" w:hAnsi="Arial"/>
          <w:color w:val="030303"/>
          <w:w w:val="110"/>
          <w:sz w:val="32"/>
        </w:rPr>
        <w:t>+</w:t>
      </w:r>
      <w:r>
        <w:rPr>
          <w:rFonts w:ascii="Arial" w:hAnsi="Arial"/>
          <w:color w:val="030303"/>
          <w:spacing w:val="-55"/>
          <w:w w:val="110"/>
          <w:sz w:val="32"/>
        </w:rPr>
        <w:t> </w:t>
      </w:r>
      <w:r>
        <w:rPr>
          <w:color w:val="030303"/>
          <w:spacing w:val="3"/>
          <w:w w:val="110"/>
          <w:sz w:val="19"/>
        </w:rPr>
        <w:t>i)</w:t>
      </w:r>
      <w:r>
        <w:rPr>
          <w:i/>
          <w:color w:val="030303"/>
          <w:spacing w:val="3"/>
          <w:w w:val="110"/>
          <w:sz w:val="16"/>
        </w:rPr>
        <w:t>"-a </w:t>
      </w:r>
      <w:r>
        <w:rPr>
          <w:color w:val="030303"/>
          <w:w w:val="110"/>
          <w:sz w:val="20"/>
        </w:rPr>
        <w:t>by </w:t>
      </w:r>
      <w:r>
        <w:rPr>
          <w:color w:val="030303"/>
          <w:w w:val="110"/>
          <w:sz w:val="19"/>
        </w:rPr>
        <w:t>1 </w:t>
      </w:r>
      <w:r>
        <w:rPr>
          <w:rFonts w:ascii="Arial" w:hAnsi="Arial"/>
          <w:color w:val="030303"/>
          <w:w w:val="110"/>
          <w:sz w:val="32"/>
        </w:rPr>
        <w:t>+</w:t>
      </w:r>
      <w:r>
        <w:rPr>
          <w:rFonts w:ascii="Arial" w:hAnsi="Arial"/>
          <w:color w:val="030303"/>
          <w:spacing w:val="-55"/>
          <w:w w:val="110"/>
          <w:sz w:val="32"/>
        </w:rPr>
        <w:t> </w:t>
      </w:r>
      <w:r>
        <w:rPr>
          <w:i/>
          <w:color w:val="030303"/>
          <w:w w:val="110"/>
          <w:sz w:val="20"/>
        </w:rPr>
        <w:t>d </w:t>
      </w:r>
      <w:r>
        <w:rPr>
          <w:rFonts w:ascii="Arial" w:hAnsi="Arial"/>
          <w:color w:val="030303"/>
          <w:spacing w:val="-6"/>
          <w:w w:val="110"/>
          <w:sz w:val="21"/>
          <w:u w:val="thick" w:color="000000"/>
        </w:rPr>
        <w:t>s</w:t>
      </w:r>
      <w:r>
        <w:rPr>
          <w:rFonts w:ascii="Arial" w:hAnsi="Arial"/>
          <w:color w:val="030303"/>
          <w:spacing w:val="-6"/>
          <w:w w:val="110"/>
          <w:sz w:val="21"/>
        </w:rPr>
        <w:t>"-•I </w:t>
      </w:r>
      <w:r>
        <w:rPr>
          <w:color w:val="030303"/>
          <w:w w:val="110"/>
          <w:sz w:val="20"/>
        </w:rPr>
        <w:t>and </w:t>
      </w:r>
      <w:r>
        <w:rPr>
          <w:color w:val="030303"/>
          <w:w w:val="110"/>
          <w:sz w:val="19"/>
        </w:rPr>
        <w:t>use</w:t>
      </w:r>
    </w:p>
    <w:p>
      <w:pPr>
        <w:tabs>
          <w:tab w:pos="2082" w:val="left" w:leader="none"/>
          <w:tab w:pos="3072" w:val="left" w:leader="none"/>
        </w:tabs>
        <w:spacing w:line="228" w:lineRule="exact" w:before="0"/>
        <w:ind w:left="163" w:right="0" w:firstLine="0"/>
        <w:jc w:val="left"/>
        <w:rPr>
          <w:sz w:val="20"/>
        </w:rPr>
      </w:pPr>
      <w:r>
        <w:rPr>
          <w:color w:val="030303"/>
          <w:w w:val="109"/>
          <w:sz w:val="20"/>
        </w:rPr>
        <w:t>the</w:t>
      </w:r>
      <w:r>
        <w:rPr>
          <w:color w:val="030303"/>
          <w:spacing w:val="15"/>
          <w:sz w:val="20"/>
        </w:rPr>
        <w:t> </w:t>
      </w:r>
      <w:r>
        <w:rPr>
          <w:color w:val="030303"/>
          <w:w w:val="103"/>
          <w:sz w:val="20"/>
        </w:rPr>
        <w:t>inequalities</w:t>
      </w:r>
      <w:r>
        <w:rPr>
          <w:color w:val="030303"/>
          <w:spacing w:val="-8"/>
          <w:sz w:val="20"/>
        </w:rPr>
        <w:t> </w:t>
      </w:r>
      <w:r>
        <w:rPr>
          <w:color w:val="030303"/>
          <w:spacing w:val="-71"/>
          <w:w w:val="297"/>
          <w:sz w:val="20"/>
        </w:rPr>
        <w:t>.</w:t>
      </w:r>
      <w:r>
        <w:rPr>
          <w:i/>
          <w:color w:val="030303"/>
          <w:w w:val="100"/>
          <w:sz w:val="21"/>
        </w:rPr>
        <w:t>V</w:t>
      </w:r>
      <w:r>
        <w:rPr>
          <w:i/>
          <w:color w:val="030303"/>
          <w:sz w:val="21"/>
        </w:rPr>
        <w:tab/>
      </w:r>
      <w:r>
        <w:rPr>
          <w:color w:val="030303"/>
          <w:w w:val="138"/>
          <w:sz w:val="19"/>
        </w:rPr>
        <w:t>l</w:t>
      </w:r>
      <w:r>
        <w:rPr>
          <w:color w:val="030303"/>
          <w:spacing w:val="22"/>
          <w:sz w:val="19"/>
        </w:rPr>
        <w:t> </w:t>
      </w:r>
      <w:r>
        <w:rPr>
          <w:color w:val="030303"/>
          <w:w w:val="108"/>
          <w:sz w:val="20"/>
        </w:rPr>
        <w:t>and</w:t>
      </w:r>
      <w:r>
        <w:rPr>
          <w:color w:val="030303"/>
          <w:spacing w:val="15"/>
          <w:sz w:val="20"/>
        </w:rPr>
        <w:t> </w:t>
      </w:r>
      <w:r>
        <w:rPr>
          <w:i/>
          <w:color w:val="030303"/>
          <w:w w:val="103"/>
          <w:sz w:val="21"/>
        </w:rPr>
        <w:t>P</w:t>
      </w:r>
      <w:r>
        <w:rPr>
          <w:i/>
          <w:color w:val="030303"/>
          <w:sz w:val="21"/>
        </w:rPr>
        <w:tab/>
      </w:r>
      <w:r>
        <w:rPr>
          <w:i/>
          <w:color w:val="030303"/>
          <w:w w:val="72"/>
          <w:sz w:val="21"/>
        </w:rPr>
        <w:t>Pz:;J</w:t>
      </w:r>
      <w:r>
        <w:rPr>
          <w:i/>
          <w:color w:val="030303"/>
          <w:sz w:val="21"/>
        </w:rPr>
        <w:t> </w:t>
      </w:r>
      <w:r>
        <w:rPr>
          <w:i/>
          <w:color w:val="030303"/>
          <w:spacing w:val="-5"/>
          <w:sz w:val="21"/>
        </w:rPr>
        <w:t> </w:t>
      </w:r>
      <w:r>
        <w:rPr>
          <w:i/>
          <w:color w:val="030303"/>
          <w:w w:val="106"/>
          <w:sz w:val="21"/>
        </w:rPr>
        <w:t>,</w:t>
      </w:r>
      <w:r>
        <w:rPr>
          <w:i/>
          <w:color w:val="030303"/>
          <w:spacing w:val="3"/>
          <w:sz w:val="21"/>
        </w:rPr>
        <w:t> </w:t>
      </w:r>
      <w:r>
        <w:rPr>
          <w:color w:val="030303"/>
          <w:w w:val="97"/>
          <w:sz w:val="20"/>
        </w:rPr>
        <w:t>we</w:t>
      </w:r>
      <w:r>
        <w:rPr>
          <w:color w:val="030303"/>
          <w:spacing w:val="12"/>
          <w:sz w:val="20"/>
        </w:rPr>
        <w:t> </w:t>
      </w:r>
      <w:r>
        <w:rPr>
          <w:color w:val="030303"/>
          <w:w w:val="107"/>
          <w:sz w:val="20"/>
        </w:rPr>
        <w:t>obtain</w:t>
      </w:r>
    </w:p>
    <w:p>
      <w:pPr>
        <w:tabs>
          <w:tab w:pos="4005" w:val="left" w:leader="none"/>
        </w:tabs>
        <w:spacing w:before="75"/>
        <w:ind w:left="1881" w:right="0" w:firstLine="0"/>
        <w:jc w:val="left"/>
        <w:rPr>
          <w:rFonts w:ascii="Arial" w:hAnsi="Arial"/>
          <w:i/>
          <w:sz w:val="19"/>
        </w:rPr>
      </w:pPr>
      <w:r>
        <w:rPr/>
        <w:pict>
          <v:line style="position:absolute;mso-position-horizontal-relative:page;mso-position-vertical-relative:paragraph;z-index:-722848" from="210.403595pt,19.027525pt" to="214.349795pt,19.027525pt" stroked="true" strokeweight=".538117pt" strokecolor="#000000">
            <w10:wrap type="none"/>
          </v:line>
        </w:pict>
      </w:r>
      <w:r>
        <w:rPr>
          <w:color w:val="030303"/>
          <w:w w:val="114"/>
          <w:sz w:val="20"/>
        </w:rPr>
        <w:t>1</w:t>
      </w:r>
      <w:r>
        <w:rPr>
          <w:color w:val="030303"/>
          <w:spacing w:val="-3"/>
          <w:sz w:val="20"/>
        </w:rPr>
        <w:t> </w:t>
      </w:r>
      <w:r>
        <w:rPr>
          <w:rFonts w:ascii="Arial" w:hAnsi="Arial"/>
          <w:color w:val="030303"/>
          <w:w w:val="107"/>
          <w:sz w:val="31"/>
        </w:rPr>
        <w:t>+</w:t>
      </w:r>
      <w:r>
        <w:rPr>
          <w:rFonts w:ascii="Arial" w:hAnsi="Arial"/>
          <w:color w:val="030303"/>
          <w:spacing w:val="5"/>
          <w:sz w:val="31"/>
        </w:rPr>
        <w:t> </w:t>
      </w:r>
      <w:r>
        <w:rPr>
          <w:color w:val="030303"/>
          <w:w w:val="102"/>
          <w:sz w:val="20"/>
        </w:rPr>
        <w:t>(</w:t>
      </w:r>
      <w:r>
        <w:rPr>
          <w:color w:val="030303"/>
          <w:w w:val="102"/>
          <w:sz w:val="20"/>
        </w:rPr>
        <w:t>P</w:t>
      </w:r>
      <w:r>
        <w:rPr>
          <w:color w:val="030303"/>
          <w:spacing w:val="1"/>
          <w:w w:val="102"/>
          <w:sz w:val="20"/>
        </w:rPr>
        <w:t>z</w:t>
      </w:r>
      <w:r>
        <w:rPr>
          <w:color w:val="232323"/>
          <w:spacing w:val="-18"/>
          <w:w w:val="96"/>
          <w:sz w:val="20"/>
        </w:rPr>
        <w:t>:</w:t>
      </w:r>
      <w:r>
        <w:rPr>
          <w:color w:val="030303"/>
          <w:w w:val="69"/>
          <w:sz w:val="20"/>
        </w:rPr>
        <w:t>ol</w:t>
      </w:r>
      <w:r>
        <w:rPr>
          <w:color w:val="030303"/>
          <w:sz w:val="20"/>
        </w:rPr>
        <w:t> </w:t>
      </w:r>
      <w:r>
        <w:rPr>
          <w:color w:val="030303"/>
          <w:spacing w:val="-8"/>
          <w:sz w:val="20"/>
        </w:rPr>
        <w:t> </w:t>
      </w:r>
      <w:r>
        <w:rPr>
          <w:rFonts w:ascii="Arial" w:hAnsi="Arial"/>
          <w:color w:val="030303"/>
          <w:w w:val="101"/>
          <w:sz w:val="32"/>
        </w:rPr>
        <w:t>+</w:t>
      </w:r>
      <w:r>
        <w:rPr>
          <w:rFonts w:ascii="Arial" w:hAnsi="Arial"/>
          <w:color w:val="030303"/>
          <w:spacing w:val="-36"/>
          <w:sz w:val="32"/>
        </w:rPr>
        <w:t> </w:t>
      </w:r>
      <w:r>
        <w:rPr>
          <w:rFonts w:ascii="Arial" w:hAnsi="Arial"/>
          <w:i/>
          <w:color w:val="030303"/>
          <w:spacing w:val="21"/>
          <w:w w:val="94"/>
          <w:sz w:val="19"/>
        </w:rPr>
        <w:t>d</w:t>
      </w:r>
      <w:r>
        <w:rPr>
          <w:rFonts w:ascii="Arial" w:hAnsi="Arial"/>
          <w:i/>
          <w:color w:val="030303"/>
          <w:w w:val="107"/>
          <w:sz w:val="19"/>
        </w:rPr>
        <w:t>)</w:t>
      </w:r>
      <w:r>
        <w:rPr>
          <w:rFonts w:ascii="Arial" w:hAnsi="Arial"/>
          <w:i/>
          <w:color w:val="030303"/>
          <w:w w:val="107"/>
          <w:sz w:val="19"/>
        </w:rPr>
        <w:t>s..-</w:t>
      </w:r>
      <w:r>
        <w:rPr>
          <w:rFonts w:ascii="Arial" w:hAnsi="Arial"/>
          <w:i/>
          <w:color w:val="030303"/>
          <w:spacing w:val="9"/>
          <w:w w:val="107"/>
          <w:sz w:val="19"/>
        </w:rPr>
        <w:t>.</w:t>
      </w:r>
      <w:r>
        <w:rPr>
          <w:rFonts w:ascii="Arial" w:hAnsi="Arial"/>
          <w:i/>
          <w:color w:val="030303"/>
          <w:w w:val="43"/>
          <w:sz w:val="19"/>
        </w:rPr>
        <w:t>¡</w:t>
      </w:r>
      <w:r>
        <w:rPr>
          <w:rFonts w:ascii="Arial" w:hAnsi="Arial"/>
          <w:i/>
          <w:color w:val="030303"/>
          <w:sz w:val="19"/>
        </w:rPr>
        <w:tab/>
      </w:r>
      <w:r>
        <w:rPr>
          <w:color w:val="030303"/>
          <w:w w:val="114"/>
          <w:sz w:val="20"/>
        </w:rPr>
        <w:t>1</w:t>
      </w:r>
      <w:r>
        <w:rPr>
          <w:color w:val="030303"/>
          <w:spacing w:val="4"/>
          <w:sz w:val="20"/>
        </w:rPr>
        <w:t> </w:t>
      </w:r>
      <w:r>
        <w:rPr>
          <w:rFonts w:ascii="Arial" w:hAnsi="Arial"/>
          <w:color w:val="030303"/>
          <w:w w:val="99"/>
          <w:sz w:val="32"/>
        </w:rPr>
        <w:t>+</w:t>
      </w:r>
      <w:r>
        <w:rPr>
          <w:rFonts w:ascii="Arial" w:hAnsi="Arial"/>
          <w:color w:val="030303"/>
          <w:spacing w:val="-28"/>
          <w:sz w:val="32"/>
        </w:rPr>
        <w:t> </w:t>
      </w:r>
      <w:r>
        <w:rPr>
          <w:rFonts w:ascii="Arial" w:hAnsi="Arial"/>
          <w:i/>
          <w:color w:val="030303"/>
          <w:w w:val="89"/>
          <w:sz w:val="19"/>
        </w:rPr>
        <w:t>k</w:t>
      </w:r>
      <w:r>
        <w:rPr>
          <w:rFonts w:ascii="Arial" w:hAnsi="Arial"/>
          <w:i/>
          <w:color w:val="030303"/>
          <w:spacing w:val="-30"/>
          <w:sz w:val="19"/>
        </w:rPr>
        <w:t> </w:t>
      </w:r>
      <w:r>
        <w:rPr>
          <w:rFonts w:ascii="Arial" w:hAnsi="Arial"/>
          <w:i/>
          <w:color w:val="030303"/>
          <w:w w:val="97"/>
          <w:sz w:val="19"/>
        </w:rPr>
        <w:t>,</w:t>
      </w:r>
    </w:p>
    <w:p>
      <w:pPr>
        <w:spacing w:after="0"/>
        <w:jc w:val="left"/>
        <w:rPr>
          <w:rFonts w:ascii="Arial" w:hAnsi="Arial"/>
          <w:sz w:val="19"/>
        </w:rPr>
        <w:sectPr>
          <w:pgSz w:w="7200" w:h="11340"/>
          <w:pgMar w:top="500" w:bottom="280" w:left="640" w:right="560"/>
        </w:sectPr>
      </w:pPr>
    </w:p>
    <w:p>
      <w:pPr>
        <w:pStyle w:val="BodyText"/>
        <w:spacing w:before="1"/>
        <w:rPr>
          <w:rFonts w:ascii="Arial"/>
          <w:i/>
          <w:sz w:val="17"/>
        </w:rPr>
      </w:pPr>
    </w:p>
    <w:p>
      <w:pPr>
        <w:pStyle w:val="BodyText"/>
        <w:ind w:left="152" w:right="-18"/>
        <w:rPr>
          <w:sz w:val="21"/>
        </w:rPr>
      </w:pPr>
      <w:r>
        <w:rPr>
          <w:color w:val="030303"/>
          <w:w w:val="105"/>
        </w:rPr>
        <w:t>which reduces  </w:t>
      </w:r>
      <w:r>
        <w:rPr>
          <w:color w:val="030303"/>
          <w:w w:val="105"/>
          <w:sz w:val="21"/>
        </w:rPr>
        <w:t>to</w:t>
      </w:r>
    </w:p>
    <w:p>
      <w:pPr>
        <w:tabs>
          <w:tab w:pos="855" w:val="left" w:leader="none"/>
        </w:tabs>
        <w:spacing w:before="171"/>
        <w:ind w:left="152" w:right="0" w:firstLine="0"/>
        <w:jc w:val="left"/>
        <w:rPr>
          <w:rFonts w:ascii="Arial"/>
          <w:i/>
          <w:sz w:val="20"/>
        </w:rPr>
      </w:pPr>
      <w:r>
        <w:rPr/>
        <w:br w:type="column"/>
      </w:r>
      <w:r>
        <w:rPr>
          <w:i/>
          <w:color w:val="030303"/>
          <w:w w:val="80"/>
          <w:sz w:val="21"/>
        </w:rPr>
        <w:t>8ii=ol</w:t>
        <w:tab/>
      </w:r>
      <w:r>
        <w:rPr>
          <w:rFonts w:ascii="Arial"/>
          <w:i/>
          <w:color w:val="030303"/>
          <w:w w:val="95"/>
          <w:sz w:val="20"/>
        </w:rPr>
        <w:t>k.</w:t>
      </w:r>
    </w:p>
    <w:p>
      <w:pPr>
        <w:spacing w:before="4"/>
        <w:ind w:left="185" w:right="0" w:firstLine="0"/>
        <w:jc w:val="left"/>
        <w:rPr>
          <w:b/>
          <w:sz w:val="17"/>
        </w:rPr>
      </w:pPr>
      <w:r>
        <w:rPr>
          <w:b/>
          <w:color w:val="030303"/>
          <w:w w:val="95"/>
          <w:sz w:val="17"/>
        </w:rPr>
        <w:t>llz:ii¡</w:t>
      </w:r>
    </w:p>
    <w:p>
      <w:pPr>
        <w:pStyle w:val="BodyText"/>
        <w:spacing w:before="3"/>
        <w:rPr>
          <w:b/>
          <w:sz w:val="19"/>
        </w:rPr>
      </w:pPr>
      <w:r>
        <w:rPr/>
        <w:br w:type="column"/>
      </w:r>
      <w:r>
        <w:rPr>
          <w:b/>
          <w:sz w:val="19"/>
        </w:rPr>
      </w:r>
    </w:p>
    <w:p>
      <w:pPr>
        <w:spacing w:before="1"/>
        <w:ind w:left="152" w:right="0" w:firstLine="0"/>
        <w:jc w:val="left"/>
        <w:rPr>
          <w:sz w:val="19"/>
        </w:rPr>
      </w:pPr>
      <w:r>
        <w:rPr>
          <w:color w:val="030303"/>
          <w:w w:val="110"/>
          <w:sz w:val="19"/>
        </w:rPr>
        <w:t>(7.19)</w:t>
      </w:r>
    </w:p>
    <w:p>
      <w:pPr>
        <w:spacing w:after="0"/>
        <w:jc w:val="left"/>
        <w:rPr>
          <w:sz w:val="19"/>
        </w:rPr>
        <w:sectPr>
          <w:type w:val="continuous"/>
          <w:pgSz w:w="7200" w:h="11340"/>
          <w:pgMar w:top="1100" w:bottom="0" w:left="640" w:right="560"/>
          <w:cols w:num="3" w:equalWidth="0">
            <w:col w:w="1638" w:space="802"/>
            <w:col w:w="1013" w:space="1753"/>
            <w:col w:w="794"/>
          </w:cols>
        </w:sectPr>
      </w:pPr>
    </w:p>
    <w:p>
      <w:pPr>
        <w:pStyle w:val="BodyText"/>
        <w:spacing w:line="228" w:lineRule="auto" w:before="32"/>
        <w:ind w:left="145" w:right="241" w:firstLine="3"/>
      </w:pPr>
      <w:r>
        <w:rPr>
          <w:color w:val="030303"/>
        </w:rPr>
        <w:t>Now </w:t>
      </w:r>
      <w:r>
        <w:rPr>
          <w:color w:val="030303"/>
          <w:sz w:val="21"/>
        </w:rPr>
        <w:t>if </w:t>
      </w:r>
      <w:r>
        <w:rPr>
          <w:color w:val="030303"/>
        </w:rPr>
        <w:t>we replace </w:t>
      </w:r>
      <w:r>
        <w:rPr>
          <w:i/>
          <w:color w:val="030303"/>
          <w:sz w:val="21"/>
        </w:rPr>
        <w:t>a </w:t>
      </w:r>
      <w:r>
        <w:rPr>
          <w:color w:val="030303"/>
        </w:rPr>
        <w:t>by </w:t>
      </w:r>
      <w:r>
        <w:rPr>
          <w:i/>
          <w:color w:val="030303"/>
          <w:sz w:val="21"/>
        </w:rPr>
        <w:t>a </w:t>
      </w:r>
      <w:r>
        <w:rPr>
          <w:rFonts w:ascii="Arial" w:hAnsi="Arial"/>
          <w:color w:val="030303"/>
          <w:sz w:val="31"/>
        </w:rPr>
        <w:t>+ </w:t>
      </w:r>
      <w:r>
        <w:rPr>
          <w:color w:val="030303"/>
        </w:rPr>
        <w:t>1 in fommla (7.16 ) and procecd simi­ larly,  we obtain</w:t>
      </w:r>
    </w:p>
    <w:p>
      <w:pPr>
        <w:spacing w:after="0" w:line="228" w:lineRule="auto"/>
        <w:sectPr>
          <w:type w:val="continuous"/>
          <w:pgSz w:w="7200" w:h="11340"/>
          <w:pgMar w:top="1100" w:bottom="0" w:left="640" w:right="560"/>
        </w:sectPr>
      </w:pPr>
    </w:p>
    <w:p>
      <w:pPr>
        <w:spacing w:line="332" w:lineRule="exact" w:before="162"/>
        <w:ind w:left="1280" w:right="0" w:firstLine="0"/>
        <w:jc w:val="left"/>
        <w:rPr>
          <w:rFonts w:ascii="Arial"/>
          <w:sz w:val="27"/>
        </w:rPr>
      </w:pPr>
      <w:r>
        <w:rPr/>
        <w:pict>
          <v:line style="position:absolute;mso-position-horizontal-relative:page;mso-position-vertical-relative:paragraph;z-index:-722824" from="183.31839pt,18.532125pt" to="184.394623pt,18.532125pt" stroked="true" strokeweight="1.2588pt" strokecolor="#000000">
            <w10:wrap type="none"/>
          </v:line>
        </w:pict>
      </w:r>
      <w:r>
        <w:rPr>
          <w:rFonts w:ascii="Arial"/>
          <w:color w:val="030303"/>
          <w:spacing w:val="-1680"/>
          <w:w w:val="476"/>
          <w:position w:val="-10"/>
          <w:sz w:val="27"/>
        </w:rPr>
        <w:t>-</w:t>
      </w:r>
      <w:r>
        <w:rPr>
          <w:b/>
          <w:color w:val="030303"/>
          <w:w w:val="93"/>
          <w:sz w:val="18"/>
        </w:rPr>
        <w:t>Sn</w:t>
      </w:r>
      <w:r>
        <w:rPr>
          <w:b/>
          <w:color w:val="030303"/>
          <w:w w:val="93"/>
          <w:sz w:val="18"/>
        </w:rPr>
        <w:t>-a-11</w:t>
      </w:r>
      <w:r>
        <w:rPr>
          <w:b/>
          <w:color w:val="030303"/>
          <w:sz w:val="18"/>
        </w:rPr>
        <w:t> </w:t>
      </w:r>
      <w:r>
        <w:rPr>
          <w:b/>
          <w:color w:val="030303"/>
          <w:spacing w:val="8"/>
          <w:sz w:val="18"/>
        </w:rPr>
        <w:t> </w:t>
      </w:r>
      <w:r>
        <w:rPr>
          <w:rFonts w:ascii="Arial"/>
          <w:color w:val="030303"/>
          <w:w w:val="107"/>
          <w:position w:val="-10"/>
          <w:sz w:val="27"/>
        </w:rPr>
        <w:t>&lt;</w:t>
      </w:r>
      <w:r>
        <w:rPr>
          <w:rFonts w:ascii="Arial"/>
          <w:color w:val="030303"/>
          <w:spacing w:val="-16"/>
          <w:position w:val="-10"/>
          <w:sz w:val="27"/>
        </w:rPr>
        <w:t> </w:t>
      </w:r>
      <w:r>
        <w:rPr>
          <w:b/>
          <w:i/>
          <w:color w:val="030303"/>
          <w:w w:val="86"/>
          <w:sz w:val="21"/>
        </w:rPr>
        <w:t>k</w:t>
      </w:r>
      <w:r>
        <w:rPr>
          <w:b/>
          <w:i/>
          <w:color w:val="030303"/>
          <w:spacing w:val="-36"/>
          <w:sz w:val="21"/>
        </w:rPr>
        <w:t> </w:t>
      </w:r>
      <w:r>
        <w:rPr>
          <w:rFonts w:ascii="Arial"/>
          <w:color w:val="030303"/>
          <w:w w:val="103"/>
          <w:position w:val="-10"/>
          <w:sz w:val="27"/>
        </w:rPr>
        <w:t>.</w:t>
      </w:r>
    </w:p>
    <w:p>
      <w:pPr>
        <w:spacing w:line="176" w:lineRule="exact" w:before="0"/>
        <w:ind w:left="0" w:right="549" w:firstLine="0"/>
        <w:jc w:val="right"/>
        <w:rPr>
          <w:b/>
          <w:sz w:val="18"/>
        </w:rPr>
      </w:pPr>
      <w:r>
        <w:rPr>
          <w:b/>
          <w:color w:val="030303"/>
          <w:w w:val="90"/>
          <w:sz w:val="18"/>
        </w:rPr>
        <w:t>liz:a+il</w:t>
      </w:r>
    </w:p>
    <w:p>
      <w:pPr>
        <w:pStyle w:val="BodyText"/>
        <w:spacing w:before="8"/>
        <w:rPr>
          <w:b/>
          <w:sz w:val="22"/>
        </w:rPr>
      </w:pPr>
      <w:r>
        <w:rPr/>
        <w:br w:type="column"/>
      </w:r>
      <w:r>
        <w:rPr>
          <w:b/>
          <w:sz w:val="22"/>
        </w:rPr>
      </w:r>
    </w:p>
    <w:p>
      <w:pPr>
        <w:pStyle w:val="BodyText"/>
        <w:ind w:left="1280"/>
      </w:pPr>
      <w:r>
        <w:rPr>
          <w:color w:val="030303"/>
          <w:w w:val="105"/>
        </w:rPr>
        <w:t>(7.20)</w:t>
      </w:r>
    </w:p>
    <w:p>
      <w:pPr>
        <w:spacing w:after="0"/>
        <w:sectPr>
          <w:type w:val="continuous"/>
          <w:pgSz w:w="7200" w:h="11340"/>
          <w:pgMar w:top="1100" w:bottom="0" w:left="640" w:right="560"/>
          <w:cols w:num="2" w:equalWidth="0">
            <w:col w:w="3571" w:space="492"/>
            <w:col w:w="1937"/>
          </w:cols>
        </w:sectPr>
      </w:pPr>
    </w:p>
    <w:p>
      <w:pPr>
        <w:pStyle w:val="BodyText"/>
        <w:spacing w:before="3"/>
        <w:rPr>
          <w:sz w:val="12"/>
        </w:rPr>
      </w:pPr>
    </w:p>
    <w:p>
      <w:pPr>
        <w:spacing w:line="228" w:lineRule="exact" w:before="73"/>
        <w:ind w:left="134" w:right="0" w:firstLine="0"/>
        <w:jc w:val="both"/>
        <w:rPr>
          <w:sz w:val="19"/>
        </w:rPr>
      </w:pPr>
      <w:r>
        <w:rPr>
          <w:color w:val="030303"/>
          <w:sz w:val="20"/>
        </w:rPr>
        <w:t>Since </w:t>
      </w:r>
      <w:r>
        <w:rPr>
          <w:rFonts w:ascii="Arial" w:hAnsi="Arial"/>
          <w:color w:val="030303"/>
          <w:sz w:val="19"/>
        </w:rPr>
        <w:t>s;=¡¡ </w:t>
      </w:r>
      <w:r>
        <w:rPr>
          <w:color w:val="030303"/>
          <w:sz w:val="20"/>
        </w:rPr>
        <w:t>is a decreasing  function of  </w:t>
      </w:r>
      <w:r>
        <w:rPr>
          <w:i/>
          <w:color w:val="030303"/>
          <w:sz w:val="21"/>
        </w:rPr>
        <w:t>t , </w:t>
      </w:r>
      <w:r>
        <w:rPr>
          <w:color w:val="030303"/>
          <w:sz w:val="20"/>
        </w:rPr>
        <w:t>we can conclude  </w:t>
      </w:r>
      <w:r>
        <w:rPr>
          <w:color w:val="030303"/>
          <w:sz w:val="19"/>
        </w:rPr>
        <w:t>from (7.19)</w:t>
      </w:r>
    </w:p>
    <w:p>
      <w:pPr>
        <w:spacing w:line="191" w:lineRule="exact" w:before="0"/>
        <w:ind w:left="626" w:right="0" w:firstLine="0"/>
        <w:jc w:val="left"/>
        <w:rPr>
          <w:b/>
          <w:sz w:val="18"/>
        </w:rPr>
      </w:pPr>
      <w:r>
        <w:rPr>
          <w:b/>
          <w:color w:val="030303"/>
          <w:sz w:val="18"/>
        </w:rPr>
        <w:t>dz:i]</w:t>
      </w:r>
    </w:p>
    <w:p>
      <w:pPr>
        <w:pStyle w:val="BodyText"/>
        <w:spacing w:line="227" w:lineRule="exact"/>
        <w:ind w:left="131"/>
        <w:jc w:val="both"/>
      </w:pPr>
      <w:r>
        <w:rPr>
          <w:color w:val="030303"/>
          <w:w w:val="105"/>
        </w:rPr>
        <w:t>and  (7.20) that </w:t>
      </w:r>
      <w:r>
        <w:rPr>
          <w:i/>
          <w:color w:val="030303"/>
          <w:w w:val="105"/>
        </w:rPr>
        <w:t>a  </w:t>
      </w:r>
      <w:r>
        <w:rPr>
          <w:color w:val="030303"/>
          <w:w w:val="105"/>
        </w:rPr>
        <w:t>is the greatest  integer for  which</w:t>
      </w:r>
    </w:p>
    <w:p>
      <w:pPr>
        <w:pStyle w:val="BodyText"/>
        <w:spacing w:before="5"/>
        <w:rPr>
          <w:sz w:val="16"/>
        </w:rPr>
      </w:pPr>
    </w:p>
    <w:p>
      <w:pPr>
        <w:pStyle w:val="BodyText"/>
        <w:ind w:left="2556"/>
        <w:rPr>
          <w:sz w:val="19"/>
        </w:rPr>
      </w:pPr>
      <w:r>
        <w:rPr>
          <w:position w:val="-18"/>
        </w:rPr>
        <w:drawing>
          <wp:inline distT="0" distB="0" distL="0" distR="0">
            <wp:extent cx="566928" cy="283463"/>
            <wp:effectExtent l="0" t="0" r="0" b="0"/>
            <wp:docPr id="325" name="image168.png" descr=""/>
            <wp:cNvGraphicFramePr>
              <a:graphicFrameLocks noChangeAspect="1"/>
            </wp:cNvGraphicFramePr>
            <a:graphic>
              <a:graphicData uri="http://schemas.openxmlformats.org/drawingml/2006/picture">
                <pic:pic>
                  <pic:nvPicPr>
                    <pic:cNvPr id="326" name="image168.png"/>
                    <pic:cNvPicPr/>
                  </pic:nvPicPr>
                  <pic:blipFill>
                    <a:blip r:embed="rId172" cstate="print"/>
                    <a:stretch>
                      <a:fillRect/>
                    </a:stretch>
                  </pic:blipFill>
                  <pic:spPr>
                    <a:xfrm>
                      <a:off x="0" y="0"/>
                      <a:ext cx="566928" cy="283463"/>
                    </a:xfrm>
                    <a:prstGeom prst="rect">
                      <a:avLst/>
                    </a:prstGeom>
                  </pic:spPr>
                </pic:pic>
              </a:graphicData>
            </a:graphic>
          </wp:inline>
        </w:drawing>
      </w:r>
      <w:r>
        <w:rPr>
          <w:position w:val="-18"/>
        </w:rPr>
      </w:r>
      <w:r>
        <w:rPr/>
        <w:t>                                     </w:t>
      </w:r>
      <w:r>
        <w:rPr>
          <w:color w:val="030303"/>
          <w:w w:val="110"/>
          <w:sz w:val="19"/>
        </w:rPr>
        <w:t>(7.21)</w:t>
      </w:r>
    </w:p>
    <w:p>
      <w:pPr>
        <w:pStyle w:val="ListParagraph"/>
        <w:numPr>
          <w:ilvl w:val="0"/>
          <w:numId w:val="69"/>
        </w:numPr>
        <w:tabs>
          <w:tab w:pos="347" w:val="left" w:leader="none"/>
        </w:tabs>
        <w:spacing w:line="240" w:lineRule="auto" w:before="150" w:after="0"/>
        <w:ind w:left="346" w:right="0" w:hanging="226"/>
        <w:jc w:val="both"/>
        <w:rPr>
          <w:b/>
          <w:color w:val="030303"/>
          <w:sz w:val="19"/>
        </w:rPr>
      </w:pPr>
      <w:r>
        <w:rPr>
          <w:b/>
          <w:color w:val="030303"/>
          <w:w w:val="120"/>
          <w:sz w:val="19"/>
        </w:rPr>
        <w:t>Family income</w:t>
      </w:r>
      <w:r>
        <w:rPr>
          <w:b/>
          <w:color w:val="030303"/>
          <w:spacing w:val="5"/>
          <w:w w:val="120"/>
          <w:sz w:val="19"/>
        </w:rPr>
        <w:t> </w:t>
      </w:r>
      <w:r>
        <w:rPr>
          <w:b/>
          <w:color w:val="030303"/>
          <w:w w:val="120"/>
          <w:sz w:val="19"/>
        </w:rPr>
        <w:t>benefits</w:t>
      </w:r>
    </w:p>
    <w:p>
      <w:pPr>
        <w:pStyle w:val="BodyText"/>
        <w:spacing w:line="247" w:lineRule="auto" w:before="92"/>
        <w:ind w:left="109" w:right="141" w:firstLine="215"/>
        <w:jc w:val="both"/>
      </w:pPr>
      <w:r>
        <w:rPr>
          <w:i/>
          <w:color w:val="030303"/>
          <w:sz w:val="19"/>
        </w:rPr>
        <w:t>Famil y income </w:t>
      </w:r>
      <w:r>
        <w:rPr>
          <w:i/>
          <w:color w:val="030303"/>
        </w:rPr>
        <w:t>benefit </w:t>
      </w:r>
      <w:r>
        <w:rPr>
          <w:color w:val="030303"/>
        </w:rPr>
        <w:t>is the name given to a form of  decreasing term insurance which provides that in the cvent of  death  within  </w:t>
      </w:r>
      <w:r>
        <w:rPr>
          <w:i/>
          <w:color w:val="030303"/>
          <w:sz w:val="21"/>
        </w:rPr>
        <w:t>n </w:t>
      </w:r>
      <w:r>
        <w:rPr>
          <w:color w:val="030303"/>
        </w:rPr>
        <w:t>years a monthly income will be payable to the beneficiary for the balance of t.he n-year  period.  The  income  commcnces  on  the  date of death  and  is  payable  at  monthly  intervals  thereafter  until  the  last regular payment </w:t>
      </w:r>
      <w:r>
        <w:rPr>
          <w:color w:val="030303"/>
          <w:sz w:val="19"/>
        </w:rPr>
        <w:t>date </w:t>
      </w:r>
      <w:r>
        <w:rPr>
          <w:color w:val="030303"/>
        </w:rPr>
        <w:t>falling within the  original  period  </w:t>
      </w:r>
      <w:r>
        <w:rPr>
          <w:color w:val="030303"/>
          <w:sz w:val="19"/>
        </w:rPr>
        <w:t>of  </w:t>
      </w:r>
      <w:r>
        <w:rPr>
          <w:i/>
          <w:color w:val="030303"/>
        </w:rPr>
        <w:t>n  </w:t>
      </w:r>
      <w:r>
        <w:rPr>
          <w:color w:val="030303"/>
        </w:rPr>
        <w:t>years.  This n-year  period  is called  the  family  incomc</w:t>
      </w:r>
      <w:r>
        <w:rPr>
          <w:color w:val="030303"/>
          <w:spacing w:val="35"/>
        </w:rPr>
        <w:t> </w:t>
      </w:r>
      <w:r>
        <w:rPr>
          <w:color w:val="030303"/>
        </w:rPr>
        <w:t>period.</w:t>
      </w:r>
    </w:p>
    <w:p>
      <w:pPr>
        <w:pStyle w:val="BodyText"/>
        <w:spacing w:line="247" w:lineRule="auto"/>
        <w:ind w:left="109" w:right="151" w:firstLine="197"/>
        <w:jc w:val="both"/>
        <w:rPr>
          <w:sz w:val="19"/>
        </w:rPr>
      </w:pPr>
      <w:r>
        <w:rPr>
          <w:color w:val="030303"/>
          <w:w w:val="105"/>
        </w:rPr>
        <w:t>The symbol </w:t>
      </w:r>
      <w:r>
        <w:rPr>
          <w:i/>
          <w:color w:val="030303"/>
          <w:w w:val="105"/>
          <w:sz w:val="21"/>
        </w:rPr>
        <w:t>nFz </w:t>
      </w:r>
      <w:r>
        <w:rPr>
          <w:color w:val="030303"/>
          <w:w w:val="105"/>
        </w:rPr>
        <w:t>will be used to denote the net single premium</w:t>
      </w:r>
      <w:r>
        <w:rPr>
          <w:color w:val="030303"/>
          <w:spacing w:val="-24"/>
          <w:w w:val="105"/>
        </w:rPr>
        <w:t> </w:t>
      </w:r>
      <w:r>
        <w:rPr>
          <w:color w:val="030303"/>
          <w:w w:val="105"/>
        </w:rPr>
        <w:t>for an n-year family income benefit issued at age </w:t>
      </w:r>
      <w:r>
        <w:rPr>
          <w:rFonts w:ascii="Arial"/>
          <w:i/>
          <w:color w:val="030303"/>
          <w:w w:val="105"/>
          <w:sz w:val="17"/>
        </w:rPr>
        <w:t>x </w:t>
      </w:r>
      <w:r>
        <w:rPr>
          <w:color w:val="030303"/>
          <w:w w:val="105"/>
        </w:rPr>
        <w:t>an&lt;l providing </w:t>
      </w:r>
      <w:r>
        <w:rPr>
          <w:color w:val="030303"/>
          <w:w w:val="105"/>
          <w:sz w:val="19"/>
        </w:rPr>
        <w:t>an </w:t>
      </w:r>
      <w:r>
        <w:rPr>
          <w:color w:val="030303"/>
          <w:w w:val="105"/>
        </w:rPr>
        <w:t>annual income of </w:t>
      </w:r>
      <w:r>
        <w:rPr>
          <w:rFonts w:ascii="Arial"/>
          <w:b/>
          <w:color w:val="030303"/>
          <w:w w:val="105"/>
          <w:sz w:val="18"/>
        </w:rPr>
        <w:t>1 </w:t>
      </w:r>
      <w:r>
        <w:rPr>
          <w:color w:val="030303"/>
          <w:w w:val="105"/>
        </w:rPr>
        <w:t>paya.ble monthly commencing at the date of death  and  continuing  </w:t>
      </w:r>
      <w:r>
        <w:rPr>
          <w:color w:val="030303"/>
          <w:w w:val="105"/>
          <w:sz w:val="19"/>
        </w:rPr>
        <w:t>for  the  </w:t>
      </w:r>
      <w:r>
        <w:rPr>
          <w:color w:val="030303"/>
          <w:w w:val="105"/>
        </w:rPr>
        <w:t>balance  </w:t>
      </w:r>
      <w:r>
        <w:rPr>
          <w:color w:val="030303"/>
          <w:w w:val="105"/>
          <w:sz w:val="19"/>
        </w:rPr>
        <w:t>of  the </w:t>
      </w:r>
      <w:r>
        <w:rPr>
          <w:color w:val="030303"/>
          <w:w w:val="105"/>
        </w:rPr>
        <w:t>n-year period. </w:t>
      </w:r>
      <w:r>
        <w:rPr>
          <w:b/>
          <w:color w:val="030303"/>
          <w:w w:val="105"/>
          <w:sz w:val="21"/>
        </w:rPr>
        <w:t>l </w:t>
      </w:r>
      <w:r>
        <w:rPr>
          <w:rFonts w:ascii="Arial"/>
          <w:color w:val="030303"/>
          <w:w w:val="105"/>
          <w:sz w:val="18"/>
        </w:rPr>
        <w:t>f </w:t>
      </w:r>
      <w:r>
        <w:rPr>
          <w:color w:val="030303"/>
          <w:w w:val="105"/>
        </w:rPr>
        <w:t>it</w:t>
      </w:r>
      <w:r>
        <w:rPr>
          <w:color w:val="030303"/>
          <w:spacing w:val="15"/>
          <w:w w:val="105"/>
        </w:rPr>
        <w:t> </w:t>
      </w:r>
      <w:r>
        <w:rPr>
          <w:color w:val="030303"/>
          <w:w w:val="105"/>
          <w:sz w:val="19"/>
        </w:rPr>
        <w:t>is</w:t>
      </w:r>
    </w:p>
    <w:p>
      <w:pPr>
        <w:spacing w:line="249" w:lineRule="auto" w:before="2"/>
        <w:ind w:left="109" w:right="158" w:firstLine="0"/>
        <w:jc w:val="both"/>
        <w:rPr>
          <w:sz w:val="20"/>
        </w:rPr>
      </w:pPr>
      <w:r>
        <w:rPr>
          <w:color w:val="030303"/>
          <w:sz w:val="19"/>
        </w:rPr>
        <w:t>n.sumr&lt;l </w:t>
      </w:r>
      <w:r>
        <w:rPr>
          <w:color w:val="030303"/>
          <w:sz w:val="20"/>
        </w:rPr>
        <w:t>t.hat </w:t>
      </w:r>
      <w:r>
        <w:rPr>
          <w:color w:val="030303"/>
          <w:sz w:val="19"/>
        </w:rPr>
        <w:t>the income is payable </w:t>
      </w:r>
      <w:r>
        <w:rPr>
          <w:color w:val="030303"/>
          <w:sz w:val="20"/>
        </w:rPr>
        <w:t>at </w:t>
      </w:r>
      <w:r>
        <w:rPr>
          <w:color w:val="030303"/>
          <w:sz w:val="19"/>
        </w:rPr>
        <w:t>monthly </w:t>
      </w:r>
      <w:r>
        <w:rPr>
          <w:color w:val="030303"/>
          <w:sz w:val="20"/>
        </w:rPr>
        <w:t>int.crvals  mcasure&lt;l </w:t>
      </w:r>
      <w:r>
        <w:rPr>
          <w:color w:val="030303"/>
          <w:sz w:val="19"/>
        </w:rPr>
        <w:t>from the </w:t>
      </w:r>
      <w:r>
        <w:rPr>
          <w:color w:val="030303"/>
          <w:sz w:val="20"/>
        </w:rPr>
        <w:t>date </w:t>
      </w:r>
      <w:r>
        <w:rPr>
          <w:color w:val="030303"/>
          <w:sz w:val="19"/>
        </w:rPr>
        <w:t>of issue, </w:t>
      </w:r>
      <w:r>
        <w:rPr>
          <w:color w:val="030303"/>
          <w:sz w:val="20"/>
        </w:rPr>
        <w:t>rather than </w:t>
      </w:r>
      <w:r>
        <w:rPr>
          <w:color w:val="030303"/>
          <w:sz w:val="19"/>
        </w:rPr>
        <w:t>from thc date </w:t>
      </w:r>
      <w:r>
        <w:rPr>
          <w:color w:val="030303"/>
          <w:sz w:val="20"/>
        </w:rPr>
        <w:t>of &lt;leat</w:t>
      </w:r>
      <w:r>
        <w:rPr>
          <w:color w:val="505050"/>
          <w:sz w:val="20"/>
        </w:rPr>
        <w:t>.</w:t>
      </w:r>
      <w:r>
        <w:rPr>
          <w:color w:val="030303"/>
          <w:sz w:val="20"/>
        </w:rPr>
        <w:t>h, </w:t>
      </w:r>
      <w:r>
        <w:rPr>
          <w:color w:val="030303"/>
          <w:sz w:val="19"/>
        </w:rPr>
        <w:t>w </w:t>
      </w:r>
      <w:r>
        <w:rPr>
          <w:color w:val="030303"/>
          <w:w w:val="95"/>
          <w:sz w:val="19"/>
        </w:rPr>
        <w:t>i </w:t>
      </w:r>
      <w:r>
        <w:rPr>
          <w:color w:val="030303"/>
          <w:sz w:val="19"/>
        </w:rPr>
        <w:t>t h thC' </w:t>
      </w:r>
      <w:r>
        <w:rPr>
          <w:color w:val="030303"/>
          <w:sz w:val="20"/>
        </w:rPr>
        <w:t>first  payment  falling due on  the first &lt;lay  of  thc policy  </w:t>
      </w:r>
      <w:r>
        <w:rPr>
          <w:color w:val="030303"/>
          <w:sz w:val="19"/>
        </w:rPr>
        <w:t>rnonth    </w:t>
      </w:r>
      <w:r>
        <w:rPr>
          <w:color w:val="030303"/>
          <w:sz w:val="20"/>
        </w:rPr>
        <w:t>fol-</w:t>
      </w:r>
    </w:p>
    <w:p>
      <w:pPr>
        <w:spacing w:after="0" w:line="249" w:lineRule="auto"/>
        <w:jc w:val="both"/>
        <w:rPr>
          <w:sz w:val="20"/>
        </w:rPr>
        <w:sectPr>
          <w:type w:val="continuous"/>
          <w:pgSz w:w="7200" w:h="11340"/>
          <w:pgMar w:top="1100" w:bottom="0" w:left="640" w:right="560"/>
        </w:sectPr>
      </w:pPr>
    </w:p>
    <w:p>
      <w:pPr>
        <w:tabs>
          <w:tab w:pos="1861" w:val="left" w:leader="none"/>
          <w:tab w:pos="5853" w:val="right" w:leader="none"/>
        </w:tabs>
        <w:spacing w:before="61"/>
        <w:ind w:left="129" w:right="0" w:firstLine="0"/>
        <w:jc w:val="left"/>
        <w:rPr>
          <w:sz w:val="19"/>
        </w:rPr>
      </w:pPr>
      <w:r>
        <w:rPr>
          <w:b/>
          <w:color w:val="010101"/>
          <w:w w:val="105"/>
          <w:sz w:val="15"/>
        </w:rPr>
        <w:t>SEC. </w:t>
      </w:r>
      <w:r>
        <w:rPr>
          <w:b/>
          <w:color w:val="010101"/>
          <w:spacing w:val="13"/>
          <w:w w:val="105"/>
          <w:sz w:val="15"/>
        </w:rPr>
        <w:t> </w:t>
      </w:r>
      <w:r>
        <w:rPr>
          <w:b/>
          <w:color w:val="010101"/>
          <w:w w:val="105"/>
          <w:sz w:val="21"/>
        </w:rPr>
        <w:t>6]</w:t>
        <w:tab/>
      </w:r>
      <w:r>
        <w:rPr>
          <w:b/>
          <w:color w:val="010101"/>
          <w:w w:val="105"/>
          <w:position w:val="1"/>
          <w:sz w:val="15"/>
        </w:rPr>
        <w:t>FAMILY </w:t>
      </w:r>
      <w:r>
        <w:rPr>
          <w:b/>
          <w:color w:val="010101"/>
          <w:spacing w:val="31"/>
          <w:w w:val="105"/>
          <w:position w:val="1"/>
          <w:sz w:val="15"/>
        </w:rPr>
        <w:t> </w:t>
      </w:r>
      <w:r>
        <w:rPr>
          <w:b/>
          <w:color w:val="010101"/>
          <w:w w:val="105"/>
          <w:position w:val="1"/>
          <w:sz w:val="15"/>
        </w:rPr>
        <w:t>INCOME </w:t>
      </w:r>
      <w:r>
        <w:rPr>
          <w:b/>
          <w:color w:val="010101"/>
          <w:spacing w:val="25"/>
          <w:w w:val="105"/>
          <w:position w:val="1"/>
          <w:sz w:val="15"/>
        </w:rPr>
        <w:t> </w:t>
      </w:r>
      <w:r>
        <w:rPr>
          <w:b/>
          <w:color w:val="010101"/>
          <w:w w:val="105"/>
          <w:position w:val="1"/>
          <w:sz w:val="15"/>
        </w:rPr>
        <w:t>BENEFITS</w:t>
      </w:r>
      <w:r>
        <w:rPr>
          <w:color w:val="010101"/>
          <w:w w:val="105"/>
          <w:sz w:val="19"/>
        </w:rPr>
        <w:tab/>
      </w:r>
      <w:r>
        <w:rPr>
          <w:color w:val="010101"/>
          <w:spacing w:val="-13"/>
          <w:w w:val="105"/>
          <w:sz w:val="19"/>
        </w:rPr>
        <w:t>161</w:t>
      </w:r>
    </w:p>
    <w:p>
      <w:pPr>
        <w:pStyle w:val="BodyText"/>
        <w:spacing w:before="9"/>
      </w:pPr>
    </w:p>
    <w:p>
      <w:pPr>
        <w:pStyle w:val="BodyText"/>
        <w:spacing w:line="252" w:lineRule="auto"/>
        <w:ind w:left="125" w:right="123"/>
        <w:jc w:val="both"/>
      </w:pPr>
      <w:r>
        <w:rPr>
          <w:color w:val="010101"/>
        </w:rPr>
        <w:t>lowing the date of death,  an exact  expression  for the  present  value  of  the bcncfit. would</w:t>
      </w:r>
      <w:r>
        <w:rPr>
          <w:color w:val="010101"/>
          <w:spacing w:val="29"/>
        </w:rPr>
        <w:t> </w:t>
      </w:r>
      <w:r>
        <w:rPr>
          <w:color w:val="010101"/>
        </w:rPr>
        <w:t>be</w:t>
      </w:r>
    </w:p>
    <w:p>
      <w:pPr>
        <w:tabs>
          <w:tab w:pos="722" w:val="left" w:leader="none"/>
        </w:tabs>
        <w:spacing w:line="102" w:lineRule="exact" w:before="105"/>
        <w:ind w:left="27" w:right="0" w:firstLine="0"/>
        <w:jc w:val="center"/>
        <w:rPr>
          <w:b/>
          <w:sz w:val="11"/>
        </w:rPr>
      </w:pPr>
      <w:r>
        <w:rPr/>
        <w:pict>
          <v:shape style="position:absolute;margin-left:299.551605pt;margin-top:7.193418pt;width:25.4pt;height:10pt;mso-position-horizontal-relative:page;mso-position-vertical-relative:paragraph;z-index:13312" type="#_x0000_t202" filled="false" stroked="false">
            <v:textbox inset="0,0,0,0">
              <w:txbxContent>
                <w:p>
                  <w:pPr>
                    <w:pStyle w:val="BodyText"/>
                    <w:spacing w:line="200" w:lineRule="exact"/>
                    <w:ind w:right="-20"/>
                  </w:pPr>
                  <w:r>
                    <w:rPr>
                      <w:color w:val="010101"/>
                      <w:w w:val="105"/>
                    </w:rPr>
                    <w:t>(7.22)</w:t>
                  </w:r>
                </w:p>
              </w:txbxContent>
            </v:textbox>
            <w10:wrap type="none"/>
          </v:shape>
        </w:pict>
      </w:r>
      <w:r>
        <w:rPr>
          <w:b/>
          <w:color w:val="010101"/>
          <w:w w:val="130"/>
          <w:sz w:val="11"/>
        </w:rPr>
        <w:t>(12)</w:t>
        <w:tab/>
        <w:t>(12)</w:t>
      </w:r>
    </w:p>
    <w:p>
      <w:pPr>
        <w:tabs>
          <w:tab w:pos="523" w:val="left" w:leader="none"/>
        </w:tabs>
        <w:spacing w:line="183" w:lineRule="exact" w:before="0"/>
        <w:ind w:left="57" w:right="0" w:firstLine="0"/>
        <w:jc w:val="center"/>
        <w:rPr>
          <w:rFonts w:ascii="Arial" w:hAnsi="Arial"/>
          <w:sz w:val="18"/>
        </w:rPr>
      </w:pPr>
      <w:r>
        <w:rPr>
          <w:rFonts w:ascii="Arial" w:hAnsi="Arial"/>
          <w:i/>
          <w:color w:val="010101"/>
          <w:w w:val="130"/>
          <w:sz w:val="18"/>
        </w:rPr>
        <w:t>ªñl</w:t>
        <w:tab/>
      </w:r>
      <w:r>
        <w:rPr>
          <w:rFonts w:ascii="Arial" w:hAnsi="Arial"/>
          <w:color w:val="010101"/>
          <w:w w:val="255"/>
          <w:sz w:val="18"/>
        </w:rPr>
        <w:t>-</w:t>
      </w:r>
      <w:r>
        <w:rPr>
          <w:rFonts w:ascii="Arial" w:hAnsi="Arial"/>
          <w:color w:val="010101"/>
          <w:spacing w:val="-107"/>
          <w:w w:val="255"/>
          <w:sz w:val="18"/>
        </w:rPr>
        <w:t> </w:t>
      </w:r>
      <w:r>
        <w:rPr>
          <w:rFonts w:ascii="Arial" w:hAnsi="Arial"/>
          <w:color w:val="010101"/>
          <w:w w:val="95"/>
          <w:sz w:val="18"/>
        </w:rPr>
        <w:t>ª2.:"'iil</w:t>
      </w:r>
      <w:r>
        <w:rPr>
          <w:rFonts w:ascii="Arial" w:hAnsi="Arial"/>
          <w:color w:val="010101"/>
          <w:spacing w:val="-20"/>
          <w:w w:val="95"/>
          <w:sz w:val="18"/>
        </w:rPr>
        <w:t> </w:t>
      </w:r>
      <w:r>
        <w:rPr>
          <w:rFonts w:ascii="Arial" w:hAnsi="Arial"/>
          <w:color w:val="010101"/>
          <w:w w:val="155"/>
          <w:sz w:val="18"/>
        </w:rPr>
        <w:t>.</w:t>
      </w:r>
    </w:p>
    <w:p>
      <w:pPr>
        <w:pStyle w:val="BodyText"/>
        <w:spacing w:before="95"/>
        <w:ind w:left="125" w:right="113" w:hanging="4"/>
        <w:jc w:val="both"/>
      </w:pPr>
      <w:r>
        <w:rPr>
          <w:color w:val="010101"/>
          <w:w w:val="105"/>
        </w:rPr>
        <w:t>The differcnce betweeu thc present values of thc annuity-certain and the temporary life annuity clcarly gives the value of the series  of incomc payments for the balance  of  the </w:t>
      </w:r>
      <w:r>
        <w:rPr>
          <w:i/>
          <w:color w:val="010101"/>
          <w:w w:val="105"/>
          <w:sz w:val="22"/>
        </w:rPr>
        <w:t>n </w:t>
      </w:r>
      <w:r>
        <w:rPr>
          <w:color w:val="010101"/>
          <w:w w:val="105"/>
        </w:rPr>
        <w:t>years after the death of (x</w:t>
      </w:r>
      <w:r>
        <w:rPr>
          <w:color w:val="010101"/>
          <w:spacing w:val="-4"/>
          <w:w w:val="105"/>
        </w:rPr>
        <w:t> </w:t>
      </w:r>
      <w:r>
        <w:rPr>
          <w:color w:val="010101"/>
          <w:w w:val="105"/>
        </w:rPr>
        <w:t>).</w:t>
      </w:r>
    </w:p>
    <w:p>
      <w:pPr>
        <w:pStyle w:val="BodyText"/>
        <w:spacing w:line="247" w:lineRule="auto" w:before="14"/>
        <w:ind w:left="125" w:right="124" w:firstLine="200"/>
        <w:jc w:val="both"/>
        <w:rPr>
          <w:sz w:val="22"/>
        </w:rPr>
      </w:pPr>
      <w:r>
        <w:rPr>
          <w:color w:val="010101"/>
          <w:spacing w:val="5"/>
          <w:w w:val="105"/>
        </w:rPr>
        <w:t>We </w:t>
      </w:r>
      <w:r>
        <w:rPr>
          <w:color w:val="010101"/>
          <w:w w:val="105"/>
        </w:rPr>
        <w:t>may now consider how expression (7.22) should </w:t>
      </w:r>
      <w:r>
        <w:rPr>
          <w:color w:val="010101"/>
          <w:w w:val="105"/>
          <w:sz w:val="19"/>
        </w:rPr>
        <w:t>be </w:t>
      </w:r>
      <w:r>
        <w:rPr>
          <w:color w:val="010101"/>
          <w:w w:val="105"/>
        </w:rPr>
        <w:t>adjusted if payments are to commence upon the date of death instead of at the beginning of a policy  month.  </w:t>
      </w:r>
      <w:r>
        <w:rPr>
          <w:color w:val="010101"/>
          <w:w w:val="105"/>
          <w:sz w:val="21"/>
        </w:rPr>
        <w:t>It </w:t>
      </w:r>
      <w:r>
        <w:rPr>
          <w:color w:val="010101"/>
          <w:w w:val="105"/>
        </w:rPr>
        <w:t>is clear that the same number  of payments will be made in either case. The series of payments commencing at the date of death, however, will be made on the average one-half a month earlier. We thus obtain the following approximate formula for </w:t>
      </w:r>
      <w:r>
        <w:rPr>
          <w:i/>
          <w:color w:val="010101"/>
          <w:sz w:val="22"/>
        </w:rPr>
        <w:t>nF:i</w:t>
      </w:r>
      <w:r>
        <w:rPr>
          <w:i/>
          <w:color w:val="010101"/>
          <w:spacing w:val="-29"/>
          <w:sz w:val="22"/>
        </w:rPr>
        <w:t> </w:t>
      </w:r>
      <w:r>
        <w:rPr>
          <w:color w:val="010101"/>
          <w:w w:val="105"/>
          <w:sz w:val="22"/>
        </w:rPr>
        <w:t>:</w:t>
      </w:r>
    </w:p>
    <w:p>
      <w:pPr>
        <w:spacing w:line="92" w:lineRule="exact" w:before="103"/>
        <w:ind w:left="0" w:right="16" w:firstLine="0"/>
        <w:jc w:val="center"/>
        <w:rPr>
          <w:sz w:val="12"/>
        </w:rPr>
      </w:pPr>
      <w:r>
        <w:rPr>
          <w:color w:val="010101"/>
          <w:w w:val="168"/>
          <w:sz w:val="12"/>
        </w:rPr>
        <w:t>l</w:t>
      </w:r>
    </w:p>
    <w:p>
      <w:pPr>
        <w:tabs>
          <w:tab w:pos="5330" w:val="left" w:leader="none"/>
        </w:tabs>
        <w:spacing w:line="288" w:lineRule="exact" w:before="0"/>
        <w:ind w:left="1610" w:right="123" w:firstLine="0"/>
        <w:jc w:val="left"/>
        <w:rPr>
          <w:b/>
          <w:sz w:val="20"/>
        </w:rPr>
      </w:pPr>
      <w:r>
        <w:rPr>
          <w:i/>
          <w:color w:val="010101"/>
          <w:w w:val="85"/>
          <w:sz w:val="22"/>
        </w:rPr>
        <w:t>nF2.</w:t>
      </w:r>
      <w:r>
        <w:rPr>
          <w:i/>
          <w:color w:val="010101"/>
          <w:spacing w:val="15"/>
          <w:w w:val="85"/>
          <w:sz w:val="22"/>
        </w:rPr>
        <w:t> </w:t>
      </w:r>
      <w:r>
        <w:rPr>
          <w:rFonts w:ascii="Arial"/>
          <w:color w:val="010101"/>
          <w:w w:val="85"/>
          <w:sz w:val="26"/>
        </w:rPr>
        <w:t>=:</w:t>
      </w:r>
      <w:r>
        <w:rPr>
          <w:rFonts w:ascii="Arial"/>
          <w:color w:val="010101"/>
          <w:spacing w:val="10"/>
          <w:w w:val="85"/>
          <w:sz w:val="26"/>
        </w:rPr>
        <w:t> </w:t>
      </w:r>
      <w:r>
        <w:rPr>
          <w:color w:val="010101"/>
          <w:w w:val="130"/>
          <w:sz w:val="20"/>
        </w:rPr>
        <w:t>(1</w:t>
      </w:r>
      <w:r>
        <w:rPr>
          <w:color w:val="010101"/>
          <w:spacing w:val="-19"/>
          <w:w w:val="130"/>
          <w:sz w:val="20"/>
        </w:rPr>
        <w:t> </w:t>
      </w:r>
      <w:r>
        <w:rPr>
          <w:color w:val="010101"/>
          <w:sz w:val="29"/>
        </w:rPr>
        <w:t>+</w:t>
      </w:r>
      <w:r>
        <w:rPr>
          <w:color w:val="010101"/>
          <w:spacing w:val="-17"/>
          <w:sz w:val="29"/>
        </w:rPr>
        <w:t> </w:t>
      </w:r>
      <w:r>
        <w:rPr>
          <w:color w:val="010101"/>
          <w:spacing w:val="3"/>
          <w:sz w:val="20"/>
        </w:rPr>
        <w:t>i)</w:t>
      </w:r>
      <w:r>
        <w:rPr>
          <w:color w:val="010101"/>
          <w:spacing w:val="3"/>
          <w:position w:val="6"/>
          <w:sz w:val="17"/>
        </w:rPr>
        <w:t>24</w:t>
      </w:r>
      <w:r>
        <w:rPr>
          <w:color w:val="010101"/>
          <w:spacing w:val="-33"/>
          <w:position w:val="6"/>
          <w:sz w:val="17"/>
        </w:rPr>
        <w:t> </w:t>
      </w:r>
      <w:r>
        <w:rPr>
          <w:rFonts w:ascii="Arial"/>
          <w:color w:val="010101"/>
          <w:sz w:val="19"/>
        </w:rPr>
        <w:t>(a-M</w:t>
      </w:r>
      <w:r>
        <w:rPr>
          <w:color w:val="010101"/>
          <w:position w:val="11"/>
          <w:sz w:val="12"/>
        </w:rPr>
        <w:t>2</w:t>
      </w:r>
      <w:r>
        <w:rPr>
          <w:color w:val="010101"/>
          <w:spacing w:val="-19"/>
          <w:position w:val="11"/>
          <w:sz w:val="12"/>
        </w:rPr>
        <w:t> </w:t>
      </w:r>
      <w:r>
        <w:rPr>
          <w:rFonts w:ascii="Arial"/>
          <w:color w:val="010101"/>
          <w:w w:val="85"/>
          <w:sz w:val="14"/>
        </w:rPr>
        <w:t>&gt; </w:t>
      </w:r>
      <w:r>
        <w:rPr>
          <w:rFonts w:ascii="Arial"/>
          <w:color w:val="010101"/>
          <w:spacing w:val="15"/>
          <w:w w:val="85"/>
          <w:sz w:val="14"/>
        </w:rPr>
        <w:t> </w:t>
      </w:r>
      <w:r>
        <w:rPr>
          <w:rFonts w:ascii="Arial"/>
          <w:color w:val="010101"/>
          <w:w w:val="345"/>
          <w:sz w:val="14"/>
        </w:rPr>
        <w:t>-</w:t>
      </w:r>
      <w:r>
        <w:rPr>
          <w:rFonts w:ascii="Arial"/>
          <w:color w:val="010101"/>
          <w:spacing w:val="-86"/>
          <w:w w:val="345"/>
          <w:sz w:val="14"/>
        </w:rPr>
        <w:t> </w:t>
      </w:r>
      <w:r>
        <w:rPr>
          <w:rFonts w:ascii="Arial"/>
          <w:color w:val="010101"/>
          <w:spacing w:val="-4"/>
          <w:w w:val="195"/>
          <w:sz w:val="19"/>
        </w:rPr>
        <w:t>a!</w:t>
      </w:r>
      <w:r>
        <w:rPr>
          <w:rFonts w:ascii="Arial"/>
          <w:color w:val="010101"/>
          <w:spacing w:val="-44"/>
          <w:w w:val="195"/>
          <w:sz w:val="19"/>
        </w:rPr>
        <w:t> </w:t>
      </w:r>
      <w:r>
        <w:rPr>
          <w:rFonts w:ascii="Arial"/>
          <w:color w:val="010101"/>
          <w:w w:val="130"/>
          <w:sz w:val="19"/>
        </w:rPr>
        <w:t>).</w:t>
        <w:tab/>
      </w:r>
      <w:r>
        <w:rPr>
          <w:b/>
          <w:color w:val="010101"/>
          <w:position w:val="2"/>
          <w:sz w:val="20"/>
        </w:rPr>
        <w:t>(7.23)</w:t>
      </w:r>
    </w:p>
    <w:p>
      <w:pPr>
        <w:pStyle w:val="BodyText"/>
        <w:spacing w:line="252" w:lineRule="auto" w:before="90"/>
        <w:ind w:left="118" w:right="109" w:firstLine="208"/>
        <w:jc w:val="both"/>
      </w:pPr>
      <w:r>
        <w:rPr>
          <w:color w:val="010101"/>
          <w:w w:val="105"/>
          <w:sz w:val="21"/>
        </w:rPr>
        <w:t>It </w:t>
      </w:r>
      <w:r>
        <w:rPr>
          <w:color w:val="010101"/>
          <w:w w:val="105"/>
        </w:rPr>
        <w:t>is sometimes necessary to determine family income premiums on the assumption of one interest rate during the insurance period and another rate during the period when the annuity is payable. Formula (7.23) obviously  cannot be adapted  to this situation,  and a new formula must </w:t>
      </w:r>
      <w:r>
        <w:rPr>
          <w:color w:val="010101"/>
          <w:w w:val="105"/>
          <w:sz w:val="19"/>
        </w:rPr>
        <w:t>be </w:t>
      </w:r>
      <w:r>
        <w:rPr>
          <w:color w:val="010101"/>
          <w:w w:val="105"/>
        </w:rPr>
        <w:t>constructed in which the annuity portion is evaluated  separately  from  the insurance</w:t>
      </w:r>
      <w:r>
        <w:rPr>
          <w:color w:val="010101"/>
          <w:spacing w:val="-5"/>
          <w:w w:val="105"/>
        </w:rPr>
        <w:t> </w:t>
      </w:r>
      <w:r>
        <w:rPr>
          <w:color w:val="010101"/>
          <w:w w:val="105"/>
        </w:rPr>
        <w:t>portion.</w:t>
      </w:r>
    </w:p>
    <w:p>
      <w:pPr>
        <w:pStyle w:val="BodyText"/>
        <w:spacing w:line="244" w:lineRule="auto"/>
        <w:ind w:left="114" w:right="116" w:firstLine="208"/>
        <w:jc w:val="both"/>
      </w:pPr>
      <w:r>
        <w:rPr>
          <w:color w:val="010101"/>
          <w:w w:val="110"/>
        </w:rPr>
        <w:t>In</w:t>
      </w:r>
      <w:r>
        <w:rPr>
          <w:color w:val="010101"/>
          <w:spacing w:val="-15"/>
          <w:w w:val="110"/>
        </w:rPr>
        <w:t> </w:t>
      </w:r>
      <w:r>
        <w:rPr>
          <w:color w:val="010101"/>
          <w:w w:val="110"/>
        </w:rPr>
        <w:t>the</w:t>
      </w:r>
      <w:r>
        <w:rPr>
          <w:color w:val="010101"/>
          <w:spacing w:val="-19"/>
          <w:w w:val="110"/>
        </w:rPr>
        <w:t> </w:t>
      </w:r>
      <w:r>
        <w:rPr>
          <w:color w:val="010101"/>
          <w:w w:val="110"/>
        </w:rPr>
        <w:t>following</w:t>
      </w:r>
      <w:r>
        <w:rPr>
          <w:color w:val="010101"/>
          <w:spacing w:val="-14"/>
          <w:w w:val="110"/>
        </w:rPr>
        <w:t> </w:t>
      </w:r>
      <w:r>
        <w:rPr>
          <w:color w:val="010101"/>
          <w:w w:val="110"/>
        </w:rPr>
        <w:t>development,</w:t>
      </w:r>
      <w:r>
        <w:rPr>
          <w:color w:val="010101"/>
          <w:spacing w:val="-5"/>
          <w:w w:val="110"/>
        </w:rPr>
        <w:t> </w:t>
      </w:r>
      <w:r>
        <w:rPr>
          <w:color w:val="010101"/>
          <w:w w:val="110"/>
        </w:rPr>
        <w:t>the</w:t>
      </w:r>
      <w:r>
        <w:rPr>
          <w:color w:val="010101"/>
          <w:spacing w:val="-18"/>
          <w:w w:val="110"/>
        </w:rPr>
        <w:t> </w:t>
      </w:r>
      <w:r>
        <w:rPr>
          <w:color w:val="010101"/>
          <w:w w:val="110"/>
        </w:rPr>
        <w:t>rate</w:t>
      </w:r>
      <w:r>
        <w:rPr>
          <w:color w:val="010101"/>
          <w:spacing w:val="-18"/>
          <w:w w:val="110"/>
        </w:rPr>
        <w:t> </w:t>
      </w:r>
      <w:r>
        <w:rPr>
          <w:color w:val="010101"/>
          <w:w w:val="110"/>
        </w:rPr>
        <w:t>of</w:t>
      </w:r>
      <w:r>
        <w:rPr>
          <w:color w:val="010101"/>
          <w:spacing w:val="-9"/>
          <w:w w:val="110"/>
        </w:rPr>
        <w:t> </w:t>
      </w:r>
      <w:r>
        <w:rPr>
          <w:color w:val="010101"/>
          <w:w w:val="110"/>
        </w:rPr>
        <w:t>interest</w:t>
      </w:r>
      <w:r>
        <w:rPr>
          <w:color w:val="010101"/>
          <w:spacing w:val="-8"/>
          <w:w w:val="110"/>
        </w:rPr>
        <w:t> </w:t>
      </w:r>
      <w:r>
        <w:rPr>
          <w:color w:val="010101"/>
          <w:w w:val="110"/>
        </w:rPr>
        <w:t>before</w:t>
      </w:r>
      <w:r>
        <w:rPr>
          <w:color w:val="010101"/>
          <w:spacing w:val="-12"/>
          <w:w w:val="110"/>
        </w:rPr>
        <w:t> </w:t>
      </w:r>
      <w:r>
        <w:rPr>
          <w:color w:val="010101"/>
          <w:w w:val="110"/>
        </w:rPr>
        <w:t>death</w:t>
      </w:r>
      <w:r>
        <w:rPr>
          <w:color w:val="010101"/>
          <w:spacing w:val="-14"/>
          <w:w w:val="110"/>
        </w:rPr>
        <w:t> </w:t>
      </w:r>
      <w:r>
        <w:rPr>
          <w:color w:val="010101"/>
          <w:w w:val="110"/>
        </w:rPr>
        <w:t>is denoted by </w:t>
      </w:r>
      <w:r>
        <w:rPr>
          <w:color w:val="010101"/>
          <w:w w:val="115"/>
          <w:sz w:val="21"/>
        </w:rPr>
        <w:t>i </w:t>
      </w:r>
      <w:r>
        <w:rPr>
          <w:color w:val="010101"/>
          <w:w w:val="110"/>
        </w:rPr>
        <w:t>and the rate after death by </w:t>
      </w:r>
      <w:r>
        <w:rPr>
          <w:color w:val="010101"/>
          <w:w w:val="110"/>
          <w:sz w:val="21"/>
        </w:rPr>
        <w:t>i', </w:t>
      </w:r>
      <w:r>
        <w:rPr>
          <w:color w:val="010101"/>
          <w:w w:val="110"/>
        </w:rPr>
        <w:t>with all unprimed symbols referring to rate </w:t>
      </w:r>
      <w:r>
        <w:rPr>
          <w:color w:val="010101"/>
          <w:w w:val="115"/>
        </w:rPr>
        <w:t>i </w:t>
      </w:r>
      <w:r>
        <w:rPr>
          <w:color w:val="010101"/>
          <w:w w:val="110"/>
        </w:rPr>
        <w:t>and ali primed symbols to rate  </w:t>
      </w:r>
      <w:r>
        <w:rPr>
          <w:color w:val="010101"/>
          <w:spacing w:val="16"/>
          <w:w w:val="110"/>
        </w:rPr>
        <w:t> </w:t>
      </w:r>
      <w:r>
        <w:rPr>
          <w:color w:val="010101"/>
          <w:w w:val="110"/>
        </w:rPr>
        <w:t>i'.</w:t>
      </w:r>
    </w:p>
    <w:p>
      <w:pPr>
        <w:pStyle w:val="BodyText"/>
        <w:spacing w:line="244" w:lineRule="auto" w:before="6"/>
        <w:ind w:left="118" w:right="113" w:firstLine="193"/>
        <w:jc w:val="both"/>
      </w:pPr>
      <w:r>
        <w:rPr>
          <w:color w:val="010101"/>
          <w:w w:val="105"/>
        </w:rPr>
        <w:t>Since the death benefit varíes for each month of age, we will ex­ press the net singl premium for the total contract as the sum of the present</w:t>
      </w:r>
      <w:r>
        <w:rPr>
          <w:color w:val="010101"/>
          <w:spacing w:val="13"/>
          <w:w w:val="105"/>
        </w:rPr>
        <w:t> </w:t>
      </w:r>
      <w:r>
        <w:rPr>
          <w:color w:val="010101"/>
          <w:w w:val="105"/>
        </w:rPr>
        <w:t>values</w:t>
      </w:r>
      <w:r>
        <w:rPr>
          <w:color w:val="010101"/>
          <w:spacing w:val="-5"/>
          <w:w w:val="105"/>
        </w:rPr>
        <w:t> </w:t>
      </w:r>
      <w:r>
        <w:rPr>
          <w:color w:val="010101"/>
          <w:w w:val="105"/>
        </w:rPr>
        <w:t>of</w:t>
      </w:r>
      <w:r>
        <w:rPr>
          <w:color w:val="010101"/>
          <w:spacing w:val="10"/>
          <w:w w:val="105"/>
        </w:rPr>
        <w:t> </w:t>
      </w:r>
      <w:r>
        <w:rPr>
          <w:color w:val="010101"/>
          <w:w w:val="105"/>
        </w:rPr>
        <w:t>the</w:t>
      </w:r>
      <w:r>
        <w:rPr>
          <w:color w:val="010101"/>
          <w:spacing w:val="3"/>
          <w:w w:val="105"/>
        </w:rPr>
        <w:t> </w:t>
      </w:r>
      <w:r>
        <w:rPr>
          <w:color w:val="010101"/>
          <w:w w:val="105"/>
        </w:rPr>
        <w:t>insurance</w:t>
      </w:r>
      <w:r>
        <w:rPr>
          <w:color w:val="010101"/>
          <w:spacing w:val="-3"/>
          <w:w w:val="105"/>
        </w:rPr>
        <w:t> </w:t>
      </w:r>
      <w:r>
        <w:rPr>
          <w:color w:val="010101"/>
          <w:w w:val="105"/>
        </w:rPr>
        <w:t>for</w:t>
      </w:r>
      <w:r>
        <w:rPr>
          <w:color w:val="010101"/>
          <w:spacing w:val="-24"/>
          <w:w w:val="105"/>
        </w:rPr>
        <w:t> </w:t>
      </w:r>
      <w:r>
        <w:rPr>
          <w:color w:val="010101"/>
          <w:w w:val="105"/>
        </w:rPr>
        <w:t>each</w:t>
      </w:r>
      <w:r>
        <w:rPr>
          <w:color w:val="010101"/>
          <w:spacing w:val="-17"/>
          <w:w w:val="105"/>
        </w:rPr>
        <w:t> </w:t>
      </w:r>
      <w:r>
        <w:rPr>
          <w:color w:val="010101"/>
          <w:w w:val="105"/>
        </w:rPr>
        <w:t>month.</w:t>
      </w:r>
      <w:r>
        <w:rPr>
          <w:color w:val="010101"/>
          <w:spacing w:val="3"/>
          <w:w w:val="105"/>
        </w:rPr>
        <w:t> </w:t>
      </w:r>
      <w:r>
        <w:rPr>
          <w:color w:val="010101"/>
          <w:w w:val="105"/>
          <w:sz w:val="21"/>
        </w:rPr>
        <w:t>If</w:t>
      </w:r>
      <w:r>
        <w:rPr>
          <w:color w:val="010101"/>
          <w:spacing w:val="10"/>
          <w:w w:val="105"/>
          <w:sz w:val="21"/>
        </w:rPr>
        <w:t> </w:t>
      </w:r>
      <w:r>
        <w:rPr>
          <w:color w:val="010101"/>
          <w:w w:val="105"/>
        </w:rPr>
        <w:t>death</w:t>
      </w:r>
      <w:r>
        <w:rPr>
          <w:color w:val="010101"/>
          <w:spacing w:val="-19"/>
          <w:w w:val="105"/>
        </w:rPr>
        <w:t> </w:t>
      </w:r>
      <w:r>
        <w:rPr>
          <w:color w:val="010101"/>
          <w:w w:val="105"/>
        </w:rPr>
        <w:t>occurs</w:t>
      </w:r>
      <w:r>
        <w:rPr>
          <w:color w:val="010101"/>
          <w:spacing w:val="-18"/>
          <w:w w:val="105"/>
        </w:rPr>
        <w:t> </w:t>
      </w:r>
      <w:r>
        <w:rPr>
          <w:color w:val="010101"/>
          <w:w w:val="105"/>
        </w:rPr>
        <w:t>in</w:t>
      </w:r>
      <w:r>
        <w:rPr>
          <w:color w:val="010101"/>
          <w:spacing w:val="-18"/>
          <w:w w:val="105"/>
        </w:rPr>
        <w:t> </w:t>
      </w:r>
      <w:r>
        <w:rPr>
          <w:color w:val="010101"/>
          <w:w w:val="105"/>
        </w:rPr>
        <w:t>the</w:t>
      </w:r>
    </w:p>
    <w:p>
      <w:pPr>
        <w:tabs>
          <w:tab w:pos="4082" w:val="left" w:leader="none"/>
          <w:tab w:pos="5617" w:val="left" w:leader="none"/>
        </w:tabs>
        <w:spacing w:line="73" w:lineRule="exact" w:before="0"/>
        <w:ind w:left="2762" w:right="133" w:firstLine="0"/>
        <w:jc w:val="left"/>
        <w:rPr>
          <w:sz w:val="20"/>
        </w:rPr>
      </w:pPr>
      <w:r>
        <w:rPr/>
        <w:pict>
          <v:shape style="position:absolute;margin-left:204.304901pt;margin-top:3.638517pt;width:30.25pt;height:15.5pt;mso-position-horizontal-relative:page;mso-position-vertical-relative:paragraph;z-index:-722704" type="#_x0000_t202" filled="false" stroked="false">
            <v:textbox inset="0,0,0,0">
              <w:txbxContent>
                <w:p>
                  <w:pPr>
                    <w:tabs>
                      <w:tab w:pos="412" w:val="left" w:leader="none"/>
                    </w:tabs>
                    <w:spacing w:line="310" w:lineRule="exact" w:before="0"/>
                    <w:ind w:left="0" w:right="0" w:firstLine="0"/>
                    <w:jc w:val="left"/>
                    <w:rPr>
                      <w:rFonts w:ascii="Arial"/>
                      <w:sz w:val="31"/>
                    </w:rPr>
                  </w:pPr>
                  <w:r>
                    <w:rPr>
                      <w:rFonts w:ascii="Arial"/>
                      <w:color w:val="010101"/>
                      <w:w w:val="105"/>
                      <w:sz w:val="31"/>
                    </w:rPr>
                    <w:t>+</w:t>
                    <w:tab/>
                    <w:t>+</w:t>
                  </w:r>
                </w:p>
              </w:txbxContent>
            </v:textbox>
            <w10:wrap type="none"/>
          </v:shape>
        </w:pict>
      </w:r>
      <w:r>
        <w:rPr>
          <w:rFonts w:ascii="Arial"/>
          <w:i/>
          <w:color w:val="010101"/>
          <w:w w:val="110"/>
          <w:sz w:val="13"/>
        </w:rPr>
        <w:t>8</w:t>
        <w:tab/>
      </w:r>
      <w:r>
        <w:rPr>
          <w:rFonts w:ascii="Arial"/>
          <w:i/>
          <w:color w:val="010101"/>
          <w:w w:val="110"/>
          <w:sz w:val="17"/>
        </w:rPr>
        <w:t>s</w:t>
      </w:r>
      <w:r>
        <w:rPr>
          <w:rFonts w:ascii="Arial"/>
          <w:i/>
          <w:color w:val="010101"/>
          <w:spacing w:val="21"/>
          <w:w w:val="110"/>
          <w:sz w:val="17"/>
        </w:rPr>
        <w:t> </w:t>
      </w:r>
      <w:r>
        <w:rPr>
          <w:rFonts w:ascii="Arial"/>
          <w:color w:val="010101"/>
          <w:w w:val="110"/>
          <w:sz w:val="31"/>
        </w:rPr>
        <w:t>+</w:t>
      </w:r>
      <w:r>
        <w:rPr>
          <w:rFonts w:ascii="Arial"/>
          <w:color w:val="010101"/>
          <w:spacing w:val="-32"/>
          <w:w w:val="110"/>
          <w:sz w:val="31"/>
        </w:rPr>
        <w:t> </w:t>
      </w:r>
      <w:r>
        <w:rPr>
          <w:color w:val="010101"/>
          <w:w w:val="110"/>
          <w:sz w:val="20"/>
        </w:rPr>
        <w:t>1</w:t>
        <w:tab/>
      </w:r>
      <w:r>
        <w:rPr>
          <w:color w:val="1A1A1A"/>
          <w:w w:val="110"/>
          <w:sz w:val="20"/>
        </w:rPr>
        <w:t>.</w:t>
      </w:r>
    </w:p>
    <w:p>
      <w:pPr>
        <w:spacing w:after="0" w:line="73" w:lineRule="exact"/>
        <w:jc w:val="left"/>
        <w:rPr>
          <w:sz w:val="20"/>
        </w:rPr>
        <w:sectPr>
          <w:pgSz w:w="7200" w:h="11340"/>
          <w:pgMar w:top="480" w:bottom="280" w:left="660" w:right="560"/>
        </w:sectPr>
      </w:pPr>
    </w:p>
    <w:p>
      <w:pPr>
        <w:spacing w:line="317" w:lineRule="exact" w:before="0"/>
        <w:ind w:left="111" w:right="0" w:firstLine="0"/>
        <w:jc w:val="left"/>
        <w:rPr>
          <w:rFonts w:ascii="Arial"/>
          <w:sz w:val="31"/>
        </w:rPr>
      </w:pPr>
      <w:r>
        <w:rPr>
          <w:color w:val="010101"/>
          <w:sz w:val="20"/>
        </w:rPr>
        <w:t>month  of  age  from  </w:t>
      </w:r>
      <w:r>
        <w:rPr>
          <w:i/>
          <w:color w:val="010101"/>
          <w:sz w:val="19"/>
        </w:rPr>
        <w:t>x  </w:t>
      </w:r>
      <w:r>
        <w:rPr>
          <w:rFonts w:ascii="Arial"/>
          <w:color w:val="010101"/>
          <w:sz w:val="31"/>
        </w:rPr>
        <w:t>+ </w:t>
      </w:r>
      <w:r>
        <w:rPr>
          <w:i/>
          <w:color w:val="010101"/>
          <w:sz w:val="22"/>
        </w:rPr>
        <w:t>t </w:t>
      </w:r>
      <w:r>
        <w:rPr>
          <w:rFonts w:ascii="Arial"/>
          <w:color w:val="010101"/>
          <w:sz w:val="31"/>
        </w:rPr>
        <w:t>+</w:t>
      </w:r>
    </w:p>
    <w:p>
      <w:pPr>
        <w:tabs>
          <w:tab w:pos="1018" w:val="left" w:leader="none"/>
          <w:tab w:pos="1416" w:val="left" w:leader="none"/>
        </w:tabs>
        <w:spacing w:line="227" w:lineRule="exact" w:before="16"/>
        <w:ind w:left="311" w:right="0" w:firstLine="0"/>
        <w:jc w:val="left"/>
        <w:rPr>
          <w:sz w:val="20"/>
        </w:rPr>
      </w:pPr>
      <w:r>
        <w:rPr/>
        <w:br w:type="column"/>
      </w:r>
      <w:r>
        <w:rPr>
          <w:color w:val="010101"/>
          <w:w w:val="109"/>
          <w:sz w:val="20"/>
        </w:rPr>
        <w:t>to</w:t>
      </w:r>
      <w:r>
        <w:rPr>
          <w:color w:val="010101"/>
          <w:spacing w:val="23"/>
          <w:sz w:val="20"/>
        </w:rPr>
        <w:t> </w:t>
      </w:r>
      <w:r>
        <w:rPr>
          <w:i/>
          <w:color w:val="010101"/>
          <w:w w:val="105"/>
          <w:sz w:val="19"/>
        </w:rPr>
        <w:t>x</w:t>
      </w:r>
      <w:r>
        <w:rPr>
          <w:i/>
          <w:color w:val="010101"/>
          <w:sz w:val="19"/>
        </w:rPr>
        <w:tab/>
      </w:r>
      <w:r>
        <w:rPr>
          <w:i/>
          <w:color w:val="010101"/>
          <w:w w:val="79"/>
          <w:sz w:val="22"/>
        </w:rPr>
        <w:t>t</w:t>
      </w:r>
      <w:r>
        <w:rPr>
          <w:i/>
          <w:color w:val="010101"/>
          <w:sz w:val="22"/>
        </w:rPr>
        <w:tab/>
      </w:r>
      <w:r>
        <w:rPr>
          <w:rFonts w:ascii="Arial"/>
          <w:color w:val="010101"/>
          <w:w w:val="275"/>
          <w:sz w:val="25"/>
        </w:rPr>
        <w:t>I</w:t>
      </w:r>
      <w:r>
        <w:rPr>
          <w:rFonts w:ascii="Arial"/>
          <w:color w:val="010101"/>
          <w:spacing w:val="-69"/>
          <w:w w:val="275"/>
          <w:sz w:val="25"/>
        </w:rPr>
        <w:t>2</w:t>
      </w:r>
      <w:r>
        <w:rPr>
          <w:rFonts w:ascii="Arial"/>
          <w:color w:val="010101"/>
          <w:w w:val="126"/>
          <w:sz w:val="25"/>
        </w:rPr>
        <w:t>'</w:t>
      </w:r>
      <w:r>
        <w:rPr>
          <w:rFonts w:ascii="Arial"/>
          <w:color w:val="010101"/>
          <w:spacing w:val="-5"/>
          <w:sz w:val="25"/>
        </w:rPr>
        <w:t> </w:t>
      </w:r>
      <w:r>
        <w:rPr>
          <w:i/>
          <w:color w:val="010101"/>
          <w:w w:val="86"/>
          <w:sz w:val="22"/>
        </w:rPr>
        <w:t>t</w:t>
      </w:r>
      <w:r>
        <w:rPr>
          <w:i/>
          <w:color w:val="010101"/>
          <w:sz w:val="22"/>
        </w:rPr>
        <w:t> </w:t>
      </w:r>
      <w:r>
        <w:rPr>
          <w:i/>
          <w:color w:val="010101"/>
          <w:spacing w:val="-27"/>
          <w:sz w:val="22"/>
        </w:rPr>
        <w:t> </w:t>
      </w:r>
      <w:r>
        <w:rPr>
          <w:color w:val="010101"/>
          <w:w w:val="108"/>
          <w:sz w:val="20"/>
        </w:rPr>
        <w:t>and</w:t>
      </w:r>
      <w:r>
        <w:rPr>
          <w:color w:val="010101"/>
          <w:sz w:val="20"/>
        </w:rPr>
        <w:t> </w:t>
      </w:r>
      <w:r>
        <w:rPr>
          <w:color w:val="010101"/>
          <w:spacing w:val="-20"/>
          <w:sz w:val="20"/>
        </w:rPr>
        <w:t> </w:t>
      </w:r>
      <w:r>
        <w:rPr>
          <w:i/>
          <w:color w:val="010101"/>
          <w:w w:val="98"/>
          <w:sz w:val="19"/>
        </w:rPr>
        <w:t>s</w:t>
      </w:r>
      <w:r>
        <w:rPr>
          <w:i/>
          <w:color w:val="010101"/>
          <w:sz w:val="19"/>
        </w:rPr>
        <w:t> </w:t>
      </w:r>
      <w:r>
        <w:rPr>
          <w:i/>
          <w:color w:val="010101"/>
          <w:spacing w:val="-11"/>
          <w:sz w:val="19"/>
        </w:rPr>
        <w:t> </w:t>
      </w:r>
      <w:r>
        <w:rPr>
          <w:color w:val="010101"/>
          <w:w w:val="100"/>
          <w:sz w:val="20"/>
        </w:rPr>
        <w:t>bemg</w:t>
      </w:r>
    </w:p>
    <w:p>
      <w:pPr>
        <w:pStyle w:val="BodyText"/>
        <w:spacing w:line="169" w:lineRule="exact"/>
        <w:ind w:left="42"/>
      </w:pPr>
      <w:r>
        <w:rPr/>
        <w:pict>
          <v:rect style="position:absolute;margin-left:168.609894pt;margin-top:.383816pt;width:8.9686pt;height:5.919283pt;mso-position-horizontal-relative:page;mso-position-vertical-relative:paragraph;z-index:-722800" filled="true" fillcolor="#000000" stroked="false">
            <v:fill type="solid"/>
            <w10:wrap type="none"/>
          </v:rect>
        </w:pict>
      </w:r>
      <w:r>
        <w:rPr>
          <w:color w:val="010101"/>
          <w:w w:val="105"/>
        </w:rPr>
        <w:t>12</w:t>
      </w:r>
    </w:p>
    <w:p>
      <w:pPr>
        <w:spacing w:after="0" w:line="169" w:lineRule="exact"/>
        <w:sectPr>
          <w:type w:val="continuous"/>
          <w:pgSz w:w="7200" w:h="11340"/>
          <w:pgMar w:top="1100" w:bottom="0" w:left="660" w:right="560"/>
          <w:cols w:num="2" w:equalWidth="0">
            <w:col w:w="2630" w:space="40"/>
            <w:col w:w="3310"/>
          </w:cols>
        </w:sectPr>
      </w:pPr>
    </w:p>
    <w:p>
      <w:pPr>
        <w:pStyle w:val="BodyText"/>
        <w:spacing w:line="112" w:lineRule="auto" w:before="92"/>
        <w:ind w:left="118" w:right="116" w:firstLine="3"/>
        <w:jc w:val="center"/>
      </w:pPr>
      <w:r>
        <w:rPr/>
        <w:pict>
          <v:line style="position:absolute;mso-position-horizontal-relative:page;mso-position-vertical-relative:paragraph;z-index:-722776" from="126.995499pt,26.790895pt" to="152.645699pt,26.790895pt" stroked="true" strokeweight="6.816143pt" strokecolor="#000000">
            <w10:wrap type="none"/>
          </v:line>
        </w:pict>
      </w:r>
      <w:r>
        <w:rPr>
          <w:color w:val="010101"/>
          <w:w w:val="105"/>
        </w:rPr>
        <w:t>integers, the death benefit, evaluated at the date of death, has </w:t>
      </w:r>
      <w:r>
        <w:rPr>
          <w:color w:val="010101"/>
          <w:w w:val="109"/>
        </w:rPr>
        <w:t>the  </w:t>
      </w:r>
      <w:r>
        <w:rPr>
          <w:color w:val="010101"/>
          <w:w w:val="102"/>
        </w:rPr>
        <w:t>present  </w:t>
      </w:r>
      <w:r>
        <w:rPr>
          <w:color w:val="010101"/>
          <w:w w:val="105"/>
        </w:rPr>
        <w:t>value</w:t>
      </w:r>
      <w:r>
        <w:rPr>
          <w:color w:val="010101"/>
          <w:spacing w:val="52"/>
          <w:w w:val="105"/>
        </w:rPr>
        <w:t> </w:t>
      </w:r>
      <w:r>
        <w:rPr>
          <w:rFonts w:ascii="Arial"/>
          <w:color w:val="010101"/>
          <w:spacing w:val="-1"/>
          <w:w w:val="62"/>
          <w:sz w:val="36"/>
        </w:rPr>
        <w:t>a':!--!..I </w:t>
      </w:r>
      <w:r>
        <w:rPr>
          <w:rFonts w:ascii="Arial"/>
          <w:color w:val="010101"/>
          <w:spacing w:val="-1"/>
          <w:w w:val="87"/>
          <w:sz w:val="36"/>
        </w:rPr>
        <w:t>' </w:t>
      </w:r>
      <w:r>
        <w:rPr>
          <w:color w:val="010101"/>
          <w:spacing w:val="-1"/>
          <w:w w:val="106"/>
        </w:rPr>
        <w:t>and </w:t>
      </w:r>
      <w:r>
        <w:rPr>
          <w:color w:val="010101"/>
          <w:spacing w:val="-1"/>
          <w:w w:val="108"/>
        </w:rPr>
        <w:t>the </w:t>
      </w:r>
      <w:r>
        <w:rPr>
          <w:color w:val="010101"/>
          <w:spacing w:val="-1"/>
          <w:w w:val="104"/>
        </w:rPr>
        <w:t>present </w:t>
      </w:r>
      <w:r>
        <w:rPr>
          <w:color w:val="010101"/>
          <w:spacing w:val="-1"/>
          <w:w w:val="105"/>
        </w:rPr>
        <w:t>value </w:t>
      </w:r>
      <w:r>
        <w:rPr>
          <w:color w:val="010101"/>
          <w:spacing w:val="-1"/>
          <w:w w:val="120"/>
        </w:rPr>
        <w:t>at </w:t>
      </w:r>
      <w:r>
        <w:rPr>
          <w:color w:val="010101"/>
          <w:spacing w:val="-1"/>
          <w:w w:val="101"/>
        </w:rPr>
        <w:t>age </w:t>
      </w:r>
      <w:r>
        <w:rPr>
          <w:rFonts w:ascii="Arial"/>
          <w:i/>
          <w:color w:val="010101"/>
          <w:spacing w:val="-1"/>
          <w:sz w:val="17"/>
        </w:rPr>
        <w:t>x  </w:t>
      </w:r>
      <w:r>
        <w:rPr>
          <w:color w:val="010101"/>
          <w:spacing w:val="-1"/>
          <w:w w:val="83"/>
        </w:rPr>
        <w:t>of  </w:t>
      </w:r>
      <w:r>
        <w:rPr>
          <w:color w:val="010101"/>
          <w:w w:val="83"/>
        </w:rPr>
        <w:t> </w:t>
      </w:r>
      <w:r>
        <w:rPr>
          <w:color w:val="010101"/>
          <w:w w:val="107"/>
        </w:rPr>
        <w:t>this</w:t>
      </w:r>
    </w:p>
    <w:p>
      <w:pPr>
        <w:spacing w:line="117" w:lineRule="exact" w:before="30"/>
        <w:ind w:left="74" w:right="1435" w:firstLine="0"/>
        <w:jc w:val="center"/>
        <w:rPr>
          <w:b/>
          <w:sz w:val="11"/>
        </w:rPr>
      </w:pPr>
      <w:r>
        <w:rPr>
          <w:b/>
          <w:color w:val="010101"/>
          <w:w w:val="120"/>
          <w:sz w:val="11"/>
        </w:rPr>
        <w:t>12</w:t>
      </w:r>
    </w:p>
    <w:p>
      <w:pPr>
        <w:pStyle w:val="BodyText"/>
        <w:spacing w:line="220" w:lineRule="exact"/>
        <w:ind w:left="118" w:right="739"/>
      </w:pPr>
      <w:r>
        <w:rPr>
          <w:color w:val="010101"/>
          <w:w w:val="105"/>
        </w:rPr>
        <w:t>month's insurance may be expressed  as</w:t>
      </w:r>
    </w:p>
    <w:p>
      <w:pPr>
        <w:spacing w:before="101"/>
        <w:ind w:left="0" w:right="1377" w:firstLine="0"/>
        <w:jc w:val="center"/>
        <w:rPr>
          <w:b/>
          <w:sz w:val="13"/>
        </w:rPr>
      </w:pPr>
      <w:r>
        <w:rPr/>
        <w:pict>
          <v:shape style="position:absolute;margin-left:120pt;margin-top:3.177679pt;width:146.25pt;height:26pt;mso-position-horizontal-relative:page;mso-position-vertical-relative:paragraph;z-index:-722728" type="#_x0000_t202" filled="false" stroked="false">
            <v:textbox inset="0,0,0,0">
              <w:txbxContent>
                <w:p>
                  <w:pPr>
                    <w:tabs>
                      <w:tab w:pos="340" w:val="left" w:leader="none"/>
                      <w:tab w:pos="2195" w:val="left" w:leader="none"/>
                      <w:tab w:pos="2543" w:val="left" w:leader="none"/>
                    </w:tabs>
                    <w:spacing w:line="520" w:lineRule="exact" w:before="0"/>
                    <w:ind w:left="0" w:right="0" w:firstLine="0"/>
                    <w:jc w:val="left"/>
                    <w:rPr>
                      <w:b/>
                      <w:sz w:val="11"/>
                    </w:rPr>
                  </w:pPr>
                  <w:r>
                    <w:rPr>
                      <w:i/>
                      <w:color w:val="010101"/>
                      <w:w w:val="102"/>
                      <w:sz w:val="12"/>
                    </w:rPr>
                    <w:t>t</w:t>
                  </w:r>
                  <w:r>
                    <w:rPr>
                      <w:i/>
                      <w:color w:val="010101"/>
                      <w:sz w:val="12"/>
                    </w:rPr>
                    <w:tab/>
                  </w:r>
                  <w:r>
                    <w:rPr>
                      <w:rFonts w:ascii="Arial" w:hAnsi="Arial"/>
                      <w:b/>
                      <w:i/>
                      <w:color w:val="010101"/>
                      <w:spacing w:val="-37"/>
                      <w:w w:val="65"/>
                      <w:sz w:val="52"/>
                    </w:rPr>
                    <w:t>1</w:t>
                  </w:r>
                  <w:r>
                    <w:rPr>
                      <w:rFonts w:ascii="Arial" w:hAnsi="Arial"/>
                      <w:b/>
                      <w:i/>
                      <w:color w:val="010101"/>
                      <w:w w:val="64"/>
                      <w:sz w:val="52"/>
                    </w:rPr>
                    <w:t>"</w:t>
                  </w:r>
                  <w:r>
                    <w:rPr>
                      <w:rFonts w:ascii="Arial" w:hAnsi="Arial"/>
                      <w:b/>
                      <w:i/>
                      <w:color w:val="010101"/>
                      <w:spacing w:val="-36"/>
                      <w:sz w:val="52"/>
                    </w:rPr>
                    <w:t> </w:t>
                  </w:r>
                  <w:r>
                    <w:rPr>
                      <w:b/>
                      <w:i/>
                      <w:color w:val="010101"/>
                      <w:w w:val="72"/>
                      <w:sz w:val="22"/>
                    </w:rPr>
                    <w:t>ft+r</w:t>
                  </w:r>
                  <w:r>
                    <w:rPr>
                      <w:b/>
                      <w:i/>
                      <w:color w:val="010101"/>
                      <w:sz w:val="22"/>
                    </w:rPr>
                    <w:t>  </w:t>
                  </w:r>
                  <w:r>
                    <w:rPr>
                      <w:b/>
                      <w:i/>
                      <w:color w:val="010101"/>
                      <w:spacing w:val="-23"/>
                      <w:sz w:val="22"/>
                    </w:rPr>
                    <w:t> </w:t>
                  </w:r>
                  <w:r>
                    <w:rPr>
                      <w:color w:val="010101"/>
                      <w:w w:val="84"/>
                      <w:sz w:val="22"/>
                    </w:rPr>
                    <w:t>•</w:t>
                  </w:r>
                  <w:r>
                    <w:rPr>
                      <w:color w:val="010101"/>
                      <w:sz w:val="22"/>
                    </w:rPr>
                    <w:tab/>
                  </w:r>
                  <w:r>
                    <w:rPr>
                      <w:color w:val="010101"/>
                      <w:w w:val="84"/>
                      <w:sz w:val="22"/>
                    </w:rPr>
                    <w:t>•</w:t>
                  </w:r>
                  <w:r>
                    <w:rPr>
                      <w:color w:val="010101"/>
                      <w:sz w:val="22"/>
                    </w:rPr>
                    <w:tab/>
                  </w:r>
                  <w:r>
                    <w:rPr>
                      <w:b/>
                      <w:color w:val="010101"/>
                      <w:w w:val="53"/>
                      <w:sz w:val="22"/>
                    </w:rPr>
                    <w:t>.</w:t>
                  </w:r>
                  <w:r>
                    <w:rPr>
                      <w:b/>
                      <w:color w:val="010101"/>
                      <w:spacing w:val="6"/>
                      <w:w w:val="53"/>
                      <w:sz w:val="22"/>
                    </w:rPr>
                    <w:t>.</w:t>
                  </w:r>
                  <w:r>
                    <w:rPr>
                      <w:b/>
                      <w:color w:val="010101"/>
                      <w:w w:val="133"/>
                      <w:sz w:val="11"/>
                    </w:rPr>
                    <w:t>1(12)</w:t>
                  </w:r>
                </w:p>
              </w:txbxContent>
            </v:textbox>
            <w10:wrap type="none"/>
          </v:shape>
        </w:pict>
      </w:r>
      <w:r>
        <w:rPr>
          <w:b/>
          <w:color w:val="010101"/>
          <w:w w:val="141"/>
          <w:sz w:val="13"/>
        </w:rPr>
        <w:t>l</w:t>
      </w:r>
    </w:p>
    <w:p>
      <w:pPr>
        <w:tabs>
          <w:tab w:pos="1675" w:val="left" w:leader="none"/>
          <w:tab w:pos="2113" w:val="left" w:leader="none"/>
        </w:tabs>
        <w:spacing w:line="332" w:lineRule="exact" w:before="14"/>
        <w:ind w:left="32" w:right="0" w:firstLine="0"/>
        <w:jc w:val="center"/>
        <w:rPr>
          <w:i/>
          <w:sz w:val="21"/>
        </w:rPr>
      </w:pPr>
      <w:r>
        <w:rPr>
          <w:i/>
          <w:color w:val="010101"/>
          <w:spacing w:val="-31"/>
          <w:w w:val="146"/>
          <w:sz w:val="17"/>
        </w:rPr>
        <w:t>1</w:t>
      </w:r>
      <w:r>
        <w:rPr>
          <w:color w:val="010101"/>
          <w:w w:val="87"/>
          <w:sz w:val="15"/>
        </w:rPr>
        <w:t>z+e+...!.</w:t>
      </w:r>
      <w:r>
        <w:rPr>
          <w:color w:val="010101"/>
          <w:sz w:val="15"/>
        </w:rPr>
        <w:t>  </w:t>
      </w:r>
      <w:r>
        <w:rPr>
          <w:color w:val="010101"/>
          <w:spacing w:val="-6"/>
          <w:sz w:val="15"/>
        </w:rPr>
        <w:t> </w:t>
      </w:r>
      <w:r>
        <w:rPr>
          <w:color w:val="010101"/>
          <w:w w:val="94"/>
          <w:sz w:val="24"/>
        </w:rPr>
        <w:t>=</w:t>
      </w:r>
      <w:r>
        <w:rPr>
          <w:color w:val="010101"/>
          <w:sz w:val="24"/>
        </w:rPr>
        <w:t> </w:t>
      </w:r>
      <w:r>
        <w:rPr>
          <w:color w:val="010101"/>
          <w:spacing w:val="-19"/>
          <w:sz w:val="24"/>
        </w:rPr>
        <w:t> </w:t>
      </w:r>
      <w:r>
        <w:rPr>
          <w:i/>
          <w:color w:val="010101"/>
          <w:w w:val="82"/>
          <w:sz w:val="21"/>
        </w:rPr>
        <w:t>v</w:t>
      </w:r>
      <w:r>
        <w:rPr>
          <w:i/>
          <w:color w:val="010101"/>
          <w:spacing w:val="13"/>
          <w:sz w:val="21"/>
        </w:rPr>
        <w:t> </w:t>
      </w:r>
      <w:r>
        <w:rPr>
          <w:i/>
          <w:color w:val="010101"/>
          <w:w w:val="79"/>
          <w:sz w:val="17"/>
        </w:rPr>
        <w:t>t</w:t>
      </w:r>
      <w:r>
        <w:rPr>
          <w:i/>
          <w:color w:val="010101"/>
          <w:spacing w:val="-30"/>
          <w:sz w:val="17"/>
        </w:rPr>
        <w:t> </w:t>
      </w:r>
      <w:r>
        <w:rPr>
          <w:i/>
          <w:color w:val="010101"/>
          <w:w w:val="79"/>
          <w:sz w:val="17"/>
        </w:rPr>
        <w:t>P2.</w:t>
      </w:r>
      <w:r>
        <w:rPr>
          <w:i/>
          <w:color w:val="010101"/>
          <w:sz w:val="17"/>
        </w:rPr>
        <w:tab/>
      </w:r>
      <w:r>
        <w:rPr>
          <w:i/>
          <w:color w:val="010101"/>
          <w:w w:val="86"/>
          <w:sz w:val="21"/>
        </w:rPr>
        <w:t>v</w:t>
      </w:r>
      <w:r>
        <w:rPr>
          <w:i/>
          <w:color w:val="010101"/>
          <w:sz w:val="21"/>
        </w:rPr>
        <w:tab/>
      </w:r>
      <w:r>
        <w:rPr>
          <w:i/>
          <w:color w:val="010101"/>
          <w:w w:val="132"/>
          <w:sz w:val="17"/>
        </w:rPr>
        <w:t>-+rPz+tl'</w:t>
      </w:r>
      <w:r>
        <w:rPr>
          <w:i/>
          <w:color w:val="010101"/>
          <w:spacing w:val="-21"/>
          <w:sz w:val="17"/>
        </w:rPr>
        <w:t> </w:t>
      </w:r>
      <w:r>
        <w:rPr>
          <w:i/>
          <w:color w:val="010101"/>
          <w:w w:val="110"/>
          <w:sz w:val="17"/>
        </w:rPr>
        <w:t>e+</w:t>
      </w:r>
      <w:r>
        <w:rPr>
          <w:i/>
          <w:color w:val="010101"/>
          <w:spacing w:val="6"/>
          <w:w w:val="110"/>
          <w:sz w:val="17"/>
        </w:rPr>
        <w:t>-</w:t>
      </w:r>
      <w:r>
        <w:rPr>
          <w:i/>
          <w:color w:val="010101"/>
          <w:w w:val="89"/>
          <w:sz w:val="17"/>
        </w:rPr>
        <w:t>+r</w:t>
      </w:r>
      <w:r>
        <w:rPr>
          <w:i/>
          <w:color w:val="010101"/>
          <w:spacing w:val="10"/>
          <w:sz w:val="17"/>
        </w:rPr>
        <w:t> </w:t>
      </w:r>
      <w:r>
        <w:rPr>
          <w:i/>
          <w:color w:val="010101"/>
          <w:spacing w:val="-45"/>
          <w:w w:val="102"/>
          <w:sz w:val="32"/>
        </w:rPr>
        <w:t>ª</w:t>
      </w:r>
      <w:r>
        <w:rPr>
          <w:color w:val="010101"/>
          <w:spacing w:val="-421"/>
          <w:w w:val="289"/>
          <w:sz w:val="34"/>
        </w:rPr>
        <w:t>-</w:t>
      </w:r>
      <w:r>
        <w:rPr>
          <w:color w:val="010101"/>
          <w:spacing w:val="-414"/>
          <w:w w:val="293"/>
          <w:sz w:val="34"/>
        </w:rPr>
        <w:t>-</w:t>
      </w:r>
      <w:r>
        <w:rPr>
          <w:color w:val="010101"/>
          <w:spacing w:val="-15"/>
          <w:w w:val="135"/>
          <w:sz w:val="34"/>
        </w:rPr>
        <w:t>.</w:t>
      </w:r>
      <w:r>
        <w:rPr>
          <w:color w:val="010101"/>
          <w:w w:val="22"/>
          <w:sz w:val="34"/>
        </w:rPr>
        <w:t>1</w:t>
      </w:r>
      <w:r>
        <w:rPr>
          <w:color w:val="010101"/>
          <w:spacing w:val="-30"/>
          <w:sz w:val="34"/>
        </w:rPr>
        <w:t> </w:t>
      </w:r>
      <w:r>
        <w:rPr>
          <w:i/>
          <w:color w:val="010101"/>
          <w:w w:val="98"/>
          <w:sz w:val="21"/>
        </w:rPr>
        <w:t>dr.</w:t>
      </w:r>
    </w:p>
    <w:p>
      <w:pPr>
        <w:tabs>
          <w:tab w:pos="1099" w:val="left" w:leader="none"/>
          <w:tab w:pos="1791" w:val="left" w:leader="none"/>
          <w:tab w:pos="2832" w:val="left" w:leader="none"/>
          <w:tab w:pos="3338" w:val="left" w:leader="none"/>
        </w:tabs>
        <w:spacing w:line="166" w:lineRule="exact" w:before="0"/>
        <w:ind w:left="123" w:right="0" w:firstLine="0"/>
        <w:jc w:val="center"/>
        <w:rPr>
          <w:b/>
          <w:sz w:val="17"/>
        </w:rPr>
      </w:pPr>
      <w:r>
        <w:rPr>
          <w:b/>
          <w:color w:val="010101"/>
          <w:w w:val="109"/>
          <w:sz w:val="12"/>
        </w:rPr>
        <w:t>12</w:t>
      </w:r>
      <w:r>
        <w:rPr>
          <w:b/>
          <w:color w:val="010101"/>
          <w:sz w:val="12"/>
        </w:rPr>
        <w:tab/>
      </w:r>
      <w:r>
        <w:rPr>
          <w:rFonts w:ascii="Arial"/>
          <w:color w:val="010101"/>
          <w:w w:val="109"/>
          <w:position w:val="-4"/>
          <w:sz w:val="11"/>
        </w:rPr>
        <w:t>0</w:t>
      </w:r>
      <w:r>
        <w:rPr>
          <w:rFonts w:ascii="Arial"/>
          <w:color w:val="010101"/>
          <w:position w:val="-4"/>
          <w:sz w:val="11"/>
        </w:rPr>
        <w:tab/>
      </w:r>
      <w:r>
        <w:rPr>
          <w:b/>
          <w:color w:val="010101"/>
          <w:w w:val="113"/>
          <w:sz w:val="12"/>
        </w:rPr>
        <w:t>12</w:t>
      </w:r>
      <w:r>
        <w:rPr>
          <w:b/>
          <w:color w:val="010101"/>
          <w:sz w:val="12"/>
        </w:rPr>
        <w:tab/>
      </w:r>
      <w:r>
        <w:rPr>
          <w:b/>
          <w:color w:val="010101"/>
          <w:w w:val="109"/>
          <w:sz w:val="12"/>
        </w:rPr>
        <w:t>12</w:t>
      </w:r>
      <w:r>
        <w:rPr>
          <w:b/>
          <w:color w:val="010101"/>
          <w:sz w:val="12"/>
        </w:rPr>
        <w:tab/>
      </w:r>
      <w:r>
        <w:rPr>
          <w:rFonts w:ascii="Arial"/>
          <w:b/>
          <w:color w:val="010101"/>
          <w:w w:val="201"/>
          <w:sz w:val="11"/>
        </w:rPr>
        <w:t>n-t</w:t>
      </w:r>
      <w:r>
        <w:rPr>
          <w:rFonts w:ascii="Arial"/>
          <w:b/>
          <w:color w:val="010101"/>
          <w:spacing w:val="-3"/>
          <w:w w:val="201"/>
          <w:sz w:val="11"/>
        </w:rPr>
        <w:t>-</w:t>
      </w:r>
      <w:r>
        <w:rPr>
          <w:b/>
          <w:color w:val="010101"/>
          <w:w w:val="81"/>
          <w:position w:val="-7"/>
          <w:sz w:val="17"/>
        </w:rPr>
        <w:t>12</w:t>
      </w:r>
    </w:p>
    <w:p>
      <w:pPr>
        <w:spacing w:line="352" w:lineRule="exact" w:before="0"/>
        <w:ind w:left="2" w:right="21" w:firstLine="0"/>
        <w:jc w:val="center"/>
        <w:rPr>
          <w:sz w:val="19"/>
        </w:rPr>
      </w:pPr>
      <w:r>
        <w:rPr>
          <w:color w:val="010101"/>
          <w:w w:val="105"/>
          <w:sz w:val="20"/>
        </w:rPr>
        <w:t>The value of  the insurance for the year of  age </w:t>
      </w:r>
      <w:r>
        <w:rPr>
          <w:i/>
          <w:color w:val="010101"/>
          <w:w w:val="105"/>
          <w:sz w:val="19"/>
        </w:rPr>
        <w:t>x  </w:t>
      </w:r>
      <w:r>
        <w:rPr>
          <w:rFonts w:ascii="Arial"/>
          <w:color w:val="010101"/>
          <w:w w:val="105"/>
          <w:sz w:val="31"/>
        </w:rPr>
        <w:t>+ </w:t>
      </w:r>
      <w:r>
        <w:rPr>
          <w:rFonts w:ascii="Arial"/>
          <w:i/>
          <w:color w:val="010101"/>
          <w:w w:val="105"/>
          <w:sz w:val="18"/>
        </w:rPr>
        <w:t>t </w:t>
      </w:r>
      <w:r>
        <w:rPr>
          <w:color w:val="010101"/>
          <w:w w:val="105"/>
          <w:sz w:val="21"/>
        </w:rPr>
        <w:t>to </w:t>
      </w:r>
      <w:r>
        <w:rPr>
          <w:i/>
          <w:color w:val="010101"/>
          <w:w w:val="105"/>
          <w:sz w:val="19"/>
        </w:rPr>
        <w:t>x  </w:t>
      </w:r>
      <w:r>
        <w:rPr>
          <w:rFonts w:ascii="Arial"/>
          <w:color w:val="010101"/>
          <w:w w:val="105"/>
          <w:sz w:val="31"/>
        </w:rPr>
        <w:t>+ </w:t>
      </w:r>
      <w:r>
        <w:rPr>
          <w:rFonts w:ascii="Arial"/>
          <w:i/>
          <w:color w:val="010101"/>
          <w:w w:val="105"/>
          <w:sz w:val="17"/>
        </w:rPr>
        <w:t>t  </w:t>
      </w:r>
      <w:r>
        <w:rPr>
          <w:rFonts w:ascii="Arial"/>
          <w:color w:val="010101"/>
          <w:w w:val="105"/>
          <w:sz w:val="31"/>
        </w:rPr>
        <w:t>+ </w:t>
      </w:r>
      <w:r>
        <w:rPr>
          <w:color w:val="010101"/>
          <w:w w:val="105"/>
          <w:sz w:val="19"/>
        </w:rPr>
        <w:t>I</w:t>
      </w:r>
    </w:p>
    <w:p>
      <w:pPr>
        <w:spacing w:after="0" w:line="352" w:lineRule="exact"/>
        <w:jc w:val="center"/>
        <w:rPr>
          <w:sz w:val="19"/>
        </w:rPr>
        <w:sectPr>
          <w:type w:val="continuous"/>
          <w:pgSz w:w="7200" w:h="11340"/>
          <w:pgMar w:top="1100" w:bottom="0" w:left="660" w:right="560"/>
        </w:sectPr>
      </w:pPr>
    </w:p>
    <w:p>
      <w:pPr>
        <w:tabs>
          <w:tab w:pos="2311" w:val="left" w:leader="none"/>
          <w:tab w:pos="5332" w:val="left" w:leader="none"/>
        </w:tabs>
        <w:spacing w:before="52"/>
        <w:ind w:left="134" w:right="0" w:firstLine="10"/>
        <w:jc w:val="both"/>
        <w:rPr>
          <w:b/>
          <w:sz w:val="21"/>
        </w:rPr>
      </w:pPr>
      <w:r>
        <w:rPr>
          <w:color w:val="010101"/>
          <w:spacing w:val="-13"/>
          <w:sz w:val="19"/>
        </w:rPr>
        <w:t>162</w:t>
        <w:tab/>
      </w:r>
      <w:r>
        <w:rPr>
          <w:b/>
          <w:color w:val="010101"/>
          <w:position w:val="1"/>
          <w:sz w:val="15"/>
        </w:rPr>
        <w:t>SPECIAL </w:t>
      </w:r>
      <w:r>
        <w:rPr>
          <w:b/>
          <w:color w:val="010101"/>
          <w:spacing w:val="31"/>
          <w:position w:val="1"/>
          <w:sz w:val="15"/>
        </w:rPr>
        <w:t> </w:t>
      </w:r>
      <w:r>
        <w:rPr>
          <w:b/>
          <w:color w:val="010101"/>
          <w:position w:val="1"/>
          <w:sz w:val="15"/>
        </w:rPr>
        <w:t>TOPICS</w:t>
        <w:tab/>
      </w:r>
      <w:r>
        <w:rPr>
          <w:b/>
          <w:color w:val="010101"/>
          <w:sz w:val="17"/>
        </w:rPr>
        <w:t>{CH.</w:t>
      </w:r>
      <w:r>
        <w:rPr>
          <w:b/>
          <w:color w:val="010101"/>
          <w:spacing w:val="5"/>
          <w:sz w:val="17"/>
        </w:rPr>
        <w:t> </w:t>
      </w:r>
      <w:r>
        <w:rPr>
          <w:b/>
          <w:color w:val="010101"/>
          <w:sz w:val="21"/>
        </w:rPr>
        <w:t>7</w:t>
      </w:r>
    </w:p>
    <w:p>
      <w:pPr>
        <w:pStyle w:val="BodyText"/>
        <w:spacing w:before="8"/>
        <w:rPr>
          <w:b/>
          <w:sz w:val="17"/>
        </w:rPr>
      </w:pPr>
    </w:p>
    <w:p>
      <w:pPr>
        <w:spacing w:line="234" w:lineRule="exact" w:before="0"/>
        <w:ind w:left="134" w:right="0" w:firstLine="0"/>
        <w:jc w:val="both"/>
        <w:rPr>
          <w:sz w:val="19"/>
        </w:rPr>
      </w:pPr>
      <w:r>
        <w:rPr>
          <w:rFonts w:ascii="Arial"/>
          <w:color w:val="010101"/>
          <w:w w:val="105"/>
          <w:sz w:val="20"/>
        </w:rPr>
        <w:t>is </w:t>
      </w:r>
      <w:r>
        <w:rPr>
          <w:color w:val="010101"/>
          <w:w w:val="105"/>
          <w:sz w:val="19"/>
        </w:rPr>
        <w:t>thcn  obtaincd  </w:t>
      </w:r>
      <w:r>
        <w:rPr>
          <w:color w:val="010101"/>
          <w:w w:val="105"/>
          <w:sz w:val="20"/>
        </w:rPr>
        <w:t>by  </w:t>
      </w:r>
      <w:r>
        <w:rPr>
          <w:color w:val="010101"/>
          <w:w w:val="105"/>
          <w:sz w:val="19"/>
        </w:rPr>
        <w:t>summing </w:t>
      </w:r>
      <w:r>
        <w:rPr>
          <w:i/>
          <w:color w:val="010101"/>
          <w:w w:val="105"/>
          <w:sz w:val="22"/>
        </w:rPr>
        <w:t>I </w:t>
      </w:r>
      <w:r>
        <w:rPr>
          <w:rFonts w:ascii="Arial"/>
          <w:b/>
          <w:color w:val="010101"/>
          <w:w w:val="105"/>
          <w:sz w:val="14"/>
        </w:rPr>
        <w:t>s+i+-..!.  </w:t>
      </w:r>
      <w:r>
        <w:rPr>
          <w:rFonts w:ascii="Arial"/>
          <w:color w:val="010101"/>
          <w:w w:val="105"/>
          <w:sz w:val="18"/>
        </w:rPr>
        <w:t>f</w:t>
      </w:r>
      <w:r>
        <w:rPr>
          <w:color w:val="010101"/>
          <w:w w:val="105"/>
          <w:sz w:val="19"/>
        </w:rPr>
        <w:t>rom  </w:t>
      </w:r>
      <w:r>
        <w:rPr>
          <w:rFonts w:ascii="Arial"/>
          <w:i/>
          <w:color w:val="010101"/>
          <w:w w:val="105"/>
          <w:sz w:val="17"/>
        </w:rPr>
        <w:t>s  </w:t>
      </w:r>
      <w:r>
        <w:rPr>
          <w:color w:val="010101"/>
          <w:w w:val="105"/>
          <w:sz w:val="23"/>
        </w:rPr>
        <w:t>=  </w:t>
      </w:r>
      <w:r>
        <w:rPr>
          <w:color w:val="010101"/>
          <w:w w:val="105"/>
          <w:sz w:val="19"/>
        </w:rPr>
        <w:t>O  </w:t>
      </w:r>
      <w:r>
        <w:rPr>
          <w:color w:val="010101"/>
          <w:w w:val="105"/>
          <w:sz w:val="21"/>
        </w:rPr>
        <w:t>to </w:t>
      </w:r>
      <w:r>
        <w:rPr>
          <w:rFonts w:ascii="Arial"/>
          <w:i/>
          <w:color w:val="010101"/>
          <w:w w:val="105"/>
          <w:sz w:val="17"/>
        </w:rPr>
        <w:t>s  </w:t>
      </w:r>
      <w:r>
        <w:rPr>
          <w:color w:val="010101"/>
          <w:w w:val="105"/>
          <w:sz w:val="23"/>
        </w:rPr>
        <w:t>=  </w:t>
      </w:r>
      <w:r>
        <w:rPr>
          <w:color w:val="010101"/>
          <w:w w:val="105"/>
          <w:sz w:val="19"/>
        </w:rPr>
        <w:t>11,   and</w:t>
      </w:r>
    </w:p>
    <w:p>
      <w:pPr>
        <w:spacing w:line="94" w:lineRule="exact" w:before="0"/>
        <w:ind w:left="716" w:right="131" w:firstLine="0"/>
        <w:jc w:val="center"/>
        <w:rPr>
          <w:rFonts w:ascii="Arial"/>
          <w:b/>
          <w:sz w:val="12"/>
        </w:rPr>
      </w:pPr>
      <w:r>
        <w:rPr>
          <w:rFonts w:ascii="Arial"/>
          <w:b/>
          <w:color w:val="010101"/>
          <w:sz w:val="12"/>
        </w:rPr>
        <w:t>12</w:t>
      </w:r>
    </w:p>
    <w:p>
      <w:pPr>
        <w:spacing w:line="176" w:lineRule="exact" w:before="0"/>
        <w:ind w:left="130" w:right="0" w:firstLine="0"/>
        <w:jc w:val="both"/>
        <w:rPr>
          <w:sz w:val="21"/>
        </w:rPr>
      </w:pPr>
      <w:r>
        <w:rPr>
          <w:color w:val="010101"/>
          <w:w w:val="110"/>
          <w:sz w:val="19"/>
        </w:rPr>
        <w:t>finally  the  value  of  thc  insurancc  for  thc  pcriod  from  age  </w:t>
      </w:r>
      <w:r>
        <w:rPr>
          <w:rFonts w:ascii="Arial"/>
          <w:i/>
          <w:color w:val="010101"/>
          <w:w w:val="110"/>
          <w:sz w:val="17"/>
        </w:rPr>
        <w:t>x </w:t>
      </w:r>
      <w:r>
        <w:rPr>
          <w:color w:val="010101"/>
          <w:w w:val="110"/>
          <w:sz w:val="21"/>
        </w:rPr>
        <w:t>to</w:t>
      </w:r>
    </w:p>
    <w:p>
      <w:pPr>
        <w:spacing w:line="316" w:lineRule="exact" w:before="0"/>
        <w:ind w:left="120" w:right="0" w:firstLine="7"/>
        <w:jc w:val="both"/>
        <w:rPr>
          <w:sz w:val="19"/>
        </w:rPr>
      </w:pPr>
      <w:r>
        <w:rPr>
          <w:i/>
          <w:color w:val="010101"/>
          <w:w w:val="105"/>
          <w:sz w:val="22"/>
        </w:rPr>
        <w:t>x </w:t>
      </w:r>
      <w:r>
        <w:rPr>
          <w:rFonts w:ascii="Arial"/>
          <w:color w:val="010101"/>
          <w:w w:val="115"/>
          <w:sz w:val="32"/>
        </w:rPr>
        <w:t>+ </w:t>
      </w:r>
      <w:r>
        <w:rPr>
          <w:i/>
          <w:color w:val="010101"/>
          <w:w w:val="115"/>
          <w:sz w:val="22"/>
        </w:rPr>
        <w:t>n </w:t>
      </w:r>
      <w:r>
        <w:rPr>
          <w:color w:val="010101"/>
          <w:w w:val="115"/>
          <w:sz w:val="19"/>
        </w:rPr>
        <w:t>is </w:t>
      </w:r>
      <w:r>
        <w:rPr>
          <w:color w:val="010101"/>
          <w:w w:val="115"/>
          <w:sz w:val="20"/>
        </w:rPr>
        <w:t>obtaincd by </w:t>
      </w:r>
      <w:r>
        <w:rPr>
          <w:color w:val="010101"/>
          <w:w w:val="115"/>
          <w:sz w:val="19"/>
        </w:rPr>
        <w:t>a second summation from </w:t>
      </w:r>
      <w:r>
        <w:rPr>
          <w:i/>
          <w:color w:val="010101"/>
          <w:w w:val="105"/>
          <w:sz w:val="21"/>
        </w:rPr>
        <w:t>t </w:t>
      </w:r>
      <w:r>
        <w:rPr>
          <w:color w:val="010101"/>
          <w:w w:val="115"/>
          <w:sz w:val="23"/>
        </w:rPr>
        <w:t>= </w:t>
      </w:r>
      <w:r>
        <w:rPr>
          <w:color w:val="010101"/>
          <w:w w:val="105"/>
          <w:sz w:val="19"/>
        </w:rPr>
        <w:t>O </w:t>
      </w:r>
      <w:r>
        <w:rPr>
          <w:color w:val="010101"/>
          <w:w w:val="115"/>
          <w:sz w:val="21"/>
        </w:rPr>
        <w:t>to </w:t>
      </w:r>
      <w:r>
        <w:rPr>
          <w:i/>
          <w:color w:val="010101"/>
          <w:w w:val="115"/>
          <w:sz w:val="22"/>
        </w:rPr>
        <w:t>n </w:t>
      </w:r>
      <w:r>
        <w:rPr>
          <w:color w:val="010101"/>
          <w:w w:val="205"/>
          <w:sz w:val="22"/>
        </w:rPr>
        <w:t>- </w:t>
      </w:r>
      <w:r>
        <w:rPr>
          <w:color w:val="010101"/>
          <w:w w:val="115"/>
          <w:sz w:val="19"/>
        </w:rPr>
        <w:t>1:</w:t>
      </w:r>
    </w:p>
    <w:p>
      <w:pPr>
        <w:pStyle w:val="BodyText"/>
        <w:rPr>
          <w:sz w:val="9"/>
        </w:rPr>
      </w:pPr>
      <w:r>
        <w:rPr/>
        <w:drawing>
          <wp:anchor distT="0" distB="0" distL="0" distR="0" allowOverlap="1" layoutInCell="1" locked="0" behindDoc="0" simplePos="0" relativeHeight="13384">
            <wp:simplePos x="0" y="0"/>
            <wp:positionH relativeFrom="page">
              <wp:posOffset>1664207</wp:posOffset>
            </wp:positionH>
            <wp:positionV relativeFrom="paragraph">
              <wp:posOffset>90583</wp:posOffset>
            </wp:positionV>
            <wp:extent cx="1344167" cy="292608"/>
            <wp:effectExtent l="0" t="0" r="0" b="0"/>
            <wp:wrapTopAndBottom/>
            <wp:docPr id="327" name="image169.png" descr=""/>
            <wp:cNvGraphicFramePr>
              <a:graphicFrameLocks noChangeAspect="1"/>
            </wp:cNvGraphicFramePr>
            <a:graphic>
              <a:graphicData uri="http://schemas.openxmlformats.org/drawingml/2006/picture">
                <pic:pic>
                  <pic:nvPicPr>
                    <pic:cNvPr id="328" name="image169.png"/>
                    <pic:cNvPicPr/>
                  </pic:nvPicPr>
                  <pic:blipFill>
                    <a:blip r:embed="rId173" cstate="print"/>
                    <a:stretch>
                      <a:fillRect/>
                    </a:stretch>
                  </pic:blipFill>
                  <pic:spPr>
                    <a:xfrm>
                      <a:off x="0" y="0"/>
                      <a:ext cx="1344167" cy="292608"/>
                    </a:xfrm>
                    <a:prstGeom prst="rect">
                      <a:avLst/>
                    </a:prstGeom>
                  </pic:spPr>
                </pic:pic>
              </a:graphicData>
            </a:graphic>
          </wp:anchor>
        </w:drawing>
      </w:r>
    </w:p>
    <w:p>
      <w:pPr>
        <w:spacing w:line="256" w:lineRule="auto" w:before="158"/>
        <w:ind w:left="123" w:right="115" w:hanging="4"/>
        <w:jc w:val="both"/>
        <w:rPr>
          <w:sz w:val="19"/>
        </w:rPr>
      </w:pPr>
      <w:r>
        <w:rPr>
          <w:color w:val="010101"/>
          <w:w w:val="110"/>
          <w:sz w:val="19"/>
        </w:rPr>
        <w:t>This exact formula is not in suitable form for caleulation,  but  it  can be reduced to a usable fonn  by  introducing  thc assumption  of a unifom1distribution  of deaths </w:t>
      </w:r>
      <w:r>
        <w:rPr>
          <w:color w:val="010101"/>
          <w:w w:val="110"/>
          <w:sz w:val="20"/>
        </w:rPr>
        <w:t>in </w:t>
      </w:r>
      <w:r>
        <w:rPr>
          <w:color w:val="010101"/>
          <w:w w:val="110"/>
          <w:sz w:val="19"/>
        </w:rPr>
        <w:t>each year of</w:t>
      </w:r>
      <w:r>
        <w:rPr>
          <w:color w:val="010101"/>
          <w:spacing w:val="46"/>
          <w:w w:val="110"/>
          <w:sz w:val="19"/>
        </w:rPr>
        <w:t> </w:t>
      </w:r>
      <w:r>
        <w:rPr>
          <w:color w:val="010101"/>
          <w:w w:val="110"/>
          <w:sz w:val="19"/>
        </w:rPr>
        <w:t>age.</w:t>
      </w:r>
    </w:p>
    <w:p>
      <w:pPr>
        <w:spacing w:line="203" w:lineRule="exact" w:before="0"/>
        <w:ind w:left="202" w:right="0" w:firstLine="0"/>
        <w:jc w:val="center"/>
        <w:rPr>
          <w:sz w:val="19"/>
        </w:rPr>
      </w:pPr>
      <w:r>
        <w:rPr>
          <w:color w:val="010101"/>
          <w:w w:val="110"/>
          <w:sz w:val="19"/>
        </w:rPr>
        <w:t>We </w:t>
      </w:r>
      <w:r>
        <w:rPr>
          <w:color w:val="010101"/>
          <w:w w:val="110"/>
          <w:sz w:val="21"/>
        </w:rPr>
        <w:t>will </w:t>
      </w:r>
      <w:r>
        <w:rPr>
          <w:color w:val="010101"/>
          <w:w w:val="110"/>
          <w:sz w:val="19"/>
        </w:rPr>
        <w:t>first simplify the definite integral for </w:t>
      </w:r>
      <w:r>
        <w:rPr>
          <w:i/>
          <w:color w:val="010101"/>
          <w:w w:val="110"/>
          <w:sz w:val="21"/>
        </w:rPr>
        <w:t>I </w:t>
      </w:r>
      <w:r>
        <w:rPr>
          <w:color w:val="010101"/>
          <w:w w:val="110"/>
          <w:sz w:val="15"/>
        </w:rPr>
        <w:t>s+c+..!.  </w:t>
      </w:r>
      <w:r>
        <w:rPr>
          <w:color w:val="010101"/>
          <w:w w:val="110"/>
          <w:sz w:val="19"/>
        </w:rPr>
        <w:t>on this  as-</w:t>
      </w:r>
    </w:p>
    <w:p>
      <w:pPr>
        <w:spacing w:line="109" w:lineRule="exact" w:before="0"/>
        <w:ind w:left="0" w:right="1089" w:firstLine="0"/>
        <w:jc w:val="right"/>
        <w:rPr>
          <w:rFonts w:ascii="Arial"/>
          <w:b/>
          <w:sz w:val="12"/>
        </w:rPr>
      </w:pPr>
      <w:r>
        <w:rPr>
          <w:rFonts w:ascii="Arial"/>
          <w:b/>
          <w:color w:val="010101"/>
          <w:sz w:val="12"/>
        </w:rPr>
        <w:t>12</w:t>
      </w:r>
    </w:p>
    <w:p>
      <w:pPr>
        <w:spacing w:line="214" w:lineRule="exact" w:before="0"/>
        <w:ind w:left="123" w:right="0" w:firstLine="0"/>
        <w:jc w:val="left"/>
        <w:rPr>
          <w:sz w:val="20"/>
        </w:rPr>
      </w:pPr>
      <w:r>
        <w:rPr>
          <w:color w:val="010101"/>
          <w:w w:val="110"/>
          <w:sz w:val="21"/>
        </w:rPr>
        <w:t>sumption. </w:t>
      </w:r>
      <w:r>
        <w:rPr>
          <w:color w:val="010101"/>
          <w:w w:val="110"/>
          <w:sz w:val="19"/>
        </w:rPr>
        <w:t>From  (1.24b)  we can </w:t>
      </w:r>
      <w:r>
        <w:rPr>
          <w:color w:val="010101"/>
          <w:w w:val="110"/>
          <w:sz w:val="20"/>
        </w:rPr>
        <w:t>write</w:t>
      </w:r>
    </w:p>
    <w:p>
      <w:pPr>
        <w:pStyle w:val="BodyText"/>
        <w:spacing w:before="2"/>
        <w:rPr>
          <w:sz w:val="15"/>
        </w:rPr>
      </w:pPr>
      <w:r>
        <w:rPr/>
        <w:drawing>
          <wp:anchor distT="0" distB="0" distL="0" distR="0" allowOverlap="1" layoutInCell="1" locked="0" behindDoc="0" simplePos="0" relativeHeight="13408">
            <wp:simplePos x="0" y="0"/>
            <wp:positionH relativeFrom="page">
              <wp:posOffset>1664207</wp:posOffset>
            </wp:positionH>
            <wp:positionV relativeFrom="paragraph">
              <wp:posOffset>135759</wp:posOffset>
            </wp:positionV>
            <wp:extent cx="1335024" cy="164591"/>
            <wp:effectExtent l="0" t="0" r="0" b="0"/>
            <wp:wrapTopAndBottom/>
            <wp:docPr id="329" name="image170.png" descr=""/>
            <wp:cNvGraphicFramePr>
              <a:graphicFrameLocks noChangeAspect="1"/>
            </wp:cNvGraphicFramePr>
            <a:graphic>
              <a:graphicData uri="http://schemas.openxmlformats.org/drawingml/2006/picture">
                <pic:pic>
                  <pic:nvPicPr>
                    <pic:cNvPr id="330" name="image170.png"/>
                    <pic:cNvPicPr/>
                  </pic:nvPicPr>
                  <pic:blipFill>
                    <a:blip r:embed="rId174" cstate="print"/>
                    <a:stretch>
                      <a:fillRect/>
                    </a:stretch>
                  </pic:blipFill>
                  <pic:spPr>
                    <a:xfrm>
                      <a:off x="0" y="0"/>
                      <a:ext cx="1335024" cy="164591"/>
                    </a:xfrm>
                    <a:prstGeom prst="rect">
                      <a:avLst/>
                    </a:prstGeom>
                  </pic:spPr>
                </pic:pic>
              </a:graphicData>
            </a:graphic>
          </wp:anchor>
        </w:drawing>
      </w:r>
    </w:p>
    <w:p>
      <w:pPr>
        <w:spacing w:before="99" w:after="129"/>
        <w:ind w:left="116" w:right="0" w:firstLine="0"/>
        <w:jc w:val="left"/>
        <w:rPr>
          <w:sz w:val="19"/>
        </w:rPr>
      </w:pPr>
      <w:r>
        <w:rPr>
          <w:color w:val="010101"/>
          <w:w w:val="120"/>
          <w:sz w:val="19"/>
        </w:rPr>
        <w:t>so that</w:t>
      </w:r>
    </w:p>
    <w:p>
      <w:pPr>
        <w:pStyle w:val="BodyText"/>
        <w:ind w:left="1321"/>
      </w:pPr>
      <w:r>
        <w:rPr/>
        <w:drawing>
          <wp:inline distT="0" distB="0" distL="0" distR="0">
            <wp:extent cx="2112264" cy="402336"/>
            <wp:effectExtent l="0" t="0" r="0" b="0"/>
            <wp:docPr id="331" name="image171.png" descr=""/>
            <wp:cNvGraphicFramePr>
              <a:graphicFrameLocks noChangeAspect="1"/>
            </wp:cNvGraphicFramePr>
            <a:graphic>
              <a:graphicData uri="http://schemas.openxmlformats.org/drawingml/2006/picture">
                <pic:pic>
                  <pic:nvPicPr>
                    <pic:cNvPr id="332" name="image171.png"/>
                    <pic:cNvPicPr/>
                  </pic:nvPicPr>
                  <pic:blipFill>
                    <a:blip r:embed="rId175" cstate="print"/>
                    <a:stretch>
                      <a:fillRect/>
                    </a:stretch>
                  </pic:blipFill>
                  <pic:spPr>
                    <a:xfrm>
                      <a:off x="0" y="0"/>
                      <a:ext cx="2112264" cy="402336"/>
                    </a:xfrm>
                    <a:prstGeom prst="rect">
                      <a:avLst/>
                    </a:prstGeom>
                  </pic:spPr>
                </pic:pic>
              </a:graphicData>
            </a:graphic>
          </wp:inline>
        </w:drawing>
      </w:r>
      <w:r>
        <w:rPr/>
      </w:r>
    </w:p>
    <w:p>
      <w:pPr>
        <w:spacing w:before="122"/>
        <w:ind w:left="116" w:right="0" w:firstLine="0"/>
        <w:jc w:val="left"/>
        <w:rPr>
          <w:sz w:val="19"/>
        </w:rPr>
      </w:pPr>
      <w:r>
        <w:rPr/>
        <w:drawing>
          <wp:anchor distT="0" distB="0" distL="0" distR="0" allowOverlap="1" layoutInCell="1" locked="0" behindDoc="0" simplePos="0" relativeHeight="13432">
            <wp:simplePos x="0" y="0"/>
            <wp:positionH relativeFrom="page">
              <wp:posOffset>886967</wp:posOffset>
            </wp:positionH>
            <wp:positionV relativeFrom="paragraph">
              <wp:posOffset>301014</wp:posOffset>
            </wp:positionV>
            <wp:extent cx="2240280" cy="466344"/>
            <wp:effectExtent l="0" t="0" r="0" b="0"/>
            <wp:wrapTopAndBottom/>
            <wp:docPr id="333" name="image172.png" descr=""/>
            <wp:cNvGraphicFramePr>
              <a:graphicFrameLocks noChangeAspect="1"/>
            </wp:cNvGraphicFramePr>
            <a:graphic>
              <a:graphicData uri="http://schemas.openxmlformats.org/drawingml/2006/picture">
                <pic:pic>
                  <pic:nvPicPr>
                    <pic:cNvPr id="334" name="image172.png"/>
                    <pic:cNvPicPr/>
                  </pic:nvPicPr>
                  <pic:blipFill>
                    <a:blip r:embed="rId176" cstate="print"/>
                    <a:stretch>
                      <a:fillRect/>
                    </a:stretch>
                  </pic:blipFill>
                  <pic:spPr>
                    <a:xfrm>
                      <a:off x="0" y="0"/>
                      <a:ext cx="2240280" cy="466344"/>
                    </a:xfrm>
                    <a:prstGeom prst="rect">
                      <a:avLst/>
                    </a:prstGeom>
                  </pic:spPr>
                </pic:pic>
              </a:graphicData>
            </a:graphic>
          </wp:anchor>
        </w:drawing>
      </w:r>
      <w:r>
        <w:rPr/>
        <w:drawing>
          <wp:anchor distT="0" distB="0" distL="0" distR="0" allowOverlap="1" layoutInCell="1" locked="0" behindDoc="0" simplePos="0" relativeHeight="13456">
            <wp:simplePos x="0" y="0"/>
            <wp:positionH relativeFrom="page">
              <wp:posOffset>3328415</wp:posOffset>
            </wp:positionH>
            <wp:positionV relativeFrom="paragraph">
              <wp:posOffset>392454</wp:posOffset>
            </wp:positionV>
            <wp:extent cx="429767" cy="356615"/>
            <wp:effectExtent l="0" t="0" r="0" b="0"/>
            <wp:wrapTopAndBottom/>
            <wp:docPr id="335" name="image173.png" descr=""/>
            <wp:cNvGraphicFramePr>
              <a:graphicFrameLocks noChangeAspect="1"/>
            </wp:cNvGraphicFramePr>
            <a:graphic>
              <a:graphicData uri="http://schemas.openxmlformats.org/drawingml/2006/picture">
                <pic:pic>
                  <pic:nvPicPr>
                    <pic:cNvPr id="336" name="image173.png"/>
                    <pic:cNvPicPr/>
                  </pic:nvPicPr>
                  <pic:blipFill>
                    <a:blip r:embed="rId177" cstate="print"/>
                    <a:stretch>
                      <a:fillRect/>
                    </a:stretch>
                  </pic:blipFill>
                  <pic:spPr>
                    <a:xfrm>
                      <a:off x="0" y="0"/>
                      <a:ext cx="429767" cy="356615"/>
                    </a:xfrm>
                    <a:prstGeom prst="rect">
                      <a:avLst/>
                    </a:prstGeom>
                  </pic:spPr>
                </pic:pic>
              </a:graphicData>
            </a:graphic>
          </wp:anchor>
        </w:drawing>
      </w:r>
      <w:r>
        <w:rPr>
          <w:color w:val="010101"/>
          <w:w w:val="105"/>
          <w:sz w:val="19"/>
        </w:rPr>
        <w:t>Xow</w:t>
      </w:r>
    </w:p>
    <w:p>
      <w:pPr>
        <w:spacing w:after="0"/>
        <w:jc w:val="left"/>
        <w:rPr>
          <w:sz w:val="19"/>
        </w:rPr>
        <w:sectPr>
          <w:pgSz w:w="7200" w:h="11340"/>
          <w:pgMar w:top="500" w:bottom="280" w:left="680" w:right="560"/>
        </w:sectPr>
      </w:pPr>
    </w:p>
    <w:p>
      <w:pPr>
        <w:pStyle w:val="BodyText"/>
        <w:rPr>
          <w:sz w:val="18"/>
        </w:rPr>
      </w:pPr>
    </w:p>
    <w:p>
      <w:pPr>
        <w:pStyle w:val="BodyText"/>
        <w:rPr>
          <w:sz w:val="18"/>
        </w:rPr>
      </w:pPr>
    </w:p>
    <w:p>
      <w:pPr>
        <w:spacing w:before="161"/>
        <w:ind w:left="116" w:right="-4" w:firstLine="0"/>
        <w:jc w:val="left"/>
        <w:rPr>
          <w:sz w:val="19"/>
        </w:rPr>
      </w:pPr>
      <w:r>
        <w:rPr>
          <w:color w:val="010101"/>
          <w:w w:val="115"/>
          <w:sz w:val="19"/>
        </w:rPr>
        <w:t>Making this substitution, and with</w:t>
      </w:r>
    </w:p>
    <w:p>
      <w:pPr>
        <w:spacing w:before="168"/>
        <w:ind w:left="116" w:right="0" w:firstLine="0"/>
        <w:jc w:val="left"/>
        <w:rPr>
          <w:sz w:val="14"/>
        </w:rPr>
      </w:pPr>
      <w:r>
        <w:rPr/>
        <w:br w:type="column"/>
      </w:r>
      <w:r>
        <w:rPr>
          <w:color w:val="010101"/>
          <w:w w:val="110"/>
          <w:sz w:val="19"/>
        </w:rPr>
        <w:t>where d</w:t>
      </w:r>
      <w:r>
        <w:rPr>
          <w:color w:val="010101"/>
          <w:w w:val="110"/>
          <w:position w:val="9"/>
          <w:sz w:val="14"/>
        </w:rPr>
        <w:t>02</w:t>
      </w:r>
    </w:p>
    <w:p>
      <w:pPr>
        <w:spacing w:line="112" w:lineRule="exact" w:before="65"/>
        <w:ind w:left="0" w:right="300" w:firstLine="0"/>
        <w:jc w:val="right"/>
        <w:rPr>
          <w:b/>
          <w:sz w:val="12"/>
        </w:rPr>
      </w:pPr>
      <w:r>
        <w:rPr/>
        <w:br w:type="column"/>
      </w:r>
      <w:r>
        <w:rPr>
          <w:b/>
          <w:color w:val="010101"/>
          <w:w w:val="120"/>
          <w:sz w:val="12"/>
        </w:rPr>
        <w:t>1</w:t>
      </w:r>
    </w:p>
    <w:p>
      <w:pPr>
        <w:spacing w:line="262" w:lineRule="exact" w:before="0"/>
        <w:ind w:left="67" w:right="-19" w:firstLine="0"/>
        <w:jc w:val="left"/>
        <w:rPr>
          <w:sz w:val="18"/>
        </w:rPr>
      </w:pPr>
      <w:r>
        <w:rPr/>
        <w:pict>
          <v:shape style="position:absolute;margin-left:251.659195pt;margin-top:4.529835pt;width:2.4pt;height:7.5pt;mso-position-horizontal-relative:page;mso-position-vertical-relative:paragraph;z-index:-722584" type="#_x0000_t202" filled="false" stroked="false">
            <v:textbox inset="0,0,0,0">
              <w:txbxContent>
                <w:p>
                  <w:pPr>
                    <w:spacing w:line="150" w:lineRule="exact" w:before="0"/>
                    <w:ind w:left="0" w:right="0" w:firstLine="0"/>
                    <w:jc w:val="left"/>
                    <w:rPr>
                      <w:rFonts w:ascii="Arial"/>
                      <w:sz w:val="15"/>
                    </w:rPr>
                  </w:pPr>
                  <w:r>
                    <w:rPr>
                      <w:rFonts w:ascii="Arial"/>
                      <w:color w:val="010101"/>
                      <w:w w:val="53"/>
                      <w:sz w:val="15"/>
                    </w:rPr>
                    <w:t>&gt;</w:t>
                  </w:r>
                </w:p>
              </w:txbxContent>
            </v:textbox>
            <w10:wrap type="none"/>
          </v:shape>
        </w:pict>
      </w:r>
      <w:r>
        <w:rPr>
          <w:color w:val="010101"/>
          <w:w w:val="110"/>
          <w:sz w:val="23"/>
        </w:rPr>
        <w:t>= </w:t>
      </w:r>
      <w:r>
        <w:rPr>
          <w:color w:val="010101"/>
          <w:w w:val="110"/>
          <w:sz w:val="19"/>
        </w:rPr>
        <w:t>12(1 </w:t>
      </w:r>
      <w:r>
        <w:rPr>
          <w:color w:val="010101"/>
          <w:w w:val="270"/>
          <w:sz w:val="19"/>
        </w:rPr>
        <w:t>-</w:t>
      </w:r>
      <w:r>
        <w:rPr>
          <w:color w:val="010101"/>
          <w:spacing w:val="-55"/>
          <w:w w:val="270"/>
          <w:sz w:val="19"/>
        </w:rPr>
        <w:t> </w:t>
      </w:r>
      <w:r>
        <w:rPr>
          <w:color w:val="010101"/>
          <w:spacing w:val="3"/>
          <w:w w:val="110"/>
          <w:sz w:val="19"/>
        </w:rPr>
        <w:t>v</w:t>
      </w:r>
      <w:r>
        <w:rPr>
          <w:color w:val="010101"/>
          <w:spacing w:val="3"/>
          <w:w w:val="110"/>
          <w:position w:val="7"/>
          <w:sz w:val="18"/>
        </w:rPr>
        <w:t>12</w:t>
      </w:r>
      <w:r>
        <w:rPr>
          <w:color w:val="010101"/>
          <w:spacing w:val="3"/>
          <w:w w:val="110"/>
          <w:sz w:val="18"/>
        </w:rPr>
        <w:t>).</w:t>
      </w:r>
    </w:p>
    <w:p>
      <w:pPr>
        <w:spacing w:after="0" w:line="262" w:lineRule="exact"/>
        <w:jc w:val="left"/>
        <w:rPr>
          <w:sz w:val="18"/>
        </w:rPr>
        <w:sectPr>
          <w:type w:val="continuous"/>
          <w:pgSz w:w="7200" w:h="11340"/>
          <w:pgMar w:top="1100" w:bottom="0" w:left="680" w:right="560"/>
          <w:cols w:num="3" w:equalWidth="0">
            <w:col w:w="3125" w:space="269"/>
            <w:col w:w="1007" w:space="40"/>
            <w:col w:w="1519"/>
          </w:cols>
        </w:sectPr>
      </w:pPr>
    </w:p>
    <w:p>
      <w:pPr>
        <w:pStyle w:val="BodyText"/>
        <w:rPr>
          <w:sz w:val="18"/>
        </w:rPr>
      </w:pPr>
    </w:p>
    <w:p>
      <w:pPr>
        <w:pStyle w:val="BodyText"/>
        <w:rPr>
          <w:sz w:val="18"/>
        </w:rPr>
      </w:pPr>
    </w:p>
    <w:p>
      <w:pPr>
        <w:pStyle w:val="BodyText"/>
        <w:rPr>
          <w:sz w:val="18"/>
        </w:rPr>
      </w:pPr>
    </w:p>
    <w:p>
      <w:pPr>
        <w:pStyle w:val="BodyText"/>
        <w:spacing w:before="5"/>
        <w:rPr>
          <w:sz w:val="16"/>
        </w:rPr>
      </w:pPr>
    </w:p>
    <w:p>
      <w:pPr>
        <w:spacing w:before="0"/>
        <w:ind w:left="105" w:right="0" w:firstLine="0"/>
        <w:jc w:val="left"/>
        <w:rPr>
          <w:sz w:val="19"/>
        </w:rPr>
      </w:pPr>
      <w:r>
        <w:rPr>
          <w:color w:val="010101"/>
          <w:w w:val="105"/>
          <w:sz w:val="19"/>
        </w:rPr>
        <w:t>wc have</w:t>
      </w:r>
    </w:p>
    <w:p>
      <w:pPr>
        <w:tabs>
          <w:tab w:pos="1120" w:val="left" w:leader="none"/>
        </w:tabs>
        <w:spacing w:line="303" w:lineRule="exact" w:before="60"/>
        <w:ind w:left="145" w:right="0" w:firstLine="0"/>
        <w:jc w:val="left"/>
        <w:rPr>
          <w:b/>
          <w:i/>
          <w:sz w:val="30"/>
        </w:rPr>
      </w:pPr>
      <w:r>
        <w:rPr/>
        <w:br w:type="column"/>
      </w:r>
      <w:r>
        <w:rPr>
          <w:b/>
          <w:color w:val="010101"/>
          <w:w w:val="160"/>
          <w:sz w:val="11"/>
        </w:rPr>
        <w:t>.</w:t>
      </w:r>
      <w:r>
        <w:rPr>
          <w:b/>
          <w:color w:val="2A2A2A"/>
          <w:w w:val="160"/>
          <w:sz w:val="11"/>
        </w:rPr>
        <w:t>.</w:t>
      </w:r>
      <w:r>
        <w:rPr>
          <w:b/>
          <w:color w:val="010101"/>
          <w:w w:val="160"/>
          <w:sz w:val="11"/>
        </w:rPr>
        <w:t>t(U)</w:t>
        <w:tab/>
      </w:r>
      <w:r>
        <w:rPr>
          <w:color w:val="010101"/>
          <w:w w:val="230"/>
          <w:sz w:val="11"/>
        </w:rPr>
        <w:t>}</w:t>
      </w:r>
      <w:r>
        <w:rPr>
          <w:color w:val="010101"/>
          <w:spacing w:val="-41"/>
          <w:w w:val="230"/>
          <w:sz w:val="11"/>
        </w:rPr>
        <w:t> </w:t>
      </w:r>
      <w:r>
        <w:rPr>
          <w:color w:val="010101"/>
          <w:w w:val="230"/>
          <w:sz w:val="11"/>
        </w:rPr>
        <w:t>-</w:t>
      </w:r>
      <w:r>
        <w:rPr>
          <w:color w:val="010101"/>
          <w:spacing w:val="-49"/>
          <w:w w:val="230"/>
          <w:sz w:val="11"/>
        </w:rPr>
        <w:t> </w:t>
      </w:r>
      <w:r>
        <w:rPr>
          <w:b/>
          <w:i/>
          <w:color w:val="010101"/>
          <w:spacing w:val="2"/>
          <w:w w:val="95"/>
          <w:sz w:val="30"/>
        </w:rPr>
        <w:t>,,,-,_</w:t>
      </w:r>
      <w:r>
        <w:rPr>
          <w:b/>
          <w:i/>
          <w:color w:val="010101"/>
          <w:spacing w:val="2"/>
          <w:w w:val="95"/>
          <w:sz w:val="30"/>
          <w:u w:val="thick" w:color="000000"/>
        </w:rPr>
        <w:t>'i</w:t>
      </w:r>
      <w:r>
        <w:rPr>
          <w:b/>
          <w:i/>
          <w:color w:val="010101"/>
          <w:spacing w:val="2"/>
          <w:w w:val="95"/>
          <w:sz w:val="30"/>
        </w:rPr>
        <w:t>i</w:t>
      </w:r>
    </w:p>
    <w:p>
      <w:pPr>
        <w:tabs>
          <w:tab w:pos="1425" w:val="left" w:leader="none"/>
        </w:tabs>
        <w:spacing w:line="292" w:lineRule="exact" w:before="0"/>
        <w:ind w:left="105" w:right="0" w:firstLine="0"/>
        <w:jc w:val="left"/>
        <w:rPr>
          <w:rFonts w:ascii="Arial"/>
          <w:sz w:val="12"/>
        </w:rPr>
      </w:pPr>
      <w:r>
        <w:rPr>
          <w:i/>
          <w:color w:val="010101"/>
          <w:w w:val="88"/>
          <w:sz w:val="22"/>
        </w:rPr>
        <w:t>a</w:t>
      </w:r>
      <w:r>
        <w:rPr>
          <w:i/>
          <w:color w:val="010101"/>
          <w:spacing w:val="13"/>
          <w:sz w:val="22"/>
        </w:rPr>
        <w:t> </w:t>
      </w:r>
      <w:r>
        <w:rPr>
          <w:color w:val="010101"/>
          <w:w w:val="104"/>
          <w:sz w:val="29"/>
        </w:rPr>
        <w:t>rf-</w:t>
      </w:r>
      <w:r>
        <w:rPr>
          <w:color w:val="010101"/>
          <w:spacing w:val="-22"/>
          <w:w w:val="104"/>
          <w:sz w:val="29"/>
        </w:rPr>
        <w:t>.</w:t>
      </w:r>
      <w:r>
        <w:rPr>
          <w:color w:val="010101"/>
          <w:w w:val="57"/>
          <w:sz w:val="29"/>
          <w:u w:val="thick" w:color="000000"/>
        </w:rPr>
        <w:t>i</w:t>
      </w:r>
      <w:r>
        <w:rPr>
          <w:color w:val="010101"/>
          <w:spacing w:val="2"/>
          <w:w w:val="57"/>
          <w:sz w:val="29"/>
          <w:u w:val="thick" w:color="000000"/>
        </w:rPr>
        <w:t>2</w:t>
      </w:r>
      <w:r>
        <w:rPr>
          <w:color w:val="010101"/>
          <w:w w:val="26"/>
          <w:sz w:val="29"/>
        </w:rPr>
        <w:t>1</w:t>
      </w:r>
      <w:r>
        <w:rPr>
          <w:color w:val="010101"/>
          <w:spacing w:val="18"/>
          <w:sz w:val="29"/>
        </w:rPr>
        <w:t> </w:t>
      </w:r>
      <w:r>
        <w:rPr>
          <w:color w:val="010101"/>
          <w:w w:val="86"/>
          <w:sz w:val="26"/>
        </w:rPr>
        <w:t>=</w:t>
      </w:r>
      <w:r>
        <w:rPr>
          <w:color w:val="010101"/>
          <w:sz w:val="26"/>
        </w:rPr>
        <w:tab/>
      </w:r>
      <w:r>
        <w:rPr>
          <w:rFonts w:ascii="Arial"/>
          <w:color w:val="010101"/>
          <w:w w:val="139"/>
          <w:sz w:val="12"/>
        </w:rPr>
        <w:t>d'</w:t>
      </w:r>
      <w:r>
        <w:rPr>
          <w:rFonts w:ascii="Arial"/>
          <w:color w:val="010101"/>
          <w:w w:val="139"/>
          <w:sz w:val="12"/>
        </w:rPr>
        <w:t>(</w:t>
      </w:r>
      <w:r>
        <w:rPr>
          <w:rFonts w:ascii="Arial"/>
          <w:color w:val="010101"/>
          <w:w w:val="139"/>
          <w:sz w:val="12"/>
        </w:rPr>
        <w:t>l2</w:t>
      </w:r>
      <w:r>
        <w:rPr>
          <w:rFonts w:ascii="Arial"/>
          <w:color w:val="010101"/>
          <w:w w:val="139"/>
          <w:sz w:val="12"/>
        </w:rPr>
        <w:t>)</w:t>
      </w:r>
    </w:p>
    <w:p>
      <w:pPr>
        <w:spacing w:after="0" w:line="292" w:lineRule="exact"/>
        <w:jc w:val="left"/>
        <w:rPr>
          <w:rFonts w:ascii="Arial"/>
          <w:sz w:val="12"/>
        </w:rPr>
        <w:sectPr>
          <w:type w:val="continuous"/>
          <w:pgSz w:w="7200" w:h="11340"/>
          <w:pgMar w:top="1100" w:bottom="0" w:left="680" w:right="560"/>
          <w:cols w:num="2" w:equalWidth="0">
            <w:col w:w="791" w:space="1010"/>
            <w:col w:w="4159"/>
          </w:cols>
        </w:sectPr>
      </w:pPr>
    </w:p>
    <w:p>
      <w:pPr>
        <w:pStyle w:val="BodyText"/>
        <w:spacing w:before="9"/>
        <w:rPr>
          <w:rFonts w:ascii="Arial"/>
          <w:sz w:val="11"/>
        </w:rPr>
      </w:pPr>
    </w:p>
    <w:p>
      <w:pPr>
        <w:pStyle w:val="BodyText"/>
        <w:ind w:left="875"/>
        <w:rPr>
          <w:rFonts w:ascii="Arial"/>
        </w:rPr>
      </w:pPr>
      <w:r>
        <w:rPr>
          <w:rFonts w:ascii="Arial"/>
        </w:rPr>
        <w:drawing>
          <wp:inline distT="0" distB="0" distL="0" distR="0">
            <wp:extent cx="2670048" cy="310896"/>
            <wp:effectExtent l="0" t="0" r="0" b="0"/>
            <wp:docPr id="337" name="image174.png" descr=""/>
            <wp:cNvGraphicFramePr>
              <a:graphicFrameLocks noChangeAspect="1"/>
            </wp:cNvGraphicFramePr>
            <a:graphic>
              <a:graphicData uri="http://schemas.openxmlformats.org/drawingml/2006/picture">
                <pic:pic>
                  <pic:nvPicPr>
                    <pic:cNvPr id="338" name="image174.png"/>
                    <pic:cNvPicPr/>
                  </pic:nvPicPr>
                  <pic:blipFill>
                    <a:blip r:embed="rId178" cstate="print"/>
                    <a:stretch>
                      <a:fillRect/>
                    </a:stretch>
                  </pic:blipFill>
                  <pic:spPr>
                    <a:xfrm>
                      <a:off x="0" y="0"/>
                      <a:ext cx="2670048" cy="310896"/>
                    </a:xfrm>
                    <a:prstGeom prst="rect">
                      <a:avLst/>
                    </a:prstGeom>
                  </pic:spPr>
                </pic:pic>
              </a:graphicData>
            </a:graphic>
          </wp:inline>
        </w:drawing>
      </w:r>
      <w:r>
        <w:rPr>
          <w:rFonts w:ascii="Arial"/>
        </w:rPr>
      </w:r>
    </w:p>
    <w:p>
      <w:pPr>
        <w:pStyle w:val="BodyText"/>
        <w:spacing w:before="2"/>
        <w:rPr>
          <w:rFonts w:ascii="Arial"/>
          <w:sz w:val="5"/>
        </w:rPr>
      </w:pPr>
    </w:p>
    <w:p>
      <w:pPr>
        <w:spacing w:before="73"/>
        <w:ind w:left="116" w:right="0" w:hanging="15"/>
        <w:jc w:val="left"/>
        <w:rPr>
          <w:sz w:val="19"/>
        </w:rPr>
      </w:pPr>
      <w:r>
        <w:rPr>
          <w:color w:val="010101"/>
          <w:w w:val="110"/>
          <w:sz w:val="19"/>
        </w:rPr>
        <w:t>At  this  point,  the  introduction  of  a  new  rate  of  interest  </w:t>
      </w:r>
      <w:r>
        <w:rPr>
          <w:color w:val="010101"/>
          <w:w w:val="110"/>
          <w:sz w:val="21"/>
        </w:rPr>
        <w:t>i" </w:t>
      </w:r>
      <w:r>
        <w:rPr>
          <w:color w:val="010101"/>
          <w:w w:val="110"/>
          <w:sz w:val="19"/>
        </w:rPr>
        <w:t>such</w:t>
      </w:r>
    </w:p>
    <w:p>
      <w:pPr>
        <w:spacing w:line="240" w:lineRule="exact" w:before="99"/>
        <w:ind w:left="116" w:right="0" w:firstLine="0"/>
        <w:jc w:val="left"/>
        <w:rPr>
          <w:sz w:val="21"/>
        </w:rPr>
      </w:pPr>
      <w:r>
        <w:rPr/>
        <w:pict>
          <v:shape style="position:absolute;margin-left:90.044853pt;margin-top:3.226135pt;width:3.6pt;height:6.5pt;mso-position-horizontal-relative:page;mso-position-vertical-relative:paragraph;z-index:-722560" type="#_x0000_t202" filled="false" stroked="false">
            <v:textbox inset="0,0,0,0">
              <w:txbxContent>
                <w:p>
                  <w:pPr>
                    <w:spacing w:line="130" w:lineRule="exact" w:before="0"/>
                    <w:ind w:left="0" w:right="0" w:firstLine="0"/>
                    <w:jc w:val="left"/>
                    <w:rPr>
                      <w:rFonts w:ascii="Arial"/>
                      <w:b/>
                      <w:i/>
                      <w:sz w:val="13"/>
                    </w:rPr>
                  </w:pPr>
                  <w:r>
                    <w:rPr>
                      <w:rFonts w:ascii="Arial"/>
                      <w:b/>
                      <w:i/>
                      <w:color w:val="010101"/>
                      <w:w w:val="82"/>
                      <w:sz w:val="13"/>
                    </w:rPr>
                    <w:t>V</w:t>
                  </w:r>
                </w:p>
              </w:txbxContent>
            </v:textbox>
            <w10:wrap type="none"/>
          </v:shape>
        </w:pict>
      </w:r>
      <w:r>
        <w:rPr>
          <w:color w:val="010101"/>
          <w:w w:val="109"/>
          <w:sz w:val="21"/>
        </w:rPr>
        <w:t>that</w:t>
      </w:r>
      <w:r>
        <w:rPr>
          <w:color w:val="010101"/>
          <w:sz w:val="21"/>
        </w:rPr>
        <w:t> </w:t>
      </w:r>
      <w:r>
        <w:rPr>
          <w:color w:val="010101"/>
          <w:spacing w:val="1"/>
          <w:sz w:val="21"/>
        </w:rPr>
        <w:t> </w:t>
      </w:r>
      <w:r>
        <w:rPr>
          <w:i/>
          <w:color w:val="010101"/>
          <w:spacing w:val="5"/>
          <w:w w:val="82"/>
          <w:sz w:val="21"/>
        </w:rPr>
        <w:t>v</w:t>
      </w:r>
      <w:r>
        <w:rPr>
          <w:i/>
          <w:color w:val="010101"/>
          <w:w w:val="113"/>
          <w:sz w:val="21"/>
        </w:rPr>
        <w:t>"</w:t>
      </w:r>
      <w:r>
        <w:rPr>
          <w:i/>
          <w:color w:val="010101"/>
          <w:sz w:val="21"/>
        </w:rPr>
        <w:t> </w:t>
      </w:r>
      <w:r>
        <w:rPr>
          <w:i/>
          <w:color w:val="010101"/>
          <w:spacing w:val="6"/>
          <w:sz w:val="21"/>
        </w:rPr>
        <w:t> </w:t>
      </w:r>
      <w:r>
        <w:rPr>
          <w:color w:val="010101"/>
          <w:w w:val="107"/>
          <w:sz w:val="23"/>
        </w:rPr>
        <w:t>=</w:t>
      </w:r>
      <w:r>
        <w:rPr>
          <w:color w:val="010101"/>
          <w:sz w:val="23"/>
        </w:rPr>
        <w:t> </w:t>
      </w:r>
      <w:r>
        <w:rPr>
          <w:color w:val="010101"/>
          <w:spacing w:val="-1"/>
          <w:sz w:val="23"/>
        </w:rPr>
        <w:t> </w:t>
      </w:r>
      <w:r>
        <w:rPr>
          <w:color w:val="010101"/>
          <w:spacing w:val="4"/>
          <w:w w:val="404"/>
          <w:sz w:val="23"/>
        </w:rPr>
        <w:t>,</w:t>
      </w:r>
      <w:r>
        <w:rPr>
          <w:color w:val="010101"/>
          <w:w w:val="91"/>
          <w:sz w:val="21"/>
        </w:rPr>
        <w:t>will</w:t>
      </w:r>
      <w:r>
        <w:rPr>
          <w:color w:val="010101"/>
          <w:sz w:val="21"/>
        </w:rPr>
        <w:t> </w:t>
      </w:r>
      <w:r>
        <w:rPr>
          <w:color w:val="010101"/>
          <w:spacing w:val="3"/>
          <w:sz w:val="21"/>
        </w:rPr>
        <w:t> </w:t>
      </w:r>
      <w:r>
        <w:rPr>
          <w:color w:val="010101"/>
          <w:w w:val="105"/>
          <w:sz w:val="19"/>
        </w:rPr>
        <w:t>simplify</w:t>
      </w:r>
      <w:r>
        <w:rPr>
          <w:color w:val="010101"/>
          <w:sz w:val="19"/>
        </w:rPr>
        <w:t> </w:t>
      </w:r>
      <w:r>
        <w:rPr>
          <w:color w:val="010101"/>
          <w:spacing w:val="12"/>
          <w:sz w:val="19"/>
        </w:rPr>
        <w:t> </w:t>
      </w:r>
      <w:r>
        <w:rPr>
          <w:color w:val="010101"/>
          <w:w w:val="118"/>
          <w:sz w:val="19"/>
        </w:rPr>
        <w:t>the</w:t>
      </w:r>
      <w:r>
        <w:rPr>
          <w:color w:val="010101"/>
          <w:sz w:val="19"/>
        </w:rPr>
        <w:t> </w:t>
      </w:r>
      <w:r>
        <w:rPr>
          <w:color w:val="010101"/>
          <w:spacing w:val="2"/>
          <w:sz w:val="19"/>
        </w:rPr>
        <w:t> </w:t>
      </w:r>
      <w:r>
        <w:rPr>
          <w:color w:val="010101"/>
          <w:w w:val="109"/>
          <w:sz w:val="19"/>
        </w:rPr>
        <w:t>subsequent</w:t>
      </w:r>
      <w:r>
        <w:rPr>
          <w:color w:val="010101"/>
          <w:sz w:val="19"/>
        </w:rPr>
        <w:t> </w:t>
      </w:r>
      <w:r>
        <w:rPr>
          <w:color w:val="010101"/>
          <w:spacing w:val="17"/>
          <w:sz w:val="19"/>
        </w:rPr>
        <w:t> </w:t>
      </w:r>
      <w:r>
        <w:rPr>
          <w:color w:val="010101"/>
          <w:w w:val="111"/>
          <w:sz w:val="19"/>
        </w:rPr>
        <w:t>derivation.</w:t>
      </w:r>
      <w:r>
        <w:rPr>
          <w:color w:val="010101"/>
          <w:sz w:val="19"/>
        </w:rPr>
        <w:t> </w:t>
      </w:r>
      <w:r>
        <w:rPr>
          <w:color w:val="010101"/>
          <w:spacing w:val="8"/>
          <w:sz w:val="19"/>
        </w:rPr>
        <w:t> </w:t>
      </w:r>
      <w:r>
        <w:rPr>
          <w:color w:val="010101"/>
          <w:w w:val="111"/>
          <w:sz w:val="19"/>
        </w:rPr>
        <w:t>With</w:t>
      </w:r>
      <w:r>
        <w:rPr>
          <w:color w:val="010101"/>
          <w:sz w:val="19"/>
        </w:rPr>
        <w:t> </w:t>
      </w:r>
      <w:r>
        <w:rPr>
          <w:color w:val="010101"/>
          <w:spacing w:val="-11"/>
          <w:sz w:val="19"/>
        </w:rPr>
        <w:t> </w:t>
      </w:r>
      <w:r>
        <w:rPr>
          <w:color w:val="010101"/>
          <w:w w:val="115"/>
          <w:sz w:val="21"/>
        </w:rPr>
        <w:t>lhis</w:t>
      </w:r>
    </w:p>
    <w:p>
      <w:pPr>
        <w:spacing w:line="112" w:lineRule="exact" w:before="0"/>
        <w:ind w:left="1135" w:right="0" w:firstLine="0"/>
        <w:jc w:val="left"/>
        <w:rPr>
          <w:rFonts w:ascii="Arial"/>
          <w:b/>
          <w:i/>
          <w:sz w:val="13"/>
        </w:rPr>
      </w:pPr>
      <w:r>
        <w:rPr>
          <w:rFonts w:ascii="Arial"/>
          <w:b/>
          <w:i/>
          <w:color w:val="010101"/>
          <w:w w:val="74"/>
          <w:sz w:val="13"/>
        </w:rPr>
        <w:t>V</w:t>
      </w:r>
    </w:p>
    <w:p>
      <w:pPr>
        <w:spacing w:line="208" w:lineRule="auto" w:before="18"/>
        <w:ind w:left="120" w:right="122" w:hanging="18"/>
        <w:jc w:val="left"/>
        <w:rPr>
          <w:sz w:val="21"/>
        </w:rPr>
      </w:pPr>
      <w:r>
        <w:rPr>
          <w:color w:val="010101"/>
          <w:w w:val="112"/>
          <w:sz w:val="19"/>
        </w:rPr>
        <w:t>substitution, </w:t>
      </w:r>
      <w:r>
        <w:rPr>
          <w:color w:val="010101"/>
          <w:w w:val="102"/>
          <w:sz w:val="19"/>
        </w:rPr>
        <w:t>we  </w:t>
      </w:r>
      <w:r>
        <w:rPr>
          <w:color w:val="010101"/>
          <w:w w:val="111"/>
          <w:sz w:val="19"/>
        </w:rPr>
        <w:t>perfom1 </w:t>
      </w:r>
      <w:r>
        <w:rPr>
          <w:color w:val="010101"/>
          <w:w w:val="114"/>
          <w:sz w:val="19"/>
        </w:rPr>
        <w:t>the </w:t>
      </w:r>
      <w:r>
        <w:rPr>
          <w:color w:val="010101"/>
          <w:w w:val="110"/>
          <w:sz w:val="19"/>
        </w:rPr>
        <w:t>summation  </w:t>
      </w:r>
      <w:r>
        <w:rPr>
          <w:color w:val="010101"/>
          <w:w w:val="96"/>
          <w:sz w:val="19"/>
        </w:rPr>
        <w:t>of  </w:t>
      </w:r>
      <w:r>
        <w:rPr>
          <w:i/>
          <w:color w:val="010101"/>
          <w:w w:val="102"/>
          <w:sz w:val="21"/>
        </w:rPr>
        <w:t>I </w:t>
      </w:r>
      <w:r>
        <w:rPr>
          <w:b/>
          <w:i/>
          <w:color w:val="010101"/>
          <w:spacing w:val="-51"/>
          <w:w w:val="171"/>
          <w:sz w:val="14"/>
        </w:rPr>
        <w:t>s+i+</w:t>
      </w:r>
      <w:r>
        <w:rPr>
          <w:b/>
          <w:color w:val="010101"/>
          <w:spacing w:val="-51"/>
          <w:w w:val="171"/>
          <w:position w:val="-9"/>
          <w:sz w:val="18"/>
        </w:rPr>
        <w:t>u</w:t>
      </w:r>
      <w:r>
        <w:rPr>
          <w:b/>
          <w:color w:val="010101"/>
          <w:w w:val="171"/>
          <w:position w:val="-9"/>
          <w:sz w:val="18"/>
        </w:rPr>
        <w:t> </w:t>
      </w:r>
      <w:r>
        <w:rPr>
          <w:color w:val="010101"/>
          <w:w w:val="106"/>
          <w:sz w:val="19"/>
        </w:rPr>
        <w:t>from  </w:t>
      </w:r>
      <w:r>
        <w:rPr>
          <w:i/>
          <w:color w:val="010101"/>
          <w:w w:val="89"/>
          <w:sz w:val="21"/>
        </w:rPr>
        <w:t>s  </w:t>
      </w:r>
      <w:r>
        <w:rPr>
          <w:color w:val="010101"/>
          <w:w w:val="89"/>
          <w:sz w:val="26"/>
        </w:rPr>
        <w:t>=  </w:t>
      </w:r>
      <w:r>
        <w:rPr>
          <w:rFonts w:ascii="Arial"/>
          <w:b/>
          <w:color w:val="010101"/>
          <w:w w:val="76"/>
          <w:sz w:val="19"/>
        </w:rPr>
        <w:t>O  </w:t>
      </w:r>
      <w:r>
        <w:rPr>
          <w:color w:val="010101"/>
          <w:w w:val="115"/>
          <w:sz w:val="19"/>
        </w:rPr>
        <w:t>to </w:t>
      </w:r>
      <w:r>
        <w:rPr>
          <w:color w:val="010101"/>
          <w:spacing w:val="-11"/>
          <w:w w:val="110"/>
          <w:sz w:val="19"/>
        </w:rPr>
        <w:t>11, </w:t>
      </w:r>
      <w:r>
        <w:rPr>
          <w:color w:val="010101"/>
          <w:w w:val="110"/>
          <w:sz w:val="19"/>
        </w:rPr>
        <w:t>and  noting </w:t>
      </w:r>
      <w:r>
        <w:rPr>
          <w:color w:val="010101"/>
          <w:w w:val="110"/>
          <w:sz w:val="21"/>
        </w:rPr>
        <w:t>that</w:t>
      </w:r>
    </w:p>
    <w:p>
      <w:pPr>
        <w:spacing w:after="0" w:line="208" w:lineRule="auto"/>
        <w:jc w:val="left"/>
        <w:rPr>
          <w:sz w:val="21"/>
        </w:rPr>
        <w:sectPr>
          <w:type w:val="continuous"/>
          <w:pgSz w:w="7200" w:h="11340"/>
          <w:pgMar w:top="1100" w:bottom="0" w:left="680" w:right="560"/>
        </w:sectPr>
      </w:pPr>
    </w:p>
    <w:p>
      <w:pPr>
        <w:tabs>
          <w:tab w:pos="1870" w:val="left" w:leader="none"/>
          <w:tab w:pos="5891" w:val="right" w:leader="none"/>
        </w:tabs>
        <w:spacing w:before="47"/>
        <w:ind w:left="135" w:right="0" w:firstLine="0"/>
        <w:jc w:val="left"/>
        <w:rPr>
          <w:sz w:val="20"/>
        </w:rPr>
      </w:pPr>
      <w:r>
        <w:rPr>
          <w:w w:val="105"/>
          <w:sz w:val="15"/>
        </w:rPr>
        <w:t>SEC. </w:t>
      </w:r>
      <w:r>
        <w:rPr>
          <w:spacing w:val="13"/>
          <w:w w:val="105"/>
          <w:sz w:val="15"/>
        </w:rPr>
        <w:t> </w:t>
      </w:r>
      <w:r>
        <w:rPr>
          <w:rFonts w:ascii="Arial"/>
          <w:w w:val="105"/>
          <w:sz w:val="19"/>
        </w:rPr>
        <w:t>6)</w:t>
        <w:tab/>
      </w:r>
      <w:r>
        <w:rPr>
          <w:w w:val="105"/>
          <w:position w:val="1"/>
          <w:sz w:val="15"/>
        </w:rPr>
        <w:t>FAMILY </w:t>
      </w:r>
      <w:r>
        <w:rPr>
          <w:spacing w:val="32"/>
          <w:w w:val="105"/>
          <w:position w:val="1"/>
          <w:sz w:val="15"/>
        </w:rPr>
        <w:t> </w:t>
      </w:r>
      <w:r>
        <w:rPr>
          <w:w w:val="105"/>
          <w:position w:val="1"/>
          <w:sz w:val="15"/>
        </w:rPr>
        <w:t>INCOME </w:t>
      </w:r>
      <w:r>
        <w:rPr>
          <w:spacing w:val="29"/>
          <w:w w:val="105"/>
          <w:position w:val="1"/>
          <w:sz w:val="15"/>
        </w:rPr>
        <w:t> </w:t>
      </w:r>
      <w:r>
        <w:rPr>
          <w:w w:val="105"/>
          <w:position w:val="1"/>
          <w:sz w:val="15"/>
        </w:rPr>
        <w:t>BENEFITS</w:t>
      </w:r>
      <w:r>
        <w:rPr>
          <w:w w:val="105"/>
          <w:sz w:val="20"/>
        </w:rPr>
        <w:tab/>
        <w:t>163</w:t>
      </w:r>
    </w:p>
    <w:p>
      <w:pPr>
        <w:spacing w:after="0"/>
        <w:jc w:val="left"/>
        <w:rPr>
          <w:sz w:val="20"/>
        </w:rPr>
        <w:sectPr>
          <w:pgSz w:w="7200" w:h="11340"/>
          <w:pgMar w:top="500" w:bottom="280" w:left="660" w:right="540"/>
        </w:sectPr>
      </w:pPr>
    </w:p>
    <w:p>
      <w:pPr>
        <w:tabs>
          <w:tab w:pos="349" w:val="left" w:leader="none"/>
        </w:tabs>
        <w:spacing w:line="100" w:lineRule="exact" w:before="247"/>
        <w:ind w:left="0" w:right="22" w:firstLine="0"/>
        <w:jc w:val="right"/>
        <w:rPr>
          <w:rFonts w:ascii="Arial" w:hAnsi="Arial"/>
          <w:sz w:val="12"/>
        </w:rPr>
      </w:pPr>
      <w:r>
        <w:rPr/>
        <w:pict>
          <v:shape style="position:absolute;margin-left:95.152023pt;margin-top:12.258047pt;width:2.450pt;height:15.5pt;mso-position-horizontal-relative:page;mso-position-vertical-relative:paragraph;z-index:-722464" type="#_x0000_t202" filled="false" stroked="false">
            <v:textbox inset="0,0,0,0">
              <w:txbxContent>
                <w:p>
                  <w:pPr>
                    <w:spacing w:line="310" w:lineRule="exact" w:before="0"/>
                    <w:ind w:left="0" w:right="0" w:firstLine="0"/>
                    <w:jc w:val="left"/>
                    <w:rPr>
                      <w:rFonts w:ascii="Arial" w:hAnsi="Arial"/>
                      <w:sz w:val="31"/>
                    </w:rPr>
                  </w:pPr>
                  <w:r>
                    <w:rPr>
                      <w:rFonts w:ascii="Arial" w:hAnsi="Arial"/>
                      <w:spacing w:val="-325"/>
                      <w:w w:val="145"/>
                      <w:sz w:val="31"/>
                    </w:rPr>
                    <w:t>¿</w:t>
                  </w:r>
                </w:p>
              </w:txbxContent>
            </v:textbox>
            <w10:wrap type="none"/>
          </v:shape>
        </w:pict>
      </w:r>
      <w:r>
        <w:rPr>
          <w:rFonts w:ascii="Arial" w:hAnsi="Arial"/>
          <w:w w:val="125"/>
          <w:sz w:val="12"/>
        </w:rPr>
        <w:t>11</w:t>
        <w:tab/>
        <w:t>•</w:t>
      </w:r>
    </w:p>
    <w:p>
      <w:pPr>
        <w:spacing w:line="135" w:lineRule="exact" w:before="0"/>
        <w:ind w:left="0" w:right="0" w:firstLine="0"/>
        <w:jc w:val="right"/>
        <w:rPr>
          <w:i/>
          <w:sz w:val="20"/>
        </w:rPr>
      </w:pPr>
      <w:r>
        <w:rPr>
          <w:i/>
          <w:w w:val="120"/>
          <w:sz w:val="20"/>
        </w:rPr>
        <w:t>v"</w:t>
      </w:r>
    </w:p>
    <w:p>
      <w:pPr>
        <w:tabs>
          <w:tab w:pos="2006" w:val="left" w:leader="none"/>
        </w:tabs>
        <w:spacing w:line="100" w:lineRule="exact" w:before="247"/>
        <w:ind w:left="1391" w:right="0" w:firstLine="0"/>
        <w:jc w:val="left"/>
        <w:rPr>
          <w:rFonts w:ascii="Arial"/>
          <w:sz w:val="12"/>
        </w:rPr>
      </w:pPr>
      <w:r>
        <w:rPr/>
        <w:br w:type="column"/>
      </w:r>
      <w:r>
        <w:rPr>
          <w:rFonts w:ascii="Arial"/>
          <w:w w:val="200"/>
          <w:sz w:val="12"/>
        </w:rPr>
        <w:t>(</w:t>
        <w:tab/>
        <w:t>)</w:t>
      </w:r>
    </w:p>
    <w:p>
      <w:pPr>
        <w:spacing w:line="135" w:lineRule="exact" w:before="0"/>
        <w:ind w:left="62" w:right="0" w:firstLine="0"/>
        <w:jc w:val="left"/>
        <w:rPr>
          <w:i/>
          <w:sz w:val="20"/>
        </w:rPr>
      </w:pPr>
      <w:r>
        <w:rPr>
          <w:rFonts w:ascii="Arial"/>
          <w:w w:val="150"/>
          <w:sz w:val="16"/>
        </w:rPr>
        <w:t>= </w:t>
      </w:r>
      <w:r>
        <w:rPr>
          <w:rFonts w:ascii="Arial"/>
          <w:spacing w:val="-11"/>
          <w:w w:val="110"/>
          <w:sz w:val="19"/>
        </w:rPr>
        <w:t>12aW&gt;  </w:t>
      </w:r>
      <w:r>
        <w:rPr>
          <w:rFonts w:ascii="Arial"/>
          <w:w w:val="150"/>
          <w:sz w:val="16"/>
        </w:rPr>
        <w:t>= </w:t>
      </w:r>
      <w:r>
        <w:rPr>
          <w:rFonts w:ascii="Arial"/>
          <w:spacing w:val="-28"/>
          <w:w w:val="110"/>
          <w:sz w:val="19"/>
        </w:rPr>
        <w:t>12   </w:t>
      </w:r>
      <w:r>
        <w:rPr>
          <w:w w:val="150"/>
          <w:sz w:val="20"/>
        </w:rPr>
        <w:t>1 </w:t>
      </w:r>
      <w:r>
        <w:rPr>
          <w:w w:val="260"/>
          <w:sz w:val="20"/>
        </w:rPr>
        <w:t>-</w:t>
      </w:r>
      <w:r>
        <w:rPr>
          <w:spacing w:val="-96"/>
          <w:w w:val="260"/>
          <w:sz w:val="20"/>
        </w:rPr>
        <w:t> </w:t>
      </w:r>
      <w:r>
        <w:rPr>
          <w:i/>
          <w:w w:val="110"/>
          <w:sz w:val="20"/>
        </w:rPr>
        <w:t>v</w:t>
      </w:r>
    </w:p>
    <w:p>
      <w:pPr>
        <w:spacing w:before="231"/>
        <w:ind w:left="293" w:right="0" w:firstLine="0"/>
        <w:jc w:val="left"/>
        <w:rPr>
          <w:i/>
          <w:sz w:val="20"/>
        </w:rPr>
      </w:pPr>
      <w:r>
        <w:rPr/>
        <w:br w:type="column"/>
      </w:r>
      <w:r>
        <w:rPr>
          <w:rFonts w:ascii="Arial"/>
          <w:w w:val="110"/>
          <w:sz w:val="19"/>
        </w:rPr>
        <w:t>12 </w:t>
      </w:r>
      <w:r>
        <w:rPr>
          <w:i/>
          <w:w w:val="110"/>
          <w:sz w:val="20"/>
        </w:rPr>
        <w:t>iv</w:t>
      </w:r>
    </w:p>
    <w:p>
      <w:pPr>
        <w:spacing w:after="0"/>
        <w:jc w:val="left"/>
        <w:rPr>
          <w:sz w:val="20"/>
        </w:rPr>
        <w:sectPr>
          <w:type w:val="continuous"/>
          <w:pgSz w:w="7200" w:h="11340"/>
          <w:pgMar w:top="1100" w:bottom="0" w:left="660" w:right="540"/>
          <w:cols w:num="3" w:equalWidth="0">
            <w:col w:w="1779" w:space="40"/>
            <w:col w:w="2088" w:space="40"/>
            <w:col w:w="2053"/>
          </w:cols>
        </w:sectPr>
      </w:pPr>
    </w:p>
    <w:p>
      <w:pPr>
        <w:tabs>
          <w:tab w:pos="3278" w:val="left" w:leader="none"/>
        </w:tabs>
        <w:spacing w:line="214" w:lineRule="exact" w:before="0"/>
        <w:ind w:left="1287" w:right="0" w:firstLine="0"/>
        <w:jc w:val="left"/>
        <w:rPr>
          <w:rFonts w:ascii="Arial"/>
          <w:sz w:val="11"/>
        </w:rPr>
      </w:pPr>
      <w:r>
        <w:rPr>
          <w:sz w:val="21"/>
        </w:rPr>
        <w:t>,-o</w:t>
        <w:tab/>
      </w:r>
      <w:r>
        <w:rPr>
          <w:spacing w:val="-4"/>
          <w:sz w:val="14"/>
        </w:rPr>
        <w:t>dC1</w:t>
      </w:r>
      <w:r>
        <w:rPr>
          <w:rFonts w:ascii="Arial"/>
          <w:spacing w:val="-4"/>
          <w:position w:val="4"/>
          <w:sz w:val="11"/>
        </w:rPr>
        <w:t>2</w:t>
      </w:r>
      <w:r>
        <w:rPr>
          <w:rFonts w:ascii="Arial"/>
          <w:spacing w:val="-4"/>
          <w:sz w:val="11"/>
        </w:rPr>
        <w:t>)</w:t>
      </w:r>
    </w:p>
    <w:p>
      <w:pPr>
        <w:spacing w:before="27"/>
        <w:ind w:left="624" w:right="0" w:firstLine="0"/>
        <w:jc w:val="left"/>
        <w:rPr>
          <w:sz w:val="14"/>
        </w:rPr>
      </w:pPr>
      <w:r>
        <w:rPr/>
        <w:br w:type="column"/>
      </w:r>
      <w:r>
        <w:rPr>
          <w:w w:val="105"/>
          <w:sz w:val="14"/>
          <w:u w:val="thick"/>
        </w:rPr>
        <w:t>d</w:t>
      </w:r>
      <w:r>
        <w:rPr>
          <w:w w:val="105"/>
          <w:sz w:val="14"/>
        </w:rPr>
        <w:t>C12l </w:t>
      </w:r>
      <w:r>
        <w:rPr>
          <w:w w:val="255"/>
          <w:sz w:val="14"/>
        </w:rPr>
        <w:t>'</w:t>
      </w:r>
    </w:p>
    <w:p>
      <w:pPr>
        <w:spacing w:after="0"/>
        <w:jc w:val="left"/>
        <w:rPr>
          <w:sz w:val="14"/>
        </w:rPr>
        <w:sectPr>
          <w:type w:val="continuous"/>
          <w:pgSz w:w="7200" w:h="11340"/>
          <w:pgMar w:top="1100" w:bottom="0" w:left="660" w:right="540"/>
          <w:cols w:num="2" w:equalWidth="0">
            <w:col w:w="3598" w:space="40"/>
            <w:col w:w="2362"/>
          </w:cols>
        </w:sectPr>
      </w:pPr>
    </w:p>
    <w:p>
      <w:pPr>
        <w:pStyle w:val="BodyText"/>
        <w:spacing w:before="6"/>
        <w:rPr>
          <w:sz w:val="14"/>
        </w:rPr>
      </w:pPr>
    </w:p>
    <w:p>
      <w:pPr>
        <w:pStyle w:val="BodyText"/>
        <w:ind w:left="117"/>
      </w:pPr>
      <w:r>
        <w:rPr/>
        <w:drawing>
          <wp:inline distT="0" distB="0" distL="0" distR="0">
            <wp:extent cx="3154679" cy="521208"/>
            <wp:effectExtent l="0" t="0" r="0" b="0"/>
            <wp:docPr id="339" name="image175.png" descr=""/>
            <wp:cNvGraphicFramePr>
              <a:graphicFrameLocks noChangeAspect="1"/>
            </wp:cNvGraphicFramePr>
            <a:graphic>
              <a:graphicData uri="http://schemas.openxmlformats.org/drawingml/2006/picture">
                <pic:pic>
                  <pic:nvPicPr>
                    <pic:cNvPr id="340" name="image175.png"/>
                    <pic:cNvPicPr/>
                  </pic:nvPicPr>
                  <pic:blipFill>
                    <a:blip r:embed="rId179" cstate="print"/>
                    <a:stretch>
                      <a:fillRect/>
                    </a:stretch>
                  </pic:blipFill>
                  <pic:spPr>
                    <a:xfrm>
                      <a:off x="0" y="0"/>
                      <a:ext cx="3154679" cy="521208"/>
                    </a:xfrm>
                    <a:prstGeom prst="rect">
                      <a:avLst/>
                    </a:prstGeom>
                  </pic:spPr>
                </pic:pic>
              </a:graphicData>
            </a:graphic>
          </wp:inline>
        </w:drawing>
      </w:r>
      <w:r>
        <w:rPr/>
      </w:r>
    </w:p>
    <w:p>
      <w:pPr>
        <w:spacing w:before="71"/>
        <w:ind w:left="128" w:right="0" w:firstLine="0"/>
        <w:jc w:val="both"/>
        <w:rPr>
          <w:sz w:val="21"/>
        </w:rPr>
      </w:pPr>
      <w:r>
        <w:rPr>
          <w:sz w:val="21"/>
        </w:rPr>
        <w:t>Finally, summing from </w:t>
      </w:r>
      <w:r>
        <w:rPr>
          <w:i/>
          <w:sz w:val="21"/>
        </w:rPr>
        <w:t>t  </w:t>
      </w:r>
      <w:r>
        <w:rPr>
          <w:sz w:val="24"/>
        </w:rPr>
        <w:t>= </w:t>
      </w:r>
      <w:r>
        <w:rPr>
          <w:sz w:val="21"/>
        </w:rPr>
        <w:t>O </w:t>
      </w:r>
      <w:r>
        <w:rPr>
          <w:i/>
          <w:sz w:val="22"/>
        </w:rPr>
        <w:t>to n </w:t>
      </w:r>
      <w:r>
        <w:rPr>
          <w:w w:val="215"/>
          <w:sz w:val="22"/>
        </w:rPr>
        <w:t>- </w:t>
      </w:r>
      <w:r>
        <w:rPr>
          <w:sz w:val="21"/>
        </w:rPr>
        <w:t>1, we  have</w:t>
      </w:r>
    </w:p>
    <w:p>
      <w:pPr>
        <w:tabs>
          <w:tab w:pos="3400" w:val="left" w:leader="none"/>
        </w:tabs>
        <w:spacing w:line="94" w:lineRule="exact" w:before="120"/>
        <w:ind w:left="2212" w:right="0" w:firstLine="0"/>
        <w:jc w:val="left"/>
        <w:rPr>
          <w:sz w:val="12"/>
        </w:rPr>
      </w:pPr>
      <w:r>
        <w:rPr>
          <w:rFonts w:ascii="Arial" w:hAnsi="Arial"/>
          <w:w w:val="120"/>
          <w:sz w:val="11"/>
        </w:rPr>
        <w:t>•</w:t>
        <w:tab/>
      </w:r>
      <w:r>
        <w:rPr>
          <w:rFonts w:ascii="Arial" w:hAnsi="Arial"/>
          <w:i/>
          <w:w w:val="120"/>
          <w:sz w:val="11"/>
        </w:rPr>
        <w:t>rn </w:t>
      </w:r>
      <w:r>
        <w:rPr>
          <w:rFonts w:ascii="Arial" w:hAnsi="Arial"/>
          <w:i/>
          <w:spacing w:val="16"/>
          <w:w w:val="120"/>
          <w:sz w:val="11"/>
        </w:rPr>
        <w:t> </w:t>
      </w:r>
      <w:r>
        <w:rPr>
          <w:w w:val="120"/>
          <w:sz w:val="12"/>
        </w:rPr>
        <w:t>""d(l2)</w:t>
      </w:r>
    </w:p>
    <w:p>
      <w:pPr>
        <w:tabs>
          <w:tab w:pos="2169" w:val="left" w:leader="none"/>
          <w:tab w:pos="2489" w:val="left" w:leader="none"/>
          <w:tab w:pos="3307" w:val="left" w:leader="none"/>
          <w:tab w:pos="4185" w:val="left" w:leader="none"/>
        </w:tabs>
        <w:spacing w:line="154" w:lineRule="exact" w:before="0"/>
        <w:ind w:left="1237" w:right="0" w:firstLine="0"/>
        <w:jc w:val="left"/>
        <w:rPr>
          <w:sz w:val="21"/>
        </w:rPr>
      </w:pPr>
      <w:r>
        <w:rPr/>
        <w:pict>
          <v:shape style="position:absolute;margin-left:300.059998pt;margin-top:2.919106pt;width:25.4pt;height:10pt;mso-position-horizontal-relative:page;mso-position-vertical-relative:paragraph;z-index:13648" type="#_x0000_t202" filled="false" stroked="false">
            <v:textbox inset="0,0,0,0">
              <w:txbxContent>
                <w:p>
                  <w:pPr>
                    <w:pStyle w:val="BodyText"/>
                    <w:spacing w:line="200" w:lineRule="exact"/>
                    <w:ind w:right="-20"/>
                  </w:pPr>
                  <w:r>
                    <w:rPr>
                      <w:w w:val="105"/>
                    </w:rPr>
                    <w:t>(7.24)</w:t>
                  </w:r>
                </w:p>
              </w:txbxContent>
            </v:textbox>
            <w10:wrap type="none"/>
          </v:shape>
        </w:pict>
      </w:r>
      <w:r>
        <w:rPr>
          <w:b/>
          <w:w w:val="110"/>
          <w:sz w:val="22"/>
        </w:rPr>
        <w:t>F'"i' .</w:t>
        <w:tab/>
      </w:r>
      <w:r>
        <w:rPr>
          <w:i/>
          <w:w w:val="165"/>
          <w:sz w:val="15"/>
        </w:rPr>
        <w:t>i</w:t>
        <w:tab/>
      </w:r>
      <w:r>
        <w:rPr>
          <w:i/>
          <w:w w:val="110"/>
          <w:sz w:val="22"/>
        </w:rPr>
        <w:t>A'</w:t>
        <w:tab/>
      </w:r>
      <w:r>
        <w:rPr>
          <w:rFonts w:ascii="Arial"/>
          <w:i/>
          <w:w w:val="110"/>
          <w:sz w:val="14"/>
        </w:rPr>
        <w:t>V   </w:t>
      </w:r>
      <w:r>
        <w:rPr>
          <w:i/>
          <w:w w:val="165"/>
          <w:sz w:val="15"/>
        </w:rPr>
        <w:t>i</w:t>
        <w:tab/>
      </w:r>
      <w:r>
        <w:rPr>
          <w:w w:val="110"/>
          <w:sz w:val="21"/>
        </w:rPr>
        <w:t>A"l</w:t>
      </w:r>
    </w:p>
    <w:p>
      <w:pPr>
        <w:tabs>
          <w:tab w:pos="597" w:val="left" w:leader="none"/>
          <w:tab w:pos="1486" w:val="left" w:leader="none"/>
          <w:tab w:pos="3283" w:val="left" w:leader="none"/>
        </w:tabs>
        <w:spacing w:line="147" w:lineRule="exact" w:before="0"/>
        <w:ind w:left="0" w:right="32" w:firstLine="0"/>
        <w:jc w:val="center"/>
        <w:rPr>
          <w:sz w:val="19"/>
        </w:rPr>
      </w:pPr>
      <w:r>
        <w:rPr>
          <w:w w:val="120"/>
          <w:sz w:val="19"/>
        </w:rPr>
        <w:t>,.</w:t>
      </w:r>
      <w:r>
        <w:rPr>
          <w:spacing w:val="45"/>
          <w:w w:val="120"/>
          <w:sz w:val="19"/>
        </w:rPr>
        <w:t> </w:t>
      </w:r>
      <w:r>
        <w:rPr>
          <w:b/>
          <w:w w:val="120"/>
          <w:sz w:val="19"/>
        </w:rPr>
        <w:t>s</w:t>
        <w:tab/>
      </w:r>
      <w:r>
        <w:rPr>
          <w:rFonts w:ascii="Arial" w:hAnsi="Arial"/>
          <w:w w:val="120"/>
          <w:sz w:val="18"/>
        </w:rPr>
        <w:t>=:</w:t>
      </w:r>
      <w:r>
        <w:rPr>
          <w:rFonts w:ascii="Arial" w:hAnsi="Arial"/>
          <w:spacing w:val="-32"/>
          <w:w w:val="120"/>
          <w:sz w:val="18"/>
        </w:rPr>
        <w:t> </w:t>
      </w:r>
      <w:r>
        <w:rPr>
          <w:b/>
          <w:w w:val="120"/>
          <w:sz w:val="13"/>
          <w:u w:val="thick"/>
        </w:rPr>
        <w:t>&amp;J'(12</w:t>
      </w:r>
      <w:r>
        <w:rPr>
          <w:b/>
          <w:w w:val="120"/>
          <w:sz w:val="13"/>
        </w:rPr>
        <w:t>)</w:t>
        <w:tab/>
      </w:r>
      <w:r>
        <w:rPr>
          <w:b/>
          <w:sz w:val="19"/>
        </w:rPr>
        <w:t>s:-;J</w:t>
      </w:r>
      <w:r>
        <w:rPr>
          <w:b/>
          <w:spacing w:val="20"/>
          <w:sz w:val="19"/>
        </w:rPr>
        <w:t> </w:t>
      </w:r>
      <w:r>
        <w:rPr>
          <w:w w:val="275"/>
          <w:sz w:val="19"/>
        </w:rPr>
        <w:t>-</w:t>
      </w:r>
      <w:r>
        <w:rPr>
          <w:spacing w:val="-92"/>
          <w:w w:val="275"/>
          <w:sz w:val="19"/>
        </w:rPr>
        <w:t> </w:t>
      </w:r>
      <w:r>
        <w:rPr>
          <w:b/>
          <w:w w:val="120"/>
          <w:sz w:val="13"/>
        </w:rPr>
        <w:t>&amp;J'Ol)d"(l2)</w:t>
        <w:tab/>
      </w:r>
      <w:r>
        <w:rPr>
          <w:b/>
          <w:w w:val="95"/>
          <w:sz w:val="19"/>
        </w:rPr>
        <w:t>s:'i]</w:t>
      </w:r>
      <w:r>
        <w:rPr>
          <w:b/>
          <w:spacing w:val="-26"/>
          <w:w w:val="95"/>
          <w:sz w:val="19"/>
        </w:rPr>
        <w:t> </w:t>
      </w:r>
      <w:r>
        <w:rPr>
          <w:w w:val="95"/>
          <w:sz w:val="19"/>
        </w:rPr>
        <w:t>•</w:t>
      </w:r>
    </w:p>
    <w:p>
      <w:pPr>
        <w:tabs>
          <w:tab w:pos="4156" w:val="left" w:leader="none"/>
        </w:tabs>
        <w:spacing w:line="277" w:lineRule="exact" w:before="0"/>
        <w:ind w:left="3735" w:right="0" w:firstLine="0"/>
        <w:jc w:val="left"/>
        <w:rPr>
          <w:sz w:val="26"/>
        </w:rPr>
      </w:pPr>
      <w:r>
        <w:rPr/>
        <w:pict>
          <v:shape style="position:absolute;margin-left:226.619995pt;margin-top:13.54342pt;width:9.65pt;height:16pt;mso-position-horizontal-relative:page;mso-position-vertical-relative:paragraph;z-index:-722440" type="#_x0000_t202" filled="false" stroked="false">
            <v:textbox inset="0,0,0,0">
              <w:txbxContent>
                <w:p>
                  <w:pPr>
                    <w:spacing w:line="320" w:lineRule="exact" w:before="0"/>
                    <w:ind w:left="0" w:right="0" w:firstLine="0"/>
                    <w:jc w:val="left"/>
                    <w:rPr>
                      <w:rFonts w:ascii="Arial"/>
                      <w:sz w:val="32"/>
                    </w:rPr>
                  </w:pPr>
                  <w:r>
                    <w:rPr>
                      <w:rFonts w:ascii="Arial"/>
                      <w:w w:val="102"/>
                      <w:sz w:val="32"/>
                    </w:rPr>
                    <w:t>+</w:t>
                  </w:r>
                </w:p>
              </w:txbxContent>
            </v:textbox>
            <w10:wrap type="none"/>
          </v:shape>
        </w:pict>
      </w:r>
      <w:r>
        <w:rPr>
          <w:rFonts w:ascii="Arial"/>
          <w:sz w:val="28"/>
        </w:rPr>
        <w:t>.</w:t>
        <w:tab/>
      </w:r>
      <w:r>
        <w:rPr>
          <w:spacing w:val="-15"/>
          <w:sz w:val="26"/>
        </w:rPr>
        <w:t>.,</w:t>
      </w:r>
    </w:p>
    <w:p>
      <w:pPr>
        <w:spacing w:line="101" w:lineRule="exact" w:before="0"/>
        <w:ind w:left="3692" w:right="0" w:firstLine="0"/>
        <w:jc w:val="left"/>
        <w:rPr>
          <w:i/>
          <w:sz w:val="15"/>
        </w:rPr>
      </w:pPr>
      <w:r>
        <w:rPr>
          <w:i/>
          <w:w w:val="200"/>
          <w:sz w:val="15"/>
        </w:rPr>
        <w:t>i </w:t>
      </w:r>
      <w:r>
        <w:rPr>
          <w:w w:val="360"/>
          <w:sz w:val="15"/>
        </w:rPr>
        <w:t>-</w:t>
      </w:r>
      <w:r>
        <w:rPr>
          <w:spacing w:val="-61"/>
          <w:w w:val="360"/>
          <w:sz w:val="15"/>
        </w:rPr>
        <w:t> </w:t>
      </w:r>
      <w:r>
        <w:rPr>
          <w:i/>
          <w:w w:val="200"/>
          <w:sz w:val="15"/>
        </w:rPr>
        <w:t>i</w:t>
      </w:r>
    </w:p>
    <w:p>
      <w:pPr>
        <w:spacing w:line="306" w:lineRule="exact" w:before="0"/>
        <w:ind w:left="124" w:right="0" w:firstLine="0"/>
        <w:jc w:val="both"/>
        <w:rPr>
          <w:sz w:val="21"/>
        </w:rPr>
      </w:pPr>
      <w:r>
        <w:rPr/>
        <w:pict>
          <v:line style="position:absolute;mso-position-horizontal-relative:page;mso-position-vertical-relative:paragraph;z-index:-722536" from="218.339996pt,10.750206pt" to="243.719996pt,10.750206pt" stroked="true" strokeweight="4.860pt" strokecolor="#000000">
            <w10:wrap type="none"/>
          </v:line>
        </w:pict>
      </w:r>
      <w:r>
        <w:rPr>
          <w:w w:val="110"/>
          <w:sz w:val="21"/>
        </w:rPr>
        <w:t>The special rate of interest i" is equal to </w:t>
      </w:r>
      <w:r>
        <w:rPr>
          <w:w w:val="110"/>
          <w:position w:val="-10"/>
          <w:sz w:val="21"/>
        </w:rPr>
        <w:t>1   </w:t>
      </w:r>
      <w:r>
        <w:rPr>
          <w:w w:val="115"/>
          <w:sz w:val="21"/>
        </w:rPr>
        <w:t>i' .</w:t>
      </w:r>
    </w:p>
    <w:p>
      <w:pPr>
        <w:spacing w:line="242" w:lineRule="exact" w:before="1"/>
        <w:ind w:left="117" w:right="124" w:firstLine="194"/>
        <w:jc w:val="both"/>
        <w:rPr>
          <w:sz w:val="21"/>
        </w:rPr>
      </w:pPr>
      <w:r>
        <w:rPr>
          <w:sz w:val="21"/>
        </w:rPr>
        <w:t>The use of the special rate of interest i" </w:t>
      </w:r>
      <w:r>
        <w:rPr>
          <w:rFonts w:ascii="Arial" w:hAnsi="Arial"/>
          <w:sz w:val="20"/>
        </w:rPr>
        <w:t>is </w:t>
      </w:r>
      <w:r>
        <w:rPr>
          <w:sz w:val="21"/>
        </w:rPr>
        <w:t>not merely an alge­ braic device for simplifying a complex expression. </w:t>
      </w:r>
      <w:r>
        <w:rPr>
          <w:sz w:val="22"/>
        </w:rPr>
        <w:t>It </w:t>
      </w:r>
      <w:r>
        <w:rPr>
          <w:sz w:val="21"/>
        </w:rPr>
        <w:t>also provides</w:t>
      </w:r>
      <w:r>
        <w:rPr>
          <w:spacing w:val="-18"/>
          <w:sz w:val="21"/>
        </w:rPr>
        <w:t> </w:t>
      </w:r>
      <w:r>
        <w:rPr>
          <w:sz w:val="21"/>
        </w:rPr>
        <w:t>a convenient  practical  method  for  performing  an otherwise</w:t>
      </w:r>
      <w:r>
        <w:rPr>
          <w:spacing w:val="20"/>
          <w:sz w:val="21"/>
        </w:rPr>
        <w:t> </w:t>
      </w:r>
      <w:r>
        <w:rPr>
          <w:sz w:val="21"/>
        </w:rPr>
        <w:t>tedious</w:t>
      </w:r>
    </w:p>
    <w:p>
      <w:pPr>
        <w:spacing w:line="151" w:lineRule="auto" w:before="42"/>
        <w:ind w:left="117" w:right="131" w:firstLine="0"/>
        <w:jc w:val="both"/>
        <w:rPr>
          <w:sz w:val="14"/>
        </w:rPr>
      </w:pPr>
      <w:r>
        <w:rPr>
          <w:w w:val="98"/>
          <w:sz w:val="21"/>
        </w:rPr>
        <w:t>calculation. </w:t>
      </w:r>
      <w:r>
        <w:rPr>
          <w:w w:val="104"/>
          <w:sz w:val="21"/>
        </w:rPr>
        <w:t>The </w:t>
      </w:r>
      <w:r>
        <w:rPr>
          <w:w w:val="100"/>
          <w:sz w:val="21"/>
        </w:rPr>
        <w:t>values </w:t>
      </w:r>
      <w:r>
        <w:rPr>
          <w:w w:val="83"/>
          <w:sz w:val="21"/>
        </w:rPr>
        <w:t>of </w:t>
      </w:r>
      <w:r>
        <w:rPr>
          <w:rFonts w:ascii="Arial" w:hAnsi="Arial"/>
          <w:i/>
          <w:w w:val="104"/>
          <w:sz w:val="20"/>
        </w:rPr>
        <w:t>A </w:t>
      </w:r>
      <w:r>
        <w:rPr>
          <w:rFonts w:ascii="Arial" w:hAnsi="Arial"/>
          <w:spacing w:val="-21"/>
          <w:w w:val="99"/>
          <w:sz w:val="26"/>
        </w:rPr>
        <w:t>"!:-;i </w:t>
      </w:r>
      <w:r>
        <w:rPr>
          <w:spacing w:val="-21"/>
          <w:w w:val="102"/>
          <w:sz w:val="21"/>
        </w:rPr>
        <w:t>are </w:t>
      </w:r>
      <w:r>
        <w:rPr>
          <w:spacing w:val="-21"/>
          <w:w w:val="97"/>
          <w:sz w:val="21"/>
        </w:rPr>
        <w:t>easily </w:t>
      </w:r>
      <w:r>
        <w:rPr>
          <w:spacing w:val="-21"/>
          <w:w w:val="100"/>
          <w:sz w:val="21"/>
        </w:rPr>
        <w:t>obtained </w:t>
      </w:r>
      <w:r>
        <w:rPr>
          <w:spacing w:val="-21"/>
          <w:w w:val="96"/>
          <w:sz w:val="21"/>
        </w:rPr>
        <w:t>from  </w:t>
      </w:r>
      <w:r>
        <w:rPr>
          <w:spacing w:val="-21"/>
          <w:w w:val="107"/>
          <w:sz w:val="21"/>
        </w:rPr>
        <w:t>the </w:t>
      </w:r>
      <w:r>
        <w:rPr>
          <w:spacing w:val="-21"/>
          <w:sz w:val="21"/>
        </w:rPr>
        <w:t>special  commutation  functions  </w:t>
      </w:r>
      <w:r>
        <w:rPr>
          <w:rFonts w:ascii="Arial" w:hAnsi="Arial"/>
          <w:i/>
          <w:spacing w:val="-21"/>
          <w:sz w:val="29"/>
        </w:rPr>
        <w:t>D:  </w:t>
      </w:r>
      <w:r>
        <w:rPr>
          <w:spacing w:val="-21"/>
          <w:sz w:val="24"/>
        </w:rPr>
        <w:t>=  </w:t>
      </w:r>
      <w:r>
        <w:rPr>
          <w:rFonts w:ascii="Arial" w:hAnsi="Arial"/>
          <w:b/>
          <w:spacing w:val="-21"/>
          <w:sz w:val="19"/>
        </w:rPr>
        <w:t>(1  </w:t>
      </w:r>
      <w:r>
        <w:rPr>
          <w:rFonts w:ascii="Arial" w:hAnsi="Arial"/>
          <w:spacing w:val="-21"/>
          <w:sz w:val="32"/>
        </w:rPr>
        <w:t>+ </w:t>
      </w:r>
      <w:r>
        <w:rPr>
          <w:spacing w:val="-21"/>
          <w:w w:val="105"/>
          <w:sz w:val="22"/>
        </w:rPr>
        <w:t>i'tDs  </w:t>
      </w:r>
      <w:r>
        <w:rPr>
          <w:spacing w:val="-21"/>
          <w:sz w:val="21"/>
        </w:rPr>
        <w:t>and  </w:t>
      </w:r>
      <w:r>
        <w:rPr>
          <w:rFonts w:ascii="Arial" w:hAnsi="Arial"/>
          <w:i/>
          <w:spacing w:val="-21"/>
          <w:sz w:val="29"/>
        </w:rPr>
        <w:t>C!  </w:t>
      </w:r>
      <w:r>
        <w:rPr>
          <w:spacing w:val="-21"/>
          <w:sz w:val="26"/>
        </w:rPr>
        <w:t>= </w:t>
      </w:r>
      <w:r>
        <w:rPr>
          <w:rFonts w:ascii="Arial" w:hAnsi="Arial"/>
          <w:spacing w:val="-21"/>
          <w:sz w:val="19"/>
        </w:rPr>
        <w:t>(1 </w:t>
      </w:r>
      <w:r>
        <w:rPr>
          <w:rFonts w:ascii="Arial" w:hAnsi="Arial"/>
          <w:spacing w:val="-21"/>
          <w:sz w:val="32"/>
        </w:rPr>
        <w:t>+</w:t>
      </w:r>
      <w:r>
        <w:rPr>
          <w:rFonts w:ascii="Arial" w:hAnsi="Arial"/>
          <w:spacing w:val="-74"/>
          <w:sz w:val="32"/>
        </w:rPr>
        <w:t> </w:t>
      </w:r>
      <w:r>
        <w:rPr>
          <w:spacing w:val="3"/>
          <w:sz w:val="20"/>
        </w:rPr>
        <w:t>i'</w:t>
      </w:r>
      <w:r>
        <w:rPr>
          <w:rFonts w:ascii="Arial" w:hAnsi="Arial"/>
          <w:i/>
          <w:spacing w:val="3"/>
          <w:sz w:val="28"/>
        </w:rPr>
        <w:t>r-+lc</w:t>
      </w:r>
      <w:r>
        <w:rPr>
          <w:i/>
          <w:spacing w:val="3"/>
          <w:sz w:val="14"/>
        </w:rPr>
        <w:t>z </w:t>
      </w:r>
      <w:r>
        <w:rPr>
          <w:sz w:val="14"/>
        </w:rPr>
        <w:t>•</w:t>
      </w:r>
    </w:p>
    <w:p>
      <w:pPr>
        <w:spacing w:line="248" w:lineRule="exact" w:before="0"/>
        <w:ind w:left="319" w:right="0" w:firstLine="0"/>
        <w:jc w:val="left"/>
        <w:rPr>
          <w:sz w:val="21"/>
        </w:rPr>
      </w:pPr>
      <w:r>
        <w:rPr>
          <w:w w:val="105"/>
          <w:sz w:val="21"/>
        </w:rPr>
        <w:t>When </w:t>
      </w:r>
      <w:r>
        <w:rPr>
          <w:w w:val="115"/>
          <w:sz w:val="20"/>
        </w:rPr>
        <w:t>i' </w:t>
      </w:r>
      <w:r>
        <w:rPr>
          <w:w w:val="105"/>
          <w:sz w:val="23"/>
        </w:rPr>
        <w:t>= </w:t>
      </w:r>
      <w:r>
        <w:rPr>
          <w:w w:val="105"/>
          <w:sz w:val="20"/>
        </w:rPr>
        <w:t>i, </w:t>
      </w:r>
      <w:r>
        <w:rPr>
          <w:w w:val="105"/>
          <w:sz w:val="21"/>
        </w:rPr>
        <w:t>the above derivation leads to the formula</w:t>
      </w:r>
    </w:p>
    <w:p>
      <w:pPr>
        <w:tabs>
          <w:tab w:pos="388" w:val="left" w:leader="none"/>
          <w:tab w:pos="853" w:val="left" w:leader="none"/>
          <w:tab w:pos="1425" w:val="left" w:leader="none"/>
          <w:tab w:pos="1976" w:val="left" w:leader="none"/>
          <w:tab w:pos="2321" w:val="left" w:leader="none"/>
          <w:tab w:pos="2649" w:val="left" w:leader="none"/>
          <w:tab w:pos="3322" w:val="left" w:leader="none"/>
        </w:tabs>
        <w:spacing w:line="181" w:lineRule="exact" w:before="94"/>
        <w:ind w:left="0" w:right="104" w:firstLine="0"/>
        <w:jc w:val="center"/>
        <w:rPr>
          <w:rFonts w:ascii="Arial"/>
          <w:b/>
          <w:i/>
          <w:sz w:val="18"/>
        </w:rPr>
      </w:pPr>
      <w:r>
        <w:rPr>
          <w:w w:val="140"/>
          <w:sz w:val="22"/>
        </w:rPr>
        <w:t>.</w:t>
        <w:tab/>
      </w:r>
      <w:r>
        <w:rPr>
          <w:i/>
          <w:w w:val="155"/>
          <w:sz w:val="22"/>
        </w:rPr>
        <w:t>i</w:t>
        <w:tab/>
      </w:r>
      <w:r>
        <w:rPr>
          <w:rFonts w:ascii="Arial"/>
          <w:b/>
          <w:w w:val="260"/>
          <w:sz w:val="12"/>
        </w:rPr>
        <w:t>l</w:t>
        <w:tab/>
      </w:r>
      <w:r>
        <w:rPr>
          <w:rFonts w:ascii="Arial"/>
          <w:b/>
          <w:i/>
          <w:sz w:val="18"/>
        </w:rPr>
        <w:t>vn</w:t>
        <w:tab/>
      </w:r>
      <w:r>
        <w:rPr>
          <w:rFonts w:ascii="Arial"/>
          <w:w w:val="155"/>
          <w:sz w:val="18"/>
        </w:rPr>
        <w:t>.</w:t>
        <w:tab/>
      </w:r>
      <w:r>
        <w:rPr>
          <w:b/>
          <w:w w:val="140"/>
          <w:sz w:val="20"/>
        </w:rPr>
        <w:t>l</w:t>
        <w:tab/>
      </w:r>
      <w:r>
        <w:rPr>
          <w:rFonts w:ascii="Arial"/>
          <w:b/>
          <w:w w:val="155"/>
          <w:sz w:val="12"/>
        </w:rPr>
        <w:t>-1</w:t>
        <w:tab/>
      </w:r>
      <w:r>
        <w:rPr>
          <w:rFonts w:ascii="Arial"/>
          <w:b/>
          <w:i/>
          <w:sz w:val="18"/>
        </w:rPr>
        <w:t>vn</w:t>
      </w:r>
    </w:p>
    <w:p>
      <w:pPr>
        <w:tabs>
          <w:tab w:pos="2015" w:val="left" w:leader="none"/>
          <w:tab w:pos="4503" w:val="left" w:leader="none"/>
        </w:tabs>
        <w:spacing w:line="256" w:lineRule="exact" w:before="0"/>
        <w:ind w:left="0" w:right="132" w:firstLine="0"/>
        <w:jc w:val="right"/>
        <w:rPr>
          <w:b/>
          <w:sz w:val="19"/>
        </w:rPr>
      </w:pPr>
      <w:r>
        <w:rPr/>
        <w:pict>
          <v:line style="position:absolute;mso-position-horizontal-relative:page;mso-position-vertical-relative:paragraph;z-index:-722512" from="104.400002pt,11.915462pt" to="123.480002pt,11.915462pt" stroked="true" strokeweight="4.860pt" strokecolor="#000000">
            <w10:wrap type="none"/>
          </v:line>
        </w:pict>
      </w:r>
      <w:r>
        <w:rPr/>
        <w:pict>
          <v:line style="position:absolute;mso-position-horizontal-relative:page;mso-position-vertical-relative:paragraph;z-index:-722488" from="203.039993pt,11.825462pt" to="218.519993pt,11.825462pt" stroked="true" strokeweight="4.68pt" strokecolor="#000000">
            <w10:wrap type="none"/>
          </v:line>
        </w:pict>
      </w:r>
      <w:r>
        <w:rPr>
          <w:b/>
          <w:i/>
          <w:sz w:val="20"/>
        </w:rPr>
        <w:t>"Fs </w:t>
      </w:r>
      <w:r>
        <w:rPr>
          <w:rFonts w:ascii="Arial" w:hAnsi="Arial"/>
          <w:sz w:val="18"/>
        </w:rPr>
        <w:t>=:   </w:t>
      </w:r>
      <w:r>
        <w:rPr>
          <w:b/>
          <w:w w:val="125"/>
          <w:sz w:val="13"/>
        </w:rPr>
        <w:t>d(l</w:t>
      </w:r>
      <w:r>
        <w:rPr>
          <w:b/>
          <w:w w:val="125"/>
          <w:position w:val="-3"/>
          <w:sz w:val="12"/>
        </w:rPr>
        <w:t>2</w:t>
      </w:r>
      <w:r>
        <w:rPr>
          <w:b/>
          <w:w w:val="125"/>
          <w:sz w:val="12"/>
        </w:rPr>
        <w:t>)</w:t>
      </w:r>
      <w:r>
        <w:rPr>
          <w:b/>
          <w:spacing w:val="35"/>
          <w:w w:val="125"/>
          <w:sz w:val="12"/>
        </w:rPr>
        <w:t> </w:t>
      </w:r>
      <w:r>
        <w:rPr>
          <w:b/>
          <w:sz w:val="19"/>
        </w:rPr>
        <w:t>As:ñl </w:t>
      </w:r>
      <w:r>
        <w:rPr>
          <w:b/>
          <w:spacing w:val="2"/>
          <w:sz w:val="19"/>
        </w:rPr>
        <w:t> </w:t>
      </w:r>
      <w:r>
        <w:rPr>
          <w:w w:val="260"/>
          <w:sz w:val="19"/>
        </w:rPr>
        <w:t>-</w:t>
        <w:tab/>
      </w:r>
      <w:r>
        <w:rPr>
          <w:b/>
          <w:sz w:val="19"/>
        </w:rPr>
        <w:t>,aqs </w:t>
      </w:r>
      <w:r>
        <w:rPr>
          <w:rFonts w:ascii="Arial" w:hAnsi="Arial"/>
          <w:sz w:val="18"/>
        </w:rPr>
        <w:t>=: </w:t>
      </w:r>
      <w:r>
        <w:rPr>
          <w:b/>
          <w:spacing w:val="-3"/>
          <w:sz w:val="20"/>
        </w:rPr>
        <w:t>d0</w:t>
      </w:r>
      <w:r>
        <w:rPr>
          <w:b/>
          <w:spacing w:val="-3"/>
          <w:position w:val="-3"/>
          <w:sz w:val="12"/>
        </w:rPr>
        <w:t>2</w:t>
      </w:r>
      <w:r>
        <w:rPr>
          <w:b/>
          <w:spacing w:val="-3"/>
          <w:sz w:val="12"/>
        </w:rPr>
        <w:t>) </w:t>
      </w:r>
      <w:r>
        <w:rPr>
          <w:b/>
          <w:sz w:val="19"/>
        </w:rPr>
        <w:t>As:-;J </w:t>
      </w:r>
      <w:r>
        <w:rPr>
          <w:w w:val="260"/>
          <w:sz w:val="19"/>
        </w:rPr>
        <w:t>- </w:t>
      </w:r>
      <w:r>
        <w:rPr>
          <w:b/>
          <w:sz w:val="28"/>
        </w:rPr>
        <w:t>f</w:t>
      </w:r>
      <w:r>
        <w:rPr>
          <w:b/>
          <w:spacing w:val="-3"/>
          <w:sz w:val="28"/>
        </w:rPr>
        <w:t> </w:t>
      </w:r>
      <w:r>
        <w:rPr>
          <w:b/>
          <w:i/>
          <w:sz w:val="20"/>
        </w:rPr>
        <w:t>nqs</w:t>
      </w:r>
      <w:r>
        <w:rPr>
          <w:b/>
          <w:i/>
          <w:spacing w:val="-4"/>
          <w:sz w:val="20"/>
        </w:rPr>
        <w:t> </w:t>
      </w:r>
      <w:r>
        <w:rPr>
          <w:b/>
          <w:i/>
          <w:sz w:val="20"/>
        </w:rPr>
        <w:t>.</w:t>
        <w:tab/>
      </w:r>
      <w:r>
        <w:rPr>
          <w:b/>
          <w:sz w:val="19"/>
        </w:rPr>
        <w:t>(7.25)</w:t>
      </w:r>
    </w:p>
    <w:p>
      <w:pPr>
        <w:spacing w:line="237" w:lineRule="auto" w:before="182"/>
        <w:ind w:left="106" w:right="127" w:firstLine="7"/>
        <w:jc w:val="right"/>
        <w:rPr>
          <w:sz w:val="21"/>
        </w:rPr>
      </w:pPr>
      <w:r>
        <w:rPr>
          <w:sz w:val="21"/>
        </w:rPr>
        <w:t>The approximations produced by this formula are very</w:t>
      </w:r>
      <w:r>
        <w:rPr>
          <w:spacing w:val="52"/>
          <w:sz w:val="21"/>
        </w:rPr>
        <w:t> </w:t>
      </w:r>
      <w:r>
        <w:rPr>
          <w:sz w:val="21"/>
        </w:rPr>
        <w:t>close to</w:t>
      </w:r>
      <w:r>
        <w:rPr>
          <w:w w:val="111"/>
          <w:sz w:val="21"/>
        </w:rPr>
        <w:t> </w:t>
      </w:r>
      <w:r>
        <w:rPr>
          <w:sz w:val="21"/>
        </w:rPr>
        <w:t>those given by (7.23), which is derived from a similar assumption.</w:t>
      </w:r>
      <w:r>
        <w:rPr>
          <w:w w:val="100"/>
          <w:sz w:val="21"/>
        </w:rPr>
        <w:t> </w:t>
      </w:r>
      <w:r>
        <w:rPr>
          <w:sz w:val="21"/>
        </w:rPr>
        <w:t>Family income benefits are commonly issued in combination</w:t>
      </w:r>
      <w:r>
        <w:rPr>
          <w:w w:val="98"/>
          <w:sz w:val="21"/>
        </w:rPr>
        <w:t> </w:t>
      </w:r>
      <w:r>
        <w:rPr>
          <w:sz w:val="21"/>
        </w:rPr>
        <w:t>with permanent plans of insurance. When this </w:t>
      </w:r>
      <w:r>
        <w:rPr>
          <w:rFonts w:ascii="Arial" w:hAnsi="Arial"/>
          <w:sz w:val="20"/>
        </w:rPr>
        <w:t>is </w:t>
      </w:r>
      <w:r>
        <w:rPr>
          <w:sz w:val="21"/>
        </w:rPr>
        <w:t>done, the perma­</w:t>
      </w:r>
      <w:r>
        <w:rPr>
          <w:w w:val="98"/>
          <w:sz w:val="21"/>
        </w:rPr>
        <w:t> </w:t>
      </w:r>
      <w:r>
        <w:rPr>
          <w:sz w:val="21"/>
        </w:rPr>
        <w:t>nent plan </w:t>
      </w:r>
      <w:r>
        <w:rPr>
          <w:rFonts w:ascii="Arial" w:hAnsi="Arial"/>
          <w:sz w:val="20"/>
        </w:rPr>
        <w:t>is </w:t>
      </w:r>
      <w:r>
        <w:rPr>
          <w:sz w:val="21"/>
        </w:rPr>
        <w:t>usually modified so that the </w:t>
      </w:r>
      <w:r>
        <w:rPr>
          <w:rFonts w:ascii="Arial" w:hAnsi="Arial"/>
          <w:sz w:val="20"/>
        </w:rPr>
        <w:t>f</w:t>
      </w:r>
      <w:r>
        <w:rPr>
          <w:sz w:val="21"/>
        </w:rPr>
        <w:t>ace amount is not  pay­</w:t>
      </w:r>
      <w:r>
        <w:rPr>
          <w:w w:val="100"/>
          <w:sz w:val="21"/>
        </w:rPr>
        <w:t> </w:t>
      </w:r>
      <w:r>
        <w:rPr>
          <w:sz w:val="21"/>
        </w:rPr>
        <w:t>a.ble until the end of the </w:t>
      </w:r>
      <w:r>
        <w:rPr>
          <w:spacing w:val="3"/>
          <w:sz w:val="21"/>
        </w:rPr>
        <w:t>n-yar </w:t>
      </w:r>
      <w:r>
        <w:rPr>
          <w:sz w:val="21"/>
        </w:rPr>
        <w:t>fa.mily income period  in  the event</w:t>
      </w:r>
      <w:r>
        <w:rPr>
          <w:w w:val="102"/>
          <w:sz w:val="21"/>
        </w:rPr>
        <w:t> </w:t>
      </w:r>
      <w:r>
        <w:rPr>
          <w:sz w:val="21"/>
        </w:rPr>
        <w:t>of death during those </w:t>
      </w:r>
      <w:r>
        <w:rPr>
          <w:i/>
          <w:sz w:val="21"/>
        </w:rPr>
        <w:t>n </w:t>
      </w:r>
      <w:r>
        <w:rPr>
          <w:sz w:val="21"/>
        </w:rPr>
        <w:t>years. When  the  face amount  is retained</w:t>
      </w:r>
      <w:r>
        <w:rPr>
          <w:w w:val="99"/>
          <w:sz w:val="21"/>
        </w:rPr>
        <w:t> </w:t>
      </w:r>
      <w:r>
        <w:rPr>
          <w:sz w:val="21"/>
        </w:rPr>
        <w:t>by the insurer in this wa.y, it ma.y be assumed that a portion of the</w:t>
      </w:r>
      <w:r>
        <w:rPr>
          <w:w w:val="106"/>
          <w:sz w:val="21"/>
        </w:rPr>
        <w:t> </w:t>
      </w:r>
      <w:r>
        <w:rPr>
          <w:sz w:val="21"/>
        </w:rPr>
        <w:t>family income benefit is provided by the  interest  eamed on the</w:t>
      </w:r>
      <w:r>
        <w:rPr>
          <w:w w:val="106"/>
          <w:sz w:val="21"/>
        </w:rPr>
        <w:t> </w:t>
      </w:r>
      <w:r>
        <w:rPr>
          <w:sz w:val="21"/>
        </w:rPr>
        <w:t>face a.mount. </w:t>
      </w:r>
      <w:r>
        <w:rPr>
          <w:sz w:val="20"/>
        </w:rPr>
        <w:t>If, </w:t>
      </w:r>
      <w:r>
        <w:rPr>
          <w:sz w:val="21"/>
        </w:rPr>
        <w:t>for example, the permanent plan has a face amount</w:t>
      </w:r>
      <w:r>
        <w:rPr>
          <w:w w:val="102"/>
          <w:sz w:val="21"/>
        </w:rPr>
        <w:t> </w:t>
      </w:r>
      <w:r>
        <w:rPr>
          <w:sz w:val="21"/>
        </w:rPr>
        <w:t>of  </w:t>
      </w:r>
      <w:r>
        <w:rPr>
          <w:spacing w:val="-13"/>
          <w:sz w:val="21"/>
        </w:rPr>
        <w:t>$1000  </w:t>
      </w:r>
      <w:r>
        <w:rPr>
          <w:sz w:val="21"/>
        </w:rPr>
        <w:t>and the family  income benefit  is </w:t>
      </w:r>
      <w:r>
        <w:rPr>
          <w:spacing w:val="-4"/>
          <w:sz w:val="21"/>
        </w:rPr>
        <w:t>$10 </w:t>
      </w:r>
      <w:r>
        <w:rPr>
          <w:sz w:val="21"/>
        </w:rPr>
        <w:t>per month,  the face</w:t>
      </w:r>
    </w:p>
    <w:p>
      <w:pPr>
        <w:spacing w:line="126" w:lineRule="exact" w:before="1"/>
        <w:ind w:left="0" w:right="618" w:firstLine="0"/>
        <w:jc w:val="right"/>
        <w:rPr>
          <w:sz w:val="12"/>
        </w:rPr>
      </w:pPr>
      <w:r>
        <w:rPr>
          <w:w w:val="140"/>
          <w:sz w:val="12"/>
        </w:rPr>
        <w:t>d'I2)</w:t>
      </w:r>
    </w:p>
    <w:p>
      <w:pPr>
        <w:spacing w:line="342" w:lineRule="exact" w:before="0"/>
        <w:ind w:left="110" w:right="0" w:firstLine="0"/>
        <w:jc w:val="both"/>
        <w:rPr>
          <w:sz w:val="21"/>
        </w:rPr>
      </w:pPr>
      <w:r>
        <w:rPr>
          <w:sz w:val="21"/>
        </w:rPr>
        <w:t>amount  will  provide  a monthly  interest  income  of  1000  </w:t>
      </w:r>
      <w:r>
        <w:rPr>
          <w:rFonts w:ascii="Arial"/>
          <w:position w:val="-12"/>
          <w:sz w:val="26"/>
        </w:rPr>
        <w:t>12 </w:t>
      </w:r>
      <w:r>
        <w:rPr>
          <w:sz w:val="21"/>
        </w:rPr>
        <w:t>pay-</w:t>
      </w:r>
    </w:p>
    <w:p>
      <w:pPr>
        <w:spacing w:line="151" w:lineRule="exact" w:before="0"/>
        <w:ind w:left="0" w:right="1507" w:firstLine="0"/>
        <w:jc w:val="right"/>
        <w:rPr>
          <w:rFonts w:ascii="Arial"/>
          <w:b/>
          <w:sz w:val="18"/>
        </w:rPr>
      </w:pPr>
      <w:r>
        <w:rPr>
          <w:rFonts w:ascii="Arial"/>
          <w:b/>
          <w:w w:val="65"/>
          <w:sz w:val="18"/>
        </w:rPr>
        <w:t>d&lt;H&gt;</w:t>
      </w:r>
    </w:p>
    <w:p>
      <w:pPr>
        <w:spacing w:line="337" w:lineRule="exact" w:before="0"/>
        <w:ind w:left="110" w:right="0" w:firstLine="0"/>
        <w:jc w:val="both"/>
        <w:rPr>
          <w:sz w:val="21"/>
        </w:rPr>
      </w:pPr>
      <w:r>
        <w:rPr>
          <w:w w:val="105"/>
          <w:sz w:val="21"/>
        </w:rPr>
        <w:t>able </w:t>
      </w:r>
      <w:r>
        <w:rPr>
          <w:w w:val="105"/>
          <w:sz w:val="20"/>
        </w:rPr>
        <w:t>in </w:t>
      </w:r>
      <w:r>
        <w:rPr>
          <w:w w:val="105"/>
          <w:sz w:val="21"/>
        </w:rPr>
        <w:t>advance, leaving a balance of 10 </w:t>
      </w:r>
      <w:r>
        <w:rPr>
          <w:w w:val="150"/>
          <w:sz w:val="21"/>
        </w:rPr>
        <w:t>- </w:t>
      </w:r>
      <w:r>
        <w:rPr>
          <w:w w:val="105"/>
          <w:sz w:val="21"/>
        </w:rPr>
        <w:t>1000 </w:t>
      </w:r>
      <w:r>
        <w:rPr>
          <w:rFonts w:ascii="Arial"/>
          <w:w w:val="105"/>
          <w:position w:val="-12"/>
          <w:sz w:val="25"/>
        </w:rPr>
        <w:t>12 </w:t>
      </w:r>
      <w:r>
        <w:rPr>
          <w:w w:val="105"/>
          <w:sz w:val="21"/>
        </w:rPr>
        <w:t>to be provided</w:t>
      </w:r>
    </w:p>
    <w:p>
      <w:pPr>
        <w:spacing w:line="235" w:lineRule="auto" w:before="0"/>
        <w:ind w:left="110" w:right="141" w:firstLine="3"/>
        <w:jc w:val="both"/>
        <w:rPr>
          <w:sz w:val="21"/>
        </w:rPr>
      </w:pPr>
      <w:r>
        <w:rPr>
          <w:sz w:val="21"/>
        </w:rPr>
        <w:t>by the </w:t>
      </w:r>
      <w:r>
        <w:rPr>
          <w:sz w:val="20"/>
        </w:rPr>
        <w:t>f</w:t>
      </w:r>
      <w:r>
        <w:rPr>
          <w:sz w:val="21"/>
        </w:rPr>
        <w:t>amily income premium. The net single premium for the combination  benefit  thus  consists of  the  premium  for the perma-</w:t>
      </w:r>
    </w:p>
    <w:p>
      <w:pPr>
        <w:spacing w:after="0" w:line="235" w:lineRule="auto"/>
        <w:jc w:val="both"/>
        <w:rPr>
          <w:sz w:val="21"/>
        </w:rPr>
        <w:sectPr>
          <w:type w:val="continuous"/>
          <w:pgSz w:w="7200" w:h="11340"/>
          <w:pgMar w:top="1100" w:bottom="0" w:left="660" w:right="540"/>
        </w:sectPr>
      </w:pPr>
    </w:p>
    <w:p>
      <w:pPr>
        <w:tabs>
          <w:tab w:pos="2324" w:val="left" w:leader="none"/>
          <w:tab w:pos="5318" w:val="left" w:leader="none"/>
        </w:tabs>
        <w:spacing w:before="56"/>
        <w:ind w:left="167" w:right="0" w:firstLine="0"/>
        <w:jc w:val="both"/>
        <w:rPr>
          <w:b/>
          <w:sz w:val="21"/>
        </w:rPr>
      </w:pPr>
      <w:r>
        <w:rPr>
          <w:color w:val="010101"/>
          <w:spacing w:val="-14"/>
          <w:sz w:val="19"/>
        </w:rPr>
        <w:t>164</w:t>
        <w:tab/>
      </w:r>
      <w:r>
        <w:rPr>
          <w:b/>
          <w:color w:val="010101"/>
          <w:sz w:val="15"/>
        </w:rPr>
        <w:t>SPZCIAL </w:t>
      </w:r>
      <w:r>
        <w:rPr>
          <w:b/>
          <w:color w:val="010101"/>
          <w:spacing w:val="13"/>
          <w:sz w:val="15"/>
        </w:rPr>
        <w:t> </w:t>
      </w:r>
      <w:r>
        <w:rPr>
          <w:b/>
          <w:color w:val="010101"/>
          <w:sz w:val="15"/>
        </w:rPr>
        <w:t>'l'OPICS</w:t>
        <w:tab/>
      </w:r>
      <w:r>
        <w:rPr>
          <w:rFonts w:ascii="Arial"/>
          <w:b/>
          <w:color w:val="010101"/>
          <w:w w:val="95"/>
          <w:sz w:val="19"/>
        </w:rPr>
        <w:t>[CH.</w:t>
      </w:r>
      <w:r>
        <w:rPr>
          <w:rFonts w:ascii="Arial"/>
          <w:b/>
          <w:color w:val="010101"/>
          <w:spacing w:val="3"/>
          <w:w w:val="95"/>
          <w:sz w:val="19"/>
        </w:rPr>
        <w:t> </w:t>
      </w:r>
      <w:r>
        <w:rPr>
          <w:b/>
          <w:color w:val="010101"/>
          <w:w w:val="95"/>
          <w:sz w:val="21"/>
        </w:rPr>
        <w:t>7</w:t>
      </w:r>
    </w:p>
    <w:p>
      <w:pPr>
        <w:pStyle w:val="BodyText"/>
        <w:spacing w:before="1"/>
        <w:rPr>
          <w:b/>
        </w:rPr>
      </w:pPr>
    </w:p>
    <w:p>
      <w:pPr>
        <w:pStyle w:val="BodyText"/>
        <w:ind w:left="156"/>
        <w:jc w:val="both"/>
      </w:pPr>
      <w:r>
        <w:rPr>
          <w:color w:val="010101"/>
        </w:rPr>
        <w:t>nent  plan  plus  thc family  income  premium of</w:t>
      </w:r>
    </w:p>
    <w:p>
      <w:pPr>
        <w:tabs>
          <w:tab w:pos="5336" w:val="left" w:leader="none"/>
        </w:tabs>
        <w:spacing w:before="119"/>
        <w:ind w:left="2188" w:right="0" w:firstLine="0"/>
        <w:jc w:val="left"/>
        <w:rPr>
          <w:sz w:val="20"/>
        </w:rPr>
      </w:pPr>
      <w:r>
        <w:rPr>
          <w:rFonts w:ascii="Arial"/>
          <w:b/>
          <w:color w:val="010101"/>
          <w:w w:val="93"/>
          <w:position w:val="1"/>
          <w:sz w:val="19"/>
        </w:rPr>
        <w:t>(</w:t>
      </w:r>
      <w:r>
        <w:rPr>
          <w:rFonts w:ascii="Arial"/>
          <w:b/>
          <w:color w:val="010101"/>
          <w:w w:val="93"/>
          <w:position w:val="1"/>
          <w:sz w:val="19"/>
        </w:rPr>
        <w:t>120</w:t>
      </w:r>
      <w:r>
        <w:rPr>
          <w:rFonts w:ascii="Arial"/>
          <w:b/>
          <w:color w:val="010101"/>
          <w:position w:val="1"/>
          <w:sz w:val="19"/>
        </w:rPr>
        <w:t> </w:t>
      </w:r>
      <w:r>
        <w:rPr>
          <w:rFonts w:ascii="Arial"/>
          <w:b/>
          <w:color w:val="010101"/>
          <w:spacing w:val="-20"/>
          <w:position w:val="1"/>
          <w:sz w:val="19"/>
        </w:rPr>
        <w:t> </w:t>
      </w:r>
      <w:r>
        <w:rPr>
          <w:rFonts w:ascii="Arial"/>
          <w:color w:val="010101"/>
          <w:w w:val="260"/>
          <w:position w:val="1"/>
          <w:sz w:val="19"/>
        </w:rPr>
        <w:t>-</w:t>
      </w:r>
      <w:r>
        <w:rPr>
          <w:rFonts w:ascii="Arial"/>
          <w:color w:val="010101"/>
          <w:spacing w:val="25"/>
          <w:position w:val="1"/>
          <w:sz w:val="19"/>
        </w:rPr>
        <w:t> </w:t>
      </w:r>
      <w:r>
        <w:rPr>
          <w:rFonts w:ascii="Arial"/>
          <w:b/>
          <w:color w:val="010101"/>
          <w:spacing w:val="-37"/>
          <w:w w:val="111"/>
          <w:position w:val="1"/>
          <w:sz w:val="19"/>
        </w:rPr>
        <w:t>1</w:t>
      </w:r>
      <w:r>
        <w:rPr>
          <w:rFonts w:ascii="Arial"/>
          <w:b/>
          <w:color w:val="010101"/>
          <w:w w:val="88"/>
          <w:position w:val="1"/>
          <w:sz w:val="19"/>
        </w:rPr>
        <w:t>000d</w:t>
      </w:r>
      <w:r>
        <w:rPr>
          <w:rFonts w:ascii="Arial"/>
          <w:b/>
          <w:color w:val="010101"/>
          <w:w w:val="88"/>
          <w:position w:val="1"/>
          <w:sz w:val="19"/>
        </w:rPr>
        <w:t>(</w:t>
      </w:r>
      <w:r>
        <w:rPr>
          <w:rFonts w:ascii="Arial"/>
          <w:b/>
          <w:color w:val="010101"/>
          <w:spacing w:val="8"/>
          <w:w w:val="88"/>
          <w:position w:val="1"/>
          <w:sz w:val="19"/>
        </w:rPr>
        <w:t>l</w:t>
      </w:r>
      <w:r>
        <w:rPr>
          <w:rFonts w:ascii="Arial"/>
          <w:b/>
          <w:color w:val="010101"/>
          <w:spacing w:val="7"/>
          <w:w w:val="92"/>
          <w:position w:val="9"/>
          <w:sz w:val="11"/>
        </w:rPr>
        <w:t>2</w:t>
      </w:r>
      <w:r>
        <w:rPr>
          <w:rFonts w:ascii="Arial"/>
          <w:b/>
          <w:color w:val="010101"/>
          <w:w w:val="88"/>
          <w:position w:val="1"/>
          <w:sz w:val="11"/>
        </w:rPr>
        <w:t>)</w:t>
      </w:r>
      <w:r>
        <w:rPr>
          <w:rFonts w:ascii="Arial"/>
          <w:b/>
          <w:color w:val="010101"/>
          <w:spacing w:val="8"/>
          <w:position w:val="1"/>
          <w:sz w:val="11"/>
        </w:rPr>
        <w:t> </w:t>
      </w:r>
      <w:r>
        <w:rPr>
          <w:b/>
          <w:i/>
          <w:color w:val="010101"/>
          <w:w w:val="68"/>
          <w:position w:val="1"/>
          <w:sz w:val="20"/>
        </w:rPr>
        <w:t>)</w:t>
      </w:r>
      <w:r>
        <w:rPr>
          <w:b/>
          <w:i/>
          <w:color w:val="010101"/>
          <w:w w:val="68"/>
          <w:position w:val="1"/>
          <w:sz w:val="20"/>
        </w:rPr>
        <w:t>raFz</w:t>
      </w:r>
      <w:r>
        <w:rPr>
          <w:b/>
          <w:i/>
          <w:color w:val="010101"/>
          <w:position w:val="1"/>
          <w:sz w:val="20"/>
        </w:rPr>
        <w:t> </w:t>
      </w:r>
      <w:r>
        <w:rPr>
          <w:b/>
          <w:i/>
          <w:color w:val="010101"/>
          <w:spacing w:val="-7"/>
          <w:position w:val="1"/>
          <w:sz w:val="20"/>
        </w:rPr>
        <w:t> </w:t>
      </w:r>
      <w:r>
        <w:rPr>
          <w:b/>
          <w:i/>
          <w:color w:val="010101"/>
          <w:w w:val="87"/>
          <w:position w:val="1"/>
          <w:sz w:val="20"/>
        </w:rPr>
        <w:t>.</w:t>
      </w:r>
      <w:r>
        <w:rPr>
          <w:b/>
          <w:i/>
          <w:color w:val="010101"/>
          <w:position w:val="1"/>
          <w:sz w:val="20"/>
        </w:rPr>
        <w:tab/>
      </w:r>
      <w:r>
        <w:rPr>
          <w:color w:val="010101"/>
          <w:w w:val="97"/>
          <w:sz w:val="20"/>
        </w:rPr>
        <w:t>(7.26</w:t>
      </w:r>
      <w:r>
        <w:rPr>
          <w:color w:val="010101"/>
          <w:spacing w:val="-22"/>
          <w:sz w:val="20"/>
        </w:rPr>
        <w:t> </w:t>
      </w:r>
      <w:r>
        <w:rPr>
          <w:color w:val="010101"/>
          <w:w w:val="90"/>
          <w:sz w:val="20"/>
        </w:rPr>
        <w:t>)</w:t>
      </w:r>
    </w:p>
    <w:p>
      <w:pPr>
        <w:pStyle w:val="BodyText"/>
        <w:spacing w:line="247" w:lineRule="auto" w:before="123"/>
        <w:ind w:left="131" w:right="110" w:firstLine="211"/>
        <w:jc w:val="both"/>
      </w:pPr>
      <w:r>
        <w:rPr>
          <w:color w:val="010101"/>
          <w:w w:val="105"/>
          <w:sz w:val="21"/>
        </w:rPr>
        <w:t>It </w:t>
      </w:r>
      <w:r>
        <w:rPr>
          <w:color w:val="010101"/>
          <w:w w:val="105"/>
        </w:rPr>
        <w:t>should </w:t>
      </w:r>
      <w:r>
        <w:rPr>
          <w:color w:val="010101"/>
          <w:w w:val="105"/>
          <w:sz w:val="19"/>
        </w:rPr>
        <w:t>be </w:t>
      </w:r>
      <w:r>
        <w:rPr>
          <w:color w:val="010101"/>
          <w:w w:val="105"/>
        </w:rPr>
        <w:t>noted that an additional approximation has been introduced in the reasoning by which (7.26) has been derived. If death occurs during the fami1y income period, the </w:t>
      </w:r>
      <w:r>
        <w:rPr>
          <w:rFonts w:ascii="Arial"/>
          <w:color w:val="010101"/>
          <w:w w:val="105"/>
          <w:sz w:val="19"/>
        </w:rPr>
        <w:t>f</w:t>
      </w:r>
      <w:r>
        <w:rPr>
          <w:color w:val="010101"/>
          <w:w w:val="105"/>
        </w:rPr>
        <w:t>ace amount becomes payablc at the end of </w:t>
      </w:r>
      <w:r>
        <w:rPr>
          <w:i/>
          <w:color w:val="010101"/>
          <w:w w:val="105"/>
          <w:sz w:val="21"/>
        </w:rPr>
        <w:t>n </w:t>
      </w:r>
      <w:r>
        <w:rPr>
          <w:color w:val="010101"/>
          <w:w w:val="105"/>
        </w:rPr>
        <w:t>years from the date of issue. The monthly payment dates, however, do not usually correspond with the beginning of policy months, and the final income payment normally becomes due lcss than a month before the face amount is payable.  Consequently,  it  should  not  </w:t>
      </w:r>
      <w:r>
        <w:rPr>
          <w:color w:val="010101"/>
          <w:w w:val="105"/>
          <w:sz w:val="19"/>
        </w:rPr>
        <w:t>be  </w:t>
      </w:r>
      <w:r>
        <w:rPr>
          <w:color w:val="010101"/>
          <w:w w:val="105"/>
        </w:rPr>
        <w:t>assumed  that  the  face</w:t>
      </w:r>
    </w:p>
    <w:p>
      <w:pPr>
        <w:spacing w:line="180" w:lineRule="exact" w:before="0"/>
        <w:ind w:left="0" w:right="1290" w:firstLine="0"/>
        <w:jc w:val="right"/>
        <w:rPr>
          <w:rFonts w:ascii="Arial"/>
          <w:sz w:val="15"/>
        </w:rPr>
      </w:pPr>
      <w:r>
        <w:rPr>
          <w:rFonts w:ascii="Arial"/>
          <w:color w:val="010101"/>
          <w:w w:val="57"/>
          <w:sz w:val="25"/>
        </w:rPr>
        <w:t>10ooct</w:t>
      </w:r>
      <w:r>
        <w:rPr>
          <w:rFonts w:ascii="Arial"/>
          <w:color w:val="010101"/>
          <w:spacing w:val="6"/>
          <w:w w:val="57"/>
          <w:sz w:val="25"/>
        </w:rPr>
        <w:t>&lt;</w:t>
      </w:r>
      <w:r>
        <w:rPr>
          <w:color w:val="010101"/>
          <w:w w:val="106"/>
          <w:position w:val="8"/>
          <w:sz w:val="11"/>
        </w:rPr>
        <w:t>1</w:t>
      </w:r>
      <w:r>
        <w:rPr>
          <w:color w:val="010101"/>
          <w:spacing w:val="-13"/>
          <w:w w:val="106"/>
          <w:position w:val="8"/>
          <w:sz w:val="11"/>
        </w:rPr>
        <w:t>2</w:t>
      </w:r>
      <w:r>
        <w:rPr>
          <w:rFonts w:ascii="Arial"/>
          <w:color w:val="010101"/>
          <w:w w:val="53"/>
          <w:sz w:val="15"/>
        </w:rPr>
        <w:t>&gt;</w:t>
      </w:r>
    </w:p>
    <w:p>
      <w:pPr>
        <w:pStyle w:val="BodyText"/>
        <w:spacing w:line="306" w:lineRule="exact"/>
        <w:ind w:left="131"/>
        <w:jc w:val="both"/>
      </w:pPr>
      <w:r>
        <w:rPr/>
        <w:pict>
          <v:rect style="position:absolute;margin-left:245.901596pt;margin-top:6.680257pt;width:9.120800pt;height:6.61699pt;mso-position-horizontal-relative:page;mso-position-vertical-relative:paragraph;z-index:-722392" filled="true" fillcolor="#000000" stroked="false">
            <v:fill type="solid"/>
            <w10:wrap type="none"/>
          </v:rect>
        </w:pict>
      </w:r>
      <w:r>
        <w:rPr>
          <w:color w:val="010101"/>
        </w:rPr>
        <w:t>amount  provides  a  full  interest  payment  of        </w:t>
      </w:r>
      <w:r>
        <w:rPr>
          <w:color w:val="010101"/>
          <w:position w:val="-12"/>
        </w:rPr>
        <w:t>12       </w:t>
      </w:r>
      <w:r>
        <w:rPr>
          <w:color w:val="010101"/>
        </w:rPr>
        <w:t>for  this final</w:t>
      </w:r>
    </w:p>
    <w:p>
      <w:pPr>
        <w:pStyle w:val="BodyText"/>
        <w:spacing w:line="242" w:lineRule="auto"/>
        <w:ind w:left="139" w:right="141" w:hanging="8"/>
        <w:jc w:val="both"/>
        <w:rPr>
          <w:sz w:val="12"/>
        </w:rPr>
      </w:pPr>
      <w:r>
        <w:rPr>
          <w:color w:val="010101"/>
        </w:rPr>
        <w:t>fractional period. The error is obviously very small, and is of ten ignored in pract.ice. The derivation of a formula which is free from this  error  will  be  suggested  as  an  exercise  for  thc</w:t>
      </w:r>
      <w:r>
        <w:rPr>
          <w:color w:val="010101"/>
          <w:spacing w:val="9"/>
        </w:rPr>
        <w:t> </w:t>
      </w:r>
      <w:r>
        <w:rPr>
          <w:color w:val="010101"/>
        </w:rPr>
        <w:t>studcnt.</w:t>
      </w:r>
      <w:r>
        <w:rPr>
          <w:color w:val="010101"/>
          <w:position w:val="9"/>
          <w:sz w:val="12"/>
        </w:rPr>
        <w:t>1</w:t>
      </w:r>
    </w:p>
    <w:p>
      <w:pPr>
        <w:pStyle w:val="BodyText"/>
        <w:spacing w:line="249" w:lineRule="auto" w:before="8"/>
        <w:ind w:left="117" w:right="126" w:firstLine="203"/>
        <w:jc w:val="both"/>
      </w:pPr>
      <w:r>
        <w:rPr>
          <w:color w:val="010101"/>
          <w:w w:val="105"/>
        </w:rPr>
        <w:t>Annual premiums for family income bencfits may be derived in accordance with the usual principies </w:t>
      </w:r>
      <w:r>
        <w:rPr>
          <w:color w:val="010101"/>
          <w:w w:val="105"/>
          <w:sz w:val="19"/>
        </w:rPr>
        <w:t>by </w:t>
      </w:r>
      <w:r>
        <w:rPr>
          <w:color w:val="010101"/>
          <w:w w:val="105"/>
        </w:rPr>
        <w:t>dividing the net single premium by the appropriate life annuity factor. Thesc policies are sometimes issued with premiums on a limited-payment basis in order to eliminate the negative reserves which may occur when a decreasing benefit of this kind is subject to level annual  premiums.</w:t>
      </w:r>
    </w:p>
    <w:p>
      <w:pPr>
        <w:pStyle w:val="ListParagraph"/>
        <w:numPr>
          <w:ilvl w:val="0"/>
          <w:numId w:val="69"/>
        </w:numPr>
        <w:tabs>
          <w:tab w:pos="340" w:val="left" w:leader="none"/>
        </w:tabs>
        <w:spacing w:line="240" w:lineRule="auto" w:before="176" w:after="0"/>
        <w:ind w:left="339" w:right="0" w:hanging="222"/>
        <w:jc w:val="both"/>
        <w:rPr>
          <w:b/>
          <w:color w:val="010101"/>
          <w:sz w:val="19"/>
        </w:rPr>
      </w:pPr>
      <w:r>
        <w:rPr>
          <w:b/>
          <w:color w:val="010101"/>
          <w:w w:val="120"/>
          <w:sz w:val="19"/>
        </w:rPr>
        <w:t>Notation</w:t>
      </w:r>
    </w:p>
    <w:p>
      <w:pPr>
        <w:pStyle w:val="BodyText"/>
        <w:spacing w:line="226" w:lineRule="exact" w:before="84"/>
        <w:ind w:left="310"/>
      </w:pPr>
      <w:r>
        <w:rPr>
          <w:color w:val="010101"/>
          <w:w w:val="105"/>
        </w:rPr>
        <w:t>One new notational principle has been introduced in this chapter:</w:t>
      </w:r>
    </w:p>
    <w:p>
      <w:pPr>
        <w:pStyle w:val="BodyText"/>
        <w:spacing w:line="244" w:lineRule="auto"/>
        <w:ind w:left="110" w:right="138" w:firstLine="196"/>
        <w:jc w:val="both"/>
        <w:rPr>
          <w:b/>
          <w:i/>
          <w:sz w:val="21"/>
        </w:rPr>
      </w:pPr>
      <w:r>
        <w:rPr>
          <w:color w:val="010101"/>
          <w:sz w:val="22"/>
        </w:rPr>
        <w:t>J. </w:t>
      </w:r>
      <w:r>
        <w:rPr>
          <w:color w:val="010101"/>
        </w:rPr>
        <w:t>A small circle placed over the principal symbol shows that thc function  is  complete.  This  is  illustrated  by  the  complete  annuity  </w:t>
      </w:r>
      <w:r>
        <w:rPr>
          <w:b/>
          <w:i/>
          <w:color w:val="010101"/>
          <w:w w:val="95"/>
          <w:sz w:val="21"/>
        </w:rPr>
        <w:t>llz .</w:t>
      </w:r>
    </w:p>
    <w:p>
      <w:pPr>
        <w:pStyle w:val="BodyText"/>
        <w:spacing w:line="100" w:lineRule="auto" w:before="104"/>
        <w:ind w:left="114" w:right="153" w:firstLine="203"/>
        <w:jc w:val="both"/>
      </w:pPr>
      <w:r>
        <w:rPr>
          <w:color w:val="010101"/>
          <w:sz w:val="21"/>
        </w:rPr>
        <w:t>It </w:t>
      </w:r>
      <w:r>
        <w:rPr>
          <w:color w:val="010101"/>
        </w:rPr>
        <w:t>should be understood that symbols like the following are not standard notation: </w:t>
      </w:r>
      <w:r>
        <w:rPr>
          <w:color w:val="010101"/>
          <w:spacing w:val="-3"/>
        </w:rPr>
        <w:t>N!"'l, </w:t>
      </w:r>
      <w:r>
        <w:rPr>
          <w:color w:val="010101"/>
          <w:sz w:val="21"/>
        </w:rPr>
        <w:t>raFz , </w:t>
      </w:r>
      <w:r>
        <w:rPr>
          <w:i/>
          <w:color w:val="010101"/>
          <w:sz w:val="36"/>
        </w:rPr>
        <w:t>n; </w:t>
      </w:r>
      <w:r>
        <w:rPr>
          <w:color w:val="010101"/>
          <w:sz w:val="36"/>
        </w:rPr>
        <w:t>. </w:t>
      </w:r>
      <w:r>
        <w:rPr>
          <w:color w:val="010101"/>
        </w:rPr>
        <w:t>They will not be used  outside of</w:t>
      </w:r>
    </w:p>
    <w:p>
      <w:pPr>
        <w:pStyle w:val="BodyText"/>
        <w:spacing w:before="21"/>
        <w:ind w:left="114"/>
        <w:jc w:val="both"/>
      </w:pPr>
      <w:r>
        <w:rPr>
          <w:color w:val="010101"/>
          <w:w w:val="105"/>
        </w:rPr>
        <w:t>the spccial context  for which  they were defined  in this  chapter.</w:t>
      </w:r>
    </w:p>
    <w:p>
      <w:pPr>
        <w:pStyle w:val="BodyText"/>
        <w:spacing w:before="9"/>
        <w:rPr>
          <w:sz w:val="15"/>
        </w:rPr>
      </w:pPr>
    </w:p>
    <w:p>
      <w:pPr>
        <w:spacing w:before="0"/>
        <w:ind w:left="106" w:right="0" w:firstLine="0"/>
        <w:jc w:val="both"/>
        <w:rPr>
          <w:b/>
          <w:sz w:val="19"/>
        </w:rPr>
      </w:pPr>
      <w:r>
        <w:rPr>
          <w:b/>
          <w:color w:val="010101"/>
          <w:w w:val="115"/>
          <w:sz w:val="19"/>
        </w:rPr>
        <w:t>References</w:t>
      </w:r>
    </w:p>
    <w:p>
      <w:pPr>
        <w:pStyle w:val="BodyText"/>
        <w:spacing w:line="249" w:lineRule="auto" w:before="84"/>
        <w:ind w:left="103" w:right="141" w:firstLine="203"/>
        <w:jc w:val="both"/>
      </w:pPr>
      <w:r>
        <w:rPr>
          <w:b/>
          <w:color w:val="010101"/>
        </w:rPr>
        <w:t>2. </w:t>
      </w:r>
      <w:r>
        <w:rPr>
          <w:color w:val="010101"/>
        </w:rPr>
        <w:t>Employee pension plans are often  provided  on  a  group  an­ nuity basis, and these plans usually  nclude  sorne  variation  of  the cash  rcfund benefit.  </w:t>
      </w:r>
      <w:r>
        <w:rPr>
          <w:rFonts w:ascii="Arial" w:hAnsi="Arial"/>
          <w:b/>
          <w:color w:val="010101"/>
        </w:rPr>
        <w:t>A  </w:t>
      </w:r>
      <w:r>
        <w:rPr>
          <w:color w:val="010101"/>
        </w:rPr>
        <w:t>specific  example  may be seen in  Exercise 2.</w:t>
      </w:r>
    </w:p>
    <w:p>
      <w:pPr>
        <w:pStyle w:val="ListParagraph"/>
        <w:numPr>
          <w:ilvl w:val="0"/>
          <w:numId w:val="72"/>
        </w:numPr>
        <w:tabs>
          <w:tab w:pos="551" w:val="left" w:leader="none"/>
        </w:tabs>
        <w:spacing w:line="252" w:lineRule="auto" w:before="1" w:after="0"/>
        <w:ind w:left="103" w:right="159" w:firstLine="197"/>
        <w:jc w:val="both"/>
        <w:rPr>
          <w:color w:val="010101"/>
          <w:sz w:val="20"/>
        </w:rPr>
      </w:pPr>
      <w:r>
        <w:rPr>
          <w:color w:val="010101"/>
          <w:w w:val="105"/>
          <w:sz w:val="20"/>
        </w:rPr>
        <w:t>Rasor and Greville </w:t>
      </w:r>
      <w:r>
        <w:rPr>
          <w:rFonts w:ascii="Arial"/>
          <w:color w:val="010101"/>
          <w:spacing w:val="-5"/>
          <w:w w:val="105"/>
          <w:sz w:val="18"/>
        </w:rPr>
        <w:t>(1952)  </w:t>
      </w:r>
      <w:r>
        <w:rPr>
          <w:color w:val="010101"/>
          <w:w w:val="105"/>
          <w:sz w:val="20"/>
        </w:rPr>
        <w:t>have explored  the  consequences  of  makin</w:t>
      </w:r>
      <w:r>
        <w:rPr>
          <w:color w:val="010101"/>
          <w:w w:val="105"/>
          <w:sz w:val="20"/>
          <w:u w:val="thick" w:color="000000"/>
        </w:rPr>
        <w:t>g  </w:t>
      </w:r>
      <w:r>
        <w:rPr>
          <w:color w:val="010101"/>
          <w:w w:val="105"/>
          <w:sz w:val="20"/>
        </w:rPr>
        <w:t>a somcwhat  diff erent assumption  as to the amount </w:t>
      </w:r>
      <w:r>
        <w:rPr>
          <w:color w:val="010101"/>
          <w:spacing w:val="18"/>
          <w:w w:val="105"/>
          <w:sz w:val="20"/>
        </w:rPr>
        <w:t> </w:t>
      </w:r>
      <w:r>
        <w:rPr>
          <w:color w:val="010101"/>
          <w:w w:val="105"/>
          <w:sz w:val="20"/>
        </w:rPr>
        <w:t>of</w:t>
      </w:r>
    </w:p>
    <w:p>
      <w:pPr>
        <w:spacing w:before="114"/>
        <w:ind w:left="303" w:right="0" w:firstLine="0"/>
        <w:jc w:val="left"/>
        <w:rPr>
          <w:b/>
          <w:sz w:val="17"/>
        </w:rPr>
      </w:pPr>
      <w:r>
        <w:rPr>
          <w:b/>
          <w:color w:val="010101"/>
          <w:sz w:val="11"/>
        </w:rPr>
        <w:t>1 </w:t>
      </w:r>
      <w:r>
        <w:rPr>
          <w:b/>
          <w:color w:val="010101"/>
          <w:sz w:val="17"/>
        </w:rPr>
        <w:t>See Exerciae  17.</w:t>
      </w:r>
    </w:p>
    <w:p>
      <w:pPr>
        <w:spacing w:after="0"/>
        <w:jc w:val="left"/>
        <w:rPr>
          <w:sz w:val="17"/>
        </w:rPr>
        <w:sectPr>
          <w:pgSz w:w="7200" w:h="11340"/>
          <w:pgMar w:top="480" w:bottom="280" w:left="680" w:right="560"/>
        </w:sectPr>
      </w:pPr>
    </w:p>
    <w:p>
      <w:pPr>
        <w:tabs>
          <w:tab w:pos="5850" w:val="right" w:leader="none"/>
        </w:tabs>
        <w:spacing w:before="58"/>
        <w:ind w:left="2528" w:right="0" w:firstLine="0"/>
        <w:jc w:val="left"/>
        <w:rPr>
          <w:sz w:val="20"/>
        </w:rPr>
      </w:pPr>
      <w:r>
        <w:rPr>
          <w:b/>
          <w:color w:val="010101"/>
          <w:position w:val="1"/>
          <w:sz w:val="15"/>
        </w:rPr>
        <w:t>EXERCISES</w:t>
      </w:r>
      <w:r>
        <w:rPr>
          <w:color w:val="010101"/>
          <w:sz w:val="20"/>
        </w:rPr>
        <w:tab/>
        <w:t>165</w:t>
      </w:r>
    </w:p>
    <w:p>
      <w:pPr>
        <w:pStyle w:val="BodyText"/>
        <w:spacing w:before="9"/>
        <w:rPr>
          <w:sz w:val="19"/>
        </w:rPr>
      </w:pPr>
    </w:p>
    <w:p>
      <w:pPr>
        <w:spacing w:before="0"/>
        <w:ind w:left="114" w:right="114" w:firstLine="3"/>
        <w:jc w:val="both"/>
        <w:rPr>
          <w:sz w:val="21"/>
        </w:rPr>
      </w:pPr>
      <w:r>
        <w:rPr>
          <w:color w:val="010101"/>
          <w:sz w:val="21"/>
        </w:rPr>
        <w:t>the fractional payment in the final year under a complete annuity. Their altemative assumption follows naturally from certain com­ pound interest considerations, and their results are in many ways more consistent than those which follow from the classical defi­ nition. This paper will be of interest to students who wish to see additional relationships between the theories of compound interest and life contingencies.</w:t>
      </w:r>
    </w:p>
    <w:p>
      <w:pPr>
        <w:pStyle w:val="ListParagraph"/>
        <w:numPr>
          <w:ilvl w:val="0"/>
          <w:numId w:val="72"/>
        </w:numPr>
        <w:tabs>
          <w:tab w:pos="562" w:val="left" w:leader="none"/>
        </w:tabs>
        <w:spacing w:line="240" w:lineRule="auto" w:before="0" w:after="0"/>
        <w:ind w:left="121" w:right="121" w:firstLine="189"/>
        <w:jc w:val="both"/>
        <w:rPr>
          <w:color w:val="010101"/>
          <w:sz w:val="21"/>
        </w:rPr>
      </w:pPr>
      <w:r>
        <w:rPr>
          <w:color w:val="010101"/>
          <w:sz w:val="21"/>
        </w:rPr>
        <w:t>The original paper on the retirement income  policy  was that of Fassel (1930). Our treatment here is in a form suggested to the author by Harry Gershenson, F.S.A. An approach using continu­ ous functions is given by Smith</w:t>
      </w:r>
      <w:r>
        <w:rPr>
          <w:color w:val="010101"/>
          <w:spacing w:val="49"/>
          <w:sz w:val="21"/>
        </w:rPr>
        <w:t> </w:t>
      </w:r>
      <w:r>
        <w:rPr>
          <w:color w:val="010101"/>
          <w:sz w:val="21"/>
        </w:rPr>
        <w:t>(1961).</w:t>
      </w:r>
    </w:p>
    <w:p>
      <w:pPr>
        <w:spacing w:line="240" w:lineRule="auto" w:before="0"/>
        <w:ind w:left="121" w:right="121" w:firstLine="200"/>
        <w:jc w:val="both"/>
        <w:rPr>
          <w:sz w:val="21"/>
        </w:rPr>
      </w:pPr>
      <w:r>
        <w:rPr>
          <w:color w:val="010101"/>
          <w:sz w:val="21"/>
        </w:rPr>
        <w:t>Adjusted premiums and mínimum  cash values  for this policy  are discussed by Hahn (1946). Rosser's discussion of the paper by Walker and Lewis (1949) gives references to formulas for most of the major reserve modification methods. </w:t>
      </w:r>
      <w:r>
        <w:rPr>
          <w:color w:val="010101"/>
          <w:spacing w:val="2"/>
          <w:sz w:val="21"/>
        </w:rPr>
        <w:t>Nesbitt </w:t>
      </w:r>
      <w:r>
        <w:rPr>
          <w:color w:val="010101"/>
          <w:sz w:val="21"/>
        </w:rPr>
        <w:t>and Van Eenam </w:t>
      </w:r>
      <w:r>
        <w:rPr>
          <w:color w:val="010101"/>
          <w:spacing w:val="-3"/>
          <w:sz w:val="21"/>
        </w:rPr>
        <w:t>(1952) </w:t>
      </w:r>
      <w:r>
        <w:rPr>
          <w:color w:val="010101"/>
          <w:sz w:val="21"/>
        </w:rPr>
        <w:t>have investigated a related type of policy which provides insurance for face amount or paid-up  insurance amount  if </w:t>
      </w:r>
      <w:r>
        <w:rPr>
          <w:color w:val="010101"/>
          <w:spacing w:val="29"/>
          <w:sz w:val="21"/>
        </w:rPr>
        <w:t> </w:t>
      </w:r>
      <w:r>
        <w:rPr>
          <w:color w:val="010101"/>
          <w:sz w:val="21"/>
        </w:rPr>
        <w:t>greater.</w:t>
      </w:r>
    </w:p>
    <w:p>
      <w:pPr>
        <w:spacing w:before="0"/>
        <w:ind w:left="124" w:right="114" w:firstLine="186"/>
        <w:jc w:val="both"/>
        <w:rPr>
          <w:sz w:val="21"/>
        </w:rPr>
      </w:pPr>
      <w:r>
        <w:rPr>
          <w:color w:val="010101"/>
          <w:sz w:val="21"/>
        </w:rPr>
        <w:t>6. The treatment of family income benefits is adaptcd from the paper by Cody  (1948).</w:t>
      </w:r>
    </w:p>
    <w:p>
      <w:pPr>
        <w:pStyle w:val="BodyText"/>
        <w:spacing w:before="10"/>
        <w:rPr>
          <w:sz w:val="21"/>
        </w:rPr>
      </w:pPr>
    </w:p>
    <w:p>
      <w:pPr>
        <w:spacing w:before="0"/>
        <w:ind w:left="135" w:right="131" w:firstLine="0"/>
        <w:jc w:val="center"/>
        <w:rPr>
          <w:sz w:val="17"/>
        </w:rPr>
      </w:pPr>
      <w:r>
        <w:rPr>
          <w:color w:val="010101"/>
          <w:w w:val="110"/>
          <w:sz w:val="17"/>
        </w:rPr>
        <w:t>EXERCISES</w:t>
      </w:r>
    </w:p>
    <w:p>
      <w:pPr>
        <w:pStyle w:val="BodyText"/>
        <w:rPr>
          <w:sz w:val="15"/>
        </w:rPr>
      </w:pPr>
    </w:p>
    <w:p>
      <w:pPr>
        <w:pStyle w:val="ListParagraph"/>
        <w:numPr>
          <w:ilvl w:val="0"/>
          <w:numId w:val="73"/>
        </w:numPr>
        <w:tabs>
          <w:tab w:pos="311" w:val="left" w:leader="none"/>
        </w:tabs>
        <w:spacing w:line="240" w:lineRule="auto" w:before="0" w:after="0"/>
        <w:ind w:left="310" w:right="0" w:hanging="196"/>
        <w:jc w:val="both"/>
        <w:rPr>
          <w:b/>
          <w:sz w:val="16"/>
        </w:rPr>
      </w:pPr>
      <w:r>
        <w:rPr>
          <w:b/>
          <w:color w:val="010101"/>
          <w:w w:val="125"/>
          <w:sz w:val="16"/>
        </w:rPr>
        <w:t>Cash refund </w:t>
      </w:r>
      <w:r>
        <w:rPr>
          <w:b/>
          <w:color w:val="010101"/>
          <w:spacing w:val="3"/>
          <w:w w:val="125"/>
          <w:sz w:val="16"/>
        </w:rPr>
        <w:t> </w:t>
      </w:r>
      <w:r>
        <w:rPr>
          <w:b/>
          <w:color w:val="010101"/>
          <w:w w:val="125"/>
          <w:sz w:val="16"/>
        </w:rPr>
        <w:t>annuities</w:t>
      </w:r>
    </w:p>
    <w:p>
      <w:pPr>
        <w:spacing w:line="244" w:lineRule="auto" w:before="83"/>
        <w:ind w:left="121" w:right="120" w:firstLine="168"/>
        <w:jc w:val="both"/>
        <w:rPr>
          <w:sz w:val="17"/>
        </w:rPr>
      </w:pPr>
      <w:r>
        <w:rPr>
          <w:color w:val="010101"/>
          <w:w w:val="130"/>
          <w:sz w:val="16"/>
        </w:rPr>
        <w:t>l.  </w:t>
      </w:r>
      <w:r>
        <w:rPr>
          <w:color w:val="010101"/>
          <w:sz w:val="17"/>
        </w:rPr>
        <w:t>Obtain  an  expression  in  a  form  involvi ng  an  integral   for  a   continu­ oua annuity to a person aged  </w:t>
      </w:r>
      <w:r>
        <w:rPr>
          <w:rFonts w:ascii="Arial" w:hAnsi="Arial"/>
          <w:i/>
          <w:color w:val="010101"/>
          <w:sz w:val="14"/>
        </w:rPr>
        <w:t>y  </w:t>
      </w:r>
      <w:r>
        <w:rPr>
          <w:color w:val="010101"/>
          <w:sz w:val="17"/>
        </w:rPr>
        <w:t>whích  provides  1 per  annum  payable  for  life, and  the  refund  in  cash  immediately  upon  the  death  of  </w:t>
      </w:r>
      <w:r>
        <w:rPr>
          <w:color w:val="010101"/>
          <w:sz w:val="15"/>
        </w:rPr>
        <w:t>(y)  </w:t>
      </w:r>
      <w:r>
        <w:rPr>
          <w:color w:val="010101"/>
          <w:sz w:val="17"/>
        </w:rPr>
        <w:t>of   the  excess  of an amount </w:t>
      </w:r>
      <w:r>
        <w:rPr>
          <w:i/>
          <w:color w:val="010101"/>
          <w:sz w:val="17"/>
        </w:rPr>
        <w:t>k </w:t>
      </w:r>
      <w:r>
        <w:rPr>
          <w:color w:val="010101"/>
          <w:sz w:val="17"/>
        </w:rPr>
        <w:t>over the total annuity payments previously made. From this  expression derive a  formula  which  will  enable  you  to  evaluate  it  assuming  you are given </w:t>
      </w:r>
      <w:r>
        <w:rPr>
          <w:rFonts w:ascii="Arial" w:hAnsi="Arial"/>
          <w:i/>
          <w:color w:val="010101"/>
          <w:sz w:val="16"/>
        </w:rPr>
        <w:t>k </w:t>
      </w:r>
      <w:r>
        <w:rPr>
          <w:rFonts w:ascii="Arial" w:hAnsi="Arial"/>
          <w:i/>
          <w:color w:val="010101"/>
          <w:w w:val="130"/>
          <w:sz w:val="16"/>
        </w:rPr>
        <w:t>, </w:t>
      </w:r>
      <w:r>
        <w:rPr>
          <w:color w:val="010101"/>
          <w:w w:val="130"/>
          <w:sz w:val="17"/>
        </w:rPr>
        <w:t>i, </w:t>
      </w:r>
      <w:r>
        <w:rPr>
          <w:color w:val="010101"/>
          <w:sz w:val="17"/>
        </w:rPr>
        <w:t>and a table </w:t>
      </w:r>
      <w:r>
        <w:rPr>
          <w:color w:val="010101"/>
          <w:w w:val="90"/>
          <w:sz w:val="18"/>
        </w:rPr>
        <w:t>5&gt;f </w:t>
      </w:r>
      <w:r>
        <w:rPr>
          <w:color w:val="010101"/>
          <w:sz w:val="17"/>
        </w:rPr>
        <w:t>values of </w:t>
      </w:r>
      <w:r>
        <w:rPr>
          <w:rFonts w:ascii="Arial" w:hAnsi="Arial"/>
          <w:i/>
          <w:color w:val="010101"/>
          <w:w w:val="90"/>
          <w:sz w:val="16"/>
        </w:rPr>
        <w:t>D:r: </w:t>
      </w:r>
      <w:r>
        <w:rPr>
          <w:rFonts w:ascii="Arial" w:hAnsi="Arial"/>
          <w:i/>
          <w:color w:val="010101"/>
          <w:sz w:val="16"/>
        </w:rPr>
        <w:t>, N:r: , Mx , </w:t>
      </w:r>
      <w:r>
        <w:rPr>
          <w:color w:val="010101"/>
          <w:sz w:val="17"/>
        </w:rPr>
        <w:t>and </w:t>
      </w:r>
      <w:r>
        <w:rPr>
          <w:rFonts w:ascii="Arial" w:hAnsi="Arial"/>
          <w:i/>
          <w:color w:val="010101"/>
          <w:sz w:val="18"/>
        </w:rPr>
        <w:t>R:, . </w:t>
      </w:r>
      <w:r>
        <w:rPr>
          <w:color w:val="010101"/>
          <w:sz w:val="17"/>
        </w:rPr>
        <w:t>State any approximations    </w:t>
      </w:r>
      <w:r>
        <w:rPr>
          <w:color w:val="010101"/>
          <w:spacing w:val="12"/>
          <w:sz w:val="17"/>
        </w:rPr>
        <w:t> </w:t>
      </w:r>
      <w:r>
        <w:rPr>
          <w:color w:val="010101"/>
          <w:sz w:val="17"/>
        </w:rPr>
        <w:t>used.</w:t>
      </w:r>
    </w:p>
    <w:p>
      <w:pPr>
        <w:pStyle w:val="ListParagraph"/>
        <w:numPr>
          <w:ilvl w:val="1"/>
          <w:numId w:val="73"/>
        </w:numPr>
        <w:tabs>
          <w:tab w:pos="494" w:val="left" w:leader="none"/>
        </w:tabs>
        <w:spacing w:line="244" w:lineRule="auto" w:before="0" w:after="0"/>
        <w:ind w:left="124" w:right="115" w:firstLine="161"/>
        <w:jc w:val="both"/>
        <w:rPr>
          <w:color w:val="010101"/>
          <w:sz w:val="17"/>
        </w:rPr>
      </w:pPr>
      <w:r>
        <w:rPr>
          <w:color w:val="010101"/>
          <w:w w:val="105"/>
          <w:sz w:val="17"/>
        </w:rPr>
        <w:t>An employee pension plan is established under which the employee contributes </w:t>
      </w:r>
      <w:r>
        <w:rPr>
          <w:rFonts w:ascii="Arial" w:hAnsi="Arial"/>
          <w:b/>
          <w:color w:val="010101"/>
          <w:w w:val="105"/>
          <w:sz w:val="16"/>
        </w:rPr>
        <w:t>$3 </w:t>
      </w:r>
      <w:r>
        <w:rPr>
          <w:color w:val="010101"/>
          <w:w w:val="105"/>
          <w:sz w:val="17"/>
        </w:rPr>
        <w:t>toward the single premium for each $1 </w:t>
      </w:r>
      <w:r>
        <w:rPr>
          <w:color w:val="010101"/>
          <w:w w:val="95"/>
          <w:sz w:val="17"/>
        </w:rPr>
        <w:t>of </w:t>
      </w:r>
      <w:r>
        <w:rPr>
          <w:color w:val="010101"/>
          <w:w w:val="105"/>
          <w:sz w:val="17"/>
        </w:rPr>
        <w:t>annual income pro­ vided </w:t>
      </w:r>
      <w:r>
        <w:rPr>
          <w:color w:val="343434"/>
          <w:w w:val="95"/>
          <w:sz w:val="17"/>
        </w:rPr>
        <w:t>. </w:t>
      </w:r>
      <w:r>
        <w:rPr>
          <w:color w:val="010101"/>
          <w:w w:val="105"/>
          <w:sz w:val="17"/>
        </w:rPr>
        <w:t>at retirement. In the event of death prior to  retirement,  the  em ­ ployee's contribu tion is returned together  with  compound  </w:t>
      </w:r>
      <w:r>
        <w:rPr>
          <w:color w:val="010101"/>
          <w:w w:val="95"/>
          <w:sz w:val="17"/>
        </w:rPr>
        <w:t>i </w:t>
      </w:r>
      <w:r>
        <w:rPr>
          <w:color w:val="010101"/>
          <w:w w:val="105"/>
          <w:sz w:val="17"/>
        </w:rPr>
        <w:t>nterest  to  the  end of  the  year  of  death.  Af ter  retirement,  the  death  benefit  at  any  time is equal to the excess </w:t>
      </w:r>
      <w:r>
        <w:rPr>
          <w:color w:val="010101"/>
          <w:w w:val="95"/>
          <w:sz w:val="17"/>
        </w:rPr>
        <w:t>of </w:t>
      </w:r>
      <w:r>
        <w:rPr>
          <w:color w:val="010101"/>
          <w:w w:val="105"/>
          <w:sz w:val="17"/>
        </w:rPr>
        <w:t>the death benefit at retiremen t over the sum of the annuity   payments </w:t>
      </w:r>
      <w:r>
        <w:rPr>
          <w:color w:val="010101"/>
          <w:spacing w:val="28"/>
          <w:w w:val="105"/>
          <w:sz w:val="17"/>
        </w:rPr>
        <w:t> </w:t>
      </w:r>
      <w:r>
        <w:rPr>
          <w:color w:val="010101"/>
          <w:w w:val="105"/>
          <w:sz w:val="17"/>
        </w:rPr>
        <w:t>made.</w:t>
      </w:r>
    </w:p>
    <w:p>
      <w:pPr>
        <w:spacing w:line="153" w:lineRule="auto" w:before="55"/>
        <w:ind w:left="124" w:right="130" w:firstLine="203"/>
        <w:jc w:val="both"/>
        <w:rPr>
          <w:sz w:val="17"/>
        </w:rPr>
      </w:pPr>
      <w:r>
        <w:rPr>
          <w:color w:val="010101"/>
          <w:w w:val="105"/>
          <w:sz w:val="17"/>
        </w:rPr>
        <w:t>For an annuity issued at age </w:t>
      </w:r>
      <w:r>
        <w:rPr>
          <w:rFonts w:ascii="Arial" w:hAnsi="Arial"/>
          <w:i/>
          <w:color w:val="010101"/>
          <w:w w:val="105"/>
          <w:sz w:val="15"/>
        </w:rPr>
        <w:t>x </w:t>
      </w:r>
      <w:r>
        <w:rPr>
          <w:color w:val="010101"/>
          <w:w w:val="105"/>
          <w:sz w:val="17"/>
        </w:rPr>
        <w:t>to provide an annual income of 1 commenc­ ing  at  age </w:t>
      </w:r>
      <w:r>
        <w:rPr>
          <w:i/>
          <w:color w:val="010101"/>
          <w:w w:val="105"/>
          <w:sz w:val="17"/>
        </w:rPr>
        <w:t>x  </w:t>
      </w:r>
      <w:r>
        <w:rPr>
          <w:rFonts w:ascii="Arial" w:hAnsi="Arial"/>
          <w:color w:val="010101"/>
          <w:w w:val="105"/>
          <w:sz w:val="25"/>
        </w:rPr>
        <w:t>+ </w:t>
      </w:r>
      <w:r>
        <w:rPr>
          <w:i/>
          <w:color w:val="010101"/>
          <w:w w:val="105"/>
          <w:sz w:val="17"/>
        </w:rPr>
        <w:t>t , </w:t>
      </w:r>
      <w:r>
        <w:rPr>
          <w:color w:val="010101"/>
          <w:w w:val="105"/>
          <w:sz w:val="17"/>
        </w:rPr>
        <w:t>show  that  the  gross single  premium  loaded  8%  of itself</w:t>
      </w:r>
    </w:p>
    <w:p>
      <w:pPr>
        <w:spacing w:line="193" w:lineRule="exact" w:before="0"/>
        <w:ind w:left="124" w:right="0" w:firstLine="0"/>
        <w:jc w:val="both"/>
        <w:rPr>
          <w:sz w:val="17"/>
        </w:rPr>
      </w:pPr>
      <w:r>
        <w:rPr>
          <w:color w:val="010101"/>
          <w:w w:val="105"/>
          <w:sz w:val="17"/>
        </w:rPr>
        <w:t>is  given by</w:t>
      </w:r>
    </w:p>
    <w:p>
      <w:pPr>
        <w:spacing w:before="106"/>
        <w:ind w:left="117" w:right="0" w:firstLine="0"/>
        <w:jc w:val="both"/>
        <w:rPr>
          <w:rFonts w:ascii="Arial"/>
          <w:i/>
          <w:sz w:val="16"/>
        </w:rPr>
      </w:pPr>
      <w:r>
        <w:rPr/>
        <w:pict>
          <v:line style="position:absolute;mso-position-horizontal-relative:page;mso-position-vertical-relative:paragraph;z-index:-722368" from="161.132599pt,17.204433pt" to="164.888199pt,17.204433pt" stroked="true" strokeweight=".357675pt" strokecolor="#000000">
            <w10:wrap type="none"/>
          </v:line>
        </w:pict>
      </w:r>
      <w:r>
        <w:rPr>
          <w:rFonts w:ascii="Arial"/>
          <w:b/>
          <w:i/>
          <w:color w:val="010101"/>
          <w:sz w:val="15"/>
        </w:rPr>
        <w:t>Nz+I</w:t>
      </w:r>
      <w:r>
        <w:rPr>
          <w:rFonts w:ascii="Arial"/>
          <w:b/>
          <w:i/>
          <w:color w:val="010101"/>
          <w:spacing w:val="-12"/>
          <w:sz w:val="15"/>
        </w:rPr>
        <w:t> </w:t>
      </w:r>
      <w:r>
        <w:rPr>
          <w:rFonts w:ascii="Arial"/>
          <w:color w:val="010101"/>
          <w:w w:val="215"/>
          <w:sz w:val="15"/>
        </w:rPr>
        <w:t>-</w:t>
      </w:r>
      <w:r>
        <w:rPr>
          <w:rFonts w:ascii="Arial"/>
          <w:color w:val="010101"/>
          <w:spacing w:val="-71"/>
          <w:w w:val="215"/>
          <w:sz w:val="15"/>
        </w:rPr>
        <w:t> </w:t>
      </w:r>
      <w:r>
        <w:rPr>
          <w:rFonts w:ascii="Arial"/>
          <w:b/>
          <w:i/>
          <w:color w:val="010101"/>
          <w:sz w:val="15"/>
        </w:rPr>
        <w:t>(Rz+I</w:t>
      </w:r>
      <w:r>
        <w:rPr>
          <w:rFonts w:ascii="Arial"/>
          <w:b/>
          <w:i/>
          <w:color w:val="010101"/>
          <w:spacing w:val="-13"/>
          <w:sz w:val="15"/>
        </w:rPr>
        <w:t> </w:t>
      </w:r>
      <w:r>
        <w:rPr>
          <w:rFonts w:ascii="Arial"/>
          <w:color w:val="010101"/>
          <w:w w:val="215"/>
          <w:sz w:val="15"/>
        </w:rPr>
        <w:t>-</w:t>
      </w:r>
      <w:r>
        <w:rPr>
          <w:rFonts w:ascii="Arial"/>
          <w:color w:val="010101"/>
          <w:spacing w:val="-77"/>
          <w:w w:val="215"/>
          <w:sz w:val="15"/>
        </w:rPr>
        <w:t> </w:t>
      </w:r>
      <w:r>
        <w:rPr>
          <w:rFonts w:ascii="Arial"/>
          <w:b/>
          <w:i/>
          <w:color w:val="010101"/>
          <w:sz w:val="15"/>
        </w:rPr>
        <w:t>Rz+1+11</w:t>
      </w:r>
      <w:r>
        <w:rPr>
          <w:rFonts w:ascii="Arial"/>
          <w:b/>
          <w:i/>
          <w:color w:val="010101"/>
          <w:spacing w:val="-17"/>
          <w:sz w:val="15"/>
        </w:rPr>
        <w:t> </w:t>
      </w:r>
      <w:r>
        <w:rPr>
          <w:rFonts w:ascii="Arial"/>
          <w:color w:val="010101"/>
          <w:w w:val="215"/>
          <w:sz w:val="15"/>
        </w:rPr>
        <w:t>-</w:t>
      </w:r>
      <w:r>
        <w:rPr>
          <w:rFonts w:ascii="Arial"/>
          <w:color w:val="010101"/>
          <w:spacing w:val="-74"/>
          <w:w w:val="215"/>
          <w:sz w:val="15"/>
        </w:rPr>
        <w:t> </w:t>
      </w:r>
      <w:r>
        <w:rPr>
          <w:rFonts w:ascii="Arial"/>
          <w:b/>
          <w:i/>
          <w:color w:val="010101"/>
          <w:sz w:val="15"/>
        </w:rPr>
        <w:t>nM20+1+,.)</w:t>
      </w:r>
      <w:r>
        <w:rPr>
          <w:rFonts w:ascii="Arial"/>
          <w:b/>
          <w:i/>
          <w:color w:val="010101"/>
          <w:spacing w:val="-13"/>
          <w:sz w:val="15"/>
        </w:rPr>
        <w:t> </w:t>
      </w:r>
      <w:r>
        <w:rPr>
          <w:rFonts w:ascii="Arial"/>
          <w:color w:val="010101"/>
          <w:w w:val="125"/>
          <w:sz w:val="25"/>
        </w:rPr>
        <w:t>+</w:t>
      </w:r>
      <w:r>
        <w:rPr>
          <w:rFonts w:ascii="Arial"/>
          <w:color w:val="010101"/>
          <w:spacing w:val="-76"/>
          <w:w w:val="125"/>
          <w:sz w:val="25"/>
        </w:rPr>
        <w:t> </w:t>
      </w:r>
      <w:r>
        <w:rPr>
          <w:rFonts w:ascii="Arial"/>
          <w:i/>
          <w:color w:val="010101"/>
          <w:sz w:val="16"/>
        </w:rPr>
        <w:t>3D,,</w:t>
      </w:r>
      <w:r>
        <w:rPr>
          <w:rFonts w:ascii="Arial"/>
          <w:i/>
          <w:color w:val="010101"/>
          <w:spacing w:val="-26"/>
          <w:sz w:val="16"/>
        </w:rPr>
        <w:t> </w:t>
      </w:r>
      <w:r>
        <w:rPr>
          <w:rFonts w:ascii="Arial"/>
          <w:color w:val="010101"/>
          <w:w w:val="215"/>
          <w:sz w:val="16"/>
        </w:rPr>
        <w:t>-</w:t>
      </w:r>
      <w:r>
        <w:rPr>
          <w:rFonts w:ascii="Arial"/>
          <w:color w:val="010101"/>
          <w:spacing w:val="-79"/>
          <w:w w:val="215"/>
          <w:sz w:val="16"/>
        </w:rPr>
        <w:t> </w:t>
      </w:r>
      <w:r>
        <w:rPr>
          <w:rFonts w:ascii="Arial"/>
          <w:color w:val="010101"/>
          <w:w w:val="125"/>
          <w:sz w:val="15"/>
        </w:rPr>
        <w:t>3(1</w:t>
      </w:r>
      <w:r>
        <w:rPr>
          <w:rFonts w:ascii="Arial"/>
          <w:color w:val="010101"/>
          <w:spacing w:val="-36"/>
          <w:w w:val="125"/>
          <w:sz w:val="15"/>
        </w:rPr>
        <w:t> </w:t>
      </w:r>
      <w:r>
        <w:rPr>
          <w:rFonts w:ascii="Arial"/>
          <w:color w:val="010101"/>
          <w:w w:val="125"/>
          <w:sz w:val="25"/>
        </w:rPr>
        <w:t>+</w:t>
      </w:r>
      <w:r>
        <w:rPr>
          <w:rFonts w:ascii="Arial"/>
          <w:color w:val="010101"/>
          <w:spacing w:val="-77"/>
          <w:w w:val="125"/>
          <w:sz w:val="25"/>
        </w:rPr>
        <w:t> </w:t>
      </w:r>
      <w:r>
        <w:rPr>
          <w:rFonts w:ascii="Arial"/>
          <w:i/>
          <w:color w:val="010101"/>
          <w:spacing w:val="7"/>
          <w:w w:val="125"/>
          <w:sz w:val="15"/>
        </w:rPr>
        <w:t>i)</w:t>
      </w:r>
      <w:r>
        <w:rPr>
          <w:rFonts w:ascii="Arial"/>
          <w:i/>
          <w:color w:val="010101"/>
          <w:spacing w:val="-42"/>
          <w:w w:val="125"/>
          <w:sz w:val="15"/>
        </w:rPr>
        <w:t> </w:t>
      </w:r>
      <w:r>
        <w:rPr>
          <w:rFonts w:ascii="Arial"/>
          <w:i/>
          <w:color w:val="010101"/>
          <w:position w:val="5"/>
          <w:sz w:val="9"/>
        </w:rPr>
        <w:t>1</w:t>
      </w:r>
      <w:r>
        <w:rPr>
          <w:rFonts w:ascii="Arial"/>
          <w:i/>
          <w:color w:val="010101"/>
          <w:sz w:val="16"/>
        </w:rPr>
        <w:t>(D:1:+t</w:t>
      </w:r>
      <w:r>
        <w:rPr>
          <w:rFonts w:ascii="Arial"/>
          <w:i/>
          <w:color w:val="010101"/>
          <w:spacing w:val="-19"/>
          <w:sz w:val="16"/>
        </w:rPr>
        <w:t> </w:t>
      </w:r>
      <w:r>
        <w:rPr>
          <w:rFonts w:ascii="Arial"/>
          <w:color w:val="010101"/>
          <w:w w:val="215"/>
          <w:sz w:val="16"/>
        </w:rPr>
        <w:t>-</w:t>
      </w:r>
      <w:r>
        <w:rPr>
          <w:rFonts w:ascii="Arial"/>
          <w:color w:val="010101"/>
          <w:spacing w:val="-81"/>
          <w:w w:val="215"/>
          <w:sz w:val="16"/>
        </w:rPr>
        <w:t> </w:t>
      </w:r>
      <w:r>
        <w:rPr>
          <w:rFonts w:ascii="Arial"/>
          <w:b/>
          <w:i/>
          <w:color w:val="010101"/>
          <w:sz w:val="15"/>
        </w:rPr>
        <w:t>Ms+I</w:t>
      </w:r>
      <w:r>
        <w:rPr>
          <w:rFonts w:ascii="Arial"/>
          <w:b/>
          <w:i/>
          <w:color w:val="010101"/>
          <w:spacing w:val="-17"/>
          <w:sz w:val="15"/>
        </w:rPr>
        <w:t> </w:t>
      </w:r>
      <w:r>
        <w:rPr>
          <w:rFonts w:ascii="Arial"/>
          <w:color w:val="010101"/>
          <w:w w:val="125"/>
          <w:sz w:val="25"/>
        </w:rPr>
        <w:t>+</w:t>
      </w:r>
      <w:r>
        <w:rPr>
          <w:rFonts w:ascii="Arial"/>
          <w:color w:val="010101"/>
          <w:spacing w:val="-76"/>
          <w:w w:val="125"/>
          <w:sz w:val="25"/>
        </w:rPr>
        <w:t> </w:t>
      </w:r>
      <w:r>
        <w:rPr>
          <w:rFonts w:ascii="Arial"/>
          <w:i/>
          <w:color w:val="010101"/>
          <w:sz w:val="16"/>
        </w:rPr>
        <w:t>M:r:+t+,.)</w:t>
      </w:r>
    </w:p>
    <w:p>
      <w:pPr>
        <w:spacing w:before="27"/>
        <w:ind w:left="123" w:right="131" w:firstLine="0"/>
        <w:jc w:val="center"/>
        <w:rPr>
          <w:rFonts w:ascii="Arial"/>
          <w:i/>
          <w:sz w:val="16"/>
        </w:rPr>
      </w:pPr>
      <w:r>
        <w:rPr>
          <w:rFonts w:ascii="Arial"/>
          <w:i/>
          <w:color w:val="010101"/>
          <w:w w:val="95"/>
          <w:sz w:val="16"/>
        </w:rPr>
        <w:t>.92D:r:</w:t>
      </w:r>
    </w:p>
    <w:p>
      <w:pPr>
        <w:spacing w:after="0"/>
        <w:jc w:val="center"/>
        <w:rPr>
          <w:rFonts w:ascii="Arial"/>
          <w:sz w:val="16"/>
        </w:rPr>
        <w:sectPr>
          <w:pgSz w:w="7200" w:h="11340"/>
          <w:pgMar w:top="520" w:bottom="280" w:left="680" w:right="560"/>
        </w:sectPr>
      </w:pPr>
    </w:p>
    <w:p>
      <w:pPr>
        <w:tabs>
          <w:tab w:pos="2342" w:val="left" w:leader="none"/>
          <w:tab w:pos="5350" w:val="left" w:leader="none"/>
        </w:tabs>
        <w:spacing w:before="51"/>
        <w:ind w:left="153" w:right="0" w:firstLine="14"/>
        <w:jc w:val="both"/>
        <w:rPr>
          <w:b/>
          <w:sz w:val="21"/>
        </w:rPr>
      </w:pPr>
      <w:r>
        <w:rPr>
          <w:color w:val="010101"/>
          <w:spacing w:val="-12"/>
          <w:sz w:val="19"/>
        </w:rPr>
        <w:t>166</w:t>
        <w:tab/>
      </w:r>
      <w:r>
        <w:rPr>
          <w:b/>
          <w:color w:val="010101"/>
          <w:sz w:val="15"/>
        </w:rPr>
        <w:t>SPECIAL </w:t>
      </w:r>
      <w:r>
        <w:rPr>
          <w:b/>
          <w:color w:val="010101"/>
          <w:spacing w:val="19"/>
          <w:sz w:val="15"/>
        </w:rPr>
        <w:t> </w:t>
      </w:r>
      <w:r>
        <w:rPr>
          <w:b/>
          <w:color w:val="010101"/>
          <w:sz w:val="15"/>
        </w:rPr>
        <w:t>TOPICS</w:t>
        <w:tab/>
      </w:r>
      <w:r>
        <w:rPr>
          <w:b/>
          <w:color w:val="010101"/>
          <w:sz w:val="17"/>
        </w:rPr>
        <w:t>(CH.</w:t>
      </w:r>
      <w:r>
        <w:rPr>
          <w:b/>
          <w:color w:val="010101"/>
          <w:spacing w:val="1"/>
          <w:sz w:val="17"/>
        </w:rPr>
        <w:t> </w:t>
      </w:r>
      <w:r>
        <w:rPr>
          <w:b/>
          <w:color w:val="010101"/>
          <w:sz w:val="21"/>
        </w:rPr>
        <w:t>7</w:t>
      </w:r>
    </w:p>
    <w:p>
      <w:pPr>
        <w:spacing w:line="232" w:lineRule="auto" w:before="165"/>
        <w:ind w:left="149" w:right="113" w:firstLine="3"/>
        <w:jc w:val="both"/>
        <w:rPr>
          <w:sz w:val="17"/>
        </w:rPr>
      </w:pPr>
      <w:r>
        <w:rPr>
          <w:color w:val="010101"/>
          <w:w w:val="105"/>
          <w:sz w:val="17"/>
        </w:rPr>
        <w:t>where n  is  the greatest  integer in 3(1 </w:t>
      </w:r>
      <w:r>
        <w:rPr>
          <w:rFonts w:ascii="Arial" w:hAnsi="Arial"/>
          <w:color w:val="010101"/>
          <w:w w:val="105"/>
          <w:sz w:val="25"/>
        </w:rPr>
        <w:t>+ </w:t>
      </w:r>
      <w:r>
        <w:rPr>
          <w:color w:val="010101"/>
          <w:w w:val="110"/>
          <w:sz w:val="15"/>
        </w:rPr>
        <w:t>i) </w:t>
      </w:r>
      <w:r>
        <w:rPr>
          <w:color w:val="010101"/>
          <w:w w:val="105"/>
          <w:position w:val="4"/>
          <w:sz w:val="10"/>
        </w:rPr>
        <w:t>1</w:t>
      </w:r>
      <w:r>
        <w:rPr>
          <w:color w:val="010101"/>
          <w:w w:val="105"/>
          <w:sz w:val="10"/>
        </w:rPr>
        <w:t>•  </w:t>
      </w:r>
      <w:r>
        <w:rPr>
          <w:rFonts w:ascii="Arial" w:hAnsi="Arial"/>
          <w:color w:val="010101"/>
          <w:w w:val="105"/>
          <w:sz w:val="16"/>
        </w:rPr>
        <w:t>Jt is </w:t>
      </w:r>
      <w:r>
        <w:rPr>
          <w:color w:val="010101"/>
          <w:w w:val="105"/>
          <w:sz w:val="17"/>
        </w:rPr>
        <w:t>assmned  that  t.he  interest in the de2lth benefit is nt the s11.me rate </w:t>
      </w:r>
      <w:r>
        <w:rPr>
          <w:color w:val="010101"/>
          <w:w w:val="105"/>
          <w:sz w:val="16"/>
        </w:rPr>
        <w:t>us </w:t>
      </w:r>
      <w:r>
        <w:rPr>
          <w:color w:val="010101"/>
          <w:w w:val="105"/>
          <w:sz w:val="17"/>
        </w:rPr>
        <w:t>that used in the premium </w:t>
      </w:r>
      <w:r>
        <w:rPr>
          <w:color w:val="010101"/>
          <w:w w:val="105"/>
          <w:sz w:val="16"/>
        </w:rPr>
        <w:t>r.alculn­ </w:t>
      </w:r>
      <w:r>
        <w:rPr>
          <w:color w:val="010101"/>
          <w:w w:val="105"/>
          <w:sz w:val="17"/>
        </w:rPr>
        <w:t>tiun.</w:t>
      </w:r>
    </w:p>
    <w:p>
      <w:pPr>
        <w:pStyle w:val="ListParagraph"/>
        <w:numPr>
          <w:ilvl w:val="0"/>
          <w:numId w:val="74"/>
        </w:numPr>
        <w:tabs>
          <w:tab w:pos="513" w:val="left" w:leader="none"/>
        </w:tabs>
        <w:spacing w:line="208" w:lineRule="exact" w:before="0" w:after="0"/>
        <w:ind w:left="512" w:right="0" w:hanging="212"/>
        <w:jc w:val="both"/>
        <w:rPr>
          <w:sz w:val="17"/>
        </w:rPr>
      </w:pPr>
      <w:r>
        <w:rPr>
          <w:color w:val="010101"/>
          <w:w w:val="105"/>
          <w:sz w:val="17"/>
        </w:rPr>
        <w:t>The gro&amp;, </w:t>
      </w:r>
      <w:r>
        <w:rPr>
          <w:color w:val="010101"/>
          <w:spacing w:val="-6"/>
          <w:w w:val="105"/>
          <w:sz w:val="17"/>
        </w:rPr>
        <w:t>:rnnual  </w:t>
      </w:r>
      <w:r>
        <w:rPr>
          <w:color w:val="010101"/>
          <w:w w:val="105"/>
          <w:sz w:val="17"/>
        </w:rPr>
        <w:t>prem ium  payahle  for </w:t>
      </w:r>
      <w:r>
        <w:rPr>
          <w:rFonts w:ascii="Arial" w:hAnsi="Arial"/>
          <w:i/>
          <w:color w:val="010101"/>
          <w:w w:val="105"/>
          <w:sz w:val="15"/>
        </w:rPr>
        <w:t>t </w:t>
      </w:r>
      <w:r>
        <w:rPr>
          <w:color w:val="010101"/>
          <w:w w:val="105"/>
          <w:sz w:val="17"/>
        </w:rPr>
        <w:t>years  is requi red  for an</w:t>
      </w:r>
      <w:r>
        <w:rPr>
          <w:color w:val="010101"/>
          <w:spacing w:val="7"/>
          <w:w w:val="105"/>
          <w:sz w:val="17"/>
        </w:rPr>
        <w:t> </w:t>
      </w:r>
      <w:r>
        <w:rPr>
          <w:color w:val="010101"/>
          <w:w w:val="105"/>
          <w:sz w:val="17"/>
        </w:rPr>
        <w:t>auuu­</w:t>
      </w:r>
    </w:p>
    <w:p>
      <w:pPr>
        <w:spacing w:line="242" w:lineRule="auto" w:before="0"/>
        <w:ind w:left="138" w:right="116" w:firstLine="3"/>
        <w:jc w:val="both"/>
        <w:rPr>
          <w:sz w:val="17"/>
        </w:rPr>
      </w:pPr>
      <w:r>
        <w:rPr>
          <w:color w:val="010101"/>
          <w:sz w:val="17"/>
        </w:rPr>
        <w:t>it.y of  1payahle  </w:t>
      </w:r>
      <w:r>
        <w:rPr>
          <w:rFonts w:ascii="Arial" w:hAnsi="Arial"/>
          <w:i/>
          <w:color w:val="010101"/>
          <w:sz w:val="14"/>
        </w:rPr>
        <w:t>m  </w:t>
      </w:r>
      <w:r>
        <w:rPr>
          <w:color w:val="010101"/>
          <w:sz w:val="17"/>
        </w:rPr>
        <w:t>t imes </w:t>
      </w:r>
      <w:r>
        <w:rPr>
          <w:color w:val="010101"/>
          <w:w w:val="95"/>
          <w:sz w:val="17"/>
        </w:rPr>
        <w:t>o. </w:t>
      </w:r>
      <w:r>
        <w:rPr>
          <w:color w:val="010101"/>
          <w:sz w:val="17"/>
        </w:rPr>
        <w:t>ye,u wit h tirst paymen t a t  the end of  </w:t>
      </w:r>
      <w:r>
        <w:rPr>
          <w:i/>
          <w:color w:val="010101"/>
          <w:sz w:val="18"/>
        </w:rPr>
        <w:t>t </w:t>
      </w:r>
      <w:r>
        <w:rPr>
          <w:color w:val="010101"/>
          <w:sz w:val="17"/>
        </w:rPr>
        <w:t>years with    </w:t>
      </w:r>
      <w:r>
        <w:rPr>
          <w:color w:val="010101"/>
          <w:sz w:val="16"/>
        </w:rPr>
        <w:t>a </w:t>
      </w:r>
      <w:r>
        <w:rPr>
          <w:color w:val="010101"/>
          <w:sz w:val="17"/>
        </w:rPr>
        <w:t>r&lt;'t11rn at </w:t>
      </w:r>
      <w:r>
        <w:rPr>
          <w:color w:val="010101"/>
          <w:sz w:val="16"/>
        </w:rPr>
        <w:t>dea </w:t>
      </w:r>
      <w:r>
        <w:rPr>
          <w:color w:val="010101"/>
          <w:w w:val="95"/>
          <w:sz w:val="16"/>
        </w:rPr>
        <w:t>t </w:t>
      </w:r>
      <w:r>
        <w:rPr>
          <w:color w:val="010101"/>
          <w:sz w:val="16"/>
        </w:rPr>
        <w:t>h of </w:t>
      </w:r>
      <w:r>
        <w:rPr>
          <w:color w:val="010101"/>
          <w:w w:val="95"/>
          <w:sz w:val="17"/>
        </w:rPr>
        <w:t>t </w:t>
      </w:r>
      <w:r>
        <w:rPr>
          <w:color w:val="010101"/>
          <w:sz w:val="17"/>
        </w:rPr>
        <w:t>he excess </w:t>
      </w:r>
      <w:r>
        <w:rPr>
          <w:color w:val="010101"/>
          <w:sz w:val="16"/>
        </w:rPr>
        <w:t>oí </w:t>
      </w:r>
      <w:r>
        <w:rPr>
          <w:color w:val="010101"/>
          <w:sz w:val="17"/>
        </w:rPr>
        <w:t>premimm; </w:t>
      </w:r>
      <w:r>
        <w:rPr>
          <w:color w:val="010101"/>
          <w:sz w:val="16"/>
        </w:rPr>
        <w:t>paid </w:t>
      </w:r>
      <w:r>
        <w:rPr>
          <w:color w:val="010101"/>
          <w:sz w:val="17"/>
        </w:rPr>
        <w:t>over t he annuit.y payments </w:t>
      </w:r>
      <w:r>
        <w:rPr>
          <w:color w:val="010101"/>
          <w:w w:val="95"/>
          <w:sz w:val="17"/>
        </w:rPr>
        <w:t>11111.tlc. </w:t>
      </w:r>
      <w:r>
        <w:rPr>
          <w:color w:val="010101"/>
          <w:sz w:val="16"/>
        </w:rPr>
        <w:t>Tho loac.ling </w:t>
      </w:r>
      <w:r>
        <w:rPr>
          <w:color w:val="010101"/>
          <w:w w:val="95"/>
          <w:sz w:val="17"/>
        </w:rPr>
        <w:t>ii,; </w:t>
      </w:r>
      <w:r>
        <w:rPr>
          <w:i/>
          <w:color w:val="010101"/>
          <w:sz w:val="17"/>
        </w:rPr>
        <w:t>r </w:t>
      </w:r>
      <w:r>
        <w:rPr>
          <w:color w:val="010101"/>
          <w:sz w:val="16"/>
        </w:rPr>
        <w:t>per u nit. of </w:t>
      </w:r>
      <w:r>
        <w:rPr>
          <w:color w:val="010101"/>
          <w:w w:val="95"/>
          <w:sz w:val="17"/>
        </w:rPr>
        <w:t>t </w:t>
      </w:r>
      <w:r>
        <w:rPr>
          <w:color w:val="010101"/>
          <w:sz w:val="17"/>
        </w:rPr>
        <w:t>hc </w:t>
      </w:r>
      <w:r>
        <w:rPr>
          <w:color w:val="010101"/>
          <w:sz w:val="16"/>
        </w:rPr>
        <w:t>gross prem i um. Obtain </w:t>
      </w:r>
      <w:r>
        <w:rPr>
          <w:color w:val="010101"/>
          <w:sz w:val="17"/>
        </w:rPr>
        <w:t>the </w:t>
      </w:r>
      <w:r>
        <w:rPr>
          <w:color w:val="010101"/>
          <w:sz w:val="16"/>
        </w:rPr>
        <w:t>premi111n </w:t>
      </w:r>
      <w:r>
        <w:rPr>
          <w:color w:val="010101"/>
          <w:sz w:val="17"/>
        </w:rPr>
        <w:t>fun1111la,  l'orrospo11di11g  </w:t>
      </w:r>
      <w:r>
        <w:rPr>
          <w:color w:val="010101"/>
          <w:sz w:val="16"/>
        </w:rPr>
        <w:t>to </w:t>
      </w:r>
      <w:r>
        <w:rPr>
          <w:color w:val="010101"/>
          <w:w w:val="95"/>
          <w:sz w:val="16"/>
        </w:rPr>
        <w:t>f </w:t>
      </w:r>
      <w:r>
        <w:rPr>
          <w:color w:val="010101"/>
          <w:sz w:val="16"/>
        </w:rPr>
        <w:t>urn rnla  (7.5)  for  </w:t>
      </w:r>
      <w:r>
        <w:rPr>
          <w:color w:val="010101"/>
          <w:w w:val="95"/>
          <w:sz w:val="16"/>
        </w:rPr>
        <w:t>t </w:t>
      </w:r>
      <w:r>
        <w:rPr>
          <w:color w:val="010101"/>
          <w:sz w:val="16"/>
        </w:rPr>
        <w:t>he </w:t>
      </w:r>
      <w:r>
        <w:rPr>
          <w:color w:val="010101"/>
          <w:spacing w:val="2"/>
          <w:sz w:val="16"/>
        </w:rPr>
        <w:t>siugle </w:t>
      </w:r>
      <w:r>
        <w:rPr>
          <w:color w:val="010101"/>
          <w:sz w:val="16"/>
        </w:rPr>
        <w:t>prcmium</w:t>
      </w:r>
      <w:r>
        <w:rPr>
          <w:color w:val="010101"/>
          <w:spacing w:val="12"/>
          <w:sz w:val="16"/>
        </w:rPr>
        <w:t> </w:t>
      </w:r>
      <w:r>
        <w:rPr>
          <w:color w:val="010101"/>
          <w:sz w:val="17"/>
        </w:rPr>
        <w:t>case.</w:t>
      </w:r>
    </w:p>
    <w:p>
      <w:pPr>
        <w:pStyle w:val="BodyText"/>
        <w:spacing w:before="1"/>
        <w:rPr>
          <w:sz w:val="14"/>
        </w:rPr>
      </w:pPr>
    </w:p>
    <w:p>
      <w:pPr>
        <w:pStyle w:val="ListParagraph"/>
        <w:numPr>
          <w:ilvl w:val="1"/>
          <w:numId w:val="73"/>
        </w:numPr>
        <w:tabs>
          <w:tab w:pos="326" w:val="left" w:leader="none"/>
        </w:tabs>
        <w:spacing w:line="240" w:lineRule="auto" w:before="0" w:after="0"/>
        <w:ind w:left="325" w:right="0" w:hanging="194"/>
        <w:jc w:val="both"/>
        <w:rPr>
          <w:b/>
          <w:color w:val="010101"/>
          <w:sz w:val="17"/>
        </w:rPr>
      </w:pPr>
      <w:r>
        <w:rPr>
          <w:b/>
          <w:color w:val="010101"/>
          <w:w w:val="120"/>
          <w:sz w:val="16"/>
        </w:rPr>
        <w:t>Annuities  with  a</w:t>
      </w:r>
      <w:r>
        <w:rPr>
          <w:b/>
          <w:color w:val="010101"/>
          <w:spacing w:val="45"/>
          <w:w w:val="120"/>
          <w:sz w:val="16"/>
        </w:rPr>
        <w:t> </w:t>
      </w:r>
      <w:r>
        <w:rPr>
          <w:b/>
          <w:color w:val="010101"/>
          <w:w w:val="120"/>
          <w:sz w:val="16"/>
        </w:rPr>
        <w:t>terrn-certain</w:t>
      </w:r>
    </w:p>
    <w:p>
      <w:pPr>
        <w:pStyle w:val="ListParagraph"/>
        <w:numPr>
          <w:ilvl w:val="1"/>
          <w:numId w:val="73"/>
        </w:numPr>
        <w:tabs>
          <w:tab w:pos="505" w:val="left" w:leader="none"/>
        </w:tabs>
        <w:spacing w:line="247" w:lineRule="auto" w:before="81" w:after="0"/>
        <w:ind w:left="135" w:right="119" w:firstLine="154"/>
        <w:jc w:val="both"/>
        <w:rPr>
          <w:color w:val="010101"/>
          <w:sz w:val="16"/>
        </w:rPr>
      </w:pPr>
      <w:r>
        <w:rPr>
          <w:color w:val="010101"/>
          <w:w w:val="110"/>
          <w:sz w:val="17"/>
        </w:rPr>
        <w:t>Giveu the table </w:t>
      </w:r>
      <w:r>
        <w:rPr>
          <w:rFonts w:ascii="Arial"/>
          <w:color w:val="010101"/>
          <w:w w:val="110"/>
          <w:sz w:val="15"/>
        </w:rPr>
        <w:t>of </w:t>
      </w:r>
      <w:r>
        <w:rPr>
          <w:color w:val="010101"/>
          <w:w w:val="110"/>
          <w:sz w:val="17"/>
        </w:rPr>
        <w:t>values below, compute the approximate gross single premium  for an instalment refund annuity providing a monthly income  </w:t>
      </w:r>
      <w:r>
        <w:rPr>
          <w:color w:val="010101"/>
          <w:spacing w:val="35"/>
          <w:w w:val="110"/>
          <w:sz w:val="17"/>
        </w:rPr>
        <w:t> </w:t>
      </w:r>
      <w:r>
        <w:rPr>
          <w:color w:val="010101"/>
          <w:w w:val="110"/>
          <w:sz w:val="17"/>
        </w:rPr>
        <w:t>of</w:t>
      </w:r>
    </w:p>
    <w:p>
      <w:pPr>
        <w:spacing w:before="0"/>
        <w:ind w:left="124" w:right="0" w:firstLine="0"/>
        <w:jc w:val="both"/>
        <w:rPr>
          <w:sz w:val="17"/>
        </w:rPr>
      </w:pPr>
      <w:r>
        <w:rPr>
          <w:color w:val="010101"/>
          <w:w w:val="110"/>
          <w:sz w:val="16"/>
        </w:rPr>
        <w:t>$10 </w:t>
      </w:r>
      <w:r>
        <w:rPr>
          <w:color w:val="010101"/>
          <w:w w:val="110"/>
          <w:sz w:val="17"/>
        </w:rPr>
        <w:t>to a life aged </w:t>
      </w:r>
      <w:r>
        <w:rPr>
          <w:color w:val="010101"/>
          <w:w w:val="110"/>
          <w:sz w:val="16"/>
        </w:rPr>
        <w:t>65. </w:t>
      </w:r>
      <w:r>
        <w:rPr>
          <w:color w:val="010101"/>
          <w:w w:val="110"/>
          <w:sz w:val="17"/>
        </w:rPr>
        <w:t>The loading </w:t>
      </w:r>
      <w:r>
        <w:rPr>
          <w:rFonts w:ascii="Arial"/>
          <w:color w:val="010101"/>
          <w:w w:val="110"/>
          <w:sz w:val="16"/>
        </w:rPr>
        <w:t>is </w:t>
      </w:r>
      <w:r>
        <w:rPr>
          <w:color w:val="010101"/>
          <w:w w:val="110"/>
          <w:sz w:val="16"/>
        </w:rPr>
        <w:t>5% </w:t>
      </w:r>
      <w:r>
        <w:rPr>
          <w:color w:val="010101"/>
          <w:w w:val="110"/>
          <w:sz w:val="17"/>
        </w:rPr>
        <w:t>of the gross premium.</w:t>
      </w:r>
    </w:p>
    <w:p>
      <w:pPr>
        <w:tabs>
          <w:tab w:pos="4880" w:val="left" w:leader="none"/>
        </w:tabs>
        <w:spacing w:line="86" w:lineRule="exact" w:before="99"/>
        <w:ind w:left="2909" w:right="0" w:firstLine="0"/>
        <w:jc w:val="left"/>
        <w:rPr>
          <w:sz w:val="10"/>
        </w:rPr>
      </w:pPr>
      <w:r>
        <w:rPr/>
        <w:pict>
          <v:shape style="position:absolute;margin-left:83.449654pt;margin-top:6.19027pt;width:92.9pt;height:13pt;mso-position-horizontal-relative:page;mso-position-vertical-relative:paragraph;z-index:13744" type="#_x0000_t202" filled="false" stroked="false">
            <v:textbox inset="0,0,0,0">
              <w:txbxContent>
                <w:p>
                  <w:pPr>
                    <w:tabs>
                      <w:tab w:pos="1805" w:val="left" w:leader="none"/>
                    </w:tabs>
                    <w:spacing w:line="260" w:lineRule="exact" w:before="0"/>
                    <w:ind w:left="0" w:right="0" w:firstLine="0"/>
                    <w:jc w:val="left"/>
                    <w:rPr>
                      <w:rFonts w:ascii="Arial" w:hAnsi="Arial"/>
                      <w:sz w:val="15"/>
                    </w:rPr>
                  </w:pPr>
                  <w:r>
                    <w:rPr>
                      <w:color w:val="010101"/>
                      <w:w w:val="130"/>
                      <w:sz w:val="26"/>
                    </w:rPr>
                    <w:t>•</w:t>
                    <w:tab/>
                  </w:r>
                  <w:r>
                    <w:rPr>
                      <w:rFonts w:ascii="Arial" w:hAnsi="Arial"/>
                      <w:color w:val="010101"/>
                      <w:spacing w:val="-34"/>
                      <w:w w:val="140"/>
                      <w:sz w:val="15"/>
                    </w:rPr>
                    <w:t>•</w:t>
                  </w:r>
                </w:p>
              </w:txbxContent>
            </v:textbox>
            <w10:wrap type="none"/>
          </v:shape>
        </w:pict>
      </w:r>
      <w:r>
        <w:rPr>
          <w:rFonts w:ascii="Arial"/>
          <w:b/>
          <w:color w:val="010101"/>
          <w:spacing w:val="-7"/>
          <w:w w:val="130"/>
          <w:sz w:val="10"/>
        </w:rPr>
        <w:t>(11)</w:t>
        <w:tab/>
      </w:r>
      <w:r>
        <w:rPr>
          <w:color w:val="010101"/>
          <w:w w:val="130"/>
          <w:sz w:val="10"/>
        </w:rPr>
        <w:t>(1</w:t>
      </w:r>
    </w:p>
    <w:p>
      <w:pPr>
        <w:tabs>
          <w:tab w:pos="4700" w:val="left" w:leader="none"/>
        </w:tabs>
        <w:spacing w:line="212" w:lineRule="exact" w:before="0"/>
        <w:ind w:left="2898" w:right="0" w:firstLine="0"/>
        <w:jc w:val="left"/>
        <w:rPr>
          <w:b/>
          <w:sz w:val="21"/>
        </w:rPr>
      </w:pPr>
      <w:r>
        <w:rPr>
          <w:rFonts w:ascii="Arial" w:hAnsi="Arial"/>
          <w:color w:val="010101"/>
          <w:w w:val="105"/>
          <w:position w:val="2"/>
          <w:sz w:val="15"/>
        </w:rPr>
        <w:t>ii]</w:t>
        <w:tab/>
      </w:r>
      <w:r>
        <w:rPr>
          <w:b/>
          <w:color w:val="010101"/>
          <w:w w:val="105"/>
          <w:sz w:val="21"/>
        </w:rPr>
        <w:t>•,ªu</w:t>
      </w:r>
    </w:p>
    <w:p>
      <w:pPr>
        <w:tabs>
          <w:tab w:pos="2794" w:val="left" w:leader="none"/>
          <w:tab w:pos="4725" w:val="left" w:leader="none"/>
        </w:tabs>
        <w:spacing w:line="205" w:lineRule="exact" w:before="80"/>
        <w:ind w:left="996" w:right="0" w:firstLine="0"/>
        <w:jc w:val="left"/>
        <w:rPr>
          <w:sz w:val="17"/>
        </w:rPr>
      </w:pPr>
      <w:r>
        <w:rPr>
          <w:color w:val="010101"/>
          <w:w w:val="105"/>
          <w:position w:val="1"/>
          <w:sz w:val="17"/>
        </w:rPr>
        <w:t>13</w:t>
        <w:tab/>
      </w:r>
      <w:r>
        <w:rPr>
          <w:color w:val="010101"/>
          <w:spacing w:val="-6"/>
          <w:w w:val="105"/>
          <w:sz w:val="17"/>
        </w:rPr>
        <w:t>11.13</w:t>
        <w:tab/>
      </w:r>
      <w:r>
        <w:rPr>
          <w:color w:val="010101"/>
          <w:sz w:val="17"/>
        </w:rPr>
        <w:t>2</w:t>
      </w:r>
      <w:r>
        <w:rPr>
          <w:color w:val="010101"/>
          <w:spacing w:val="-32"/>
          <w:sz w:val="17"/>
        </w:rPr>
        <w:t> </w:t>
      </w:r>
      <w:r>
        <w:rPr>
          <w:color w:val="1F1F1F"/>
          <w:sz w:val="17"/>
        </w:rPr>
        <w:t>.</w:t>
      </w:r>
      <w:r>
        <w:rPr>
          <w:color w:val="1F1F1F"/>
          <w:spacing w:val="-31"/>
          <w:sz w:val="17"/>
        </w:rPr>
        <w:t> </w:t>
      </w:r>
      <w:r>
        <w:rPr>
          <w:color w:val="010101"/>
          <w:sz w:val="17"/>
        </w:rPr>
        <w:t>28</w:t>
      </w:r>
    </w:p>
    <w:p>
      <w:pPr>
        <w:tabs>
          <w:tab w:pos="2794" w:val="left" w:leader="none"/>
          <w:tab w:pos="4733" w:val="left" w:leader="none"/>
        </w:tabs>
        <w:spacing w:line="205" w:lineRule="exact" w:before="0"/>
        <w:ind w:left="1000" w:right="0" w:firstLine="0"/>
        <w:jc w:val="left"/>
        <w:rPr>
          <w:sz w:val="17"/>
        </w:rPr>
      </w:pPr>
      <w:r>
        <w:rPr>
          <w:color w:val="010101"/>
          <w:w w:val="105"/>
          <w:position w:val="1"/>
          <w:sz w:val="16"/>
        </w:rPr>
        <w:t>14</w:t>
        <w:tab/>
      </w:r>
      <w:r>
        <w:rPr>
          <w:color w:val="010101"/>
          <w:w w:val="105"/>
          <w:position w:val="1"/>
          <w:sz w:val="17"/>
        </w:rPr>
        <w:t>11.83</w:t>
        <w:tab/>
      </w:r>
      <w:r>
        <w:rPr>
          <w:color w:val="010101"/>
          <w:w w:val="105"/>
          <w:sz w:val="17"/>
        </w:rPr>
        <w:t>1.89</w:t>
      </w:r>
    </w:p>
    <w:p>
      <w:pPr>
        <w:tabs>
          <w:tab w:pos="2794" w:val="left" w:leader="none"/>
          <w:tab w:pos="4733" w:val="left" w:leader="none"/>
        </w:tabs>
        <w:spacing w:before="2"/>
        <w:ind w:left="1000" w:right="0" w:firstLine="0"/>
        <w:jc w:val="left"/>
        <w:rPr>
          <w:sz w:val="17"/>
        </w:rPr>
      </w:pPr>
      <w:r>
        <w:rPr>
          <w:color w:val="010101"/>
          <w:w w:val="110"/>
          <w:sz w:val="17"/>
        </w:rPr>
        <w:t>15</w:t>
        <w:tab/>
        <w:t>12.52</w:t>
        <w:tab/>
        <w:t>1.55</w:t>
      </w:r>
    </w:p>
    <w:p>
      <w:pPr>
        <w:spacing w:before="2"/>
        <w:ind w:left="0" w:right="130" w:firstLine="0"/>
        <w:jc w:val="right"/>
        <w:rPr>
          <w:sz w:val="16"/>
        </w:rPr>
      </w:pPr>
      <w:r>
        <w:rPr>
          <w:color w:val="010101"/>
          <w:w w:val="105"/>
          <w:sz w:val="17"/>
        </w:rPr>
        <w:t>(Ans. </w:t>
      </w:r>
      <w:r>
        <w:rPr>
          <w:color w:val="010101"/>
          <w:w w:val="105"/>
          <w:sz w:val="16"/>
        </w:rPr>
        <w:t>$1,764)</w:t>
      </w:r>
    </w:p>
    <w:p>
      <w:pPr>
        <w:pStyle w:val="BodyText"/>
        <w:spacing w:before="9"/>
        <w:rPr>
          <w:sz w:val="15"/>
        </w:rPr>
      </w:pPr>
    </w:p>
    <w:p>
      <w:pPr>
        <w:pStyle w:val="ListParagraph"/>
        <w:numPr>
          <w:ilvl w:val="1"/>
          <w:numId w:val="73"/>
        </w:numPr>
        <w:tabs>
          <w:tab w:pos="495" w:val="left" w:leader="none"/>
        </w:tabs>
        <w:spacing w:line="153" w:lineRule="auto" w:before="0" w:after="0"/>
        <w:ind w:left="120" w:right="125" w:firstLine="162"/>
        <w:jc w:val="both"/>
        <w:rPr>
          <w:rFonts w:ascii="Arial" w:hAnsi="Arial"/>
          <w:color w:val="010101"/>
          <w:sz w:val="17"/>
        </w:rPr>
      </w:pPr>
      <w:r>
        <w:rPr>
          <w:color w:val="010101"/>
          <w:w w:val="105"/>
          <w:sz w:val="17"/>
        </w:rPr>
        <w:t>Show that the present value of o.n immediate life annuity  of  1 per  annum,  payable  for </w:t>
      </w:r>
      <w:r>
        <w:rPr>
          <w:rFonts w:ascii="Arial" w:hAnsi="Arial"/>
          <w:i/>
          <w:color w:val="010101"/>
          <w:w w:val="105"/>
          <w:sz w:val="15"/>
        </w:rPr>
        <w:t>n </w:t>
      </w:r>
      <w:r>
        <w:rPr>
          <w:color w:val="010101"/>
          <w:w w:val="105"/>
          <w:sz w:val="17"/>
        </w:rPr>
        <w:t>years  certain  and  the lifetime  of  </w:t>
      </w:r>
      <w:r>
        <w:rPr>
          <w:color w:val="010101"/>
          <w:w w:val="105"/>
          <w:sz w:val="16"/>
        </w:rPr>
        <w:t>(x), </w:t>
      </w:r>
      <w:r>
        <w:rPr>
          <w:b/>
          <w:color w:val="010101"/>
          <w:w w:val="105"/>
          <w:sz w:val="17"/>
        </w:rPr>
        <w:t>given  </w:t>
      </w:r>
      <w:r>
        <w:rPr>
          <w:color w:val="010101"/>
          <w:w w:val="105"/>
          <w:sz w:val="17"/>
        </w:rPr>
        <w:t>by  </w:t>
      </w:r>
      <w:r>
        <w:rPr>
          <w:rFonts w:ascii="Arial" w:hAnsi="Arial"/>
          <w:i/>
          <w:color w:val="010101"/>
          <w:w w:val="105"/>
          <w:sz w:val="15"/>
        </w:rPr>
        <w:t>a-;¡ </w:t>
      </w:r>
      <w:r>
        <w:rPr>
          <w:rFonts w:ascii="Arial" w:hAnsi="Arial"/>
          <w:i/>
          <w:color w:val="010101"/>
          <w:spacing w:val="2"/>
          <w:w w:val="105"/>
          <w:sz w:val="15"/>
        </w:rPr>
        <w:t> </w:t>
      </w:r>
      <w:r>
        <w:rPr>
          <w:rFonts w:ascii="Arial" w:hAnsi="Arial"/>
          <w:color w:val="010101"/>
          <w:w w:val="105"/>
          <w:sz w:val="25"/>
        </w:rPr>
        <w:t>+</w:t>
      </w:r>
    </w:p>
    <w:p>
      <w:pPr>
        <w:spacing w:before="5"/>
        <w:ind w:left="110" w:right="0" w:firstLine="0"/>
        <w:jc w:val="both"/>
        <w:rPr>
          <w:rFonts w:ascii="Arial" w:hAnsi="Arial"/>
          <w:sz w:val="14"/>
        </w:rPr>
      </w:pPr>
      <w:r>
        <w:rPr>
          <w:rFonts w:ascii="Arial" w:hAnsi="Arial"/>
          <w:color w:val="010101"/>
          <w:w w:val="115"/>
          <w:sz w:val="14"/>
        </w:rPr>
        <w:t>,.¡a,. </w:t>
      </w:r>
      <w:r>
        <w:rPr>
          <w:rFonts w:ascii="Arial" w:hAnsi="Arial"/>
          <w:color w:val="010101"/>
          <w:w w:val="135"/>
          <w:sz w:val="14"/>
        </w:rPr>
        <w:t>, </w:t>
      </w:r>
      <w:r>
        <w:rPr>
          <w:color w:val="010101"/>
          <w:w w:val="115"/>
          <w:sz w:val="17"/>
        </w:rPr>
        <w:t>may be alternatively expressed </w:t>
      </w:r>
      <w:r>
        <w:rPr>
          <w:rFonts w:ascii="Arial" w:hAnsi="Arial"/>
          <w:color w:val="010101"/>
          <w:w w:val="115"/>
          <w:sz w:val="14"/>
        </w:rPr>
        <w:t>as</w:t>
      </w:r>
    </w:p>
    <w:p>
      <w:pPr>
        <w:pStyle w:val="BodyText"/>
        <w:spacing w:before="8"/>
        <w:rPr>
          <w:rFonts w:ascii="Arial"/>
          <w:sz w:val="16"/>
        </w:rPr>
      </w:pPr>
    </w:p>
    <w:p>
      <w:pPr>
        <w:tabs>
          <w:tab w:pos="3042" w:val="left" w:leader="none"/>
          <w:tab w:pos="4144" w:val="left" w:leader="none"/>
        </w:tabs>
        <w:spacing w:line="122" w:lineRule="auto" w:before="0"/>
        <w:ind w:left="1750" w:right="1756" w:firstLine="430"/>
        <w:jc w:val="left"/>
        <w:rPr>
          <w:sz w:val="18"/>
        </w:rPr>
      </w:pPr>
      <w:r>
        <w:rPr>
          <w:i/>
          <w:color w:val="010101"/>
          <w:w w:val="95"/>
          <w:sz w:val="18"/>
        </w:rPr>
        <w:t>a;¡Ma</w:t>
      </w:r>
      <w:r>
        <w:rPr>
          <w:i/>
          <w:color w:val="010101"/>
          <w:spacing w:val="7"/>
          <w:w w:val="95"/>
          <w:sz w:val="18"/>
        </w:rPr>
        <w:t> </w:t>
      </w:r>
      <w:r>
        <w:rPr>
          <w:color w:val="010101"/>
          <w:w w:val="215"/>
          <w:sz w:val="18"/>
        </w:rPr>
        <w:t>-</w:t>
      </w:r>
      <w:r>
        <w:rPr>
          <w:color w:val="010101"/>
          <w:spacing w:val="-69"/>
          <w:w w:val="215"/>
          <w:sz w:val="18"/>
        </w:rPr>
        <w:t> </w:t>
      </w:r>
      <w:r>
        <w:rPr>
          <w:i/>
          <w:color w:val="010101"/>
          <w:w w:val="95"/>
          <w:sz w:val="18"/>
        </w:rPr>
        <w:t>v•N:a+i</w:t>
      </w:r>
      <w:r>
        <w:rPr>
          <w:i/>
          <w:color w:val="010101"/>
          <w:spacing w:val="6"/>
          <w:w w:val="95"/>
          <w:sz w:val="18"/>
        </w:rPr>
        <w:t> </w:t>
      </w:r>
      <w:r>
        <w:rPr>
          <w:rFonts w:ascii="Arial" w:hAnsi="Arial"/>
          <w:color w:val="010101"/>
          <w:w w:val="110"/>
          <w:sz w:val="25"/>
        </w:rPr>
        <w:t>+</w:t>
      </w:r>
      <w:r>
        <w:rPr>
          <w:rFonts w:ascii="Arial" w:hAnsi="Arial"/>
          <w:color w:val="010101"/>
          <w:spacing w:val="-48"/>
          <w:w w:val="110"/>
          <w:sz w:val="25"/>
        </w:rPr>
        <w:t> </w:t>
      </w:r>
      <w:r>
        <w:rPr>
          <w:i/>
          <w:color w:val="010101"/>
          <w:w w:val="95"/>
          <w:sz w:val="18"/>
        </w:rPr>
        <w:t>N</w:t>
      </w:r>
      <w:r>
        <w:rPr>
          <w:i/>
          <w:color w:val="010101"/>
          <w:spacing w:val="-27"/>
          <w:w w:val="95"/>
          <w:sz w:val="18"/>
        </w:rPr>
        <w:t> </w:t>
      </w:r>
      <w:r>
        <w:rPr>
          <w:i/>
          <w:color w:val="010101"/>
          <w:w w:val="110"/>
          <w:sz w:val="18"/>
        </w:rPr>
        <w:t>z+'*' </w:t>
      </w:r>
      <w:r>
        <w:rPr>
          <w:i/>
          <w:color w:val="010101"/>
          <w:w w:val="95"/>
          <w:sz w:val="18"/>
        </w:rPr>
        <w:t>az</w:t>
      </w:r>
      <w:r>
        <w:rPr>
          <w:i/>
          <w:color w:val="010101"/>
          <w:spacing w:val="35"/>
          <w:w w:val="95"/>
          <w:sz w:val="18"/>
        </w:rPr>
        <w:t> </w:t>
      </w:r>
      <w:r>
        <w:rPr>
          <w:rFonts w:ascii="Arial" w:hAnsi="Arial"/>
          <w:color w:val="010101"/>
          <w:w w:val="110"/>
          <w:sz w:val="25"/>
        </w:rPr>
        <w:t>+</w:t>
        <w:tab/>
      </w:r>
      <w:r>
        <w:rPr>
          <w:i/>
          <w:color w:val="010101"/>
          <w:w w:val="95"/>
          <w:sz w:val="18"/>
        </w:rPr>
        <w:t>D,.</w:t>
        <w:tab/>
      </w:r>
      <w:r>
        <w:rPr>
          <w:color w:val="010101"/>
          <w:w w:val="110"/>
          <w:sz w:val="18"/>
        </w:rPr>
        <w:t>.</w:t>
      </w:r>
    </w:p>
    <w:p>
      <w:pPr>
        <w:pStyle w:val="BodyText"/>
        <w:spacing w:before="4"/>
        <w:rPr>
          <w:sz w:val="21"/>
        </w:rPr>
      </w:pPr>
    </w:p>
    <w:p>
      <w:pPr>
        <w:spacing w:before="0"/>
        <w:ind w:left="117" w:right="0" w:firstLine="0"/>
        <w:jc w:val="both"/>
        <w:rPr>
          <w:sz w:val="17"/>
        </w:rPr>
      </w:pPr>
      <w:r>
        <w:rPr>
          <w:color w:val="010101"/>
          <w:w w:val="110"/>
          <w:sz w:val="17"/>
        </w:rPr>
        <w:t>By what reasoning may  this latter form ula  </w:t>
      </w:r>
      <w:r>
        <w:rPr>
          <w:rFonts w:ascii="Arial"/>
          <w:color w:val="010101"/>
          <w:w w:val="110"/>
          <w:sz w:val="16"/>
        </w:rPr>
        <w:t>be </w:t>
      </w:r>
      <w:r>
        <w:rPr>
          <w:color w:val="010101"/>
          <w:w w:val="110"/>
          <w:sz w:val="17"/>
        </w:rPr>
        <w:t>derived?</w:t>
      </w:r>
    </w:p>
    <w:p>
      <w:pPr>
        <w:pStyle w:val="ListParagraph"/>
        <w:numPr>
          <w:ilvl w:val="1"/>
          <w:numId w:val="73"/>
        </w:numPr>
        <w:tabs>
          <w:tab w:pos="487" w:val="left" w:leader="none"/>
        </w:tabs>
        <w:spacing w:line="247" w:lineRule="auto" w:before="6" w:after="0"/>
        <w:ind w:left="113" w:right="137" w:firstLine="162"/>
        <w:jc w:val="both"/>
        <w:rPr>
          <w:color w:val="010101"/>
          <w:sz w:val="17"/>
        </w:rPr>
      </w:pPr>
      <w:r>
        <w:rPr>
          <w:color w:val="010101"/>
          <w:w w:val="110"/>
          <w:sz w:val="17"/>
        </w:rPr>
        <w:t>Determine in terms of an expression involving comm utation symbols the net annual premium payable to age </w:t>
      </w:r>
      <w:r>
        <w:rPr>
          <w:rFonts w:ascii="Arial"/>
          <w:color w:val="010101"/>
          <w:w w:val="110"/>
          <w:sz w:val="17"/>
        </w:rPr>
        <w:t>65 </w:t>
      </w:r>
      <w:r>
        <w:rPr>
          <w:color w:val="010101"/>
          <w:w w:val="110"/>
          <w:sz w:val="17"/>
        </w:rPr>
        <w:t>for an annual  annuity deferred  to age </w:t>
      </w:r>
      <w:r>
        <w:rPr>
          <w:color w:val="010101"/>
          <w:w w:val="110"/>
          <w:sz w:val="16"/>
        </w:rPr>
        <w:t>65 </w:t>
      </w:r>
      <w:r>
        <w:rPr>
          <w:color w:val="010101"/>
          <w:w w:val="110"/>
          <w:sz w:val="17"/>
        </w:rPr>
        <w:t>with payments guaranteed for </w:t>
      </w:r>
      <w:r>
        <w:rPr>
          <w:color w:val="010101"/>
          <w:w w:val="110"/>
          <w:sz w:val="16"/>
        </w:rPr>
        <w:t>10 </w:t>
      </w:r>
      <w:r>
        <w:rPr>
          <w:color w:val="010101"/>
          <w:w w:val="110"/>
          <w:sz w:val="17"/>
        </w:rPr>
        <w:t>years under which the sum of ali gross premiums paid is payable in the event of death before age </w:t>
      </w:r>
      <w:r>
        <w:rPr>
          <w:color w:val="010101"/>
          <w:w w:val="110"/>
          <w:sz w:val="16"/>
        </w:rPr>
        <w:t>65. </w:t>
      </w:r>
      <w:r>
        <w:rPr>
          <w:color w:val="010101"/>
          <w:w w:val="110"/>
          <w:sz w:val="17"/>
        </w:rPr>
        <w:t>Net premiums  are loaded by a percentage plus a   </w:t>
      </w:r>
      <w:r>
        <w:rPr>
          <w:color w:val="010101"/>
          <w:spacing w:val="15"/>
          <w:w w:val="110"/>
          <w:sz w:val="17"/>
        </w:rPr>
        <w:t> </w:t>
      </w:r>
      <w:r>
        <w:rPr>
          <w:color w:val="010101"/>
          <w:w w:val="110"/>
          <w:sz w:val="17"/>
        </w:rPr>
        <w:t>constant.</w:t>
      </w:r>
    </w:p>
    <w:p>
      <w:pPr>
        <w:spacing w:after="0" w:line="247" w:lineRule="auto"/>
        <w:jc w:val="both"/>
        <w:rPr>
          <w:sz w:val="17"/>
        </w:rPr>
        <w:sectPr>
          <w:pgSz w:w="7200" w:h="11340"/>
          <w:pgMar w:top="500" w:bottom="280" w:left="640" w:right="600"/>
        </w:sectPr>
      </w:pPr>
    </w:p>
    <w:p>
      <w:pPr>
        <w:pStyle w:val="BodyText"/>
        <w:spacing w:before="6"/>
        <w:rPr>
          <w:sz w:val="14"/>
        </w:rPr>
      </w:pPr>
    </w:p>
    <w:p>
      <w:pPr>
        <w:pStyle w:val="ListParagraph"/>
        <w:numPr>
          <w:ilvl w:val="0"/>
          <w:numId w:val="75"/>
        </w:numPr>
        <w:tabs>
          <w:tab w:pos="301" w:val="left" w:leader="none"/>
        </w:tabs>
        <w:spacing w:line="240" w:lineRule="auto" w:before="0" w:after="0"/>
        <w:ind w:left="300" w:right="0" w:hanging="198"/>
        <w:jc w:val="left"/>
        <w:rPr>
          <w:b/>
          <w:sz w:val="16"/>
        </w:rPr>
      </w:pPr>
      <w:r>
        <w:rPr>
          <w:b/>
          <w:color w:val="010101"/>
          <w:w w:val="130"/>
          <w:sz w:val="16"/>
        </w:rPr>
        <w:t>Complete</w:t>
      </w:r>
      <w:r>
        <w:rPr>
          <w:b/>
          <w:color w:val="010101"/>
          <w:spacing w:val="-27"/>
          <w:w w:val="130"/>
          <w:sz w:val="16"/>
        </w:rPr>
        <w:t> </w:t>
      </w:r>
      <w:r>
        <w:rPr>
          <w:b/>
          <w:color w:val="010101"/>
          <w:w w:val="130"/>
          <w:sz w:val="16"/>
        </w:rPr>
        <w:t>annuities</w:t>
      </w:r>
    </w:p>
    <w:p>
      <w:pPr>
        <w:pStyle w:val="ListParagraph"/>
        <w:numPr>
          <w:ilvl w:val="1"/>
          <w:numId w:val="75"/>
        </w:numPr>
        <w:tabs>
          <w:tab w:pos="473" w:val="left" w:leader="none"/>
        </w:tabs>
        <w:spacing w:line="240" w:lineRule="auto" w:before="83" w:after="0"/>
        <w:ind w:left="110" w:right="0" w:firstLine="150"/>
        <w:jc w:val="left"/>
        <w:rPr>
          <w:sz w:val="17"/>
        </w:rPr>
      </w:pPr>
      <w:r>
        <w:rPr>
          <w:color w:val="010101"/>
          <w:w w:val="110"/>
          <w:sz w:val="17"/>
        </w:rPr>
        <w:t>Show</w:t>
      </w:r>
      <w:r>
        <w:rPr>
          <w:color w:val="010101"/>
          <w:spacing w:val="28"/>
          <w:w w:val="110"/>
          <w:sz w:val="17"/>
        </w:rPr>
        <w:t> </w:t>
      </w:r>
      <w:r>
        <w:rPr>
          <w:color w:val="010101"/>
          <w:w w:val="110"/>
          <w:sz w:val="17"/>
        </w:rPr>
        <w:t>that</w:t>
      </w:r>
    </w:p>
    <w:p>
      <w:pPr>
        <w:pStyle w:val="BodyText"/>
        <w:spacing w:before="3"/>
        <w:rPr>
          <w:sz w:val="46"/>
        </w:rPr>
      </w:pPr>
      <w:r>
        <w:rPr/>
        <w:br w:type="column"/>
      </w:r>
      <w:r>
        <w:rPr>
          <w:sz w:val="46"/>
        </w:rPr>
      </w:r>
    </w:p>
    <w:p>
      <w:pPr>
        <w:tabs>
          <w:tab w:pos="738" w:val="left" w:leader="none"/>
        </w:tabs>
        <w:spacing w:line="295" w:lineRule="exact" w:before="0"/>
        <w:ind w:left="102" w:right="0" w:firstLine="0"/>
        <w:jc w:val="left"/>
        <w:rPr>
          <w:b/>
          <w:sz w:val="42"/>
        </w:rPr>
      </w:pPr>
      <w:r>
        <w:rPr>
          <w:b/>
          <w:color w:val="010101"/>
          <w:w w:val="79"/>
          <w:sz w:val="12"/>
        </w:rPr>
        <w:t>oo</w:t>
      </w:r>
      <w:r>
        <w:rPr>
          <w:b/>
          <w:color w:val="010101"/>
          <w:sz w:val="12"/>
        </w:rPr>
        <w:tab/>
      </w:r>
      <w:r>
        <w:rPr>
          <w:b/>
          <w:color w:val="4F4F4F"/>
          <w:spacing w:val="-15"/>
          <w:w w:val="17"/>
          <w:sz w:val="42"/>
        </w:rPr>
        <w:t>·</w:t>
      </w:r>
      <w:r>
        <w:rPr>
          <w:b/>
          <w:color w:val="010101"/>
          <w:spacing w:val="-114"/>
          <w:w w:val="196"/>
          <w:sz w:val="42"/>
        </w:rPr>
        <w:t>¡</w:t>
      </w:r>
      <w:r>
        <w:rPr>
          <w:b/>
          <w:color w:val="010101"/>
          <w:w w:val="29"/>
          <w:sz w:val="42"/>
        </w:rPr>
        <w:t>1</w:t>
      </w:r>
    </w:p>
    <w:p>
      <w:pPr>
        <w:spacing w:after="0" w:line="295" w:lineRule="exact"/>
        <w:jc w:val="left"/>
        <w:rPr>
          <w:sz w:val="42"/>
        </w:rPr>
        <w:sectPr>
          <w:type w:val="continuous"/>
          <w:pgSz w:w="7200" w:h="11340"/>
          <w:pgMar w:top="1100" w:bottom="0" w:left="640" w:right="600"/>
          <w:cols w:num="2" w:equalWidth="0">
            <w:col w:w="1990" w:space="314"/>
            <w:col w:w="3656"/>
          </w:cols>
        </w:sectPr>
      </w:pPr>
    </w:p>
    <w:p>
      <w:pPr>
        <w:tabs>
          <w:tab w:pos="3336" w:val="left" w:leader="none"/>
        </w:tabs>
        <w:spacing w:line="238" w:lineRule="exact" w:before="0"/>
        <w:ind w:left="1452" w:right="0" w:firstLine="0"/>
        <w:jc w:val="left"/>
        <w:rPr>
          <w:i/>
          <w:sz w:val="18"/>
        </w:rPr>
      </w:pPr>
      <w:r>
        <w:rPr>
          <w:rFonts w:ascii="Arial" w:hAnsi="Arial"/>
          <w:b/>
          <w:color w:val="010101"/>
          <w:sz w:val="18"/>
        </w:rPr>
        <w:t>d. </w:t>
      </w:r>
      <w:r>
        <w:rPr>
          <w:rFonts w:ascii="Arial" w:hAnsi="Arial"/>
          <w:color w:val="010101"/>
          <w:w w:val="190"/>
          <w:sz w:val="18"/>
        </w:rPr>
        <w:t>- </w:t>
      </w:r>
      <w:r>
        <w:rPr>
          <w:b/>
          <w:i/>
          <w:color w:val="010101"/>
          <w:w w:val="120"/>
          <w:sz w:val="20"/>
        </w:rPr>
        <w:t>a. </w:t>
      </w:r>
      <w:r>
        <w:rPr>
          <w:rFonts w:ascii="Arial" w:hAnsi="Arial"/>
          <w:color w:val="010101"/>
          <w:w w:val="120"/>
          <w:sz w:val="25"/>
        </w:rPr>
        <w:t>+</w:t>
      </w:r>
      <w:r>
        <w:rPr>
          <w:rFonts w:ascii="Arial" w:hAnsi="Arial"/>
          <w:color w:val="010101"/>
          <w:spacing w:val="-50"/>
          <w:w w:val="120"/>
          <w:sz w:val="25"/>
        </w:rPr>
        <w:t> </w:t>
      </w:r>
      <w:r>
        <w:rPr>
          <w:i/>
          <w:color w:val="010101"/>
          <w:w w:val="120"/>
          <w:sz w:val="29"/>
        </w:rPr>
        <w:t>L</w:t>
      </w:r>
      <w:r>
        <w:rPr>
          <w:i/>
          <w:color w:val="010101"/>
          <w:spacing w:val="8"/>
          <w:w w:val="120"/>
          <w:sz w:val="29"/>
        </w:rPr>
        <w:t> </w:t>
      </w:r>
      <w:r>
        <w:rPr>
          <w:rFonts w:ascii="Arial" w:hAnsi="Arial"/>
          <w:b/>
          <w:i/>
          <w:color w:val="010101"/>
          <w:sz w:val="16"/>
        </w:rPr>
        <w:t>fl",.p.</w:t>
        <w:tab/>
      </w:r>
      <w:r>
        <w:rPr>
          <w:i/>
          <w:color w:val="010101"/>
          <w:w w:val="85"/>
          <w:sz w:val="18"/>
        </w:rPr>
        <w:t>tv',P•+nP•+1*•</w:t>
      </w:r>
      <w:r>
        <w:rPr>
          <w:i/>
          <w:color w:val="010101"/>
          <w:spacing w:val="18"/>
          <w:w w:val="85"/>
          <w:sz w:val="18"/>
        </w:rPr>
        <w:t> </w:t>
      </w:r>
      <w:r>
        <w:rPr>
          <w:i/>
          <w:color w:val="010101"/>
          <w:spacing w:val="4"/>
          <w:w w:val="85"/>
          <w:sz w:val="18"/>
        </w:rPr>
        <w:t>dt.</w:t>
      </w:r>
    </w:p>
    <w:p>
      <w:pPr>
        <w:tabs>
          <w:tab w:pos="818" w:val="left" w:leader="none"/>
        </w:tabs>
        <w:spacing w:line="149" w:lineRule="exact" w:before="0"/>
        <w:ind w:left="0" w:right="437" w:firstLine="0"/>
        <w:jc w:val="center"/>
        <w:rPr>
          <w:sz w:val="18"/>
        </w:rPr>
      </w:pPr>
      <w:r>
        <w:rPr>
          <w:color w:val="010101"/>
          <w:spacing w:val="-11"/>
          <w:w w:val="152"/>
          <w:sz w:val="18"/>
        </w:rPr>
        <w:t>•</w:t>
      </w:r>
      <w:r>
        <w:rPr>
          <w:color w:val="010101"/>
          <w:spacing w:val="-23"/>
          <w:w w:val="210"/>
          <w:sz w:val="18"/>
        </w:rPr>
        <w:t>-</w:t>
      </w:r>
      <w:r>
        <w:rPr>
          <w:color w:val="010101"/>
          <w:w w:val="72"/>
          <w:sz w:val="18"/>
        </w:rPr>
        <w:t>o</w:t>
      </w:r>
      <w:r>
        <w:rPr>
          <w:color w:val="010101"/>
          <w:sz w:val="18"/>
        </w:rPr>
        <w:tab/>
      </w:r>
      <w:r>
        <w:rPr>
          <w:color w:val="010101"/>
          <w:w w:val="67"/>
          <w:sz w:val="18"/>
        </w:rPr>
        <w:t>o</w:t>
      </w:r>
    </w:p>
    <w:p>
      <w:pPr>
        <w:spacing w:before="147"/>
        <w:ind w:left="106" w:right="0" w:firstLine="0"/>
        <w:jc w:val="left"/>
        <w:rPr>
          <w:sz w:val="17"/>
        </w:rPr>
      </w:pPr>
      <w:r>
        <w:rPr/>
        <w:drawing>
          <wp:anchor distT="0" distB="0" distL="0" distR="0" allowOverlap="1" layoutInCell="1" locked="0" behindDoc="0" simplePos="0" relativeHeight="13720">
            <wp:simplePos x="0" y="0"/>
            <wp:positionH relativeFrom="page">
              <wp:posOffset>1700783</wp:posOffset>
            </wp:positionH>
            <wp:positionV relativeFrom="paragraph">
              <wp:posOffset>292918</wp:posOffset>
            </wp:positionV>
            <wp:extent cx="1170432" cy="292607"/>
            <wp:effectExtent l="0" t="0" r="0" b="0"/>
            <wp:wrapTopAndBottom/>
            <wp:docPr id="341" name="image176.png" descr=""/>
            <wp:cNvGraphicFramePr>
              <a:graphicFrameLocks noChangeAspect="1"/>
            </wp:cNvGraphicFramePr>
            <a:graphic>
              <a:graphicData uri="http://schemas.openxmlformats.org/drawingml/2006/picture">
                <pic:pic>
                  <pic:nvPicPr>
                    <pic:cNvPr id="342" name="image176.png"/>
                    <pic:cNvPicPr/>
                  </pic:nvPicPr>
                  <pic:blipFill>
                    <a:blip r:embed="rId180" cstate="print"/>
                    <a:stretch>
                      <a:fillRect/>
                    </a:stretch>
                  </pic:blipFill>
                  <pic:spPr>
                    <a:xfrm>
                      <a:off x="0" y="0"/>
                      <a:ext cx="1170432" cy="292607"/>
                    </a:xfrm>
                    <a:prstGeom prst="rect">
                      <a:avLst/>
                    </a:prstGeom>
                  </pic:spPr>
                </pic:pic>
              </a:graphicData>
            </a:graphic>
          </wp:anchor>
        </w:drawing>
      </w:r>
      <w:r>
        <w:rPr/>
        <w:pict>
          <v:shape style="position:absolute;margin-left:159.361893pt;margin-top:53.839844pt;width:56.75pt;height:5pt;mso-position-horizontal-relative:page;mso-position-vertical-relative:paragraph;z-index:-722296" type="#_x0000_t202" filled="false" stroked="false">
            <v:textbox inset="0,0,0,0">
              <w:txbxContent>
                <w:p>
                  <w:pPr>
                    <w:tabs>
                      <w:tab w:pos="1044" w:val="left" w:leader="none"/>
                    </w:tabs>
                    <w:spacing w:line="100" w:lineRule="exact" w:before="0"/>
                    <w:ind w:left="0" w:right="0" w:firstLine="0"/>
                    <w:jc w:val="left"/>
                    <w:rPr>
                      <w:rFonts w:ascii="Arial"/>
                      <w:sz w:val="10"/>
                    </w:rPr>
                  </w:pPr>
                  <w:r>
                    <w:rPr>
                      <w:rFonts w:ascii="Arial"/>
                      <w:color w:val="010101"/>
                      <w:w w:val="435"/>
                      <w:sz w:val="10"/>
                    </w:rPr>
                    <w:t>l</w:t>
                  </w:r>
                  <w:r>
                    <w:rPr>
                      <w:rFonts w:ascii="Arial"/>
                      <w:color w:val="010101"/>
                      <w:spacing w:val="-8"/>
                      <w:w w:val="435"/>
                      <w:sz w:val="10"/>
                    </w:rPr>
                    <w:t> </w:t>
                  </w:r>
                  <w:r>
                    <w:rPr>
                      <w:rFonts w:ascii="Arial"/>
                      <w:color w:val="010101"/>
                      <w:w w:val="215"/>
                      <w:sz w:val="10"/>
                    </w:rPr>
                    <w:t>-</w:t>
                    <w:tab/>
                  </w:r>
                  <w:r>
                    <w:rPr>
                      <w:rFonts w:ascii="Arial"/>
                      <w:color w:val="010101"/>
                      <w:w w:val="395"/>
                      <w:sz w:val="10"/>
                    </w:rPr>
                    <w:t>l</w:t>
                  </w:r>
                </w:p>
              </w:txbxContent>
            </v:textbox>
            <w10:wrap type="none"/>
          </v:shape>
        </w:pict>
      </w:r>
      <w:r>
        <w:rPr>
          <w:color w:val="010101"/>
          <w:w w:val="110"/>
          <w:sz w:val="17"/>
        </w:rPr>
        <w:t>Asauming a uniform distribution  of deaths,   derive</w:t>
      </w:r>
    </w:p>
    <w:p>
      <w:pPr>
        <w:pStyle w:val="ListParagraph"/>
        <w:numPr>
          <w:ilvl w:val="1"/>
          <w:numId w:val="75"/>
        </w:numPr>
        <w:tabs>
          <w:tab w:pos="484" w:val="left" w:leader="none"/>
        </w:tabs>
        <w:spacing w:line="223" w:lineRule="auto" w:before="107" w:after="0"/>
        <w:ind w:left="110" w:right="154" w:firstLine="158"/>
        <w:jc w:val="left"/>
        <w:rPr>
          <w:sz w:val="17"/>
        </w:rPr>
      </w:pPr>
      <w:r>
        <w:rPr>
          <w:color w:val="010101"/>
          <w:sz w:val="17"/>
        </w:rPr>
        <w:t>Show </w:t>
      </w:r>
      <w:r>
        <w:rPr>
          <w:color w:val="010101"/>
          <w:w w:val="120"/>
          <w:sz w:val="17"/>
        </w:rPr>
        <w:t>that </w:t>
      </w:r>
      <w:r>
        <w:rPr>
          <w:color w:val="010101"/>
          <w:sz w:val="17"/>
        </w:rPr>
        <w:t>dz </w:t>
      </w:r>
      <w:r>
        <w:rPr>
          <w:color w:val="010101"/>
          <w:sz w:val="21"/>
        </w:rPr>
        <w:t>= </w:t>
      </w:r>
      <w:r>
        <w:rPr>
          <w:i/>
          <w:color w:val="010101"/>
          <w:sz w:val="21"/>
        </w:rPr>
        <w:t>a. </w:t>
      </w:r>
      <w:r>
        <w:rPr>
          <w:color w:val="010101"/>
          <w:w w:val="180"/>
          <w:sz w:val="21"/>
        </w:rPr>
        <w:t>- </w:t>
      </w:r>
      <w:r>
        <w:rPr>
          <w:color w:val="010101"/>
          <w:sz w:val="18"/>
        </w:rPr>
        <w:t>AdJ·A,.+1 </w:t>
      </w:r>
      <w:r>
        <w:rPr>
          <w:color w:val="010101"/>
          <w:w w:val="230"/>
          <w:sz w:val="18"/>
        </w:rPr>
        <w:t>- </w:t>
      </w:r>
      <w:r>
        <w:rPr>
          <w:color w:val="010101"/>
          <w:sz w:val="18"/>
        </w:rPr>
        <w:t>A2 </w:t>
      </w:r>
      <w:r>
        <w:rPr>
          <w:color w:val="1F1F1F"/>
          <w:sz w:val="18"/>
        </w:rPr>
        <w:t>:</w:t>
      </w:r>
      <w:r>
        <w:rPr>
          <w:color w:val="010101"/>
          <w:sz w:val="18"/>
        </w:rPr>
        <w:t>iJ·Az+2 </w:t>
      </w:r>
      <w:r>
        <w:rPr>
          <w:color w:val="010101"/>
          <w:w w:val="230"/>
          <w:sz w:val="18"/>
        </w:rPr>
        <w:t>- </w:t>
      </w:r>
      <w:r>
        <w:rPr>
          <w:color w:val="010101"/>
          <w:spacing w:val="-5"/>
          <w:w w:val="120"/>
          <w:sz w:val="18"/>
        </w:rPr>
        <w:t>··· </w:t>
      </w:r>
      <w:r>
        <w:rPr>
          <w:rFonts w:ascii="Arial" w:hAnsi="Arial"/>
          <w:color w:val="010101"/>
          <w:sz w:val="25"/>
        </w:rPr>
        <w:t>+ </w:t>
      </w:r>
      <w:r>
        <w:rPr>
          <w:color w:val="010101"/>
          <w:spacing w:val="-6"/>
          <w:sz w:val="18"/>
        </w:rPr>
        <w:t>(1.A </w:t>
      </w:r>
      <w:r>
        <w:rPr>
          <w:color w:val="010101"/>
          <w:sz w:val="18"/>
        </w:rPr>
        <w:t>)" </w:t>
      </w:r>
      <w:r>
        <w:rPr>
          <w:color w:val="010101"/>
          <w:sz w:val="17"/>
        </w:rPr>
        <w:t>and explain   the   result   by   general </w:t>
      </w:r>
      <w:r>
        <w:rPr>
          <w:color w:val="010101"/>
          <w:spacing w:val="10"/>
          <w:sz w:val="17"/>
        </w:rPr>
        <w:t> </w:t>
      </w:r>
      <w:r>
        <w:rPr>
          <w:color w:val="010101"/>
          <w:sz w:val="17"/>
        </w:rPr>
        <w:t>reasoning.</w:t>
      </w:r>
    </w:p>
    <w:p>
      <w:pPr>
        <w:spacing w:after="0" w:line="223" w:lineRule="auto"/>
        <w:jc w:val="left"/>
        <w:rPr>
          <w:sz w:val="17"/>
        </w:rPr>
        <w:sectPr>
          <w:type w:val="continuous"/>
          <w:pgSz w:w="7200" w:h="11340"/>
          <w:pgMar w:top="1100" w:bottom="0" w:left="640" w:right="600"/>
        </w:sectPr>
      </w:pPr>
    </w:p>
    <w:p>
      <w:pPr>
        <w:tabs>
          <w:tab w:pos="5833" w:val="right" w:leader="none"/>
        </w:tabs>
        <w:spacing w:before="56"/>
        <w:ind w:left="2514" w:right="0" w:firstLine="0"/>
        <w:jc w:val="left"/>
        <w:rPr>
          <w:sz w:val="19"/>
        </w:rPr>
      </w:pPr>
      <w:r>
        <w:rPr>
          <w:b/>
          <w:color w:val="010101"/>
          <w:sz w:val="15"/>
        </w:rPr>
        <w:t>EXERCISES</w:t>
      </w:r>
      <w:r>
        <w:rPr>
          <w:color w:val="010101"/>
          <w:sz w:val="19"/>
        </w:rPr>
        <w:tab/>
        <w:t>167</w:t>
      </w:r>
    </w:p>
    <w:p>
      <w:pPr>
        <w:pStyle w:val="BodyText"/>
        <w:spacing w:before="1"/>
        <w:rPr>
          <w:sz w:val="21"/>
        </w:rPr>
      </w:pPr>
    </w:p>
    <w:p>
      <w:pPr>
        <w:pStyle w:val="ListParagraph"/>
        <w:numPr>
          <w:ilvl w:val="1"/>
          <w:numId w:val="75"/>
        </w:numPr>
        <w:tabs>
          <w:tab w:pos="481" w:val="left" w:leader="none"/>
        </w:tabs>
        <w:spacing w:line="240" w:lineRule="auto" w:before="0" w:after="0"/>
        <w:ind w:left="480" w:right="0" w:hanging="219"/>
        <w:jc w:val="left"/>
        <w:rPr>
          <w:sz w:val="17"/>
        </w:rPr>
      </w:pPr>
      <w:r>
        <w:rPr>
          <w:color w:val="010101"/>
          <w:w w:val="110"/>
          <w:sz w:val="17"/>
        </w:rPr>
        <w:t>Explain  by general  rcasoning  the</w:t>
      </w:r>
      <w:r>
        <w:rPr>
          <w:color w:val="010101"/>
          <w:spacing w:val="-2"/>
          <w:w w:val="110"/>
          <w:sz w:val="17"/>
        </w:rPr>
        <w:t> </w:t>
      </w:r>
      <w:r>
        <w:rPr>
          <w:color w:val="010101"/>
          <w:w w:val="110"/>
          <w:sz w:val="17"/>
        </w:rPr>
        <w:t>relation</w:t>
      </w:r>
    </w:p>
    <w:p>
      <w:pPr>
        <w:spacing w:line="300" w:lineRule="atLeast" w:before="34"/>
        <w:ind w:left="104" w:right="2304" w:firstLine="2285"/>
        <w:jc w:val="left"/>
        <w:rPr>
          <w:sz w:val="17"/>
        </w:rPr>
      </w:pPr>
      <w:r>
        <w:rPr>
          <w:i/>
          <w:color w:val="010101"/>
          <w:w w:val="90"/>
          <w:sz w:val="22"/>
        </w:rPr>
        <w:t>A:s </w:t>
      </w:r>
      <w:r>
        <w:rPr>
          <w:rFonts w:ascii="Arial"/>
          <w:color w:val="010101"/>
          <w:w w:val="105"/>
          <w:sz w:val="21"/>
        </w:rPr>
        <w:t>=: </w:t>
      </w:r>
      <w:r>
        <w:rPr>
          <w:color w:val="010101"/>
          <w:w w:val="130"/>
          <w:sz w:val="17"/>
        </w:rPr>
        <w:t>1 </w:t>
      </w:r>
      <w:r>
        <w:rPr>
          <w:color w:val="010101"/>
          <w:w w:val="230"/>
          <w:sz w:val="17"/>
        </w:rPr>
        <w:t>-</w:t>
      </w:r>
      <w:r>
        <w:rPr>
          <w:color w:val="010101"/>
          <w:spacing w:val="-70"/>
          <w:w w:val="230"/>
          <w:sz w:val="17"/>
        </w:rPr>
        <w:t> </w:t>
      </w:r>
      <w:r>
        <w:rPr>
          <w:color w:val="010101"/>
          <w:w w:val="105"/>
          <w:sz w:val="17"/>
        </w:rPr>
        <w:t>id:s </w:t>
      </w:r>
      <w:r>
        <w:rPr>
          <w:color w:val="010101"/>
          <w:w w:val="130"/>
          <w:sz w:val="17"/>
        </w:rPr>
        <w:t>. </w:t>
      </w:r>
      <w:r>
        <w:rPr>
          <w:color w:val="010101"/>
          <w:w w:val="105"/>
          <w:sz w:val="17"/>
        </w:rPr>
        <w:t>Why  is  the  equivalence  only  approximate?</w:t>
      </w:r>
    </w:p>
    <w:p>
      <w:pPr>
        <w:pStyle w:val="ListParagraph"/>
        <w:numPr>
          <w:ilvl w:val="1"/>
          <w:numId w:val="75"/>
        </w:numPr>
        <w:tabs>
          <w:tab w:pos="557" w:val="left" w:leader="none"/>
        </w:tabs>
        <w:spacing w:line="189" w:lineRule="auto" w:before="24" w:after="0"/>
        <w:ind w:left="107" w:right="131" w:firstLine="169"/>
        <w:jc w:val="both"/>
        <w:rPr>
          <w:sz w:val="25"/>
        </w:rPr>
      </w:pPr>
      <w:r>
        <w:rPr>
          <w:color w:val="010101"/>
          <w:w w:val="105"/>
          <w:sz w:val="17"/>
        </w:rPr>
        <w:t>Compute the exact value of </w:t>
      </w:r>
      <w:r>
        <w:rPr>
          <w:color w:val="010101"/>
          <w:w w:val="105"/>
          <w:sz w:val="19"/>
        </w:rPr>
        <w:t>ds </w:t>
      </w:r>
      <w:r>
        <w:rPr>
          <w:color w:val="010101"/>
          <w:w w:val="105"/>
          <w:sz w:val="17"/>
        </w:rPr>
        <w:t>on the assumption of a uniform distri­ bution of deaths throughout ea.ch year of  age, given </w:t>
      </w:r>
      <w:r>
        <w:rPr>
          <w:i/>
          <w:color w:val="010101"/>
          <w:sz w:val="17"/>
        </w:rPr>
        <w:t>q:s  </w:t>
      </w:r>
      <w:r>
        <w:rPr>
          <w:color w:val="010101"/>
          <w:w w:val="105"/>
          <w:sz w:val="21"/>
        </w:rPr>
        <w:t>= %, </w:t>
      </w:r>
      <w:r>
        <w:rPr>
          <w:i/>
          <w:color w:val="010101"/>
          <w:sz w:val="17"/>
        </w:rPr>
        <w:t>qz+1  </w:t>
      </w:r>
      <w:r>
        <w:rPr>
          <w:color w:val="010101"/>
          <w:w w:val="105"/>
          <w:sz w:val="21"/>
        </w:rPr>
        <w:t>= </w:t>
      </w:r>
      <w:r>
        <w:rPr>
          <w:color w:val="010101"/>
          <w:w w:val="105"/>
          <w:sz w:val="17"/>
        </w:rPr>
        <w:t>1, and  </w:t>
      </w:r>
      <w:r>
        <w:rPr>
          <w:i/>
          <w:color w:val="010101"/>
          <w:w w:val="105"/>
          <w:sz w:val="18"/>
        </w:rPr>
        <w:t>i </w:t>
      </w:r>
      <w:r>
        <w:rPr>
          <w:color w:val="010101"/>
          <w:sz w:val="23"/>
        </w:rPr>
        <w:t>=</w:t>
      </w:r>
      <w:r>
        <w:rPr>
          <w:color w:val="010101"/>
          <w:spacing w:val="7"/>
          <w:sz w:val="23"/>
        </w:rPr>
        <w:t> </w:t>
      </w:r>
      <w:r>
        <w:rPr>
          <w:color w:val="010101"/>
          <w:sz w:val="25"/>
        </w:rPr>
        <w:t>o.</w:t>
      </w:r>
    </w:p>
    <w:p>
      <w:pPr>
        <w:pStyle w:val="ListParagraph"/>
        <w:numPr>
          <w:ilvl w:val="0"/>
          <w:numId w:val="76"/>
        </w:numPr>
        <w:tabs>
          <w:tab w:pos="298" w:val="left" w:leader="none"/>
        </w:tabs>
        <w:spacing w:line="240" w:lineRule="auto" w:before="147" w:after="0"/>
        <w:ind w:left="297" w:right="0" w:hanging="190"/>
        <w:jc w:val="both"/>
        <w:rPr>
          <w:b/>
          <w:sz w:val="16"/>
        </w:rPr>
      </w:pPr>
      <w:r>
        <w:rPr>
          <w:b/>
          <w:color w:val="010101"/>
          <w:w w:val="125"/>
          <w:sz w:val="16"/>
        </w:rPr>
        <w:t>The retirement  income</w:t>
      </w:r>
      <w:r>
        <w:rPr>
          <w:b/>
          <w:color w:val="010101"/>
          <w:spacing w:val="27"/>
          <w:w w:val="125"/>
          <w:sz w:val="16"/>
        </w:rPr>
        <w:t> </w:t>
      </w:r>
      <w:r>
        <w:rPr>
          <w:b/>
          <w:color w:val="010101"/>
          <w:w w:val="125"/>
          <w:sz w:val="16"/>
        </w:rPr>
        <w:t>policy</w:t>
      </w:r>
    </w:p>
    <w:p>
      <w:pPr>
        <w:pStyle w:val="ListParagraph"/>
        <w:numPr>
          <w:ilvl w:val="1"/>
          <w:numId w:val="76"/>
        </w:numPr>
        <w:tabs>
          <w:tab w:pos="564" w:val="left" w:leader="none"/>
        </w:tabs>
        <w:spacing w:line="240" w:lineRule="auto" w:before="81" w:after="0"/>
        <w:ind w:left="118" w:right="0" w:firstLine="169"/>
        <w:jc w:val="left"/>
        <w:rPr>
          <w:sz w:val="17"/>
        </w:rPr>
      </w:pPr>
      <w:r>
        <w:rPr>
          <w:color w:val="010101"/>
          <w:w w:val="105"/>
          <w:sz w:val="17"/>
        </w:rPr>
        <w:t>A  retirement  income  policy  issued  at age 40 has  a maturity  val ue </w:t>
      </w:r>
      <w:r>
        <w:rPr>
          <w:color w:val="010101"/>
          <w:spacing w:val="11"/>
          <w:w w:val="105"/>
          <w:sz w:val="17"/>
        </w:rPr>
        <w:t> </w:t>
      </w:r>
      <w:r>
        <w:rPr>
          <w:color w:val="010101"/>
          <w:w w:val="105"/>
          <w:sz w:val="17"/>
        </w:rPr>
        <w:t>of</w:t>
      </w:r>
    </w:p>
    <w:p>
      <w:pPr>
        <w:spacing w:line="249" w:lineRule="auto" w:before="6"/>
        <w:ind w:left="114" w:right="106" w:firstLine="7"/>
        <w:jc w:val="both"/>
        <w:rPr>
          <w:sz w:val="17"/>
        </w:rPr>
      </w:pPr>
      <w:r>
        <w:rPr>
          <w:color w:val="010101"/>
          <w:w w:val="110"/>
          <w:sz w:val="17"/>
        </w:rPr>
        <w:t>1.5 </w:t>
      </w:r>
      <w:r>
        <w:rPr>
          <w:b/>
          <w:color w:val="010101"/>
          <w:w w:val="110"/>
          <w:sz w:val="17"/>
        </w:rPr>
        <w:t>at age </w:t>
      </w:r>
      <w:r>
        <w:rPr>
          <w:color w:val="010101"/>
          <w:w w:val="110"/>
          <w:sz w:val="17"/>
        </w:rPr>
        <w:t>65. The death benefit prior </w:t>
      </w:r>
      <w:r>
        <w:rPr>
          <w:rFonts w:ascii="Arial"/>
          <w:color w:val="010101"/>
          <w:w w:val="110"/>
          <w:sz w:val="15"/>
        </w:rPr>
        <w:t>to </w:t>
      </w:r>
      <w:r>
        <w:rPr>
          <w:color w:val="010101"/>
          <w:w w:val="110"/>
          <w:sz w:val="17"/>
        </w:rPr>
        <w:t>age 65 is the terminal reserve or 1, whichever </w:t>
      </w:r>
      <w:r>
        <w:rPr>
          <w:rFonts w:ascii="Arial"/>
          <w:color w:val="010101"/>
          <w:w w:val="110"/>
          <w:sz w:val="17"/>
        </w:rPr>
        <w:t>is </w:t>
      </w:r>
      <w:r>
        <w:rPr>
          <w:color w:val="010101"/>
          <w:w w:val="110"/>
          <w:sz w:val="17"/>
        </w:rPr>
        <w:t>greater. </w:t>
      </w:r>
      <w:r>
        <w:rPr>
          <w:color w:val="010101"/>
          <w:w w:val="115"/>
          <w:sz w:val="17"/>
        </w:rPr>
        <w:t>the </w:t>
      </w:r>
      <w:r>
        <w:rPr>
          <w:color w:val="010101"/>
          <w:w w:val="110"/>
          <w:sz w:val="17"/>
        </w:rPr>
        <w:t>terminal reserves are less than 1 to the end of the 17th yea.r, but </w:t>
      </w:r>
      <w:r>
        <w:rPr>
          <w:rFonts w:ascii="Arial"/>
          <w:b/>
          <w:color w:val="010101"/>
          <w:w w:val="110"/>
          <w:sz w:val="15"/>
        </w:rPr>
        <w:t>greater </w:t>
      </w:r>
      <w:r>
        <w:rPr>
          <w:color w:val="010101"/>
          <w:w w:val="110"/>
          <w:sz w:val="17"/>
        </w:rPr>
        <w:t>thereaf ter. Give a.n expression for the net annua.l premium.</w:t>
      </w:r>
    </w:p>
    <w:p>
      <w:pPr>
        <w:pStyle w:val="ListParagraph"/>
        <w:numPr>
          <w:ilvl w:val="1"/>
          <w:numId w:val="76"/>
        </w:numPr>
        <w:tabs>
          <w:tab w:pos="564" w:val="left" w:leader="none"/>
        </w:tabs>
        <w:spacing w:line="242" w:lineRule="auto" w:before="0" w:after="0"/>
        <w:ind w:left="118" w:right="118" w:firstLine="165"/>
        <w:jc w:val="both"/>
        <w:rPr>
          <w:sz w:val="17"/>
        </w:rPr>
      </w:pPr>
      <w:r>
        <w:rPr>
          <w:color w:val="010101"/>
          <w:w w:val="110"/>
          <w:sz w:val="17"/>
        </w:rPr>
        <w:t>Derive a formula in tenns of commutation f unctions for the net single premium at age </w:t>
      </w:r>
      <w:r>
        <w:rPr>
          <w:i/>
          <w:color w:val="010101"/>
          <w:w w:val="110"/>
          <w:sz w:val="18"/>
        </w:rPr>
        <w:t>x </w:t>
      </w:r>
      <w:r>
        <w:rPr>
          <w:color w:val="010101"/>
          <w:w w:val="110"/>
          <w:sz w:val="17"/>
        </w:rPr>
        <w:t>for a retirement income policy providing a death benefit equal  </w:t>
      </w:r>
      <w:r>
        <w:rPr>
          <w:rFonts w:ascii="Arial"/>
          <w:color w:val="010101"/>
          <w:w w:val="110"/>
          <w:sz w:val="15"/>
        </w:rPr>
        <w:t>to </w:t>
      </w:r>
      <w:r>
        <w:rPr>
          <w:color w:val="010101"/>
          <w:spacing w:val="4"/>
          <w:w w:val="110"/>
          <w:sz w:val="17"/>
        </w:rPr>
        <w:t>1or </w:t>
      </w:r>
      <w:r>
        <w:rPr>
          <w:color w:val="010101"/>
          <w:w w:val="110"/>
          <w:sz w:val="17"/>
        </w:rPr>
        <w:t>the  reserve  if  greater and maturing  at the end  of  </w:t>
      </w:r>
      <w:r>
        <w:rPr>
          <w:i/>
          <w:color w:val="010101"/>
          <w:w w:val="110"/>
          <w:sz w:val="17"/>
        </w:rPr>
        <w:t>n </w:t>
      </w:r>
      <w:r>
        <w:rPr>
          <w:color w:val="010101"/>
          <w:w w:val="110"/>
          <w:sz w:val="17"/>
        </w:rPr>
        <w:t>years</w:t>
      </w:r>
      <w:r>
        <w:rPr>
          <w:color w:val="010101"/>
          <w:spacing w:val="35"/>
          <w:w w:val="110"/>
          <w:sz w:val="17"/>
        </w:rPr>
        <w:t> </w:t>
      </w:r>
      <w:r>
        <w:rPr>
          <w:color w:val="010101"/>
          <w:w w:val="110"/>
          <w:sz w:val="17"/>
        </w:rPr>
        <w:t>for</w:t>
      </w:r>
    </w:p>
    <w:p>
      <w:pPr>
        <w:spacing w:line="212" w:lineRule="exact" w:before="0"/>
        <w:ind w:left="129" w:right="0" w:firstLine="0"/>
        <w:jc w:val="both"/>
        <w:rPr>
          <w:sz w:val="17"/>
        </w:rPr>
      </w:pPr>
      <w:r>
        <w:rPr>
          <w:color w:val="010101"/>
          <w:w w:val="110"/>
          <w:sz w:val="17"/>
        </w:rPr>
        <w:t>1 </w:t>
      </w:r>
      <w:r>
        <w:rPr>
          <w:rFonts w:ascii="Arial"/>
          <w:color w:val="010101"/>
          <w:w w:val="110"/>
          <w:sz w:val="26"/>
        </w:rPr>
        <w:t>+ </w:t>
      </w:r>
      <w:r>
        <w:rPr>
          <w:rFonts w:ascii="Arial"/>
          <w:i/>
          <w:color w:val="010101"/>
          <w:w w:val="110"/>
          <w:sz w:val="17"/>
        </w:rPr>
        <w:t>k. </w:t>
      </w:r>
      <w:r>
        <w:rPr>
          <w:color w:val="010101"/>
          <w:w w:val="110"/>
          <w:sz w:val="17"/>
        </w:rPr>
        <w:t>Give a criterion for determining </w:t>
      </w:r>
      <w:r>
        <w:rPr>
          <w:i/>
          <w:color w:val="010101"/>
          <w:w w:val="110"/>
          <w:sz w:val="17"/>
        </w:rPr>
        <w:t>e, </w:t>
      </w:r>
      <w:r>
        <w:rPr>
          <w:color w:val="010101"/>
          <w:w w:val="110"/>
          <w:sz w:val="17"/>
        </w:rPr>
        <w:t>the number of years during which</w:t>
      </w:r>
    </w:p>
    <w:p>
      <w:pPr>
        <w:spacing w:line="189" w:lineRule="exact" w:before="0"/>
        <w:ind w:left="125" w:right="0" w:firstLine="0"/>
        <w:jc w:val="both"/>
        <w:rPr>
          <w:sz w:val="17"/>
        </w:rPr>
      </w:pPr>
      <w:r>
        <w:rPr>
          <w:color w:val="010101"/>
          <w:w w:val="120"/>
          <w:sz w:val="17"/>
        </w:rPr>
        <w:t>the death benefit is constant at </w:t>
      </w:r>
      <w:r>
        <w:rPr>
          <w:color w:val="010101"/>
          <w:w w:val="130"/>
          <w:sz w:val="17"/>
        </w:rPr>
        <w:t>l.</w:t>
      </w:r>
    </w:p>
    <w:p>
      <w:pPr>
        <w:pStyle w:val="ListParagraph"/>
        <w:numPr>
          <w:ilvl w:val="1"/>
          <w:numId w:val="76"/>
        </w:numPr>
        <w:tabs>
          <w:tab w:pos="571" w:val="left" w:leader="none"/>
        </w:tabs>
        <w:spacing w:line="146" w:lineRule="auto" w:before="64" w:after="0"/>
        <w:ind w:left="129" w:right="129" w:firstLine="158"/>
        <w:jc w:val="both"/>
        <w:rPr>
          <w:sz w:val="17"/>
        </w:rPr>
      </w:pPr>
      <w:r>
        <w:rPr>
          <w:color w:val="010101"/>
          <w:w w:val="105"/>
          <w:sz w:val="17"/>
        </w:rPr>
        <w:t>How will formula (7.18) be modifi.ed if premium payments are limite&lt;l to </w:t>
      </w:r>
      <w:r>
        <w:rPr>
          <w:rFonts w:ascii="Arial"/>
          <w:i/>
          <w:color w:val="010101"/>
          <w:w w:val="105"/>
          <w:sz w:val="15"/>
        </w:rPr>
        <w:t>r  </w:t>
      </w:r>
      <w:r>
        <w:rPr>
          <w:color w:val="010101"/>
          <w:w w:val="105"/>
          <w:sz w:val="17"/>
        </w:rPr>
        <w:t>years,  </w:t>
      </w:r>
      <w:r>
        <w:rPr>
          <w:rFonts w:ascii="Arial"/>
          <w:i/>
          <w:color w:val="010101"/>
          <w:w w:val="105"/>
          <w:sz w:val="15"/>
        </w:rPr>
        <w:t>r  </w:t>
      </w:r>
      <w:r>
        <w:rPr>
          <w:rFonts w:ascii="Arial"/>
          <w:color w:val="010101"/>
          <w:w w:val="105"/>
          <w:sz w:val="23"/>
        </w:rPr>
        <w:t>&lt; </w:t>
      </w:r>
      <w:r>
        <w:rPr>
          <w:rFonts w:ascii="Arial"/>
          <w:i/>
          <w:color w:val="010101"/>
          <w:w w:val="105"/>
          <w:sz w:val="15"/>
        </w:rPr>
        <w:t>a </w:t>
      </w:r>
      <w:r>
        <w:rPr>
          <w:rFonts w:ascii="Arial"/>
          <w:color w:val="010101"/>
          <w:w w:val="105"/>
          <w:sz w:val="26"/>
        </w:rPr>
        <w:t>+ </w:t>
      </w:r>
      <w:r>
        <w:rPr>
          <w:color w:val="010101"/>
          <w:w w:val="105"/>
          <w:sz w:val="17"/>
        </w:rPr>
        <w:t>1, where  </w:t>
      </w:r>
      <w:r>
        <w:rPr>
          <w:rFonts w:ascii="Arial"/>
          <w:i/>
          <w:color w:val="010101"/>
          <w:w w:val="105"/>
          <w:sz w:val="15"/>
        </w:rPr>
        <w:t>a </w:t>
      </w:r>
      <w:r>
        <w:rPr>
          <w:color w:val="010101"/>
          <w:w w:val="105"/>
          <w:sz w:val="17"/>
        </w:rPr>
        <w:t>is the  greatest  integer  for which  ..</w:t>
      </w:r>
      <w:r>
        <w:rPr>
          <w:rFonts w:ascii="Arial"/>
          <w:i/>
          <w:color w:val="010101"/>
          <w:w w:val="105"/>
          <w:sz w:val="17"/>
        </w:rPr>
        <w:t>V  </w:t>
      </w:r>
      <w:r>
        <w:rPr>
          <w:rFonts w:ascii="Arial"/>
          <w:color w:val="010101"/>
          <w:w w:val="105"/>
          <w:sz w:val="23"/>
        </w:rPr>
        <w:t>&lt;</w:t>
      </w:r>
      <w:r>
        <w:rPr>
          <w:rFonts w:ascii="Arial"/>
          <w:color w:val="010101"/>
          <w:spacing w:val="3"/>
          <w:w w:val="105"/>
          <w:sz w:val="23"/>
        </w:rPr>
        <w:t> </w:t>
      </w:r>
      <w:r>
        <w:rPr>
          <w:color w:val="010101"/>
          <w:w w:val="105"/>
          <w:sz w:val="17"/>
        </w:rPr>
        <w:t>1?</w:t>
      </w:r>
    </w:p>
    <w:p>
      <w:pPr>
        <w:pStyle w:val="ListParagraph"/>
        <w:numPr>
          <w:ilvl w:val="1"/>
          <w:numId w:val="76"/>
        </w:numPr>
        <w:tabs>
          <w:tab w:pos="571" w:val="left" w:leader="none"/>
        </w:tabs>
        <w:spacing w:line="240" w:lineRule="auto" w:before="5" w:after="0"/>
        <w:ind w:left="570" w:right="0" w:hanging="283"/>
        <w:jc w:val="left"/>
        <w:rPr>
          <w:sz w:val="17"/>
        </w:rPr>
      </w:pPr>
      <w:r>
        <w:rPr>
          <w:color w:val="010101"/>
          <w:w w:val="105"/>
          <w:sz w:val="17"/>
        </w:rPr>
        <w:t>An  annual  premium   retirement   annuity  provides   a  life  income  </w:t>
      </w:r>
      <w:r>
        <w:rPr>
          <w:color w:val="010101"/>
          <w:spacing w:val="44"/>
          <w:w w:val="105"/>
          <w:sz w:val="17"/>
        </w:rPr>
        <w:t> </w:t>
      </w:r>
      <w:r>
        <w:rPr>
          <w:color w:val="010101"/>
          <w:w w:val="105"/>
          <w:sz w:val="17"/>
        </w:rPr>
        <w:t>of</w:t>
      </w:r>
    </w:p>
    <w:p>
      <w:pPr>
        <w:spacing w:line="240" w:lineRule="auto" w:before="6"/>
        <w:ind w:left="122" w:right="116" w:hanging="4"/>
        <w:jc w:val="both"/>
        <w:rPr>
          <w:sz w:val="17"/>
        </w:rPr>
      </w:pPr>
      <w:r>
        <w:rPr>
          <w:color w:val="010101"/>
          <w:w w:val="110"/>
          <w:sz w:val="17"/>
        </w:rPr>
        <w:t>$1 a month, first payment at the retirement a.ge, and the return of the gross premiums pe.id, or the reserve if greater, if death occurs before that age. Derive the net level premium  for such a policy issued  at age </w:t>
      </w:r>
      <w:r>
        <w:rPr>
          <w:i/>
          <w:color w:val="010101"/>
          <w:w w:val="110"/>
          <w:sz w:val="18"/>
        </w:rPr>
        <w:t>x </w:t>
      </w:r>
      <w:r>
        <w:rPr>
          <w:color w:val="010101"/>
          <w:w w:val="110"/>
          <w:sz w:val="17"/>
        </w:rPr>
        <w:t>with   retire­</w:t>
      </w:r>
    </w:p>
    <w:p>
      <w:pPr>
        <w:spacing w:line="215" w:lineRule="exact" w:before="0"/>
        <w:ind w:left="122" w:right="0" w:firstLine="0"/>
        <w:jc w:val="both"/>
        <w:rPr>
          <w:sz w:val="17"/>
        </w:rPr>
      </w:pPr>
      <w:r>
        <w:rPr>
          <w:color w:val="010101"/>
          <w:w w:val="110"/>
          <w:sz w:val="17"/>
        </w:rPr>
        <w:t>ment a.ge </w:t>
      </w:r>
      <w:r>
        <w:rPr>
          <w:i/>
          <w:color w:val="010101"/>
          <w:w w:val="110"/>
          <w:sz w:val="13"/>
        </w:rPr>
        <w:t>:i  </w:t>
      </w:r>
      <w:r>
        <w:rPr>
          <w:rFonts w:ascii="Arial"/>
          <w:color w:val="010101"/>
          <w:w w:val="110"/>
          <w:sz w:val="26"/>
        </w:rPr>
        <w:t>+ </w:t>
      </w:r>
      <w:r>
        <w:rPr>
          <w:i/>
          <w:color w:val="010101"/>
          <w:w w:val="110"/>
          <w:sz w:val="17"/>
        </w:rPr>
        <w:t>n. </w:t>
      </w:r>
      <w:r>
        <w:rPr>
          <w:color w:val="010101"/>
          <w:w w:val="110"/>
          <w:sz w:val="17"/>
        </w:rPr>
        <w:t>Assume that the gross premium  is loaded a percentage of</w:t>
      </w:r>
    </w:p>
    <w:p>
      <w:pPr>
        <w:spacing w:line="189" w:lineRule="exact" w:before="0"/>
        <w:ind w:left="129" w:right="0" w:firstLine="0"/>
        <w:jc w:val="both"/>
        <w:rPr>
          <w:sz w:val="17"/>
        </w:rPr>
      </w:pPr>
      <w:r>
        <w:rPr>
          <w:color w:val="010101"/>
          <w:w w:val="115"/>
          <w:sz w:val="17"/>
        </w:rPr>
        <w:t>the net premium plus a constant.</w:t>
      </w:r>
    </w:p>
    <w:p>
      <w:pPr>
        <w:pStyle w:val="BodyText"/>
        <w:spacing w:before="3"/>
        <w:rPr>
          <w:sz w:val="14"/>
        </w:rPr>
      </w:pPr>
    </w:p>
    <w:p>
      <w:pPr>
        <w:spacing w:before="0"/>
        <w:ind w:left="118" w:right="0" w:firstLine="0"/>
        <w:jc w:val="both"/>
        <w:rPr>
          <w:b/>
          <w:sz w:val="16"/>
        </w:rPr>
      </w:pPr>
      <w:r>
        <w:rPr>
          <w:b/>
          <w:color w:val="010101"/>
          <w:w w:val="115"/>
          <w:sz w:val="17"/>
        </w:rPr>
        <w:t>6.  Family  </w:t>
      </w:r>
      <w:r>
        <w:rPr>
          <w:b/>
          <w:color w:val="010101"/>
          <w:w w:val="115"/>
          <w:sz w:val="16"/>
        </w:rPr>
        <w:t>income henefits</w:t>
      </w:r>
    </w:p>
    <w:p>
      <w:pPr>
        <w:spacing w:line="249" w:lineRule="auto" w:before="81"/>
        <w:ind w:left="125" w:right="120" w:firstLine="161"/>
        <w:jc w:val="both"/>
        <w:rPr>
          <w:sz w:val="17"/>
        </w:rPr>
      </w:pPr>
      <w:r>
        <w:rPr/>
        <w:pict>
          <v:shape style="position:absolute;margin-left:132.735397pt;margin-top:28.562859pt;width:11.5pt;height:27pt;mso-position-horizontal-relative:page;mso-position-vertical-relative:paragraph;z-index:-722248" type="#_x0000_t202" filled="false" stroked="false">
            <v:textbox inset="0,0,0,0">
              <w:txbxContent>
                <w:p>
                  <w:pPr>
                    <w:spacing w:line="540" w:lineRule="exact" w:before="0"/>
                    <w:ind w:left="0" w:right="-19" w:firstLine="0"/>
                    <w:jc w:val="left"/>
                    <w:rPr>
                      <w:sz w:val="54"/>
                    </w:rPr>
                  </w:pPr>
                  <w:r>
                    <w:rPr>
                      <w:color w:val="010101"/>
                      <w:w w:val="30"/>
                      <w:sz w:val="54"/>
                    </w:rPr>
                    <w:t>.</w:t>
                  </w:r>
                  <w:r>
                    <w:rPr>
                      <w:color w:val="010101"/>
                      <w:spacing w:val="-17"/>
                      <w:w w:val="30"/>
                      <w:sz w:val="54"/>
                    </w:rPr>
                    <w:t>.</w:t>
                  </w:r>
                  <w:r>
                    <w:rPr>
                      <w:color w:val="010101"/>
                      <w:spacing w:val="-77"/>
                      <w:w w:val="139"/>
                      <w:sz w:val="54"/>
                    </w:rPr>
                    <w:t>,</w:t>
                  </w:r>
                  <w:r>
                    <w:rPr>
                      <w:color w:val="010101"/>
                      <w:w w:val="29"/>
                      <w:sz w:val="54"/>
                    </w:rPr>
                    <w:t>r</w:t>
                  </w:r>
                </w:p>
              </w:txbxContent>
            </v:textbox>
            <w10:wrap type="none"/>
          </v:shape>
        </w:pict>
      </w:r>
      <w:r>
        <w:rPr>
          <w:color w:val="010101"/>
          <w:w w:val="110"/>
          <w:sz w:val="17"/>
        </w:rPr>
        <w:t>15. (a) Show that the net single premium at age </w:t>
      </w:r>
      <w:r>
        <w:rPr>
          <w:rFonts w:ascii="Arial" w:hAnsi="Arial"/>
          <w:i/>
          <w:color w:val="010101"/>
          <w:w w:val="110"/>
          <w:sz w:val="15"/>
        </w:rPr>
        <w:t>x </w:t>
      </w:r>
      <w:r>
        <w:rPr>
          <w:color w:val="010101"/>
          <w:w w:val="110"/>
          <w:sz w:val="17"/>
        </w:rPr>
        <w:t>for an n-year </w:t>
      </w:r>
      <w:r>
        <w:rPr>
          <w:color w:val="010101"/>
          <w:sz w:val="17"/>
        </w:rPr>
        <w:t>f </w:t>
      </w:r>
      <w:r>
        <w:rPr>
          <w:color w:val="010101"/>
          <w:w w:val="110"/>
          <w:sz w:val="17"/>
        </w:rPr>
        <w:t>amily in­ come benefit providing a yearly income </w:t>
      </w:r>
      <w:r>
        <w:rPr>
          <w:color w:val="010101"/>
          <w:sz w:val="17"/>
        </w:rPr>
        <w:t>of </w:t>
      </w:r>
      <w:r>
        <w:rPr>
          <w:color w:val="010101"/>
          <w:w w:val="110"/>
          <w:sz w:val="17"/>
        </w:rPr>
        <w:t>1 payable continuously may be expressed in the following four  ways:</w:t>
      </w:r>
    </w:p>
    <w:p>
      <w:pPr>
        <w:spacing w:line="231" w:lineRule="exact" w:before="91"/>
        <w:ind w:left="421" w:right="765" w:firstLine="0"/>
        <w:jc w:val="center"/>
        <w:rPr>
          <w:rFonts w:ascii="Arial" w:hAnsi="Arial"/>
          <w:sz w:val="13"/>
        </w:rPr>
      </w:pPr>
      <w:r>
        <w:rPr>
          <w:color w:val="010101"/>
          <w:spacing w:val="-5"/>
          <w:w w:val="82"/>
          <w:sz w:val="24"/>
        </w:rPr>
        <w:t>=</w:t>
      </w:r>
      <w:r>
        <w:rPr>
          <w:rFonts w:ascii="Arial" w:hAnsi="Arial"/>
          <w:i/>
          <w:color w:val="161616"/>
          <w:w w:val="56"/>
          <w:position w:val="12"/>
          <w:sz w:val="11"/>
        </w:rPr>
        <w:t>1</w:t>
      </w:r>
      <w:r>
        <w:rPr>
          <w:rFonts w:ascii="Arial" w:hAnsi="Arial"/>
          <w:i/>
          <w:color w:val="161616"/>
          <w:position w:val="12"/>
          <w:sz w:val="11"/>
        </w:rPr>
        <w:t> </w:t>
      </w:r>
      <w:r>
        <w:rPr>
          <w:rFonts w:ascii="Arial" w:hAnsi="Arial"/>
          <w:i/>
          <w:color w:val="161616"/>
          <w:spacing w:val="-14"/>
          <w:position w:val="12"/>
          <w:sz w:val="11"/>
        </w:rPr>
        <w:t> </w:t>
      </w:r>
      <w:r>
        <w:rPr>
          <w:rFonts w:ascii="Arial" w:hAnsi="Arial"/>
          <w:i/>
          <w:color w:val="010101"/>
          <w:w w:val="75"/>
          <w:sz w:val="18"/>
        </w:rPr>
        <w:t>a;;¡</w:t>
      </w:r>
      <w:r>
        <w:rPr>
          <w:rFonts w:ascii="Arial" w:hAnsi="Arial"/>
          <w:i/>
          <w:color w:val="010101"/>
          <w:sz w:val="18"/>
        </w:rPr>
        <w:t> </w:t>
      </w:r>
      <w:r>
        <w:rPr>
          <w:rFonts w:ascii="Arial" w:hAnsi="Arial"/>
          <w:i/>
          <w:color w:val="010101"/>
          <w:spacing w:val="-11"/>
          <w:sz w:val="18"/>
        </w:rPr>
        <w:t> </w:t>
      </w:r>
      <w:r>
        <w:rPr>
          <w:rFonts w:ascii="Arial" w:hAnsi="Arial"/>
          <w:color w:val="010101"/>
          <w:w w:val="231"/>
          <w:sz w:val="18"/>
        </w:rPr>
        <w:t>-</w:t>
      </w:r>
      <w:r>
        <w:rPr>
          <w:rFonts w:ascii="Arial" w:hAnsi="Arial"/>
          <w:color w:val="010101"/>
          <w:spacing w:val="8"/>
          <w:sz w:val="18"/>
        </w:rPr>
        <w:t> </w:t>
      </w:r>
      <w:r>
        <w:rPr>
          <w:rFonts w:ascii="Arial" w:hAnsi="Arial"/>
          <w:color w:val="010101"/>
          <w:w w:val="123"/>
          <w:sz w:val="13"/>
        </w:rPr>
        <w:t>4r:ii]</w:t>
      </w:r>
    </w:p>
    <w:p>
      <w:pPr>
        <w:spacing w:line="610" w:lineRule="exact" w:before="0"/>
        <w:ind w:left="295" w:right="131" w:firstLine="0"/>
        <w:jc w:val="center"/>
        <w:rPr>
          <w:i/>
          <w:sz w:val="17"/>
        </w:rPr>
      </w:pPr>
      <w:r>
        <w:rPr>
          <w:color w:val="010101"/>
          <w:w w:val="103"/>
          <w:sz w:val="20"/>
        </w:rPr>
        <w:t>=</w:t>
      </w:r>
      <w:r>
        <w:rPr>
          <w:color w:val="010101"/>
          <w:sz w:val="20"/>
        </w:rPr>
        <w:t> </w:t>
      </w:r>
      <w:r>
        <w:rPr>
          <w:color w:val="010101"/>
          <w:spacing w:val="-20"/>
          <w:sz w:val="20"/>
        </w:rPr>
        <w:t> </w:t>
      </w:r>
      <w:r>
        <w:rPr>
          <w:rFonts w:ascii="Arial"/>
          <w:i/>
          <w:color w:val="010101"/>
          <w:spacing w:val="37"/>
          <w:w w:val="103"/>
          <w:sz w:val="57"/>
        </w:rPr>
        <w:t>l</w:t>
      </w:r>
      <w:r>
        <w:rPr>
          <w:rFonts w:ascii="Arial"/>
          <w:i/>
          <w:color w:val="010101"/>
          <w:w w:val="38"/>
          <w:sz w:val="57"/>
        </w:rPr>
        <w:t>"</w:t>
      </w:r>
      <w:r>
        <w:rPr>
          <w:rFonts w:ascii="Arial"/>
          <w:i/>
          <w:color w:val="010101"/>
          <w:spacing w:val="-90"/>
          <w:sz w:val="57"/>
        </w:rPr>
        <w:t> </w:t>
      </w:r>
      <w:r>
        <w:rPr>
          <w:color w:val="010101"/>
          <w:w w:val="105"/>
          <w:sz w:val="17"/>
        </w:rPr>
        <w:t>v'</w:t>
      </w:r>
      <w:r>
        <w:rPr>
          <w:color w:val="010101"/>
          <w:w w:val="105"/>
          <w:sz w:val="17"/>
        </w:rPr>
        <w:t>(I</w:t>
      </w:r>
      <w:r>
        <w:rPr>
          <w:color w:val="010101"/>
          <w:sz w:val="17"/>
        </w:rPr>
        <w:t> </w:t>
      </w:r>
      <w:r>
        <w:rPr>
          <w:color w:val="010101"/>
          <w:spacing w:val="6"/>
          <w:sz w:val="17"/>
        </w:rPr>
        <w:t> </w:t>
      </w:r>
      <w:r>
        <w:rPr>
          <w:color w:val="010101"/>
          <w:w w:val="264"/>
          <w:sz w:val="17"/>
        </w:rPr>
        <w:t>-</w:t>
      </w:r>
      <w:r>
        <w:rPr>
          <w:color w:val="010101"/>
          <w:spacing w:val="11"/>
          <w:sz w:val="17"/>
        </w:rPr>
        <w:t> </w:t>
      </w:r>
      <w:r>
        <w:rPr>
          <w:color w:val="010101"/>
          <w:w w:val="106"/>
          <w:sz w:val="17"/>
        </w:rPr>
        <w:t>,pr)</w:t>
      </w:r>
      <w:r>
        <w:rPr>
          <w:color w:val="010101"/>
          <w:spacing w:val="15"/>
          <w:sz w:val="17"/>
        </w:rPr>
        <w:t> </w:t>
      </w:r>
      <w:r>
        <w:rPr>
          <w:i/>
          <w:color w:val="010101"/>
          <w:w w:val="103"/>
          <w:sz w:val="17"/>
        </w:rPr>
        <w:t>dt</w:t>
      </w:r>
    </w:p>
    <w:p>
      <w:pPr>
        <w:pStyle w:val="BodyText"/>
        <w:spacing w:before="1"/>
        <w:rPr>
          <w:i/>
          <w:sz w:val="17"/>
        </w:rPr>
      </w:pPr>
      <w:r>
        <w:rPr/>
        <w:drawing>
          <wp:anchor distT="0" distB="0" distL="0" distR="0" allowOverlap="1" layoutInCell="1" locked="0" behindDoc="0" simplePos="0" relativeHeight="13792">
            <wp:simplePos x="0" y="0"/>
            <wp:positionH relativeFrom="page">
              <wp:posOffset>1892807</wp:posOffset>
            </wp:positionH>
            <wp:positionV relativeFrom="paragraph">
              <wp:posOffset>150109</wp:posOffset>
            </wp:positionV>
            <wp:extent cx="1051559" cy="283463"/>
            <wp:effectExtent l="0" t="0" r="0" b="0"/>
            <wp:wrapTopAndBottom/>
            <wp:docPr id="343" name="image177.png" descr=""/>
            <wp:cNvGraphicFramePr>
              <a:graphicFrameLocks noChangeAspect="1"/>
            </wp:cNvGraphicFramePr>
            <a:graphic>
              <a:graphicData uri="http://schemas.openxmlformats.org/drawingml/2006/picture">
                <pic:pic>
                  <pic:nvPicPr>
                    <pic:cNvPr id="344" name="image177.png"/>
                    <pic:cNvPicPr/>
                  </pic:nvPicPr>
                  <pic:blipFill>
                    <a:blip r:embed="rId181" cstate="print"/>
                    <a:stretch>
                      <a:fillRect/>
                    </a:stretch>
                  </pic:blipFill>
                  <pic:spPr>
                    <a:xfrm>
                      <a:off x="0" y="0"/>
                      <a:ext cx="1051559" cy="283463"/>
                    </a:xfrm>
                    <a:prstGeom prst="rect">
                      <a:avLst/>
                    </a:prstGeom>
                  </pic:spPr>
                </pic:pic>
              </a:graphicData>
            </a:graphic>
          </wp:anchor>
        </w:drawing>
      </w:r>
    </w:p>
    <w:p>
      <w:pPr>
        <w:tabs>
          <w:tab w:pos="1301" w:val="left" w:leader="none"/>
        </w:tabs>
        <w:spacing w:before="235"/>
        <w:ind w:left="146" w:right="0" w:firstLine="0"/>
        <w:jc w:val="center"/>
        <w:rPr>
          <w:i/>
          <w:sz w:val="17"/>
        </w:rPr>
      </w:pPr>
      <w:r>
        <w:rPr>
          <w:rFonts w:ascii="Arial"/>
          <w:color w:val="010101"/>
          <w:w w:val="95"/>
          <w:sz w:val="16"/>
        </w:rPr>
        <w:t>=-  </w:t>
      </w:r>
      <w:r>
        <w:rPr>
          <w:rFonts w:ascii="Arial"/>
          <w:i/>
          <w:color w:val="010101"/>
          <w:w w:val="95"/>
          <w:position w:val="-10"/>
          <w:sz w:val="25"/>
        </w:rPr>
        <w:t>6</w:t>
      </w:r>
      <w:r>
        <w:rPr>
          <w:rFonts w:ascii="Arial"/>
          <w:i/>
          <w:color w:val="010101"/>
          <w:spacing w:val="-32"/>
          <w:w w:val="95"/>
          <w:position w:val="-10"/>
          <w:sz w:val="25"/>
        </w:rPr>
        <w:t> </w:t>
      </w:r>
      <w:r>
        <w:rPr>
          <w:color w:val="010101"/>
          <w:w w:val="95"/>
          <w:sz w:val="16"/>
        </w:rPr>
        <w:t>As:iil </w:t>
      </w:r>
      <w:r>
        <w:rPr>
          <w:color w:val="010101"/>
          <w:spacing w:val="5"/>
          <w:w w:val="95"/>
          <w:sz w:val="16"/>
        </w:rPr>
        <w:t> </w:t>
      </w:r>
      <w:r>
        <w:rPr>
          <w:color w:val="010101"/>
          <w:w w:val="255"/>
          <w:sz w:val="16"/>
        </w:rPr>
        <w:t>-</w:t>
        <w:tab/>
      </w:r>
      <w:r>
        <w:rPr>
          <w:i/>
          <w:color w:val="010101"/>
          <w:w w:val="95"/>
          <w:sz w:val="17"/>
        </w:rPr>
        <w:t>,.qr</w:t>
      </w:r>
      <w:r>
        <w:rPr>
          <w:i/>
          <w:color w:val="010101"/>
          <w:spacing w:val="-14"/>
          <w:w w:val="95"/>
          <w:sz w:val="17"/>
        </w:rPr>
        <w:t> </w:t>
      </w:r>
      <w:r>
        <w:rPr>
          <w:i/>
          <w:color w:val="010101"/>
          <w:w w:val="150"/>
          <w:sz w:val="17"/>
        </w:rPr>
        <w:t>.</w:t>
      </w:r>
    </w:p>
    <w:p>
      <w:pPr>
        <w:spacing w:line="205" w:lineRule="exact" w:before="133"/>
        <w:ind w:left="359" w:right="0" w:firstLine="0"/>
        <w:jc w:val="center"/>
        <w:rPr>
          <w:sz w:val="17"/>
        </w:rPr>
      </w:pPr>
      <w:r>
        <w:rPr/>
        <w:pict>
          <v:shape style="position:absolute;margin-left:159.103104pt;margin-top:-20.919643pt;width:44.7pt;height:8.5pt;mso-position-horizontal-relative:page;mso-position-vertical-relative:paragraph;z-index:-722224" type="#_x0000_t202" filled="false" stroked="false">
            <v:textbox inset="0,0,0,0">
              <w:txbxContent>
                <w:p>
                  <w:pPr>
                    <w:tabs>
                      <w:tab w:pos="756" w:val="left" w:leader="none"/>
                    </w:tabs>
                    <w:spacing w:line="170" w:lineRule="exact" w:before="0"/>
                    <w:ind w:left="0" w:right="0" w:firstLine="0"/>
                    <w:jc w:val="left"/>
                    <w:rPr>
                      <w:rFonts w:ascii="Arial"/>
                      <w:i/>
                      <w:sz w:val="13"/>
                    </w:rPr>
                  </w:pPr>
                  <w:r>
                    <w:rPr>
                      <w:color w:val="010101"/>
                      <w:w w:val="120"/>
                      <w:sz w:val="17"/>
                    </w:rPr>
                    <w:t>1</w:t>
                  </w:r>
                  <w:r>
                    <w:rPr>
                      <w:color w:val="010101"/>
                      <w:spacing w:val="41"/>
                      <w:w w:val="120"/>
                      <w:sz w:val="17"/>
                    </w:rPr>
                    <w:t> </w:t>
                  </w:r>
                  <w:r>
                    <w:rPr>
                      <w:rFonts w:ascii="Arial"/>
                      <w:color w:val="010101"/>
                      <w:w w:val="165"/>
                      <w:sz w:val="10"/>
                    </w:rPr>
                    <w:t>-1</w:t>
                    <w:tab/>
                  </w:r>
                  <w:r>
                    <w:rPr>
                      <w:rFonts w:ascii="Arial"/>
                      <w:i/>
                      <w:color w:val="010101"/>
                      <w:sz w:val="13"/>
                    </w:rPr>
                    <w:t>V"</w:t>
                  </w:r>
                </w:p>
              </w:txbxContent>
            </v:textbox>
            <w10:wrap type="none"/>
          </v:shape>
        </w:pict>
      </w:r>
      <w:r>
        <w:rPr>
          <w:color w:val="010101"/>
          <w:w w:val="110"/>
          <w:sz w:val="17"/>
        </w:rPr>
        <w:t>(b)  </w:t>
      </w:r>
      <w:r>
        <w:rPr>
          <w:color w:val="010101"/>
          <w:w w:val="110"/>
          <w:sz w:val="18"/>
        </w:rPr>
        <w:t>lf  </w:t>
      </w:r>
      <w:r>
        <w:rPr>
          <w:color w:val="010101"/>
          <w:w w:val="110"/>
          <w:sz w:val="17"/>
        </w:rPr>
        <w:t>the rate of  interest before  death </w:t>
      </w:r>
      <w:r>
        <w:rPr>
          <w:rFonts w:ascii="Arial"/>
          <w:color w:val="010101"/>
          <w:w w:val="110"/>
          <w:sz w:val="17"/>
        </w:rPr>
        <w:t>is </w:t>
      </w:r>
      <w:r>
        <w:rPr>
          <w:i/>
          <w:color w:val="010101"/>
          <w:w w:val="110"/>
          <w:sz w:val="18"/>
        </w:rPr>
        <w:t>i </w:t>
      </w:r>
      <w:r>
        <w:rPr>
          <w:color w:val="010101"/>
          <w:w w:val="110"/>
          <w:sz w:val="17"/>
        </w:rPr>
        <w:t>and  the rate af ter death   is</w:t>
      </w:r>
    </w:p>
    <w:p>
      <w:pPr>
        <w:spacing w:line="194" w:lineRule="exact" w:before="0"/>
        <w:ind w:left="132" w:right="0" w:firstLine="0"/>
        <w:jc w:val="both"/>
        <w:rPr>
          <w:sz w:val="17"/>
        </w:rPr>
      </w:pPr>
      <w:r>
        <w:rPr>
          <w:rFonts w:ascii="Arial" w:hAnsi="Arial"/>
          <w:i/>
          <w:color w:val="010101"/>
          <w:w w:val="142"/>
          <w:sz w:val="16"/>
        </w:rPr>
        <w:t>i'</w:t>
      </w:r>
      <w:r>
        <w:rPr>
          <w:rFonts w:ascii="Arial" w:hAnsi="Arial"/>
          <w:i/>
          <w:color w:val="010101"/>
          <w:spacing w:val="-14"/>
          <w:sz w:val="16"/>
        </w:rPr>
        <w:t> </w:t>
      </w:r>
      <w:r>
        <w:rPr>
          <w:rFonts w:ascii="Arial" w:hAnsi="Arial"/>
          <w:i/>
          <w:color w:val="010101"/>
          <w:spacing w:val="13"/>
          <w:w w:val="130"/>
          <w:sz w:val="16"/>
        </w:rPr>
        <w:t>,</w:t>
      </w:r>
      <w:r>
        <w:rPr>
          <w:color w:val="010101"/>
          <w:spacing w:val="-18"/>
          <w:w w:val="128"/>
          <w:sz w:val="17"/>
        </w:rPr>
        <w:t>s</w:t>
      </w:r>
      <w:r>
        <w:rPr>
          <w:color w:val="575757"/>
          <w:spacing w:val="-20"/>
          <w:w w:val="58"/>
          <w:sz w:val="17"/>
        </w:rPr>
        <w:t>·</w:t>
      </w:r>
      <w:r>
        <w:rPr>
          <w:color w:val="010101"/>
          <w:w w:val="101"/>
          <w:sz w:val="17"/>
        </w:rPr>
        <w:t>how</w:t>
      </w:r>
      <w:r>
        <w:rPr>
          <w:color w:val="010101"/>
          <w:spacing w:val="14"/>
          <w:sz w:val="17"/>
        </w:rPr>
        <w:t> </w:t>
      </w:r>
      <w:r>
        <w:rPr>
          <w:color w:val="010101"/>
          <w:w w:val="122"/>
          <w:sz w:val="17"/>
        </w:rPr>
        <w:t>that,</w:t>
      </w:r>
      <w:r>
        <w:rPr>
          <w:color w:val="010101"/>
          <w:spacing w:val="1"/>
          <w:sz w:val="17"/>
        </w:rPr>
        <w:t> </w:t>
      </w:r>
      <w:r>
        <w:rPr>
          <w:color w:val="010101"/>
          <w:w w:val="113"/>
          <w:sz w:val="17"/>
        </w:rPr>
        <w:t>without</w:t>
      </w:r>
      <w:r>
        <w:rPr>
          <w:color w:val="010101"/>
          <w:spacing w:val="8"/>
          <w:sz w:val="17"/>
        </w:rPr>
        <w:t> </w:t>
      </w:r>
      <w:r>
        <w:rPr>
          <w:color w:val="010101"/>
          <w:w w:val="111"/>
          <w:sz w:val="17"/>
        </w:rPr>
        <w:t>approximation,</w:t>
      </w:r>
      <w:r>
        <w:rPr>
          <w:color w:val="010101"/>
          <w:spacing w:val="9"/>
          <w:sz w:val="17"/>
        </w:rPr>
        <w:t> </w:t>
      </w:r>
      <w:r>
        <w:rPr>
          <w:color w:val="010101"/>
          <w:w w:val="113"/>
          <w:sz w:val="17"/>
        </w:rPr>
        <w:t>the</w:t>
      </w:r>
      <w:r>
        <w:rPr>
          <w:color w:val="010101"/>
          <w:spacing w:val="4"/>
          <w:sz w:val="17"/>
        </w:rPr>
        <w:t> </w:t>
      </w:r>
      <w:r>
        <w:rPr>
          <w:color w:val="010101"/>
          <w:w w:val="115"/>
          <w:sz w:val="17"/>
        </w:rPr>
        <w:t>net</w:t>
      </w:r>
      <w:r>
        <w:rPr>
          <w:color w:val="010101"/>
          <w:spacing w:val="3"/>
          <w:sz w:val="17"/>
        </w:rPr>
        <w:t> </w:t>
      </w:r>
      <w:r>
        <w:rPr>
          <w:color w:val="010101"/>
          <w:w w:val="106"/>
          <w:sz w:val="17"/>
        </w:rPr>
        <w:t>premium</w:t>
      </w:r>
      <w:r>
        <w:rPr>
          <w:color w:val="010101"/>
          <w:spacing w:val="15"/>
          <w:sz w:val="17"/>
        </w:rPr>
        <w:t> </w:t>
      </w:r>
      <w:r>
        <w:rPr>
          <w:color w:val="010101"/>
          <w:w w:val="114"/>
          <w:sz w:val="17"/>
        </w:rPr>
        <w:t>in</w:t>
      </w:r>
      <w:r>
        <w:rPr>
          <w:color w:val="010101"/>
          <w:spacing w:val="10"/>
          <w:sz w:val="17"/>
        </w:rPr>
        <w:t> </w:t>
      </w:r>
      <w:r>
        <w:rPr>
          <w:color w:val="010101"/>
          <w:w w:val="106"/>
          <w:sz w:val="17"/>
        </w:rPr>
        <w:t>(</w:t>
      </w:r>
      <w:r>
        <w:rPr>
          <w:color w:val="010101"/>
          <w:w w:val="106"/>
          <w:sz w:val="17"/>
        </w:rPr>
        <w:t>a</w:t>
      </w:r>
      <w:r>
        <w:rPr>
          <w:color w:val="010101"/>
          <w:w w:val="106"/>
          <w:sz w:val="17"/>
        </w:rPr>
        <w:t>)</w:t>
      </w:r>
      <w:r>
        <w:rPr>
          <w:color w:val="010101"/>
          <w:spacing w:val="6"/>
          <w:sz w:val="17"/>
        </w:rPr>
        <w:t> </w:t>
      </w:r>
      <w:r>
        <w:rPr>
          <w:color w:val="010101"/>
          <w:w w:val="109"/>
          <w:sz w:val="17"/>
        </w:rPr>
        <w:t>is</w:t>
      </w:r>
    </w:p>
    <w:p>
      <w:pPr>
        <w:spacing w:after="0" w:line="194" w:lineRule="exact"/>
        <w:jc w:val="both"/>
        <w:rPr>
          <w:sz w:val="17"/>
        </w:rPr>
        <w:sectPr>
          <w:pgSz w:w="7200" w:h="11340"/>
          <w:pgMar w:top="500" w:bottom="280" w:left="660" w:right="580"/>
        </w:sectPr>
      </w:pPr>
    </w:p>
    <w:p>
      <w:pPr>
        <w:tabs>
          <w:tab w:pos="2333" w:val="left" w:leader="none"/>
          <w:tab w:pos="5343" w:val="left" w:leader="none"/>
        </w:tabs>
        <w:spacing w:before="52"/>
        <w:ind w:left="163" w:right="0" w:firstLine="0"/>
        <w:jc w:val="left"/>
        <w:rPr>
          <w:b/>
          <w:sz w:val="21"/>
        </w:rPr>
      </w:pPr>
      <w:r>
        <w:rPr>
          <w:rFonts w:ascii="Arial"/>
          <w:color w:val="030303"/>
          <w:sz w:val="19"/>
        </w:rPr>
        <w:t>168</w:t>
        <w:tab/>
      </w:r>
      <w:r>
        <w:rPr>
          <w:b/>
          <w:color w:val="030303"/>
          <w:sz w:val="15"/>
        </w:rPr>
        <w:t>SPECJAL </w:t>
      </w:r>
      <w:r>
        <w:rPr>
          <w:b/>
          <w:color w:val="030303"/>
          <w:spacing w:val="12"/>
          <w:sz w:val="15"/>
        </w:rPr>
        <w:t> </w:t>
      </w:r>
      <w:r>
        <w:rPr>
          <w:b/>
          <w:color w:val="030303"/>
          <w:sz w:val="15"/>
        </w:rPr>
        <w:t>TOPICS</w:t>
        <w:tab/>
      </w:r>
      <w:r>
        <w:rPr>
          <w:b/>
          <w:color w:val="030303"/>
          <w:w w:val="90"/>
          <w:sz w:val="19"/>
        </w:rPr>
        <w:t>[CH.</w:t>
      </w:r>
      <w:r>
        <w:rPr>
          <w:b/>
          <w:color w:val="030303"/>
          <w:spacing w:val="10"/>
          <w:w w:val="90"/>
          <w:sz w:val="19"/>
        </w:rPr>
        <w:t> </w:t>
      </w:r>
      <w:r>
        <w:rPr>
          <w:b/>
          <w:color w:val="030303"/>
          <w:w w:val="90"/>
          <w:sz w:val="21"/>
        </w:rPr>
        <w:t>7</w:t>
      </w:r>
    </w:p>
    <w:p>
      <w:pPr>
        <w:pStyle w:val="BodyText"/>
        <w:rPr>
          <w:b/>
          <w:sz w:val="19"/>
        </w:rPr>
      </w:pPr>
      <w:r>
        <w:rPr/>
        <w:drawing>
          <wp:anchor distT="0" distB="0" distL="0" distR="0" allowOverlap="1" layoutInCell="1" locked="0" behindDoc="0" simplePos="0" relativeHeight="13864">
            <wp:simplePos x="0" y="0"/>
            <wp:positionH relativeFrom="page">
              <wp:posOffset>1874520</wp:posOffset>
            </wp:positionH>
            <wp:positionV relativeFrom="paragraph">
              <wp:posOffset>163631</wp:posOffset>
            </wp:positionV>
            <wp:extent cx="941831" cy="237744"/>
            <wp:effectExtent l="0" t="0" r="0" b="0"/>
            <wp:wrapTopAndBottom/>
            <wp:docPr id="345" name="image178.png" descr=""/>
            <wp:cNvGraphicFramePr>
              <a:graphicFrameLocks noChangeAspect="1"/>
            </wp:cNvGraphicFramePr>
            <a:graphic>
              <a:graphicData uri="http://schemas.openxmlformats.org/drawingml/2006/picture">
                <pic:pic>
                  <pic:nvPicPr>
                    <pic:cNvPr id="346" name="image178.png"/>
                    <pic:cNvPicPr/>
                  </pic:nvPicPr>
                  <pic:blipFill>
                    <a:blip r:embed="rId182" cstate="print"/>
                    <a:stretch>
                      <a:fillRect/>
                    </a:stretch>
                  </pic:blipFill>
                  <pic:spPr>
                    <a:xfrm>
                      <a:off x="0" y="0"/>
                      <a:ext cx="941831" cy="237744"/>
                    </a:xfrm>
                    <a:prstGeom prst="rect">
                      <a:avLst/>
                    </a:prstGeom>
                  </pic:spPr>
                </pic:pic>
              </a:graphicData>
            </a:graphic>
          </wp:anchor>
        </w:drawing>
      </w:r>
    </w:p>
    <w:p>
      <w:pPr>
        <w:pStyle w:val="BodyText"/>
        <w:spacing w:before="2"/>
        <w:rPr>
          <w:b/>
          <w:sz w:val="7"/>
        </w:rPr>
      </w:pPr>
    </w:p>
    <w:p>
      <w:pPr>
        <w:spacing w:after="0"/>
        <w:rPr>
          <w:sz w:val="7"/>
        </w:rPr>
        <w:sectPr>
          <w:pgSz w:w="7200" w:h="11340"/>
          <w:pgMar w:top="500" w:bottom="280" w:left="680" w:right="560"/>
        </w:sectPr>
      </w:pPr>
    </w:p>
    <w:p>
      <w:pPr>
        <w:tabs>
          <w:tab w:pos="2480" w:val="left" w:leader="none"/>
        </w:tabs>
        <w:spacing w:line="144" w:lineRule="exact" w:before="93"/>
        <w:ind w:left="137" w:right="0" w:firstLine="0"/>
        <w:jc w:val="left"/>
        <w:rPr>
          <w:sz w:val="23"/>
        </w:rPr>
      </w:pPr>
      <w:r>
        <w:rPr>
          <w:color w:val="030303"/>
          <w:w w:val="105"/>
          <w:sz w:val="17"/>
        </w:rPr>
        <w:t>wherc</w:t>
        <w:tab/>
      </w:r>
      <w:r>
        <w:rPr>
          <w:i/>
          <w:color w:val="030303"/>
          <w:w w:val="105"/>
          <w:position w:val="5"/>
          <w:sz w:val="18"/>
        </w:rPr>
        <w:t>i''</w:t>
      </w:r>
      <w:r>
        <w:rPr>
          <w:i/>
          <w:color w:val="030303"/>
          <w:spacing w:val="35"/>
          <w:w w:val="105"/>
          <w:position w:val="5"/>
          <w:sz w:val="18"/>
        </w:rPr>
        <w:t> </w:t>
      </w:r>
      <w:r>
        <w:rPr>
          <w:color w:val="030303"/>
          <w:w w:val="105"/>
          <w:position w:val="5"/>
          <w:sz w:val="23"/>
        </w:rPr>
        <w:t>=</w:t>
      </w:r>
    </w:p>
    <w:p>
      <w:pPr>
        <w:spacing w:line="170" w:lineRule="exact" w:before="67"/>
        <w:ind w:left="137" w:right="0" w:firstLine="0"/>
        <w:jc w:val="left"/>
        <w:rPr>
          <w:rFonts w:ascii="Arial"/>
          <w:i/>
          <w:sz w:val="26"/>
        </w:rPr>
      </w:pPr>
      <w:r>
        <w:rPr/>
        <w:br w:type="column"/>
      </w:r>
      <w:r>
        <w:rPr>
          <w:rFonts w:ascii="Arial"/>
          <w:i/>
          <w:color w:val="030303"/>
          <w:w w:val="60"/>
          <w:sz w:val="26"/>
        </w:rPr>
        <w:t>-:-:_J</w:t>
      </w:r>
    </w:p>
    <w:p>
      <w:pPr>
        <w:spacing w:after="0" w:line="170" w:lineRule="exact"/>
        <w:jc w:val="left"/>
        <w:rPr>
          <w:rFonts w:ascii="Arial"/>
          <w:sz w:val="26"/>
        </w:rPr>
        <w:sectPr>
          <w:type w:val="continuous"/>
          <w:pgSz w:w="7200" w:h="11340"/>
          <w:pgMar w:top="1100" w:bottom="0" w:left="680" w:right="560"/>
          <w:cols w:num="2" w:equalWidth="0">
            <w:col w:w="2833" w:space="101"/>
            <w:col w:w="3026"/>
          </w:cols>
        </w:sectPr>
      </w:pPr>
    </w:p>
    <w:p>
      <w:pPr>
        <w:tabs>
          <w:tab w:pos="477" w:val="left" w:leader="none"/>
        </w:tabs>
        <w:spacing w:line="266" w:lineRule="exact" w:before="0"/>
        <w:ind w:left="58" w:right="0" w:firstLine="0"/>
        <w:jc w:val="center"/>
        <w:rPr>
          <w:sz w:val="18"/>
        </w:rPr>
      </w:pPr>
      <w:r>
        <w:rPr/>
        <w:pict>
          <v:line style="position:absolute;mso-position-horizontal-relative:page;mso-position-vertical-relative:paragraph;z-index:-722152" from="183.318405pt,5.948848pt" to="186.308405pt,5.948848pt" stroked="true" strokeweight=".4715pt" strokecolor="#020202">
            <w10:wrap type="none"/>
          </v:line>
        </w:pict>
      </w:r>
      <w:r>
        <w:rPr>
          <w:color w:val="1C1C1C"/>
          <w:w w:val="95"/>
          <w:sz w:val="17"/>
        </w:rPr>
        <w:t>.</w:t>
        <w:tab/>
      </w:r>
      <w:r>
        <w:rPr>
          <w:color w:val="030303"/>
          <w:sz w:val="17"/>
        </w:rPr>
        <w:t>1 </w:t>
      </w:r>
      <w:r>
        <w:rPr>
          <w:rFonts w:ascii="Arial"/>
          <w:color w:val="030303"/>
          <w:sz w:val="26"/>
        </w:rPr>
        <w:t>+ </w:t>
      </w:r>
      <w:r>
        <w:rPr>
          <w:color w:val="030303"/>
          <w:spacing w:val="-12"/>
          <w:sz w:val="18"/>
        </w:rPr>
        <w:t>1:'</w:t>
      </w:r>
      <w:r>
        <w:rPr>
          <w:color w:val="030303"/>
          <w:spacing w:val="-8"/>
          <w:sz w:val="18"/>
        </w:rPr>
        <w:t> </w:t>
      </w:r>
      <w:r>
        <w:rPr>
          <w:color w:val="030303"/>
          <w:sz w:val="18"/>
        </w:rPr>
        <w:t>.</w:t>
      </w:r>
    </w:p>
    <w:p>
      <w:pPr>
        <w:spacing w:line="244" w:lineRule="auto" w:before="174"/>
        <w:ind w:left="116" w:right="108" w:firstLine="190"/>
        <w:jc w:val="both"/>
        <w:rPr>
          <w:sz w:val="17"/>
        </w:rPr>
      </w:pPr>
      <w:r>
        <w:rPr>
          <w:rFonts w:ascii="Arial" w:hAnsi="Arial"/>
          <w:color w:val="030303"/>
          <w:sz w:val="15"/>
        </w:rPr>
        <w:t>ll&gt;.</w:t>
      </w:r>
      <w:r>
        <w:rPr>
          <w:rFonts w:ascii="Arial" w:hAnsi="Arial"/>
          <w:color w:val="030303"/>
          <w:spacing w:val="-6"/>
          <w:sz w:val="15"/>
        </w:rPr>
        <w:t> </w:t>
      </w:r>
      <w:r>
        <w:rPr>
          <w:color w:val="030303"/>
          <w:sz w:val="17"/>
        </w:rPr>
        <w:t>A</w:t>
      </w:r>
      <w:r>
        <w:rPr>
          <w:color w:val="030303"/>
          <w:spacing w:val="-1"/>
          <w:sz w:val="17"/>
        </w:rPr>
        <w:t> </w:t>
      </w:r>
      <w:r>
        <w:rPr>
          <w:color w:val="030303"/>
          <w:sz w:val="17"/>
        </w:rPr>
        <w:t>policy</w:t>
      </w:r>
      <w:r>
        <w:rPr>
          <w:color w:val="030303"/>
          <w:spacing w:val="2"/>
          <w:sz w:val="17"/>
        </w:rPr>
        <w:t> </w:t>
      </w:r>
      <w:r>
        <w:rPr>
          <w:color w:val="030303"/>
          <w:sz w:val="17"/>
        </w:rPr>
        <w:t>pruvide:s tt</w:t>
      </w:r>
      <w:r>
        <w:rPr>
          <w:color w:val="030303"/>
          <w:spacing w:val="5"/>
          <w:sz w:val="17"/>
        </w:rPr>
        <w:t> </w:t>
      </w:r>
      <w:r>
        <w:rPr>
          <w:color w:val="030303"/>
          <w:sz w:val="17"/>
        </w:rPr>
        <w:t>cout.iu11011s</w:t>
      </w:r>
      <w:r>
        <w:rPr>
          <w:color w:val="030303"/>
          <w:spacing w:val="1"/>
          <w:sz w:val="17"/>
        </w:rPr>
        <w:t> </w:t>
      </w:r>
      <w:r>
        <w:rPr>
          <w:color w:val="030303"/>
          <w:w w:val="95"/>
          <w:sz w:val="17"/>
        </w:rPr>
        <w:t>x111111i</w:t>
      </w:r>
      <w:r>
        <w:rPr>
          <w:color w:val="030303"/>
          <w:spacing w:val="-22"/>
          <w:w w:val="95"/>
          <w:sz w:val="17"/>
        </w:rPr>
        <w:t> </w:t>
      </w:r>
      <w:r>
        <w:rPr>
          <w:color w:val="030303"/>
          <w:w w:val="95"/>
          <w:sz w:val="17"/>
        </w:rPr>
        <w:t>t</w:t>
      </w:r>
      <w:r>
        <w:rPr>
          <w:color w:val="030303"/>
          <w:spacing w:val="-25"/>
          <w:w w:val="95"/>
          <w:sz w:val="17"/>
        </w:rPr>
        <w:t> </w:t>
      </w:r>
      <w:r>
        <w:rPr>
          <w:color w:val="030303"/>
          <w:sz w:val="17"/>
        </w:rPr>
        <w:t>y-&lt;'.crtai</w:t>
      </w:r>
      <w:r>
        <w:rPr>
          <w:color w:val="030303"/>
          <w:spacing w:val="-28"/>
          <w:sz w:val="17"/>
        </w:rPr>
        <w:t> </w:t>
      </w:r>
      <w:r>
        <w:rPr>
          <w:color w:val="030303"/>
          <w:sz w:val="17"/>
        </w:rPr>
        <w:t>n</w:t>
      </w:r>
      <w:r>
        <w:rPr>
          <w:color w:val="030303"/>
          <w:spacing w:val="-1"/>
          <w:sz w:val="17"/>
        </w:rPr>
        <w:t> </w:t>
      </w:r>
      <w:r>
        <w:rPr>
          <w:color w:val="030303"/>
          <w:sz w:val="17"/>
        </w:rPr>
        <w:t>uf</w:t>
      </w:r>
      <w:r>
        <w:rPr>
          <w:color w:val="030303"/>
          <w:spacing w:val="11"/>
          <w:sz w:val="17"/>
        </w:rPr>
        <w:t> </w:t>
      </w:r>
      <w:r>
        <w:rPr>
          <w:color w:val="030303"/>
          <w:sz w:val="15"/>
        </w:rPr>
        <w:t>1</w:t>
      </w:r>
      <w:r>
        <w:rPr>
          <w:color w:val="030303"/>
          <w:spacing w:val="-13"/>
          <w:sz w:val="15"/>
        </w:rPr>
        <w:t> </w:t>
      </w:r>
      <w:r>
        <w:rPr>
          <w:color w:val="030303"/>
          <w:sz w:val="17"/>
        </w:rPr>
        <w:t>µer</w:t>
      </w:r>
      <w:r>
        <w:rPr>
          <w:color w:val="030303"/>
          <w:spacing w:val="-9"/>
          <w:sz w:val="17"/>
        </w:rPr>
        <w:t> </w:t>
      </w:r>
      <w:r>
        <w:rPr>
          <w:color w:val="030303"/>
          <w:sz w:val="17"/>
        </w:rPr>
        <w:t>a11nu</w:t>
      </w:r>
      <w:r>
        <w:rPr>
          <w:color w:val="030303"/>
          <w:spacing w:val="-30"/>
          <w:sz w:val="17"/>
        </w:rPr>
        <w:t> </w:t>
      </w:r>
      <w:r>
        <w:rPr>
          <w:color w:val="030303"/>
          <w:sz w:val="17"/>
        </w:rPr>
        <w:t>m</w:t>
      </w:r>
      <w:r>
        <w:rPr>
          <w:color w:val="030303"/>
          <w:spacing w:val="2"/>
          <w:sz w:val="17"/>
        </w:rPr>
        <w:t> </w:t>
      </w:r>
      <w:r>
        <w:rPr>
          <w:rFonts w:ascii="Arial" w:hAnsi="Arial"/>
          <w:color w:val="030303"/>
          <w:sz w:val="17"/>
        </w:rPr>
        <w:t>be­ </w:t>
      </w:r>
      <w:r>
        <w:rPr>
          <w:color w:val="030303"/>
          <w:w w:val="95"/>
          <w:sz w:val="16"/>
        </w:rPr>
        <w:t>gi1111i11g  </w:t>
      </w:r>
      <w:r>
        <w:rPr>
          <w:color w:val="030303"/>
          <w:sz w:val="17"/>
        </w:rPr>
        <w:t>tt t the date of  dcath of  </w:t>
      </w:r>
      <w:r>
        <w:rPr>
          <w:color w:val="030303"/>
          <w:sz w:val="15"/>
        </w:rPr>
        <w:t>{.e). </w:t>
      </w:r>
      <w:r>
        <w:rPr>
          <w:rFonts w:ascii="Arial" w:hAnsi="Arial"/>
          <w:color w:val="030303"/>
          <w:sz w:val="16"/>
        </w:rPr>
        <w:t>Jf </w:t>
      </w:r>
      <w:r>
        <w:rPr>
          <w:color w:val="030303"/>
          <w:sz w:val="17"/>
        </w:rPr>
        <w:t>dcalh occnrs wit.hi n 15 years of  issuc,   </w:t>
      </w:r>
      <w:r>
        <w:rPr>
          <w:color w:val="030303"/>
          <w:w w:val="95"/>
          <w:sz w:val="17"/>
        </w:rPr>
        <w:t>t </w:t>
      </w:r>
      <w:r>
        <w:rPr>
          <w:color w:val="030303"/>
          <w:sz w:val="17"/>
        </w:rPr>
        <w:t>he </w:t>
      </w:r>
      <w:r>
        <w:rPr>
          <w:color w:val="030303"/>
          <w:w w:val="95"/>
          <w:sz w:val="17"/>
        </w:rPr>
        <w:t>xn1111i </w:t>
      </w:r>
      <w:r>
        <w:rPr>
          <w:color w:val="030303"/>
          <w:sz w:val="17"/>
        </w:rPr>
        <w:t>ty is payable to lhe eud uf 20 </w:t>
      </w:r>
      <w:r>
        <w:rPr>
          <w:color w:val="030303"/>
          <w:w w:val="110"/>
          <w:sz w:val="17"/>
        </w:rPr>
        <w:t>yeus </w:t>
      </w:r>
      <w:r>
        <w:rPr>
          <w:color w:val="030303"/>
          <w:sz w:val="17"/>
        </w:rPr>
        <w:t>from issuc. If dcath  occurs be­ tween </w:t>
      </w:r>
      <w:r>
        <w:rPr>
          <w:color w:val="030303"/>
          <w:sz w:val="16"/>
        </w:rPr>
        <w:t>15 </w:t>
      </w:r>
      <w:r>
        <w:rPr>
          <w:color w:val="030303"/>
          <w:sz w:val="17"/>
        </w:rPr>
        <w:t>and 20 years from issue, the anuuity is payable for 5 years certa.in. Coverage cea.ses 20 years from issue. Find an  exact  expression  for  the  net  single  </w:t>
      </w:r>
      <w:r>
        <w:rPr>
          <w:color w:val="030303"/>
          <w:spacing w:val="19"/>
          <w:sz w:val="17"/>
        </w:rPr>
        <w:t> </w:t>
      </w:r>
      <w:r>
        <w:rPr>
          <w:color w:val="030303"/>
          <w:sz w:val="17"/>
        </w:rPr>
        <w:t>premium.</w:t>
      </w:r>
    </w:p>
    <w:p>
      <w:pPr>
        <w:pStyle w:val="ListParagraph"/>
        <w:numPr>
          <w:ilvl w:val="0"/>
          <w:numId w:val="77"/>
        </w:numPr>
        <w:tabs>
          <w:tab w:pos="598" w:val="left" w:leader="none"/>
        </w:tabs>
        <w:spacing w:line="244" w:lineRule="auto" w:before="0" w:after="0"/>
        <w:ind w:left="869" w:right="125" w:hanging="570"/>
        <w:jc w:val="both"/>
        <w:rPr>
          <w:color w:val="030303"/>
          <w:sz w:val="15"/>
        </w:rPr>
      </w:pPr>
      <w:r>
        <w:rPr>
          <w:color w:val="030303"/>
          <w:w w:val="105"/>
          <w:sz w:val="17"/>
        </w:rPr>
        <w:t>(a) An m-year endowment contra.et for </w:t>
      </w:r>
      <w:r>
        <w:rPr>
          <w:color w:val="030303"/>
          <w:w w:val="105"/>
          <w:sz w:val="15"/>
        </w:rPr>
        <w:t>$1000 </w:t>
      </w:r>
      <w:r>
        <w:rPr>
          <w:rFonts w:ascii="Arial"/>
          <w:color w:val="030303"/>
          <w:w w:val="105"/>
          <w:sz w:val="16"/>
        </w:rPr>
        <w:t>is </w:t>
      </w:r>
      <w:r>
        <w:rPr>
          <w:color w:val="030303"/>
          <w:w w:val="105"/>
          <w:sz w:val="17"/>
        </w:rPr>
        <w:t>modified so  that  if death occurs within the first </w:t>
      </w:r>
      <w:r>
        <w:rPr>
          <w:i/>
          <w:color w:val="030303"/>
          <w:w w:val="105"/>
          <w:sz w:val="18"/>
        </w:rPr>
        <w:t>n </w:t>
      </w:r>
      <w:r>
        <w:rPr>
          <w:color w:val="030303"/>
          <w:w w:val="105"/>
          <w:sz w:val="17"/>
        </w:rPr>
        <w:t>years  the  death  benefit  is  retained by the insurer until the end  of  the n-year  period  and  is  pai&lt;l  at that time. </w:t>
      </w:r>
      <w:r>
        <w:rPr>
          <w:color w:val="030303"/>
          <w:w w:val="105"/>
          <w:sz w:val="16"/>
        </w:rPr>
        <w:t>lf </w:t>
      </w:r>
      <w:r>
        <w:rPr>
          <w:color w:val="030303"/>
          <w:w w:val="105"/>
          <w:sz w:val="17"/>
        </w:rPr>
        <w:t>death occurs af ter </w:t>
      </w:r>
      <w:r>
        <w:rPr>
          <w:i/>
          <w:color w:val="030303"/>
          <w:w w:val="105"/>
          <w:sz w:val="17"/>
        </w:rPr>
        <w:t>n </w:t>
      </w:r>
      <w:r>
        <w:rPr>
          <w:color w:val="030303"/>
          <w:w w:val="105"/>
          <w:sz w:val="17"/>
        </w:rPr>
        <w:t>years, the death benefit is pnid immediately.</w:t>
      </w:r>
    </w:p>
    <w:p>
      <w:pPr>
        <w:spacing w:line="194" w:lineRule="exact" w:before="0"/>
        <w:ind w:left="1063" w:right="0" w:firstLine="0"/>
        <w:jc w:val="left"/>
        <w:rPr>
          <w:sz w:val="17"/>
        </w:rPr>
      </w:pPr>
      <w:r>
        <w:rPr>
          <w:color w:val="030303"/>
          <w:w w:val="110"/>
          <w:sz w:val="17"/>
        </w:rPr>
        <w:t>Show that  the uet single premi urn  </w:t>
      </w:r>
      <w:r>
        <w:rPr>
          <w:b/>
          <w:color w:val="030303"/>
          <w:w w:val="110"/>
          <w:sz w:val="17"/>
        </w:rPr>
        <w:t>at age </w:t>
      </w:r>
      <w:r>
        <w:rPr>
          <w:rFonts w:ascii="Arial"/>
          <w:i/>
          <w:color w:val="030303"/>
          <w:w w:val="110"/>
          <w:sz w:val="15"/>
        </w:rPr>
        <w:t>x  </w:t>
      </w:r>
      <w:r>
        <w:rPr>
          <w:color w:val="030303"/>
          <w:w w:val="110"/>
          <w:sz w:val="16"/>
        </w:rPr>
        <w:t>is </w:t>
      </w:r>
      <w:r>
        <w:rPr>
          <w:b/>
          <w:color w:val="030303"/>
          <w:w w:val="110"/>
          <w:sz w:val="17"/>
        </w:rPr>
        <w:t>giveu </w:t>
      </w:r>
      <w:r>
        <w:rPr>
          <w:color w:val="030303"/>
          <w:w w:val="110"/>
          <w:sz w:val="17"/>
        </w:rPr>
        <w:t>by</w:t>
      </w:r>
    </w:p>
    <w:p>
      <w:pPr>
        <w:spacing w:before="89"/>
        <w:ind w:left="123" w:right="131" w:firstLine="0"/>
        <w:jc w:val="center"/>
        <w:rPr>
          <w:b/>
          <w:sz w:val="16"/>
        </w:rPr>
      </w:pPr>
      <w:r>
        <w:rPr>
          <w:b/>
          <w:color w:val="030303"/>
          <w:w w:val="95"/>
          <w:sz w:val="16"/>
        </w:rPr>
        <w:t>lOOO(v",.q.. </w:t>
      </w:r>
      <w:r>
        <w:rPr>
          <w:rFonts w:ascii="Arial" w:hAnsi="Arial"/>
          <w:color w:val="030303"/>
          <w:w w:val="95"/>
          <w:sz w:val="26"/>
        </w:rPr>
        <w:t>+ </w:t>
      </w:r>
      <w:r>
        <w:rPr>
          <w:color w:val="030303"/>
          <w:w w:val="95"/>
          <w:sz w:val="16"/>
        </w:rPr>
        <w:t>Áz:;;;-¡ - </w:t>
      </w:r>
      <w:r>
        <w:rPr>
          <w:b/>
          <w:color w:val="030303"/>
          <w:w w:val="95"/>
          <w:sz w:val="16"/>
        </w:rPr>
        <w:t>A!,ii]).</w:t>
      </w:r>
    </w:p>
    <w:p>
      <w:pPr>
        <w:spacing w:line="244" w:lineRule="auto" w:before="138"/>
        <w:ind w:left="855" w:right="128" w:hanging="270"/>
        <w:jc w:val="both"/>
        <w:rPr>
          <w:sz w:val="17"/>
        </w:rPr>
      </w:pPr>
      <w:r>
        <w:rPr>
          <w:color w:val="030303"/>
          <w:sz w:val="17"/>
        </w:rPr>
        <w:t>(b)  An  n-year  family  income  benefit  providing  $10  per  rnonth   is issued  in  combination  with  the   m-year   endowment   described above. Usiug (7.25) to  </w:t>
      </w:r>
      <w:r>
        <w:rPr>
          <w:color w:val="030303"/>
          <w:spacing w:val="2"/>
          <w:sz w:val="17"/>
        </w:rPr>
        <w:t>evaluate  </w:t>
      </w:r>
      <w:r>
        <w:rPr>
          <w:color w:val="030303"/>
          <w:sz w:val="17"/>
        </w:rPr>
        <w:t>the  family  income  portion,  show  that  the  total  net  single  premium  for  the  combination  policy exceeds the siugle premium of </w:t>
      </w:r>
      <w:r>
        <w:rPr>
          <w:b/>
          <w:color w:val="030303"/>
          <w:sz w:val="17"/>
        </w:rPr>
        <w:t>1000 </w:t>
      </w:r>
      <w:r>
        <w:rPr>
          <w:rFonts w:ascii="Arial" w:hAnsi="Arial"/>
          <w:i/>
          <w:color w:val="030303"/>
          <w:sz w:val="18"/>
        </w:rPr>
        <w:t>Az </w:t>
      </w:r>
      <w:r>
        <w:rPr>
          <w:rFonts w:ascii="Arial" w:hAnsi="Arial"/>
          <w:i/>
          <w:color w:val="2A2A2A"/>
          <w:w w:val="90"/>
          <w:sz w:val="18"/>
        </w:rPr>
        <w:t>,</w:t>
      </w:r>
      <w:r>
        <w:rPr>
          <w:rFonts w:ascii="Arial" w:hAnsi="Arial"/>
          <w:i/>
          <w:color w:val="030303"/>
          <w:w w:val="90"/>
          <w:sz w:val="18"/>
        </w:rPr>
        <w:t>;;;] </w:t>
      </w:r>
      <w:r>
        <w:rPr>
          <w:color w:val="030303"/>
          <w:sz w:val="17"/>
        </w:rPr>
        <w:t>for the  normal  endow­ ment   insurance   by   the  amount</w:t>
      </w:r>
      <w:r>
        <w:rPr>
          <w:color w:val="030303"/>
          <w:spacing w:val="39"/>
          <w:sz w:val="17"/>
        </w:rPr>
        <w:t> </w:t>
      </w:r>
      <w:r>
        <w:rPr>
          <w:color w:val="030303"/>
          <w:sz w:val="17"/>
        </w:rPr>
        <w:t>of</w:t>
      </w:r>
    </w:p>
    <w:p>
      <w:pPr>
        <w:pStyle w:val="BodyText"/>
        <w:rPr>
          <w:sz w:val="9"/>
        </w:rPr>
      </w:pPr>
    </w:p>
    <w:p>
      <w:pPr>
        <w:spacing w:after="0"/>
        <w:rPr>
          <w:sz w:val="9"/>
        </w:rPr>
        <w:sectPr>
          <w:type w:val="continuous"/>
          <w:pgSz w:w="7200" w:h="11340"/>
          <w:pgMar w:top="1100" w:bottom="0" w:left="680" w:right="560"/>
        </w:sectPr>
      </w:pPr>
    </w:p>
    <w:p>
      <w:pPr>
        <w:spacing w:line="133" w:lineRule="exact" w:before="78"/>
        <w:ind w:left="0" w:right="0" w:firstLine="0"/>
        <w:jc w:val="right"/>
        <w:rPr>
          <w:sz w:val="17"/>
        </w:rPr>
      </w:pPr>
      <w:r>
        <w:rPr>
          <w:color w:val="030303"/>
          <w:spacing w:val="-79"/>
          <w:w w:val="105"/>
          <w:position w:val="-7"/>
          <w:sz w:val="17"/>
        </w:rPr>
        <w:t>d</w:t>
      </w:r>
      <w:r>
        <w:rPr>
          <w:color w:val="030303"/>
          <w:spacing w:val="-5"/>
          <w:w w:val="95"/>
          <w:sz w:val="17"/>
        </w:rPr>
        <w:t>1</w:t>
      </w:r>
      <w:r>
        <w:rPr>
          <w:color w:val="030303"/>
          <w:spacing w:val="-90"/>
          <w:w w:val="105"/>
          <w:position w:val="-7"/>
          <w:sz w:val="17"/>
        </w:rPr>
        <w:t>0</w:t>
      </w:r>
      <w:r>
        <w:rPr>
          <w:color w:val="030303"/>
          <w:w w:val="95"/>
          <w:sz w:val="17"/>
        </w:rPr>
        <w:t>20</w:t>
      </w:r>
    </w:p>
    <w:p>
      <w:pPr>
        <w:spacing w:line="134" w:lineRule="exact" w:before="77"/>
        <w:ind w:left="65" w:right="-17" w:firstLine="0"/>
        <w:jc w:val="left"/>
        <w:rPr>
          <w:rFonts w:ascii="Arial"/>
          <w:sz w:val="10"/>
        </w:rPr>
      </w:pPr>
      <w:r>
        <w:rPr/>
        <w:br w:type="column"/>
      </w:r>
      <w:r>
        <w:rPr>
          <w:color w:val="030303"/>
          <w:w w:val="437"/>
          <w:sz w:val="10"/>
        </w:rPr>
        <w:t>-</w:t>
      </w:r>
      <w:r>
        <w:rPr>
          <w:color w:val="030303"/>
          <w:sz w:val="10"/>
        </w:rPr>
        <w:t>  </w:t>
      </w:r>
      <w:r>
        <w:rPr>
          <w:color w:val="030303"/>
          <w:spacing w:val="-10"/>
          <w:sz w:val="10"/>
        </w:rPr>
        <w:t> </w:t>
      </w:r>
      <w:r>
        <w:rPr>
          <w:b/>
          <w:color w:val="030303"/>
          <w:w w:val="91"/>
          <w:sz w:val="17"/>
        </w:rPr>
        <w:t>100</w:t>
      </w:r>
      <w:r>
        <w:rPr>
          <w:b/>
          <w:color w:val="030303"/>
          <w:spacing w:val="6"/>
          <w:w w:val="91"/>
          <w:sz w:val="17"/>
        </w:rPr>
        <w:t>0</w:t>
      </w:r>
      <w:r>
        <w:rPr>
          <w:color w:val="030303"/>
          <w:w w:val="208"/>
          <w:position w:val="8"/>
          <w:sz w:val="17"/>
        </w:rPr>
        <w:t>)</w:t>
      </w:r>
      <w:r>
        <w:rPr>
          <w:color w:val="030303"/>
          <w:position w:val="8"/>
          <w:sz w:val="17"/>
        </w:rPr>
        <w:t>  </w:t>
      </w:r>
      <w:r>
        <w:rPr>
          <w:color w:val="030303"/>
          <w:spacing w:val="-17"/>
          <w:position w:val="8"/>
          <w:sz w:val="17"/>
        </w:rPr>
        <w:t> </w:t>
      </w:r>
      <w:r>
        <w:rPr>
          <w:rFonts w:ascii="Arial"/>
          <w:color w:val="030303"/>
          <w:w w:val="173"/>
          <w:position w:val="8"/>
          <w:sz w:val="10"/>
        </w:rPr>
        <w:t>-1</w:t>
      </w:r>
    </w:p>
    <w:p>
      <w:pPr>
        <w:spacing w:line="134" w:lineRule="exact" w:before="77"/>
        <w:ind w:left="174" w:right="0" w:firstLine="0"/>
        <w:jc w:val="left"/>
        <w:rPr>
          <w:sz w:val="17"/>
        </w:rPr>
      </w:pPr>
      <w:r>
        <w:rPr/>
        <w:br w:type="column"/>
      </w:r>
      <w:r>
        <w:rPr>
          <w:color w:val="030303"/>
          <w:w w:val="335"/>
          <w:sz w:val="13"/>
        </w:rPr>
        <w:t>-</w:t>
      </w:r>
      <w:r>
        <w:rPr>
          <w:color w:val="030303"/>
          <w:sz w:val="13"/>
        </w:rPr>
        <w:t> </w:t>
      </w:r>
      <w:r>
        <w:rPr>
          <w:color w:val="030303"/>
          <w:spacing w:val="-6"/>
          <w:sz w:val="13"/>
        </w:rPr>
        <w:t> </w:t>
      </w:r>
      <w:r>
        <w:rPr>
          <w:color w:val="030303"/>
          <w:spacing w:val="-22"/>
          <w:w w:val="247"/>
          <w:position w:val="8"/>
          <w:sz w:val="17"/>
        </w:rPr>
        <w:t>(</w:t>
      </w:r>
      <w:r>
        <w:rPr>
          <w:color w:val="030303"/>
          <w:w w:val="97"/>
          <w:position w:val="8"/>
          <w:sz w:val="17"/>
        </w:rPr>
        <w:t>120</w:t>
      </w:r>
      <w:r>
        <w:rPr>
          <w:color w:val="030303"/>
          <w:spacing w:val="18"/>
          <w:position w:val="8"/>
          <w:sz w:val="17"/>
        </w:rPr>
        <w:t> </w:t>
      </w:r>
      <w:r>
        <w:rPr>
          <w:color w:val="030303"/>
          <w:w w:val="173"/>
          <w:sz w:val="25"/>
        </w:rPr>
        <w:t>-</w:t>
      </w:r>
      <w:r>
        <w:rPr>
          <w:color w:val="030303"/>
          <w:spacing w:val="-7"/>
          <w:sz w:val="25"/>
        </w:rPr>
        <w:t> </w:t>
      </w:r>
      <w:r>
        <w:rPr>
          <w:b/>
          <w:color w:val="030303"/>
          <w:w w:val="94"/>
          <w:sz w:val="17"/>
        </w:rPr>
        <w:t>100</w:t>
      </w:r>
      <w:r>
        <w:rPr>
          <w:b/>
          <w:color w:val="030303"/>
          <w:spacing w:val="-4"/>
          <w:w w:val="94"/>
          <w:sz w:val="17"/>
        </w:rPr>
        <w:t>0</w:t>
      </w:r>
      <w:r>
        <w:rPr>
          <w:color w:val="030303"/>
          <w:w w:val="216"/>
          <w:position w:val="8"/>
          <w:sz w:val="17"/>
        </w:rPr>
        <w:t>)</w:t>
      </w:r>
      <w:r>
        <w:rPr>
          <w:color w:val="030303"/>
          <w:spacing w:val="10"/>
          <w:position w:val="8"/>
          <w:sz w:val="17"/>
        </w:rPr>
        <w:t> </w:t>
      </w:r>
      <w:r>
        <w:rPr>
          <w:i/>
          <w:color w:val="030303"/>
          <w:w w:val="72"/>
          <w:sz w:val="17"/>
        </w:rPr>
        <w:t>V".,.qz</w:t>
      </w:r>
      <w:r>
        <w:rPr>
          <w:i/>
          <w:color w:val="030303"/>
          <w:spacing w:val="3"/>
          <w:sz w:val="17"/>
        </w:rPr>
        <w:t> </w:t>
      </w:r>
      <w:r>
        <w:rPr>
          <w:color w:val="030303"/>
          <w:w w:val="85"/>
          <w:sz w:val="17"/>
        </w:rPr>
        <w:t>,</w:t>
      </w:r>
    </w:p>
    <w:p>
      <w:pPr>
        <w:spacing w:after="0" w:line="134" w:lineRule="exact"/>
        <w:jc w:val="left"/>
        <w:rPr>
          <w:sz w:val="17"/>
        </w:rPr>
        <w:sectPr>
          <w:type w:val="continuous"/>
          <w:pgSz w:w="7200" w:h="11340"/>
          <w:pgMar w:top="1100" w:bottom="0" w:left="680" w:right="560"/>
          <w:cols w:num="3" w:equalWidth="0">
            <w:col w:w="1672" w:space="40"/>
            <w:col w:w="978" w:space="40"/>
            <w:col w:w="3230"/>
          </w:cols>
        </w:sectPr>
      </w:pPr>
    </w:p>
    <w:p>
      <w:pPr>
        <w:spacing w:before="3"/>
        <w:ind w:left="0" w:right="0" w:firstLine="0"/>
        <w:jc w:val="right"/>
        <w:rPr>
          <w:sz w:val="10"/>
        </w:rPr>
      </w:pPr>
      <w:r>
        <w:rPr/>
        <w:pict>
          <v:line style="position:absolute;mso-position-horizontal-relative:page;mso-position-vertical-relative:paragraph;z-index:-722176" from="104.932701pt,7.635945pt" to="118.026901pt,7.635945pt" stroked="true" strokeweight="4.843049pt" strokecolor="#000000">
            <w10:wrap type="none"/>
          </v:line>
        </w:pict>
      </w:r>
      <w:r>
        <w:rPr>
          <w:color w:val="030303"/>
          <w:w w:val="190"/>
          <w:sz w:val="17"/>
        </w:rPr>
        <w:t>(  </w:t>
      </w:r>
      <w:r>
        <w:rPr>
          <w:color w:val="030303"/>
          <w:w w:val="105"/>
          <w:sz w:val="10"/>
        </w:rPr>
        <w:t>2 </w:t>
      </w:r>
      <w:r>
        <w:rPr>
          <w:color w:val="030303"/>
          <w:w w:val="105"/>
          <w:position w:val="6"/>
          <w:sz w:val="10"/>
        </w:rPr>
        <w:t>)</w:t>
      </w:r>
    </w:p>
    <w:p>
      <w:pPr>
        <w:tabs>
          <w:tab w:pos="1726" w:val="right" w:leader="none"/>
        </w:tabs>
        <w:spacing w:line="259" w:lineRule="exact" w:before="0"/>
        <w:ind w:left="751" w:right="0" w:firstLine="0"/>
        <w:jc w:val="left"/>
        <w:rPr>
          <w:i/>
          <w:sz w:val="25"/>
        </w:rPr>
      </w:pPr>
      <w:r>
        <w:rPr/>
        <w:br w:type="column"/>
      </w:r>
      <w:r>
        <w:rPr>
          <w:color w:val="030303"/>
          <w:w w:val="130"/>
          <w:sz w:val="13"/>
        </w:rPr>
        <w:t>Áz:ñ]</w:t>
      </w:r>
      <w:r>
        <w:rPr>
          <w:i/>
          <w:color w:val="030303"/>
          <w:w w:val="130"/>
          <w:position w:val="-9"/>
          <w:sz w:val="25"/>
        </w:rPr>
        <w:tab/>
      </w:r>
      <w:r>
        <w:rPr>
          <w:i/>
          <w:color w:val="030303"/>
          <w:w w:val="140"/>
          <w:position w:val="-9"/>
          <w:sz w:val="25"/>
        </w:rPr>
        <w:t>6</w:t>
      </w:r>
    </w:p>
    <w:p>
      <w:pPr>
        <w:spacing w:after="0" w:line="259" w:lineRule="exact"/>
        <w:jc w:val="left"/>
        <w:rPr>
          <w:sz w:val="25"/>
        </w:rPr>
        <w:sectPr>
          <w:type w:val="continuous"/>
          <w:pgSz w:w="7200" w:h="11340"/>
          <w:pgMar w:top="1100" w:bottom="0" w:left="680" w:right="560"/>
          <w:cols w:num="2" w:equalWidth="0">
            <w:col w:w="1686" w:space="40"/>
            <w:col w:w="4234"/>
          </w:cols>
        </w:sectPr>
      </w:pPr>
    </w:p>
    <w:p>
      <w:pPr>
        <w:pStyle w:val="BodyText"/>
        <w:spacing w:before="1"/>
        <w:rPr>
          <w:i/>
          <w:sz w:val="13"/>
        </w:rPr>
      </w:pPr>
    </w:p>
    <w:p>
      <w:pPr>
        <w:spacing w:before="0"/>
        <w:ind w:left="112" w:right="0" w:firstLine="0"/>
        <w:jc w:val="left"/>
        <w:rPr>
          <w:sz w:val="17"/>
        </w:rPr>
      </w:pPr>
      <w:r>
        <w:rPr>
          <w:color w:val="030303"/>
          <w:w w:val="110"/>
          <w:sz w:val="17"/>
        </w:rPr>
        <w:t>This formul8. corrects the error noted in the text in connection with formula</w:t>
      </w:r>
    </w:p>
    <w:p>
      <w:pPr>
        <w:spacing w:before="28"/>
        <w:ind w:left="130" w:right="0" w:firstLine="0"/>
        <w:jc w:val="left"/>
        <w:rPr>
          <w:sz w:val="15"/>
        </w:rPr>
      </w:pPr>
      <w:r>
        <w:rPr>
          <w:color w:val="030303"/>
          <w:w w:val="115"/>
          <w:sz w:val="15"/>
        </w:rPr>
        <w:t>(7</w:t>
      </w:r>
      <w:r>
        <w:rPr>
          <w:color w:val="1C1C1C"/>
          <w:w w:val="115"/>
          <w:sz w:val="15"/>
        </w:rPr>
        <w:t>.26).</w:t>
      </w:r>
    </w:p>
    <w:p>
      <w:pPr>
        <w:pStyle w:val="ListParagraph"/>
        <w:numPr>
          <w:ilvl w:val="0"/>
          <w:numId w:val="77"/>
        </w:numPr>
        <w:tabs>
          <w:tab w:pos="562" w:val="left" w:leader="none"/>
        </w:tabs>
        <w:spacing w:line="244" w:lineRule="auto" w:before="6" w:after="0"/>
        <w:ind w:left="116" w:right="138" w:firstLine="161"/>
        <w:jc w:val="both"/>
        <w:rPr>
          <w:rFonts w:ascii="Arial" w:hAnsi="Arial"/>
          <w:i/>
          <w:color w:val="030303"/>
          <w:sz w:val="15"/>
        </w:rPr>
      </w:pPr>
      <w:r>
        <w:rPr>
          <w:color w:val="030303"/>
          <w:w w:val="105"/>
          <w:sz w:val="17"/>
        </w:rPr>
        <w:t>A  contract  provides  for the payment  of  </w:t>
      </w:r>
      <w:r>
        <w:rPr>
          <w:color w:val="030303"/>
          <w:w w:val="105"/>
          <w:sz w:val="15"/>
        </w:rPr>
        <w:t>$1000 </w:t>
      </w:r>
      <w:r>
        <w:rPr>
          <w:color w:val="030303"/>
          <w:w w:val="105"/>
          <w:sz w:val="17"/>
        </w:rPr>
        <w:t>at the end  of  20  years  </w:t>
      </w:r>
      <w:r>
        <w:rPr>
          <w:color w:val="030303"/>
          <w:sz w:val="17"/>
        </w:rPr>
        <w:t>if </w:t>
      </w:r>
      <w:r>
        <w:rPr>
          <w:color w:val="030303"/>
          <w:w w:val="105"/>
          <w:sz w:val="17"/>
        </w:rPr>
        <w:t>the insured is then living, or an income of  </w:t>
      </w:r>
      <w:r>
        <w:rPr>
          <w:color w:val="030303"/>
          <w:w w:val="105"/>
          <w:sz w:val="18"/>
        </w:rPr>
        <w:t>SlO </w:t>
      </w:r>
      <w:r>
        <w:rPr>
          <w:color w:val="030303"/>
          <w:w w:val="105"/>
          <w:sz w:val="17"/>
        </w:rPr>
        <w:t>a month  in  the  event  of death before the twentieth anniversary </w:t>
      </w:r>
      <w:r>
        <w:rPr>
          <w:color w:val="030303"/>
          <w:sz w:val="17"/>
        </w:rPr>
        <w:t>of </w:t>
      </w:r>
      <w:r>
        <w:rPr>
          <w:color w:val="030303"/>
          <w:w w:val="105"/>
          <w:sz w:val="17"/>
        </w:rPr>
        <w:t>the policy. The first </w:t>
      </w:r>
      <w:r>
        <w:rPr>
          <w:color w:val="030303"/>
          <w:sz w:val="17"/>
        </w:rPr>
        <w:t>i </w:t>
      </w:r>
      <w:r>
        <w:rPr>
          <w:color w:val="030303"/>
          <w:w w:val="105"/>
          <w:sz w:val="17"/>
        </w:rPr>
        <w:t>ncome pay­ ment is due at the </w:t>
      </w:r>
      <w:r>
        <w:rPr>
          <w:color w:val="030303"/>
          <w:sz w:val="16"/>
        </w:rPr>
        <w:t>e11d </w:t>
      </w:r>
      <w:r>
        <w:rPr>
          <w:color w:val="030303"/>
          <w:w w:val="105"/>
          <w:sz w:val="17"/>
        </w:rPr>
        <w:t>oí </w:t>
      </w:r>
      <w:r>
        <w:rPr>
          <w:color w:val="030303"/>
          <w:sz w:val="17"/>
        </w:rPr>
        <w:t>t </w:t>
      </w:r>
      <w:r>
        <w:rPr>
          <w:color w:val="030303"/>
          <w:w w:val="105"/>
          <w:sz w:val="17"/>
        </w:rPr>
        <w:t>he policy rnonth of death but no payments  are  made af ter 20 ycars </w:t>
      </w:r>
      <w:r>
        <w:rPr>
          <w:color w:val="030303"/>
          <w:sz w:val="17"/>
        </w:rPr>
        <w:t>f </w:t>
      </w:r>
      <w:r>
        <w:rPr>
          <w:color w:val="030303"/>
          <w:w w:val="105"/>
          <w:sz w:val="17"/>
        </w:rPr>
        <w:t>rom da te of issue. Give the fonnu]a  for  the  net an­  nual  premium  at  agc </w:t>
      </w:r>
      <w:r>
        <w:rPr>
          <w:rFonts w:ascii="Arial" w:hAnsi="Arial"/>
          <w:i/>
          <w:color w:val="030303"/>
          <w:w w:val="105"/>
          <w:sz w:val="15"/>
        </w:rPr>
        <w:t>x</w:t>
      </w:r>
      <w:r>
        <w:rPr>
          <w:rFonts w:ascii="Arial" w:hAnsi="Arial"/>
          <w:i/>
          <w:color w:val="030303"/>
          <w:spacing w:val="-4"/>
          <w:w w:val="105"/>
          <w:sz w:val="15"/>
        </w:rPr>
        <w:t> </w:t>
      </w:r>
      <w:r>
        <w:rPr>
          <w:rFonts w:ascii="Arial" w:hAnsi="Arial"/>
          <w:i/>
          <w:color w:val="030303"/>
          <w:w w:val="105"/>
          <w:sz w:val="15"/>
        </w:rPr>
        <w:t>.</w:t>
      </w:r>
    </w:p>
    <w:p>
      <w:pPr>
        <w:pStyle w:val="BodyText"/>
        <w:rPr>
          <w:rFonts w:ascii="Arial"/>
          <w:i/>
          <w:sz w:val="15"/>
        </w:rPr>
      </w:pPr>
    </w:p>
    <w:p>
      <w:pPr>
        <w:spacing w:before="1"/>
        <w:ind w:left="105" w:right="0" w:firstLine="0"/>
        <w:jc w:val="left"/>
        <w:rPr>
          <w:b/>
          <w:sz w:val="16"/>
        </w:rPr>
      </w:pPr>
      <w:r>
        <w:rPr>
          <w:b/>
          <w:color w:val="030303"/>
          <w:w w:val="120"/>
          <w:sz w:val="16"/>
        </w:rPr>
        <w:t>Miscellaneous  problems</w:t>
      </w:r>
    </w:p>
    <w:p>
      <w:pPr>
        <w:pStyle w:val="ListParagraph"/>
        <w:numPr>
          <w:ilvl w:val="0"/>
          <w:numId w:val="77"/>
        </w:numPr>
        <w:tabs>
          <w:tab w:pos="558" w:val="left" w:leader="none"/>
        </w:tabs>
        <w:spacing w:line="247" w:lineRule="auto" w:before="83" w:after="0"/>
        <w:ind w:left="109" w:right="143" w:firstLine="165"/>
        <w:jc w:val="both"/>
        <w:rPr>
          <w:color w:val="030303"/>
          <w:sz w:val="16"/>
        </w:rPr>
      </w:pPr>
      <w:r>
        <w:rPr>
          <w:color w:val="030303"/>
          <w:w w:val="105"/>
          <w:sz w:val="17"/>
        </w:rPr>
        <w:t>A  life  insurance  company  sells  a  single  premium  complete  annuity of </w:t>
      </w:r>
      <w:r>
        <w:rPr>
          <w:i/>
          <w:color w:val="030303"/>
          <w:w w:val="105"/>
          <w:sz w:val="17"/>
        </w:rPr>
        <w:t>$K </w:t>
      </w:r>
      <w:r>
        <w:rPr>
          <w:color w:val="030303"/>
          <w:w w:val="105"/>
          <w:sz w:val="17"/>
        </w:rPr>
        <w:t>per  year  payable  quarterly,  wi th  the  provision  that, if  death  occurs in the first policy year, five-sixths of the gross premium will  be  ref unded,  this death benefit decreasi ng by one-sixth of the gross premium each polic.r year  thereaf ter  un til  it  becomes</w:t>
      </w:r>
      <w:r>
        <w:rPr>
          <w:color w:val="030303"/>
          <w:spacing w:val="6"/>
          <w:w w:val="105"/>
          <w:sz w:val="17"/>
        </w:rPr>
        <w:t> </w:t>
      </w:r>
      <w:r>
        <w:rPr>
          <w:color w:val="030303"/>
          <w:w w:val="105"/>
          <w:sz w:val="17"/>
        </w:rPr>
        <w:t>zero.</w:t>
      </w:r>
    </w:p>
    <w:p>
      <w:pPr>
        <w:spacing w:line="192" w:lineRule="exact" w:before="0"/>
        <w:ind w:left="152" w:right="2" w:firstLine="0"/>
        <w:jc w:val="center"/>
        <w:rPr>
          <w:rFonts w:ascii="Arial"/>
          <w:i/>
          <w:sz w:val="16"/>
        </w:rPr>
      </w:pPr>
      <w:r>
        <w:rPr>
          <w:color w:val="030303"/>
          <w:w w:val="105"/>
          <w:sz w:val="17"/>
        </w:rPr>
        <w:t>Find, in  terms of  commutation  symbols,  the  net single premi um  at age </w:t>
      </w:r>
      <w:r>
        <w:rPr>
          <w:rFonts w:ascii="Arial"/>
          <w:i/>
          <w:color w:val="030303"/>
          <w:w w:val="105"/>
          <w:sz w:val="16"/>
        </w:rPr>
        <w:t>:r</w:t>
      </w:r>
    </w:p>
    <w:p>
      <w:pPr>
        <w:spacing w:after="0" w:line="192" w:lineRule="exact"/>
        <w:jc w:val="center"/>
        <w:rPr>
          <w:rFonts w:ascii="Arial"/>
          <w:sz w:val="16"/>
        </w:rPr>
        <w:sectPr>
          <w:type w:val="continuous"/>
          <w:pgSz w:w="7200" w:h="11340"/>
          <w:pgMar w:top="1100" w:bottom="0" w:left="680" w:right="560"/>
        </w:sectPr>
      </w:pPr>
    </w:p>
    <w:p>
      <w:pPr>
        <w:tabs>
          <w:tab w:pos="5899" w:val="right" w:leader="none"/>
        </w:tabs>
        <w:spacing w:before="60"/>
        <w:ind w:left="2569" w:right="0" w:firstLine="0"/>
        <w:jc w:val="left"/>
        <w:rPr>
          <w:sz w:val="20"/>
        </w:rPr>
      </w:pPr>
      <w:r>
        <w:rPr>
          <w:w w:val="110"/>
          <w:position w:val="1"/>
          <w:sz w:val="15"/>
        </w:rPr>
        <w:t>EXERCISES</w:t>
      </w:r>
      <w:r>
        <w:rPr>
          <w:w w:val="110"/>
          <w:sz w:val="20"/>
        </w:rPr>
        <w:tab/>
        <w:t>169</w:t>
      </w:r>
    </w:p>
    <w:p>
      <w:pPr>
        <w:pStyle w:val="BodyText"/>
        <w:spacing w:before="7"/>
      </w:pPr>
    </w:p>
    <w:p>
      <w:pPr>
        <w:spacing w:before="0"/>
        <w:ind w:left="142" w:right="0" w:firstLine="0"/>
        <w:jc w:val="both"/>
        <w:rPr>
          <w:rFonts w:ascii="Arial"/>
          <w:i/>
          <w:sz w:val="14"/>
        </w:rPr>
      </w:pPr>
      <w:r>
        <w:rPr>
          <w:w w:val="110"/>
          <w:sz w:val="17"/>
        </w:rPr>
        <w:t>for the annuity, if  the gross premium  </w:t>
      </w:r>
      <w:r>
        <w:rPr>
          <w:rFonts w:ascii="Arial"/>
          <w:w w:val="110"/>
          <w:sz w:val="16"/>
        </w:rPr>
        <w:t>is </w:t>
      </w:r>
      <w:r>
        <w:rPr>
          <w:w w:val="110"/>
          <w:sz w:val="17"/>
        </w:rPr>
        <w:t>equal to the net premium  loaded  </w:t>
      </w:r>
      <w:r>
        <w:rPr>
          <w:rFonts w:ascii="Arial"/>
          <w:i/>
          <w:w w:val="110"/>
          <w:sz w:val="14"/>
        </w:rPr>
        <w:t>e</w:t>
      </w:r>
    </w:p>
    <w:p>
      <w:pPr>
        <w:spacing w:before="6"/>
        <w:ind w:left="132" w:right="0" w:firstLine="0"/>
        <w:jc w:val="both"/>
        <w:rPr>
          <w:sz w:val="17"/>
        </w:rPr>
      </w:pPr>
      <w:r>
        <w:rPr>
          <w:w w:val="110"/>
          <w:sz w:val="17"/>
        </w:rPr>
        <w:t>per  cent.  Use  standard approximations.</w:t>
      </w:r>
    </w:p>
    <w:p>
      <w:pPr>
        <w:pStyle w:val="ListParagraph"/>
        <w:numPr>
          <w:ilvl w:val="0"/>
          <w:numId w:val="77"/>
        </w:numPr>
        <w:tabs>
          <w:tab w:pos="582" w:val="left" w:leader="none"/>
        </w:tabs>
        <w:spacing w:line="247" w:lineRule="auto" w:before="6" w:after="0"/>
        <w:ind w:left="139" w:right="116" w:firstLine="151"/>
        <w:jc w:val="left"/>
        <w:rPr>
          <w:sz w:val="17"/>
        </w:rPr>
      </w:pPr>
      <w:r>
        <w:rPr>
          <w:w w:val="105"/>
          <w:sz w:val="17"/>
        </w:rPr>
        <w:t>A 20-year term policy provides that in the event of the death of the insured during the 20-year  period  the  company will  pay  a yearly  income  </w:t>
      </w:r>
      <w:r>
        <w:rPr>
          <w:spacing w:val="11"/>
          <w:w w:val="105"/>
          <w:sz w:val="17"/>
        </w:rPr>
        <w:t> </w:t>
      </w:r>
      <w:r>
        <w:rPr>
          <w:w w:val="105"/>
          <w:sz w:val="17"/>
        </w:rPr>
        <w:t>of</w:t>
      </w:r>
    </w:p>
    <w:p>
      <w:pPr>
        <w:spacing w:line="247" w:lineRule="auto" w:before="0"/>
        <w:ind w:left="139" w:right="109" w:hanging="11"/>
        <w:jc w:val="both"/>
        <w:rPr>
          <w:sz w:val="17"/>
        </w:rPr>
      </w:pPr>
      <w:r>
        <w:rPr>
          <w:spacing w:val="-4"/>
          <w:w w:val="110"/>
          <w:sz w:val="17"/>
        </w:rPr>
        <w:t>$100, </w:t>
      </w:r>
      <w:r>
        <w:rPr>
          <w:w w:val="110"/>
          <w:sz w:val="17"/>
        </w:rPr>
        <w:t>payable continuously, until 20 years from issue or for 10 years from the date of death if the latter period </w:t>
      </w:r>
      <w:r>
        <w:rPr>
          <w:rFonts w:ascii="Arial"/>
          <w:w w:val="110"/>
          <w:sz w:val="16"/>
        </w:rPr>
        <w:t>is </w:t>
      </w:r>
      <w:r>
        <w:rPr>
          <w:w w:val="110"/>
          <w:sz w:val="17"/>
        </w:rPr>
        <w:t>longer. Determine the net single premium at age </w:t>
      </w:r>
      <w:r>
        <w:rPr>
          <w:rFonts w:ascii="Arial"/>
          <w:i/>
          <w:w w:val="110"/>
          <w:sz w:val="15"/>
        </w:rPr>
        <w:t>x </w:t>
      </w:r>
      <w:r>
        <w:rPr>
          <w:w w:val="110"/>
          <w:sz w:val="17"/>
        </w:rPr>
        <w:t>for this benefit in tenns of an expression reduced to a form which  does  not  contain</w:t>
      </w:r>
      <w:r>
        <w:rPr>
          <w:spacing w:val="-18"/>
          <w:w w:val="110"/>
          <w:sz w:val="17"/>
        </w:rPr>
        <w:t> </w:t>
      </w:r>
      <w:r>
        <w:rPr>
          <w:w w:val="110"/>
          <w:sz w:val="17"/>
        </w:rPr>
        <w:t>integrals.</w:t>
      </w:r>
    </w:p>
    <w:p>
      <w:pPr>
        <w:pStyle w:val="ListParagraph"/>
        <w:numPr>
          <w:ilvl w:val="0"/>
          <w:numId w:val="77"/>
        </w:numPr>
        <w:tabs>
          <w:tab w:pos="586" w:val="left" w:leader="none"/>
        </w:tabs>
        <w:spacing w:line="156" w:lineRule="exact" w:before="0" w:after="0"/>
        <w:ind w:left="585" w:right="0" w:hanging="288"/>
        <w:jc w:val="center"/>
        <w:rPr>
          <w:sz w:val="17"/>
        </w:rPr>
      </w:pPr>
      <w:r>
        <w:rPr>
          <w:w w:val="110"/>
          <w:sz w:val="17"/>
        </w:rPr>
        <w:t>A  retirement  income  policy  is  issued  at age </w:t>
      </w:r>
      <w:r>
        <w:rPr>
          <w:rFonts w:ascii="Arial"/>
          <w:i/>
          <w:w w:val="110"/>
          <w:sz w:val="15"/>
        </w:rPr>
        <w:t>x  </w:t>
      </w:r>
      <w:r>
        <w:rPr>
          <w:w w:val="110"/>
          <w:sz w:val="17"/>
        </w:rPr>
        <w:t>and  matures  at </w:t>
      </w:r>
      <w:r>
        <w:rPr>
          <w:spacing w:val="24"/>
          <w:w w:val="110"/>
          <w:sz w:val="17"/>
        </w:rPr>
        <w:t> </w:t>
      </w:r>
      <w:r>
        <w:rPr>
          <w:w w:val="110"/>
          <w:sz w:val="17"/>
        </w:rPr>
        <w:t>age</w:t>
      </w:r>
    </w:p>
    <w:p>
      <w:pPr>
        <w:spacing w:line="253" w:lineRule="exact" w:before="0"/>
        <w:ind w:left="139" w:right="0" w:hanging="8"/>
        <w:jc w:val="both"/>
        <w:rPr>
          <w:sz w:val="17"/>
        </w:rPr>
      </w:pPr>
      <w:r>
        <w:rPr>
          <w:i/>
          <w:w w:val="110"/>
          <w:sz w:val="18"/>
        </w:rPr>
        <w:t>x </w:t>
      </w:r>
      <w:r>
        <w:rPr>
          <w:rFonts w:ascii="Arial"/>
          <w:w w:val="110"/>
          <w:sz w:val="26"/>
        </w:rPr>
        <w:t>+ </w:t>
      </w:r>
      <w:r>
        <w:rPr>
          <w:i/>
          <w:w w:val="110"/>
          <w:sz w:val="18"/>
        </w:rPr>
        <w:t>n </w:t>
      </w:r>
      <w:r>
        <w:rPr>
          <w:w w:val="110"/>
          <w:sz w:val="17"/>
        </w:rPr>
        <w:t>for 1 </w:t>
      </w:r>
      <w:r>
        <w:rPr>
          <w:rFonts w:ascii="Arial"/>
          <w:w w:val="110"/>
          <w:sz w:val="26"/>
        </w:rPr>
        <w:t>+ </w:t>
      </w:r>
      <w:r>
        <w:rPr>
          <w:rFonts w:ascii="Arial"/>
          <w:i/>
          <w:w w:val="110"/>
          <w:sz w:val="16"/>
        </w:rPr>
        <w:t>k . </w:t>
      </w:r>
      <w:r>
        <w:rPr>
          <w:w w:val="110"/>
          <w:sz w:val="17"/>
        </w:rPr>
        <w:t>The death benefit is paya.ble at the end of  the policy year</w:t>
      </w:r>
    </w:p>
    <w:p>
      <w:pPr>
        <w:spacing w:line="240" w:lineRule="auto" w:before="0"/>
        <w:ind w:left="117" w:right="108" w:firstLine="21"/>
        <w:jc w:val="both"/>
        <w:rPr>
          <w:sz w:val="17"/>
        </w:rPr>
      </w:pPr>
      <w:r>
        <w:rPr>
          <w:w w:val="110"/>
          <w:sz w:val="17"/>
        </w:rPr>
        <w:t>in which death occurs and is equal to 1 or the terminal reserve if greater. Annual premiums are payable for </w:t>
      </w:r>
      <w:r>
        <w:rPr>
          <w:i/>
          <w:w w:val="110"/>
          <w:sz w:val="18"/>
        </w:rPr>
        <w:t>n </w:t>
      </w:r>
      <w:r>
        <w:rPr>
          <w:w w:val="110"/>
          <w:sz w:val="17"/>
        </w:rPr>
        <w:t>years. Reserves are computed under a modification,  extending  over the entire premium-paying  period,  such  that</w:t>
      </w:r>
    </w:p>
    <w:p>
      <w:pPr>
        <w:spacing w:line="213" w:lineRule="exact" w:before="0"/>
        <w:ind w:left="117" w:right="0" w:firstLine="0"/>
        <w:jc w:val="both"/>
        <w:rPr>
          <w:sz w:val="17"/>
        </w:rPr>
      </w:pPr>
      <w:r>
        <w:rPr>
          <w:rFonts w:ascii="Arial" w:hAnsi="Arial"/>
          <w:i/>
          <w:w w:val="66"/>
          <w:sz w:val="17"/>
        </w:rPr>
        <w:t>fJ</w:t>
      </w:r>
      <w:r>
        <w:rPr>
          <w:rFonts w:ascii="Arial" w:hAnsi="Arial"/>
          <w:i/>
          <w:sz w:val="17"/>
        </w:rPr>
        <w:t> </w:t>
      </w:r>
      <w:r>
        <w:rPr>
          <w:rFonts w:ascii="Arial" w:hAnsi="Arial"/>
          <w:i/>
          <w:spacing w:val="-21"/>
          <w:sz w:val="17"/>
        </w:rPr>
        <w:t> </w:t>
      </w:r>
      <w:r>
        <w:rPr>
          <w:rFonts w:ascii="Arial" w:hAnsi="Arial"/>
          <w:w w:val="254"/>
          <w:sz w:val="17"/>
        </w:rPr>
        <w:t>-</w:t>
      </w:r>
      <w:r>
        <w:rPr>
          <w:rFonts w:ascii="Arial" w:hAnsi="Arial"/>
          <w:spacing w:val="-8"/>
          <w:sz w:val="17"/>
        </w:rPr>
        <w:t> </w:t>
      </w:r>
      <w:r>
        <w:rPr>
          <w:rFonts w:ascii="Arial" w:hAnsi="Arial"/>
          <w:i/>
          <w:spacing w:val="-14"/>
          <w:w w:val="165"/>
          <w:sz w:val="12"/>
        </w:rPr>
        <w:t>a</w:t>
      </w:r>
      <w:r>
        <w:rPr>
          <w:rFonts w:ascii="Arial" w:hAnsi="Arial"/>
          <w:i/>
          <w:w w:val="71"/>
          <w:sz w:val="12"/>
        </w:rPr>
        <w:t>·</w:t>
      </w:r>
      <w:r>
        <w:rPr>
          <w:rFonts w:ascii="Arial" w:hAnsi="Arial"/>
          <w:i/>
          <w:sz w:val="12"/>
        </w:rPr>
        <w:t> </w:t>
      </w:r>
      <w:r>
        <w:rPr>
          <w:rFonts w:ascii="Arial" w:hAnsi="Arial"/>
          <w:i/>
          <w:spacing w:val="-13"/>
          <w:sz w:val="12"/>
        </w:rPr>
        <w:t> </w:t>
      </w:r>
      <w:r>
        <w:rPr>
          <w:w w:val="80"/>
          <w:sz w:val="23"/>
        </w:rPr>
        <w:t>=</w:t>
      </w:r>
      <w:r>
        <w:rPr>
          <w:spacing w:val="17"/>
          <w:sz w:val="23"/>
        </w:rPr>
        <w:t> </w:t>
      </w:r>
      <w:r>
        <w:rPr>
          <w:b/>
          <w:i/>
          <w:w w:val="83"/>
          <w:sz w:val="17"/>
        </w:rPr>
        <w:t>g,.</w:t>
      </w:r>
      <w:r>
        <w:rPr>
          <w:b/>
          <w:i/>
          <w:sz w:val="17"/>
        </w:rPr>
        <w:t> </w:t>
      </w:r>
      <w:r>
        <w:rPr>
          <w:b/>
          <w:i/>
          <w:spacing w:val="-14"/>
          <w:sz w:val="17"/>
        </w:rPr>
        <w:t> </w:t>
      </w:r>
      <w:r>
        <w:rPr>
          <w:w w:val="135"/>
          <w:sz w:val="17"/>
        </w:rPr>
        <w:t>.</w:t>
      </w:r>
      <w:r>
        <w:rPr>
          <w:spacing w:val="-7"/>
          <w:sz w:val="17"/>
        </w:rPr>
        <w:t> </w:t>
      </w:r>
      <w:r>
        <w:rPr>
          <w:w w:val="108"/>
          <w:sz w:val="17"/>
        </w:rPr>
        <w:t>Numerical</w:t>
      </w:r>
      <w:r>
        <w:rPr>
          <w:sz w:val="17"/>
        </w:rPr>
        <w:t> </w:t>
      </w:r>
      <w:r>
        <w:rPr>
          <w:spacing w:val="-6"/>
          <w:sz w:val="17"/>
        </w:rPr>
        <w:t> </w:t>
      </w:r>
      <w:r>
        <w:rPr>
          <w:w w:val="108"/>
          <w:sz w:val="17"/>
        </w:rPr>
        <w:t>values</w:t>
      </w:r>
      <w:r>
        <w:rPr>
          <w:spacing w:val="21"/>
          <w:sz w:val="17"/>
        </w:rPr>
        <w:t> </w:t>
      </w:r>
      <w:r>
        <w:rPr>
          <w:w w:val="91"/>
          <w:sz w:val="17"/>
        </w:rPr>
        <w:t>of</w:t>
      </w:r>
      <w:r>
        <w:rPr>
          <w:sz w:val="17"/>
        </w:rPr>
        <w:t> </w:t>
      </w:r>
      <w:r>
        <w:rPr>
          <w:spacing w:val="-18"/>
          <w:sz w:val="17"/>
        </w:rPr>
        <w:t> </w:t>
      </w:r>
      <w:r>
        <w:rPr>
          <w:i/>
          <w:w w:val="86"/>
          <w:sz w:val="17"/>
        </w:rPr>
        <w:t>g,.</w:t>
      </w:r>
      <w:r>
        <w:rPr>
          <w:i/>
          <w:spacing w:val="9"/>
          <w:sz w:val="17"/>
        </w:rPr>
        <w:t> </w:t>
      </w:r>
      <w:r>
        <w:rPr>
          <w:w w:val="114"/>
          <w:sz w:val="17"/>
        </w:rPr>
        <w:t>are</w:t>
      </w:r>
      <w:r>
        <w:rPr>
          <w:spacing w:val="10"/>
          <w:sz w:val="17"/>
        </w:rPr>
        <w:t> </w:t>
      </w:r>
      <w:r>
        <w:rPr>
          <w:w w:val="113"/>
          <w:sz w:val="17"/>
        </w:rPr>
        <w:t>available.</w:t>
      </w:r>
      <w:r>
        <w:rPr>
          <w:spacing w:val="13"/>
          <w:sz w:val="17"/>
        </w:rPr>
        <w:t> </w:t>
      </w:r>
      <w:r>
        <w:rPr>
          <w:w w:val="110"/>
          <w:sz w:val="17"/>
        </w:rPr>
        <w:t>Derive</w:t>
      </w:r>
      <w:r>
        <w:rPr>
          <w:sz w:val="17"/>
        </w:rPr>
        <w:t> </w:t>
      </w:r>
      <w:r>
        <w:rPr>
          <w:spacing w:val="-15"/>
          <w:sz w:val="17"/>
        </w:rPr>
        <w:t> </w:t>
      </w:r>
      <w:r>
        <w:rPr>
          <w:w w:val="112"/>
          <w:sz w:val="17"/>
        </w:rPr>
        <w:t>the</w:t>
      </w:r>
      <w:r>
        <w:rPr>
          <w:spacing w:val="18"/>
          <w:sz w:val="17"/>
        </w:rPr>
        <w:t> </w:t>
      </w:r>
      <w:r>
        <w:rPr>
          <w:w w:val="112"/>
          <w:sz w:val="17"/>
        </w:rPr>
        <w:t>criterion</w:t>
      </w:r>
      <w:r>
        <w:rPr>
          <w:sz w:val="17"/>
        </w:rPr>
        <w:t> </w:t>
      </w:r>
      <w:r>
        <w:rPr>
          <w:spacing w:val="-19"/>
          <w:sz w:val="17"/>
        </w:rPr>
        <w:t> </w:t>
      </w:r>
      <w:r>
        <w:rPr>
          <w:w w:val="111"/>
          <w:sz w:val="17"/>
        </w:rPr>
        <w:t>and</w:t>
      </w:r>
    </w:p>
    <w:p>
      <w:pPr>
        <w:spacing w:line="194" w:lineRule="exact" w:before="0"/>
        <w:ind w:left="139" w:right="0" w:firstLine="0"/>
        <w:jc w:val="both"/>
        <w:rPr>
          <w:sz w:val="17"/>
        </w:rPr>
      </w:pPr>
      <w:r>
        <w:rPr>
          <w:w w:val="110"/>
          <w:sz w:val="17"/>
        </w:rPr>
        <w:t>the  premium formulas.</w:t>
      </w:r>
    </w:p>
    <w:p>
      <w:pPr>
        <w:spacing w:after="0" w:line="194" w:lineRule="exact"/>
        <w:jc w:val="both"/>
        <w:rPr>
          <w:sz w:val="17"/>
        </w:rPr>
        <w:sectPr>
          <w:pgSz w:w="7200" w:h="11340"/>
          <w:pgMar w:top="480" w:bottom="280" w:left="660" w:right="540"/>
        </w:sectPr>
      </w:pPr>
    </w:p>
    <w:p>
      <w:pPr>
        <w:pStyle w:val="BodyText"/>
      </w:pPr>
    </w:p>
    <w:p>
      <w:pPr>
        <w:pStyle w:val="BodyText"/>
        <w:spacing w:before="10"/>
        <w:rPr>
          <w:sz w:val="19"/>
        </w:rPr>
      </w:pPr>
    </w:p>
    <w:p>
      <w:pPr>
        <w:spacing w:before="0"/>
        <w:ind w:left="137" w:right="112" w:firstLine="0"/>
        <w:jc w:val="center"/>
        <w:rPr>
          <w:rFonts w:ascii="Arial"/>
          <w:sz w:val="19"/>
        </w:rPr>
      </w:pPr>
      <w:bookmarkStart w:name="8. Population Theory" w:id="13"/>
      <w:bookmarkEnd w:id="13"/>
      <w:r>
        <w:rPr/>
      </w:r>
      <w:r>
        <w:rPr>
          <w:rFonts w:ascii="Arial"/>
          <w:color w:val="010101"/>
          <w:w w:val="110"/>
          <w:sz w:val="14"/>
        </w:rPr>
        <w:t>CHAPTER  </w:t>
      </w:r>
      <w:r>
        <w:rPr>
          <w:rFonts w:ascii="Arial"/>
          <w:color w:val="010101"/>
          <w:w w:val="110"/>
          <w:sz w:val="19"/>
        </w:rPr>
        <w:t>8</w:t>
      </w:r>
    </w:p>
    <w:p>
      <w:pPr>
        <w:spacing w:before="112"/>
        <w:ind w:left="113" w:right="112" w:firstLine="0"/>
        <w:jc w:val="center"/>
        <w:rPr>
          <w:sz w:val="21"/>
        </w:rPr>
      </w:pPr>
      <w:r>
        <w:rPr>
          <w:color w:val="010101"/>
          <w:w w:val="105"/>
          <w:sz w:val="21"/>
        </w:rPr>
        <w:t>POPULATION THEORY</w:t>
      </w:r>
    </w:p>
    <w:p>
      <w:pPr>
        <w:pStyle w:val="BodyText"/>
        <w:spacing w:before="2"/>
        <w:rPr>
          <w:sz w:val="22"/>
        </w:rPr>
      </w:pPr>
    </w:p>
    <w:p>
      <w:pPr>
        <w:spacing w:before="0"/>
        <w:ind w:left="129" w:right="19" w:firstLine="0"/>
        <w:jc w:val="left"/>
        <w:rPr>
          <w:b/>
          <w:sz w:val="19"/>
        </w:rPr>
      </w:pPr>
      <w:r>
        <w:rPr>
          <w:b/>
          <w:color w:val="010101"/>
          <w:w w:val="125"/>
          <w:sz w:val="19"/>
        </w:rPr>
        <w:t>l. Sorne additional mortality functions</w:t>
      </w:r>
    </w:p>
    <w:p>
      <w:pPr>
        <w:spacing w:line="240" w:lineRule="auto" w:before="72"/>
        <w:ind w:left="111" w:right="110" w:firstLine="201"/>
        <w:jc w:val="both"/>
        <w:rPr>
          <w:sz w:val="21"/>
        </w:rPr>
      </w:pPr>
      <w:r>
        <w:rPr>
          <w:color w:val="010101"/>
          <w:sz w:val="21"/>
        </w:rPr>
        <w:t>The analysis of population statistics forros a specialized  branch of actuarial science known as demography. While this subject is in general outside the scope of this text, there are certain basic mor­ tality functions which are common to demography and to insur­ ance mathematics. An introductory explanation of  these functions </w:t>
      </w:r>
      <w:r>
        <w:rPr>
          <w:color w:val="010101"/>
          <w:sz w:val="20"/>
        </w:rPr>
        <w:t>in </w:t>
      </w:r>
      <w:r>
        <w:rPr>
          <w:color w:val="010101"/>
          <w:sz w:val="21"/>
        </w:rPr>
        <w:t>demographic terms will assist the student in grasping thcir sig­ nificance.</w:t>
      </w:r>
    </w:p>
    <w:p>
      <w:pPr>
        <w:spacing w:line="177" w:lineRule="exact" w:before="0"/>
        <w:ind w:left="312" w:right="19" w:firstLine="0"/>
        <w:jc w:val="left"/>
        <w:rPr>
          <w:sz w:val="21"/>
        </w:rPr>
      </w:pPr>
      <w:r>
        <w:rPr>
          <w:color w:val="010101"/>
          <w:sz w:val="21"/>
        </w:rPr>
        <w:t>We first define sevcral new functions:</w:t>
      </w:r>
    </w:p>
    <w:p>
      <w:pPr>
        <w:spacing w:after="0" w:line="177" w:lineRule="exact"/>
        <w:jc w:val="left"/>
        <w:rPr>
          <w:sz w:val="21"/>
        </w:rPr>
        <w:sectPr>
          <w:pgSz w:w="7200" w:h="11340"/>
          <w:pgMar w:top="1060" w:bottom="280" w:left="700" w:right="560"/>
        </w:sectPr>
      </w:pPr>
    </w:p>
    <w:p>
      <w:pPr>
        <w:pStyle w:val="BodyText"/>
        <w:spacing w:before="3"/>
        <w:rPr>
          <w:sz w:val="24"/>
        </w:rPr>
      </w:pPr>
    </w:p>
    <w:p>
      <w:pPr>
        <w:spacing w:line="263" w:lineRule="exact" w:before="1"/>
        <w:ind w:left="0" w:right="0" w:firstLine="0"/>
        <w:jc w:val="right"/>
        <w:rPr>
          <w:sz w:val="24"/>
        </w:rPr>
      </w:pPr>
      <w:r>
        <w:rPr>
          <w:i/>
          <w:color w:val="010101"/>
          <w:w w:val="90"/>
          <w:sz w:val="20"/>
        </w:rPr>
        <w:t>L.r  </w:t>
      </w:r>
      <w:r>
        <w:rPr>
          <w:color w:val="010101"/>
          <w:w w:val="90"/>
          <w:sz w:val="24"/>
        </w:rPr>
        <w:t>=</w:t>
      </w:r>
    </w:p>
    <w:p>
      <w:pPr>
        <w:pStyle w:val="BodyText"/>
        <w:rPr>
          <w:sz w:val="12"/>
        </w:rPr>
      </w:pPr>
      <w:r>
        <w:rPr/>
        <w:br w:type="column"/>
      </w:r>
      <w:r>
        <w:rPr>
          <w:sz w:val="12"/>
        </w:rPr>
      </w:r>
    </w:p>
    <w:p>
      <w:pPr>
        <w:spacing w:before="106"/>
        <w:ind w:left="220" w:right="0" w:firstLine="0"/>
        <w:jc w:val="left"/>
        <w:rPr>
          <w:sz w:val="12"/>
        </w:rPr>
      </w:pPr>
      <w:r>
        <w:rPr>
          <w:color w:val="010101"/>
          <w:w w:val="105"/>
          <w:sz w:val="12"/>
        </w:rPr>
        <w:t>.r </w:t>
      </w:r>
      <w:r>
        <w:rPr>
          <w:color w:val="010101"/>
          <w:w w:val="120"/>
          <w:sz w:val="12"/>
        </w:rPr>
        <w:t>H</w:t>
      </w:r>
    </w:p>
    <w:p>
      <w:pPr>
        <w:spacing w:line="110" w:lineRule="exact" w:before="51"/>
        <w:ind w:left="0" w:right="0" w:firstLine="0"/>
        <w:jc w:val="right"/>
        <w:rPr>
          <w:i/>
          <w:sz w:val="11"/>
        </w:rPr>
      </w:pPr>
      <w:r>
        <w:rPr/>
        <w:pict>
          <v:shape style="position:absolute;margin-left:106.600197pt;margin-top:-9.742349pt;width:23.95pt;height:25.5pt;mso-position-horizontal-relative:page;mso-position-vertical-relative:paragraph;z-index:-722104" type="#_x0000_t202" filled="false" stroked="false">
            <v:textbox inset="0,0,0,0">
              <w:txbxContent>
                <w:p>
                  <w:pPr>
                    <w:tabs>
                      <w:tab w:pos="430" w:val="left" w:leader="none"/>
                    </w:tabs>
                    <w:spacing w:line="510" w:lineRule="exact" w:before="0"/>
                    <w:ind w:left="0" w:right="0" w:firstLine="0"/>
                    <w:jc w:val="left"/>
                    <w:rPr>
                      <w:i/>
                      <w:sz w:val="20"/>
                    </w:rPr>
                  </w:pPr>
                  <w:r>
                    <w:rPr>
                      <w:rFonts w:ascii="Arial"/>
                      <w:color w:val="010101"/>
                      <w:w w:val="95"/>
                      <w:position w:val="-9"/>
                      <w:sz w:val="51"/>
                    </w:rPr>
                    <w:t>f</w:t>
                    <w:tab/>
                  </w:r>
                  <w:r>
                    <w:rPr>
                      <w:i/>
                      <w:color w:val="010101"/>
                      <w:w w:val="85"/>
                      <w:sz w:val="20"/>
                    </w:rPr>
                    <w:t>l</w:t>
                  </w:r>
                </w:p>
              </w:txbxContent>
            </v:textbox>
            <w10:wrap type="none"/>
          </v:shape>
        </w:pict>
      </w:r>
      <w:r>
        <w:rPr>
          <w:i/>
          <w:color w:val="010101"/>
          <w:w w:val="60"/>
          <w:sz w:val="11"/>
        </w:rPr>
        <w:t>11</w:t>
      </w:r>
    </w:p>
    <w:p>
      <w:pPr>
        <w:pStyle w:val="BodyText"/>
        <w:spacing w:before="1"/>
        <w:rPr>
          <w:i/>
          <w:sz w:val="25"/>
        </w:rPr>
      </w:pPr>
      <w:r>
        <w:rPr/>
        <w:br w:type="column"/>
      </w:r>
      <w:r>
        <w:rPr>
          <w:i/>
          <w:sz w:val="25"/>
        </w:rPr>
      </w:r>
    </w:p>
    <w:p>
      <w:pPr>
        <w:spacing w:line="254" w:lineRule="exact" w:before="0"/>
        <w:ind w:left="23" w:right="-20" w:firstLine="0"/>
        <w:jc w:val="left"/>
        <w:rPr>
          <w:sz w:val="23"/>
        </w:rPr>
      </w:pPr>
      <w:r>
        <w:rPr>
          <w:i/>
          <w:color w:val="010101"/>
          <w:sz w:val="20"/>
        </w:rPr>
        <w:t>dy </w:t>
      </w:r>
      <w:r>
        <w:rPr>
          <w:color w:val="010101"/>
          <w:sz w:val="23"/>
        </w:rPr>
        <w:t>=</w:t>
      </w:r>
    </w:p>
    <w:p>
      <w:pPr>
        <w:spacing w:line="384" w:lineRule="exact" w:before="0"/>
        <w:ind w:left="61" w:right="-15" w:firstLine="0"/>
        <w:jc w:val="left"/>
        <w:rPr>
          <w:rFonts w:ascii="Arial"/>
          <w:b/>
          <w:sz w:val="44"/>
        </w:rPr>
      </w:pPr>
      <w:r>
        <w:rPr/>
        <w:br w:type="column"/>
      </w:r>
      <w:r>
        <w:rPr>
          <w:rFonts w:ascii="Arial"/>
          <w:b/>
          <w:color w:val="010101"/>
          <w:spacing w:val="-65"/>
          <w:w w:val="93"/>
          <w:sz w:val="44"/>
        </w:rPr>
        <w:t>1</w:t>
      </w:r>
      <w:r>
        <w:rPr>
          <w:rFonts w:ascii="Arial"/>
          <w:b/>
          <w:color w:val="010101"/>
          <w:w w:val="26"/>
          <w:sz w:val="44"/>
        </w:rPr>
        <w:t>1</w:t>
      </w:r>
    </w:p>
    <w:p>
      <w:pPr>
        <w:spacing w:line="160" w:lineRule="exact" w:before="0"/>
        <w:ind w:left="341" w:right="-16" w:firstLine="0"/>
        <w:jc w:val="left"/>
        <w:rPr>
          <w:i/>
          <w:sz w:val="20"/>
        </w:rPr>
      </w:pPr>
      <w:r>
        <w:rPr>
          <w:i/>
          <w:color w:val="010101"/>
          <w:sz w:val="15"/>
        </w:rPr>
        <w:t>lz+i  </w:t>
      </w:r>
      <w:r>
        <w:rPr>
          <w:i/>
          <w:color w:val="010101"/>
          <w:sz w:val="20"/>
        </w:rPr>
        <w:t>dt</w:t>
      </w:r>
    </w:p>
    <w:p>
      <w:pPr>
        <w:pStyle w:val="BodyText"/>
        <w:rPr>
          <w:i/>
          <w:sz w:val="18"/>
        </w:rPr>
      </w:pPr>
      <w:r>
        <w:rPr/>
        <w:br w:type="column"/>
      </w:r>
      <w:r>
        <w:rPr>
          <w:i/>
          <w:sz w:val="18"/>
        </w:rPr>
      </w:r>
    </w:p>
    <w:p>
      <w:pPr>
        <w:spacing w:before="111"/>
        <w:ind w:left="882" w:right="0" w:firstLine="0"/>
        <w:jc w:val="left"/>
        <w:rPr>
          <w:rFonts w:ascii="Arial"/>
          <w:sz w:val="19"/>
        </w:rPr>
      </w:pPr>
      <w:r>
        <w:rPr>
          <w:rFonts w:ascii="Arial"/>
          <w:color w:val="010101"/>
          <w:w w:val="105"/>
          <w:sz w:val="19"/>
        </w:rPr>
        <w:t>(8.1)</w:t>
      </w:r>
    </w:p>
    <w:p>
      <w:pPr>
        <w:spacing w:after="0"/>
        <w:jc w:val="left"/>
        <w:rPr>
          <w:rFonts w:ascii="Arial"/>
          <w:sz w:val="19"/>
        </w:rPr>
        <w:sectPr>
          <w:type w:val="continuous"/>
          <w:pgSz w:w="7200" w:h="11340"/>
          <w:pgMar w:top="1100" w:bottom="0" w:left="700" w:right="560"/>
          <w:cols w:num="5" w:equalWidth="0">
            <w:col w:w="1323" w:space="40"/>
            <w:col w:w="624" w:space="40"/>
            <w:col w:w="450" w:space="40"/>
            <w:col w:w="819" w:space="1191"/>
            <w:col w:w="1413"/>
          </w:cols>
        </w:sectPr>
      </w:pPr>
    </w:p>
    <w:p>
      <w:pPr>
        <w:tabs>
          <w:tab w:pos="1148" w:val="left" w:leader="none"/>
        </w:tabs>
        <w:spacing w:line="123" w:lineRule="exact" w:before="0"/>
        <w:ind w:left="0" w:right="821" w:firstLine="0"/>
        <w:jc w:val="center"/>
        <w:rPr>
          <w:rFonts w:ascii="Arial"/>
          <w:sz w:val="12"/>
        </w:rPr>
      </w:pPr>
      <w:r>
        <w:rPr>
          <w:color w:val="010101"/>
          <w:w w:val="95"/>
          <w:sz w:val="11"/>
        </w:rPr>
        <w:t>.r</w:t>
        <w:tab/>
      </w:r>
      <w:r>
        <w:rPr>
          <w:rFonts w:ascii="Arial"/>
          <w:color w:val="010101"/>
          <w:w w:val="95"/>
          <w:sz w:val="12"/>
        </w:rPr>
        <w:t>O</w:t>
      </w:r>
    </w:p>
    <w:p>
      <w:pPr>
        <w:pStyle w:val="BodyText"/>
        <w:spacing w:before="9"/>
        <w:rPr>
          <w:rFonts w:ascii="Arial"/>
          <w:sz w:val="11"/>
        </w:rPr>
      </w:pPr>
    </w:p>
    <w:p>
      <w:pPr>
        <w:pStyle w:val="BodyText"/>
        <w:ind w:left="898" w:right="-40"/>
        <w:rPr>
          <w:rFonts w:ascii="Arial"/>
        </w:rPr>
      </w:pPr>
      <w:r>
        <w:rPr>
          <w:rFonts w:ascii="Arial"/>
        </w:rPr>
        <w:drawing>
          <wp:inline distT="0" distB="0" distL="0" distR="0">
            <wp:extent cx="2642616" cy="676656"/>
            <wp:effectExtent l="0" t="0" r="0" b="0"/>
            <wp:docPr id="347" name="image179.png" descr=""/>
            <wp:cNvGraphicFramePr>
              <a:graphicFrameLocks noChangeAspect="1"/>
            </wp:cNvGraphicFramePr>
            <a:graphic>
              <a:graphicData uri="http://schemas.openxmlformats.org/drawingml/2006/picture">
                <pic:pic>
                  <pic:nvPicPr>
                    <pic:cNvPr id="348" name="image179.png"/>
                    <pic:cNvPicPr/>
                  </pic:nvPicPr>
                  <pic:blipFill>
                    <a:blip r:embed="rId183" cstate="print"/>
                    <a:stretch>
                      <a:fillRect/>
                    </a:stretch>
                  </pic:blipFill>
                  <pic:spPr>
                    <a:xfrm>
                      <a:off x="0" y="0"/>
                      <a:ext cx="2642616" cy="676656"/>
                    </a:xfrm>
                    <a:prstGeom prst="rect">
                      <a:avLst/>
                    </a:prstGeom>
                  </pic:spPr>
                </pic:pic>
              </a:graphicData>
            </a:graphic>
          </wp:inline>
        </w:drawing>
      </w:r>
      <w:r>
        <w:rPr>
          <w:rFonts w:ascii="Arial"/>
        </w:rPr>
      </w:r>
    </w:p>
    <w:p>
      <w:pPr>
        <w:pStyle w:val="BodyText"/>
        <w:spacing w:before="4"/>
        <w:rPr>
          <w:rFonts w:ascii="Arial"/>
          <w:sz w:val="10"/>
        </w:rPr>
      </w:pPr>
    </w:p>
    <w:p>
      <w:pPr>
        <w:spacing w:before="0"/>
        <w:ind w:left="0" w:right="697" w:firstLine="0"/>
        <w:jc w:val="center"/>
        <w:rPr>
          <w:sz w:val="21"/>
        </w:rPr>
      </w:pPr>
      <w:r>
        <w:rPr>
          <w:color w:val="010101"/>
          <w:sz w:val="21"/>
        </w:rPr>
        <w:t>As consequences of the definit ions, we note that</w:t>
      </w:r>
    </w:p>
    <w:p>
      <w:pPr>
        <w:pStyle w:val="BodyText"/>
        <w:rPr>
          <w:sz w:val="18"/>
        </w:rPr>
      </w:pPr>
    </w:p>
    <w:p>
      <w:pPr>
        <w:spacing w:line="228" w:lineRule="exact" w:before="0"/>
        <w:ind w:left="1981" w:right="0" w:firstLine="0"/>
        <w:jc w:val="left"/>
        <w:rPr>
          <w:b/>
          <w:i/>
          <w:sz w:val="21"/>
        </w:rPr>
      </w:pPr>
      <w:r>
        <w:rPr/>
        <w:pict>
          <v:line style="position:absolute;mso-position-horizontal-relative:page;mso-position-vertical-relative:paragraph;z-index:-722128" from="139.082794pt,11.005928pt" to="140.518394pt,11.005928pt" stroked="true" strokeweight=".179462pt" strokecolor="#000000">
            <w10:wrap type="none"/>
          </v:line>
        </w:pict>
      </w:r>
      <w:r>
        <w:rPr>
          <w:b/>
          <w:i/>
          <w:color w:val="010101"/>
          <w:sz w:val="21"/>
        </w:rPr>
        <w:t>dLr </w:t>
      </w:r>
      <w:r>
        <w:rPr>
          <w:color w:val="010101"/>
          <w:w w:val="120"/>
          <w:sz w:val="23"/>
        </w:rPr>
        <w:t>= </w:t>
      </w:r>
      <w:r>
        <w:rPr>
          <w:b/>
          <w:color w:val="010101"/>
          <w:w w:val="120"/>
          <w:sz w:val="15"/>
        </w:rPr>
        <w:t>lz+l  </w:t>
      </w:r>
      <w:r>
        <w:rPr>
          <w:color w:val="010101"/>
          <w:w w:val="325"/>
          <w:sz w:val="15"/>
        </w:rPr>
        <w:t>- </w:t>
      </w:r>
      <w:r>
        <w:rPr>
          <w:b/>
          <w:i/>
          <w:color w:val="010101"/>
          <w:sz w:val="21"/>
        </w:rPr>
        <w:t>lz  </w:t>
      </w:r>
      <w:r>
        <w:rPr>
          <w:color w:val="010101"/>
          <w:w w:val="120"/>
          <w:sz w:val="23"/>
        </w:rPr>
        <w:t>= </w:t>
      </w:r>
      <w:r>
        <w:rPr>
          <w:b/>
          <w:i/>
          <w:color w:val="010101"/>
          <w:w w:val="120"/>
          <w:sz w:val="21"/>
        </w:rPr>
        <w:t>-dz</w:t>
      </w:r>
    </w:p>
    <w:p>
      <w:pPr>
        <w:spacing w:line="182" w:lineRule="exact" w:before="0"/>
        <w:ind w:left="0" w:right="825" w:firstLine="0"/>
        <w:jc w:val="center"/>
        <w:rPr>
          <w:i/>
          <w:sz w:val="19"/>
        </w:rPr>
      </w:pPr>
      <w:r>
        <w:rPr>
          <w:i/>
          <w:color w:val="010101"/>
          <w:w w:val="105"/>
          <w:sz w:val="19"/>
        </w:rPr>
        <w:t>dx</w:t>
      </w:r>
    </w:p>
    <w:p>
      <w:pPr>
        <w:pStyle w:val="BodyText"/>
        <w:rPr>
          <w:i/>
          <w:sz w:val="18"/>
        </w:rPr>
      </w:pPr>
      <w:r>
        <w:rPr/>
        <w:br w:type="column"/>
      </w:r>
      <w:r>
        <w:rPr>
          <w:i/>
          <w:sz w:val="18"/>
        </w:rPr>
      </w:r>
    </w:p>
    <w:p>
      <w:pPr>
        <w:pStyle w:val="BodyText"/>
        <w:spacing w:before="7"/>
        <w:rPr>
          <w:i/>
          <w:sz w:val="14"/>
        </w:rPr>
      </w:pPr>
    </w:p>
    <w:p>
      <w:pPr>
        <w:spacing w:before="0"/>
        <w:ind w:left="111" w:right="0" w:firstLine="0"/>
        <w:jc w:val="left"/>
        <w:rPr>
          <w:rFonts w:ascii="Arial"/>
          <w:sz w:val="19"/>
        </w:rPr>
      </w:pPr>
      <w:r>
        <w:rPr>
          <w:rFonts w:ascii="Arial"/>
          <w:color w:val="010101"/>
          <w:w w:val="105"/>
          <w:sz w:val="19"/>
        </w:rPr>
        <w:t>(8.2)</w:t>
      </w:r>
    </w:p>
    <w:p>
      <w:pPr>
        <w:pStyle w:val="BodyText"/>
        <w:rPr>
          <w:rFonts w:ascii="Arial"/>
          <w:sz w:val="18"/>
        </w:rPr>
      </w:pPr>
    </w:p>
    <w:p>
      <w:pPr>
        <w:pStyle w:val="BodyText"/>
        <w:spacing w:before="2"/>
        <w:rPr>
          <w:rFonts w:ascii="Arial"/>
          <w:sz w:val="15"/>
        </w:rPr>
      </w:pPr>
    </w:p>
    <w:p>
      <w:pPr>
        <w:spacing w:before="0"/>
        <w:ind w:left="111" w:right="0" w:firstLine="0"/>
        <w:jc w:val="left"/>
        <w:rPr>
          <w:rFonts w:ascii="Arial"/>
          <w:sz w:val="19"/>
        </w:rPr>
      </w:pPr>
      <w:r>
        <w:rPr>
          <w:rFonts w:ascii="Arial"/>
          <w:color w:val="010101"/>
          <w:sz w:val="19"/>
        </w:rPr>
        <w:t>(8.3 )</w:t>
      </w:r>
    </w:p>
    <w:p>
      <w:pPr>
        <w:spacing w:after="0"/>
        <w:jc w:val="left"/>
        <w:rPr>
          <w:rFonts w:ascii="Arial"/>
          <w:sz w:val="19"/>
        </w:rPr>
        <w:sectPr>
          <w:type w:val="continuous"/>
          <w:pgSz w:w="7200" w:h="11340"/>
          <w:pgMar w:top="1100" w:bottom="0" w:left="700" w:right="560"/>
          <w:cols w:num="2" w:equalWidth="0">
            <w:col w:w="5060" w:space="234"/>
            <w:col w:w="646"/>
          </w:cols>
        </w:sectPr>
      </w:pPr>
    </w:p>
    <w:p>
      <w:pPr>
        <w:pStyle w:val="BodyText"/>
        <w:spacing w:before="6"/>
        <w:rPr>
          <w:rFonts w:ascii="Arial"/>
          <w:sz w:val="12"/>
        </w:rPr>
      </w:pPr>
    </w:p>
    <w:p>
      <w:pPr>
        <w:pStyle w:val="BodyText"/>
        <w:ind w:left="1964"/>
        <w:rPr>
          <w:rFonts w:ascii="Arial"/>
        </w:rPr>
      </w:pPr>
      <w:r>
        <w:rPr>
          <w:rFonts w:ascii="Arial"/>
        </w:rPr>
        <w:drawing>
          <wp:inline distT="0" distB="0" distL="0" distR="0">
            <wp:extent cx="612648" cy="274319"/>
            <wp:effectExtent l="0" t="0" r="0" b="0"/>
            <wp:docPr id="349" name="image180.png" descr=""/>
            <wp:cNvGraphicFramePr>
              <a:graphicFrameLocks noChangeAspect="1"/>
            </wp:cNvGraphicFramePr>
            <a:graphic>
              <a:graphicData uri="http://schemas.openxmlformats.org/drawingml/2006/picture">
                <pic:pic>
                  <pic:nvPicPr>
                    <pic:cNvPr id="350" name="image180.png"/>
                    <pic:cNvPicPr/>
                  </pic:nvPicPr>
                  <pic:blipFill>
                    <a:blip r:embed="rId184" cstate="print"/>
                    <a:stretch>
                      <a:fillRect/>
                    </a:stretch>
                  </pic:blipFill>
                  <pic:spPr>
                    <a:xfrm>
                      <a:off x="0" y="0"/>
                      <a:ext cx="612648" cy="274319"/>
                    </a:xfrm>
                    <a:prstGeom prst="rect">
                      <a:avLst/>
                    </a:prstGeom>
                  </pic:spPr>
                </pic:pic>
              </a:graphicData>
            </a:graphic>
          </wp:inline>
        </w:drawing>
      </w:r>
      <w:r>
        <w:rPr>
          <w:rFonts w:ascii="Arial"/>
        </w:rPr>
      </w:r>
    </w:p>
    <w:p>
      <w:pPr>
        <w:pStyle w:val="BodyText"/>
        <w:spacing w:before="9"/>
        <w:rPr>
          <w:rFonts w:ascii="Arial"/>
          <w:sz w:val="8"/>
        </w:rPr>
      </w:pPr>
    </w:p>
    <w:p>
      <w:pPr>
        <w:tabs>
          <w:tab w:pos="2813" w:val="left" w:leader="none"/>
        </w:tabs>
        <w:spacing w:line="204" w:lineRule="exact" w:before="72"/>
        <w:ind w:left="1952" w:right="19" w:firstLine="0"/>
        <w:jc w:val="left"/>
        <w:rPr>
          <w:i/>
          <w:sz w:val="22"/>
        </w:rPr>
      </w:pPr>
      <w:r>
        <w:rPr>
          <w:i/>
          <w:color w:val="010101"/>
          <w:sz w:val="22"/>
        </w:rPr>
        <w:t>d</w:t>
      </w:r>
      <w:r>
        <w:rPr>
          <w:i/>
          <w:color w:val="010101"/>
          <w:spacing w:val="-17"/>
          <w:sz w:val="22"/>
        </w:rPr>
        <w:t> </w:t>
      </w:r>
      <w:r>
        <w:rPr>
          <w:i/>
          <w:color w:val="010101"/>
          <w:w w:val="140"/>
          <w:sz w:val="22"/>
        </w:rPr>
        <w:t>L</w:t>
        <w:tab/>
      </w:r>
      <w:r>
        <w:rPr>
          <w:i/>
          <w:color w:val="010101"/>
          <w:sz w:val="22"/>
        </w:rPr>
        <w:t>T</w:t>
      </w:r>
    </w:p>
    <w:p>
      <w:pPr>
        <w:spacing w:line="181" w:lineRule="exact" w:before="0"/>
        <w:ind w:left="276" w:right="1203" w:firstLine="0"/>
        <w:jc w:val="center"/>
        <w:rPr>
          <w:sz w:val="12"/>
        </w:rPr>
      </w:pPr>
      <w:r>
        <w:rPr>
          <w:i/>
          <w:color w:val="010101"/>
          <w:w w:val="125"/>
          <w:sz w:val="20"/>
          <w:u w:val="thick" w:color="000000"/>
        </w:rPr>
        <w:t>dx  </w:t>
      </w:r>
      <w:r>
        <w:rPr>
          <w:color w:val="010101"/>
          <w:w w:val="205"/>
          <w:sz w:val="20"/>
        </w:rPr>
        <w:t>- </w:t>
      </w:r>
      <w:r>
        <w:rPr>
          <w:color w:val="010101"/>
          <w:w w:val="250"/>
          <w:sz w:val="20"/>
        </w:rPr>
        <w:t>- </w:t>
      </w:r>
      <w:r>
        <w:rPr>
          <w:color w:val="010101"/>
          <w:w w:val="125"/>
          <w:sz w:val="12"/>
        </w:rPr>
        <w:t>z</w:t>
      </w:r>
    </w:p>
    <w:p>
      <w:pPr>
        <w:spacing w:line="237" w:lineRule="auto" w:before="179"/>
        <w:ind w:left="103" w:right="127" w:firstLine="201"/>
        <w:jc w:val="both"/>
        <w:rPr>
          <w:sz w:val="21"/>
        </w:rPr>
      </w:pPr>
      <w:r>
        <w:rPr>
          <w:color w:val="010101"/>
          <w:sz w:val="21"/>
        </w:rPr>
        <w:t>Throughout this chapter, we shall be using integral expressions and the studen t </w:t>
      </w:r>
      <w:r>
        <w:rPr>
          <w:color w:val="010101"/>
          <w:sz w:val="19"/>
        </w:rPr>
        <w:t>will </w:t>
      </w:r>
      <w:r>
        <w:rPr>
          <w:color w:val="010101"/>
          <w:sz w:val="21"/>
        </w:rPr>
        <w:t>find it helpful to keep in mind the following short table of  indefinite  integrals  (arbitrary  constants omitted ) :</w:t>
      </w:r>
    </w:p>
    <w:p>
      <w:pPr>
        <w:spacing w:line="566" w:lineRule="exact" w:before="0"/>
        <w:ind w:left="276" w:right="1016" w:firstLine="0"/>
        <w:jc w:val="center"/>
        <w:rPr>
          <w:b/>
          <w:i/>
          <w:sz w:val="20"/>
        </w:rPr>
      </w:pPr>
      <w:r>
        <w:rPr>
          <w:rFonts w:ascii="Arial" w:hAnsi="Arial"/>
          <w:b/>
          <w:i/>
          <w:color w:val="010101"/>
          <w:w w:val="60"/>
          <w:sz w:val="51"/>
        </w:rPr>
        <w:t>f</w:t>
      </w:r>
      <w:r>
        <w:rPr>
          <w:rFonts w:ascii="Arial" w:hAnsi="Arial"/>
          <w:b/>
          <w:i/>
          <w:color w:val="010101"/>
          <w:spacing w:val="-41"/>
          <w:sz w:val="51"/>
        </w:rPr>
        <w:t> </w:t>
      </w:r>
      <w:r>
        <w:rPr>
          <w:b/>
          <w:i/>
          <w:color w:val="010101"/>
          <w:w w:val="46"/>
          <w:sz w:val="20"/>
        </w:rPr>
        <w:t>l1</w:t>
      </w:r>
      <w:r>
        <w:rPr>
          <w:b/>
          <w:i/>
          <w:color w:val="010101"/>
          <w:spacing w:val="9"/>
          <w:w w:val="46"/>
          <w:sz w:val="20"/>
        </w:rPr>
        <w:t>1</w:t>
      </w:r>
      <w:r>
        <w:rPr>
          <w:b/>
          <w:i/>
          <w:color w:val="010101"/>
          <w:w w:val="51"/>
          <w:sz w:val="20"/>
        </w:rPr>
        <w:t>µ.,¡</w:t>
      </w:r>
      <w:r>
        <w:rPr>
          <w:b/>
          <w:i/>
          <w:color w:val="010101"/>
          <w:sz w:val="20"/>
        </w:rPr>
        <w:t> </w:t>
      </w:r>
      <w:r>
        <w:rPr>
          <w:b/>
          <w:i/>
          <w:color w:val="010101"/>
          <w:spacing w:val="-23"/>
          <w:sz w:val="20"/>
        </w:rPr>
        <w:t> </w:t>
      </w:r>
      <w:r>
        <w:rPr>
          <w:b/>
          <w:i/>
          <w:color w:val="010101"/>
          <w:spacing w:val="11"/>
          <w:w w:val="85"/>
          <w:sz w:val="20"/>
        </w:rPr>
        <w:t>d</w:t>
      </w:r>
      <w:r>
        <w:rPr>
          <w:b/>
          <w:i/>
          <w:color w:val="010101"/>
          <w:w w:val="84"/>
          <w:sz w:val="20"/>
        </w:rPr>
        <w:t>y</w:t>
      </w:r>
      <w:r>
        <w:rPr>
          <w:b/>
          <w:i/>
          <w:color w:val="010101"/>
          <w:sz w:val="20"/>
        </w:rPr>
        <w:t> </w:t>
      </w:r>
      <w:r>
        <w:rPr>
          <w:b/>
          <w:i/>
          <w:color w:val="010101"/>
          <w:spacing w:val="18"/>
          <w:sz w:val="20"/>
        </w:rPr>
        <w:t> </w:t>
      </w:r>
      <w:r>
        <w:rPr>
          <w:color w:val="010101"/>
          <w:w w:val="104"/>
          <w:sz w:val="23"/>
        </w:rPr>
        <w:t>=</w:t>
      </w:r>
      <w:r>
        <w:rPr>
          <w:color w:val="010101"/>
          <w:sz w:val="23"/>
        </w:rPr>
        <w:t> </w:t>
      </w:r>
      <w:r>
        <w:rPr>
          <w:color w:val="010101"/>
          <w:spacing w:val="11"/>
          <w:sz w:val="23"/>
        </w:rPr>
        <w:t> </w:t>
      </w:r>
      <w:r>
        <w:rPr>
          <w:color w:val="010101"/>
          <w:spacing w:val="-9"/>
          <w:w w:val="231"/>
          <w:sz w:val="23"/>
        </w:rPr>
        <w:t>-</w:t>
      </w:r>
      <w:r>
        <w:rPr>
          <w:b/>
          <w:i/>
          <w:color w:val="010101"/>
          <w:w w:val="47"/>
          <w:sz w:val="20"/>
        </w:rPr>
        <w:t>l11</w:t>
      </w:r>
    </w:p>
    <w:p>
      <w:pPr>
        <w:spacing w:before="29"/>
        <w:ind w:left="276" w:right="1084" w:firstLine="0"/>
        <w:jc w:val="center"/>
        <w:rPr>
          <w:i/>
          <w:sz w:val="11"/>
        </w:rPr>
      </w:pPr>
      <w:r>
        <w:rPr>
          <w:rFonts w:ascii="Arial"/>
          <w:i/>
          <w:color w:val="010101"/>
          <w:w w:val="80"/>
          <w:sz w:val="49"/>
        </w:rPr>
        <w:t>J </w:t>
      </w:r>
      <w:r>
        <w:rPr>
          <w:i/>
          <w:color w:val="010101"/>
          <w:w w:val="80"/>
          <w:sz w:val="20"/>
        </w:rPr>
        <w:t>l!J </w:t>
      </w:r>
      <w:r>
        <w:rPr>
          <w:i/>
          <w:color w:val="010101"/>
          <w:spacing w:val="7"/>
          <w:w w:val="90"/>
          <w:sz w:val="20"/>
        </w:rPr>
        <w:t>dy </w:t>
      </w:r>
      <w:r>
        <w:rPr>
          <w:color w:val="010101"/>
          <w:w w:val="95"/>
          <w:sz w:val="21"/>
        </w:rPr>
        <w:t>=  </w:t>
      </w:r>
      <w:r>
        <w:rPr>
          <w:i/>
          <w:color w:val="010101"/>
          <w:w w:val="145"/>
          <w:sz w:val="20"/>
        </w:rPr>
        <w:t>-T</w:t>
      </w:r>
      <w:r>
        <w:rPr>
          <w:i/>
          <w:color w:val="010101"/>
          <w:spacing w:val="-62"/>
          <w:w w:val="145"/>
          <w:sz w:val="20"/>
        </w:rPr>
        <w:t> </w:t>
      </w:r>
      <w:r>
        <w:rPr>
          <w:i/>
          <w:color w:val="010101"/>
          <w:w w:val="90"/>
          <w:position w:val="-2"/>
          <w:sz w:val="11"/>
        </w:rPr>
        <w:t>11</w:t>
      </w:r>
    </w:p>
    <w:p>
      <w:pPr>
        <w:spacing w:before="166"/>
        <w:ind w:left="114" w:right="112" w:firstLine="0"/>
        <w:jc w:val="center"/>
        <w:rPr>
          <w:b/>
          <w:sz w:val="8"/>
        </w:rPr>
      </w:pPr>
      <w:r>
        <w:rPr>
          <w:b/>
          <w:color w:val="010101"/>
          <w:sz w:val="8"/>
        </w:rPr>
        <w:t>1 "11'\</w:t>
      </w:r>
    </w:p>
    <w:p>
      <w:pPr>
        <w:spacing w:after="0"/>
        <w:jc w:val="center"/>
        <w:rPr>
          <w:sz w:val="8"/>
        </w:rPr>
        <w:sectPr>
          <w:type w:val="continuous"/>
          <w:pgSz w:w="7200" w:h="11340"/>
          <w:pgMar w:top="1100" w:bottom="0" w:left="700" w:right="560"/>
        </w:sectPr>
      </w:pPr>
    </w:p>
    <w:p>
      <w:pPr>
        <w:tabs>
          <w:tab w:pos="1190" w:val="left" w:leader="none"/>
          <w:tab w:pos="5888" w:val="right" w:leader="none"/>
        </w:tabs>
        <w:spacing w:before="57"/>
        <w:ind w:left="117" w:right="0" w:firstLine="0"/>
        <w:jc w:val="left"/>
        <w:rPr>
          <w:sz w:val="20"/>
        </w:rPr>
      </w:pPr>
      <w:r>
        <w:rPr>
          <w:b/>
          <w:sz w:val="15"/>
        </w:rPr>
        <w:t>SEC.  </w:t>
      </w:r>
      <w:r>
        <w:rPr>
          <w:b/>
          <w:spacing w:val="2"/>
          <w:sz w:val="15"/>
        </w:rPr>
        <w:t> </w:t>
      </w:r>
      <w:r>
        <w:rPr>
          <w:rFonts w:ascii="Arial"/>
          <w:b/>
          <w:sz w:val="19"/>
        </w:rPr>
        <w:t>1]</w:t>
        <w:tab/>
      </w:r>
      <w:r>
        <w:rPr>
          <w:b/>
          <w:sz w:val="15"/>
        </w:rPr>
        <w:t>SOME   ADDITIONAL </w:t>
      </w:r>
      <w:r>
        <w:rPr>
          <w:b/>
          <w:spacing w:val="18"/>
          <w:sz w:val="15"/>
        </w:rPr>
        <w:t> </w:t>
      </w:r>
      <w:r>
        <w:rPr>
          <w:b/>
          <w:sz w:val="15"/>
        </w:rPr>
        <w:t>MORTALITY  </w:t>
      </w:r>
      <w:r>
        <w:rPr>
          <w:b/>
          <w:spacing w:val="4"/>
          <w:sz w:val="15"/>
        </w:rPr>
        <w:t> </w:t>
      </w:r>
      <w:r>
        <w:rPr>
          <w:b/>
          <w:sz w:val="15"/>
        </w:rPr>
        <w:t>FUNCTIONS</w:t>
      </w:r>
      <w:r>
        <w:rPr>
          <w:position w:val="1"/>
          <w:sz w:val="20"/>
        </w:rPr>
        <w:tab/>
        <w:t>171</w:t>
      </w:r>
    </w:p>
    <w:p>
      <w:pPr>
        <w:spacing w:before="89"/>
        <w:ind w:left="1921" w:right="0" w:firstLine="0"/>
        <w:jc w:val="left"/>
        <w:rPr>
          <w:i/>
          <w:sz w:val="19"/>
        </w:rPr>
      </w:pPr>
      <w:r>
        <w:rPr>
          <w:rFonts w:ascii="Arial"/>
          <w:i/>
          <w:w w:val="85"/>
          <w:sz w:val="51"/>
        </w:rPr>
        <w:t>J </w:t>
      </w:r>
      <w:r>
        <w:rPr>
          <w:i/>
          <w:sz w:val="19"/>
        </w:rPr>
        <w:t>T</w:t>
      </w:r>
      <w:r>
        <w:rPr>
          <w:rFonts w:ascii="Arial"/>
          <w:i/>
          <w:position w:val="-2"/>
          <w:sz w:val="11"/>
        </w:rPr>
        <w:t>11 </w:t>
      </w:r>
      <w:r>
        <w:rPr>
          <w:i/>
          <w:sz w:val="19"/>
        </w:rPr>
        <w:t>dy  </w:t>
      </w:r>
      <w:r>
        <w:rPr>
          <w:sz w:val="24"/>
        </w:rPr>
        <w:t>= </w:t>
      </w:r>
      <w:r>
        <w:rPr>
          <w:i/>
          <w:w w:val="145"/>
          <w:sz w:val="19"/>
        </w:rPr>
        <w:t>-Y,,</w:t>
      </w:r>
    </w:p>
    <w:p>
      <w:pPr>
        <w:spacing w:before="54"/>
        <w:ind w:left="293" w:right="276" w:firstLine="0"/>
        <w:jc w:val="center"/>
        <w:rPr>
          <w:i/>
          <w:sz w:val="19"/>
        </w:rPr>
      </w:pPr>
      <w:r>
        <w:rPr>
          <w:rFonts w:ascii="Arial" w:hAnsi="Arial"/>
          <w:i/>
          <w:w w:val="85"/>
          <w:sz w:val="51"/>
        </w:rPr>
        <w:t>J </w:t>
      </w:r>
      <w:r>
        <w:rPr>
          <w:i/>
          <w:sz w:val="19"/>
        </w:rPr>
        <w:t>yl,,µ,, </w:t>
      </w:r>
      <w:r>
        <w:rPr>
          <w:i/>
          <w:spacing w:val="6"/>
          <w:sz w:val="19"/>
        </w:rPr>
        <w:t>dy </w:t>
      </w:r>
      <w:r>
        <w:rPr>
          <w:sz w:val="24"/>
        </w:rPr>
        <w:t>= </w:t>
      </w:r>
      <w:r>
        <w:rPr>
          <w:i/>
          <w:w w:val="135"/>
          <w:sz w:val="19"/>
        </w:rPr>
        <w:t>-yl,, </w:t>
      </w:r>
      <w:r>
        <w:rPr>
          <w:w w:val="270"/>
          <w:sz w:val="19"/>
        </w:rPr>
        <w:t>-</w:t>
      </w:r>
      <w:r>
        <w:rPr>
          <w:spacing w:val="-95"/>
          <w:w w:val="270"/>
          <w:sz w:val="19"/>
        </w:rPr>
        <w:t> </w:t>
      </w:r>
      <w:r>
        <w:rPr>
          <w:i/>
          <w:w w:val="130"/>
          <w:sz w:val="19"/>
        </w:rPr>
        <w:t>T,,</w:t>
      </w:r>
    </w:p>
    <w:p>
      <w:pPr>
        <w:spacing w:before="58"/>
        <w:ind w:left="293" w:right="442" w:firstLine="0"/>
        <w:jc w:val="center"/>
        <w:rPr>
          <w:i/>
          <w:sz w:val="19"/>
        </w:rPr>
      </w:pPr>
      <w:r>
        <w:rPr>
          <w:rFonts w:ascii="Arial"/>
          <w:i/>
          <w:w w:val="85"/>
          <w:sz w:val="51"/>
        </w:rPr>
        <w:t>J</w:t>
      </w:r>
      <w:r>
        <w:rPr>
          <w:rFonts w:ascii="Arial"/>
          <w:i/>
          <w:spacing w:val="-64"/>
          <w:w w:val="85"/>
          <w:sz w:val="51"/>
        </w:rPr>
        <w:t> </w:t>
      </w:r>
      <w:r>
        <w:rPr>
          <w:i/>
          <w:w w:val="110"/>
          <w:sz w:val="19"/>
        </w:rPr>
        <w:t>yl,,d y </w:t>
      </w:r>
      <w:r>
        <w:rPr>
          <w:w w:val="110"/>
          <w:sz w:val="24"/>
        </w:rPr>
        <w:t>= </w:t>
      </w:r>
      <w:r>
        <w:rPr>
          <w:i/>
          <w:w w:val="135"/>
          <w:sz w:val="19"/>
        </w:rPr>
        <w:t>-yT,, </w:t>
      </w:r>
      <w:r>
        <w:rPr>
          <w:w w:val="260"/>
          <w:sz w:val="19"/>
        </w:rPr>
        <w:t>-</w:t>
      </w:r>
      <w:r>
        <w:rPr>
          <w:spacing w:val="-67"/>
          <w:w w:val="260"/>
          <w:sz w:val="19"/>
        </w:rPr>
        <w:t> </w:t>
      </w:r>
      <w:r>
        <w:rPr>
          <w:i/>
          <w:spacing w:val="2"/>
          <w:w w:val="110"/>
          <w:sz w:val="19"/>
        </w:rPr>
        <w:t>Y,,</w:t>
      </w:r>
    </w:p>
    <w:p>
      <w:pPr>
        <w:spacing w:before="207"/>
        <w:ind w:left="124" w:right="229" w:firstLine="0"/>
        <w:jc w:val="left"/>
        <w:rPr>
          <w:sz w:val="21"/>
        </w:rPr>
      </w:pPr>
      <w:r>
        <w:rPr>
          <w:sz w:val="21"/>
        </w:rPr>
        <w:t>The last two formulas can be derived using  integration  by  parts and may  be verified  by differentiation.</w:t>
      </w:r>
    </w:p>
    <w:p>
      <w:pPr>
        <w:spacing w:line="242" w:lineRule="exact" w:before="2"/>
        <w:ind w:left="128" w:right="136" w:firstLine="194"/>
        <w:jc w:val="both"/>
        <w:rPr>
          <w:sz w:val="21"/>
        </w:rPr>
      </w:pPr>
      <w:r>
        <w:rPr>
          <w:w w:val="105"/>
          <w:sz w:val="21"/>
        </w:rPr>
        <w:t>The</w:t>
      </w:r>
      <w:r>
        <w:rPr>
          <w:spacing w:val="-22"/>
          <w:w w:val="105"/>
          <w:sz w:val="21"/>
        </w:rPr>
        <w:t> </w:t>
      </w:r>
      <w:r>
        <w:rPr>
          <w:w w:val="105"/>
          <w:sz w:val="21"/>
        </w:rPr>
        <w:t>new</w:t>
      </w:r>
      <w:r>
        <w:rPr>
          <w:spacing w:val="-15"/>
          <w:w w:val="105"/>
          <w:sz w:val="21"/>
        </w:rPr>
        <w:t> </w:t>
      </w:r>
      <w:r>
        <w:rPr>
          <w:w w:val="105"/>
          <w:sz w:val="21"/>
        </w:rPr>
        <w:t>functions</w:t>
      </w:r>
      <w:r>
        <w:rPr>
          <w:spacing w:val="-17"/>
          <w:w w:val="105"/>
          <w:sz w:val="21"/>
        </w:rPr>
        <w:t> </w:t>
      </w:r>
      <w:r>
        <w:rPr>
          <w:w w:val="105"/>
          <w:sz w:val="21"/>
        </w:rPr>
        <w:t>can</w:t>
      </w:r>
      <w:r>
        <w:rPr>
          <w:spacing w:val="-23"/>
          <w:w w:val="105"/>
          <w:sz w:val="21"/>
        </w:rPr>
        <w:t> </w:t>
      </w:r>
      <w:r>
        <w:rPr>
          <w:w w:val="105"/>
          <w:sz w:val="21"/>
        </w:rPr>
        <w:t>be</w:t>
      </w:r>
      <w:r>
        <w:rPr>
          <w:spacing w:val="-22"/>
          <w:w w:val="105"/>
          <w:sz w:val="21"/>
        </w:rPr>
        <w:t> </w:t>
      </w:r>
      <w:r>
        <w:rPr>
          <w:w w:val="105"/>
          <w:sz w:val="21"/>
        </w:rPr>
        <w:t>given</w:t>
      </w:r>
      <w:r>
        <w:rPr>
          <w:spacing w:val="-20"/>
          <w:w w:val="105"/>
          <w:sz w:val="21"/>
        </w:rPr>
        <w:t> </w:t>
      </w:r>
      <w:r>
        <w:rPr>
          <w:w w:val="105"/>
          <w:sz w:val="21"/>
        </w:rPr>
        <w:t>concrete</w:t>
      </w:r>
      <w:r>
        <w:rPr>
          <w:spacing w:val="-15"/>
          <w:w w:val="105"/>
          <w:sz w:val="21"/>
        </w:rPr>
        <w:t> </w:t>
      </w:r>
      <w:r>
        <w:rPr>
          <w:w w:val="105"/>
          <w:sz w:val="21"/>
        </w:rPr>
        <w:t>interpretations</w:t>
      </w:r>
      <w:r>
        <w:rPr>
          <w:spacing w:val="-13"/>
          <w:w w:val="105"/>
          <w:sz w:val="21"/>
        </w:rPr>
        <w:t> </w:t>
      </w:r>
      <w:r>
        <w:rPr>
          <w:w w:val="105"/>
          <w:sz w:val="21"/>
        </w:rPr>
        <w:t>in</w:t>
      </w:r>
      <w:r>
        <w:rPr>
          <w:spacing w:val="-19"/>
          <w:w w:val="105"/>
          <w:sz w:val="21"/>
        </w:rPr>
        <w:t> </w:t>
      </w:r>
      <w:r>
        <w:rPr>
          <w:w w:val="105"/>
          <w:sz w:val="21"/>
        </w:rPr>
        <w:t>terms of</w:t>
      </w:r>
      <w:r>
        <w:rPr>
          <w:spacing w:val="-8"/>
          <w:w w:val="105"/>
          <w:sz w:val="21"/>
        </w:rPr>
        <w:t> </w:t>
      </w:r>
      <w:r>
        <w:rPr>
          <w:w w:val="105"/>
          <w:sz w:val="21"/>
        </w:rPr>
        <w:t>the</w:t>
      </w:r>
      <w:r>
        <w:rPr>
          <w:spacing w:val="-20"/>
          <w:w w:val="105"/>
          <w:sz w:val="21"/>
        </w:rPr>
        <w:t> </w:t>
      </w:r>
      <w:r>
        <w:rPr>
          <w:w w:val="105"/>
          <w:sz w:val="21"/>
        </w:rPr>
        <w:t>mortality</w:t>
      </w:r>
      <w:r>
        <w:rPr>
          <w:spacing w:val="-6"/>
          <w:w w:val="105"/>
          <w:sz w:val="21"/>
        </w:rPr>
        <w:t> </w:t>
      </w:r>
      <w:r>
        <w:rPr>
          <w:w w:val="105"/>
          <w:sz w:val="21"/>
        </w:rPr>
        <w:t>table</w:t>
      </w:r>
      <w:r>
        <w:rPr>
          <w:spacing w:val="-19"/>
          <w:w w:val="105"/>
          <w:sz w:val="21"/>
        </w:rPr>
        <w:t> </w:t>
      </w:r>
      <w:r>
        <w:rPr>
          <w:w w:val="105"/>
          <w:sz w:val="21"/>
        </w:rPr>
        <w:t>model.</w:t>
      </w:r>
      <w:r>
        <w:rPr>
          <w:spacing w:val="-13"/>
          <w:w w:val="105"/>
          <w:sz w:val="21"/>
        </w:rPr>
        <w:t> </w:t>
      </w:r>
      <w:r>
        <w:rPr>
          <w:w w:val="105"/>
          <w:sz w:val="21"/>
        </w:rPr>
        <w:t>Consider</w:t>
      </w:r>
      <w:r>
        <w:rPr>
          <w:spacing w:val="-10"/>
          <w:w w:val="105"/>
          <w:sz w:val="21"/>
        </w:rPr>
        <w:t> </w:t>
      </w:r>
      <w:r>
        <w:rPr>
          <w:w w:val="105"/>
          <w:sz w:val="21"/>
        </w:rPr>
        <w:t>the</w:t>
      </w:r>
      <w:r>
        <w:rPr>
          <w:spacing w:val="-20"/>
          <w:w w:val="105"/>
          <w:sz w:val="21"/>
        </w:rPr>
        <w:t> </w:t>
      </w:r>
      <w:r>
        <w:rPr>
          <w:w w:val="95"/>
          <w:sz w:val="23"/>
        </w:rPr>
        <w:t>fz</w:t>
      </w:r>
      <w:r>
        <w:rPr>
          <w:spacing w:val="-22"/>
          <w:w w:val="95"/>
          <w:sz w:val="23"/>
        </w:rPr>
        <w:t> </w:t>
      </w:r>
      <w:r>
        <w:rPr>
          <w:w w:val="105"/>
          <w:sz w:val="21"/>
        </w:rPr>
        <w:t>lives</w:t>
      </w:r>
      <w:r>
        <w:rPr>
          <w:spacing w:val="-23"/>
          <w:w w:val="105"/>
          <w:sz w:val="21"/>
        </w:rPr>
        <w:t> </w:t>
      </w:r>
      <w:r>
        <w:rPr>
          <w:w w:val="105"/>
          <w:sz w:val="21"/>
        </w:rPr>
        <w:t>which</w:t>
      </w:r>
      <w:r>
        <w:rPr>
          <w:spacing w:val="-9"/>
          <w:w w:val="105"/>
          <w:sz w:val="21"/>
        </w:rPr>
        <w:t> </w:t>
      </w:r>
      <w:r>
        <w:rPr>
          <w:w w:val="105"/>
          <w:sz w:val="21"/>
        </w:rPr>
        <w:t>survive</w:t>
      </w:r>
      <w:r>
        <w:rPr>
          <w:spacing w:val="-19"/>
          <w:w w:val="105"/>
          <w:sz w:val="21"/>
        </w:rPr>
        <w:t> </w:t>
      </w:r>
      <w:r>
        <w:rPr>
          <w:w w:val="105"/>
          <w:sz w:val="21"/>
        </w:rPr>
        <w:t>to age </w:t>
      </w:r>
      <w:r>
        <w:rPr>
          <w:i/>
          <w:w w:val="105"/>
          <w:sz w:val="21"/>
        </w:rPr>
        <w:t>x. </w:t>
      </w:r>
      <w:r>
        <w:rPr>
          <w:spacing w:val="4"/>
          <w:w w:val="105"/>
          <w:sz w:val="21"/>
        </w:rPr>
        <w:t>We </w:t>
      </w:r>
      <w:r>
        <w:rPr>
          <w:w w:val="105"/>
          <w:sz w:val="21"/>
        </w:rPr>
        <w:t>shall show that </w:t>
      </w:r>
      <w:r>
        <w:rPr>
          <w:i/>
          <w:spacing w:val="5"/>
          <w:w w:val="105"/>
          <w:sz w:val="21"/>
        </w:rPr>
        <w:t>T</w:t>
      </w:r>
      <w:r>
        <w:rPr>
          <w:spacing w:val="5"/>
          <w:w w:val="105"/>
          <w:sz w:val="13"/>
        </w:rPr>
        <w:t>z </w:t>
      </w:r>
      <w:r>
        <w:rPr>
          <w:w w:val="105"/>
          <w:sz w:val="21"/>
        </w:rPr>
        <w:t>represents the total number of years lived by the members of this group from age </w:t>
      </w:r>
      <w:r>
        <w:rPr>
          <w:rFonts w:ascii="Arial" w:hAnsi="Arial"/>
          <w:i/>
          <w:w w:val="105"/>
          <w:sz w:val="17"/>
        </w:rPr>
        <w:t>x </w:t>
      </w:r>
      <w:r>
        <w:rPr>
          <w:w w:val="105"/>
          <w:sz w:val="21"/>
        </w:rPr>
        <w:t>until death. The number</w:t>
      </w:r>
      <w:r>
        <w:rPr>
          <w:spacing w:val="-11"/>
          <w:w w:val="105"/>
          <w:sz w:val="21"/>
        </w:rPr>
        <w:t> </w:t>
      </w:r>
      <w:r>
        <w:rPr>
          <w:w w:val="105"/>
          <w:sz w:val="21"/>
        </w:rPr>
        <w:t>of</w:t>
      </w:r>
      <w:r>
        <w:rPr>
          <w:spacing w:val="-6"/>
          <w:w w:val="105"/>
          <w:sz w:val="21"/>
        </w:rPr>
        <w:t> </w:t>
      </w:r>
      <w:r>
        <w:rPr>
          <w:w w:val="105"/>
          <w:sz w:val="21"/>
        </w:rPr>
        <w:t>these</w:t>
      </w:r>
      <w:r>
        <w:rPr>
          <w:spacing w:val="-16"/>
          <w:w w:val="105"/>
          <w:sz w:val="21"/>
        </w:rPr>
        <w:t> </w:t>
      </w:r>
      <w:r>
        <w:rPr>
          <w:w w:val="105"/>
          <w:sz w:val="21"/>
        </w:rPr>
        <w:t>lives</w:t>
      </w:r>
      <w:r>
        <w:rPr>
          <w:spacing w:val="-24"/>
          <w:w w:val="105"/>
          <w:sz w:val="21"/>
        </w:rPr>
        <w:t> </w:t>
      </w:r>
      <w:r>
        <w:rPr>
          <w:w w:val="105"/>
          <w:sz w:val="21"/>
        </w:rPr>
        <w:t>which</w:t>
      </w:r>
      <w:r>
        <w:rPr>
          <w:spacing w:val="-5"/>
          <w:w w:val="105"/>
          <w:sz w:val="21"/>
        </w:rPr>
        <w:t> </w:t>
      </w:r>
      <w:r>
        <w:rPr>
          <w:w w:val="105"/>
          <w:sz w:val="21"/>
        </w:rPr>
        <w:t>die</w:t>
      </w:r>
      <w:r>
        <w:rPr>
          <w:spacing w:val="-23"/>
          <w:w w:val="105"/>
          <w:sz w:val="21"/>
        </w:rPr>
        <w:t> </w:t>
      </w:r>
      <w:r>
        <w:rPr>
          <w:w w:val="105"/>
          <w:sz w:val="21"/>
        </w:rPr>
        <w:t>at</w:t>
      </w:r>
      <w:r>
        <w:rPr>
          <w:spacing w:val="-17"/>
          <w:w w:val="105"/>
          <w:sz w:val="21"/>
        </w:rPr>
        <w:t> </w:t>
      </w:r>
      <w:r>
        <w:rPr>
          <w:w w:val="105"/>
          <w:sz w:val="21"/>
        </w:rPr>
        <w:t>the</w:t>
      </w:r>
      <w:r>
        <w:rPr>
          <w:spacing w:val="-17"/>
          <w:w w:val="105"/>
          <w:sz w:val="21"/>
        </w:rPr>
        <w:t> </w:t>
      </w:r>
      <w:r>
        <w:rPr>
          <w:w w:val="105"/>
          <w:sz w:val="21"/>
        </w:rPr>
        <w:t>moment</w:t>
      </w:r>
      <w:r>
        <w:rPr>
          <w:spacing w:val="-9"/>
          <w:w w:val="105"/>
          <w:sz w:val="21"/>
        </w:rPr>
        <w:t> </w:t>
      </w:r>
      <w:r>
        <w:rPr>
          <w:w w:val="105"/>
          <w:sz w:val="21"/>
        </w:rPr>
        <w:t>of</w:t>
      </w:r>
      <w:r>
        <w:rPr>
          <w:spacing w:val="-4"/>
          <w:w w:val="105"/>
          <w:sz w:val="21"/>
        </w:rPr>
        <w:t> </w:t>
      </w:r>
      <w:r>
        <w:rPr>
          <w:w w:val="105"/>
          <w:sz w:val="21"/>
        </w:rPr>
        <w:t>attaining</w:t>
      </w:r>
      <w:r>
        <w:rPr>
          <w:spacing w:val="-14"/>
          <w:w w:val="105"/>
          <w:sz w:val="21"/>
        </w:rPr>
        <w:t> </w:t>
      </w:r>
      <w:r>
        <w:rPr>
          <w:w w:val="105"/>
          <w:sz w:val="21"/>
        </w:rPr>
        <w:t>age</w:t>
      </w:r>
      <w:r>
        <w:rPr>
          <w:spacing w:val="-19"/>
          <w:w w:val="105"/>
          <w:sz w:val="21"/>
        </w:rPr>
        <w:t> </w:t>
      </w:r>
      <w:r>
        <w:rPr>
          <w:rFonts w:ascii="Arial" w:hAnsi="Arial"/>
          <w:i/>
          <w:w w:val="105"/>
          <w:sz w:val="18"/>
        </w:rPr>
        <w:t>y</w:t>
      </w:r>
      <w:r>
        <w:rPr>
          <w:rFonts w:ascii="Arial" w:hAnsi="Arial"/>
          <w:i/>
          <w:spacing w:val="2"/>
          <w:w w:val="105"/>
          <w:sz w:val="18"/>
        </w:rPr>
        <w:t> </w:t>
      </w:r>
      <w:r>
        <w:rPr>
          <w:w w:val="105"/>
          <w:sz w:val="21"/>
        </w:rPr>
        <w:t>is </w:t>
      </w:r>
      <w:r>
        <w:rPr>
          <w:w w:val="98"/>
          <w:sz w:val="21"/>
        </w:rPr>
        <w:t>given </w:t>
      </w:r>
      <w:r>
        <w:rPr>
          <w:w w:val="96"/>
          <w:sz w:val="21"/>
        </w:rPr>
        <w:t>by </w:t>
      </w:r>
      <w:r>
        <w:rPr>
          <w:i/>
          <w:spacing w:val="-1"/>
          <w:w w:val="66"/>
          <w:sz w:val="20"/>
        </w:rPr>
        <w:t>l</w:t>
      </w:r>
      <w:r>
        <w:rPr>
          <w:i/>
          <w:spacing w:val="-1"/>
          <w:w w:val="66"/>
          <w:position w:val="-3"/>
          <w:sz w:val="11"/>
        </w:rPr>
        <w:t>11</w:t>
      </w:r>
      <w:r>
        <w:rPr>
          <w:i/>
          <w:spacing w:val="-1"/>
          <w:w w:val="66"/>
          <w:sz w:val="16"/>
        </w:rPr>
        <w:t>µ</w:t>
      </w:r>
      <w:r>
        <w:rPr>
          <w:i/>
          <w:spacing w:val="-1"/>
          <w:w w:val="66"/>
          <w:position w:val="-3"/>
          <w:sz w:val="20"/>
        </w:rPr>
        <w:t>11</w:t>
      </w:r>
      <w:r>
        <w:rPr>
          <w:i/>
          <w:w w:val="66"/>
          <w:position w:val="-3"/>
          <w:sz w:val="20"/>
        </w:rPr>
        <w:t> </w:t>
      </w:r>
      <w:r>
        <w:rPr>
          <w:i/>
          <w:spacing w:val="3"/>
          <w:w w:val="99"/>
          <w:sz w:val="20"/>
        </w:rPr>
        <w:t>dy.</w:t>
      </w:r>
      <w:r>
        <w:rPr>
          <w:i/>
          <w:w w:val="99"/>
          <w:sz w:val="20"/>
        </w:rPr>
        <w:t> </w:t>
      </w:r>
      <w:r>
        <w:rPr>
          <w:w w:val="97"/>
          <w:sz w:val="21"/>
        </w:rPr>
        <w:t>Since </w:t>
      </w:r>
      <w:r>
        <w:rPr>
          <w:w w:val="97"/>
          <w:sz w:val="21"/>
        </w:rPr>
        <w:t>each </w:t>
      </w:r>
      <w:r>
        <w:rPr>
          <w:w w:val="85"/>
          <w:sz w:val="21"/>
        </w:rPr>
        <w:t>of  </w:t>
      </w:r>
      <w:r>
        <w:rPr>
          <w:w w:val="98"/>
          <w:sz w:val="21"/>
        </w:rPr>
        <w:t>these </w:t>
      </w:r>
      <w:r>
        <w:rPr>
          <w:w w:val="103"/>
          <w:sz w:val="21"/>
        </w:rPr>
        <w:t>has </w:t>
      </w:r>
      <w:r>
        <w:rPr>
          <w:w w:val="95"/>
          <w:sz w:val="21"/>
        </w:rPr>
        <w:t>lived </w:t>
      </w:r>
      <w:r>
        <w:rPr>
          <w:i/>
          <w:w w:val="87"/>
          <w:sz w:val="20"/>
        </w:rPr>
        <w:t>y  </w:t>
      </w:r>
      <w:r>
        <w:rPr>
          <w:w w:val="267"/>
          <w:sz w:val="20"/>
        </w:rPr>
        <w:t>- </w:t>
      </w:r>
      <w:r>
        <w:rPr>
          <w:rFonts w:ascii="Arial" w:hAnsi="Arial"/>
          <w:i/>
          <w:w w:val="107"/>
          <w:sz w:val="16"/>
        </w:rPr>
        <w:t>x </w:t>
      </w:r>
      <w:r>
        <w:rPr>
          <w:w w:val="102"/>
          <w:sz w:val="21"/>
        </w:rPr>
        <w:t>years </w:t>
      </w:r>
      <w:r>
        <w:rPr>
          <w:w w:val="97"/>
          <w:sz w:val="21"/>
        </w:rPr>
        <w:t>since</w:t>
      </w:r>
      <w:r>
        <w:rPr>
          <w:spacing w:val="9"/>
          <w:w w:val="97"/>
          <w:sz w:val="21"/>
        </w:rPr>
        <w:t> </w:t>
      </w:r>
      <w:r>
        <w:rPr>
          <w:w w:val="98"/>
          <w:sz w:val="21"/>
        </w:rPr>
        <w:t>age</w:t>
      </w:r>
    </w:p>
    <w:p>
      <w:pPr>
        <w:spacing w:before="0"/>
        <w:ind w:left="128" w:right="0" w:firstLine="0"/>
        <w:jc w:val="left"/>
        <w:rPr>
          <w:sz w:val="21"/>
        </w:rPr>
      </w:pPr>
      <w:r>
        <w:rPr>
          <w:i/>
          <w:w w:val="105"/>
          <w:sz w:val="21"/>
        </w:rPr>
        <w:t>x, </w:t>
      </w:r>
      <w:r>
        <w:rPr>
          <w:w w:val="105"/>
          <w:sz w:val="21"/>
        </w:rPr>
        <w:t>the integral</w:t>
      </w:r>
    </w:p>
    <w:p>
      <w:pPr>
        <w:pStyle w:val="BodyText"/>
        <w:spacing w:before="1"/>
        <w:rPr>
          <w:sz w:val="17"/>
        </w:rPr>
      </w:pPr>
    </w:p>
    <w:p>
      <w:pPr>
        <w:spacing w:before="0"/>
        <w:ind w:left="293" w:right="323" w:firstLine="0"/>
        <w:jc w:val="center"/>
        <w:rPr>
          <w:i/>
          <w:sz w:val="19"/>
        </w:rPr>
      </w:pPr>
      <w:r>
        <w:rPr/>
        <w:pict>
          <v:shape style="position:absolute;margin-left:198.179993pt;margin-top:9.550611pt;width:3.5pt;height:5.5pt;mso-position-horizontal-relative:page;mso-position-vertical-relative:paragraph;z-index:-722056" type="#_x0000_t202" filled="false" stroked="false">
            <v:textbox inset="0,0,0,0">
              <w:txbxContent>
                <w:p>
                  <w:pPr>
                    <w:spacing w:line="110" w:lineRule="exact" w:before="0"/>
                    <w:ind w:left="0" w:right="-16" w:firstLine="0"/>
                    <w:jc w:val="left"/>
                    <w:rPr>
                      <w:i/>
                      <w:sz w:val="11"/>
                    </w:rPr>
                  </w:pPr>
                  <w:r>
                    <w:rPr>
                      <w:i/>
                      <w:w w:val="60"/>
                      <w:sz w:val="11"/>
                    </w:rPr>
                    <w:t>11</w:t>
                  </w:r>
                </w:p>
              </w:txbxContent>
            </v:textbox>
            <w10:wrap type="none"/>
          </v:shape>
        </w:pict>
      </w:r>
      <w:r>
        <w:rPr>
          <w:i/>
          <w:sz w:val="23"/>
        </w:rPr>
        <w:t>f </w:t>
      </w:r>
      <w:r>
        <w:rPr>
          <w:i/>
          <w:w w:val="50"/>
          <w:sz w:val="23"/>
        </w:rPr>
        <w:t>OIJ  </w:t>
      </w:r>
      <w:r>
        <w:rPr>
          <w:i/>
          <w:sz w:val="19"/>
        </w:rPr>
        <w:t>( y </w:t>
      </w:r>
      <w:r>
        <w:rPr>
          <w:w w:val="270"/>
          <w:sz w:val="19"/>
        </w:rPr>
        <w:t>-</w:t>
      </w:r>
      <w:r>
        <w:rPr>
          <w:spacing w:val="-79"/>
          <w:w w:val="270"/>
          <w:sz w:val="19"/>
        </w:rPr>
        <w:t> </w:t>
      </w:r>
      <w:r>
        <w:rPr>
          <w:rFonts w:ascii="Arial" w:hAnsi="Arial"/>
          <w:i/>
          <w:sz w:val="19"/>
        </w:rPr>
        <w:t>x )l </w:t>
      </w:r>
      <w:r>
        <w:rPr>
          <w:i/>
          <w:sz w:val="19"/>
        </w:rPr>
        <w:t>µ,, </w:t>
      </w:r>
      <w:r>
        <w:rPr>
          <w:i/>
          <w:spacing w:val="7"/>
          <w:sz w:val="19"/>
        </w:rPr>
        <w:t>dy</w:t>
      </w:r>
    </w:p>
    <w:p>
      <w:pPr>
        <w:spacing w:before="7"/>
        <w:ind w:left="0" w:right="1363" w:firstLine="0"/>
        <w:jc w:val="center"/>
        <w:rPr>
          <w:b/>
          <w:sz w:val="12"/>
        </w:rPr>
      </w:pPr>
      <w:r>
        <w:rPr>
          <w:b/>
          <w:w w:val="119"/>
          <w:sz w:val="12"/>
        </w:rPr>
        <w:t>z</w:t>
      </w:r>
    </w:p>
    <w:p>
      <w:pPr>
        <w:pStyle w:val="BodyText"/>
        <w:spacing w:before="8"/>
        <w:rPr>
          <w:b/>
          <w:sz w:val="13"/>
        </w:rPr>
      </w:pPr>
    </w:p>
    <w:p>
      <w:pPr>
        <w:spacing w:line="238" w:lineRule="exact" w:before="0"/>
        <w:ind w:left="139" w:right="142" w:firstLine="3"/>
        <w:jc w:val="left"/>
        <w:rPr>
          <w:sz w:val="21"/>
        </w:rPr>
      </w:pPr>
      <w:r>
        <w:rPr>
          <w:sz w:val="21"/>
        </w:rPr>
        <w:t>represents the number of years lived by the whole group subsequent to attaining age </w:t>
      </w:r>
      <w:r>
        <w:rPr>
          <w:i/>
          <w:sz w:val="21"/>
        </w:rPr>
        <w:t>x. </w:t>
      </w:r>
      <w:r>
        <w:rPr>
          <w:sz w:val="21"/>
        </w:rPr>
        <w:t>Using the formulas just  listed, we   find</w:t>
      </w:r>
    </w:p>
    <w:p>
      <w:pPr>
        <w:pStyle w:val="BodyText"/>
        <w:spacing w:before="3"/>
        <w:rPr>
          <w:sz w:val="22"/>
        </w:rPr>
      </w:pPr>
    </w:p>
    <w:p>
      <w:pPr>
        <w:spacing w:line="278" w:lineRule="exact" w:before="0"/>
        <w:ind w:left="139" w:right="0" w:firstLine="0"/>
        <w:jc w:val="left"/>
        <w:rPr>
          <w:i/>
          <w:sz w:val="20"/>
        </w:rPr>
      </w:pPr>
      <w:r>
        <w:rPr>
          <w:i/>
          <w:w w:val="89"/>
          <w:sz w:val="23"/>
        </w:rPr>
        <w:t>f</w:t>
      </w:r>
      <w:r>
        <w:rPr>
          <w:i/>
          <w:sz w:val="23"/>
        </w:rPr>
        <w:t> </w:t>
      </w:r>
      <w:r>
        <w:rPr>
          <w:i/>
          <w:spacing w:val="-14"/>
          <w:sz w:val="23"/>
        </w:rPr>
        <w:t> </w:t>
      </w:r>
      <w:r>
        <w:rPr>
          <w:rFonts w:ascii="Arial" w:hAnsi="Arial"/>
          <w:w w:val="76"/>
          <w:sz w:val="8"/>
        </w:rPr>
        <w:t>OIJ</w:t>
      </w:r>
      <w:r>
        <w:rPr>
          <w:rFonts w:ascii="Arial" w:hAnsi="Arial"/>
          <w:sz w:val="8"/>
        </w:rPr>
        <w:t>  </w:t>
      </w:r>
      <w:r>
        <w:rPr>
          <w:rFonts w:ascii="Arial" w:hAnsi="Arial"/>
          <w:spacing w:val="10"/>
          <w:sz w:val="8"/>
        </w:rPr>
        <w:t> </w:t>
      </w:r>
      <w:r>
        <w:rPr>
          <w:rFonts w:ascii="Arial" w:hAnsi="Arial"/>
          <w:w w:val="264"/>
          <w:sz w:val="8"/>
        </w:rPr>
        <w:t>(</w:t>
      </w:r>
      <w:r>
        <w:rPr>
          <w:rFonts w:ascii="Arial" w:hAnsi="Arial"/>
          <w:spacing w:val="-14"/>
          <w:sz w:val="8"/>
        </w:rPr>
        <w:t> </w:t>
      </w:r>
      <w:r>
        <w:rPr>
          <w:i/>
          <w:w w:val="78"/>
          <w:sz w:val="20"/>
        </w:rPr>
        <w:t>Y</w:t>
      </w:r>
      <w:r>
        <w:rPr>
          <w:i/>
          <w:sz w:val="20"/>
        </w:rPr>
        <w:t> </w:t>
      </w:r>
      <w:r>
        <w:rPr>
          <w:i/>
          <w:spacing w:val="6"/>
          <w:sz w:val="20"/>
        </w:rPr>
        <w:t> </w:t>
      </w:r>
      <w:r>
        <w:rPr>
          <w:w w:val="267"/>
          <w:sz w:val="20"/>
        </w:rPr>
        <w:t>-</w:t>
      </w:r>
      <w:r>
        <w:rPr>
          <w:spacing w:val="5"/>
          <w:sz w:val="20"/>
        </w:rPr>
        <w:t> </w:t>
      </w:r>
      <w:r>
        <w:rPr>
          <w:i/>
          <w:w w:val="57"/>
          <w:sz w:val="20"/>
        </w:rPr>
        <w:t>X</w:t>
      </w:r>
      <w:r>
        <w:rPr>
          <w:i/>
          <w:spacing w:val="1"/>
          <w:sz w:val="20"/>
        </w:rPr>
        <w:t> </w:t>
      </w:r>
      <w:r>
        <w:rPr>
          <w:i/>
          <w:w w:val="69"/>
          <w:sz w:val="20"/>
        </w:rPr>
        <w:t>)</w:t>
      </w:r>
      <w:r>
        <w:rPr>
          <w:i/>
          <w:spacing w:val="-14"/>
          <w:sz w:val="20"/>
        </w:rPr>
        <w:t> </w:t>
      </w:r>
      <w:r>
        <w:rPr>
          <w:i/>
          <w:w w:val="44"/>
          <w:sz w:val="20"/>
        </w:rPr>
        <w:t>l11P.11</w:t>
      </w:r>
      <w:r>
        <w:rPr>
          <w:i/>
          <w:spacing w:val="20"/>
          <w:sz w:val="20"/>
        </w:rPr>
        <w:t> </w:t>
      </w:r>
      <w:r>
        <w:rPr>
          <w:i/>
          <w:spacing w:val="14"/>
          <w:w w:val="87"/>
          <w:sz w:val="19"/>
        </w:rPr>
        <w:t>d</w:t>
      </w:r>
      <w:r>
        <w:rPr>
          <w:i/>
          <w:w w:val="92"/>
          <w:sz w:val="19"/>
        </w:rPr>
        <w:t>y</w:t>
      </w:r>
      <w:r>
        <w:rPr>
          <w:i/>
          <w:sz w:val="19"/>
        </w:rPr>
        <w:t>  </w:t>
      </w:r>
      <w:r>
        <w:rPr>
          <w:i/>
          <w:spacing w:val="-20"/>
          <w:sz w:val="19"/>
        </w:rPr>
        <w:t> </w:t>
      </w:r>
      <w:r>
        <w:rPr>
          <w:w w:val="101"/>
          <w:sz w:val="23"/>
        </w:rPr>
        <w:t>=</w:t>
      </w:r>
      <w:r>
        <w:rPr>
          <w:sz w:val="23"/>
        </w:rPr>
        <w:t> </w:t>
      </w:r>
      <w:r>
        <w:rPr>
          <w:spacing w:val="-10"/>
          <w:sz w:val="23"/>
        </w:rPr>
        <w:t> </w:t>
      </w:r>
      <w:r>
        <w:rPr>
          <w:i/>
          <w:w w:val="55"/>
          <w:sz w:val="23"/>
        </w:rPr>
        <w:t>lOIJ</w:t>
      </w:r>
      <w:r>
        <w:rPr>
          <w:i/>
          <w:sz w:val="23"/>
        </w:rPr>
        <w:t> </w:t>
      </w:r>
      <w:r>
        <w:rPr>
          <w:i/>
          <w:spacing w:val="-20"/>
          <w:sz w:val="23"/>
        </w:rPr>
        <w:t> </w:t>
      </w:r>
      <w:r>
        <w:rPr>
          <w:w w:val="84"/>
          <w:sz w:val="23"/>
        </w:rPr>
        <w:t>(</w:t>
      </w:r>
      <w:r>
        <w:rPr>
          <w:spacing w:val="-40"/>
          <w:sz w:val="23"/>
        </w:rPr>
        <w:t> </w:t>
      </w:r>
      <w:r>
        <w:rPr>
          <w:i/>
          <w:w w:val="88"/>
          <w:sz w:val="20"/>
        </w:rPr>
        <w:t>yl</w:t>
      </w:r>
      <w:r>
        <w:rPr>
          <w:i/>
          <w:spacing w:val="-20"/>
          <w:sz w:val="20"/>
        </w:rPr>
        <w:t> </w:t>
      </w:r>
      <w:r>
        <w:rPr>
          <w:rFonts w:ascii="Arial" w:hAnsi="Arial"/>
          <w:i/>
          <w:w w:val="62"/>
          <w:position w:val="-4"/>
          <w:sz w:val="10"/>
        </w:rPr>
        <w:t>1</w:t>
      </w:r>
      <w:r>
        <w:rPr>
          <w:rFonts w:ascii="Arial" w:hAnsi="Arial"/>
          <w:i/>
          <w:spacing w:val="-9"/>
          <w:w w:val="62"/>
          <w:position w:val="-4"/>
          <w:sz w:val="10"/>
        </w:rPr>
        <w:t>1</w:t>
      </w:r>
      <w:r>
        <w:rPr>
          <w:rFonts w:ascii="Arial" w:hAnsi="Arial"/>
          <w:i/>
          <w:w w:val="74"/>
          <w:sz w:val="16"/>
        </w:rPr>
        <w:t>µ</w:t>
      </w:r>
      <w:r>
        <w:rPr>
          <w:rFonts w:ascii="Arial" w:hAnsi="Arial"/>
          <w:i/>
          <w:spacing w:val="2"/>
          <w:w w:val="74"/>
          <w:sz w:val="16"/>
        </w:rPr>
        <w:t>.</w:t>
      </w:r>
      <w:r>
        <w:rPr>
          <w:i/>
          <w:w w:val="32"/>
          <w:position w:val="-4"/>
          <w:sz w:val="20"/>
        </w:rPr>
        <w:t>11</w:t>
      </w:r>
      <w:r>
        <w:rPr>
          <w:i/>
          <w:position w:val="-4"/>
          <w:sz w:val="20"/>
        </w:rPr>
        <w:t> </w:t>
      </w:r>
      <w:r>
        <w:rPr>
          <w:i/>
          <w:spacing w:val="-6"/>
          <w:position w:val="-4"/>
          <w:sz w:val="20"/>
        </w:rPr>
        <w:t> </w:t>
      </w:r>
      <w:r>
        <w:rPr>
          <w:w w:val="274"/>
          <w:sz w:val="20"/>
        </w:rPr>
        <w:t>-</w:t>
      </w:r>
      <w:r>
        <w:rPr>
          <w:spacing w:val="4"/>
          <w:sz w:val="20"/>
        </w:rPr>
        <w:t> </w:t>
      </w:r>
      <w:r>
        <w:rPr>
          <w:i/>
          <w:w w:val="72"/>
          <w:sz w:val="20"/>
        </w:rPr>
        <w:t>Xl</w:t>
      </w:r>
      <w:r>
        <w:rPr>
          <w:i/>
          <w:spacing w:val="-25"/>
          <w:sz w:val="20"/>
        </w:rPr>
        <w:t> </w:t>
      </w:r>
      <w:r>
        <w:rPr>
          <w:rFonts w:ascii="Arial" w:hAnsi="Arial"/>
          <w:i/>
          <w:w w:val="62"/>
          <w:position w:val="-4"/>
          <w:sz w:val="10"/>
        </w:rPr>
        <w:t>1</w:t>
      </w:r>
      <w:r>
        <w:rPr>
          <w:rFonts w:ascii="Arial" w:hAnsi="Arial"/>
          <w:i/>
          <w:spacing w:val="-6"/>
          <w:w w:val="62"/>
          <w:position w:val="-4"/>
          <w:sz w:val="10"/>
        </w:rPr>
        <w:t>1</w:t>
      </w:r>
      <w:r>
        <w:rPr>
          <w:rFonts w:ascii="Arial" w:hAnsi="Arial"/>
          <w:i/>
          <w:w w:val="87"/>
          <w:sz w:val="19"/>
        </w:rPr>
        <w:t>"1</w:t>
      </w:r>
      <w:r>
        <w:rPr>
          <w:rFonts w:ascii="Arial" w:hAnsi="Arial"/>
          <w:i/>
          <w:spacing w:val="-8"/>
          <w:w w:val="87"/>
          <w:sz w:val="19"/>
        </w:rPr>
        <w:t>,</w:t>
      </w:r>
      <w:r>
        <w:rPr>
          <w:rFonts w:ascii="Arial" w:hAnsi="Arial"/>
          <w:i/>
          <w:w w:val="78"/>
          <w:sz w:val="19"/>
        </w:rPr>
        <w:t>)</w:t>
      </w:r>
      <w:r>
        <w:rPr>
          <w:rFonts w:ascii="Arial" w:hAnsi="Arial"/>
          <w:i/>
          <w:sz w:val="19"/>
        </w:rPr>
        <w:t> </w:t>
      </w:r>
      <w:r>
        <w:rPr>
          <w:rFonts w:ascii="Arial" w:hAnsi="Arial"/>
          <w:i/>
          <w:spacing w:val="-16"/>
          <w:sz w:val="19"/>
        </w:rPr>
        <w:t> </w:t>
      </w:r>
      <w:r>
        <w:rPr>
          <w:i/>
          <w:spacing w:val="15"/>
          <w:w w:val="85"/>
          <w:sz w:val="20"/>
        </w:rPr>
        <w:t>d</w:t>
      </w:r>
      <w:r>
        <w:rPr>
          <w:i/>
          <w:w w:val="87"/>
          <w:sz w:val="20"/>
        </w:rPr>
        <w:t>y</w:t>
      </w:r>
    </w:p>
    <w:p>
      <w:pPr>
        <w:tabs>
          <w:tab w:pos="2155" w:val="left" w:leader="none"/>
        </w:tabs>
        <w:spacing w:line="109" w:lineRule="exact" w:before="0"/>
        <w:ind w:left="225" w:right="0" w:firstLine="0"/>
        <w:jc w:val="left"/>
        <w:rPr>
          <w:sz w:val="13"/>
        </w:rPr>
      </w:pPr>
      <w:r>
        <w:rPr>
          <w:w w:val="110"/>
          <w:sz w:val="8"/>
        </w:rPr>
        <w:t>%</w:t>
        <w:tab/>
      </w:r>
      <w:r>
        <w:rPr>
          <w:w w:val="110"/>
          <w:sz w:val="13"/>
        </w:rPr>
        <w:t>z</w:t>
      </w:r>
    </w:p>
    <w:p>
      <w:pPr>
        <w:spacing w:line="404" w:lineRule="exact" w:before="0"/>
        <w:ind w:left="0" w:right="113" w:firstLine="0"/>
        <w:jc w:val="right"/>
        <w:rPr>
          <w:i/>
          <w:sz w:val="21"/>
        </w:rPr>
      </w:pPr>
      <w:r>
        <w:rPr>
          <w:w w:val="97"/>
          <w:sz w:val="24"/>
        </w:rPr>
        <w:t>=</w:t>
      </w:r>
      <w:r>
        <w:rPr>
          <w:sz w:val="24"/>
        </w:rPr>
        <w:t> </w:t>
      </w:r>
      <w:r>
        <w:rPr>
          <w:spacing w:val="-12"/>
          <w:sz w:val="24"/>
        </w:rPr>
        <w:t> </w:t>
      </w:r>
      <w:r>
        <w:rPr>
          <w:rFonts w:ascii="Arial"/>
          <w:i/>
          <w:w w:val="53"/>
          <w:sz w:val="20"/>
        </w:rPr>
        <w:t>[</w:t>
      </w:r>
      <w:r>
        <w:rPr>
          <w:rFonts w:ascii="Arial"/>
          <w:i/>
          <w:spacing w:val="-10"/>
          <w:sz w:val="20"/>
        </w:rPr>
        <w:t> </w:t>
      </w:r>
      <w:r>
        <w:rPr>
          <w:rFonts w:ascii="Arial"/>
          <w:i/>
          <w:w w:val="151"/>
          <w:sz w:val="20"/>
        </w:rPr>
        <w:t>-y</w:t>
      </w:r>
      <w:r>
        <w:rPr>
          <w:rFonts w:ascii="Arial"/>
          <w:i/>
          <w:spacing w:val="10"/>
          <w:w w:val="151"/>
          <w:sz w:val="20"/>
        </w:rPr>
        <w:t>l</w:t>
      </w:r>
      <w:r>
        <w:rPr>
          <w:i/>
          <w:w w:val="59"/>
          <w:position w:val="-2"/>
          <w:sz w:val="11"/>
        </w:rPr>
        <w:t>11</w:t>
      </w:r>
      <w:r>
        <w:rPr>
          <w:i/>
          <w:position w:val="-2"/>
          <w:sz w:val="11"/>
        </w:rPr>
        <w:t>  </w:t>
      </w:r>
      <w:r>
        <w:rPr>
          <w:i/>
          <w:spacing w:val="11"/>
          <w:position w:val="-2"/>
          <w:sz w:val="11"/>
        </w:rPr>
        <w:t> </w:t>
      </w:r>
      <w:r>
        <w:rPr>
          <w:w w:val="501"/>
          <w:sz w:val="11"/>
        </w:rPr>
        <w:t>-</w:t>
      </w:r>
      <w:r>
        <w:rPr>
          <w:sz w:val="11"/>
        </w:rPr>
        <w:t>  </w:t>
      </w:r>
      <w:r>
        <w:rPr>
          <w:spacing w:val="-11"/>
          <w:sz w:val="11"/>
        </w:rPr>
        <w:t> </w:t>
      </w:r>
      <w:r>
        <w:rPr>
          <w:i/>
          <w:w w:val="100"/>
          <w:sz w:val="21"/>
        </w:rPr>
        <w:t>T,,</w:t>
      </w:r>
      <w:r>
        <w:rPr>
          <w:i/>
          <w:sz w:val="21"/>
        </w:rPr>
        <w:t> </w:t>
      </w:r>
      <w:r>
        <w:rPr>
          <w:w w:val="102"/>
          <w:sz w:val="28"/>
        </w:rPr>
        <w:t>+</w:t>
      </w:r>
      <w:r>
        <w:rPr>
          <w:spacing w:val="12"/>
          <w:sz w:val="28"/>
        </w:rPr>
        <w:t> </w:t>
      </w:r>
      <w:r>
        <w:rPr>
          <w:rFonts w:ascii="Arial"/>
          <w:i/>
          <w:w w:val="101"/>
          <w:sz w:val="19"/>
        </w:rPr>
        <w:t>x</w:t>
      </w:r>
      <w:r>
        <w:rPr>
          <w:rFonts w:ascii="Arial"/>
          <w:i/>
          <w:spacing w:val="14"/>
          <w:w w:val="101"/>
          <w:sz w:val="19"/>
        </w:rPr>
        <w:t>l</w:t>
      </w:r>
      <w:r>
        <w:rPr>
          <w:i/>
          <w:w w:val="67"/>
          <w:position w:val="-2"/>
          <w:sz w:val="11"/>
        </w:rPr>
        <w:t>1</w:t>
      </w:r>
      <w:r>
        <w:rPr>
          <w:i/>
          <w:spacing w:val="-6"/>
          <w:w w:val="67"/>
          <w:position w:val="-2"/>
          <w:sz w:val="11"/>
        </w:rPr>
        <w:t>1</w:t>
      </w:r>
      <w:r>
        <w:rPr>
          <w:rFonts w:ascii="Arial"/>
          <w:i/>
          <w:w w:val="53"/>
          <w:sz w:val="36"/>
        </w:rPr>
        <w:t>J:=:</w:t>
      </w:r>
      <w:r>
        <w:rPr>
          <w:rFonts w:ascii="Arial"/>
          <w:i/>
          <w:spacing w:val="6"/>
          <w:sz w:val="36"/>
        </w:rPr>
        <w:t> </w:t>
      </w:r>
      <w:r>
        <w:rPr>
          <w:w w:val="94"/>
          <w:sz w:val="24"/>
        </w:rPr>
        <w:t>=</w:t>
      </w:r>
      <w:r>
        <w:rPr>
          <w:sz w:val="24"/>
        </w:rPr>
        <w:t> </w:t>
      </w:r>
      <w:r>
        <w:rPr>
          <w:spacing w:val="-18"/>
          <w:sz w:val="24"/>
        </w:rPr>
        <w:t> </w:t>
      </w:r>
      <w:r>
        <w:rPr>
          <w:rFonts w:ascii="Arial"/>
          <w:i/>
          <w:w w:val="89"/>
          <w:sz w:val="19"/>
        </w:rPr>
        <w:t>xlz</w:t>
      </w:r>
      <w:r>
        <w:rPr>
          <w:rFonts w:ascii="Arial"/>
          <w:i/>
          <w:sz w:val="19"/>
        </w:rPr>
        <w:t> </w:t>
      </w:r>
      <w:r>
        <w:rPr>
          <w:rFonts w:ascii="Arial"/>
          <w:i/>
          <w:spacing w:val="-9"/>
          <w:sz w:val="19"/>
        </w:rPr>
        <w:t> </w:t>
      </w:r>
      <w:r>
        <w:rPr>
          <w:w w:val="102"/>
          <w:sz w:val="28"/>
        </w:rPr>
        <w:t>+</w:t>
      </w:r>
      <w:r>
        <w:rPr>
          <w:spacing w:val="34"/>
          <w:sz w:val="28"/>
        </w:rPr>
        <w:t> </w:t>
      </w:r>
      <w:r>
        <w:rPr>
          <w:rFonts w:ascii="Arial"/>
          <w:i/>
          <w:w w:val="62"/>
          <w:sz w:val="23"/>
        </w:rPr>
        <w:t>T:i:</w:t>
      </w:r>
      <w:r>
        <w:rPr>
          <w:rFonts w:ascii="Arial"/>
          <w:i/>
          <w:spacing w:val="23"/>
          <w:sz w:val="23"/>
        </w:rPr>
        <w:t> </w:t>
      </w:r>
      <w:r>
        <w:rPr>
          <w:rFonts w:ascii="Arial"/>
          <w:w w:val="216"/>
          <w:sz w:val="23"/>
        </w:rPr>
        <w:t>-</w:t>
      </w:r>
      <w:r>
        <w:rPr>
          <w:rFonts w:ascii="Arial"/>
          <w:sz w:val="23"/>
        </w:rPr>
        <w:t> </w:t>
      </w:r>
      <w:r>
        <w:rPr>
          <w:rFonts w:ascii="Arial"/>
          <w:i/>
          <w:w w:val="75"/>
          <w:sz w:val="19"/>
        </w:rPr>
        <w:t>xl:i:</w:t>
      </w:r>
      <w:r>
        <w:rPr>
          <w:rFonts w:ascii="Arial"/>
          <w:i/>
          <w:sz w:val="19"/>
        </w:rPr>
        <w:t> </w:t>
      </w:r>
      <w:r>
        <w:rPr>
          <w:rFonts w:ascii="Arial"/>
          <w:i/>
          <w:spacing w:val="2"/>
          <w:sz w:val="19"/>
        </w:rPr>
        <w:t> </w:t>
      </w:r>
      <w:r>
        <w:rPr>
          <w:w w:val="94"/>
          <w:sz w:val="24"/>
        </w:rPr>
        <w:t>=</w:t>
      </w:r>
      <w:r>
        <w:rPr>
          <w:sz w:val="24"/>
        </w:rPr>
        <w:t>  </w:t>
      </w:r>
      <w:r>
        <w:rPr>
          <w:i/>
          <w:w w:val="98"/>
          <w:sz w:val="21"/>
        </w:rPr>
        <w:t>Tz</w:t>
      </w:r>
      <w:r>
        <w:rPr>
          <w:i/>
          <w:spacing w:val="6"/>
          <w:sz w:val="21"/>
        </w:rPr>
        <w:t> </w:t>
      </w:r>
      <w:r>
        <w:rPr>
          <w:i/>
          <w:w w:val="119"/>
          <w:sz w:val="21"/>
        </w:rPr>
        <w:t>.</w:t>
      </w:r>
    </w:p>
    <w:p>
      <w:pPr>
        <w:spacing w:line="151" w:lineRule="auto" w:before="192"/>
        <w:ind w:left="132" w:right="144" w:firstLine="198"/>
        <w:jc w:val="both"/>
        <w:rPr>
          <w:sz w:val="21"/>
        </w:rPr>
      </w:pPr>
      <w:r>
        <w:rPr>
          <w:sz w:val="21"/>
        </w:rPr>
        <w:t>The definition of </w:t>
      </w:r>
      <w:r>
        <w:rPr>
          <w:i/>
          <w:sz w:val="21"/>
        </w:rPr>
        <w:t>Lx </w:t>
      </w:r>
      <w:r>
        <w:rPr>
          <w:sz w:val="21"/>
        </w:rPr>
        <w:t>shqws that it represents the mean  value of the function </w:t>
      </w:r>
      <w:r>
        <w:rPr>
          <w:i/>
          <w:sz w:val="21"/>
        </w:rPr>
        <w:t>l,, </w:t>
      </w:r>
      <w:r>
        <w:rPr>
          <w:sz w:val="21"/>
        </w:rPr>
        <w:t>between </w:t>
      </w:r>
      <w:r>
        <w:rPr>
          <w:i/>
          <w:sz w:val="20"/>
        </w:rPr>
        <w:t>x </w:t>
      </w:r>
      <w:r>
        <w:rPr>
          <w:sz w:val="21"/>
        </w:rPr>
        <w:t>and </w:t>
      </w:r>
      <w:r>
        <w:rPr>
          <w:i/>
          <w:sz w:val="20"/>
        </w:rPr>
        <w:t>x </w:t>
      </w:r>
      <w:r>
        <w:rPr>
          <w:rFonts w:ascii="Arial"/>
          <w:sz w:val="31"/>
        </w:rPr>
        <w:t>+ </w:t>
      </w:r>
      <w:r>
        <w:rPr>
          <w:sz w:val="21"/>
        </w:rPr>
        <w:t>1. By  changing the upper  limit of  integration  to </w:t>
      </w:r>
      <w:r>
        <w:rPr>
          <w:rFonts w:ascii="Arial"/>
          <w:i/>
          <w:sz w:val="18"/>
        </w:rPr>
        <w:t>x  </w:t>
      </w:r>
      <w:r>
        <w:rPr>
          <w:rFonts w:ascii="Arial"/>
          <w:sz w:val="31"/>
        </w:rPr>
        <w:t>+ </w:t>
      </w:r>
      <w:r>
        <w:rPr>
          <w:sz w:val="21"/>
        </w:rPr>
        <w:t>1 in the above integrals,  it can  be  seen that</w:t>
      </w:r>
    </w:p>
    <w:p>
      <w:pPr>
        <w:spacing w:line="196" w:lineRule="exact" w:before="0"/>
        <w:ind w:left="0" w:right="147" w:firstLine="0"/>
        <w:jc w:val="right"/>
        <w:rPr>
          <w:sz w:val="21"/>
        </w:rPr>
      </w:pPr>
      <w:r>
        <w:rPr>
          <w:rFonts w:ascii="Arial"/>
          <w:i/>
          <w:sz w:val="19"/>
        </w:rPr>
        <w:t>L:i: </w:t>
      </w:r>
      <w:r>
        <w:rPr>
          <w:sz w:val="21"/>
        </w:rPr>
        <w:t>also represents  the number  of  years  lived  between  ages </w:t>
      </w:r>
      <w:r>
        <w:rPr>
          <w:rFonts w:ascii="Arial"/>
          <w:i/>
          <w:sz w:val="17"/>
        </w:rPr>
        <w:t>x </w:t>
      </w:r>
      <w:r>
        <w:rPr>
          <w:sz w:val="21"/>
        </w:rPr>
        <w:t>and</w:t>
      </w:r>
    </w:p>
    <w:p>
      <w:pPr>
        <w:spacing w:line="297" w:lineRule="exact" w:before="0"/>
        <w:ind w:left="135" w:right="0" w:firstLine="0"/>
        <w:jc w:val="left"/>
        <w:rPr>
          <w:i/>
          <w:sz w:val="21"/>
        </w:rPr>
      </w:pPr>
      <w:r>
        <w:rPr>
          <w:i/>
          <w:sz w:val="21"/>
        </w:rPr>
        <w:t>x  </w:t>
      </w:r>
      <w:r>
        <w:rPr>
          <w:rFonts w:ascii="Arial"/>
          <w:sz w:val="31"/>
        </w:rPr>
        <w:t>+ </w:t>
      </w:r>
      <w:r>
        <w:rPr>
          <w:sz w:val="21"/>
        </w:rPr>
        <w:t>1 by  the </w:t>
      </w:r>
      <w:r>
        <w:rPr>
          <w:i/>
          <w:sz w:val="20"/>
        </w:rPr>
        <w:t>lz </w:t>
      </w:r>
      <w:r>
        <w:rPr>
          <w:sz w:val="21"/>
        </w:rPr>
        <w:t>lives which  survive to  age </w:t>
      </w:r>
      <w:r>
        <w:rPr>
          <w:i/>
          <w:sz w:val="21"/>
        </w:rPr>
        <w:t>x.</w:t>
      </w:r>
    </w:p>
    <w:p>
      <w:pPr>
        <w:spacing w:line="232" w:lineRule="auto" w:before="0"/>
        <w:ind w:left="146" w:right="130" w:firstLine="201"/>
        <w:jc w:val="both"/>
        <w:rPr>
          <w:i/>
          <w:sz w:val="19"/>
        </w:rPr>
      </w:pPr>
      <w:r>
        <w:rPr>
          <w:i/>
          <w:w w:val="90"/>
          <w:sz w:val="21"/>
        </w:rPr>
        <w:t>T</w:t>
      </w:r>
      <w:r>
        <w:rPr>
          <w:i/>
          <w:w w:val="90"/>
          <w:sz w:val="9"/>
        </w:rPr>
        <w:t>:i: </w:t>
      </w:r>
      <w:r>
        <w:rPr>
          <w:w w:val="102"/>
          <w:sz w:val="21"/>
        </w:rPr>
        <w:t>may </w:t>
      </w:r>
      <w:r>
        <w:rPr>
          <w:w w:val="96"/>
          <w:sz w:val="21"/>
        </w:rPr>
        <w:t>also </w:t>
      </w:r>
      <w:r>
        <w:rPr>
          <w:w w:val="96"/>
          <w:sz w:val="21"/>
        </w:rPr>
        <w:t>be </w:t>
      </w:r>
      <w:r>
        <w:rPr>
          <w:w w:val="97"/>
          <w:sz w:val="21"/>
        </w:rPr>
        <w:t>described </w:t>
      </w:r>
      <w:r>
        <w:rPr>
          <w:w w:val="105"/>
          <w:sz w:val="21"/>
        </w:rPr>
        <w:t>as </w:t>
      </w:r>
      <w:r>
        <w:rPr>
          <w:w w:val="106"/>
          <w:sz w:val="21"/>
        </w:rPr>
        <w:t>the </w:t>
      </w:r>
      <w:r>
        <w:rPr>
          <w:w w:val="107"/>
          <w:sz w:val="21"/>
        </w:rPr>
        <w:t>total </w:t>
      </w:r>
      <w:r>
        <w:rPr>
          <w:w w:val="103"/>
          <w:sz w:val="21"/>
        </w:rPr>
        <w:t>future </w:t>
      </w:r>
      <w:r>
        <w:rPr>
          <w:w w:val="97"/>
          <w:sz w:val="21"/>
        </w:rPr>
        <w:t>lifetime </w:t>
      </w:r>
      <w:r>
        <w:rPr>
          <w:w w:val="85"/>
          <w:sz w:val="21"/>
        </w:rPr>
        <w:t>of </w:t>
      </w:r>
      <w:r>
        <w:rPr>
          <w:w w:val="104"/>
          <w:sz w:val="21"/>
        </w:rPr>
        <w:t>the </w:t>
      </w:r>
      <w:r>
        <w:rPr>
          <w:rFonts w:ascii="Arial"/>
          <w:i/>
          <w:w w:val="60"/>
          <w:sz w:val="19"/>
        </w:rPr>
        <w:t>l:i: </w:t>
      </w:r>
      <w:r>
        <w:rPr>
          <w:w w:val="97"/>
          <w:sz w:val="21"/>
        </w:rPr>
        <w:t>lives </w:t>
      </w:r>
      <w:r>
        <w:rPr>
          <w:sz w:val="21"/>
        </w:rPr>
        <w:t>which survive to age </w:t>
      </w:r>
      <w:r>
        <w:rPr>
          <w:i/>
          <w:sz w:val="21"/>
        </w:rPr>
        <w:t>x. </w:t>
      </w:r>
      <w:r>
        <w:rPr>
          <w:sz w:val="21"/>
        </w:rPr>
        <w:t>Then </w:t>
      </w:r>
      <w:r>
        <w:rPr>
          <w:i/>
          <w:sz w:val="22"/>
        </w:rPr>
        <w:t>Yz. , </w:t>
      </w:r>
      <w:r>
        <w:rPr>
          <w:sz w:val="21"/>
        </w:rPr>
        <w:t>as defined by (8.3 ), represents the total  future lifetime of  those aged </w:t>
      </w:r>
      <w:r>
        <w:rPr>
          <w:i/>
          <w:sz w:val="19"/>
        </w:rPr>
        <w:t>x  and  over.</w:t>
      </w:r>
    </w:p>
    <w:p>
      <w:pPr>
        <w:spacing w:line="238" w:lineRule="exact" w:before="0"/>
        <w:ind w:left="146" w:right="143" w:firstLine="194"/>
        <w:jc w:val="both"/>
        <w:rPr>
          <w:sz w:val="21"/>
        </w:rPr>
      </w:pPr>
      <w:r>
        <w:rPr>
          <w:sz w:val="21"/>
        </w:rPr>
        <w:t>Numerical values of these functions are usually obtained by using the trapezoidal  rule to compute t.he  integrals:</w:t>
      </w:r>
    </w:p>
    <w:p>
      <w:pPr>
        <w:spacing w:before="176"/>
        <w:ind w:left="0" w:right="147" w:firstLine="0"/>
        <w:jc w:val="right"/>
        <w:rPr>
          <w:rFonts w:ascii="Arial"/>
          <w:sz w:val="18"/>
        </w:rPr>
      </w:pPr>
      <w:r>
        <w:rPr/>
        <w:drawing>
          <wp:anchor distT="0" distB="0" distL="0" distR="0" allowOverlap="1" layoutInCell="1" locked="0" behindDoc="0" simplePos="0" relativeHeight="13984">
            <wp:simplePos x="0" y="0"/>
            <wp:positionH relativeFrom="page">
              <wp:posOffset>1426463</wp:posOffset>
            </wp:positionH>
            <wp:positionV relativeFrom="paragraph">
              <wp:posOffset>122960</wp:posOffset>
            </wp:positionV>
            <wp:extent cx="1700783" cy="128015"/>
            <wp:effectExtent l="0" t="0" r="0" b="0"/>
            <wp:wrapNone/>
            <wp:docPr id="351" name="image181.png" descr=""/>
            <wp:cNvGraphicFramePr>
              <a:graphicFrameLocks noChangeAspect="1"/>
            </wp:cNvGraphicFramePr>
            <a:graphic>
              <a:graphicData uri="http://schemas.openxmlformats.org/drawingml/2006/picture">
                <pic:pic>
                  <pic:nvPicPr>
                    <pic:cNvPr id="352" name="image181.png"/>
                    <pic:cNvPicPr/>
                  </pic:nvPicPr>
                  <pic:blipFill>
                    <a:blip r:embed="rId185" cstate="print"/>
                    <a:stretch>
                      <a:fillRect/>
                    </a:stretch>
                  </pic:blipFill>
                  <pic:spPr>
                    <a:xfrm>
                      <a:off x="0" y="0"/>
                      <a:ext cx="1700783" cy="128015"/>
                    </a:xfrm>
                    <a:prstGeom prst="rect">
                      <a:avLst/>
                    </a:prstGeom>
                  </pic:spPr>
                </pic:pic>
              </a:graphicData>
            </a:graphic>
          </wp:anchor>
        </w:drawing>
      </w:r>
      <w:r>
        <w:rPr>
          <w:rFonts w:ascii="Arial"/>
          <w:w w:val="110"/>
          <w:sz w:val="18"/>
        </w:rPr>
        <w:t>(8.4)</w:t>
      </w:r>
    </w:p>
    <w:p>
      <w:pPr>
        <w:spacing w:after="0"/>
        <w:jc w:val="right"/>
        <w:rPr>
          <w:rFonts w:ascii="Arial"/>
          <w:sz w:val="18"/>
        </w:rPr>
        <w:sectPr>
          <w:pgSz w:w="7200" w:h="11340"/>
          <w:pgMar w:top="480" w:bottom="280" w:left="660" w:right="520"/>
        </w:sectPr>
      </w:pPr>
    </w:p>
    <w:p>
      <w:pPr>
        <w:tabs>
          <w:tab w:pos="2096" w:val="left" w:leader="none"/>
          <w:tab w:pos="5344" w:val="left" w:leader="none"/>
        </w:tabs>
        <w:spacing w:before="47"/>
        <w:ind w:left="147" w:right="0" w:firstLine="0"/>
        <w:jc w:val="left"/>
        <w:rPr>
          <w:rFonts w:ascii="Arial"/>
          <w:b/>
          <w:sz w:val="19"/>
        </w:rPr>
      </w:pPr>
      <w:r>
        <w:rPr>
          <w:color w:val="010101"/>
          <w:sz w:val="19"/>
        </w:rPr>
        <w:t>172</w:t>
        <w:tab/>
      </w:r>
      <w:r>
        <w:rPr>
          <w:b/>
          <w:color w:val="010101"/>
          <w:position w:val="1"/>
          <w:sz w:val="15"/>
        </w:rPr>
        <w:t>POPULATION </w:t>
      </w:r>
      <w:r>
        <w:rPr>
          <w:b/>
          <w:color w:val="010101"/>
          <w:spacing w:val="36"/>
          <w:position w:val="1"/>
          <w:sz w:val="15"/>
        </w:rPr>
        <w:t> </w:t>
      </w:r>
      <w:r>
        <w:rPr>
          <w:b/>
          <w:color w:val="010101"/>
          <w:position w:val="1"/>
          <w:sz w:val="15"/>
        </w:rPr>
        <w:t>THEORY</w:t>
        <w:tab/>
      </w:r>
      <w:r>
        <w:rPr>
          <w:b/>
          <w:color w:val="010101"/>
          <w:w w:val="95"/>
          <w:position w:val="1"/>
          <w:sz w:val="19"/>
        </w:rPr>
        <w:t>[CH.</w:t>
      </w:r>
      <w:r>
        <w:rPr>
          <w:b/>
          <w:color w:val="010101"/>
          <w:spacing w:val="7"/>
          <w:w w:val="95"/>
          <w:position w:val="1"/>
          <w:sz w:val="19"/>
        </w:rPr>
        <w:t> </w:t>
      </w:r>
      <w:r>
        <w:rPr>
          <w:rFonts w:ascii="Arial"/>
          <w:b/>
          <w:color w:val="010101"/>
          <w:w w:val="95"/>
          <w:position w:val="1"/>
          <w:sz w:val="19"/>
        </w:rPr>
        <w:t>8</w:t>
      </w:r>
    </w:p>
    <w:p>
      <w:pPr>
        <w:pStyle w:val="BodyText"/>
        <w:rPr>
          <w:rFonts w:ascii="Arial"/>
          <w:b/>
          <w:sz w:val="13"/>
        </w:rPr>
      </w:pPr>
    </w:p>
    <w:p>
      <w:pPr>
        <w:spacing w:after="0"/>
        <w:rPr>
          <w:rFonts w:ascii="Arial"/>
          <w:sz w:val="13"/>
        </w:rPr>
        <w:sectPr>
          <w:pgSz w:w="7200" w:h="11340"/>
          <w:pgMar w:top="520" w:bottom="280" w:left="660" w:right="560"/>
        </w:sectPr>
      </w:pPr>
    </w:p>
    <w:p>
      <w:pPr>
        <w:pStyle w:val="BodyText"/>
        <w:spacing w:before="9"/>
        <w:rPr>
          <w:rFonts w:ascii="Arial"/>
          <w:b/>
          <w:sz w:val="7"/>
        </w:rPr>
      </w:pPr>
    </w:p>
    <w:p>
      <w:pPr>
        <w:spacing w:line="62" w:lineRule="exact" w:before="1"/>
        <w:ind w:left="0" w:right="520" w:firstLine="0"/>
        <w:jc w:val="right"/>
        <w:rPr>
          <w:rFonts w:ascii="Arial"/>
          <w:b/>
          <w:sz w:val="8"/>
        </w:rPr>
      </w:pPr>
      <w:r>
        <w:rPr/>
        <w:pict>
          <v:shape style="position:absolute;margin-left:172.283203pt;margin-top:2.5267pt;width:10.5pt;height:17pt;mso-position-horizontal-relative:page;mso-position-vertical-relative:paragraph;z-index:-721984" type="#_x0000_t202" filled="false" stroked="false">
            <v:textbox inset="0,0,0,0">
              <w:txbxContent>
                <w:p>
                  <w:pPr>
                    <w:spacing w:line="340" w:lineRule="exact" w:before="0"/>
                    <w:ind w:left="0" w:right="0" w:firstLine="0"/>
                    <w:jc w:val="left"/>
                    <w:rPr>
                      <w:b/>
                      <w:i/>
                      <w:sz w:val="34"/>
                    </w:rPr>
                  </w:pPr>
                  <w:r>
                    <w:rPr>
                      <w:b/>
                      <w:i/>
                      <w:color w:val="010101"/>
                      <w:w w:val="100"/>
                      <w:sz w:val="34"/>
                    </w:rPr>
                    <w:t>L</w:t>
                  </w:r>
                </w:p>
              </w:txbxContent>
            </v:textbox>
            <w10:wrap type="none"/>
          </v:shape>
        </w:pict>
      </w:r>
      <w:r>
        <w:rPr>
          <w:rFonts w:ascii="Arial"/>
          <w:b/>
          <w:color w:val="010101"/>
          <w:w w:val="105"/>
          <w:sz w:val="8"/>
        </w:rPr>
        <w:t>00</w:t>
      </w:r>
    </w:p>
    <w:p>
      <w:pPr>
        <w:tabs>
          <w:tab w:pos="2114" w:val="left" w:leader="none"/>
          <w:tab w:pos="3155" w:val="left" w:leader="none"/>
        </w:tabs>
        <w:spacing w:line="292" w:lineRule="exact" w:before="0"/>
        <w:ind w:left="1586" w:right="0" w:firstLine="0"/>
        <w:jc w:val="left"/>
        <w:rPr>
          <w:i/>
          <w:sz w:val="20"/>
        </w:rPr>
      </w:pPr>
      <w:r>
        <w:rPr>
          <w:b/>
          <w:i/>
          <w:color w:val="010101"/>
          <w:sz w:val="21"/>
        </w:rPr>
        <w:t>Tz</w:t>
        <w:tab/>
      </w:r>
      <w:r>
        <w:rPr>
          <w:rFonts w:ascii="Arial"/>
          <w:b/>
          <w:i/>
          <w:color w:val="010101"/>
          <w:sz w:val="19"/>
        </w:rPr>
        <w:t>}lz</w:t>
      </w:r>
      <w:r>
        <w:rPr>
          <w:rFonts w:ascii="Arial"/>
          <w:b/>
          <w:i/>
          <w:color w:val="010101"/>
          <w:spacing w:val="47"/>
          <w:sz w:val="19"/>
        </w:rPr>
        <w:t> </w:t>
      </w:r>
      <w:r>
        <w:rPr>
          <w:rFonts w:ascii="Arial"/>
          <w:color w:val="010101"/>
          <w:sz w:val="31"/>
        </w:rPr>
        <w:t>+</w:t>
        <w:tab/>
      </w:r>
      <w:r>
        <w:rPr>
          <w:i/>
          <w:color w:val="010101"/>
          <w:sz w:val="20"/>
        </w:rPr>
        <w:t>lv</w:t>
      </w:r>
    </w:p>
    <w:p>
      <w:pPr>
        <w:spacing w:line="138" w:lineRule="exact" w:before="0"/>
        <w:ind w:left="0" w:right="360" w:firstLine="0"/>
        <w:jc w:val="right"/>
        <w:rPr>
          <w:rFonts w:ascii="Arial"/>
          <w:b/>
          <w:sz w:val="15"/>
        </w:rPr>
      </w:pPr>
      <w:r>
        <w:rPr/>
        <w:pict>
          <v:shape style="position:absolute;margin-left:179.282196pt;margin-top:9.049891pt;width:6.3pt;height:12pt;mso-position-horizontal-relative:page;mso-position-vertical-relative:paragraph;z-index:-721960" type="#_x0000_t202" filled="false" stroked="false">
            <v:textbox inset="0,0,0,0">
              <w:txbxContent>
                <w:p>
                  <w:pPr>
                    <w:spacing w:line="240" w:lineRule="exact" w:before="0"/>
                    <w:ind w:left="0" w:right="0" w:firstLine="0"/>
                    <w:jc w:val="left"/>
                    <w:rPr>
                      <w:rFonts w:ascii="Arial" w:hAnsi="Arial"/>
                      <w:sz w:val="24"/>
                    </w:rPr>
                  </w:pPr>
                  <w:r>
                    <w:rPr>
                      <w:rFonts w:ascii="Arial" w:hAnsi="Arial"/>
                      <w:color w:val="010101"/>
                      <w:w w:val="148"/>
                      <w:sz w:val="24"/>
                    </w:rPr>
                    <w:t>•</w:t>
                  </w:r>
                </w:p>
              </w:txbxContent>
            </v:textbox>
            <w10:wrap type="none"/>
          </v:shape>
        </w:pict>
      </w:r>
      <w:r>
        <w:rPr>
          <w:rFonts w:ascii="Arial"/>
          <w:b/>
          <w:color w:val="010101"/>
          <w:w w:val="115"/>
          <w:sz w:val="15"/>
        </w:rPr>
        <w:t>r-s+1</w:t>
      </w:r>
    </w:p>
    <w:p>
      <w:pPr>
        <w:spacing w:line="354" w:lineRule="exact" w:before="107"/>
        <w:ind w:left="1590" w:right="-15" w:firstLine="0"/>
        <w:jc w:val="left"/>
        <w:rPr>
          <w:b/>
          <w:i/>
          <w:sz w:val="21"/>
        </w:rPr>
      </w:pPr>
      <w:r>
        <w:rPr>
          <w:b/>
          <w:i/>
          <w:color w:val="010101"/>
          <w:sz w:val="21"/>
        </w:rPr>
        <w:t>Yz  </w:t>
      </w:r>
      <w:r>
        <w:rPr>
          <w:rFonts w:ascii="Arial"/>
          <w:color w:val="010101"/>
          <w:sz w:val="26"/>
        </w:rPr>
        <w:t>=: </w:t>
      </w:r>
      <w:r>
        <w:rPr>
          <w:b/>
          <w:i/>
          <w:color w:val="010101"/>
          <w:sz w:val="21"/>
        </w:rPr>
        <w:t>}Tz  </w:t>
      </w:r>
      <w:r>
        <w:rPr>
          <w:rFonts w:ascii="Arial"/>
          <w:color w:val="010101"/>
          <w:sz w:val="31"/>
        </w:rPr>
        <w:t>+  </w:t>
      </w:r>
      <w:r>
        <w:rPr>
          <w:b/>
          <w:i/>
          <w:color w:val="010101"/>
          <w:sz w:val="34"/>
        </w:rPr>
        <w:t>L</w:t>
      </w:r>
      <w:r>
        <w:rPr>
          <w:b/>
          <w:i/>
          <w:color w:val="010101"/>
          <w:spacing w:val="-19"/>
          <w:sz w:val="34"/>
        </w:rPr>
        <w:t> </w:t>
      </w:r>
      <w:r>
        <w:rPr>
          <w:b/>
          <w:i/>
          <w:color w:val="010101"/>
          <w:sz w:val="21"/>
        </w:rPr>
        <w:t>T,,</w:t>
      </w:r>
    </w:p>
    <w:p>
      <w:pPr>
        <w:spacing w:line="136" w:lineRule="exact" w:before="0"/>
        <w:ind w:left="0" w:right="324" w:firstLine="0"/>
        <w:jc w:val="right"/>
        <w:rPr>
          <w:b/>
          <w:sz w:val="15"/>
        </w:rPr>
      </w:pPr>
      <w:r>
        <w:rPr>
          <w:b/>
          <w:color w:val="010101"/>
          <w:w w:val="155"/>
          <w:sz w:val="15"/>
        </w:rPr>
        <w:t>rs+l</w:t>
      </w:r>
    </w:p>
    <w:p>
      <w:pPr>
        <w:pStyle w:val="BodyText"/>
        <w:spacing w:before="10"/>
        <w:rPr>
          <w:b/>
          <w:sz w:val="18"/>
        </w:rPr>
      </w:pPr>
      <w:r>
        <w:rPr/>
        <w:br w:type="column"/>
      </w:r>
      <w:r>
        <w:rPr>
          <w:b/>
          <w:sz w:val="18"/>
        </w:rPr>
      </w:r>
    </w:p>
    <w:p>
      <w:pPr>
        <w:spacing w:before="0"/>
        <w:ind w:left="0" w:right="127" w:firstLine="0"/>
        <w:jc w:val="right"/>
        <w:rPr>
          <w:rFonts w:ascii="Arial"/>
          <w:sz w:val="19"/>
        </w:rPr>
      </w:pPr>
      <w:r>
        <w:rPr>
          <w:rFonts w:ascii="Arial"/>
          <w:color w:val="010101"/>
          <w:sz w:val="19"/>
        </w:rPr>
        <w:t>(8.5)</w:t>
      </w:r>
    </w:p>
    <w:p>
      <w:pPr>
        <w:pStyle w:val="BodyText"/>
        <w:rPr>
          <w:rFonts w:ascii="Arial"/>
          <w:sz w:val="18"/>
        </w:rPr>
      </w:pPr>
    </w:p>
    <w:p>
      <w:pPr>
        <w:pStyle w:val="BodyText"/>
        <w:spacing w:before="159"/>
        <w:ind w:right="126"/>
        <w:jc w:val="right"/>
      </w:pPr>
      <w:r>
        <w:rPr>
          <w:color w:val="010101"/>
          <w:w w:val="105"/>
        </w:rPr>
        <w:t>(8.6)</w:t>
      </w:r>
    </w:p>
    <w:p>
      <w:pPr>
        <w:spacing w:after="0"/>
        <w:jc w:val="right"/>
        <w:sectPr>
          <w:type w:val="continuous"/>
          <w:pgSz w:w="7200" w:h="11340"/>
          <w:pgMar w:top="1100" w:bottom="0" w:left="660" w:right="560"/>
          <w:cols w:num="2" w:equalWidth="0">
            <w:col w:w="3455" w:space="404"/>
            <w:col w:w="2121"/>
          </w:cols>
        </w:sectPr>
      </w:pPr>
    </w:p>
    <w:p>
      <w:pPr>
        <w:pStyle w:val="BodyText"/>
        <w:spacing w:line="249" w:lineRule="auto" w:before="108"/>
        <w:ind w:left="115" w:right="132" w:hanging="4"/>
        <w:jc w:val="both"/>
        <w:rPr>
          <w:sz w:val="19"/>
        </w:rPr>
      </w:pPr>
      <w:r>
        <w:rPr>
          <w:color w:val="010101"/>
          <w:w w:val="105"/>
        </w:rPr>
        <w:t>Thc trapezoidal rule may not be sufficiently accurate when dealing with </w:t>
      </w:r>
      <w:r>
        <w:rPr>
          <w:color w:val="010101"/>
          <w:w w:val="105"/>
          <w:sz w:val="21"/>
        </w:rPr>
        <w:t>the </w:t>
      </w:r>
      <w:r>
        <w:rPr>
          <w:color w:val="010101"/>
          <w:w w:val="105"/>
        </w:rPr>
        <w:t>values at the extreme ends of the table, and more refined </w:t>
      </w:r>
      <w:r>
        <w:rPr>
          <w:color w:val="010101"/>
          <w:w w:val="105"/>
          <w:sz w:val="19"/>
        </w:rPr>
        <w:t>mct hods </w:t>
      </w:r>
      <w:r>
        <w:rPr>
          <w:color w:val="010101"/>
          <w:w w:val="105"/>
        </w:rPr>
        <w:t>are sometimes </w:t>
      </w:r>
      <w:r>
        <w:rPr>
          <w:color w:val="010101"/>
          <w:w w:val="105"/>
          <w:sz w:val="19"/>
        </w:rPr>
        <w:t>used for </w:t>
      </w:r>
      <w:r>
        <w:rPr>
          <w:color w:val="010101"/>
          <w:w w:val="105"/>
        </w:rPr>
        <w:t>the very low and the very  high </w:t>
      </w:r>
      <w:r>
        <w:rPr>
          <w:color w:val="010101"/>
          <w:w w:val="105"/>
          <w:sz w:val="19"/>
        </w:rPr>
        <w:t>ages.</w:t>
      </w:r>
    </w:p>
    <w:p>
      <w:pPr>
        <w:pStyle w:val="BodyText"/>
        <w:spacing w:before="5"/>
        <w:rPr>
          <w:sz w:val="14"/>
        </w:rPr>
      </w:pPr>
    </w:p>
    <w:p>
      <w:pPr>
        <w:numPr>
          <w:ilvl w:val="0"/>
          <w:numId w:val="78"/>
        </w:numPr>
        <w:tabs>
          <w:tab w:pos="324" w:val="left" w:leader="none"/>
        </w:tabs>
        <w:spacing w:before="0"/>
        <w:ind w:left="323" w:right="0" w:hanging="212"/>
        <w:jc w:val="both"/>
        <w:rPr>
          <w:b/>
          <w:color w:val="010101"/>
          <w:sz w:val="20"/>
        </w:rPr>
      </w:pPr>
      <w:r>
        <w:rPr>
          <w:b/>
          <w:color w:val="010101"/>
          <w:w w:val="115"/>
          <w:sz w:val="20"/>
        </w:rPr>
        <w:t>The central death</w:t>
      </w:r>
      <w:r>
        <w:rPr>
          <w:b/>
          <w:color w:val="010101"/>
          <w:spacing w:val="5"/>
          <w:w w:val="115"/>
          <w:sz w:val="20"/>
        </w:rPr>
        <w:t> </w:t>
      </w:r>
      <w:r>
        <w:rPr>
          <w:b/>
          <w:color w:val="010101"/>
          <w:w w:val="115"/>
          <w:sz w:val="20"/>
        </w:rPr>
        <w:t>rate</w:t>
      </w:r>
    </w:p>
    <w:p>
      <w:pPr>
        <w:spacing w:line="241" w:lineRule="exact" w:before="73"/>
        <w:ind w:left="301" w:right="133" w:firstLine="0"/>
        <w:jc w:val="left"/>
        <w:rPr>
          <w:sz w:val="19"/>
        </w:rPr>
      </w:pPr>
      <w:r>
        <w:rPr>
          <w:color w:val="010101"/>
          <w:sz w:val="20"/>
        </w:rPr>
        <w:t>The ratio of </w:t>
      </w:r>
      <w:r>
        <w:rPr>
          <w:i/>
          <w:color w:val="010101"/>
          <w:sz w:val="21"/>
        </w:rPr>
        <w:t>dz </w:t>
      </w:r>
      <w:r>
        <w:rPr>
          <w:color w:val="010101"/>
          <w:sz w:val="20"/>
        </w:rPr>
        <w:t>to </w:t>
      </w:r>
      <w:r>
        <w:rPr>
          <w:i/>
          <w:color w:val="010101"/>
          <w:sz w:val="21"/>
        </w:rPr>
        <w:t>Lz </w:t>
      </w:r>
      <w:r>
        <w:rPr>
          <w:color w:val="010101"/>
          <w:sz w:val="19"/>
        </w:rPr>
        <w:t>is </w:t>
      </w:r>
      <w:r>
        <w:rPr>
          <w:color w:val="010101"/>
          <w:sz w:val="20"/>
        </w:rPr>
        <w:t>called the </w:t>
      </w:r>
      <w:r>
        <w:rPr>
          <w:i/>
          <w:color w:val="010101"/>
          <w:sz w:val="21"/>
        </w:rPr>
        <w:t>central death rate at age x </w:t>
      </w:r>
      <w:r>
        <w:rPr>
          <w:color w:val="010101"/>
          <w:sz w:val="19"/>
        </w:rPr>
        <w:t>and   is</w:t>
      </w:r>
    </w:p>
    <w:p>
      <w:pPr>
        <w:spacing w:line="241" w:lineRule="exact" w:before="0"/>
        <w:ind w:left="108" w:right="0" w:firstLine="0"/>
        <w:jc w:val="both"/>
        <w:rPr>
          <w:sz w:val="21"/>
        </w:rPr>
      </w:pPr>
      <w:r>
        <w:rPr>
          <w:color w:val="010101"/>
          <w:w w:val="110"/>
          <w:sz w:val="20"/>
        </w:rPr>
        <w:t>denoted </w:t>
      </w:r>
      <w:r>
        <w:rPr>
          <w:color w:val="010101"/>
          <w:w w:val="110"/>
          <w:sz w:val="19"/>
        </w:rPr>
        <w:t>by </w:t>
      </w:r>
      <w:r>
        <w:rPr>
          <w:i/>
          <w:color w:val="010101"/>
          <w:w w:val="110"/>
          <w:sz w:val="21"/>
        </w:rPr>
        <w:t>mz </w:t>
      </w:r>
      <w:r>
        <w:rPr>
          <w:color w:val="010101"/>
          <w:w w:val="110"/>
          <w:sz w:val="21"/>
        </w:rPr>
        <w:t>:</w:t>
      </w:r>
    </w:p>
    <w:p>
      <w:pPr>
        <w:pStyle w:val="BodyText"/>
        <w:spacing w:before="121"/>
        <w:ind w:right="147"/>
        <w:jc w:val="right"/>
        <w:rPr>
          <w:rFonts w:ascii="Arial"/>
          <w:sz w:val="19"/>
        </w:rPr>
      </w:pPr>
      <w:r>
        <w:rPr>
          <w:position w:val="-15"/>
        </w:rPr>
        <w:drawing>
          <wp:inline distT="0" distB="0" distL="0" distR="0">
            <wp:extent cx="548640" cy="274320"/>
            <wp:effectExtent l="0" t="0" r="0" b="0"/>
            <wp:docPr id="353" name="image182.png" descr=""/>
            <wp:cNvGraphicFramePr>
              <a:graphicFrameLocks noChangeAspect="1"/>
            </wp:cNvGraphicFramePr>
            <a:graphic>
              <a:graphicData uri="http://schemas.openxmlformats.org/drawingml/2006/picture">
                <pic:pic>
                  <pic:nvPicPr>
                    <pic:cNvPr id="354" name="image182.png"/>
                    <pic:cNvPicPr/>
                  </pic:nvPicPr>
                  <pic:blipFill>
                    <a:blip r:embed="rId186" cstate="print"/>
                    <a:stretch>
                      <a:fillRect/>
                    </a:stretch>
                  </pic:blipFill>
                  <pic:spPr>
                    <a:xfrm>
                      <a:off x="0" y="0"/>
                      <a:ext cx="548640" cy="274320"/>
                    </a:xfrm>
                    <a:prstGeom prst="rect">
                      <a:avLst/>
                    </a:prstGeom>
                  </pic:spPr>
                </pic:pic>
              </a:graphicData>
            </a:graphic>
          </wp:inline>
        </w:drawing>
      </w:r>
      <w:r>
        <w:rPr>
          <w:position w:val="-15"/>
        </w:rPr>
      </w:r>
      <w:r>
        <w:rPr/>
        <w:t>                                       </w:t>
      </w:r>
      <w:r>
        <w:rPr>
          <w:rFonts w:ascii="Arial"/>
          <w:color w:val="010101"/>
          <w:spacing w:val="-3"/>
          <w:w w:val="105"/>
          <w:sz w:val="19"/>
        </w:rPr>
        <w:t>(8.7)</w:t>
      </w:r>
    </w:p>
    <w:p>
      <w:pPr>
        <w:spacing w:line="132" w:lineRule="auto" w:before="218"/>
        <w:ind w:left="108" w:right="130" w:firstLine="3"/>
        <w:jc w:val="both"/>
        <w:rPr>
          <w:sz w:val="20"/>
        </w:rPr>
      </w:pPr>
      <w:r>
        <w:rPr>
          <w:color w:val="010101"/>
          <w:w w:val="105"/>
          <w:sz w:val="20"/>
        </w:rPr>
        <w:t>It </w:t>
      </w:r>
      <w:r>
        <w:rPr>
          <w:color w:val="010101"/>
          <w:w w:val="105"/>
          <w:sz w:val="19"/>
        </w:rPr>
        <w:t>is known as a </w:t>
      </w:r>
      <w:r>
        <w:rPr>
          <w:color w:val="010101"/>
          <w:w w:val="105"/>
          <w:sz w:val="20"/>
        </w:rPr>
        <w:t>cC'ntral </w:t>
      </w:r>
      <w:r>
        <w:rPr>
          <w:color w:val="010101"/>
          <w:w w:val="105"/>
          <w:sz w:val="19"/>
        </w:rPr>
        <w:t>ru.te since </w:t>
      </w:r>
      <w:r>
        <w:rPr>
          <w:color w:val="010101"/>
          <w:w w:val="105"/>
          <w:sz w:val="20"/>
        </w:rPr>
        <w:t>it relates the number of deaths between  ages </w:t>
      </w:r>
      <w:r>
        <w:rPr>
          <w:i/>
          <w:color w:val="010101"/>
          <w:w w:val="105"/>
          <w:sz w:val="21"/>
        </w:rPr>
        <w:t>x  </w:t>
      </w:r>
      <w:r>
        <w:rPr>
          <w:color w:val="010101"/>
          <w:w w:val="105"/>
          <w:sz w:val="20"/>
        </w:rPr>
        <w:t>and  </w:t>
      </w:r>
      <w:r>
        <w:rPr>
          <w:i/>
          <w:color w:val="010101"/>
          <w:w w:val="105"/>
          <w:sz w:val="21"/>
        </w:rPr>
        <w:t>x  </w:t>
      </w:r>
      <w:r>
        <w:rPr>
          <w:rFonts w:ascii="Arial"/>
          <w:color w:val="010101"/>
          <w:w w:val="105"/>
          <w:sz w:val="32"/>
        </w:rPr>
        <w:t>+ </w:t>
      </w:r>
      <w:r>
        <w:rPr>
          <w:color w:val="010101"/>
          <w:w w:val="105"/>
          <w:sz w:val="20"/>
        </w:rPr>
        <w:t>1 to thc mean  value  of  </w:t>
      </w:r>
      <w:r>
        <w:rPr>
          <w:i/>
          <w:color w:val="010101"/>
          <w:w w:val="105"/>
          <w:sz w:val="20"/>
        </w:rPr>
        <w:t>lz </w:t>
      </w:r>
      <w:r>
        <w:rPr>
          <w:color w:val="010101"/>
          <w:w w:val="105"/>
          <w:sz w:val="20"/>
        </w:rPr>
        <w:t>over that age</w:t>
      </w:r>
    </w:p>
    <w:p>
      <w:pPr>
        <w:pStyle w:val="BodyText"/>
        <w:spacing w:line="229" w:lineRule="exact" w:before="17"/>
        <w:ind w:left="108"/>
        <w:jc w:val="both"/>
      </w:pPr>
      <w:r>
        <w:rPr>
          <w:color w:val="010101"/>
          <w:w w:val="105"/>
        </w:rPr>
        <w:t>interval.</w:t>
      </w:r>
    </w:p>
    <w:p>
      <w:pPr>
        <w:pStyle w:val="BodyText"/>
        <w:spacing w:line="247" w:lineRule="auto"/>
        <w:ind w:left="108" w:right="206" w:firstLine="197"/>
      </w:pPr>
      <w:r>
        <w:rPr>
          <w:color w:val="010101"/>
        </w:rPr>
        <w:t>Evaluating </w:t>
      </w:r>
      <w:r>
        <w:rPr>
          <w:i/>
          <w:color w:val="010101"/>
          <w:sz w:val="21"/>
        </w:rPr>
        <w:t>Lz </w:t>
      </w:r>
      <w:r>
        <w:rPr>
          <w:color w:val="010101"/>
          <w:sz w:val="19"/>
        </w:rPr>
        <w:t>by </w:t>
      </w:r>
      <w:r>
        <w:rPr>
          <w:color w:val="010101"/>
        </w:rPr>
        <w:t>(8.4 ), we havc thc following  formulas connect­  ing </w:t>
      </w:r>
      <w:r>
        <w:rPr>
          <w:i/>
          <w:color w:val="010101"/>
          <w:sz w:val="21"/>
        </w:rPr>
        <w:t>mz </w:t>
      </w:r>
      <w:r>
        <w:rPr>
          <w:color w:val="010101"/>
        </w:rPr>
        <w:t>with </w:t>
      </w:r>
      <w:r>
        <w:rPr>
          <w:i/>
          <w:color w:val="010101"/>
        </w:rPr>
        <w:t>qz </w:t>
      </w:r>
      <w:r>
        <w:rPr>
          <w:color w:val="010101"/>
        </w:rPr>
        <w:t>and </w:t>
      </w:r>
      <w:r>
        <w:rPr>
          <w:i/>
          <w:color w:val="010101"/>
        </w:rPr>
        <w:t>Pz  </w:t>
      </w:r>
      <w:r>
        <w:rPr>
          <w:i/>
          <w:color w:val="010101"/>
          <w:spacing w:val="12"/>
        </w:rPr>
        <w:t> </w:t>
      </w:r>
      <w:r>
        <w:rPr>
          <w:color w:val="010101"/>
        </w:rPr>
        <w:t>:</w:t>
      </w:r>
    </w:p>
    <w:p>
      <w:pPr>
        <w:pStyle w:val="BodyText"/>
        <w:spacing w:before="156"/>
        <w:ind w:right="157"/>
        <w:jc w:val="right"/>
        <w:rPr>
          <w:rFonts w:ascii="Arial"/>
          <w:sz w:val="19"/>
        </w:rPr>
      </w:pPr>
      <w:r>
        <w:rPr>
          <w:position w:val="-17"/>
        </w:rPr>
        <w:drawing>
          <wp:inline distT="0" distB="0" distL="0" distR="0">
            <wp:extent cx="822959" cy="283464"/>
            <wp:effectExtent l="0" t="0" r="0" b="0"/>
            <wp:docPr id="355" name="image183.png" descr=""/>
            <wp:cNvGraphicFramePr>
              <a:graphicFrameLocks noChangeAspect="1"/>
            </wp:cNvGraphicFramePr>
            <a:graphic>
              <a:graphicData uri="http://schemas.openxmlformats.org/drawingml/2006/picture">
                <pic:pic>
                  <pic:nvPicPr>
                    <pic:cNvPr id="356" name="image183.png"/>
                    <pic:cNvPicPr/>
                  </pic:nvPicPr>
                  <pic:blipFill>
                    <a:blip r:embed="rId187" cstate="print"/>
                    <a:stretch>
                      <a:fillRect/>
                    </a:stretch>
                  </pic:blipFill>
                  <pic:spPr>
                    <a:xfrm>
                      <a:off x="0" y="0"/>
                      <a:ext cx="822959" cy="283464"/>
                    </a:xfrm>
                    <a:prstGeom prst="rect">
                      <a:avLst/>
                    </a:prstGeom>
                  </pic:spPr>
                </pic:pic>
              </a:graphicData>
            </a:graphic>
          </wp:inline>
        </w:drawing>
      </w:r>
      <w:r>
        <w:rPr>
          <w:position w:val="-17"/>
        </w:rPr>
      </w:r>
      <w:r>
        <w:rPr>
          <w:position w:val="-17"/>
        </w:rPr>
        <w:t>     </w:t>
      </w:r>
      <w:r>
        <w:rPr>
          <w:position w:val="-17"/>
        </w:rPr>
        <w:drawing>
          <wp:inline distT="0" distB="0" distL="0" distR="0">
            <wp:extent cx="438912" cy="256031"/>
            <wp:effectExtent l="0" t="0" r="0" b="0"/>
            <wp:docPr id="357" name="image184.png" descr=""/>
            <wp:cNvGraphicFramePr>
              <a:graphicFrameLocks noChangeAspect="1"/>
            </wp:cNvGraphicFramePr>
            <a:graphic>
              <a:graphicData uri="http://schemas.openxmlformats.org/drawingml/2006/picture">
                <pic:pic>
                  <pic:nvPicPr>
                    <pic:cNvPr id="358" name="image184.png"/>
                    <pic:cNvPicPr/>
                  </pic:nvPicPr>
                  <pic:blipFill>
                    <a:blip r:embed="rId188" cstate="print"/>
                    <a:stretch>
                      <a:fillRect/>
                    </a:stretch>
                  </pic:blipFill>
                  <pic:spPr>
                    <a:xfrm>
                      <a:off x="0" y="0"/>
                      <a:ext cx="438912" cy="256031"/>
                    </a:xfrm>
                    <a:prstGeom prst="rect">
                      <a:avLst/>
                    </a:prstGeom>
                  </pic:spPr>
                </pic:pic>
              </a:graphicData>
            </a:graphic>
          </wp:inline>
        </w:drawing>
      </w:r>
      <w:r>
        <w:rPr>
          <w:position w:val="-17"/>
        </w:rPr>
      </w:r>
      <w:r>
        <w:rPr/>
        <w:t>                         </w:t>
      </w:r>
      <w:r>
        <w:rPr>
          <w:rFonts w:ascii="Arial"/>
          <w:color w:val="010101"/>
          <w:spacing w:val="-3"/>
          <w:w w:val="105"/>
          <w:sz w:val="19"/>
        </w:rPr>
        <w:t>(8.8)</w:t>
      </w:r>
    </w:p>
    <w:p>
      <w:pPr>
        <w:spacing w:before="241"/>
        <w:ind w:left="0" w:right="156" w:firstLine="0"/>
        <w:jc w:val="right"/>
        <w:rPr>
          <w:rFonts w:ascii="Arial"/>
          <w:sz w:val="19"/>
        </w:rPr>
      </w:pPr>
      <w:r>
        <w:rPr/>
        <w:drawing>
          <wp:anchor distT="0" distB="0" distL="0" distR="0" allowOverlap="1" layoutInCell="1" locked="0" behindDoc="0" simplePos="0" relativeHeight="14032">
            <wp:simplePos x="0" y="0"/>
            <wp:positionH relativeFrom="page">
              <wp:posOffset>1609344</wp:posOffset>
            </wp:positionH>
            <wp:positionV relativeFrom="paragraph">
              <wp:posOffset>127876</wp:posOffset>
            </wp:positionV>
            <wp:extent cx="804671" cy="256031"/>
            <wp:effectExtent l="0" t="0" r="0" b="0"/>
            <wp:wrapNone/>
            <wp:docPr id="359" name="image185.png" descr=""/>
            <wp:cNvGraphicFramePr>
              <a:graphicFrameLocks noChangeAspect="1"/>
            </wp:cNvGraphicFramePr>
            <a:graphic>
              <a:graphicData uri="http://schemas.openxmlformats.org/drawingml/2006/picture">
                <pic:pic>
                  <pic:nvPicPr>
                    <pic:cNvPr id="360" name="image185.png"/>
                    <pic:cNvPicPr/>
                  </pic:nvPicPr>
                  <pic:blipFill>
                    <a:blip r:embed="rId189" cstate="print"/>
                    <a:stretch>
                      <a:fillRect/>
                    </a:stretch>
                  </pic:blipFill>
                  <pic:spPr>
                    <a:xfrm>
                      <a:off x="0" y="0"/>
                      <a:ext cx="804671" cy="256031"/>
                    </a:xfrm>
                    <a:prstGeom prst="rect">
                      <a:avLst/>
                    </a:prstGeom>
                  </pic:spPr>
                </pic:pic>
              </a:graphicData>
            </a:graphic>
          </wp:anchor>
        </w:drawing>
      </w:r>
      <w:r>
        <w:rPr>
          <w:rFonts w:ascii="Arial"/>
          <w:color w:val="010101"/>
          <w:w w:val="110"/>
          <w:sz w:val="19"/>
        </w:rPr>
        <w:t>(8.9)</w:t>
      </w:r>
    </w:p>
    <w:p>
      <w:pPr>
        <w:pStyle w:val="BodyText"/>
        <w:spacing w:before="5"/>
        <w:rPr>
          <w:rFonts w:ascii="Arial"/>
          <w:sz w:val="15"/>
        </w:rPr>
      </w:pPr>
    </w:p>
    <w:p>
      <w:pPr>
        <w:spacing w:after="0"/>
        <w:rPr>
          <w:rFonts w:ascii="Arial"/>
          <w:sz w:val="15"/>
        </w:rPr>
        <w:sectPr>
          <w:type w:val="continuous"/>
          <w:pgSz w:w="7200" w:h="11340"/>
          <w:pgMar w:top="1100" w:bottom="0" w:left="660" w:right="560"/>
        </w:sectPr>
      </w:pPr>
    </w:p>
    <w:p>
      <w:pPr>
        <w:spacing w:before="57"/>
        <w:ind w:left="1873" w:right="-15" w:firstLine="0"/>
        <w:jc w:val="left"/>
        <w:rPr>
          <w:b/>
          <w:sz w:val="46"/>
        </w:rPr>
      </w:pPr>
      <w:r>
        <w:rPr/>
        <w:pict>
          <v:shape style="position:absolute;margin-left:152.721802pt;margin-top:4.99315pt;width:34.1pt;height:9.5pt;mso-position-horizontal-relative:page;mso-position-vertical-relative:paragraph;z-index:-721936" type="#_x0000_t202" filled="false" stroked="false">
            <v:textbox inset="0,0,0,0">
              <w:txbxContent>
                <w:p>
                  <w:pPr>
                    <w:spacing w:line="190" w:lineRule="exact" w:before="0"/>
                    <w:ind w:left="0" w:right="-16" w:firstLine="0"/>
                    <w:jc w:val="left"/>
                    <w:rPr>
                      <w:rFonts w:ascii="Arial"/>
                      <w:sz w:val="13"/>
                    </w:rPr>
                  </w:pPr>
                  <w:r>
                    <w:rPr>
                      <w:color w:val="010101"/>
                      <w:w w:val="113"/>
                      <w:sz w:val="19"/>
                    </w:rPr>
                    <w:t>1</w:t>
                  </w:r>
                  <w:r>
                    <w:rPr>
                      <w:color w:val="010101"/>
                      <w:sz w:val="19"/>
                    </w:rPr>
                    <w:t> </w:t>
                  </w:r>
                  <w:r>
                    <w:rPr>
                      <w:color w:val="010101"/>
                      <w:spacing w:val="10"/>
                      <w:sz w:val="19"/>
                    </w:rPr>
                    <w:t> </w:t>
                  </w:r>
                  <w:r>
                    <w:rPr>
                      <w:rFonts w:ascii="Arial"/>
                      <w:color w:val="010101"/>
                      <w:spacing w:val="-286"/>
                      <w:w w:val="477"/>
                      <w:sz w:val="13"/>
                    </w:rPr>
                    <w:t>!</w:t>
                  </w:r>
                  <w:r>
                    <w:rPr>
                      <w:rFonts w:ascii="Arial"/>
                      <w:color w:val="010101"/>
                      <w:w w:val="154"/>
                      <w:sz w:val="13"/>
                    </w:rPr>
                    <w:t>m</w:t>
                  </w:r>
                </w:p>
              </w:txbxContent>
            </v:textbox>
            <w10:wrap type="none"/>
          </v:shape>
        </w:pict>
      </w:r>
      <w:r>
        <w:rPr>
          <w:b/>
          <w:i/>
          <w:color w:val="010101"/>
          <w:w w:val="90"/>
          <w:sz w:val="20"/>
        </w:rPr>
        <w:t>Pz</w:t>
      </w:r>
      <w:r>
        <w:rPr>
          <w:b/>
          <w:i/>
          <w:color w:val="010101"/>
          <w:spacing w:val="-5"/>
          <w:w w:val="90"/>
          <w:sz w:val="20"/>
        </w:rPr>
        <w:t> </w:t>
      </w:r>
      <w:r>
        <w:rPr>
          <w:rFonts w:ascii="Arial"/>
          <w:color w:val="010101"/>
          <w:w w:val="90"/>
          <w:sz w:val="20"/>
        </w:rPr>
        <w:t>=;</w:t>
      </w:r>
      <w:r>
        <w:rPr>
          <w:rFonts w:ascii="Arial"/>
          <w:color w:val="010101"/>
          <w:spacing w:val="-19"/>
          <w:w w:val="90"/>
          <w:sz w:val="20"/>
        </w:rPr>
        <w:t> </w:t>
      </w:r>
      <w:r>
        <w:rPr>
          <w:b/>
          <w:color w:val="010101"/>
          <w:w w:val="90"/>
          <w:sz w:val="19"/>
        </w:rPr>
        <w:t>1</w:t>
      </w:r>
      <w:r>
        <w:rPr>
          <w:b/>
          <w:color w:val="010101"/>
          <w:spacing w:val="-17"/>
          <w:w w:val="90"/>
          <w:sz w:val="19"/>
        </w:rPr>
        <w:t> </w:t>
      </w:r>
      <w:r>
        <w:rPr>
          <w:rFonts w:ascii="Arial"/>
          <w:color w:val="010101"/>
          <w:w w:val="95"/>
          <w:sz w:val="31"/>
        </w:rPr>
        <w:t>+</w:t>
      </w:r>
      <w:r>
        <w:rPr>
          <w:rFonts w:ascii="Arial"/>
          <w:color w:val="010101"/>
          <w:spacing w:val="-62"/>
          <w:w w:val="95"/>
          <w:sz w:val="31"/>
        </w:rPr>
        <w:t> </w:t>
      </w:r>
      <w:r>
        <w:rPr>
          <w:b/>
          <w:color w:val="010101"/>
          <w:spacing w:val="2"/>
          <w:w w:val="90"/>
          <w:sz w:val="46"/>
          <w:u w:val="thick" w:color="000000"/>
        </w:rPr>
        <w:t>im:</w:t>
      </w:r>
    </w:p>
    <w:p>
      <w:pPr>
        <w:pStyle w:val="BodyText"/>
        <w:spacing w:before="4"/>
        <w:rPr>
          <w:b/>
          <w:sz w:val="18"/>
        </w:rPr>
      </w:pPr>
      <w:r>
        <w:rPr/>
        <w:br w:type="column"/>
      </w:r>
      <w:r>
        <w:rPr>
          <w:b/>
          <w:sz w:val="18"/>
        </w:rPr>
      </w:r>
    </w:p>
    <w:p>
      <w:pPr>
        <w:spacing w:before="0"/>
        <w:ind w:left="0" w:right="166" w:firstLine="0"/>
        <w:jc w:val="right"/>
        <w:rPr>
          <w:rFonts w:ascii="Arial"/>
          <w:sz w:val="19"/>
        </w:rPr>
      </w:pPr>
      <w:r>
        <w:rPr>
          <w:rFonts w:ascii="Arial"/>
          <w:color w:val="010101"/>
          <w:sz w:val="19"/>
        </w:rPr>
        <w:t>(8.10)</w:t>
      </w:r>
    </w:p>
    <w:p>
      <w:pPr>
        <w:spacing w:after="0"/>
        <w:jc w:val="right"/>
        <w:rPr>
          <w:rFonts w:ascii="Arial"/>
          <w:sz w:val="19"/>
        </w:rPr>
        <w:sectPr>
          <w:type w:val="continuous"/>
          <w:pgSz w:w="7200" w:h="11340"/>
          <w:pgMar w:top="1100" w:bottom="0" w:left="660" w:right="560"/>
          <w:cols w:num="2" w:equalWidth="0">
            <w:col w:w="3191" w:space="240"/>
            <w:col w:w="2549"/>
          </w:cols>
        </w:sectPr>
      </w:pPr>
    </w:p>
    <w:p>
      <w:pPr>
        <w:pStyle w:val="BodyText"/>
        <w:spacing w:before="95"/>
        <w:ind w:left="104" w:right="133" w:firstLine="190"/>
      </w:pPr>
      <w:r>
        <w:rPr>
          <w:color w:val="010101"/>
        </w:rPr>
        <w:t>The relatiorn)hip bctwecn t.he central death rate and thc force of mortality  can  be secn  when  </w:t>
      </w:r>
      <w:r>
        <w:rPr>
          <w:i/>
          <w:color w:val="010101"/>
          <w:sz w:val="21"/>
        </w:rPr>
        <w:t>mz  </w:t>
      </w:r>
      <w:r>
        <w:rPr>
          <w:color w:val="010101"/>
        </w:rPr>
        <w:t>is written  in the  </w:t>
      </w:r>
      <w:r>
        <w:rPr>
          <w:b/>
          <w:color w:val="010101"/>
          <w:sz w:val="21"/>
        </w:rPr>
        <w:t>following </w:t>
      </w:r>
      <w:r>
        <w:rPr>
          <w:color w:val="010101"/>
        </w:rPr>
        <w:t>form:</w:t>
      </w:r>
    </w:p>
    <w:p>
      <w:pPr>
        <w:spacing w:line="487" w:lineRule="exact" w:before="0"/>
        <w:ind w:left="2581" w:right="739" w:firstLine="0"/>
        <w:jc w:val="left"/>
        <w:rPr>
          <w:i/>
          <w:sz w:val="20"/>
        </w:rPr>
      </w:pPr>
      <w:r>
        <w:rPr/>
        <w:pict>
          <v:line style="position:absolute;mso-position-horizontal-relative:page;mso-position-vertical-relative:paragraph;z-index:-722008" from="178.923203pt,24.15526pt" to="210.149603pt,24.15526pt" stroked="true" strokeweight="4.307079pt" strokecolor="#000000">
            <w10:wrap type="none"/>
          </v:line>
        </w:pict>
      </w:r>
      <w:r>
        <w:rPr>
          <w:rFonts w:ascii="Arial" w:hAnsi="Arial"/>
          <w:b/>
          <w:color w:val="010101"/>
          <w:spacing w:val="-123"/>
          <w:w w:val="181"/>
          <w:sz w:val="57"/>
        </w:rPr>
        <w:t>i</w:t>
      </w:r>
      <w:r>
        <w:rPr>
          <w:rFonts w:ascii="Arial" w:hAnsi="Arial"/>
          <w:b/>
          <w:color w:val="010101"/>
          <w:spacing w:val="23"/>
          <w:w w:val="57"/>
          <w:sz w:val="57"/>
        </w:rPr>
        <w:t>l</w:t>
      </w:r>
      <w:r>
        <w:rPr>
          <w:rFonts w:ascii="Arial" w:hAnsi="Arial"/>
          <w:b/>
          <w:i/>
          <w:color w:val="010101"/>
          <w:w w:val="80"/>
          <w:sz w:val="19"/>
        </w:rPr>
        <w:t>lz+I</w:t>
      </w:r>
      <w:r>
        <w:rPr>
          <w:rFonts w:ascii="Arial" w:hAnsi="Arial"/>
          <w:b/>
          <w:i/>
          <w:color w:val="010101"/>
          <w:spacing w:val="3"/>
          <w:sz w:val="19"/>
        </w:rPr>
        <w:t> </w:t>
      </w:r>
      <w:r>
        <w:rPr>
          <w:rFonts w:ascii="Arial" w:hAnsi="Arial"/>
          <w:color w:val="010101"/>
          <w:w w:val="58"/>
          <w:sz w:val="19"/>
        </w:rPr>
        <w:t>•</w:t>
      </w:r>
      <w:r>
        <w:rPr>
          <w:rFonts w:ascii="Arial" w:hAnsi="Arial"/>
          <w:color w:val="010101"/>
          <w:spacing w:val="-28"/>
          <w:sz w:val="19"/>
        </w:rPr>
        <w:t> </w:t>
      </w:r>
      <w:r>
        <w:rPr>
          <w:color w:val="010101"/>
          <w:w w:val="134"/>
          <w:sz w:val="17"/>
        </w:rPr>
        <w:t>µ</w:t>
      </w:r>
      <w:r>
        <w:rPr>
          <w:color w:val="010101"/>
          <w:spacing w:val="-21"/>
          <w:w w:val="135"/>
          <w:sz w:val="17"/>
        </w:rPr>
        <w:t>,</w:t>
      </w:r>
      <w:r>
        <w:rPr>
          <w:color w:val="010101"/>
          <w:w w:val="117"/>
          <w:sz w:val="17"/>
        </w:rPr>
        <w:t>H</w:t>
      </w:r>
      <w:r>
        <w:rPr>
          <w:color w:val="010101"/>
          <w:sz w:val="17"/>
        </w:rPr>
        <w:t> </w:t>
      </w:r>
      <w:r>
        <w:rPr>
          <w:color w:val="010101"/>
          <w:spacing w:val="-11"/>
          <w:sz w:val="17"/>
        </w:rPr>
        <w:t> </w:t>
      </w:r>
      <w:r>
        <w:rPr>
          <w:i/>
          <w:color w:val="010101"/>
          <w:w w:val="94"/>
          <w:sz w:val="20"/>
        </w:rPr>
        <w:t>dt</w:t>
      </w:r>
    </w:p>
    <w:p>
      <w:pPr>
        <w:spacing w:line="320" w:lineRule="exact" w:before="0"/>
        <w:ind w:left="74" w:right="960" w:firstLine="0"/>
        <w:jc w:val="center"/>
        <w:rPr>
          <w:rFonts w:ascii="Arial"/>
          <w:sz w:val="58"/>
        </w:rPr>
      </w:pPr>
      <w:r>
        <w:rPr>
          <w:b/>
          <w:i/>
          <w:color w:val="010101"/>
          <w:w w:val="87"/>
          <w:sz w:val="21"/>
        </w:rPr>
        <w:t>mz</w:t>
      </w:r>
      <w:r>
        <w:rPr>
          <w:b/>
          <w:i/>
          <w:color w:val="010101"/>
          <w:sz w:val="21"/>
        </w:rPr>
        <w:t> </w:t>
      </w:r>
      <w:r>
        <w:rPr>
          <w:b/>
          <w:i/>
          <w:color w:val="010101"/>
          <w:spacing w:val="2"/>
          <w:sz w:val="21"/>
        </w:rPr>
        <w:t> </w:t>
      </w:r>
      <w:r>
        <w:rPr>
          <w:color w:val="010101"/>
          <w:w w:val="89"/>
          <w:sz w:val="26"/>
        </w:rPr>
        <w:t>=</w:t>
      </w:r>
      <w:r>
        <w:rPr>
          <w:color w:val="010101"/>
          <w:sz w:val="26"/>
        </w:rPr>
        <w:t> </w:t>
      </w:r>
      <w:r>
        <w:rPr>
          <w:color w:val="010101"/>
          <w:spacing w:val="-26"/>
          <w:sz w:val="26"/>
        </w:rPr>
        <w:t> </w:t>
      </w:r>
      <w:r>
        <w:rPr>
          <w:rFonts w:ascii="Arial"/>
          <w:color w:val="010101"/>
          <w:spacing w:val="-416"/>
          <w:w w:val="285"/>
          <w:position w:val="-26"/>
          <w:sz w:val="58"/>
        </w:rPr>
        <w:t>l</w:t>
      </w:r>
      <w:r>
        <w:rPr>
          <w:rFonts w:ascii="Arial"/>
          <w:color w:val="010101"/>
          <w:w w:val="81"/>
          <w:position w:val="-26"/>
          <w:sz w:val="58"/>
        </w:rPr>
        <w:t>l</w:t>
      </w:r>
    </w:p>
    <w:p>
      <w:pPr>
        <w:spacing w:line="194" w:lineRule="exact" w:before="0"/>
        <w:ind w:left="1485" w:right="830" w:firstLine="0"/>
        <w:jc w:val="center"/>
        <w:rPr>
          <w:rFonts w:ascii="Arial"/>
          <w:i/>
          <w:sz w:val="19"/>
        </w:rPr>
      </w:pPr>
      <w:r>
        <w:rPr>
          <w:i/>
          <w:color w:val="010101"/>
          <w:sz w:val="17"/>
        </w:rPr>
        <w:t>lz+I </w:t>
      </w:r>
      <w:r>
        <w:rPr>
          <w:rFonts w:ascii="Arial"/>
          <w:i/>
          <w:color w:val="010101"/>
          <w:sz w:val="19"/>
        </w:rPr>
        <w:t>dt</w:t>
      </w:r>
    </w:p>
    <w:p>
      <w:pPr>
        <w:pStyle w:val="BodyText"/>
        <w:spacing w:before="8"/>
        <w:rPr>
          <w:rFonts w:ascii="Arial"/>
          <w:i/>
        </w:rPr>
      </w:pPr>
    </w:p>
    <w:p>
      <w:pPr>
        <w:pStyle w:val="BodyText"/>
        <w:spacing w:line="199" w:lineRule="exact"/>
        <w:ind w:left="108" w:right="133"/>
        <w:rPr>
          <w:sz w:val="19"/>
        </w:rPr>
      </w:pPr>
      <w:r>
        <w:rPr>
          <w:color w:val="010101"/>
          <w:w w:val="105"/>
        </w:rPr>
        <w:t>Here it is apparent that </w:t>
      </w:r>
      <w:r>
        <w:rPr>
          <w:i/>
          <w:color w:val="010101"/>
          <w:w w:val="105"/>
          <w:sz w:val="21"/>
        </w:rPr>
        <w:t>mz </w:t>
      </w:r>
      <w:r>
        <w:rPr>
          <w:color w:val="010101"/>
          <w:w w:val="105"/>
          <w:sz w:val="19"/>
        </w:rPr>
        <w:t>is </w:t>
      </w:r>
      <w:r>
        <w:rPr>
          <w:color w:val="010101"/>
          <w:w w:val="105"/>
        </w:rPr>
        <w:t>the weighted  mean value of the   </w:t>
      </w:r>
      <w:r>
        <w:rPr>
          <w:color w:val="010101"/>
          <w:w w:val="105"/>
          <w:sz w:val="19"/>
        </w:rPr>
        <w:t>force</w:t>
      </w:r>
    </w:p>
    <w:p>
      <w:pPr>
        <w:pStyle w:val="BodyText"/>
        <w:spacing w:line="302" w:lineRule="exact"/>
        <w:ind w:left="100" w:right="123"/>
      </w:pPr>
      <w:r>
        <w:rPr>
          <w:color w:val="010101"/>
        </w:rPr>
        <w:t>of  mortality  ovcr  the year of  age </w:t>
      </w:r>
      <w:r>
        <w:rPr>
          <w:i/>
          <w:color w:val="010101"/>
          <w:sz w:val="21"/>
        </w:rPr>
        <w:t>x  </w:t>
      </w:r>
      <w:r>
        <w:rPr>
          <w:color w:val="010101"/>
        </w:rPr>
        <w:t>to </w:t>
      </w:r>
      <w:r>
        <w:rPr>
          <w:i/>
          <w:color w:val="010101"/>
          <w:sz w:val="21"/>
        </w:rPr>
        <w:t>x  </w:t>
      </w:r>
      <w:r>
        <w:rPr>
          <w:rFonts w:ascii="Arial"/>
          <w:color w:val="010101"/>
          <w:sz w:val="30"/>
        </w:rPr>
        <w:t>+ </w:t>
      </w:r>
      <w:r>
        <w:rPr>
          <w:color w:val="010101"/>
        </w:rPr>
        <w:t>I  where  the  weights are</w:t>
      </w:r>
    </w:p>
    <w:p>
      <w:pPr>
        <w:spacing w:after="0" w:line="302" w:lineRule="exact"/>
        <w:sectPr>
          <w:type w:val="continuous"/>
          <w:pgSz w:w="7200" w:h="11340"/>
          <w:pgMar w:top="1100" w:bottom="0" w:left="660" w:right="560"/>
        </w:sectPr>
      </w:pPr>
    </w:p>
    <w:p>
      <w:pPr>
        <w:tabs>
          <w:tab w:pos="1794" w:val="left" w:leader="none"/>
          <w:tab w:pos="5872" w:val="right" w:leader="none"/>
        </w:tabs>
        <w:spacing w:before="56"/>
        <w:ind w:left="115" w:right="0" w:firstLine="0"/>
        <w:jc w:val="left"/>
        <w:rPr>
          <w:sz w:val="20"/>
        </w:rPr>
      </w:pPr>
      <w:r>
        <w:rPr>
          <w:b/>
          <w:color w:val="010101"/>
          <w:sz w:val="15"/>
        </w:rPr>
        <w:t>SEC. </w:t>
      </w:r>
      <w:r>
        <w:rPr>
          <w:b/>
          <w:color w:val="010101"/>
          <w:spacing w:val="29"/>
          <w:sz w:val="15"/>
        </w:rPr>
        <w:t> </w:t>
      </w:r>
      <w:r>
        <w:rPr>
          <w:rFonts w:ascii="Arial"/>
          <w:b/>
          <w:color w:val="010101"/>
          <w:sz w:val="20"/>
        </w:rPr>
        <w:t>3]</w:t>
        <w:tab/>
      </w:r>
      <w:r>
        <w:rPr>
          <w:b/>
          <w:color w:val="010101"/>
          <w:position w:val="1"/>
          <w:sz w:val="15"/>
        </w:rPr>
        <w:t>THE   EXPECTATION  </w:t>
      </w:r>
      <w:r>
        <w:rPr>
          <w:b/>
          <w:color w:val="010101"/>
          <w:spacing w:val="11"/>
          <w:position w:val="1"/>
          <w:sz w:val="15"/>
        </w:rPr>
        <w:t> </w:t>
      </w:r>
      <w:r>
        <w:rPr>
          <w:b/>
          <w:color w:val="010101"/>
          <w:position w:val="1"/>
          <w:sz w:val="15"/>
        </w:rPr>
        <w:t>OF </w:t>
      </w:r>
      <w:r>
        <w:rPr>
          <w:b/>
          <w:color w:val="010101"/>
          <w:spacing w:val="30"/>
          <w:position w:val="1"/>
          <w:sz w:val="15"/>
        </w:rPr>
        <w:t> </w:t>
      </w:r>
      <w:r>
        <w:rPr>
          <w:b/>
          <w:color w:val="010101"/>
          <w:position w:val="1"/>
          <w:sz w:val="15"/>
        </w:rPr>
        <w:t>LIFE</w:t>
      </w:r>
      <w:r>
        <w:rPr>
          <w:color w:val="010101"/>
          <w:position w:val="1"/>
          <w:sz w:val="20"/>
        </w:rPr>
        <w:tab/>
      </w:r>
      <w:r>
        <w:rPr>
          <w:color w:val="010101"/>
          <w:spacing w:val="-13"/>
          <w:position w:val="1"/>
          <w:sz w:val="20"/>
        </w:rPr>
        <w:t>173</w:t>
      </w:r>
    </w:p>
    <w:p>
      <w:pPr>
        <w:pStyle w:val="BodyText"/>
        <w:spacing w:line="232" w:lineRule="auto" w:before="119"/>
        <w:ind w:left="118" w:right="256" w:firstLine="3"/>
      </w:pPr>
      <w:r>
        <w:rPr>
          <w:color w:val="010101"/>
          <w:w w:val="105"/>
        </w:rPr>
        <w:t>the number of lives attaining each age </w:t>
      </w:r>
      <w:r>
        <w:rPr>
          <w:rFonts w:ascii="Arial"/>
          <w:i/>
          <w:color w:val="010101"/>
          <w:w w:val="105"/>
          <w:sz w:val="17"/>
        </w:rPr>
        <w:t>x </w:t>
      </w:r>
      <w:r>
        <w:rPr>
          <w:color w:val="010101"/>
          <w:w w:val="105"/>
          <w:sz w:val="29"/>
        </w:rPr>
        <w:t>+ </w:t>
      </w:r>
      <w:r>
        <w:rPr>
          <w:rFonts w:ascii="Arial"/>
          <w:i/>
          <w:color w:val="010101"/>
          <w:w w:val="105"/>
          <w:sz w:val="18"/>
        </w:rPr>
        <w:t>t </w:t>
      </w:r>
      <w:r>
        <w:rPr>
          <w:color w:val="010101"/>
          <w:w w:val="105"/>
        </w:rPr>
        <w:t>in that  interval. We may use </w:t>
      </w:r>
      <w:r>
        <w:rPr>
          <w:rFonts w:ascii="Arial"/>
          <w:color w:val="010101"/>
          <w:w w:val="105"/>
          <w:sz w:val="15"/>
        </w:rPr>
        <w:t>#'z-+i </w:t>
      </w:r>
      <w:r>
        <w:rPr>
          <w:color w:val="010101"/>
          <w:w w:val="105"/>
        </w:rPr>
        <w:t>as </w:t>
      </w:r>
      <w:r>
        <w:rPr>
          <w:rFonts w:ascii="Arial"/>
          <w:color w:val="010101"/>
          <w:w w:val="105"/>
          <w:sz w:val="17"/>
        </w:rPr>
        <w:t>a </w:t>
      </w:r>
      <w:r>
        <w:rPr>
          <w:color w:val="010101"/>
          <w:w w:val="105"/>
        </w:rPr>
        <w:t>reasonable estima.te for this average  value.</w:t>
      </w:r>
    </w:p>
    <w:p>
      <w:pPr>
        <w:pStyle w:val="BodyText"/>
        <w:tabs>
          <w:tab w:pos="5800" w:val="left" w:leader="none"/>
        </w:tabs>
        <w:spacing w:before="82"/>
        <w:ind w:left="312"/>
        <w:rPr>
          <w:sz w:val="26"/>
        </w:rPr>
      </w:pPr>
      <w:r>
        <w:rPr>
          <w:color w:val="010101"/>
          <w:w w:val="110"/>
        </w:rPr>
        <w:t>This</w:t>
      </w:r>
      <w:r>
        <w:rPr>
          <w:color w:val="010101"/>
          <w:spacing w:val="-15"/>
          <w:w w:val="110"/>
        </w:rPr>
        <w:t> </w:t>
      </w:r>
      <w:r>
        <w:rPr>
          <w:color w:val="010101"/>
          <w:w w:val="110"/>
        </w:rPr>
        <w:t>can</w:t>
      </w:r>
      <w:r>
        <w:rPr>
          <w:color w:val="010101"/>
          <w:spacing w:val="-19"/>
          <w:w w:val="110"/>
        </w:rPr>
        <w:t> </w:t>
      </w:r>
      <w:r>
        <w:rPr>
          <w:color w:val="010101"/>
          <w:w w:val="110"/>
        </w:rPr>
        <w:t>be</w:t>
      </w:r>
      <w:r>
        <w:rPr>
          <w:color w:val="010101"/>
          <w:spacing w:val="-11"/>
          <w:w w:val="110"/>
        </w:rPr>
        <w:t> </w:t>
      </w:r>
      <w:r>
        <w:rPr>
          <w:color w:val="010101"/>
          <w:w w:val="110"/>
        </w:rPr>
        <w:t>seen</w:t>
      </w:r>
      <w:r>
        <w:rPr>
          <w:color w:val="010101"/>
          <w:spacing w:val="-12"/>
          <w:w w:val="110"/>
        </w:rPr>
        <w:t> </w:t>
      </w:r>
      <w:r>
        <w:rPr>
          <w:color w:val="010101"/>
          <w:w w:val="110"/>
        </w:rPr>
        <w:t>in</w:t>
      </w:r>
      <w:r>
        <w:rPr>
          <w:color w:val="010101"/>
          <w:spacing w:val="-13"/>
          <w:w w:val="110"/>
        </w:rPr>
        <w:t> </w:t>
      </w:r>
      <w:r>
        <w:rPr>
          <w:color w:val="010101"/>
          <w:w w:val="110"/>
        </w:rPr>
        <w:t>another</w:t>
      </w:r>
      <w:r>
        <w:rPr>
          <w:color w:val="010101"/>
          <w:spacing w:val="-12"/>
          <w:w w:val="110"/>
        </w:rPr>
        <w:t> </w:t>
      </w:r>
      <w:r>
        <w:rPr>
          <w:color w:val="010101"/>
          <w:w w:val="110"/>
        </w:rPr>
        <w:t>way.</w:t>
      </w:r>
      <w:r>
        <w:rPr>
          <w:color w:val="010101"/>
          <w:spacing w:val="-13"/>
          <w:w w:val="110"/>
        </w:rPr>
        <w:t> </w:t>
      </w:r>
      <w:r>
        <w:rPr>
          <w:color w:val="010101"/>
          <w:w w:val="110"/>
        </w:rPr>
        <w:t>We</w:t>
      </w:r>
      <w:r>
        <w:rPr>
          <w:color w:val="010101"/>
          <w:spacing w:val="-19"/>
          <w:w w:val="110"/>
        </w:rPr>
        <w:t> </w:t>
      </w:r>
      <w:r>
        <w:rPr>
          <w:rFonts w:ascii="Arial" w:hAnsi="Arial"/>
          <w:color w:val="010101"/>
          <w:w w:val="110"/>
          <w:sz w:val="18"/>
        </w:rPr>
        <w:t>use</w:t>
      </w:r>
      <w:r>
        <w:rPr>
          <w:rFonts w:ascii="Arial" w:hAnsi="Arial"/>
          <w:color w:val="010101"/>
          <w:spacing w:val="-23"/>
          <w:w w:val="110"/>
          <w:sz w:val="18"/>
        </w:rPr>
        <w:t> </w:t>
      </w:r>
      <w:r>
        <w:rPr>
          <w:color w:val="010101"/>
          <w:w w:val="110"/>
        </w:rPr>
        <w:t>the</w:t>
      </w:r>
      <w:r>
        <w:rPr>
          <w:color w:val="010101"/>
          <w:spacing w:val="-15"/>
          <w:w w:val="110"/>
        </w:rPr>
        <w:t> </w:t>
      </w:r>
      <w:r>
        <w:rPr>
          <w:color w:val="010101"/>
          <w:w w:val="110"/>
        </w:rPr>
        <w:t>fact</w:t>
      </w:r>
      <w:r>
        <w:rPr>
          <w:color w:val="010101"/>
          <w:spacing w:val="-9"/>
          <w:w w:val="110"/>
        </w:rPr>
        <w:t> </w:t>
      </w:r>
      <w:r>
        <w:rPr>
          <w:color w:val="010101"/>
          <w:w w:val="110"/>
        </w:rPr>
        <w:t>that</w:t>
      </w:r>
      <w:r>
        <w:rPr>
          <w:color w:val="010101"/>
          <w:spacing w:val="-8"/>
          <w:w w:val="110"/>
        </w:rPr>
        <w:t> </w:t>
      </w:r>
      <w:r>
        <w:rPr>
          <w:color w:val="010101"/>
          <w:w w:val="110"/>
        </w:rPr>
        <w:t>dz</w:t>
      </w:r>
      <w:r>
        <w:rPr>
          <w:color w:val="010101"/>
          <w:spacing w:val="5"/>
          <w:w w:val="110"/>
        </w:rPr>
        <w:t> </w:t>
      </w:r>
      <w:r>
        <w:rPr>
          <w:color w:val="010101"/>
          <w:w w:val="110"/>
          <w:sz w:val="26"/>
        </w:rPr>
        <w:t>=</w:t>
      </w:r>
      <w:r>
        <w:rPr>
          <w:color w:val="010101"/>
          <w:spacing w:val="22"/>
          <w:w w:val="110"/>
          <w:sz w:val="26"/>
        </w:rPr>
        <w:t> </w:t>
      </w:r>
      <w:r>
        <w:rPr>
          <w:color w:val="010101"/>
          <w:w w:val="190"/>
          <w:sz w:val="26"/>
        </w:rPr>
        <w:t>-</w:t>
        <w:tab/>
      </w:r>
      <w:r>
        <w:rPr>
          <w:color w:val="010101"/>
          <w:w w:val="240"/>
          <w:sz w:val="26"/>
        </w:rPr>
        <w:t>·</w:t>
      </w:r>
    </w:p>
    <w:p>
      <w:pPr>
        <w:pStyle w:val="BodyText"/>
        <w:spacing w:before="109"/>
        <w:ind w:left="122"/>
      </w:pPr>
      <w:r>
        <w:rPr>
          <w:color w:val="010101"/>
          <w:w w:val="105"/>
        </w:rPr>
        <w:t>and  introduce the assumption of  a uniform  distribution of   deaths:</w:t>
      </w:r>
    </w:p>
    <w:p>
      <w:pPr>
        <w:tabs>
          <w:tab w:pos="2523" w:val="left" w:leader="none"/>
        </w:tabs>
        <w:spacing w:line="196" w:lineRule="exact" w:before="140"/>
        <w:ind w:left="1665" w:right="0" w:firstLine="0"/>
        <w:jc w:val="left"/>
        <w:rPr>
          <w:b/>
          <w:sz w:val="20"/>
        </w:rPr>
      </w:pPr>
      <w:r>
        <w:rPr>
          <w:b/>
          <w:i/>
          <w:color w:val="010101"/>
          <w:w w:val="125"/>
          <w:sz w:val="20"/>
        </w:rPr>
        <w:t>d.</w:t>
        <w:tab/>
      </w:r>
      <w:r>
        <w:rPr>
          <w:b/>
          <w:color w:val="010101"/>
          <w:sz w:val="20"/>
        </w:rPr>
        <w:t>1  </w:t>
      </w:r>
      <w:r>
        <w:rPr>
          <w:b/>
          <w:i/>
          <w:color w:val="010101"/>
          <w:sz w:val="20"/>
        </w:rPr>
        <w:t>dLz  </w:t>
      </w:r>
      <w:r>
        <w:rPr>
          <w:color w:val="010101"/>
          <w:w w:val="155"/>
          <w:sz w:val="20"/>
        </w:rPr>
        <w:t>.  </w:t>
      </w:r>
      <w:r>
        <w:rPr>
          <w:b/>
          <w:color w:val="010101"/>
          <w:w w:val="155"/>
          <w:sz w:val="20"/>
        </w:rPr>
        <w:t>-1</w:t>
      </w:r>
      <w:r>
        <w:rPr>
          <w:b/>
          <w:color w:val="010101"/>
          <w:spacing w:val="7"/>
          <w:w w:val="155"/>
          <w:sz w:val="20"/>
        </w:rPr>
        <w:t> </w:t>
      </w:r>
      <w:r>
        <w:rPr>
          <w:b/>
          <w:color w:val="010101"/>
          <w:sz w:val="20"/>
        </w:rPr>
        <w:t>dlz+I</w:t>
      </w:r>
    </w:p>
    <w:p>
      <w:pPr>
        <w:tabs>
          <w:tab w:pos="1798" w:val="left" w:leader="none"/>
        </w:tabs>
        <w:spacing w:line="219" w:lineRule="exact" w:before="0"/>
        <w:ind w:left="1113" w:right="0" w:firstLine="0"/>
        <w:jc w:val="left"/>
        <w:rPr>
          <w:sz w:val="17"/>
        </w:rPr>
      </w:pPr>
      <w:r>
        <w:rPr>
          <w:i/>
          <w:color w:val="010101"/>
          <w:w w:val="124"/>
          <w:sz w:val="22"/>
        </w:rPr>
        <w:t>m.</w:t>
      </w:r>
      <w:r>
        <w:rPr>
          <w:i/>
          <w:color w:val="010101"/>
          <w:sz w:val="22"/>
        </w:rPr>
        <w:t> </w:t>
      </w:r>
      <w:r>
        <w:rPr>
          <w:rFonts w:ascii="Arial" w:hAnsi="Arial"/>
          <w:color w:val="010101"/>
          <w:w w:val="168"/>
          <w:sz w:val="16"/>
        </w:rPr>
        <w:t>=</w:t>
      </w:r>
      <w:r>
        <w:rPr>
          <w:rFonts w:ascii="Arial" w:hAnsi="Arial"/>
          <w:color w:val="010101"/>
          <w:sz w:val="16"/>
        </w:rPr>
        <w:tab/>
      </w:r>
      <w:r>
        <w:rPr>
          <w:rFonts w:ascii="Arial" w:hAnsi="Arial"/>
          <w:color w:val="010101"/>
          <w:spacing w:val="-21"/>
          <w:w w:val="400"/>
          <w:sz w:val="16"/>
        </w:rPr>
        <w:t>.</w:t>
      </w:r>
      <w:r>
        <w:rPr>
          <w:rFonts w:ascii="Arial" w:hAnsi="Arial"/>
          <w:color w:val="010101"/>
          <w:w w:val="168"/>
          <w:sz w:val="16"/>
        </w:rPr>
        <w:t>=</w:t>
      </w:r>
      <w:r>
        <w:rPr>
          <w:rFonts w:ascii="Arial" w:hAnsi="Arial"/>
          <w:color w:val="010101"/>
          <w:sz w:val="16"/>
        </w:rPr>
        <w:t> </w:t>
      </w:r>
      <w:r>
        <w:rPr>
          <w:rFonts w:ascii="Arial" w:hAnsi="Arial"/>
          <w:color w:val="010101"/>
          <w:spacing w:val="11"/>
          <w:sz w:val="16"/>
        </w:rPr>
        <w:t> </w:t>
      </w:r>
      <w:r>
        <w:rPr>
          <w:rFonts w:ascii="Arial" w:hAnsi="Arial"/>
          <w:color w:val="010101"/>
          <w:w w:val="343"/>
          <w:sz w:val="16"/>
        </w:rPr>
        <w:t>-</w:t>
      </w:r>
      <w:r>
        <w:rPr>
          <w:rFonts w:ascii="Arial" w:hAnsi="Arial"/>
          <w:color w:val="010101"/>
          <w:spacing w:val="9"/>
          <w:sz w:val="16"/>
        </w:rPr>
        <w:t> </w:t>
      </w:r>
      <w:r>
        <w:rPr>
          <w:i/>
          <w:color w:val="010101"/>
          <w:w w:val="103"/>
          <w:sz w:val="19"/>
          <w:u w:val="thick" w:color="000000"/>
        </w:rPr>
        <w:t>Lz</w:t>
      </w:r>
      <w:r>
        <w:rPr>
          <w:i/>
          <w:color w:val="010101"/>
          <w:spacing w:val="-1"/>
          <w:sz w:val="19"/>
        </w:rPr>
        <w:t> </w:t>
      </w:r>
      <w:r>
        <w:rPr>
          <w:i/>
          <w:color w:val="010101"/>
          <w:w w:val="170"/>
          <w:sz w:val="19"/>
        </w:rPr>
        <w:t>.</w:t>
      </w:r>
      <w:r>
        <w:rPr>
          <w:i/>
          <w:color w:val="010101"/>
          <w:spacing w:val="-10"/>
          <w:sz w:val="19"/>
        </w:rPr>
        <w:t> </w:t>
      </w:r>
      <w:r>
        <w:rPr>
          <w:i/>
          <w:color w:val="010101"/>
          <w:w w:val="101"/>
          <w:sz w:val="21"/>
        </w:rPr>
        <w:t>dx</w:t>
      </w:r>
      <w:r>
        <w:rPr>
          <w:i/>
          <w:color w:val="010101"/>
          <w:sz w:val="21"/>
        </w:rPr>
        <w:t>  </w:t>
      </w:r>
      <w:r>
        <w:rPr>
          <w:i/>
          <w:color w:val="010101"/>
          <w:spacing w:val="-26"/>
          <w:sz w:val="21"/>
        </w:rPr>
        <w:t> </w:t>
      </w:r>
      <w:r>
        <w:rPr>
          <w:rFonts w:ascii="Arial" w:hAnsi="Arial"/>
          <w:color w:val="010101"/>
          <w:w w:val="103"/>
          <w:sz w:val="18"/>
        </w:rPr>
        <w:t>=:</w:t>
      </w:r>
      <w:r>
        <w:rPr>
          <w:rFonts w:ascii="Arial" w:hAnsi="Arial"/>
          <w:color w:val="010101"/>
          <w:sz w:val="18"/>
        </w:rPr>
        <w:t> </w:t>
      </w:r>
      <w:r>
        <w:rPr>
          <w:rFonts w:ascii="Arial" w:hAnsi="Arial"/>
          <w:color w:val="010101"/>
          <w:spacing w:val="-10"/>
          <w:sz w:val="18"/>
        </w:rPr>
        <w:t> </w:t>
      </w:r>
      <w:r>
        <w:rPr>
          <w:i/>
          <w:color w:val="010101"/>
          <w:w w:val="88"/>
          <w:sz w:val="19"/>
          <w:u w:val="thick" w:color="000000"/>
        </w:rPr>
        <w:t>lz+t</w:t>
      </w:r>
      <w:r>
        <w:rPr>
          <w:i/>
          <w:color w:val="010101"/>
          <w:spacing w:val="-2"/>
          <w:sz w:val="19"/>
        </w:rPr>
        <w:t> </w:t>
      </w:r>
      <w:r>
        <w:rPr>
          <w:i/>
          <w:color w:val="010101"/>
          <w:w w:val="151"/>
          <w:sz w:val="19"/>
        </w:rPr>
        <w:t>.</w:t>
      </w:r>
      <w:r>
        <w:rPr>
          <w:i/>
          <w:color w:val="010101"/>
          <w:sz w:val="19"/>
        </w:rPr>
        <w:t> </w:t>
      </w:r>
      <w:r>
        <w:rPr>
          <w:i/>
          <w:color w:val="010101"/>
          <w:spacing w:val="-20"/>
          <w:sz w:val="19"/>
        </w:rPr>
        <w:t> </w:t>
      </w:r>
      <w:r>
        <w:rPr>
          <w:i/>
          <w:color w:val="010101"/>
          <w:w w:val="101"/>
          <w:sz w:val="21"/>
        </w:rPr>
        <w:t>dx</w:t>
      </w:r>
      <w:r>
        <w:rPr>
          <w:i/>
          <w:color w:val="010101"/>
          <w:sz w:val="21"/>
        </w:rPr>
        <w:t>  </w:t>
      </w:r>
      <w:r>
        <w:rPr>
          <w:i/>
          <w:color w:val="010101"/>
          <w:spacing w:val="24"/>
          <w:sz w:val="21"/>
        </w:rPr>
        <w:t> </w:t>
      </w:r>
      <w:r>
        <w:rPr>
          <w:rFonts w:ascii="Arial" w:hAnsi="Arial"/>
          <w:color w:val="010101"/>
          <w:w w:val="168"/>
          <w:sz w:val="16"/>
        </w:rPr>
        <w:t>=</w:t>
      </w:r>
      <w:r>
        <w:rPr>
          <w:rFonts w:ascii="Arial" w:hAnsi="Arial"/>
          <w:color w:val="010101"/>
          <w:sz w:val="16"/>
        </w:rPr>
        <w:t> </w:t>
      </w:r>
      <w:r>
        <w:rPr>
          <w:rFonts w:ascii="Arial" w:hAnsi="Arial"/>
          <w:color w:val="010101"/>
          <w:spacing w:val="-14"/>
          <w:sz w:val="16"/>
        </w:rPr>
        <w:t> </w:t>
      </w:r>
      <w:r>
        <w:rPr>
          <w:color w:val="010101"/>
          <w:w w:val="99"/>
          <w:sz w:val="17"/>
        </w:rPr>
        <w:t>Pz+t</w:t>
      </w:r>
      <w:r>
        <w:rPr>
          <w:color w:val="010101"/>
          <w:sz w:val="17"/>
        </w:rPr>
        <w:t> </w:t>
      </w:r>
      <w:r>
        <w:rPr>
          <w:color w:val="010101"/>
          <w:spacing w:val="-14"/>
          <w:sz w:val="17"/>
        </w:rPr>
        <w:t> </w:t>
      </w:r>
      <w:r>
        <w:rPr>
          <w:color w:val="010101"/>
          <w:w w:val="75"/>
          <w:sz w:val="17"/>
        </w:rPr>
        <w:t>•</w:t>
      </w:r>
    </w:p>
    <w:p>
      <w:pPr>
        <w:pStyle w:val="BodyText"/>
        <w:spacing w:line="249" w:lineRule="auto" w:before="157"/>
        <w:ind w:left="126" w:right="242" w:firstLine="201"/>
        <w:rPr>
          <w:rFonts w:ascii="Arial" w:hAnsi="Arial"/>
          <w:sz w:val="19"/>
        </w:rPr>
      </w:pPr>
      <w:r>
        <w:rPr>
          <w:color w:val="010101"/>
          <w:w w:val="115"/>
          <w:sz w:val="22"/>
        </w:rPr>
        <w:t>In</w:t>
      </w:r>
      <w:r>
        <w:rPr>
          <w:color w:val="010101"/>
          <w:spacing w:val="-33"/>
          <w:w w:val="115"/>
          <w:sz w:val="22"/>
        </w:rPr>
        <w:t> </w:t>
      </w:r>
      <w:r>
        <w:rPr>
          <w:color w:val="010101"/>
          <w:w w:val="115"/>
        </w:rPr>
        <w:t>formulas</w:t>
      </w:r>
      <w:r>
        <w:rPr>
          <w:color w:val="010101"/>
          <w:spacing w:val="-2"/>
          <w:w w:val="115"/>
        </w:rPr>
        <w:t> </w:t>
      </w:r>
      <w:r>
        <w:rPr>
          <w:color w:val="010101"/>
          <w:spacing w:val="-3"/>
          <w:w w:val="115"/>
        </w:rPr>
        <w:t>(J.18)</w:t>
      </w:r>
      <w:r>
        <w:rPr>
          <w:color w:val="010101"/>
          <w:spacing w:val="-23"/>
          <w:w w:val="115"/>
        </w:rPr>
        <w:t> </w:t>
      </w:r>
      <w:r>
        <w:rPr>
          <w:color w:val="010101"/>
          <w:w w:val="115"/>
        </w:rPr>
        <w:t>and</w:t>
      </w:r>
      <w:r>
        <w:rPr>
          <w:color w:val="010101"/>
          <w:spacing w:val="2"/>
          <w:w w:val="115"/>
        </w:rPr>
        <w:t> </w:t>
      </w:r>
      <w:r>
        <w:rPr>
          <w:color w:val="010101"/>
          <w:w w:val="115"/>
        </w:rPr>
        <w:t>(1.19a)</w:t>
      </w:r>
      <w:r>
        <w:rPr>
          <w:color w:val="010101"/>
          <w:spacing w:val="-17"/>
          <w:w w:val="115"/>
        </w:rPr>
        <w:t> </w:t>
      </w:r>
      <w:r>
        <w:rPr>
          <w:color w:val="010101"/>
          <w:w w:val="115"/>
        </w:rPr>
        <w:t>wc</w:t>
      </w:r>
      <w:r>
        <w:rPr>
          <w:color w:val="010101"/>
          <w:spacing w:val="-24"/>
          <w:w w:val="115"/>
        </w:rPr>
        <w:t> </w:t>
      </w:r>
      <w:r>
        <w:rPr>
          <w:color w:val="010101"/>
          <w:w w:val="115"/>
        </w:rPr>
        <w:t>noted</w:t>
      </w:r>
      <w:r>
        <w:rPr>
          <w:color w:val="010101"/>
          <w:spacing w:val="-16"/>
          <w:w w:val="115"/>
        </w:rPr>
        <w:t> </w:t>
      </w:r>
      <w:r>
        <w:rPr>
          <w:color w:val="010101"/>
          <w:w w:val="115"/>
        </w:rPr>
        <w:t>that</w:t>
      </w:r>
      <w:r>
        <w:rPr>
          <w:color w:val="010101"/>
          <w:spacing w:val="-3"/>
          <w:w w:val="115"/>
        </w:rPr>
        <w:t> </w:t>
      </w:r>
      <w:r>
        <w:rPr>
          <w:color w:val="010101"/>
          <w:w w:val="115"/>
        </w:rPr>
        <w:t>-log</w:t>
      </w:r>
      <w:r>
        <w:rPr>
          <w:color w:val="010101"/>
          <w:spacing w:val="-32"/>
          <w:w w:val="115"/>
        </w:rPr>
        <w:t> </w:t>
      </w:r>
      <w:r>
        <w:rPr>
          <w:rFonts w:ascii="Arial" w:hAnsi="Arial"/>
          <w:i/>
          <w:color w:val="010101"/>
          <w:w w:val="115"/>
          <w:sz w:val="19"/>
        </w:rPr>
        <w:t>p.</w:t>
      </w:r>
      <w:r>
        <w:rPr>
          <w:rFonts w:ascii="Arial" w:hAnsi="Arial"/>
          <w:i/>
          <w:color w:val="010101"/>
          <w:spacing w:val="-35"/>
          <w:w w:val="115"/>
          <w:sz w:val="19"/>
        </w:rPr>
        <w:t> </w:t>
      </w:r>
      <w:r>
        <w:rPr>
          <w:color w:val="010101"/>
          <w:w w:val="115"/>
        </w:rPr>
        <w:t>reprcsents </w:t>
      </w:r>
      <w:r>
        <w:rPr>
          <w:color w:val="010101"/>
          <w:w w:val="110"/>
        </w:rPr>
        <w:t>an</w:t>
      </w:r>
      <w:r>
        <w:rPr>
          <w:color w:val="010101"/>
          <w:spacing w:val="-26"/>
          <w:w w:val="110"/>
        </w:rPr>
        <w:t> </w:t>
      </w:r>
      <w:r>
        <w:rPr>
          <w:color w:val="010101"/>
          <w:w w:val="110"/>
        </w:rPr>
        <w:t>unweighted</w:t>
      </w:r>
      <w:r>
        <w:rPr>
          <w:color w:val="010101"/>
          <w:spacing w:val="-6"/>
          <w:w w:val="110"/>
        </w:rPr>
        <w:t> </w:t>
      </w:r>
      <w:r>
        <w:rPr>
          <w:color w:val="010101"/>
          <w:w w:val="110"/>
        </w:rPr>
        <w:t>mean</w:t>
      </w:r>
      <w:r>
        <w:rPr>
          <w:color w:val="010101"/>
          <w:spacing w:val="-23"/>
          <w:w w:val="110"/>
        </w:rPr>
        <w:t> </w:t>
      </w:r>
      <w:r>
        <w:rPr>
          <w:color w:val="010101"/>
          <w:w w:val="110"/>
        </w:rPr>
        <w:t>valuc</w:t>
      </w:r>
      <w:r>
        <w:rPr>
          <w:color w:val="010101"/>
          <w:spacing w:val="-19"/>
          <w:w w:val="110"/>
        </w:rPr>
        <w:t> </w:t>
      </w:r>
      <w:r>
        <w:rPr>
          <w:color w:val="010101"/>
          <w:w w:val="110"/>
        </w:rPr>
        <w:t>of</w:t>
      </w:r>
      <w:r>
        <w:rPr>
          <w:color w:val="010101"/>
          <w:spacing w:val="-18"/>
          <w:w w:val="110"/>
        </w:rPr>
        <w:t> </w:t>
      </w:r>
      <w:r>
        <w:rPr>
          <w:i/>
          <w:color w:val="010101"/>
          <w:w w:val="110"/>
          <w:sz w:val="17"/>
        </w:rPr>
        <w:t>µ.</w:t>
      </w:r>
      <w:r>
        <w:rPr>
          <w:i/>
          <w:color w:val="010101"/>
          <w:spacing w:val="-31"/>
          <w:w w:val="110"/>
          <w:sz w:val="17"/>
        </w:rPr>
        <w:t> </w:t>
      </w:r>
      <w:r>
        <w:rPr>
          <w:color w:val="010101"/>
          <w:w w:val="110"/>
        </w:rPr>
        <w:t>which</w:t>
      </w:r>
      <w:r>
        <w:rPr>
          <w:color w:val="010101"/>
          <w:spacing w:val="-12"/>
          <w:w w:val="110"/>
        </w:rPr>
        <w:t> </w:t>
      </w:r>
      <w:r>
        <w:rPr>
          <w:color w:val="010101"/>
          <w:w w:val="110"/>
        </w:rPr>
        <w:t>can</w:t>
      </w:r>
      <w:r>
        <w:rPr>
          <w:color w:val="010101"/>
          <w:spacing w:val="-22"/>
          <w:w w:val="110"/>
        </w:rPr>
        <w:t> </w:t>
      </w:r>
      <w:r>
        <w:rPr>
          <w:color w:val="010101"/>
          <w:w w:val="110"/>
        </w:rPr>
        <w:t>also</w:t>
      </w:r>
      <w:r>
        <w:rPr>
          <w:color w:val="010101"/>
          <w:spacing w:val="-21"/>
          <w:w w:val="110"/>
        </w:rPr>
        <w:t> </w:t>
      </w:r>
      <w:r>
        <w:rPr>
          <w:color w:val="010101"/>
          <w:w w:val="110"/>
        </w:rPr>
        <w:t>be</w:t>
      </w:r>
      <w:r>
        <w:rPr>
          <w:color w:val="010101"/>
          <w:spacing w:val="-19"/>
          <w:w w:val="110"/>
        </w:rPr>
        <w:t> </w:t>
      </w:r>
      <w:r>
        <w:rPr>
          <w:color w:val="010101"/>
          <w:w w:val="110"/>
        </w:rPr>
        <w:t>approximated</w:t>
      </w:r>
      <w:r>
        <w:rPr>
          <w:color w:val="010101"/>
          <w:spacing w:val="-8"/>
          <w:w w:val="110"/>
        </w:rPr>
        <w:t> </w:t>
      </w:r>
      <w:r>
        <w:rPr>
          <w:rFonts w:ascii="Arial" w:hAnsi="Arial"/>
          <w:color w:val="010101"/>
          <w:w w:val="110"/>
          <w:sz w:val="19"/>
        </w:rPr>
        <w:t>as</w:t>
      </w:r>
    </w:p>
    <w:p>
      <w:pPr>
        <w:spacing w:before="9"/>
        <w:ind w:left="126" w:right="0" w:firstLine="0"/>
        <w:jc w:val="left"/>
        <w:rPr>
          <w:sz w:val="20"/>
        </w:rPr>
      </w:pPr>
      <w:r>
        <w:rPr>
          <w:rFonts w:ascii="Arial" w:hAnsi="Arial"/>
          <w:i/>
          <w:color w:val="010101"/>
          <w:sz w:val="15"/>
        </w:rPr>
        <w:t>µ.-+!  </w:t>
      </w:r>
      <w:r>
        <w:rPr>
          <w:rFonts w:ascii="Arial" w:hAnsi="Arial"/>
          <w:color w:val="010101"/>
          <w:sz w:val="15"/>
        </w:rPr>
        <w:t>• </w:t>
      </w:r>
      <w:r>
        <w:rPr>
          <w:color w:val="010101"/>
          <w:sz w:val="20"/>
        </w:rPr>
        <w:t>Hence,</w:t>
      </w:r>
    </w:p>
    <w:p>
      <w:pPr>
        <w:spacing w:after="0"/>
        <w:jc w:val="left"/>
        <w:rPr>
          <w:sz w:val="20"/>
        </w:rPr>
        <w:sectPr>
          <w:pgSz w:w="7200" w:h="11340"/>
          <w:pgMar w:top="480" w:bottom="280" w:left="660" w:right="400"/>
        </w:sectPr>
      </w:pPr>
    </w:p>
    <w:p>
      <w:pPr>
        <w:spacing w:before="47"/>
        <w:ind w:left="2003" w:right="-15" w:firstLine="0"/>
        <w:jc w:val="left"/>
        <w:rPr>
          <w:sz w:val="21"/>
        </w:rPr>
      </w:pPr>
      <w:r>
        <w:rPr>
          <w:i/>
          <w:color w:val="010101"/>
          <w:w w:val="102"/>
          <w:sz w:val="25"/>
        </w:rPr>
        <w:t>m.</w:t>
      </w:r>
      <w:r>
        <w:rPr>
          <w:i/>
          <w:color w:val="010101"/>
          <w:spacing w:val="3"/>
          <w:sz w:val="25"/>
        </w:rPr>
        <w:t> </w:t>
      </w:r>
      <w:r>
        <w:rPr>
          <w:color w:val="010101"/>
          <w:w w:val="79"/>
          <w:sz w:val="22"/>
        </w:rPr>
        <w:t>=;</w:t>
      </w:r>
      <w:r>
        <w:rPr>
          <w:color w:val="010101"/>
          <w:sz w:val="22"/>
        </w:rPr>
        <w:t> </w:t>
      </w:r>
      <w:r>
        <w:rPr>
          <w:color w:val="010101"/>
          <w:spacing w:val="-25"/>
          <w:sz w:val="22"/>
        </w:rPr>
        <w:t> </w:t>
      </w:r>
      <w:r>
        <w:rPr>
          <w:rFonts w:ascii="Arial" w:hAnsi="Arial"/>
          <w:i/>
          <w:color w:val="010101"/>
          <w:w w:val="98"/>
          <w:sz w:val="15"/>
        </w:rPr>
        <w:t>µ•-+!</w:t>
      </w:r>
      <w:r>
        <w:rPr>
          <w:rFonts w:ascii="Arial" w:hAnsi="Arial"/>
          <w:i/>
          <w:color w:val="010101"/>
          <w:sz w:val="15"/>
        </w:rPr>
        <w:t>  </w:t>
      </w:r>
      <w:r>
        <w:rPr>
          <w:rFonts w:ascii="Arial" w:hAnsi="Arial"/>
          <w:i/>
          <w:color w:val="010101"/>
          <w:spacing w:val="-13"/>
          <w:sz w:val="15"/>
        </w:rPr>
        <w:t> </w:t>
      </w:r>
      <w:r>
        <w:rPr>
          <w:color w:val="010101"/>
          <w:w w:val="79"/>
          <w:sz w:val="22"/>
        </w:rPr>
        <w:t>=;</w:t>
      </w:r>
      <w:r>
        <w:rPr>
          <w:color w:val="010101"/>
          <w:sz w:val="22"/>
        </w:rPr>
        <w:t>  </w:t>
      </w:r>
      <w:r>
        <w:rPr>
          <w:color w:val="010101"/>
          <w:spacing w:val="-16"/>
          <w:w w:val="255"/>
          <w:sz w:val="22"/>
        </w:rPr>
        <w:t>-</w:t>
      </w:r>
      <w:r>
        <w:rPr>
          <w:color w:val="010101"/>
          <w:w w:val="102"/>
          <w:sz w:val="20"/>
        </w:rPr>
        <w:t>log</w:t>
      </w:r>
      <w:r>
        <w:rPr>
          <w:color w:val="010101"/>
          <w:spacing w:val="9"/>
          <w:sz w:val="20"/>
        </w:rPr>
        <w:t> </w:t>
      </w:r>
      <w:r>
        <w:rPr>
          <w:i/>
          <w:color w:val="010101"/>
          <w:w w:val="59"/>
          <w:sz w:val="21"/>
        </w:rPr>
        <w:t>P:s</w:t>
      </w:r>
      <w:r>
        <w:rPr>
          <w:i/>
          <w:color w:val="010101"/>
          <w:spacing w:val="23"/>
          <w:sz w:val="21"/>
        </w:rPr>
        <w:t> </w:t>
      </w:r>
      <w:r>
        <w:rPr>
          <w:color w:val="010101"/>
          <w:w w:val="60"/>
          <w:sz w:val="21"/>
        </w:rPr>
        <w:t>•</w:t>
      </w:r>
    </w:p>
    <w:p>
      <w:pPr>
        <w:spacing w:before="91"/>
        <w:ind w:left="1300" w:right="0" w:firstLine="0"/>
        <w:jc w:val="left"/>
        <w:rPr>
          <w:rFonts w:ascii="Arial"/>
          <w:b/>
          <w:sz w:val="19"/>
        </w:rPr>
      </w:pPr>
      <w:r>
        <w:rPr/>
        <w:br w:type="column"/>
      </w:r>
      <w:r>
        <w:rPr>
          <w:rFonts w:ascii="Arial"/>
          <w:b/>
          <w:color w:val="010101"/>
          <w:sz w:val="19"/>
        </w:rPr>
        <w:t>(8.11)</w:t>
      </w:r>
    </w:p>
    <w:p>
      <w:pPr>
        <w:spacing w:after="0"/>
        <w:jc w:val="left"/>
        <w:rPr>
          <w:rFonts w:ascii="Arial"/>
          <w:sz w:val="19"/>
        </w:rPr>
        <w:sectPr>
          <w:type w:val="continuous"/>
          <w:pgSz w:w="7200" w:h="11340"/>
          <w:pgMar w:top="1100" w:bottom="0" w:left="660" w:right="400"/>
          <w:cols w:num="2" w:equalWidth="0">
            <w:col w:w="4023" w:space="40"/>
            <w:col w:w="2077"/>
          </w:cols>
        </w:sectPr>
      </w:pPr>
    </w:p>
    <w:p>
      <w:pPr>
        <w:pStyle w:val="BodyText"/>
        <w:spacing w:before="3"/>
        <w:rPr>
          <w:rFonts w:ascii="Arial"/>
          <w:b/>
          <w:sz w:val="14"/>
        </w:rPr>
      </w:pPr>
    </w:p>
    <w:p>
      <w:pPr>
        <w:pStyle w:val="ListParagraph"/>
        <w:numPr>
          <w:ilvl w:val="0"/>
          <w:numId w:val="78"/>
        </w:numPr>
        <w:tabs>
          <w:tab w:pos="345" w:val="left" w:leader="none"/>
        </w:tabs>
        <w:spacing w:line="240" w:lineRule="auto" w:before="0" w:after="0"/>
        <w:ind w:left="345" w:right="0" w:hanging="216"/>
        <w:jc w:val="left"/>
        <w:rPr>
          <w:b/>
          <w:color w:val="010101"/>
          <w:sz w:val="19"/>
        </w:rPr>
      </w:pPr>
      <w:r>
        <w:rPr>
          <w:b/>
          <w:color w:val="010101"/>
          <w:w w:val="120"/>
          <w:sz w:val="19"/>
        </w:rPr>
        <w:t>The expectation of</w:t>
      </w:r>
      <w:r>
        <w:rPr>
          <w:b/>
          <w:color w:val="010101"/>
          <w:spacing w:val="45"/>
          <w:w w:val="120"/>
          <w:sz w:val="19"/>
        </w:rPr>
        <w:t> </w:t>
      </w:r>
      <w:r>
        <w:rPr>
          <w:b/>
          <w:color w:val="010101"/>
          <w:w w:val="120"/>
          <w:sz w:val="19"/>
        </w:rPr>
        <w:t>life</w:t>
      </w:r>
    </w:p>
    <w:p>
      <w:pPr>
        <w:pStyle w:val="BodyText"/>
        <w:spacing w:line="244" w:lineRule="auto" w:before="74"/>
        <w:ind w:left="122" w:right="251" w:firstLine="204"/>
        <w:jc w:val="both"/>
      </w:pPr>
      <w:r>
        <w:rPr/>
        <w:drawing>
          <wp:anchor distT="0" distB="0" distL="0" distR="0" allowOverlap="1" layoutInCell="1" locked="0" behindDoc="1" simplePos="0" relativeHeight="267713543">
            <wp:simplePos x="0" y="0"/>
            <wp:positionH relativeFrom="page">
              <wp:posOffset>1490472</wp:posOffset>
            </wp:positionH>
            <wp:positionV relativeFrom="paragraph">
              <wp:posOffset>751853</wp:posOffset>
            </wp:positionV>
            <wp:extent cx="1353312" cy="292608"/>
            <wp:effectExtent l="0" t="0" r="0" b="0"/>
            <wp:wrapNone/>
            <wp:docPr id="361" name="image186.png" descr=""/>
            <wp:cNvGraphicFramePr>
              <a:graphicFrameLocks noChangeAspect="1"/>
            </wp:cNvGraphicFramePr>
            <a:graphic>
              <a:graphicData uri="http://schemas.openxmlformats.org/drawingml/2006/picture">
                <pic:pic>
                  <pic:nvPicPr>
                    <pic:cNvPr id="362" name="image186.png"/>
                    <pic:cNvPicPr/>
                  </pic:nvPicPr>
                  <pic:blipFill>
                    <a:blip r:embed="rId190" cstate="print"/>
                    <a:stretch>
                      <a:fillRect/>
                    </a:stretch>
                  </pic:blipFill>
                  <pic:spPr>
                    <a:xfrm>
                      <a:off x="0" y="0"/>
                      <a:ext cx="1353312" cy="292608"/>
                    </a:xfrm>
                    <a:prstGeom prst="rect">
                      <a:avLst/>
                    </a:prstGeom>
                  </pic:spPr>
                </pic:pic>
              </a:graphicData>
            </a:graphic>
          </wp:anchor>
        </w:drawing>
      </w:r>
      <w:r>
        <w:rPr>
          <w:color w:val="010101"/>
          <w:w w:val="110"/>
        </w:rPr>
        <w:t>A function which </w:t>
      </w:r>
      <w:r>
        <w:rPr>
          <w:rFonts w:ascii="Arial"/>
          <w:color w:val="010101"/>
          <w:sz w:val="21"/>
        </w:rPr>
        <w:t>is </w:t>
      </w:r>
      <w:r>
        <w:rPr>
          <w:color w:val="010101"/>
          <w:w w:val="110"/>
        </w:rPr>
        <w:t>frequcntly encountered in connection with mortlity tables based on population  statistics is the expectation  </w:t>
      </w:r>
      <w:r>
        <w:rPr>
          <w:color w:val="010101"/>
        </w:rPr>
        <w:t>of</w:t>
      </w:r>
      <w:r>
        <w:rPr>
          <w:color w:val="010101"/>
          <w:spacing w:val="-5"/>
        </w:rPr>
        <w:t> </w:t>
      </w:r>
      <w:r>
        <w:rPr>
          <w:color w:val="010101"/>
          <w:w w:val="110"/>
        </w:rPr>
        <w:t>life.</w:t>
      </w:r>
      <w:r>
        <w:rPr>
          <w:color w:val="010101"/>
          <w:spacing w:val="-25"/>
          <w:w w:val="110"/>
        </w:rPr>
        <w:t> </w:t>
      </w:r>
      <w:r>
        <w:rPr>
          <w:color w:val="010101"/>
          <w:w w:val="110"/>
        </w:rPr>
        <w:t>This</w:t>
      </w:r>
      <w:r>
        <w:rPr>
          <w:color w:val="010101"/>
          <w:spacing w:val="-20"/>
          <w:w w:val="110"/>
        </w:rPr>
        <w:t> </w:t>
      </w:r>
      <w:r>
        <w:rPr>
          <w:color w:val="010101"/>
          <w:w w:val="110"/>
        </w:rPr>
        <w:t>appears</w:t>
      </w:r>
      <w:r>
        <w:rPr>
          <w:color w:val="010101"/>
          <w:spacing w:val="-19"/>
          <w:w w:val="110"/>
        </w:rPr>
        <w:t> </w:t>
      </w:r>
      <w:r>
        <w:rPr>
          <w:color w:val="010101"/>
          <w:w w:val="110"/>
        </w:rPr>
        <w:t>in</w:t>
      </w:r>
      <w:r>
        <w:rPr>
          <w:color w:val="010101"/>
          <w:spacing w:val="-14"/>
          <w:w w:val="110"/>
        </w:rPr>
        <w:t> </w:t>
      </w:r>
      <w:r>
        <w:rPr>
          <w:color w:val="010101"/>
          <w:w w:val="110"/>
        </w:rPr>
        <w:t>two</w:t>
      </w:r>
      <w:r>
        <w:rPr>
          <w:color w:val="010101"/>
          <w:spacing w:val="-19"/>
          <w:w w:val="110"/>
        </w:rPr>
        <w:t> </w:t>
      </w:r>
      <w:r>
        <w:rPr>
          <w:color w:val="010101"/>
          <w:w w:val="110"/>
        </w:rPr>
        <w:t>forms,</w:t>
      </w:r>
      <w:r>
        <w:rPr>
          <w:color w:val="010101"/>
          <w:spacing w:val="-19"/>
          <w:w w:val="110"/>
        </w:rPr>
        <w:t> </w:t>
      </w:r>
      <w:r>
        <w:rPr>
          <w:color w:val="010101"/>
          <w:w w:val="110"/>
        </w:rPr>
        <w:t>the</w:t>
      </w:r>
      <w:r>
        <w:rPr>
          <w:color w:val="010101"/>
          <w:spacing w:val="-21"/>
          <w:w w:val="110"/>
        </w:rPr>
        <w:t> </w:t>
      </w:r>
      <w:r>
        <w:rPr>
          <w:i/>
          <w:color w:val="010101"/>
          <w:w w:val="110"/>
          <w:sz w:val="21"/>
        </w:rPr>
        <w:t>curtate</w:t>
      </w:r>
      <w:r>
        <w:rPr>
          <w:i/>
          <w:color w:val="010101"/>
          <w:spacing w:val="-19"/>
          <w:w w:val="110"/>
          <w:sz w:val="21"/>
        </w:rPr>
        <w:t> </w:t>
      </w:r>
      <w:r>
        <w:rPr>
          <w:color w:val="010101"/>
          <w:w w:val="110"/>
        </w:rPr>
        <w:t>cxpectation</w:t>
      </w:r>
      <w:r>
        <w:rPr>
          <w:color w:val="010101"/>
          <w:spacing w:val="-19"/>
          <w:w w:val="110"/>
        </w:rPr>
        <w:t> </w:t>
      </w:r>
      <w:r>
        <w:rPr>
          <w:i/>
          <w:color w:val="010101"/>
          <w:w w:val="110"/>
          <w:sz w:val="21"/>
        </w:rPr>
        <w:t>e.</w:t>
      </w:r>
      <w:r>
        <w:rPr>
          <w:i/>
          <w:color w:val="010101"/>
          <w:spacing w:val="-43"/>
          <w:w w:val="110"/>
          <w:sz w:val="21"/>
        </w:rPr>
        <w:t> </w:t>
      </w:r>
      <w:r>
        <w:rPr>
          <w:color w:val="010101"/>
          <w:w w:val="110"/>
        </w:rPr>
        <w:t>and</w:t>
      </w:r>
      <w:r>
        <w:rPr>
          <w:color w:val="010101"/>
          <w:spacing w:val="-15"/>
          <w:w w:val="110"/>
        </w:rPr>
        <w:t> </w:t>
      </w:r>
      <w:r>
        <w:rPr>
          <w:color w:val="010101"/>
          <w:w w:val="110"/>
        </w:rPr>
        <w:t>the </w:t>
      </w:r>
      <w:r>
        <w:rPr>
          <w:i/>
          <w:color w:val="010101"/>
          <w:w w:val="84"/>
          <w:sz w:val="21"/>
        </w:rPr>
        <w:t>complet.e  </w:t>
      </w:r>
      <w:r>
        <w:rPr>
          <w:color w:val="010101"/>
          <w:w w:val="105"/>
        </w:rPr>
        <w:t>expectation   </w:t>
      </w:r>
      <w:r>
        <w:rPr>
          <w:color w:val="010101"/>
          <w:spacing w:val="-10"/>
          <w:w w:val="209"/>
        </w:rPr>
        <w:t>.,</w:t>
      </w:r>
      <w:r>
        <w:rPr>
          <w:color w:val="010101"/>
          <w:w w:val="209"/>
        </w:rPr>
        <w:t> </w:t>
      </w:r>
      <w:r>
        <w:rPr>
          <w:color w:val="010101"/>
          <w:w w:val="100"/>
        </w:rPr>
        <w:t>defined </w:t>
      </w:r>
      <w:r>
        <w:rPr>
          <w:color w:val="010101"/>
          <w:w w:val="112"/>
        </w:rPr>
        <w:t>as</w:t>
      </w:r>
      <w:r>
        <w:rPr>
          <w:color w:val="010101"/>
          <w:spacing w:val="3"/>
          <w:w w:val="112"/>
        </w:rPr>
        <w:t> </w:t>
      </w:r>
      <w:r>
        <w:rPr>
          <w:color w:val="010101"/>
          <w:w w:val="100"/>
        </w:rPr>
        <w:t>follows:</w:t>
      </w:r>
    </w:p>
    <w:p>
      <w:pPr>
        <w:pStyle w:val="BodyText"/>
        <w:spacing w:before="1"/>
        <w:rPr>
          <w:sz w:val="15"/>
        </w:rPr>
      </w:pPr>
    </w:p>
    <w:p>
      <w:pPr>
        <w:spacing w:after="0"/>
        <w:rPr>
          <w:sz w:val="15"/>
        </w:rPr>
        <w:sectPr>
          <w:type w:val="continuous"/>
          <w:pgSz w:w="7200" w:h="11340"/>
          <w:pgMar w:top="1100" w:bottom="0" w:left="660" w:right="400"/>
        </w:sectPr>
      </w:pPr>
    </w:p>
    <w:p>
      <w:pPr>
        <w:pStyle w:val="BodyText"/>
        <w:spacing w:before="5"/>
        <w:rPr>
          <w:sz w:val="36"/>
        </w:rPr>
      </w:pPr>
    </w:p>
    <w:p>
      <w:pPr>
        <w:spacing w:line="477" w:lineRule="exact" w:before="0"/>
        <w:ind w:left="1701" w:right="0" w:firstLine="0"/>
        <w:jc w:val="center"/>
        <w:rPr>
          <w:rFonts w:ascii="Arial"/>
          <w:i/>
          <w:sz w:val="19"/>
        </w:rPr>
      </w:pPr>
      <w:r>
        <w:rPr/>
        <w:pict>
          <v:shape style="position:absolute;margin-left:141.415802pt;margin-top:20.488768pt;width:3pt;height:10.5pt;mso-position-horizontal-relative:page;mso-position-vertical-relative:paragraph;z-index:-721888" type="#_x0000_t202" filled="false" stroked="false">
            <v:textbox inset="0,0,0,0">
              <w:txbxContent>
                <w:p>
                  <w:pPr>
                    <w:spacing w:line="210" w:lineRule="exact" w:before="0"/>
                    <w:ind w:left="0" w:right="0" w:firstLine="0"/>
                    <w:jc w:val="left"/>
                    <w:rPr>
                      <w:rFonts w:ascii="Arial"/>
                      <w:sz w:val="21"/>
                    </w:rPr>
                  </w:pPr>
                  <w:r>
                    <w:rPr>
                      <w:rFonts w:ascii="Arial"/>
                      <w:color w:val="010101"/>
                      <w:spacing w:val="-60"/>
                      <w:w w:val="101"/>
                      <w:sz w:val="21"/>
                    </w:rPr>
                    <w:t>1</w:t>
                  </w:r>
                </w:p>
              </w:txbxContent>
            </v:textbox>
            <w10:wrap type="none"/>
          </v:shape>
        </w:pict>
      </w:r>
      <w:r>
        <w:rPr>
          <w:b/>
          <w:color w:val="010101"/>
          <w:w w:val="102"/>
          <w:sz w:val="20"/>
        </w:rPr>
        <w:t>lz</w:t>
      </w:r>
      <w:r>
        <w:rPr>
          <w:b/>
          <w:color w:val="010101"/>
          <w:sz w:val="20"/>
        </w:rPr>
        <w:t> </w:t>
      </w:r>
      <w:r>
        <w:rPr>
          <w:b/>
          <w:color w:val="010101"/>
          <w:spacing w:val="-8"/>
          <w:sz w:val="20"/>
        </w:rPr>
        <w:t> </w:t>
      </w:r>
      <w:r>
        <w:rPr>
          <w:color w:val="010101"/>
          <w:spacing w:val="-22"/>
          <w:w w:val="94"/>
          <w:sz w:val="26"/>
        </w:rPr>
        <w:t>=</w:t>
      </w:r>
      <w:r>
        <w:rPr>
          <w:color w:val="010101"/>
          <w:spacing w:val="-248"/>
          <w:w w:val="188"/>
          <w:sz w:val="26"/>
        </w:rPr>
        <w:t>-</w:t>
      </w:r>
      <w:r>
        <w:rPr>
          <w:b/>
          <w:color w:val="010101"/>
          <w:w w:val="89"/>
          <w:position w:val="9"/>
          <w:sz w:val="21"/>
        </w:rPr>
        <w:t>1</w:t>
      </w:r>
      <w:r>
        <w:rPr>
          <w:b/>
          <w:color w:val="010101"/>
          <w:position w:val="9"/>
          <w:sz w:val="21"/>
        </w:rPr>
        <w:t> </w:t>
      </w:r>
      <w:r>
        <w:rPr>
          <w:b/>
          <w:color w:val="010101"/>
          <w:spacing w:val="-19"/>
          <w:position w:val="9"/>
          <w:sz w:val="21"/>
        </w:rPr>
        <w:t> </w:t>
      </w:r>
      <w:r>
        <w:rPr>
          <w:b/>
          <w:color w:val="010101"/>
          <w:w w:val="50"/>
          <w:position w:val="9"/>
          <w:sz w:val="39"/>
        </w:rPr>
        <w:t>iao</w:t>
      </w:r>
      <w:r>
        <w:rPr>
          <w:b/>
          <w:color w:val="010101"/>
          <w:spacing w:val="-36"/>
          <w:position w:val="9"/>
          <w:sz w:val="39"/>
        </w:rPr>
        <w:t> </w:t>
      </w:r>
      <w:r>
        <w:rPr>
          <w:rFonts w:ascii="Arial"/>
          <w:color w:val="010101"/>
          <w:w w:val="48"/>
          <w:sz w:val="21"/>
        </w:rPr>
        <w:t>Z2:+c</w:t>
      </w:r>
      <w:r>
        <w:rPr>
          <w:rFonts w:ascii="Arial"/>
          <w:color w:val="010101"/>
          <w:spacing w:val="22"/>
          <w:sz w:val="21"/>
        </w:rPr>
        <w:t> </w:t>
      </w:r>
      <w:r>
        <w:rPr>
          <w:i/>
          <w:color w:val="010101"/>
          <w:w w:val="91"/>
          <w:sz w:val="21"/>
        </w:rPr>
        <w:t>dt</w:t>
      </w:r>
      <w:r>
        <w:rPr>
          <w:i/>
          <w:color w:val="010101"/>
          <w:sz w:val="21"/>
        </w:rPr>
        <w:t> </w:t>
      </w:r>
      <w:r>
        <w:rPr>
          <w:i/>
          <w:color w:val="010101"/>
          <w:spacing w:val="-1"/>
          <w:sz w:val="21"/>
        </w:rPr>
        <w:t> </w:t>
      </w:r>
      <w:r>
        <w:rPr>
          <w:color w:val="010101"/>
          <w:w w:val="99"/>
          <w:sz w:val="24"/>
        </w:rPr>
        <w:t>=</w:t>
      </w:r>
      <w:r>
        <w:rPr>
          <w:color w:val="010101"/>
          <w:sz w:val="24"/>
        </w:rPr>
        <w:t> </w:t>
      </w:r>
      <w:r>
        <w:rPr>
          <w:color w:val="010101"/>
          <w:spacing w:val="-22"/>
          <w:sz w:val="24"/>
        </w:rPr>
        <w:t> </w:t>
      </w:r>
      <w:r>
        <w:rPr>
          <w:b/>
          <w:color w:val="010101"/>
          <w:w w:val="50"/>
          <w:position w:val="9"/>
          <w:sz w:val="39"/>
        </w:rPr>
        <w:t>lao</w:t>
      </w:r>
      <w:r>
        <w:rPr>
          <w:b/>
          <w:color w:val="010101"/>
          <w:spacing w:val="-36"/>
          <w:position w:val="9"/>
          <w:sz w:val="39"/>
        </w:rPr>
        <w:t> </w:t>
      </w:r>
      <w:r>
        <w:rPr>
          <w:rFonts w:ascii="Arial"/>
          <w:i/>
          <w:color w:val="010101"/>
          <w:w w:val="63"/>
          <w:sz w:val="35"/>
        </w:rPr>
        <w:t>,p.</w:t>
      </w:r>
      <w:r>
        <w:rPr>
          <w:rFonts w:ascii="Arial"/>
          <w:i/>
          <w:color w:val="010101"/>
          <w:spacing w:val="-48"/>
          <w:sz w:val="35"/>
        </w:rPr>
        <w:t> </w:t>
      </w:r>
      <w:r>
        <w:rPr>
          <w:rFonts w:ascii="Arial"/>
          <w:i/>
          <w:color w:val="010101"/>
          <w:w w:val="103"/>
          <w:sz w:val="19"/>
        </w:rPr>
        <w:t>dt.</w:t>
      </w:r>
    </w:p>
    <w:p>
      <w:pPr>
        <w:tabs>
          <w:tab w:pos="2922" w:val="left" w:leader="none"/>
        </w:tabs>
        <w:spacing w:line="156" w:lineRule="exact" w:before="0"/>
        <w:ind w:left="1551" w:right="0" w:firstLine="0"/>
        <w:jc w:val="center"/>
        <w:rPr>
          <w:b/>
          <w:sz w:val="18"/>
        </w:rPr>
      </w:pPr>
      <w:r>
        <w:rPr>
          <w:color w:val="010101"/>
          <w:w w:val="95"/>
          <w:sz w:val="8"/>
        </w:rPr>
        <w:t>%       </w:t>
      </w:r>
      <w:r>
        <w:rPr>
          <w:color w:val="010101"/>
          <w:spacing w:val="3"/>
          <w:w w:val="95"/>
          <w:sz w:val="8"/>
        </w:rPr>
        <w:t> </w:t>
      </w:r>
      <w:r>
        <w:rPr>
          <w:b/>
          <w:color w:val="010101"/>
          <w:w w:val="95"/>
          <w:sz w:val="18"/>
        </w:rPr>
        <w:t>o</w:t>
        <w:tab/>
        <w:t>o</w:t>
      </w:r>
    </w:p>
    <w:p>
      <w:pPr>
        <w:pStyle w:val="BodyText"/>
        <w:spacing w:before="75"/>
        <w:ind w:left="874"/>
      </w:pPr>
      <w:r>
        <w:rPr/>
        <w:br w:type="column"/>
      </w:r>
      <w:r>
        <w:rPr>
          <w:color w:val="010101"/>
          <w:w w:val="110"/>
        </w:rPr>
        <w:t>(8.12a)</w:t>
      </w:r>
    </w:p>
    <w:p>
      <w:pPr>
        <w:pStyle w:val="BodyText"/>
      </w:pPr>
    </w:p>
    <w:p>
      <w:pPr>
        <w:pStyle w:val="BodyText"/>
        <w:spacing w:before="144"/>
        <w:ind w:left="864"/>
      </w:pPr>
      <w:r>
        <w:rPr>
          <w:color w:val="010101"/>
          <w:w w:val="105"/>
        </w:rPr>
        <w:t>(8.12b)</w:t>
      </w:r>
    </w:p>
    <w:p>
      <w:pPr>
        <w:spacing w:after="0"/>
        <w:sectPr>
          <w:type w:val="continuous"/>
          <w:pgSz w:w="7200" w:h="11340"/>
          <w:pgMar w:top="1100" w:bottom="0" w:left="660" w:right="400"/>
          <w:cols w:num="2" w:equalWidth="0">
            <w:col w:w="4344" w:space="40"/>
            <w:col w:w="1756"/>
          </w:cols>
        </w:sectPr>
      </w:pPr>
    </w:p>
    <w:p>
      <w:pPr>
        <w:pStyle w:val="BodyText"/>
        <w:spacing w:line="247" w:lineRule="auto" w:before="90"/>
        <w:ind w:left="122" w:right="254" w:firstLine="10"/>
        <w:jc w:val="both"/>
      </w:pPr>
      <w:r>
        <w:rPr>
          <w:color w:val="010101"/>
          <w:w w:val="105"/>
          <w:sz w:val="22"/>
        </w:rPr>
        <w:t>In </w:t>
      </w:r>
      <w:r>
        <w:rPr>
          <w:color w:val="010101"/>
          <w:w w:val="105"/>
        </w:rPr>
        <w:t>either form, the function may be interpreted as representing the average</w:t>
      </w:r>
      <w:r>
        <w:rPr>
          <w:color w:val="010101"/>
          <w:spacing w:val="-8"/>
          <w:w w:val="105"/>
        </w:rPr>
        <w:t> </w:t>
      </w:r>
      <w:r>
        <w:rPr>
          <w:color w:val="010101"/>
          <w:w w:val="105"/>
        </w:rPr>
        <w:t>future</w:t>
      </w:r>
      <w:r>
        <w:rPr>
          <w:color w:val="010101"/>
          <w:spacing w:val="-17"/>
          <w:w w:val="105"/>
        </w:rPr>
        <w:t> </w:t>
      </w:r>
      <w:r>
        <w:rPr>
          <w:color w:val="010101"/>
          <w:w w:val="105"/>
        </w:rPr>
        <w:t>lifetime</w:t>
      </w:r>
      <w:r>
        <w:rPr>
          <w:color w:val="010101"/>
          <w:spacing w:val="-5"/>
          <w:w w:val="105"/>
        </w:rPr>
        <w:t> </w:t>
      </w:r>
      <w:r>
        <w:rPr>
          <w:color w:val="010101"/>
          <w:w w:val="105"/>
        </w:rPr>
        <w:t>at</w:t>
      </w:r>
      <w:r>
        <w:rPr>
          <w:color w:val="010101"/>
          <w:spacing w:val="-5"/>
          <w:w w:val="105"/>
        </w:rPr>
        <w:t> </w:t>
      </w:r>
      <w:r>
        <w:rPr>
          <w:color w:val="010101"/>
          <w:w w:val="105"/>
        </w:rPr>
        <w:t>a.ge</w:t>
      </w:r>
      <w:r>
        <w:rPr>
          <w:color w:val="010101"/>
          <w:spacing w:val="-17"/>
          <w:w w:val="105"/>
        </w:rPr>
        <w:t> </w:t>
      </w:r>
      <w:r>
        <w:rPr>
          <w:i/>
          <w:color w:val="010101"/>
          <w:w w:val="105"/>
          <w:sz w:val="21"/>
        </w:rPr>
        <w:t>x.</w:t>
      </w:r>
      <w:r>
        <w:rPr>
          <w:i/>
          <w:color w:val="010101"/>
          <w:spacing w:val="-21"/>
          <w:w w:val="105"/>
          <w:sz w:val="21"/>
        </w:rPr>
        <w:t> </w:t>
      </w:r>
      <w:r>
        <w:rPr>
          <w:color w:val="010101"/>
          <w:w w:val="105"/>
        </w:rPr>
        <w:t>The</w:t>
      </w:r>
      <w:r>
        <w:rPr>
          <w:color w:val="010101"/>
          <w:spacing w:val="-16"/>
          <w:w w:val="105"/>
        </w:rPr>
        <w:t> </w:t>
      </w:r>
      <w:r>
        <w:rPr>
          <w:color w:val="010101"/>
          <w:w w:val="105"/>
        </w:rPr>
        <w:t>form</w:t>
      </w:r>
      <w:r>
        <w:rPr>
          <w:color w:val="010101"/>
          <w:spacing w:val="-11"/>
          <w:w w:val="105"/>
        </w:rPr>
        <w:t> </w:t>
      </w:r>
      <w:r>
        <w:rPr>
          <w:i/>
          <w:color w:val="010101"/>
          <w:sz w:val="21"/>
        </w:rPr>
        <w:t>e:s</w:t>
      </w:r>
      <w:r>
        <w:rPr>
          <w:i/>
          <w:color w:val="010101"/>
          <w:spacing w:val="-9"/>
          <w:sz w:val="21"/>
        </w:rPr>
        <w:t> </w:t>
      </w:r>
      <w:r>
        <w:rPr>
          <w:color w:val="010101"/>
          <w:w w:val="105"/>
        </w:rPr>
        <w:t>includes</w:t>
      </w:r>
      <w:r>
        <w:rPr>
          <w:color w:val="010101"/>
          <w:spacing w:val="-10"/>
          <w:w w:val="105"/>
        </w:rPr>
        <w:t> </w:t>
      </w:r>
      <w:r>
        <w:rPr>
          <w:color w:val="010101"/>
          <w:w w:val="105"/>
        </w:rPr>
        <w:t>only full</w:t>
      </w:r>
      <w:r>
        <w:rPr>
          <w:color w:val="010101"/>
          <w:spacing w:val="-15"/>
          <w:w w:val="105"/>
        </w:rPr>
        <w:t> </w:t>
      </w:r>
      <w:r>
        <w:rPr>
          <w:color w:val="010101"/>
          <w:w w:val="105"/>
        </w:rPr>
        <w:t>years of future lifetime and hence is curtate in the sense that it ignores final fra.ctional years of </w:t>
      </w:r>
      <w:r>
        <w:rPr>
          <w:color w:val="010101"/>
          <w:spacing w:val="4"/>
          <w:w w:val="105"/>
        </w:rPr>
        <w:t>life </w:t>
      </w:r>
      <w:r>
        <w:rPr>
          <w:color w:val="010101"/>
          <w:w w:val="105"/>
        </w:rPr>
        <w:t>while </w:t>
      </w:r>
      <w:r>
        <w:rPr>
          <w:rFonts w:ascii="Arial"/>
          <w:color w:val="010101"/>
          <w:w w:val="105"/>
          <w:position w:val="-2"/>
          <w:sz w:val="9"/>
        </w:rPr>
        <w:t>21 </w:t>
      </w:r>
      <w:r>
        <w:rPr>
          <w:color w:val="010101"/>
          <w:w w:val="105"/>
        </w:rPr>
        <w:t>includes thc complete </w:t>
      </w:r>
      <w:r>
        <w:rPr>
          <w:rFonts w:ascii="Arial"/>
          <w:color w:val="010101"/>
          <w:w w:val="105"/>
          <w:sz w:val="19"/>
        </w:rPr>
        <w:t>f</w:t>
      </w:r>
      <w:r>
        <w:rPr>
          <w:color w:val="010101"/>
          <w:w w:val="105"/>
        </w:rPr>
        <w:t>uture lifetime. On the average, the complete future lifetime exceeds by half a year the number of integral years in the future lifctime, and hence</w:t>
      </w:r>
    </w:p>
    <w:p>
      <w:pPr>
        <w:tabs>
          <w:tab w:pos="5369" w:val="left" w:leader="none"/>
        </w:tabs>
        <w:spacing w:line="293" w:lineRule="exact" w:before="0"/>
        <w:ind w:left="2538" w:right="0" w:firstLine="0"/>
        <w:jc w:val="left"/>
        <w:rPr>
          <w:sz w:val="20"/>
        </w:rPr>
      </w:pPr>
      <w:r>
        <w:rPr>
          <w:rFonts w:ascii="Arial" w:hAnsi="Arial"/>
          <w:color w:val="010101"/>
          <w:spacing w:val="-33"/>
          <w:w w:val="374"/>
          <w:sz w:val="19"/>
        </w:rPr>
        <w:t>.</w:t>
      </w:r>
      <w:r>
        <w:rPr>
          <w:rFonts w:ascii="Arial" w:hAnsi="Arial"/>
          <w:color w:val="010101"/>
          <w:w w:val="93"/>
          <w:sz w:val="19"/>
        </w:rPr>
        <w:t>=¡</w:t>
      </w:r>
      <w:r>
        <w:rPr>
          <w:rFonts w:ascii="Arial" w:hAnsi="Arial"/>
          <w:color w:val="010101"/>
          <w:spacing w:val="13"/>
          <w:sz w:val="19"/>
        </w:rPr>
        <w:t> </w:t>
      </w:r>
      <w:r>
        <w:rPr>
          <w:i/>
          <w:color w:val="010101"/>
          <w:w w:val="61"/>
          <w:sz w:val="29"/>
        </w:rPr>
        <w:t>e,.</w:t>
      </w:r>
      <w:r>
        <w:rPr>
          <w:i/>
          <w:color w:val="010101"/>
          <w:spacing w:val="-16"/>
          <w:sz w:val="29"/>
        </w:rPr>
        <w:t> </w:t>
      </w:r>
      <w:r>
        <w:rPr>
          <w:i/>
          <w:color w:val="010101"/>
          <w:w w:val="103"/>
          <w:sz w:val="29"/>
        </w:rPr>
        <w:t>+</w:t>
      </w:r>
      <w:r>
        <w:rPr>
          <w:i/>
          <w:color w:val="010101"/>
          <w:spacing w:val="-21"/>
          <w:sz w:val="29"/>
        </w:rPr>
        <w:t> </w:t>
      </w:r>
      <w:r>
        <w:rPr>
          <w:color w:val="010101"/>
          <w:w w:val="125"/>
          <w:sz w:val="20"/>
        </w:rPr>
        <w:t>j.</w:t>
      </w:r>
      <w:r>
        <w:rPr>
          <w:color w:val="010101"/>
          <w:sz w:val="20"/>
        </w:rPr>
        <w:tab/>
      </w:r>
      <w:r>
        <w:rPr>
          <w:color w:val="010101"/>
          <w:w w:val="104"/>
          <w:sz w:val="20"/>
        </w:rPr>
        <w:t>(8</w:t>
      </w:r>
      <w:r>
        <w:rPr>
          <w:color w:val="010101"/>
          <w:spacing w:val="5"/>
          <w:w w:val="104"/>
          <w:sz w:val="20"/>
        </w:rPr>
        <w:t>.</w:t>
      </w:r>
      <w:r>
        <w:rPr>
          <w:color w:val="010101"/>
          <w:spacing w:val="-39"/>
          <w:w w:val="121"/>
          <w:sz w:val="20"/>
        </w:rPr>
        <w:t>1</w:t>
      </w:r>
      <w:r>
        <w:rPr>
          <w:color w:val="010101"/>
          <w:w w:val="117"/>
          <w:sz w:val="20"/>
        </w:rPr>
        <w:t>3)</w:t>
      </w:r>
    </w:p>
    <w:p>
      <w:pPr>
        <w:pStyle w:val="BodyText"/>
        <w:spacing w:line="129" w:lineRule="auto" w:before="192"/>
        <w:ind w:left="126" w:right="219" w:firstLine="3"/>
      </w:pPr>
      <w:r>
        <w:rPr>
          <w:color w:val="010101"/>
          <w:w w:val="105"/>
        </w:rPr>
        <w:t>This formula is analogous to the relationship between  the  two forma oí life annuity, </w:t>
      </w:r>
      <w:r>
        <w:rPr>
          <w:i/>
          <w:color w:val="010101"/>
          <w:sz w:val="21"/>
        </w:rPr>
        <w:t>á:s </w:t>
      </w:r>
      <w:r>
        <w:rPr>
          <w:color w:val="010101"/>
          <w:w w:val="105"/>
          <w:sz w:val="22"/>
        </w:rPr>
        <w:t>=; </w:t>
      </w:r>
      <w:r>
        <w:rPr>
          <w:i/>
          <w:color w:val="010101"/>
          <w:w w:val="105"/>
          <w:sz w:val="21"/>
        </w:rPr>
        <w:t>a,. </w:t>
      </w:r>
      <w:r>
        <w:rPr>
          <w:rFonts w:ascii="Arial" w:hAnsi="Arial"/>
          <w:color w:val="010101"/>
          <w:w w:val="105"/>
          <w:sz w:val="32"/>
        </w:rPr>
        <w:t>+ </w:t>
      </w:r>
      <w:r>
        <w:rPr>
          <w:color w:val="010101"/>
          <w:w w:val="105"/>
          <w:sz w:val="26"/>
        </w:rPr>
        <w:t>i, </w:t>
      </w:r>
      <w:r>
        <w:rPr>
          <w:color w:val="010101"/>
          <w:w w:val="105"/>
        </w:rPr>
        <w:t>and the expectation of life is in</w:t>
      </w:r>
    </w:p>
    <w:p>
      <w:pPr>
        <w:pStyle w:val="BodyText"/>
        <w:spacing w:line="244" w:lineRule="auto" w:before="14"/>
        <w:ind w:left="118" w:right="256" w:firstLine="7"/>
      </w:pPr>
      <w:r>
        <w:rPr>
          <w:color w:val="010101"/>
          <w:w w:val="105"/>
        </w:rPr>
        <w:t>fact a special case of the life annuity when the rate of interest  is zero.</w:t>
      </w:r>
    </w:p>
    <w:p>
      <w:pPr>
        <w:pStyle w:val="BodyText"/>
        <w:spacing w:line="247" w:lineRule="auto" w:before="6"/>
        <w:ind w:left="118" w:right="253" w:firstLine="197"/>
      </w:pPr>
      <w:r>
        <w:rPr>
          <w:color w:val="010101"/>
          <w:w w:val="105"/>
        </w:rPr>
        <w:t>There are expectation functions corresponding to other types of life a.nnuity. For example, temporary expectations of life, e.:</w:t>
      </w:r>
      <w:r>
        <w:rPr>
          <w:color w:val="010101"/>
          <w:w w:val="105"/>
          <w:sz w:val="18"/>
        </w:rPr>
        <w:t>-;J   </w:t>
      </w:r>
      <w:r>
        <w:rPr>
          <w:color w:val="010101"/>
          <w:w w:val="105"/>
        </w:rPr>
        <w:t>and</w:t>
      </w:r>
    </w:p>
    <w:p>
      <w:pPr>
        <w:spacing w:after="0" w:line="247" w:lineRule="auto"/>
        <w:sectPr>
          <w:type w:val="continuous"/>
          <w:pgSz w:w="7200" w:h="11340"/>
          <w:pgMar w:top="1100" w:bottom="0" w:left="660" w:right="400"/>
        </w:sectPr>
      </w:pPr>
    </w:p>
    <w:p>
      <w:pPr>
        <w:tabs>
          <w:tab w:pos="2083" w:val="left" w:leader="none"/>
          <w:tab w:pos="5319" w:val="left" w:leader="none"/>
        </w:tabs>
        <w:spacing w:before="64"/>
        <w:ind w:left="139" w:right="0" w:firstLine="0"/>
        <w:jc w:val="left"/>
        <w:rPr>
          <w:rFonts w:ascii="Arial"/>
          <w:b/>
          <w:sz w:val="19"/>
        </w:rPr>
      </w:pPr>
      <w:r>
        <w:rPr>
          <w:color w:val="010101"/>
          <w:sz w:val="19"/>
        </w:rPr>
        <w:t>174</w:t>
        <w:tab/>
      </w:r>
      <w:r>
        <w:rPr>
          <w:b/>
          <w:color w:val="010101"/>
          <w:sz w:val="15"/>
        </w:rPr>
        <w:t>POPULATION  </w:t>
      </w:r>
      <w:r>
        <w:rPr>
          <w:b/>
          <w:color w:val="010101"/>
          <w:spacing w:val="2"/>
          <w:sz w:val="15"/>
        </w:rPr>
        <w:t> </w:t>
      </w:r>
      <w:r>
        <w:rPr>
          <w:b/>
          <w:color w:val="010101"/>
          <w:sz w:val="15"/>
        </w:rPr>
        <w:t>THEORY</w:t>
        <w:tab/>
      </w:r>
      <w:r>
        <w:rPr>
          <w:b/>
          <w:color w:val="010101"/>
          <w:w w:val="95"/>
          <w:sz w:val="19"/>
        </w:rPr>
        <w:t>[CH.</w:t>
      </w:r>
      <w:r>
        <w:rPr>
          <w:b/>
          <w:color w:val="010101"/>
          <w:spacing w:val="9"/>
          <w:w w:val="95"/>
          <w:sz w:val="19"/>
        </w:rPr>
        <w:t> </w:t>
      </w:r>
      <w:r>
        <w:rPr>
          <w:rFonts w:ascii="Arial"/>
          <w:b/>
          <w:color w:val="010101"/>
          <w:w w:val="95"/>
          <w:sz w:val="19"/>
        </w:rPr>
        <w:t>8</w:t>
      </w:r>
    </w:p>
    <w:p>
      <w:pPr>
        <w:pStyle w:val="BodyText"/>
        <w:spacing w:before="8"/>
        <w:rPr>
          <w:rFonts w:ascii="Arial"/>
          <w:b/>
          <w:sz w:val="13"/>
        </w:rPr>
      </w:pPr>
    </w:p>
    <w:p>
      <w:pPr>
        <w:spacing w:before="73"/>
        <w:ind w:left="114" w:right="0" w:firstLine="0"/>
        <w:jc w:val="left"/>
        <w:rPr>
          <w:sz w:val="21"/>
        </w:rPr>
      </w:pPr>
      <w:r>
        <w:rPr>
          <w:color w:val="010101"/>
          <w:w w:val="105"/>
          <w:sz w:val="19"/>
        </w:rPr>
        <w:t>lz</w:t>
      </w:r>
      <w:r>
        <w:rPr>
          <w:color w:val="1F1F1F"/>
          <w:w w:val="105"/>
          <w:sz w:val="19"/>
        </w:rPr>
        <w:t>:</w:t>
      </w:r>
      <w:r>
        <w:rPr>
          <w:color w:val="010101"/>
          <w:w w:val="105"/>
          <w:sz w:val="20"/>
        </w:rPr>
        <w:t>iil , </w:t>
      </w:r>
      <w:r>
        <w:rPr>
          <w:color w:val="010101"/>
          <w:w w:val="105"/>
          <w:sz w:val="21"/>
        </w:rPr>
        <w:t>may be defined :</w:t>
      </w:r>
    </w:p>
    <w:p>
      <w:pPr>
        <w:spacing w:line="77" w:lineRule="exact" w:before="115"/>
        <w:ind w:left="0" w:right="1611" w:firstLine="0"/>
        <w:jc w:val="center"/>
        <w:rPr>
          <w:rFonts w:ascii="Arial"/>
          <w:sz w:val="22"/>
        </w:rPr>
      </w:pPr>
      <w:r>
        <w:rPr/>
        <w:drawing>
          <wp:anchor distT="0" distB="0" distL="0" distR="0" allowOverlap="1" layoutInCell="1" locked="0" behindDoc="0" simplePos="0" relativeHeight="14224">
            <wp:simplePos x="0" y="0"/>
            <wp:positionH relativeFrom="page">
              <wp:posOffset>2386583</wp:posOffset>
            </wp:positionH>
            <wp:positionV relativeFrom="paragraph">
              <wp:posOffset>92990</wp:posOffset>
            </wp:positionV>
            <wp:extent cx="960119" cy="274320"/>
            <wp:effectExtent l="0" t="0" r="0" b="0"/>
            <wp:wrapNone/>
            <wp:docPr id="363" name="image187.png" descr=""/>
            <wp:cNvGraphicFramePr>
              <a:graphicFrameLocks noChangeAspect="1"/>
            </wp:cNvGraphicFramePr>
            <a:graphic>
              <a:graphicData uri="http://schemas.openxmlformats.org/drawingml/2006/picture">
                <pic:pic>
                  <pic:nvPicPr>
                    <pic:cNvPr id="364" name="image187.png"/>
                    <pic:cNvPicPr/>
                  </pic:nvPicPr>
                  <pic:blipFill>
                    <a:blip r:embed="rId191" cstate="print"/>
                    <a:stretch>
                      <a:fillRect/>
                    </a:stretch>
                  </pic:blipFill>
                  <pic:spPr>
                    <a:xfrm>
                      <a:off x="0" y="0"/>
                      <a:ext cx="960119" cy="274320"/>
                    </a:xfrm>
                    <a:prstGeom prst="rect">
                      <a:avLst/>
                    </a:prstGeom>
                  </pic:spPr>
                </pic:pic>
              </a:graphicData>
            </a:graphic>
          </wp:anchor>
        </w:drawing>
      </w:r>
      <w:r>
        <w:rPr>
          <w:rFonts w:ascii="Arial"/>
          <w:color w:val="010101"/>
          <w:w w:val="109"/>
          <w:sz w:val="22"/>
        </w:rPr>
        <w:t>"</w:t>
      </w:r>
    </w:p>
    <w:p>
      <w:pPr>
        <w:spacing w:line="426" w:lineRule="exact" w:before="0"/>
        <w:ind w:left="1377" w:right="0" w:firstLine="0"/>
        <w:jc w:val="left"/>
        <w:rPr>
          <w:b/>
          <w:i/>
          <w:sz w:val="20"/>
        </w:rPr>
      </w:pPr>
      <w:r>
        <w:rPr>
          <w:color w:val="010101"/>
          <w:w w:val="128"/>
          <w:sz w:val="14"/>
        </w:rPr>
        <w:t>ez:nj</w:t>
      </w:r>
      <w:r>
        <w:rPr>
          <w:color w:val="010101"/>
          <w:sz w:val="14"/>
        </w:rPr>
        <w:t>  </w:t>
      </w:r>
      <w:r>
        <w:rPr>
          <w:color w:val="010101"/>
          <w:spacing w:val="-11"/>
          <w:sz w:val="14"/>
        </w:rPr>
        <w:t> </w:t>
      </w:r>
      <w:r>
        <w:rPr>
          <w:color w:val="010101"/>
          <w:w w:val="89"/>
          <w:sz w:val="26"/>
        </w:rPr>
        <w:t>=</w:t>
      </w:r>
      <w:r>
        <w:rPr>
          <w:color w:val="010101"/>
          <w:sz w:val="26"/>
        </w:rPr>
        <w:t> </w:t>
      </w:r>
      <w:r>
        <w:rPr>
          <w:color w:val="010101"/>
          <w:spacing w:val="-31"/>
          <w:sz w:val="26"/>
        </w:rPr>
        <w:t> </w:t>
      </w:r>
      <w:r>
        <w:rPr>
          <w:b/>
          <w:i/>
          <w:color w:val="010101"/>
          <w:spacing w:val="-212"/>
          <w:w w:val="105"/>
          <w:sz w:val="33"/>
        </w:rPr>
        <w:t>L</w:t>
      </w:r>
      <w:r>
        <w:rPr>
          <w:rFonts w:ascii="Arial"/>
          <w:b/>
          <w:color w:val="010101"/>
          <w:w w:val="85"/>
          <w:position w:val="-10"/>
          <w:sz w:val="24"/>
        </w:rPr>
        <w:t>,-1</w:t>
      </w:r>
      <w:r>
        <w:rPr>
          <w:rFonts w:ascii="Arial"/>
          <w:b/>
          <w:color w:val="010101"/>
          <w:spacing w:val="-28"/>
          <w:position w:val="-10"/>
          <w:sz w:val="24"/>
        </w:rPr>
        <w:t> </w:t>
      </w:r>
      <w:r>
        <w:rPr>
          <w:b/>
          <w:i/>
          <w:color w:val="010101"/>
          <w:w w:val="85"/>
          <w:sz w:val="20"/>
        </w:rPr>
        <w:t>,Pz</w:t>
      </w:r>
      <w:r>
        <w:rPr>
          <w:b/>
          <w:i/>
          <w:color w:val="010101"/>
          <w:spacing w:val="18"/>
          <w:sz w:val="20"/>
        </w:rPr>
        <w:t> </w:t>
      </w:r>
      <w:r>
        <w:rPr>
          <w:b/>
          <w:i/>
          <w:color w:val="010101"/>
          <w:w w:val="111"/>
          <w:sz w:val="20"/>
        </w:rPr>
        <w:t>'</w:t>
      </w:r>
    </w:p>
    <w:p>
      <w:pPr>
        <w:spacing w:line="234" w:lineRule="exact" w:before="101"/>
        <w:ind w:left="117" w:right="0" w:hanging="4"/>
        <w:jc w:val="left"/>
        <w:rPr>
          <w:sz w:val="21"/>
        </w:rPr>
      </w:pPr>
      <w:r>
        <w:rPr>
          <w:color w:val="010101"/>
          <w:sz w:val="21"/>
        </w:rPr>
        <w:t>Computing the integral by the trapezoidal rule, we obtain the rela­ tionship</w:t>
      </w:r>
    </w:p>
    <w:p>
      <w:pPr>
        <w:tabs>
          <w:tab w:pos="628" w:val="left" w:leader="none"/>
        </w:tabs>
        <w:spacing w:before="36"/>
        <w:ind w:left="40" w:right="0" w:firstLine="0"/>
        <w:jc w:val="center"/>
        <w:rPr>
          <w:b/>
          <w:i/>
          <w:sz w:val="20"/>
        </w:rPr>
      </w:pPr>
      <w:r>
        <w:rPr>
          <w:b/>
          <w:color w:val="010101"/>
          <w:w w:val="105"/>
          <w:sz w:val="13"/>
        </w:rPr>
        <w:t>z:</w:t>
      </w:r>
      <w:r>
        <w:rPr>
          <w:rFonts w:ascii="Arial" w:hAnsi="Arial"/>
          <w:color w:val="010101"/>
          <w:w w:val="105"/>
          <w:sz w:val="20"/>
        </w:rPr>
        <w:t>;-¡</w:t>
        <w:tab/>
      </w:r>
      <w:r>
        <w:rPr>
          <w:i/>
          <w:color w:val="010101"/>
          <w:w w:val="105"/>
          <w:sz w:val="15"/>
        </w:rPr>
        <w:t>ez:</w:t>
      </w:r>
      <w:r>
        <w:rPr>
          <w:i/>
          <w:color w:val="010101"/>
          <w:spacing w:val="-28"/>
          <w:w w:val="105"/>
          <w:sz w:val="15"/>
        </w:rPr>
        <w:t> </w:t>
      </w:r>
      <w:r>
        <w:rPr>
          <w:color w:val="010101"/>
          <w:w w:val="105"/>
          <w:sz w:val="20"/>
        </w:rPr>
        <w:t>il</w:t>
      </w:r>
      <w:r>
        <w:rPr>
          <w:color w:val="010101"/>
          <w:spacing w:val="16"/>
          <w:w w:val="105"/>
          <w:sz w:val="20"/>
        </w:rPr>
        <w:t> </w:t>
      </w:r>
      <w:r>
        <w:rPr>
          <w:rFonts w:ascii="Arial" w:hAnsi="Arial"/>
          <w:color w:val="010101"/>
          <w:w w:val="105"/>
          <w:sz w:val="31"/>
        </w:rPr>
        <w:t>+</w:t>
      </w:r>
      <w:r>
        <w:rPr>
          <w:rFonts w:ascii="Arial" w:hAnsi="Arial"/>
          <w:color w:val="010101"/>
          <w:spacing w:val="-40"/>
          <w:w w:val="105"/>
          <w:sz w:val="31"/>
        </w:rPr>
        <w:t> </w:t>
      </w:r>
      <w:r>
        <w:rPr>
          <w:color w:val="010101"/>
          <w:w w:val="80"/>
          <w:sz w:val="27"/>
        </w:rPr>
        <w:t>J</w:t>
      </w:r>
      <w:r>
        <w:rPr>
          <w:color w:val="010101"/>
          <w:spacing w:val="-11"/>
          <w:w w:val="80"/>
          <w:sz w:val="27"/>
        </w:rPr>
        <w:t> </w:t>
      </w:r>
      <w:r>
        <w:rPr>
          <w:color w:val="010101"/>
          <w:w w:val="105"/>
          <w:sz w:val="19"/>
        </w:rPr>
        <w:t>(1</w:t>
      </w:r>
      <w:r>
        <w:rPr>
          <w:color w:val="010101"/>
          <w:spacing w:val="16"/>
          <w:w w:val="105"/>
          <w:sz w:val="19"/>
        </w:rPr>
        <w:t> </w:t>
      </w:r>
      <w:r>
        <w:rPr>
          <w:color w:val="010101"/>
          <w:w w:val="260"/>
          <w:sz w:val="19"/>
        </w:rPr>
        <w:t>-</w:t>
      </w:r>
      <w:r>
        <w:rPr>
          <w:color w:val="010101"/>
          <w:spacing w:val="-79"/>
          <w:w w:val="260"/>
          <w:sz w:val="19"/>
        </w:rPr>
        <w:t> </w:t>
      </w:r>
      <w:r>
        <w:rPr>
          <w:b/>
          <w:i/>
          <w:color w:val="010101"/>
          <w:w w:val="80"/>
          <w:sz w:val="20"/>
        </w:rPr>
        <w:t>,.p,1;</w:t>
      </w:r>
      <w:r>
        <w:rPr>
          <w:b/>
          <w:i/>
          <w:color w:val="010101"/>
          <w:spacing w:val="-16"/>
          <w:w w:val="80"/>
          <w:sz w:val="20"/>
        </w:rPr>
        <w:t> </w:t>
      </w:r>
      <w:r>
        <w:rPr>
          <w:b/>
          <w:i/>
          <w:color w:val="010101"/>
          <w:w w:val="105"/>
          <w:sz w:val="20"/>
        </w:rPr>
        <w:t>).</w:t>
      </w:r>
    </w:p>
    <w:p>
      <w:pPr>
        <w:spacing w:line="238" w:lineRule="exact" w:before="92"/>
        <w:ind w:left="103" w:right="123" w:firstLine="204"/>
        <w:jc w:val="both"/>
        <w:rPr>
          <w:sz w:val="21"/>
        </w:rPr>
      </w:pPr>
      <w:r>
        <w:rPr>
          <w:color w:val="010101"/>
          <w:sz w:val="21"/>
        </w:rPr>
        <w:t>When exact valucs oí </w:t>
      </w:r>
      <w:r>
        <w:rPr>
          <w:i/>
          <w:color w:val="010101"/>
          <w:sz w:val="21"/>
        </w:rPr>
        <w:t>T</w:t>
      </w:r>
      <w:r>
        <w:rPr>
          <w:color w:val="010101"/>
          <w:sz w:val="12"/>
        </w:rPr>
        <w:t>z </w:t>
      </w:r>
      <w:r>
        <w:rPr>
          <w:color w:val="010101"/>
          <w:sz w:val="21"/>
        </w:rPr>
        <w:t>are available, the expectations may be computed  from the formulas:</w:t>
      </w:r>
    </w:p>
    <w:p>
      <w:pPr>
        <w:pStyle w:val="BodyText"/>
        <w:rPr>
          <w:sz w:val="21"/>
        </w:rPr>
      </w:pPr>
    </w:p>
    <w:p>
      <w:pPr>
        <w:tabs>
          <w:tab w:pos="5212" w:val="left" w:leader="none"/>
        </w:tabs>
        <w:spacing w:before="0"/>
        <w:ind w:left="2912" w:right="0" w:firstLine="0"/>
        <w:jc w:val="left"/>
        <w:rPr>
          <w:sz w:val="21"/>
        </w:rPr>
      </w:pPr>
      <w:r>
        <w:rPr/>
        <w:pict>
          <v:shape style="position:absolute;margin-left:159.282501pt;margin-top:-2.01134pt;width:30.1pt;height:12pt;mso-position-horizontal-relative:page;mso-position-vertical-relative:paragraph;z-index:-721744" type="#_x0000_t202" filled="false" stroked="false">
            <v:textbox inset="0,0,0,0">
              <w:txbxContent>
                <w:p>
                  <w:pPr>
                    <w:spacing w:line="240" w:lineRule="exact" w:before="0"/>
                    <w:ind w:left="0" w:right="0" w:firstLine="0"/>
                    <w:jc w:val="left"/>
                    <w:rPr>
                      <w:b/>
                      <w:i/>
                      <w:sz w:val="22"/>
                    </w:rPr>
                  </w:pPr>
                  <w:r>
                    <w:rPr>
                      <w:b/>
                      <w:color w:val="010101"/>
                      <w:w w:val="110"/>
                      <w:sz w:val="11"/>
                    </w:rPr>
                    <w:t>z   </w:t>
                  </w:r>
                  <w:r>
                    <w:rPr>
                      <w:color w:val="010101"/>
                      <w:w w:val="105"/>
                      <w:sz w:val="24"/>
                    </w:rPr>
                    <w:t>= </w:t>
                  </w:r>
                  <w:r>
                    <w:rPr>
                      <w:b/>
                      <w:i/>
                      <w:color w:val="010101"/>
                      <w:w w:val="105"/>
                      <w:sz w:val="22"/>
                      <w:u w:val="single" w:color="000000"/>
                    </w:rPr>
                    <w:t>Tz</w:t>
                  </w:r>
                </w:p>
              </w:txbxContent>
            </v:textbox>
            <w10:wrap type="none"/>
          </v:shape>
        </w:pict>
      </w:r>
      <w:r>
        <w:rPr>
          <w:b/>
          <w:i/>
          <w:color w:val="010101"/>
          <w:position w:val="-12"/>
          <w:sz w:val="21"/>
        </w:rPr>
        <w:t>lz</w:t>
        <w:tab/>
      </w:r>
      <w:r>
        <w:rPr>
          <w:color w:val="010101"/>
          <w:sz w:val="21"/>
        </w:rPr>
        <w:t>(8.14a)</w:t>
      </w:r>
    </w:p>
    <w:p>
      <w:pPr>
        <w:pStyle w:val="BodyText"/>
        <w:spacing w:before="148"/>
        <w:ind w:left="2396"/>
        <w:rPr>
          <w:sz w:val="21"/>
        </w:rPr>
      </w:pPr>
      <w:r>
        <w:rPr>
          <w:position w:val="-15"/>
        </w:rPr>
        <w:drawing>
          <wp:inline distT="0" distB="0" distL="0" distR="0">
            <wp:extent cx="740663" cy="274320"/>
            <wp:effectExtent l="0" t="0" r="0" b="0"/>
            <wp:docPr id="365" name="image188.png" descr=""/>
            <wp:cNvGraphicFramePr>
              <a:graphicFrameLocks noChangeAspect="1"/>
            </wp:cNvGraphicFramePr>
            <a:graphic>
              <a:graphicData uri="http://schemas.openxmlformats.org/drawingml/2006/picture">
                <pic:pic>
                  <pic:nvPicPr>
                    <pic:cNvPr id="366" name="image188.png"/>
                    <pic:cNvPicPr/>
                  </pic:nvPicPr>
                  <pic:blipFill>
                    <a:blip r:embed="rId192" cstate="print"/>
                    <a:stretch>
                      <a:fillRect/>
                    </a:stretch>
                  </pic:blipFill>
                  <pic:spPr>
                    <a:xfrm>
                      <a:off x="0" y="0"/>
                      <a:ext cx="740663" cy="274320"/>
                    </a:xfrm>
                    <a:prstGeom prst="rect">
                      <a:avLst/>
                    </a:prstGeom>
                  </pic:spPr>
                </pic:pic>
              </a:graphicData>
            </a:graphic>
          </wp:inline>
        </w:drawing>
      </w:r>
      <w:r>
        <w:rPr>
          <w:position w:val="-15"/>
        </w:rPr>
      </w:r>
      <w:r>
        <w:rPr/>
        <w:t>                                </w:t>
      </w:r>
      <w:r>
        <w:rPr>
          <w:color w:val="010101"/>
          <w:sz w:val="21"/>
        </w:rPr>
        <w:t>(8.14b)</w:t>
      </w:r>
    </w:p>
    <w:p>
      <w:pPr>
        <w:spacing w:line="237" w:lineRule="auto" w:before="119"/>
        <w:ind w:left="107" w:right="139" w:firstLine="7"/>
        <w:jc w:val="both"/>
        <w:rPr>
          <w:sz w:val="21"/>
        </w:rPr>
      </w:pPr>
      <w:r>
        <w:rPr>
          <w:color w:val="010101"/>
          <w:sz w:val="22"/>
        </w:rPr>
        <w:t>It </w:t>
      </w:r>
      <w:r>
        <w:rPr>
          <w:color w:val="010101"/>
          <w:sz w:val="21"/>
        </w:rPr>
        <w:t>should be noted, however, that tabulated values of </w:t>
      </w:r>
      <w:r>
        <w:rPr>
          <w:i/>
          <w:color w:val="010101"/>
          <w:sz w:val="21"/>
        </w:rPr>
        <w:t>Tz </w:t>
      </w:r>
      <w:r>
        <w:rPr>
          <w:color w:val="010101"/>
          <w:sz w:val="21"/>
        </w:rPr>
        <w:t>are usually approximate. When values of </w:t>
      </w:r>
      <w:r>
        <w:rPr>
          <w:i/>
          <w:color w:val="010101"/>
          <w:sz w:val="21"/>
        </w:rPr>
        <w:t>Tz </w:t>
      </w:r>
      <w:r>
        <w:rPr>
          <w:color w:val="010101"/>
          <w:sz w:val="21"/>
        </w:rPr>
        <w:t>computed from (8.5) are used, formula  (8.14a ) is approximate and formula  (8.14b) is  exact.</w:t>
      </w:r>
    </w:p>
    <w:p>
      <w:pPr>
        <w:spacing w:line="240" w:lineRule="auto" w:before="0"/>
        <w:ind w:left="100" w:right="118" w:firstLine="204"/>
        <w:jc w:val="both"/>
        <w:rPr>
          <w:rFonts w:ascii="Arial" w:hAnsi="Arial"/>
          <w:sz w:val="10"/>
        </w:rPr>
      </w:pPr>
      <w:r>
        <w:rPr>
          <w:rFonts w:ascii="Arial" w:hAnsi="Arial"/>
          <w:color w:val="010101"/>
          <w:spacing w:val="7"/>
          <w:w w:val="105"/>
          <w:sz w:val="20"/>
        </w:rPr>
        <w:t>It</w:t>
      </w:r>
      <w:r>
        <w:rPr>
          <w:color w:val="010101"/>
          <w:spacing w:val="7"/>
          <w:w w:val="105"/>
          <w:sz w:val="21"/>
        </w:rPr>
        <w:t>is </w:t>
      </w:r>
      <w:r>
        <w:rPr>
          <w:color w:val="010101"/>
          <w:sz w:val="21"/>
        </w:rPr>
        <w:t>popularly believed that the expectation of life is widely used in actuaria} calculations. In realit.y, it is of interest  to  actuaries only because it aff ords an index for comparing diff erent mortality tables. One of the persistent misconceptions is that  the  present value of a lif e annuity at age </w:t>
      </w:r>
      <w:r>
        <w:rPr>
          <w:rFonts w:ascii="Arial" w:hAnsi="Arial"/>
          <w:i/>
          <w:color w:val="010101"/>
          <w:sz w:val="17"/>
        </w:rPr>
        <w:t>x </w:t>
      </w:r>
      <w:r>
        <w:rPr>
          <w:color w:val="010101"/>
          <w:sz w:val="21"/>
        </w:rPr>
        <w:t>is equal to the value of an annuity certain for a term equal to the life expectancy at age </w:t>
      </w:r>
      <w:r>
        <w:rPr>
          <w:rFonts w:ascii="Arial" w:hAnsi="Arial"/>
          <w:i/>
          <w:color w:val="010101"/>
          <w:sz w:val="19"/>
        </w:rPr>
        <w:t>x ; </w:t>
      </w:r>
      <w:r>
        <w:rPr>
          <w:color w:val="010101"/>
          <w:sz w:val="21"/>
        </w:rPr>
        <w:t>that is, that </w:t>
      </w:r>
      <w:r>
        <w:rPr>
          <w:i/>
          <w:color w:val="010101"/>
          <w:w w:val="83"/>
          <w:sz w:val="21"/>
        </w:rPr>
        <w:t>az  </w:t>
      </w:r>
      <w:r>
        <w:rPr>
          <w:color w:val="010101"/>
          <w:w w:val="99"/>
          <w:sz w:val="21"/>
        </w:rPr>
        <w:t>and  </w:t>
      </w:r>
      <w:r>
        <w:rPr>
          <w:i/>
          <w:color w:val="010101"/>
          <w:spacing w:val="-5"/>
          <w:w w:val="85"/>
          <w:sz w:val="21"/>
        </w:rPr>
        <w:t>a;;¡</w:t>
      </w:r>
      <w:r>
        <w:rPr>
          <w:i/>
          <w:color w:val="010101"/>
          <w:w w:val="85"/>
          <w:sz w:val="21"/>
        </w:rPr>
        <w:t>  </w:t>
      </w:r>
      <w:r>
        <w:rPr>
          <w:color w:val="010101"/>
          <w:w w:val="101"/>
          <w:sz w:val="21"/>
        </w:rPr>
        <w:t>have  </w:t>
      </w:r>
      <w:r>
        <w:rPr>
          <w:color w:val="010101"/>
          <w:w w:val="103"/>
          <w:sz w:val="21"/>
        </w:rPr>
        <w:t>the </w:t>
      </w:r>
      <w:r>
        <w:rPr>
          <w:color w:val="010101"/>
          <w:w w:val="100"/>
          <w:sz w:val="21"/>
        </w:rPr>
        <w:t>same </w:t>
      </w:r>
      <w:r>
        <w:rPr>
          <w:color w:val="010101"/>
          <w:w w:val="99"/>
          <w:sz w:val="21"/>
        </w:rPr>
        <w:t>value.  </w:t>
      </w:r>
      <w:r>
        <w:rPr>
          <w:color w:val="010101"/>
          <w:w w:val="96"/>
          <w:sz w:val="21"/>
        </w:rPr>
        <w:t>We  </w:t>
      </w:r>
      <w:r>
        <w:rPr>
          <w:color w:val="010101"/>
          <w:w w:val="98"/>
          <w:sz w:val="21"/>
        </w:rPr>
        <w:t>shall  </w:t>
      </w:r>
      <w:r>
        <w:rPr>
          <w:color w:val="010101"/>
          <w:w w:val="94"/>
          <w:sz w:val="21"/>
        </w:rPr>
        <w:t>show  </w:t>
      </w:r>
      <w:r>
        <w:rPr>
          <w:color w:val="010101"/>
          <w:w w:val="111"/>
          <w:sz w:val="21"/>
        </w:rPr>
        <w:t>that  </w:t>
      </w:r>
      <w:r>
        <w:rPr>
          <w:color w:val="010101"/>
          <w:w w:val="101"/>
          <w:sz w:val="21"/>
        </w:rPr>
        <w:t>in </w:t>
      </w:r>
      <w:r>
        <w:rPr>
          <w:color w:val="010101"/>
          <w:w w:val="101"/>
          <w:sz w:val="21"/>
        </w:rPr>
        <w:t>fact  </w:t>
      </w:r>
      <w:r>
        <w:rPr>
          <w:color w:val="010101"/>
          <w:spacing w:val="-3"/>
          <w:w w:val="83"/>
          <w:sz w:val="21"/>
        </w:rPr>
        <w:t>a;;-</w:t>
      </w:r>
      <w:r>
        <w:rPr>
          <w:rFonts w:ascii="Arial" w:hAnsi="Arial"/>
          <w:color w:val="010101"/>
          <w:spacing w:val="-3"/>
          <w:w w:val="83"/>
          <w:position w:val="-3"/>
          <w:sz w:val="10"/>
        </w:rPr>
        <w:t>1</w:t>
      </w:r>
    </w:p>
    <w:p>
      <w:pPr>
        <w:spacing w:line="230" w:lineRule="exact" w:before="0"/>
        <w:ind w:left="103" w:right="0" w:firstLine="0"/>
        <w:jc w:val="both"/>
        <w:rPr>
          <w:sz w:val="21"/>
        </w:rPr>
      </w:pPr>
      <w:r>
        <w:rPr>
          <w:color w:val="010101"/>
          <w:sz w:val="21"/>
        </w:rPr>
        <w:t>exceeds </w:t>
      </w:r>
      <w:r>
        <w:rPr>
          <w:i/>
          <w:color w:val="010101"/>
          <w:sz w:val="21"/>
        </w:rPr>
        <w:t>az </w:t>
      </w:r>
      <w:r>
        <w:rPr>
          <w:color w:val="010101"/>
          <w:sz w:val="21"/>
        </w:rPr>
        <w:t>, assuming </w:t>
      </w:r>
      <w:r>
        <w:rPr>
          <w:color w:val="010101"/>
          <w:w w:val="120"/>
          <w:sz w:val="20"/>
        </w:rPr>
        <w:t>i </w:t>
      </w:r>
      <w:r>
        <w:rPr>
          <w:color w:val="010101"/>
          <w:sz w:val="27"/>
        </w:rPr>
        <w:t>&gt; </w:t>
      </w:r>
      <w:r>
        <w:rPr>
          <w:color w:val="010101"/>
          <w:sz w:val="21"/>
        </w:rPr>
        <w:t>O.</w:t>
      </w:r>
    </w:p>
    <w:p>
      <w:pPr>
        <w:spacing w:line="233" w:lineRule="exact" w:before="0"/>
        <w:ind w:left="300" w:right="0" w:firstLine="0"/>
        <w:jc w:val="left"/>
        <w:rPr>
          <w:sz w:val="21"/>
        </w:rPr>
      </w:pPr>
      <w:r>
        <w:rPr>
          <w:color w:val="010101"/>
          <w:sz w:val="21"/>
        </w:rPr>
        <w:t>Since </w:t>
      </w:r>
      <w:r>
        <w:rPr>
          <w:i/>
          <w:color w:val="010101"/>
          <w:sz w:val="21"/>
        </w:rPr>
        <w:t>ez </w:t>
      </w:r>
      <w:r>
        <w:rPr>
          <w:color w:val="010101"/>
          <w:sz w:val="21"/>
        </w:rPr>
        <w:t>is in general not an integer, we   write</w:t>
      </w:r>
    </w:p>
    <w:p>
      <w:pPr>
        <w:spacing w:line="55" w:lineRule="exact" w:before="131"/>
        <w:ind w:left="230" w:right="960" w:firstLine="0"/>
        <w:jc w:val="center"/>
        <w:rPr>
          <w:rFonts w:ascii="Arial"/>
          <w:b/>
          <w:sz w:val="8"/>
        </w:rPr>
      </w:pPr>
      <w:r>
        <w:rPr>
          <w:rFonts w:ascii="Arial"/>
          <w:b/>
          <w:color w:val="010101"/>
          <w:w w:val="105"/>
          <w:sz w:val="8"/>
        </w:rPr>
        <w:t>00</w:t>
      </w:r>
    </w:p>
    <w:p>
      <w:pPr>
        <w:spacing w:line="312" w:lineRule="exact" w:before="0"/>
        <w:ind w:left="114" w:right="131" w:firstLine="0"/>
        <w:jc w:val="center"/>
        <w:rPr>
          <w:rFonts w:ascii="Arial"/>
          <w:sz w:val="24"/>
        </w:rPr>
      </w:pPr>
      <w:r>
        <w:rPr>
          <w:rFonts w:ascii="Arial"/>
          <w:b/>
          <w:i/>
          <w:color w:val="010101"/>
          <w:sz w:val="17"/>
        </w:rPr>
        <w:t>ez  </w:t>
      </w:r>
      <w:r>
        <w:rPr>
          <w:rFonts w:ascii="Arial"/>
          <w:color w:val="010101"/>
          <w:w w:val="135"/>
          <w:sz w:val="17"/>
        </w:rPr>
        <w:t>=  </w:t>
      </w:r>
      <w:r>
        <w:rPr>
          <w:b/>
          <w:i/>
          <w:color w:val="010101"/>
          <w:sz w:val="33"/>
        </w:rPr>
        <w:t>L </w:t>
      </w:r>
      <w:r>
        <w:rPr>
          <w:i/>
          <w:color w:val="010101"/>
          <w:sz w:val="20"/>
        </w:rPr>
        <w:t>tPz  </w:t>
      </w:r>
      <w:r>
        <w:rPr>
          <w:rFonts w:ascii="Arial"/>
          <w:color w:val="010101"/>
          <w:w w:val="135"/>
          <w:sz w:val="17"/>
        </w:rPr>
        <w:t>= </w:t>
      </w:r>
      <w:r>
        <w:rPr>
          <w:i/>
          <w:color w:val="010101"/>
          <w:w w:val="115"/>
          <w:sz w:val="20"/>
        </w:rPr>
        <w:t>n </w:t>
      </w:r>
      <w:r>
        <w:rPr>
          <w:rFonts w:ascii="Arial"/>
          <w:color w:val="010101"/>
          <w:sz w:val="31"/>
        </w:rPr>
        <w:t>+ </w:t>
      </w:r>
      <w:r>
        <w:rPr>
          <w:rFonts w:ascii="Arial"/>
          <w:color w:val="010101"/>
          <w:w w:val="115"/>
          <w:sz w:val="24"/>
        </w:rPr>
        <w:t>f,</w:t>
      </w:r>
    </w:p>
    <w:p>
      <w:pPr>
        <w:spacing w:line="107" w:lineRule="exact" w:before="0"/>
        <w:ind w:left="269" w:right="960" w:firstLine="0"/>
        <w:jc w:val="center"/>
        <w:rPr>
          <w:rFonts w:ascii="Arial"/>
          <w:b/>
          <w:sz w:val="12"/>
        </w:rPr>
      </w:pPr>
      <w:r>
        <w:rPr>
          <w:rFonts w:ascii="Arial"/>
          <w:b/>
          <w:color w:val="010101"/>
          <w:w w:val="135"/>
          <w:sz w:val="12"/>
        </w:rPr>
        <w:t>1-1</w:t>
      </w:r>
    </w:p>
    <w:p>
      <w:pPr>
        <w:spacing w:line="272" w:lineRule="exact" w:before="91"/>
        <w:ind w:left="110" w:right="0" w:firstLine="0"/>
        <w:jc w:val="both"/>
        <w:rPr>
          <w:sz w:val="21"/>
        </w:rPr>
      </w:pPr>
      <w:r>
        <w:rPr>
          <w:color w:val="010101"/>
          <w:sz w:val="21"/>
        </w:rPr>
        <w:t>where n is integral  and </w:t>
      </w:r>
      <w:r>
        <w:rPr>
          <w:rFonts w:ascii="Arial"/>
          <w:color w:val="010101"/>
          <w:sz w:val="19"/>
        </w:rPr>
        <w:t>O      </w:t>
      </w:r>
      <w:r>
        <w:rPr>
          <w:rFonts w:ascii="Arial"/>
          <w:i/>
          <w:color w:val="010101"/>
          <w:sz w:val="24"/>
        </w:rPr>
        <w:t>f  </w:t>
      </w:r>
      <w:r>
        <w:rPr>
          <w:rFonts w:ascii="Arial"/>
          <w:color w:val="010101"/>
          <w:sz w:val="24"/>
        </w:rPr>
        <w:t>&lt; </w:t>
      </w:r>
      <w:r>
        <w:rPr>
          <w:color w:val="010101"/>
          <w:w w:val="120"/>
          <w:sz w:val="19"/>
        </w:rPr>
        <w:t>l. </w:t>
      </w:r>
      <w:r>
        <w:rPr>
          <w:color w:val="010101"/>
          <w:sz w:val="21"/>
        </w:rPr>
        <w:t>The annuity-certai n with  frac-</w:t>
      </w:r>
    </w:p>
    <w:p>
      <w:pPr>
        <w:spacing w:after="0" w:line="272" w:lineRule="exact"/>
        <w:jc w:val="both"/>
        <w:rPr>
          <w:sz w:val="21"/>
        </w:rPr>
        <w:sectPr>
          <w:pgSz w:w="7200" w:h="11340"/>
          <w:pgMar w:top="480" w:bottom="280" w:left="700" w:right="540"/>
        </w:sectPr>
      </w:pPr>
    </w:p>
    <w:p>
      <w:pPr>
        <w:spacing w:before="21"/>
        <w:ind w:left="110" w:right="-14" w:firstLine="0"/>
        <w:jc w:val="left"/>
        <w:rPr>
          <w:sz w:val="19"/>
        </w:rPr>
      </w:pPr>
      <w:r>
        <w:rPr>
          <w:color w:val="010101"/>
          <w:w w:val="89"/>
          <w:sz w:val="21"/>
        </w:rPr>
        <w:t>t</w:t>
      </w:r>
      <w:r>
        <w:rPr>
          <w:color w:val="010101"/>
          <w:spacing w:val="-65"/>
          <w:w w:val="90"/>
          <w:sz w:val="21"/>
        </w:rPr>
        <w:t>1</w:t>
      </w:r>
      <w:r>
        <w:rPr>
          <w:color w:val="010101"/>
          <w:spacing w:val="7"/>
          <w:w w:val="120"/>
          <w:position w:val="6"/>
          <w:sz w:val="19"/>
        </w:rPr>
        <w:t>.</w:t>
      </w:r>
      <w:r>
        <w:rPr>
          <w:color w:val="010101"/>
          <w:w w:val="89"/>
          <w:sz w:val="21"/>
        </w:rPr>
        <w:t>ona</w:t>
      </w:r>
      <w:r>
        <w:rPr>
          <w:color w:val="010101"/>
          <w:spacing w:val="-35"/>
          <w:sz w:val="21"/>
        </w:rPr>
        <w:t> </w:t>
      </w:r>
      <w:r>
        <w:rPr>
          <w:color w:val="010101"/>
          <w:w w:val="84"/>
          <w:position w:val="6"/>
          <w:sz w:val="19"/>
        </w:rPr>
        <w:t>1</w:t>
      </w:r>
      <w:r>
        <w:rPr>
          <w:color w:val="010101"/>
          <w:spacing w:val="-24"/>
          <w:position w:val="6"/>
          <w:sz w:val="19"/>
        </w:rPr>
        <w:t> </w:t>
      </w:r>
      <w:r>
        <w:rPr>
          <w:color w:val="010101"/>
          <w:w w:val="99"/>
          <w:sz w:val="21"/>
        </w:rPr>
        <w:t>term</w:t>
      </w:r>
      <w:r>
        <w:rPr>
          <w:color w:val="010101"/>
          <w:sz w:val="21"/>
        </w:rPr>
        <w:t> </w:t>
      </w:r>
      <w:r>
        <w:rPr>
          <w:i/>
          <w:color w:val="010101"/>
          <w:w w:val="109"/>
          <w:sz w:val="21"/>
        </w:rPr>
        <w:t>n</w:t>
      </w:r>
      <w:r>
        <w:rPr>
          <w:i/>
          <w:color w:val="010101"/>
          <w:spacing w:val="5"/>
          <w:sz w:val="21"/>
        </w:rPr>
        <w:t> </w:t>
      </w:r>
      <w:r>
        <w:rPr>
          <w:rFonts w:ascii="Arial"/>
          <w:color w:val="010101"/>
          <w:spacing w:val="11"/>
          <w:w w:val="102"/>
          <w:sz w:val="31"/>
        </w:rPr>
        <w:t>+</w:t>
      </w:r>
      <w:r>
        <w:rPr>
          <w:rFonts w:ascii="Arial"/>
          <w:i/>
          <w:color w:val="010101"/>
          <w:w w:val="108"/>
          <w:position w:val="6"/>
          <w:sz w:val="24"/>
        </w:rPr>
        <w:t>f</w:t>
      </w:r>
      <w:r>
        <w:rPr>
          <w:rFonts w:ascii="Arial"/>
          <w:i/>
          <w:color w:val="010101"/>
          <w:spacing w:val="-3"/>
          <w:position w:val="6"/>
          <w:sz w:val="24"/>
        </w:rPr>
        <w:t> </w:t>
      </w:r>
      <w:r>
        <w:rPr>
          <w:color w:val="010101"/>
          <w:w w:val="91"/>
          <w:sz w:val="21"/>
        </w:rPr>
        <w:t>prov</w:t>
      </w:r>
      <w:r>
        <w:rPr>
          <w:color w:val="010101"/>
          <w:spacing w:val="-46"/>
          <w:w w:val="91"/>
          <w:sz w:val="21"/>
        </w:rPr>
        <w:t>1</w:t>
      </w:r>
      <w:r>
        <w:rPr>
          <w:color w:val="010101"/>
          <w:w w:val="114"/>
          <w:position w:val="6"/>
          <w:sz w:val="19"/>
        </w:rPr>
        <w:t>'</w:t>
      </w:r>
      <w:r>
        <w:rPr>
          <w:color w:val="010101"/>
          <w:spacing w:val="2"/>
          <w:w w:val="114"/>
          <w:position w:val="6"/>
          <w:sz w:val="19"/>
        </w:rPr>
        <w:t>d</w:t>
      </w:r>
      <w:r>
        <w:rPr>
          <w:color w:val="010101"/>
          <w:w w:val="98"/>
          <w:sz w:val="21"/>
        </w:rPr>
        <w:t>es</w:t>
      </w:r>
      <w:r>
        <w:rPr>
          <w:color w:val="010101"/>
          <w:spacing w:val="-14"/>
          <w:sz w:val="21"/>
        </w:rPr>
        <w:t> </w:t>
      </w:r>
      <w:r>
        <w:rPr>
          <w:color w:val="010101"/>
          <w:spacing w:val="-143"/>
          <w:w w:val="93"/>
          <w:sz w:val="21"/>
        </w:rPr>
        <w:t>m</w:t>
      </w:r>
      <w:r>
        <w:rPr>
          <w:color w:val="010101"/>
          <w:w w:val="120"/>
          <w:position w:val="6"/>
          <w:sz w:val="19"/>
        </w:rPr>
        <w:t>.</w:t>
      </w:r>
    </w:p>
    <w:p>
      <w:pPr>
        <w:spacing w:line="339" w:lineRule="exact" w:before="0"/>
        <w:ind w:left="100" w:right="0" w:firstLine="0"/>
        <w:jc w:val="left"/>
        <w:rPr>
          <w:sz w:val="19"/>
        </w:rPr>
      </w:pPr>
      <w:r>
        <w:rPr/>
        <w:br w:type="column"/>
      </w:r>
      <w:r>
        <w:rPr>
          <w:color w:val="010101"/>
          <w:spacing w:val="2"/>
          <w:w w:val="110"/>
          <w:sz w:val="21"/>
        </w:rPr>
        <w:t>t</w:t>
      </w:r>
      <w:r>
        <w:rPr>
          <w:color w:val="010101"/>
          <w:spacing w:val="2"/>
          <w:w w:val="110"/>
          <w:position w:val="6"/>
          <w:sz w:val="19"/>
        </w:rPr>
        <w:t>h</w:t>
      </w:r>
      <w:r>
        <w:rPr>
          <w:color w:val="010101"/>
          <w:spacing w:val="2"/>
          <w:w w:val="110"/>
          <w:sz w:val="21"/>
        </w:rPr>
        <w:t>eory </w:t>
      </w:r>
      <w:r>
        <w:rPr>
          <w:color w:val="010101"/>
          <w:w w:val="110"/>
          <w:sz w:val="21"/>
        </w:rPr>
        <w:t>a </w:t>
      </w:r>
      <w:r>
        <w:rPr>
          <w:color w:val="010101"/>
          <w:spacing w:val="3"/>
          <w:w w:val="110"/>
          <w:position w:val="6"/>
          <w:sz w:val="21"/>
        </w:rPr>
        <w:t>fi</w:t>
      </w:r>
      <w:r>
        <w:rPr>
          <w:color w:val="010101"/>
          <w:spacing w:val="3"/>
          <w:w w:val="110"/>
          <w:sz w:val="21"/>
        </w:rPr>
        <w:t>na</w:t>
      </w:r>
      <w:r>
        <w:rPr>
          <w:color w:val="010101"/>
          <w:spacing w:val="3"/>
          <w:w w:val="110"/>
          <w:position w:val="6"/>
          <w:sz w:val="19"/>
        </w:rPr>
        <w:t>l </w:t>
      </w:r>
      <w:r>
        <w:rPr>
          <w:color w:val="010101"/>
          <w:w w:val="110"/>
          <w:sz w:val="21"/>
        </w:rPr>
        <w:t>payment o</w:t>
      </w:r>
      <w:r>
        <w:rPr>
          <w:rFonts w:ascii="Arial"/>
          <w:color w:val="010101"/>
          <w:w w:val="110"/>
          <w:position w:val="6"/>
          <w:sz w:val="18"/>
        </w:rPr>
        <w:t>f </w:t>
      </w:r>
      <w:r>
        <w:rPr>
          <w:color w:val="010101"/>
          <w:w w:val="115"/>
          <w:position w:val="6"/>
          <w:sz w:val="19"/>
        </w:rPr>
        <w:t>(l </w:t>
      </w:r>
      <w:r>
        <w:rPr>
          <w:rFonts w:ascii="Arial"/>
          <w:color w:val="010101"/>
          <w:w w:val="110"/>
          <w:position w:val="6"/>
          <w:sz w:val="31"/>
        </w:rPr>
        <w:t>+</w:t>
      </w:r>
      <w:r>
        <w:rPr>
          <w:rFonts w:ascii="Arial"/>
          <w:color w:val="010101"/>
          <w:spacing w:val="-71"/>
          <w:w w:val="110"/>
          <w:position w:val="6"/>
          <w:sz w:val="31"/>
        </w:rPr>
        <w:t> </w:t>
      </w:r>
      <w:r>
        <w:rPr>
          <w:i/>
          <w:color w:val="010101"/>
          <w:spacing w:val="-20"/>
          <w:w w:val="115"/>
          <w:position w:val="6"/>
          <w:sz w:val="30"/>
        </w:rPr>
        <w:t>i</w:t>
      </w:r>
      <w:r>
        <w:rPr>
          <w:color w:val="010101"/>
          <w:spacing w:val="-20"/>
          <w:w w:val="115"/>
          <w:sz w:val="21"/>
        </w:rPr>
        <w:t>.</w:t>
      </w:r>
      <w:r>
        <w:rPr>
          <w:i/>
          <w:color w:val="010101"/>
          <w:spacing w:val="-20"/>
          <w:w w:val="115"/>
          <w:position w:val="6"/>
          <w:sz w:val="30"/>
        </w:rPr>
        <w:t>l </w:t>
      </w:r>
      <w:r>
        <w:rPr>
          <w:color w:val="010101"/>
          <w:w w:val="145"/>
          <w:position w:val="6"/>
          <w:sz w:val="30"/>
        </w:rPr>
        <w:t>-</w:t>
      </w:r>
      <w:r>
        <w:rPr>
          <w:color w:val="010101"/>
          <w:spacing w:val="-61"/>
          <w:w w:val="145"/>
          <w:position w:val="6"/>
          <w:sz w:val="30"/>
        </w:rPr>
        <w:t> </w:t>
      </w:r>
      <w:r>
        <w:rPr>
          <w:color w:val="010101"/>
          <w:w w:val="110"/>
          <w:position w:val="6"/>
          <w:sz w:val="19"/>
        </w:rPr>
        <w:t>l</w:t>
      </w:r>
    </w:p>
    <w:p>
      <w:pPr>
        <w:spacing w:line="82" w:lineRule="exact" w:before="0"/>
        <w:ind w:left="0" w:right="624" w:firstLine="0"/>
        <w:jc w:val="right"/>
        <w:rPr>
          <w:sz w:val="13"/>
        </w:rPr>
      </w:pPr>
      <w:r>
        <w:rPr/>
        <w:pict>
          <v:line style="position:absolute;mso-position-horizontal-relative:page;mso-position-vertical-relative:paragraph;z-index:-721816" from="300.089691pt,-1.068643pt" to="301.165891pt,-1.068643pt" stroked="true" strokeweight=".538117pt" strokecolor="#000000">
            <w10:wrap type="none"/>
          </v:line>
        </w:pict>
      </w:r>
      <w:r>
        <w:rPr>
          <w:color w:val="010101"/>
          <w:w w:val="206"/>
          <w:sz w:val="13"/>
        </w:rPr>
        <w:t>i</w:t>
      </w:r>
    </w:p>
    <w:p>
      <w:pPr>
        <w:spacing w:after="0" w:line="82" w:lineRule="exact"/>
        <w:jc w:val="right"/>
        <w:rPr>
          <w:sz w:val="13"/>
        </w:rPr>
        <w:sectPr>
          <w:type w:val="continuous"/>
          <w:pgSz w:w="7200" w:h="11340"/>
          <w:pgMar w:top="1100" w:bottom="0" w:left="700" w:right="540"/>
          <w:cols w:num="2" w:equalWidth="0">
            <w:col w:w="2432" w:space="40"/>
            <w:col w:w="3488"/>
          </w:cols>
        </w:sectPr>
      </w:pPr>
    </w:p>
    <w:p>
      <w:pPr>
        <w:spacing w:line="184" w:lineRule="auto" w:before="27"/>
        <w:ind w:left="110" w:right="128" w:hanging="4"/>
        <w:jc w:val="left"/>
        <w:rPr>
          <w:sz w:val="21"/>
        </w:rPr>
      </w:pPr>
      <w:r>
        <w:rPr/>
        <w:pict>
          <v:line style="position:absolute;mso-position-horizontal-relative:page;mso-position-vertical-relative:paragraph;z-index:-721792" from="80.179375pt,30.797491pt" to="81.43498pt,30.797491pt" stroked="true" strokeweight="1.2588pt" strokecolor="#000000">
            <w10:wrap type="none"/>
          </v:line>
        </w:pict>
      </w:r>
      <w:r>
        <w:rPr/>
        <w:pict>
          <v:shape style="position:absolute;margin-left:275.157013pt;margin-top:32.222019pt;width:24.8pt;height:26.5pt;mso-position-horizontal-relative:page;mso-position-vertical-relative:paragraph;z-index:-721720" type="#_x0000_t202" filled="false" stroked="false">
            <v:textbox inset="0,0,0,0">
              <w:txbxContent>
                <w:p>
                  <w:pPr>
                    <w:spacing w:line="530" w:lineRule="exact" w:before="0"/>
                    <w:ind w:left="0" w:right="-20" w:firstLine="0"/>
                    <w:jc w:val="left"/>
                    <w:rPr>
                      <w:sz w:val="53"/>
                    </w:rPr>
                  </w:pPr>
                  <w:r>
                    <w:rPr>
                      <w:i/>
                      <w:color w:val="010101"/>
                      <w:w w:val="95"/>
                      <w:sz w:val="53"/>
                    </w:rPr>
                    <w:t>it</w:t>
                  </w:r>
                  <w:r>
                    <w:rPr>
                      <w:i/>
                      <w:color w:val="010101"/>
                      <w:spacing w:val="-78"/>
                      <w:w w:val="95"/>
                      <w:sz w:val="53"/>
                    </w:rPr>
                    <w:t> </w:t>
                  </w:r>
                  <w:r>
                    <w:rPr>
                      <w:color w:val="010101"/>
                      <w:w w:val="95"/>
                      <w:sz w:val="53"/>
                    </w:rPr>
                    <w:t>-</w:t>
                  </w:r>
                </w:p>
              </w:txbxContent>
            </v:textbox>
            <w10:wrap type="none"/>
          </v:shape>
        </w:pict>
      </w:r>
      <w:r>
        <w:rPr>
          <w:color w:val="010101"/>
          <w:sz w:val="21"/>
        </w:rPr>
        <w:t>at the end of </w:t>
      </w:r>
      <w:r>
        <w:rPr>
          <w:i/>
          <w:color w:val="010101"/>
          <w:sz w:val="20"/>
        </w:rPr>
        <w:t>n </w:t>
      </w:r>
      <w:r>
        <w:rPr>
          <w:rFonts w:ascii="Arial"/>
          <w:color w:val="010101"/>
          <w:sz w:val="31"/>
        </w:rPr>
        <w:t>+ </w:t>
      </w:r>
      <w:r>
        <w:rPr>
          <w:rFonts w:ascii="Arial"/>
          <w:i/>
          <w:color w:val="010101"/>
          <w:sz w:val="24"/>
        </w:rPr>
        <w:t>f </w:t>
      </w:r>
      <w:r>
        <w:rPr>
          <w:color w:val="010101"/>
          <w:sz w:val="21"/>
        </w:rPr>
        <w:t>years.</w:t>
      </w:r>
      <w:r>
        <w:rPr>
          <w:color w:val="010101"/>
          <w:position w:val="10"/>
          <w:sz w:val="11"/>
        </w:rPr>
        <w:t>1 </w:t>
      </w:r>
      <w:r>
        <w:rPr>
          <w:color w:val="010101"/>
          <w:sz w:val="21"/>
        </w:rPr>
        <w:t>At the usual  rates of  interest, the value  of</w:t>
      </w:r>
      <w:r>
        <w:rPr>
          <w:color w:val="010101"/>
          <w:spacing w:val="49"/>
          <w:sz w:val="21"/>
        </w:rPr>
        <w:t> </w:t>
      </w:r>
      <w:r>
        <w:rPr>
          <w:color w:val="010101"/>
          <w:sz w:val="21"/>
        </w:rPr>
        <w:t>(l</w:t>
      </w:r>
      <w:r>
        <w:rPr>
          <w:color w:val="010101"/>
          <w:spacing w:val="24"/>
          <w:sz w:val="21"/>
        </w:rPr>
        <w:t> </w:t>
      </w:r>
      <w:r>
        <w:rPr>
          <w:rFonts w:ascii="Arial"/>
          <w:color w:val="010101"/>
          <w:sz w:val="31"/>
        </w:rPr>
        <w:t>+</w:t>
      </w:r>
      <w:r>
        <w:rPr>
          <w:rFonts w:ascii="Arial"/>
          <w:color w:val="010101"/>
          <w:spacing w:val="-39"/>
          <w:sz w:val="31"/>
        </w:rPr>
        <w:t> </w:t>
      </w:r>
      <w:r>
        <w:rPr>
          <w:i/>
          <w:color w:val="010101"/>
          <w:sz w:val="39"/>
        </w:rPr>
        <w:t>i!'</w:t>
      </w:r>
      <w:r>
        <w:rPr>
          <w:i/>
          <w:color w:val="010101"/>
          <w:spacing w:val="-58"/>
          <w:sz w:val="39"/>
        </w:rPr>
        <w:t> </w:t>
      </w:r>
      <w:r>
        <w:rPr>
          <w:color w:val="010101"/>
          <w:w w:val="105"/>
          <w:sz w:val="39"/>
        </w:rPr>
        <w:t>-</w:t>
      </w:r>
      <w:r>
        <w:rPr>
          <w:color w:val="010101"/>
          <w:spacing w:val="-42"/>
          <w:w w:val="105"/>
          <w:sz w:val="39"/>
        </w:rPr>
        <w:t> </w:t>
      </w:r>
      <w:r>
        <w:rPr>
          <w:color w:val="010101"/>
          <w:position w:val="11"/>
          <w:sz w:val="21"/>
        </w:rPr>
        <w:t>1</w:t>
      </w:r>
      <w:r>
        <w:rPr>
          <w:color w:val="010101"/>
          <w:spacing w:val="-30"/>
          <w:position w:val="11"/>
          <w:sz w:val="21"/>
        </w:rPr>
        <w:t> </w:t>
      </w:r>
      <w:r>
        <w:rPr>
          <w:color w:val="010101"/>
          <w:sz w:val="21"/>
        </w:rPr>
        <w:t>is</w:t>
      </w:r>
      <w:r>
        <w:rPr>
          <w:color w:val="010101"/>
          <w:spacing w:val="-5"/>
          <w:sz w:val="21"/>
        </w:rPr>
        <w:t> </w:t>
      </w:r>
      <w:r>
        <w:rPr>
          <w:color w:val="010101"/>
          <w:sz w:val="21"/>
        </w:rPr>
        <w:t>very</w:t>
      </w:r>
      <w:r>
        <w:rPr>
          <w:color w:val="010101"/>
          <w:spacing w:val="11"/>
          <w:sz w:val="21"/>
        </w:rPr>
        <w:t> </w:t>
      </w:r>
      <w:r>
        <w:rPr>
          <w:color w:val="010101"/>
          <w:sz w:val="21"/>
        </w:rPr>
        <w:t>clase to</w:t>
      </w:r>
      <w:r>
        <w:rPr>
          <w:color w:val="010101"/>
          <w:spacing w:val="-33"/>
          <w:sz w:val="21"/>
        </w:rPr>
        <w:t> </w:t>
      </w:r>
      <w:r>
        <w:rPr>
          <w:rFonts w:ascii="Arial"/>
          <w:i/>
          <w:color w:val="010101"/>
          <w:sz w:val="24"/>
        </w:rPr>
        <w:t>J,</w:t>
      </w:r>
      <w:r>
        <w:rPr>
          <w:rFonts w:ascii="Arial"/>
          <w:i/>
          <w:color w:val="010101"/>
          <w:spacing w:val="-19"/>
          <w:sz w:val="24"/>
        </w:rPr>
        <w:t> </w:t>
      </w:r>
      <w:r>
        <w:rPr>
          <w:color w:val="010101"/>
          <w:sz w:val="21"/>
        </w:rPr>
        <w:t>and</w:t>
      </w:r>
      <w:r>
        <w:rPr>
          <w:color w:val="010101"/>
          <w:spacing w:val="7"/>
          <w:sz w:val="21"/>
        </w:rPr>
        <w:t> </w:t>
      </w:r>
      <w:r>
        <w:rPr>
          <w:color w:val="010101"/>
          <w:sz w:val="21"/>
        </w:rPr>
        <w:t>in</w:t>
      </w:r>
      <w:r>
        <w:rPr>
          <w:color w:val="010101"/>
          <w:spacing w:val="1"/>
          <w:sz w:val="21"/>
        </w:rPr>
        <w:t> </w:t>
      </w:r>
      <w:r>
        <w:rPr>
          <w:color w:val="010101"/>
          <w:sz w:val="21"/>
        </w:rPr>
        <w:t>practice</w:t>
      </w:r>
      <w:r>
        <w:rPr>
          <w:color w:val="010101"/>
          <w:spacing w:val="11"/>
          <w:sz w:val="21"/>
        </w:rPr>
        <w:t> </w:t>
      </w:r>
      <w:r>
        <w:rPr>
          <w:color w:val="010101"/>
          <w:sz w:val="21"/>
        </w:rPr>
        <w:t>the</w:t>
      </w:r>
      <w:r>
        <w:rPr>
          <w:color w:val="010101"/>
          <w:spacing w:val="-5"/>
          <w:sz w:val="21"/>
        </w:rPr>
        <w:t> </w:t>
      </w:r>
      <w:r>
        <w:rPr>
          <w:color w:val="010101"/>
          <w:sz w:val="21"/>
        </w:rPr>
        <w:t>final</w:t>
      </w:r>
      <w:r>
        <w:rPr>
          <w:color w:val="010101"/>
          <w:spacing w:val="1"/>
          <w:sz w:val="21"/>
        </w:rPr>
        <w:t> </w:t>
      </w:r>
      <w:r>
        <w:rPr>
          <w:color w:val="010101"/>
          <w:sz w:val="21"/>
        </w:rPr>
        <w:t>payment</w:t>
      </w:r>
    </w:p>
    <w:p>
      <w:pPr>
        <w:spacing w:line="113" w:lineRule="exact" w:before="0"/>
        <w:ind w:left="864" w:right="0" w:firstLine="0"/>
        <w:jc w:val="left"/>
        <w:rPr>
          <w:i/>
          <w:sz w:val="15"/>
        </w:rPr>
      </w:pPr>
      <w:r>
        <w:rPr>
          <w:i/>
          <w:color w:val="010101"/>
          <w:w w:val="181"/>
          <w:sz w:val="15"/>
        </w:rPr>
        <w:t>i</w:t>
      </w:r>
    </w:p>
    <w:p>
      <w:pPr>
        <w:tabs>
          <w:tab w:pos="5366" w:val="left" w:leader="none"/>
        </w:tabs>
        <w:spacing w:line="330" w:lineRule="exact" w:before="0"/>
        <w:ind w:left="121" w:right="0" w:firstLine="0"/>
        <w:jc w:val="left"/>
        <w:rPr>
          <w:sz w:val="21"/>
        </w:rPr>
      </w:pPr>
      <w:r>
        <w:rPr/>
        <w:pict>
          <v:line style="position:absolute;mso-position-horizontal-relative:page;mso-position-vertical-relative:paragraph;z-index:-721768" from="278.923798pt,15.49172pt" to="280.179403pt,15.49172pt" stroked="true" strokeweight="1.2588pt" strokecolor="#000000">
            <w10:wrap type="none"/>
          </v:line>
        </w:pict>
      </w:r>
      <w:r>
        <w:rPr>
          <w:color w:val="010101"/>
          <w:w w:val="105"/>
          <w:sz w:val="21"/>
        </w:rPr>
        <w:t>is taken to be </w:t>
      </w:r>
      <w:r>
        <w:rPr>
          <w:i/>
          <w:color w:val="010101"/>
          <w:w w:val="105"/>
          <w:sz w:val="20"/>
        </w:rPr>
        <w:t>f.  </w:t>
      </w:r>
      <w:r>
        <w:rPr>
          <w:rFonts w:ascii="Arial"/>
          <w:color w:val="010101"/>
          <w:w w:val="145"/>
          <w:sz w:val="20"/>
        </w:rPr>
        <w:t>It </w:t>
      </w:r>
      <w:r>
        <w:rPr>
          <w:color w:val="010101"/>
          <w:w w:val="105"/>
          <w:sz w:val="21"/>
        </w:rPr>
        <w:t>can be shown that both </w:t>
      </w:r>
      <w:r>
        <w:rPr>
          <w:i/>
          <w:color w:val="010101"/>
          <w:w w:val="105"/>
          <w:sz w:val="18"/>
        </w:rPr>
        <w:t>v"+t </w:t>
      </w:r>
      <w:r>
        <w:rPr>
          <w:i/>
          <w:color w:val="010101"/>
          <w:w w:val="145"/>
          <w:sz w:val="18"/>
        </w:rPr>
        <w:t>.</w:t>
      </w:r>
      <w:r>
        <w:rPr>
          <w:i/>
          <w:color w:val="010101"/>
          <w:spacing w:val="-51"/>
          <w:w w:val="145"/>
          <w:sz w:val="18"/>
        </w:rPr>
        <w:t> </w:t>
      </w:r>
      <w:r>
        <w:rPr>
          <w:b/>
          <w:color w:val="010101"/>
          <w:w w:val="105"/>
          <w:sz w:val="20"/>
        </w:rPr>
        <w:t>(l</w:t>
      </w:r>
      <w:r>
        <w:rPr>
          <w:b/>
          <w:color w:val="010101"/>
          <w:spacing w:val="26"/>
          <w:w w:val="105"/>
          <w:sz w:val="20"/>
        </w:rPr>
        <w:t> </w:t>
      </w:r>
      <w:r>
        <w:rPr>
          <w:rFonts w:ascii="Arial"/>
          <w:color w:val="010101"/>
          <w:w w:val="105"/>
          <w:sz w:val="31"/>
        </w:rPr>
        <w:t>+</w:t>
        <w:tab/>
      </w:r>
      <w:r>
        <w:rPr>
          <w:color w:val="010101"/>
          <w:spacing w:val="4"/>
          <w:w w:val="105"/>
          <w:position w:val="10"/>
          <w:sz w:val="21"/>
        </w:rPr>
        <w:t>1</w:t>
      </w:r>
      <w:r>
        <w:rPr>
          <w:color w:val="010101"/>
          <w:spacing w:val="4"/>
          <w:w w:val="105"/>
          <w:sz w:val="21"/>
        </w:rPr>
        <w:t>and</w:t>
      </w:r>
    </w:p>
    <w:p>
      <w:pPr>
        <w:spacing w:line="143" w:lineRule="exact" w:before="0"/>
        <w:ind w:left="0" w:right="1046" w:firstLine="0"/>
        <w:jc w:val="right"/>
        <w:rPr>
          <w:i/>
          <w:sz w:val="15"/>
        </w:rPr>
      </w:pPr>
      <w:r>
        <w:rPr/>
        <w:pict>
          <v:line style="position:absolute;mso-position-horizontal-relative:page;mso-position-vertical-relative:paragraph;z-index:14200;mso-wrap-distance-left:0;mso-wrap-distance-right:0" from="41.434978pt,11.029871pt" to="77.130038pt,11.029871pt" stroked="true" strokeweight=".717489pt" strokecolor="#000000">
            <w10:wrap type="topAndBottom"/>
          </v:line>
        </w:pict>
      </w:r>
      <w:r>
        <w:rPr>
          <w:i/>
          <w:color w:val="010101"/>
          <w:w w:val="181"/>
          <w:sz w:val="15"/>
        </w:rPr>
        <w:t>i</w:t>
      </w:r>
    </w:p>
    <w:p>
      <w:pPr>
        <w:spacing w:before="15"/>
        <w:ind w:left="322" w:right="0" w:firstLine="0"/>
        <w:jc w:val="left"/>
        <w:rPr>
          <w:sz w:val="17"/>
        </w:rPr>
      </w:pPr>
      <w:r>
        <w:rPr>
          <w:color w:val="010101"/>
          <w:w w:val="110"/>
          <w:sz w:val="10"/>
        </w:rPr>
        <w:t>1 </w:t>
      </w:r>
      <w:r>
        <w:rPr>
          <w:color w:val="010101"/>
          <w:w w:val="110"/>
          <w:sz w:val="17"/>
        </w:rPr>
        <w:t>See Donald  </w:t>
      </w:r>
      <w:r>
        <w:rPr>
          <w:b/>
          <w:color w:val="010101"/>
          <w:w w:val="110"/>
          <w:sz w:val="16"/>
        </w:rPr>
        <w:t>(1956), </w:t>
      </w:r>
      <w:r>
        <w:rPr>
          <w:color w:val="010101"/>
          <w:w w:val="110"/>
          <w:sz w:val="16"/>
        </w:rPr>
        <w:t>pp</w:t>
      </w:r>
      <w:r>
        <w:rPr>
          <w:color w:val="1F1F1F"/>
          <w:w w:val="110"/>
          <w:sz w:val="16"/>
        </w:rPr>
        <w:t>. </w:t>
      </w:r>
      <w:r>
        <w:rPr>
          <w:color w:val="010101"/>
          <w:w w:val="110"/>
          <w:sz w:val="17"/>
        </w:rPr>
        <w:t>51f .</w:t>
      </w:r>
    </w:p>
    <w:p>
      <w:pPr>
        <w:spacing w:after="0"/>
        <w:jc w:val="left"/>
        <w:rPr>
          <w:sz w:val="17"/>
        </w:rPr>
        <w:sectPr>
          <w:type w:val="continuous"/>
          <w:pgSz w:w="7200" w:h="11340"/>
          <w:pgMar w:top="1100" w:bottom="0" w:left="700" w:right="540"/>
        </w:sectPr>
      </w:pPr>
    </w:p>
    <w:p>
      <w:pPr>
        <w:tabs>
          <w:tab w:pos="1228" w:val="left" w:leader="none"/>
          <w:tab w:pos="5838" w:val="right" w:leader="none"/>
        </w:tabs>
        <w:spacing w:before="53"/>
        <w:ind w:left="109" w:right="0" w:firstLine="0"/>
        <w:jc w:val="left"/>
        <w:rPr>
          <w:sz w:val="22"/>
        </w:rPr>
      </w:pPr>
      <w:r>
        <w:rPr>
          <w:b/>
          <w:color w:val="010101"/>
          <w:position w:val="1"/>
          <w:sz w:val="15"/>
        </w:rPr>
        <w:t>BEC. </w:t>
      </w:r>
      <w:r>
        <w:rPr>
          <w:b/>
          <w:color w:val="010101"/>
          <w:spacing w:val="19"/>
          <w:position w:val="1"/>
          <w:sz w:val="15"/>
        </w:rPr>
        <w:t> </w:t>
      </w:r>
      <w:r>
        <w:rPr>
          <w:rFonts w:ascii="Arial"/>
          <w:b/>
          <w:color w:val="010101"/>
          <w:position w:val="1"/>
          <w:sz w:val="20"/>
        </w:rPr>
        <w:t>4]</w:t>
        <w:tab/>
      </w:r>
      <w:r>
        <w:rPr>
          <w:b/>
          <w:color w:val="010101"/>
          <w:position w:val="1"/>
          <w:sz w:val="15"/>
        </w:rPr>
        <w:t>ANALYSIS   OF   THE </w:t>
      </w:r>
      <w:r>
        <w:rPr>
          <w:b/>
          <w:color w:val="010101"/>
          <w:spacing w:val="10"/>
          <w:position w:val="1"/>
          <w:sz w:val="15"/>
        </w:rPr>
        <w:t> </w:t>
      </w:r>
      <w:r>
        <w:rPr>
          <w:b/>
          <w:color w:val="010101"/>
          <w:position w:val="1"/>
          <w:sz w:val="15"/>
        </w:rPr>
        <w:t>SURVIVORSHIP  </w:t>
      </w:r>
      <w:r>
        <w:rPr>
          <w:b/>
          <w:color w:val="010101"/>
          <w:spacing w:val="11"/>
          <w:position w:val="1"/>
          <w:sz w:val="15"/>
        </w:rPr>
        <w:t> </w:t>
      </w:r>
      <w:r>
        <w:rPr>
          <w:b/>
          <w:color w:val="010101"/>
          <w:position w:val="1"/>
          <w:sz w:val="15"/>
        </w:rPr>
        <w:t>GROUP</w:t>
      </w:r>
      <w:r>
        <w:rPr>
          <w:color w:val="010101"/>
          <w:sz w:val="22"/>
        </w:rPr>
        <w:tab/>
      </w:r>
      <w:r>
        <w:rPr>
          <w:color w:val="010101"/>
          <w:spacing w:val="-15"/>
          <w:sz w:val="22"/>
        </w:rPr>
        <w:t>175</w:t>
      </w:r>
    </w:p>
    <w:p>
      <w:pPr>
        <w:tabs>
          <w:tab w:pos="2301" w:val="left" w:leader="none"/>
        </w:tabs>
        <w:spacing w:line="225" w:lineRule="auto" w:before="168"/>
        <w:ind w:left="106" w:right="152" w:firstLine="0"/>
        <w:jc w:val="left"/>
        <w:rPr>
          <w:sz w:val="21"/>
        </w:rPr>
      </w:pPr>
      <w:r>
        <w:rPr>
          <w:i/>
          <w:color w:val="010101"/>
          <w:spacing w:val="-5"/>
          <w:w w:val="105"/>
          <w:sz w:val="21"/>
        </w:rPr>
        <w:t>v"+</w:t>
      </w:r>
      <w:r>
        <w:rPr>
          <w:i/>
          <w:color w:val="010101"/>
          <w:spacing w:val="-5"/>
          <w:w w:val="105"/>
          <w:position w:val="7"/>
          <w:sz w:val="14"/>
        </w:rPr>
        <w:t>1</w:t>
      </w:r>
      <w:r>
        <w:rPr>
          <w:i/>
          <w:color w:val="010101"/>
          <w:spacing w:val="-5"/>
          <w:w w:val="105"/>
          <w:sz w:val="27"/>
        </w:rPr>
        <w:t>,J</w:t>
      </w:r>
      <w:r>
        <w:rPr>
          <w:i/>
          <w:color w:val="010101"/>
          <w:spacing w:val="-22"/>
          <w:w w:val="105"/>
          <w:sz w:val="27"/>
        </w:rPr>
        <w:t> </w:t>
      </w:r>
      <w:r>
        <w:rPr>
          <w:color w:val="010101"/>
          <w:w w:val="105"/>
          <w:sz w:val="21"/>
        </w:rPr>
        <w:t>are</w:t>
      </w:r>
      <w:r>
        <w:rPr>
          <w:color w:val="010101"/>
          <w:spacing w:val="-21"/>
          <w:w w:val="105"/>
          <w:sz w:val="21"/>
        </w:rPr>
        <w:t> </w:t>
      </w:r>
      <w:r>
        <w:rPr>
          <w:color w:val="010101"/>
          <w:w w:val="105"/>
          <w:sz w:val="21"/>
        </w:rPr>
        <w:t>never</w:t>
      </w:r>
      <w:r>
        <w:rPr>
          <w:color w:val="010101"/>
          <w:spacing w:val="-5"/>
          <w:w w:val="105"/>
          <w:sz w:val="21"/>
        </w:rPr>
        <w:t> </w:t>
      </w:r>
      <w:r>
        <w:rPr>
          <w:color w:val="010101"/>
          <w:w w:val="105"/>
          <w:sz w:val="21"/>
        </w:rPr>
        <w:t>less</w:t>
      </w:r>
      <w:r>
        <w:rPr>
          <w:color w:val="010101"/>
          <w:spacing w:val="-15"/>
          <w:w w:val="105"/>
          <w:sz w:val="21"/>
        </w:rPr>
        <w:t> </w:t>
      </w:r>
      <w:r>
        <w:rPr>
          <w:color w:val="010101"/>
          <w:w w:val="105"/>
          <w:sz w:val="21"/>
        </w:rPr>
        <w:t>than</w:t>
      </w:r>
      <w:r>
        <w:rPr>
          <w:color w:val="010101"/>
          <w:spacing w:val="-11"/>
          <w:w w:val="105"/>
          <w:sz w:val="21"/>
        </w:rPr>
        <w:t> </w:t>
      </w:r>
      <w:r>
        <w:rPr>
          <w:i/>
          <w:color w:val="010101"/>
          <w:sz w:val="21"/>
        </w:rPr>
        <w:t>v.,.+i</w:t>
      </w:r>
      <w:r>
        <w:rPr>
          <w:i/>
          <w:color w:val="010101"/>
          <w:spacing w:val="-22"/>
          <w:sz w:val="21"/>
        </w:rPr>
        <w:t> </w:t>
      </w:r>
      <w:r>
        <w:rPr>
          <w:i/>
          <w:color w:val="010101"/>
          <w:spacing w:val="-36"/>
          <w:w w:val="105"/>
          <w:sz w:val="26"/>
        </w:rPr>
        <w:t>.¡,</w:t>
      </w:r>
      <w:r>
        <w:rPr>
          <w:i/>
          <w:color w:val="010101"/>
          <w:spacing w:val="-34"/>
          <w:w w:val="105"/>
          <w:sz w:val="26"/>
        </w:rPr>
        <w:t> </w:t>
      </w:r>
      <w:r>
        <w:rPr>
          <w:color w:val="010101"/>
          <w:w w:val="105"/>
          <w:sz w:val="21"/>
        </w:rPr>
        <w:t>so</w:t>
      </w:r>
      <w:r>
        <w:rPr>
          <w:color w:val="010101"/>
          <w:spacing w:val="-22"/>
          <w:w w:val="105"/>
          <w:sz w:val="21"/>
        </w:rPr>
        <w:t> </w:t>
      </w:r>
      <w:r>
        <w:rPr>
          <w:color w:val="010101"/>
          <w:w w:val="105"/>
          <w:sz w:val="21"/>
        </w:rPr>
        <w:t>that</w:t>
      </w:r>
      <w:r>
        <w:rPr>
          <w:color w:val="010101"/>
          <w:spacing w:val="-9"/>
          <w:w w:val="105"/>
          <w:sz w:val="21"/>
        </w:rPr>
        <w:t> </w:t>
      </w:r>
      <w:r>
        <w:rPr>
          <w:color w:val="010101"/>
          <w:w w:val="105"/>
          <w:sz w:val="21"/>
        </w:rPr>
        <w:t>in</w:t>
      </w:r>
      <w:r>
        <w:rPr>
          <w:color w:val="010101"/>
          <w:spacing w:val="-10"/>
          <w:w w:val="105"/>
          <w:sz w:val="21"/>
        </w:rPr>
        <w:t> </w:t>
      </w:r>
      <w:r>
        <w:rPr>
          <w:color w:val="010101"/>
          <w:w w:val="105"/>
          <w:sz w:val="21"/>
        </w:rPr>
        <w:t>either</w:t>
      </w:r>
      <w:r>
        <w:rPr>
          <w:color w:val="010101"/>
          <w:spacing w:val="-13"/>
          <w:w w:val="105"/>
          <w:sz w:val="21"/>
        </w:rPr>
        <w:t> </w:t>
      </w:r>
      <w:r>
        <w:rPr>
          <w:color w:val="010101"/>
          <w:w w:val="105"/>
          <w:sz w:val="21"/>
        </w:rPr>
        <w:t>case</w:t>
      </w:r>
      <w:r>
        <w:rPr>
          <w:color w:val="010101"/>
          <w:spacing w:val="-16"/>
          <w:w w:val="105"/>
          <w:sz w:val="21"/>
        </w:rPr>
        <w:t> </w:t>
      </w:r>
      <w:r>
        <w:rPr>
          <w:color w:val="010101"/>
          <w:w w:val="105"/>
          <w:sz w:val="21"/>
        </w:rPr>
        <w:t>we</w:t>
      </w:r>
      <w:r>
        <w:rPr>
          <w:color w:val="010101"/>
          <w:spacing w:val="-18"/>
          <w:w w:val="105"/>
          <w:sz w:val="21"/>
        </w:rPr>
        <w:t> </w:t>
      </w:r>
      <w:r>
        <w:rPr>
          <w:color w:val="010101"/>
          <w:w w:val="105"/>
          <w:sz w:val="21"/>
        </w:rPr>
        <w:t>have</w:t>
      </w:r>
      <w:r>
        <w:rPr>
          <w:color w:val="010101"/>
          <w:spacing w:val="-9"/>
          <w:w w:val="105"/>
          <w:sz w:val="21"/>
        </w:rPr>
        <w:t> </w:t>
      </w:r>
      <w:r>
        <w:rPr>
          <w:color w:val="010101"/>
          <w:w w:val="105"/>
          <w:sz w:val="21"/>
        </w:rPr>
        <w:t>the following results</w:t>
      </w:r>
      <w:r>
        <w:rPr>
          <w:color w:val="010101"/>
          <w:spacing w:val="-19"/>
          <w:w w:val="105"/>
          <w:sz w:val="21"/>
        </w:rPr>
        <w:t> </w:t>
      </w:r>
      <w:r>
        <w:rPr>
          <w:color w:val="010101"/>
          <w:w w:val="105"/>
          <w:sz w:val="21"/>
        </w:rPr>
        <w:t>for</w:t>
      </w:r>
      <w:r>
        <w:rPr>
          <w:color w:val="010101"/>
          <w:spacing w:val="-16"/>
          <w:w w:val="105"/>
          <w:sz w:val="21"/>
        </w:rPr>
        <w:t> </w:t>
      </w:r>
      <w:r>
        <w:rPr>
          <w:i/>
          <w:color w:val="010101"/>
          <w:w w:val="105"/>
          <w:sz w:val="22"/>
        </w:rPr>
        <w:t>n</w:t>
        <w:tab/>
      </w:r>
      <w:r>
        <w:rPr>
          <w:color w:val="010101"/>
          <w:w w:val="105"/>
          <w:sz w:val="21"/>
        </w:rPr>
        <w:t>O:</w:t>
      </w:r>
    </w:p>
    <w:p>
      <w:pPr>
        <w:spacing w:before="53"/>
        <w:ind w:left="106" w:right="0" w:firstLine="0"/>
        <w:jc w:val="both"/>
        <w:rPr>
          <w:i/>
          <w:sz w:val="26"/>
        </w:rPr>
      </w:pPr>
      <w:r>
        <w:rPr>
          <w:rFonts w:ascii="Arial" w:hAnsi="Arial"/>
          <w:b/>
          <w:i/>
          <w:color w:val="010101"/>
          <w:sz w:val="19"/>
        </w:rPr>
        <w:t>a;;¡ </w:t>
      </w:r>
      <w:r>
        <w:rPr>
          <w:color w:val="010101"/>
          <w:sz w:val="28"/>
        </w:rPr>
        <w:t>= </w:t>
      </w:r>
      <w:r>
        <w:rPr>
          <w:rFonts w:ascii="Arial" w:hAnsi="Arial"/>
          <w:b/>
          <w:i/>
          <w:color w:val="010101"/>
          <w:sz w:val="19"/>
        </w:rPr>
        <w:t>a;:¡:¡¡     </w:t>
      </w:r>
      <w:r>
        <w:rPr>
          <w:i/>
          <w:color w:val="010101"/>
          <w:sz w:val="21"/>
        </w:rPr>
        <w:t>a;i </w:t>
      </w:r>
      <w:r>
        <w:rPr>
          <w:color w:val="010101"/>
          <w:sz w:val="28"/>
        </w:rPr>
        <w:t>+ </w:t>
      </w:r>
      <w:r>
        <w:rPr>
          <w:i/>
          <w:color w:val="010101"/>
          <w:sz w:val="21"/>
        </w:rPr>
        <w:t>v"+i </w:t>
      </w:r>
      <w:r>
        <w:rPr>
          <w:i/>
          <w:color w:val="010101"/>
          <w:spacing w:val="-23"/>
          <w:w w:val="125"/>
          <w:sz w:val="26"/>
        </w:rPr>
        <w:t>.¡</w:t>
      </w:r>
    </w:p>
    <w:p>
      <w:pPr>
        <w:spacing w:line="61" w:lineRule="exact" w:before="114"/>
        <w:ind w:left="1652" w:right="0" w:firstLine="0"/>
        <w:jc w:val="left"/>
        <w:rPr>
          <w:b/>
          <w:sz w:val="9"/>
        </w:rPr>
      </w:pPr>
      <w:r>
        <w:rPr>
          <w:b/>
          <w:color w:val="010101"/>
          <w:sz w:val="9"/>
        </w:rPr>
        <w:t>11</w:t>
      </w:r>
    </w:p>
    <w:p>
      <w:pPr>
        <w:spacing w:line="325" w:lineRule="exact" w:before="0"/>
        <w:ind w:left="479" w:right="0" w:firstLine="0"/>
        <w:jc w:val="left"/>
        <w:rPr>
          <w:sz w:val="19"/>
        </w:rPr>
      </w:pPr>
      <w:r>
        <w:rPr/>
        <w:pict>
          <v:shape style="position:absolute;margin-left:111.569504pt;margin-top:8.621515pt;width:12.7pt;height:13pt;mso-position-horizontal-relative:page;mso-position-vertical-relative:paragraph;z-index:-721648" type="#_x0000_t202" filled="false" stroked="false">
            <v:textbox inset="0,0,0,0">
              <w:txbxContent>
                <w:p>
                  <w:pPr>
                    <w:spacing w:line="260" w:lineRule="exact" w:before="0"/>
                    <w:ind w:left="0" w:right="-20" w:firstLine="0"/>
                    <w:jc w:val="left"/>
                    <w:rPr>
                      <w:rFonts w:ascii="Arial"/>
                      <w:b/>
                      <w:sz w:val="26"/>
                    </w:rPr>
                  </w:pPr>
                  <w:r>
                    <w:rPr>
                      <w:rFonts w:ascii="Arial"/>
                      <w:b/>
                      <w:color w:val="010101"/>
                      <w:spacing w:val="-32"/>
                      <w:w w:val="118"/>
                      <w:sz w:val="26"/>
                    </w:rPr>
                    <w:t>,</w:t>
                  </w:r>
                  <w:r>
                    <w:rPr>
                      <w:rFonts w:ascii="Arial"/>
                      <w:b/>
                      <w:color w:val="010101"/>
                      <w:spacing w:val="-15"/>
                      <w:w w:val="140"/>
                      <w:sz w:val="26"/>
                    </w:rPr>
                    <w:t>-</w:t>
                  </w:r>
                  <w:r>
                    <w:rPr>
                      <w:rFonts w:ascii="Arial"/>
                      <w:b/>
                      <w:color w:val="010101"/>
                      <w:w w:val="63"/>
                      <w:sz w:val="26"/>
                    </w:rPr>
                    <w:t>1</w:t>
                  </w:r>
                </w:p>
              </w:txbxContent>
            </v:textbox>
            <w10:wrap type="none"/>
          </v:shape>
        </w:pict>
      </w:r>
      <w:r>
        <w:rPr>
          <w:color w:val="010101"/>
          <w:w w:val="105"/>
          <w:sz w:val="28"/>
        </w:rPr>
        <w:t>= </w:t>
      </w:r>
      <w:r>
        <w:rPr>
          <w:rFonts w:ascii="Arial" w:hAnsi="Arial"/>
          <w:i/>
          <w:color w:val="010101"/>
          <w:spacing w:val="-4"/>
          <w:w w:val="105"/>
          <w:sz w:val="20"/>
        </w:rPr>
        <w:t>ª•=K+ll </w:t>
      </w:r>
      <w:r>
        <w:rPr>
          <w:color w:val="010101"/>
          <w:w w:val="105"/>
          <w:sz w:val="28"/>
        </w:rPr>
        <w:t>+ </w:t>
      </w:r>
      <w:r>
        <w:rPr>
          <w:rFonts w:ascii="Arial" w:hAnsi="Arial"/>
          <w:color w:val="010101"/>
          <w:w w:val="105"/>
          <w:sz w:val="32"/>
        </w:rPr>
        <w:t>¿</w:t>
      </w:r>
      <w:r>
        <w:rPr>
          <w:b/>
          <w:color w:val="010101"/>
          <w:w w:val="105"/>
          <w:sz w:val="21"/>
        </w:rPr>
        <w:t>v'(l </w:t>
      </w:r>
      <w:r>
        <w:rPr>
          <w:color w:val="010101"/>
          <w:w w:val="240"/>
          <w:sz w:val="21"/>
        </w:rPr>
        <w:t>- </w:t>
      </w:r>
      <w:r>
        <w:rPr>
          <w:color w:val="010101"/>
          <w:w w:val="105"/>
          <w:sz w:val="28"/>
        </w:rPr>
        <w:t>,p.) + </w:t>
      </w:r>
      <w:r>
        <w:rPr>
          <w:rFonts w:ascii="Arial" w:hAnsi="Arial"/>
          <w:i/>
          <w:color w:val="010101"/>
          <w:w w:val="105"/>
          <w:sz w:val="19"/>
        </w:rPr>
        <w:t>v"+</w:t>
      </w:r>
      <w:r>
        <w:rPr>
          <w:rFonts w:ascii="Arial" w:hAnsi="Arial"/>
          <w:i/>
          <w:color w:val="010101"/>
          <w:w w:val="105"/>
          <w:position w:val="12"/>
          <w:sz w:val="11"/>
        </w:rPr>
        <w:t>1 </w:t>
      </w:r>
      <w:r>
        <w:rPr>
          <w:rFonts w:ascii="Arial" w:hAnsi="Arial"/>
          <w:i/>
          <w:color w:val="010101"/>
          <w:w w:val="105"/>
          <w:sz w:val="19"/>
        </w:rPr>
        <w:t>(J </w:t>
      </w:r>
      <w:r>
        <w:rPr>
          <w:rFonts w:ascii="Arial" w:hAnsi="Arial"/>
          <w:color w:val="010101"/>
          <w:w w:val="240"/>
          <w:sz w:val="19"/>
        </w:rPr>
        <w:t>-</w:t>
      </w:r>
      <w:r>
        <w:rPr>
          <w:rFonts w:ascii="Arial" w:hAnsi="Arial"/>
          <w:color w:val="010101"/>
          <w:spacing w:val="-65"/>
          <w:w w:val="240"/>
          <w:sz w:val="19"/>
        </w:rPr>
        <w:t> </w:t>
      </w:r>
      <w:r>
        <w:rPr>
          <w:color w:val="010101"/>
          <w:w w:val="105"/>
          <w:sz w:val="19"/>
        </w:rPr>
        <w:t>•+1Ps)</w:t>
      </w:r>
    </w:p>
    <w:p>
      <w:pPr>
        <w:pStyle w:val="BodyText"/>
        <w:rPr>
          <w:sz w:val="14"/>
        </w:rPr>
      </w:pPr>
      <w:r>
        <w:rPr/>
        <w:drawing>
          <wp:anchor distT="0" distB="0" distL="0" distR="0" allowOverlap="1" layoutInCell="1" locked="0" behindDoc="0" simplePos="0" relativeHeight="14368">
            <wp:simplePos x="0" y="0"/>
            <wp:positionH relativeFrom="page">
              <wp:posOffset>704087</wp:posOffset>
            </wp:positionH>
            <wp:positionV relativeFrom="paragraph">
              <wp:posOffset>127499</wp:posOffset>
            </wp:positionV>
            <wp:extent cx="2779776" cy="320039"/>
            <wp:effectExtent l="0" t="0" r="0" b="0"/>
            <wp:wrapTopAndBottom/>
            <wp:docPr id="367" name="image189.png" descr=""/>
            <wp:cNvGraphicFramePr>
              <a:graphicFrameLocks noChangeAspect="1"/>
            </wp:cNvGraphicFramePr>
            <a:graphic>
              <a:graphicData uri="http://schemas.openxmlformats.org/drawingml/2006/picture">
                <pic:pic>
                  <pic:nvPicPr>
                    <pic:cNvPr id="368" name="image189.png"/>
                    <pic:cNvPicPr/>
                  </pic:nvPicPr>
                  <pic:blipFill>
                    <a:blip r:embed="rId193" cstate="print"/>
                    <a:stretch>
                      <a:fillRect/>
                    </a:stretch>
                  </pic:blipFill>
                  <pic:spPr>
                    <a:xfrm>
                      <a:off x="0" y="0"/>
                      <a:ext cx="2779776" cy="320039"/>
                    </a:xfrm>
                    <a:prstGeom prst="rect">
                      <a:avLst/>
                    </a:prstGeom>
                  </pic:spPr>
                </pic:pic>
              </a:graphicData>
            </a:graphic>
          </wp:anchor>
        </w:drawing>
      </w:r>
    </w:p>
    <w:p>
      <w:pPr>
        <w:spacing w:line="568" w:lineRule="exact" w:before="0"/>
        <w:ind w:left="490" w:right="0" w:firstLine="0"/>
        <w:jc w:val="left"/>
        <w:rPr>
          <w:i/>
          <w:sz w:val="36"/>
        </w:rPr>
      </w:pPr>
      <w:r>
        <w:rPr>
          <w:color w:val="010101"/>
          <w:w w:val="84"/>
          <w:sz w:val="29"/>
        </w:rPr>
        <w:t>=</w:t>
      </w:r>
      <w:r>
        <w:rPr>
          <w:color w:val="010101"/>
          <w:spacing w:val="18"/>
          <w:sz w:val="29"/>
        </w:rPr>
        <w:t> </w:t>
      </w:r>
      <w:r>
        <w:rPr>
          <w:color w:val="010101"/>
          <w:w w:val="112"/>
          <w:sz w:val="25"/>
        </w:rPr>
        <w:t>a</w:t>
      </w:r>
      <w:r>
        <w:rPr>
          <w:color w:val="010101"/>
          <w:spacing w:val="-20"/>
          <w:w w:val="112"/>
          <w:sz w:val="25"/>
        </w:rPr>
        <w:t>.</w:t>
      </w:r>
      <w:r>
        <w:rPr>
          <w:color w:val="010101"/>
          <w:spacing w:val="-20"/>
          <w:w w:val="89"/>
          <w:sz w:val="25"/>
        </w:rPr>
        <w:t>:</w:t>
      </w:r>
      <w:r>
        <w:rPr>
          <w:rFonts w:ascii="Arial" w:hAnsi="Arial"/>
          <w:color w:val="010101"/>
          <w:w w:val="79"/>
          <w:sz w:val="22"/>
        </w:rPr>
        <w:t>ñ+i1</w:t>
      </w:r>
      <w:r>
        <w:rPr>
          <w:rFonts w:ascii="Arial" w:hAnsi="Arial"/>
          <w:color w:val="010101"/>
          <w:spacing w:val="-8"/>
          <w:sz w:val="22"/>
        </w:rPr>
        <w:t> </w:t>
      </w:r>
      <w:r>
        <w:rPr>
          <w:rFonts w:ascii="Arial" w:hAnsi="Arial"/>
          <w:color w:val="010101"/>
          <w:w w:val="104"/>
          <w:sz w:val="32"/>
        </w:rPr>
        <w:t>+</w:t>
      </w:r>
      <w:r>
        <w:rPr>
          <w:rFonts w:ascii="Arial" w:hAnsi="Arial"/>
          <w:color w:val="010101"/>
          <w:spacing w:val="-41"/>
          <w:sz w:val="32"/>
        </w:rPr>
        <w:t> </w:t>
      </w:r>
      <w:r>
        <w:rPr>
          <w:i/>
          <w:color w:val="010101"/>
          <w:spacing w:val="17"/>
          <w:w w:val="44"/>
          <w:sz w:val="40"/>
        </w:rPr>
        <w:t>v</w:t>
      </w:r>
      <w:r>
        <w:rPr>
          <w:i/>
          <w:color w:val="010101"/>
          <w:w w:val="44"/>
          <w:sz w:val="40"/>
        </w:rPr>
        <w:t>"+i</w:t>
      </w:r>
      <w:r>
        <w:rPr>
          <w:i/>
          <w:color w:val="010101"/>
          <w:spacing w:val="-46"/>
          <w:sz w:val="40"/>
        </w:rPr>
        <w:t> </w:t>
      </w:r>
      <w:r>
        <w:rPr>
          <w:i/>
          <w:color w:val="010101"/>
          <w:spacing w:val="14"/>
          <w:w w:val="74"/>
          <w:sz w:val="40"/>
        </w:rPr>
        <w:t>(</w:t>
      </w:r>
      <w:r>
        <w:rPr>
          <w:i/>
          <w:color w:val="010101"/>
          <w:w w:val="60"/>
          <w:sz w:val="40"/>
        </w:rPr>
        <w:t>n</w:t>
      </w:r>
      <w:r>
        <w:rPr>
          <w:i/>
          <w:color w:val="010101"/>
          <w:spacing w:val="-27"/>
          <w:sz w:val="40"/>
        </w:rPr>
        <w:t> </w:t>
      </w:r>
      <w:r>
        <w:rPr>
          <w:color w:val="010101"/>
          <w:w w:val="104"/>
          <w:sz w:val="28"/>
        </w:rPr>
        <w:t>+</w:t>
      </w:r>
      <w:r>
        <w:rPr>
          <w:color w:val="010101"/>
          <w:spacing w:val="-21"/>
          <w:sz w:val="28"/>
        </w:rPr>
        <w:t> </w:t>
      </w:r>
      <w:r>
        <w:rPr>
          <w:rFonts w:ascii="Arial" w:hAnsi="Arial"/>
          <w:b/>
          <w:i/>
          <w:color w:val="010101"/>
          <w:w w:val="105"/>
          <w:sz w:val="24"/>
        </w:rPr>
        <w:t>f</w:t>
      </w:r>
      <w:r>
        <w:rPr>
          <w:rFonts w:ascii="Arial" w:hAnsi="Arial"/>
          <w:b/>
          <w:i/>
          <w:color w:val="010101"/>
          <w:sz w:val="24"/>
        </w:rPr>
        <w:t> </w:t>
      </w:r>
      <w:r>
        <w:rPr>
          <w:rFonts w:ascii="Arial" w:hAnsi="Arial"/>
          <w:b/>
          <w:i/>
          <w:color w:val="010101"/>
          <w:spacing w:val="-32"/>
          <w:sz w:val="24"/>
        </w:rPr>
        <w:t> </w:t>
      </w:r>
      <w:r>
        <w:rPr>
          <w:rFonts w:ascii="Arial" w:hAnsi="Arial"/>
          <w:color w:val="010101"/>
          <w:w w:val="206"/>
          <w:sz w:val="24"/>
        </w:rPr>
        <w:t>-</w:t>
      </w:r>
      <w:r>
        <w:rPr>
          <w:rFonts w:ascii="Arial" w:hAnsi="Arial"/>
          <w:color w:val="010101"/>
          <w:spacing w:val="15"/>
          <w:sz w:val="24"/>
        </w:rPr>
        <w:t> </w:t>
      </w:r>
      <w:r>
        <w:rPr>
          <w:rFonts w:ascii="Arial" w:hAnsi="Arial"/>
          <w:color w:val="010101"/>
          <w:spacing w:val="-168"/>
          <w:w w:val="57"/>
          <w:sz w:val="48"/>
        </w:rPr>
        <w:t>Y</w:t>
      </w:r>
      <w:r>
        <w:rPr>
          <w:rFonts w:ascii="Arial" w:hAnsi="Arial"/>
          <w:b/>
          <w:color w:val="010101"/>
          <w:spacing w:val="-26"/>
          <w:w w:val="105"/>
          <w:position w:val="-10"/>
          <w:sz w:val="27"/>
        </w:rPr>
        <w:t>,</w:t>
      </w:r>
      <w:r>
        <w:rPr>
          <w:rFonts w:ascii="Arial" w:hAnsi="Arial"/>
          <w:b/>
          <w:color w:val="010101"/>
          <w:w w:val="86"/>
          <w:position w:val="-10"/>
          <w:sz w:val="27"/>
        </w:rPr>
        <w:t>-</w:t>
      </w:r>
      <w:r>
        <w:rPr>
          <w:rFonts w:ascii="Arial" w:hAnsi="Arial"/>
          <w:b/>
          <w:color w:val="010101"/>
          <w:spacing w:val="-96"/>
          <w:w w:val="86"/>
          <w:position w:val="-10"/>
          <w:sz w:val="27"/>
        </w:rPr>
        <w:t>1</w:t>
      </w:r>
      <w:r>
        <w:rPr>
          <w:rFonts w:ascii="Arial" w:hAnsi="Arial"/>
          <w:color w:val="010101"/>
          <w:w w:val="57"/>
          <w:sz w:val="48"/>
        </w:rPr>
        <w:t>:</w:t>
      </w:r>
      <w:r>
        <w:rPr>
          <w:rFonts w:ascii="Arial" w:hAnsi="Arial"/>
          <w:color w:val="010101"/>
          <w:spacing w:val="-81"/>
          <w:sz w:val="48"/>
        </w:rPr>
        <w:t> </w:t>
      </w:r>
      <w:r>
        <w:rPr>
          <w:i/>
          <w:color w:val="010101"/>
          <w:spacing w:val="2"/>
          <w:w w:val="40"/>
          <w:sz w:val="36"/>
        </w:rPr>
        <w:t>t</w:t>
      </w:r>
      <w:r>
        <w:rPr>
          <w:i/>
          <w:color w:val="010101"/>
          <w:w w:val="44"/>
          <w:sz w:val="36"/>
        </w:rPr>
        <w:t>P</w:t>
      </w:r>
      <w:r>
        <w:rPr>
          <w:i/>
          <w:color w:val="010101"/>
          <w:spacing w:val="13"/>
          <w:w w:val="44"/>
          <w:sz w:val="36"/>
        </w:rPr>
        <w:t>z</w:t>
      </w:r>
      <w:r>
        <w:rPr>
          <w:i/>
          <w:color w:val="010101"/>
          <w:w w:val="77"/>
          <w:sz w:val="36"/>
        </w:rPr>
        <w:t>)</w:t>
      </w:r>
    </w:p>
    <w:p>
      <w:pPr>
        <w:spacing w:line="551" w:lineRule="exact" w:before="0"/>
        <w:ind w:left="497" w:right="0" w:firstLine="0"/>
        <w:jc w:val="left"/>
        <w:rPr>
          <w:sz w:val="50"/>
        </w:rPr>
      </w:pPr>
      <w:r>
        <w:rPr/>
        <w:pict>
          <v:shape style="position:absolute;margin-left:139.192795pt;margin-top:18.490511pt;width:55.8pt;height:12.5pt;mso-position-horizontal-relative:page;mso-position-vertical-relative:paragraph;z-index:-721624" type="#_x0000_t202" filled="false" stroked="false">
            <v:textbox inset="0,0,0,0">
              <w:txbxContent>
                <w:p>
                  <w:pPr>
                    <w:tabs>
                      <w:tab w:pos="864" w:val="left" w:leader="none"/>
                    </w:tabs>
                    <w:spacing w:line="250" w:lineRule="exact" w:before="0"/>
                    <w:ind w:left="0" w:right="0" w:firstLine="0"/>
                    <w:jc w:val="left"/>
                    <w:rPr>
                      <w:rFonts w:ascii="Arial"/>
                      <w:b/>
                      <w:sz w:val="25"/>
                    </w:rPr>
                  </w:pPr>
                  <w:r>
                    <w:rPr>
                      <w:rFonts w:ascii="Arial"/>
                      <w:b/>
                      <w:color w:val="010101"/>
                      <w:spacing w:val="-8"/>
                      <w:sz w:val="25"/>
                    </w:rPr>
                    <w:t>,-1</w:t>
                    <w:tab/>
                  </w:r>
                  <w:r>
                    <w:rPr>
                      <w:rFonts w:ascii="Arial"/>
                      <w:b/>
                      <w:color w:val="010101"/>
                      <w:w w:val="85"/>
                      <w:sz w:val="25"/>
                    </w:rPr>
                    <w:t>,-1</w:t>
                  </w:r>
                </w:p>
              </w:txbxContent>
            </v:textbox>
            <w10:wrap type="none"/>
          </v:shape>
        </w:pict>
      </w:r>
      <w:r>
        <w:rPr>
          <w:rFonts w:ascii="Arial" w:hAnsi="Arial"/>
          <w:color w:val="010101"/>
          <w:w w:val="60"/>
          <w:sz w:val="20"/>
        </w:rPr>
        <w:t>==</w:t>
      </w:r>
      <w:r>
        <w:rPr>
          <w:rFonts w:ascii="Arial" w:hAnsi="Arial"/>
          <w:color w:val="010101"/>
          <w:sz w:val="20"/>
        </w:rPr>
        <w:t> </w:t>
      </w:r>
      <w:r>
        <w:rPr>
          <w:rFonts w:ascii="Arial" w:hAnsi="Arial"/>
          <w:color w:val="010101"/>
          <w:spacing w:val="-24"/>
          <w:sz w:val="20"/>
        </w:rPr>
        <w:t> </w:t>
      </w:r>
      <w:r>
        <w:rPr>
          <w:rFonts w:ascii="Arial" w:hAnsi="Arial"/>
          <w:b/>
          <w:color w:val="010101"/>
          <w:w w:val="142"/>
          <w:sz w:val="16"/>
        </w:rPr>
        <w:t>a</w:t>
      </w:r>
      <w:r>
        <w:rPr>
          <w:rFonts w:ascii="Arial" w:hAnsi="Arial"/>
          <w:b/>
          <w:color w:val="010101"/>
          <w:spacing w:val="-12"/>
          <w:w w:val="142"/>
          <w:sz w:val="16"/>
        </w:rPr>
        <w:t>.</w:t>
      </w:r>
      <w:r>
        <w:rPr>
          <w:rFonts w:ascii="Arial" w:hAnsi="Arial"/>
          <w:b/>
          <w:color w:val="010101"/>
          <w:w w:val="95"/>
          <w:sz w:val="16"/>
        </w:rPr>
        <w:t>:;:¡:¡]</w:t>
      </w:r>
      <w:r>
        <w:rPr>
          <w:rFonts w:ascii="Arial" w:hAnsi="Arial"/>
          <w:b/>
          <w:color w:val="010101"/>
          <w:sz w:val="16"/>
        </w:rPr>
        <w:t> </w:t>
      </w:r>
      <w:r>
        <w:rPr>
          <w:rFonts w:ascii="Arial" w:hAnsi="Arial"/>
          <w:b/>
          <w:color w:val="010101"/>
          <w:spacing w:val="-13"/>
          <w:sz w:val="16"/>
        </w:rPr>
        <w:t> </w:t>
      </w:r>
      <w:r>
        <w:rPr>
          <w:rFonts w:ascii="Arial" w:hAnsi="Arial"/>
          <w:color w:val="010101"/>
          <w:w w:val="101"/>
          <w:sz w:val="32"/>
        </w:rPr>
        <w:t>+</w:t>
      </w:r>
      <w:r>
        <w:rPr>
          <w:rFonts w:ascii="Arial" w:hAnsi="Arial"/>
          <w:color w:val="010101"/>
          <w:spacing w:val="-36"/>
          <w:sz w:val="32"/>
        </w:rPr>
        <w:t> </w:t>
      </w:r>
      <w:r>
        <w:rPr>
          <w:rFonts w:ascii="Arial" w:hAnsi="Arial"/>
          <w:color w:val="010101"/>
          <w:w w:val="103"/>
          <w:sz w:val="19"/>
        </w:rPr>
        <w:t>v"</w:t>
      </w:r>
      <w:r>
        <w:rPr>
          <w:rFonts w:ascii="Arial" w:hAnsi="Arial"/>
          <w:color w:val="010101"/>
          <w:spacing w:val="-1"/>
          <w:w w:val="103"/>
          <w:sz w:val="19"/>
        </w:rPr>
        <w:t>+</w:t>
      </w:r>
      <w:r>
        <w:rPr>
          <w:color w:val="010101"/>
          <w:w w:val="124"/>
          <w:position w:val="11"/>
          <w:sz w:val="12"/>
        </w:rPr>
        <w:t>1</w:t>
      </w:r>
      <w:r>
        <w:rPr>
          <w:color w:val="010101"/>
          <w:spacing w:val="6"/>
          <w:position w:val="11"/>
          <w:sz w:val="12"/>
        </w:rPr>
        <w:t> </w:t>
      </w:r>
      <w:r>
        <w:rPr>
          <w:color w:val="010101"/>
          <w:w w:val="101"/>
          <w:sz w:val="48"/>
        </w:rPr>
        <w:t>(f</w:t>
      </w:r>
      <w:r>
        <w:rPr>
          <w:color w:val="010101"/>
          <w:spacing w:val="2"/>
          <w:sz w:val="48"/>
        </w:rPr>
        <w:t> </w:t>
      </w:r>
      <w:r>
        <w:rPr>
          <w:rFonts w:ascii="Arial" w:hAnsi="Arial"/>
          <w:i/>
          <w:color w:val="010101"/>
          <w:w w:val="66"/>
          <w:sz w:val="32"/>
        </w:rPr>
        <w:t>,p.</w:t>
      </w:r>
      <w:r>
        <w:rPr>
          <w:rFonts w:ascii="Arial" w:hAnsi="Arial"/>
          <w:i/>
          <w:color w:val="010101"/>
          <w:spacing w:val="-15"/>
          <w:sz w:val="32"/>
        </w:rPr>
        <w:t> </w:t>
      </w:r>
      <w:r>
        <w:rPr>
          <w:rFonts w:ascii="Arial" w:hAnsi="Arial"/>
          <w:color w:val="010101"/>
          <w:w w:val="158"/>
          <w:sz w:val="32"/>
        </w:rPr>
        <w:t>-</w:t>
      </w:r>
      <w:r>
        <w:rPr>
          <w:rFonts w:ascii="Arial" w:hAnsi="Arial"/>
          <w:color w:val="010101"/>
          <w:spacing w:val="-18"/>
          <w:sz w:val="32"/>
        </w:rPr>
        <w:t> </w:t>
      </w:r>
      <w:r>
        <w:rPr>
          <w:rFonts w:ascii="Arial" w:hAnsi="Arial"/>
          <w:color w:val="010101"/>
          <w:w w:val="58"/>
          <w:sz w:val="48"/>
        </w:rPr>
        <w:t>Y:</w:t>
      </w:r>
      <w:r>
        <w:rPr>
          <w:rFonts w:ascii="Arial" w:hAnsi="Arial"/>
          <w:color w:val="010101"/>
          <w:spacing w:val="-74"/>
          <w:sz w:val="48"/>
        </w:rPr>
        <w:t> </w:t>
      </w:r>
      <w:r>
        <w:rPr>
          <w:color w:val="010101"/>
          <w:w w:val="42"/>
          <w:sz w:val="50"/>
        </w:rPr>
        <w:t>,</w:t>
      </w:r>
      <w:r>
        <w:rPr>
          <w:color w:val="010101"/>
          <w:spacing w:val="-7"/>
          <w:w w:val="42"/>
          <w:sz w:val="50"/>
        </w:rPr>
        <w:t>p</w:t>
      </w:r>
      <w:r>
        <w:rPr>
          <w:color w:val="010101"/>
          <w:spacing w:val="-91"/>
          <w:w w:val="124"/>
          <w:sz w:val="50"/>
        </w:rPr>
        <w:t>.</w:t>
      </w:r>
      <w:r>
        <w:rPr>
          <w:color w:val="010101"/>
          <w:w w:val="82"/>
          <w:sz w:val="50"/>
        </w:rPr>
        <w:t>)</w:t>
      </w:r>
    </w:p>
    <w:p>
      <w:pPr>
        <w:pStyle w:val="BodyText"/>
        <w:spacing w:before="2"/>
        <w:rPr>
          <w:sz w:val="13"/>
        </w:rPr>
      </w:pPr>
      <w:r>
        <w:rPr/>
        <w:drawing>
          <wp:anchor distT="0" distB="0" distL="0" distR="0" allowOverlap="1" layoutInCell="1" locked="0" behindDoc="0" simplePos="0" relativeHeight="14392">
            <wp:simplePos x="0" y="0"/>
            <wp:positionH relativeFrom="page">
              <wp:posOffset>722376</wp:posOffset>
            </wp:positionH>
            <wp:positionV relativeFrom="paragraph">
              <wp:posOffset>121266</wp:posOffset>
            </wp:positionV>
            <wp:extent cx="1417320" cy="301751"/>
            <wp:effectExtent l="0" t="0" r="0" b="0"/>
            <wp:wrapTopAndBottom/>
            <wp:docPr id="369" name="image190.png" descr=""/>
            <wp:cNvGraphicFramePr>
              <a:graphicFrameLocks noChangeAspect="1"/>
            </wp:cNvGraphicFramePr>
            <a:graphic>
              <a:graphicData uri="http://schemas.openxmlformats.org/drawingml/2006/picture">
                <pic:pic>
                  <pic:nvPicPr>
                    <pic:cNvPr id="370" name="image190.png"/>
                    <pic:cNvPicPr/>
                  </pic:nvPicPr>
                  <pic:blipFill>
                    <a:blip r:embed="rId194" cstate="print"/>
                    <a:stretch>
                      <a:fillRect/>
                    </a:stretch>
                  </pic:blipFill>
                  <pic:spPr>
                    <a:xfrm>
                      <a:off x="0" y="0"/>
                      <a:ext cx="1417320" cy="301751"/>
                    </a:xfrm>
                    <a:prstGeom prst="rect">
                      <a:avLst/>
                    </a:prstGeom>
                  </pic:spPr>
                </pic:pic>
              </a:graphicData>
            </a:graphic>
          </wp:anchor>
        </w:drawing>
      </w:r>
    </w:p>
    <w:p>
      <w:pPr>
        <w:tabs>
          <w:tab w:pos="975" w:val="left" w:leader="none"/>
        </w:tabs>
        <w:spacing w:line="349" w:lineRule="exact" w:before="89"/>
        <w:ind w:left="0" w:right="2798" w:firstLine="0"/>
        <w:jc w:val="center"/>
        <w:rPr>
          <w:i/>
          <w:sz w:val="22"/>
        </w:rPr>
      </w:pPr>
      <w:r>
        <w:rPr>
          <w:color w:val="010101"/>
          <w:w w:val="115"/>
          <w:sz w:val="17"/>
        </w:rPr>
        <w:t>4.:i+il</w:t>
      </w:r>
      <w:r>
        <w:rPr>
          <w:color w:val="010101"/>
          <w:spacing w:val="39"/>
          <w:w w:val="115"/>
          <w:sz w:val="17"/>
        </w:rPr>
        <w:t> </w:t>
      </w:r>
      <w:r>
        <w:rPr>
          <w:color w:val="010101"/>
          <w:w w:val="115"/>
          <w:sz w:val="28"/>
        </w:rPr>
        <w:t>+</w:t>
        <w:tab/>
      </w:r>
      <w:r>
        <w:rPr>
          <w:i/>
          <w:color w:val="010101"/>
          <w:w w:val="115"/>
          <w:sz w:val="35"/>
        </w:rPr>
        <w:t>L</w:t>
      </w:r>
      <w:r>
        <w:rPr>
          <w:i/>
          <w:color w:val="010101"/>
          <w:spacing w:val="11"/>
          <w:w w:val="115"/>
          <w:sz w:val="35"/>
        </w:rPr>
        <w:t> </w:t>
      </w:r>
      <w:r>
        <w:rPr>
          <w:i/>
          <w:color w:val="010101"/>
          <w:w w:val="115"/>
          <w:sz w:val="22"/>
        </w:rPr>
        <w:t>v',p.</w:t>
      </w:r>
    </w:p>
    <w:p>
      <w:pPr>
        <w:spacing w:line="165" w:lineRule="exact" w:before="0"/>
        <w:ind w:left="1598" w:right="0" w:firstLine="0"/>
        <w:jc w:val="left"/>
        <w:rPr>
          <w:rFonts w:ascii="Arial" w:hAnsi="Arial"/>
          <w:b/>
          <w:sz w:val="19"/>
        </w:rPr>
      </w:pPr>
      <w:r>
        <w:rPr/>
        <w:pict>
          <v:shape style="position:absolute;margin-left:120.358704pt;margin-top:-20.738079pt;width:6.8pt;height:12pt;mso-position-horizontal-relative:page;mso-position-vertical-relative:paragraph;z-index:-721600" type="#_x0000_t202" filled="false" stroked="false">
            <v:textbox inset="0,0,0,0">
              <w:txbxContent>
                <w:p>
                  <w:pPr>
                    <w:spacing w:line="240" w:lineRule="exact" w:before="0"/>
                    <w:ind w:left="0" w:right="0" w:firstLine="0"/>
                    <w:jc w:val="left"/>
                    <w:rPr>
                      <w:rFonts w:ascii="Arial" w:hAnsi="Arial"/>
                      <w:sz w:val="24"/>
                    </w:rPr>
                  </w:pPr>
                  <w:r>
                    <w:rPr>
                      <w:rFonts w:ascii="Arial" w:hAnsi="Arial"/>
                      <w:color w:val="010101"/>
                      <w:w w:val="160"/>
                      <w:sz w:val="24"/>
                    </w:rPr>
                    <w:t>•</w:t>
                  </w:r>
                </w:p>
              </w:txbxContent>
            </v:textbox>
            <w10:wrap type="none"/>
          </v:shape>
        </w:pict>
      </w:r>
      <w:r>
        <w:rPr>
          <w:rFonts w:ascii="Arial" w:hAnsi="Arial"/>
          <w:b/>
          <w:color w:val="010101"/>
          <w:sz w:val="19"/>
        </w:rPr>
        <w:t>•-•+2</w:t>
      </w:r>
    </w:p>
    <w:p>
      <w:pPr>
        <w:pStyle w:val="BodyText"/>
        <w:spacing w:before="6"/>
        <w:rPr>
          <w:rFonts w:ascii="Arial"/>
          <w:b/>
          <w:sz w:val="22"/>
        </w:rPr>
      </w:pPr>
    </w:p>
    <w:p>
      <w:pPr>
        <w:spacing w:line="312" w:lineRule="exact" w:before="0"/>
        <w:ind w:left="131" w:right="0" w:firstLine="0"/>
        <w:jc w:val="both"/>
        <w:rPr>
          <w:sz w:val="21"/>
        </w:rPr>
      </w:pPr>
      <w:r>
        <w:rPr>
          <w:color w:val="010101"/>
          <w:sz w:val="21"/>
        </w:rPr>
        <w:t>Since the same result can be obtained when </w:t>
      </w:r>
      <w:r>
        <w:rPr>
          <w:i/>
          <w:color w:val="010101"/>
          <w:sz w:val="22"/>
        </w:rPr>
        <w:t>n </w:t>
      </w:r>
      <w:r>
        <w:rPr>
          <w:color w:val="010101"/>
          <w:sz w:val="28"/>
        </w:rPr>
        <w:t>= </w:t>
      </w:r>
      <w:r>
        <w:rPr>
          <w:color w:val="010101"/>
          <w:sz w:val="21"/>
        </w:rPr>
        <w:t>O    (the derivation</w:t>
      </w:r>
    </w:p>
    <w:p>
      <w:pPr>
        <w:spacing w:line="229" w:lineRule="exact" w:before="0"/>
        <w:ind w:left="145" w:right="0" w:firstLine="0"/>
        <w:jc w:val="both"/>
        <w:rPr>
          <w:sz w:val="21"/>
        </w:rPr>
      </w:pPr>
      <w:r>
        <w:rPr>
          <w:rFonts w:ascii="Arial"/>
          <w:color w:val="010101"/>
          <w:sz w:val="21"/>
        </w:rPr>
        <w:t>is </w:t>
      </w:r>
      <w:r>
        <w:rPr>
          <w:color w:val="010101"/>
          <w:sz w:val="21"/>
        </w:rPr>
        <w:t>left for the student in  Exercise 11), we see that </w:t>
      </w:r>
      <w:r>
        <w:rPr>
          <w:rFonts w:ascii="Arial"/>
          <w:i/>
          <w:color w:val="010101"/>
          <w:sz w:val="17"/>
        </w:rPr>
        <w:t>a;;i  </w:t>
      </w:r>
      <w:r>
        <w:rPr>
          <w:color w:val="010101"/>
          <w:sz w:val="21"/>
        </w:rPr>
        <w:t>exceeds </w:t>
      </w:r>
      <w:r>
        <w:rPr>
          <w:i/>
          <w:color w:val="010101"/>
          <w:sz w:val="21"/>
        </w:rPr>
        <w:t>as  </w:t>
      </w:r>
      <w:r>
        <w:rPr>
          <w:color w:val="010101"/>
          <w:sz w:val="21"/>
        </w:rPr>
        <w:t>in</w:t>
      </w:r>
    </w:p>
    <w:p>
      <w:pPr>
        <w:spacing w:line="250" w:lineRule="exact" w:before="0"/>
        <w:ind w:left="138" w:right="0" w:firstLine="0"/>
        <w:jc w:val="both"/>
        <w:rPr>
          <w:sz w:val="22"/>
        </w:rPr>
      </w:pPr>
      <w:r>
        <w:rPr>
          <w:color w:val="010101"/>
          <w:w w:val="80"/>
          <w:sz w:val="22"/>
        </w:rPr>
        <w:t>a.11 ca.ses.</w:t>
      </w:r>
    </w:p>
    <w:p>
      <w:pPr>
        <w:spacing w:before="161"/>
        <w:ind w:left="138" w:right="0" w:firstLine="0"/>
        <w:jc w:val="both"/>
        <w:rPr>
          <w:b/>
          <w:sz w:val="20"/>
        </w:rPr>
      </w:pPr>
      <w:r>
        <w:rPr>
          <w:rFonts w:ascii="Arial"/>
          <w:b/>
          <w:color w:val="010101"/>
          <w:w w:val="110"/>
          <w:sz w:val="19"/>
        </w:rPr>
        <w:t>4. </w:t>
      </w:r>
      <w:r>
        <w:rPr>
          <w:b/>
          <w:color w:val="010101"/>
          <w:w w:val="110"/>
          <w:sz w:val="20"/>
        </w:rPr>
        <w:t>Analysis of the survivorship  group</w:t>
      </w:r>
    </w:p>
    <w:p>
      <w:pPr>
        <w:spacing w:line="230" w:lineRule="auto" w:before="88"/>
        <w:ind w:left="142" w:right="109" w:firstLine="193"/>
        <w:jc w:val="both"/>
        <w:rPr>
          <w:b/>
          <w:sz w:val="20"/>
        </w:rPr>
      </w:pPr>
      <w:r>
        <w:rPr>
          <w:color w:val="010101"/>
          <w:sz w:val="21"/>
        </w:rPr>
        <w:t>The mortality table, as we have discussed it thus far, can be interpreted either as a model for the expected survivorship of a newly-bom group of </w:t>
      </w:r>
      <w:r>
        <w:rPr>
          <w:color w:val="010101"/>
          <w:sz w:val="23"/>
        </w:rPr>
        <w:t>lo </w:t>
      </w:r>
      <w:r>
        <w:rPr>
          <w:color w:val="010101"/>
          <w:spacing w:val="-5"/>
          <w:sz w:val="21"/>
        </w:rPr>
        <w:t>lives</w:t>
      </w:r>
      <w:r>
        <w:rPr>
          <w:color w:val="242424"/>
          <w:spacing w:val="-5"/>
          <w:sz w:val="21"/>
        </w:rPr>
        <w:t>/ </w:t>
      </w:r>
      <w:r>
        <w:rPr>
          <w:color w:val="010101"/>
          <w:sz w:val="21"/>
        </w:rPr>
        <w:t>or as the actual historical record of the eurvival of </w:t>
      </w:r>
      <w:r>
        <w:rPr>
          <w:color w:val="010101"/>
          <w:sz w:val="23"/>
        </w:rPr>
        <w:t>lo </w:t>
      </w:r>
      <w:r>
        <w:rPr>
          <w:color w:val="010101"/>
          <w:sz w:val="21"/>
        </w:rPr>
        <w:t>lives each of whom was observed from birth until death. Sorne applications may require a combination of these two points of view. In each case, we refer </w:t>
      </w:r>
      <w:r>
        <w:rPr>
          <w:color w:val="010101"/>
          <w:sz w:val="22"/>
        </w:rPr>
        <w:t>to </w:t>
      </w:r>
      <w:r>
        <w:rPr>
          <w:color w:val="010101"/>
          <w:sz w:val="21"/>
        </w:rPr>
        <w:t>the mortality table as a survivorship group model. We consider now certain properties of the closed population of lives represented by the mortality table when  interpreted  in this</w:t>
      </w:r>
      <w:r>
        <w:rPr>
          <w:color w:val="010101"/>
          <w:spacing w:val="12"/>
          <w:sz w:val="21"/>
        </w:rPr>
        <w:t> </w:t>
      </w:r>
      <w:r>
        <w:rPr>
          <w:b/>
          <w:color w:val="010101"/>
          <w:sz w:val="20"/>
        </w:rPr>
        <w:t>way.</w:t>
      </w:r>
    </w:p>
    <w:p>
      <w:pPr>
        <w:spacing w:line="132" w:lineRule="auto" w:before="86"/>
        <w:ind w:left="156" w:right="111" w:firstLine="200"/>
        <w:jc w:val="both"/>
        <w:rPr>
          <w:sz w:val="21"/>
        </w:rPr>
      </w:pPr>
      <w:r>
        <w:rPr>
          <w:color w:val="010101"/>
          <w:w w:val="110"/>
          <w:sz w:val="21"/>
        </w:rPr>
        <w:t>For</w:t>
      </w:r>
      <w:r>
        <w:rPr>
          <w:color w:val="010101"/>
          <w:spacing w:val="-25"/>
          <w:w w:val="110"/>
          <w:sz w:val="21"/>
        </w:rPr>
        <w:t> </w:t>
      </w:r>
      <w:r>
        <w:rPr>
          <w:color w:val="010101"/>
          <w:w w:val="110"/>
          <w:sz w:val="21"/>
        </w:rPr>
        <w:t>those</w:t>
      </w:r>
      <w:r>
        <w:rPr>
          <w:color w:val="010101"/>
          <w:spacing w:val="-26"/>
          <w:w w:val="110"/>
          <w:sz w:val="21"/>
        </w:rPr>
        <w:t> </w:t>
      </w:r>
      <w:r>
        <w:rPr>
          <w:color w:val="010101"/>
          <w:w w:val="110"/>
          <w:sz w:val="21"/>
        </w:rPr>
        <w:t>members</w:t>
      </w:r>
      <w:r>
        <w:rPr>
          <w:color w:val="010101"/>
          <w:spacing w:val="-22"/>
          <w:w w:val="110"/>
          <w:sz w:val="21"/>
        </w:rPr>
        <w:t> </w:t>
      </w:r>
      <w:r>
        <w:rPr>
          <w:color w:val="010101"/>
          <w:w w:val="110"/>
          <w:sz w:val="21"/>
        </w:rPr>
        <w:t>of</w:t>
      </w:r>
      <w:r>
        <w:rPr>
          <w:color w:val="010101"/>
          <w:spacing w:val="-16"/>
          <w:w w:val="110"/>
          <w:sz w:val="21"/>
        </w:rPr>
        <w:t> </w:t>
      </w:r>
      <w:r>
        <w:rPr>
          <w:color w:val="010101"/>
          <w:w w:val="110"/>
          <w:sz w:val="21"/>
        </w:rPr>
        <w:t>the</w:t>
      </w:r>
      <w:r>
        <w:rPr>
          <w:color w:val="010101"/>
          <w:spacing w:val="-26"/>
          <w:w w:val="110"/>
          <w:sz w:val="21"/>
        </w:rPr>
        <w:t> </w:t>
      </w:r>
      <w:r>
        <w:rPr>
          <w:color w:val="010101"/>
          <w:w w:val="110"/>
          <w:sz w:val="21"/>
        </w:rPr>
        <w:t>population</w:t>
      </w:r>
      <w:r>
        <w:rPr>
          <w:color w:val="010101"/>
          <w:spacing w:val="-18"/>
          <w:w w:val="110"/>
          <w:sz w:val="21"/>
        </w:rPr>
        <w:t> </w:t>
      </w:r>
      <w:r>
        <w:rPr>
          <w:color w:val="010101"/>
          <w:w w:val="110"/>
          <w:sz w:val="21"/>
        </w:rPr>
        <w:t>who</w:t>
      </w:r>
      <w:r>
        <w:rPr>
          <w:color w:val="010101"/>
          <w:spacing w:val="-19"/>
          <w:w w:val="110"/>
          <w:sz w:val="21"/>
        </w:rPr>
        <w:t> </w:t>
      </w:r>
      <w:r>
        <w:rPr>
          <w:color w:val="010101"/>
          <w:w w:val="110"/>
          <w:sz w:val="21"/>
        </w:rPr>
        <w:t>survive</w:t>
      </w:r>
      <w:r>
        <w:rPr>
          <w:color w:val="010101"/>
          <w:spacing w:val="-23"/>
          <w:w w:val="110"/>
          <w:sz w:val="21"/>
        </w:rPr>
        <w:t> </w:t>
      </w:r>
      <w:r>
        <w:rPr>
          <w:color w:val="010101"/>
          <w:w w:val="110"/>
          <w:sz w:val="21"/>
        </w:rPr>
        <w:t>to</w:t>
      </w:r>
      <w:r>
        <w:rPr>
          <w:color w:val="010101"/>
          <w:spacing w:val="-20"/>
          <w:w w:val="110"/>
          <w:sz w:val="21"/>
        </w:rPr>
        <w:t> </w:t>
      </w:r>
      <w:r>
        <w:rPr>
          <w:color w:val="010101"/>
          <w:w w:val="110"/>
          <w:sz w:val="21"/>
        </w:rPr>
        <w:t>age</w:t>
      </w:r>
      <w:r>
        <w:rPr>
          <w:color w:val="010101"/>
          <w:spacing w:val="-30"/>
          <w:w w:val="110"/>
          <w:sz w:val="21"/>
        </w:rPr>
        <w:t> </w:t>
      </w:r>
      <w:r>
        <w:rPr>
          <w:i/>
          <w:color w:val="010101"/>
          <w:w w:val="110"/>
          <w:sz w:val="21"/>
        </w:rPr>
        <w:t>x,</w:t>
      </w:r>
      <w:r>
        <w:rPr>
          <w:i/>
          <w:color w:val="010101"/>
          <w:spacing w:val="-26"/>
          <w:w w:val="110"/>
          <w:sz w:val="21"/>
        </w:rPr>
        <w:t> </w:t>
      </w:r>
      <w:r>
        <w:rPr>
          <w:color w:val="010101"/>
          <w:w w:val="110"/>
          <w:sz w:val="21"/>
        </w:rPr>
        <w:t>the </w:t>
      </w:r>
      <w:r>
        <w:rPr>
          <w:color w:val="010101"/>
          <w:w w:val="100"/>
          <w:sz w:val="21"/>
        </w:rPr>
        <w:t>average </w:t>
      </w:r>
      <w:r>
        <w:rPr>
          <w:color w:val="010101"/>
          <w:w w:val="100"/>
          <w:sz w:val="21"/>
        </w:rPr>
        <w:t>age </w:t>
      </w:r>
      <w:r>
        <w:rPr>
          <w:color w:val="010101"/>
          <w:w w:val="114"/>
          <w:sz w:val="21"/>
        </w:rPr>
        <w:t>at </w:t>
      </w:r>
      <w:r>
        <w:rPr>
          <w:color w:val="010101"/>
          <w:w w:val="104"/>
          <w:sz w:val="21"/>
        </w:rPr>
        <w:t>death </w:t>
      </w:r>
      <w:r>
        <w:rPr>
          <w:color w:val="010101"/>
          <w:w w:val="93"/>
          <w:sz w:val="21"/>
        </w:rPr>
        <w:t>will </w:t>
      </w:r>
      <w:r>
        <w:rPr>
          <w:color w:val="010101"/>
          <w:w w:val="96"/>
          <w:sz w:val="21"/>
        </w:rPr>
        <w:t>be </w:t>
      </w:r>
      <w:r>
        <w:rPr>
          <w:rFonts w:ascii="Arial"/>
          <w:i/>
          <w:color w:val="010101"/>
          <w:w w:val="104"/>
          <w:sz w:val="17"/>
        </w:rPr>
        <w:t>x </w:t>
      </w:r>
      <w:r>
        <w:rPr>
          <w:rFonts w:ascii="Arial"/>
          <w:color w:val="010101"/>
          <w:w w:val="104"/>
          <w:sz w:val="32"/>
        </w:rPr>
        <w:t>+ </w:t>
      </w:r>
      <w:r>
        <w:rPr>
          <w:rFonts w:ascii="Arial"/>
          <w:b/>
          <w:color w:val="010101"/>
          <w:w w:val="118"/>
          <w:sz w:val="11"/>
        </w:rPr>
        <w:t>s </w:t>
      </w:r>
      <w:r>
        <w:rPr>
          <w:rFonts w:ascii="Arial"/>
          <w:color w:val="010101"/>
          <w:w w:val="274"/>
          <w:sz w:val="11"/>
        </w:rPr>
        <w:t>, </w:t>
      </w:r>
      <w:r>
        <w:rPr>
          <w:color w:val="010101"/>
          <w:w w:val="96"/>
          <w:sz w:val="21"/>
        </w:rPr>
        <w:t>since  </w:t>
      </w:r>
      <w:r>
        <w:rPr>
          <w:color w:val="010101"/>
          <w:spacing w:val="-3"/>
          <w:w w:val="118"/>
          <w:sz w:val="21"/>
        </w:rPr>
        <w:t>.represents</w:t>
      </w:r>
      <w:r>
        <w:rPr>
          <w:color w:val="010101"/>
          <w:w w:val="118"/>
          <w:sz w:val="21"/>
        </w:rPr>
        <w:t> </w:t>
      </w:r>
      <w:r>
        <w:rPr>
          <w:color w:val="010101"/>
          <w:w w:val="105"/>
          <w:sz w:val="21"/>
        </w:rPr>
        <w:t>the</w:t>
      </w:r>
      <w:r>
        <w:rPr>
          <w:color w:val="010101"/>
          <w:spacing w:val="-3"/>
          <w:w w:val="105"/>
          <w:sz w:val="21"/>
        </w:rPr>
        <w:t> </w:t>
      </w:r>
      <w:r>
        <w:rPr>
          <w:color w:val="010101"/>
          <w:w w:val="99"/>
          <w:sz w:val="21"/>
        </w:rPr>
        <w:t>average</w:t>
      </w:r>
    </w:p>
    <w:p>
      <w:pPr>
        <w:spacing w:line="232" w:lineRule="auto" w:before="1"/>
        <w:ind w:left="152" w:right="118" w:firstLine="7"/>
        <w:jc w:val="both"/>
        <w:rPr>
          <w:sz w:val="21"/>
        </w:rPr>
      </w:pPr>
      <w:r>
        <w:rPr>
          <w:color w:val="010101"/>
          <w:sz w:val="21"/>
        </w:rPr>
        <w:t>future lifetime  at age </w:t>
      </w:r>
      <w:r>
        <w:rPr>
          <w:i/>
          <w:color w:val="010101"/>
          <w:sz w:val="22"/>
        </w:rPr>
        <w:t>x. </w:t>
      </w:r>
      <w:r>
        <w:rPr>
          <w:color w:val="010101"/>
          <w:sz w:val="21"/>
        </w:rPr>
        <w:t>This </w:t>
      </w:r>
      <w:r>
        <w:rPr>
          <w:rFonts w:ascii="Arial"/>
          <w:color w:val="010101"/>
          <w:sz w:val="19"/>
        </w:rPr>
        <w:t>is </w:t>
      </w:r>
      <w:r>
        <w:rPr>
          <w:color w:val="010101"/>
          <w:sz w:val="21"/>
        </w:rPr>
        <w:t>the result  that would  be obtained   if it were possible to observe ea.ch of the lives from a.ge </w:t>
      </w:r>
      <w:r>
        <w:rPr>
          <w:i/>
          <w:color w:val="010101"/>
          <w:sz w:val="20"/>
        </w:rPr>
        <w:t>x </w:t>
      </w:r>
      <w:r>
        <w:rPr>
          <w:color w:val="010101"/>
          <w:sz w:val="21"/>
        </w:rPr>
        <w:t>until death, recording the exact age at death  for each one, and finding  the</w:t>
      </w:r>
      <w:r>
        <w:rPr>
          <w:color w:val="010101"/>
          <w:spacing w:val="-11"/>
          <w:sz w:val="21"/>
        </w:rPr>
        <w:t> </w:t>
      </w:r>
      <w:r>
        <w:rPr>
          <w:color w:val="010101"/>
          <w:sz w:val="21"/>
        </w:rPr>
        <w:t>average</w:t>
      </w:r>
      <w:r>
        <w:rPr>
          <w:color w:val="010101"/>
          <w:spacing w:val="-14"/>
          <w:sz w:val="21"/>
        </w:rPr>
        <w:t> </w:t>
      </w:r>
      <w:r>
        <w:rPr>
          <w:color w:val="010101"/>
          <w:sz w:val="21"/>
        </w:rPr>
        <w:t>of</w:t>
      </w:r>
      <w:r>
        <w:rPr>
          <w:color w:val="010101"/>
          <w:spacing w:val="-5"/>
          <w:sz w:val="21"/>
        </w:rPr>
        <w:t> </w:t>
      </w:r>
      <w:r>
        <w:rPr>
          <w:color w:val="010101"/>
          <w:sz w:val="21"/>
        </w:rPr>
        <w:t>these</w:t>
      </w:r>
      <w:r>
        <w:rPr>
          <w:color w:val="010101"/>
          <w:spacing w:val="-14"/>
          <w:sz w:val="21"/>
        </w:rPr>
        <w:t> </w:t>
      </w:r>
      <w:r>
        <w:rPr>
          <w:color w:val="010101"/>
          <w:sz w:val="21"/>
        </w:rPr>
        <w:t>a.ges.</w:t>
      </w:r>
    </w:p>
    <w:p>
      <w:pPr>
        <w:spacing w:after="0" w:line="232" w:lineRule="auto"/>
        <w:jc w:val="both"/>
        <w:rPr>
          <w:sz w:val="21"/>
        </w:rPr>
        <w:sectPr>
          <w:pgSz w:w="7200" w:h="11340"/>
          <w:pgMar w:top="500" w:bottom="280" w:left="640" w:right="560"/>
        </w:sectPr>
      </w:pPr>
    </w:p>
    <w:p>
      <w:pPr>
        <w:tabs>
          <w:tab w:pos="2155" w:val="left" w:leader="none"/>
          <w:tab w:pos="5409" w:val="left" w:leader="none"/>
        </w:tabs>
        <w:spacing w:before="64"/>
        <w:ind w:left="200" w:right="0" w:firstLine="0"/>
        <w:jc w:val="left"/>
        <w:rPr>
          <w:rFonts w:ascii="Arial"/>
          <w:b/>
          <w:sz w:val="19"/>
        </w:rPr>
      </w:pPr>
      <w:r>
        <w:rPr>
          <w:rFonts w:ascii="Courier New"/>
          <w:spacing w:val="-4"/>
          <w:sz w:val="22"/>
        </w:rPr>
        <w:t>li6</w:t>
        <w:tab/>
      </w:r>
      <w:r>
        <w:rPr>
          <w:b/>
          <w:sz w:val="14"/>
        </w:rPr>
        <w:t>POPULATJO     </w:t>
      </w:r>
      <w:r>
        <w:rPr>
          <w:b/>
          <w:spacing w:val="2"/>
          <w:sz w:val="14"/>
        </w:rPr>
        <w:t> </w:t>
      </w:r>
      <w:r>
        <w:rPr>
          <w:b/>
          <w:sz w:val="14"/>
        </w:rPr>
        <w:t>THEORY</w:t>
        <w:tab/>
      </w:r>
      <w:r>
        <w:rPr>
          <w:b/>
          <w:sz w:val="17"/>
        </w:rPr>
        <w:t>[CH.</w:t>
      </w:r>
      <w:r>
        <w:rPr>
          <w:b/>
          <w:spacing w:val="19"/>
          <w:sz w:val="17"/>
        </w:rPr>
        <w:t> </w:t>
      </w:r>
      <w:r>
        <w:rPr>
          <w:rFonts w:ascii="Arial"/>
          <w:b/>
          <w:sz w:val="19"/>
        </w:rPr>
        <w:t>8</w:t>
      </w:r>
    </w:p>
    <w:p>
      <w:pPr>
        <w:pStyle w:val="BodyText"/>
        <w:rPr>
          <w:rFonts w:ascii="Arial"/>
          <w:b/>
          <w:sz w:val="18"/>
        </w:rPr>
      </w:pPr>
    </w:p>
    <w:p>
      <w:pPr>
        <w:spacing w:line="237" w:lineRule="auto" w:before="1"/>
        <w:ind w:left="161" w:right="123" w:firstLine="219"/>
        <w:jc w:val="both"/>
        <w:rPr>
          <w:sz w:val="21"/>
        </w:rPr>
      </w:pPr>
      <w:r>
        <w:rPr>
          <w:sz w:val="21"/>
        </w:rPr>
        <w:t>It will be useful to derive this result  in another way. Since each  of the </w:t>
      </w:r>
      <w:r>
        <w:rPr>
          <w:i/>
          <w:sz w:val="20"/>
        </w:rPr>
        <w:t>lz </w:t>
      </w:r>
      <w:r>
        <w:rPr>
          <w:sz w:val="21"/>
        </w:rPr>
        <w:t>lives has already survived for </w:t>
      </w:r>
      <w:r>
        <w:rPr>
          <w:rFonts w:ascii="Arial" w:hAnsi="Arial"/>
          <w:i/>
          <w:sz w:val="17"/>
        </w:rPr>
        <w:t>x </w:t>
      </w:r>
      <w:r>
        <w:rPr>
          <w:sz w:val="21"/>
        </w:rPr>
        <w:t>years, we know that their </w:t>
      </w:r>
      <w:r>
        <w:rPr>
          <w:i/>
          <w:w w:val="93"/>
          <w:sz w:val="20"/>
        </w:rPr>
        <w:t>total </w:t>
      </w:r>
      <w:r>
        <w:rPr>
          <w:i/>
          <w:w w:val="92"/>
          <w:sz w:val="20"/>
        </w:rPr>
        <w:t>past </w:t>
      </w:r>
      <w:r>
        <w:rPr>
          <w:i/>
          <w:w w:val="95"/>
          <w:sz w:val="20"/>
        </w:rPr>
        <w:t>lif </w:t>
      </w:r>
      <w:r>
        <w:rPr>
          <w:i/>
          <w:w w:val="96"/>
          <w:sz w:val="20"/>
        </w:rPr>
        <w:t>etime </w:t>
      </w:r>
      <w:r>
        <w:rPr>
          <w:w w:val="94"/>
          <w:sz w:val="21"/>
        </w:rPr>
        <w:t>is </w:t>
      </w:r>
      <w:r>
        <w:rPr>
          <w:i/>
          <w:w w:val="56"/>
          <w:sz w:val="20"/>
        </w:rPr>
        <w:t>xl:1: </w:t>
      </w:r>
      <w:r>
        <w:rPr>
          <w:w w:val="56"/>
          <w:sz w:val="20"/>
        </w:rPr>
        <w:t>•  </w:t>
      </w:r>
      <w:r>
        <w:rPr>
          <w:w w:val="102"/>
          <w:sz w:val="21"/>
        </w:rPr>
        <w:t>Their </w:t>
      </w:r>
      <w:r>
        <w:rPr>
          <w:i/>
          <w:w w:val="92"/>
          <w:sz w:val="20"/>
        </w:rPr>
        <w:t>total </w:t>
      </w:r>
      <w:r>
        <w:rPr>
          <w:i/>
          <w:w w:val="97"/>
          <w:sz w:val="20"/>
        </w:rPr>
        <w:t>future  </w:t>
      </w:r>
      <w:r>
        <w:rPr>
          <w:i/>
          <w:w w:val="95"/>
          <w:sz w:val="20"/>
        </w:rPr>
        <w:t>lif </w:t>
      </w:r>
      <w:r>
        <w:rPr>
          <w:i/>
          <w:w w:val="97"/>
          <w:sz w:val="20"/>
        </w:rPr>
        <w:t>etime </w:t>
      </w:r>
      <w:r>
        <w:rPr>
          <w:w w:val="94"/>
          <w:sz w:val="21"/>
        </w:rPr>
        <w:t>is </w:t>
      </w:r>
      <w:r>
        <w:rPr>
          <w:i/>
          <w:spacing w:val="1"/>
          <w:w w:val="85"/>
          <w:sz w:val="20"/>
        </w:rPr>
        <w:t>T</w:t>
      </w:r>
      <w:r>
        <w:rPr>
          <w:spacing w:val="1"/>
          <w:w w:val="85"/>
          <w:sz w:val="9"/>
        </w:rPr>
        <w:t>:1:</w:t>
      </w:r>
      <w:r>
        <w:rPr>
          <w:spacing w:val="19"/>
          <w:w w:val="85"/>
          <w:sz w:val="9"/>
        </w:rPr>
        <w:t> </w:t>
      </w:r>
      <w:r>
        <w:rPr>
          <w:w w:val="245"/>
          <w:sz w:val="9"/>
        </w:rPr>
        <w:t>, </w:t>
      </w:r>
      <w:r>
        <w:rPr>
          <w:w w:val="107"/>
          <w:sz w:val="21"/>
        </w:rPr>
        <w:t>as </w:t>
      </w:r>
      <w:r>
        <w:rPr>
          <w:w w:val="96"/>
          <w:sz w:val="21"/>
        </w:rPr>
        <w:t>we </w:t>
      </w:r>
      <w:r>
        <w:rPr>
          <w:w w:val="100"/>
          <w:sz w:val="21"/>
        </w:rPr>
        <w:t>noted </w:t>
      </w:r>
      <w:r>
        <w:rPr>
          <w:sz w:val="21"/>
        </w:rPr>
        <w:t>in Section </w:t>
      </w:r>
      <w:r>
        <w:rPr>
          <w:w w:val="130"/>
          <w:sz w:val="19"/>
        </w:rPr>
        <w:t>l. </w:t>
      </w:r>
      <w:r>
        <w:rPr>
          <w:sz w:val="21"/>
        </w:rPr>
        <w:t>We thus see that their </w:t>
      </w:r>
      <w:r>
        <w:rPr>
          <w:i/>
          <w:sz w:val="20"/>
        </w:rPr>
        <w:t>total lifetime </w:t>
      </w:r>
      <w:r>
        <w:rPr>
          <w:sz w:val="21"/>
        </w:rPr>
        <w:t>is </w:t>
      </w:r>
      <w:r>
        <w:rPr>
          <w:i/>
          <w:w w:val="75"/>
          <w:sz w:val="20"/>
        </w:rPr>
        <w:t>xl:1: </w:t>
      </w:r>
      <w:r>
        <w:rPr>
          <w:w w:val="130"/>
          <w:sz w:val="21"/>
        </w:rPr>
        <w:t>+ </w:t>
      </w:r>
      <w:r>
        <w:rPr>
          <w:i/>
          <w:w w:val="75"/>
          <w:sz w:val="20"/>
        </w:rPr>
        <w:t>T:1: </w:t>
      </w:r>
      <w:r>
        <w:rPr>
          <w:i/>
          <w:sz w:val="20"/>
        </w:rPr>
        <w:t>, </w:t>
      </w:r>
      <w:r>
        <w:rPr>
          <w:sz w:val="21"/>
        </w:rPr>
        <w:t>which is the same as the total of their ages at death. Dividing by </w:t>
      </w:r>
      <w:r>
        <w:rPr>
          <w:i/>
          <w:w w:val="75"/>
          <w:sz w:val="20"/>
        </w:rPr>
        <w:t>l:1: </w:t>
      </w:r>
      <w:r>
        <w:rPr>
          <w:sz w:val="20"/>
        </w:rPr>
        <w:t>, </w:t>
      </w:r>
      <w:r>
        <w:rPr>
          <w:sz w:val="21"/>
        </w:rPr>
        <w:t>the number of lives, we obtain the average age at death   </w:t>
      </w:r>
      <w:r>
        <w:rPr>
          <w:spacing w:val="5"/>
          <w:sz w:val="21"/>
        </w:rPr>
        <w:t> </w:t>
      </w:r>
      <w:r>
        <w:rPr>
          <w:sz w:val="21"/>
        </w:rPr>
        <w:t>as</w:t>
      </w:r>
    </w:p>
    <w:p>
      <w:pPr>
        <w:pStyle w:val="BodyText"/>
        <w:spacing w:before="2"/>
        <w:rPr>
          <w:sz w:val="10"/>
        </w:rPr>
      </w:pPr>
      <w:r>
        <w:rPr/>
        <w:drawing>
          <wp:anchor distT="0" distB="0" distL="0" distR="0" allowOverlap="1" layoutInCell="1" locked="0" behindDoc="0" simplePos="0" relativeHeight="14488">
            <wp:simplePos x="0" y="0"/>
            <wp:positionH relativeFrom="page">
              <wp:posOffset>1453896</wp:posOffset>
            </wp:positionH>
            <wp:positionV relativeFrom="paragraph">
              <wp:posOffset>99459</wp:posOffset>
            </wp:positionV>
            <wp:extent cx="1719071" cy="274320"/>
            <wp:effectExtent l="0" t="0" r="0" b="0"/>
            <wp:wrapTopAndBottom/>
            <wp:docPr id="371" name="image191.png" descr=""/>
            <wp:cNvGraphicFramePr>
              <a:graphicFrameLocks noChangeAspect="1"/>
            </wp:cNvGraphicFramePr>
            <a:graphic>
              <a:graphicData uri="http://schemas.openxmlformats.org/drawingml/2006/picture">
                <pic:pic>
                  <pic:nvPicPr>
                    <pic:cNvPr id="372" name="image191.png"/>
                    <pic:cNvPicPr/>
                  </pic:nvPicPr>
                  <pic:blipFill>
                    <a:blip r:embed="rId195" cstate="print"/>
                    <a:stretch>
                      <a:fillRect/>
                    </a:stretch>
                  </pic:blipFill>
                  <pic:spPr>
                    <a:xfrm>
                      <a:off x="0" y="0"/>
                      <a:ext cx="1719071" cy="274320"/>
                    </a:xfrm>
                    <a:prstGeom prst="rect">
                      <a:avLst/>
                    </a:prstGeom>
                  </pic:spPr>
                </pic:pic>
              </a:graphicData>
            </a:graphic>
          </wp:anchor>
        </w:drawing>
      </w:r>
    </w:p>
    <w:p>
      <w:pPr>
        <w:spacing w:after="0"/>
        <w:rPr>
          <w:sz w:val="10"/>
        </w:rPr>
        <w:sectPr>
          <w:pgSz w:w="7200" w:h="11340"/>
          <w:pgMar w:top="480" w:bottom="280" w:left="620" w:right="540"/>
        </w:sectPr>
      </w:pPr>
    </w:p>
    <w:p>
      <w:pPr>
        <w:spacing w:line="166" w:lineRule="exact" w:before="85"/>
        <w:ind w:left="154" w:right="-15" w:firstLine="0"/>
        <w:jc w:val="left"/>
        <w:rPr>
          <w:sz w:val="23"/>
        </w:rPr>
      </w:pPr>
      <w:r>
        <w:rPr>
          <w:w w:val="101"/>
          <w:sz w:val="21"/>
        </w:rPr>
        <w:t>For</w:t>
      </w:r>
      <w:r>
        <w:rPr>
          <w:spacing w:val="-1"/>
          <w:sz w:val="21"/>
        </w:rPr>
        <w:t> </w:t>
      </w:r>
      <w:r>
        <w:rPr>
          <w:rFonts w:ascii="Arial"/>
          <w:i/>
          <w:w w:val="104"/>
          <w:sz w:val="17"/>
        </w:rPr>
        <w:t>x</w:t>
      </w:r>
      <w:r>
        <w:rPr>
          <w:rFonts w:ascii="Arial"/>
          <w:i/>
          <w:sz w:val="17"/>
        </w:rPr>
        <w:t>  </w:t>
      </w:r>
      <w:r>
        <w:rPr>
          <w:w w:val="104"/>
          <w:sz w:val="23"/>
        </w:rPr>
        <w:t>=</w:t>
      </w:r>
      <w:r>
        <w:rPr>
          <w:spacing w:val="22"/>
          <w:sz w:val="23"/>
        </w:rPr>
        <w:t> </w:t>
      </w:r>
      <w:r>
        <w:rPr>
          <w:w w:val="74"/>
          <w:sz w:val="21"/>
        </w:rPr>
        <w:t>O,</w:t>
      </w:r>
      <w:r>
        <w:rPr>
          <w:spacing w:val="-1"/>
          <w:sz w:val="21"/>
        </w:rPr>
        <w:t> </w:t>
      </w:r>
      <w:r>
        <w:rPr>
          <w:w w:val="94"/>
          <w:sz w:val="21"/>
        </w:rPr>
        <w:t>we</w:t>
      </w:r>
      <w:r>
        <w:rPr>
          <w:spacing w:val="-1"/>
          <w:sz w:val="21"/>
        </w:rPr>
        <w:t> </w:t>
      </w:r>
      <w:r>
        <w:rPr>
          <w:w w:val="102"/>
          <w:sz w:val="21"/>
        </w:rPr>
        <w:t>have</w:t>
      </w:r>
      <w:r>
        <w:rPr>
          <w:spacing w:val="25"/>
          <w:sz w:val="21"/>
        </w:rPr>
        <w:t> </w:t>
      </w:r>
      <w:r>
        <w:rPr>
          <w:i/>
          <w:spacing w:val="-100"/>
          <w:w w:val="83"/>
          <w:position w:val="13"/>
          <w:sz w:val="22"/>
        </w:rPr>
        <w:t>T</w:t>
      </w:r>
      <w:r>
        <w:rPr>
          <w:rFonts w:ascii="Arial"/>
          <w:i/>
          <w:w w:val="57"/>
          <w:sz w:val="27"/>
        </w:rPr>
        <w:t>y</w:t>
      </w:r>
      <w:r>
        <w:rPr>
          <w:rFonts w:ascii="Arial"/>
          <w:i/>
          <w:spacing w:val="-21"/>
          <w:w w:val="56"/>
          <w:sz w:val="27"/>
        </w:rPr>
        <w:t>;</w:t>
      </w:r>
      <w:r>
        <w:rPr>
          <w:i/>
          <w:spacing w:val="-72"/>
          <w:w w:val="84"/>
          <w:position w:val="13"/>
          <w:sz w:val="22"/>
        </w:rPr>
        <w:t>o</w:t>
      </w:r>
      <w:r>
        <w:rPr>
          <w:rFonts w:ascii="Arial"/>
          <w:i/>
          <w:w w:val="56"/>
          <w:sz w:val="27"/>
        </w:rPr>
        <w:t>;</w:t>
      </w:r>
      <w:r>
        <w:rPr>
          <w:rFonts w:ascii="Arial"/>
          <w:i/>
          <w:spacing w:val="18"/>
          <w:sz w:val="27"/>
        </w:rPr>
        <w:t> </w:t>
      </w:r>
      <w:r>
        <w:rPr>
          <w:w w:val="104"/>
          <w:sz w:val="23"/>
        </w:rPr>
        <w:t>=</w:t>
      </w:r>
    </w:p>
    <w:p>
      <w:pPr>
        <w:tabs>
          <w:tab w:pos="686" w:val="left" w:leader="none"/>
        </w:tabs>
        <w:spacing w:line="198" w:lineRule="exact" w:before="82"/>
        <w:ind w:left="154" w:right="0" w:firstLine="0"/>
        <w:jc w:val="left"/>
        <w:rPr>
          <w:sz w:val="22"/>
        </w:rPr>
      </w:pPr>
      <w:r>
        <w:rPr/>
        <w:br w:type="column"/>
      </w:r>
      <w:r>
        <w:rPr>
          <w:w w:val="65"/>
          <w:sz w:val="22"/>
        </w:rPr>
        <w:t>·</w:t>
        <w:tab/>
      </w:r>
      <w:r>
        <w:rPr>
          <w:w w:val="60"/>
          <w:sz w:val="22"/>
        </w:rPr>
        <w:t>·</w:t>
      </w:r>
    </w:p>
    <w:p>
      <w:pPr>
        <w:spacing w:line="28" w:lineRule="exact" w:before="0"/>
        <w:ind w:left="229" w:right="0" w:firstLine="0"/>
        <w:jc w:val="left"/>
        <w:rPr>
          <w:sz w:val="21"/>
        </w:rPr>
      </w:pPr>
      <w:r>
        <w:rPr>
          <w:rFonts w:ascii="Arial"/>
          <w:w w:val="130"/>
          <w:sz w:val="15"/>
        </w:rPr>
        <w:t>,</w:t>
      </w:r>
      <w:r>
        <w:rPr>
          <w:w w:val="130"/>
          <w:sz w:val="21"/>
        </w:rPr>
        <w:t>the</w:t>
      </w:r>
    </w:p>
    <w:p>
      <w:pPr>
        <w:pStyle w:val="BodyText"/>
        <w:spacing w:before="6"/>
        <w:rPr>
          <w:sz w:val="19"/>
        </w:rPr>
      </w:pPr>
      <w:r>
        <w:rPr/>
        <w:br w:type="column"/>
      </w:r>
      <w:r>
        <w:rPr>
          <w:sz w:val="19"/>
        </w:rPr>
      </w:r>
    </w:p>
    <w:p>
      <w:pPr>
        <w:spacing w:line="27" w:lineRule="exact" w:before="0"/>
        <w:ind w:left="154" w:right="0" w:firstLine="0"/>
        <w:jc w:val="left"/>
        <w:rPr>
          <w:sz w:val="21"/>
        </w:rPr>
      </w:pPr>
      <w:r>
        <w:rPr>
          <w:w w:val="105"/>
          <w:sz w:val="21"/>
        </w:rPr>
        <w:t>age at death for the entire</w:t>
      </w:r>
    </w:p>
    <w:p>
      <w:pPr>
        <w:spacing w:after="0" w:line="27" w:lineRule="exact"/>
        <w:jc w:val="left"/>
        <w:rPr>
          <w:sz w:val="21"/>
        </w:rPr>
        <w:sectPr>
          <w:type w:val="continuous"/>
          <w:pgSz w:w="7200" w:h="11340"/>
          <w:pgMar w:top="1100" w:bottom="0" w:left="620" w:right="540"/>
          <w:cols w:num="3" w:equalWidth="0">
            <w:col w:w="2274" w:space="52"/>
            <w:col w:w="733" w:space="477"/>
            <w:col w:w="2504"/>
          </w:cols>
        </w:sectPr>
      </w:pPr>
    </w:p>
    <w:p>
      <w:pPr>
        <w:spacing w:before="0"/>
        <w:ind w:left="0" w:right="0" w:firstLine="0"/>
        <w:jc w:val="right"/>
        <w:rPr>
          <w:rFonts w:ascii="Arial"/>
          <w:sz w:val="15"/>
        </w:rPr>
      </w:pPr>
      <w:r>
        <w:rPr>
          <w:rFonts w:ascii="Arial"/>
          <w:w w:val="76"/>
          <w:sz w:val="15"/>
        </w:rPr>
        <w:t>o</w:t>
      </w:r>
    </w:p>
    <w:p>
      <w:pPr>
        <w:pStyle w:val="BodyText"/>
        <w:spacing w:before="2"/>
        <w:rPr>
          <w:rFonts w:ascii="Arial"/>
          <w:sz w:val="11"/>
        </w:rPr>
      </w:pPr>
    </w:p>
    <w:p>
      <w:pPr>
        <w:spacing w:before="0"/>
        <w:ind w:left="146" w:right="0" w:firstLine="0"/>
        <w:jc w:val="left"/>
        <w:rPr>
          <w:sz w:val="21"/>
        </w:rPr>
      </w:pPr>
      <w:r>
        <w:rPr>
          <w:sz w:val="21"/>
        </w:rPr>
        <w:t>original group of </w:t>
      </w:r>
      <w:r>
        <w:rPr>
          <w:i/>
          <w:sz w:val="20"/>
        </w:rPr>
        <w:t>lo </w:t>
      </w:r>
      <w:r>
        <w:rPr>
          <w:sz w:val="21"/>
        </w:rPr>
        <w:t>lives.</w:t>
      </w:r>
    </w:p>
    <w:p>
      <w:pPr>
        <w:spacing w:line="186" w:lineRule="exact" w:before="0"/>
        <w:ind w:left="146" w:right="0" w:firstLine="0"/>
        <w:jc w:val="left"/>
        <w:rPr>
          <w:sz w:val="21"/>
        </w:rPr>
      </w:pPr>
      <w:r>
        <w:rPr/>
        <w:br w:type="column"/>
      </w:r>
      <w:r>
        <w:rPr>
          <w:sz w:val="21"/>
        </w:rPr>
        <w:t>average</w:t>
      </w:r>
    </w:p>
    <w:p>
      <w:pPr>
        <w:spacing w:after="0" w:line="186" w:lineRule="exact"/>
        <w:jc w:val="left"/>
        <w:rPr>
          <w:sz w:val="21"/>
        </w:rPr>
        <w:sectPr>
          <w:type w:val="continuous"/>
          <w:pgSz w:w="7200" w:h="11340"/>
          <w:pgMar w:top="1100" w:bottom="0" w:left="620" w:right="540"/>
          <w:cols w:num="2" w:equalWidth="0">
            <w:col w:w="2498" w:space="336"/>
            <w:col w:w="3206"/>
          </w:cols>
        </w:sectPr>
      </w:pPr>
    </w:p>
    <w:p>
      <w:pPr>
        <w:spacing w:before="0"/>
        <w:ind w:left="143" w:right="150" w:firstLine="208"/>
        <w:jc w:val="both"/>
        <w:rPr>
          <w:sz w:val="21"/>
        </w:rPr>
      </w:pPr>
      <w:r>
        <w:rPr/>
        <w:drawing>
          <wp:anchor distT="0" distB="0" distL="0" distR="0" allowOverlap="1" layoutInCell="1" locked="0" behindDoc="0" simplePos="0" relativeHeight="14512">
            <wp:simplePos x="0" y="0"/>
            <wp:positionH relativeFrom="page">
              <wp:posOffset>1591055</wp:posOffset>
            </wp:positionH>
            <wp:positionV relativeFrom="paragraph">
              <wp:posOffset>538260</wp:posOffset>
            </wp:positionV>
            <wp:extent cx="1417319" cy="292608"/>
            <wp:effectExtent l="0" t="0" r="0" b="0"/>
            <wp:wrapTopAndBottom/>
            <wp:docPr id="373" name="image192.png" descr=""/>
            <wp:cNvGraphicFramePr>
              <a:graphicFrameLocks noChangeAspect="1"/>
            </wp:cNvGraphicFramePr>
            <a:graphic>
              <a:graphicData uri="http://schemas.openxmlformats.org/drawingml/2006/picture">
                <pic:pic>
                  <pic:nvPicPr>
                    <pic:cNvPr id="374" name="image192.png"/>
                    <pic:cNvPicPr/>
                  </pic:nvPicPr>
                  <pic:blipFill>
                    <a:blip r:embed="rId196" cstate="print"/>
                    <a:stretch>
                      <a:fillRect/>
                    </a:stretch>
                  </pic:blipFill>
                  <pic:spPr>
                    <a:xfrm>
                      <a:off x="0" y="0"/>
                      <a:ext cx="1417319" cy="292608"/>
                    </a:xfrm>
                    <a:prstGeom prst="rect">
                      <a:avLst/>
                    </a:prstGeom>
                  </pic:spPr>
                </pic:pic>
              </a:graphicData>
            </a:graphic>
          </wp:anchor>
        </w:drawing>
      </w:r>
      <w:r>
        <w:rPr>
          <w:w w:val="105"/>
          <w:sz w:val="21"/>
        </w:rPr>
        <w:t>Let us now determine the average age at death for those who survive to age </w:t>
      </w:r>
      <w:r>
        <w:rPr>
          <w:i/>
          <w:w w:val="105"/>
          <w:sz w:val="21"/>
        </w:rPr>
        <w:t>x </w:t>
      </w:r>
      <w:r>
        <w:rPr>
          <w:w w:val="105"/>
          <w:sz w:val="21"/>
        </w:rPr>
        <w:t>but die before age </w:t>
      </w:r>
      <w:r>
        <w:rPr>
          <w:i/>
          <w:w w:val="105"/>
          <w:sz w:val="21"/>
        </w:rPr>
        <w:t>x </w:t>
      </w:r>
      <w:r>
        <w:rPr>
          <w:w w:val="105"/>
          <w:sz w:val="21"/>
        </w:rPr>
        <w:t>+ </w:t>
      </w:r>
      <w:r>
        <w:rPr>
          <w:i/>
          <w:w w:val="105"/>
          <w:sz w:val="21"/>
        </w:rPr>
        <w:t>n. </w:t>
      </w:r>
      <w:r>
        <w:rPr>
          <w:w w:val="105"/>
          <w:sz w:val="21"/>
        </w:rPr>
        <w:t>The number of such persons  (i.e., the number of deaths) is</w:t>
      </w:r>
    </w:p>
    <w:p>
      <w:pPr>
        <w:spacing w:before="106"/>
        <w:ind w:left="139" w:right="0" w:firstLine="0"/>
        <w:jc w:val="left"/>
        <w:rPr>
          <w:sz w:val="21"/>
        </w:rPr>
      </w:pPr>
      <w:r>
        <w:rPr>
          <w:w w:val="105"/>
          <w:sz w:val="21"/>
        </w:rPr>
        <w:t>The total of the ages at death  is</w:t>
      </w:r>
    </w:p>
    <w:p>
      <w:pPr>
        <w:spacing w:after="0"/>
        <w:jc w:val="left"/>
        <w:rPr>
          <w:sz w:val="21"/>
        </w:rPr>
        <w:sectPr>
          <w:type w:val="continuous"/>
          <w:pgSz w:w="7200" w:h="11340"/>
          <w:pgMar w:top="1100" w:bottom="0" w:left="620" w:right="540"/>
        </w:sectPr>
      </w:pPr>
    </w:p>
    <w:p>
      <w:pPr>
        <w:spacing w:line="422" w:lineRule="exact" w:before="69"/>
        <w:ind w:left="139" w:right="-17" w:firstLine="0"/>
        <w:jc w:val="left"/>
        <w:rPr>
          <w:sz w:val="22"/>
        </w:rPr>
      </w:pPr>
      <w:r>
        <w:rPr/>
        <w:pict>
          <v:shape style="position:absolute;margin-left:86.940002pt;margin-top:18.317114pt;width:.5pt;height:5pt;mso-position-horizontal-relative:page;mso-position-vertical-relative:paragraph;z-index:-721528" type="#_x0000_t202" filled="false" stroked="false">
            <v:textbox inset="0,0,0,0">
              <w:txbxContent>
                <w:p>
                  <w:pPr>
                    <w:spacing w:line="100" w:lineRule="exact" w:before="0"/>
                    <w:ind w:left="0" w:right="0" w:firstLine="0"/>
                    <w:jc w:val="left"/>
                    <w:rPr>
                      <w:rFonts w:ascii="Arial"/>
                      <w:sz w:val="10"/>
                    </w:rPr>
                  </w:pPr>
                  <w:r>
                    <w:rPr>
                      <w:rFonts w:ascii="Arial"/>
                      <w:w w:val="33"/>
                      <w:sz w:val="10"/>
                    </w:rPr>
                    <w:t>.</w:t>
                  </w:r>
                </w:p>
              </w:txbxContent>
            </v:textbox>
            <w10:wrap type="none"/>
          </v:shape>
        </w:pict>
      </w:r>
      <w:r>
        <w:rPr>
          <w:rFonts w:ascii="Arial" w:hAnsi="Arial"/>
          <w:i/>
          <w:spacing w:val="24"/>
          <w:w w:val="51"/>
          <w:position w:val="-9"/>
          <w:sz w:val="51"/>
        </w:rPr>
        <w:t>J</w:t>
      </w:r>
      <w:r>
        <w:rPr>
          <w:i/>
          <w:w w:val="76"/>
          <w:position w:val="7"/>
          <w:sz w:val="20"/>
        </w:rPr>
        <w:t>z+n</w:t>
      </w:r>
      <w:r>
        <w:rPr>
          <w:i/>
          <w:position w:val="7"/>
          <w:sz w:val="20"/>
        </w:rPr>
        <w:t> </w:t>
      </w:r>
      <w:r>
        <w:rPr>
          <w:i/>
          <w:spacing w:val="-17"/>
          <w:position w:val="7"/>
          <w:sz w:val="20"/>
        </w:rPr>
        <w:t> </w:t>
      </w:r>
      <w:r>
        <w:rPr>
          <w:i/>
          <w:w w:val="84"/>
          <w:sz w:val="20"/>
        </w:rPr>
        <w:t>y</w:t>
      </w:r>
      <w:r>
        <w:rPr>
          <w:i/>
          <w:spacing w:val="-25"/>
          <w:sz w:val="20"/>
        </w:rPr>
        <w:t> </w:t>
      </w:r>
      <w:r>
        <w:rPr>
          <w:i/>
          <w:spacing w:val="6"/>
          <w:w w:val="92"/>
          <w:position w:val="7"/>
          <w:sz w:val="20"/>
        </w:rPr>
        <w:t>l</w:t>
      </w:r>
      <w:r>
        <w:rPr>
          <w:rFonts w:ascii="Arial" w:hAnsi="Arial"/>
          <w:i/>
          <w:w w:val="127"/>
          <w:sz w:val="10"/>
        </w:rPr>
        <w:t>¡¡µy</w:t>
      </w:r>
      <w:r>
        <w:rPr>
          <w:rFonts w:ascii="Arial" w:hAnsi="Arial"/>
          <w:i/>
          <w:sz w:val="10"/>
        </w:rPr>
        <w:t>  </w:t>
      </w:r>
      <w:r>
        <w:rPr>
          <w:rFonts w:ascii="Arial" w:hAnsi="Arial"/>
          <w:i/>
          <w:spacing w:val="-8"/>
          <w:sz w:val="10"/>
        </w:rPr>
        <w:t> </w:t>
      </w:r>
      <w:r>
        <w:rPr>
          <w:i/>
          <w:spacing w:val="15"/>
          <w:w w:val="85"/>
          <w:position w:val="7"/>
          <w:sz w:val="20"/>
        </w:rPr>
        <w:t>d</w:t>
      </w:r>
      <w:r>
        <w:rPr>
          <w:i/>
          <w:w w:val="91"/>
          <w:sz w:val="20"/>
        </w:rPr>
        <w:t>y</w:t>
      </w:r>
      <w:r>
        <w:rPr>
          <w:i/>
          <w:sz w:val="20"/>
        </w:rPr>
        <w:t> </w:t>
      </w:r>
      <w:r>
        <w:rPr>
          <w:i/>
          <w:spacing w:val="20"/>
          <w:sz w:val="20"/>
        </w:rPr>
        <w:t> </w:t>
      </w:r>
      <w:r>
        <w:rPr>
          <w:w w:val="103"/>
          <w:sz w:val="22"/>
        </w:rPr>
        <w:t>=</w:t>
      </w:r>
    </w:p>
    <w:p>
      <w:pPr>
        <w:spacing w:before="188"/>
        <w:ind w:left="68" w:right="0" w:firstLine="0"/>
        <w:jc w:val="left"/>
        <w:rPr>
          <w:rFonts w:ascii="Arial"/>
          <w:b/>
          <w:i/>
          <w:sz w:val="8"/>
        </w:rPr>
      </w:pPr>
      <w:r>
        <w:rPr/>
        <w:br w:type="column"/>
      </w:r>
      <w:r>
        <w:rPr>
          <w:w w:val="89"/>
          <w:sz w:val="20"/>
        </w:rPr>
        <w:t>[</w:t>
      </w:r>
      <w:r>
        <w:rPr>
          <w:spacing w:val="-35"/>
          <w:sz w:val="20"/>
        </w:rPr>
        <w:t> </w:t>
      </w:r>
      <w:r>
        <w:rPr>
          <w:i/>
          <w:spacing w:val="2"/>
          <w:w w:val="254"/>
          <w:position w:val="-6"/>
          <w:sz w:val="20"/>
        </w:rPr>
        <w:t>-</w:t>
      </w:r>
      <w:r>
        <w:rPr>
          <w:i/>
          <w:w w:val="84"/>
          <w:position w:val="-6"/>
          <w:sz w:val="20"/>
        </w:rPr>
        <w:t>y</w:t>
      </w:r>
      <w:r>
        <w:rPr>
          <w:i/>
          <w:spacing w:val="-29"/>
          <w:position w:val="-6"/>
          <w:sz w:val="20"/>
        </w:rPr>
        <w:t> </w:t>
      </w:r>
      <w:r>
        <w:rPr>
          <w:rFonts w:ascii="Arial"/>
          <w:b/>
          <w:i/>
          <w:spacing w:val="10"/>
          <w:w w:val="84"/>
          <w:sz w:val="20"/>
        </w:rPr>
        <w:t>l</w:t>
      </w:r>
      <w:r>
        <w:rPr>
          <w:i/>
          <w:w w:val="67"/>
          <w:position w:val="-6"/>
          <w:sz w:val="11"/>
        </w:rPr>
        <w:t>11</w:t>
      </w:r>
      <w:r>
        <w:rPr>
          <w:i/>
          <w:position w:val="-6"/>
          <w:sz w:val="11"/>
        </w:rPr>
        <w:t>  </w:t>
      </w:r>
      <w:r>
        <w:rPr>
          <w:i/>
          <w:spacing w:val="2"/>
          <w:position w:val="-6"/>
          <w:sz w:val="11"/>
        </w:rPr>
        <w:t> </w:t>
      </w:r>
      <w:r>
        <w:rPr>
          <w:w w:val="514"/>
          <w:position w:val="-6"/>
          <w:sz w:val="11"/>
        </w:rPr>
        <w:t>-</w:t>
      </w:r>
      <w:r>
        <w:rPr>
          <w:position w:val="-6"/>
          <w:sz w:val="11"/>
        </w:rPr>
        <w:t> </w:t>
      </w:r>
      <w:r>
        <w:rPr>
          <w:spacing w:val="11"/>
          <w:position w:val="-6"/>
          <w:sz w:val="11"/>
        </w:rPr>
        <w:t> </w:t>
      </w:r>
      <w:r>
        <w:rPr>
          <w:rFonts w:ascii="Arial"/>
          <w:b/>
          <w:i/>
          <w:w w:val="107"/>
          <w:sz w:val="20"/>
        </w:rPr>
        <w:t>T</w:t>
      </w:r>
      <w:r>
        <w:rPr>
          <w:rFonts w:ascii="Arial"/>
          <w:b/>
          <w:i/>
          <w:spacing w:val="10"/>
          <w:sz w:val="20"/>
        </w:rPr>
        <w:t> </w:t>
      </w:r>
      <w:r>
        <w:rPr>
          <w:rFonts w:ascii="Arial"/>
          <w:b/>
          <w:i/>
          <w:w w:val="77"/>
          <w:sz w:val="20"/>
        </w:rPr>
        <w:t>]!+</w:t>
      </w:r>
      <w:r>
        <w:rPr>
          <w:rFonts w:ascii="Arial"/>
          <w:b/>
          <w:i/>
          <w:spacing w:val="-17"/>
          <w:sz w:val="20"/>
        </w:rPr>
        <w:t> </w:t>
      </w:r>
      <w:r>
        <w:rPr>
          <w:rFonts w:ascii="Arial"/>
          <w:b/>
          <w:i/>
          <w:w w:val="82"/>
          <w:position w:val="3"/>
          <w:sz w:val="8"/>
        </w:rPr>
        <w:t>11</w:t>
      </w:r>
    </w:p>
    <w:p>
      <w:pPr>
        <w:spacing w:after="0"/>
        <w:jc w:val="left"/>
        <w:rPr>
          <w:rFonts w:ascii="Arial"/>
          <w:sz w:val="8"/>
        </w:rPr>
        <w:sectPr>
          <w:type w:val="continuous"/>
          <w:pgSz w:w="7200" w:h="11340"/>
          <w:pgMar w:top="1100" w:bottom="0" w:left="620" w:right="540"/>
          <w:cols w:num="2" w:equalWidth="0">
            <w:col w:w="1507" w:space="40"/>
            <w:col w:w="4493"/>
          </w:cols>
        </w:sectPr>
      </w:pPr>
    </w:p>
    <w:p>
      <w:pPr>
        <w:spacing w:line="123" w:lineRule="exact" w:before="0"/>
        <w:ind w:left="225" w:right="0" w:firstLine="0"/>
        <w:jc w:val="left"/>
        <w:rPr>
          <w:b/>
          <w:sz w:val="12"/>
        </w:rPr>
      </w:pPr>
      <w:r>
        <w:rPr>
          <w:b/>
          <w:w w:val="119"/>
          <w:sz w:val="12"/>
        </w:rPr>
        <w:t>z</w:t>
      </w:r>
    </w:p>
    <w:p>
      <w:pPr>
        <w:pStyle w:val="BodyText"/>
        <w:spacing w:before="5"/>
        <w:rPr>
          <w:b/>
          <w:sz w:val="9"/>
        </w:rPr>
      </w:pPr>
    </w:p>
    <w:p>
      <w:pPr>
        <w:spacing w:before="0"/>
        <w:ind w:left="2501" w:right="0" w:firstLine="0"/>
        <w:jc w:val="left"/>
        <w:rPr>
          <w:i/>
          <w:sz w:val="20"/>
        </w:rPr>
      </w:pPr>
      <w:r>
        <w:rPr>
          <w:w w:val="120"/>
          <w:sz w:val="23"/>
        </w:rPr>
        <w:t>= </w:t>
      </w:r>
      <w:r>
        <w:rPr>
          <w:i/>
          <w:w w:val="135"/>
          <w:sz w:val="20"/>
        </w:rPr>
        <w:t>-( </w:t>
      </w:r>
      <w:r>
        <w:rPr>
          <w:i/>
          <w:w w:val="120"/>
          <w:sz w:val="20"/>
        </w:rPr>
        <w:t>x </w:t>
      </w:r>
      <w:r>
        <w:rPr>
          <w:w w:val="135"/>
          <w:sz w:val="21"/>
        </w:rPr>
        <w:t>+ </w:t>
      </w:r>
      <w:r>
        <w:rPr>
          <w:i/>
          <w:w w:val="95"/>
          <w:sz w:val="20"/>
        </w:rPr>
        <w:t>n)l:r+n  </w:t>
      </w:r>
      <w:r>
        <w:rPr>
          <w:w w:val="240"/>
          <w:sz w:val="20"/>
        </w:rPr>
        <w:t>- </w:t>
      </w:r>
      <w:r>
        <w:rPr>
          <w:i/>
          <w:w w:val="95"/>
          <w:sz w:val="20"/>
        </w:rPr>
        <w:t>Tz+"' </w:t>
      </w:r>
      <w:r>
        <w:rPr>
          <w:w w:val="135"/>
          <w:sz w:val="21"/>
        </w:rPr>
        <w:t>+ </w:t>
      </w:r>
      <w:r>
        <w:rPr>
          <w:i/>
          <w:w w:val="95"/>
          <w:sz w:val="20"/>
        </w:rPr>
        <w:t>xlz  </w:t>
      </w:r>
      <w:r>
        <w:rPr>
          <w:w w:val="135"/>
          <w:sz w:val="21"/>
        </w:rPr>
        <w:t>+ </w:t>
      </w:r>
      <w:r>
        <w:rPr>
          <w:i/>
          <w:w w:val="95"/>
          <w:sz w:val="20"/>
        </w:rPr>
        <w:t>Tz </w:t>
      </w:r>
      <w:r>
        <w:rPr>
          <w:i/>
          <w:w w:val="135"/>
          <w:sz w:val="20"/>
        </w:rPr>
        <w:t>.</w:t>
      </w:r>
    </w:p>
    <w:p>
      <w:pPr>
        <w:spacing w:before="103"/>
        <w:ind w:left="135" w:right="0" w:firstLine="0"/>
        <w:jc w:val="both"/>
        <w:rPr>
          <w:sz w:val="21"/>
        </w:rPr>
      </w:pPr>
      <w:r>
        <w:rPr/>
        <w:pict>
          <v:shape style="position:absolute;margin-left:159.119995pt;margin-top:-31.412971pt;width:10.5pt;height:7.3pt;mso-position-horizontal-relative:page;mso-position-vertical-relative:paragraph;z-index:-721504" type="#_x0000_t202" filled="false" stroked="false">
            <v:textbox inset="0,0,0,0">
              <w:txbxContent>
                <w:p>
                  <w:pPr>
                    <w:spacing w:line="145" w:lineRule="exact" w:before="0"/>
                    <w:ind w:left="0" w:right="-18" w:firstLine="0"/>
                    <w:jc w:val="left"/>
                    <w:rPr>
                      <w:sz w:val="11"/>
                    </w:rPr>
                  </w:pPr>
                  <w:r>
                    <w:rPr>
                      <w:rFonts w:ascii="Arial" w:hAnsi="Arial"/>
                      <w:b/>
                      <w:i/>
                      <w:w w:val="90"/>
                      <w:sz w:val="11"/>
                    </w:rPr>
                    <w:t>11</w:t>
                  </w:r>
                  <w:r>
                    <w:rPr>
                      <w:rFonts w:ascii="Arial" w:hAnsi="Arial"/>
                      <w:b/>
                      <w:i/>
                      <w:spacing w:val="-9"/>
                      <w:w w:val="90"/>
                      <w:sz w:val="11"/>
                    </w:rPr>
                    <w:t> </w:t>
                  </w:r>
                  <w:r>
                    <w:rPr>
                      <w:w w:val="205"/>
                      <w:position w:val="4"/>
                      <w:sz w:val="11"/>
                    </w:rPr>
                    <w:t>•</w:t>
                  </w:r>
                </w:p>
              </w:txbxContent>
            </v:textbox>
            <w10:wrap type="none"/>
          </v:shape>
        </w:pict>
      </w:r>
      <w:r>
        <w:rPr>
          <w:sz w:val="21"/>
        </w:rPr>
        <w:t>Hence  the average age at death  is</w:t>
      </w:r>
    </w:p>
    <w:p>
      <w:pPr>
        <w:spacing w:before="78"/>
        <w:ind w:left="125" w:right="0" w:firstLine="0"/>
        <w:jc w:val="both"/>
        <w:rPr>
          <w:sz w:val="19"/>
        </w:rPr>
      </w:pPr>
      <w:r>
        <w:rPr>
          <w:b/>
          <w:i/>
          <w:w w:val="95"/>
          <w:sz w:val="19"/>
        </w:rPr>
        <w:t>x(lJ  </w:t>
      </w:r>
      <w:r>
        <w:rPr>
          <w:w w:val="260"/>
          <w:sz w:val="19"/>
        </w:rPr>
        <w:t>- </w:t>
      </w:r>
      <w:r>
        <w:rPr>
          <w:b/>
          <w:i/>
          <w:w w:val="95"/>
          <w:sz w:val="19"/>
        </w:rPr>
        <w:t>lr+ ,J  </w:t>
      </w:r>
      <w:r>
        <w:rPr>
          <w:w w:val="95"/>
          <w:sz w:val="28"/>
        </w:rPr>
        <w:t>+ </w:t>
      </w:r>
      <w:r>
        <w:rPr>
          <w:w w:val="85"/>
          <w:sz w:val="28"/>
        </w:rPr>
        <w:t>( </w:t>
      </w:r>
      <w:r>
        <w:rPr>
          <w:b/>
          <w:i/>
          <w:w w:val="95"/>
          <w:sz w:val="21"/>
        </w:rPr>
        <w:t>Tz </w:t>
      </w:r>
      <w:r>
        <w:rPr>
          <w:w w:val="260"/>
          <w:sz w:val="21"/>
        </w:rPr>
        <w:t>- </w:t>
      </w:r>
      <w:r>
        <w:rPr>
          <w:b/>
          <w:i/>
          <w:w w:val="95"/>
          <w:sz w:val="19"/>
        </w:rPr>
        <w:t>T:r+n </w:t>
      </w:r>
      <w:r>
        <w:rPr>
          <w:w w:val="260"/>
          <w:sz w:val="19"/>
        </w:rPr>
        <w:t>- </w:t>
      </w:r>
      <w:r>
        <w:rPr>
          <w:b/>
          <w:i/>
          <w:w w:val="95"/>
          <w:sz w:val="19"/>
        </w:rPr>
        <w:t>nlr+11 )  </w:t>
      </w:r>
      <w:r>
        <w:rPr>
          <w:w w:val="95"/>
          <w:sz w:val="23"/>
        </w:rPr>
        <w:t>= </w:t>
      </w:r>
      <w:r>
        <w:rPr>
          <w:rFonts w:ascii="Arial" w:hAnsi="Arial"/>
          <w:b/>
          <w:i/>
          <w:w w:val="95"/>
          <w:sz w:val="13"/>
        </w:rPr>
        <w:t>X  </w:t>
      </w:r>
      <w:r>
        <w:rPr>
          <w:w w:val="95"/>
          <w:sz w:val="28"/>
        </w:rPr>
        <w:t>+ </w:t>
      </w:r>
      <w:r>
        <w:rPr>
          <w:b/>
          <w:i/>
          <w:w w:val="95"/>
          <w:sz w:val="21"/>
          <w:u w:val="single"/>
        </w:rPr>
        <w:t>Tz </w:t>
      </w:r>
      <w:r>
        <w:rPr>
          <w:w w:val="260"/>
          <w:sz w:val="21"/>
          <w:u w:val="single"/>
        </w:rPr>
        <w:t>- </w:t>
      </w:r>
      <w:r>
        <w:rPr>
          <w:b/>
          <w:i/>
          <w:w w:val="95"/>
          <w:sz w:val="19"/>
          <w:u w:val="single"/>
        </w:rPr>
        <w:t>T:r+n </w:t>
      </w:r>
      <w:r>
        <w:rPr>
          <w:w w:val="260"/>
          <w:sz w:val="19"/>
          <w:u w:val="single"/>
        </w:rPr>
        <w:t>- </w:t>
      </w:r>
      <w:r>
        <w:rPr>
          <w:b/>
          <w:i/>
          <w:w w:val="125"/>
          <w:sz w:val="19"/>
          <w:u w:val="single"/>
        </w:rPr>
        <w:t>nlz+ </w:t>
      </w:r>
      <w:r>
        <w:rPr>
          <w:w w:val="85"/>
          <w:sz w:val="19"/>
        </w:rPr>
        <w:t>•</w:t>
      </w:r>
    </w:p>
    <w:p>
      <w:pPr>
        <w:tabs>
          <w:tab w:pos="4563" w:val="left" w:leader="none"/>
        </w:tabs>
        <w:spacing w:before="3"/>
        <w:ind w:left="1374" w:right="0" w:firstLine="0"/>
        <w:jc w:val="left"/>
        <w:rPr>
          <w:b/>
          <w:i/>
          <w:sz w:val="19"/>
        </w:rPr>
      </w:pPr>
      <w:r>
        <w:rPr>
          <w:b/>
          <w:i/>
          <w:w w:val="90"/>
          <w:sz w:val="19"/>
        </w:rPr>
        <w:t>lr </w:t>
      </w:r>
      <w:r>
        <w:rPr>
          <w:b/>
          <w:i/>
          <w:spacing w:val="15"/>
          <w:w w:val="90"/>
          <w:sz w:val="19"/>
        </w:rPr>
        <w:t> </w:t>
      </w:r>
      <w:r>
        <w:rPr>
          <w:w w:val="270"/>
          <w:sz w:val="19"/>
        </w:rPr>
        <w:t>-</w:t>
      </w:r>
      <w:r>
        <w:rPr>
          <w:spacing w:val="-74"/>
          <w:w w:val="270"/>
          <w:sz w:val="19"/>
        </w:rPr>
        <w:t> </w:t>
      </w:r>
      <w:r>
        <w:rPr>
          <w:b/>
          <w:i/>
          <w:w w:val="90"/>
          <w:sz w:val="19"/>
        </w:rPr>
        <w:t>lz+n</w:t>
        <w:tab/>
        <w:t>l.x </w:t>
      </w:r>
      <w:r>
        <w:rPr>
          <w:w w:val="270"/>
          <w:sz w:val="19"/>
        </w:rPr>
        <w:t>-</w:t>
      </w:r>
      <w:r>
        <w:rPr>
          <w:spacing w:val="-62"/>
          <w:w w:val="270"/>
          <w:sz w:val="19"/>
        </w:rPr>
        <w:t> </w:t>
      </w:r>
      <w:r>
        <w:rPr>
          <w:b/>
          <w:i/>
          <w:w w:val="90"/>
          <w:sz w:val="19"/>
        </w:rPr>
        <w:t>lz+n</w:t>
      </w:r>
    </w:p>
    <w:p>
      <w:pPr>
        <w:spacing w:line="240" w:lineRule="auto" w:before="97"/>
        <w:ind w:left="117" w:right="165" w:firstLine="3"/>
        <w:jc w:val="both"/>
        <w:rPr>
          <w:sz w:val="21"/>
        </w:rPr>
      </w:pPr>
      <w:r>
        <w:rPr>
          <w:sz w:val="21"/>
        </w:rPr>
        <w:t>Since the t otal past lifetime prior to age </w:t>
      </w:r>
      <w:r>
        <w:rPr>
          <w:rFonts w:ascii="Arial"/>
          <w:i/>
          <w:sz w:val="18"/>
        </w:rPr>
        <w:t>x </w:t>
      </w:r>
      <w:r>
        <w:rPr>
          <w:sz w:val="21"/>
        </w:rPr>
        <w:t>for those who survive to age </w:t>
      </w:r>
      <w:r>
        <w:rPr>
          <w:i/>
          <w:sz w:val="19"/>
        </w:rPr>
        <w:t>x </w:t>
      </w:r>
      <w:r>
        <w:rPr>
          <w:sz w:val="21"/>
        </w:rPr>
        <w:t>but die before age </w:t>
      </w:r>
      <w:r>
        <w:rPr>
          <w:i/>
          <w:sz w:val="19"/>
        </w:rPr>
        <w:t>x </w:t>
      </w:r>
      <w:r>
        <w:rPr>
          <w:w w:val="115"/>
          <w:sz w:val="21"/>
        </w:rPr>
        <w:t>+ </w:t>
      </w:r>
      <w:r>
        <w:rPr>
          <w:sz w:val="21"/>
        </w:rPr>
        <w:t>n is </w:t>
      </w:r>
      <w:r>
        <w:rPr>
          <w:i/>
          <w:sz w:val="19"/>
        </w:rPr>
        <w:t>x (lz </w:t>
      </w:r>
      <w:r>
        <w:rPr>
          <w:w w:val="260"/>
          <w:sz w:val="19"/>
        </w:rPr>
        <w:t>-</w:t>
      </w:r>
      <w:r>
        <w:rPr>
          <w:spacing w:val="-86"/>
          <w:w w:val="260"/>
          <w:sz w:val="19"/>
        </w:rPr>
        <w:t> </w:t>
      </w:r>
      <w:r>
        <w:rPr>
          <w:b/>
          <w:i/>
          <w:sz w:val="19"/>
        </w:rPr>
        <w:t>lz+1' ) , </w:t>
      </w:r>
      <w:r>
        <w:rPr>
          <w:sz w:val="21"/>
        </w:rPr>
        <w:t>this result shows that the total </w:t>
      </w:r>
      <w:r>
        <w:rPr>
          <w:rFonts w:ascii="Arial"/>
          <w:sz w:val="18"/>
        </w:rPr>
        <w:t>f</w:t>
      </w:r>
      <w:r>
        <w:rPr>
          <w:sz w:val="21"/>
        </w:rPr>
        <w:t>uture lifetime subsequent to age </w:t>
      </w:r>
      <w:r>
        <w:rPr>
          <w:rFonts w:ascii="Arial"/>
          <w:i/>
          <w:sz w:val="16"/>
        </w:rPr>
        <w:t>x </w:t>
      </w:r>
      <w:r>
        <w:rPr>
          <w:sz w:val="21"/>
        </w:rPr>
        <w:t>for the same persons is </w:t>
      </w:r>
      <w:r>
        <w:rPr>
          <w:i/>
          <w:spacing w:val="5"/>
          <w:sz w:val="20"/>
        </w:rPr>
        <w:t>T</w:t>
      </w:r>
      <w:r>
        <w:rPr>
          <w:spacing w:val="5"/>
          <w:sz w:val="12"/>
        </w:rPr>
        <w:t>z </w:t>
      </w:r>
      <w:r>
        <w:rPr>
          <w:w w:val="410"/>
          <w:sz w:val="12"/>
        </w:rPr>
        <w:t>- </w:t>
      </w:r>
      <w:r>
        <w:rPr>
          <w:i/>
          <w:spacing w:val="3"/>
          <w:sz w:val="20"/>
        </w:rPr>
        <w:t>Tx+n </w:t>
      </w:r>
      <w:r>
        <w:rPr>
          <w:w w:val="260"/>
          <w:sz w:val="20"/>
        </w:rPr>
        <w:t>- </w:t>
      </w:r>
      <w:r>
        <w:rPr>
          <w:i/>
          <w:sz w:val="20"/>
        </w:rPr>
        <w:t>nlz+n </w:t>
      </w:r>
      <w:r>
        <w:rPr>
          <w:sz w:val="20"/>
        </w:rPr>
        <w:t>. </w:t>
      </w:r>
      <w:r>
        <w:rPr>
          <w:sz w:val="21"/>
        </w:rPr>
        <w:t>The total future lifetime can also be obtained dircctly  by  evaluating the</w:t>
      </w:r>
      <w:r>
        <w:rPr>
          <w:spacing w:val="-14"/>
          <w:sz w:val="21"/>
        </w:rPr>
        <w:t> </w:t>
      </w:r>
      <w:r>
        <w:rPr>
          <w:sz w:val="21"/>
        </w:rPr>
        <w:t>expression</w:t>
      </w:r>
    </w:p>
    <w:p>
      <w:pPr>
        <w:spacing w:line="149" w:lineRule="exact" w:before="47"/>
        <w:ind w:left="1189" w:right="2479" w:firstLine="0"/>
        <w:jc w:val="center"/>
        <w:rPr>
          <w:b/>
          <w:i/>
          <w:sz w:val="19"/>
        </w:rPr>
      </w:pPr>
      <w:r>
        <w:rPr/>
        <w:pict>
          <v:shape style="position:absolute;margin-left:135.720001pt;margin-top:9.817371pt;width:5.25pt;height:21.5pt;mso-position-horizontal-relative:page;mso-position-vertical-relative:paragraph;z-index:-721480" type="#_x0000_t202" filled="false" stroked="false">
            <v:textbox inset="0,0,0,0">
              <w:txbxContent>
                <w:p>
                  <w:pPr>
                    <w:spacing w:line="430" w:lineRule="exact" w:before="0"/>
                    <w:ind w:left="0" w:right="0" w:firstLine="0"/>
                    <w:jc w:val="left"/>
                    <w:rPr>
                      <w:rFonts w:ascii="Arial"/>
                      <w:b/>
                      <w:i/>
                      <w:sz w:val="43"/>
                    </w:rPr>
                  </w:pPr>
                  <w:r>
                    <w:rPr>
                      <w:rFonts w:ascii="Arial"/>
                      <w:b/>
                      <w:i/>
                      <w:spacing w:val="-20"/>
                      <w:w w:val="51"/>
                      <w:sz w:val="43"/>
                    </w:rPr>
                    <w:t>J</w:t>
                  </w:r>
                </w:p>
              </w:txbxContent>
            </v:textbox>
            <w10:wrap type="none"/>
          </v:shape>
        </w:pict>
      </w:r>
      <w:r>
        <w:rPr>
          <w:b/>
          <w:i/>
          <w:w w:val="80"/>
          <w:sz w:val="19"/>
        </w:rPr>
        <w:t>z+ n</w:t>
      </w:r>
    </w:p>
    <w:p>
      <w:pPr>
        <w:spacing w:line="241" w:lineRule="exact" w:before="50"/>
        <w:ind w:left="976" w:right="543" w:firstLine="0"/>
        <w:jc w:val="center"/>
        <w:rPr>
          <w:i/>
          <w:sz w:val="20"/>
        </w:rPr>
      </w:pPr>
      <w:r>
        <w:rPr>
          <w:rFonts w:ascii="Arial" w:hAnsi="Arial"/>
          <w:w w:val="115"/>
          <w:sz w:val="18"/>
        </w:rPr>
        <w:t>( </w:t>
      </w:r>
      <w:r>
        <w:rPr>
          <w:rFonts w:ascii="Arial" w:hAnsi="Arial"/>
          <w:w w:val="95"/>
          <w:sz w:val="18"/>
        </w:rPr>
        <w:t>y </w:t>
      </w:r>
      <w:r>
        <w:rPr>
          <w:rFonts w:ascii="Arial" w:hAnsi="Arial"/>
          <w:w w:val="265"/>
          <w:sz w:val="18"/>
        </w:rPr>
        <w:t>-</w:t>
      </w:r>
      <w:r>
        <w:rPr>
          <w:rFonts w:ascii="Arial" w:hAnsi="Arial"/>
          <w:spacing w:val="-94"/>
          <w:w w:val="265"/>
          <w:sz w:val="18"/>
        </w:rPr>
        <w:t> </w:t>
      </w:r>
      <w:r>
        <w:rPr>
          <w:i/>
          <w:w w:val="95"/>
          <w:sz w:val="20"/>
        </w:rPr>
        <w:t>x )l </w:t>
      </w:r>
      <w:r>
        <w:rPr>
          <w:i/>
          <w:w w:val="95"/>
          <w:position w:val="-4"/>
          <w:sz w:val="11"/>
        </w:rPr>
        <w:t>11</w:t>
      </w:r>
      <w:r>
        <w:rPr>
          <w:i/>
          <w:w w:val="95"/>
          <w:sz w:val="16"/>
        </w:rPr>
        <w:t>µ</w:t>
      </w:r>
      <w:r>
        <w:rPr>
          <w:i/>
          <w:w w:val="95"/>
          <w:position w:val="-4"/>
          <w:sz w:val="11"/>
        </w:rPr>
        <w:t>11 </w:t>
      </w:r>
      <w:r>
        <w:rPr>
          <w:i/>
          <w:w w:val="95"/>
          <w:sz w:val="20"/>
        </w:rPr>
        <w:t>d </w:t>
      </w:r>
      <w:r>
        <w:rPr>
          <w:i/>
          <w:w w:val="115"/>
          <w:sz w:val="20"/>
        </w:rPr>
        <w:t>y.</w:t>
      </w:r>
    </w:p>
    <w:p>
      <w:pPr>
        <w:spacing w:line="119" w:lineRule="exact" w:before="0"/>
        <w:ind w:left="0" w:right="1616" w:firstLine="0"/>
        <w:jc w:val="center"/>
        <w:rPr>
          <w:b/>
          <w:sz w:val="12"/>
        </w:rPr>
      </w:pPr>
      <w:r>
        <w:rPr>
          <w:b/>
          <w:w w:val="112"/>
          <w:sz w:val="12"/>
        </w:rPr>
        <w:t>z</w:t>
      </w:r>
    </w:p>
    <w:p>
      <w:pPr>
        <w:pStyle w:val="BodyText"/>
        <w:spacing w:before="10"/>
        <w:rPr>
          <w:b/>
          <w:sz w:val="8"/>
        </w:rPr>
      </w:pPr>
    </w:p>
    <w:p>
      <w:pPr>
        <w:pStyle w:val="ListParagraph"/>
        <w:numPr>
          <w:ilvl w:val="0"/>
          <w:numId w:val="79"/>
        </w:numPr>
        <w:tabs>
          <w:tab w:pos="356" w:val="left" w:leader="none"/>
        </w:tabs>
        <w:spacing w:line="240" w:lineRule="auto" w:before="76" w:after="0"/>
        <w:ind w:left="355" w:right="0" w:hanging="237"/>
        <w:jc w:val="left"/>
        <w:rPr>
          <w:b/>
          <w:sz w:val="19"/>
        </w:rPr>
      </w:pPr>
      <w:r>
        <w:rPr>
          <w:b/>
          <w:w w:val="120"/>
          <w:sz w:val="19"/>
        </w:rPr>
        <w:t>The stationary</w:t>
      </w:r>
      <w:r>
        <w:rPr>
          <w:b/>
          <w:spacing w:val="24"/>
          <w:w w:val="120"/>
          <w:sz w:val="19"/>
        </w:rPr>
        <w:t> </w:t>
      </w:r>
      <w:r>
        <w:rPr>
          <w:b/>
          <w:w w:val="120"/>
          <w:sz w:val="19"/>
        </w:rPr>
        <w:t>population</w:t>
      </w:r>
    </w:p>
    <w:p>
      <w:pPr>
        <w:spacing w:line="232" w:lineRule="auto" w:before="78"/>
        <w:ind w:left="117" w:right="171" w:firstLine="198"/>
        <w:jc w:val="both"/>
        <w:rPr>
          <w:sz w:val="21"/>
        </w:rPr>
      </w:pPr>
      <w:r>
        <w:rPr>
          <w:sz w:val="21"/>
        </w:rPr>
        <w:t>Problems in demography are sometimes concerned with com­ munities with a stable age distribution for which the population is roughly  stationary.  </w:t>
      </w:r>
      <w:r>
        <w:rPr>
          <w:sz w:val="22"/>
        </w:rPr>
        <w:t>It  </w:t>
      </w:r>
      <w:r>
        <w:rPr>
          <w:sz w:val="21"/>
        </w:rPr>
        <w:t>is  possible  to  use  the  mortality  table  as a</w:t>
      </w:r>
    </w:p>
    <w:p>
      <w:pPr>
        <w:spacing w:after="0" w:line="232" w:lineRule="auto"/>
        <w:jc w:val="both"/>
        <w:rPr>
          <w:sz w:val="21"/>
        </w:rPr>
        <w:sectPr>
          <w:type w:val="continuous"/>
          <w:pgSz w:w="7200" w:h="11340"/>
          <w:pgMar w:top="1100" w:bottom="0" w:left="620" w:right="540"/>
        </w:sectPr>
      </w:pPr>
    </w:p>
    <w:p>
      <w:pPr>
        <w:tabs>
          <w:tab w:pos="1692" w:val="left" w:leader="none"/>
          <w:tab w:pos="5903" w:val="right" w:leader="none"/>
        </w:tabs>
        <w:spacing w:before="66"/>
        <w:ind w:left="130" w:right="0" w:firstLine="0"/>
        <w:jc w:val="left"/>
        <w:rPr>
          <w:rFonts w:ascii="Courier New"/>
          <w:sz w:val="23"/>
        </w:rPr>
      </w:pPr>
      <w:r>
        <w:rPr>
          <w:sz w:val="15"/>
        </w:rPr>
        <w:t>SEC. </w:t>
      </w:r>
      <w:r>
        <w:rPr>
          <w:spacing w:val="29"/>
          <w:sz w:val="15"/>
        </w:rPr>
        <w:t> </w:t>
      </w:r>
      <w:r>
        <w:rPr>
          <w:rFonts w:ascii="Arial"/>
          <w:sz w:val="19"/>
        </w:rPr>
        <w:t>5]</w:t>
        <w:tab/>
      </w:r>
      <w:r>
        <w:rPr>
          <w:b/>
          <w:position w:val="1"/>
          <w:sz w:val="15"/>
        </w:rPr>
        <w:t>THE </w:t>
      </w:r>
      <w:r>
        <w:rPr>
          <w:b/>
          <w:spacing w:val="21"/>
          <w:position w:val="1"/>
          <w:sz w:val="15"/>
        </w:rPr>
        <w:t> </w:t>
      </w:r>
      <w:r>
        <w:rPr>
          <w:b/>
          <w:position w:val="1"/>
          <w:sz w:val="15"/>
        </w:rPr>
        <w:t>STATIONARY </w:t>
      </w:r>
      <w:r>
        <w:rPr>
          <w:b/>
          <w:spacing w:val="35"/>
          <w:position w:val="1"/>
          <w:sz w:val="15"/>
        </w:rPr>
        <w:t> </w:t>
      </w:r>
      <w:r>
        <w:rPr>
          <w:b/>
          <w:position w:val="1"/>
          <w:sz w:val="15"/>
        </w:rPr>
        <w:t>POPULATION</w:t>
      </w:r>
      <w:r>
        <w:rPr>
          <w:rFonts w:ascii="Courier New"/>
          <w:sz w:val="23"/>
        </w:rPr>
        <w:tab/>
      </w:r>
      <w:r>
        <w:rPr>
          <w:rFonts w:ascii="Courier New"/>
          <w:spacing w:val="-22"/>
          <w:sz w:val="23"/>
        </w:rPr>
        <w:t>177</w:t>
      </w:r>
    </w:p>
    <w:p>
      <w:pPr>
        <w:pStyle w:val="BodyText"/>
        <w:spacing w:before="8"/>
        <w:rPr>
          <w:rFonts w:ascii="Courier New"/>
          <w:sz w:val="18"/>
        </w:rPr>
      </w:pPr>
    </w:p>
    <w:p>
      <w:pPr>
        <w:pStyle w:val="BodyText"/>
        <w:spacing w:line="252" w:lineRule="auto"/>
        <w:ind w:left="134" w:right="145"/>
        <w:jc w:val="both"/>
      </w:pPr>
      <w:r>
        <w:rPr>
          <w:w w:val="105"/>
        </w:rPr>
        <w:t>model for a stationary population if we interpret the familiar mortality  functions in a somewhat  different way.</w:t>
      </w:r>
    </w:p>
    <w:p>
      <w:pPr>
        <w:pStyle w:val="BodyText"/>
        <w:spacing w:line="237" w:lineRule="exact"/>
        <w:ind w:right="135"/>
        <w:jc w:val="right"/>
        <w:rPr>
          <w:sz w:val="21"/>
        </w:rPr>
      </w:pPr>
      <w:r>
        <w:rPr/>
        <w:t>Suppose  that  a  population   is  supported  by  </w:t>
      </w:r>
      <w:r>
        <w:rPr>
          <w:sz w:val="23"/>
        </w:rPr>
        <w:t>lo  </w:t>
      </w:r>
      <w:r>
        <w:rPr/>
        <w:t>annual  births,   </w:t>
      </w:r>
      <w:r>
        <w:rPr>
          <w:sz w:val="21"/>
        </w:rPr>
        <w:t>lo</w:t>
      </w:r>
    </w:p>
    <w:p>
      <w:pPr>
        <w:pStyle w:val="BodyText"/>
        <w:spacing w:line="252" w:lineRule="auto" w:before="1"/>
        <w:ind w:left="130" w:right="135" w:firstLine="3"/>
        <w:jc w:val="both"/>
      </w:pPr>
      <w:r>
        <w:rPr>
          <w:w w:val="110"/>
        </w:rPr>
        <w:t>being the radix of a given mortality table, and suppose also that these</w:t>
      </w:r>
      <w:r>
        <w:rPr>
          <w:spacing w:val="-8"/>
          <w:w w:val="110"/>
        </w:rPr>
        <w:t> </w:t>
      </w:r>
      <w:r>
        <w:rPr>
          <w:w w:val="110"/>
        </w:rPr>
        <w:t>births</w:t>
      </w:r>
      <w:r>
        <w:rPr>
          <w:spacing w:val="-12"/>
          <w:w w:val="110"/>
        </w:rPr>
        <w:t> </w:t>
      </w:r>
      <w:r>
        <w:rPr>
          <w:w w:val="110"/>
        </w:rPr>
        <w:t>are</w:t>
      </w:r>
      <w:r>
        <w:rPr>
          <w:spacing w:val="-18"/>
          <w:w w:val="110"/>
        </w:rPr>
        <w:t> </w:t>
      </w:r>
      <w:r>
        <w:rPr>
          <w:w w:val="110"/>
        </w:rPr>
        <w:t>uniformly</w:t>
      </w:r>
      <w:r>
        <w:rPr>
          <w:spacing w:val="-1"/>
          <w:w w:val="110"/>
        </w:rPr>
        <w:t> </w:t>
      </w:r>
      <w:r>
        <w:rPr>
          <w:w w:val="110"/>
        </w:rPr>
        <w:t>distributed</w:t>
      </w:r>
      <w:r>
        <w:rPr>
          <w:spacing w:val="1"/>
          <w:w w:val="110"/>
        </w:rPr>
        <w:t> </w:t>
      </w:r>
      <w:r>
        <w:rPr>
          <w:w w:val="110"/>
        </w:rPr>
        <w:t>over</w:t>
      </w:r>
      <w:r>
        <w:rPr>
          <w:spacing w:val="-10"/>
          <w:w w:val="110"/>
        </w:rPr>
        <w:t> </w:t>
      </w:r>
      <w:r>
        <w:rPr>
          <w:w w:val="110"/>
        </w:rPr>
        <w:t>each</w:t>
      </w:r>
      <w:r>
        <w:rPr>
          <w:spacing w:val="-8"/>
          <w:w w:val="110"/>
        </w:rPr>
        <w:t> </w:t>
      </w:r>
      <w:r>
        <w:rPr>
          <w:w w:val="110"/>
        </w:rPr>
        <w:t>calendar</w:t>
      </w:r>
      <w:r>
        <w:rPr>
          <w:spacing w:val="-12"/>
          <w:w w:val="110"/>
        </w:rPr>
        <w:t> </w:t>
      </w:r>
      <w:r>
        <w:rPr>
          <w:w w:val="110"/>
        </w:rPr>
        <w:t>year.</w:t>
      </w:r>
      <w:r>
        <w:rPr>
          <w:spacing w:val="-1"/>
          <w:w w:val="110"/>
        </w:rPr>
        <w:t> </w:t>
      </w:r>
      <w:r>
        <w:rPr>
          <w:w w:val="110"/>
        </w:rPr>
        <w:t>Let the</w:t>
      </w:r>
      <w:r>
        <w:rPr>
          <w:spacing w:val="-27"/>
          <w:w w:val="110"/>
        </w:rPr>
        <w:t> </w:t>
      </w:r>
      <w:r>
        <w:rPr>
          <w:w w:val="110"/>
        </w:rPr>
        <w:t>deaths</w:t>
      </w:r>
      <w:r>
        <w:rPr>
          <w:spacing w:val="-31"/>
          <w:w w:val="110"/>
        </w:rPr>
        <w:t> </w:t>
      </w:r>
      <w:r>
        <w:rPr>
          <w:w w:val="110"/>
        </w:rPr>
        <w:t>among</w:t>
      </w:r>
      <w:r>
        <w:rPr>
          <w:spacing w:val="-26"/>
          <w:w w:val="110"/>
        </w:rPr>
        <w:t> </w:t>
      </w:r>
      <w:r>
        <w:rPr>
          <w:w w:val="110"/>
        </w:rPr>
        <w:t>the</w:t>
      </w:r>
      <w:r>
        <w:rPr>
          <w:spacing w:val="-29"/>
          <w:w w:val="110"/>
        </w:rPr>
        <w:t> </w:t>
      </w:r>
      <w:r>
        <w:rPr>
          <w:w w:val="110"/>
        </w:rPr>
        <w:t>population</w:t>
      </w:r>
      <w:r>
        <w:rPr>
          <w:spacing w:val="-13"/>
          <w:w w:val="110"/>
        </w:rPr>
        <w:t> </w:t>
      </w:r>
      <w:r>
        <w:rPr>
          <w:w w:val="110"/>
        </w:rPr>
        <w:t>occur</w:t>
      </w:r>
      <w:r>
        <w:rPr>
          <w:spacing w:val="-21"/>
          <w:w w:val="110"/>
        </w:rPr>
        <w:t> </w:t>
      </w:r>
      <w:r>
        <w:rPr>
          <w:w w:val="110"/>
        </w:rPr>
        <w:t>in</w:t>
      </w:r>
      <w:r>
        <w:rPr>
          <w:spacing w:val="-27"/>
          <w:w w:val="110"/>
        </w:rPr>
        <w:t> </w:t>
      </w:r>
      <w:r>
        <w:rPr>
          <w:w w:val="110"/>
        </w:rPr>
        <w:t>accordance</w:t>
      </w:r>
      <w:r>
        <w:rPr>
          <w:spacing w:val="-26"/>
          <w:w w:val="110"/>
        </w:rPr>
        <w:t> </w:t>
      </w:r>
      <w:r>
        <w:rPr>
          <w:w w:val="110"/>
        </w:rPr>
        <w:t>with</w:t>
      </w:r>
      <w:r>
        <w:rPr>
          <w:spacing w:val="-21"/>
          <w:w w:val="110"/>
        </w:rPr>
        <w:t> </w:t>
      </w:r>
      <w:r>
        <w:rPr>
          <w:w w:val="110"/>
        </w:rPr>
        <w:t>the</w:t>
      </w:r>
      <w:r>
        <w:rPr>
          <w:spacing w:val="-31"/>
          <w:w w:val="110"/>
        </w:rPr>
        <w:t> </w:t>
      </w:r>
      <w:r>
        <w:rPr>
          <w:w w:val="110"/>
        </w:rPr>
        <w:t>given mortality table, and let there be no migration into or out of the population. Then it may be shown that when the birth and death process has </w:t>
      </w:r>
      <w:r>
        <w:rPr>
          <w:spacing w:val="-5"/>
          <w:w w:val="110"/>
        </w:rPr>
        <w:t>.continued </w:t>
      </w:r>
      <w:r>
        <w:rPr>
          <w:w w:val="110"/>
        </w:rPr>
        <w:t>for a period of years at least equal to the terminal age of the mortality table, the total population remains stationary and its age distribution is</w:t>
      </w:r>
      <w:r>
        <w:rPr>
          <w:spacing w:val="50"/>
          <w:w w:val="110"/>
        </w:rPr>
        <w:t> </w:t>
      </w:r>
      <w:r>
        <w:rPr>
          <w:w w:val="110"/>
        </w:rPr>
        <w:t>constant.</w:t>
      </w:r>
    </w:p>
    <w:p>
      <w:pPr>
        <w:pStyle w:val="BodyText"/>
        <w:spacing w:line="244" w:lineRule="auto"/>
        <w:ind w:left="130" w:right="135" w:firstLine="198"/>
        <w:jc w:val="right"/>
      </w:pPr>
      <w:r>
        <w:rPr/>
        <w:t>This may be seen by considering the consequences of the assump­</w:t>
      </w:r>
      <w:r>
        <w:rPr>
          <w:w w:val="103"/>
        </w:rPr>
        <w:t> </w:t>
      </w:r>
      <w:r>
        <w:rPr/>
        <w:t>tion that the </w:t>
      </w:r>
      <w:r>
        <w:rPr>
          <w:w w:val="95"/>
          <w:sz w:val="23"/>
        </w:rPr>
        <w:t>lo </w:t>
      </w:r>
      <w:r>
        <w:rPr/>
        <w:t>annual births are uniformly distributed over each</w:t>
      </w:r>
      <w:r>
        <w:rPr>
          <w:w w:val="102"/>
        </w:rPr>
        <w:t> </w:t>
      </w:r>
      <w:r>
        <w:rPr/>
        <w:t>calendar year. This clearly means that there </w:t>
      </w:r>
      <w:r>
        <w:rPr>
          <w:sz w:val="21"/>
        </w:rPr>
        <w:t>will </w:t>
      </w:r>
      <w:r>
        <w:rPr/>
        <w:t>be </w:t>
      </w:r>
      <w:r>
        <w:rPr>
          <w:i/>
        </w:rPr>
        <w:t>lo </w:t>
      </w:r>
      <w:r>
        <w:rPr/>
        <w:t>births uni­</w:t>
      </w:r>
      <w:r>
        <w:rPr>
          <w:w w:val="101"/>
        </w:rPr>
        <w:t> </w:t>
      </w:r>
      <w:r>
        <w:rPr/>
        <w:t>formly distributed  over  </w:t>
      </w:r>
      <w:r>
        <w:rPr>
          <w:i/>
          <w:sz w:val="19"/>
        </w:rPr>
        <w:t>any  </w:t>
      </w:r>
      <w:r>
        <w:rPr/>
        <w:t>year  of  time,  and  that  in  </w:t>
      </w:r>
      <w:r>
        <w:rPr>
          <w:i/>
          <w:sz w:val="19"/>
        </w:rPr>
        <w:t>any fraction</w:t>
      </w:r>
      <w:r>
        <w:rPr>
          <w:i/>
          <w:w w:val="102"/>
          <w:sz w:val="19"/>
        </w:rPr>
        <w:t> </w:t>
      </w:r>
      <w:r>
        <w:rPr/>
        <w:t>of a year </w:t>
      </w:r>
      <w:r>
        <w:rPr>
          <w:i/>
        </w:rPr>
        <w:t>h, </w:t>
      </w:r>
      <w:r>
        <w:rPr/>
        <w:t>however small, there will be </w:t>
      </w:r>
      <w:r>
        <w:rPr>
          <w:i/>
        </w:rPr>
        <w:t>hlo  </w:t>
      </w:r>
      <w:r>
        <w:rPr/>
        <w:t>births.  </w:t>
      </w:r>
      <w:r>
        <w:rPr>
          <w:sz w:val="21"/>
        </w:rPr>
        <w:t>It </w:t>
      </w:r>
      <w:r>
        <w:rPr/>
        <w:t>follows that</w:t>
      </w:r>
      <w:r>
        <w:rPr>
          <w:w w:val="115"/>
        </w:rPr>
        <w:t> </w:t>
      </w:r>
      <w:r>
        <w:rPr/>
        <w:t>there will be </w:t>
      </w:r>
      <w:r>
        <w:rPr>
          <w:rFonts w:ascii="Arial" w:hAnsi="Arial"/>
          <w:i/>
          <w:w w:val="95"/>
        </w:rPr>
        <w:t>l:i: </w:t>
      </w:r>
      <w:r>
        <w:rPr/>
        <w:t>lives attaining age </w:t>
      </w:r>
      <w:r>
        <w:rPr>
          <w:rFonts w:ascii="Arial" w:hAnsi="Arial"/>
          <w:i/>
          <w:sz w:val="19"/>
        </w:rPr>
        <w:t>x </w:t>
      </w:r>
      <w:r>
        <w:rPr/>
        <w:t>in any year and </w:t>
      </w:r>
      <w:r>
        <w:rPr>
          <w:rFonts w:ascii="Arial" w:hAnsi="Arial"/>
          <w:i/>
          <w:w w:val="95"/>
        </w:rPr>
        <w:t>hl:r: </w:t>
      </w:r>
      <w:r>
        <w:rPr/>
        <w:t>lives at­</w:t>
      </w:r>
      <w:r>
        <w:rPr>
          <w:w w:val="113"/>
        </w:rPr>
        <w:t> </w:t>
      </w:r>
      <w:r>
        <w:rPr/>
        <w:t>taining age </w:t>
      </w:r>
      <w:r>
        <w:rPr>
          <w:rFonts w:ascii="Arial" w:hAnsi="Arial"/>
          <w:i/>
          <w:sz w:val="17"/>
        </w:rPr>
        <w:t>x </w:t>
      </w:r>
      <w:r>
        <w:rPr/>
        <w:t>in any  time  interval  </w:t>
      </w:r>
      <w:r>
        <w:rPr>
          <w:rFonts w:ascii="Arial" w:hAnsi="Arial"/>
          <w:i/>
          <w:sz w:val="18"/>
        </w:rPr>
        <w:t>h,  </w:t>
      </w:r>
      <w:r>
        <w:rPr/>
        <w:t>as  survivors  of  the  births</w:t>
      </w:r>
      <w:r>
        <w:rPr>
          <w:w w:val="108"/>
        </w:rPr>
        <w:t> </w:t>
      </w:r>
      <w:r>
        <w:rPr/>
        <w:t>which occurred in the corresponding periods of  time  </w:t>
      </w:r>
      <w:r>
        <w:rPr>
          <w:rFonts w:ascii="Arial" w:hAnsi="Arial"/>
          <w:i/>
          <w:sz w:val="17"/>
        </w:rPr>
        <w:t>x  </w:t>
      </w:r>
      <w:r>
        <w:rPr/>
        <w:t>years  ago.</w:t>
      </w:r>
      <w:r>
        <w:rPr>
          <w:w w:val="104"/>
        </w:rPr>
        <w:t> </w:t>
      </w:r>
      <w:r>
        <w:rPr/>
        <w:t>Now consider the incidence of deaths. Each of t he </w:t>
      </w:r>
      <w:r>
        <w:rPr>
          <w:i/>
        </w:rPr>
        <w:t>hly </w:t>
      </w:r>
      <w:r>
        <w:rPr/>
        <w:t>lives at­</w:t>
      </w:r>
      <w:r>
        <w:rPr>
          <w:w w:val="115"/>
        </w:rPr>
        <w:t> </w:t>
      </w:r>
      <w:r>
        <w:rPr/>
        <w:t>taining  age  </w:t>
      </w:r>
      <w:r>
        <w:rPr>
          <w:rFonts w:ascii="Arial" w:hAnsi="Arial"/>
          <w:i/>
          <w:sz w:val="16"/>
        </w:rPr>
        <w:t>y  </w:t>
      </w:r>
      <w:r>
        <w:rPr/>
        <w:t>in  any  interval  </w:t>
      </w:r>
      <w:r>
        <w:rPr>
          <w:rFonts w:ascii="Arial" w:hAnsi="Arial"/>
          <w:i/>
          <w:sz w:val="18"/>
        </w:rPr>
        <w:t>h  </w:t>
      </w:r>
      <w:r>
        <w:rPr/>
        <w:t>is subject  to  thc  force  of mortality</w:t>
      </w:r>
    </w:p>
    <w:p>
      <w:pPr>
        <w:pStyle w:val="BodyText"/>
        <w:spacing w:line="242" w:lineRule="exact"/>
        <w:ind w:left="123" w:right="141" w:hanging="4"/>
        <w:jc w:val="both"/>
      </w:pPr>
      <w:r>
        <w:rPr>
          <w:rFonts w:ascii="Arial" w:hAnsi="Arial"/>
          <w:i/>
          <w:w w:val="90"/>
          <w:sz w:val="16"/>
        </w:rPr>
        <w:t>/J.1! </w:t>
      </w:r>
      <w:r>
        <w:rPr>
          <w:rFonts w:ascii="Arial" w:hAnsi="Arial"/>
          <w:i/>
          <w:sz w:val="16"/>
        </w:rPr>
        <w:t>, </w:t>
      </w:r>
      <w:r>
        <w:rPr/>
        <w:t>and hence the differential expression </w:t>
      </w:r>
      <w:r>
        <w:rPr>
          <w:i/>
          <w:sz w:val="19"/>
        </w:rPr>
        <w:t>hl</w:t>
      </w:r>
      <w:r>
        <w:rPr>
          <w:i/>
          <w:position w:val="-3"/>
          <w:sz w:val="10"/>
        </w:rPr>
        <w:t>11</w:t>
      </w:r>
      <w:r>
        <w:rPr>
          <w:i/>
          <w:sz w:val="15"/>
        </w:rPr>
        <w:t>µ</w:t>
      </w:r>
      <w:r>
        <w:rPr>
          <w:i/>
          <w:position w:val="-3"/>
          <w:sz w:val="10"/>
        </w:rPr>
        <w:t>11 </w:t>
      </w:r>
      <w:r>
        <w:rPr>
          <w:i/>
          <w:sz w:val="19"/>
        </w:rPr>
        <w:t>dy </w:t>
      </w:r>
      <w:r>
        <w:rPr/>
        <w:t>represcnts the number  of   lives  dying  at  exact  agc  </w:t>
      </w:r>
      <w:r>
        <w:rPr>
          <w:rFonts w:ascii="Arial" w:hAnsi="Arial"/>
          <w:i/>
          <w:sz w:val="18"/>
        </w:rPr>
        <w:t>y   </w:t>
      </w:r>
      <w:r>
        <w:rPr/>
        <w:t>in   that   intcrval.  Then  the</w:t>
      </w:r>
    </w:p>
    <w:p>
      <w:pPr>
        <w:pStyle w:val="BodyText"/>
        <w:spacing w:line="248" w:lineRule="exact"/>
        <w:ind w:left="123"/>
        <w:jc w:val="both"/>
      </w:pPr>
      <w:r>
        <w:rPr>
          <w:w w:val="105"/>
        </w:rPr>
        <w:t>number dying between  ages </w:t>
      </w:r>
      <w:r>
        <w:rPr>
          <w:i/>
          <w:w w:val="105"/>
          <w:sz w:val="19"/>
        </w:rPr>
        <w:t>x  </w:t>
      </w:r>
      <w:r>
        <w:rPr>
          <w:w w:val="105"/>
        </w:rPr>
        <w:t>and </w:t>
      </w:r>
      <w:r>
        <w:rPr>
          <w:i/>
          <w:w w:val="105"/>
          <w:sz w:val="19"/>
        </w:rPr>
        <w:t>x  </w:t>
      </w:r>
      <w:r>
        <w:rPr>
          <w:rFonts w:ascii="Arial"/>
          <w:w w:val="105"/>
          <w:sz w:val="32"/>
        </w:rPr>
        <w:t>+ </w:t>
      </w:r>
      <w:r>
        <w:rPr>
          <w:w w:val="105"/>
        </w:rPr>
        <w:t>1 in any  interval </w:t>
      </w:r>
      <w:r>
        <w:rPr>
          <w:i/>
          <w:w w:val="105"/>
        </w:rPr>
        <w:t>h </w:t>
      </w:r>
      <w:r>
        <w:rPr>
          <w:w w:val="105"/>
        </w:rPr>
        <w:t>will  be</w:t>
      </w:r>
    </w:p>
    <w:p>
      <w:pPr>
        <w:spacing w:line="7" w:lineRule="exact" w:before="0"/>
        <w:ind w:left="1113" w:right="0" w:firstLine="0"/>
        <w:jc w:val="left"/>
        <w:rPr>
          <w:sz w:val="12"/>
        </w:rPr>
      </w:pPr>
      <w:r>
        <w:rPr/>
        <w:pict>
          <v:shape style="position:absolute;margin-left:80.099998pt;margin-top:.332442pt;width:14.5pt;height:25.5pt;mso-position-horizontal-relative:page;mso-position-vertical-relative:paragraph;z-index:-721456" type="#_x0000_t202" filled="false" stroked="false">
            <v:textbox inset="0,0,0,0">
              <w:txbxContent>
                <w:p>
                  <w:pPr>
                    <w:spacing w:line="510" w:lineRule="exact" w:before="0"/>
                    <w:ind w:left="0" w:right="0" w:firstLine="0"/>
                    <w:jc w:val="left"/>
                    <w:rPr>
                      <w:rFonts w:ascii="Arial"/>
                      <w:sz w:val="51"/>
                    </w:rPr>
                  </w:pPr>
                  <w:r>
                    <w:rPr>
                      <w:rFonts w:ascii="Arial"/>
                      <w:w w:val="101"/>
                      <w:sz w:val="51"/>
                    </w:rPr>
                    <w:t>1</w:t>
                  </w:r>
                </w:p>
              </w:txbxContent>
            </v:textbox>
            <w10:wrap type="none"/>
          </v:shape>
        </w:pict>
      </w:r>
      <w:r>
        <w:rPr>
          <w:w w:val="105"/>
          <w:sz w:val="12"/>
        </w:rPr>
        <w:t>:r:+1</w:t>
      </w:r>
    </w:p>
    <w:p>
      <w:pPr>
        <w:spacing w:after="0" w:line="7" w:lineRule="exact"/>
        <w:jc w:val="left"/>
        <w:rPr>
          <w:sz w:val="12"/>
        </w:rPr>
        <w:sectPr>
          <w:pgSz w:w="7200" w:h="11340"/>
          <w:pgMar w:top="480" w:bottom="280" w:left="640" w:right="540"/>
        </w:sectPr>
      </w:pPr>
    </w:p>
    <w:p>
      <w:pPr>
        <w:pStyle w:val="BodyText"/>
        <w:spacing w:before="115"/>
        <w:ind w:left="119"/>
      </w:pPr>
      <w:r>
        <w:rPr>
          <w:w w:val="105"/>
        </w:rPr>
        <w:t>given by</w:t>
      </w:r>
    </w:p>
    <w:p>
      <w:pPr>
        <w:spacing w:before="15"/>
        <w:ind w:left="0" w:right="134" w:firstLine="0"/>
        <w:jc w:val="right"/>
        <w:rPr>
          <w:rFonts w:ascii="Arial"/>
          <w:i/>
          <w:sz w:val="8"/>
        </w:rPr>
      </w:pPr>
      <w:r>
        <w:rPr>
          <w:rFonts w:ascii="Arial"/>
          <w:i/>
          <w:sz w:val="8"/>
        </w:rPr>
        <w:t>:,;</w:t>
      </w:r>
    </w:p>
    <w:p>
      <w:pPr>
        <w:spacing w:before="87"/>
        <w:ind w:left="113" w:right="0" w:firstLine="0"/>
        <w:jc w:val="left"/>
        <w:rPr>
          <w:sz w:val="20"/>
        </w:rPr>
      </w:pPr>
      <w:r>
        <w:rPr/>
        <w:br w:type="column"/>
      </w:r>
      <w:r>
        <w:rPr>
          <w:i/>
          <w:w w:val="94"/>
          <w:sz w:val="20"/>
        </w:rPr>
        <w:t>h</w:t>
      </w:r>
      <w:r>
        <w:rPr>
          <w:i/>
          <w:spacing w:val="7"/>
          <w:w w:val="94"/>
          <w:sz w:val="20"/>
        </w:rPr>
        <w:t>l</w:t>
      </w:r>
      <w:r>
        <w:rPr>
          <w:i/>
          <w:w w:val="58"/>
          <w:position w:val="-3"/>
          <w:sz w:val="12"/>
        </w:rPr>
        <w:t>1</w:t>
      </w:r>
      <w:r>
        <w:rPr>
          <w:i/>
          <w:spacing w:val="-2"/>
          <w:w w:val="58"/>
          <w:position w:val="-3"/>
          <w:sz w:val="12"/>
        </w:rPr>
        <w:t>1</w:t>
      </w:r>
      <w:r>
        <w:rPr>
          <w:i/>
          <w:spacing w:val="3"/>
          <w:w w:val="109"/>
          <w:sz w:val="16"/>
        </w:rPr>
        <w:t>µ</w:t>
      </w:r>
      <w:r>
        <w:rPr>
          <w:i/>
          <w:w w:val="65"/>
          <w:position w:val="-4"/>
          <w:sz w:val="12"/>
        </w:rPr>
        <w:t>11</w:t>
      </w:r>
      <w:r>
        <w:rPr>
          <w:i/>
          <w:position w:val="-4"/>
          <w:sz w:val="12"/>
        </w:rPr>
        <w:t> </w:t>
      </w:r>
      <w:r>
        <w:rPr>
          <w:i/>
          <w:spacing w:val="6"/>
          <w:position w:val="-4"/>
          <w:sz w:val="12"/>
        </w:rPr>
        <w:t> </w:t>
      </w:r>
      <w:r>
        <w:rPr>
          <w:i/>
          <w:spacing w:val="12"/>
          <w:w w:val="85"/>
          <w:sz w:val="20"/>
        </w:rPr>
        <w:t>d</w:t>
      </w:r>
      <w:r>
        <w:rPr>
          <w:i/>
          <w:w w:val="91"/>
          <w:sz w:val="20"/>
        </w:rPr>
        <w:t>y</w:t>
      </w:r>
      <w:r>
        <w:rPr>
          <w:i/>
          <w:sz w:val="20"/>
        </w:rPr>
        <w:t> </w:t>
      </w:r>
      <w:r>
        <w:rPr>
          <w:i/>
          <w:spacing w:val="20"/>
          <w:sz w:val="20"/>
        </w:rPr>
        <w:t> </w:t>
      </w:r>
      <w:r>
        <w:rPr>
          <w:w w:val="101"/>
          <w:sz w:val="23"/>
        </w:rPr>
        <w:t>=</w:t>
      </w:r>
      <w:r>
        <w:rPr>
          <w:sz w:val="23"/>
        </w:rPr>
        <w:t> </w:t>
      </w:r>
      <w:r>
        <w:rPr>
          <w:spacing w:val="-10"/>
          <w:sz w:val="23"/>
        </w:rPr>
        <w:t> </w:t>
      </w:r>
      <w:r>
        <w:rPr>
          <w:i/>
          <w:w w:val="90"/>
          <w:sz w:val="20"/>
        </w:rPr>
        <w:t>h</w:t>
      </w:r>
      <w:r>
        <w:rPr>
          <w:i/>
          <w:spacing w:val="18"/>
          <w:w w:val="90"/>
          <w:sz w:val="20"/>
        </w:rPr>
        <w:t>d</w:t>
      </w:r>
      <w:r>
        <w:rPr>
          <w:i/>
          <w:w w:val="70"/>
          <w:sz w:val="20"/>
        </w:rPr>
        <w:t>z</w:t>
      </w:r>
      <w:r>
        <w:rPr>
          <w:i/>
          <w:spacing w:val="9"/>
          <w:sz w:val="20"/>
        </w:rPr>
        <w:t> </w:t>
      </w:r>
      <w:r>
        <w:rPr>
          <w:i/>
          <w:spacing w:val="7"/>
          <w:w w:val="216"/>
          <w:sz w:val="20"/>
        </w:rPr>
        <w:t>.</w:t>
      </w:r>
      <w:r>
        <w:rPr>
          <w:w w:val="106"/>
          <w:sz w:val="20"/>
        </w:rPr>
        <w:t>There</w:t>
      </w:r>
      <w:r>
        <w:rPr>
          <w:spacing w:val="9"/>
          <w:sz w:val="20"/>
        </w:rPr>
        <w:t> </w:t>
      </w:r>
      <w:r>
        <w:rPr>
          <w:w w:val="104"/>
          <w:sz w:val="20"/>
        </w:rPr>
        <w:t>are</w:t>
      </w:r>
      <w:r>
        <w:rPr>
          <w:spacing w:val="7"/>
          <w:sz w:val="20"/>
        </w:rPr>
        <w:t> </w:t>
      </w:r>
      <w:r>
        <w:rPr>
          <w:w w:val="101"/>
          <w:sz w:val="20"/>
        </w:rPr>
        <w:t>two</w:t>
      </w:r>
      <w:r>
        <w:rPr>
          <w:spacing w:val="11"/>
          <w:sz w:val="20"/>
        </w:rPr>
        <w:t> </w:t>
      </w:r>
      <w:r>
        <w:rPr>
          <w:w w:val="100"/>
          <w:sz w:val="20"/>
        </w:rPr>
        <w:t>conclusions</w:t>
      </w:r>
      <w:r>
        <w:rPr>
          <w:spacing w:val="15"/>
          <w:sz w:val="20"/>
        </w:rPr>
        <w:t> </w:t>
      </w:r>
      <w:r>
        <w:rPr>
          <w:w w:val="97"/>
          <w:sz w:val="20"/>
        </w:rPr>
        <w:t>frorn</w:t>
      </w:r>
      <w:r>
        <w:rPr>
          <w:spacing w:val="19"/>
          <w:sz w:val="20"/>
        </w:rPr>
        <w:t> </w:t>
      </w:r>
      <w:r>
        <w:rPr>
          <w:w w:val="109"/>
          <w:sz w:val="20"/>
        </w:rPr>
        <w:t>this</w:t>
      </w:r>
    </w:p>
    <w:p>
      <w:pPr>
        <w:spacing w:after="0"/>
        <w:jc w:val="left"/>
        <w:rPr>
          <w:sz w:val="20"/>
        </w:rPr>
        <w:sectPr>
          <w:type w:val="continuous"/>
          <w:pgSz w:w="7200" w:h="11340"/>
          <w:pgMar w:top="1100" w:bottom="0" w:left="640" w:right="540"/>
          <w:cols w:num="2" w:equalWidth="0">
            <w:col w:w="1252" w:space="40"/>
            <w:col w:w="4728"/>
          </w:cols>
        </w:sectPr>
      </w:pPr>
    </w:p>
    <w:p>
      <w:pPr>
        <w:pStyle w:val="BodyText"/>
        <w:spacing w:line="163" w:lineRule="auto" w:before="79"/>
        <w:ind w:left="119" w:right="151" w:firstLine="10"/>
        <w:jc w:val="both"/>
      </w:pPr>
      <w:r>
        <w:rPr>
          <w:w w:val="105"/>
        </w:rPr>
        <w:t>result: (1) letting </w:t>
      </w:r>
      <w:r>
        <w:rPr>
          <w:rFonts w:ascii="Arial"/>
          <w:i/>
          <w:w w:val="105"/>
          <w:sz w:val="18"/>
        </w:rPr>
        <w:t>h </w:t>
      </w:r>
      <w:r>
        <w:rPr>
          <w:w w:val="105"/>
        </w:rPr>
        <w:t>equal 1, we find that the number dying between ages </w:t>
      </w:r>
      <w:r>
        <w:rPr>
          <w:i/>
          <w:w w:val="105"/>
          <w:sz w:val="19"/>
        </w:rPr>
        <w:t>x  </w:t>
      </w:r>
      <w:r>
        <w:rPr>
          <w:w w:val="105"/>
        </w:rPr>
        <w:t>and </w:t>
      </w:r>
      <w:r>
        <w:rPr>
          <w:i/>
          <w:w w:val="105"/>
          <w:sz w:val="19"/>
        </w:rPr>
        <w:t>x  </w:t>
      </w:r>
      <w:r>
        <w:rPr>
          <w:w w:val="105"/>
          <w:sz w:val="29"/>
        </w:rPr>
        <w:t>+ </w:t>
      </w:r>
      <w:r>
        <w:rPr>
          <w:w w:val="115"/>
        </w:rPr>
        <w:t>1 </w:t>
      </w:r>
      <w:r>
        <w:rPr>
          <w:w w:val="105"/>
        </w:rPr>
        <w:t>in any y</w:t>
      </w:r>
      <w:r>
        <w:rPr>
          <w:w w:val="105"/>
          <w:position w:val="-6"/>
          <w:sz w:val="23"/>
        </w:rPr>
        <w:t>7</w:t>
      </w:r>
      <w:r>
        <w:rPr>
          <w:w w:val="105"/>
        </w:rPr>
        <w:t>ar of  time is </w:t>
      </w:r>
      <w:r>
        <w:rPr>
          <w:rFonts w:ascii="Arial"/>
          <w:i/>
          <w:w w:val="85"/>
        </w:rPr>
        <w:t>d:r:  </w:t>
      </w:r>
      <w:r>
        <w:rPr>
          <w:rFonts w:ascii="Arial"/>
          <w:w w:val="115"/>
        </w:rPr>
        <w:t>; </w:t>
      </w:r>
      <w:r>
        <w:rPr>
          <w:w w:val="105"/>
        </w:rPr>
        <w:t>(2) since the  number</w:t>
      </w:r>
    </w:p>
    <w:p>
      <w:pPr>
        <w:pStyle w:val="BodyText"/>
        <w:spacing w:line="146" w:lineRule="exact"/>
        <w:ind w:left="130" w:hanging="11"/>
        <w:jc w:val="both"/>
      </w:pPr>
      <w:r>
        <w:rPr>
          <w:w w:val="105"/>
        </w:rPr>
        <w:t>dying between  ages </w:t>
      </w:r>
      <w:r>
        <w:rPr>
          <w:i/>
          <w:w w:val="105"/>
          <w:sz w:val="19"/>
        </w:rPr>
        <w:t>x  </w:t>
      </w:r>
      <w:r>
        <w:rPr>
          <w:w w:val="105"/>
        </w:rPr>
        <w:t>and </w:t>
      </w:r>
      <w:r>
        <w:rPr>
          <w:i/>
          <w:w w:val="105"/>
          <w:sz w:val="19"/>
        </w:rPr>
        <w:t>x  </w:t>
      </w:r>
      <w:r>
        <w:rPr>
          <w:rFonts w:ascii="Arial" w:hAnsi="Arial"/>
          <w:w w:val="105"/>
          <w:sz w:val="32"/>
        </w:rPr>
        <w:t>+ </w:t>
      </w:r>
      <w:r>
        <w:rPr>
          <w:w w:val="105"/>
        </w:rPr>
        <w:t>1 in any fraction of  a year </w:t>
      </w:r>
      <w:r>
        <w:rPr>
          <w:i/>
          <w:w w:val="105"/>
          <w:sz w:val="19"/>
        </w:rPr>
        <w:t>h </w:t>
      </w:r>
      <w:r>
        <w:rPr>
          <w:w w:val="105"/>
        </w:rPr>
        <w:t>is pro­</w:t>
      </w:r>
    </w:p>
    <w:p>
      <w:pPr>
        <w:pStyle w:val="BodyText"/>
        <w:spacing w:line="296" w:lineRule="exact"/>
        <w:ind w:left="119" w:firstLine="10"/>
        <w:jc w:val="both"/>
      </w:pPr>
      <w:r>
        <w:rPr>
          <w:w w:val="105"/>
        </w:rPr>
        <w:t>portional  to </w:t>
      </w:r>
      <w:r>
        <w:rPr>
          <w:rFonts w:ascii="Arial"/>
          <w:i/>
          <w:w w:val="105"/>
          <w:sz w:val="19"/>
        </w:rPr>
        <w:t>h, </w:t>
      </w:r>
      <w:r>
        <w:rPr>
          <w:w w:val="105"/>
        </w:rPr>
        <w:t>it is clear that the deaths between  ages </w:t>
      </w:r>
      <w:r>
        <w:rPr>
          <w:rFonts w:ascii="Arial"/>
          <w:i/>
          <w:w w:val="105"/>
          <w:sz w:val="18"/>
        </w:rPr>
        <w:t>x  </w:t>
      </w:r>
      <w:r>
        <w:rPr>
          <w:w w:val="105"/>
        </w:rPr>
        <w:t>and </w:t>
      </w:r>
      <w:r>
        <w:rPr>
          <w:rFonts w:ascii="Arial"/>
          <w:i/>
          <w:w w:val="105"/>
          <w:sz w:val="18"/>
        </w:rPr>
        <w:t>x  </w:t>
      </w:r>
      <w:r>
        <w:rPr>
          <w:rFonts w:ascii="Arial"/>
          <w:w w:val="105"/>
          <w:sz w:val="32"/>
        </w:rPr>
        <w:t>+</w:t>
      </w:r>
      <w:r>
        <w:rPr>
          <w:rFonts w:ascii="Arial"/>
          <w:spacing w:val="-63"/>
          <w:w w:val="105"/>
          <w:sz w:val="32"/>
        </w:rPr>
        <w:t> </w:t>
      </w:r>
      <w:r>
        <w:rPr>
          <w:w w:val="105"/>
        </w:rPr>
        <w:t>1,</w:t>
      </w:r>
    </w:p>
    <w:p>
      <w:pPr>
        <w:pStyle w:val="BodyText"/>
        <w:spacing w:line="252" w:lineRule="auto"/>
        <w:ind w:left="115" w:right="161" w:firstLine="3"/>
        <w:jc w:val="both"/>
      </w:pPr>
      <w:r>
        <w:rPr>
          <w:w w:val="110"/>
        </w:rPr>
        <w:t>and</w:t>
      </w:r>
      <w:r>
        <w:rPr>
          <w:spacing w:val="-21"/>
          <w:w w:val="110"/>
        </w:rPr>
        <w:t> </w:t>
      </w:r>
      <w:r>
        <w:rPr>
          <w:w w:val="110"/>
        </w:rPr>
        <w:t>hence.</w:t>
      </w:r>
      <w:r>
        <w:rPr>
          <w:spacing w:val="-38"/>
          <w:w w:val="110"/>
        </w:rPr>
        <w:t> </w:t>
      </w:r>
      <w:r>
        <w:rPr>
          <w:w w:val="110"/>
        </w:rPr>
        <w:t>all</w:t>
      </w:r>
      <w:r>
        <w:rPr>
          <w:spacing w:val="-21"/>
          <w:w w:val="110"/>
        </w:rPr>
        <w:t> </w:t>
      </w:r>
      <w:r>
        <w:rPr>
          <w:w w:val="110"/>
        </w:rPr>
        <w:t>deaths,</w:t>
      </w:r>
      <w:r>
        <w:rPr>
          <w:spacing w:val="-18"/>
          <w:w w:val="110"/>
        </w:rPr>
        <w:t> </w:t>
      </w:r>
      <w:r>
        <w:rPr>
          <w:w w:val="110"/>
        </w:rPr>
        <w:t>occurring</w:t>
      </w:r>
      <w:r>
        <w:rPr>
          <w:spacing w:val="-17"/>
          <w:w w:val="110"/>
        </w:rPr>
        <w:t> </w:t>
      </w:r>
      <w:r>
        <w:rPr>
          <w:w w:val="110"/>
        </w:rPr>
        <w:t>in</w:t>
      </w:r>
      <w:r>
        <w:rPr>
          <w:spacing w:val="-23"/>
          <w:w w:val="110"/>
        </w:rPr>
        <w:t> </w:t>
      </w:r>
      <w:r>
        <w:rPr>
          <w:w w:val="110"/>
        </w:rPr>
        <w:t>any</w:t>
      </w:r>
      <w:r>
        <w:rPr>
          <w:spacing w:val="-18"/>
          <w:w w:val="110"/>
        </w:rPr>
        <w:t> </w:t>
      </w:r>
      <w:r>
        <w:rPr>
          <w:w w:val="110"/>
        </w:rPr>
        <w:t>period</w:t>
      </w:r>
      <w:r>
        <w:rPr>
          <w:spacing w:val="-6"/>
          <w:w w:val="110"/>
        </w:rPr>
        <w:t> </w:t>
      </w:r>
      <w:r>
        <w:rPr>
          <w:w w:val="110"/>
        </w:rPr>
        <w:t>of</w:t>
      </w:r>
      <w:r>
        <w:rPr>
          <w:spacing w:val="-9"/>
          <w:w w:val="110"/>
        </w:rPr>
        <w:t> </w:t>
      </w:r>
      <w:r>
        <w:rPr>
          <w:w w:val="110"/>
        </w:rPr>
        <w:t>time</w:t>
      </w:r>
      <w:r>
        <w:rPr>
          <w:spacing w:val="-20"/>
          <w:w w:val="110"/>
        </w:rPr>
        <w:t> </w:t>
      </w:r>
      <w:r>
        <w:rPr>
          <w:w w:val="110"/>
        </w:rPr>
        <w:t>are</w:t>
      </w:r>
      <w:r>
        <w:rPr>
          <w:spacing w:val="-22"/>
          <w:w w:val="110"/>
        </w:rPr>
        <w:t> </w:t>
      </w:r>
      <w:r>
        <w:rPr>
          <w:w w:val="110"/>
        </w:rPr>
        <w:t>uniformly distributed over that</w:t>
      </w:r>
      <w:r>
        <w:rPr>
          <w:spacing w:val="34"/>
          <w:w w:val="110"/>
        </w:rPr>
        <w:t> </w:t>
      </w:r>
      <w:r>
        <w:rPr>
          <w:w w:val="110"/>
        </w:rPr>
        <w:t>period.</w:t>
      </w:r>
    </w:p>
    <w:p>
      <w:pPr>
        <w:pStyle w:val="BodyText"/>
        <w:spacing w:line="225" w:lineRule="exact"/>
        <w:ind w:left="115" w:firstLine="201"/>
      </w:pPr>
      <w:r>
        <w:rPr/>
        <w:pict>
          <v:shape style="position:absolute;margin-left:280.079987pt;margin-top:4.879547pt;width:12.7pt;height:27.5pt;mso-position-horizontal-relative:page;mso-position-vertical-relative:paragraph;z-index:-721432" type="#_x0000_t202" filled="false" stroked="false">
            <v:textbox inset="0,0,0,0">
              <w:txbxContent>
                <w:p>
                  <w:pPr>
                    <w:spacing w:line="550" w:lineRule="exact" w:before="0"/>
                    <w:ind w:left="0" w:right="-10" w:firstLine="0"/>
                    <w:jc w:val="left"/>
                    <w:rPr>
                      <w:rFonts w:ascii="Arial"/>
                      <w:sz w:val="55"/>
                    </w:rPr>
                  </w:pPr>
                  <w:r>
                    <w:rPr>
                      <w:rFonts w:ascii="Arial"/>
                      <w:w w:val="70"/>
                      <w:sz w:val="55"/>
                    </w:rPr>
                    <w:t>f"</w:t>
                  </w:r>
                </w:p>
              </w:txbxContent>
            </v:textbox>
            <w10:wrap type="none"/>
          </v:shape>
        </w:pict>
      </w:r>
      <w:r>
        <w:rPr>
          <w:w w:val="110"/>
          <w:sz w:val="21"/>
        </w:rPr>
        <w:t>It </w:t>
      </w:r>
      <w:r>
        <w:rPr>
          <w:w w:val="110"/>
        </w:rPr>
        <w:t>may now be seen that such a population is indeed stationary.</w:t>
      </w:r>
    </w:p>
    <w:p>
      <w:pPr>
        <w:pStyle w:val="BodyText"/>
        <w:spacing w:before="131"/>
        <w:ind w:left="115"/>
        <w:jc w:val="both"/>
        <w:rPr>
          <w:i/>
          <w:sz w:val="19"/>
        </w:rPr>
      </w:pPr>
      <w:r>
        <w:rPr/>
        <w:t>For, the total of  the deaths at ali ages in any interval </w:t>
      </w:r>
      <w:r>
        <w:rPr>
          <w:i/>
          <w:sz w:val="19"/>
        </w:rPr>
        <w:t>h </w:t>
      </w:r>
      <w:r>
        <w:rPr/>
        <w:t>is        </w:t>
      </w:r>
      <w:r>
        <w:rPr>
          <w:i/>
          <w:sz w:val="19"/>
        </w:rPr>
        <w:t>hl</w:t>
      </w:r>
      <w:r>
        <w:rPr>
          <w:rFonts w:ascii="Arial"/>
          <w:i/>
          <w:position w:val="-2"/>
          <w:sz w:val="10"/>
        </w:rPr>
        <w:t>11</w:t>
      </w:r>
      <w:r>
        <w:rPr>
          <w:i/>
          <w:sz w:val="17"/>
        </w:rPr>
        <w:t>/.lv   </w:t>
      </w:r>
      <w:r>
        <w:rPr>
          <w:i/>
          <w:sz w:val="19"/>
        </w:rPr>
        <w:t>dy</w:t>
      </w:r>
    </w:p>
    <w:p>
      <w:pPr>
        <w:pStyle w:val="BodyText"/>
        <w:spacing w:line="242" w:lineRule="auto" w:before="74"/>
        <w:ind w:left="115" w:right="153" w:firstLine="25"/>
        <w:jc w:val="both"/>
      </w:pPr>
      <w:r>
        <w:rPr>
          <w:w w:val="110"/>
          <w:sz w:val="24"/>
        </w:rPr>
        <w:t>= </w:t>
      </w:r>
      <w:r>
        <w:rPr>
          <w:spacing w:val="-7"/>
          <w:w w:val="110"/>
        </w:rPr>
        <w:t>h1</w:t>
      </w:r>
      <w:r>
        <w:rPr>
          <w:rFonts w:ascii="Arial"/>
          <w:spacing w:val="-7"/>
          <w:w w:val="110"/>
          <w:position w:val="-2"/>
          <w:sz w:val="11"/>
        </w:rPr>
        <w:t>0 </w:t>
      </w:r>
      <w:r>
        <w:rPr>
          <w:rFonts w:ascii="Arial"/>
          <w:w w:val="245"/>
          <w:sz w:val="11"/>
        </w:rPr>
        <w:t>, </w:t>
      </w:r>
      <w:r>
        <w:rPr>
          <w:w w:val="110"/>
        </w:rPr>
        <w:t>which is the same as the number of births occurring in  the interval. Since the interval </w:t>
      </w:r>
      <w:r>
        <w:rPr>
          <w:rFonts w:ascii="Arial"/>
          <w:i/>
          <w:w w:val="110"/>
        </w:rPr>
        <w:t>h </w:t>
      </w:r>
      <w:r>
        <w:rPr>
          <w:w w:val="110"/>
        </w:rPr>
        <w:t>is an arbitrarily small period of time, we may conclude that cach life which ]caves the</w:t>
      </w:r>
      <w:r>
        <w:rPr>
          <w:spacing w:val="-25"/>
          <w:w w:val="110"/>
        </w:rPr>
        <w:t> </w:t>
      </w:r>
      <w:r>
        <w:rPr>
          <w:w w:val="110"/>
        </w:rPr>
        <w:t>population by death is simultaneously replaced by a new</w:t>
      </w:r>
      <w:r>
        <w:rPr>
          <w:spacing w:val="29"/>
          <w:w w:val="110"/>
        </w:rPr>
        <w:t> </w:t>
      </w:r>
      <w:r>
        <w:rPr>
          <w:w w:val="110"/>
        </w:rPr>
        <w:t>birth.</w:t>
      </w:r>
    </w:p>
    <w:p>
      <w:pPr>
        <w:pStyle w:val="BodyText"/>
        <w:spacing w:before="5"/>
        <w:ind w:left="172"/>
        <w:jc w:val="center"/>
      </w:pPr>
      <w:r>
        <w:rPr>
          <w:w w:val="110"/>
        </w:rPr>
        <w:t>Furthermore,  the distribution  of  the total population  by  ages</w:t>
      </w:r>
    </w:p>
    <w:p>
      <w:pPr>
        <w:spacing w:after="0"/>
        <w:jc w:val="center"/>
        <w:sectPr>
          <w:type w:val="continuous"/>
          <w:pgSz w:w="7200" w:h="11340"/>
          <w:pgMar w:top="1100" w:bottom="0" w:left="640" w:right="540"/>
        </w:sectPr>
      </w:pPr>
    </w:p>
    <w:p>
      <w:pPr>
        <w:tabs>
          <w:tab w:pos="2135" w:val="left" w:leader="none"/>
          <w:tab w:pos="5379" w:val="left" w:leader="none"/>
        </w:tabs>
        <w:spacing w:before="47"/>
        <w:ind w:left="162" w:right="0" w:firstLine="18"/>
        <w:jc w:val="both"/>
        <w:rPr>
          <w:rFonts w:ascii="Arial"/>
          <w:b/>
          <w:sz w:val="20"/>
        </w:rPr>
      </w:pPr>
      <w:r>
        <w:rPr>
          <w:position w:val="1"/>
          <w:sz w:val="19"/>
        </w:rPr>
        <w:t>178</w:t>
        <w:tab/>
      </w:r>
      <w:r>
        <w:rPr>
          <w:b/>
          <w:position w:val="1"/>
          <w:sz w:val="15"/>
        </w:rPr>
        <w:t>POPULATION </w:t>
      </w:r>
      <w:r>
        <w:rPr>
          <w:b/>
          <w:spacing w:val="35"/>
          <w:position w:val="1"/>
          <w:sz w:val="15"/>
        </w:rPr>
        <w:t> </w:t>
      </w:r>
      <w:r>
        <w:rPr>
          <w:b/>
          <w:position w:val="1"/>
          <w:sz w:val="15"/>
        </w:rPr>
        <w:t>THEORY</w:t>
        <w:tab/>
      </w:r>
      <w:r>
        <w:rPr>
          <w:rFonts w:ascii="Arial"/>
          <w:b/>
          <w:w w:val="95"/>
          <w:sz w:val="19"/>
        </w:rPr>
        <w:t>[CH.</w:t>
      </w:r>
      <w:r>
        <w:rPr>
          <w:rFonts w:ascii="Arial"/>
          <w:b/>
          <w:spacing w:val="3"/>
          <w:w w:val="95"/>
          <w:sz w:val="19"/>
        </w:rPr>
        <w:t> </w:t>
      </w:r>
      <w:r>
        <w:rPr>
          <w:rFonts w:ascii="Arial"/>
          <w:b/>
          <w:w w:val="95"/>
          <w:sz w:val="20"/>
        </w:rPr>
        <w:t>8</w:t>
      </w:r>
    </w:p>
    <w:p>
      <w:pPr>
        <w:pStyle w:val="BodyText"/>
        <w:spacing w:before="6"/>
        <w:rPr>
          <w:rFonts w:ascii="Arial"/>
          <w:b/>
          <w:sz w:val="19"/>
        </w:rPr>
      </w:pPr>
    </w:p>
    <w:p>
      <w:pPr>
        <w:pStyle w:val="BodyText"/>
        <w:spacing w:line="247" w:lineRule="auto"/>
        <w:ind w:left="152" w:right="140" w:firstLine="10"/>
        <w:jc w:val="both"/>
        <w:rPr>
          <w:rFonts w:ascii="Arial"/>
          <w:i/>
          <w:sz w:val="19"/>
        </w:rPr>
      </w:pPr>
      <w:r>
        <w:rPr>
          <w:w w:val="110"/>
        </w:rPr>
        <w:t>is</w:t>
      </w:r>
      <w:r>
        <w:rPr>
          <w:spacing w:val="-18"/>
          <w:w w:val="110"/>
        </w:rPr>
        <w:t> </w:t>
      </w:r>
      <w:r>
        <w:rPr>
          <w:w w:val="110"/>
        </w:rPr>
        <w:t>stationary.</w:t>
      </w:r>
      <w:r>
        <w:rPr>
          <w:spacing w:val="-6"/>
          <w:w w:val="110"/>
        </w:rPr>
        <w:t> </w:t>
      </w:r>
      <w:r>
        <w:rPr>
          <w:w w:val="110"/>
        </w:rPr>
        <w:t>For,</w:t>
      </w:r>
      <w:r>
        <w:rPr>
          <w:spacing w:val="-7"/>
          <w:w w:val="110"/>
        </w:rPr>
        <w:t> </w:t>
      </w:r>
      <w:r>
        <w:rPr>
          <w:w w:val="110"/>
        </w:rPr>
        <w:t>consider</w:t>
      </w:r>
      <w:r>
        <w:rPr>
          <w:spacing w:val="-10"/>
          <w:w w:val="110"/>
        </w:rPr>
        <w:t> </w:t>
      </w:r>
      <w:r>
        <w:rPr>
          <w:w w:val="110"/>
        </w:rPr>
        <w:t>the</w:t>
      </w:r>
      <w:r>
        <w:rPr>
          <w:spacing w:val="-16"/>
          <w:w w:val="110"/>
        </w:rPr>
        <w:t> </w:t>
      </w:r>
      <w:r>
        <w:rPr>
          <w:w w:val="110"/>
        </w:rPr>
        <w:t>lives</w:t>
      </w:r>
      <w:r>
        <w:rPr>
          <w:spacing w:val="-19"/>
          <w:w w:val="110"/>
        </w:rPr>
        <w:t> </w:t>
      </w:r>
      <w:r>
        <w:rPr>
          <w:w w:val="110"/>
        </w:rPr>
        <w:t>which</w:t>
      </w:r>
      <w:r>
        <w:rPr>
          <w:spacing w:val="-3"/>
          <w:w w:val="110"/>
        </w:rPr>
        <w:t> </w:t>
      </w:r>
      <w:r>
        <w:rPr>
          <w:w w:val="110"/>
        </w:rPr>
        <w:t>are</w:t>
      </w:r>
      <w:r>
        <w:rPr>
          <w:spacing w:val="-17"/>
          <w:w w:val="110"/>
        </w:rPr>
        <w:t> </w:t>
      </w:r>
      <w:r>
        <w:rPr>
          <w:w w:val="110"/>
        </w:rPr>
        <w:t>aged</w:t>
      </w:r>
      <w:r>
        <w:rPr>
          <w:spacing w:val="-8"/>
          <w:w w:val="110"/>
        </w:rPr>
        <w:t> </w:t>
      </w:r>
      <w:r>
        <w:rPr>
          <w:rFonts w:ascii="Arial"/>
          <w:i/>
          <w:w w:val="110"/>
          <w:sz w:val="18"/>
        </w:rPr>
        <w:t>x</w:t>
      </w:r>
      <w:r>
        <w:rPr>
          <w:rFonts w:ascii="Arial"/>
          <w:i/>
          <w:spacing w:val="-2"/>
          <w:w w:val="110"/>
          <w:sz w:val="18"/>
        </w:rPr>
        <w:t> </w:t>
      </w:r>
      <w:r>
        <w:rPr>
          <w:w w:val="110"/>
        </w:rPr>
        <w:t>last</w:t>
      </w:r>
      <w:r>
        <w:rPr>
          <w:spacing w:val="-12"/>
          <w:w w:val="110"/>
        </w:rPr>
        <w:t> </w:t>
      </w:r>
      <w:r>
        <w:rPr>
          <w:w w:val="110"/>
        </w:rPr>
        <w:t>birthday at</w:t>
      </w:r>
      <w:r>
        <w:rPr>
          <w:spacing w:val="-5"/>
          <w:w w:val="110"/>
        </w:rPr>
        <w:t> </w:t>
      </w:r>
      <w:r>
        <w:rPr>
          <w:w w:val="110"/>
        </w:rPr>
        <w:t>any</w:t>
      </w:r>
      <w:r>
        <w:rPr>
          <w:spacing w:val="-1"/>
          <w:w w:val="110"/>
        </w:rPr>
        <w:t> </w:t>
      </w:r>
      <w:r>
        <w:rPr>
          <w:w w:val="110"/>
        </w:rPr>
        <w:t>time.</w:t>
      </w:r>
      <w:r>
        <w:rPr>
          <w:spacing w:val="-5"/>
          <w:w w:val="110"/>
        </w:rPr>
        <w:t> </w:t>
      </w:r>
      <w:r>
        <w:rPr>
          <w:w w:val="110"/>
        </w:rPr>
        <w:t>These</w:t>
      </w:r>
      <w:r>
        <w:rPr>
          <w:spacing w:val="-5"/>
          <w:w w:val="110"/>
        </w:rPr>
        <w:t> </w:t>
      </w:r>
      <w:r>
        <w:rPr>
          <w:w w:val="110"/>
        </w:rPr>
        <w:t>are</w:t>
      </w:r>
      <w:r>
        <w:rPr>
          <w:spacing w:val="-12"/>
          <w:w w:val="110"/>
        </w:rPr>
        <w:t> </w:t>
      </w:r>
      <w:r>
        <w:rPr>
          <w:w w:val="110"/>
        </w:rPr>
        <w:t>the</w:t>
      </w:r>
      <w:r>
        <w:rPr>
          <w:spacing w:val="-8"/>
          <w:w w:val="110"/>
        </w:rPr>
        <w:t> </w:t>
      </w:r>
      <w:r>
        <w:rPr>
          <w:w w:val="110"/>
        </w:rPr>
        <w:t>lives</w:t>
      </w:r>
      <w:r>
        <w:rPr>
          <w:spacing w:val="-16"/>
          <w:w w:val="110"/>
        </w:rPr>
        <w:t> </w:t>
      </w:r>
      <w:r>
        <w:rPr>
          <w:w w:val="110"/>
        </w:rPr>
        <w:t>which</w:t>
      </w:r>
      <w:r>
        <w:rPr>
          <w:spacing w:val="-1"/>
          <w:w w:val="110"/>
        </w:rPr>
        <w:t> </w:t>
      </w:r>
      <w:r>
        <w:rPr>
          <w:w w:val="110"/>
        </w:rPr>
        <w:t>have</w:t>
      </w:r>
      <w:r>
        <w:rPr>
          <w:spacing w:val="-1"/>
          <w:w w:val="110"/>
        </w:rPr>
        <w:t> </w:t>
      </w:r>
      <w:r>
        <w:rPr>
          <w:w w:val="110"/>
        </w:rPr>
        <w:t>attained</w:t>
      </w:r>
      <w:r>
        <w:rPr>
          <w:spacing w:val="2"/>
          <w:w w:val="110"/>
        </w:rPr>
        <w:t> </w:t>
      </w:r>
      <w:r>
        <w:rPr>
          <w:w w:val="110"/>
        </w:rPr>
        <w:t>integral</w:t>
      </w:r>
      <w:r>
        <w:rPr>
          <w:spacing w:val="-5"/>
          <w:w w:val="110"/>
        </w:rPr>
        <w:t> </w:t>
      </w:r>
      <w:r>
        <w:rPr>
          <w:w w:val="110"/>
        </w:rPr>
        <w:t>age</w:t>
      </w:r>
      <w:r>
        <w:rPr>
          <w:spacing w:val="-20"/>
          <w:w w:val="110"/>
        </w:rPr>
        <w:t> </w:t>
      </w:r>
      <w:r>
        <w:rPr>
          <w:rFonts w:ascii="Arial"/>
          <w:i/>
          <w:w w:val="110"/>
          <w:sz w:val="19"/>
        </w:rPr>
        <w:t>x</w:t>
      </w:r>
    </w:p>
    <w:p>
      <w:pPr>
        <w:pStyle w:val="BodyText"/>
        <w:spacing w:line="153" w:lineRule="auto" w:before="5"/>
        <w:ind w:left="144" w:right="136" w:firstLine="10"/>
        <w:jc w:val="both"/>
      </w:pPr>
      <w:r>
        <w:rPr>
          <w:w w:val="105"/>
        </w:rPr>
        <w:t>but not age </w:t>
      </w:r>
      <w:r>
        <w:rPr>
          <w:rFonts w:ascii="Arial"/>
          <w:i/>
          <w:w w:val="105"/>
          <w:sz w:val="17"/>
        </w:rPr>
        <w:t>x </w:t>
      </w:r>
      <w:r>
        <w:rPr>
          <w:rFonts w:ascii="Arial"/>
          <w:w w:val="105"/>
          <w:sz w:val="31"/>
        </w:rPr>
        <w:t>+ </w:t>
      </w:r>
      <w:r>
        <w:rPr>
          <w:w w:val="105"/>
        </w:rPr>
        <w:t>1. </w:t>
      </w:r>
      <w:r>
        <w:rPr>
          <w:w w:val="105"/>
          <w:sz w:val="22"/>
        </w:rPr>
        <w:t>In </w:t>
      </w:r>
      <w:r>
        <w:rPr>
          <w:w w:val="105"/>
        </w:rPr>
        <w:t>any interval </w:t>
      </w:r>
      <w:r>
        <w:rPr>
          <w:rFonts w:ascii="Arial"/>
          <w:i/>
          <w:w w:val="105"/>
          <w:sz w:val="19"/>
        </w:rPr>
        <w:t>h, </w:t>
      </w:r>
      <w:r>
        <w:rPr>
          <w:w w:val="105"/>
        </w:rPr>
        <w:t>the number of lives which leave this group by  attaining age </w:t>
      </w:r>
      <w:r>
        <w:rPr>
          <w:rFonts w:ascii="Arial"/>
          <w:i/>
          <w:w w:val="105"/>
          <w:sz w:val="19"/>
        </w:rPr>
        <w:t>x  </w:t>
      </w:r>
      <w:r>
        <w:rPr>
          <w:rFonts w:ascii="Arial"/>
          <w:w w:val="105"/>
          <w:sz w:val="32"/>
        </w:rPr>
        <w:t>+ </w:t>
      </w:r>
      <w:r>
        <w:rPr>
          <w:w w:val="105"/>
        </w:rPr>
        <w:t>1 is </w:t>
      </w:r>
      <w:r>
        <w:rPr>
          <w:i/>
          <w:w w:val="105"/>
        </w:rPr>
        <w:t>hlz+i </w:t>
      </w:r>
      <w:r>
        <w:rPr>
          <w:w w:val="105"/>
        </w:rPr>
        <w:t>, and  the  number</w:t>
      </w:r>
    </w:p>
    <w:p>
      <w:pPr>
        <w:spacing w:line="136" w:lineRule="auto" w:before="87"/>
        <w:ind w:left="141" w:right="136" w:firstLine="3"/>
        <w:jc w:val="both"/>
        <w:rPr>
          <w:sz w:val="20"/>
        </w:rPr>
      </w:pPr>
      <w:r>
        <w:rPr>
          <w:sz w:val="20"/>
        </w:rPr>
        <w:t>which leave the  group  by  death  </w:t>
      </w:r>
      <w:r>
        <w:rPr>
          <w:sz w:val="19"/>
        </w:rPr>
        <w:t>is </w:t>
      </w:r>
      <w:r>
        <w:rPr>
          <w:i/>
          <w:w w:val="90"/>
          <w:sz w:val="20"/>
        </w:rPr>
        <w:t>hd:c  </w:t>
      </w:r>
      <w:r>
        <w:rPr>
          <w:sz w:val="20"/>
        </w:rPr>
        <w:t>, making  a total  decrement  of  </w:t>
      </w:r>
      <w:r>
        <w:rPr>
          <w:rFonts w:ascii="Arial" w:hAnsi="Arial"/>
          <w:i/>
          <w:w w:val="90"/>
          <w:sz w:val="20"/>
        </w:rPr>
        <w:t>hl:r:+1  </w:t>
      </w:r>
      <w:r>
        <w:rPr>
          <w:rFonts w:ascii="Arial" w:hAnsi="Arial"/>
          <w:sz w:val="32"/>
        </w:rPr>
        <w:t>+ </w:t>
      </w:r>
      <w:r>
        <w:rPr>
          <w:rFonts w:ascii="Arial" w:hAnsi="Arial"/>
          <w:i/>
          <w:w w:val="90"/>
          <w:sz w:val="20"/>
        </w:rPr>
        <w:t>hd:r:  </w:t>
      </w:r>
      <w:r>
        <w:rPr>
          <w:sz w:val="26"/>
        </w:rPr>
        <w:t>= </w:t>
      </w:r>
      <w:r>
        <w:rPr>
          <w:rFonts w:ascii="Arial" w:hAnsi="Arial"/>
          <w:i/>
          <w:w w:val="90"/>
          <w:sz w:val="20"/>
        </w:rPr>
        <w:t>hl:z: </w:t>
      </w:r>
      <w:r>
        <w:rPr>
          <w:rFonts w:ascii="Arial" w:hAnsi="Arial"/>
          <w:w w:val="90"/>
          <w:sz w:val="20"/>
        </w:rPr>
        <w:t>• </w:t>
      </w:r>
      <w:r>
        <w:rPr>
          <w:sz w:val="20"/>
        </w:rPr>
        <w:t>Thus, the total decrement  </w:t>
      </w:r>
      <w:r>
        <w:rPr>
          <w:sz w:val="19"/>
        </w:rPr>
        <w:t>is </w:t>
      </w:r>
      <w:r>
        <w:rPr>
          <w:sz w:val="20"/>
        </w:rPr>
        <w:t>exactly </w:t>
      </w:r>
      <w:r>
        <w:rPr>
          <w:spacing w:val="5"/>
          <w:sz w:val="20"/>
        </w:rPr>
        <w:t> </w:t>
      </w:r>
      <w:r>
        <w:rPr>
          <w:sz w:val="20"/>
        </w:rPr>
        <w:t>equal</w:t>
      </w:r>
    </w:p>
    <w:p>
      <w:pPr>
        <w:pStyle w:val="BodyText"/>
        <w:spacing w:before="5"/>
        <w:ind w:left="137" w:firstLine="3"/>
        <w:jc w:val="both"/>
      </w:pPr>
      <w:r>
        <w:rPr>
          <w:w w:val="110"/>
        </w:rPr>
        <w:t>to the number entering the group during the interval by  attaining</w:t>
      </w:r>
    </w:p>
    <w:p>
      <w:pPr>
        <w:pStyle w:val="BodyText"/>
        <w:spacing w:line="134" w:lineRule="auto" w:before="93"/>
        <w:ind w:left="137" w:right="144"/>
        <w:jc w:val="both"/>
      </w:pPr>
      <w:r>
        <w:rPr>
          <w:w w:val="105"/>
        </w:rPr>
        <w:t>age </w:t>
      </w:r>
      <w:r>
        <w:rPr>
          <w:i/>
          <w:w w:val="105"/>
        </w:rPr>
        <w:t>x. </w:t>
      </w:r>
      <w:r>
        <w:rPr>
          <w:w w:val="105"/>
        </w:rPr>
        <w:t>In other words, when </w:t>
      </w:r>
      <w:r>
        <w:rPr>
          <w:rFonts w:ascii="Arial"/>
          <w:w w:val="105"/>
          <w:sz w:val="18"/>
        </w:rPr>
        <w:t>a </w:t>
      </w:r>
      <w:r>
        <w:rPr>
          <w:w w:val="105"/>
        </w:rPr>
        <w:t>life leaves this age group, either by death  or by  attaining  age </w:t>
      </w:r>
      <w:r>
        <w:rPr>
          <w:rFonts w:ascii="Arial"/>
          <w:i/>
          <w:w w:val="105"/>
          <w:sz w:val="17"/>
        </w:rPr>
        <w:t>x  </w:t>
      </w:r>
      <w:r>
        <w:rPr>
          <w:rFonts w:ascii="Arial"/>
          <w:w w:val="105"/>
          <w:sz w:val="32"/>
        </w:rPr>
        <w:t>+ </w:t>
      </w:r>
      <w:r>
        <w:rPr>
          <w:w w:val="105"/>
          <w:sz w:val="19"/>
        </w:rPr>
        <w:t>1, </w:t>
      </w:r>
      <w:r>
        <w:rPr>
          <w:w w:val="105"/>
        </w:rPr>
        <w:t>its place  is simultaneously taken</w:t>
      </w:r>
    </w:p>
    <w:p>
      <w:pPr>
        <w:pStyle w:val="BodyText"/>
        <w:spacing w:line="249" w:lineRule="auto" w:before="13"/>
        <w:ind w:left="134" w:right="131" w:firstLine="14"/>
        <w:jc w:val="both"/>
      </w:pPr>
      <w:r>
        <w:rPr>
          <w:w w:val="105"/>
        </w:rPr>
        <w:t>by a life entering from the next lower age group. Under these circumstances, the number living at a given age last birthday is always constant.</w:t>
      </w:r>
    </w:p>
    <w:p>
      <w:pPr>
        <w:pStyle w:val="BodyText"/>
        <w:spacing w:line="276" w:lineRule="exact" w:before="106"/>
        <w:ind w:left="183"/>
        <w:jc w:val="center"/>
      </w:pPr>
      <w:r>
        <w:rPr/>
        <w:pict>
          <v:shape style="position:absolute;margin-left:66.205666pt;margin-top:3.097078pt;width:6.2pt;height:15.5pt;mso-position-horizontal-relative:page;mso-position-vertical-relative:paragraph;z-index:-721408" type="#_x0000_t202" filled="false" stroked="false">
            <v:textbox inset="0,0,0,0">
              <w:txbxContent>
                <w:p>
                  <w:pPr>
                    <w:spacing w:line="310" w:lineRule="exact" w:before="0"/>
                    <w:ind w:left="0" w:right="0" w:firstLine="0"/>
                    <w:jc w:val="left"/>
                    <w:rPr>
                      <w:sz w:val="31"/>
                    </w:rPr>
                  </w:pPr>
                  <w:r>
                    <w:rPr>
                      <w:spacing w:val="-427"/>
                      <w:w w:val="293"/>
                      <w:sz w:val="31"/>
                    </w:rPr>
                    <w:t>!</w:t>
                  </w:r>
                </w:p>
              </w:txbxContent>
            </v:textbox>
            <w10:wrap type="none"/>
          </v:shape>
        </w:pict>
      </w:r>
      <w:r>
        <w:rPr>
          <w:w w:val="110"/>
          <w:sz w:val="22"/>
        </w:rPr>
        <w:t>N</w:t>
      </w:r>
      <w:r>
        <w:rPr>
          <w:w w:val="110"/>
        </w:rPr>
        <w:t>ow </w:t>
      </w:r>
      <w:r>
        <w:rPr>
          <w:b/>
          <w:i/>
          <w:w w:val="110"/>
          <w:position w:val="-11"/>
        </w:rPr>
        <w:t>r </w:t>
      </w:r>
      <w:r>
        <w:rPr>
          <w:i/>
          <w:w w:val="95"/>
        </w:rPr>
        <w:t>l:i: </w:t>
      </w:r>
      <w:r>
        <w:rPr>
          <w:rFonts w:ascii="Arial"/>
          <w:w w:val="170"/>
          <w:sz w:val="18"/>
        </w:rPr>
        <w:t>+ </w:t>
      </w:r>
      <w:r>
        <w:rPr>
          <w:w w:val="110"/>
        </w:rPr>
        <w:t>represents the number of lives attaining exact age</w:t>
      </w:r>
    </w:p>
    <w:p>
      <w:pPr>
        <w:spacing w:line="76" w:lineRule="exact" w:before="0"/>
        <w:ind w:left="1224" w:right="0" w:firstLine="0"/>
        <w:jc w:val="left"/>
        <w:rPr>
          <w:b/>
          <w:i/>
          <w:sz w:val="13"/>
        </w:rPr>
      </w:pPr>
      <w:r>
        <w:rPr>
          <w:b/>
          <w:i/>
          <w:w w:val="105"/>
          <w:sz w:val="13"/>
        </w:rPr>
        <w:t>r</w:t>
      </w:r>
    </w:p>
    <w:p>
      <w:pPr>
        <w:spacing w:line="298" w:lineRule="exact" w:before="41"/>
        <w:ind w:left="123" w:right="0" w:firstLine="0"/>
        <w:jc w:val="both"/>
        <w:rPr>
          <w:sz w:val="20"/>
        </w:rPr>
      </w:pPr>
      <w:r>
        <w:rPr>
          <w:i/>
          <w:w w:val="96"/>
          <w:sz w:val="20"/>
        </w:rPr>
        <w:t>x</w:t>
      </w:r>
      <w:r>
        <w:rPr>
          <w:i/>
          <w:sz w:val="20"/>
        </w:rPr>
        <w:t> </w:t>
      </w:r>
      <w:r>
        <w:rPr>
          <w:i/>
          <w:spacing w:val="15"/>
          <w:sz w:val="20"/>
        </w:rPr>
        <w:t> </w:t>
      </w:r>
      <w:r>
        <w:rPr>
          <w:rFonts w:ascii="Arial"/>
          <w:w w:val="103"/>
          <w:sz w:val="31"/>
        </w:rPr>
        <w:t>+</w:t>
      </w:r>
      <w:r>
        <w:rPr>
          <w:rFonts w:ascii="Arial"/>
          <w:spacing w:val="-12"/>
          <w:sz w:val="31"/>
        </w:rPr>
        <w:t> </w:t>
      </w:r>
      <w:r>
        <w:rPr>
          <w:i/>
          <w:w w:val="111"/>
          <w:sz w:val="20"/>
        </w:rPr>
        <w:t>m</w:t>
      </w:r>
      <w:r>
        <w:rPr>
          <w:i/>
          <w:sz w:val="20"/>
        </w:rPr>
        <w:t> </w:t>
      </w:r>
      <w:r>
        <w:rPr>
          <w:i/>
          <w:spacing w:val="-14"/>
          <w:sz w:val="20"/>
        </w:rPr>
        <w:t> </w:t>
      </w:r>
      <w:r>
        <w:rPr>
          <w:w w:val="101"/>
          <w:sz w:val="20"/>
        </w:rPr>
        <w:t>in</w:t>
      </w:r>
      <w:r>
        <w:rPr>
          <w:sz w:val="20"/>
        </w:rPr>
        <w:t> </w:t>
      </w:r>
      <w:r>
        <w:rPr>
          <w:spacing w:val="-11"/>
          <w:sz w:val="20"/>
        </w:rPr>
        <w:t> </w:t>
      </w:r>
      <w:r>
        <w:rPr>
          <w:w w:val="107"/>
          <w:sz w:val="20"/>
        </w:rPr>
        <w:t>any</w:t>
      </w:r>
      <w:r>
        <w:rPr>
          <w:sz w:val="20"/>
        </w:rPr>
        <w:t> </w:t>
      </w:r>
      <w:r>
        <w:rPr>
          <w:spacing w:val="-13"/>
          <w:sz w:val="20"/>
        </w:rPr>
        <w:t> </w:t>
      </w:r>
      <w:r>
        <w:rPr>
          <w:i/>
          <w:w w:val="80"/>
          <w:sz w:val="22"/>
        </w:rPr>
        <w:t>int.erval</w:t>
      </w:r>
      <w:r>
        <w:rPr>
          <w:i/>
          <w:sz w:val="22"/>
        </w:rPr>
        <w:t> </w:t>
      </w:r>
      <w:r>
        <w:rPr>
          <w:i/>
          <w:spacing w:val="-10"/>
          <w:sz w:val="22"/>
        </w:rPr>
        <w:t> </w:t>
      </w:r>
      <w:r>
        <w:rPr>
          <w:w w:val="89"/>
          <w:sz w:val="20"/>
        </w:rPr>
        <w:t>of</w:t>
      </w:r>
      <w:r>
        <w:rPr>
          <w:sz w:val="20"/>
        </w:rPr>
        <w:t> </w:t>
      </w:r>
      <w:r>
        <w:rPr>
          <w:spacing w:val="5"/>
          <w:sz w:val="20"/>
        </w:rPr>
        <w:t> </w:t>
      </w:r>
      <w:r>
        <w:rPr>
          <w:w w:val="105"/>
          <w:sz w:val="20"/>
        </w:rPr>
        <w:t>time</w:t>
      </w:r>
      <w:r>
        <w:rPr>
          <w:sz w:val="20"/>
        </w:rPr>
        <w:t> </w:t>
      </w:r>
      <w:r>
        <w:rPr>
          <w:spacing w:val="9"/>
          <w:sz w:val="20"/>
        </w:rPr>
        <w:t> </w:t>
      </w:r>
      <w:r>
        <w:rPr>
          <w:spacing w:val="-95"/>
          <w:w w:val="261"/>
          <w:sz w:val="31"/>
        </w:rPr>
        <w:t>!</w:t>
      </w:r>
      <w:r>
        <w:rPr>
          <w:w w:val="105"/>
          <w:sz w:val="20"/>
        </w:rPr>
        <w:t>and</w:t>
      </w:r>
      <w:r>
        <w:rPr>
          <w:sz w:val="20"/>
        </w:rPr>
        <w:t>  </w:t>
      </w:r>
      <w:r>
        <w:rPr>
          <w:w w:val="103"/>
          <w:sz w:val="20"/>
        </w:rPr>
        <w:t>therefore</w:t>
      </w:r>
      <w:r>
        <w:rPr>
          <w:sz w:val="20"/>
        </w:rPr>
        <w:t> </w:t>
      </w:r>
      <w:r>
        <w:rPr>
          <w:spacing w:val="3"/>
          <w:sz w:val="20"/>
        </w:rPr>
        <w:t> </w:t>
      </w:r>
      <w:r>
        <w:rPr>
          <w:w w:val="105"/>
          <w:sz w:val="20"/>
        </w:rPr>
        <w:t>approximates</w:t>
      </w:r>
      <w:r>
        <w:rPr>
          <w:sz w:val="20"/>
        </w:rPr>
        <w:t> </w:t>
      </w:r>
      <w:r>
        <w:rPr>
          <w:spacing w:val="1"/>
          <w:sz w:val="20"/>
        </w:rPr>
        <w:t> </w:t>
      </w:r>
      <w:r>
        <w:rPr>
          <w:w w:val="110"/>
          <w:sz w:val="20"/>
        </w:rPr>
        <w:t>the</w:t>
      </w:r>
    </w:p>
    <w:p>
      <w:pPr>
        <w:tabs>
          <w:tab w:pos="2927" w:val="left" w:leader="none"/>
        </w:tabs>
        <w:spacing w:line="170" w:lineRule="exact" w:before="0"/>
        <w:ind w:left="594" w:right="0" w:firstLine="0"/>
        <w:jc w:val="left"/>
        <w:rPr>
          <w:i/>
          <w:sz w:val="20"/>
        </w:rPr>
      </w:pPr>
      <w:r>
        <w:rPr>
          <w:i/>
          <w:sz w:val="20"/>
        </w:rPr>
        <w:t>r</w:t>
        <w:tab/>
        <w:t>r</w:t>
      </w:r>
    </w:p>
    <w:p>
      <w:pPr>
        <w:spacing w:after="0" w:line="170" w:lineRule="exact"/>
        <w:jc w:val="left"/>
        <w:rPr>
          <w:sz w:val="20"/>
        </w:rPr>
        <w:sectPr>
          <w:pgSz w:w="7200" w:h="11340"/>
          <w:pgMar w:top="500" w:bottom="280" w:left="640" w:right="540"/>
        </w:sectPr>
      </w:pPr>
    </w:p>
    <w:p>
      <w:pPr>
        <w:pStyle w:val="BodyText"/>
        <w:spacing w:before="123"/>
        <w:ind w:left="130"/>
      </w:pPr>
      <w:r>
        <w:rPr/>
        <w:t>numbcr of</w:t>
      </w:r>
    </w:p>
    <w:p>
      <w:pPr>
        <w:spacing w:line="182" w:lineRule="exact" w:before="0"/>
        <w:ind w:left="108" w:right="-5" w:firstLine="0"/>
        <w:jc w:val="left"/>
        <w:rPr>
          <w:sz w:val="22"/>
        </w:rPr>
      </w:pPr>
      <w:r>
        <w:rPr/>
        <w:br w:type="column"/>
      </w:r>
      <w:r>
        <w:rPr>
          <w:w w:val="105"/>
          <w:sz w:val="22"/>
        </w:rPr>
        <w:t>.</w:t>
      </w:r>
    </w:p>
    <w:p>
      <w:pPr>
        <w:pStyle w:val="BodyText"/>
        <w:spacing w:line="170" w:lineRule="exact"/>
        <w:ind w:left="40" w:right="-5"/>
      </w:pPr>
      <w:r>
        <w:rPr/>
        <w:t>hves</w:t>
      </w:r>
    </w:p>
    <w:p>
      <w:pPr>
        <w:spacing w:line="309" w:lineRule="exact" w:before="0"/>
        <w:ind w:left="25" w:right="0" w:firstLine="0"/>
        <w:jc w:val="left"/>
        <w:rPr>
          <w:sz w:val="20"/>
        </w:rPr>
      </w:pPr>
      <w:r>
        <w:rPr/>
        <w:br w:type="column"/>
      </w:r>
      <w:r>
        <w:rPr>
          <w:w w:val="102"/>
          <w:sz w:val="20"/>
        </w:rPr>
        <w:t>between</w:t>
      </w:r>
      <w:r>
        <w:rPr>
          <w:sz w:val="20"/>
        </w:rPr>
        <w:t> </w:t>
      </w:r>
      <w:r>
        <w:rPr>
          <w:spacing w:val="-19"/>
          <w:sz w:val="20"/>
        </w:rPr>
        <w:t> </w:t>
      </w:r>
      <w:r>
        <w:rPr>
          <w:w w:val="104"/>
          <w:sz w:val="20"/>
        </w:rPr>
        <w:t>exact</w:t>
      </w:r>
      <w:r>
        <w:rPr>
          <w:spacing w:val="18"/>
          <w:sz w:val="20"/>
        </w:rPr>
        <w:t> </w:t>
      </w:r>
      <w:r>
        <w:rPr>
          <w:w w:val="104"/>
          <w:sz w:val="20"/>
        </w:rPr>
        <w:t>ages</w:t>
      </w:r>
      <w:r>
        <w:rPr>
          <w:spacing w:val="2"/>
          <w:sz w:val="20"/>
        </w:rPr>
        <w:t> </w:t>
      </w:r>
      <w:r>
        <w:rPr>
          <w:i/>
          <w:w w:val="91"/>
          <w:sz w:val="21"/>
        </w:rPr>
        <w:t>x</w:t>
      </w:r>
      <w:r>
        <w:rPr>
          <w:i/>
          <w:sz w:val="21"/>
        </w:rPr>
        <w:t> </w:t>
      </w:r>
      <w:r>
        <w:rPr>
          <w:i/>
          <w:spacing w:val="-11"/>
          <w:sz w:val="21"/>
        </w:rPr>
        <w:t> </w:t>
      </w:r>
      <w:r>
        <w:rPr>
          <w:w w:val="101"/>
          <w:sz w:val="29"/>
        </w:rPr>
        <w:t>+</w:t>
      </w:r>
      <w:r>
        <w:rPr>
          <w:spacing w:val="-2"/>
          <w:sz w:val="29"/>
        </w:rPr>
        <w:t> </w:t>
      </w:r>
      <w:r>
        <w:rPr>
          <w:i/>
          <w:spacing w:val="-132"/>
          <w:w w:val="100"/>
          <w:position w:val="12"/>
          <w:sz w:val="22"/>
        </w:rPr>
        <w:t>m</w:t>
      </w:r>
      <w:r>
        <w:rPr>
          <w:w w:val="169"/>
          <w:sz w:val="29"/>
        </w:rPr>
        <w:t>-</w:t>
      </w:r>
      <w:r>
        <w:rPr>
          <w:spacing w:val="-43"/>
          <w:sz w:val="29"/>
        </w:rPr>
        <w:t> </w:t>
      </w:r>
      <w:r>
        <w:rPr>
          <w:w w:val="108"/>
          <w:sz w:val="20"/>
        </w:rPr>
        <w:t>and</w:t>
      </w:r>
      <w:r>
        <w:rPr>
          <w:spacing w:val="13"/>
          <w:sz w:val="20"/>
        </w:rPr>
        <w:t> </w:t>
      </w:r>
      <w:r>
        <w:rPr>
          <w:i/>
          <w:w w:val="95"/>
          <w:sz w:val="21"/>
        </w:rPr>
        <w:t>x</w:t>
      </w:r>
      <w:r>
        <w:rPr>
          <w:i/>
          <w:sz w:val="21"/>
        </w:rPr>
        <w:t> </w:t>
      </w:r>
      <w:r>
        <w:rPr>
          <w:i/>
          <w:spacing w:val="-11"/>
          <w:sz w:val="21"/>
        </w:rPr>
        <w:t> </w:t>
      </w:r>
      <w:r>
        <w:rPr>
          <w:spacing w:val="-43"/>
          <w:w w:val="98"/>
          <w:sz w:val="29"/>
        </w:rPr>
        <w:t>+</w:t>
      </w:r>
      <w:r>
        <w:rPr>
          <w:spacing w:val="-499"/>
          <w:w w:val="370"/>
          <w:sz w:val="29"/>
        </w:rPr>
        <w:t>-</w:t>
      </w:r>
      <w:r>
        <w:rPr>
          <w:i/>
          <w:w w:val="103"/>
          <w:position w:val="12"/>
          <w:sz w:val="22"/>
        </w:rPr>
        <w:t>m</w:t>
      </w:r>
      <w:r>
        <w:rPr>
          <w:i/>
          <w:spacing w:val="10"/>
          <w:position w:val="12"/>
          <w:sz w:val="22"/>
        </w:rPr>
        <w:t> </w:t>
      </w:r>
      <w:r>
        <w:rPr>
          <w:i/>
          <w:w w:val="134"/>
          <w:position w:val="12"/>
          <w:sz w:val="22"/>
        </w:rPr>
        <w:t>+</w:t>
      </w:r>
      <w:r>
        <w:rPr>
          <w:i/>
          <w:spacing w:val="-3"/>
          <w:position w:val="12"/>
          <w:sz w:val="22"/>
        </w:rPr>
        <w:t> </w:t>
      </w:r>
      <w:r>
        <w:rPr>
          <w:b/>
          <w:w w:val="89"/>
          <w:position w:val="12"/>
          <w:sz w:val="20"/>
        </w:rPr>
        <w:t>1</w:t>
      </w:r>
      <w:r>
        <w:rPr>
          <w:b/>
          <w:spacing w:val="15"/>
          <w:position w:val="12"/>
          <w:sz w:val="20"/>
        </w:rPr>
        <w:t> </w:t>
      </w:r>
      <w:r>
        <w:rPr>
          <w:w w:val="117"/>
          <w:sz w:val="20"/>
        </w:rPr>
        <w:t>at</w:t>
      </w:r>
      <w:r>
        <w:rPr>
          <w:spacing w:val="17"/>
          <w:sz w:val="20"/>
        </w:rPr>
        <w:t> </w:t>
      </w:r>
      <w:r>
        <w:rPr>
          <w:w w:val="107"/>
          <w:sz w:val="20"/>
        </w:rPr>
        <w:t>any</w:t>
      </w:r>
    </w:p>
    <w:p>
      <w:pPr>
        <w:tabs>
          <w:tab w:pos="3420" w:val="left" w:leader="none"/>
        </w:tabs>
        <w:spacing w:line="179" w:lineRule="exact" w:before="0"/>
        <w:ind w:left="2181" w:right="0" w:firstLine="0"/>
        <w:jc w:val="left"/>
        <w:rPr>
          <w:b/>
          <w:i/>
          <w:sz w:val="21"/>
        </w:rPr>
      </w:pPr>
      <w:r>
        <w:rPr>
          <w:b/>
          <w:i/>
          <w:sz w:val="21"/>
        </w:rPr>
        <w:t>r</w:t>
        <w:tab/>
        <w:t>r</w:t>
      </w:r>
    </w:p>
    <w:p>
      <w:pPr>
        <w:spacing w:after="0" w:line="179" w:lineRule="exact"/>
        <w:jc w:val="left"/>
        <w:rPr>
          <w:sz w:val="21"/>
        </w:rPr>
        <w:sectPr>
          <w:type w:val="continuous"/>
          <w:pgSz w:w="7200" w:h="11340"/>
          <w:pgMar w:top="1100" w:bottom="0" w:left="640" w:right="540"/>
          <w:cols w:num="3" w:equalWidth="0">
            <w:col w:w="994" w:space="40"/>
            <w:col w:w="422" w:space="40"/>
            <w:col w:w="4524"/>
          </w:cols>
        </w:sectPr>
      </w:pPr>
    </w:p>
    <w:p>
      <w:pPr>
        <w:pStyle w:val="BodyText"/>
        <w:spacing w:line="189" w:lineRule="exact"/>
        <w:ind w:left="126"/>
        <w:jc w:val="both"/>
        <w:rPr>
          <w:i/>
          <w:sz w:val="21"/>
        </w:rPr>
      </w:pPr>
      <w:r>
        <w:rPr>
          <w:i/>
          <w:sz w:val="21"/>
        </w:rPr>
        <w:t>moment  </w:t>
      </w:r>
      <w:r>
        <w:rPr/>
        <w:t>of  time.  Hence  the  number  of  lives  between  exact  ages </w:t>
      </w:r>
      <w:r>
        <w:rPr>
          <w:i/>
          <w:sz w:val="21"/>
        </w:rPr>
        <w:t>x</w:t>
      </w:r>
    </w:p>
    <w:p>
      <w:pPr>
        <w:pStyle w:val="BodyText"/>
        <w:spacing w:line="296" w:lineRule="exact"/>
        <w:ind w:left="123"/>
        <w:jc w:val="both"/>
      </w:pPr>
      <w:r>
        <w:rPr/>
        <w:pict>
          <v:shape style="position:absolute;margin-left:113.580002pt;margin-top:11.864786pt;width:84.6pt;height:21pt;mso-position-horizontal-relative:page;mso-position-vertical-relative:paragraph;z-index:-721384" type="#_x0000_t202" filled="false" stroked="false">
            <v:textbox inset="0,0,0,0">
              <w:txbxContent>
                <w:p>
                  <w:pPr>
                    <w:tabs>
                      <w:tab w:pos="302" w:val="left" w:leader="none"/>
                      <w:tab w:pos="1472" w:val="left" w:leader="none"/>
                    </w:tabs>
                    <w:spacing w:line="420" w:lineRule="exact" w:before="0"/>
                    <w:ind w:left="0" w:right="0" w:firstLine="0"/>
                    <w:jc w:val="left"/>
                    <w:rPr>
                      <w:b/>
                      <w:sz w:val="42"/>
                    </w:rPr>
                  </w:pPr>
                  <w:r>
                    <w:rPr>
                      <w:w w:val="70"/>
                      <w:sz w:val="42"/>
                    </w:rPr>
                    <w:t>.</w:t>
                    <w:tab/>
                  </w:r>
                  <w:r>
                    <w:rPr>
                      <w:b/>
                      <w:w w:val="70"/>
                      <w:sz w:val="42"/>
                    </w:rPr>
                    <w:t>r-1</w:t>
                  </w:r>
                  <w:r>
                    <w:rPr>
                      <w:b/>
                      <w:spacing w:val="-6"/>
                      <w:w w:val="70"/>
                      <w:sz w:val="42"/>
                    </w:rPr>
                    <w:t> </w:t>
                  </w:r>
                  <w:r>
                    <w:rPr>
                      <w:b/>
                      <w:sz w:val="21"/>
                    </w:rPr>
                    <w:t>l</w:t>
                    <w:tab/>
                  </w:r>
                  <w:r>
                    <w:rPr>
                      <w:b/>
                      <w:w w:val="90"/>
                      <w:sz w:val="42"/>
                    </w:rPr>
                    <w:t>il</w:t>
                  </w:r>
                </w:p>
              </w:txbxContent>
            </v:textbox>
            <w10:wrap type="none"/>
          </v:shape>
        </w:pict>
      </w:r>
      <w:r>
        <w:rPr>
          <w:w w:val="105"/>
        </w:rPr>
        <w:t>and </w:t>
      </w:r>
      <w:r>
        <w:rPr>
          <w:rFonts w:ascii="Arial"/>
          <w:i/>
          <w:w w:val="105"/>
          <w:sz w:val="18"/>
        </w:rPr>
        <w:t>x  </w:t>
      </w:r>
      <w:r>
        <w:rPr>
          <w:w w:val="105"/>
          <w:sz w:val="29"/>
        </w:rPr>
        <w:t>+ </w:t>
      </w:r>
      <w:r>
        <w:rPr>
          <w:w w:val="105"/>
        </w:rPr>
        <w:t>1 at any moment  of time  is</w:t>
      </w:r>
    </w:p>
    <w:p>
      <w:pPr>
        <w:tabs>
          <w:tab w:pos="1885" w:val="left" w:leader="none"/>
        </w:tabs>
        <w:spacing w:line="322" w:lineRule="exact" w:before="115"/>
        <w:ind w:left="64" w:right="0" w:firstLine="0"/>
        <w:jc w:val="center"/>
        <w:rPr>
          <w:b/>
          <w:i/>
          <w:sz w:val="22"/>
        </w:rPr>
      </w:pPr>
      <w:r>
        <w:rPr>
          <w:sz w:val="20"/>
        </w:rPr>
        <w:t>hm  </w:t>
      </w:r>
      <w:r>
        <w:rPr>
          <w:w w:val="110"/>
          <w:sz w:val="33"/>
        </w:rPr>
        <w:t>I: </w:t>
      </w:r>
      <w:r>
        <w:rPr>
          <w:i/>
          <w:w w:val="110"/>
          <w:sz w:val="17"/>
        </w:rPr>
        <w:t>-</w:t>
      </w:r>
      <w:r>
        <w:rPr>
          <w:i/>
          <w:spacing w:val="24"/>
          <w:w w:val="110"/>
          <w:sz w:val="17"/>
        </w:rPr>
        <w:t> </w:t>
      </w:r>
      <w:r>
        <w:rPr>
          <w:i/>
          <w:sz w:val="17"/>
        </w:rPr>
        <w:t>lz+'!! </w:t>
      </w:r>
      <w:r>
        <w:rPr>
          <w:i/>
          <w:spacing w:val="41"/>
          <w:sz w:val="17"/>
        </w:rPr>
        <w:t> </w:t>
      </w:r>
      <w:r>
        <w:rPr>
          <w:rFonts w:ascii="Arial"/>
          <w:w w:val="140"/>
          <w:sz w:val="16"/>
        </w:rPr>
        <w:t>=</w:t>
        <w:tab/>
      </w:r>
      <w:r>
        <w:rPr>
          <w:b/>
          <w:i/>
          <w:sz w:val="15"/>
        </w:rPr>
        <w:t>l:z:H </w:t>
      </w:r>
      <w:r>
        <w:rPr>
          <w:b/>
          <w:i/>
          <w:sz w:val="21"/>
        </w:rPr>
        <w:t>dt </w:t>
      </w:r>
      <w:r>
        <w:rPr>
          <w:rFonts w:ascii="Arial"/>
          <w:w w:val="140"/>
          <w:sz w:val="16"/>
        </w:rPr>
        <w:t>=</w:t>
      </w:r>
      <w:r>
        <w:rPr>
          <w:rFonts w:ascii="Arial"/>
          <w:spacing w:val="-44"/>
          <w:w w:val="140"/>
          <w:sz w:val="16"/>
        </w:rPr>
        <w:t> </w:t>
      </w:r>
      <w:r>
        <w:rPr>
          <w:b/>
          <w:i/>
          <w:w w:val="85"/>
          <w:sz w:val="22"/>
        </w:rPr>
        <w:t>L:r: </w:t>
      </w:r>
      <w:r>
        <w:rPr>
          <w:b/>
          <w:i/>
          <w:sz w:val="22"/>
        </w:rPr>
        <w:t>.</w:t>
      </w:r>
    </w:p>
    <w:p>
      <w:pPr>
        <w:tabs>
          <w:tab w:pos="2682" w:val="left" w:leader="none"/>
          <w:tab w:pos="3190" w:val="left" w:leader="none"/>
        </w:tabs>
        <w:spacing w:line="150" w:lineRule="exact" w:before="0"/>
        <w:ind w:left="1574" w:right="0" w:firstLine="0"/>
        <w:jc w:val="left"/>
        <w:rPr>
          <w:rFonts w:ascii="Arial"/>
          <w:sz w:val="11"/>
        </w:rPr>
      </w:pPr>
      <w:r>
        <w:rPr>
          <w:b/>
          <w:sz w:val="10"/>
        </w:rPr>
        <w:t>r-+OO  </w:t>
      </w:r>
      <w:r>
        <w:rPr>
          <w:b/>
          <w:spacing w:val="20"/>
          <w:sz w:val="10"/>
        </w:rPr>
        <w:t> </w:t>
      </w:r>
      <w:r>
        <w:rPr>
          <w:b/>
          <w:w w:val="135"/>
          <w:sz w:val="10"/>
        </w:rPr>
        <w:t>M-0</w:t>
      </w:r>
      <w:r>
        <w:rPr>
          <w:b/>
          <w:spacing w:val="18"/>
          <w:w w:val="135"/>
          <w:sz w:val="10"/>
        </w:rPr>
        <w:t> </w:t>
      </w:r>
      <w:r>
        <w:rPr>
          <w:rFonts w:ascii="Arial"/>
          <w:b/>
          <w:i/>
          <w:sz w:val="18"/>
        </w:rPr>
        <w:t>r</w:t>
        <w:tab/>
      </w:r>
      <w:r>
        <w:rPr>
          <w:i/>
          <w:sz w:val="13"/>
        </w:rPr>
        <w:t>r</w:t>
      </w:r>
      <w:r>
        <w:rPr>
          <w:rFonts w:ascii="Arial"/>
          <w:sz w:val="11"/>
        </w:rPr>
        <w:tab/>
        <w:t>0</w:t>
      </w:r>
    </w:p>
    <w:p>
      <w:pPr>
        <w:pStyle w:val="BodyText"/>
        <w:spacing w:line="194" w:lineRule="exact" w:before="115"/>
        <w:ind w:left="115"/>
        <w:jc w:val="both"/>
      </w:pPr>
      <w:r>
        <w:rPr/>
        <w:t>Thus </w:t>
      </w:r>
      <w:r>
        <w:rPr>
          <w:i/>
          <w:sz w:val="21"/>
        </w:rPr>
        <w:t>Lz  </w:t>
      </w:r>
      <w:r>
        <w:rPr/>
        <w:t>is  the  constant  number  oí lives  between  exact  a.ges </w:t>
      </w:r>
      <w:r>
        <w:rPr>
          <w:rFonts w:ascii="Arial" w:hAnsi="Arial"/>
          <w:i/>
          <w:sz w:val="19"/>
        </w:rPr>
        <w:t>x  </w:t>
      </w:r>
      <w:r>
        <w:rPr/>
        <w:t>and</w:t>
      </w:r>
    </w:p>
    <w:p>
      <w:pPr>
        <w:pStyle w:val="BodyText"/>
        <w:spacing w:line="303" w:lineRule="exact"/>
        <w:ind w:left="115"/>
        <w:jc w:val="both"/>
      </w:pPr>
      <w:r>
        <w:rPr>
          <w:rFonts w:ascii="Arial"/>
          <w:i/>
          <w:sz w:val="18"/>
        </w:rPr>
        <w:t>x  </w:t>
      </w:r>
      <w:r>
        <w:rPr>
          <w:rFonts w:ascii="Arial"/>
          <w:sz w:val="31"/>
        </w:rPr>
        <w:t>+ </w:t>
      </w:r>
      <w:r>
        <w:rPr/>
        <w:t>1 at any moment  of  time. Similarly,  </w:t>
      </w:r>
      <w:r>
        <w:rPr>
          <w:rFonts w:ascii="Arial"/>
          <w:i/>
        </w:rPr>
        <w:t>T:r: </w:t>
      </w:r>
      <w:r>
        <w:rPr/>
        <w:t>is the number  of  lives</w:t>
      </w:r>
    </w:p>
    <w:p>
      <w:pPr>
        <w:pStyle w:val="BodyText"/>
        <w:spacing w:line="252" w:lineRule="auto"/>
        <w:ind w:left="108" w:right="158" w:firstLine="7"/>
        <w:jc w:val="both"/>
      </w:pPr>
      <w:r>
        <w:rPr>
          <w:w w:val="105"/>
        </w:rPr>
        <w:t>aged </w:t>
      </w:r>
      <w:r>
        <w:rPr>
          <w:rFonts w:ascii="Arial" w:hAnsi="Arial"/>
          <w:i/>
          <w:w w:val="105"/>
          <w:sz w:val="16"/>
        </w:rPr>
        <w:t>x </w:t>
      </w:r>
      <w:r>
        <w:rPr>
          <w:w w:val="105"/>
        </w:rPr>
        <w:t>and over at any moment of time. The student should note caref ully how this conception of the mortality table contrasts with the survivorship group interpretation. In the stationary population concept, the function </w:t>
      </w:r>
      <w:r>
        <w:rPr>
          <w:rFonts w:ascii="Arial" w:hAnsi="Arial"/>
          <w:i/>
          <w:w w:val="90"/>
        </w:rPr>
        <w:t>l:r: </w:t>
      </w:r>
      <w:r>
        <w:rPr>
          <w:w w:val="105"/>
        </w:rPr>
        <w:t>represents the  number  oí lives attaining age </w:t>
      </w:r>
      <w:r>
        <w:rPr>
          <w:rFonts w:ascii="Arial" w:hAnsi="Arial"/>
          <w:i/>
          <w:w w:val="105"/>
          <w:sz w:val="18"/>
        </w:rPr>
        <w:t>x  </w:t>
      </w:r>
      <w:r>
        <w:rPr>
          <w:w w:val="105"/>
        </w:rPr>
        <w:t>in any year oí time, and </w:t>
      </w:r>
      <w:r>
        <w:rPr>
          <w:rFonts w:ascii="Arial" w:hAnsi="Arial"/>
          <w:i/>
          <w:w w:val="90"/>
        </w:rPr>
        <w:t>d:r: </w:t>
      </w:r>
      <w:r>
        <w:rPr>
          <w:w w:val="105"/>
        </w:rPr>
        <w:t>represents the number of    deaths</w:t>
      </w:r>
    </w:p>
    <w:p>
      <w:pPr>
        <w:pStyle w:val="BodyText"/>
        <w:spacing w:line="245" w:lineRule="exact"/>
        <w:ind w:left="115" w:hanging="8"/>
        <w:jc w:val="both"/>
      </w:pPr>
      <w:r>
        <w:rPr>
          <w:w w:val="105"/>
        </w:rPr>
        <w:t>between ages</w:t>
      </w:r>
      <w:r>
        <w:rPr>
          <w:spacing w:val="-22"/>
          <w:w w:val="105"/>
        </w:rPr>
        <w:t> </w:t>
      </w:r>
      <w:r>
        <w:rPr>
          <w:i/>
          <w:w w:val="105"/>
          <w:sz w:val="21"/>
        </w:rPr>
        <w:t>x</w:t>
      </w:r>
      <w:r>
        <w:rPr>
          <w:i/>
          <w:spacing w:val="-4"/>
          <w:w w:val="105"/>
          <w:sz w:val="21"/>
        </w:rPr>
        <w:t> </w:t>
      </w:r>
      <w:r>
        <w:rPr>
          <w:w w:val="105"/>
        </w:rPr>
        <w:t>and</w:t>
      </w:r>
      <w:r>
        <w:rPr>
          <w:spacing w:val="-10"/>
          <w:w w:val="105"/>
        </w:rPr>
        <w:t> </w:t>
      </w:r>
      <w:r>
        <w:rPr>
          <w:i/>
          <w:w w:val="105"/>
          <w:sz w:val="21"/>
        </w:rPr>
        <w:t>x</w:t>
      </w:r>
      <w:r>
        <w:rPr>
          <w:i/>
          <w:spacing w:val="9"/>
          <w:w w:val="105"/>
          <w:sz w:val="21"/>
        </w:rPr>
        <w:t> </w:t>
      </w:r>
      <w:r>
        <w:rPr>
          <w:w w:val="105"/>
          <w:sz w:val="29"/>
        </w:rPr>
        <w:t>+</w:t>
      </w:r>
      <w:r>
        <w:rPr>
          <w:spacing w:val="-14"/>
          <w:w w:val="105"/>
          <w:sz w:val="29"/>
        </w:rPr>
        <w:t> </w:t>
      </w:r>
      <w:r>
        <w:rPr>
          <w:w w:val="105"/>
        </w:rPr>
        <w:t>1in</w:t>
      </w:r>
      <w:r>
        <w:rPr>
          <w:spacing w:val="-20"/>
          <w:w w:val="105"/>
        </w:rPr>
        <w:t> </w:t>
      </w:r>
      <w:r>
        <w:rPr>
          <w:w w:val="105"/>
        </w:rPr>
        <w:t>any</w:t>
      </w:r>
      <w:r>
        <w:rPr>
          <w:spacing w:val="-20"/>
          <w:w w:val="105"/>
        </w:rPr>
        <w:t> </w:t>
      </w:r>
      <w:r>
        <w:rPr>
          <w:w w:val="105"/>
        </w:rPr>
        <w:t>year</w:t>
      </w:r>
      <w:r>
        <w:rPr>
          <w:spacing w:val="-10"/>
          <w:w w:val="105"/>
        </w:rPr>
        <w:t> </w:t>
      </w:r>
      <w:r>
        <w:rPr>
          <w:w w:val="105"/>
        </w:rPr>
        <w:t>of</w:t>
      </w:r>
      <w:r>
        <w:rPr>
          <w:spacing w:val="-5"/>
          <w:w w:val="105"/>
        </w:rPr>
        <w:t> </w:t>
      </w:r>
      <w:r>
        <w:rPr>
          <w:w w:val="105"/>
        </w:rPr>
        <w:t>time.</w:t>
      </w:r>
      <w:r>
        <w:rPr>
          <w:spacing w:val="-17"/>
          <w:w w:val="105"/>
        </w:rPr>
        <w:t> </w:t>
      </w:r>
      <w:r>
        <w:rPr>
          <w:w w:val="105"/>
        </w:rPr>
        <w:t>The</w:t>
      </w:r>
      <w:r>
        <w:rPr>
          <w:spacing w:val="-26"/>
          <w:w w:val="105"/>
        </w:rPr>
        <w:t> </w:t>
      </w:r>
      <w:r>
        <w:rPr>
          <w:w w:val="105"/>
        </w:rPr>
        <w:t>radix</w:t>
      </w:r>
      <w:r>
        <w:rPr>
          <w:spacing w:val="-2"/>
          <w:w w:val="105"/>
        </w:rPr>
        <w:t> </w:t>
      </w:r>
      <w:r>
        <w:rPr>
          <w:i/>
          <w:sz w:val="23"/>
        </w:rPr>
        <w:t>lo</w:t>
      </w:r>
      <w:r>
        <w:rPr>
          <w:i/>
          <w:spacing w:val="-29"/>
          <w:sz w:val="23"/>
        </w:rPr>
        <w:t> </w:t>
      </w:r>
      <w:r>
        <w:rPr>
          <w:w w:val="105"/>
        </w:rPr>
        <w:t>is</w:t>
      </w:r>
      <w:r>
        <w:rPr>
          <w:spacing w:val="-24"/>
          <w:w w:val="105"/>
        </w:rPr>
        <w:t> </w:t>
      </w:r>
      <w:r>
        <w:rPr>
          <w:w w:val="105"/>
        </w:rPr>
        <w:t>the</w:t>
      </w:r>
      <w:r>
        <w:rPr>
          <w:spacing w:val="-16"/>
          <w:w w:val="105"/>
        </w:rPr>
        <w:t> </w:t>
      </w:r>
      <w:r>
        <w:rPr>
          <w:w w:val="105"/>
        </w:rPr>
        <w:t>num­</w:t>
      </w:r>
    </w:p>
    <w:p>
      <w:pPr>
        <w:pStyle w:val="BodyText"/>
        <w:spacing w:line="247" w:lineRule="auto"/>
        <w:ind w:left="108" w:right="168" w:firstLine="7"/>
        <w:jc w:val="both"/>
      </w:pPr>
      <w:r>
        <w:rPr>
          <w:w w:val="103"/>
        </w:rPr>
        <w:t>ber </w:t>
      </w:r>
      <w:r>
        <w:rPr>
          <w:w w:val="87"/>
        </w:rPr>
        <w:t>of </w:t>
      </w:r>
      <w:r>
        <w:rPr>
          <w:w w:val="108"/>
        </w:rPr>
        <w:t>births </w:t>
      </w:r>
      <w:r>
        <w:rPr>
          <w:w w:val="105"/>
        </w:rPr>
        <w:t>(and </w:t>
      </w:r>
      <w:r>
        <w:rPr>
          <w:w w:val="87"/>
        </w:rPr>
        <w:t>of </w:t>
      </w:r>
      <w:r>
        <w:rPr>
          <w:w w:val="110"/>
        </w:rPr>
        <w:t>deaths) </w:t>
      </w:r>
      <w:r>
        <w:rPr>
          <w:w w:val="106"/>
        </w:rPr>
        <w:t>in </w:t>
      </w:r>
      <w:r>
        <w:rPr>
          <w:w w:val="107"/>
        </w:rPr>
        <w:t>any </w:t>
      </w:r>
      <w:r>
        <w:rPr>
          <w:w w:val="107"/>
        </w:rPr>
        <w:t>year </w:t>
      </w:r>
      <w:r>
        <w:rPr>
          <w:w w:val="87"/>
        </w:rPr>
        <w:t>of </w:t>
      </w:r>
      <w:r>
        <w:rPr>
          <w:w w:val="105"/>
        </w:rPr>
        <w:t>time. </w:t>
      </w:r>
      <w:r>
        <w:rPr>
          <w:w w:val="109"/>
        </w:rPr>
        <w:t>The </w:t>
      </w:r>
      <w:r>
        <w:rPr>
          <w:spacing w:val="1"/>
          <w:w w:val="103"/>
        </w:rPr>
        <w:t>functions </w:t>
      </w:r>
      <w:r>
        <w:rPr>
          <w:rFonts w:ascii="Arial" w:hAnsi="Arial"/>
          <w:i/>
          <w:spacing w:val="-5"/>
          <w:w w:val="63"/>
        </w:rPr>
        <w:t>L:r:</w:t>
      </w:r>
      <w:r>
        <w:rPr>
          <w:rFonts w:ascii="Arial" w:hAnsi="Arial"/>
          <w:i/>
          <w:w w:val="63"/>
        </w:rPr>
        <w:t> </w:t>
      </w:r>
      <w:r>
        <w:rPr>
          <w:w w:val="107"/>
        </w:rPr>
        <w:t>and </w:t>
      </w:r>
      <w:r>
        <w:rPr>
          <w:rFonts w:ascii="Arial" w:hAnsi="Arial"/>
          <w:i/>
          <w:w w:val="48"/>
        </w:rPr>
        <w:t>T:z: </w:t>
      </w:r>
      <w:r>
        <w:rPr>
          <w:w w:val="104"/>
        </w:rPr>
        <w:t>represent </w:t>
      </w:r>
      <w:r>
        <w:rPr>
          <w:w w:val="104"/>
        </w:rPr>
        <w:t>numbers </w:t>
      </w:r>
      <w:r>
        <w:rPr>
          <w:w w:val="104"/>
        </w:rPr>
        <w:t>living </w:t>
      </w:r>
      <w:r>
        <w:rPr>
          <w:w w:val="109"/>
        </w:rPr>
        <w:t>in </w:t>
      </w:r>
      <w:r>
        <w:rPr>
          <w:w w:val="113"/>
        </w:rPr>
        <w:t>the </w:t>
      </w:r>
      <w:r>
        <w:rPr>
          <w:w w:val="104"/>
        </w:rPr>
        <w:t>population </w:t>
      </w:r>
      <w:r>
        <w:rPr>
          <w:w w:val="120"/>
        </w:rPr>
        <w:t>at </w:t>
      </w:r>
      <w:r>
        <w:rPr>
          <w:w w:val="109"/>
        </w:rPr>
        <w:t>any </w:t>
      </w:r>
      <w:r>
        <w:rPr>
          <w:w w:val="105"/>
        </w:rPr>
        <w:t>moment </w:t>
      </w:r>
      <w:r>
        <w:rPr>
          <w:w w:val="89"/>
        </w:rPr>
        <w:t>of </w:t>
      </w:r>
      <w:r>
        <w:rPr/>
        <w:t>time. </w:t>
      </w:r>
      <w:r>
        <w:rPr>
          <w:sz w:val="21"/>
        </w:rPr>
        <w:t>If </w:t>
      </w:r>
      <w:r>
        <w:rPr/>
        <w:t>a census enumeration of the population were made at any moment, the number of lives reporting age </w:t>
      </w:r>
      <w:r>
        <w:rPr>
          <w:rFonts w:ascii="Arial" w:hAnsi="Arial"/>
          <w:i/>
          <w:sz w:val="18"/>
        </w:rPr>
        <w:t>x </w:t>
      </w:r>
      <w:r>
        <w:rPr/>
        <w:t>last birthday would be </w:t>
      </w:r>
      <w:r>
        <w:rPr>
          <w:rFonts w:ascii="Arial" w:hAnsi="Arial"/>
          <w:i/>
          <w:w w:val="63"/>
        </w:rPr>
        <w:t>L:r: </w:t>
      </w:r>
      <w:r>
        <w:rPr>
          <w:rFonts w:ascii="Arial" w:hAnsi="Arial"/>
          <w:w w:val="150"/>
        </w:rPr>
        <w:t>, </w:t>
      </w:r>
      <w:r>
        <w:rPr>
          <w:w w:val="107"/>
        </w:rPr>
        <w:t>and </w:t>
      </w:r>
      <w:r>
        <w:rPr>
          <w:w w:val="110"/>
        </w:rPr>
        <w:t>the </w:t>
      </w:r>
      <w:r>
        <w:rPr>
          <w:w w:val="104"/>
        </w:rPr>
        <w:t>number </w:t>
      </w:r>
      <w:r>
        <w:rPr>
          <w:w w:val="104"/>
        </w:rPr>
        <w:t>reporting </w:t>
      </w:r>
      <w:r>
        <w:rPr>
          <w:w w:val="113"/>
        </w:rPr>
        <w:t>an </w:t>
      </w:r>
      <w:r>
        <w:rPr>
          <w:w w:val="104"/>
        </w:rPr>
        <w:t>age </w:t>
      </w:r>
      <w:r>
        <w:rPr>
          <w:w w:val="87"/>
        </w:rPr>
        <w:t>of </w:t>
      </w:r>
      <w:r>
        <w:rPr>
          <w:rFonts w:ascii="Arial" w:hAnsi="Arial"/>
          <w:i/>
          <w:w w:val="92"/>
        </w:rPr>
        <w:t>x  </w:t>
      </w:r>
      <w:r>
        <w:rPr>
          <w:w w:val="107"/>
        </w:rPr>
        <w:t>or </w:t>
      </w:r>
      <w:r>
        <w:rPr>
          <w:w w:val="104"/>
        </w:rPr>
        <w:t>over  </w:t>
      </w:r>
      <w:r>
        <w:rPr>
          <w:w w:val="99"/>
        </w:rPr>
        <w:t>would  </w:t>
      </w:r>
      <w:r>
        <w:rPr>
          <w:w w:val="101"/>
        </w:rPr>
        <w:t>be</w:t>
      </w:r>
      <w:r>
        <w:rPr>
          <w:spacing w:val="50"/>
          <w:w w:val="101"/>
        </w:rPr>
        <w:t> </w:t>
      </w:r>
      <w:r>
        <w:rPr>
          <w:rFonts w:ascii="Arial" w:hAnsi="Arial"/>
          <w:i/>
          <w:w w:val="50"/>
        </w:rPr>
        <w:t>T:z: </w:t>
      </w:r>
      <w:r>
        <w:rPr>
          <w:rFonts w:ascii="Arial" w:hAnsi="Arial"/>
          <w:w w:val="55"/>
        </w:rPr>
        <w:t>• </w:t>
      </w:r>
      <w:r>
        <w:rPr/>
        <w:t>The central  death  rate </w:t>
      </w:r>
      <w:r>
        <w:rPr>
          <w:rFonts w:ascii="Arial" w:hAnsi="Arial"/>
          <w:i/>
          <w:w w:val="80"/>
        </w:rPr>
        <w:t>m:r:  </w:t>
      </w:r>
      <w:r>
        <w:rPr/>
        <w:t>can  be  described  as the  ratio of  the num­</w:t>
      </w:r>
    </w:p>
    <w:p>
      <w:pPr>
        <w:pStyle w:val="BodyText"/>
        <w:spacing w:line="248" w:lineRule="exact"/>
        <w:ind w:left="119"/>
        <w:jc w:val="both"/>
      </w:pPr>
      <w:r>
        <w:rPr>
          <w:w w:val="105"/>
        </w:rPr>
        <w:t>ber of  deaths between ages </w:t>
      </w:r>
      <w:r>
        <w:rPr>
          <w:i/>
          <w:w w:val="105"/>
          <w:sz w:val="21"/>
        </w:rPr>
        <w:t>x </w:t>
      </w:r>
      <w:r>
        <w:rPr>
          <w:w w:val="105"/>
        </w:rPr>
        <w:t>and </w:t>
      </w:r>
      <w:r>
        <w:rPr>
          <w:i/>
          <w:w w:val="105"/>
          <w:sz w:val="21"/>
        </w:rPr>
        <w:t>x  </w:t>
      </w:r>
      <w:r>
        <w:rPr>
          <w:w w:val="105"/>
          <w:sz w:val="29"/>
        </w:rPr>
        <w:t>+ </w:t>
      </w:r>
      <w:r>
        <w:rPr>
          <w:w w:val="105"/>
        </w:rPr>
        <w:t>1 in any year of  time to  the</w:t>
      </w:r>
    </w:p>
    <w:p>
      <w:pPr>
        <w:pStyle w:val="BodyText"/>
        <w:spacing w:line="247" w:lineRule="auto"/>
        <w:ind w:left="306" w:right="172" w:hanging="184"/>
      </w:pPr>
      <w:r>
        <w:rPr>
          <w:w w:val="105"/>
        </w:rPr>
        <w:t>number living between  those ages at any moment of time.  Although  the  stationary  population  coricept  is  admittedly</w:t>
      </w:r>
      <w:r>
        <w:rPr>
          <w:spacing w:val="11"/>
          <w:w w:val="105"/>
        </w:rPr>
        <w:t> </w:t>
      </w:r>
      <w:r>
        <w:rPr>
          <w:w w:val="105"/>
        </w:rPr>
        <w:t>arti-</w:t>
      </w:r>
    </w:p>
    <w:p>
      <w:pPr>
        <w:spacing w:after="0" w:line="247" w:lineRule="auto"/>
        <w:sectPr>
          <w:type w:val="continuous"/>
          <w:pgSz w:w="7200" w:h="11340"/>
          <w:pgMar w:top="1100" w:bottom="0" w:left="640" w:right="540"/>
        </w:sectPr>
      </w:pPr>
    </w:p>
    <w:p>
      <w:pPr>
        <w:spacing w:before="46"/>
        <w:ind w:left="110" w:right="0" w:firstLine="0"/>
        <w:jc w:val="both"/>
        <w:rPr>
          <w:rFonts w:ascii="Arial"/>
          <w:b/>
          <w:sz w:val="19"/>
        </w:rPr>
      </w:pPr>
      <w:r>
        <w:rPr>
          <w:b/>
          <w:color w:val="010101"/>
          <w:sz w:val="15"/>
        </w:rPr>
        <w:t>SEC.   </w:t>
      </w:r>
      <w:r>
        <w:rPr>
          <w:rFonts w:ascii="Arial"/>
          <w:b/>
          <w:color w:val="010101"/>
          <w:sz w:val="19"/>
        </w:rPr>
        <w:t>6)    </w:t>
      </w:r>
      <w:r>
        <w:rPr>
          <w:b/>
          <w:color w:val="010101"/>
          <w:sz w:val="15"/>
        </w:rPr>
        <w:t>AVERAGE   AGES   IN   THE   STATIONARY   POPULATION          </w:t>
      </w:r>
      <w:r>
        <w:rPr>
          <w:rFonts w:ascii="Arial"/>
          <w:b/>
          <w:color w:val="010101"/>
          <w:sz w:val="19"/>
        </w:rPr>
        <w:t>179</w:t>
      </w:r>
    </w:p>
    <w:p>
      <w:pPr>
        <w:pStyle w:val="BodyText"/>
        <w:spacing w:before="10"/>
        <w:rPr>
          <w:rFonts w:ascii="Arial"/>
          <w:b/>
        </w:rPr>
      </w:pPr>
    </w:p>
    <w:p>
      <w:pPr>
        <w:spacing w:line="237" w:lineRule="auto" w:before="0"/>
        <w:ind w:left="107" w:right="114" w:hanging="4"/>
        <w:jc w:val="both"/>
        <w:rPr>
          <w:sz w:val="21"/>
        </w:rPr>
      </w:pPr>
      <w:r>
        <w:rPr>
          <w:color w:val="010101"/>
          <w:sz w:val="21"/>
        </w:rPr>
        <w:t>ficial, the theory </w:t>
      </w:r>
      <w:r>
        <w:rPr>
          <w:color w:val="010101"/>
          <w:sz w:val="19"/>
        </w:rPr>
        <w:t>finds </w:t>
      </w:r>
      <w:r>
        <w:rPr>
          <w:color w:val="010101"/>
          <w:sz w:val="21"/>
        </w:rPr>
        <w:t>application in the solution of problema where the stationary condition is approximately realized. A problem such as the following illustrates a. practica! situation </w:t>
      </w:r>
      <w:r>
        <w:rPr>
          <w:color w:val="010101"/>
          <w:sz w:val="19"/>
        </w:rPr>
        <w:t>in </w:t>
      </w:r>
      <w:r>
        <w:rPr>
          <w:color w:val="010101"/>
          <w:sz w:val="21"/>
        </w:rPr>
        <w:t>which the "popu­ lation"  </w:t>
      </w:r>
      <w:r>
        <w:rPr>
          <w:rFonts w:ascii="Arial" w:hAnsi="Arial"/>
          <w:color w:val="010101"/>
          <w:sz w:val="20"/>
        </w:rPr>
        <w:t>is </w:t>
      </w:r>
      <w:r>
        <w:rPr>
          <w:color w:val="010101"/>
          <w:sz w:val="21"/>
        </w:rPr>
        <w:t>substantially</w:t>
      </w:r>
      <w:r>
        <w:rPr>
          <w:color w:val="010101"/>
          <w:spacing w:val="50"/>
          <w:sz w:val="21"/>
        </w:rPr>
        <w:t> </w:t>
      </w:r>
      <w:r>
        <w:rPr>
          <w:color w:val="010101"/>
          <w:sz w:val="21"/>
        </w:rPr>
        <w:t>sta.tionary.</w:t>
      </w:r>
    </w:p>
    <w:p>
      <w:pPr>
        <w:spacing w:line="235" w:lineRule="auto" w:before="122"/>
        <w:ind w:left="304" w:right="305" w:firstLine="200"/>
        <w:jc w:val="both"/>
        <w:rPr>
          <w:sz w:val="21"/>
        </w:rPr>
      </w:pPr>
      <w:r>
        <w:rPr>
          <w:color w:val="010101"/>
          <w:sz w:val="21"/>
        </w:rPr>
        <w:t>A peacetime army is maintained by 500,000 annual entrants inducted on their nineteenth birthday. Sixty per cent of the survivors</w:t>
      </w:r>
      <w:r>
        <w:rPr>
          <w:color w:val="010101"/>
          <w:spacing w:val="-17"/>
          <w:sz w:val="21"/>
        </w:rPr>
        <w:t> </w:t>
      </w:r>
      <w:r>
        <w:rPr>
          <w:color w:val="010101"/>
          <w:sz w:val="21"/>
        </w:rPr>
        <w:t>of</w:t>
      </w:r>
      <w:r>
        <w:rPr>
          <w:color w:val="010101"/>
          <w:spacing w:val="6"/>
          <w:sz w:val="21"/>
        </w:rPr>
        <w:t> </w:t>
      </w:r>
      <w:r>
        <w:rPr>
          <w:color w:val="010101"/>
          <w:sz w:val="21"/>
        </w:rPr>
        <w:t>each</w:t>
      </w:r>
      <w:r>
        <w:rPr>
          <w:color w:val="010101"/>
          <w:spacing w:val="-5"/>
          <w:sz w:val="21"/>
        </w:rPr>
        <w:t> </w:t>
      </w:r>
      <w:r>
        <w:rPr>
          <w:color w:val="010101"/>
          <w:sz w:val="21"/>
        </w:rPr>
        <w:t>:year'sentrants</w:t>
      </w:r>
      <w:r>
        <w:rPr>
          <w:color w:val="010101"/>
          <w:spacing w:val="-20"/>
          <w:sz w:val="21"/>
        </w:rPr>
        <w:t> </w:t>
      </w:r>
      <w:r>
        <w:rPr>
          <w:color w:val="010101"/>
          <w:sz w:val="21"/>
        </w:rPr>
        <w:t>are</w:t>
      </w:r>
      <w:r>
        <w:rPr>
          <w:color w:val="010101"/>
          <w:spacing w:val="-28"/>
          <w:sz w:val="21"/>
        </w:rPr>
        <w:t> </w:t>
      </w:r>
      <w:r>
        <w:rPr>
          <w:color w:val="010101"/>
          <w:sz w:val="21"/>
        </w:rPr>
        <w:t>discharged</w:t>
      </w:r>
      <w:r>
        <w:rPr>
          <w:color w:val="010101"/>
          <w:spacing w:val="-7"/>
          <w:sz w:val="21"/>
        </w:rPr>
        <w:t> </w:t>
      </w:r>
      <w:r>
        <w:rPr>
          <w:color w:val="010101"/>
          <w:sz w:val="21"/>
        </w:rPr>
        <w:t>on</w:t>
      </w:r>
      <w:r>
        <w:rPr>
          <w:color w:val="010101"/>
          <w:spacing w:val="-20"/>
          <w:sz w:val="21"/>
        </w:rPr>
        <w:t> </w:t>
      </w:r>
      <w:r>
        <w:rPr>
          <w:color w:val="010101"/>
          <w:sz w:val="21"/>
        </w:rPr>
        <w:t>their</w:t>
      </w:r>
      <w:r>
        <w:rPr>
          <w:color w:val="010101"/>
          <w:spacing w:val="-11"/>
          <w:sz w:val="21"/>
        </w:rPr>
        <w:t> </w:t>
      </w:r>
      <w:r>
        <w:rPr>
          <w:color w:val="010101"/>
          <w:sz w:val="21"/>
        </w:rPr>
        <w:t>twent.y­ first birthday and the remainder on their twenty-second birth­ day. Assuming </w:t>
      </w:r>
      <w:r>
        <w:rPr>
          <w:rFonts w:ascii="Arial" w:hAnsi="Arial"/>
          <w:color w:val="010101"/>
          <w:position w:val="10"/>
          <w:sz w:val="12"/>
        </w:rPr>
        <w:t>1 </w:t>
      </w:r>
      <w:r>
        <w:rPr>
          <w:color w:val="010101"/>
          <w:sz w:val="21"/>
        </w:rPr>
        <w:t>that the mortality follows the table for U.S. White Males </w:t>
      </w:r>
      <w:r>
        <w:rPr>
          <w:color w:val="010101"/>
          <w:spacing w:val="-8"/>
          <w:sz w:val="21"/>
        </w:rPr>
        <w:t>1959-61, </w:t>
      </w:r>
      <w:r>
        <w:rPr>
          <w:color w:val="010101"/>
          <w:sz w:val="21"/>
        </w:rPr>
        <w:t>determine the size of the army when it rea.ches a stationary</w:t>
      </w:r>
      <w:r>
        <w:rPr>
          <w:color w:val="010101"/>
          <w:spacing w:val="24"/>
          <w:sz w:val="21"/>
        </w:rPr>
        <w:t> </w:t>
      </w:r>
      <w:r>
        <w:rPr>
          <w:color w:val="010101"/>
          <w:sz w:val="21"/>
        </w:rPr>
        <w:t>condition.</w:t>
      </w:r>
    </w:p>
    <w:p>
      <w:pPr>
        <w:spacing w:before="119"/>
        <w:ind w:left="114" w:right="134" w:firstLine="204"/>
        <w:jc w:val="both"/>
        <w:rPr>
          <w:sz w:val="21"/>
        </w:rPr>
      </w:pPr>
      <w:r>
        <w:rPr>
          <w:color w:val="010101"/>
          <w:w w:val="91"/>
          <w:sz w:val="21"/>
        </w:rPr>
        <w:t>If </w:t>
      </w:r>
      <w:r>
        <w:rPr>
          <w:color w:val="010101"/>
          <w:w w:val="107"/>
          <w:sz w:val="21"/>
        </w:rPr>
        <w:t>the </w:t>
      </w:r>
      <w:r>
        <w:rPr>
          <w:color w:val="010101"/>
          <w:w w:val="100"/>
          <w:sz w:val="21"/>
        </w:rPr>
        <w:t>number </w:t>
      </w:r>
      <w:r>
        <w:rPr>
          <w:color w:val="010101"/>
          <w:w w:val="84"/>
          <w:sz w:val="21"/>
        </w:rPr>
        <w:t>of </w:t>
      </w:r>
      <w:r>
        <w:rPr>
          <w:color w:val="010101"/>
          <w:w w:val="102"/>
          <w:sz w:val="21"/>
        </w:rPr>
        <w:t>annual </w:t>
      </w:r>
      <w:r>
        <w:rPr>
          <w:color w:val="010101"/>
          <w:w w:val="99"/>
          <w:sz w:val="21"/>
        </w:rPr>
        <w:t>ent.rants </w:t>
      </w:r>
      <w:r>
        <w:rPr>
          <w:color w:val="010101"/>
          <w:w w:val="96"/>
          <w:sz w:val="21"/>
        </w:rPr>
        <w:t>were </w:t>
      </w:r>
      <w:r>
        <w:rPr>
          <w:color w:val="010101"/>
          <w:spacing w:val="-22"/>
          <w:w w:val="65"/>
          <w:sz w:val="20"/>
        </w:rPr>
        <w:t>1111</w:t>
      </w:r>
      <w:r>
        <w:rPr>
          <w:color w:val="010101"/>
          <w:w w:val="65"/>
          <w:sz w:val="20"/>
        </w:rPr>
        <w:t> </w:t>
      </w:r>
      <w:r>
        <w:rPr>
          <w:color w:val="010101"/>
          <w:w w:val="109"/>
          <w:sz w:val="20"/>
        </w:rPr>
        <w:t>, </w:t>
      </w:r>
      <w:r>
        <w:rPr>
          <w:color w:val="010101"/>
          <w:w w:val="107"/>
          <w:sz w:val="21"/>
        </w:rPr>
        <w:t>the </w:t>
      </w:r>
      <w:r>
        <w:rPr>
          <w:color w:val="010101"/>
          <w:w w:val="103"/>
          <w:sz w:val="21"/>
        </w:rPr>
        <w:t>ultimate </w:t>
      </w:r>
      <w:r>
        <w:rPr>
          <w:color w:val="010101"/>
          <w:w w:val="94"/>
          <w:sz w:val="21"/>
        </w:rPr>
        <w:t>size </w:t>
      </w:r>
      <w:r>
        <w:rPr>
          <w:color w:val="010101"/>
          <w:w w:val="84"/>
          <w:sz w:val="21"/>
        </w:rPr>
        <w:t>of</w:t>
      </w:r>
      <w:r>
        <w:rPr>
          <w:color w:val="010101"/>
          <w:spacing w:val="44"/>
          <w:w w:val="84"/>
          <w:sz w:val="21"/>
        </w:rPr>
        <w:t> </w:t>
      </w:r>
      <w:r>
        <w:rPr>
          <w:color w:val="010101"/>
          <w:sz w:val="21"/>
        </w:rPr>
        <w:t>the army would </w:t>
      </w:r>
      <w:r>
        <w:rPr>
          <w:color w:val="010101"/>
          <w:spacing w:val="2"/>
          <w:sz w:val="21"/>
        </w:rPr>
        <w:t> </w:t>
      </w:r>
      <w:r>
        <w:rPr>
          <w:color w:val="010101"/>
          <w:sz w:val="21"/>
        </w:rPr>
        <w:t>be</w:t>
      </w:r>
    </w:p>
    <w:p>
      <w:pPr>
        <w:spacing w:before="58"/>
        <w:ind w:left="337" w:right="131" w:firstLine="0"/>
        <w:jc w:val="center"/>
        <w:rPr>
          <w:sz w:val="20"/>
        </w:rPr>
      </w:pPr>
      <w:r>
        <w:rPr>
          <w:rFonts w:ascii="Arial"/>
          <w:i/>
          <w:color w:val="010101"/>
          <w:w w:val="90"/>
          <w:sz w:val="20"/>
        </w:rPr>
        <w:t>LH</w:t>
      </w:r>
      <w:r>
        <w:rPr>
          <w:rFonts w:ascii="Arial"/>
          <w:i/>
          <w:color w:val="010101"/>
          <w:sz w:val="20"/>
        </w:rPr>
        <w:t> </w:t>
      </w:r>
      <w:r>
        <w:rPr>
          <w:rFonts w:ascii="Arial"/>
          <w:i/>
          <w:color w:val="010101"/>
          <w:spacing w:val="-25"/>
          <w:sz w:val="20"/>
        </w:rPr>
        <w:t> </w:t>
      </w:r>
      <w:r>
        <w:rPr>
          <w:color w:val="010101"/>
          <w:w w:val="103"/>
          <w:sz w:val="29"/>
        </w:rPr>
        <w:t>+</w:t>
      </w:r>
      <w:r>
        <w:rPr>
          <w:color w:val="010101"/>
          <w:spacing w:val="8"/>
          <w:sz w:val="29"/>
        </w:rPr>
        <w:t> </w:t>
      </w:r>
      <w:r>
        <w:rPr>
          <w:rFonts w:ascii="Arial"/>
          <w:color w:val="010101"/>
          <w:w w:val="82"/>
          <w:sz w:val="23"/>
        </w:rPr>
        <w:t>Lio</w:t>
      </w:r>
      <w:r>
        <w:rPr>
          <w:rFonts w:ascii="Arial"/>
          <w:color w:val="010101"/>
          <w:spacing w:val="4"/>
          <w:sz w:val="23"/>
        </w:rPr>
        <w:t> </w:t>
      </w:r>
      <w:r>
        <w:rPr>
          <w:color w:val="010101"/>
          <w:w w:val="100"/>
          <w:sz w:val="29"/>
        </w:rPr>
        <w:t>+</w:t>
      </w:r>
      <w:r>
        <w:rPr>
          <w:color w:val="010101"/>
          <w:spacing w:val="20"/>
          <w:sz w:val="29"/>
        </w:rPr>
        <w:t> </w:t>
      </w:r>
      <w:r>
        <w:rPr>
          <w:color w:val="010101"/>
          <w:w w:val="236"/>
          <w:sz w:val="20"/>
        </w:rPr>
        <w:t>.</w:t>
      </w:r>
      <w:r>
        <w:rPr>
          <w:color w:val="010101"/>
          <w:spacing w:val="-21"/>
          <w:w w:val="236"/>
          <w:sz w:val="20"/>
        </w:rPr>
        <w:t>4</w:t>
      </w:r>
      <w:r>
        <w:rPr>
          <w:color w:val="010101"/>
          <w:w w:val="87"/>
          <w:sz w:val="20"/>
        </w:rPr>
        <w:t>1</w:t>
      </w:r>
      <w:r>
        <w:rPr>
          <w:color w:val="010101"/>
          <w:spacing w:val="6"/>
          <w:sz w:val="20"/>
        </w:rPr>
        <w:t> </w:t>
      </w:r>
      <w:r>
        <w:rPr>
          <w:color w:val="010101"/>
          <w:w w:val="107"/>
          <w:sz w:val="23"/>
        </w:rPr>
        <w:t>=</w:t>
      </w:r>
      <w:r>
        <w:rPr>
          <w:color w:val="010101"/>
          <w:sz w:val="23"/>
        </w:rPr>
        <w:t> </w:t>
      </w:r>
      <w:r>
        <w:rPr>
          <w:color w:val="010101"/>
          <w:spacing w:val="17"/>
          <w:sz w:val="23"/>
        </w:rPr>
        <w:t> </w:t>
      </w:r>
      <w:r>
        <w:rPr>
          <w:color w:val="010101"/>
          <w:w w:val="91"/>
          <w:sz w:val="20"/>
        </w:rPr>
        <w:t>(</w:t>
      </w:r>
      <w:r>
        <w:rPr>
          <w:color w:val="010101"/>
          <w:w w:val="91"/>
          <w:sz w:val="20"/>
        </w:rPr>
        <w:t>Tia</w:t>
      </w:r>
      <w:r>
        <w:rPr>
          <w:color w:val="010101"/>
          <w:sz w:val="20"/>
        </w:rPr>
        <w:t> </w:t>
      </w:r>
      <w:r>
        <w:rPr>
          <w:color w:val="010101"/>
          <w:spacing w:val="-1"/>
          <w:sz w:val="20"/>
        </w:rPr>
        <w:t> </w:t>
      </w:r>
      <w:r>
        <w:rPr>
          <w:color w:val="010101"/>
          <w:w w:val="266"/>
          <w:sz w:val="20"/>
        </w:rPr>
        <w:t>-</w:t>
      </w:r>
      <w:r>
        <w:rPr>
          <w:color w:val="010101"/>
          <w:spacing w:val="19"/>
          <w:sz w:val="20"/>
        </w:rPr>
        <w:t> </w:t>
      </w:r>
      <w:r>
        <w:rPr>
          <w:color w:val="010101"/>
          <w:w w:val="83"/>
          <w:sz w:val="20"/>
        </w:rPr>
        <w:t>T21</w:t>
      </w:r>
      <w:r>
        <w:rPr>
          <w:color w:val="010101"/>
          <w:w w:val="83"/>
          <w:sz w:val="20"/>
        </w:rPr>
        <w:t>)</w:t>
      </w:r>
      <w:r>
        <w:rPr>
          <w:color w:val="010101"/>
          <w:sz w:val="20"/>
        </w:rPr>
        <w:t>  </w:t>
      </w:r>
      <w:r>
        <w:rPr>
          <w:color w:val="010101"/>
          <w:w w:val="100"/>
          <w:sz w:val="29"/>
        </w:rPr>
        <w:t>+</w:t>
      </w:r>
      <w:r>
        <w:rPr>
          <w:color w:val="010101"/>
          <w:spacing w:val="20"/>
          <w:sz w:val="29"/>
        </w:rPr>
        <w:t> </w:t>
      </w:r>
      <w:r>
        <w:rPr>
          <w:color w:val="010101"/>
          <w:w w:val="84"/>
          <w:sz w:val="20"/>
        </w:rPr>
        <w:t>.4L21</w:t>
      </w:r>
      <w:r>
        <w:rPr>
          <w:color w:val="010101"/>
          <w:sz w:val="20"/>
        </w:rPr>
        <w:t> </w:t>
      </w:r>
      <w:r>
        <w:rPr>
          <w:color w:val="010101"/>
          <w:w w:val="131"/>
          <w:sz w:val="20"/>
        </w:rPr>
        <w:t>.</w:t>
      </w:r>
    </w:p>
    <w:p>
      <w:pPr>
        <w:spacing w:before="86"/>
        <w:ind w:left="110" w:right="114" w:hanging="4"/>
        <w:jc w:val="both"/>
        <w:rPr>
          <w:sz w:val="21"/>
        </w:rPr>
      </w:pPr>
      <w:r>
        <w:rPr>
          <w:color w:val="010101"/>
          <w:sz w:val="21"/>
        </w:rPr>
        <w:t>Since the number of annual entrants is </w:t>
      </w:r>
      <w:r>
        <w:rPr>
          <w:rFonts w:ascii="Arial"/>
          <w:b/>
          <w:color w:val="010101"/>
          <w:sz w:val="19"/>
        </w:rPr>
        <w:t>500,000 </w:t>
      </w:r>
      <w:r>
        <w:rPr>
          <w:color w:val="010101"/>
          <w:sz w:val="21"/>
        </w:rPr>
        <w:t>instead of </w:t>
      </w:r>
      <w:r>
        <w:rPr>
          <w:color w:val="010101"/>
          <w:sz w:val="17"/>
        </w:rPr>
        <w:t>[19 , </w:t>
      </w:r>
      <w:r>
        <w:rPr>
          <w:color w:val="010101"/>
          <w:sz w:val="21"/>
        </w:rPr>
        <w:t>the actual size will be</w:t>
      </w:r>
    </w:p>
    <w:p>
      <w:pPr>
        <w:pStyle w:val="BodyText"/>
        <w:rPr>
          <w:sz w:val="10"/>
        </w:rPr>
      </w:pPr>
      <w:r>
        <w:rPr/>
        <w:drawing>
          <wp:anchor distT="0" distB="0" distL="0" distR="0" allowOverlap="1" layoutInCell="1" locked="0" behindDoc="0" simplePos="0" relativeHeight="14704">
            <wp:simplePos x="0" y="0"/>
            <wp:positionH relativeFrom="page">
              <wp:posOffset>1536191</wp:posOffset>
            </wp:positionH>
            <wp:positionV relativeFrom="paragraph">
              <wp:posOffset>97804</wp:posOffset>
            </wp:positionV>
            <wp:extent cx="1609344" cy="283463"/>
            <wp:effectExtent l="0" t="0" r="0" b="0"/>
            <wp:wrapTopAndBottom/>
            <wp:docPr id="375" name="image193.png" descr=""/>
            <wp:cNvGraphicFramePr>
              <a:graphicFrameLocks noChangeAspect="1"/>
            </wp:cNvGraphicFramePr>
            <a:graphic>
              <a:graphicData uri="http://schemas.openxmlformats.org/drawingml/2006/picture">
                <pic:pic>
                  <pic:nvPicPr>
                    <pic:cNvPr id="376" name="image193.png"/>
                    <pic:cNvPicPr/>
                  </pic:nvPicPr>
                  <pic:blipFill>
                    <a:blip r:embed="rId197" cstate="print"/>
                    <a:stretch>
                      <a:fillRect/>
                    </a:stretch>
                  </pic:blipFill>
                  <pic:spPr>
                    <a:xfrm>
                      <a:off x="0" y="0"/>
                      <a:ext cx="1609344" cy="283463"/>
                    </a:xfrm>
                    <a:prstGeom prst="rect">
                      <a:avLst/>
                    </a:prstGeom>
                  </pic:spPr>
                </pic:pic>
              </a:graphicData>
            </a:graphic>
          </wp:anchor>
        </w:drawing>
      </w:r>
    </w:p>
    <w:p>
      <w:pPr>
        <w:spacing w:line="240" w:lineRule="exact" w:before="90"/>
        <w:ind w:left="117" w:right="123" w:firstLine="0"/>
        <w:jc w:val="both"/>
        <w:rPr>
          <w:sz w:val="21"/>
        </w:rPr>
      </w:pPr>
      <w:r>
        <w:rPr>
          <w:color w:val="010101"/>
          <w:sz w:val="21"/>
        </w:rPr>
        <w:t>and evaluating the functions from Table B of Appcndix I, we find the result </w:t>
      </w:r>
      <w:r>
        <w:rPr>
          <w:color w:val="010101"/>
          <w:sz w:val="22"/>
        </w:rPr>
        <w:t>to </w:t>
      </w:r>
      <w:r>
        <w:rPr>
          <w:color w:val="010101"/>
          <w:sz w:val="21"/>
        </w:rPr>
        <w:t>be 1,197,695  men.</w:t>
      </w:r>
    </w:p>
    <w:p>
      <w:pPr>
        <w:spacing w:line="240" w:lineRule="exact" w:before="1"/>
        <w:ind w:left="110" w:right="115" w:firstLine="200"/>
        <w:jc w:val="both"/>
        <w:rPr>
          <w:sz w:val="21"/>
        </w:rPr>
      </w:pPr>
      <w:r>
        <w:rPr>
          <w:color w:val="010101"/>
          <w:sz w:val="21"/>
        </w:rPr>
        <w:t>A number of other questions may </w:t>
      </w:r>
      <w:r>
        <w:rPr>
          <w:color w:val="010101"/>
          <w:sz w:val="19"/>
        </w:rPr>
        <w:t>be </w:t>
      </w:r>
      <w:r>
        <w:rPr>
          <w:color w:val="010101"/>
          <w:sz w:val="21"/>
        </w:rPr>
        <w:t>easily answered. For in­ stance, the number of men who die in servicc each year will be</w:t>
      </w:r>
    </w:p>
    <w:p>
      <w:pPr>
        <w:spacing w:line="341" w:lineRule="exact" w:before="150"/>
        <w:ind w:left="1703" w:right="0" w:firstLine="0"/>
        <w:jc w:val="left"/>
        <w:rPr>
          <w:sz w:val="21"/>
        </w:rPr>
      </w:pPr>
      <w:r>
        <w:rPr>
          <w:b/>
          <w:color w:val="010101"/>
          <w:w w:val="64"/>
          <w:sz w:val="20"/>
        </w:rPr>
        <w:t>,ÓOO</w:t>
      </w:r>
      <w:r>
        <w:rPr>
          <w:b/>
          <w:color w:val="010101"/>
          <w:sz w:val="20"/>
        </w:rPr>
        <w:t> </w:t>
      </w:r>
      <w:r>
        <w:rPr>
          <w:b/>
          <w:color w:val="010101"/>
          <w:spacing w:val="-16"/>
          <w:sz w:val="20"/>
        </w:rPr>
        <w:t> </w:t>
      </w:r>
      <w:r>
        <w:rPr>
          <w:color w:val="010101"/>
          <w:spacing w:val="12"/>
          <w:w w:val="110"/>
          <w:sz w:val="20"/>
        </w:rPr>
        <w:t>(</w:t>
      </w:r>
      <w:r>
        <w:rPr>
          <w:color w:val="010101"/>
          <w:w w:val="85"/>
          <w:sz w:val="20"/>
        </w:rPr>
        <w:t>d</w:t>
      </w:r>
      <w:r>
        <w:rPr>
          <w:color w:val="010101"/>
          <w:spacing w:val="-16"/>
          <w:w w:val="85"/>
          <w:sz w:val="20"/>
        </w:rPr>
        <w:t>1</w:t>
      </w:r>
      <w:r>
        <w:rPr>
          <w:color w:val="010101"/>
          <w:w w:val="33"/>
          <w:sz w:val="20"/>
        </w:rPr>
        <w:t>11</w:t>
      </w:r>
      <w:r>
        <w:rPr>
          <w:color w:val="010101"/>
          <w:spacing w:val="20"/>
          <w:sz w:val="20"/>
        </w:rPr>
        <w:t> </w:t>
      </w:r>
      <w:r>
        <w:rPr>
          <w:rFonts w:ascii="Arial" w:hAnsi="Arial"/>
          <w:color w:val="010101"/>
          <w:w w:val="105"/>
          <w:sz w:val="31"/>
        </w:rPr>
        <w:t>+</w:t>
      </w:r>
      <w:r>
        <w:rPr>
          <w:rFonts w:ascii="Arial" w:hAnsi="Arial"/>
          <w:color w:val="010101"/>
          <w:spacing w:val="-27"/>
          <w:sz w:val="31"/>
        </w:rPr>
        <w:t> </w:t>
      </w:r>
      <w:r>
        <w:rPr>
          <w:color w:val="010101"/>
          <w:w w:val="73"/>
          <w:sz w:val="20"/>
        </w:rPr>
        <w:t>d20</w:t>
      </w:r>
      <w:r>
        <w:rPr>
          <w:color w:val="010101"/>
          <w:sz w:val="20"/>
        </w:rPr>
        <w:t> </w:t>
      </w:r>
      <w:r>
        <w:rPr>
          <w:color w:val="010101"/>
          <w:spacing w:val="-22"/>
          <w:sz w:val="20"/>
        </w:rPr>
        <w:t> </w:t>
      </w:r>
      <w:r>
        <w:rPr>
          <w:rFonts w:ascii="Arial" w:hAnsi="Arial"/>
          <w:color w:val="010101"/>
          <w:spacing w:val="-6"/>
          <w:w w:val="105"/>
          <w:sz w:val="31"/>
        </w:rPr>
        <w:t>+</w:t>
      </w:r>
      <w:r>
        <w:rPr>
          <w:color w:val="010101"/>
          <w:spacing w:val="-38"/>
          <w:w w:val="140"/>
          <w:sz w:val="21"/>
        </w:rPr>
        <w:t>.</w:t>
      </w:r>
      <w:r>
        <w:rPr>
          <w:color w:val="010101"/>
          <w:w w:val="97"/>
          <w:sz w:val="21"/>
        </w:rPr>
        <w:t>4</w:t>
      </w:r>
      <w:r>
        <w:rPr>
          <w:color w:val="010101"/>
          <w:spacing w:val="14"/>
          <w:sz w:val="21"/>
        </w:rPr>
        <w:t> </w:t>
      </w:r>
      <w:r>
        <w:rPr>
          <w:color w:val="010101"/>
          <w:spacing w:val="-23"/>
          <w:w w:val="101"/>
          <w:sz w:val="20"/>
        </w:rPr>
        <w:t>d</w:t>
      </w:r>
      <w:r>
        <w:rPr>
          <w:color w:val="010101"/>
          <w:w w:val="63"/>
          <w:sz w:val="20"/>
        </w:rPr>
        <w:t>-21)</w:t>
      </w:r>
      <w:r>
        <w:rPr>
          <w:color w:val="010101"/>
          <w:sz w:val="20"/>
        </w:rPr>
        <w:t> </w:t>
      </w:r>
      <w:r>
        <w:rPr>
          <w:color w:val="010101"/>
          <w:spacing w:val="13"/>
          <w:sz w:val="20"/>
        </w:rPr>
        <w:t> </w:t>
      </w:r>
      <w:r>
        <w:rPr>
          <w:color w:val="010101"/>
          <w:w w:val="101"/>
          <w:sz w:val="23"/>
        </w:rPr>
        <w:t>=</w:t>
      </w:r>
      <w:r>
        <w:rPr>
          <w:color w:val="010101"/>
          <w:sz w:val="23"/>
        </w:rPr>
        <w:t> </w:t>
      </w:r>
      <w:r>
        <w:rPr>
          <w:color w:val="010101"/>
          <w:spacing w:val="4"/>
          <w:sz w:val="23"/>
        </w:rPr>
        <w:t> </w:t>
      </w:r>
      <w:r>
        <w:rPr>
          <w:color w:val="010101"/>
          <w:sz w:val="21"/>
        </w:rPr>
        <w:t>1</w:t>
      </w:r>
      <w:r>
        <w:rPr>
          <w:color w:val="010101"/>
          <w:spacing w:val="-29"/>
          <w:sz w:val="21"/>
        </w:rPr>
        <w:t>,</w:t>
      </w:r>
      <w:r>
        <w:rPr>
          <w:color w:val="010101"/>
          <w:w w:val="98"/>
          <w:sz w:val="21"/>
        </w:rPr>
        <w:t>878.</w:t>
      </w:r>
    </w:p>
    <w:p>
      <w:pPr>
        <w:spacing w:line="123" w:lineRule="exact" w:before="0"/>
        <w:ind w:left="1707" w:right="0" w:firstLine="0"/>
        <w:jc w:val="left"/>
        <w:rPr>
          <w:b/>
          <w:sz w:val="12"/>
        </w:rPr>
      </w:pPr>
      <w:r>
        <w:rPr/>
        <w:pict>
          <v:line style="position:absolute;mso-position-horizontal-relative:page;mso-position-vertical-relative:paragraph;z-index:-721336" from="117.129997pt,2.237344pt" to="125.381197pt,2.237344pt" stroked="true" strokeweight="3.408072pt" strokecolor="#000000">
            <w10:wrap type="none"/>
          </v:line>
        </w:pict>
      </w:r>
      <w:r>
        <w:rPr>
          <w:b/>
          <w:color w:val="010101"/>
          <w:w w:val="70"/>
          <w:sz w:val="12"/>
        </w:rPr>
        <w:t>111</w:t>
      </w:r>
    </w:p>
    <w:p>
      <w:pPr>
        <w:spacing w:before="105"/>
        <w:ind w:left="125" w:right="0" w:firstLine="0"/>
        <w:jc w:val="both"/>
        <w:rPr>
          <w:sz w:val="21"/>
        </w:rPr>
      </w:pPr>
      <w:r>
        <w:rPr>
          <w:color w:val="010101"/>
          <w:sz w:val="21"/>
        </w:rPr>
        <w:t>The number of men discharged ea.ch year will  be</w:t>
      </w:r>
    </w:p>
    <w:p>
      <w:pPr>
        <w:spacing w:line="345" w:lineRule="exact" w:before="142"/>
        <w:ind w:left="138" w:right="131" w:firstLine="0"/>
        <w:jc w:val="center"/>
        <w:rPr>
          <w:rFonts w:ascii="Arial"/>
          <w:b/>
          <w:sz w:val="19"/>
        </w:rPr>
      </w:pPr>
      <w:r>
        <w:rPr>
          <w:b/>
          <w:color w:val="010101"/>
          <w:spacing w:val="-10"/>
          <w:sz w:val="21"/>
        </w:rPr>
        <w:t>500l,OOO </w:t>
      </w:r>
      <w:r>
        <w:rPr>
          <w:color w:val="010101"/>
          <w:spacing w:val="-6"/>
          <w:sz w:val="20"/>
        </w:rPr>
        <w:t>(.6l21 </w:t>
      </w:r>
      <w:r>
        <w:rPr>
          <w:rFonts w:ascii="Arial"/>
          <w:color w:val="010101"/>
          <w:sz w:val="31"/>
        </w:rPr>
        <w:t>+</w:t>
      </w:r>
      <w:r>
        <w:rPr>
          <w:rFonts w:ascii="Arial"/>
          <w:color w:val="010101"/>
          <w:spacing w:val="-66"/>
          <w:sz w:val="31"/>
        </w:rPr>
        <w:t> </w:t>
      </w:r>
      <w:r>
        <w:rPr>
          <w:b/>
          <w:color w:val="010101"/>
          <w:sz w:val="21"/>
        </w:rPr>
        <w:t>.4ln) </w:t>
      </w:r>
      <w:r>
        <w:rPr>
          <w:color w:val="010101"/>
          <w:sz w:val="26"/>
        </w:rPr>
        <w:t>= </w:t>
      </w:r>
      <w:r>
        <w:rPr>
          <w:rFonts w:ascii="Arial"/>
          <w:b/>
          <w:color w:val="010101"/>
          <w:sz w:val="19"/>
        </w:rPr>
        <w:t>498,122.</w:t>
      </w:r>
    </w:p>
    <w:p>
      <w:pPr>
        <w:spacing w:line="126" w:lineRule="exact" w:before="0"/>
        <w:ind w:left="1832" w:right="0" w:firstLine="0"/>
        <w:jc w:val="left"/>
        <w:rPr>
          <w:b/>
          <w:sz w:val="12"/>
        </w:rPr>
      </w:pPr>
      <w:r>
        <w:rPr/>
        <w:pict>
          <v:line style="position:absolute;mso-position-horizontal-relative:page;mso-position-vertical-relative:paragraph;z-index:-721312" from="123.587402pt,2.327347pt" to="131.838602pt,2.327347pt" stroked="true" strokeweight="3.2287pt" strokecolor="#000000">
            <w10:wrap type="none"/>
          </v:line>
        </w:pict>
      </w:r>
      <w:r>
        <w:rPr>
          <w:b/>
          <w:color w:val="010101"/>
          <w:sz w:val="12"/>
        </w:rPr>
        <w:t>19</w:t>
      </w:r>
    </w:p>
    <w:p>
      <w:pPr>
        <w:spacing w:before="101"/>
        <w:ind w:left="117" w:right="123" w:firstLine="3"/>
        <w:jc w:val="both"/>
        <w:rPr>
          <w:sz w:val="21"/>
        </w:rPr>
      </w:pPr>
      <w:r>
        <w:rPr>
          <w:color w:val="010101"/>
          <w:sz w:val="21"/>
        </w:rPr>
        <w:t>As a check, it may be noted that the number of men dying and discharged each year </w:t>
      </w:r>
      <w:r>
        <w:rPr>
          <w:rFonts w:ascii="Arial"/>
          <w:color w:val="010101"/>
          <w:sz w:val="20"/>
        </w:rPr>
        <w:t>is </w:t>
      </w:r>
      <w:r>
        <w:rPr>
          <w:color w:val="010101"/>
          <w:sz w:val="21"/>
        </w:rPr>
        <w:t>equal to </w:t>
      </w:r>
      <w:r>
        <w:rPr>
          <w:rFonts w:ascii="Arial"/>
          <w:b/>
          <w:color w:val="010101"/>
          <w:sz w:val="19"/>
        </w:rPr>
        <w:t>500,000, </w:t>
      </w:r>
      <w:r>
        <w:rPr>
          <w:color w:val="010101"/>
          <w:sz w:val="21"/>
        </w:rPr>
        <w:t>the number of annual entrants.</w:t>
      </w:r>
    </w:p>
    <w:p>
      <w:pPr>
        <w:pStyle w:val="ListParagraph"/>
        <w:numPr>
          <w:ilvl w:val="0"/>
          <w:numId w:val="79"/>
        </w:numPr>
        <w:tabs>
          <w:tab w:pos="362" w:val="left" w:leader="none"/>
        </w:tabs>
        <w:spacing w:line="240" w:lineRule="auto" w:before="173" w:after="0"/>
        <w:ind w:left="361" w:right="0" w:hanging="244"/>
        <w:jc w:val="both"/>
        <w:rPr>
          <w:b/>
          <w:color w:val="010101"/>
          <w:sz w:val="19"/>
        </w:rPr>
      </w:pPr>
      <w:r>
        <w:rPr>
          <w:b/>
          <w:color w:val="010101"/>
          <w:w w:val="120"/>
          <w:sz w:val="19"/>
        </w:rPr>
        <w:t>Average ages in the stationary</w:t>
      </w:r>
      <w:r>
        <w:rPr>
          <w:b/>
          <w:color w:val="010101"/>
          <w:spacing w:val="-20"/>
          <w:w w:val="120"/>
          <w:sz w:val="19"/>
        </w:rPr>
        <w:t> </w:t>
      </w:r>
      <w:r>
        <w:rPr>
          <w:b/>
          <w:color w:val="010101"/>
          <w:w w:val="120"/>
          <w:sz w:val="19"/>
        </w:rPr>
        <w:t>population</w:t>
      </w:r>
    </w:p>
    <w:p>
      <w:pPr>
        <w:spacing w:line="235" w:lineRule="auto" w:before="76"/>
        <w:ind w:left="117" w:right="117" w:firstLine="200"/>
        <w:jc w:val="both"/>
        <w:rPr>
          <w:sz w:val="21"/>
        </w:rPr>
      </w:pPr>
      <w:r>
        <w:rPr>
          <w:color w:val="010101"/>
          <w:sz w:val="21"/>
        </w:rPr>
        <w:t>Sorne of the problems that wcre discussed </w:t>
      </w:r>
      <w:r>
        <w:rPr>
          <w:color w:val="565656"/>
          <w:sz w:val="21"/>
        </w:rPr>
        <w:t>·</w:t>
      </w:r>
      <w:r>
        <w:rPr>
          <w:color w:val="010101"/>
          <w:sz w:val="21"/>
        </w:rPr>
        <w:t>in terms of the sur­ vivorship group have exact mathematical counterparts in the stationary  population.  Although  the interpretation  is different, the</w:t>
      </w:r>
    </w:p>
    <w:p>
      <w:pPr>
        <w:spacing w:after="0" w:line="235" w:lineRule="auto"/>
        <w:jc w:val="both"/>
        <w:rPr>
          <w:sz w:val="21"/>
        </w:rPr>
        <w:sectPr>
          <w:pgSz w:w="7200" w:h="11340"/>
          <w:pgMar w:top="520" w:bottom="280" w:left="700" w:right="540"/>
        </w:sectPr>
      </w:pPr>
    </w:p>
    <w:p>
      <w:pPr>
        <w:tabs>
          <w:tab w:pos="2090" w:val="left" w:leader="none"/>
          <w:tab w:pos="5341" w:val="left" w:leader="none"/>
        </w:tabs>
        <w:spacing w:before="47"/>
        <w:ind w:left="117" w:right="0" w:firstLine="21"/>
        <w:jc w:val="both"/>
        <w:rPr>
          <w:rFonts w:ascii="Arial"/>
          <w:b/>
          <w:sz w:val="19"/>
        </w:rPr>
      </w:pPr>
      <w:r>
        <w:rPr>
          <w:sz w:val="20"/>
        </w:rPr>
        <w:t>180</w:t>
        <w:tab/>
      </w:r>
      <w:r>
        <w:rPr>
          <w:b/>
          <w:sz w:val="15"/>
        </w:rPr>
        <w:t>POPULATION  </w:t>
      </w:r>
      <w:r>
        <w:rPr>
          <w:b/>
          <w:spacing w:val="5"/>
          <w:sz w:val="15"/>
        </w:rPr>
        <w:t> </w:t>
      </w:r>
      <w:r>
        <w:rPr>
          <w:b/>
          <w:sz w:val="15"/>
        </w:rPr>
        <w:t>THEORY</w:t>
        <w:tab/>
      </w:r>
      <w:r>
        <w:rPr>
          <w:b/>
          <w:w w:val="95"/>
          <w:sz w:val="19"/>
        </w:rPr>
        <w:t>[CH. </w:t>
      </w:r>
      <w:r>
        <w:rPr>
          <w:rFonts w:ascii="Arial"/>
          <w:b/>
          <w:w w:val="95"/>
          <w:sz w:val="19"/>
        </w:rPr>
        <w:t>8</w:t>
      </w:r>
    </w:p>
    <w:p>
      <w:pPr>
        <w:pStyle w:val="BodyText"/>
        <w:spacing w:before="4"/>
        <w:rPr>
          <w:rFonts w:ascii="Arial"/>
          <w:b/>
        </w:rPr>
      </w:pPr>
    </w:p>
    <w:p>
      <w:pPr>
        <w:pStyle w:val="BodyText"/>
        <w:spacing w:line="247" w:lineRule="auto"/>
        <w:ind w:left="114" w:right="122" w:firstLine="3"/>
        <w:jc w:val="both"/>
      </w:pPr>
      <w:r>
        <w:rPr>
          <w:w w:val="105"/>
        </w:rPr>
        <w:t>solution involves the same mortality functions and the same mathe­ matical processes. Thus, the average age at death of ali those in </w:t>
      </w:r>
      <w:r>
        <w:rPr>
          <w:spacing w:val="50"/>
          <w:w w:val="105"/>
        </w:rPr>
        <w:t> </w:t>
      </w:r>
      <w:r>
        <w:rPr>
          <w:w w:val="105"/>
        </w:rPr>
        <w:t>the</w:t>
      </w:r>
    </w:p>
    <w:p>
      <w:pPr>
        <w:pStyle w:val="BodyText"/>
        <w:spacing w:line="250" w:lineRule="exact"/>
        <w:ind w:left="117"/>
        <w:jc w:val="both"/>
      </w:pPr>
      <w:r>
        <w:rPr>
          <w:w w:val="110"/>
        </w:rPr>
        <w:t>stationary population who die after attaining age </w:t>
      </w:r>
      <w:r>
        <w:rPr>
          <w:rFonts w:ascii="Arial"/>
          <w:i/>
          <w:w w:val="110"/>
          <w:sz w:val="17"/>
        </w:rPr>
        <w:t>x </w:t>
      </w:r>
      <w:r>
        <w:rPr>
          <w:w w:val="110"/>
        </w:rPr>
        <w:t>is </w:t>
      </w:r>
      <w:r>
        <w:rPr>
          <w:rFonts w:ascii="Arial"/>
          <w:i/>
          <w:w w:val="110"/>
          <w:sz w:val="17"/>
        </w:rPr>
        <w:t>x  </w:t>
      </w:r>
      <w:r>
        <w:rPr>
          <w:rFonts w:ascii="Arial"/>
          <w:w w:val="110"/>
          <w:sz w:val="31"/>
        </w:rPr>
        <w:t>+ </w:t>
      </w:r>
      <w:r>
        <w:rPr>
          <w:i/>
          <w:w w:val="110"/>
          <w:sz w:val="13"/>
        </w:rPr>
        <w:t>z  </w:t>
      </w:r>
      <w:r>
        <w:rPr>
          <w:w w:val="120"/>
          <w:sz w:val="13"/>
        </w:rPr>
        <w:t>, </w:t>
      </w:r>
      <w:r>
        <w:rPr>
          <w:w w:val="110"/>
        </w:rPr>
        <w:t>and</w:t>
      </w:r>
    </w:p>
    <w:p>
      <w:pPr>
        <w:pStyle w:val="BodyText"/>
        <w:spacing w:line="247" w:lineRule="auto"/>
        <w:ind w:left="117" w:right="117"/>
        <w:jc w:val="both"/>
      </w:pPr>
      <w:r>
        <w:rPr>
          <w:w w:val="105"/>
        </w:rPr>
        <w:t>the average age at death  of  all those in the stationary  population   is   </w:t>
      </w:r>
      <w:r>
        <w:rPr>
          <w:sz w:val="18"/>
        </w:rPr>
        <w:t>o </w:t>
      </w:r>
      <w:r>
        <w:rPr>
          <w:w w:val="105"/>
          <w:sz w:val="18"/>
        </w:rPr>
        <w:t>. </w:t>
      </w:r>
      <w:r>
        <w:rPr>
          <w:w w:val="105"/>
        </w:rPr>
        <w:t>Similarly,  the average age at death of  ali those  in  the    </w:t>
      </w:r>
      <w:r>
        <w:rPr>
          <w:spacing w:val="14"/>
          <w:w w:val="105"/>
        </w:rPr>
        <w:t> </w:t>
      </w:r>
      <w:r>
        <w:rPr>
          <w:w w:val="105"/>
        </w:rPr>
        <w:t>sta­</w:t>
      </w:r>
    </w:p>
    <w:p>
      <w:pPr>
        <w:pStyle w:val="BodyText"/>
        <w:spacing w:line="257" w:lineRule="exact"/>
        <w:ind w:left="117"/>
        <w:jc w:val="both"/>
      </w:pPr>
      <w:r>
        <w:rPr>
          <w:w w:val="105"/>
        </w:rPr>
        <w:t>tionary population whose deaths occur between  ages </w:t>
      </w:r>
      <w:r>
        <w:rPr>
          <w:i/>
          <w:w w:val="105"/>
        </w:rPr>
        <w:t>x </w:t>
      </w:r>
      <w:r>
        <w:rPr>
          <w:w w:val="105"/>
        </w:rPr>
        <w:t>and </w:t>
      </w:r>
      <w:r>
        <w:rPr>
          <w:i/>
          <w:w w:val="105"/>
        </w:rPr>
        <w:t>x </w:t>
      </w:r>
      <w:r>
        <w:rPr>
          <w:rFonts w:ascii="Arial"/>
          <w:w w:val="105"/>
          <w:sz w:val="31"/>
        </w:rPr>
        <w:t>+ </w:t>
      </w:r>
      <w:r>
        <w:rPr>
          <w:i/>
          <w:w w:val="105"/>
        </w:rPr>
        <w:t>n </w:t>
      </w:r>
      <w:r>
        <w:rPr>
          <w:w w:val="105"/>
        </w:rPr>
        <w:t>is</w:t>
      </w:r>
    </w:p>
    <w:p>
      <w:pPr>
        <w:tabs>
          <w:tab w:pos="439" w:val="left" w:leader="none"/>
        </w:tabs>
        <w:spacing w:line="254" w:lineRule="exact" w:before="150"/>
        <w:ind w:left="0" w:right="6" w:firstLine="0"/>
        <w:jc w:val="center"/>
        <w:rPr>
          <w:rFonts w:ascii="Arial" w:hAnsi="Arial"/>
          <w:sz w:val="14"/>
        </w:rPr>
      </w:pPr>
      <w:r>
        <w:rPr/>
        <w:pict>
          <v:shape style="position:absolute;margin-left:136.259995pt;margin-top:11.155656pt;width:9.4pt;height:15.5pt;mso-position-horizontal-relative:page;mso-position-vertical-relative:paragraph;z-index:-721264" type="#_x0000_t202" filled="false" stroked="false">
            <v:textbox inset="0,0,0,0">
              <w:txbxContent>
                <w:p>
                  <w:pPr>
                    <w:spacing w:line="310" w:lineRule="exact" w:before="0"/>
                    <w:ind w:left="0" w:right="0" w:firstLine="0"/>
                    <w:jc w:val="left"/>
                    <w:rPr>
                      <w:rFonts w:ascii="Arial"/>
                      <w:sz w:val="31"/>
                    </w:rPr>
                  </w:pPr>
                  <w:r>
                    <w:rPr>
                      <w:rFonts w:ascii="Arial"/>
                      <w:w w:val="103"/>
                      <w:sz w:val="31"/>
                    </w:rPr>
                    <w:t>+</w:t>
                  </w:r>
                </w:p>
              </w:txbxContent>
            </v:textbox>
            <w10:wrap type="none"/>
          </v:shape>
        </w:pict>
      </w:r>
      <w:r>
        <w:rPr>
          <w:rFonts w:ascii="Arial" w:hAnsi="Arial"/>
          <w:b/>
          <w:i/>
          <w:position w:val="-9"/>
          <w:sz w:val="14"/>
        </w:rPr>
        <w:t>X</w:t>
        <w:tab/>
      </w:r>
      <w:r>
        <w:rPr>
          <w:b/>
          <w:i/>
          <w:w w:val="140"/>
          <w:sz w:val="17"/>
        </w:rPr>
        <w:t>Tz</w:t>
      </w:r>
      <w:r>
        <w:rPr>
          <w:b/>
          <w:i/>
          <w:spacing w:val="-9"/>
          <w:w w:val="140"/>
          <w:sz w:val="17"/>
        </w:rPr>
        <w:t> </w:t>
      </w:r>
      <w:r>
        <w:rPr>
          <w:w w:val="305"/>
          <w:sz w:val="17"/>
        </w:rPr>
        <w:t>-</w:t>
      </w:r>
      <w:r>
        <w:rPr>
          <w:spacing w:val="-86"/>
          <w:w w:val="305"/>
          <w:sz w:val="17"/>
        </w:rPr>
        <w:t> </w:t>
      </w:r>
      <w:r>
        <w:rPr>
          <w:b/>
          <w:i/>
          <w:sz w:val="17"/>
        </w:rPr>
        <w:t>T:z:+n</w:t>
      </w:r>
      <w:r>
        <w:rPr>
          <w:b/>
          <w:i/>
          <w:spacing w:val="19"/>
          <w:sz w:val="17"/>
        </w:rPr>
        <w:t> </w:t>
      </w:r>
      <w:r>
        <w:rPr>
          <w:w w:val="305"/>
          <w:sz w:val="17"/>
        </w:rPr>
        <w:t>-</w:t>
      </w:r>
      <w:r>
        <w:rPr>
          <w:spacing w:val="-102"/>
          <w:w w:val="305"/>
          <w:sz w:val="17"/>
        </w:rPr>
        <w:t> </w:t>
      </w:r>
      <w:r>
        <w:rPr>
          <w:b/>
          <w:i/>
          <w:sz w:val="17"/>
        </w:rPr>
        <w:t>nlx+n </w:t>
      </w:r>
      <w:r>
        <w:rPr>
          <w:rFonts w:ascii="Arial" w:hAnsi="Arial"/>
          <w:position w:val="-9"/>
          <w:sz w:val="14"/>
        </w:rPr>
        <w:t>•</w:t>
      </w:r>
    </w:p>
    <w:p>
      <w:pPr>
        <w:spacing w:line="196" w:lineRule="exact" w:before="0"/>
        <w:ind w:left="1485" w:right="1169" w:firstLine="0"/>
        <w:jc w:val="center"/>
        <w:rPr>
          <w:b/>
          <w:i/>
          <w:sz w:val="20"/>
        </w:rPr>
      </w:pPr>
      <w:r>
        <w:rPr>
          <w:b/>
          <w:i/>
          <w:sz w:val="20"/>
        </w:rPr>
        <w:t>l z </w:t>
      </w:r>
      <w:r>
        <w:rPr>
          <w:w w:val="270"/>
          <w:sz w:val="20"/>
        </w:rPr>
        <w:t>-</w:t>
      </w:r>
      <w:r>
        <w:rPr>
          <w:spacing w:val="-112"/>
          <w:w w:val="270"/>
          <w:sz w:val="20"/>
        </w:rPr>
        <w:t> </w:t>
      </w:r>
      <w:r>
        <w:rPr>
          <w:b/>
          <w:i/>
          <w:sz w:val="20"/>
        </w:rPr>
        <w:t>lz+n</w:t>
      </w:r>
    </w:p>
    <w:p>
      <w:pPr>
        <w:pStyle w:val="BodyText"/>
        <w:spacing w:before="105"/>
        <w:ind w:left="114" w:firstLine="7"/>
        <w:jc w:val="both"/>
      </w:pPr>
      <w:r>
        <w:rPr>
          <w:w w:val="105"/>
        </w:rPr>
        <w:t>In considering this result for the stationary population,  the   expres­</w:t>
      </w:r>
    </w:p>
    <w:p>
      <w:pPr>
        <w:spacing w:line="139" w:lineRule="auto" w:before="93"/>
        <w:ind w:left="114" w:right="123" w:firstLine="3"/>
        <w:jc w:val="both"/>
        <w:rPr>
          <w:sz w:val="20"/>
        </w:rPr>
      </w:pPr>
      <w:r>
        <w:rPr>
          <w:sz w:val="20"/>
        </w:rPr>
        <w:t>sion </w:t>
      </w:r>
      <w:r>
        <w:rPr>
          <w:i/>
          <w:w w:val="90"/>
          <w:sz w:val="20"/>
        </w:rPr>
        <w:t>l:z </w:t>
      </w:r>
      <w:r>
        <w:rPr>
          <w:w w:val="240"/>
          <w:sz w:val="20"/>
        </w:rPr>
        <w:t>- </w:t>
      </w:r>
      <w:r>
        <w:rPr>
          <w:i/>
          <w:sz w:val="20"/>
        </w:rPr>
        <w:t>lx+n </w:t>
      </w:r>
      <w:r>
        <w:rPr>
          <w:sz w:val="20"/>
        </w:rPr>
        <w:t>may be interpreted as the number of deaths between ages </w:t>
      </w:r>
      <w:r>
        <w:rPr>
          <w:i/>
          <w:sz w:val="19"/>
        </w:rPr>
        <w:t>x  </w:t>
      </w:r>
      <w:r>
        <w:rPr>
          <w:sz w:val="20"/>
        </w:rPr>
        <w:t>and </w:t>
      </w:r>
      <w:r>
        <w:rPr>
          <w:i/>
          <w:sz w:val="19"/>
        </w:rPr>
        <w:t>x  </w:t>
      </w:r>
      <w:r>
        <w:rPr>
          <w:rFonts w:ascii="Arial"/>
          <w:sz w:val="31"/>
        </w:rPr>
        <w:t>+ </w:t>
      </w:r>
      <w:r>
        <w:rPr>
          <w:i/>
          <w:w w:val="110"/>
          <w:sz w:val="19"/>
        </w:rPr>
        <w:t>n in </w:t>
      </w:r>
      <w:r>
        <w:rPr>
          <w:i/>
          <w:sz w:val="19"/>
        </w:rPr>
        <w:t>any year  of  time, </w:t>
      </w:r>
      <w:r>
        <w:rPr>
          <w:sz w:val="20"/>
        </w:rPr>
        <w:t>and thus the result  corresponds</w:t>
      </w:r>
    </w:p>
    <w:p>
      <w:pPr>
        <w:pStyle w:val="BodyText"/>
        <w:spacing w:line="249" w:lineRule="auto" w:before="16"/>
        <w:ind w:left="106" w:right="123" w:firstLine="14"/>
        <w:jc w:val="both"/>
      </w:pPr>
      <w:r>
        <w:rPr>
          <w:w w:val="105"/>
        </w:rPr>
        <w:t>to what would be obtained by observing the deaths  at those  ages for a period of a year. The population being stationary, the par­ ticular yearly period  used  is immaterial.</w:t>
      </w:r>
    </w:p>
    <w:p>
      <w:pPr>
        <w:pStyle w:val="BodyText"/>
        <w:spacing w:line="249" w:lineRule="auto"/>
        <w:ind w:left="114" w:right="132" w:firstLine="201"/>
        <w:jc w:val="both"/>
      </w:pPr>
      <w:r>
        <w:rPr>
          <w:w w:val="105"/>
        </w:rPr>
        <w:t>Problems which involve segments of  the population  </w:t>
      </w:r>
      <w:r>
        <w:rPr>
          <w:i/>
          <w:w w:val="105"/>
          <w:sz w:val="21"/>
        </w:rPr>
        <w:t>now </w:t>
      </w:r>
      <w:r>
        <w:rPr>
          <w:i/>
          <w:w w:val="105"/>
          <w:sz w:val="19"/>
        </w:rPr>
        <w:t>living </w:t>
      </w:r>
      <w:r>
        <w:rPr>
          <w:w w:val="105"/>
        </w:rPr>
        <w:t>at certain ages are peculiar </w:t>
      </w:r>
      <w:r>
        <w:rPr>
          <w:w w:val="105"/>
          <w:sz w:val="21"/>
        </w:rPr>
        <w:t>to </w:t>
      </w:r>
      <w:r>
        <w:rPr>
          <w:w w:val="105"/>
        </w:rPr>
        <w:t>the stationary  population  and have no analogy in the survivorship group. Such problems are typicfllly concerncd with sorne subset of the present population, and we shall discuss them under two headings: (1) those involving ali the mem­ bers of thc subset, and (2 ) those involving only the members who die under certain specified </w:t>
      </w:r>
      <w:r>
        <w:rPr>
          <w:spacing w:val="16"/>
          <w:w w:val="105"/>
        </w:rPr>
        <w:t> </w:t>
      </w:r>
      <w:r>
        <w:rPr>
          <w:w w:val="105"/>
        </w:rPr>
        <w:t>conditions.</w:t>
      </w:r>
    </w:p>
    <w:p>
      <w:pPr>
        <w:pStyle w:val="ListParagraph"/>
        <w:numPr>
          <w:ilvl w:val="0"/>
          <w:numId w:val="80"/>
        </w:numPr>
        <w:tabs>
          <w:tab w:pos="712" w:val="left" w:leader="none"/>
        </w:tabs>
        <w:spacing w:line="252" w:lineRule="auto" w:before="2" w:after="0"/>
        <w:ind w:left="114" w:right="122" w:firstLine="234"/>
        <w:jc w:val="both"/>
        <w:rPr>
          <w:sz w:val="20"/>
        </w:rPr>
      </w:pPr>
      <w:r>
        <w:rPr>
          <w:sz w:val="20"/>
        </w:rPr>
        <w:t>As an example of problems involving all the members of a subset, we considcr the  subset  consisting  of  those  persons  now living  at ages </w:t>
      </w:r>
      <w:r>
        <w:rPr>
          <w:rFonts w:ascii="Arial"/>
          <w:i/>
          <w:sz w:val="16"/>
        </w:rPr>
        <w:t>x  </w:t>
      </w:r>
      <w:r>
        <w:rPr>
          <w:sz w:val="20"/>
        </w:rPr>
        <w:t>and  over. We  note first  that  the number  of</w:t>
      </w:r>
      <w:r>
        <w:rPr>
          <w:spacing w:val="-6"/>
          <w:sz w:val="20"/>
        </w:rPr>
        <w:t> </w:t>
      </w:r>
      <w:r>
        <w:rPr>
          <w:sz w:val="20"/>
        </w:rPr>
        <w:t>members</w:t>
      </w:r>
    </w:p>
    <w:p>
      <w:pPr>
        <w:spacing w:line="382" w:lineRule="exact" w:before="0"/>
        <w:ind w:left="117" w:right="0" w:firstLine="0"/>
        <w:jc w:val="both"/>
        <w:rPr>
          <w:sz w:val="20"/>
        </w:rPr>
      </w:pPr>
      <w:r>
        <w:rPr>
          <w:w w:val="99"/>
          <w:sz w:val="20"/>
        </w:rPr>
        <w:t>in</w:t>
      </w:r>
      <w:r>
        <w:rPr>
          <w:spacing w:val="3"/>
          <w:sz w:val="20"/>
        </w:rPr>
        <w:t> </w:t>
      </w:r>
      <w:r>
        <w:rPr>
          <w:w w:val="108"/>
          <w:sz w:val="20"/>
        </w:rPr>
        <w:t>this</w:t>
      </w:r>
      <w:r>
        <w:rPr>
          <w:spacing w:val="-1"/>
          <w:sz w:val="20"/>
        </w:rPr>
        <w:t> </w:t>
      </w:r>
      <w:r>
        <w:rPr>
          <w:w w:val="104"/>
          <w:sz w:val="20"/>
        </w:rPr>
        <w:t>subsct</w:t>
      </w:r>
      <w:r>
        <w:rPr>
          <w:spacing w:val="15"/>
          <w:sz w:val="20"/>
        </w:rPr>
        <w:t> </w:t>
      </w:r>
      <w:r>
        <w:rPr>
          <w:w w:val="93"/>
          <w:sz w:val="20"/>
        </w:rPr>
        <w:t>is</w:t>
      </w:r>
      <w:r>
        <w:rPr>
          <w:spacing w:val="8"/>
          <w:sz w:val="20"/>
        </w:rPr>
        <w:t> </w:t>
      </w:r>
      <w:r>
        <w:rPr>
          <w:i/>
          <w:spacing w:val="13"/>
          <w:w w:val="103"/>
          <w:sz w:val="20"/>
        </w:rPr>
        <w:t>T</w:t>
      </w:r>
      <w:r>
        <w:rPr>
          <w:i/>
          <w:w w:val="58"/>
          <w:sz w:val="20"/>
        </w:rPr>
        <w:t>x</w:t>
      </w:r>
      <w:r>
        <w:rPr>
          <w:i/>
          <w:sz w:val="20"/>
        </w:rPr>
        <w:t> </w:t>
      </w:r>
      <w:r>
        <w:rPr>
          <w:i/>
          <w:spacing w:val="-9"/>
          <w:sz w:val="20"/>
        </w:rPr>
        <w:t> </w:t>
      </w:r>
      <w:r>
        <w:rPr>
          <w:w w:val="94"/>
          <w:sz w:val="24"/>
        </w:rPr>
        <w:t>=</w:t>
      </w:r>
      <w:r>
        <w:rPr>
          <w:sz w:val="24"/>
        </w:rPr>
        <w:t> </w:t>
      </w:r>
      <w:r>
        <w:rPr>
          <w:spacing w:val="-11"/>
          <w:sz w:val="24"/>
        </w:rPr>
        <w:t> </w:t>
      </w:r>
      <w:r>
        <w:rPr>
          <w:i/>
          <w:spacing w:val="-4"/>
          <w:w w:val="75"/>
          <w:sz w:val="40"/>
        </w:rPr>
        <w:t>L</w:t>
      </w:r>
      <w:r>
        <w:rPr>
          <w:i/>
          <w:w w:val="36"/>
          <w:sz w:val="40"/>
        </w:rPr>
        <w:t>'°</w:t>
      </w:r>
      <w:r>
        <w:rPr>
          <w:i/>
          <w:spacing w:val="-58"/>
          <w:sz w:val="40"/>
        </w:rPr>
        <w:t> </w:t>
      </w:r>
      <w:r>
        <w:rPr>
          <w:i/>
          <w:spacing w:val="6"/>
          <w:w w:val="92"/>
          <w:sz w:val="20"/>
        </w:rPr>
        <w:t>l</w:t>
      </w:r>
      <w:r>
        <w:rPr>
          <w:rFonts w:ascii="Arial" w:hAnsi="Arial"/>
          <w:i/>
          <w:w w:val="62"/>
          <w:position w:val="-3"/>
          <w:sz w:val="10"/>
        </w:rPr>
        <w:t>11</w:t>
      </w:r>
      <w:r>
        <w:rPr>
          <w:rFonts w:ascii="Arial" w:hAnsi="Arial"/>
          <w:i/>
          <w:position w:val="-3"/>
          <w:sz w:val="10"/>
        </w:rPr>
        <w:t> </w:t>
      </w:r>
      <w:r>
        <w:rPr>
          <w:rFonts w:ascii="Arial" w:hAnsi="Arial"/>
          <w:i/>
          <w:spacing w:val="-7"/>
          <w:position w:val="-3"/>
          <w:sz w:val="10"/>
        </w:rPr>
        <w:t> </w:t>
      </w:r>
      <w:r>
        <w:rPr>
          <w:i/>
          <w:spacing w:val="18"/>
          <w:w w:val="82"/>
          <w:sz w:val="20"/>
        </w:rPr>
        <w:t>d</w:t>
      </w:r>
      <w:r>
        <w:rPr>
          <w:i/>
          <w:w w:val="101"/>
          <w:sz w:val="20"/>
        </w:rPr>
        <w:t>y.</w:t>
      </w:r>
      <w:r>
        <w:rPr>
          <w:i/>
          <w:spacing w:val="6"/>
          <w:sz w:val="20"/>
        </w:rPr>
        <w:t> </w:t>
      </w:r>
      <w:r>
        <w:rPr>
          <w:w w:val="107"/>
          <w:sz w:val="20"/>
        </w:rPr>
        <w:t>Their</w:t>
      </w:r>
      <w:r>
        <w:rPr>
          <w:spacing w:val="8"/>
          <w:sz w:val="20"/>
        </w:rPr>
        <w:t> </w:t>
      </w:r>
      <w:r>
        <w:rPr>
          <w:w w:val="109"/>
          <w:sz w:val="20"/>
        </w:rPr>
        <w:t>total</w:t>
      </w:r>
      <w:r>
        <w:rPr>
          <w:spacing w:val="9"/>
          <w:sz w:val="20"/>
        </w:rPr>
        <w:t> </w:t>
      </w:r>
      <w:r>
        <w:rPr>
          <w:w w:val="103"/>
          <w:sz w:val="20"/>
        </w:rPr>
        <w:t>lifetime</w:t>
      </w:r>
      <w:r>
        <w:rPr>
          <w:spacing w:val="-1"/>
          <w:sz w:val="20"/>
        </w:rPr>
        <w:t> </w:t>
      </w:r>
      <w:r>
        <w:rPr>
          <w:w w:val="103"/>
          <w:sz w:val="20"/>
        </w:rPr>
        <w:t>can</w:t>
      </w:r>
      <w:r>
        <w:rPr>
          <w:spacing w:val="7"/>
          <w:sz w:val="20"/>
        </w:rPr>
        <w:t> </w:t>
      </w:r>
      <w:r>
        <w:rPr>
          <w:w w:val="101"/>
          <w:sz w:val="20"/>
        </w:rPr>
        <w:t>be</w:t>
      </w:r>
      <w:r>
        <w:rPr>
          <w:spacing w:val="2"/>
          <w:sz w:val="20"/>
        </w:rPr>
        <w:t> </w:t>
      </w:r>
      <w:r>
        <w:rPr>
          <w:w w:val="93"/>
          <w:sz w:val="20"/>
        </w:rPr>
        <w:t>co:r¡iputed</w:t>
      </w:r>
    </w:p>
    <w:p>
      <w:pPr>
        <w:spacing w:line="78" w:lineRule="exact" w:before="0"/>
        <w:ind w:left="74" w:right="1878" w:firstLine="0"/>
        <w:jc w:val="center"/>
        <w:rPr>
          <w:rFonts w:ascii="Arial"/>
          <w:b/>
          <w:i/>
          <w:sz w:val="8"/>
        </w:rPr>
      </w:pPr>
      <w:r>
        <w:rPr>
          <w:rFonts w:ascii="Arial"/>
          <w:b/>
          <w:i/>
          <w:w w:val="80"/>
          <w:sz w:val="8"/>
        </w:rPr>
        <w:t>:z;</w:t>
      </w:r>
    </w:p>
    <w:p>
      <w:pPr>
        <w:pStyle w:val="BodyText"/>
        <w:spacing w:line="242" w:lineRule="exact" w:before="16"/>
        <w:ind w:left="106" w:right="128" w:firstLine="10"/>
        <w:jc w:val="both"/>
      </w:pPr>
      <w:r>
        <w:rPr/>
        <w:t>in three parts. First,  their  total  past  Iifetime  before  age </w:t>
      </w:r>
      <w:r>
        <w:rPr>
          <w:rFonts w:ascii="Arial" w:hAnsi="Arial"/>
          <w:i/>
          <w:sz w:val="17"/>
        </w:rPr>
        <w:t>x  </w:t>
      </w:r>
      <w:r>
        <w:rPr/>
        <w:t>is clearly </w:t>
      </w:r>
      <w:r>
        <w:rPr>
          <w:i/>
          <w:sz w:val="19"/>
        </w:rPr>
        <w:t>xT </w:t>
      </w:r>
      <w:r>
        <w:rPr>
          <w:rFonts w:ascii="Arial" w:hAnsi="Arial"/>
          <w:i/>
          <w:sz w:val="10"/>
        </w:rPr>
        <w:t>x </w:t>
      </w:r>
      <w:r>
        <w:rPr>
          <w:rFonts w:ascii="Arial" w:hAnsi="Arial"/>
          <w:sz w:val="10"/>
        </w:rPr>
        <w:t>• </w:t>
      </w:r>
      <w:r>
        <w:rPr/>
        <w:t>Second, we require their total past lifetime from age </w:t>
      </w:r>
      <w:r>
        <w:rPr>
          <w:i/>
          <w:sz w:val="19"/>
        </w:rPr>
        <w:t>x </w:t>
      </w:r>
      <w:r>
        <w:rPr/>
        <w:t>to their present ages. For the </w:t>
      </w:r>
      <w:r>
        <w:rPr>
          <w:i/>
        </w:rPr>
        <w:t>l</w:t>
      </w:r>
      <w:r>
        <w:rPr>
          <w:rFonts w:ascii="Arial" w:hAnsi="Arial"/>
          <w:i/>
          <w:position w:val="-3"/>
          <w:sz w:val="10"/>
        </w:rPr>
        <w:t>11  </w:t>
      </w:r>
      <w:r>
        <w:rPr>
          <w:i/>
          <w:spacing w:val="7"/>
        </w:rPr>
        <w:t>dy  </w:t>
      </w:r>
      <w:r>
        <w:rPr/>
        <w:t>Iives  attaining  age  </w:t>
      </w:r>
      <w:r>
        <w:rPr>
          <w:rFonts w:ascii="Arial" w:hAnsi="Arial"/>
          <w:i/>
          <w:sz w:val="18"/>
        </w:rPr>
        <w:t>y  </w:t>
      </w:r>
      <w:r>
        <w:rPr/>
        <w:t>at  any  moment, this total past Iifetime after age </w:t>
      </w:r>
      <w:r>
        <w:rPr>
          <w:i/>
          <w:sz w:val="21"/>
        </w:rPr>
        <w:t>x </w:t>
      </w:r>
      <w:r>
        <w:rPr>
          <w:rFonts w:ascii="Arial" w:hAnsi="Arial"/>
          <w:sz w:val="21"/>
        </w:rPr>
        <w:t>is </w:t>
      </w:r>
      <w:r>
        <w:rPr>
          <w:i/>
          <w:spacing w:val="5"/>
        </w:rPr>
        <w:t>(y </w:t>
      </w:r>
      <w:r>
        <w:rPr>
          <w:w w:val="240"/>
        </w:rPr>
        <w:t>- </w:t>
      </w:r>
      <w:r>
        <w:rPr>
          <w:i/>
          <w:sz w:val="21"/>
        </w:rPr>
        <w:t>x </w:t>
      </w:r>
      <w:r>
        <w:rPr>
          <w:rFonts w:ascii="Arial" w:hAnsi="Arial"/>
          <w:i/>
          <w:sz w:val="18"/>
        </w:rPr>
        <w:t>)l </w:t>
      </w:r>
      <w:r>
        <w:rPr>
          <w:i/>
          <w:w w:val="95"/>
          <w:position w:val="-3"/>
          <w:sz w:val="11"/>
        </w:rPr>
        <w:t>11 </w:t>
      </w:r>
      <w:r>
        <w:rPr>
          <w:i/>
          <w:spacing w:val="3"/>
        </w:rPr>
        <w:t>dy. </w:t>
      </w:r>
      <w:r>
        <w:rPr/>
        <w:t>Hence,  for the entire  subset,  we</w:t>
      </w:r>
      <w:r>
        <w:rPr>
          <w:spacing w:val="48"/>
        </w:rPr>
        <w:t> </w:t>
      </w:r>
      <w:r>
        <w:rPr/>
        <w:t>have</w:t>
      </w:r>
    </w:p>
    <w:p>
      <w:pPr>
        <w:spacing w:line="255" w:lineRule="exact" w:before="0"/>
        <w:ind w:left="834" w:right="739" w:firstLine="0"/>
        <w:jc w:val="left"/>
        <w:rPr>
          <w:rFonts w:ascii="Arial"/>
          <w:i/>
          <w:sz w:val="8"/>
        </w:rPr>
      </w:pPr>
      <w:r>
        <w:rPr>
          <w:rFonts w:ascii="Arial"/>
          <w:i/>
          <w:spacing w:val="27"/>
          <w:w w:val="51"/>
          <w:position w:val="-22"/>
          <w:sz w:val="50"/>
        </w:rPr>
        <w:t>J</w:t>
      </w:r>
      <w:r>
        <w:rPr>
          <w:rFonts w:ascii="Arial"/>
          <w:i/>
          <w:w w:val="104"/>
          <w:sz w:val="8"/>
        </w:rPr>
        <w:t>00</w:t>
      </w:r>
    </w:p>
    <w:p>
      <w:pPr>
        <w:spacing w:after="0" w:line="255" w:lineRule="exact"/>
        <w:jc w:val="left"/>
        <w:rPr>
          <w:rFonts w:ascii="Arial"/>
          <w:sz w:val="8"/>
        </w:rPr>
        <w:sectPr>
          <w:pgSz w:w="7200" w:h="11340"/>
          <w:pgMar w:top="500" w:bottom="280" w:left="660" w:right="560"/>
        </w:sectPr>
      </w:pPr>
    </w:p>
    <w:p>
      <w:pPr>
        <w:pStyle w:val="BodyText"/>
        <w:rPr>
          <w:rFonts w:ascii="Arial"/>
          <w:i/>
          <w:sz w:val="10"/>
        </w:rPr>
      </w:pPr>
    </w:p>
    <w:p>
      <w:pPr>
        <w:pStyle w:val="BodyText"/>
        <w:spacing w:before="7"/>
        <w:rPr>
          <w:rFonts w:ascii="Arial"/>
          <w:i/>
          <w:sz w:val="9"/>
        </w:rPr>
      </w:pPr>
    </w:p>
    <w:p>
      <w:pPr>
        <w:spacing w:before="0"/>
        <w:ind w:left="0" w:right="0" w:firstLine="0"/>
        <w:jc w:val="right"/>
        <w:rPr>
          <w:b/>
          <w:i/>
          <w:sz w:val="10"/>
        </w:rPr>
      </w:pPr>
      <w:r>
        <w:rPr>
          <w:b/>
          <w:i/>
          <w:w w:val="60"/>
          <w:sz w:val="10"/>
        </w:rPr>
        <w:t>:z;</w:t>
      </w:r>
    </w:p>
    <w:p>
      <w:pPr>
        <w:spacing w:line="247" w:lineRule="exact" w:before="0"/>
        <w:ind w:left="144" w:right="0" w:firstLine="0"/>
        <w:jc w:val="left"/>
        <w:rPr>
          <w:b/>
          <w:i/>
          <w:sz w:val="20"/>
        </w:rPr>
      </w:pPr>
      <w:r>
        <w:rPr/>
        <w:br w:type="column"/>
      </w:r>
      <w:r>
        <w:rPr>
          <w:rFonts w:ascii="Arial"/>
          <w:i/>
          <w:sz w:val="19"/>
        </w:rPr>
        <w:t>( y </w:t>
      </w:r>
      <w:r>
        <w:rPr>
          <w:rFonts w:ascii="Arial"/>
          <w:w w:val="240"/>
          <w:sz w:val="19"/>
        </w:rPr>
        <w:t>- </w:t>
      </w:r>
      <w:r>
        <w:rPr>
          <w:i/>
          <w:w w:val="115"/>
          <w:sz w:val="19"/>
        </w:rPr>
        <w:t>x </w:t>
      </w:r>
      <w:r>
        <w:rPr>
          <w:i/>
          <w:sz w:val="19"/>
        </w:rPr>
        <w:t>)l </w:t>
      </w:r>
      <w:r>
        <w:rPr>
          <w:i/>
          <w:position w:val="-2"/>
          <w:sz w:val="11"/>
        </w:rPr>
        <w:t>11 </w:t>
      </w:r>
      <w:r>
        <w:rPr>
          <w:i/>
          <w:sz w:val="20"/>
        </w:rPr>
        <w:t>dy </w:t>
      </w:r>
      <w:r>
        <w:rPr>
          <w:w w:val="115"/>
          <w:sz w:val="24"/>
        </w:rPr>
        <w:t>= </w:t>
      </w:r>
      <w:r>
        <w:rPr>
          <w:rFonts w:ascii="Arial"/>
          <w:w w:val="115"/>
          <w:sz w:val="20"/>
        </w:rPr>
        <w:t>[-yT,, </w:t>
      </w:r>
      <w:r>
        <w:rPr>
          <w:rFonts w:ascii="Arial"/>
          <w:w w:val="240"/>
          <w:sz w:val="20"/>
        </w:rPr>
        <w:t>- </w:t>
      </w:r>
      <w:r>
        <w:rPr>
          <w:i/>
          <w:w w:val="115"/>
          <w:sz w:val="20"/>
        </w:rPr>
        <w:t>Y,, </w:t>
      </w:r>
      <w:r>
        <w:rPr>
          <w:i/>
          <w:w w:val="130"/>
          <w:sz w:val="20"/>
        </w:rPr>
        <w:t>+ </w:t>
      </w:r>
      <w:r>
        <w:rPr>
          <w:i/>
          <w:w w:val="115"/>
          <w:sz w:val="19"/>
        </w:rPr>
        <w:t>xT,,]: </w:t>
      </w:r>
      <w:r>
        <w:rPr>
          <w:w w:val="115"/>
          <w:sz w:val="24"/>
        </w:rPr>
        <w:t>= </w:t>
      </w:r>
      <w:r>
        <w:rPr>
          <w:b/>
          <w:i/>
          <w:w w:val="115"/>
          <w:sz w:val="20"/>
        </w:rPr>
        <w:t>Ys .</w:t>
      </w:r>
    </w:p>
    <w:p>
      <w:pPr>
        <w:spacing w:after="0" w:line="247" w:lineRule="exact"/>
        <w:jc w:val="left"/>
        <w:rPr>
          <w:sz w:val="20"/>
        </w:rPr>
        <w:sectPr>
          <w:type w:val="continuous"/>
          <w:pgSz w:w="7200" w:h="11340"/>
          <w:pgMar w:top="1100" w:bottom="0" w:left="660" w:right="560"/>
          <w:cols w:num="2" w:equalWidth="0">
            <w:col w:w="982" w:space="40"/>
            <w:col w:w="4958"/>
          </w:cols>
        </w:sectPr>
      </w:pPr>
    </w:p>
    <w:p>
      <w:pPr>
        <w:pStyle w:val="BodyText"/>
        <w:spacing w:line="242" w:lineRule="exact" w:before="134"/>
        <w:ind w:left="114" w:right="133" w:hanging="4"/>
      </w:pPr>
      <w:r>
        <w:rPr/>
        <w:drawing>
          <wp:anchor distT="0" distB="0" distL="0" distR="0" allowOverlap="1" layoutInCell="1" locked="0" behindDoc="0" simplePos="0" relativeHeight="14776">
            <wp:simplePos x="0" y="0"/>
            <wp:positionH relativeFrom="page">
              <wp:posOffset>1847088</wp:posOffset>
            </wp:positionH>
            <wp:positionV relativeFrom="paragraph">
              <wp:posOffset>477773</wp:posOffset>
            </wp:positionV>
            <wp:extent cx="923544" cy="283464"/>
            <wp:effectExtent l="0" t="0" r="0" b="0"/>
            <wp:wrapTopAndBottom/>
            <wp:docPr id="377" name="image194.png" descr=""/>
            <wp:cNvGraphicFramePr>
              <a:graphicFrameLocks noChangeAspect="1"/>
            </wp:cNvGraphicFramePr>
            <a:graphic>
              <a:graphicData uri="http://schemas.openxmlformats.org/drawingml/2006/picture">
                <pic:pic>
                  <pic:nvPicPr>
                    <pic:cNvPr id="378" name="image194.png"/>
                    <pic:cNvPicPr/>
                  </pic:nvPicPr>
                  <pic:blipFill>
                    <a:blip r:embed="rId198" cstate="print"/>
                    <a:stretch>
                      <a:fillRect/>
                    </a:stretch>
                  </pic:blipFill>
                  <pic:spPr>
                    <a:xfrm>
                      <a:off x="0" y="0"/>
                      <a:ext cx="923544" cy="283464"/>
                    </a:xfrm>
                    <a:prstGeom prst="rect">
                      <a:avLst/>
                    </a:prstGeom>
                  </pic:spPr>
                </pic:pic>
              </a:graphicData>
            </a:graphic>
          </wp:anchor>
        </w:drawing>
      </w:r>
      <w:r>
        <w:rPr>
          <w:w w:val="110"/>
        </w:rPr>
        <w:t>Third, since the total future lifetime for those aged </w:t>
      </w:r>
      <w:r>
        <w:rPr>
          <w:rFonts w:ascii="Arial"/>
          <w:i/>
          <w:w w:val="110"/>
          <w:sz w:val="18"/>
        </w:rPr>
        <w:t>y </w:t>
      </w:r>
      <w:r>
        <w:rPr>
          <w:w w:val="110"/>
        </w:rPr>
        <w:t>is </w:t>
      </w:r>
      <w:r>
        <w:rPr>
          <w:i/>
          <w:sz w:val="21"/>
        </w:rPr>
        <w:t>T</w:t>
      </w:r>
      <w:r>
        <w:rPr>
          <w:i/>
          <w:position w:val="-3"/>
          <w:sz w:val="11"/>
        </w:rPr>
        <w:t>11 </w:t>
      </w:r>
      <w:r>
        <w:rPr>
          <w:i/>
          <w:w w:val="175"/>
          <w:sz w:val="11"/>
        </w:rPr>
        <w:t>, </w:t>
      </w:r>
      <w:r>
        <w:rPr>
          <w:w w:val="110"/>
        </w:rPr>
        <w:t>the total future lifetime for </w:t>
      </w:r>
      <w:r>
        <w:rPr>
          <w:w w:val="110"/>
          <w:sz w:val="21"/>
        </w:rPr>
        <w:t>thP </w:t>
      </w:r>
      <w:r>
        <w:rPr>
          <w:w w:val="110"/>
        </w:rPr>
        <w:t>mtire subset is</w:t>
      </w:r>
    </w:p>
    <w:p>
      <w:pPr>
        <w:spacing w:after="0" w:line="242" w:lineRule="exact"/>
        <w:sectPr>
          <w:type w:val="continuous"/>
          <w:pgSz w:w="7200" w:h="11340"/>
          <w:pgMar w:top="1100" w:bottom="0" w:left="660" w:right="560"/>
        </w:sectPr>
      </w:pPr>
    </w:p>
    <w:p>
      <w:pPr>
        <w:tabs>
          <w:tab w:pos="976" w:val="left" w:leader="none"/>
          <w:tab w:pos="5901" w:val="right" w:leader="none"/>
        </w:tabs>
        <w:spacing w:before="54"/>
        <w:ind w:left="144" w:right="0" w:firstLine="0"/>
        <w:jc w:val="left"/>
        <w:rPr>
          <w:rFonts w:ascii="Arial"/>
          <w:b/>
          <w:sz w:val="18"/>
        </w:rPr>
      </w:pPr>
      <w:r>
        <w:rPr>
          <w:b/>
          <w:w w:val="105"/>
          <w:sz w:val="15"/>
        </w:rPr>
        <w:t>SEC. </w:t>
      </w:r>
      <w:r>
        <w:rPr>
          <w:b/>
          <w:spacing w:val="21"/>
          <w:w w:val="105"/>
          <w:sz w:val="15"/>
        </w:rPr>
        <w:t> </w:t>
      </w:r>
      <w:r>
        <w:rPr>
          <w:rFonts w:ascii="Arial"/>
          <w:b/>
          <w:w w:val="105"/>
          <w:sz w:val="18"/>
        </w:rPr>
        <w:t>6]</w:t>
        <w:tab/>
      </w:r>
      <w:r>
        <w:rPr>
          <w:b/>
          <w:w w:val="105"/>
          <w:sz w:val="15"/>
        </w:rPr>
        <w:t>AVERAGE  AGES  IN  THE  </w:t>
      </w:r>
      <w:r>
        <w:rPr>
          <w:b/>
          <w:spacing w:val="20"/>
          <w:w w:val="105"/>
          <w:sz w:val="15"/>
        </w:rPr>
        <w:t> </w:t>
      </w:r>
      <w:r>
        <w:rPr>
          <w:b/>
          <w:w w:val="105"/>
          <w:sz w:val="15"/>
        </w:rPr>
        <w:t>iTATIONARY </w:t>
      </w:r>
      <w:r>
        <w:rPr>
          <w:b/>
          <w:spacing w:val="31"/>
          <w:w w:val="105"/>
          <w:sz w:val="15"/>
        </w:rPr>
        <w:t> </w:t>
      </w:r>
      <w:r>
        <w:rPr>
          <w:b/>
          <w:w w:val="105"/>
          <w:sz w:val="15"/>
        </w:rPr>
        <w:t>POPULATION</w:t>
      </w:r>
      <w:r>
        <w:rPr>
          <w:rFonts w:ascii="Arial"/>
          <w:b/>
          <w:w w:val="105"/>
          <w:sz w:val="18"/>
        </w:rPr>
        <w:tab/>
      </w:r>
      <w:r>
        <w:rPr>
          <w:rFonts w:ascii="Arial"/>
          <w:b/>
          <w:spacing w:val="-11"/>
          <w:w w:val="105"/>
          <w:sz w:val="18"/>
        </w:rPr>
        <w:t>181</w:t>
      </w:r>
    </w:p>
    <w:p>
      <w:pPr>
        <w:spacing w:before="228"/>
        <w:ind w:left="175" w:right="0" w:firstLine="0"/>
        <w:jc w:val="center"/>
        <w:rPr>
          <w:sz w:val="20"/>
        </w:rPr>
      </w:pPr>
      <w:r>
        <w:rPr>
          <w:sz w:val="21"/>
        </w:rPr>
        <w:t>Summarizing, for the </w:t>
      </w:r>
      <w:r>
        <w:rPr>
          <w:i/>
          <w:sz w:val="22"/>
        </w:rPr>
        <w:t>Tz </w:t>
      </w:r>
      <w:r>
        <w:rPr>
          <w:sz w:val="21"/>
        </w:rPr>
        <w:t>persons now </w:t>
      </w:r>
      <w:r>
        <w:rPr>
          <w:b/>
          <w:sz w:val="20"/>
        </w:rPr>
        <w:t>living </w:t>
      </w:r>
      <w:r>
        <w:rPr>
          <w:sz w:val="21"/>
        </w:rPr>
        <w:t>at ages </w:t>
      </w:r>
      <w:r>
        <w:rPr>
          <w:rFonts w:ascii="Arial"/>
          <w:i/>
          <w:sz w:val="18"/>
        </w:rPr>
        <w:t>x  </w:t>
      </w:r>
      <w:r>
        <w:rPr>
          <w:sz w:val="21"/>
        </w:rPr>
        <w:t>and   </w:t>
      </w:r>
      <w:r>
        <w:rPr>
          <w:sz w:val="20"/>
        </w:rPr>
        <w:t>O\"er,</w:t>
      </w:r>
    </w:p>
    <w:p>
      <w:pPr>
        <w:spacing w:before="7"/>
        <w:ind w:left="123" w:right="0" w:firstLine="0"/>
        <w:jc w:val="left"/>
        <w:rPr>
          <w:b/>
          <w:sz w:val="20"/>
        </w:rPr>
      </w:pPr>
      <w:r>
        <w:rPr>
          <w:b/>
          <w:w w:val="105"/>
          <w:sz w:val="20"/>
        </w:rPr>
        <w:t>we have:</w:t>
      </w:r>
    </w:p>
    <w:p>
      <w:pPr>
        <w:tabs>
          <w:tab w:pos="3838" w:val="left" w:leader="none"/>
        </w:tabs>
        <w:spacing w:line="297" w:lineRule="auto" w:before="89"/>
        <w:ind w:left="1008" w:right="1628" w:firstLine="0"/>
        <w:jc w:val="left"/>
        <w:rPr>
          <w:i/>
          <w:sz w:val="22"/>
        </w:rPr>
      </w:pPr>
      <w:r>
        <w:rPr>
          <w:sz w:val="21"/>
        </w:rPr>
        <w:t>Total past lifetime </w:t>
      </w:r>
      <w:r>
        <w:rPr>
          <w:spacing w:val="2"/>
          <w:sz w:val="21"/>
        </w:rPr>
        <w:t>before </w:t>
      </w:r>
      <w:r>
        <w:rPr>
          <w:sz w:val="21"/>
        </w:rPr>
        <w:t>age </w:t>
      </w:r>
      <w:r>
        <w:rPr>
          <w:i/>
          <w:sz w:val="21"/>
        </w:rPr>
        <w:t>x </w:t>
      </w:r>
      <w:r>
        <w:rPr>
          <w:sz w:val="24"/>
        </w:rPr>
        <w:t>= </w:t>
      </w:r>
      <w:r>
        <w:rPr>
          <w:i/>
          <w:sz w:val="21"/>
        </w:rPr>
        <w:t>xT </w:t>
      </w:r>
      <w:r>
        <w:rPr>
          <w:sz w:val="13"/>
        </w:rPr>
        <w:t>z </w:t>
      </w:r>
      <w:r>
        <w:rPr>
          <w:w w:val="107"/>
          <w:sz w:val="21"/>
        </w:rPr>
        <w:t>Total </w:t>
      </w:r>
      <w:r>
        <w:rPr>
          <w:w w:val="105"/>
          <w:sz w:val="21"/>
        </w:rPr>
        <w:t>past </w:t>
      </w:r>
      <w:r>
        <w:rPr>
          <w:w w:val="98"/>
          <w:sz w:val="21"/>
        </w:rPr>
        <w:t>lifetime </w:t>
      </w:r>
      <w:r>
        <w:rPr>
          <w:w w:val="106"/>
          <w:sz w:val="21"/>
        </w:rPr>
        <w:t>after</w:t>
      </w:r>
      <w:r>
        <w:rPr>
          <w:spacing w:val="51"/>
          <w:w w:val="106"/>
          <w:sz w:val="21"/>
        </w:rPr>
        <w:t> </w:t>
      </w:r>
      <w:r>
        <w:rPr>
          <w:w w:val="99"/>
          <w:sz w:val="21"/>
        </w:rPr>
        <w:t>age</w:t>
      </w:r>
      <w:r>
        <w:rPr>
          <w:spacing w:val="5"/>
          <w:w w:val="99"/>
          <w:sz w:val="21"/>
        </w:rPr>
        <w:t> </w:t>
      </w:r>
      <w:r>
        <w:rPr>
          <w:rFonts w:ascii="Arial"/>
          <w:i/>
          <w:w w:val="93"/>
          <w:sz w:val="18"/>
        </w:rPr>
        <w:t>x</w:t>
        <w:tab/>
      </w:r>
      <w:r>
        <w:rPr>
          <w:w w:val="94"/>
          <w:sz w:val="26"/>
        </w:rPr>
        <w:t>=</w:t>
      </w:r>
      <w:r>
        <w:rPr>
          <w:spacing w:val="40"/>
          <w:w w:val="94"/>
          <w:sz w:val="26"/>
        </w:rPr>
        <w:t> </w:t>
      </w:r>
      <w:r>
        <w:rPr>
          <w:rFonts w:ascii="Arial"/>
          <w:b/>
          <w:i/>
          <w:spacing w:val="2"/>
          <w:w w:val="108"/>
          <w:sz w:val="20"/>
        </w:rPr>
        <w:t>Y</w:t>
      </w:r>
      <w:r>
        <w:rPr>
          <w:spacing w:val="2"/>
          <w:w w:val="108"/>
          <w:sz w:val="8"/>
        </w:rPr>
        <w:t>:i:</w:t>
      </w:r>
      <w:r>
        <w:rPr>
          <w:w w:val="112"/>
          <w:sz w:val="8"/>
        </w:rPr>
        <w:t> </w:t>
      </w:r>
      <w:r>
        <w:rPr>
          <w:sz w:val="21"/>
        </w:rPr>
        <w:t>Total</w:t>
      </w:r>
      <w:r>
        <w:rPr>
          <w:spacing w:val="33"/>
          <w:sz w:val="21"/>
        </w:rPr>
        <w:t> </w:t>
      </w:r>
      <w:r>
        <w:rPr>
          <w:sz w:val="21"/>
        </w:rPr>
        <w:t>future</w:t>
      </w:r>
      <w:r>
        <w:rPr>
          <w:spacing w:val="21"/>
          <w:sz w:val="21"/>
        </w:rPr>
        <w:t> </w:t>
      </w:r>
      <w:r>
        <w:rPr>
          <w:sz w:val="21"/>
        </w:rPr>
        <w:t>lifctime</w:t>
        <w:tab/>
      </w:r>
      <w:r>
        <w:rPr>
          <w:w w:val="95"/>
          <w:sz w:val="25"/>
        </w:rPr>
        <w:t>=</w:t>
      </w:r>
      <w:r>
        <w:rPr>
          <w:spacing w:val="-9"/>
          <w:w w:val="95"/>
          <w:sz w:val="25"/>
        </w:rPr>
        <w:t> </w:t>
      </w:r>
      <w:r>
        <w:rPr>
          <w:i/>
          <w:w w:val="95"/>
          <w:sz w:val="22"/>
        </w:rPr>
        <w:t>Ya:</w:t>
      </w:r>
    </w:p>
    <w:p>
      <w:pPr>
        <w:tabs>
          <w:tab w:pos="3838" w:val="left" w:leader="none"/>
        </w:tabs>
        <w:spacing w:line="314" w:lineRule="exact" w:before="0"/>
        <w:ind w:left="1005" w:right="0" w:firstLine="0"/>
        <w:jc w:val="left"/>
        <w:rPr>
          <w:sz w:val="21"/>
        </w:rPr>
      </w:pPr>
      <w:r>
        <w:rPr>
          <w:w w:val="108"/>
          <w:sz w:val="21"/>
        </w:rPr>
        <w:t>Total</w:t>
      </w:r>
      <w:r>
        <w:rPr>
          <w:spacing w:val="8"/>
          <w:sz w:val="21"/>
        </w:rPr>
        <w:t> </w:t>
      </w:r>
      <w:r>
        <w:rPr>
          <w:w w:val="99"/>
          <w:sz w:val="21"/>
        </w:rPr>
        <w:t>lifetime</w:t>
      </w:r>
      <w:r>
        <w:rPr>
          <w:sz w:val="21"/>
        </w:rPr>
        <w:tab/>
      </w:r>
      <w:r>
        <w:rPr>
          <w:w w:val="101"/>
          <w:sz w:val="25"/>
        </w:rPr>
        <w:t>=</w:t>
      </w:r>
      <w:r>
        <w:rPr>
          <w:spacing w:val="27"/>
          <w:sz w:val="25"/>
        </w:rPr>
        <w:t> </w:t>
      </w:r>
      <w:r>
        <w:rPr>
          <w:i/>
          <w:w w:val="100"/>
          <w:sz w:val="21"/>
        </w:rPr>
        <w:t>xT</w:t>
      </w:r>
      <w:r>
        <w:rPr>
          <w:i/>
          <w:spacing w:val="-13"/>
          <w:sz w:val="21"/>
        </w:rPr>
        <w:t> </w:t>
      </w:r>
      <w:r>
        <w:rPr>
          <w:rFonts w:ascii="Arial"/>
          <w:w w:val="105"/>
          <w:sz w:val="10"/>
        </w:rPr>
        <w:t>:r</w:t>
      </w:r>
      <w:r>
        <w:rPr>
          <w:rFonts w:ascii="Arial"/>
          <w:sz w:val="10"/>
        </w:rPr>
        <w:t>  </w:t>
      </w:r>
      <w:r>
        <w:rPr>
          <w:rFonts w:ascii="Arial"/>
          <w:spacing w:val="-4"/>
          <w:sz w:val="10"/>
        </w:rPr>
        <w:t> </w:t>
      </w:r>
      <w:r>
        <w:rPr>
          <w:rFonts w:ascii="Arial"/>
          <w:w w:val="102"/>
          <w:sz w:val="32"/>
        </w:rPr>
        <w:t>+</w:t>
      </w:r>
      <w:r>
        <w:rPr>
          <w:rFonts w:ascii="Arial"/>
          <w:spacing w:val="-37"/>
          <w:sz w:val="32"/>
        </w:rPr>
        <w:t> </w:t>
      </w:r>
      <w:r>
        <w:rPr>
          <w:spacing w:val="17"/>
          <w:sz w:val="21"/>
        </w:rPr>
        <w:t>2</w:t>
      </w:r>
      <w:r>
        <w:rPr>
          <w:i/>
          <w:spacing w:val="10"/>
          <w:w w:val="104"/>
          <w:sz w:val="21"/>
        </w:rPr>
        <w:t>Y</w:t>
      </w:r>
      <w:r>
        <w:rPr>
          <w:w w:val="44"/>
          <w:sz w:val="21"/>
        </w:rPr>
        <w:t>:i:</w:t>
      </w:r>
    </w:p>
    <w:p>
      <w:pPr>
        <w:spacing w:line="238" w:lineRule="exact" w:before="98"/>
        <w:ind w:left="123" w:right="0" w:firstLine="3"/>
        <w:jc w:val="left"/>
        <w:rPr>
          <w:sz w:val="21"/>
        </w:rPr>
      </w:pPr>
      <w:r>
        <w:rPr>
          <w:sz w:val="22"/>
        </w:rPr>
        <w:t>It </w:t>
      </w:r>
      <w:r>
        <w:rPr>
          <w:rFonts w:ascii="Arial" w:hAnsi="Arial"/>
          <w:sz w:val="20"/>
        </w:rPr>
        <w:t>is </w:t>
      </w:r>
      <w:r>
        <w:rPr>
          <w:sz w:val="21"/>
        </w:rPr>
        <w:t>of interest to note that </w:t>
      </w:r>
      <w:r>
        <w:rPr>
          <w:rFonts w:ascii="Arial" w:hAnsi="Arial"/>
          <w:i/>
          <w:sz w:val="21"/>
        </w:rPr>
        <w:t>Y:i: </w:t>
      </w:r>
      <w:r>
        <w:rPr>
          <w:sz w:val="21"/>
        </w:rPr>
        <w:t>can be interprekd here in two q u¡t.e diff erent ways.</w:t>
      </w:r>
    </w:p>
    <w:p>
      <w:pPr>
        <w:spacing w:line="242" w:lineRule="exact" w:before="0"/>
        <w:ind w:left="126" w:right="137" w:firstLine="198"/>
        <w:jc w:val="both"/>
        <w:rPr>
          <w:sz w:val="21"/>
        </w:rPr>
      </w:pPr>
      <w:r>
        <w:rPr>
          <w:sz w:val="21"/>
        </w:rPr>
        <w:t>From this analysis, it is easy to express the average attaincd a.ge of the membcrs of thc present population. For thc </w:t>
      </w:r>
      <w:r>
        <w:rPr>
          <w:i/>
          <w:sz w:val="21"/>
        </w:rPr>
        <w:t>Tx </w:t>
      </w:r>
      <w:r>
        <w:rPr>
          <w:sz w:val="21"/>
        </w:rPr>
        <w:t>livcs aged </w:t>
      </w:r>
      <w:r>
        <w:rPr>
          <w:rFonts w:ascii="Arial"/>
          <w:i/>
          <w:sz w:val="18"/>
        </w:rPr>
        <w:t>x </w:t>
      </w:r>
      <w:r>
        <w:rPr>
          <w:sz w:val="21"/>
        </w:rPr>
        <w:t>and over,  the  average  attained  age is equal  to </w:t>
      </w:r>
      <w:r>
        <w:rPr>
          <w:rFonts w:ascii="Arial"/>
          <w:i/>
          <w:sz w:val="17"/>
        </w:rPr>
        <w:t>x  </w:t>
      </w:r>
      <w:r>
        <w:rPr>
          <w:sz w:val="21"/>
        </w:rPr>
        <w:t>plus  thc  average</w:t>
      </w:r>
    </w:p>
    <w:p>
      <w:pPr>
        <w:tabs>
          <w:tab w:pos="3719" w:val="left" w:leader="none"/>
        </w:tabs>
        <w:spacing w:before="48"/>
        <w:ind w:left="126" w:right="0" w:firstLine="0"/>
        <w:jc w:val="left"/>
        <w:rPr>
          <w:sz w:val="21"/>
        </w:rPr>
      </w:pPr>
      <w:r>
        <w:rPr>
          <w:w w:val="103"/>
          <w:sz w:val="21"/>
        </w:rPr>
        <w:t>past</w:t>
      </w:r>
      <w:r>
        <w:rPr>
          <w:sz w:val="21"/>
        </w:rPr>
        <w:t> </w:t>
      </w:r>
      <w:r>
        <w:rPr>
          <w:spacing w:val="-14"/>
          <w:sz w:val="21"/>
        </w:rPr>
        <w:t> </w:t>
      </w:r>
      <w:r>
        <w:rPr>
          <w:w w:val="98"/>
          <w:sz w:val="21"/>
        </w:rPr>
        <w:t>lifetime</w:t>
      </w:r>
      <w:r>
        <w:rPr>
          <w:sz w:val="21"/>
        </w:rPr>
        <w:t> </w:t>
      </w:r>
      <w:r>
        <w:rPr>
          <w:spacing w:val="-16"/>
          <w:sz w:val="21"/>
        </w:rPr>
        <w:t> </w:t>
      </w:r>
      <w:r>
        <w:rPr>
          <w:w w:val="86"/>
          <w:sz w:val="21"/>
        </w:rPr>
        <w:t>af</w:t>
      </w:r>
      <w:r>
        <w:rPr>
          <w:spacing w:val="-29"/>
          <w:sz w:val="21"/>
        </w:rPr>
        <w:t> </w:t>
      </w:r>
      <w:r>
        <w:rPr>
          <w:w w:val="106"/>
          <w:sz w:val="21"/>
        </w:rPr>
        <w:t>ter</w:t>
      </w:r>
      <w:r>
        <w:rPr>
          <w:sz w:val="21"/>
        </w:rPr>
        <w:t> </w:t>
      </w:r>
      <w:r>
        <w:rPr>
          <w:spacing w:val="-18"/>
          <w:sz w:val="21"/>
        </w:rPr>
        <w:t> </w:t>
      </w:r>
      <w:r>
        <w:rPr>
          <w:w w:val="99"/>
          <w:sz w:val="21"/>
        </w:rPr>
        <w:t>age</w:t>
      </w:r>
      <w:r>
        <w:rPr>
          <w:spacing w:val="20"/>
          <w:sz w:val="21"/>
        </w:rPr>
        <w:t> </w:t>
      </w:r>
      <w:r>
        <w:rPr>
          <w:rFonts w:ascii="Arial"/>
          <w:i/>
          <w:w w:val="104"/>
          <w:sz w:val="17"/>
        </w:rPr>
        <w:t>x</w:t>
      </w:r>
      <w:r>
        <w:rPr>
          <w:rFonts w:ascii="Arial"/>
          <w:i/>
          <w:spacing w:val="-7"/>
          <w:sz w:val="17"/>
        </w:rPr>
        <w:t> </w:t>
      </w:r>
      <w:r>
        <w:rPr>
          <w:rFonts w:ascii="Arial"/>
          <w:i/>
          <w:w w:val="77"/>
          <w:sz w:val="17"/>
        </w:rPr>
        <w:t>;</w:t>
      </w:r>
      <w:r>
        <w:rPr>
          <w:rFonts w:ascii="Arial"/>
          <w:i/>
          <w:sz w:val="17"/>
        </w:rPr>
        <w:t> </w:t>
      </w:r>
      <w:r>
        <w:rPr>
          <w:rFonts w:ascii="Arial"/>
          <w:i/>
          <w:spacing w:val="-9"/>
          <w:sz w:val="17"/>
        </w:rPr>
        <w:t> </w:t>
      </w:r>
      <w:r>
        <w:rPr>
          <w:w w:val="110"/>
          <w:sz w:val="21"/>
        </w:rPr>
        <w:t>that</w:t>
      </w:r>
      <w:r>
        <w:rPr>
          <w:sz w:val="21"/>
        </w:rPr>
        <w:t> </w:t>
      </w:r>
      <w:r>
        <w:rPr>
          <w:spacing w:val="-8"/>
          <w:sz w:val="21"/>
        </w:rPr>
        <w:t> </w:t>
      </w:r>
      <w:r>
        <w:rPr>
          <w:w w:val="91"/>
          <w:sz w:val="21"/>
        </w:rPr>
        <w:t>is,</w:t>
      </w:r>
      <w:r>
        <w:rPr>
          <w:spacing w:val="26"/>
          <w:sz w:val="21"/>
        </w:rPr>
        <w:t> </w:t>
      </w:r>
      <w:r>
        <w:rPr>
          <w:rFonts w:ascii="Arial"/>
          <w:i/>
          <w:w w:val="108"/>
          <w:sz w:val="17"/>
        </w:rPr>
        <w:t>x</w:t>
      </w:r>
      <w:r>
        <w:rPr>
          <w:rFonts w:ascii="Arial"/>
          <w:i/>
          <w:sz w:val="17"/>
        </w:rPr>
        <w:t> </w:t>
      </w:r>
      <w:r>
        <w:rPr>
          <w:rFonts w:ascii="Arial"/>
          <w:i/>
          <w:spacing w:val="15"/>
          <w:sz w:val="17"/>
        </w:rPr>
        <w:t> </w:t>
      </w:r>
      <w:r>
        <w:rPr>
          <w:w w:val="101"/>
          <w:sz w:val="29"/>
        </w:rPr>
        <w:t>+</w:t>
      </w:r>
      <w:r>
        <w:rPr>
          <w:sz w:val="29"/>
        </w:rPr>
        <w:tab/>
      </w:r>
      <w:r>
        <w:rPr>
          <w:spacing w:val="-12"/>
          <w:w w:val="202"/>
          <w:sz w:val="29"/>
        </w:rPr>
        <w:t>:</w:t>
      </w:r>
      <w:r>
        <w:rPr>
          <w:w w:val="90"/>
          <w:sz w:val="29"/>
        </w:rPr>
        <w:t>.</w:t>
      </w:r>
      <w:r>
        <w:rPr>
          <w:spacing w:val="-23"/>
          <w:sz w:val="29"/>
        </w:rPr>
        <w:t> </w:t>
      </w:r>
      <w:r>
        <w:rPr>
          <w:w w:val="106"/>
          <w:sz w:val="21"/>
        </w:rPr>
        <w:t>The</w:t>
      </w:r>
      <w:r>
        <w:rPr>
          <w:sz w:val="21"/>
        </w:rPr>
        <w:t> </w:t>
      </w:r>
      <w:r>
        <w:rPr>
          <w:spacing w:val="-26"/>
          <w:sz w:val="21"/>
        </w:rPr>
        <w:t> </w:t>
      </w:r>
      <w:r>
        <w:rPr>
          <w:w w:val="100"/>
          <w:sz w:val="21"/>
        </w:rPr>
        <w:t>average</w:t>
      </w:r>
      <w:r>
        <w:rPr>
          <w:sz w:val="21"/>
        </w:rPr>
        <w:t> </w:t>
      </w:r>
      <w:r>
        <w:rPr>
          <w:spacing w:val="-19"/>
          <w:sz w:val="21"/>
        </w:rPr>
        <w:t> </w:t>
      </w:r>
      <w:r>
        <w:rPr>
          <w:w w:val="103"/>
          <w:sz w:val="21"/>
        </w:rPr>
        <w:t>ntta</w:t>
      </w:r>
      <w:r>
        <w:rPr>
          <w:spacing w:val="26"/>
          <w:w w:val="103"/>
          <w:sz w:val="21"/>
        </w:rPr>
        <w:t>i</w:t>
      </w:r>
      <w:r>
        <w:rPr>
          <w:w w:val="89"/>
          <w:sz w:val="21"/>
        </w:rPr>
        <w:t>rwd</w:t>
      </w:r>
    </w:p>
    <w:p>
      <w:pPr>
        <w:spacing w:after="0"/>
        <w:jc w:val="left"/>
        <w:rPr>
          <w:sz w:val="21"/>
        </w:rPr>
        <w:sectPr>
          <w:pgSz w:w="7200" w:h="11340"/>
          <w:pgMar w:top="500" w:bottom="280" w:left="640" w:right="540"/>
        </w:sectPr>
      </w:pPr>
    </w:p>
    <w:p>
      <w:pPr>
        <w:pStyle w:val="BodyText"/>
        <w:spacing w:before="10"/>
        <w:rPr>
          <w:sz w:val="18"/>
        </w:rPr>
      </w:pPr>
    </w:p>
    <w:p>
      <w:pPr>
        <w:spacing w:before="0"/>
        <w:ind w:left="123" w:right="0" w:firstLine="0"/>
        <w:jc w:val="left"/>
        <w:rPr>
          <w:sz w:val="21"/>
        </w:rPr>
      </w:pPr>
      <w:r>
        <w:rPr>
          <w:w w:val="105"/>
          <w:sz w:val="21"/>
        </w:rPr>
        <w:t>age o</w:t>
      </w:r>
      <w:r>
        <w:rPr>
          <w:rFonts w:ascii="Arial"/>
          <w:w w:val="105"/>
          <w:position w:val="1"/>
          <w:sz w:val="18"/>
        </w:rPr>
        <w:t>f </w:t>
      </w:r>
      <w:r>
        <w:rPr>
          <w:w w:val="105"/>
          <w:sz w:val="21"/>
        </w:rPr>
        <w:t>t</w:t>
      </w:r>
      <w:r>
        <w:rPr>
          <w:w w:val="105"/>
          <w:position w:val="1"/>
          <w:sz w:val="21"/>
        </w:rPr>
        <w:t>h</w:t>
      </w:r>
      <w:r>
        <w:rPr>
          <w:w w:val="105"/>
          <w:sz w:val="21"/>
        </w:rPr>
        <w:t>e</w:t>
      </w:r>
    </w:p>
    <w:p>
      <w:pPr>
        <w:spacing w:line="175" w:lineRule="exact" w:before="119"/>
        <w:ind w:left="147" w:right="0" w:firstLine="0"/>
        <w:jc w:val="center"/>
        <w:rPr>
          <w:sz w:val="21"/>
        </w:rPr>
      </w:pPr>
      <w:r>
        <w:rPr/>
        <w:br w:type="column"/>
      </w:r>
      <w:r>
        <w:rPr>
          <w:w w:val="110"/>
          <w:sz w:val="21"/>
        </w:rPr>
        <w:t>.</w:t>
      </w:r>
    </w:p>
    <w:p>
      <w:pPr>
        <w:spacing w:line="175" w:lineRule="exact" w:before="0"/>
        <w:ind w:left="19" w:right="0" w:firstLine="0"/>
        <w:jc w:val="center"/>
        <w:rPr>
          <w:sz w:val="21"/>
        </w:rPr>
      </w:pPr>
      <w:r>
        <w:rPr>
          <w:w w:val="95"/>
          <w:sz w:val="21"/>
        </w:rPr>
        <w:t>cntJrc</w:t>
      </w:r>
    </w:p>
    <w:p>
      <w:pPr>
        <w:tabs>
          <w:tab w:pos="1708" w:val="left" w:leader="none"/>
        </w:tabs>
        <w:spacing w:before="117"/>
        <w:ind w:left="23" w:right="0" w:firstLine="0"/>
        <w:jc w:val="left"/>
        <w:rPr>
          <w:sz w:val="21"/>
        </w:rPr>
      </w:pPr>
      <w:r>
        <w:rPr/>
        <w:br w:type="column"/>
      </w:r>
      <w:r>
        <w:rPr>
          <w:w w:val="110"/>
          <w:sz w:val="21"/>
        </w:rPr>
        <w:t>present</w:t>
      </w:r>
      <w:r>
        <w:rPr>
          <w:spacing w:val="2"/>
          <w:w w:val="110"/>
          <w:sz w:val="21"/>
        </w:rPr>
        <w:t> </w:t>
      </w:r>
      <w:r>
        <w:rPr>
          <w:spacing w:val="3"/>
          <w:w w:val="110"/>
          <w:sz w:val="21"/>
        </w:rPr>
        <w:t>popu</w:t>
      </w:r>
      <w:r>
        <w:rPr>
          <w:spacing w:val="3"/>
          <w:w w:val="110"/>
          <w:position w:val="11"/>
          <w:sz w:val="21"/>
        </w:rPr>
        <w:t>l </w:t>
      </w:r>
      <w:r>
        <w:rPr>
          <w:spacing w:val="20"/>
          <w:w w:val="110"/>
          <w:position w:val="11"/>
          <w:sz w:val="21"/>
        </w:rPr>
        <w:t> </w:t>
      </w:r>
      <w:r>
        <w:rPr>
          <w:w w:val="110"/>
          <w:position w:val="11"/>
          <w:sz w:val="21"/>
        </w:rPr>
        <w:t>.</w:t>
        <w:tab/>
        <w:t>.</w:t>
      </w:r>
    </w:p>
    <w:p>
      <w:pPr>
        <w:spacing w:before="117"/>
        <w:ind w:left="14" w:right="0" w:firstLine="0"/>
        <w:jc w:val="left"/>
        <w:rPr>
          <w:sz w:val="22"/>
        </w:rPr>
      </w:pPr>
      <w:r>
        <w:rPr/>
        <w:br w:type="column"/>
      </w:r>
      <w:r>
        <w:rPr>
          <w:i/>
          <w:spacing w:val="-101"/>
          <w:w w:val="87"/>
          <w:sz w:val="22"/>
        </w:rPr>
        <w:t>T</w:t>
      </w:r>
      <w:r>
        <w:rPr>
          <w:i/>
          <w:spacing w:val="-10"/>
          <w:w w:val="93"/>
          <w:position w:val="11"/>
          <w:sz w:val="21"/>
        </w:rPr>
        <w:t>Y</w:t>
      </w:r>
      <w:r>
        <w:rPr>
          <w:i/>
          <w:spacing w:val="-88"/>
          <w:w w:val="88"/>
          <w:sz w:val="22"/>
        </w:rPr>
        <w:t>o</w:t>
      </w:r>
      <w:r>
        <w:rPr>
          <w:i/>
          <w:w w:val="94"/>
          <w:position w:val="11"/>
          <w:sz w:val="21"/>
        </w:rPr>
        <w:t>o</w:t>
      </w:r>
      <w:r>
        <w:rPr>
          <w:i/>
          <w:spacing w:val="-9"/>
          <w:position w:val="11"/>
          <w:sz w:val="21"/>
        </w:rPr>
        <w:t> </w:t>
      </w:r>
      <w:r>
        <w:rPr>
          <w:w w:val="134"/>
          <w:sz w:val="22"/>
        </w:rPr>
        <w:t>.</w:t>
      </w:r>
    </w:p>
    <w:p>
      <w:pPr>
        <w:spacing w:after="0"/>
        <w:jc w:val="left"/>
        <w:rPr>
          <w:sz w:val="22"/>
        </w:rPr>
        <w:sectPr>
          <w:type w:val="continuous"/>
          <w:pgSz w:w="7200" w:h="11340"/>
          <w:pgMar w:top="1100" w:bottom="0" w:left="640" w:right="540"/>
          <w:cols w:num="4" w:equalWidth="0">
            <w:col w:w="989" w:space="40"/>
            <w:col w:w="511" w:space="40"/>
            <w:col w:w="1849" w:space="40"/>
            <w:col w:w="2551"/>
          </w:cols>
        </w:sectPr>
      </w:pPr>
    </w:p>
    <w:p>
      <w:pPr>
        <w:spacing w:line="242" w:lineRule="auto" w:before="105"/>
        <w:ind w:left="119" w:right="144" w:firstLine="198"/>
        <w:jc w:val="both"/>
        <w:rPr>
          <w:sz w:val="21"/>
        </w:rPr>
      </w:pPr>
      <w:r>
        <w:rPr/>
        <w:pict>
          <v:rect style="position:absolute;margin-left:206.100006pt;margin-top:-2.407266pt;width:9.36pt;height:6.66pt;mso-position-horizontal-relative:page;mso-position-vertical-relative:paragraph;z-index:-721240" filled="true" fillcolor="#000000" stroked="false">
            <v:fill type="solid"/>
            <w10:wrap type="none"/>
          </v:rect>
        </w:pict>
      </w:r>
      <w:r>
        <w:rPr/>
        <w:pict>
          <v:shape style="position:absolute;margin-left:171pt;margin-top:-10.856339pt;width:32.4pt;height:10.5pt;mso-position-horizontal-relative:page;mso-position-vertical-relative:paragraph;z-index:-721216" type="#_x0000_t202" filled="false" stroked="false">
            <v:textbox inset="0,0,0,0">
              <w:txbxContent>
                <w:p>
                  <w:pPr>
                    <w:spacing w:line="210" w:lineRule="exact" w:before="0"/>
                    <w:ind w:left="0" w:right="-20" w:firstLine="0"/>
                    <w:jc w:val="left"/>
                    <w:rPr>
                      <w:sz w:val="21"/>
                    </w:rPr>
                  </w:pPr>
                  <w:r>
                    <w:rPr>
                      <w:w w:val="95"/>
                      <w:sz w:val="21"/>
                    </w:rPr>
                    <w:t>at10n</w:t>
                  </w:r>
                  <w:r>
                    <w:rPr>
                      <w:spacing w:val="-23"/>
                      <w:w w:val="95"/>
                      <w:sz w:val="21"/>
                    </w:rPr>
                    <w:t> </w:t>
                  </w:r>
                  <w:r>
                    <w:rPr>
                      <w:w w:val="95"/>
                      <w:sz w:val="21"/>
                    </w:rPr>
                    <w:t>1s</w:t>
                  </w:r>
                </w:p>
              </w:txbxContent>
            </v:textbox>
            <w10:wrap type="none"/>
          </v:shape>
        </w:pict>
      </w:r>
      <w:r>
        <w:rPr>
          <w:sz w:val="21"/>
        </w:rPr>
        <w:t>Since the total lifetime represents the total of the ages ut death,  we can now find the average age at death for the </w:t>
      </w:r>
      <w:r>
        <w:rPr>
          <w:i/>
          <w:spacing w:val="3"/>
          <w:sz w:val="21"/>
        </w:rPr>
        <w:t>T</w:t>
      </w:r>
      <w:r>
        <w:rPr>
          <w:spacing w:val="3"/>
          <w:sz w:val="13"/>
        </w:rPr>
        <w:t>z </w:t>
      </w:r>
      <w:r>
        <w:rPr>
          <w:sz w:val="21"/>
        </w:rPr>
        <w:t>lives aged </w:t>
      </w:r>
      <w:r>
        <w:rPr>
          <w:rFonts w:ascii="Arial" w:hAnsi="Arial"/>
          <w:i/>
          <w:sz w:val="18"/>
        </w:rPr>
        <w:t>x</w:t>
      </w:r>
      <w:r>
        <w:rPr>
          <w:rFonts w:ascii="Arial" w:hAnsi="Arial"/>
          <w:i/>
          <w:spacing w:val="-19"/>
          <w:sz w:val="18"/>
        </w:rPr>
        <w:t> </w:t>
      </w:r>
      <w:r>
        <w:rPr>
          <w:sz w:val="21"/>
        </w:rPr>
        <w:t>fü1d over:</w:t>
      </w:r>
    </w:p>
    <w:p>
      <w:pPr>
        <w:tabs>
          <w:tab w:pos="1540" w:val="left" w:leader="none"/>
        </w:tabs>
        <w:spacing w:line="293" w:lineRule="exact" w:before="63"/>
        <w:ind w:left="0" w:right="105" w:firstLine="0"/>
        <w:jc w:val="center"/>
        <w:rPr>
          <w:sz w:val="21"/>
        </w:rPr>
      </w:pPr>
      <w:r>
        <w:rPr>
          <w:i/>
          <w:sz w:val="22"/>
          <w:u w:val="single"/>
        </w:rPr>
        <w:t>xTa: </w:t>
      </w:r>
      <w:r>
        <w:rPr>
          <w:sz w:val="29"/>
          <w:u w:val="single"/>
        </w:rPr>
        <w:t>+</w:t>
      </w:r>
      <w:r>
        <w:rPr>
          <w:spacing w:val="24"/>
          <w:sz w:val="29"/>
          <w:u w:val="single"/>
        </w:rPr>
        <w:t> </w:t>
      </w:r>
      <w:r>
        <w:rPr>
          <w:sz w:val="21"/>
          <w:u w:val="single"/>
        </w:rPr>
        <w:t>2Y:i</w:t>
      </w:r>
      <w:r>
        <w:rPr>
          <w:sz w:val="21"/>
        </w:rPr>
        <w:t>:</w:t>
      </w:r>
      <w:r>
        <w:rPr>
          <w:spacing w:val="-1"/>
          <w:sz w:val="21"/>
        </w:rPr>
        <w:t> </w:t>
      </w:r>
      <w:r>
        <w:rPr>
          <w:sz w:val="21"/>
        </w:rPr>
        <w:t>_</w:t>
        <w:tab/>
      </w:r>
      <w:r>
        <w:rPr>
          <w:w w:val="90"/>
          <w:sz w:val="29"/>
        </w:rPr>
        <w:t>+</w:t>
      </w:r>
      <w:r>
        <w:rPr>
          <w:spacing w:val="-33"/>
          <w:w w:val="90"/>
          <w:sz w:val="29"/>
        </w:rPr>
        <w:t> </w:t>
      </w:r>
      <w:r>
        <w:rPr>
          <w:w w:val="90"/>
          <w:sz w:val="21"/>
        </w:rPr>
        <w:t>2Y:i:</w:t>
      </w:r>
    </w:p>
    <w:p>
      <w:pPr>
        <w:tabs>
          <w:tab w:pos="3024" w:val="left" w:leader="none"/>
          <w:tab w:pos="3748" w:val="left" w:leader="none"/>
        </w:tabs>
        <w:spacing w:line="213" w:lineRule="exact" w:before="0"/>
        <w:ind w:left="2315" w:right="0" w:firstLine="0"/>
        <w:jc w:val="left"/>
        <w:rPr>
          <w:sz w:val="22"/>
        </w:rPr>
      </w:pPr>
      <w:r>
        <w:rPr>
          <w:b/>
          <w:i/>
          <w:w w:val="105"/>
          <w:sz w:val="22"/>
        </w:rPr>
        <w:t>Tz</w:t>
        <w:tab/>
      </w:r>
      <w:r>
        <w:rPr>
          <w:w w:val="210"/>
          <w:sz w:val="22"/>
        </w:rPr>
        <w:t>-</w:t>
      </w:r>
      <w:r>
        <w:rPr>
          <w:spacing w:val="-54"/>
          <w:w w:val="210"/>
          <w:sz w:val="22"/>
        </w:rPr>
        <w:t> </w:t>
      </w:r>
      <w:r>
        <w:rPr>
          <w:rFonts w:ascii="Arial" w:hAnsi="Arial"/>
          <w:b/>
          <w:i/>
          <w:w w:val="105"/>
          <w:sz w:val="14"/>
        </w:rPr>
        <w:t>X</w:t>
        <w:tab/>
      </w:r>
      <w:r>
        <w:rPr>
          <w:b/>
          <w:i/>
          <w:w w:val="105"/>
          <w:sz w:val="22"/>
          <w:u w:val="thick"/>
        </w:rPr>
        <w:t>Tz</w:t>
      </w:r>
      <w:r>
        <w:rPr>
          <w:b/>
          <w:i/>
          <w:spacing w:val="31"/>
          <w:w w:val="105"/>
          <w:sz w:val="22"/>
          <w:u w:val="thick"/>
        </w:rPr>
        <w:t> </w:t>
      </w:r>
      <w:r>
        <w:rPr>
          <w:w w:val="125"/>
          <w:sz w:val="22"/>
        </w:rPr>
        <w:t>·</w:t>
      </w:r>
    </w:p>
    <w:p>
      <w:pPr>
        <w:spacing w:line="271" w:lineRule="auto" w:before="120"/>
        <w:ind w:left="119" w:right="157" w:hanging="8"/>
        <w:jc w:val="both"/>
        <w:rPr>
          <w:rFonts w:ascii="Arial"/>
          <w:i/>
          <w:sz w:val="27"/>
        </w:rPr>
      </w:pPr>
      <w:r>
        <w:rPr>
          <w:sz w:val="21"/>
        </w:rPr>
        <w:t>When </w:t>
      </w:r>
      <w:r>
        <w:rPr>
          <w:rFonts w:ascii="Arial"/>
          <w:i/>
          <w:sz w:val="17"/>
        </w:rPr>
        <w:t>x </w:t>
      </w:r>
      <w:r>
        <w:rPr>
          <w:sz w:val="24"/>
        </w:rPr>
        <w:t>= </w:t>
      </w:r>
      <w:r>
        <w:rPr>
          <w:sz w:val="21"/>
        </w:rPr>
        <w:t>O, the average age at death of the entire present popub- </w:t>
      </w:r>
      <w:r>
        <w:rPr>
          <w:spacing w:val="-14"/>
          <w:w w:val="98"/>
          <w:sz w:val="21"/>
        </w:rPr>
        <w:t>t1</w:t>
      </w:r>
      <w:r>
        <w:rPr>
          <w:rFonts w:ascii="Arial"/>
          <w:spacing w:val="-14"/>
          <w:w w:val="98"/>
          <w:position w:val="9"/>
          <w:sz w:val="19"/>
        </w:rPr>
        <w:t>.</w:t>
      </w:r>
      <w:r>
        <w:rPr>
          <w:spacing w:val="-14"/>
          <w:w w:val="98"/>
          <w:sz w:val="21"/>
        </w:rPr>
        <w:t>on</w:t>
      </w:r>
      <w:r>
        <w:rPr>
          <w:w w:val="98"/>
          <w:sz w:val="21"/>
        </w:rPr>
        <w:t>  </w:t>
      </w:r>
      <w:r>
        <w:rPr>
          <w:spacing w:val="-30"/>
          <w:w w:val="110"/>
          <w:sz w:val="21"/>
        </w:rPr>
        <w:t>1</w:t>
      </w:r>
      <w:r>
        <w:rPr>
          <w:rFonts w:ascii="Arial"/>
          <w:spacing w:val="-30"/>
          <w:w w:val="110"/>
          <w:position w:val="9"/>
          <w:sz w:val="19"/>
        </w:rPr>
        <w:t>.</w:t>
      </w:r>
      <w:r>
        <w:rPr>
          <w:spacing w:val="-30"/>
          <w:w w:val="110"/>
          <w:sz w:val="21"/>
        </w:rPr>
        <w:t>s </w:t>
      </w:r>
      <w:r>
        <w:rPr>
          <w:rFonts w:ascii="Arial"/>
          <w:spacing w:val="2"/>
          <w:w w:val="101"/>
          <w:position w:val="9"/>
          <w:sz w:val="19"/>
        </w:rPr>
        <w:t>f</w:t>
      </w:r>
      <w:r>
        <w:rPr>
          <w:spacing w:val="2"/>
          <w:w w:val="101"/>
          <w:sz w:val="21"/>
        </w:rPr>
        <w:t>oun</w:t>
      </w:r>
      <w:r>
        <w:rPr>
          <w:spacing w:val="2"/>
          <w:w w:val="101"/>
          <w:position w:val="9"/>
          <w:sz w:val="21"/>
        </w:rPr>
        <w:t>d </w:t>
      </w:r>
      <w:r>
        <w:rPr>
          <w:spacing w:val="2"/>
          <w:w w:val="104"/>
          <w:sz w:val="21"/>
        </w:rPr>
        <w:t>to </w:t>
      </w:r>
      <w:r>
        <w:rPr>
          <w:spacing w:val="2"/>
          <w:w w:val="94"/>
          <w:position w:val="9"/>
          <w:sz w:val="21"/>
        </w:rPr>
        <w:t>b</w:t>
      </w:r>
      <w:r>
        <w:rPr>
          <w:rFonts w:ascii="Arial"/>
          <w:i/>
          <w:spacing w:val="2"/>
          <w:w w:val="94"/>
          <w:sz w:val="18"/>
        </w:rPr>
        <w:t>f! </w:t>
      </w:r>
      <w:r>
        <w:rPr>
          <w:i/>
          <w:spacing w:val="-66"/>
          <w:w w:val="98"/>
          <w:position w:val="9"/>
          <w:sz w:val="21"/>
        </w:rPr>
        <w:t>2</w:t>
      </w:r>
      <w:r>
        <w:rPr>
          <w:rFonts w:ascii="Arial"/>
          <w:i/>
          <w:spacing w:val="-66"/>
          <w:w w:val="98"/>
          <w:sz w:val="27"/>
        </w:rPr>
        <w:t>T</w:t>
      </w:r>
      <w:r>
        <w:rPr>
          <w:i/>
          <w:spacing w:val="-66"/>
          <w:w w:val="98"/>
          <w:position w:val="9"/>
          <w:sz w:val="21"/>
        </w:rPr>
        <w:t>Y</w:t>
      </w:r>
      <w:r>
        <w:rPr>
          <w:rFonts w:ascii="Arial"/>
          <w:i/>
          <w:spacing w:val="-66"/>
          <w:w w:val="98"/>
          <w:sz w:val="27"/>
        </w:rPr>
        <w:t>o</w:t>
      </w:r>
      <w:r>
        <w:rPr>
          <w:i/>
          <w:spacing w:val="-66"/>
          <w:w w:val="98"/>
          <w:position w:val="9"/>
          <w:sz w:val="21"/>
        </w:rPr>
        <w:t>o</w:t>
      </w:r>
      <w:r>
        <w:rPr>
          <w:i/>
          <w:spacing w:val="-8"/>
          <w:w w:val="98"/>
          <w:position w:val="9"/>
          <w:sz w:val="21"/>
        </w:rPr>
        <w:t> </w:t>
      </w:r>
      <w:r>
        <w:rPr>
          <w:rFonts w:ascii="Arial"/>
          <w:i/>
          <w:w w:val="85"/>
          <w:sz w:val="27"/>
        </w:rPr>
        <w:t>.</w:t>
      </w:r>
    </w:p>
    <w:p>
      <w:pPr>
        <w:spacing w:line="458" w:lineRule="exact" w:before="0"/>
        <w:ind w:left="115" w:right="0" w:firstLine="205"/>
        <w:jc w:val="left"/>
        <w:rPr>
          <w:sz w:val="21"/>
        </w:rPr>
      </w:pPr>
      <w:r>
        <w:rPr>
          <w:w w:val="128"/>
          <w:sz w:val="21"/>
        </w:rPr>
        <w:t>It</w:t>
      </w:r>
      <w:r>
        <w:rPr>
          <w:spacing w:val="5"/>
          <w:sz w:val="21"/>
        </w:rPr>
        <w:t> </w:t>
      </w:r>
      <w:r>
        <w:rPr>
          <w:w w:val="103"/>
          <w:sz w:val="21"/>
        </w:rPr>
        <w:t>is</w:t>
      </w:r>
      <w:r>
        <w:rPr>
          <w:spacing w:val="-4"/>
          <w:sz w:val="21"/>
        </w:rPr>
        <w:t> </w:t>
      </w:r>
      <w:r>
        <w:rPr>
          <w:w w:val="104"/>
          <w:sz w:val="21"/>
        </w:rPr>
        <w:t>important</w:t>
      </w:r>
      <w:r>
        <w:rPr>
          <w:spacing w:val="19"/>
          <w:sz w:val="21"/>
        </w:rPr>
        <w:t> </w:t>
      </w:r>
      <w:r>
        <w:rPr>
          <w:w w:val="111"/>
          <w:sz w:val="21"/>
        </w:rPr>
        <w:t>to</w:t>
      </w:r>
      <w:r>
        <w:rPr>
          <w:spacing w:val="5"/>
          <w:sz w:val="21"/>
        </w:rPr>
        <w:t> </w:t>
      </w:r>
      <w:r>
        <w:rPr>
          <w:w w:val="104"/>
          <w:sz w:val="21"/>
        </w:rPr>
        <w:t>note</w:t>
      </w:r>
      <w:r>
        <w:rPr>
          <w:spacing w:val="7"/>
          <w:sz w:val="21"/>
        </w:rPr>
        <w:t> </w:t>
      </w:r>
      <w:r>
        <w:rPr>
          <w:w w:val="107"/>
          <w:sz w:val="21"/>
        </w:rPr>
        <w:t>the</w:t>
      </w:r>
      <w:r>
        <w:rPr>
          <w:spacing w:val="5"/>
          <w:sz w:val="21"/>
        </w:rPr>
        <w:t> </w:t>
      </w:r>
      <w:r>
        <w:rPr>
          <w:w w:val="101"/>
          <w:sz w:val="21"/>
        </w:rPr>
        <w:t>distinction</w:t>
      </w:r>
      <w:r>
        <w:rPr>
          <w:spacing w:val="23"/>
          <w:sz w:val="21"/>
        </w:rPr>
        <w:t> </w:t>
      </w:r>
      <w:r>
        <w:rPr>
          <w:w w:val="98"/>
          <w:sz w:val="21"/>
        </w:rPr>
        <w:t>between</w:t>
      </w:r>
      <w:r>
        <w:rPr>
          <w:sz w:val="21"/>
        </w:rPr>
        <w:t> </w:t>
      </w:r>
      <w:r>
        <w:rPr>
          <w:spacing w:val="-16"/>
          <w:sz w:val="21"/>
        </w:rPr>
        <w:t> </w:t>
      </w:r>
      <w:r>
        <w:rPr>
          <w:spacing w:val="-17"/>
          <w:w w:val="98"/>
          <w:sz w:val="42"/>
        </w:rPr>
        <w:t>r</w:t>
      </w:r>
      <w:r>
        <w:rPr>
          <w:w w:val="30"/>
          <w:sz w:val="42"/>
        </w:rPr>
        <w:t>o</w:t>
      </w:r>
      <w:r>
        <w:rPr>
          <w:spacing w:val="-42"/>
          <w:sz w:val="42"/>
        </w:rPr>
        <w:t> </w:t>
      </w:r>
      <w:r>
        <w:rPr>
          <w:w w:val="45"/>
          <w:sz w:val="42"/>
        </w:rPr>
        <w:t>,</w:t>
      </w:r>
      <w:r>
        <w:rPr>
          <w:spacing w:val="-48"/>
          <w:sz w:val="42"/>
        </w:rPr>
        <w:t> </w:t>
      </w:r>
      <w:r>
        <w:rPr>
          <w:w w:val="95"/>
          <w:sz w:val="21"/>
        </w:rPr>
        <w:t>which</w:t>
      </w:r>
      <w:r>
        <w:rPr>
          <w:sz w:val="21"/>
        </w:rPr>
        <w:t> </w:t>
      </w:r>
      <w:r>
        <w:rPr>
          <w:spacing w:val="-25"/>
          <w:sz w:val="21"/>
        </w:rPr>
        <w:t> </w:t>
      </w:r>
      <w:r>
        <w:rPr>
          <w:w w:val="97"/>
          <w:sz w:val="21"/>
        </w:rPr>
        <w:t>repre­</w:t>
      </w:r>
    </w:p>
    <w:p>
      <w:pPr>
        <w:spacing w:before="69"/>
        <w:ind w:left="115" w:right="137" w:firstLine="0"/>
        <w:jc w:val="both"/>
        <w:rPr>
          <w:sz w:val="21"/>
        </w:rPr>
      </w:pPr>
      <w:r>
        <w:rPr>
          <w:sz w:val="21"/>
        </w:rPr>
        <w:t>sents the average age at death for newly born lives and also the average age at death in any period  of time for the entire population,</w:t>
      </w:r>
    </w:p>
    <w:p>
      <w:pPr>
        <w:spacing w:line="421" w:lineRule="exact" w:before="0"/>
        <w:ind w:left="112" w:right="0" w:firstLine="7"/>
        <w:jc w:val="both"/>
        <w:rPr>
          <w:sz w:val="21"/>
        </w:rPr>
      </w:pPr>
      <w:r>
        <w:rPr>
          <w:w w:val="104"/>
          <w:sz w:val="21"/>
        </w:rPr>
        <w:t>and</w:t>
      </w:r>
      <w:r>
        <w:rPr>
          <w:spacing w:val="10"/>
          <w:sz w:val="21"/>
        </w:rPr>
        <w:t> </w:t>
      </w:r>
      <w:r>
        <w:rPr>
          <w:spacing w:val="-44"/>
          <w:position w:val="12"/>
          <w:sz w:val="21"/>
        </w:rPr>
        <w:t>2</w:t>
      </w:r>
      <w:r>
        <w:rPr>
          <w:w w:val="46"/>
          <w:sz w:val="49"/>
        </w:rPr>
        <w:t>ioº</w:t>
      </w:r>
      <w:r>
        <w:rPr>
          <w:spacing w:val="-60"/>
          <w:sz w:val="49"/>
        </w:rPr>
        <w:t> </w:t>
      </w:r>
      <w:r>
        <w:rPr>
          <w:w w:val="43"/>
          <w:sz w:val="49"/>
        </w:rPr>
        <w:t>,</w:t>
      </w:r>
      <w:r>
        <w:rPr>
          <w:spacing w:val="-71"/>
          <w:sz w:val="49"/>
        </w:rPr>
        <w:t> </w:t>
      </w:r>
      <w:r>
        <w:rPr>
          <w:w w:val="96"/>
          <w:sz w:val="21"/>
        </w:rPr>
        <w:t>which</w:t>
      </w:r>
      <w:r>
        <w:rPr>
          <w:spacing w:val="22"/>
          <w:sz w:val="21"/>
        </w:rPr>
        <w:t> </w:t>
      </w:r>
      <w:r>
        <w:rPr>
          <w:w w:val="101"/>
          <w:sz w:val="21"/>
        </w:rPr>
        <w:t>represents</w:t>
      </w:r>
      <w:r>
        <w:rPr>
          <w:spacing w:val="12"/>
          <w:sz w:val="21"/>
        </w:rPr>
        <w:t> </w:t>
      </w:r>
      <w:r>
        <w:rPr>
          <w:w w:val="107"/>
          <w:sz w:val="21"/>
        </w:rPr>
        <w:t>the</w:t>
      </w:r>
      <w:r>
        <w:rPr>
          <w:spacing w:val="9"/>
          <w:sz w:val="21"/>
        </w:rPr>
        <w:t> </w:t>
      </w:r>
      <w:r>
        <w:rPr>
          <w:w w:val="100"/>
          <w:sz w:val="21"/>
        </w:rPr>
        <w:t>average</w:t>
      </w:r>
      <w:r>
        <w:rPr>
          <w:spacing w:val="16"/>
          <w:sz w:val="21"/>
        </w:rPr>
        <w:t> </w:t>
      </w:r>
      <w:r>
        <w:rPr>
          <w:w w:val="99"/>
          <w:sz w:val="21"/>
        </w:rPr>
        <w:t>age</w:t>
      </w:r>
      <w:r>
        <w:rPr>
          <w:spacing w:val="9"/>
          <w:sz w:val="21"/>
        </w:rPr>
        <w:t> </w:t>
      </w:r>
      <w:r>
        <w:rPr>
          <w:w w:val="114"/>
          <w:sz w:val="21"/>
        </w:rPr>
        <w:t>at</w:t>
      </w:r>
      <w:r>
        <w:rPr>
          <w:spacing w:val="11"/>
          <w:sz w:val="21"/>
        </w:rPr>
        <w:t> </w:t>
      </w:r>
      <w:r>
        <w:rPr>
          <w:w w:val="104"/>
          <w:sz w:val="21"/>
        </w:rPr>
        <w:t>death</w:t>
      </w:r>
      <w:r>
        <w:rPr>
          <w:spacing w:val="17"/>
          <w:sz w:val="21"/>
        </w:rPr>
        <w:t> </w:t>
      </w:r>
      <w:r>
        <w:rPr>
          <w:w w:val="83"/>
          <w:sz w:val="21"/>
        </w:rPr>
        <w:t>of</w:t>
      </w:r>
      <w:r>
        <w:rPr>
          <w:sz w:val="21"/>
        </w:rPr>
        <w:t> </w:t>
      </w:r>
      <w:r>
        <w:rPr>
          <w:spacing w:val="-26"/>
          <w:sz w:val="21"/>
        </w:rPr>
        <w:t> </w:t>
      </w:r>
      <w:r>
        <w:rPr>
          <w:w w:val="106"/>
          <w:sz w:val="21"/>
        </w:rPr>
        <w:t>the</w:t>
      </w:r>
      <w:r>
        <w:rPr>
          <w:spacing w:val="11"/>
          <w:sz w:val="21"/>
        </w:rPr>
        <w:t> </w:t>
      </w:r>
      <w:r>
        <w:rPr>
          <w:w w:val="100"/>
          <w:sz w:val="21"/>
        </w:rPr>
        <w:t>present</w:t>
      </w:r>
    </w:p>
    <w:p>
      <w:pPr>
        <w:spacing w:line="235" w:lineRule="auto" w:before="58"/>
        <w:ind w:left="108" w:right="127" w:firstLine="3"/>
        <w:jc w:val="both"/>
        <w:rPr>
          <w:sz w:val="21"/>
        </w:rPr>
      </w:pPr>
      <w:r>
        <w:rPr>
          <w:sz w:val="21"/>
        </w:rPr>
        <w:t>members of the population. The present members form a closed group of lives, and if their average age at death were to be obtained from observation of published death notices, it would be necessary to ignore the deaths of those who were born af ter the group is closed. The closed group constitutes an aging population in which the average age of the deaths increases in successive intervals of time.  It  follows that  the average age at death  of  the closed</w:t>
      </w:r>
      <w:r>
        <w:rPr>
          <w:spacing w:val="48"/>
          <w:sz w:val="21"/>
        </w:rPr>
        <w:t> </w:t>
      </w:r>
      <w:r>
        <w:rPr>
          <w:sz w:val="21"/>
        </w:rPr>
        <w:t>group,</w:t>
      </w:r>
    </w:p>
    <w:p>
      <w:pPr>
        <w:spacing w:after="0" w:line="235" w:lineRule="auto"/>
        <w:jc w:val="both"/>
        <w:rPr>
          <w:sz w:val="21"/>
        </w:rPr>
        <w:sectPr>
          <w:type w:val="continuous"/>
          <w:pgSz w:w="7200" w:h="11340"/>
          <w:pgMar w:top="1100" w:bottom="0" w:left="640" w:right="540"/>
        </w:sectPr>
      </w:pPr>
    </w:p>
    <w:p>
      <w:pPr>
        <w:tabs>
          <w:tab w:pos="2128" w:val="left" w:leader="none"/>
          <w:tab w:pos="5368" w:val="left" w:leader="none"/>
        </w:tabs>
        <w:spacing w:before="45"/>
        <w:ind w:left="148" w:right="0" w:firstLine="0"/>
        <w:jc w:val="both"/>
        <w:rPr>
          <w:rFonts w:ascii="Arial"/>
          <w:b/>
          <w:sz w:val="20"/>
        </w:rPr>
      </w:pPr>
      <w:r>
        <w:rPr>
          <w:rFonts w:ascii="Arial"/>
          <w:spacing w:val="-16"/>
          <w:w w:val="105"/>
          <w:sz w:val="18"/>
        </w:rPr>
        <w:t>182</w:t>
        <w:tab/>
      </w:r>
      <w:r>
        <w:rPr>
          <w:w w:val="105"/>
          <w:position w:val="1"/>
          <w:sz w:val="15"/>
        </w:rPr>
        <w:t>POPULATION  </w:t>
      </w:r>
      <w:r>
        <w:rPr>
          <w:spacing w:val="14"/>
          <w:w w:val="105"/>
          <w:position w:val="1"/>
          <w:sz w:val="15"/>
        </w:rPr>
        <w:t> </w:t>
      </w:r>
      <w:r>
        <w:rPr>
          <w:rFonts w:ascii="Arial"/>
          <w:b/>
          <w:w w:val="105"/>
          <w:position w:val="1"/>
          <w:sz w:val="14"/>
        </w:rPr>
        <w:t>THEORY</w:t>
        <w:tab/>
      </w:r>
      <w:r>
        <w:rPr>
          <w:b/>
          <w:w w:val="90"/>
          <w:position w:val="2"/>
          <w:sz w:val="20"/>
        </w:rPr>
        <w:t>{CH.</w:t>
      </w:r>
      <w:r>
        <w:rPr>
          <w:b/>
          <w:spacing w:val="10"/>
          <w:w w:val="90"/>
          <w:position w:val="2"/>
          <w:sz w:val="20"/>
        </w:rPr>
        <w:t> </w:t>
      </w:r>
      <w:r>
        <w:rPr>
          <w:rFonts w:ascii="Arial"/>
          <w:b/>
          <w:w w:val="90"/>
          <w:position w:val="2"/>
          <w:sz w:val="20"/>
        </w:rPr>
        <w:t>8</w:t>
      </w:r>
    </w:p>
    <w:p>
      <w:pPr>
        <w:pStyle w:val="BodyText"/>
        <w:spacing w:before="8"/>
        <w:rPr>
          <w:rFonts w:ascii="Arial"/>
          <w:b/>
          <w:sz w:val="19"/>
        </w:rPr>
      </w:pPr>
    </w:p>
    <w:p>
      <w:pPr>
        <w:pStyle w:val="BodyText"/>
        <w:spacing w:line="244" w:lineRule="auto"/>
        <w:ind w:left="130" w:right="139" w:firstLine="3"/>
        <w:jc w:val="both"/>
        <w:rPr>
          <w:sz w:val="19"/>
        </w:rPr>
      </w:pPr>
      <w:r>
        <w:rPr>
          <w:w w:val="105"/>
        </w:rPr>
        <w:t>being a composite of the averages </w:t>
      </w:r>
      <w:r>
        <w:rPr>
          <w:w w:val="105"/>
          <w:sz w:val="21"/>
        </w:rPr>
        <w:t>in </w:t>
      </w:r>
      <w:r>
        <w:rPr>
          <w:w w:val="105"/>
        </w:rPr>
        <w:t>each successive interval of time, </w:t>
      </w:r>
      <w:r>
        <w:rPr>
          <w:w w:val="105"/>
          <w:sz w:val="19"/>
        </w:rPr>
        <w:t>will  </w:t>
      </w:r>
      <w:r>
        <w:rPr>
          <w:w w:val="105"/>
        </w:rPr>
        <w:t>be greater than the average age at death  in any  interval  of time </w:t>
      </w:r>
      <w:r>
        <w:rPr>
          <w:w w:val="105"/>
          <w:sz w:val="21"/>
        </w:rPr>
        <w:t>for </w:t>
      </w:r>
      <w:r>
        <w:rPr>
          <w:w w:val="105"/>
        </w:rPr>
        <w:t>the entire stationary  population  (for which  </w:t>
      </w:r>
      <w:r>
        <w:rPr>
          <w:w w:val="105"/>
          <w:sz w:val="21"/>
        </w:rPr>
        <w:t>all </w:t>
      </w:r>
      <w:r>
        <w:rPr>
          <w:w w:val="105"/>
        </w:rPr>
        <w:t>deaths are observed ) ; that </w:t>
      </w:r>
      <w:r>
        <w:rPr>
          <w:spacing w:val="21"/>
          <w:w w:val="105"/>
        </w:rPr>
        <w:t> </w:t>
      </w:r>
      <w:r>
        <w:rPr>
          <w:w w:val="105"/>
          <w:sz w:val="19"/>
        </w:rPr>
        <w:t>is,</w:t>
      </w:r>
    </w:p>
    <w:p>
      <w:pPr>
        <w:spacing w:line="202" w:lineRule="exact" w:before="120"/>
        <w:ind w:left="142" w:right="543" w:firstLine="0"/>
        <w:jc w:val="center"/>
        <w:rPr>
          <w:sz w:val="21"/>
        </w:rPr>
      </w:pPr>
      <w:r>
        <w:rPr>
          <w:w w:val="105"/>
          <w:sz w:val="21"/>
          <w:u w:val="thick"/>
        </w:rPr>
        <w:t>2Yo &gt;</w:t>
      </w:r>
    </w:p>
    <w:p>
      <w:pPr>
        <w:tabs>
          <w:tab w:pos="666" w:val="left" w:leader="none"/>
        </w:tabs>
        <w:spacing w:line="214" w:lineRule="exact" w:before="0"/>
        <w:ind w:left="65" w:right="0" w:firstLine="0"/>
        <w:jc w:val="center"/>
        <w:rPr>
          <w:sz w:val="22"/>
        </w:rPr>
      </w:pPr>
      <w:r>
        <w:rPr>
          <w:i/>
          <w:w w:val="85"/>
          <w:sz w:val="22"/>
        </w:rPr>
        <w:t>To</w:t>
        <w:tab/>
        <w:t>lo</w:t>
      </w:r>
      <w:r>
        <w:rPr>
          <w:i/>
          <w:spacing w:val="9"/>
          <w:w w:val="85"/>
          <w:sz w:val="22"/>
        </w:rPr>
        <w:t> </w:t>
      </w:r>
      <w:r>
        <w:rPr>
          <w:w w:val="85"/>
          <w:sz w:val="22"/>
        </w:rPr>
        <w:t>•</w:t>
      </w:r>
    </w:p>
    <w:p>
      <w:pPr>
        <w:pStyle w:val="BodyText"/>
        <w:spacing w:line="249" w:lineRule="auto" w:before="127"/>
        <w:ind w:left="119" w:right="147" w:firstLine="201"/>
        <w:jc w:val="both"/>
      </w:pPr>
      <w:r>
        <w:rPr>
          <w:w w:val="105"/>
        </w:rPr>
        <w:t>This kind of analysis can be extended </w:t>
      </w:r>
      <w:r>
        <w:rPr>
          <w:w w:val="105"/>
          <w:sz w:val="21"/>
        </w:rPr>
        <w:t>to </w:t>
      </w:r>
      <w:r>
        <w:rPr>
          <w:w w:val="105"/>
        </w:rPr>
        <w:t>other segments of the population. Consider the members now living between ages </w:t>
      </w:r>
      <w:r>
        <w:rPr>
          <w:rFonts w:ascii="Arial" w:hAnsi="Arial"/>
          <w:w w:val="105"/>
          <w:sz w:val="18"/>
        </w:rPr>
        <w:t>Y1 </w:t>
      </w:r>
      <w:r>
        <w:rPr>
          <w:w w:val="105"/>
        </w:rPr>
        <w:t>and </w:t>
      </w:r>
      <w:r>
        <w:rPr>
          <w:rFonts w:ascii="Arial" w:hAnsi="Arial"/>
          <w:w w:val="105"/>
          <w:sz w:val="19"/>
        </w:rPr>
        <w:t>y</w:t>
      </w:r>
      <w:r>
        <w:rPr>
          <w:rFonts w:ascii="Arial" w:hAnsi="Arial"/>
          <w:w w:val="105"/>
          <w:position w:val="-2"/>
          <w:sz w:val="11"/>
        </w:rPr>
        <w:t>2  </w:t>
      </w:r>
      <w:r>
        <w:rPr>
          <w:rFonts w:ascii="Arial" w:hAnsi="Arial"/>
          <w:w w:val="105"/>
          <w:sz w:val="11"/>
        </w:rPr>
        <w:t>•   </w:t>
      </w:r>
      <w:r>
        <w:rPr>
          <w:w w:val="105"/>
          <w:sz w:val="19"/>
        </w:rPr>
        <w:t>If  </w:t>
      </w:r>
      <w:r>
        <w:rPr>
          <w:w w:val="105"/>
        </w:rPr>
        <w:t>all the mcmbers  of  the subset are included,  then</w:t>
      </w:r>
    </w:p>
    <w:p>
      <w:pPr>
        <w:pStyle w:val="BodyText"/>
        <w:spacing w:line="510" w:lineRule="exact"/>
        <w:ind w:left="1019"/>
      </w:pPr>
      <w:r>
        <w:rPr>
          <w:w w:val="111"/>
        </w:rPr>
        <w:t>the</w:t>
      </w:r>
      <w:r>
        <w:rPr>
          <w:spacing w:val="15"/>
        </w:rPr>
        <w:t> </w:t>
      </w:r>
      <w:r>
        <w:rPr>
          <w:w w:val="106"/>
        </w:rPr>
        <w:t>number</w:t>
      </w:r>
      <w:r>
        <w:rPr/>
        <w:t> </w:t>
      </w:r>
      <w:r>
        <w:rPr>
          <w:spacing w:val="-16"/>
        </w:rPr>
        <w:t> </w:t>
      </w:r>
      <w:r>
        <w:rPr>
          <w:w w:val="85"/>
        </w:rPr>
        <w:t>of</w:t>
      </w:r>
      <w:r>
        <w:rPr/>
        <w:t> </w:t>
      </w:r>
      <w:r>
        <w:rPr>
          <w:spacing w:val="-10"/>
        </w:rPr>
        <w:t> </w:t>
      </w:r>
      <w:r>
        <w:rPr>
          <w:w w:val="104"/>
        </w:rPr>
        <w:t>members</w:t>
      </w:r>
      <w:r>
        <w:rPr/>
        <w:t> </w:t>
      </w:r>
      <w:r>
        <w:rPr>
          <w:spacing w:val="-20"/>
        </w:rPr>
        <w:t> </w:t>
      </w:r>
      <w:r>
        <w:rPr>
          <w:rFonts w:ascii="Arial" w:hAnsi="Arial"/>
          <w:w w:val="102"/>
        </w:rPr>
        <w:t>is</w:t>
      </w:r>
      <w:r>
        <w:rPr>
          <w:rFonts w:ascii="Arial" w:hAnsi="Arial"/>
          <w:spacing w:val="-3"/>
        </w:rPr>
        <w:t> </w:t>
      </w:r>
      <w:r>
        <w:rPr>
          <w:b/>
          <w:spacing w:val="30"/>
          <w:w w:val="102"/>
          <w:sz w:val="54"/>
        </w:rPr>
        <w:t>f</w:t>
      </w:r>
      <w:r>
        <w:rPr>
          <w:rFonts w:ascii="Arial" w:hAnsi="Arial"/>
          <w:w w:val="70"/>
          <w:sz w:val="21"/>
        </w:rPr>
        <w:t>ª</w:t>
      </w:r>
      <w:r>
        <w:rPr>
          <w:rFonts w:ascii="Arial" w:hAnsi="Arial"/>
          <w:spacing w:val="5"/>
          <w:sz w:val="21"/>
        </w:rPr>
        <w:t> </w:t>
      </w:r>
      <w:r>
        <w:rPr>
          <w:rFonts w:ascii="Arial" w:hAnsi="Arial"/>
          <w:i/>
          <w:w w:val="83"/>
          <w:sz w:val="22"/>
        </w:rPr>
        <w:t>l,,</w:t>
      </w:r>
      <w:r>
        <w:rPr>
          <w:rFonts w:ascii="Arial" w:hAnsi="Arial"/>
          <w:i/>
          <w:spacing w:val="-18"/>
          <w:sz w:val="22"/>
        </w:rPr>
        <w:t> </w:t>
      </w:r>
      <w:r>
        <w:rPr>
          <w:w w:val="102"/>
        </w:rPr>
        <w:t>dy;</w:t>
      </w:r>
    </w:p>
    <w:p>
      <w:pPr>
        <w:spacing w:line="150" w:lineRule="exact" w:before="0"/>
        <w:ind w:left="1189" w:right="167" w:firstLine="0"/>
        <w:jc w:val="center"/>
        <w:rPr>
          <w:b/>
          <w:sz w:val="16"/>
        </w:rPr>
      </w:pPr>
      <w:r>
        <w:rPr/>
        <w:pict>
          <v:shape style="position:absolute;margin-left:198.539993pt;margin-top:.536020pt;width:15pt;height:35.550pt;mso-position-horizontal-relative:page;mso-position-vertical-relative:paragraph;z-index:-721120" type="#_x0000_t202" filled="false" stroked="false">
            <v:textbox inset="0,0,0,0">
              <w:txbxContent>
                <w:p>
                  <w:pPr>
                    <w:spacing w:line="711" w:lineRule="exact" w:before="0"/>
                    <w:ind w:left="0" w:right="-19" w:firstLine="0"/>
                    <w:jc w:val="left"/>
                    <w:rPr>
                      <w:rFonts w:ascii="Arial" w:hAnsi="Arial"/>
                      <w:i/>
                      <w:sz w:val="52"/>
                    </w:rPr>
                  </w:pPr>
                  <w:r>
                    <w:rPr>
                      <w:rFonts w:ascii="Arial" w:hAnsi="Arial"/>
                      <w:i/>
                      <w:spacing w:val="-81"/>
                      <w:w w:val="83"/>
                      <w:position w:val="-18"/>
                      <w:sz w:val="52"/>
                    </w:rPr>
                    <w:t>1</w:t>
                  </w:r>
                  <w:r>
                    <w:rPr>
                      <w:rFonts w:ascii="Arial" w:hAnsi="Arial"/>
                      <w:i/>
                      <w:spacing w:val="1"/>
                      <w:w w:val="39"/>
                      <w:sz w:val="52"/>
                    </w:rPr>
                    <w:t>"</w:t>
                  </w:r>
                  <w:r>
                    <w:rPr>
                      <w:rFonts w:ascii="Arial" w:hAnsi="Arial"/>
                      <w:i/>
                      <w:w w:val="33"/>
                      <w:sz w:val="52"/>
                    </w:rPr>
                    <w:t>•</w:t>
                  </w:r>
                </w:p>
              </w:txbxContent>
            </v:textbox>
            <w10:wrap type="none"/>
          </v:shape>
        </w:pict>
      </w:r>
      <w:r>
        <w:rPr>
          <w:b/>
          <w:w w:val="95"/>
          <w:sz w:val="16"/>
        </w:rPr>
        <w:t>"1</w:t>
      </w:r>
    </w:p>
    <w:p>
      <w:pPr>
        <w:pStyle w:val="BodyText"/>
        <w:spacing w:before="9"/>
        <w:rPr>
          <w:b/>
          <w:sz w:val="15"/>
        </w:rPr>
      </w:pPr>
    </w:p>
    <w:p>
      <w:pPr>
        <w:tabs>
          <w:tab w:pos="3683" w:val="left" w:leader="none"/>
        </w:tabs>
        <w:spacing w:before="0"/>
        <w:ind w:left="1023" w:right="0" w:firstLine="0"/>
        <w:jc w:val="left"/>
        <w:rPr>
          <w:i/>
          <w:sz w:val="20"/>
        </w:rPr>
      </w:pPr>
      <w:r>
        <w:rPr>
          <w:sz w:val="20"/>
        </w:rPr>
        <w:t>their  total  past </w:t>
      </w:r>
      <w:r>
        <w:rPr>
          <w:spacing w:val="10"/>
          <w:sz w:val="20"/>
        </w:rPr>
        <w:t> </w:t>
      </w:r>
      <w:r>
        <w:rPr>
          <w:sz w:val="20"/>
        </w:rPr>
        <w:t>lifetime</w:t>
      </w:r>
      <w:r>
        <w:rPr>
          <w:spacing w:val="48"/>
          <w:sz w:val="20"/>
        </w:rPr>
        <w:t> </w:t>
      </w:r>
      <w:r>
        <w:rPr>
          <w:sz w:val="20"/>
        </w:rPr>
        <w:t>is</w:t>
        <w:tab/>
      </w:r>
      <w:r>
        <w:rPr>
          <w:i/>
          <w:w w:val="95"/>
          <w:sz w:val="20"/>
        </w:rPr>
        <w:t>yl</w:t>
      </w:r>
      <w:r>
        <w:rPr>
          <w:i/>
          <w:spacing w:val="-39"/>
          <w:w w:val="95"/>
          <w:sz w:val="20"/>
        </w:rPr>
        <w:t> </w:t>
      </w:r>
      <w:r>
        <w:rPr>
          <w:rFonts w:ascii="Arial"/>
          <w:i/>
          <w:w w:val="95"/>
          <w:position w:val="-2"/>
          <w:sz w:val="10"/>
        </w:rPr>
        <w:t>11 </w:t>
      </w:r>
      <w:r>
        <w:rPr>
          <w:i/>
          <w:spacing w:val="3"/>
          <w:w w:val="95"/>
          <w:sz w:val="20"/>
        </w:rPr>
        <w:t>dy;</w:t>
      </w:r>
    </w:p>
    <w:p>
      <w:pPr>
        <w:spacing w:before="15"/>
        <w:ind w:left="1189" w:right="255" w:firstLine="0"/>
        <w:jc w:val="center"/>
        <w:rPr>
          <w:b/>
          <w:sz w:val="11"/>
        </w:rPr>
      </w:pPr>
      <w:r>
        <w:rPr>
          <w:b/>
          <w:w w:val="110"/>
          <w:sz w:val="11"/>
        </w:rPr>
        <w:t>f/1</w:t>
      </w:r>
    </w:p>
    <w:p>
      <w:pPr>
        <w:pStyle w:val="BodyText"/>
        <w:rPr>
          <w:b/>
          <w:sz w:val="11"/>
        </w:rPr>
      </w:pPr>
    </w:p>
    <w:p>
      <w:pPr>
        <w:spacing w:line="99" w:lineRule="exact" w:before="0"/>
        <w:ind w:left="1979" w:right="543" w:firstLine="0"/>
        <w:jc w:val="center"/>
        <w:rPr>
          <w:rFonts w:ascii="Arial"/>
          <w:sz w:val="10"/>
        </w:rPr>
      </w:pPr>
      <w:r>
        <w:rPr/>
        <w:pict>
          <v:shape style="position:absolute;margin-left:207.720001pt;margin-top:-1.618229pt;width:6.15pt;height:26pt;mso-position-horizontal-relative:page;mso-position-vertical-relative:paragraph;z-index:-721144" type="#_x0000_t202" filled="false" stroked="false">
            <v:textbox inset="0,0,0,0">
              <w:txbxContent>
                <w:p>
                  <w:pPr>
                    <w:spacing w:line="520" w:lineRule="exact" w:before="0"/>
                    <w:ind w:left="0" w:right="0" w:firstLine="0"/>
                    <w:jc w:val="left"/>
                    <w:rPr>
                      <w:rFonts w:ascii="Arial"/>
                      <w:sz w:val="52"/>
                    </w:rPr>
                  </w:pPr>
                  <w:r>
                    <w:rPr>
                      <w:rFonts w:ascii="Arial"/>
                      <w:w w:val="84"/>
                      <w:sz w:val="52"/>
                    </w:rPr>
                    <w:t>f</w:t>
                  </w:r>
                </w:p>
              </w:txbxContent>
            </v:textbox>
            <w10:wrap type="none"/>
          </v:shape>
        </w:pict>
      </w:r>
      <w:r>
        <w:rPr>
          <w:rFonts w:ascii="Arial"/>
          <w:w w:val="130"/>
          <w:sz w:val="10"/>
        </w:rPr>
        <w:t>f/1</w:t>
      </w:r>
    </w:p>
    <w:p>
      <w:pPr>
        <w:tabs>
          <w:tab w:pos="3874" w:val="left" w:leader="none"/>
        </w:tabs>
        <w:spacing w:line="237" w:lineRule="exact" w:before="0"/>
        <w:ind w:left="1023" w:right="0" w:firstLine="0"/>
        <w:jc w:val="left"/>
        <w:rPr>
          <w:i/>
          <w:sz w:val="22"/>
        </w:rPr>
      </w:pPr>
      <w:r>
        <w:rPr>
          <w:w w:val="105"/>
          <w:sz w:val="20"/>
        </w:rPr>
        <w:t>their  total future</w:t>
      </w:r>
      <w:r>
        <w:rPr>
          <w:spacing w:val="46"/>
          <w:w w:val="105"/>
          <w:sz w:val="20"/>
        </w:rPr>
        <w:t> </w:t>
      </w:r>
      <w:r>
        <w:rPr>
          <w:w w:val="105"/>
          <w:sz w:val="20"/>
        </w:rPr>
        <w:t>lifetime  </w:t>
      </w:r>
      <w:r>
        <w:rPr>
          <w:w w:val="105"/>
          <w:sz w:val="19"/>
        </w:rPr>
        <w:t>is</w:t>
        <w:tab/>
      </w:r>
      <w:r>
        <w:rPr>
          <w:i/>
          <w:w w:val="95"/>
          <w:sz w:val="22"/>
        </w:rPr>
        <w:t>T,,</w:t>
      </w:r>
      <w:r>
        <w:rPr>
          <w:i/>
          <w:spacing w:val="-45"/>
          <w:w w:val="95"/>
          <w:sz w:val="22"/>
        </w:rPr>
        <w:t> </w:t>
      </w:r>
      <w:r>
        <w:rPr>
          <w:i/>
          <w:spacing w:val="4"/>
          <w:w w:val="95"/>
          <w:sz w:val="22"/>
        </w:rPr>
        <w:t>dy;</w:t>
      </w:r>
    </w:p>
    <w:p>
      <w:pPr>
        <w:spacing w:before="22"/>
        <w:ind w:left="1825" w:right="543" w:firstLine="0"/>
        <w:jc w:val="center"/>
        <w:rPr>
          <w:b/>
          <w:sz w:val="11"/>
        </w:rPr>
      </w:pPr>
      <w:r>
        <w:rPr/>
        <w:pict>
          <v:shape style="position:absolute;margin-left:178.020004pt;margin-top:2.190907pt;width:14.7pt;height:35.5pt;mso-position-horizontal-relative:page;mso-position-vertical-relative:paragraph;z-index:-721096" type="#_x0000_t202" filled="false" stroked="false">
            <v:textbox inset="0,0,0,0">
              <w:txbxContent>
                <w:p>
                  <w:pPr>
                    <w:spacing w:line="710" w:lineRule="exact" w:before="0"/>
                    <w:ind w:left="0" w:right="-19" w:firstLine="0"/>
                    <w:jc w:val="left"/>
                    <w:rPr>
                      <w:i/>
                      <w:sz w:val="53"/>
                    </w:rPr>
                  </w:pPr>
                  <w:r>
                    <w:rPr>
                      <w:i/>
                      <w:spacing w:val="-35"/>
                      <w:w w:val="104"/>
                      <w:position w:val="-17"/>
                      <w:sz w:val="53"/>
                    </w:rPr>
                    <w:t>!</w:t>
                  </w:r>
                  <w:r>
                    <w:rPr>
                      <w:i/>
                      <w:w w:val="34"/>
                      <w:sz w:val="53"/>
                    </w:rPr>
                    <w:t>"•</w:t>
                  </w:r>
                </w:p>
              </w:txbxContent>
            </v:textbox>
            <w10:wrap type="none"/>
          </v:shape>
        </w:pict>
      </w:r>
      <w:r>
        <w:rPr>
          <w:b/>
          <w:w w:val="85"/>
          <w:sz w:val="11"/>
        </w:rPr>
        <w:t>111</w:t>
      </w:r>
    </w:p>
    <w:p>
      <w:pPr>
        <w:pStyle w:val="BodyText"/>
        <w:spacing w:before="10"/>
        <w:rPr>
          <w:b/>
          <w:sz w:val="9"/>
        </w:rPr>
      </w:pPr>
    </w:p>
    <w:p>
      <w:pPr>
        <w:tabs>
          <w:tab w:pos="3280" w:val="left" w:leader="none"/>
        </w:tabs>
        <w:spacing w:line="327" w:lineRule="exact" w:before="0"/>
        <w:ind w:left="1026" w:right="0" w:firstLine="0"/>
        <w:jc w:val="left"/>
        <w:rPr>
          <w:i/>
          <w:sz w:val="20"/>
        </w:rPr>
      </w:pPr>
      <w:r>
        <w:rPr>
          <w:sz w:val="20"/>
        </w:rPr>
        <w:t>their  total </w:t>
      </w:r>
      <w:r>
        <w:rPr>
          <w:spacing w:val="2"/>
          <w:sz w:val="20"/>
        </w:rPr>
        <w:t> </w:t>
      </w:r>
      <w:r>
        <w:rPr>
          <w:sz w:val="20"/>
        </w:rPr>
        <w:t>lifetime </w:t>
      </w:r>
      <w:r>
        <w:rPr>
          <w:spacing w:val="4"/>
          <w:sz w:val="20"/>
        </w:rPr>
        <w:t> </w:t>
      </w:r>
      <w:r>
        <w:rPr>
          <w:sz w:val="20"/>
        </w:rPr>
        <w:t>is</w:t>
        <w:tab/>
      </w:r>
      <w:r>
        <w:rPr>
          <w:i/>
          <w:sz w:val="20"/>
        </w:rPr>
        <w:t>( yl"' </w:t>
      </w:r>
      <w:r>
        <w:rPr>
          <w:rFonts w:ascii="Arial"/>
          <w:sz w:val="31"/>
        </w:rPr>
        <w:t>+</w:t>
      </w:r>
      <w:r>
        <w:rPr>
          <w:rFonts w:ascii="Arial"/>
          <w:spacing w:val="-37"/>
          <w:sz w:val="31"/>
        </w:rPr>
        <w:t> </w:t>
      </w:r>
      <w:r>
        <w:rPr>
          <w:i/>
          <w:sz w:val="20"/>
        </w:rPr>
        <w:t>T.,) </w:t>
      </w:r>
      <w:r>
        <w:rPr>
          <w:i/>
          <w:spacing w:val="4"/>
          <w:sz w:val="20"/>
        </w:rPr>
        <w:t>dy.</w:t>
      </w:r>
    </w:p>
    <w:p>
      <w:pPr>
        <w:spacing w:line="268" w:lineRule="exact" w:before="0"/>
        <w:ind w:left="647" w:right="543" w:firstLine="0"/>
        <w:jc w:val="center"/>
        <w:rPr>
          <w:sz w:val="27"/>
        </w:rPr>
      </w:pPr>
      <w:r>
        <w:rPr>
          <w:w w:val="75"/>
          <w:sz w:val="27"/>
        </w:rPr>
        <w:t>"•</w:t>
      </w:r>
    </w:p>
    <w:p>
      <w:pPr>
        <w:pStyle w:val="BodyText"/>
        <w:spacing w:line="217" w:lineRule="exact"/>
        <w:ind w:left="112"/>
      </w:pPr>
      <w:r>
        <w:rPr>
          <w:w w:val="105"/>
        </w:rPr>
        <w:t>Thc following  averagcs can then  be obtained:</w:t>
      </w:r>
    </w:p>
    <w:p>
      <w:pPr>
        <w:pStyle w:val="BodyText"/>
        <w:tabs>
          <w:tab w:pos="2050" w:val="left" w:leader="none"/>
        </w:tabs>
        <w:spacing w:line="142" w:lineRule="exact" w:before="130"/>
        <w:ind w:left="920"/>
        <w:jc w:val="center"/>
      </w:pPr>
      <w:r>
        <w:rPr>
          <w:w w:val="110"/>
        </w:rPr>
        <w:t>.</w:t>
        <w:tab/>
        <w:t>total past</w:t>
      </w:r>
      <w:r>
        <w:rPr>
          <w:spacing w:val="25"/>
          <w:w w:val="110"/>
        </w:rPr>
        <w:t> </w:t>
      </w:r>
      <w:r>
        <w:rPr>
          <w:w w:val="110"/>
        </w:rPr>
        <w:t>lifetime</w:t>
      </w:r>
    </w:p>
    <w:p>
      <w:pPr>
        <w:spacing w:after="0" w:line="142" w:lineRule="exact"/>
        <w:jc w:val="center"/>
        <w:sectPr>
          <w:pgSz w:w="7200" w:h="11340"/>
          <w:pgMar w:top="500" w:bottom="280" w:left="640" w:right="520"/>
        </w:sectPr>
      </w:pPr>
    </w:p>
    <w:p>
      <w:pPr>
        <w:pStyle w:val="BodyText"/>
        <w:spacing w:line="348" w:lineRule="exact"/>
        <w:ind w:left="1019"/>
      </w:pPr>
      <w:r>
        <w:rPr/>
        <w:pict>
          <v:line style="position:absolute;mso-position-horizontal-relative:page;mso-position-vertical-relative:paragraph;z-index:-721192" from="210.059998pt,12.583748pt" to="269.819998pt,12.583748pt" stroked="true" strokeweight="4.860pt" strokecolor="#000000">
            <w10:wrap type="none"/>
          </v:line>
        </w:pict>
      </w:r>
      <w:r>
        <w:rPr/>
        <w:pict>
          <v:shape style="position:absolute;margin-left:226.440002pt;margin-top:6.96701pt;width:5.3pt;height:10pt;mso-position-horizontal-relative:page;mso-position-vertical-relative:paragraph;z-index:-721072" type="#_x0000_t202" filled="false" stroked="false">
            <v:textbox inset="0,0,0,0">
              <w:txbxContent>
                <w:p>
                  <w:pPr>
                    <w:pStyle w:val="BodyText"/>
                    <w:spacing w:line="200" w:lineRule="exact"/>
                  </w:pPr>
                  <w:r>
                    <w:rPr>
                      <w:w w:val="106"/>
                    </w:rPr>
                    <w:t>o</w:t>
                  </w:r>
                </w:p>
              </w:txbxContent>
            </v:textbox>
            <w10:wrap type="none"/>
          </v:shape>
        </w:pict>
      </w:r>
      <w:r>
        <w:rPr>
          <w:w w:val="105"/>
        </w:rPr>
        <w:t>average  attamed  age  </w:t>
      </w:r>
      <w:r>
        <w:rPr>
          <w:w w:val="105"/>
          <w:sz w:val="23"/>
        </w:rPr>
        <w:t>= </w:t>
      </w:r>
      <w:r>
        <w:rPr>
          <w:w w:val="105"/>
          <w:position w:val="-11"/>
        </w:rPr>
        <w:t>num</w:t>
      </w:r>
      <w:r>
        <w:rPr>
          <w:w w:val="105"/>
        </w:rPr>
        <w:t>b</w:t>
      </w:r>
      <w:r>
        <w:rPr>
          <w:w w:val="105"/>
          <w:position w:val="-11"/>
        </w:rPr>
        <w:t>er</w:t>
      </w:r>
    </w:p>
    <w:p>
      <w:pPr>
        <w:spacing w:line="344" w:lineRule="exact" w:before="0"/>
        <w:ind w:left="117" w:right="0" w:firstLine="0"/>
        <w:jc w:val="left"/>
        <w:rPr>
          <w:sz w:val="20"/>
        </w:rPr>
      </w:pPr>
      <w:r>
        <w:rPr/>
        <w:br w:type="column"/>
      </w:r>
      <w:r>
        <w:rPr>
          <w:position w:val="12"/>
          <w:sz w:val="20"/>
        </w:rPr>
        <w:t>f  </w:t>
      </w:r>
      <w:r>
        <w:rPr>
          <w:sz w:val="20"/>
        </w:rPr>
        <w:t>mem</w:t>
      </w:r>
      <w:r>
        <w:rPr>
          <w:position w:val="12"/>
          <w:sz w:val="19"/>
        </w:rPr>
        <w:t>be</w:t>
      </w:r>
      <w:r>
        <w:rPr>
          <w:sz w:val="20"/>
        </w:rPr>
        <w:t>rs</w:t>
      </w:r>
    </w:p>
    <w:p>
      <w:pPr>
        <w:spacing w:after="0" w:line="344" w:lineRule="exact"/>
        <w:jc w:val="left"/>
        <w:rPr>
          <w:sz w:val="20"/>
        </w:rPr>
        <w:sectPr>
          <w:type w:val="continuous"/>
          <w:pgSz w:w="7200" w:h="11340"/>
          <w:pgMar w:top="1100" w:bottom="0" w:left="640" w:right="520"/>
          <w:cols w:num="2" w:equalWidth="0">
            <w:col w:w="3833" w:space="40"/>
            <w:col w:w="2167"/>
          </w:cols>
        </w:sectPr>
      </w:pPr>
    </w:p>
    <w:p>
      <w:pPr>
        <w:pStyle w:val="BodyText"/>
        <w:spacing w:line="146" w:lineRule="exact" w:before="111"/>
        <w:ind w:left="3489"/>
      </w:pPr>
      <w:r>
        <w:rPr>
          <w:w w:val="105"/>
        </w:rPr>
        <w:t>total lifetime</w:t>
      </w:r>
    </w:p>
    <w:p>
      <w:pPr>
        <w:spacing w:after="0" w:line="146" w:lineRule="exact"/>
        <w:sectPr>
          <w:type w:val="continuous"/>
          <w:pgSz w:w="7200" w:h="11340"/>
          <w:pgMar w:top="1100" w:bottom="0" w:left="640" w:right="520"/>
        </w:sectPr>
      </w:pPr>
    </w:p>
    <w:p>
      <w:pPr>
        <w:pStyle w:val="BodyText"/>
        <w:spacing w:line="340" w:lineRule="exact"/>
        <w:ind w:left="1019"/>
      </w:pPr>
      <w:r>
        <w:rPr/>
        <w:pict>
          <v:line style="position:absolute;mso-position-horizontal-relative:page;mso-position-vertical-relative:paragraph;z-index:-721168" from="210.779999pt,12.361411pt" to="270.179999pt,12.361411pt" stroked="true" strokeweight="4.860pt" strokecolor="#000000">
            <w10:wrap type="none"/>
          </v:line>
        </w:pict>
      </w:r>
      <w:r>
        <w:rPr/>
        <w:pict>
          <v:shape style="position:absolute;margin-left:226.979996pt;margin-top:6.744674pt;width:5.3pt;height:10pt;mso-position-horizontal-relative:page;mso-position-vertical-relative:paragraph;z-index:-721048" type="#_x0000_t202" filled="false" stroked="false">
            <v:textbox inset="0,0,0,0">
              <w:txbxContent>
                <w:p>
                  <w:pPr>
                    <w:pStyle w:val="BodyText"/>
                    <w:spacing w:line="200" w:lineRule="exact"/>
                  </w:pPr>
                  <w:r>
                    <w:rPr>
                      <w:w w:val="106"/>
                    </w:rPr>
                    <w:t>o</w:t>
                  </w:r>
                </w:p>
              </w:txbxContent>
            </v:textbox>
            <w10:wrap type="none"/>
          </v:shape>
        </w:pict>
      </w:r>
      <w:r>
        <w:rPr>
          <w:w w:val="110"/>
        </w:rPr>
        <w:t>average age at death  </w:t>
      </w:r>
      <w:r>
        <w:rPr>
          <w:w w:val="110"/>
          <w:sz w:val="22"/>
        </w:rPr>
        <w:t>= </w:t>
      </w:r>
      <w:r>
        <w:rPr>
          <w:w w:val="110"/>
          <w:position w:val="-11"/>
        </w:rPr>
        <w:t>num</w:t>
      </w:r>
      <w:r>
        <w:rPr>
          <w:w w:val="110"/>
        </w:rPr>
        <w:t>b</w:t>
      </w:r>
      <w:r>
        <w:rPr>
          <w:w w:val="110"/>
          <w:position w:val="-11"/>
        </w:rPr>
        <w:t>er</w:t>
      </w:r>
    </w:p>
    <w:p>
      <w:pPr>
        <w:spacing w:line="339" w:lineRule="exact" w:before="0"/>
        <w:ind w:left="117" w:right="0" w:firstLine="0"/>
        <w:jc w:val="left"/>
        <w:rPr>
          <w:sz w:val="19"/>
        </w:rPr>
      </w:pPr>
      <w:r>
        <w:rPr/>
        <w:br w:type="column"/>
      </w:r>
      <w:r>
        <w:rPr>
          <w:rFonts w:ascii="Arial"/>
          <w:w w:val="115"/>
          <w:position w:val="12"/>
          <w:sz w:val="20"/>
        </w:rPr>
        <w:t>f </w:t>
      </w:r>
      <w:r>
        <w:rPr>
          <w:w w:val="115"/>
          <w:sz w:val="20"/>
        </w:rPr>
        <w:t>mem</w:t>
      </w:r>
      <w:r>
        <w:rPr>
          <w:w w:val="115"/>
          <w:position w:val="12"/>
          <w:sz w:val="19"/>
        </w:rPr>
        <w:t>be</w:t>
      </w:r>
      <w:r>
        <w:rPr>
          <w:w w:val="115"/>
          <w:sz w:val="20"/>
        </w:rPr>
        <w:t>rs </w:t>
      </w:r>
      <w:r>
        <w:rPr>
          <w:w w:val="115"/>
          <w:position w:val="12"/>
          <w:sz w:val="19"/>
        </w:rPr>
        <w:t>.</w:t>
      </w:r>
    </w:p>
    <w:p>
      <w:pPr>
        <w:spacing w:after="0" w:line="339" w:lineRule="exact"/>
        <w:jc w:val="left"/>
        <w:rPr>
          <w:sz w:val="19"/>
        </w:rPr>
        <w:sectPr>
          <w:type w:val="continuous"/>
          <w:pgSz w:w="7200" w:h="11340"/>
          <w:pgMar w:top="1100" w:bottom="0" w:left="640" w:right="520"/>
          <w:cols w:num="2" w:equalWidth="0">
            <w:col w:w="3839" w:space="40"/>
            <w:col w:w="2161"/>
          </w:cols>
        </w:sectPr>
      </w:pPr>
    </w:p>
    <w:p>
      <w:pPr>
        <w:pStyle w:val="BodyText"/>
        <w:spacing w:line="244" w:lineRule="auto" w:before="114"/>
        <w:ind w:left="115" w:right="117" w:firstLine="198"/>
        <w:jc w:val="both"/>
      </w:pPr>
      <w:r>
        <w:rPr>
          <w:w w:val="105"/>
        </w:rPr>
        <w:t>Othe:r properties </w:t>
      </w:r>
      <w:r>
        <w:rPr>
          <w:rFonts w:ascii="Arial"/>
          <w:w w:val="105"/>
          <w:sz w:val="18"/>
        </w:rPr>
        <w:t>of </w:t>
      </w:r>
      <w:r>
        <w:rPr>
          <w:w w:val="105"/>
        </w:rPr>
        <w:t>the subset can often be obtained by making simple modifications in the integrands specified above. Suppose we wish to find the total past lifetime </w:t>
      </w:r>
      <w:r>
        <w:rPr>
          <w:i/>
          <w:w w:val="105"/>
          <w:sz w:val="22"/>
        </w:rPr>
        <w:t>since age </w:t>
      </w:r>
      <w:r>
        <w:rPr>
          <w:i/>
          <w:w w:val="105"/>
          <w:sz w:val="19"/>
        </w:rPr>
        <w:t>20 </w:t>
      </w:r>
      <w:r>
        <w:rPr>
          <w:w w:val="105"/>
        </w:rPr>
        <w:t>for the persons now living between ages </w:t>
      </w:r>
      <w:r>
        <w:rPr>
          <w:w w:val="105"/>
          <w:sz w:val="19"/>
        </w:rPr>
        <w:t>30 </w:t>
      </w:r>
      <w:r>
        <w:rPr>
          <w:w w:val="105"/>
        </w:rPr>
        <w:t>and 65. The proper integrand is </w:t>
      </w:r>
      <w:r>
        <w:rPr>
          <w:i/>
          <w:w w:val="85"/>
        </w:rPr>
        <w:t>( </w:t>
      </w:r>
      <w:r>
        <w:rPr>
          <w:i/>
          <w:w w:val="105"/>
        </w:rPr>
        <w:t>y </w:t>
      </w:r>
      <w:r>
        <w:rPr>
          <w:w w:val="240"/>
        </w:rPr>
        <w:t>- </w:t>
      </w:r>
      <w:r>
        <w:rPr>
          <w:w w:val="105"/>
        </w:rPr>
        <w:t>20) </w:t>
      </w:r>
      <w:r>
        <w:rPr>
          <w:rFonts w:ascii="Arial"/>
          <w:w w:val="85"/>
        </w:rPr>
        <w:t>Zv</w:t>
      </w:r>
      <w:r>
        <w:rPr>
          <w:rFonts w:ascii="Arial"/>
          <w:spacing w:val="-25"/>
          <w:w w:val="85"/>
        </w:rPr>
        <w:t> </w:t>
      </w:r>
      <w:r>
        <w:rPr>
          <w:rFonts w:ascii="Arial"/>
          <w:w w:val="130"/>
        </w:rPr>
        <w:t>, </w:t>
      </w:r>
      <w:r>
        <w:rPr>
          <w:w w:val="105"/>
        </w:rPr>
        <w:t>and  we  thus</w:t>
      </w:r>
      <w:r>
        <w:rPr>
          <w:spacing w:val="-21"/>
          <w:w w:val="105"/>
        </w:rPr>
        <w:t> </w:t>
      </w:r>
      <w:r>
        <w:rPr>
          <w:w w:val="105"/>
        </w:rPr>
        <w:t>find</w:t>
      </w:r>
    </w:p>
    <w:p>
      <w:pPr>
        <w:spacing w:line="23" w:lineRule="exact" w:before="63"/>
        <w:ind w:left="281" w:right="0" w:firstLine="0"/>
        <w:jc w:val="left"/>
        <w:rPr>
          <w:b/>
          <w:sz w:val="12"/>
        </w:rPr>
      </w:pPr>
      <w:r>
        <w:rPr/>
        <w:pict>
          <v:shape style="position:absolute;margin-left:38.160pt;margin-top:4.288536pt;width:5.2pt;height:25.5pt;mso-position-horizontal-relative:page;mso-position-vertical-relative:paragraph;z-index:-721000" type="#_x0000_t202" filled="false" stroked="false">
            <v:textbox inset="0,0,0,0">
              <w:txbxContent>
                <w:p>
                  <w:pPr>
                    <w:spacing w:line="510" w:lineRule="exact" w:before="0"/>
                    <w:ind w:left="0" w:right="0" w:firstLine="0"/>
                    <w:jc w:val="left"/>
                    <w:rPr>
                      <w:rFonts w:ascii="Arial"/>
                      <w:b/>
                      <w:sz w:val="51"/>
                    </w:rPr>
                  </w:pPr>
                  <w:r>
                    <w:rPr>
                      <w:rFonts w:ascii="Arial"/>
                      <w:b/>
                      <w:spacing w:val="-141"/>
                      <w:w w:val="85"/>
                      <w:sz w:val="51"/>
                    </w:rPr>
                    <w:t>1</w:t>
                  </w:r>
                </w:p>
              </w:txbxContent>
            </v:textbox>
            <w10:wrap type="none"/>
          </v:shape>
        </w:pict>
      </w:r>
      <w:r>
        <w:rPr>
          <w:b/>
          <w:w w:val="110"/>
          <w:sz w:val="12"/>
        </w:rPr>
        <w:t>65</w:t>
      </w:r>
    </w:p>
    <w:p>
      <w:pPr>
        <w:spacing w:line="340" w:lineRule="exact" w:before="18"/>
        <w:ind w:left="490" w:right="0" w:firstLine="0"/>
        <w:jc w:val="left"/>
        <w:rPr>
          <w:i/>
          <w:sz w:val="20"/>
        </w:rPr>
      </w:pPr>
      <w:r>
        <w:rPr>
          <w:w w:val="95"/>
          <w:sz w:val="19"/>
        </w:rPr>
        <w:t>(</w:t>
      </w:r>
      <w:r>
        <w:rPr>
          <w:spacing w:val="-22"/>
          <w:sz w:val="19"/>
        </w:rPr>
        <w:t> </w:t>
      </w:r>
      <w:r>
        <w:rPr>
          <w:i/>
          <w:w w:val="88"/>
          <w:sz w:val="19"/>
        </w:rPr>
        <w:t>y</w:t>
      </w:r>
      <w:r>
        <w:rPr>
          <w:i/>
          <w:sz w:val="19"/>
        </w:rPr>
        <w:t> </w:t>
      </w:r>
      <w:r>
        <w:rPr>
          <w:i/>
          <w:spacing w:val="10"/>
          <w:sz w:val="19"/>
        </w:rPr>
        <w:t> </w:t>
      </w:r>
      <w:r>
        <w:rPr>
          <w:w w:val="289"/>
          <w:sz w:val="19"/>
        </w:rPr>
        <w:t>-</w:t>
      </w:r>
      <w:r>
        <w:rPr>
          <w:spacing w:val="-8"/>
          <w:sz w:val="19"/>
        </w:rPr>
        <w:t> </w:t>
      </w:r>
      <w:r>
        <w:rPr>
          <w:i/>
          <w:w w:val="101"/>
          <w:sz w:val="20"/>
        </w:rPr>
        <w:t>20</w:t>
      </w:r>
      <w:r>
        <w:rPr>
          <w:i/>
          <w:spacing w:val="-29"/>
          <w:sz w:val="20"/>
        </w:rPr>
        <w:t> </w:t>
      </w:r>
      <w:r>
        <w:rPr>
          <w:i/>
          <w:w w:val="84"/>
          <w:sz w:val="20"/>
        </w:rPr>
        <w:t>)</w:t>
      </w:r>
      <w:r>
        <w:rPr>
          <w:i/>
          <w:w w:val="84"/>
          <w:sz w:val="20"/>
        </w:rPr>
        <w:t>l</w:t>
      </w:r>
      <w:r>
        <w:rPr>
          <w:i/>
          <w:spacing w:val="-17"/>
          <w:sz w:val="20"/>
        </w:rPr>
        <w:t> </w:t>
      </w:r>
      <w:r>
        <w:rPr>
          <w:rFonts w:ascii="Arial"/>
          <w:i/>
          <w:w w:val="66"/>
          <w:position w:val="-3"/>
          <w:sz w:val="10"/>
        </w:rPr>
        <w:t>11</w:t>
      </w:r>
      <w:r>
        <w:rPr>
          <w:rFonts w:ascii="Arial"/>
          <w:i/>
          <w:position w:val="-3"/>
          <w:sz w:val="10"/>
        </w:rPr>
        <w:t> </w:t>
      </w:r>
      <w:r>
        <w:rPr>
          <w:rFonts w:ascii="Arial"/>
          <w:i/>
          <w:spacing w:val="-8"/>
          <w:position w:val="-3"/>
          <w:sz w:val="10"/>
        </w:rPr>
        <w:t> </w:t>
      </w:r>
      <w:r>
        <w:rPr>
          <w:i/>
          <w:spacing w:val="14"/>
          <w:w w:val="87"/>
          <w:sz w:val="19"/>
        </w:rPr>
        <w:t>d</w:t>
      </w:r>
      <w:r>
        <w:rPr>
          <w:i/>
          <w:w w:val="92"/>
          <w:sz w:val="19"/>
        </w:rPr>
        <w:t>y</w:t>
      </w:r>
      <w:r>
        <w:rPr>
          <w:i/>
          <w:sz w:val="19"/>
        </w:rPr>
        <w:t> </w:t>
      </w:r>
      <w:r>
        <w:rPr>
          <w:i/>
          <w:spacing w:val="17"/>
          <w:sz w:val="19"/>
        </w:rPr>
        <w:t> </w:t>
      </w:r>
      <w:r>
        <w:rPr>
          <w:w w:val="101"/>
          <w:sz w:val="23"/>
        </w:rPr>
        <w:t>=</w:t>
      </w:r>
      <w:r>
        <w:rPr>
          <w:spacing w:val="22"/>
          <w:sz w:val="23"/>
        </w:rPr>
        <w:t> </w:t>
      </w:r>
      <w:r>
        <w:rPr>
          <w:w w:val="96"/>
          <w:sz w:val="19"/>
        </w:rPr>
        <w:t>30Tao</w:t>
      </w:r>
      <w:r>
        <w:rPr>
          <w:sz w:val="19"/>
        </w:rPr>
        <w:t> </w:t>
      </w:r>
      <w:r>
        <w:rPr>
          <w:spacing w:val="-22"/>
          <w:sz w:val="19"/>
        </w:rPr>
        <w:t> </w:t>
      </w:r>
      <w:r>
        <w:rPr>
          <w:rFonts w:ascii="Arial"/>
          <w:w w:val="105"/>
          <w:sz w:val="31"/>
        </w:rPr>
        <w:t>+</w:t>
      </w:r>
      <w:r>
        <w:rPr>
          <w:rFonts w:ascii="Arial"/>
          <w:spacing w:val="-23"/>
          <w:sz w:val="31"/>
        </w:rPr>
        <w:t> </w:t>
      </w:r>
      <w:r>
        <w:rPr>
          <w:i/>
          <w:spacing w:val="14"/>
          <w:w w:val="112"/>
          <w:sz w:val="20"/>
        </w:rPr>
        <w:t>Y</w:t>
      </w:r>
      <w:r>
        <w:rPr>
          <w:i/>
          <w:w w:val="56"/>
          <w:sz w:val="20"/>
        </w:rPr>
        <w:t>ao</w:t>
      </w:r>
      <w:r>
        <w:rPr>
          <w:i/>
          <w:sz w:val="20"/>
        </w:rPr>
        <w:t> </w:t>
      </w:r>
      <w:r>
        <w:rPr>
          <w:i/>
          <w:spacing w:val="-18"/>
          <w:sz w:val="20"/>
        </w:rPr>
        <w:t> </w:t>
      </w:r>
      <w:r>
        <w:rPr>
          <w:w w:val="282"/>
          <w:sz w:val="20"/>
        </w:rPr>
        <w:t>-</w:t>
      </w:r>
      <w:r>
        <w:rPr>
          <w:spacing w:val="-16"/>
          <w:sz w:val="20"/>
        </w:rPr>
        <w:t> </w:t>
      </w:r>
      <w:r>
        <w:rPr>
          <w:i/>
          <w:w w:val="114"/>
          <w:sz w:val="20"/>
        </w:rPr>
        <w:t>65Tn</w:t>
      </w:r>
      <w:r>
        <w:rPr>
          <w:i/>
          <w:spacing w:val="17"/>
          <w:sz w:val="20"/>
        </w:rPr>
        <w:t> </w:t>
      </w:r>
      <w:r>
        <w:rPr>
          <w:w w:val="282"/>
          <w:sz w:val="20"/>
        </w:rPr>
        <w:t>-</w:t>
      </w:r>
      <w:r>
        <w:rPr>
          <w:spacing w:val="2"/>
          <w:sz w:val="20"/>
        </w:rPr>
        <w:t> </w:t>
      </w:r>
      <w:r>
        <w:rPr>
          <w:i/>
          <w:spacing w:val="10"/>
          <w:w w:val="122"/>
          <w:sz w:val="19"/>
        </w:rPr>
        <w:t>Y</w:t>
      </w:r>
      <w:r>
        <w:rPr>
          <w:w w:val="120"/>
          <w:sz w:val="19"/>
        </w:rPr>
        <w:t>u</w:t>
      </w:r>
      <w:r>
        <w:rPr>
          <w:spacing w:val="22"/>
          <w:sz w:val="19"/>
        </w:rPr>
        <w:t> </w:t>
      </w:r>
      <w:r>
        <w:rPr>
          <w:w w:val="297"/>
          <w:sz w:val="19"/>
        </w:rPr>
        <w:t>-</w:t>
      </w:r>
      <w:r>
        <w:rPr>
          <w:spacing w:val="-21"/>
          <w:sz w:val="19"/>
        </w:rPr>
        <w:t> </w:t>
      </w:r>
      <w:r>
        <w:rPr>
          <w:w w:val="108"/>
          <w:sz w:val="19"/>
        </w:rPr>
        <w:t>20(</w:t>
      </w:r>
      <w:r>
        <w:rPr>
          <w:spacing w:val="-8"/>
          <w:sz w:val="19"/>
        </w:rPr>
        <w:t> </w:t>
      </w:r>
      <w:r>
        <w:rPr>
          <w:i/>
          <w:w w:val="80"/>
          <w:sz w:val="20"/>
        </w:rPr>
        <w:t>Tao</w:t>
      </w:r>
      <w:r>
        <w:rPr>
          <w:i/>
          <w:spacing w:val="11"/>
          <w:sz w:val="20"/>
        </w:rPr>
        <w:t> </w:t>
      </w:r>
      <w:r>
        <w:rPr>
          <w:w w:val="282"/>
          <w:sz w:val="20"/>
        </w:rPr>
        <w:t>-</w:t>
      </w:r>
      <w:r>
        <w:rPr>
          <w:spacing w:val="-9"/>
          <w:sz w:val="20"/>
        </w:rPr>
        <w:t> </w:t>
      </w:r>
      <w:r>
        <w:rPr>
          <w:i/>
          <w:w w:val="122"/>
          <w:sz w:val="20"/>
        </w:rPr>
        <w:t>T</w:t>
      </w:r>
      <w:r>
        <w:rPr>
          <w:i/>
          <w:spacing w:val="3"/>
          <w:w w:val="122"/>
          <w:sz w:val="20"/>
        </w:rPr>
        <w:t>u</w:t>
      </w:r>
      <w:r>
        <w:rPr>
          <w:i/>
          <w:w w:val="97"/>
          <w:sz w:val="20"/>
        </w:rPr>
        <w:t>),</w:t>
      </w:r>
    </w:p>
    <w:p>
      <w:pPr>
        <w:spacing w:line="121" w:lineRule="exact" w:before="0"/>
        <w:ind w:left="224" w:right="0" w:firstLine="0"/>
        <w:jc w:val="left"/>
        <w:rPr>
          <w:sz w:val="12"/>
        </w:rPr>
      </w:pPr>
      <w:r>
        <w:rPr>
          <w:sz w:val="12"/>
        </w:rPr>
        <w:t>30</w:t>
      </w:r>
    </w:p>
    <w:p>
      <w:pPr>
        <w:spacing w:before="118"/>
        <w:ind w:left="123" w:right="0" w:firstLine="0"/>
        <w:jc w:val="left"/>
        <w:rPr>
          <w:sz w:val="20"/>
        </w:rPr>
      </w:pPr>
      <w:r>
        <w:rPr>
          <w:w w:val="105"/>
          <w:sz w:val="20"/>
        </w:rPr>
        <w:t>For  the total  future lifetime </w:t>
      </w:r>
      <w:r>
        <w:rPr>
          <w:i/>
          <w:w w:val="105"/>
          <w:sz w:val="19"/>
        </w:rPr>
        <w:t>prior  to attaining  age </w:t>
      </w:r>
      <w:r>
        <w:rPr>
          <w:i/>
          <w:w w:val="105"/>
          <w:sz w:val="20"/>
        </w:rPr>
        <w:t>80 </w:t>
      </w:r>
      <w:r>
        <w:rPr>
          <w:w w:val="105"/>
          <w:sz w:val="20"/>
        </w:rPr>
        <w:t>we  have</w:t>
      </w:r>
    </w:p>
    <w:p>
      <w:pPr>
        <w:pStyle w:val="BodyText"/>
        <w:spacing w:before="3"/>
        <w:rPr>
          <w:sz w:val="10"/>
        </w:rPr>
      </w:pPr>
    </w:p>
    <w:p>
      <w:pPr>
        <w:spacing w:line="127" w:lineRule="exact" w:before="0"/>
        <w:ind w:left="1314" w:right="0" w:firstLine="0"/>
        <w:jc w:val="left"/>
        <w:rPr>
          <w:b/>
          <w:i/>
          <w:sz w:val="12"/>
        </w:rPr>
      </w:pPr>
      <w:r>
        <w:rPr/>
        <w:pict>
          <v:shape style="position:absolute;margin-left:90.18pt;margin-top:1.138538pt;width:5.1pt;height:25.5pt;mso-position-horizontal-relative:page;mso-position-vertical-relative:paragraph;z-index:-721024" type="#_x0000_t202" filled="false" stroked="false">
            <v:textbox inset="0,0,0,0">
              <w:txbxContent>
                <w:p>
                  <w:pPr>
                    <w:spacing w:line="510" w:lineRule="exact" w:before="0"/>
                    <w:ind w:left="0" w:right="0" w:firstLine="0"/>
                    <w:jc w:val="left"/>
                    <w:rPr>
                      <w:rFonts w:ascii="Arial"/>
                      <w:b/>
                      <w:i/>
                      <w:sz w:val="51"/>
                    </w:rPr>
                  </w:pPr>
                  <w:r>
                    <w:rPr>
                      <w:rFonts w:ascii="Arial"/>
                      <w:b/>
                      <w:i/>
                      <w:spacing w:val="-80"/>
                      <w:w w:val="63"/>
                      <w:sz w:val="51"/>
                    </w:rPr>
                    <w:t>1</w:t>
                  </w:r>
                </w:p>
              </w:txbxContent>
            </v:textbox>
            <w10:wrap type="none"/>
          </v:shape>
        </w:pict>
      </w:r>
      <w:r>
        <w:rPr>
          <w:b/>
          <w:i/>
          <w:sz w:val="12"/>
        </w:rPr>
        <w:t>65</w:t>
      </w:r>
    </w:p>
    <w:p>
      <w:pPr>
        <w:spacing w:line="254" w:lineRule="exact" w:before="0"/>
        <w:ind w:left="1516" w:right="0" w:firstLine="0"/>
        <w:jc w:val="left"/>
        <w:rPr>
          <w:sz w:val="21"/>
        </w:rPr>
      </w:pPr>
      <w:r>
        <w:rPr>
          <w:rFonts w:ascii="Arial"/>
          <w:w w:val="135"/>
          <w:sz w:val="20"/>
        </w:rPr>
        <w:t>(</w:t>
      </w:r>
      <w:r>
        <w:rPr>
          <w:rFonts w:ascii="Arial"/>
          <w:spacing w:val="-60"/>
          <w:w w:val="135"/>
          <w:sz w:val="20"/>
        </w:rPr>
        <w:t> </w:t>
      </w:r>
      <w:r>
        <w:rPr>
          <w:rFonts w:ascii="Arial"/>
          <w:i/>
          <w:sz w:val="20"/>
        </w:rPr>
        <w:t>T</w:t>
      </w:r>
      <w:r>
        <w:rPr>
          <w:rFonts w:ascii="Arial"/>
          <w:i/>
          <w:position w:val="-3"/>
          <w:sz w:val="10"/>
        </w:rPr>
        <w:t>11 </w:t>
      </w:r>
      <w:r>
        <w:rPr>
          <w:rFonts w:ascii="Arial"/>
          <w:w w:val="500"/>
          <w:sz w:val="10"/>
        </w:rPr>
        <w:t>-</w:t>
      </w:r>
      <w:r>
        <w:rPr>
          <w:rFonts w:ascii="Arial"/>
          <w:spacing w:val="-87"/>
          <w:w w:val="500"/>
          <w:sz w:val="10"/>
        </w:rPr>
        <w:t> </w:t>
      </w:r>
      <w:r>
        <w:rPr>
          <w:sz w:val="21"/>
        </w:rPr>
        <w:t>Tso ) </w:t>
      </w:r>
      <w:r>
        <w:rPr>
          <w:rFonts w:ascii="Arial"/>
          <w:i/>
          <w:sz w:val="20"/>
        </w:rPr>
        <w:t>dy </w:t>
      </w:r>
      <w:r>
        <w:rPr>
          <w:sz w:val="23"/>
        </w:rPr>
        <w:t>= </w:t>
      </w:r>
      <w:r>
        <w:rPr>
          <w:sz w:val="21"/>
        </w:rPr>
        <w:t>Yao </w:t>
      </w:r>
      <w:r>
        <w:rPr>
          <w:w w:val="240"/>
          <w:sz w:val="21"/>
        </w:rPr>
        <w:t>-</w:t>
      </w:r>
      <w:r>
        <w:rPr>
          <w:spacing w:val="-79"/>
          <w:w w:val="240"/>
          <w:sz w:val="21"/>
        </w:rPr>
        <w:t> </w:t>
      </w:r>
      <w:r>
        <w:rPr>
          <w:rFonts w:ascii="Arial"/>
          <w:i/>
          <w:sz w:val="20"/>
        </w:rPr>
        <w:t>Y</w:t>
      </w:r>
      <w:r>
        <w:rPr>
          <w:rFonts w:ascii="Arial"/>
          <w:sz w:val="11"/>
        </w:rPr>
        <w:t>65  </w:t>
      </w:r>
      <w:r>
        <w:rPr>
          <w:rFonts w:ascii="Arial"/>
          <w:w w:val="440"/>
          <w:sz w:val="11"/>
        </w:rPr>
        <w:t>-</w:t>
      </w:r>
      <w:r>
        <w:rPr>
          <w:rFonts w:ascii="Arial"/>
          <w:spacing w:val="-92"/>
          <w:w w:val="440"/>
          <w:sz w:val="11"/>
        </w:rPr>
        <w:t> </w:t>
      </w:r>
      <w:r>
        <w:rPr>
          <w:sz w:val="21"/>
        </w:rPr>
        <w:t>35Tso </w:t>
      </w:r>
      <w:r>
        <w:rPr>
          <w:w w:val="135"/>
          <w:sz w:val="21"/>
        </w:rPr>
        <w:t>.</w:t>
      </w:r>
    </w:p>
    <w:p>
      <w:pPr>
        <w:spacing w:line="115" w:lineRule="exact" w:before="0"/>
        <w:ind w:left="1253" w:right="0" w:firstLine="0"/>
        <w:jc w:val="left"/>
        <w:rPr>
          <w:sz w:val="11"/>
        </w:rPr>
      </w:pPr>
      <w:r>
        <w:rPr>
          <w:w w:val="110"/>
          <w:sz w:val="11"/>
        </w:rPr>
        <w:t>30</w:t>
      </w:r>
    </w:p>
    <w:p>
      <w:pPr>
        <w:pStyle w:val="BodyText"/>
        <w:spacing w:before="124"/>
        <w:ind w:left="375"/>
      </w:pPr>
      <w:r>
        <w:rPr>
          <w:w w:val="105"/>
          <w:sz w:val="19"/>
        </w:rPr>
        <w:t>(2 )  </w:t>
      </w:r>
      <w:r>
        <w:rPr>
          <w:w w:val="105"/>
        </w:rPr>
        <w:t>When  we  are  concerned  with  the  members  whose deaths</w:t>
      </w:r>
    </w:p>
    <w:p>
      <w:pPr>
        <w:spacing w:after="0"/>
        <w:sectPr>
          <w:type w:val="continuous"/>
          <w:pgSz w:w="7200" w:h="11340"/>
          <w:pgMar w:top="1100" w:bottom="0" w:left="640" w:right="520"/>
        </w:sectPr>
      </w:pPr>
    </w:p>
    <w:p>
      <w:pPr>
        <w:tabs>
          <w:tab w:pos="952" w:val="left" w:leader="none"/>
          <w:tab w:pos="5863" w:val="right" w:leader="none"/>
        </w:tabs>
        <w:spacing w:before="58"/>
        <w:ind w:left="117" w:right="0" w:firstLine="0"/>
        <w:jc w:val="left"/>
        <w:rPr>
          <w:rFonts w:ascii="Arial"/>
          <w:b/>
          <w:sz w:val="19"/>
        </w:rPr>
      </w:pPr>
      <w:r>
        <w:rPr>
          <w:b/>
          <w:sz w:val="15"/>
        </w:rPr>
        <w:t>SEC. </w:t>
      </w:r>
      <w:r>
        <w:rPr>
          <w:b/>
          <w:spacing w:val="25"/>
          <w:sz w:val="15"/>
        </w:rPr>
        <w:t> </w:t>
      </w:r>
      <w:r>
        <w:rPr>
          <w:rFonts w:ascii="Arial"/>
          <w:b/>
          <w:sz w:val="19"/>
        </w:rPr>
        <w:t>6]</w:t>
        <w:tab/>
      </w:r>
      <w:r>
        <w:rPr>
          <w:b/>
          <w:sz w:val="15"/>
        </w:rPr>
        <w:t>AVERAGE   AGES   IN   THE </w:t>
      </w:r>
      <w:r>
        <w:rPr>
          <w:b/>
          <w:spacing w:val="11"/>
          <w:sz w:val="15"/>
        </w:rPr>
        <w:t> </w:t>
      </w:r>
      <w:r>
        <w:rPr>
          <w:b/>
          <w:sz w:val="15"/>
        </w:rPr>
        <w:t>STATIONARY  </w:t>
      </w:r>
      <w:r>
        <w:rPr>
          <w:b/>
          <w:spacing w:val="9"/>
          <w:sz w:val="15"/>
        </w:rPr>
        <w:t> </w:t>
      </w:r>
      <w:r>
        <w:rPr>
          <w:b/>
          <w:sz w:val="15"/>
        </w:rPr>
        <w:t>POPULATION</w:t>
      </w:r>
      <w:r>
        <w:rPr>
          <w:rFonts w:ascii="Arial"/>
          <w:b/>
          <w:sz w:val="19"/>
        </w:rPr>
        <w:tab/>
      </w:r>
      <w:r>
        <w:rPr>
          <w:rFonts w:ascii="Arial"/>
          <w:b/>
          <w:spacing w:val="-12"/>
          <w:sz w:val="19"/>
        </w:rPr>
        <w:t>183</w:t>
      </w:r>
    </w:p>
    <w:p>
      <w:pPr>
        <w:pStyle w:val="BodyText"/>
        <w:spacing w:line="244" w:lineRule="auto" w:before="248"/>
        <w:ind w:left="124" w:right="107" w:hanging="4"/>
        <w:jc w:val="both"/>
        <w:rPr>
          <w:rFonts w:ascii="Arial"/>
          <w:sz w:val="19"/>
        </w:rPr>
      </w:pPr>
      <w:r>
        <w:rPr>
          <w:w w:val="105"/>
        </w:rPr>
        <w:t>occur under specified conditions, we have a two-variable problem requiring double integration. Given those who are now living  at some </w:t>
      </w:r>
      <w:r>
        <w:rPr>
          <w:rFonts w:ascii="Arial"/>
          <w:w w:val="105"/>
          <w:sz w:val="18"/>
        </w:rPr>
        <w:t>range </w:t>
      </w:r>
      <w:r>
        <w:rPr>
          <w:w w:val="105"/>
        </w:rPr>
        <w:t>of ages, </w:t>
      </w:r>
      <w:r>
        <w:rPr>
          <w:rFonts w:ascii="Arial"/>
          <w:sz w:val="19"/>
        </w:rPr>
        <w:t>Y1 </w:t>
      </w:r>
      <w:r>
        <w:rPr>
          <w:i/>
          <w:w w:val="105"/>
        </w:rPr>
        <w:t>y y, </w:t>
      </w:r>
      <w:r>
        <w:rPr>
          <w:w w:val="105"/>
        </w:rPr>
        <w:t>, we wish to consider those members who die within  sorne interval  of  years in the future,  </w:t>
      </w:r>
      <w:r>
        <w:rPr>
          <w:rFonts w:ascii="Arial"/>
          <w:w w:val="105"/>
          <w:sz w:val="18"/>
        </w:rPr>
        <w:t>t1      </w:t>
      </w:r>
      <w:r>
        <w:rPr>
          <w:i/>
          <w:w w:val="105"/>
          <w:sz w:val="22"/>
        </w:rPr>
        <w:t>t      </w:t>
      </w:r>
      <w:r>
        <w:rPr>
          <w:rFonts w:ascii="Arial"/>
          <w:i/>
          <w:w w:val="105"/>
          <w:sz w:val="19"/>
        </w:rPr>
        <w:t>tt  </w:t>
      </w:r>
      <w:r>
        <w:rPr>
          <w:rFonts w:ascii="Arial"/>
          <w:w w:val="130"/>
          <w:sz w:val="19"/>
        </w:rPr>
        <w:t>,</w:t>
      </w:r>
    </w:p>
    <w:p>
      <w:pPr>
        <w:pStyle w:val="BodyText"/>
        <w:spacing w:line="95" w:lineRule="exact"/>
        <w:ind w:left="132"/>
        <w:jc w:val="both"/>
      </w:pPr>
      <w:r>
        <w:rPr>
          <w:w w:val="105"/>
        </w:rPr>
        <w:t>where </w:t>
      </w:r>
      <w:r>
        <w:rPr>
          <w:w w:val="105"/>
          <w:sz w:val="21"/>
        </w:rPr>
        <w:t>t</w:t>
      </w:r>
      <w:r>
        <w:rPr>
          <w:w w:val="105"/>
          <w:position w:val="-2"/>
          <w:sz w:val="13"/>
        </w:rPr>
        <w:t>1 </w:t>
      </w:r>
      <w:r>
        <w:rPr>
          <w:w w:val="105"/>
        </w:rPr>
        <w:t>and </w:t>
      </w:r>
      <w:r>
        <w:rPr>
          <w:rFonts w:ascii="Arial"/>
          <w:i/>
          <w:w w:val="105"/>
          <w:sz w:val="19"/>
        </w:rPr>
        <w:t>tt </w:t>
      </w:r>
      <w:r>
        <w:rPr>
          <w:w w:val="105"/>
        </w:rPr>
        <w:t>may be functions of </w:t>
      </w:r>
      <w:r>
        <w:rPr>
          <w:i/>
          <w:w w:val="105"/>
        </w:rPr>
        <w:t>y. </w:t>
      </w:r>
      <w:r>
        <w:rPr>
          <w:w w:val="105"/>
        </w:rPr>
        <w:t>The   integral</w:t>
      </w:r>
    </w:p>
    <w:p>
      <w:pPr>
        <w:spacing w:after="0" w:line="95" w:lineRule="exact"/>
        <w:jc w:val="both"/>
        <w:sectPr>
          <w:pgSz w:w="7200" w:h="11340"/>
          <w:pgMar w:top="480" w:bottom="280" w:left="660" w:right="520"/>
        </w:sectPr>
      </w:pPr>
    </w:p>
    <w:p>
      <w:pPr>
        <w:spacing w:line="539" w:lineRule="exact" w:before="0"/>
        <w:ind w:left="2029" w:right="-12" w:firstLine="0"/>
        <w:jc w:val="left"/>
        <w:rPr>
          <w:b/>
          <w:i/>
          <w:sz w:val="20"/>
        </w:rPr>
      </w:pPr>
      <w:r>
        <w:rPr/>
        <w:pict>
          <v:shape style="position:absolute;margin-left:126.900002pt;margin-top:10.98pt;width:8.35pt;height:26pt;mso-position-horizontal-relative:page;mso-position-vertical-relative:paragraph;z-index:-720976" type="#_x0000_t202" filled="false" stroked="false">
            <v:textbox inset="0,0,0,0">
              <w:txbxContent>
                <w:p>
                  <w:pPr>
                    <w:spacing w:line="520" w:lineRule="exact" w:before="0"/>
                    <w:ind w:left="0" w:right="0" w:firstLine="0"/>
                    <w:jc w:val="left"/>
                    <w:rPr>
                      <w:rFonts w:ascii="Arial"/>
                      <w:i/>
                      <w:sz w:val="52"/>
                    </w:rPr>
                  </w:pPr>
                  <w:r>
                    <w:rPr>
                      <w:rFonts w:ascii="Arial"/>
                      <w:i/>
                      <w:spacing w:val="-71"/>
                      <w:w w:val="81"/>
                      <w:sz w:val="52"/>
                    </w:rPr>
                    <w:t>1</w:t>
                  </w:r>
                </w:p>
              </w:txbxContent>
            </v:textbox>
            <w10:wrap type="none"/>
          </v:shape>
        </w:pict>
      </w:r>
      <w:r>
        <w:rPr>
          <w:rFonts w:ascii="Arial" w:hAnsi="Arial"/>
          <w:i/>
          <w:spacing w:val="-9"/>
          <w:w w:val="95"/>
          <w:position w:val="11"/>
          <w:sz w:val="52"/>
        </w:rPr>
        <w:t>..</w:t>
      </w:r>
      <w:r>
        <w:rPr>
          <w:i/>
          <w:spacing w:val="-9"/>
          <w:w w:val="95"/>
          <w:position w:val="11"/>
          <w:sz w:val="41"/>
        </w:rPr>
        <w:t>f'•</w:t>
      </w:r>
      <w:r>
        <w:rPr>
          <w:i/>
          <w:spacing w:val="-59"/>
          <w:w w:val="95"/>
          <w:position w:val="11"/>
          <w:sz w:val="41"/>
        </w:rPr>
        <w:t> </w:t>
      </w:r>
      <w:r>
        <w:rPr>
          <w:b/>
          <w:i/>
          <w:w w:val="95"/>
          <w:sz w:val="20"/>
        </w:rPr>
        <w:t>f(</w:t>
      </w:r>
      <w:r>
        <w:rPr>
          <w:b/>
          <w:i/>
          <w:spacing w:val="-12"/>
          <w:w w:val="95"/>
          <w:sz w:val="20"/>
        </w:rPr>
        <w:t> </w:t>
      </w:r>
      <w:r>
        <w:rPr>
          <w:b/>
          <w:i/>
          <w:w w:val="95"/>
          <w:sz w:val="20"/>
        </w:rPr>
        <w:t>y,</w:t>
      </w:r>
      <w:r>
        <w:rPr>
          <w:b/>
          <w:i/>
          <w:spacing w:val="-24"/>
          <w:w w:val="95"/>
          <w:sz w:val="20"/>
        </w:rPr>
        <w:t> </w:t>
      </w:r>
      <w:r>
        <w:rPr>
          <w:b/>
          <w:i/>
          <w:w w:val="95"/>
          <w:sz w:val="20"/>
        </w:rPr>
        <w:t>t</w:t>
      </w:r>
      <w:r>
        <w:rPr>
          <w:b/>
          <w:i/>
          <w:spacing w:val="-34"/>
          <w:w w:val="95"/>
          <w:sz w:val="20"/>
        </w:rPr>
        <w:t> </w:t>
      </w:r>
      <w:r>
        <w:rPr>
          <w:b/>
          <w:i/>
          <w:w w:val="95"/>
          <w:sz w:val="20"/>
        </w:rPr>
        <w:t>)lll+,µ.H</w:t>
      </w:r>
      <w:r>
        <w:rPr>
          <w:b/>
          <w:i/>
          <w:spacing w:val="-2"/>
          <w:w w:val="95"/>
          <w:sz w:val="20"/>
        </w:rPr>
        <w:t> </w:t>
      </w:r>
      <w:r>
        <w:rPr>
          <w:b/>
          <w:i/>
          <w:w w:val="95"/>
          <w:sz w:val="21"/>
        </w:rPr>
        <w:t>dt</w:t>
      </w:r>
      <w:r>
        <w:rPr>
          <w:b/>
          <w:i/>
          <w:spacing w:val="-30"/>
          <w:w w:val="95"/>
          <w:sz w:val="21"/>
        </w:rPr>
        <w:t> </w:t>
      </w:r>
      <w:r>
        <w:rPr>
          <w:b/>
          <w:i/>
          <w:spacing w:val="4"/>
          <w:w w:val="95"/>
          <w:sz w:val="20"/>
        </w:rPr>
        <w:t>dy</w:t>
      </w:r>
    </w:p>
    <w:p>
      <w:pPr>
        <w:tabs>
          <w:tab w:pos="661" w:val="left" w:leader="none"/>
        </w:tabs>
        <w:spacing w:line="259" w:lineRule="exact" w:before="0"/>
        <w:ind w:left="290" w:right="0" w:firstLine="0"/>
        <w:jc w:val="center"/>
        <w:rPr>
          <w:sz w:val="26"/>
        </w:rPr>
      </w:pPr>
      <w:r>
        <w:rPr>
          <w:b/>
          <w:w w:val="120"/>
          <w:sz w:val="11"/>
        </w:rPr>
        <w:t>lll</w:t>
        <w:tab/>
      </w:r>
      <w:r>
        <w:rPr>
          <w:w w:val="110"/>
          <w:sz w:val="26"/>
        </w:rPr>
        <w:t>'ª</w:t>
      </w:r>
    </w:p>
    <w:p>
      <w:pPr>
        <w:pStyle w:val="BodyText"/>
        <w:spacing w:before="346"/>
        <w:ind w:left="1205"/>
      </w:pPr>
      <w:r>
        <w:rPr/>
        <w:br w:type="column"/>
      </w:r>
      <w:r>
        <w:rPr>
          <w:w w:val="115"/>
        </w:rPr>
        <w:t>(8.15)</w:t>
      </w:r>
    </w:p>
    <w:p>
      <w:pPr>
        <w:spacing w:after="0"/>
        <w:sectPr>
          <w:type w:val="continuous"/>
          <w:pgSz w:w="7200" w:h="11340"/>
          <w:pgMar w:top="1100" w:bottom="0" w:left="660" w:right="520"/>
          <w:cols w:num="2" w:equalWidth="0">
            <w:col w:w="4107" w:space="40"/>
            <w:col w:w="1873"/>
          </w:cols>
        </w:sectPr>
      </w:pPr>
    </w:p>
    <w:p>
      <w:pPr>
        <w:pStyle w:val="BodyText"/>
        <w:spacing w:line="217" w:lineRule="exact"/>
        <w:ind w:left="142"/>
      </w:pPr>
      <w:r>
        <w:rPr>
          <w:w w:val="105"/>
        </w:rPr>
        <w:t>represents  diff erent properties  of  the group of  members who die,</w:t>
      </w:r>
    </w:p>
    <w:p>
      <w:pPr>
        <w:pStyle w:val="BodyText"/>
        <w:spacing w:before="15"/>
        <w:ind w:left="135"/>
      </w:pPr>
      <w:r>
        <w:rPr>
          <w:w w:val="105"/>
        </w:rPr>
        <w:t>depending on the fonn of f </w:t>
      </w:r>
      <w:r>
        <w:rPr>
          <w:i/>
          <w:w w:val="105"/>
        </w:rPr>
        <w:t>(y,t </w:t>
      </w:r>
      <w:r>
        <w:rPr>
          <w:i/>
        </w:rPr>
        <w:t>) </w:t>
      </w:r>
      <w:r>
        <w:rPr>
          <w:w w:val="105"/>
        </w:rPr>
        <w:t>as follows:</w:t>
      </w:r>
    </w:p>
    <w:p>
      <w:pPr>
        <w:tabs>
          <w:tab w:pos="3634" w:val="left" w:leader="none"/>
        </w:tabs>
        <w:spacing w:line="240" w:lineRule="auto" w:before="15"/>
        <w:ind w:left="1071" w:right="1064" w:firstLine="7"/>
        <w:jc w:val="left"/>
        <w:rPr>
          <w:rFonts w:ascii="Arial"/>
          <w:i/>
          <w:sz w:val="17"/>
        </w:rPr>
      </w:pPr>
      <w:r>
        <w:rPr>
          <w:sz w:val="20"/>
        </w:rPr>
        <w:t>Number of  members  who die </w:t>
      </w:r>
      <w:r>
        <w:rPr>
          <w:rFonts w:ascii="Arial"/>
          <w:i/>
          <w:sz w:val="25"/>
        </w:rPr>
        <w:t>f </w:t>
      </w:r>
      <w:r>
        <w:rPr>
          <w:i/>
          <w:spacing w:val="3"/>
          <w:sz w:val="20"/>
        </w:rPr>
        <w:t>(y,t </w:t>
      </w:r>
      <w:r>
        <w:rPr>
          <w:i/>
          <w:sz w:val="20"/>
        </w:rPr>
        <w:t>)  </w:t>
      </w:r>
      <w:r>
        <w:rPr>
          <w:sz w:val="28"/>
        </w:rPr>
        <w:t>=  </w:t>
      </w:r>
      <w:r>
        <w:rPr>
          <w:sz w:val="20"/>
        </w:rPr>
        <w:t>1 Their  total</w:t>
      </w:r>
      <w:r>
        <w:rPr>
          <w:spacing w:val="44"/>
          <w:sz w:val="20"/>
        </w:rPr>
        <w:t> </w:t>
      </w:r>
      <w:r>
        <w:rPr>
          <w:sz w:val="20"/>
        </w:rPr>
        <w:t>past </w:t>
      </w:r>
      <w:r>
        <w:rPr>
          <w:spacing w:val="10"/>
          <w:sz w:val="20"/>
        </w:rPr>
        <w:t> </w:t>
      </w:r>
      <w:r>
        <w:rPr>
          <w:sz w:val="20"/>
        </w:rPr>
        <w:t>lifetime</w:t>
        <w:tab/>
      </w:r>
      <w:r>
        <w:rPr>
          <w:i/>
          <w:sz w:val="20"/>
        </w:rPr>
        <w:t>f ( y,t )</w:t>
      </w:r>
      <w:r>
        <w:rPr>
          <w:i/>
          <w:spacing w:val="12"/>
          <w:sz w:val="20"/>
        </w:rPr>
        <w:t> </w:t>
      </w:r>
      <w:r>
        <w:rPr>
          <w:sz w:val="25"/>
        </w:rPr>
        <w:t>=</w:t>
      </w:r>
      <w:r>
        <w:rPr>
          <w:spacing w:val="22"/>
          <w:sz w:val="25"/>
        </w:rPr>
        <w:t> </w:t>
      </w:r>
      <w:r>
        <w:rPr>
          <w:i/>
          <w:sz w:val="20"/>
        </w:rPr>
        <w:t>y</w:t>
      </w:r>
      <w:r>
        <w:rPr>
          <w:i/>
          <w:w w:val="87"/>
          <w:sz w:val="20"/>
        </w:rPr>
        <w:t> </w:t>
      </w:r>
      <w:r>
        <w:rPr>
          <w:sz w:val="20"/>
        </w:rPr>
        <w:t>Their  total  future</w:t>
      </w:r>
      <w:r>
        <w:rPr>
          <w:spacing w:val="35"/>
          <w:sz w:val="20"/>
        </w:rPr>
        <w:t> </w:t>
      </w:r>
      <w:r>
        <w:rPr>
          <w:sz w:val="20"/>
        </w:rPr>
        <w:t>lifetime</w:t>
        <w:tab/>
      </w:r>
      <w:r>
        <w:rPr>
          <w:i/>
          <w:sz w:val="20"/>
        </w:rPr>
        <w:t>f </w:t>
      </w:r>
      <w:r>
        <w:rPr>
          <w:i/>
          <w:spacing w:val="2"/>
          <w:sz w:val="20"/>
        </w:rPr>
        <w:t>(y,t </w:t>
      </w:r>
      <w:r>
        <w:rPr>
          <w:i/>
          <w:sz w:val="20"/>
        </w:rPr>
        <w:t>)</w:t>
      </w:r>
      <w:r>
        <w:rPr>
          <w:i/>
          <w:spacing w:val="42"/>
          <w:sz w:val="20"/>
        </w:rPr>
        <w:t> </w:t>
      </w:r>
      <w:r>
        <w:rPr>
          <w:sz w:val="28"/>
        </w:rPr>
        <w:t>=</w:t>
      </w:r>
      <w:r>
        <w:rPr>
          <w:spacing w:val="15"/>
          <w:sz w:val="28"/>
        </w:rPr>
        <w:t> </w:t>
      </w:r>
      <w:r>
        <w:rPr>
          <w:i/>
          <w:sz w:val="20"/>
        </w:rPr>
        <w:t>t</w:t>
      </w:r>
      <w:r>
        <w:rPr>
          <w:i/>
          <w:w w:val="102"/>
          <w:sz w:val="20"/>
        </w:rPr>
        <w:t> </w:t>
      </w:r>
      <w:r>
        <w:rPr>
          <w:sz w:val="20"/>
        </w:rPr>
        <w:t>Their</w:t>
      </w:r>
      <w:r>
        <w:rPr>
          <w:spacing w:val="40"/>
          <w:sz w:val="20"/>
        </w:rPr>
        <w:t> </w:t>
      </w:r>
      <w:r>
        <w:rPr>
          <w:sz w:val="20"/>
        </w:rPr>
        <w:t>total</w:t>
      </w:r>
      <w:r>
        <w:rPr>
          <w:spacing w:val="40"/>
          <w:sz w:val="20"/>
        </w:rPr>
        <w:t> </w:t>
      </w:r>
      <w:r>
        <w:rPr>
          <w:sz w:val="20"/>
        </w:rPr>
        <w:t>lifetime</w:t>
        <w:tab/>
      </w:r>
      <w:r>
        <w:rPr>
          <w:i/>
          <w:sz w:val="20"/>
        </w:rPr>
        <w:t>f  </w:t>
      </w:r>
      <w:r>
        <w:rPr>
          <w:i/>
          <w:spacing w:val="2"/>
          <w:sz w:val="20"/>
        </w:rPr>
        <w:t>(y,t </w:t>
      </w:r>
      <w:r>
        <w:rPr>
          <w:i/>
          <w:sz w:val="20"/>
        </w:rPr>
        <w:t>)  </w:t>
      </w:r>
      <w:r>
        <w:rPr>
          <w:sz w:val="25"/>
        </w:rPr>
        <w:t>= </w:t>
      </w:r>
      <w:r>
        <w:rPr>
          <w:i/>
          <w:sz w:val="20"/>
        </w:rPr>
        <w:t>y  </w:t>
      </w:r>
      <w:r>
        <w:rPr>
          <w:rFonts w:ascii="Arial"/>
          <w:sz w:val="31"/>
        </w:rPr>
        <w:t>+</w:t>
      </w:r>
      <w:r>
        <w:rPr>
          <w:rFonts w:ascii="Arial"/>
          <w:spacing w:val="-42"/>
          <w:sz w:val="31"/>
        </w:rPr>
        <w:t> </w:t>
      </w:r>
      <w:r>
        <w:rPr>
          <w:rFonts w:ascii="Arial"/>
          <w:i/>
          <w:sz w:val="17"/>
        </w:rPr>
        <w:t>t</w:t>
      </w:r>
    </w:p>
    <w:p>
      <w:pPr>
        <w:pStyle w:val="BodyText"/>
        <w:tabs>
          <w:tab w:pos="5193" w:val="left" w:leader="none"/>
          <w:tab w:pos="5607" w:val="left" w:leader="none"/>
        </w:tabs>
        <w:spacing w:line="249" w:lineRule="auto" w:before="92"/>
        <w:ind w:left="139" w:right="133" w:firstLine="7"/>
        <w:jc w:val="right"/>
        <w:rPr>
          <w:sz w:val="13"/>
        </w:rPr>
      </w:pPr>
      <w:r>
        <w:rPr>
          <w:w w:val="105"/>
          <w:sz w:val="22"/>
        </w:rPr>
        <w:t>In </w:t>
      </w:r>
      <w:r>
        <w:rPr>
          <w:spacing w:val="-7"/>
          <w:w w:val="105"/>
        </w:rPr>
        <w:t>(8.15), </w:t>
      </w:r>
      <w:r>
        <w:rPr>
          <w:w w:val="105"/>
        </w:rPr>
        <w:t>the first integration with respect </w:t>
      </w:r>
      <w:r>
        <w:rPr>
          <w:w w:val="105"/>
          <w:sz w:val="22"/>
        </w:rPr>
        <w:t>to </w:t>
      </w:r>
      <w:r>
        <w:rPr>
          <w:rFonts w:ascii="Arial" w:hAnsi="Arial"/>
          <w:i/>
          <w:w w:val="105"/>
          <w:sz w:val="17"/>
        </w:rPr>
        <w:t>t </w:t>
      </w:r>
      <w:r>
        <w:rPr>
          <w:w w:val="105"/>
        </w:rPr>
        <w:t>produces</w:t>
      </w:r>
      <w:r>
        <w:rPr>
          <w:spacing w:val="33"/>
          <w:w w:val="105"/>
        </w:rPr>
        <w:t> </w:t>
      </w:r>
      <w:r>
        <w:rPr>
          <w:w w:val="105"/>
        </w:rPr>
        <w:t>a</w:t>
      </w:r>
      <w:r>
        <w:rPr>
          <w:spacing w:val="26"/>
          <w:w w:val="105"/>
        </w:rPr>
        <w:t> </w:t>
      </w:r>
      <w:r>
        <w:rPr>
          <w:w w:val="105"/>
        </w:rPr>
        <w:t>sum­</w:t>
      </w:r>
      <w:r>
        <w:rPr>
          <w:w w:val="104"/>
        </w:rPr>
        <w:t> </w:t>
      </w:r>
      <w:r>
        <w:rPr>
          <w:w w:val="105"/>
        </w:rPr>
        <w:t>mation over the deaths among those now aged y, and</w:t>
      </w:r>
      <w:r>
        <w:rPr>
          <w:spacing w:val="45"/>
          <w:w w:val="105"/>
        </w:rPr>
        <w:t> </w:t>
      </w:r>
      <w:r>
        <w:rPr>
          <w:w w:val="105"/>
        </w:rPr>
        <w:t>the</w:t>
      </w:r>
      <w:r>
        <w:rPr>
          <w:spacing w:val="22"/>
          <w:w w:val="105"/>
        </w:rPr>
        <w:t> </w:t>
      </w:r>
      <w:r>
        <w:rPr>
          <w:w w:val="105"/>
        </w:rPr>
        <w:t>second</w:t>
      </w:r>
      <w:r>
        <w:rPr>
          <w:w w:val="101"/>
        </w:rPr>
        <w:t> </w:t>
      </w:r>
      <w:r>
        <w:rPr>
          <w:w w:val="105"/>
        </w:rPr>
        <w:t>integration sums these values for all </w:t>
      </w:r>
      <w:r>
        <w:rPr>
          <w:i/>
          <w:w w:val="105"/>
        </w:rPr>
        <w:t>y  </w:t>
      </w:r>
      <w:r>
        <w:rPr>
          <w:w w:val="105"/>
        </w:rPr>
        <w:t>in the</w:t>
      </w:r>
      <w:r>
        <w:rPr>
          <w:spacing w:val="19"/>
          <w:w w:val="105"/>
        </w:rPr>
        <w:t> </w:t>
      </w:r>
      <w:r>
        <w:rPr>
          <w:w w:val="105"/>
        </w:rPr>
        <w:t>interval</w:t>
      </w:r>
      <w:r>
        <w:rPr>
          <w:spacing w:val="2"/>
          <w:w w:val="105"/>
        </w:rPr>
        <w:t> </w:t>
      </w:r>
      <w:r>
        <w:rPr>
          <w:rFonts w:ascii="Arial" w:hAnsi="Arial"/>
          <w:w w:val="105"/>
          <w:sz w:val="19"/>
        </w:rPr>
        <w:t>Y1</w:t>
        <w:tab/>
      </w:r>
      <w:r>
        <w:rPr>
          <w:i/>
          <w:w w:val="105"/>
        </w:rPr>
        <w:t>y</w:t>
        <w:tab/>
      </w:r>
      <w:r>
        <w:rPr>
          <w:spacing w:val="2"/>
          <w:w w:val="105"/>
          <w:sz w:val="19"/>
        </w:rPr>
        <w:t>y</w:t>
      </w:r>
      <w:r>
        <w:rPr>
          <w:spacing w:val="2"/>
          <w:w w:val="105"/>
          <w:position w:val="-2"/>
          <w:sz w:val="13"/>
        </w:rPr>
        <w:t>1</w:t>
      </w:r>
      <w:r>
        <w:rPr>
          <w:spacing w:val="2"/>
          <w:w w:val="105"/>
          <w:sz w:val="13"/>
        </w:rPr>
        <w:t>•</w:t>
      </w:r>
    </w:p>
    <w:p>
      <w:pPr>
        <w:pStyle w:val="BodyText"/>
        <w:spacing w:before="1"/>
      </w:pPr>
    </w:p>
    <w:p>
      <w:pPr>
        <w:pStyle w:val="BodyText"/>
        <w:spacing w:line="271" w:lineRule="auto"/>
        <w:ind w:left="135" w:right="132" w:firstLine="205"/>
        <w:jc w:val="both"/>
      </w:pPr>
      <w:r>
        <w:rPr>
          <w:w w:val="110"/>
          <w:u w:val="single"/>
        </w:rPr>
        <w:t>E</w:t>
      </w:r>
      <w:r>
        <w:rPr>
          <w:w w:val="110"/>
        </w:rPr>
        <w:t>xample</w:t>
      </w:r>
      <w:r>
        <w:rPr>
          <w:spacing w:val="10"/>
          <w:w w:val="110"/>
        </w:rPr>
        <w:t> </w:t>
      </w:r>
      <w:r>
        <w:rPr>
          <w:spacing w:val="-16"/>
          <w:w w:val="110"/>
        </w:rPr>
        <w:t>1.</w:t>
      </w:r>
      <w:r>
        <w:rPr>
          <w:spacing w:val="3"/>
          <w:w w:val="110"/>
        </w:rPr>
        <w:t> </w:t>
      </w:r>
      <w:r>
        <w:rPr>
          <w:w w:val="110"/>
        </w:rPr>
        <w:t>Let</w:t>
      </w:r>
      <w:r>
        <w:rPr>
          <w:spacing w:val="-9"/>
          <w:w w:val="110"/>
        </w:rPr>
        <w:t> </w:t>
      </w:r>
      <w:r>
        <w:rPr>
          <w:w w:val="110"/>
        </w:rPr>
        <w:t>the</w:t>
      </w:r>
      <w:r>
        <w:rPr>
          <w:spacing w:val="-18"/>
          <w:w w:val="110"/>
        </w:rPr>
        <w:t> </w:t>
      </w:r>
      <w:r>
        <w:rPr>
          <w:w w:val="110"/>
        </w:rPr>
        <w:t>members</w:t>
      </w:r>
      <w:r>
        <w:rPr>
          <w:spacing w:val="-5"/>
          <w:w w:val="110"/>
        </w:rPr>
        <w:t> </w:t>
      </w:r>
      <w:r>
        <w:rPr>
          <w:w w:val="110"/>
        </w:rPr>
        <w:t>of</w:t>
      </w:r>
      <w:r>
        <w:rPr>
          <w:spacing w:val="-3"/>
          <w:w w:val="110"/>
        </w:rPr>
        <w:t> </w:t>
      </w:r>
      <w:r>
        <w:rPr>
          <w:w w:val="110"/>
        </w:rPr>
        <w:t>the</w:t>
      </w:r>
      <w:r>
        <w:rPr>
          <w:spacing w:val="-18"/>
          <w:w w:val="110"/>
        </w:rPr>
        <w:t> </w:t>
      </w:r>
      <w:r>
        <w:rPr>
          <w:w w:val="110"/>
        </w:rPr>
        <w:t>subset</w:t>
      </w:r>
      <w:r>
        <w:rPr>
          <w:spacing w:val="-8"/>
          <w:w w:val="110"/>
        </w:rPr>
        <w:t> </w:t>
      </w:r>
      <w:r>
        <w:rPr>
          <w:w w:val="110"/>
        </w:rPr>
        <w:t>be</w:t>
      </w:r>
      <w:r>
        <w:rPr>
          <w:spacing w:val="-14"/>
          <w:w w:val="110"/>
        </w:rPr>
        <w:t> </w:t>
      </w:r>
      <w:r>
        <w:rPr>
          <w:w w:val="110"/>
        </w:rPr>
        <w:t>those</w:t>
      </w:r>
      <w:r>
        <w:rPr>
          <w:spacing w:val="-13"/>
          <w:w w:val="110"/>
        </w:rPr>
        <w:t> </w:t>
      </w:r>
      <w:r>
        <w:rPr>
          <w:w w:val="110"/>
        </w:rPr>
        <w:t>persons</w:t>
      </w:r>
      <w:r>
        <w:rPr>
          <w:spacing w:val="-14"/>
          <w:w w:val="110"/>
        </w:rPr>
        <w:t> </w:t>
      </w:r>
      <w:r>
        <w:rPr>
          <w:w w:val="110"/>
        </w:rPr>
        <w:t>now living</w:t>
      </w:r>
      <w:r>
        <w:rPr>
          <w:spacing w:val="-15"/>
          <w:w w:val="110"/>
        </w:rPr>
        <w:t> </w:t>
      </w:r>
      <w:r>
        <w:rPr>
          <w:w w:val="110"/>
        </w:rPr>
        <w:t>between</w:t>
      </w:r>
      <w:r>
        <w:rPr>
          <w:spacing w:val="-4"/>
          <w:w w:val="110"/>
        </w:rPr>
        <w:t> </w:t>
      </w:r>
      <w:r>
        <w:rPr>
          <w:w w:val="110"/>
        </w:rPr>
        <w:t>ages</w:t>
      </w:r>
      <w:r>
        <w:rPr>
          <w:spacing w:val="-19"/>
          <w:w w:val="110"/>
        </w:rPr>
        <w:t> </w:t>
      </w:r>
      <w:r>
        <w:rPr>
          <w:w w:val="110"/>
        </w:rPr>
        <w:t>20</w:t>
      </w:r>
      <w:r>
        <w:rPr>
          <w:spacing w:val="-16"/>
          <w:w w:val="110"/>
        </w:rPr>
        <w:t> </w:t>
      </w:r>
      <w:r>
        <w:rPr>
          <w:w w:val="110"/>
        </w:rPr>
        <w:t>and</w:t>
      </w:r>
      <w:r>
        <w:rPr>
          <w:spacing w:val="-14"/>
          <w:w w:val="110"/>
        </w:rPr>
        <w:t> </w:t>
      </w:r>
      <w:r>
        <w:rPr>
          <w:w w:val="110"/>
        </w:rPr>
        <w:t>40</w:t>
      </w:r>
      <w:r>
        <w:rPr>
          <w:spacing w:val="-19"/>
          <w:w w:val="110"/>
        </w:rPr>
        <w:t> </w:t>
      </w:r>
      <w:r>
        <w:rPr>
          <w:w w:val="110"/>
        </w:rPr>
        <w:t>who</w:t>
      </w:r>
      <w:r>
        <w:rPr>
          <w:spacing w:val="-12"/>
          <w:w w:val="110"/>
        </w:rPr>
        <w:t> </w:t>
      </w:r>
      <w:r>
        <w:rPr>
          <w:w w:val="110"/>
        </w:rPr>
        <w:t>will</w:t>
      </w:r>
      <w:r>
        <w:rPr>
          <w:spacing w:val="-8"/>
          <w:w w:val="110"/>
        </w:rPr>
        <w:t> </w:t>
      </w:r>
      <w:r>
        <w:rPr>
          <w:w w:val="110"/>
        </w:rPr>
        <w:t>die</w:t>
      </w:r>
      <w:r>
        <w:rPr>
          <w:spacing w:val="-16"/>
          <w:w w:val="110"/>
        </w:rPr>
        <w:t> </w:t>
      </w:r>
      <w:r>
        <w:rPr>
          <w:w w:val="110"/>
        </w:rPr>
        <w:t>before</w:t>
      </w:r>
      <w:r>
        <w:rPr>
          <w:spacing w:val="-6"/>
          <w:w w:val="110"/>
        </w:rPr>
        <w:t> </w:t>
      </w:r>
      <w:r>
        <w:rPr>
          <w:w w:val="110"/>
        </w:rPr>
        <w:t>age</w:t>
      </w:r>
      <w:r>
        <w:rPr>
          <w:spacing w:val="-22"/>
          <w:w w:val="110"/>
        </w:rPr>
        <w:t> </w:t>
      </w:r>
      <w:r>
        <w:rPr>
          <w:w w:val="110"/>
        </w:rPr>
        <w:t>70.</w:t>
      </w:r>
      <w:r>
        <w:rPr>
          <w:spacing w:val="-18"/>
          <w:w w:val="110"/>
        </w:rPr>
        <w:t> </w:t>
      </w:r>
      <w:r>
        <w:rPr>
          <w:w w:val="110"/>
        </w:rPr>
        <w:t>Find</w:t>
      </w:r>
      <w:r>
        <w:rPr>
          <w:spacing w:val="-8"/>
          <w:w w:val="110"/>
        </w:rPr>
        <w:t> </w:t>
      </w:r>
      <w:r>
        <w:rPr>
          <w:w w:val="110"/>
        </w:rPr>
        <w:t>the number oí members and their total</w:t>
      </w:r>
      <w:r>
        <w:rPr>
          <w:spacing w:val="9"/>
          <w:w w:val="110"/>
        </w:rPr>
        <w:t> </w:t>
      </w:r>
      <w:r>
        <w:rPr>
          <w:w w:val="110"/>
        </w:rPr>
        <w:t>lifetime.</w:t>
      </w:r>
    </w:p>
    <w:p>
      <w:pPr>
        <w:pStyle w:val="BodyText"/>
        <w:spacing w:line="139" w:lineRule="exact"/>
        <w:ind w:left="337"/>
      </w:pPr>
      <w:r>
        <w:rPr>
          <w:w w:val="105"/>
        </w:rPr>
        <w:t>With f (y,t)  </w:t>
      </w:r>
      <w:r>
        <w:rPr>
          <w:w w:val="105"/>
          <w:sz w:val="28"/>
        </w:rPr>
        <w:t>= </w:t>
      </w:r>
      <w:r>
        <w:rPr>
          <w:w w:val="105"/>
        </w:rPr>
        <w:t>1, the number of members  is</w:t>
      </w:r>
    </w:p>
    <w:p>
      <w:pPr>
        <w:spacing w:line="559" w:lineRule="exact" w:before="0"/>
        <w:ind w:left="146" w:right="0" w:firstLine="0"/>
        <w:jc w:val="left"/>
        <w:rPr>
          <w:i/>
          <w:sz w:val="20"/>
        </w:rPr>
      </w:pPr>
      <w:r>
        <w:rPr>
          <w:spacing w:val="-116"/>
          <w:w w:val="102"/>
          <w:position w:val="-10"/>
          <w:sz w:val="53"/>
        </w:rPr>
        <w:t>1</w:t>
      </w:r>
      <w:r>
        <w:rPr>
          <w:w w:val="97"/>
          <w:position w:val="9"/>
          <w:sz w:val="13"/>
        </w:rPr>
        <w:t>40</w:t>
      </w:r>
      <w:r>
        <w:rPr>
          <w:position w:val="9"/>
          <w:sz w:val="13"/>
        </w:rPr>
        <w:t> </w:t>
      </w:r>
      <w:r>
        <w:rPr>
          <w:spacing w:val="3"/>
          <w:position w:val="9"/>
          <w:sz w:val="13"/>
        </w:rPr>
        <w:t> </w:t>
      </w:r>
      <w:r>
        <w:rPr>
          <w:i/>
          <w:spacing w:val="-48"/>
          <w:w w:val="128"/>
          <w:position w:val="9"/>
          <w:sz w:val="31"/>
        </w:rPr>
        <w:t>1</w:t>
      </w:r>
      <w:r>
        <w:rPr>
          <w:i/>
          <w:w w:val="39"/>
          <w:position w:val="9"/>
          <w:sz w:val="31"/>
        </w:rPr>
        <w:t>10--V</w:t>
      </w:r>
      <w:r>
        <w:rPr>
          <w:i/>
          <w:position w:val="9"/>
          <w:sz w:val="31"/>
        </w:rPr>
        <w:t> </w:t>
      </w:r>
      <w:r>
        <w:rPr>
          <w:rFonts w:ascii="Arial" w:hAnsi="Arial"/>
          <w:i/>
          <w:w w:val="119"/>
          <w:sz w:val="16"/>
        </w:rPr>
        <w:t>l.</w:t>
      </w:r>
      <w:r>
        <w:rPr>
          <w:rFonts w:ascii="Arial" w:hAnsi="Arial"/>
          <w:i/>
          <w:spacing w:val="-20"/>
          <w:w w:val="119"/>
          <w:sz w:val="16"/>
        </w:rPr>
        <w:t>,</w:t>
      </w:r>
      <w:r>
        <w:rPr>
          <w:rFonts w:ascii="Arial" w:hAnsi="Arial"/>
          <w:i/>
          <w:w w:val="124"/>
          <w:sz w:val="16"/>
        </w:rPr>
        <w:t>+lµ.H</w:t>
      </w:r>
      <w:r>
        <w:rPr>
          <w:rFonts w:ascii="Arial" w:hAnsi="Arial"/>
          <w:i/>
          <w:spacing w:val="19"/>
          <w:sz w:val="16"/>
        </w:rPr>
        <w:t> </w:t>
      </w:r>
      <w:r>
        <w:rPr>
          <w:rFonts w:ascii="Arial" w:hAnsi="Arial"/>
          <w:i/>
          <w:w w:val="80"/>
          <w:sz w:val="25"/>
        </w:rPr>
        <w:t>tjt</w:t>
      </w:r>
      <w:r>
        <w:rPr>
          <w:rFonts w:ascii="Arial" w:hAnsi="Arial"/>
          <w:i/>
          <w:spacing w:val="-4"/>
          <w:sz w:val="25"/>
        </w:rPr>
        <w:t> </w:t>
      </w:r>
      <w:r>
        <w:rPr>
          <w:i/>
          <w:spacing w:val="12"/>
          <w:w w:val="92"/>
          <w:sz w:val="20"/>
        </w:rPr>
        <w:t>d</w:t>
      </w:r>
      <w:r>
        <w:rPr>
          <w:i/>
          <w:w w:val="91"/>
          <w:sz w:val="20"/>
        </w:rPr>
        <w:t>y</w:t>
      </w:r>
      <w:r>
        <w:rPr>
          <w:i/>
          <w:sz w:val="20"/>
        </w:rPr>
        <w:t> </w:t>
      </w:r>
      <w:r>
        <w:rPr>
          <w:i/>
          <w:spacing w:val="16"/>
          <w:sz w:val="20"/>
        </w:rPr>
        <w:t> </w:t>
      </w:r>
      <w:r>
        <w:rPr>
          <w:w w:val="100"/>
          <w:sz w:val="24"/>
        </w:rPr>
        <w:t>=</w:t>
      </w:r>
      <w:r>
        <w:rPr>
          <w:sz w:val="24"/>
        </w:rPr>
        <w:t> </w:t>
      </w:r>
      <w:r>
        <w:rPr>
          <w:spacing w:val="-19"/>
          <w:sz w:val="24"/>
        </w:rPr>
        <w:t> </w:t>
      </w:r>
      <w:r>
        <w:rPr>
          <w:i/>
          <w:spacing w:val="-45"/>
          <w:w w:val="74"/>
          <w:position w:val="9"/>
          <w:sz w:val="53"/>
        </w:rPr>
        <w:t>1</w:t>
      </w:r>
      <w:r>
        <w:rPr>
          <w:i/>
          <w:w w:val="45"/>
          <w:position w:val="9"/>
          <w:sz w:val="53"/>
        </w:rPr>
        <w:t>'°</w:t>
      </w:r>
      <w:r>
        <w:rPr>
          <w:i/>
          <w:spacing w:val="-84"/>
          <w:position w:val="9"/>
          <w:sz w:val="53"/>
        </w:rPr>
        <w:t> </w:t>
      </w:r>
      <w:r>
        <w:rPr>
          <w:spacing w:val="6"/>
          <w:w w:val="81"/>
          <w:sz w:val="24"/>
        </w:rPr>
        <w:t>[</w:t>
      </w:r>
      <w:r>
        <w:rPr>
          <w:w w:val="234"/>
          <w:sz w:val="24"/>
        </w:rPr>
        <w:t>-</w:t>
      </w:r>
      <w:r>
        <w:rPr>
          <w:spacing w:val="-11"/>
          <w:sz w:val="24"/>
        </w:rPr>
        <w:t> </w:t>
      </w:r>
      <w:r>
        <w:rPr>
          <w:w w:val="87"/>
          <w:sz w:val="21"/>
        </w:rPr>
        <w:t>l.,H</w:t>
      </w:r>
      <w:r>
        <w:rPr>
          <w:spacing w:val="10"/>
          <w:w w:val="87"/>
          <w:sz w:val="21"/>
        </w:rPr>
        <w:t>]</w:t>
      </w:r>
      <w:r>
        <w:rPr>
          <w:spacing w:val="-59"/>
          <w:w w:val="134"/>
          <w:sz w:val="29"/>
        </w:rPr>
        <w:t>:</w:t>
      </w:r>
      <w:r>
        <w:rPr>
          <w:w w:val="138"/>
          <w:sz w:val="29"/>
        </w:rPr>
        <w:t>:</w:t>
      </w:r>
      <w:r>
        <w:rPr>
          <w:spacing w:val="-74"/>
          <w:w w:val="138"/>
          <w:sz w:val="29"/>
        </w:rPr>
        <w:t>!</w:t>
      </w:r>
      <w:r>
        <w:rPr>
          <w:w w:val="61"/>
          <w:sz w:val="29"/>
        </w:rPr>
        <w:t>o-v</w:t>
      </w:r>
      <w:r>
        <w:rPr>
          <w:spacing w:val="-14"/>
          <w:sz w:val="29"/>
        </w:rPr>
        <w:t> </w:t>
      </w:r>
      <w:r>
        <w:rPr>
          <w:i/>
          <w:spacing w:val="11"/>
          <w:w w:val="89"/>
          <w:sz w:val="20"/>
        </w:rPr>
        <w:t>d</w:t>
      </w:r>
      <w:r>
        <w:rPr>
          <w:i/>
          <w:w w:val="91"/>
          <w:sz w:val="20"/>
        </w:rPr>
        <w:t>y</w:t>
      </w:r>
    </w:p>
    <w:p>
      <w:pPr>
        <w:tabs>
          <w:tab w:pos="581" w:val="left" w:leader="none"/>
          <w:tab w:pos="2653" w:val="right" w:leader="none"/>
        </w:tabs>
        <w:spacing w:line="133" w:lineRule="exact" w:before="0"/>
        <w:ind w:left="229" w:right="0" w:firstLine="0"/>
        <w:jc w:val="left"/>
        <w:rPr>
          <w:sz w:val="13"/>
        </w:rPr>
      </w:pPr>
      <w:r>
        <w:rPr>
          <w:rFonts w:ascii="Arial"/>
          <w:b/>
          <w:sz w:val="12"/>
        </w:rPr>
        <w:t>20</w:t>
        <w:tab/>
        <w:t>O</w:t>
      </w:r>
      <w:r>
        <w:rPr>
          <w:sz w:val="13"/>
        </w:rPr>
        <w:tab/>
        <w:t>20</w:t>
      </w:r>
    </w:p>
    <w:p>
      <w:pPr>
        <w:tabs>
          <w:tab w:pos="1787" w:val="left" w:leader="none"/>
        </w:tabs>
        <w:spacing w:line="426" w:lineRule="exact" w:before="40"/>
        <w:ind w:left="1395" w:right="0" w:firstLine="0"/>
        <w:jc w:val="left"/>
        <w:rPr>
          <w:rFonts w:ascii="Arial" w:hAnsi="Arial"/>
          <w:sz w:val="19"/>
        </w:rPr>
      </w:pPr>
      <w:r>
        <w:rPr/>
        <w:pict>
          <v:shape style="position:absolute;margin-left:114.480003pt;margin-top:5.949317pt;width:8.6pt;height:26pt;mso-position-horizontal-relative:page;mso-position-vertical-relative:paragraph;z-index:-720952" type="#_x0000_t202" filled="false" stroked="false">
            <v:textbox inset="0,0,0,0">
              <w:txbxContent>
                <w:p>
                  <w:pPr>
                    <w:spacing w:line="520" w:lineRule="exact" w:before="0"/>
                    <w:ind w:left="0" w:right="0" w:firstLine="0"/>
                    <w:jc w:val="left"/>
                    <w:rPr>
                      <w:rFonts w:ascii="Arial"/>
                      <w:i/>
                      <w:sz w:val="52"/>
                    </w:rPr>
                  </w:pPr>
                  <w:r>
                    <w:rPr>
                      <w:rFonts w:ascii="Arial"/>
                      <w:i/>
                      <w:spacing w:val="-71"/>
                      <w:w w:val="83"/>
                      <w:sz w:val="52"/>
                    </w:rPr>
                    <w:t>1</w:t>
                  </w:r>
                </w:p>
              </w:txbxContent>
            </v:textbox>
            <w10:wrap type="none"/>
          </v:shape>
        </w:pict>
      </w:r>
      <w:r>
        <w:rPr>
          <w:w w:val="103"/>
          <w:sz w:val="24"/>
        </w:rPr>
        <w:t>=</w:t>
      </w:r>
      <w:r>
        <w:rPr>
          <w:sz w:val="24"/>
        </w:rPr>
        <w:tab/>
      </w:r>
      <w:r>
        <w:rPr>
          <w:i/>
          <w:spacing w:val="-32"/>
          <w:w w:val="135"/>
          <w:position w:val="9"/>
          <w:sz w:val="32"/>
        </w:rPr>
        <w:t>'</w:t>
      </w:r>
      <w:r>
        <w:rPr>
          <w:i/>
          <w:w w:val="65"/>
          <w:position w:val="9"/>
          <w:sz w:val="32"/>
        </w:rPr>
        <w:t>º</w:t>
      </w:r>
      <w:r>
        <w:rPr>
          <w:i/>
          <w:spacing w:val="-6"/>
          <w:position w:val="9"/>
          <w:sz w:val="32"/>
        </w:rPr>
        <w:t> </w:t>
      </w:r>
      <w:r>
        <w:rPr>
          <w:i/>
          <w:w w:val="74"/>
          <w:sz w:val="20"/>
        </w:rPr>
        <w:t>(</w:t>
      </w:r>
      <w:r>
        <w:rPr>
          <w:i/>
          <w:spacing w:val="-18"/>
          <w:sz w:val="20"/>
        </w:rPr>
        <w:t> </w:t>
      </w:r>
      <w:r>
        <w:rPr>
          <w:i/>
          <w:w w:val="157"/>
          <w:sz w:val="20"/>
        </w:rPr>
        <w:t>l,</w:t>
      </w:r>
      <w:r>
        <w:rPr>
          <w:i/>
          <w:spacing w:val="-1"/>
          <w:sz w:val="20"/>
        </w:rPr>
        <w:t> </w:t>
      </w:r>
      <w:r>
        <w:rPr>
          <w:w w:val="274"/>
          <w:sz w:val="20"/>
        </w:rPr>
        <w:t>-</w:t>
      </w:r>
      <w:r>
        <w:rPr>
          <w:sz w:val="20"/>
        </w:rPr>
        <w:t> </w:t>
      </w:r>
      <w:r>
        <w:rPr>
          <w:i/>
          <w:w w:val="64"/>
          <w:sz w:val="21"/>
        </w:rPr>
        <w:t>l10</w:t>
      </w:r>
      <w:r>
        <w:rPr>
          <w:i/>
          <w:spacing w:val="-36"/>
          <w:sz w:val="21"/>
        </w:rPr>
        <w:t> </w:t>
      </w:r>
      <w:r>
        <w:rPr>
          <w:i/>
          <w:w w:val="71"/>
          <w:sz w:val="21"/>
        </w:rPr>
        <w:t>)</w:t>
      </w:r>
      <w:r>
        <w:rPr>
          <w:i/>
          <w:sz w:val="21"/>
        </w:rPr>
        <w:t> </w:t>
      </w:r>
      <w:r>
        <w:rPr>
          <w:i/>
          <w:spacing w:val="-12"/>
          <w:sz w:val="21"/>
        </w:rPr>
        <w:t> </w:t>
      </w:r>
      <w:r>
        <w:rPr>
          <w:i/>
          <w:spacing w:val="15"/>
          <w:w w:val="89"/>
          <w:sz w:val="20"/>
        </w:rPr>
        <w:t>d</w:t>
      </w:r>
      <w:r>
        <w:rPr>
          <w:i/>
          <w:w w:val="87"/>
          <w:sz w:val="20"/>
        </w:rPr>
        <w:t>y</w:t>
      </w:r>
      <w:r>
        <w:rPr>
          <w:i/>
          <w:sz w:val="20"/>
        </w:rPr>
        <w:t> </w:t>
      </w:r>
      <w:r>
        <w:rPr>
          <w:i/>
          <w:spacing w:val="12"/>
          <w:sz w:val="20"/>
        </w:rPr>
        <w:t> </w:t>
      </w:r>
      <w:r>
        <w:rPr>
          <w:w w:val="100"/>
          <w:sz w:val="24"/>
        </w:rPr>
        <w:t>=</w:t>
      </w:r>
      <w:r>
        <w:rPr>
          <w:sz w:val="24"/>
        </w:rPr>
        <w:t> </w:t>
      </w:r>
      <w:r>
        <w:rPr>
          <w:spacing w:val="-23"/>
          <w:sz w:val="24"/>
        </w:rPr>
        <w:t> </w:t>
      </w:r>
      <w:r>
        <w:rPr>
          <w:rFonts w:ascii="Arial" w:hAnsi="Arial"/>
          <w:w w:val="170"/>
          <w:sz w:val="20"/>
        </w:rPr>
        <w:t>[-</w:t>
      </w:r>
      <w:r>
        <w:rPr>
          <w:rFonts w:ascii="Arial" w:hAnsi="Arial"/>
          <w:spacing w:val="-25"/>
          <w:w w:val="170"/>
          <w:sz w:val="20"/>
        </w:rPr>
        <w:t>T</w:t>
      </w:r>
      <w:r>
        <w:rPr>
          <w:rFonts w:ascii="Arial" w:hAnsi="Arial"/>
          <w:w w:val="83"/>
          <w:sz w:val="20"/>
        </w:rPr>
        <w:t>.,</w:t>
      </w:r>
      <w:r>
        <w:rPr>
          <w:rFonts w:ascii="Arial" w:hAnsi="Arial"/>
          <w:spacing w:val="9"/>
          <w:sz w:val="20"/>
        </w:rPr>
        <w:t> </w:t>
      </w:r>
      <w:r>
        <w:rPr>
          <w:rFonts w:ascii="Arial" w:hAnsi="Arial"/>
          <w:w w:val="268"/>
          <w:sz w:val="20"/>
        </w:rPr>
        <w:t>-</w:t>
      </w:r>
      <w:r>
        <w:rPr>
          <w:rFonts w:ascii="Arial" w:hAnsi="Arial"/>
          <w:spacing w:val="10"/>
          <w:sz w:val="20"/>
        </w:rPr>
        <w:t> </w:t>
      </w:r>
      <w:r>
        <w:rPr>
          <w:rFonts w:ascii="Arial" w:hAnsi="Arial"/>
          <w:w w:val="97"/>
          <w:sz w:val="19"/>
        </w:rPr>
        <w:t>yl,u]</w:t>
      </w:r>
      <w:r>
        <w:rPr>
          <w:rFonts w:ascii="Arial" w:hAnsi="Arial"/>
          <w:spacing w:val="-4"/>
          <w:w w:val="97"/>
          <w:sz w:val="19"/>
        </w:rPr>
        <w:t>:</w:t>
      </w:r>
      <w:r>
        <w:rPr>
          <w:rFonts w:ascii="Arial" w:hAnsi="Arial"/>
          <w:w w:val="300"/>
          <w:sz w:val="19"/>
        </w:rPr>
        <w:t>:</w:t>
      </w:r>
    </w:p>
    <w:p>
      <w:pPr>
        <w:spacing w:line="135" w:lineRule="exact" w:before="0"/>
        <w:ind w:left="1712" w:right="0" w:firstLine="0"/>
        <w:jc w:val="left"/>
        <w:rPr>
          <w:b/>
          <w:sz w:val="13"/>
        </w:rPr>
      </w:pPr>
      <w:r>
        <w:rPr>
          <w:b/>
          <w:w w:val="105"/>
          <w:sz w:val="13"/>
        </w:rPr>
        <w:t>20</w:t>
      </w:r>
    </w:p>
    <w:p>
      <w:pPr>
        <w:spacing w:before="90"/>
        <w:ind w:left="3166" w:right="0" w:firstLine="0"/>
        <w:jc w:val="left"/>
        <w:rPr>
          <w:i/>
          <w:sz w:val="21"/>
        </w:rPr>
      </w:pPr>
      <w:r>
        <w:rPr>
          <w:sz w:val="24"/>
        </w:rPr>
        <w:t>= </w:t>
      </w:r>
      <w:r>
        <w:rPr>
          <w:rFonts w:ascii="Arial"/>
          <w:i/>
          <w:spacing w:val="4"/>
          <w:w w:val="180"/>
          <w:sz w:val="21"/>
        </w:rPr>
        <w:t>T.</w:t>
      </w:r>
      <w:r>
        <w:rPr>
          <w:rFonts w:ascii="Arial"/>
          <w:spacing w:val="4"/>
          <w:w w:val="180"/>
          <w:sz w:val="21"/>
        </w:rPr>
        <w:t>-</w:t>
      </w:r>
      <w:r>
        <w:rPr>
          <w:rFonts w:ascii="Arial"/>
          <w:spacing w:val="-48"/>
          <w:w w:val="180"/>
          <w:sz w:val="21"/>
        </w:rPr>
        <w:t> </w:t>
      </w:r>
      <w:r>
        <w:rPr>
          <w:rFonts w:ascii="Arial"/>
          <w:i/>
          <w:w w:val="140"/>
          <w:sz w:val="21"/>
        </w:rPr>
        <w:t>T.,</w:t>
      </w:r>
      <w:r>
        <w:rPr>
          <w:rFonts w:ascii="Arial"/>
          <w:i/>
          <w:spacing w:val="-53"/>
          <w:w w:val="140"/>
          <w:sz w:val="21"/>
        </w:rPr>
        <w:t> </w:t>
      </w:r>
      <w:r>
        <w:rPr>
          <w:rFonts w:ascii="Arial"/>
          <w:w w:val="215"/>
          <w:sz w:val="21"/>
        </w:rPr>
        <w:t>-</w:t>
      </w:r>
      <w:r>
        <w:rPr>
          <w:rFonts w:ascii="Arial"/>
          <w:spacing w:val="-81"/>
          <w:w w:val="215"/>
          <w:sz w:val="21"/>
        </w:rPr>
        <w:t> </w:t>
      </w:r>
      <w:r>
        <w:rPr>
          <w:i/>
          <w:sz w:val="21"/>
        </w:rPr>
        <w:t>20l10 </w:t>
      </w:r>
      <w:r>
        <w:rPr>
          <w:i/>
          <w:w w:val="140"/>
          <w:sz w:val="21"/>
        </w:rPr>
        <w:t>.</w:t>
      </w:r>
    </w:p>
    <w:p>
      <w:pPr>
        <w:spacing w:line="320" w:lineRule="exact" w:before="11"/>
        <w:ind w:left="330" w:right="0" w:firstLine="0"/>
        <w:jc w:val="left"/>
        <w:rPr>
          <w:sz w:val="19"/>
        </w:rPr>
      </w:pPr>
      <w:r>
        <w:rPr>
          <w:w w:val="105"/>
          <w:sz w:val="20"/>
        </w:rPr>
        <w:t>With </w:t>
      </w:r>
      <w:r>
        <w:rPr>
          <w:i/>
          <w:w w:val="105"/>
          <w:sz w:val="20"/>
        </w:rPr>
        <w:t>f  (y,t)  </w:t>
      </w:r>
      <w:r>
        <w:rPr>
          <w:w w:val="105"/>
          <w:sz w:val="26"/>
        </w:rPr>
        <w:t>= </w:t>
      </w:r>
      <w:r>
        <w:rPr>
          <w:i/>
          <w:w w:val="105"/>
          <w:sz w:val="20"/>
        </w:rPr>
        <w:t>y  </w:t>
      </w:r>
      <w:r>
        <w:rPr>
          <w:rFonts w:ascii="Arial"/>
          <w:w w:val="105"/>
          <w:sz w:val="32"/>
        </w:rPr>
        <w:t>+ </w:t>
      </w:r>
      <w:r>
        <w:rPr>
          <w:i/>
          <w:w w:val="105"/>
          <w:sz w:val="20"/>
        </w:rPr>
        <w:t>t, </w:t>
      </w:r>
      <w:r>
        <w:rPr>
          <w:w w:val="105"/>
          <w:sz w:val="20"/>
        </w:rPr>
        <w:t>the total tifetime </w:t>
      </w:r>
      <w:r>
        <w:rPr>
          <w:w w:val="105"/>
          <w:sz w:val="19"/>
        </w:rPr>
        <w:t>is</w:t>
      </w:r>
    </w:p>
    <w:p>
      <w:pPr>
        <w:spacing w:line="508" w:lineRule="exact" w:before="0"/>
        <w:ind w:left="294" w:right="0" w:firstLine="0"/>
        <w:jc w:val="left"/>
        <w:rPr>
          <w:i/>
          <w:sz w:val="20"/>
        </w:rPr>
      </w:pPr>
      <w:r>
        <w:rPr/>
        <w:pict>
          <v:shape style="position:absolute;margin-left:39.779999pt;margin-top:6.2021pt;width:7.75pt;height:27.5pt;mso-position-horizontal-relative:page;mso-position-vertical-relative:paragraph;z-index:-720928" type="#_x0000_t202" filled="false" stroked="false">
            <v:textbox inset="0,0,0,0">
              <w:txbxContent>
                <w:p>
                  <w:pPr>
                    <w:spacing w:line="550" w:lineRule="exact" w:before="0"/>
                    <w:ind w:left="0" w:right="0" w:firstLine="0"/>
                    <w:jc w:val="left"/>
                    <w:rPr>
                      <w:sz w:val="55"/>
                    </w:rPr>
                  </w:pPr>
                  <w:r>
                    <w:rPr>
                      <w:spacing w:val="-129"/>
                      <w:w w:val="103"/>
                      <w:sz w:val="55"/>
                    </w:rPr>
                    <w:t>1</w:t>
                  </w:r>
                </w:p>
              </w:txbxContent>
            </v:textbox>
            <w10:wrap type="none"/>
          </v:shape>
        </w:pict>
      </w:r>
      <w:r>
        <w:rPr>
          <w:w w:val="97"/>
          <w:position w:val="14"/>
          <w:sz w:val="13"/>
        </w:rPr>
        <w:t>40</w:t>
      </w:r>
      <w:r>
        <w:rPr>
          <w:position w:val="14"/>
          <w:sz w:val="13"/>
        </w:rPr>
        <w:t> </w:t>
      </w:r>
      <w:r>
        <w:rPr>
          <w:spacing w:val="6"/>
          <w:position w:val="14"/>
          <w:sz w:val="13"/>
        </w:rPr>
        <w:t> </w:t>
      </w:r>
      <w:r>
        <w:rPr>
          <w:spacing w:val="-116"/>
          <w:w w:val="135"/>
          <w:position w:val="14"/>
          <w:sz w:val="40"/>
        </w:rPr>
        <w:t>1</w:t>
      </w:r>
      <w:r>
        <w:rPr>
          <w:w w:val="39"/>
          <w:position w:val="14"/>
          <w:sz w:val="40"/>
        </w:rPr>
        <w:t>70-.,</w:t>
      </w:r>
      <w:r>
        <w:rPr>
          <w:spacing w:val="-45"/>
          <w:position w:val="14"/>
          <w:sz w:val="40"/>
        </w:rPr>
        <w:t> </w:t>
      </w:r>
      <w:r>
        <w:rPr>
          <w:rFonts w:ascii="Arial"/>
          <w:spacing w:val="3"/>
          <w:w w:val="125"/>
          <w:sz w:val="19"/>
        </w:rPr>
        <w:t>(</w:t>
      </w:r>
      <w:r>
        <w:rPr>
          <w:rFonts w:ascii="Arial"/>
          <w:i/>
          <w:w w:val="89"/>
          <w:sz w:val="19"/>
        </w:rPr>
        <w:t>y</w:t>
      </w:r>
      <w:r>
        <w:rPr>
          <w:rFonts w:ascii="Arial"/>
          <w:i/>
          <w:spacing w:val="21"/>
          <w:sz w:val="19"/>
        </w:rPr>
        <w:t> </w:t>
      </w:r>
      <w:r>
        <w:rPr>
          <w:rFonts w:ascii="Arial"/>
          <w:w w:val="104"/>
          <w:sz w:val="32"/>
        </w:rPr>
        <w:t>+</w:t>
      </w:r>
      <w:r>
        <w:rPr>
          <w:rFonts w:ascii="Arial"/>
          <w:spacing w:val="-58"/>
          <w:sz w:val="32"/>
        </w:rPr>
        <w:t> </w:t>
      </w:r>
      <w:r>
        <w:rPr>
          <w:rFonts w:ascii="Arial"/>
          <w:i/>
          <w:w w:val="170"/>
          <w:sz w:val="17"/>
        </w:rPr>
        <w:t>t</w:t>
      </w:r>
      <w:r>
        <w:rPr>
          <w:rFonts w:ascii="Arial"/>
          <w:i/>
          <w:w w:val="170"/>
          <w:sz w:val="17"/>
        </w:rPr>
        <w:t>)</w:t>
      </w:r>
      <w:r>
        <w:rPr>
          <w:rFonts w:ascii="Arial"/>
          <w:i/>
          <w:w w:val="170"/>
          <w:sz w:val="17"/>
        </w:rPr>
        <w:t>l</w:t>
      </w:r>
      <w:r>
        <w:rPr>
          <w:rFonts w:ascii="Arial"/>
          <w:i/>
          <w:spacing w:val="-42"/>
          <w:w w:val="170"/>
          <w:sz w:val="17"/>
        </w:rPr>
        <w:t>.</w:t>
      </w:r>
      <w:r>
        <w:rPr>
          <w:rFonts w:ascii="Arial"/>
          <w:i/>
          <w:w w:val="108"/>
          <w:sz w:val="17"/>
        </w:rPr>
        <w:t>Hl'v+I</w:t>
      </w:r>
      <w:r>
        <w:rPr>
          <w:rFonts w:ascii="Arial"/>
          <w:i/>
          <w:spacing w:val="19"/>
          <w:sz w:val="17"/>
        </w:rPr>
        <w:t> </w:t>
      </w:r>
      <w:r>
        <w:rPr>
          <w:i/>
          <w:w w:val="92"/>
          <w:sz w:val="21"/>
        </w:rPr>
        <w:t>dt</w:t>
      </w:r>
      <w:r>
        <w:rPr>
          <w:i/>
          <w:spacing w:val="-3"/>
          <w:sz w:val="21"/>
        </w:rPr>
        <w:t> </w:t>
      </w:r>
      <w:r>
        <w:rPr>
          <w:i/>
          <w:spacing w:val="12"/>
          <w:w w:val="85"/>
          <w:sz w:val="20"/>
        </w:rPr>
        <w:t>d</w:t>
      </w:r>
      <w:r>
        <w:rPr>
          <w:i/>
          <w:w w:val="94"/>
          <w:sz w:val="20"/>
        </w:rPr>
        <w:t>y</w:t>
      </w:r>
      <w:r>
        <w:rPr>
          <w:i/>
          <w:sz w:val="20"/>
        </w:rPr>
        <w:t> </w:t>
      </w:r>
      <w:r>
        <w:rPr>
          <w:i/>
          <w:spacing w:val="-5"/>
          <w:sz w:val="20"/>
        </w:rPr>
        <w:t> </w:t>
      </w:r>
      <w:r>
        <w:rPr>
          <w:w w:val="100"/>
          <w:sz w:val="24"/>
        </w:rPr>
        <w:t>=</w:t>
      </w:r>
      <w:r>
        <w:rPr>
          <w:spacing w:val="19"/>
          <w:sz w:val="24"/>
        </w:rPr>
        <w:t> </w:t>
      </w:r>
      <w:r>
        <w:rPr>
          <w:spacing w:val="-27"/>
          <w:w w:val="491"/>
          <w:position w:val="14"/>
          <w:sz w:val="13"/>
        </w:rPr>
        <w:t>i</w:t>
      </w:r>
      <w:r>
        <w:rPr>
          <w:position w:val="14"/>
          <w:sz w:val="13"/>
        </w:rPr>
        <w:t>40</w:t>
      </w:r>
      <w:r>
        <w:rPr>
          <w:spacing w:val="13"/>
          <w:position w:val="14"/>
          <w:sz w:val="13"/>
        </w:rPr>
        <w:t> </w:t>
      </w:r>
      <w:r>
        <w:rPr>
          <w:spacing w:val="8"/>
          <w:w w:val="88"/>
          <w:sz w:val="24"/>
        </w:rPr>
        <w:t>[</w:t>
      </w:r>
      <w:r>
        <w:rPr>
          <w:w w:val="228"/>
          <w:sz w:val="24"/>
        </w:rPr>
        <w:t>-</w:t>
      </w:r>
      <w:r>
        <w:rPr>
          <w:spacing w:val="9"/>
          <w:w w:val="91"/>
          <w:sz w:val="24"/>
        </w:rPr>
        <w:t>(</w:t>
      </w:r>
      <w:r>
        <w:rPr>
          <w:i/>
          <w:w w:val="94"/>
          <w:sz w:val="20"/>
        </w:rPr>
        <w:t>y</w:t>
      </w:r>
      <w:r>
        <w:rPr>
          <w:i/>
          <w:sz w:val="20"/>
        </w:rPr>
        <w:t> </w:t>
      </w:r>
      <w:r>
        <w:rPr>
          <w:i/>
          <w:spacing w:val="-23"/>
          <w:sz w:val="20"/>
        </w:rPr>
        <w:t> </w:t>
      </w:r>
      <w:r>
        <w:rPr>
          <w:rFonts w:ascii="Arial"/>
          <w:spacing w:val="27"/>
          <w:w w:val="104"/>
          <w:sz w:val="32"/>
        </w:rPr>
        <w:t>+</w:t>
      </w:r>
      <w:r>
        <w:rPr>
          <w:rFonts w:ascii="Arial"/>
          <w:i/>
          <w:w w:val="111"/>
          <w:sz w:val="19"/>
        </w:rPr>
        <w:t>t</w:t>
      </w:r>
      <w:r>
        <w:rPr>
          <w:rFonts w:ascii="Arial"/>
          <w:i/>
          <w:w w:val="111"/>
          <w:sz w:val="19"/>
        </w:rPr>
        <w:t>)</w:t>
      </w:r>
      <w:r>
        <w:rPr>
          <w:rFonts w:ascii="Arial"/>
          <w:i/>
          <w:w w:val="111"/>
          <w:sz w:val="19"/>
        </w:rPr>
        <w:t>lll+,</w:t>
      </w:r>
      <w:r>
        <w:rPr>
          <w:rFonts w:ascii="Arial"/>
          <w:i/>
          <w:sz w:val="19"/>
        </w:rPr>
        <w:t> </w:t>
      </w:r>
      <w:r>
        <w:rPr>
          <w:rFonts w:ascii="Arial"/>
          <w:w w:val="283"/>
          <w:sz w:val="19"/>
        </w:rPr>
        <w:t>-</w:t>
      </w:r>
      <w:r>
        <w:rPr>
          <w:rFonts w:ascii="Arial"/>
          <w:spacing w:val="-3"/>
          <w:sz w:val="19"/>
        </w:rPr>
        <w:t> </w:t>
      </w:r>
      <w:r>
        <w:rPr>
          <w:i/>
          <w:spacing w:val="7"/>
          <w:w w:val="107"/>
          <w:sz w:val="21"/>
        </w:rPr>
        <w:t>T</w:t>
      </w:r>
      <w:r>
        <w:rPr>
          <w:w w:val="78"/>
          <w:sz w:val="20"/>
        </w:rPr>
        <w:t>a,</w:t>
      </w:r>
      <w:r>
        <w:rPr>
          <w:w w:val="78"/>
          <w:sz w:val="20"/>
        </w:rPr>
        <w:t>H</w:t>
      </w:r>
      <w:r>
        <w:rPr>
          <w:w w:val="78"/>
          <w:sz w:val="20"/>
        </w:rPr>
        <w:t>]</w:t>
      </w:r>
      <w:r>
        <w:rPr>
          <w:spacing w:val="-35"/>
          <w:sz w:val="20"/>
        </w:rPr>
        <w:t> </w:t>
      </w:r>
      <w:r>
        <w:rPr>
          <w:w w:val="111"/>
          <w:sz w:val="32"/>
        </w:rPr>
        <w:t>:</w:t>
      </w:r>
      <w:r>
        <w:rPr>
          <w:spacing w:val="-46"/>
          <w:sz w:val="32"/>
        </w:rPr>
        <w:t> </w:t>
      </w:r>
      <w:r>
        <w:rPr>
          <w:spacing w:val="-95"/>
          <w:w w:val="131"/>
          <w:position w:val="14"/>
          <w:sz w:val="13"/>
        </w:rPr>
        <w:t>7</w:t>
      </w:r>
      <w:r>
        <w:rPr>
          <w:spacing w:val="13"/>
          <w:w w:val="40"/>
          <w:sz w:val="32"/>
        </w:rPr>
        <w:t>o</w:t>
      </w:r>
      <w:r>
        <w:rPr>
          <w:w w:val="130"/>
          <w:position w:val="14"/>
          <w:sz w:val="13"/>
        </w:rPr>
        <w:t>0-.,</w:t>
      </w:r>
      <w:r>
        <w:rPr>
          <w:position w:val="14"/>
          <w:sz w:val="13"/>
        </w:rPr>
        <w:t> </w:t>
      </w:r>
      <w:r>
        <w:rPr>
          <w:i/>
          <w:spacing w:val="11"/>
          <w:w w:val="89"/>
          <w:sz w:val="20"/>
        </w:rPr>
        <w:t>d</w:t>
      </w:r>
      <w:r>
        <w:rPr>
          <w:i/>
          <w:w w:val="87"/>
          <w:sz w:val="20"/>
        </w:rPr>
        <w:t>y</w:t>
      </w:r>
    </w:p>
    <w:p>
      <w:pPr>
        <w:tabs>
          <w:tab w:pos="581" w:val="left" w:leader="none"/>
        </w:tabs>
        <w:spacing w:line="123" w:lineRule="exact" w:before="0"/>
        <w:ind w:left="222" w:right="0" w:firstLine="0"/>
        <w:jc w:val="left"/>
        <w:rPr>
          <w:b/>
          <w:sz w:val="13"/>
        </w:rPr>
      </w:pPr>
      <w:r>
        <w:rPr>
          <w:b/>
          <w:w w:val="125"/>
          <w:sz w:val="13"/>
        </w:rPr>
        <w:t>H</w:t>
        <w:tab/>
        <w:t>1</w:t>
      </w:r>
    </w:p>
    <w:p>
      <w:pPr>
        <w:spacing w:line="541" w:lineRule="exact" w:before="20"/>
        <w:ind w:left="1305" w:right="0" w:firstLine="0"/>
        <w:jc w:val="left"/>
        <w:rPr>
          <w:i/>
          <w:sz w:val="20"/>
        </w:rPr>
      </w:pPr>
      <w:r>
        <w:rPr>
          <w:w w:val="103"/>
          <w:sz w:val="24"/>
        </w:rPr>
        <w:t>=</w:t>
      </w:r>
      <w:r>
        <w:rPr>
          <w:sz w:val="24"/>
        </w:rPr>
        <w:t> </w:t>
      </w:r>
      <w:r>
        <w:rPr>
          <w:spacing w:val="-23"/>
          <w:sz w:val="24"/>
        </w:rPr>
        <w:t> </w:t>
      </w:r>
      <w:r>
        <w:rPr>
          <w:spacing w:val="-118"/>
          <w:w w:val="121"/>
          <w:position w:val="-12"/>
          <w:sz w:val="29"/>
        </w:rPr>
        <w:t>1</w:t>
      </w:r>
      <w:r>
        <w:rPr>
          <w:spacing w:val="-88"/>
          <w:w w:val="80"/>
          <w:sz w:val="43"/>
        </w:rPr>
        <w:t>r</w:t>
      </w:r>
      <w:r>
        <w:rPr>
          <w:spacing w:val="-43"/>
          <w:w w:val="74"/>
          <w:position w:val="-12"/>
          <w:sz w:val="29"/>
        </w:rPr>
        <w:t>1</w:t>
      </w:r>
      <w:r>
        <w:rPr>
          <w:spacing w:val="-46"/>
          <w:w w:val="47"/>
          <w:position w:val="-12"/>
          <w:sz w:val="29"/>
        </w:rPr>
        <w:t>0</w:t>
      </w:r>
      <w:r>
        <w:rPr>
          <w:w w:val="80"/>
          <w:sz w:val="43"/>
        </w:rPr>
        <w:t>º</w:t>
      </w:r>
      <w:r>
        <w:rPr>
          <w:spacing w:val="-30"/>
          <w:sz w:val="43"/>
        </w:rPr>
        <w:t> </w:t>
      </w:r>
      <w:r>
        <w:rPr>
          <w:i/>
          <w:w w:val="74"/>
          <w:sz w:val="20"/>
        </w:rPr>
        <w:t>(</w:t>
      </w:r>
      <w:r>
        <w:rPr>
          <w:i/>
          <w:spacing w:val="-18"/>
          <w:sz w:val="20"/>
        </w:rPr>
        <w:t> </w:t>
      </w:r>
      <w:r>
        <w:rPr>
          <w:i/>
          <w:w w:val="90"/>
          <w:sz w:val="20"/>
        </w:rPr>
        <w:t>yl,,</w:t>
      </w:r>
      <w:r>
        <w:rPr>
          <w:i/>
          <w:sz w:val="20"/>
        </w:rPr>
        <w:t> </w:t>
      </w:r>
      <w:r>
        <w:rPr>
          <w:i/>
          <w:spacing w:val="-20"/>
          <w:sz w:val="20"/>
        </w:rPr>
        <w:t> </w:t>
      </w:r>
      <w:r>
        <w:rPr>
          <w:w w:val="101"/>
          <w:sz w:val="29"/>
        </w:rPr>
        <w:t>+</w:t>
      </w:r>
      <w:r>
        <w:rPr>
          <w:spacing w:val="20"/>
          <w:sz w:val="29"/>
        </w:rPr>
        <w:t> </w:t>
      </w:r>
      <w:r>
        <w:rPr>
          <w:i/>
          <w:w w:val="111"/>
          <w:sz w:val="20"/>
        </w:rPr>
        <w:t>T.,</w:t>
      </w:r>
      <w:r>
        <w:rPr>
          <w:i/>
          <w:spacing w:val="5"/>
          <w:sz w:val="20"/>
        </w:rPr>
        <w:t> </w:t>
      </w:r>
      <w:r>
        <w:rPr>
          <w:w w:val="282"/>
          <w:sz w:val="20"/>
        </w:rPr>
        <w:t>-</w:t>
      </w:r>
      <w:r>
        <w:rPr>
          <w:spacing w:val="-5"/>
          <w:sz w:val="20"/>
        </w:rPr>
        <w:t> </w:t>
      </w:r>
      <w:r>
        <w:rPr>
          <w:i/>
          <w:spacing w:val="-32"/>
          <w:w w:val="123"/>
          <w:sz w:val="21"/>
        </w:rPr>
        <w:t>1</w:t>
      </w:r>
      <w:r>
        <w:rPr>
          <w:i/>
          <w:w w:val="73"/>
          <w:sz w:val="21"/>
        </w:rPr>
        <w:t>0l10</w:t>
      </w:r>
      <w:r>
        <w:rPr>
          <w:i/>
          <w:sz w:val="21"/>
        </w:rPr>
        <w:t> </w:t>
      </w:r>
      <w:r>
        <w:rPr>
          <w:i/>
          <w:spacing w:val="-18"/>
          <w:sz w:val="21"/>
        </w:rPr>
        <w:t> </w:t>
      </w:r>
      <w:r>
        <w:rPr>
          <w:w w:val="268"/>
          <w:sz w:val="21"/>
        </w:rPr>
        <w:t>-</w:t>
      </w:r>
      <w:r>
        <w:rPr>
          <w:spacing w:val="7"/>
          <w:sz w:val="21"/>
        </w:rPr>
        <w:t> </w:t>
      </w:r>
      <w:r>
        <w:rPr>
          <w:i/>
          <w:w w:val="101"/>
          <w:sz w:val="20"/>
        </w:rPr>
        <w:t>T</w:t>
      </w:r>
      <w:r>
        <w:rPr>
          <w:i/>
          <w:spacing w:val="-29"/>
          <w:w w:val="102"/>
          <w:sz w:val="20"/>
        </w:rPr>
        <w:t>1</w:t>
      </w:r>
      <w:r>
        <w:rPr>
          <w:i/>
          <w:w w:val="64"/>
          <w:sz w:val="20"/>
        </w:rPr>
        <w:t>0</w:t>
      </w:r>
      <w:r>
        <w:rPr>
          <w:i/>
          <w:spacing w:val="-35"/>
          <w:sz w:val="20"/>
        </w:rPr>
        <w:t> </w:t>
      </w:r>
      <w:r>
        <w:rPr>
          <w:i/>
          <w:w w:val="79"/>
          <w:sz w:val="20"/>
        </w:rPr>
        <w:t>)</w:t>
      </w:r>
      <w:r>
        <w:rPr>
          <w:i/>
          <w:sz w:val="20"/>
        </w:rPr>
        <w:t> </w:t>
      </w:r>
      <w:r>
        <w:rPr>
          <w:i/>
          <w:spacing w:val="-10"/>
          <w:sz w:val="20"/>
        </w:rPr>
        <w:t> </w:t>
      </w:r>
      <w:r>
        <w:rPr>
          <w:i/>
          <w:spacing w:val="11"/>
          <w:w w:val="89"/>
          <w:sz w:val="20"/>
        </w:rPr>
        <w:t>d</w:t>
      </w:r>
      <w:r>
        <w:rPr>
          <w:i/>
          <w:w w:val="94"/>
          <w:sz w:val="20"/>
        </w:rPr>
        <w:t>y</w:t>
      </w:r>
    </w:p>
    <w:p>
      <w:pPr>
        <w:spacing w:line="416" w:lineRule="exact" w:before="0"/>
        <w:ind w:left="1305" w:right="0" w:firstLine="0"/>
        <w:jc w:val="left"/>
        <w:rPr>
          <w:sz w:val="42"/>
        </w:rPr>
      </w:pPr>
      <w:r>
        <w:rPr>
          <w:w w:val="94"/>
          <w:sz w:val="26"/>
        </w:rPr>
        <w:t>=</w:t>
      </w:r>
      <w:r>
        <w:rPr>
          <w:spacing w:val="29"/>
          <w:sz w:val="26"/>
        </w:rPr>
        <w:t> </w:t>
      </w:r>
      <w:r>
        <w:rPr>
          <w:i/>
          <w:w w:val="45"/>
          <w:sz w:val="21"/>
        </w:rPr>
        <w:t>[</w:t>
      </w:r>
      <w:r>
        <w:rPr>
          <w:i/>
          <w:spacing w:val="-19"/>
          <w:sz w:val="21"/>
        </w:rPr>
        <w:t> </w:t>
      </w:r>
      <w:r>
        <w:rPr>
          <w:i/>
          <w:w w:val="134"/>
          <w:sz w:val="21"/>
        </w:rPr>
        <w:t>-yT,,</w:t>
      </w:r>
      <w:r>
        <w:rPr>
          <w:i/>
          <w:spacing w:val="11"/>
          <w:sz w:val="21"/>
        </w:rPr>
        <w:t> </w:t>
      </w:r>
      <w:r>
        <w:rPr>
          <w:w w:val="268"/>
          <w:sz w:val="21"/>
        </w:rPr>
        <w:t>-</w:t>
      </w:r>
      <w:r>
        <w:rPr>
          <w:spacing w:val="-11"/>
          <w:sz w:val="21"/>
        </w:rPr>
        <w:t> </w:t>
      </w:r>
      <w:r>
        <w:rPr>
          <w:i/>
          <w:w w:val="105"/>
          <w:sz w:val="21"/>
        </w:rPr>
        <w:t>2Y,,</w:t>
      </w:r>
      <w:r>
        <w:rPr>
          <w:i/>
          <w:spacing w:val="15"/>
          <w:sz w:val="21"/>
        </w:rPr>
        <w:t> </w:t>
      </w:r>
      <w:r>
        <w:rPr>
          <w:w w:val="268"/>
          <w:sz w:val="21"/>
        </w:rPr>
        <w:t>-</w:t>
      </w:r>
      <w:r>
        <w:rPr>
          <w:spacing w:val="-7"/>
          <w:sz w:val="21"/>
        </w:rPr>
        <w:t> </w:t>
      </w:r>
      <w:r>
        <w:rPr>
          <w:i/>
          <w:w w:val="83"/>
          <w:sz w:val="21"/>
        </w:rPr>
        <w:t>70yl10</w:t>
      </w:r>
      <w:r>
        <w:rPr>
          <w:i/>
          <w:sz w:val="21"/>
        </w:rPr>
        <w:t> </w:t>
      </w:r>
      <w:r>
        <w:rPr>
          <w:i/>
          <w:spacing w:val="-20"/>
          <w:sz w:val="21"/>
        </w:rPr>
        <w:t> </w:t>
      </w:r>
      <w:r>
        <w:rPr>
          <w:w w:val="268"/>
          <w:sz w:val="21"/>
        </w:rPr>
        <w:t>-</w:t>
      </w:r>
      <w:r>
        <w:rPr>
          <w:spacing w:val="-7"/>
          <w:sz w:val="21"/>
        </w:rPr>
        <w:t> </w:t>
      </w:r>
      <w:r>
        <w:rPr>
          <w:w w:val="45"/>
          <w:sz w:val="42"/>
        </w:rPr>
        <w:t>yTn</w:t>
      </w:r>
      <w:r>
        <w:rPr>
          <w:spacing w:val="27"/>
          <w:w w:val="45"/>
          <w:sz w:val="42"/>
        </w:rPr>
        <w:t>J</w:t>
      </w:r>
      <w:r>
        <w:rPr>
          <w:spacing w:val="-73"/>
          <w:w w:val="123"/>
          <w:sz w:val="42"/>
        </w:rPr>
        <w:t>:</w:t>
      </w:r>
      <w:r>
        <w:rPr>
          <w:w w:val="115"/>
          <w:sz w:val="42"/>
        </w:rPr>
        <w:t>:</w:t>
      </w:r>
    </w:p>
    <w:p>
      <w:pPr>
        <w:spacing w:line="354" w:lineRule="exact" w:before="0"/>
        <w:ind w:left="1309" w:right="0" w:firstLine="0"/>
        <w:jc w:val="left"/>
        <w:rPr>
          <w:rFonts w:ascii="Arial" w:hAnsi="Arial"/>
          <w:i/>
          <w:sz w:val="19"/>
        </w:rPr>
      </w:pPr>
      <w:r>
        <w:rPr>
          <w:w w:val="100"/>
          <w:sz w:val="24"/>
        </w:rPr>
        <w:t>=</w:t>
      </w:r>
      <w:r>
        <w:rPr>
          <w:sz w:val="24"/>
        </w:rPr>
        <w:t> </w:t>
      </w:r>
      <w:r>
        <w:rPr>
          <w:spacing w:val="-27"/>
          <w:sz w:val="24"/>
        </w:rPr>
        <w:t> </w:t>
      </w:r>
      <w:r>
        <w:rPr>
          <w:w w:val="83"/>
          <w:sz w:val="21"/>
        </w:rPr>
        <w:t>20T20</w:t>
      </w:r>
      <w:r>
        <w:rPr>
          <w:sz w:val="21"/>
        </w:rPr>
        <w:t> </w:t>
      </w:r>
      <w:r>
        <w:rPr>
          <w:spacing w:val="-26"/>
          <w:sz w:val="21"/>
        </w:rPr>
        <w:t> </w:t>
      </w:r>
      <w:r>
        <w:rPr>
          <w:rFonts w:ascii="Arial" w:hAnsi="Arial"/>
          <w:w w:val="106"/>
          <w:sz w:val="32"/>
        </w:rPr>
        <w:t>+</w:t>
      </w:r>
      <w:r>
        <w:rPr>
          <w:rFonts w:ascii="Arial" w:hAnsi="Arial"/>
          <w:spacing w:val="-41"/>
          <w:sz w:val="32"/>
        </w:rPr>
        <w:t> </w:t>
      </w:r>
      <w:r>
        <w:rPr>
          <w:i/>
          <w:w w:val="103"/>
          <w:sz w:val="21"/>
        </w:rPr>
        <w:t>2Y</w:t>
      </w:r>
      <w:r>
        <w:rPr>
          <w:i/>
          <w:spacing w:val="-28"/>
          <w:sz w:val="21"/>
        </w:rPr>
        <w:t> </w:t>
      </w:r>
      <w:r>
        <w:rPr>
          <w:w w:val="89"/>
          <w:sz w:val="13"/>
        </w:rPr>
        <w:t>20</w:t>
      </w:r>
      <w:r>
        <w:rPr>
          <w:sz w:val="13"/>
        </w:rPr>
        <w:t>  </w:t>
      </w:r>
      <w:r>
        <w:rPr>
          <w:spacing w:val="-8"/>
          <w:sz w:val="13"/>
        </w:rPr>
        <w:t> </w:t>
      </w:r>
      <w:r>
        <w:rPr>
          <w:w w:val="435"/>
          <w:sz w:val="13"/>
        </w:rPr>
        <w:t>-</w:t>
      </w:r>
      <w:r>
        <w:rPr>
          <w:spacing w:val="12"/>
          <w:sz w:val="13"/>
        </w:rPr>
        <w:t> </w:t>
      </w:r>
      <w:r>
        <w:rPr>
          <w:w w:val="106"/>
          <w:sz w:val="20"/>
        </w:rPr>
        <w:t>40T'°</w:t>
      </w:r>
      <w:r>
        <w:rPr>
          <w:sz w:val="20"/>
        </w:rPr>
        <w:t> </w:t>
      </w:r>
      <w:r>
        <w:rPr>
          <w:spacing w:val="-18"/>
          <w:sz w:val="20"/>
        </w:rPr>
        <w:t> </w:t>
      </w:r>
      <w:r>
        <w:rPr>
          <w:w w:val="289"/>
          <w:sz w:val="20"/>
        </w:rPr>
        <w:t>-</w:t>
      </w:r>
      <w:r>
        <w:rPr>
          <w:spacing w:val="1"/>
          <w:sz w:val="20"/>
        </w:rPr>
        <w:t> </w:t>
      </w:r>
      <w:r>
        <w:rPr>
          <w:i/>
          <w:w w:val="103"/>
          <w:sz w:val="21"/>
        </w:rPr>
        <w:t>2Y</w:t>
      </w:r>
      <w:r>
        <w:rPr>
          <w:i/>
          <w:spacing w:val="-32"/>
          <w:sz w:val="21"/>
        </w:rPr>
        <w:t> </w:t>
      </w:r>
      <w:r>
        <w:rPr>
          <w:i/>
          <w:spacing w:val="-39"/>
          <w:w w:val="190"/>
          <w:sz w:val="21"/>
        </w:rPr>
        <w:t>,</w:t>
      </w:r>
      <w:r>
        <w:rPr>
          <w:i/>
          <w:w w:val="65"/>
          <w:sz w:val="21"/>
        </w:rPr>
        <w:t>o</w:t>
      </w:r>
      <w:r>
        <w:rPr>
          <w:i/>
          <w:sz w:val="21"/>
        </w:rPr>
        <w:t> </w:t>
      </w:r>
      <w:r>
        <w:rPr>
          <w:i/>
          <w:spacing w:val="-23"/>
          <w:sz w:val="21"/>
        </w:rPr>
        <w:t> </w:t>
      </w:r>
      <w:r>
        <w:rPr>
          <w:w w:val="268"/>
          <w:sz w:val="21"/>
        </w:rPr>
        <w:t>-</w:t>
      </w:r>
      <w:r>
        <w:rPr>
          <w:spacing w:val="4"/>
          <w:sz w:val="21"/>
        </w:rPr>
        <w:t> </w:t>
      </w:r>
      <w:r>
        <w:rPr>
          <w:w w:val="93"/>
          <w:sz w:val="20"/>
        </w:rPr>
        <w:t>20(</w:t>
      </w:r>
      <w:r>
        <w:rPr>
          <w:w w:val="92"/>
          <w:sz w:val="20"/>
        </w:rPr>
        <w:t>70</w:t>
      </w:r>
      <w:r>
        <w:rPr>
          <w:spacing w:val="3"/>
          <w:w w:val="92"/>
          <w:sz w:val="20"/>
        </w:rPr>
        <w:t>Z</w:t>
      </w:r>
      <w:r>
        <w:rPr>
          <w:w w:val="66"/>
          <w:sz w:val="20"/>
        </w:rPr>
        <w:t>10</w:t>
      </w:r>
      <w:r>
        <w:rPr>
          <w:spacing w:val="-17"/>
          <w:sz w:val="20"/>
        </w:rPr>
        <w:t> </w:t>
      </w:r>
      <w:r>
        <w:rPr>
          <w:rFonts w:ascii="Arial" w:hAnsi="Arial"/>
          <w:w w:val="104"/>
          <w:sz w:val="32"/>
        </w:rPr>
        <w:t>+</w:t>
      </w:r>
      <w:r>
        <w:rPr>
          <w:rFonts w:ascii="Arial" w:hAnsi="Arial"/>
          <w:spacing w:val="-48"/>
          <w:sz w:val="32"/>
        </w:rPr>
        <w:t> </w:t>
      </w:r>
      <w:r>
        <w:rPr>
          <w:rFonts w:ascii="Arial" w:hAnsi="Arial"/>
          <w:i/>
          <w:w w:val="76"/>
          <w:sz w:val="19"/>
        </w:rPr>
        <w:t>T1</w:t>
      </w:r>
      <w:r>
        <w:rPr>
          <w:rFonts w:ascii="Arial" w:hAnsi="Arial"/>
          <w:i/>
          <w:spacing w:val="-8"/>
          <w:w w:val="76"/>
          <w:sz w:val="19"/>
        </w:rPr>
        <w:t>0</w:t>
      </w:r>
      <w:r>
        <w:rPr>
          <w:rFonts w:ascii="Arial" w:hAnsi="Arial"/>
          <w:i/>
          <w:w w:val="89"/>
          <w:sz w:val="19"/>
        </w:rPr>
        <w:t>)</w:t>
      </w:r>
      <w:r>
        <w:rPr>
          <w:rFonts w:ascii="Arial" w:hAnsi="Arial"/>
          <w:i/>
          <w:spacing w:val="16"/>
          <w:sz w:val="19"/>
        </w:rPr>
        <w:t> </w:t>
      </w:r>
      <w:r>
        <w:rPr>
          <w:rFonts w:ascii="Arial" w:hAnsi="Arial"/>
          <w:i/>
          <w:w w:val="122"/>
          <w:sz w:val="19"/>
        </w:rPr>
        <w:t>.</w:t>
      </w:r>
    </w:p>
    <w:p>
      <w:pPr>
        <w:spacing w:after="0" w:line="354" w:lineRule="exact"/>
        <w:jc w:val="left"/>
        <w:rPr>
          <w:rFonts w:ascii="Arial" w:hAnsi="Arial"/>
          <w:sz w:val="19"/>
        </w:rPr>
        <w:sectPr>
          <w:type w:val="continuous"/>
          <w:pgSz w:w="7200" w:h="11340"/>
          <w:pgMar w:top="1100" w:bottom="0" w:left="660" w:right="520"/>
        </w:sectPr>
      </w:pPr>
    </w:p>
    <w:p>
      <w:pPr>
        <w:tabs>
          <w:tab w:pos="2138" w:val="left" w:leader="none"/>
          <w:tab w:pos="5385" w:val="left" w:leader="none"/>
        </w:tabs>
        <w:spacing w:before="65"/>
        <w:ind w:left="377" w:right="0" w:hanging="180"/>
        <w:jc w:val="left"/>
        <w:rPr>
          <w:rFonts w:ascii="Arial"/>
          <w:b/>
          <w:sz w:val="19"/>
        </w:rPr>
      </w:pPr>
      <w:r>
        <w:rPr>
          <w:color w:val="010101"/>
          <w:w w:val="105"/>
          <w:position w:val="1"/>
          <w:sz w:val="21"/>
        </w:rPr>
        <w:t>184</w:t>
        <w:tab/>
      </w:r>
      <w:r>
        <w:rPr>
          <w:b/>
          <w:color w:val="010101"/>
          <w:spacing w:val="2"/>
          <w:w w:val="105"/>
          <w:position w:val="1"/>
          <w:sz w:val="14"/>
        </w:rPr>
        <w:t>POPULA</w:t>
      </w:r>
      <w:r>
        <w:rPr>
          <w:color w:val="010101"/>
          <w:spacing w:val="2"/>
          <w:w w:val="105"/>
          <w:position w:val="1"/>
          <w:sz w:val="15"/>
        </w:rPr>
        <w:t>TION </w:t>
      </w:r>
      <w:r>
        <w:rPr>
          <w:color w:val="010101"/>
          <w:spacing w:val="32"/>
          <w:w w:val="105"/>
          <w:position w:val="1"/>
          <w:sz w:val="15"/>
        </w:rPr>
        <w:t> </w:t>
      </w:r>
      <w:r>
        <w:rPr>
          <w:b/>
          <w:color w:val="010101"/>
          <w:w w:val="105"/>
          <w:position w:val="1"/>
          <w:sz w:val="14"/>
        </w:rPr>
        <w:t>THEORY</w:t>
        <w:tab/>
      </w:r>
      <w:r>
        <w:rPr>
          <w:b/>
          <w:color w:val="010101"/>
          <w:w w:val="105"/>
          <w:sz w:val="17"/>
        </w:rPr>
        <w:t>[CH. </w:t>
      </w:r>
      <w:r>
        <w:rPr>
          <w:rFonts w:ascii="Arial"/>
          <w:b/>
          <w:color w:val="010101"/>
          <w:w w:val="105"/>
          <w:sz w:val="19"/>
        </w:rPr>
        <w:t>8</w:t>
      </w:r>
    </w:p>
    <w:p>
      <w:pPr>
        <w:pStyle w:val="BodyText"/>
        <w:spacing w:before="6"/>
        <w:rPr>
          <w:rFonts w:ascii="Arial"/>
          <w:b/>
          <w:sz w:val="18"/>
        </w:rPr>
      </w:pPr>
    </w:p>
    <w:p>
      <w:pPr>
        <w:spacing w:line="276" w:lineRule="auto" w:before="0"/>
        <w:ind w:left="169" w:right="120" w:firstLine="208"/>
        <w:jc w:val="both"/>
        <w:rPr>
          <w:sz w:val="21"/>
        </w:rPr>
      </w:pPr>
      <w:r>
        <w:rPr/>
        <w:pict>
          <v:line style="position:absolute;mso-position-horizontal-relative:page;mso-position-vertical-relative:paragraph;z-index:-720904" from="74.977577pt,10.611959pt" to="77.309417pt,10.611959pt" stroked="true" strokeweight="1.61435pt" strokecolor="#000000">
            <w10:wrap type="none"/>
          </v:line>
        </w:pict>
      </w:r>
      <w:r>
        <w:rPr>
          <w:color w:val="010101"/>
          <w:sz w:val="21"/>
        </w:rPr>
        <w:t>Example 2. Find the average age at death of those persona now living between ages 20 and 70 who die between  ages 60 and   80.</w:t>
      </w:r>
    </w:p>
    <w:p>
      <w:pPr>
        <w:spacing w:line="199" w:lineRule="exact" w:before="0"/>
        <w:ind w:left="366" w:right="0" w:firstLine="0"/>
        <w:jc w:val="left"/>
        <w:rPr>
          <w:sz w:val="21"/>
        </w:rPr>
      </w:pPr>
      <w:r>
        <w:rPr>
          <w:color w:val="010101"/>
          <w:sz w:val="21"/>
        </w:rPr>
        <w:t>Since the two  age intervals  intersect,  the  integrals must  be  ex­</w:t>
      </w:r>
    </w:p>
    <w:p>
      <w:pPr>
        <w:spacing w:line="181" w:lineRule="exact" w:before="0"/>
        <w:ind w:left="169" w:right="0" w:firstLine="0"/>
        <w:jc w:val="both"/>
        <w:rPr>
          <w:sz w:val="21"/>
        </w:rPr>
      </w:pPr>
      <w:r>
        <w:rPr>
          <w:color w:val="010101"/>
          <w:sz w:val="21"/>
        </w:rPr>
        <w:t>pressed as follows:</w:t>
      </w:r>
    </w:p>
    <w:p>
      <w:pPr>
        <w:tabs>
          <w:tab w:pos="3175" w:val="left" w:leader="none"/>
        </w:tabs>
        <w:spacing w:line="331" w:lineRule="exact" w:before="0"/>
        <w:ind w:left="571" w:right="0" w:firstLine="0"/>
        <w:jc w:val="left"/>
        <w:rPr>
          <w:sz w:val="43"/>
        </w:rPr>
      </w:pPr>
      <w:r>
        <w:rPr/>
        <w:pict>
          <v:shape style="position:absolute;margin-left:51.83857pt;margin-top:9.547134pt;width:8.450pt;height:25.5pt;mso-position-horizontal-relative:page;mso-position-vertical-relative:paragraph;z-index:-720880" type="#_x0000_t202" filled="false" stroked="false">
            <v:textbox inset="0,0,0,0">
              <w:txbxContent>
                <w:p>
                  <w:pPr>
                    <w:spacing w:line="510" w:lineRule="exact" w:before="0"/>
                    <w:ind w:left="0" w:right="0" w:firstLine="0"/>
                    <w:jc w:val="left"/>
                    <w:rPr>
                      <w:rFonts w:ascii="Arial"/>
                      <w:i/>
                      <w:sz w:val="51"/>
                    </w:rPr>
                  </w:pPr>
                  <w:r>
                    <w:rPr>
                      <w:rFonts w:ascii="Arial"/>
                      <w:i/>
                      <w:color w:val="010101"/>
                      <w:spacing w:val="-68"/>
                      <w:w w:val="82"/>
                      <w:sz w:val="51"/>
                    </w:rPr>
                    <w:t>1</w:t>
                  </w:r>
                </w:p>
              </w:txbxContent>
            </v:textbox>
            <w10:wrap type="none"/>
          </v:shape>
        </w:pict>
      </w:r>
      <w:r>
        <w:rPr>
          <w:i/>
          <w:color w:val="010101"/>
          <w:w w:val="107"/>
          <w:sz w:val="12"/>
        </w:rPr>
        <w:t>60</w:t>
      </w:r>
      <w:r>
        <w:rPr>
          <w:i/>
          <w:color w:val="010101"/>
          <w:sz w:val="12"/>
        </w:rPr>
        <w:t> </w:t>
      </w:r>
      <w:r>
        <w:rPr>
          <w:i/>
          <w:color w:val="010101"/>
          <w:spacing w:val="8"/>
          <w:sz w:val="12"/>
        </w:rPr>
        <w:t> </w:t>
      </w:r>
      <w:r>
        <w:rPr>
          <w:color w:val="010101"/>
          <w:spacing w:val="-109"/>
          <w:w w:val="122"/>
          <w:sz w:val="43"/>
        </w:rPr>
        <w:t>1</w:t>
      </w:r>
      <w:r>
        <w:rPr>
          <w:color w:val="010101"/>
          <w:w w:val="36"/>
          <w:sz w:val="43"/>
        </w:rPr>
        <w:t>80-.,</w:t>
      </w:r>
      <w:r>
        <w:rPr>
          <w:color w:val="010101"/>
          <w:sz w:val="43"/>
        </w:rPr>
        <w:tab/>
      </w:r>
      <w:r>
        <w:rPr>
          <w:color w:val="010101"/>
          <w:spacing w:val="-109"/>
          <w:w w:val="122"/>
          <w:sz w:val="43"/>
        </w:rPr>
        <w:t>1</w:t>
      </w:r>
      <w:r>
        <w:rPr>
          <w:color w:val="010101"/>
          <w:w w:val="28"/>
          <w:sz w:val="43"/>
        </w:rPr>
        <w:t>70</w:t>
      </w:r>
      <w:r>
        <w:rPr>
          <w:color w:val="010101"/>
          <w:spacing w:val="-31"/>
          <w:sz w:val="43"/>
        </w:rPr>
        <w:t> </w:t>
      </w:r>
      <w:r>
        <w:rPr>
          <w:color w:val="010101"/>
          <w:spacing w:val="-115"/>
          <w:w w:val="125"/>
          <w:sz w:val="43"/>
        </w:rPr>
        <w:t>1</w:t>
      </w:r>
      <w:r>
        <w:rPr>
          <w:color w:val="010101"/>
          <w:w w:val="37"/>
          <w:sz w:val="43"/>
        </w:rPr>
        <w:t>80-.,</w:t>
      </w:r>
    </w:p>
    <w:p>
      <w:pPr>
        <w:tabs>
          <w:tab w:pos="4011" w:val="left" w:leader="none"/>
        </w:tabs>
        <w:spacing w:line="217" w:lineRule="exact" w:before="0"/>
        <w:ind w:left="1256" w:right="0" w:firstLine="0"/>
        <w:jc w:val="left"/>
        <w:rPr>
          <w:b/>
          <w:i/>
          <w:sz w:val="21"/>
        </w:rPr>
      </w:pPr>
      <w:r>
        <w:rPr>
          <w:rFonts w:ascii="Arial" w:hAnsi="Arial"/>
          <w:b/>
          <w:i/>
          <w:color w:val="010101"/>
          <w:w w:val="95"/>
          <w:sz w:val="19"/>
        </w:rPr>
        <w:t>J(</w:t>
      </w:r>
      <w:r>
        <w:rPr>
          <w:rFonts w:ascii="Arial" w:hAnsi="Arial"/>
          <w:b/>
          <w:i/>
          <w:color w:val="010101"/>
          <w:spacing w:val="-25"/>
          <w:w w:val="95"/>
          <w:sz w:val="19"/>
        </w:rPr>
        <w:t> </w:t>
      </w:r>
      <w:r>
        <w:rPr>
          <w:rFonts w:ascii="Arial" w:hAnsi="Arial"/>
          <w:b/>
          <w:i/>
          <w:color w:val="010101"/>
          <w:w w:val="95"/>
          <w:sz w:val="19"/>
        </w:rPr>
        <w:t>y</w:t>
      </w:r>
      <w:r>
        <w:rPr>
          <w:rFonts w:ascii="Arial" w:hAnsi="Arial"/>
          <w:b/>
          <w:i/>
          <w:color w:val="010101"/>
          <w:spacing w:val="-35"/>
          <w:w w:val="95"/>
          <w:sz w:val="19"/>
        </w:rPr>
        <w:t> </w:t>
      </w:r>
      <w:r>
        <w:rPr>
          <w:rFonts w:ascii="Arial" w:hAnsi="Arial"/>
          <w:b/>
          <w:i/>
          <w:color w:val="010101"/>
          <w:w w:val="95"/>
          <w:sz w:val="19"/>
        </w:rPr>
        <w:t>,t</w:t>
      </w:r>
      <w:r>
        <w:rPr>
          <w:rFonts w:ascii="Arial" w:hAnsi="Arial"/>
          <w:b/>
          <w:i/>
          <w:color w:val="010101"/>
          <w:spacing w:val="-27"/>
          <w:w w:val="95"/>
          <w:sz w:val="19"/>
        </w:rPr>
        <w:t> </w:t>
      </w:r>
      <w:r>
        <w:rPr>
          <w:rFonts w:ascii="Arial" w:hAnsi="Arial"/>
          <w:b/>
          <w:i/>
          <w:color w:val="010101"/>
          <w:w w:val="95"/>
          <w:sz w:val="19"/>
        </w:rPr>
        <w:t>)lfl+tl'v+t</w:t>
      </w:r>
      <w:r>
        <w:rPr>
          <w:rFonts w:ascii="Arial" w:hAnsi="Arial"/>
          <w:b/>
          <w:i/>
          <w:color w:val="010101"/>
          <w:spacing w:val="23"/>
          <w:w w:val="95"/>
          <w:sz w:val="19"/>
        </w:rPr>
        <w:t> </w:t>
      </w:r>
      <w:r>
        <w:rPr>
          <w:b/>
          <w:i/>
          <w:color w:val="010101"/>
          <w:w w:val="95"/>
          <w:sz w:val="21"/>
        </w:rPr>
        <w:t>dt</w:t>
      </w:r>
      <w:r>
        <w:rPr>
          <w:b/>
          <w:i/>
          <w:color w:val="010101"/>
          <w:spacing w:val="4"/>
          <w:w w:val="95"/>
          <w:sz w:val="21"/>
        </w:rPr>
        <w:t> </w:t>
      </w:r>
      <w:r>
        <w:rPr>
          <w:b/>
          <w:i/>
          <w:color w:val="010101"/>
          <w:spacing w:val="5"/>
          <w:w w:val="95"/>
          <w:sz w:val="21"/>
        </w:rPr>
        <w:t>dy</w:t>
      </w:r>
      <w:r>
        <w:rPr>
          <w:b/>
          <w:i/>
          <w:color w:val="010101"/>
          <w:spacing w:val="18"/>
          <w:w w:val="95"/>
          <w:sz w:val="21"/>
        </w:rPr>
        <w:t> </w:t>
      </w:r>
      <w:r>
        <w:rPr>
          <w:rFonts w:ascii="Arial" w:hAnsi="Arial"/>
          <w:color w:val="010101"/>
          <w:w w:val="95"/>
          <w:sz w:val="31"/>
        </w:rPr>
        <w:t>+</w:t>
        <w:tab/>
      </w:r>
      <w:r>
        <w:rPr>
          <w:rFonts w:ascii="Arial" w:hAnsi="Arial"/>
          <w:b/>
          <w:i/>
          <w:color w:val="010101"/>
          <w:w w:val="85"/>
          <w:sz w:val="19"/>
        </w:rPr>
        <w:t>J( </w:t>
      </w:r>
      <w:r>
        <w:rPr>
          <w:rFonts w:ascii="Arial" w:hAnsi="Arial"/>
          <w:b/>
          <w:i/>
          <w:color w:val="010101"/>
          <w:spacing w:val="-3"/>
          <w:w w:val="85"/>
          <w:sz w:val="19"/>
        </w:rPr>
        <w:t>y,t </w:t>
      </w:r>
      <w:r>
        <w:rPr>
          <w:rFonts w:ascii="Arial" w:hAnsi="Arial"/>
          <w:b/>
          <w:i/>
          <w:color w:val="010101"/>
          <w:w w:val="85"/>
          <w:sz w:val="19"/>
        </w:rPr>
        <w:t>)l11+el'v+• </w:t>
      </w:r>
      <w:r>
        <w:rPr>
          <w:b/>
          <w:i/>
          <w:color w:val="010101"/>
          <w:w w:val="85"/>
          <w:sz w:val="21"/>
        </w:rPr>
        <w:t>dt</w:t>
      </w:r>
      <w:r>
        <w:rPr>
          <w:b/>
          <w:i/>
          <w:color w:val="010101"/>
          <w:spacing w:val="-17"/>
          <w:w w:val="85"/>
          <w:sz w:val="21"/>
        </w:rPr>
        <w:t> </w:t>
      </w:r>
      <w:r>
        <w:rPr>
          <w:b/>
          <w:i/>
          <w:color w:val="010101"/>
          <w:spacing w:val="2"/>
          <w:w w:val="85"/>
          <w:sz w:val="21"/>
        </w:rPr>
        <w:t>dy,</w:t>
      </w:r>
    </w:p>
    <w:p>
      <w:pPr>
        <w:tabs>
          <w:tab w:pos="854" w:val="left" w:leader="none"/>
          <w:tab w:pos="3257" w:val="left" w:leader="none"/>
          <w:tab w:pos="3613" w:val="left" w:leader="none"/>
        </w:tabs>
        <w:spacing w:line="117" w:lineRule="exact" w:before="0"/>
        <w:ind w:left="499" w:right="0" w:firstLine="0"/>
        <w:jc w:val="left"/>
        <w:rPr>
          <w:rFonts w:ascii="Arial"/>
          <w:sz w:val="11"/>
        </w:rPr>
      </w:pPr>
      <w:r>
        <w:rPr>
          <w:b/>
          <w:color w:val="010101"/>
          <w:sz w:val="13"/>
        </w:rPr>
        <w:t>20</w:t>
        <w:tab/>
        <w:t>16-J,</w:t>
        <w:tab/>
        <w:t>10</w:t>
        <w:tab/>
      </w:r>
      <w:r>
        <w:rPr>
          <w:rFonts w:ascii="Arial"/>
          <w:color w:val="010101"/>
          <w:sz w:val="11"/>
        </w:rPr>
        <w:t>O</w:t>
      </w:r>
    </w:p>
    <w:p>
      <w:pPr>
        <w:spacing w:line="230" w:lineRule="auto" w:before="97"/>
        <w:ind w:left="162" w:right="128" w:firstLine="3"/>
        <w:jc w:val="both"/>
        <w:rPr>
          <w:sz w:val="21"/>
        </w:rPr>
      </w:pPr>
      <w:r>
        <w:rPr>
          <w:color w:val="010101"/>
          <w:sz w:val="21"/>
        </w:rPr>
        <w:t>where </w:t>
      </w:r>
      <w:r>
        <w:rPr>
          <w:rFonts w:ascii="Arial"/>
          <w:i/>
          <w:color w:val="010101"/>
          <w:sz w:val="25"/>
        </w:rPr>
        <w:t>f </w:t>
      </w:r>
      <w:r>
        <w:rPr>
          <w:rFonts w:ascii="Arial"/>
          <w:i/>
          <w:color w:val="010101"/>
          <w:sz w:val="19"/>
        </w:rPr>
        <w:t>(y,t ) </w:t>
      </w:r>
      <w:r>
        <w:rPr>
          <w:rFonts w:ascii="Arial"/>
          <w:i/>
          <w:color w:val="010101"/>
          <w:w w:val="95"/>
          <w:sz w:val="21"/>
        </w:rPr>
        <w:t>== </w:t>
      </w:r>
      <w:r>
        <w:rPr>
          <w:color w:val="010101"/>
          <w:sz w:val="21"/>
        </w:rPr>
        <w:t>I for the number of deaths and </w:t>
      </w:r>
      <w:r>
        <w:rPr>
          <w:rFonts w:ascii="Arial"/>
          <w:i/>
          <w:color w:val="010101"/>
          <w:sz w:val="25"/>
        </w:rPr>
        <w:t>f </w:t>
      </w:r>
      <w:r>
        <w:rPr>
          <w:rFonts w:ascii="Arial"/>
          <w:i/>
          <w:color w:val="010101"/>
          <w:sz w:val="19"/>
        </w:rPr>
        <w:t>(y,t) </w:t>
      </w:r>
      <w:r>
        <w:rPr>
          <w:color w:val="010101"/>
          <w:sz w:val="29"/>
        </w:rPr>
        <w:t>= </w:t>
      </w:r>
      <w:r>
        <w:rPr>
          <w:rFonts w:ascii="Arial"/>
          <w:i/>
          <w:color w:val="010101"/>
          <w:sz w:val="19"/>
        </w:rPr>
        <w:t>y </w:t>
      </w:r>
      <w:r>
        <w:rPr>
          <w:color w:val="010101"/>
          <w:sz w:val="29"/>
        </w:rPr>
        <w:t>+ </w:t>
      </w:r>
      <w:r>
        <w:rPr>
          <w:rFonts w:ascii="Arial"/>
          <w:i/>
          <w:color w:val="010101"/>
          <w:sz w:val="19"/>
        </w:rPr>
        <w:t>t </w:t>
      </w:r>
      <w:r>
        <w:rPr>
          <w:color w:val="010101"/>
          <w:sz w:val="21"/>
        </w:rPr>
        <w:t>for the total lifetime. The student may verify that the average age at death is</w:t>
      </w:r>
    </w:p>
    <w:p>
      <w:pPr>
        <w:spacing w:line="311" w:lineRule="exact" w:before="43"/>
        <w:ind w:left="164" w:right="279" w:firstLine="0"/>
        <w:jc w:val="center"/>
        <w:rPr>
          <w:sz w:val="21"/>
        </w:rPr>
      </w:pPr>
      <w:r>
        <w:rPr>
          <w:b/>
          <w:color w:val="010101"/>
          <w:w w:val="81"/>
          <w:sz w:val="21"/>
        </w:rPr>
        <w:t>2400leo</w:t>
      </w:r>
      <w:r>
        <w:rPr>
          <w:b/>
          <w:color w:val="010101"/>
          <w:spacing w:val="24"/>
          <w:sz w:val="21"/>
        </w:rPr>
        <w:t> </w:t>
      </w:r>
      <w:r>
        <w:rPr>
          <w:color w:val="010101"/>
          <w:spacing w:val="17"/>
          <w:w w:val="267"/>
          <w:sz w:val="21"/>
        </w:rPr>
        <w:t>-</w:t>
      </w:r>
      <w:r>
        <w:rPr>
          <w:b/>
          <w:color w:val="010101"/>
          <w:w w:val="82"/>
          <w:sz w:val="21"/>
        </w:rPr>
        <w:t>4000lao</w:t>
      </w:r>
      <w:r>
        <w:rPr>
          <w:b/>
          <w:color w:val="010101"/>
          <w:spacing w:val="7"/>
          <w:sz w:val="21"/>
        </w:rPr>
        <w:t> </w:t>
      </w:r>
      <w:r>
        <w:rPr>
          <w:rFonts w:ascii="Arial" w:hAnsi="Arial"/>
          <w:color w:val="010101"/>
          <w:w w:val="105"/>
          <w:sz w:val="31"/>
        </w:rPr>
        <w:t>+</w:t>
      </w:r>
      <w:r>
        <w:rPr>
          <w:rFonts w:ascii="Arial" w:hAnsi="Arial"/>
          <w:color w:val="010101"/>
          <w:spacing w:val="-34"/>
          <w:sz w:val="31"/>
        </w:rPr>
        <w:t> </w:t>
      </w:r>
      <w:r>
        <w:rPr>
          <w:b/>
          <w:color w:val="010101"/>
          <w:w w:val="73"/>
          <w:sz w:val="21"/>
        </w:rPr>
        <w:t>lOOTso</w:t>
      </w:r>
      <w:r>
        <w:rPr>
          <w:b/>
          <w:color w:val="010101"/>
          <w:sz w:val="21"/>
        </w:rPr>
        <w:t> </w:t>
      </w:r>
      <w:r>
        <w:rPr>
          <w:b/>
          <w:color w:val="010101"/>
          <w:spacing w:val="-22"/>
          <w:sz w:val="21"/>
        </w:rPr>
        <w:t> </w:t>
      </w:r>
      <w:r>
        <w:rPr>
          <w:color w:val="010101"/>
          <w:w w:val="260"/>
          <w:sz w:val="21"/>
        </w:rPr>
        <w:t>-</w:t>
      </w:r>
      <w:r>
        <w:rPr>
          <w:color w:val="010101"/>
          <w:spacing w:val="-17"/>
          <w:sz w:val="21"/>
        </w:rPr>
        <w:t> </w:t>
      </w:r>
      <w:r>
        <w:rPr>
          <w:color w:val="010101"/>
          <w:w w:val="81"/>
          <w:sz w:val="21"/>
        </w:rPr>
        <w:t>70T70</w:t>
      </w:r>
      <w:r>
        <w:rPr>
          <w:color w:val="010101"/>
          <w:spacing w:val="14"/>
          <w:sz w:val="21"/>
        </w:rPr>
        <w:t> </w:t>
      </w:r>
      <w:r>
        <w:rPr>
          <w:color w:val="010101"/>
          <w:w w:val="267"/>
          <w:sz w:val="21"/>
        </w:rPr>
        <w:t>-</w:t>
      </w:r>
      <w:r>
        <w:rPr>
          <w:color w:val="010101"/>
          <w:spacing w:val="-18"/>
          <w:sz w:val="21"/>
        </w:rPr>
        <w:t> </w:t>
      </w:r>
      <w:r>
        <w:rPr>
          <w:color w:val="010101"/>
          <w:w w:val="83"/>
          <w:sz w:val="21"/>
        </w:rPr>
        <w:t>50Ta</w:t>
      </w:r>
      <w:r>
        <w:rPr>
          <w:color w:val="010101"/>
          <w:w w:val="84"/>
          <w:sz w:val="21"/>
          <w:u w:val="single" w:color="000000"/>
        </w:rPr>
        <w:t>o</w:t>
      </w:r>
      <w:r>
        <w:rPr>
          <w:color w:val="010101"/>
          <w:spacing w:val="6"/>
          <w:sz w:val="21"/>
        </w:rPr>
        <w:t> </w:t>
      </w:r>
      <w:r>
        <w:rPr>
          <w:rFonts w:ascii="Arial" w:hAnsi="Arial"/>
          <w:color w:val="010101"/>
          <w:w w:val="102"/>
          <w:sz w:val="31"/>
        </w:rPr>
        <w:t>+</w:t>
      </w:r>
      <w:r>
        <w:rPr>
          <w:rFonts w:ascii="Arial" w:hAnsi="Arial"/>
          <w:color w:val="010101"/>
          <w:spacing w:val="-47"/>
          <w:sz w:val="31"/>
        </w:rPr>
        <w:t> </w:t>
      </w:r>
      <w:r>
        <w:rPr>
          <w:color w:val="010101"/>
          <w:sz w:val="21"/>
        </w:rPr>
        <w:t>2(</w:t>
      </w:r>
      <w:r>
        <w:rPr>
          <w:color w:val="010101"/>
          <w:spacing w:val="-9"/>
          <w:sz w:val="21"/>
        </w:rPr>
        <w:t> </w:t>
      </w:r>
      <w:r>
        <w:rPr>
          <w:i/>
          <w:color w:val="010101"/>
          <w:w w:val="95"/>
          <w:sz w:val="23"/>
        </w:rPr>
        <w:t>Y'°</w:t>
      </w:r>
      <w:r>
        <w:rPr>
          <w:i/>
          <w:color w:val="010101"/>
          <w:spacing w:val="-4"/>
          <w:sz w:val="23"/>
        </w:rPr>
        <w:t> </w:t>
      </w:r>
      <w:r>
        <w:rPr>
          <w:color w:val="010101"/>
          <w:w w:val="244"/>
          <w:sz w:val="23"/>
        </w:rPr>
        <w:t>-</w:t>
      </w:r>
      <w:r>
        <w:rPr>
          <w:color w:val="010101"/>
          <w:spacing w:val="-12"/>
          <w:sz w:val="23"/>
        </w:rPr>
        <w:t> </w:t>
      </w:r>
      <w:r>
        <w:rPr>
          <w:color w:val="010101"/>
          <w:w w:val="67"/>
          <w:sz w:val="21"/>
        </w:rPr>
        <w:t>Y70</w:t>
      </w:r>
      <w:r>
        <w:rPr>
          <w:color w:val="010101"/>
          <w:spacing w:val="-19"/>
          <w:sz w:val="21"/>
        </w:rPr>
        <w:t> </w:t>
      </w:r>
      <w:r>
        <w:rPr>
          <w:color w:val="010101"/>
          <w:w w:val="86"/>
          <w:sz w:val="21"/>
        </w:rPr>
        <w:t>)</w:t>
      </w:r>
    </w:p>
    <w:p>
      <w:pPr>
        <w:spacing w:line="288" w:lineRule="exact" w:before="0"/>
        <w:ind w:left="293" w:right="404" w:firstLine="0"/>
        <w:jc w:val="center"/>
        <w:rPr>
          <w:b/>
          <w:i/>
          <w:sz w:val="23"/>
        </w:rPr>
      </w:pPr>
      <w:r>
        <w:rPr>
          <w:b/>
          <w:color w:val="010101"/>
          <w:w w:val="95"/>
          <w:sz w:val="21"/>
        </w:rPr>
        <w:t>40Z.0 </w:t>
      </w:r>
      <w:r>
        <w:rPr>
          <w:color w:val="010101"/>
          <w:w w:val="225"/>
          <w:sz w:val="21"/>
        </w:rPr>
        <w:t>-</w:t>
      </w:r>
      <w:r>
        <w:rPr>
          <w:color w:val="010101"/>
          <w:spacing w:val="-101"/>
          <w:w w:val="225"/>
          <w:sz w:val="21"/>
        </w:rPr>
        <w:t> </w:t>
      </w:r>
      <w:r>
        <w:rPr>
          <w:b/>
          <w:color w:val="010101"/>
          <w:w w:val="95"/>
          <w:sz w:val="21"/>
        </w:rPr>
        <w:t>50lso </w:t>
      </w:r>
      <w:r>
        <w:rPr>
          <w:color w:val="010101"/>
          <w:w w:val="120"/>
          <w:sz w:val="29"/>
        </w:rPr>
        <w:t>+</w:t>
      </w:r>
      <w:r>
        <w:rPr>
          <w:color w:val="010101"/>
          <w:spacing w:val="-55"/>
          <w:w w:val="120"/>
          <w:sz w:val="29"/>
        </w:rPr>
        <w:t> </w:t>
      </w:r>
      <w:r>
        <w:rPr>
          <w:b/>
          <w:i/>
          <w:color w:val="010101"/>
          <w:w w:val="95"/>
          <w:sz w:val="23"/>
        </w:rPr>
        <w:t>T,o </w:t>
      </w:r>
      <w:r>
        <w:rPr>
          <w:color w:val="010101"/>
          <w:w w:val="210"/>
          <w:sz w:val="23"/>
        </w:rPr>
        <w:t>-</w:t>
      </w:r>
      <w:r>
        <w:rPr>
          <w:color w:val="010101"/>
          <w:spacing w:val="-99"/>
          <w:w w:val="210"/>
          <w:sz w:val="23"/>
        </w:rPr>
        <w:t> </w:t>
      </w:r>
      <w:r>
        <w:rPr>
          <w:b/>
          <w:i/>
          <w:color w:val="010101"/>
          <w:w w:val="95"/>
          <w:sz w:val="23"/>
        </w:rPr>
        <w:t>T70</w:t>
      </w:r>
    </w:p>
    <w:p>
      <w:pPr>
        <w:spacing w:line="232" w:lineRule="auto" w:before="77"/>
        <w:ind w:left="151" w:right="134" w:firstLine="208"/>
        <w:jc w:val="both"/>
        <w:rPr>
          <w:sz w:val="21"/>
        </w:rPr>
      </w:pPr>
      <w:r>
        <w:rPr>
          <w:color w:val="010101"/>
          <w:sz w:val="22"/>
        </w:rPr>
        <w:t>It </w:t>
      </w:r>
      <w:r>
        <w:rPr>
          <w:color w:val="010101"/>
          <w:sz w:val="21"/>
        </w:rPr>
        <w:t>is interesting to note that if </w:t>
      </w:r>
      <w:r>
        <w:rPr>
          <w:rFonts w:ascii="Arial" w:hAnsi="Arial"/>
          <w:color w:val="010101"/>
          <w:sz w:val="18"/>
        </w:rPr>
        <w:t>t1 </w:t>
      </w:r>
      <w:r>
        <w:rPr>
          <w:color w:val="010101"/>
          <w:sz w:val="27"/>
        </w:rPr>
        <w:t>= </w:t>
      </w:r>
      <w:r>
        <w:rPr>
          <w:rFonts w:ascii="Arial" w:hAnsi="Arial"/>
          <w:color w:val="010101"/>
          <w:sz w:val="18"/>
        </w:rPr>
        <w:t>O </w:t>
      </w:r>
      <w:r>
        <w:rPr>
          <w:color w:val="010101"/>
          <w:sz w:val="21"/>
        </w:rPr>
        <w:t>and </w:t>
      </w:r>
      <w:r>
        <w:rPr>
          <w:rFonts w:ascii="Arial" w:hAnsi="Arial"/>
          <w:i/>
          <w:color w:val="010101"/>
          <w:sz w:val="18"/>
        </w:rPr>
        <w:t>t</w:t>
      </w:r>
      <w:r>
        <w:rPr>
          <w:i/>
          <w:color w:val="010101"/>
          <w:position w:val="-1"/>
          <w:sz w:val="13"/>
        </w:rPr>
        <w:t>1 </w:t>
      </w:r>
      <w:r>
        <w:rPr>
          <w:color w:val="010101"/>
          <w:sz w:val="27"/>
        </w:rPr>
        <w:t>= </w:t>
      </w:r>
      <w:r>
        <w:rPr>
          <w:color w:val="010101"/>
          <w:sz w:val="17"/>
        </w:rPr>
        <w:t>oo , </w:t>
      </w:r>
      <w:r>
        <w:rPr>
          <w:color w:val="010101"/>
          <w:sz w:val="21"/>
        </w:rPr>
        <w:t>the four formu­ las obtained from (8.15) by using the four different forms of /{y,t ) reduce to the four formulas given on page  182. It  is clear that   thia</w:t>
      </w:r>
    </w:p>
    <w:p>
      <w:pPr>
        <w:spacing w:line="249" w:lineRule="exact" w:before="0"/>
        <w:ind w:left="154" w:right="0" w:hanging="4"/>
        <w:jc w:val="both"/>
        <w:rPr>
          <w:sz w:val="21"/>
        </w:rPr>
      </w:pPr>
      <w:r>
        <w:rPr>
          <w:color w:val="010101"/>
          <w:sz w:val="21"/>
        </w:rPr>
        <w:t>should be so, since setting </w:t>
      </w:r>
      <w:r>
        <w:rPr>
          <w:rFonts w:ascii="Arial"/>
          <w:color w:val="010101"/>
          <w:sz w:val="18"/>
        </w:rPr>
        <w:t>t1 </w:t>
      </w:r>
      <w:r>
        <w:rPr>
          <w:color w:val="010101"/>
          <w:sz w:val="26"/>
        </w:rPr>
        <w:t>= </w:t>
      </w:r>
      <w:r>
        <w:rPr>
          <w:rFonts w:ascii="Arial"/>
          <w:color w:val="010101"/>
          <w:sz w:val="18"/>
        </w:rPr>
        <w:t>O </w:t>
      </w:r>
      <w:r>
        <w:rPr>
          <w:color w:val="010101"/>
          <w:sz w:val="21"/>
        </w:rPr>
        <w:t>and </w:t>
      </w:r>
      <w:r>
        <w:rPr>
          <w:rFonts w:ascii="Arial"/>
          <w:i/>
          <w:color w:val="010101"/>
          <w:sz w:val="17"/>
        </w:rPr>
        <w:t>t2 </w:t>
      </w:r>
      <w:r>
        <w:rPr>
          <w:color w:val="010101"/>
          <w:sz w:val="26"/>
        </w:rPr>
        <w:t>=  </w:t>
      </w:r>
      <w:r>
        <w:rPr>
          <w:rFonts w:ascii="Arial"/>
          <w:color w:val="010101"/>
          <w:sz w:val="15"/>
        </w:rPr>
        <w:t>oo  </w:t>
      </w:r>
      <w:r>
        <w:rPr>
          <w:color w:val="010101"/>
          <w:sz w:val="21"/>
        </w:rPr>
        <w:t>merely eliminates the</w:t>
      </w:r>
    </w:p>
    <w:p>
      <w:pPr>
        <w:spacing w:line="196" w:lineRule="auto" w:before="28"/>
        <w:ind w:left="348" w:right="138" w:hanging="194"/>
        <w:jc w:val="left"/>
        <w:rPr>
          <w:sz w:val="21"/>
        </w:rPr>
      </w:pPr>
      <w:r>
        <w:rPr>
          <w:color w:val="010101"/>
          <w:sz w:val="21"/>
        </w:rPr>
        <w:t>requirement of any specified  conditions on the time of the deathe. If in addition </w:t>
      </w:r>
      <w:r>
        <w:rPr>
          <w:rFonts w:ascii="Arial"/>
          <w:color w:val="010101"/>
          <w:sz w:val="18"/>
        </w:rPr>
        <w:t>Y1 </w:t>
      </w:r>
      <w:r>
        <w:rPr>
          <w:color w:val="010101"/>
          <w:sz w:val="26"/>
        </w:rPr>
        <w:t>= </w:t>
      </w:r>
      <w:r>
        <w:rPr>
          <w:i/>
          <w:color w:val="010101"/>
          <w:sz w:val="20"/>
        </w:rPr>
        <w:t>x </w:t>
      </w:r>
      <w:r>
        <w:rPr>
          <w:color w:val="010101"/>
          <w:sz w:val="21"/>
        </w:rPr>
        <w:t>and </w:t>
      </w:r>
      <w:r>
        <w:rPr>
          <w:rFonts w:ascii="Arial"/>
          <w:color w:val="010101"/>
          <w:sz w:val="18"/>
        </w:rPr>
        <w:t>Y2 </w:t>
      </w:r>
      <w:r>
        <w:rPr>
          <w:color w:val="010101"/>
          <w:sz w:val="26"/>
        </w:rPr>
        <w:t>=  </w:t>
      </w:r>
      <w:r>
        <w:rPr>
          <w:color w:val="010101"/>
          <w:sz w:val="17"/>
        </w:rPr>
        <w:t>oo , </w:t>
      </w:r>
      <w:r>
        <w:rPr>
          <w:color w:val="010101"/>
          <w:sz w:val="21"/>
        </w:rPr>
        <w:t>thenf </w:t>
      </w:r>
      <w:r>
        <w:rPr>
          <w:rFonts w:ascii="Arial"/>
          <w:i/>
          <w:color w:val="010101"/>
          <w:spacing w:val="2"/>
          <w:sz w:val="19"/>
        </w:rPr>
        <w:t>(y,t) </w:t>
      </w:r>
      <w:r>
        <w:rPr>
          <w:color w:val="010101"/>
          <w:sz w:val="25"/>
        </w:rPr>
        <w:t>= </w:t>
      </w:r>
      <w:r>
        <w:rPr>
          <w:color w:val="010101"/>
          <w:sz w:val="21"/>
        </w:rPr>
        <w:t>1leads to </w:t>
      </w:r>
      <w:r>
        <w:rPr>
          <w:i/>
          <w:color w:val="010101"/>
          <w:sz w:val="22"/>
        </w:rPr>
        <w:t>T:s</w:t>
      </w:r>
      <w:r>
        <w:rPr>
          <w:i/>
          <w:color w:val="010101"/>
          <w:spacing w:val="28"/>
          <w:sz w:val="22"/>
        </w:rPr>
        <w:t> </w:t>
      </w:r>
      <w:r>
        <w:rPr>
          <w:color w:val="010101"/>
          <w:sz w:val="21"/>
        </w:rPr>
        <w:t>and</w:t>
      </w:r>
    </w:p>
    <w:p>
      <w:pPr>
        <w:spacing w:line="248" w:lineRule="exact" w:before="0"/>
        <w:ind w:left="147" w:right="0" w:hanging="29"/>
        <w:jc w:val="both"/>
        <w:rPr>
          <w:sz w:val="21"/>
        </w:rPr>
      </w:pPr>
      <w:r>
        <w:rPr>
          <w:i/>
          <w:color w:val="010101"/>
          <w:sz w:val="20"/>
        </w:rPr>
        <w:t>J ( y,t ) </w:t>
      </w:r>
      <w:r>
        <w:rPr>
          <w:color w:val="010101"/>
          <w:sz w:val="26"/>
        </w:rPr>
        <w:t>= </w:t>
      </w:r>
      <w:r>
        <w:rPr>
          <w:i/>
          <w:color w:val="010101"/>
          <w:sz w:val="20"/>
        </w:rPr>
        <w:t>y </w:t>
      </w:r>
      <w:r>
        <w:rPr>
          <w:rFonts w:ascii="Arial" w:hAnsi="Arial"/>
          <w:color w:val="010101"/>
          <w:sz w:val="31"/>
        </w:rPr>
        <w:t>+</w:t>
      </w:r>
      <w:r>
        <w:rPr>
          <w:rFonts w:ascii="Arial" w:hAnsi="Arial"/>
          <w:color w:val="010101"/>
          <w:spacing w:val="-52"/>
          <w:sz w:val="31"/>
        </w:rPr>
        <w:t> </w:t>
      </w:r>
      <w:r>
        <w:rPr>
          <w:rFonts w:ascii="Arial" w:hAnsi="Arial"/>
          <w:i/>
          <w:color w:val="010101"/>
          <w:sz w:val="19"/>
        </w:rPr>
        <w:t>t </w:t>
      </w:r>
      <w:r>
        <w:rPr>
          <w:color w:val="010101"/>
          <w:sz w:val="21"/>
        </w:rPr>
        <w:t>leads to </w:t>
      </w:r>
      <w:r>
        <w:rPr>
          <w:rFonts w:ascii="Arial" w:hAnsi="Arial"/>
          <w:i/>
          <w:color w:val="010101"/>
          <w:sz w:val="20"/>
        </w:rPr>
        <w:t>xT:r </w:t>
      </w:r>
      <w:r>
        <w:rPr>
          <w:rFonts w:ascii="Arial" w:hAnsi="Arial"/>
          <w:color w:val="010101"/>
          <w:sz w:val="31"/>
        </w:rPr>
        <w:t>+</w:t>
      </w:r>
      <w:r>
        <w:rPr>
          <w:rFonts w:ascii="Arial" w:hAnsi="Arial"/>
          <w:color w:val="010101"/>
          <w:spacing w:val="-54"/>
          <w:sz w:val="31"/>
        </w:rPr>
        <w:t> </w:t>
      </w:r>
      <w:r>
        <w:rPr>
          <w:color w:val="010101"/>
          <w:sz w:val="21"/>
        </w:rPr>
        <w:t>2Y:s </w:t>
      </w:r>
      <w:r>
        <w:rPr>
          <w:color w:val="010101"/>
          <w:w w:val="110"/>
          <w:sz w:val="21"/>
        </w:rPr>
        <w:t>. </w:t>
      </w:r>
      <w:r>
        <w:rPr>
          <w:color w:val="010101"/>
          <w:sz w:val="21"/>
        </w:rPr>
        <w:t>This result wBB previously ob­</w:t>
      </w:r>
    </w:p>
    <w:p>
      <w:pPr>
        <w:spacing w:line="240" w:lineRule="auto" w:before="0"/>
        <w:ind w:left="140" w:right="132" w:firstLine="7"/>
        <w:jc w:val="both"/>
        <w:rPr>
          <w:sz w:val="21"/>
        </w:rPr>
      </w:pPr>
      <w:r>
        <w:rPr>
          <w:color w:val="010101"/>
          <w:sz w:val="21"/>
        </w:rPr>
        <w:t>tained on page 181 in considering the average age at death for all lives aged </w:t>
      </w:r>
      <w:r>
        <w:rPr>
          <w:rFonts w:ascii="Arial"/>
          <w:i/>
          <w:color w:val="010101"/>
          <w:sz w:val="19"/>
        </w:rPr>
        <w:t>x </w:t>
      </w:r>
      <w:r>
        <w:rPr>
          <w:color w:val="010101"/>
          <w:sz w:val="21"/>
        </w:rPr>
        <w:t>and over.</w:t>
      </w:r>
    </w:p>
    <w:p>
      <w:pPr>
        <w:spacing w:line="218" w:lineRule="auto" w:before="13"/>
        <w:ind w:left="133" w:right="127" w:firstLine="204"/>
        <w:jc w:val="both"/>
        <w:rPr>
          <w:i/>
          <w:sz w:val="22"/>
        </w:rPr>
      </w:pPr>
      <w:r>
        <w:rPr>
          <w:color w:val="010101"/>
          <w:sz w:val="21"/>
        </w:rPr>
        <w:t>Finally, if we omit the integration with respect to y, we obtain formulas applicable to the survivorship group and to similar prob­ lems </w:t>
      </w:r>
      <w:r>
        <w:rPr>
          <w:color w:val="010101"/>
          <w:sz w:val="20"/>
        </w:rPr>
        <w:t>in </w:t>
      </w:r>
      <w:r>
        <w:rPr>
          <w:color w:val="010101"/>
          <w:sz w:val="21"/>
        </w:rPr>
        <w:t>the stationary population. For example, if </w:t>
      </w:r>
      <w:r>
        <w:rPr>
          <w:rFonts w:ascii="Arial" w:hAnsi="Arial"/>
          <w:color w:val="010101"/>
          <w:sz w:val="18"/>
        </w:rPr>
        <w:t>t1 </w:t>
      </w:r>
      <w:r>
        <w:rPr>
          <w:color w:val="010101"/>
          <w:sz w:val="24"/>
        </w:rPr>
        <w:t>= </w:t>
      </w:r>
      <w:r>
        <w:rPr>
          <w:rFonts w:ascii="Arial" w:hAnsi="Arial"/>
          <w:color w:val="010101"/>
          <w:sz w:val="20"/>
        </w:rPr>
        <w:t>O </w:t>
      </w:r>
      <w:r>
        <w:rPr>
          <w:color w:val="010101"/>
          <w:sz w:val="21"/>
        </w:rPr>
        <w:t>and     </w:t>
      </w:r>
      <w:r>
        <w:rPr>
          <w:color w:val="010101"/>
          <w:sz w:val="26"/>
        </w:rPr>
        <w:t>= </w:t>
      </w:r>
      <w:r>
        <w:rPr>
          <w:i/>
          <w:color w:val="010101"/>
          <w:sz w:val="22"/>
        </w:rPr>
        <w:t>n,</w:t>
      </w:r>
    </w:p>
    <w:p>
      <w:pPr>
        <w:spacing w:line="198" w:lineRule="exact" w:before="0"/>
        <w:ind w:left="133" w:right="0" w:firstLine="0"/>
        <w:jc w:val="both"/>
        <w:rPr>
          <w:sz w:val="21"/>
        </w:rPr>
      </w:pPr>
      <w:r>
        <w:rPr>
          <w:color w:val="010101"/>
          <w:w w:val="110"/>
          <w:sz w:val="21"/>
        </w:rPr>
        <w:t>then </w:t>
      </w:r>
      <w:r>
        <w:rPr>
          <w:rFonts w:ascii="Arial" w:hAnsi="Arial"/>
          <w:i/>
          <w:color w:val="010101"/>
          <w:w w:val="110"/>
          <w:sz w:val="24"/>
        </w:rPr>
        <w:t>f </w:t>
      </w:r>
      <w:r>
        <w:rPr>
          <w:rFonts w:ascii="Arial" w:hAnsi="Arial"/>
          <w:i/>
          <w:color w:val="010101"/>
          <w:w w:val="110"/>
          <w:sz w:val="18"/>
        </w:rPr>
        <w:t>(y,t) </w:t>
      </w:r>
      <w:r>
        <w:rPr>
          <w:rFonts w:ascii="Arial" w:hAnsi="Arial"/>
          <w:color w:val="010101"/>
          <w:w w:val="145"/>
          <w:sz w:val="17"/>
        </w:rPr>
        <w:t>= </w:t>
      </w:r>
      <w:r>
        <w:rPr>
          <w:color w:val="010101"/>
          <w:w w:val="110"/>
          <w:sz w:val="21"/>
        </w:rPr>
        <w:t>1 leads to </w:t>
      </w:r>
      <w:r>
        <w:rPr>
          <w:rFonts w:ascii="Arial" w:hAnsi="Arial"/>
          <w:i/>
          <w:color w:val="010101"/>
          <w:sz w:val="20"/>
        </w:rPr>
        <w:t>l</w:t>
      </w:r>
      <w:r>
        <w:rPr>
          <w:rFonts w:ascii="Arial" w:hAnsi="Arial"/>
          <w:i/>
          <w:color w:val="010101"/>
          <w:position w:val="-3"/>
          <w:sz w:val="10"/>
        </w:rPr>
        <w:t>11   </w:t>
      </w:r>
      <w:r>
        <w:rPr>
          <w:rFonts w:ascii="Arial" w:hAnsi="Arial"/>
          <w:color w:val="010101"/>
          <w:w w:val="470"/>
          <w:sz w:val="10"/>
        </w:rPr>
        <w:t>- </w:t>
      </w:r>
      <w:r>
        <w:rPr>
          <w:rFonts w:ascii="Arial" w:hAnsi="Arial"/>
          <w:color w:val="1A1A1A"/>
          <w:w w:val="110"/>
          <w:sz w:val="10"/>
        </w:rPr>
        <w:t>· </w:t>
      </w:r>
      <w:r>
        <w:rPr>
          <w:rFonts w:ascii="Arial" w:hAnsi="Arial"/>
          <w:i/>
          <w:color w:val="010101"/>
          <w:sz w:val="20"/>
        </w:rPr>
        <w:t>l</w:t>
      </w:r>
      <w:r>
        <w:rPr>
          <w:rFonts w:ascii="Arial" w:hAnsi="Arial"/>
          <w:i/>
          <w:color w:val="010101"/>
          <w:position w:val="-3"/>
          <w:sz w:val="10"/>
        </w:rPr>
        <w:t>11</w:t>
      </w:r>
      <w:r>
        <w:rPr>
          <w:rFonts w:ascii="Arial" w:hAnsi="Arial"/>
          <w:i/>
          <w:color w:val="010101"/>
          <w:sz w:val="18"/>
        </w:rPr>
        <w:t>+,. </w:t>
      </w:r>
      <w:r>
        <w:rPr>
          <w:color w:val="010101"/>
          <w:w w:val="110"/>
          <w:sz w:val="21"/>
        </w:rPr>
        <w:t>and </w:t>
      </w:r>
      <w:r>
        <w:rPr>
          <w:rFonts w:ascii="Arial" w:hAnsi="Arial"/>
          <w:i/>
          <w:color w:val="010101"/>
          <w:w w:val="110"/>
          <w:sz w:val="24"/>
        </w:rPr>
        <w:t>f </w:t>
      </w:r>
      <w:r>
        <w:rPr>
          <w:rFonts w:ascii="Arial" w:hAnsi="Arial"/>
          <w:i/>
          <w:color w:val="010101"/>
          <w:w w:val="110"/>
          <w:sz w:val="18"/>
        </w:rPr>
        <w:t>(y,t </w:t>
      </w:r>
      <w:r>
        <w:rPr>
          <w:rFonts w:ascii="Arial" w:hAnsi="Arial"/>
          <w:i/>
          <w:color w:val="010101"/>
          <w:sz w:val="18"/>
        </w:rPr>
        <w:t>)  </w:t>
      </w:r>
      <w:r>
        <w:rPr>
          <w:rFonts w:ascii="Arial" w:hAnsi="Arial"/>
          <w:color w:val="010101"/>
          <w:w w:val="145"/>
          <w:sz w:val="17"/>
        </w:rPr>
        <w:t>= </w:t>
      </w:r>
      <w:r>
        <w:rPr>
          <w:rFonts w:ascii="Arial" w:hAnsi="Arial"/>
          <w:i/>
          <w:color w:val="010101"/>
          <w:sz w:val="18"/>
        </w:rPr>
        <w:t>y  </w:t>
      </w:r>
      <w:r>
        <w:rPr>
          <w:color w:val="010101"/>
          <w:w w:val="110"/>
          <w:sz w:val="29"/>
        </w:rPr>
        <w:t>+ </w:t>
      </w:r>
      <w:r>
        <w:rPr>
          <w:rFonts w:ascii="Arial" w:hAnsi="Arial"/>
          <w:i/>
          <w:color w:val="010101"/>
          <w:w w:val="110"/>
          <w:sz w:val="18"/>
        </w:rPr>
        <w:t>t  </w:t>
      </w:r>
      <w:r>
        <w:rPr>
          <w:color w:val="010101"/>
          <w:w w:val="110"/>
          <w:sz w:val="21"/>
        </w:rPr>
        <w:t>leads to</w:t>
      </w:r>
    </w:p>
    <w:p>
      <w:pPr>
        <w:spacing w:line="288" w:lineRule="exact" w:before="0"/>
        <w:ind w:left="136" w:right="0" w:firstLine="0"/>
        <w:jc w:val="both"/>
        <w:rPr>
          <w:sz w:val="21"/>
        </w:rPr>
      </w:pPr>
      <w:r>
        <w:rPr>
          <w:rFonts w:ascii="Arial"/>
          <w:i/>
          <w:color w:val="010101"/>
          <w:w w:val="105"/>
          <w:sz w:val="18"/>
        </w:rPr>
        <w:t>y </w:t>
      </w:r>
      <w:r>
        <w:rPr>
          <w:rFonts w:ascii="Arial"/>
          <w:i/>
          <w:color w:val="010101"/>
          <w:w w:val="105"/>
          <w:sz w:val="19"/>
        </w:rPr>
        <w:t>(l,, </w:t>
      </w:r>
      <w:r>
        <w:rPr>
          <w:rFonts w:ascii="Arial"/>
          <w:color w:val="010101"/>
          <w:w w:val="240"/>
          <w:sz w:val="19"/>
        </w:rPr>
        <w:t>-</w:t>
      </w:r>
      <w:r>
        <w:rPr>
          <w:rFonts w:ascii="Arial"/>
          <w:color w:val="010101"/>
          <w:spacing w:val="-63"/>
          <w:w w:val="240"/>
          <w:sz w:val="19"/>
        </w:rPr>
        <w:t> </w:t>
      </w:r>
      <w:r>
        <w:rPr>
          <w:i/>
          <w:color w:val="010101"/>
          <w:w w:val="105"/>
          <w:sz w:val="17"/>
        </w:rPr>
        <w:t>lv+n )  </w:t>
      </w:r>
      <w:r>
        <w:rPr>
          <w:rFonts w:ascii="Arial"/>
          <w:color w:val="010101"/>
          <w:w w:val="105"/>
          <w:sz w:val="31"/>
        </w:rPr>
        <w:t>+ </w:t>
      </w:r>
      <w:r>
        <w:rPr>
          <w:rFonts w:ascii="Arial"/>
          <w:i/>
          <w:color w:val="010101"/>
          <w:w w:val="105"/>
          <w:sz w:val="19"/>
        </w:rPr>
        <w:t>T</w:t>
      </w:r>
      <w:r>
        <w:rPr>
          <w:rFonts w:ascii="Arial"/>
          <w:i/>
          <w:color w:val="010101"/>
          <w:w w:val="105"/>
          <w:position w:val="-2"/>
          <w:sz w:val="10"/>
        </w:rPr>
        <w:t>11  </w:t>
      </w:r>
      <w:r>
        <w:rPr>
          <w:rFonts w:ascii="Arial"/>
          <w:color w:val="010101"/>
          <w:w w:val="470"/>
          <w:sz w:val="10"/>
        </w:rPr>
        <w:t>-</w:t>
      </w:r>
      <w:r>
        <w:rPr>
          <w:rFonts w:ascii="Arial"/>
          <w:color w:val="010101"/>
          <w:spacing w:val="-60"/>
          <w:w w:val="470"/>
          <w:sz w:val="10"/>
        </w:rPr>
        <w:t> </w:t>
      </w:r>
      <w:r>
        <w:rPr>
          <w:rFonts w:ascii="Arial"/>
          <w:i/>
          <w:color w:val="010101"/>
          <w:w w:val="105"/>
          <w:sz w:val="19"/>
        </w:rPr>
        <w:t>T</w:t>
      </w:r>
      <w:r>
        <w:rPr>
          <w:rFonts w:ascii="Arial"/>
          <w:i/>
          <w:color w:val="010101"/>
          <w:w w:val="105"/>
          <w:position w:val="-3"/>
          <w:sz w:val="10"/>
        </w:rPr>
        <w:t>11</w:t>
      </w:r>
      <w:r>
        <w:rPr>
          <w:i/>
          <w:color w:val="010101"/>
          <w:w w:val="105"/>
          <w:sz w:val="17"/>
        </w:rPr>
        <w:t>+n </w:t>
      </w:r>
      <w:r>
        <w:rPr>
          <w:color w:val="010101"/>
          <w:w w:val="300"/>
          <w:sz w:val="17"/>
        </w:rPr>
        <w:t>-</w:t>
      </w:r>
      <w:r>
        <w:rPr>
          <w:color w:val="010101"/>
          <w:spacing w:val="-74"/>
          <w:w w:val="300"/>
          <w:sz w:val="17"/>
        </w:rPr>
        <w:t> </w:t>
      </w:r>
      <w:r>
        <w:rPr>
          <w:rFonts w:ascii="Arial"/>
          <w:i/>
          <w:color w:val="010101"/>
          <w:spacing w:val="3"/>
          <w:w w:val="105"/>
          <w:sz w:val="19"/>
        </w:rPr>
        <w:t>nl</w:t>
      </w:r>
      <w:r>
        <w:rPr>
          <w:rFonts w:ascii="Arial"/>
          <w:i/>
          <w:color w:val="010101"/>
          <w:spacing w:val="3"/>
          <w:w w:val="105"/>
          <w:position w:val="-2"/>
          <w:sz w:val="10"/>
        </w:rPr>
        <w:t>11</w:t>
      </w:r>
      <w:r>
        <w:rPr>
          <w:i/>
          <w:color w:val="010101"/>
          <w:spacing w:val="3"/>
          <w:w w:val="105"/>
          <w:sz w:val="17"/>
        </w:rPr>
        <w:t>+n </w:t>
      </w:r>
      <w:r>
        <w:rPr>
          <w:color w:val="010101"/>
          <w:w w:val="145"/>
          <w:sz w:val="17"/>
        </w:rPr>
        <w:t>. </w:t>
      </w:r>
      <w:r>
        <w:rPr>
          <w:color w:val="010101"/>
          <w:w w:val="105"/>
          <w:sz w:val="21"/>
        </w:rPr>
        <w:t>This result was previousJy</w:t>
      </w:r>
    </w:p>
    <w:p>
      <w:pPr>
        <w:spacing w:line="227" w:lineRule="exact" w:before="0"/>
        <w:ind w:left="136" w:right="0" w:firstLine="0"/>
        <w:jc w:val="both"/>
        <w:rPr>
          <w:sz w:val="21"/>
        </w:rPr>
      </w:pPr>
      <w:r>
        <w:rPr>
          <w:color w:val="010101"/>
          <w:sz w:val="21"/>
        </w:rPr>
        <w:t>obtained on page  176 and was discussed  again on page  180.</w:t>
      </w:r>
    </w:p>
    <w:p>
      <w:pPr>
        <w:spacing w:before="0"/>
        <w:ind w:left="133" w:right="146" w:firstLine="208"/>
        <w:jc w:val="both"/>
        <w:rPr>
          <w:sz w:val="21"/>
        </w:rPr>
      </w:pPr>
      <w:r>
        <w:rPr>
          <w:color w:val="010101"/>
          <w:sz w:val="21"/>
        </w:rPr>
        <w:t>It is clear from this discussion that (8.15) is a very general ex­ pression and can be used, in conjunction with the table of indefinite integrals on pages 170 and 171, as a basis for solving a wide variety </w:t>
      </w:r>
      <w:r>
        <w:rPr>
          <w:color w:val="010101"/>
          <w:w w:val="95"/>
          <w:sz w:val="21"/>
        </w:rPr>
        <w:t>of problems.</w:t>
      </w:r>
    </w:p>
    <w:p>
      <w:pPr>
        <w:spacing w:line="237" w:lineRule="auto" w:before="1"/>
        <w:ind w:left="122" w:right="142" w:firstLine="208"/>
        <w:jc w:val="both"/>
        <w:rPr>
          <w:sz w:val="21"/>
        </w:rPr>
      </w:pPr>
      <w:r>
        <w:rPr>
          <w:color w:val="010101"/>
          <w:sz w:val="21"/>
        </w:rPr>
        <w:t>Problems relating to  the  stationary  population  have given  rise to an extensive literature in the actuaria} joumals. Much ingenuity has been expended on the development of heuristic devices for simplifying the solution of this type of problem. One of the most useful methods, suggested by Grace and Nesbitt (1950), follows from the definition of two special  functions:</w:t>
      </w:r>
    </w:p>
    <w:p>
      <w:pPr>
        <w:spacing w:after="0" w:line="237" w:lineRule="auto"/>
        <w:jc w:val="both"/>
        <w:rPr>
          <w:sz w:val="21"/>
        </w:rPr>
        <w:sectPr>
          <w:pgSz w:w="7200" w:h="11340"/>
          <w:pgMar w:top="480" w:bottom="280" w:left="620" w:right="560"/>
        </w:sectPr>
      </w:pPr>
    </w:p>
    <w:p>
      <w:pPr>
        <w:tabs>
          <w:tab w:pos="5866" w:val="right" w:leader="none"/>
        </w:tabs>
        <w:spacing w:before="50"/>
        <w:ind w:left="2471" w:right="0" w:firstLine="0"/>
        <w:jc w:val="left"/>
        <w:rPr>
          <w:sz w:val="19"/>
        </w:rPr>
      </w:pPr>
      <w:r>
        <w:rPr>
          <w:rFonts w:ascii="Courier New"/>
          <w:b/>
          <w:color w:val="010101"/>
          <w:w w:val="110"/>
          <w:position w:val="1"/>
          <w:sz w:val="15"/>
        </w:rPr>
        <w:t>REFERE!\CES</w:t>
      </w:r>
      <w:r>
        <w:rPr>
          <w:color w:val="010101"/>
          <w:w w:val="110"/>
          <w:sz w:val="19"/>
        </w:rPr>
        <w:tab/>
      </w:r>
      <w:r>
        <w:rPr>
          <w:color w:val="010101"/>
          <w:spacing w:val="-14"/>
          <w:w w:val="110"/>
          <w:sz w:val="19"/>
        </w:rPr>
        <w:t>185</w:t>
      </w:r>
    </w:p>
    <w:p>
      <w:pPr>
        <w:pStyle w:val="BodyText"/>
        <w:spacing w:before="4"/>
        <w:rPr>
          <w:sz w:val="19"/>
        </w:rPr>
      </w:pPr>
      <w:r>
        <w:rPr/>
        <w:drawing>
          <wp:anchor distT="0" distB="0" distL="0" distR="0" allowOverlap="1" layoutInCell="1" locked="0" behindDoc="0" simplePos="0" relativeHeight="15208">
            <wp:simplePos x="0" y="0"/>
            <wp:positionH relativeFrom="page">
              <wp:posOffset>1810511</wp:posOffset>
            </wp:positionH>
            <wp:positionV relativeFrom="paragraph">
              <wp:posOffset>166378</wp:posOffset>
            </wp:positionV>
            <wp:extent cx="832104" cy="118872"/>
            <wp:effectExtent l="0" t="0" r="0" b="0"/>
            <wp:wrapTopAndBottom/>
            <wp:docPr id="379" name="image195.png" descr=""/>
            <wp:cNvGraphicFramePr>
              <a:graphicFrameLocks noChangeAspect="1"/>
            </wp:cNvGraphicFramePr>
            <a:graphic>
              <a:graphicData uri="http://schemas.openxmlformats.org/drawingml/2006/picture">
                <pic:pic>
                  <pic:nvPicPr>
                    <pic:cNvPr id="380" name="image195.png"/>
                    <pic:cNvPicPr/>
                  </pic:nvPicPr>
                  <pic:blipFill>
                    <a:blip r:embed="rId199" cstate="print"/>
                    <a:stretch>
                      <a:fillRect/>
                    </a:stretch>
                  </pic:blipFill>
                  <pic:spPr>
                    <a:xfrm>
                      <a:off x="0" y="0"/>
                      <a:ext cx="832104" cy="118872"/>
                    </a:xfrm>
                    <a:prstGeom prst="rect">
                      <a:avLst/>
                    </a:prstGeom>
                  </pic:spPr>
                </pic:pic>
              </a:graphicData>
            </a:graphic>
          </wp:anchor>
        </w:drawing>
      </w:r>
    </w:p>
    <w:p>
      <w:pPr>
        <w:spacing w:before="24"/>
        <w:ind w:left="74" w:right="66" w:firstLine="0"/>
        <w:jc w:val="center"/>
        <w:rPr>
          <w:b/>
          <w:i/>
          <w:sz w:val="21"/>
        </w:rPr>
      </w:pPr>
      <w:r>
        <w:rPr>
          <w:b/>
          <w:i/>
          <w:color w:val="010101"/>
          <w:sz w:val="21"/>
        </w:rPr>
        <w:t>Gz </w:t>
      </w:r>
      <w:r>
        <w:rPr>
          <w:color w:val="010101"/>
          <w:sz w:val="24"/>
        </w:rPr>
        <w:t>= </w:t>
      </w:r>
      <w:r>
        <w:rPr>
          <w:i/>
          <w:color w:val="010101"/>
          <w:sz w:val="21"/>
        </w:rPr>
        <w:t>xT z  </w:t>
      </w:r>
      <w:r>
        <w:rPr>
          <w:rFonts w:ascii="Arial"/>
          <w:color w:val="010101"/>
          <w:sz w:val="31"/>
        </w:rPr>
        <w:t>+ </w:t>
      </w:r>
      <w:r>
        <w:rPr>
          <w:b/>
          <w:i/>
          <w:color w:val="010101"/>
          <w:sz w:val="21"/>
        </w:rPr>
        <w:t>2Yz .</w:t>
      </w:r>
    </w:p>
    <w:p>
      <w:pPr>
        <w:pStyle w:val="BodyText"/>
        <w:spacing w:line="247" w:lineRule="auto" w:before="85"/>
        <w:ind w:left="132" w:right="98" w:hanging="4"/>
        <w:jc w:val="both"/>
      </w:pPr>
      <w:r>
        <w:rPr>
          <w:i/>
          <w:color w:val="010101"/>
        </w:rPr>
        <w:t>F z </w:t>
      </w:r>
      <w:r>
        <w:rPr>
          <w:color w:val="010101"/>
        </w:rPr>
        <w:t>is the total lifetime of thc </w:t>
      </w:r>
      <w:r>
        <w:rPr>
          <w:i/>
          <w:color w:val="010101"/>
          <w:spacing w:val="4"/>
        </w:rPr>
        <w:t>lz </w:t>
      </w:r>
      <w:r>
        <w:rPr>
          <w:color w:val="010101"/>
        </w:rPr>
        <w:t>livcs that attain age x, and </w:t>
      </w:r>
      <w:r>
        <w:rPr>
          <w:i/>
          <w:color w:val="010101"/>
          <w:spacing w:val="4"/>
          <w:sz w:val="22"/>
        </w:rPr>
        <w:t>G.</w:t>
      </w:r>
      <w:r>
        <w:rPr>
          <w:color w:val="010101"/>
          <w:spacing w:val="4"/>
        </w:rPr>
        <w:t>is </w:t>
      </w:r>
      <w:r>
        <w:rPr>
          <w:color w:val="010101"/>
        </w:rPr>
        <w:t>the  total lifetime of the </w:t>
      </w:r>
      <w:r>
        <w:rPr>
          <w:i/>
          <w:color w:val="010101"/>
          <w:spacing w:val="5"/>
          <w:sz w:val="21"/>
        </w:rPr>
        <w:t>Tz </w:t>
      </w:r>
      <w:r>
        <w:rPr>
          <w:color w:val="010101"/>
        </w:rPr>
        <w:t>lives now living at ages </w:t>
      </w:r>
      <w:r>
        <w:rPr>
          <w:rFonts w:ascii="Arial" w:hAnsi="Arial"/>
          <w:i/>
          <w:color w:val="010101"/>
          <w:sz w:val="18"/>
        </w:rPr>
        <w:t>x </w:t>
      </w:r>
      <w:r>
        <w:rPr>
          <w:color w:val="010101"/>
        </w:rPr>
        <w:t>and over. Suppose  that we have determined  an  expression  for the  number  of  members in sorne segment of the stationary  population  as a  linear  combina­ tion of the functions </w:t>
      </w:r>
      <w:r>
        <w:rPr>
          <w:i/>
          <w:color w:val="010101"/>
        </w:rPr>
        <w:t>lz </w:t>
      </w:r>
      <w:r>
        <w:rPr>
          <w:color w:val="010101"/>
        </w:rPr>
        <w:t>and </w:t>
      </w:r>
      <w:r>
        <w:rPr>
          <w:i/>
          <w:color w:val="010101"/>
          <w:spacing w:val="9"/>
        </w:rPr>
        <w:t>Tz  </w:t>
      </w:r>
      <w:r>
        <w:rPr>
          <w:i/>
          <w:color w:val="010101"/>
        </w:rPr>
        <w:t>. </w:t>
      </w:r>
      <w:r>
        <w:rPr>
          <w:color w:val="010101"/>
        </w:rPr>
        <w:t>The Grace-Nesbitt  principie  states that we can then obtain the total lifetime of these members by substituting </w:t>
      </w:r>
      <w:r>
        <w:rPr>
          <w:i/>
          <w:color w:val="010101"/>
          <w:sz w:val="21"/>
        </w:rPr>
        <w:t>Fz  </w:t>
      </w:r>
      <w:r>
        <w:rPr>
          <w:color w:val="010101"/>
        </w:rPr>
        <w:t>for </w:t>
      </w:r>
      <w:r>
        <w:rPr>
          <w:i/>
          <w:color w:val="010101"/>
          <w:sz w:val="21"/>
        </w:rPr>
        <w:t>lz </w:t>
      </w:r>
      <w:r>
        <w:rPr>
          <w:color w:val="010101"/>
        </w:rPr>
        <w:t>and </w:t>
      </w:r>
      <w:r>
        <w:rPr>
          <w:i/>
          <w:color w:val="010101"/>
          <w:sz w:val="21"/>
        </w:rPr>
        <w:t>Gz </w:t>
      </w:r>
      <w:r>
        <w:rPr>
          <w:color w:val="010101"/>
        </w:rPr>
        <w:t>for  </w:t>
      </w:r>
      <w:r>
        <w:rPr>
          <w:i/>
          <w:color w:val="010101"/>
          <w:spacing w:val="5"/>
          <w:sz w:val="21"/>
        </w:rPr>
        <w:t>Tz </w:t>
      </w:r>
      <w:r>
        <w:rPr>
          <w:color w:val="010101"/>
        </w:rPr>
        <w:t>throughout  the  </w:t>
      </w:r>
      <w:r>
        <w:rPr>
          <w:color w:val="010101"/>
          <w:spacing w:val="40"/>
        </w:rPr>
        <w:t> </w:t>
      </w:r>
      <w:r>
        <w:rPr>
          <w:color w:val="010101"/>
        </w:rPr>
        <w:t>expression.</w:t>
      </w:r>
    </w:p>
    <w:p>
      <w:pPr>
        <w:spacing w:line="234" w:lineRule="exact" w:before="0"/>
        <w:ind w:left="344" w:right="0" w:firstLine="0"/>
        <w:jc w:val="left"/>
        <w:rPr>
          <w:rFonts w:ascii="Arial"/>
          <w:sz w:val="12"/>
        </w:rPr>
      </w:pPr>
      <w:r>
        <w:rPr>
          <w:color w:val="010101"/>
          <w:w w:val="110"/>
          <w:sz w:val="19"/>
        </w:rPr>
        <w:t>In  </w:t>
      </w:r>
      <w:r>
        <w:rPr>
          <w:color w:val="010101"/>
          <w:w w:val="110"/>
          <w:sz w:val="20"/>
        </w:rPr>
        <w:t>example  1 above, the number of members is </w:t>
      </w:r>
      <w:r>
        <w:rPr>
          <w:i/>
          <w:color w:val="010101"/>
          <w:w w:val="110"/>
          <w:sz w:val="21"/>
        </w:rPr>
        <w:t>T</w:t>
      </w:r>
      <w:r>
        <w:rPr>
          <w:color w:val="010101"/>
          <w:w w:val="110"/>
          <w:sz w:val="13"/>
        </w:rPr>
        <w:t>20  </w:t>
      </w:r>
      <w:r>
        <w:rPr>
          <w:color w:val="010101"/>
          <w:w w:val="400"/>
          <w:sz w:val="13"/>
        </w:rPr>
        <w:t>- </w:t>
      </w:r>
      <w:r>
        <w:rPr>
          <w:i/>
          <w:color w:val="010101"/>
          <w:w w:val="110"/>
          <w:sz w:val="21"/>
        </w:rPr>
        <w:t>T</w:t>
      </w:r>
      <w:r>
        <w:rPr>
          <w:rFonts w:ascii="Arial"/>
          <w:b/>
          <w:color w:val="010101"/>
          <w:w w:val="110"/>
          <w:sz w:val="12"/>
        </w:rPr>
        <w:t>flJ   </w:t>
      </w:r>
      <w:r>
        <w:rPr>
          <w:rFonts w:ascii="Arial"/>
          <w:color w:val="010101"/>
          <w:w w:val="400"/>
          <w:sz w:val="12"/>
        </w:rPr>
        <w:t>-</w:t>
      </w:r>
    </w:p>
    <w:p>
      <w:pPr>
        <w:spacing w:line="156" w:lineRule="auto" w:before="70"/>
        <w:ind w:left="143" w:right="102" w:hanging="8"/>
        <w:jc w:val="both"/>
        <w:rPr>
          <w:sz w:val="20"/>
        </w:rPr>
      </w:pPr>
      <w:r>
        <w:rPr>
          <w:rFonts w:ascii="Arial"/>
          <w:i/>
          <w:color w:val="010101"/>
          <w:w w:val="95"/>
          <w:sz w:val="19"/>
        </w:rPr>
        <w:t>20l10 </w:t>
      </w:r>
      <w:r>
        <w:rPr>
          <w:rFonts w:ascii="Arial"/>
          <w:color w:val="010101"/>
          <w:w w:val="125"/>
          <w:sz w:val="19"/>
        </w:rPr>
        <w:t>. </w:t>
      </w:r>
      <w:r>
        <w:rPr>
          <w:color w:val="010101"/>
          <w:sz w:val="20"/>
        </w:rPr>
        <w:t>Making  the  prescribed  substitutions,  we  immediately  find the total lifetime to be </w:t>
      </w:r>
      <w:r>
        <w:rPr>
          <w:color w:val="010101"/>
          <w:w w:val="95"/>
          <w:sz w:val="22"/>
        </w:rPr>
        <w:t>G20 </w:t>
      </w:r>
      <w:r>
        <w:rPr>
          <w:color w:val="010101"/>
          <w:w w:val="260"/>
          <w:sz w:val="22"/>
        </w:rPr>
        <w:t>- </w:t>
      </w:r>
      <w:r>
        <w:rPr>
          <w:i/>
          <w:color w:val="010101"/>
          <w:w w:val="95"/>
          <w:sz w:val="21"/>
        </w:rPr>
        <w:t>G40 </w:t>
      </w:r>
      <w:r>
        <w:rPr>
          <w:color w:val="010101"/>
          <w:w w:val="260"/>
          <w:sz w:val="21"/>
        </w:rPr>
        <w:t>- </w:t>
      </w:r>
      <w:r>
        <w:rPr>
          <w:i/>
          <w:color w:val="010101"/>
          <w:sz w:val="21"/>
        </w:rPr>
        <w:t>20F10 </w:t>
      </w:r>
      <w:r>
        <w:rPr>
          <w:color w:val="010101"/>
          <w:sz w:val="26"/>
        </w:rPr>
        <w:t>= </w:t>
      </w:r>
      <w:r>
        <w:rPr>
          <w:rFonts w:ascii="Arial"/>
          <w:i/>
          <w:color w:val="010101"/>
          <w:w w:val="95"/>
          <w:sz w:val="19"/>
        </w:rPr>
        <w:t>(20T</w:t>
      </w:r>
      <w:r>
        <w:rPr>
          <w:color w:val="010101"/>
          <w:w w:val="95"/>
          <w:sz w:val="19"/>
        </w:rPr>
        <w:t>20 </w:t>
      </w:r>
      <w:r>
        <w:rPr>
          <w:rFonts w:ascii="Arial"/>
          <w:color w:val="010101"/>
          <w:sz w:val="31"/>
        </w:rPr>
        <w:t>+ </w:t>
      </w:r>
      <w:r>
        <w:rPr>
          <w:color w:val="010101"/>
          <w:w w:val="95"/>
          <w:sz w:val="20"/>
        </w:rPr>
        <w:t>2Y</w:t>
      </w:r>
      <w:r>
        <w:rPr>
          <w:color w:val="010101"/>
          <w:w w:val="95"/>
          <w:sz w:val="19"/>
        </w:rPr>
        <w:t>20) </w:t>
      </w:r>
      <w:r>
        <w:rPr>
          <w:color w:val="010101"/>
          <w:w w:val="260"/>
          <w:sz w:val="19"/>
        </w:rPr>
        <w:t>- </w:t>
      </w:r>
      <w:r>
        <w:rPr>
          <w:color w:val="010101"/>
          <w:w w:val="95"/>
          <w:sz w:val="20"/>
        </w:rPr>
        <w:t>(40Tco </w:t>
      </w:r>
      <w:r>
        <w:rPr>
          <w:rFonts w:ascii="Arial"/>
          <w:color w:val="010101"/>
          <w:sz w:val="31"/>
        </w:rPr>
        <w:t>+ </w:t>
      </w:r>
      <w:r>
        <w:rPr>
          <w:color w:val="010101"/>
          <w:sz w:val="20"/>
        </w:rPr>
        <w:t>2 </w:t>
      </w:r>
      <w:r>
        <w:rPr>
          <w:color w:val="010101"/>
          <w:w w:val="95"/>
          <w:sz w:val="20"/>
        </w:rPr>
        <w:t>Y</w:t>
      </w:r>
      <w:r>
        <w:rPr>
          <w:color w:val="010101"/>
          <w:w w:val="95"/>
          <w:sz w:val="19"/>
        </w:rPr>
        <w:t>40)  </w:t>
      </w:r>
      <w:r>
        <w:rPr>
          <w:color w:val="010101"/>
          <w:w w:val="260"/>
          <w:sz w:val="19"/>
        </w:rPr>
        <w:t>-</w:t>
      </w:r>
      <w:r>
        <w:rPr>
          <w:color w:val="010101"/>
          <w:spacing w:val="-83"/>
          <w:w w:val="260"/>
          <w:sz w:val="19"/>
        </w:rPr>
        <w:t> </w:t>
      </w:r>
      <w:r>
        <w:rPr>
          <w:rFonts w:ascii="Arial"/>
          <w:i/>
          <w:color w:val="010101"/>
          <w:sz w:val="19"/>
        </w:rPr>
        <w:t>20 </w:t>
      </w:r>
      <w:r>
        <w:rPr>
          <w:rFonts w:ascii="Arial"/>
          <w:i/>
          <w:color w:val="010101"/>
          <w:w w:val="95"/>
          <w:sz w:val="19"/>
        </w:rPr>
        <w:t>(70l10 </w:t>
      </w:r>
      <w:r>
        <w:rPr>
          <w:color w:val="010101"/>
          <w:sz w:val="29"/>
        </w:rPr>
        <w:t>+ </w:t>
      </w:r>
      <w:r>
        <w:rPr>
          <w:rFonts w:ascii="Arial"/>
          <w:i/>
          <w:color w:val="010101"/>
          <w:w w:val="95"/>
          <w:sz w:val="19"/>
        </w:rPr>
        <w:t>T10 </w:t>
      </w:r>
      <w:r>
        <w:rPr>
          <w:rFonts w:ascii="Arial"/>
          <w:i/>
          <w:color w:val="010101"/>
          <w:sz w:val="19"/>
        </w:rPr>
        <w:t>). </w:t>
      </w:r>
      <w:r>
        <w:rPr>
          <w:color w:val="010101"/>
          <w:sz w:val="20"/>
        </w:rPr>
        <w:t>This affords a simple check on</w:t>
      </w:r>
    </w:p>
    <w:p>
      <w:pPr>
        <w:pStyle w:val="BodyText"/>
        <w:spacing w:line="249" w:lineRule="auto" w:before="4"/>
        <w:ind w:left="132" w:right="104" w:firstLine="10"/>
        <w:jc w:val="both"/>
      </w:pPr>
      <w:r>
        <w:rPr/>
        <w:pict>
          <v:rect style="position:absolute;margin-left:174.349792pt;margin-top:52.523659pt;width:9.6861pt;height:6.816143pt;mso-position-horizontal-relative:page;mso-position-vertical-relative:paragraph;z-index:-720832" filled="true" fillcolor="#000000" stroked="false">
            <v:fill type="solid"/>
            <w10:wrap type="none"/>
          </v:rect>
        </w:pict>
      </w:r>
      <w:r>
        <w:rPr/>
        <w:pict>
          <v:shape style="position:absolute;margin-left:174.349792pt;margin-top:44.065956pt;width:9.9pt;height:10.5pt;mso-position-horizontal-relative:page;mso-position-vertical-relative:paragraph;z-index:-720784" type="#_x0000_t202" filled="false" stroked="false">
            <v:textbox inset="0,0,0,0">
              <w:txbxContent>
                <w:p>
                  <w:pPr>
                    <w:spacing w:line="210" w:lineRule="exact" w:before="0"/>
                    <w:ind w:left="0" w:right="-10" w:firstLine="0"/>
                    <w:jc w:val="left"/>
                    <w:rPr>
                      <w:sz w:val="12"/>
                    </w:rPr>
                  </w:pPr>
                  <w:r>
                    <w:rPr>
                      <w:i/>
                      <w:color w:val="010101"/>
                      <w:w w:val="110"/>
                      <w:sz w:val="21"/>
                    </w:rPr>
                    <w:t>T</w:t>
                  </w:r>
                  <w:r>
                    <w:rPr>
                      <w:color w:val="010101"/>
                      <w:w w:val="110"/>
                      <w:sz w:val="12"/>
                    </w:rPr>
                    <w:t>z</w:t>
                  </w:r>
                </w:p>
              </w:txbxContent>
            </v:textbox>
            <w10:wrap type="none"/>
          </v:shape>
        </w:pict>
      </w:r>
      <w:r>
        <w:rPr>
          <w:color w:val="010101"/>
          <w:spacing w:val="-3"/>
          <w:w w:val="105"/>
        </w:rPr>
        <w:t>t</w:t>
      </w:r>
      <w:r>
        <w:rPr>
          <w:color w:val="2D2D2D"/>
          <w:spacing w:val="-3"/>
          <w:w w:val="105"/>
        </w:rPr>
        <w:t>.</w:t>
      </w:r>
      <w:r>
        <w:rPr>
          <w:color w:val="010101"/>
          <w:spacing w:val="-3"/>
          <w:w w:val="105"/>
        </w:rPr>
        <w:t>he </w:t>
      </w:r>
      <w:r>
        <w:rPr>
          <w:color w:val="010101"/>
          <w:w w:val="105"/>
        </w:rPr>
        <w:t>accuracy of the original integrations</w:t>
      </w:r>
      <w:r>
        <w:rPr>
          <w:color w:val="1A1A1A"/>
          <w:w w:val="105"/>
        </w:rPr>
        <w:t>. </w:t>
      </w:r>
      <w:r>
        <w:rPr>
          <w:color w:val="010101"/>
          <w:w w:val="105"/>
        </w:rPr>
        <w:t>A similar check can be made for example 2 as well as for the average age at </w:t>
      </w:r>
      <w:r>
        <w:rPr>
          <w:color w:val="010101"/>
          <w:w w:val="110"/>
        </w:rPr>
        <w:t>dath </w:t>
      </w:r>
      <w:r>
        <w:rPr>
          <w:color w:val="010101"/>
          <w:w w:val="105"/>
        </w:rPr>
        <w:t>problem discussed on page </w:t>
      </w:r>
      <w:r>
        <w:rPr>
          <w:color w:val="010101"/>
          <w:spacing w:val="-10"/>
          <w:w w:val="105"/>
          <w:sz w:val="19"/>
        </w:rPr>
        <w:t>176, </w:t>
      </w:r>
      <w:r>
        <w:rPr>
          <w:color w:val="010101"/>
          <w:w w:val="105"/>
        </w:rPr>
        <w:t>and (trivially ) for the average age at death </w:t>
      </w:r>
      <w:r>
        <w:rPr>
          <w:color w:val="010101"/>
          <w:spacing w:val="-7"/>
          <w:w w:val="102"/>
        </w:rPr>
        <w:t>express1</w:t>
      </w:r>
      <w:r>
        <w:rPr>
          <w:rFonts w:ascii="Arial" w:hAnsi="Arial"/>
          <w:color w:val="010101"/>
          <w:spacing w:val="-7"/>
          <w:w w:val="102"/>
          <w:position w:val="8"/>
        </w:rPr>
        <w:t>.</w:t>
      </w:r>
      <w:r>
        <w:rPr>
          <w:color w:val="010101"/>
          <w:spacing w:val="-7"/>
          <w:w w:val="102"/>
        </w:rPr>
        <w:t>ons </w:t>
      </w:r>
      <w:r>
        <w:rPr>
          <w:i/>
          <w:color w:val="010101"/>
          <w:spacing w:val="-7"/>
          <w:w w:val="105"/>
          <w:sz w:val="19"/>
        </w:rPr>
        <w:t>x  </w:t>
      </w:r>
      <w:r>
        <w:rPr>
          <w:rFonts w:ascii="Arial" w:hAnsi="Arial"/>
          <w:color w:val="010101"/>
          <w:spacing w:val="-7"/>
          <w:w w:val="102"/>
          <w:sz w:val="31"/>
        </w:rPr>
        <w:t>+ </w:t>
      </w:r>
      <w:r>
        <w:rPr>
          <w:rFonts w:ascii="Arial" w:hAnsi="Arial"/>
          <w:i/>
          <w:color w:val="010101"/>
          <w:spacing w:val="-58"/>
          <w:w w:val="122"/>
          <w:sz w:val="26"/>
        </w:rPr>
        <w:t>T</w:t>
      </w:r>
      <w:r>
        <w:rPr>
          <w:rFonts w:ascii="Arial" w:hAnsi="Arial"/>
          <w:i/>
          <w:color w:val="010101"/>
          <w:spacing w:val="-58"/>
          <w:w w:val="122"/>
          <w:position w:val="8"/>
        </w:rPr>
        <w:t>T</w:t>
      </w:r>
      <w:r>
        <w:rPr>
          <w:rFonts w:ascii="Arial" w:hAnsi="Arial"/>
          <w:i/>
          <w:color w:val="010101"/>
          <w:spacing w:val="-58"/>
          <w:w w:val="122"/>
          <w:sz w:val="26"/>
        </w:rPr>
        <w:t>:</w:t>
      </w:r>
      <w:r>
        <w:rPr>
          <w:rFonts w:ascii="Arial" w:hAnsi="Arial"/>
          <w:i/>
          <w:color w:val="010101"/>
          <w:spacing w:val="-58"/>
          <w:w w:val="122"/>
          <w:position w:val="8"/>
        </w:rPr>
        <w:t>.</w:t>
      </w:r>
      <w:r>
        <w:rPr>
          <w:rFonts w:ascii="Arial" w:hAnsi="Arial"/>
          <w:i/>
          <w:color w:val="010101"/>
          <w:w w:val="122"/>
          <w:position w:val="8"/>
        </w:rPr>
        <w:t> </w:t>
      </w:r>
      <w:r>
        <w:rPr>
          <w:color w:val="010101"/>
          <w:w w:val="105"/>
        </w:rPr>
        <w:t>an</w:t>
      </w:r>
      <w:r>
        <w:rPr>
          <w:color w:val="010101"/>
          <w:w w:val="105"/>
          <w:position w:val="8"/>
          <w:sz w:val="21"/>
        </w:rPr>
        <w:t>d </w:t>
      </w:r>
      <w:r>
        <w:rPr>
          <w:i/>
          <w:color w:val="010101"/>
          <w:w w:val="101"/>
          <w:sz w:val="19"/>
        </w:rPr>
        <w:t>x  </w:t>
      </w:r>
      <w:r>
        <w:rPr>
          <w:rFonts w:ascii="Arial" w:hAnsi="Arial"/>
          <w:color w:val="010101"/>
          <w:w w:val="102"/>
          <w:sz w:val="31"/>
        </w:rPr>
        <w:t>+ </w:t>
      </w:r>
      <w:r>
        <w:rPr>
          <w:color w:val="010101"/>
          <w:w w:val="92"/>
          <w:position w:val="13"/>
          <w:sz w:val="21"/>
        </w:rPr>
        <w:t>2 </w:t>
      </w:r>
      <w:r>
        <w:rPr>
          <w:color w:val="010101"/>
          <w:w w:val="110"/>
          <w:position w:val="8"/>
          <w:sz w:val="22"/>
        </w:rPr>
        <w:t>y• </w:t>
      </w:r>
      <w:r>
        <w:rPr>
          <w:color w:val="010101"/>
          <w:w w:val="107"/>
          <w:sz w:val="12"/>
        </w:rPr>
        <w:t>•  </w:t>
      </w:r>
      <w:r>
        <w:rPr>
          <w:color w:val="010101"/>
          <w:w w:val="110"/>
          <w:position w:val="8"/>
          <w:sz w:val="21"/>
        </w:rPr>
        <w:t>I</w:t>
      </w:r>
      <w:r>
        <w:rPr>
          <w:color w:val="010101"/>
          <w:w w:val="110"/>
        </w:rPr>
        <w:t>n </w:t>
      </w:r>
      <w:r>
        <w:rPr>
          <w:color w:val="010101"/>
          <w:w w:val="101"/>
        </w:rPr>
        <w:t>cases </w:t>
      </w:r>
      <w:r>
        <w:rPr>
          <w:color w:val="010101"/>
          <w:spacing w:val="1"/>
          <w:w w:val="103"/>
        </w:rPr>
        <w:t>w</w:t>
      </w:r>
      <w:r>
        <w:rPr>
          <w:color w:val="010101"/>
          <w:spacing w:val="1"/>
          <w:w w:val="103"/>
          <w:position w:val="8"/>
          <w:sz w:val="21"/>
        </w:rPr>
        <w:t>h</w:t>
      </w:r>
      <w:r>
        <w:rPr>
          <w:color w:val="010101"/>
          <w:spacing w:val="1"/>
          <w:w w:val="103"/>
        </w:rPr>
        <w:t>ere </w:t>
      </w:r>
      <w:r>
        <w:rPr>
          <w:color w:val="010101"/>
          <w:spacing w:val="1"/>
          <w:w w:val="115"/>
        </w:rPr>
        <w:t>t</w:t>
      </w:r>
      <w:r>
        <w:rPr>
          <w:color w:val="010101"/>
          <w:spacing w:val="1"/>
          <w:w w:val="115"/>
          <w:position w:val="8"/>
          <w:sz w:val="21"/>
        </w:rPr>
        <w:t>h</w:t>
      </w:r>
      <w:r>
        <w:rPr>
          <w:color w:val="010101"/>
          <w:spacing w:val="1"/>
          <w:w w:val="115"/>
        </w:rPr>
        <w:t>e </w:t>
      </w:r>
      <w:r>
        <w:rPr>
          <w:color w:val="010101"/>
          <w:spacing w:val="-9"/>
          <w:w w:val="101"/>
        </w:rPr>
        <w:t>express1</w:t>
      </w:r>
      <w:r>
        <w:rPr>
          <w:color w:val="010101"/>
          <w:spacing w:val="-9"/>
          <w:w w:val="101"/>
          <w:position w:val="8"/>
          <w:sz w:val="21"/>
        </w:rPr>
        <w:t>. </w:t>
      </w:r>
      <w:r>
        <w:rPr>
          <w:color w:val="010101"/>
          <w:w w:val="90"/>
        </w:rPr>
        <w:t>on</w:t>
      </w:r>
    </w:p>
    <w:p>
      <w:pPr>
        <w:pStyle w:val="BodyText"/>
        <w:spacing w:line="252" w:lineRule="auto" w:before="77"/>
        <w:ind w:left="132" w:right="119" w:firstLine="3"/>
        <w:jc w:val="both"/>
      </w:pPr>
      <w:r>
        <w:rPr>
          <w:color w:val="010101"/>
          <w:w w:val="105"/>
        </w:rPr>
        <w:t>for the number of deaths is known to be correct so that no checking is necessary, this provides a method for finding the total lifetime without  additional</w:t>
      </w:r>
      <w:r>
        <w:rPr>
          <w:color w:val="010101"/>
          <w:spacing w:val="52"/>
          <w:w w:val="105"/>
        </w:rPr>
        <w:t> </w:t>
      </w:r>
      <w:r>
        <w:rPr>
          <w:color w:val="010101"/>
          <w:w w:val="105"/>
        </w:rPr>
        <w:t>integration.</w:t>
      </w:r>
    </w:p>
    <w:p>
      <w:pPr>
        <w:spacing w:before="174"/>
        <w:ind w:left="129" w:right="0" w:firstLine="0"/>
        <w:jc w:val="both"/>
        <w:rPr>
          <w:b/>
          <w:sz w:val="19"/>
        </w:rPr>
      </w:pPr>
      <w:r>
        <w:rPr>
          <w:b/>
          <w:color w:val="010101"/>
          <w:w w:val="115"/>
          <w:sz w:val="19"/>
        </w:rPr>
        <w:t>References</w:t>
      </w:r>
    </w:p>
    <w:p>
      <w:pPr>
        <w:pStyle w:val="BodyText"/>
        <w:spacing w:line="252" w:lineRule="auto" w:before="85"/>
        <w:ind w:left="132" w:right="120" w:firstLine="193"/>
        <w:jc w:val="both"/>
      </w:pPr>
      <w:r>
        <w:rPr>
          <w:color w:val="010101"/>
          <w:spacing w:val="-11"/>
          <w:w w:val="130"/>
        </w:rPr>
        <w:t>3. </w:t>
      </w:r>
      <w:r>
        <w:rPr>
          <w:color w:val="010101"/>
          <w:w w:val="105"/>
        </w:rPr>
        <w:t>The proof that the expectancy annuity exceeds the life an­  nuity is taken from King (1902), p. 112. An interesting geometric demonstration  of  this fact  is given by Sarason </w:t>
      </w:r>
      <w:r>
        <w:rPr>
          <w:color w:val="010101"/>
          <w:spacing w:val="9"/>
          <w:w w:val="105"/>
        </w:rPr>
        <w:t> </w:t>
      </w:r>
      <w:r>
        <w:rPr>
          <w:color w:val="010101"/>
          <w:w w:val="105"/>
        </w:rPr>
        <w:t>(1960).</w:t>
      </w:r>
    </w:p>
    <w:p>
      <w:pPr>
        <w:pStyle w:val="BodyText"/>
        <w:spacing w:line="252" w:lineRule="auto"/>
        <w:ind w:left="125" w:right="116" w:firstLine="200"/>
        <w:jc w:val="both"/>
      </w:pPr>
      <w:r>
        <w:rPr>
          <w:color w:val="010101"/>
          <w:w w:val="105"/>
        </w:rPr>
        <w:t>5, 6. Students who feel that they need additional help in analyz­ ing stationary population problems will find useful material in the discussion of the paper by Grace and Nesbitt </w:t>
      </w:r>
      <w:r>
        <w:rPr>
          <w:color w:val="010101"/>
          <w:w w:val="105"/>
          <w:sz w:val="19"/>
        </w:rPr>
        <w:t>(1950) </w:t>
      </w:r>
      <w:r>
        <w:rPr>
          <w:color w:val="010101"/>
          <w:w w:val="105"/>
        </w:rPr>
        <w:t>and  in the paper by Veit  0964) and  its  discussion.</w:t>
      </w:r>
    </w:p>
    <w:p>
      <w:pPr>
        <w:spacing w:before="151"/>
        <w:ind w:left="74" w:right="83" w:firstLine="0"/>
        <w:jc w:val="center"/>
        <w:rPr>
          <w:sz w:val="18"/>
        </w:rPr>
      </w:pPr>
      <w:r>
        <w:rPr>
          <w:color w:val="010101"/>
          <w:w w:val="105"/>
          <w:sz w:val="18"/>
        </w:rPr>
        <w:t>EXERCJSES</w:t>
      </w:r>
    </w:p>
    <w:p>
      <w:pPr>
        <w:pStyle w:val="BodyText"/>
        <w:spacing w:before="3"/>
        <w:rPr>
          <w:sz w:val="14"/>
        </w:rPr>
      </w:pPr>
    </w:p>
    <w:p>
      <w:pPr>
        <w:spacing w:before="0"/>
        <w:ind w:left="129" w:right="0" w:firstLine="0"/>
        <w:jc w:val="both"/>
        <w:rPr>
          <w:b/>
          <w:sz w:val="16"/>
        </w:rPr>
      </w:pPr>
      <w:r>
        <w:rPr/>
        <w:pict>
          <v:shape style="position:absolute;margin-left:100.986504pt;margin-top:4.203976pt;width:86.3pt;height:23.5pt;mso-position-horizontal-relative:page;mso-position-vertical-relative:paragraph;z-index:-720760" type="#_x0000_t202" filled="false" stroked="false">
            <v:textbox inset="0,0,0,0">
              <w:txbxContent>
                <w:p>
                  <w:pPr>
                    <w:tabs>
                      <w:tab w:pos="882" w:val="left" w:leader="none"/>
                      <w:tab w:pos="1668" w:val="left" w:leader="none"/>
                    </w:tabs>
                    <w:spacing w:line="470" w:lineRule="exact" w:before="0"/>
                    <w:ind w:left="0" w:right="0" w:firstLine="0"/>
                    <w:jc w:val="left"/>
                    <w:rPr>
                      <w:sz w:val="18"/>
                    </w:rPr>
                  </w:pPr>
                  <w:r>
                    <w:rPr>
                      <w:b/>
                      <w:i/>
                      <w:color w:val="010101"/>
                      <w:w w:val="80"/>
                      <w:sz w:val="18"/>
                    </w:rPr>
                    <w:t>d</w:t>
                  </w:r>
                  <w:r>
                    <w:rPr>
                      <w:b/>
                      <w:i/>
                      <w:color w:val="010101"/>
                      <w:spacing w:val="6"/>
                      <w:w w:val="80"/>
                      <w:sz w:val="18"/>
                    </w:rPr>
                    <w:t> </w:t>
                  </w:r>
                  <w:r>
                    <w:rPr>
                      <w:b/>
                      <w:color w:val="010101"/>
                      <w:w w:val="80"/>
                      <w:sz w:val="47"/>
                    </w:rPr>
                    <w:t>(Ts)</w:t>
                    <w:tab/>
                  </w:r>
                  <w:r>
                    <w:rPr>
                      <w:b/>
                      <w:i/>
                      <w:color w:val="010101"/>
                      <w:w w:val="80"/>
                      <w:sz w:val="18"/>
                    </w:rPr>
                    <w:t>IJ,rTs</w:t>
                    <w:tab/>
                  </w:r>
                  <w:r>
                    <w:rPr>
                      <w:color w:val="010101"/>
                      <w:w w:val="80"/>
                      <w:sz w:val="18"/>
                    </w:rPr>
                    <w:t>·</w:t>
                  </w:r>
                </w:p>
              </w:txbxContent>
            </v:textbox>
            <w10:wrap type="none"/>
          </v:shape>
        </w:pict>
      </w:r>
      <w:r>
        <w:rPr>
          <w:b/>
          <w:color w:val="010101"/>
          <w:w w:val="125"/>
          <w:sz w:val="16"/>
        </w:rPr>
        <w:t>l.  Sorne additional  mortality functions</w:t>
      </w:r>
    </w:p>
    <w:p>
      <w:pPr>
        <w:tabs>
          <w:tab w:pos="2052" w:val="left" w:leader="none"/>
        </w:tabs>
        <w:spacing w:before="112"/>
        <w:ind w:left="283" w:right="739" w:firstLine="0"/>
        <w:jc w:val="left"/>
        <w:rPr>
          <w:sz w:val="17"/>
        </w:rPr>
      </w:pPr>
      <w:r>
        <w:rPr/>
        <w:pict>
          <v:line style="position:absolute;mso-position-horizontal-relative:page;mso-position-vertical-relative:paragraph;z-index:-720808" from="98.654709pt,21.924423pt" to="107.264599pt,21.924423pt" stroked="true" strokeweight="4.125561pt" strokecolor="#000000">
            <w10:wrap type="none"/>
          </v:line>
        </w:pict>
      </w:r>
      <w:r>
        <w:rPr>
          <w:color w:val="010101"/>
          <w:w w:val="145"/>
          <w:sz w:val="16"/>
        </w:rPr>
        <w:t>l.</w:t>
      </w:r>
      <w:r>
        <w:rPr>
          <w:color w:val="010101"/>
          <w:sz w:val="16"/>
        </w:rPr>
        <w:t> </w:t>
      </w:r>
      <w:r>
        <w:rPr>
          <w:color w:val="010101"/>
          <w:spacing w:val="-17"/>
          <w:sz w:val="16"/>
        </w:rPr>
        <w:t> </w:t>
      </w:r>
      <w:r>
        <w:rPr>
          <w:color w:val="010101"/>
          <w:w w:val="97"/>
          <w:sz w:val="18"/>
        </w:rPr>
        <w:t>Show</w:t>
      </w:r>
      <w:r>
        <w:rPr>
          <w:color w:val="010101"/>
          <w:spacing w:val="19"/>
          <w:sz w:val="18"/>
        </w:rPr>
        <w:t> </w:t>
      </w:r>
      <w:r>
        <w:rPr>
          <w:color w:val="010101"/>
          <w:w w:val="116"/>
          <w:sz w:val="18"/>
        </w:rPr>
        <w:t>that</w:t>
      </w:r>
      <w:r>
        <w:rPr>
          <w:color w:val="010101"/>
          <w:spacing w:val="16"/>
          <w:sz w:val="18"/>
        </w:rPr>
        <w:t> </w:t>
      </w:r>
      <w:r>
        <w:rPr>
          <w:rFonts w:ascii="Arial" w:hAnsi="Arial"/>
          <w:i/>
          <w:color w:val="010101"/>
          <w:w w:val="103"/>
          <w:sz w:val="16"/>
        </w:rPr>
        <w:t>dz</w:t>
      </w:r>
      <w:r>
        <w:rPr>
          <w:rFonts w:ascii="Arial" w:hAnsi="Arial"/>
          <w:i/>
          <w:color w:val="010101"/>
          <w:sz w:val="16"/>
        </w:rPr>
        <w:t>  </w:t>
      </w:r>
      <w:r>
        <w:rPr>
          <w:rFonts w:ascii="Arial" w:hAnsi="Arial"/>
          <w:i/>
          <w:color w:val="010101"/>
          <w:spacing w:val="-19"/>
          <w:sz w:val="16"/>
        </w:rPr>
        <w:t> </w:t>
      </w:r>
      <w:r>
        <w:rPr>
          <w:rFonts w:ascii="Arial" w:hAnsi="Arial"/>
          <w:color w:val="3D3D3D"/>
          <w:w w:val="64"/>
          <w:sz w:val="16"/>
        </w:rPr>
        <w:t>·</w:t>
      </w:r>
      <w:r>
        <w:rPr>
          <w:rFonts w:ascii="Arial" w:hAnsi="Arial"/>
          <w:color w:val="3D3D3D"/>
          <w:spacing w:val="-22"/>
          <w:sz w:val="16"/>
        </w:rPr>
        <w:t> </w:t>
      </w:r>
      <w:r>
        <w:rPr>
          <w:i/>
          <w:color w:val="010101"/>
          <w:w w:val="93"/>
          <w:sz w:val="28"/>
        </w:rPr>
        <w:t>ls</w:t>
      </w:r>
      <w:r>
        <w:rPr>
          <w:i/>
          <w:color w:val="010101"/>
          <w:sz w:val="28"/>
        </w:rPr>
        <w:tab/>
      </w:r>
      <w:r>
        <w:rPr>
          <w:color w:val="010101"/>
          <w:w w:val="149"/>
          <w:sz w:val="28"/>
        </w:rPr>
        <w:t>-</w:t>
      </w:r>
      <w:r>
        <w:rPr>
          <w:color w:val="010101"/>
          <w:spacing w:val="-9"/>
          <w:sz w:val="28"/>
        </w:rPr>
        <w:t> </w:t>
      </w:r>
      <w:r>
        <w:rPr>
          <w:i/>
          <w:color w:val="010101"/>
          <w:w w:val="104"/>
          <w:sz w:val="29"/>
        </w:rPr>
        <w:t>-¡;</w:t>
      </w:r>
      <w:r>
        <w:rPr>
          <w:i/>
          <w:color w:val="010101"/>
          <w:sz w:val="29"/>
        </w:rPr>
        <w:t> </w:t>
      </w:r>
      <w:r>
        <w:rPr>
          <w:color w:val="010101"/>
          <w:spacing w:val="-40"/>
          <w:w w:val="163"/>
          <w:sz w:val="29"/>
        </w:rPr>
        <w:t>-</w:t>
      </w:r>
      <w:r>
        <w:rPr>
          <w:color w:val="1A1A1A"/>
          <w:w w:val="44"/>
          <w:sz w:val="29"/>
        </w:rPr>
        <w:t>.</w:t>
      </w:r>
      <w:r>
        <w:rPr>
          <w:color w:val="1A1A1A"/>
          <w:spacing w:val="-19"/>
          <w:sz w:val="29"/>
        </w:rPr>
        <w:t> </w:t>
      </w:r>
      <w:r>
        <w:rPr>
          <w:color w:val="010101"/>
          <w:w w:val="166"/>
          <w:sz w:val="17"/>
        </w:rPr>
        <w:t>l.</w:t>
      </w:r>
      <w:r>
        <w:rPr>
          <w:color w:val="010101"/>
          <w:spacing w:val="15"/>
          <w:sz w:val="17"/>
        </w:rPr>
        <w:t> </w:t>
      </w:r>
      <w:r>
        <w:rPr>
          <w:color w:val="BABABA"/>
          <w:w w:val="76"/>
          <w:sz w:val="17"/>
        </w:rPr>
        <w:t>.</w:t>
      </w:r>
    </w:p>
    <w:p>
      <w:pPr>
        <w:spacing w:line="169" w:lineRule="exact" w:before="231"/>
        <w:ind w:left="135" w:right="0" w:firstLine="0"/>
        <w:jc w:val="center"/>
        <w:rPr>
          <w:sz w:val="17"/>
        </w:rPr>
      </w:pPr>
      <w:r>
        <w:rPr>
          <w:color w:val="010101"/>
          <w:w w:val="110"/>
          <w:sz w:val="17"/>
        </w:rPr>
        <w:t>2</w:t>
      </w:r>
      <w:r>
        <w:rPr>
          <w:color w:val="1A1A1A"/>
          <w:w w:val="110"/>
          <w:sz w:val="17"/>
        </w:rPr>
        <w:t>. </w:t>
      </w:r>
      <w:r>
        <w:rPr>
          <w:color w:val="010101"/>
          <w:w w:val="110"/>
          <w:sz w:val="17"/>
        </w:rPr>
        <w:t>What mortality function </w:t>
      </w:r>
      <w:r>
        <w:rPr>
          <w:rFonts w:ascii="Arial"/>
          <w:color w:val="010101"/>
          <w:w w:val="110"/>
          <w:sz w:val="16"/>
        </w:rPr>
        <w:t>is </w:t>
      </w:r>
      <w:r>
        <w:rPr>
          <w:color w:val="010101"/>
          <w:w w:val="110"/>
          <w:sz w:val="17"/>
        </w:rPr>
        <w:t>represented  by each of  the following  when</w:t>
      </w:r>
    </w:p>
    <w:p>
      <w:pPr>
        <w:spacing w:line="238" w:lineRule="exact" w:before="0"/>
        <w:ind w:left="111" w:right="0" w:firstLine="0"/>
        <w:jc w:val="both"/>
        <w:rPr>
          <w:sz w:val="17"/>
        </w:rPr>
      </w:pPr>
      <w:r>
        <w:rPr>
          <w:color w:val="010101"/>
          <w:w w:val="125"/>
          <w:sz w:val="16"/>
        </w:rPr>
        <w:t>i </w:t>
      </w:r>
      <w:r>
        <w:rPr>
          <w:color w:val="010101"/>
          <w:sz w:val="23"/>
        </w:rPr>
        <w:t>= </w:t>
      </w:r>
      <w:r>
        <w:rPr>
          <w:color w:val="010101"/>
          <w:sz w:val="17"/>
        </w:rPr>
        <w:t>O?</w:t>
      </w:r>
    </w:p>
    <w:p>
      <w:pPr>
        <w:spacing w:after="0" w:line="238" w:lineRule="exact"/>
        <w:jc w:val="both"/>
        <w:rPr>
          <w:sz w:val="17"/>
        </w:rPr>
        <w:sectPr>
          <w:pgSz w:w="7200" w:h="11340"/>
          <w:pgMar w:top="520" w:bottom="280" w:left="660" w:right="560"/>
        </w:sectPr>
      </w:pPr>
    </w:p>
    <w:p>
      <w:pPr>
        <w:tabs>
          <w:tab w:pos="2107" w:val="left" w:leader="none"/>
          <w:tab w:pos="5351" w:val="left" w:leader="none"/>
        </w:tabs>
        <w:spacing w:before="57"/>
        <w:ind w:left="158" w:right="0" w:firstLine="0"/>
        <w:jc w:val="left"/>
        <w:rPr>
          <w:rFonts w:ascii="Arial"/>
          <w:sz w:val="18"/>
        </w:rPr>
      </w:pPr>
      <w:r>
        <w:rPr>
          <w:color w:val="010101"/>
          <w:w w:val="105"/>
          <w:sz w:val="19"/>
        </w:rPr>
        <w:t>186</w:t>
        <w:tab/>
      </w:r>
      <w:r>
        <w:rPr>
          <w:color w:val="010101"/>
          <w:w w:val="105"/>
          <w:sz w:val="14"/>
        </w:rPr>
        <w:t>POPULATIO.S   </w:t>
      </w:r>
      <w:r>
        <w:rPr>
          <w:color w:val="010101"/>
          <w:spacing w:val="23"/>
          <w:w w:val="105"/>
          <w:sz w:val="14"/>
        </w:rPr>
        <w:t> </w:t>
      </w:r>
      <w:r>
        <w:rPr>
          <w:color w:val="010101"/>
          <w:w w:val="105"/>
          <w:sz w:val="14"/>
        </w:rPr>
        <w:t>THEORY</w:t>
        <w:tab/>
      </w:r>
      <w:r>
        <w:rPr>
          <w:color w:val="010101"/>
          <w:w w:val="95"/>
          <w:sz w:val="20"/>
        </w:rPr>
        <w:t>[CH.</w:t>
      </w:r>
      <w:r>
        <w:rPr>
          <w:color w:val="010101"/>
          <w:spacing w:val="3"/>
          <w:w w:val="95"/>
          <w:sz w:val="20"/>
        </w:rPr>
        <w:t> </w:t>
      </w:r>
      <w:r>
        <w:rPr>
          <w:rFonts w:ascii="Arial"/>
          <w:color w:val="010101"/>
          <w:w w:val="95"/>
          <w:sz w:val="18"/>
        </w:rPr>
        <w:t>8</w:t>
      </w:r>
    </w:p>
    <w:p>
      <w:pPr>
        <w:pStyle w:val="BodyText"/>
        <w:spacing w:before="5"/>
        <w:rPr>
          <w:rFonts w:ascii="Arial"/>
          <w:sz w:val="12"/>
        </w:rPr>
      </w:pPr>
    </w:p>
    <w:p>
      <w:pPr>
        <w:spacing w:after="0"/>
        <w:rPr>
          <w:rFonts w:ascii="Arial"/>
          <w:sz w:val="12"/>
        </w:rPr>
        <w:sectPr>
          <w:pgSz w:w="7200" w:h="11340"/>
          <w:pgMar w:top="500" w:bottom="280" w:left="660" w:right="560"/>
        </w:sectPr>
      </w:pPr>
    </w:p>
    <w:p>
      <w:pPr>
        <w:pStyle w:val="ListParagraph"/>
        <w:numPr>
          <w:ilvl w:val="0"/>
          <w:numId w:val="81"/>
        </w:numPr>
        <w:tabs>
          <w:tab w:pos="762" w:val="left" w:leader="none"/>
        </w:tabs>
        <w:spacing w:line="240" w:lineRule="auto" w:before="90" w:after="0"/>
        <w:ind w:left="761" w:right="0" w:hanging="287"/>
        <w:jc w:val="left"/>
        <w:rPr>
          <w:i/>
          <w:sz w:val="17"/>
        </w:rPr>
      </w:pPr>
      <w:r>
        <w:rPr>
          <w:i/>
          <w:color w:val="010101"/>
          <w:spacing w:val="-3"/>
          <w:w w:val="90"/>
          <w:sz w:val="17"/>
        </w:rPr>
        <w:t>l;.Á</w:t>
      </w:r>
      <w:r>
        <w:rPr>
          <w:i/>
          <w:color w:val="010101"/>
          <w:spacing w:val="-24"/>
          <w:w w:val="90"/>
          <w:sz w:val="17"/>
        </w:rPr>
        <w:t> </w:t>
      </w:r>
      <w:r>
        <w:rPr>
          <w:i/>
          <w:color w:val="010101"/>
          <w:w w:val="90"/>
          <w:sz w:val="17"/>
        </w:rPr>
        <w:t>z</w:t>
      </w:r>
    </w:p>
    <w:p>
      <w:pPr>
        <w:spacing w:before="96"/>
        <w:ind w:left="470" w:right="0" w:firstLine="0"/>
        <w:jc w:val="left"/>
        <w:rPr>
          <w:i/>
          <w:sz w:val="20"/>
        </w:rPr>
      </w:pPr>
      <w:r>
        <w:rPr>
          <w:rFonts w:ascii="Arial"/>
          <w:color w:val="010101"/>
          <w:w w:val="90"/>
          <w:sz w:val="16"/>
        </w:rPr>
        <w:t>(b) </w:t>
      </w:r>
      <w:r>
        <w:rPr>
          <w:i/>
          <w:color w:val="010101"/>
          <w:w w:val="85"/>
          <w:sz w:val="20"/>
        </w:rPr>
        <w:t>D..:</w:t>
      </w:r>
    </w:p>
    <w:p>
      <w:pPr>
        <w:spacing w:before="90"/>
        <w:ind w:left="310" w:right="-19" w:firstLine="3"/>
        <w:jc w:val="left"/>
        <w:rPr>
          <w:i/>
          <w:sz w:val="17"/>
        </w:rPr>
      </w:pPr>
      <w:r>
        <w:rPr/>
        <w:br w:type="column"/>
      </w:r>
      <w:r>
        <w:rPr>
          <w:color w:val="010101"/>
          <w:w w:val="105"/>
          <w:sz w:val="16"/>
        </w:rPr>
        <w:t>(e)  </w:t>
      </w:r>
      <w:r>
        <w:rPr>
          <w:i/>
          <w:color w:val="010101"/>
          <w:w w:val="105"/>
          <w:sz w:val="17"/>
        </w:rPr>
        <w:t>Ñ,.</w:t>
      </w:r>
    </w:p>
    <w:p>
      <w:pPr>
        <w:spacing w:before="96"/>
        <w:ind w:left="310" w:right="-19" w:firstLine="0"/>
        <w:jc w:val="left"/>
        <w:rPr>
          <w:rFonts w:ascii="Arial" w:hAnsi="Arial"/>
          <w:i/>
          <w:sz w:val="28"/>
        </w:rPr>
      </w:pPr>
      <w:r>
        <w:rPr>
          <w:rFonts w:ascii="Arial" w:hAnsi="Arial"/>
          <w:color w:val="010101"/>
          <w:w w:val="95"/>
          <w:sz w:val="16"/>
        </w:rPr>
        <w:t>(d)</w:t>
      </w:r>
      <w:r>
        <w:rPr>
          <w:rFonts w:ascii="Arial" w:hAnsi="Arial"/>
          <w:color w:val="010101"/>
          <w:spacing w:val="-14"/>
          <w:w w:val="95"/>
          <w:sz w:val="16"/>
        </w:rPr>
        <w:t> </w:t>
      </w:r>
      <w:r>
        <w:rPr>
          <w:rFonts w:ascii="Arial" w:hAnsi="Arial"/>
          <w:i/>
          <w:color w:val="010101"/>
          <w:w w:val="95"/>
          <w:sz w:val="28"/>
        </w:rPr>
        <w:t>'"ª"</w:t>
      </w:r>
    </w:p>
    <w:p>
      <w:pPr>
        <w:pStyle w:val="ListParagraph"/>
        <w:numPr>
          <w:ilvl w:val="0"/>
          <w:numId w:val="82"/>
        </w:numPr>
        <w:tabs>
          <w:tab w:pos="595" w:val="left" w:leader="none"/>
        </w:tabs>
        <w:spacing w:line="240" w:lineRule="auto" w:before="77" w:after="0"/>
        <w:ind w:left="594" w:right="0" w:hanging="284"/>
        <w:jc w:val="left"/>
        <w:rPr>
          <w:i/>
          <w:sz w:val="18"/>
        </w:rPr>
      </w:pPr>
      <w:r>
        <w:rPr>
          <w:i/>
          <w:color w:val="010101"/>
          <w:w w:val="107"/>
          <w:sz w:val="18"/>
        </w:rPr>
        <w:br w:type="column"/>
      </w:r>
      <w:r>
        <w:rPr>
          <w:i/>
          <w:color w:val="010101"/>
          <w:sz w:val="18"/>
        </w:rPr>
        <w:t>lz(]A),.</w:t>
      </w:r>
    </w:p>
    <w:p>
      <w:pPr>
        <w:pStyle w:val="ListParagraph"/>
        <w:numPr>
          <w:ilvl w:val="0"/>
          <w:numId w:val="82"/>
        </w:numPr>
        <w:tabs>
          <w:tab w:pos="584" w:val="left" w:leader="none"/>
        </w:tabs>
        <w:spacing w:line="240" w:lineRule="auto" w:before="113" w:after="0"/>
        <w:ind w:left="583" w:right="0" w:hanging="276"/>
        <w:jc w:val="left"/>
        <w:rPr>
          <w:rFonts w:ascii="Arial"/>
          <w:i/>
          <w:sz w:val="14"/>
        </w:rPr>
      </w:pPr>
      <w:r>
        <w:rPr>
          <w:i/>
          <w:color w:val="010101"/>
          <w:sz w:val="18"/>
        </w:rPr>
        <w:t>l,.</w:t>
      </w:r>
      <w:r>
        <w:rPr>
          <w:rFonts w:ascii="Arial"/>
          <w:i/>
          <w:color w:val="010101"/>
          <w:sz w:val="14"/>
        </w:rPr>
        <w:t>(1a)z</w:t>
      </w:r>
    </w:p>
    <w:p>
      <w:pPr>
        <w:spacing w:after="0" w:line="240" w:lineRule="auto"/>
        <w:jc w:val="left"/>
        <w:rPr>
          <w:rFonts w:ascii="Arial"/>
          <w:sz w:val="14"/>
        </w:rPr>
        <w:sectPr>
          <w:type w:val="continuous"/>
          <w:pgSz w:w="7200" w:h="11340"/>
          <w:pgMar w:top="1100" w:bottom="0" w:left="660" w:right="560"/>
          <w:cols w:num="3" w:equalWidth="0">
            <w:col w:w="1051" w:space="40"/>
            <w:col w:w="864" w:space="40"/>
            <w:col w:w="3985"/>
          </w:cols>
        </w:sectPr>
      </w:pPr>
    </w:p>
    <w:p>
      <w:pPr>
        <w:spacing w:line="377" w:lineRule="exact" w:before="0"/>
        <w:ind w:left="287" w:right="739" w:firstLine="0"/>
        <w:jc w:val="left"/>
        <w:rPr>
          <w:i/>
          <w:sz w:val="18"/>
        </w:rPr>
      </w:pPr>
      <w:r>
        <w:rPr>
          <w:color w:val="010101"/>
          <w:w w:val="89"/>
          <w:sz w:val="18"/>
        </w:rPr>
        <w:t>S.</w:t>
      </w:r>
      <w:r>
        <w:rPr>
          <w:color w:val="010101"/>
          <w:spacing w:val="14"/>
          <w:sz w:val="18"/>
        </w:rPr>
        <w:t> </w:t>
      </w:r>
      <w:r>
        <w:rPr>
          <w:color w:val="010101"/>
          <w:w w:val="108"/>
          <w:sz w:val="18"/>
        </w:rPr>
        <w:t>Evaluate</w:t>
      </w:r>
      <w:r>
        <w:rPr>
          <w:color w:val="010101"/>
          <w:sz w:val="18"/>
        </w:rPr>
        <w:t> </w:t>
      </w:r>
      <w:r>
        <w:rPr>
          <w:color w:val="010101"/>
          <w:spacing w:val="-15"/>
          <w:sz w:val="18"/>
        </w:rPr>
        <w:t> </w:t>
      </w:r>
      <w:r>
        <w:rPr>
          <w:color w:val="010101"/>
          <w:w w:val="96"/>
          <w:sz w:val="18"/>
        </w:rPr>
        <w:t>(</w:t>
      </w:r>
      <w:r>
        <w:rPr>
          <w:color w:val="010101"/>
          <w:w w:val="96"/>
          <w:sz w:val="18"/>
        </w:rPr>
        <w:t>a}</w:t>
      </w:r>
      <w:r>
        <w:rPr>
          <w:color w:val="010101"/>
          <w:spacing w:val="-3"/>
          <w:sz w:val="18"/>
        </w:rPr>
        <w:t> </w:t>
      </w:r>
      <w:r>
        <w:rPr>
          <w:rFonts w:ascii="Arial"/>
          <w:i/>
          <w:color w:val="010101"/>
          <w:w w:val="49"/>
          <w:sz w:val="39"/>
        </w:rPr>
        <w:t>l</w:t>
      </w:r>
      <w:r>
        <w:rPr>
          <w:rFonts w:ascii="Arial"/>
          <w:i/>
          <w:color w:val="010101"/>
          <w:spacing w:val="20"/>
          <w:w w:val="49"/>
          <w:sz w:val="39"/>
        </w:rPr>
        <w:t>a</w:t>
      </w:r>
      <w:r>
        <w:rPr>
          <w:rFonts w:ascii="Arial"/>
          <w:i/>
          <w:color w:val="010101"/>
          <w:w w:val="56"/>
          <w:sz w:val="39"/>
        </w:rPr>
        <w:t>"</w:t>
      </w:r>
      <w:r>
        <w:rPr>
          <w:rFonts w:ascii="Arial"/>
          <w:i/>
          <w:color w:val="010101"/>
          <w:spacing w:val="-33"/>
          <w:sz w:val="39"/>
        </w:rPr>
        <w:t> </w:t>
      </w:r>
      <w:r>
        <w:rPr>
          <w:rFonts w:ascii="Arial"/>
          <w:i/>
          <w:color w:val="010101"/>
          <w:w w:val="147"/>
          <w:sz w:val="16"/>
        </w:rPr>
        <w:t>tl-</w:t>
      </w:r>
      <w:r>
        <w:rPr>
          <w:rFonts w:ascii="Arial"/>
          <w:i/>
          <w:color w:val="010101"/>
          <w:spacing w:val="-23"/>
          <w:w w:val="147"/>
          <w:sz w:val="16"/>
        </w:rPr>
        <w:t>.</w:t>
      </w:r>
      <w:r>
        <w:rPr>
          <w:rFonts w:ascii="Arial"/>
          <w:i/>
          <w:color w:val="010101"/>
          <w:w w:val="108"/>
          <w:sz w:val="16"/>
        </w:rPr>
        <w:t>,p</w:t>
      </w:r>
      <w:r>
        <w:rPr>
          <w:rFonts w:ascii="Arial"/>
          <w:i/>
          <w:color w:val="010101"/>
          <w:spacing w:val="-15"/>
          <w:w w:val="108"/>
          <w:sz w:val="16"/>
        </w:rPr>
        <w:t>.</w:t>
      </w:r>
      <w:r>
        <w:rPr>
          <w:rFonts w:ascii="Arial"/>
          <w:i/>
          <w:color w:val="010101"/>
          <w:w w:val="71"/>
          <w:sz w:val="16"/>
        </w:rPr>
        <w:t>+1</w:t>
      </w:r>
      <w:r>
        <w:rPr>
          <w:rFonts w:ascii="Arial"/>
          <w:i/>
          <w:color w:val="010101"/>
          <w:spacing w:val="3"/>
          <w:sz w:val="16"/>
        </w:rPr>
        <w:t> </w:t>
      </w:r>
      <w:r>
        <w:rPr>
          <w:i/>
          <w:color w:val="010101"/>
          <w:w w:val="84"/>
          <w:sz w:val="18"/>
        </w:rPr>
        <w:t>d</w:t>
      </w:r>
      <w:r>
        <w:rPr>
          <w:i/>
          <w:color w:val="010101"/>
          <w:spacing w:val="-17"/>
          <w:sz w:val="18"/>
        </w:rPr>
        <w:t> </w:t>
      </w:r>
      <w:r>
        <w:rPr>
          <w:i/>
          <w:color w:val="010101"/>
          <w:w w:val="74"/>
          <w:sz w:val="18"/>
        </w:rPr>
        <w:t>t</w:t>
      </w:r>
    </w:p>
    <w:p>
      <w:pPr>
        <w:spacing w:line="643" w:lineRule="exact" w:before="0"/>
        <w:ind w:left="1249" w:right="739" w:firstLine="0"/>
        <w:jc w:val="left"/>
        <w:rPr>
          <w:i/>
          <w:sz w:val="18"/>
        </w:rPr>
      </w:pPr>
      <w:r>
        <w:rPr>
          <w:rFonts w:ascii="Arial"/>
          <w:color w:val="010101"/>
          <w:w w:val="115"/>
          <w:sz w:val="16"/>
        </w:rPr>
        <w:t>(</w:t>
      </w:r>
      <w:r>
        <w:rPr>
          <w:rFonts w:ascii="Arial"/>
          <w:color w:val="010101"/>
          <w:spacing w:val="-18"/>
          <w:w w:val="115"/>
          <w:sz w:val="16"/>
        </w:rPr>
        <w:t>h</w:t>
      </w:r>
      <w:r>
        <w:rPr>
          <w:rFonts w:ascii="Arial"/>
          <w:color w:val="010101"/>
          <w:w w:val="130"/>
          <w:sz w:val="16"/>
        </w:rPr>
        <w:t>)</w:t>
      </w:r>
      <w:r>
        <w:rPr>
          <w:rFonts w:ascii="Arial"/>
          <w:color w:val="010101"/>
          <w:spacing w:val="11"/>
          <w:sz w:val="16"/>
        </w:rPr>
        <w:t> </w:t>
      </w:r>
      <w:r>
        <w:rPr>
          <w:rFonts w:ascii="Arial"/>
          <w:i/>
          <w:color w:val="010101"/>
          <w:w w:val="111"/>
          <w:sz w:val="58"/>
        </w:rPr>
        <w:t>l</w:t>
      </w:r>
      <w:r>
        <w:rPr>
          <w:rFonts w:ascii="Arial"/>
          <w:i/>
          <w:color w:val="010101"/>
          <w:spacing w:val="-5"/>
          <w:w w:val="111"/>
          <w:sz w:val="58"/>
        </w:rPr>
        <w:t>.</w:t>
      </w:r>
      <w:r>
        <w:rPr>
          <w:rFonts w:ascii="Arial"/>
          <w:i/>
          <w:color w:val="010101"/>
          <w:spacing w:val="-5"/>
          <w:w w:val="85"/>
          <w:sz w:val="22"/>
        </w:rPr>
        <w:t>a</w:t>
      </w:r>
      <w:r>
        <w:rPr>
          <w:rFonts w:ascii="Arial"/>
          <w:i/>
          <w:color w:val="010101"/>
          <w:w w:val="157"/>
          <w:sz w:val="22"/>
        </w:rPr>
        <w:t>.</w:t>
      </w:r>
      <w:r>
        <w:rPr>
          <w:rFonts w:ascii="Arial"/>
          <w:i/>
          <w:color w:val="010101"/>
          <w:spacing w:val="-42"/>
          <w:w w:val="157"/>
          <w:sz w:val="22"/>
        </w:rPr>
        <w:t>.</w:t>
      </w:r>
      <w:r>
        <w:rPr>
          <w:rFonts w:ascii="Arial"/>
          <w:i/>
          <w:color w:val="010101"/>
          <w:w w:val="83"/>
          <w:sz w:val="22"/>
        </w:rPr>
        <w:t>,</w:t>
      </w:r>
      <w:r>
        <w:rPr>
          <w:rFonts w:ascii="Arial"/>
          <w:i/>
          <w:color w:val="010101"/>
          <w:spacing w:val="-16"/>
          <w:sz w:val="22"/>
        </w:rPr>
        <w:t> </w:t>
      </w:r>
      <w:r>
        <w:rPr>
          <w:i/>
          <w:color w:val="010101"/>
          <w:w w:val="97"/>
          <w:sz w:val="18"/>
        </w:rPr>
        <w:t>dt</w:t>
      </w:r>
    </w:p>
    <w:p>
      <w:pPr>
        <w:spacing w:line="538" w:lineRule="exact" w:before="4"/>
        <w:ind w:left="1249" w:right="739" w:firstLine="0"/>
        <w:jc w:val="left"/>
        <w:rPr>
          <w:i/>
          <w:sz w:val="17"/>
        </w:rPr>
      </w:pPr>
      <w:r>
        <w:rPr>
          <w:color w:val="010101"/>
          <w:w w:val="106"/>
          <w:sz w:val="16"/>
        </w:rPr>
        <w:t>(</w:t>
      </w:r>
      <w:r>
        <w:rPr>
          <w:color w:val="010101"/>
          <w:w w:val="106"/>
          <w:sz w:val="16"/>
        </w:rPr>
        <w:t>e</w:t>
      </w:r>
      <w:r>
        <w:rPr>
          <w:color w:val="010101"/>
          <w:w w:val="106"/>
          <w:sz w:val="16"/>
        </w:rPr>
        <w:t>)</w:t>
      </w:r>
      <w:r>
        <w:rPr>
          <w:color w:val="010101"/>
          <w:sz w:val="16"/>
        </w:rPr>
        <w:t> </w:t>
      </w:r>
      <w:r>
        <w:rPr>
          <w:color w:val="010101"/>
          <w:spacing w:val="-19"/>
          <w:sz w:val="16"/>
        </w:rPr>
        <w:t> </w:t>
      </w:r>
      <w:r>
        <w:rPr>
          <w:rFonts w:ascii="Arial" w:hAnsi="Arial"/>
          <w:i/>
          <w:color w:val="010101"/>
          <w:spacing w:val="-73"/>
          <w:w w:val="80"/>
          <w:sz w:val="52"/>
        </w:rPr>
        <w:t>1</w:t>
      </w:r>
      <w:r>
        <w:rPr>
          <w:rFonts w:ascii="Arial" w:hAnsi="Arial"/>
          <w:i/>
          <w:color w:val="010101"/>
          <w:spacing w:val="-95"/>
          <w:w w:val="145"/>
          <w:sz w:val="52"/>
        </w:rPr>
        <w:t>·</w:t>
      </w:r>
      <w:r>
        <w:rPr>
          <w:color w:val="010101"/>
          <w:w w:val="71"/>
          <w:sz w:val="15"/>
        </w:rPr>
        <w:t>l:rr+I</w:t>
      </w:r>
      <w:r>
        <w:rPr>
          <w:color w:val="010101"/>
          <w:sz w:val="15"/>
        </w:rPr>
        <w:t> </w:t>
      </w:r>
      <w:r>
        <w:rPr>
          <w:color w:val="010101"/>
          <w:spacing w:val="-13"/>
          <w:sz w:val="15"/>
        </w:rPr>
        <w:t> </w:t>
      </w:r>
      <w:r>
        <w:rPr>
          <w:i/>
          <w:color w:val="010101"/>
          <w:w w:val="113"/>
          <w:sz w:val="17"/>
        </w:rPr>
        <w:t>dt.</w:t>
      </w:r>
    </w:p>
    <w:p>
      <w:pPr>
        <w:spacing w:line="216" w:lineRule="exact" w:before="0"/>
        <w:ind w:left="0" w:right="2675" w:firstLine="0"/>
        <w:jc w:val="center"/>
        <w:rPr>
          <w:rFonts w:ascii="Arial" w:hAnsi="Arial"/>
          <w:sz w:val="24"/>
        </w:rPr>
      </w:pPr>
      <w:r>
        <w:rPr>
          <w:rFonts w:ascii="Arial" w:hAnsi="Arial"/>
          <w:color w:val="010101"/>
          <w:w w:val="118"/>
          <w:sz w:val="24"/>
        </w:rPr>
        <w:t>•</w:t>
      </w:r>
    </w:p>
    <w:p>
      <w:pPr>
        <w:pStyle w:val="ListParagraph"/>
        <w:numPr>
          <w:ilvl w:val="0"/>
          <w:numId w:val="83"/>
        </w:numPr>
        <w:tabs>
          <w:tab w:pos="317" w:val="left" w:leader="none"/>
        </w:tabs>
        <w:spacing w:line="240" w:lineRule="auto" w:before="51" w:after="0"/>
        <w:ind w:left="316" w:right="0" w:hanging="194"/>
        <w:jc w:val="left"/>
        <w:rPr>
          <w:b/>
          <w:color w:val="010101"/>
          <w:sz w:val="16"/>
        </w:rPr>
      </w:pPr>
      <w:r>
        <w:rPr>
          <w:b/>
          <w:color w:val="010101"/>
          <w:w w:val="125"/>
          <w:sz w:val="16"/>
        </w:rPr>
        <w:t>The  central  death</w:t>
      </w:r>
      <w:r>
        <w:rPr>
          <w:b/>
          <w:color w:val="010101"/>
          <w:spacing w:val="-10"/>
          <w:w w:val="125"/>
          <w:sz w:val="16"/>
        </w:rPr>
        <w:t> </w:t>
      </w:r>
      <w:r>
        <w:rPr>
          <w:b/>
          <w:color w:val="010101"/>
          <w:w w:val="125"/>
          <w:sz w:val="16"/>
        </w:rPr>
        <w:t>rate</w:t>
      </w:r>
    </w:p>
    <w:p>
      <w:pPr>
        <w:pStyle w:val="ListParagraph"/>
        <w:numPr>
          <w:ilvl w:val="1"/>
          <w:numId w:val="83"/>
        </w:numPr>
        <w:tabs>
          <w:tab w:pos="493" w:val="left" w:leader="none"/>
        </w:tabs>
        <w:spacing w:line="235" w:lineRule="exact" w:before="27" w:after="0"/>
        <w:ind w:left="492" w:right="0" w:hanging="216"/>
        <w:jc w:val="left"/>
        <w:rPr>
          <w:i/>
          <w:color w:val="010101"/>
          <w:sz w:val="17"/>
        </w:rPr>
      </w:pPr>
      <w:r>
        <w:rPr>
          <w:color w:val="010101"/>
          <w:w w:val="96"/>
          <w:sz w:val="18"/>
        </w:rPr>
        <w:t>Show</w:t>
      </w:r>
      <w:r>
        <w:rPr>
          <w:color w:val="010101"/>
          <w:spacing w:val="13"/>
          <w:sz w:val="18"/>
        </w:rPr>
        <w:t> </w:t>
      </w:r>
      <w:r>
        <w:rPr>
          <w:color w:val="010101"/>
          <w:w w:val="99"/>
          <w:sz w:val="18"/>
        </w:rPr>
        <w:t>tha.t</w:t>
      </w:r>
      <w:r>
        <w:rPr>
          <w:color w:val="010101"/>
          <w:spacing w:val="10"/>
          <w:sz w:val="18"/>
        </w:rPr>
        <w:t> </w:t>
      </w:r>
      <w:r>
        <w:rPr>
          <w:color w:val="010101"/>
          <w:w w:val="79"/>
          <w:sz w:val="19"/>
        </w:rPr>
        <w:t>mz</w:t>
      </w:r>
      <w:r>
        <w:rPr>
          <w:color w:val="010101"/>
          <w:spacing w:val="18"/>
          <w:sz w:val="19"/>
        </w:rPr>
        <w:t> </w:t>
      </w:r>
      <w:r>
        <w:rPr>
          <w:color w:val="010101"/>
          <w:w w:val="106"/>
          <w:sz w:val="17"/>
        </w:rPr>
        <w:t>is</w:t>
      </w:r>
      <w:r>
        <w:rPr>
          <w:color w:val="010101"/>
          <w:spacing w:val="15"/>
          <w:sz w:val="17"/>
        </w:rPr>
        <w:t> </w:t>
      </w:r>
      <w:r>
        <w:rPr>
          <w:color w:val="010101"/>
          <w:w w:val="106"/>
          <w:sz w:val="18"/>
        </w:rPr>
        <w:t>constant</w:t>
      </w:r>
      <w:r>
        <w:rPr>
          <w:color w:val="010101"/>
          <w:spacing w:val="17"/>
          <w:sz w:val="18"/>
        </w:rPr>
        <w:t> </w:t>
      </w:r>
      <w:r>
        <w:rPr>
          <w:color w:val="010101"/>
          <w:w w:val="104"/>
          <w:sz w:val="18"/>
        </w:rPr>
        <w:t>for</w:t>
      </w:r>
      <w:r>
        <w:rPr>
          <w:color w:val="010101"/>
          <w:spacing w:val="11"/>
          <w:sz w:val="18"/>
        </w:rPr>
        <w:t> </w:t>
      </w:r>
      <w:r>
        <w:rPr>
          <w:color w:val="010101"/>
          <w:w w:val="101"/>
          <w:sz w:val="18"/>
        </w:rPr>
        <w:t>ali</w:t>
      </w:r>
      <w:r>
        <w:rPr>
          <w:color w:val="010101"/>
          <w:spacing w:val="19"/>
          <w:sz w:val="18"/>
        </w:rPr>
        <w:t> </w:t>
      </w:r>
      <w:r>
        <w:rPr>
          <w:color w:val="010101"/>
          <w:w w:val="101"/>
          <w:sz w:val="18"/>
        </w:rPr>
        <w:t>values</w:t>
      </w:r>
      <w:r>
        <w:rPr>
          <w:color w:val="010101"/>
          <w:sz w:val="18"/>
        </w:rPr>
        <w:t> </w:t>
      </w:r>
      <w:r>
        <w:rPr>
          <w:color w:val="010101"/>
          <w:spacing w:val="-21"/>
          <w:sz w:val="18"/>
        </w:rPr>
        <w:t> </w:t>
      </w:r>
      <w:r>
        <w:rPr>
          <w:color w:val="010101"/>
          <w:w w:val="81"/>
          <w:sz w:val="18"/>
        </w:rPr>
        <w:t>of</w:t>
      </w:r>
      <w:r>
        <w:rPr>
          <w:color w:val="010101"/>
          <w:spacing w:val="22"/>
          <w:sz w:val="18"/>
        </w:rPr>
        <w:t> </w:t>
      </w:r>
      <w:r>
        <w:rPr>
          <w:rFonts w:ascii="Arial" w:hAnsi="Arial"/>
          <w:i/>
          <w:color w:val="010101"/>
          <w:w w:val="107"/>
          <w:sz w:val="14"/>
        </w:rPr>
        <w:t>x</w:t>
      </w:r>
      <w:r>
        <w:rPr>
          <w:rFonts w:ascii="Arial" w:hAnsi="Arial"/>
          <w:i/>
          <w:color w:val="010101"/>
          <w:sz w:val="14"/>
        </w:rPr>
        <w:t> </w:t>
      </w:r>
      <w:r>
        <w:rPr>
          <w:rFonts w:ascii="Arial" w:hAnsi="Arial"/>
          <w:i/>
          <w:color w:val="010101"/>
          <w:spacing w:val="-6"/>
          <w:sz w:val="14"/>
        </w:rPr>
        <w:t> </w:t>
      </w:r>
      <w:r>
        <w:rPr>
          <w:color w:val="010101"/>
          <w:w w:val="85"/>
          <w:sz w:val="18"/>
        </w:rPr>
        <w:t>if</w:t>
      </w:r>
      <w:r>
        <w:rPr>
          <w:color w:val="010101"/>
          <w:sz w:val="18"/>
        </w:rPr>
        <w:t> </w:t>
      </w:r>
      <w:r>
        <w:rPr>
          <w:color w:val="010101"/>
          <w:spacing w:val="-16"/>
          <w:sz w:val="18"/>
        </w:rPr>
        <w:t> </w:t>
      </w:r>
      <w:r>
        <w:rPr>
          <w:i/>
          <w:color w:val="010101"/>
          <w:w w:val="89"/>
          <w:sz w:val="17"/>
        </w:rPr>
        <w:t>l,.</w:t>
      </w:r>
      <w:r>
        <w:rPr>
          <w:i/>
          <w:color w:val="010101"/>
          <w:sz w:val="17"/>
        </w:rPr>
        <w:t> </w:t>
      </w:r>
      <w:r>
        <w:rPr>
          <w:i/>
          <w:color w:val="010101"/>
          <w:spacing w:val="-18"/>
          <w:sz w:val="17"/>
        </w:rPr>
        <w:t> </w:t>
      </w:r>
      <w:r>
        <w:rPr>
          <w:color w:val="010101"/>
          <w:w w:val="86"/>
          <w:sz w:val="23"/>
        </w:rPr>
        <w:t>=</w:t>
      </w:r>
      <w:r>
        <w:rPr>
          <w:color w:val="010101"/>
          <w:spacing w:val="20"/>
          <w:sz w:val="23"/>
        </w:rPr>
        <w:t> </w:t>
      </w:r>
      <w:r>
        <w:rPr>
          <w:i/>
          <w:color w:val="010101"/>
          <w:w w:val="82"/>
          <w:sz w:val="15"/>
        </w:rPr>
        <w:t>Ice,</w:t>
      </w:r>
      <w:r>
        <w:rPr>
          <w:i/>
          <w:color w:val="010101"/>
          <w:spacing w:val="5"/>
          <w:w w:val="82"/>
          <w:sz w:val="15"/>
        </w:rPr>
        <w:t>-</w:t>
      </w:r>
      <w:r>
        <w:rPr>
          <w:i/>
          <w:color w:val="010101"/>
          <w:w w:val="177"/>
          <w:sz w:val="15"/>
        </w:rPr>
        <w:t>•.</w:t>
      </w:r>
    </w:p>
    <w:p>
      <w:pPr>
        <w:pStyle w:val="ListParagraph"/>
        <w:numPr>
          <w:ilvl w:val="1"/>
          <w:numId w:val="83"/>
        </w:numPr>
        <w:tabs>
          <w:tab w:pos="493" w:val="left" w:leader="none"/>
        </w:tabs>
        <w:spacing w:line="235" w:lineRule="exact" w:before="0" w:after="0"/>
        <w:ind w:left="492" w:right="0" w:hanging="212"/>
        <w:jc w:val="left"/>
        <w:rPr>
          <w:color w:val="010101"/>
          <w:sz w:val="18"/>
        </w:rPr>
      </w:pPr>
      <w:r>
        <w:rPr>
          <w:color w:val="010101"/>
          <w:sz w:val="18"/>
        </w:rPr>
        <w:t>Estimate </w:t>
      </w:r>
      <w:r>
        <w:rPr>
          <w:color w:val="010101"/>
          <w:sz w:val="17"/>
        </w:rPr>
        <w:t>mu </w:t>
      </w:r>
      <w:r>
        <w:rPr>
          <w:color w:val="010101"/>
          <w:sz w:val="18"/>
        </w:rPr>
        <w:t>if  </w:t>
      </w:r>
      <w:r>
        <w:rPr>
          <w:rFonts w:ascii="Arial"/>
          <w:i/>
          <w:color w:val="010101"/>
          <w:w w:val="105"/>
          <w:sz w:val="17"/>
        </w:rPr>
        <w:t>lu  </w:t>
      </w:r>
      <w:r>
        <w:rPr>
          <w:color w:val="010101"/>
          <w:sz w:val="23"/>
        </w:rPr>
        <w:t>=  </w:t>
      </w:r>
      <w:r>
        <w:rPr>
          <w:color w:val="010101"/>
          <w:sz w:val="18"/>
        </w:rPr>
        <w:t>10,075 and </w:t>
      </w:r>
      <w:r>
        <w:rPr>
          <w:i/>
          <w:color w:val="010101"/>
          <w:sz w:val="17"/>
        </w:rPr>
        <w:t>l11  </w:t>
      </w:r>
      <w:r>
        <w:rPr>
          <w:rFonts w:ascii="Arial"/>
          <w:color w:val="010101"/>
          <w:sz w:val="17"/>
        </w:rPr>
        <w:t>=</w:t>
      </w:r>
      <w:r>
        <w:rPr>
          <w:rFonts w:ascii="Arial"/>
          <w:color w:val="010101"/>
          <w:spacing w:val="-10"/>
          <w:sz w:val="17"/>
        </w:rPr>
        <w:t> </w:t>
      </w:r>
      <w:r>
        <w:rPr>
          <w:color w:val="010101"/>
          <w:sz w:val="18"/>
        </w:rPr>
        <w:t>9925.</w:t>
      </w:r>
    </w:p>
    <w:p>
      <w:pPr>
        <w:spacing w:line="253" w:lineRule="exact" w:before="36"/>
        <w:ind w:left="283" w:right="739" w:firstLine="0"/>
        <w:jc w:val="left"/>
        <w:rPr>
          <w:sz w:val="11"/>
        </w:rPr>
      </w:pPr>
      <w:r>
        <w:rPr>
          <w:color w:val="010101"/>
          <w:sz w:val="19"/>
        </w:rPr>
        <w:t>6. </w:t>
      </w:r>
      <w:r>
        <w:rPr>
          <w:color w:val="010101"/>
          <w:sz w:val="18"/>
        </w:rPr>
        <w:t>Show that </w:t>
      </w:r>
      <w:r>
        <w:rPr>
          <w:color w:val="010101"/>
          <w:sz w:val="19"/>
        </w:rPr>
        <w:t>L,.+</w:t>
      </w:r>
      <w:r>
        <w:rPr>
          <w:color w:val="010101"/>
          <w:position w:val="-2"/>
          <w:sz w:val="11"/>
        </w:rPr>
        <w:t>1  </w:t>
      </w:r>
      <w:r>
        <w:rPr>
          <w:color w:val="010101"/>
          <w:sz w:val="19"/>
        </w:rPr>
        <w:t>= </w:t>
      </w:r>
      <w:r>
        <w:rPr>
          <w:i/>
          <w:color w:val="010101"/>
          <w:sz w:val="22"/>
        </w:rPr>
        <w:t>L,.e- f! </w:t>
      </w:r>
      <w:r>
        <w:rPr>
          <w:rFonts w:ascii="Arial" w:hAnsi="Arial"/>
          <w:color w:val="010101"/>
          <w:sz w:val="21"/>
        </w:rPr>
        <w:t>••+' </w:t>
      </w:r>
      <w:r>
        <w:rPr>
          <w:color w:val="010101"/>
          <w:position w:val="7"/>
          <w:sz w:val="11"/>
        </w:rPr>
        <w:t>41</w:t>
      </w:r>
      <w:r>
        <w:rPr>
          <w:color w:val="010101"/>
          <w:sz w:val="11"/>
        </w:rPr>
        <w:t>•</w:t>
      </w:r>
    </w:p>
    <w:p>
      <w:pPr>
        <w:spacing w:line="202" w:lineRule="exact" w:before="0"/>
        <w:ind w:left="118" w:right="133" w:firstLine="157"/>
        <w:jc w:val="left"/>
        <w:rPr>
          <w:sz w:val="18"/>
        </w:rPr>
      </w:pPr>
      <w:r>
        <w:rPr>
          <w:color w:val="010101"/>
          <w:w w:val="105"/>
          <w:sz w:val="17"/>
        </w:rPr>
        <w:t>7. </w:t>
      </w:r>
      <w:r>
        <w:rPr>
          <w:color w:val="010101"/>
          <w:w w:val="105"/>
          <w:sz w:val="18"/>
        </w:rPr>
        <w:t>Calculate theexact value of the central death rate </w:t>
      </w:r>
      <w:r>
        <w:rPr>
          <w:b/>
          <w:color w:val="010101"/>
          <w:w w:val="105"/>
          <w:sz w:val="17"/>
        </w:rPr>
        <w:t>at age </w:t>
      </w:r>
      <w:r>
        <w:rPr>
          <w:rFonts w:ascii="Arial"/>
          <w:i/>
          <w:color w:val="010101"/>
          <w:w w:val="105"/>
          <w:sz w:val="14"/>
        </w:rPr>
        <w:t>x </w:t>
      </w:r>
      <w:r>
        <w:rPr>
          <w:color w:val="010101"/>
          <w:w w:val="105"/>
          <w:sz w:val="18"/>
        </w:rPr>
        <w:t>if mortality follows the de Moivre law.</w:t>
      </w:r>
    </w:p>
    <w:p>
      <w:pPr>
        <w:pStyle w:val="ListParagraph"/>
        <w:numPr>
          <w:ilvl w:val="0"/>
          <w:numId w:val="83"/>
        </w:numPr>
        <w:tabs>
          <w:tab w:pos="302" w:val="left" w:leader="none"/>
        </w:tabs>
        <w:spacing w:line="240" w:lineRule="auto" w:before="154" w:after="0"/>
        <w:ind w:left="301" w:right="0" w:hanging="186"/>
        <w:jc w:val="left"/>
        <w:rPr>
          <w:b/>
          <w:color w:val="010101"/>
          <w:sz w:val="18"/>
        </w:rPr>
      </w:pPr>
      <w:r>
        <w:rPr>
          <w:b/>
          <w:color w:val="010101"/>
          <w:w w:val="125"/>
          <w:sz w:val="16"/>
        </w:rPr>
        <w:t>The e:xpeetation of</w:t>
      </w:r>
      <w:r>
        <w:rPr>
          <w:b/>
          <w:color w:val="010101"/>
          <w:spacing w:val="25"/>
          <w:w w:val="125"/>
          <w:sz w:val="16"/>
        </w:rPr>
        <w:t> </w:t>
      </w:r>
      <w:r>
        <w:rPr>
          <w:b/>
          <w:color w:val="010101"/>
          <w:w w:val="125"/>
          <w:sz w:val="16"/>
        </w:rPr>
        <w:t>lile</w:t>
      </w:r>
    </w:p>
    <w:p>
      <w:pPr>
        <w:pStyle w:val="ListParagraph"/>
        <w:numPr>
          <w:ilvl w:val="0"/>
          <w:numId w:val="84"/>
        </w:numPr>
        <w:tabs>
          <w:tab w:pos="496" w:val="left" w:leader="none"/>
        </w:tabs>
        <w:spacing w:line="202" w:lineRule="exact" w:before="76" w:after="0"/>
        <w:ind w:left="122" w:right="129" w:firstLine="158"/>
        <w:jc w:val="left"/>
        <w:rPr>
          <w:color w:val="010101"/>
          <w:sz w:val="17"/>
        </w:rPr>
      </w:pPr>
      <w:r>
        <w:rPr>
          <w:color w:val="010101"/>
          <w:sz w:val="18"/>
        </w:rPr>
        <w:t>From the following data, compute  the  curtate  expectation  of  life  at  age  90 and  estimate  the  complete</w:t>
      </w:r>
      <w:r>
        <w:rPr>
          <w:color w:val="010101"/>
          <w:spacing w:val="26"/>
          <w:sz w:val="18"/>
        </w:rPr>
        <w:t> </w:t>
      </w:r>
      <w:r>
        <w:rPr>
          <w:color w:val="010101"/>
          <w:sz w:val="18"/>
        </w:rPr>
        <w:t>expecta.tion:</w:t>
      </w:r>
    </w:p>
    <w:p>
      <w:pPr>
        <w:tabs>
          <w:tab w:pos="4393" w:val="left" w:leader="none"/>
        </w:tabs>
        <w:spacing w:line="340" w:lineRule="exact" w:before="0"/>
        <w:ind w:left="2128" w:right="739" w:firstLine="0"/>
        <w:jc w:val="left"/>
        <w:rPr>
          <w:sz w:val="46"/>
        </w:rPr>
      </w:pPr>
      <w:r>
        <w:rPr/>
        <w:pict>
          <v:shape style="position:absolute;margin-left:104.491302pt;margin-top:6.241523pt;width:154.5pt;height:64.7pt;mso-position-horizontal-relative:page;mso-position-vertical-relative:paragraph;z-index:15328"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444"/>
                    <w:gridCol w:w="1117"/>
                    <w:gridCol w:w="1128"/>
                    <w:gridCol w:w="401"/>
                  </w:tblGrid>
                  <w:tr>
                    <w:trPr>
                      <w:trHeight w:val="410" w:hRule="exact"/>
                    </w:trPr>
                    <w:tc>
                      <w:tcPr>
                        <w:tcW w:w="444" w:type="dxa"/>
                      </w:tcPr>
                      <w:p>
                        <w:pPr>
                          <w:pStyle w:val="TableParagraph"/>
                          <w:spacing w:line="126" w:lineRule="exact"/>
                          <w:ind w:left="74"/>
                          <w:rPr>
                            <w:rFonts w:ascii="Arial"/>
                            <w:b/>
                            <w:sz w:val="12"/>
                          </w:rPr>
                        </w:pPr>
                        <w:r>
                          <w:rPr>
                            <w:rFonts w:ascii="Arial"/>
                            <w:b/>
                            <w:color w:val="010101"/>
                            <w:w w:val="114"/>
                            <w:sz w:val="12"/>
                          </w:rPr>
                          <w:t>s</w:t>
                        </w:r>
                      </w:p>
                      <w:p>
                        <w:pPr>
                          <w:pStyle w:val="TableParagraph"/>
                          <w:spacing w:before="65"/>
                          <w:ind w:left="38"/>
                          <w:rPr>
                            <w:rFonts w:ascii="Times New Roman"/>
                            <w:sz w:val="18"/>
                          </w:rPr>
                        </w:pPr>
                        <w:r>
                          <w:rPr>
                            <w:rFonts w:ascii="Times New Roman"/>
                            <w:color w:val="010101"/>
                            <w:sz w:val="18"/>
                          </w:rPr>
                          <w:t>90</w:t>
                        </w:r>
                      </w:p>
                    </w:tc>
                    <w:tc>
                      <w:tcPr>
                        <w:tcW w:w="1117" w:type="dxa"/>
                      </w:tcPr>
                      <w:p>
                        <w:pPr>
                          <w:pStyle w:val="TableParagraph"/>
                          <w:spacing w:before="7"/>
                          <w:rPr>
                            <w:rFonts w:ascii="Times New Roman"/>
                            <w:sz w:val="17"/>
                          </w:rPr>
                        </w:pPr>
                      </w:p>
                      <w:p>
                        <w:pPr>
                          <w:pStyle w:val="TableParagraph"/>
                          <w:ind w:left="233"/>
                          <w:rPr>
                            <w:rFonts w:ascii="Times New Roman"/>
                            <w:sz w:val="16"/>
                          </w:rPr>
                        </w:pPr>
                        <w:r>
                          <w:rPr>
                            <w:rFonts w:ascii="Times New Roman"/>
                            <w:color w:val="010101"/>
                            <w:w w:val="105"/>
                            <w:sz w:val="16"/>
                          </w:rPr>
                          <w:t>21</w:t>
                        </w:r>
                      </w:p>
                    </w:tc>
                    <w:tc>
                      <w:tcPr>
                        <w:tcW w:w="1128" w:type="dxa"/>
                      </w:tcPr>
                      <w:p>
                        <w:pPr>
                          <w:pStyle w:val="TableParagraph"/>
                          <w:spacing w:line="123" w:lineRule="exact"/>
                          <w:ind w:left="742"/>
                          <w:rPr>
                            <w:rFonts w:ascii="Arial"/>
                            <w:b/>
                            <w:sz w:val="12"/>
                          </w:rPr>
                        </w:pPr>
                        <w:r>
                          <w:rPr>
                            <w:rFonts w:ascii="Arial"/>
                            <w:b/>
                            <w:color w:val="010101"/>
                            <w:w w:val="108"/>
                            <w:sz w:val="12"/>
                          </w:rPr>
                          <w:t>s</w:t>
                        </w:r>
                      </w:p>
                      <w:p>
                        <w:pPr>
                          <w:pStyle w:val="TableParagraph"/>
                          <w:spacing w:before="84"/>
                          <w:ind w:left="699"/>
                          <w:rPr>
                            <w:rFonts w:ascii="Times New Roman"/>
                            <w:sz w:val="16"/>
                          </w:rPr>
                        </w:pPr>
                        <w:r>
                          <w:rPr>
                            <w:rFonts w:ascii="Times New Roman"/>
                            <w:color w:val="010101"/>
                            <w:w w:val="110"/>
                            <w:sz w:val="16"/>
                          </w:rPr>
                          <w:t>95</w:t>
                        </w:r>
                      </w:p>
                    </w:tc>
                    <w:tc>
                      <w:tcPr>
                        <w:tcW w:w="401" w:type="dxa"/>
                      </w:tcPr>
                      <w:p>
                        <w:pPr>
                          <w:pStyle w:val="TableParagraph"/>
                          <w:spacing w:before="2"/>
                          <w:rPr>
                            <w:rFonts w:ascii="Times New Roman"/>
                            <w:sz w:val="18"/>
                          </w:rPr>
                        </w:pPr>
                      </w:p>
                      <w:p>
                        <w:pPr>
                          <w:pStyle w:val="TableParagraph"/>
                          <w:ind w:right="50"/>
                          <w:jc w:val="right"/>
                          <w:rPr>
                            <w:rFonts w:ascii="Arial"/>
                            <w:sz w:val="16"/>
                          </w:rPr>
                        </w:pPr>
                        <w:r>
                          <w:rPr>
                            <w:rFonts w:ascii="Arial"/>
                            <w:color w:val="010101"/>
                            <w:w w:val="106"/>
                            <w:sz w:val="16"/>
                          </w:rPr>
                          <w:t>5</w:t>
                        </w:r>
                      </w:p>
                    </w:tc>
                  </w:tr>
                  <w:tr>
                    <w:trPr>
                      <w:trHeight w:val="195" w:hRule="exact"/>
                    </w:trPr>
                    <w:tc>
                      <w:tcPr>
                        <w:tcW w:w="444" w:type="dxa"/>
                      </w:tcPr>
                      <w:p>
                        <w:pPr>
                          <w:pStyle w:val="TableParagraph"/>
                          <w:spacing w:line="182" w:lineRule="exact"/>
                          <w:ind w:left="35"/>
                          <w:rPr>
                            <w:rFonts w:ascii="Times New Roman"/>
                            <w:sz w:val="16"/>
                          </w:rPr>
                        </w:pPr>
                        <w:r>
                          <w:rPr>
                            <w:rFonts w:ascii="Times New Roman"/>
                            <w:color w:val="010101"/>
                            <w:w w:val="110"/>
                            <w:sz w:val="16"/>
                          </w:rPr>
                          <w:t>91</w:t>
                        </w:r>
                      </w:p>
                    </w:tc>
                    <w:tc>
                      <w:tcPr>
                        <w:tcW w:w="1117" w:type="dxa"/>
                      </w:tcPr>
                      <w:p>
                        <w:pPr>
                          <w:pStyle w:val="TableParagraph"/>
                          <w:spacing w:line="178" w:lineRule="exact"/>
                          <w:ind w:left="241"/>
                          <w:rPr>
                            <w:rFonts w:ascii="Times New Roman"/>
                            <w:sz w:val="16"/>
                          </w:rPr>
                        </w:pPr>
                        <w:r>
                          <w:rPr>
                            <w:rFonts w:ascii="Times New Roman"/>
                            <w:color w:val="010101"/>
                            <w:w w:val="125"/>
                            <w:sz w:val="16"/>
                          </w:rPr>
                          <w:t>15</w:t>
                        </w:r>
                      </w:p>
                    </w:tc>
                    <w:tc>
                      <w:tcPr>
                        <w:tcW w:w="1128" w:type="dxa"/>
                      </w:tcPr>
                      <w:p>
                        <w:pPr>
                          <w:pStyle w:val="TableParagraph"/>
                          <w:spacing w:line="178" w:lineRule="exact"/>
                          <w:ind w:right="257"/>
                          <w:jc w:val="right"/>
                          <w:rPr>
                            <w:rFonts w:ascii="Times New Roman"/>
                            <w:sz w:val="16"/>
                          </w:rPr>
                        </w:pPr>
                        <w:r>
                          <w:rPr>
                            <w:rFonts w:ascii="Times New Roman"/>
                            <w:color w:val="010101"/>
                            <w:sz w:val="16"/>
                          </w:rPr>
                          <w:t>96</w:t>
                        </w:r>
                      </w:p>
                    </w:tc>
                    <w:tc>
                      <w:tcPr>
                        <w:tcW w:w="401" w:type="dxa"/>
                      </w:tcPr>
                      <w:p>
                        <w:pPr>
                          <w:pStyle w:val="TableParagraph"/>
                          <w:spacing w:line="181" w:lineRule="exact"/>
                          <w:ind w:right="54"/>
                          <w:jc w:val="right"/>
                          <w:rPr>
                            <w:rFonts w:ascii="Arial"/>
                            <w:sz w:val="16"/>
                          </w:rPr>
                        </w:pPr>
                        <w:r>
                          <w:rPr>
                            <w:rFonts w:ascii="Arial"/>
                            <w:color w:val="010101"/>
                            <w:w w:val="97"/>
                            <w:sz w:val="16"/>
                          </w:rPr>
                          <w:t>3</w:t>
                        </w:r>
                      </w:p>
                    </w:tc>
                  </w:tr>
                  <w:tr>
                    <w:trPr>
                      <w:trHeight w:val="184" w:hRule="exact"/>
                    </w:trPr>
                    <w:tc>
                      <w:tcPr>
                        <w:tcW w:w="444" w:type="dxa"/>
                      </w:tcPr>
                      <w:p>
                        <w:pPr>
                          <w:pStyle w:val="TableParagraph"/>
                          <w:spacing w:before="3"/>
                          <w:ind w:left="35"/>
                          <w:rPr>
                            <w:rFonts w:ascii="Arial"/>
                            <w:sz w:val="16"/>
                          </w:rPr>
                        </w:pPr>
                        <w:r>
                          <w:rPr>
                            <w:rFonts w:ascii="Arial"/>
                            <w:color w:val="010101"/>
                            <w:sz w:val="16"/>
                          </w:rPr>
                          <w:t>92</w:t>
                        </w:r>
                      </w:p>
                    </w:tc>
                    <w:tc>
                      <w:tcPr>
                        <w:tcW w:w="1117" w:type="dxa"/>
                      </w:tcPr>
                      <w:p>
                        <w:pPr>
                          <w:pStyle w:val="TableParagraph"/>
                          <w:ind w:left="241"/>
                          <w:rPr>
                            <w:rFonts w:ascii="Times New Roman"/>
                            <w:sz w:val="16"/>
                          </w:rPr>
                        </w:pPr>
                        <w:r>
                          <w:rPr>
                            <w:rFonts w:ascii="Times New Roman"/>
                            <w:color w:val="010101"/>
                            <w:w w:val="110"/>
                            <w:sz w:val="16"/>
                          </w:rPr>
                          <w:t>12</w:t>
                        </w:r>
                      </w:p>
                    </w:tc>
                    <w:tc>
                      <w:tcPr>
                        <w:tcW w:w="1128" w:type="dxa"/>
                      </w:tcPr>
                      <w:p>
                        <w:pPr>
                          <w:pStyle w:val="TableParagraph"/>
                          <w:spacing w:line="184" w:lineRule="exact"/>
                          <w:ind w:right="262"/>
                          <w:jc w:val="right"/>
                          <w:rPr>
                            <w:rFonts w:ascii="Arial"/>
                            <w:sz w:val="16"/>
                          </w:rPr>
                        </w:pPr>
                        <w:r>
                          <w:rPr>
                            <w:rFonts w:ascii="Arial"/>
                            <w:color w:val="010101"/>
                            <w:w w:val="85"/>
                            <w:sz w:val="16"/>
                          </w:rPr>
                          <w:t>97</w:t>
                        </w:r>
                      </w:p>
                    </w:tc>
                    <w:tc>
                      <w:tcPr>
                        <w:tcW w:w="401" w:type="dxa"/>
                      </w:tcPr>
                      <w:p>
                        <w:pPr>
                          <w:pStyle w:val="TableParagraph"/>
                          <w:spacing w:line="190" w:lineRule="exact"/>
                          <w:ind w:right="33"/>
                          <w:jc w:val="right"/>
                          <w:rPr>
                            <w:rFonts w:ascii="Times New Roman"/>
                            <w:sz w:val="17"/>
                          </w:rPr>
                        </w:pPr>
                        <w:r>
                          <w:rPr>
                            <w:rFonts w:ascii="Times New Roman"/>
                            <w:color w:val="010101"/>
                            <w:w w:val="111"/>
                            <w:sz w:val="17"/>
                          </w:rPr>
                          <w:t>1</w:t>
                        </w:r>
                      </w:p>
                    </w:tc>
                  </w:tr>
                  <w:tr>
                    <w:trPr>
                      <w:trHeight w:val="219" w:hRule="exact"/>
                    </w:trPr>
                    <w:tc>
                      <w:tcPr>
                        <w:tcW w:w="444" w:type="dxa"/>
                      </w:tcPr>
                      <w:p>
                        <w:pPr>
                          <w:pStyle w:val="TableParagraph"/>
                          <w:spacing w:before="21"/>
                          <w:ind w:left="42"/>
                          <w:rPr>
                            <w:rFonts w:ascii="Arial"/>
                            <w:sz w:val="16"/>
                          </w:rPr>
                        </w:pPr>
                        <w:r>
                          <w:rPr>
                            <w:rFonts w:ascii="Arial"/>
                            <w:color w:val="010101"/>
                            <w:sz w:val="16"/>
                          </w:rPr>
                          <w:t>93</w:t>
                        </w:r>
                      </w:p>
                    </w:tc>
                    <w:tc>
                      <w:tcPr>
                        <w:tcW w:w="1117" w:type="dxa"/>
                      </w:tcPr>
                      <w:p>
                        <w:pPr>
                          <w:pStyle w:val="TableParagraph"/>
                          <w:spacing w:before="17"/>
                          <w:ind w:left="316"/>
                          <w:rPr>
                            <w:rFonts w:ascii="Arial"/>
                            <w:sz w:val="16"/>
                          </w:rPr>
                        </w:pPr>
                        <w:r>
                          <w:rPr>
                            <w:rFonts w:ascii="Arial"/>
                            <w:color w:val="010101"/>
                            <w:w w:val="97"/>
                            <w:sz w:val="16"/>
                          </w:rPr>
                          <w:t>9</w:t>
                        </w:r>
                      </w:p>
                    </w:tc>
                    <w:tc>
                      <w:tcPr>
                        <w:tcW w:w="1128" w:type="dxa"/>
                      </w:tcPr>
                      <w:p>
                        <w:pPr>
                          <w:pStyle w:val="TableParagraph"/>
                          <w:spacing w:before="17"/>
                          <w:ind w:right="251"/>
                          <w:jc w:val="right"/>
                          <w:rPr>
                            <w:rFonts w:ascii="Arial"/>
                            <w:sz w:val="16"/>
                          </w:rPr>
                        </w:pPr>
                        <w:r>
                          <w:rPr>
                            <w:rFonts w:ascii="Arial"/>
                            <w:color w:val="010101"/>
                            <w:w w:val="95"/>
                            <w:sz w:val="16"/>
                          </w:rPr>
                          <w:t>98</w:t>
                        </w:r>
                      </w:p>
                    </w:tc>
                    <w:tc>
                      <w:tcPr>
                        <w:tcW w:w="401" w:type="dxa"/>
                      </w:tcPr>
                      <w:p>
                        <w:pPr>
                          <w:pStyle w:val="TableParagraph"/>
                          <w:spacing w:line="212" w:lineRule="exact"/>
                          <w:ind w:right="45"/>
                          <w:jc w:val="right"/>
                          <w:rPr>
                            <w:rFonts w:ascii="Arial"/>
                            <w:sz w:val="21"/>
                          </w:rPr>
                        </w:pPr>
                        <w:r>
                          <w:rPr>
                            <w:rFonts w:ascii="Arial"/>
                            <w:color w:val="010101"/>
                            <w:w w:val="78"/>
                            <w:sz w:val="21"/>
                          </w:rPr>
                          <w:t>o</w:t>
                        </w:r>
                      </w:p>
                    </w:tc>
                  </w:tr>
                  <w:tr>
                    <w:trPr>
                      <w:trHeight w:val="285" w:hRule="exact"/>
                    </w:trPr>
                    <w:tc>
                      <w:tcPr>
                        <w:tcW w:w="444" w:type="dxa"/>
                      </w:tcPr>
                      <w:p>
                        <w:pPr>
                          <w:pStyle w:val="TableParagraph"/>
                          <w:spacing w:line="196" w:lineRule="exact"/>
                          <w:ind w:left="42"/>
                          <w:rPr>
                            <w:rFonts w:ascii="Times New Roman"/>
                            <w:sz w:val="18"/>
                          </w:rPr>
                        </w:pPr>
                        <w:r>
                          <w:rPr>
                            <w:rFonts w:ascii="Times New Roman"/>
                            <w:color w:val="010101"/>
                            <w:sz w:val="18"/>
                          </w:rPr>
                          <w:t>94</w:t>
                        </w:r>
                      </w:p>
                    </w:tc>
                    <w:tc>
                      <w:tcPr>
                        <w:tcW w:w="1117" w:type="dxa"/>
                      </w:tcPr>
                      <w:p>
                        <w:pPr>
                          <w:pStyle w:val="TableParagraph"/>
                          <w:spacing w:line="196" w:lineRule="exact"/>
                          <w:ind w:left="316"/>
                          <w:rPr>
                            <w:rFonts w:ascii="Times New Roman"/>
                            <w:sz w:val="18"/>
                          </w:rPr>
                        </w:pPr>
                        <w:r>
                          <w:rPr>
                            <w:rFonts w:ascii="Times New Roman"/>
                            <w:color w:val="010101"/>
                            <w:w w:val="93"/>
                            <w:sz w:val="18"/>
                          </w:rPr>
                          <w:t>7</w:t>
                        </w:r>
                      </w:p>
                    </w:tc>
                    <w:tc>
                      <w:tcPr>
                        <w:tcW w:w="1128" w:type="dxa"/>
                      </w:tcPr>
                      <w:p>
                        <w:pPr/>
                      </w:p>
                    </w:tc>
                    <w:tc>
                      <w:tcPr>
                        <w:tcW w:w="401" w:type="dxa"/>
                      </w:tcPr>
                      <w:p>
                        <w:pPr/>
                      </w:p>
                    </w:tc>
                  </w:tr>
                </w:tbl>
                <w:p>
                  <w:pPr>
                    <w:pStyle w:val="BodyText"/>
                  </w:pPr>
                </w:p>
              </w:txbxContent>
            </v:textbox>
            <w10:wrap type="none"/>
          </v:shape>
        </w:pict>
      </w:r>
      <w:r>
        <w:rPr>
          <w:rFonts w:ascii="Arial"/>
          <w:color w:val="010101"/>
          <w:spacing w:val="-29"/>
          <w:w w:val="115"/>
          <w:sz w:val="40"/>
        </w:rPr>
        <w:t>,.</w:t>
        <w:tab/>
      </w:r>
      <w:r>
        <w:rPr>
          <w:color w:val="010101"/>
          <w:w w:val="115"/>
          <w:position w:val="-3"/>
          <w:sz w:val="46"/>
        </w:rPr>
        <w:t>.</w:t>
      </w:r>
    </w:p>
    <w:p>
      <w:pPr>
        <w:pStyle w:val="BodyText"/>
      </w:pPr>
    </w:p>
    <w:p>
      <w:pPr>
        <w:pStyle w:val="BodyText"/>
      </w:pPr>
    </w:p>
    <w:p>
      <w:pPr>
        <w:pStyle w:val="BodyText"/>
      </w:pPr>
    </w:p>
    <w:p>
      <w:pPr>
        <w:pStyle w:val="BodyText"/>
        <w:spacing w:before="10"/>
        <w:rPr>
          <w:sz w:val="24"/>
        </w:rPr>
      </w:pPr>
    </w:p>
    <w:p>
      <w:pPr>
        <w:pStyle w:val="ListParagraph"/>
        <w:numPr>
          <w:ilvl w:val="0"/>
          <w:numId w:val="84"/>
        </w:numPr>
        <w:tabs>
          <w:tab w:pos="489" w:val="left" w:leader="none"/>
        </w:tabs>
        <w:spacing w:line="240" w:lineRule="auto" w:before="71" w:after="0"/>
        <w:ind w:left="488" w:right="0" w:hanging="215"/>
        <w:jc w:val="left"/>
        <w:rPr>
          <w:color w:val="010101"/>
          <w:sz w:val="18"/>
        </w:rPr>
      </w:pPr>
      <w:r>
        <w:rPr>
          <w:color w:val="010101"/>
          <w:sz w:val="18"/>
        </w:rPr>
        <w:t>Find  </w:t>
      </w:r>
      <w:r>
        <w:rPr>
          <w:rFonts w:ascii="Arial"/>
          <w:i/>
          <w:color w:val="010101"/>
          <w:w w:val="90"/>
          <w:sz w:val="23"/>
        </w:rPr>
        <w:t>e,, </w:t>
      </w:r>
      <w:r>
        <w:rPr>
          <w:color w:val="010101"/>
          <w:sz w:val="18"/>
        </w:rPr>
        <w:t>assuming  de Moivre's</w:t>
      </w:r>
      <w:r>
        <w:rPr>
          <w:color w:val="010101"/>
          <w:spacing w:val="-17"/>
          <w:sz w:val="18"/>
        </w:rPr>
        <w:t> </w:t>
      </w:r>
      <w:r>
        <w:rPr>
          <w:color w:val="010101"/>
          <w:sz w:val="18"/>
        </w:rPr>
        <w:t>law.</w:t>
      </w:r>
    </w:p>
    <w:p>
      <w:pPr>
        <w:pStyle w:val="ListParagraph"/>
        <w:numPr>
          <w:ilvl w:val="0"/>
          <w:numId w:val="84"/>
        </w:numPr>
        <w:tabs>
          <w:tab w:pos="554" w:val="left" w:leader="none"/>
        </w:tabs>
        <w:spacing w:line="144" w:lineRule="exact" w:before="108" w:after="0"/>
        <w:ind w:left="553" w:right="0" w:hanging="273"/>
        <w:jc w:val="left"/>
        <w:rPr>
          <w:rFonts w:ascii="Arial" w:hAnsi="Arial"/>
          <w:color w:val="010101"/>
          <w:sz w:val="18"/>
        </w:rPr>
      </w:pPr>
      <w:r>
        <w:rPr>
          <w:color w:val="010101"/>
          <w:w w:val="105"/>
          <w:sz w:val="17"/>
        </w:rPr>
        <w:t>(a) </w:t>
      </w:r>
      <w:r>
        <w:rPr>
          <w:color w:val="010101"/>
          <w:w w:val="105"/>
          <w:sz w:val="18"/>
        </w:rPr>
        <w:t>Show that </w:t>
      </w:r>
      <w:r>
        <w:rPr>
          <w:rFonts w:ascii="Arial" w:hAnsi="Arial"/>
          <w:i/>
          <w:color w:val="010101"/>
          <w:w w:val="105"/>
          <w:position w:val="12"/>
          <w:sz w:val="18"/>
        </w:rPr>
        <w:t>d </w:t>
      </w:r>
      <w:r>
        <w:rPr>
          <w:color w:val="010101"/>
          <w:w w:val="105"/>
          <w:position w:val="12"/>
          <w:sz w:val="18"/>
        </w:rPr>
        <w:t>log </w:t>
      </w:r>
      <w:r>
        <w:rPr>
          <w:rFonts w:ascii="Arial" w:hAnsi="Arial"/>
          <w:i/>
          <w:color w:val="010101"/>
          <w:w w:val="125"/>
          <w:position w:val="12"/>
          <w:sz w:val="18"/>
        </w:rPr>
        <w:t>T. </w:t>
      </w:r>
      <w:r>
        <w:rPr>
          <w:rFonts w:ascii="Arial" w:hAnsi="Arial"/>
          <w:color w:val="010101"/>
          <w:sz w:val="15"/>
        </w:rPr>
        <w:t>==  </w:t>
      </w:r>
      <w:r>
        <w:rPr>
          <w:rFonts w:ascii="Arial" w:hAnsi="Arial"/>
          <w:color w:val="010101"/>
          <w:w w:val="250"/>
          <w:sz w:val="15"/>
        </w:rPr>
        <w:t>- </w:t>
      </w:r>
      <w:r>
        <w:rPr>
          <w:color w:val="010101"/>
          <w:w w:val="125"/>
          <w:position w:val="12"/>
          <w:sz w:val="17"/>
        </w:rPr>
        <w:t>1</w:t>
      </w:r>
      <w:r>
        <w:rPr>
          <w:color w:val="010101"/>
          <w:spacing w:val="-6"/>
          <w:w w:val="125"/>
          <w:position w:val="12"/>
          <w:sz w:val="17"/>
        </w:rPr>
        <w:t> </w:t>
      </w:r>
      <w:r>
        <w:rPr>
          <w:rFonts w:ascii="Arial" w:hAnsi="Arial"/>
          <w:color w:val="010101"/>
          <w:sz w:val="15"/>
        </w:rPr>
        <w:t>•</w:t>
      </w:r>
    </w:p>
    <w:p>
      <w:pPr>
        <w:tabs>
          <w:tab w:pos="2803" w:val="left" w:leader="none"/>
        </w:tabs>
        <w:spacing w:line="129" w:lineRule="exact" w:before="0"/>
        <w:ind w:left="1613" w:right="739" w:firstLine="0"/>
        <w:jc w:val="left"/>
        <w:rPr>
          <w:rFonts w:ascii="Arial"/>
          <w:sz w:val="15"/>
        </w:rPr>
      </w:pPr>
      <w:r>
        <w:rPr>
          <w:color w:val="010101"/>
          <w:spacing w:val="-216"/>
          <w:w w:val="517"/>
          <w:sz w:val="18"/>
        </w:rPr>
        <w:t>-</w:t>
      </w:r>
      <w:r>
        <w:rPr>
          <w:color w:val="010101"/>
          <w:spacing w:val="-145"/>
          <w:w w:val="517"/>
          <w:sz w:val="18"/>
        </w:rPr>
        <w:t>-</w:t>
      </w:r>
      <w:r>
        <w:rPr>
          <w:color w:val="010101"/>
          <w:w w:val="281"/>
          <w:sz w:val="18"/>
        </w:rPr>
        <w:t>-</w:t>
      </w:r>
      <w:r>
        <w:rPr>
          <w:color w:val="010101"/>
          <w:sz w:val="18"/>
        </w:rPr>
        <w:tab/>
      </w:r>
      <w:r>
        <w:rPr>
          <w:rFonts w:ascii="Arial"/>
          <w:color w:val="010101"/>
          <w:w w:val="151"/>
          <w:sz w:val="15"/>
        </w:rPr>
        <w:t>;-</w:t>
      </w:r>
    </w:p>
    <w:p>
      <w:pPr>
        <w:tabs>
          <w:tab w:pos="2792" w:val="left" w:leader="none"/>
        </w:tabs>
        <w:spacing w:line="184" w:lineRule="exact" w:before="0"/>
        <w:ind w:left="1899" w:right="739" w:firstLine="0"/>
        <w:jc w:val="left"/>
        <w:rPr>
          <w:rFonts w:ascii="Arial"/>
          <w:b/>
          <w:sz w:val="11"/>
        </w:rPr>
      </w:pPr>
      <w:r>
        <w:rPr>
          <w:b/>
          <w:i/>
          <w:color w:val="010101"/>
          <w:w w:val="90"/>
          <w:sz w:val="18"/>
        </w:rPr>
        <w:t>d:t</w:t>
        <w:tab/>
      </w:r>
      <w:r>
        <w:rPr>
          <w:rFonts w:ascii="Arial"/>
          <w:b/>
          <w:color w:val="010101"/>
          <w:w w:val="90"/>
          <w:sz w:val="11"/>
        </w:rPr>
        <w:t>c:s</w:t>
      </w:r>
    </w:p>
    <w:p>
      <w:pPr>
        <w:spacing w:after="0" w:line="184" w:lineRule="exact"/>
        <w:jc w:val="left"/>
        <w:rPr>
          <w:rFonts w:ascii="Arial"/>
          <w:sz w:val="11"/>
        </w:rPr>
        <w:sectPr>
          <w:type w:val="continuous"/>
          <w:pgSz w:w="7200" w:h="11340"/>
          <w:pgMar w:top="1100" w:bottom="0" w:left="660" w:right="560"/>
        </w:sectPr>
      </w:pPr>
    </w:p>
    <w:p>
      <w:pPr>
        <w:spacing w:line="142" w:lineRule="exact" w:before="123"/>
        <w:ind w:left="0" w:right="176" w:firstLine="0"/>
        <w:jc w:val="right"/>
        <w:rPr>
          <w:rFonts w:ascii="Arial"/>
          <w:sz w:val="16"/>
        </w:rPr>
      </w:pPr>
      <w:r>
        <w:rPr>
          <w:rFonts w:ascii="Arial"/>
          <w:color w:val="010101"/>
          <w:w w:val="150"/>
          <w:sz w:val="16"/>
        </w:rPr>
        <w:t>. </w:t>
      </w:r>
      <w:r>
        <w:rPr>
          <w:rFonts w:ascii="Arial"/>
          <w:color w:val="010101"/>
          <w:spacing w:val="65"/>
          <w:w w:val="150"/>
          <w:sz w:val="16"/>
        </w:rPr>
        <w:t> </w:t>
      </w:r>
      <w:r>
        <w:rPr>
          <w:rFonts w:ascii="Arial"/>
          <w:color w:val="010101"/>
          <w:w w:val="170"/>
          <w:sz w:val="16"/>
        </w:rPr>
        <w:t>,</w:t>
      </w:r>
    </w:p>
    <w:p>
      <w:pPr>
        <w:spacing w:line="187" w:lineRule="exact" w:before="0"/>
        <w:ind w:left="574" w:right="-17" w:firstLine="0"/>
        <w:jc w:val="left"/>
        <w:rPr>
          <w:sz w:val="18"/>
        </w:rPr>
      </w:pPr>
      <w:r>
        <w:rPr>
          <w:rFonts w:ascii="Arial"/>
          <w:color w:val="010101"/>
          <w:w w:val="110"/>
          <w:position w:val="4"/>
          <w:sz w:val="16"/>
        </w:rPr>
        <w:t>(b) </w:t>
      </w:r>
      <w:r>
        <w:rPr>
          <w:color w:val="010101"/>
          <w:w w:val="110"/>
          <w:sz w:val="18"/>
        </w:rPr>
        <w:t>Show that </w:t>
      </w:r>
      <w:r>
        <w:rPr>
          <w:color w:val="010101"/>
          <w:w w:val="95"/>
          <w:sz w:val="18"/>
        </w:rPr>
        <w:t>1f ,.,..</w:t>
      </w:r>
      <w:r>
        <w:rPr>
          <w:color w:val="010101"/>
          <w:spacing w:val="-26"/>
          <w:w w:val="95"/>
          <w:sz w:val="18"/>
        </w:rPr>
        <w:t> </w:t>
      </w:r>
      <w:r>
        <w:rPr>
          <w:color w:val="010101"/>
          <w:w w:val="205"/>
          <w:sz w:val="18"/>
        </w:rPr>
        <w:t>-</w:t>
      </w:r>
    </w:p>
    <w:p>
      <w:pPr>
        <w:pStyle w:val="BodyText"/>
        <w:rPr>
          <w:sz w:val="12"/>
        </w:rPr>
      </w:pPr>
      <w:r>
        <w:rPr/>
        <w:br w:type="column"/>
      </w:r>
      <w:r>
        <w:rPr>
          <w:sz w:val="12"/>
        </w:rPr>
      </w:r>
    </w:p>
    <w:p>
      <w:pPr>
        <w:pStyle w:val="BodyText"/>
        <w:spacing w:before="5"/>
        <w:rPr>
          <w:sz w:val="13"/>
        </w:rPr>
      </w:pPr>
    </w:p>
    <w:p>
      <w:pPr>
        <w:spacing w:before="0"/>
        <w:ind w:left="6" w:right="-16" w:firstLine="0"/>
        <w:jc w:val="left"/>
        <w:rPr>
          <w:i/>
          <w:sz w:val="13"/>
        </w:rPr>
      </w:pPr>
      <w:r>
        <w:rPr>
          <w:i/>
          <w:color w:val="010101"/>
          <w:w w:val="80"/>
          <w:sz w:val="13"/>
        </w:rPr>
        <w:t>P.z</w:t>
      </w:r>
    </w:p>
    <w:p>
      <w:pPr>
        <w:spacing w:before="124"/>
        <w:ind w:left="49" w:right="-17" w:firstLine="0"/>
        <w:jc w:val="left"/>
        <w:rPr>
          <w:sz w:val="26"/>
        </w:rPr>
      </w:pPr>
      <w:r>
        <w:rPr/>
        <w:br w:type="column"/>
      </w:r>
      <w:r>
        <w:rPr>
          <w:rFonts w:ascii="Arial"/>
          <w:color w:val="010101"/>
          <w:w w:val="103"/>
          <w:sz w:val="25"/>
        </w:rPr>
        <w:t>+</w:t>
      </w:r>
      <w:r>
        <w:rPr>
          <w:rFonts w:ascii="Arial"/>
          <w:color w:val="010101"/>
          <w:spacing w:val="-21"/>
          <w:sz w:val="25"/>
        </w:rPr>
        <w:t> </w:t>
      </w:r>
      <w:r>
        <w:rPr>
          <w:color w:val="010101"/>
          <w:spacing w:val="-30"/>
          <w:w w:val="164"/>
          <w:position w:val="14"/>
          <w:sz w:val="16"/>
        </w:rPr>
        <w:t>.</w:t>
      </w:r>
      <w:r>
        <w:rPr>
          <w:color w:val="010101"/>
          <w:spacing w:val="-77"/>
          <w:w w:val="105"/>
          <w:position w:val="14"/>
          <w:sz w:val="16"/>
        </w:rPr>
        <w:t>0</w:t>
      </w:r>
      <w:r>
        <w:rPr>
          <w:color w:val="010101"/>
          <w:spacing w:val="-11"/>
          <w:w w:val="75"/>
          <w:sz w:val="26"/>
        </w:rPr>
        <w:t>e</w:t>
      </w:r>
      <w:r>
        <w:rPr>
          <w:color w:val="010101"/>
          <w:spacing w:val="-74"/>
          <w:w w:val="105"/>
          <w:position w:val="14"/>
          <w:sz w:val="16"/>
        </w:rPr>
        <w:t>5</w:t>
      </w:r>
      <w:r>
        <w:rPr>
          <w:color w:val="010101"/>
          <w:w w:val="76"/>
          <w:sz w:val="26"/>
        </w:rPr>
        <w:t>.</w:t>
      </w:r>
      <w:r>
        <w:rPr>
          <w:color w:val="010101"/>
          <w:spacing w:val="2"/>
          <w:sz w:val="26"/>
        </w:rPr>
        <w:t> </w:t>
      </w:r>
      <w:r>
        <w:rPr>
          <w:color w:val="010101"/>
          <w:w w:val="93"/>
          <w:sz w:val="26"/>
        </w:rPr>
        <w:t>,</w:t>
      </w:r>
    </w:p>
    <w:p>
      <w:pPr>
        <w:spacing w:before="5"/>
        <w:ind w:left="258" w:right="0" w:firstLine="0"/>
        <w:jc w:val="left"/>
        <w:rPr>
          <w:rFonts w:ascii="Arial" w:hAnsi="Arial"/>
          <w:sz w:val="28"/>
        </w:rPr>
      </w:pPr>
      <w:r>
        <w:rPr/>
        <w:br w:type="column"/>
      </w:r>
      <w:r>
        <w:rPr>
          <w:color w:val="010101"/>
          <w:w w:val="107"/>
          <w:sz w:val="18"/>
        </w:rPr>
        <w:t>then</w:t>
      </w:r>
      <w:r>
        <w:rPr>
          <w:color w:val="010101"/>
          <w:sz w:val="18"/>
        </w:rPr>
        <w:t> </w:t>
      </w:r>
      <w:r>
        <w:rPr>
          <w:color w:val="010101"/>
          <w:spacing w:val="-23"/>
          <w:sz w:val="18"/>
        </w:rPr>
        <w:t> </w:t>
      </w:r>
      <w:r>
        <w:rPr>
          <w:i/>
          <w:color w:val="010101"/>
          <w:w w:val="85"/>
          <w:sz w:val="17"/>
        </w:rPr>
        <w:t>p,</w:t>
      </w:r>
      <w:r>
        <w:rPr>
          <w:i/>
          <w:color w:val="010101"/>
          <w:spacing w:val="-34"/>
          <w:w w:val="85"/>
          <w:sz w:val="17"/>
        </w:rPr>
        <w:t>.</w:t>
      </w:r>
      <w:r>
        <w:rPr>
          <w:color w:val="010101"/>
          <w:w w:val="51"/>
          <w:position w:val="6"/>
          <w:sz w:val="37"/>
        </w:rPr>
        <w:t>,</w:t>
      </w:r>
      <w:r>
        <w:rPr>
          <w:color w:val="010101"/>
          <w:spacing w:val="-18"/>
          <w:position w:val="6"/>
          <w:sz w:val="37"/>
        </w:rPr>
        <w:t> </w:t>
      </w:r>
      <w:r>
        <w:rPr>
          <w:color w:val="010101"/>
          <w:w w:val="256"/>
          <w:sz w:val="17"/>
        </w:rPr>
        <w:t>-</w:t>
      </w:r>
      <w:r>
        <w:rPr>
          <w:color w:val="010101"/>
          <w:spacing w:val="9"/>
          <w:sz w:val="17"/>
        </w:rPr>
        <w:t> </w:t>
      </w:r>
      <w:r>
        <w:rPr>
          <w:color w:val="010101"/>
          <w:w w:val="128"/>
          <w:sz w:val="17"/>
        </w:rPr>
        <w:t>p.</w:t>
      </w:r>
      <w:r>
        <w:rPr>
          <w:color w:val="010101"/>
          <w:spacing w:val="13"/>
          <w:sz w:val="17"/>
        </w:rPr>
        <w:t> </w:t>
      </w:r>
      <w:r>
        <w:rPr>
          <w:color w:val="010101"/>
          <w:w w:val="47"/>
          <w:position w:val="6"/>
          <w:sz w:val="37"/>
        </w:rPr>
        <w:t>(</w:t>
      </w:r>
      <w:r>
        <w:rPr>
          <w:color w:val="010101"/>
          <w:spacing w:val="-90"/>
          <w:w w:val="47"/>
          <w:position w:val="6"/>
          <w:sz w:val="37"/>
        </w:rPr>
        <w:t>T</w:t>
      </w:r>
      <w:r>
        <w:rPr>
          <w:rFonts w:ascii="Arial" w:hAnsi="Arial"/>
          <w:i/>
          <w:color w:val="010101"/>
          <w:spacing w:val="-239"/>
          <w:w w:val="144"/>
          <w:sz w:val="28"/>
        </w:rPr>
        <w:t>T</w:t>
      </w:r>
      <w:r>
        <w:rPr>
          <w:color w:val="010101"/>
          <w:w w:val="47"/>
          <w:position w:val="6"/>
          <w:sz w:val="37"/>
        </w:rPr>
        <w:t>=</w:t>
      </w:r>
      <w:r>
        <w:rPr>
          <w:color w:val="010101"/>
          <w:spacing w:val="-42"/>
          <w:w w:val="47"/>
          <w:position w:val="6"/>
          <w:sz w:val="37"/>
        </w:rPr>
        <w:t>+</w:t>
      </w:r>
      <w:r>
        <w:rPr>
          <w:rFonts w:ascii="Arial" w:hAnsi="Arial"/>
          <w:i/>
          <w:color w:val="010101"/>
          <w:spacing w:val="-146"/>
          <w:w w:val="144"/>
          <w:sz w:val="28"/>
        </w:rPr>
        <w:t>.</w:t>
      </w:r>
      <w:r>
        <w:rPr>
          <w:color w:val="010101"/>
          <w:w w:val="60"/>
          <w:position w:val="6"/>
          <w:sz w:val="37"/>
        </w:rPr>
        <w:t>1</w:t>
      </w:r>
      <w:r>
        <w:rPr>
          <w:color w:val="010101"/>
          <w:spacing w:val="-10"/>
          <w:w w:val="60"/>
          <w:position w:val="6"/>
          <w:sz w:val="37"/>
        </w:rPr>
        <w:t>)</w:t>
      </w:r>
      <w:r>
        <w:rPr>
          <w:color w:val="2D2D2D"/>
          <w:spacing w:val="-32"/>
          <w:w w:val="54"/>
          <w:position w:val="6"/>
          <w:sz w:val="37"/>
        </w:rPr>
        <w:t>·</w:t>
      </w:r>
      <w:r>
        <w:rPr>
          <w:color w:val="010101"/>
          <w:spacing w:val="-42"/>
          <w:w w:val="91"/>
          <w:position w:val="6"/>
          <w:sz w:val="37"/>
        </w:rPr>
        <w:t>"</w:t>
      </w:r>
      <w:r>
        <w:rPr>
          <w:rFonts w:ascii="Arial" w:hAnsi="Arial"/>
          <w:color w:val="010101"/>
          <w:w w:val="87"/>
          <w:sz w:val="28"/>
        </w:rPr>
        <w:t>.</w:t>
      </w:r>
    </w:p>
    <w:p>
      <w:pPr>
        <w:spacing w:after="0"/>
        <w:jc w:val="left"/>
        <w:rPr>
          <w:rFonts w:ascii="Arial" w:hAnsi="Arial"/>
          <w:sz w:val="28"/>
        </w:rPr>
        <w:sectPr>
          <w:type w:val="continuous"/>
          <w:pgSz w:w="7200" w:h="11340"/>
          <w:pgMar w:top="1100" w:bottom="0" w:left="660" w:right="560"/>
          <w:cols w:num="4" w:equalWidth="0">
            <w:col w:w="2227" w:space="40"/>
            <w:col w:w="140" w:space="40"/>
            <w:col w:w="559" w:space="40"/>
            <w:col w:w="2934"/>
          </w:cols>
        </w:sectPr>
      </w:pPr>
    </w:p>
    <w:p>
      <w:pPr>
        <w:pStyle w:val="ListParagraph"/>
        <w:numPr>
          <w:ilvl w:val="0"/>
          <w:numId w:val="84"/>
        </w:numPr>
        <w:tabs>
          <w:tab w:pos="568" w:val="left" w:leader="none"/>
        </w:tabs>
        <w:spacing w:line="240" w:lineRule="auto" w:before="148" w:after="0"/>
        <w:ind w:left="567" w:right="0" w:hanging="284"/>
        <w:jc w:val="left"/>
        <w:rPr>
          <w:rFonts w:ascii="Arial"/>
          <w:color w:val="010101"/>
          <w:sz w:val="18"/>
        </w:rPr>
      </w:pPr>
      <w:r>
        <w:rPr>
          <w:color w:val="010101"/>
          <w:sz w:val="18"/>
        </w:rPr>
        <w:t>Prove that </w:t>
      </w:r>
      <w:r>
        <w:rPr>
          <w:i/>
          <w:color w:val="010101"/>
          <w:sz w:val="17"/>
        </w:rPr>
        <w:t>a;;i  </w:t>
      </w:r>
      <w:r>
        <w:rPr>
          <w:rFonts w:ascii="Arial"/>
          <w:color w:val="010101"/>
          <w:sz w:val="23"/>
        </w:rPr>
        <w:t>&gt; </w:t>
      </w:r>
      <w:r>
        <w:rPr>
          <w:color w:val="010101"/>
          <w:sz w:val="17"/>
        </w:rPr>
        <w:t>az </w:t>
      </w:r>
      <w:r>
        <w:rPr>
          <w:color w:val="010101"/>
          <w:sz w:val="18"/>
        </w:rPr>
        <w:t>for the case where </w:t>
      </w:r>
      <w:r>
        <w:rPr>
          <w:color w:val="010101"/>
          <w:w w:val="80"/>
          <w:sz w:val="18"/>
        </w:rPr>
        <w:t>O  </w:t>
      </w:r>
      <w:r>
        <w:rPr>
          <w:rFonts w:ascii="Arial"/>
          <w:color w:val="010101"/>
          <w:sz w:val="22"/>
        </w:rPr>
        <w:t>&lt; </w:t>
      </w:r>
      <w:r>
        <w:rPr>
          <w:i/>
          <w:color w:val="010101"/>
          <w:w w:val="80"/>
          <w:sz w:val="17"/>
        </w:rPr>
        <w:t>e.a:  </w:t>
      </w:r>
      <w:r>
        <w:rPr>
          <w:rFonts w:ascii="Arial"/>
          <w:color w:val="010101"/>
          <w:sz w:val="22"/>
        </w:rPr>
        <w:t>&lt;</w:t>
      </w:r>
      <w:r>
        <w:rPr>
          <w:rFonts w:ascii="Arial"/>
          <w:color w:val="010101"/>
          <w:spacing w:val="31"/>
          <w:sz w:val="22"/>
        </w:rPr>
        <w:t> </w:t>
      </w:r>
      <w:r>
        <w:rPr>
          <w:rFonts w:ascii="Arial"/>
          <w:color w:val="010101"/>
          <w:sz w:val="16"/>
        </w:rPr>
        <w:t>1.</w:t>
      </w:r>
    </w:p>
    <w:p>
      <w:pPr>
        <w:pStyle w:val="ListParagraph"/>
        <w:numPr>
          <w:ilvl w:val="0"/>
          <w:numId w:val="85"/>
        </w:numPr>
        <w:tabs>
          <w:tab w:pos="313" w:val="left" w:leader="none"/>
        </w:tabs>
        <w:spacing w:line="240" w:lineRule="auto" w:before="158" w:after="0"/>
        <w:ind w:left="312" w:right="0" w:hanging="201"/>
        <w:jc w:val="left"/>
        <w:rPr>
          <w:b/>
          <w:sz w:val="16"/>
        </w:rPr>
      </w:pPr>
      <w:r>
        <w:rPr>
          <w:b/>
          <w:color w:val="010101"/>
          <w:w w:val="125"/>
          <w:sz w:val="16"/>
        </w:rPr>
        <w:t>Analysis of the survivorship</w:t>
      </w:r>
      <w:r>
        <w:rPr>
          <w:b/>
          <w:color w:val="010101"/>
          <w:spacing w:val="46"/>
          <w:w w:val="125"/>
          <w:sz w:val="16"/>
        </w:rPr>
        <w:t> </w:t>
      </w:r>
      <w:r>
        <w:rPr>
          <w:b/>
          <w:color w:val="010101"/>
          <w:w w:val="125"/>
          <w:sz w:val="16"/>
        </w:rPr>
        <w:t>group</w:t>
      </w:r>
    </w:p>
    <w:p>
      <w:pPr>
        <w:pStyle w:val="ListParagraph"/>
        <w:numPr>
          <w:ilvl w:val="1"/>
          <w:numId w:val="85"/>
        </w:numPr>
        <w:tabs>
          <w:tab w:pos="564" w:val="left" w:leader="none"/>
        </w:tabs>
        <w:spacing w:line="195" w:lineRule="exact" w:before="74" w:after="0"/>
        <w:ind w:left="563" w:right="0" w:hanging="280"/>
        <w:jc w:val="left"/>
        <w:rPr>
          <w:sz w:val="18"/>
        </w:rPr>
      </w:pPr>
      <w:r>
        <w:rPr>
          <w:color w:val="010101"/>
          <w:w w:val="105"/>
          <w:sz w:val="18"/>
        </w:rPr>
        <w:t>For the </w:t>
      </w:r>
      <w:r>
        <w:rPr>
          <w:i/>
          <w:color w:val="010101"/>
          <w:w w:val="105"/>
          <w:sz w:val="17"/>
        </w:rPr>
        <w:t>lz </w:t>
      </w:r>
      <w:r>
        <w:rPr>
          <w:color w:val="010101"/>
          <w:w w:val="105"/>
          <w:sz w:val="18"/>
        </w:rPr>
        <w:t>lives who survive to age </w:t>
      </w:r>
      <w:r>
        <w:rPr>
          <w:i/>
          <w:color w:val="010101"/>
          <w:w w:val="105"/>
          <w:sz w:val="18"/>
        </w:rPr>
        <w:t>x, </w:t>
      </w:r>
      <w:r>
        <w:rPr>
          <w:color w:val="010101"/>
          <w:w w:val="105"/>
          <w:sz w:val="18"/>
        </w:rPr>
        <w:t>write expressions   </w:t>
      </w:r>
      <w:r>
        <w:rPr>
          <w:color w:val="010101"/>
          <w:spacing w:val="16"/>
          <w:w w:val="105"/>
          <w:sz w:val="18"/>
        </w:rPr>
        <w:t> </w:t>
      </w:r>
      <w:r>
        <w:rPr>
          <w:color w:val="010101"/>
          <w:w w:val="105"/>
          <w:sz w:val="18"/>
        </w:rPr>
        <w:t>for</w:t>
      </w:r>
    </w:p>
    <w:p>
      <w:pPr>
        <w:pStyle w:val="ListParagraph"/>
        <w:numPr>
          <w:ilvl w:val="2"/>
          <w:numId w:val="85"/>
        </w:numPr>
        <w:tabs>
          <w:tab w:pos="744" w:val="left" w:leader="none"/>
        </w:tabs>
        <w:spacing w:line="189" w:lineRule="exact" w:before="0" w:after="0"/>
        <w:ind w:left="743" w:right="0" w:hanging="294"/>
        <w:jc w:val="left"/>
        <w:rPr>
          <w:rFonts w:ascii="Arial"/>
          <w:color w:val="010101"/>
          <w:sz w:val="18"/>
        </w:rPr>
      </w:pPr>
      <w:r>
        <w:rPr>
          <w:color w:val="010101"/>
          <w:w w:val="105"/>
          <w:sz w:val="18"/>
        </w:rPr>
        <w:t>the  total  past  lifetime subsequent  to age </w:t>
      </w:r>
      <w:r>
        <w:rPr>
          <w:rFonts w:ascii="Arial"/>
          <w:i/>
          <w:color w:val="010101"/>
          <w:w w:val="105"/>
          <w:sz w:val="15"/>
        </w:rPr>
        <w:t>y  (y  </w:t>
      </w:r>
      <w:r>
        <w:rPr>
          <w:color w:val="010101"/>
          <w:w w:val="105"/>
          <w:sz w:val="20"/>
        </w:rPr>
        <w:t>&lt;</w:t>
      </w:r>
      <w:r>
        <w:rPr>
          <w:color w:val="010101"/>
          <w:spacing w:val="16"/>
          <w:w w:val="105"/>
          <w:sz w:val="20"/>
        </w:rPr>
        <w:t> </w:t>
      </w:r>
      <w:r>
        <w:rPr>
          <w:rFonts w:ascii="Arial"/>
          <w:color w:val="010101"/>
          <w:w w:val="105"/>
          <w:sz w:val="16"/>
        </w:rPr>
        <w:t>x);</w:t>
      </w:r>
    </w:p>
    <w:p>
      <w:pPr>
        <w:spacing w:line="214" w:lineRule="exact" w:before="0"/>
        <w:ind w:left="449" w:right="739" w:firstLine="0"/>
        <w:jc w:val="left"/>
        <w:rPr>
          <w:sz w:val="17"/>
        </w:rPr>
      </w:pPr>
      <w:r>
        <w:rPr>
          <w:rFonts w:ascii="Arial"/>
          <w:color w:val="010101"/>
          <w:w w:val="105"/>
          <w:sz w:val="16"/>
        </w:rPr>
        <w:t>(b)  </w:t>
      </w:r>
      <w:r>
        <w:rPr>
          <w:color w:val="010101"/>
          <w:w w:val="105"/>
          <w:sz w:val="18"/>
        </w:rPr>
        <w:t>the total future lifetime prior to age </w:t>
      </w:r>
      <w:r>
        <w:rPr>
          <w:rFonts w:ascii="Arial"/>
          <w:i/>
          <w:color w:val="010101"/>
          <w:w w:val="105"/>
          <w:sz w:val="15"/>
        </w:rPr>
        <w:t>z  </w:t>
      </w:r>
      <w:r>
        <w:rPr>
          <w:color w:val="010101"/>
          <w:w w:val="105"/>
          <w:sz w:val="15"/>
        </w:rPr>
        <w:t>(z  </w:t>
      </w:r>
      <w:r>
        <w:rPr>
          <w:rFonts w:ascii="Arial"/>
          <w:color w:val="010101"/>
          <w:w w:val="105"/>
          <w:sz w:val="23"/>
        </w:rPr>
        <w:t>&gt; </w:t>
      </w:r>
      <w:r>
        <w:rPr>
          <w:color w:val="010101"/>
          <w:w w:val="105"/>
          <w:sz w:val="17"/>
        </w:rPr>
        <w:t>z);</w:t>
      </w:r>
    </w:p>
    <w:p>
      <w:pPr>
        <w:spacing w:line="210" w:lineRule="exact" w:before="0"/>
        <w:ind w:left="445" w:right="739" w:firstLine="0"/>
        <w:jc w:val="left"/>
        <w:rPr>
          <w:sz w:val="16"/>
        </w:rPr>
      </w:pPr>
      <w:r>
        <w:rPr>
          <w:color w:val="010101"/>
          <w:w w:val="105"/>
          <w:sz w:val="16"/>
        </w:rPr>
        <w:t>(e)  </w:t>
      </w:r>
      <w:r>
        <w:rPr>
          <w:color w:val="010101"/>
          <w:w w:val="105"/>
          <w:sz w:val="18"/>
        </w:rPr>
        <w:t>the average lifetime between </w:t>
      </w:r>
      <w:r>
        <w:rPr>
          <w:rFonts w:ascii="Arial"/>
          <w:color w:val="010101"/>
          <w:w w:val="105"/>
          <w:sz w:val="14"/>
        </w:rPr>
        <w:t>ages </w:t>
      </w:r>
      <w:r>
        <w:rPr>
          <w:color w:val="010101"/>
          <w:w w:val="105"/>
          <w:sz w:val="16"/>
        </w:rPr>
        <w:t>ti </w:t>
      </w:r>
      <w:r>
        <w:rPr>
          <w:color w:val="010101"/>
          <w:w w:val="105"/>
          <w:sz w:val="18"/>
        </w:rPr>
        <w:t>and </w:t>
      </w:r>
      <w:r>
        <w:rPr>
          <w:i/>
          <w:color w:val="010101"/>
          <w:w w:val="105"/>
          <w:sz w:val="19"/>
        </w:rPr>
        <w:t>z </w:t>
      </w:r>
      <w:r>
        <w:rPr>
          <w:color w:val="010101"/>
          <w:w w:val="105"/>
          <w:sz w:val="16"/>
        </w:rPr>
        <w:t>(y  </w:t>
      </w:r>
      <w:r>
        <w:rPr>
          <w:color w:val="010101"/>
          <w:w w:val="105"/>
          <w:sz w:val="20"/>
        </w:rPr>
        <w:t>&lt; </w:t>
      </w:r>
      <w:r>
        <w:rPr>
          <w:i/>
          <w:color w:val="010101"/>
          <w:w w:val="105"/>
          <w:sz w:val="19"/>
        </w:rPr>
        <w:t>x  </w:t>
      </w:r>
      <w:r>
        <w:rPr>
          <w:color w:val="010101"/>
          <w:w w:val="105"/>
          <w:sz w:val="21"/>
        </w:rPr>
        <w:t>&lt;  </w:t>
      </w:r>
      <w:r>
        <w:rPr>
          <w:color w:val="010101"/>
          <w:w w:val="105"/>
          <w:sz w:val="16"/>
        </w:rPr>
        <w:t>z).</w:t>
      </w:r>
    </w:p>
    <w:p>
      <w:pPr>
        <w:pStyle w:val="ListParagraph"/>
        <w:numPr>
          <w:ilvl w:val="1"/>
          <w:numId w:val="85"/>
        </w:numPr>
        <w:tabs>
          <w:tab w:pos="564" w:val="left" w:leader="none"/>
        </w:tabs>
        <w:spacing w:line="195" w:lineRule="exact" w:before="0" w:after="0"/>
        <w:ind w:left="563" w:right="0" w:hanging="283"/>
        <w:jc w:val="left"/>
        <w:rPr>
          <w:rFonts w:ascii="Arial"/>
          <w:sz w:val="16"/>
        </w:rPr>
      </w:pPr>
      <w:r>
        <w:rPr>
          <w:color w:val="010101"/>
          <w:w w:val="101"/>
          <w:sz w:val="18"/>
        </w:rPr>
        <w:t>For</w:t>
      </w:r>
      <w:r>
        <w:rPr>
          <w:color w:val="010101"/>
          <w:spacing w:val="15"/>
          <w:sz w:val="18"/>
        </w:rPr>
        <w:t> </w:t>
      </w:r>
      <w:r>
        <w:rPr>
          <w:color w:val="010101"/>
          <w:w w:val="221"/>
          <w:sz w:val="18"/>
        </w:rPr>
        <w:t>t</w:t>
      </w:r>
      <w:r>
        <w:rPr>
          <w:color w:val="010101"/>
          <w:spacing w:val="1"/>
          <w:w w:val="221"/>
          <w:sz w:val="18"/>
        </w:rPr>
        <w:t>h</w:t>
      </w:r>
      <w:r>
        <w:rPr>
          <w:color w:val="010101"/>
          <w:w w:val="108"/>
          <w:sz w:val="18"/>
        </w:rPr>
        <w:t>e</w:t>
      </w:r>
      <w:r>
        <w:rPr>
          <w:color w:val="010101"/>
          <w:spacing w:val="-3"/>
          <w:sz w:val="18"/>
        </w:rPr>
        <w:t> </w:t>
      </w:r>
      <w:r>
        <w:rPr>
          <w:color w:val="010101"/>
          <w:w w:val="104"/>
          <w:sz w:val="18"/>
        </w:rPr>
        <w:t>in</w:t>
      </w:r>
      <w:r>
        <w:rPr>
          <w:color w:val="010101"/>
          <w:spacing w:val="-2"/>
          <w:sz w:val="18"/>
        </w:rPr>
        <w:t> </w:t>
      </w:r>
      <w:r>
        <w:rPr>
          <w:rFonts w:ascii="Arial"/>
          <w:color w:val="010101"/>
          <w:w w:val="100"/>
          <w:sz w:val="16"/>
        </w:rPr>
        <w:t>a</w:t>
      </w:r>
      <w:r>
        <w:rPr>
          <w:rFonts w:ascii="Arial"/>
          <w:color w:val="010101"/>
          <w:spacing w:val="-9"/>
          <w:sz w:val="16"/>
        </w:rPr>
        <w:t> </w:t>
      </w:r>
      <w:r>
        <w:rPr>
          <w:color w:val="010101"/>
          <w:w w:val="105"/>
          <w:sz w:val="18"/>
        </w:rPr>
        <w:t>survivorship</w:t>
      </w:r>
      <w:r>
        <w:rPr>
          <w:color w:val="010101"/>
          <w:spacing w:val="9"/>
          <w:sz w:val="18"/>
        </w:rPr>
        <w:t> </w:t>
      </w:r>
      <w:r>
        <w:rPr>
          <w:color w:val="010101"/>
          <w:w w:val="102"/>
          <w:sz w:val="18"/>
        </w:rPr>
        <w:t>group</w:t>
      </w:r>
      <w:r>
        <w:rPr>
          <w:color w:val="010101"/>
          <w:spacing w:val="3"/>
          <w:sz w:val="18"/>
        </w:rPr>
        <w:t> </w:t>
      </w:r>
      <w:r>
        <w:rPr>
          <w:color w:val="010101"/>
          <w:w w:val="95"/>
          <w:sz w:val="18"/>
        </w:rPr>
        <w:t>who</w:t>
      </w:r>
      <w:r>
        <w:rPr>
          <w:color w:val="010101"/>
          <w:spacing w:val="-2"/>
          <w:sz w:val="18"/>
        </w:rPr>
        <w:t> </w:t>
      </w:r>
      <w:r>
        <w:rPr>
          <w:color w:val="010101"/>
          <w:w w:val="106"/>
          <w:sz w:val="18"/>
        </w:rPr>
        <w:t>survive</w:t>
      </w:r>
      <w:r>
        <w:rPr>
          <w:color w:val="010101"/>
          <w:spacing w:val="5"/>
          <w:sz w:val="18"/>
        </w:rPr>
        <w:t> </w:t>
      </w:r>
      <w:r>
        <w:rPr>
          <w:color w:val="010101"/>
          <w:w w:val="108"/>
          <w:sz w:val="18"/>
        </w:rPr>
        <w:t>to</w:t>
      </w:r>
      <w:r>
        <w:rPr>
          <w:color w:val="010101"/>
          <w:spacing w:val="3"/>
          <w:sz w:val="18"/>
        </w:rPr>
        <w:t> </w:t>
      </w:r>
      <w:r>
        <w:rPr>
          <w:color w:val="010101"/>
          <w:w w:val="101"/>
          <w:sz w:val="18"/>
        </w:rPr>
        <w:t>age</w:t>
      </w:r>
      <w:r>
        <w:rPr>
          <w:color w:val="010101"/>
          <w:spacing w:val="-2"/>
          <w:sz w:val="18"/>
        </w:rPr>
        <w:t> </w:t>
      </w:r>
      <w:r>
        <w:rPr>
          <w:color w:val="010101"/>
          <w:w w:val="105"/>
          <w:sz w:val="16"/>
        </w:rPr>
        <w:t>30</w:t>
      </w:r>
      <w:r>
        <w:rPr>
          <w:color w:val="010101"/>
          <w:spacing w:val="-7"/>
          <w:sz w:val="16"/>
        </w:rPr>
        <w:t> </w:t>
      </w:r>
      <w:r>
        <w:rPr>
          <w:color w:val="010101"/>
          <w:w w:val="110"/>
          <w:sz w:val="18"/>
        </w:rPr>
        <w:t>but</w:t>
      </w:r>
      <w:r>
        <w:rPr>
          <w:color w:val="010101"/>
          <w:spacing w:val="8"/>
          <w:sz w:val="18"/>
        </w:rPr>
        <w:t> </w:t>
      </w:r>
      <w:r>
        <w:rPr>
          <w:color w:val="010101"/>
          <w:w w:val="104"/>
          <w:sz w:val="18"/>
        </w:rPr>
        <w:t>die</w:t>
      </w:r>
      <w:r>
        <w:rPr>
          <w:color w:val="010101"/>
          <w:sz w:val="18"/>
        </w:rPr>
        <w:t> </w:t>
      </w:r>
      <w:r>
        <w:rPr>
          <w:rFonts w:ascii="Arial"/>
          <w:color w:val="010101"/>
          <w:w w:val="105"/>
          <w:sz w:val="16"/>
        </w:rPr>
        <w:t>before</w:t>
      </w:r>
    </w:p>
    <w:p>
      <w:pPr>
        <w:spacing w:line="204" w:lineRule="exact" w:before="0"/>
        <w:ind w:left="122" w:right="739" w:firstLine="0"/>
        <w:jc w:val="left"/>
        <w:rPr>
          <w:sz w:val="18"/>
        </w:rPr>
      </w:pPr>
      <w:r>
        <w:rPr>
          <w:color w:val="010101"/>
          <w:w w:val="105"/>
          <w:sz w:val="16"/>
        </w:rPr>
        <w:t>age 50, </w:t>
      </w:r>
      <w:r>
        <w:rPr>
          <w:color w:val="010101"/>
          <w:w w:val="105"/>
          <w:sz w:val="18"/>
        </w:rPr>
        <w:t>find</w:t>
      </w:r>
    </w:p>
    <w:p>
      <w:pPr>
        <w:spacing w:after="0" w:line="204" w:lineRule="exact"/>
        <w:jc w:val="left"/>
        <w:rPr>
          <w:sz w:val="18"/>
        </w:rPr>
        <w:sectPr>
          <w:type w:val="continuous"/>
          <w:pgSz w:w="7200" w:h="11340"/>
          <w:pgMar w:top="1100" w:bottom="0" w:left="660" w:right="560"/>
        </w:sectPr>
      </w:pPr>
    </w:p>
    <w:p>
      <w:pPr>
        <w:tabs>
          <w:tab w:pos="5852" w:val="right" w:leader="none"/>
        </w:tabs>
        <w:spacing w:before="54"/>
        <w:ind w:left="2525" w:right="0" w:firstLine="0"/>
        <w:jc w:val="left"/>
        <w:rPr>
          <w:sz w:val="19"/>
        </w:rPr>
      </w:pPr>
      <w:r>
        <w:rPr>
          <w:color w:val="010101"/>
          <w:w w:val="135"/>
          <w:position w:val="1"/>
          <w:sz w:val="14"/>
        </w:rPr>
        <w:t>EXERCIS</w:t>
      </w:r>
      <w:r>
        <w:rPr>
          <w:color w:val="010101"/>
          <w:w w:val="135"/>
          <w:sz w:val="19"/>
        </w:rPr>
        <w:tab/>
      </w:r>
      <w:r>
        <w:rPr>
          <w:color w:val="010101"/>
          <w:spacing w:val="-14"/>
          <w:w w:val="135"/>
          <w:sz w:val="19"/>
        </w:rPr>
        <w:t>187</w:t>
      </w:r>
    </w:p>
    <w:p>
      <w:pPr>
        <w:pStyle w:val="BodyText"/>
        <w:spacing w:before="8"/>
      </w:pPr>
    </w:p>
    <w:p>
      <w:pPr>
        <w:pStyle w:val="ListParagraph"/>
        <w:numPr>
          <w:ilvl w:val="2"/>
          <w:numId w:val="85"/>
        </w:numPr>
        <w:tabs>
          <w:tab w:pos="738" w:val="left" w:leader="none"/>
        </w:tabs>
        <w:spacing w:line="240" w:lineRule="auto" w:before="1" w:after="0"/>
        <w:ind w:left="737" w:right="0" w:hanging="294"/>
        <w:jc w:val="left"/>
        <w:rPr>
          <w:color w:val="010101"/>
          <w:sz w:val="17"/>
        </w:rPr>
      </w:pPr>
      <w:r>
        <w:rPr>
          <w:color w:val="010101"/>
          <w:w w:val="110"/>
          <w:sz w:val="17"/>
        </w:rPr>
        <w:t>t.he total past lífetime between ages </w:t>
      </w:r>
      <w:r>
        <w:rPr>
          <w:color w:val="010101"/>
          <w:w w:val="110"/>
          <w:sz w:val="16"/>
        </w:rPr>
        <w:t>10 </w:t>
      </w:r>
      <w:r>
        <w:rPr>
          <w:color w:val="010101"/>
          <w:w w:val="110"/>
          <w:sz w:val="17"/>
        </w:rPr>
        <w:t>and</w:t>
      </w:r>
      <w:r>
        <w:rPr>
          <w:color w:val="010101"/>
          <w:spacing w:val="43"/>
          <w:w w:val="110"/>
          <w:sz w:val="17"/>
        </w:rPr>
        <w:t> </w:t>
      </w:r>
      <w:r>
        <w:rPr>
          <w:color w:val="010101"/>
          <w:w w:val="110"/>
          <w:sz w:val="16"/>
        </w:rPr>
        <w:t>30;</w:t>
      </w:r>
    </w:p>
    <w:p>
      <w:pPr>
        <w:pStyle w:val="ListParagraph"/>
        <w:numPr>
          <w:ilvl w:val="2"/>
          <w:numId w:val="85"/>
        </w:numPr>
        <w:tabs>
          <w:tab w:pos="745" w:val="left" w:leader="none"/>
        </w:tabs>
        <w:spacing w:line="240" w:lineRule="auto" w:before="6" w:after="0"/>
        <w:ind w:left="744" w:right="0" w:hanging="297"/>
        <w:jc w:val="left"/>
        <w:rPr>
          <w:color w:val="010101"/>
          <w:sz w:val="17"/>
        </w:rPr>
      </w:pPr>
      <w:r>
        <w:rPr>
          <w:color w:val="010101"/>
          <w:w w:val="110"/>
          <w:sz w:val="17"/>
        </w:rPr>
        <w:t>the average  future lif etime subsequent  to age </w:t>
      </w:r>
      <w:r>
        <w:rPr>
          <w:color w:val="010101"/>
          <w:spacing w:val="15"/>
          <w:w w:val="110"/>
          <w:sz w:val="17"/>
        </w:rPr>
        <w:t> </w:t>
      </w:r>
      <w:r>
        <w:rPr>
          <w:color w:val="010101"/>
          <w:w w:val="110"/>
          <w:sz w:val="17"/>
        </w:rPr>
        <w:t>30.</w:t>
      </w:r>
    </w:p>
    <w:p>
      <w:pPr>
        <w:pStyle w:val="BodyText"/>
        <w:rPr>
          <w:sz w:val="15"/>
        </w:rPr>
      </w:pPr>
    </w:p>
    <w:p>
      <w:pPr>
        <w:pStyle w:val="ListParagraph"/>
        <w:numPr>
          <w:ilvl w:val="0"/>
          <w:numId w:val="85"/>
        </w:numPr>
        <w:tabs>
          <w:tab w:pos="293" w:val="left" w:leader="none"/>
        </w:tabs>
        <w:spacing w:line="240" w:lineRule="auto" w:before="1" w:after="0"/>
        <w:ind w:left="292" w:right="0" w:hanging="186"/>
        <w:jc w:val="both"/>
        <w:rPr>
          <w:b/>
          <w:sz w:val="16"/>
        </w:rPr>
      </w:pPr>
      <w:r>
        <w:rPr>
          <w:b/>
          <w:color w:val="010101"/>
          <w:w w:val="125"/>
          <w:sz w:val="16"/>
        </w:rPr>
        <w:t>The  stationary</w:t>
      </w:r>
      <w:r>
        <w:rPr>
          <w:b/>
          <w:color w:val="010101"/>
          <w:spacing w:val="27"/>
          <w:w w:val="125"/>
          <w:sz w:val="16"/>
        </w:rPr>
        <w:t> </w:t>
      </w:r>
      <w:r>
        <w:rPr>
          <w:b/>
          <w:color w:val="010101"/>
          <w:w w:val="125"/>
          <w:sz w:val="16"/>
        </w:rPr>
        <w:t>population</w:t>
      </w:r>
    </w:p>
    <w:p>
      <w:pPr>
        <w:pStyle w:val="ListParagraph"/>
        <w:numPr>
          <w:ilvl w:val="0"/>
          <w:numId w:val="86"/>
        </w:numPr>
        <w:tabs>
          <w:tab w:pos="559" w:val="left" w:leader="none"/>
        </w:tabs>
        <w:spacing w:line="247" w:lineRule="auto" w:before="87" w:after="0"/>
        <w:ind w:left="113" w:right="139" w:firstLine="168"/>
        <w:jc w:val="both"/>
        <w:rPr>
          <w:sz w:val="17"/>
        </w:rPr>
      </w:pPr>
      <w:r>
        <w:rPr>
          <w:color w:val="010101"/>
          <w:w w:val="105"/>
          <w:sz w:val="16"/>
        </w:rPr>
        <w:t>A </w:t>
      </w:r>
      <w:r>
        <w:rPr>
          <w:color w:val="010101"/>
          <w:w w:val="105"/>
          <w:sz w:val="17"/>
        </w:rPr>
        <w:t>staff is maintained  in  a stationary  condition  by  </w:t>
      </w:r>
      <w:r>
        <w:rPr>
          <w:color w:val="010101"/>
          <w:w w:val="105"/>
          <w:sz w:val="16"/>
        </w:rPr>
        <w:t>300 </w:t>
      </w:r>
      <w:r>
        <w:rPr>
          <w:color w:val="010101"/>
          <w:w w:val="105"/>
          <w:sz w:val="17"/>
        </w:rPr>
        <w:t>annual  entrants at exact age 20. Ten per cent leave at the end of five years, </w:t>
      </w:r>
      <w:r>
        <w:rPr>
          <w:color w:val="010101"/>
          <w:spacing w:val="-12"/>
          <w:w w:val="105"/>
          <w:sz w:val="17"/>
        </w:rPr>
        <w:t>5% </w:t>
      </w:r>
      <w:r>
        <w:rPr>
          <w:color w:val="010101"/>
          <w:w w:val="105"/>
          <w:sz w:val="17"/>
        </w:rPr>
        <w:t>of those re­ maining are promoted af ter ten  years  into jobs  outside  the staff, and  at age 60  the  balance   retire  on  a  pension.   Express  in  terms  of   mortality   table  f</w:t>
      </w:r>
      <w:r>
        <w:rPr>
          <w:color w:val="010101"/>
          <w:spacing w:val="-5"/>
          <w:w w:val="105"/>
          <w:sz w:val="17"/>
        </w:rPr>
        <w:t> </w:t>
      </w:r>
      <w:r>
        <w:rPr>
          <w:color w:val="010101"/>
          <w:w w:val="105"/>
          <w:sz w:val="17"/>
        </w:rPr>
        <w:t>unctions</w:t>
      </w:r>
    </w:p>
    <w:p>
      <w:pPr>
        <w:pStyle w:val="ListParagraph"/>
        <w:numPr>
          <w:ilvl w:val="1"/>
          <w:numId w:val="86"/>
        </w:numPr>
        <w:tabs>
          <w:tab w:pos="749" w:val="left" w:leader="none"/>
        </w:tabs>
        <w:spacing w:line="192" w:lineRule="exact" w:before="0" w:after="0"/>
        <w:ind w:left="748" w:right="0" w:hanging="291"/>
        <w:jc w:val="left"/>
        <w:rPr>
          <w:color w:val="010101"/>
          <w:sz w:val="17"/>
        </w:rPr>
      </w:pPr>
      <w:r>
        <w:rPr>
          <w:color w:val="010101"/>
          <w:w w:val="105"/>
          <w:sz w:val="17"/>
        </w:rPr>
        <w:t>the size of  the staff </w:t>
      </w:r>
      <w:r>
        <w:rPr>
          <w:color w:val="010101"/>
          <w:spacing w:val="5"/>
          <w:w w:val="105"/>
          <w:sz w:val="17"/>
        </w:rPr>
        <w:t> </w:t>
      </w:r>
      <w:r>
        <w:rPr>
          <w:color w:val="010101"/>
          <w:w w:val="105"/>
          <w:sz w:val="17"/>
        </w:rPr>
        <w:t>,</w:t>
      </w:r>
    </w:p>
    <w:p>
      <w:pPr>
        <w:pStyle w:val="ListParagraph"/>
        <w:numPr>
          <w:ilvl w:val="1"/>
          <w:numId w:val="86"/>
        </w:numPr>
        <w:tabs>
          <w:tab w:pos="756" w:val="left" w:leader="none"/>
        </w:tabs>
        <w:spacing w:line="240" w:lineRule="auto" w:before="9" w:after="0"/>
        <w:ind w:left="755" w:right="0" w:hanging="298"/>
        <w:jc w:val="left"/>
        <w:rPr>
          <w:color w:val="010101"/>
          <w:sz w:val="15"/>
        </w:rPr>
      </w:pPr>
      <w:r>
        <w:rPr>
          <w:color w:val="010101"/>
          <w:w w:val="110"/>
          <w:sz w:val="17"/>
        </w:rPr>
        <w:t>the  number  promoted  each year,</w:t>
      </w:r>
    </w:p>
    <w:p>
      <w:pPr>
        <w:spacing w:before="6"/>
        <w:ind w:left="457" w:right="0" w:firstLine="0"/>
        <w:jc w:val="left"/>
        <w:rPr>
          <w:sz w:val="17"/>
        </w:rPr>
      </w:pPr>
      <w:r>
        <w:rPr>
          <w:color w:val="010101"/>
          <w:w w:val="110"/>
          <w:sz w:val="16"/>
        </w:rPr>
        <w:t>(e)  </w:t>
      </w:r>
      <w:r>
        <w:rPr>
          <w:color w:val="010101"/>
          <w:w w:val="110"/>
          <w:sz w:val="17"/>
        </w:rPr>
        <w:t>the number of pensioners </w:t>
      </w:r>
      <w:r>
        <w:rPr>
          <w:color w:val="010101"/>
          <w:w w:val="110"/>
          <w:sz w:val="16"/>
        </w:rPr>
        <w:t>on  </w:t>
      </w:r>
      <w:r>
        <w:rPr>
          <w:color w:val="010101"/>
          <w:w w:val="110"/>
          <w:sz w:val="17"/>
        </w:rPr>
        <w:t>the  books.</w:t>
      </w:r>
    </w:p>
    <w:p>
      <w:pPr>
        <w:pStyle w:val="ListParagraph"/>
        <w:numPr>
          <w:ilvl w:val="0"/>
          <w:numId w:val="86"/>
        </w:numPr>
        <w:tabs>
          <w:tab w:pos="570" w:val="left" w:leader="none"/>
        </w:tabs>
        <w:spacing w:line="252" w:lineRule="auto" w:before="6" w:after="0"/>
        <w:ind w:left="124" w:right="121" w:firstLine="161"/>
        <w:jc w:val="both"/>
        <w:rPr>
          <w:sz w:val="17"/>
        </w:rPr>
      </w:pPr>
      <w:r>
        <w:rPr>
          <w:color w:val="010101"/>
          <w:w w:val="110"/>
          <w:sz w:val="17"/>
        </w:rPr>
        <w:t>An organization of </w:t>
      </w:r>
      <w:r>
        <w:rPr>
          <w:b/>
          <w:color w:val="010101"/>
          <w:w w:val="110"/>
          <w:sz w:val="17"/>
        </w:rPr>
        <w:t>1000 </w:t>
      </w:r>
      <w:r>
        <w:rPr>
          <w:color w:val="010101"/>
          <w:w w:val="110"/>
          <w:sz w:val="17"/>
        </w:rPr>
        <w:t>active members is kept in a stationary state  by admission of a uniforrn number of entrants at exact age </w:t>
      </w:r>
      <w:r>
        <w:rPr>
          <w:color w:val="010101"/>
          <w:w w:val="110"/>
          <w:sz w:val="16"/>
        </w:rPr>
        <w:t>30. </w:t>
      </w:r>
      <w:r>
        <w:rPr>
          <w:color w:val="010101"/>
          <w:w w:val="110"/>
          <w:sz w:val="17"/>
        </w:rPr>
        <w:t>There are  </w:t>
      </w:r>
      <w:r>
        <w:rPr>
          <w:color w:val="010101"/>
          <w:spacing w:val="7"/>
          <w:w w:val="110"/>
          <w:sz w:val="17"/>
        </w:rPr>
        <w:t> </w:t>
      </w:r>
      <w:r>
        <w:rPr>
          <w:color w:val="010101"/>
          <w:w w:val="110"/>
          <w:sz w:val="17"/>
        </w:rPr>
        <w:t>no</w:t>
      </w:r>
    </w:p>
    <w:p>
      <w:pPr>
        <w:spacing w:line="230" w:lineRule="auto" w:before="2"/>
        <w:ind w:left="123" w:right="121" w:firstLine="0"/>
        <w:jc w:val="both"/>
        <w:rPr>
          <w:sz w:val="17"/>
        </w:rPr>
      </w:pPr>
      <w:r>
        <w:rPr>
          <w:color w:val="010101"/>
          <w:w w:val="110"/>
          <w:sz w:val="17"/>
        </w:rPr>
        <w:t>withdrawals other than by death except that of  those who reach age 55  retire at that age, </w:t>
      </w:r>
      <w:r>
        <w:rPr>
          <w:rFonts w:ascii="Arial"/>
          <w:color w:val="010101"/>
          <w:w w:val="110"/>
          <w:sz w:val="20"/>
        </w:rPr>
        <w:t>% </w:t>
      </w:r>
      <w:r>
        <w:rPr>
          <w:color w:val="010101"/>
          <w:w w:val="95"/>
          <w:sz w:val="17"/>
        </w:rPr>
        <w:t>X&gt;f </w:t>
      </w:r>
      <w:r>
        <w:rPr>
          <w:color w:val="010101"/>
          <w:w w:val="110"/>
          <w:sz w:val="17"/>
        </w:rPr>
        <w:t>those who reach age 60 in service retire at that age, and ali those remaining in service are retired at 65. Express in terms of tabular </w:t>
      </w:r>
      <w:r>
        <w:rPr>
          <w:color w:val="010101"/>
          <w:spacing w:val="5"/>
          <w:w w:val="110"/>
          <w:sz w:val="17"/>
        </w:rPr>
        <w:t> </w:t>
      </w:r>
      <w:r>
        <w:rPr>
          <w:rFonts w:ascii="Arial"/>
          <w:color w:val="010101"/>
          <w:spacing w:val="2"/>
          <w:w w:val="110"/>
          <w:sz w:val="15"/>
        </w:rPr>
        <w:t>f</w:t>
      </w:r>
      <w:r>
        <w:rPr>
          <w:color w:val="010101"/>
          <w:spacing w:val="2"/>
          <w:w w:val="110"/>
          <w:sz w:val="17"/>
        </w:rPr>
        <w:t>unctions</w:t>
      </w:r>
    </w:p>
    <w:p>
      <w:pPr>
        <w:pStyle w:val="ListParagraph"/>
        <w:numPr>
          <w:ilvl w:val="1"/>
          <w:numId w:val="86"/>
        </w:numPr>
        <w:tabs>
          <w:tab w:pos="753" w:val="left" w:leader="none"/>
        </w:tabs>
        <w:spacing w:line="240" w:lineRule="auto" w:before="7" w:after="0"/>
        <w:ind w:left="752" w:right="0" w:hanging="295"/>
        <w:jc w:val="left"/>
        <w:rPr>
          <w:color w:val="010101"/>
          <w:sz w:val="17"/>
        </w:rPr>
      </w:pPr>
      <w:r>
        <w:rPr>
          <w:color w:val="010101"/>
          <w:w w:val="110"/>
          <w:sz w:val="17"/>
        </w:rPr>
        <w:t>the  number  oí annual  entrants  at age</w:t>
      </w:r>
      <w:r>
        <w:rPr>
          <w:color w:val="010101"/>
          <w:spacing w:val="27"/>
          <w:w w:val="110"/>
          <w:sz w:val="17"/>
        </w:rPr>
        <w:t> </w:t>
      </w:r>
      <w:r>
        <w:rPr>
          <w:color w:val="010101"/>
          <w:w w:val="110"/>
          <w:sz w:val="16"/>
        </w:rPr>
        <w:t>30,</w:t>
      </w:r>
    </w:p>
    <w:p>
      <w:pPr>
        <w:pStyle w:val="ListParagraph"/>
        <w:numPr>
          <w:ilvl w:val="1"/>
          <w:numId w:val="86"/>
        </w:numPr>
        <w:tabs>
          <w:tab w:pos="763" w:val="left" w:leader="none"/>
        </w:tabs>
        <w:spacing w:line="240" w:lineRule="auto" w:before="6" w:after="0"/>
        <w:ind w:left="762" w:right="0" w:hanging="305"/>
        <w:jc w:val="left"/>
        <w:rPr>
          <w:color w:val="010101"/>
          <w:sz w:val="17"/>
        </w:rPr>
      </w:pPr>
      <w:r>
        <w:rPr>
          <w:color w:val="010101"/>
          <w:w w:val="110"/>
          <w:sz w:val="17"/>
        </w:rPr>
        <w:t>the total number of  deaths in service each </w:t>
      </w:r>
      <w:r>
        <w:rPr>
          <w:color w:val="010101"/>
          <w:spacing w:val="40"/>
          <w:w w:val="110"/>
          <w:sz w:val="17"/>
        </w:rPr>
        <w:t> </w:t>
      </w:r>
      <w:r>
        <w:rPr>
          <w:color w:val="010101"/>
          <w:w w:val="110"/>
          <w:sz w:val="17"/>
        </w:rPr>
        <w:t>year.</w:t>
      </w:r>
    </w:p>
    <w:p>
      <w:pPr>
        <w:pStyle w:val="ListParagraph"/>
        <w:numPr>
          <w:ilvl w:val="0"/>
          <w:numId w:val="86"/>
        </w:numPr>
        <w:tabs>
          <w:tab w:pos="580" w:val="left" w:leader="none"/>
        </w:tabs>
        <w:spacing w:line="247" w:lineRule="auto" w:before="6" w:after="0"/>
        <w:ind w:left="120" w:right="135" w:firstLine="172"/>
        <w:jc w:val="both"/>
        <w:rPr>
          <w:sz w:val="17"/>
        </w:rPr>
      </w:pPr>
      <w:r>
        <w:rPr>
          <w:color w:val="010101"/>
          <w:w w:val="110"/>
          <w:sz w:val="17"/>
        </w:rPr>
        <w:t>In </w:t>
      </w:r>
      <w:r>
        <w:rPr>
          <w:rFonts w:ascii="Arial" w:hAnsi="Arial"/>
          <w:color w:val="010101"/>
          <w:w w:val="110"/>
          <w:sz w:val="15"/>
        </w:rPr>
        <w:t>a </w:t>
      </w:r>
      <w:r>
        <w:rPr>
          <w:color w:val="010101"/>
          <w:w w:val="110"/>
          <w:sz w:val="17"/>
        </w:rPr>
        <w:t>stationary community supported by </w:t>
      </w:r>
      <w:r>
        <w:rPr>
          <w:color w:val="010101"/>
          <w:w w:val="110"/>
          <w:sz w:val="16"/>
        </w:rPr>
        <w:t>5000 </w:t>
      </w:r>
      <w:r>
        <w:rPr>
          <w:color w:val="010101"/>
          <w:w w:val="110"/>
          <w:sz w:val="17"/>
        </w:rPr>
        <w:t>annual births, each person contributes </w:t>
      </w:r>
      <w:r>
        <w:rPr>
          <w:rFonts w:ascii="Arial" w:hAnsi="Arial"/>
          <w:color w:val="010101"/>
          <w:w w:val="110"/>
          <w:sz w:val="16"/>
        </w:rPr>
        <w:t>$200 </w:t>
      </w:r>
      <w:r>
        <w:rPr>
          <w:color w:val="010101"/>
          <w:w w:val="110"/>
          <w:sz w:val="17"/>
        </w:rPr>
        <w:t>on attaining the age of </w:t>
      </w:r>
      <w:r>
        <w:rPr>
          <w:rFonts w:ascii="Arial" w:hAnsi="Arial"/>
          <w:color w:val="010101"/>
          <w:w w:val="110"/>
          <w:sz w:val="16"/>
        </w:rPr>
        <w:t>25 </w:t>
      </w:r>
      <w:r>
        <w:rPr>
          <w:color w:val="010101"/>
          <w:w w:val="110"/>
          <w:sz w:val="17"/>
        </w:rPr>
        <w:t>and </w:t>
      </w:r>
      <w:r>
        <w:rPr>
          <w:rFonts w:ascii="Arial" w:hAnsi="Arial"/>
          <w:color w:val="010101"/>
          <w:w w:val="110"/>
          <w:sz w:val="16"/>
        </w:rPr>
        <w:t>$10 </w:t>
      </w:r>
      <w:r>
        <w:rPr>
          <w:color w:val="010101"/>
          <w:w w:val="110"/>
          <w:sz w:val="17"/>
        </w:rPr>
        <w:t>on each</w:t>
      </w:r>
      <w:r>
        <w:rPr>
          <w:color w:val="010101"/>
          <w:spacing w:val="-31"/>
          <w:w w:val="110"/>
          <w:sz w:val="17"/>
        </w:rPr>
        <w:t> </w:t>
      </w:r>
      <w:r>
        <w:rPr>
          <w:color w:val="010101"/>
          <w:w w:val="110"/>
          <w:sz w:val="17"/>
        </w:rPr>
        <w:t>succeed­ ing birthday up to, and including, his 65th birthday. On each  birthday thereaf ter, he receives an annuity payment of </w:t>
      </w:r>
      <w:r>
        <w:rPr>
          <w:color w:val="010101"/>
          <w:w w:val="110"/>
          <w:sz w:val="16"/>
        </w:rPr>
        <w:t>$150. A </w:t>
      </w:r>
      <w:r>
        <w:rPr>
          <w:color w:val="010101"/>
          <w:w w:val="110"/>
          <w:sz w:val="17"/>
        </w:rPr>
        <w:t>payment of </w:t>
      </w:r>
      <w:r>
        <w:rPr>
          <w:color w:val="010101"/>
          <w:w w:val="110"/>
          <w:sz w:val="16"/>
        </w:rPr>
        <w:t>$50 </w:t>
      </w:r>
      <w:r>
        <w:rPr>
          <w:color w:val="010101"/>
          <w:w w:val="110"/>
          <w:sz w:val="17"/>
        </w:rPr>
        <w:t>is made at the death of each contributor who dies hefore receiving the first annuity payment.  Find expressions</w:t>
      </w:r>
      <w:r>
        <w:rPr>
          <w:color w:val="010101"/>
          <w:spacing w:val="43"/>
          <w:w w:val="110"/>
          <w:sz w:val="17"/>
        </w:rPr>
        <w:t> </w:t>
      </w:r>
      <w:r>
        <w:rPr>
          <w:color w:val="010101"/>
          <w:w w:val="110"/>
          <w:sz w:val="17"/>
        </w:rPr>
        <w:t>for</w:t>
      </w:r>
    </w:p>
    <w:p>
      <w:pPr>
        <w:pStyle w:val="ListParagraph"/>
        <w:numPr>
          <w:ilvl w:val="1"/>
          <w:numId w:val="86"/>
        </w:numPr>
        <w:tabs>
          <w:tab w:pos="756" w:val="left" w:leader="none"/>
        </w:tabs>
        <w:spacing w:line="247" w:lineRule="auto" w:before="0" w:after="0"/>
        <w:ind w:left="748" w:right="138" w:hanging="291"/>
        <w:jc w:val="left"/>
        <w:rPr>
          <w:color w:val="010101"/>
          <w:sz w:val="17"/>
        </w:rPr>
      </w:pPr>
      <w:r>
        <w:rPr>
          <w:color w:val="010101"/>
          <w:w w:val="110"/>
          <w:sz w:val="17"/>
        </w:rPr>
        <w:t>the constant number of persons who have made their first contribu- tion  but. not  their</w:t>
      </w:r>
      <w:r>
        <w:rPr>
          <w:color w:val="010101"/>
          <w:spacing w:val="30"/>
          <w:w w:val="110"/>
          <w:sz w:val="17"/>
        </w:rPr>
        <w:t> </w:t>
      </w:r>
      <w:r>
        <w:rPr>
          <w:color w:val="010101"/>
          <w:w w:val="110"/>
          <w:sz w:val="17"/>
        </w:rPr>
        <w:t>last,</w:t>
      </w:r>
    </w:p>
    <w:p>
      <w:pPr>
        <w:pStyle w:val="ListParagraph"/>
        <w:numPr>
          <w:ilvl w:val="1"/>
          <w:numId w:val="86"/>
        </w:numPr>
        <w:tabs>
          <w:tab w:pos="756" w:val="left" w:leader="none"/>
        </w:tabs>
        <w:spacing w:line="192" w:lineRule="exact" w:before="0" w:after="0"/>
        <w:ind w:left="755" w:right="0" w:hanging="298"/>
        <w:jc w:val="left"/>
        <w:rPr>
          <w:color w:val="010101"/>
          <w:sz w:val="15"/>
        </w:rPr>
      </w:pPr>
      <w:r>
        <w:rPr>
          <w:color w:val="010101"/>
          <w:w w:val="110"/>
          <w:sz w:val="17"/>
        </w:rPr>
        <w:t>the  receipts  in any</w:t>
      </w:r>
      <w:r>
        <w:rPr>
          <w:color w:val="010101"/>
          <w:spacing w:val="16"/>
          <w:w w:val="110"/>
          <w:sz w:val="17"/>
        </w:rPr>
        <w:t> </w:t>
      </w:r>
      <w:r>
        <w:rPr>
          <w:color w:val="010101"/>
          <w:w w:val="110"/>
          <w:sz w:val="17"/>
        </w:rPr>
        <w:t>year,</w:t>
      </w:r>
    </w:p>
    <w:p>
      <w:pPr>
        <w:spacing w:before="6"/>
        <w:ind w:left="457" w:right="0" w:firstLine="0"/>
        <w:jc w:val="left"/>
        <w:rPr>
          <w:sz w:val="17"/>
        </w:rPr>
      </w:pPr>
      <w:r>
        <w:rPr>
          <w:color w:val="010101"/>
          <w:w w:val="110"/>
          <w:sz w:val="15"/>
        </w:rPr>
        <w:t>(e)   </w:t>
      </w:r>
      <w:r>
        <w:rPr>
          <w:color w:val="010101"/>
          <w:w w:val="110"/>
          <w:sz w:val="17"/>
        </w:rPr>
        <w:t>the  total  annuity payments  in  any yea r,</w:t>
      </w:r>
    </w:p>
    <w:p>
      <w:pPr>
        <w:spacing w:before="6"/>
        <w:ind w:left="457" w:right="0" w:firstLine="0"/>
        <w:jc w:val="left"/>
        <w:rPr>
          <w:sz w:val="17"/>
        </w:rPr>
      </w:pPr>
      <w:r>
        <w:rPr>
          <w:color w:val="010101"/>
          <w:w w:val="110"/>
          <w:sz w:val="17"/>
        </w:rPr>
        <w:t>(d)  the death claims in any   year.</w:t>
      </w:r>
    </w:p>
    <w:p>
      <w:pPr>
        <w:tabs>
          <w:tab w:pos="2862" w:val="left" w:leader="none"/>
        </w:tabs>
        <w:spacing w:line="138" w:lineRule="exact" w:before="33"/>
        <w:ind w:left="1663" w:right="0" w:firstLine="0"/>
        <w:jc w:val="left"/>
        <w:rPr>
          <w:sz w:val="16"/>
        </w:rPr>
      </w:pPr>
      <w:r>
        <w:rPr>
          <w:i/>
          <w:color w:val="010101"/>
          <w:w w:val="110"/>
          <w:sz w:val="16"/>
        </w:rPr>
        <w:t>d</w:t>
        <w:tab/>
      </w:r>
      <w:r>
        <w:rPr>
          <w:color w:val="010101"/>
          <w:w w:val="110"/>
          <w:sz w:val="16"/>
        </w:rPr>
        <w:t>-</w:t>
      </w:r>
    </w:p>
    <w:p>
      <w:pPr>
        <w:spacing w:line="161" w:lineRule="exact" w:before="0"/>
        <w:ind w:left="289" w:right="0" w:firstLine="0"/>
        <w:jc w:val="left"/>
        <w:rPr>
          <w:sz w:val="17"/>
        </w:rPr>
      </w:pPr>
      <w:r>
        <w:rPr>
          <w:rFonts w:ascii="Arial"/>
          <w:color w:val="010101"/>
          <w:w w:val="115"/>
          <w:sz w:val="16"/>
        </w:rPr>
        <w:t>17.(a) </w:t>
      </w:r>
      <w:r>
        <w:rPr>
          <w:color w:val="010101"/>
          <w:w w:val="115"/>
          <w:sz w:val="17"/>
        </w:rPr>
        <w:t>Show that </w:t>
      </w:r>
      <w:r>
        <w:rPr>
          <w:rFonts w:ascii="Arial"/>
          <w:i/>
          <w:color w:val="010101"/>
          <w:w w:val="115"/>
          <w:sz w:val="15"/>
        </w:rPr>
        <w:t>dx  </w:t>
      </w:r>
      <w:r>
        <w:rPr>
          <w:color w:val="010101"/>
          <w:w w:val="145"/>
          <w:sz w:val="16"/>
        </w:rPr>
        <w:t>(lz) </w:t>
      </w:r>
      <w:r>
        <w:rPr>
          <w:color w:val="010101"/>
          <w:w w:val="115"/>
          <w:sz w:val="18"/>
        </w:rPr>
        <w:t>=  </w:t>
      </w:r>
      <w:r>
        <w:rPr>
          <w:i/>
          <w:color w:val="010101"/>
          <w:w w:val="115"/>
          <w:sz w:val="17"/>
        </w:rPr>
        <w:t>-lzAz  </w:t>
      </w:r>
      <w:r>
        <w:rPr>
          <w:color w:val="010101"/>
          <w:w w:val="115"/>
          <w:sz w:val="17"/>
        </w:rPr>
        <w:t>. </w:t>
      </w:r>
      <w:r>
        <w:rPr>
          <w:color w:val="010101"/>
          <w:w w:val="105"/>
          <w:sz w:val="17"/>
        </w:rPr>
        <w:t>.</w:t>
      </w:r>
    </w:p>
    <w:p>
      <w:pPr>
        <w:pStyle w:val="BodyText"/>
        <w:spacing w:line="79" w:lineRule="exact"/>
        <w:ind w:left="1584"/>
        <w:rPr>
          <w:sz w:val="7"/>
        </w:rPr>
      </w:pPr>
      <w:r>
        <w:rPr>
          <w:position w:val="-1"/>
          <w:sz w:val="7"/>
        </w:rPr>
        <w:pict>
          <v:group style="width:12.4pt;height:3.95pt;mso-position-horizontal-relative:char;mso-position-vertical-relative:line" coordorigin="0,0" coordsize="248,79">
            <v:line style="position:absolute" from="40,40" to="208,40" stroked="true" strokeweight="3.948156pt" strokecolor="#000000"/>
          </v:group>
        </w:pict>
      </w:r>
      <w:r>
        <w:rPr>
          <w:position w:val="-1"/>
          <w:sz w:val="7"/>
        </w:rPr>
      </w:r>
    </w:p>
    <w:p>
      <w:pPr>
        <w:spacing w:before="27"/>
        <w:ind w:left="120" w:right="100" w:firstLine="369"/>
        <w:jc w:val="left"/>
        <w:rPr>
          <w:sz w:val="17"/>
        </w:rPr>
      </w:pPr>
      <w:r>
        <w:rPr>
          <w:color w:val="010101"/>
          <w:w w:val="110"/>
          <w:sz w:val="17"/>
        </w:rPr>
        <w:t>(b) </w:t>
      </w:r>
      <w:r>
        <w:rPr>
          <w:color w:val="010101"/>
          <w:w w:val="110"/>
          <w:sz w:val="18"/>
        </w:rPr>
        <w:t>In </w:t>
      </w:r>
      <w:r>
        <w:rPr>
          <w:color w:val="010101"/>
          <w:w w:val="110"/>
          <w:sz w:val="17"/>
        </w:rPr>
        <w:t>a stationary community, ali persona now aged </w:t>
      </w:r>
      <w:r>
        <w:rPr>
          <w:rFonts w:ascii="Arial"/>
          <w:i/>
          <w:color w:val="010101"/>
          <w:w w:val="110"/>
          <w:sz w:val="15"/>
        </w:rPr>
        <w:t>x </w:t>
      </w:r>
      <w:r>
        <w:rPr>
          <w:color w:val="010101"/>
          <w:w w:val="110"/>
          <w:sz w:val="17"/>
        </w:rPr>
        <w:t>and over agree to contribute a single sum equa1ly to a fund from which a unit </w:t>
      </w:r>
      <w:r>
        <w:rPr>
          <w:color w:val="010101"/>
          <w:w w:val="110"/>
          <w:sz w:val="16"/>
        </w:rPr>
        <w:t>will  </w:t>
      </w:r>
      <w:r>
        <w:rPr>
          <w:color w:val="010101"/>
          <w:w w:val="110"/>
          <w:sz w:val="17"/>
        </w:rPr>
        <w:t>be  paid  at</w:t>
      </w:r>
    </w:p>
    <w:p>
      <w:pPr>
        <w:spacing w:before="124"/>
        <w:ind w:left="123" w:right="0" w:firstLine="0"/>
        <w:jc w:val="both"/>
        <w:rPr>
          <w:sz w:val="17"/>
        </w:rPr>
      </w:pPr>
      <w:r>
        <w:rPr>
          <w:color w:val="010101"/>
          <w:w w:val="110"/>
          <w:sz w:val="17"/>
        </w:rPr>
        <w:t>the death of each of them. Show that thc payment to be made by each is </w:t>
      </w:r>
      <w:r>
        <w:rPr>
          <w:b/>
          <w:i/>
          <w:color w:val="010101"/>
          <w:position w:val="-12"/>
          <w:sz w:val="25"/>
        </w:rPr>
        <w:t>es </w:t>
      </w:r>
      <w:r>
        <w:rPr>
          <w:color w:val="010101"/>
          <w:w w:val="125"/>
          <w:sz w:val="17"/>
        </w:rPr>
        <w:t>.</w:t>
      </w:r>
    </w:p>
    <w:p>
      <w:pPr>
        <w:pStyle w:val="ListParagraph"/>
        <w:numPr>
          <w:ilvl w:val="0"/>
          <w:numId w:val="87"/>
        </w:numPr>
        <w:tabs>
          <w:tab w:pos="315" w:val="left" w:leader="none"/>
        </w:tabs>
        <w:spacing w:line="240" w:lineRule="auto" w:before="135" w:after="0"/>
        <w:ind w:left="314" w:right="0" w:hanging="198"/>
        <w:jc w:val="both"/>
        <w:rPr>
          <w:b/>
          <w:sz w:val="16"/>
        </w:rPr>
      </w:pPr>
      <w:r>
        <w:rPr>
          <w:b/>
          <w:color w:val="010101"/>
          <w:w w:val="125"/>
          <w:sz w:val="16"/>
        </w:rPr>
        <w:t>Average ages in  the stationary</w:t>
      </w:r>
      <w:r>
        <w:rPr>
          <w:b/>
          <w:color w:val="010101"/>
          <w:spacing w:val="47"/>
          <w:w w:val="125"/>
          <w:sz w:val="16"/>
        </w:rPr>
        <w:t> </w:t>
      </w:r>
      <w:r>
        <w:rPr>
          <w:b/>
          <w:color w:val="010101"/>
          <w:w w:val="125"/>
          <w:sz w:val="16"/>
        </w:rPr>
        <w:t>population</w:t>
      </w:r>
    </w:p>
    <w:p>
      <w:pPr>
        <w:pStyle w:val="ListParagraph"/>
        <w:numPr>
          <w:ilvl w:val="1"/>
          <w:numId w:val="87"/>
        </w:numPr>
        <w:tabs>
          <w:tab w:pos="562" w:val="left" w:leader="none"/>
          <w:tab w:pos="4739" w:val="left" w:leader="none"/>
        </w:tabs>
        <w:spacing w:line="244" w:lineRule="auto" w:before="77" w:after="0"/>
        <w:ind w:left="113" w:right="140" w:firstLine="172"/>
        <w:jc w:val="both"/>
        <w:rPr>
          <w:color w:val="010101"/>
          <w:sz w:val="17"/>
        </w:rPr>
      </w:pPr>
      <w:r>
        <w:rPr>
          <w:color w:val="010101"/>
          <w:w w:val="110"/>
          <w:sz w:val="17"/>
        </w:rPr>
        <w:t>An organization of 10,000 members who enter at a.ge 20 and retire at age 60 has reached a stationary condition. Each year there are 100 deaths, the average age at deat h being 40. Wha.t is the number entering and retiring each</w:t>
      </w:r>
      <w:r>
        <w:rPr>
          <w:color w:val="010101"/>
          <w:spacing w:val="19"/>
          <w:w w:val="110"/>
          <w:sz w:val="17"/>
        </w:rPr>
        <w:t> </w:t>
      </w:r>
      <w:r>
        <w:rPr>
          <w:color w:val="010101"/>
          <w:w w:val="110"/>
          <w:sz w:val="17"/>
        </w:rPr>
        <w:t>year?</w:t>
        <w:tab/>
      </w:r>
      <w:r>
        <w:rPr>
          <w:color w:val="010101"/>
          <w:w w:val="105"/>
          <w:sz w:val="17"/>
        </w:rPr>
        <w:t>(Ans. 300,</w:t>
      </w:r>
      <w:r>
        <w:rPr>
          <w:color w:val="010101"/>
          <w:spacing w:val="-24"/>
          <w:w w:val="105"/>
          <w:sz w:val="17"/>
        </w:rPr>
        <w:t> </w:t>
      </w:r>
      <w:r>
        <w:rPr>
          <w:color w:val="010101"/>
          <w:w w:val="105"/>
          <w:sz w:val="17"/>
        </w:rPr>
        <w:t>200)</w:t>
      </w:r>
    </w:p>
    <w:p>
      <w:pPr>
        <w:pStyle w:val="ListParagraph"/>
        <w:numPr>
          <w:ilvl w:val="1"/>
          <w:numId w:val="87"/>
        </w:numPr>
        <w:tabs>
          <w:tab w:pos="580" w:val="left" w:leader="none"/>
        </w:tabs>
        <w:spacing w:line="160" w:lineRule="auto" w:before="51" w:after="0"/>
        <w:ind w:left="109" w:right="149" w:firstLine="172"/>
        <w:jc w:val="both"/>
        <w:rPr>
          <w:i/>
          <w:color w:val="010101"/>
          <w:sz w:val="17"/>
        </w:rPr>
      </w:pPr>
      <w:r>
        <w:rPr>
          <w:color w:val="010101"/>
          <w:w w:val="105"/>
          <w:sz w:val="17"/>
        </w:rPr>
        <w:t>(a) Find t.he total number of </w:t>
      </w:r>
      <w:r>
        <w:rPr>
          <w:color w:val="010101"/>
          <w:spacing w:val="3"/>
          <w:w w:val="105"/>
          <w:sz w:val="17"/>
        </w:rPr>
        <w:t>future </w:t>
      </w:r>
      <w:r>
        <w:rPr>
          <w:color w:val="010101"/>
          <w:w w:val="105"/>
          <w:sz w:val="17"/>
        </w:rPr>
        <w:t>years that those in the stationary population  now  between  ages  </w:t>
      </w:r>
      <w:r>
        <w:rPr>
          <w:i/>
          <w:color w:val="010101"/>
          <w:w w:val="105"/>
          <w:sz w:val="17"/>
        </w:rPr>
        <w:t>x  </w:t>
      </w:r>
      <w:r>
        <w:rPr>
          <w:color w:val="010101"/>
          <w:w w:val="105"/>
          <w:sz w:val="17"/>
        </w:rPr>
        <w:t>and  </w:t>
      </w:r>
      <w:r>
        <w:rPr>
          <w:i/>
          <w:color w:val="010101"/>
          <w:w w:val="105"/>
          <w:sz w:val="17"/>
        </w:rPr>
        <w:t>x  </w:t>
      </w:r>
      <w:r>
        <w:rPr>
          <w:rFonts w:ascii="Arial"/>
          <w:color w:val="010101"/>
          <w:w w:val="105"/>
          <w:sz w:val="26"/>
        </w:rPr>
        <w:t>+ </w:t>
      </w:r>
      <w:r>
        <w:rPr>
          <w:i/>
          <w:color w:val="010101"/>
          <w:w w:val="105"/>
          <w:sz w:val="17"/>
        </w:rPr>
        <w:t>n  </w:t>
      </w:r>
      <w:r>
        <w:rPr>
          <w:color w:val="010101"/>
          <w:w w:val="105"/>
          <w:sz w:val="16"/>
        </w:rPr>
        <w:t>will  </w:t>
      </w:r>
      <w:r>
        <w:rPr>
          <w:color w:val="010101"/>
          <w:w w:val="105"/>
          <w:sz w:val="17"/>
        </w:rPr>
        <w:t>live  before  attaining  age  </w:t>
      </w:r>
      <w:r>
        <w:rPr>
          <w:i/>
          <w:color w:val="010101"/>
          <w:w w:val="85"/>
          <w:sz w:val="23"/>
        </w:rPr>
        <w:t>X  </w:t>
      </w:r>
      <w:r>
        <w:rPr>
          <w:i/>
          <w:color w:val="010101"/>
          <w:w w:val="105"/>
          <w:sz w:val="23"/>
        </w:rPr>
        <w:t>+</w:t>
      </w:r>
      <w:r>
        <w:rPr>
          <w:i/>
          <w:color w:val="010101"/>
          <w:spacing w:val="-43"/>
          <w:w w:val="105"/>
          <w:sz w:val="23"/>
        </w:rPr>
        <w:t> </w:t>
      </w:r>
      <w:r>
        <w:rPr>
          <w:i/>
          <w:color w:val="010101"/>
          <w:w w:val="115"/>
          <w:sz w:val="16"/>
        </w:rPr>
        <w:t>n.</w:t>
      </w:r>
    </w:p>
    <w:p>
      <w:pPr>
        <w:spacing w:after="0" w:line="160" w:lineRule="auto"/>
        <w:jc w:val="both"/>
        <w:rPr>
          <w:sz w:val="17"/>
        </w:rPr>
        <w:sectPr>
          <w:pgSz w:w="7200" w:h="11340"/>
          <w:pgMar w:top="520" w:bottom="280" w:left="680" w:right="520"/>
        </w:sectPr>
      </w:pPr>
    </w:p>
    <w:p>
      <w:pPr>
        <w:tabs>
          <w:tab w:pos="2167" w:val="left" w:leader="none"/>
          <w:tab w:pos="5407" w:val="left" w:leader="none"/>
        </w:tabs>
        <w:spacing w:before="45"/>
        <w:ind w:left="162" w:right="0" w:firstLine="0"/>
        <w:jc w:val="left"/>
        <w:rPr>
          <w:rFonts w:ascii="Arial"/>
          <w:sz w:val="19"/>
        </w:rPr>
      </w:pPr>
      <w:r>
        <w:rPr>
          <w:spacing w:val="-14"/>
          <w:sz w:val="22"/>
        </w:rPr>
        <w:t>188</w:t>
        <w:tab/>
      </w:r>
      <w:r>
        <w:rPr>
          <w:position w:val="1"/>
          <w:sz w:val="15"/>
        </w:rPr>
        <w:t>POPULATION  </w:t>
      </w:r>
      <w:r>
        <w:rPr>
          <w:spacing w:val="15"/>
          <w:position w:val="1"/>
          <w:sz w:val="15"/>
        </w:rPr>
        <w:t> </w:t>
      </w:r>
      <w:r>
        <w:rPr>
          <w:position w:val="1"/>
          <w:sz w:val="15"/>
        </w:rPr>
        <w:t>TH'.EORY</w:t>
        <w:tab/>
      </w:r>
      <w:r>
        <w:rPr>
          <w:position w:val="1"/>
          <w:sz w:val="19"/>
        </w:rPr>
        <w:t>[CH.</w:t>
      </w:r>
      <w:r>
        <w:rPr>
          <w:spacing w:val="-2"/>
          <w:position w:val="1"/>
          <w:sz w:val="19"/>
        </w:rPr>
        <w:t> </w:t>
      </w:r>
      <w:r>
        <w:rPr>
          <w:rFonts w:ascii="Arial"/>
          <w:position w:val="1"/>
          <w:sz w:val="19"/>
        </w:rPr>
        <w:t>8</w:t>
      </w:r>
    </w:p>
    <w:p>
      <w:pPr>
        <w:pStyle w:val="BodyText"/>
        <w:spacing w:before="6"/>
        <w:rPr>
          <w:rFonts w:ascii="Arial"/>
          <w:sz w:val="24"/>
        </w:rPr>
      </w:pPr>
    </w:p>
    <w:p>
      <w:pPr>
        <w:spacing w:line="156" w:lineRule="auto" w:before="0"/>
        <w:ind w:left="152" w:right="655" w:firstLine="468"/>
        <w:jc w:val="both"/>
        <w:rPr>
          <w:sz w:val="18"/>
        </w:rPr>
      </w:pPr>
      <w:r>
        <w:rPr>
          <w:w w:val="105"/>
          <w:sz w:val="18"/>
        </w:rPr>
        <w:t>(b) Find the total number of future years that those  now  between ages </w:t>
      </w:r>
      <w:r>
        <w:rPr>
          <w:i/>
          <w:w w:val="105"/>
          <w:sz w:val="18"/>
        </w:rPr>
        <w:t>x  </w:t>
      </w:r>
      <w:r>
        <w:rPr>
          <w:w w:val="105"/>
          <w:sz w:val="18"/>
        </w:rPr>
        <w:t>and </w:t>
      </w:r>
      <w:r>
        <w:rPr>
          <w:i/>
          <w:w w:val="105"/>
          <w:sz w:val="18"/>
        </w:rPr>
        <w:t>x  </w:t>
      </w:r>
      <w:r>
        <w:rPr>
          <w:rFonts w:ascii="Arial"/>
          <w:w w:val="105"/>
          <w:sz w:val="25"/>
        </w:rPr>
        <w:t>+ </w:t>
      </w:r>
      <w:r>
        <w:rPr>
          <w:i/>
          <w:w w:val="105"/>
          <w:sz w:val="18"/>
        </w:rPr>
        <w:t>n </w:t>
      </w:r>
      <w:r>
        <w:rPr>
          <w:w w:val="105"/>
          <w:sz w:val="16"/>
        </w:rPr>
        <w:t>will  </w:t>
      </w:r>
      <w:r>
        <w:rPr>
          <w:w w:val="105"/>
          <w:sz w:val="18"/>
        </w:rPr>
        <w:t>live in the next </w:t>
      </w:r>
      <w:r>
        <w:rPr>
          <w:i/>
          <w:w w:val="105"/>
          <w:sz w:val="18"/>
        </w:rPr>
        <w:t>m </w:t>
      </w:r>
      <w:r>
        <w:rPr>
          <w:w w:val="105"/>
          <w:sz w:val="18"/>
        </w:rPr>
        <w:t>years.</w:t>
      </w:r>
    </w:p>
    <w:p>
      <w:pPr>
        <w:pStyle w:val="ListParagraph"/>
        <w:numPr>
          <w:ilvl w:val="1"/>
          <w:numId w:val="87"/>
        </w:numPr>
        <w:tabs>
          <w:tab w:pos="617" w:val="left" w:leader="none"/>
        </w:tabs>
        <w:spacing w:line="156" w:lineRule="auto" w:before="54" w:after="0"/>
        <w:ind w:left="155" w:right="655" w:firstLine="155"/>
        <w:jc w:val="both"/>
        <w:rPr>
          <w:i/>
          <w:sz w:val="16"/>
        </w:rPr>
      </w:pPr>
      <w:r>
        <w:rPr>
          <w:rFonts w:ascii="Arial" w:hAnsi="Arial"/>
          <w:w w:val="105"/>
          <w:sz w:val="15"/>
        </w:rPr>
        <w:t>(a) </w:t>
      </w:r>
      <w:r>
        <w:rPr>
          <w:w w:val="105"/>
          <w:sz w:val="18"/>
        </w:rPr>
        <w:t>Find the average age at death of those in the stationary popula­ tion who are now living between a.ges </w:t>
      </w:r>
      <w:r>
        <w:rPr>
          <w:i/>
          <w:w w:val="105"/>
          <w:sz w:val="18"/>
        </w:rPr>
        <w:t>x </w:t>
      </w:r>
      <w:r>
        <w:rPr>
          <w:w w:val="105"/>
          <w:sz w:val="18"/>
        </w:rPr>
        <w:t>and </w:t>
      </w:r>
      <w:r>
        <w:rPr>
          <w:i/>
          <w:w w:val="105"/>
          <w:sz w:val="18"/>
        </w:rPr>
        <w:t>x </w:t>
      </w:r>
      <w:r>
        <w:rPr>
          <w:rFonts w:ascii="Arial" w:hAnsi="Arial"/>
          <w:w w:val="105"/>
          <w:sz w:val="25"/>
        </w:rPr>
        <w:t>+</w:t>
      </w:r>
      <w:r>
        <w:rPr>
          <w:rFonts w:ascii="Arial" w:hAnsi="Arial"/>
          <w:spacing w:val="-19"/>
          <w:w w:val="105"/>
          <w:sz w:val="25"/>
        </w:rPr>
        <w:t> </w:t>
      </w:r>
      <w:r>
        <w:rPr>
          <w:i/>
          <w:w w:val="105"/>
          <w:sz w:val="18"/>
        </w:rPr>
        <w:t>n.</w:t>
      </w:r>
    </w:p>
    <w:p>
      <w:pPr>
        <w:spacing w:line="156" w:lineRule="auto" w:before="54"/>
        <w:ind w:left="148" w:right="642" w:firstLine="468"/>
        <w:jc w:val="both"/>
        <w:rPr>
          <w:i/>
          <w:sz w:val="19"/>
        </w:rPr>
      </w:pPr>
      <w:r>
        <w:rPr>
          <w:rFonts w:ascii="Arial" w:hAnsi="Arial"/>
          <w:w w:val="105"/>
          <w:sz w:val="15"/>
        </w:rPr>
        <w:t>(b) </w:t>
      </w:r>
      <w:r>
        <w:rPr>
          <w:w w:val="105"/>
          <w:sz w:val="18"/>
        </w:rPr>
        <w:t>Find the </w:t>
      </w:r>
      <w:r>
        <w:rPr>
          <w:b/>
          <w:w w:val="105"/>
          <w:sz w:val="17"/>
        </w:rPr>
        <w:t>average </w:t>
      </w:r>
      <w:r>
        <w:rPr>
          <w:w w:val="105"/>
          <w:sz w:val="18"/>
        </w:rPr>
        <w:t>a.ge at death of those in the stationary popula­ tion who are now living between ages </w:t>
      </w:r>
      <w:r>
        <w:rPr>
          <w:i/>
          <w:w w:val="105"/>
          <w:sz w:val="17"/>
        </w:rPr>
        <w:t>x </w:t>
      </w:r>
      <w:r>
        <w:rPr>
          <w:w w:val="105"/>
          <w:sz w:val="18"/>
        </w:rPr>
        <w:t>and </w:t>
      </w:r>
      <w:r>
        <w:rPr>
          <w:i/>
          <w:w w:val="105"/>
          <w:sz w:val="17"/>
        </w:rPr>
        <w:t>x </w:t>
      </w:r>
      <w:r>
        <w:rPr>
          <w:rFonts w:ascii="Arial" w:hAnsi="Arial"/>
          <w:w w:val="105"/>
          <w:sz w:val="26"/>
        </w:rPr>
        <w:t>+ </w:t>
      </w:r>
      <w:r>
        <w:rPr>
          <w:i/>
          <w:w w:val="105"/>
          <w:sz w:val="17"/>
        </w:rPr>
        <w:t>n </w:t>
      </w:r>
      <w:r>
        <w:rPr>
          <w:w w:val="105"/>
          <w:sz w:val="18"/>
        </w:rPr>
        <w:t>and who will die </w:t>
      </w:r>
      <w:r>
        <w:rPr>
          <w:rFonts w:ascii="Arial" w:hAnsi="Arial"/>
          <w:w w:val="105"/>
          <w:sz w:val="16"/>
        </w:rPr>
        <w:t>before </w:t>
      </w:r>
      <w:r>
        <w:rPr>
          <w:w w:val="105"/>
          <w:sz w:val="18"/>
        </w:rPr>
        <w:t>attaining  age     </w:t>
      </w:r>
      <w:r>
        <w:rPr>
          <w:rFonts w:ascii="Arial" w:hAnsi="Arial"/>
          <w:w w:val="105"/>
          <w:sz w:val="25"/>
        </w:rPr>
        <w:t>+ </w:t>
      </w:r>
      <w:r>
        <w:rPr>
          <w:i/>
          <w:w w:val="105"/>
          <w:sz w:val="19"/>
        </w:rPr>
        <w:t>n.</w:t>
      </w:r>
    </w:p>
    <w:p>
      <w:pPr>
        <w:tabs>
          <w:tab w:pos="3096" w:val="left" w:leader="none"/>
        </w:tabs>
        <w:spacing w:line="194" w:lineRule="exact" w:before="8"/>
        <w:ind w:left="152" w:right="669" w:firstLine="154"/>
        <w:jc w:val="both"/>
        <w:rPr>
          <w:sz w:val="17"/>
        </w:rPr>
      </w:pPr>
      <w:r>
        <w:rPr>
          <w:rFonts w:ascii="Arial"/>
          <w:spacing w:val="-3"/>
          <w:sz w:val="17"/>
        </w:rPr>
        <w:t>21. </w:t>
      </w:r>
      <w:r>
        <w:rPr>
          <w:sz w:val="18"/>
        </w:rPr>
        <w:t>Find the </w:t>
      </w:r>
      <w:r>
        <w:rPr>
          <w:b/>
          <w:sz w:val="17"/>
        </w:rPr>
        <w:t>average </w:t>
      </w:r>
      <w:r>
        <w:rPr>
          <w:sz w:val="18"/>
        </w:rPr>
        <w:t>attained age  of  those  in  the  stationary  population now living at </w:t>
      </w:r>
      <w:r>
        <w:rPr>
          <w:rFonts w:ascii="Arial"/>
          <w:b/>
          <w:sz w:val="15"/>
        </w:rPr>
        <w:t>a.ges </w:t>
      </w:r>
      <w:r>
        <w:rPr>
          <w:rFonts w:ascii="Arial"/>
          <w:b/>
          <w:spacing w:val="27"/>
          <w:sz w:val="15"/>
        </w:rPr>
        <w:t> </w:t>
      </w:r>
      <w:r>
        <w:rPr>
          <w:sz w:val="18"/>
        </w:rPr>
        <w:t>under</w:t>
      </w:r>
      <w:r>
        <w:rPr>
          <w:spacing w:val="17"/>
          <w:sz w:val="18"/>
        </w:rPr>
        <w:t> </w:t>
      </w:r>
      <w:r>
        <w:rPr>
          <w:sz w:val="17"/>
        </w:rPr>
        <w:t>30.</w:t>
        <w:tab/>
      </w:r>
      <w:r>
        <w:rPr>
          <w:w w:val="95"/>
          <w:sz w:val="17"/>
        </w:rPr>
        <w:t>,</w:t>
      </w:r>
    </w:p>
    <w:p>
      <w:pPr>
        <w:spacing w:line="235" w:lineRule="auto" w:before="0"/>
        <w:ind w:left="141" w:right="656" w:firstLine="162"/>
        <w:jc w:val="both"/>
        <w:rPr>
          <w:sz w:val="17"/>
        </w:rPr>
      </w:pPr>
      <w:r>
        <w:rPr>
          <w:w w:val="105"/>
          <w:sz w:val="16"/>
        </w:rPr>
        <w:t>22. </w:t>
      </w:r>
      <w:r>
        <w:rPr>
          <w:w w:val="105"/>
          <w:sz w:val="18"/>
        </w:rPr>
        <w:t>Find the </w:t>
      </w:r>
      <w:r>
        <w:rPr>
          <w:b/>
          <w:w w:val="105"/>
          <w:sz w:val="17"/>
        </w:rPr>
        <w:t>average age </w:t>
      </w:r>
      <w:r>
        <w:rPr>
          <w:w w:val="105"/>
          <w:sz w:val="18"/>
        </w:rPr>
        <w:t>at death of those  in the stationary  population who are now living between ages </w:t>
      </w:r>
      <w:r>
        <w:rPr>
          <w:w w:val="105"/>
          <w:sz w:val="16"/>
        </w:rPr>
        <w:t>20 </w:t>
      </w:r>
      <w:r>
        <w:rPr>
          <w:w w:val="105"/>
          <w:sz w:val="18"/>
        </w:rPr>
        <w:t>and </w:t>
      </w:r>
      <w:r>
        <w:rPr>
          <w:w w:val="105"/>
          <w:sz w:val="16"/>
        </w:rPr>
        <w:t>30 </w:t>
      </w:r>
      <w:r>
        <w:rPr>
          <w:w w:val="105"/>
          <w:sz w:val="18"/>
        </w:rPr>
        <w:t>and who </w:t>
      </w:r>
      <w:r>
        <w:rPr>
          <w:w w:val="105"/>
          <w:sz w:val="16"/>
        </w:rPr>
        <w:t>will </w:t>
      </w:r>
      <w:r>
        <w:rPr>
          <w:w w:val="105"/>
          <w:sz w:val="18"/>
        </w:rPr>
        <w:t>die between a.ges </w:t>
      </w:r>
      <w:r>
        <w:rPr>
          <w:sz w:val="17"/>
        </w:rPr>
        <w:t>30 </w:t>
      </w:r>
      <w:r>
        <w:rPr>
          <w:sz w:val="18"/>
        </w:rPr>
        <w:t>and </w:t>
      </w:r>
      <w:r>
        <w:rPr>
          <w:sz w:val="17"/>
        </w:rPr>
        <w:t>OO.</w:t>
      </w:r>
    </w:p>
    <w:p>
      <w:pPr>
        <w:spacing w:after="0" w:line="235" w:lineRule="auto"/>
        <w:jc w:val="both"/>
        <w:rPr>
          <w:sz w:val="17"/>
        </w:rPr>
        <w:sectPr>
          <w:pgSz w:w="7200" w:h="11340"/>
          <w:pgMar w:top="480" w:bottom="280" w:left="640" w:right="0"/>
        </w:sectPr>
      </w:pPr>
    </w:p>
    <w:p>
      <w:pPr>
        <w:pStyle w:val="BodyText"/>
        <w:spacing w:before="10"/>
        <w:rPr>
          <w:sz w:val="13"/>
        </w:rPr>
      </w:pPr>
    </w:p>
    <w:p>
      <w:pPr>
        <w:spacing w:before="0"/>
        <w:ind w:left="134" w:right="-14" w:firstLine="0"/>
        <w:jc w:val="left"/>
        <w:rPr>
          <w:b/>
          <w:sz w:val="17"/>
        </w:rPr>
      </w:pPr>
      <w:r>
        <w:rPr>
          <w:b/>
          <w:w w:val="115"/>
          <w:sz w:val="17"/>
        </w:rPr>
        <w:t>Miscellaneoua problems</w:t>
      </w:r>
    </w:p>
    <w:p>
      <w:pPr>
        <w:pStyle w:val="BodyText"/>
        <w:spacing w:before="10"/>
        <w:rPr>
          <w:b/>
          <w:sz w:val="12"/>
        </w:rPr>
      </w:pPr>
    </w:p>
    <w:p>
      <w:pPr>
        <w:spacing w:before="0"/>
        <w:ind w:left="292" w:right="-14" w:firstLine="0"/>
        <w:jc w:val="left"/>
        <w:rPr>
          <w:sz w:val="18"/>
        </w:rPr>
      </w:pPr>
      <w:r>
        <w:rPr/>
        <w:pict>
          <v:line style="position:absolute;mso-position-horizontal-relative:page;mso-position-vertical-relative:paragraph;z-index:-720664" from="174.600006pt,13.616329pt" to="196.740006pt,13.616329pt" stroked="true" strokeweight="5.76pt" strokecolor="#000000">
            <w10:wrap type="none"/>
          </v:line>
        </w:pict>
      </w:r>
      <w:r>
        <w:rPr>
          <w:b/>
          <w:w w:val="95"/>
          <w:sz w:val="17"/>
        </w:rPr>
        <w:t>23.</w:t>
      </w:r>
      <w:r>
        <w:rPr>
          <w:b/>
          <w:sz w:val="17"/>
        </w:rPr>
        <w:t>  </w:t>
      </w:r>
      <w:r>
        <w:rPr>
          <w:b/>
          <w:spacing w:val="-20"/>
          <w:sz w:val="17"/>
        </w:rPr>
        <w:t> </w:t>
      </w:r>
      <w:r>
        <w:rPr>
          <w:b/>
          <w:w w:val="107"/>
          <w:sz w:val="16"/>
        </w:rPr>
        <w:t>(a)</w:t>
      </w:r>
      <w:r>
        <w:rPr>
          <w:b/>
          <w:sz w:val="16"/>
        </w:rPr>
        <w:t> </w:t>
      </w:r>
      <w:r>
        <w:rPr>
          <w:b/>
          <w:spacing w:val="6"/>
          <w:sz w:val="16"/>
        </w:rPr>
        <w:t> </w:t>
      </w:r>
      <w:r>
        <w:rPr>
          <w:w w:val="102"/>
          <w:sz w:val="18"/>
        </w:rPr>
        <w:t>Given</w:t>
      </w:r>
      <w:r>
        <w:rPr>
          <w:sz w:val="18"/>
        </w:rPr>
        <w:t> </w:t>
      </w:r>
      <w:r>
        <w:rPr>
          <w:spacing w:val="-21"/>
          <w:sz w:val="18"/>
        </w:rPr>
        <w:t> </w:t>
      </w:r>
      <w:r>
        <w:rPr>
          <w:b/>
          <w:w w:val="102"/>
          <w:sz w:val="16"/>
        </w:rPr>
        <w:t>eu:'il</w:t>
      </w:r>
      <w:r>
        <w:rPr>
          <w:b/>
          <w:sz w:val="16"/>
        </w:rPr>
        <w:t>  </w:t>
      </w:r>
      <w:r>
        <w:rPr>
          <w:b/>
          <w:spacing w:val="-13"/>
          <w:sz w:val="16"/>
        </w:rPr>
        <w:t> </w:t>
      </w:r>
      <w:r>
        <w:rPr>
          <w:w w:val="89"/>
          <w:sz w:val="23"/>
        </w:rPr>
        <w:t>=</w:t>
      </w:r>
      <w:r>
        <w:rPr>
          <w:sz w:val="23"/>
        </w:rPr>
        <w:t> </w:t>
      </w:r>
      <w:r>
        <w:rPr>
          <w:spacing w:val="-20"/>
          <w:sz w:val="23"/>
        </w:rPr>
        <w:t> </w:t>
      </w:r>
      <w:r>
        <w:rPr>
          <w:i/>
          <w:w w:val="110"/>
          <w:sz w:val="18"/>
        </w:rPr>
        <w:t>n</w:t>
      </w:r>
      <w:r>
        <w:rPr>
          <w:i/>
          <w:spacing w:val="18"/>
          <w:sz w:val="18"/>
        </w:rPr>
        <w:t> </w:t>
      </w:r>
      <w:r>
        <w:rPr>
          <w:spacing w:val="-14"/>
          <w:w w:val="219"/>
          <w:sz w:val="18"/>
        </w:rPr>
        <w:t>(</w:t>
      </w:r>
      <w:r>
        <w:rPr>
          <w:b/>
          <w:w w:val="99"/>
          <w:sz w:val="17"/>
        </w:rPr>
        <w:t>1</w:t>
      </w:r>
      <w:r>
        <w:rPr>
          <w:b/>
          <w:sz w:val="17"/>
        </w:rPr>
        <w:t> </w:t>
      </w:r>
      <w:r>
        <w:rPr>
          <w:b/>
          <w:spacing w:val="-8"/>
          <w:sz w:val="17"/>
        </w:rPr>
        <w:t> </w:t>
      </w:r>
      <w:r>
        <w:rPr>
          <w:w w:val="265"/>
          <w:sz w:val="17"/>
        </w:rPr>
        <w:t>-</w:t>
      </w:r>
      <w:r>
        <w:rPr>
          <w:spacing w:val="12"/>
          <w:sz w:val="17"/>
        </w:rPr>
        <w:t> </w:t>
      </w:r>
      <w:r>
        <w:rPr>
          <w:i/>
          <w:w w:val="106"/>
          <w:sz w:val="18"/>
        </w:rPr>
        <w:t>n</w:t>
      </w:r>
      <w:r>
        <w:rPr>
          <w:i/>
          <w:spacing w:val="-26"/>
          <w:sz w:val="18"/>
        </w:rPr>
        <w:t> </w:t>
      </w:r>
      <w:r>
        <w:rPr>
          <w:w w:val="113"/>
          <w:position w:val="-10"/>
          <w:sz w:val="18"/>
        </w:rPr>
        <w:t>1</w:t>
      </w:r>
    </w:p>
    <w:p>
      <w:pPr>
        <w:pStyle w:val="BodyText"/>
        <w:rPr>
          <w:sz w:val="18"/>
        </w:rPr>
      </w:pPr>
      <w:r>
        <w:rPr/>
        <w:br w:type="column"/>
      </w:r>
      <w:r>
        <w:rPr>
          <w:sz w:val="18"/>
        </w:rPr>
      </w:r>
    </w:p>
    <w:p>
      <w:pPr>
        <w:pStyle w:val="BodyText"/>
        <w:spacing w:before="9"/>
        <w:rPr>
          <w:sz w:val="18"/>
        </w:rPr>
      </w:pPr>
    </w:p>
    <w:p>
      <w:pPr>
        <w:spacing w:line="166" w:lineRule="exact" w:before="1"/>
        <w:ind w:left="131" w:right="0" w:firstLine="0"/>
        <w:jc w:val="left"/>
        <w:rPr>
          <w:sz w:val="18"/>
        </w:rPr>
      </w:pPr>
      <w:r>
        <w:rPr>
          <w:w w:val="120"/>
          <w:sz w:val="18"/>
        </w:rPr>
        <w:t>1</w:t>
      </w:r>
    </w:p>
    <w:p>
      <w:pPr>
        <w:spacing w:line="166" w:lineRule="exact" w:before="0"/>
        <w:ind w:left="211" w:right="0" w:firstLine="0"/>
        <w:jc w:val="left"/>
        <w:rPr>
          <w:sz w:val="18"/>
        </w:rPr>
      </w:pPr>
      <w:r>
        <w:rPr>
          <w:w w:val="170"/>
          <w:sz w:val="18"/>
        </w:rPr>
        <w:t>)</w:t>
      </w:r>
      <w:r>
        <w:rPr>
          <w:spacing w:val="-59"/>
          <w:w w:val="170"/>
          <w:sz w:val="18"/>
        </w:rPr>
        <w:t> </w:t>
      </w:r>
      <w:r>
        <w:rPr>
          <w:w w:val="115"/>
          <w:sz w:val="18"/>
        </w:rPr>
        <w:t>for all </w:t>
      </w:r>
      <w:r>
        <w:rPr>
          <w:i/>
          <w:w w:val="115"/>
          <w:sz w:val="18"/>
        </w:rPr>
        <w:t>n, </w:t>
      </w:r>
      <w:r>
        <w:rPr>
          <w:w w:val="115"/>
          <w:sz w:val="18"/>
        </w:rPr>
        <w:t>derive an expression for</w:t>
      </w:r>
    </w:p>
    <w:p>
      <w:pPr>
        <w:spacing w:after="0" w:line="166" w:lineRule="exact"/>
        <w:jc w:val="left"/>
        <w:rPr>
          <w:sz w:val="18"/>
        </w:rPr>
        <w:sectPr>
          <w:type w:val="continuous"/>
          <w:pgSz w:w="7200" w:h="11340"/>
          <w:pgMar w:top="1100" w:bottom="0" w:left="640" w:right="0"/>
          <w:cols w:num="2" w:equalWidth="0">
            <w:col w:w="2954" w:space="40"/>
            <w:col w:w="3566"/>
          </w:cols>
        </w:sectPr>
      </w:pPr>
    </w:p>
    <w:p>
      <w:pPr>
        <w:spacing w:before="104"/>
        <w:ind w:left="598" w:right="0" w:firstLine="0"/>
        <w:jc w:val="left"/>
        <w:rPr>
          <w:sz w:val="17"/>
        </w:rPr>
      </w:pPr>
      <w:r>
        <w:rPr>
          <w:sz w:val="16"/>
        </w:rPr>
        <w:t>(b)  </w:t>
      </w:r>
      <w:r>
        <w:rPr>
          <w:sz w:val="18"/>
        </w:rPr>
        <w:t>Find  the derivative  of  </w:t>
      </w:r>
      <w:r>
        <w:rPr>
          <w:i/>
          <w:w w:val="90"/>
          <w:sz w:val="28"/>
        </w:rPr>
        <w:t>e., </w:t>
      </w:r>
      <w:r>
        <w:rPr>
          <w:sz w:val="18"/>
        </w:rPr>
        <w:t>with  respect  to </w:t>
      </w:r>
      <w:r>
        <w:rPr>
          <w:i/>
          <w:sz w:val="17"/>
        </w:rPr>
        <w:t>l., </w:t>
      </w:r>
      <w:r>
        <w:rPr>
          <w:sz w:val="17"/>
        </w:rPr>
        <w:t>.</w:t>
      </w:r>
    </w:p>
    <w:p>
      <w:pPr>
        <w:tabs>
          <w:tab w:pos="1303" w:val="left" w:leader="none"/>
        </w:tabs>
        <w:spacing w:line="406" w:lineRule="exact" w:before="29"/>
        <w:ind w:left="0" w:right="2683" w:firstLine="0"/>
        <w:jc w:val="center"/>
        <w:rPr>
          <w:rFonts w:ascii="Arial" w:hAnsi="Arial"/>
          <w:sz w:val="38"/>
        </w:rPr>
      </w:pPr>
      <w:r>
        <w:rPr/>
        <w:pict>
          <v:shape style="position:absolute;margin-left:120.059998pt;margin-top:4.683599pt;width:9.25pt;height:26pt;mso-position-horizontal-relative:page;mso-position-vertical-relative:paragraph;z-index:-720640" type="#_x0000_t202" filled="false" stroked="false">
            <v:textbox inset="0,0,0,0">
              <w:txbxContent>
                <w:p>
                  <w:pPr>
                    <w:spacing w:line="520" w:lineRule="exact" w:before="0"/>
                    <w:ind w:left="0" w:right="0" w:firstLine="0"/>
                    <w:jc w:val="left"/>
                    <w:rPr>
                      <w:rFonts w:ascii="Arial"/>
                      <w:i/>
                      <w:sz w:val="52"/>
                    </w:rPr>
                  </w:pPr>
                  <w:r>
                    <w:rPr>
                      <w:rFonts w:ascii="Arial"/>
                      <w:i/>
                      <w:spacing w:val="-53"/>
                      <w:w w:val="81"/>
                      <w:sz w:val="52"/>
                    </w:rPr>
                    <w:t>1</w:t>
                  </w:r>
                </w:p>
              </w:txbxContent>
            </v:textbox>
            <w10:wrap type="none"/>
          </v:shape>
        </w:pict>
      </w:r>
      <w:r>
        <w:rPr>
          <w:w w:val="94"/>
          <w:sz w:val="18"/>
        </w:rPr>
        <w:t>(</w:t>
      </w:r>
      <w:r>
        <w:rPr>
          <w:w w:val="94"/>
          <w:sz w:val="18"/>
        </w:rPr>
        <w:t>e</w:t>
      </w:r>
      <w:r>
        <w:rPr>
          <w:w w:val="94"/>
          <w:sz w:val="18"/>
        </w:rPr>
        <w:t>)</w:t>
      </w:r>
      <w:r>
        <w:rPr>
          <w:sz w:val="18"/>
        </w:rPr>
        <w:t> </w:t>
      </w:r>
      <w:r>
        <w:rPr>
          <w:spacing w:val="-3"/>
          <w:sz w:val="18"/>
        </w:rPr>
        <w:t> </w:t>
      </w:r>
      <w:r>
        <w:rPr>
          <w:w w:val="97"/>
          <w:sz w:val="18"/>
        </w:rPr>
        <w:t>Show</w:t>
      </w:r>
      <w:r>
        <w:rPr>
          <w:spacing w:val="13"/>
          <w:sz w:val="18"/>
        </w:rPr>
        <w:t> </w:t>
      </w:r>
      <w:r>
        <w:rPr>
          <w:w w:val="116"/>
          <w:sz w:val="18"/>
        </w:rPr>
        <w:t>that</w:t>
      </w:r>
      <w:r>
        <w:rPr>
          <w:sz w:val="18"/>
        </w:rPr>
        <w:tab/>
      </w:r>
      <w:r>
        <w:rPr>
          <w:i/>
          <w:w w:val="93"/>
          <w:position w:val="13"/>
          <w:sz w:val="20"/>
        </w:rPr>
        <w:t>'°</w:t>
      </w:r>
      <w:r>
        <w:rPr>
          <w:i/>
          <w:spacing w:val="-7"/>
          <w:position w:val="13"/>
          <w:sz w:val="20"/>
        </w:rPr>
        <w:t> </w:t>
      </w:r>
      <w:r>
        <w:rPr>
          <w:rFonts w:ascii="Arial" w:hAnsi="Arial"/>
          <w:w w:val="46"/>
          <w:sz w:val="16"/>
        </w:rPr>
        <w:t>1</w:t>
      </w:r>
      <w:r>
        <w:rPr>
          <w:rFonts w:ascii="Arial" w:hAnsi="Arial"/>
          <w:spacing w:val="-9"/>
          <w:w w:val="46"/>
          <w:sz w:val="16"/>
        </w:rPr>
        <w:t>1</w:t>
      </w:r>
      <w:r>
        <w:rPr>
          <w:w w:val="122"/>
          <w:position w:val="5"/>
          <w:sz w:val="10"/>
        </w:rPr>
        <w:t>1</w:t>
      </w:r>
      <w:r>
        <w:rPr>
          <w:spacing w:val="-7"/>
          <w:position w:val="5"/>
          <w:sz w:val="10"/>
        </w:rPr>
        <w:t> </w:t>
      </w:r>
      <w:r>
        <w:rPr>
          <w:w w:val="83"/>
          <w:sz w:val="19"/>
        </w:rPr>
        <w:t>es,il</w:t>
      </w:r>
      <w:r>
        <w:rPr>
          <w:spacing w:val="1"/>
          <w:sz w:val="19"/>
        </w:rPr>
        <w:t> </w:t>
      </w:r>
      <w:r>
        <w:rPr>
          <w:i/>
          <w:w w:val="108"/>
          <w:sz w:val="16"/>
        </w:rPr>
        <w:t>d</w:t>
      </w:r>
      <w:r>
        <w:rPr>
          <w:i/>
          <w:w w:val="107"/>
          <w:sz w:val="16"/>
        </w:rPr>
        <w:t>t</w:t>
      </w:r>
      <w:r>
        <w:rPr>
          <w:i/>
          <w:sz w:val="16"/>
        </w:rPr>
        <w:t> </w:t>
      </w:r>
      <w:r>
        <w:rPr>
          <w:i/>
          <w:spacing w:val="-6"/>
          <w:sz w:val="16"/>
        </w:rPr>
        <w:t> </w:t>
      </w:r>
      <w:r>
        <w:rPr>
          <w:w w:val="109"/>
          <w:sz w:val="16"/>
        </w:rPr>
        <w:t>...</w:t>
      </w:r>
      <w:r>
        <w:rPr>
          <w:sz w:val="16"/>
        </w:rPr>
        <w:t> </w:t>
      </w:r>
      <w:r>
        <w:rPr>
          <w:spacing w:val="-13"/>
          <w:sz w:val="16"/>
        </w:rPr>
        <w:t> </w:t>
      </w:r>
      <w:r>
        <w:rPr>
          <w:rFonts w:ascii="Arial" w:hAnsi="Arial"/>
          <w:i/>
          <w:w w:val="87"/>
          <w:position w:val="13"/>
          <w:sz w:val="19"/>
        </w:rPr>
        <w:t>a</w:t>
      </w:r>
      <w:r>
        <w:rPr>
          <w:rFonts w:ascii="Arial" w:hAnsi="Arial"/>
          <w:i/>
          <w:position w:val="13"/>
          <w:sz w:val="19"/>
        </w:rPr>
        <w:t> </w:t>
      </w:r>
      <w:r>
        <w:rPr>
          <w:rFonts w:ascii="Arial" w:hAnsi="Arial"/>
          <w:i/>
          <w:spacing w:val="13"/>
          <w:position w:val="13"/>
          <w:sz w:val="19"/>
        </w:rPr>
        <w:t> </w:t>
      </w:r>
      <w:r>
        <w:rPr>
          <w:rFonts w:ascii="Arial" w:hAnsi="Arial"/>
          <w:w w:val="63"/>
          <w:sz w:val="38"/>
        </w:rPr>
        <w:t>.</w:t>
      </w:r>
    </w:p>
    <w:p>
      <w:pPr>
        <w:spacing w:line="153" w:lineRule="exact" w:before="0"/>
        <w:ind w:left="0" w:right="2792" w:firstLine="0"/>
        <w:jc w:val="center"/>
        <w:rPr>
          <w:rFonts w:ascii="Arial"/>
          <w:sz w:val="16"/>
        </w:rPr>
      </w:pPr>
      <w:r>
        <w:rPr>
          <w:rFonts w:ascii="Arial"/>
          <w:w w:val="50"/>
          <w:sz w:val="16"/>
        </w:rPr>
        <w:t>O</w:t>
      </w:r>
    </w:p>
    <w:p>
      <w:pPr>
        <w:pStyle w:val="ListParagraph"/>
        <w:numPr>
          <w:ilvl w:val="0"/>
          <w:numId w:val="88"/>
        </w:numPr>
        <w:tabs>
          <w:tab w:pos="584" w:val="left" w:leader="none"/>
        </w:tabs>
        <w:spacing w:line="235" w:lineRule="auto" w:before="107" w:after="0"/>
        <w:ind w:left="116" w:right="658" w:firstLine="169"/>
        <w:jc w:val="both"/>
        <w:rPr>
          <w:sz w:val="16"/>
        </w:rPr>
      </w:pPr>
      <w:r>
        <w:rPr>
          <w:w w:val="105"/>
          <w:sz w:val="18"/>
        </w:rPr>
        <w:t>In a stationary community of </w:t>
      </w:r>
      <w:r>
        <w:rPr>
          <w:w w:val="105"/>
          <w:sz w:val="16"/>
        </w:rPr>
        <w:t>600,000 </w:t>
      </w:r>
      <w:r>
        <w:rPr>
          <w:w w:val="105"/>
          <w:sz w:val="18"/>
        </w:rPr>
        <w:t>lives, the number of deaths </w:t>
      </w:r>
      <w:r>
        <w:rPr>
          <w:rFonts w:ascii="Arial"/>
          <w:w w:val="105"/>
          <w:sz w:val="17"/>
        </w:rPr>
        <w:t>is </w:t>
      </w:r>
      <w:r>
        <w:rPr>
          <w:w w:val="105"/>
          <w:sz w:val="16"/>
        </w:rPr>
        <w:t>10,000 </w:t>
      </w:r>
      <w:r>
        <w:rPr>
          <w:w w:val="105"/>
          <w:sz w:val="18"/>
        </w:rPr>
        <w:t>annually. The complete expectation of life on attaining majority at age </w:t>
      </w:r>
      <w:r>
        <w:rPr>
          <w:w w:val="105"/>
          <w:sz w:val="16"/>
        </w:rPr>
        <w:t>21 </w:t>
      </w:r>
      <w:r>
        <w:rPr>
          <w:rFonts w:ascii="Arial"/>
          <w:w w:val="105"/>
          <w:sz w:val="17"/>
        </w:rPr>
        <w:t>is </w:t>
      </w:r>
      <w:r>
        <w:rPr>
          <w:w w:val="105"/>
          <w:sz w:val="16"/>
        </w:rPr>
        <w:t>50 </w:t>
      </w:r>
      <w:r>
        <w:rPr>
          <w:w w:val="105"/>
          <w:sz w:val="18"/>
        </w:rPr>
        <w:t>years. If one-third of the population </w:t>
      </w:r>
      <w:r>
        <w:rPr>
          <w:rFonts w:ascii="Arial"/>
          <w:w w:val="105"/>
          <w:sz w:val="17"/>
        </w:rPr>
        <w:t>is </w:t>
      </w:r>
      <w:r>
        <w:rPr>
          <w:w w:val="105"/>
          <w:sz w:val="18"/>
        </w:rPr>
        <w:t>under a.ge </w:t>
      </w:r>
      <w:r>
        <w:rPr>
          <w:w w:val="105"/>
          <w:sz w:val="16"/>
        </w:rPr>
        <w:t>21, </w:t>
      </w:r>
      <w:r>
        <w:rPr>
          <w:w w:val="105"/>
          <w:sz w:val="18"/>
        </w:rPr>
        <w:t>how many lives atta.in majority ea.ch year, and what is the average age at death of those who die under age </w:t>
      </w:r>
      <w:r>
        <w:rPr>
          <w:spacing w:val="3"/>
          <w:w w:val="105"/>
          <w:sz w:val="18"/>
        </w:rPr>
        <w:t> </w:t>
      </w:r>
      <w:r>
        <w:rPr>
          <w:spacing w:val="-3"/>
          <w:w w:val="105"/>
          <w:sz w:val="18"/>
        </w:rPr>
        <w:t>21?</w:t>
      </w:r>
    </w:p>
    <w:p>
      <w:pPr>
        <w:pStyle w:val="ListParagraph"/>
        <w:numPr>
          <w:ilvl w:val="0"/>
          <w:numId w:val="88"/>
        </w:numPr>
        <w:tabs>
          <w:tab w:pos="563" w:val="left" w:leader="none"/>
        </w:tabs>
        <w:spacing w:line="232" w:lineRule="auto" w:before="0" w:after="0"/>
        <w:ind w:left="108" w:right="672" w:firstLine="166"/>
        <w:jc w:val="both"/>
        <w:rPr>
          <w:sz w:val="18"/>
        </w:rPr>
      </w:pPr>
      <w:r>
        <w:rPr/>
        <w:drawing>
          <wp:anchor distT="0" distB="0" distL="0" distR="0" allowOverlap="1" layoutInCell="1" locked="0" behindDoc="0" simplePos="0" relativeHeight="15376">
            <wp:simplePos x="0" y="0"/>
            <wp:positionH relativeFrom="page">
              <wp:posOffset>4507991</wp:posOffset>
            </wp:positionH>
            <wp:positionV relativeFrom="paragraph">
              <wp:posOffset>204092</wp:posOffset>
            </wp:positionV>
            <wp:extent cx="54863" cy="2002536"/>
            <wp:effectExtent l="0" t="0" r="0" b="0"/>
            <wp:wrapNone/>
            <wp:docPr id="381" name="image196.png" descr=""/>
            <wp:cNvGraphicFramePr>
              <a:graphicFrameLocks noChangeAspect="1"/>
            </wp:cNvGraphicFramePr>
            <a:graphic>
              <a:graphicData uri="http://schemas.openxmlformats.org/drawingml/2006/picture">
                <pic:pic>
                  <pic:nvPicPr>
                    <pic:cNvPr id="382" name="image196.png"/>
                    <pic:cNvPicPr/>
                  </pic:nvPicPr>
                  <pic:blipFill>
                    <a:blip r:embed="rId200" cstate="print"/>
                    <a:stretch>
                      <a:fillRect/>
                    </a:stretch>
                  </pic:blipFill>
                  <pic:spPr>
                    <a:xfrm>
                      <a:off x="0" y="0"/>
                      <a:ext cx="54863" cy="2002536"/>
                    </a:xfrm>
                    <a:prstGeom prst="rect">
                      <a:avLst/>
                    </a:prstGeom>
                  </pic:spPr>
                </pic:pic>
              </a:graphicData>
            </a:graphic>
          </wp:anchor>
        </w:drawing>
      </w:r>
      <w:r>
        <w:rPr>
          <w:sz w:val="18"/>
        </w:rPr>
        <w:t>Find the total lifetime of those in the stationary population now living between  </w:t>
      </w:r>
      <w:r>
        <w:rPr>
          <w:rFonts w:ascii="Arial"/>
          <w:b/>
          <w:sz w:val="15"/>
        </w:rPr>
        <w:t>a.ges </w:t>
      </w:r>
      <w:r>
        <w:rPr>
          <w:b/>
          <w:sz w:val="18"/>
        </w:rPr>
        <w:t>20 </w:t>
      </w:r>
      <w:r>
        <w:rPr>
          <w:sz w:val="18"/>
        </w:rPr>
        <w:t>and 70 who </w:t>
      </w:r>
      <w:r>
        <w:rPr>
          <w:sz w:val="16"/>
        </w:rPr>
        <w:t>will  </w:t>
      </w:r>
      <w:r>
        <w:rPr>
          <w:sz w:val="18"/>
        </w:rPr>
        <w:t>die between  ages 60 and 80 within  </w:t>
      </w:r>
      <w:r>
        <w:rPr>
          <w:sz w:val="16"/>
        </w:rPr>
        <w:t>50</w:t>
      </w:r>
      <w:r>
        <w:rPr>
          <w:spacing w:val="14"/>
          <w:sz w:val="16"/>
        </w:rPr>
        <w:t> </w:t>
      </w:r>
      <w:r>
        <w:rPr>
          <w:sz w:val="18"/>
        </w:rPr>
        <w:t>years</w:t>
      </w:r>
    </w:p>
    <w:p>
      <w:pPr>
        <w:spacing w:before="6"/>
        <w:ind w:left="108" w:right="0" w:firstLine="0"/>
        <w:jc w:val="left"/>
        <w:rPr>
          <w:sz w:val="18"/>
        </w:rPr>
      </w:pPr>
      <w:r>
        <w:rPr>
          <w:sz w:val="18"/>
        </w:rPr>
        <w:t>f rom now.</w:t>
      </w:r>
    </w:p>
    <w:p>
      <w:pPr>
        <w:spacing w:before="29"/>
        <w:ind w:left="270" w:right="0" w:firstLine="0"/>
        <w:jc w:val="left"/>
        <w:rPr>
          <w:sz w:val="23"/>
        </w:rPr>
      </w:pPr>
      <w:r>
        <w:rPr/>
        <w:pict>
          <v:shape style="position:absolute;margin-left:120.779999pt;margin-top:1.316133pt;width:4.75pt;height:8pt;mso-position-horizontal-relative:page;mso-position-vertical-relative:paragraph;z-index:-720592" type="#_x0000_t202" filled="false" stroked="false">
            <v:textbox inset="0,0,0,0">
              <w:txbxContent>
                <w:p>
                  <w:pPr>
                    <w:spacing w:line="160" w:lineRule="exact" w:before="0"/>
                    <w:ind w:left="0" w:right="0" w:firstLine="0"/>
                    <w:jc w:val="left"/>
                    <w:rPr>
                      <w:sz w:val="16"/>
                    </w:rPr>
                  </w:pPr>
                  <w:r>
                    <w:rPr>
                      <w:w w:val="118"/>
                      <w:sz w:val="16"/>
                    </w:rPr>
                    <w:t>d</w:t>
                  </w:r>
                </w:p>
              </w:txbxContent>
            </v:textbox>
            <w10:wrap type="none"/>
          </v:shape>
        </w:pict>
      </w:r>
      <w:r>
        <w:rPr>
          <w:w w:val="93"/>
          <w:sz w:val="18"/>
        </w:rPr>
        <w:t>26.</w:t>
      </w:r>
      <w:r>
        <w:rPr>
          <w:sz w:val="18"/>
        </w:rPr>
        <w:t> </w:t>
      </w:r>
      <w:r>
        <w:rPr>
          <w:spacing w:val="6"/>
          <w:sz w:val="18"/>
        </w:rPr>
        <w:t> </w:t>
      </w:r>
      <w:r>
        <w:rPr>
          <w:w w:val="102"/>
          <w:sz w:val="18"/>
        </w:rPr>
        <w:t>(</w:t>
      </w:r>
      <w:r>
        <w:rPr>
          <w:w w:val="102"/>
          <w:sz w:val="18"/>
        </w:rPr>
        <w:t>a</w:t>
      </w:r>
      <w:r>
        <w:rPr>
          <w:w w:val="102"/>
          <w:sz w:val="18"/>
        </w:rPr>
        <w:t>)</w:t>
      </w:r>
      <w:r>
        <w:rPr>
          <w:sz w:val="18"/>
        </w:rPr>
        <w:t> </w:t>
      </w:r>
      <w:r>
        <w:rPr>
          <w:spacing w:val="-8"/>
          <w:sz w:val="18"/>
        </w:rPr>
        <w:t> </w:t>
      </w:r>
      <w:r>
        <w:rPr>
          <w:w w:val="99"/>
          <w:sz w:val="18"/>
        </w:rPr>
        <w:t>Show</w:t>
      </w:r>
      <w:r>
        <w:rPr>
          <w:spacing w:val="20"/>
          <w:sz w:val="18"/>
        </w:rPr>
        <w:t> </w:t>
      </w:r>
      <w:r>
        <w:rPr>
          <w:b/>
          <w:w w:val="103"/>
          <w:sz w:val="18"/>
        </w:rPr>
        <w:t>that</w:t>
      </w:r>
      <w:r>
        <w:rPr>
          <w:b/>
          <w:spacing w:val="7"/>
          <w:sz w:val="18"/>
        </w:rPr>
        <w:t> </w:t>
      </w:r>
      <w:r>
        <w:rPr>
          <w:i/>
          <w:w w:val="67"/>
          <w:sz w:val="27"/>
        </w:rPr>
        <w:t>dt</w:t>
      </w:r>
      <w:r>
        <w:rPr>
          <w:i/>
          <w:sz w:val="27"/>
        </w:rPr>
        <w:t> </w:t>
      </w:r>
      <w:r>
        <w:rPr>
          <w:i/>
          <w:spacing w:val="-33"/>
          <w:sz w:val="27"/>
        </w:rPr>
        <w:t> </w:t>
      </w:r>
      <w:r>
        <w:rPr>
          <w:i/>
          <w:w w:val="56"/>
          <w:sz w:val="23"/>
        </w:rPr>
        <w:t>(</w:t>
      </w:r>
      <w:r>
        <w:rPr>
          <w:i/>
          <w:spacing w:val="-33"/>
          <w:sz w:val="23"/>
        </w:rPr>
        <w:t> </w:t>
      </w:r>
      <w:r>
        <w:rPr>
          <w:i/>
          <w:w w:val="53"/>
          <w:sz w:val="23"/>
        </w:rPr>
        <w:t>,p.,e.e+•&gt;</w:t>
      </w:r>
      <w:r>
        <w:rPr>
          <w:i/>
          <w:sz w:val="23"/>
        </w:rPr>
        <w:t>  </w:t>
      </w:r>
      <w:r>
        <w:rPr>
          <w:w w:val="86"/>
          <w:sz w:val="23"/>
        </w:rPr>
        <w:t>=</w:t>
      </w:r>
      <w:r>
        <w:rPr>
          <w:sz w:val="23"/>
        </w:rPr>
        <w:t> </w:t>
      </w:r>
      <w:r>
        <w:rPr>
          <w:spacing w:val="-12"/>
          <w:sz w:val="23"/>
        </w:rPr>
        <w:t> </w:t>
      </w:r>
      <w:r>
        <w:rPr>
          <w:spacing w:val="8"/>
          <w:w w:val="195"/>
          <w:sz w:val="23"/>
        </w:rPr>
        <w:t>-</w:t>
      </w:r>
      <w:r>
        <w:rPr>
          <w:i/>
          <w:w w:val="71"/>
          <w:sz w:val="23"/>
        </w:rPr>
        <w:t>,p.,</w:t>
      </w:r>
      <w:r>
        <w:rPr>
          <w:i/>
          <w:spacing w:val="-3"/>
          <w:sz w:val="23"/>
        </w:rPr>
        <w:t> </w:t>
      </w:r>
      <w:r>
        <w:rPr>
          <w:w w:val="61"/>
          <w:sz w:val="23"/>
        </w:rPr>
        <w:t>•</w:t>
      </w:r>
    </w:p>
    <w:p>
      <w:pPr>
        <w:tabs>
          <w:tab w:pos="3157" w:val="left" w:leader="none"/>
        </w:tabs>
        <w:spacing w:line="156" w:lineRule="exact" w:before="212"/>
        <w:ind w:left="1933" w:right="0" w:firstLine="0"/>
        <w:jc w:val="left"/>
        <w:rPr>
          <w:sz w:val="17"/>
        </w:rPr>
      </w:pPr>
      <w:r>
        <w:rPr/>
        <w:pict>
          <v:shape style="position:absolute;margin-left:120.239998pt;margin-top:10.567365pt;width:9.050pt;height:26pt;mso-position-horizontal-relative:page;mso-position-vertical-relative:paragraph;z-index:-720616" type="#_x0000_t202" filled="false" stroked="false">
            <v:textbox inset="0,0,0,0">
              <w:txbxContent>
                <w:p>
                  <w:pPr>
                    <w:spacing w:line="520" w:lineRule="exact" w:before="0"/>
                    <w:ind w:left="0" w:right="0" w:firstLine="0"/>
                    <w:jc w:val="left"/>
                    <w:rPr>
                      <w:rFonts w:ascii="Arial"/>
                      <w:i/>
                      <w:sz w:val="52"/>
                    </w:rPr>
                  </w:pPr>
                  <w:r>
                    <w:rPr>
                      <w:rFonts w:ascii="Arial"/>
                      <w:i/>
                      <w:spacing w:val="-62"/>
                      <w:w w:val="83"/>
                      <w:sz w:val="52"/>
                    </w:rPr>
                    <w:t>1</w:t>
                  </w:r>
                </w:p>
              </w:txbxContent>
            </v:textbox>
            <w10:wrap type="none"/>
          </v:shape>
        </w:pict>
      </w:r>
      <w:r>
        <w:rPr>
          <w:rFonts w:ascii="Arial"/>
          <w:i/>
          <w:w w:val="115"/>
          <w:sz w:val="8"/>
        </w:rPr>
        <w:t>00</w:t>
        <w:tab/>
      </w:r>
      <w:r>
        <w:rPr>
          <w:w w:val="115"/>
          <w:position w:val="-7"/>
          <w:sz w:val="17"/>
        </w:rPr>
        <w:t>1</w:t>
      </w:r>
    </w:p>
    <w:p>
      <w:pPr>
        <w:tabs>
          <w:tab w:pos="2092" w:val="left" w:leader="none"/>
        </w:tabs>
        <w:spacing w:line="146" w:lineRule="exact" w:before="0"/>
        <w:ind w:left="616" w:right="0" w:firstLine="0"/>
        <w:jc w:val="left"/>
        <w:rPr>
          <w:rFonts w:ascii="Arial"/>
          <w:b/>
          <w:sz w:val="16"/>
        </w:rPr>
      </w:pPr>
      <w:r>
        <w:rPr>
          <w:w w:val="100"/>
          <w:sz w:val="18"/>
        </w:rPr>
        <w:t>(b)</w:t>
      </w:r>
      <w:r>
        <w:rPr>
          <w:sz w:val="18"/>
        </w:rPr>
        <w:t> </w:t>
      </w:r>
      <w:r>
        <w:rPr>
          <w:spacing w:val="-4"/>
          <w:sz w:val="18"/>
        </w:rPr>
        <w:t> </w:t>
      </w:r>
      <w:r>
        <w:rPr>
          <w:w w:val="97"/>
          <w:sz w:val="18"/>
        </w:rPr>
        <w:t>Show</w:t>
      </w:r>
      <w:r>
        <w:rPr>
          <w:spacing w:val="13"/>
          <w:sz w:val="18"/>
        </w:rPr>
        <w:t> </w:t>
      </w:r>
      <w:r>
        <w:rPr>
          <w:w w:val="116"/>
          <w:sz w:val="18"/>
        </w:rPr>
        <w:t>that</w:t>
      </w:r>
      <w:r>
        <w:rPr>
          <w:sz w:val="18"/>
        </w:rPr>
        <w:tab/>
      </w:r>
      <w:r>
        <w:rPr>
          <w:rFonts w:ascii="Arial"/>
          <w:w w:val="49"/>
          <w:sz w:val="16"/>
        </w:rPr>
        <w:t>1</w:t>
      </w:r>
      <w:r>
        <w:rPr>
          <w:rFonts w:ascii="Arial"/>
          <w:spacing w:val="-10"/>
          <w:w w:val="49"/>
          <w:sz w:val="16"/>
        </w:rPr>
        <w:t>1</w:t>
      </w:r>
      <w:r>
        <w:rPr>
          <w:spacing w:val="-15"/>
          <w:w w:val="108"/>
          <w:position w:val="4"/>
          <w:sz w:val="10"/>
        </w:rPr>
        <w:t>1</w:t>
      </w:r>
      <w:r>
        <w:rPr>
          <w:rFonts w:ascii="Arial"/>
          <w:w w:val="72"/>
          <w:sz w:val="16"/>
        </w:rPr>
        <w:t>1Pires+1</w:t>
      </w:r>
      <w:r>
        <w:rPr>
          <w:rFonts w:ascii="Arial"/>
          <w:spacing w:val="2"/>
          <w:sz w:val="16"/>
        </w:rPr>
        <w:t> </w:t>
      </w:r>
      <w:r>
        <w:rPr>
          <w:i/>
          <w:w w:val="110"/>
          <w:sz w:val="16"/>
        </w:rPr>
        <w:t>dt</w:t>
      </w:r>
      <w:r>
        <w:rPr>
          <w:i/>
          <w:sz w:val="16"/>
        </w:rPr>
        <w:t> </w:t>
      </w:r>
      <w:r>
        <w:rPr>
          <w:i/>
          <w:spacing w:val="12"/>
          <w:sz w:val="16"/>
        </w:rPr>
        <w:t> </w:t>
      </w:r>
      <w:r>
        <w:rPr>
          <w:rFonts w:ascii="Arial"/>
          <w:w w:val="53"/>
          <w:sz w:val="14"/>
        </w:rPr>
        <w:t>=-=</w:t>
      </w:r>
      <w:r>
        <w:rPr>
          <w:rFonts w:ascii="Arial"/>
          <w:sz w:val="14"/>
        </w:rPr>
        <w:t> </w:t>
      </w:r>
      <w:r>
        <w:rPr>
          <w:rFonts w:ascii="Arial"/>
          <w:spacing w:val="-8"/>
          <w:sz w:val="14"/>
        </w:rPr>
        <w:t> </w:t>
      </w:r>
      <w:r>
        <w:rPr>
          <w:rFonts w:ascii="Arial"/>
          <w:w w:val="205"/>
          <w:sz w:val="14"/>
        </w:rPr>
        <w:t>-</w:t>
      </w:r>
      <w:r>
        <w:rPr>
          <w:rFonts w:ascii="Arial"/>
          <w:sz w:val="14"/>
        </w:rPr>
        <w:t> </w:t>
      </w:r>
      <w:r>
        <w:rPr>
          <w:rFonts w:ascii="Arial"/>
          <w:spacing w:val="-5"/>
          <w:sz w:val="14"/>
        </w:rPr>
        <w:t> </w:t>
      </w:r>
      <w:r>
        <w:rPr>
          <w:rFonts w:ascii="Arial"/>
          <w:w w:val="84"/>
          <w:sz w:val="16"/>
        </w:rPr>
        <w:t>(</w:t>
      </w:r>
      <w:r>
        <w:rPr>
          <w:rFonts w:ascii="Arial"/>
          <w:w w:val="84"/>
          <w:sz w:val="16"/>
        </w:rPr>
        <w:t>e.,</w:t>
      </w:r>
      <w:r>
        <w:rPr>
          <w:rFonts w:ascii="Arial"/>
          <w:sz w:val="16"/>
        </w:rPr>
        <w:t> </w:t>
      </w:r>
      <w:r>
        <w:rPr>
          <w:rFonts w:ascii="Arial"/>
          <w:spacing w:val="-12"/>
          <w:sz w:val="16"/>
        </w:rPr>
        <w:t> </w:t>
      </w:r>
      <w:r>
        <w:rPr>
          <w:rFonts w:ascii="Arial"/>
          <w:w w:val="270"/>
          <w:sz w:val="16"/>
        </w:rPr>
        <w:t>-</w:t>
      </w:r>
      <w:r>
        <w:rPr>
          <w:rFonts w:ascii="Arial"/>
          <w:spacing w:val="9"/>
          <w:sz w:val="16"/>
        </w:rPr>
        <w:t> </w:t>
      </w:r>
      <w:r>
        <w:rPr>
          <w:rFonts w:ascii="Arial"/>
          <w:b/>
          <w:w w:val="89"/>
          <w:sz w:val="16"/>
        </w:rPr>
        <w:t>4.,</w:t>
      </w:r>
      <w:r>
        <w:rPr>
          <w:rFonts w:ascii="Arial"/>
          <w:b/>
          <w:w w:val="89"/>
          <w:sz w:val="16"/>
        </w:rPr>
        <w:t>)</w:t>
      </w:r>
      <w:r>
        <w:rPr>
          <w:rFonts w:ascii="Arial"/>
          <w:b/>
          <w:w w:val="89"/>
          <w:sz w:val="16"/>
        </w:rPr>
        <w:t>.</w:t>
      </w:r>
    </w:p>
    <w:p>
      <w:pPr>
        <w:tabs>
          <w:tab w:pos="3209" w:val="right" w:leader="none"/>
        </w:tabs>
        <w:spacing w:line="164" w:lineRule="exact" w:before="0"/>
        <w:ind w:left="1854" w:right="0" w:firstLine="0"/>
        <w:jc w:val="left"/>
        <w:rPr>
          <w:i/>
          <w:sz w:val="16"/>
        </w:rPr>
      </w:pPr>
      <w:r>
        <w:rPr>
          <w:rFonts w:ascii="Arial"/>
          <w:w w:val="90"/>
          <w:sz w:val="16"/>
        </w:rPr>
        <w:t>o</w:t>
      </w:r>
      <w:r>
        <w:rPr>
          <w:i/>
          <w:w w:val="90"/>
          <w:sz w:val="16"/>
        </w:rPr>
        <w:tab/>
        <w:t>8</w:t>
      </w:r>
    </w:p>
    <w:p>
      <w:pPr>
        <w:spacing w:after="0" w:line="164" w:lineRule="exact"/>
        <w:jc w:val="left"/>
        <w:rPr>
          <w:sz w:val="16"/>
        </w:rPr>
        <w:sectPr>
          <w:type w:val="continuous"/>
          <w:pgSz w:w="7200" w:h="11340"/>
          <w:pgMar w:top="1100" w:bottom="0" w:left="640" w:right="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0"/>
        <w:rPr>
          <w:i/>
          <w:sz w:val="15"/>
        </w:rPr>
      </w:pPr>
    </w:p>
    <w:p>
      <w:pPr>
        <w:spacing w:before="67"/>
        <w:ind w:left="1452" w:right="1592" w:firstLine="0"/>
        <w:jc w:val="center"/>
        <w:rPr>
          <w:i/>
          <w:sz w:val="26"/>
        </w:rPr>
      </w:pPr>
      <w:bookmarkStart w:name="Part II. Multi-Life Functions" w:id="14"/>
      <w:bookmarkEnd w:id="14"/>
      <w:r>
        <w:rPr/>
      </w:r>
      <w:r>
        <w:rPr>
          <w:i/>
          <w:w w:val="105"/>
          <w:sz w:val="26"/>
        </w:rPr>
        <w:t>Part</w:t>
      </w:r>
      <w:r>
        <w:rPr>
          <w:i/>
          <w:spacing w:val="66"/>
          <w:w w:val="105"/>
          <w:sz w:val="26"/>
        </w:rPr>
        <w:t> </w:t>
      </w:r>
      <w:r>
        <w:rPr>
          <w:i/>
          <w:w w:val="105"/>
          <w:sz w:val="26"/>
        </w:rPr>
        <w:t>II</w:t>
      </w:r>
    </w:p>
    <w:p>
      <w:pPr>
        <w:spacing w:before="99"/>
        <w:ind w:left="309" w:right="449" w:firstLine="0"/>
        <w:jc w:val="center"/>
        <w:rPr>
          <w:sz w:val="26"/>
        </w:rPr>
      </w:pPr>
      <w:r>
        <w:rPr>
          <w:sz w:val="26"/>
        </w:rPr>
        <w:t>MULTI-LIFE   FUNCTIONS</w:t>
      </w:r>
    </w:p>
    <w:p>
      <w:pPr>
        <w:spacing w:after="0"/>
        <w:jc w:val="center"/>
        <w:rPr>
          <w:sz w:val="26"/>
        </w:rPr>
        <w:sectPr>
          <w:pgSz w:w="7200" w:h="11340"/>
          <w:pgMar w:top="1060" w:bottom="280" w:left="980" w:right="980"/>
        </w:sectPr>
      </w:pPr>
    </w:p>
    <w:p>
      <w:pPr>
        <w:pStyle w:val="BodyText"/>
      </w:pPr>
    </w:p>
    <w:p>
      <w:pPr>
        <w:pStyle w:val="BodyText"/>
        <w:spacing w:before="10"/>
        <w:rPr>
          <w:sz w:val="18"/>
        </w:rPr>
      </w:pPr>
    </w:p>
    <w:p>
      <w:pPr>
        <w:spacing w:before="77"/>
        <w:ind w:left="74" w:right="31" w:firstLine="0"/>
        <w:jc w:val="center"/>
        <w:rPr>
          <w:rFonts w:ascii="Arial"/>
          <w:b/>
          <w:sz w:val="18"/>
        </w:rPr>
      </w:pPr>
      <w:bookmarkStart w:name="9. The Joint-Life Status" w:id="15"/>
      <w:bookmarkEnd w:id="15"/>
      <w:r>
        <w:rPr/>
      </w:r>
      <w:r>
        <w:rPr>
          <w:b/>
          <w:w w:val="105"/>
          <w:sz w:val="15"/>
        </w:rPr>
        <w:t>CIIA.PTER </w:t>
      </w:r>
      <w:r>
        <w:rPr>
          <w:rFonts w:ascii="Arial"/>
          <w:b/>
          <w:w w:val="105"/>
          <w:sz w:val="18"/>
        </w:rPr>
        <w:t>9</w:t>
      </w:r>
    </w:p>
    <w:p>
      <w:pPr>
        <w:pStyle w:val="BodyText"/>
        <w:spacing w:before="135"/>
        <w:ind w:left="74" w:right="21"/>
        <w:jc w:val="center"/>
      </w:pPr>
      <w:r>
        <w:rPr>
          <w:w w:val="115"/>
        </w:rPr>
        <w:t>THE JOINT-LIFE STATUS</w:t>
      </w:r>
    </w:p>
    <w:p>
      <w:pPr>
        <w:pStyle w:val="BodyText"/>
        <w:spacing w:before="8"/>
        <w:rPr>
          <w:sz w:val="22"/>
        </w:rPr>
      </w:pPr>
    </w:p>
    <w:p>
      <w:pPr>
        <w:spacing w:before="0"/>
        <w:ind w:left="139" w:right="739" w:firstLine="0"/>
        <w:jc w:val="left"/>
        <w:rPr>
          <w:b/>
          <w:sz w:val="19"/>
        </w:rPr>
      </w:pPr>
      <w:r>
        <w:rPr>
          <w:b/>
          <w:w w:val="125"/>
          <w:sz w:val="19"/>
        </w:rPr>
        <w:t>l. lntroduction</w:t>
      </w:r>
    </w:p>
    <w:p>
      <w:pPr>
        <w:pStyle w:val="BodyText"/>
        <w:spacing w:line="249" w:lineRule="auto" w:before="89"/>
        <w:ind w:left="135" w:right="102" w:firstLine="205"/>
        <w:jc w:val="both"/>
      </w:pPr>
      <w:r>
        <w:rPr>
          <w:w w:val="105"/>
        </w:rPr>
        <w:t>The</w:t>
      </w:r>
      <w:r>
        <w:rPr>
          <w:spacing w:val="-23"/>
          <w:w w:val="105"/>
        </w:rPr>
        <w:t> </w:t>
      </w:r>
      <w:r>
        <w:rPr>
          <w:w w:val="105"/>
        </w:rPr>
        <w:t>mathematical</w:t>
      </w:r>
      <w:r>
        <w:rPr>
          <w:spacing w:val="13"/>
          <w:w w:val="105"/>
        </w:rPr>
        <w:t> </w:t>
      </w:r>
      <w:r>
        <w:rPr>
          <w:w w:val="105"/>
        </w:rPr>
        <w:t>theory</w:t>
      </w:r>
      <w:r>
        <w:rPr>
          <w:spacing w:val="-8"/>
          <w:w w:val="105"/>
        </w:rPr>
        <w:t> </w:t>
      </w:r>
      <w:r>
        <w:rPr>
          <w:w w:val="105"/>
        </w:rPr>
        <w:t>of</w:t>
      </w:r>
      <w:r>
        <w:rPr>
          <w:spacing w:val="-3"/>
          <w:w w:val="105"/>
        </w:rPr>
        <w:t> </w:t>
      </w:r>
      <w:r>
        <w:rPr>
          <w:w w:val="105"/>
        </w:rPr>
        <w:t>life</w:t>
      </w:r>
      <w:r>
        <w:rPr>
          <w:spacing w:val="-17"/>
          <w:w w:val="105"/>
        </w:rPr>
        <w:t> </w:t>
      </w:r>
      <w:r>
        <w:rPr>
          <w:w w:val="105"/>
        </w:rPr>
        <w:t>contingencies</w:t>
      </w:r>
      <w:r>
        <w:rPr>
          <w:spacing w:val="-2"/>
          <w:w w:val="105"/>
        </w:rPr>
        <w:t> </w:t>
      </w:r>
      <w:r>
        <w:rPr>
          <w:w w:val="105"/>
        </w:rPr>
        <w:t>has</w:t>
      </w:r>
      <w:r>
        <w:rPr>
          <w:spacing w:val="-8"/>
          <w:w w:val="105"/>
        </w:rPr>
        <w:t> </w:t>
      </w:r>
      <w:r>
        <w:rPr>
          <w:w w:val="105"/>
        </w:rPr>
        <w:t>beeu developed in Part I in terms of functions of  a single life only. This chapter  and the succeeding chapters in Part II are devoted to an expansion  of the basic theory </w:t>
      </w:r>
      <w:r>
        <w:rPr>
          <w:w w:val="105"/>
          <w:sz w:val="21"/>
        </w:rPr>
        <w:t>to </w:t>
      </w:r>
      <w:r>
        <w:rPr>
          <w:w w:val="105"/>
        </w:rPr>
        <w:t>cover the realm of multi-life functions which provide the means of solving problems involving two  or  more lives in</w:t>
      </w:r>
      <w:r>
        <w:rPr>
          <w:spacing w:val="31"/>
          <w:w w:val="105"/>
        </w:rPr>
        <w:t> </w:t>
      </w:r>
      <w:r>
        <w:rPr>
          <w:w w:val="105"/>
        </w:rPr>
        <w:t>combination.</w:t>
      </w:r>
    </w:p>
    <w:p>
      <w:pPr>
        <w:pStyle w:val="BodyText"/>
        <w:spacing w:line="249" w:lineRule="auto" w:before="2"/>
        <w:ind w:left="124" w:right="98" w:firstLine="212"/>
        <w:jc w:val="both"/>
      </w:pPr>
      <w:r>
        <w:rPr>
          <w:w w:val="105"/>
        </w:rPr>
        <w:t>The theory is develope&lt;l from a &lt;·oncept of group survival. Con­ </w:t>
      </w:r>
      <w:r>
        <w:rPr>
          <w:w w:val="104"/>
        </w:rPr>
        <w:t>sider </w:t>
      </w:r>
      <w:r>
        <w:rPr>
          <w:w w:val="112"/>
        </w:rPr>
        <w:t>a </w:t>
      </w:r>
      <w:r>
        <w:rPr>
          <w:w w:val="103"/>
        </w:rPr>
        <w:t>body </w:t>
      </w:r>
      <w:r>
        <w:rPr>
          <w:w w:val="89"/>
        </w:rPr>
        <w:t>of </w:t>
      </w:r>
      <w:r>
        <w:rPr>
          <w:rFonts w:ascii="Arial" w:hAnsi="Arial"/>
          <w:i/>
          <w:w w:val="102"/>
          <w:sz w:val="18"/>
        </w:rPr>
        <w:t>m </w:t>
      </w:r>
      <w:r>
        <w:rPr>
          <w:w w:val="103"/>
        </w:rPr>
        <w:t>lives </w:t>
      </w:r>
      <w:r>
        <w:rPr>
          <w:w w:val="104"/>
        </w:rPr>
        <w:t>with </w:t>
      </w:r>
      <w:r>
        <w:rPr>
          <w:w w:val="102"/>
        </w:rPr>
        <w:t>ages </w:t>
      </w:r>
      <w:r>
        <w:rPr>
          <w:rFonts w:ascii="Arial" w:hAnsi="Arial"/>
          <w:w w:val="110"/>
          <w:sz w:val="13"/>
        </w:rPr>
        <w:t>X1 </w:t>
      </w:r>
      <w:r>
        <w:rPr>
          <w:rFonts w:ascii="Arial" w:hAnsi="Arial"/>
          <w:spacing w:val="3"/>
          <w:w w:val="131"/>
          <w:sz w:val="13"/>
        </w:rPr>
        <w:t>,</w:t>
      </w:r>
      <w:r>
        <w:rPr>
          <w:rFonts w:ascii="Arial" w:hAnsi="Arial"/>
          <w:i/>
          <w:spacing w:val="3"/>
          <w:w w:val="131"/>
          <w:sz w:val="18"/>
        </w:rPr>
        <w:t>x</w:t>
      </w:r>
      <w:r>
        <w:rPr>
          <w:i/>
          <w:spacing w:val="3"/>
          <w:w w:val="131"/>
          <w:position w:val="-1"/>
          <w:sz w:val="13"/>
        </w:rPr>
        <w:t>2</w:t>
      </w:r>
      <w:r>
        <w:rPr>
          <w:i/>
          <w:w w:val="131"/>
          <w:position w:val="-1"/>
          <w:sz w:val="13"/>
        </w:rPr>
        <w:t> </w:t>
      </w:r>
      <w:r>
        <w:rPr>
          <w:w w:val="150"/>
          <w:sz w:val="13"/>
        </w:rPr>
        <w:t>, </w:t>
      </w:r>
      <w:r>
        <w:rPr>
          <w:w w:val="87"/>
          <w:sz w:val="13"/>
        </w:rPr>
        <w:t>• • </w:t>
      </w:r>
      <w:r>
        <w:rPr>
          <w:w w:val="76"/>
          <w:sz w:val="13"/>
        </w:rPr>
        <w:t>• </w:t>
      </w:r>
      <w:r>
        <w:rPr>
          <w:w w:val="169"/>
          <w:sz w:val="13"/>
        </w:rPr>
        <w:t>, </w:t>
      </w:r>
      <w:r>
        <w:rPr>
          <w:i/>
          <w:w w:val="90"/>
          <w:sz w:val="13"/>
        </w:rPr>
        <w:t>X </w:t>
      </w:r>
      <w:r>
        <w:rPr>
          <w:i/>
          <w:w w:val="105"/>
          <w:sz w:val="13"/>
        </w:rPr>
        <w:t>m </w:t>
      </w:r>
      <w:r>
        <w:rPr>
          <w:w w:val="76"/>
          <w:sz w:val="13"/>
        </w:rPr>
        <w:t>• </w:t>
      </w:r>
      <w:r>
        <w:rPr>
          <w:w w:val="99"/>
        </w:rPr>
        <w:t>Looked </w:t>
      </w:r>
      <w:r>
        <w:rPr>
          <w:spacing w:val="4"/>
          <w:w w:val="99"/>
        </w:rPr>
        <w:t>upon</w:t>
      </w:r>
      <w:r>
        <w:rPr>
          <w:w w:val="99"/>
        </w:rPr>
        <w:t> </w:t>
      </w:r>
      <w:r>
        <w:rPr>
          <w:w w:val="108"/>
        </w:rPr>
        <w:t>as </w:t>
      </w:r>
      <w:r>
        <w:rPr>
          <w:w w:val="94"/>
        </w:rPr>
        <w:t>a </w:t>
      </w:r>
      <w:r>
        <w:rPr>
          <w:w w:val="105"/>
        </w:rPr>
        <w:t>single collective entity, this body oí </w:t>
      </w:r>
      <w:r>
        <w:rPr/>
        <w:t>live:::; </w:t>
      </w:r>
      <w:r>
        <w:rPr>
          <w:w w:val="105"/>
        </w:rPr>
        <w:t>can be said to "survive' </w:t>
      </w:r>
      <w:r>
        <w:rPr>
          <w:w w:val="140"/>
        </w:rPr>
        <w:t>at</w:t>
      </w:r>
      <w:r>
        <w:rPr>
          <w:spacing w:val="-49"/>
          <w:w w:val="140"/>
        </w:rPr>
        <w:t> </w:t>
      </w:r>
      <w:r>
        <w:rPr>
          <w:w w:val="105"/>
        </w:rPr>
        <w:t>least as long as ali of its component members survive; it becomes a matter of choice whether we say that it ceases to exist upon the first death among its members, or when  thc last  survivor dies,  or  at sorne intermediate point. </w:t>
      </w:r>
      <w:r>
        <w:rPr>
          <w:w w:val="105"/>
          <w:sz w:val="21"/>
        </w:rPr>
        <w:t>In </w:t>
      </w:r>
      <w:r>
        <w:rPr>
          <w:w w:val="105"/>
        </w:rPr>
        <w:t>practica! applications, thc com­ ponent lives which are combined in  an  annuity  or  an  insurance are often associated in sorne conunon undertaking, or are perhaps related by blood or marriage, and through their mutual activities may be simultaneously exposed to many of the same mortality hazards. For development of the general theory, however, the survival probabilities are assumed to be independent. </w:t>
      </w:r>
      <w:r>
        <w:rPr>
          <w:i/>
          <w:w w:val="105"/>
        </w:rPr>
        <w:t>J oint-lif e </w:t>
      </w:r>
      <w:r>
        <w:rPr>
          <w:w w:val="105"/>
        </w:rPr>
        <w:t>functions, as discussed in this chapter, are defined on the assump­ tion that the group terminates its existence whcn the first death occurs. Thus the joint-life status </w:t>
      </w:r>
      <w:r>
        <w:rPr/>
        <w:t>(x1x2 </w:t>
      </w:r>
      <w:r>
        <w:rPr>
          <w:spacing w:val="11"/>
          <w:w w:val="140"/>
        </w:rPr>
        <w:t>··· </w:t>
      </w:r>
      <w:r>
        <w:rPr>
          <w:i/>
          <w:w w:val="105"/>
          <w:sz w:val="13"/>
        </w:rPr>
        <w:t>X m ) </w:t>
      </w:r>
      <w:r>
        <w:rPr>
          <w:w w:val="105"/>
        </w:rPr>
        <w:t>continues in exist­ ence as long as </w:t>
      </w:r>
      <w:r>
        <w:rPr>
          <w:i/>
          <w:w w:val="105"/>
        </w:rPr>
        <w:t>all </w:t>
      </w:r>
      <w:r>
        <w:rPr>
          <w:w w:val="105"/>
        </w:rPr>
        <w:t>the lives (xi ), (x2), </w:t>
      </w:r>
      <w:r>
        <w:rPr>
          <w:spacing w:val="13"/>
          <w:w w:val="105"/>
        </w:rPr>
        <w:t>··· </w:t>
      </w:r>
      <w:r>
        <w:rPr>
          <w:w w:val="105"/>
        </w:rPr>
        <w:t>, </w:t>
      </w:r>
      <w:r>
        <w:rPr>
          <w:i/>
        </w:rPr>
        <w:t>( </w:t>
      </w:r>
      <w:r>
        <w:rPr>
          <w:i/>
          <w:w w:val="105"/>
        </w:rPr>
        <w:t>xm </w:t>
      </w:r>
      <w:r>
        <w:rPr>
          <w:i/>
        </w:rPr>
        <w:t>) </w:t>
      </w:r>
      <w:r>
        <w:rPr>
          <w:w w:val="105"/>
        </w:rPr>
        <w:t>survive, and fails upon the occurrence of  the </w:t>
      </w:r>
      <w:r>
        <w:rPr>
          <w:i/>
          <w:w w:val="105"/>
        </w:rPr>
        <w:t>first </w:t>
      </w:r>
      <w:r>
        <w:rPr>
          <w:i/>
          <w:spacing w:val="15"/>
          <w:w w:val="105"/>
        </w:rPr>
        <w:t> </w:t>
      </w:r>
      <w:r>
        <w:rPr>
          <w:w w:val="105"/>
        </w:rPr>
        <w:t>death.</w:t>
      </w:r>
    </w:p>
    <w:p>
      <w:pPr>
        <w:pStyle w:val="BodyText"/>
        <w:spacing w:line="247" w:lineRule="auto"/>
        <w:ind w:left="121" w:right="101" w:firstLine="208"/>
        <w:jc w:val="both"/>
      </w:pPr>
      <w:r>
        <w:rPr>
          <w:w w:val="105"/>
          <w:sz w:val="21"/>
        </w:rPr>
        <w:t>It </w:t>
      </w:r>
      <w:r>
        <w:rPr>
          <w:w w:val="105"/>
        </w:rPr>
        <w:t>will be seen that this joint-life concept  is precisely  the  t.ype  of status involved in the practica! situation of a joint-life insurance payable </w:t>
      </w:r>
      <w:r>
        <w:rPr>
          <w:spacing w:val="2"/>
          <w:w w:val="105"/>
        </w:rPr>
        <w:t>upon </w:t>
      </w:r>
      <w:r>
        <w:rPr>
          <w:w w:val="105"/>
        </w:rPr>
        <w:t>the first death among the insureds, or a joint-1if e annuity  payable  as long  as  ali  the  annuitants</w:t>
      </w:r>
      <w:r>
        <w:rPr>
          <w:spacing w:val="13"/>
          <w:w w:val="105"/>
        </w:rPr>
        <w:t> </w:t>
      </w:r>
      <w:r>
        <w:rPr>
          <w:w w:val="105"/>
        </w:rPr>
        <w:t>survive.</w:t>
      </w:r>
    </w:p>
    <w:p>
      <w:pPr>
        <w:spacing w:before="176"/>
        <w:ind w:left="218" w:right="739" w:firstLine="0"/>
        <w:jc w:val="left"/>
        <w:rPr>
          <w:b/>
          <w:sz w:val="19"/>
        </w:rPr>
      </w:pPr>
      <w:r>
        <w:rPr>
          <w:w w:val="120"/>
          <w:sz w:val="19"/>
        </w:rPr>
        <w:t>.</w:t>
      </w:r>
      <w:r>
        <w:rPr>
          <w:b/>
          <w:w w:val="120"/>
          <w:sz w:val="19"/>
        </w:rPr>
        <w:t>Joint-Jife probabilities</w:t>
      </w:r>
    </w:p>
    <w:p>
      <w:pPr>
        <w:pStyle w:val="BodyText"/>
        <w:spacing w:line="244" w:lineRule="auto" w:before="85"/>
        <w:ind w:left="117" w:right="107" w:firstLine="205"/>
        <w:jc w:val="both"/>
      </w:pPr>
      <w:r>
        <w:rPr>
          <w:w w:val="105"/>
        </w:rPr>
        <w:t>Let us consider how the probabilities of  failurc and survival for   a joint-life status may  be obtained.  Although  single-life mortality is  measured  by  means  of  statistical  studies,  </w:t>
      </w:r>
      <w:r>
        <w:rPr/>
        <w:t>i </w:t>
      </w:r>
      <w:r>
        <w:rPr>
          <w:w w:val="105"/>
        </w:rPr>
        <w:t>t  is  obviously</w:t>
      </w:r>
      <w:r>
        <w:rPr>
          <w:spacing w:val="27"/>
          <w:w w:val="105"/>
        </w:rPr>
        <w:t> </w:t>
      </w:r>
      <w:r>
        <w:rPr>
          <w:w w:val="105"/>
        </w:rPr>
        <w:t>im-</w:t>
      </w:r>
    </w:p>
    <w:p>
      <w:pPr>
        <w:spacing w:before="101"/>
        <w:ind w:left="74" w:right="42" w:firstLine="0"/>
        <w:jc w:val="center"/>
        <w:rPr>
          <w:sz w:val="16"/>
        </w:rPr>
      </w:pPr>
      <w:r>
        <w:rPr>
          <w:w w:val="105"/>
          <w:sz w:val="16"/>
        </w:rPr>
        <w:t>191</w:t>
      </w:r>
    </w:p>
    <w:p>
      <w:pPr>
        <w:spacing w:after="0"/>
        <w:jc w:val="center"/>
        <w:rPr>
          <w:sz w:val="16"/>
        </w:rPr>
        <w:sectPr>
          <w:pgSz w:w="7200" w:h="11340"/>
          <w:pgMar w:top="1060" w:bottom="280" w:left="660" w:right="560"/>
        </w:sectPr>
      </w:pPr>
    </w:p>
    <w:p>
      <w:pPr>
        <w:tabs>
          <w:tab w:pos="1995" w:val="left" w:leader="none"/>
          <w:tab w:pos="5361" w:val="left" w:leader="none"/>
        </w:tabs>
        <w:spacing w:before="63"/>
        <w:ind w:left="144" w:right="0" w:firstLine="10"/>
        <w:jc w:val="both"/>
        <w:rPr>
          <w:rFonts w:ascii="Arial"/>
          <w:b/>
          <w:sz w:val="19"/>
        </w:rPr>
      </w:pPr>
      <w:r>
        <w:rPr>
          <w:sz w:val="19"/>
        </w:rPr>
        <w:t>192</w:t>
        <w:tab/>
      </w:r>
      <w:r>
        <w:rPr>
          <w:b/>
          <w:sz w:val="15"/>
        </w:rPr>
        <w:t>THE   JOINT-LIFE  </w:t>
      </w:r>
      <w:r>
        <w:rPr>
          <w:b/>
          <w:spacing w:val="27"/>
          <w:sz w:val="15"/>
        </w:rPr>
        <w:t> </w:t>
      </w:r>
      <w:r>
        <w:rPr>
          <w:b/>
          <w:sz w:val="15"/>
        </w:rPr>
        <w:t>STATUS</w:t>
        <w:tab/>
      </w:r>
      <w:r>
        <w:rPr>
          <w:b/>
          <w:sz w:val="19"/>
        </w:rPr>
        <w:t>(CH.</w:t>
      </w:r>
      <w:r>
        <w:rPr>
          <w:b/>
          <w:spacing w:val="-10"/>
          <w:sz w:val="19"/>
        </w:rPr>
        <w:t> </w:t>
      </w:r>
      <w:r>
        <w:rPr>
          <w:rFonts w:ascii="Arial"/>
          <w:b/>
          <w:sz w:val="19"/>
        </w:rPr>
        <w:t>9</w:t>
      </w:r>
    </w:p>
    <w:p>
      <w:pPr>
        <w:pStyle w:val="BodyText"/>
        <w:spacing w:before="2"/>
        <w:rPr>
          <w:rFonts w:ascii="Arial"/>
          <w:b/>
          <w:sz w:val="21"/>
        </w:rPr>
      </w:pPr>
    </w:p>
    <w:p>
      <w:pPr>
        <w:pStyle w:val="BodyText"/>
        <w:spacing w:line="244" w:lineRule="auto"/>
        <w:ind w:left="137" w:right="110" w:firstLine="7"/>
        <w:jc w:val="both"/>
        <w:rPr>
          <w:sz w:val="19"/>
        </w:rPr>
      </w:pPr>
      <w:r>
        <w:rPr>
          <w:w w:val="105"/>
        </w:rPr>
        <w:t>practica! to attempt to obtain joint-life mortality rates by similar observation </w:t>
      </w:r>
      <w:r>
        <w:rPr>
          <w:rFonts w:ascii="Arial"/>
          <w:w w:val="105"/>
          <w:sz w:val="19"/>
        </w:rPr>
        <w:t>of </w:t>
      </w:r>
      <w:r>
        <w:rPr>
          <w:w w:val="105"/>
        </w:rPr>
        <w:t>groups </w:t>
      </w:r>
      <w:r>
        <w:rPr>
          <w:rFonts w:ascii="Arial"/>
          <w:w w:val="105"/>
          <w:sz w:val="19"/>
        </w:rPr>
        <w:t>of </w:t>
      </w:r>
      <w:r>
        <w:rPr>
          <w:w w:val="105"/>
        </w:rPr>
        <w:t>lives. This recourse is </w:t>
      </w:r>
      <w:r>
        <w:rPr>
          <w:w w:val="105"/>
          <w:sz w:val="19"/>
        </w:rPr>
        <w:t>in </w:t>
      </w:r>
      <w:r>
        <w:rPr>
          <w:w w:val="105"/>
        </w:rPr>
        <w:t>fact unnecessary, </w:t>
      </w:r>
      <w:r>
        <w:rPr>
          <w:w w:val="105"/>
          <w:sz w:val="21"/>
        </w:rPr>
        <w:t>since </w:t>
      </w:r>
      <w:r>
        <w:rPr>
          <w:w w:val="105"/>
        </w:rPr>
        <w:t>the probabilities </w:t>
      </w:r>
      <w:r>
        <w:rPr>
          <w:w w:val="105"/>
          <w:sz w:val="21"/>
        </w:rPr>
        <w:t>of </w:t>
      </w:r>
      <w:r>
        <w:rPr>
          <w:w w:val="105"/>
        </w:rPr>
        <w:t>joint survival can be easily  calculated  </w:t>
      </w:r>
      <w:r>
        <w:rPr>
          <w:rFonts w:ascii="Arial"/>
          <w:spacing w:val="2"/>
          <w:w w:val="105"/>
          <w:sz w:val="19"/>
        </w:rPr>
        <w:t>f</w:t>
      </w:r>
      <w:r>
        <w:rPr>
          <w:spacing w:val="2"/>
          <w:w w:val="105"/>
          <w:sz w:val="19"/>
        </w:rPr>
        <w:t>rom  </w:t>
      </w:r>
      <w:r>
        <w:rPr>
          <w:w w:val="105"/>
          <w:sz w:val="19"/>
        </w:rPr>
        <w:t>single-life  </w:t>
      </w:r>
      <w:r>
        <w:rPr>
          <w:w w:val="105"/>
        </w:rPr>
        <w:t>mortality</w:t>
      </w:r>
      <w:r>
        <w:rPr>
          <w:spacing w:val="13"/>
          <w:w w:val="105"/>
        </w:rPr>
        <w:t> </w:t>
      </w:r>
      <w:r>
        <w:rPr>
          <w:w w:val="105"/>
          <w:sz w:val="19"/>
        </w:rPr>
        <w:t>ta.bles.</w:t>
      </w:r>
    </w:p>
    <w:p>
      <w:pPr>
        <w:spacing w:line="220" w:lineRule="auto" w:before="8"/>
        <w:ind w:left="130" w:right="111" w:firstLine="205"/>
        <w:jc w:val="both"/>
        <w:rPr>
          <w:b/>
          <w:sz w:val="20"/>
        </w:rPr>
      </w:pPr>
      <w:r>
        <w:rPr>
          <w:w w:val="110"/>
          <w:sz w:val="20"/>
        </w:rPr>
        <w:t>The </w:t>
      </w:r>
      <w:r>
        <w:rPr>
          <w:w w:val="105"/>
          <w:sz w:val="20"/>
        </w:rPr>
        <w:t>probability </w:t>
      </w:r>
      <w:r>
        <w:rPr>
          <w:w w:val="112"/>
          <w:sz w:val="21"/>
        </w:rPr>
        <w:t>that </w:t>
      </w:r>
      <w:r>
        <w:rPr>
          <w:w w:val="102"/>
          <w:sz w:val="22"/>
        </w:rPr>
        <w:t>the </w:t>
      </w:r>
      <w:r>
        <w:rPr>
          <w:w w:val="102"/>
          <w:sz w:val="20"/>
        </w:rPr>
        <w:t>joint-life </w:t>
      </w:r>
      <w:r>
        <w:rPr>
          <w:w w:val="114"/>
          <w:sz w:val="20"/>
        </w:rPr>
        <w:t>status </w:t>
      </w:r>
      <w:r>
        <w:rPr>
          <w:rFonts w:ascii="Arial" w:hAnsi="Arial"/>
          <w:i/>
          <w:spacing w:val="-11"/>
          <w:w w:val="181"/>
          <w:sz w:val="19"/>
        </w:rPr>
        <w:t>(x</w:t>
      </w:r>
      <w:r>
        <w:rPr>
          <w:rFonts w:ascii="Arial" w:hAnsi="Arial"/>
          <w:i/>
          <w:spacing w:val="-11"/>
          <w:w w:val="181"/>
          <w:position w:val="-1"/>
          <w:sz w:val="11"/>
        </w:rPr>
        <w:t>2</w:t>
      </w:r>
      <w:r>
        <w:rPr>
          <w:rFonts w:ascii="Arial" w:hAnsi="Arial"/>
          <w:i/>
          <w:w w:val="181"/>
          <w:position w:val="-1"/>
          <w:sz w:val="11"/>
        </w:rPr>
        <w:t> </w:t>
      </w:r>
      <w:r>
        <w:rPr>
          <w:rFonts w:ascii="Arial" w:hAnsi="Arial"/>
          <w:w w:val="103"/>
          <w:sz w:val="11"/>
        </w:rPr>
        <w:t>• </w:t>
      </w:r>
      <w:r>
        <w:rPr>
          <w:rFonts w:ascii="Arial" w:hAnsi="Arial"/>
          <w:w w:val="89"/>
          <w:sz w:val="11"/>
        </w:rPr>
        <w:t>• </w:t>
      </w:r>
      <w:r>
        <w:rPr>
          <w:rFonts w:ascii="Arial" w:hAnsi="Arial"/>
          <w:w w:val="103"/>
          <w:sz w:val="11"/>
        </w:rPr>
        <w:t>• </w:t>
      </w:r>
      <w:r>
        <w:rPr>
          <w:w w:val="105"/>
          <w:sz w:val="20"/>
        </w:rPr>
        <w:t>x"') </w:t>
      </w:r>
      <w:r>
        <w:rPr>
          <w:w w:val="97"/>
          <w:sz w:val="20"/>
        </w:rPr>
        <w:t>will </w:t>
      </w:r>
      <w:r>
        <w:rPr>
          <w:w w:val="107"/>
          <w:sz w:val="20"/>
        </w:rPr>
        <w:t>sur­ </w:t>
      </w:r>
      <w:r>
        <w:rPr>
          <w:w w:val="104"/>
          <w:sz w:val="20"/>
        </w:rPr>
        <w:t>vive </w:t>
      </w:r>
      <w:r>
        <w:rPr>
          <w:w w:val="105"/>
          <w:sz w:val="20"/>
        </w:rPr>
        <w:t>for </w:t>
      </w:r>
      <w:r>
        <w:rPr>
          <w:i/>
          <w:w w:val="108"/>
          <w:sz w:val="22"/>
        </w:rPr>
        <w:t>n </w:t>
      </w:r>
      <w:r>
        <w:rPr>
          <w:w w:val="108"/>
          <w:sz w:val="20"/>
        </w:rPr>
        <w:t>years </w:t>
      </w:r>
      <w:r>
        <w:rPr>
          <w:w w:val="105"/>
          <w:sz w:val="20"/>
        </w:rPr>
        <w:t>is </w:t>
      </w:r>
      <w:r>
        <w:rPr>
          <w:w w:val="106"/>
          <w:sz w:val="20"/>
        </w:rPr>
        <w:t>denoted </w:t>
      </w:r>
      <w:r>
        <w:rPr>
          <w:w w:val="103"/>
          <w:sz w:val="20"/>
        </w:rPr>
        <w:t>by </w:t>
      </w:r>
      <w:r>
        <w:rPr>
          <w:spacing w:val="-4"/>
          <w:w w:val="119"/>
          <w:sz w:val="19"/>
        </w:rPr>
        <w:t>aPz</w:t>
      </w:r>
      <w:r>
        <w:rPr>
          <w:spacing w:val="-4"/>
          <w:w w:val="119"/>
          <w:position w:val="-3"/>
          <w:sz w:val="11"/>
        </w:rPr>
        <w:t>1</w:t>
      </w:r>
      <w:r>
        <w:rPr>
          <w:spacing w:val="-4"/>
          <w:w w:val="119"/>
          <w:sz w:val="19"/>
        </w:rPr>
        <w:t>z</w:t>
      </w:r>
      <w:r>
        <w:rPr>
          <w:spacing w:val="-4"/>
          <w:w w:val="119"/>
          <w:position w:val="-4"/>
          <w:sz w:val="11"/>
        </w:rPr>
        <w:t>1</w:t>
      </w:r>
      <w:r>
        <w:rPr>
          <w:spacing w:val="-4"/>
          <w:w w:val="119"/>
          <w:sz w:val="11"/>
        </w:rPr>
        <w:t>...</w:t>
      </w:r>
      <w:r>
        <w:rPr>
          <w:spacing w:val="-4"/>
          <w:w w:val="119"/>
          <w:sz w:val="19"/>
        </w:rPr>
        <w:t>z,,.</w:t>
      </w:r>
      <w:r>
        <w:rPr>
          <w:w w:val="119"/>
          <w:sz w:val="19"/>
        </w:rPr>
        <w:t> </w:t>
      </w:r>
      <w:r>
        <w:rPr>
          <w:w w:val="115"/>
          <w:sz w:val="19"/>
        </w:rPr>
        <w:t>, </w:t>
      </w:r>
      <w:r>
        <w:rPr>
          <w:w w:val="110"/>
          <w:sz w:val="20"/>
        </w:rPr>
        <w:t>and, </w:t>
      </w:r>
      <w:r>
        <w:rPr>
          <w:w w:val="103"/>
          <w:sz w:val="20"/>
        </w:rPr>
        <w:t>since </w:t>
      </w:r>
      <w:r>
        <w:rPr>
          <w:w w:val="103"/>
          <w:sz w:val="20"/>
        </w:rPr>
        <w:t>joint </w:t>
      </w:r>
      <w:r>
        <w:rPr>
          <w:b/>
          <w:w w:val="97"/>
          <w:sz w:val="20"/>
        </w:rPr>
        <w:t>sttrvival </w:t>
      </w:r>
      <w:r>
        <w:rPr>
          <w:w w:val="110"/>
          <w:sz w:val="20"/>
        </w:rPr>
        <w:t>requires</w:t>
      </w:r>
      <w:r>
        <w:rPr>
          <w:spacing w:val="-23"/>
          <w:w w:val="110"/>
          <w:sz w:val="20"/>
        </w:rPr>
        <w:t> </w:t>
      </w:r>
      <w:r>
        <w:rPr>
          <w:w w:val="110"/>
          <w:sz w:val="20"/>
        </w:rPr>
        <w:t>the</w:t>
      </w:r>
      <w:r>
        <w:rPr>
          <w:spacing w:val="-26"/>
          <w:w w:val="110"/>
          <w:sz w:val="20"/>
        </w:rPr>
        <w:t> </w:t>
      </w:r>
      <w:r>
        <w:rPr>
          <w:w w:val="110"/>
          <w:sz w:val="20"/>
        </w:rPr>
        <w:t>individual</w:t>
      </w:r>
      <w:r>
        <w:rPr>
          <w:spacing w:val="-16"/>
          <w:w w:val="110"/>
          <w:sz w:val="20"/>
        </w:rPr>
        <w:t> </w:t>
      </w:r>
      <w:r>
        <w:rPr>
          <w:w w:val="110"/>
          <w:sz w:val="20"/>
        </w:rPr>
        <w:t>survival</w:t>
      </w:r>
      <w:r>
        <w:rPr>
          <w:spacing w:val="-24"/>
          <w:w w:val="110"/>
          <w:sz w:val="20"/>
        </w:rPr>
        <w:t> </w:t>
      </w:r>
      <w:r>
        <w:rPr>
          <w:w w:val="110"/>
          <w:sz w:val="20"/>
        </w:rPr>
        <w:t>of</w:t>
      </w:r>
      <w:r>
        <w:rPr>
          <w:spacing w:val="-16"/>
          <w:w w:val="110"/>
          <w:sz w:val="20"/>
        </w:rPr>
        <w:t> </w:t>
      </w:r>
      <w:r>
        <w:rPr>
          <w:w w:val="110"/>
          <w:sz w:val="20"/>
        </w:rPr>
        <w:t>ali</w:t>
      </w:r>
      <w:r>
        <w:rPr>
          <w:spacing w:val="-24"/>
          <w:w w:val="110"/>
          <w:sz w:val="20"/>
        </w:rPr>
        <w:t> </w:t>
      </w:r>
      <w:r>
        <w:rPr>
          <w:w w:val="110"/>
          <w:sz w:val="20"/>
        </w:rPr>
        <w:t>the</w:t>
      </w:r>
      <w:r>
        <w:rPr>
          <w:spacing w:val="-12"/>
          <w:w w:val="110"/>
          <w:sz w:val="20"/>
        </w:rPr>
        <w:t> </w:t>
      </w:r>
      <w:r>
        <w:rPr>
          <w:w w:val="110"/>
          <w:sz w:val="20"/>
        </w:rPr>
        <w:t>component</w:t>
      </w:r>
      <w:r>
        <w:rPr>
          <w:spacing w:val="-7"/>
          <w:w w:val="110"/>
          <w:sz w:val="20"/>
        </w:rPr>
        <w:t> </w:t>
      </w:r>
      <w:r>
        <w:rPr>
          <w:w w:val="110"/>
          <w:sz w:val="20"/>
        </w:rPr>
        <w:t>lives,</w:t>
      </w:r>
      <w:r>
        <w:rPr>
          <w:spacing w:val="-16"/>
          <w:w w:val="110"/>
          <w:sz w:val="20"/>
        </w:rPr>
        <w:t> </w:t>
      </w:r>
      <w:r>
        <w:rPr>
          <w:w w:val="110"/>
          <w:sz w:val="20"/>
        </w:rPr>
        <w:t>we</w:t>
      </w:r>
      <w:r>
        <w:rPr>
          <w:spacing w:val="-21"/>
          <w:w w:val="110"/>
          <w:sz w:val="20"/>
        </w:rPr>
        <w:t> </w:t>
      </w:r>
      <w:r>
        <w:rPr>
          <w:b/>
          <w:w w:val="110"/>
          <w:sz w:val="20"/>
        </w:rPr>
        <w:t>have</w:t>
      </w:r>
    </w:p>
    <w:p>
      <w:pPr>
        <w:spacing w:before="137"/>
        <w:ind w:left="1508" w:right="0" w:firstLine="0"/>
        <w:jc w:val="center"/>
        <w:rPr>
          <w:b/>
          <w:sz w:val="20"/>
        </w:rPr>
      </w:pPr>
      <w:r>
        <w:rPr>
          <w:position w:val="-5"/>
        </w:rPr>
        <w:drawing>
          <wp:inline distT="0" distB="0" distL="0" distR="0">
            <wp:extent cx="1746504" cy="109727"/>
            <wp:effectExtent l="0" t="0" r="0" b="0"/>
            <wp:docPr id="383" name="image197.png" descr=""/>
            <wp:cNvGraphicFramePr>
              <a:graphicFrameLocks noChangeAspect="1"/>
            </wp:cNvGraphicFramePr>
            <a:graphic>
              <a:graphicData uri="http://schemas.openxmlformats.org/drawingml/2006/picture">
                <pic:pic>
                  <pic:nvPicPr>
                    <pic:cNvPr id="384" name="image197.png"/>
                    <pic:cNvPicPr/>
                  </pic:nvPicPr>
                  <pic:blipFill>
                    <a:blip r:embed="rId201" cstate="print"/>
                    <a:stretch>
                      <a:fillRect/>
                    </a:stretch>
                  </pic:blipFill>
                  <pic:spPr>
                    <a:xfrm>
                      <a:off x="0" y="0"/>
                      <a:ext cx="1746504" cy="109727"/>
                    </a:xfrm>
                    <a:prstGeom prst="rect">
                      <a:avLst/>
                    </a:prstGeom>
                  </pic:spPr>
                </pic:pic>
              </a:graphicData>
            </a:graphic>
          </wp:inline>
        </w:drawing>
      </w:r>
      <w:r>
        <w:rPr>
          <w:position w:val="-5"/>
        </w:rPr>
      </w:r>
      <w:r>
        <w:rPr>
          <w:sz w:val="20"/>
        </w:rPr>
        <w:t>                     </w:t>
      </w:r>
      <w:r>
        <w:rPr>
          <w:b/>
          <w:w w:val="105"/>
          <w:sz w:val="20"/>
        </w:rPr>
        <w:t>(9.1</w:t>
      </w:r>
      <w:r>
        <w:rPr>
          <w:b/>
          <w:spacing w:val="-38"/>
          <w:w w:val="105"/>
          <w:sz w:val="20"/>
        </w:rPr>
        <w:t> </w:t>
      </w:r>
      <w:r>
        <w:rPr>
          <w:b/>
          <w:w w:val="105"/>
          <w:sz w:val="20"/>
        </w:rPr>
        <w:t>)</w:t>
      </w:r>
    </w:p>
    <w:p>
      <w:pPr>
        <w:spacing w:line="223" w:lineRule="exact" w:before="119"/>
        <w:ind w:left="126" w:right="0" w:firstLine="0"/>
        <w:jc w:val="both"/>
        <w:rPr>
          <w:sz w:val="19"/>
        </w:rPr>
      </w:pPr>
      <w:r>
        <w:rPr>
          <w:w w:val="110"/>
          <w:sz w:val="19"/>
        </w:rPr>
        <w:t>The </w:t>
      </w:r>
      <w:r>
        <w:rPr>
          <w:w w:val="110"/>
          <w:sz w:val="20"/>
        </w:rPr>
        <w:t>other basic  probabilities  then  follow  in terms oí </w:t>
      </w:r>
      <w:r>
        <w:rPr>
          <w:w w:val="110"/>
          <w:sz w:val="19"/>
        </w:rPr>
        <w:t>•P•,••.......  .</w:t>
      </w:r>
    </w:p>
    <w:p>
      <w:pPr>
        <w:pStyle w:val="BodyText"/>
        <w:spacing w:line="246" w:lineRule="exact"/>
        <w:ind w:left="123"/>
        <w:jc w:val="both"/>
      </w:pPr>
      <w:r>
        <w:rPr>
          <w:w w:val="110"/>
        </w:rPr>
        <w:t>The probability that the joint-life  status will fail within </w:t>
      </w:r>
      <w:r>
        <w:rPr>
          <w:i/>
          <w:w w:val="110"/>
          <w:sz w:val="22"/>
        </w:rPr>
        <w:t>n </w:t>
      </w:r>
      <w:r>
        <w:rPr>
          <w:w w:val="110"/>
        </w:rPr>
        <w:t>years is</w:t>
      </w:r>
    </w:p>
    <w:p>
      <w:pPr>
        <w:pStyle w:val="BodyText"/>
        <w:spacing w:before="125"/>
        <w:ind w:left="1638"/>
        <w:jc w:val="center"/>
        <w:rPr>
          <w:b/>
        </w:rPr>
      </w:pPr>
      <w:r>
        <w:rPr>
          <w:position w:val="-5"/>
        </w:rPr>
        <w:drawing>
          <wp:inline distT="0" distB="0" distL="0" distR="0">
            <wp:extent cx="1554480" cy="137160"/>
            <wp:effectExtent l="0" t="0" r="0" b="0"/>
            <wp:docPr id="385" name="image198.png" descr=""/>
            <wp:cNvGraphicFramePr>
              <a:graphicFrameLocks noChangeAspect="1"/>
            </wp:cNvGraphicFramePr>
            <a:graphic>
              <a:graphicData uri="http://schemas.openxmlformats.org/drawingml/2006/picture">
                <pic:pic>
                  <pic:nvPicPr>
                    <pic:cNvPr id="386" name="image198.png"/>
                    <pic:cNvPicPr/>
                  </pic:nvPicPr>
                  <pic:blipFill>
                    <a:blip r:embed="rId202" cstate="print"/>
                    <a:stretch>
                      <a:fillRect/>
                    </a:stretch>
                  </pic:blipFill>
                  <pic:spPr>
                    <a:xfrm>
                      <a:off x="0" y="0"/>
                      <a:ext cx="1554480" cy="137160"/>
                    </a:xfrm>
                    <a:prstGeom prst="rect">
                      <a:avLst/>
                    </a:prstGeom>
                  </pic:spPr>
                </pic:pic>
              </a:graphicData>
            </a:graphic>
          </wp:inline>
        </w:drawing>
      </w:r>
      <w:r>
        <w:rPr>
          <w:position w:val="-5"/>
        </w:rPr>
      </w:r>
      <w:r>
        <w:rPr/>
        <w:t>                        </w:t>
      </w:r>
      <w:r>
        <w:rPr>
          <w:b/>
          <w:w w:val="110"/>
        </w:rPr>
        <w:t>(9.2)</w:t>
      </w:r>
    </w:p>
    <w:p>
      <w:pPr>
        <w:pStyle w:val="BodyText"/>
        <w:spacing w:before="11"/>
        <w:ind w:left="332" w:hanging="206"/>
      </w:pPr>
      <w:r>
        <w:rPr/>
        <w:drawing>
          <wp:anchor distT="0" distB="0" distL="0" distR="0" allowOverlap="1" layoutInCell="1" locked="0" behindDoc="0" simplePos="0" relativeHeight="15496">
            <wp:simplePos x="0" y="0"/>
            <wp:positionH relativeFrom="page">
              <wp:posOffset>1261872</wp:posOffset>
            </wp:positionH>
            <wp:positionV relativeFrom="paragraph">
              <wp:posOffset>319643</wp:posOffset>
            </wp:positionV>
            <wp:extent cx="2889503" cy="137160"/>
            <wp:effectExtent l="0" t="0" r="0" b="0"/>
            <wp:wrapTopAndBottom/>
            <wp:docPr id="387" name="image199.png" descr=""/>
            <wp:cNvGraphicFramePr>
              <a:graphicFrameLocks noChangeAspect="1"/>
            </wp:cNvGraphicFramePr>
            <a:graphic>
              <a:graphicData uri="http://schemas.openxmlformats.org/drawingml/2006/picture">
                <pic:pic>
                  <pic:nvPicPr>
                    <pic:cNvPr id="388" name="image199.png"/>
                    <pic:cNvPicPr/>
                  </pic:nvPicPr>
                  <pic:blipFill>
                    <a:blip r:embed="rId203" cstate="print"/>
                    <a:stretch>
                      <a:fillRect/>
                    </a:stretch>
                  </pic:blipFill>
                  <pic:spPr>
                    <a:xfrm>
                      <a:off x="0" y="0"/>
                      <a:ext cx="2889503" cy="137160"/>
                    </a:xfrm>
                    <a:prstGeom prst="rect">
                      <a:avLst/>
                    </a:prstGeom>
                  </pic:spPr>
                </pic:pic>
              </a:graphicData>
            </a:graphic>
          </wp:anchor>
        </w:drawing>
      </w:r>
      <w:r>
        <w:rPr>
          <w:w w:val="105"/>
        </w:rPr>
        <w:t>The probability  that  the  status will  </w:t>
      </w:r>
      <w:r>
        <w:rPr>
          <w:w w:val="105"/>
          <w:sz w:val="19"/>
        </w:rPr>
        <w:t>fail  </w:t>
      </w:r>
      <w:r>
        <w:rPr>
          <w:w w:val="105"/>
        </w:rPr>
        <w:t>in  the  </w:t>
      </w:r>
      <w:r>
        <w:rPr>
          <w:rFonts w:ascii="Arial"/>
          <w:i/>
          <w:w w:val="105"/>
          <w:sz w:val="19"/>
        </w:rPr>
        <w:t>(n  </w:t>
      </w:r>
      <w:r>
        <w:rPr>
          <w:rFonts w:ascii="Arial"/>
          <w:w w:val="105"/>
          <w:sz w:val="31"/>
        </w:rPr>
        <w:t>+ </w:t>
      </w:r>
      <w:r>
        <w:rPr>
          <w:w w:val="105"/>
        </w:rPr>
        <w:t>1)-th  year is</w:t>
      </w:r>
    </w:p>
    <w:p>
      <w:pPr>
        <w:pStyle w:val="BodyText"/>
        <w:spacing w:line="249" w:lineRule="auto" w:before="97"/>
        <w:ind w:left="119" w:right="120" w:firstLine="212"/>
        <w:jc w:val="both"/>
      </w:pPr>
      <w:r>
        <w:rPr>
          <w:w w:val="110"/>
        </w:rPr>
        <w:t>The usual annuity and insurance </w:t>
      </w:r>
      <w:r>
        <w:rPr>
          <w:rFonts w:ascii="Arial" w:hAnsi="Arial"/>
          <w:w w:val="110"/>
          <w:sz w:val="19"/>
        </w:rPr>
        <w:t>f</w:t>
      </w:r>
      <w:r>
        <w:rPr>
          <w:w w:val="110"/>
        </w:rPr>
        <w:t>unctions may now </w:t>
      </w:r>
      <w:r>
        <w:rPr>
          <w:w w:val="110"/>
          <w:sz w:val="19"/>
        </w:rPr>
        <w:t>be </w:t>
      </w:r>
      <w:r>
        <w:rPr>
          <w:w w:val="110"/>
        </w:rPr>
        <w:t>defined for the joint-life status. For example, consider an immediate life annuity</w:t>
      </w:r>
      <w:r>
        <w:rPr>
          <w:spacing w:val="-14"/>
          <w:w w:val="110"/>
        </w:rPr>
        <w:t> </w:t>
      </w:r>
      <w:r>
        <w:rPr>
          <w:w w:val="110"/>
        </w:rPr>
        <w:t>under</w:t>
      </w:r>
      <w:r>
        <w:rPr>
          <w:spacing w:val="-21"/>
          <w:w w:val="110"/>
        </w:rPr>
        <w:t> </w:t>
      </w:r>
      <w:r>
        <w:rPr>
          <w:w w:val="110"/>
        </w:rPr>
        <w:t>which</w:t>
      </w:r>
      <w:r>
        <w:rPr>
          <w:spacing w:val="-13"/>
          <w:w w:val="110"/>
        </w:rPr>
        <w:t> </w:t>
      </w:r>
      <w:r>
        <w:rPr>
          <w:rFonts w:ascii="Arial" w:hAnsi="Arial"/>
          <w:w w:val="110"/>
          <w:sz w:val="18"/>
        </w:rPr>
        <w:t>a</w:t>
      </w:r>
      <w:r>
        <w:rPr>
          <w:rFonts w:ascii="Arial" w:hAnsi="Arial"/>
          <w:spacing w:val="-30"/>
          <w:w w:val="110"/>
          <w:sz w:val="18"/>
        </w:rPr>
        <w:t> </w:t>
      </w:r>
      <w:r>
        <w:rPr>
          <w:w w:val="110"/>
        </w:rPr>
        <w:t>payment</w:t>
      </w:r>
      <w:r>
        <w:rPr>
          <w:spacing w:val="-3"/>
          <w:w w:val="110"/>
        </w:rPr>
        <w:t> </w:t>
      </w:r>
      <w:r>
        <w:rPr>
          <w:w w:val="110"/>
        </w:rPr>
        <w:t>of</w:t>
      </w:r>
      <w:r>
        <w:rPr>
          <w:spacing w:val="-1"/>
          <w:w w:val="110"/>
        </w:rPr>
        <w:t> </w:t>
      </w:r>
      <w:r>
        <w:rPr>
          <w:spacing w:val="4"/>
          <w:w w:val="110"/>
        </w:rPr>
        <w:t>1is</w:t>
      </w:r>
      <w:r>
        <w:rPr>
          <w:spacing w:val="-28"/>
          <w:w w:val="110"/>
        </w:rPr>
        <w:t> </w:t>
      </w:r>
      <w:r>
        <w:rPr>
          <w:w w:val="110"/>
        </w:rPr>
        <w:t>made</w:t>
      </w:r>
      <w:r>
        <w:rPr>
          <w:spacing w:val="-18"/>
          <w:w w:val="110"/>
        </w:rPr>
        <w:t> </w:t>
      </w:r>
      <w:r>
        <w:rPr>
          <w:w w:val="110"/>
        </w:rPr>
        <w:t>at</w:t>
      </w:r>
      <w:r>
        <w:rPr>
          <w:spacing w:val="-21"/>
          <w:w w:val="110"/>
        </w:rPr>
        <w:t> </w:t>
      </w:r>
      <w:r>
        <w:rPr>
          <w:w w:val="110"/>
        </w:rPr>
        <w:t>the</w:t>
      </w:r>
      <w:r>
        <w:rPr>
          <w:spacing w:val="-21"/>
          <w:w w:val="110"/>
        </w:rPr>
        <w:t> </w:t>
      </w:r>
      <w:r>
        <w:rPr>
          <w:w w:val="110"/>
        </w:rPr>
        <w:t>end</w:t>
      </w:r>
      <w:r>
        <w:rPr>
          <w:spacing w:val="-18"/>
          <w:w w:val="110"/>
        </w:rPr>
        <w:t> </w:t>
      </w:r>
      <w:r>
        <w:rPr>
          <w:w w:val="110"/>
        </w:rPr>
        <w:t>of</w:t>
      </w:r>
      <w:r>
        <w:rPr>
          <w:spacing w:val="-9"/>
          <w:w w:val="110"/>
        </w:rPr>
        <w:t> </w:t>
      </w:r>
      <w:r>
        <w:rPr>
          <w:w w:val="110"/>
        </w:rPr>
        <w:t>ea.ch</w:t>
      </w:r>
      <w:r>
        <w:rPr>
          <w:spacing w:val="-20"/>
          <w:w w:val="110"/>
        </w:rPr>
        <w:t> </w:t>
      </w:r>
      <w:r>
        <w:rPr>
          <w:w w:val="110"/>
        </w:rPr>
        <w:t>year </w:t>
      </w:r>
      <w:r>
        <w:rPr>
          <w:w w:val="117"/>
        </w:rPr>
        <w:t>as </w:t>
      </w:r>
      <w:r>
        <w:rPr>
          <w:w w:val="102"/>
        </w:rPr>
        <w:t>long </w:t>
      </w:r>
      <w:r>
        <w:rPr>
          <w:w w:val="110"/>
        </w:rPr>
        <w:t>as </w:t>
      </w:r>
      <w:r>
        <w:rPr>
          <w:spacing w:val="-6"/>
          <w:w w:val="144"/>
        </w:rPr>
        <w:t>(x</w:t>
      </w:r>
      <w:r>
        <w:rPr>
          <w:rFonts w:ascii="Arial" w:hAnsi="Arial"/>
          <w:spacing w:val="-6"/>
          <w:w w:val="144"/>
          <w:position w:val="-2"/>
          <w:sz w:val="13"/>
        </w:rPr>
        <w:t>1</w:t>
      </w:r>
      <w:r>
        <w:rPr>
          <w:rFonts w:ascii="Arial" w:hAnsi="Arial"/>
          <w:spacing w:val="-6"/>
          <w:w w:val="144"/>
          <w:sz w:val="13"/>
        </w:rPr>
        <w:t>),</w:t>
      </w:r>
      <w:r>
        <w:rPr>
          <w:rFonts w:ascii="Arial" w:hAnsi="Arial"/>
          <w:w w:val="144"/>
          <w:sz w:val="13"/>
        </w:rPr>
        <w:t> </w:t>
      </w:r>
      <w:r>
        <w:rPr>
          <w:spacing w:val="-9"/>
          <w:w w:val="149"/>
        </w:rPr>
        <w:t>(x</w:t>
      </w:r>
      <w:r>
        <w:rPr>
          <w:rFonts w:ascii="Arial" w:hAnsi="Arial"/>
          <w:spacing w:val="-9"/>
          <w:w w:val="149"/>
          <w:position w:val="-2"/>
          <w:sz w:val="13"/>
        </w:rPr>
        <w:t>1</w:t>
      </w:r>
      <w:r>
        <w:rPr>
          <w:rFonts w:ascii="Arial" w:hAnsi="Arial"/>
          <w:spacing w:val="-9"/>
          <w:w w:val="149"/>
          <w:sz w:val="13"/>
        </w:rPr>
        <w:t>),</w:t>
      </w:r>
      <w:r>
        <w:rPr>
          <w:rFonts w:ascii="Arial" w:hAnsi="Arial"/>
          <w:w w:val="149"/>
          <w:sz w:val="13"/>
        </w:rPr>
        <w:t> </w:t>
      </w:r>
      <w:r>
        <w:rPr>
          <w:rFonts w:ascii="Arial" w:hAnsi="Arial"/>
          <w:spacing w:val="2"/>
          <w:w w:val="179"/>
          <w:sz w:val="13"/>
        </w:rPr>
        <w:t>··•</w:t>
      </w:r>
      <w:r>
        <w:rPr>
          <w:rFonts w:ascii="Arial" w:hAnsi="Arial"/>
          <w:w w:val="179"/>
          <w:sz w:val="13"/>
        </w:rPr>
        <w:t> </w:t>
      </w:r>
      <w:r>
        <w:rPr>
          <w:rFonts w:ascii="Arial" w:hAnsi="Arial"/>
          <w:w w:val="258"/>
          <w:sz w:val="13"/>
        </w:rPr>
        <w:t>, </w:t>
      </w:r>
      <w:r>
        <w:rPr>
          <w:w w:val="93"/>
        </w:rPr>
        <w:t>(x,,.) </w:t>
      </w:r>
      <w:r>
        <w:rPr>
          <w:w w:val="111"/>
        </w:rPr>
        <w:t>are </w:t>
      </w:r>
      <w:r>
        <w:rPr>
          <w:w w:val="108"/>
        </w:rPr>
        <w:t>ali </w:t>
      </w:r>
      <w:r>
        <w:rPr>
          <w:w w:val="105"/>
        </w:rPr>
        <w:t>surviving, </w:t>
      </w:r>
      <w:r>
        <w:rPr>
          <w:w w:val="119"/>
        </w:rPr>
        <w:t>that </w:t>
      </w:r>
      <w:r>
        <w:rPr>
          <w:w w:val="100"/>
        </w:rPr>
        <w:t>is, </w:t>
      </w:r>
      <w:r>
        <w:rPr>
          <w:w w:val="110"/>
        </w:rPr>
        <w:t>as </w:t>
      </w:r>
      <w:r>
        <w:rPr>
          <w:b/>
          <w:w w:val="101"/>
        </w:rPr>
        <w:t>long </w:t>
      </w:r>
      <w:r>
        <w:rPr>
          <w:w w:val="117"/>
        </w:rPr>
        <w:t>as </w:t>
      </w:r>
      <w:r>
        <w:rPr>
          <w:w w:val="111"/>
        </w:rPr>
        <w:t>the </w:t>
      </w:r>
      <w:r>
        <w:rPr>
          <w:w w:val="114"/>
        </w:rPr>
        <w:t>status </w:t>
      </w:r>
      <w:r>
        <w:rPr>
          <w:rFonts w:ascii="Arial" w:hAnsi="Arial"/>
          <w:i/>
          <w:w w:val="82"/>
          <w:sz w:val="19"/>
        </w:rPr>
        <w:t>(x1xs </w:t>
      </w:r>
      <w:r>
        <w:rPr>
          <w:rFonts w:ascii="Arial" w:hAnsi="Arial"/>
          <w:spacing w:val="2"/>
          <w:w w:val="149"/>
          <w:sz w:val="19"/>
        </w:rPr>
        <w:t>···</w:t>
      </w:r>
      <w:r>
        <w:rPr>
          <w:rFonts w:ascii="Arial" w:hAnsi="Arial"/>
          <w:w w:val="149"/>
          <w:sz w:val="19"/>
        </w:rPr>
        <w:t> </w:t>
      </w:r>
      <w:r>
        <w:rPr>
          <w:rFonts w:ascii="Arial" w:hAnsi="Arial"/>
          <w:i/>
          <w:spacing w:val="13"/>
          <w:w w:val="152"/>
          <w:sz w:val="19"/>
        </w:rPr>
        <w:t>x)</w:t>
      </w:r>
      <w:r>
        <w:rPr>
          <w:rFonts w:ascii="Arial" w:hAnsi="Arial"/>
          <w:i/>
          <w:w w:val="152"/>
          <w:sz w:val="19"/>
        </w:rPr>
        <w:t> </w:t>
      </w:r>
      <w:r>
        <w:rPr>
          <w:w w:val="106"/>
        </w:rPr>
        <w:t>survives. </w:t>
      </w:r>
      <w:r>
        <w:rPr>
          <w:w w:val="110"/>
        </w:rPr>
        <w:t>The </w:t>
      </w:r>
      <w:r>
        <w:rPr>
          <w:w w:val="106"/>
        </w:rPr>
        <w:t>present </w:t>
      </w:r>
      <w:r>
        <w:rPr>
          <w:w w:val="108"/>
        </w:rPr>
        <w:t>value </w:t>
      </w:r>
      <w:r>
        <w:rPr>
          <w:w w:val="89"/>
        </w:rPr>
        <w:t>of </w:t>
      </w:r>
      <w:r>
        <w:rPr>
          <w:w w:val="112"/>
        </w:rPr>
        <w:t>this </w:t>
      </w:r>
      <w:r>
        <w:rPr>
          <w:w w:val="110"/>
        </w:rPr>
        <w:t>benefit</w:t>
      </w:r>
      <w:r>
        <w:rPr>
          <w:spacing w:val="-23"/>
          <w:w w:val="110"/>
        </w:rPr>
        <w:t> </w:t>
      </w:r>
      <w:r>
        <w:rPr>
          <w:w w:val="110"/>
          <w:sz w:val="19"/>
        </w:rPr>
        <w:t>is</w:t>
      </w:r>
      <w:r>
        <w:rPr>
          <w:spacing w:val="-30"/>
          <w:w w:val="110"/>
          <w:sz w:val="19"/>
        </w:rPr>
        <w:t> </w:t>
      </w:r>
      <w:r>
        <w:rPr>
          <w:w w:val="110"/>
        </w:rPr>
        <w:t>denoted</w:t>
      </w:r>
      <w:r>
        <w:rPr>
          <w:spacing w:val="-25"/>
          <w:w w:val="110"/>
        </w:rPr>
        <w:t> </w:t>
      </w:r>
      <w:r>
        <w:rPr>
          <w:w w:val="110"/>
        </w:rPr>
        <w:t>by</w:t>
      </w:r>
      <w:r>
        <w:rPr>
          <w:spacing w:val="-25"/>
          <w:w w:val="110"/>
        </w:rPr>
        <w:t> </w:t>
      </w:r>
      <w:r>
        <w:rPr>
          <w:spacing w:val="-12"/>
          <w:w w:val="160"/>
        </w:rPr>
        <w:t>a.</w:t>
      </w:r>
      <w:r>
        <w:rPr>
          <w:spacing w:val="-12"/>
          <w:w w:val="160"/>
          <w:position w:val="-3"/>
          <w:sz w:val="11"/>
        </w:rPr>
        <w:t>1</w:t>
      </w:r>
      <w:r>
        <w:rPr>
          <w:spacing w:val="-12"/>
          <w:w w:val="160"/>
          <w:sz w:val="11"/>
        </w:rPr>
        <w:t>•</w:t>
      </w:r>
      <w:r>
        <w:rPr>
          <w:spacing w:val="-12"/>
          <w:w w:val="160"/>
          <w:position w:val="-4"/>
          <w:sz w:val="11"/>
        </w:rPr>
        <w:t>1</w:t>
      </w:r>
      <w:r>
        <w:rPr>
          <w:spacing w:val="-12"/>
          <w:w w:val="160"/>
          <w:sz w:val="11"/>
        </w:rPr>
        <w:t>••</w:t>
      </w:r>
      <w:r>
        <w:rPr>
          <w:spacing w:val="-37"/>
          <w:w w:val="160"/>
          <w:sz w:val="11"/>
        </w:rPr>
        <w:t> </w:t>
      </w:r>
      <w:r>
        <w:rPr/>
        <w:t>·z,..:</w:t>
      </w:r>
    </w:p>
    <w:p>
      <w:pPr>
        <w:spacing w:line="196" w:lineRule="exact" w:before="0"/>
        <w:ind w:left="16" w:right="0" w:firstLine="0"/>
        <w:jc w:val="center"/>
        <w:rPr>
          <w:rFonts w:ascii="Arial" w:hAnsi="Arial"/>
          <w:sz w:val="27"/>
        </w:rPr>
      </w:pPr>
      <w:r>
        <w:rPr>
          <w:rFonts w:ascii="Arial" w:hAnsi="Arial"/>
          <w:w w:val="153"/>
          <w:sz w:val="27"/>
        </w:rPr>
        <w:t>•</w:t>
      </w:r>
    </w:p>
    <w:p>
      <w:pPr>
        <w:spacing w:line="390" w:lineRule="exact" w:before="0"/>
        <w:ind w:left="293" w:right="273" w:firstLine="0"/>
        <w:jc w:val="center"/>
        <w:rPr>
          <w:sz w:val="20"/>
        </w:rPr>
      </w:pPr>
      <w:r>
        <w:rPr>
          <w:w w:val="140"/>
          <w:sz w:val="20"/>
        </w:rPr>
        <w:t>ª</w:t>
      </w:r>
      <w:r>
        <w:rPr>
          <w:spacing w:val="-4"/>
          <w:w w:val="140"/>
          <w:sz w:val="20"/>
        </w:rPr>
        <w:t>•</w:t>
      </w:r>
      <w:r>
        <w:rPr>
          <w:w w:val="74"/>
          <w:sz w:val="20"/>
        </w:rPr>
        <w:t>1s</w:t>
      </w:r>
      <w:r>
        <w:rPr>
          <w:spacing w:val="-11"/>
          <w:w w:val="74"/>
          <w:sz w:val="20"/>
        </w:rPr>
        <w:t>1</w:t>
      </w:r>
      <w:r>
        <w:rPr>
          <w:w w:val="119"/>
          <w:sz w:val="20"/>
        </w:rPr>
        <w:t>.</w:t>
      </w:r>
      <w:r>
        <w:rPr>
          <w:spacing w:val="-8"/>
          <w:w w:val="119"/>
          <w:sz w:val="20"/>
        </w:rPr>
        <w:t>.</w:t>
      </w:r>
      <w:r>
        <w:rPr>
          <w:w w:val="101"/>
          <w:sz w:val="20"/>
        </w:rPr>
        <w:t>·</w:t>
      </w:r>
      <w:r>
        <w:rPr>
          <w:w w:val="101"/>
          <w:sz w:val="20"/>
        </w:rPr>
        <w:t>•</w:t>
      </w:r>
      <w:r>
        <w:rPr>
          <w:sz w:val="20"/>
        </w:rPr>
        <w:t>  </w:t>
      </w:r>
      <w:r>
        <w:rPr>
          <w:spacing w:val="16"/>
          <w:sz w:val="20"/>
        </w:rPr>
        <w:t> </w:t>
      </w:r>
      <w:r>
        <w:rPr>
          <w:w w:val="82"/>
          <w:sz w:val="29"/>
        </w:rPr>
        <w:t>=</w:t>
      </w:r>
      <w:r>
        <w:rPr>
          <w:spacing w:val="33"/>
          <w:sz w:val="29"/>
        </w:rPr>
        <w:t> </w:t>
      </w:r>
      <w:r>
        <w:rPr>
          <w:i/>
          <w:spacing w:val="-230"/>
          <w:w w:val="111"/>
          <w:sz w:val="34"/>
        </w:rPr>
        <w:t>L</w:t>
      </w:r>
      <w:r>
        <w:rPr>
          <w:rFonts w:ascii="Arial" w:hAnsi="Arial"/>
          <w:b/>
          <w:spacing w:val="-23"/>
          <w:w w:val="100"/>
          <w:position w:val="-9"/>
          <w:sz w:val="26"/>
        </w:rPr>
        <w:t>,</w:t>
      </w:r>
      <w:r>
        <w:rPr>
          <w:rFonts w:ascii="Arial" w:hAnsi="Arial"/>
          <w:b/>
          <w:w w:val="88"/>
          <w:position w:val="-9"/>
          <w:sz w:val="26"/>
        </w:rPr>
        <w:t>-1</w:t>
      </w:r>
      <w:r>
        <w:rPr>
          <w:rFonts w:ascii="Arial" w:hAnsi="Arial"/>
          <w:b/>
          <w:spacing w:val="-41"/>
          <w:position w:val="-9"/>
          <w:sz w:val="26"/>
        </w:rPr>
        <w:t> </w:t>
      </w:r>
      <w:r>
        <w:rPr>
          <w:w w:val="116"/>
          <w:sz w:val="20"/>
        </w:rPr>
        <w:t>v</w:t>
      </w:r>
      <w:r>
        <w:rPr>
          <w:w w:val="115"/>
          <w:sz w:val="20"/>
        </w:rPr>
        <w:t>\</w:t>
      </w:r>
      <w:r>
        <w:rPr>
          <w:spacing w:val="-2"/>
          <w:w w:val="116"/>
          <w:sz w:val="20"/>
        </w:rPr>
        <w:t>p</w:t>
      </w:r>
      <w:r>
        <w:rPr>
          <w:w w:val="83"/>
          <w:sz w:val="20"/>
        </w:rPr>
        <w:t>.</w:t>
      </w:r>
      <w:r>
        <w:rPr>
          <w:spacing w:val="-8"/>
          <w:w w:val="83"/>
          <w:sz w:val="20"/>
        </w:rPr>
        <w:t>.</w:t>
      </w:r>
      <w:r>
        <w:rPr>
          <w:w w:val="100"/>
          <w:sz w:val="20"/>
        </w:rPr>
        <w:t>1ª</w:t>
      </w:r>
      <w:r>
        <w:rPr>
          <w:spacing w:val="-10"/>
          <w:w w:val="100"/>
          <w:sz w:val="20"/>
        </w:rPr>
        <w:t>,</w:t>
      </w:r>
      <w:r>
        <w:rPr>
          <w:w w:val="113"/>
          <w:sz w:val="20"/>
        </w:rPr>
        <w:t>..</w:t>
      </w:r>
      <w:r>
        <w:rPr>
          <w:spacing w:val="-49"/>
          <w:w w:val="113"/>
          <w:sz w:val="20"/>
        </w:rPr>
        <w:t>.</w:t>
      </w:r>
      <w:r>
        <w:rPr>
          <w:spacing w:val="-175"/>
          <w:w w:val="448"/>
          <w:sz w:val="20"/>
        </w:rPr>
        <w:t>.</w:t>
      </w:r>
      <w:r>
        <w:rPr>
          <w:w w:val="148"/>
          <w:sz w:val="20"/>
        </w:rPr>
        <w:t>.</w:t>
      </w:r>
    </w:p>
    <w:p>
      <w:pPr>
        <w:pStyle w:val="BodyText"/>
        <w:spacing w:line="242" w:lineRule="auto" w:before="86"/>
        <w:ind w:left="123" w:right="117" w:firstLine="201"/>
        <w:jc w:val="both"/>
      </w:pPr>
      <w:r>
        <w:rPr>
          <w:w w:val="110"/>
          <w:sz w:val="22"/>
        </w:rPr>
        <w:t>The </w:t>
      </w:r>
      <w:r>
        <w:rPr>
          <w:w w:val="110"/>
        </w:rPr>
        <w:t>joint-life insurancc, with present value </w:t>
      </w:r>
      <w:r>
        <w:rPr>
          <w:w w:val="110"/>
          <w:sz w:val="22"/>
        </w:rPr>
        <w:t>A.</w:t>
      </w:r>
      <w:r>
        <w:rPr>
          <w:w w:val="110"/>
          <w:position w:val="-4"/>
          <w:sz w:val="11"/>
        </w:rPr>
        <w:t>1 </w:t>
      </w:r>
      <w:r>
        <w:rPr>
          <w:spacing w:val="-3"/>
          <w:w w:val="220"/>
          <w:sz w:val="11"/>
        </w:rPr>
        <w:t>,.... </w:t>
      </w:r>
      <w:r>
        <w:rPr>
          <w:w w:val="220"/>
          <w:sz w:val="11"/>
        </w:rPr>
        <w:t>, </w:t>
      </w:r>
      <w:r>
        <w:rPr>
          <w:w w:val="110"/>
        </w:rPr>
        <w:t>provides</w:t>
      </w:r>
      <w:r>
        <w:rPr>
          <w:spacing w:val="-27"/>
          <w:w w:val="110"/>
        </w:rPr>
        <w:t> </w:t>
      </w:r>
      <w:r>
        <w:rPr>
          <w:rFonts w:ascii="Arial" w:hAnsi="Arial"/>
          <w:w w:val="110"/>
          <w:sz w:val="18"/>
        </w:rPr>
        <w:t>a </w:t>
      </w:r>
      <w:r>
        <w:rPr>
          <w:w w:val="110"/>
        </w:rPr>
        <w:t>payment</w:t>
      </w:r>
      <w:r>
        <w:rPr>
          <w:spacing w:val="6"/>
          <w:w w:val="110"/>
        </w:rPr>
        <w:t> </w:t>
      </w:r>
      <w:r>
        <w:rPr/>
        <w:t>of</w:t>
      </w:r>
      <w:r>
        <w:rPr>
          <w:spacing w:val="14"/>
        </w:rPr>
        <w:t> </w:t>
      </w:r>
      <w:r>
        <w:rPr>
          <w:spacing w:val="2"/>
          <w:w w:val="110"/>
        </w:rPr>
        <w:t>1at</w:t>
      </w:r>
      <w:r>
        <w:rPr>
          <w:spacing w:val="-13"/>
          <w:w w:val="110"/>
        </w:rPr>
        <w:t> </w:t>
      </w:r>
      <w:r>
        <w:rPr>
          <w:w w:val="110"/>
        </w:rPr>
        <w:t>the</w:t>
      </w:r>
      <w:r>
        <w:rPr>
          <w:spacing w:val="-12"/>
          <w:w w:val="110"/>
        </w:rPr>
        <w:t> </w:t>
      </w:r>
      <w:r>
        <w:rPr>
          <w:w w:val="110"/>
        </w:rPr>
        <w:t>end</w:t>
      </w:r>
      <w:r>
        <w:rPr>
          <w:spacing w:val="-12"/>
          <w:w w:val="110"/>
        </w:rPr>
        <w:t> </w:t>
      </w:r>
      <w:r>
        <w:rPr/>
        <w:t>of</w:t>
      </w:r>
      <w:r>
        <w:rPr>
          <w:spacing w:val="4"/>
        </w:rPr>
        <w:t> </w:t>
      </w:r>
      <w:r>
        <w:rPr>
          <w:w w:val="110"/>
        </w:rPr>
        <w:t>the</w:t>
      </w:r>
      <w:r>
        <w:rPr>
          <w:spacing w:val="-24"/>
          <w:w w:val="110"/>
        </w:rPr>
        <w:t> </w:t>
      </w:r>
      <w:r>
        <w:rPr>
          <w:w w:val="110"/>
        </w:rPr>
        <w:t>year</w:t>
      </w:r>
      <w:r>
        <w:rPr>
          <w:spacing w:val="-9"/>
          <w:w w:val="110"/>
        </w:rPr>
        <w:t> </w:t>
      </w:r>
      <w:r>
        <w:rPr>
          <w:w w:val="110"/>
        </w:rPr>
        <w:t>in</w:t>
      </w:r>
      <w:r>
        <w:rPr>
          <w:spacing w:val="-15"/>
          <w:w w:val="110"/>
        </w:rPr>
        <w:t> </w:t>
      </w:r>
      <w:r>
        <w:rPr>
          <w:w w:val="110"/>
        </w:rPr>
        <w:t>which</w:t>
      </w:r>
      <w:r>
        <w:rPr>
          <w:spacing w:val="-1"/>
          <w:w w:val="110"/>
        </w:rPr>
        <w:t> </w:t>
      </w:r>
      <w:r>
        <w:rPr>
          <w:w w:val="110"/>
        </w:rPr>
        <w:t>the</w:t>
      </w:r>
      <w:r>
        <w:rPr>
          <w:spacing w:val="-19"/>
          <w:w w:val="110"/>
        </w:rPr>
        <w:t> </w:t>
      </w:r>
      <w:r>
        <w:rPr>
          <w:w w:val="110"/>
        </w:rPr>
        <w:t>status</w:t>
      </w:r>
      <w:r>
        <w:rPr>
          <w:spacing w:val="2"/>
          <w:w w:val="110"/>
        </w:rPr>
        <w:t> </w:t>
      </w:r>
      <w:r>
        <w:rPr/>
        <w:t>(x1x2</w:t>
      </w:r>
      <w:r>
        <w:rPr>
          <w:spacing w:val="19"/>
        </w:rPr>
        <w:t> </w:t>
      </w:r>
      <w:r>
        <w:rPr>
          <w:w w:val="130"/>
        </w:rPr>
        <w:t>···</w:t>
      </w:r>
      <w:r>
        <w:rPr>
          <w:spacing w:val="-35"/>
          <w:w w:val="130"/>
        </w:rPr>
        <w:t> </w:t>
      </w:r>
      <w:r>
        <w:rPr>
          <w:w w:val="130"/>
        </w:rPr>
        <w:t>x.) </w:t>
      </w:r>
      <w:r>
        <w:rPr>
          <w:w w:val="110"/>
        </w:rPr>
        <w:t>fails:</w:t>
      </w:r>
    </w:p>
    <w:p>
      <w:pPr>
        <w:spacing w:line="202" w:lineRule="exact" w:before="21"/>
        <w:ind w:left="0" w:right="111" w:firstLine="0"/>
        <w:jc w:val="center"/>
        <w:rPr>
          <w:rFonts w:ascii="Arial" w:hAnsi="Arial"/>
          <w:sz w:val="24"/>
        </w:rPr>
      </w:pPr>
      <w:r>
        <w:rPr>
          <w:rFonts w:ascii="Arial" w:hAnsi="Arial"/>
          <w:w w:val="154"/>
          <w:sz w:val="24"/>
        </w:rPr>
        <w:t>•</w:t>
      </w:r>
    </w:p>
    <w:p>
      <w:pPr>
        <w:spacing w:line="235" w:lineRule="exact" w:before="0"/>
        <w:ind w:left="293" w:right="266" w:firstLine="0"/>
        <w:jc w:val="center"/>
        <w:rPr>
          <w:sz w:val="15"/>
        </w:rPr>
      </w:pPr>
      <w:r>
        <w:rPr>
          <w:b/>
          <w:w w:val="120"/>
          <w:sz w:val="15"/>
        </w:rPr>
        <w:t>Ás1SS" ·s,..  </w:t>
      </w:r>
      <w:r>
        <w:rPr>
          <w:w w:val="120"/>
          <w:sz w:val="24"/>
        </w:rPr>
        <w:t>= </w:t>
      </w:r>
      <w:r>
        <w:rPr>
          <w:rFonts w:ascii="Arial" w:hAnsi="Arial"/>
          <w:b/>
          <w:i/>
          <w:w w:val="120"/>
          <w:sz w:val="31"/>
        </w:rPr>
        <w:t>E </w:t>
      </w:r>
      <w:r>
        <w:rPr>
          <w:w w:val="120"/>
          <w:sz w:val="13"/>
        </w:rPr>
        <w:t>VHl </w:t>
      </w:r>
      <w:r>
        <w:rPr>
          <w:b/>
          <w:w w:val="120"/>
          <w:sz w:val="15"/>
        </w:rPr>
        <w:t>,¡qsl....</w:t>
      </w:r>
      <w:r>
        <w:rPr>
          <w:w w:val="120"/>
          <w:sz w:val="15"/>
        </w:rPr>
        <w:t>..._ </w:t>
      </w:r>
      <w:r>
        <w:rPr>
          <w:w w:val="160"/>
          <w:sz w:val="15"/>
        </w:rPr>
        <w:t>'</w:t>
      </w:r>
    </w:p>
    <w:p>
      <w:pPr>
        <w:spacing w:line="148" w:lineRule="exact" w:before="0"/>
        <w:ind w:left="293" w:right="401" w:firstLine="0"/>
        <w:jc w:val="center"/>
        <w:rPr>
          <w:b/>
          <w:sz w:val="17"/>
        </w:rPr>
      </w:pPr>
      <w:r>
        <w:rPr>
          <w:b/>
          <w:w w:val="105"/>
          <w:sz w:val="17"/>
        </w:rPr>
        <w:t>e-e</w:t>
      </w:r>
    </w:p>
    <w:p>
      <w:pPr>
        <w:pStyle w:val="BodyText"/>
        <w:spacing w:before="104"/>
        <w:ind w:left="130" w:right="119" w:firstLine="201"/>
        <w:jc w:val="both"/>
      </w:pPr>
      <w:r>
        <w:rPr/>
        <w:drawing>
          <wp:anchor distT="0" distB="0" distL="0" distR="0" allowOverlap="1" layoutInCell="1" locked="0" behindDoc="0" simplePos="0" relativeHeight="15520">
            <wp:simplePos x="0" y="0"/>
            <wp:positionH relativeFrom="page">
              <wp:posOffset>1627632</wp:posOffset>
            </wp:positionH>
            <wp:positionV relativeFrom="paragraph">
              <wp:posOffset>611744</wp:posOffset>
            </wp:positionV>
            <wp:extent cx="1060704" cy="676656"/>
            <wp:effectExtent l="0" t="0" r="0" b="0"/>
            <wp:wrapTopAndBottom/>
            <wp:docPr id="389" name="image200.png" descr=""/>
            <wp:cNvGraphicFramePr>
              <a:graphicFrameLocks noChangeAspect="1"/>
            </wp:cNvGraphicFramePr>
            <a:graphic>
              <a:graphicData uri="http://schemas.openxmlformats.org/drawingml/2006/picture">
                <pic:pic>
                  <pic:nvPicPr>
                    <pic:cNvPr id="390" name="image200.png"/>
                    <pic:cNvPicPr/>
                  </pic:nvPicPr>
                  <pic:blipFill>
                    <a:blip r:embed="rId204" cstate="print"/>
                    <a:stretch>
                      <a:fillRect/>
                    </a:stretch>
                  </pic:blipFill>
                  <pic:spPr>
                    <a:xfrm>
                      <a:off x="0" y="0"/>
                      <a:ext cx="1060704" cy="676656"/>
                    </a:xfrm>
                    <a:prstGeom prst="rect">
                      <a:avLst/>
                    </a:prstGeom>
                  </pic:spPr>
                </pic:pic>
              </a:graphicData>
            </a:graphic>
          </wp:anchor>
        </w:drawing>
      </w:r>
      <w:r>
        <w:rPr>
          <w:w w:val="105"/>
        </w:rPr>
        <w:t>Other joint-life functions me.y be fonnulated </w:t>
      </w:r>
      <w:r>
        <w:rPr>
          <w:rFonts w:ascii="Arial" w:hAnsi="Arial"/>
          <w:w w:val="105"/>
          <w:sz w:val="21"/>
        </w:rPr>
        <w:t>by </w:t>
      </w:r>
      <w:r>
        <w:rPr>
          <w:w w:val="105"/>
        </w:rPr>
        <w:t>replacing the </w:t>
      </w:r>
      <w:r>
        <w:rPr>
          <w:w w:val="105"/>
          <w:sz w:val="19"/>
        </w:rPr>
        <w:t>single-lüe </w:t>
      </w:r>
      <w:r>
        <w:rPr>
          <w:w w:val="105"/>
        </w:rPr>
        <w:t>probabilities </w:t>
      </w:r>
      <w:r>
        <w:rPr>
          <w:w w:val="105"/>
          <w:sz w:val="21"/>
        </w:rPr>
        <w:t>in </w:t>
      </w:r>
      <w:r>
        <w:rPr>
          <w:w w:val="105"/>
        </w:rPr>
        <w:t>the  corresponding  single-life  functions </w:t>
      </w:r>
      <w:r>
        <w:rPr>
          <w:w w:val="105"/>
          <w:sz w:val="21"/>
        </w:rPr>
        <w:t>by  </w:t>
      </w:r>
      <w:r>
        <w:rPr>
          <w:w w:val="105"/>
        </w:rPr>
        <w:t>the appropriate joint-life  probabilities.  For example,</w:t>
      </w:r>
    </w:p>
    <w:p>
      <w:pPr>
        <w:spacing w:after="0"/>
        <w:jc w:val="both"/>
        <w:sectPr>
          <w:pgSz w:w="7200" w:h="11340"/>
          <w:pgMar w:top="500" w:bottom="280" w:left="640" w:right="540"/>
        </w:sectPr>
      </w:pPr>
    </w:p>
    <w:p>
      <w:pPr>
        <w:tabs>
          <w:tab w:pos="1499" w:val="left" w:leader="none"/>
          <w:tab w:pos="5861" w:val="right" w:leader="none"/>
        </w:tabs>
        <w:spacing w:before="64"/>
        <w:ind w:left="126" w:right="0" w:firstLine="0"/>
        <w:jc w:val="left"/>
        <w:rPr>
          <w:sz w:val="20"/>
        </w:rPr>
      </w:pPr>
      <w:r>
        <w:rPr>
          <w:color w:val="010101"/>
          <w:w w:val="105"/>
          <w:position w:val="1"/>
          <w:sz w:val="15"/>
        </w:rPr>
        <w:t>SEC. </w:t>
      </w:r>
      <w:r>
        <w:rPr>
          <w:color w:val="010101"/>
          <w:spacing w:val="25"/>
          <w:w w:val="105"/>
          <w:position w:val="1"/>
          <w:sz w:val="15"/>
        </w:rPr>
        <w:t> </w:t>
      </w:r>
      <w:r>
        <w:rPr>
          <w:rFonts w:ascii="Arial"/>
          <w:color w:val="010101"/>
          <w:w w:val="105"/>
          <w:position w:val="1"/>
          <w:sz w:val="18"/>
        </w:rPr>
        <w:t>3]</w:t>
        <w:tab/>
      </w:r>
      <w:r>
        <w:rPr>
          <w:b/>
          <w:color w:val="010101"/>
          <w:w w:val="105"/>
          <w:position w:val="1"/>
          <w:sz w:val="15"/>
        </w:rPr>
        <w:t>JOINT-LIFE </w:t>
      </w:r>
      <w:r>
        <w:rPr>
          <w:b/>
          <w:color w:val="010101"/>
          <w:spacing w:val="25"/>
          <w:w w:val="105"/>
          <w:position w:val="1"/>
          <w:sz w:val="15"/>
        </w:rPr>
        <w:t> </w:t>
      </w:r>
      <w:r>
        <w:rPr>
          <w:b/>
          <w:color w:val="010101"/>
          <w:w w:val="105"/>
          <w:position w:val="1"/>
          <w:sz w:val="15"/>
        </w:rPr>
        <w:t>MORTALITY   </w:t>
      </w:r>
      <w:r>
        <w:rPr>
          <w:rFonts w:ascii="Arial"/>
          <w:color w:val="010101"/>
          <w:w w:val="105"/>
          <w:position w:val="1"/>
          <w:sz w:val="14"/>
        </w:rPr>
        <w:t>FUNCTIONS</w:t>
      </w:r>
      <w:r>
        <w:rPr>
          <w:color w:val="010101"/>
          <w:w w:val="105"/>
          <w:sz w:val="20"/>
        </w:rPr>
        <w:tab/>
        <w:t>193</w:t>
      </w:r>
    </w:p>
    <w:p>
      <w:pPr>
        <w:pStyle w:val="BodyText"/>
        <w:spacing w:before="9"/>
        <w:rPr>
          <w:sz w:val="19"/>
        </w:rPr>
      </w:pPr>
    </w:p>
    <w:p>
      <w:pPr>
        <w:spacing w:before="1"/>
        <w:ind w:left="87" w:right="87" w:firstLine="0"/>
        <w:jc w:val="center"/>
        <w:rPr>
          <w:sz w:val="17"/>
        </w:rPr>
      </w:pPr>
      <w:r>
        <w:rPr/>
        <w:pict>
          <v:shape style="position:absolute;margin-left:164.3517pt;margin-top:-2.782671pt;width:6.5pt;height:12pt;mso-position-horizontal-relative:page;mso-position-vertical-relative:paragraph;z-index:-720424" type="#_x0000_t202" filled="false" stroked="false">
            <v:textbox inset="0,0,0,0">
              <w:txbxContent>
                <w:p>
                  <w:pPr>
                    <w:spacing w:line="240" w:lineRule="exact" w:before="0"/>
                    <w:ind w:left="0" w:right="0" w:firstLine="0"/>
                    <w:jc w:val="left"/>
                    <w:rPr>
                      <w:rFonts w:ascii="Arial" w:hAnsi="Arial"/>
                      <w:sz w:val="24"/>
                    </w:rPr>
                  </w:pPr>
                  <w:r>
                    <w:rPr>
                      <w:rFonts w:ascii="Arial" w:hAnsi="Arial"/>
                      <w:color w:val="010101"/>
                      <w:w w:val="153"/>
                      <w:sz w:val="24"/>
                    </w:rPr>
                    <w:t>•</w:t>
                  </w:r>
                </w:p>
              </w:txbxContent>
            </v:textbox>
            <w10:wrap type="none"/>
          </v:shape>
        </w:pict>
      </w:r>
      <w:r>
        <w:rPr>
          <w:rFonts w:ascii="Arial" w:hAnsi="Arial"/>
          <w:i/>
          <w:color w:val="010101"/>
          <w:w w:val="129"/>
          <w:sz w:val="19"/>
        </w:rPr>
        <w:t>(</w:t>
      </w:r>
      <w:r>
        <w:rPr>
          <w:rFonts w:ascii="Arial" w:hAnsi="Arial"/>
          <w:i/>
          <w:color w:val="010101"/>
          <w:spacing w:val="6"/>
          <w:w w:val="129"/>
          <w:sz w:val="19"/>
        </w:rPr>
        <w:t>[</w:t>
      </w:r>
      <w:r>
        <w:rPr>
          <w:rFonts w:ascii="Arial" w:hAnsi="Arial"/>
          <w:b/>
          <w:i/>
          <w:color w:val="010101"/>
          <w:w w:val="104"/>
          <w:sz w:val="19"/>
        </w:rPr>
        <w:t>A</w:t>
      </w:r>
      <w:r>
        <w:rPr>
          <w:rFonts w:ascii="Arial" w:hAnsi="Arial"/>
          <w:b/>
          <w:i/>
          <w:color w:val="010101"/>
          <w:spacing w:val="-18"/>
          <w:sz w:val="19"/>
        </w:rPr>
        <w:t> </w:t>
      </w:r>
      <w:r>
        <w:rPr>
          <w:b/>
          <w:color w:val="010101"/>
          <w:w w:val="75"/>
          <w:sz w:val="20"/>
        </w:rPr>
        <w:t>).-sv6</w:t>
      </w:r>
      <w:r>
        <w:rPr>
          <w:b/>
          <w:color w:val="010101"/>
          <w:sz w:val="20"/>
        </w:rPr>
        <w:t> </w:t>
      </w:r>
      <w:r>
        <w:rPr>
          <w:b/>
          <w:color w:val="010101"/>
          <w:spacing w:val="-4"/>
          <w:sz w:val="20"/>
        </w:rPr>
        <w:t> </w:t>
      </w:r>
      <w:r>
        <w:rPr>
          <w:color w:val="010101"/>
          <w:w w:val="94"/>
          <w:sz w:val="26"/>
        </w:rPr>
        <w:t>=</w:t>
      </w:r>
      <w:r>
        <w:rPr>
          <w:color w:val="010101"/>
          <w:sz w:val="26"/>
        </w:rPr>
        <w:t> </w:t>
      </w:r>
      <w:r>
        <w:rPr>
          <w:color w:val="010101"/>
          <w:spacing w:val="-30"/>
          <w:sz w:val="26"/>
        </w:rPr>
        <w:t> </w:t>
      </w:r>
      <w:r>
        <w:rPr>
          <w:i/>
          <w:color w:val="010101"/>
          <w:spacing w:val="-230"/>
          <w:w w:val="111"/>
          <w:sz w:val="34"/>
        </w:rPr>
        <w:t>L</w:t>
      </w:r>
      <w:r>
        <w:rPr>
          <w:b/>
          <w:color w:val="010101"/>
          <w:w w:val="85"/>
          <w:position w:val="-12"/>
          <w:sz w:val="24"/>
        </w:rPr>
        <w:t>,-o</w:t>
      </w:r>
      <w:r>
        <w:rPr>
          <w:b/>
          <w:color w:val="010101"/>
          <w:position w:val="-12"/>
          <w:sz w:val="24"/>
        </w:rPr>
        <w:t> </w:t>
      </w:r>
      <w:r>
        <w:rPr>
          <w:b/>
          <w:color w:val="010101"/>
          <w:spacing w:val="-22"/>
          <w:position w:val="-12"/>
          <w:sz w:val="24"/>
        </w:rPr>
        <w:t> </w:t>
      </w:r>
      <w:r>
        <w:rPr>
          <w:rFonts w:ascii="Arial" w:hAnsi="Arial"/>
          <w:i/>
          <w:color w:val="010101"/>
          <w:w w:val="106"/>
          <w:sz w:val="19"/>
        </w:rPr>
        <w:t>(</w:t>
      </w:r>
      <w:r>
        <w:rPr>
          <w:rFonts w:ascii="Arial" w:hAnsi="Arial"/>
          <w:i/>
          <w:color w:val="010101"/>
          <w:w w:val="106"/>
          <w:sz w:val="19"/>
        </w:rPr>
        <w:t>t</w:t>
      </w:r>
      <w:r>
        <w:rPr>
          <w:rFonts w:ascii="Arial" w:hAnsi="Arial"/>
          <w:i/>
          <w:color w:val="010101"/>
          <w:sz w:val="19"/>
        </w:rPr>
        <w:t> </w:t>
      </w:r>
      <w:r>
        <w:rPr>
          <w:rFonts w:ascii="Arial" w:hAnsi="Arial"/>
          <w:i/>
          <w:color w:val="010101"/>
          <w:spacing w:val="-26"/>
          <w:sz w:val="19"/>
        </w:rPr>
        <w:t> </w:t>
      </w:r>
      <w:r>
        <w:rPr>
          <w:rFonts w:ascii="Arial" w:hAnsi="Arial"/>
          <w:color w:val="010101"/>
          <w:w w:val="102"/>
          <w:sz w:val="31"/>
        </w:rPr>
        <w:t>+</w:t>
      </w:r>
      <w:r>
        <w:rPr>
          <w:rFonts w:ascii="Arial" w:hAnsi="Arial"/>
          <w:color w:val="010101"/>
          <w:spacing w:val="-12"/>
          <w:sz w:val="31"/>
        </w:rPr>
        <w:t> </w:t>
      </w:r>
      <w:r>
        <w:rPr>
          <w:rFonts w:ascii="Arial" w:hAnsi="Arial"/>
          <w:b/>
          <w:color w:val="010101"/>
          <w:spacing w:val="4"/>
          <w:w w:val="105"/>
          <w:sz w:val="18"/>
        </w:rPr>
        <w:t>1</w:t>
      </w:r>
      <w:r>
        <w:rPr>
          <w:i/>
          <w:color w:val="010101"/>
          <w:w w:val="80"/>
          <w:sz w:val="19"/>
        </w:rPr>
        <w:t>)</w:t>
      </w:r>
      <w:r>
        <w:rPr>
          <w:i/>
          <w:color w:val="010101"/>
          <w:w w:val="80"/>
          <w:sz w:val="19"/>
        </w:rPr>
        <w:t>vt+I</w:t>
      </w:r>
      <w:r>
        <w:rPr>
          <w:i/>
          <w:color w:val="010101"/>
          <w:sz w:val="19"/>
        </w:rPr>
        <w:t> </w:t>
      </w:r>
      <w:r>
        <w:rPr>
          <w:i/>
          <w:color w:val="010101"/>
          <w:spacing w:val="-12"/>
          <w:sz w:val="19"/>
        </w:rPr>
        <w:t> </w:t>
      </w:r>
      <w:r>
        <w:rPr>
          <w:color w:val="010101"/>
          <w:w w:val="58"/>
          <w:sz w:val="19"/>
        </w:rPr>
        <w:t>•</w:t>
      </w:r>
      <w:r>
        <w:rPr>
          <w:color w:val="010101"/>
          <w:spacing w:val="-9"/>
          <w:sz w:val="19"/>
        </w:rPr>
        <w:t> </w:t>
      </w:r>
      <w:r>
        <w:rPr>
          <w:color w:val="010101"/>
          <w:w w:val="71"/>
          <w:sz w:val="17"/>
        </w:rPr>
        <w:t>,</w:t>
      </w:r>
      <w:r>
        <w:rPr>
          <w:color w:val="010101"/>
          <w:spacing w:val="6"/>
          <w:w w:val="71"/>
          <w:sz w:val="17"/>
        </w:rPr>
        <w:t>1</w:t>
      </w:r>
      <w:r>
        <w:rPr>
          <w:color w:val="010101"/>
          <w:w w:val="61"/>
          <w:sz w:val="17"/>
        </w:rPr>
        <w:t>q111zvs</w:t>
      </w:r>
      <w:r>
        <w:rPr>
          <w:color w:val="010101"/>
          <w:sz w:val="17"/>
        </w:rPr>
        <w:t> </w:t>
      </w:r>
      <w:r>
        <w:rPr>
          <w:color w:val="010101"/>
          <w:spacing w:val="-7"/>
          <w:sz w:val="17"/>
        </w:rPr>
        <w:t> </w:t>
      </w:r>
      <w:r>
        <w:rPr>
          <w:color w:val="010101"/>
          <w:w w:val="66"/>
          <w:sz w:val="17"/>
        </w:rPr>
        <w:t>•</w:t>
      </w:r>
    </w:p>
    <w:p>
      <w:pPr>
        <w:spacing w:before="156"/>
        <w:ind w:left="122" w:right="0" w:firstLine="0"/>
        <w:jc w:val="left"/>
        <w:rPr>
          <w:b/>
          <w:sz w:val="19"/>
        </w:rPr>
      </w:pPr>
      <w:r>
        <w:rPr>
          <w:color w:val="010101"/>
          <w:w w:val="120"/>
          <w:sz w:val="20"/>
        </w:rPr>
        <w:t>3. </w:t>
      </w:r>
      <w:r>
        <w:rPr>
          <w:b/>
          <w:color w:val="010101"/>
          <w:w w:val="120"/>
          <w:sz w:val="19"/>
        </w:rPr>
        <w:t>Joint-life  mortality and commutation functions</w:t>
      </w:r>
    </w:p>
    <w:p>
      <w:pPr>
        <w:spacing w:before="23"/>
        <w:ind w:left="33" w:right="192" w:firstLine="0"/>
        <w:jc w:val="center"/>
        <w:rPr>
          <w:sz w:val="20"/>
        </w:rPr>
      </w:pPr>
      <w:r>
        <w:rPr>
          <w:color w:val="010101"/>
          <w:w w:val="109"/>
          <w:sz w:val="20"/>
        </w:rPr>
        <w:t>The</w:t>
      </w:r>
      <w:r>
        <w:rPr>
          <w:color w:val="010101"/>
          <w:spacing w:val="16"/>
          <w:sz w:val="20"/>
        </w:rPr>
        <w:t> </w:t>
      </w:r>
      <w:r>
        <w:rPr>
          <w:color w:val="010101"/>
          <w:w w:val="103"/>
          <w:sz w:val="20"/>
        </w:rPr>
        <w:t>formula</w:t>
      </w:r>
      <w:r>
        <w:rPr>
          <w:color w:val="010101"/>
          <w:spacing w:val="21"/>
          <w:sz w:val="20"/>
        </w:rPr>
        <w:t> </w:t>
      </w:r>
      <w:r>
        <w:rPr>
          <w:i/>
          <w:color w:val="010101"/>
          <w:w w:val="61"/>
          <w:sz w:val="21"/>
        </w:rPr>
        <w:t>11P•</w:t>
      </w:r>
      <w:r>
        <w:rPr>
          <w:i/>
          <w:color w:val="010101"/>
          <w:spacing w:val="14"/>
          <w:sz w:val="21"/>
        </w:rPr>
        <w:t> </w:t>
      </w:r>
      <w:r>
        <w:rPr>
          <w:rFonts w:ascii="Arial" w:hAnsi="Arial"/>
          <w:color w:val="2F2F2F"/>
          <w:spacing w:val="-10"/>
          <w:w w:val="60"/>
          <w:sz w:val="17"/>
        </w:rPr>
        <w:t>·</w:t>
      </w:r>
      <w:r>
        <w:rPr>
          <w:rFonts w:ascii="Arial" w:hAnsi="Arial"/>
          <w:color w:val="010101"/>
          <w:w w:val="162"/>
          <w:sz w:val="17"/>
        </w:rPr>
        <w:t>=</w:t>
      </w:r>
      <w:r>
        <w:rPr>
          <w:rFonts w:ascii="Arial" w:hAnsi="Arial"/>
          <w:color w:val="010101"/>
          <w:sz w:val="17"/>
        </w:rPr>
        <w:t> </w:t>
      </w:r>
      <w:r>
        <w:rPr>
          <w:rFonts w:ascii="Arial" w:hAnsi="Arial"/>
          <w:color w:val="010101"/>
          <w:spacing w:val="-20"/>
          <w:sz w:val="17"/>
        </w:rPr>
        <w:t> </w:t>
      </w:r>
      <w:r>
        <w:rPr>
          <w:rFonts w:ascii="Arial" w:hAnsi="Arial"/>
          <w:i/>
          <w:color w:val="010101"/>
          <w:w w:val="70"/>
          <w:sz w:val="40"/>
        </w:rPr>
        <w:t>ll:-</w:t>
      </w:r>
      <w:r>
        <w:rPr>
          <w:rFonts w:ascii="Arial" w:hAnsi="Arial"/>
          <w:i/>
          <w:color w:val="010101"/>
          <w:spacing w:val="-39"/>
          <w:sz w:val="40"/>
        </w:rPr>
        <w:t> </w:t>
      </w:r>
      <w:r>
        <w:rPr>
          <w:color w:val="010101"/>
          <w:w w:val="109"/>
          <w:sz w:val="20"/>
        </w:rPr>
        <w:t>has</w:t>
      </w:r>
      <w:r>
        <w:rPr>
          <w:color w:val="010101"/>
          <w:spacing w:val="7"/>
          <w:sz w:val="20"/>
        </w:rPr>
        <w:t> </w:t>
      </w:r>
      <w:r>
        <w:rPr>
          <w:color w:val="010101"/>
          <w:w w:val="110"/>
          <w:sz w:val="20"/>
        </w:rPr>
        <w:t>the</w:t>
      </w:r>
      <w:r>
        <w:rPr>
          <w:color w:val="010101"/>
          <w:spacing w:val="11"/>
          <w:sz w:val="20"/>
        </w:rPr>
        <w:t> </w:t>
      </w:r>
      <w:r>
        <w:rPr>
          <w:color w:val="010101"/>
          <w:w w:val="103"/>
          <w:sz w:val="20"/>
        </w:rPr>
        <w:t>formal</w:t>
      </w:r>
      <w:r>
        <w:rPr>
          <w:color w:val="010101"/>
          <w:spacing w:val="7"/>
          <w:sz w:val="20"/>
        </w:rPr>
        <w:t> </w:t>
      </w:r>
      <w:r>
        <w:rPr>
          <w:color w:val="010101"/>
          <w:w w:val="102"/>
          <w:sz w:val="20"/>
        </w:rPr>
        <w:t>joint-life</w:t>
      </w:r>
      <w:r>
        <w:rPr>
          <w:color w:val="010101"/>
          <w:sz w:val="20"/>
        </w:rPr>
        <w:t> </w:t>
      </w:r>
      <w:r>
        <w:rPr>
          <w:color w:val="010101"/>
          <w:spacing w:val="-15"/>
          <w:sz w:val="20"/>
        </w:rPr>
        <w:t> </w:t>
      </w:r>
      <w:r>
        <w:rPr>
          <w:color w:val="010101"/>
          <w:w w:val="109"/>
          <w:sz w:val="20"/>
        </w:rPr>
        <w:t>counterpart</w:t>
      </w:r>
    </w:p>
    <w:p>
      <w:pPr>
        <w:pStyle w:val="BodyText"/>
        <w:spacing w:before="6"/>
        <w:rPr>
          <w:sz w:val="18"/>
        </w:rPr>
      </w:pPr>
    </w:p>
    <w:p>
      <w:pPr>
        <w:spacing w:after="0"/>
        <w:rPr>
          <w:sz w:val="18"/>
        </w:rPr>
        <w:sectPr>
          <w:pgSz w:w="7200" w:h="11340"/>
          <w:pgMar w:top="500" w:bottom="280" w:left="700" w:right="500"/>
        </w:sectPr>
      </w:pPr>
    </w:p>
    <w:p>
      <w:pPr>
        <w:spacing w:line="122" w:lineRule="exact" w:before="107"/>
        <w:ind w:left="1703" w:right="-19" w:firstLine="883"/>
        <w:jc w:val="left"/>
        <w:rPr>
          <w:sz w:val="13"/>
        </w:rPr>
      </w:pPr>
      <w:r>
        <w:rPr>
          <w:color w:val="010101"/>
          <w:w w:val="145"/>
          <w:sz w:val="13"/>
        </w:rPr>
        <w:t>_</w:t>
      </w:r>
      <w:r>
        <w:rPr>
          <w:color w:val="010101"/>
          <w:spacing w:val="-3"/>
          <w:w w:val="145"/>
          <w:sz w:val="13"/>
        </w:rPr>
        <w:t> </w:t>
      </w:r>
      <w:r>
        <w:rPr>
          <w:b/>
          <w:color w:val="010101"/>
          <w:w w:val="120"/>
          <w:sz w:val="13"/>
        </w:rPr>
        <w:t>z.1+w1:z1+a:••</w:t>
      </w:r>
      <w:r>
        <w:rPr>
          <w:b/>
          <w:color w:val="010101"/>
          <w:spacing w:val="-26"/>
          <w:w w:val="120"/>
          <w:sz w:val="13"/>
        </w:rPr>
        <w:t> </w:t>
      </w:r>
      <w:r>
        <w:rPr>
          <w:b/>
          <w:color w:val="010101"/>
          <w:w w:val="145"/>
          <w:sz w:val="13"/>
        </w:rPr>
        <w:t>•:z.+•</w:t>
      </w:r>
      <w:r>
        <w:rPr>
          <w:b/>
          <w:color w:val="010101"/>
          <w:w w:val="149"/>
          <w:sz w:val="13"/>
        </w:rPr>
        <w:t> </w:t>
      </w:r>
      <w:r>
        <w:rPr>
          <w:b/>
          <w:color w:val="010101"/>
          <w:w w:val="120"/>
          <w:sz w:val="13"/>
        </w:rPr>
        <w:t>aPztz1···Za </w:t>
      </w:r>
      <w:r>
        <w:rPr>
          <w:b/>
          <w:color w:val="010101"/>
          <w:spacing w:val="37"/>
          <w:w w:val="120"/>
          <w:sz w:val="13"/>
        </w:rPr>
        <w:t> </w:t>
      </w:r>
      <w:r>
        <w:rPr>
          <w:color w:val="010101"/>
          <w:w w:val="360"/>
          <w:sz w:val="13"/>
        </w:rPr>
        <w:t>-</w:t>
      </w:r>
    </w:p>
    <w:p>
      <w:pPr>
        <w:spacing w:line="175" w:lineRule="exact" w:before="0"/>
        <w:ind w:left="0" w:right="348" w:firstLine="0"/>
        <w:jc w:val="right"/>
        <w:rPr>
          <w:b/>
          <w:sz w:val="19"/>
        </w:rPr>
      </w:pPr>
      <w:r>
        <w:rPr>
          <w:b/>
          <w:color w:val="010101"/>
          <w:w w:val="110"/>
          <w:sz w:val="13"/>
        </w:rPr>
        <w:t>Zz1z1· ..</w:t>
      </w:r>
      <w:r>
        <w:rPr>
          <w:b/>
          <w:color w:val="010101"/>
          <w:w w:val="110"/>
          <w:sz w:val="19"/>
        </w:rPr>
        <w:t>z.</w:t>
      </w:r>
    </w:p>
    <w:p>
      <w:pPr>
        <w:pStyle w:val="BodyText"/>
        <w:spacing w:line="237" w:lineRule="exact" w:before="111"/>
        <w:ind w:left="119" w:right="-19"/>
      </w:pPr>
      <w:r>
        <w:rPr>
          <w:color w:val="010101"/>
          <w:w w:val="105"/>
        </w:rPr>
        <w:t>where lzlz..-·z. remains </w:t>
      </w:r>
      <w:r>
        <w:rPr>
          <w:color w:val="010101"/>
          <w:w w:val="105"/>
          <w:sz w:val="21"/>
        </w:rPr>
        <w:t>to </w:t>
      </w:r>
      <w:r>
        <w:rPr>
          <w:color w:val="010101"/>
          <w:w w:val="105"/>
        </w:rPr>
        <w:t>be defined.</w:t>
      </w:r>
    </w:p>
    <w:p>
      <w:pPr>
        <w:spacing w:line="237" w:lineRule="exact" w:before="0"/>
        <w:ind w:left="122" w:right="-19" w:firstLine="0"/>
        <w:jc w:val="left"/>
        <w:rPr>
          <w:sz w:val="21"/>
        </w:rPr>
      </w:pPr>
      <w:r>
        <w:rPr>
          <w:color w:val="010101"/>
          <w:sz w:val="21"/>
        </w:rPr>
        <w:t>Also</w:t>
      </w:r>
    </w:p>
    <w:p>
      <w:pPr>
        <w:pStyle w:val="BodyText"/>
        <w:spacing w:before="108"/>
        <w:ind w:left="119"/>
      </w:pPr>
      <w:r>
        <w:rPr/>
        <w:br w:type="column"/>
      </w:r>
      <w:r>
        <w:rPr>
          <w:color w:val="010101"/>
          <w:w w:val="110"/>
        </w:rPr>
        <w:t>(9.4}</w:t>
      </w:r>
    </w:p>
    <w:p>
      <w:pPr>
        <w:spacing w:after="0"/>
        <w:sectPr>
          <w:type w:val="continuous"/>
          <w:pgSz w:w="7200" w:h="11340"/>
          <w:pgMar w:top="1100" w:bottom="0" w:left="700" w:right="500"/>
          <w:cols w:num="2" w:equalWidth="0">
            <w:col w:w="4165" w:space="1139"/>
            <w:col w:w="696"/>
          </w:cols>
        </w:sectPr>
      </w:pPr>
    </w:p>
    <w:p>
      <w:pPr>
        <w:pStyle w:val="BodyText"/>
        <w:spacing w:before="7"/>
        <w:rPr>
          <w:sz w:val="13"/>
        </w:rPr>
      </w:pPr>
    </w:p>
    <w:p>
      <w:pPr>
        <w:pStyle w:val="BodyText"/>
        <w:ind w:left="812"/>
      </w:pPr>
      <w:r>
        <w:rPr/>
        <w:drawing>
          <wp:inline distT="0" distB="0" distL="0" distR="0">
            <wp:extent cx="2788920" cy="320039"/>
            <wp:effectExtent l="0" t="0" r="0" b="0"/>
            <wp:docPr id="391" name="image201.png" descr=""/>
            <wp:cNvGraphicFramePr>
              <a:graphicFrameLocks noChangeAspect="1"/>
            </wp:cNvGraphicFramePr>
            <a:graphic>
              <a:graphicData uri="http://schemas.openxmlformats.org/drawingml/2006/picture">
                <pic:pic>
                  <pic:nvPicPr>
                    <pic:cNvPr id="392" name="image201.png"/>
                    <pic:cNvPicPr/>
                  </pic:nvPicPr>
                  <pic:blipFill>
                    <a:blip r:embed="rId205" cstate="print"/>
                    <a:stretch>
                      <a:fillRect/>
                    </a:stretch>
                  </pic:blipFill>
                  <pic:spPr>
                    <a:xfrm>
                      <a:off x="0" y="0"/>
                      <a:ext cx="2788920" cy="320039"/>
                    </a:xfrm>
                    <a:prstGeom prst="rect">
                      <a:avLst/>
                    </a:prstGeom>
                  </pic:spPr>
                </pic:pic>
              </a:graphicData>
            </a:graphic>
          </wp:inline>
        </w:drawing>
      </w:r>
      <w:r>
        <w:rPr/>
      </w:r>
    </w:p>
    <w:p>
      <w:pPr>
        <w:pStyle w:val="BodyText"/>
        <w:spacing w:before="119"/>
        <w:ind w:left="122"/>
      </w:pPr>
      <w:r>
        <w:rPr>
          <w:color w:val="010101"/>
          <w:w w:val="103"/>
        </w:rPr>
        <w:t>From</w:t>
      </w:r>
      <w:r>
        <w:rPr>
          <w:color w:val="010101"/>
        </w:rPr>
        <w:t> </w:t>
      </w:r>
      <w:r>
        <w:rPr>
          <w:color w:val="010101"/>
          <w:spacing w:val="-14"/>
        </w:rPr>
        <w:t> </w:t>
      </w:r>
      <w:r>
        <w:rPr>
          <w:color w:val="010101"/>
          <w:w w:val="103"/>
        </w:rPr>
        <w:t>these</w:t>
      </w:r>
      <w:r>
        <w:rPr>
          <w:color w:val="010101"/>
          <w:spacing w:val="16"/>
        </w:rPr>
        <w:t> </w:t>
      </w:r>
      <w:r>
        <w:rPr>
          <w:color w:val="010101"/>
          <w:w w:val="104"/>
        </w:rPr>
        <w:t>two</w:t>
      </w:r>
      <w:r>
        <w:rPr>
          <w:color w:val="010101"/>
          <w:spacing w:val="17"/>
        </w:rPr>
        <w:t> </w:t>
      </w:r>
      <w:r>
        <w:rPr>
          <w:color w:val="010101"/>
          <w:w w:val="101"/>
        </w:rPr>
        <w:t>expressions</w:t>
      </w:r>
      <w:r>
        <w:rPr>
          <w:color w:val="010101"/>
          <w:spacing w:val="18"/>
        </w:rPr>
        <w:t> </w:t>
      </w:r>
      <w:r>
        <w:rPr>
          <w:color w:val="010101"/>
          <w:w w:val="103"/>
        </w:rPr>
        <w:t>for</w:t>
      </w:r>
      <w:r>
        <w:rPr>
          <w:color w:val="010101"/>
          <w:spacing w:val="11"/>
        </w:rPr>
        <w:t> </w:t>
      </w:r>
      <w:r>
        <w:rPr>
          <w:color w:val="010101"/>
          <w:w w:val="60"/>
        </w:rPr>
        <w:t>nP.1</w:t>
      </w:r>
      <w:r>
        <w:rPr>
          <w:color w:val="010101"/>
          <w:spacing w:val="10"/>
          <w:w w:val="60"/>
        </w:rPr>
        <w:t>:</w:t>
      </w:r>
      <w:r>
        <w:rPr>
          <w:color w:val="010101"/>
          <w:spacing w:val="-14"/>
          <w:w w:val="135"/>
          <w:position w:val="-3"/>
          <w:sz w:val="10"/>
        </w:rPr>
        <w:t>1</w:t>
      </w:r>
      <w:r>
        <w:rPr>
          <w:color w:val="010101"/>
          <w:w w:val="89"/>
        </w:rPr>
        <w:t>z,</w:t>
      </w:r>
      <w:r>
        <w:rPr>
          <w:color w:val="010101"/>
          <w:spacing w:val="12"/>
          <w:w w:val="89"/>
        </w:rPr>
        <w:t>·</w:t>
      </w:r>
      <w:r>
        <w:rPr>
          <w:color w:val="010101"/>
          <w:w w:val="89"/>
        </w:rPr>
        <w:t>··•</w:t>
      </w:r>
      <w:r>
        <w:rPr>
          <w:color w:val="010101"/>
        </w:rPr>
        <w:t>  </w:t>
      </w:r>
      <w:r>
        <w:rPr>
          <w:color w:val="010101"/>
          <w:spacing w:val="-8"/>
        </w:rPr>
        <w:t> </w:t>
      </w:r>
      <w:r>
        <w:rPr>
          <w:color w:val="010101"/>
          <w:w w:val="96"/>
        </w:rPr>
        <w:t>,</w:t>
      </w:r>
      <w:r>
        <w:rPr>
          <w:color w:val="010101"/>
          <w:spacing w:val="12"/>
        </w:rPr>
        <w:t> </w:t>
      </w:r>
      <w:r>
        <w:rPr>
          <w:color w:val="010101"/>
          <w:w w:val="98"/>
        </w:rPr>
        <w:t>we</w:t>
      </w:r>
      <w:r>
        <w:rPr>
          <w:color w:val="010101"/>
          <w:spacing w:val="16"/>
        </w:rPr>
        <w:t> </w:t>
      </w:r>
      <w:r>
        <w:rPr>
          <w:color w:val="010101"/>
          <w:w w:val="99"/>
        </w:rPr>
        <w:t>find</w:t>
      </w:r>
      <w:r>
        <w:rPr>
          <w:color w:val="010101"/>
          <w:spacing w:val="21"/>
        </w:rPr>
        <w:t> </w:t>
      </w:r>
      <w:r>
        <w:rPr>
          <w:color w:val="010101"/>
          <w:w w:val="117"/>
        </w:rPr>
        <w:t>that</w:t>
      </w:r>
    </w:p>
    <w:p>
      <w:pPr>
        <w:spacing w:before="72"/>
        <w:ind w:left="31" w:right="192" w:firstLine="0"/>
        <w:jc w:val="center"/>
        <w:rPr>
          <w:b/>
          <w:i/>
          <w:sz w:val="16"/>
        </w:rPr>
      </w:pPr>
      <w:r>
        <w:rPr/>
        <w:pict>
          <v:line style="position:absolute;mso-position-horizontal-relative:page;mso-position-vertical-relative:paragraph;z-index:-720448" from="245.007507pt,16.275633pt" to="248.941907pt,16.275633pt" stroked="true" strokeweight="1.073025pt" strokecolor="#000000">
            <w10:wrap type="none"/>
          </v:line>
        </w:pict>
      </w:r>
      <w:r>
        <w:rPr>
          <w:b/>
          <w:color w:val="010101"/>
          <w:w w:val="146"/>
          <w:sz w:val="13"/>
        </w:rPr>
        <w:t>l</w:t>
      </w:r>
      <w:r>
        <w:rPr>
          <w:b/>
          <w:color w:val="010101"/>
          <w:spacing w:val="1"/>
          <w:w w:val="146"/>
          <w:sz w:val="13"/>
        </w:rPr>
        <w:t>s</w:t>
      </w:r>
      <w:r>
        <w:rPr>
          <w:b/>
          <w:color w:val="010101"/>
          <w:spacing w:val="3"/>
          <w:w w:val="108"/>
          <w:position w:val="-1"/>
          <w:sz w:val="10"/>
        </w:rPr>
        <w:t>1</w:t>
      </w:r>
      <w:r>
        <w:rPr>
          <w:b/>
          <w:color w:val="010101"/>
          <w:w w:val="115"/>
          <w:sz w:val="13"/>
        </w:rPr>
        <w:t>+n:za+n:••</w:t>
      </w:r>
      <w:r>
        <w:rPr>
          <w:b/>
          <w:color w:val="010101"/>
          <w:spacing w:val="-2"/>
          <w:sz w:val="13"/>
        </w:rPr>
        <w:t> </w:t>
      </w:r>
      <w:r>
        <w:rPr>
          <w:b/>
          <w:color w:val="010101"/>
          <w:w w:val="66"/>
          <w:sz w:val="13"/>
        </w:rPr>
        <w:t>•</w:t>
      </w:r>
      <w:r>
        <w:rPr>
          <w:b/>
          <w:color w:val="010101"/>
          <w:spacing w:val="-3"/>
          <w:sz w:val="13"/>
        </w:rPr>
        <w:t> </w:t>
      </w:r>
      <w:r>
        <w:rPr>
          <w:b/>
          <w:color w:val="010101"/>
          <w:w w:val="137"/>
          <w:sz w:val="13"/>
        </w:rPr>
        <w:t>:s</w:t>
      </w:r>
      <w:r>
        <w:rPr>
          <w:b/>
          <w:color w:val="010101"/>
          <w:w w:val="138"/>
          <w:sz w:val="13"/>
          <w:u w:val="thick" w:color="000000"/>
        </w:rPr>
        <w:t>a</w:t>
      </w:r>
      <w:r>
        <w:rPr>
          <w:b/>
          <w:color w:val="010101"/>
          <w:w w:val="137"/>
          <w:sz w:val="13"/>
        </w:rPr>
        <w:t>+•</w:t>
      </w:r>
      <w:r>
        <w:rPr>
          <w:b/>
          <w:color w:val="010101"/>
          <w:sz w:val="13"/>
        </w:rPr>
        <w:t> </w:t>
      </w:r>
      <w:r>
        <w:rPr>
          <w:b/>
          <w:color w:val="010101"/>
          <w:spacing w:val="12"/>
          <w:sz w:val="13"/>
        </w:rPr>
        <w:t> </w:t>
      </w:r>
      <w:r>
        <w:rPr>
          <w:color w:val="010101"/>
          <w:w w:val="94"/>
          <w:sz w:val="26"/>
        </w:rPr>
        <w:t>=</w:t>
      </w:r>
      <w:r>
        <w:rPr>
          <w:color w:val="010101"/>
          <w:spacing w:val="28"/>
          <w:sz w:val="26"/>
        </w:rPr>
        <w:t> </w:t>
      </w:r>
      <w:r>
        <w:rPr>
          <w:b/>
          <w:i/>
          <w:color w:val="010101"/>
          <w:w w:val="82"/>
          <w:sz w:val="21"/>
        </w:rPr>
        <w:t>l</w:t>
      </w:r>
      <w:r>
        <w:rPr>
          <w:b/>
          <w:i/>
          <w:color w:val="010101"/>
          <w:spacing w:val="12"/>
          <w:w w:val="82"/>
          <w:sz w:val="21"/>
        </w:rPr>
        <w:t>z</w:t>
      </w:r>
      <w:r>
        <w:rPr>
          <w:rFonts w:ascii="Arial" w:hAnsi="Arial"/>
          <w:b/>
          <w:i/>
          <w:color w:val="010101"/>
          <w:spacing w:val="7"/>
          <w:w w:val="88"/>
          <w:position w:val="-1"/>
          <w:sz w:val="10"/>
        </w:rPr>
        <w:t>1</w:t>
      </w:r>
      <w:r>
        <w:rPr>
          <w:b/>
          <w:i/>
          <w:color w:val="010101"/>
          <w:w w:val="80"/>
          <w:sz w:val="21"/>
        </w:rPr>
        <w:t>+alz,+n</w:t>
      </w:r>
      <w:r>
        <w:rPr>
          <w:b/>
          <w:i/>
          <w:color w:val="010101"/>
          <w:spacing w:val="-6"/>
          <w:sz w:val="21"/>
        </w:rPr>
        <w:t> </w:t>
      </w:r>
      <w:r>
        <w:rPr>
          <w:color w:val="010101"/>
          <w:w w:val="60"/>
          <w:sz w:val="21"/>
        </w:rPr>
        <w:t>•</w:t>
      </w:r>
      <w:r>
        <w:rPr>
          <w:color w:val="010101"/>
          <w:spacing w:val="6"/>
          <w:sz w:val="21"/>
        </w:rPr>
        <w:t> </w:t>
      </w:r>
      <w:r>
        <w:rPr>
          <w:color w:val="010101"/>
          <w:w w:val="46"/>
          <w:sz w:val="21"/>
        </w:rPr>
        <w:t>•</w:t>
      </w:r>
      <w:r>
        <w:rPr>
          <w:color w:val="010101"/>
          <w:spacing w:val="5"/>
          <w:sz w:val="21"/>
        </w:rPr>
        <w:t> </w:t>
      </w:r>
      <w:r>
        <w:rPr>
          <w:b/>
          <w:i/>
          <w:color w:val="010101"/>
          <w:w w:val="52"/>
          <w:sz w:val="21"/>
        </w:rPr>
        <w:t>•</w:t>
      </w:r>
      <w:r>
        <w:rPr>
          <w:b/>
          <w:i/>
          <w:color w:val="010101"/>
          <w:spacing w:val="-24"/>
          <w:sz w:val="21"/>
        </w:rPr>
        <w:t> </w:t>
      </w:r>
      <w:r>
        <w:rPr>
          <w:b/>
          <w:i/>
          <w:color w:val="010101"/>
          <w:w w:val="55"/>
          <w:sz w:val="21"/>
        </w:rPr>
        <w:t>l:</w:t>
      </w:r>
      <w:r>
        <w:rPr>
          <w:b/>
          <w:i/>
          <w:color w:val="010101"/>
          <w:spacing w:val="14"/>
          <w:w w:val="55"/>
          <w:sz w:val="21"/>
        </w:rPr>
        <w:t>r</w:t>
      </w:r>
      <w:r>
        <w:rPr>
          <w:b/>
          <w:i/>
          <w:color w:val="010101"/>
          <w:w w:val="89"/>
          <w:sz w:val="21"/>
        </w:rPr>
        <w:t>.</w:t>
      </w:r>
      <w:r>
        <w:rPr>
          <w:b/>
          <w:i/>
          <w:color w:val="010101"/>
          <w:spacing w:val="-1"/>
          <w:w w:val="89"/>
          <w:sz w:val="21"/>
        </w:rPr>
        <w:t>.</w:t>
      </w:r>
      <w:r>
        <w:rPr>
          <w:b/>
          <w:i/>
          <w:color w:val="010101"/>
          <w:w w:val="89"/>
          <w:sz w:val="16"/>
        </w:rPr>
        <w:t>+"</w:t>
      </w:r>
    </w:p>
    <w:p>
      <w:pPr>
        <w:tabs>
          <w:tab w:pos="1584" w:val="left" w:leader="none"/>
        </w:tabs>
        <w:spacing w:before="18"/>
        <w:ind w:left="0" w:right="75" w:firstLine="0"/>
        <w:jc w:val="center"/>
        <w:rPr>
          <w:rFonts w:ascii="Arial" w:hAnsi="Arial"/>
          <w:b/>
          <w:i/>
          <w:sz w:val="20"/>
        </w:rPr>
      </w:pPr>
      <w:r>
        <w:rPr>
          <w:b/>
          <w:color w:val="010101"/>
          <w:sz w:val="13"/>
        </w:rPr>
        <w:t>Z.1:tzi···.1:a</w:t>
        <w:tab/>
      </w:r>
      <w:r>
        <w:rPr>
          <w:b/>
          <w:color w:val="010101"/>
          <w:sz w:val="22"/>
        </w:rPr>
        <w:t>l.</w:t>
      </w:r>
      <w:r>
        <w:rPr>
          <w:b/>
          <w:color w:val="010101"/>
          <w:position w:val="-2"/>
          <w:sz w:val="11"/>
        </w:rPr>
        <w:t>1</w:t>
      </w:r>
      <w:r>
        <w:rPr>
          <w:b/>
          <w:color w:val="010101"/>
          <w:sz w:val="22"/>
        </w:rPr>
        <w:t>lz,</w:t>
      </w:r>
      <w:r>
        <w:rPr>
          <w:b/>
          <w:color w:val="010101"/>
          <w:spacing w:val="43"/>
          <w:sz w:val="22"/>
        </w:rPr>
        <w:t> </w:t>
      </w:r>
      <w:r>
        <w:rPr>
          <w:color w:val="010101"/>
          <w:sz w:val="22"/>
        </w:rPr>
        <w:t>···</w:t>
      </w:r>
      <w:r>
        <w:rPr>
          <w:rFonts w:ascii="Arial" w:hAnsi="Arial"/>
          <w:b/>
          <w:i/>
          <w:color w:val="010101"/>
          <w:sz w:val="20"/>
        </w:rPr>
        <w:t>l••</w:t>
      </w:r>
    </w:p>
    <w:p>
      <w:pPr>
        <w:pStyle w:val="BodyText"/>
        <w:spacing w:line="234" w:lineRule="exact" w:before="100"/>
        <w:ind w:left="129" w:hanging="11"/>
      </w:pPr>
      <w:r>
        <w:rPr>
          <w:color w:val="010101"/>
          <w:w w:val="105"/>
        </w:rPr>
        <w:t>and this suggests the.t we define the joint-life function lstz...-z. as proportional  </w:t>
      </w:r>
      <w:r>
        <w:rPr>
          <w:color w:val="010101"/>
          <w:w w:val="105"/>
          <w:sz w:val="21"/>
        </w:rPr>
        <w:t>to </w:t>
      </w:r>
      <w:r>
        <w:rPr>
          <w:color w:val="010101"/>
          <w:w w:val="105"/>
        </w:rPr>
        <w:t>the product  of  the single-life l's; i.e.,</w:t>
      </w:r>
    </w:p>
    <w:p>
      <w:pPr>
        <w:pStyle w:val="BodyText"/>
        <w:spacing w:before="129"/>
        <w:ind w:left="1906"/>
      </w:pPr>
      <w:r>
        <w:rPr>
          <w:position w:val="-6"/>
        </w:rPr>
        <w:drawing>
          <wp:inline distT="0" distB="0" distL="0" distR="0">
            <wp:extent cx="1399032" cy="137159"/>
            <wp:effectExtent l="0" t="0" r="0" b="0"/>
            <wp:docPr id="393" name="image202.png" descr=""/>
            <wp:cNvGraphicFramePr>
              <a:graphicFrameLocks noChangeAspect="1"/>
            </wp:cNvGraphicFramePr>
            <a:graphic>
              <a:graphicData uri="http://schemas.openxmlformats.org/drawingml/2006/picture">
                <pic:pic>
                  <pic:nvPicPr>
                    <pic:cNvPr id="394" name="image202.png"/>
                    <pic:cNvPicPr/>
                  </pic:nvPicPr>
                  <pic:blipFill>
                    <a:blip r:embed="rId206" cstate="print"/>
                    <a:stretch>
                      <a:fillRect/>
                    </a:stretch>
                  </pic:blipFill>
                  <pic:spPr>
                    <a:xfrm>
                      <a:off x="0" y="0"/>
                      <a:ext cx="1399032" cy="137159"/>
                    </a:xfrm>
                    <a:prstGeom prst="rect">
                      <a:avLst/>
                    </a:prstGeom>
                  </pic:spPr>
                </pic:pic>
              </a:graphicData>
            </a:graphic>
          </wp:inline>
        </w:drawing>
      </w:r>
      <w:r>
        <w:rPr>
          <w:position w:val="-6"/>
        </w:rPr>
      </w:r>
      <w:r>
        <w:rPr/>
        <w:t>                          </w:t>
      </w:r>
      <w:r>
        <w:rPr>
          <w:color w:val="010101"/>
          <w:w w:val="105"/>
        </w:rPr>
        <w:t>(9.5)</w:t>
      </w:r>
    </w:p>
    <w:p>
      <w:pPr>
        <w:pStyle w:val="BodyText"/>
        <w:spacing w:line="232" w:lineRule="auto" w:before="110"/>
        <w:ind w:left="129" w:right="151" w:hanging="4"/>
        <w:jc w:val="both"/>
      </w:pPr>
      <w:r>
        <w:rPr>
          <w:color w:val="010101"/>
          <w:w w:val="105"/>
        </w:rPr>
        <w:t>In practice, the  constant  of  proportionality  </w:t>
      </w:r>
      <w:r>
        <w:rPr>
          <w:i/>
          <w:color w:val="010101"/>
          <w:w w:val="105"/>
        </w:rPr>
        <w:t>k  </w:t>
      </w:r>
      <w:r>
        <w:rPr>
          <w:color w:val="010101"/>
          <w:w w:val="105"/>
        </w:rPr>
        <w:t>is generally  taken  </w:t>
      </w:r>
      <w:r>
        <w:rPr>
          <w:color w:val="010101"/>
          <w:w w:val="105"/>
          <w:sz w:val="21"/>
        </w:rPr>
        <w:t>to</w:t>
      </w:r>
      <w:r>
        <w:rPr>
          <w:color w:val="010101"/>
          <w:spacing w:val="-10"/>
          <w:w w:val="105"/>
          <w:sz w:val="21"/>
        </w:rPr>
        <w:t> </w:t>
      </w:r>
      <w:r>
        <w:rPr>
          <w:color w:val="010101"/>
          <w:w w:val="105"/>
        </w:rPr>
        <w:t>be</w:t>
      </w:r>
      <w:r>
        <w:rPr>
          <w:color w:val="010101"/>
          <w:spacing w:val="-10"/>
          <w:w w:val="105"/>
        </w:rPr>
        <w:t> </w:t>
      </w:r>
      <w:r>
        <w:rPr>
          <w:color w:val="010101"/>
          <w:w w:val="105"/>
        </w:rPr>
        <w:t>sorne</w:t>
      </w:r>
      <w:r>
        <w:rPr>
          <w:color w:val="010101"/>
          <w:spacing w:val="-12"/>
          <w:w w:val="105"/>
        </w:rPr>
        <w:t> </w:t>
      </w:r>
      <w:r>
        <w:rPr>
          <w:color w:val="010101"/>
          <w:w w:val="105"/>
        </w:rPr>
        <w:t>power</w:t>
      </w:r>
      <w:r>
        <w:rPr>
          <w:color w:val="010101"/>
          <w:spacing w:val="-3"/>
          <w:w w:val="105"/>
        </w:rPr>
        <w:t> </w:t>
      </w:r>
      <w:r>
        <w:rPr>
          <w:color w:val="010101"/>
          <w:w w:val="105"/>
        </w:rPr>
        <w:t>of</w:t>
      </w:r>
      <w:r>
        <w:rPr>
          <w:color w:val="010101"/>
          <w:spacing w:val="11"/>
          <w:w w:val="105"/>
        </w:rPr>
        <w:t> </w:t>
      </w:r>
      <w:r>
        <w:rPr>
          <w:color w:val="010101"/>
          <w:w w:val="105"/>
          <w:sz w:val="23"/>
        </w:rPr>
        <w:t>10-•,</w:t>
      </w:r>
      <w:r>
        <w:rPr>
          <w:color w:val="010101"/>
          <w:spacing w:val="-30"/>
          <w:w w:val="105"/>
          <w:sz w:val="23"/>
        </w:rPr>
        <w:t> </w:t>
      </w:r>
      <w:r>
        <w:rPr>
          <w:color w:val="010101"/>
          <w:w w:val="105"/>
        </w:rPr>
        <w:t>so</w:t>
      </w:r>
      <w:r>
        <w:rPr>
          <w:color w:val="010101"/>
          <w:spacing w:val="-11"/>
          <w:w w:val="105"/>
        </w:rPr>
        <w:t> </w:t>
      </w:r>
      <w:r>
        <w:rPr>
          <w:color w:val="010101"/>
          <w:w w:val="105"/>
        </w:rPr>
        <w:t>chosen</w:t>
      </w:r>
      <w:r>
        <w:rPr>
          <w:color w:val="010101"/>
          <w:spacing w:val="3"/>
          <w:w w:val="105"/>
        </w:rPr>
        <w:t> </w:t>
      </w:r>
      <w:r>
        <w:rPr>
          <w:color w:val="010101"/>
          <w:w w:val="105"/>
        </w:rPr>
        <w:t>as</w:t>
      </w:r>
      <w:r>
        <w:rPr>
          <w:color w:val="010101"/>
          <w:spacing w:val="-11"/>
          <w:w w:val="105"/>
        </w:rPr>
        <w:t> </w:t>
      </w:r>
      <w:r>
        <w:rPr>
          <w:color w:val="010101"/>
          <w:w w:val="105"/>
        </w:rPr>
        <w:t>to</w:t>
      </w:r>
      <w:r>
        <w:rPr>
          <w:color w:val="010101"/>
          <w:spacing w:val="-2"/>
          <w:w w:val="105"/>
        </w:rPr>
        <w:t> </w:t>
      </w:r>
      <w:r>
        <w:rPr>
          <w:color w:val="010101"/>
          <w:w w:val="105"/>
        </w:rPr>
        <w:t>reduce</w:t>
      </w:r>
      <w:r>
        <w:rPr>
          <w:color w:val="010101"/>
          <w:spacing w:val="-1"/>
          <w:w w:val="105"/>
        </w:rPr>
        <w:t> </w:t>
      </w:r>
      <w:r>
        <w:rPr>
          <w:color w:val="010101"/>
          <w:w w:val="105"/>
        </w:rPr>
        <w:t>the</w:t>
      </w:r>
      <w:r>
        <w:rPr>
          <w:color w:val="010101"/>
          <w:spacing w:val="-8"/>
          <w:w w:val="105"/>
        </w:rPr>
        <w:t> </w:t>
      </w:r>
      <w:r>
        <w:rPr>
          <w:color w:val="010101"/>
          <w:w w:val="105"/>
        </w:rPr>
        <w:t>product</w:t>
      </w:r>
      <w:r>
        <w:rPr>
          <w:color w:val="010101"/>
          <w:spacing w:val="4"/>
          <w:w w:val="105"/>
        </w:rPr>
        <w:t> </w:t>
      </w:r>
      <w:r>
        <w:rPr>
          <w:color w:val="010101"/>
          <w:w w:val="105"/>
        </w:rPr>
        <w:t>values to a desired order of </w:t>
      </w:r>
      <w:r>
        <w:rPr>
          <w:color w:val="010101"/>
          <w:spacing w:val="18"/>
          <w:w w:val="105"/>
        </w:rPr>
        <w:t> </w:t>
      </w:r>
      <w:r>
        <w:rPr>
          <w:color w:val="010101"/>
          <w:w w:val="105"/>
        </w:rPr>
        <w:t>magnitude.</w:t>
      </w:r>
    </w:p>
    <w:p>
      <w:pPr>
        <w:pStyle w:val="BodyText"/>
        <w:tabs>
          <w:tab w:pos="1778" w:val="left" w:leader="none"/>
        </w:tabs>
        <w:spacing w:before="4"/>
        <w:ind w:left="319"/>
      </w:pPr>
      <w:r>
        <w:rPr>
          <w:color w:val="010101"/>
          <w:w w:val="105"/>
        </w:rPr>
        <w:t>Then</w:t>
        <w:tab/>
      </w:r>
      <w:r>
        <w:rPr>
          <w:color w:val="181818"/>
          <w:w w:val="105"/>
        </w:rPr>
        <w:t>\</w:t>
      </w:r>
    </w:p>
    <w:p>
      <w:pPr>
        <w:pStyle w:val="BodyText"/>
        <w:rPr>
          <w:sz w:val="13"/>
        </w:rPr>
      </w:pPr>
      <w:r>
        <w:rPr/>
        <w:drawing>
          <wp:anchor distT="0" distB="0" distL="0" distR="0" allowOverlap="1" layoutInCell="1" locked="0" behindDoc="0" simplePos="0" relativeHeight="15544">
            <wp:simplePos x="0" y="0"/>
            <wp:positionH relativeFrom="page">
              <wp:posOffset>987552</wp:posOffset>
            </wp:positionH>
            <wp:positionV relativeFrom="paragraph">
              <wp:posOffset>120069</wp:posOffset>
            </wp:positionV>
            <wp:extent cx="2743200" cy="539495"/>
            <wp:effectExtent l="0" t="0" r="0" b="0"/>
            <wp:wrapTopAndBottom/>
            <wp:docPr id="395" name="image203.png" descr=""/>
            <wp:cNvGraphicFramePr>
              <a:graphicFrameLocks noChangeAspect="1"/>
            </wp:cNvGraphicFramePr>
            <a:graphic>
              <a:graphicData uri="http://schemas.openxmlformats.org/drawingml/2006/picture">
                <pic:pic>
                  <pic:nvPicPr>
                    <pic:cNvPr id="396" name="image203.png"/>
                    <pic:cNvPicPr/>
                  </pic:nvPicPr>
                  <pic:blipFill>
                    <a:blip r:embed="rId207" cstate="print"/>
                    <a:stretch>
                      <a:fillRect/>
                    </a:stretch>
                  </pic:blipFill>
                  <pic:spPr>
                    <a:xfrm>
                      <a:off x="0" y="0"/>
                      <a:ext cx="2743200" cy="539495"/>
                    </a:xfrm>
                    <a:prstGeom prst="rect">
                      <a:avLst/>
                    </a:prstGeom>
                  </pic:spPr>
                </pic:pic>
              </a:graphicData>
            </a:graphic>
          </wp:anchor>
        </w:drawing>
      </w:r>
    </w:p>
    <w:p>
      <w:pPr>
        <w:pStyle w:val="BodyText"/>
        <w:spacing w:before="74"/>
        <w:ind w:left="115"/>
        <w:jc w:val="both"/>
      </w:pPr>
      <w:r>
        <w:rPr>
          <w:color w:val="010101"/>
        </w:rPr>
        <w:t>where,  by  definition,</w:t>
      </w:r>
    </w:p>
    <w:p>
      <w:pPr>
        <w:pStyle w:val="BodyText"/>
        <w:spacing w:before="2"/>
        <w:rPr>
          <w:sz w:val="10"/>
        </w:rPr>
      </w:pPr>
      <w:r>
        <w:rPr/>
        <w:drawing>
          <wp:anchor distT="0" distB="0" distL="0" distR="0" allowOverlap="1" layoutInCell="1" locked="0" behindDoc="0" simplePos="0" relativeHeight="15568">
            <wp:simplePos x="0" y="0"/>
            <wp:positionH relativeFrom="page">
              <wp:posOffset>1252727</wp:posOffset>
            </wp:positionH>
            <wp:positionV relativeFrom="paragraph">
              <wp:posOffset>99145</wp:posOffset>
            </wp:positionV>
            <wp:extent cx="2926080" cy="146303"/>
            <wp:effectExtent l="0" t="0" r="0" b="0"/>
            <wp:wrapTopAndBottom/>
            <wp:docPr id="397" name="image204.png" descr=""/>
            <wp:cNvGraphicFramePr>
              <a:graphicFrameLocks noChangeAspect="1"/>
            </wp:cNvGraphicFramePr>
            <a:graphic>
              <a:graphicData uri="http://schemas.openxmlformats.org/drawingml/2006/picture">
                <pic:pic>
                  <pic:nvPicPr>
                    <pic:cNvPr id="398" name="image204.png"/>
                    <pic:cNvPicPr/>
                  </pic:nvPicPr>
                  <pic:blipFill>
                    <a:blip r:embed="rId208" cstate="print"/>
                    <a:stretch>
                      <a:fillRect/>
                    </a:stretch>
                  </pic:blipFill>
                  <pic:spPr>
                    <a:xfrm>
                      <a:off x="0" y="0"/>
                      <a:ext cx="2926080" cy="146303"/>
                    </a:xfrm>
                    <a:prstGeom prst="rect">
                      <a:avLst/>
                    </a:prstGeom>
                  </pic:spPr>
                </pic:pic>
              </a:graphicData>
            </a:graphic>
          </wp:anchor>
        </w:drawing>
      </w:r>
    </w:p>
    <w:p>
      <w:pPr>
        <w:spacing w:line="242" w:lineRule="exact" w:before="112"/>
        <w:ind w:left="119" w:right="0" w:firstLine="0"/>
        <w:jc w:val="both"/>
        <w:rPr>
          <w:i/>
          <w:sz w:val="20"/>
        </w:rPr>
      </w:pPr>
      <w:r>
        <w:rPr>
          <w:color w:val="010101"/>
          <w:spacing w:val="7"/>
          <w:w w:val="117"/>
          <w:sz w:val="20"/>
        </w:rPr>
        <w:t>I</w:t>
      </w:r>
      <w:r>
        <w:rPr>
          <w:color w:val="010101"/>
          <w:w w:val="123"/>
          <w:sz w:val="20"/>
        </w:rPr>
        <w:t>t</w:t>
      </w:r>
      <w:r>
        <w:rPr>
          <w:color w:val="010101"/>
          <w:spacing w:val="2"/>
          <w:sz w:val="20"/>
        </w:rPr>
        <w:t> </w:t>
      </w:r>
      <w:r>
        <w:rPr>
          <w:color w:val="010101"/>
          <w:w w:val="95"/>
          <w:sz w:val="20"/>
        </w:rPr>
        <w:t>is</w:t>
      </w:r>
      <w:r>
        <w:rPr>
          <w:color w:val="010101"/>
          <w:spacing w:val="-7"/>
          <w:sz w:val="20"/>
        </w:rPr>
        <w:t> </w:t>
      </w:r>
      <w:r>
        <w:rPr>
          <w:color w:val="010101"/>
          <w:w w:val="108"/>
          <w:sz w:val="20"/>
        </w:rPr>
        <w:t>important</w:t>
      </w:r>
      <w:r>
        <w:rPr>
          <w:color w:val="010101"/>
          <w:spacing w:val="8"/>
          <w:sz w:val="20"/>
        </w:rPr>
        <w:t> </w:t>
      </w:r>
      <w:r>
        <w:rPr>
          <w:color w:val="010101"/>
          <w:w w:val="112"/>
          <w:sz w:val="20"/>
        </w:rPr>
        <w:t>to</w:t>
      </w:r>
      <w:r>
        <w:rPr>
          <w:color w:val="010101"/>
          <w:spacing w:val="-11"/>
          <w:sz w:val="20"/>
        </w:rPr>
        <w:t> </w:t>
      </w:r>
      <w:r>
        <w:rPr>
          <w:color w:val="010101"/>
          <w:w w:val="107"/>
          <w:sz w:val="20"/>
        </w:rPr>
        <w:t>note</w:t>
      </w:r>
      <w:r>
        <w:rPr>
          <w:color w:val="010101"/>
          <w:spacing w:val="-4"/>
          <w:sz w:val="20"/>
        </w:rPr>
        <w:t> </w:t>
      </w:r>
      <w:r>
        <w:rPr>
          <w:color w:val="010101"/>
          <w:w w:val="117"/>
          <w:sz w:val="20"/>
        </w:rPr>
        <w:t>that</w:t>
      </w:r>
      <w:r>
        <w:rPr>
          <w:color w:val="010101"/>
          <w:spacing w:val="-3"/>
          <w:sz w:val="20"/>
        </w:rPr>
        <w:t> </w:t>
      </w:r>
      <w:r>
        <w:rPr>
          <w:color w:val="010101"/>
          <w:w w:val="93"/>
          <w:sz w:val="20"/>
        </w:rPr>
        <w:t>dstzi</w:t>
      </w:r>
      <w:r>
        <w:rPr>
          <w:color w:val="010101"/>
          <w:spacing w:val="-29"/>
          <w:sz w:val="20"/>
        </w:rPr>
        <w:t> </w:t>
      </w:r>
      <w:r>
        <w:rPr>
          <w:color w:val="010101"/>
          <w:w w:val="113"/>
          <w:sz w:val="20"/>
        </w:rPr>
        <w:t>...••</w:t>
      </w:r>
      <w:r>
        <w:rPr>
          <w:color w:val="010101"/>
          <w:spacing w:val="-20"/>
          <w:sz w:val="20"/>
        </w:rPr>
        <w:t> </w:t>
      </w:r>
      <w:r>
        <w:rPr>
          <w:rFonts w:ascii="Arial" w:hAnsi="Arial"/>
          <w:color w:val="010101"/>
          <w:w w:val="104"/>
          <w:sz w:val="19"/>
        </w:rPr>
        <w:t>is</w:t>
      </w:r>
      <w:r>
        <w:rPr>
          <w:rFonts w:ascii="Arial" w:hAnsi="Arial"/>
          <w:color w:val="010101"/>
          <w:spacing w:val="-33"/>
          <w:sz w:val="19"/>
        </w:rPr>
        <w:t> </w:t>
      </w:r>
      <w:r>
        <w:rPr>
          <w:rFonts w:ascii="Arial" w:hAnsi="Arial"/>
          <w:i/>
          <w:color w:val="010101"/>
          <w:w w:val="104"/>
          <w:sz w:val="17"/>
        </w:rPr>
        <w:t>not</w:t>
      </w:r>
      <w:r>
        <w:rPr>
          <w:rFonts w:ascii="Arial" w:hAnsi="Arial"/>
          <w:i/>
          <w:color w:val="010101"/>
          <w:spacing w:val="12"/>
          <w:sz w:val="17"/>
        </w:rPr>
        <w:t> </w:t>
      </w:r>
      <w:r>
        <w:rPr>
          <w:color w:val="010101"/>
          <w:w w:val="112"/>
          <w:sz w:val="20"/>
        </w:rPr>
        <w:t>the</w:t>
      </w:r>
      <w:r>
        <w:rPr>
          <w:color w:val="010101"/>
          <w:spacing w:val="-8"/>
          <w:sz w:val="20"/>
        </w:rPr>
        <w:t> </w:t>
      </w:r>
      <w:r>
        <w:rPr>
          <w:color w:val="010101"/>
          <w:w w:val="105"/>
          <w:sz w:val="20"/>
        </w:rPr>
        <w:t>same</w:t>
      </w:r>
      <w:r>
        <w:rPr>
          <w:color w:val="010101"/>
          <w:spacing w:val="-10"/>
          <w:sz w:val="20"/>
        </w:rPr>
        <w:t> </w:t>
      </w:r>
      <w:r>
        <w:rPr>
          <w:color w:val="010101"/>
          <w:w w:val="112"/>
          <w:sz w:val="20"/>
        </w:rPr>
        <w:t>as</w:t>
      </w:r>
      <w:r>
        <w:rPr>
          <w:color w:val="010101"/>
          <w:spacing w:val="-13"/>
          <w:sz w:val="20"/>
        </w:rPr>
        <w:t> </w:t>
      </w:r>
      <w:r>
        <w:rPr>
          <w:i/>
          <w:color w:val="010101"/>
          <w:w w:val="91"/>
          <w:sz w:val="20"/>
        </w:rPr>
        <w:t>kdct</w:t>
      </w:r>
      <w:r>
        <w:rPr>
          <w:i/>
          <w:color w:val="010101"/>
          <w:spacing w:val="-27"/>
          <w:sz w:val="20"/>
        </w:rPr>
        <w:t> </w:t>
      </w:r>
      <w:r>
        <w:rPr>
          <w:color w:val="010101"/>
          <w:w w:val="85"/>
          <w:sz w:val="20"/>
        </w:rPr>
        <w:t>d</w:t>
      </w:r>
      <w:r>
        <w:rPr>
          <w:color w:val="010101"/>
          <w:spacing w:val="9"/>
          <w:w w:val="85"/>
          <w:sz w:val="20"/>
        </w:rPr>
        <w:t>z</w:t>
      </w:r>
      <w:r>
        <w:rPr>
          <w:color w:val="010101"/>
          <w:spacing w:val="-2"/>
          <w:w w:val="172"/>
          <w:position w:val="-3"/>
          <w:sz w:val="11"/>
        </w:rPr>
        <w:t>1</w:t>
      </w:r>
      <w:r>
        <w:rPr>
          <w:color w:val="010101"/>
          <w:w w:val="116"/>
          <w:sz w:val="11"/>
        </w:rPr>
        <w:t>•</w:t>
      </w:r>
      <w:r>
        <w:rPr>
          <w:color w:val="010101"/>
          <w:sz w:val="11"/>
        </w:rPr>
        <w:t> </w:t>
      </w:r>
      <w:r>
        <w:rPr>
          <w:color w:val="010101"/>
          <w:spacing w:val="-4"/>
          <w:sz w:val="11"/>
        </w:rPr>
        <w:t> </w:t>
      </w:r>
      <w:r>
        <w:rPr>
          <w:color w:val="010101"/>
          <w:w w:val="116"/>
          <w:sz w:val="11"/>
        </w:rPr>
        <w:t>•</w:t>
      </w:r>
      <w:r>
        <w:rPr>
          <w:color w:val="010101"/>
          <w:sz w:val="11"/>
        </w:rPr>
        <w:t>  </w:t>
      </w:r>
      <w:r>
        <w:rPr>
          <w:color w:val="010101"/>
          <w:w w:val="103"/>
          <w:sz w:val="11"/>
        </w:rPr>
        <w:t>•</w:t>
      </w:r>
      <w:r>
        <w:rPr>
          <w:color w:val="010101"/>
          <w:spacing w:val="-4"/>
          <w:sz w:val="11"/>
        </w:rPr>
        <w:t> </w:t>
      </w:r>
      <w:r>
        <w:rPr>
          <w:i/>
          <w:color w:val="010101"/>
          <w:w w:val="85"/>
          <w:sz w:val="20"/>
        </w:rPr>
        <w:t>dz,,,.</w:t>
      </w:r>
    </w:p>
    <w:p>
      <w:pPr>
        <w:pStyle w:val="BodyText"/>
        <w:spacing w:line="221" w:lineRule="exact"/>
        <w:ind w:left="305"/>
      </w:pPr>
      <w:r>
        <w:rPr>
          <w:color w:val="010101"/>
          <w:w w:val="115"/>
        </w:rPr>
        <w:t>Just as</w:t>
      </w:r>
    </w:p>
    <w:p>
      <w:pPr>
        <w:spacing w:before="129"/>
        <w:ind w:left="2119" w:right="87" w:firstLine="0"/>
        <w:jc w:val="center"/>
        <w:rPr>
          <w:rFonts w:ascii="Arial"/>
          <w:sz w:val="19"/>
        </w:rPr>
      </w:pPr>
      <w:r>
        <w:rPr/>
        <w:drawing>
          <wp:anchor distT="0" distB="0" distL="0" distR="0" allowOverlap="1" layoutInCell="1" locked="0" behindDoc="0" simplePos="0" relativeHeight="15592">
            <wp:simplePos x="0" y="0"/>
            <wp:positionH relativeFrom="page">
              <wp:posOffset>1792223</wp:posOffset>
            </wp:positionH>
            <wp:positionV relativeFrom="paragraph">
              <wp:posOffset>109548</wp:posOffset>
            </wp:positionV>
            <wp:extent cx="758951" cy="283464"/>
            <wp:effectExtent l="0" t="0" r="0" b="0"/>
            <wp:wrapNone/>
            <wp:docPr id="399" name="image205.png" descr=""/>
            <wp:cNvGraphicFramePr>
              <a:graphicFrameLocks noChangeAspect="1"/>
            </wp:cNvGraphicFramePr>
            <a:graphic>
              <a:graphicData uri="http://schemas.openxmlformats.org/drawingml/2006/picture">
                <pic:pic>
                  <pic:nvPicPr>
                    <pic:cNvPr id="400" name="image205.png"/>
                    <pic:cNvPicPr/>
                  </pic:nvPicPr>
                  <pic:blipFill>
                    <a:blip r:embed="rId209" cstate="print"/>
                    <a:stretch>
                      <a:fillRect/>
                    </a:stretch>
                  </pic:blipFill>
                  <pic:spPr>
                    <a:xfrm>
                      <a:off x="0" y="0"/>
                      <a:ext cx="758951" cy="283464"/>
                    </a:xfrm>
                    <a:prstGeom prst="rect">
                      <a:avLst/>
                    </a:prstGeom>
                  </pic:spPr>
                </pic:pic>
              </a:graphicData>
            </a:graphic>
          </wp:anchor>
        </w:drawing>
      </w:r>
      <w:r>
        <w:rPr>
          <w:i/>
          <w:color w:val="010101"/>
          <w:w w:val="90"/>
          <w:sz w:val="20"/>
        </w:rPr>
        <w:t>d </w:t>
      </w:r>
      <w:r>
        <w:rPr>
          <w:color w:val="010101"/>
          <w:w w:val="90"/>
          <w:sz w:val="20"/>
        </w:rPr>
        <w:t>log </w:t>
      </w:r>
      <w:r>
        <w:rPr>
          <w:rFonts w:ascii="Arial"/>
          <w:color w:val="010101"/>
          <w:w w:val="90"/>
          <w:sz w:val="19"/>
        </w:rPr>
        <w:t>Z</w:t>
      </w:r>
      <w:r>
        <w:rPr>
          <w:rFonts w:ascii="Arial"/>
          <w:color w:val="010101"/>
          <w:w w:val="90"/>
          <w:sz w:val="19"/>
          <w:u w:val="thick" w:color="000000"/>
        </w:rPr>
        <w:t>s+c</w:t>
      </w:r>
    </w:p>
    <w:p>
      <w:pPr>
        <w:spacing w:before="20"/>
        <w:ind w:left="2129" w:right="87" w:firstLine="0"/>
        <w:jc w:val="center"/>
        <w:rPr>
          <w:i/>
          <w:sz w:val="19"/>
        </w:rPr>
      </w:pPr>
      <w:r>
        <w:rPr>
          <w:i/>
          <w:color w:val="010101"/>
          <w:sz w:val="19"/>
        </w:rPr>
        <w:t>dt</w:t>
      </w:r>
    </w:p>
    <w:p>
      <w:pPr>
        <w:spacing w:after="0"/>
        <w:jc w:val="center"/>
        <w:rPr>
          <w:sz w:val="19"/>
        </w:rPr>
        <w:sectPr>
          <w:type w:val="continuous"/>
          <w:pgSz w:w="7200" w:h="11340"/>
          <w:pgMar w:top="1100" w:bottom="0" w:left="700" w:right="500"/>
        </w:sectPr>
      </w:pPr>
    </w:p>
    <w:p>
      <w:pPr>
        <w:tabs>
          <w:tab w:pos="2003" w:val="left" w:leader="none"/>
          <w:tab w:pos="5344" w:val="left" w:leader="none"/>
        </w:tabs>
        <w:spacing w:before="46"/>
        <w:ind w:left="183" w:right="0" w:firstLine="0"/>
        <w:jc w:val="left"/>
        <w:rPr>
          <w:rFonts w:ascii="Arial"/>
          <w:b/>
          <w:sz w:val="20"/>
        </w:rPr>
      </w:pPr>
      <w:r>
        <w:rPr>
          <w:color w:val="010101"/>
          <w:position w:val="2"/>
          <w:sz w:val="21"/>
        </w:rPr>
        <w:t>194</w:t>
        <w:tab/>
      </w:r>
      <w:r>
        <w:rPr>
          <w:b/>
          <w:color w:val="010101"/>
          <w:position w:val="2"/>
          <w:sz w:val="16"/>
        </w:rPr>
        <w:t>THE </w:t>
      </w:r>
      <w:r>
        <w:rPr>
          <w:b/>
          <w:color w:val="010101"/>
          <w:spacing w:val="4"/>
          <w:position w:val="2"/>
          <w:sz w:val="16"/>
        </w:rPr>
        <w:t> </w:t>
      </w:r>
      <w:r>
        <w:rPr>
          <w:b/>
          <w:color w:val="010101"/>
          <w:position w:val="2"/>
          <w:sz w:val="16"/>
        </w:rPr>
        <w:t>JOINT-Lil'E </w:t>
      </w:r>
      <w:r>
        <w:rPr>
          <w:b/>
          <w:color w:val="010101"/>
          <w:spacing w:val="22"/>
          <w:position w:val="2"/>
          <w:sz w:val="16"/>
        </w:rPr>
        <w:t> </w:t>
      </w:r>
      <w:r>
        <w:rPr>
          <w:b/>
          <w:color w:val="010101"/>
          <w:position w:val="2"/>
          <w:sz w:val="16"/>
        </w:rPr>
        <w:t>STATUS</w:t>
        <w:tab/>
      </w:r>
      <w:r>
        <w:rPr>
          <w:rFonts w:ascii="Arial"/>
          <w:b/>
          <w:color w:val="010101"/>
          <w:sz w:val="19"/>
        </w:rPr>
        <w:t>[CH.</w:t>
      </w:r>
      <w:r>
        <w:rPr>
          <w:rFonts w:ascii="Arial"/>
          <w:b/>
          <w:color w:val="010101"/>
          <w:spacing w:val="-10"/>
          <w:sz w:val="19"/>
        </w:rPr>
        <w:t> </w:t>
      </w:r>
      <w:r>
        <w:rPr>
          <w:rFonts w:ascii="Arial"/>
          <w:b/>
          <w:color w:val="010101"/>
          <w:sz w:val="20"/>
        </w:rPr>
        <w:t>9</w:t>
      </w:r>
    </w:p>
    <w:p>
      <w:pPr>
        <w:pStyle w:val="BodyText"/>
        <w:spacing w:before="8"/>
        <w:rPr>
          <w:rFonts w:ascii="Arial"/>
          <w:b/>
          <w:sz w:val="11"/>
        </w:rPr>
      </w:pPr>
    </w:p>
    <w:p>
      <w:pPr>
        <w:spacing w:after="0"/>
        <w:rPr>
          <w:rFonts w:ascii="Arial"/>
          <w:sz w:val="11"/>
        </w:rPr>
        <w:sectPr>
          <w:pgSz w:w="7200" w:h="11340"/>
          <w:pgMar w:top="500" w:bottom="280" w:left="660" w:right="540"/>
        </w:sectPr>
      </w:pPr>
    </w:p>
    <w:p>
      <w:pPr>
        <w:spacing w:before="73"/>
        <w:ind w:left="154" w:right="0" w:firstLine="0"/>
        <w:jc w:val="left"/>
        <w:rPr>
          <w:sz w:val="21"/>
        </w:rPr>
      </w:pPr>
      <w:r>
        <w:rPr>
          <w:color w:val="010101"/>
          <w:sz w:val="21"/>
        </w:rPr>
        <w:t>so for the joint-life  status we have, by  definition,</w:t>
      </w:r>
    </w:p>
    <w:p>
      <w:pPr>
        <w:tabs>
          <w:tab w:pos="3826" w:val="left" w:leader="none"/>
          <w:tab w:pos="4447" w:val="left" w:leader="none"/>
        </w:tabs>
        <w:spacing w:line="252" w:lineRule="auto" w:before="131"/>
        <w:ind w:left="2491" w:right="0" w:firstLine="610"/>
        <w:jc w:val="left"/>
        <w:rPr>
          <w:b/>
          <w:i/>
          <w:sz w:val="22"/>
        </w:rPr>
      </w:pPr>
      <w:r>
        <w:rPr/>
        <w:drawing>
          <wp:anchor distT="0" distB="0" distL="0" distR="0" allowOverlap="1" layoutInCell="1" locked="0" behindDoc="0" simplePos="0" relativeHeight="15664">
            <wp:simplePos x="0" y="0"/>
            <wp:positionH relativeFrom="page">
              <wp:posOffset>786383</wp:posOffset>
            </wp:positionH>
            <wp:positionV relativeFrom="paragraph">
              <wp:posOffset>209396</wp:posOffset>
            </wp:positionV>
            <wp:extent cx="996696" cy="100584"/>
            <wp:effectExtent l="0" t="0" r="0" b="0"/>
            <wp:wrapNone/>
            <wp:docPr id="401" name="image206.png" descr=""/>
            <wp:cNvGraphicFramePr>
              <a:graphicFrameLocks noChangeAspect="1"/>
            </wp:cNvGraphicFramePr>
            <a:graphic>
              <a:graphicData uri="http://schemas.openxmlformats.org/drawingml/2006/picture">
                <pic:pic>
                  <pic:nvPicPr>
                    <pic:cNvPr id="402" name="image206.png"/>
                    <pic:cNvPicPr/>
                  </pic:nvPicPr>
                  <pic:blipFill>
                    <a:blip r:embed="rId210" cstate="print"/>
                    <a:stretch>
                      <a:fillRect/>
                    </a:stretch>
                  </pic:blipFill>
                  <pic:spPr>
                    <a:xfrm>
                      <a:off x="0" y="0"/>
                      <a:ext cx="996696" cy="100584"/>
                    </a:xfrm>
                    <a:prstGeom prst="rect">
                      <a:avLst/>
                    </a:prstGeom>
                  </pic:spPr>
                </pic:pic>
              </a:graphicData>
            </a:graphic>
          </wp:anchor>
        </w:drawing>
      </w:r>
      <w:r>
        <w:rPr>
          <w:b/>
          <w:color w:val="010101"/>
          <w:w w:val="105"/>
          <w:sz w:val="20"/>
        </w:rPr>
        <w:t>1</w:t>
        <w:tab/>
      </w:r>
      <w:r>
        <w:rPr>
          <w:b/>
          <w:color w:val="010101"/>
          <w:w w:val="95"/>
          <w:sz w:val="23"/>
        </w:rPr>
        <w:t>dla</w:t>
      </w:r>
      <w:r>
        <w:rPr>
          <w:b/>
          <w:color w:val="010101"/>
          <w:w w:val="95"/>
          <w:position w:val="-2"/>
          <w:sz w:val="15"/>
        </w:rPr>
        <w:t>1</w:t>
      </w:r>
      <w:r>
        <w:rPr>
          <w:b/>
          <w:color w:val="010101"/>
          <w:spacing w:val="30"/>
          <w:w w:val="95"/>
          <w:position w:val="-2"/>
          <w:sz w:val="15"/>
        </w:rPr>
        <w:t> </w:t>
      </w:r>
      <w:r>
        <w:rPr>
          <w:b/>
          <w:color w:val="010101"/>
          <w:w w:val="95"/>
          <w:sz w:val="16"/>
        </w:rPr>
        <w:t>+,:sa+l:•••:s</w:t>
      </w:r>
      <w:r>
        <w:rPr>
          <w:b/>
          <w:color w:val="010101"/>
          <w:w w:val="95"/>
          <w:sz w:val="16"/>
          <w:u w:val="thick" w:color="000000"/>
        </w:rPr>
        <w:t>.</w:t>
      </w:r>
      <w:r>
        <w:rPr>
          <w:b/>
          <w:color w:val="010101"/>
          <w:w w:val="95"/>
          <w:sz w:val="16"/>
        </w:rPr>
        <w:t>.</w:t>
      </w:r>
      <w:r>
        <w:rPr>
          <w:b/>
          <w:color w:val="010101"/>
          <w:w w:val="95"/>
          <w:sz w:val="15"/>
        </w:rPr>
        <w:t>+I</w:t>
      </w:r>
      <w:r>
        <w:rPr>
          <w:b/>
          <w:color w:val="010101"/>
          <w:w w:val="104"/>
          <w:sz w:val="15"/>
        </w:rPr>
        <w:t> </w:t>
      </w:r>
      <w:r>
        <w:rPr>
          <w:b/>
          <w:color w:val="010101"/>
          <w:w w:val="105"/>
          <w:sz w:val="15"/>
        </w:rPr>
        <w:t>la1+•:•1H:•</w:t>
      </w:r>
      <w:r>
        <w:rPr>
          <w:b/>
          <w:color w:val="010101"/>
          <w:spacing w:val="8"/>
          <w:w w:val="105"/>
          <w:sz w:val="15"/>
        </w:rPr>
        <w:t> </w:t>
      </w:r>
      <w:r>
        <w:rPr>
          <w:b/>
          <w:color w:val="010101"/>
          <w:w w:val="105"/>
          <w:sz w:val="15"/>
        </w:rPr>
        <w:t>..</w:t>
      </w:r>
      <w:r>
        <w:rPr>
          <w:b/>
          <w:color w:val="010101"/>
          <w:spacing w:val="-5"/>
          <w:w w:val="105"/>
          <w:sz w:val="15"/>
        </w:rPr>
        <w:t> :s..H</w:t>
        <w:tab/>
        <w:tab/>
      </w:r>
      <w:r>
        <w:rPr>
          <w:b/>
          <w:i/>
          <w:color w:val="010101"/>
          <w:w w:val="105"/>
          <w:sz w:val="22"/>
        </w:rPr>
        <w:t>dl</w:t>
      </w:r>
    </w:p>
    <w:p>
      <w:pPr>
        <w:spacing w:line="296" w:lineRule="exact" w:before="56"/>
        <w:ind w:left="1992" w:right="0" w:firstLine="0"/>
        <w:jc w:val="left"/>
        <w:rPr>
          <w:rFonts w:ascii="Arial" w:hAnsi="Arial"/>
          <w:b/>
          <w:sz w:val="19"/>
        </w:rPr>
      </w:pPr>
      <w:r>
        <w:rPr>
          <w:color w:val="010101"/>
          <w:w w:val="90"/>
          <w:sz w:val="28"/>
        </w:rPr>
        <w:t>= </w:t>
      </w:r>
      <w:r>
        <w:rPr>
          <w:color w:val="010101"/>
          <w:w w:val="110"/>
          <w:sz w:val="28"/>
        </w:rPr>
        <w:t>-</w:t>
      </w:r>
      <w:r>
        <w:rPr>
          <w:color w:val="010101"/>
          <w:spacing w:val="-63"/>
          <w:w w:val="110"/>
          <w:sz w:val="28"/>
        </w:rPr>
        <w:t> </w:t>
      </w:r>
      <w:r>
        <w:rPr>
          <w:b/>
          <w:i/>
          <w:color w:val="010101"/>
          <w:w w:val="90"/>
          <w:sz w:val="21"/>
          <w:u w:val="thick" w:color="000000"/>
        </w:rPr>
        <w:t>d </w:t>
      </w:r>
      <w:r>
        <w:rPr>
          <w:b/>
          <w:color w:val="010101"/>
          <w:spacing w:val="-6"/>
          <w:w w:val="105"/>
          <w:sz w:val="22"/>
          <w:u w:val="thick" w:color="000000"/>
        </w:rPr>
        <w:t>log </w:t>
      </w:r>
      <w:r>
        <w:rPr>
          <w:b/>
          <w:color w:val="010101"/>
          <w:w w:val="90"/>
          <w:sz w:val="23"/>
          <w:u w:val="thick" w:color="000000"/>
        </w:rPr>
        <w:t>la,+•=••+•:·· ·:•..</w:t>
      </w:r>
      <w:r>
        <w:rPr>
          <w:rFonts w:ascii="Arial" w:hAnsi="Arial"/>
          <w:b/>
          <w:color w:val="010101"/>
          <w:w w:val="90"/>
          <w:sz w:val="19"/>
          <w:u w:val="thick" w:color="000000"/>
        </w:rPr>
        <w:t>+•</w:t>
      </w:r>
    </w:p>
    <w:p>
      <w:pPr>
        <w:spacing w:line="216" w:lineRule="exact" w:before="0"/>
        <w:ind w:left="1930" w:right="394" w:firstLine="0"/>
        <w:jc w:val="center"/>
        <w:rPr>
          <w:i/>
          <w:sz w:val="21"/>
        </w:rPr>
      </w:pPr>
      <w:r>
        <w:rPr>
          <w:i/>
          <w:color w:val="010101"/>
          <w:sz w:val="21"/>
        </w:rPr>
        <w:t>dt</w:t>
      </w:r>
    </w:p>
    <w:p>
      <w:pPr>
        <w:spacing w:before="100"/>
        <w:ind w:left="151" w:right="394" w:firstLine="0"/>
        <w:jc w:val="center"/>
        <w:rPr>
          <w:sz w:val="21"/>
        </w:rPr>
      </w:pPr>
      <w:r>
        <w:rPr>
          <w:color w:val="010101"/>
          <w:sz w:val="21"/>
        </w:rPr>
        <w:t>But this may be expreesed in terms of  single-lif e l's as</w:t>
      </w:r>
    </w:p>
    <w:p>
      <w:pPr>
        <w:spacing w:line="264" w:lineRule="exact" w:before="123"/>
        <w:ind w:left="151" w:right="822" w:firstLine="0"/>
        <w:jc w:val="center"/>
        <w:rPr>
          <w:b/>
          <w:sz w:val="16"/>
        </w:rPr>
      </w:pPr>
      <w:r>
        <w:rPr>
          <w:color w:val="010101"/>
          <w:w w:val="134"/>
          <w:sz w:val="21"/>
        </w:rPr>
        <w:t>_</w:t>
      </w:r>
      <w:r>
        <w:rPr>
          <w:color w:val="010101"/>
          <w:sz w:val="21"/>
        </w:rPr>
        <w:t> </w:t>
      </w:r>
      <w:r>
        <w:rPr>
          <w:color w:val="010101"/>
          <w:spacing w:val="-13"/>
          <w:sz w:val="21"/>
        </w:rPr>
        <w:t> </w:t>
      </w:r>
      <w:r>
        <w:rPr>
          <w:b/>
          <w:i/>
          <w:color w:val="010101"/>
          <w:w w:val="88"/>
          <w:sz w:val="21"/>
        </w:rPr>
        <w:t>d</w:t>
      </w:r>
      <w:r>
        <w:rPr>
          <w:b/>
          <w:i/>
          <w:color w:val="010101"/>
          <w:spacing w:val="20"/>
          <w:sz w:val="21"/>
        </w:rPr>
        <w:t> </w:t>
      </w:r>
      <w:r>
        <w:rPr>
          <w:b/>
          <w:color w:val="010101"/>
          <w:w w:val="89"/>
          <w:sz w:val="22"/>
        </w:rPr>
        <w:t>log</w:t>
      </w:r>
      <w:r>
        <w:rPr>
          <w:b/>
          <w:color w:val="010101"/>
          <w:spacing w:val="11"/>
          <w:sz w:val="22"/>
        </w:rPr>
        <w:t> </w:t>
      </w:r>
      <w:r>
        <w:rPr>
          <w:b/>
          <w:i/>
          <w:color w:val="010101"/>
          <w:w w:val="85"/>
          <w:sz w:val="21"/>
        </w:rPr>
        <w:t>kl</w:t>
      </w:r>
      <w:r>
        <w:rPr>
          <w:b/>
          <w:i/>
          <w:color w:val="010101"/>
          <w:spacing w:val="15"/>
          <w:w w:val="85"/>
          <w:sz w:val="21"/>
        </w:rPr>
        <w:t>z</w:t>
      </w:r>
      <w:r>
        <w:rPr>
          <w:rFonts w:ascii="Arial" w:hAnsi="Arial"/>
          <w:b/>
          <w:i/>
          <w:color w:val="010101"/>
          <w:w w:val="97"/>
          <w:position w:val="-3"/>
          <w:sz w:val="10"/>
        </w:rPr>
        <w:t>1</w:t>
      </w:r>
      <w:r>
        <w:rPr>
          <w:rFonts w:ascii="Arial" w:hAnsi="Arial"/>
          <w:b/>
          <w:i/>
          <w:color w:val="010101"/>
          <w:spacing w:val="-11"/>
          <w:position w:val="-3"/>
          <w:sz w:val="10"/>
        </w:rPr>
        <w:t> </w:t>
      </w:r>
      <w:r>
        <w:rPr>
          <w:b/>
          <w:i/>
          <w:color w:val="010101"/>
          <w:w w:val="97"/>
          <w:sz w:val="16"/>
        </w:rPr>
        <w:t>+1ls</w:t>
      </w:r>
      <w:r>
        <w:rPr>
          <w:rFonts w:ascii="Arial" w:hAnsi="Arial"/>
          <w:b/>
          <w:i/>
          <w:color w:val="010101"/>
          <w:spacing w:val="5"/>
          <w:w w:val="125"/>
          <w:position w:val="-2"/>
          <w:sz w:val="10"/>
        </w:rPr>
        <w:t>1</w:t>
      </w:r>
      <w:r>
        <w:rPr>
          <w:b/>
          <w:i/>
          <w:color w:val="010101"/>
          <w:w w:val="89"/>
          <w:sz w:val="16"/>
        </w:rPr>
        <w:t>+1</w:t>
      </w:r>
      <w:r>
        <w:rPr>
          <w:b/>
          <w:i/>
          <w:color w:val="010101"/>
          <w:sz w:val="16"/>
        </w:rPr>
        <w:t> </w:t>
      </w:r>
      <w:r>
        <w:rPr>
          <w:b/>
          <w:i/>
          <w:color w:val="010101"/>
          <w:spacing w:val="17"/>
          <w:sz w:val="16"/>
        </w:rPr>
        <w:t> </w:t>
      </w:r>
      <w:r>
        <w:rPr>
          <w:color w:val="010101"/>
          <w:w w:val="70"/>
          <w:sz w:val="16"/>
        </w:rPr>
        <w:t>•</w:t>
      </w:r>
      <w:r>
        <w:rPr>
          <w:color w:val="010101"/>
          <w:spacing w:val="17"/>
          <w:sz w:val="16"/>
        </w:rPr>
        <w:t> </w:t>
      </w:r>
      <w:r>
        <w:rPr>
          <w:color w:val="010101"/>
          <w:w w:val="201"/>
          <w:sz w:val="16"/>
        </w:rPr>
        <w:t>'</w:t>
      </w:r>
      <w:r>
        <w:rPr>
          <w:color w:val="010101"/>
          <w:spacing w:val="2"/>
          <w:sz w:val="16"/>
        </w:rPr>
        <w:t> </w:t>
      </w:r>
      <w:r>
        <w:rPr>
          <w:color w:val="010101"/>
          <w:w w:val="79"/>
          <w:sz w:val="16"/>
        </w:rPr>
        <w:t>•</w:t>
      </w:r>
      <w:r>
        <w:rPr>
          <w:color w:val="010101"/>
          <w:sz w:val="16"/>
        </w:rPr>
        <w:t> </w:t>
      </w:r>
      <w:r>
        <w:rPr>
          <w:color w:val="010101"/>
          <w:spacing w:val="8"/>
          <w:sz w:val="16"/>
        </w:rPr>
        <w:t> </w:t>
      </w:r>
      <w:r>
        <w:rPr>
          <w:b/>
          <w:i/>
          <w:color w:val="010101"/>
          <w:spacing w:val="6"/>
          <w:w w:val="80"/>
          <w:sz w:val="21"/>
        </w:rPr>
        <w:t>l</w:t>
      </w:r>
      <w:r>
        <w:rPr>
          <w:b/>
          <w:i/>
          <w:color w:val="010101"/>
          <w:w w:val="117"/>
          <w:sz w:val="21"/>
          <w:u w:val="thick" w:color="000000"/>
        </w:rPr>
        <w:t>•</w:t>
      </w:r>
      <w:r>
        <w:rPr>
          <w:b/>
          <w:i/>
          <w:color w:val="010101"/>
          <w:spacing w:val="2"/>
          <w:w w:val="117"/>
          <w:sz w:val="21"/>
          <w:u w:val="thick" w:color="000000"/>
        </w:rPr>
        <w:t>•</w:t>
      </w:r>
      <w:r>
        <w:rPr>
          <w:b/>
          <w:color w:val="010101"/>
          <w:w w:val="87"/>
          <w:sz w:val="16"/>
          <w:u w:val="thick" w:color="000000"/>
        </w:rPr>
        <w:t>+e</w:t>
      </w:r>
    </w:p>
    <w:p>
      <w:pPr>
        <w:spacing w:line="228" w:lineRule="exact" w:before="0"/>
        <w:ind w:left="1335" w:right="1774" w:firstLine="0"/>
        <w:jc w:val="center"/>
        <w:rPr>
          <w:rFonts w:ascii="Arial"/>
          <w:i/>
          <w:sz w:val="20"/>
        </w:rPr>
      </w:pPr>
      <w:r>
        <w:rPr>
          <w:rFonts w:ascii="Arial"/>
          <w:i/>
          <w:color w:val="010101"/>
          <w:sz w:val="20"/>
        </w:rPr>
        <w:t>dl</w:t>
      </w:r>
    </w:p>
    <w:p>
      <w:pPr>
        <w:pStyle w:val="BodyText"/>
        <w:rPr>
          <w:rFonts w:ascii="Arial"/>
          <w:i/>
        </w:rPr>
      </w:pPr>
      <w:r>
        <w:rPr/>
        <w:br w:type="column"/>
      </w:r>
      <w:r>
        <w:rPr>
          <w:rFonts w:ascii="Arial"/>
          <w:i/>
        </w:rPr>
      </w:r>
    </w:p>
    <w:p>
      <w:pPr>
        <w:pStyle w:val="BodyText"/>
        <w:rPr>
          <w:rFonts w:ascii="Arial"/>
          <w:i/>
        </w:rPr>
      </w:pPr>
    </w:p>
    <w:p>
      <w:pPr>
        <w:pStyle w:val="BodyText"/>
        <w:rPr>
          <w:rFonts w:ascii="Arial"/>
          <w:i/>
        </w:rPr>
      </w:pPr>
    </w:p>
    <w:p>
      <w:pPr>
        <w:pStyle w:val="BodyText"/>
        <w:spacing w:before="2"/>
        <w:rPr>
          <w:rFonts w:ascii="Arial"/>
          <w:i/>
          <w:sz w:val="17"/>
        </w:rPr>
      </w:pPr>
    </w:p>
    <w:p>
      <w:pPr>
        <w:pStyle w:val="BodyText"/>
        <w:ind w:left="147"/>
      </w:pPr>
      <w:r>
        <w:rPr>
          <w:color w:val="010101"/>
          <w:w w:val="110"/>
        </w:rPr>
        <w:t>(9.7)</w:t>
      </w:r>
    </w:p>
    <w:p>
      <w:pPr>
        <w:spacing w:after="0"/>
        <w:sectPr>
          <w:type w:val="continuous"/>
          <w:pgSz w:w="7200" w:h="11340"/>
          <w:pgMar w:top="1100" w:bottom="0" w:left="660" w:right="540"/>
          <w:cols w:num="2" w:equalWidth="0">
            <w:col w:w="5231" w:space="60"/>
            <w:col w:w="709"/>
          </w:cols>
        </w:sectPr>
      </w:pPr>
    </w:p>
    <w:p>
      <w:pPr>
        <w:spacing w:line="294" w:lineRule="exact" w:before="78"/>
        <w:ind w:left="861" w:right="0" w:firstLine="0"/>
        <w:jc w:val="left"/>
        <w:rPr>
          <w:sz w:val="17"/>
        </w:rPr>
      </w:pPr>
      <w:r>
        <w:rPr>
          <w:color w:val="010101"/>
          <w:sz w:val="26"/>
        </w:rPr>
        <w:t>= _ </w:t>
      </w:r>
      <w:r>
        <w:rPr>
          <w:b/>
          <w:i/>
          <w:color w:val="010101"/>
          <w:sz w:val="21"/>
        </w:rPr>
        <w:t>d </w:t>
      </w:r>
      <w:r>
        <w:rPr>
          <w:b/>
          <w:color w:val="010101"/>
          <w:sz w:val="22"/>
        </w:rPr>
        <w:t>log </w:t>
      </w:r>
      <w:r>
        <w:rPr>
          <w:rFonts w:ascii="Arial" w:hAnsi="Arial"/>
          <w:b/>
          <w:color w:val="010101"/>
          <w:sz w:val="19"/>
        </w:rPr>
        <w:t>z</w:t>
      </w:r>
      <w:r>
        <w:rPr>
          <w:rFonts w:ascii="Arial" w:hAnsi="Arial"/>
          <w:b/>
          <w:color w:val="010101"/>
          <w:sz w:val="19"/>
          <w:u w:val="single" w:color="000000"/>
        </w:rPr>
        <w:t>.</w:t>
      </w:r>
      <w:r>
        <w:rPr>
          <w:rFonts w:ascii="Arial" w:hAnsi="Arial"/>
          <w:b/>
          <w:color w:val="010101"/>
          <w:sz w:val="19"/>
        </w:rPr>
        <w:t>1+• </w:t>
      </w:r>
      <w:r>
        <w:rPr>
          <w:rFonts w:ascii="Arial" w:hAnsi="Arial"/>
          <w:color w:val="010101"/>
          <w:w w:val="130"/>
          <w:sz w:val="19"/>
        </w:rPr>
        <w:t>_ </w:t>
      </w:r>
      <w:r>
        <w:rPr>
          <w:b/>
          <w:i/>
          <w:color w:val="010101"/>
          <w:sz w:val="21"/>
        </w:rPr>
        <w:t>d </w:t>
      </w:r>
      <w:r>
        <w:rPr>
          <w:b/>
          <w:color w:val="010101"/>
          <w:sz w:val="22"/>
        </w:rPr>
        <w:t>log </w:t>
      </w:r>
      <w:r>
        <w:rPr>
          <w:rFonts w:ascii="Arial" w:hAnsi="Arial"/>
          <w:b/>
          <w:color w:val="010101"/>
          <w:sz w:val="19"/>
        </w:rPr>
        <w:t>z</w:t>
      </w:r>
      <w:r>
        <w:rPr>
          <w:rFonts w:ascii="Arial" w:hAnsi="Arial"/>
          <w:b/>
          <w:color w:val="010101"/>
          <w:sz w:val="19"/>
          <w:u w:val="thick" w:color="000000"/>
        </w:rPr>
        <w:t>•• </w:t>
      </w:r>
      <w:r>
        <w:rPr>
          <w:b/>
          <w:color w:val="010101"/>
          <w:sz w:val="17"/>
        </w:rPr>
        <w:t>+, </w:t>
      </w:r>
      <w:r>
        <w:rPr>
          <w:color w:val="010101"/>
          <w:w w:val="130"/>
          <w:sz w:val="17"/>
        </w:rPr>
        <w:t>_</w:t>
      </w:r>
    </w:p>
    <w:p>
      <w:pPr>
        <w:tabs>
          <w:tab w:pos="2127" w:val="left" w:leader="none"/>
        </w:tabs>
        <w:spacing w:line="225" w:lineRule="exact" w:before="0"/>
        <w:ind w:left="978" w:right="0" w:firstLine="0"/>
        <w:jc w:val="center"/>
        <w:rPr>
          <w:i/>
          <w:sz w:val="20"/>
        </w:rPr>
      </w:pPr>
      <w:r>
        <w:rPr>
          <w:i/>
          <w:color w:val="010101"/>
          <w:sz w:val="20"/>
        </w:rPr>
        <w:t>dt</w:t>
        <w:tab/>
        <w:t>dt</w:t>
      </w:r>
    </w:p>
    <w:p>
      <w:pPr>
        <w:spacing w:before="41"/>
        <w:ind w:left="861" w:right="0" w:firstLine="0"/>
        <w:jc w:val="center"/>
        <w:rPr>
          <w:sz w:val="16"/>
        </w:rPr>
      </w:pPr>
      <w:r>
        <w:rPr>
          <w:color w:val="010101"/>
          <w:sz w:val="23"/>
        </w:rPr>
        <w:t>= </w:t>
      </w:r>
      <w:r>
        <w:rPr>
          <w:b/>
          <w:color w:val="010101"/>
          <w:sz w:val="16"/>
        </w:rPr>
        <w:t>P.z1+I </w:t>
      </w:r>
      <w:r>
        <w:rPr>
          <w:rFonts w:ascii="Arial" w:hAnsi="Arial"/>
          <w:color w:val="010101"/>
          <w:sz w:val="32"/>
        </w:rPr>
        <w:t>+ </w:t>
      </w:r>
      <w:r>
        <w:rPr>
          <w:b/>
          <w:color w:val="010101"/>
          <w:sz w:val="16"/>
        </w:rPr>
        <w:t>P.s1+I </w:t>
      </w:r>
      <w:r>
        <w:rPr>
          <w:rFonts w:ascii="Arial" w:hAnsi="Arial"/>
          <w:color w:val="010101"/>
          <w:sz w:val="32"/>
        </w:rPr>
        <w:t>+ </w:t>
      </w:r>
      <w:r>
        <w:rPr>
          <w:rFonts w:ascii="Arial" w:hAnsi="Arial"/>
          <w:color w:val="010101"/>
          <w:spacing w:val="-4"/>
          <w:sz w:val="32"/>
        </w:rPr>
        <w:t>··· </w:t>
      </w:r>
      <w:r>
        <w:rPr>
          <w:rFonts w:ascii="Arial" w:hAnsi="Arial"/>
          <w:color w:val="010101"/>
          <w:sz w:val="32"/>
        </w:rPr>
        <w:t>+</w:t>
      </w:r>
      <w:r>
        <w:rPr>
          <w:rFonts w:ascii="Arial" w:hAnsi="Arial"/>
          <w:color w:val="010101"/>
          <w:spacing w:val="-55"/>
          <w:sz w:val="32"/>
        </w:rPr>
        <w:t> </w:t>
      </w:r>
      <w:r>
        <w:rPr>
          <w:b/>
          <w:color w:val="010101"/>
          <w:sz w:val="16"/>
        </w:rPr>
        <w:t>l's,..+c </w:t>
      </w:r>
      <w:r>
        <w:rPr>
          <w:color w:val="010101"/>
          <w:sz w:val="16"/>
        </w:rPr>
        <w:t>•</w:t>
      </w:r>
    </w:p>
    <w:p>
      <w:pPr>
        <w:spacing w:line="250" w:lineRule="exact" w:before="125"/>
        <w:ind w:left="306" w:right="0" w:firstLine="0"/>
        <w:jc w:val="left"/>
        <w:rPr>
          <w:b/>
          <w:sz w:val="17"/>
        </w:rPr>
      </w:pPr>
      <w:r>
        <w:rPr/>
        <w:br w:type="column"/>
      </w:r>
      <w:r>
        <w:rPr>
          <w:color w:val="010101"/>
          <w:w w:val="295"/>
          <w:sz w:val="20"/>
        </w:rPr>
        <w:t>-</w:t>
      </w:r>
      <w:r>
        <w:rPr>
          <w:color w:val="010101"/>
          <w:spacing w:val="-11"/>
          <w:sz w:val="20"/>
        </w:rPr>
        <w:t> </w:t>
      </w:r>
      <w:r>
        <w:rPr>
          <w:i/>
          <w:color w:val="010101"/>
          <w:w w:val="88"/>
          <w:sz w:val="20"/>
        </w:rPr>
        <w:t>d</w:t>
      </w:r>
      <w:r>
        <w:rPr>
          <w:i/>
          <w:color w:val="010101"/>
          <w:sz w:val="20"/>
        </w:rPr>
        <w:t> </w:t>
      </w:r>
      <w:r>
        <w:rPr>
          <w:i/>
          <w:color w:val="010101"/>
          <w:spacing w:val="-13"/>
          <w:sz w:val="20"/>
        </w:rPr>
        <w:t> </w:t>
      </w:r>
      <w:r>
        <w:rPr>
          <w:b/>
          <w:color w:val="010101"/>
          <w:w w:val="86"/>
          <w:sz w:val="22"/>
        </w:rPr>
        <w:t>lo</w:t>
      </w:r>
      <w:r>
        <w:rPr>
          <w:b/>
          <w:color w:val="010101"/>
          <w:w w:val="87"/>
          <w:sz w:val="22"/>
          <w:u w:val="single" w:color="000000"/>
        </w:rPr>
        <w:t>g</w:t>
      </w:r>
      <w:r>
        <w:rPr>
          <w:b/>
          <w:color w:val="010101"/>
          <w:spacing w:val="16"/>
          <w:sz w:val="22"/>
        </w:rPr>
        <w:t> </w:t>
      </w:r>
      <w:r>
        <w:rPr>
          <w:rFonts w:ascii="Arial" w:hAnsi="Arial"/>
          <w:b/>
          <w:color w:val="010101"/>
          <w:spacing w:val="1"/>
          <w:w w:val="51"/>
          <w:sz w:val="22"/>
        </w:rPr>
        <w:t>z</w:t>
      </w:r>
      <w:r>
        <w:rPr>
          <w:rFonts w:ascii="Arial" w:hAnsi="Arial"/>
          <w:b/>
          <w:color w:val="010101"/>
          <w:w w:val="107"/>
          <w:sz w:val="22"/>
        </w:rPr>
        <w:t>•</w:t>
      </w:r>
      <w:r>
        <w:rPr>
          <w:rFonts w:ascii="Arial" w:hAnsi="Arial"/>
          <w:b/>
          <w:color w:val="010101"/>
          <w:spacing w:val="5"/>
          <w:w w:val="107"/>
          <w:sz w:val="22"/>
        </w:rPr>
        <w:t>•</w:t>
      </w:r>
      <w:r>
        <w:rPr>
          <w:b/>
          <w:color w:val="010101"/>
          <w:w w:val="104"/>
          <w:sz w:val="17"/>
        </w:rPr>
        <w:t>+,</w:t>
      </w:r>
    </w:p>
    <w:p>
      <w:pPr>
        <w:spacing w:line="226" w:lineRule="exact" w:before="0"/>
        <w:ind w:left="873" w:right="1187" w:firstLine="0"/>
        <w:jc w:val="center"/>
        <w:rPr>
          <w:i/>
          <w:sz w:val="20"/>
        </w:rPr>
      </w:pPr>
      <w:r>
        <w:rPr>
          <w:i/>
          <w:color w:val="010101"/>
          <w:sz w:val="20"/>
        </w:rPr>
        <w:t>dt</w:t>
      </w:r>
    </w:p>
    <w:p>
      <w:pPr>
        <w:spacing w:after="0" w:line="226" w:lineRule="exact"/>
        <w:jc w:val="center"/>
        <w:rPr>
          <w:sz w:val="20"/>
        </w:rPr>
        <w:sectPr>
          <w:type w:val="continuous"/>
          <w:pgSz w:w="7200" w:h="11340"/>
          <w:pgMar w:top="1100" w:bottom="0" w:left="660" w:right="540"/>
          <w:cols w:num="2" w:equalWidth="0">
            <w:col w:w="3703" w:space="40"/>
            <w:col w:w="2257"/>
          </w:cols>
        </w:sectPr>
      </w:pPr>
    </w:p>
    <w:p>
      <w:pPr>
        <w:spacing w:line="238" w:lineRule="exact" w:before="69"/>
        <w:ind w:left="136" w:right="147" w:firstLine="0"/>
        <w:jc w:val="left"/>
        <w:rPr>
          <w:sz w:val="21"/>
        </w:rPr>
      </w:pPr>
      <w:r>
        <w:rPr>
          <w:color w:val="010101"/>
          <w:sz w:val="21"/>
        </w:rPr>
        <w:t>Thus the joint-life force of mortality is equal to the sum of the single-life forces of morta.lity :</w:t>
      </w:r>
      <w:r>
        <w:rPr>
          <w:color w:val="1C1C1C"/>
          <w:sz w:val="21"/>
        </w:rPr>
        <w:t>·</w:t>
      </w:r>
    </w:p>
    <w:p>
      <w:pPr>
        <w:tabs>
          <w:tab w:pos="5430" w:val="left" w:leader="none"/>
        </w:tabs>
        <w:spacing w:before="51"/>
        <w:ind w:left="334" w:right="0" w:firstLine="1087"/>
        <w:jc w:val="left"/>
        <w:rPr>
          <w:rFonts w:ascii="Arial" w:hAnsi="Arial"/>
          <w:b/>
          <w:sz w:val="20"/>
        </w:rPr>
      </w:pPr>
      <w:r>
        <w:rPr>
          <w:b/>
          <w:color w:val="010101"/>
          <w:w w:val="82"/>
          <w:sz w:val="18"/>
        </w:rPr>
        <w:t>l"•1•2"·•,..</w:t>
      </w:r>
      <w:r>
        <w:rPr>
          <w:b/>
          <w:color w:val="010101"/>
          <w:sz w:val="18"/>
        </w:rPr>
        <w:t> </w:t>
      </w:r>
      <w:r>
        <w:rPr>
          <w:b/>
          <w:color w:val="010101"/>
          <w:spacing w:val="17"/>
          <w:sz w:val="18"/>
        </w:rPr>
        <w:t> </w:t>
      </w:r>
      <w:r>
        <w:rPr>
          <w:color w:val="010101"/>
          <w:w w:val="107"/>
          <w:sz w:val="23"/>
        </w:rPr>
        <w:t>=</w:t>
      </w:r>
      <w:r>
        <w:rPr>
          <w:color w:val="010101"/>
          <w:sz w:val="23"/>
        </w:rPr>
        <w:t> </w:t>
      </w:r>
      <w:r>
        <w:rPr>
          <w:color w:val="010101"/>
          <w:spacing w:val="-18"/>
          <w:sz w:val="23"/>
        </w:rPr>
        <w:t> </w:t>
      </w:r>
      <w:r>
        <w:rPr>
          <w:b/>
          <w:color w:val="010101"/>
          <w:w w:val="62"/>
          <w:sz w:val="18"/>
        </w:rPr>
        <w:t>J.'s1</w:t>
      </w:r>
      <w:r>
        <w:rPr>
          <w:b/>
          <w:color w:val="010101"/>
          <w:sz w:val="18"/>
        </w:rPr>
        <w:t> </w:t>
      </w:r>
      <w:r>
        <w:rPr>
          <w:b/>
          <w:color w:val="010101"/>
          <w:spacing w:val="8"/>
          <w:sz w:val="18"/>
        </w:rPr>
        <w:t> </w:t>
      </w:r>
      <w:r>
        <w:rPr>
          <w:rFonts w:ascii="Arial" w:hAnsi="Arial"/>
          <w:color w:val="010101"/>
          <w:w w:val="101"/>
          <w:sz w:val="32"/>
        </w:rPr>
        <w:t>+</w:t>
      </w:r>
      <w:r>
        <w:rPr>
          <w:rFonts w:ascii="Arial" w:hAnsi="Arial"/>
          <w:color w:val="010101"/>
          <w:spacing w:val="-36"/>
          <w:sz w:val="32"/>
        </w:rPr>
        <w:t> </w:t>
      </w:r>
      <w:r>
        <w:rPr>
          <w:rFonts w:ascii="Arial" w:hAnsi="Arial"/>
          <w:b/>
          <w:color w:val="010101"/>
          <w:w w:val="73"/>
          <w:sz w:val="15"/>
        </w:rPr>
        <w:t>1-'st</w:t>
      </w:r>
      <w:r>
        <w:rPr>
          <w:rFonts w:ascii="Arial" w:hAnsi="Arial"/>
          <w:b/>
          <w:color w:val="010101"/>
          <w:sz w:val="15"/>
        </w:rPr>
        <w:t> </w:t>
      </w:r>
      <w:r>
        <w:rPr>
          <w:rFonts w:ascii="Arial" w:hAnsi="Arial"/>
          <w:b/>
          <w:color w:val="010101"/>
          <w:spacing w:val="1"/>
          <w:sz w:val="15"/>
        </w:rPr>
        <w:t> </w:t>
      </w:r>
      <w:r>
        <w:rPr>
          <w:rFonts w:ascii="Arial" w:hAnsi="Arial"/>
          <w:color w:val="010101"/>
          <w:w w:val="104"/>
          <w:sz w:val="32"/>
        </w:rPr>
        <w:t>+</w:t>
      </w:r>
      <w:r>
        <w:rPr>
          <w:rFonts w:ascii="Arial" w:hAnsi="Arial"/>
          <w:color w:val="010101"/>
          <w:spacing w:val="-5"/>
          <w:sz w:val="32"/>
        </w:rPr>
        <w:t> </w:t>
      </w:r>
      <w:r>
        <w:rPr>
          <w:rFonts w:ascii="Arial" w:hAnsi="Arial"/>
          <w:color w:val="010101"/>
          <w:spacing w:val="3"/>
          <w:w w:val="87"/>
          <w:sz w:val="32"/>
        </w:rPr>
        <w:t>·</w:t>
      </w:r>
      <w:r>
        <w:rPr>
          <w:rFonts w:ascii="Arial" w:hAnsi="Arial"/>
          <w:color w:val="010101"/>
          <w:w w:val="38"/>
          <w:sz w:val="32"/>
        </w:rPr>
        <w:t>•</w:t>
      </w:r>
      <w:r>
        <w:rPr>
          <w:rFonts w:ascii="Arial" w:hAnsi="Arial"/>
          <w:color w:val="010101"/>
          <w:spacing w:val="-36"/>
          <w:sz w:val="32"/>
        </w:rPr>
        <w:t> </w:t>
      </w:r>
      <w:r>
        <w:rPr>
          <w:rFonts w:ascii="Arial" w:hAnsi="Arial"/>
          <w:color w:val="1C1C1C"/>
          <w:w w:val="98"/>
          <w:sz w:val="32"/>
        </w:rPr>
        <w:t>'</w:t>
      </w:r>
      <w:r>
        <w:rPr>
          <w:rFonts w:ascii="Arial" w:hAnsi="Arial"/>
          <w:color w:val="1C1C1C"/>
          <w:spacing w:val="5"/>
          <w:sz w:val="32"/>
        </w:rPr>
        <w:t> </w:t>
      </w:r>
      <w:r>
        <w:rPr>
          <w:color w:val="010101"/>
          <w:w w:val="100"/>
          <w:sz w:val="29"/>
        </w:rPr>
        <w:t>+</w:t>
      </w:r>
      <w:r>
        <w:rPr>
          <w:color w:val="010101"/>
          <w:spacing w:val="-1"/>
          <w:sz w:val="29"/>
        </w:rPr>
        <w:t> </w:t>
      </w:r>
      <w:r>
        <w:rPr>
          <w:b/>
          <w:color w:val="010101"/>
          <w:w w:val="91"/>
          <w:sz w:val="16"/>
        </w:rPr>
        <w:t>P.za</w:t>
      </w:r>
      <w:r>
        <w:rPr>
          <w:b/>
          <w:color w:val="010101"/>
          <w:sz w:val="16"/>
        </w:rPr>
        <w:t> </w:t>
      </w:r>
      <w:r>
        <w:rPr>
          <w:b/>
          <w:color w:val="010101"/>
          <w:spacing w:val="-5"/>
          <w:sz w:val="16"/>
        </w:rPr>
        <w:t> </w:t>
      </w:r>
      <w:r>
        <w:rPr>
          <w:color w:val="010101"/>
          <w:w w:val="70"/>
          <w:sz w:val="16"/>
        </w:rPr>
        <w:t>•</w:t>
      </w:r>
      <w:r>
        <w:rPr>
          <w:color w:val="010101"/>
          <w:sz w:val="16"/>
        </w:rPr>
        <w:tab/>
      </w:r>
      <w:r>
        <w:rPr>
          <w:rFonts w:ascii="Arial" w:hAnsi="Arial"/>
          <w:b/>
          <w:color w:val="010101"/>
          <w:sz w:val="20"/>
        </w:rPr>
        <w:t>(</w:t>
      </w:r>
      <w:r>
        <w:rPr>
          <w:rFonts w:ascii="Arial" w:hAnsi="Arial"/>
          <w:b/>
          <w:color w:val="010101"/>
          <w:w w:val="99"/>
          <w:sz w:val="20"/>
        </w:rPr>
        <w:t>9.8</w:t>
      </w:r>
      <w:r>
        <w:rPr>
          <w:rFonts w:ascii="Arial" w:hAnsi="Arial"/>
          <w:b/>
          <w:color w:val="010101"/>
          <w:w w:val="99"/>
          <w:sz w:val="20"/>
        </w:rPr>
        <w:t>)</w:t>
      </w:r>
    </w:p>
    <w:p>
      <w:pPr>
        <w:spacing w:before="63"/>
        <w:ind w:left="126" w:right="0" w:firstLine="208"/>
        <w:jc w:val="left"/>
        <w:rPr>
          <w:sz w:val="21"/>
        </w:rPr>
      </w:pPr>
      <w:r>
        <w:rPr>
          <w:color w:val="010101"/>
          <w:sz w:val="21"/>
        </w:rPr>
        <w:t>Commutation functions for the joint-life status are defined by analogy  with  those  for single lives; thus,</w:t>
      </w:r>
    </w:p>
    <w:p>
      <w:pPr>
        <w:spacing w:line="180" w:lineRule="exact" w:before="85"/>
        <w:ind w:left="437" w:right="87" w:firstLine="0"/>
        <w:jc w:val="center"/>
        <w:rPr>
          <w:b/>
          <w:sz w:val="18"/>
        </w:rPr>
      </w:pPr>
      <w:r>
        <w:rPr>
          <w:b/>
          <w:color w:val="010101"/>
          <w:sz w:val="18"/>
          <w:u w:val="single" w:color="000000"/>
        </w:rPr>
        <w:t>•1+•1+···+•.</w:t>
      </w:r>
    </w:p>
    <w:p>
      <w:pPr>
        <w:tabs>
          <w:tab w:pos="3119" w:val="left" w:leader="none"/>
          <w:tab w:pos="3654" w:val="left" w:leader="none"/>
          <w:tab w:pos="5427" w:val="left" w:leader="none"/>
        </w:tabs>
        <w:spacing w:line="249" w:lineRule="exact" w:before="0"/>
        <w:ind w:left="1565" w:right="0" w:firstLine="0"/>
        <w:jc w:val="left"/>
        <w:rPr>
          <w:sz w:val="20"/>
        </w:rPr>
      </w:pPr>
      <w:r>
        <w:rPr>
          <w:b/>
          <w:color w:val="010101"/>
          <w:w w:val="117"/>
          <w:sz w:val="20"/>
        </w:rPr>
        <w:t>D</w:t>
      </w:r>
      <w:r>
        <w:rPr>
          <w:b/>
          <w:color w:val="010101"/>
          <w:spacing w:val="3"/>
          <w:w w:val="117"/>
          <w:sz w:val="20"/>
        </w:rPr>
        <w:t>.</w:t>
      </w:r>
      <w:r>
        <w:rPr>
          <w:b/>
          <w:color w:val="010101"/>
          <w:w w:val="43"/>
          <w:sz w:val="20"/>
        </w:rPr>
        <w:t>1</w:t>
      </w:r>
      <w:r>
        <w:rPr>
          <w:b/>
          <w:color w:val="010101"/>
          <w:sz w:val="20"/>
        </w:rPr>
        <w:t> </w:t>
      </w:r>
      <w:r>
        <w:rPr>
          <w:b/>
          <w:color w:val="010101"/>
          <w:spacing w:val="-21"/>
          <w:sz w:val="20"/>
        </w:rPr>
        <w:t> </w:t>
      </w:r>
      <w:r>
        <w:rPr>
          <w:b/>
          <w:color w:val="010101"/>
          <w:spacing w:val="9"/>
          <w:w w:val="124"/>
          <w:sz w:val="20"/>
        </w:rPr>
        <w:t>,</w:t>
      </w:r>
      <w:r>
        <w:rPr>
          <w:b/>
          <w:color w:val="010101"/>
          <w:w w:val="75"/>
          <w:sz w:val="20"/>
        </w:rPr>
        <w:t>.</w:t>
      </w:r>
      <w:r>
        <w:rPr>
          <w:b/>
          <w:color w:val="010101"/>
          <w:spacing w:val="-34"/>
          <w:sz w:val="20"/>
        </w:rPr>
        <w:t> </w:t>
      </w:r>
      <w:r>
        <w:rPr>
          <w:b/>
          <w:color w:val="1C1C1C"/>
          <w:w w:val="94"/>
          <w:sz w:val="20"/>
        </w:rPr>
        <w:t>.</w:t>
      </w:r>
      <w:r>
        <w:rPr>
          <w:b/>
          <w:color w:val="1C1C1C"/>
          <w:spacing w:val="6"/>
          <w:w w:val="94"/>
          <w:sz w:val="20"/>
        </w:rPr>
        <w:t>.</w:t>
      </w:r>
      <w:r>
        <w:rPr>
          <w:b/>
          <w:color w:val="010101"/>
          <w:w w:val="83"/>
          <w:sz w:val="20"/>
        </w:rPr>
        <w:t>....</w:t>
      </w:r>
      <w:r>
        <w:rPr>
          <w:b/>
          <w:color w:val="010101"/>
          <w:sz w:val="20"/>
        </w:rPr>
        <w:t> </w:t>
      </w:r>
      <w:r>
        <w:rPr>
          <w:b/>
          <w:color w:val="010101"/>
          <w:spacing w:val="-4"/>
          <w:sz w:val="20"/>
        </w:rPr>
        <w:t> </w:t>
      </w:r>
      <w:r>
        <w:rPr>
          <w:color w:val="010101"/>
          <w:w w:val="91"/>
          <w:sz w:val="24"/>
        </w:rPr>
        <w:t>=</w:t>
      </w:r>
      <w:r>
        <w:rPr>
          <w:color w:val="010101"/>
          <w:sz w:val="24"/>
        </w:rPr>
        <w:t> </w:t>
      </w:r>
      <w:r>
        <w:rPr>
          <w:color w:val="010101"/>
          <w:spacing w:val="-26"/>
          <w:sz w:val="24"/>
        </w:rPr>
        <w:t> </w:t>
      </w:r>
      <w:r>
        <w:rPr>
          <w:rFonts w:ascii="Arial"/>
          <w:b/>
          <w:i/>
          <w:color w:val="010101"/>
          <w:w w:val="86"/>
          <w:sz w:val="13"/>
        </w:rPr>
        <w:t>V</w:t>
      </w:r>
      <w:r>
        <w:rPr>
          <w:rFonts w:ascii="Arial"/>
          <w:b/>
          <w:i/>
          <w:color w:val="010101"/>
          <w:sz w:val="13"/>
        </w:rPr>
        <w:tab/>
      </w:r>
      <w:r>
        <w:rPr>
          <w:rFonts w:ascii="Arial"/>
          <w:color w:val="010101"/>
          <w:w w:val="155"/>
          <w:sz w:val="13"/>
        </w:rPr>
        <w:t>"'</w:t>
      </w:r>
      <w:r>
        <w:rPr>
          <w:rFonts w:ascii="Arial"/>
          <w:color w:val="010101"/>
          <w:sz w:val="13"/>
        </w:rPr>
        <w:tab/>
      </w:r>
      <w:r>
        <w:rPr>
          <w:rFonts w:ascii="Arial"/>
          <w:b/>
          <w:color w:val="010101"/>
          <w:w w:val="108"/>
          <w:sz w:val="12"/>
        </w:rPr>
        <w:t>ZZ</w:t>
      </w:r>
      <w:r>
        <w:rPr>
          <w:rFonts w:ascii="Arial"/>
          <w:b/>
          <w:color w:val="010101"/>
          <w:w w:val="108"/>
          <w:sz w:val="12"/>
        </w:rPr>
        <w:t>JZI</w:t>
      </w:r>
      <w:r>
        <w:rPr>
          <w:rFonts w:ascii="Arial"/>
          <w:b/>
          <w:color w:val="010101"/>
          <w:spacing w:val="-5"/>
          <w:w w:val="108"/>
          <w:sz w:val="12"/>
        </w:rPr>
        <w:t>"</w:t>
      </w:r>
      <w:r>
        <w:rPr>
          <w:rFonts w:ascii="Arial"/>
          <w:color w:val="010101"/>
          <w:spacing w:val="-21"/>
          <w:w w:val="266"/>
          <w:sz w:val="12"/>
        </w:rPr>
        <w:t>.</w:t>
      </w:r>
      <w:r>
        <w:rPr>
          <w:rFonts w:ascii="Arial"/>
          <w:color w:val="010101"/>
          <w:w w:val="107"/>
          <w:sz w:val="12"/>
        </w:rPr>
        <w:t>...</w:t>
      </w:r>
      <w:r>
        <w:rPr>
          <w:rFonts w:ascii="Arial"/>
          <w:color w:val="010101"/>
          <w:spacing w:val="9"/>
          <w:sz w:val="12"/>
        </w:rPr>
        <w:t> </w:t>
      </w:r>
      <w:r>
        <w:rPr>
          <w:rFonts w:ascii="Arial"/>
          <w:color w:val="010101"/>
          <w:w w:val="296"/>
          <w:sz w:val="12"/>
        </w:rPr>
        <w:t>.</w:t>
      </w:r>
      <w:r>
        <w:rPr>
          <w:rFonts w:ascii="Arial"/>
          <w:color w:val="010101"/>
          <w:sz w:val="12"/>
        </w:rPr>
        <w:tab/>
      </w:r>
      <w:r>
        <w:rPr>
          <w:color w:val="010101"/>
          <w:w w:val="106"/>
          <w:position w:val="3"/>
          <w:sz w:val="20"/>
        </w:rPr>
        <w:t>(9</w:t>
      </w:r>
      <w:r>
        <w:rPr>
          <w:color w:val="010101"/>
          <w:spacing w:val="-17"/>
          <w:w w:val="106"/>
          <w:position w:val="3"/>
          <w:sz w:val="20"/>
        </w:rPr>
        <w:t>.</w:t>
      </w:r>
      <w:r>
        <w:rPr>
          <w:color w:val="010101"/>
          <w:w w:val="117"/>
          <w:position w:val="3"/>
          <w:sz w:val="20"/>
        </w:rPr>
        <w:t>9)</w:t>
      </w:r>
    </w:p>
    <w:p>
      <w:pPr>
        <w:spacing w:after="0" w:line="249" w:lineRule="exact"/>
        <w:jc w:val="left"/>
        <w:rPr>
          <w:sz w:val="20"/>
        </w:rPr>
        <w:sectPr>
          <w:type w:val="continuous"/>
          <w:pgSz w:w="7200" w:h="11340"/>
          <w:pgMar w:top="1100" w:bottom="0" w:left="660" w:right="540"/>
        </w:sectPr>
      </w:pPr>
    </w:p>
    <w:p>
      <w:pPr>
        <w:spacing w:line="381" w:lineRule="exact" w:before="35"/>
        <w:ind w:left="126" w:right="0" w:firstLine="0"/>
        <w:jc w:val="left"/>
        <w:rPr>
          <w:sz w:val="20"/>
        </w:rPr>
      </w:pPr>
      <w:r>
        <w:rPr>
          <w:color w:val="010101"/>
          <w:spacing w:val="-6"/>
          <w:w w:val="103"/>
          <w:sz w:val="21"/>
        </w:rPr>
        <w:t>B</w:t>
      </w:r>
      <w:r>
        <w:rPr>
          <w:color w:val="010101"/>
          <w:w w:val="106"/>
          <w:position w:val="1"/>
          <w:sz w:val="21"/>
        </w:rPr>
        <w:t>y</w:t>
      </w:r>
      <w:r>
        <w:rPr>
          <w:color w:val="010101"/>
          <w:spacing w:val="-10"/>
          <w:position w:val="1"/>
          <w:sz w:val="21"/>
        </w:rPr>
        <w:t> </w:t>
      </w:r>
      <w:r>
        <w:rPr>
          <w:color w:val="010101"/>
          <w:w w:val="96"/>
          <w:position w:val="1"/>
          <w:sz w:val="21"/>
        </w:rPr>
        <w:t>us</w:t>
      </w:r>
      <w:r>
        <w:rPr>
          <w:color w:val="010101"/>
          <w:spacing w:val="-142"/>
          <w:w w:val="96"/>
          <w:position w:val="1"/>
          <w:sz w:val="21"/>
        </w:rPr>
        <w:t>m</w:t>
      </w:r>
      <w:r>
        <w:rPr>
          <w:color w:val="1C1C1C"/>
          <w:w w:val="109"/>
          <w:position w:val="8"/>
          <w:sz w:val="21"/>
        </w:rPr>
        <w:t>.</w:t>
      </w:r>
      <w:r>
        <w:rPr>
          <w:color w:val="1C1C1C"/>
          <w:position w:val="8"/>
          <w:sz w:val="21"/>
        </w:rPr>
        <w:t> </w:t>
      </w:r>
      <w:r>
        <w:rPr>
          <w:color w:val="1C1C1C"/>
          <w:spacing w:val="-21"/>
          <w:position w:val="8"/>
          <w:sz w:val="21"/>
        </w:rPr>
        <w:t> </w:t>
      </w:r>
      <w:r>
        <w:rPr>
          <w:color w:val="010101"/>
          <w:w w:val="97"/>
          <w:position w:val="1"/>
          <w:sz w:val="21"/>
        </w:rPr>
        <w:t>g</w:t>
      </w:r>
      <w:r>
        <w:rPr>
          <w:color w:val="010101"/>
          <w:spacing w:val="-10"/>
          <w:position w:val="1"/>
          <w:sz w:val="21"/>
        </w:rPr>
        <w:t> </w:t>
      </w:r>
      <w:r>
        <w:rPr>
          <w:color w:val="010101"/>
          <w:spacing w:val="2"/>
          <w:w w:val="124"/>
          <w:position w:val="1"/>
          <w:sz w:val="21"/>
        </w:rPr>
        <w:t>t</w:t>
      </w:r>
      <w:r>
        <w:rPr>
          <w:b/>
          <w:color w:val="010101"/>
          <w:spacing w:val="3"/>
          <w:w w:val="90"/>
          <w:position w:val="8"/>
          <w:sz w:val="22"/>
        </w:rPr>
        <w:t>h</w:t>
      </w:r>
      <w:r>
        <w:rPr>
          <w:color w:val="010101"/>
          <w:w w:val="96"/>
          <w:position w:val="1"/>
          <w:sz w:val="21"/>
        </w:rPr>
        <w:t>e</w:t>
      </w:r>
      <w:r>
        <w:rPr>
          <w:color w:val="010101"/>
          <w:spacing w:val="-18"/>
          <w:position w:val="1"/>
          <w:sz w:val="21"/>
        </w:rPr>
        <w:t> </w:t>
      </w:r>
      <w:r>
        <w:rPr>
          <w:color w:val="010101"/>
          <w:w w:val="99"/>
          <w:position w:val="1"/>
          <w:sz w:val="21"/>
        </w:rPr>
        <w:t>exponent</w:t>
      </w:r>
      <w:r>
        <w:rPr>
          <w:color w:val="010101"/>
          <w:spacing w:val="-4"/>
          <w:position w:val="1"/>
          <w:sz w:val="21"/>
        </w:rPr>
        <w:t> </w:t>
      </w:r>
      <w:r>
        <w:rPr>
          <w:rFonts w:ascii="Arial" w:hAnsi="Arial"/>
          <w:b/>
          <w:color w:val="010101"/>
          <w:w w:val="107"/>
          <w:position w:val="8"/>
          <w:sz w:val="13"/>
        </w:rPr>
        <w:t>X1</w:t>
      </w:r>
      <w:r>
        <w:rPr>
          <w:rFonts w:ascii="Arial" w:hAnsi="Arial"/>
          <w:b/>
          <w:color w:val="010101"/>
          <w:position w:val="8"/>
          <w:sz w:val="13"/>
        </w:rPr>
        <w:t> </w:t>
      </w:r>
      <w:r>
        <w:rPr>
          <w:rFonts w:ascii="Arial" w:hAnsi="Arial"/>
          <w:b/>
          <w:color w:val="010101"/>
          <w:spacing w:val="-4"/>
          <w:position w:val="8"/>
          <w:sz w:val="13"/>
        </w:rPr>
        <w:t> </w:t>
      </w:r>
      <w:r>
        <w:rPr>
          <w:rFonts w:ascii="Arial" w:hAnsi="Arial"/>
          <w:color w:val="010101"/>
          <w:w w:val="101"/>
          <w:position w:val="8"/>
          <w:sz w:val="32"/>
        </w:rPr>
        <w:t>+</w:t>
      </w:r>
      <w:r>
        <w:rPr>
          <w:rFonts w:ascii="Arial" w:hAnsi="Arial"/>
          <w:color w:val="010101"/>
          <w:spacing w:val="-36"/>
          <w:position w:val="8"/>
          <w:sz w:val="32"/>
        </w:rPr>
        <w:t> </w:t>
      </w:r>
      <w:r>
        <w:rPr>
          <w:rFonts w:ascii="Arial" w:hAnsi="Arial"/>
          <w:b/>
          <w:i/>
          <w:color w:val="010101"/>
          <w:w w:val="93"/>
          <w:position w:val="8"/>
          <w:sz w:val="13"/>
        </w:rPr>
        <w:t>X1</w:t>
      </w:r>
      <w:r>
        <w:rPr>
          <w:rFonts w:ascii="Arial" w:hAnsi="Arial"/>
          <w:b/>
          <w:i/>
          <w:color w:val="010101"/>
          <w:position w:val="8"/>
          <w:sz w:val="13"/>
        </w:rPr>
        <w:t> </w:t>
      </w:r>
      <w:r>
        <w:rPr>
          <w:rFonts w:ascii="Arial" w:hAnsi="Arial"/>
          <w:b/>
          <w:i/>
          <w:color w:val="010101"/>
          <w:spacing w:val="15"/>
          <w:position w:val="8"/>
          <w:sz w:val="13"/>
        </w:rPr>
        <w:t> </w:t>
      </w:r>
      <w:r>
        <w:rPr>
          <w:rFonts w:ascii="Arial" w:hAnsi="Arial"/>
          <w:color w:val="010101"/>
          <w:w w:val="101"/>
          <w:position w:val="8"/>
          <w:sz w:val="32"/>
        </w:rPr>
        <w:t>+</w:t>
      </w:r>
      <w:r>
        <w:rPr>
          <w:rFonts w:ascii="Arial" w:hAnsi="Arial"/>
          <w:color w:val="010101"/>
          <w:spacing w:val="-3"/>
          <w:position w:val="8"/>
          <w:sz w:val="32"/>
        </w:rPr>
        <w:t> </w:t>
      </w:r>
      <w:r>
        <w:rPr>
          <w:rFonts w:ascii="Arial" w:hAnsi="Arial"/>
          <w:color w:val="010101"/>
          <w:w w:val="33"/>
          <w:position w:val="8"/>
          <w:sz w:val="32"/>
        </w:rPr>
        <w:t>•</w:t>
      </w:r>
      <w:r>
        <w:rPr>
          <w:rFonts w:ascii="Arial" w:hAnsi="Arial"/>
          <w:color w:val="010101"/>
          <w:spacing w:val="-27"/>
          <w:position w:val="8"/>
          <w:sz w:val="32"/>
        </w:rPr>
        <w:t> </w:t>
      </w:r>
      <w:r>
        <w:rPr>
          <w:rFonts w:ascii="Arial" w:hAnsi="Arial"/>
          <w:color w:val="010101"/>
          <w:spacing w:val="18"/>
          <w:w w:val="76"/>
          <w:position w:val="8"/>
          <w:sz w:val="32"/>
        </w:rPr>
        <w:t>·</w:t>
      </w:r>
      <w:r>
        <w:rPr>
          <w:rFonts w:ascii="Arial" w:hAnsi="Arial"/>
          <w:color w:val="010101"/>
          <w:w w:val="76"/>
          <w:position w:val="8"/>
          <w:sz w:val="32"/>
        </w:rPr>
        <w:t>·</w:t>
      </w:r>
      <w:r>
        <w:rPr>
          <w:rFonts w:ascii="Arial" w:hAnsi="Arial"/>
          <w:color w:val="010101"/>
          <w:spacing w:val="-28"/>
          <w:position w:val="8"/>
          <w:sz w:val="32"/>
        </w:rPr>
        <w:t> </w:t>
      </w:r>
      <w:r>
        <w:rPr>
          <w:rFonts w:ascii="Arial" w:hAnsi="Arial"/>
          <w:color w:val="010101"/>
          <w:w w:val="101"/>
          <w:position w:val="8"/>
          <w:sz w:val="32"/>
        </w:rPr>
        <w:t>+</w:t>
      </w:r>
      <w:r>
        <w:rPr>
          <w:rFonts w:ascii="Arial" w:hAnsi="Arial"/>
          <w:color w:val="010101"/>
          <w:spacing w:val="-39"/>
          <w:position w:val="8"/>
          <w:sz w:val="32"/>
        </w:rPr>
        <w:t> </w:t>
      </w:r>
      <w:r>
        <w:rPr>
          <w:rFonts w:ascii="Arial" w:hAnsi="Arial"/>
          <w:b/>
          <w:i/>
          <w:color w:val="010101"/>
          <w:w w:val="85"/>
          <w:position w:val="8"/>
          <w:sz w:val="13"/>
        </w:rPr>
        <w:t>X</w:t>
      </w:r>
      <w:r>
        <w:rPr>
          <w:rFonts w:ascii="Arial" w:hAnsi="Arial"/>
          <w:b/>
          <w:i/>
          <w:color w:val="010101"/>
          <w:position w:val="8"/>
          <w:sz w:val="13"/>
        </w:rPr>
        <w:t> </w:t>
      </w:r>
      <w:r>
        <w:rPr>
          <w:rFonts w:ascii="Arial" w:hAnsi="Arial"/>
          <w:b/>
          <w:i/>
          <w:color w:val="010101"/>
          <w:w w:val="158"/>
          <w:position w:val="8"/>
          <w:sz w:val="13"/>
        </w:rPr>
        <w:t>,</w:t>
      </w:r>
      <w:r>
        <w:rPr>
          <w:rFonts w:ascii="Arial" w:hAnsi="Arial"/>
          <w:b/>
          <w:i/>
          <w:color w:val="010101"/>
          <w:spacing w:val="-4"/>
          <w:w w:val="158"/>
          <w:position w:val="8"/>
          <w:sz w:val="13"/>
        </w:rPr>
        <w:t>.</w:t>
      </w:r>
      <w:r>
        <w:rPr>
          <w:color w:val="010101"/>
          <w:w w:val="103"/>
          <w:position w:val="1"/>
          <w:sz w:val="21"/>
        </w:rPr>
        <w:t>,</w:t>
      </w:r>
      <w:r>
        <w:rPr>
          <w:color w:val="010101"/>
          <w:spacing w:val="4"/>
          <w:position w:val="1"/>
          <w:sz w:val="21"/>
        </w:rPr>
        <w:t> </w:t>
      </w:r>
      <w:r>
        <w:rPr>
          <w:color w:val="010101"/>
          <w:spacing w:val="6"/>
          <w:w w:val="117"/>
          <w:position w:val="1"/>
          <w:sz w:val="21"/>
        </w:rPr>
        <w:t>t</w:t>
      </w:r>
      <w:r>
        <w:rPr>
          <w:b/>
          <w:color w:val="010101"/>
          <w:spacing w:val="-1"/>
          <w:w w:val="90"/>
          <w:position w:val="8"/>
          <w:sz w:val="22"/>
        </w:rPr>
        <w:t>h</w:t>
      </w:r>
      <w:r>
        <w:rPr>
          <w:color w:val="010101"/>
          <w:w w:val="101"/>
          <w:position w:val="1"/>
          <w:sz w:val="21"/>
        </w:rPr>
        <w:t>e</w:t>
      </w:r>
      <w:r>
        <w:rPr>
          <w:color w:val="010101"/>
          <w:spacing w:val="-26"/>
          <w:position w:val="1"/>
          <w:sz w:val="21"/>
        </w:rPr>
        <w:t> </w:t>
      </w:r>
      <w:r>
        <w:rPr>
          <w:color w:val="010101"/>
          <w:w w:val="92"/>
          <w:position w:val="1"/>
          <w:sz w:val="21"/>
        </w:rPr>
        <w:t>var</w:t>
      </w:r>
      <w:r>
        <w:rPr>
          <w:color w:val="010101"/>
          <w:spacing w:val="-46"/>
          <w:w w:val="93"/>
          <w:position w:val="1"/>
          <w:sz w:val="21"/>
        </w:rPr>
        <w:t>1</w:t>
      </w:r>
      <w:r>
        <w:rPr>
          <w:color w:val="010101"/>
          <w:spacing w:val="6"/>
          <w:w w:val="50"/>
          <w:position w:val="8"/>
          <w:sz w:val="22"/>
        </w:rPr>
        <w:t>•</w:t>
      </w:r>
      <w:r>
        <w:rPr>
          <w:color w:val="010101"/>
          <w:w w:val="92"/>
          <w:position w:val="1"/>
          <w:sz w:val="21"/>
        </w:rPr>
        <w:t>ou</w:t>
      </w:r>
      <w:r>
        <w:rPr>
          <w:color w:val="010101"/>
          <w:spacing w:val="16"/>
          <w:w w:val="92"/>
          <w:position w:val="1"/>
          <w:sz w:val="21"/>
        </w:rPr>
        <w:t>s</w:t>
      </w:r>
      <w:r>
        <w:rPr>
          <w:color w:val="010101"/>
          <w:spacing w:val="-116"/>
          <w:w w:val="209"/>
          <w:position w:val="8"/>
          <w:sz w:val="20"/>
        </w:rPr>
        <w:t>¡</w:t>
      </w:r>
      <w:r>
        <w:rPr>
          <w:color w:val="010101"/>
          <w:spacing w:val="-82"/>
          <w:w w:val="88"/>
          <w:position w:val="1"/>
          <w:sz w:val="21"/>
        </w:rPr>
        <w:t>1</w:t>
      </w:r>
      <w:r>
        <w:rPr>
          <w:color w:val="010101"/>
          <w:spacing w:val="1"/>
          <w:w w:val="119"/>
          <w:position w:val="8"/>
          <w:sz w:val="20"/>
        </w:rPr>
        <w:t>·</w:t>
      </w:r>
      <w:r>
        <w:rPr>
          <w:color w:val="010101"/>
          <w:w w:val="87"/>
          <w:position w:val="1"/>
          <w:sz w:val="21"/>
        </w:rPr>
        <w:t>ves</w:t>
      </w:r>
      <w:r>
        <w:rPr>
          <w:color w:val="010101"/>
          <w:spacing w:val="-29"/>
          <w:position w:val="1"/>
          <w:sz w:val="21"/>
        </w:rPr>
        <w:t> </w:t>
      </w:r>
      <w:r>
        <w:rPr>
          <w:color w:val="010101"/>
          <w:spacing w:val="-144"/>
          <w:w w:val="96"/>
          <w:position w:val="1"/>
          <w:sz w:val="21"/>
        </w:rPr>
        <w:t>m</w:t>
      </w:r>
      <w:r>
        <w:rPr>
          <w:color w:val="010101"/>
          <w:w w:val="119"/>
          <w:position w:val="8"/>
          <w:sz w:val="20"/>
        </w:rPr>
        <w:t>·</w:t>
      </w:r>
    </w:p>
    <w:p>
      <w:pPr>
        <w:spacing w:line="163" w:lineRule="exact" w:before="0"/>
        <w:ind w:left="433" w:right="0" w:firstLine="0"/>
        <w:jc w:val="center"/>
        <w:rPr>
          <w:rFonts w:ascii="Arial"/>
          <w:i/>
          <w:sz w:val="18"/>
        </w:rPr>
      </w:pPr>
      <w:r>
        <w:rPr>
          <w:rFonts w:ascii="Arial"/>
          <w:i/>
          <w:color w:val="010101"/>
          <w:w w:val="104"/>
          <w:sz w:val="18"/>
        </w:rPr>
        <w:t>m</w:t>
      </w:r>
    </w:p>
    <w:p>
      <w:pPr>
        <w:spacing w:before="123"/>
        <w:ind w:left="81" w:right="0" w:firstLine="0"/>
        <w:jc w:val="left"/>
        <w:rPr>
          <w:sz w:val="21"/>
        </w:rPr>
      </w:pPr>
      <w:r>
        <w:rPr/>
        <w:br w:type="column"/>
      </w:r>
      <w:r>
        <w:rPr>
          <w:color w:val="010101"/>
          <w:w w:val="110"/>
          <w:sz w:val="22"/>
        </w:rPr>
        <w:t>t</w:t>
      </w:r>
      <w:r>
        <w:rPr>
          <w:b/>
          <w:color w:val="010101"/>
          <w:w w:val="110"/>
          <w:position w:val="8"/>
          <w:sz w:val="22"/>
        </w:rPr>
        <w:t>h</w:t>
      </w:r>
      <w:r>
        <w:rPr>
          <w:color w:val="010101"/>
          <w:w w:val="110"/>
          <w:sz w:val="21"/>
        </w:rPr>
        <w:t>e</w:t>
      </w:r>
    </w:p>
    <w:p>
      <w:pPr>
        <w:spacing w:after="0"/>
        <w:jc w:val="left"/>
        <w:rPr>
          <w:sz w:val="21"/>
        </w:rPr>
        <w:sectPr>
          <w:type w:val="continuous"/>
          <w:pgSz w:w="7200" w:h="11340"/>
          <w:pgMar w:top="1100" w:bottom="0" w:left="660" w:right="540"/>
          <w:cols w:num="2" w:equalWidth="0">
            <w:col w:w="5447" w:space="40"/>
            <w:col w:w="513"/>
          </w:cols>
        </w:sectPr>
      </w:pPr>
    </w:p>
    <w:p>
      <w:pPr>
        <w:spacing w:line="240" w:lineRule="auto" w:before="0"/>
        <w:ind w:left="118" w:right="154" w:firstLine="3"/>
        <w:jc w:val="both"/>
        <w:rPr>
          <w:sz w:val="21"/>
        </w:rPr>
      </w:pPr>
      <w:r>
        <w:rPr>
          <w:color w:val="010101"/>
          <w:sz w:val="21"/>
        </w:rPr>
        <w:t>status are made to enter the function synunetrically, and an in­ crease of one year in the age of each lif e produces an increase of unity in the exponent, so that the function behaves mathematically like its single-life counterpart.</w:t>
      </w:r>
    </w:p>
    <w:p>
      <w:pPr>
        <w:spacing w:line="237" w:lineRule="exact" w:before="0"/>
        <w:ind w:left="312" w:right="0" w:firstLine="0"/>
        <w:jc w:val="left"/>
        <w:rPr>
          <w:sz w:val="21"/>
        </w:rPr>
      </w:pPr>
      <w:r>
        <w:rPr>
          <w:color w:val="010101"/>
          <w:sz w:val="21"/>
        </w:rPr>
        <w:t>Similarly, by definition,</w:t>
      </w:r>
    </w:p>
    <w:p>
      <w:pPr>
        <w:spacing w:line="190" w:lineRule="exact" w:before="89"/>
        <w:ind w:left="398" w:right="87" w:firstLine="0"/>
        <w:jc w:val="center"/>
        <w:rPr>
          <w:rFonts w:ascii="Arial" w:hAnsi="Arial"/>
          <w:b/>
          <w:sz w:val="19"/>
        </w:rPr>
      </w:pPr>
      <w:r>
        <w:rPr>
          <w:rFonts w:ascii="Arial" w:hAnsi="Arial"/>
          <w:b/>
          <w:color w:val="010101"/>
          <w:w w:val="80"/>
          <w:sz w:val="19"/>
          <w:u w:val="single" w:color="000000"/>
        </w:rPr>
        <w:t>•1+•1+· </w:t>
      </w:r>
      <w:r>
        <w:rPr>
          <w:rFonts w:ascii="Arial" w:hAnsi="Arial"/>
          <w:color w:val="010101"/>
          <w:w w:val="80"/>
          <w:sz w:val="19"/>
          <w:u w:val="single" w:color="000000"/>
        </w:rPr>
        <w:t>• </w:t>
      </w:r>
      <w:r>
        <w:rPr>
          <w:rFonts w:ascii="Arial" w:hAnsi="Arial"/>
          <w:b/>
          <w:color w:val="010101"/>
          <w:w w:val="80"/>
          <w:sz w:val="19"/>
          <w:u w:val="single" w:color="000000"/>
        </w:rPr>
        <w:t>·+-"'+1</w:t>
      </w:r>
    </w:p>
    <w:p>
      <w:pPr>
        <w:tabs>
          <w:tab w:pos="3018" w:val="left" w:leader="none"/>
          <w:tab w:pos="3682" w:val="left" w:leader="none"/>
          <w:tab w:pos="5315" w:val="left" w:leader="none"/>
        </w:tabs>
        <w:spacing w:line="238" w:lineRule="exact" w:before="0"/>
        <w:ind w:left="1482" w:right="0" w:firstLine="0"/>
        <w:jc w:val="left"/>
        <w:rPr>
          <w:b/>
          <w:sz w:val="20"/>
        </w:rPr>
      </w:pPr>
      <w:r>
        <w:rPr>
          <w:b/>
          <w:color w:val="010101"/>
          <w:w w:val="114"/>
          <w:position w:val="2"/>
          <w:sz w:val="16"/>
        </w:rPr>
        <w:t>C</w:t>
      </w:r>
      <w:r>
        <w:rPr>
          <w:b/>
          <w:color w:val="010101"/>
          <w:spacing w:val="3"/>
          <w:w w:val="114"/>
          <w:position w:val="2"/>
          <w:sz w:val="16"/>
        </w:rPr>
        <w:t>s</w:t>
      </w:r>
      <w:r>
        <w:rPr>
          <w:rFonts w:ascii="Arial" w:hAnsi="Arial"/>
          <w:b/>
          <w:color w:val="010101"/>
          <w:spacing w:val="-9"/>
          <w:w w:val="111"/>
          <w:sz w:val="10"/>
        </w:rPr>
        <w:t>1</w:t>
      </w:r>
      <w:r>
        <w:rPr>
          <w:b/>
          <w:color w:val="010101"/>
          <w:w w:val="94"/>
          <w:position w:val="2"/>
          <w:sz w:val="16"/>
        </w:rPr>
        <w:t>z</w:t>
      </w:r>
      <w:r>
        <w:rPr>
          <w:rFonts w:ascii="Arial" w:hAnsi="Arial"/>
          <w:b/>
          <w:color w:val="010101"/>
          <w:spacing w:val="-10"/>
          <w:w w:val="146"/>
          <w:sz w:val="10"/>
        </w:rPr>
        <w:t>1</w:t>
      </w:r>
      <w:r>
        <w:rPr>
          <w:rFonts w:ascii="Arial" w:hAnsi="Arial"/>
          <w:b/>
          <w:color w:val="010101"/>
          <w:w w:val="189"/>
          <w:position w:val="2"/>
          <w:sz w:val="10"/>
        </w:rPr>
        <w:t>..</w:t>
      </w:r>
      <w:r>
        <w:rPr>
          <w:rFonts w:ascii="Arial" w:hAnsi="Arial"/>
          <w:b/>
          <w:color w:val="010101"/>
          <w:spacing w:val="-4"/>
          <w:w w:val="189"/>
          <w:position w:val="2"/>
          <w:sz w:val="10"/>
        </w:rPr>
        <w:t>.</w:t>
      </w:r>
      <w:r>
        <w:rPr>
          <w:b/>
          <w:color w:val="010101"/>
          <w:w w:val="84"/>
          <w:position w:val="2"/>
          <w:sz w:val="16"/>
        </w:rPr>
        <w:t>z,,.</w:t>
      </w:r>
      <w:r>
        <w:rPr>
          <w:b/>
          <w:color w:val="010101"/>
          <w:position w:val="2"/>
          <w:sz w:val="16"/>
        </w:rPr>
        <w:t> </w:t>
      </w:r>
      <w:r>
        <w:rPr>
          <w:b/>
          <w:color w:val="010101"/>
          <w:spacing w:val="19"/>
          <w:position w:val="2"/>
          <w:sz w:val="16"/>
        </w:rPr>
        <w:t> </w:t>
      </w:r>
      <w:r>
        <w:rPr>
          <w:color w:val="010101"/>
          <w:w w:val="104"/>
          <w:position w:val="2"/>
          <w:sz w:val="23"/>
        </w:rPr>
        <w:t>=</w:t>
      </w:r>
      <w:r>
        <w:rPr>
          <w:color w:val="010101"/>
          <w:position w:val="2"/>
          <w:sz w:val="23"/>
        </w:rPr>
        <w:t> </w:t>
      </w:r>
      <w:r>
        <w:rPr>
          <w:color w:val="010101"/>
          <w:spacing w:val="-22"/>
          <w:position w:val="2"/>
          <w:sz w:val="23"/>
        </w:rPr>
        <w:t> </w:t>
      </w:r>
      <w:r>
        <w:rPr>
          <w:i/>
          <w:color w:val="010101"/>
          <w:w w:val="87"/>
          <w:position w:val="2"/>
          <w:sz w:val="14"/>
        </w:rPr>
        <w:t>V</w:t>
      </w:r>
      <w:r>
        <w:rPr>
          <w:i/>
          <w:color w:val="010101"/>
          <w:position w:val="2"/>
          <w:sz w:val="14"/>
        </w:rPr>
        <w:tab/>
      </w:r>
      <w:r>
        <w:rPr>
          <w:color w:val="010101"/>
          <w:w w:val="135"/>
          <w:position w:val="2"/>
          <w:sz w:val="14"/>
        </w:rPr>
        <w:t>"'</w:t>
      </w:r>
      <w:r>
        <w:rPr>
          <w:color w:val="010101"/>
          <w:position w:val="2"/>
          <w:sz w:val="14"/>
        </w:rPr>
        <w:tab/>
      </w:r>
      <w:r>
        <w:rPr>
          <w:rFonts w:ascii="Arial" w:hAnsi="Arial"/>
          <w:b/>
          <w:color w:val="010101"/>
          <w:spacing w:val="4"/>
          <w:w w:val="228"/>
          <w:position w:val="2"/>
          <w:sz w:val="12"/>
        </w:rPr>
        <w:t>d</w:t>
      </w:r>
      <w:r>
        <w:rPr>
          <w:rFonts w:ascii="Arial" w:hAnsi="Arial"/>
          <w:b/>
          <w:color w:val="010101"/>
          <w:w w:val="148"/>
          <w:position w:val="2"/>
          <w:sz w:val="12"/>
        </w:rPr>
        <w:t>JZI"'ª•</w:t>
      </w:r>
      <w:r>
        <w:rPr>
          <w:rFonts w:ascii="Arial" w:hAnsi="Arial"/>
          <w:b/>
          <w:color w:val="010101"/>
          <w:position w:val="2"/>
          <w:sz w:val="12"/>
        </w:rPr>
        <w:t> </w:t>
      </w:r>
      <w:r>
        <w:rPr>
          <w:rFonts w:ascii="Arial" w:hAnsi="Arial"/>
          <w:b/>
          <w:color w:val="010101"/>
          <w:spacing w:val="-3"/>
          <w:position w:val="2"/>
          <w:sz w:val="12"/>
        </w:rPr>
        <w:t> </w:t>
      </w:r>
      <w:r>
        <w:rPr>
          <w:rFonts w:ascii="Arial" w:hAnsi="Arial"/>
          <w:color w:val="010101"/>
          <w:w w:val="106"/>
          <w:position w:val="2"/>
          <w:sz w:val="12"/>
        </w:rPr>
        <w:t>•</w:t>
      </w:r>
      <w:r>
        <w:rPr>
          <w:rFonts w:ascii="Arial" w:hAnsi="Arial"/>
          <w:color w:val="010101"/>
          <w:position w:val="2"/>
          <w:sz w:val="12"/>
        </w:rPr>
        <w:tab/>
      </w:r>
      <w:r>
        <w:rPr>
          <w:b/>
          <w:color w:val="010101"/>
          <w:w w:val="103"/>
          <w:position w:val="5"/>
          <w:sz w:val="20"/>
        </w:rPr>
        <w:t>(9.10)</w:t>
      </w:r>
    </w:p>
    <w:p>
      <w:pPr>
        <w:spacing w:before="126"/>
        <w:ind w:left="115" w:right="0" w:firstLine="0"/>
        <w:jc w:val="left"/>
        <w:rPr>
          <w:sz w:val="21"/>
        </w:rPr>
      </w:pPr>
      <w:r>
        <w:rPr>
          <w:color w:val="010101"/>
          <w:sz w:val="21"/>
        </w:rPr>
        <w:t>The functions N, S, </w:t>
      </w:r>
      <w:r>
        <w:rPr>
          <w:rFonts w:ascii="Arial"/>
          <w:i/>
          <w:color w:val="010101"/>
          <w:sz w:val="20"/>
        </w:rPr>
        <w:t>M, </w:t>
      </w:r>
      <w:r>
        <w:rPr>
          <w:color w:val="010101"/>
          <w:sz w:val="21"/>
        </w:rPr>
        <w:t>and </w:t>
      </w:r>
      <w:r>
        <w:rPr>
          <w:rFonts w:ascii="Arial"/>
          <w:i/>
          <w:color w:val="010101"/>
          <w:sz w:val="20"/>
        </w:rPr>
        <w:t>R </w:t>
      </w:r>
      <w:r>
        <w:rPr>
          <w:color w:val="010101"/>
          <w:sz w:val="21"/>
        </w:rPr>
        <w:t>are defined by summation in the standard  way.</w:t>
      </w:r>
    </w:p>
    <w:p>
      <w:pPr>
        <w:spacing w:line="237" w:lineRule="auto" w:before="0"/>
        <w:ind w:left="115" w:right="169" w:firstLine="193"/>
        <w:jc w:val="both"/>
        <w:rPr>
          <w:sz w:val="21"/>
        </w:rPr>
      </w:pPr>
      <w:r>
        <w:rPr>
          <w:color w:val="010101"/>
          <w:sz w:val="21"/>
        </w:rPr>
        <w:t>Since these functions bear the sa.me relation to the joint-life mortality functions as the corresponding single-life commutation functions bear to the basic single-life mortality functions, it follows that  each  joint-life  benefit  will  have  a formula  in commuta.tion</w:t>
      </w:r>
    </w:p>
    <w:p>
      <w:pPr>
        <w:spacing w:after="0" w:line="237" w:lineRule="auto"/>
        <w:jc w:val="both"/>
        <w:rPr>
          <w:sz w:val="21"/>
        </w:rPr>
        <w:sectPr>
          <w:type w:val="continuous"/>
          <w:pgSz w:w="7200" w:h="11340"/>
          <w:pgMar w:top="1100" w:bottom="0" w:left="660" w:right="540"/>
        </w:sectPr>
      </w:pPr>
    </w:p>
    <w:p>
      <w:pPr>
        <w:tabs>
          <w:tab w:pos="5863" w:val="right" w:leader="none"/>
        </w:tabs>
        <w:spacing w:before="54"/>
        <w:ind w:left="106" w:right="0" w:firstLine="0"/>
        <w:jc w:val="left"/>
        <w:rPr>
          <w:rFonts w:ascii="Arial"/>
          <w:b/>
          <w:sz w:val="19"/>
        </w:rPr>
      </w:pPr>
      <w:r>
        <w:rPr>
          <w:rFonts w:ascii="Arial"/>
          <w:sz w:val="14"/>
        </w:rPr>
        <w:t>SEC.  </w:t>
      </w:r>
      <w:r>
        <w:rPr>
          <w:rFonts w:ascii="Arial"/>
          <w:b/>
          <w:sz w:val="19"/>
        </w:rPr>
        <w:t>4]    </w:t>
      </w:r>
      <w:r>
        <w:rPr>
          <w:b/>
          <w:sz w:val="15"/>
        </w:rPr>
        <w:t>JOI NT-LIFE   FUNCTIONS   UNDER   M</w:t>
      </w:r>
      <w:r>
        <w:rPr>
          <w:b/>
          <w:spacing w:val="-16"/>
          <w:sz w:val="15"/>
        </w:rPr>
        <w:t> </w:t>
      </w:r>
      <w:r>
        <w:rPr>
          <w:b/>
          <w:sz w:val="15"/>
        </w:rPr>
        <w:t>AKEHAM'S  </w:t>
      </w:r>
      <w:r>
        <w:rPr>
          <w:b/>
          <w:spacing w:val="8"/>
          <w:sz w:val="15"/>
        </w:rPr>
        <w:t> </w:t>
      </w:r>
      <w:r>
        <w:rPr>
          <w:b/>
          <w:sz w:val="15"/>
        </w:rPr>
        <w:t>LAW</w:t>
      </w:r>
      <w:r>
        <w:rPr>
          <w:rFonts w:ascii="Arial"/>
          <w:b/>
          <w:sz w:val="19"/>
        </w:rPr>
        <w:tab/>
        <w:t>195</w:t>
      </w:r>
    </w:p>
    <w:p>
      <w:pPr>
        <w:pStyle w:val="BodyText"/>
        <w:spacing w:before="10"/>
        <w:rPr>
          <w:rFonts w:ascii="Arial"/>
          <w:b/>
          <w:sz w:val="21"/>
        </w:rPr>
      </w:pPr>
    </w:p>
    <w:p>
      <w:pPr>
        <w:pStyle w:val="BodyText"/>
        <w:spacing w:line="252" w:lineRule="auto"/>
        <w:ind w:left="114" w:right="130"/>
        <w:jc w:val="both"/>
      </w:pPr>
      <w:r>
        <w:rPr>
          <w:w w:val="105"/>
        </w:rPr>
        <w:t>symbols which exactly parallels the single-life formula for  the  same benefit.  As illustrations,  we may</w:t>
      </w:r>
      <w:r>
        <w:rPr>
          <w:spacing w:val="6"/>
          <w:w w:val="105"/>
        </w:rPr>
        <w:t> </w:t>
      </w:r>
      <w:r>
        <w:rPr>
          <w:w w:val="105"/>
        </w:rPr>
        <w:t>write</w:t>
      </w:r>
    </w:p>
    <w:p>
      <w:pPr>
        <w:pStyle w:val="BodyText"/>
        <w:spacing w:before="6"/>
        <w:rPr>
          <w:sz w:val="12"/>
        </w:rPr>
      </w:pPr>
      <w:r>
        <w:rPr/>
        <w:drawing>
          <wp:anchor distT="0" distB="0" distL="0" distR="0" allowOverlap="1" layoutInCell="1" locked="0" behindDoc="0" simplePos="0" relativeHeight="15688">
            <wp:simplePos x="0" y="0"/>
            <wp:positionH relativeFrom="page">
              <wp:posOffset>1563624</wp:posOffset>
            </wp:positionH>
            <wp:positionV relativeFrom="paragraph">
              <wp:posOffset>116372</wp:posOffset>
            </wp:positionV>
            <wp:extent cx="1563624" cy="320039"/>
            <wp:effectExtent l="0" t="0" r="0" b="0"/>
            <wp:wrapTopAndBottom/>
            <wp:docPr id="403" name="image207.png" descr=""/>
            <wp:cNvGraphicFramePr>
              <a:graphicFrameLocks noChangeAspect="1"/>
            </wp:cNvGraphicFramePr>
            <a:graphic>
              <a:graphicData uri="http://schemas.openxmlformats.org/drawingml/2006/picture">
                <pic:pic>
                  <pic:nvPicPr>
                    <pic:cNvPr id="404" name="image207.png"/>
                    <pic:cNvPicPr/>
                  </pic:nvPicPr>
                  <pic:blipFill>
                    <a:blip r:embed="rId211" cstate="print"/>
                    <a:stretch>
                      <a:fillRect/>
                    </a:stretch>
                  </pic:blipFill>
                  <pic:spPr>
                    <a:xfrm>
                      <a:off x="0" y="0"/>
                      <a:ext cx="1563624" cy="320039"/>
                    </a:xfrm>
                    <a:prstGeom prst="rect">
                      <a:avLst/>
                    </a:prstGeom>
                  </pic:spPr>
                </pic:pic>
              </a:graphicData>
            </a:graphic>
          </wp:anchor>
        </w:drawing>
      </w:r>
      <w:r>
        <w:rPr/>
        <w:drawing>
          <wp:anchor distT="0" distB="0" distL="0" distR="0" allowOverlap="1" layoutInCell="1" locked="0" behindDoc="0" simplePos="0" relativeHeight="15712">
            <wp:simplePos x="0" y="0"/>
            <wp:positionH relativeFrom="page">
              <wp:posOffset>1527047</wp:posOffset>
            </wp:positionH>
            <wp:positionV relativeFrom="paragraph">
              <wp:posOffset>555284</wp:posOffset>
            </wp:positionV>
            <wp:extent cx="1188719" cy="310896"/>
            <wp:effectExtent l="0" t="0" r="0" b="0"/>
            <wp:wrapTopAndBottom/>
            <wp:docPr id="405" name="image208.png" descr=""/>
            <wp:cNvGraphicFramePr>
              <a:graphicFrameLocks noChangeAspect="1"/>
            </wp:cNvGraphicFramePr>
            <a:graphic>
              <a:graphicData uri="http://schemas.openxmlformats.org/drawingml/2006/picture">
                <pic:pic>
                  <pic:nvPicPr>
                    <pic:cNvPr id="406" name="image208.png"/>
                    <pic:cNvPicPr/>
                  </pic:nvPicPr>
                  <pic:blipFill>
                    <a:blip r:embed="rId212" cstate="print"/>
                    <a:stretch>
                      <a:fillRect/>
                    </a:stretch>
                  </pic:blipFill>
                  <pic:spPr>
                    <a:xfrm>
                      <a:off x="0" y="0"/>
                      <a:ext cx="1188719" cy="310896"/>
                    </a:xfrm>
                    <a:prstGeom prst="rect">
                      <a:avLst/>
                    </a:prstGeom>
                  </pic:spPr>
                </pic:pic>
              </a:graphicData>
            </a:graphic>
          </wp:anchor>
        </w:drawing>
      </w:r>
    </w:p>
    <w:p>
      <w:pPr>
        <w:pStyle w:val="BodyText"/>
        <w:spacing w:before="4"/>
        <w:rPr>
          <w:sz w:val="10"/>
        </w:rPr>
      </w:pPr>
    </w:p>
    <w:p>
      <w:pPr>
        <w:pStyle w:val="BodyText"/>
        <w:spacing w:line="244" w:lineRule="auto" w:before="133"/>
        <w:ind w:left="124" w:right="98" w:firstLine="201"/>
        <w:jc w:val="both"/>
        <w:rPr>
          <w:rFonts w:ascii="Arial" w:hAnsi="Arial"/>
          <w:i/>
        </w:rPr>
      </w:pPr>
      <w:r>
        <w:rPr>
          <w:w w:val="105"/>
        </w:rPr>
        <w:t>Many cases arise in practice in which it is not reasonable to assume that all the  individual  lives </w:t>
      </w:r>
      <w:r>
        <w:rPr>
          <w:w w:val="80"/>
        </w:rPr>
        <w:t>of  </w:t>
      </w:r>
      <w:r>
        <w:rPr>
          <w:w w:val="105"/>
        </w:rPr>
        <w:t>a joint-life  status  are sub­ ject </w:t>
      </w:r>
      <w:r>
        <w:rPr>
          <w:w w:val="105"/>
          <w:sz w:val="21"/>
        </w:rPr>
        <w:t>to </w:t>
      </w:r>
      <w:r>
        <w:rPr>
          <w:w w:val="105"/>
        </w:rPr>
        <w:t>the same single-life mortality table. Supposc, for example, that the joint two-life status </w:t>
      </w:r>
      <w:r>
        <w:rPr>
          <w:rFonts w:ascii="Arial" w:hAnsi="Arial"/>
          <w:i/>
          <w:spacing w:val="2"/>
          <w:w w:val="80"/>
          <w:sz w:val="19"/>
        </w:rPr>
        <w:t>(xy </w:t>
      </w:r>
      <w:r>
        <w:rPr>
          <w:rFonts w:ascii="Arial" w:hAnsi="Arial"/>
          <w:i/>
          <w:w w:val="80"/>
          <w:sz w:val="19"/>
        </w:rPr>
        <w:t>) </w:t>
      </w:r>
      <w:r>
        <w:rPr>
          <w:w w:val="105"/>
        </w:rPr>
        <w:t>is composed </w:t>
      </w:r>
      <w:r>
        <w:rPr>
          <w:w w:val="80"/>
        </w:rPr>
        <w:t>of  </w:t>
      </w:r>
      <w:r>
        <w:rPr>
          <w:w w:val="105"/>
        </w:rPr>
        <w:t>the life (x </w:t>
      </w:r>
      <w:r>
        <w:rPr>
          <w:w w:val="80"/>
        </w:rPr>
        <w:t>) </w:t>
      </w:r>
      <w:r>
        <w:rPr>
          <w:w w:val="105"/>
        </w:rPr>
        <w:t>subject to mortality table </w:t>
      </w:r>
      <w:r>
        <w:rPr>
          <w:i/>
          <w:w w:val="105"/>
          <w:sz w:val="21"/>
        </w:rPr>
        <w:t>T </w:t>
      </w:r>
      <w:r>
        <w:rPr>
          <w:w w:val="105"/>
        </w:rPr>
        <w:t>and the </w:t>
      </w:r>
      <w:r>
        <w:rPr>
          <w:w w:val="80"/>
        </w:rPr>
        <w:t>lif </w:t>
      </w:r>
      <w:r>
        <w:rPr>
          <w:w w:val="105"/>
        </w:rPr>
        <w:t>e </w:t>
      </w:r>
      <w:r>
        <w:rPr>
          <w:spacing w:val="7"/>
          <w:w w:val="105"/>
        </w:rPr>
        <w:t>(y) </w:t>
      </w:r>
      <w:r>
        <w:rPr>
          <w:w w:val="105"/>
        </w:rPr>
        <w:t>subject to mortality table </w:t>
      </w:r>
      <w:r>
        <w:rPr>
          <w:i/>
          <w:w w:val="105"/>
          <w:sz w:val="21"/>
        </w:rPr>
        <w:t>T' </w:t>
      </w:r>
      <w:r>
        <w:rPr>
          <w:i/>
          <w:w w:val="115"/>
          <w:sz w:val="21"/>
        </w:rPr>
        <w:t>.  </w:t>
      </w:r>
      <w:r>
        <w:rPr>
          <w:w w:val="105"/>
        </w:rPr>
        <w:t>The joint-life functions </w:t>
      </w:r>
      <w:r>
        <w:rPr>
          <w:w w:val="80"/>
        </w:rPr>
        <w:t>of </w:t>
      </w:r>
      <w:r>
        <w:rPr>
          <w:w w:val="105"/>
        </w:rPr>
        <w:t>this status will rcflect the dual mortality basis </w:t>
      </w:r>
      <w:r>
        <w:rPr>
          <w:w w:val="80"/>
          <w:sz w:val="21"/>
        </w:rPr>
        <w:t>if </w:t>
      </w:r>
      <w:r>
        <w:rPr>
          <w:w w:val="105"/>
        </w:rPr>
        <w:t>the values </w:t>
      </w:r>
      <w:r>
        <w:rPr>
          <w:w w:val="80"/>
        </w:rPr>
        <w:t>of </w:t>
      </w:r>
      <w:r>
        <w:rPr>
          <w:i/>
          <w:w w:val="80"/>
        </w:rPr>
        <w:t>l::c</w:t>
      </w:r>
      <w:r>
        <w:rPr>
          <w:rFonts w:ascii="Arial" w:hAnsi="Arial"/>
          <w:i/>
          <w:w w:val="80"/>
          <w:position w:val="-3"/>
          <w:sz w:val="10"/>
        </w:rPr>
        <w:t>11 </w:t>
      </w:r>
      <w:r>
        <w:rPr>
          <w:w w:val="105"/>
        </w:rPr>
        <w:t>are </w:t>
      </w:r>
      <w:r>
        <w:rPr>
          <w:spacing w:val="2"/>
          <w:w w:val="105"/>
        </w:rPr>
        <w:t>computed  </w:t>
      </w:r>
      <w:r>
        <w:rPr>
          <w:w w:val="105"/>
        </w:rPr>
        <w:t>as </w:t>
      </w:r>
      <w:r>
        <w:rPr>
          <w:i/>
          <w:w w:val="80"/>
        </w:rPr>
        <w:t>k </w:t>
      </w:r>
      <w:r>
        <w:rPr>
          <w:spacing w:val="-4"/>
          <w:w w:val="105"/>
        </w:rPr>
        <w:t>·</w:t>
      </w:r>
      <w:r>
        <w:rPr>
          <w:i/>
          <w:spacing w:val="-4"/>
          <w:w w:val="105"/>
        </w:rPr>
        <w:t>lx </w:t>
      </w:r>
      <w:r>
        <w:rPr>
          <w:spacing w:val="-6"/>
          <w:w w:val="155"/>
        </w:rPr>
        <w:t>·</w:t>
      </w:r>
      <w:r>
        <w:rPr>
          <w:i/>
          <w:spacing w:val="-6"/>
          <w:w w:val="155"/>
        </w:rPr>
        <w:t>l </w:t>
      </w:r>
      <w:r>
        <w:rPr>
          <w:w w:val="105"/>
        </w:rPr>
        <w:t>, using  </w:t>
      </w:r>
      <w:r>
        <w:rPr>
          <w:i/>
          <w:w w:val="80"/>
        </w:rPr>
        <w:t>lx  </w:t>
      </w:r>
      <w:r>
        <w:rPr>
          <w:w w:val="105"/>
        </w:rPr>
        <w:t>from table </w:t>
      </w:r>
      <w:r>
        <w:rPr>
          <w:rFonts w:ascii="Arial" w:hAnsi="Arial"/>
          <w:i/>
          <w:w w:val="105"/>
        </w:rPr>
        <w:t>T </w:t>
      </w:r>
      <w:r>
        <w:rPr>
          <w:w w:val="105"/>
        </w:rPr>
        <w:t>and </w:t>
      </w:r>
      <w:r>
        <w:rPr>
          <w:rFonts w:ascii="Arial" w:hAnsi="Arial"/>
          <w:i/>
          <w:w w:val="255"/>
        </w:rPr>
        <w:t>l </w:t>
      </w:r>
      <w:r>
        <w:rPr>
          <w:w w:val="105"/>
        </w:rPr>
        <w:t>from  table</w:t>
      </w:r>
      <w:r>
        <w:rPr>
          <w:spacing w:val="24"/>
          <w:w w:val="105"/>
        </w:rPr>
        <w:t> </w:t>
      </w:r>
      <w:r>
        <w:rPr>
          <w:rFonts w:ascii="Arial" w:hAnsi="Arial"/>
          <w:i/>
          <w:spacing w:val="5"/>
          <w:w w:val="105"/>
        </w:rPr>
        <w:t>T'.</w:t>
      </w:r>
    </w:p>
    <w:p>
      <w:pPr>
        <w:spacing w:line="247" w:lineRule="auto" w:before="0"/>
        <w:ind w:left="135" w:right="131" w:firstLine="201"/>
        <w:jc w:val="both"/>
        <w:rPr>
          <w:sz w:val="20"/>
        </w:rPr>
      </w:pPr>
      <w:r>
        <w:rPr>
          <w:sz w:val="23"/>
        </w:rPr>
        <w:t>It </w:t>
      </w:r>
      <w:r>
        <w:rPr>
          <w:rFonts w:ascii="Arial" w:hAnsi="Arial"/>
          <w:sz w:val="19"/>
        </w:rPr>
        <w:t>is </w:t>
      </w:r>
      <w:r>
        <w:rPr>
          <w:b/>
          <w:sz w:val="19"/>
        </w:rPr>
        <w:t>important to observe that the functions </w:t>
      </w:r>
      <w:r>
        <w:rPr>
          <w:b/>
          <w:sz w:val="12"/>
        </w:rPr>
        <w:t>Zx1r2···z,,.  </w:t>
      </w:r>
      <w:r>
        <w:rPr>
          <w:b/>
          <w:sz w:val="19"/>
        </w:rPr>
        <w:t>and </w:t>
      </w:r>
      <w:r>
        <w:rPr>
          <w:b/>
          <w:i/>
          <w:w w:val="115"/>
          <w:sz w:val="11"/>
        </w:rPr>
        <w:t>dz1 x2··  </w:t>
      </w:r>
      <w:r>
        <w:rPr>
          <w:b/>
          <w:i/>
          <w:sz w:val="11"/>
        </w:rPr>
        <w:t>·Zm  </w:t>
      </w:r>
      <w:r>
        <w:rPr>
          <w:sz w:val="20"/>
        </w:rPr>
        <w:t>are mathematical abstractions which are even more highly idealized than their single-life counterparts </w:t>
      </w:r>
      <w:r>
        <w:rPr>
          <w:i/>
          <w:sz w:val="20"/>
        </w:rPr>
        <w:t>lx </w:t>
      </w:r>
      <w:r>
        <w:rPr>
          <w:sz w:val="20"/>
        </w:rPr>
        <w:t>and </w:t>
      </w:r>
      <w:r>
        <w:rPr>
          <w:i/>
          <w:sz w:val="20"/>
        </w:rPr>
        <w:t>d x </w:t>
      </w:r>
      <w:r>
        <w:rPr>
          <w:w w:val="115"/>
          <w:sz w:val="20"/>
        </w:rPr>
        <w:t>. </w:t>
      </w:r>
      <w:r>
        <w:rPr>
          <w:sz w:val="20"/>
        </w:rPr>
        <w:t>Whereas the latter functions lend themselves readily to an interpretation in terms of numbers  of  lives surviving and  dying,  t.he  functions  </w:t>
      </w:r>
      <w:r>
        <w:rPr>
          <w:i/>
          <w:sz w:val="19"/>
        </w:rPr>
        <w:t>lx </w:t>
      </w:r>
      <w:r>
        <w:rPr>
          <w:i/>
          <w:position w:val="-4"/>
          <w:sz w:val="10"/>
        </w:rPr>
        <w:t>1 </w:t>
      </w:r>
      <w:r>
        <w:rPr>
          <w:i/>
          <w:spacing w:val="6"/>
          <w:sz w:val="19"/>
        </w:rPr>
        <w:t>x</w:t>
      </w:r>
      <w:r>
        <w:rPr>
          <w:i/>
          <w:spacing w:val="6"/>
          <w:position w:val="-4"/>
          <w:sz w:val="10"/>
        </w:rPr>
        <w:t>2 </w:t>
      </w:r>
      <w:r>
        <w:rPr>
          <w:i/>
          <w:sz w:val="19"/>
        </w:rPr>
        <w:t>···r,,. </w:t>
      </w:r>
      <w:r>
        <w:rPr>
          <w:i/>
          <w:spacing w:val="5"/>
          <w:sz w:val="19"/>
        </w:rPr>
        <w:t> </w:t>
      </w:r>
      <w:r>
        <w:rPr>
          <w:sz w:val="20"/>
        </w:rPr>
        <w:t>and</w:t>
      </w:r>
    </w:p>
    <w:p>
      <w:pPr>
        <w:spacing w:line="204" w:lineRule="exact" w:before="0"/>
        <w:ind w:left="139" w:right="0" w:hanging="4"/>
        <w:jc w:val="both"/>
        <w:rPr>
          <w:sz w:val="20"/>
        </w:rPr>
      </w:pPr>
      <w:r>
        <w:rPr/>
        <w:pict>
          <v:shape style="position:absolute;margin-left:48.599998pt;margin-top:6.420318pt;width:8.85pt;height:5.4pt;mso-position-horizontal-relative:page;mso-position-vertical-relative:paragraph;z-index:-720328" type="#_x0000_t202" filled="false" stroked="false">
            <v:textbox inset="0,0,0,0">
              <w:txbxContent>
                <w:p>
                  <w:pPr>
                    <w:spacing w:line="107" w:lineRule="exact" w:before="0"/>
                    <w:ind w:left="0" w:right="-18" w:firstLine="0"/>
                    <w:jc w:val="left"/>
                    <w:rPr>
                      <w:b/>
                      <w:sz w:val="10"/>
                    </w:rPr>
                  </w:pPr>
                  <w:r>
                    <w:rPr>
                      <w:b/>
                      <w:sz w:val="10"/>
                    </w:rPr>
                    <w:t>1   </w:t>
                  </w:r>
                  <w:r>
                    <w:rPr>
                      <w:b/>
                      <w:position w:val="1"/>
                      <w:sz w:val="10"/>
                    </w:rPr>
                    <w:t>2</w:t>
                  </w:r>
                </w:p>
              </w:txbxContent>
            </v:textbox>
            <w10:wrap type="none"/>
          </v:shape>
        </w:pict>
      </w:r>
      <w:r>
        <w:rPr>
          <w:b/>
          <w:w w:val="80"/>
          <w:sz w:val="21"/>
        </w:rPr>
        <w:t>d:c </w:t>
      </w:r>
      <w:r>
        <w:rPr>
          <w:b/>
          <w:w w:val="105"/>
          <w:sz w:val="12"/>
        </w:rPr>
        <w:t>z  </w:t>
      </w:r>
      <w:r>
        <w:rPr>
          <w:b/>
          <w:w w:val="105"/>
          <w:sz w:val="10"/>
        </w:rPr>
        <w:t>• </w:t>
      </w:r>
      <w:r>
        <w:rPr>
          <w:b/>
          <w:w w:val="120"/>
          <w:sz w:val="10"/>
        </w:rPr>
        <w:t>•. </w:t>
      </w:r>
      <w:r>
        <w:rPr>
          <w:b/>
          <w:w w:val="105"/>
          <w:sz w:val="12"/>
        </w:rPr>
        <w:t>z,,.  </w:t>
      </w:r>
      <w:r>
        <w:rPr>
          <w:w w:val="155"/>
          <w:sz w:val="12"/>
        </w:rPr>
        <w:t>, </w:t>
      </w:r>
      <w:r>
        <w:rPr>
          <w:w w:val="105"/>
          <w:sz w:val="20"/>
        </w:rPr>
        <w:t>if they are to be given a physical meaning, must  be   </w:t>
      </w:r>
      <w:r>
        <w:rPr>
          <w:w w:val="80"/>
          <w:sz w:val="20"/>
        </w:rPr>
        <w:t>rc_&gt;­</w:t>
      </w:r>
    </w:p>
    <w:p>
      <w:pPr>
        <w:pStyle w:val="BodyText"/>
        <w:spacing w:line="249" w:lineRule="auto" w:before="9"/>
        <w:ind w:left="135" w:right="134" w:firstLine="3"/>
        <w:jc w:val="both"/>
      </w:pPr>
      <w:r>
        <w:rPr>
          <w:w w:val="105"/>
        </w:rPr>
        <w:t>garded as numbers of </w:t>
      </w:r>
      <w:r>
        <w:rPr>
          <w:rFonts w:ascii="Arial" w:hAnsi="Arial"/>
          <w:i/>
          <w:w w:val="105"/>
          <w:sz w:val="17"/>
        </w:rPr>
        <w:t>groups </w:t>
      </w:r>
      <w:r>
        <w:rPr>
          <w:w w:val="105"/>
        </w:rPr>
        <w:t>of lives existing and failing, where existence and failure are construed in  the special sense applicable  to the joint-life  status. Since, however, their usef ulness in joint-life t heory rcquires only that they satisfy </w:t>
      </w:r>
      <w:r>
        <w:rPr>
          <w:spacing w:val="2"/>
          <w:w w:val="105"/>
        </w:rPr>
        <w:t>certain </w:t>
      </w:r>
      <w:r>
        <w:rPr>
          <w:w w:val="105"/>
        </w:rPr>
        <w:t>mathcmatical defini­ tions, any physical interpretation is irrelevant, and the student should regard them as having the nature of commutation functions, that is, purely as mathematical tools for simplifying the formuh,­ tion of a particular class of </w:t>
      </w:r>
      <w:r>
        <w:rPr>
          <w:spacing w:val="40"/>
          <w:w w:val="105"/>
        </w:rPr>
        <w:t> </w:t>
      </w:r>
      <w:r>
        <w:rPr>
          <w:w w:val="105"/>
        </w:rPr>
        <w:t>problem.</w:t>
      </w:r>
    </w:p>
    <w:p>
      <w:pPr>
        <w:pStyle w:val="BodyText"/>
        <w:spacing w:before="11"/>
        <w:rPr>
          <w:sz w:val="21"/>
        </w:rPr>
      </w:pPr>
    </w:p>
    <w:p>
      <w:pPr>
        <w:pStyle w:val="ListParagraph"/>
        <w:numPr>
          <w:ilvl w:val="0"/>
          <w:numId w:val="89"/>
        </w:numPr>
        <w:tabs>
          <w:tab w:pos="348" w:val="left" w:leader="none"/>
        </w:tabs>
        <w:spacing w:line="240" w:lineRule="auto" w:before="0" w:after="0"/>
        <w:ind w:left="348" w:right="0" w:hanging="213"/>
        <w:jc w:val="both"/>
        <w:rPr>
          <w:b/>
          <w:sz w:val="19"/>
        </w:rPr>
      </w:pPr>
      <w:r>
        <w:rPr>
          <w:b/>
          <w:w w:val="120"/>
          <w:sz w:val="19"/>
        </w:rPr>
        <w:t>Joint-life functions under Makeham's</w:t>
      </w:r>
      <w:r>
        <w:rPr>
          <w:b/>
          <w:spacing w:val="55"/>
          <w:w w:val="120"/>
          <w:sz w:val="19"/>
        </w:rPr>
        <w:t> </w:t>
      </w:r>
      <w:r>
        <w:rPr>
          <w:b/>
          <w:w w:val="120"/>
          <w:sz w:val="19"/>
        </w:rPr>
        <w:t>law</w:t>
      </w:r>
    </w:p>
    <w:p>
      <w:pPr>
        <w:pStyle w:val="BodyText"/>
        <w:spacing w:line="244" w:lineRule="auto" w:before="121"/>
        <w:ind w:left="135" w:right="124" w:firstLine="198"/>
        <w:jc w:val="both"/>
      </w:pPr>
      <w:r>
        <w:rPr>
          <w:w w:val="105"/>
        </w:rPr>
        <w:t>The problem of tabulating numerical values for joint-life funt­ tions presents certain  obvious difficulties. A single function,  cven in the simplest case of two lives, requires a very extensiv table if provision is made for all combinations of ages. </w:t>
      </w:r>
      <w:r>
        <w:rPr>
          <w:w w:val="105"/>
          <w:sz w:val="21"/>
        </w:rPr>
        <w:t>In </w:t>
      </w:r>
      <w:r>
        <w:rPr>
          <w:w w:val="105"/>
        </w:rPr>
        <w:t>the case of tables following Makeham's or Gompertz's law, a remarkable simplifica­ tion  is possible and the volumc of  tabulated· data can be  consider-</w:t>
      </w:r>
    </w:p>
    <w:p>
      <w:pPr>
        <w:spacing w:after="0" w:line="244" w:lineRule="auto"/>
        <w:jc w:val="both"/>
        <w:sectPr>
          <w:pgSz w:w="7200" w:h="11340"/>
          <w:pgMar w:top="480" w:bottom="280" w:left="660" w:right="540"/>
        </w:sectPr>
      </w:pPr>
    </w:p>
    <w:p>
      <w:pPr>
        <w:tabs>
          <w:tab w:pos="2002" w:val="left" w:leader="none"/>
          <w:tab w:pos="5382" w:val="left" w:leader="none"/>
        </w:tabs>
        <w:spacing w:before="56"/>
        <w:ind w:left="148" w:right="0" w:firstLine="21"/>
        <w:jc w:val="left"/>
        <w:rPr>
          <w:rFonts w:ascii="Arial"/>
          <w:sz w:val="20"/>
        </w:rPr>
      </w:pPr>
      <w:r>
        <w:rPr>
          <w:spacing w:val="-12"/>
          <w:sz w:val="19"/>
        </w:rPr>
        <w:t>196</w:t>
        <w:tab/>
      </w:r>
      <w:r>
        <w:rPr>
          <w:b/>
          <w:sz w:val="16"/>
        </w:rPr>
        <w:t>THE</w:t>
      </w:r>
      <w:r>
        <w:rPr>
          <w:b/>
          <w:spacing w:val="27"/>
          <w:sz w:val="16"/>
        </w:rPr>
        <w:t> </w:t>
      </w:r>
      <w:r>
        <w:rPr>
          <w:b/>
          <w:sz w:val="16"/>
        </w:rPr>
        <w:t>JOINT-LI.FE </w:t>
      </w:r>
      <w:r>
        <w:rPr>
          <w:b/>
          <w:spacing w:val="10"/>
          <w:sz w:val="16"/>
        </w:rPr>
        <w:t> </w:t>
      </w:r>
      <w:r>
        <w:rPr>
          <w:b/>
          <w:sz w:val="16"/>
        </w:rPr>
        <w:t>STATUS</w:t>
        <w:tab/>
      </w:r>
      <w:r>
        <w:rPr>
          <w:sz w:val="19"/>
        </w:rPr>
        <w:t>[CH.</w:t>
      </w:r>
      <w:r>
        <w:rPr>
          <w:spacing w:val="-1"/>
          <w:sz w:val="19"/>
        </w:rPr>
        <w:t> </w:t>
      </w:r>
      <w:r>
        <w:rPr>
          <w:rFonts w:ascii="Arial"/>
          <w:sz w:val="20"/>
        </w:rPr>
        <w:t>9</w:t>
      </w:r>
    </w:p>
    <w:p>
      <w:pPr>
        <w:pStyle w:val="BodyText"/>
        <w:spacing w:before="4"/>
        <w:rPr>
          <w:rFonts w:ascii="Arial"/>
          <w:sz w:val="21"/>
        </w:rPr>
      </w:pPr>
    </w:p>
    <w:p>
      <w:pPr>
        <w:pStyle w:val="BodyText"/>
        <w:ind w:left="144" w:firstLine="3"/>
      </w:pPr>
      <w:r>
        <w:rPr>
          <w:w w:val="105"/>
        </w:rPr>
        <w:t>ably reduced. We shall examine first the eft'ect of a Makeham as­ sumption.</w:t>
      </w:r>
    </w:p>
    <w:p>
      <w:pPr>
        <w:pStyle w:val="BodyText"/>
        <w:spacing w:before="15"/>
        <w:ind w:left="137" w:right="229" w:firstLine="201"/>
      </w:pPr>
      <w:r>
        <w:rPr/>
        <w:t>Under Ma.keham's la.w, the proba.bility </w:t>
      </w:r>
      <w:r>
        <w:rPr>
          <w:rFonts w:ascii="Arial"/>
          <w:sz w:val="18"/>
        </w:rPr>
        <w:t>of  </w:t>
      </w:r>
      <w:r>
        <w:rPr/>
        <w:t>surviva.l  for  </w:t>
      </w:r>
      <w:r>
        <w:rPr>
          <w:rFonts w:ascii="Arial"/>
          <w:sz w:val="18"/>
        </w:rPr>
        <w:t>a </w:t>
      </w:r>
      <w:r>
        <w:rPr/>
        <w:t>single </w:t>
      </w:r>
      <w:r>
        <w:rPr>
          <w:spacing w:val="4"/>
        </w:rPr>
        <w:t>life </w:t>
      </w:r>
      <w:r>
        <w:rPr/>
        <w:t>is given </w:t>
      </w:r>
      <w:r>
        <w:rPr>
          <w:spacing w:val="2"/>
        </w:rPr>
        <w:t> </w:t>
      </w:r>
      <w:r>
        <w:rPr/>
        <w:t>by</w:t>
      </w:r>
    </w:p>
    <w:p>
      <w:pPr>
        <w:spacing w:before="84"/>
        <w:ind w:left="293" w:right="290" w:firstLine="0"/>
        <w:jc w:val="center"/>
        <w:rPr>
          <w:sz w:val="20"/>
        </w:rPr>
      </w:pPr>
      <w:r>
        <w:rPr>
          <w:b/>
          <w:w w:val="90"/>
          <w:position w:val="-7"/>
          <w:sz w:val="20"/>
        </w:rPr>
        <w:t>nPs </w:t>
      </w:r>
      <w:r>
        <w:rPr>
          <w:w w:val="90"/>
          <w:position w:val="-7"/>
          <w:sz w:val="20"/>
        </w:rPr>
        <w:t>- </w:t>
      </w:r>
      <w:r>
        <w:rPr>
          <w:w w:val="90"/>
          <w:sz w:val="21"/>
        </w:rPr>
        <w:t>s"gea&lt;c--1&gt; </w:t>
      </w:r>
      <w:r>
        <w:rPr>
          <w:w w:val="90"/>
          <w:position w:val="-7"/>
          <w:sz w:val="20"/>
        </w:rPr>
        <w:t>•</w:t>
      </w:r>
    </w:p>
    <w:p>
      <w:pPr>
        <w:pStyle w:val="BodyText"/>
        <w:spacing w:line="234" w:lineRule="exact" w:before="96"/>
        <w:ind w:left="130" w:right="229" w:firstLine="7"/>
      </w:pPr>
      <w:r>
        <w:rPr/>
        <w:t>Then for a joint-life status </w:t>
      </w:r>
      <w:r>
        <w:rPr>
          <w:spacing w:val="-5"/>
          <w:sz w:val="16"/>
        </w:rPr>
        <w:t>(X1Xt </w:t>
      </w:r>
      <w:r>
        <w:rPr>
          <w:sz w:val="16"/>
        </w:rPr>
        <w:t>• • • </w:t>
      </w:r>
      <w:r>
        <w:rPr/>
        <w:t>x,,.), the probability of joint survival </w:t>
      </w:r>
      <w:r>
        <w:rPr>
          <w:sz w:val="22"/>
        </w:rPr>
        <w:t>will</w:t>
      </w:r>
      <w:r>
        <w:rPr>
          <w:spacing w:val="52"/>
          <w:sz w:val="22"/>
        </w:rPr>
        <w:t> </w:t>
      </w:r>
      <w:r>
        <w:rPr/>
        <w:t>be</w:t>
      </w:r>
    </w:p>
    <w:p>
      <w:pPr>
        <w:spacing w:after="0" w:line="234" w:lineRule="exact"/>
        <w:sectPr>
          <w:pgSz w:w="7200" w:h="11340"/>
          <w:pgMar w:top="480" w:bottom="280" w:left="640" w:right="540"/>
        </w:sectPr>
      </w:pPr>
    </w:p>
    <w:p>
      <w:pPr>
        <w:pStyle w:val="BodyText"/>
        <w:spacing w:before="10"/>
        <w:rPr>
          <w:sz w:val="6"/>
        </w:rPr>
      </w:pPr>
    </w:p>
    <w:p>
      <w:pPr>
        <w:pStyle w:val="BodyText"/>
        <w:ind w:left="1404" w:right="-40"/>
      </w:pPr>
      <w:r>
        <w:rPr/>
        <w:drawing>
          <wp:inline distT="0" distB="0" distL="0" distR="0">
            <wp:extent cx="1929383" cy="192024"/>
            <wp:effectExtent l="0" t="0" r="0" b="0"/>
            <wp:docPr id="407" name="image209.png" descr=""/>
            <wp:cNvGraphicFramePr>
              <a:graphicFrameLocks noChangeAspect="1"/>
            </wp:cNvGraphicFramePr>
            <a:graphic>
              <a:graphicData uri="http://schemas.openxmlformats.org/drawingml/2006/picture">
                <pic:pic>
                  <pic:nvPicPr>
                    <pic:cNvPr id="408" name="image209.png"/>
                    <pic:cNvPicPr/>
                  </pic:nvPicPr>
                  <pic:blipFill>
                    <a:blip r:embed="rId213" cstate="print"/>
                    <a:stretch>
                      <a:fillRect/>
                    </a:stretch>
                  </pic:blipFill>
                  <pic:spPr>
                    <a:xfrm>
                      <a:off x="0" y="0"/>
                      <a:ext cx="1929383" cy="192024"/>
                    </a:xfrm>
                    <a:prstGeom prst="rect">
                      <a:avLst/>
                    </a:prstGeom>
                  </pic:spPr>
                </pic:pic>
              </a:graphicData>
            </a:graphic>
          </wp:inline>
        </w:drawing>
      </w:r>
      <w:r>
        <w:rPr/>
      </w:r>
    </w:p>
    <w:p>
      <w:pPr>
        <w:pStyle w:val="BodyText"/>
        <w:spacing w:before="108"/>
        <w:ind w:left="130"/>
      </w:pPr>
      <w:r>
        <w:rPr>
          <w:w w:val="110"/>
        </w:rPr>
        <w:t>and, by substituting</w:t>
      </w:r>
    </w:p>
    <w:p>
      <w:pPr>
        <w:pStyle w:val="BodyText"/>
        <w:spacing w:before="8"/>
        <w:rPr>
          <w:sz w:val="9"/>
        </w:rPr>
      </w:pPr>
      <w:r>
        <w:rPr/>
        <w:drawing>
          <wp:anchor distT="0" distB="0" distL="0" distR="0" allowOverlap="1" layoutInCell="1" locked="0" behindDoc="0" simplePos="0" relativeHeight="15760">
            <wp:simplePos x="0" y="0"/>
            <wp:positionH relativeFrom="page">
              <wp:posOffset>1453896</wp:posOffset>
            </wp:positionH>
            <wp:positionV relativeFrom="paragraph">
              <wp:posOffset>95972</wp:posOffset>
            </wp:positionV>
            <wp:extent cx="1700783" cy="137160"/>
            <wp:effectExtent l="0" t="0" r="0" b="0"/>
            <wp:wrapTopAndBottom/>
            <wp:docPr id="409" name="image210.png" descr=""/>
            <wp:cNvGraphicFramePr>
              <a:graphicFrameLocks noChangeAspect="1"/>
            </wp:cNvGraphicFramePr>
            <a:graphic>
              <a:graphicData uri="http://schemas.openxmlformats.org/drawingml/2006/picture">
                <pic:pic>
                  <pic:nvPicPr>
                    <pic:cNvPr id="410" name="image210.png"/>
                    <pic:cNvPicPr/>
                  </pic:nvPicPr>
                  <pic:blipFill>
                    <a:blip r:embed="rId214" cstate="print"/>
                    <a:stretch>
                      <a:fillRect/>
                    </a:stretch>
                  </pic:blipFill>
                  <pic:spPr>
                    <a:xfrm>
                      <a:off x="0" y="0"/>
                      <a:ext cx="1700783" cy="137160"/>
                    </a:xfrm>
                    <a:prstGeom prst="rect">
                      <a:avLst/>
                    </a:prstGeom>
                  </pic:spPr>
                </pic:pic>
              </a:graphicData>
            </a:graphic>
          </wp:anchor>
        </w:drawing>
      </w:r>
    </w:p>
    <w:p>
      <w:pPr>
        <w:pStyle w:val="BodyText"/>
        <w:spacing w:before="101"/>
        <w:ind w:left="123"/>
      </w:pPr>
      <w:r>
        <w:rPr>
          <w:w w:val="105"/>
        </w:rPr>
        <w:t>we obtain</w:t>
      </w:r>
    </w:p>
    <w:p>
      <w:pPr>
        <w:spacing w:before="139"/>
        <w:ind w:left="123" w:right="0" w:firstLine="0"/>
        <w:jc w:val="left"/>
        <w:rPr>
          <w:sz w:val="19"/>
        </w:rPr>
      </w:pPr>
      <w:r>
        <w:rPr/>
        <w:br w:type="column"/>
      </w:r>
      <w:r>
        <w:rPr>
          <w:w w:val="110"/>
          <w:sz w:val="19"/>
        </w:rPr>
        <w:t>(9.11)</w:t>
      </w:r>
    </w:p>
    <w:p>
      <w:pPr>
        <w:spacing w:after="0"/>
        <w:jc w:val="left"/>
        <w:rPr>
          <w:sz w:val="19"/>
        </w:rPr>
        <w:sectPr>
          <w:type w:val="continuous"/>
          <w:pgSz w:w="7200" w:h="11340"/>
          <w:pgMar w:top="1100" w:bottom="0" w:left="640" w:right="540"/>
          <w:cols w:num="2" w:equalWidth="0">
            <w:col w:w="4444" w:space="802"/>
            <w:col w:w="774"/>
          </w:cols>
        </w:sectPr>
      </w:pPr>
    </w:p>
    <w:p>
      <w:pPr>
        <w:pStyle w:val="BodyText"/>
        <w:rPr>
          <w:sz w:val="10"/>
        </w:rPr>
      </w:pPr>
    </w:p>
    <w:p>
      <w:pPr>
        <w:pStyle w:val="BodyText"/>
        <w:ind w:left="1404"/>
      </w:pPr>
      <w:r>
        <w:rPr/>
        <w:drawing>
          <wp:inline distT="0" distB="0" distL="0" distR="0">
            <wp:extent cx="2011680" cy="164591"/>
            <wp:effectExtent l="0" t="0" r="0" b="0"/>
            <wp:docPr id="411" name="image211.png" descr=""/>
            <wp:cNvGraphicFramePr>
              <a:graphicFrameLocks noChangeAspect="1"/>
            </wp:cNvGraphicFramePr>
            <a:graphic>
              <a:graphicData uri="http://schemas.openxmlformats.org/drawingml/2006/picture">
                <pic:pic>
                  <pic:nvPicPr>
                    <pic:cNvPr id="412" name="image211.png"/>
                    <pic:cNvPicPr/>
                  </pic:nvPicPr>
                  <pic:blipFill>
                    <a:blip r:embed="rId215" cstate="print"/>
                    <a:stretch>
                      <a:fillRect/>
                    </a:stretch>
                  </pic:blipFill>
                  <pic:spPr>
                    <a:xfrm>
                      <a:off x="0" y="0"/>
                      <a:ext cx="2011680" cy="164591"/>
                    </a:xfrm>
                    <a:prstGeom prst="rect">
                      <a:avLst/>
                    </a:prstGeom>
                  </pic:spPr>
                </pic:pic>
              </a:graphicData>
            </a:graphic>
          </wp:inline>
        </w:drawing>
      </w:r>
      <w:r>
        <w:rPr/>
      </w:r>
    </w:p>
    <w:p>
      <w:pPr>
        <w:pStyle w:val="BodyText"/>
        <w:spacing w:line="249" w:lineRule="auto" w:before="122"/>
        <w:ind w:left="119" w:right="149" w:firstLine="3"/>
        <w:jc w:val="both"/>
      </w:pPr>
      <w:r>
        <w:rPr>
          <w:w w:val="105"/>
        </w:rPr>
        <w:t>Thus in calculating probabilities of survival, the status (x1x2 </w:t>
      </w:r>
      <w:r>
        <w:rPr>
          <w:spacing w:val="4"/>
          <w:w w:val="120"/>
        </w:rPr>
        <w:t>···</w:t>
      </w:r>
      <w:r>
        <w:rPr>
          <w:rFonts w:ascii="Arial" w:hAnsi="Arial"/>
          <w:i/>
          <w:spacing w:val="4"/>
          <w:w w:val="120"/>
          <w:sz w:val="19"/>
        </w:rPr>
        <w:t>x.) </w:t>
      </w:r>
      <w:r>
        <w:rPr>
          <w:w w:val="105"/>
        </w:rPr>
        <w:t>involving </w:t>
      </w:r>
      <w:r>
        <w:rPr>
          <w:rFonts w:ascii="Arial" w:hAnsi="Arial"/>
          <w:i/>
          <w:w w:val="105"/>
          <w:sz w:val="18"/>
        </w:rPr>
        <w:t>m </w:t>
      </w:r>
      <w:r>
        <w:rPr>
          <w:w w:val="105"/>
        </w:rPr>
        <w:t>lives of unequa.l age can be replaced by the simpler m-life status </w:t>
      </w:r>
      <w:r>
        <w:rPr>
          <w:rFonts w:ascii="Arial" w:hAnsi="Arial"/>
          <w:i/>
          <w:w w:val="105"/>
          <w:sz w:val="19"/>
        </w:rPr>
        <w:t>(ww </w:t>
      </w:r>
      <w:r>
        <w:rPr>
          <w:rFonts w:ascii="Arial" w:hAnsi="Arial"/>
          <w:spacing w:val="6"/>
          <w:w w:val="120"/>
          <w:sz w:val="19"/>
        </w:rPr>
        <w:t>··· </w:t>
      </w:r>
      <w:r>
        <w:rPr>
          <w:w w:val="105"/>
          <w:sz w:val="19"/>
        </w:rPr>
        <w:t>w ) </w:t>
      </w:r>
      <w:r>
        <w:rPr>
          <w:w w:val="105"/>
        </w:rPr>
        <w:t>where ali the components are of the same age. Furthermore, there is a simple rela.tion  for the determination  of  the  "equivalent  equal age" </w:t>
      </w:r>
      <w:r>
        <w:rPr>
          <w:rFonts w:ascii="Arial" w:hAnsi="Arial"/>
          <w:i/>
          <w:w w:val="105"/>
          <w:sz w:val="19"/>
        </w:rPr>
        <w:t>w </w:t>
      </w:r>
      <w:r>
        <w:rPr>
          <w:w w:val="105"/>
        </w:rPr>
        <w:t>in the </w:t>
      </w:r>
      <w:r>
        <w:rPr>
          <w:spacing w:val="26"/>
          <w:w w:val="105"/>
        </w:rPr>
        <w:t> </w:t>
      </w:r>
      <w:r>
        <w:rPr>
          <w:w w:val="105"/>
        </w:rPr>
        <w:t>condition</w:t>
      </w:r>
    </w:p>
    <w:p>
      <w:pPr>
        <w:spacing w:before="130"/>
        <w:ind w:left="1635" w:right="0" w:firstLine="0"/>
        <w:jc w:val="left"/>
        <w:rPr>
          <w:sz w:val="19"/>
        </w:rPr>
      </w:pPr>
      <w:r>
        <w:rPr>
          <w:position w:val="-3"/>
        </w:rPr>
        <w:drawing>
          <wp:inline distT="0" distB="0" distL="0" distR="0">
            <wp:extent cx="1700784" cy="137159"/>
            <wp:effectExtent l="0" t="0" r="0" b="0"/>
            <wp:docPr id="413" name="image212.png" descr=""/>
            <wp:cNvGraphicFramePr>
              <a:graphicFrameLocks noChangeAspect="1"/>
            </wp:cNvGraphicFramePr>
            <a:graphic>
              <a:graphicData uri="http://schemas.openxmlformats.org/drawingml/2006/picture">
                <pic:pic>
                  <pic:nvPicPr>
                    <pic:cNvPr id="414" name="image212.png"/>
                    <pic:cNvPicPr/>
                  </pic:nvPicPr>
                  <pic:blipFill>
                    <a:blip r:embed="rId216" cstate="print"/>
                    <a:stretch>
                      <a:fillRect/>
                    </a:stretch>
                  </pic:blipFill>
                  <pic:spPr>
                    <a:xfrm>
                      <a:off x="0" y="0"/>
                      <a:ext cx="1700784" cy="137159"/>
                    </a:xfrm>
                    <a:prstGeom prst="rect">
                      <a:avLst/>
                    </a:prstGeom>
                  </pic:spPr>
                </pic:pic>
              </a:graphicData>
            </a:graphic>
          </wp:inline>
        </w:drawing>
      </w:r>
      <w:r>
        <w:rPr>
          <w:position w:val="-3"/>
        </w:rPr>
      </w:r>
      <w:r>
        <w:rPr>
          <w:sz w:val="20"/>
        </w:rPr>
        <w:t>                    </w:t>
      </w:r>
      <w:r>
        <w:rPr>
          <w:spacing w:val="-7"/>
          <w:w w:val="115"/>
          <w:sz w:val="19"/>
        </w:rPr>
        <w:t>(9.12)</w:t>
      </w:r>
    </w:p>
    <w:p>
      <w:pPr>
        <w:pStyle w:val="BodyText"/>
        <w:spacing w:line="242" w:lineRule="exact" w:before="132"/>
        <w:ind w:left="115"/>
      </w:pPr>
      <w:r>
        <w:rPr>
          <w:w w:val="105"/>
        </w:rPr>
        <w:t>This condition may also be expressed in tenns of the force of mor­ tality, for, if we multiply  through by </w:t>
      </w:r>
      <w:r>
        <w:rPr>
          <w:i/>
          <w:w w:val="105"/>
          <w:sz w:val="22"/>
        </w:rPr>
        <w:t>B </w:t>
      </w:r>
      <w:r>
        <w:rPr>
          <w:w w:val="105"/>
        </w:rPr>
        <w:t>and add </w:t>
      </w:r>
      <w:r>
        <w:rPr>
          <w:i/>
          <w:w w:val="105"/>
          <w:sz w:val="22"/>
        </w:rPr>
        <w:t>mA </w:t>
      </w:r>
      <w:r>
        <w:rPr>
          <w:w w:val="105"/>
        </w:rPr>
        <w:t>to both    sides,</w:t>
      </w:r>
    </w:p>
    <w:p>
      <w:pPr>
        <w:pStyle w:val="BodyText"/>
        <w:spacing w:before="5"/>
        <w:ind w:left="115"/>
      </w:pPr>
      <w:r>
        <w:rPr>
          <w:rFonts w:ascii="Arial"/>
          <w:i/>
          <w:w w:val="105"/>
        </w:rPr>
        <w:t>A  </w:t>
      </w:r>
      <w:r>
        <w:rPr>
          <w:w w:val="105"/>
        </w:rPr>
        <w:t>and </w:t>
      </w:r>
      <w:r>
        <w:rPr>
          <w:rFonts w:ascii="Arial"/>
          <w:i/>
          <w:w w:val="105"/>
        </w:rPr>
        <w:t>B </w:t>
      </w:r>
      <w:r>
        <w:rPr>
          <w:w w:val="105"/>
        </w:rPr>
        <w:t>heing  the usual  Makeha.m  constants, we ohtain</w:t>
      </w:r>
    </w:p>
    <w:p>
      <w:pPr>
        <w:spacing w:before="29"/>
        <w:ind w:left="123" w:right="0" w:firstLine="0"/>
        <w:jc w:val="left"/>
        <w:rPr>
          <w:i/>
          <w:sz w:val="22"/>
        </w:rPr>
      </w:pPr>
      <w:r>
        <w:rPr>
          <w:i/>
          <w:w w:val="91"/>
          <w:sz w:val="22"/>
        </w:rPr>
        <w:t>m</w:t>
      </w:r>
      <w:r>
        <w:rPr>
          <w:i/>
          <w:spacing w:val="-18"/>
          <w:sz w:val="22"/>
        </w:rPr>
        <w:t> </w:t>
      </w:r>
      <w:r>
        <w:rPr>
          <w:i/>
          <w:spacing w:val="14"/>
          <w:w w:val="63"/>
          <w:sz w:val="22"/>
        </w:rPr>
        <w:t>(</w:t>
      </w:r>
      <w:r>
        <w:rPr>
          <w:i/>
          <w:w w:val="96"/>
          <w:sz w:val="22"/>
        </w:rPr>
        <w:t>A</w:t>
      </w:r>
      <w:r>
        <w:rPr>
          <w:i/>
          <w:sz w:val="22"/>
        </w:rPr>
        <w:t> </w:t>
      </w:r>
      <w:r>
        <w:rPr>
          <w:i/>
          <w:spacing w:val="-14"/>
          <w:sz w:val="22"/>
        </w:rPr>
        <w:t> </w:t>
      </w:r>
      <w:r>
        <w:rPr>
          <w:i/>
          <w:w w:val="131"/>
          <w:sz w:val="22"/>
        </w:rPr>
        <w:t>+</w:t>
      </w:r>
      <w:r>
        <w:rPr>
          <w:i/>
          <w:spacing w:val="-21"/>
          <w:sz w:val="22"/>
        </w:rPr>
        <w:t> </w:t>
      </w:r>
      <w:r>
        <w:rPr>
          <w:i/>
          <w:w w:val="91"/>
          <w:sz w:val="22"/>
        </w:rPr>
        <w:t>B</w:t>
      </w:r>
      <w:r>
        <w:rPr>
          <w:i/>
          <w:spacing w:val="10"/>
          <w:w w:val="91"/>
          <w:sz w:val="22"/>
        </w:rPr>
        <w:t>e</w:t>
      </w:r>
      <w:r>
        <w:rPr>
          <w:i/>
          <w:w w:val="70"/>
          <w:sz w:val="22"/>
        </w:rPr>
        <w:t>"</w:t>
      </w:r>
      <w:r>
        <w:rPr>
          <w:i/>
          <w:spacing w:val="12"/>
          <w:w w:val="70"/>
          <w:sz w:val="22"/>
        </w:rPr>
        <w:t>'</w:t>
      </w:r>
      <w:r>
        <w:rPr>
          <w:i/>
          <w:w w:val="63"/>
          <w:sz w:val="22"/>
        </w:rPr>
        <w:t>)</w:t>
      </w:r>
      <w:r>
        <w:rPr>
          <w:i/>
          <w:sz w:val="22"/>
        </w:rPr>
        <w:t> </w:t>
      </w:r>
      <w:r>
        <w:rPr>
          <w:i/>
          <w:spacing w:val="-3"/>
          <w:sz w:val="22"/>
        </w:rPr>
        <w:t> </w:t>
      </w:r>
      <w:r>
        <w:rPr>
          <w:i/>
          <w:w w:val="109"/>
          <w:sz w:val="22"/>
        </w:rPr>
        <w:t>=</w:t>
      </w:r>
      <w:r>
        <w:rPr>
          <w:i/>
          <w:sz w:val="22"/>
        </w:rPr>
        <w:t> </w:t>
      </w:r>
      <w:r>
        <w:rPr>
          <w:i/>
          <w:spacing w:val="-14"/>
          <w:sz w:val="22"/>
        </w:rPr>
        <w:t> </w:t>
      </w:r>
      <w:r>
        <w:rPr>
          <w:i/>
          <w:w w:val="58"/>
          <w:sz w:val="22"/>
        </w:rPr>
        <w:t>(</w:t>
      </w:r>
      <w:r>
        <w:rPr>
          <w:i/>
          <w:spacing w:val="-38"/>
          <w:sz w:val="22"/>
        </w:rPr>
        <w:t> </w:t>
      </w:r>
      <w:r>
        <w:rPr>
          <w:i/>
          <w:w w:val="99"/>
          <w:sz w:val="22"/>
        </w:rPr>
        <w:t>A</w:t>
      </w:r>
      <w:r>
        <w:rPr>
          <w:i/>
          <w:sz w:val="22"/>
        </w:rPr>
        <w:t> </w:t>
      </w:r>
      <w:r>
        <w:rPr>
          <w:i/>
          <w:spacing w:val="-21"/>
          <w:sz w:val="22"/>
        </w:rPr>
        <w:t> </w:t>
      </w:r>
      <w:r>
        <w:rPr>
          <w:i/>
          <w:w w:val="134"/>
          <w:sz w:val="22"/>
        </w:rPr>
        <w:t>+</w:t>
      </w:r>
      <w:r>
        <w:rPr>
          <w:i/>
          <w:spacing w:val="-22"/>
          <w:sz w:val="22"/>
        </w:rPr>
        <w:t> </w:t>
      </w:r>
      <w:r>
        <w:rPr>
          <w:w w:val="69"/>
          <w:sz w:val="23"/>
        </w:rPr>
        <w:t>Be:r</w:t>
      </w:r>
      <w:r>
        <w:rPr>
          <w:spacing w:val="-36"/>
          <w:sz w:val="23"/>
        </w:rPr>
        <w:t> </w:t>
      </w:r>
      <w:r>
        <w:rPr>
          <w:spacing w:val="11"/>
          <w:w w:val="123"/>
          <w:position w:val="8"/>
          <w:sz w:val="11"/>
        </w:rPr>
        <w:t>1</w:t>
      </w:r>
      <w:r>
        <w:rPr>
          <w:w w:val="191"/>
          <w:sz w:val="11"/>
        </w:rPr>
        <w:t>)</w:t>
      </w:r>
      <w:r>
        <w:rPr>
          <w:sz w:val="11"/>
        </w:rPr>
        <w:t>  </w:t>
      </w:r>
      <w:r>
        <w:rPr>
          <w:spacing w:val="-9"/>
          <w:sz w:val="11"/>
        </w:rPr>
        <w:t> </w:t>
      </w:r>
      <w:r>
        <w:rPr>
          <w:rFonts w:ascii="Arial" w:hAnsi="Arial"/>
          <w:w w:val="105"/>
          <w:sz w:val="31"/>
        </w:rPr>
        <w:t>+</w:t>
      </w:r>
      <w:r>
        <w:rPr>
          <w:rFonts w:ascii="Arial" w:hAnsi="Arial"/>
          <w:spacing w:val="-5"/>
          <w:sz w:val="31"/>
        </w:rPr>
        <w:t> </w:t>
      </w:r>
      <w:r>
        <w:rPr>
          <w:i/>
          <w:spacing w:val="10"/>
          <w:w w:val="63"/>
          <w:sz w:val="22"/>
        </w:rPr>
        <w:t>(</w:t>
      </w:r>
      <w:r>
        <w:rPr>
          <w:i/>
          <w:w w:val="104"/>
          <w:sz w:val="22"/>
        </w:rPr>
        <w:t>A</w:t>
      </w:r>
      <w:r>
        <w:rPr>
          <w:i/>
          <w:sz w:val="22"/>
        </w:rPr>
        <w:t> </w:t>
      </w:r>
      <w:r>
        <w:rPr>
          <w:i/>
          <w:spacing w:val="-25"/>
          <w:sz w:val="22"/>
        </w:rPr>
        <w:t> </w:t>
      </w:r>
      <w:r>
        <w:rPr>
          <w:i/>
          <w:w w:val="134"/>
          <w:sz w:val="22"/>
        </w:rPr>
        <w:t>+</w:t>
      </w:r>
      <w:r>
        <w:rPr>
          <w:i/>
          <w:spacing w:val="-29"/>
          <w:sz w:val="22"/>
        </w:rPr>
        <w:t> </w:t>
      </w:r>
      <w:r>
        <w:rPr>
          <w:w w:val="87"/>
          <w:sz w:val="23"/>
        </w:rPr>
        <w:t>Be</w:t>
      </w:r>
      <w:r>
        <w:rPr>
          <w:spacing w:val="-1"/>
          <w:w w:val="87"/>
          <w:sz w:val="23"/>
        </w:rPr>
        <w:t>•</w:t>
      </w:r>
      <w:r>
        <w:rPr>
          <w:w w:val="95"/>
          <w:position w:val="8"/>
          <w:sz w:val="11"/>
        </w:rPr>
        <w:t>2</w:t>
      </w:r>
      <w:r>
        <w:rPr>
          <w:spacing w:val="6"/>
          <w:position w:val="8"/>
          <w:sz w:val="11"/>
        </w:rPr>
        <w:t> </w:t>
      </w:r>
      <w:r>
        <w:rPr>
          <w:w w:val="179"/>
          <w:sz w:val="11"/>
        </w:rPr>
        <w:t>)</w:t>
      </w:r>
      <w:r>
        <w:rPr>
          <w:sz w:val="11"/>
        </w:rPr>
        <w:t>  </w:t>
      </w:r>
      <w:r>
        <w:rPr>
          <w:spacing w:val="-9"/>
          <w:sz w:val="11"/>
        </w:rPr>
        <w:t> </w:t>
      </w:r>
      <w:r>
        <w:rPr>
          <w:rFonts w:ascii="Arial" w:hAnsi="Arial"/>
          <w:w w:val="107"/>
          <w:sz w:val="31"/>
        </w:rPr>
        <w:t>+</w:t>
      </w:r>
      <w:r>
        <w:rPr>
          <w:rFonts w:ascii="Arial" w:hAnsi="Arial"/>
          <w:spacing w:val="-12"/>
          <w:sz w:val="31"/>
        </w:rPr>
        <w:t> </w:t>
      </w:r>
      <w:r>
        <w:rPr>
          <w:rFonts w:ascii="Arial" w:hAnsi="Arial"/>
          <w:spacing w:val="3"/>
          <w:w w:val="90"/>
          <w:sz w:val="31"/>
        </w:rPr>
        <w:t>·</w:t>
      </w:r>
      <w:r>
        <w:rPr>
          <w:rFonts w:ascii="Arial" w:hAnsi="Arial"/>
          <w:spacing w:val="6"/>
          <w:w w:val="90"/>
          <w:sz w:val="31"/>
        </w:rPr>
        <w:t>·</w:t>
      </w:r>
      <w:r>
        <w:rPr>
          <w:rFonts w:ascii="Arial" w:hAnsi="Arial"/>
          <w:w w:val="78"/>
          <w:sz w:val="31"/>
        </w:rPr>
        <w:t>·</w:t>
      </w:r>
      <w:r>
        <w:rPr>
          <w:rFonts w:ascii="Arial" w:hAnsi="Arial"/>
          <w:spacing w:val="-35"/>
          <w:sz w:val="31"/>
        </w:rPr>
        <w:t> </w:t>
      </w:r>
      <w:r>
        <w:rPr>
          <w:rFonts w:ascii="Arial" w:hAnsi="Arial"/>
          <w:w w:val="107"/>
          <w:sz w:val="31"/>
        </w:rPr>
        <w:t>+</w:t>
      </w:r>
      <w:r>
        <w:rPr>
          <w:rFonts w:ascii="Arial" w:hAnsi="Arial"/>
          <w:spacing w:val="-8"/>
          <w:sz w:val="31"/>
        </w:rPr>
        <w:t> </w:t>
      </w:r>
      <w:r>
        <w:rPr>
          <w:i/>
          <w:spacing w:val="10"/>
          <w:w w:val="63"/>
          <w:sz w:val="22"/>
        </w:rPr>
        <w:t>(</w:t>
      </w:r>
      <w:r>
        <w:rPr>
          <w:i/>
          <w:w w:val="102"/>
          <w:sz w:val="22"/>
        </w:rPr>
        <w:t>A</w:t>
      </w:r>
      <w:r>
        <w:rPr>
          <w:i/>
          <w:sz w:val="22"/>
        </w:rPr>
        <w:t> </w:t>
      </w:r>
      <w:r>
        <w:rPr>
          <w:i/>
          <w:spacing w:val="-22"/>
          <w:sz w:val="22"/>
        </w:rPr>
        <w:t> </w:t>
      </w:r>
      <w:r>
        <w:rPr>
          <w:i/>
          <w:w w:val="134"/>
          <w:sz w:val="22"/>
        </w:rPr>
        <w:t>+</w:t>
      </w:r>
      <w:r>
        <w:rPr>
          <w:i/>
          <w:spacing w:val="-25"/>
          <w:sz w:val="22"/>
        </w:rPr>
        <w:t> </w:t>
      </w:r>
      <w:r>
        <w:rPr>
          <w:i/>
          <w:w w:val="116"/>
          <w:sz w:val="22"/>
        </w:rPr>
        <w:t>B</w:t>
      </w:r>
      <w:r>
        <w:rPr>
          <w:i/>
          <w:spacing w:val="-2"/>
          <w:w w:val="116"/>
          <w:sz w:val="22"/>
        </w:rPr>
        <w:t>l</w:t>
      </w:r>
      <w:r>
        <w:rPr>
          <w:i/>
          <w:w w:val="113"/>
          <w:sz w:val="22"/>
        </w:rPr>
        <w:t>"</w:t>
      </w:r>
      <w:r>
        <w:rPr>
          <w:i/>
          <w:spacing w:val="-10"/>
          <w:w w:val="113"/>
          <w:sz w:val="22"/>
        </w:rPr>
        <w:t>•</w:t>
      </w:r>
      <w:r>
        <w:rPr>
          <w:i/>
          <w:w w:val="91"/>
          <w:sz w:val="22"/>
        </w:rPr>
        <w:t>),</w:t>
      </w:r>
    </w:p>
    <w:p>
      <w:pPr>
        <w:pStyle w:val="BodyText"/>
        <w:spacing w:before="104"/>
        <w:ind w:left="112"/>
      </w:pPr>
      <w:r>
        <w:rPr/>
        <w:t>whence</w:t>
      </w:r>
    </w:p>
    <w:p>
      <w:pPr>
        <w:spacing w:before="146"/>
        <w:ind w:left="1563" w:right="0" w:firstLine="0"/>
        <w:jc w:val="left"/>
        <w:rPr>
          <w:sz w:val="19"/>
        </w:rPr>
      </w:pPr>
      <w:r>
        <w:rPr>
          <w:position w:val="-5"/>
        </w:rPr>
        <w:drawing>
          <wp:inline distT="0" distB="0" distL="0" distR="0">
            <wp:extent cx="1792224" cy="137160"/>
            <wp:effectExtent l="0" t="0" r="0" b="0"/>
            <wp:docPr id="415" name="image213.png" descr=""/>
            <wp:cNvGraphicFramePr>
              <a:graphicFrameLocks noChangeAspect="1"/>
            </wp:cNvGraphicFramePr>
            <a:graphic>
              <a:graphicData uri="http://schemas.openxmlformats.org/drawingml/2006/picture">
                <pic:pic>
                  <pic:nvPicPr>
                    <pic:cNvPr id="416" name="image213.png"/>
                    <pic:cNvPicPr/>
                  </pic:nvPicPr>
                  <pic:blipFill>
                    <a:blip r:embed="rId217" cstate="print"/>
                    <a:stretch>
                      <a:fillRect/>
                    </a:stretch>
                  </pic:blipFill>
                  <pic:spPr>
                    <a:xfrm>
                      <a:off x="0" y="0"/>
                      <a:ext cx="1792224" cy="137160"/>
                    </a:xfrm>
                    <a:prstGeom prst="rect">
                      <a:avLst/>
                    </a:prstGeom>
                  </pic:spPr>
                </pic:pic>
              </a:graphicData>
            </a:graphic>
          </wp:inline>
        </w:drawing>
      </w:r>
      <w:r>
        <w:rPr>
          <w:position w:val="-5"/>
        </w:rPr>
      </w:r>
      <w:r>
        <w:rPr>
          <w:sz w:val="20"/>
        </w:rPr>
        <w:t>                  </w:t>
      </w:r>
      <w:r>
        <w:rPr>
          <w:spacing w:val="-3"/>
          <w:w w:val="115"/>
          <w:sz w:val="19"/>
        </w:rPr>
        <w:t>(9.13)</w:t>
      </w:r>
    </w:p>
    <w:p>
      <w:pPr>
        <w:pStyle w:val="BodyText"/>
        <w:spacing w:line="242" w:lineRule="exact" w:before="105"/>
        <w:ind w:left="105" w:right="164" w:firstLine="7"/>
        <w:jc w:val="both"/>
      </w:pPr>
      <w:r>
        <w:rPr>
          <w:w w:val="105"/>
        </w:rPr>
        <w:t>Thus, the equivalent equal </w:t>
      </w:r>
      <w:r>
        <w:rPr>
          <w:w w:val="105"/>
          <w:sz w:val="19"/>
        </w:rPr>
        <w:t>age </w:t>
      </w:r>
      <w:r>
        <w:rPr>
          <w:rFonts w:ascii="Arial"/>
          <w:i/>
          <w:w w:val="105"/>
          <w:sz w:val="18"/>
        </w:rPr>
        <w:t>w </w:t>
      </w:r>
      <w:r>
        <w:rPr>
          <w:w w:val="105"/>
        </w:rPr>
        <w:t>may </w:t>
      </w:r>
      <w:r>
        <w:rPr>
          <w:w w:val="105"/>
          <w:sz w:val="19"/>
        </w:rPr>
        <w:t>be </w:t>
      </w:r>
      <w:r>
        <w:rPr>
          <w:w w:val="105"/>
        </w:rPr>
        <w:t>described as the age for which the single-lif e force of mortality </w:t>
      </w:r>
      <w:r>
        <w:rPr>
          <w:rFonts w:ascii="Arial"/>
          <w:w w:val="105"/>
          <w:sz w:val="21"/>
        </w:rPr>
        <w:t>is </w:t>
      </w:r>
      <w:r>
        <w:rPr>
          <w:w w:val="105"/>
        </w:rPr>
        <w:t>equal </w:t>
      </w:r>
      <w:r>
        <w:rPr>
          <w:w w:val="105"/>
          <w:sz w:val="22"/>
        </w:rPr>
        <w:t>to </w:t>
      </w:r>
      <w:r>
        <w:rPr>
          <w:w w:val="105"/>
        </w:rPr>
        <w:t>the arithmetic mean  of  the single-life forces of  mortality  at the individual   a.ges</w:t>
      </w:r>
    </w:p>
    <w:p>
      <w:pPr>
        <w:spacing w:before="50"/>
        <w:ind w:left="105" w:right="0" w:firstLine="0"/>
        <w:jc w:val="both"/>
        <w:rPr>
          <w:sz w:val="14"/>
        </w:rPr>
      </w:pPr>
      <w:r>
        <w:rPr>
          <w:w w:val="83"/>
          <w:sz w:val="16"/>
        </w:rPr>
        <w:t>X1</w:t>
      </w:r>
      <w:r>
        <w:rPr>
          <w:spacing w:val="15"/>
          <w:sz w:val="16"/>
        </w:rPr>
        <w:t> </w:t>
      </w:r>
      <w:r>
        <w:rPr>
          <w:w w:val="137"/>
          <w:sz w:val="16"/>
        </w:rPr>
        <w:t>,</w:t>
      </w:r>
      <w:r>
        <w:rPr>
          <w:spacing w:val="13"/>
          <w:sz w:val="16"/>
        </w:rPr>
        <w:t> </w:t>
      </w:r>
      <w:r>
        <w:rPr>
          <w:b/>
          <w:w w:val="88"/>
          <w:sz w:val="15"/>
        </w:rPr>
        <w:t>X2</w:t>
      </w:r>
      <w:r>
        <w:rPr>
          <w:b/>
          <w:sz w:val="15"/>
        </w:rPr>
        <w:t> </w:t>
      </w:r>
      <w:r>
        <w:rPr>
          <w:b/>
          <w:spacing w:val="-19"/>
          <w:sz w:val="15"/>
        </w:rPr>
        <w:t> </w:t>
      </w:r>
      <w:r>
        <w:rPr>
          <w:w w:val="162"/>
          <w:sz w:val="15"/>
        </w:rPr>
        <w:t>,</w:t>
      </w:r>
      <w:r>
        <w:rPr>
          <w:sz w:val="15"/>
        </w:rPr>
        <w:t> </w:t>
      </w:r>
      <w:r>
        <w:rPr>
          <w:spacing w:val="8"/>
          <w:sz w:val="15"/>
        </w:rPr>
        <w:t> </w:t>
      </w:r>
      <w:r>
        <w:rPr>
          <w:w w:val="75"/>
          <w:sz w:val="15"/>
        </w:rPr>
        <w:t>•</w:t>
      </w:r>
      <w:r>
        <w:rPr>
          <w:sz w:val="15"/>
        </w:rPr>
        <w:t> </w:t>
      </w:r>
      <w:r>
        <w:rPr>
          <w:spacing w:val="-15"/>
          <w:sz w:val="15"/>
        </w:rPr>
        <w:t> </w:t>
      </w:r>
      <w:r>
        <w:rPr>
          <w:spacing w:val="16"/>
          <w:w w:val="160"/>
          <w:sz w:val="15"/>
        </w:rPr>
        <w:t>·</w:t>
      </w:r>
      <w:r>
        <w:rPr>
          <w:w w:val="75"/>
          <w:sz w:val="15"/>
        </w:rPr>
        <w:t>•</w:t>
      </w:r>
      <w:r>
        <w:rPr>
          <w:sz w:val="15"/>
        </w:rPr>
        <w:t> </w:t>
      </w:r>
      <w:r>
        <w:rPr>
          <w:spacing w:val="18"/>
          <w:sz w:val="15"/>
        </w:rPr>
        <w:t> </w:t>
      </w:r>
      <w:r>
        <w:rPr>
          <w:w w:val="130"/>
          <w:sz w:val="15"/>
        </w:rPr>
        <w:t>,</w:t>
      </w:r>
      <w:r>
        <w:rPr>
          <w:spacing w:val="18"/>
          <w:sz w:val="15"/>
        </w:rPr>
        <w:t> </w:t>
      </w:r>
      <w:r>
        <w:rPr>
          <w:i/>
          <w:w w:val="109"/>
          <w:sz w:val="14"/>
        </w:rPr>
        <w:t>X"'</w:t>
      </w:r>
      <w:r>
        <w:rPr>
          <w:i/>
          <w:sz w:val="14"/>
        </w:rPr>
        <w:t> </w:t>
      </w:r>
      <w:r>
        <w:rPr>
          <w:i/>
          <w:spacing w:val="15"/>
          <w:sz w:val="14"/>
        </w:rPr>
        <w:t> </w:t>
      </w:r>
      <w:r>
        <w:rPr>
          <w:w w:val="91"/>
          <w:sz w:val="14"/>
        </w:rPr>
        <w:t>•</w:t>
      </w:r>
    </w:p>
    <w:p>
      <w:pPr>
        <w:pStyle w:val="BodyText"/>
        <w:spacing w:line="244" w:lineRule="auto" w:before="12"/>
        <w:ind w:left="108" w:right="176" w:firstLine="198"/>
        <w:jc w:val="both"/>
        <w:rPr>
          <w:sz w:val="19"/>
        </w:rPr>
      </w:pPr>
      <w:r>
        <w:rPr>
          <w:w w:val="105"/>
        </w:rPr>
        <w:t>When joint-life functíons a.re tabulated on a Makehamized basis, the values of </w:t>
      </w:r>
      <w:r>
        <w:rPr>
          <w:w w:val="105"/>
          <w:sz w:val="17"/>
        </w:rPr>
        <w:t>µs </w:t>
      </w:r>
      <w:r>
        <w:rPr>
          <w:w w:val="105"/>
        </w:rPr>
        <w:t>or of </w:t>
      </w:r>
      <w:r>
        <w:rPr>
          <w:i/>
          <w:w w:val="105"/>
        </w:rPr>
        <w:t>e• </w:t>
      </w:r>
      <w:r>
        <w:rPr>
          <w:w w:val="105"/>
        </w:rPr>
        <w:t>are customarily shown for all </w:t>
      </w:r>
      <w:r>
        <w:rPr>
          <w:b/>
          <w:w w:val="105"/>
          <w:sz w:val="19"/>
        </w:rPr>
        <w:t>ages. </w:t>
      </w:r>
      <w:r>
        <w:rPr>
          <w:w w:val="105"/>
        </w:rPr>
        <w:t>From these, values of </w:t>
      </w:r>
      <w:r>
        <w:rPr>
          <w:i/>
          <w:w w:val="105"/>
          <w:sz w:val="17"/>
        </w:rPr>
        <w:t>,o </w:t>
      </w:r>
      <w:r>
        <w:rPr>
          <w:w w:val="105"/>
        </w:rPr>
        <w:t>can be obtained by interpolation using formula </w:t>
      </w:r>
      <w:r>
        <w:rPr>
          <w:w w:val="105"/>
          <w:sz w:val="19"/>
        </w:rPr>
        <w:t>(9.12)   </w:t>
      </w:r>
      <w:r>
        <w:rPr>
          <w:w w:val="105"/>
          <w:sz w:val="21"/>
        </w:rPr>
        <w:t>or   </w:t>
      </w:r>
      <w:r>
        <w:rPr>
          <w:w w:val="105"/>
          <w:sz w:val="19"/>
        </w:rPr>
        <w:t>(9.13).</w:t>
      </w:r>
    </w:p>
    <w:p>
      <w:pPr>
        <w:spacing w:after="0" w:line="244" w:lineRule="auto"/>
        <w:jc w:val="both"/>
        <w:rPr>
          <w:sz w:val="19"/>
        </w:rPr>
        <w:sectPr>
          <w:type w:val="continuous"/>
          <w:pgSz w:w="7200" w:h="11340"/>
          <w:pgMar w:top="1100" w:bottom="0" w:left="640" w:right="540"/>
        </w:sectPr>
      </w:pPr>
    </w:p>
    <w:p>
      <w:pPr>
        <w:tabs>
          <w:tab w:pos="5569" w:val="left" w:leader="none"/>
        </w:tabs>
        <w:spacing w:before="61"/>
        <w:ind w:left="130" w:right="0" w:firstLine="0"/>
        <w:jc w:val="both"/>
        <w:rPr>
          <w:rFonts w:ascii="Arial"/>
          <w:b/>
          <w:sz w:val="19"/>
        </w:rPr>
      </w:pPr>
      <w:r>
        <w:rPr>
          <w:b/>
          <w:sz w:val="15"/>
        </w:rPr>
        <w:t>SEC.   </w:t>
      </w:r>
      <w:r>
        <w:rPr>
          <w:rFonts w:ascii="Arial"/>
          <w:b/>
          <w:sz w:val="19"/>
        </w:rPr>
        <w:t>4]    </w:t>
      </w:r>
      <w:r>
        <w:rPr>
          <w:b/>
          <w:sz w:val="15"/>
        </w:rPr>
        <w:t>JOINT-LIFE   FUNCTIONS   UNDER   MAKEHAM</w:t>
      </w:r>
      <w:r>
        <w:rPr>
          <w:b/>
          <w:spacing w:val="12"/>
          <w:sz w:val="15"/>
        </w:rPr>
        <w:t> </w:t>
      </w:r>
      <w:r>
        <w:rPr>
          <w:b/>
          <w:position w:val="8"/>
          <w:sz w:val="9"/>
        </w:rPr>
        <w:t>1</w:t>
      </w:r>
      <w:r>
        <w:rPr>
          <w:b/>
          <w:sz w:val="15"/>
        </w:rPr>
        <w:t>S </w:t>
      </w:r>
      <w:r>
        <w:rPr>
          <w:b/>
          <w:spacing w:val="21"/>
          <w:sz w:val="15"/>
        </w:rPr>
        <w:t> </w:t>
      </w:r>
      <w:r>
        <w:rPr>
          <w:b/>
          <w:spacing w:val="4"/>
          <w:sz w:val="15"/>
        </w:rPr>
        <w:t>LAW</w:t>
        <w:tab/>
      </w:r>
      <w:r>
        <w:rPr>
          <w:spacing w:val="3"/>
          <w:sz w:val="15"/>
        </w:rPr>
        <w:t>]</w:t>
      </w:r>
      <w:r>
        <w:rPr>
          <w:rFonts w:ascii="Arial"/>
          <w:b/>
          <w:spacing w:val="3"/>
          <w:sz w:val="19"/>
        </w:rPr>
        <w:t>97</w:t>
      </w:r>
    </w:p>
    <w:p>
      <w:pPr>
        <w:pStyle w:val="BodyText"/>
        <w:spacing w:before="8"/>
        <w:rPr>
          <w:rFonts w:ascii="Arial"/>
          <w:b/>
        </w:rPr>
      </w:pPr>
    </w:p>
    <w:p>
      <w:pPr>
        <w:spacing w:before="1"/>
        <w:ind w:left="122" w:right="132" w:firstLine="194"/>
        <w:jc w:val="both"/>
        <w:rPr>
          <w:sz w:val="21"/>
        </w:rPr>
      </w:pPr>
      <w:r>
        <w:rPr>
          <w:sz w:val="21"/>
        </w:rPr>
        <w:t>This property of Makeham's law has the important consequence that any joint-life function, regardless of the ages involved, may be evaluated as the same function of  joint  lives of  equal  age. For,  if a group of </w:t>
      </w:r>
      <w:r>
        <w:rPr>
          <w:i/>
          <w:sz w:val="20"/>
        </w:rPr>
        <w:t>m </w:t>
      </w:r>
      <w:r>
        <w:rPr>
          <w:sz w:val="21"/>
        </w:rPr>
        <w:t>lives of unequal ages may be replaced by </w:t>
      </w:r>
      <w:r>
        <w:rPr>
          <w:i/>
          <w:sz w:val="20"/>
        </w:rPr>
        <w:t>m </w:t>
      </w:r>
      <w:r>
        <w:rPr>
          <w:sz w:val="21"/>
        </w:rPr>
        <w:t>lives of equal a.ge in calculating probabilities of survival, the same replace­ ment  may  be made  in any joint-life  function  depending  on those</w:t>
      </w:r>
    </w:p>
    <w:p>
      <w:pPr>
        <w:spacing w:line="241" w:lineRule="exact" w:before="0"/>
        <w:ind w:left="133" w:right="0" w:firstLine="0"/>
        <w:jc w:val="both"/>
        <w:rPr>
          <w:sz w:val="21"/>
        </w:rPr>
      </w:pPr>
      <w:r>
        <w:rPr>
          <w:w w:val="110"/>
          <w:sz w:val="21"/>
        </w:rPr>
        <w:t>probabilities.  Thus, since </w:t>
      </w:r>
      <w:r>
        <w:rPr>
          <w:w w:val="130"/>
          <w:sz w:val="13"/>
        </w:rPr>
        <w:t>nPxizi· </w:t>
      </w:r>
      <w:r>
        <w:rPr>
          <w:w w:val="170"/>
          <w:sz w:val="13"/>
        </w:rPr>
        <w:t>··z.   </w:t>
      </w:r>
      <w:r>
        <w:rPr>
          <w:w w:val="110"/>
          <w:sz w:val="26"/>
        </w:rPr>
        <w:t>=  </w:t>
      </w:r>
      <w:r>
        <w:rPr>
          <w:w w:val="110"/>
          <w:sz w:val="13"/>
        </w:rPr>
        <w:t>nPww· </w:t>
      </w:r>
      <w:r>
        <w:rPr>
          <w:w w:val="130"/>
          <w:sz w:val="13"/>
        </w:rPr>
        <w:t>""' </w:t>
      </w:r>
      <w:r>
        <w:rPr>
          <w:w w:val="170"/>
          <w:sz w:val="13"/>
        </w:rPr>
        <w:t>, </w:t>
      </w:r>
      <w:r>
        <w:rPr>
          <w:w w:val="110"/>
          <w:sz w:val="21"/>
        </w:rPr>
        <w:t>it follows  that</w:t>
      </w:r>
    </w:p>
    <w:p>
      <w:pPr>
        <w:spacing w:line="220" w:lineRule="auto" w:before="0"/>
        <w:ind w:left="126" w:right="121" w:firstLine="0"/>
        <w:jc w:val="both"/>
        <w:rPr>
          <w:sz w:val="21"/>
        </w:rPr>
      </w:pPr>
      <w:r>
        <w:rPr>
          <w:b/>
          <w:w w:val="115"/>
          <w:sz w:val="14"/>
        </w:rPr>
        <w:t>ªz1z1···z. </w:t>
      </w:r>
      <w:r>
        <w:rPr>
          <w:sz w:val="26"/>
        </w:rPr>
        <w:t>= </w:t>
      </w:r>
      <w:r>
        <w:rPr>
          <w:b/>
          <w:sz w:val="18"/>
        </w:rPr>
        <w:t>awu,...• </w:t>
      </w:r>
      <w:r>
        <w:rPr>
          <w:w w:val="115"/>
          <w:sz w:val="18"/>
        </w:rPr>
        <w:t>, </w:t>
      </w:r>
      <w:r>
        <w:rPr>
          <w:b/>
          <w:sz w:val="14"/>
        </w:rPr>
        <w:t>As1:.i:1···Z·  </w:t>
      </w:r>
      <w:r>
        <w:rPr>
          <w:sz w:val="26"/>
        </w:rPr>
        <w:t>= </w:t>
      </w:r>
      <w:r>
        <w:rPr>
          <w:b/>
          <w:sz w:val="14"/>
        </w:rPr>
        <w:t>Au,v,...</w:t>
      </w:r>
      <w:r>
        <w:rPr>
          <w:b/>
          <w:sz w:val="16"/>
        </w:rPr>
        <w:t>v,  ,  </w:t>
      </w:r>
      <w:r>
        <w:rPr>
          <w:b/>
          <w:sz w:val="14"/>
        </w:rPr>
        <w:t>Pz1:.i:1···z,,.  </w:t>
      </w:r>
      <w:r>
        <w:rPr>
          <w:sz w:val="26"/>
        </w:rPr>
        <w:t>=  </w:t>
      </w:r>
      <w:r>
        <w:rPr>
          <w:b/>
          <w:i/>
          <w:sz w:val="21"/>
        </w:rPr>
        <w:t>p </w:t>
      </w:r>
      <w:r>
        <w:rPr>
          <w:b/>
          <w:i/>
          <w:sz w:val="9"/>
        </w:rPr>
        <w:t>IDVl• • •'IJJ  </w:t>
      </w:r>
      <w:r>
        <w:rPr>
          <w:b/>
          <w:i/>
          <w:w w:val="145"/>
          <w:sz w:val="9"/>
        </w:rPr>
        <w:t>,  </w:t>
      </w:r>
      <w:r>
        <w:rPr>
          <w:b/>
          <w:sz w:val="20"/>
        </w:rPr>
        <w:t>and </w:t>
      </w:r>
      <w:r>
        <w:rPr>
          <w:sz w:val="20"/>
        </w:rPr>
        <w:t>so </w:t>
      </w:r>
      <w:r>
        <w:rPr>
          <w:sz w:val="21"/>
        </w:rPr>
        <w:t>on. Under these circumstances, it is only necessary </w:t>
      </w:r>
      <w:r>
        <w:rPr>
          <w:sz w:val="22"/>
        </w:rPr>
        <w:t>to </w:t>
      </w:r>
      <w:r>
        <w:rPr>
          <w:sz w:val="21"/>
        </w:rPr>
        <w:t>tabulate joint-life  functions </w:t>
      </w:r>
      <w:r>
        <w:rPr>
          <w:sz w:val="20"/>
        </w:rPr>
        <w:t>for </w:t>
      </w:r>
      <w:r>
        <w:rPr>
          <w:sz w:val="21"/>
        </w:rPr>
        <w:t>equal ages, the extensive tables required  </w:t>
      </w:r>
      <w:r>
        <w:rPr>
          <w:spacing w:val="1"/>
          <w:sz w:val="21"/>
        </w:rPr>
        <w:t> </w:t>
      </w:r>
      <w:r>
        <w:rPr>
          <w:sz w:val="21"/>
        </w:rPr>
        <w:t>for</w:t>
      </w:r>
    </w:p>
    <w:p>
      <w:pPr>
        <w:spacing w:line="226" w:lineRule="exact" w:before="30"/>
        <w:ind w:left="130" w:right="0" w:firstLine="0"/>
        <w:jc w:val="both"/>
        <w:rPr>
          <w:b/>
          <w:sz w:val="20"/>
        </w:rPr>
      </w:pPr>
      <w:r>
        <w:rPr>
          <w:b/>
          <w:w w:val="110"/>
          <w:sz w:val="14"/>
        </w:rPr>
        <w:t>lz1z1···z. </w:t>
      </w:r>
      <w:r>
        <w:rPr>
          <w:w w:val="145"/>
          <w:sz w:val="9"/>
        </w:rPr>
        <w:t>l  </w:t>
      </w:r>
      <w:r>
        <w:rPr>
          <w:b/>
          <w:w w:val="110"/>
          <w:sz w:val="14"/>
        </w:rPr>
        <w:t>dz1z1···z... </w:t>
      </w:r>
      <w:r>
        <w:rPr>
          <w:w w:val="145"/>
          <w:sz w:val="14"/>
        </w:rPr>
        <w:t>, </w:t>
      </w:r>
      <w:r>
        <w:rPr>
          <w:b/>
          <w:w w:val="110"/>
          <w:sz w:val="14"/>
        </w:rPr>
        <w:t>Dz1z1·•·Z· </w:t>
      </w:r>
      <w:r>
        <w:rPr>
          <w:w w:val="145"/>
          <w:sz w:val="14"/>
        </w:rPr>
        <w:t>, </w:t>
      </w:r>
      <w:r>
        <w:rPr>
          <w:b/>
          <w:w w:val="110"/>
          <w:sz w:val="20"/>
        </w:rPr>
        <w:t>and the other functions being  now</w:t>
      </w:r>
    </w:p>
    <w:p>
      <w:pPr>
        <w:spacing w:line="235" w:lineRule="exact" w:before="0"/>
        <w:ind w:left="137" w:right="0" w:firstLine="0"/>
        <w:jc w:val="both"/>
        <w:rPr>
          <w:sz w:val="21"/>
        </w:rPr>
      </w:pPr>
      <w:r>
        <w:rPr>
          <w:w w:val="105"/>
          <w:sz w:val="21"/>
        </w:rPr>
        <w:t>replaced by </w:t>
      </w:r>
      <w:r>
        <w:rPr>
          <w:i/>
          <w:w w:val="105"/>
          <w:sz w:val="21"/>
        </w:rPr>
        <w:t>si,ngle </w:t>
      </w:r>
      <w:r>
        <w:rPr>
          <w:w w:val="105"/>
          <w:sz w:val="21"/>
        </w:rPr>
        <w:t>columns of </w:t>
      </w:r>
      <w:r>
        <w:rPr>
          <w:i/>
          <w:w w:val="105"/>
          <w:sz w:val="20"/>
        </w:rPr>
        <w:t>lzz,.</w:t>
      </w:r>
      <w:r>
        <w:rPr>
          <w:w w:val="105"/>
          <w:sz w:val="13"/>
        </w:rPr>
        <w:t>,z </w:t>
      </w:r>
      <w:r>
        <w:rPr>
          <w:w w:val="135"/>
          <w:sz w:val="9"/>
        </w:rPr>
        <w:t>l </w:t>
      </w:r>
      <w:r>
        <w:rPr>
          <w:i/>
          <w:w w:val="135"/>
          <w:sz w:val="20"/>
        </w:rPr>
        <w:t>dzz.</w:t>
      </w:r>
      <w:r>
        <w:rPr>
          <w:w w:val="135"/>
          <w:sz w:val="13"/>
        </w:rPr>
        <w:t>··z , </w:t>
      </w:r>
      <w:r>
        <w:rPr>
          <w:w w:val="105"/>
          <w:sz w:val="13"/>
        </w:rPr>
        <w:t>Dz:.i:• </w:t>
      </w:r>
      <w:r>
        <w:rPr>
          <w:w w:val="135"/>
          <w:sz w:val="9"/>
        </w:rPr>
        <w:t>••Z </w:t>
      </w:r>
      <w:r>
        <w:rPr>
          <w:w w:val="190"/>
          <w:sz w:val="9"/>
        </w:rPr>
        <w:t>, </w:t>
      </w:r>
      <w:r>
        <w:rPr>
          <w:w w:val="105"/>
          <w:sz w:val="21"/>
        </w:rPr>
        <w:t>and so on.</w:t>
      </w:r>
    </w:p>
    <w:p>
      <w:pPr>
        <w:spacing w:line="230" w:lineRule="auto" w:before="6"/>
        <w:ind w:left="130" w:right="108" w:firstLine="208"/>
        <w:jc w:val="both"/>
        <w:rPr>
          <w:i/>
          <w:sz w:val="21"/>
        </w:rPr>
      </w:pPr>
      <w:r>
        <w:rPr>
          <w:sz w:val="21"/>
        </w:rPr>
        <w:t>In the past  many  important  mortality  tables  were  constructed on a Makeham ha.sis </w:t>
      </w:r>
      <w:r>
        <w:rPr>
          <w:sz w:val="20"/>
        </w:rPr>
        <w:t>in </w:t>
      </w:r>
      <w:r>
        <w:rPr>
          <w:sz w:val="21"/>
        </w:rPr>
        <w:t>order </w:t>
      </w:r>
      <w:r>
        <w:rPr>
          <w:sz w:val="22"/>
        </w:rPr>
        <w:t>to </w:t>
      </w:r>
      <w:r>
        <w:rPr>
          <w:sz w:val="21"/>
        </w:rPr>
        <w:t>gain this advantage. The  1941  </w:t>
      </w:r>
      <w:r>
        <w:rPr>
          <w:sz w:val="20"/>
        </w:rPr>
        <w:t>CSO </w:t>
      </w:r>
      <w:r>
        <w:rPr>
          <w:sz w:val="21"/>
        </w:rPr>
        <w:t>table follows Makeham's law  between  ages </w:t>
      </w:r>
      <w:r>
        <w:rPr>
          <w:spacing w:val="-20"/>
          <w:sz w:val="21"/>
        </w:rPr>
        <w:t>15  </w:t>
      </w:r>
      <w:r>
        <w:rPr>
          <w:sz w:val="21"/>
        </w:rPr>
        <w:t>and 95. Table  </w:t>
      </w:r>
      <w:r>
        <w:rPr>
          <w:rFonts w:ascii="Arial"/>
          <w:sz w:val="19"/>
        </w:rPr>
        <w:t>5 </w:t>
      </w:r>
      <w:r>
        <w:rPr>
          <w:sz w:val="21"/>
        </w:rPr>
        <w:t>shows certain annuity values on this basis,  together  with  values </w:t>
      </w:r>
      <w:r>
        <w:rPr>
          <w:w w:val="80"/>
          <w:sz w:val="21"/>
        </w:rPr>
        <w:t>of</w:t>
      </w:r>
      <w:r>
        <w:rPr>
          <w:spacing w:val="4"/>
          <w:w w:val="80"/>
          <w:sz w:val="21"/>
        </w:rPr>
        <w:t> </w:t>
      </w:r>
      <w:r>
        <w:rPr>
          <w:i/>
          <w:w w:val="80"/>
          <w:sz w:val="21"/>
        </w:rPr>
        <w:t>c-z.</w:t>
      </w:r>
    </w:p>
    <w:p>
      <w:pPr>
        <w:spacing w:line="242" w:lineRule="exact" w:before="25"/>
        <w:ind w:left="130" w:right="125" w:firstLine="201"/>
        <w:jc w:val="both"/>
        <w:rPr>
          <w:sz w:val="21"/>
        </w:rPr>
      </w:pPr>
      <w:r>
        <w:rPr>
          <w:w w:val="93"/>
          <w:sz w:val="21"/>
        </w:rPr>
        <w:t>As </w:t>
      </w:r>
      <w:r>
        <w:rPr>
          <w:w w:val="105"/>
          <w:sz w:val="21"/>
        </w:rPr>
        <w:t>an </w:t>
      </w:r>
      <w:r>
        <w:rPr>
          <w:w w:val="98"/>
          <w:sz w:val="21"/>
        </w:rPr>
        <w:t>example, </w:t>
      </w:r>
      <w:r>
        <w:rPr>
          <w:w w:val="98"/>
          <w:sz w:val="21"/>
        </w:rPr>
        <w:t>suppose </w:t>
      </w:r>
      <w:r>
        <w:rPr>
          <w:w w:val="113"/>
          <w:sz w:val="21"/>
        </w:rPr>
        <w:t>that </w:t>
      </w:r>
      <w:r>
        <w:rPr>
          <w:w w:val="109"/>
          <w:sz w:val="21"/>
        </w:rPr>
        <w:t>the </w:t>
      </w:r>
      <w:r>
        <w:rPr>
          <w:w w:val="103"/>
          <w:sz w:val="21"/>
        </w:rPr>
        <w:t>value </w:t>
      </w:r>
      <w:r>
        <w:rPr>
          <w:w w:val="85"/>
          <w:sz w:val="21"/>
        </w:rPr>
        <w:t>of </w:t>
      </w:r>
      <w:r>
        <w:rPr>
          <w:spacing w:val="-2"/>
          <w:w w:val="98"/>
          <w:sz w:val="17"/>
        </w:rPr>
        <w:t>dao:</w:t>
      </w:r>
      <w:r>
        <w:rPr>
          <w:rFonts w:ascii="Arial"/>
          <w:spacing w:val="-2"/>
          <w:w w:val="98"/>
          <w:position w:val="-2"/>
          <w:sz w:val="12"/>
        </w:rPr>
        <w:t>16</w:t>
      </w:r>
      <w:r>
        <w:rPr>
          <w:rFonts w:ascii="Arial"/>
          <w:spacing w:val="-2"/>
          <w:w w:val="98"/>
          <w:sz w:val="12"/>
        </w:rPr>
        <w:t>:</w:t>
      </w:r>
      <w:r>
        <w:rPr>
          <w:rFonts w:ascii="Arial"/>
          <w:spacing w:val="-2"/>
          <w:w w:val="98"/>
          <w:position w:val="-2"/>
          <w:sz w:val="12"/>
        </w:rPr>
        <w:t>46 </w:t>
      </w:r>
      <w:r>
        <w:rPr>
          <w:spacing w:val="-2"/>
          <w:w w:val="97"/>
          <w:sz w:val="21"/>
        </w:rPr>
        <w:t>is </w:t>
      </w:r>
      <w:r>
        <w:rPr>
          <w:spacing w:val="-2"/>
          <w:w w:val="98"/>
          <w:sz w:val="21"/>
        </w:rPr>
        <w:t>required </w:t>
      </w:r>
      <w:r>
        <w:rPr>
          <w:spacing w:val="-2"/>
          <w:w w:val="98"/>
          <w:sz w:val="21"/>
        </w:rPr>
        <w:t>on </w:t>
      </w:r>
      <w:r>
        <w:rPr>
          <w:spacing w:val="-2"/>
          <w:w w:val="105"/>
          <w:sz w:val="21"/>
        </w:rPr>
        <w:t>the </w:t>
      </w:r>
      <w:r>
        <w:rPr>
          <w:spacing w:val="-12"/>
          <w:w w:val="105"/>
          <w:sz w:val="21"/>
        </w:rPr>
        <w:t>1941 </w:t>
      </w:r>
      <w:r>
        <w:rPr>
          <w:w w:val="105"/>
          <w:sz w:val="21"/>
        </w:rPr>
        <w:t>CSO </w:t>
      </w:r>
      <w:r>
        <w:rPr>
          <w:w w:val="255"/>
          <w:sz w:val="21"/>
        </w:rPr>
        <w:t>2</w:t>
      </w:r>
      <w:r>
        <w:rPr>
          <w:spacing w:val="-110"/>
          <w:w w:val="255"/>
          <w:sz w:val="21"/>
        </w:rPr>
        <w:t> </w:t>
      </w:r>
      <w:r>
        <w:rPr>
          <w:rFonts w:ascii="Arial"/>
          <w:w w:val="105"/>
          <w:sz w:val="19"/>
        </w:rPr>
        <w:t>% </w:t>
      </w:r>
      <w:r>
        <w:rPr>
          <w:w w:val="105"/>
          <w:sz w:val="21"/>
        </w:rPr>
        <w:t>basis. Using Table 5, we first compute</w:t>
      </w:r>
    </w:p>
    <w:p>
      <w:pPr>
        <w:spacing w:line="196" w:lineRule="exact" w:before="0"/>
        <w:ind w:left="98" w:right="439" w:firstLine="0"/>
        <w:jc w:val="center"/>
        <w:rPr>
          <w:b/>
          <w:sz w:val="12"/>
        </w:rPr>
      </w:pPr>
      <w:r>
        <w:rPr>
          <w:b/>
          <w:w w:val="95"/>
          <w:sz w:val="12"/>
        </w:rPr>
        <w:t>SO  </w:t>
      </w:r>
      <w:r>
        <w:rPr>
          <w:b/>
          <w:w w:val="225"/>
          <w:sz w:val="12"/>
        </w:rPr>
        <w:t>+  </w:t>
      </w:r>
      <w:r>
        <w:rPr>
          <w:b/>
          <w:w w:val="105"/>
          <w:sz w:val="12"/>
        </w:rPr>
        <w:t>35  </w:t>
      </w:r>
      <w:r>
        <w:rPr>
          <w:w w:val="105"/>
          <w:sz w:val="29"/>
        </w:rPr>
        <w:t>+  </w:t>
      </w:r>
      <w:r>
        <w:rPr>
          <w:b/>
          <w:w w:val="105"/>
          <w:sz w:val="12"/>
        </w:rPr>
        <w:t>46</w:t>
      </w:r>
    </w:p>
    <w:p>
      <w:pPr>
        <w:spacing w:after="0" w:line="196" w:lineRule="exact"/>
        <w:jc w:val="center"/>
        <w:rPr>
          <w:sz w:val="12"/>
        </w:rPr>
        <w:sectPr>
          <w:pgSz w:w="7200" w:h="11340"/>
          <w:pgMar w:top="480" w:bottom="280" w:left="680" w:right="520"/>
        </w:sectPr>
      </w:pPr>
    </w:p>
    <w:p>
      <w:pPr>
        <w:tabs>
          <w:tab w:pos="1015" w:val="left" w:leader="none"/>
        </w:tabs>
        <w:spacing w:line="229" w:lineRule="exact" w:before="0"/>
        <w:ind w:left="0" w:right="64" w:firstLine="0"/>
        <w:jc w:val="right"/>
        <w:rPr>
          <w:rFonts w:ascii="Arial"/>
          <w:sz w:val="18"/>
        </w:rPr>
      </w:pPr>
      <w:r>
        <w:rPr/>
        <w:pict>
          <v:rect style="position:absolute;margin-left:170.639999pt;margin-top:11.180758pt;width:4.860pt;height:7.2pt;mso-position-horizontal-relative:page;mso-position-vertical-relative:paragraph;z-index:-720280" filled="true" fillcolor="#000000" stroked="false">
            <v:fill type="solid"/>
            <w10:wrap type="none"/>
          </v:rect>
        </w:pict>
      </w:r>
      <w:r>
        <w:rPr>
          <w:i/>
          <w:w w:val="95"/>
          <w:sz w:val="21"/>
        </w:rPr>
        <w:t>e"'</w:t>
      </w:r>
      <w:r>
        <w:rPr>
          <w:i/>
          <w:spacing w:val="34"/>
          <w:w w:val="95"/>
          <w:sz w:val="21"/>
        </w:rPr>
        <w:t> </w:t>
      </w:r>
      <w:r>
        <w:rPr>
          <w:w w:val="95"/>
          <w:sz w:val="26"/>
        </w:rPr>
        <w:t>=</w:t>
      </w:r>
      <w:r>
        <w:rPr>
          <w:spacing w:val="15"/>
          <w:w w:val="95"/>
          <w:sz w:val="26"/>
        </w:rPr>
        <w:t> </w:t>
      </w:r>
      <w:r>
        <w:rPr>
          <w:i/>
          <w:w w:val="95"/>
          <w:sz w:val="21"/>
        </w:rPr>
        <w:t>e</w:t>
        <w:tab/>
      </w:r>
      <w:r>
        <w:rPr>
          <w:rFonts w:ascii="Arial"/>
          <w:w w:val="95"/>
          <w:sz w:val="18"/>
        </w:rPr>
        <w:t>c</w:t>
      </w:r>
    </w:p>
    <w:p>
      <w:pPr>
        <w:spacing w:line="182" w:lineRule="exact" w:before="0"/>
        <w:ind w:left="0" w:right="0" w:firstLine="0"/>
        <w:jc w:val="right"/>
        <w:rPr>
          <w:rFonts w:ascii="Arial"/>
          <w:sz w:val="19"/>
        </w:rPr>
      </w:pPr>
      <w:r>
        <w:rPr>
          <w:rFonts w:ascii="Arial"/>
          <w:w w:val="106"/>
          <w:sz w:val="19"/>
        </w:rPr>
        <w:t>3</w:t>
      </w:r>
    </w:p>
    <w:p>
      <w:pPr>
        <w:spacing w:line="261" w:lineRule="exact" w:before="0"/>
        <w:ind w:left="325" w:right="0" w:firstLine="0"/>
        <w:jc w:val="left"/>
        <w:rPr>
          <w:rFonts w:ascii="Arial"/>
          <w:sz w:val="19"/>
        </w:rPr>
      </w:pPr>
      <w:r>
        <w:rPr/>
        <w:br w:type="column"/>
      </w:r>
      <w:r>
        <w:rPr>
          <w:i/>
          <w:sz w:val="21"/>
        </w:rPr>
        <w:t>e   </w:t>
      </w:r>
      <w:r>
        <w:rPr>
          <w:sz w:val="24"/>
        </w:rPr>
        <w:t>= </w:t>
      </w:r>
      <w:r>
        <w:rPr>
          <w:rFonts w:ascii="Arial"/>
          <w:sz w:val="19"/>
        </w:rPr>
        <w:t>26.477.</w:t>
      </w:r>
    </w:p>
    <w:p>
      <w:pPr>
        <w:spacing w:after="0" w:line="261" w:lineRule="exact"/>
        <w:jc w:val="left"/>
        <w:rPr>
          <w:rFonts w:ascii="Arial"/>
          <w:sz w:val="19"/>
        </w:rPr>
        <w:sectPr>
          <w:type w:val="continuous"/>
          <w:pgSz w:w="7200" w:h="11340"/>
          <w:pgMar w:top="1100" w:bottom="0" w:left="680" w:right="520"/>
          <w:cols w:num="2" w:equalWidth="0">
            <w:col w:w="2846" w:space="40"/>
            <w:col w:w="3114"/>
          </w:cols>
        </w:sectPr>
      </w:pPr>
    </w:p>
    <w:p>
      <w:pPr>
        <w:spacing w:line="238" w:lineRule="exact" w:before="115"/>
        <w:ind w:left="126" w:right="0" w:firstLine="3"/>
        <w:jc w:val="left"/>
        <w:rPr>
          <w:sz w:val="21"/>
        </w:rPr>
      </w:pPr>
      <w:r>
        <w:rPr>
          <w:sz w:val="21"/>
        </w:rPr>
        <w:t>Then, by linear interpolation in the table, we find </w:t>
      </w:r>
      <w:r>
        <w:rPr>
          <w:rFonts w:ascii="Arial"/>
          <w:i/>
          <w:sz w:val="19"/>
        </w:rPr>
        <w:t>w </w:t>
      </w:r>
      <w:r>
        <w:rPr>
          <w:sz w:val="24"/>
        </w:rPr>
        <w:t>= </w:t>
      </w:r>
      <w:r>
        <w:rPr>
          <w:sz w:val="21"/>
        </w:rPr>
        <w:t>38.363, and hence</w:t>
      </w:r>
    </w:p>
    <w:p>
      <w:pPr>
        <w:spacing w:before="95"/>
        <w:ind w:left="1908" w:right="0" w:firstLine="0"/>
        <w:jc w:val="left"/>
        <w:rPr>
          <w:sz w:val="18"/>
        </w:rPr>
      </w:pPr>
      <w:r>
        <w:rPr>
          <w:b/>
          <w:w w:val="85"/>
          <w:sz w:val="18"/>
        </w:rPr>
        <w:t>iiao:3i:u </w:t>
      </w:r>
      <w:r>
        <w:rPr>
          <w:w w:val="85"/>
          <w:sz w:val="26"/>
        </w:rPr>
        <w:t>= </w:t>
      </w:r>
      <w:r>
        <w:rPr>
          <w:w w:val="85"/>
          <w:sz w:val="18"/>
        </w:rPr>
        <w:t>t.i38.asa:aa.asa:38.aea .</w:t>
      </w:r>
    </w:p>
    <w:p>
      <w:pPr>
        <w:spacing w:line="235" w:lineRule="auto" w:before="33"/>
        <w:ind w:left="119" w:right="125" w:firstLine="21"/>
        <w:jc w:val="right"/>
        <w:rPr>
          <w:sz w:val="21"/>
        </w:rPr>
      </w:pPr>
      <w:r>
        <w:rPr>
          <w:sz w:val="21"/>
        </w:rPr>
        <w:t>Finally, a linear ihterpolation between </w:t>
      </w:r>
      <w:r>
        <w:rPr>
          <w:i/>
          <w:sz w:val="21"/>
        </w:rPr>
        <w:t>x </w:t>
      </w:r>
      <w:r>
        <w:rPr>
          <w:sz w:val="26"/>
        </w:rPr>
        <w:t>= </w:t>
      </w:r>
      <w:r>
        <w:rPr>
          <w:sz w:val="21"/>
        </w:rPr>
        <w:t>38 and </w:t>
      </w:r>
      <w:r>
        <w:rPr>
          <w:i/>
          <w:sz w:val="21"/>
        </w:rPr>
        <w:t>x </w:t>
      </w:r>
      <w:r>
        <w:rPr>
          <w:sz w:val="28"/>
        </w:rPr>
        <w:t>= </w:t>
      </w:r>
      <w:r>
        <w:rPr>
          <w:sz w:val="21"/>
        </w:rPr>
        <w:t>39</w:t>
      </w:r>
      <w:r>
        <w:rPr>
          <w:spacing w:val="27"/>
          <w:sz w:val="21"/>
        </w:rPr>
        <w:t> </w:t>
      </w:r>
      <w:r>
        <w:rPr>
          <w:sz w:val="21"/>
        </w:rPr>
        <w:t>in</w:t>
      </w:r>
      <w:r>
        <w:rPr>
          <w:spacing w:val="25"/>
          <w:sz w:val="21"/>
        </w:rPr>
        <w:t> </w:t>
      </w:r>
      <w:r>
        <w:rPr>
          <w:sz w:val="21"/>
        </w:rPr>
        <w:t>the</w:t>
      </w:r>
      <w:r>
        <w:rPr>
          <w:w w:val="104"/>
          <w:sz w:val="21"/>
        </w:rPr>
        <w:t> </w:t>
      </w:r>
      <w:r>
        <w:rPr>
          <w:sz w:val="21"/>
        </w:rPr>
        <w:t>table of values of </w:t>
      </w:r>
      <w:r>
        <w:rPr>
          <w:i/>
          <w:sz w:val="19"/>
        </w:rPr>
        <w:t>iizzz </w:t>
      </w:r>
      <w:r>
        <w:rPr>
          <w:sz w:val="21"/>
        </w:rPr>
        <w:t>produces the required annuity</w:t>
      </w:r>
      <w:r>
        <w:rPr>
          <w:spacing w:val="14"/>
          <w:sz w:val="21"/>
        </w:rPr>
        <w:t> </w:t>
      </w:r>
      <w:r>
        <w:rPr>
          <w:sz w:val="21"/>
        </w:rPr>
        <w:t>valuc</w:t>
      </w:r>
      <w:r>
        <w:rPr>
          <w:spacing w:val="7"/>
          <w:sz w:val="21"/>
        </w:rPr>
        <w:t> </w:t>
      </w:r>
      <w:r>
        <w:rPr>
          <w:sz w:val="21"/>
        </w:rPr>
        <w:t>of</w:t>
      </w:r>
      <w:r>
        <w:rPr>
          <w:w w:val="81"/>
          <w:sz w:val="21"/>
        </w:rPr>
        <w:t> </w:t>
      </w:r>
      <w:r>
        <w:rPr>
          <w:spacing w:val="-5"/>
          <w:sz w:val="21"/>
        </w:rPr>
        <w:t>15.27735. </w:t>
      </w:r>
      <w:r>
        <w:rPr>
          <w:sz w:val="21"/>
        </w:rPr>
        <w:t>In this result, we cannot  expect  all five</w:t>
      </w:r>
      <w:r>
        <w:rPr>
          <w:spacing w:val="12"/>
          <w:sz w:val="21"/>
        </w:rPr>
        <w:t> </w:t>
      </w:r>
      <w:r>
        <w:rPr>
          <w:sz w:val="21"/>
        </w:rPr>
        <w:t>decimal</w:t>
      </w:r>
      <w:r>
        <w:rPr>
          <w:spacing w:val="43"/>
          <w:sz w:val="21"/>
        </w:rPr>
        <w:t> </w:t>
      </w:r>
      <w:r>
        <w:rPr>
          <w:sz w:val="21"/>
        </w:rPr>
        <w:t>places</w:t>
      </w:r>
      <w:r>
        <w:rPr>
          <w:w w:val="95"/>
          <w:sz w:val="21"/>
        </w:rPr>
        <w:t> </w:t>
      </w:r>
      <w:r>
        <w:rPr>
          <w:sz w:val="22"/>
        </w:rPr>
        <w:t>to </w:t>
      </w:r>
      <w:r>
        <w:rPr>
          <w:sz w:val="21"/>
        </w:rPr>
        <w:t>be correct in view of the interpolation procedure, but the</w:t>
      </w:r>
      <w:r>
        <w:rPr>
          <w:spacing w:val="12"/>
          <w:sz w:val="21"/>
        </w:rPr>
        <w:t> </w:t>
      </w:r>
      <w:r>
        <w:rPr>
          <w:sz w:val="21"/>
        </w:rPr>
        <w:t>loss</w:t>
      </w:r>
      <w:r>
        <w:rPr>
          <w:spacing w:val="1"/>
          <w:sz w:val="21"/>
        </w:rPr>
        <w:t> </w:t>
      </w:r>
      <w:r>
        <w:rPr>
          <w:sz w:val="21"/>
        </w:rPr>
        <w:t>of</w:t>
      </w:r>
      <w:r>
        <w:rPr>
          <w:w w:val="83"/>
          <w:sz w:val="21"/>
        </w:rPr>
        <w:t> </w:t>
      </w:r>
      <w:r>
        <w:rPr>
          <w:sz w:val="21"/>
        </w:rPr>
        <w:t>accuracy is slight enough to be unimportant in</w:t>
      </w:r>
      <w:r>
        <w:rPr>
          <w:spacing w:val="42"/>
          <w:sz w:val="21"/>
        </w:rPr>
        <w:t> </w:t>
      </w:r>
      <w:r>
        <w:rPr>
          <w:sz w:val="21"/>
        </w:rPr>
        <w:t>most</w:t>
      </w:r>
      <w:r>
        <w:rPr>
          <w:spacing w:val="36"/>
          <w:sz w:val="21"/>
        </w:rPr>
        <w:t> </w:t>
      </w:r>
      <w:r>
        <w:rPr>
          <w:sz w:val="21"/>
        </w:rPr>
        <w:t>applications.</w:t>
      </w:r>
      <w:r>
        <w:rPr>
          <w:w w:val="100"/>
          <w:sz w:val="21"/>
        </w:rPr>
        <w:t> </w:t>
      </w:r>
      <w:r>
        <w:rPr>
          <w:sz w:val="21"/>
        </w:rPr>
        <w:t>There is a minor theoretical error which should be</w:t>
      </w:r>
      <w:r>
        <w:rPr>
          <w:spacing w:val="-6"/>
          <w:sz w:val="21"/>
        </w:rPr>
        <w:t> </w:t>
      </w:r>
      <w:r>
        <w:rPr>
          <w:sz w:val="21"/>
        </w:rPr>
        <w:t>noted,</w:t>
      </w:r>
      <w:r>
        <w:rPr>
          <w:spacing w:val="5"/>
          <w:sz w:val="21"/>
        </w:rPr>
        <w:t> </w:t>
      </w:r>
      <w:r>
        <w:rPr>
          <w:sz w:val="21"/>
        </w:rPr>
        <w:t>al­</w:t>
      </w:r>
      <w:r>
        <w:rPr>
          <w:w w:val="100"/>
          <w:sz w:val="21"/>
        </w:rPr>
        <w:t> </w:t>
      </w:r>
      <w:r>
        <w:rPr>
          <w:sz w:val="21"/>
        </w:rPr>
        <w:t>though it has very little practical importance. The function</w:t>
      </w:r>
      <w:r>
        <w:rPr>
          <w:spacing w:val="28"/>
          <w:sz w:val="21"/>
        </w:rPr>
        <w:t> </w:t>
      </w:r>
      <w:r>
        <w:rPr>
          <w:sz w:val="21"/>
        </w:rPr>
        <w:t>which</w:t>
      </w:r>
      <w:r>
        <w:rPr>
          <w:w w:val="95"/>
          <w:sz w:val="21"/>
        </w:rPr>
        <w:t> </w:t>
      </w:r>
      <w:r>
        <w:rPr>
          <w:sz w:val="21"/>
        </w:rPr>
        <w:t>represents </w:t>
      </w:r>
      <w:r>
        <w:rPr>
          <w:i/>
          <w:sz w:val="20"/>
        </w:rPr>
        <w:t>ls </w:t>
      </w:r>
      <w:r>
        <w:rPr>
          <w:sz w:val="21"/>
        </w:rPr>
        <w:t>in Makeham's law is positive for all values of</w:t>
      </w:r>
      <w:r>
        <w:rPr>
          <w:spacing w:val="45"/>
          <w:sz w:val="21"/>
        </w:rPr>
        <w:t> </w:t>
      </w:r>
      <w:r>
        <w:rPr>
          <w:i/>
          <w:sz w:val="22"/>
        </w:rPr>
        <w:t>x,</w:t>
      </w:r>
      <w:r>
        <w:rPr>
          <w:i/>
          <w:spacing w:val="17"/>
          <w:sz w:val="22"/>
        </w:rPr>
        <w:t> </w:t>
      </w:r>
      <w:r>
        <w:rPr>
          <w:sz w:val="21"/>
        </w:rPr>
        <w:t>im­</w:t>
      </w:r>
      <w:r>
        <w:rPr>
          <w:w w:val="98"/>
          <w:sz w:val="21"/>
        </w:rPr>
        <w:t> </w:t>
      </w:r>
      <w:r>
        <w:rPr>
          <w:sz w:val="21"/>
        </w:rPr>
        <w:t>plying an infinite limiting age </w:t>
      </w:r>
      <w:r>
        <w:rPr>
          <w:sz w:val="20"/>
        </w:rPr>
        <w:t>in </w:t>
      </w:r>
      <w:r>
        <w:rPr>
          <w:sz w:val="21"/>
        </w:rPr>
        <w:t>the mortality  table. </w:t>
      </w:r>
      <w:r>
        <w:rPr>
          <w:spacing w:val="36"/>
          <w:sz w:val="21"/>
        </w:rPr>
        <w:t> </w:t>
      </w:r>
      <w:r>
        <w:rPr>
          <w:sz w:val="21"/>
        </w:rPr>
        <w:t>The </w:t>
      </w:r>
      <w:r>
        <w:rPr>
          <w:spacing w:val="5"/>
          <w:sz w:val="21"/>
        </w:rPr>
        <w:t> </w:t>
      </w:r>
      <w:r>
        <w:rPr>
          <w:spacing w:val="-10"/>
          <w:sz w:val="21"/>
        </w:rPr>
        <w:t>1941</w:t>
      </w:r>
      <w:r>
        <w:rPr>
          <w:sz w:val="21"/>
        </w:rPr>
        <w:t> </w:t>
      </w:r>
      <w:r>
        <w:rPr>
          <w:sz w:val="20"/>
        </w:rPr>
        <w:t>CSO  </w:t>
      </w:r>
      <w:r>
        <w:rPr>
          <w:sz w:val="21"/>
        </w:rPr>
        <w:t>table  </w:t>
      </w:r>
      <w:r>
        <w:rPr>
          <w:sz w:val="20"/>
        </w:rPr>
        <w:t>used  </w:t>
      </w:r>
      <w:r>
        <w:rPr>
          <w:sz w:val="21"/>
        </w:rPr>
        <w:t>above,  although  Makehamized  over  most  of </w:t>
      </w:r>
      <w:r>
        <w:rPr>
          <w:spacing w:val="15"/>
          <w:sz w:val="21"/>
        </w:rPr>
        <w:t> </w:t>
      </w:r>
      <w:r>
        <w:rPr>
          <w:sz w:val="21"/>
        </w:rPr>
        <w:t>its</w:t>
      </w:r>
    </w:p>
    <w:p>
      <w:pPr>
        <w:spacing w:line="189" w:lineRule="auto" w:before="31"/>
        <w:ind w:left="104" w:right="135" w:firstLine="14"/>
        <w:jc w:val="both"/>
        <w:rPr>
          <w:sz w:val="20"/>
        </w:rPr>
      </w:pPr>
      <w:r>
        <w:rPr>
          <w:w w:val="99"/>
          <w:sz w:val="21"/>
        </w:rPr>
        <w:t>range, </w:t>
      </w:r>
      <w:r>
        <w:rPr>
          <w:w w:val="105"/>
          <w:sz w:val="21"/>
        </w:rPr>
        <w:t>has </w:t>
      </w:r>
      <w:r>
        <w:rPr>
          <w:spacing w:val="-4"/>
          <w:w w:val="73"/>
          <w:sz w:val="21"/>
        </w:rPr>
        <w:t>l100</w:t>
      </w:r>
      <w:r>
        <w:rPr>
          <w:w w:val="73"/>
          <w:sz w:val="21"/>
        </w:rPr>
        <w:t> </w:t>
      </w:r>
      <w:r>
        <w:rPr>
          <w:w w:val="102"/>
          <w:sz w:val="21"/>
        </w:rPr>
        <w:t>equal </w:t>
      </w:r>
      <w:r>
        <w:rPr>
          <w:w w:val="104"/>
          <w:sz w:val="22"/>
        </w:rPr>
        <w:t>to </w:t>
      </w:r>
      <w:r>
        <w:rPr>
          <w:w w:val="76"/>
          <w:sz w:val="21"/>
        </w:rPr>
        <w:t>O. </w:t>
      </w:r>
      <w:r>
        <w:rPr>
          <w:w w:val="101"/>
          <w:sz w:val="20"/>
        </w:rPr>
        <w:t>If </w:t>
      </w:r>
      <w:r>
        <w:rPr>
          <w:w w:val="96"/>
          <w:sz w:val="21"/>
        </w:rPr>
        <w:t>we </w:t>
      </w:r>
      <w:r>
        <w:rPr>
          <w:w w:val="95"/>
          <w:sz w:val="21"/>
        </w:rPr>
        <w:t>recognize </w:t>
      </w:r>
      <w:r>
        <w:rPr>
          <w:w w:val="106"/>
          <w:sz w:val="21"/>
        </w:rPr>
        <w:t>this </w:t>
      </w:r>
      <w:r>
        <w:rPr>
          <w:w w:val="98"/>
          <w:sz w:val="21"/>
        </w:rPr>
        <w:t>limiting </w:t>
      </w:r>
      <w:r>
        <w:rPr>
          <w:w w:val="99"/>
          <w:sz w:val="21"/>
        </w:rPr>
        <w:t>age </w:t>
      </w:r>
      <w:r>
        <w:rPr>
          <w:w w:val="96"/>
          <w:sz w:val="21"/>
        </w:rPr>
        <w:t>in </w:t>
      </w:r>
      <w:r>
        <w:rPr>
          <w:w w:val="97"/>
          <w:sz w:val="21"/>
        </w:rPr>
        <w:t>com­ </w:t>
      </w:r>
      <w:r>
        <w:rPr>
          <w:sz w:val="21"/>
        </w:rPr>
        <w:t>puting the life  annuity  value  above,  we  have,  since  </w:t>
      </w:r>
      <w:r>
        <w:rPr>
          <w:i/>
          <w:position w:val="-2"/>
          <w:sz w:val="13"/>
        </w:rPr>
        <w:t>1</w:t>
      </w:r>
      <w:r>
        <w:rPr>
          <w:rFonts w:ascii="Arial" w:hAnsi="Arial"/>
          <w:i/>
          <w:sz w:val="18"/>
        </w:rPr>
        <w:t>p</w:t>
      </w:r>
      <w:r>
        <w:rPr>
          <w:i/>
          <w:position w:val="-2"/>
          <w:sz w:val="13"/>
        </w:rPr>
        <w:t>45  </w:t>
      </w:r>
      <w:r>
        <w:rPr>
          <w:sz w:val="26"/>
        </w:rPr>
        <w:t>=  </w:t>
      </w:r>
      <w:r>
        <w:rPr>
          <w:rFonts w:ascii="Arial" w:hAnsi="Arial"/>
          <w:sz w:val="19"/>
        </w:rPr>
        <w:t>O  </w:t>
      </w:r>
      <w:r>
        <w:rPr>
          <w:sz w:val="21"/>
        </w:rPr>
        <w:t>for </w:t>
      </w:r>
      <w:r>
        <w:rPr>
          <w:i/>
          <w:sz w:val="22"/>
        </w:rPr>
        <w:t>t </w:t>
      </w:r>
      <w:r>
        <w:rPr>
          <w:sz w:val="26"/>
        </w:rPr>
        <w:t>&gt;</w:t>
      </w:r>
      <w:r>
        <w:rPr>
          <w:spacing w:val="54"/>
          <w:sz w:val="26"/>
        </w:rPr>
        <w:t> </w:t>
      </w:r>
      <w:r>
        <w:rPr>
          <w:sz w:val="20"/>
        </w:rPr>
        <w:t>54,</w:t>
      </w:r>
    </w:p>
    <w:p>
      <w:pPr>
        <w:spacing w:after="0" w:line="189" w:lineRule="auto"/>
        <w:jc w:val="both"/>
        <w:rPr>
          <w:sz w:val="20"/>
        </w:rPr>
        <w:sectPr>
          <w:type w:val="continuous"/>
          <w:pgSz w:w="7200" w:h="11340"/>
          <w:pgMar w:top="1100" w:bottom="0" w:left="680" w:right="520"/>
        </w:sectPr>
      </w:pPr>
    </w:p>
    <w:p>
      <w:pPr>
        <w:tabs>
          <w:tab w:pos="1975" w:val="left" w:leader="none"/>
        </w:tabs>
        <w:spacing w:before="63"/>
        <w:ind w:left="149" w:right="99" w:firstLine="0"/>
        <w:jc w:val="left"/>
        <w:rPr>
          <w:rFonts w:ascii="Arial"/>
          <w:b/>
          <w:sz w:val="20"/>
        </w:rPr>
      </w:pPr>
      <w:r>
        <w:rPr/>
        <w:pict>
          <v:group style="position:absolute;margin-left:38.514992pt;margin-top:463.69281pt;width:248.4pt;height:62.75pt;mso-position-horizontal-relative:page;mso-position-vertical-relative:page;z-index:-720256" coordorigin="770,9274" coordsize="4968,1255">
            <v:line style="position:absolute" from="778,10521" to="5730,10521" stroked="true" strokeweight=".713578pt" strokecolor="#000000"/>
            <v:line style="position:absolute" from="1743,10469" to="1743,9278" stroked="true" strokeweight=".356789pt" strokecolor="#000000"/>
            <w10:wrap type="none"/>
          </v:group>
        </w:pict>
      </w:r>
      <w:r>
        <w:rPr>
          <w:rFonts w:ascii="Arial"/>
          <w:b/>
          <w:color w:val="010101"/>
          <w:spacing w:val="-14"/>
          <w:sz w:val="20"/>
        </w:rPr>
        <w:t>118</w:t>
        <w:tab/>
      </w:r>
      <w:r>
        <w:rPr>
          <w:rFonts w:ascii="Arial"/>
          <w:b/>
          <w:color w:val="010101"/>
          <w:position w:val="1"/>
          <w:sz w:val="20"/>
        </w:rPr>
        <w:drawing>
          <wp:inline distT="0" distB="0" distL="0" distR="0">
            <wp:extent cx="1307591" cy="91440"/>
            <wp:effectExtent l="0" t="0" r="0" b="0"/>
            <wp:docPr id="417" name="image214.png" descr=""/>
            <wp:cNvGraphicFramePr>
              <a:graphicFrameLocks noChangeAspect="1"/>
            </wp:cNvGraphicFramePr>
            <a:graphic>
              <a:graphicData uri="http://schemas.openxmlformats.org/drawingml/2006/picture">
                <pic:pic>
                  <pic:nvPicPr>
                    <pic:cNvPr id="418" name="image214.png"/>
                    <pic:cNvPicPr/>
                  </pic:nvPicPr>
                  <pic:blipFill>
                    <a:blip r:embed="rId218" cstate="print"/>
                    <a:stretch>
                      <a:fillRect/>
                    </a:stretch>
                  </pic:blipFill>
                  <pic:spPr>
                    <a:xfrm>
                      <a:off x="0" y="0"/>
                      <a:ext cx="1307591" cy="91440"/>
                    </a:xfrm>
                    <a:prstGeom prst="rect">
                      <a:avLst/>
                    </a:prstGeom>
                  </pic:spPr>
                </pic:pic>
              </a:graphicData>
            </a:graphic>
          </wp:inline>
        </w:drawing>
      </w:r>
      <w:r>
        <w:rPr>
          <w:rFonts w:ascii="Arial"/>
          <w:b/>
          <w:color w:val="010101"/>
          <w:position w:val="1"/>
          <w:sz w:val="20"/>
        </w:rPr>
      </w:r>
    </w:p>
    <w:p>
      <w:pPr>
        <w:pStyle w:val="BodyText"/>
        <w:spacing w:before="2"/>
        <w:rPr>
          <w:rFonts w:ascii="Arial"/>
          <w:b/>
          <w:sz w:val="11"/>
        </w:rPr>
      </w:pPr>
    </w:p>
    <w:p>
      <w:pPr>
        <w:spacing w:before="77"/>
        <w:ind w:left="1548" w:right="1500" w:firstLine="0"/>
        <w:jc w:val="center"/>
        <w:rPr>
          <w:b/>
          <w:sz w:val="17"/>
        </w:rPr>
      </w:pPr>
      <w:r>
        <w:rPr>
          <w:b/>
          <w:color w:val="010101"/>
          <w:w w:val="85"/>
          <w:sz w:val="18"/>
        </w:rPr>
        <w:t>TA:81..E </w:t>
      </w:r>
      <w:r>
        <w:rPr>
          <w:b/>
          <w:color w:val="010101"/>
          <w:w w:val="85"/>
          <w:sz w:val="17"/>
        </w:rPr>
        <w:t>5c</w:t>
      </w:r>
    </w:p>
    <w:p>
      <w:pPr>
        <w:spacing w:before="20"/>
        <w:ind w:left="1548" w:right="1534" w:firstLine="0"/>
        <w:jc w:val="center"/>
        <w:rPr>
          <w:b/>
          <w:sz w:val="19"/>
        </w:rPr>
      </w:pPr>
      <w:r>
        <w:rPr>
          <w:rFonts w:ascii="Arial"/>
          <w:color w:val="010101"/>
          <w:spacing w:val="10"/>
          <w:w w:val="103"/>
          <w:sz w:val="16"/>
        </w:rPr>
        <w:t>V</w:t>
      </w:r>
      <w:r>
        <w:rPr>
          <w:rFonts w:ascii="Arial"/>
          <w:color w:val="010101"/>
          <w:w w:val="127"/>
          <w:sz w:val="12"/>
        </w:rPr>
        <w:t>A</w:t>
      </w:r>
      <w:r>
        <w:rPr>
          <w:rFonts w:ascii="Arial"/>
          <w:color w:val="010101"/>
          <w:spacing w:val="-3"/>
          <w:w w:val="127"/>
          <w:sz w:val="12"/>
        </w:rPr>
        <w:t>L</w:t>
      </w:r>
      <w:r>
        <w:rPr>
          <w:rFonts w:ascii="Arial"/>
          <w:color w:val="010101"/>
          <w:w w:val="183"/>
          <w:sz w:val="12"/>
        </w:rPr>
        <w:t>UD</w:t>
      </w:r>
      <w:r>
        <w:rPr>
          <w:rFonts w:ascii="Arial"/>
          <w:color w:val="010101"/>
          <w:spacing w:val="8"/>
          <w:sz w:val="12"/>
        </w:rPr>
        <w:t> </w:t>
      </w:r>
      <w:r>
        <w:rPr>
          <w:rFonts w:ascii="Arial"/>
          <w:color w:val="010101"/>
          <w:w w:val="350"/>
          <w:sz w:val="12"/>
        </w:rPr>
        <w:t>..,</w:t>
      </w:r>
      <w:r>
        <w:rPr>
          <w:rFonts w:ascii="Arial"/>
          <w:color w:val="010101"/>
          <w:spacing w:val="-5"/>
          <w:w w:val="350"/>
          <w:sz w:val="12"/>
        </w:rPr>
        <w:t>.</w:t>
      </w:r>
      <w:r>
        <w:rPr>
          <w:b/>
          <w:color w:val="010101"/>
          <w:w w:val="98"/>
          <w:sz w:val="13"/>
        </w:rPr>
        <w:t>A</w:t>
      </w:r>
      <w:r>
        <w:rPr>
          <w:b/>
          <w:color w:val="010101"/>
          <w:sz w:val="13"/>
        </w:rPr>
        <w:t>  </w:t>
      </w:r>
      <w:r>
        <w:rPr>
          <w:b/>
          <w:color w:val="010101"/>
          <w:spacing w:val="-16"/>
          <w:sz w:val="13"/>
        </w:rPr>
        <w:t> </w:t>
      </w:r>
      <w:r>
        <w:rPr>
          <w:b/>
          <w:color w:val="010101"/>
          <w:w w:val="114"/>
          <w:sz w:val="13"/>
        </w:rPr>
        <w:t>M.u:&amp;H.H</w:t>
      </w:r>
      <w:r>
        <w:rPr>
          <w:b/>
          <w:color w:val="010101"/>
          <w:spacing w:val="-4"/>
          <w:w w:val="114"/>
          <w:sz w:val="13"/>
        </w:rPr>
        <w:t>I</w:t>
      </w:r>
      <w:r>
        <w:rPr>
          <w:b/>
          <w:color w:val="2D2D2D"/>
          <w:w w:val="36"/>
          <w:sz w:val="13"/>
        </w:rPr>
        <w:t>-</w:t>
      </w:r>
      <w:r>
        <w:rPr>
          <w:b/>
          <w:color w:val="2D2D2D"/>
          <w:sz w:val="13"/>
        </w:rPr>
        <w:t> </w:t>
      </w:r>
      <w:r>
        <w:rPr>
          <w:b/>
          <w:color w:val="2D2D2D"/>
          <w:spacing w:val="8"/>
          <w:sz w:val="13"/>
        </w:rPr>
        <w:t> </w:t>
      </w:r>
      <w:r>
        <w:rPr>
          <w:b/>
          <w:color w:val="010101"/>
          <w:w w:val="149"/>
          <w:sz w:val="19"/>
        </w:rPr>
        <w:t>T</w:t>
      </w:r>
      <w:r>
        <w:rPr>
          <w:b/>
          <w:color w:val="010101"/>
          <w:spacing w:val="-19"/>
          <w:w w:val="149"/>
          <w:sz w:val="19"/>
        </w:rPr>
        <w:t>a</w:t>
      </w:r>
      <w:r>
        <w:rPr>
          <w:b/>
          <w:color w:val="010101"/>
          <w:w w:val="55"/>
          <w:sz w:val="19"/>
        </w:rPr>
        <w:t>11,a</w:t>
      </w:r>
    </w:p>
    <w:p>
      <w:pPr>
        <w:spacing w:before="2" w:after="11"/>
        <w:ind w:left="1548" w:right="1509" w:firstLine="0"/>
        <w:jc w:val="center"/>
        <w:rPr>
          <w:sz w:val="18"/>
        </w:rPr>
      </w:pPr>
      <w:r>
        <w:rPr>
          <w:color w:val="010101"/>
          <w:w w:val="94"/>
          <w:sz w:val="18"/>
        </w:rPr>
        <w:t>1941</w:t>
      </w:r>
      <w:r>
        <w:rPr>
          <w:color w:val="010101"/>
          <w:spacing w:val="-13"/>
          <w:sz w:val="18"/>
        </w:rPr>
        <w:t> </w:t>
      </w:r>
      <w:r>
        <w:rPr>
          <w:color w:val="010101"/>
          <w:w w:val="110"/>
          <w:sz w:val="18"/>
        </w:rPr>
        <w:t>CS0</w:t>
      </w:r>
      <w:r>
        <w:rPr>
          <w:color w:val="010101"/>
          <w:spacing w:val="7"/>
          <w:sz w:val="18"/>
        </w:rPr>
        <w:t> </w:t>
      </w:r>
      <w:r>
        <w:rPr>
          <w:color w:val="010101"/>
          <w:spacing w:val="2"/>
          <w:w w:val="263"/>
          <w:sz w:val="18"/>
        </w:rPr>
        <w:t>2</w:t>
      </w:r>
      <w:r>
        <w:rPr>
          <w:color w:val="010101"/>
          <w:w w:val="114"/>
          <w:sz w:val="18"/>
        </w:rPr>
        <w:t>%</w:t>
      </w:r>
    </w:p>
    <w:p>
      <w:pPr>
        <w:pStyle w:val="BodyText"/>
        <w:tabs>
          <w:tab w:pos="2631" w:val="left" w:leader="none"/>
        </w:tabs>
        <w:ind w:left="260"/>
      </w:pPr>
      <w:r>
        <w:rPr/>
        <w:pict>
          <v:shape style="width:106.9pt;height:439.55pt;mso-position-horizontal-relative:char;mso-position-vertical-relative:line" type="#_x0000_t202" filled="false" stroked="false">
            <w10:anchorlock/>
            <v:textbox inset="0,0,0,0">
              <w:txbxContent>
                <w:tbl>
                  <w:tblPr>
                    <w:tblW w:w="0" w:type="auto"/>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0"/>
                    <w:gridCol w:w="1306"/>
                  </w:tblGrid>
                  <w:tr>
                    <w:trPr>
                      <w:trHeight w:val="355" w:hRule="exact"/>
                    </w:trPr>
                    <w:tc>
                      <w:tcPr>
                        <w:tcW w:w="810" w:type="dxa"/>
                        <w:tcBorders>
                          <w:left w:val="nil"/>
                          <w:right w:val="single" w:sz="4" w:space="0" w:color="000000"/>
                        </w:tcBorders>
                      </w:tcPr>
                      <w:p>
                        <w:pPr>
                          <w:pStyle w:val="TableParagraph"/>
                          <w:spacing w:before="3"/>
                          <w:rPr>
                            <w:rFonts w:ascii="Times New Roman"/>
                            <w:sz w:val="13"/>
                          </w:rPr>
                        </w:pPr>
                      </w:p>
                      <w:p>
                        <w:pPr>
                          <w:pStyle w:val="TableParagraph"/>
                          <w:ind w:left="292"/>
                          <w:rPr>
                            <w:rFonts w:ascii="Arial"/>
                            <w:b/>
                            <w:sz w:val="12"/>
                          </w:rPr>
                        </w:pPr>
                        <w:r>
                          <w:rPr>
                            <w:rFonts w:ascii="Arial"/>
                            <w:b/>
                            <w:color w:val="010101"/>
                            <w:w w:val="120"/>
                            <w:sz w:val="12"/>
                          </w:rPr>
                          <w:t>s</w:t>
                        </w:r>
                      </w:p>
                    </w:tc>
                    <w:tc>
                      <w:tcPr>
                        <w:tcW w:w="1306" w:type="dxa"/>
                        <w:tcBorders>
                          <w:left w:val="single" w:sz="4" w:space="0" w:color="000000"/>
                        </w:tcBorders>
                      </w:tcPr>
                      <w:p>
                        <w:pPr>
                          <w:pStyle w:val="TableParagraph"/>
                          <w:rPr>
                            <w:rFonts w:ascii="Times New Roman"/>
                            <w:sz w:val="12"/>
                          </w:rPr>
                        </w:pPr>
                      </w:p>
                      <w:p>
                        <w:pPr>
                          <w:pStyle w:val="TableParagraph"/>
                          <w:ind w:left="525" w:right="498"/>
                          <w:jc w:val="center"/>
                          <w:rPr>
                            <w:rFonts w:ascii="Times New Roman"/>
                            <w:b/>
                            <w:i/>
                            <w:sz w:val="14"/>
                          </w:rPr>
                        </w:pPr>
                        <w:r>
                          <w:rPr>
                            <w:rFonts w:ascii="Times New Roman"/>
                            <w:b/>
                            <w:i/>
                            <w:color w:val="010101"/>
                            <w:sz w:val="14"/>
                          </w:rPr>
                          <w:t>11s.</w:t>
                        </w:r>
                      </w:p>
                    </w:tc>
                  </w:tr>
                  <w:tr>
                    <w:trPr>
                      <w:trHeight w:val="359" w:hRule="exact"/>
                    </w:trPr>
                    <w:tc>
                      <w:tcPr>
                        <w:tcW w:w="810" w:type="dxa"/>
                        <w:tcBorders>
                          <w:left w:val="nil"/>
                          <w:bottom w:val="nil"/>
                          <w:right w:val="single" w:sz="4" w:space="0" w:color="000000"/>
                        </w:tcBorders>
                      </w:tcPr>
                      <w:p>
                        <w:pPr>
                          <w:pStyle w:val="TableParagraph"/>
                          <w:spacing w:before="3"/>
                          <w:rPr>
                            <w:rFonts w:ascii="Times New Roman"/>
                            <w:sz w:val="13"/>
                          </w:rPr>
                        </w:pPr>
                      </w:p>
                      <w:p>
                        <w:pPr>
                          <w:pStyle w:val="TableParagraph"/>
                          <w:spacing w:before="1"/>
                          <w:ind w:left="253"/>
                          <w:rPr>
                            <w:rFonts w:ascii="Times New Roman"/>
                            <w:sz w:val="17"/>
                          </w:rPr>
                        </w:pPr>
                        <w:r>
                          <w:rPr>
                            <w:rFonts w:ascii="Times New Roman"/>
                            <w:color w:val="010101"/>
                            <w:w w:val="105"/>
                            <w:sz w:val="17"/>
                          </w:rPr>
                          <w:t>30</w:t>
                        </w:r>
                      </w:p>
                    </w:tc>
                    <w:tc>
                      <w:tcPr>
                        <w:tcW w:w="1306" w:type="dxa"/>
                        <w:tcBorders>
                          <w:left w:val="single" w:sz="4" w:space="0" w:color="000000"/>
                          <w:bottom w:val="nil"/>
                        </w:tcBorders>
                      </w:tcPr>
                      <w:p>
                        <w:pPr>
                          <w:pStyle w:val="TableParagraph"/>
                          <w:spacing w:before="129"/>
                          <w:ind w:left="344"/>
                          <w:rPr>
                            <w:rFonts w:ascii="Times New Roman"/>
                            <w:sz w:val="18"/>
                          </w:rPr>
                        </w:pPr>
                        <w:r>
                          <w:rPr>
                            <w:rFonts w:ascii="Times New Roman"/>
                            <w:color w:val="010101"/>
                            <w:sz w:val="18"/>
                          </w:rPr>
                          <w:t>206.3897</w:t>
                        </w:r>
                      </w:p>
                    </w:tc>
                  </w:tr>
                  <w:tr>
                    <w:trPr>
                      <w:trHeight w:val="205" w:hRule="exact"/>
                    </w:trPr>
                    <w:tc>
                      <w:tcPr>
                        <w:tcW w:w="810" w:type="dxa"/>
                        <w:tcBorders>
                          <w:top w:val="nil"/>
                          <w:left w:val="nil"/>
                          <w:bottom w:val="nil"/>
                          <w:right w:val="single" w:sz="4" w:space="0" w:color="000000"/>
                        </w:tcBorders>
                      </w:tcPr>
                      <w:p>
                        <w:pPr>
                          <w:pStyle w:val="TableParagraph"/>
                          <w:spacing w:before="4"/>
                          <w:ind w:left="249"/>
                          <w:rPr>
                            <w:sz w:val="18"/>
                          </w:rPr>
                        </w:pPr>
                        <w:r>
                          <w:rPr>
                            <w:color w:val="010101"/>
                            <w:w w:val="105"/>
                            <w:sz w:val="18"/>
                          </w:rPr>
                          <w:t>31</w:t>
                        </w:r>
                      </w:p>
                    </w:tc>
                    <w:tc>
                      <w:tcPr>
                        <w:tcW w:w="1306" w:type="dxa"/>
                        <w:tcBorders>
                          <w:top w:val="nil"/>
                          <w:left w:val="single" w:sz="4" w:space="0" w:color="000000"/>
                          <w:bottom w:val="nil"/>
                        </w:tcBorders>
                      </w:tcPr>
                      <w:p>
                        <w:pPr>
                          <w:pStyle w:val="TableParagraph"/>
                          <w:spacing w:line="180" w:lineRule="exact"/>
                          <w:ind w:left="340"/>
                          <w:rPr>
                            <w:rFonts w:ascii="Times New Roman"/>
                            <w:sz w:val="17"/>
                          </w:rPr>
                        </w:pPr>
                        <w:r>
                          <w:rPr>
                            <w:rFonts w:ascii="Times New Roman"/>
                            <w:color w:val="010101"/>
                            <w:sz w:val="17"/>
                          </w:rPr>
                          <w:t>20.27406</w:t>
                        </w:r>
                      </w:p>
                    </w:tc>
                  </w:tr>
                  <w:tr>
                    <w:trPr>
                      <w:trHeight w:val="204" w:hRule="exact"/>
                    </w:trPr>
                    <w:tc>
                      <w:tcPr>
                        <w:tcW w:w="810" w:type="dxa"/>
                        <w:tcBorders>
                          <w:top w:val="nil"/>
                          <w:left w:val="nil"/>
                          <w:bottom w:val="nil"/>
                          <w:right w:val="single" w:sz="4" w:space="0" w:color="000000"/>
                        </w:tcBorders>
                      </w:tcPr>
                      <w:p>
                        <w:pPr>
                          <w:pStyle w:val="TableParagraph"/>
                          <w:spacing w:line="207" w:lineRule="exact"/>
                          <w:ind w:left="239"/>
                          <w:rPr>
                            <w:sz w:val="19"/>
                          </w:rPr>
                        </w:pPr>
                        <w:r>
                          <w:rPr>
                            <w:color w:val="010101"/>
                            <w:w w:val="110"/>
                            <w:sz w:val="19"/>
                          </w:rPr>
                          <w:t>32</w:t>
                        </w:r>
                      </w:p>
                    </w:tc>
                    <w:tc>
                      <w:tcPr>
                        <w:tcW w:w="1306" w:type="dxa"/>
                        <w:tcBorders>
                          <w:top w:val="nil"/>
                          <w:left w:val="single" w:sz="4" w:space="0" w:color="000000"/>
                          <w:bottom w:val="nil"/>
                        </w:tcBorders>
                      </w:tcPr>
                      <w:p>
                        <w:pPr>
                          <w:pStyle w:val="TableParagraph"/>
                          <w:spacing w:line="176" w:lineRule="exact"/>
                          <w:ind w:left="347"/>
                          <w:rPr>
                            <w:rFonts w:ascii="Times New Roman"/>
                            <w:sz w:val="17"/>
                          </w:rPr>
                        </w:pPr>
                        <w:r>
                          <w:rPr>
                            <w:rFonts w:ascii="Times New Roman"/>
                            <w:color w:val="010101"/>
                            <w:w w:val="110"/>
                            <w:sz w:val="17"/>
                          </w:rPr>
                          <w:t>UJ.9003</w:t>
                        </w:r>
                      </w:p>
                    </w:tc>
                  </w:tr>
                  <w:tr>
                    <w:trPr>
                      <w:trHeight w:val="184" w:hRule="exact"/>
                    </w:trPr>
                    <w:tc>
                      <w:tcPr>
                        <w:tcW w:w="810" w:type="dxa"/>
                        <w:tcBorders>
                          <w:top w:val="nil"/>
                          <w:left w:val="nil"/>
                          <w:bottom w:val="nil"/>
                          <w:right w:val="single" w:sz="4" w:space="0" w:color="000000"/>
                        </w:tcBorders>
                      </w:tcPr>
                      <w:p>
                        <w:pPr>
                          <w:pStyle w:val="TableParagraph"/>
                          <w:spacing w:line="183" w:lineRule="exact"/>
                          <w:ind w:left="239"/>
                          <w:rPr>
                            <w:rFonts w:ascii="Arial"/>
                            <w:sz w:val="17"/>
                          </w:rPr>
                        </w:pPr>
                        <w:r>
                          <w:rPr>
                            <w:rFonts w:ascii="Arial"/>
                            <w:color w:val="010101"/>
                            <w:sz w:val="17"/>
                          </w:rPr>
                          <w:t>3.1</w:t>
                        </w:r>
                      </w:p>
                    </w:tc>
                    <w:tc>
                      <w:tcPr>
                        <w:tcW w:w="1306" w:type="dxa"/>
                        <w:tcBorders>
                          <w:top w:val="nil"/>
                          <w:left w:val="single" w:sz="4" w:space="0" w:color="000000"/>
                          <w:bottom w:val="nil"/>
                        </w:tcBorders>
                      </w:tcPr>
                      <w:p>
                        <w:pPr>
                          <w:pStyle w:val="TableParagraph"/>
                          <w:spacing w:line="167" w:lineRule="exact"/>
                          <w:ind w:left="344"/>
                          <w:rPr>
                            <w:rFonts w:ascii="Times New Roman"/>
                            <w:sz w:val="16"/>
                          </w:rPr>
                        </w:pPr>
                        <w:r>
                          <w:rPr>
                            <w:rFonts w:ascii="Times New Roman"/>
                            <w:color w:val="010101"/>
                            <w:w w:val="115"/>
                            <w:sz w:val="16"/>
                          </w:rPr>
                          <w:t>19.52954</w:t>
                        </w:r>
                      </w:p>
                    </w:tc>
                  </w:tr>
                  <w:tr>
                    <w:trPr>
                      <w:trHeight w:val="304" w:hRule="exact"/>
                    </w:trPr>
                    <w:tc>
                      <w:tcPr>
                        <w:tcW w:w="810" w:type="dxa"/>
                        <w:tcBorders>
                          <w:top w:val="nil"/>
                          <w:left w:val="nil"/>
                          <w:bottom w:val="nil"/>
                          <w:right w:val="single" w:sz="4" w:space="0" w:color="000000"/>
                        </w:tcBorders>
                      </w:tcPr>
                      <w:p>
                        <w:pPr>
                          <w:pStyle w:val="TableParagraph"/>
                          <w:spacing w:before="5"/>
                          <w:ind w:left="239"/>
                          <w:rPr>
                            <w:rFonts w:ascii="Times New Roman"/>
                            <w:sz w:val="17"/>
                          </w:rPr>
                        </w:pPr>
                        <w:r>
                          <w:rPr>
                            <w:rFonts w:ascii="Times New Roman"/>
                            <w:color w:val="010101"/>
                            <w:sz w:val="17"/>
                          </w:rPr>
                          <w:t>34</w:t>
                        </w:r>
                      </w:p>
                    </w:tc>
                    <w:tc>
                      <w:tcPr>
                        <w:tcW w:w="1306" w:type="dxa"/>
                        <w:tcBorders>
                          <w:top w:val="nil"/>
                          <w:left w:val="single" w:sz="4" w:space="0" w:color="000000"/>
                          <w:bottom w:val="nil"/>
                        </w:tcBorders>
                      </w:tcPr>
                      <w:p>
                        <w:pPr>
                          <w:pStyle w:val="TableParagraph"/>
                          <w:spacing w:line="188" w:lineRule="exact"/>
                          <w:ind w:left="347"/>
                          <w:rPr>
                            <w:rFonts w:ascii="Times New Roman"/>
                            <w:b/>
                            <w:sz w:val="18"/>
                          </w:rPr>
                        </w:pPr>
                        <w:r>
                          <w:rPr>
                            <w:rFonts w:ascii="Times New Roman"/>
                            <w:b/>
                            <w:color w:val="010101"/>
                            <w:sz w:val="18"/>
                          </w:rPr>
                          <w:t>lt. 15026</w:t>
                        </w:r>
                      </w:p>
                    </w:tc>
                  </w:tr>
                  <w:tr>
                    <w:trPr>
                      <w:trHeight w:val="306" w:hRule="exact"/>
                    </w:trPr>
                    <w:tc>
                      <w:tcPr>
                        <w:tcW w:w="810" w:type="dxa"/>
                        <w:tcBorders>
                          <w:top w:val="nil"/>
                          <w:left w:val="nil"/>
                          <w:bottom w:val="nil"/>
                          <w:right w:val="single" w:sz="4" w:space="0" w:color="000000"/>
                        </w:tcBorders>
                      </w:tcPr>
                      <w:p>
                        <w:pPr>
                          <w:pStyle w:val="TableParagraph"/>
                          <w:spacing w:before="111"/>
                          <w:ind w:left="246"/>
                          <w:rPr>
                            <w:rFonts w:ascii="Arial"/>
                            <w:sz w:val="16"/>
                          </w:rPr>
                        </w:pPr>
                        <w:r>
                          <w:rPr>
                            <w:rFonts w:ascii="Arial"/>
                            <w:color w:val="010101"/>
                            <w:sz w:val="16"/>
                          </w:rPr>
                          <w:t>35</w:t>
                        </w:r>
                      </w:p>
                    </w:tc>
                    <w:tc>
                      <w:tcPr>
                        <w:tcW w:w="1306" w:type="dxa"/>
                        <w:tcBorders>
                          <w:top w:val="nil"/>
                          <w:left w:val="single" w:sz="4" w:space="0" w:color="000000"/>
                          <w:bottom w:val="nil"/>
                        </w:tcBorders>
                      </w:tcPr>
                      <w:p>
                        <w:pPr>
                          <w:pStyle w:val="TableParagraph"/>
                          <w:spacing w:before="85"/>
                          <w:ind w:left="347"/>
                          <w:rPr>
                            <w:rFonts w:ascii="Times New Roman" w:hAnsi="Times New Roman"/>
                            <w:b/>
                            <w:sz w:val="17"/>
                          </w:rPr>
                        </w:pPr>
                        <w:r>
                          <w:rPr>
                            <w:rFonts w:ascii="Times New Roman" w:hAnsi="Times New Roman"/>
                            <w:b/>
                            <w:color w:val="010101"/>
                            <w:sz w:val="17"/>
                          </w:rPr>
                          <w:t>18.</w:t>
                        </w:r>
                        <w:r>
                          <w:rPr>
                            <w:rFonts w:ascii="Times New Roman" w:hAnsi="Times New Roman"/>
                            <w:b/>
                            <w:color w:val="2D2D2D"/>
                            <w:sz w:val="17"/>
                          </w:rPr>
                          <w:t>.</w:t>
                        </w:r>
                        <w:r>
                          <w:rPr>
                            <w:rFonts w:ascii="Times New Roman" w:hAnsi="Times New Roman"/>
                            <w:b/>
                            <w:color w:val="010101"/>
                            <w:sz w:val="17"/>
                          </w:rPr>
                          <w:t>76695</w:t>
                        </w:r>
                        <w:r>
                          <w:rPr>
                            <w:rFonts w:ascii="Times New Roman" w:hAnsi="Times New Roman"/>
                            <w:b/>
                            <w:color w:val="424242"/>
                            <w:sz w:val="17"/>
                          </w:rPr>
                          <w:t>·</w:t>
                        </w:r>
                      </w:p>
                    </w:tc>
                  </w:tr>
                  <w:tr>
                    <w:trPr>
                      <w:trHeight w:val="202" w:hRule="exact"/>
                    </w:trPr>
                    <w:tc>
                      <w:tcPr>
                        <w:tcW w:w="810" w:type="dxa"/>
                        <w:tcBorders>
                          <w:top w:val="nil"/>
                          <w:left w:val="nil"/>
                          <w:bottom w:val="nil"/>
                          <w:right w:val="single" w:sz="4" w:space="0" w:color="000000"/>
                        </w:tcBorders>
                      </w:tcPr>
                      <w:p>
                        <w:pPr>
                          <w:pStyle w:val="TableParagraph"/>
                          <w:spacing w:line="194" w:lineRule="exact"/>
                          <w:ind w:left="246"/>
                          <w:rPr>
                            <w:rFonts w:ascii="Times New Roman"/>
                            <w:sz w:val="17"/>
                          </w:rPr>
                        </w:pPr>
                        <w:r>
                          <w:rPr>
                            <w:rFonts w:ascii="Times New Roman"/>
                            <w:color w:val="010101"/>
                            <w:sz w:val="17"/>
                          </w:rPr>
                          <w:t>38</w:t>
                        </w:r>
                      </w:p>
                    </w:tc>
                    <w:tc>
                      <w:tcPr>
                        <w:tcW w:w="1306" w:type="dxa"/>
                        <w:tcBorders>
                          <w:top w:val="nil"/>
                          <w:left w:val="single" w:sz="4" w:space="0" w:color="000000"/>
                          <w:bottom w:val="nil"/>
                        </w:tcBorders>
                      </w:tcPr>
                      <w:p>
                        <w:pPr>
                          <w:pStyle w:val="TableParagraph"/>
                          <w:spacing w:line="177" w:lineRule="exact"/>
                          <w:ind w:left="347"/>
                          <w:rPr>
                            <w:rFonts w:ascii="Times New Roman"/>
                            <w:sz w:val="16"/>
                          </w:rPr>
                        </w:pPr>
                        <w:r>
                          <w:rPr>
                            <w:rFonts w:ascii="Times New Roman"/>
                            <w:color w:val="010101"/>
                            <w:w w:val="110"/>
                            <w:sz w:val="16"/>
                          </w:rPr>
                          <w:t>18.37945</w:t>
                        </w:r>
                      </w:p>
                    </w:tc>
                  </w:tr>
                  <w:tr>
                    <w:trPr>
                      <w:trHeight w:val="208" w:hRule="exact"/>
                    </w:trPr>
                    <w:tc>
                      <w:tcPr>
                        <w:tcW w:w="810" w:type="dxa"/>
                        <w:tcBorders>
                          <w:top w:val="nil"/>
                          <w:left w:val="nil"/>
                          <w:bottom w:val="nil"/>
                          <w:right w:val="single" w:sz="4" w:space="0" w:color="000000"/>
                        </w:tcBorders>
                      </w:tcPr>
                      <w:p>
                        <w:pPr>
                          <w:pStyle w:val="TableParagraph"/>
                          <w:spacing w:line="209" w:lineRule="exact"/>
                          <w:ind w:left="246"/>
                          <w:rPr>
                            <w:sz w:val="19"/>
                          </w:rPr>
                        </w:pPr>
                        <w:r>
                          <w:rPr>
                            <w:color w:val="010101"/>
                            <w:sz w:val="19"/>
                          </w:rPr>
                          <w:t>37</w:t>
                        </w:r>
                      </w:p>
                    </w:tc>
                    <w:tc>
                      <w:tcPr>
                        <w:tcW w:w="1306" w:type="dxa"/>
                        <w:tcBorders>
                          <w:top w:val="nil"/>
                          <w:left w:val="single" w:sz="4" w:space="0" w:color="000000"/>
                          <w:bottom w:val="nil"/>
                        </w:tcBorders>
                      </w:tcPr>
                      <w:p>
                        <w:pPr>
                          <w:pStyle w:val="TableParagraph"/>
                          <w:spacing w:line="176" w:lineRule="exact"/>
                          <w:ind w:left="347"/>
                          <w:rPr>
                            <w:rFonts w:ascii="Times New Roman"/>
                            <w:sz w:val="16"/>
                          </w:rPr>
                        </w:pPr>
                        <w:r>
                          <w:rPr>
                            <w:rFonts w:ascii="Times New Roman"/>
                            <w:color w:val="010101"/>
                            <w:w w:val="105"/>
                            <w:sz w:val="16"/>
                          </w:rPr>
                          <w:t>17.98838</w:t>
                        </w:r>
                      </w:p>
                    </w:tc>
                  </w:tr>
                  <w:tr>
                    <w:trPr>
                      <w:trHeight w:val="194" w:hRule="exact"/>
                    </w:trPr>
                    <w:tc>
                      <w:tcPr>
                        <w:tcW w:w="810" w:type="dxa"/>
                        <w:tcBorders>
                          <w:top w:val="nil"/>
                          <w:left w:val="nil"/>
                          <w:bottom w:val="nil"/>
                          <w:right w:val="single" w:sz="4" w:space="0" w:color="000000"/>
                        </w:tcBorders>
                      </w:tcPr>
                      <w:p>
                        <w:pPr>
                          <w:pStyle w:val="TableParagraph"/>
                          <w:spacing w:line="185" w:lineRule="exact"/>
                          <w:ind w:left="249"/>
                          <w:rPr>
                            <w:rFonts w:ascii="Times New Roman"/>
                            <w:sz w:val="17"/>
                          </w:rPr>
                        </w:pPr>
                        <w:r>
                          <w:rPr>
                            <w:rFonts w:ascii="Times New Roman"/>
                            <w:color w:val="010101"/>
                            <w:sz w:val="17"/>
                          </w:rPr>
                          <w:t>38</w:t>
                        </w:r>
                      </w:p>
                    </w:tc>
                    <w:tc>
                      <w:tcPr>
                        <w:tcW w:w="1306" w:type="dxa"/>
                        <w:tcBorders>
                          <w:top w:val="nil"/>
                          <w:left w:val="single" w:sz="4" w:space="0" w:color="000000"/>
                          <w:bottom w:val="nil"/>
                        </w:tcBorders>
                      </w:tcPr>
                      <w:p>
                        <w:pPr>
                          <w:pStyle w:val="TableParagraph"/>
                          <w:spacing w:line="169" w:lineRule="exact"/>
                          <w:ind w:left="347"/>
                          <w:rPr>
                            <w:rFonts w:ascii="Times New Roman"/>
                            <w:sz w:val="16"/>
                          </w:rPr>
                        </w:pPr>
                        <w:r>
                          <w:rPr>
                            <w:rFonts w:ascii="Times New Roman"/>
                            <w:color w:val="010101"/>
                            <w:sz w:val="16"/>
                          </w:rPr>
                          <w:t>17</w:t>
                        </w:r>
                        <w:r>
                          <w:rPr>
                            <w:rFonts w:ascii="Times New Roman"/>
                            <w:color w:val="1F1F1F"/>
                            <w:sz w:val="16"/>
                          </w:rPr>
                          <w:t>.</w:t>
                        </w:r>
                        <w:r>
                          <w:rPr>
                            <w:rFonts w:ascii="Times New Roman"/>
                            <w:color w:val="010101"/>
                            <w:sz w:val="16"/>
                          </w:rPr>
                          <w:t>59385</w:t>
                        </w:r>
                      </w:p>
                    </w:tc>
                  </w:tr>
                  <w:tr>
                    <w:trPr>
                      <w:trHeight w:val="296" w:hRule="exact"/>
                    </w:trPr>
                    <w:tc>
                      <w:tcPr>
                        <w:tcW w:w="810" w:type="dxa"/>
                        <w:tcBorders>
                          <w:top w:val="nil"/>
                          <w:left w:val="nil"/>
                          <w:bottom w:val="nil"/>
                          <w:right w:val="single" w:sz="4" w:space="0" w:color="000000"/>
                        </w:tcBorders>
                      </w:tcPr>
                      <w:p>
                        <w:pPr>
                          <w:pStyle w:val="TableParagraph"/>
                          <w:spacing w:line="189" w:lineRule="exact"/>
                          <w:ind w:left="246"/>
                          <w:rPr>
                            <w:rFonts w:ascii="Times New Roman"/>
                            <w:sz w:val="17"/>
                          </w:rPr>
                        </w:pPr>
                        <w:r>
                          <w:rPr>
                            <w:rFonts w:ascii="Times New Roman"/>
                            <w:color w:val="010101"/>
                            <w:sz w:val="17"/>
                          </w:rPr>
                          <w:t>39</w:t>
                        </w:r>
                      </w:p>
                    </w:tc>
                    <w:tc>
                      <w:tcPr>
                        <w:tcW w:w="1306" w:type="dxa"/>
                        <w:tcBorders>
                          <w:top w:val="nil"/>
                          <w:left w:val="single" w:sz="4" w:space="0" w:color="000000"/>
                          <w:bottom w:val="nil"/>
                        </w:tcBorders>
                      </w:tcPr>
                      <w:p>
                        <w:pPr>
                          <w:pStyle w:val="TableParagraph"/>
                          <w:spacing w:line="176" w:lineRule="exact"/>
                          <w:ind w:left="344"/>
                          <w:rPr>
                            <w:rFonts w:ascii="Times New Roman" w:hAnsi="Times New Roman"/>
                            <w:sz w:val="16"/>
                          </w:rPr>
                        </w:pPr>
                        <w:r>
                          <w:rPr>
                            <w:rFonts w:ascii="Times New Roman" w:hAnsi="Times New Roman"/>
                            <w:color w:val="010101"/>
                            <w:w w:val="105"/>
                            <w:sz w:val="16"/>
                          </w:rPr>
                          <w:t>17.19500</w:t>
                        </w:r>
                        <w:r>
                          <w:rPr>
                            <w:rFonts w:ascii="Times New Roman" w:hAnsi="Times New Roman"/>
                            <w:color w:val="424242"/>
                            <w:w w:val="105"/>
                            <w:sz w:val="16"/>
                          </w:rPr>
                          <w:t>·</w:t>
                        </w:r>
                      </w:p>
                    </w:tc>
                  </w:tr>
                  <w:tr>
                    <w:trPr>
                      <w:trHeight w:val="294" w:hRule="exact"/>
                    </w:trPr>
                    <w:tc>
                      <w:tcPr>
                        <w:tcW w:w="810" w:type="dxa"/>
                        <w:tcBorders>
                          <w:top w:val="nil"/>
                          <w:left w:val="nil"/>
                          <w:bottom w:val="nil"/>
                          <w:right w:val="single" w:sz="4" w:space="0" w:color="000000"/>
                        </w:tcBorders>
                      </w:tcPr>
                      <w:p>
                        <w:pPr>
                          <w:pStyle w:val="TableParagraph"/>
                          <w:spacing w:before="99"/>
                          <w:ind w:left="246"/>
                          <w:rPr>
                            <w:rFonts w:ascii="Times New Roman"/>
                            <w:sz w:val="17"/>
                          </w:rPr>
                        </w:pPr>
                        <w:r>
                          <w:rPr>
                            <w:rFonts w:ascii="Times New Roman"/>
                            <w:color w:val="010101"/>
                            <w:sz w:val="17"/>
                          </w:rPr>
                          <w:t>40</w:t>
                        </w:r>
                      </w:p>
                    </w:tc>
                    <w:tc>
                      <w:tcPr>
                        <w:tcW w:w="1306" w:type="dxa"/>
                        <w:tcBorders>
                          <w:top w:val="nil"/>
                          <w:left w:val="single" w:sz="4" w:space="0" w:color="000000"/>
                          <w:bottom w:val="nil"/>
                        </w:tcBorders>
                      </w:tcPr>
                      <w:p>
                        <w:pPr>
                          <w:pStyle w:val="TableParagraph"/>
                          <w:spacing w:before="93"/>
                          <w:ind w:left="344"/>
                          <w:rPr>
                            <w:sz w:val="18"/>
                          </w:rPr>
                        </w:pPr>
                        <w:r>
                          <w:rPr>
                            <w:color w:val="010101"/>
                            <w:sz w:val="18"/>
                          </w:rPr>
                          <w:t>18.79545</w:t>
                        </w:r>
                      </w:p>
                    </w:tc>
                  </w:tr>
                  <w:tr>
                    <w:trPr>
                      <w:trHeight w:val="208" w:hRule="exact"/>
                    </w:trPr>
                    <w:tc>
                      <w:tcPr>
                        <w:tcW w:w="810" w:type="dxa"/>
                        <w:tcBorders>
                          <w:top w:val="nil"/>
                          <w:left w:val="nil"/>
                          <w:bottom w:val="nil"/>
                          <w:right w:val="single" w:sz="4" w:space="0" w:color="000000"/>
                        </w:tcBorders>
                      </w:tcPr>
                      <w:p>
                        <w:pPr>
                          <w:pStyle w:val="TableParagraph"/>
                          <w:spacing w:before="5"/>
                          <w:ind w:left="246"/>
                          <w:rPr>
                            <w:rFonts w:ascii="Times New Roman"/>
                            <w:sz w:val="17"/>
                          </w:rPr>
                        </w:pPr>
                        <w:r>
                          <w:rPr>
                            <w:rFonts w:ascii="Times New Roman"/>
                            <w:color w:val="010101"/>
                            <w:sz w:val="17"/>
                          </w:rPr>
                          <w:t>41</w:t>
                        </w:r>
                      </w:p>
                    </w:tc>
                    <w:tc>
                      <w:tcPr>
                        <w:tcW w:w="1306" w:type="dxa"/>
                        <w:tcBorders>
                          <w:top w:val="nil"/>
                          <w:left w:val="single" w:sz="4" w:space="0" w:color="000000"/>
                          <w:bottom w:val="nil"/>
                        </w:tcBorders>
                      </w:tcPr>
                      <w:p>
                        <w:pPr>
                          <w:pStyle w:val="TableParagraph"/>
                          <w:spacing w:line="190" w:lineRule="exact"/>
                          <w:ind w:left="344"/>
                          <w:rPr>
                            <w:sz w:val="18"/>
                          </w:rPr>
                        </w:pPr>
                        <w:r>
                          <w:rPr>
                            <w:color w:val="010101"/>
                            <w:w w:val="85"/>
                            <w:sz w:val="18"/>
                          </w:rPr>
                          <w:t>16.39232</w:t>
                        </w:r>
                        <w:r>
                          <w:rPr>
                            <w:color w:val="010101"/>
                            <w:spacing w:val="-60"/>
                            <w:w w:val="85"/>
                            <w:sz w:val="18"/>
                          </w:rPr>
                          <w:t> </w:t>
                        </w:r>
                        <w:r>
                          <w:rPr>
                            <w:color w:val="424242"/>
                            <w:w w:val="85"/>
                            <w:sz w:val="18"/>
                          </w:rPr>
                          <w:t>.</w:t>
                        </w:r>
                      </w:p>
                    </w:tc>
                  </w:tr>
                  <w:tr>
                    <w:trPr>
                      <w:trHeight w:val="202" w:hRule="exact"/>
                    </w:trPr>
                    <w:tc>
                      <w:tcPr>
                        <w:tcW w:w="810" w:type="dxa"/>
                        <w:tcBorders>
                          <w:top w:val="nil"/>
                          <w:left w:val="nil"/>
                          <w:bottom w:val="nil"/>
                          <w:right w:val="single" w:sz="4" w:space="0" w:color="000000"/>
                        </w:tcBorders>
                      </w:tcPr>
                      <w:p>
                        <w:pPr>
                          <w:pStyle w:val="TableParagraph"/>
                          <w:spacing w:before="4"/>
                          <w:ind w:left="242"/>
                          <w:rPr>
                            <w:rFonts w:ascii="Times New Roman"/>
                            <w:sz w:val="16"/>
                          </w:rPr>
                        </w:pPr>
                        <w:r>
                          <w:rPr>
                            <w:rFonts w:ascii="Times New Roman"/>
                            <w:color w:val="010101"/>
                            <w:w w:val="105"/>
                            <w:sz w:val="16"/>
                          </w:rPr>
                          <w:t>42</w:t>
                        </w:r>
                      </w:p>
                    </w:tc>
                    <w:tc>
                      <w:tcPr>
                        <w:tcW w:w="1306" w:type="dxa"/>
                        <w:tcBorders>
                          <w:top w:val="nil"/>
                          <w:left w:val="single" w:sz="4" w:space="0" w:color="000000"/>
                          <w:bottom w:val="nil"/>
                        </w:tcBorders>
                      </w:tcPr>
                      <w:p>
                        <w:pPr>
                          <w:pStyle w:val="TableParagraph"/>
                          <w:spacing w:line="197" w:lineRule="exact"/>
                          <w:ind w:left="344"/>
                          <w:rPr>
                            <w:sz w:val="18"/>
                          </w:rPr>
                        </w:pPr>
                        <w:r>
                          <w:rPr>
                            <w:color w:val="010101"/>
                            <w:w w:val="95"/>
                            <w:sz w:val="18"/>
                          </w:rPr>
                          <w:t>15.98714</w:t>
                        </w:r>
                      </w:p>
                    </w:tc>
                  </w:tr>
                  <w:tr>
                    <w:trPr>
                      <w:trHeight w:val="204" w:hRule="exact"/>
                    </w:trPr>
                    <w:tc>
                      <w:tcPr>
                        <w:tcW w:w="810" w:type="dxa"/>
                        <w:tcBorders>
                          <w:top w:val="nil"/>
                          <w:left w:val="nil"/>
                          <w:bottom w:val="nil"/>
                          <w:right w:val="single" w:sz="4" w:space="0" w:color="000000"/>
                        </w:tcBorders>
                      </w:tcPr>
                      <w:p>
                        <w:pPr>
                          <w:pStyle w:val="TableParagraph"/>
                          <w:spacing w:line="209" w:lineRule="exact"/>
                          <w:ind w:left="246"/>
                          <w:rPr>
                            <w:sz w:val="19"/>
                          </w:rPr>
                        </w:pPr>
                        <w:r>
                          <w:rPr>
                            <w:color w:val="010101"/>
                            <w:w w:val="105"/>
                            <w:sz w:val="19"/>
                          </w:rPr>
                          <w:t>43</w:t>
                        </w:r>
                      </w:p>
                    </w:tc>
                    <w:tc>
                      <w:tcPr>
                        <w:tcW w:w="1306" w:type="dxa"/>
                        <w:tcBorders>
                          <w:top w:val="nil"/>
                          <w:left w:val="single" w:sz="4" w:space="0" w:color="000000"/>
                          <w:bottom w:val="nil"/>
                        </w:tcBorders>
                      </w:tcPr>
                      <w:p>
                        <w:pPr>
                          <w:pStyle w:val="TableParagraph"/>
                          <w:spacing w:line="175" w:lineRule="exact"/>
                          <w:ind w:left="340"/>
                          <w:rPr>
                            <w:rFonts w:ascii="Arial"/>
                            <w:b/>
                            <w:sz w:val="16"/>
                          </w:rPr>
                        </w:pPr>
                        <w:r>
                          <w:rPr>
                            <w:rFonts w:ascii="Arial"/>
                            <w:b/>
                            <w:color w:val="010101"/>
                            <w:sz w:val="16"/>
                          </w:rPr>
                          <w:t>15.58011</w:t>
                        </w:r>
                      </w:p>
                    </w:tc>
                  </w:tr>
                  <w:tr>
                    <w:trPr>
                      <w:trHeight w:val="292" w:hRule="exact"/>
                    </w:trPr>
                    <w:tc>
                      <w:tcPr>
                        <w:tcW w:w="810" w:type="dxa"/>
                        <w:tcBorders>
                          <w:top w:val="nil"/>
                          <w:left w:val="nil"/>
                          <w:bottom w:val="nil"/>
                          <w:right w:val="single" w:sz="4" w:space="0" w:color="000000"/>
                        </w:tcBorders>
                      </w:tcPr>
                      <w:p>
                        <w:pPr>
                          <w:pStyle w:val="TableParagraph"/>
                          <w:spacing w:line="184" w:lineRule="exact"/>
                          <w:ind w:left="239"/>
                          <w:rPr>
                            <w:rFonts w:ascii="Times New Roman"/>
                            <w:sz w:val="16"/>
                          </w:rPr>
                        </w:pPr>
                        <w:r>
                          <w:rPr>
                            <w:rFonts w:ascii="Times New Roman"/>
                            <w:color w:val="010101"/>
                            <w:sz w:val="16"/>
                          </w:rPr>
                          <w:t>44</w:t>
                        </w:r>
                      </w:p>
                    </w:tc>
                    <w:tc>
                      <w:tcPr>
                        <w:tcW w:w="1306" w:type="dxa"/>
                        <w:tcBorders>
                          <w:top w:val="nil"/>
                          <w:left w:val="single" w:sz="4" w:space="0" w:color="000000"/>
                          <w:bottom w:val="nil"/>
                        </w:tcBorders>
                      </w:tcPr>
                      <w:p>
                        <w:pPr>
                          <w:pStyle w:val="TableParagraph"/>
                          <w:spacing w:line="175" w:lineRule="exact"/>
                          <w:ind w:left="340"/>
                          <w:rPr>
                            <w:rFonts w:ascii="Times New Roman"/>
                            <w:sz w:val="17"/>
                          </w:rPr>
                        </w:pPr>
                        <w:r>
                          <w:rPr>
                            <w:rFonts w:ascii="Times New Roman"/>
                            <w:color w:val="010101"/>
                            <w:w w:val="105"/>
                            <w:sz w:val="17"/>
                          </w:rPr>
                          <w:t>15.17162</w:t>
                        </w:r>
                      </w:p>
                    </w:tc>
                  </w:tr>
                  <w:tr>
                    <w:trPr>
                      <w:trHeight w:val="309" w:hRule="exact"/>
                    </w:trPr>
                    <w:tc>
                      <w:tcPr>
                        <w:tcW w:w="810" w:type="dxa"/>
                        <w:tcBorders>
                          <w:top w:val="nil"/>
                          <w:left w:val="nil"/>
                          <w:bottom w:val="nil"/>
                          <w:right w:val="single" w:sz="4" w:space="0" w:color="000000"/>
                        </w:tcBorders>
                      </w:tcPr>
                      <w:p>
                        <w:pPr>
                          <w:pStyle w:val="TableParagraph"/>
                          <w:spacing w:before="108"/>
                          <w:ind w:left="246"/>
                          <w:rPr>
                            <w:sz w:val="18"/>
                          </w:rPr>
                        </w:pPr>
                        <w:r>
                          <w:rPr>
                            <w:color w:val="010101"/>
                            <w:w w:val="105"/>
                            <w:sz w:val="18"/>
                          </w:rPr>
                          <w:t>45</w:t>
                        </w:r>
                      </w:p>
                    </w:tc>
                    <w:tc>
                      <w:tcPr>
                        <w:tcW w:w="1306" w:type="dxa"/>
                        <w:tcBorders>
                          <w:top w:val="nil"/>
                          <w:left w:val="single" w:sz="4" w:space="0" w:color="000000"/>
                          <w:bottom w:val="nil"/>
                        </w:tcBorders>
                      </w:tcPr>
                      <w:p>
                        <w:pPr>
                          <w:pStyle w:val="TableParagraph"/>
                          <w:spacing w:before="94"/>
                          <w:ind w:left="344"/>
                          <w:rPr>
                            <w:sz w:val="18"/>
                          </w:rPr>
                        </w:pPr>
                        <w:r>
                          <w:rPr>
                            <w:color w:val="010101"/>
                            <w:sz w:val="18"/>
                          </w:rPr>
                          <w:t>14.76Z33</w:t>
                        </w:r>
                      </w:p>
                    </w:tc>
                  </w:tr>
                  <w:tr>
                    <w:trPr>
                      <w:trHeight w:val="196" w:hRule="exact"/>
                    </w:trPr>
                    <w:tc>
                      <w:tcPr>
                        <w:tcW w:w="810" w:type="dxa"/>
                        <w:tcBorders>
                          <w:top w:val="nil"/>
                          <w:left w:val="nil"/>
                          <w:bottom w:val="nil"/>
                          <w:right w:val="single" w:sz="4" w:space="0" w:color="000000"/>
                        </w:tcBorders>
                      </w:tcPr>
                      <w:p>
                        <w:pPr>
                          <w:pStyle w:val="TableParagraph"/>
                          <w:spacing w:line="192" w:lineRule="exact"/>
                          <w:ind w:left="242"/>
                          <w:rPr>
                            <w:rFonts w:ascii="Times New Roman"/>
                            <w:sz w:val="18"/>
                          </w:rPr>
                        </w:pPr>
                        <w:r>
                          <w:rPr>
                            <w:rFonts w:ascii="Times New Roman"/>
                            <w:color w:val="010101"/>
                            <w:sz w:val="18"/>
                          </w:rPr>
                          <w:t>46</w:t>
                        </w:r>
                      </w:p>
                    </w:tc>
                    <w:tc>
                      <w:tcPr>
                        <w:tcW w:w="1306" w:type="dxa"/>
                        <w:tcBorders>
                          <w:top w:val="nil"/>
                          <w:left w:val="single" w:sz="4" w:space="0" w:color="000000"/>
                          <w:bottom w:val="nil"/>
                        </w:tcBorders>
                      </w:tcPr>
                      <w:p>
                        <w:pPr>
                          <w:pStyle w:val="TableParagraph"/>
                          <w:spacing w:line="190" w:lineRule="exact"/>
                          <w:ind w:left="344"/>
                          <w:rPr>
                            <w:sz w:val="18"/>
                          </w:rPr>
                        </w:pPr>
                        <w:r>
                          <w:rPr>
                            <w:color w:val="010101"/>
                            <w:sz w:val="18"/>
                          </w:rPr>
                          <w:t>14.35245</w:t>
                        </w:r>
                      </w:p>
                    </w:tc>
                  </w:tr>
                  <w:tr>
                    <w:trPr>
                      <w:trHeight w:val="207" w:hRule="exact"/>
                    </w:trPr>
                    <w:tc>
                      <w:tcPr>
                        <w:tcW w:w="810" w:type="dxa"/>
                        <w:tcBorders>
                          <w:top w:val="nil"/>
                          <w:left w:val="nil"/>
                          <w:bottom w:val="nil"/>
                          <w:right w:val="single" w:sz="4" w:space="0" w:color="000000"/>
                        </w:tcBorders>
                      </w:tcPr>
                      <w:p>
                        <w:pPr>
                          <w:pStyle w:val="TableParagraph"/>
                          <w:spacing w:before="4"/>
                          <w:ind w:left="242"/>
                          <w:rPr>
                            <w:sz w:val="18"/>
                          </w:rPr>
                        </w:pPr>
                        <w:r>
                          <w:rPr>
                            <w:color w:val="010101"/>
                            <w:w w:val="105"/>
                            <w:sz w:val="18"/>
                          </w:rPr>
                          <w:t>47</w:t>
                        </w:r>
                      </w:p>
                    </w:tc>
                    <w:tc>
                      <w:tcPr>
                        <w:tcW w:w="1306" w:type="dxa"/>
                        <w:tcBorders>
                          <w:top w:val="nil"/>
                          <w:left w:val="single" w:sz="4" w:space="0" w:color="000000"/>
                          <w:bottom w:val="nil"/>
                        </w:tcBorders>
                      </w:tcPr>
                      <w:p>
                        <w:pPr>
                          <w:pStyle w:val="TableParagraph"/>
                          <w:spacing w:line="194" w:lineRule="exact"/>
                          <w:ind w:left="344"/>
                          <w:rPr>
                            <w:sz w:val="18"/>
                          </w:rPr>
                        </w:pPr>
                        <w:r>
                          <w:rPr>
                            <w:color w:val="010101"/>
                            <w:w w:val="79"/>
                            <w:sz w:val="18"/>
                          </w:rPr>
                          <w:t>1</w:t>
                        </w:r>
                        <w:r>
                          <w:rPr>
                            <w:color w:val="010101"/>
                            <w:spacing w:val="-6"/>
                            <w:w w:val="79"/>
                            <w:sz w:val="18"/>
                          </w:rPr>
                          <w:t>3</w:t>
                        </w:r>
                        <w:r>
                          <w:rPr>
                            <w:color w:val="010101"/>
                            <w:w w:val="16"/>
                            <w:sz w:val="18"/>
                          </w:rPr>
                          <w:t>..</w:t>
                        </w:r>
                        <w:r>
                          <w:rPr>
                            <w:color w:val="010101"/>
                            <w:spacing w:val="-92"/>
                            <w:sz w:val="18"/>
                          </w:rPr>
                          <w:t> </w:t>
                        </w:r>
                        <w:r>
                          <w:rPr>
                            <w:color w:val="010101"/>
                            <w:w w:val="84"/>
                            <w:sz w:val="18"/>
                          </w:rPr>
                          <w:t>94</w:t>
                        </w:r>
                        <w:r>
                          <w:rPr>
                            <w:color w:val="010101"/>
                            <w:spacing w:val="-37"/>
                            <w:w w:val="84"/>
                            <w:sz w:val="18"/>
                          </w:rPr>
                          <w:t>2</w:t>
                        </w:r>
                        <w:r>
                          <w:rPr>
                            <w:color w:val="010101"/>
                            <w:spacing w:val="-34"/>
                            <w:w w:val="103"/>
                            <w:sz w:val="18"/>
                          </w:rPr>
                          <w:t>4</w:t>
                        </w:r>
                        <w:r>
                          <w:rPr>
                            <w:color w:val="010101"/>
                            <w:w w:val="103"/>
                            <w:sz w:val="18"/>
                          </w:rPr>
                          <w:t>4</w:t>
                        </w:r>
                      </w:p>
                    </w:tc>
                  </w:tr>
                  <w:tr>
                    <w:trPr>
                      <w:trHeight w:val="191" w:hRule="exact"/>
                    </w:trPr>
                    <w:tc>
                      <w:tcPr>
                        <w:tcW w:w="810" w:type="dxa"/>
                        <w:tcBorders>
                          <w:top w:val="nil"/>
                          <w:left w:val="nil"/>
                          <w:bottom w:val="nil"/>
                          <w:right w:val="single" w:sz="4" w:space="0" w:color="000000"/>
                        </w:tcBorders>
                      </w:tcPr>
                      <w:p>
                        <w:pPr>
                          <w:pStyle w:val="TableParagraph"/>
                          <w:spacing w:line="188" w:lineRule="exact"/>
                          <w:ind w:left="246"/>
                          <w:rPr>
                            <w:rFonts w:ascii="Times New Roman"/>
                            <w:sz w:val="17"/>
                          </w:rPr>
                        </w:pPr>
                        <w:r>
                          <w:rPr>
                            <w:rFonts w:ascii="Times New Roman"/>
                            <w:color w:val="010101"/>
                            <w:sz w:val="17"/>
                          </w:rPr>
                          <w:t>48</w:t>
                        </w:r>
                      </w:p>
                    </w:tc>
                    <w:tc>
                      <w:tcPr>
                        <w:tcW w:w="1306" w:type="dxa"/>
                        <w:tcBorders>
                          <w:top w:val="nil"/>
                          <w:left w:val="single" w:sz="4" w:space="0" w:color="000000"/>
                          <w:bottom w:val="nil"/>
                        </w:tcBorders>
                      </w:tcPr>
                      <w:p>
                        <w:pPr>
                          <w:pStyle w:val="TableParagraph"/>
                          <w:spacing w:line="168" w:lineRule="exact"/>
                          <w:ind w:left="344"/>
                          <w:rPr>
                            <w:rFonts w:ascii="Times New Roman"/>
                            <w:sz w:val="16"/>
                          </w:rPr>
                        </w:pPr>
                        <w:r>
                          <w:rPr>
                            <w:rFonts w:ascii="Times New Roman"/>
                            <w:color w:val="010101"/>
                            <w:w w:val="110"/>
                            <w:sz w:val="16"/>
                          </w:rPr>
                          <w:t>13.53291</w:t>
                        </w:r>
                      </w:p>
                    </w:tc>
                  </w:tr>
                  <w:tr>
                    <w:trPr>
                      <w:trHeight w:val="307" w:hRule="exact"/>
                    </w:trPr>
                    <w:tc>
                      <w:tcPr>
                        <w:tcW w:w="810" w:type="dxa"/>
                        <w:tcBorders>
                          <w:top w:val="nil"/>
                          <w:left w:val="nil"/>
                          <w:bottom w:val="nil"/>
                          <w:right w:val="single" w:sz="4" w:space="0" w:color="000000"/>
                        </w:tcBorders>
                      </w:tcPr>
                      <w:p>
                        <w:pPr>
                          <w:pStyle w:val="TableParagraph"/>
                          <w:spacing w:before="4"/>
                          <w:ind w:left="242"/>
                          <w:rPr>
                            <w:sz w:val="18"/>
                          </w:rPr>
                        </w:pPr>
                        <w:r>
                          <w:rPr>
                            <w:color w:val="010101"/>
                            <w:w w:val="115"/>
                            <w:sz w:val="18"/>
                          </w:rPr>
                          <w:t>49</w:t>
                        </w:r>
                      </w:p>
                    </w:tc>
                    <w:tc>
                      <w:tcPr>
                        <w:tcW w:w="1306" w:type="dxa"/>
                        <w:tcBorders>
                          <w:top w:val="nil"/>
                          <w:left w:val="single" w:sz="4" w:space="0" w:color="000000"/>
                          <w:bottom w:val="nil"/>
                        </w:tcBorders>
                      </w:tcPr>
                      <w:p>
                        <w:pPr>
                          <w:pStyle w:val="TableParagraph"/>
                          <w:spacing w:line="180" w:lineRule="exact"/>
                          <w:ind w:left="344"/>
                          <w:rPr>
                            <w:rFonts w:ascii="Times New Roman"/>
                            <w:sz w:val="17"/>
                          </w:rPr>
                        </w:pPr>
                        <w:r>
                          <w:rPr>
                            <w:rFonts w:ascii="Times New Roman"/>
                            <w:color w:val="010101"/>
                            <w:w w:val="99"/>
                            <w:sz w:val="17"/>
                          </w:rPr>
                          <w:t>13.124</w:t>
                        </w:r>
                        <w:r>
                          <w:rPr>
                            <w:rFonts w:ascii="Times New Roman"/>
                            <w:color w:val="010101"/>
                            <w:spacing w:val="-9"/>
                            <w:w w:val="99"/>
                            <w:sz w:val="17"/>
                          </w:rPr>
                          <w:t>0</w:t>
                        </w:r>
                        <w:r>
                          <w:rPr>
                            <w:rFonts w:ascii="Times New Roman"/>
                            <w:color w:val="010101"/>
                            <w:spacing w:val="-99"/>
                            <w:w w:val="109"/>
                            <w:sz w:val="17"/>
                          </w:rPr>
                          <w:t>3</w:t>
                        </w:r>
                        <w:r>
                          <w:rPr>
                            <w:rFonts w:ascii="Times New Roman"/>
                            <w:color w:val="010101"/>
                            <w:w w:val="99"/>
                            <w:sz w:val="17"/>
                          </w:rPr>
                          <w:t>.</w:t>
                        </w:r>
                      </w:p>
                    </w:tc>
                  </w:tr>
                  <w:tr>
                    <w:trPr>
                      <w:trHeight w:val="298" w:hRule="exact"/>
                    </w:trPr>
                    <w:tc>
                      <w:tcPr>
                        <w:tcW w:w="810" w:type="dxa"/>
                        <w:tcBorders>
                          <w:top w:val="nil"/>
                          <w:left w:val="nil"/>
                          <w:bottom w:val="nil"/>
                          <w:right w:val="single" w:sz="4" w:space="0" w:color="000000"/>
                        </w:tcBorders>
                      </w:tcPr>
                      <w:p>
                        <w:pPr>
                          <w:pStyle w:val="TableParagraph"/>
                          <w:spacing w:before="111"/>
                          <w:ind w:left="242"/>
                          <w:rPr>
                            <w:rFonts w:ascii="Arial"/>
                            <w:sz w:val="15"/>
                          </w:rPr>
                        </w:pPr>
                        <w:r>
                          <w:rPr>
                            <w:rFonts w:ascii="Arial"/>
                            <w:color w:val="010101"/>
                            <w:w w:val="105"/>
                            <w:sz w:val="15"/>
                          </w:rPr>
                          <w:t>50</w:t>
                        </w:r>
                      </w:p>
                    </w:tc>
                    <w:tc>
                      <w:tcPr>
                        <w:tcW w:w="1306" w:type="dxa"/>
                        <w:tcBorders>
                          <w:top w:val="nil"/>
                          <w:left w:val="single" w:sz="4" w:space="0" w:color="000000"/>
                          <w:bottom w:val="nil"/>
                        </w:tcBorders>
                      </w:tcPr>
                      <w:p>
                        <w:pPr>
                          <w:pStyle w:val="TableParagraph"/>
                          <w:spacing w:before="88"/>
                          <w:ind w:left="344"/>
                          <w:rPr>
                            <w:sz w:val="18"/>
                          </w:rPr>
                        </w:pPr>
                        <w:r>
                          <w:rPr>
                            <w:color w:val="010101"/>
                            <w:w w:val="95"/>
                            <w:sz w:val="18"/>
                          </w:rPr>
                          <w:t>12</w:t>
                        </w:r>
                        <w:r>
                          <w:rPr>
                            <w:color w:val="2D2D2D"/>
                            <w:w w:val="95"/>
                            <w:sz w:val="18"/>
                          </w:rPr>
                          <w:t>.</w:t>
                        </w:r>
                        <w:r>
                          <w:rPr>
                            <w:color w:val="010101"/>
                            <w:w w:val="95"/>
                            <w:sz w:val="18"/>
                          </w:rPr>
                          <w:t>71666</w:t>
                        </w:r>
                      </w:p>
                    </w:tc>
                  </w:tr>
                  <w:tr>
                    <w:trPr>
                      <w:trHeight w:val="199" w:hRule="exact"/>
                    </w:trPr>
                    <w:tc>
                      <w:tcPr>
                        <w:tcW w:w="810" w:type="dxa"/>
                        <w:tcBorders>
                          <w:top w:val="nil"/>
                          <w:left w:val="nil"/>
                          <w:bottom w:val="nil"/>
                          <w:right w:val="single" w:sz="4" w:space="0" w:color="000000"/>
                        </w:tcBorders>
                      </w:tcPr>
                      <w:p>
                        <w:pPr>
                          <w:pStyle w:val="TableParagraph"/>
                          <w:spacing w:line="188" w:lineRule="exact"/>
                          <w:ind w:left="246"/>
                          <w:rPr>
                            <w:rFonts w:ascii="Times New Roman"/>
                            <w:sz w:val="17"/>
                          </w:rPr>
                        </w:pPr>
                        <w:r>
                          <w:rPr>
                            <w:rFonts w:ascii="Times New Roman"/>
                            <w:color w:val="010101"/>
                            <w:w w:val="120"/>
                            <w:sz w:val="17"/>
                          </w:rPr>
                          <w:t>51</w:t>
                        </w:r>
                      </w:p>
                    </w:tc>
                    <w:tc>
                      <w:tcPr>
                        <w:tcW w:w="1306" w:type="dxa"/>
                        <w:tcBorders>
                          <w:top w:val="nil"/>
                          <w:left w:val="single" w:sz="4" w:space="0" w:color="000000"/>
                          <w:bottom w:val="nil"/>
                        </w:tcBorders>
                      </w:tcPr>
                      <w:p>
                        <w:pPr>
                          <w:pStyle w:val="TableParagraph"/>
                          <w:spacing w:line="176" w:lineRule="exact"/>
                          <w:ind w:left="344"/>
                          <w:rPr>
                            <w:rFonts w:ascii="Times New Roman"/>
                            <w:sz w:val="16"/>
                          </w:rPr>
                        </w:pPr>
                        <w:r>
                          <w:rPr>
                            <w:rFonts w:ascii="Times New Roman"/>
                            <w:color w:val="010101"/>
                            <w:w w:val="115"/>
                            <w:sz w:val="16"/>
                          </w:rPr>
                          <w:t>12.31105</w:t>
                        </w:r>
                      </w:p>
                    </w:tc>
                  </w:tr>
                  <w:tr>
                    <w:trPr>
                      <w:trHeight w:val="204" w:hRule="exact"/>
                    </w:trPr>
                    <w:tc>
                      <w:tcPr>
                        <w:tcW w:w="810" w:type="dxa"/>
                        <w:tcBorders>
                          <w:top w:val="nil"/>
                          <w:left w:val="nil"/>
                          <w:bottom w:val="nil"/>
                          <w:right w:val="single" w:sz="4" w:space="0" w:color="000000"/>
                        </w:tcBorders>
                      </w:tcPr>
                      <w:p>
                        <w:pPr>
                          <w:pStyle w:val="TableParagraph"/>
                          <w:spacing w:before="3"/>
                          <w:ind w:left="246"/>
                          <w:rPr>
                            <w:sz w:val="18"/>
                          </w:rPr>
                        </w:pPr>
                        <w:r>
                          <w:rPr>
                            <w:color w:val="010101"/>
                            <w:w w:val="105"/>
                            <w:sz w:val="18"/>
                          </w:rPr>
                          <w:t>52</w:t>
                        </w:r>
                      </w:p>
                    </w:tc>
                    <w:tc>
                      <w:tcPr>
                        <w:tcW w:w="1306" w:type="dxa"/>
                        <w:tcBorders>
                          <w:top w:val="nil"/>
                          <w:left w:val="single" w:sz="4" w:space="0" w:color="000000"/>
                          <w:bottom w:val="nil"/>
                        </w:tcBorders>
                      </w:tcPr>
                      <w:p>
                        <w:pPr>
                          <w:pStyle w:val="TableParagraph"/>
                          <w:spacing w:line="177" w:lineRule="exact"/>
                          <w:ind w:left="347"/>
                          <w:rPr>
                            <w:rFonts w:ascii="Times New Roman"/>
                            <w:sz w:val="16"/>
                          </w:rPr>
                        </w:pPr>
                        <w:r>
                          <w:rPr>
                            <w:rFonts w:ascii="Times New Roman"/>
                            <w:color w:val="010101"/>
                            <w:sz w:val="16"/>
                          </w:rPr>
                          <w:t>11.90776</w:t>
                        </w:r>
                      </w:p>
                    </w:tc>
                  </w:tr>
                  <w:tr>
                    <w:trPr>
                      <w:trHeight w:val="198" w:hRule="exact"/>
                    </w:trPr>
                    <w:tc>
                      <w:tcPr>
                        <w:tcW w:w="810" w:type="dxa"/>
                        <w:tcBorders>
                          <w:top w:val="nil"/>
                          <w:left w:val="nil"/>
                          <w:bottom w:val="nil"/>
                          <w:right w:val="single" w:sz="4" w:space="0" w:color="000000"/>
                        </w:tcBorders>
                      </w:tcPr>
                      <w:p>
                        <w:pPr>
                          <w:pStyle w:val="TableParagraph"/>
                          <w:spacing w:line="191" w:lineRule="exact"/>
                          <w:ind w:left="249"/>
                          <w:rPr>
                            <w:rFonts w:ascii="Times New Roman"/>
                            <w:sz w:val="17"/>
                          </w:rPr>
                        </w:pPr>
                        <w:r>
                          <w:rPr>
                            <w:rFonts w:ascii="Times New Roman"/>
                            <w:color w:val="010101"/>
                            <w:w w:val="105"/>
                            <w:sz w:val="17"/>
                          </w:rPr>
                          <w:t>53</w:t>
                        </w:r>
                      </w:p>
                    </w:tc>
                    <w:tc>
                      <w:tcPr>
                        <w:tcW w:w="1306" w:type="dxa"/>
                        <w:tcBorders>
                          <w:top w:val="nil"/>
                          <w:left w:val="single" w:sz="4" w:space="0" w:color="000000"/>
                          <w:bottom w:val="nil"/>
                        </w:tcBorders>
                      </w:tcPr>
                      <w:p>
                        <w:pPr>
                          <w:pStyle w:val="TableParagraph"/>
                          <w:spacing w:line="176" w:lineRule="exact"/>
                          <w:ind w:left="347"/>
                          <w:rPr>
                            <w:rFonts w:ascii="Times New Roman"/>
                            <w:sz w:val="17"/>
                          </w:rPr>
                        </w:pPr>
                        <w:r>
                          <w:rPr>
                            <w:rFonts w:ascii="Times New Roman"/>
                            <w:color w:val="010101"/>
                            <w:sz w:val="17"/>
                          </w:rPr>
                          <w:t>11</w:t>
                        </w:r>
                        <w:r>
                          <w:rPr>
                            <w:rFonts w:ascii="Times New Roman"/>
                            <w:color w:val="2D2D2D"/>
                            <w:sz w:val="17"/>
                          </w:rPr>
                          <w:t>.</w:t>
                        </w:r>
                        <w:r>
                          <w:rPr>
                            <w:rFonts w:ascii="Times New Roman"/>
                            <w:color w:val="010101"/>
                            <w:sz w:val="17"/>
                          </w:rPr>
                          <w:t>50720</w:t>
                        </w:r>
                      </w:p>
                    </w:tc>
                  </w:tr>
                  <w:tr>
                    <w:trPr>
                      <w:trHeight w:val="303" w:hRule="exact"/>
                    </w:trPr>
                    <w:tc>
                      <w:tcPr>
                        <w:tcW w:w="810" w:type="dxa"/>
                        <w:tcBorders>
                          <w:top w:val="nil"/>
                          <w:left w:val="nil"/>
                          <w:bottom w:val="nil"/>
                          <w:right w:val="single" w:sz="4" w:space="0" w:color="000000"/>
                        </w:tcBorders>
                      </w:tcPr>
                      <w:p>
                        <w:pPr>
                          <w:pStyle w:val="TableParagraph"/>
                          <w:spacing w:line="193" w:lineRule="exact"/>
                          <w:ind w:left="249"/>
                          <w:rPr>
                            <w:rFonts w:ascii="Arial"/>
                            <w:i/>
                            <w:sz w:val="17"/>
                          </w:rPr>
                        </w:pPr>
                        <w:r>
                          <w:rPr>
                            <w:rFonts w:ascii="Arial"/>
                            <w:i/>
                            <w:color w:val="010101"/>
                            <w:sz w:val="17"/>
                          </w:rPr>
                          <w:t>54</w:t>
                        </w:r>
                      </w:p>
                    </w:tc>
                    <w:tc>
                      <w:tcPr>
                        <w:tcW w:w="1306" w:type="dxa"/>
                        <w:tcBorders>
                          <w:top w:val="nil"/>
                          <w:left w:val="single" w:sz="4" w:space="0" w:color="000000"/>
                          <w:bottom w:val="nil"/>
                        </w:tcBorders>
                      </w:tcPr>
                      <w:p>
                        <w:pPr>
                          <w:pStyle w:val="TableParagraph"/>
                          <w:spacing w:line="174" w:lineRule="exact"/>
                          <w:ind w:left="347"/>
                          <w:rPr>
                            <w:rFonts w:ascii="Times New Roman"/>
                            <w:sz w:val="16"/>
                          </w:rPr>
                        </w:pPr>
                        <w:r>
                          <w:rPr>
                            <w:rFonts w:ascii="Times New Roman"/>
                            <w:color w:val="010101"/>
                            <w:w w:val="110"/>
                            <w:sz w:val="16"/>
                          </w:rPr>
                          <w:t>11.11010</w:t>
                        </w:r>
                      </w:p>
                    </w:tc>
                  </w:tr>
                  <w:tr>
                    <w:trPr>
                      <w:trHeight w:val="297" w:hRule="exact"/>
                    </w:trPr>
                    <w:tc>
                      <w:tcPr>
                        <w:tcW w:w="810" w:type="dxa"/>
                        <w:tcBorders>
                          <w:top w:val="nil"/>
                          <w:left w:val="nil"/>
                          <w:bottom w:val="nil"/>
                          <w:right w:val="single" w:sz="4" w:space="0" w:color="000000"/>
                        </w:tcBorders>
                      </w:tcPr>
                      <w:p>
                        <w:pPr>
                          <w:pStyle w:val="TableParagraph"/>
                          <w:spacing w:before="103"/>
                          <w:ind w:left="253"/>
                          <w:rPr>
                            <w:rFonts w:ascii="Times New Roman"/>
                            <w:sz w:val="16"/>
                          </w:rPr>
                        </w:pPr>
                        <w:r>
                          <w:rPr>
                            <w:rFonts w:ascii="Times New Roman"/>
                            <w:color w:val="010101"/>
                            <w:w w:val="105"/>
                            <w:sz w:val="16"/>
                          </w:rPr>
                          <w:t>56</w:t>
                        </w:r>
                      </w:p>
                    </w:tc>
                    <w:tc>
                      <w:tcPr>
                        <w:tcW w:w="1306" w:type="dxa"/>
                        <w:tcBorders>
                          <w:top w:val="nil"/>
                          <w:left w:val="single" w:sz="4" w:space="0" w:color="000000"/>
                          <w:bottom w:val="nil"/>
                        </w:tcBorders>
                      </w:tcPr>
                      <w:p>
                        <w:pPr>
                          <w:pStyle w:val="TableParagraph"/>
                          <w:spacing w:before="92"/>
                          <w:ind w:left="351"/>
                          <w:rPr>
                            <w:rFonts w:ascii="Times New Roman"/>
                            <w:sz w:val="16"/>
                          </w:rPr>
                        </w:pPr>
                        <w:r>
                          <w:rPr>
                            <w:rFonts w:ascii="Times New Roman"/>
                            <w:color w:val="010101"/>
                            <w:w w:val="110"/>
                            <w:sz w:val="16"/>
                          </w:rPr>
                          <w:t>10.71676</w:t>
                        </w:r>
                      </w:p>
                    </w:tc>
                  </w:tr>
                  <w:tr>
                    <w:trPr>
                      <w:trHeight w:val="204" w:hRule="exact"/>
                    </w:trPr>
                    <w:tc>
                      <w:tcPr>
                        <w:tcW w:w="810" w:type="dxa"/>
                        <w:tcBorders>
                          <w:top w:val="nil"/>
                          <w:left w:val="nil"/>
                          <w:bottom w:val="nil"/>
                          <w:right w:val="single" w:sz="4" w:space="0" w:color="000000"/>
                        </w:tcBorders>
                      </w:tcPr>
                      <w:p>
                        <w:pPr>
                          <w:pStyle w:val="TableParagraph"/>
                          <w:spacing w:line="193" w:lineRule="exact"/>
                          <w:ind w:left="256"/>
                          <w:rPr>
                            <w:rFonts w:ascii="Times New Roman"/>
                            <w:sz w:val="17"/>
                          </w:rPr>
                        </w:pPr>
                        <w:r>
                          <w:rPr>
                            <w:rFonts w:ascii="Times New Roman"/>
                            <w:color w:val="010101"/>
                            <w:sz w:val="17"/>
                          </w:rPr>
                          <w:t>56</w:t>
                        </w:r>
                      </w:p>
                    </w:tc>
                    <w:tc>
                      <w:tcPr>
                        <w:tcW w:w="1306" w:type="dxa"/>
                        <w:tcBorders>
                          <w:top w:val="nil"/>
                          <w:left w:val="single" w:sz="4" w:space="0" w:color="000000"/>
                          <w:bottom w:val="nil"/>
                        </w:tcBorders>
                      </w:tcPr>
                      <w:p>
                        <w:pPr>
                          <w:pStyle w:val="TableParagraph"/>
                          <w:spacing w:line="200" w:lineRule="exact"/>
                          <w:ind w:left="351"/>
                          <w:rPr>
                            <w:sz w:val="18"/>
                          </w:rPr>
                        </w:pPr>
                        <w:r>
                          <w:rPr>
                            <w:color w:val="010101"/>
                            <w:sz w:val="18"/>
                          </w:rPr>
                          <w:t>10.32771</w:t>
                        </w:r>
                      </w:p>
                    </w:tc>
                  </w:tr>
                  <w:tr>
                    <w:trPr>
                      <w:trHeight w:val="200" w:hRule="exact"/>
                    </w:trPr>
                    <w:tc>
                      <w:tcPr>
                        <w:tcW w:w="810" w:type="dxa"/>
                        <w:tcBorders>
                          <w:top w:val="nil"/>
                          <w:left w:val="nil"/>
                          <w:bottom w:val="nil"/>
                          <w:right w:val="single" w:sz="4" w:space="0" w:color="000000"/>
                        </w:tcBorders>
                      </w:tcPr>
                      <w:p>
                        <w:pPr>
                          <w:pStyle w:val="TableParagraph"/>
                          <w:spacing w:line="187" w:lineRule="exact"/>
                          <w:ind w:left="253"/>
                          <w:rPr>
                            <w:rFonts w:ascii="Times New Roman"/>
                            <w:i/>
                            <w:sz w:val="17"/>
                          </w:rPr>
                        </w:pPr>
                        <w:r>
                          <w:rPr>
                            <w:rFonts w:ascii="Times New Roman"/>
                            <w:i/>
                            <w:color w:val="010101"/>
                            <w:w w:val="115"/>
                            <w:sz w:val="17"/>
                          </w:rPr>
                          <w:t>51</w:t>
                        </w:r>
                      </w:p>
                    </w:tc>
                    <w:tc>
                      <w:tcPr>
                        <w:tcW w:w="1306" w:type="dxa"/>
                        <w:tcBorders>
                          <w:top w:val="nil"/>
                          <w:left w:val="single" w:sz="4" w:space="0" w:color="000000"/>
                          <w:bottom w:val="nil"/>
                        </w:tcBorders>
                      </w:tcPr>
                      <w:p>
                        <w:pPr>
                          <w:pStyle w:val="TableParagraph"/>
                          <w:spacing w:line="174" w:lineRule="exact"/>
                          <w:ind w:left="415"/>
                          <w:rPr>
                            <w:rFonts w:ascii="Times New Roman"/>
                            <w:sz w:val="16"/>
                          </w:rPr>
                        </w:pPr>
                        <w:r>
                          <w:rPr>
                            <w:rFonts w:ascii="Times New Roman"/>
                            <w:color w:val="010101"/>
                            <w:w w:val="105"/>
                            <w:sz w:val="16"/>
                          </w:rPr>
                          <w:t>9</w:t>
                        </w:r>
                        <w:r>
                          <w:rPr>
                            <w:rFonts w:ascii="Times New Roman"/>
                            <w:color w:val="1F1F1F"/>
                            <w:w w:val="105"/>
                            <w:sz w:val="16"/>
                          </w:rPr>
                          <w:t>.</w:t>
                        </w:r>
                        <w:r>
                          <w:rPr>
                            <w:rFonts w:ascii="Times New Roman"/>
                            <w:color w:val="010101"/>
                            <w:w w:val="105"/>
                            <w:sz w:val="16"/>
                          </w:rPr>
                          <w:t>94354</w:t>
                        </w:r>
                      </w:p>
                    </w:tc>
                  </w:tr>
                  <w:tr>
                    <w:trPr>
                      <w:trHeight w:val="330" w:hRule="exact"/>
                    </w:trPr>
                    <w:tc>
                      <w:tcPr>
                        <w:tcW w:w="810" w:type="dxa"/>
                        <w:tcBorders>
                          <w:top w:val="nil"/>
                          <w:left w:val="nil"/>
                          <w:bottom w:val="nil"/>
                          <w:right w:val="single" w:sz="4" w:space="0" w:color="000000"/>
                        </w:tcBorders>
                      </w:tcPr>
                      <w:p>
                        <w:pPr>
                          <w:pStyle w:val="TableParagraph"/>
                          <w:spacing w:line="191" w:lineRule="exact"/>
                          <w:ind w:left="256"/>
                          <w:rPr>
                            <w:rFonts w:ascii="Times New Roman"/>
                            <w:sz w:val="17"/>
                          </w:rPr>
                        </w:pPr>
                        <w:r>
                          <w:rPr>
                            <w:rFonts w:ascii="Times New Roman"/>
                            <w:color w:val="010101"/>
                            <w:sz w:val="17"/>
                          </w:rPr>
                          <w:t>58</w:t>
                        </w:r>
                      </w:p>
                      <w:p>
                        <w:pPr>
                          <w:pStyle w:val="TableParagraph"/>
                          <w:spacing w:line="177" w:lineRule="exact" w:before="1"/>
                          <w:ind w:left="253"/>
                          <w:rPr>
                            <w:rFonts w:ascii="Times New Roman"/>
                            <w:sz w:val="17"/>
                          </w:rPr>
                        </w:pPr>
                        <w:r>
                          <w:rPr>
                            <w:rFonts w:ascii="Times New Roman"/>
                            <w:color w:val="010101"/>
                            <w:sz w:val="17"/>
                          </w:rPr>
                          <w:t>00-</w:t>
                        </w:r>
                      </w:p>
                    </w:tc>
                    <w:tc>
                      <w:tcPr>
                        <w:tcW w:w="1306" w:type="dxa"/>
                        <w:tcBorders>
                          <w:top w:val="nil"/>
                          <w:left w:val="single" w:sz="4" w:space="0" w:color="000000"/>
                          <w:bottom w:val="nil"/>
                        </w:tcBorders>
                      </w:tcPr>
                      <w:p>
                        <w:pPr>
                          <w:pStyle w:val="TableParagraph"/>
                          <w:spacing w:line="135" w:lineRule="exact"/>
                          <w:ind w:left="419"/>
                          <w:rPr>
                            <w:rFonts w:ascii="Arial"/>
                            <w:sz w:val="15"/>
                          </w:rPr>
                        </w:pPr>
                        <w:r>
                          <w:rPr>
                            <w:rFonts w:ascii="Arial"/>
                            <w:color w:val="010101"/>
                            <w:w w:val="105"/>
                            <w:sz w:val="15"/>
                          </w:rPr>
                          <w:t>9.56463</w:t>
                        </w:r>
                      </w:p>
                      <w:p>
                        <w:pPr>
                          <w:pStyle w:val="TableParagraph"/>
                          <w:spacing w:line="235" w:lineRule="exact"/>
                          <w:ind w:left="415"/>
                          <w:rPr>
                            <w:rFonts w:ascii="Times New Roman"/>
                            <w:sz w:val="26"/>
                          </w:rPr>
                        </w:pPr>
                        <w:r>
                          <w:rPr>
                            <w:rFonts w:ascii="Times New Roman"/>
                            <w:color w:val="010101"/>
                            <w:w w:val="75"/>
                            <w:sz w:val="17"/>
                          </w:rPr>
                          <w:t>9. </w:t>
                        </w:r>
                        <w:r>
                          <w:rPr>
                            <w:rFonts w:ascii="Times New Roman"/>
                            <w:color w:val="010101"/>
                            <w:w w:val="75"/>
                            <w:sz w:val="26"/>
                          </w:rPr>
                          <w:t>un.m:</w:t>
                        </w:r>
                      </w:p>
                    </w:tc>
                  </w:tr>
                  <w:tr>
                    <w:trPr>
                      <w:trHeight w:val="467" w:hRule="exact"/>
                    </w:trPr>
                    <w:tc>
                      <w:tcPr>
                        <w:tcW w:w="810" w:type="dxa"/>
                        <w:tcBorders>
                          <w:top w:val="nil"/>
                          <w:left w:val="nil"/>
                          <w:bottom w:val="nil"/>
                          <w:right w:val="nil"/>
                        </w:tcBorders>
                      </w:tcPr>
                      <w:p>
                        <w:pPr>
                          <w:pStyle w:val="TableParagraph"/>
                          <w:rPr>
                            <w:rFonts w:ascii="Times New Roman"/>
                            <w:sz w:val="16"/>
                          </w:rPr>
                        </w:pPr>
                      </w:p>
                      <w:p>
                        <w:pPr>
                          <w:pStyle w:val="TableParagraph"/>
                          <w:spacing w:before="92"/>
                          <w:ind w:left="249"/>
                          <w:rPr>
                            <w:rFonts w:ascii="Arial"/>
                            <w:sz w:val="16"/>
                          </w:rPr>
                        </w:pPr>
                        <w:r>
                          <w:rPr>
                            <w:rFonts w:ascii="Arial"/>
                            <w:color w:val="010101"/>
                            <w:sz w:val="16"/>
                          </w:rPr>
                          <w:t>60</w:t>
                        </w:r>
                      </w:p>
                    </w:tc>
                    <w:tc>
                      <w:tcPr>
                        <w:tcW w:w="1306" w:type="dxa"/>
                        <w:tcBorders>
                          <w:top w:val="nil"/>
                          <w:left w:val="nil"/>
                          <w:bottom w:val="nil"/>
                        </w:tcBorders>
                      </w:tcPr>
                      <w:p>
                        <w:pPr>
                          <w:pStyle w:val="TableParagraph"/>
                          <w:rPr>
                            <w:rFonts w:ascii="Times New Roman"/>
                            <w:sz w:val="14"/>
                          </w:rPr>
                        </w:pPr>
                      </w:p>
                      <w:p>
                        <w:pPr>
                          <w:pStyle w:val="TableParagraph"/>
                          <w:spacing w:before="110"/>
                          <w:ind w:left="424"/>
                          <w:rPr>
                            <w:rFonts w:ascii="Arial"/>
                            <w:sz w:val="15"/>
                          </w:rPr>
                        </w:pPr>
                        <w:r>
                          <w:rPr>
                            <w:rFonts w:ascii="Arial"/>
                            <w:color w:val="010101"/>
                            <w:w w:val="105"/>
                            <w:sz w:val="15"/>
                          </w:rPr>
                          <w:t>8.824fi8</w:t>
                        </w:r>
                      </w:p>
                    </w:tc>
                  </w:tr>
                  <w:tr>
                    <w:trPr>
                      <w:trHeight w:val="204" w:hRule="exact"/>
                    </w:trPr>
                    <w:tc>
                      <w:tcPr>
                        <w:tcW w:w="810" w:type="dxa"/>
                        <w:tcBorders>
                          <w:top w:val="nil"/>
                          <w:left w:val="nil"/>
                          <w:bottom w:val="nil"/>
                          <w:right w:val="nil"/>
                        </w:tcBorders>
                      </w:tcPr>
                      <w:p>
                        <w:pPr>
                          <w:pStyle w:val="TableParagraph"/>
                          <w:spacing w:line="193" w:lineRule="exact"/>
                          <w:ind w:left="253"/>
                          <w:rPr>
                            <w:rFonts w:ascii="Arial"/>
                            <w:b/>
                            <w:sz w:val="17"/>
                          </w:rPr>
                        </w:pPr>
                        <w:r>
                          <w:rPr>
                            <w:rFonts w:ascii="Arial"/>
                            <w:b/>
                            <w:color w:val="010101"/>
                            <w:sz w:val="17"/>
                          </w:rPr>
                          <w:t>61</w:t>
                        </w:r>
                      </w:p>
                    </w:tc>
                    <w:tc>
                      <w:tcPr>
                        <w:tcW w:w="1306" w:type="dxa"/>
                        <w:tcBorders>
                          <w:top w:val="nil"/>
                          <w:left w:val="nil"/>
                          <w:bottom w:val="nil"/>
                        </w:tcBorders>
                      </w:tcPr>
                      <w:p>
                        <w:pPr>
                          <w:pStyle w:val="TableParagraph"/>
                          <w:spacing w:line="183" w:lineRule="exact"/>
                          <w:ind w:left="424"/>
                          <w:rPr>
                            <w:rFonts w:ascii="Times New Roman"/>
                            <w:sz w:val="17"/>
                          </w:rPr>
                        </w:pPr>
                        <w:r>
                          <w:rPr>
                            <w:rFonts w:ascii="Times New Roman"/>
                            <w:color w:val="010101"/>
                            <w:sz w:val="17"/>
                          </w:rPr>
                          <w:t>8.46435</w:t>
                        </w:r>
                      </w:p>
                    </w:tc>
                  </w:tr>
                  <w:tr>
                    <w:trPr>
                      <w:trHeight w:val="201" w:hRule="exact"/>
                    </w:trPr>
                    <w:tc>
                      <w:tcPr>
                        <w:tcW w:w="810" w:type="dxa"/>
                        <w:tcBorders>
                          <w:top w:val="nil"/>
                          <w:left w:val="nil"/>
                          <w:bottom w:val="nil"/>
                          <w:right w:val="nil"/>
                        </w:tcBorders>
                      </w:tcPr>
                      <w:p>
                        <w:pPr>
                          <w:pStyle w:val="TableParagraph"/>
                          <w:ind w:left="253"/>
                          <w:rPr>
                            <w:sz w:val="18"/>
                          </w:rPr>
                        </w:pPr>
                        <w:r>
                          <w:rPr>
                            <w:color w:val="010101"/>
                            <w:w w:val="120"/>
                            <w:sz w:val="18"/>
                          </w:rPr>
                          <w:t>62</w:t>
                        </w:r>
                      </w:p>
                    </w:tc>
                    <w:tc>
                      <w:tcPr>
                        <w:tcW w:w="1306" w:type="dxa"/>
                        <w:tcBorders>
                          <w:top w:val="nil"/>
                          <w:left w:val="nil"/>
                          <w:bottom w:val="nil"/>
                        </w:tcBorders>
                      </w:tcPr>
                      <w:p>
                        <w:pPr>
                          <w:pStyle w:val="TableParagraph"/>
                          <w:spacing w:line="178" w:lineRule="exact"/>
                          <w:ind w:left="424"/>
                          <w:rPr>
                            <w:rFonts w:ascii="Times New Roman"/>
                            <w:sz w:val="16"/>
                          </w:rPr>
                        </w:pPr>
                        <w:r>
                          <w:rPr>
                            <w:rFonts w:ascii="Times New Roman"/>
                            <w:color w:val="010101"/>
                            <w:w w:val="120"/>
                            <w:sz w:val="16"/>
                          </w:rPr>
                          <w:t>8.11113</w:t>
                        </w:r>
                      </w:p>
                    </w:tc>
                  </w:tr>
                  <w:tr>
                    <w:trPr>
                      <w:trHeight w:val="199" w:hRule="exact"/>
                    </w:trPr>
                    <w:tc>
                      <w:tcPr>
                        <w:tcW w:w="810" w:type="dxa"/>
                        <w:tcBorders>
                          <w:top w:val="nil"/>
                          <w:left w:val="nil"/>
                          <w:bottom w:val="nil"/>
                          <w:right w:val="nil"/>
                        </w:tcBorders>
                      </w:tcPr>
                      <w:p>
                        <w:pPr>
                          <w:pStyle w:val="TableParagraph"/>
                          <w:spacing w:line="190" w:lineRule="exact"/>
                          <w:ind w:left="249"/>
                          <w:rPr>
                            <w:rFonts w:ascii="Arial"/>
                            <w:sz w:val="17"/>
                          </w:rPr>
                        </w:pPr>
                        <w:r>
                          <w:rPr>
                            <w:rFonts w:ascii="Arial"/>
                            <w:color w:val="010101"/>
                            <w:sz w:val="17"/>
                          </w:rPr>
                          <w:t>63</w:t>
                        </w:r>
                      </w:p>
                    </w:tc>
                    <w:tc>
                      <w:tcPr>
                        <w:tcW w:w="1306" w:type="dxa"/>
                        <w:tcBorders>
                          <w:top w:val="nil"/>
                          <w:left w:val="nil"/>
                          <w:bottom w:val="nil"/>
                        </w:tcBorders>
                      </w:tcPr>
                      <w:p>
                        <w:pPr>
                          <w:pStyle w:val="TableParagraph"/>
                          <w:spacing w:line="176" w:lineRule="exact"/>
                          <w:ind w:left="424"/>
                          <w:rPr>
                            <w:rFonts w:ascii="Times New Roman"/>
                            <w:sz w:val="17"/>
                          </w:rPr>
                        </w:pPr>
                        <w:r>
                          <w:rPr>
                            <w:rFonts w:ascii="Times New Roman"/>
                            <w:color w:val="010101"/>
                            <w:sz w:val="17"/>
                          </w:rPr>
                          <w:t>7</w:t>
                        </w:r>
                        <w:r>
                          <w:rPr>
                            <w:rFonts w:ascii="Times New Roman"/>
                            <w:color w:val="1F1F1F"/>
                            <w:sz w:val="17"/>
                          </w:rPr>
                          <w:t>.</w:t>
                        </w:r>
                        <w:r>
                          <w:rPr>
                            <w:rFonts w:ascii="Times New Roman"/>
                            <w:color w:val="010101"/>
                            <w:sz w:val="17"/>
                          </w:rPr>
                          <w:t>76562'</w:t>
                        </w:r>
                      </w:p>
                    </w:tc>
                  </w:tr>
                  <w:tr>
                    <w:trPr>
                      <w:trHeight w:val="245" w:hRule="exact"/>
                    </w:trPr>
                    <w:tc>
                      <w:tcPr>
                        <w:tcW w:w="810" w:type="dxa"/>
                        <w:tcBorders>
                          <w:top w:val="nil"/>
                          <w:left w:val="nil"/>
                          <w:bottom w:val="nil"/>
                          <w:right w:val="nil"/>
                        </w:tcBorders>
                      </w:tcPr>
                      <w:p>
                        <w:pPr>
                          <w:pStyle w:val="TableParagraph"/>
                          <w:spacing w:before="6"/>
                          <w:ind w:left="256"/>
                          <w:rPr>
                            <w:rFonts w:ascii="Times New Roman"/>
                            <w:sz w:val="16"/>
                          </w:rPr>
                        </w:pPr>
                        <w:r>
                          <w:rPr>
                            <w:rFonts w:ascii="Times New Roman"/>
                            <w:color w:val="010101"/>
                            <w:w w:val="110"/>
                            <w:sz w:val="16"/>
                          </w:rPr>
                          <w:t>6f</w:t>
                        </w:r>
                      </w:p>
                    </w:tc>
                    <w:tc>
                      <w:tcPr>
                        <w:tcW w:w="1306" w:type="dxa"/>
                        <w:tcBorders>
                          <w:top w:val="nil"/>
                          <w:left w:val="nil"/>
                          <w:bottom w:val="nil"/>
                        </w:tcBorders>
                      </w:tcPr>
                      <w:p>
                        <w:pPr>
                          <w:pStyle w:val="TableParagraph"/>
                          <w:spacing w:line="176" w:lineRule="exact"/>
                          <w:ind w:left="428"/>
                          <w:rPr>
                            <w:rFonts w:ascii="Times New Roman"/>
                            <w:sz w:val="16"/>
                          </w:rPr>
                        </w:pPr>
                        <w:r>
                          <w:rPr>
                            <w:rFonts w:ascii="Times New Roman"/>
                            <w:color w:val="010101"/>
                            <w:w w:val="110"/>
                            <w:sz w:val="16"/>
                          </w:rPr>
                          <w:t>7.42783</w:t>
                        </w:r>
                      </w:p>
                    </w:tc>
                  </w:tr>
                </w:tbl>
                <w:p>
                  <w:pPr>
                    <w:pStyle w:val="BodyText"/>
                  </w:pPr>
                </w:p>
              </w:txbxContent>
            </v:textbox>
          </v:shape>
        </w:pict>
      </w:r>
      <w:r>
        <w:rPr/>
      </w:r>
      <w:r>
        <w:rPr/>
        <w:tab/>
      </w:r>
      <w:r>
        <w:rPr>
          <w:position w:val="3"/>
        </w:rPr>
        <w:pict>
          <v:shape style="width:158.550pt;height:436.95pt;mso-position-horizontal-relative:char;mso-position-vertical-relative:line" type="#_x0000_t202" filled="false" stroked="false">
            <w10:anchorlock/>
            <v:textbox inset="0,0,0,0">
              <w:txbxContent>
                <w:tbl>
                  <w:tblPr>
                    <w:tblW w:w="0" w:type="auto"/>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
                    <w:gridCol w:w="1300"/>
                    <w:gridCol w:w="806"/>
                  </w:tblGrid>
                  <w:tr>
                    <w:trPr>
                      <w:trHeight w:val="353" w:hRule="exact"/>
                    </w:trPr>
                    <w:tc>
                      <w:tcPr>
                        <w:tcW w:w="1047" w:type="dxa"/>
                        <w:tcBorders>
                          <w:left w:val="nil"/>
                          <w:bottom w:val="single" w:sz="6" w:space="0" w:color="000000"/>
                          <w:right w:val="single" w:sz="6" w:space="0" w:color="000000"/>
                        </w:tcBorders>
                      </w:tcPr>
                      <w:p>
                        <w:pPr>
                          <w:pStyle w:val="TableParagraph"/>
                          <w:spacing w:line="319" w:lineRule="exact"/>
                          <w:ind w:left="313"/>
                          <w:rPr>
                            <w:rFonts w:ascii="Times New Roman"/>
                            <w:sz w:val="42"/>
                          </w:rPr>
                        </w:pPr>
                        <w:r>
                          <w:rPr>
                            <w:rFonts w:ascii="Times New Roman"/>
                            <w:color w:val="010101"/>
                            <w:w w:val="70"/>
                            <w:sz w:val="42"/>
                          </w:rPr>
                          <w:t>.....</w:t>
                        </w:r>
                      </w:p>
                    </w:tc>
                    <w:tc>
                      <w:tcPr>
                        <w:tcW w:w="1300" w:type="dxa"/>
                        <w:tcBorders>
                          <w:left w:val="single" w:sz="6" w:space="0" w:color="000000"/>
                          <w:bottom w:val="single" w:sz="6" w:space="0" w:color="000000"/>
                          <w:right w:val="single" w:sz="6" w:space="0" w:color="000000"/>
                        </w:tcBorders>
                      </w:tcPr>
                      <w:p>
                        <w:pPr>
                          <w:pStyle w:val="TableParagraph"/>
                          <w:spacing w:line="263" w:lineRule="exact"/>
                          <w:ind w:left="58"/>
                          <w:jc w:val="center"/>
                          <w:rPr>
                            <w:rFonts w:ascii="Times New Roman"/>
                            <w:i/>
                            <w:sz w:val="23"/>
                          </w:rPr>
                        </w:pPr>
                        <w:r>
                          <w:rPr>
                            <w:rFonts w:ascii="Times New Roman"/>
                            <w:i/>
                            <w:color w:val="010101"/>
                            <w:w w:val="126"/>
                            <w:sz w:val="23"/>
                          </w:rPr>
                          <w:t>r</w:t>
                        </w:r>
                      </w:p>
                    </w:tc>
                    <w:tc>
                      <w:tcPr>
                        <w:tcW w:w="806" w:type="dxa"/>
                        <w:tcBorders>
                          <w:left w:val="single" w:sz="6" w:space="0" w:color="000000"/>
                          <w:bottom w:val="single" w:sz="6" w:space="0" w:color="000000"/>
                          <w:right w:val="nil"/>
                        </w:tcBorders>
                      </w:tcPr>
                      <w:p>
                        <w:pPr>
                          <w:pStyle w:val="TableParagraph"/>
                          <w:spacing w:before="2"/>
                          <w:rPr>
                            <w:rFonts w:ascii="Times New Roman"/>
                            <w:sz w:val="8"/>
                          </w:rPr>
                        </w:pPr>
                      </w:p>
                      <w:p>
                        <w:pPr>
                          <w:pStyle w:val="TableParagraph"/>
                          <w:spacing w:before="1"/>
                          <w:ind w:left="264" w:right="216"/>
                          <w:jc w:val="center"/>
                          <w:rPr>
                            <w:rFonts w:ascii="Times New Roman"/>
                            <w:sz w:val="10"/>
                          </w:rPr>
                        </w:pPr>
                        <w:r>
                          <w:rPr>
                            <w:rFonts w:ascii="Times New Roman"/>
                            <w:color w:val="010101"/>
                            <w:w w:val="145"/>
                            <w:sz w:val="10"/>
                          </w:rPr>
                          <w:t>,r</w:t>
                        </w:r>
                      </w:p>
                    </w:tc>
                  </w:tr>
                  <w:tr>
                    <w:trPr>
                      <w:trHeight w:val="307" w:hRule="exact"/>
                    </w:trPr>
                    <w:tc>
                      <w:tcPr>
                        <w:tcW w:w="1047" w:type="dxa"/>
                        <w:tcBorders>
                          <w:top w:val="single" w:sz="6" w:space="0" w:color="000000"/>
                          <w:left w:val="nil"/>
                          <w:bottom w:val="nil"/>
                          <w:right w:val="single" w:sz="6" w:space="0" w:color="000000"/>
                        </w:tcBorders>
                      </w:tcPr>
                      <w:p>
                        <w:pPr>
                          <w:pStyle w:val="TableParagraph"/>
                          <w:spacing w:before="101"/>
                          <w:ind w:right="307"/>
                          <w:jc w:val="right"/>
                          <w:rPr>
                            <w:rFonts w:ascii="Times New Roman"/>
                            <w:sz w:val="17"/>
                          </w:rPr>
                        </w:pPr>
                        <w:r>
                          <w:rPr>
                            <w:rFonts w:ascii="Times New Roman"/>
                            <w:color w:val="010101"/>
                            <w:w w:val="105"/>
                            <w:sz w:val="17"/>
                          </w:rPr>
                          <w:t>JS.48172</w:t>
                        </w:r>
                      </w:p>
                    </w:tc>
                    <w:tc>
                      <w:tcPr>
                        <w:tcW w:w="1300" w:type="dxa"/>
                        <w:tcBorders>
                          <w:top w:val="single" w:sz="6" w:space="0" w:color="000000"/>
                          <w:left w:val="single" w:sz="6" w:space="0" w:color="000000"/>
                          <w:bottom w:val="nil"/>
                          <w:right w:val="single" w:sz="6" w:space="0" w:color="000000"/>
                        </w:tcBorders>
                      </w:tcPr>
                      <w:p>
                        <w:pPr>
                          <w:pStyle w:val="TableParagraph"/>
                          <w:spacing w:before="81"/>
                          <w:ind w:left="267" w:right="146"/>
                          <w:jc w:val="center"/>
                          <w:rPr>
                            <w:rFonts w:ascii="Times New Roman"/>
                            <w:sz w:val="18"/>
                          </w:rPr>
                        </w:pPr>
                        <w:r>
                          <w:rPr>
                            <w:rFonts w:ascii="Times New Roman"/>
                            <w:color w:val="010101"/>
                            <w:w w:val="90"/>
                            <w:sz w:val="17"/>
                          </w:rPr>
                          <w:t>12. </w:t>
                        </w:r>
                        <w:r>
                          <w:rPr>
                            <w:rFonts w:ascii="Times New Roman"/>
                            <w:color w:val="010101"/>
                            <w:w w:val="90"/>
                            <w:sz w:val="18"/>
                          </w:rPr>
                          <w:t>964-</w:t>
                        </w:r>
                      </w:p>
                    </w:tc>
                    <w:tc>
                      <w:tcPr>
                        <w:tcW w:w="806" w:type="dxa"/>
                        <w:tcBorders>
                          <w:top w:val="single" w:sz="6" w:space="0" w:color="000000"/>
                          <w:left w:val="single" w:sz="6" w:space="0" w:color="000000"/>
                          <w:bottom w:val="nil"/>
                          <w:right w:val="nil"/>
                        </w:tcBorders>
                      </w:tcPr>
                      <w:p>
                        <w:pPr>
                          <w:pStyle w:val="TableParagraph"/>
                          <w:spacing w:before="105"/>
                          <w:ind w:left="279" w:right="212"/>
                          <w:jc w:val="center"/>
                          <w:rPr>
                            <w:rFonts w:ascii="Arial"/>
                            <w:sz w:val="15"/>
                          </w:rPr>
                        </w:pPr>
                        <w:r>
                          <w:rPr>
                            <w:rFonts w:ascii="Arial"/>
                            <w:color w:val="010101"/>
                            <w:w w:val="105"/>
                            <w:sz w:val="15"/>
                          </w:rPr>
                          <w:t>3&amp;</w:t>
                        </w:r>
                      </w:p>
                    </w:tc>
                  </w:tr>
                  <w:tr>
                    <w:trPr>
                      <w:trHeight w:val="205" w:hRule="exact"/>
                    </w:trPr>
                    <w:tc>
                      <w:tcPr>
                        <w:tcW w:w="1047" w:type="dxa"/>
                        <w:tcBorders>
                          <w:top w:val="nil"/>
                          <w:left w:val="nil"/>
                          <w:bottom w:val="nil"/>
                          <w:right w:val="single" w:sz="6" w:space="0" w:color="000000"/>
                        </w:tcBorders>
                      </w:tcPr>
                      <w:p>
                        <w:pPr>
                          <w:pStyle w:val="TableParagraph"/>
                          <w:spacing w:before="11"/>
                          <w:ind w:right="309"/>
                          <w:jc w:val="right"/>
                          <w:rPr>
                            <w:rFonts w:ascii="Arial"/>
                            <w:sz w:val="16"/>
                          </w:rPr>
                        </w:pPr>
                        <w:r>
                          <w:rPr>
                            <w:rFonts w:ascii="Arial"/>
                            <w:color w:val="010101"/>
                            <w:spacing w:val="-15"/>
                            <w:w w:val="110"/>
                            <w:sz w:val="16"/>
                          </w:rPr>
                          <w:t>18. </w:t>
                        </w:r>
                        <w:r>
                          <w:rPr>
                            <w:rFonts w:ascii="Arial"/>
                            <w:color w:val="010101"/>
                            <w:spacing w:val="-18"/>
                            <w:w w:val="110"/>
                            <w:sz w:val="16"/>
                          </w:rPr>
                          <w:t>111&amp;3</w:t>
                        </w:r>
                      </w:p>
                    </w:tc>
                    <w:tc>
                      <w:tcPr>
                        <w:tcW w:w="1300" w:type="dxa"/>
                        <w:tcBorders>
                          <w:top w:val="nil"/>
                          <w:left w:val="single" w:sz="6" w:space="0" w:color="000000"/>
                          <w:bottom w:val="nil"/>
                          <w:right w:val="single" w:sz="6" w:space="0" w:color="000000"/>
                        </w:tcBorders>
                      </w:tcPr>
                      <w:p>
                        <w:pPr>
                          <w:pStyle w:val="TableParagraph"/>
                          <w:spacing w:line="201" w:lineRule="exact"/>
                          <w:ind w:left="267" w:right="121"/>
                          <w:jc w:val="center"/>
                          <w:rPr>
                            <w:sz w:val="18"/>
                          </w:rPr>
                        </w:pPr>
                        <w:r>
                          <w:rPr>
                            <w:color w:val="010101"/>
                            <w:sz w:val="18"/>
                          </w:rPr>
                          <w:t>14.100</w:t>
                        </w:r>
                      </w:p>
                    </w:tc>
                    <w:tc>
                      <w:tcPr>
                        <w:tcW w:w="806" w:type="dxa"/>
                        <w:tcBorders>
                          <w:top w:val="nil"/>
                          <w:left w:val="single" w:sz="6" w:space="0" w:color="000000"/>
                          <w:bottom w:val="nil"/>
                          <w:right w:val="nil"/>
                        </w:tcBorders>
                      </w:tcPr>
                      <w:p>
                        <w:pPr>
                          <w:pStyle w:val="TableParagraph"/>
                          <w:spacing w:line="180" w:lineRule="exact"/>
                          <w:ind w:left="279" w:right="191"/>
                          <w:jc w:val="center"/>
                          <w:rPr>
                            <w:rFonts w:ascii="Times New Roman"/>
                            <w:sz w:val="17"/>
                          </w:rPr>
                        </w:pPr>
                        <w:r>
                          <w:rPr>
                            <w:rFonts w:ascii="Times New Roman"/>
                            <w:color w:val="010101"/>
                            <w:w w:val="140"/>
                            <w:sz w:val="17"/>
                          </w:rPr>
                          <w:t>31</w:t>
                        </w:r>
                      </w:p>
                    </w:tc>
                  </w:tr>
                  <w:tr>
                    <w:trPr>
                      <w:trHeight w:val="201" w:hRule="exact"/>
                    </w:trPr>
                    <w:tc>
                      <w:tcPr>
                        <w:tcW w:w="1047" w:type="dxa"/>
                        <w:tcBorders>
                          <w:top w:val="nil"/>
                          <w:left w:val="nil"/>
                          <w:bottom w:val="nil"/>
                          <w:right w:val="single" w:sz="6" w:space="0" w:color="000000"/>
                        </w:tcBorders>
                      </w:tcPr>
                      <w:p>
                        <w:pPr>
                          <w:pStyle w:val="TableParagraph"/>
                          <w:spacing w:line="187" w:lineRule="exact"/>
                          <w:ind w:right="315"/>
                          <w:jc w:val="right"/>
                          <w:rPr>
                            <w:rFonts w:ascii="Times New Roman"/>
                            <w:sz w:val="14"/>
                          </w:rPr>
                        </w:pPr>
                        <w:r>
                          <w:rPr>
                            <w:rFonts w:ascii="Times New Roman"/>
                            <w:color w:val="010101"/>
                            <w:spacing w:val="-64"/>
                            <w:w w:val="142"/>
                            <w:sz w:val="17"/>
                          </w:rPr>
                          <w:t>1</w:t>
                        </w:r>
                        <w:r>
                          <w:rPr>
                            <w:rFonts w:ascii="Times New Roman"/>
                            <w:color w:val="010101"/>
                            <w:w w:val="125"/>
                            <w:sz w:val="17"/>
                          </w:rPr>
                          <w:t>7</w:t>
                        </w:r>
                        <w:r>
                          <w:rPr>
                            <w:rFonts w:ascii="Times New Roman"/>
                            <w:color w:val="010101"/>
                            <w:spacing w:val="11"/>
                            <w:w w:val="125"/>
                            <w:sz w:val="17"/>
                          </w:rPr>
                          <w:t>.</w:t>
                        </w:r>
                        <w:r>
                          <w:rPr>
                            <w:rFonts w:ascii="Times New Roman"/>
                            <w:color w:val="010101"/>
                            <w:w w:val="87"/>
                            <w:sz w:val="14"/>
                          </w:rPr>
                          <w:t>73:'1</w:t>
                        </w:r>
                        <w:r>
                          <w:rPr>
                            <w:rFonts w:ascii="Times New Roman"/>
                            <w:color w:val="010101"/>
                            <w:w w:val="87"/>
                            <w:sz w:val="14"/>
                          </w:rPr>
                          <w:t>(</w:t>
                        </w:r>
                        <w:r>
                          <w:rPr>
                            <w:rFonts w:ascii="Times New Roman"/>
                            <w:color w:val="010101"/>
                            <w:w w:val="87"/>
                            <w:sz w:val="14"/>
                          </w:rPr>
                          <w:t>W</w:t>
                        </w:r>
                      </w:p>
                    </w:tc>
                    <w:tc>
                      <w:tcPr>
                        <w:tcW w:w="1300" w:type="dxa"/>
                        <w:tcBorders>
                          <w:top w:val="nil"/>
                          <w:left w:val="single" w:sz="6" w:space="0" w:color="000000"/>
                          <w:bottom w:val="nil"/>
                          <w:right w:val="single" w:sz="6" w:space="0" w:color="000000"/>
                        </w:tcBorders>
                      </w:tcPr>
                      <w:p>
                        <w:pPr>
                          <w:pStyle w:val="TableParagraph"/>
                          <w:spacing w:line="197" w:lineRule="exact"/>
                          <w:ind w:left="267" w:right="111"/>
                          <w:jc w:val="center"/>
                          <w:rPr>
                            <w:sz w:val="18"/>
                          </w:rPr>
                        </w:pPr>
                        <w:r>
                          <w:rPr>
                            <w:color w:val="010101"/>
                            <w:sz w:val="18"/>
                          </w:rPr>
                          <w:t>15.366</w:t>
                        </w:r>
                      </w:p>
                    </w:tc>
                    <w:tc>
                      <w:tcPr>
                        <w:tcW w:w="806" w:type="dxa"/>
                        <w:tcBorders>
                          <w:top w:val="nil"/>
                          <w:left w:val="single" w:sz="6" w:space="0" w:color="000000"/>
                          <w:bottom w:val="nil"/>
                          <w:right w:val="nil"/>
                        </w:tcBorders>
                      </w:tcPr>
                      <w:p>
                        <w:pPr>
                          <w:pStyle w:val="TableParagraph"/>
                          <w:spacing w:line="171" w:lineRule="exact"/>
                          <w:ind w:left="267" w:right="216"/>
                          <w:jc w:val="center"/>
                          <w:rPr>
                            <w:rFonts w:ascii="Arial"/>
                            <w:sz w:val="15"/>
                          </w:rPr>
                        </w:pPr>
                        <w:r>
                          <w:rPr>
                            <w:rFonts w:ascii="Arial"/>
                            <w:color w:val="010101"/>
                            <w:w w:val="110"/>
                            <w:sz w:val="15"/>
                          </w:rPr>
                          <w:t>32</w:t>
                        </w:r>
                      </w:p>
                    </w:tc>
                  </w:tr>
                  <w:tr>
                    <w:trPr>
                      <w:trHeight w:val="192" w:hRule="exact"/>
                    </w:trPr>
                    <w:tc>
                      <w:tcPr>
                        <w:tcW w:w="1047" w:type="dxa"/>
                        <w:tcBorders>
                          <w:top w:val="nil"/>
                          <w:left w:val="nil"/>
                          <w:bottom w:val="nil"/>
                          <w:right w:val="single" w:sz="6" w:space="0" w:color="000000"/>
                        </w:tcBorders>
                      </w:tcPr>
                      <w:p>
                        <w:pPr>
                          <w:pStyle w:val="TableParagraph"/>
                          <w:spacing w:before="7"/>
                          <w:ind w:right="283"/>
                          <w:jc w:val="right"/>
                          <w:rPr>
                            <w:rFonts w:ascii="Times New Roman" w:hAnsi="Times New Roman"/>
                            <w:sz w:val="16"/>
                          </w:rPr>
                        </w:pPr>
                        <w:r>
                          <w:rPr>
                            <w:rFonts w:ascii="Times New Roman" w:hAnsi="Times New Roman"/>
                            <w:color w:val="010101"/>
                            <w:spacing w:val="-37"/>
                            <w:w w:val="126"/>
                            <w:sz w:val="16"/>
                          </w:rPr>
                          <w:t>1</w:t>
                        </w:r>
                        <w:r>
                          <w:rPr>
                            <w:rFonts w:ascii="Times New Roman" w:hAnsi="Times New Roman"/>
                            <w:color w:val="010101"/>
                            <w:w w:val="109"/>
                            <w:sz w:val="16"/>
                          </w:rPr>
                          <w:t>7.3688</w:t>
                        </w:r>
                        <w:r>
                          <w:rPr>
                            <w:rFonts w:ascii="Times New Roman" w:hAnsi="Times New Roman"/>
                            <w:color w:val="010101"/>
                            <w:spacing w:val="-11"/>
                            <w:w w:val="109"/>
                            <w:sz w:val="16"/>
                          </w:rPr>
                          <w:t>5</w:t>
                        </w:r>
                        <w:r>
                          <w:rPr>
                            <w:rFonts w:ascii="Times New Roman" w:hAnsi="Times New Roman"/>
                            <w:color w:val="8E8E8E"/>
                            <w:w w:val="62"/>
                            <w:sz w:val="16"/>
                          </w:rPr>
                          <w:t>·</w:t>
                        </w:r>
                      </w:p>
                    </w:tc>
                    <w:tc>
                      <w:tcPr>
                        <w:tcW w:w="1300" w:type="dxa"/>
                        <w:tcBorders>
                          <w:top w:val="nil"/>
                          <w:left w:val="single" w:sz="6" w:space="0" w:color="000000"/>
                          <w:bottom w:val="nil"/>
                          <w:right w:val="single" w:sz="6" w:space="0" w:color="000000"/>
                        </w:tcBorders>
                      </w:tcPr>
                      <w:p>
                        <w:pPr>
                          <w:pStyle w:val="TableParagraph"/>
                          <w:spacing w:line="174" w:lineRule="exact"/>
                          <w:ind w:left="267" w:right="145"/>
                          <w:jc w:val="center"/>
                          <w:rPr>
                            <w:rFonts w:ascii="Times New Roman"/>
                            <w:sz w:val="16"/>
                          </w:rPr>
                        </w:pPr>
                        <w:r>
                          <w:rPr>
                            <w:rFonts w:ascii="Times New Roman"/>
                            <w:color w:val="010101"/>
                            <w:spacing w:val="-44"/>
                            <w:w w:val="126"/>
                            <w:sz w:val="16"/>
                          </w:rPr>
                          <w:t>1</w:t>
                        </w:r>
                        <w:r>
                          <w:rPr>
                            <w:rFonts w:ascii="Times New Roman"/>
                            <w:color w:val="010101"/>
                            <w:spacing w:val="-9"/>
                            <w:w w:val="126"/>
                            <w:sz w:val="16"/>
                          </w:rPr>
                          <w:t>6</w:t>
                        </w:r>
                        <w:r>
                          <w:rPr>
                            <w:rFonts w:ascii="Times New Roman"/>
                            <w:color w:val="424242"/>
                            <w:spacing w:val="8"/>
                            <w:w w:val="23"/>
                            <w:sz w:val="16"/>
                          </w:rPr>
                          <w:t>-</w:t>
                        </w:r>
                        <w:r>
                          <w:rPr>
                            <w:rFonts w:ascii="Times New Roman"/>
                            <w:color w:val="010101"/>
                            <w:w w:val="107"/>
                            <w:sz w:val="16"/>
                          </w:rPr>
                          <w:t>.736</w:t>
                        </w:r>
                      </w:p>
                    </w:tc>
                    <w:tc>
                      <w:tcPr>
                        <w:tcW w:w="806" w:type="dxa"/>
                        <w:tcBorders>
                          <w:top w:val="nil"/>
                          <w:left w:val="single" w:sz="6" w:space="0" w:color="000000"/>
                          <w:bottom w:val="nil"/>
                          <w:right w:val="nil"/>
                        </w:tcBorders>
                      </w:tcPr>
                      <w:p>
                        <w:pPr>
                          <w:pStyle w:val="TableParagraph"/>
                          <w:spacing w:line="171" w:lineRule="exact"/>
                          <w:ind w:left="266" w:right="216"/>
                          <w:jc w:val="center"/>
                          <w:rPr>
                            <w:rFonts w:ascii="Arial"/>
                            <w:sz w:val="15"/>
                          </w:rPr>
                        </w:pPr>
                        <w:r>
                          <w:rPr>
                            <w:rFonts w:ascii="Arial"/>
                            <w:color w:val="010101"/>
                            <w:w w:val="105"/>
                            <w:sz w:val="15"/>
                          </w:rPr>
                          <w:t>33</w:t>
                        </w:r>
                      </w:p>
                    </w:tc>
                  </w:tr>
                  <w:tr>
                    <w:trPr>
                      <w:trHeight w:val="303" w:hRule="exact"/>
                    </w:trPr>
                    <w:tc>
                      <w:tcPr>
                        <w:tcW w:w="1047" w:type="dxa"/>
                        <w:tcBorders>
                          <w:top w:val="nil"/>
                          <w:left w:val="nil"/>
                          <w:bottom w:val="nil"/>
                          <w:right w:val="single" w:sz="6" w:space="0" w:color="000000"/>
                        </w:tcBorders>
                      </w:tcPr>
                      <w:p>
                        <w:pPr>
                          <w:pStyle w:val="TableParagraph"/>
                          <w:spacing w:before="13"/>
                          <w:ind w:right="306"/>
                          <w:jc w:val="right"/>
                          <w:rPr>
                            <w:rFonts w:ascii="Times New Roman"/>
                            <w:sz w:val="16"/>
                          </w:rPr>
                        </w:pPr>
                        <w:r>
                          <w:rPr>
                            <w:rFonts w:ascii="Times New Roman"/>
                            <w:color w:val="010101"/>
                            <w:w w:val="115"/>
                            <w:sz w:val="16"/>
                          </w:rPr>
                          <w:t>16.97680</w:t>
                        </w:r>
                      </w:p>
                    </w:tc>
                    <w:tc>
                      <w:tcPr>
                        <w:tcW w:w="1300" w:type="dxa"/>
                        <w:tcBorders>
                          <w:top w:val="nil"/>
                          <w:left w:val="single" w:sz="6" w:space="0" w:color="000000"/>
                          <w:bottom w:val="nil"/>
                          <w:right w:val="single" w:sz="6" w:space="0" w:color="000000"/>
                        </w:tcBorders>
                      </w:tcPr>
                      <w:p>
                        <w:pPr>
                          <w:pStyle w:val="TableParagraph"/>
                          <w:spacing w:line="189" w:lineRule="exact"/>
                          <w:ind w:left="267" w:right="153"/>
                          <w:jc w:val="center"/>
                          <w:rPr>
                            <w:rFonts w:ascii="Times New Roman"/>
                            <w:b/>
                            <w:sz w:val="17"/>
                          </w:rPr>
                        </w:pPr>
                        <w:r>
                          <w:rPr>
                            <w:rFonts w:ascii="Times New Roman"/>
                            <w:b/>
                            <w:color w:val="010101"/>
                            <w:w w:val="90"/>
                            <w:sz w:val="17"/>
                          </w:rPr>
                          <w:t>18. 2'28</w:t>
                        </w:r>
                      </w:p>
                    </w:tc>
                    <w:tc>
                      <w:tcPr>
                        <w:tcW w:w="806" w:type="dxa"/>
                        <w:tcBorders>
                          <w:top w:val="nil"/>
                          <w:left w:val="single" w:sz="6" w:space="0" w:color="000000"/>
                          <w:bottom w:val="nil"/>
                          <w:right w:val="nil"/>
                        </w:tcBorders>
                      </w:tcPr>
                      <w:p>
                        <w:pPr>
                          <w:pStyle w:val="TableParagraph"/>
                          <w:spacing w:line="187" w:lineRule="exact"/>
                          <w:ind w:left="252" w:right="216"/>
                          <w:jc w:val="center"/>
                          <w:rPr>
                            <w:rFonts w:ascii="Times New Roman"/>
                            <w:sz w:val="18"/>
                          </w:rPr>
                        </w:pPr>
                        <w:r>
                          <w:rPr>
                            <w:rFonts w:ascii="Times New Roman"/>
                            <w:color w:val="010101"/>
                            <w:w w:val="120"/>
                            <w:sz w:val="18"/>
                          </w:rPr>
                          <w:t>l4</w:t>
                        </w:r>
                      </w:p>
                    </w:tc>
                  </w:tr>
                  <w:tr>
                    <w:trPr>
                      <w:trHeight w:val="300" w:hRule="exact"/>
                    </w:trPr>
                    <w:tc>
                      <w:tcPr>
                        <w:tcW w:w="1047" w:type="dxa"/>
                        <w:tcBorders>
                          <w:top w:val="nil"/>
                          <w:left w:val="nil"/>
                          <w:bottom w:val="nil"/>
                          <w:right w:val="single" w:sz="6" w:space="0" w:color="000000"/>
                        </w:tcBorders>
                      </w:tcPr>
                      <w:p>
                        <w:pPr>
                          <w:pStyle w:val="TableParagraph"/>
                          <w:spacing w:before="98"/>
                          <w:ind w:right="288"/>
                          <w:jc w:val="right"/>
                          <w:rPr>
                            <w:rFonts w:ascii="Times New Roman" w:hAnsi="Times New Roman"/>
                            <w:sz w:val="17"/>
                          </w:rPr>
                        </w:pPr>
                        <w:r>
                          <w:rPr>
                            <w:rFonts w:ascii="Times New Roman" w:hAnsi="Times New Roman"/>
                            <w:color w:val="010101"/>
                            <w:w w:val="116"/>
                            <w:sz w:val="17"/>
                          </w:rPr>
                          <w:t>l</w:t>
                        </w:r>
                        <w:r>
                          <w:rPr>
                            <w:rFonts w:ascii="Times New Roman" w:hAnsi="Times New Roman"/>
                            <w:color w:val="010101"/>
                            <w:spacing w:val="-9"/>
                            <w:w w:val="116"/>
                            <w:sz w:val="17"/>
                          </w:rPr>
                          <w:t>6</w:t>
                        </w:r>
                        <w:r>
                          <w:rPr>
                            <w:rFonts w:ascii="Times New Roman" w:hAnsi="Times New Roman"/>
                            <w:color w:val="424242"/>
                            <w:spacing w:val="-9"/>
                            <w:w w:val="58"/>
                            <w:sz w:val="17"/>
                          </w:rPr>
                          <w:t>·</w:t>
                        </w:r>
                        <w:r>
                          <w:rPr>
                            <w:rFonts w:ascii="Times New Roman" w:hAnsi="Times New Roman"/>
                            <w:color w:val="010101"/>
                            <w:w w:val="92"/>
                            <w:sz w:val="17"/>
                          </w:rPr>
                          <w:t>.59cl</w:t>
                        </w:r>
                        <w:r>
                          <w:rPr>
                            <w:rFonts w:ascii="Times New Roman" w:hAnsi="Times New Roman"/>
                            <w:color w:val="010101"/>
                            <w:spacing w:val="-16"/>
                            <w:w w:val="92"/>
                            <w:sz w:val="17"/>
                          </w:rPr>
                          <w:t>8</w:t>
                        </w:r>
                        <w:r>
                          <w:rPr>
                            <w:rFonts w:ascii="Times New Roman" w:hAnsi="Times New Roman"/>
                            <w:color w:val="010101"/>
                            <w:w w:val="126"/>
                            <w:sz w:val="17"/>
                          </w:rPr>
                          <w:t>1</w:t>
                        </w:r>
                      </w:p>
                    </w:tc>
                    <w:tc>
                      <w:tcPr>
                        <w:tcW w:w="1300" w:type="dxa"/>
                        <w:tcBorders>
                          <w:top w:val="nil"/>
                          <w:left w:val="single" w:sz="6" w:space="0" w:color="000000"/>
                          <w:bottom w:val="nil"/>
                          <w:right w:val="single" w:sz="6" w:space="0" w:color="000000"/>
                        </w:tcBorders>
                      </w:tcPr>
                      <w:p>
                        <w:pPr>
                          <w:pStyle w:val="TableParagraph"/>
                          <w:spacing w:before="97"/>
                          <w:ind w:left="267" w:right="151"/>
                          <w:jc w:val="center"/>
                          <w:rPr>
                            <w:rFonts w:ascii="Times New Roman"/>
                            <w:sz w:val="16"/>
                          </w:rPr>
                        </w:pPr>
                        <w:r>
                          <w:rPr>
                            <w:rFonts w:ascii="Times New Roman"/>
                            <w:color w:val="010101"/>
                            <w:w w:val="115"/>
                            <w:sz w:val="16"/>
                          </w:rPr>
                          <w:t>19.852</w:t>
                        </w:r>
                      </w:p>
                    </w:tc>
                    <w:tc>
                      <w:tcPr>
                        <w:tcW w:w="806" w:type="dxa"/>
                        <w:tcBorders>
                          <w:top w:val="nil"/>
                          <w:left w:val="single" w:sz="6" w:space="0" w:color="000000"/>
                          <w:bottom w:val="nil"/>
                          <w:right w:val="nil"/>
                        </w:tcBorders>
                      </w:tcPr>
                      <w:p>
                        <w:pPr>
                          <w:pStyle w:val="TableParagraph"/>
                          <w:spacing w:before="87"/>
                          <w:ind w:left="264" w:right="216"/>
                          <w:jc w:val="center"/>
                          <w:rPr>
                            <w:rFonts w:ascii="Times New Roman"/>
                            <w:sz w:val="17"/>
                          </w:rPr>
                        </w:pPr>
                        <w:r>
                          <w:rPr>
                            <w:rFonts w:ascii="Times New Roman"/>
                            <w:color w:val="010101"/>
                            <w:w w:val="105"/>
                            <w:sz w:val="17"/>
                          </w:rPr>
                          <w:t>35</w:t>
                        </w:r>
                      </w:p>
                    </w:tc>
                  </w:tr>
                  <w:tr>
                    <w:trPr>
                      <w:trHeight w:val="396" w:hRule="exact"/>
                    </w:trPr>
                    <w:tc>
                      <w:tcPr>
                        <w:tcW w:w="1047" w:type="dxa"/>
                        <w:tcBorders>
                          <w:top w:val="nil"/>
                          <w:left w:val="nil"/>
                          <w:bottom w:val="nil"/>
                          <w:right w:val="single" w:sz="6" w:space="0" w:color="000000"/>
                        </w:tcBorders>
                      </w:tcPr>
                      <w:p>
                        <w:pPr>
                          <w:pStyle w:val="TableParagraph"/>
                          <w:spacing w:line="203" w:lineRule="exact"/>
                          <w:ind w:left="92"/>
                          <w:rPr>
                            <w:rFonts w:ascii="Times New Roman"/>
                            <w:sz w:val="19"/>
                          </w:rPr>
                        </w:pPr>
                        <w:r>
                          <w:rPr>
                            <w:rFonts w:ascii="Times New Roman"/>
                            <w:color w:val="010101"/>
                            <w:sz w:val="19"/>
                          </w:rPr>
                          <w:t>1.6.20371</w:t>
                        </w:r>
                      </w:p>
                      <w:p>
                        <w:pPr>
                          <w:pStyle w:val="TableParagraph"/>
                          <w:spacing w:before="6"/>
                          <w:ind w:left="92"/>
                          <w:rPr>
                            <w:rFonts w:ascii="Times New Roman"/>
                            <w:sz w:val="16"/>
                          </w:rPr>
                        </w:pPr>
                        <w:r>
                          <w:rPr>
                            <w:rFonts w:ascii="Times New Roman"/>
                            <w:color w:val="010101"/>
                            <w:w w:val="115"/>
                            <w:sz w:val="16"/>
                          </w:rPr>
                          <w:t>15.81326</w:t>
                        </w:r>
                      </w:p>
                    </w:tc>
                    <w:tc>
                      <w:tcPr>
                        <w:tcW w:w="1300" w:type="dxa"/>
                        <w:tcBorders>
                          <w:top w:val="nil"/>
                          <w:left w:val="single" w:sz="6" w:space="0" w:color="000000"/>
                          <w:bottom w:val="nil"/>
                          <w:right w:val="single" w:sz="6" w:space="0" w:color="000000"/>
                        </w:tcBorders>
                      </w:tcPr>
                      <w:p>
                        <w:pPr>
                          <w:pStyle w:val="TableParagraph"/>
                          <w:spacing w:line="198" w:lineRule="exact"/>
                          <w:ind w:left="454"/>
                          <w:rPr>
                            <w:sz w:val="18"/>
                          </w:rPr>
                        </w:pPr>
                        <w:r>
                          <w:rPr>
                            <w:color w:val="010101"/>
                            <w:sz w:val="18"/>
                          </w:rPr>
                          <w:t>21.§22</w:t>
                        </w:r>
                      </w:p>
                      <w:p>
                        <w:pPr>
                          <w:pStyle w:val="TableParagraph"/>
                          <w:spacing w:before="1"/>
                          <w:ind w:left="454"/>
                          <w:rPr>
                            <w:rFonts w:ascii="Times New Roman"/>
                            <w:sz w:val="16"/>
                          </w:rPr>
                        </w:pPr>
                        <w:r>
                          <w:rPr>
                            <w:rFonts w:ascii="Times New Roman"/>
                            <w:color w:val="010101"/>
                            <w:w w:val="105"/>
                            <w:sz w:val="16"/>
                          </w:rPr>
                          <w:t>23.549</w:t>
                        </w:r>
                      </w:p>
                    </w:tc>
                    <w:tc>
                      <w:tcPr>
                        <w:tcW w:w="806" w:type="dxa"/>
                        <w:tcBorders>
                          <w:top w:val="nil"/>
                          <w:left w:val="single" w:sz="6" w:space="0" w:color="000000"/>
                          <w:bottom w:val="nil"/>
                          <w:right w:val="nil"/>
                        </w:tcBorders>
                      </w:tcPr>
                      <w:p>
                        <w:pPr>
                          <w:pStyle w:val="TableParagraph"/>
                          <w:spacing w:line="149" w:lineRule="exact"/>
                          <w:ind w:left="251" w:right="216"/>
                          <w:jc w:val="center"/>
                          <w:rPr>
                            <w:rFonts w:ascii="Arial"/>
                            <w:sz w:val="16"/>
                          </w:rPr>
                        </w:pPr>
                        <w:r>
                          <w:rPr>
                            <w:rFonts w:ascii="Arial"/>
                            <w:color w:val="010101"/>
                            <w:sz w:val="16"/>
                          </w:rPr>
                          <w:t>36</w:t>
                        </w:r>
                      </w:p>
                      <w:p>
                        <w:pPr>
                          <w:pStyle w:val="TableParagraph"/>
                          <w:spacing w:line="247" w:lineRule="exact"/>
                          <w:ind w:left="254" w:right="216"/>
                          <w:jc w:val="center"/>
                          <w:rPr>
                            <w:rFonts w:ascii="Arial"/>
                            <w:i/>
                            <w:sz w:val="24"/>
                          </w:rPr>
                        </w:pPr>
                        <w:r>
                          <w:rPr>
                            <w:rFonts w:ascii="Arial"/>
                            <w:i/>
                            <w:color w:val="010101"/>
                            <w:sz w:val="24"/>
                          </w:rPr>
                          <w:t>:n</w:t>
                        </w:r>
                      </w:p>
                    </w:tc>
                  </w:tr>
                  <w:tr>
                    <w:trPr>
                      <w:trHeight w:val="211" w:hRule="exact"/>
                    </w:trPr>
                    <w:tc>
                      <w:tcPr>
                        <w:tcW w:w="1047" w:type="dxa"/>
                        <w:tcBorders>
                          <w:top w:val="nil"/>
                          <w:left w:val="nil"/>
                          <w:bottom w:val="nil"/>
                          <w:right w:val="single" w:sz="6" w:space="0" w:color="000000"/>
                        </w:tcBorders>
                      </w:tcPr>
                      <w:p>
                        <w:pPr>
                          <w:pStyle w:val="TableParagraph"/>
                          <w:spacing w:before="18"/>
                          <w:ind w:right="301"/>
                          <w:jc w:val="right"/>
                          <w:rPr>
                            <w:rFonts w:ascii="Times New Roman"/>
                            <w:sz w:val="16"/>
                          </w:rPr>
                        </w:pPr>
                        <w:r>
                          <w:rPr>
                            <w:rFonts w:ascii="Times New Roman"/>
                            <w:color w:val="010101"/>
                            <w:spacing w:val="-33"/>
                            <w:w w:val="126"/>
                            <w:sz w:val="16"/>
                          </w:rPr>
                          <w:t>1</w:t>
                        </w:r>
                        <w:r>
                          <w:rPr>
                            <w:rFonts w:ascii="Times New Roman"/>
                            <w:color w:val="010101"/>
                            <w:w w:val="286"/>
                            <w:sz w:val="16"/>
                          </w:rPr>
                          <w:t>5.4</w:t>
                        </w:r>
                      </w:p>
                    </w:tc>
                    <w:tc>
                      <w:tcPr>
                        <w:tcW w:w="1300" w:type="dxa"/>
                        <w:tcBorders>
                          <w:top w:val="nil"/>
                          <w:left w:val="single" w:sz="6" w:space="0" w:color="000000"/>
                          <w:bottom w:val="nil"/>
                          <w:right w:val="single" w:sz="6" w:space="0" w:color="000000"/>
                        </w:tcBorders>
                      </w:tcPr>
                      <w:p>
                        <w:pPr>
                          <w:pStyle w:val="TableParagraph"/>
                          <w:spacing w:before="13"/>
                          <w:ind w:left="267" w:right="169"/>
                          <w:jc w:val="center"/>
                          <w:rPr>
                            <w:rFonts w:ascii="Arial"/>
                            <w:sz w:val="15"/>
                          </w:rPr>
                        </w:pPr>
                        <w:r>
                          <w:rPr>
                            <w:rFonts w:ascii="Arial"/>
                            <w:color w:val="010101"/>
                            <w:sz w:val="15"/>
                          </w:rPr>
                          <w:t>25.648</w:t>
                        </w:r>
                      </w:p>
                    </w:tc>
                    <w:tc>
                      <w:tcPr>
                        <w:tcW w:w="806" w:type="dxa"/>
                        <w:tcBorders>
                          <w:top w:val="nil"/>
                          <w:left w:val="single" w:sz="6" w:space="0" w:color="000000"/>
                          <w:bottom w:val="nil"/>
                          <w:right w:val="nil"/>
                        </w:tcBorders>
                      </w:tcPr>
                      <w:p>
                        <w:pPr>
                          <w:pStyle w:val="TableParagraph"/>
                          <w:spacing w:line="189" w:lineRule="exact"/>
                          <w:ind w:left="251" w:right="216"/>
                          <w:jc w:val="center"/>
                          <w:rPr>
                            <w:rFonts w:ascii="Times New Roman"/>
                            <w:i/>
                            <w:sz w:val="18"/>
                          </w:rPr>
                        </w:pPr>
                        <w:r>
                          <w:rPr>
                            <w:rFonts w:ascii="Times New Roman"/>
                            <w:i/>
                            <w:color w:val="010101"/>
                            <w:sz w:val="18"/>
                          </w:rPr>
                          <w:t>38</w:t>
                        </w:r>
                      </w:p>
                    </w:tc>
                  </w:tr>
                  <w:tr>
                    <w:trPr>
                      <w:trHeight w:val="295" w:hRule="exact"/>
                    </w:trPr>
                    <w:tc>
                      <w:tcPr>
                        <w:tcW w:w="1047" w:type="dxa"/>
                        <w:tcBorders>
                          <w:top w:val="nil"/>
                          <w:left w:val="nil"/>
                          <w:bottom w:val="nil"/>
                          <w:right w:val="single" w:sz="6" w:space="0" w:color="000000"/>
                        </w:tcBorders>
                      </w:tcPr>
                      <w:p>
                        <w:pPr>
                          <w:pStyle w:val="TableParagraph"/>
                          <w:spacing w:line="191" w:lineRule="exact"/>
                          <w:ind w:right="321"/>
                          <w:jc w:val="right"/>
                          <w:rPr>
                            <w:rFonts w:ascii="Times New Roman"/>
                            <w:sz w:val="17"/>
                          </w:rPr>
                        </w:pPr>
                        <w:r>
                          <w:rPr>
                            <w:rFonts w:ascii="Times New Roman"/>
                            <w:color w:val="010101"/>
                            <w:sz w:val="17"/>
                          </w:rPr>
                          <w:t>15.02593</w:t>
                        </w:r>
                      </w:p>
                    </w:tc>
                    <w:tc>
                      <w:tcPr>
                        <w:tcW w:w="1300" w:type="dxa"/>
                        <w:tcBorders>
                          <w:top w:val="nil"/>
                          <w:left w:val="single" w:sz="6" w:space="0" w:color="000000"/>
                          <w:bottom w:val="nil"/>
                          <w:right w:val="single" w:sz="6" w:space="0" w:color="000000"/>
                        </w:tcBorders>
                      </w:tcPr>
                      <w:p>
                        <w:pPr>
                          <w:pStyle w:val="TableParagraph"/>
                          <w:spacing w:line="175" w:lineRule="exact"/>
                          <w:ind w:left="267" w:right="173"/>
                          <w:jc w:val="center"/>
                          <w:rPr>
                            <w:rFonts w:ascii="Times New Roman"/>
                            <w:sz w:val="16"/>
                          </w:rPr>
                        </w:pPr>
                        <w:r>
                          <w:rPr>
                            <w:rFonts w:ascii="Times New Roman"/>
                            <w:color w:val="010101"/>
                            <w:w w:val="105"/>
                            <w:sz w:val="16"/>
                          </w:rPr>
                          <w:t>27.934</w:t>
                        </w:r>
                      </w:p>
                    </w:tc>
                    <w:tc>
                      <w:tcPr>
                        <w:tcW w:w="806" w:type="dxa"/>
                        <w:tcBorders>
                          <w:top w:val="nil"/>
                          <w:left w:val="single" w:sz="6" w:space="0" w:color="000000"/>
                          <w:bottom w:val="nil"/>
                          <w:right w:val="nil"/>
                        </w:tcBorders>
                      </w:tcPr>
                      <w:p>
                        <w:pPr>
                          <w:pStyle w:val="TableParagraph"/>
                          <w:spacing w:line="168" w:lineRule="exact"/>
                          <w:ind w:left="255" w:right="216"/>
                          <w:jc w:val="center"/>
                          <w:rPr>
                            <w:rFonts w:ascii="Arial"/>
                            <w:sz w:val="15"/>
                          </w:rPr>
                        </w:pPr>
                        <w:r>
                          <w:rPr>
                            <w:rFonts w:ascii="Arial"/>
                            <w:color w:val="010101"/>
                            <w:w w:val="105"/>
                            <w:sz w:val="15"/>
                          </w:rPr>
                          <w:t>39</w:t>
                        </w:r>
                      </w:p>
                    </w:tc>
                  </w:tr>
                  <w:tr>
                    <w:trPr>
                      <w:trHeight w:val="302" w:hRule="exact"/>
                    </w:trPr>
                    <w:tc>
                      <w:tcPr>
                        <w:tcW w:w="1047" w:type="dxa"/>
                        <w:tcBorders>
                          <w:top w:val="nil"/>
                          <w:left w:val="nil"/>
                          <w:bottom w:val="nil"/>
                          <w:right w:val="single" w:sz="6" w:space="0" w:color="000000"/>
                        </w:tcBorders>
                      </w:tcPr>
                      <w:p>
                        <w:pPr>
                          <w:pStyle w:val="TableParagraph"/>
                          <w:spacing w:before="104"/>
                          <w:ind w:right="321"/>
                          <w:jc w:val="right"/>
                          <w:rPr>
                            <w:rFonts w:ascii="Arial"/>
                            <w:sz w:val="16"/>
                          </w:rPr>
                        </w:pPr>
                        <w:r>
                          <w:rPr>
                            <w:rFonts w:ascii="Arial"/>
                            <w:color w:val="010101"/>
                            <w:w w:val="95"/>
                            <w:sz w:val="16"/>
                          </w:rPr>
                          <w:t>14.63()0!}</w:t>
                        </w:r>
                      </w:p>
                    </w:tc>
                    <w:tc>
                      <w:tcPr>
                        <w:tcW w:w="1300" w:type="dxa"/>
                        <w:tcBorders>
                          <w:top w:val="nil"/>
                          <w:left w:val="single" w:sz="6" w:space="0" w:color="000000"/>
                          <w:bottom w:val="nil"/>
                          <w:right w:val="single" w:sz="6" w:space="0" w:color="000000"/>
                        </w:tcBorders>
                      </w:tcPr>
                      <w:p>
                        <w:pPr>
                          <w:pStyle w:val="TableParagraph"/>
                          <w:spacing w:before="97"/>
                          <w:ind w:left="267" w:right="137"/>
                          <w:jc w:val="center"/>
                          <w:rPr>
                            <w:sz w:val="18"/>
                          </w:rPr>
                        </w:pPr>
                        <w:r>
                          <w:rPr>
                            <w:color w:val="010101"/>
                            <w:sz w:val="18"/>
                          </w:rPr>
                          <w:t>30.424</w:t>
                        </w:r>
                      </w:p>
                    </w:tc>
                    <w:tc>
                      <w:tcPr>
                        <w:tcW w:w="806" w:type="dxa"/>
                        <w:tcBorders>
                          <w:top w:val="nil"/>
                          <w:left w:val="single" w:sz="6" w:space="0" w:color="000000"/>
                          <w:bottom w:val="nil"/>
                          <w:right w:val="nil"/>
                        </w:tcBorders>
                      </w:tcPr>
                      <w:p>
                        <w:pPr>
                          <w:pStyle w:val="TableParagraph"/>
                          <w:spacing w:before="85"/>
                          <w:ind w:left="250" w:right="216"/>
                          <w:jc w:val="center"/>
                          <w:rPr>
                            <w:rFonts w:ascii="Times New Roman"/>
                            <w:sz w:val="17"/>
                          </w:rPr>
                        </w:pPr>
                        <w:r>
                          <w:rPr>
                            <w:rFonts w:ascii="Times New Roman"/>
                            <w:color w:val="010101"/>
                            <w:sz w:val="17"/>
                          </w:rPr>
                          <w:t>40</w:t>
                        </w:r>
                      </w:p>
                    </w:tc>
                  </w:tr>
                  <w:tr>
                    <w:trPr>
                      <w:trHeight w:val="203" w:hRule="exact"/>
                    </w:trPr>
                    <w:tc>
                      <w:tcPr>
                        <w:tcW w:w="1047" w:type="dxa"/>
                        <w:tcBorders>
                          <w:top w:val="nil"/>
                          <w:left w:val="nil"/>
                          <w:bottom w:val="nil"/>
                          <w:right w:val="single" w:sz="6" w:space="0" w:color="000000"/>
                        </w:tcBorders>
                      </w:tcPr>
                      <w:p>
                        <w:pPr>
                          <w:pStyle w:val="TableParagraph"/>
                          <w:spacing w:before="11"/>
                          <w:ind w:right="305"/>
                          <w:jc w:val="right"/>
                          <w:rPr>
                            <w:rFonts w:ascii="Times New Roman"/>
                            <w:sz w:val="16"/>
                          </w:rPr>
                        </w:pPr>
                        <w:r>
                          <w:rPr>
                            <w:rFonts w:ascii="Times New Roman"/>
                            <w:color w:val="010101"/>
                            <w:w w:val="105"/>
                            <w:sz w:val="16"/>
                          </w:rPr>
                          <w:t>14.23310</w:t>
                        </w:r>
                      </w:p>
                    </w:tc>
                    <w:tc>
                      <w:tcPr>
                        <w:tcW w:w="1300" w:type="dxa"/>
                        <w:tcBorders>
                          <w:top w:val="nil"/>
                          <w:left w:val="single" w:sz="6" w:space="0" w:color="000000"/>
                          <w:bottom w:val="nil"/>
                          <w:right w:val="single" w:sz="6" w:space="0" w:color="000000"/>
                        </w:tcBorders>
                      </w:tcPr>
                      <w:p>
                        <w:pPr>
                          <w:pStyle w:val="TableParagraph"/>
                          <w:spacing w:line="184" w:lineRule="exact"/>
                          <w:ind w:left="267" w:right="173"/>
                          <w:jc w:val="center"/>
                          <w:rPr>
                            <w:rFonts w:ascii="Arial"/>
                            <w:sz w:val="16"/>
                          </w:rPr>
                        </w:pPr>
                        <w:r>
                          <w:rPr>
                            <w:rFonts w:ascii="Arial"/>
                            <w:color w:val="010101"/>
                            <w:sz w:val="16"/>
                          </w:rPr>
                          <w:t>33.136</w:t>
                        </w:r>
                      </w:p>
                    </w:tc>
                    <w:tc>
                      <w:tcPr>
                        <w:tcW w:w="806" w:type="dxa"/>
                        <w:tcBorders>
                          <w:top w:val="nil"/>
                          <w:left w:val="single" w:sz="6" w:space="0" w:color="000000"/>
                          <w:bottom w:val="nil"/>
                          <w:right w:val="nil"/>
                        </w:tcBorders>
                      </w:tcPr>
                      <w:p>
                        <w:pPr>
                          <w:pStyle w:val="TableParagraph"/>
                          <w:spacing w:line="193" w:lineRule="exact"/>
                          <w:ind w:left="258" w:right="216"/>
                          <w:jc w:val="center"/>
                          <w:rPr>
                            <w:sz w:val="18"/>
                          </w:rPr>
                        </w:pPr>
                        <w:r>
                          <w:rPr>
                            <w:color w:val="010101"/>
                            <w:sz w:val="18"/>
                          </w:rPr>
                          <w:t>41</w:t>
                        </w:r>
                      </w:p>
                    </w:tc>
                  </w:tr>
                  <w:tr>
                    <w:trPr>
                      <w:trHeight w:val="208" w:hRule="exact"/>
                    </w:trPr>
                    <w:tc>
                      <w:tcPr>
                        <w:tcW w:w="1047" w:type="dxa"/>
                        <w:tcBorders>
                          <w:top w:val="nil"/>
                          <w:left w:val="nil"/>
                          <w:bottom w:val="nil"/>
                          <w:right w:val="single" w:sz="6" w:space="0" w:color="000000"/>
                        </w:tcBorders>
                      </w:tcPr>
                      <w:p>
                        <w:pPr>
                          <w:pStyle w:val="TableParagraph"/>
                          <w:spacing w:before="8"/>
                          <w:ind w:right="301"/>
                          <w:jc w:val="right"/>
                          <w:rPr>
                            <w:sz w:val="18"/>
                          </w:rPr>
                        </w:pPr>
                        <w:r>
                          <w:rPr>
                            <w:color w:val="010101"/>
                            <w:w w:val="75"/>
                            <w:sz w:val="18"/>
                          </w:rPr>
                          <w:t>13.83565</w:t>
                        </w:r>
                      </w:p>
                    </w:tc>
                    <w:tc>
                      <w:tcPr>
                        <w:tcW w:w="1300" w:type="dxa"/>
                        <w:tcBorders>
                          <w:top w:val="nil"/>
                          <w:left w:val="single" w:sz="6" w:space="0" w:color="000000"/>
                          <w:bottom w:val="nil"/>
                          <w:right w:val="single" w:sz="6" w:space="0" w:color="000000"/>
                        </w:tcBorders>
                      </w:tcPr>
                      <w:p>
                        <w:pPr>
                          <w:pStyle w:val="TableParagraph"/>
                          <w:spacing w:line="185" w:lineRule="exact"/>
                          <w:ind w:left="267" w:right="174"/>
                          <w:jc w:val="center"/>
                          <w:rPr>
                            <w:rFonts w:ascii="Times New Roman"/>
                            <w:sz w:val="17"/>
                          </w:rPr>
                        </w:pPr>
                        <w:r>
                          <w:rPr>
                            <w:rFonts w:ascii="Times New Roman"/>
                            <w:color w:val="010101"/>
                            <w:w w:val="110"/>
                            <w:sz w:val="17"/>
                          </w:rPr>
                          <w:t>36.089</w:t>
                        </w:r>
                      </w:p>
                    </w:tc>
                    <w:tc>
                      <w:tcPr>
                        <w:tcW w:w="806" w:type="dxa"/>
                        <w:tcBorders>
                          <w:top w:val="nil"/>
                          <w:left w:val="single" w:sz="6" w:space="0" w:color="000000"/>
                          <w:bottom w:val="nil"/>
                          <w:right w:val="nil"/>
                        </w:tcBorders>
                      </w:tcPr>
                      <w:p>
                        <w:pPr>
                          <w:pStyle w:val="TableParagraph"/>
                          <w:spacing w:line="188" w:lineRule="exact"/>
                          <w:ind w:left="270" w:right="216"/>
                          <w:jc w:val="center"/>
                          <w:rPr>
                            <w:sz w:val="17"/>
                          </w:rPr>
                        </w:pPr>
                        <w:r>
                          <w:rPr>
                            <w:color w:val="010101"/>
                            <w:w w:val="125"/>
                            <w:sz w:val="17"/>
                          </w:rPr>
                          <w:t>42</w:t>
                        </w:r>
                      </w:p>
                    </w:tc>
                  </w:tr>
                  <w:tr>
                    <w:trPr>
                      <w:trHeight w:val="190" w:hRule="exact"/>
                    </w:trPr>
                    <w:tc>
                      <w:tcPr>
                        <w:tcW w:w="1047" w:type="dxa"/>
                        <w:tcBorders>
                          <w:top w:val="nil"/>
                          <w:left w:val="nil"/>
                          <w:bottom w:val="nil"/>
                          <w:right w:val="single" w:sz="6" w:space="0" w:color="000000"/>
                        </w:tcBorders>
                      </w:tcPr>
                      <w:p>
                        <w:pPr>
                          <w:pStyle w:val="TableParagraph"/>
                          <w:spacing w:before="2"/>
                          <w:ind w:right="315"/>
                          <w:jc w:val="right"/>
                          <w:rPr>
                            <w:rFonts w:ascii="Times New Roman"/>
                            <w:sz w:val="16"/>
                          </w:rPr>
                        </w:pPr>
                        <w:r>
                          <w:rPr>
                            <w:rFonts w:ascii="Times New Roman"/>
                            <w:color w:val="010101"/>
                            <w:w w:val="105"/>
                            <w:sz w:val="16"/>
                          </w:rPr>
                          <w:t>13.43796</w:t>
                        </w:r>
                      </w:p>
                    </w:tc>
                    <w:tc>
                      <w:tcPr>
                        <w:tcW w:w="1300" w:type="dxa"/>
                        <w:tcBorders>
                          <w:top w:val="nil"/>
                          <w:left w:val="single" w:sz="6" w:space="0" w:color="000000"/>
                          <w:bottom w:val="nil"/>
                          <w:right w:val="single" w:sz="6" w:space="0" w:color="000000"/>
                        </w:tcBorders>
                      </w:tcPr>
                      <w:p>
                        <w:pPr>
                          <w:pStyle w:val="TableParagraph"/>
                          <w:spacing w:line="176" w:lineRule="exact"/>
                          <w:ind w:left="267" w:right="176"/>
                          <w:jc w:val="center"/>
                          <w:rPr>
                            <w:rFonts w:ascii="Times New Roman"/>
                            <w:sz w:val="16"/>
                          </w:rPr>
                        </w:pPr>
                        <w:r>
                          <w:rPr>
                            <w:rFonts w:ascii="Times New Roman"/>
                            <w:color w:val="010101"/>
                            <w:w w:val="110"/>
                            <w:sz w:val="16"/>
                          </w:rPr>
                          <w:t>39.306</w:t>
                        </w:r>
                      </w:p>
                    </w:tc>
                    <w:tc>
                      <w:tcPr>
                        <w:tcW w:w="806" w:type="dxa"/>
                        <w:tcBorders>
                          <w:top w:val="nil"/>
                          <w:left w:val="single" w:sz="6" w:space="0" w:color="000000"/>
                          <w:bottom w:val="nil"/>
                          <w:right w:val="nil"/>
                        </w:tcBorders>
                      </w:tcPr>
                      <w:p>
                        <w:pPr>
                          <w:pStyle w:val="TableParagraph"/>
                          <w:spacing w:line="188" w:lineRule="exact"/>
                          <w:ind w:left="266" w:right="216"/>
                          <w:jc w:val="center"/>
                          <w:rPr>
                            <w:sz w:val="18"/>
                          </w:rPr>
                        </w:pPr>
                        <w:r>
                          <w:rPr>
                            <w:color w:val="010101"/>
                            <w:w w:val="110"/>
                            <w:sz w:val="18"/>
                          </w:rPr>
                          <w:t>43</w:t>
                        </w:r>
                      </w:p>
                    </w:tc>
                  </w:tr>
                  <w:tr>
                    <w:trPr>
                      <w:trHeight w:val="303" w:hRule="exact"/>
                    </w:trPr>
                    <w:tc>
                      <w:tcPr>
                        <w:tcW w:w="1047" w:type="dxa"/>
                        <w:tcBorders>
                          <w:top w:val="nil"/>
                          <w:left w:val="nil"/>
                          <w:bottom w:val="nil"/>
                          <w:right w:val="single" w:sz="6" w:space="0" w:color="000000"/>
                        </w:tcBorders>
                      </w:tcPr>
                      <w:p>
                        <w:pPr>
                          <w:pStyle w:val="TableParagraph"/>
                          <w:spacing w:before="3"/>
                          <w:ind w:right="330"/>
                          <w:jc w:val="right"/>
                          <w:rPr>
                            <w:rFonts w:ascii="Times New Roman"/>
                            <w:sz w:val="17"/>
                          </w:rPr>
                        </w:pPr>
                        <w:r>
                          <w:rPr>
                            <w:rFonts w:ascii="Times New Roman"/>
                            <w:color w:val="010101"/>
                            <w:w w:val="105"/>
                            <w:sz w:val="17"/>
                          </w:rPr>
                          <w:t>13.04049</w:t>
                        </w:r>
                      </w:p>
                    </w:tc>
                    <w:tc>
                      <w:tcPr>
                        <w:tcW w:w="1300" w:type="dxa"/>
                        <w:tcBorders>
                          <w:top w:val="nil"/>
                          <w:left w:val="single" w:sz="6" w:space="0" w:color="000000"/>
                          <w:bottom w:val="nil"/>
                          <w:right w:val="single" w:sz="6" w:space="0" w:color="000000"/>
                        </w:tcBorders>
                      </w:tcPr>
                      <w:p>
                        <w:pPr>
                          <w:pStyle w:val="TableParagraph"/>
                          <w:spacing w:before="2"/>
                          <w:ind w:left="267" w:right="180"/>
                          <w:jc w:val="center"/>
                          <w:rPr>
                            <w:rFonts w:ascii="Times New Roman"/>
                            <w:sz w:val="16"/>
                          </w:rPr>
                        </w:pPr>
                        <w:r>
                          <w:rPr>
                            <w:rFonts w:ascii="Times New Roman"/>
                            <w:color w:val="010101"/>
                            <w:w w:val="105"/>
                            <w:sz w:val="16"/>
                          </w:rPr>
                          <w:t>42.809</w:t>
                        </w:r>
                      </w:p>
                    </w:tc>
                    <w:tc>
                      <w:tcPr>
                        <w:tcW w:w="806" w:type="dxa"/>
                        <w:tcBorders>
                          <w:top w:val="nil"/>
                          <w:left w:val="single" w:sz="6" w:space="0" w:color="000000"/>
                          <w:bottom w:val="nil"/>
                          <w:right w:val="nil"/>
                        </w:tcBorders>
                      </w:tcPr>
                      <w:p>
                        <w:pPr>
                          <w:pStyle w:val="TableParagraph"/>
                          <w:spacing w:line="181" w:lineRule="exact"/>
                          <w:ind w:left="239" w:right="216"/>
                          <w:jc w:val="center"/>
                          <w:rPr>
                            <w:rFonts w:ascii="Times New Roman"/>
                            <w:sz w:val="17"/>
                          </w:rPr>
                        </w:pPr>
                        <w:r>
                          <w:rPr>
                            <w:rFonts w:ascii="Times New Roman"/>
                            <w:color w:val="010101"/>
                            <w:sz w:val="17"/>
                          </w:rPr>
                          <w:t>44</w:t>
                        </w:r>
                      </w:p>
                    </w:tc>
                  </w:tr>
                  <w:tr>
                    <w:trPr>
                      <w:trHeight w:val="307" w:hRule="exact"/>
                    </w:trPr>
                    <w:tc>
                      <w:tcPr>
                        <w:tcW w:w="1047" w:type="dxa"/>
                        <w:tcBorders>
                          <w:top w:val="nil"/>
                          <w:left w:val="nil"/>
                          <w:bottom w:val="nil"/>
                          <w:right w:val="single" w:sz="6" w:space="0" w:color="000000"/>
                        </w:tcBorders>
                      </w:tcPr>
                      <w:p>
                        <w:pPr>
                          <w:pStyle w:val="TableParagraph"/>
                          <w:spacing w:before="107"/>
                          <w:ind w:right="306"/>
                          <w:jc w:val="right"/>
                          <w:rPr>
                            <w:sz w:val="18"/>
                          </w:rPr>
                        </w:pPr>
                        <w:r>
                          <w:rPr>
                            <w:color w:val="010101"/>
                            <w:w w:val="80"/>
                            <w:sz w:val="18"/>
                          </w:rPr>
                          <w:t>12.64403</w:t>
                        </w:r>
                      </w:p>
                    </w:tc>
                    <w:tc>
                      <w:tcPr>
                        <w:tcW w:w="1300" w:type="dxa"/>
                        <w:tcBorders>
                          <w:top w:val="nil"/>
                          <w:left w:val="single" w:sz="6" w:space="0" w:color="000000"/>
                          <w:bottom w:val="nil"/>
                          <w:right w:val="single" w:sz="6" w:space="0" w:color="000000"/>
                        </w:tcBorders>
                      </w:tcPr>
                      <w:p>
                        <w:pPr>
                          <w:pStyle w:val="TableParagraph"/>
                          <w:spacing w:before="88"/>
                          <w:ind w:left="267" w:right="174"/>
                          <w:jc w:val="center"/>
                          <w:rPr>
                            <w:rFonts w:ascii="Times New Roman"/>
                            <w:sz w:val="17"/>
                          </w:rPr>
                        </w:pPr>
                        <w:r>
                          <w:rPr>
                            <w:rFonts w:ascii="Times New Roman"/>
                            <w:color w:val="010101"/>
                            <w:sz w:val="17"/>
                          </w:rPr>
                          <w:t>46.625</w:t>
                        </w:r>
                      </w:p>
                    </w:tc>
                    <w:tc>
                      <w:tcPr>
                        <w:tcW w:w="806" w:type="dxa"/>
                        <w:tcBorders>
                          <w:top w:val="nil"/>
                          <w:left w:val="single" w:sz="6" w:space="0" w:color="000000"/>
                          <w:bottom w:val="nil"/>
                          <w:right w:val="nil"/>
                        </w:tcBorders>
                      </w:tcPr>
                      <w:p>
                        <w:pPr>
                          <w:pStyle w:val="TableParagraph"/>
                          <w:spacing w:before="89"/>
                          <w:ind w:left="275" w:right="216"/>
                          <w:jc w:val="center"/>
                          <w:rPr>
                            <w:sz w:val="18"/>
                          </w:rPr>
                        </w:pPr>
                        <w:r>
                          <w:rPr>
                            <w:color w:val="010101"/>
                            <w:w w:val="110"/>
                            <w:sz w:val="18"/>
                          </w:rPr>
                          <w:t>45</w:t>
                        </w:r>
                      </w:p>
                    </w:tc>
                  </w:tr>
                  <w:tr>
                    <w:trPr>
                      <w:trHeight w:val="400" w:hRule="exact"/>
                    </w:trPr>
                    <w:tc>
                      <w:tcPr>
                        <w:tcW w:w="1047" w:type="dxa"/>
                        <w:tcBorders>
                          <w:top w:val="nil"/>
                          <w:left w:val="nil"/>
                          <w:bottom w:val="nil"/>
                          <w:right w:val="single" w:sz="6" w:space="0" w:color="000000"/>
                        </w:tcBorders>
                      </w:tcPr>
                      <w:p>
                        <w:pPr>
                          <w:pStyle w:val="TableParagraph"/>
                          <w:spacing w:line="202" w:lineRule="exact" w:before="2"/>
                          <w:ind w:left="92"/>
                          <w:rPr>
                            <w:sz w:val="18"/>
                          </w:rPr>
                        </w:pPr>
                        <w:r>
                          <w:rPr>
                            <w:color w:val="010101"/>
                            <w:sz w:val="18"/>
                          </w:rPr>
                          <w:t>12.24878</w:t>
                        </w:r>
                      </w:p>
                      <w:p>
                        <w:pPr>
                          <w:pStyle w:val="TableParagraph"/>
                          <w:spacing w:line="202" w:lineRule="exact"/>
                          <w:ind w:left="96"/>
                          <w:rPr>
                            <w:sz w:val="18"/>
                          </w:rPr>
                        </w:pPr>
                        <w:r>
                          <w:rPr>
                            <w:color w:val="010101"/>
                            <w:w w:val="95"/>
                            <w:sz w:val="18"/>
                          </w:rPr>
                          <w:t>11.85624</w:t>
                        </w:r>
                      </w:p>
                    </w:tc>
                    <w:tc>
                      <w:tcPr>
                        <w:tcW w:w="1300" w:type="dxa"/>
                        <w:tcBorders>
                          <w:top w:val="nil"/>
                          <w:left w:val="single" w:sz="6" w:space="0" w:color="000000"/>
                          <w:bottom w:val="nil"/>
                          <w:right w:val="single" w:sz="6" w:space="0" w:color="000000"/>
                        </w:tcBorders>
                      </w:tcPr>
                      <w:p>
                        <w:pPr>
                          <w:pStyle w:val="TableParagraph"/>
                          <w:spacing w:line="176" w:lineRule="exact"/>
                          <w:ind w:left="454"/>
                          <w:rPr>
                            <w:rFonts w:ascii="Times New Roman"/>
                            <w:sz w:val="16"/>
                          </w:rPr>
                        </w:pPr>
                        <w:r>
                          <w:rPr>
                            <w:rFonts w:ascii="Times New Roman"/>
                            <w:color w:val="010101"/>
                            <w:w w:val="105"/>
                            <w:sz w:val="16"/>
                          </w:rPr>
                          <w:t>50.781</w:t>
                        </w:r>
                      </w:p>
                      <w:p>
                        <w:pPr>
                          <w:pStyle w:val="TableParagraph"/>
                          <w:spacing w:before="16"/>
                          <w:ind w:left="451"/>
                          <w:rPr>
                            <w:sz w:val="18"/>
                          </w:rPr>
                        </w:pPr>
                        <w:r>
                          <w:rPr>
                            <w:color w:val="010101"/>
                            <w:sz w:val="18"/>
                          </w:rPr>
                          <w:t>55</w:t>
                        </w:r>
                        <w:r>
                          <w:rPr>
                            <w:color w:val="1F1F1F"/>
                            <w:sz w:val="18"/>
                          </w:rPr>
                          <w:t>.</w:t>
                        </w:r>
                        <w:r>
                          <w:rPr>
                            <w:color w:val="010101"/>
                            <w:sz w:val="18"/>
                          </w:rPr>
                          <w:t>307</w:t>
                        </w:r>
                      </w:p>
                    </w:tc>
                    <w:tc>
                      <w:tcPr>
                        <w:tcW w:w="806" w:type="dxa"/>
                        <w:tcBorders>
                          <w:top w:val="nil"/>
                          <w:left w:val="single" w:sz="6" w:space="0" w:color="000000"/>
                          <w:bottom w:val="nil"/>
                          <w:right w:val="nil"/>
                        </w:tcBorders>
                      </w:tcPr>
                      <w:p>
                        <w:pPr>
                          <w:pStyle w:val="TableParagraph"/>
                          <w:spacing w:line="165" w:lineRule="exact"/>
                          <w:ind w:left="224" w:right="216"/>
                          <w:jc w:val="center"/>
                          <w:rPr>
                            <w:rFonts w:ascii="Times New Roman"/>
                            <w:sz w:val="16"/>
                          </w:rPr>
                        </w:pPr>
                        <w:r>
                          <w:rPr>
                            <w:rFonts w:ascii="Times New Roman"/>
                            <w:color w:val="010101"/>
                            <w:sz w:val="16"/>
                          </w:rPr>
                          <w:t>46</w:t>
                        </w:r>
                      </w:p>
                      <w:p>
                        <w:pPr>
                          <w:pStyle w:val="TableParagraph"/>
                          <w:spacing w:before="8"/>
                          <w:ind w:left="271" w:right="216"/>
                          <w:jc w:val="center"/>
                          <w:rPr>
                            <w:sz w:val="19"/>
                          </w:rPr>
                        </w:pPr>
                        <w:r>
                          <w:rPr>
                            <w:color w:val="010101"/>
                            <w:w w:val="105"/>
                            <w:sz w:val="19"/>
                          </w:rPr>
                          <w:t>47</w:t>
                        </w:r>
                      </w:p>
                    </w:tc>
                  </w:tr>
                  <w:tr>
                    <w:trPr>
                      <w:trHeight w:val="191" w:hRule="exact"/>
                    </w:trPr>
                    <w:tc>
                      <w:tcPr>
                        <w:tcW w:w="1047" w:type="dxa"/>
                        <w:tcBorders>
                          <w:top w:val="nil"/>
                          <w:left w:val="nil"/>
                          <w:bottom w:val="nil"/>
                          <w:right w:val="single" w:sz="6" w:space="0" w:color="000000"/>
                        </w:tcBorders>
                      </w:tcPr>
                      <w:p>
                        <w:pPr>
                          <w:pStyle w:val="TableParagraph"/>
                          <w:spacing w:line="190" w:lineRule="exact"/>
                          <w:ind w:right="316"/>
                          <w:jc w:val="right"/>
                          <w:rPr>
                            <w:rFonts w:ascii="Times New Roman"/>
                            <w:sz w:val="17"/>
                          </w:rPr>
                        </w:pPr>
                        <w:r>
                          <w:rPr>
                            <w:rFonts w:ascii="Times New Roman"/>
                            <w:color w:val="010101"/>
                            <w:w w:val="95"/>
                            <w:sz w:val="17"/>
                          </w:rPr>
                          <w:t>11.46409</w:t>
                        </w:r>
                      </w:p>
                    </w:tc>
                    <w:tc>
                      <w:tcPr>
                        <w:tcW w:w="1300" w:type="dxa"/>
                        <w:tcBorders>
                          <w:top w:val="nil"/>
                          <w:left w:val="single" w:sz="6" w:space="0" w:color="000000"/>
                          <w:bottom w:val="nil"/>
                          <w:right w:val="single" w:sz="6" w:space="0" w:color="000000"/>
                        </w:tcBorders>
                      </w:tcPr>
                      <w:p>
                        <w:pPr>
                          <w:pStyle w:val="TableParagraph"/>
                          <w:spacing w:line="177" w:lineRule="exact"/>
                          <w:ind w:left="267" w:right="180"/>
                          <w:jc w:val="center"/>
                          <w:rPr>
                            <w:rFonts w:ascii="Times New Roman"/>
                            <w:sz w:val="16"/>
                          </w:rPr>
                        </w:pPr>
                        <w:r>
                          <w:rPr>
                            <w:rFonts w:ascii="Times New Roman"/>
                            <w:color w:val="010101"/>
                            <w:w w:val="105"/>
                            <w:sz w:val="16"/>
                          </w:rPr>
                          <w:t>60.236</w:t>
                        </w:r>
                      </w:p>
                    </w:tc>
                    <w:tc>
                      <w:tcPr>
                        <w:tcW w:w="806" w:type="dxa"/>
                        <w:tcBorders>
                          <w:top w:val="nil"/>
                          <w:left w:val="single" w:sz="6" w:space="0" w:color="000000"/>
                          <w:bottom w:val="nil"/>
                          <w:right w:val="nil"/>
                        </w:tcBorders>
                      </w:tcPr>
                      <w:p>
                        <w:pPr>
                          <w:pStyle w:val="TableParagraph"/>
                          <w:spacing w:line="186" w:lineRule="exact"/>
                          <w:ind w:left="271" w:right="216"/>
                          <w:jc w:val="center"/>
                          <w:rPr>
                            <w:sz w:val="18"/>
                          </w:rPr>
                        </w:pPr>
                        <w:r>
                          <w:rPr>
                            <w:color w:val="010101"/>
                            <w:sz w:val="18"/>
                          </w:rPr>
                          <w:t>48</w:t>
                        </w:r>
                      </w:p>
                    </w:tc>
                  </w:tr>
                  <w:tr>
                    <w:trPr>
                      <w:trHeight w:val="314" w:hRule="exact"/>
                    </w:trPr>
                    <w:tc>
                      <w:tcPr>
                        <w:tcW w:w="1047" w:type="dxa"/>
                        <w:tcBorders>
                          <w:top w:val="nil"/>
                          <w:left w:val="nil"/>
                          <w:bottom w:val="nil"/>
                          <w:right w:val="single" w:sz="6" w:space="0" w:color="000000"/>
                        </w:tcBorders>
                      </w:tcPr>
                      <w:p>
                        <w:pPr>
                          <w:pStyle w:val="TableParagraph"/>
                          <w:spacing w:before="16"/>
                          <w:ind w:right="288"/>
                          <w:jc w:val="right"/>
                          <w:rPr>
                            <w:sz w:val="18"/>
                          </w:rPr>
                        </w:pPr>
                        <w:r>
                          <w:rPr>
                            <w:color w:val="010101"/>
                            <w:w w:val="80"/>
                            <w:sz w:val="18"/>
                          </w:rPr>
                          <w:t>11.07548</w:t>
                        </w:r>
                      </w:p>
                    </w:tc>
                    <w:tc>
                      <w:tcPr>
                        <w:tcW w:w="1300" w:type="dxa"/>
                        <w:tcBorders>
                          <w:top w:val="nil"/>
                          <w:left w:val="single" w:sz="6" w:space="0" w:color="000000"/>
                          <w:bottom w:val="nil"/>
                          <w:right w:val="single" w:sz="6" w:space="0" w:color="000000"/>
                        </w:tcBorders>
                      </w:tcPr>
                      <w:p>
                        <w:pPr>
                          <w:pStyle w:val="TableParagraph"/>
                          <w:spacing w:line="189" w:lineRule="exact"/>
                          <w:ind w:left="267" w:right="174"/>
                          <w:jc w:val="center"/>
                          <w:rPr>
                            <w:rFonts w:ascii="Times New Roman"/>
                            <w:sz w:val="17"/>
                          </w:rPr>
                        </w:pPr>
                        <w:r>
                          <w:rPr>
                            <w:rFonts w:ascii="Times New Roman"/>
                            <w:color w:val="010101"/>
                            <w:sz w:val="17"/>
                          </w:rPr>
                          <w:t>65.605</w:t>
                        </w:r>
                      </w:p>
                    </w:tc>
                    <w:tc>
                      <w:tcPr>
                        <w:tcW w:w="806" w:type="dxa"/>
                        <w:tcBorders>
                          <w:top w:val="nil"/>
                          <w:left w:val="single" w:sz="6" w:space="0" w:color="000000"/>
                          <w:bottom w:val="nil"/>
                          <w:right w:val="nil"/>
                        </w:tcBorders>
                      </w:tcPr>
                      <w:p>
                        <w:pPr>
                          <w:pStyle w:val="TableParagraph"/>
                          <w:spacing w:line="178" w:lineRule="exact"/>
                          <w:ind w:left="251" w:right="216"/>
                          <w:jc w:val="center"/>
                          <w:rPr>
                            <w:rFonts w:ascii="Times New Roman"/>
                            <w:sz w:val="17"/>
                          </w:rPr>
                        </w:pPr>
                        <w:r>
                          <w:rPr>
                            <w:rFonts w:ascii="Times New Roman"/>
                            <w:color w:val="010101"/>
                            <w:sz w:val="17"/>
                          </w:rPr>
                          <w:t>40:</w:t>
                        </w:r>
                      </w:p>
                    </w:tc>
                  </w:tr>
                  <w:tr>
                    <w:trPr>
                      <w:trHeight w:val="287" w:hRule="exact"/>
                    </w:trPr>
                    <w:tc>
                      <w:tcPr>
                        <w:tcW w:w="1047" w:type="dxa"/>
                        <w:tcBorders>
                          <w:top w:val="nil"/>
                          <w:left w:val="nil"/>
                          <w:bottom w:val="nil"/>
                          <w:right w:val="single" w:sz="6" w:space="0" w:color="000000"/>
                        </w:tcBorders>
                      </w:tcPr>
                      <w:p>
                        <w:pPr>
                          <w:pStyle w:val="TableParagraph"/>
                          <w:spacing w:before="104"/>
                          <w:ind w:right="324"/>
                          <w:jc w:val="right"/>
                          <w:rPr>
                            <w:rFonts w:ascii="Times New Roman"/>
                            <w:sz w:val="16"/>
                          </w:rPr>
                        </w:pPr>
                        <w:r>
                          <w:rPr>
                            <w:rFonts w:ascii="Times New Roman"/>
                            <w:color w:val="010101"/>
                            <w:w w:val="105"/>
                            <w:sz w:val="16"/>
                          </w:rPr>
                          <w:t>10</w:t>
                        </w:r>
                        <w:r>
                          <w:rPr>
                            <w:rFonts w:ascii="Times New Roman"/>
                            <w:color w:val="1F1F1F"/>
                            <w:w w:val="105"/>
                            <w:sz w:val="16"/>
                          </w:rPr>
                          <w:t>.</w:t>
                        </w:r>
                        <w:r>
                          <w:rPr>
                            <w:rFonts w:ascii="Times New Roman"/>
                            <w:color w:val="010101"/>
                            <w:w w:val="105"/>
                            <w:sz w:val="16"/>
                          </w:rPr>
                          <w:t>69038</w:t>
                        </w:r>
                      </w:p>
                    </w:tc>
                    <w:tc>
                      <w:tcPr>
                        <w:tcW w:w="1300" w:type="dxa"/>
                        <w:tcBorders>
                          <w:top w:val="nil"/>
                          <w:left w:val="single" w:sz="6" w:space="0" w:color="000000"/>
                          <w:bottom w:val="nil"/>
                          <w:right w:val="single" w:sz="6" w:space="0" w:color="000000"/>
                        </w:tcBorders>
                      </w:tcPr>
                      <w:p>
                        <w:pPr>
                          <w:pStyle w:val="TableParagraph"/>
                          <w:spacing w:before="95"/>
                          <w:ind w:left="267" w:right="183"/>
                          <w:jc w:val="center"/>
                          <w:rPr>
                            <w:rFonts w:ascii="Arial"/>
                            <w:sz w:val="15"/>
                          </w:rPr>
                        </w:pPr>
                        <w:r>
                          <w:rPr>
                            <w:rFonts w:ascii="Arial"/>
                            <w:color w:val="010101"/>
                            <w:sz w:val="15"/>
                          </w:rPr>
                          <w:t>71.453</w:t>
                        </w:r>
                      </w:p>
                    </w:tc>
                    <w:tc>
                      <w:tcPr>
                        <w:tcW w:w="806" w:type="dxa"/>
                        <w:tcBorders>
                          <w:top w:val="nil"/>
                          <w:left w:val="single" w:sz="6" w:space="0" w:color="000000"/>
                          <w:bottom w:val="nil"/>
                          <w:right w:val="nil"/>
                        </w:tcBorders>
                      </w:tcPr>
                      <w:p>
                        <w:pPr>
                          <w:pStyle w:val="TableParagraph"/>
                          <w:spacing w:before="79"/>
                          <w:ind w:left="241" w:right="216"/>
                          <w:jc w:val="center"/>
                          <w:rPr>
                            <w:rFonts w:ascii="Times New Roman"/>
                            <w:sz w:val="16"/>
                          </w:rPr>
                        </w:pPr>
                        <w:r>
                          <w:rPr>
                            <w:rFonts w:ascii="Times New Roman"/>
                            <w:color w:val="010101"/>
                            <w:w w:val="105"/>
                            <w:sz w:val="16"/>
                          </w:rPr>
                          <w:t>50</w:t>
                        </w:r>
                      </w:p>
                    </w:tc>
                  </w:tr>
                  <w:tr>
                    <w:trPr>
                      <w:trHeight w:val="211" w:hRule="exact"/>
                    </w:trPr>
                    <w:tc>
                      <w:tcPr>
                        <w:tcW w:w="1047" w:type="dxa"/>
                        <w:tcBorders>
                          <w:top w:val="nil"/>
                          <w:left w:val="nil"/>
                          <w:bottom w:val="nil"/>
                          <w:right w:val="single" w:sz="6" w:space="0" w:color="000000"/>
                        </w:tcBorders>
                      </w:tcPr>
                      <w:p>
                        <w:pPr>
                          <w:pStyle w:val="TableParagraph"/>
                          <w:spacing w:before="14"/>
                          <w:ind w:right="283"/>
                          <w:jc w:val="right"/>
                          <w:rPr>
                            <w:sz w:val="18"/>
                          </w:rPr>
                        </w:pPr>
                        <w:r>
                          <w:rPr>
                            <w:color w:val="010101"/>
                            <w:w w:val="80"/>
                            <w:sz w:val="18"/>
                          </w:rPr>
                          <w:t>10.30898</w:t>
                        </w:r>
                      </w:p>
                    </w:tc>
                    <w:tc>
                      <w:tcPr>
                        <w:tcW w:w="1300" w:type="dxa"/>
                        <w:tcBorders>
                          <w:top w:val="nil"/>
                          <w:left w:val="single" w:sz="6" w:space="0" w:color="000000"/>
                          <w:bottom w:val="nil"/>
                          <w:right w:val="single" w:sz="6" w:space="0" w:color="000000"/>
                        </w:tcBorders>
                      </w:tcPr>
                      <w:p>
                        <w:pPr>
                          <w:pStyle w:val="TableParagraph"/>
                          <w:spacing w:line="204" w:lineRule="exact"/>
                          <w:ind w:left="267" w:right="138"/>
                          <w:jc w:val="center"/>
                          <w:rPr>
                            <w:sz w:val="18"/>
                          </w:rPr>
                        </w:pPr>
                        <w:r>
                          <w:rPr>
                            <w:color w:val="010101"/>
                            <w:sz w:val="18"/>
                          </w:rPr>
                          <w:t>77.822</w:t>
                        </w:r>
                      </w:p>
                    </w:tc>
                    <w:tc>
                      <w:tcPr>
                        <w:tcW w:w="806" w:type="dxa"/>
                        <w:tcBorders>
                          <w:top w:val="nil"/>
                          <w:left w:val="single" w:sz="6" w:space="0" w:color="000000"/>
                          <w:bottom w:val="nil"/>
                          <w:right w:val="nil"/>
                        </w:tcBorders>
                      </w:tcPr>
                      <w:p>
                        <w:pPr>
                          <w:pStyle w:val="TableParagraph"/>
                          <w:spacing w:line="176" w:lineRule="exact"/>
                          <w:ind w:left="272" w:right="216"/>
                          <w:jc w:val="center"/>
                          <w:rPr>
                            <w:rFonts w:ascii="Times New Roman"/>
                            <w:sz w:val="17"/>
                          </w:rPr>
                        </w:pPr>
                        <w:r>
                          <w:rPr>
                            <w:rFonts w:ascii="Times New Roman"/>
                            <w:color w:val="010101"/>
                            <w:w w:val="130"/>
                            <w:sz w:val="17"/>
                          </w:rPr>
                          <w:t>51</w:t>
                        </w:r>
                      </w:p>
                    </w:tc>
                  </w:tr>
                  <w:tr>
                    <w:trPr>
                      <w:trHeight w:val="391" w:hRule="exact"/>
                    </w:trPr>
                    <w:tc>
                      <w:tcPr>
                        <w:tcW w:w="1047" w:type="dxa"/>
                        <w:tcBorders>
                          <w:top w:val="nil"/>
                          <w:left w:val="nil"/>
                          <w:bottom w:val="nil"/>
                          <w:right w:val="single" w:sz="6" w:space="0" w:color="000000"/>
                        </w:tcBorders>
                      </w:tcPr>
                      <w:p>
                        <w:pPr>
                          <w:pStyle w:val="TableParagraph"/>
                          <w:spacing w:line="203" w:lineRule="exact" w:before="3"/>
                          <w:ind w:left="160"/>
                          <w:rPr>
                            <w:sz w:val="18"/>
                          </w:rPr>
                        </w:pPr>
                        <w:r>
                          <w:rPr>
                            <w:color w:val="010101"/>
                            <w:sz w:val="18"/>
                          </w:rPr>
                          <w:t>9.93186</w:t>
                        </w:r>
                      </w:p>
                      <w:p>
                        <w:pPr>
                          <w:pStyle w:val="TableParagraph"/>
                          <w:spacing w:line="183" w:lineRule="exact"/>
                          <w:ind w:left="160"/>
                          <w:rPr>
                            <w:rFonts w:ascii="Times New Roman"/>
                            <w:sz w:val="16"/>
                          </w:rPr>
                        </w:pPr>
                        <w:r>
                          <w:rPr>
                            <w:rFonts w:ascii="Times New Roman"/>
                            <w:color w:val="010101"/>
                            <w:w w:val="105"/>
                            <w:sz w:val="16"/>
                          </w:rPr>
                          <w:t>9.55942</w:t>
                        </w:r>
                      </w:p>
                    </w:tc>
                    <w:tc>
                      <w:tcPr>
                        <w:tcW w:w="1300" w:type="dxa"/>
                        <w:tcBorders>
                          <w:top w:val="nil"/>
                          <w:left w:val="single" w:sz="6" w:space="0" w:color="000000"/>
                          <w:bottom w:val="nil"/>
                          <w:right w:val="single" w:sz="6" w:space="0" w:color="000000"/>
                        </w:tcBorders>
                      </w:tcPr>
                      <w:p>
                        <w:pPr>
                          <w:pStyle w:val="TableParagraph"/>
                          <w:spacing w:line="176" w:lineRule="exact"/>
                          <w:ind w:left="447"/>
                          <w:rPr>
                            <w:rFonts w:ascii="Times New Roman"/>
                            <w:sz w:val="17"/>
                          </w:rPr>
                        </w:pPr>
                        <w:r>
                          <w:rPr>
                            <w:rFonts w:ascii="Times New Roman"/>
                            <w:color w:val="010101"/>
                            <w:sz w:val="17"/>
                          </w:rPr>
                          <w:t>84.758</w:t>
                        </w:r>
                      </w:p>
                      <w:p>
                        <w:pPr>
                          <w:pStyle w:val="TableParagraph"/>
                          <w:spacing w:before="23"/>
                          <w:ind w:left="447"/>
                          <w:rPr>
                            <w:rFonts w:ascii="Arial"/>
                            <w:sz w:val="15"/>
                          </w:rPr>
                        </w:pPr>
                        <w:r>
                          <w:rPr>
                            <w:rFonts w:ascii="Arial"/>
                            <w:color w:val="010101"/>
                            <w:w w:val="105"/>
                            <w:sz w:val="15"/>
                          </w:rPr>
                          <w:t>92.313</w:t>
                        </w:r>
                      </w:p>
                    </w:tc>
                    <w:tc>
                      <w:tcPr>
                        <w:tcW w:w="806" w:type="dxa"/>
                        <w:tcBorders>
                          <w:top w:val="nil"/>
                          <w:left w:val="single" w:sz="6" w:space="0" w:color="000000"/>
                          <w:bottom w:val="nil"/>
                          <w:right w:val="nil"/>
                        </w:tcBorders>
                      </w:tcPr>
                      <w:p>
                        <w:pPr>
                          <w:pStyle w:val="TableParagraph"/>
                          <w:spacing w:line="180" w:lineRule="exact"/>
                          <w:ind w:left="275" w:right="216"/>
                          <w:jc w:val="center"/>
                          <w:rPr>
                            <w:sz w:val="18"/>
                          </w:rPr>
                        </w:pPr>
                        <w:r>
                          <w:rPr>
                            <w:color w:val="010101"/>
                            <w:w w:val="115"/>
                            <w:sz w:val="18"/>
                          </w:rPr>
                          <w:t>52</w:t>
                        </w:r>
                      </w:p>
                      <w:p>
                        <w:pPr>
                          <w:pStyle w:val="TableParagraph"/>
                          <w:spacing w:line="190" w:lineRule="exact"/>
                          <w:ind w:left="248" w:right="216"/>
                          <w:jc w:val="center"/>
                          <w:rPr>
                            <w:rFonts w:ascii="Times New Roman"/>
                            <w:sz w:val="17"/>
                          </w:rPr>
                        </w:pPr>
                        <w:r>
                          <w:rPr>
                            <w:rFonts w:ascii="Times New Roman"/>
                            <w:color w:val="010101"/>
                            <w:sz w:val="17"/>
                          </w:rPr>
                          <w:t>53</w:t>
                        </w:r>
                      </w:p>
                    </w:tc>
                  </w:tr>
                  <w:tr>
                    <w:trPr>
                      <w:trHeight w:val="298" w:hRule="exact"/>
                    </w:trPr>
                    <w:tc>
                      <w:tcPr>
                        <w:tcW w:w="1047" w:type="dxa"/>
                        <w:tcBorders>
                          <w:top w:val="nil"/>
                          <w:left w:val="nil"/>
                          <w:bottom w:val="nil"/>
                          <w:right w:val="single" w:sz="6" w:space="0" w:color="000000"/>
                        </w:tcBorders>
                      </w:tcPr>
                      <w:p>
                        <w:pPr>
                          <w:pStyle w:val="TableParagraph"/>
                          <w:spacing w:before="11"/>
                          <w:ind w:right="317"/>
                          <w:jc w:val="right"/>
                          <w:rPr>
                            <w:rFonts w:ascii="Times New Roman"/>
                            <w:sz w:val="16"/>
                          </w:rPr>
                        </w:pPr>
                        <w:r>
                          <w:rPr>
                            <w:rFonts w:ascii="Times New Roman"/>
                            <w:color w:val="010101"/>
                            <w:w w:val="105"/>
                            <w:sz w:val="16"/>
                          </w:rPr>
                          <w:t>9.19240</w:t>
                        </w:r>
                      </w:p>
                    </w:tc>
                    <w:tc>
                      <w:tcPr>
                        <w:tcW w:w="1300" w:type="dxa"/>
                        <w:tcBorders>
                          <w:top w:val="nil"/>
                          <w:left w:val="single" w:sz="6" w:space="0" w:color="000000"/>
                          <w:bottom w:val="nil"/>
                          <w:right w:val="single" w:sz="6" w:space="0" w:color="000000"/>
                        </w:tcBorders>
                      </w:tcPr>
                      <w:p>
                        <w:pPr>
                          <w:pStyle w:val="TableParagraph"/>
                          <w:spacing w:line="204" w:lineRule="exact"/>
                          <w:ind w:left="246" w:right="201"/>
                          <w:jc w:val="center"/>
                          <w:rPr>
                            <w:sz w:val="18"/>
                          </w:rPr>
                        </w:pPr>
                        <w:r>
                          <w:rPr>
                            <w:color w:val="010101"/>
                            <w:sz w:val="18"/>
                          </w:rPr>
                          <w:t>100.541</w:t>
                        </w:r>
                      </w:p>
                    </w:tc>
                    <w:tc>
                      <w:tcPr>
                        <w:tcW w:w="806" w:type="dxa"/>
                        <w:tcBorders>
                          <w:top w:val="nil"/>
                          <w:left w:val="single" w:sz="6" w:space="0" w:color="000000"/>
                          <w:bottom w:val="nil"/>
                          <w:right w:val="nil"/>
                        </w:tcBorders>
                      </w:tcPr>
                      <w:p>
                        <w:pPr>
                          <w:pStyle w:val="TableParagraph"/>
                          <w:spacing w:line="179" w:lineRule="exact"/>
                          <w:ind w:left="236" w:right="216"/>
                          <w:jc w:val="center"/>
                          <w:rPr>
                            <w:rFonts w:ascii="Times New Roman"/>
                            <w:sz w:val="17"/>
                          </w:rPr>
                        </w:pPr>
                        <w:r>
                          <w:rPr>
                            <w:rFonts w:ascii="Times New Roman"/>
                            <w:color w:val="010101"/>
                            <w:sz w:val="17"/>
                          </w:rPr>
                          <w:t>54</w:t>
                        </w:r>
                      </w:p>
                    </w:tc>
                  </w:tr>
                  <w:tr>
                    <w:trPr>
                      <w:trHeight w:val="310" w:hRule="exact"/>
                    </w:trPr>
                    <w:tc>
                      <w:tcPr>
                        <w:tcW w:w="1047" w:type="dxa"/>
                        <w:tcBorders>
                          <w:top w:val="nil"/>
                          <w:left w:val="nil"/>
                          <w:bottom w:val="nil"/>
                          <w:right w:val="single" w:sz="6" w:space="0" w:color="000000"/>
                        </w:tcBorders>
                      </w:tcPr>
                      <w:p>
                        <w:pPr>
                          <w:pStyle w:val="TableParagraph"/>
                          <w:spacing w:before="118"/>
                          <w:ind w:right="302"/>
                          <w:jc w:val="right"/>
                          <w:rPr>
                            <w:rFonts w:ascii="Times New Roman"/>
                            <w:sz w:val="16"/>
                          </w:rPr>
                        </w:pPr>
                        <w:r>
                          <w:rPr>
                            <w:rFonts w:ascii="Times New Roman"/>
                            <w:color w:val="010101"/>
                            <w:w w:val="110"/>
                            <w:sz w:val="16"/>
                          </w:rPr>
                          <w:t>8.83102</w:t>
                        </w:r>
                      </w:p>
                    </w:tc>
                    <w:tc>
                      <w:tcPr>
                        <w:tcW w:w="1300" w:type="dxa"/>
                        <w:tcBorders>
                          <w:top w:val="nil"/>
                          <w:left w:val="single" w:sz="6" w:space="0" w:color="000000"/>
                          <w:bottom w:val="nil"/>
                          <w:right w:val="single" w:sz="6" w:space="0" w:color="000000"/>
                        </w:tcBorders>
                      </w:tcPr>
                      <w:p>
                        <w:pPr>
                          <w:pStyle w:val="TableParagraph"/>
                          <w:spacing w:before="94"/>
                          <w:ind w:left="224" w:right="201"/>
                          <w:jc w:val="center"/>
                          <w:rPr>
                            <w:rFonts w:ascii="Times New Roman" w:hAnsi="Times New Roman"/>
                            <w:sz w:val="17"/>
                          </w:rPr>
                        </w:pPr>
                        <w:r>
                          <w:rPr>
                            <w:rFonts w:ascii="Times New Roman" w:hAnsi="Times New Roman"/>
                            <w:color w:val="010101"/>
                            <w:sz w:val="17"/>
                          </w:rPr>
                          <w:t>109-.á02</w:t>
                        </w:r>
                      </w:p>
                    </w:tc>
                    <w:tc>
                      <w:tcPr>
                        <w:tcW w:w="806" w:type="dxa"/>
                        <w:tcBorders>
                          <w:top w:val="nil"/>
                          <w:left w:val="single" w:sz="6" w:space="0" w:color="000000"/>
                          <w:bottom w:val="nil"/>
                          <w:right w:val="nil"/>
                        </w:tcBorders>
                      </w:tcPr>
                      <w:p>
                        <w:pPr>
                          <w:pStyle w:val="TableParagraph"/>
                          <w:spacing w:before="77"/>
                          <w:ind w:left="17"/>
                          <w:jc w:val="center"/>
                          <w:rPr>
                            <w:rFonts w:ascii="Times New Roman"/>
                            <w:sz w:val="18"/>
                          </w:rPr>
                        </w:pPr>
                        <w:r>
                          <w:rPr>
                            <w:rFonts w:ascii="Times New Roman"/>
                            <w:color w:val="010101"/>
                            <w:w w:val="99"/>
                            <w:sz w:val="18"/>
                          </w:rPr>
                          <w:t>M</w:t>
                        </w:r>
                      </w:p>
                    </w:tc>
                  </w:tr>
                  <w:tr>
                    <w:trPr>
                      <w:trHeight w:val="193" w:hRule="exact"/>
                    </w:trPr>
                    <w:tc>
                      <w:tcPr>
                        <w:tcW w:w="1047" w:type="dxa"/>
                        <w:tcBorders>
                          <w:top w:val="nil"/>
                          <w:left w:val="nil"/>
                          <w:bottom w:val="nil"/>
                          <w:right w:val="single" w:sz="6" w:space="0" w:color="000000"/>
                        </w:tcBorders>
                      </w:tcPr>
                      <w:p>
                        <w:pPr>
                          <w:pStyle w:val="TableParagraph"/>
                          <w:spacing w:before="8"/>
                          <w:ind w:right="308"/>
                          <w:jc w:val="right"/>
                          <w:rPr>
                            <w:rFonts w:ascii="Times New Roman"/>
                            <w:sz w:val="16"/>
                          </w:rPr>
                        </w:pPr>
                        <w:r>
                          <w:rPr>
                            <w:rFonts w:ascii="Times New Roman"/>
                            <w:color w:val="010101"/>
                            <w:w w:val="110"/>
                            <w:sz w:val="16"/>
                          </w:rPr>
                          <w:t>8.47580</w:t>
                        </w:r>
                      </w:p>
                    </w:tc>
                    <w:tc>
                      <w:tcPr>
                        <w:tcW w:w="1300" w:type="dxa"/>
                        <w:tcBorders>
                          <w:top w:val="nil"/>
                          <w:left w:val="single" w:sz="6" w:space="0" w:color="000000"/>
                          <w:bottom w:val="nil"/>
                          <w:right w:val="single" w:sz="6" w:space="0" w:color="000000"/>
                        </w:tcBorders>
                      </w:tcPr>
                      <w:p>
                        <w:pPr>
                          <w:pStyle w:val="TableParagraph"/>
                          <w:spacing w:line="198" w:lineRule="exact"/>
                          <w:ind w:left="257" w:right="201"/>
                          <w:jc w:val="center"/>
                          <w:rPr>
                            <w:sz w:val="18"/>
                          </w:rPr>
                        </w:pPr>
                        <w:r>
                          <w:rPr>
                            <w:color w:val="010101"/>
                            <w:sz w:val="18"/>
                          </w:rPr>
                          <w:t>119.262</w:t>
                        </w:r>
                      </w:p>
                    </w:tc>
                    <w:tc>
                      <w:tcPr>
                        <w:tcW w:w="806" w:type="dxa"/>
                        <w:tcBorders>
                          <w:top w:val="nil"/>
                          <w:left w:val="single" w:sz="6" w:space="0" w:color="000000"/>
                          <w:bottom w:val="nil"/>
                          <w:right w:val="nil"/>
                        </w:tcBorders>
                      </w:tcPr>
                      <w:p>
                        <w:pPr>
                          <w:pStyle w:val="TableParagraph"/>
                          <w:spacing w:line="168" w:lineRule="exact"/>
                          <w:ind w:left="248" w:right="216"/>
                          <w:jc w:val="center"/>
                          <w:rPr>
                            <w:rFonts w:ascii="Arial"/>
                            <w:sz w:val="15"/>
                          </w:rPr>
                        </w:pPr>
                        <w:r>
                          <w:rPr>
                            <w:rFonts w:ascii="Arial"/>
                            <w:color w:val="010101"/>
                            <w:w w:val="105"/>
                            <w:sz w:val="15"/>
                          </w:rPr>
                          <w:t>56</w:t>
                        </w:r>
                      </w:p>
                    </w:tc>
                  </w:tr>
                  <w:tr>
                    <w:trPr>
                      <w:trHeight w:val="206" w:hRule="exact"/>
                    </w:trPr>
                    <w:tc>
                      <w:tcPr>
                        <w:tcW w:w="1047" w:type="dxa"/>
                        <w:tcBorders>
                          <w:top w:val="nil"/>
                          <w:left w:val="nil"/>
                          <w:bottom w:val="nil"/>
                          <w:right w:val="single" w:sz="6" w:space="0" w:color="000000"/>
                        </w:tcBorders>
                      </w:tcPr>
                      <w:p>
                        <w:pPr>
                          <w:pStyle w:val="TableParagraph"/>
                          <w:spacing w:before="16"/>
                          <w:ind w:right="321"/>
                          <w:jc w:val="right"/>
                          <w:rPr>
                            <w:rFonts w:ascii="Times New Roman"/>
                            <w:sz w:val="16"/>
                          </w:rPr>
                        </w:pPr>
                        <w:r>
                          <w:rPr>
                            <w:rFonts w:ascii="Times New Roman"/>
                            <w:color w:val="010101"/>
                            <w:w w:val="110"/>
                            <w:sz w:val="16"/>
                          </w:rPr>
                          <w:t>8.12727</w:t>
                        </w:r>
                      </w:p>
                    </w:tc>
                    <w:tc>
                      <w:tcPr>
                        <w:tcW w:w="1300" w:type="dxa"/>
                        <w:tcBorders>
                          <w:top w:val="nil"/>
                          <w:left w:val="single" w:sz="6" w:space="0" w:color="000000"/>
                          <w:bottom w:val="nil"/>
                          <w:right w:val="single" w:sz="6" w:space="0" w:color="000000"/>
                        </w:tcBorders>
                      </w:tcPr>
                      <w:p>
                        <w:pPr>
                          <w:pStyle w:val="TableParagraph"/>
                          <w:spacing w:before="2"/>
                          <w:ind w:left="253" w:right="201"/>
                          <w:jc w:val="center"/>
                          <w:rPr>
                            <w:sz w:val="18"/>
                          </w:rPr>
                        </w:pPr>
                        <w:r>
                          <w:rPr>
                            <w:color w:val="010101"/>
                            <w:sz w:val="18"/>
                          </w:rPr>
                          <w:t>129.892</w:t>
                        </w:r>
                      </w:p>
                    </w:tc>
                    <w:tc>
                      <w:tcPr>
                        <w:tcW w:w="806" w:type="dxa"/>
                        <w:tcBorders>
                          <w:top w:val="nil"/>
                          <w:left w:val="single" w:sz="6" w:space="0" w:color="000000"/>
                          <w:bottom w:val="nil"/>
                          <w:right w:val="nil"/>
                        </w:tcBorders>
                      </w:tcPr>
                      <w:p>
                        <w:pPr>
                          <w:pStyle w:val="TableParagraph"/>
                          <w:spacing w:line="198" w:lineRule="exact"/>
                          <w:ind w:left="259" w:right="216"/>
                          <w:jc w:val="center"/>
                          <w:rPr>
                            <w:sz w:val="19"/>
                          </w:rPr>
                        </w:pPr>
                        <w:r>
                          <w:rPr>
                            <w:color w:val="010101"/>
                            <w:w w:val="105"/>
                            <w:sz w:val="19"/>
                          </w:rPr>
                          <w:t>57</w:t>
                        </w:r>
                      </w:p>
                    </w:tc>
                  </w:tr>
                  <w:tr>
                    <w:trPr>
                      <w:trHeight w:val="199" w:hRule="exact"/>
                    </w:trPr>
                    <w:tc>
                      <w:tcPr>
                        <w:tcW w:w="1047" w:type="dxa"/>
                        <w:tcBorders>
                          <w:top w:val="nil"/>
                          <w:left w:val="nil"/>
                          <w:bottom w:val="nil"/>
                          <w:right w:val="single" w:sz="6" w:space="0" w:color="000000"/>
                        </w:tcBorders>
                      </w:tcPr>
                      <w:p>
                        <w:pPr>
                          <w:pStyle w:val="TableParagraph"/>
                          <w:spacing w:before="8"/>
                          <w:ind w:right="320"/>
                          <w:jc w:val="right"/>
                          <w:rPr>
                            <w:rFonts w:ascii="Times New Roman"/>
                            <w:sz w:val="16"/>
                          </w:rPr>
                        </w:pPr>
                        <w:r>
                          <w:rPr>
                            <w:rFonts w:ascii="Times New Roman"/>
                            <w:color w:val="010101"/>
                            <w:w w:val="105"/>
                            <w:sz w:val="16"/>
                          </w:rPr>
                          <w:t>7 </w:t>
                        </w:r>
                        <w:r>
                          <w:rPr>
                            <w:rFonts w:ascii="Times New Roman"/>
                            <w:color w:val="1F1F1F"/>
                            <w:w w:val="105"/>
                            <w:sz w:val="16"/>
                          </w:rPr>
                          <w:t>.</w:t>
                        </w:r>
                        <w:r>
                          <w:rPr>
                            <w:rFonts w:ascii="Times New Roman"/>
                            <w:color w:val="010101"/>
                            <w:w w:val="105"/>
                            <w:sz w:val="16"/>
                          </w:rPr>
                          <w:t>78572</w:t>
                        </w:r>
                      </w:p>
                    </w:tc>
                    <w:tc>
                      <w:tcPr>
                        <w:tcW w:w="1300" w:type="dxa"/>
                        <w:tcBorders>
                          <w:top w:val="nil"/>
                          <w:left w:val="single" w:sz="6" w:space="0" w:color="000000"/>
                          <w:bottom w:val="nil"/>
                          <w:right w:val="single" w:sz="6" w:space="0" w:color="000000"/>
                        </w:tcBorders>
                      </w:tcPr>
                      <w:p>
                        <w:pPr>
                          <w:pStyle w:val="TableParagraph"/>
                          <w:spacing w:line="201" w:lineRule="exact"/>
                          <w:ind w:left="267" w:right="179"/>
                          <w:jc w:val="center"/>
                          <w:rPr>
                            <w:sz w:val="18"/>
                          </w:rPr>
                        </w:pPr>
                        <w:r>
                          <w:rPr>
                            <w:color w:val="010101"/>
                            <w:sz w:val="18"/>
                          </w:rPr>
                          <w:t>141.470</w:t>
                        </w:r>
                      </w:p>
                    </w:tc>
                    <w:tc>
                      <w:tcPr>
                        <w:tcW w:w="806" w:type="dxa"/>
                        <w:tcBorders>
                          <w:top w:val="nil"/>
                          <w:left w:val="single" w:sz="6" w:space="0" w:color="000000"/>
                          <w:bottom w:val="nil"/>
                          <w:right w:val="nil"/>
                        </w:tcBorders>
                      </w:tcPr>
                      <w:p>
                        <w:pPr>
                          <w:pStyle w:val="TableParagraph"/>
                          <w:spacing w:line="170" w:lineRule="exact"/>
                          <w:ind w:left="247" w:right="216"/>
                          <w:jc w:val="center"/>
                          <w:rPr>
                            <w:rFonts w:ascii="Arial"/>
                            <w:b/>
                            <w:sz w:val="16"/>
                          </w:rPr>
                        </w:pPr>
                        <w:r>
                          <w:rPr>
                            <w:rFonts w:ascii="Arial"/>
                            <w:b/>
                            <w:color w:val="010101"/>
                            <w:sz w:val="16"/>
                          </w:rPr>
                          <w:t>58</w:t>
                        </w:r>
                      </w:p>
                    </w:tc>
                  </w:tr>
                  <w:tr>
                    <w:trPr>
                      <w:trHeight w:val="282" w:hRule="exact"/>
                    </w:trPr>
                    <w:tc>
                      <w:tcPr>
                        <w:tcW w:w="1047" w:type="dxa"/>
                        <w:tcBorders>
                          <w:top w:val="nil"/>
                          <w:left w:val="nil"/>
                          <w:bottom w:val="nil"/>
                          <w:right w:val="single" w:sz="6" w:space="0" w:color="000000"/>
                        </w:tcBorders>
                      </w:tcPr>
                      <w:p>
                        <w:pPr>
                          <w:pStyle w:val="TableParagraph"/>
                          <w:spacing w:before="10"/>
                          <w:ind w:right="313"/>
                          <w:jc w:val="right"/>
                          <w:rPr>
                            <w:rFonts w:ascii="Times New Roman"/>
                            <w:sz w:val="16"/>
                          </w:rPr>
                        </w:pPr>
                        <w:r>
                          <w:rPr>
                            <w:rFonts w:ascii="Times New Roman"/>
                            <w:color w:val="010101"/>
                            <w:w w:val="115"/>
                            <w:sz w:val="16"/>
                          </w:rPr>
                          <w:t>7.45161</w:t>
                        </w:r>
                      </w:p>
                    </w:tc>
                    <w:tc>
                      <w:tcPr>
                        <w:tcW w:w="1300" w:type="dxa"/>
                        <w:tcBorders>
                          <w:top w:val="nil"/>
                          <w:left w:val="single" w:sz="6" w:space="0" w:color="000000"/>
                          <w:bottom w:val="nil"/>
                          <w:right w:val="single" w:sz="6" w:space="0" w:color="000000"/>
                        </w:tcBorders>
                      </w:tcPr>
                      <w:p>
                        <w:pPr>
                          <w:pStyle w:val="TableParagraph"/>
                          <w:spacing w:line="188" w:lineRule="exact"/>
                          <w:ind w:left="223" w:right="201"/>
                          <w:jc w:val="center"/>
                          <w:rPr>
                            <w:rFonts w:ascii="Times New Roman"/>
                            <w:sz w:val="18"/>
                          </w:rPr>
                        </w:pPr>
                        <w:r>
                          <w:rPr>
                            <w:rFonts w:ascii="Times New Roman"/>
                            <w:color w:val="010101"/>
                            <w:w w:val="110"/>
                            <w:sz w:val="18"/>
                          </w:rPr>
                          <w:t>1M.a79</w:t>
                        </w:r>
                      </w:p>
                    </w:tc>
                    <w:tc>
                      <w:tcPr>
                        <w:tcW w:w="806" w:type="dxa"/>
                        <w:tcBorders>
                          <w:top w:val="nil"/>
                          <w:left w:val="single" w:sz="6" w:space="0" w:color="000000"/>
                          <w:bottom w:val="nil"/>
                          <w:right w:val="nil"/>
                        </w:tcBorders>
                      </w:tcPr>
                      <w:p>
                        <w:pPr>
                          <w:pStyle w:val="TableParagraph"/>
                          <w:spacing w:line="178" w:lineRule="exact"/>
                          <w:ind w:left="253" w:right="216"/>
                          <w:jc w:val="center"/>
                          <w:rPr>
                            <w:rFonts w:ascii="Arial"/>
                            <w:b/>
                            <w:sz w:val="17"/>
                          </w:rPr>
                        </w:pPr>
                        <w:r>
                          <w:rPr>
                            <w:rFonts w:ascii="Arial"/>
                            <w:b/>
                            <w:color w:val="010101"/>
                            <w:w w:val="120"/>
                            <w:sz w:val="17"/>
                          </w:rPr>
                          <w:t>5t</w:t>
                        </w:r>
                      </w:p>
                    </w:tc>
                  </w:tr>
                  <w:tr>
                    <w:trPr>
                      <w:trHeight w:val="526" w:hRule="exact"/>
                    </w:trPr>
                    <w:tc>
                      <w:tcPr>
                        <w:tcW w:w="1047" w:type="dxa"/>
                        <w:tcBorders>
                          <w:top w:val="nil"/>
                          <w:left w:val="nil"/>
                          <w:bottom w:val="nil"/>
                          <w:right w:val="single" w:sz="6" w:space="0" w:color="000000"/>
                        </w:tcBorders>
                      </w:tcPr>
                      <w:p>
                        <w:pPr>
                          <w:pStyle w:val="TableParagraph"/>
                          <w:spacing w:line="198" w:lineRule="exact" w:before="133"/>
                          <w:ind w:left="164"/>
                          <w:rPr>
                            <w:sz w:val="18"/>
                          </w:rPr>
                        </w:pPr>
                        <w:r>
                          <w:rPr>
                            <w:color w:val="010101"/>
                            <w:sz w:val="18"/>
                          </w:rPr>
                          <w:t>7.12530</w:t>
                        </w:r>
                      </w:p>
                      <w:p>
                        <w:pPr>
                          <w:pStyle w:val="TableParagraph"/>
                          <w:spacing w:line="190" w:lineRule="exact"/>
                          <w:ind w:left="167"/>
                          <w:rPr>
                            <w:rFonts w:ascii="Times New Roman"/>
                            <w:sz w:val="17"/>
                          </w:rPr>
                        </w:pPr>
                        <w:r>
                          <w:rPr>
                            <w:rFonts w:ascii="Times New Roman"/>
                            <w:color w:val="010101"/>
                            <w:sz w:val="17"/>
                          </w:rPr>
                          <w:t>6.80713</w:t>
                        </w:r>
                      </w:p>
                    </w:tc>
                    <w:tc>
                      <w:tcPr>
                        <w:tcW w:w="1300" w:type="dxa"/>
                        <w:tcBorders>
                          <w:top w:val="nil"/>
                          <w:left w:val="single" w:sz="6" w:space="0" w:color="000000"/>
                          <w:bottom w:val="nil"/>
                          <w:right w:val="single" w:sz="6" w:space="0" w:color="000000"/>
                        </w:tcBorders>
                      </w:tcPr>
                      <w:p>
                        <w:pPr>
                          <w:pStyle w:val="TableParagraph"/>
                          <w:spacing w:before="1"/>
                          <w:rPr>
                            <w:rFonts w:ascii="Times New Roman"/>
                            <w:sz w:val="11"/>
                          </w:rPr>
                        </w:pPr>
                      </w:p>
                      <w:p>
                        <w:pPr>
                          <w:pStyle w:val="TableParagraph"/>
                          <w:spacing w:before="1"/>
                          <w:ind w:left="379"/>
                          <w:rPr>
                            <w:rFonts w:ascii="Arial"/>
                            <w:b/>
                            <w:sz w:val="15"/>
                          </w:rPr>
                        </w:pPr>
                        <w:r>
                          <w:rPr>
                            <w:rFonts w:ascii="Arial"/>
                            <w:b/>
                            <w:color w:val="010101"/>
                            <w:w w:val="120"/>
                            <w:sz w:val="15"/>
                          </w:rPr>
                          <w:t>161.812</w:t>
                        </w:r>
                      </w:p>
                      <w:p>
                        <w:pPr>
                          <w:pStyle w:val="TableParagraph"/>
                          <w:spacing w:before="6"/>
                          <w:ind w:left="383"/>
                          <w:rPr>
                            <w:rFonts w:ascii="Times New Roman"/>
                            <w:sz w:val="17"/>
                          </w:rPr>
                        </w:pPr>
                        <w:r>
                          <w:rPr>
                            <w:rFonts w:ascii="Times New Roman"/>
                            <w:color w:val="010101"/>
                            <w:spacing w:val="-50"/>
                            <w:w w:val="126"/>
                            <w:sz w:val="17"/>
                          </w:rPr>
                          <w:t>1</w:t>
                        </w:r>
                        <w:r>
                          <w:rPr>
                            <w:rFonts w:ascii="Times New Roman"/>
                            <w:color w:val="010101"/>
                            <w:w w:val="110"/>
                            <w:sz w:val="17"/>
                          </w:rPr>
                          <w:t>8</w:t>
                        </w:r>
                        <w:r>
                          <w:rPr>
                            <w:rFonts w:ascii="Times New Roman"/>
                            <w:color w:val="010101"/>
                            <w:spacing w:val="-13"/>
                            <w:w w:val="110"/>
                            <w:sz w:val="17"/>
                          </w:rPr>
                          <w:t>2</w:t>
                        </w:r>
                        <w:r>
                          <w:rPr>
                            <w:rFonts w:ascii="Times New Roman"/>
                            <w:color w:val="2D2D2D"/>
                            <w:spacing w:val="-5"/>
                            <w:w w:val="61"/>
                            <w:sz w:val="17"/>
                          </w:rPr>
                          <w:t>'</w:t>
                        </w:r>
                        <w:r>
                          <w:rPr>
                            <w:rFonts w:ascii="Times New Roman"/>
                            <w:color w:val="010101"/>
                            <w:w w:val="107"/>
                            <w:sz w:val="17"/>
                          </w:rPr>
                          <w:t>.770</w:t>
                        </w:r>
                      </w:p>
                    </w:tc>
                    <w:tc>
                      <w:tcPr>
                        <w:tcW w:w="806" w:type="dxa"/>
                        <w:tcBorders>
                          <w:top w:val="nil"/>
                          <w:left w:val="single" w:sz="6" w:space="0" w:color="000000"/>
                          <w:bottom w:val="nil"/>
                          <w:right w:val="nil"/>
                        </w:tcBorders>
                      </w:tcPr>
                      <w:p>
                        <w:pPr>
                          <w:pStyle w:val="TableParagraph"/>
                          <w:spacing w:before="39"/>
                          <w:ind w:left="239" w:right="216"/>
                          <w:jc w:val="center"/>
                          <w:rPr>
                            <w:rFonts w:ascii="Times New Roman" w:hAnsi="Times New Roman"/>
                            <w:sz w:val="17"/>
                          </w:rPr>
                        </w:pPr>
                        <w:r>
                          <w:rPr>
                            <w:rFonts w:ascii="Times New Roman" w:hAnsi="Times New Roman"/>
                            <w:color w:val="010101"/>
                            <w:spacing w:val="-62"/>
                            <w:w w:val="90"/>
                            <w:sz w:val="40"/>
                          </w:rPr>
                          <w:t>'</w:t>
                        </w:r>
                        <w:r>
                          <w:rPr>
                            <w:rFonts w:ascii="Times New Roman" w:hAnsi="Times New Roman"/>
                            <w:color w:val="010101"/>
                            <w:spacing w:val="-27"/>
                            <w:w w:val="104"/>
                            <w:position w:val="-3"/>
                            <w:sz w:val="17"/>
                          </w:rPr>
                          <w:t>6</w:t>
                        </w:r>
                        <w:r>
                          <w:rPr>
                            <w:rFonts w:ascii="Times New Roman" w:hAnsi="Times New Roman"/>
                            <w:color w:val="010101"/>
                            <w:spacing w:val="-119"/>
                            <w:w w:val="90"/>
                            <w:sz w:val="40"/>
                          </w:rPr>
                          <w:t>°</w:t>
                        </w:r>
                        <w:r>
                          <w:rPr>
                            <w:rFonts w:ascii="Times New Roman" w:hAnsi="Times New Roman"/>
                            <w:color w:val="010101"/>
                            <w:w w:val="104"/>
                            <w:position w:val="-3"/>
                            <w:sz w:val="17"/>
                          </w:rPr>
                          <w:t>1</w:t>
                        </w:r>
                      </w:p>
                    </w:tc>
                  </w:tr>
                  <w:tr>
                    <w:trPr>
                      <w:trHeight w:val="190" w:hRule="exact"/>
                    </w:trPr>
                    <w:tc>
                      <w:tcPr>
                        <w:tcW w:w="1047" w:type="dxa"/>
                        <w:tcBorders>
                          <w:top w:val="nil"/>
                          <w:left w:val="nil"/>
                          <w:bottom w:val="nil"/>
                          <w:right w:val="single" w:sz="6" w:space="0" w:color="000000"/>
                        </w:tcBorders>
                      </w:tcPr>
                      <w:p>
                        <w:pPr>
                          <w:pStyle w:val="TableParagraph"/>
                          <w:spacing w:before="10"/>
                          <w:ind w:right="313"/>
                          <w:jc w:val="right"/>
                          <w:rPr>
                            <w:rFonts w:ascii="Times New Roman"/>
                            <w:sz w:val="16"/>
                          </w:rPr>
                        </w:pPr>
                        <w:r>
                          <w:rPr>
                            <w:rFonts w:ascii="Times New Roman"/>
                            <w:color w:val="010101"/>
                            <w:w w:val="105"/>
                            <w:sz w:val="16"/>
                          </w:rPr>
                          <w:t>6.49731</w:t>
                        </w:r>
                      </w:p>
                    </w:tc>
                    <w:tc>
                      <w:tcPr>
                        <w:tcW w:w="1300" w:type="dxa"/>
                        <w:tcBorders>
                          <w:top w:val="nil"/>
                          <w:left w:val="single" w:sz="6" w:space="0" w:color="000000"/>
                          <w:bottom w:val="nil"/>
                          <w:right w:val="single" w:sz="6" w:space="0" w:color="000000"/>
                        </w:tcBorders>
                      </w:tcPr>
                      <w:p>
                        <w:pPr>
                          <w:pStyle w:val="TableParagraph"/>
                          <w:spacing w:line="182" w:lineRule="exact"/>
                          <w:ind w:left="243" w:right="201"/>
                          <w:jc w:val="center"/>
                          <w:rPr>
                            <w:rFonts w:ascii="Times New Roman"/>
                            <w:b/>
                            <w:sz w:val="17"/>
                          </w:rPr>
                        </w:pPr>
                        <w:r>
                          <w:rPr>
                            <w:rFonts w:ascii="Times New Roman"/>
                            <w:b/>
                            <w:color w:val="010101"/>
                            <w:w w:val="105"/>
                            <w:sz w:val="17"/>
                          </w:rPr>
                          <w:t>199.060</w:t>
                        </w:r>
                      </w:p>
                    </w:tc>
                    <w:tc>
                      <w:tcPr>
                        <w:tcW w:w="806" w:type="dxa"/>
                        <w:tcBorders>
                          <w:top w:val="nil"/>
                          <w:left w:val="single" w:sz="6" w:space="0" w:color="000000"/>
                          <w:bottom w:val="nil"/>
                          <w:right w:val="nil"/>
                        </w:tcBorders>
                      </w:tcPr>
                      <w:p>
                        <w:pPr>
                          <w:pStyle w:val="TableParagraph"/>
                          <w:spacing w:line="162" w:lineRule="exact"/>
                          <w:ind w:left="256" w:right="216"/>
                          <w:jc w:val="center"/>
                          <w:rPr>
                            <w:rFonts w:ascii="Arial"/>
                            <w:i/>
                            <w:sz w:val="15"/>
                          </w:rPr>
                        </w:pPr>
                        <w:r>
                          <w:rPr>
                            <w:rFonts w:ascii="Arial"/>
                            <w:i/>
                            <w:color w:val="010101"/>
                            <w:w w:val="105"/>
                            <w:sz w:val="15"/>
                          </w:rPr>
                          <w:t>6Z</w:t>
                        </w:r>
                      </w:p>
                    </w:tc>
                  </w:tr>
                  <w:tr>
                    <w:trPr>
                      <w:trHeight w:val="199" w:hRule="exact"/>
                    </w:trPr>
                    <w:tc>
                      <w:tcPr>
                        <w:tcW w:w="1047" w:type="dxa"/>
                        <w:tcBorders>
                          <w:top w:val="nil"/>
                          <w:left w:val="nil"/>
                          <w:bottom w:val="nil"/>
                          <w:right w:val="single" w:sz="6" w:space="0" w:color="000000"/>
                        </w:tcBorders>
                      </w:tcPr>
                      <w:p>
                        <w:pPr>
                          <w:pStyle w:val="TableParagraph"/>
                          <w:spacing w:before="7"/>
                          <w:ind w:right="306"/>
                          <w:jc w:val="right"/>
                          <w:rPr>
                            <w:rFonts w:ascii="Times New Roman"/>
                            <w:b/>
                            <w:sz w:val="17"/>
                          </w:rPr>
                        </w:pPr>
                        <w:r>
                          <w:rPr>
                            <w:rFonts w:ascii="Times New Roman"/>
                            <w:b/>
                            <w:color w:val="010101"/>
                            <w:sz w:val="17"/>
                          </w:rPr>
                          <w:t>6. 19648</w:t>
                        </w:r>
                      </w:p>
                    </w:tc>
                    <w:tc>
                      <w:tcPr>
                        <w:tcW w:w="1300" w:type="dxa"/>
                        <w:tcBorders>
                          <w:top w:val="nil"/>
                          <w:left w:val="single" w:sz="6" w:space="0" w:color="000000"/>
                          <w:bottom w:val="nil"/>
                          <w:right w:val="single" w:sz="6" w:space="0" w:color="000000"/>
                        </w:tcBorders>
                      </w:tcPr>
                      <w:p>
                        <w:pPr>
                          <w:pStyle w:val="TableParagraph"/>
                          <w:spacing w:before="5"/>
                          <w:ind w:left="219" w:right="201"/>
                          <w:jc w:val="center"/>
                          <w:rPr>
                            <w:rFonts w:ascii="Arial"/>
                            <w:b/>
                            <w:sz w:val="16"/>
                          </w:rPr>
                        </w:pPr>
                        <w:r>
                          <w:rPr>
                            <w:rFonts w:ascii="Arial"/>
                            <w:b/>
                            <w:color w:val="010101"/>
                            <w:sz w:val="16"/>
                          </w:rPr>
                          <w:t>216.803</w:t>
                        </w:r>
                      </w:p>
                    </w:tc>
                    <w:tc>
                      <w:tcPr>
                        <w:tcW w:w="806" w:type="dxa"/>
                        <w:tcBorders>
                          <w:top w:val="nil"/>
                          <w:left w:val="single" w:sz="6" w:space="0" w:color="000000"/>
                          <w:bottom w:val="nil"/>
                          <w:right w:val="nil"/>
                        </w:tcBorders>
                      </w:tcPr>
                      <w:p>
                        <w:pPr>
                          <w:pStyle w:val="TableParagraph"/>
                          <w:spacing w:line="174" w:lineRule="exact"/>
                          <w:ind w:left="258" w:right="216"/>
                          <w:jc w:val="center"/>
                          <w:rPr>
                            <w:rFonts w:ascii="Arial"/>
                            <w:b/>
                            <w:sz w:val="17"/>
                          </w:rPr>
                        </w:pPr>
                        <w:r>
                          <w:rPr>
                            <w:rFonts w:ascii="Arial"/>
                            <w:b/>
                            <w:color w:val="010101"/>
                            <w:sz w:val="17"/>
                          </w:rPr>
                          <w:t>13</w:t>
                        </w:r>
                      </w:p>
                    </w:tc>
                  </w:tr>
                  <w:tr>
                    <w:trPr>
                      <w:trHeight w:val="262" w:hRule="exact"/>
                    </w:trPr>
                    <w:tc>
                      <w:tcPr>
                        <w:tcW w:w="1047" w:type="dxa"/>
                        <w:tcBorders>
                          <w:top w:val="nil"/>
                          <w:left w:val="nil"/>
                          <w:bottom w:val="nil"/>
                          <w:right w:val="single" w:sz="6" w:space="0" w:color="000000"/>
                        </w:tcBorders>
                      </w:tcPr>
                      <w:p>
                        <w:pPr>
                          <w:pStyle w:val="TableParagraph"/>
                          <w:spacing w:before="9"/>
                          <w:ind w:right="325"/>
                          <w:jc w:val="right"/>
                          <w:rPr>
                            <w:rFonts w:ascii="Times New Roman"/>
                            <w:sz w:val="17"/>
                          </w:rPr>
                        </w:pPr>
                        <w:r>
                          <w:rPr>
                            <w:rFonts w:ascii="Times New Roman"/>
                            <w:color w:val="010101"/>
                            <w:w w:val="95"/>
                            <w:sz w:val="17"/>
                          </w:rPr>
                          <w:t>5.90444</w:t>
                        </w:r>
                      </w:p>
                    </w:tc>
                    <w:tc>
                      <w:tcPr>
                        <w:tcW w:w="1300" w:type="dxa"/>
                        <w:tcBorders>
                          <w:top w:val="nil"/>
                          <w:left w:val="single" w:sz="6" w:space="0" w:color="000000"/>
                          <w:bottom w:val="nil"/>
                          <w:right w:val="single" w:sz="6" w:space="0" w:color="000000"/>
                        </w:tcBorders>
                      </w:tcPr>
                      <w:p>
                        <w:pPr>
                          <w:pStyle w:val="TableParagraph"/>
                          <w:spacing w:before="4"/>
                          <w:ind w:left="225" w:right="201"/>
                          <w:jc w:val="center"/>
                          <w:rPr>
                            <w:rFonts w:ascii="Times New Roman"/>
                            <w:sz w:val="16"/>
                          </w:rPr>
                        </w:pPr>
                        <w:r>
                          <w:rPr>
                            <w:rFonts w:ascii="Times New Roman"/>
                            <w:color w:val="010101"/>
                            <w:w w:val="105"/>
                            <w:sz w:val="16"/>
                          </w:rPr>
                          <w:t>236.127</w:t>
                        </w:r>
                      </w:p>
                    </w:tc>
                    <w:tc>
                      <w:tcPr>
                        <w:tcW w:w="806" w:type="dxa"/>
                        <w:tcBorders>
                          <w:top w:val="nil"/>
                          <w:left w:val="single" w:sz="6" w:space="0" w:color="000000"/>
                          <w:bottom w:val="nil"/>
                          <w:right w:val="nil"/>
                        </w:tcBorders>
                      </w:tcPr>
                      <w:p>
                        <w:pPr>
                          <w:pStyle w:val="TableParagraph"/>
                          <w:spacing w:line="173" w:lineRule="exact"/>
                          <w:ind w:left="243" w:right="216"/>
                          <w:jc w:val="center"/>
                          <w:rPr>
                            <w:rFonts w:ascii="Times New Roman"/>
                            <w:sz w:val="17"/>
                          </w:rPr>
                        </w:pPr>
                        <w:r>
                          <w:rPr>
                            <w:rFonts w:ascii="Times New Roman"/>
                            <w:color w:val="010101"/>
                            <w:sz w:val="17"/>
                          </w:rPr>
                          <w:t>64</w:t>
                        </w:r>
                      </w:p>
                    </w:tc>
                  </w:tr>
                </w:tbl>
                <w:p>
                  <w:pPr>
                    <w:pStyle w:val="BodyText"/>
                  </w:pPr>
                </w:p>
              </w:txbxContent>
            </v:textbox>
          </v:shape>
        </w:pict>
      </w:r>
      <w:r>
        <w:rPr>
          <w:position w:val="3"/>
        </w:rPr>
      </w:r>
    </w:p>
    <w:p>
      <w:pPr>
        <w:spacing w:after="0"/>
        <w:sectPr>
          <w:pgSz w:w="7200" w:h="11340"/>
          <w:pgMar w:top="520" w:bottom="280" w:left="660" w:right="620"/>
        </w:sectPr>
      </w:pPr>
    </w:p>
    <w:p>
      <w:pPr>
        <w:tabs>
          <w:tab w:pos="1519" w:val="left" w:leader="none"/>
          <w:tab w:pos="5835" w:val="right" w:leader="none"/>
        </w:tabs>
        <w:spacing w:before="52"/>
        <w:ind w:left="131" w:right="0" w:firstLine="0"/>
        <w:jc w:val="left"/>
        <w:rPr>
          <w:sz w:val="21"/>
        </w:rPr>
      </w:pPr>
      <w:r>
        <w:rPr>
          <w:color w:val="010101"/>
          <w:w w:val="110"/>
          <w:sz w:val="15"/>
        </w:rPr>
        <w:t>SEC.</w:t>
      </w:r>
      <w:r>
        <w:rPr>
          <w:color w:val="010101"/>
          <w:spacing w:val="39"/>
          <w:w w:val="110"/>
          <w:sz w:val="15"/>
        </w:rPr>
        <w:t> </w:t>
      </w:r>
      <w:r>
        <w:rPr>
          <w:rFonts w:ascii="Arial"/>
          <w:color w:val="010101"/>
          <w:w w:val="110"/>
          <w:sz w:val="20"/>
        </w:rPr>
        <w:t>5}</w:t>
        <w:tab/>
      </w:r>
      <w:r>
        <w:rPr>
          <w:color w:val="010101"/>
          <w:w w:val="110"/>
          <w:sz w:val="15"/>
        </w:rPr>
        <w:t>THE  </w:t>
      </w:r>
      <w:r>
        <w:rPr>
          <w:rFonts w:ascii="Arial"/>
          <w:b/>
          <w:color w:val="010101"/>
          <w:w w:val="110"/>
          <w:sz w:val="14"/>
        </w:rPr>
        <w:t>LAW  </w:t>
      </w:r>
      <w:r>
        <w:rPr>
          <w:color w:val="010101"/>
          <w:w w:val="110"/>
          <w:sz w:val="15"/>
        </w:rPr>
        <w:t>OF </w:t>
      </w:r>
      <w:r>
        <w:rPr>
          <w:color w:val="010101"/>
          <w:spacing w:val="21"/>
          <w:w w:val="110"/>
          <w:sz w:val="15"/>
        </w:rPr>
        <w:t> </w:t>
      </w:r>
      <w:r>
        <w:rPr>
          <w:color w:val="010101"/>
          <w:w w:val="110"/>
          <w:sz w:val="15"/>
        </w:rPr>
        <w:t>UNIFORM </w:t>
      </w:r>
      <w:r>
        <w:rPr>
          <w:color w:val="010101"/>
          <w:spacing w:val="27"/>
          <w:w w:val="110"/>
          <w:sz w:val="15"/>
        </w:rPr>
        <w:t> </w:t>
      </w:r>
      <w:r>
        <w:rPr>
          <w:color w:val="010101"/>
          <w:w w:val="110"/>
          <w:sz w:val="15"/>
        </w:rPr>
        <w:t>SENIORITY</w:t>
      </w:r>
      <w:r>
        <w:rPr>
          <w:color w:val="010101"/>
          <w:w w:val="110"/>
          <w:sz w:val="21"/>
        </w:rPr>
        <w:tab/>
      </w:r>
      <w:r>
        <w:rPr>
          <w:color w:val="010101"/>
          <w:spacing w:val="-15"/>
          <w:w w:val="110"/>
          <w:sz w:val="21"/>
        </w:rPr>
        <w:t>199</w:t>
      </w:r>
    </w:p>
    <w:p>
      <w:pPr>
        <w:pStyle w:val="BodyText"/>
        <w:spacing w:before="6"/>
        <w:rPr>
          <w:sz w:val="18"/>
        </w:rPr>
      </w:pPr>
    </w:p>
    <w:p>
      <w:pPr>
        <w:tabs>
          <w:tab w:pos="2918" w:val="left" w:leader="none"/>
          <w:tab w:pos="3279" w:val="left" w:leader="none"/>
        </w:tabs>
        <w:spacing w:line="138" w:lineRule="exact" w:before="0"/>
        <w:ind w:left="1884" w:right="0" w:firstLine="0"/>
        <w:jc w:val="left"/>
        <w:rPr>
          <w:rFonts w:ascii="Arial"/>
          <w:b/>
          <w:sz w:val="13"/>
        </w:rPr>
      </w:pPr>
      <w:r>
        <w:rPr/>
        <w:pict>
          <v:shape style="position:absolute;margin-left:83.874817pt;margin-top:1.213899pt;width:133.550pt;height:16pt;mso-position-horizontal-relative:page;mso-position-vertical-relative:paragraph;z-index:-720208" type="#_x0000_t202" filled="false" stroked="false">
            <v:textbox inset="0,0,0,0">
              <w:txbxContent>
                <w:p>
                  <w:pPr>
                    <w:tabs>
                      <w:tab w:pos="1230" w:val="left" w:leader="none"/>
                      <w:tab w:pos="1934" w:val="left" w:leader="none"/>
                      <w:tab w:pos="2603" w:val="left" w:leader="none"/>
                    </w:tabs>
                    <w:spacing w:line="320" w:lineRule="exact" w:before="0"/>
                    <w:ind w:left="0" w:right="0" w:firstLine="0"/>
                    <w:jc w:val="left"/>
                    <w:rPr>
                      <w:rFonts w:ascii="Arial"/>
                      <w:sz w:val="32"/>
                    </w:rPr>
                  </w:pPr>
                  <w:r>
                    <w:rPr>
                      <w:color w:val="010101"/>
                      <w:sz w:val="19"/>
                    </w:rPr>
                    <w:t>..</w:t>
                    <w:tab/>
                  </w:r>
                  <w:r>
                    <w:rPr>
                      <w:rFonts w:ascii="Arial"/>
                      <w:color w:val="010101"/>
                      <w:w w:val="125"/>
                      <w:sz w:val="30"/>
                    </w:rPr>
                    <w:t>'</w:t>
                    <w:tab/>
                  </w:r>
                  <w:r>
                    <w:rPr>
                      <w:rFonts w:ascii="Arial"/>
                      <w:color w:val="464646"/>
                      <w:w w:val="240"/>
                      <w:sz w:val="4"/>
                    </w:rPr>
                    <w:t>'</w:t>
                    <w:tab/>
                  </w:r>
                  <w:r>
                    <w:rPr>
                      <w:rFonts w:ascii="Arial"/>
                      <w:color w:val="010101"/>
                      <w:w w:val="110"/>
                      <w:sz w:val="32"/>
                    </w:rPr>
                    <w:t>'</w:t>
                  </w:r>
                </w:p>
              </w:txbxContent>
            </v:textbox>
            <w10:wrap type="none"/>
          </v:shape>
        </w:pict>
      </w:r>
      <w:r>
        <w:rPr/>
        <w:pict>
          <v:shape style="position:absolute;margin-left:216.393402pt;margin-top:4.271080pt;width:21.3pt;height:17pt;mso-position-horizontal-relative:page;mso-position-vertical-relative:paragraph;z-index:-720184" type="#_x0000_t202" filled="false" stroked="false">
            <v:textbox inset="0,0,0,0">
              <w:txbxContent>
                <w:p>
                  <w:pPr>
                    <w:spacing w:line="340" w:lineRule="exact" w:before="0"/>
                    <w:ind w:left="0" w:right="-5" w:firstLine="0"/>
                    <w:jc w:val="left"/>
                    <w:rPr>
                      <w:i/>
                      <w:sz w:val="34"/>
                    </w:rPr>
                  </w:pPr>
                  <w:r>
                    <w:rPr>
                      <w:i/>
                      <w:color w:val="010101"/>
                      <w:spacing w:val="-12"/>
                      <w:w w:val="110"/>
                      <w:sz w:val="34"/>
                    </w:rPr>
                    <w:t>,P-</w:t>
                  </w:r>
                </w:p>
              </w:txbxContent>
            </v:textbox>
            <w10:wrap type="none"/>
          </v:shape>
        </w:pict>
      </w:r>
      <w:r>
        <w:rPr>
          <w:rFonts w:ascii="Arial"/>
          <w:b/>
          <w:color w:val="010101"/>
          <w:w w:val="155"/>
          <w:sz w:val="13"/>
        </w:rPr>
        <w:t>H</w:t>
        <w:tab/>
      </w:r>
      <w:r>
        <w:rPr>
          <w:rFonts w:ascii="Arial"/>
          <w:color w:val="363636"/>
          <w:w w:val="125"/>
          <w:sz w:val="13"/>
        </w:rPr>
        <w:t>,</w:t>
        <w:tab/>
      </w:r>
      <w:r>
        <w:rPr>
          <w:rFonts w:ascii="Arial"/>
          <w:b/>
          <w:color w:val="010101"/>
          <w:w w:val="155"/>
          <w:sz w:val="13"/>
        </w:rPr>
        <w:t>H</w:t>
      </w:r>
    </w:p>
    <w:p>
      <w:pPr>
        <w:tabs>
          <w:tab w:pos="3211" w:val="left" w:leader="none"/>
        </w:tabs>
        <w:spacing w:line="218" w:lineRule="exact" w:before="0"/>
        <w:ind w:left="0" w:right="6" w:firstLine="0"/>
        <w:jc w:val="center"/>
        <w:rPr>
          <w:b/>
          <w:sz w:val="17"/>
        </w:rPr>
      </w:pPr>
      <w:r>
        <w:rPr>
          <w:color w:val="010101"/>
          <w:sz w:val="13"/>
        </w:rPr>
        <w:t>aao:a&amp; </w:t>
      </w:r>
      <w:r>
        <w:rPr>
          <w:color w:val="242424"/>
          <w:spacing w:val="-6"/>
          <w:sz w:val="13"/>
        </w:rPr>
        <w:t>:</w:t>
      </w:r>
      <w:r>
        <w:rPr>
          <w:color w:val="010101"/>
          <w:spacing w:val="-6"/>
          <w:sz w:val="13"/>
        </w:rPr>
        <w:t>45   </w:t>
      </w:r>
      <w:r>
        <w:rPr>
          <w:color w:val="010101"/>
          <w:sz w:val="25"/>
        </w:rPr>
        <w:t>=  </w:t>
      </w:r>
      <w:r>
        <w:rPr>
          <w:rFonts w:ascii="Arial"/>
          <w:i/>
          <w:color w:val="010101"/>
          <w:w w:val="110"/>
          <w:sz w:val="15"/>
        </w:rPr>
        <w:t>LJ </w:t>
      </w:r>
      <w:r>
        <w:rPr>
          <w:rFonts w:ascii="Arial"/>
          <w:i/>
          <w:color w:val="010101"/>
          <w:sz w:val="14"/>
        </w:rPr>
        <w:t>V </w:t>
      </w:r>
      <w:r>
        <w:rPr>
          <w:b/>
          <w:color w:val="010101"/>
          <w:sz w:val="17"/>
        </w:rPr>
        <w:t>,Pao:16:'5  </w:t>
      </w:r>
      <w:r>
        <w:rPr>
          <w:color w:val="010101"/>
          <w:sz w:val="25"/>
        </w:rPr>
        <w:t>=</w:t>
      </w:r>
      <w:r>
        <w:rPr>
          <w:color w:val="010101"/>
          <w:spacing w:val="40"/>
          <w:sz w:val="25"/>
        </w:rPr>
        <w:t> </w:t>
      </w:r>
      <w:r>
        <w:rPr>
          <w:rFonts w:ascii="Arial"/>
          <w:i/>
          <w:color w:val="010101"/>
          <w:w w:val="110"/>
          <w:sz w:val="15"/>
        </w:rPr>
        <w:t>LJ</w:t>
      </w:r>
      <w:r>
        <w:rPr>
          <w:rFonts w:ascii="Arial"/>
          <w:i/>
          <w:color w:val="010101"/>
          <w:spacing w:val="15"/>
          <w:w w:val="110"/>
          <w:sz w:val="15"/>
        </w:rPr>
        <w:t> </w:t>
      </w:r>
      <w:r>
        <w:rPr>
          <w:rFonts w:ascii="Arial"/>
          <w:i/>
          <w:color w:val="010101"/>
          <w:sz w:val="14"/>
        </w:rPr>
        <w:t>V</w:t>
        <w:tab/>
      </w:r>
      <w:r>
        <w:rPr>
          <w:color w:val="010101"/>
          <w:sz w:val="25"/>
        </w:rPr>
        <w:t>=</w:t>
      </w:r>
      <w:r>
        <w:rPr>
          <w:color w:val="010101"/>
          <w:spacing w:val="25"/>
          <w:sz w:val="25"/>
        </w:rPr>
        <w:t> </w:t>
      </w:r>
      <w:r>
        <w:rPr>
          <w:b/>
          <w:color w:val="010101"/>
          <w:sz w:val="17"/>
        </w:rPr>
        <w:t>uvwv:ii]</w:t>
      </w:r>
    </w:p>
    <w:p>
      <w:pPr>
        <w:tabs>
          <w:tab w:pos="3240" w:val="left" w:leader="none"/>
        </w:tabs>
        <w:spacing w:line="150" w:lineRule="exact" w:before="0"/>
        <w:ind w:left="1859" w:right="0" w:firstLine="0"/>
        <w:jc w:val="left"/>
        <w:rPr>
          <w:b/>
          <w:sz w:val="18"/>
        </w:rPr>
      </w:pPr>
      <w:r>
        <w:rPr>
          <w:b/>
          <w:color w:val="010101"/>
          <w:w w:val="115"/>
          <w:sz w:val="18"/>
        </w:rPr>
        <w:t>,-o</w:t>
        <w:tab/>
        <w:t>,-o</w:t>
      </w:r>
    </w:p>
    <w:p>
      <w:pPr>
        <w:spacing w:line="235" w:lineRule="auto" w:before="75"/>
        <w:ind w:left="124" w:right="117" w:firstLine="0"/>
        <w:jc w:val="both"/>
        <w:rPr>
          <w:sz w:val="21"/>
        </w:rPr>
      </w:pPr>
      <w:r>
        <w:rPr>
          <w:color w:val="010101"/>
          <w:sz w:val="21"/>
        </w:rPr>
        <w:t>where </w:t>
      </w:r>
      <w:r>
        <w:rPr>
          <w:rFonts w:ascii="Arial"/>
          <w:i/>
          <w:color w:val="010101"/>
          <w:sz w:val="19"/>
        </w:rPr>
        <w:t>w </w:t>
      </w:r>
      <w:r>
        <w:rPr>
          <w:color w:val="010101"/>
          <w:sz w:val="26"/>
        </w:rPr>
        <w:t>= </w:t>
      </w:r>
      <w:r>
        <w:rPr>
          <w:color w:val="010101"/>
          <w:sz w:val="21"/>
        </w:rPr>
        <w:t>38.363. For greater accuracy then, </w:t>
      </w:r>
      <w:r>
        <w:rPr>
          <w:b/>
          <w:color w:val="010101"/>
          <w:w w:val="95"/>
          <w:sz w:val="18"/>
        </w:rPr>
        <w:t>dao:a&amp;:46 </w:t>
      </w:r>
      <w:r>
        <w:rPr>
          <w:color w:val="010101"/>
          <w:sz w:val="21"/>
        </w:rPr>
        <w:t>should be evaluated as </w:t>
      </w:r>
      <w:r>
        <w:rPr>
          <w:color w:val="010101"/>
          <w:sz w:val="17"/>
        </w:rPr>
        <w:t>dvvv:ii] </w:t>
      </w:r>
      <w:r>
        <w:rPr>
          <w:color w:val="010101"/>
          <w:sz w:val="21"/>
        </w:rPr>
        <w:t>insteacl of as </w:t>
      </w:r>
      <w:r>
        <w:rPr>
          <w:i/>
          <w:color w:val="010101"/>
          <w:w w:val="135"/>
          <w:sz w:val="22"/>
        </w:rPr>
        <w:t>a_ . </w:t>
      </w:r>
      <w:r>
        <w:rPr>
          <w:color w:val="010101"/>
          <w:sz w:val="21"/>
        </w:rPr>
        <w:t>The dift'erence between these two values, however, involves a small number of annuity payments discounted over a long period and  contingent  on  the joint survival of three lives to advanced ages. </w:t>
      </w:r>
      <w:r>
        <w:rPr>
          <w:color w:val="010101"/>
          <w:sz w:val="22"/>
        </w:rPr>
        <w:t>It </w:t>
      </w:r>
      <w:r>
        <w:rPr>
          <w:color w:val="010101"/>
          <w:sz w:val="21"/>
        </w:rPr>
        <w:t>can be shown in this particular case that the error </w:t>
      </w:r>
      <w:r>
        <w:rPr>
          <w:rFonts w:ascii="Arial"/>
          <w:color w:val="010101"/>
          <w:sz w:val="19"/>
        </w:rPr>
        <w:t>is too </w:t>
      </w:r>
      <w:r>
        <w:rPr>
          <w:color w:val="010101"/>
          <w:sz w:val="21"/>
        </w:rPr>
        <w:t>small to affect the fifth decimal place. Although this error can safely be ignored in practice, the student should be aware of  its </w:t>
      </w:r>
      <w:r>
        <w:rPr>
          <w:color w:val="010101"/>
          <w:spacing w:val="6"/>
          <w:sz w:val="21"/>
        </w:rPr>
        <w:t> </w:t>
      </w:r>
      <w:r>
        <w:rPr>
          <w:color w:val="010101"/>
          <w:sz w:val="21"/>
        </w:rPr>
        <w:t>existence.</w:t>
      </w:r>
    </w:p>
    <w:p>
      <w:pPr>
        <w:pStyle w:val="ListParagraph"/>
        <w:numPr>
          <w:ilvl w:val="0"/>
          <w:numId w:val="89"/>
        </w:numPr>
        <w:tabs>
          <w:tab w:pos="347" w:val="left" w:leader="none"/>
        </w:tabs>
        <w:spacing w:line="240" w:lineRule="auto" w:before="141" w:after="0"/>
        <w:ind w:left="346" w:right="0" w:hanging="218"/>
        <w:jc w:val="both"/>
        <w:rPr>
          <w:b/>
          <w:color w:val="010101"/>
          <w:sz w:val="19"/>
        </w:rPr>
      </w:pPr>
      <w:r>
        <w:rPr>
          <w:b/>
          <w:color w:val="010101"/>
          <w:w w:val="120"/>
          <w:sz w:val="19"/>
        </w:rPr>
        <w:t>The law of uniform</w:t>
      </w:r>
      <w:r>
        <w:rPr>
          <w:b/>
          <w:color w:val="010101"/>
          <w:spacing w:val="19"/>
          <w:w w:val="120"/>
          <w:sz w:val="19"/>
        </w:rPr>
        <w:t> </w:t>
      </w:r>
      <w:r>
        <w:rPr>
          <w:b/>
          <w:color w:val="010101"/>
          <w:w w:val="120"/>
          <w:sz w:val="19"/>
        </w:rPr>
        <w:t>seniority</w:t>
      </w:r>
    </w:p>
    <w:p>
      <w:pPr>
        <w:spacing w:before="79"/>
        <w:ind w:left="117" w:right="122" w:firstLine="211"/>
        <w:jc w:val="left"/>
        <w:rPr>
          <w:sz w:val="21"/>
        </w:rPr>
      </w:pPr>
      <w:r>
        <w:rPr>
          <w:color w:val="010101"/>
          <w:sz w:val="21"/>
        </w:rPr>
        <w:t>In the case of a joint </w:t>
      </w:r>
      <w:r>
        <w:rPr>
          <w:i/>
          <w:color w:val="010101"/>
          <w:sz w:val="20"/>
        </w:rPr>
        <w:t>ttvo-life </w:t>
      </w:r>
      <w:r>
        <w:rPr>
          <w:color w:val="010101"/>
          <w:sz w:val="21"/>
        </w:rPr>
        <w:t>status, the equivalent equal age under Makeham's  law may be determined  in a particularly  simple</w:t>
      </w:r>
    </w:p>
    <w:p>
      <w:pPr>
        <w:spacing w:line="165" w:lineRule="auto" w:before="0"/>
        <w:ind w:left="124" w:right="120" w:hanging="8"/>
        <w:jc w:val="both"/>
        <w:rPr>
          <w:sz w:val="21"/>
        </w:rPr>
      </w:pPr>
      <w:r>
        <w:rPr/>
        <w:drawing>
          <wp:anchor distT="0" distB="0" distL="0" distR="0" allowOverlap="1" layoutInCell="1" locked="0" behindDoc="0" simplePos="0" relativeHeight="15832">
            <wp:simplePos x="0" y="0"/>
            <wp:positionH relativeFrom="page">
              <wp:posOffset>1810511</wp:posOffset>
            </wp:positionH>
            <wp:positionV relativeFrom="paragraph">
              <wp:posOffset>396909</wp:posOffset>
            </wp:positionV>
            <wp:extent cx="1024128" cy="146303"/>
            <wp:effectExtent l="0" t="0" r="0" b="0"/>
            <wp:wrapTopAndBottom/>
            <wp:docPr id="419" name="image215.png" descr=""/>
            <wp:cNvGraphicFramePr>
              <a:graphicFrameLocks noChangeAspect="1"/>
            </wp:cNvGraphicFramePr>
            <a:graphic>
              <a:graphicData uri="http://schemas.openxmlformats.org/drawingml/2006/picture">
                <pic:pic>
                  <pic:nvPicPr>
                    <pic:cNvPr id="420" name="image215.png"/>
                    <pic:cNvPicPr/>
                  </pic:nvPicPr>
                  <pic:blipFill>
                    <a:blip r:embed="rId219" cstate="print"/>
                    <a:stretch>
                      <a:fillRect/>
                    </a:stretch>
                  </pic:blipFill>
                  <pic:spPr>
                    <a:xfrm>
                      <a:off x="0" y="0"/>
                      <a:ext cx="1024128" cy="146303"/>
                    </a:xfrm>
                    <a:prstGeom prst="rect">
                      <a:avLst/>
                    </a:prstGeom>
                  </pic:spPr>
                </pic:pic>
              </a:graphicData>
            </a:graphic>
          </wp:anchor>
        </w:drawing>
      </w:r>
      <w:r>
        <w:rPr>
          <w:color w:val="010101"/>
          <w:w w:val="105"/>
          <w:sz w:val="21"/>
        </w:rPr>
        <w:t>way. </w:t>
      </w:r>
      <w:r>
        <w:rPr>
          <w:rFonts w:ascii="Arial"/>
          <w:b/>
          <w:color w:val="010101"/>
          <w:w w:val="105"/>
          <w:sz w:val="19"/>
        </w:rPr>
        <w:t>W</w:t>
      </w:r>
      <w:r>
        <w:rPr>
          <w:color w:val="010101"/>
          <w:w w:val="105"/>
          <w:sz w:val="21"/>
        </w:rPr>
        <w:t>e know that the status </w:t>
      </w:r>
      <w:r>
        <w:rPr>
          <w:rFonts w:ascii="Arial"/>
          <w:i/>
          <w:color w:val="010101"/>
          <w:w w:val="105"/>
          <w:sz w:val="19"/>
        </w:rPr>
        <w:t>(x : x </w:t>
      </w:r>
      <w:r>
        <w:rPr>
          <w:rFonts w:ascii="Arial"/>
          <w:color w:val="010101"/>
          <w:w w:val="105"/>
          <w:sz w:val="31"/>
        </w:rPr>
        <w:t>+ </w:t>
      </w:r>
      <w:r>
        <w:rPr>
          <w:rFonts w:ascii="Arial"/>
          <w:i/>
          <w:color w:val="010101"/>
          <w:w w:val="105"/>
          <w:sz w:val="19"/>
        </w:rPr>
        <w:t>n) </w:t>
      </w:r>
      <w:r>
        <w:rPr>
          <w:color w:val="010101"/>
          <w:w w:val="105"/>
          <w:sz w:val="21"/>
        </w:rPr>
        <w:t>can be replaced by the equal-age status </w:t>
      </w:r>
      <w:r>
        <w:rPr>
          <w:rFonts w:ascii="Arial"/>
          <w:i/>
          <w:color w:val="010101"/>
          <w:w w:val="105"/>
          <w:sz w:val="17"/>
        </w:rPr>
        <w:t>(x </w:t>
      </w:r>
      <w:r>
        <w:rPr>
          <w:rFonts w:ascii="Arial"/>
          <w:color w:val="010101"/>
          <w:w w:val="105"/>
          <w:sz w:val="31"/>
        </w:rPr>
        <w:t>+ </w:t>
      </w:r>
      <w:r>
        <w:rPr>
          <w:rFonts w:ascii="Arial"/>
          <w:i/>
          <w:color w:val="010101"/>
          <w:w w:val="105"/>
          <w:sz w:val="17"/>
        </w:rPr>
        <w:t>t : x </w:t>
      </w:r>
      <w:r>
        <w:rPr>
          <w:rFonts w:ascii="Arial"/>
          <w:color w:val="010101"/>
          <w:w w:val="105"/>
          <w:sz w:val="31"/>
        </w:rPr>
        <w:t>+ </w:t>
      </w:r>
      <w:r>
        <w:rPr>
          <w:rFonts w:ascii="Arial"/>
          <w:i/>
          <w:color w:val="010101"/>
          <w:w w:val="105"/>
          <w:sz w:val="19"/>
        </w:rPr>
        <w:t>t ) </w:t>
      </w:r>
      <w:r>
        <w:rPr>
          <w:color w:val="010101"/>
          <w:w w:val="105"/>
          <w:sz w:val="21"/>
        </w:rPr>
        <w:t>provided that</w:t>
      </w:r>
    </w:p>
    <w:p>
      <w:pPr>
        <w:spacing w:before="67"/>
        <w:ind w:left="121" w:right="0" w:firstLine="0"/>
        <w:jc w:val="both"/>
        <w:rPr>
          <w:sz w:val="21"/>
        </w:rPr>
      </w:pPr>
      <w:r>
        <w:rPr>
          <w:color w:val="010101"/>
          <w:w w:val="99"/>
          <w:sz w:val="21"/>
        </w:rPr>
        <w:t>Removal</w:t>
      </w:r>
      <w:r>
        <w:rPr>
          <w:color w:val="010101"/>
          <w:spacing w:val="23"/>
          <w:sz w:val="21"/>
        </w:rPr>
        <w:t> </w:t>
      </w:r>
      <w:r>
        <w:rPr>
          <w:color w:val="010101"/>
          <w:w w:val="82"/>
          <w:sz w:val="21"/>
        </w:rPr>
        <w:t>of</w:t>
      </w:r>
      <w:r>
        <w:rPr>
          <w:color w:val="010101"/>
          <w:sz w:val="21"/>
        </w:rPr>
        <w:t> </w:t>
      </w:r>
      <w:r>
        <w:rPr>
          <w:color w:val="010101"/>
          <w:spacing w:val="-18"/>
          <w:sz w:val="21"/>
        </w:rPr>
        <w:t> </w:t>
      </w:r>
      <w:r>
        <w:rPr>
          <w:color w:val="010101"/>
          <w:w w:val="105"/>
          <w:sz w:val="21"/>
        </w:rPr>
        <w:t>the</w:t>
      </w:r>
      <w:r>
        <w:rPr>
          <w:color w:val="010101"/>
          <w:spacing w:val="19"/>
          <w:sz w:val="21"/>
        </w:rPr>
        <w:t> </w:t>
      </w:r>
      <w:r>
        <w:rPr>
          <w:color w:val="010101"/>
          <w:w w:val="102"/>
          <w:sz w:val="21"/>
        </w:rPr>
        <w:t>factor</w:t>
      </w:r>
      <w:r>
        <w:rPr>
          <w:color w:val="010101"/>
          <w:spacing w:val="12"/>
          <w:sz w:val="21"/>
        </w:rPr>
        <w:t> </w:t>
      </w:r>
      <w:r>
        <w:rPr>
          <w:i/>
          <w:color w:val="010101"/>
          <w:spacing w:val="-51"/>
          <w:w w:val="119"/>
          <w:sz w:val="23"/>
        </w:rPr>
        <w:t>¿</w:t>
      </w:r>
      <w:r>
        <w:rPr>
          <w:i/>
          <w:color w:val="010101"/>
          <w:w w:val="34"/>
          <w:sz w:val="23"/>
        </w:rPr>
        <w:t>z:</w:t>
      </w:r>
      <w:r>
        <w:rPr>
          <w:i/>
          <w:color w:val="010101"/>
          <w:spacing w:val="16"/>
          <w:sz w:val="23"/>
        </w:rPr>
        <w:t> </w:t>
      </w:r>
      <w:r>
        <w:rPr>
          <w:color w:val="010101"/>
          <w:w w:val="96"/>
          <w:sz w:val="21"/>
        </w:rPr>
        <w:t>in</w:t>
      </w:r>
      <w:r>
        <w:rPr>
          <w:color w:val="010101"/>
          <w:spacing w:val="21"/>
          <w:sz w:val="21"/>
        </w:rPr>
        <w:t> </w:t>
      </w:r>
      <w:r>
        <w:rPr>
          <w:color w:val="010101"/>
          <w:w w:val="102"/>
          <w:sz w:val="21"/>
        </w:rPr>
        <w:t>this</w:t>
      </w:r>
      <w:r>
        <w:rPr>
          <w:color w:val="010101"/>
          <w:spacing w:val="18"/>
          <w:sz w:val="21"/>
        </w:rPr>
        <w:t> </w:t>
      </w:r>
      <w:r>
        <w:rPr>
          <w:color w:val="010101"/>
          <w:w w:val="99"/>
          <w:sz w:val="21"/>
        </w:rPr>
        <w:t>rclation</w:t>
      </w:r>
      <w:r>
        <w:rPr>
          <w:color w:val="010101"/>
          <w:spacing w:val="22"/>
          <w:sz w:val="21"/>
        </w:rPr>
        <w:t> </w:t>
      </w:r>
      <w:r>
        <w:rPr>
          <w:color w:val="010101"/>
          <w:w w:val="98"/>
          <w:sz w:val="21"/>
        </w:rPr>
        <w:t>yields</w:t>
      </w:r>
    </w:p>
    <w:p>
      <w:pPr>
        <w:spacing w:before="49"/>
        <w:ind w:left="127" w:right="131" w:firstLine="0"/>
        <w:jc w:val="center"/>
        <w:rPr>
          <w:sz w:val="19"/>
        </w:rPr>
      </w:pPr>
      <w:r>
        <w:rPr>
          <w:color w:val="010101"/>
          <w:sz w:val="19"/>
        </w:rPr>
        <w:t>2c'  </w:t>
      </w:r>
      <w:r>
        <w:rPr>
          <w:color w:val="010101"/>
          <w:sz w:val="23"/>
        </w:rPr>
        <w:t>=  </w:t>
      </w:r>
      <w:r>
        <w:rPr>
          <w:b/>
          <w:color w:val="010101"/>
          <w:sz w:val="20"/>
        </w:rPr>
        <w:t>1  </w:t>
      </w:r>
      <w:r>
        <w:rPr>
          <w:color w:val="010101"/>
          <w:sz w:val="29"/>
        </w:rPr>
        <w:t>+ </w:t>
      </w:r>
      <w:r>
        <w:rPr>
          <w:color w:val="010101"/>
          <w:sz w:val="19"/>
        </w:rPr>
        <w:t>e",</w:t>
      </w:r>
    </w:p>
    <w:p>
      <w:pPr>
        <w:spacing w:after="0"/>
        <w:jc w:val="center"/>
        <w:rPr>
          <w:sz w:val="19"/>
        </w:rPr>
        <w:sectPr>
          <w:pgSz w:w="7200" w:h="11340"/>
          <w:pgMar w:top="520" w:bottom="280" w:left="680" w:right="560"/>
        </w:sectPr>
      </w:pPr>
    </w:p>
    <w:p>
      <w:pPr>
        <w:pStyle w:val="BodyText"/>
        <w:rPr>
          <w:sz w:val="19"/>
        </w:rPr>
      </w:pPr>
    </w:p>
    <w:p>
      <w:pPr>
        <w:spacing w:before="0"/>
        <w:ind w:left="117" w:right="-20" w:firstLine="0"/>
        <w:jc w:val="left"/>
        <w:rPr>
          <w:sz w:val="21"/>
        </w:rPr>
      </w:pPr>
      <w:r>
        <w:rPr>
          <w:color w:val="010101"/>
          <w:w w:val="95"/>
          <w:sz w:val="21"/>
        </w:rPr>
        <w:t>whence</w:t>
      </w:r>
    </w:p>
    <w:p>
      <w:pPr>
        <w:tabs>
          <w:tab w:pos="1927" w:val="left" w:leader="none"/>
        </w:tabs>
        <w:spacing w:line="341" w:lineRule="exact" w:before="27"/>
        <w:ind w:left="117" w:right="0" w:firstLine="0"/>
        <w:jc w:val="left"/>
        <w:rPr>
          <w:sz w:val="21"/>
        </w:rPr>
      </w:pPr>
      <w:r>
        <w:rPr/>
        <w:br w:type="column"/>
      </w:r>
      <w:r>
        <w:rPr>
          <w:i/>
          <w:color w:val="010101"/>
          <w:sz w:val="22"/>
        </w:rPr>
        <w:t>t  </w:t>
      </w:r>
      <w:r>
        <w:rPr>
          <w:color w:val="010101"/>
          <w:sz w:val="23"/>
        </w:rPr>
        <w:t>= </w:t>
      </w:r>
      <w:r>
        <w:rPr>
          <w:color w:val="010101"/>
          <w:sz w:val="21"/>
          <w:u w:val="single" w:color="000000"/>
        </w:rPr>
        <w:t>log </w:t>
      </w:r>
      <w:r>
        <w:rPr>
          <w:color w:val="010101"/>
          <w:w w:val="120"/>
          <w:sz w:val="20"/>
          <w:u w:val="single" w:color="000000"/>
        </w:rPr>
        <w:t>(1 </w:t>
      </w:r>
      <w:r>
        <w:rPr>
          <w:rFonts w:ascii="Arial"/>
          <w:color w:val="010101"/>
          <w:sz w:val="31"/>
          <w:u w:val="single" w:color="000000"/>
        </w:rPr>
        <w:t>+ </w:t>
      </w:r>
      <w:r>
        <w:rPr>
          <w:i/>
          <w:color w:val="010101"/>
          <w:sz w:val="18"/>
          <w:u w:val="single" w:color="000000"/>
        </w:rPr>
        <w:t>e"</w:t>
      </w:r>
      <w:r>
        <w:rPr>
          <w:i/>
          <w:color w:val="010101"/>
          <w:spacing w:val="3"/>
          <w:sz w:val="18"/>
          <w:u w:val="single" w:color="000000"/>
        </w:rPr>
        <w:t> </w:t>
      </w:r>
      <w:r>
        <w:rPr>
          <w:i/>
          <w:color w:val="010101"/>
          <w:sz w:val="18"/>
          <w:u w:val="single" w:color="000000"/>
        </w:rPr>
        <w:t>) </w:t>
      </w:r>
      <w:r>
        <w:rPr>
          <w:i/>
          <w:color w:val="010101"/>
          <w:spacing w:val="24"/>
          <w:sz w:val="18"/>
          <w:u w:val="single" w:color="000000"/>
        </w:rPr>
        <w:t> </w:t>
      </w:r>
      <w:r>
        <w:rPr>
          <w:color w:val="010101"/>
          <w:w w:val="285"/>
          <w:sz w:val="18"/>
          <w:u w:val="single" w:color="000000"/>
        </w:rPr>
        <w:t>-</w:t>
      </w:r>
      <w:r>
        <w:rPr>
          <w:color w:val="010101"/>
          <w:w w:val="285"/>
          <w:sz w:val="18"/>
        </w:rPr>
        <w:tab/>
      </w:r>
      <w:r>
        <w:rPr>
          <w:color w:val="010101"/>
          <w:sz w:val="21"/>
          <w:u w:val="single" w:color="000000"/>
        </w:rPr>
        <w:t>log 2</w:t>
      </w:r>
      <w:r>
        <w:rPr>
          <w:color w:val="010101"/>
          <w:spacing w:val="-6"/>
          <w:sz w:val="21"/>
          <w:u w:val="single" w:color="000000"/>
        </w:rPr>
        <w:t> </w:t>
      </w:r>
      <w:r>
        <w:rPr>
          <w:color w:val="010101"/>
          <w:w w:val="120"/>
          <w:sz w:val="21"/>
        </w:rPr>
        <w:t>.</w:t>
      </w:r>
    </w:p>
    <w:p>
      <w:pPr>
        <w:spacing w:line="226" w:lineRule="exact" w:before="0"/>
        <w:ind w:left="1229" w:right="0" w:firstLine="0"/>
        <w:jc w:val="left"/>
        <w:rPr>
          <w:rFonts w:ascii="Arial"/>
          <w:i/>
          <w:sz w:val="18"/>
        </w:rPr>
      </w:pPr>
      <w:r>
        <w:rPr>
          <w:color w:val="010101"/>
          <w:sz w:val="21"/>
        </w:rPr>
        <w:t>log </w:t>
      </w:r>
      <w:r>
        <w:rPr>
          <w:rFonts w:ascii="Arial"/>
          <w:i/>
          <w:color w:val="010101"/>
          <w:sz w:val="18"/>
        </w:rPr>
        <w:t>e</w:t>
      </w:r>
    </w:p>
    <w:p>
      <w:pPr>
        <w:spacing w:after="0" w:line="226" w:lineRule="exact"/>
        <w:jc w:val="left"/>
        <w:rPr>
          <w:rFonts w:ascii="Arial"/>
          <w:sz w:val="18"/>
        </w:rPr>
        <w:sectPr>
          <w:type w:val="continuous"/>
          <w:pgSz w:w="7200" w:h="11340"/>
          <w:pgMar w:top="1100" w:bottom="0" w:left="680" w:right="560"/>
          <w:cols w:num="2" w:equalWidth="0">
            <w:col w:w="727" w:space="954"/>
            <w:col w:w="4279"/>
          </w:cols>
        </w:sectPr>
      </w:pPr>
    </w:p>
    <w:p>
      <w:pPr>
        <w:spacing w:line="235" w:lineRule="auto" w:before="101"/>
        <w:ind w:left="110" w:right="131" w:firstLine="7"/>
        <w:jc w:val="both"/>
        <w:rPr>
          <w:i/>
          <w:sz w:val="21"/>
        </w:rPr>
      </w:pPr>
      <w:r>
        <w:rPr>
          <w:color w:val="010101"/>
          <w:sz w:val="21"/>
        </w:rPr>
        <w:t>The result indicates that the seniority </w:t>
      </w:r>
      <w:r>
        <w:rPr>
          <w:i/>
          <w:color w:val="010101"/>
          <w:sz w:val="22"/>
        </w:rPr>
        <w:t>t  </w:t>
      </w:r>
      <w:r>
        <w:rPr>
          <w:color w:val="010101"/>
          <w:sz w:val="21"/>
        </w:rPr>
        <w:t>of  the  substituted  lives over the age of the younger of the original lives depends only on  the difference n in the original ages. This makes it possible to con­ struct a simple table showing the value </w:t>
      </w:r>
      <w:r>
        <w:rPr>
          <w:rFonts w:ascii="Arial" w:hAnsi="Arial"/>
          <w:i/>
          <w:color w:val="010101"/>
          <w:sz w:val="18"/>
        </w:rPr>
        <w:t>t </w:t>
      </w:r>
      <w:r>
        <w:rPr>
          <w:color w:val="010101"/>
          <w:sz w:val="21"/>
        </w:rPr>
        <w:t>of this uniform seniority for each diff erence in ages </w:t>
      </w:r>
      <w:r>
        <w:rPr>
          <w:i/>
          <w:color w:val="010101"/>
          <w:sz w:val="22"/>
        </w:rPr>
        <w:t>n. </w:t>
      </w:r>
      <w:r>
        <w:rPr>
          <w:color w:val="010101"/>
          <w:sz w:val="21"/>
        </w:rPr>
        <w:t>When  such  a table  is available,  it  </w:t>
      </w:r>
      <w:r>
        <w:rPr>
          <w:rFonts w:ascii="Arial" w:hAnsi="Arial"/>
          <w:color w:val="010101"/>
          <w:sz w:val="19"/>
        </w:rPr>
        <w:t>is </w:t>
      </w:r>
      <w:r>
        <w:rPr>
          <w:color w:val="010101"/>
          <w:sz w:val="21"/>
        </w:rPr>
        <w:t>unnecessary to refer to the values of </w:t>
      </w:r>
      <w:r>
        <w:rPr>
          <w:rFonts w:ascii="Arial" w:hAnsi="Arial"/>
          <w:i/>
          <w:color w:val="010101"/>
          <w:w w:val="90"/>
          <w:sz w:val="14"/>
        </w:rPr>
        <w:t>JJ.:¡; </w:t>
      </w:r>
      <w:r>
        <w:rPr>
          <w:color w:val="010101"/>
          <w:sz w:val="21"/>
        </w:rPr>
        <w:t>or of </w:t>
      </w:r>
      <w:r>
        <w:rPr>
          <w:color w:val="010101"/>
          <w:sz w:val="20"/>
        </w:rPr>
        <w:t>cz </w:t>
      </w:r>
      <w:r>
        <w:rPr>
          <w:color w:val="010101"/>
          <w:sz w:val="21"/>
        </w:rPr>
        <w:t>in order to deter­ mine the age  </w:t>
      </w:r>
      <w:r>
        <w:rPr>
          <w:i/>
          <w:color w:val="010101"/>
          <w:sz w:val="21"/>
        </w:rPr>
        <w:t>w.</w:t>
      </w:r>
    </w:p>
    <w:p>
      <w:pPr>
        <w:spacing w:line="237" w:lineRule="auto" w:before="2"/>
        <w:ind w:left="110" w:right="131" w:firstLine="200"/>
        <w:jc w:val="both"/>
        <w:rPr>
          <w:sz w:val="21"/>
        </w:rPr>
      </w:pPr>
      <w:r>
        <w:rPr>
          <w:color w:val="010101"/>
          <w:sz w:val="21"/>
        </w:rPr>
        <w:t>The table of uniform seniority for the 1941 CSO basis is shown  in Table 6. Because of the special methods used in the construc­ tion of the </w:t>
      </w:r>
      <w:r>
        <w:rPr>
          <w:color w:val="010101"/>
          <w:spacing w:val="-10"/>
          <w:sz w:val="21"/>
        </w:rPr>
        <w:t>1941 </w:t>
      </w:r>
      <w:r>
        <w:rPr>
          <w:color w:val="010101"/>
          <w:sz w:val="21"/>
        </w:rPr>
        <w:t>CSO table at the youngest and the oldest ages, the table of uniform seniqrity does not apply accurately if either age is under  15 or over</w:t>
      </w:r>
      <w:r>
        <w:rPr>
          <w:color w:val="010101"/>
          <w:spacing w:val="-14"/>
          <w:sz w:val="21"/>
        </w:rPr>
        <w:t> </w:t>
      </w:r>
      <w:r>
        <w:rPr>
          <w:color w:val="010101"/>
          <w:sz w:val="21"/>
        </w:rPr>
        <w:t>90.</w:t>
      </w:r>
    </w:p>
    <w:p>
      <w:pPr>
        <w:spacing w:line="213" w:lineRule="auto" w:before="17"/>
        <w:ind w:left="103" w:right="140" w:firstLine="196"/>
        <w:jc w:val="both"/>
        <w:rPr>
          <w:sz w:val="21"/>
        </w:rPr>
      </w:pPr>
      <w:r>
        <w:rPr>
          <w:color w:val="010101"/>
          <w:sz w:val="21"/>
        </w:rPr>
        <w:t>Suppose that we require the equivalent equal age on this basis  for the status (30:40). Since the difference in ages is 10, we enter Table 6 with </w:t>
      </w:r>
      <w:r>
        <w:rPr>
          <w:i/>
          <w:color w:val="010101"/>
          <w:sz w:val="20"/>
        </w:rPr>
        <w:t>n  </w:t>
      </w:r>
      <w:r>
        <w:rPr>
          <w:color w:val="010101"/>
          <w:sz w:val="25"/>
        </w:rPr>
        <w:t>=  </w:t>
      </w:r>
      <w:r>
        <w:rPr>
          <w:color w:val="010101"/>
          <w:sz w:val="21"/>
        </w:rPr>
        <w:t>10 and find </w:t>
      </w:r>
      <w:r>
        <w:rPr>
          <w:i/>
          <w:color w:val="010101"/>
          <w:sz w:val="22"/>
        </w:rPr>
        <w:t>t  </w:t>
      </w:r>
      <w:r>
        <w:rPr>
          <w:color w:val="010101"/>
          <w:sz w:val="26"/>
        </w:rPr>
        <w:t>= </w:t>
      </w:r>
      <w:r>
        <w:rPr>
          <w:color w:val="010101"/>
          <w:spacing w:val="-5"/>
          <w:sz w:val="21"/>
        </w:rPr>
        <w:t>6.036. </w:t>
      </w:r>
      <w:r>
        <w:rPr>
          <w:color w:val="010101"/>
          <w:sz w:val="21"/>
        </w:rPr>
        <w:t>Adding this value of  </w:t>
      </w:r>
      <w:r>
        <w:rPr>
          <w:i/>
          <w:color w:val="010101"/>
          <w:sz w:val="22"/>
        </w:rPr>
        <w:t>t </w:t>
      </w:r>
      <w:r>
        <w:rPr>
          <w:i/>
          <w:color w:val="010101"/>
          <w:spacing w:val="29"/>
          <w:sz w:val="22"/>
        </w:rPr>
        <w:t> </w:t>
      </w:r>
      <w:r>
        <w:rPr>
          <w:color w:val="010101"/>
          <w:sz w:val="21"/>
        </w:rPr>
        <w:t>to</w:t>
      </w:r>
    </w:p>
    <w:p>
      <w:pPr>
        <w:spacing w:line="229" w:lineRule="exact" w:before="0"/>
        <w:ind w:left="103" w:right="0" w:firstLine="0"/>
        <w:jc w:val="both"/>
        <w:rPr>
          <w:sz w:val="21"/>
        </w:rPr>
      </w:pPr>
      <w:r>
        <w:rPr>
          <w:color w:val="010101"/>
          <w:sz w:val="21"/>
        </w:rPr>
        <w:t>the younger age 30, we find that the equivalent equal age is 36.036.</w:t>
      </w:r>
    </w:p>
    <w:p>
      <w:pPr>
        <w:spacing w:after="0" w:line="229" w:lineRule="exact"/>
        <w:jc w:val="both"/>
        <w:rPr>
          <w:sz w:val="21"/>
        </w:rPr>
        <w:sectPr>
          <w:type w:val="continuous"/>
          <w:pgSz w:w="7200" w:h="11340"/>
          <w:pgMar w:top="1100" w:bottom="0" w:left="680" w:right="560"/>
        </w:sectPr>
      </w:pPr>
    </w:p>
    <w:p>
      <w:pPr>
        <w:tabs>
          <w:tab w:pos="1974" w:val="left" w:leader="none"/>
          <w:tab w:pos="5326" w:val="left" w:leader="none"/>
        </w:tabs>
        <w:spacing w:before="65"/>
        <w:ind w:left="129" w:right="0" w:firstLine="0"/>
        <w:jc w:val="left"/>
        <w:rPr>
          <w:rFonts w:ascii="Arial"/>
          <w:sz w:val="19"/>
        </w:rPr>
      </w:pPr>
      <w:r>
        <w:rPr>
          <w:w w:val="110"/>
          <w:sz w:val="20"/>
        </w:rPr>
        <w:t>200</w:t>
        <w:tab/>
      </w:r>
      <w:r>
        <w:rPr>
          <w:rFonts w:ascii="Arial"/>
          <w:w w:val="110"/>
          <w:position w:val="1"/>
          <w:sz w:val="14"/>
        </w:rPr>
        <w:t>THE </w:t>
      </w:r>
      <w:r>
        <w:rPr>
          <w:rFonts w:ascii="Arial"/>
          <w:spacing w:val="28"/>
          <w:w w:val="110"/>
          <w:position w:val="1"/>
          <w:sz w:val="14"/>
        </w:rPr>
        <w:t> </w:t>
      </w:r>
      <w:r>
        <w:rPr>
          <w:rFonts w:ascii="Arial"/>
          <w:w w:val="110"/>
          <w:position w:val="1"/>
          <w:sz w:val="14"/>
        </w:rPr>
        <w:t>JOINT-LIJl'E </w:t>
      </w:r>
      <w:r>
        <w:rPr>
          <w:rFonts w:ascii="Arial"/>
          <w:spacing w:val="24"/>
          <w:w w:val="110"/>
          <w:position w:val="1"/>
          <w:sz w:val="14"/>
        </w:rPr>
        <w:t> </w:t>
      </w:r>
      <w:r>
        <w:rPr>
          <w:rFonts w:ascii="Arial"/>
          <w:w w:val="110"/>
          <w:position w:val="1"/>
          <w:sz w:val="14"/>
        </w:rPr>
        <w:t>STATUS</w:t>
        <w:tab/>
      </w:r>
      <w:r>
        <w:rPr>
          <w:w w:val="95"/>
          <w:position w:val="1"/>
          <w:sz w:val="19"/>
        </w:rPr>
        <w:t>{CH.</w:t>
      </w:r>
      <w:r>
        <w:rPr>
          <w:spacing w:val="7"/>
          <w:w w:val="95"/>
          <w:position w:val="1"/>
          <w:sz w:val="19"/>
        </w:rPr>
        <w:t> </w:t>
      </w:r>
      <w:r>
        <w:rPr>
          <w:rFonts w:ascii="Arial"/>
          <w:w w:val="95"/>
          <w:position w:val="1"/>
          <w:sz w:val="19"/>
        </w:rPr>
        <w:t>9</w:t>
      </w:r>
    </w:p>
    <w:p>
      <w:pPr>
        <w:pStyle w:val="BodyText"/>
        <w:spacing w:before="1"/>
        <w:rPr>
          <w:rFonts w:ascii="Arial"/>
          <w:sz w:val="12"/>
        </w:rPr>
      </w:pPr>
    </w:p>
    <w:p>
      <w:pPr>
        <w:spacing w:after="0"/>
        <w:rPr>
          <w:rFonts w:ascii="Arial"/>
          <w:sz w:val="12"/>
        </w:rPr>
        <w:sectPr>
          <w:pgSz w:w="7200" w:h="11340"/>
          <w:pgMar w:top="480" w:bottom="280" w:left="660" w:right="560"/>
        </w:sect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9"/>
        <w:rPr>
          <w:rFonts w:ascii="Arial"/>
          <w:sz w:val="11"/>
        </w:rPr>
      </w:pPr>
    </w:p>
    <w:p>
      <w:pPr>
        <w:spacing w:before="1"/>
        <w:ind w:left="1026" w:right="-17" w:firstLine="0"/>
        <w:jc w:val="left"/>
        <w:rPr>
          <w:rFonts w:ascii="Arial"/>
          <w:b/>
          <w:sz w:val="14"/>
        </w:rPr>
      </w:pPr>
      <w:r>
        <w:rPr/>
        <w:pict>
          <v:shape style="position:absolute;margin-left:106.959099pt;margin-top:4.439825pt;width:5.75pt;height:14pt;mso-position-horizontal-relative:page;mso-position-vertical-relative:paragraph;z-index:-720088" type="#_x0000_t202" filled="false" stroked="false">
            <v:textbox inset="0,0,0,0">
              <w:txbxContent>
                <w:p>
                  <w:pPr>
                    <w:spacing w:line="280" w:lineRule="exact" w:before="0"/>
                    <w:ind w:left="0" w:right="0" w:firstLine="0"/>
                    <w:jc w:val="left"/>
                    <w:rPr>
                      <w:rFonts w:ascii="Arial" w:hAnsi="Arial"/>
                      <w:sz w:val="28"/>
                    </w:rPr>
                  </w:pPr>
                  <w:r>
                    <w:rPr>
                      <w:rFonts w:ascii="Arial" w:hAnsi="Arial"/>
                      <w:w w:val="116"/>
                      <w:sz w:val="28"/>
                    </w:rPr>
                    <w:t>•</w:t>
                  </w:r>
                </w:p>
              </w:txbxContent>
            </v:textbox>
            <w10:wrap type="none"/>
          </v:shape>
        </w:pict>
      </w:r>
      <w:r>
        <w:rPr>
          <w:w w:val="105"/>
          <w:sz w:val="14"/>
        </w:rPr>
        <w:t>Diflereace </w:t>
      </w:r>
      <w:r>
        <w:rPr>
          <w:rFonts w:ascii="Arial"/>
          <w:b/>
          <w:w w:val="105"/>
          <w:sz w:val="14"/>
        </w:rPr>
        <w:t>of</w:t>
      </w:r>
      <w:r>
        <w:rPr>
          <w:rFonts w:ascii="Arial"/>
          <w:b/>
          <w:spacing w:val="-18"/>
          <w:w w:val="105"/>
          <w:sz w:val="14"/>
        </w:rPr>
        <w:t> </w:t>
      </w:r>
      <w:r>
        <w:rPr>
          <w:rFonts w:ascii="Arial"/>
          <w:b/>
          <w:w w:val="105"/>
          <w:sz w:val="14"/>
        </w:rPr>
        <w:t>Ap</w:t>
      </w:r>
    </w:p>
    <w:p>
      <w:pPr>
        <w:spacing w:before="77"/>
        <w:ind w:left="75" w:right="2147" w:firstLine="0"/>
        <w:jc w:val="center"/>
        <w:rPr>
          <w:sz w:val="18"/>
        </w:rPr>
      </w:pPr>
      <w:r>
        <w:rPr/>
        <w:br w:type="column"/>
      </w:r>
      <w:r>
        <w:rPr>
          <w:w w:val="105"/>
          <w:sz w:val="18"/>
        </w:rPr>
        <w:t>TABLE 6</w:t>
      </w:r>
    </w:p>
    <w:p>
      <w:pPr>
        <w:spacing w:line="157" w:lineRule="exact" w:before="52"/>
        <w:ind w:left="75" w:right="2165" w:firstLine="0"/>
        <w:jc w:val="center"/>
        <w:rPr>
          <w:rFonts w:ascii="Arial"/>
          <w:sz w:val="16"/>
        </w:rPr>
      </w:pPr>
      <w:r>
        <w:rPr>
          <w:rFonts w:ascii="Arial"/>
          <w:w w:val="110"/>
          <w:sz w:val="16"/>
        </w:rPr>
        <w:t>UN1roa11 SsmouTY</w:t>
      </w:r>
    </w:p>
    <w:p>
      <w:pPr>
        <w:spacing w:line="295" w:lineRule="exact" w:before="0"/>
        <w:ind w:left="75" w:right="2144" w:firstLine="0"/>
        <w:jc w:val="center"/>
        <w:rPr>
          <w:sz w:val="17"/>
        </w:rPr>
      </w:pPr>
      <w:r>
        <w:rPr/>
        <w:pict>
          <v:line style="position:absolute;mso-position-horizontal-relative:page;mso-position-vertical-relative:paragraph;z-index:15928" from="39.122631pt,16.923214pt" to="325.005001pt,16.923214pt" stroked="true" strokeweight=".897308pt" strokecolor="#000000">
            <w10:wrap type="none"/>
          </v:line>
        </w:pict>
      </w:r>
      <w:r>
        <w:rPr>
          <w:w w:val="95"/>
          <w:sz w:val="17"/>
        </w:rPr>
        <w:t>1941 </w:t>
      </w:r>
      <w:r>
        <w:rPr>
          <w:w w:val="95"/>
          <w:sz w:val="28"/>
        </w:rPr>
        <w:t>eso </w:t>
      </w:r>
      <w:r>
        <w:rPr>
          <w:w w:val="95"/>
          <w:sz w:val="17"/>
        </w:rPr>
        <w:t>T..u1L11</w:t>
      </w:r>
    </w:p>
    <w:p>
      <w:pPr>
        <w:spacing w:line="159" w:lineRule="exact" w:before="122"/>
        <w:ind w:left="1556" w:right="807" w:firstLine="0"/>
        <w:jc w:val="center"/>
        <w:rPr>
          <w:b/>
          <w:sz w:val="17"/>
        </w:rPr>
      </w:pPr>
      <w:r>
        <w:rPr>
          <w:b/>
          <w:w w:val="95"/>
          <w:sz w:val="15"/>
        </w:rPr>
        <w:t>Addition </w:t>
      </w:r>
      <w:r>
        <w:rPr>
          <w:w w:val="95"/>
          <w:sz w:val="14"/>
        </w:rPr>
        <w:t>to </w:t>
      </w:r>
      <w:r>
        <w:rPr>
          <w:w w:val="95"/>
          <w:sz w:val="13"/>
        </w:rPr>
        <w:t>Y</w:t>
      </w:r>
      <w:r>
        <w:rPr>
          <w:b/>
          <w:w w:val="95"/>
          <w:sz w:val="15"/>
        </w:rPr>
        <w:t>oun¡er </w:t>
      </w:r>
      <w:r>
        <w:rPr>
          <w:b/>
          <w:w w:val="95"/>
          <w:sz w:val="17"/>
        </w:rPr>
        <w:t>Ace</w:t>
      </w:r>
    </w:p>
    <w:p>
      <w:pPr>
        <w:spacing w:line="343" w:lineRule="exact" w:before="0"/>
        <w:ind w:left="791" w:right="0" w:firstLine="0"/>
        <w:jc w:val="center"/>
        <w:rPr>
          <w:rFonts w:ascii="Arial"/>
          <w:sz w:val="33"/>
        </w:rPr>
      </w:pPr>
      <w:r>
        <w:rPr/>
        <w:pict>
          <v:line style="position:absolute;mso-position-horizontal-relative:page;mso-position-vertical-relative:paragraph;z-index:-720112" from="39.48156pt,13.830184pt" to="322.8514pt,13.830184pt" stroked="true" strokeweight=".897308pt" strokecolor="#000000">
            <w10:wrap type="none"/>
          </v:line>
        </w:pict>
      </w:r>
      <w:r>
        <w:rPr>
          <w:rFonts w:ascii="Arial"/>
          <w:w w:val="128"/>
          <w:sz w:val="33"/>
        </w:rPr>
        <w:t>'</w:t>
      </w:r>
    </w:p>
    <w:p>
      <w:pPr>
        <w:spacing w:after="0" w:line="343" w:lineRule="exact"/>
        <w:jc w:val="center"/>
        <w:rPr>
          <w:rFonts w:ascii="Arial"/>
          <w:sz w:val="33"/>
        </w:rPr>
        <w:sectPr>
          <w:type w:val="continuous"/>
          <w:pgSz w:w="7200" w:h="11340"/>
          <w:pgMar w:top="1100" w:bottom="0" w:left="660" w:right="560"/>
          <w:cols w:num="2" w:equalWidth="0">
            <w:col w:w="2036" w:space="40"/>
            <w:col w:w="3904"/>
          </w:cols>
        </w:sectPr>
      </w:pPr>
    </w:p>
    <w:p>
      <w:pPr>
        <w:tabs>
          <w:tab w:pos="4246" w:val="left" w:leader="none"/>
        </w:tabs>
        <w:spacing w:before="30"/>
        <w:ind w:left="1536" w:right="739" w:firstLine="0"/>
        <w:jc w:val="left"/>
        <w:rPr>
          <w:sz w:val="17"/>
        </w:rPr>
      </w:pPr>
      <w:r>
        <w:rPr>
          <w:w w:val="120"/>
          <w:sz w:val="17"/>
        </w:rPr>
        <w:t>1</w:t>
        <w:tab/>
        <w:t>0.511</w:t>
      </w:r>
    </w:p>
    <w:p>
      <w:pPr>
        <w:tabs>
          <w:tab w:pos="4257" w:val="left" w:leader="none"/>
        </w:tabs>
        <w:spacing w:line="193" w:lineRule="exact" w:before="6"/>
        <w:ind w:left="1529" w:right="739" w:firstLine="0"/>
        <w:jc w:val="left"/>
        <w:rPr>
          <w:sz w:val="17"/>
        </w:rPr>
      </w:pPr>
      <w:r>
        <w:rPr>
          <w:rFonts w:ascii="Arial"/>
          <w:w w:val="105"/>
          <w:sz w:val="16"/>
        </w:rPr>
        <w:t>2</w:t>
        <w:tab/>
      </w:r>
      <w:r>
        <w:rPr>
          <w:w w:val="105"/>
          <w:sz w:val="17"/>
        </w:rPr>
        <w:t>1.043</w:t>
      </w:r>
    </w:p>
    <w:p>
      <w:pPr>
        <w:tabs>
          <w:tab w:pos="4257" w:val="left" w:leader="none"/>
        </w:tabs>
        <w:spacing w:line="201" w:lineRule="exact" w:before="0"/>
        <w:ind w:left="1525" w:right="739" w:firstLine="0"/>
        <w:jc w:val="left"/>
        <w:rPr>
          <w:sz w:val="17"/>
        </w:rPr>
      </w:pPr>
      <w:r>
        <w:rPr>
          <w:rFonts w:ascii="Arial"/>
          <w:w w:val="105"/>
          <w:sz w:val="16"/>
        </w:rPr>
        <w:t>3</w:t>
        <w:tab/>
      </w:r>
      <w:r>
        <w:rPr>
          <w:w w:val="105"/>
          <w:position w:val="1"/>
          <w:sz w:val="17"/>
        </w:rPr>
        <w:t>1.596</w:t>
      </w:r>
    </w:p>
    <w:p>
      <w:pPr>
        <w:tabs>
          <w:tab w:pos="4249" w:val="left" w:leader="none"/>
        </w:tabs>
        <w:spacing w:before="5"/>
        <w:ind w:left="1529" w:right="739" w:firstLine="0"/>
        <w:jc w:val="left"/>
        <w:rPr>
          <w:sz w:val="17"/>
        </w:rPr>
      </w:pPr>
      <w:r>
        <w:rPr>
          <w:w w:val="110"/>
          <w:sz w:val="17"/>
        </w:rPr>
        <w:t>4</w:t>
        <w:tab/>
      </w:r>
      <w:r>
        <w:rPr>
          <w:spacing w:val="-3"/>
          <w:w w:val="110"/>
          <w:sz w:val="17"/>
        </w:rPr>
        <w:t>2.170</w:t>
      </w:r>
    </w:p>
    <w:p>
      <w:pPr>
        <w:tabs>
          <w:tab w:pos="4246" w:val="left" w:leader="none"/>
        </w:tabs>
        <w:spacing w:before="4"/>
        <w:ind w:left="1529" w:right="739" w:firstLine="0"/>
        <w:jc w:val="left"/>
        <w:rPr>
          <w:rFonts w:ascii="Courier New"/>
          <w:sz w:val="18"/>
        </w:rPr>
      </w:pPr>
      <w:r>
        <w:rPr>
          <w:rFonts w:ascii="Arial"/>
          <w:sz w:val="16"/>
        </w:rPr>
        <w:t>5</w:t>
        <w:tab/>
      </w:r>
      <w:r>
        <w:rPr>
          <w:rFonts w:ascii="Courier New"/>
          <w:spacing w:val="-15"/>
          <w:position w:val="1"/>
          <w:sz w:val="18"/>
        </w:rPr>
        <w:t>2.765</w:t>
      </w:r>
    </w:p>
    <w:p>
      <w:pPr>
        <w:pStyle w:val="BodyText"/>
        <w:spacing w:before="1"/>
        <w:rPr>
          <w:rFonts w:ascii="Courier New"/>
          <w:sz w:val="18"/>
        </w:rPr>
      </w:pPr>
    </w:p>
    <w:p>
      <w:pPr>
        <w:tabs>
          <w:tab w:pos="4239" w:val="left" w:leader="none"/>
        </w:tabs>
        <w:spacing w:line="201" w:lineRule="exact" w:before="0"/>
        <w:ind w:left="1518" w:right="739" w:firstLine="0"/>
        <w:jc w:val="left"/>
        <w:rPr>
          <w:rFonts w:ascii="Courier New"/>
          <w:sz w:val="18"/>
        </w:rPr>
      </w:pPr>
      <w:r>
        <w:rPr>
          <w:rFonts w:ascii="Arial"/>
          <w:sz w:val="16"/>
        </w:rPr>
        <w:t>6</w:t>
        <w:tab/>
      </w:r>
      <w:r>
        <w:rPr>
          <w:rFonts w:ascii="Courier New"/>
          <w:spacing w:val="-14"/>
          <w:sz w:val="18"/>
        </w:rPr>
        <w:t>3.380</w:t>
      </w:r>
    </w:p>
    <w:p>
      <w:pPr>
        <w:tabs>
          <w:tab w:pos="4239" w:val="left" w:leader="none"/>
        </w:tabs>
        <w:spacing w:line="196" w:lineRule="exact" w:before="0"/>
        <w:ind w:left="1529" w:right="739" w:firstLine="0"/>
        <w:jc w:val="left"/>
        <w:rPr>
          <w:rFonts w:ascii="Courier New"/>
          <w:sz w:val="18"/>
        </w:rPr>
      </w:pPr>
      <w:r>
        <w:rPr>
          <w:sz w:val="16"/>
        </w:rPr>
        <w:t>7</w:t>
        <w:tab/>
      </w:r>
      <w:r>
        <w:rPr>
          <w:rFonts w:ascii="Courier New"/>
          <w:spacing w:val="-22"/>
          <w:sz w:val="18"/>
        </w:rPr>
        <w:t>4.015</w:t>
      </w:r>
    </w:p>
    <w:p>
      <w:pPr>
        <w:tabs>
          <w:tab w:pos="4239" w:val="left" w:leader="none"/>
        </w:tabs>
        <w:spacing w:line="199" w:lineRule="exact" w:before="0"/>
        <w:ind w:left="1518" w:right="739" w:firstLine="0"/>
        <w:jc w:val="left"/>
        <w:rPr>
          <w:rFonts w:ascii="Courier New"/>
          <w:sz w:val="18"/>
        </w:rPr>
      </w:pPr>
      <w:r>
        <w:rPr>
          <w:rFonts w:ascii="Arial"/>
          <w:i/>
          <w:w w:val="110"/>
          <w:sz w:val="16"/>
        </w:rPr>
        <w:t>8</w:t>
        <w:tab/>
      </w:r>
      <w:r>
        <w:rPr>
          <w:rFonts w:ascii="Courier New"/>
          <w:spacing w:val="-31"/>
          <w:w w:val="110"/>
          <w:position w:val="1"/>
          <w:sz w:val="18"/>
        </w:rPr>
        <w:t>4.670</w:t>
      </w:r>
    </w:p>
    <w:p>
      <w:pPr>
        <w:tabs>
          <w:tab w:pos="4242" w:val="left" w:leader="none"/>
        </w:tabs>
        <w:spacing w:line="198" w:lineRule="exact" w:before="3"/>
        <w:ind w:left="1522" w:right="739" w:firstLine="0"/>
        <w:jc w:val="left"/>
        <w:rPr>
          <w:rFonts w:ascii="Courier New"/>
          <w:sz w:val="18"/>
        </w:rPr>
      </w:pPr>
      <w:r>
        <w:rPr>
          <w:rFonts w:ascii="Arial"/>
          <w:sz w:val="16"/>
        </w:rPr>
        <w:t>9</w:t>
        <w:tab/>
      </w:r>
      <w:r>
        <w:rPr>
          <w:rFonts w:ascii="Courier New"/>
          <w:spacing w:val="-20"/>
          <w:sz w:val="18"/>
        </w:rPr>
        <w:t>5.344</w:t>
      </w:r>
    </w:p>
    <w:p>
      <w:pPr>
        <w:tabs>
          <w:tab w:pos="4239" w:val="left" w:leader="none"/>
        </w:tabs>
        <w:spacing w:line="190" w:lineRule="exact" w:before="0"/>
        <w:ind w:left="1454" w:right="739" w:firstLine="0"/>
        <w:jc w:val="left"/>
        <w:rPr>
          <w:sz w:val="17"/>
        </w:rPr>
      </w:pPr>
      <w:r>
        <w:rPr>
          <w:spacing w:val="-22"/>
          <w:w w:val="145"/>
          <w:sz w:val="16"/>
        </w:rPr>
        <w:t>10</w:t>
        <w:tab/>
      </w:r>
      <w:r>
        <w:rPr>
          <w:w w:val="310"/>
          <w:sz w:val="17"/>
        </w:rPr>
        <w:t>6.</w:t>
      </w:r>
    </w:p>
    <w:p>
      <w:pPr>
        <w:pStyle w:val="BodyText"/>
        <w:spacing w:before="8"/>
        <w:rPr>
          <w:sz w:val="17"/>
        </w:rPr>
      </w:pPr>
    </w:p>
    <w:p>
      <w:pPr>
        <w:tabs>
          <w:tab w:pos="4235" w:val="left" w:leader="none"/>
        </w:tabs>
        <w:spacing w:before="0"/>
        <w:ind w:left="1450" w:right="739" w:firstLine="0"/>
        <w:jc w:val="left"/>
        <w:rPr>
          <w:sz w:val="17"/>
        </w:rPr>
      </w:pPr>
      <w:r>
        <w:rPr>
          <w:rFonts w:ascii="Arial"/>
          <w:w w:val="105"/>
          <w:sz w:val="16"/>
        </w:rPr>
        <w:t>11</w:t>
        <w:tab/>
      </w:r>
      <w:r>
        <w:rPr>
          <w:w w:val="105"/>
          <w:sz w:val="17"/>
        </w:rPr>
        <w:t>6.747</w:t>
      </w:r>
    </w:p>
    <w:p>
      <w:pPr>
        <w:tabs>
          <w:tab w:pos="4239" w:val="left" w:leader="none"/>
        </w:tabs>
        <w:spacing w:line="211" w:lineRule="exact" w:before="6"/>
        <w:ind w:left="1454" w:right="739" w:firstLine="0"/>
        <w:jc w:val="left"/>
        <w:rPr>
          <w:rFonts w:ascii="Courier New"/>
          <w:sz w:val="18"/>
        </w:rPr>
      </w:pPr>
      <w:r>
        <w:rPr>
          <w:sz w:val="17"/>
        </w:rPr>
        <w:t>12</w:t>
        <w:tab/>
      </w:r>
      <w:r>
        <w:rPr>
          <w:rFonts w:ascii="Courier New"/>
          <w:spacing w:val="-19"/>
          <w:sz w:val="18"/>
        </w:rPr>
        <w:t>7.474</w:t>
      </w:r>
    </w:p>
    <w:p>
      <w:pPr>
        <w:tabs>
          <w:tab w:pos="4242" w:val="left" w:leader="none"/>
        </w:tabs>
        <w:spacing w:line="197" w:lineRule="exact" w:before="0"/>
        <w:ind w:left="1454" w:right="739" w:firstLine="0"/>
        <w:jc w:val="left"/>
        <w:rPr>
          <w:rFonts w:ascii="Courier New"/>
          <w:sz w:val="18"/>
        </w:rPr>
      </w:pPr>
      <w:r>
        <w:rPr>
          <w:rFonts w:ascii="Courier New"/>
          <w:sz w:val="18"/>
        </w:rPr>
        <w:t>13</w:t>
        <w:tab/>
      </w:r>
      <w:r>
        <w:rPr>
          <w:rFonts w:ascii="Courier New"/>
          <w:spacing w:val="-18"/>
          <w:sz w:val="18"/>
        </w:rPr>
        <w:t>8.218</w:t>
      </w:r>
    </w:p>
    <w:p>
      <w:pPr>
        <w:tabs>
          <w:tab w:pos="4239" w:val="left" w:leader="none"/>
        </w:tabs>
        <w:spacing w:line="201" w:lineRule="exact" w:before="0"/>
        <w:ind w:left="1457" w:right="739" w:firstLine="0"/>
        <w:jc w:val="left"/>
        <w:rPr>
          <w:sz w:val="17"/>
        </w:rPr>
      </w:pPr>
      <w:r>
        <w:rPr>
          <w:rFonts w:ascii="Courier New"/>
          <w:spacing w:val="-12"/>
          <w:w w:val="105"/>
          <w:sz w:val="18"/>
        </w:rPr>
        <w:t>14</w:t>
        <w:tab/>
      </w:r>
      <w:r>
        <w:rPr>
          <w:w w:val="105"/>
          <w:sz w:val="17"/>
        </w:rPr>
        <w:t>8.978</w:t>
      </w:r>
    </w:p>
    <w:p>
      <w:pPr>
        <w:tabs>
          <w:tab w:pos="4246" w:val="left" w:leader="none"/>
        </w:tabs>
        <w:spacing w:line="207" w:lineRule="exact" w:before="0"/>
        <w:ind w:left="1457" w:right="739" w:firstLine="0"/>
        <w:jc w:val="left"/>
        <w:rPr>
          <w:rFonts w:ascii="Courier New"/>
          <w:sz w:val="18"/>
        </w:rPr>
      </w:pPr>
      <w:r>
        <w:rPr>
          <w:sz w:val="17"/>
        </w:rPr>
        <w:t>15</w:t>
        <w:tab/>
      </w:r>
      <w:r>
        <w:rPr>
          <w:rFonts w:ascii="Courier New"/>
          <w:spacing w:val="-20"/>
          <w:sz w:val="18"/>
        </w:rPr>
        <w:t>9.753</w:t>
      </w:r>
    </w:p>
    <w:p>
      <w:pPr>
        <w:pStyle w:val="BodyText"/>
        <w:spacing w:before="1"/>
        <w:rPr>
          <w:rFonts w:ascii="Courier New"/>
          <w:sz w:val="16"/>
        </w:rPr>
      </w:pPr>
    </w:p>
    <w:p>
      <w:pPr>
        <w:tabs>
          <w:tab w:pos="4163" w:val="left" w:leader="none"/>
        </w:tabs>
        <w:spacing w:before="0"/>
        <w:ind w:left="1446" w:right="739" w:firstLine="0"/>
        <w:jc w:val="left"/>
        <w:rPr>
          <w:sz w:val="17"/>
        </w:rPr>
      </w:pPr>
      <w:r>
        <w:rPr>
          <w:spacing w:val="-22"/>
          <w:w w:val="115"/>
          <w:sz w:val="17"/>
        </w:rPr>
        <w:t>16</w:t>
        <w:tab/>
      </w:r>
      <w:r>
        <w:rPr>
          <w:spacing w:val="-9"/>
          <w:w w:val="115"/>
          <w:sz w:val="17"/>
        </w:rPr>
        <w:t>10.543</w:t>
      </w:r>
    </w:p>
    <w:p>
      <w:pPr>
        <w:tabs>
          <w:tab w:pos="4171" w:val="left" w:leader="none"/>
        </w:tabs>
        <w:spacing w:before="6"/>
        <w:ind w:left="1450" w:right="739" w:firstLine="0"/>
        <w:jc w:val="left"/>
        <w:rPr>
          <w:sz w:val="16"/>
        </w:rPr>
      </w:pPr>
      <w:r>
        <w:rPr>
          <w:spacing w:val="-19"/>
          <w:w w:val="110"/>
          <w:sz w:val="17"/>
        </w:rPr>
        <w:t>17</w:t>
        <w:tab/>
      </w:r>
      <w:r>
        <w:rPr>
          <w:w w:val="110"/>
          <w:sz w:val="16"/>
        </w:rPr>
        <w:t>11.346</w:t>
      </w:r>
    </w:p>
    <w:p>
      <w:pPr>
        <w:tabs>
          <w:tab w:pos="4171" w:val="left" w:leader="none"/>
        </w:tabs>
        <w:spacing w:line="203" w:lineRule="exact" w:before="14"/>
        <w:ind w:left="1446" w:right="739" w:firstLine="0"/>
        <w:jc w:val="left"/>
        <w:rPr>
          <w:rFonts w:ascii="Courier New"/>
          <w:sz w:val="18"/>
        </w:rPr>
      </w:pPr>
      <w:r>
        <w:rPr>
          <w:rFonts w:ascii="Courier New"/>
          <w:w w:val="90"/>
          <w:sz w:val="18"/>
        </w:rPr>
        <w:t>18</w:t>
        <w:tab/>
        <w:t>12.163</w:t>
      </w:r>
    </w:p>
    <w:p>
      <w:pPr>
        <w:tabs>
          <w:tab w:pos="4171" w:val="left" w:leader="none"/>
        </w:tabs>
        <w:spacing w:line="199" w:lineRule="exact" w:before="0"/>
        <w:ind w:left="1454" w:right="739" w:firstLine="0"/>
        <w:jc w:val="left"/>
        <w:rPr>
          <w:rFonts w:ascii="Courier New"/>
          <w:sz w:val="18"/>
        </w:rPr>
      </w:pPr>
      <w:r>
        <w:rPr>
          <w:rFonts w:ascii="Courier New"/>
          <w:w w:val="90"/>
          <w:sz w:val="18"/>
        </w:rPr>
        <w:t>19</w:t>
        <w:tab/>
      </w:r>
      <w:r>
        <w:rPr>
          <w:rFonts w:ascii="Courier New"/>
          <w:spacing w:val="-8"/>
          <w:w w:val="90"/>
          <w:sz w:val="18"/>
        </w:rPr>
        <w:t>12.992</w:t>
      </w:r>
    </w:p>
    <w:p>
      <w:pPr>
        <w:tabs>
          <w:tab w:pos="4171" w:val="left" w:leader="none"/>
        </w:tabs>
        <w:spacing w:line="192" w:lineRule="exact" w:before="0"/>
        <w:ind w:left="1446" w:right="739" w:firstLine="0"/>
        <w:jc w:val="left"/>
        <w:rPr>
          <w:sz w:val="17"/>
        </w:rPr>
      </w:pPr>
      <w:r>
        <w:rPr>
          <w:w w:val="105"/>
          <w:sz w:val="17"/>
        </w:rPr>
        <w:t>20</w:t>
        <w:tab/>
      </w:r>
      <w:r>
        <w:rPr>
          <w:spacing w:val="-7"/>
          <w:w w:val="105"/>
          <w:sz w:val="17"/>
        </w:rPr>
        <w:t>13.833</w:t>
      </w:r>
    </w:p>
    <w:p>
      <w:pPr>
        <w:pStyle w:val="BodyText"/>
        <w:spacing w:before="5"/>
        <w:rPr>
          <w:sz w:val="17"/>
        </w:rPr>
      </w:pPr>
    </w:p>
    <w:p>
      <w:pPr>
        <w:tabs>
          <w:tab w:pos="4171" w:val="left" w:leader="none"/>
        </w:tabs>
        <w:spacing w:line="208" w:lineRule="exact" w:before="0"/>
        <w:ind w:left="1443" w:right="739" w:firstLine="0"/>
        <w:jc w:val="left"/>
        <w:rPr>
          <w:rFonts w:ascii="Courier New"/>
          <w:sz w:val="19"/>
        </w:rPr>
      </w:pPr>
      <w:r>
        <w:rPr>
          <w:rFonts w:ascii="Courier New"/>
          <w:spacing w:val="-14"/>
          <w:w w:val="95"/>
          <w:sz w:val="18"/>
        </w:rPr>
        <w:t>21</w:t>
        <w:tab/>
      </w:r>
      <w:r>
        <w:rPr>
          <w:rFonts w:ascii="Courier New"/>
          <w:spacing w:val="-11"/>
          <w:w w:val="95"/>
          <w:sz w:val="19"/>
        </w:rPr>
        <w:t>14.685</w:t>
      </w:r>
    </w:p>
    <w:p>
      <w:pPr>
        <w:tabs>
          <w:tab w:pos="4171" w:val="left" w:leader="none"/>
        </w:tabs>
        <w:spacing w:line="198" w:lineRule="exact" w:before="0"/>
        <w:ind w:left="1443" w:right="739" w:firstLine="0"/>
        <w:jc w:val="left"/>
        <w:rPr>
          <w:rFonts w:ascii="Courier New"/>
          <w:sz w:val="19"/>
        </w:rPr>
      </w:pPr>
      <w:r>
        <w:rPr>
          <w:sz w:val="16"/>
        </w:rPr>
        <w:t>22</w:t>
        <w:tab/>
      </w:r>
      <w:r>
        <w:rPr>
          <w:rFonts w:ascii="Courier New"/>
          <w:spacing w:val="-6"/>
          <w:sz w:val="19"/>
        </w:rPr>
        <w:t>15.547</w:t>
      </w:r>
    </w:p>
    <w:p>
      <w:pPr>
        <w:tabs>
          <w:tab w:pos="4174" w:val="left" w:leader="none"/>
        </w:tabs>
        <w:spacing w:line="190" w:lineRule="exact" w:before="0"/>
        <w:ind w:left="1443" w:right="739" w:firstLine="0"/>
        <w:jc w:val="left"/>
        <w:rPr>
          <w:sz w:val="17"/>
        </w:rPr>
      </w:pPr>
      <w:r>
        <w:rPr>
          <w:w w:val="105"/>
          <w:sz w:val="16"/>
        </w:rPr>
        <w:t>23</w:t>
        <w:tab/>
      </w:r>
      <w:r>
        <w:rPr>
          <w:w w:val="105"/>
          <w:position w:val="1"/>
          <w:sz w:val="17"/>
        </w:rPr>
        <w:t>16.420</w:t>
      </w:r>
    </w:p>
    <w:p>
      <w:pPr>
        <w:tabs>
          <w:tab w:pos="4174" w:val="left" w:leader="none"/>
        </w:tabs>
        <w:spacing w:line="216" w:lineRule="exact" w:before="0"/>
        <w:ind w:left="1443" w:right="739" w:firstLine="0"/>
        <w:jc w:val="left"/>
        <w:rPr>
          <w:rFonts w:ascii="Courier New"/>
          <w:sz w:val="19"/>
        </w:rPr>
      </w:pPr>
      <w:r>
        <w:rPr>
          <w:w w:val="90"/>
          <w:sz w:val="18"/>
        </w:rPr>
        <w:t>24</w:t>
        <w:tab/>
      </w:r>
      <w:r>
        <w:rPr>
          <w:rFonts w:ascii="Courier New"/>
          <w:spacing w:val="-6"/>
          <w:w w:val="90"/>
          <w:sz w:val="19"/>
        </w:rPr>
        <w:t>17.301</w:t>
      </w:r>
    </w:p>
    <w:p>
      <w:pPr>
        <w:tabs>
          <w:tab w:pos="4171" w:val="left" w:leader="none"/>
        </w:tabs>
        <w:spacing w:line="208" w:lineRule="exact" w:before="0"/>
        <w:ind w:left="1443" w:right="739" w:firstLine="0"/>
        <w:jc w:val="left"/>
        <w:rPr>
          <w:rFonts w:ascii="Courier New"/>
          <w:sz w:val="19"/>
        </w:rPr>
      </w:pPr>
      <w:r>
        <w:rPr/>
        <w:pict>
          <v:line style="position:absolute;mso-position-horizontal-relative:page;mso-position-vertical-relative:paragraph;z-index:15904;mso-wrap-distance-left:0;mso-wrap-distance-right:0" from="39.122631pt,15.471624pt" to="324.107701pt,15.471624pt" stroked="true" strokeweight=".897308pt" strokecolor="#000000">
            <w10:wrap type="topAndBottom"/>
          </v:line>
        </w:pict>
      </w:r>
      <w:r>
        <w:rPr>
          <w:w w:val="95"/>
          <w:sz w:val="16"/>
        </w:rPr>
        <w:t>25</w:t>
        <w:tab/>
      </w:r>
      <w:r>
        <w:rPr>
          <w:rFonts w:ascii="Courier New"/>
          <w:spacing w:val="-5"/>
          <w:w w:val="95"/>
          <w:sz w:val="19"/>
        </w:rPr>
        <w:t>18.191</w:t>
      </w:r>
    </w:p>
    <w:p>
      <w:pPr>
        <w:spacing w:before="16"/>
        <w:ind w:left="316" w:right="739" w:firstLine="0"/>
        <w:jc w:val="left"/>
        <w:rPr>
          <w:sz w:val="18"/>
        </w:rPr>
      </w:pPr>
      <w:r>
        <w:rPr>
          <w:w w:val="105"/>
          <w:sz w:val="18"/>
        </w:rPr>
        <w:t>Does  not apply if  either age </w:t>
      </w:r>
      <w:r>
        <w:rPr>
          <w:rFonts w:ascii="Arial"/>
          <w:w w:val="105"/>
          <w:sz w:val="18"/>
        </w:rPr>
        <w:t>is </w:t>
      </w:r>
      <w:r>
        <w:rPr>
          <w:w w:val="105"/>
          <w:sz w:val="18"/>
        </w:rPr>
        <w:t>under  15  or over 90.</w:t>
      </w:r>
    </w:p>
    <w:p>
      <w:pPr>
        <w:pStyle w:val="BodyText"/>
        <w:rPr>
          <w:sz w:val="18"/>
        </w:rPr>
      </w:pPr>
    </w:p>
    <w:p>
      <w:pPr>
        <w:pStyle w:val="BodyText"/>
        <w:spacing w:line="237" w:lineRule="auto" w:before="133"/>
        <w:ind w:left="111" w:right="139" w:firstLine="197"/>
        <w:jc w:val="both"/>
        <w:rPr>
          <w:sz w:val="16"/>
        </w:rPr>
      </w:pPr>
      <w:r>
        <w:rPr>
          <w:w w:val="105"/>
        </w:rPr>
        <w:t>The principie may be extended </w:t>
      </w:r>
      <w:r>
        <w:rPr>
          <w:w w:val="105"/>
          <w:sz w:val="22"/>
        </w:rPr>
        <w:t>to </w:t>
      </w:r>
      <w:r>
        <w:rPr>
          <w:w w:val="105"/>
        </w:rPr>
        <w:t>the case of three joint  lives,  but the procesa is more complicated, and </w:t>
      </w:r>
      <w:r>
        <w:rPr>
          <w:w w:val="105"/>
          <w:sz w:val="21"/>
        </w:rPr>
        <w:t>it </w:t>
      </w:r>
      <w:r>
        <w:rPr>
          <w:w w:val="105"/>
        </w:rPr>
        <w:t>is simpler to inter­ </w:t>
      </w:r>
      <w:r>
        <w:rPr>
          <w:w w:val="105"/>
          <w:sz w:val="21"/>
        </w:rPr>
        <w:t>pola.te </w:t>
      </w:r>
      <w:r>
        <w:rPr>
          <w:w w:val="105"/>
        </w:rPr>
        <w:t>for </w:t>
      </w:r>
      <w:r>
        <w:rPr>
          <w:rFonts w:ascii="Arial" w:hAnsi="Arial"/>
          <w:i/>
          <w:w w:val="105"/>
          <w:sz w:val="18"/>
        </w:rPr>
        <w:t>w </w:t>
      </w:r>
      <w:r>
        <w:rPr>
          <w:w w:val="105"/>
        </w:rPr>
        <w:t>in a table of </w:t>
      </w:r>
      <w:r>
        <w:rPr>
          <w:w w:val="105"/>
          <w:sz w:val="16"/>
        </w:rPr>
        <w:t>l'z </w:t>
      </w:r>
      <w:r>
        <w:rPr>
          <w:w w:val="105"/>
        </w:rPr>
        <w:t>or </w:t>
      </w:r>
      <w:r>
        <w:rPr>
          <w:spacing w:val="1"/>
          <w:w w:val="105"/>
        </w:rPr>
        <w:t> </w:t>
      </w:r>
      <w:r>
        <w:rPr>
          <w:w w:val="105"/>
          <w:sz w:val="16"/>
        </w:rPr>
        <w:t>cz.</w:t>
      </w:r>
    </w:p>
    <w:p>
      <w:pPr>
        <w:pStyle w:val="BodyText"/>
        <w:spacing w:line="244" w:lineRule="auto" w:before="9"/>
        <w:ind w:left="108" w:right="138" w:firstLine="197"/>
        <w:jc w:val="both"/>
      </w:pPr>
      <w:r>
        <w:rPr>
          <w:w w:val="105"/>
        </w:rPr>
        <w:t>The case of four joint lives can be treated,  however,  by  meaos of the table of unüonn seniority for two lives. Consider first the special </w:t>
      </w:r>
      <w:r>
        <w:rPr>
          <w:w w:val="105"/>
          <w:sz w:val="21"/>
        </w:rPr>
        <w:t>ca.se </w:t>
      </w:r>
      <w:r>
        <w:rPr>
          <w:w w:val="105"/>
        </w:rPr>
        <w:t>of the status </w:t>
      </w:r>
      <w:r>
        <w:rPr>
          <w:rFonts w:ascii="Arial" w:hAnsi="Arial"/>
          <w:i/>
          <w:w w:val="105"/>
          <w:sz w:val="19"/>
        </w:rPr>
        <w:t>(xxyy), </w:t>
      </w:r>
      <w:r>
        <w:rPr>
          <w:w w:val="105"/>
        </w:rPr>
        <w:t>involving four Iives but only two distinct   a.ges.   The   equivalent   equal   age  </w:t>
      </w:r>
      <w:r>
        <w:rPr>
          <w:i/>
          <w:w w:val="105"/>
        </w:rPr>
        <w:t>w   </w:t>
      </w:r>
      <w:r>
        <w:rPr>
          <w:w w:val="105"/>
        </w:rPr>
        <w:t>must   satisfy  the</w:t>
      </w:r>
    </w:p>
    <w:p>
      <w:pPr>
        <w:spacing w:after="0" w:line="244" w:lineRule="auto"/>
        <w:jc w:val="both"/>
        <w:sectPr>
          <w:type w:val="continuous"/>
          <w:pgSz w:w="7200" w:h="11340"/>
          <w:pgMar w:top="1100" w:bottom="0" w:left="660" w:right="560"/>
        </w:sectPr>
      </w:pPr>
    </w:p>
    <w:p>
      <w:pPr>
        <w:tabs>
          <w:tab w:pos="938" w:val="left" w:leader="none"/>
          <w:tab w:pos="5788" w:val="right" w:leader="none"/>
        </w:tabs>
        <w:spacing w:before="59"/>
        <w:ind w:left="119" w:right="0" w:firstLine="0"/>
        <w:jc w:val="left"/>
        <w:rPr>
          <w:rFonts w:ascii="Arial"/>
          <w:b/>
          <w:sz w:val="20"/>
        </w:rPr>
      </w:pPr>
      <w:r>
        <w:rPr>
          <w:b/>
          <w:color w:val="010101"/>
          <w:sz w:val="15"/>
        </w:rPr>
        <w:t>BEC. </w:t>
      </w:r>
      <w:r>
        <w:rPr>
          <w:b/>
          <w:color w:val="010101"/>
          <w:spacing w:val="15"/>
          <w:sz w:val="15"/>
        </w:rPr>
        <w:t> </w:t>
      </w:r>
      <w:r>
        <w:rPr>
          <w:rFonts w:ascii="Arial"/>
          <w:b/>
          <w:color w:val="010101"/>
          <w:sz w:val="20"/>
        </w:rPr>
        <w:t>6)</w:t>
        <w:tab/>
      </w:r>
      <w:r>
        <w:rPr>
          <w:b/>
          <w:color w:val="010101"/>
          <w:sz w:val="15"/>
        </w:rPr>
        <w:t>JOINT-LIFE   FUNCTIONB   UNDER </w:t>
      </w:r>
      <w:r>
        <w:rPr>
          <w:b/>
          <w:color w:val="010101"/>
          <w:spacing w:val="37"/>
          <w:sz w:val="15"/>
        </w:rPr>
        <w:t> </w:t>
      </w:r>
      <w:r>
        <w:rPr>
          <w:b/>
          <w:color w:val="010101"/>
          <w:sz w:val="15"/>
        </w:rPr>
        <w:t>GOMPERTZ'S </w:t>
      </w:r>
      <w:r>
        <w:rPr>
          <w:b/>
          <w:color w:val="010101"/>
          <w:spacing w:val="12"/>
          <w:sz w:val="15"/>
        </w:rPr>
        <w:t> </w:t>
      </w:r>
      <w:r>
        <w:rPr>
          <w:b/>
          <w:color w:val="010101"/>
          <w:spacing w:val="3"/>
          <w:sz w:val="15"/>
        </w:rPr>
        <w:t>LAW</w:t>
      </w:r>
      <w:r>
        <w:rPr>
          <w:rFonts w:ascii="Arial"/>
          <w:b/>
          <w:color w:val="010101"/>
          <w:spacing w:val="3"/>
          <w:sz w:val="20"/>
        </w:rPr>
        <w:tab/>
      </w:r>
      <w:r>
        <w:rPr>
          <w:rFonts w:ascii="Arial"/>
          <w:b/>
          <w:color w:val="010101"/>
          <w:sz w:val="20"/>
        </w:rPr>
        <w:t>201</w:t>
      </w:r>
    </w:p>
    <w:p>
      <w:pPr>
        <w:spacing w:after="0"/>
        <w:jc w:val="left"/>
        <w:rPr>
          <w:rFonts w:ascii="Arial"/>
          <w:sz w:val="20"/>
        </w:rPr>
        <w:sectPr>
          <w:pgSz w:w="7200" w:h="11340"/>
          <w:pgMar w:top="500" w:bottom="280" w:left="660" w:right="600"/>
        </w:sectPr>
      </w:pPr>
    </w:p>
    <w:p>
      <w:pPr>
        <w:spacing w:before="235"/>
        <w:ind w:left="119" w:right="0" w:firstLine="0"/>
        <w:jc w:val="left"/>
        <w:rPr>
          <w:sz w:val="21"/>
        </w:rPr>
      </w:pPr>
      <w:r>
        <w:rPr>
          <w:color w:val="010101"/>
          <w:w w:val="95"/>
          <w:sz w:val="21"/>
        </w:rPr>
        <w:t>condition</w:t>
      </w:r>
    </w:p>
    <w:p>
      <w:pPr>
        <w:spacing w:before="480"/>
        <w:ind w:left="119" w:right="0" w:firstLine="0"/>
        <w:jc w:val="left"/>
        <w:rPr>
          <w:b/>
          <w:sz w:val="21"/>
        </w:rPr>
      </w:pPr>
      <w:r>
        <w:rPr/>
        <w:br w:type="column"/>
      </w:r>
      <w:r>
        <w:rPr>
          <w:rFonts w:ascii="Arial"/>
          <w:b/>
          <w:color w:val="010101"/>
          <w:w w:val="85"/>
          <w:sz w:val="20"/>
        </w:rPr>
        <w:t>4ctD </w:t>
      </w:r>
      <w:r>
        <w:rPr>
          <w:color w:val="010101"/>
          <w:w w:val="85"/>
          <w:sz w:val="26"/>
        </w:rPr>
        <w:t>= </w:t>
      </w:r>
      <w:r>
        <w:rPr>
          <w:rFonts w:ascii="Arial"/>
          <w:b/>
          <w:i/>
          <w:color w:val="010101"/>
          <w:w w:val="85"/>
          <w:sz w:val="20"/>
        </w:rPr>
        <w:t>2c'Z </w:t>
      </w:r>
      <w:r>
        <w:rPr>
          <w:rFonts w:ascii="Arial"/>
          <w:color w:val="010101"/>
          <w:w w:val="85"/>
          <w:sz w:val="32"/>
        </w:rPr>
        <w:t>+</w:t>
      </w:r>
      <w:r>
        <w:rPr>
          <w:rFonts w:ascii="Arial"/>
          <w:color w:val="010101"/>
          <w:spacing w:val="-53"/>
          <w:w w:val="85"/>
          <w:sz w:val="32"/>
        </w:rPr>
        <w:t> </w:t>
      </w:r>
      <w:r>
        <w:rPr>
          <w:b/>
          <w:color w:val="010101"/>
          <w:w w:val="85"/>
          <w:sz w:val="21"/>
        </w:rPr>
        <w:t>2c",</w:t>
      </w:r>
    </w:p>
    <w:p>
      <w:pPr>
        <w:spacing w:after="0"/>
        <w:jc w:val="left"/>
        <w:rPr>
          <w:sz w:val="21"/>
        </w:rPr>
        <w:sectPr>
          <w:type w:val="continuous"/>
          <w:pgSz w:w="7200" w:h="11340"/>
          <w:pgMar w:top="1100" w:bottom="0" w:left="660" w:right="600"/>
          <w:cols w:num="2" w:equalWidth="0">
            <w:col w:w="905" w:space="1209"/>
            <w:col w:w="3826"/>
          </w:cols>
        </w:sectPr>
      </w:pPr>
    </w:p>
    <w:p>
      <w:pPr>
        <w:spacing w:before="112"/>
        <w:ind w:left="123" w:right="0" w:firstLine="0"/>
        <w:jc w:val="both"/>
        <w:rPr>
          <w:sz w:val="21"/>
        </w:rPr>
      </w:pPr>
      <w:r>
        <w:rPr>
          <w:color w:val="010101"/>
          <w:w w:val="105"/>
          <w:sz w:val="21"/>
        </w:rPr>
        <w:t>but this </w:t>
      </w:r>
      <w:r>
        <w:rPr>
          <w:rFonts w:ascii="Arial"/>
          <w:color w:val="010101"/>
          <w:w w:val="105"/>
          <w:sz w:val="21"/>
        </w:rPr>
        <w:t>is </w:t>
      </w:r>
      <w:r>
        <w:rPr>
          <w:color w:val="010101"/>
          <w:w w:val="105"/>
          <w:sz w:val="21"/>
        </w:rPr>
        <w:t>the same as the condition</w:t>
      </w:r>
    </w:p>
    <w:p>
      <w:pPr>
        <w:pStyle w:val="BodyText"/>
        <w:spacing w:before="10"/>
        <w:rPr>
          <w:sz w:val="9"/>
        </w:rPr>
      </w:pPr>
      <w:r>
        <w:rPr/>
        <w:drawing>
          <wp:anchor distT="0" distB="0" distL="0" distR="0" allowOverlap="1" layoutInCell="1" locked="0" behindDoc="0" simplePos="0" relativeHeight="16000">
            <wp:simplePos x="0" y="0"/>
            <wp:positionH relativeFrom="page">
              <wp:posOffset>1929383</wp:posOffset>
            </wp:positionH>
            <wp:positionV relativeFrom="paragraph">
              <wp:posOffset>97346</wp:posOffset>
            </wp:positionV>
            <wp:extent cx="786384" cy="128015"/>
            <wp:effectExtent l="0" t="0" r="0" b="0"/>
            <wp:wrapTopAndBottom/>
            <wp:docPr id="421" name="image216.png" descr=""/>
            <wp:cNvGraphicFramePr>
              <a:graphicFrameLocks noChangeAspect="1"/>
            </wp:cNvGraphicFramePr>
            <a:graphic>
              <a:graphicData uri="http://schemas.openxmlformats.org/drawingml/2006/picture">
                <pic:pic>
                  <pic:nvPicPr>
                    <pic:cNvPr id="422" name="image216.png"/>
                    <pic:cNvPicPr/>
                  </pic:nvPicPr>
                  <pic:blipFill>
                    <a:blip r:embed="rId220" cstate="print"/>
                    <a:stretch>
                      <a:fillRect/>
                    </a:stretch>
                  </pic:blipFill>
                  <pic:spPr>
                    <a:xfrm>
                      <a:off x="0" y="0"/>
                      <a:ext cx="786384" cy="128015"/>
                    </a:xfrm>
                    <a:prstGeom prst="rect">
                      <a:avLst/>
                    </a:prstGeom>
                  </pic:spPr>
                </pic:pic>
              </a:graphicData>
            </a:graphic>
          </wp:anchor>
        </w:drawing>
      </w:r>
    </w:p>
    <w:p>
      <w:pPr>
        <w:spacing w:line="238" w:lineRule="exact" w:before="106"/>
        <w:ind w:left="130" w:right="108" w:hanging="4"/>
        <w:jc w:val="both"/>
        <w:rPr>
          <w:rFonts w:ascii="Arial"/>
          <w:i/>
          <w:sz w:val="19"/>
        </w:rPr>
      </w:pPr>
      <w:r>
        <w:rPr>
          <w:color w:val="010101"/>
          <w:sz w:val="21"/>
        </w:rPr>
        <w:t>for which </w:t>
      </w:r>
      <w:r>
        <w:rPr>
          <w:rFonts w:ascii="Arial"/>
          <w:i/>
          <w:color w:val="010101"/>
          <w:sz w:val="19"/>
        </w:rPr>
        <w:t>(xy ) </w:t>
      </w:r>
      <w:r>
        <w:rPr>
          <w:color w:val="010101"/>
          <w:sz w:val="21"/>
        </w:rPr>
        <w:t>is equivalent to </w:t>
      </w:r>
      <w:r>
        <w:rPr>
          <w:rFonts w:ascii="Arial"/>
          <w:i/>
          <w:color w:val="010101"/>
          <w:sz w:val="19"/>
        </w:rPr>
        <w:t>(ww ). </w:t>
      </w:r>
      <w:r>
        <w:rPr>
          <w:color w:val="010101"/>
          <w:sz w:val="21"/>
        </w:rPr>
        <w:t>Hence the equivalent equal age </w:t>
      </w:r>
      <w:r>
        <w:rPr>
          <w:rFonts w:ascii="Arial"/>
          <w:i/>
          <w:color w:val="010101"/>
          <w:sz w:val="19"/>
        </w:rPr>
        <w:t>w </w:t>
      </w:r>
      <w:r>
        <w:rPr>
          <w:color w:val="010101"/>
          <w:sz w:val="21"/>
        </w:rPr>
        <w:t>for  </w:t>
      </w:r>
      <w:r>
        <w:rPr>
          <w:rFonts w:ascii="Arial"/>
          <w:i/>
          <w:color w:val="010101"/>
          <w:sz w:val="19"/>
        </w:rPr>
        <w:t>(xxyy )  </w:t>
      </w:r>
      <w:r>
        <w:rPr>
          <w:color w:val="010101"/>
          <w:sz w:val="21"/>
        </w:rPr>
        <w:t>is the same as for  </w:t>
      </w:r>
      <w:r>
        <w:rPr>
          <w:rFonts w:ascii="Arial"/>
          <w:i/>
          <w:color w:val="010101"/>
          <w:sz w:val="19"/>
        </w:rPr>
        <w:t>(xy ).</w:t>
      </w:r>
    </w:p>
    <w:p>
      <w:pPr>
        <w:spacing w:line="242" w:lineRule="auto" w:before="0"/>
        <w:ind w:left="126" w:right="106" w:firstLine="200"/>
        <w:jc w:val="both"/>
        <w:rPr>
          <w:sz w:val="21"/>
        </w:rPr>
      </w:pPr>
      <w:r>
        <w:rPr>
          <w:color w:val="010101"/>
          <w:sz w:val="21"/>
        </w:rPr>
        <w:t>The case of four lives of unequal age (</w:t>
      </w:r>
      <w:r>
        <w:rPr>
          <w:rFonts w:ascii="Arial"/>
          <w:i/>
          <w:color w:val="010101"/>
          <w:sz w:val="19"/>
        </w:rPr>
        <w:t>uvxy ) </w:t>
      </w:r>
      <w:r>
        <w:rPr>
          <w:color w:val="010101"/>
          <w:sz w:val="21"/>
        </w:rPr>
        <w:t>may be reduced to the preceding  case. First  the equivalent  equal  age for each  of the</w:t>
      </w:r>
    </w:p>
    <w:p>
      <w:pPr>
        <w:spacing w:line="206" w:lineRule="auto" w:before="24"/>
        <w:ind w:left="123" w:right="99" w:firstLine="3"/>
        <w:jc w:val="both"/>
        <w:rPr>
          <w:sz w:val="21"/>
        </w:rPr>
      </w:pPr>
      <w:r>
        <w:rPr>
          <w:color w:val="010101"/>
          <w:sz w:val="21"/>
        </w:rPr>
        <w:t>pairs </w:t>
      </w:r>
      <w:r>
        <w:rPr>
          <w:rFonts w:ascii="Arial"/>
          <w:i/>
          <w:color w:val="010101"/>
          <w:sz w:val="19"/>
        </w:rPr>
        <w:t>(uv ) </w:t>
      </w:r>
      <w:r>
        <w:rPr>
          <w:color w:val="010101"/>
          <w:sz w:val="21"/>
        </w:rPr>
        <w:t>and </w:t>
      </w:r>
      <w:r>
        <w:rPr>
          <w:rFonts w:ascii="Arial"/>
          <w:i/>
          <w:color w:val="010101"/>
          <w:sz w:val="19"/>
        </w:rPr>
        <w:t>(xy ) </w:t>
      </w:r>
      <w:r>
        <w:rPr>
          <w:color w:val="010101"/>
          <w:sz w:val="21"/>
        </w:rPr>
        <w:t>is found from the table of uniform seniority. Suppose that </w:t>
      </w:r>
      <w:r>
        <w:rPr>
          <w:i/>
          <w:color w:val="010101"/>
          <w:sz w:val="20"/>
        </w:rPr>
        <w:t>(uv) </w:t>
      </w:r>
      <w:r>
        <w:rPr>
          <w:color w:val="010101"/>
          <w:sz w:val="27"/>
        </w:rPr>
        <w:t>= </w:t>
      </w:r>
      <w:r>
        <w:rPr>
          <w:color w:val="010101"/>
          <w:sz w:val="21"/>
        </w:rPr>
        <w:t>(rr) and </w:t>
      </w:r>
      <w:r>
        <w:rPr>
          <w:rFonts w:ascii="Arial"/>
          <w:i/>
          <w:color w:val="010101"/>
          <w:sz w:val="19"/>
        </w:rPr>
        <w:t>(xy) </w:t>
      </w:r>
      <w:r>
        <w:rPr>
          <w:color w:val="010101"/>
          <w:sz w:val="27"/>
        </w:rPr>
        <w:t>=  </w:t>
      </w:r>
      <w:r>
        <w:rPr>
          <w:i/>
          <w:color w:val="010101"/>
          <w:sz w:val="20"/>
        </w:rPr>
        <w:t>(ss ).  </w:t>
      </w:r>
      <w:r>
        <w:rPr>
          <w:color w:val="010101"/>
          <w:sz w:val="21"/>
        </w:rPr>
        <w:t>The  joint  four-life status now becomes  </w:t>
      </w:r>
      <w:r>
        <w:rPr>
          <w:i/>
          <w:color w:val="010101"/>
          <w:sz w:val="20"/>
        </w:rPr>
        <w:t>(rrss), </w:t>
      </w:r>
      <w:r>
        <w:rPr>
          <w:color w:val="010101"/>
          <w:sz w:val="21"/>
        </w:rPr>
        <w:t>and, as above, the equivalent equal  age</w:t>
      </w:r>
    </w:p>
    <w:p>
      <w:pPr>
        <w:spacing w:line="237" w:lineRule="auto" w:before="7"/>
        <w:ind w:left="126" w:right="105" w:hanging="4"/>
        <w:jc w:val="both"/>
        <w:rPr>
          <w:sz w:val="21"/>
        </w:rPr>
      </w:pPr>
      <w:r>
        <w:rPr>
          <w:color w:val="010101"/>
          <w:sz w:val="21"/>
        </w:rPr>
        <w:t>for </w:t>
      </w:r>
      <w:r>
        <w:rPr>
          <w:i/>
          <w:color w:val="010101"/>
          <w:sz w:val="20"/>
        </w:rPr>
        <w:t>(rs) </w:t>
      </w:r>
      <w:r>
        <w:rPr>
          <w:color w:val="010101"/>
          <w:sz w:val="21"/>
        </w:rPr>
        <w:t>will be the equivalent equal age for </w:t>
      </w:r>
      <w:r>
        <w:rPr>
          <w:i/>
          <w:color w:val="010101"/>
          <w:sz w:val="20"/>
        </w:rPr>
        <w:t>( rrss </w:t>
      </w:r>
      <w:r>
        <w:rPr>
          <w:color w:val="010101"/>
          <w:sz w:val="20"/>
        </w:rPr>
        <w:t>), </w:t>
      </w:r>
      <w:r>
        <w:rPr>
          <w:color w:val="010101"/>
          <w:sz w:val="21"/>
        </w:rPr>
        <w:t>and hence for </w:t>
      </w:r>
      <w:r>
        <w:rPr>
          <w:rFonts w:ascii="Arial" w:hAnsi="Arial"/>
          <w:color w:val="010101"/>
          <w:sz w:val="19"/>
        </w:rPr>
        <w:t>(</w:t>
      </w:r>
      <w:r>
        <w:rPr>
          <w:rFonts w:ascii="Arial" w:hAnsi="Arial"/>
          <w:i/>
          <w:color w:val="010101"/>
          <w:sz w:val="19"/>
        </w:rPr>
        <w:t>uvxy ). </w:t>
      </w:r>
      <w:r>
        <w:rPr>
          <w:color w:val="010101"/>
          <w:sz w:val="21"/>
        </w:rPr>
        <w:t>The ages </w:t>
      </w:r>
      <w:r>
        <w:rPr>
          <w:i/>
          <w:color w:val="010101"/>
          <w:sz w:val="20"/>
        </w:rPr>
        <w:t>r </w:t>
      </w:r>
      <w:r>
        <w:rPr>
          <w:color w:val="010101"/>
          <w:sz w:val="21"/>
        </w:rPr>
        <w:t>and </w:t>
      </w:r>
      <w:r>
        <w:rPr>
          <w:i/>
          <w:color w:val="010101"/>
          <w:sz w:val="20"/>
        </w:rPr>
        <w:t>s </w:t>
      </w:r>
      <w:r>
        <w:rPr>
          <w:color w:val="010101"/>
          <w:sz w:val="21"/>
        </w:rPr>
        <w:t>are normally fractional,  so that  the last step involves interpolation in the table of uniform seniority. In this case, thc method is not necessarily more convenient than the proc­ ess of averaging the values of </w:t>
      </w:r>
      <w:r>
        <w:rPr>
          <w:i/>
          <w:color w:val="010101"/>
          <w:w w:val="95"/>
          <w:sz w:val="16"/>
        </w:rPr>
        <w:t>µ.% </w:t>
      </w:r>
      <w:r>
        <w:rPr>
          <w:color w:val="010101"/>
          <w:sz w:val="21"/>
        </w:rPr>
        <w:t>or </w:t>
      </w:r>
      <w:r>
        <w:rPr>
          <w:color w:val="010101"/>
          <w:w w:val="95"/>
          <w:sz w:val="21"/>
        </w:rPr>
        <w:t>e%.</w:t>
      </w:r>
    </w:p>
    <w:p>
      <w:pPr>
        <w:spacing w:line="237" w:lineRule="auto" w:before="5"/>
        <w:ind w:left="130" w:right="117" w:firstLine="200"/>
        <w:jc w:val="both"/>
        <w:rPr>
          <w:i/>
          <w:sz w:val="16"/>
        </w:rPr>
      </w:pPr>
      <w:r>
        <w:rPr>
          <w:color w:val="010101"/>
          <w:sz w:val="21"/>
        </w:rPr>
        <w:t>In the case of the two-lif e status the table of uniform seniority makes possible a precise determination of </w:t>
      </w:r>
      <w:r>
        <w:rPr>
          <w:i/>
          <w:color w:val="010101"/>
          <w:sz w:val="20"/>
        </w:rPr>
        <w:t>w, </w:t>
      </w:r>
      <w:r>
        <w:rPr>
          <w:color w:val="010101"/>
          <w:sz w:val="21"/>
        </w:rPr>
        <w:t>since it gives values based on an exact mathematical formula. In addition, it has the practica! advantage of eliminating the calculation involved in interpolating </w:t>
      </w:r>
      <w:r>
        <w:rPr>
          <w:rFonts w:ascii="Arial" w:hAnsi="Arial"/>
          <w:i/>
          <w:color w:val="010101"/>
          <w:sz w:val="18"/>
        </w:rPr>
        <w:t>w </w:t>
      </w:r>
      <w:r>
        <w:rPr>
          <w:color w:val="010101"/>
          <w:sz w:val="21"/>
        </w:rPr>
        <w:t>from the table of values of </w:t>
      </w:r>
      <w:r>
        <w:rPr>
          <w:i/>
          <w:color w:val="010101"/>
          <w:w w:val="95"/>
          <w:sz w:val="21"/>
        </w:rPr>
        <w:t>c-z </w:t>
      </w:r>
      <w:r>
        <w:rPr>
          <w:color w:val="010101"/>
          <w:sz w:val="21"/>
        </w:rPr>
        <w:t>or </w:t>
      </w:r>
      <w:r>
        <w:rPr>
          <w:i/>
          <w:color w:val="010101"/>
          <w:w w:val="95"/>
          <w:sz w:val="16"/>
        </w:rPr>
        <w:t>µ.% </w:t>
      </w:r>
      <w:r>
        <w:rPr>
          <w:i/>
          <w:color w:val="010101"/>
          <w:w w:val="125"/>
          <w:sz w:val="16"/>
        </w:rPr>
        <w:t>.</w:t>
      </w:r>
    </w:p>
    <w:p>
      <w:pPr>
        <w:spacing w:line="237" w:lineRule="auto" w:before="5"/>
        <w:ind w:left="126" w:right="115" w:firstLine="196"/>
        <w:jc w:val="both"/>
        <w:rPr>
          <w:sz w:val="21"/>
        </w:rPr>
      </w:pPr>
      <w:r>
        <w:rPr>
          <w:color w:val="010101"/>
          <w:sz w:val="21"/>
        </w:rPr>
        <w:t>Even when a mortality table is not Makehamized, it is sorne­ times possible to adopt a table of uniform seniority that will pro­ duce joint-life values for unequal  ages  with  suflicient  accuracy for many practica! purposes. Although  the  1958 CSO table is not  a Makeham  table,  extensive  test  calculations  have  shown  that</w:t>
      </w:r>
      <w:r>
        <w:rPr>
          <w:color w:val="010101"/>
          <w:spacing w:val="7"/>
          <w:sz w:val="21"/>
        </w:rPr>
        <w:t> </w:t>
      </w:r>
      <w:r>
        <w:rPr>
          <w:color w:val="010101"/>
          <w:sz w:val="21"/>
        </w:rPr>
        <w:t>a</w:t>
      </w:r>
    </w:p>
    <w:p>
      <w:pPr>
        <w:spacing w:line="246" w:lineRule="exact" w:before="0"/>
        <w:ind w:left="126" w:right="0" w:firstLine="3"/>
        <w:jc w:val="both"/>
        <w:rPr>
          <w:sz w:val="21"/>
        </w:rPr>
      </w:pPr>
      <w:r>
        <w:rPr>
          <w:color w:val="010101"/>
          <w:sz w:val="21"/>
        </w:rPr>
        <w:t>table of uniform seniority </w:t>
      </w:r>
      <w:r>
        <w:rPr>
          <w:b/>
          <w:color w:val="010101"/>
          <w:sz w:val="22"/>
        </w:rPr>
        <w:t>with </w:t>
      </w:r>
      <w:r>
        <w:rPr>
          <w:color w:val="010101"/>
          <w:sz w:val="21"/>
        </w:rPr>
        <w:t>log10 </w:t>
      </w:r>
      <w:r>
        <w:rPr>
          <w:rFonts w:ascii="Arial"/>
          <w:i/>
          <w:color w:val="010101"/>
          <w:sz w:val="18"/>
        </w:rPr>
        <w:t>e </w:t>
      </w:r>
      <w:r>
        <w:rPr>
          <w:color w:val="010101"/>
          <w:sz w:val="26"/>
        </w:rPr>
        <w:t>= </w:t>
      </w:r>
      <w:r>
        <w:rPr>
          <w:color w:val="010101"/>
          <w:sz w:val="19"/>
        </w:rPr>
        <w:t>.04 </w:t>
      </w:r>
      <w:r>
        <w:rPr>
          <w:color w:val="010101"/>
          <w:sz w:val="21"/>
        </w:rPr>
        <w:t>can be used to produce</w:t>
      </w:r>
    </w:p>
    <w:p>
      <w:pPr>
        <w:spacing w:line="237" w:lineRule="auto" w:before="0"/>
        <w:ind w:left="126" w:right="123" w:firstLine="7"/>
        <w:jc w:val="both"/>
        <w:rPr>
          <w:sz w:val="21"/>
        </w:rPr>
      </w:pPr>
      <w:r>
        <w:rPr>
          <w:color w:val="010101"/>
          <w:sz w:val="21"/>
        </w:rPr>
        <w:t>interpolated values for annuities, net annual premiums, and re­ serves which are reasonably close to the true values. The table of uniform seniority is given in Appendix I. The degree of accuracy in the resulting joint-life values depends upon the ages involved and the particular function being computed.  This method  should  not be used with other tables without adequate testing, and if a high degree of precision is necessary, the method cannot be used.</w:t>
      </w:r>
    </w:p>
    <w:p>
      <w:pPr>
        <w:pStyle w:val="ListParagraph"/>
        <w:numPr>
          <w:ilvl w:val="0"/>
          <w:numId w:val="89"/>
        </w:numPr>
        <w:tabs>
          <w:tab w:pos="335" w:val="left" w:leader="none"/>
        </w:tabs>
        <w:spacing w:line="240" w:lineRule="auto" w:before="172" w:after="0"/>
        <w:ind w:left="334" w:right="0" w:hanging="211"/>
        <w:jc w:val="both"/>
        <w:rPr>
          <w:b/>
          <w:color w:val="010101"/>
          <w:sz w:val="19"/>
        </w:rPr>
      </w:pPr>
      <w:r>
        <w:rPr>
          <w:b/>
          <w:color w:val="010101"/>
          <w:w w:val="120"/>
          <w:sz w:val="19"/>
        </w:rPr>
        <w:t>Joint-life functions under Gompertz's</w:t>
      </w:r>
      <w:r>
        <w:rPr>
          <w:b/>
          <w:color w:val="010101"/>
          <w:spacing w:val="17"/>
          <w:w w:val="120"/>
          <w:sz w:val="19"/>
        </w:rPr>
        <w:t> </w:t>
      </w:r>
      <w:r>
        <w:rPr>
          <w:b/>
          <w:color w:val="010101"/>
          <w:w w:val="120"/>
          <w:sz w:val="19"/>
        </w:rPr>
        <w:t>law</w:t>
      </w:r>
    </w:p>
    <w:p>
      <w:pPr>
        <w:spacing w:line="238" w:lineRule="exact" w:before="81"/>
        <w:ind w:left="119" w:right="127" w:firstLine="200"/>
        <w:jc w:val="both"/>
        <w:rPr>
          <w:sz w:val="21"/>
        </w:rPr>
      </w:pPr>
      <w:r>
        <w:rPr>
          <w:color w:val="010101"/>
          <w:sz w:val="21"/>
        </w:rPr>
        <w:t>With Gompertz's law, the evaluation of joint-life  functions can be simplified still further. Since</w:t>
      </w:r>
    </w:p>
    <w:p>
      <w:pPr>
        <w:spacing w:after="0" w:line="238" w:lineRule="exact"/>
        <w:jc w:val="both"/>
        <w:rPr>
          <w:sz w:val="21"/>
        </w:rPr>
        <w:sectPr>
          <w:type w:val="continuous"/>
          <w:pgSz w:w="7200" w:h="11340"/>
          <w:pgMar w:top="1100" w:bottom="0" w:left="660" w:right="600"/>
        </w:sectPr>
      </w:pPr>
    </w:p>
    <w:p>
      <w:pPr>
        <w:tabs>
          <w:tab w:pos="1953" w:val="left" w:leader="none"/>
          <w:tab w:pos="5319" w:val="left" w:leader="none"/>
        </w:tabs>
        <w:spacing w:before="62"/>
        <w:ind w:left="110" w:right="0" w:firstLine="0"/>
        <w:jc w:val="left"/>
        <w:rPr>
          <w:rFonts w:ascii="Arial"/>
          <w:b/>
          <w:sz w:val="18"/>
        </w:rPr>
      </w:pPr>
      <w:r>
        <w:rPr>
          <w:rFonts w:ascii="Arial"/>
          <w:w w:val="110"/>
          <w:sz w:val="17"/>
        </w:rPr>
        <w:t>202</w:t>
        <w:tab/>
      </w:r>
      <w:r>
        <w:rPr>
          <w:b/>
          <w:w w:val="110"/>
          <w:position w:val="1"/>
          <w:sz w:val="14"/>
        </w:rPr>
        <w:t>THE </w:t>
      </w:r>
      <w:r>
        <w:rPr>
          <w:b/>
          <w:spacing w:val="25"/>
          <w:w w:val="110"/>
          <w:position w:val="1"/>
          <w:sz w:val="14"/>
        </w:rPr>
        <w:t> </w:t>
      </w:r>
      <w:r>
        <w:rPr>
          <w:b/>
          <w:w w:val="110"/>
          <w:position w:val="1"/>
          <w:sz w:val="14"/>
        </w:rPr>
        <w:t>JOINT-LIFE  </w:t>
      </w:r>
      <w:r>
        <w:rPr>
          <w:b/>
          <w:spacing w:val="1"/>
          <w:w w:val="110"/>
          <w:position w:val="1"/>
          <w:sz w:val="14"/>
        </w:rPr>
        <w:t> </w:t>
      </w:r>
      <w:r>
        <w:rPr>
          <w:b/>
          <w:w w:val="110"/>
          <w:position w:val="1"/>
          <w:sz w:val="14"/>
        </w:rPr>
        <w:t>STATUS</w:t>
        <w:tab/>
      </w:r>
      <w:r>
        <w:rPr>
          <w:b/>
          <w:w w:val="110"/>
          <w:position w:val="1"/>
          <w:sz w:val="15"/>
        </w:rPr>
        <w:t>[CH.</w:t>
      </w:r>
      <w:r>
        <w:rPr>
          <w:b/>
          <w:spacing w:val="36"/>
          <w:w w:val="110"/>
          <w:position w:val="1"/>
          <w:sz w:val="15"/>
        </w:rPr>
        <w:t> </w:t>
      </w:r>
      <w:r>
        <w:rPr>
          <w:rFonts w:ascii="Arial"/>
          <w:b/>
          <w:w w:val="110"/>
          <w:position w:val="1"/>
          <w:sz w:val="18"/>
        </w:rPr>
        <w:t>9</w:t>
      </w:r>
    </w:p>
    <w:p>
      <w:pPr>
        <w:pStyle w:val="BodyText"/>
        <w:spacing w:before="10"/>
        <w:rPr>
          <w:rFonts w:ascii="Arial"/>
          <w:b/>
          <w:sz w:val="14"/>
        </w:rPr>
      </w:pPr>
    </w:p>
    <w:p>
      <w:pPr>
        <w:spacing w:after="0"/>
        <w:rPr>
          <w:rFonts w:ascii="Arial"/>
          <w:sz w:val="14"/>
        </w:rPr>
        <w:sectPr>
          <w:pgSz w:w="7200" w:h="11340"/>
          <w:pgMar w:top="500" w:bottom="280" w:left="660" w:right="560"/>
        </w:sectPr>
      </w:pPr>
    </w:p>
    <w:p>
      <w:pPr>
        <w:pStyle w:val="BodyText"/>
        <w:ind w:left="1557" w:right="-40"/>
        <w:rPr>
          <w:rFonts w:ascii="Arial"/>
        </w:rPr>
      </w:pPr>
      <w:r>
        <w:rPr>
          <w:rFonts w:ascii="Arial"/>
        </w:rPr>
        <w:drawing>
          <wp:inline distT="0" distB="0" distL="0" distR="0">
            <wp:extent cx="1801368" cy="182879"/>
            <wp:effectExtent l="0" t="0" r="0" b="0"/>
            <wp:docPr id="423" name="image217.png" descr=""/>
            <wp:cNvGraphicFramePr>
              <a:graphicFrameLocks noChangeAspect="1"/>
            </wp:cNvGraphicFramePr>
            <a:graphic>
              <a:graphicData uri="http://schemas.openxmlformats.org/drawingml/2006/picture">
                <pic:pic>
                  <pic:nvPicPr>
                    <pic:cNvPr id="424" name="image217.png"/>
                    <pic:cNvPicPr/>
                  </pic:nvPicPr>
                  <pic:blipFill>
                    <a:blip r:embed="rId221" cstate="print"/>
                    <a:stretch>
                      <a:fillRect/>
                    </a:stretch>
                  </pic:blipFill>
                  <pic:spPr>
                    <a:xfrm>
                      <a:off x="0" y="0"/>
                      <a:ext cx="1801368" cy="182879"/>
                    </a:xfrm>
                    <a:prstGeom prst="rect">
                      <a:avLst/>
                    </a:prstGeom>
                  </pic:spPr>
                </pic:pic>
              </a:graphicData>
            </a:graphic>
          </wp:inline>
        </w:drawing>
      </w:r>
      <w:r>
        <w:rPr>
          <w:rFonts w:ascii="Arial"/>
        </w:rPr>
      </w:r>
    </w:p>
    <w:p>
      <w:pPr>
        <w:tabs>
          <w:tab w:pos="1719" w:val="left" w:leader="none"/>
          <w:tab w:pos="3051" w:val="left" w:leader="none"/>
        </w:tabs>
        <w:spacing w:before="33"/>
        <w:ind w:left="117" w:right="0" w:firstLine="0"/>
        <w:jc w:val="left"/>
        <w:rPr>
          <w:i/>
          <w:sz w:val="21"/>
        </w:rPr>
      </w:pPr>
      <w:r>
        <w:rPr/>
        <w:pict>
          <v:shape style="position:absolute;margin-left:174.779999pt;margin-top:7.376469pt;width:6.75pt;height:5pt;mso-position-horizontal-relative:page;mso-position-vertical-relative:paragraph;z-index:-719992" type="#_x0000_t202" filled="false" stroked="false">
            <v:textbox inset="0,0,0,0">
              <w:txbxContent>
                <w:p>
                  <w:pPr>
                    <w:spacing w:line="100" w:lineRule="exact" w:before="0"/>
                    <w:ind w:left="0" w:right="-20" w:firstLine="0"/>
                    <w:jc w:val="left"/>
                    <w:rPr>
                      <w:sz w:val="10"/>
                    </w:rPr>
                  </w:pPr>
                  <w:r>
                    <w:rPr>
                      <w:w w:val="135"/>
                      <w:sz w:val="10"/>
                    </w:rPr>
                    <w:t>71</w:t>
                  </w:r>
                </w:p>
              </w:txbxContent>
            </v:textbox>
            <w10:wrap type="none"/>
          </v:shape>
        </w:pict>
      </w:r>
      <w:r>
        <w:rPr>
          <w:sz w:val="20"/>
        </w:rPr>
        <w:t>by </w:t>
      </w:r>
      <w:r>
        <w:rPr>
          <w:spacing w:val="11"/>
          <w:sz w:val="20"/>
        </w:rPr>
        <w:t> </w:t>
      </w:r>
      <w:r>
        <w:rPr>
          <w:sz w:val="20"/>
        </w:rPr>
        <w:t>substituting</w:t>
        <w:tab/>
      </w:r>
      <w:r>
        <w:rPr>
          <w:i/>
          <w:sz w:val="21"/>
        </w:rPr>
        <w:t>cw  </w:t>
      </w:r>
      <w:r>
        <w:rPr>
          <w:sz w:val="23"/>
        </w:rPr>
        <w:t>= </w:t>
      </w:r>
      <w:r>
        <w:rPr>
          <w:sz w:val="20"/>
        </w:rPr>
        <w:t>ci:</w:t>
      </w:r>
      <w:r>
        <w:rPr>
          <w:position w:val="7"/>
          <w:sz w:val="10"/>
        </w:rPr>
        <w:t>1 </w:t>
      </w:r>
      <w:r>
        <w:rPr>
          <w:spacing w:val="8"/>
          <w:position w:val="7"/>
          <w:sz w:val="10"/>
        </w:rPr>
        <w:t> </w:t>
      </w:r>
      <w:r>
        <w:rPr>
          <w:rFonts w:ascii="Arial" w:hAnsi="Arial"/>
          <w:sz w:val="30"/>
        </w:rPr>
        <w:t>+</w:t>
      </w:r>
      <w:r>
        <w:rPr>
          <w:rFonts w:ascii="Arial" w:hAnsi="Arial"/>
          <w:spacing w:val="-38"/>
          <w:sz w:val="30"/>
        </w:rPr>
        <w:t> </w:t>
      </w:r>
      <w:r>
        <w:rPr>
          <w:rFonts w:ascii="Arial" w:hAnsi="Arial"/>
          <w:sz w:val="13"/>
        </w:rPr>
        <w:t>C</w:t>
        <w:tab/>
      </w:r>
      <w:r>
        <w:rPr>
          <w:rFonts w:ascii="Arial" w:hAnsi="Arial"/>
          <w:sz w:val="30"/>
        </w:rPr>
        <w:t>+</w:t>
      </w:r>
      <w:r>
        <w:rPr>
          <w:rFonts w:ascii="Arial" w:hAnsi="Arial"/>
          <w:spacing w:val="-28"/>
          <w:sz w:val="30"/>
        </w:rPr>
        <w:t> </w:t>
      </w:r>
      <w:r>
        <w:rPr>
          <w:rFonts w:ascii="Arial" w:hAnsi="Arial"/>
          <w:spacing w:val="11"/>
          <w:sz w:val="30"/>
        </w:rPr>
        <w:t>··.</w:t>
      </w:r>
      <w:r>
        <w:rPr>
          <w:rFonts w:ascii="Arial" w:hAnsi="Arial"/>
          <w:spacing w:val="-36"/>
          <w:sz w:val="30"/>
        </w:rPr>
        <w:t> </w:t>
      </w:r>
      <w:r>
        <w:rPr>
          <w:rFonts w:ascii="Arial" w:hAnsi="Arial"/>
          <w:sz w:val="30"/>
        </w:rPr>
        <w:t>+</w:t>
      </w:r>
      <w:r>
        <w:rPr>
          <w:rFonts w:ascii="Arial" w:hAnsi="Arial"/>
          <w:spacing w:val="-52"/>
          <w:sz w:val="30"/>
        </w:rPr>
        <w:t> </w:t>
      </w:r>
      <w:r>
        <w:rPr>
          <w:i/>
          <w:sz w:val="21"/>
        </w:rPr>
        <w:t>c-z•,</w:t>
      </w:r>
    </w:p>
    <w:p>
      <w:pPr>
        <w:spacing w:before="160"/>
        <w:ind w:left="110" w:right="0" w:firstLine="0"/>
        <w:jc w:val="left"/>
        <w:rPr>
          <w:sz w:val="20"/>
        </w:rPr>
      </w:pPr>
      <w:r>
        <w:rPr>
          <w:rFonts w:ascii="Arial"/>
          <w:w w:val="105"/>
          <w:sz w:val="17"/>
        </w:rPr>
        <w:t>we </w:t>
      </w:r>
      <w:r>
        <w:rPr>
          <w:w w:val="105"/>
          <w:sz w:val="20"/>
        </w:rPr>
        <w:t>obtain</w:t>
      </w:r>
    </w:p>
    <w:p>
      <w:pPr>
        <w:spacing w:before="77"/>
        <w:ind w:left="110" w:right="0" w:firstLine="0"/>
        <w:jc w:val="left"/>
        <w:rPr>
          <w:rFonts w:ascii="Arial"/>
          <w:b/>
          <w:sz w:val="18"/>
        </w:rPr>
      </w:pPr>
      <w:r>
        <w:rPr/>
        <w:br w:type="column"/>
      </w:r>
      <w:r>
        <w:rPr>
          <w:rFonts w:ascii="Arial"/>
          <w:b/>
          <w:w w:val="105"/>
          <w:sz w:val="18"/>
        </w:rPr>
        <w:t>(9.14 )</w:t>
      </w:r>
    </w:p>
    <w:p>
      <w:pPr>
        <w:spacing w:after="0"/>
        <w:jc w:val="left"/>
        <w:rPr>
          <w:rFonts w:ascii="Arial"/>
          <w:sz w:val="18"/>
        </w:rPr>
        <w:sectPr>
          <w:type w:val="continuous"/>
          <w:pgSz w:w="7200" w:h="11340"/>
          <w:pgMar w:top="1100" w:bottom="0" w:left="660" w:right="560"/>
          <w:cols w:num="2" w:equalWidth="0">
            <w:col w:w="4395" w:space="832"/>
            <w:col w:w="753"/>
          </w:cols>
        </w:sectPr>
      </w:pPr>
    </w:p>
    <w:p>
      <w:pPr>
        <w:pStyle w:val="BodyText"/>
        <w:spacing w:before="8"/>
        <w:rPr>
          <w:rFonts w:ascii="Arial"/>
          <w:b/>
          <w:sz w:val="9"/>
        </w:rPr>
      </w:pPr>
    </w:p>
    <w:p>
      <w:pPr>
        <w:pStyle w:val="BodyText"/>
        <w:ind w:left="1759"/>
        <w:rPr>
          <w:rFonts w:ascii="Arial"/>
        </w:rPr>
      </w:pPr>
      <w:r>
        <w:rPr>
          <w:rFonts w:ascii="Arial"/>
        </w:rPr>
        <w:drawing>
          <wp:inline distT="0" distB="0" distL="0" distR="0">
            <wp:extent cx="1536192" cy="164591"/>
            <wp:effectExtent l="0" t="0" r="0" b="0"/>
            <wp:docPr id="425" name="image218.png" descr=""/>
            <wp:cNvGraphicFramePr>
              <a:graphicFrameLocks noChangeAspect="1"/>
            </wp:cNvGraphicFramePr>
            <a:graphic>
              <a:graphicData uri="http://schemas.openxmlformats.org/drawingml/2006/picture">
                <pic:pic>
                  <pic:nvPicPr>
                    <pic:cNvPr id="426" name="image218.png"/>
                    <pic:cNvPicPr/>
                  </pic:nvPicPr>
                  <pic:blipFill>
                    <a:blip r:embed="rId222" cstate="print"/>
                    <a:stretch>
                      <a:fillRect/>
                    </a:stretch>
                  </pic:blipFill>
                  <pic:spPr>
                    <a:xfrm>
                      <a:off x="0" y="0"/>
                      <a:ext cx="1536192" cy="164591"/>
                    </a:xfrm>
                    <a:prstGeom prst="rect">
                      <a:avLst/>
                    </a:prstGeom>
                  </pic:spPr>
                </pic:pic>
              </a:graphicData>
            </a:graphic>
          </wp:inline>
        </w:drawing>
      </w:r>
      <w:r>
        <w:rPr>
          <w:rFonts w:ascii="Arial"/>
        </w:rPr>
      </w:r>
    </w:p>
    <w:p>
      <w:pPr>
        <w:pStyle w:val="BodyText"/>
        <w:spacing w:before="7"/>
        <w:rPr>
          <w:rFonts w:ascii="Arial"/>
          <w:b/>
          <w:sz w:val="6"/>
        </w:rPr>
      </w:pPr>
    </w:p>
    <w:p>
      <w:pPr>
        <w:pStyle w:val="BodyText"/>
        <w:spacing w:line="244" w:lineRule="auto" w:before="75"/>
        <w:ind w:left="114" w:right="133" w:hanging="4"/>
        <w:jc w:val="both"/>
      </w:pPr>
      <w:r>
        <w:rPr/>
        <w:t>Thus, the joint-life status </w:t>
      </w:r>
      <w:r>
        <w:rPr>
          <w:sz w:val="19"/>
        </w:rPr>
        <w:t>(x1X2 </w:t>
      </w:r>
      <w:r>
        <w:rPr>
          <w:spacing w:val="7"/>
          <w:w w:val="105"/>
          <w:sz w:val="19"/>
        </w:rPr>
        <w:t>··· </w:t>
      </w:r>
      <w:r>
        <w:rPr>
          <w:i/>
        </w:rPr>
        <w:t>Xm ) </w:t>
      </w:r>
      <w:r>
        <w:rPr/>
        <w:t>can be  replaced  by  the single life </w:t>
      </w:r>
      <w:r>
        <w:rPr>
          <w:spacing w:val="-3"/>
        </w:rPr>
        <w:t>(</w:t>
      </w:r>
      <w:r>
        <w:rPr>
          <w:rFonts w:ascii="Arial" w:hAnsi="Arial"/>
          <w:i/>
          <w:spacing w:val="-3"/>
          <w:sz w:val="19"/>
        </w:rPr>
        <w:t>w </w:t>
      </w:r>
      <w:r>
        <w:rPr>
          <w:rFonts w:ascii="Arial" w:hAnsi="Arial"/>
          <w:i/>
          <w:sz w:val="19"/>
        </w:rPr>
        <w:t>), </w:t>
      </w:r>
      <w:r>
        <w:rPr/>
        <w:t>and joint-life functions  can  </w:t>
      </w:r>
      <w:r>
        <w:rPr>
          <w:sz w:val="19"/>
        </w:rPr>
        <w:t>be  </w:t>
      </w:r>
      <w:r>
        <w:rPr/>
        <w:t>evaluated  directly from single-life tables, it  being  only  necess'lry  to  determine  </w:t>
      </w:r>
      <w:r>
        <w:rPr>
          <w:sz w:val="21"/>
        </w:rPr>
        <w:t>first  </w:t>
      </w:r>
      <w:r>
        <w:rPr/>
        <w:t>the  age of  the  equivalent  single life from  the  </w:t>
      </w:r>
      <w:r>
        <w:rPr>
          <w:spacing w:val="13"/>
        </w:rPr>
        <w:t> </w:t>
      </w:r>
      <w:r>
        <w:rPr/>
        <w:t>relation</w:t>
      </w:r>
    </w:p>
    <w:p>
      <w:pPr>
        <w:pStyle w:val="BodyText"/>
        <w:spacing w:before="9"/>
        <w:rPr>
          <w:sz w:val="8"/>
        </w:rPr>
      </w:pPr>
    </w:p>
    <w:p>
      <w:pPr>
        <w:pStyle w:val="BodyText"/>
        <w:spacing w:before="75"/>
        <w:ind w:left="1730" w:right="133"/>
      </w:pPr>
      <w:r>
        <w:rPr>
          <w:position w:val="-1"/>
        </w:rPr>
        <w:drawing>
          <wp:inline distT="0" distB="0" distL="0" distR="0">
            <wp:extent cx="1563623" cy="128015"/>
            <wp:effectExtent l="0" t="0" r="0" b="0"/>
            <wp:docPr id="427" name="image219.png" descr=""/>
            <wp:cNvGraphicFramePr>
              <a:graphicFrameLocks noChangeAspect="1"/>
            </wp:cNvGraphicFramePr>
            <a:graphic>
              <a:graphicData uri="http://schemas.openxmlformats.org/drawingml/2006/picture">
                <pic:pic>
                  <pic:nvPicPr>
                    <pic:cNvPr id="428" name="image219.png"/>
                    <pic:cNvPicPr/>
                  </pic:nvPicPr>
                  <pic:blipFill>
                    <a:blip r:embed="rId223" cstate="print"/>
                    <a:stretch>
                      <a:fillRect/>
                    </a:stretch>
                  </pic:blipFill>
                  <pic:spPr>
                    <a:xfrm>
                      <a:off x="0" y="0"/>
                      <a:ext cx="1563623" cy="128015"/>
                    </a:xfrm>
                    <a:prstGeom prst="rect">
                      <a:avLst/>
                    </a:prstGeom>
                  </pic:spPr>
                </pic:pic>
              </a:graphicData>
            </a:graphic>
          </wp:inline>
        </w:drawing>
      </w:r>
      <w:r>
        <w:rPr>
          <w:position w:val="-1"/>
        </w:rPr>
      </w:r>
      <w:r>
        <w:rPr/>
        <w:t>                      </w:t>
      </w:r>
      <w:r>
        <w:rPr>
          <w:spacing w:val="-7"/>
          <w:w w:val="115"/>
        </w:rPr>
        <w:t>(9.15)</w:t>
      </w:r>
    </w:p>
    <w:p>
      <w:pPr>
        <w:pStyle w:val="BodyText"/>
        <w:tabs>
          <w:tab w:pos="5330" w:val="left" w:leader="none"/>
        </w:tabs>
        <w:spacing w:before="174"/>
        <w:ind w:left="110"/>
      </w:pPr>
      <w:r>
        <w:rPr/>
        <w:drawing>
          <wp:anchor distT="0" distB="0" distL="0" distR="0" allowOverlap="1" layoutInCell="1" locked="0" behindDoc="1" simplePos="0" relativeHeight="267715415">
            <wp:simplePos x="0" y="0"/>
            <wp:positionH relativeFrom="page">
              <wp:posOffset>1133855</wp:posOffset>
            </wp:positionH>
            <wp:positionV relativeFrom="paragraph">
              <wp:posOffset>132536</wp:posOffset>
            </wp:positionV>
            <wp:extent cx="2340864" cy="128015"/>
            <wp:effectExtent l="0" t="0" r="0" b="0"/>
            <wp:wrapNone/>
            <wp:docPr id="429" name="image220.png" descr=""/>
            <wp:cNvGraphicFramePr>
              <a:graphicFrameLocks noChangeAspect="1"/>
            </wp:cNvGraphicFramePr>
            <a:graphic>
              <a:graphicData uri="http://schemas.openxmlformats.org/drawingml/2006/picture">
                <pic:pic>
                  <pic:nvPicPr>
                    <pic:cNvPr id="430" name="image220.png"/>
                    <pic:cNvPicPr/>
                  </pic:nvPicPr>
                  <pic:blipFill>
                    <a:blip r:embed="rId224" cstate="print"/>
                    <a:stretch>
                      <a:fillRect/>
                    </a:stretch>
                  </pic:blipFill>
                  <pic:spPr>
                    <a:xfrm>
                      <a:off x="0" y="0"/>
                      <a:ext cx="2340864" cy="128015"/>
                    </a:xfrm>
                    <a:prstGeom prst="rect">
                      <a:avLst/>
                    </a:prstGeom>
                  </pic:spPr>
                </pic:pic>
              </a:graphicData>
            </a:graphic>
          </wp:anchor>
        </w:drawing>
      </w:r>
      <w:r>
        <w:rPr>
          <w:w w:val="110"/>
        </w:rPr>
        <w:t>or</w:t>
        <w:tab/>
      </w:r>
      <w:r>
        <w:rPr>
          <w:spacing w:val="-6"/>
          <w:w w:val="110"/>
          <w:position w:val="1"/>
        </w:rPr>
        <w:t>(9.16)</w:t>
      </w:r>
    </w:p>
    <w:p>
      <w:pPr>
        <w:pStyle w:val="BodyText"/>
        <w:spacing w:line="249" w:lineRule="auto" w:before="149"/>
        <w:ind w:left="103" w:right="118" w:firstLine="10"/>
        <w:jc w:val="both"/>
      </w:pPr>
      <w:r>
        <w:rPr>
          <w:w w:val="105"/>
          <w:sz w:val="21"/>
        </w:rPr>
        <w:t>In </w:t>
      </w:r>
      <w:r>
        <w:rPr>
          <w:w w:val="105"/>
        </w:rPr>
        <w:t>this case, </w:t>
      </w:r>
      <w:r>
        <w:rPr>
          <w:rFonts w:ascii="Arial" w:hAnsi="Arial"/>
          <w:i/>
          <w:w w:val="105"/>
          <w:sz w:val="18"/>
        </w:rPr>
        <w:t>w </w:t>
      </w:r>
      <w:r>
        <w:rPr>
          <w:w w:val="105"/>
        </w:rPr>
        <w:t>is the age </w:t>
      </w:r>
      <w:r>
        <w:rPr>
          <w:w w:val="110"/>
        </w:rPr>
        <w:t>at </w:t>
      </w:r>
      <w:r>
        <w:rPr>
          <w:w w:val="105"/>
        </w:rPr>
        <w:t>which the single-life force of mortality  is equal to the force of mortality for the original joint-life statl;IB.  </w:t>
      </w:r>
      <w:r>
        <w:rPr>
          <w:w w:val="110"/>
        </w:rPr>
        <w:t>It </w:t>
      </w:r>
      <w:r>
        <w:rPr>
          <w:w w:val="105"/>
        </w:rPr>
        <w:t>should be noted </w:t>
      </w:r>
      <w:r>
        <w:rPr>
          <w:w w:val="110"/>
        </w:rPr>
        <w:t>that </w:t>
      </w:r>
      <w:r>
        <w:rPr>
          <w:w w:val="105"/>
        </w:rPr>
        <w:t>the substituted single life </w:t>
      </w:r>
      <w:r>
        <w:rPr>
          <w:rFonts w:ascii="Arial" w:hAnsi="Arial"/>
          <w:i/>
          <w:w w:val="105"/>
          <w:sz w:val="19"/>
        </w:rPr>
        <w:t>(w ) </w:t>
      </w:r>
      <w:r>
        <w:rPr>
          <w:w w:val="105"/>
        </w:rPr>
        <w:t>is always  oldcr than any of the original lives (x¡), whereas with Makeham's law the equivalent equal age is intermediate in value </w:t>
      </w:r>
      <w:r>
        <w:rPr>
          <w:w w:val="105"/>
          <w:sz w:val="21"/>
        </w:rPr>
        <w:t>to </w:t>
      </w:r>
      <w:r>
        <w:rPr>
          <w:w w:val="105"/>
        </w:rPr>
        <w:t>the origi­  nal</w:t>
      </w:r>
      <w:r>
        <w:rPr>
          <w:spacing w:val="24"/>
          <w:w w:val="105"/>
        </w:rPr>
        <w:t> </w:t>
      </w:r>
      <w:r>
        <w:rPr>
          <w:w w:val="105"/>
        </w:rPr>
        <w:t>ages.</w:t>
      </w:r>
    </w:p>
    <w:p>
      <w:pPr>
        <w:pStyle w:val="BodyText"/>
        <w:spacing w:line="160" w:lineRule="auto" w:before="59"/>
        <w:ind w:left="110" w:right="119" w:firstLine="198"/>
        <w:jc w:val="both"/>
      </w:pPr>
      <w:r>
        <w:rPr/>
        <w:drawing>
          <wp:anchor distT="0" distB="0" distL="0" distR="0" allowOverlap="1" layoutInCell="1" locked="0" behindDoc="0" simplePos="0" relativeHeight="16048">
            <wp:simplePos x="0" y="0"/>
            <wp:positionH relativeFrom="page">
              <wp:posOffset>1847088</wp:posOffset>
            </wp:positionH>
            <wp:positionV relativeFrom="paragraph">
              <wp:posOffset>551618</wp:posOffset>
            </wp:positionV>
            <wp:extent cx="932688" cy="374904"/>
            <wp:effectExtent l="0" t="0" r="0" b="0"/>
            <wp:wrapNone/>
            <wp:docPr id="431" name="image221.png" descr=""/>
            <wp:cNvGraphicFramePr>
              <a:graphicFrameLocks noChangeAspect="1"/>
            </wp:cNvGraphicFramePr>
            <a:graphic>
              <a:graphicData uri="http://schemas.openxmlformats.org/drawingml/2006/picture">
                <pic:pic>
                  <pic:nvPicPr>
                    <pic:cNvPr id="432" name="image221.png"/>
                    <pic:cNvPicPr/>
                  </pic:nvPicPr>
                  <pic:blipFill>
                    <a:blip r:embed="rId225" cstate="print"/>
                    <a:stretch>
                      <a:fillRect/>
                    </a:stretch>
                  </pic:blipFill>
                  <pic:spPr>
                    <a:xfrm>
                      <a:off x="0" y="0"/>
                      <a:ext cx="932688" cy="374904"/>
                    </a:xfrm>
                    <a:prstGeom prst="rect">
                      <a:avLst/>
                    </a:prstGeom>
                  </pic:spPr>
                </pic:pic>
              </a:graphicData>
            </a:graphic>
          </wp:anchor>
        </w:drawing>
      </w:r>
      <w:r>
        <w:rPr>
          <w:rFonts w:ascii="Arial"/>
        </w:rPr>
        <w:t>A </w:t>
      </w:r>
      <w:r>
        <w:rPr/>
        <w:t>law of uniform seniority holds also for  Gompertz's  law.  The joint two-life status </w:t>
      </w:r>
      <w:r>
        <w:rPr>
          <w:rFonts w:ascii="Arial"/>
          <w:i/>
          <w:spacing w:val="5"/>
          <w:sz w:val="18"/>
        </w:rPr>
        <w:t>(x </w:t>
      </w:r>
      <w:r>
        <w:rPr>
          <w:rFonts w:ascii="Arial"/>
          <w:i/>
          <w:sz w:val="18"/>
        </w:rPr>
        <w:t>: x </w:t>
      </w:r>
      <w:r>
        <w:rPr>
          <w:rFonts w:ascii="Arial"/>
          <w:sz w:val="30"/>
        </w:rPr>
        <w:t>+ </w:t>
      </w:r>
      <w:r>
        <w:rPr>
          <w:rFonts w:ascii="Arial"/>
          <w:i/>
          <w:spacing w:val="9"/>
          <w:sz w:val="18"/>
        </w:rPr>
        <w:t>n) </w:t>
      </w:r>
      <w:r>
        <w:rPr/>
        <w:t>may be replaced by the single-life  status   (x  </w:t>
      </w:r>
      <w:r>
        <w:rPr>
          <w:rFonts w:ascii="Arial"/>
          <w:sz w:val="30"/>
        </w:rPr>
        <w:t>+ </w:t>
      </w:r>
      <w:r>
        <w:rPr>
          <w:rFonts w:ascii="Arial"/>
          <w:i/>
          <w:sz w:val="18"/>
        </w:rPr>
        <w:t>t )  </w:t>
      </w:r>
      <w:r>
        <w:rPr/>
        <w:t>provided </w:t>
      </w:r>
      <w:r>
        <w:rPr>
          <w:spacing w:val="11"/>
        </w:rPr>
        <w:t> </w:t>
      </w:r>
      <w:r>
        <w:rPr/>
        <w:t>that</w:t>
      </w:r>
    </w:p>
    <w:p>
      <w:pPr>
        <w:pStyle w:val="BodyText"/>
      </w:pPr>
    </w:p>
    <w:p>
      <w:pPr>
        <w:pStyle w:val="BodyText"/>
        <w:spacing w:before="3"/>
      </w:pPr>
    </w:p>
    <w:p>
      <w:pPr>
        <w:spacing w:after="0"/>
        <w:sectPr>
          <w:type w:val="continuous"/>
          <w:pgSz w:w="7200" w:h="11340"/>
          <w:pgMar w:top="1100" w:bottom="0" w:left="660" w:right="560"/>
        </w:sectPr>
      </w:pPr>
    </w:p>
    <w:p>
      <w:pPr>
        <w:pStyle w:val="BodyText"/>
        <w:spacing w:line="504" w:lineRule="auto" w:before="74"/>
        <w:ind w:left="121" w:right="-18" w:hanging="8"/>
      </w:pPr>
      <w:r>
        <w:rPr>
          <w:w w:val="105"/>
        </w:rPr>
        <w:t>or </w:t>
      </w:r>
      <w:r>
        <w:rPr/>
        <w:t>Hence,</w:t>
      </w:r>
    </w:p>
    <w:p>
      <w:pPr>
        <w:pStyle w:val="BodyText"/>
        <w:spacing w:before="1"/>
        <w:rPr>
          <w:sz w:val="31"/>
        </w:rPr>
      </w:pPr>
      <w:r>
        <w:rPr/>
        <w:br w:type="column"/>
      </w:r>
      <w:r>
        <w:rPr>
          <w:sz w:val="31"/>
        </w:rPr>
      </w:r>
    </w:p>
    <w:p>
      <w:pPr>
        <w:spacing w:line="330" w:lineRule="exact" w:before="0"/>
        <w:ind w:left="114" w:right="0" w:firstLine="0"/>
        <w:jc w:val="left"/>
        <w:rPr>
          <w:sz w:val="19"/>
        </w:rPr>
      </w:pPr>
      <w:r>
        <w:rPr>
          <w:i/>
          <w:sz w:val="22"/>
        </w:rPr>
        <w:t>t  </w:t>
      </w:r>
      <w:r>
        <w:rPr>
          <w:sz w:val="24"/>
        </w:rPr>
        <w:t>=  </w:t>
      </w:r>
      <w:r>
        <w:rPr>
          <w:sz w:val="20"/>
        </w:rPr>
        <w:t>lo</w:t>
      </w:r>
      <w:r>
        <w:rPr>
          <w:sz w:val="20"/>
          <w:u w:val="thick"/>
        </w:rPr>
        <w:t>g </w:t>
      </w:r>
      <w:r>
        <w:rPr>
          <w:sz w:val="20"/>
        </w:rPr>
        <w:t>(1 </w:t>
      </w:r>
      <w:r>
        <w:rPr>
          <w:rFonts w:ascii="Arial"/>
          <w:sz w:val="30"/>
        </w:rPr>
        <w:t>+ </w:t>
      </w:r>
      <w:r>
        <w:rPr>
          <w:sz w:val="19"/>
        </w:rPr>
        <w:t>en )</w:t>
      </w:r>
    </w:p>
    <w:p>
      <w:pPr>
        <w:tabs>
          <w:tab w:pos="1658" w:val="left" w:leader="none"/>
        </w:tabs>
        <w:spacing w:line="215" w:lineRule="exact" w:before="0"/>
        <w:ind w:left="841" w:right="0" w:firstLine="0"/>
        <w:jc w:val="left"/>
        <w:rPr>
          <w:rFonts w:ascii="Arial" w:hAnsi="Arial"/>
          <w:sz w:val="18"/>
        </w:rPr>
      </w:pPr>
      <w:r>
        <w:rPr>
          <w:w w:val="105"/>
          <w:sz w:val="20"/>
        </w:rPr>
        <w:t>log</w:t>
      </w:r>
      <w:r>
        <w:rPr>
          <w:spacing w:val="-1"/>
          <w:w w:val="105"/>
          <w:sz w:val="20"/>
        </w:rPr>
        <w:t> </w:t>
      </w:r>
      <w:r>
        <w:rPr>
          <w:rFonts w:ascii="Arial" w:hAnsi="Arial"/>
          <w:i/>
          <w:w w:val="105"/>
          <w:sz w:val="18"/>
        </w:rPr>
        <w:t>e</w:t>
        <w:tab/>
      </w:r>
      <w:r>
        <w:rPr>
          <w:rFonts w:ascii="Arial" w:hAnsi="Arial"/>
          <w:w w:val="110"/>
          <w:sz w:val="18"/>
        </w:rPr>
        <w:t>·</w:t>
      </w:r>
    </w:p>
    <w:p>
      <w:pPr>
        <w:spacing w:after="0" w:line="215" w:lineRule="exact"/>
        <w:jc w:val="left"/>
        <w:rPr>
          <w:rFonts w:ascii="Arial" w:hAnsi="Arial"/>
          <w:sz w:val="18"/>
        </w:rPr>
        <w:sectPr>
          <w:type w:val="continuous"/>
          <w:pgSz w:w="7200" w:h="11340"/>
          <w:pgMar w:top="1100" w:bottom="0" w:left="660" w:right="560"/>
          <w:cols w:num="2" w:equalWidth="0">
            <w:col w:w="704" w:space="1387"/>
            <w:col w:w="3889"/>
          </w:cols>
        </w:sectPr>
      </w:pPr>
    </w:p>
    <w:p>
      <w:pPr>
        <w:pStyle w:val="BodyText"/>
        <w:spacing w:line="242" w:lineRule="exact" w:before="34"/>
        <w:ind w:left="117" w:right="105" w:hanging="4"/>
        <w:jc w:val="both"/>
        <w:rPr>
          <w:i/>
          <w:sz w:val="21"/>
        </w:rPr>
      </w:pPr>
      <w:r>
        <w:rPr>
          <w:w w:val="105"/>
        </w:rPr>
        <w:t>The seniority of the substituted lif e can be measured equally well from the older agc, and, where this is done, values of </w:t>
      </w:r>
      <w:r>
        <w:rPr>
          <w:i/>
          <w:w w:val="105"/>
          <w:sz w:val="22"/>
        </w:rPr>
        <w:t>t </w:t>
      </w:r>
      <w:r>
        <w:rPr>
          <w:w w:val="200"/>
          <w:sz w:val="22"/>
        </w:rPr>
        <w:t>- </w:t>
      </w:r>
      <w:r>
        <w:rPr>
          <w:i/>
          <w:w w:val="105"/>
        </w:rPr>
        <w:t>n </w:t>
      </w:r>
      <w:r>
        <w:rPr>
          <w:w w:val="105"/>
        </w:rPr>
        <w:t>are tabulated  for each value of  </w:t>
      </w:r>
      <w:r>
        <w:rPr>
          <w:i/>
          <w:w w:val="105"/>
          <w:sz w:val="21"/>
        </w:rPr>
        <w:t>n.</w:t>
      </w:r>
    </w:p>
    <w:p>
      <w:pPr>
        <w:pStyle w:val="BodyText"/>
        <w:spacing w:line="249" w:lineRule="auto"/>
        <w:ind w:left="121" w:right="98" w:firstLine="201"/>
        <w:jc w:val="both"/>
      </w:pPr>
      <w:r>
        <w:rPr>
          <w:w w:val="105"/>
          <w:sz w:val="21"/>
        </w:rPr>
        <w:t>In </w:t>
      </w:r>
      <w:r>
        <w:rPr>
          <w:w w:val="105"/>
        </w:rPr>
        <w:t>the Gompertz case, the same table of uniform  seniority  may be used with any number of lives by  simply  replacing  pairs  of joint lives by  single lives until  the  original  age status is reduced  to the age of a single life. The result is independent of the order in which the lives are rombined in pairs. This cxtension to more than two lives is not of great importancc since the agc of the equivalcnt single life is normally  fractional,  and  it becomes  necessary  to</w:t>
      </w:r>
      <w:r>
        <w:rPr>
          <w:spacing w:val="47"/>
          <w:w w:val="105"/>
        </w:rPr>
        <w:t> </w:t>
      </w:r>
      <w:r>
        <w:rPr>
          <w:w w:val="105"/>
        </w:rPr>
        <w:t>in-</w:t>
      </w:r>
    </w:p>
    <w:p>
      <w:pPr>
        <w:spacing w:after="0" w:line="249" w:lineRule="auto"/>
        <w:jc w:val="both"/>
        <w:sectPr>
          <w:type w:val="continuous"/>
          <w:pgSz w:w="7200" w:h="11340"/>
          <w:pgMar w:top="1100" w:bottom="0" w:left="660" w:right="560"/>
        </w:sectPr>
      </w:pPr>
    </w:p>
    <w:p>
      <w:pPr>
        <w:tabs>
          <w:tab w:pos="1982" w:val="left" w:leader="none"/>
          <w:tab w:pos="5859" w:val="right" w:leader="none"/>
        </w:tabs>
        <w:spacing w:before="49"/>
        <w:ind w:left="124" w:right="0" w:firstLine="0"/>
        <w:jc w:val="left"/>
        <w:rPr>
          <w:rFonts w:ascii="Arial"/>
          <w:sz w:val="19"/>
        </w:rPr>
      </w:pPr>
      <w:r>
        <w:rPr>
          <w:w w:val="105"/>
          <w:sz w:val="15"/>
        </w:rPr>
        <w:t>SEC. </w:t>
      </w:r>
      <w:r>
        <w:rPr>
          <w:spacing w:val="23"/>
          <w:w w:val="105"/>
          <w:sz w:val="15"/>
        </w:rPr>
        <w:t> </w:t>
      </w:r>
      <w:r>
        <w:rPr>
          <w:w w:val="105"/>
          <w:sz w:val="19"/>
        </w:rPr>
        <w:t>7]</w:t>
        <w:tab/>
      </w:r>
      <w:r>
        <w:rPr>
          <w:w w:val="105"/>
          <w:position w:val="1"/>
          <w:sz w:val="15"/>
        </w:rPr>
        <w:t>SUMMARY </w:t>
      </w:r>
      <w:r>
        <w:rPr>
          <w:spacing w:val="21"/>
          <w:w w:val="105"/>
          <w:position w:val="1"/>
          <w:sz w:val="15"/>
        </w:rPr>
        <w:t> </w:t>
      </w:r>
      <w:r>
        <w:rPr>
          <w:w w:val="105"/>
          <w:position w:val="1"/>
          <w:sz w:val="15"/>
        </w:rPr>
        <w:t>OF </w:t>
      </w:r>
      <w:r>
        <w:rPr>
          <w:spacing w:val="11"/>
          <w:w w:val="105"/>
          <w:position w:val="1"/>
          <w:sz w:val="15"/>
        </w:rPr>
        <w:t> </w:t>
      </w:r>
      <w:r>
        <w:rPr>
          <w:b/>
          <w:w w:val="105"/>
          <w:position w:val="1"/>
          <w:sz w:val="15"/>
        </w:rPr>
        <w:t>NOTATION</w:t>
      </w:r>
      <w:r>
        <w:rPr>
          <w:rFonts w:ascii="Arial"/>
          <w:w w:val="105"/>
          <w:sz w:val="19"/>
        </w:rPr>
        <w:tab/>
        <w:t>203</w:t>
      </w:r>
    </w:p>
    <w:p>
      <w:pPr>
        <w:pStyle w:val="BodyText"/>
        <w:spacing w:line="242" w:lineRule="auto" w:before="218"/>
        <w:ind w:left="128" w:right="241" w:hanging="4"/>
        <w:rPr>
          <w:i/>
          <w:sz w:val="17"/>
        </w:rPr>
      </w:pPr>
      <w:r>
        <w:rPr/>
        <w:t>terpolate  in  the  table.  </w:t>
      </w:r>
      <w:r>
        <w:rPr>
          <w:sz w:val="22"/>
        </w:rPr>
        <w:t>It  </w:t>
      </w:r>
      <w:r>
        <w:rPr/>
        <w:t>is  usually  easier  to  interpolate  in  the table of </w:t>
      </w:r>
      <w:r>
        <w:rPr>
          <w:i/>
          <w:sz w:val="17"/>
        </w:rPr>
        <w:t>P.z </w:t>
      </w:r>
      <w:r>
        <w:rPr/>
        <w:t>or of  </w:t>
      </w:r>
      <w:r>
        <w:rPr>
          <w:i/>
          <w:sz w:val="17"/>
        </w:rPr>
        <w:t>c'z.</w:t>
      </w:r>
    </w:p>
    <w:p>
      <w:pPr>
        <w:pStyle w:val="BodyText"/>
        <w:spacing w:line="244" w:lineRule="auto" w:before="12"/>
        <w:ind w:left="121" w:right="117" w:firstLine="198"/>
        <w:jc w:val="both"/>
      </w:pPr>
      <w:r>
        <w:rPr>
          <w:w w:val="105"/>
        </w:rPr>
        <w:t>Table 7 shows annuity values at 3 </w:t>
      </w:r>
      <w:r>
        <w:rPr>
          <w:rFonts w:ascii="Arial" w:hAnsi="Arial"/>
          <w:w w:val="105"/>
          <w:sz w:val="19"/>
        </w:rPr>
        <w:t>% </w:t>
      </w:r>
      <w:r>
        <w:rPr>
          <w:w w:val="105"/>
        </w:rPr>
        <w:t>for a Gompertz table to­ gether with the table of uniform  seniority. Suppose that  the value  of </w:t>
      </w:r>
      <w:r>
        <w:rPr>
          <w:rFonts w:ascii="Arial" w:hAnsi="Arial"/>
          <w:w w:val="105"/>
          <w:sz w:val="12"/>
        </w:rPr>
        <w:t>a60:i6 </w:t>
      </w:r>
      <w:r>
        <w:rPr>
          <w:rFonts w:ascii="Arial" w:hAnsi="Arial"/>
          <w:w w:val="105"/>
          <w:sz w:val="19"/>
        </w:rPr>
        <w:t>is </w:t>
      </w:r>
      <w:r>
        <w:rPr>
          <w:w w:val="105"/>
        </w:rPr>
        <w:t>required. We enter the table of uniform seniority with  a diff erence in ages of 5 and obtain a seniority of 6.858, and, noting that the table measures seniority from the older life, we have  (50:55) </w:t>
      </w:r>
      <w:r>
        <w:rPr>
          <w:w w:val="105"/>
          <w:sz w:val="23"/>
        </w:rPr>
        <w:t>= </w:t>
      </w:r>
      <w:r>
        <w:rPr>
          <w:w w:val="105"/>
        </w:rPr>
        <w:t>(61.858). Then, by interpolation in the  column  of annuity</w:t>
      </w:r>
      <w:r>
        <w:rPr>
          <w:spacing w:val="45"/>
          <w:w w:val="105"/>
        </w:rPr>
        <w:t> </w:t>
      </w:r>
      <w:r>
        <w:rPr>
          <w:w w:val="105"/>
        </w:rPr>
        <w:t>values,</w:t>
      </w:r>
    </w:p>
    <w:p>
      <w:pPr>
        <w:spacing w:before="65"/>
        <w:ind w:left="84" w:right="87" w:firstLine="0"/>
        <w:jc w:val="center"/>
        <w:rPr>
          <w:rFonts w:ascii="Arial"/>
          <w:b/>
          <w:sz w:val="19"/>
        </w:rPr>
      </w:pPr>
      <w:r>
        <w:rPr>
          <w:b/>
          <w:sz w:val="13"/>
        </w:rPr>
        <w:t>fl&amp;O:i&amp; </w:t>
      </w:r>
      <w:r>
        <w:rPr>
          <w:rFonts w:ascii="Arial"/>
          <w:w w:val="130"/>
          <w:sz w:val="17"/>
        </w:rPr>
        <w:t>= </w:t>
      </w:r>
      <w:r>
        <w:rPr>
          <w:b/>
          <w:w w:val="130"/>
          <w:sz w:val="13"/>
        </w:rPr>
        <w:t>llsl </w:t>
      </w:r>
      <w:r>
        <w:rPr>
          <w:b/>
          <w:sz w:val="13"/>
        </w:rPr>
        <w:t>.868 </w:t>
      </w:r>
      <w:r>
        <w:rPr>
          <w:rFonts w:ascii="Arial"/>
          <w:w w:val="130"/>
          <w:sz w:val="17"/>
        </w:rPr>
        <w:t>= </w:t>
      </w:r>
      <w:r>
        <w:rPr>
          <w:rFonts w:ascii="Arial"/>
          <w:b/>
          <w:sz w:val="19"/>
        </w:rPr>
        <w:t>11.70476.</w:t>
      </w:r>
    </w:p>
    <w:p>
      <w:pPr>
        <w:pStyle w:val="BodyText"/>
        <w:spacing w:line="218" w:lineRule="auto" w:before="94"/>
        <w:ind w:left="128" w:right="121" w:firstLine="7"/>
        <w:jc w:val="both"/>
      </w:pPr>
      <w:r>
        <w:rPr>
          <w:sz w:val="21"/>
        </w:rPr>
        <w:t>If </w:t>
      </w:r>
      <w:r>
        <w:rPr/>
        <w:t>the value  of  </w:t>
      </w:r>
      <w:r>
        <w:rPr>
          <w:rFonts w:ascii="Arial"/>
          <w:w w:val="130"/>
          <w:sz w:val="12"/>
        </w:rPr>
        <w:t>alio:ru6  </w:t>
      </w:r>
      <w:r>
        <w:rPr/>
        <w:t>is  also  required,  we  interpolate  in  the  table of uniform seniority for a difference in ages of 65 </w:t>
      </w:r>
      <w:r>
        <w:rPr>
          <w:w w:val="240"/>
        </w:rPr>
        <w:t>- </w:t>
      </w:r>
      <w:r>
        <w:rPr/>
        <w:t>61.858 </w:t>
      </w:r>
      <w:r>
        <w:rPr>
          <w:sz w:val="23"/>
        </w:rPr>
        <w:t>=  </w:t>
      </w:r>
      <w:r>
        <w:rPr/>
        <w:t>3.142 t.o  find  (61.858: 65)  </w:t>
      </w:r>
      <w:r>
        <w:rPr>
          <w:sz w:val="23"/>
        </w:rPr>
        <w:t>=   </w:t>
      </w:r>
      <w:r>
        <w:rPr/>
        <w:t>(72.645). Hence,</w:t>
      </w:r>
    </w:p>
    <w:p>
      <w:pPr>
        <w:spacing w:before="75"/>
        <w:ind w:left="87" w:right="87" w:firstLine="0"/>
        <w:jc w:val="center"/>
        <w:rPr>
          <w:sz w:val="20"/>
        </w:rPr>
      </w:pPr>
      <w:r>
        <w:rPr>
          <w:rFonts w:ascii="Arial"/>
          <w:sz w:val="12"/>
        </w:rPr>
        <w:t>a60:i6:61i  </w:t>
      </w:r>
      <w:r>
        <w:rPr>
          <w:sz w:val="23"/>
        </w:rPr>
        <w:t>=  </w:t>
      </w:r>
      <w:r>
        <w:rPr>
          <w:rFonts w:ascii="Arial"/>
          <w:i/>
          <w:sz w:val="16"/>
        </w:rPr>
        <w:t>a12 .6u  </w:t>
      </w:r>
      <w:r>
        <w:rPr>
          <w:sz w:val="23"/>
        </w:rPr>
        <w:t>= </w:t>
      </w:r>
      <w:r>
        <w:rPr>
          <w:sz w:val="20"/>
        </w:rPr>
        <w:t>7.88446.</w:t>
      </w:r>
    </w:p>
    <w:p>
      <w:pPr>
        <w:pStyle w:val="ListParagraph"/>
        <w:numPr>
          <w:ilvl w:val="0"/>
          <w:numId w:val="90"/>
        </w:numPr>
        <w:tabs>
          <w:tab w:pos="345" w:val="left" w:leader="none"/>
        </w:tabs>
        <w:spacing w:line="240" w:lineRule="auto" w:before="73" w:after="0"/>
        <w:ind w:left="344" w:right="0" w:hanging="223"/>
        <w:jc w:val="both"/>
        <w:rPr>
          <w:b/>
          <w:sz w:val="19"/>
        </w:rPr>
      </w:pPr>
      <w:r>
        <w:rPr>
          <w:b/>
          <w:w w:val="120"/>
          <w:sz w:val="19"/>
        </w:rPr>
        <w:t>Summary of</w:t>
      </w:r>
      <w:r>
        <w:rPr>
          <w:b/>
          <w:spacing w:val="48"/>
          <w:w w:val="120"/>
          <w:sz w:val="19"/>
        </w:rPr>
        <w:t> </w:t>
      </w:r>
      <w:r>
        <w:rPr>
          <w:b/>
          <w:w w:val="120"/>
          <w:sz w:val="19"/>
        </w:rPr>
        <w:t>notation</w:t>
      </w:r>
    </w:p>
    <w:p>
      <w:pPr>
        <w:pStyle w:val="ListParagraph"/>
        <w:numPr>
          <w:ilvl w:val="1"/>
          <w:numId w:val="90"/>
        </w:numPr>
        <w:tabs>
          <w:tab w:pos="575" w:val="left" w:leader="none"/>
        </w:tabs>
        <w:spacing w:line="242" w:lineRule="auto" w:before="51" w:after="0"/>
        <w:ind w:left="124" w:right="119" w:firstLine="213"/>
        <w:jc w:val="both"/>
        <w:rPr>
          <w:sz w:val="20"/>
        </w:rPr>
      </w:pPr>
      <w:r>
        <w:rPr>
          <w:w w:val="105"/>
          <w:sz w:val="20"/>
        </w:rPr>
        <w:t>The special symbol </w:t>
      </w:r>
      <w:r>
        <w:rPr>
          <w:sz w:val="20"/>
        </w:rPr>
        <w:t>(x1x2 </w:t>
      </w:r>
      <w:r>
        <w:rPr>
          <w:spacing w:val="12"/>
          <w:w w:val="105"/>
          <w:sz w:val="20"/>
        </w:rPr>
        <w:t>··· </w:t>
      </w:r>
      <w:r>
        <w:rPr>
          <w:i/>
          <w:sz w:val="20"/>
        </w:rPr>
        <w:t>Xm ) </w:t>
      </w:r>
      <w:r>
        <w:rPr>
          <w:w w:val="105"/>
          <w:sz w:val="20"/>
        </w:rPr>
        <w:t>denotes a joint-life  status  in which the individual lives are aged x</w:t>
      </w:r>
      <w:r>
        <w:rPr>
          <w:w w:val="105"/>
          <w:position w:val="-1"/>
          <w:sz w:val="13"/>
        </w:rPr>
        <w:t>1 </w:t>
      </w:r>
      <w:r>
        <w:rPr>
          <w:w w:val="140"/>
          <w:sz w:val="13"/>
        </w:rPr>
        <w:t>, </w:t>
      </w:r>
      <w:r>
        <w:rPr>
          <w:w w:val="105"/>
          <w:sz w:val="20"/>
        </w:rPr>
        <w:t>x</w:t>
      </w:r>
      <w:r>
        <w:rPr>
          <w:w w:val="105"/>
          <w:position w:val="-1"/>
          <w:sz w:val="13"/>
        </w:rPr>
        <w:t>2 </w:t>
      </w:r>
      <w:r>
        <w:rPr>
          <w:w w:val="140"/>
          <w:sz w:val="13"/>
        </w:rPr>
        <w:t>, </w:t>
      </w:r>
      <w:r>
        <w:rPr>
          <w:sz w:val="13"/>
        </w:rPr>
        <w:t>• </w:t>
      </w:r>
      <w:r>
        <w:rPr>
          <w:w w:val="105"/>
          <w:sz w:val="13"/>
        </w:rPr>
        <w:t>• </w:t>
      </w:r>
      <w:r>
        <w:rPr>
          <w:sz w:val="13"/>
        </w:rPr>
        <w:t>•  </w:t>
      </w:r>
      <w:r>
        <w:rPr>
          <w:w w:val="140"/>
          <w:sz w:val="13"/>
        </w:rPr>
        <w:t>, </w:t>
      </w:r>
      <w:r>
        <w:rPr>
          <w:rFonts w:ascii="Arial" w:hAnsi="Arial"/>
          <w:i/>
          <w:w w:val="105"/>
          <w:sz w:val="19"/>
        </w:rPr>
        <w:t>x .. </w:t>
      </w:r>
      <w:r>
        <w:rPr>
          <w:rFonts w:ascii="Arial" w:hAnsi="Arial"/>
          <w:w w:val="140"/>
          <w:sz w:val="19"/>
        </w:rPr>
        <w:t>. </w:t>
      </w:r>
      <w:r>
        <w:rPr>
          <w:w w:val="105"/>
          <w:sz w:val="20"/>
        </w:rPr>
        <w:t>When, for the  sake </w:t>
      </w:r>
      <w:r>
        <w:rPr>
          <w:sz w:val="20"/>
        </w:rPr>
        <w:t>of  </w:t>
      </w:r>
      <w:r>
        <w:rPr>
          <w:w w:val="105"/>
          <w:sz w:val="20"/>
        </w:rPr>
        <w:t>distinctness,  it </w:t>
      </w:r>
      <w:r>
        <w:rPr>
          <w:rFonts w:ascii="Arial" w:hAnsi="Arial"/>
          <w:sz w:val="21"/>
        </w:rPr>
        <w:t>is </w:t>
      </w:r>
      <w:r>
        <w:rPr>
          <w:w w:val="105"/>
          <w:sz w:val="20"/>
        </w:rPr>
        <w:t>desired  </w:t>
      </w:r>
      <w:r>
        <w:rPr>
          <w:w w:val="105"/>
          <w:sz w:val="21"/>
        </w:rPr>
        <w:t>to </w:t>
      </w:r>
      <w:r>
        <w:rPr>
          <w:w w:val="105"/>
          <w:sz w:val="20"/>
        </w:rPr>
        <w:t>separate the ages in such</w:t>
      </w:r>
      <w:r>
        <w:rPr>
          <w:spacing w:val="7"/>
          <w:w w:val="105"/>
          <w:sz w:val="20"/>
        </w:rPr>
        <w:t> </w:t>
      </w:r>
      <w:r>
        <w:rPr>
          <w:w w:val="105"/>
          <w:sz w:val="20"/>
        </w:rPr>
        <w:t>a</w:t>
      </w:r>
    </w:p>
    <w:p>
      <w:pPr>
        <w:spacing w:line="249" w:lineRule="exact" w:before="0"/>
        <w:ind w:left="124" w:right="0" w:firstLine="0"/>
        <w:jc w:val="both"/>
        <w:rPr>
          <w:rFonts w:ascii="Arial"/>
          <w:i/>
          <w:sz w:val="19"/>
        </w:rPr>
      </w:pPr>
      <w:r>
        <w:rPr>
          <w:sz w:val="20"/>
        </w:rPr>
        <w:t>status, a colon </w:t>
      </w:r>
      <w:r>
        <w:rPr>
          <w:rFonts w:ascii="Arial"/>
          <w:sz w:val="21"/>
        </w:rPr>
        <w:t>is </w:t>
      </w:r>
      <w:r>
        <w:rPr>
          <w:sz w:val="20"/>
        </w:rPr>
        <w:t>placed between them; e.g.,  (20:25),  </w:t>
      </w:r>
      <w:r>
        <w:rPr>
          <w:rFonts w:ascii="Arial"/>
          <w:i/>
          <w:sz w:val="19"/>
        </w:rPr>
        <w:t>(x  </w:t>
      </w:r>
      <w:r>
        <w:rPr>
          <w:sz w:val="28"/>
        </w:rPr>
        <w:t>+ </w:t>
      </w:r>
      <w:r>
        <w:rPr>
          <w:rFonts w:ascii="Arial"/>
          <w:i/>
          <w:sz w:val="16"/>
        </w:rPr>
        <w:t>t : y  </w:t>
      </w:r>
      <w:r>
        <w:rPr>
          <w:sz w:val="28"/>
        </w:rPr>
        <w:t>+ </w:t>
      </w:r>
      <w:r>
        <w:rPr>
          <w:rFonts w:ascii="Arial"/>
          <w:i/>
          <w:sz w:val="19"/>
        </w:rPr>
        <w:t>t  ).</w:t>
      </w:r>
    </w:p>
    <w:p>
      <w:pPr>
        <w:pStyle w:val="ListParagraph"/>
        <w:numPr>
          <w:ilvl w:val="1"/>
          <w:numId w:val="90"/>
        </w:numPr>
        <w:tabs>
          <w:tab w:pos="579" w:val="left" w:leader="none"/>
        </w:tabs>
        <w:spacing w:line="252" w:lineRule="auto" w:before="0" w:after="0"/>
        <w:ind w:left="128" w:right="112" w:firstLine="194"/>
        <w:jc w:val="both"/>
        <w:rPr>
          <w:sz w:val="20"/>
        </w:rPr>
      </w:pPr>
      <w:r>
        <w:rPr>
          <w:w w:val="105"/>
          <w:sz w:val="20"/>
        </w:rPr>
        <w:t>When a suffixed subscript consists of two or more ages with­ out  any  distinguishing  mark,  a joint-life  status is  intended.</w:t>
      </w:r>
      <w:r>
        <w:rPr>
          <w:spacing w:val="17"/>
          <w:w w:val="105"/>
          <w:sz w:val="20"/>
        </w:rPr>
        <w:t> </w:t>
      </w:r>
      <w:r>
        <w:rPr>
          <w:w w:val="105"/>
          <w:sz w:val="20"/>
        </w:rPr>
        <w:t>Thus:</w:t>
      </w:r>
    </w:p>
    <w:p>
      <w:pPr>
        <w:spacing w:before="52"/>
        <w:ind w:left="128" w:right="0" w:firstLine="0"/>
        <w:jc w:val="both"/>
        <w:rPr>
          <w:sz w:val="12"/>
        </w:rPr>
      </w:pPr>
      <w:r>
        <w:rPr>
          <w:b/>
          <w:i/>
          <w:sz w:val="16"/>
        </w:rPr>
        <w:t>lz11 </w:t>
      </w:r>
      <w:r>
        <w:rPr>
          <w:w w:val="115"/>
          <w:sz w:val="16"/>
        </w:rPr>
        <w:t>, </w:t>
      </w:r>
      <w:r>
        <w:rPr>
          <w:b/>
          <w:w w:val="115"/>
          <w:sz w:val="12"/>
        </w:rPr>
        <w:t>a20:30:40 </w:t>
      </w:r>
      <w:r>
        <w:rPr>
          <w:w w:val="115"/>
          <w:sz w:val="12"/>
        </w:rPr>
        <w:t>,</w:t>
      </w:r>
    </w:p>
    <w:p>
      <w:pPr>
        <w:pStyle w:val="ListParagraph"/>
        <w:numPr>
          <w:ilvl w:val="1"/>
          <w:numId w:val="90"/>
        </w:numPr>
        <w:tabs>
          <w:tab w:pos="579" w:val="left" w:leader="none"/>
        </w:tabs>
        <w:spacing w:line="240" w:lineRule="auto" w:before="8" w:after="0"/>
        <w:ind w:left="578" w:right="0" w:hanging="252"/>
        <w:jc w:val="left"/>
        <w:rPr>
          <w:sz w:val="15"/>
        </w:rPr>
      </w:pPr>
      <w:r>
        <w:rPr>
          <w:sz w:val="20"/>
        </w:rPr>
        <w:t>Brackets  are  used  to  denote  select  mortality;  e.g.,  </w:t>
      </w:r>
      <w:r>
        <w:rPr>
          <w:rFonts w:ascii="Arial"/>
          <w:i/>
          <w:sz w:val="20"/>
        </w:rPr>
        <w:t>A </w:t>
      </w:r>
      <w:r>
        <w:rPr>
          <w:w w:val="95"/>
          <w:sz w:val="15"/>
        </w:rPr>
        <w:t>l40J  </w:t>
      </w:r>
      <w:r>
        <w:rPr>
          <w:spacing w:val="-3"/>
          <w:w w:val="95"/>
          <w:position w:val="-2"/>
          <w:sz w:val="15"/>
        </w:rPr>
        <w:t>16</w:t>
      </w:r>
      <w:r>
        <w:rPr>
          <w:rFonts w:ascii="Arial"/>
          <w:spacing w:val="-3"/>
          <w:w w:val="95"/>
          <w:sz w:val="15"/>
        </w:rPr>
        <w:t>o </w:t>
      </w:r>
      <w:r>
        <w:rPr>
          <w:w w:val="95"/>
          <w:position w:val="-3"/>
          <w:sz w:val="15"/>
        </w:rPr>
        <w:t>1</w:t>
      </w:r>
      <w:r>
        <w:rPr>
          <w:spacing w:val="21"/>
          <w:w w:val="95"/>
          <w:position w:val="-3"/>
          <w:sz w:val="15"/>
        </w:rPr>
        <w:t> </w:t>
      </w:r>
      <w:r>
        <w:rPr>
          <w:sz w:val="15"/>
        </w:rPr>
        <w:t>,</w:t>
      </w:r>
    </w:p>
    <w:p>
      <w:pPr>
        <w:spacing w:line="171" w:lineRule="exact" w:before="46"/>
        <w:ind w:left="128" w:right="0" w:firstLine="0"/>
        <w:jc w:val="both"/>
        <w:rPr>
          <w:sz w:val="15"/>
        </w:rPr>
      </w:pPr>
      <w:r>
        <w:rPr>
          <w:i/>
          <w:w w:val="75"/>
          <w:sz w:val="13"/>
        </w:rPr>
        <w:t>[</w:t>
      </w:r>
      <w:r>
        <w:rPr>
          <w:i/>
          <w:spacing w:val="11"/>
          <w:sz w:val="13"/>
        </w:rPr>
        <w:t> </w:t>
      </w:r>
      <w:r>
        <w:rPr>
          <w:w w:val="137"/>
          <w:sz w:val="13"/>
        </w:rPr>
        <w:t>[zJH</w:t>
      </w:r>
      <w:r>
        <w:rPr>
          <w:spacing w:val="14"/>
          <w:w w:val="137"/>
          <w:sz w:val="13"/>
        </w:rPr>
        <w:t>:</w:t>
      </w:r>
      <w:r>
        <w:rPr>
          <w:w w:val="67"/>
          <w:sz w:val="13"/>
        </w:rPr>
        <w:t>[111</w:t>
      </w:r>
      <w:r>
        <w:rPr>
          <w:spacing w:val="-8"/>
          <w:sz w:val="13"/>
        </w:rPr>
        <w:t> </w:t>
      </w:r>
      <w:r>
        <w:rPr>
          <w:w w:val="92"/>
          <w:sz w:val="15"/>
        </w:rPr>
        <w:t>+e</w:t>
      </w:r>
      <w:r>
        <w:rPr>
          <w:sz w:val="15"/>
        </w:rPr>
        <w:t> </w:t>
      </w:r>
      <w:r>
        <w:rPr>
          <w:spacing w:val="4"/>
          <w:sz w:val="15"/>
        </w:rPr>
        <w:t> </w:t>
      </w:r>
      <w:r>
        <w:rPr>
          <w:w w:val="66"/>
          <w:sz w:val="15"/>
        </w:rPr>
        <w:t>•</w:t>
      </w:r>
    </w:p>
    <w:p>
      <w:pPr>
        <w:pStyle w:val="ListParagraph"/>
        <w:numPr>
          <w:ilvl w:val="1"/>
          <w:numId w:val="90"/>
        </w:numPr>
        <w:tabs>
          <w:tab w:pos="579" w:val="left" w:leader="none"/>
        </w:tabs>
        <w:spacing w:line="252" w:lineRule="auto" w:before="0" w:after="0"/>
        <w:ind w:left="128" w:right="117" w:firstLine="191"/>
        <w:jc w:val="both"/>
        <w:rPr>
          <w:sz w:val="20"/>
        </w:rPr>
      </w:pPr>
      <w:r>
        <w:rPr>
          <w:w w:val="105"/>
          <w:sz w:val="20"/>
        </w:rPr>
        <w:t>When a joint-life status is involved and the absence of any distinguishing  mark  would  lead  to  ambiguity,  the  symbol       </w:t>
      </w:r>
      <w:r>
        <w:rPr>
          <w:spacing w:val="15"/>
          <w:w w:val="105"/>
          <w:sz w:val="20"/>
        </w:rPr>
        <w:t> </w:t>
      </w:r>
      <w:r>
        <w:rPr>
          <w:w w:val="105"/>
          <w:sz w:val="20"/>
        </w:rPr>
        <w:t>is</w:t>
      </w:r>
    </w:p>
    <w:p>
      <w:pPr>
        <w:pStyle w:val="BodyText"/>
        <w:spacing w:before="61"/>
        <w:ind w:left="128"/>
        <w:jc w:val="both"/>
      </w:pPr>
      <w:r>
        <w:rPr>
          <w:w w:val="115"/>
        </w:rPr>
        <w:t>placed above the lives included-as in Ai:nJ </w:t>
      </w:r>
      <w:r>
        <w:rPr>
          <w:w w:val="120"/>
        </w:rPr>
        <w:t>.</w:t>
      </w:r>
    </w:p>
    <w:p>
      <w:pPr>
        <w:pStyle w:val="ListParagraph"/>
        <w:numPr>
          <w:ilvl w:val="1"/>
          <w:numId w:val="90"/>
        </w:numPr>
        <w:tabs>
          <w:tab w:pos="575" w:val="left" w:leader="none"/>
        </w:tabs>
        <w:spacing w:line="240" w:lineRule="auto" w:before="7" w:after="0"/>
        <w:ind w:left="574" w:right="0" w:hanging="252"/>
        <w:jc w:val="left"/>
        <w:rPr>
          <w:i/>
          <w:sz w:val="20"/>
        </w:rPr>
      </w:pPr>
      <w:r>
        <w:rPr>
          <w:i/>
          <w:sz w:val="20"/>
        </w:rPr>
        <w:t>Commutation</w:t>
      </w:r>
      <w:r>
        <w:rPr>
          <w:i/>
          <w:spacing w:val="19"/>
          <w:sz w:val="20"/>
        </w:rPr>
        <w:t> </w:t>
      </w:r>
      <w:r>
        <w:rPr>
          <w:i/>
          <w:sz w:val="20"/>
        </w:rPr>
        <w:t>functions</w:t>
      </w:r>
    </w:p>
    <w:p>
      <w:pPr>
        <w:spacing w:line="138" w:lineRule="exact" w:before="73"/>
        <w:ind w:left="1276" w:right="0" w:firstLine="0"/>
        <w:jc w:val="left"/>
        <w:rPr>
          <w:b/>
          <w:sz w:val="13"/>
        </w:rPr>
      </w:pPr>
      <w:r>
        <w:rPr/>
        <w:pict>
          <v:line style="position:absolute;mso-position-horizontal-relative:page;mso-position-vertical-relative:paragraph;z-index:-719968" from="139.5pt,9.988357pt" to="143.46pt,9.988357pt" stroked="true" strokeweight=".54pt" strokecolor="#000000">
            <w10:wrap type="none"/>
          </v:line>
        </w:pict>
      </w:r>
      <w:r>
        <w:rPr>
          <w:b/>
          <w:w w:val="125"/>
          <w:sz w:val="13"/>
        </w:rPr>
        <w:t>211+z1+···+z.</w:t>
      </w:r>
    </w:p>
    <w:p>
      <w:pPr>
        <w:tabs>
          <w:tab w:pos="1705" w:val="left" w:leader="none"/>
          <w:tab w:pos="2219" w:val="left" w:leader="none"/>
        </w:tabs>
        <w:spacing w:line="255" w:lineRule="exact" w:before="0"/>
        <w:ind w:left="114" w:right="0" w:firstLine="0"/>
        <w:jc w:val="both"/>
        <w:rPr>
          <w:b/>
          <w:i/>
          <w:sz w:val="16"/>
        </w:rPr>
      </w:pPr>
      <w:r>
        <w:rPr/>
        <w:pict>
          <v:shape style="position:absolute;margin-left:162.179993pt;margin-top:9.606350pt;width:12.5pt;height:28pt;mso-position-horizontal-relative:page;mso-position-vertical-relative:paragraph;z-index:-719944" type="#_x0000_t202" filled="false" stroked="false">
            <v:textbox inset="0,0,0,0">
              <w:txbxContent>
                <w:p>
                  <w:pPr>
                    <w:spacing w:line="560" w:lineRule="exact" w:before="0"/>
                    <w:ind w:left="0" w:right="0" w:firstLine="0"/>
                    <w:jc w:val="left"/>
                    <w:rPr>
                      <w:rFonts w:ascii="Arial"/>
                      <w:b/>
                      <w:sz w:val="56"/>
                    </w:rPr>
                  </w:pPr>
                  <w:r>
                    <w:rPr>
                      <w:rFonts w:ascii="Arial"/>
                      <w:b/>
                      <w:w w:val="79"/>
                      <w:sz w:val="56"/>
                    </w:rPr>
                    <w:t>1</w:t>
                  </w:r>
                </w:p>
              </w:txbxContent>
            </v:textbox>
            <w10:wrap type="none"/>
          </v:shape>
        </w:pict>
      </w:r>
      <w:r>
        <w:rPr>
          <w:b/>
          <w:w w:val="110"/>
          <w:sz w:val="13"/>
        </w:rPr>
        <w:t>Dz</w:t>
      </w:r>
      <w:r>
        <w:rPr>
          <w:b/>
          <w:w w:val="110"/>
          <w:position w:val="-2"/>
          <w:sz w:val="10"/>
        </w:rPr>
        <w:t>1</w:t>
      </w:r>
      <w:r>
        <w:rPr>
          <w:b/>
          <w:w w:val="110"/>
          <w:sz w:val="13"/>
        </w:rPr>
        <w:t>z1· ..z,,. </w:t>
      </w:r>
      <w:r>
        <w:rPr>
          <w:b/>
          <w:spacing w:val="30"/>
          <w:w w:val="110"/>
          <w:sz w:val="13"/>
        </w:rPr>
        <w:t> </w:t>
      </w:r>
      <w:r>
        <w:rPr>
          <w:w w:val="110"/>
          <w:sz w:val="23"/>
        </w:rPr>
        <w:t>=</w:t>
      </w:r>
      <w:r>
        <w:rPr>
          <w:spacing w:val="51"/>
          <w:w w:val="110"/>
          <w:sz w:val="23"/>
        </w:rPr>
        <w:t> </w:t>
      </w:r>
      <w:r>
        <w:rPr>
          <w:rFonts w:ascii="Arial" w:hAnsi="Arial"/>
          <w:b/>
          <w:i/>
          <w:sz w:val="13"/>
        </w:rPr>
        <w:t>V</w:t>
        <w:tab/>
      </w:r>
      <w:r>
        <w:rPr>
          <w:rFonts w:ascii="Arial" w:hAnsi="Arial"/>
          <w:w w:val="135"/>
          <w:sz w:val="13"/>
        </w:rPr>
        <w:t>"'</w:t>
        <w:tab/>
      </w:r>
      <w:r>
        <w:rPr>
          <w:b/>
          <w:i/>
          <w:w w:val="105"/>
          <w:sz w:val="16"/>
        </w:rPr>
        <w:t>lz</w:t>
      </w:r>
      <w:r>
        <w:rPr>
          <w:b/>
          <w:i/>
          <w:spacing w:val="-34"/>
          <w:w w:val="105"/>
          <w:sz w:val="16"/>
        </w:rPr>
        <w:t> </w:t>
      </w:r>
      <w:r>
        <w:rPr>
          <w:b/>
          <w:i/>
          <w:position w:val="-2"/>
          <w:sz w:val="10"/>
        </w:rPr>
        <w:t>1</w:t>
      </w:r>
      <w:r>
        <w:rPr>
          <w:b/>
          <w:i/>
          <w:spacing w:val="-17"/>
          <w:position w:val="-2"/>
          <w:sz w:val="10"/>
        </w:rPr>
        <w:t> </w:t>
      </w:r>
      <w:r>
        <w:rPr>
          <w:b/>
          <w:i/>
          <w:sz w:val="16"/>
        </w:rPr>
        <w:t>za·</w:t>
      </w:r>
      <w:r>
        <w:rPr>
          <w:b/>
          <w:i/>
          <w:spacing w:val="-23"/>
          <w:sz w:val="16"/>
        </w:rPr>
        <w:t> </w:t>
      </w:r>
      <w:r>
        <w:rPr>
          <w:b/>
          <w:i/>
          <w:w w:val="105"/>
          <w:sz w:val="16"/>
        </w:rPr>
        <w:t>..z,,.</w:t>
      </w:r>
    </w:p>
    <w:p>
      <w:pPr>
        <w:spacing w:line="135" w:lineRule="exact" w:before="28"/>
        <w:ind w:left="0" w:right="437" w:firstLine="0"/>
        <w:jc w:val="center"/>
        <w:rPr>
          <w:b/>
          <w:sz w:val="13"/>
        </w:rPr>
      </w:pPr>
      <w:r>
        <w:rPr>
          <w:b/>
          <w:w w:val="106"/>
          <w:sz w:val="13"/>
        </w:rPr>
        <w:t>1</w:t>
      </w:r>
    </w:p>
    <w:p>
      <w:pPr>
        <w:tabs>
          <w:tab w:pos="1357" w:val="left" w:leader="none"/>
        </w:tabs>
        <w:spacing w:line="286" w:lineRule="exact" w:before="0"/>
        <w:ind w:left="0" w:right="8" w:firstLine="0"/>
        <w:jc w:val="center"/>
        <w:rPr>
          <w:b/>
          <w:i/>
          <w:sz w:val="21"/>
        </w:rPr>
      </w:pPr>
      <w:r>
        <w:rPr>
          <w:b/>
          <w:w w:val="110"/>
          <w:sz w:val="26"/>
        </w:rPr>
        <w:t>Dz</w:t>
      </w:r>
      <w:r>
        <w:rPr>
          <w:b/>
          <w:w w:val="110"/>
          <w:position w:val="-2"/>
          <w:sz w:val="13"/>
        </w:rPr>
        <w:t>1</w:t>
      </w:r>
      <w:r>
        <w:rPr>
          <w:b/>
          <w:w w:val="110"/>
          <w:sz w:val="13"/>
        </w:rPr>
        <w:t>za·</w:t>
      </w:r>
      <w:r>
        <w:rPr>
          <w:b/>
          <w:spacing w:val="-25"/>
          <w:w w:val="110"/>
          <w:sz w:val="13"/>
        </w:rPr>
        <w:t> </w:t>
      </w:r>
      <w:r>
        <w:rPr>
          <w:b/>
          <w:w w:val="135"/>
          <w:sz w:val="13"/>
        </w:rPr>
        <w:t>..z•</w:t>
      </w:r>
      <w:r>
        <w:rPr>
          <w:b/>
          <w:spacing w:val="15"/>
          <w:w w:val="135"/>
          <w:sz w:val="13"/>
        </w:rPr>
        <w:t> </w:t>
      </w:r>
      <w:r>
        <w:rPr>
          <w:w w:val="115"/>
          <w:sz w:val="23"/>
        </w:rPr>
        <w:t>=</w:t>
        <w:tab/>
      </w:r>
      <w:r>
        <w:rPr>
          <w:b/>
          <w:w w:val="135"/>
          <w:sz w:val="13"/>
        </w:rPr>
        <w:t>Dz</w:t>
      </w:r>
      <w:r>
        <w:rPr>
          <w:b/>
          <w:spacing w:val="-30"/>
          <w:w w:val="135"/>
          <w:sz w:val="13"/>
        </w:rPr>
        <w:t> </w:t>
      </w:r>
      <w:r>
        <w:rPr>
          <w:b/>
          <w:w w:val="115"/>
          <w:position w:val="-1"/>
          <w:sz w:val="10"/>
        </w:rPr>
        <w:t>1</w:t>
      </w:r>
      <w:r>
        <w:rPr>
          <w:b/>
          <w:spacing w:val="-15"/>
          <w:w w:val="115"/>
          <w:position w:val="-1"/>
          <w:sz w:val="10"/>
        </w:rPr>
        <w:t> </w:t>
      </w:r>
      <w:r>
        <w:rPr>
          <w:b/>
          <w:w w:val="115"/>
          <w:sz w:val="13"/>
        </w:rPr>
        <w:t>+c:z1+c:,</w:t>
      </w:r>
      <w:r>
        <w:rPr>
          <w:b/>
          <w:spacing w:val="-7"/>
          <w:w w:val="115"/>
          <w:sz w:val="13"/>
        </w:rPr>
        <w:t> </w:t>
      </w:r>
      <w:r>
        <w:rPr>
          <w:b/>
          <w:w w:val="115"/>
          <w:sz w:val="13"/>
        </w:rPr>
        <w:t>..</w:t>
      </w:r>
      <w:r>
        <w:rPr>
          <w:b/>
          <w:spacing w:val="-18"/>
          <w:w w:val="115"/>
          <w:sz w:val="13"/>
        </w:rPr>
        <w:t> </w:t>
      </w:r>
      <w:r>
        <w:rPr>
          <w:b/>
          <w:w w:val="115"/>
          <w:sz w:val="13"/>
        </w:rPr>
        <w:t>:z,,.+c</w:t>
      </w:r>
      <w:r>
        <w:rPr>
          <w:b/>
          <w:spacing w:val="28"/>
          <w:w w:val="115"/>
          <w:sz w:val="13"/>
        </w:rPr>
        <w:t> </w:t>
      </w:r>
      <w:r>
        <w:rPr>
          <w:b/>
          <w:i/>
          <w:w w:val="115"/>
          <w:sz w:val="21"/>
        </w:rPr>
        <w:t>dt</w:t>
      </w:r>
    </w:p>
    <w:p>
      <w:pPr>
        <w:spacing w:line="131" w:lineRule="exact" w:before="123"/>
        <w:ind w:left="1255" w:right="0" w:firstLine="0"/>
        <w:jc w:val="left"/>
        <w:rPr>
          <w:b/>
          <w:sz w:val="13"/>
        </w:rPr>
      </w:pPr>
      <w:r>
        <w:rPr>
          <w:b/>
          <w:w w:val="125"/>
          <w:sz w:val="13"/>
          <w:u w:val="single"/>
        </w:rPr>
        <w:t>z1+z1+· </w:t>
      </w:r>
      <w:r>
        <w:rPr>
          <w:w w:val="105"/>
          <w:sz w:val="13"/>
          <w:u w:val="single"/>
        </w:rPr>
        <w:t>• </w:t>
      </w:r>
      <w:r>
        <w:rPr>
          <w:b/>
          <w:w w:val="125"/>
          <w:sz w:val="13"/>
          <w:u w:val="single"/>
        </w:rPr>
        <w:t>·+z.</w:t>
      </w:r>
      <w:r>
        <w:rPr>
          <w:b/>
          <w:w w:val="125"/>
          <w:sz w:val="13"/>
        </w:rPr>
        <w:t>.+l</w:t>
      </w:r>
    </w:p>
    <w:p>
      <w:pPr>
        <w:tabs>
          <w:tab w:pos="1672" w:val="left" w:leader="none"/>
          <w:tab w:pos="2349" w:val="left" w:leader="none"/>
        </w:tabs>
        <w:spacing w:line="248" w:lineRule="exact" w:before="0"/>
        <w:ind w:left="117" w:right="0" w:firstLine="0"/>
        <w:jc w:val="both"/>
        <w:rPr>
          <w:b/>
          <w:sz w:val="13"/>
        </w:rPr>
      </w:pPr>
      <w:r>
        <w:rPr/>
        <w:pict>
          <v:shape style="position:absolute;margin-left:127.980003pt;margin-top:9.426349pt;width:12.5pt;height:28pt;mso-position-horizontal-relative:page;mso-position-vertical-relative:paragraph;z-index:-719920" type="#_x0000_t202" filled="false" stroked="false">
            <v:textbox inset="0,0,0,0">
              <w:txbxContent>
                <w:p>
                  <w:pPr>
                    <w:spacing w:line="560" w:lineRule="exact" w:before="0"/>
                    <w:ind w:left="0" w:right="0" w:firstLine="0"/>
                    <w:jc w:val="left"/>
                    <w:rPr>
                      <w:rFonts w:ascii="Arial"/>
                      <w:b/>
                      <w:sz w:val="56"/>
                    </w:rPr>
                  </w:pPr>
                  <w:r>
                    <w:rPr>
                      <w:rFonts w:ascii="Arial"/>
                      <w:b/>
                      <w:w w:val="79"/>
                      <w:sz w:val="56"/>
                    </w:rPr>
                    <w:t>1</w:t>
                  </w:r>
                </w:p>
              </w:txbxContent>
            </v:textbox>
            <w10:wrap type="none"/>
          </v:shape>
        </w:pict>
      </w:r>
      <w:r>
        <w:rPr>
          <w:b/>
          <w:spacing w:val="3"/>
          <w:w w:val="110"/>
          <w:sz w:val="13"/>
        </w:rPr>
        <w:t>Cz</w:t>
      </w:r>
      <w:r>
        <w:rPr>
          <w:b/>
          <w:spacing w:val="3"/>
          <w:w w:val="110"/>
          <w:position w:val="-2"/>
          <w:sz w:val="10"/>
        </w:rPr>
        <w:t>1</w:t>
      </w:r>
      <w:r>
        <w:rPr>
          <w:b/>
          <w:spacing w:val="3"/>
          <w:w w:val="110"/>
          <w:sz w:val="13"/>
        </w:rPr>
        <w:t>z</w:t>
      </w:r>
      <w:r>
        <w:rPr>
          <w:b/>
          <w:spacing w:val="3"/>
          <w:w w:val="110"/>
          <w:position w:val="-2"/>
          <w:sz w:val="10"/>
        </w:rPr>
        <w:t>2 </w:t>
      </w:r>
      <w:r>
        <w:rPr>
          <w:b/>
          <w:spacing w:val="2"/>
          <w:w w:val="145"/>
          <w:sz w:val="10"/>
        </w:rPr>
        <w:t>..</w:t>
      </w:r>
      <w:r>
        <w:rPr>
          <w:b/>
          <w:spacing w:val="2"/>
          <w:w w:val="145"/>
          <w:sz w:val="13"/>
        </w:rPr>
        <w:t>,z..</w:t>
      </w:r>
      <w:r>
        <w:rPr>
          <w:b/>
          <w:spacing w:val="35"/>
          <w:w w:val="145"/>
          <w:sz w:val="13"/>
        </w:rPr>
        <w:t> </w:t>
      </w:r>
      <w:r>
        <w:rPr>
          <w:w w:val="110"/>
          <w:sz w:val="23"/>
        </w:rPr>
        <w:t>=</w:t>
      </w:r>
      <w:r>
        <w:rPr>
          <w:spacing w:val="31"/>
          <w:w w:val="110"/>
          <w:sz w:val="23"/>
        </w:rPr>
        <w:t> </w:t>
      </w:r>
      <w:r>
        <w:rPr>
          <w:rFonts w:ascii="Arial"/>
          <w:b/>
          <w:i/>
          <w:w w:val="110"/>
          <w:sz w:val="14"/>
        </w:rPr>
        <w:t>V</w:t>
        <w:tab/>
      </w:r>
      <w:r>
        <w:rPr>
          <w:rFonts w:ascii="Arial"/>
          <w:w w:val="145"/>
          <w:sz w:val="14"/>
        </w:rPr>
        <w:t>"'</w:t>
        <w:tab/>
      </w:r>
      <w:r>
        <w:rPr>
          <w:b/>
          <w:w w:val="110"/>
          <w:sz w:val="13"/>
        </w:rPr>
        <w:t>d:r</w:t>
      </w:r>
      <w:r>
        <w:rPr>
          <w:b/>
          <w:spacing w:val="-21"/>
          <w:w w:val="110"/>
          <w:sz w:val="13"/>
        </w:rPr>
        <w:t> </w:t>
      </w:r>
      <w:r>
        <w:rPr>
          <w:b/>
          <w:spacing w:val="4"/>
          <w:w w:val="110"/>
          <w:position w:val="-2"/>
          <w:sz w:val="10"/>
        </w:rPr>
        <w:t>1</w:t>
      </w:r>
      <w:r>
        <w:rPr>
          <w:b/>
          <w:spacing w:val="4"/>
          <w:w w:val="110"/>
          <w:sz w:val="13"/>
        </w:rPr>
        <w:t>z</w:t>
      </w:r>
      <w:r>
        <w:rPr>
          <w:b/>
          <w:spacing w:val="4"/>
          <w:w w:val="110"/>
          <w:position w:val="-2"/>
          <w:sz w:val="10"/>
        </w:rPr>
        <w:t>1</w:t>
      </w:r>
      <w:r>
        <w:rPr>
          <w:b/>
          <w:spacing w:val="-11"/>
          <w:w w:val="110"/>
          <w:position w:val="-2"/>
          <w:sz w:val="10"/>
        </w:rPr>
        <w:t> </w:t>
      </w:r>
      <w:r>
        <w:rPr>
          <w:b/>
          <w:w w:val="175"/>
          <w:sz w:val="10"/>
        </w:rPr>
        <w:t>...</w:t>
      </w:r>
      <w:r>
        <w:rPr>
          <w:b/>
          <w:w w:val="175"/>
          <w:sz w:val="13"/>
        </w:rPr>
        <w:t>z.</w:t>
      </w:r>
    </w:p>
    <w:p>
      <w:pPr>
        <w:spacing w:before="28"/>
        <w:ind w:left="0" w:right="1810" w:firstLine="0"/>
        <w:jc w:val="center"/>
        <w:rPr>
          <w:b/>
          <w:sz w:val="13"/>
        </w:rPr>
      </w:pPr>
      <w:r>
        <w:rPr>
          <w:b/>
          <w:w w:val="99"/>
          <w:sz w:val="13"/>
        </w:rPr>
        <w:t>1</w:t>
      </w:r>
    </w:p>
    <w:p>
      <w:pPr>
        <w:tabs>
          <w:tab w:pos="1335" w:val="left" w:leader="none"/>
        </w:tabs>
        <w:spacing w:before="2"/>
        <w:ind w:left="0" w:right="1" w:firstLine="0"/>
        <w:jc w:val="center"/>
        <w:rPr>
          <w:b/>
          <w:i/>
          <w:sz w:val="21"/>
        </w:rPr>
      </w:pPr>
      <w:r>
        <w:rPr>
          <w:b/>
          <w:w w:val="115"/>
          <w:sz w:val="13"/>
        </w:rPr>
        <w:t>Cz1z1</w:t>
      </w:r>
      <w:r>
        <w:rPr>
          <w:b/>
          <w:spacing w:val="-22"/>
          <w:w w:val="115"/>
          <w:sz w:val="13"/>
        </w:rPr>
        <w:t> </w:t>
      </w:r>
      <w:r>
        <w:rPr>
          <w:b/>
          <w:w w:val="115"/>
          <w:sz w:val="13"/>
        </w:rPr>
        <w:t>..</w:t>
      </w:r>
      <w:r>
        <w:rPr>
          <w:b/>
          <w:spacing w:val="-22"/>
          <w:w w:val="115"/>
          <w:sz w:val="13"/>
        </w:rPr>
        <w:t> </w:t>
      </w:r>
      <w:r>
        <w:rPr>
          <w:b/>
          <w:w w:val="115"/>
          <w:sz w:val="13"/>
        </w:rPr>
        <w:t>,z,,. </w:t>
      </w:r>
      <w:r>
        <w:rPr>
          <w:b/>
          <w:spacing w:val="23"/>
          <w:w w:val="115"/>
          <w:sz w:val="13"/>
        </w:rPr>
        <w:t> </w:t>
      </w:r>
      <w:r>
        <w:rPr>
          <w:w w:val="115"/>
          <w:sz w:val="23"/>
        </w:rPr>
        <w:t>=</w:t>
        <w:tab/>
      </w:r>
      <w:r>
        <w:rPr>
          <w:b/>
          <w:w w:val="115"/>
          <w:sz w:val="13"/>
        </w:rPr>
        <w:t>Dz1+C:z1+c</w:t>
      </w:r>
      <w:r>
        <w:rPr>
          <w:b/>
          <w:spacing w:val="-7"/>
          <w:w w:val="115"/>
          <w:sz w:val="13"/>
        </w:rPr>
        <w:t> </w:t>
      </w:r>
      <w:r>
        <w:rPr>
          <w:b/>
          <w:w w:val="110"/>
          <w:sz w:val="13"/>
        </w:rPr>
        <w:t>:</w:t>
      </w:r>
      <w:r>
        <w:rPr>
          <w:b/>
          <w:spacing w:val="-27"/>
          <w:w w:val="110"/>
          <w:sz w:val="13"/>
        </w:rPr>
        <w:t> </w:t>
      </w:r>
      <w:r>
        <w:rPr>
          <w:b/>
          <w:w w:val="115"/>
          <w:sz w:val="13"/>
        </w:rPr>
        <w:t>..,:z,,.+cµz1</w:t>
      </w:r>
      <w:r>
        <w:rPr>
          <w:b/>
          <w:spacing w:val="-15"/>
          <w:w w:val="115"/>
          <w:sz w:val="13"/>
        </w:rPr>
        <w:t> </w:t>
      </w:r>
      <w:r>
        <w:rPr>
          <w:b/>
          <w:w w:val="115"/>
          <w:sz w:val="13"/>
        </w:rPr>
        <w:t>+c:z1+C:•</w:t>
      </w:r>
      <w:r>
        <w:rPr>
          <w:b/>
          <w:spacing w:val="-12"/>
          <w:w w:val="115"/>
          <w:sz w:val="13"/>
        </w:rPr>
        <w:t> </w:t>
      </w:r>
      <w:r>
        <w:rPr>
          <w:b/>
          <w:w w:val="115"/>
          <w:sz w:val="13"/>
        </w:rPr>
        <w:t>..</w:t>
      </w:r>
      <w:r>
        <w:rPr>
          <w:b/>
          <w:spacing w:val="-24"/>
          <w:w w:val="115"/>
          <w:sz w:val="13"/>
        </w:rPr>
        <w:t> </w:t>
      </w:r>
      <w:r>
        <w:rPr>
          <w:b/>
          <w:w w:val="115"/>
          <w:sz w:val="13"/>
        </w:rPr>
        <w:t>:z"'+c</w:t>
      </w:r>
      <w:r>
        <w:rPr>
          <w:b/>
          <w:spacing w:val="12"/>
          <w:w w:val="115"/>
          <w:sz w:val="13"/>
        </w:rPr>
        <w:t> </w:t>
      </w:r>
      <w:r>
        <w:rPr>
          <w:b/>
          <w:i/>
          <w:w w:val="110"/>
          <w:sz w:val="21"/>
        </w:rPr>
        <w:t>dt</w:t>
      </w:r>
    </w:p>
    <w:p>
      <w:pPr>
        <w:spacing w:line="232" w:lineRule="auto" w:before="82"/>
        <w:ind w:left="110" w:right="149" w:firstLine="14"/>
        <w:jc w:val="left"/>
        <w:rPr>
          <w:sz w:val="20"/>
        </w:rPr>
      </w:pPr>
      <w:r>
        <w:rPr>
          <w:sz w:val="20"/>
        </w:rPr>
        <w:t>The functions </w:t>
      </w:r>
      <w:r>
        <w:rPr>
          <w:i/>
          <w:sz w:val="21"/>
        </w:rPr>
        <w:t>N , </w:t>
      </w:r>
      <w:r>
        <w:rPr>
          <w:rFonts w:ascii="Arial" w:hAnsi="Arial"/>
          <w:i/>
          <w:sz w:val="20"/>
        </w:rPr>
        <w:t>Ñ, </w:t>
      </w:r>
      <w:r>
        <w:rPr>
          <w:i/>
          <w:sz w:val="21"/>
        </w:rPr>
        <w:t>S, </w:t>
      </w:r>
      <w:r>
        <w:rPr>
          <w:i/>
          <w:sz w:val="26"/>
        </w:rPr>
        <w:t>S , </w:t>
      </w:r>
      <w:r>
        <w:rPr>
          <w:i/>
          <w:sz w:val="21"/>
        </w:rPr>
        <w:t>M , </w:t>
      </w:r>
      <w:r>
        <w:rPr>
          <w:i/>
          <w:sz w:val="26"/>
        </w:rPr>
        <w:t>M , </w:t>
      </w:r>
      <w:r>
        <w:rPr>
          <w:i/>
          <w:sz w:val="21"/>
        </w:rPr>
        <w:t>R, </w:t>
      </w:r>
      <w:r>
        <w:rPr>
          <w:i/>
          <w:sz w:val="26"/>
        </w:rPr>
        <w:t>R </w:t>
      </w:r>
      <w:r>
        <w:rPr>
          <w:sz w:val="20"/>
        </w:rPr>
        <w:t>are obtained by summation in  the  usual way.</w:t>
      </w:r>
    </w:p>
    <w:p>
      <w:pPr>
        <w:spacing w:after="0" w:line="232" w:lineRule="auto"/>
        <w:jc w:val="left"/>
        <w:rPr>
          <w:sz w:val="20"/>
        </w:rPr>
        <w:sectPr>
          <w:pgSz w:w="7200" w:h="11340"/>
          <w:pgMar w:top="500" w:bottom="280" w:left="660" w:right="540"/>
        </w:sectPr>
      </w:pPr>
    </w:p>
    <w:p>
      <w:pPr>
        <w:spacing w:before="58"/>
        <w:ind w:left="160" w:right="112" w:firstLine="0"/>
        <w:jc w:val="center"/>
        <w:rPr>
          <w:rFonts w:ascii="Courier New"/>
          <w:sz w:val="18"/>
        </w:rPr>
      </w:pPr>
      <w:r>
        <w:rPr/>
        <w:pict>
          <v:group style="position:absolute;margin-left:39.749401pt;margin-top:61.2117pt;width:285.55pt;height:465.75pt;mso-position-horizontal-relative:page;mso-position-vertical-relative:page;z-index:-719896" coordorigin="795,1224" coordsize="5711,9315">
            <v:line style="position:absolute" from="808,1233" to="5807,1233" stroked="true" strokeweight=".897308pt" strokecolor="#000000"/>
            <v:line style="position:absolute" from="4065,1643" to="4065,1276" stroked="true" strokeweight=".538385pt" strokecolor="#000000"/>
            <v:shape style="position:absolute;left:804;top:9235;width:5668;height:480" coordorigin="804,9235" coordsize="5668,480" path="m804,1625l2606,1625m808,2105l6471,2105e" filled="false" stroked="true" strokeweight=".897308pt" strokecolor="#000000">
              <v:path arrowok="t"/>
            </v:shape>
            <v:line style="position:absolute" from="2437,2200" to="2437,1686" stroked="true" strokeweight=".358923pt" strokecolor="#000000"/>
            <v:line style="position:absolute" from="4067,6030" to="4067,1327" stroked="true" strokeweight=".717846pt" strokecolor="#000000"/>
            <v:line style="position:absolute" from="5224,4728" to="5224,3768" stroked="true" strokeweight=".538385pt" strokecolor="#000000"/>
            <v:shape style="position:absolute;left:2435;top:809;width:1635;height:8845" coordorigin="2435,809" coordsize="1635,8845" path="m4070,4530l4070,3613m2435,10531l2435,1686e" filled="false" stroked="true" strokeweight=".717846pt" strokecolor="#000000">
              <v:path arrowok="t"/>
            </v:shape>
            <v:line style="position:absolute" from="5224,5030" to="5224,4771" stroked="true" strokeweight=".538385pt" strokecolor="#000000"/>
            <v:line style="position:absolute" from="4059,6227" to="4059,5972" stroked="true" strokeweight=".358923pt" strokecolor="#000000"/>
            <v:line style="position:absolute" from="5217,7630" to="5217,6256" stroked="true" strokeweight=".538385pt" strokecolor="#000000"/>
            <v:line style="position:absolute" from="5217,8133" to="5217,7773" stroked="true" strokeweight=".358923pt" strokecolor="#000000"/>
            <v:line style="position:absolute" from="4059,10236" to="4059,6170" stroked="true" strokeweight=".717846pt" strokecolor="#000000"/>
            <v:line style="position:absolute" from="5221,10481" to="5221,2132" stroked="true" strokeweight=".538385pt" strokecolor="#000000"/>
            <v:line style="position:absolute" from="1515,10527" to="2462,10527" stroked="true" strokeweight=".358923pt" strokecolor="#000000"/>
            <v:line style="position:absolute" from="1515,10522" to="6500,10522" stroked="true" strokeweight=".538385pt" strokecolor="#000000"/>
            <w10:wrap type="none"/>
          </v:group>
        </w:pict>
      </w:r>
      <w:r>
        <w:rPr>
          <w:rFonts w:ascii="Courier New"/>
          <w:color w:val="010101"/>
          <w:w w:val="110"/>
          <w:sz w:val="18"/>
        </w:rPr>
        <w:t>TABLE 7</w:t>
      </w:r>
    </w:p>
    <w:p>
      <w:pPr>
        <w:spacing w:before="37"/>
        <w:ind w:left="139" w:right="112" w:firstLine="0"/>
        <w:jc w:val="center"/>
        <w:rPr>
          <w:rFonts w:ascii="Courier New"/>
          <w:sz w:val="18"/>
        </w:rPr>
      </w:pPr>
      <w:r>
        <w:rPr>
          <w:color w:val="010101"/>
          <w:w w:val="115"/>
          <w:sz w:val="12"/>
        </w:rPr>
        <w:t>UNIFORM   SENIORITY   I </w:t>
      </w:r>
      <w:r>
        <w:rPr>
          <w:color w:val="010101"/>
          <w:w w:val="105"/>
          <w:sz w:val="12"/>
        </w:rPr>
        <w:t>N   </w:t>
      </w:r>
      <w:r>
        <w:rPr>
          <w:rFonts w:ascii="Courier New"/>
          <w:color w:val="010101"/>
          <w:w w:val="105"/>
          <w:sz w:val="18"/>
        </w:rPr>
        <w:t>A </w:t>
      </w:r>
      <w:r>
        <w:rPr>
          <w:color w:val="010101"/>
          <w:w w:val="115"/>
          <w:sz w:val="12"/>
        </w:rPr>
        <w:t>GoMPERTZ   </w:t>
      </w:r>
      <w:r>
        <w:rPr>
          <w:rFonts w:ascii="Courier New"/>
          <w:color w:val="010101"/>
          <w:w w:val="105"/>
          <w:sz w:val="18"/>
        </w:rPr>
        <w:t>TABLE</w:t>
      </w:r>
    </w:p>
    <w:p>
      <w:pPr>
        <w:tabs>
          <w:tab w:pos="3235" w:val="left" w:leader="none"/>
        </w:tabs>
        <w:spacing w:before="157"/>
        <w:ind w:left="525" w:right="0" w:firstLine="0"/>
        <w:jc w:val="center"/>
        <w:rPr>
          <w:sz w:val="14"/>
        </w:rPr>
      </w:pPr>
      <w:r>
        <w:rPr>
          <w:color w:val="010101"/>
          <w:sz w:val="14"/>
        </w:rPr>
        <w:t>Annuity  Values at</w:t>
      </w:r>
      <w:r>
        <w:rPr>
          <w:color w:val="010101"/>
          <w:spacing w:val="14"/>
          <w:sz w:val="14"/>
        </w:rPr>
        <w:t> </w:t>
      </w:r>
      <w:r>
        <w:rPr>
          <w:color w:val="010101"/>
          <w:sz w:val="14"/>
        </w:rPr>
        <w:t>3%</w:t>
        <w:tab/>
      </w:r>
      <w:r>
        <w:rPr>
          <w:b/>
          <w:color w:val="010101"/>
          <w:sz w:val="13"/>
        </w:rPr>
        <w:t>Table </w:t>
      </w:r>
      <w:r>
        <w:rPr>
          <w:color w:val="010101"/>
          <w:sz w:val="14"/>
        </w:rPr>
        <w:t>of  Unüorm</w:t>
      </w:r>
      <w:r>
        <w:rPr>
          <w:color w:val="010101"/>
          <w:spacing w:val="30"/>
          <w:sz w:val="14"/>
        </w:rPr>
        <w:t> </w:t>
      </w:r>
      <w:r>
        <w:rPr>
          <w:color w:val="010101"/>
          <w:sz w:val="14"/>
        </w:rPr>
        <w:t>Seniority</w:t>
      </w:r>
    </w:p>
    <w:p>
      <w:pPr>
        <w:pStyle w:val="BodyText"/>
        <w:spacing w:before="5"/>
        <w:rPr>
          <w:sz w:val="18"/>
        </w:rPr>
      </w:pPr>
    </w:p>
    <w:p>
      <w:pPr>
        <w:tabs>
          <w:tab w:pos="2258" w:val="left" w:leader="none"/>
          <w:tab w:pos="3169" w:val="left" w:leader="none"/>
        </w:tabs>
        <w:spacing w:before="0"/>
        <w:ind w:left="657" w:right="0" w:firstLine="0"/>
        <w:jc w:val="center"/>
        <w:rPr>
          <w:sz w:val="14"/>
        </w:rPr>
      </w:pPr>
      <w:r>
        <w:rPr/>
        <w:pict>
          <v:shape style="position:absolute;margin-left:288.035889pt;margin-top:6.700153pt;width:11.1pt;height:7pt;mso-position-horizontal-relative:page;mso-position-vertical-relative:paragraph;z-index:-719872" type="#_x0000_t202" filled="false" stroked="false">
            <v:textbox inset="0,0,0,0">
              <w:txbxContent>
                <w:p>
                  <w:pPr>
                    <w:spacing w:line="140" w:lineRule="exact" w:before="0"/>
                    <w:ind w:left="0" w:right="-20" w:firstLine="0"/>
                    <w:jc w:val="left"/>
                    <w:rPr>
                      <w:b/>
                      <w:sz w:val="14"/>
                    </w:rPr>
                  </w:pPr>
                  <w:r>
                    <w:rPr>
                      <w:b/>
                      <w:color w:val="010101"/>
                      <w:w w:val="95"/>
                      <w:sz w:val="14"/>
                    </w:rPr>
                    <w:t>Age</w:t>
                  </w:r>
                </w:p>
              </w:txbxContent>
            </v:textbox>
            <w10:wrap type="none"/>
          </v:shape>
        </w:pict>
      </w:r>
      <w:r>
        <w:rPr>
          <w:color w:val="010101"/>
          <w:position w:val="2"/>
          <w:sz w:val="8"/>
        </w:rPr>
        <w:t>%</w:t>
        <w:tab/>
      </w:r>
      <w:r>
        <w:rPr>
          <w:rFonts w:ascii="Arial"/>
          <w:i/>
          <w:color w:val="010101"/>
          <w:sz w:val="14"/>
        </w:rPr>
        <w:t>a.:</w:t>
        <w:tab/>
      </w:r>
      <w:r>
        <w:rPr>
          <w:color w:val="010101"/>
          <w:sz w:val="14"/>
        </w:rPr>
        <w:t>Difference of Ages </w:t>
      </w:r>
      <w:r>
        <w:rPr>
          <w:rFonts w:ascii="Arial"/>
          <w:color w:val="010101"/>
          <w:sz w:val="10"/>
        </w:rPr>
        <w:t>1   </w:t>
      </w:r>
      <w:r>
        <w:rPr>
          <w:color w:val="010101"/>
          <w:position w:val="8"/>
          <w:sz w:val="14"/>
        </w:rPr>
        <w:t>Addition to </w:t>
      </w:r>
      <w:r>
        <w:rPr>
          <w:color w:val="010101"/>
          <w:spacing w:val="12"/>
          <w:position w:val="8"/>
          <w:sz w:val="14"/>
        </w:rPr>
        <w:t> </w:t>
      </w:r>
      <w:r>
        <w:rPr>
          <w:color w:val="010101"/>
          <w:position w:val="8"/>
          <w:sz w:val="14"/>
        </w:rPr>
        <w:t>Older</w:t>
      </w:r>
    </w:p>
    <w:p>
      <w:pPr>
        <w:pStyle w:val="BodyText"/>
        <w:spacing w:before="1"/>
        <w:rPr>
          <w:sz w:val="13"/>
        </w:rPr>
      </w:pPr>
    </w:p>
    <w:tbl>
      <w:tblPr>
        <w:tblW w:w="0" w:type="auto"/>
        <w:jc w:val="left"/>
        <w:tblInd w:w="785"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970"/>
        <w:gridCol w:w="1628"/>
        <w:gridCol w:w="1158"/>
        <w:gridCol w:w="935"/>
      </w:tblGrid>
      <w:tr>
        <w:trPr>
          <w:trHeight w:val="312" w:hRule="exact"/>
        </w:trPr>
        <w:tc>
          <w:tcPr>
            <w:tcW w:w="970" w:type="dxa"/>
          </w:tcPr>
          <w:p>
            <w:pPr>
              <w:pStyle w:val="TableParagraph"/>
              <w:spacing w:before="103"/>
              <w:ind w:left="60" w:right="-19"/>
              <w:rPr>
                <w:sz w:val="18"/>
              </w:rPr>
            </w:pPr>
            <w:r>
              <w:rPr>
                <w:color w:val="010101"/>
                <w:w w:val="105"/>
                <w:sz w:val="18"/>
              </w:rPr>
              <w:t>40</w:t>
            </w:r>
          </w:p>
        </w:tc>
        <w:tc>
          <w:tcPr>
            <w:tcW w:w="1628" w:type="dxa"/>
          </w:tcPr>
          <w:p>
            <w:pPr>
              <w:pStyle w:val="TableParagraph"/>
              <w:spacing w:before="107"/>
              <w:ind w:right="479"/>
              <w:jc w:val="right"/>
              <w:rPr>
                <w:sz w:val="18"/>
              </w:rPr>
            </w:pPr>
            <w:r>
              <w:rPr>
                <w:color w:val="010101"/>
                <w:w w:val="75"/>
                <w:sz w:val="18"/>
              </w:rPr>
              <w:t>19.52384</w:t>
            </w:r>
          </w:p>
        </w:tc>
        <w:tc>
          <w:tcPr>
            <w:tcW w:w="1158" w:type="dxa"/>
          </w:tcPr>
          <w:p>
            <w:pPr>
              <w:pStyle w:val="TableParagraph"/>
              <w:spacing w:before="50"/>
              <w:ind w:left="86"/>
              <w:jc w:val="center"/>
              <w:rPr>
                <w:rFonts w:ascii="Arial"/>
                <w:sz w:val="22"/>
              </w:rPr>
            </w:pPr>
            <w:r>
              <w:rPr>
                <w:rFonts w:ascii="Arial"/>
                <w:color w:val="010101"/>
                <w:w w:val="71"/>
                <w:sz w:val="22"/>
              </w:rPr>
              <w:t>o</w:t>
            </w:r>
          </w:p>
        </w:tc>
        <w:tc>
          <w:tcPr>
            <w:tcW w:w="935" w:type="dxa"/>
          </w:tcPr>
          <w:p>
            <w:pPr>
              <w:pStyle w:val="TableParagraph"/>
              <w:spacing w:before="103"/>
              <w:ind w:right="40"/>
              <w:jc w:val="right"/>
              <w:rPr>
                <w:sz w:val="18"/>
              </w:rPr>
            </w:pPr>
            <w:r>
              <w:rPr>
                <w:color w:val="010101"/>
                <w:w w:val="90"/>
                <w:sz w:val="18"/>
              </w:rPr>
              <w:t>9.122</w:t>
            </w:r>
          </w:p>
        </w:tc>
      </w:tr>
      <w:tr>
        <w:trPr>
          <w:trHeight w:val="198" w:hRule="exact"/>
        </w:trPr>
        <w:tc>
          <w:tcPr>
            <w:tcW w:w="970" w:type="dxa"/>
          </w:tcPr>
          <w:p>
            <w:pPr>
              <w:pStyle w:val="TableParagraph"/>
              <w:spacing w:line="193" w:lineRule="exact"/>
              <w:ind w:left="60" w:right="-19"/>
              <w:rPr>
                <w:sz w:val="18"/>
              </w:rPr>
            </w:pPr>
            <w:r>
              <w:rPr>
                <w:color w:val="010101"/>
                <w:w w:val="85"/>
                <w:sz w:val="18"/>
              </w:rPr>
              <w:t>41</w:t>
            </w:r>
          </w:p>
        </w:tc>
        <w:tc>
          <w:tcPr>
            <w:tcW w:w="1628" w:type="dxa"/>
          </w:tcPr>
          <w:p>
            <w:pPr>
              <w:pStyle w:val="TableParagraph"/>
              <w:spacing w:line="197" w:lineRule="exact"/>
              <w:ind w:right="463"/>
              <w:jc w:val="right"/>
              <w:rPr>
                <w:sz w:val="18"/>
              </w:rPr>
            </w:pPr>
            <w:r>
              <w:rPr>
                <w:color w:val="010101"/>
                <w:w w:val="80"/>
                <w:sz w:val="18"/>
              </w:rPr>
              <w:t>19.19752</w:t>
            </w:r>
          </w:p>
        </w:tc>
        <w:tc>
          <w:tcPr>
            <w:tcW w:w="1158" w:type="dxa"/>
          </w:tcPr>
          <w:p>
            <w:pPr>
              <w:pStyle w:val="TableParagraph"/>
              <w:spacing w:line="197" w:lineRule="exact"/>
              <w:ind w:left="102"/>
              <w:jc w:val="center"/>
              <w:rPr>
                <w:sz w:val="18"/>
              </w:rPr>
            </w:pPr>
            <w:r>
              <w:rPr>
                <w:color w:val="010101"/>
                <w:w w:val="82"/>
                <w:sz w:val="18"/>
              </w:rPr>
              <w:t>1</w:t>
            </w:r>
          </w:p>
        </w:tc>
        <w:tc>
          <w:tcPr>
            <w:tcW w:w="935" w:type="dxa"/>
          </w:tcPr>
          <w:p>
            <w:pPr>
              <w:pStyle w:val="TableParagraph"/>
              <w:spacing w:line="193" w:lineRule="exact"/>
              <w:ind w:right="40"/>
              <w:jc w:val="right"/>
              <w:rPr>
                <w:sz w:val="18"/>
              </w:rPr>
            </w:pPr>
            <w:r>
              <w:rPr>
                <w:color w:val="010101"/>
                <w:w w:val="95"/>
                <w:sz w:val="18"/>
              </w:rPr>
              <w:t>8.632</w:t>
            </w:r>
          </w:p>
        </w:tc>
      </w:tr>
      <w:tr>
        <w:trPr>
          <w:trHeight w:val="200" w:hRule="exact"/>
        </w:trPr>
        <w:tc>
          <w:tcPr>
            <w:tcW w:w="970" w:type="dxa"/>
          </w:tcPr>
          <w:p>
            <w:pPr>
              <w:pStyle w:val="TableParagraph"/>
              <w:spacing w:line="197" w:lineRule="exact"/>
              <w:ind w:left="60" w:right="-19"/>
              <w:rPr>
                <w:sz w:val="18"/>
              </w:rPr>
            </w:pPr>
            <w:r>
              <w:rPr>
                <w:color w:val="010101"/>
                <w:sz w:val="18"/>
              </w:rPr>
              <w:t>42</w:t>
            </w:r>
          </w:p>
        </w:tc>
        <w:tc>
          <w:tcPr>
            <w:tcW w:w="1628" w:type="dxa"/>
          </w:tcPr>
          <w:p>
            <w:pPr>
              <w:pStyle w:val="TableParagraph"/>
              <w:spacing w:line="197" w:lineRule="exact"/>
              <w:ind w:right="461"/>
              <w:jc w:val="right"/>
              <w:rPr>
                <w:sz w:val="18"/>
              </w:rPr>
            </w:pPr>
            <w:r>
              <w:rPr>
                <w:color w:val="010101"/>
                <w:w w:val="90"/>
                <w:sz w:val="18"/>
              </w:rPr>
              <w:t>18.86680</w:t>
            </w:r>
          </w:p>
        </w:tc>
        <w:tc>
          <w:tcPr>
            <w:tcW w:w="1158" w:type="dxa"/>
          </w:tcPr>
          <w:p>
            <w:pPr>
              <w:pStyle w:val="TableParagraph"/>
              <w:spacing w:line="193" w:lineRule="exact"/>
              <w:ind w:left="117"/>
              <w:jc w:val="center"/>
              <w:rPr>
                <w:sz w:val="18"/>
              </w:rPr>
            </w:pPr>
            <w:r>
              <w:rPr>
                <w:color w:val="010101"/>
                <w:w w:val="103"/>
                <w:sz w:val="18"/>
              </w:rPr>
              <w:t>2</w:t>
            </w:r>
          </w:p>
        </w:tc>
        <w:tc>
          <w:tcPr>
            <w:tcW w:w="935" w:type="dxa"/>
          </w:tcPr>
          <w:p>
            <w:pPr>
              <w:pStyle w:val="TableParagraph"/>
              <w:spacing w:line="197" w:lineRule="exact"/>
              <w:ind w:right="50"/>
              <w:jc w:val="right"/>
              <w:rPr>
                <w:sz w:val="18"/>
              </w:rPr>
            </w:pPr>
            <w:r>
              <w:rPr>
                <w:color w:val="010101"/>
                <w:w w:val="85"/>
                <w:sz w:val="18"/>
              </w:rPr>
              <w:t>8.160</w:t>
            </w:r>
          </w:p>
        </w:tc>
      </w:tr>
      <w:tr>
        <w:trPr>
          <w:trHeight w:val="201" w:hRule="exact"/>
        </w:trPr>
        <w:tc>
          <w:tcPr>
            <w:tcW w:w="970" w:type="dxa"/>
          </w:tcPr>
          <w:p>
            <w:pPr>
              <w:pStyle w:val="TableParagraph"/>
              <w:spacing w:line="195" w:lineRule="exact"/>
              <w:ind w:left="60" w:right="-19"/>
              <w:rPr>
                <w:sz w:val="18"/>
              </w:rPr>
            </w:pPr>
            <w:r>
              <w:rPr>
                <w:color w:val="010101"/>
                <w:sz w:val="18"/>
              </w:rPr>
              <w:t>43</w:t>
            </w:r>
          </w:p>
        </w:tc>
        <w:tc>
          <w:tcPr>
            <w:tcW w:w="1628" w:type="dxa"/>
          </w:tcPr>
          <w:p>
            <w:pPr>
              <w:pStyle w:val="TableParagraph"/>
              <w:spacing w:line="199" w:lineRule="exact"/>
              <w:ind w:right="454"/>
              <w:jc w:val="right"/>
              <w:rPr>
                <w:sz w:val="18"/>
              </w:rPr>
            </w:pPr>
            <w:r>
              <w:rPr>
                <w:color w:val="010101"/>
                <w:w w:val="85"/>
                <w:sz w:val="18"/>
              </w:rPr>
              <w:t>18.53179</w:t>
            </w:r>
          </w:p>
        </w:tc>
        <w:tc>
          <w:tcPr>
            <w:tcW w:w="1158" w:type="dxa"/>
          </w:tcPr>
          <w:p>
            <w:pPr>
              <w:pStyle w:val="TableParagraph"/>
              <w:spacing w:line="199" w:lineRule="exact"/>
              <w:ind w:left="109"/>
              <w:jc w:val="center"/>
              <w:rPr>
                <w:sz w:val="18"/>
              </w:rPr>
            </w:pPr>
            <w:r>
              <w:rPr>
                <w:color w:val="010101"/>
                <w:w w:val="95"/>
                <w:sz w:val="18"/>
              </w:rPr>
              <w:t>3</w:t>
            </w:r>
          </w:p>
        </w:tc>
        <w:tc>
          <w:tcPr>
            <w:tcW w:w="935" w:type="dxa"/>
          </w:tcPr>
          <w:p>
            <w:pPr>
              <w:pStyle w:val="TableParagraph"/>
              <w:spacing w:line="195" w:lineRule="exact"/>
              <w:ind w:right="51"/>
              <w:jc w:val="right"/>
              <w:rPr>
                <w:sz w:val="18"/>
              </w:rPr>
            </w:pPr>
            <w:r>
              <w:rPr>
                <w:color w:val="010101"/>
                <w:w w:val="95"/>
                <w:sz w:val="18"/>
              </w:rPr>
              <w:t>7.707</w:t>
            </w:r>
          </w:p>
        </w:tc>
      </w:tr>
      <w:tr>
        <w:trPr>
          <w:trHeight w:val="300" w:hRule="exact"/>
        </w:trPr>
        <w:tc>
          <w:tcPr>
            <w:tcW w:w="970" w:type="dxa"/>
          </w:tcPr>
          <w:p>
            <w:pPr>
              <w:pStyle w:val="TableParagraph"/>
              <w:spacing w:line="195" w:lineRule="exact"/>
              <w:ind w:left="63" w:right="-19"/>
              <w:rPr>
                <w:sz w:val="18"/>
              </w:rPr>
            </w:pPr>
            <w:r>
              <w:rPr>
                <w:color w:val="010101"/>
                <w:w w:val="105"/>
                <w:sz w:val="18"/>
              </w:rPr>
              <w:t>44</w:t>
            </w:r>
          </w:p>
        </w:tc>
        <w:tc>
          <w:tcPr>
            <w:tcW w:w="1628" w:type="dxa"/>
          </w:tcPr>
          <w:p>
            <w:pPr>
              <w:pStyle w:val="TableParagraph"/>
              <w:spacing w:line="195" w:lineRule="exact"/>
              <w:ind w:right="470"/>
              <w:jc w:val="right"/>
              <w:rPr>
                <w:sz w:val="18"/>
              </w:rPr>
            </w:pPr>
            <w:r>
              <w:rPr>
                <w:color w:val="010101"/>
                <w:w w:val="80"/>
                <w:sz w:val="18"/>
              </w:rPr>
              <w:t>18.19268</w:t>
            </w:r>
          </w:p>
        </w:tc>
        <w:tc>
          <w:tcPr>
            <w:tcW w:w="1158" w:type="dxa"/>
          </w:tcPr>
          <w:p>
            <w:pPr>
              <w:pStyle w:val="TableParagraph"/>
              <w:spacing w:line="195" w:lineRule="exact"/>
              <w:ind w:left="117"/>
              <w:jc w:val="center"/>
              <w:rPr>
                <w:sz w:val="18"/>
              </w:rPr>
            </w:pPr>
            <w:r>
              <w:rPr>
                <w:color w:val="010101"/>
                <w:w w:val="109"/>
                <w:sz w:val="18"/>
              </w:rPr>
              <w:t>4</w:t>
            </w:r>
          </w:p>
        </w:tc>
        <w:tc>
          <w:tcPr>
            <w:tcW w:w="935" w:type="dxa"/>
          </w:tcPr>
          <w:p>
            <w:pPr>
              <w:pStyle w:val="TableParagraph"/>
              <w:spacing w:line="195" w:lineRule="exact"/>
              <w:ind w:right="47"/>
              <w:jc w:val="right"/>
              <w:rPr>
                <w:sz w:val="18"/>
              </w:rPr>
            </w:pPr>
            <w:r>
              <w:rPr>
                <w:color w:val="010101"/>
                <w:w w:val="85"/>
                <w:sz w:val="18"/>
              </w:rPr>
              <w:t>7.273</w:t>
            </w:r>
          </w:p>
        </w:tc>
      </w:tr>
      <w:tr>
        <w:trPr>
          <w:trHeight w:val="298" w:hRule="exact"/>
        </w:trPr>
        <w:tc>
          <w:tcPr>
            <w:tcW w:w="970" w:type="dxa"/>
          </w:tcPr>
          <w:p>
            <w:pPr>
              <w:pStyle w:val="TableParagraph"/>
              <w:spacing w:before="94"/>
              <w:ind w:left="35" w:right="-19"/>
              <w:rPr>
                <w:rFonts w:ascii="Times New Roman"/>
                <w:sz w:val="16"/>
              </w:rPr>
            </w:pPr>
            <w:r>
              <w:rPr>
                <w:rFonts w:ascii="Times New Roman"/>
                <w:color w:val="010101"/>
                <w:w w:val="105"/>
                <w:sz w:val="16"/>
              </w:rPr>
              <w:t>45</w:t>
            </w:r>
          </w:p>
        </w:tc>
        <w:tc>
          <w:tcPr>
            <w:tcW w:w="1628" w:type="dxa"/>
          </w:tcPr>
          <w:p>
            <w:pPr>
              <w:pStyle w:val="TableParagraph"/>
              <w:spacing w:before="93"/>
              <w:ind w:right="459"/>
              <w:jc w:val="right"/>
              <w:rPr>
                <w:sz w:val="18"/>
              </w:rPr>
            </w:pPr>
            <w:r>
              <w:rPr>
                <w:color w:val="010101"/>
                <w:w w:val="85"/>
                <w:sz w:val="18"/>
              </w:rPr>
              <w:t>17.84964</w:t>
            </w:r>
          </w:p>
        </w:tc>
        <w:tc>
          <w:tcPr>
            <w:tcW w:w="1158" w:type="dxa"/>
          </w:tcPr>
          <w:p>
            <w:pPr>
              <w:pStyle w:val="TableParagraph"/>
              <w:spacing w:before="93"/>
              <w:ind w:left="91"/>
              <w:jc w:val="center"/>
              <w:rPr>
                <w:rFonts w:ascii="Arial"/>
                <w:b/>
                <w:sz w:val="16"/>
              </w:rPr>
            </w:pPr>
            <w:r>
              <w:rPr>
                <w:rFonts w:ascii="Arial"/>
                <w:b/>
                <w:color w:val="010101"/>
                <w:w w:val="104"/>
                <w:sz w:val="16"/>
              </w:rPr>
              <w:t>5</w:t>
            </w:r>
          </w:p>
        </w:tc>
        <w:tc>
          <w:tcPr>
            <w:tcW w:w="935" w:type="dxa"/>
          </w:tcPr>
          <w:p>
            <w:pPr>
              <w:pStyle w:val="TableParagraph"/>
              <w:spacing w:before="94"/>
              <w:ind w:right="83"/>
              <w:jc w:val="right"/>
              <w:rPr>
                <w:rFonts w:ascii="Times New Roman"/>
                <w:b/>
                <w:sz w:val="16"/>
              </w:rPr>
            </w:pPr>
            <w:r>
              <w:rPr>
                <w:rFonts w:ascii="Times New Roman"/>
                <w:b/>
                <w:color w:val="010101"/>
                <w:w w:val="105"/>
                <w:sz w:val="16"/>
              </w:rPr>
              <w:t>6.858</w:t>
            </w:r>
          </w:p>
        </w:tc>
      </w:tr>
      <w:tr>
        <w:trPr>
          <w:trHeight w:val="201" w:hRule="exact"/>
        </w:trPr>
        <w:tc>
          <w:tcPr>
            <w:tcW w:w="970" w:type="dxa"/>
          </w:tcPr>
          <w:p>
            <w:pPr>
              <w:pStyle w:val="TableParagraph"/>
              <w:spacing w:line="197" w:lineRule="exact"/>
              <w:ind w:left="60" w:right="-19"/>
              <w:rPr>
                <w:sz w:val="18"/>
              </w:rPr>
            </w:pPr>
            <w:r>
              <w:rPr>
                <w:color w:val="010101"/>
                <w:w w:val="105"/>
                <w:sz w:val="18"/>
              </w:rPr>
              <w:t>46</w:t>
            </w:r>
          </w:p>
        </w:tc>
        <w:tc>
          <w:tcPr>
            <w:tcW w:w="1628" w:type="dxa"/>
          </w:tcPr>
          <w:p>
            <w:pPr>
              <w:pStyle w:val="TableParagraph"/>
              <w:spacing w:line="197" w:lineRule="exact"/>
              <w:ind w:right="477"/>
              <w:jc w:val="right"/>
              <w:rPr>
                <w:sz w:val="18"/>
              </w:rPr>
            </w:pPr>
            <w:r>
              <w:rPr>
                <w:color w:val="010101"/>
                <w:w w:val="75"/>
                <w:sz w:val="18"/>
              </w:rPr>
              <w:t>17.50283</w:t>
            </w:r>
          </w:p>
        </w:tc>
        <w:tc>
          <w:tcPr>
            <w:tcW w:w="1158" w:type="dxa"/>
          </w:tcPr>
          <w:p>
            <w:pPr>
              <w:pStyle w:val="TableParagraph"/>
              <w:spacing w:line="201" w:lineRule="exact"/>
              <w:ind w:left="128"/>
              <w:jc w:val="center"/>
              <w:rPr>
                <w:sz w:val="18"/>
              </w:rPr>
            </w:pPr>
            <w:r>
              <w:rPr>
                <w:color w:val="010101"/>
                <w:w w:val="113"/>
                <w:sz w:val="18"/>
              </w:rPr>
              <w:t>6</w:t>
            </w:r>
          </w:p>
        </w:tc>
        <w:tc>
          <w:tcPr>
            <w:tcW w:w="935" w:type="dxa"/>
          </w:tcPr>
          <w:p>
            <w:pPr>
              <w:pStyle w:val="TableParagraph"/>
              <w:spacing w:line="193" w:lineRule="exact"/>
              <w:ind w:right="54"/>
              <w:jc w:val="right"/>
              <w:rPr>
                <w:sz w:val="18"/>
              </w:rPr>
            </w:pPr>
            <w:r>
              <w:rPr>
                <w:color w:val="010101"/>
                <w:w w:val="85"/>
                <w:sz w:val="18"/>
              </w:rPr>
              <w:t>6.461</w:t>
            </w:r>
          </w:p>
        </w:tc>
      </w:tr>
      <w:tr>
        <w:trPr>
          <w:trHeight w:val="198" w:hRule="exact"/>
        </w:trPr>
        <w:tc>
          <w:tcPr>
            <w:tcW w:w="970" w:type="dxa"/>
          </w:tcPr>
          <w:p>
            <w:pPr>
              <w:pStyle w:val="TableParagraph"/>
              <w:spacing w:line="193" w:lineRule="exact"/>
              <w:ind w:left="60" w:right="-19"/>
              <w:rPr>
                <w:sz w:val="18"/>
              </w:rPr>
            </w:pPr>
            <w:r>
              <w:rPr>
                <w:color w:val="010101"/>
                <w:sz w:val="18"/>
              </w:rPr>
              <w:t>47</w:t>
            </w:r>
          </w:p>
        </w:tc>
        <w:tc>
          <w:tcPr>
            <w:tcW w:w="1628" w:type="dxa"/>
          </w:tcPr>
          <w:p>
            <w:pPr>
              <w:pStyle w:val="TableParagraph"/>
              <w:spacing w:line="197" w:lineRule="exact"/>
              <w:ind w:right="454"/>
              <w:jc w:val="right"/>
              <w:rPr>
                <w:sz w:val="18"/>
              </w:rPr>
            </w:pPr>
            <w:r>
              <w:rPr>
                <w:color w:val="010101"/>
                <w:w w:val="90"/>
                <w:sz w:val="18"/>
              </w:rPr>
              <w:t>17.15249</w:t>
            </w:r>
          </w:p>
        </w:tc>
        <w:tc>
          <w:tcPr>
            <w:tcW w:w="1158" w:type="dxa"/>
          </w:tcPr>
          <w:p>
            <w:pPr>
              <w:pStyle w:val="TableParagraph"/>
              <w:spacing w:line="197" w:lineRule="exact"/>
              <w:ind w:left="124"/>
              <w:jc w:val="center"/>
              <w:rPr>
                <w:sz w:val="18"/>
              </w:rPr>
            </w:pPr>
            <w:r>
              <w:rPr>
                <w:color w:val="010101"/>
                <w:w w:val="103"/>
                <w:sz w:val="18"/>
              </w:rPr>
              <w:t>7</w:t>
            </w:r>
          </w:p>
        </w:tc>
        <w:tc>
          <w:tcPr>
            <w:tcW w:w="935" w:type="dxa"/>
          </w:tcPr>
          <w:p>
            <w:pPr>
              <w:pStyle w:val="TableParagraph"/>
              <w:spacing w:line="193" w:lineRule="exact"/>
              <w:ind w:right="33"/>
              <w:jc w:val="right"/>
              <w:rPr>
                <w:sz w:val="18"/>
              </w:rPr>
            </w:pPr>
            <w:r>
              <w:rPr>
                <w:color w:val="010101"/>
                <w:w w:val="95"/>
                <w:sz w:val="18"/>
              </w:rPr>
              <w:t>6.082</w:t>
            </w:r>
          </w:p>
        </w:tc>
      </w:tr>
      <w:tr>
        <w:trPr>
          <w:trHeight w:val="203" w:hRule="exact"/>
        </w:trPr>
        <w:tc>
          <w:tcPr>
            <w:tcW w:w="970" w:type="dxa"/>
          </w:tcPr>
          <w:p>
            <w:pPr>
              <w:pStyle w:val="TableParagraph"/>
              <w:spacing w:line="197" w:lineRule="exact"/>
              <w:ind w:left="60" w:right="-19"/>
              <w:rPr>
                <w:sz w:val="18"/>
              </w:rPr>
            </w:pPr>
            <w:r>
              <w:rPr>
                <w:color w:val="010101"/>
                <w:w w:val="105"/>
                <w:sz w:val="18"/>
              </w:rPr>
              <w:t>48</w:t>
            </w:r>
          </w:p>
        </w:tc>
        <w:tc>
          <w:tcPr>
            <w:tcW w:w="1628" w:type="dxa"/>
          </w:tcPr>
          <w:p>
            <w:pPr>
              <w:pStyle w:val="TableParagraph"/>
              <w:spacing w:line="201" w:lineRule="exact"/>
              <w:ind w:right="464"/>
              <w:jc w:val="right"/>
              <w:rPr>
                <w:sz w:val="18"/>
              </w:rPr>
            </w:pPr>
            <w:r>
              <w:rPr>
                <w:color w:val="010101"/>
                <w:w w:val="90"/>
                <w:sz w:val="18"/>
              </w:rPr>
              <w:t>16.79884</w:t>
            </w:r>
          </w:p>
        </w:tc>
        <w:tc>
          <w:tcPr>
            <w:tcW w:w="1158" w:type="dxa"/>
          </w:tcPr>
          <w:p>
            <w:pPr>
              <w:pStyle w:val="TableParagraph"/>
              <w:spacing w:line="201" w:lineRule="exact"/>
              <w:ind w:left="131"/>
              <w:jc w:val="center"/>
              <w:rPr>
                <w:sz w:val="18"/>
              </w:rPr>
            </w:pPr>
            <w:r>
              <w:rPr>
                <w:color w:val="010101"/>
                <w:w w:val="109"/>
                <w:sz w:val="18"/>
              </w:rPr>
              <w:t>8</w:t>
            </w:r>
          </w:p>
        </w:tc>
        <w:tc>
          <w:tcPr>
            <w:tcW w:w="935" w:type="dxa"/>
          </w:tcPr>
          <w:p>
            <w:pPr>
              <w:pStyle w:val="TableParagraph"/>
              <w:spacing w:line="193" w:lineRule="exact"/>
              <w:ind w:right="60"/>
              <w:jc w:val="right"/>
              <w:rPr>
                <w:sz w:val="18"/>
              </w:rPr>
            </w:pPr>
            <w:r>
              <w:rPr>
                <w:color w:val="010101"/>
                <w:w w:val="85"/>
                <w:sz w:val="18"/>
              </w:rPr>
              <w:t>5.721</w:t>
            </w:r>
          </w:p>
        </w:tc>
      </w:tr>
      <w:tr>
        <w:trPr>
          <w:trHeight w:val="300" w:hRule="exact"/>
        </w:trPr>
        <w:tc>
          <w:tcPr>
            <w:tcW w:w="970" w:type="dxa"/>
          </w:tcPr>
          <w:p>
            <w:pPr>
              <w:pStyle w:val="TableParagraph"/>
              <w:spacing w:line="195" w:lineRule="exact"/>
              <w:ind w:left="60" w:right="-19"/>
              <w:rPr>
                <w:sz w:val="18"/>
              </w:rPr>
            </w:pPr>
            <w:r>
              <w:rPr>
                <w:color w:val="010101"/>
                <w:w w:val="105"/>
                <w:sz w:val="18"/>
              </w:rPr>
              <w:t>49</w:t>
            </w:r>
          </w:p>
        </w:tc>
        <w:tc>
          <w:tcPr>
            <w:tcW w:w="1628" w:type="dxa"/>
          </w:tcPr>
          <w:p>
            <w:pPr>
              <w:pStyle w:val="TableParagraph"/>
              <w:spacing w:line="199" w:lineRule="exact"/>
              <w:ind w:right="454"/>
              <w:jc w:val="right"/>
              <w:rPr>
                <w:sz w:val="18"/>
              </w:rPr>
            </w:pPr>
            <w:r>
              <w:rPr>
                <w:color w:val="010101"/>
                <w:w w:val="75"/>
                <w:sz w:val="18"/>
              </w:rPr>
              <w:t>16.44204</w:t>
            </w:r>
          </w:p>
        </w:tc>
        <w:tc>
          <w:tcPr>
            <w:tcW w:w="1158" w:type="dxa"/>
          </w:tcPr>
          <w:p>
            <w:pPr>
              <w:pStyle w:val="TableParagraph"/>
              <w:spacing w:line="179" w:lineRule="exact"/>
              <w:ind w:left="97"/>
              <w:jc w:val="center"/>
              <w:rPr>
                <w:rFonts w:ascii="Times New Roman"/>
                <w:sz w:val="16"/>
              </w:rPr>
            </w:pPr>
            <w:r>
              <w:rPr>
                <w:rFonts w:ascii="Times New Roman"/>
                <w:color w:val="010101"/>
                <w:w w:val="106"/>
                <w:sz w:val="16"/>
              </w:rPr>
              <w:t>9</w:t>
            </w:r>
          </w:p>
        </w:tc>
        <w:tc>
          <w:tcPr>
            <w:tcW w:w="935" w:type="dxa"/>
          </w:tcPr>
          <w:p>
            <w:pPr>
              <w:pStyle w:val="TableParagraph"/>
              <w:spacing w:line="195" w:lineRule="exact"/>
              <w:ind w:right="50"/>
              <w:jc w:val="right"/>
              <w:rPr>
                <w:sz w:val="18"/>
              </w:rPr>
            </w:pPr>
            <w:r>
              <w:rPr>
                <w:color w:val="010101"/>
                <w:w w:val="85"/>
                <w:sz w:val="18"/>
              </w:rPr>
              <w:t>5</w:t>
            </w:r>
            <w:r>
              <w:rPr>
                <w:color w:val="1D1D1D"/>
                <w:w w:val="85"/>
                <w:sz w:val="18"/>
              </w:rPr>
              <w:t>.</w:t>
            </w:r>
            <w:r>
              <w:rPr>
                <w:color w:val="010101"/>
                <w:w w:val="85"/>
                <w:sz w:val="18"/>
              </w:rPr>
              <w:t>377</w:t>
            </w:r>
          </w:p>
        </w:tc>
      </w:tr>
      <w:tr>
        <w:trPr>
          <w:trHeight w:val="300" w:hRule="exact"/>
        </w:trPr>
        <w:tc>
          <w:tcPr>
            <w:tcW w:w="970" w:type="dxa"/>
          </w:tcPr>
          <w:p>
            <w:pPr>
              <w:pStyle w:val="TableParagraph"/>
              <w:spacing w:before="94"/>
              <w:ind w:left="60" w:right="-19"/>
              <w:rPr>
                <w:rFonts w:ascii="Times New Roman"/>
                <w:i/>
                <w:sz w:val="16"/>
              </w:rPr>
            </w:pPr>
            <w:r>
              <w:rPr>
                <w:rFonts w:ascii="Times New Roman"/>
                <w:i/>
                <w:color w:val="010101"/>
                <w:sz w:val="16"/>
              </w:rPr>
              <w:t>50</w:t>
            </w:r>
          </w:p>
        </w:tc>
        <w:tc>
          <w:tcPr>
            <w:tcW w:w="1628" w:type="dxa"/>
          </w:tcPr>
          <w:p>
            <w:pPr>
              <w:pStyle w:val="TableParagraph"/>
              <w:spacing w:before="93"/>
              <w:ind w:right="461"/>
              <w:jc w:val="right"/>
              <w:rPr>
                <w:sz w:val="18"/>
              </w:rPr>
            </w:pPr>
            <w:r>
              <w:rPr>
                <w:color w:val="010101"/>
                <w:w w:val="90"/>
                <w:sz w:val="18"/>
              </w:rPr>
              <w:t>16.08243</w:t>
            </w:r>
          </w:p>
        </w:tc>
        <w:tc>
          <w:tcPr>
            <w:tcW w:w="1158" w:type="dxa"/>
          </w:tcPr>
          <w:p>
            <w:pPr>
              <w:pStyle w:val="TableParagraph"/>
              <w:spacing w:before="103"/>
              <w:ind w:left="458" w:right="416"/>
              <w:jc w:val="center"/>
              <w:rPr>
                <w:rFonts w:ascii="Arial"/>
                <w:b/>
                <w:sz w:val="15"/>
              </w:rPr>
            </w:pPr>
            <w:r>
              <w:rPr>
                <w:rFonts w:ascii="Arial"/>
                <w:b/>
                <w:color w:val="010101"/>
                <w:sz w:val="15"/>
              </w:rPr>
              <w:t>10</w:t>
            </w:r>
          </w:p>
        </w:tc>
        <w:tc>
          <w:tcPr>
            <w:tcW w:w="935" w:type="dxa"/>
          </w:tcPr>
          <w:p>
            <w:pPr>
              <w:pStyle w:val="TableParagraph"/>
              <w:spacing w:before="90"/>
              <w:ind w:right="42"/>
              <w:jc w:val="right"/>
              <w:rPr>
                <w:sz w:val="18"/>
              </w:rPr>
            </w:pPr>
            <w:r>
              <w:rPr>
                <w:color w:val="010101"/>
                <w:w w:val="90"/>
                <w:sz w:val="18"/>
              </w:rPr>
              <w:t>5</w:t>
            </w:r>
            <w:r>
              <w:rPr>
                <w:color w:val="1D1D1D"/>
                <w:w w:val="90"/>
                <w:sz w:val="18"/>
              </w:rPr>
              <w:t>.</w:t>
            </w:r>
            <w:r>
              <w:rPr>
                <w:color w:val="010101"/>
                <w:w w:val="90"/>
                <w:sz w:val="18"/>
              </w:rPr>
              <w:t>050</w:t>
            </w:r>
          </w:p>
        </w:tc>
      </w:tr>
      <w:tr>
        <w:trPr>
          <w:trHeight w:val="198" w:hRule="exact"/>
        </w:trPr>
        <w:tc>
          <w:tcPr>
            <w:tcW w:w="970" w:type="dxa"/>
          </w:tcPr>
          <w:p>
            <w:pPr>
              <w:pStyle w:val="TableParagraph"/>
              <w:spacing w:line="195" w:lineRule="exact"/>
              <w:ind w:left="63" w:right="-19"/>
              <w:rPr>
                <w:sz w:val="18"/>
              </w:rPr>
            </w:pPr>
            <w:r>
              <w:rPr>
                <w:color w:val="010101"/>
                <w:w w:val="95"/>
                <w:sz w:val="18"/>
              </w:rPr>
              <w:t>51</w:t>
            </w:r>
          </w:p>
        </w:tc>
        <w:tc>
          <w:tcPr>
            <w:tcW w:w="1628" w:type="dxa"/>
          </w:tcPr>
          <w:p>
            <w:pPr>
              <w:pStyle w:val="TableParagraph"/>
              <w:spacing w:line="195" w:lineRule="exact"/>
              <w:ind w:right="470"/>
              <w:jc w:val="right"/>
              <w:rPr>
                <w:sz w:val="18"/>
              </w:rPr>
            </w:pPr>
            <w:r>
              <w:rPr>
                <w:color w:val="010101"/>
                <w:w w:val="75"/>
                <w:sz w:val="18"/>
              </w:rPr>
              <w:t>15.72020</w:t>
            </w:r>
          </w:p>
        </w:tc>
        <w:tc>
          <w:tcPr>
            <w:tcW w:w="1158" w:type="dxa"/>
          </w:tcPr>
          <w:p>
            <w:pPr>
              <w:pStyle w:val="TableParagraph"/>
              <w:spacing w:line="175" w:lineRule="exact"/>
              <w:ind w:left="458" w:right="403"/>
              <w:jc w:val="center"/>
              <w:rPr>
                <w:rFonts w:ascii="Arial"/>
                <w:sz w:val="16"/>
              </w:rPr>
            </w:pPr>
            <w:r>
              <w:rPr>
                <w:rFonts w:ascii="Arial"/>
                <w:color w:val="010101"/>
                <w:w w:val="105"/>
                <w:sz w:val="16"/>
              </w:rPr>
              <w:t>11</w:t>
            </w:r>
          </w:p>
        </w:tc>
        <w:tc>
          <w:tcPr>
            <w:tcW w:w="935" w:type="dxa"/>
          </w:tcPr>
          <w:p>
            <w:pPr>
              <w:pStyle w:val="TableParagraph"/>
              <w:spacing w:line="195" w:lineRule="exact"/>
              <w:ind w:right="40"/>
              <w:jc w:val="right"/>
              <w:rPr>
                <w:sz w:val="18"/>
              </w:rPr>
            </w:pPr>
            <w:r>
              <w:rPr>
                <w:color w:val="010101"/>
                <w:w w:val="95"/>
                <w:sz w:val="18"/>
              </w:rPr>
              <w:t>4.739</w:t>
            </w:r>
          </w:p>
        </w:tc>
      </w:tr>
      <w:tr>
        <w:trPr>
          <w:trHeight w:val="201" w:hRule="exact"/>
        </w:trPr>
        <w:tc>
          <w:tcPr>
            <w:tcW w:w="970" w:type="dxa"/>
          </w:tcPr>
          <w:p>
            <w:pPr>
              <w:pStyle w:val="TableParagraph"/>
              <w:spacing w:line="199" w:lineRule="exact"/>
              <w:ind w:left="63" w:right="-19"/>
              <w:rPr>
                <w:sz w:val="18"/>
              </w:rPr>
            </w:pPr>
            <w:r>
              <w:rPr>
                <w:color w:val="010101"/>
                <w:sz w:val="18"/>
              </w:rPr>
              <w:t>52</w:t>
            </w:r>
          </w:p>
        </w:tc>
        <w:tc>
          <w:tcPr>
            <w:tcW w:w="1628" w:type="dxa"/>
          </w:tcPr>
          <w:p>
            <w:pPr>
              <w:pStyle w:val="TableParagraph"/>
              <w:spacing w:line="199" w:lineRule="exact"/>
              <w:ind w:right="452"/>
              <w:jc w:val="right"/>
              <w:rPr>
                <w:sz w:val="18"/>
              </w:rPr>
            </w:pPr>
            <w:r>
              <w:rPr>
                <w:color w:val="010101"/>
                <w:w w:val="85"/>
                <w:sz w:val="18"/>
              </w:rPr>
              <w:t>15.35566</w:t>
            </w:r>
          </w:p>
        </w:tc>
        <w:tc>
          <w:tcPr>
            <w:tcW w:w="1158" w:type="dxa"/>
          </w:tcPr>
          <w:p>
            <w:pPr>
              <w:pStyle w:val="TableParagraph"/>
              <w:ind w:left="458" w:right="425"/>
              <w:jc w:val="center"/>
              <w:rPr>
                <w:rFonts w:ascii="Arial"/>
                <w:b/>
                <w:sz w:val="15"/>
              </w:rPr>
            </w:pPr>
            <w:r>
              <w:rPr>
                <w:rFonts w:ascii="Arial"/>
                <w:b/>
                <w:color w:val="010101"/>
                <w:w w:val="105"/>
                <w:sz w:val="15"/>
              </w:rPr>
              <w:t>12</w:t>
            </w:r>
          </w:p>
        </w:tc>
        <w:tc>
          <w:tcPr>
            <w:tcW w:w="935" w:type="dxa"/>
          </w:tcPr>
          <w:p>
            <w:pPr>
              <w:pStyle w:val="TableParagraph"/>
              <w:spacing w:line="195" w:lineRule="exact"/>
              <w:ind w:right="43"/>
              <w:jc w:val="right"/>
              <w:rPr>
                <w:sz w:val="18"/>
              </w:rPr>
            </w:pPr>
            <w:r>
              <w:rPr>
                <w:color w:val="010101"/>
                <w:w w:val="95"/>
                <w:sz w:val="18"/>
              </w:rPr>
              <w:t>4.445</w:t>
            </w:r>
          </w:p>
        </w:tc>
      </w:tr>
      <w:tr>
        <w:trPr>
          <w:trHeight w:val="202" w:hRule="exact"/>
        </w:trPr>
        <w:tc>
          <w:tcPr>
            <w:tcW w:w="970" w:type="dxa"/>
          </w:tcPr>
          <w:p>
            <w:pPr>
              <w:pStyle w:val="TableParagraph"/>
              <w:spacing w:line="186" w:lineRule="exact"/>
              <w:ind w:left="63" w:right="-19"/>
              <w:rPr>
                <w:rFonts w:ascii="Times New Roman"/>
                <w:sz w:val="17"/>
              </w:rPr>
            </w:pPr>
            <w:r>
              <w:rPr>
                <w:rFonts w:ascii="Times New Roman"/>
                <w:color w:val="010101"/>
                <w:sz w:val="17"/>
              </w:rPr>
              <w:t>53</w:t>
            </w:r>
          </w:p>
        </w:tc>
        <w:tc>
          <w:tcPr>
            <w:tcW w:w="1628" w:type="dxa"/>
          </w:tcPr>
          <w:p>
            <w:pPr>
              <w:pStyle w:val="TableParagraph"/>
              <w:spacing w:line="199" w:lineRule="exact"/>
              <w:ind w:right="465"/>
              <w:jc w:val="right"/>
              <w:rPr>
                <w:sz w:val="18"/>
              </w:rPr>
            </w:pPr>
            <w:r>
              <w:rPr>
                <w:color w:val="010101"/>
                <w:w w:val="85"/>
                <w:sz w:val="18"/>
              </w:rPr>
              <w:t>14.98909</w:t>
            </w:r>
          </w:p>
        </w:tc>
        <w:tc>
          <w:tcPr>
            <w:tcW w:w="1158" w:type="dxa"/>
          </w:tcPr>
          <w:p>
            <w:pPr>
              <w:pStyle w:val="TableParagraph"/>
              <w:spacing w:line="182" w:lineRule="exact"/>
              <w:ind w:left="452" w:right="426"/>
              <w:jc w:val="center"/>
              <w:rPr>
                <w:rFonts w:ascii="Times New Roman"/>
                <w:b/>
                <w:sz w:val="17"/>
              </w:rPr>
            </w:pPr>
            <w:r>
              <w:rPr>
                <w:rFonts w:ascii="Times New Roman"/>
                <w:b/>
                <w:color w:val="010101"/>
                <w:sz w:val="17"/>
              </w:rPr>
              <w:t>13</w:t>
            </w:r>
          </w:p>
        </w:tc>
        <w:tc>
          <w:tcPr>
            <w:tcW w:w="935" w:type="dxa"/>
          </w:tcPr>
          <w:p>
            <w:pPr>
              <w:pStyle w:val="TableParagraph"/>
              <w:spacing w:line="196" w:lineRule="exact"/>
              <w:ind w:right="39"/>
              <w:jc w:val="right"/>
              <w:rPr>
                <w:sz w:val="18"/>
              </w:rPr>
            </w:pPr>
            <w:r>
              <w:rPr>
                <w:color w:val="010101"/>
                <w:w w:val="95"/>
                <w:sz w:val="18"/>
              </w:rPr>
              <w:t>4.166</w:t>
            </w:r>
          </w:p>
        </w:tc>
      </w:tr>
      <w:tr>
        <w:trPr>
          <w:trHeight w:val="300" w:hRule="exact"/>
        </w:trPr>
        <w:tc>
          <w:tcPr>
            <w:tcW w:w="970" w:type="dxa"/>
          </w:tcPr>
          <w:p>
            <w:pPr>
              <w:pStyle w:val="TableParagraph"/>
              <w:spacing w:line="195" w:lineRule="exact"/>
              <w:ind w:left="60" w:right="-19"/>
              <w:rPr>
                <w:sz w:val="18"/>
              </w:rPr>
            </w:pPr>
            <w:r>
              <w:rPr>
                <w:color w:val="010101"/>
                <w:sz w:val="18"/>
              </w:rPr>
              <w:t>54</w:t>
            </w:r>
          </w:p>
        </w:tc>
        <w:tc>
          <w:tcPr>
            <w:tcW w:w="1628" w:type="dxa"/>
          </w:tcPr>
          <w:p>
            <w:pPr>
              <w:pStyle w:val="TableParagraph"/>
              <w:spacing w:line="199" w:lineRule="exact"/>
              <w:ind w:right="444"/>
              <w:jc w:val="right"/>
              <w:rPr>
                <w:sz w:val="18"/>
              </w:rPr>
            </w:pPr>
            <w:r>
              <w:rPr>
                <w:color w:val="010101"/>
                <w:w w:val="85"/>
                <w:sz w:val="18"/>
              </w:rPr>
              <w:t>14.62080</w:t>
            </w:r>
          </w:p>
        </w:tc>
        <w:tc>
          <w:tcPr>
            <w:tcW w:w="1158" w:type="dxa"/>
          </w:tcPr>
          <w:p>
            <w:pPr>
              <w:pStyle w:val="TableParagraph"/>
              <w:spacing w:line="179" w:lineRule="exact"/>
              <w:ind w:left="454" w:right="426"/>
              <w:jc w:val="center"/>
              <w:rPr>
                <w:rFonts w:ascii="Times New Roman"/>
                <w:sz w:val="16"/>
              </w:rPr>
            </w:pPr>
            <w:r>
              <w:rPr>
                <w:rFonts w:ascii="Times New Roman"/>
                <w:color w:val="010101"/>
                <w:w w:val="105"/>
                <w:sz w:val="16"/>
              </w:rPr>
              <w:t>14</w:t>
            </w:r>
          </w:p>
        </w:tc>
        <w:tc>
          <w:tcPr>
            <w:tcW w:w="935" w:type="dxa"/>
          </w:tcPr>
          <w:p>
            <w:pPr>
              <w:pStyle w:val="TableParagraph"/>
              <w:spacing w:line="195" w:lineRule="exact"/>
              <w:ind w:right="43"/>
              <w:jc w:val="right"/>
              <w:rPr>
                <w:sz w:val="18"/>
              </w:rPr>
            </w:pPr>
            <w:r>
              <w:rPr>
                <w:color w:val="010101"/>
                <w:w w:val="90"/>
                <w:sz w:val="18"/>
              </w:rPr>
              <w:t>3.902</w:t>
            </w:r>
          </w:p>
        </w:tc>
      </w:tr>
      <w:tr>
        <w:trPr>
          <w:trHeight w:val="298" w:hRule="exact"/>
        </w:trPr>
        <w:tc>
          <w:tcPr>
            <w:tcW w:w="970" w:type="dxa"/>
          </w:tcPr>
          <w:p>
            <w:pPr>
              <w:pStyle w:val="TableParagraph"/>
              <w:spacing w:before="93"/>
              <w:ind w:left="60" w:right="-19"/>
              <w:rPr>
                <w:sz w:val="18"/>
              </w:rPr>
            </w:pPr>
            <w:r>
              <w:rPr>
                <w:color w:val="010101"/>
                <w:sz w:val="18"/>
              </w:rPr>
              <w:t>55</w:t>
            </w:r>
          </w:p>
        </w:tc>
        <w:tc>
          <w:tcPr>
            <w:tcW w:w="1628" w:type="dxa"/>
          </w:tcPr>
          <w:p>
            <w:pPr>
              <w:pStyle w:val="TableParagraph"/>
              <w:spacing w:before="90"/>
              <w:ind w:right="465"/>
              <w:jc w:val="right"/>
              <w:rPr>
                <w:sz w:val="18"/>
              </w:rPr>
            </w:pPr>
            <w:r>
              <w:rPr>
                <w:color w:val="010101"/>
                <w:w w:val="85"/>
                <w:sz w:val="18"/>
              </w:rPr>
              <w:t>14.25107</w:t>
            </w:r>
          </w:p>
        </w:tc>
        <w:tc>
          <w:tcPr>
            <w:tcW w:w="1158" w:type="dxa"/>
          </w:tcPr>
          <w:p>
            <w:pPr>
              <w:pStyle w:val="TableParagraph"/>
              <w:spacing w:before="90"/>
              <w:ind w:left="458" w:right="426"/>
              <w:jc w:val="center"/>
              <w:rPr>
                <w:sz w:val="18"/>
              </w:rPr>
            </w:pPr>
            <w:r>
              <w:rPr>
                <w:color w:val="010101"/>
                <w:w w:val="90"/>
                <w:sz w:val="18"/>
              </w:rPr>
              <w:t>15</w:t>
            </w:r>
          </w:p>
        </w:tc>
        <w:tc>
          <w:tcPr>
            <w:tcW w:w="935" w:type="dxa"/>
          </w:tcPr>
          <w:p>
            <w:pPr>
              <w:pStyle w:val="TableParagraph"/>
              <w:spacing w:before="90"/>
              <w:ind w:right="64"/>
              <w:jc w:val="right"/>
              <w:rPr>
                <w:sz w:val="18"/>
              </w:rPr>
            </w:pPr>
            <w:r>
              <w:rPr>
                <w:color w:val="010101"/>
                <w:w w:val="80"/>
                <w:sz w:val="18"/>
              </w:rPr>
              <w:t>3.653</w:t>
            </w:r>
          </w:p>
        </w:tc>
      </w:tr>
      <w:tr>
        <w:trPr>
          <w:trHeight w:val="201" w:hRule="exact"/>
        </w:trPr>
        <w:tc>
          <w:tcPr>
            <w:tcW w:w="970" w:type="dxa"/>
          </w:tcPr>
          <w:p>
            <w:pPr>
              <w:pStyle w:val="TableParagraph"/>
              <w:spacing w:line="201" w:lineRule="exact"/>
              <w:ind w:left="60" w:right="-19"/>
              <w:rPr>
                <w:sz w:val="18"/>
              </w:rPr>
            </w:pPr>
            <w:r>
              <w:rPr>
                <w:color w:val="010101"/>
                <w:w w:val="90"/>
                <w:sz w:val="18"/>
              </w:rPr>
              <w:t>56</w:t>
            </w:r>
          </w:p>
        </w:tc>
        <w:tc>
          <w:tcPr>
            <w:tcW w:w="1628" w:type="dxa"/>
          </w:tcPr>
          <w:p>
            <w:pPr>
              <w:pStyle w:val="TableParagraph"/>
              <w:spacing w:line="197" w:lineRule="exact"/>
              <w:ind w:right="471"/>
              <w:jc w:val="right"/>
              <w:rPr>
                <w:sz w:val="18"/>
              </w:rPr>
            </w:pPr>
            <w:r>
              <w:rPr>
                <w:color w:val="010101"/>
                <w:w w:val="80"/>
                <w:sz w:val="18"/>
              </w:rPr>
              <w:t>13.88028</w:t>
            </w:r>
          </w:p>
        </w:tc>
        <w:tc>
          <w:tcPr>
            <w:tcW w:w="1158" w:type="dxa"/>
          </w:tcPr>
          <w:p>
            <w:pPr>
              <w:pStyle w:val="TableParagraph"/>
              <w:spacing w:line="197" w:lineRule="exact"/>
              <w:ind w:left="458" w:right="409"/>
              <w:jc w:val="center"/>
              <w:rPr>
                <w:sz w:val="18"/>
              </w:rPr>
            </w:pPr>
            <w:r>
              <w:rPr>
                <w:color w:val="010101"/>
                <w:sz w:val="18"/>
              </w:rPr>
              <w:t>16</w:t>
            </w:r>
          </w:p>
        </w:tc>
        <w:tc>
          <w:tcPr>
            <w:tcW w:w="935" w:type="dxa"/>
          </w:tcPr>
          <w:p>
            <w:pPr>
              <w:pStyle w:val="TableParagraph"/>
              <w:spacing w:line="193" w:lineRule="exact"/>
              <w:ind w:right="47"/>
              <w:jc w:val="right"/>
              <w:rPr>
                <w:sz w:val="18"/>
              </w:rPr>
            </w:pPr>
            <w:r>
              <w:rPr>
                <w:color w:val="010101"/>
                <w:w w:val="75"/>
                <w:sz w:val="18"/>
              </w:rPr>
              <w:t>3.417</w:t>
            </w:r>
          </w:p>
        </w:tc>
      </w:tr>
      <w:tr>
        <w:trPr>
          <w:trHeight w:val="200" w:hRule="exact"/>
        </w:trPr>
        <w:tc>
          <w:tcPr>
            <w:tcW w:w="970" w:type="dxa"/>
          </w:tcPr>
          <w:p>
            <w:pPr>
              <w:pStyle w:val="TableParagraph"/>
              <w:spacing w:line="180" w:lineRule="exact"/>
              <w:ind w:left="60" w:right="-19"/>
              <w:rPr>
                <w:rFonts w:ascii="Times New Roman"/>
                <w:i/>
                <w:sz w:val="17"/>
              </w:rPr>
            </w:pPr>
            <w:r>
              <w:rPr>
                <w:rFonts w:ascii="Times New Roman"/>
                <w:i/>
                <w:color w:val="010101"/>
                <w:w w:val="95"/>
                <w:sz w:val="17"/>
              </w:rPr>
              <w:t>57</w:t>
            </w:r>
          </w:p>
        </w:tc>
        <w:tc>
          <w:tcPr>
            <w:tcW w:w="1628" w:type="dxa"/>
          </w:tcPr>
          <w:p>
            <w:pPr>
              <w:pStyle w:val="TableParagraph"/>
              <w:spacing w:line="197" w:lineRule="exact"/>
              <w:ind w:right="466"/>
              <w:jc w:val="right"/>
              <w:rPr>
                <w:sz w:val="18"/>
              </w:rPr>
            </w:pPr>
            <w:r>
              <w:rPr>
                <w:color w:val="010101"/>
                <w:w w:val="80"/>
                <w:sz w:val="18"/>
              </w:rPr>
              <w:t>13</w:t>
            </w:r>
            <w:r>
              <w:rPr>
                <w:color w:val="1D1D1D"/>
                <w:w w:val="80"/>
                <w:sz w:val="18"/>
              </w:rPr>
              <w:t>.</w:t>
            </w:r>
            <w:r>
              <w:rPr>
                <w:color w:val="010101"/>
                <w:w w:val="80"/>
                <w:sz w:val="18"/>
              </w:rPr>
              <w:t>50872</w:t>
            </w:r>
          </w:p>
        </w:tc>
        <w:tc>
          <w:tcPr>
            <w:tcW w:w="1158" w:type="dxa"/>
          </w:tcPr>
          <w:p>
            <w:pPr>
              <w:pStyle w:val="TableParagraph"/>
              <w:spacing w:line="194" w:lineRule="exact"/>
              <w:ind w:left="458" w:right="425"/>
              <w:jc w:val="center"/>
              <w:rPr>
                <w:sz w:val="18"/>
              </w:rPr>
            </w:pPr>
            <w:r>
              <w:rPr>
                <w:color w:val="010101"/>
                <w:w w:val="85"/>
                <w:sz w:val="18"/>
              </w:rPr>
              <w:t>17</w:t>
            </w:r>
          </w:p>
        </w:tc>
        <w:tc>
          <w:tcPr>
            <w:tcW w:w="935" w:type="dxa"/>
          </w:tcPr>
          <w:p>
            <w:pPr>
              <w:pStyle w:val="TableParagraph"/>
              <w:spacing w:line="194" w:lineRule="exact"/>
              <w:ind w:right="52"/>
              <w:jc w:val="right"/>
              <w:rPr>
                <w:sz w:val="18"/>
              </w:rPr>
            </w:pPr>
            <w:r>
              <w:rPr>
                <w:color w:val="010101"/>
                <w:w w:val="80"/>
                <w:sz w:val="18"/>
              </w:rPr>
              <w:t>3.195</w:t>
            </w:r>
          </w:p>
        </w:tc>
      </w:tr>
      <w:tr>
        <w:trPr>
          <w:trHeight w:val="201" w:hRule="exact"/>
        </w:trPr>
        <w:tc>
          <w:tcPr>
            <w:tcW w:w="970" w:type="dxa"/>
          </w:tcPr>
          <w:p>
            <w:pPr>
              <w:pStyle w:val="TableParagraph"/>
              <w:spacing w:line="199" w:lineRule="exact"/>
              <w:ind w:left="63" w:right="-19"/>
              <w:rPr>
                <w:sz w:val="18"/>
              </w:rPr>
            </w:pPr>
            <w:r>
              <w:rPr>
                <w:color w:val="010101"/>
                <w:sz w:val="18"/>
              </w:rPr>
              <w:t>58</w:t>
            </w:r>
          </w:p>
        </w:tc>
        <w:tc>
          <w:tcPr>
            <w:tcW w:w="1628" w:type="dxa"/>
          </w:tcPr>
          <w:p>
            <w:pPr>
              <w:pStyle w:val="TableParagraph"/>
              <w:spacing w:line="199" w:lineRule="exact"/>
              <w:ind w:right="474"/>
              <w:jc w:val="right"/>
              <w:rPr>
                <w:sz w:val="18"/>
              </w:rPr>
            </w:pPr>
            <w:r>
              <w:rPr>
                <w:color w:val="010101"/>
                <w:w w:val="80"/>
                <w:sz w:val="18"/>
              </w:rPr>
              <w:t>13.13677</w:t>
            </w:r>
          </w:p>
        </w:tc>
        <w:tc>
          <w:tcPr>
            <w:tcW w:w="1158" w:type="dxa"/>
          </w:tcPr>
          <w:p>
            <w:pPr>
              <w:pStyle w:val="TableParagraph"/>
              <w:spacing w:line="199" w:lineRule="exact"/>
              <w:ind w:left="458" w:right="417"/>
              <w:jc w:val="center"/>
              <w:rPr>
                <w:sz w:val="18"/>
              </w:rPr>
            </w:pPr>
            <w:r>
              <w:rPr>
                <w:color w:val="010101"/>
                <w:w w:val="90"/>
                <w:sz w:val="18"/>
              </w:rPr>
              <w:t>18</w:t>
            </w:r>
          </w:p>
        </w:tc>
        <w:tc>
          <w:tcPr>
            <w:tcW w:w="935" w:type="dxa"/>
          </w:tcPr>
          <w:p>
            <w:pPr>
              <w:pStyle w:val="TableParagraph"/>
              <w:spacing w:line="195" w:lineRule="exact"/>
              <w:ind w:right="44"/>
              <w:jc w:val="right"/>
              <w:rPr>
                <w:sz w:val="18"/>
              </w:rPr>
            </w:pPr>
            <w:r>
              <w:rPr>
                <w:color w:val="010101"/>
                <w:sz w:val="18"/>
              </w:rPr>
              <w:t>2</w:t>
            </w:r>
            <w:r>
              <w:rPr>
                <w:color w:val="1D1D1D"/>
                <w:sz w:val="18"/>
              </w:rPr>
              <w:t>.</w:t>
            </w:r>
            <w:r>
              <w:rPr>
                <w:color w:val="010101"/>
                <w:sz w:val="18"/>
              </w:rPr>
              <w:t>986</w:t>
            </w:r>
          </w:p>
        </w:tc>
      </w:tr>
      <w:tr>
        <w:trPr>
          <w:trHeight w:val="300" w:hRule="exact"/>
        </w:trPr>
        <w:tc>
          <w:tcPr>
            <w:tcW w:w="970" w:type="dxa"/>
          </w:tcPr>
          <w:p>
            <w:pPr>
              <w:pStyle w:val="TableParagraph"/>
              <w:spacing w:line="199" w:lineRule="exact"/>
              <w:ind w:left="63" w:right="-19"/>
              <w:rPr>
                <w:sz w:val="18"/>
              </w:rPr>
            </w:pPr>
            <w:r>
              <w:rPr>
                <w:color w:val="010101"/>
                <w:sz w:val="18"/>
              </w:rPr>
              <w:t>59</w:t>
            </w:r>
          </w:p>
        </w:tc>
        <w:tc>
          <w:tcPr>
            <w:tcW w:w="1628" w:type="dxa"/>
          </w:tcPr>
          <w:p>
            <w:pPr>
              <w:pStyle w:val="TableParagraph"/>
              <w:spacing w:line="195" w:lineRule="exact"/>
              <w:ind w:right="470"/>
              <w:jc w:val="right"/>
              <w:rPr>
                <w:sz w:val="18"/>
              </w:rPr>
            </w:pPr>
            <w:r>
              <w:rPr>
                <w:color w:val="010101"/>
                <w:w w:val="85"/>
                <w:sz w:val="18"/>
              </w:rPr>
              <w:t>12.76477</w:t>
            </w:r>
          </w:p>
        </w:tc>
        <w:tc>
          <w:tcPr>
            <w:tcW w:w="1158" w:type="dxa"/>
          </w:tcPr>
          <w:p>
            <w:pPr>
              <w:pStyle w:val="TableParagraph"/>
              <w:spacing w:line="195" w:lineRule="exact"/>
              <w:ind w:left="456" w:right="426"/>
              <w:jc w:val="center"/>
              <w:rPr>
                <w:sz w:val="18"/>
              </w:rPr>
            </w:pPr>
            <w:r>
              <w:rPr>
                <w:color w:val="010101"/>
                <w:w w:val="90"/>
                <w:sz w:val="18"/>
              </w:rPr>
              <w:t>19</w:t>
            </w:r>
          </w:p>
        </w:tc>
        <w:tc>
          <w:tcPr>
            <w:tcW w:w="935" w:type="dxa"/>
          </w:tcPr>
          <w:p>
            <w:pPr>
              <w:pStyle w:val="TableParagraph"/>
              <w:spacing w:line="195" w:lineRule="exact"/>
              <w:ind w:right="46"/>
              <w:jc w:val="right"/>
              <w:rPr>
                <w:sz w:val="18"/>
              </w:rPr>
            </w:pPr>
            <w:r>
              <w:rPr>
                <w:color w:val="010101"/>
                <w:w w:val="95"/>
                <w:sz w:val="18"/>
              </w:rPr>
              <w:t>2</w:t>
            </w:r>
            <w:r>
              <w:rPr>
                <w:color w:val="1D1D1D"/>
                <w:w w:val="95"/>
                <w:sz w:val="18"/>
              </w:rPr>
              <w:t>.</w:t>
            </w:r>
            <w:r>
              <w:rPr>
                <w:color w:val="010101"/>
                <w:w w:val="95"/>
                <w:sz w:val="18"/>
              </w:rPr>
              <w:t>789</w:t>
            </w:r>
          </w:p>
        </w:tc>
      </w:tr>
      <w:tr>
        <w:trPr>
          <w:trHeight w:val="301" w:hRule="exact"/>
        </w:trPr>
        <w:tc>
          <w:tcPr>
            <w:tcW w:w="970" w:type="dxa"/>
          </w:tcPr>
          <w:p>
            <w:pPr>
              <w:pStyle w:val="TableParagraph"/>
              <w:spacing w:before="98"/>
              <w:ind w:left="63" w:right="-19"/>
              <w:rPr>
                <w:sz w:val="18"/>
              </w:rPr>
            </w:pPr>
            <w:r>
              <w:rPr>
                <w:color w:val="010101"/>
                <w:w w:val="105"/>
                <w:sz w:val="18"/>
              </w:rPr>
              <w:t>60</w:t>
            </w:r>
          </w:p>
        </w:tc>
        <w:tc>
          <w:tcPr>
            <w:tcW w:w="1628" w:type="dxa"/>
          </w:tcPr>
          <w:p>
            <w:pPr>
              <w:pStyle w:val="TableParagraph"/>
              <w:spacing w:before="90"/>
              <w:ind w:right="473"/>
              <w:jc w:val="right"/>
              <w:rPr>
                <w:sz w:val="18"/>
              </w:rPr>
            </w:pPr>
            <w:r>
              <w:rPr>
                <w:color w:val="010101"/>
                <w:w w:val="85"/>
                <w:sz w:val="18"/>
              </w:rPr>
              <w:t>12.39309</w:t>
            </w:r>
          </w:p>
        </w:tc>
        <w:tc>
          <w:tcPr>
            <w:tcW w:w="1158" w:type="dxa"/>
          </w:tcPr>
          <w:p>
            <w:pPr>
              <w:pStyle w:val="TableParagraph"/>
              <w:spacing w:before="85"/>
              <w:ind w:left="433" w:right="426"/>
              <w:jc w:val="center"/>
              <w:rPr>
                <w:rFonts w:ascii="Times New Roman"/>
                <w:sz w:val="17"/>
              </w:rPr>
            </w:pPr>
            <w:r>
              <w:rPr>
                <w:rFonts w:ascii="Times New Roman"/>
                <w:color w:val="010101"/>
                <w:sz w:val="17"/>
              </w:rPr>
              <w:t>20</w:t>
            </w:r>
          </w:p>
        </w:tc>
        <w:tc>
          <w:tcPr>
            <w:tcW w:w="935" w:type="dxa"/>
          </w:tcPr>
          <w:p>
            <w:pPr>
              <w:pStyle w:val="TableParagraph"/>
              <w:spacing w:before="90"/>
              <w:ind w:right="43"/>
              <w:jc w:val="right"/>
              <w:rPr>
                <w:sz w:val="18"/>
              </w:rPr>
            </w:pPr>
            <w:r>
              <w:rPr>
                <w:color w:val="010101"/>
                <w:w w:val="85"/>
                <w:sz w:val="18"/>
              </w:rPr>
              <w:t>2.604</w:t>
            </w:r>
          </w:p>
        </w:tc>
      </w:tr>
      <w:tr>
        <w:trPr>
          <w:trHeight w:val="200" w:hRule="exact"/>
        </w:trPr>
        <w:tc>
          <w:tcPr>
            <w:tcW w:w="970" w:type="dxa"/>
          </w:tcPr>
          <w:p>
            <w:pPr>
              <w:pStyle w:val="TableParagraph"/>
              <w:spacing w:before="13"/>
              <w:ind w:left="60" w:right="-19"/>
              <w:rPr>
                <w:rFonts w:ascii="Arial"/>
                <w:sz w:val="14"/>
              </w:rPr>
            </w:pPr>
            <w:r>
              <w:rPr>
                <w:rFonts w:ascii="Arial"/>
                <w:color w:val="010101"/>
                <w:w w:val="105"/>
                <w:sz w:val="14"/>
              </w:rPr>
              <w:t>61</w:t>
            </w:r>
          </w:p>
        </w:tc>
        <w:tc>
          <w:tcPr>
            <w:tcW w:w="1628" w:type="dxa"/>
          </w:tcPr>
          <w:p>
            <w:pPr>
              <w:pStyle w:val="TableParagraph"/>
              <w:spacing w:line="195" w:lineRule="exact"/>
              <w:ind w:right="487"/>
              <w:jc w:val="right"/>
              <w:rPr>
                <w:sz w:val="18"/>
              </w:rPr>
            </w:pPr>
            <w:r>
              <w:rPr>
                <w:color w:val="010101"/>
                <w:w w:val="80"/>
                <w:sz w:val="18"/>
              </w:rPr>
              <w:t>12.02211</w:t>
            </w:r>
          </w:p>
        </w:tc>
        <w:tc>
          <w:tcPr>
            <w:tcW w:w="1158" w:type="dxa"/>
          </w:tcPr>
          <w:p>
            <w:pPr>
              <w:pStyle w:val="TableParagraph"/>
              <w:spacing w:line="192" w:lineRule="exact"/>
              <w:ind w:left="431" w:right="426"/>
              <w:jc w:val="center"/>
              <w:rPr>
                <w:sz w:val="18"/>
              </w:rPr>
            </w:pPr>
            <w:r>
              <w:rPr>
                <w:color w:val="010101"/>
                <w:w w:val="95"/>
                <w:sz w:val="18"/>
              </w:rPr>
              <w:t>21</w:t>
            </w:r>
          </w:p>
        </w:tc>
        <w:tc>
          <w:tcPr>
            <w:tcW w:w="935" w:type="dxa"/>
          </w:tcPr>
          <w:p>
            <w:pPr>
              <w:pStyle w:val="TableParagraph"/>
              <w:spacing w:line="195" w:lineRule="exact"/>
              <w:ind w:right="38"/>
              <w:jc w:val="right"/>
              <w:rPr>
                <w:sz w:val="18"/>
              </w:rPr>
            </w:pPr>
            <w:r>
              <w:rPr>
                <w:color w:val="010101"/>
                <w:sz w:val="18"/>
              </w:rPr>
              <w:t>2.430</w:t>
            </w:r>
          </w:p>
        </w:tc>
      </w:tr>
      <w:tr>
        <w:trPr>
          <w:trHeight w:val="199" w:hRule="exact"/>
        </w:trPr>
        <w:tc>
          <w:tcPr>
            <w:tcW w:w="970" w:type="dxa"/>
          </w:tcPr>
          <w:p>
            <w:pPr>
              <w:pStyle w:val="TableParagraph"/>
              <w:spacing w:line="197" w:lineRule="exact"/>
              <w:ind w:left="60" w:right="-19"/>
              <w:rPr>
                <w:sz w:val="18"/>
              </w:rPr>
            </w:pPr>
            <w:r>
              <w:rPr>
                <w:color w:val="010101"/>
                <w:sz w:val="18"/>
              </w:rPr>
              <w:t>62</w:t>
            </w:r>
          </w:p>
        </w:tc>
        <w:tc>
          <w:tcPr>
            <w:tcW w:w="1628" w:type="dxa"/>
          </w:tcPr>
          <w:p>
            <w:pPr>
              <w:pStyle w:val="TableParagraph"/>
              <w:spacing w:line="197" w:lineRule="exact"/>
              <w:ind w:right="465"/>
              <w:jc w:val="right"/>
              <w:rPr>
                <w:sz w:val="18"/>
              </w:rPr>
            </w:pPr>
            <w:r>
              <w:rPr>
                <w:color w:val="010101"/>
                <w:w w:val="85"/>
                <w:sz w:val="18"/>
              </w:rPr>
              <w:t>11 </w:t>
            </w:r>
            <w:r>
              <w:rPr>
                <w:color w:val="1D1D1D"/>
                <w:w w:val="85"/>
                <w:sz w:val="18"/>
              </w:rPr>
              <w:t>.</w:t>
            </w:r>
            <w:r>
              <w:rPr>
                <w:color w:val="010101"/>
                <w:w w:val="85"/>
                <w:sz w:val="18"/>
              </w:rPr>
              <w:t>65224</w:t>
            </w:r>
          </w:p>
        </w:tc>
        <w:tc>
          <w:tcPr>
            <w:tcW w:w="1158" w:type="dxa"/>
          </w:tcPr>
          <w:p>
            <w:pPr>
              <w:pStyle w:val="TableParagraph"/>
              <w:spacing w:line="197" w:lineRule="exact"/>
              <w:ind w:left="458" w:right="420"/>
              <w:jc w:val="center"/>
              <w:rPr>
                <w:sz w:val="18"/>
              </w:rPr>
            </w:pPr>
            <w:r>
              <w:rPr>
                <w:color w:val="010101"/>
                <w:sz w:val="18"/>
              </w:rPr>
              <w:t>22</w:t>
            </w:r>
          </w:p>
        </w:tc>
        <w:tc>
          <w:tcPr>
            <w:tcW w:w="935" w:type="dxa"/>
          </w:tcPr>
          <w:p>
            <w:pPr>
              <w:pStyle w:val="TableParagraph"/>
              <w:spacing w:line="197" w:lineRule="exact"/>
              <w:ind w:right="51"/>
              <w:jc w:val="right"/>
              <w:rPr>
                <w:sz w:val="18"/>
              </w:rPr>
            </w:pPr>
            <w:r>
              <w:rPr>
                <w:color w:val="010101"/>
                <w:w w:val="75"/>
                <w:sz w:val="18"/>
              </w:rPr>
              <w:t>2.266</w:t>
            </w:r>
          </w:p>
        </w:tc>
      </w:tr>
      <w:tr>
        <w:trPr>
          <w:trHeight w:val="204" w:hRule="exact"/>
        </w:trPr>
        <w:tc>
          <w:tcPr>
            <w:tcW w:w="970" w:type="dxa"/>
          </w:tcPr>
          <w:p>
            <w:pPr>
              <w:pStyle w:val="TableParagraph"/>
              <w:spacing w:line="203" w:lineRule="exact"/>
              <w:ind w:left="60" w:right="-19"/>
              <w:rPr>
                <w:sz w:val="18"/>
              </w:rPr>
            </w:pPr>
            <w:r>
              <w:rPr>
                <w:color w:val="010101"/>
                <w:sz w:val="18"/>
              </w:rPr>
              <w:t>63</w:t>
            </w:r>
          </w:p>
        </w:tc>
        <w:tc>
          <w:tcPr>
            <w:tcW w:w="1628" w:type="dxa"/>
          </w:tcPr>
          <w:p>
            <w:pPr>
              <w:pStyle w:val="TableParagraph"/>
              <w:spacing w:line="199" w:lineRule="exact"/>
              <w:ind w:right="481"/>
              <w:jc w:val="right"/>
              <w:rPr>
                <w:sz w:val="18"/>
              </w:rPr>
            </w:pPr>
            <w:r>
              <w:rPr>
                <w:color w:val="010101"/>
                <w:w w:val="80"/>
                <w:sz w:val="18"/>
              </w:rPr>
              <w:t>11.28381</w:t>
            </w:r>
          </w:p>
        </w:tc>
        <w:tc>
          <w:tcPr>
            <w:tcW w:w="1158" w:type="dxa"/>
          </w:tcPr>
          <w:p>
            <w:pPr>
              <w:pStyle w:val="TableParagraph"/>
              <w:spacing w:line="182" w:lineRule="exact"/>
              <w:ind w:left="429" w:right="426"/>
              <w:jc w:val="center"/>
              <w:rPr>
                <w:rFonts w:ascii="Times New Roman"/>
                <w:sz w:val="17"/>
              </w:rPr>
            </w:pPr>
            <w:r>
              <w:rPr>
                <w:rFonts w:ascii="Times New Roman"/>
                <w:color w:val="010101"/>
                <w:sz w:val="17"/>
              </w:rPr>
              <w:t>23</w:t>
            </w:r>
          </w:p>
        </w:tc>
        <w:tc>
          <w:tcPr>
            <w:tcW w:w="935" w:type="dxa"/>
          </w:tcPr>
          <w:p>
            <w:pPr>
              <w:pStyle w:val="TableParagraph"/>
              <w:spacing w:line="196" w:lineRule="exact"/>
              <w:ind w:right="47"/>
              <w:jc w:val="right"/>
              <w:rPr>
                <w:sz w:val="18"/>
              </w:rPr>
            </w:pPr>
            <w:r>
              <w:rPr>
                <w:color w:val="010101"/>
                <w:w w:val="75"/>
                <w:sz w:val="18"/>
              </w:rPr>
              <w:t>2.113</w:t>
            </w:r>
          </w:p>
        </w:tc>
      </w:tr>
      <w:tr>
        <w:trPr>
          <w:trHeight w:val="302" w:hRule="exact"/>
        </w:trPr>
        <w:tc>
          <w:tcPr>
            <w:tcW w:w="970" w:type="dxa"/>
          </w:tcPr>
          <w:p>
            <w:pPr>
              <w:pStyle w:val="TableParagraph"/>
              <w:spacing w:line="197" w:lineRule="exact"/>
              <w:ind w:left="60" w:right="-19"/>
              <w:rPr>
                <w:sz w:val="18"/>
              </w:rPr>
            </w:pPr>
            <w:r>
              <w:rPr>
                <w:color w:val="010101"/>
                <w:w w:val="90"/>
                <w:sz w:val="18"/>
              </w:rPr>
              <w:t>G4</w:t>
            </w:r>
          </w:p>
        </w:tc>
        <w:tc>
          <w:tcPr>
            <w:tcW w:w="1628" w:type="dxa"/>
          </w:tcPr>
          <w:p>
            <w:pPr>
              <w:pStyle w:val="TableParagraph"/>
              <w:spacing w:line="197" w:lineRule="exact"/>
              <w:ind w:right="481"/>
              <w:jc w:val="right"/>
              <w:rPr>
                <w:sz w:val="18"/>
              </w:rPr>
            </w:pPr>
            <w:r>
              <w:rPr>
                <w:color w:val="010101"/>
                <w:w w:val="75"/>
                <w:sz w:val="18"/>
              </w:rPr>
              <w:t>10</w:t>
            </w:r>
            <w:r>
              <w:rPr>
                <w:color w:val="1D1D1D"/>
                <w:w w:val="75"/>
                <w:sz w:val="18"/>
              </w:rPr>
              <w:t>.</w:t>
            </w:r>
            <w:r>
              <w:rPr>
                <w:color w:val="010101"/>
                <w:w w:val="75"/>
                <w:sz w:val="18"/>
              </w:rPr>
              <w:t>91726</w:t>
            </w:r>
          </w:p>
        </w:tc>
        <w:tc>
          <w:tcPr>
            <w:tcW w:w="1158" w:type="dxa"/>
          </w:tcPr>
          <w:p>
            <w:pPr>
              <w:pStyle w:val="TableParagraph"/>
              <w:spacing w:line="193" w:lineRule="exact"/>
              <w:ind w:left="458" w:right="424"/>
              <w:jc w:val="center"/>
              <w:rPr>
                <w:sz w:val="18"/>
              </w:rPr>
            </w:pPr>
            <w:r>
              <w:rPr>
                <w:color w:val="010101"/>
                <w:w w:val="105"/>
                <w:sz w:val="18"/>
              </w:rPr>
              <w:t>24</w:t>
            </w:r>
          </w:p>
        </w:tc>
        <w:tc>
          <w:tcPr>
            <w:tcW w:w="935" w:type="dxa"/>
          </w:tcPr>
          <w:p>
            <w:pPr>
              <w:pStyle w:val="TableParagraph"/>
              <w:spacing w:line="193" w:lineRule="exact"/>
              <w:ind w:right="41"/>
              <w:jc w:val="right"/>
              <w:rPr>
                <w:sz w:val="18"/>
              </w:rPr>
            </w:pPr>
            <w:r>
              <w:rPr>
                <w:color w:val="010101"/>
                <w:w w:val="90"/>
                <w:sz w:val="18"/>
              </w:rPr>
              <w:t>1.970</w:t>
            </w:r>
          </w:p>
        </w:tc>
      </w:tr>
      <w:tr>
        <w:trPr>
          <w:trHeight w:val="300" w:hRule="exact"/>
        </w:trPr>
        <w:tc>
          <w:tcPr>
            <w:tcW w:w="970" w:type="dxa"/>
          </w:tcPr>
          <w:p>
            <w:pPr>
              <w:pStyle w:val="TableParagraph"/>
              <w:spacing w:before="94"/>
              <w:ind w:left="60" w:right="-19"/>
              <w:rPr>
                <w:sz w:val="18"/>
              </w:rPr>
            </w:pPr>
            <w:r>
              <w:rPr>
                <w:color w:val="010101"/>
                <w:w w:val="105"/>
                <w:sz w:val="18"/>
              </w:rPr>
              <w:t>65</w:t>
            </w:r>
          </w:p>
        </w:tc>
        <w:tc>
          <w:tcPr>
            <w:tcW w:w="1628" w:type="dxa"/>
          </w:tcPr>
          <w:p>
            <w:pPr>
              <w:pStyle w:val="TableParagraph"/>
              <w:spacing w:before="94"/>
              <w:ind w:right="455"/>
              <w:jc w:val="right"/>
              <w:rPr>
                <w:sz w:val="18"/>
              </w:rPr>
            </w:pPr>
            <w:r>
              <w:rPr>
                <w:color w:val="010101"/>
                <w:w w:val="80"/>
                <w:sz w:val="18"/>
              </w:rPr>
              <w:t>10</w:t>
            </w:r>
            <w:r>
              <w:rPr>
                <w:color w:val="1D1D1D"/>
                <w:w w:val="80"/>
                <w:sz w:val="18"/>
              </w:rPr>
              <w:t>.</w:t>
            </w:r>
            <w:r>
              <w:rPr>
                <w:color w:val="010101"/>
                <w:w w:val="80"/>
                <w:sz w:val="18"/>
              </w:rPr>
              <w:t>55296</w:t>
            </w:r>
          </w:p>
        </w:tc>
        <w:tc>
          <w:tcPr>
            <w:tcW w:w="1158" w:type="dxa"/>
          </w:tcPr>
          <w:p>
            <w:pPr>
              <w:pStyle w:val="TableParagraph"/>
              <w:spacing w:before="90"/>
              <w:ind w:left="439" w:right="426"/>
              <w:jc w:val="center"/>
              <w:rPr>
                <w:rFonts w:ascii="Times New Roman"/>
                <w:sz w:val="16"/>
              </w:rPr>
            </w:pPr>
            <w:r>
              <w:rPr>
                <w:rFonts w:ascii="Times New Roman"/>
                <w:color w:val="010101"/>
                <w:w w:val="105"/>
                <w:sz w:val="16"/>
              </w:rPr>
              <w:t>25</w:t>
            </w:r>
          </w:p>
        </w:tc>
        <w:tc>
          <w:tcPr>
            <w:tcW w:w="935" w:type="dxa"/>
          </w:tcPr>
          <w:p>
            <w:pPr>
              <w:pStyle w:val="TableParagraph"/>
              <w:spacing w:before="99"/>
              <w:ind w:right="70"/>
              <w:jc w:val="right"/>
              <w:rPr>
                <w:rFonts w:ascii="Arial"/>
                <w:b/>
                <w:sz w:val="15"/>
              </w:rPr>
            </w:pPr>
            <w:r>
              <w:rPr>
                <w:rFonts w:ascii="Arial"/>
                <w:b/>
                <w:color w:val="010101"/>
                <w:sz w:val="15"/>
              </w:rPr>
              <w:t>1.835</w:t>
            </w:r>
          </w:p>
        </w:tc>
      </w:tr>
      <w:tr>
        <w:trPr>
          <w:trHeight w:val="200" w:hRule="exact"/>
        </w:trPr>
        <w:tc>
          <w:tcPr>
            <w:tcW w:w="970" w:type="dxa"/>
          </w:tcPr>
          <w:p>
            <w:pPr>
              <w:pStyle w:val="TableParagraph"/>
              <w:spacing w:line="199" w:lineRule="exact"/>
              <w:ind w:left="63" w:right="-19"/>
              <w:rPr>
                <w:sz w:val="18"/>
              </w:rPr>
            </w:pPr>
            <w:r>
              <w:rPr>
                <w:color w:val="010101"/>
                <w:w w:val="105"/>
                <w:sz w:val="18"/>
              </w:rPr>
              <w:t>66</w:t>
            </w:r>
          </w:p>
        </w:tc>
        <w:tc>
          <w:tcPr>
            <w:tcW w:w="1628" w:type="dxa"/>
          </w:tcPr>
          <w:p>
            <w:pPr>
              <w:pStyle w:val="TableParagraph"/>
              <w:spacing w:line="195" w:lineRule="exact"/>
              <w:ind w:right="478"/>
              <w:jc w:val="right"/>
              <w:rPr>
                <w:sz w:val="18"/>
              </w:rPr>
            </w:pPr>
            <w:r>
              <w:rPr>
                <w:color w:val="010101"/>
                <w:w w:val="75"/>
                <w:sz w:val="18"/>
              </w:rPr>
              <w:t>10</w:t>
            </w:r>
            <w:r>
              <w:rPr>
                <w:color w:val="1D1D1D"/>
                <w:w w:val="75"/>
                <w:sz w:val="18"/>
              </w:rPr>
              <w:t>.</w:t>
            </w:r>
            <w:r>
              <w:rPr>
                <w:color w:val="010101"/>
                <w:w w:val="75"/>
                <w:sz w:val="18"/>
              </w:rPr>
              <w:t>19131</w:t>
            </w:r>
          </w:p>
        </w:tc>
        <w:tc>
          <w:tcPr>
            <w:tcW w:w="1158" w:type="dxa"/>
          </w:tcPr>
          <w:p>
            <w:pPr>
              <w:pStyle w:val="TableParagraph"/>
              <w:spacing w:line="195" w:lineRule="exact"/>
              <w:ind w:left="444" w:right="426"/>
              <w:jc w:val="center"/>
              <w:rPr>
                <w:sz w:val="18"/>
              </w:rPr>
            </w:pPr>
            <w:r>
              <w:rPr>
                <w:color w:val="010101"/>
                <w:w w:val="90"/>
                <w:sz w:val="18"/>
              </w:rPr>
              <w:t>26</w:t>
            </w:r>
          </w:p>
        </w:tc>
        <w:tc>
          <w:tcPr>
            <w:tcW w:w="935" w:type="dxa"/>
          </w:tcPr>
          <w:p>
            <w:pPr>
              <w:pStyle w:val="TableParagraph"/>
              <w:spacing w:line="195" w:lineRule="exact"/>
              <w:ind w:right="52"/>
              <w:jc w:val="right"/>
              <w:rPr>
                <w:sz w:val="18"/>
              </w:rPr>
            </w:pPr>
            <w:r>
              <w:rPr>
                <w:color w:val="010101"/>
                <w:w w:val="80"/>
                <w:sz w:val="18"/>
              </w:rPr>
              <w:t>1.709</w:t>
            </w:r>
          </w:p>
        </w:tc>
      </w:tr>
      <w:tr>
        <w:trPr>
          <w:trHeight w:val="201" w:hRule="exact"/>
        </w:trPr>
        <w:tc>
          <w:tcPr>
            <w:tcW w:w="970" w:type="dxa"/>
          </w:tcPr>
          <w:p>
            <w:pPr>
              <w:pStyle w:val="TableParagraph"/>
              <w:spacing w:line="201" w:lineRule="exact"/>
              <w:ind w:left="63" w:right="-19"/>
              <w:rPr>
                <w:sz w:val="18"/>
              </w:rPr>
            </w:pPr>
            <w:r>
              <w:rPr>
                <w:color w:val="010101"/>
                <w:sz w:val="18"/>
              </w:rPr>
              <w:t>67</w:t>
            </w:r>
          </w:p>
        </w:tc>
        <w:tc>
          <w:tcPr>
            <w:tcW w:w="1628" w:type="dxa"/>
          </w:tcPr>
          <w:p>
            <w:pPr>
              <w:pStyle w:val="TableParagraph"/>
              <w:spacing w:line="197" w:lineRule="exact"/>
              <w:ind w:right="479"/>
              <w:jc w:val="right"/>
              <w:rPr>
                <w:sz w:val="18"/>
              </w:rPr>
            </w:pPr>
            <w:r>
              <w:rPr>
                <w:color w:val="010101"/>
                <w:w w:val="80"/>
                <w:sz w:val="18"/>
              </w:rPr>
              <w:t>9.83271</w:t>
            </w:r>
          </w:p>
        </w:tc>
        <w:tc>
          <w:tcPr>
            <w:tcW w:w="1158" w:type="dxa"/>
          </w:tcPr>
          <w:p>
            <w:pPr>
              <w:pStyle w:val="TableParagraph"/>
              <w:spacing w:line="197" w:lineRule="exact"/>
              <w:ind w:left="446" w:right="426"/>
              <w:jc w:val="center"/>
              <w:rPr>
                <w:sz w:val="18"/>
              </w:rPr>
            </w:pPr>
            <w:r>
              <w:rPr>
                <w:color w:val="010101"/>
                <w:w w:val="90"/>
                <w:sz w:val="18"/>
              </w:rPr>
              <w:t>27</w:t>
            </w:r>
          </w:p>
        </w:tc>
        <w:tc>
          <w:tcPr>
            <w:tcW w:w="935" w:type="dxa"/>
          </w:tcPr>
          <w:p>
            <w:pPr>
              <w:pStyle w:val="TableParagraph"/>
              <w:spacing w:line="193" w:lineRule="exact"/>
              <w:ind w:right="65"/>
              <w:jc w:val="right"/>
              <w:rPr>
                <w:sz w:val="18"/>
              </w:rPr>
            </w:pPr>
            <w:r>
              <w:rPr>
                <w:color w:val="010101"/>
                <w:w w:val="80"/>
                <w:sz w:val="18"/>
              </w:rPr>
              <w:t>1.591</w:t>
            </w:r>
          </w:p>
        </w:tc>
      </w:tr>
      <w:tr>
        <w:trPr>
          <w:trHeight w:val="198" w:hRule="exact"/>
        </w:trPr>
        <w:tc>
          <w:tcPr>
            <w:tcW w:w="970" w:type="dxa"/>
          </w:tcPr>
          <w:p>
            <w:pPr>
              <w:pStyle w:val="TableParagraph"/>
              <w:spacing w:line="197" w:lineRule="exact"/>
              <w:ind w:left="63" w:right="-19"/>
              <w:rPr>
                <w:sz w:val="18"/>
              </w:rPr>
            </w:pPr>
            <w:r>
              <w:rPr>
                <w:color w:val="010101"/>
                <w:w w:val="105"/>
                <w:sz w:val="18"/>
              </w:rPr>
              <w:t>68</w:t>
            </w:r>
          </w:p>
        </w:tc>
        <w:tc>
          <w:tcPr>
            <w:tcW w:w="1628" w:type="dxa"/>
          </w:tcPr>
          <w:p>
            <w:pPr>
              <w:pStyle w:val="TableParagraph"/>
              <w:spacing w:line="197" w:lineRule="exact"/>
              <w:ind w:right="472"/>
              <w:jc w:val="right"/>
              <w:rPr>
                <w:sz w:val="18"/>
              </w:rPr>
            </w:pPr>
            <w:r>
              <w:rPr>
                <w:color w:val="010101"/>
                <w:w w:val="80"/>
                <w:sz w:val="18"/>
              </w:rPr>
              <w:t>9.47754</w:t>
            </w:r>
          </w:p>
        </w:tc>
        <w:tc>
          <w:tcPr>
            <w:tcW w:w="1158" w:type="dxa"/>
          </w:tcPr>
          <w:p>
            <w:pPr>
              <w:pStyle w:val="TableParagraph"/>
              <w:spacing w:line="180" w:lineRule="exact"/>
              <w:ind w:left="436" w:right="426"/>
              <w:jc w:val="center"/>
              <w:rPr>
                <w:rFonts w:ascii="Times New Roman"/>
                <w:sz w:val="17"/>
              </w:rPr>
            </w:pPr>
            <w:r>
              <w:rPr>
                <w:rFonts w:ascii="Times New Roman"/>
                <w:color w:val="010101"/>
                <w:sz w:val="17"/>
              </w:rPr>
              <w:t>28</w:t>
            </w:r>
          </w:p>
        </w:tc>
        <w:tc>
          <w:tcPr>
            <w:tcW w:w="935" w:type="dxa"/>
          </w:tcPr>
          <w:p>
            <w:pPr>
              <w:pStyle w:val="TableParagraph"/>
              <w:spacing w:line="172" w:lineRule="exact"/>
              <w:ind w:right="59"/>
              <w:jc w:val="right"/>
              <w:rPr>
                <w:rFonts w:ascii="Arial"/>
                <w:b/>
                <w:sz w:val="15"/>
              </w:rPr>
            </w:pPr>
            <w:r>
              <w:rPr>
                <w:rFonts w:ascii="Arial"/>
                <w:b/>
                <w:color w:val="010101"/>
                <w:w w:val="105"/>
                <w:sz w:val="15"/>
              </w:rPr>
              <w:t>1.481</w:t>
            </w:r>
          </w:p>
        </w:tc>
      </w:tr>
      <w:tr>
        <w:trPr>
          <w:trHeight w:val="298" w:hRule="exact"/>
        </w:trPr>
        <w:tc>
          <w:tcPr>
            <w:tcW w:w="970" w:type="dxa"/>
          </w:tcPr>
          <w:p>
            <w:pPr>
              <w:pStyle w:val="TableParagraph"/>
              <w:spacing w:line="181" w:lineRule="exact"/>
              <w:ind w:left="63" w:right="-19"/>
              <w:rPr>
                <w:rFonts w:ascii="Times New Roman"/>
                <w:sz w:val="16"/>
              </w:rPr>
            </w:pPr>
            <w:r>
              <w:rPr>
                <w:rFonts w:ascii="Times New Roman"/>
                <w:color w:val="010101"/>
                <w:sz w:val="16"/>
              </w:rPr>
              <w:t>69</w:t>
            </w:r>
          </w:p>
        </w:tc>
        <w:tc>
          <w:tcPr>
            <w:tcW w:w="1628" w:type="dxa"/>
          </w:tcPr>
          <w:p>
            <w:pPr>
              <w:pStyle w:val="TableParagraph"/>
              <w:spacing w:line="197" w:lineRule="exact"/>
              <w:ind w:right="464"/>
              <w:jc w:val="right"/>
              <w:rPr>
                <w:sz w:val="18"/>
              </w:rPr>
            </w:pPr>
            <w:r>
              <w:rPr>
                <w:color w:val="010101"/>
                <w:w w:val="80"/>
                <w:sz w:val="18"/>
              </w:rPr>
              <w:t>9.12620</w:t>
            </w:r>
          </w:p>
        </w:tc>
        <w:tc>
          <w:tcPr>
            <w:tcW w:w="1158" w:type="dxa"/>
          </w:tcPr>
          <w:p>
            <w:pPr>
              <w:pStyle w:val="TableParagraph"/>
              <w:spacing w:line="197" w:lineRule="exact"/>
              <w:ind w:left="441" w:right="426"/>
              <w:jc w:val="center"/>
              <w:rPr>
                <w:sz w:val="18"/>
              </w:rPr>
            </w:pPr>
            <w:r>
              <w:rPr>
                <w:color w:val="010101"/>
                <w:w w:val="90"/>
                <w:sz w:val="18"/>
              </w:rPr>
              <w:t>29</w:t>
            </w:r>
          </w:p>
        </w:tc>
        <w:tc>
          <w:tcPr>
            <w:tcW w:w="935" w:type="dxa"/>
          </w:tcPr>
          <w:p>
            <w:pPr>
              <w:pStyle w:val="TableParagraph"/>
              <w:spacing w:line="193" w:lineRule="exact"/>
              <w:ind w:right="37"/>
              <w:jc w:val="right"/>
              <w:rPr>
                <w:sz w:val="18"/>
              </w:rPr>
            </w:pPr>
            <w:r>
              <w:rPr>
                <w:color w:val="010101"/>
                <w:w w:val="85"/>
                <w:sz w:val="18"/>
              </w:rPr>
              <w:t>1.378</w:t>
            </w:r>
          </w:p>
        </w:tc>
      </w:tr>
      <w:tr>
        <w:trPr>
          <w:trHeight w:val="304" w:hRule="exact"/>
        </w:trPr>
        <w:tc>
          <w:tcPr>
            <w:tcW w:w="970" w:type="dxa"/>
          </w:tcPr>
          <w:p>
            <w:pPr>
              <w:pStyle w:val="TableParagraph"/>
              <w:spacing w:before="97"/>
              <w:ind w:left="67" w:right="-19"/>
              <w:rPr>
                <w:sz w:val="18"/>
              </w:rPr>
            </w:pPr>
            <w:r>
              <w:rPr>
                <w:color w:val="010101"/>
                <w:sz w:val="18"/>
              </w:rPr>
              <w:t>70</w:t>
            </w:r>
          </w:p>
        </w:tc>
        <w:tc>
          <w:tcPr>
            <w:tcW w:w="1628" w:type="dxa"/>
          </w:tcPr>
          <w:p>
            <w:pPr>
              <w:pStyle w:val="TableParagraph"/>
              <w:spacing w:before="97"/>
              <w:ind w:right="474"/>
              <w:jc w:val="right"/>
              <w:rPr>
                <w:sz w:val="18"/>
              </w:rPr>
            </w:pPr>
            <w:r>
              <w:rPr>
                <w:color w:val="010101"/>
                <w:w w:val="85"/>
                <w:sz w:val="18"/>
              </w:rPr>
              <w:t>8.77904</w:t>
            </w:r>
          </w:p>
        </w:tc>
        <w:tc>
          <w:tcPr>
            <w:tcW w:w="1158" w:type="dxa"/>
          </w:tcPr>
          <w:p>
            <w:pPr>
              <w:pStyle w:val="TableParagraph"/>
              <w:spacing w:before="98"/>
              <w:ind w:left="434" w:right="426"/>
              <w:jc w:val="center"/>
              <w:rPr>
                <w:rFonts w:ascii="Times New Roman"/>
                <w:sz w:val="16"/>
              </w:rPr>
            </w:pPr>
            <w:r>
              <w:rPr>
                <w:rFonts w:ascii="Times New Roman"/>
                <w:color w:val="010101"/>
                <w:w w:val="105"/>
                <w:sz w:val="16"/>
              </w:rPr>
              <w:t>30</w:t>
            </w:r>
          </w:p>
        </w:tc>
        <w:tc>
          <w:tcPr>
            <w:tcW w:w="935" w:type="dxa"/>
          </w:tcPr>
          <w:p>
            <w:pPr>
              <w:pStyle w:val="TableParagraph"/>
              <w:spacing w:before="90"/>
              <w:ind w:right="59"/>
              <w:jc w:val="right"/>
              <w:rPr>
                <w:sz w:val="18"/>
              </w:rPr>
            </w:pPr>
            <w:r>
              <w:rPr>
                <w:color w:val="010101"/>
                <w:w w:val="70"/>
                <w:sz w:val="18"/>
              </w:rPr>
              <w:t>1.282</w:t>
            </w:r>
          </w:p>
        </w:tc>
      </w:tr>
      <w:tr>
        <w:trPr>
          <w:trHeight w:val="198" w:hRule="exact"/>
        </w:trPr>
        <w:tc>
          <w:tcPr>
            <w:tcW w:w="970" w:type="dxa"/>
          </w:tcPr>
          <w:p>
            <w:pPr>
              <w:pStyle w:val="TableParagraph"/>
              <w:spacing w:line="195" w:lineRule="exact"/>
              <w:ind w:left="63" w:right="-19"/>
              <w:rPr>
                <w:sz w:val="18"/>
              </w:rPr>
            </w:pPr>
            <w:r>
              <w:rPr>
                <w:color w:val="010101"/>
                <w:w w:val="85"/>
                <w:sz w:val="18"/>
              </w:rPr>
              <w:t>71</w:t>
            </w:r>
          </w:p>
        </w:tc>
        <w:tc>
          <w:tcPr>
            <w:tcW w:w="1628" w:type="dxa"/>
          </w:tcPr>
          <w:p>
            <w:pPr>
              <w:pStyle w:val="TableParagraph"/>
              <w:spacing w:line="195" w:lineRule="exact"/>
              <w:ind w:right="457"/>
              <w:jc w:val="right"/>
              <w:rPr>
                <w:sz w:val="18"/>
              </w:rPr>
            </w:pPr>
            <w:r>
              <w:rPr>
                <w:color w:val="010101"/>
                <w:w w:val="90"/>
                <w:sz w:val="18"/>
              </w:rPr>
              <w:t>8.43646</w:t>
            </w:r>
          </w:p>
        </w:tc>
        <w:tc>
          <w:tcPr>
            <w:tcW w:w="1158" w:type="dxa"/>
          </w:tcPr>
          <w:p>
            <w:pPr>
              <w:pStyle w:val="TableParagraph"/>
              <w:spacing w:line="195" w:lineRule="exact"/>
              <w:ind w:left="434" w:right="426"/>
              <w:jc w:val="center"/>
              <w:rPr>
                <w:sz w:val="18"/>
              </w:rPr>
            </w:pPr>
            <w:r>
              <w:rPr>
                <w:color w:val="010101"/>
                <w:w w:val="90"/>
                <w:sz w:val="18"/>
              </w:rPr>
              <w:t>31</w:t>
            </w:r>
          </w:p>
        </w:tc>
        <w:tc>
          <w:tcPr>
            <w:tcW w:w="935" w:type="dxa"/>
          </w:tcPr>
          <w:p>
            <w:pPr>
              <w:pStyle w:val="TableParagraph"/>
              <w:spacing w:line="169" w:lineRule="exact"/>
              <w:ind w:right="67"/>
              <w:jc w:val="right"/>
              <w:rPr>
                <w:rFonts w:ascii="Arial"/>
                <w:b/>
                <w:sz w:val="15"/>
              </w:rPr>
            </w:pPr>
            <w:r>
              <w:rPr>
                <w:rFonts w:ascii="Arial"/>
                <w:b/>
                <w:color w:val="010101"/>
                <w:w w:val="105"/>
                <w:sz w:val="15"/>
              </w:rPr>
              <w:t>1.192</w:t>
            </w:r>
          </w:p>
        </w:tc>
      </w:tr>
      <w:tr>
        <w:trPr>
          <w:trHeight w:val="200" w:hRule="exact"/>
        </w:trPr>
        <w:tc>
          <w:tcPr>
            <w:tcW w:w="970" w:type="dxa"/>
          </w:tcPr>
          <w:p>
            <w:pPr>
              <w:pStyle w:val="TableParagraph"/>
              <w:spacing w:line="199" w:lineRule="exact"/>
              <w:ind w:left="67" w:right="-19"/>
              <w:rPr>
                <w:sz w:val="18"/>
              </w:rPr>
            </w:pPr>
            <w:r>
              <w:rPr>
                <w:color w:val="010101"/>
                <w:w w:val="95"/>
                <w:sz w:val="18"/>
              </w:rPr>
              <w:t>72</w:t>
            </w:r>
          </w:p>
        </w:tc>
        <w:tc>
          <w:tcPr>
            <w:tcW w:w="1628" w:type="dxa"/>
          </w:tcPr>
          <w:p>
            <w:pPr>
              <w:pStyle w:val="TableParagraph"/>
              <w:spacing w:line="199" w:lineRule="exact"/>
              <w:ind w:right="464"/>
              <w:jc w:val="right"/>
              <w:rPr>
                <w:sz w:val="18"/>
              </w:rPr>
            </w:pPr>
            <w:r>
              <w:rPr>
                <w:color w:val="010101"/>
                <w:w w:val="80"/>
                <w:sz w:val="18"/>
              </w:rPr>
              <w:t>8.09883</w:t>
            </w:r>
          </w:p>
        </w:tc>
        <w:tc>
          <w:tcPr>
            <w:tcW w:w="1158" w:type="dxa"/>
          </w:tcPr>
          <w:p>
            <w:pPr>
              <w:pStyle w:val="TableParagraph"/>
              <w:spacing w:line="195" w:lineRule="exact"/>
              <w:ind w:left="458" w:right="420"/>
              <w:jc w:val="center"/>
              <w:rPr>
                <w:sz w:val="18"/>
              </w:rPr>
            </w:pPr>
            <w:r>
              <w:rPr>
                <w:color w:val="010101"/>
                <w:sz w:val="18"/>
              </w:rPr>
              <w:t>32</w:t>
            </w:r>
          </w:p>
        </w:tc>
        <w:tc>
          <w:tcPr>
            <w:tcW w:w="935" w:type="dxa"/>
          </w:tcPr>
          <w:p>
            <w:pPr>
              <w:pStyle w:val="TableParagraph"/>
              <w:ind w:right="66"/>
              <w:jc w:val="right"/>
              <w:rPr>
                <w:rFonts w:ascii="Arial"/>
                <w:b/>
                <w:sz w:val="15"/>
              </w:rPr>
            </w:pPr>
            <w:r>
              <w:rPr>
                <w:rFonts w:ascii="Arial"/>
                <w:b/>
                <w:color w:val="010101"/>
                <w:sz w:val="15"/>
              </w:rPr>
              <w:t>1. 109</w:t>
            </w:r>
          </w:p>
        </w:tc>
      </w:tr>
      <w:tr>
        <w:trPr>
          <w:trHeight w:val="198" w:hRule="exact"/>
        </w:trPr>
        <w:tc>
          <w:tcPr>
            <w:tcW w:w="970" w:type="dxa"/>
          </w:tcPr>
          <w:p>
            <w:pPr>
              <w:pStyle w:val="TableParagraph"/>
              <w:ind w:left="67" w:right="-19"/>
              <w:rPr>
                <w:rFonts w:ascii="Times New Roman"/>
                <w:sz w:val="16"/>
              </w:rPr>
            </w:pPr>
            <w:r>
              <w:rPr>
                <w:rFonts w:ascii="Times New Roman"/>
                <w:color w:val="010101"/>
                <w:w w:val="105"/>
                <w:sz w:val="16"/>
              </w:rPr>
              <w:t>73</w:t>
            </w:r>
          </w:p>
        </w:tc>
        <w:tc>
          <w:tcPr>
            <w:tcW w:w="1628" w:type="dxa"/>
          </w:tcPr>
          <w:p>
            <w:pPr>
              <w:pStyle w:val="TableParagraph"/>
              <w:spacing w:line="197" w:lineRule="exact"/>
              <w:ind w:right="466"/>
              <w:jc w:val="right"/>
              <w:rPr>
                <w:sz w:val="18"/>
              </w:rPr>
            </w:pPr>
            <w:r>
              <w:rPr>
                <w:color w:val="010101"/>
                <w:w w:val="85"/>
                <w:sz w:val="18"/>
              </w:rPr>
              <w:t>7.76647</w:t>
            </w:r>
          </w:p>
        </w:tc>
        <w:tc>
          <w:tcPr>
            <w:tcW w:w="1158" w:type="dxa"/>
          </w:tcPr>
          <w:p>
            <w:pPr>
              <w:pStyle w:val="TableParagraph"/>
              <w:spacing w:line="197" w:lineRule="exact"/>
              <w:ind w:left="458" w:right="423"/>
              <w:jc w:val="center"/>
              <w:rPr>
                <w:sz w:val="18"/>
              </w:rPr>
            </w:pPr>
            <w:r>
              <w:rPr>
                <w:color w:val="010101"/>
                <w:sz w:val="18"/>
              </w:rPr>
              <w:t>33</w:t>
            </w:r>
          </w:p>
        </w:tc>
        <w:tc>
          <w:tcPr>
            <w:tcW w:w="935" w:type="dxa"/>
          </w:tcPr>
          <w:p>
            <w:pPr>
              <w:pStyle w:val="TableParagraph"/>
              <w:spacing w:line="193" w:lineRule="exact"/>
              <w:ind w:right="72"/>
              <w:jc w:val="right"/>
              <w:rPr>
                <w:sz w:val="18"/>
              </w:rPr>
            </w:pPr>
            <w:r>
              <w:rPr>
                <w:color w:val="010101"/>
                <w:w w:val="70"/>
                <w:sz w:val="18"/>
              </w:rPr>
              <w:t>1.031</w:t>
            </w:r>
          </w:p>
        </w:tc>
      </w:tr>
      <w:tr>
        <w:trPr>
          <w:trHeight w:val="264" w:hRule="exact"/>
        </w:trPr>
        <w:tc>
          <w:tcPr>
            <w:tcW w:w="970" w:type="dxa"/>
          </w:tcPr>
          <w:p>
            <w:pPr>
              <w:pStyle w:val="TableParagraph"/>
              <w:spacing w:line="183" w:lineRule="exact"/>
              <w:ind w:left="70" w:right="-19"/>
              <w:rPr>
                <w:rFonts w:ascii="Times New Roman"/>
                <w:sz w:val="17"/>
              </w:rPr>
            </w:pPr>
            <w:r>
              <w:rPr>
                <w:rFonts w:ascii="Times New Roman"/>
                <w:color w:val="010101"/>
                <w:w w:val="85"/>
                <w:sz w:val="17"/>
              </w:rPr>
              <w:t>7-t</w:t>
            </w:r>
          </w:p>
        </w:tc>
        <w:tc>
          <w:tcPr>
            <w:tcW w:w="1628" w:type="dxa"/>
          </w:tcPr>
          <w:p>
            <w:pPr>
              <w:pStyle w:val="TableParagraph"/>
              <w:spacing w:line="201" w:lineRule="exact"/>
              <w:ind w:right="457"/>
              <w:jc w:val="right"/>
              <w:rPr>
                <w:sz w:val="18"/>
              </w:rPr>
            </w:pPr>
            <w:r>
              <w:rPr>
                <w:color w:val="010101"/>
                <w:w w:val="90"/>
                <w:sz w:val="18"/>
              </w:rPr>
              <w:t>7.43975</w:t>
            </w:r>
          </w:p>
        </w:tc>
        <w:tc>
          <w:tcPr>
            <w:tcW w:w="1158" w:type="dxa"/>
          </w:tcPr>
          <w:p>
            <w:pPr>
              <w:pStyle w:val="TableParagraph"/>
              <w:spacing w:line="197" w:lineRule="exact"/>
              <w:ind w:left="458" w:right="413"/>
              <w:jc w:val="center"/>
              <w:rPr>
                <w:sz w:val="18"/>
              </w:rPr>
            </w:pPr>
            <w:r>
              <w:rPr>
                <w:color w:val="010101"/>
                <w:sz w:val="18"/>
              </w:rPr>
              <w:t>34</w:t>
            </w:r>
          </w:p>
        </w:tc>
        <w:tc>
          <w:tcPr>
            <w:tcW w:w="935" w:type="dxa"/>
          </w:tcPr>
          <w:p>
            <w:pPr>
              <w:pStyle w:val="TableParagraph"/>
              <w:spacing w:line="193" w:lineRule="exact"/>
              <w:ind w:right="36"/>
              <w:jc w:val="right"/>
              <w:rPr>
                <w:sz w:val="18"/>
              </w:rPr>
            </w:pPr>
            <w:r>
              <w:rPr>
                <w:color w:val="010101"/>
                <w:w w:val="90"/>
                <w:sz w:val="18"/>
              </w:rPr>
              <w:t>.958</w:t>
            </w:r>
          </w:p>
        </w:tc>
      </w:tr>
    </w:tbl>
    <w:p>
      <w:pPr>
        <w:pStyle w:val="BodyText"/>
        <w:spacing w:before="8"/>
        <w:rPr>
          <w:sz w:val="6"/>
        </w:rPr>
      </w:pPr>
    </w:p>
    <w:p>
      <w:pPr>
        <w:spacing w:before="83"/>
        <w:ind w:left="153" w:right="112" w:firstLine="0"/>
        <w:jc w:val="center"/>
        <w:rPr>
          <w:rFonts w:ascii="Courier New"/>
          <w:sz w:val="18"/>
        </w:rPr>
      </w:pPr>
      <w:r>
        <w:rPr>
          <w:rFonts w:ascii="Courier New"/>
          <w:color w:val="010101"/>
          <w:w w:val="90"/>
          <w:sz w:val="18"/>
        </w:rPr>
        <w:t>204</w:t>
      </w:r>
    </w:p>
    <w:p>
      <w:pPr>
        <w:spacing w:after="0"/>
        <w:jc w:val="center"/>
        <w:rPr>
          <w:rFonts w:ascii="Courier New"/>
          <w:sz w:val="18"/>
        </w:rPr>
        <w:sectPr>
          <w:pgSz w:w="7200" w:h="11340"/>
          <w:pgMar w:top="680" w:bottom="280" w:left="680" w:right="580"/>
        </w:sectPr>
      </w:pPr>
    </w:p>
    <w:p>
      <w:pPr>
        <w:spacing w:before="70"/>
        <w:ind w:left="54" w:right="112" w:firstLine="0"/>
        <w:jc w:val="center"/>
        <w:rPr>
          <w:rFonts w:ascii="Arial"/>
          <w:sz w:val="14"/>
        </w:rPr>
      </w:pPr>
      <w:r>
        <w:rPr>
          <w:rFonts w:ascii="Arial"/>
          <w:color w:val="010101"/>
          <w:w w:val="105"/>
          <w:sz w:val="14"/>
        </w:rPr>
        <w:t>REFERE:NCES</w:t>
      </w:r>
    </w:p>
    <w:p>
      <w:pPr>
        <w:pStyle w:val="BodyText"/>
        <w:rPr>
          <w:rFonts w:ascii="Arial"/>
          <w:sz w:val="14"/>
        </w:rPr>
      </w:pPr>
    </w:p>
    <w:p>
      <w:pPr>
        <w:spacing w:before="90"/>
        <w:ind w:left="72" w:right="112" w:firstLine="0"/>
        <w:jc w:val="center"/>
        <w:rPr>
          <w:i/>
          <w:sz w:val="18"/>
        </w:rPr>
      </w:pPr>
      <w:r>
        <w:rPr>
          <w:color w:val="010101"/>
          <w:w w:val="105"/>
          <w:sz w:val="18"/>
        </w:rPr>
        <w:t>TABLE  </w:t>
      </w:r>
      <w:r>
        <w:rPr>
          <w:i/>
          <w:color w:val="010101"/>
          <w:w w:val="105"/>
          <w:sz w:val="18"/>
        </w:rPr>
        <w:t>1-Continued</w:t>
      </w:r>
    </w:p>
    <w:p>
      <w:pPr>
        <w:pStyle w:val="BodyText"/>
        <w:rPr>
          <w:i/>
        </w:rPr>
      </w:pPr>
    </w:p>
    <w:p>
      <w:pPr>
        <w:pStyle w:val="BodyText"/>
        <w:rPr>
          <w:i/>
        </w:rPr>
      </w:pPr>
    </w:p>
    <w:p>
      <w:pPr>
        <w:pStyle w:val="BodyText"/>
        <w:rPr>
          <w:i/>
        </w:rPr>
      </w:pPr>
    </w:p>
    <w:p>
      <w:pPr>
        <w:pStyle w:val="BodyText"/>
        <w:spacing w:before="2"/>
        <w:rPr>
          <w:i/>
          <w:sz w:val="28"/>
        </w:rPr>
      </w:pPr>
    </w:p>
    <w:p>
      <w:pPr>
        <w:spacing w:before="79"/>
        <w:ind w:left="0" w:right="532" w:firstLine="0"/>
        <w:jc w:val="right"/>
        <w:rPr>
          <w:sz w:val="16"/>
        </w:rPr>
      </w:pPr>
      <w:r>
        <w:rPr/>
        <w:pict>
          <v:shape style="position:absolute;margin-left:38.290257pt;margin-top:-45.854595pt;width:286.150pt;height:122.85pt;mso-position-horizontal-relative:page;mso-position-vertical-relative:paragraph;z-index:16240" type="#_x0000_t202" filled="false" stroked="false">
            <v:textbox inset="0,0,0,0">
              <w:txbxContent>
                <w:tbl>
                  <w:tblPr>
                    <w:tblW w:w="0" w:type="auto"/>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35"/>
                    <w:gridCol w:w="1623"/>
                    <w:gridCol w:w="1154"/>
                    <w:gridCol w:w="1288"/>
                  </w:tblGrid>
                  <w:tr>
                    <w:trPr>
                      <w:trHeight w:val="399" w:hRule="exact"/>
                    </w:trPr>
                    <w:tc>
                      <w:tcPr>
                        <w:tcW w:w="3258" w:type="dxa"/>
                        <w:gridSpan w:val="2"/>
                        <w:tcBorders>
                          <w:left w:val="nil"/>
                          <w:bottom w:val="single" w:sz="4" w:space="0" w:color="000000"/>
                        </w:tcBorders>
                      </w:tcPr>
                      <w:p>
                        <w:pPr>
                          <w:pStyle w:val="TableParagraph"/>
                          <w:spacing w:before="95"/>
                          <w:ind w:left="959"/>
                          <w:rPr>
                            <w:rFonts w:ascii="Times New Roman"/>
                            <w:sz w:val="14"/>
                          </w:rPr>
                        </w:pPr>
                        <w:r>
                          <w:rPr>
                            <w:rFonts w:ascii="Times New Roman"/>
                            <w:color w:val="010101"/>
                            <w:w w:val="105"/>
                            <w:sz w:val="14"/>
                          </w:rPr>
                          <w:t>Annuity Values at 3%</w:t>
                        </w:r>
                      </w:p>
                    </w:tc>
                    <w:tc>
                      <w:tcPr>
                        <w:tcW w:w="2442" w:type="dxa"/>
                        <w:gridSpan w:val="2"/>
                        <w:tcBorders>
                          <w:bottom w:val="single" w:sz="4" w:space="0" w:color="000000"/>
                          <w:right w:val="nil"/>
                        </w:tcBorders>
                      </w:tcPr>
                      <w:p>
                        <w:pPr>
                          <w:pStyle w:val="TableParagraph"/>
                          <w:spacing w:before="99"/>
                          <w:ind w:left="406"/>
                          <w:rPr>
                            <w:rFonts w:ascii="Times New Roman"/>
                            <w:sz w:val="14"/>
                          </w:rPr>
                        </w:pPr>
                        <w:r>
                          <w:rPr>
                            <w:rFonts w:ascii="Times New Roman"/>
                            <w:color w:val="010101"/>
                            <w:sz w:val="14"/>
                          </w:rPr>
                          <w:t>Table of  Uniform Seniority</w:t>
                        </w:r>
                      </w:p>
                    </w:tc>
                  </w:tr>
                  <w:tr>
                    <w:trPr>
                      <w:trHeight w:val="481" w:hRule="exact"/>
                    </w:trPr>
                    <w:tc>
                      <w:tcPr>
                        <w:tcW w:w="1635" w:type="dxa"/>
                        <w:tcBorders>
                          <w:top w:val="single" w:sz="4" w:space="0" w:color="000000"/>
                          <w:left w:val="nil"/>
                          <w:bottom w:val="single" w:sz="4" w:space="0" w:color="000000"/>
                          <w:right w:val="single" w:sz="4" w:space="0" w:color="000000"/>
                        </w:tcBorders>
                      </w:tcPr>
                      <w:p>
                        <w:pPr>
                          <w:pStyle w:val="TableParagraph"/>
                          <w:rPr>
                            <w:rFonts w:ascii="Times New Roman"/>
                            <w:sz w:val="8"/>
                          </w:rPr>
                        </w:pPr>
                      </w:p>
                      <w:p>
                        <w:pPr>
                          <w:pStyle w:val="TableParagraph"/>
                          <w:spacing w:before="8"/>
                          <w:rPr>
                            <w:rFonts w:ascii="Times New Roman"/>
                            <w:sz w:val="8"/>
                          </w:rPr>
                        </w:pPr>
                      </w:p>
                      <w:p>
                        <w:pPr>
                          <w:pStyle w:val="TableParagraph"/>
                          <w:spacing w:before="1"/>
                          <w:ind w:right="23"/>
                          <w:jc w:val="center"/>
                          <w:rPr>
                            <w:rFonts w:ascii="Times New Roman"/>
                            <w:sz w:val="8"/>
                          </w:rPr>
                        </w:pPr>
                        <w:r>
                          <w:rPr>
                            <w:rFonts w:ascii="Times New Roman"/>
                            <w:color w:val="010101"/>
                            <w:w w:val="97"/>
                            <w:sz w:val="8"/>
                          </w:rPr>
                          <w:t>%</w:t>
                        </w:r>
                      </w:p>
                    </w:tc>
                    <w:tc>
                      <w:tcPr>
                        <w:tcW w:w="1623" w:type="dxa"/>
                        <w:tcBorders>
                          <w:top w:val="single" w:sz="4" w:space="0" w:color="000000"/>
                          <w:left w:val="single" w:sz="4" w:space="0" w:color="000000"/>
                          <w:bottom w:val="single" w:sz="4" w:space="0" w:color="000000"/>
                        </w:tcBorders>
                      </w:tcPr>
                      <w:p>
                        <w:pPr/>
                      </w:p>
                    </w:tc>
                    <w:tc>
                      <w:tcPr>
                        <w:tcW w:w="1154" w:type="dxa"/>
                        <w:tcBorders>
                          <w:top w:val="single" w:sz="4" w:space="0" w:color="000000"/>
                          <w:bottom w:val="single" w:sz="4" w:space="0" w:color="000000"/>
                        </w:tcBorders>
                      </w:tcPr>
                      <w:p>
                        <w:pPr>
                          <w:pStyle w:val="TableParagraph"/>
                          <w:spacing w:before="6"/>
                          <w:rPr>
                            <w:rFonts w:ascii="Times New Roman"/>
                            <w:sz w:val="12"/>
                          </w:rPr>
                        </w:pPr>
                      </w:p>
                      <w:p>
                        <w:pPr>
                          <w:pStyle w:val="TableParagraph"/>
                          <w:ind w:left="23"/>
                          <w:rPr>
                            <w:rFonts w:ascii="Times New Roman"/>
                            <w:b/>
                            <w:sz w:val="13"/>
                          </w:rPr>
                        </w:pPr>
                        <w:r>
                          <w:rPr>
                            <w:rFonts w:ascii="Times New Roman"/>
                            <w:color w:val="010101"/>
                            <w:sz w:val="14"/>
                          </w:rPr>
                          <w:t>Difference of </w:t>
                        </w:r>
                        <w:r>
                          <w:rPr>
                            <w:rFonts w:ascii="Times New Roman"/>
                            <w:b/>
                            <w:color w:val="010101"/>
                            <w:sz w:val="13"/>
                          </w:rPr>
                          <w:t>Ages</w:t>
                        </w:r>
                      </w:p>
                    </w:tc>
                    <w:tc>
                      <w:tcPr>
                        <w:tcW w:w="1288" w:type="dxa"/>
                        <w:tcBorders>
                          <w:top w:val="single" w:sz="4" w:space="0" w:color="000000"/>
                          <w:bottom w:val="single" w:sz="4" w:space="0" w:color="000000"/>
                          <w:right w:val="nil"/>
                        </w:tcBorders>
                      </w:tcPr>
                      <w:p>
                        <w:pPr>
                          <w:pStyle w:val="TableParagraph"/>
                          <w:spacing w:line="144" w:lineRule="exact" w:before="83"/>
                          <w:ind w:left="110" w:right="99"/>
                          <w:jc w:val="center"/>
                          <w:rPr>
                            <w:rFonts w:ascii="Times New Roman"/>
                            <w:sz w:val="14"/>
                          </w:rPr>
                        </w:pPr>
                        <w:r>
                          <w:rPr>
                            <w:rFonts w:ascii="Times New Roman"/>
                            <w:color w:val="010101"/>
                            <w:sz w:val="14"/>
                          </w:rPr>
                          <w:t>Addition  to Older</w:t>
                        </w:r>
                      </w:p>
                      <w:p>
                        <w:pPr>
                          <w:pStyle w:val="TableParagraph"/>
                          <w:spacing w:line="133" w:lineRule="exact"/>
                          <w:ind w:left="110" w:right="97"/>
                          <w:jc w:val="center"/>
                          <w:rPr>
                            <w:rFonts w:ascii="Times New Roman"/>
                            <w:b/>
                            <w:sz w:val="13"/>
                          </w:rPr>
                        </w:pPr>
                        <w:r>
                          <w:rPr>
                            <w:rFonts w:ascii="Times New Roman"/>
                            <w:b/>
                            <w:color w:val="010101"/>
                            <w:sz w:val="13"/>
                          </w:rPr>
                          <w:t>Age</w:t>
                        </w:r>
                      </w:p>
                    </w:tc>
                  </w:tr>
                  <w:tr>
                    <w:trPr>
                      <w:trHeight w:val="205" w:hRule="exact"/>
                    </w:trPr>
                    <w:tc>
                      <w:tcPr>
                        <w:tcW w:w="1635" w:type="dxa"/>
                        <w:vMerge w:val="restart"/>
                        <w:tcBorders>
                          <w:top w:val="single" w:sz="4" w:space="0" w:color="000000"/>
                          <w:left w:val="nil"/>
                          <w:right w:val="single" w:sz="4" w:space="0" w:color="000000"/>
                        </w:tcBorders>
                      </w:tcPr>
                      <w:p>
                        <w:pPr>
                          <w:pStyle w:val="TableParagraph"/>
                          <w:spacing w:before="96"/>
                          <w:ind w:left="686" w:right="670"/>
                          <w:jc w:val="center"/>
                          <w:rPr>
                            <w:sz w:val="18"/>
                          </w:rPr>
                        </w:pPr>
                        <w:r>
                          <w:rPr>
                            <w:color w:val="010101"/>
                            <w:w w:val="105"/>
                            <w:sz w:val="18"/>
                          </w:rPr>
                          <w:t>75</w:t>
                        </w:r>
                      </w:p>
                    </w:tc>
                    <w:tc>
                      <w:tcPr>
                        <w:tcW w:w="1623" w:type="dxa"/>
                        <w:vMerge w:val="restart"/>
                        <w:tcBorders>
                          <w:top w:val="single" w:sz="4" w:space="0" w:color="000000"/>
                          <w:left w:val="single" w:sz="4" w:space="0" w:color="000000"/>
                        </w:tcBorders>
                      </w:tcPr>
                      <w:p>
                        <w:pPr>
                          <w:pStyle w:val="TableParagraph"/>
                          <w:spacing w:before="100"/>
                          <w:ind w:left="574"/>
                          <w:rPr>
                            <w:rFonts w:ascii="Times New Roman"/>
                            <w:sz w:val="16"/>
                          </w:rPr>
                        </w:pPr>
                        <w:r>
                          <w:rPr>
                            <w:rFonts w:ascii="Times New Roman"/>
                            <w:color w:val="010101"/>
                            <w:w w:val="105"/>
                            <w:sz w:val="16"/>
                          </w:rPr>
                          <w:t>7.11896</w:t>
                        </w:r>
                      </w:p>
                    </w:tc>
                    <w:tc>
                      <w:tcPr>
                        <w:tcW w:w="1154" w:type="dxa"/>
                        <w:tcBorders>
                          <w:top w:val="single" w:sz="4" w:space="0" w:color="000000"/>
                          <w:bottom w:val="nil"/>
                        </w:tcBorders>
                      </w:tcPr>
                      <w:p>
                        <w:pPr>
                          <w:pStyle w:val="TableParagraph"/>
                          <w:spacing w:line="172" w:lineRule="exact" w:before="67"/>
                          <w:ind w:left="376" w:right="431"/>
                          <w:jc w:val="center"/>
                          <w:rPr>
                            <w:sz w:val="18"/>
                          </w:rPr>
                        </w:pPr>
                        <w:r>
                          <w:rPr>
                            <w:color w:val="2F2F2F"/>
                            <w:w w:val="85"/>
                            <w:sz w:val="18"/>
                          </w:rPr>
                          <w:t>.</w:t>
                        </w:r>
                        <w:r>
                          <w:rPr>
                            <w:color w:val="2F2F2F"/>
                            <w:spacing w:val="-70"/>
                            <w:w w:val="85"/>
                            <w:sz w:val="18"/>
                          </w:rPr>
                          <w:t> </w:t>
                        </w:r>
                        <w:r>
                          <w:rPr>
                            <w:color w:val="010101"/>
                            <w:spacing w:val="-14"/>
                            <w:w w:val="95"/>
                            <w:sz w:val="18"/>
                          </w:rPr>
                          <w:t>35</w:t>
                        </w:r>
                      </w:p>
                    </w:tc>
                    <w:tc>
                      <w:tcPr>
                        <w:tcW w:w="1288" w:type="dxa"/>
                        <w:tcBorders>
                          <w:top w:val="single" w:sz="4" w:space="0" w:color="000000"/>
                          <w:bottom w:val="nil"/>
                          <w:right w:val="nil"/>
                        </w:tcBorders>
                      </w:tcPr>
                      <w:p>
                        <w:pPr/>
                      </w:p>
                    </w:tc>
                  </w:tr>
                  <w:tr>
                    <w:trPr>
                      <w:trHeight w:val="105" w:hRule="exact"/>
                    </w:trPr>
                    <w:tc>
                      <w:tcPr>
                        <w:tcW w:w="1635" w:type="dxa"/>
                        <w:vMerge/>
                        <w:tcBorders>
                          <w:left w:val="nil"/>
                          <w:bottom w:val="nil"/>
                          <w:right w:val="single" w:sz="4" w:space="0" w:color="000000"/>
                        </w:tcBorders>
                      </w:tcPr>
                      <w:p>
                        <w:pPr/>
                      </w:p>
                    </w:tc>
                    <w:tc>
                      <w:tcPr>
                        <w:tcW w:w="1623" w:type="dxa"/>
                        <w:vMerge/>
                        <w:tcBorders>
                          <w:left w:val="single" w:sz="4" w:space="0" w:color="000000"/>
                          <w:bottom w:val="nil"/>
                        </w:tcBorders>
                      </w:tcPr>
                      <w:p>
                        <w:pPr/>
                      </w:p>
                    </w:tc>
                    <w:tc>
                      <w:tcPr>
                        <w:tcW w:w="1154" w:type="dxa"/>
                        <w:tcBorders>
                          <w:top w:val="nil"/>
                          <w:bottom w:val="nil"/>
                          <w:right w:val="nil"/>
                        </w:tcBorders>
                      </w:tcPr>
                      <w:p>
                        <w:pPr/>
                      </w:p>
                    </w:tc>
                    <w:tc>
                      <w:tcPr>
                        <w:tcW w:w="1288" w:type="dxa"/>
                        <w:tcBorders>
                          <w:top w:val="nil"/>
                          <w:left w:val="nil"/>
                          <w:bottom w:val="nil"/>
                          <w:right w:val="nil"/>
                        </w:tcBorders>
                      </w:tcPr>
                      <w:p>
                        <w:pPr/>
                      </w:p>
                    </w:tc>
                  </w:tr>
                  <w:tr>
                    <w:trPr>
                      <w:trHeight w:val="205" w:hRule="exact"/>
                    </w:trPr>
                    <w:tc>
                      <w:tcPr>
                        <w:tcW w:w="1635" w:type="dxa"/>
                        <w:tcBorders>
                          <w:top w:val="nil"/>
                          <w:left w:val="nil"/>
                          <w:bottom w:val="nil"/>
                          <w:right w:val="single" w:sz="4" w:space="0" w:color="000000"/>
                        </w:tcBorders>
                      </w:tcPr>
                      <w:p>
                        <w:pPr>
                          <w:pStyle w:val="TableParagraph"/>
                          <w:spacing w:line="197" w:lineRule="exact"/>
                          <w:ind w:left="689" w:right="666"/>
                          <w:jc w:val="center"/>
                          <w:rPr>
                            <w:sz w:val="18"/>
                          </w:rPr>
                        </w:pPr>
                        <w:r>
                          <w:rPr>
                            <w:color w:val="010101"/>
                            <w:w w:val="105"/>
                            <w:sz w:val="18"/>
                          </w:rPr>
                          <w:t>76</w:t>
                        </w:r>
                      </w:p>
                    </w:tc>
                    <w:tc>
                      <w:tcPr>
                        <w:tcW w:w="1623" w:type="dxa"/>
                        <w:tcBorders>
                          <w:top w:val="nil"/>
                          <w:left w:val="single" w:sz="4" w:space="0" w:color="000000"/>
                          <w:bottom w:val="nil"/>
                        </w:tcBorders>
                      </w:tcPr>
                      <w:p>
                        <w:pPr>
                          <w:pStyle w:val="TableParagraph"/>
                          <w:spacing w:line="181" w:lineRule="exact"/>
                          <w:ind w:right="481"/>
                          <w:jc w:val="right"/>
                          <w:rPr>
                            <w:rFonts w:ascii="Times New Roman"/>
                            <w:sz w:val="16"/>
                          </w:rPr>
                        </w:pPr>
                        <w:r>
                          <w:rPr>
                            <w:rFonts w:ascii="Times New Roman"/>
                            <w:color w:val="010101"/>
                            <w:w w:val="105"/>
                            <w:sz w:val="16"/>
                          </w:rPr>
                          <w:t>6.80441</w:t>
                        </w:r>
                      </w:p>
                    </w:tc>
                    <w:tc>
                      <w:tcPr>
                        <w:tcW w:w="1154" w:type="dxa"/>
                        <w:tcBorders>
                          <w:top w:val="nil"/>
                          <w:bottom w:val="nil"/>
                          <w:right w:val="nil"/>
                        </w:tcBorders>
                      </w:tcPr>
                      <w:p>
                        <w:pPr>
                          <w:pStyle w:val="TableParagraph"/>
                          <w:ind w:left="445" w:right="406"/>
                          <w:jc w:val="center"/>
                          <w:rPr>
                            <w:sz w:val="18"/>
                          </w:rPr>
                        </w:pPr>
                        <w:r>
                          <w:rPr>
                            <w:color w:val="010101"/>
                            <w:w w:val="105"/>
                            <w:sz w:val="18"/>
                          </w:rPr>
                          <w:t>36</w:t>
                        </w:r>
                      </w:p>
                    </w:tc>
                    <w:tc>
                      <w:tcPr>
                        <w:tcW w:w="1288" w:type="dxa"/>
                        <w:tcBorders>
                          <w:top w:val="nil"/>
                          <w:left w:val="nil"/>
                          <w:bottom w:val="nil"/>
                          <w:right w:val="nil"/>
                        </w:tcBorders>
                      </w:tcPr>
                      <w:p>
                        <w:pPr>
                          <w:pStyle w:val="TableParagraph"/>
                          <w:ind w:right="414"/>
                          <w:jc w:val="right"/>
                          <w:rPr>
                            <w:rFonts w:ascii="Times New Roman"/>
                            <w:sz w:val="16"/>
                          </w:rPr>
                        </w:pPr>
                        <w:r>
                          <w:rPr>
                            <w:rFonts w:ascii="Times New Roman"/>
                            <w:color w:val="010101"/>
                            <w:w w:val="105"/>
                            <w:sz w:val="16"/>
                          </w:rPr>
                          <w:t>.827</w:t>
                        </w:r>
                      </w:p>
                    </w:tc>
                  </w:tr>
                  <w:tr>
                    <w:trPr>
                      <w:trHeight w:val="197" w:hRule="exact"/>
                    </w:trPr>
                    <w:tc>
                      <w:tcPr>
                        <w:tcW w:w="1635" w:type="dxa"/>
                        <w:tcBorders>
                          <w:top w:val="nil"/>
                          <w:left w:val="nil"/>
                          <w:bottom w:val="nil"/>
                          <w:right w:val="single" w:sz="4" w:space="0" w:color="000000"/>
                        </w:tcBorders>
                      </w:tcPr>
                      <w:p>
                        <w:pPr>
                          <w:pStyle w:val="TableParagraph"/>
                          <w:spacing w:line="193" w:lineRule="exact"/>
                          <w:ind w:left="677" w:right="670"/>
                          <w:jc w:val="center"/>
                          <w:rPr>
                            <w:sz w:val="18"/>
                          </w:rPr>
                        </w:pPr>
                        <w:r>
                          <w:rPr>
                            <w:color w:val="010101"/>
                            <w:sz w:val="18"/>
                          </w:rPr>
                          <w:t>77</w:t>
                        </w:r>
                      </w:p>
                    </w:tc>
                    <w:tc>
                      <w:tcPr>
                        <w:tcW w:w="1623" w:type="dxa"/>
                        <w:tcBorders>
                          <w:top w:val="nil"/>
                          <w:left w:val="single" w:sz="4" w:space="0" w:color="000000"/>
                          <w:bottom w:val="nil"/>
                        </w:tcBorders>
                      </w:tcPr>
                      <w:p>
                        <w:pPr>
                          <w:pStyle w:val="TableParagraph"/>
                          <w:spacing w:line="174" w:lineRule="exact"/>
                          <w:ind w:right="474"/>
                          <w:jc w:val="right"/>
                          <w:rPr>
                            <w:rFonts w:ascii="Times New Roman"/>
                            <w:sz w:val="16"/>
                          </w:rPr>
                        </w:pPr>
                        <w:r>
                          <w:rPr>
                            <w:rFonts w:ascii="Times New Roman"/>
                            <w:color w:val="010101"/>
                            <w:w w:val="105"/>
                            <w:sz w:val="16"/>
                          </w:rPr>
                          <w:t>6.49642</w:t>
                        </w:r>
                      </w:p>
                    </w:tc>
                    <w:tc>
                      <w:tcPr>
                        <w:tcW w:w="1154" w:type="dxa"/>
                        <w:tcBorders>
                          <w:top w:val="nil"/>
                          <w:bottom w:val="nil"/>
                          <w:right w:val="nil"/>
                        </w:tcBorders>
                      </w:tcPr>
                      <w:p>
                        <w:pPr>
                          <w:pStyle w:val="TableParagraph"/>
                          <w:spacing w:line="197" w:lineRule="exact"/>
                          <w:ind w:left="444" w:right="406"/>
                          <w:jc w:val="center"/>
                          <w:rPr>
                            <w:sz w:val="18"/>
                          </w:rPr>
                        </w:pPr>
                        <w:r>
                          <w:rPr>
                            <w:color w:val="010101"/>
                            <w:sz w:val="18"/>
                          </w:rPr>
                          <w:t>37</w:t>
                        </w:r>
                      </w:p>
                    </w:tc>
                    <w:tc>
                      <w:tcPr>
                        <w:tcW w:w="1288" w:type="dxa"/>
                        <w:tcBorders>
                          <w:top w:val="nil"/>
                          <w:left w:val="nil"/>
                          <w:bottom w:val="nil"/>
                          <w:right w:val="nil"/>
                        </w:tcBorders>
                      </w:tcPr>
                      <w:p>
                        <w:pPr>
                          <w:pStyle w:val="TableParagraph"/>
                          <w:spacing w:line="181" w:lineRule="exact"/>
                          <w:ind w:right="409"/>
                          <w:jc w:val="right"/>
                          <w:rPr>
                            <w:rFonts w:ascii="Times New Roman"/>
                            <w:sz w:val="16"/>
                          </w:rPr>
                        </w:pPr>
                        <w:r>
                          <w:rPr>
                            <w:rFonts w:ascii="Times New Roman"/>
                            <w:color w:val="010101"/>
                            <w:w w:val="110"/>
                            <w:sz w:val="16"/>
                          </w:rPr>
                          <w:t>.768</w:t>
                        </w:r>
                      </w:p>
                    </w:tc>
                  </w:tr>
                  <w:tr>
                    <w:trPr>
                      <w:trHeight w:val="206" w:hRule="exact"/>
                    </w:trPr>
                    <w:tc>
                      <w:tcPr>
                        <w:tcW w:w="1635" w:type="dxa"/>
                        <w:tcBorders>
                          <w:top w:val="nil"/>
                          <w:left w:val="nil"/>
                          <w:bottom w:val="nil"/>
                          <w:right w:val="single" w:sz="4" w:space="0" w:color="000000"/>
                        </w:tcBorders>
                      </w:tcPr>
                      <w:p>
                        <w:pPr>
                          <w:pStyle w:val="TableParagraph"/>
                          <w:spacing w:line="174" w:lineRule="exact"/>
                          <w:ind w:left="659" w:right="670"/>
                          <w:jc w:val="center"/>
                          <w:rPr>
                            <w:rFonts w:ascii="Arial"/>
                            <w:sz w:val="16"/>
                          </w:rPr>
                        </w:pPr>
                        <w:r>
                          <w:rPr>
                            <w:rFonts w:ascii="Arial"/>
                            <w:color w:val="010101"/>
                            <w:sz w:val="16"/>
                          </w:rPr>
                          <w:t>78</w:t>
                        </w:r>
                      </w:p>
                    </w:tc>
                    <w:tc>
                      <w:tcPr>
                        <w:tcW w:w="1623" w:type="dxa"/>
                        <w:tcBorders>
                          <w:top w:val="nil"/>
                          <w:left w:val="single" w:sz="4" w:space="0" w:color="000000"/>
                          <w:bottom w:val="nil"/>
                        </w:tcBorders>
                      </w:tcPr>
                      <w:p>
                        <w:pPr>
                          <w:pStyle w:val="TableParagraph"/>
                          <w:spacing w:line="178" w:lineRule="exact"/>
                          <w:ind w:right="477"/>
                          <w:jc w:val="right"/>
                          <w:rPr>
                            <w:rFonts w:ascii="Times New Roman"/>
                            <w:sz w:val="16"/>
                          </w:rPr>
                        </w:pPr>
                        <w:r>
                          <w:rPr>
                            <w:rFonts w:ascii="Times New Roman"/>
                            <w:color w:val="010101"/>
                            <w:w w:val="105"/>
                            <w:sz w:val="16"/>
                          </w:rPr>
                          <w:t>6.19521</w:t>
                        </w:r>
                      </w:p>
                    </w:tc>
                    <w:tc>
                      <w:tcPr>
                        <w:tcW w:w="1154" w:type="dxa"/>
                        <w:tcBorders>
                          <w:top w:val="nil"/>
                          <w:bottom w:val="nil"/>
                          <w:right w:val="nil"/>
                        </w:tcBorders>
                      </w:tcPr>
                      <w:p>
                        <w:pPr>
                          <w:pStyle w:val="TableParagraph"/>
                          <w:spacing w:before="1"/>
                          <w:ind w:left="450" w:right="406"/>
                          <w:jc w:val="center"/>
                          <w:rPr>
                            <w:sz w:val="18"/>
                          </w:rPr>
                        </w:pPr>
                        <w:r>
                          <w:rPr>
                            <w:color w:val="010101"/>
                            <w:w w:val="105"/>
                            <w:sz w:val="18"/>
                          </w:rPr>
                          <w:t>38</w:t>
                        </w:r>
                      </w:p>
                    </w:tc>
                    <w:tc>
                      <w:tcPr>
                        <w:tcW w:w="1288" w:type="dxa"/>
                        <w:tcBorders>
                          <w:top w:val="nil"/>
                          <w:left w:val="nil"/>
                          <w:bottom w:val="nil"/>
                          <w:right w:val="nil"/>
                        </w:tcBorders>
                      </w:tcPr>
                      <w:p>
                        <w:pPr>
                          <w:pStyle w:val="TableParagraph"/>
                          <w:spacing w:line="190" w:lineRule="exact"/>
                          <w:ind w:right="425"/>
                          <w:jc w:val="right"/>
                          <w:rPr>
                            <w:rFonts w:ascii="Times New Roman"/>
                            <w:sz w:val="18"/>
                          </w:rPr>
                        </w:pPr>
                        <w:r>
                          <w:rPr>
                            <w:rFonts w:ascii="Times New Roman"/>
                            <w:color w:val="161616"/>
                            <w:w w:val="95"/>
                            <w:sz w:val="18"/>
                          </w:rPr>
                          <w:t>.</w:t>
                        </w:r>
                        <w:r>
                          <w:rPr>
                            <w:rFonts w:ascii="Times New Roman"/>
                            <w:color w:val="010101"/>
                            <w:w w:val="95"/>
                            <w:sz w:val="18"/>
                          </w:rPr>
                          <w:t>714</w:t>
                        </w:r>
                      </w:p>
                    </w:tc>
                  </w:tr>
                  <w:tr>
                    <w:trPr>
                      <w:trHeight w:val="298" w:hRule="exact"/>
                    </w:trPr>
                    <w:tc>
                      <w:tcPr>
                        <w:tcW w:w="1635" w:type="dxa"/>
                        <w:tcBorders>
                          <w:top w:val="nil"/>
                          <w:left w:val="nil"/>
                          <w:bottom w:val="nil"/>
                          <w:right w:val="single" w:sz="4" w:space="0" w:color="000000"/>
                        </w:tcBorders>
                      </w:tcPr>
                      <w:p>
                        <w:pPr>
                          <w:pStyle w:val="TableParagraph"/>
                          <w:spacing w:line="174" w:lineRule="exact"/>
                          <w:ind w:left="655" w:right="670"/>
                          <w:jc w:val="center"/>
                          <w:rPr>
                            <w:rFonts w:ascii="Times New Roman"/>
                            <w:sz w:val="16"/>
                          </w:rPr>
                        </w:pPr>
                        <w:r>
                          <w:rPr>
                            <w:rFonts w:ascii="Times New Roman"/>
                            <w:color w:val="010101"/>
                            <w:sz w:val="16"/>
                          </w:rPr>
                          <w:t>79</w:t>
                        </w:r>
                      </w:p>
                    </w:tc>
                    <w:tc>
                      <w:tcPr>
                        <w:tcW w:w="1623" w:type="dxa"/>
                        <w:tcBorders>
                          <w:top w:val="nil"/>
                          <w:left w:val="single" w:sz="4" w:space="0" w:color="000000"/>
                          <w:bottom w:val="nil"/>
                        </w:tcBorders>
                      </w:tcPr>
                      <w:p>
                        <w:pPr>
                          <w:pStyle w:val="TableParagraph"/>
                          <w:spacing w:line="193" w:lineRule="exact"/>
                          <w:ind w:right="458"/>
                          <w:jc w:val="right"/>
                          <w:rPr>
                            <w:sz w:val="18"/>
                          </w:rPr>
                        </w:pPr>
                        <w:r>
                          <w:rPr>
                            <w:color w:val="010101"/>
                            <w:w w:val="80"/>
                            <w:sz w:val="18"/>
                          </w:rPr>
                          <w:t>5.90105</w:t>
                        </w:r>
                      </w:p>
                    </w:tc>
                    <w:tc>
                      <w:tcPr>
                        <w:tcW w:w="1154" w:type="dxa"/>
                        <w:tcBorders>
                          <w:top w:val="nil"/>
                          <w:bottom w:val="nil"/>
                          <w:right w:val="nil"/>
                        </w:tcBorders>
                      </w:tcPr>
                      <w:p>
                        <w:pPr>
                          <w:pStyle w:val="TableParagraph"/>
                          <w:spacing w:line="180" w:lineRule="exact"/>
                          <w:ind w:left="414" w:right="406"/>
                          <w:jc w:val="center"/>
                          <w:rPr>
                            <w:rFonts w:ascii="Arial"/>
                            <w:sz w:val="16"/>
                          </w:rPr>
                        </w:pPr>
                        <w:r>
                          <w:rPr>
                            <w:rFonts w:ascii="Arial"/>
                            <w:color w:val="010101"/>
                            <w:sz w:val="16"/>
                          </w:rPr>
                          <w:t>39</w:t>
                        </w:r>
                      </w:p>
                    </w:tc>
                    <w:tc>
                      <w:tcPr>
                        <w:tcW w:w="1288" w:type="dxa"/>
                        <w:tcBorders>
                          <w:top w:val="nil"/>
                          <w:left w:val="nil"/>
                          <w:bottom w:val="nil"/>
                          <w:right w:val="nil"/>
                        </w:tcBorders>
                      </w:tcPr>
                      <w:p>
                        <w:pPr>
                          <w:pStyle w:val="TableParagraph"/>
                          <w:spacing w:line="183" w:lineRule="exact"/>
                          <w:ind w:right="404"/>
                          <w:jc w:val="right"/>
                          <w:rPr>
                            <w:rFonts w:ascii="Times New Roman"/>
                            <w:sz w:val="17"/>
                          </w:rPr>
                        </w:pPr>
                        <w:r>
                          <w:rPr>
                            <w:rFonts w:ascii="Times New Roman"/>
                            <w:color w:val="010101"/>
                            <w:sz w:val="17"/>
                          </w:rPr>
                          <w:t>.663</w:t>
                        </w:r>
                      </w:p>
                    </w:tc>
                  </w:tr>
                  <w:tr>
                    <w:trPr>
                      <w:trHeight w:val="355" w:hRule="exact"/>
                    </w:trPr>
                    <w:tc>
                      <w:tcPr>
                        <w:tcW w:w="1635" w:type="dxa"/>
                        <w:tcBorders>
                          <w:top w:val="nil"/>
                          <w:left w:val="nil"/>
                          <w:bottom w:val="nil"/>
                          <w:right w:val="single" w:sz="4" w:space="0" w:color="000000"/>
                        </w:tcBorders>
                      </w:tcPr>
                      <w:p>
                        <w:pPr>
                          <w:pStyle w:val="TableParagraph"/>
                          <w:spacing w:before="97"/>
                          <w:ind w:left="674" w:right="670"/>
                          <w:jc w:val="center"/>
                          <w:rPr>
                            <w:rFonts w:ascii="Times New Roman"/>
                            <w:sz w:val="16"/>
                          </w:rPr>
                        </w:pPr>
                        <w:r>
                          <w:rPr>
                            <w:rFonts w:ascii="Times New Roman"/>
                            <w:color w:val="010101"/>
                            <w:w w:val="110"/>
                            <w:sz w:val="16"/>
                          </w:rPr>
                          <w:t>80</w:t>
                        </w:r>
                      </w:p>
                    </w:tc>
                    <w:tc>
                      <w:tcPr>
                        <w:tcW w:w="1623" w:type="dxa"/>
                        <w:tcBorders>
                          <w:top w:val="nil"/>
                          <w:left w:val="single" w:sz="4" w:space="0" w:color="000000"/>
                          <w:bottom w:val="nil"/>
                        </w:tcBorders>
                      </w:tcPr>
                      <w:p>
                        <w:pPr>
                          <w:pStyle w:val="TableParagraph"/>
                          <w:spacing w:before="93"/>
                          <w:ind w:right="464"/>
                          <w:jc w:val="right"/>
                          <w:rPr>
                            <w:sz w:val="18"/>
                          </w:rPr>
                        </w:pPr>
                        <w:r>
                          <w:rPr>
                            <w:color w:val="010101"/>
                            <w:w w:val="75"/>
                            <w:sz w:val="18"/>
                          </w:rPr>
                          <w:t>5.61416</w:t>
                        </w:r>
                      </w:p>
                    </w:tc>
                    <w:tc>
                      <w:tcPr>
                        <w:tcW w:w="1154" w:type="dxa"/>
                        <w:tcBorders>
                          <w:top w:val="nil"/>
                          <w:bottom w:val="nil"/>
                          <w:right w:val="nil"/>
                        </w:tcBorders>
                      </w:tcPr>
                      <w:p>
                        <w:pPr>
                          <w:pStyle w:val="TableParagraph"/>
                          <w:spacing w:before="97"/>
                          <w:ind w:left="459" w:right="403"/>
                          <w:jc w:val="center"/>
                          <w:rPr>
                            <w:sz w:val="18"/>
                          </w:rPr>
                        </w:pPr>
                        <w:r>
                          <w:rPr>
                            <w:color w:val="010101"/>
                            <w:w w:val="110"/>
                            <w:sz w:val="18"/>
                          </w:rPr>
                          <w:t>40</w:t>
                        </w:r>
                      </w:p>
                    </w:tc>
                    <w:tc>
                      <w:tcPr>
                        <w:tcW w:w="1288" w:type="dxa"/>
                        <w:tcBorders>
                          <w:top w:val="nil"/>
                          <w:left w:val="nil"/>
                          <w:bottom w:val="nil"/>
                          <w:right w:val="nil"/>
                        </w:tcBorders>
                      </w:tcPr>
                      <w:p>
                        <w:pPr>
                          <w:pStyle w:val="TableParagraph"/>
                          <w:spacing w:before="100"/>
                          <w:ind w:right="386"/>
                          <w:jc w:val="right"/>
                          <w:rPr>
                            <w:sz w:val="18"/>
                          </w:rPr>
                        </w:pPr>
                        <w:r>
                          <w:rPr>
                            <w:color w:val="010101"/>
                            <w:w w:val="70"/>
                            <w:sz w:val="18"/>
                          </w:rPr>
                          <w:t>.615</w:t>
                        </w:r>
                      </w:p>
                    </w:tc>
                  </w:tr>
                </w:tbl>
                <w:p>
                  <w:pPr>
                    <w:pStyle w:val="BodyText"/>
                  </w:pPr>
                </w:p>
              </w:txbxContent>
            </v:textbox>
            <w10:wrap type="none"/>
          </v:shape>
        </w:pict>
      </w:r>
      <w:r>
        <w:rPr>
          <w:color w:val="010101"/>
          <w:w w:val="110"/>
          <w:sz w:val="16"/>
        </w:rPr>
        <w:t>.890</w:t>
      </w:r>
    </w:p>
    <w:p>
      <w:pPr>
        <w:pStyle w:val="BodyText"/>
      </w:pPr>
    </w:p>
    <w:p>
      <w:pPr>
        <w:pStyle w:val="BodyText"/>
      </w:pPr>
    </w:p>
    <w:p>
      <w:pPr>
        <w:pStyle w:val="BodyText"/>
      </w:pPr>
    </w:p>
    <w:p>
      <w:pPr>
        <w:pStyle w:val="BodyText"/>
      </w:pPr>
    </w:p>
    <w:p>
      <w:pPr>
        <w:pStyle w:val="BodyText"/>
      </w:pPr>
    </w:p>
    <w:p>
      <w:pPr>
        <w:pStyle w:val="BodyText"/>
        <w:spacing w:before="1"/>
        <w:rPr>
          <w:sz w:val="12"/>
        </w:rPr>
      </w:pPr>
      <w:r>
        <w:rPr/>
        <w:pict>
          <v:line style="position:absolute;mso-position-horizontal-relative:page;mso-position-vertical-relative:paragraph;z-index:16216;mso-wrap-distance-left:0;mso-wrap-distance-right:0" from="39.005959pt,9.180613pt" to="323.498999pt,9.180613pt" stroked="true" strokeweight=".536779pt" strokecolor="#000000">
            <w10:wrap type="topAndBottom"/>
          </v:line>
        </w:pict>
      </w:r>
    </w:p>
    <w:p>
      <w:pPr>
        <w:pStyle w:val="BodyText"/>
        <w:spacing w:before="10"/>
        <w:rPr>
          <w:sz w:val="5"/>
        </w:rPr>
      </w:pPr>
    </w:p>
    <w:p>
      <w:pPr>
        <w:spacing w:before="76"/>
        <w:ind w:left="112" w:right="19" w:firstLine="0"/>
        <w:jc w:val="left"/>
        <w:rPr>
          <w:b/>
          <w:sz w:val="19"/>
        </w:rPr>
      </w:pPr>
      <w:r>
        <w:rPr>
          <w:b/>
          <w:color w:val="010101"/>
          <w:w w:val="115"/>
          <w:sz w:val="19"/>
        </w:rPr>
        <w:t>References</w:t>
      </w:r>
    </w:p>
    <w:p>
      <w:pPr>
        <w:pStyle w:val="BodyText"/>
        <w:spacing w:line="252" w:lineRule="auto" w:before="79"/>
        <w:ind w:left="120" w:right="121" w:firstLine="189"/>
        <w:jc w:val="both"/>
        <w:rPr>
          <w:sz w:val="19"/>
        </w:rPr>
      </w:pPr>
      <w:r>
        <w:rPr>
          <w:b/>
          <w:color w:val="010101"/>
          <w:w w:val="110"/>
        </w:rPr>
        <w:t>4. </w:t>
      </w:r>
      <w:r>
        <w:rPr>
          <w:color w:val="010101"/>
          <w:w w:val="110"/>
        </w:rPr>
        <w:t>The values </w:t>
      </w:r>
      <w:r>
        <w:rPr>
          <w:color w:val="010101"/>
          <w:w w:val="105"/>
        </w:rPr>
        <w:t>of </w:t>
      </w:r>
      <w:r>
        <w:rPr>
          <w:i/>
          <w:color w:val="010101"/>
          <w:w w:val="105"/>
          <w:sz w:val="21"/>
        </w:rPr>
        <w:t>cz </w:t>
      </w:r>
      <w:r>
        <w:rPr>
          <w:color w:val="010101"/>
          <w:w w:val="110"/>
        </w:rPr>
        <w:t>shown in Table 5 are taken from Heckman (1946</w:t>
      </w:r>
      <w:r>
        <w:rPr>
          <w:color w:val="010101"/>
          <w:spacing w:val="-39"/>
          <w:w w:val="110"/>
        </w:rPr>
        <w:t> </w:t>
      </w:r>
      <w:r>
        <w:rPr>
          <w:color w:val="010101"/>
          <w:w w:val="110"/>
        </w:rPr>
        <w:t>).</w:t>
      </w:r>
      <w:r>
        <w:rPr>
          <w:color w:val="010101"/>
          <w:spacing w:val="-32"/>
          <w:w w:val="110"/>
        </w:rPr>
        <w:t> </w:t>
      </w:r>
      <w:r>
        <w:rPr>
          <w:color w:val="010101"/>
          <w:w w:val="110"/>
        </w:rPr>
        <w:t>This</w:t>
      </w:r>
      <w:r>
        <w:rPr>
          <w:color w:val="010101"/>
          <w:spacing w:val="-27"/>
          <w:w w:val="110"/>
        </w:rPr>
        <w:t> </w:t>
      </w:r>
      <w:r>
        <w:rPr>
          <w:color w:val="010101"/>
          <w:w w:val="110"/>
        </w:rPr>
        <w:t>paper</w:t>
      </w:r>
      <w:r>
        <w:rPr>
          <w:color w:val="010101"/>
          <w:spacing w:val="-19"/>
          <w:w w:val="110"/>
        </w:rPr>
        <w:t> </w:t>
      </w:r>
      <w:r>
        <w:rPr>
          <w:color w:val="010101"/>
          <w:w w:val="110"/>
        </w:rPr>
        <w:t>also</w:t>
      </w:r>
      <w:r>
        <w:rPr>
          <w:color w:val="010101"/>
          <w:spacing w:val="-28"/>
          <w:w w:val="110"/>
        </w:rPr>
        <w:t> </w:t>
      </w:r>
      <w:r>
        <w:rPr>
          <w:color w:val="010101"/>
          <w:w w:val="110"/>
        </w:rPr>
        <w:t>gives</w:t>
      </w:r>
      <w:r>
        <w:rPr>
          <w:color w:val="010101"/>
          <w:spacing w:val="-27"/>
          <w:w w:val="110"/>
        </w:rPr>
        <w:t> </w:t>
      </w:r>
      <w:r>
        <w:rPr>
          <w:color w:val="010101"/>
          <w:w w:val="110"/>
        </w:rPr>
        <w:t>joint-life</w:t>
      </w:r>
      <w:r>
        <w:rPr>
          <w:color w:val="010101"/>
          <w:spacing w:val="-10"/>
          <w:w w:val="110"/>
        </w:rPr>
        <w:t> </w:t>
      </w:r>
      <w:r>
        <w:rPr>
          <w:color w:val="010101"/>
          <w:w w:val="110"/>
        </w:rPr>
        <w:t>mortality</w:t>
      </w:r>
      <w:r>
        <w:rPr>
          <w:color w:val="010101"/>
          <w:spacing w:val="-15"/>
          <w:w w:val="110"/>
        </w:rPr>
        <w:t> </w:t>
      </w:r>
      <w:r>
        <w:rPr>
          <w:color w:val="010101"/>
          <w:w w:val="110"/>
        </w:rPr>
        <w:t>and</w:t>
      </w:r>
      <w:r>
        <w:rPr>
          <w:color w:val="010101"/>
          <w:spacing w:val="-21"/>
          <w:w w:val="110"/>
        </w:rPr>
        <w:t> </w:t>
      </w:r>
      <w:r>
        <w:rPr>
          <w:color w:val="010101"/>
          <w:w w:val="110"/>
        </w:rPr>
        <w:t>commutation functions</w:t>
      </w:r>
      <w:r>
        <w:rPr>
          <w:color w:val="010101"/>
          <w:spacing w:val="6"/>
          <w:w w:val="110"/>
        </w:rPr>
        <w:t> </w:t>
      </w:r>
      <w:r>
        <w:rPr>
          <w:color w:val="010101"/>
          <w:w w:val="110"/>
        </w:rPr>
        <w:t>on.</w:t>
      </w:r>
      <w:r>
        <w:rPr>
          <w:color w:val="010101"/>
          <w:spacing w:val="-24"/>
          <w:w w:val="110"/>
        </w:rPr>
        <w:t> </w:t>
      </w:r>
      <w:r>
        <w:rPr>
          <w:color w:val="010101"/>
          <w:w w:val="110"/>
        </w:rPr>
        <w:t>the</w:t>
      </w:r>
      <w:r>
        <w:rPr>
          <w:color w:val="010101"/>
          <w:spacing w:val="10"/>
          <w:w w:val="110"/>
        </w:rPr>
        <w:t> </w:t>
      </w:r>
      <w:r>
        <w:rPr>
          <w:color w:val="010101"/>
          <w:w w:val="110"/>
        </w:rPr>
        <w:t>1941</w:t>
      </w:r>
      <w:r>
        <w:rPr>
          <w:color w:val="010101"/>
          <w:spacing w:val="-20"/>
          <w:w w:val="110"/>
        </w:rPr>
        <w:t> </w:t>
      </w:r>
      <w:r>
        <w:rPr>
          <w:color w:val="010101"/>
          <w:w w:val="120"/>
        </w:rPr>
        <w:t>eso</w:t>
      </w:r>
      <w:r>
        <w:rPr>
          <w:color w:val="010101"/>
          <w:spacing w:val="-11"/>
          <w:w w:val="120"/>
        </w:rPr>
        <w:t> </w:t>
      </w:r>
      <w:r>
        <w:rPr>
          <w:color w:val="010101"/>
          <w:w w:val="110"/>
        </w:rPr>
        <w:t>basis</w:t>
      </w:r>
      <w:r>
        <w:rPr>
          <w:color w:val="010101"/>
          <w:spacing w:val="4"/>
          <w:w w:val="110"/>
        </w:rPr>
        <w:t> </w:t>
      </w:r>
      <w:r>
        <w:rPr>
          <w:color w:val="010101"/>
          <w:w w:val="110"/>
        </w:rPr>
        <w:t>with</w:t>
      </w:r>
      <w:r>
        <w:rPr>
          <w:color w:val="010101"/>
          <w:spacing w:val="19"/>
          <w:w w:val="110"/>
        </w:rPr>
        <w:t> </w:t>
      </w:r>
      <w:r>
        <w:rPr>
          <w:color w:val="010101"/>
          <w:w w:val="110"/>
        </w:rPr>
        <w:t>interest</w:t>
      </w:r>
      <w:r>
        <w:rPr>
          <w:color w:val="010101"/>
          <w:spacing w:val="11"/>
          <w:w w:val="110"/>
        </w:rPr>
        <w:t> </w:t>
      </w:r>
      <w:r>
        <w:rPr>
          <w:color w:val="010101"/>
          <w:w w:val="110"/>
        </w:rPr>
        <w:t>at</w:t>
      </w:r>
      <w:r>
        <w:rPr>
          <w:color w:val="010101"/>
          <w:spacing w:val="-1"/>
          <w:w w:val="110"/>
        </w:rPr>
        <w:t> </w:t>
      </w:r>
      <w:r>
        <w:rPr>
          <w:color w:val="010101"/>
          <w:w w:val="110"/>
        </w:rPr>
        <w:t>2&gt;</w:t>
      </w:r>
      <w:r>
        <w:rPr>
          <w:color w:val="010101"/>
          <w:spacing w:val="-8"/>
          <w:w w:val="110"/>
        </w:rPr>
        <w:t> </w:t>
      </w:r>
      <w:r>
        <w:rPr>
          <w:rFonts w:ascii="Arial"/>
          <w:color w:val="010101"/>
          <w:w w:val="110"/>
          <w:sz w:val="19"/>
        </w:rPr>
        <w:t>%</w:t>
      </w:r>
      <w:r>
        <w:rPr>
          <w:rFonts w:ascii="Arial"/>
          <w:color w:val="010101"/>
          <w:spacing w:val="-12"/>
          <w:w w:val="110"/>
          <w:sz w:val="19"/>
        </w:rPr>
        <w:t> </w:t>
      </w:r>
      <w:r>
        <w:rPr>
          <w:color w:val="010101"/>
          <w:w w:val="110"/>
        </w:rPr>
        <w:t>and</w:t>
      </w:r>
      <w:r>
        <w:rPr>
          <w:color w:val="010101"/>
          <w:spacing w:val="3"/>
          <w:w w:val="110"/>
        </w:rPr>
        <w:t> </w:t>
      </w:r>
      <w:r>
        <w:rPr>
          <w:color w:val="010101"/>
          <w:w w:val="110"/>
        </w:rPr>
        <w:t>3</w:t>
      </w:r>
      <w:r>
        <w:rPr>
          <w:color w:val="010101"/>
          <w:spacing w:val="-31"/>
          <w:w w:val="110"/>
        </w:rPr>
        <w:t> </w:t>
      </w:r>
      <w:r>
        <w:rPr>
          <w:color w:val="010101"/>
          <w:w w:val="110"/>
          <w:sz w:val="19"/>
        </w:rPr>
        <w:t>%.</w:t>
      </w:r>
    </w:p>
    <w:p>
      <w:pPr>
        <w:pStyle w:val="BodyText"/>
        <w:spacing w:line="249" w:lineRule="auto"/>
        <w:ind w:left="116" w:right="111" w:firstLine="200"/>
        <w:jc w:val="both"/>
      </w:pPr>
      <w:r>
        <w:rPr>
          <w:color w:val="010101"/>
          <w:w w:val="105"/>
        </w:rPr>
        <w:t>When Makeham's law holds, joint-life annuities can be com­ puted from a single-life table with a change in the rate of interest. The method is described by </w:t>
      </w:r>
      <w:r>
        <w:rPr>
          <w:rFonts w:ascii="Arial" w:hAnsi="Arial"/>
          <w:color w:val="010101"/>
          <w:w w:val="105"/>
        </w:rPr>
        <w:t>J</w:t>
      </w:r>
      <w:r>
        <w:rPr>
          <w:color w:val="010101"/>
          <w:w w:val="105"/>
        </w:rPr>
        <w:t>ones (·1930) and forms the basis of Exercises  11 and 12.</w:t>
      </w:r>
    </w:p>
    <w:p>
      <w:pPr>
        <w:pStyle w:val="BodyText"/>
        <w:spacing w:line="247" w:lineRule="auto" w:before="1"/>
        <w:ind w:left="116" w:right="120" w:firstLine="200"/>
        <w:jc w:val="both"/>
      </w:pPr>
      <w:r>
        <w:rPr>
          <w:color w:val="010101"/>
          <w:w w:val="105"/>
        </w:rPr>
        <w:t>The theoretical error in replacing </w:t>
      </w:r>
      <w:r>
        <w:rPr>
          <w:i/>
          <w:color w:val="010101"/>
          <w:w w:val="105"/>
          <w:sz w:val="18"/>
        </w:rPr>
        <w:t>an </w:t>
      </w:r>
      <w:r>
        <w:rPr>
          <w:color w:val="010101"/>
          <w:w w:val="105"/>
        </w:rPr>
        <w:t>by </w:t>
      </w:r>
      <w:r>
        <w:rPr>
          <w:i/>
          <w:color w:val="010101"/>
          <w:w w:val="105"/>
          <w:sz w:val="18"/>
        </w:rPr>
        <w:t>aww </w:t>
      </w:r>
      <w:r>
        <w:rPr>
          <w:color w:val="010101"/>
          <w:w w:val="105"/>
        </w:rPr>
        <w:t>is pointed out by Gershenson (1957 ).</w:t>
      </w:r>
    </w:p>
    <w:p>
      <w:pPr>
        <w:pStyle w:val="ListParagraph"/>
        <w:numPr>
          <w:ilvl w:val="0"/>
          <w:numId w:val="91"/>
        </w:numPr>
        <w:tabs>
          <w:tab w:pos="554" w:val="left" w:leader="none"/>
        </w:tabs>
        <w:spacing w:line="247" w:lineRule="auto" w:before="4" w:after="0"/>
        <w:ind w:left="120" w:right="105" w:firstLine="196"/>
        <w:jc w:val="both"/>
        <w:rPr>
          <w:color w:val="010101"/>
          <w:sz w:val="20"/>
        </w:rPr>
      </w:pPr>
      <w:r>
        <w:rPr>
          <w:color w:val="010101"/>
          <w:w w:val="105"/>
          <w:sz w:val="20"/>
        </w:rPr>
        <w:t>The data of Table 6 are taken from Thompson (1941 ). The extension of this method to three joint lives requires two tables of uniform seniority. </w:t>
      </w:r>
      <w:r>
        <w:rPr>
          <w:color w:val="010101"/>
          <w:w w:val="105"/>
          <w:sz w:val="21"/>
        </w:rPr>
        <w:t>It </w:t>
      </w:r>
      <w:r>
        <w:rPr>
          <w:color w:val="010101"/>
          <w:w w:val="105"/>
          <w:sz w:val="20"/>
        </w:rPr>
        <w:t>is illustrated by Spurgeon  (1932), p.</w:t>
      </w:r>
      <w:r>
        <w:rPr>
          <w:color w:val="010101"/>
          <w:spacing w:val="39"/>
          <w:w w:val="105"/>
          <w:sz w:val="20"/>
        </w:rPr>
        <w:t> </w:t>
      </w:r>
      <w:r>
        <w:rPr>
          <w:color w:val="010101"/>
          <w:w w:val="105"/>
          <w:sz w:val="20"/>
        </w:rPr>
        <w:t>259.</w:t>
      </w:r>
    </w:p>
    <w:p>
      <w:pPr>
        <w:pStyle w:val="BodyText"/>
        <w:spacing w:line="249" w:lineRule="auto" w:before="1"/>
        <w:ind w:left="116" w:right="105" w:firstLine="203"/>
        <w:jc w:val="both"/>
        <w:rPr>
          <w:rFonts w:ascii="Arial"/>
        </w:rPr>
      </w:pPr>
      <w:r>
        <w:rPr>
          <w:color w:val="010101"/>
          <w:w w:val="105"/>
        </w:rPr>
        <w:t>For the 1958 </w:t>
      </w:r>
      <w:r>
        <w:rPr>
          <w:color w:val="010101"/>
          <w:w w:val="125"/>
        </w:rPr>
        <w:t>eso </w:t>
      </w:r>
      <w:r>
        <w:rPr>
          <w:color w:val="010101"/>
          <w:w w:val="105"/>
        </w:rPr>
        <w:t>table, the complete table of uniform seniority and the tests of accuracy for various functions may be seen in the Report of the General eommittee on Publication of Monetary Tables, TSA  11, pp.  1049 </w:t>
      </w:r>
      <w:r>
        <w:rPr>
          <w:rFonts w:ascii="Arial"/>
          <w:color w:val="010101"/>
          <w:w w:val="105"/>
        </w:rPr>
        <w:t>ff.</w:t>
      </w:r>
    </w:p>
    <w:p>
      <w:pPr>
        <w:pStyle w:val="ListParagraph"/>
        <w:numPr>
          <w:ilvl w:val="0"/>
          <w:numId w:val="91"/>
        </w:numPr>
        <w:tabs>
          <w:tab w:pos="550" w:val="left" w:leader="none"/>
        </w:tabs>
        <w:spacing w:line="244" w:lineRule="auto" w:before="0" w:after="0"/>
        <w:ind w:left="112" w:right="121" w:firstLine="201"/>
        <w:jc w:val="both"/>
        <w:rPr>
          <w:color w:val="010101"/>
          <w:sz w:val="21"/>
        </w:rPr>
      </w:pPr>
      <w:r>
        <w:rPr>
          <w:color w:val="010101"/>
          <w:w w:val="105"/>
          <w:sz w:val="20"/>
        </w:rPr>
        <w:t>The data of Table 7 are based on the 1937 Standard Annuity Table,  described  by  Kineke</w:t>
      </w:r>
      <w:r>
        <w:rPr>
          <w:color w:val="010101"/>
          <w:spacing w:val="3"/>
          <w:w w:val="105"/>
          <w:sz w:val="20"/>
        </w:rPr>
        <w:t> </w:t>
      </w:r>
      <w:r>
        <w:rPr>
          <w:color w:val="010101"/>
          <w:w w:val="105"/>
          <w:sz w:val="20"/>
        </w:rPr>
        <w:t>(1938).</w:t>
      </w:r>
    </w:p>
    <w:p>
      <w:pPr>
        <w:pStyle w:val="BodyText"/>
        <w:spacing w:line="247" w:lineRule="auto" w:before="6"/>
        <w:ind w:left="116" w:right="119" w:firstLine="196"/>
        <w:jc w:val="both"/>
      </w:pPr>
      <w:r>
        <w:rPr>
          <w:color w:val="010101"/>
        </w:rPr>
        <w:t>A general treatment of laws of mortality which satisfy a uniform seniority  principie  </w:t>
      </w:r>
      <w:r>
        <w:rPr>
          <w:rFonts w:ascii="Arial"/>
          <w:color w:val="010101"/>
          <w:sz w:val="19"/>
        </w:rPr>
        <w:t>is </w:t>
      </w:r>
      <w:r>
        <w:rPr>
          <w:color w:val="010101"/>
        </w:rPr>
        <w:t>given  by  Greville  (1956).</w:t>
      </w:r>
    </w:p>
    <w:p>
      <w:pPr>
        <w:spacing w:after="0" w:line="247" w:lineRule="auto"/>
        <w:jc w:val="both"/>
        <w:sectPr>
          <w:pgSz w:w="7200" w:h="11340"/>
          <w:pgMar w:top="520" w:bottom="280" w:left="660" w:right="600"/>
        </w:sectPr>
      </w:pPr>
    </w:p>
    <w:p>
      <w:pPr>
        <w:pStyle w:val="BodyText"/>
        <w:rPr>
          <w:sz w:val="16"/>
        </w:rPr>
      </w:pPr>
    </w:p>
    <w:p>
      <w:pPr>
        <w:pStyle w:val="BodyText"/>
        <w:rPr>
          <w:sz w:val="16"/>
        </w:rPr>
      </w:pPr>
    </w:p>
    <w:p>
      <w:pPr>
        <w:spacing w:before="125"/>
        <w:ind w:left="123" w:right="0" w:firstLine="0"/>
        <w:jc w:val="left"/>
        <w:rPr>
          <w:b/>
          <w:sz w:val="16"/>
        </w:rPr>
      </w:pPr>
      <w:r>
        <w:rPr>
          <w:color w:val="010101"/>
          <w:w w:val="125"/>
          <w:sz w:val="16"/>
        </w:rPr>
        <w:t>l, </w:t>
      </w:r>
      <w:r>
        <w:rPr>
          <w:b/>
          <w:color w:val="010101"/>
          <w:w w:val="125"/>
          <w:sz w:val="16"/>
        </w:rPr>
        <w:t>2. Joint-life probabilities</w:t>
      </w:r>
    </w:p>
    <w:p>
      <w:pPr>
        <w:spacing w:before="152"/>
        <w:ind w:left="19" w:right="0" w:firstLine="0"/>
        <w:jc w:val="left"/>
        <w:rPr>
          <w:sz w:val="18"/>
        </w:rPr>
      </w:pPr>
      <w:r>
        <w:rPr/>
        <w:br w:type="column"/>
      </w:r>
      <w:r>
        <w:rPr>
          <w:color w:val="010101"/>
          <w:w w:val="105"/>
          <w:sz w:val="18"/>
        </w:rPr>
        <w:t>EXERCISES</w:t>
      </w:r>
    </w:p>
    <w:p>
      <w:pPr>
        <w:spacing w:after="0"/>
        <w:jc w:val="left"/>
        <w:rPr>
          <w:sz w:val="18"/>
        </w:rPr>
        <w:sectPr>
          <w:type w:val="continuous"/>
          <w:pgSz w:w="7200" w:h="11340"/>
          <w:pgMar w:top="1100" w:bottom="0" w:left="660" w:right="600"/>
          <w:cols w:num="2" w:equalWidth="0">
            <w:col w:w="2401" w:space="40"/>
            <w:col w:w="3499"/>
          </w:cols>
        </w:sectPr>
      </w:pPr>
    </w:p>
    <w:p>
      <w:pPr>
        <w:spacing w:before="79"/>
        <w:ind w:left="284" w:right="19" w:firstLine="0"/>
        <w:jc w:val="left"/>
        <w:rPr>
          <w:sz w:val="17"/>
        </w:rPr>
      </w:pPr>
      <w:r>
        <w:rPr>
          <w:color w:val="010101"/>
          <w:w w:val="125"/>
          <w:sz w:val="17"/>
        </w:rPr>
        <w:t>l. </w:t>
      </w:r>
      <w:r>
        <w:rPr>
          <w:color w:val="010101"/>
          <w:w w:val="110"/>
          <w:sz w:val="17"/>
        </w:rPr>
        <w:t>Express each of  the following in tenns of  the singlc-lif e  probabilities</w:t>
      </w:r>
    </w:p>
    <w:p>
      <w:pPr>
        <w:spacing w:before="9"/>
        <w:ind w:left="116" w:right="19" w:firstLine="0"/>
        <w:jc w:val="left"/>
        <w:rPr>
          <w:sz w:val="17"/>
        </w:rPr>
      </w:pPr>
      <w:r>
        <w:rPr>
          <w:i/>
          <w:color w:val="010101"/>
          <w:w w:val="105"/>
          <w:sz w:val="17"/>
        </w:rPr>
        <w:t>,.pz </w:t>
      </w:r>
      <w:r>
        <w:rPr>
          <w:color w:val="010101"/>
          <w:w w:val="105"/>
          <w:sz w:val="17"/>
        </w:rPr>
        <w:t>and </w:t>
      </w:r>
      <w:r>
        <w:rPr>
          <w:i/>
          <w:color w:val="010101"/>
          <w:sz w:val="17"/>
        </w:rPr>
        <w:t>,.pi/ </w:t>
      </w:r>
      <w:r>
        <w:rPr>
          <w:color w:val="010101"/>
          <w:w w:val="125"/>
          <w:sz w:val="17"/>
        </w:rPr>
        <w:t>:</w:t>
      </w:r>
    </w:p>
    <w:p>
      <w:pPr>
        <w:spacing w:after="0"/>
        <w:jc w:val="left"/>
        <w:rPr>
          <w:sz w:val="17"/>
        </w:rPr>
        <w:sectPr>
          <w:type w:val="continuous"/>
          <w:pgSz w:w="7200" w:h="11340"/>
          <w:pgMar w:top="1100" w:bottom="0" w:left="660" w:right="600"/>
        </w:sectPr>
      </w:pPr>
    </w:p>
    <w:p>
      <w:pPr>
        <w:tabs>
          <w:tab w:pos="1998" w:val="left" w:leader="none"/>
          <w:tab w:pos="5352" w:val="left" w:leader="none"/>
        </w:tabs>
        <w:spacing w:before="54"/>
        <w:ind w:left="143" w:right="0" w:firstLine="0"/>
        <w:jc w:val="left"/>
        <w:rPr>
          <w:rFonts w:ascii="Arial"/>
          <w:b/>
          <w:sz w:val="20"/>
        </w:rPr>
      </w:pPr>
      <w:r>
        <w:rPr>
          <w:color w:val="010101"/>
          <w:sz w:val="21"/>
        </w:rPr>
        <w:t>206</w:t>
        <w:tab/>
      </w:r>
      <w:r>
        <w:rPr>
          <w:color w:val="010101"/>
          <w:position w:val="2"/>
          <w:sz w:val="15"/>
        </w:rPr>
        <w:t>THE   </w:t>
      </w:r>
      <w:r>
        <w:rPr>
          <w:color w:val="010101"/>
          <w:spacing w:val="8"/>
          <w:position w:val="2"/>
          <w:sz w:val="15"/>
        </w:rPr>
        <w:t> </w:t>
      </w:r>
      <w:r>
        <w:rPr>
          <w:color w:val="010101"/>
          <w:position w:val="2"/>
          <w:sz w:val="15"/>
        </w:rPr>
        <w:t>JOINT-LIFE   </w:t>
      </w:r>
      <w:r>
        <w:rPr>
          <w:color w:val="010101"/>
          <w:spacing w:val="19"/>
          <w:position w:val="2"/>
          <w:sz w:val="15"/>
        </w:rPr>
        <w:t> </w:t>
      </w:r>
      <w:r>
        <w:rPr>
          <w:color w:val="010101"/>
          <w:position w:val="2"/>
          <w:sz w:val="15"/>
        </w:rPr>
        <w:t>STATUS</w:t>
        <w:tab/>
      </w:r>
      <w:r>
        <w:rPr>
          <w:color w:val="010101"/>
          <w:w w:val="95"/>
          <w:position w:val="1"/>
          <w:sz w:val="20"/>
        </w:rPr>
        <w:t>[CH.</w:t>
      </w:r>
      <w:r>
        <w:rPr>
          <w:color w:val="010101"/>
          <w:spacing w:val="2"/>
          <w:w w:val="95"/>
          <w:position w:val="1"/>
          <w:sz w:val="20"/>
        </w:rPr>
        <w:t> </w:t>
      </w:r>
      <w:r>
        <w:rPr>
          <w:rFonts w:ascii="Arial"/>
          <w:b/>
          <w:color w:val="010101"/>
          <w:w w:val="95"/>
          <w:position w:val="1"/>
          <w:sz w:val="20"/>
        </w:rPr>
        <w:t>9</w:t>
      </w:r>
    </w:p>
    <w:p>
      <w:pPr>
        <w:pStyle w:val="BodyText"/>
        <w:spacing w:before="11"/>
        <w:rPr>
          <w:rFonts w:ascii="Arial"/>
          <w:b/>
          <w:sz w:val="18"/>
        </w:rPr>
      </w:pPr>
    </w:p>
    <w:p>
      <w:pPr>
        <w:pStyle w:val="ListParagraph"/>
        <w:numPr>
          <w:ilvl w:val="0"/>
          <w:numId w:val="92"/>
        </w:numPr>
        <w:tabs>
          <w:tab w:pos="772" w:val="left" w:leader="none"/>
        </w:tabs>
        <w:spacing w:line="204" w:lineRule="exact" w:before="0" w:after="0"/>
        <w:ind w:left="771" w:right="0" w:hanging="294"/>
        <w:jc w:val="left"/>
        <w:rPr>
          <w:color w:val="010101"/>
          <w:sz w:val="18"/>
        </w:rPr>
      </w:pPr>
      <w:r>
        <w:rPr>
          <w:color w:val="010101"/>
          <w:w w:val="105"/>
          <w:sz w:val="18"/>
        </w:rPr>
        <w:t>the  probability  that  </w:t>
      </w:r>
      <w:r>
        <w:rPr>
          <w:rFonts w:ascii="Arial"/>
          <w:i/>
          <w:color w:val="010101"/>
          <w:spacing w:val="3"/>
          <w:w w:val="105"/>
          <w:sz w:val="14"/>
        </w:rPr>
        <w:t>(xy)  </w:t>
      </w:r>
      <w:r>
        <w:rPr>
          <w:color w:val="010101"/>
          <w:w w:val="105"/>
          <w:sz w:val="18"/>
        </w:rPr>
        <w:t>will survive </w:t>
      </w:r>
      <w:r>
        <w:rPr>
          <w:color w:val="010101"/>
          <w:w w:val="105"/>
          <w:sz w:val="17"/>
        </w:rPr>
        <w:t>n. </w:t>
      </w:r>
      <w:r>
        <w:rPr>
          <w:color w:val="010101"/>
          <w:spacing w:val="3"/>
          <w:w w:val="105"/>
          <w:sz w:val="17"/>
        </w:rPr>
        <w:t> </w:t>
      </w:r>
      <w:r>
        <w:rPr>
          <w:color w:val="010101"/>
          <w:w w:val="105"/>
          <w:sz w:val="18"/>
        </w:rPr>
        <w:t>years;</w:t>
      </w:r>
    </w:p>
    <w:p>
      <w:pPr>
        <w:pStyle w:val="ListParagraph"/>
        <w:numPr>
          <w:ilvl w:val="0"/>
          <w:numId w:val="92"/>
        </w:numPr>
        <w:tabs>
          <w:tab w:pos="768" w:val="left" w:leader="none"/>
        </w:tabs>
        <w:spacing w:line="200" w:lineRule="exact" w:before="0" w:after="0"/>
        <w:ind w:left="767" w:right="0" w:hanging="294"/>
        <w:jc w:val="left"/>
        <w:rPr>
          <w:color w:val="010101"/>
          <w:sz w:val="16"/>
        </w:rPr>
      </w:pPr>
      <w:r>
        <w:rPr>
          <w:color w:val="010101"/>
          <w:sz w:val="18"/>
        </w:rPr>
        <w:t>the probability  that exactly one of  the lives  </w:t>
      </w:r>
      <w:r>
        <w:rPr>
          <w:rFonts w:ascii="Arial"/>
          <w:color w:val="010101"/>
          <w:sz w:val="16"/>
        </w:rPr>
        <w:t>(x) </w:t>
      </w:r>
      <w:r>
        <w:rPr>
          <w:color w:val="010101"/>
          <w:sz w:val="18"/>
        </w:rPr>
        <w:t>and  </w:t>
      </w:r>
      <w:r>
        <w:rPr>
          <w:color w:val="010101"/>
          <w:sz w:val="16"/>
        </w:rPr>
        <w:t>(1,1)  </w:t>
      </w:r>
      <w:r>
        <w:rPr>
          <w:color w:val="010101"/>
          <w:sz w:val="18"/>
        </w:rPr>
        <w:t>will</w:t>
      </w:r>
      <w:r>
        <w:rPr>
          <w:color w:val="010101"/>
          <w:spacing w:val="4"/>
          <w:sz w:val="18"/>
        </w:rPr>
        <w:t> </w:t>
      </w:r>
      <w:r>
        <w:rPr>
          <w:color w:val="010101"/>
          <w:sz w:val="18"/>
        </w:rPr>
        <w:t>survive</w:t>
      </w:r>
    </w:p>
    <w:p>
      <w:pPr>
        <w:spacing w:line="198" w:lineRule="exact" w:before="0"/>
        <w:ind w:left="753" w:right="0" w:firstLine="0"/>
        <w:jc w:val="left"/>
        <w:rPr>
          <w:sz w:val="18"/>
        </w:rPr>
      </w:pPr>
      <w:r>
        <w:rPr>
          <w:color w:val="010101"/>
          <w:sz w:val="17"/>
        </w:rPr>
        <w:t>n. </w:t>
      </w:r>
      <w:r>
        <w:rPr>
          <w:color w:val="010101"/>
          <w:sz w:val="18"/>
        </w:rPr>
        <w:t>years;</w:t>
      </w:r>
    </w:p>
    <w:p>
      <w:pPr>
        <w:spacing w:line="200" w:lineRule="exact" w:before="0"/>
        <w:ind w:left="466" w:right="0" w:firstLine="0"/>
        <w:jc w:val="left"/>
        <w:rPr>
          <w:sz w:val="18"/>
        </w:rPr>
      </w:pPr>
      <w:r>
        <w:rPr>
          <w:color w:val="010101"/>
          <w:w w:val="110"/>
          <w:sz w:val="16"/>
        </w:rPr>
        <w:t>(e) </w:t>
      </w:r>
      <w:r>
        <w:rPr>
          <w:color w:val="010101"/>
          <w:w w:val="110"/>
          <w:sz w:val="18"/>
        </w:rPr>
        <w:t>the probability that at le88t one of the lives </w:t>
      </w:r>
      <w:r>
        <w:rPr>
          <w:color w:val="010101"/>
          <w:w w:val="110"/>
          <w:sz w:val="16"/>
        </w:rPr>
        <w:t>(x) </w:t>
      </w:r>
      <w:r>
        <w:rPr>
          <w:color w:val="010101"/>
          <w:w w:val="110"/>
          <w:sz w:val="18"/>
        </w:rPr>
        <w:t>and </w:t>
      </w:r>
      <w:r>
        <w:rPr>
          <w:rFonts w:ascii="Arial"/>
          <w:i/>
          <w:color w:val="010101"/>
          <w:w w:val="110"/>
          <w:sz w:val="14"/>
        </w:rPr>
        <w:t>(y) </w:t>
      </w:r>
      <w:r>
        <w:rPr>
          <w:color w:val="010101"/>
          <w:w w:val="110"/>
          <w:sz w:val="18"/>
        </w:rPr>
        <w:t>will survive</w:t>
      </w:r>
    </w:p>
    <w:p>
      <w:pPr>
        <w:spacing w:line="201" w:lineRule="exact" w:before="0"/>
        <w:ind w:left="757" w:right="0" w:firstLine="0"/>
        <w:jc w:val="left"/>
        <w:rPr>
          <w:sz w:val="18"/>
        </w:rPr>
      </w:pPr>
      <w:r>
        <w:rPr>
          <w:color w:val="010101"/>
          <w:sz w:val="17"/>
        </w:rPr>
        <w:t>n. </w:t>
      </w:r>
      <w:r>
        <w:rPr>
          <w:color w:val="010101"/>
          <w:sz w:val="18"/>
        </w:rPr>
        <w:t>yeam;</w:t>
      </w:r>
    </w:p>
    <w:p>
      <w:pPr>
        <w:spacing w:line="200" w:lineRule="exact" w:before="0"/>
        <w:ind w:left="470" w:right="0" w:firstLine="0"/>
        <w:jc w:val="left"/>
        <w:rPr>
          <w:b/>
          <w:sz w:val="17"/>
        </w:rPr>
      </w:pPr>
      <w:r>
        <w:rPr>
          <w:rFonts w:ascii="Arial"/>
          <w:color w:val="010101"/>
          <w:sz w:val="16"/>
        </w:rPr>
        <w:t>(d)  </w:t>
      </w:r>
      <w:r>
        <w:rPr>
          <w:color w:val="010101"/>
          <w:sz w:val="18"/>
        </w:rPr>
        <w:t>the  probability  that  </w:t>
      </w:r>
      <w:r>
        <w:rPr>
          <w:rFonts w:ascii="Arial"/>
          <w:i/>
          <w:color w:val="010101"/>
          <w:sz w:val="16"/>
        </w:rPr>
        <w:t>(x11) </w:t>
      </w:r>
      <w:r>
        <w:rPr>
          <w:color w:val="010101"/>
          <w:sz w:val="18"/>
        </w:rPr>
        <w:t>will  fail  within </w:t>
      </w:r>
      <w:r>
        <w:rPr>
          <w:color w:val="010101"/>
          <w:sz w:val="17"/>
        </w:rPr>
        <w:t>n.  </w:t>
      </w:r>
      <w:r>
        <w:rPr>
          <w:b/>
          <w:color w:val="010101"/>
          <w:sz w:val="17"/>
        </w:rPr>
        <w:t>years;</w:t>
      </w:r>
    </w:p>
    <w:p>
      <w:pPr>
        <w:pStyle w:val="ListParagraph"/>
        <w:numPr>
          <w:ilvl w:val="0"/>
          <w:numId w:val="93"/>
        </w:numPr>
        <w:tabs>
          <w:tab w:pos="765" w:val="left" w:leader="none"/>
        </w:tabs>
        <w:spacing w:line="198" w:lineRule="exact" w:before="0" w:after="0"/>
        <w:ind w:left="764" w:right="0" w:hanging="294"/>
        <w:jc w:val="left"/>
        <w:rPr>
          <w:b/>
          <w:sz w:val="17"/>
        </w:rPr>
      </w:pPr>
      <w:r>
        <w:rPr>
          <w:color w:val="010101"/>
          <w:w w:val="105"/>
          <w:sz w:val="18"/>
        </w:rPr>
        <w:t>the probability that at le88t one of the lives </w:t>
      </w:r>
      <w:r>
        <w:rPr>
          <w:color w:val="010101"/>
          <w:w w:val="105"/>
          <w:sz w:val="17"/>
        </w:rPr>
        <w:t>will </w:t>
      </w:r>
      <w:r>
        <w:rPr>
          <w:color w:val="010101"/>
          <w:w w:val="105"/>
          <w:sz w:val="18"/>
        </w:rPr>
        <w:t>die within  </w:t>
      </w:r>
      <w:r>
        <w:rPr>
          <w:i/>
          <w:color w:val="010101"/>
          <w:w w:val="105"/>
          <w:sz w:val="18"/>
        </w:rPr>
        <w:t>n</w:t>
      </w:r>
      <w:r>
        <w:rPr>
          <w:i/>
          <w:color w:val="010101"/>
          <w:spacing w:val="5"/>
          <w:w w:val="105"/>
          <w:sz w:val="18"/>
        </w:rPr>
        <w:t> </w:t>
      </w:r>
      <w:r>
        <w:rPr>
          <w:b/>
          <w:color w:val="010101"/>
          <w:w w:val="105"/>
          <w:sz w:val="17"/>
        </w:rPr>
        <w:t>years;</w:t>
      </w:r>
    </w:p>
    <w:p>
      <w:pPr>
        <w:pStyle w:val="ListParagraph"/>
        <w:numPr>
          <w:ilvl w:val="0"/>
          <w:numId w:val="93"/>
        </w:numPr>
        <w:tabs>
          <w:tab w:pos="761" w:val="left" w:leader="none"/>
        </w:tabs>
        <w:spacing w:line="202" w:lineRule="exact" w:before="0" w:after="0"/>
        <w:ind w:left="760" w:right="0" w:hanging="294"/>
        <w:jc w:val="left"/>
        <w:rPr>
          <w:b/>
          <w:sz w:val="17"/>
        </w:rPr>
      </w:pPr>
      <w:r>
        <w:rPr/>
        <w:pict>
          <v:shape style="position:absolute;margin-left:141.165894pt;margin-top:4.880995pt;width:75.650pt;height:17.5pt;mso-position-horizontal-relative:page;mso-position-vertical-relative:paragraph;z-index:-719776" type="#_x0000_t202" filled="false" stroked="false">
            <v:textbox inset="0,0,0,0">
              <w:txbxContent>
                <w:p>
                  <w:pPr>
                    <w:tabs>
                      <w:tab w:pos="1112" w:val="left" w:leader="none"/>
                    </w:tabs>
                    <w:spacing w:line="350" w:lineRule="exact" w:before="0"/>
                    <w:ind w:left="0" w:right="0" w:firstLine="0"/>
                    <w:jc w:val="left"/>
                    <w:rPr>
                      <w:sz w:val="35"/>
                    </w:rPr>
                  </w:pPr>
                  <w:r>
                    <w:rPr>
                      <w:i/>
                      <w:color w:val="010101"/>
                      <w:w w:val="52"/>
                      <w:sz w:val="35"/>
                    </w:rPr>
                    <w:t>,q.</w:t>
                  </w:r>
                  <w:r>
                    <w:rPr>
                      <w:i/>
                      <w:color w:val="010101"/>
                      <w:spacing w:val="-26"/>
                      <w:sz w:val="35"/>
                    </w:rPr>
                    <w:t> </w:t>
                  </w:r>
                  <w:r>
                    <w:rPr>
                      <w:color w:val="010101"/>
                      <w:w w:val="54"/>
                      <w:sz w:val="35"/>
                    </w:rPr>
                    <w:t>,</w:t>
                  </w:r>
                  <w:r>
                    <w:rPr>
                      <w:color w:val="010101"/>
                      <w:spacing w:val="-35"/>
                      <w:sz w:val="35"/>
                    </w:rPr>
                    <w:t> </w:t>
                  </w:r>
                  <w:r>
                    <w:rPr>
                      <w:i/>
                      <w:color w:val="010101"/>
                      <w:w w:val="52"/>
                      <w:sz w:val="35"/>
                    </w:rPr>
                    <w:t>"</w:t>
                  </w:r>
                  <w:r>
                    <w:rPr>
                      <w:i/>
                      <w:color w:val="010101"/>
                      <w:spacing w:val="1"/>
                      <w:w w:val="52"/>
                      <w:sz w:val="35"/>
                    </w:rPr>
                    <w:t>'</w:t>
                  </w:r>
                  <w:r>
                    <w:rPr>
                      <w:i/>
                      <w:color w:val="010101"/>
                      <w:spacing w:val="-6"/>
                      <w:w w:val="48"/>
                      <w:sz w:val="35"/>
                    </w:rPr>
                    <w:t>q</w:t>
                  </w:r>
                  <w:r>
                    <w:rPr>
                      <w:i/>
                      <w:color w:val="010101"/>
                      <w:w w:val="50"/>
                      <w:sz w:val="35"/>
                    </w:rPr>
                    <w:t>"</w:t>
                  </w:r>
                  <w:r>
                    <w:rPr>
                      <w:i/>
                      <w:color w:val="010101"/>
                      <w:spacing w:val="-34"/>
                      <w:sz w:val="35"/>
                    </w:rPr>
                    <w:t> </w:t>
                  </w:r>
                  <w:r>
                    <w:rPr>
                      <w:color w:val="010101"/>
                      <w:w w:val="61"/>
                      <w:sz w:val="35"/>
                    </w:rPr>
                    <w:t>,</w:t>
                  </w:r>
                  <w:r>
                    <w:rPr>
                      <w:color w:val="010101"/>
                      <w:sz w:val="35"/>
                    </w:rPr>
                    <w:tab/>
                  </w:r>
                  <w:r>
                    <w:rPr>
                      <w:i/>
                      <w:color w:val="010101"/>
                      <w:spacing w:val="-79"/>
                      <w:w w:val="184"/>
                      <w:sz w:val="35"/>
                    </w:rPr>
                    <w:t>.</w:t>
                  </w:r>
                  <w:r>
                    <w:rPr>
                      <w:i/>
                      <w:color w:val="010101"/>
                      <w:w w:val="50"/>
                      <w:sz w:val="35"/>
                    </w:rPr>
                    <w:t>,q.</w:t>
                  </w:r>
                  <w:r>
                    <w:rPr>
                      <w:i/>
                      <w:color w:val="010101"/>
                      <w:spacing w:val="-15"/>
                      <w:sz w:val="35"/>
                    </w:rPr>
                    <w:t> </w:t>
                  </w:r>
                  <w:r>
                    <w:rPr>
                      <w:color w:val="010101"/>
                      <w:w w:val="72"/>
                      <w:sz w:val="35"/>
                    </w:rPr>
                    <w:t>:</w:t>
                  </w:r>
                </w:p>
              </w:txbxContent>
            </v:textbox>
            <w10:wrap type="none"/>
          </v:shape>
        </w:pict>
      </w:r>
      <w:r>
        <w:rPr>
          <w:color w:val="010101"/>
          <w:w w:val="105"/>
          <w:sz w:val="18"/>
        </w:rPr>
        <w:t>)   the probability that both lives will die within </w:t>
      </w:r>
      <w:r>
        <w:rPr>
          <w:i/>
          <w:color w:val="010101"/>
          <w:w w:val="105"/>
          <w:sz w:val="18"/>
        </w:rPr>
        <w:t>n </w:t>
      </w:r>
      <w:r>
        <w:rPr>
          <w:i/>
          <w:color w:val="010101"/>
          <w:spacing w:val="31"/>
          <w:w w:val="105"/>
          <w:sz w:val="18"/>
        </w:rPr>
        <w:t> </w:t>
      </w:r>
      <w:r>
        <w:rPr>
          <w:b/>
          <w:color w:val="010101"/>
          <w:w w:val="105"/>
          <w:sz w:val="17"/>
        </w:rPr>
        <w:t>years.</w:t>
      </w:r>
    </w:p>
    <w:p>
      <w:pPr>
        <w:pStyle w:val="ListParagraph"/>
        <w:numPr>
          <w:ilvl w:val="0"/>
          <w:numId w:val="94"/>
        </w:numPr>
        <w:tabs>
          <w:tab w:pos="499" w:val="left" w:leader="none"/>
          <w:tab w:pos="2938" w:val="left" w:leader="none"/>
        </w:tabs>
        <w:spacing w:line="195" w:lineRule="exact" w:before="9" w:after="0"/>
        <w:ind w:left="107" w:right="0" w:firstLine="176"/>
        <w:jc w:val="left"/>
        <w:rPr>
          <w:color w:val="010101"/>
          <w:sz w:val="16"/>
        </w:rPr>
      </w:pPr>
      <w:r>
        <w:rPr>
          <w:color w:val="010101"/>
          <w:w w:val="105"/>
          <w:sz w:val="18"/>
        </w:rPr>
        <w:t>Express in tenns </w:t>
      </w:r>
      <w:r>
        <w:rPr>
          <w:color w:val="010101"/>
          <w:spacing w:val="14"/>
          <w:w w:val="105"/>
          <w:sz w:val="18"/>
        </w:rPr>
        <w:t> </w:t>
      </w:r>
      <w:r>
        <w:rPr>
          <w:color w:val="010101"/>
          <w:w w:val="105"/>
          <w:sz w:val="18"/>
        </w:rPr>
        <w:t>of</w:t>
      </w:r>
      <w:r>
        <w:rPr>
          <w:color w:val="010101"/>
          <w:spacing w:val="26"/>
          <w:w w:val="105"/>
          <w:sz w:val="18"/>
        </w:rPr>
        <w:t> </w:t>
      </w:r>
      <w:r>
        <w:rPr>
          <w:i/>
          <w:color w:val="010101"/>
          <w:w w:val="105"/>
          <w:sz w:val="18"/>
        </w:rPr>
        <w:t>..</w:t>
        <w:tab/>
      </w:r>
      <w:r>
        <w:rPr>
          <w:color w:val="010101"/>
          <w:w w:val="105"/>
          <w:sz w:val="18"/>
        </w:rPr>
        <w:t>and</w:t>
      </w:r>
    </w:p>
    <w:p>
      <w:pPr>
        <w:pStyle w:val="ListParagraph"/>
        <w:numPr>
          <w:ilvl w:val="1"/>
          <w:numId w:val="94"/>
        </w:numPr>
        <w:tabs>
          <w:tab w:pos="758" w:val="left" w:leader="none"/>
        </w:tabs>
        <w:spacing w:line="153" w:lineRule="exact" w:before="0" w:after="0"/>
        <w:ind w:left="757" w:right="0" w:hanging="295"/>
        <w:jc w:val="left"/>
        <w:rPr>
          <w:sz w:val="18"/>
        </w:rPr>
      </w:pPr>
      <w:r>
        <w:rPr>
          <w:color w:val="010101"/>
          <w:w w:val="105"/>
          <w:sz w:val="18"/>
        </w:rPr>
        <w:t>the probability  that  all  three lives  </w:t>
      </w:r>
      <w:r>
        <w:rPr>
          <w:color w:val="010101"/>
          <w:w w:val="105"/>
          <w:sz w:val="16"/>
        </w:rPr>
        <w:t>(x),  (y),  </w:t>
      </w:r>
      <w:r>
        <w:rPr>
          <w:color w:val="010101"/>
          <w:w w:val="105"/>
          <w:sz w:val="18"/>
        </w:rPr>
        <w:t>and  </w:t>
      </w:r>
      <w:r>
        <w:rPr>
          <w:rFonts w:ascii="Arial"/>
          <w:i/>
          <w:color w:val="010101"/>
          <w:w w:val="105"/>
          <w:sz w:val="16"/>
        </w:rPr>
        <w:t>(z) </w:t>
      </w:r>
      <w:r>
        <w:rPr>
          <w:color w:val="010101"/>
          <w:w w:val="105"/>
          <w:sz w:val="18"/>
        </w:rPr>
        <w:t>will  die in</w:t>
      </w:r>
      <w:r>
        <w:rPr>
          <w:color w:val="010101"/>
          <w:spacing w:val="3"/>
          <w:w w:val="105"/>
          <w:sz w:val="18"/>
        </w:rPr>
        <w:t> </w:t>
      </w:r>
      <w:r>
        <w:rPr>
          <w:color w:val="010101"/>
          <w:w w:val="105"/>
          <w:sz w:val="18"/>
        </w:rPr>
        <w:t>the</w:t>
      </w:r>
    </w:p>
    <w:p>
      <w:pPr>
        <w:spacing w:line="206" w:lineRule="exact" w:before="0"/>
        <w:ind w:left="774" w:right="0" w:firstLine="0"/>
        <w:jc w:val="left"/>
        <w:rPr>
          <w:sz w:val="18"/>
        </w:rPr>
      </w:pPr>
      <w:r>
        <w:rPr>
          <w:rFonts w:ascii="Arial"/>
          <w:i/>
          <w:color w:val="010101"/>
          <w:w w:val="110"/>
          <w:sz w:val="16"/>
        </w:rPr>
        <w:t>(n </w:t>
      </w:r>
      <w:r>
        <w:rPr>
          <w:rFonts w:ascii="Arial"/>
          <w:color w:val="010101"/>
          <w:w w:val="110"/>
          <w:sz w:val="27"/>
        </w:rPr>
        <w:t>+ </w:t>
      </w:r>
      <w:r>
        <w:rPr>
          <w:color w:val="010101"/>
          <w:w w:val="110"/>
          <w:sz w:val="18"/>
        </w:rPr>
        <w:t>1)-th year;</w:t>
      </w:r>
    </w:p>
    <w:p>
      <w:pPr>
        <w:pStyle w:val="ListParagraph"/>
        <w:numPr>
          <w:ilvl w:val="1"/>
          <w:numId w:val="94"/>
        </w:numPr>
        <w:tabs>
          <w:tab w:pos="758" w:val="left" w:leader="none"/>
        </w:tabs>
        <w:spacing w:line="248" w:lineRule="exact" w:before="0" w:after="0"/>
        <w:ind w:left="757" w:right="0" w:hanging="295"/>
        <w:jc w:val="left"/>
        <w:rPr>
          <w:sz w:val="18"/>
        </w:rPr>
      </w:pPr>
      <w:r>
        <w:rPr>
          <w:color w:val="010101"/>
          <w:w w:val="105"/>
          <w:sz w:val="18"/>
        </w:rPr>
        <w:t>the probability  that  none  of  the livee will  die in  the  </w:t>
      </w:r>
      <w:r>
        <w:rPr>
          <w:rFonts w:ascii="Arial"/>
          <w:i/>
          <w:color w:val="010101"/>
          <w:w w:val="105"/>
          <w:sz w:val="16"/>
        </w:rPr>
        <w:t>(n </w:t>
      </w:r>
      <w:r>
        <w:rPr>
          <w:rFonts w:ascii="Arial"/>
          <w:color w:val="010101"/>
          <w:w w:val="105"/>
          <w:sz w:val="28"/>
        </w:rPr>
        <w:t>+</w:t>
      </w:r>
      <w:r>
        <w:rPr>
          <w:rFonts w:ascii="Arial"/>
          <w:color w:val="010101"/>
          <w:spacing w:val="66"/>
          <w:w w:val="105"/>
          <w:sz w:val="28"/>
        </w:rPr>
        <w:t> </w:t>
      </w:r>
      <w:r>
        <w:rPr>
          <w:color w:val="010101"/>
          <w:w w:val="105"/>
          <w:sz w:val="18"/>
        </w:rPr>
        <w:t>1)-th</w:t>
      </w:r>
    </w:p>
    <w:p>
      <w:pPr>
        <w:spacing w:line="191" w:lineRule="exact" w:before="0"/>
        <w:ind w:left="749" w:right="0" w:firstLine="0"/>
        <w:jc w:val="left"/>
        <w:rPr>
          <w:sz w:val="18"/>
        </w:rPr>
      </w:pPr>
      <w:r>
        <w:rPr>
          <w:color w:val="010101"/>
          <w:w w:val="110"/>
          <w:sz w:val="18"/>
        </w:rPr>
        <w:t>year;</w:t>
      </w:r>
    </w:p>
    <w:p>
      <w:pPr>
        <w:spacing w:line="154" w:lineRule="exact" w:before="0"/>
        <w:ind w:left="459" w:right="0" w:firstLine="0"/>
        <w:jc w:val="left"/>
        <w:rPr>
          <w:sz w:val="18"/>
        </w:rPr>
      </w:pPr>
      <w:r>
        <w:rPr>
          <w:color w:val="010101"/>
          <w:w w:val="110"/>
          <w:sz w:val="16"/>
        </w:rPr>
        <w:t>(e)  </w:t>
      </w:r>
      <w:r>
        <w:rPr>
          <w:color w:val="010101"/>
          <w:w w:val="110"/>
          <w:sz w:val="18"/>
        </w:rPr>
        <w:t>the  probability  that  at  le88t  one  of  the  lives  </w:t>
      </w:r>
      <w:r>
        <w:rPr>
          <w:color w:val="010101"/>
          <w:w w:val="110"/>
          <w:sz w:val="17"/>
        </w:rPr>
        <w:t>will  </w:t>
      </w:r>
      <w:r>
        <w:rPr>
          <w:color w:val="010101"/>
          <w:w w:val="110"/>
          <w:sz w:val="18"/>
        </w:rPr>
        <w:t>die  in the</w:t>
      </w:r>
    </w:p>
    <w:p>
      <w:pPr>
        <w:spacing w:line="259" w:lineRule="exact" w:before="0"/>
        <w:ind w:left="760" w:right="0" w:firstLine="0"/>
        <w:jc w:val="left"/>
        <w:rPr>
          <w:sz w:val="18"/>
        </w:rPr>
      </w:pPr>
      <w:r>
        <w:rPr>
          <w:rFonts w:ascii="Arial"/>
          <w:i/>
          <w:color w:val="010101"/>
          <w:w w:val="110"/>
          <w:sz w:val="16"/>
        </w:rPr>
        <w:t>(n </w:t>
      </w:r>
      <w:r>
        <w:rPr>
          <w:rFonts w:ascii="Arial"/>
          <w:color w:val="010101"/>
          <w:w w:val="110"/>
          <w:sz w:val="28"/>
        </w:rPr>
        <w:t>+ </w:t>
      </w:r>
      <w:r>
        <w:rPr>
          <w:color w:val="010101"/>
          <w:w w:val="110"/>
          <w:sz w:val="18"/>
        </w:rPr>
        <w:t>1)-th year.</w:t>
      </w:r>
    </w:p>
    <w:p>
      <w:pPr>
        <w:pStyle w:val="ListParagraph"/>
        <w:numPr>
          <w:ilvl w:val="0"/>
          <w:numId w:val="94"/>
        </w:numPr>
        <w:tabs>
          <w:tab w:pos="492" w:val="left" w:leader="none"/>
        </w:tabs>
        <w:spacing w:line="189" w:lineRule="exact" w:before="0" w:after="0"/>
        <w:ind w:left="491" w:right="0" w:hanging="212"/>
        <w:jc w:val="left"/>
        <w:rPr>
          <w:color w:val="010101"/>
          <w:sz w:val="17"/>
        </w:rPr>
      </w:pPr>
      <w:r>
        <w:rPr>
          <w:color w:val="010101"/>
          <w:w w:val="105"/>
          <w:sz w:val="18"/>
        </w:rPr>
        <w:t>Show that the probability  that  </w:t>
      </w:r>
      <w:r>
        <w:rPr>
          <w:rFonts w:ascii="Arial"/>
          <w:color w:val="010101"/>
          <w:w w:val="105"/>
          <w:sz w:val="15"/>
        </w:rPr>
        <w:t>(x) </w:t>
      </w:r>
      <w:r>
        <w:rPr>
          <w:color w:val="010101"/>
          <w:w w:val="105"/>
          <w:sz w:val="18"/>
        </w:rPr>
        <w:t>survives </w:t>
      </w:r>
      <w:r>
        <w:rPr>
          <w:rFonts w:ascii="Arial"/>
          <w:i/>
          <w:color w:val="010101"/>
          <w:sz w:val="16"/>
        </w:rPr>
        <w:t>-n </w:t>
      </w:r>
      <w:r>
        <w:rPr>
          <w:color w:val="010101"/>
          <w:w w:val="105"/>
          <w:sz w:val="18"/>
        </w:rPr>
        <w:t>years and  </w:t>
      </w:r>
      <w:r>
        <w:rPr>
          <w:color w:val="010101"/>
          <w:sz w:val="17"/>
        </w:rPr>
        <w:t>(11) </w:t>
      </w:r>
      <w:r>
        <w:rPr>
          <w:color w:val="010101"/>
          <w:spacing w:val="38"/>
          <w:sz w:val="17"/>
        </w:rPr>
        <w:t> </w:t>
      </w:r>
      <w:r>
        <w:rPr>
          <w:color w:val="010101"/>
          <w:w w:val="105"/>
          <w:sz w:val="18"/>
        </w:rPr>
        <w:t>eurvivee</w:t>
      </w:r>
    </w:p>
    <w:p>
      <w:pPr>
        <w:spacing w:line="204" w:lineRule="exact" w:before="0"/>
        <w:ind w:left="122" w:right="0" w:firstLine="0"/>
        <w:jc w:val="left"/>
        <w:rPr>
          <w:sz w:val="18"/>
        </w:rPr>
      </w:pPr>
      <w:r>
        <w:rPr>
          <w:i/>
          <w:color w:val="010101"/>
          <w:w w:val="110"/>
          <w:sz w:val="18"/>
        </w:rPr>
        <w:t>n </w:t>
      </w:r>
      <w:r>
        <w:rPr>
          <w:color w:val="010101"/>
          <w:w w:val="220"/>
          <w:sz w:val="18"/>
        </w:rPr>
        <w:t>-</w:t>
      </w:r>
      <w:r>
        <w:rPr>
          <w:color w:val="010101"/>
          <w:spacing w:val="-53"/>
          <w:w w:val="220"/>
          <w:sz w:val="18"/>
        </w:rPr>
        <w:t> </w:t>
      </w:r>
      <w:r>
        <w:rPr>
          <w:color w:val="010101"/>
          <w:w w:val="110"/>
          <w:sz w:val="17"/>
        </w:rPr>
        <w:t>1 </w:t>
      </w:r>
      <w:r>
        <w:rPr>
          <w:color w:val="010101"/>
          <w:w w:val="110"/>
          <w:sz w:val="18"/>
        </w:rPr>
        <w:t>years may </w:t>
      </w:r>
      <w:r>
        <w:rPr>
          <w:rFonts w:ascii="Arial"/>
          <w:color w:val="010101"/>
          <w:w w:val="110"/>
          <w:sz w:val="16"/>
        </w:rPr>
        <w:t>be </w:t>
      </w:r>
      <w:r>
        <w:rPr>
          <w:color w:val="010101"/>
          <w:w w:val="110"/>
          <w:sz w:val="18"/>
        </w:rPr>
        <w:t>expressed either 88</w:t>
      </w:r>
    </w:p>
    <w:p>
      <w:pPr>
        <w:pStyle w:val="BodyText"/>
        <w:spacing w:before="9"/>
      </w:pPr>
    </w:p>
    <w:p>
      <w:pPr>
        <w:tabs>
          <w:tab w:pos="3256" w:val="left" w:leader="none"/>
        </w:tabs>
        <w:spacing w:before="0"/>
        <w:ind w:left="2565" w:right="0" w:firstLine="0"/>
        <w:jc w:val="left"/>
        <w:rPr>
          <w:sz w:val="18"/>
        </w:rPr>
      </w:pPr>
      <w:r>
        <w:rPr>
          <w:color w:val="010101"/>
          <w:w w:val="105"/>
          <w:sz w:val="18"/>
        </w:rPr>
        <w:t>or</w:t>
      </w:r>
      <w:r>
        <w:rPr>
          <w:color w:val="010101"/>
          <w:spacing w:val="9"/>
          <w:w w:val="105"/>
          <w:sz w:val="18"/>
        </w:rPr>
        <w:t> </w:t>
      </w:r>
      <w:r>
        <w:rPr>
          <w:color w:val="010101"/>
          <w:w w:val="105"/>
          <w:sz w:val="18"/>
        </w:rPr>
        <w:t>ae</w:t>
        <w:tab/>
      </w:r>
      <w:r>
        <w:rPr>
          <w:color w:val="010101"/>
          <w:position w:val="-4"/>
          <w:sz w:val="18"/>
        </w:rPr>
        <w:drawing>
          <wp:inline distT="0" distB="0" distL="0" distR="0">
            <wp:extent cx="576071" cy="91439"/>
            <wp:effectExtent l="0" t="0" r="0" b="0"/>
            <wp:docPr id="433" name="image222.png" descr=""/>
            <wp:cNvGraphicFramePr>
              <a:graphicFrameLocks noChangeAspect="1"/>
            </wp:cNvGraphicFramePr>
            <a:graphic>
              <a:graphicData uri="http://schemas.openxmlformats.org/drawingml/2006/picture">
                <pic:pic>
                  <pic:nvPicPr>
                    <pic:cNvPr id="434" name="image222.png"/>
                    <pic:cNvPicPr/>
                  </pic:nvPicPr>
                  <pic:blipFill>
                    <a:blip r:embed="rId226" cstate="print"/>
                    <a:stretch>
                      <a:fillRect/>
                    </a:stretch>
                  </pic:blipFill>
                  <pic:spPr>
                    <a:xfrm>
                      <a:off x="0" y="0"/>
                      <a:ext cx="576071" cy="91439"/>
                    </a:xfrm>
                    <a:prstGeom prst="rect">
                      <a:avLst/>
                    </a:prstGeom>
                  </pic:spPr>
                </pic:pic>
              </a:graphicData>
            </a:graphic>
          </wp:inline>
        </w:drawing>
      </w:r>
      <w:r>
        <w:rPr>
          <w:color w:val="010101"/>
          <w:position w:val="-4"/>
          <w:sz w:val="18"/>
        </w:rPr>
      </w:r>
    </w:p>
    <w:p>
      <w:pPr>
        <w:pStyle w:val="BodyText"/>
        <w:spacing w:before="11"/>
        <w:rPr>
          <w:sz w:val="23"/>
        </w:rPr>
      </w:pPr>
    </w:p>
    <w:p>
      <w:pPr>
        <w:pStyle w:val="ListParagraph"/>
        <w:numPr>
          <w:ilvl w:val="0"/>
          <w:numId w:val="94"/>
        </w:numPr>
        <w:tabs>
          <w:tab w:pos="488" w:val="left" w:leader="none"/>
        </w:tabs>
        <w:spacing w:line="198" w:lineRule="exact" w:before="0" w:after="0"/>
        <w:ind w:left="107" w:right="153" w:firstLine="165"/>
        <w:jc w:val="left"/>
        <w:rPr>
          <w:color w:val="010101"/>
          <w:sz w:val="16"/>
        </w:rPr>
      </w:pPr>
      <w:r>
        <w:rPr>
          <w:color w:val="010101"/>
          <w:w w:val="105"/>
          <w:sz w:val="18"/>
        </w:rPr>
        <w:t>Show that the probability that two lives </w:t>
      </w:r>
      <w:r>
        <w:rPr>
          <w:color w:val="010101"/>
          <w:w w:val="105"/>
          <w:sz w:val="16"/>
        </w:rPr>
        <w:t>(30) </w:t>
      </w:r>
      <w:r>
        <w:rPr>
          <w:color w:val="010101"/>
          <w:w w:val="105"/>
          <w:sz w:val="18"/>
        </w:rPr>
        <w:t>and </w:t>
      </w:r>
      <w:r>
        <w:rPr>
          <w:color w:val="010101"/>
          <w:w w:val="105"/>
          <w:sz w:val="16"/>
        </w:rPr>
        <w:t>(40) </w:t>
      </w:r>
      <w:r>
        <w:rPr>
          <w:color w:val="010101"/>
          <w:w w:val="105"/>
          <w:sz w:val="17"/>
        </w:rPr>
        <w:t>will </w:t>
      </w:r>
      <w:r>
        <w:rPr>
          <w:color w:val="010101"/>
          <w:w w:val="105"/>
          <w:sz w:val="18"/>
        </w:rPr>
        <w:t>die at the same age </w:t>
      </w:r>
      <w:r>
        <w:rPr>
          <w:color w:val="010101"/>
          <w:spacing w:val="-9"/>
          <w:w w:val="105"/>
          <w:sz w:val="18"/>
        </w:rPr>
        <w:t>188t </w:t>
      </w:r>
      <w:r>
        <w:rPr>
          <w:color w:val="010101"/>
          <w:w w:val="105"/>
          <w:sz w:val="18"/>
        </w:rPr>
        <w:t>birthday can </w:t>
      </w:r>
      <w:r>
        <w:rPr>
          <w:color w:val="010101"/>
          <w:w w:val="105"/>
          <w:sz w:val="17"/>
        </w:rPr>
        <w:t>be </w:t>
      </w:r>
      <w:r>
        <w:rPr>
          <w:color w:val="010101"/>
          <w:w w:val="105"/>
          <w:sz w:val="18"/>
        </w:rPr>
        <w:t>expressed  </w:t>
      </w:r>
      <w:r>
        <w:rPr>
          <w:color w:val="010101"/>
          <w:spacing w:val="10"/>
          <w:w w:val="105"/>
          <w:sz w:val="18"/>
        </w:rPr>
        <w:t> </w:t>
      </w:r>
      <w:r>
        <w:rPr>
          <w:color w:val="010101"/>
          <w:w w:val="105"/>
          <w:sz w:val="18"/>
        </w:rPr>
        <w:t>88</w:t>
      </w:r>
    </w:p>
    <w:p>
      <w:pPr>
        <w:spacing w:before="71"/>
        <w:ind w:left="742" w:right="0" w:firstLine="0"/>
        <w:jc w:val="left"/>
        <w:rPr>
          <w:sz w:val="16"/>
        </w:rPr>
      </w:pPr>
      <w:r>
        <w:rPr>
          <w:color w:val="010101"/>
          <w:w w:val="105"/>
          <w:sz w:val="16"/>
        </w:rPr>
        <w:t>10Pae(l </w:t>
      </w:r>
      <w:r>
        <w:rPr>
          <w:color w:val="010101"/>
          <w:w w:val="105"/>
          <w:sz w:val="24"/>
        </w:rPr>
        <w:t>+ </w:t>
      </w:r>
      <w:r>
        <w:rPr>
          <w:color w:val="010101"/>
          <w:w w:val="105"/>
          <w:sz w:val="16"/>
        </w:rPr>
        <w:t>e,o </w:t>
      </w:r>
      <w:r>
        <w:rPr>
          <w:color w:val="1A1A1A"/>
          <w:spacing w:val="-5"/>
          <w:w w:val="105"/>
          <w:sz w:val="16"/>
        </w:rPr>
        <w:t>:</w:t>
      </w:r>
      <w:r>
        <w:rPr>
          <w:color w:val="010101"/>
          <w:spacing w:val="-5"/>
          <w:w w:val="105"/>
          <w:sz w:val="16"/>
        </w:rPr>
        <w:t>co) </w:t>
      </w:r>
      <w:r>
        <w:rPr>
          <w:color w:val="010101"/>
          <w:w w:val="260"/>
          <w:sz w:val="16"/>
        </w:rPr>
        <w:t>-</w:t>
      </w:r>
      <w:r>
        <w:rPr>
          <w:color w:val="010101"/>
          <w:spacing w:val="-73"/>
          <w:w w:val="260"/>
          <w:sz w:val="16"/>
        </w:rPr>
        <w:t> </w:t>
      </w:r>
      <w:r>
        <w:rPr>
          <w:rFonts w:ascii="Arial" w:hAnsi="Arial"/>
          <w:color w:val="010101"/>
          <w:w w:val="105"/>
          <w:sz w:val="16"/>
        </w:rPr>
        <w:t>2 </w:t>
      </w:r>
      <w:r>
        <w:rPr>
          <w:color w:val="010101"/>
          <w:w w:val="105"/>
          <w:sz w:val="16"/>
        </w:rPr>
        <w:t>11P1o(l </w:t>
      </w:r>
      <w:r>
        <w:rPr>
          <w:color w:val="010101"/>
          <w:w w:val="105"/>
          <w:sz w:val="24"/>
        </w:rPr>
        <w:t>+ </w:t>
      </w:r>
      <w:r>
        <w:rPr>
          <w:color w:val="010101"/>
          <w:w w:val="105"/>
          <w:sz w:val="16"/>
        </w:rPr>
        <w:t>eco:,1) </w:t>
      </w:r>
      <w:r>
        <w:rPr>
          <w:color w:val="010101"/>
          <w:w w:val="105"/>
          <w:sz w:val="24"/>
        </w:rPr>
        <w:t>+ </w:t>
      </w:r>
      <w:r>
        <w:rPr>
          <w:color w:val="010101"/>
          <w:w w:val="105"/>
          <w:sz w:val="16"/>
        </w:rPr>
        <w:t>p,0·11P1o{l </w:t>
      </w:r>
      <w:r>
        <w:rPr>
          <w:color w:val="010101"/>
          <w:w w:val="105"/>
          <w:sz w:val="24"/>
        </w:rPr>
        <w:t>+ </w:t>
      </w:r>
      <w:r>
        <w:rPr>
          <w:color w:val="010101"/>
          <w:w w:val="105"/>
          <w:sz w:val="16"/>
        </w:rPr>
        <w:t>e,1:0),</w:t>
      </w:r>
    </w:p>
    <w:p>
      <w:pPr>
        <w:pStyle w:val="ListParagraph"/>
        <w:numPr>
          <w:ilvl w:val="0"/>
          <w:numId w:val="95"/>
        </w:numPr>
        <w:tabs>
          <w:tab w:pos="295" w:val="left" w:leader="none"/>
        </w:tabs>
        <w:spacing w:line="240" w:lineRule="auto" w:before="181" w:after="0"/>
        <w:ind w:left="294" w:right="0" w:hanging="183"/>
        <w:jc w:val="left"/>
        <w:rPr>
          <w:b/>
          <w:sz w:val="17"/>
        </w:rPr>
      </w:pPr>
      <w:r>
        <w:rPr>
          <w:b/>
          <w:color w:val="010101"/>
          <w:w w:val="120"/>
          <w:sz w:val="17"/>
        </w:rPr>
        <w:t>Joint-life mortality  and commutation</w:t>
      </w:r>
      <w:r>
        <w:rPr>
          <w:b/>
          <w:color w:val="010101"/>
          <w:spacing w:val="33"/>
          <w:w w:val="120"/>
          <w:sz w:val="17"/>
        </w:rPr>
        <w:t> </w:t>
      </w:r>
      <w:r>
        <w:rPr>
          <w:b/>
          <w:color w:val="010101"/>
          <w:w w:val="120"/>
          <w:sz w:val="17"/>
        </w:rPr>
        <w:t>functions</w:t>
      </w:r>
    </w:p>
    <w:p>
      <w:pPr>
        <w:pStyle w:val="ListParagraph"/>
        <w:numPr>
          <w:ilvl w:val="1"/>
          <w:numId w:val="95"/>
        </w:numPr>
        <w:tabs>
          <w:tab w:pos="481" w:val="left" w:leader="none"/>
        </w:tabs>
        <w:spacing w:line="198" w:lineRule="exact" w:before="85" w:after="0"/>
        <w:ind w:left="118" w:right="152" w:firstLine="154"/>
        <w:jc w:val="left"/>
        <w:rPr>
          <w:color w:val="010101"/>
          <w:sz w:val="17"/>
        </w:rPr>
      </w:pPr>
      <w:r>
        <w:rPr>
          <w:color w:val="010101"/>
          <w:w w:val="110"/>
          <w:sz w:val="18"/>
        </w:rPr>
        <w:t>Since </w:t>
      </w:r>
      <w:r>
        <w:rPr>
          <w:i/>
          <w:color w:val="010101"/>
          <w:w w:val="110"/>
          <w:sz w:val="16"/>
        </w:rPr>
        <w:t>lar </w:t>
      </w:r>
      <w:r>
        <w:rPr>
          <w:color w:val="010101"/>
          <w:w w:val="110"/>
          <w:sz w:val="19"/>
        </w:rPr>
        <w:t>= </w:t>
      </w:r>
      <w:r>
        <w:rPr>
          <w:i/>
          <w:color w:val="010101"/>
          <w:spacing w:val="-3"/>
          <w:w w:val="110"/>
          <w:sz w:val="16"/>
        </w:rPr>
        <w:t>kl.l</w:t>
      </w:r>
      <w:r>
        <w:rPr>
          <w:rFonts w:ascii="Arial"/>
          <w:i/>
          <w:color w:val="010101"/>
          <w:spacing w:val="-3"/>
          <w:w w:val="110"/>
          <w:position w:val="-1"/>
          <w:sz w:val="9"/>
        </w:rPr>
        <w:t>11 </w:t>
      </w:r>
      <w:r>
        <w:rPr>
          <w:rFonts w:ascii="Arial"/>
          <w:color w:val="010101"/>
          <w:w w:val="270"/>
          <w:sz w:val="9"/>
        </w:rPr>
        <w:t>, </w:t>
      </w:r>
      <w:r>
        <w:rPr>
          <w:rFonts w:ascii="Arial"/>
          <w:color w:val="010101"/>
          <w:w w:val="110"/>
          <w:sz w:val="15"/>
        </w:rPr>
        <w:t>a </w:t>
      </w:r>
      <w:r>
        <w:rPr>
          <w:color w:val="010101"/>
          <w:w w:val="110"/>
          <w:sz w:val="18"/>
        </w:rPr>
        <w:t>student assumes that the following relations are correct:</w:t>
      </w:r>
    </w:p>
    <w:p>
      <w:pPr>
        <w:pStyle w:val="ListParagraph"/>
        <w:numPr>
          <w:ilvl w:val="2"/>
          <w:numId w:val="95"/>
        </w:numPr>
        <w:tabs>
          <w:tab w:pos="743" w:val="left" w:leader="none"/>
        </w:tabs>
        <w:spacing w:line="185" w:lineRule="exact" w:before="0" w:after="0"/>
        <w:ind w:left="742" w:right="0" w:hanging="294"/>
        <w:jc w:val="left"/>
        <w:rPr>
          <w:i/>
          <w:sz w:val="22"/>
        </w:rPr>
      </w:pPr>
      <w:r>
        <w:rPr>
          <w:color w:val="010101"/>
          <w:w w:val="90"/>
          <w:sz w:val="20"/>
        </w:rPr>
        <w:t>dar </w:t>
      </w:r>
      <w:r>
        <w:rPr>
          <w:color w:val="010101"/>
          <w:w w:val="90"/>
          <w:sz w:val="23"/>
        </w:rPr>
        <w:t>=</w:t>
      </w:r>
      <w:r>
        <w:rPr>
          <w:color w:val="010101"/>
          <w:spacing w:val="3"/>
          <w:w w:val="90"/>
          <w:sz w:val="23"/>
        </w:rPr>
        <w:t> </w:t>
      </w:r>
      <w:r>
        <w:rPr>
          <w:i/>
          <w:color w:val="010101"/>
          <w:w w:val="90"/>
          <w:sz w:val="22"/>
        </w:rPr>
        <w:t>kdst4</w:t>
      </w:r>
    </w:p>
    <w:p>
      <w:pPr>
        <w:spacing w:line="228" w:lineRule="exact" w:before="0"/>
        <w:ind w:left="448" w:right="0" w:firstLine="0"/>
        <w:jc w:val="left"/>
        <w:rPr>
          <w:i/>
          <w:sz w:val="15"/>
        </w:rPr>
      </w:pPr>
      <w:r>
        <w:rPr>
          <w:color w:val="010101"/>
          <w:w w:val="115"/>
          <w:sz w:val="16"/>
        </w:rPr>
        <w:t>(b)</w:t>
      </w:r>
      <w:r>
        <w:rPr>
          <w:color w:val="010101"/>
          <w:spacing w:val="19"/>
          <w:sz w:val="16"/>
        </w:rPr>
        <w:t> </w:t>
      </w:r>
      <w:r>
        <w:rPr>
          <w:color w:val="010101"/>
          <w:w w:val="237"/>
          <w:sz w:val="16"/>
        </w:rPr>
        <w:t>,</w:t>
      </w:r>
      <w:r>
        <w:rPr>
          <w:color w:val="010101"/>
          <w:spacing w:val="-39"/>
          <w:w w:val="237"/>
          <w:sz w:val="16"/>
        </w:rPr>
        <w:t>.</w:t>
      </w:r>
      <w:r>
        <w:rPr>
          <w:color w:val="010101"/>
          <w:spacing w:val="15"/>
          <w:w w:val="330"/>
          <w:sz w:val="16"/>
        </w:rPr>
        <w:t>.</w:t>
      </w:r>
      <w:r>
        <w:rPr>
          <w:color w:val="010101"/>
          <w:w w:val="89"/>
          <w:sz w:val="23"/>
        </w:rPr>
        <w:t>=</w:t>
      </w:r>
      <w:r>
        <w:rPr>
          <w:color w:val="010101"/>
          <w:spacing w:val="26"/>
          <w:sz w:val="23"/>
        </w:rPr>
        <w:t> </w:t>
      </w:r>
      <w:r>
        <w:rPr>
          <w:i/>
          <w:color w:val="010101"/>
          <w:w w:val="125"/>
          <w:sz w:val="15"/>
        </w:rPr>
        <w:t>kµ</w:t>
      </w:r>
      <w:r>
        <w:rPr>
          <w:i/>
          <w:color w:val="010101"/>
          <w:spacing w:val="-18"/>
          <w:w w:val="125"/>
          <w:sz w:val="15"/>
        </w:rPr>
        <w:t>.</w:t>
      </w:r>
      <w:r>
        <w:rPr>
          <w:i/>
          <w:color w:val="010101"/>
          <w:w w:val="92"/>
          <w:sz w:val="15"/>
        </w:rPr>
        <w:t>p.,</w:t>
      </w:r>
    </w:p>
    <w:p>
      <w:pPr>
        <w:spacing w:line="156" w:lineRule="exact" w:before="7"/>
        <w:ind w:left="455" w:right="0" w:firstLine="0"/>
        <w:jc w:val="left"/>
        <w:rPr>
          <w:i/>
          <w:sz w:val="17"/>
        </w:rPr>
      </w:pPr>
      <w:r>
        <w:rPr>
          <w:color w:val="010101"/>
          <w:sz w:val="16"/>
        </w:rPr>
        <w:t>(e) Psr </w:t>
      </w:r>
      <w:r>
        <w:rPr>
          <w:rFonts w:ascii="Arial"/>
          <w:color w:val="010101"/>
          <w:w w:val="85"/>
          <w:sz w:val="15"/>
        </w:rPr>
        <w:t>=-= </w:t>
      </w:r>
      <w:r>
        <w:rPr>
          <w:i/>
          <w:color w:val="010101"/>
          <w:w w:val="85"/>
          <w:sz w:val="17"/>
        </w:rPr>
        <w:t>PsP11</w:t>
      </w:r>
    </w:p>
    <w:p>
      <w:pPr>
        <w:spacing w:line="236" w:lineRule="exact" w:before="0"/>
        <w:ind w:left="448" w:right="0" w:firstLine="0"/>
        <w:jc w:val="left"/>
        <w:rPr>
          <w:rFonts w:ascii="Arial"/>
          <w:i/>
          <w:sz w:val="15"/>
        </w:rPr>
      </w:pPr>
      <w:r>
        <w:rPr>
          <w:color w:val="010101"/>
          <w:sz w:val="16"/>
        </w:rPr>
        <w:t>(d) </w:t>
      </w:r>
      <w:r>
        <w:rPr>
          <w:i/>
          <w:color w:val="010101"/>
          <w:w w:val="85"/>
          <w:sz w:val="25"/>
        </w:rPr>
        <w:t>q,.,. </w:t>
      </w:r>
      <w:r>
        <w:rPr>
          <w:color w:val="010101"/>
          <w:sz w:val="21"/>
        </w:rPr>
        <w:t>= </w:t>
      </w:r>
      <w:r>
        <w:rPr>
          <w:rFonts w:ascii="Arial"/>
          <w:i/>
          <w:color w:val="010101"/>
          <w:sz w:val="15"/>
        </w:rPr>
        <w:t>q.ql/</w:t>
      </w:r>
    </w:p>
    <w:p>
      <w:pPr>
        <w:spacing w:line="192" w:lineRule="exact" w:before="0"/>
        <w:ind w:left="100" w:right="0" w:firstLine="0"/>
        <w:jc w:val="left"/>
        <w:rPr>
          <w:sz w:val="18"/>
        </w:rPr>
      </w:pPr>
      <w:r>
        <w:rPr>
          <w:color w:val="010101"/>
          <w:w w:val="105"/>
          <w:sz w:val="18"/>
        </w:rPr>
        <w:t>Which of these are incorrect? Give the correct expressions.</w:t>
      </w:r>
    </w:p>
    <w:p>
      <w:pPr>
        <w:pStyle w:val="ListParagraph"/>
        <w:numPr>
          <w:ilvl w:val="1"/>
          <w:numId w:val="95"/>
        </w:numPr>
        <w:tabs>
          <w:tab w:pos="488" w:val="left" w:leader="none"/>
          <w:tab w:pos="1305" w:val="left" w:leader="none"/>
        </w:tabs>
        <w:spacing w:line="196" w:lineRule="auto" w:before="27" w:after="0"/>
        <w:ind w:left="111" w:right="160" w:firstLine="158"/>
        <w:jc w:val="left"/>
        <w:rPr>
          <w:color w:val="010101"/>
          <w:sz w:val="18"/>
        </w:rPr>
      </w:pPr>
      <w:r>
        <w:rPr>
          <w:color w:val="010101"/>
          <w:w w:val="105"/>
          <w:sz w:val="18"/>
        </w:rPr>
        <w:t>lf a special mortality table </w:t>
      </w:r>
      <w:r>
        <w:rPr>
          <w:rFonts w:ascii="Arial" w:hAnsi="Arial"/>
          <w:color w:val="010101"/>
          <w:w w:val="105"/>
          <w:sz w:val="17"/>
        </w:rPr>
        <w:t>is </w:t>
      </w:r>
      <w:r>
        <w:rPr>
          <w:color w:val="010101"/>
          <w:w w:val="105"/>
          <w:sz w:val="18"/>
        </w:rPr>
        <w:t>derived from a standard table by the relationship</w:t>
        <w:tab/>
      </w:r>
      <w:r>
        <w:rPr>
          <w:color w:val="010101"/>
          <w:w w:val="105"/>
          <w:sz w:val="19"/>
        </w:rPr>
        <w:t>= </w:t>
      </w:r>
      <w:r>
        <w:rPr>
          <w:i/>
          <w:color w:val="010101"/>
          <w:sz w:val="16"/>
        </w:rPr>
        <w:t>kp.z  </w:t>
      </w:r>
      <w:r>
        <w:rPr>
          <w:i/>
          <w:color w:val="010101"/>
          <w:w w:val="105"/>
          <w:sz w:val="16"/>
        </w:rPr>
        <w:t>(k </w:t>
      </w:r>
      <w:r>
        <w:rPr>
          <w:color w:val="010101"/>
          <w:w w:val="105"/>
          <w:sz w:val="18"/>
        </w:rPr>
        <w:t>integral), show that </w:t>
      </w:r>
      <w:r>
        <w:rPr>
          <w:rFonts w:ascii="Arial" w:hAnsi="Arial"/>
          <w:i/>
          <w:color w:val="010101"/>
          <w:spacing w:val="-11"/>
          <w:w w:val="105"/>
          <w:sz w:val="22"/>
        </w:rPr>
        <w:t>,p; </w:t>
      </w:r>
      <w:r>
        <w:rPr>
          <w:rFonts w:ascii="Arial" w:hAnsi="Arial"/>
          <w:color w:val="010101"/>
          <w:sz w:val="15"/>
        </w:rPr>
        <w:t>==  </w:t>
      </w:r>
      <w:r>
        <w:rPr>
          <w:color w:val="010101"/>
          <w:spacing w:val="-3"/>
          <w:w w:val="105"/>
          <w:sz w:val="16"/>
        </w:rPr>
        <w:t>sPn···&lt;l&gt;  </w:t>
      </w:r>
      <w:r>
        <w:rPr>
          <w:color w:val="010101"/>
          <w:spacing w:val="7"/>
          <w:w w:val="105"/>
          <w:sz w:val="16"/>
        </w:rPr>
        <w:t> </w:t>
      </w:r>
      <w:r>
        <w:rPr>
          <w:color w:val="010101"/>
          <w:w w:val="135"/>
          <w:sz w:val="16"/>
        </w:rPr>
        <w:t>.</w:t>
      </w:r>
    </w:p>
    <w:p>
      <w:pPr>
        <w:pStyle w:val="ListParagraph"/>
        <w:numPr>
          <w:ilvl w:val="1"/>
          <w:numId w:val="95"/>
        </w:numPr>
        <w:tabs>
          <w:tab w:pos="488" w:val="left" w:leader="none"/>
        </w:tabs>
        <w:spacing w:line="186" w:lineRule="exact" w:before="0" w:after="0"/>
        <w:ind w:left="488" w:right="0" w:hanging="216"/>
        <w:jc w:val="left"/>
        <w:rPr>
          <w:color w:val="010101"/>
          <w:sz w:val="17"/>
        </w:rPr>
      </w:pPr>
      <w:r>
        <w:rPr>
          <w:color w:val="010101"/>
          <w:w w:val="110"/>
          <w:sz w:val="18"/>
        </w:rPr>
        <w:t>Show</w:t>
      </w:r>
      <w:r>
        <w:rPr>
          <w:color w:val="010101"/>
          <w:spacing w:val="-13"/>
          <w:w w:val="110"/>
          <w:sz w:val="18"/>
        </w:rPr>
        <w:t> </w:t>
      </w:r>
      <w:r>
        <w:rPr>
          <w:color w:val="010101"/>
          <w:w w:val="110"/>
          <w:sz w:val="18"/>
        </w:rPr>
        <w:t>that</w:t>
      </w:r>
    </w:p>
    <w:p>
      <w:pPr>
        <w:spacing w:line="69" w:lineRule="exact" w:before="0"/>
        <w:ind w:left="98" w:right="2024" w:firstLine="0"/>
        <w:jc w:val="center"/>
        <w:rPr>
          <w:sz w:val="11"/>
        </w:rPr>
      </w:pPr>
      <w:r>
        <w:rPr>
          <w:color w:val="010101"/>
          <w:w w:val="105"/>
          <w:sz w:val="11"/>
        </w:rPr>
        <w:t>a+;,</w:t>
      </w:r>
    </w:p>
    <w:p>
      <w:pPr>
        <w:spacing w:line="233" w:lineRule="exact" w:before="0"/>
        <w:ind w:left="448" w:right="0" w:firstLine="0"/>
        <w:jc w:val="left"/>
        <w:rPr>
          <w:i/>
          <w:sz w:val="10"/>
        </w:rPr>
      </w:pPr>
      <w:r>
        <w:rPr>
          <w:rFonts w:ascii="Arial" w:hAnsi="Arial"/>
          <w:color w:val="010101"/>
          <w:w w:val="105"/>
          <w:sz w:val="16"/>
        </w:rPr>
        <w:t>(</w:t>
      </w:r>
      <w:r>
        <w:rPr>
          <w:rFonts w:ascii="Arial" w:hAnsi="Arial"/>
          <w:color w:val="010101"/>
          <w:w w:val="105"/>
          <w:sz w:val="16"/>
        </w:rPr>
        <w:t>a</w:t>
      </w:r>
      <w:r>
        <w:rPr>
          <w:rFonts w:ascii="Arial" w:hAnsi="Arial"/>
          <w:color w:val="010101"/>
          <w:w w:val="105"/>
          <w:sz w:val="16"/>
        </w:rPr>
        <w:t>)</w:t>
      </w:r>
      <w:r>
        <w:rPr>
          <w:rFonts w:ascii="Arial" w:hAnsi="Arial"/>
          <w:color w:val="010101"/>
          <w:sz w:val="16"/>
        </w:rPr>
        <w:t> </w:t>
      </w:r>
      <w:r>
        <w:rPr>
          <w:rFonts w:ascii="Arial" w:hAnsi="Arial"/>
          <w:color w:val="010101"/>
          <w:spacing w:val="-10"/>
          <w:sz w:val="16"/>
        </w:rPr>
        <w:t> </w:t>
      </w:r>
      <w:r>
        <w:rPr>
          <w:rFonts w:ascii="Arial" w:hAnsi="Arial"/>
          <w:i/>
          <w:color w:val="010101"/>
          <w:w w:val="89"/>
          <w:sz w:val="17"/>
        </w:rPr>
        <w:t>D</w:t>
      </w:r>
      <w:r>
        <w:rPr>
          <w:rFonts w:ascii="Arial" w:hAnsi="Arial"/>
          <w:i/>
          <w:color w:val="010101"/>
          <w:spacing w:val="10"/>
          <w:w w:val="89"/>
          <w:sz w:val="17"/>
        </w:rPr>
        <w:t>z</w:t>
      </w:r>
      <w:r>
        <w:rPr>
          <w:i/>
          <w:color w:val="010101"/>
          <w:w w:val="65"/>
          <w:position w:val="-2"/>
          <w:sz w:val="10"/>
        </w:rPr>
        <w:t>11</w:t>
      </w:r>
      <w:r>
        <w:rPr>
          <w:i/>
          <w:color w:val="010101"/>
          <w:position w:val="-2"/>
          <w:sz w:val="10"/>
        </w:rPr>
        <w:t>  </w:t>
      </w:r>
      <w:r>
        <w:rPr>
          <w:i/>
          <w:color w:val="010101"/>
          <w:spacing w:val="7"/>
          <w:position w:val="-2"/>
          <w:sz w:val="10"/>
        </w:rPr>
        <w:t> </w:t>
      </w:r>
      <w:r>
        <w:rPr>
          <w:color w:val="010101"/>
          <w:w w:val="105"/>
          <w:sz w:val="19"/>
        </w:rPr>
        <w:t>=</w:t>
      </w:r>
      <w:r>
        <w:rPr>
          <w:color w:val="010101"/>
          <w:sz w:val="19"/>
        </w:rPr>
        <w:t> </w:t>
      </w:r>
      <w:r>
        <w:rPr>
          <w:color w:val="010101"/>
          <w:spacing w:val="-8"/>
          <w:sz w:val="19"/>
        </w:rPr>
        <w:t> </w:t>
      </w:r>
      <w:r>
        <w:rPr>
          <w:color w:val="010101"/>
          <w:w w:val="86"/>
          <w:sz w:val="18"/>
        </w:rPr>
        <w:t>k</w:t>
      </w:r>
      <w:r>
        <w:rPr>
          <w:color w:val="010101"/>
          <w:spacing w:val="-15"/>
          <w:sz w:val="18"/>
        </w:rPr>
        <w:t> </w:t>
      </w:r>
      <w:r>
        <w:rPr>
          <w:color w:val="010101"/>
          <w:w w:val="117"/>
          <w:sz w:val="18"/>
        </w:rPr>
        <w:t>(</w:t>
      </w:r>
      <w:r>
        <w:rPr>
          <w:color w:val="010101"/>
          <w:w w:val="117"/>
          <w:sz w:val="18"/>
        </w:rPr>
        <w:t>l</w:t>
      </w:r>
      <w:r>
        <w:rPr>
          <w:color w:val="010101"/>
          <w:spacing w:val="19"/>
          <w:sz w:val="18"/>
        </w:rPr>
        <w:t> </w:t>
      </w:r>
      <w:r>
        <w:rPr>
          <w:rFonts w:ascii="Arial" w:hAnsi="Arial"/>
          <w:color w:val="010101"/>
          <w:w w:val="104"/>
          <w:sz w:val="27"/>
        </w:rPr>
        <w:t>+</w:t>
      </w:r>
      <w:r>
        <w:rPr>
          <w:rFonts w:ascii="Arial" w:hAnsi="Arial"/>
          <w:color w:val="010101"/>
          <w:spacing w:val="-26"/>
          <w:sz w:val="27"/>
        </w:rPr>
        <w:t> </w:t>
      </w:r>
      <w:r>
        <w:rPr>
          <w:rFonts w:ascii="Arial" w:hAnsi="Arial"/>
          <w:i/>
          <w:color w:val="010101"/>
          <w:spacing w:val="22"/>
          <w:w w:val="139"/>
          <w:sz w:val="17"/>
        </w:rPr>
        <w:t>i</w:t>
      </w:r>
      <w:r>
        <w:rPr>
          <w:rFonts w:ascii="Arial" w:hAnsi="Arial"/>
          <w:i/>
          <w:color w:val="010101"/>
          <w:w w:val="221"/>
          <w:sz w:val="17"/>
        </w:rPr>
        <w:t>)</w:t>
      </w:r>
      <w:r>
        <w:rPr>
          <w:rFonts w:ascii="Arial" w:hAnsi="Arial"/>
          <w:i/>
          <w:color w:val="010101"/>
          <w:w w:val="221"/>
          <w:sz w:val="17"/>
        </w:rPr>
        <w:t>•</w:t>
      </w:r>
      <w:r>
        <w:rPr>
          <w:rFonts w:ascii="Arial" w:hAnsi="Arial"/>
          <w:i/>
          <w:color w:val="010101"/>
          <w:w w:val="123"/>
          <w:sz w:val="17"/>
        </w:rPr>
        <w:t>D</w:t>
      </w:r>
      <w:r>
        <w:rPr>
          <w:rFonts w:ascii="Arial" w:hAnsi="Arial"/>
          <w:i/>
          <w:color w:val="010101"/>
          <w:spacing w:val="11"/>
          <w:w w:val="123"/>
          <w:sz w:val="17"/>
        </w:rPr>
        <w:t>.</w:t>
      </w:r>
      <w:r>
        <w:rPr>
          <w:rFonts w:ascii="Arial" w:hAnsi="Arial"/>
          <w:i/>
          <w:color w:val="010101"/>
          <w:w w:val="115"/>
          <w:sz w:val="17"/>
        </w:rPr>
        <w:t>·</w:t>
      </w:r>
      <w:r>
        <w:rPr>
          <w:rFonts w:ascii="Arial" w:hAnsi="Arial"/>
          <w:i/>
          <w:color w:val="010101"/>
          <w:spacing w:val="-22"/>
          <w:w w:val="115"/>
          <w:sz w:val="17"/>
        </w:rPr>
        <w:t>D</w:t>
      </w:r>
      <w:r>
        <w:rPr>
          <w:i/>
          <w:color w:val="010101"/>
          <w:w w:val="65"/>
          <w:position w:val="-2"/>
          <w:sz w:val="10"/>
        </w:rPr>
        <w:t>11</w:t>
      </w:r>
    </w:p>
    <w:p>
      <w:pPr>
        <w:spacing w:line="201" w:lineRule="exact" w:before="0"/>
        <w:ind w:left="448" w:right="0" w:firstLine="0"/>
        <w:jc w:val="left"/>
        <w:rPr>
          <w:sz w:val="11"/>
        </w:rPr>
      </w:pPr>
      <w:r>
        <w:rPr>
          <w:color w:val="010101"/>
          <w:w w:val="113"/>
          <w:sz w:val="16"/>
        </w:rPr>
        <w:t>(b)</w:t>
      </w:r>
      <w:r>
        <w:rPr>
          <w:color w:val="010101"/>
          <w:sz w:val="16"/>
        </w:rPr>
        <w:t> </w:t>
      </w:r>
      <w:r>
        <w:rPr>
          <w:color w:val="010101"/>
          <w:spacing w:val="5"/>
          <w:sz w:val="16"/>
        </w:rPr>
        <w:t> </w:t>
      </w:r>
      <w:r>
        <w:rPr>
          <w:rFonts w:ascii="Arial" w:hAnsi="Arial"/>
          <w:i/>
          <w:color w:val="010101"/>
          <w:spacing w:val="-8"/>
          <w:w w:val="97"/>
          <w:sz w:val="23"/>
        </w:rPr>
        <w:t>c</w:t>
      </w:r>
      <w:r>
        <w:rPr>
          <w:rFonts w:ascii="Arial" w:hAnsi="Arial"/>
          <w:i/>
          <w:color w:val="010101"/>
          <w:w w:val="86"/>
          <w:sz w:val="23"/>
        </w:rPr>
        <w:t>••</w:t>
      </w:r>
      <w:r>
        <w:rPr>
          <w:rFonts w:ascii="Arial" w:hAnsi="Arial"/>
          <w:i/>
          <w:color w:val="010101"/>
          <w:spacing w:val="11"/>
          <w:sz w:val="23"/>
        </w:rPr>
        <w:t> </w:t>
      </w:r>
      <w:r>
        <w:rPr>
          <w:color w:val="010101"/>
          <w:w w:val="91"/>
          <w:sz w:val="21"/>
        </w:rPr>
        <w:t>=</w:t>
      </w:r>
      <w:r>
        <w:rPr>
          <w:color w:val="010101"/>
          <w:sz w:val="21"/>
        </w:rPr>
        <w:t> </w:t>
      </w:r>
      <w:r>
        <w:rPr>
          <w:color w:val="010101"/>
          <w:spacing w:val="-21"/>
          <w:sz w:val="21"/>
        </w:rPr>
        <w:t> </w:t>
      </w:r>
      <w:r>
        <w:rPr>
          <w:i/>
          <w:color w:val="010101"/>
          <w:w w:val="68"/>
          <w:sz w:val="18"/>
        </w:rPr>
        <w:t>tJD,.,,,</w:t>
      </w:r>
      <w:r>
        <w:rPr>
          <w:i/>
          <w:color w:val="010101"/>
          <w:sz w:val="18"/>
        </w:rPr>
        <w:t> </w:t>
      </w:r>
      <w:r>
        <w:rPr>
          <w:i/>
          <w:color w:val="010101"/>
          <w:spacing w:val="-19"/>
          <w:sz w:val="18"/>
        </w:rPr>
        <w:t> </w:t>
      </w:r>
      <w:r>
        <w:rPr>
          <w:color w:val="010101"/>
          <w:w w:val="265"/>
          <w:sz w:val="18"/>
        </w:rPr>
        <w:t>-</w:t>
      </w:r>
      <w:r>
        <w:rPr>
          <w:color w:val="010101"/>
          <w:sz w:val="18"/>
        </w:rPr>
        <w:t> </w:t>
      </w:r>
      <w:r>
        <w:rPr>
          <w:color w:val="010101"/>
          <w:w w:val="132"/>
          <w:sz w:val="12"/>
        </w:rPr>
        <w:t>Ds+1</w:t>
      </w:r>
      <w:r>
        <w:rPr>
          <w:color w:val="010101"/>
          <w:spacing w:val="-1"/>
          <w:w w:val="132"/>
          <w:sz w:val="12"/>
        </w:rPr>
        <w:t>:</w:t>
      </w:r>
      <w:r>
        <w:rPr>
          <w:color w:val="010101"/>
          <w:w w:val="62"/>
          <w:position w:val="-2"/>
          <w:sz w:val="11"/>
        </w:rPr>
        <w:t>1</w:t>
      </w:r>
      <w:r>
        <w:rPr>
          <w:color w:val="010101"/>
          <w:spacing w:val="-4"/>
          <w:w w:val="62"/>
          <w:position w:val="-2"/>
          <w:sz w:val="11"/>
        </w:rPr>
        <w:t>1</w:t>
      </w:r>
      <w:r>
        <w:rPr>
          <w:color w:val="010101"/>
          <w:w w:val="117"/>
          <w:sz w:val="11"/>
        </w:rPr>
        <w:t>+1</w:t>
      </w:r>
    </w:p>
    <w:p>
      <w:pPr>
        <w:spacing w:line="225" w:lineRule="exact" w:before="0"/>
        <w:ind w:left="437" w:right="0" w:firstLine="0"/>
        <w:jc w:val="left"/>
        <w:rPr>
          <w:i/>
          <w:sz w:val="24"/>
        </w:rPr>
      </w:pPr>
      <w:r>
        <w:rPr/>
        <w:pict>
          <v:line style="position:absolute;mso-position-horizontal-relative:page;mso-position-vertical-relative:paragraph;z-index:-719800" from="129.327393pt,9.741515pt" to="131.479793pt,9.741515pt" stroked="true" strokeweight=".538117pt" strokecolor="#000000">
            <w10:wrap type="none"/>
          </v:line>
        </w:pict>
      </w:r>
      <w:r>
        <w:rPr>
          <w:color w:val="010101"/>
          <w:sz w:val="16"/>
        </w:rPr>
        <w:t>(e) </w:t>
      </w:r>
      <w:r>
        <w:rPr>
          <w:rFonts w:ascii="Arial" w:hAnsi="Arial"/>
          <w:i/>
          <w:color w:val="010101"/>
          <w:w w:val="90"/>
          <w:sz w:val="21"/>
        </w:rPr>
        <w:t>D,.,,, </w:t>
      </w:r>
      <w:r>
        <w:rPr>
          <w:color w:val="010101"/>
          <w:sz w:val="23"/>
        </w:rPr>
        <w:t>= </w:t>
      </w:r>
      <w:r>
        <w:rPr>
          <w:rFonts w:ascii="Arial" w:hAnsi="Arial"/>
          <w:i/>
          <w:color w:val="010101"/>
          <w:sz w:val="21"/>
        </w:rPr>
        <w:t>yD..</w:t>
      </w:r>
      <w:r>
        <w:rPr>
          <w:i/>
          <w:color w:val="010101"/>
          <w:sz w:val="24"/>
        </w:rPr>
        <w:t>·D""</w:t>
      </w:r>
    </w:p>
    <w:p>
      <w:pPr>
        <w:pStyle w:val="ListParagraph"/>
        <w:numPr>
          <w:ilvl w:val="1"/>
          <w:numId w:val="95"/>
        </w:numPr>
        <w:tabs>
          <w:tab w:pos="488" w:val="left" w:leader="none"/>
        </w:tabs>
        <w:spacing w:line="165" w:lineRule="exact" w:before="0" w:after="0"/>
        <w:ind w:left="488" w:right="0" w:hanging="216"/>
        <w:jc w:val="left"/>
        <w:rPr>
          <w:color w:val="010101"/>
          <w:sz w:val="18"/>
        </w:rPr>
      </w:pPr>
      <w:r>
        <w:rPr>
          <w:color w:val="010101"/>
          <w:w w:val="110"/>
          <w:sz w:val="18"/>
        </w:rPr>
        <w:t>Find the derivativee with respect to </w:t>
      </w:r>
      <w:r>
        <w:rPr>
          <w:rFonts w:ascii="Arial"/>
          <w:i/>
          <w:color w:val="010101"/>
          <w:w w:val="110"/>
          <w:sz w:val="17"/>
        </w:rPr>
        <w:t>x </w:t>
      </w:r>
      <w:r>
        <w:rPr>
          <w:color w:val="010101"/>
          <w:w w:val="110"/>
          <w:sz w:val="18"/>
        </w:rPr>
        <w:t>of</w:t>
      </w:r>
      <w:r>
        <w:rPr>
          <w:color w:val="010101"/>
          <w:spacing w:val="-20"/>
          <w:w w:val="110"/>
          <w:sz w:val="18"/>
        </w:rPr>
        <w:t> </w:t>
      </w:r>
      <w:r>
        <w:rPr>
          <w:color w:val="010101"/>
          <w:w w:val="135"/>
          <w:sz w:val="18"/>
        </w:rPr>
        <w:t>:</w:t>
      </w:r>
    </w:p>
    <w:p>
      <w:pPr>
        <w:tabs>
          <w:tab w:pos="1635" w:val="left" w:leader="none"/>
        </w:tabs>
        <w:spacing w:line="228" w:lineRule="exact" w:before="0"/>
        <w:ind w:left="448" w:right="0" w:firstLine="0"/>
        <w:jc w:val="left"/>
        <w:rPr>
          <w:rFonts w:ascii="Arial"/>
          <w:sz w:val="18"/>
        </w:rPr>
      </w:pPr>
      <w:r>
        <w:rPr>
          <w:color w:val="010101"/>
          <w:w w:val="110"/>
          <w:sz w:val="18"/>
        </w:rPr>
        <w:t>(a)</w:t>
      </w:r>
      <w:r>
        <w:rPr>
          <w:color w:val="010101"/>
          <w:spacing w:val="-22"/>
          <w:w w:val="110"/>
          <w:sz w:val="18"/>
        </w:rPr>
        <w:t> </w:t>
      </w:r>
      <w:r>
        <w:rPr>
          <w:color w:val="010101"/>
          <w:w w:val="110"/>
          <w:sz w:val="18"/>
        </w:rPr>
        <w:t>log</w:t>
      </w:r>
      <w:r>
        <w:rPr>
          <w:color w:val="010101"/>
          <w:spacing w:val="-23"/>
          <w:w w:val="110"/>
          <w:sz w:val="18"/>
        </w:rPr>
        <w:t> </w:t>
      </w:r>
      <w:r>
        <w:rPr>
          <w:i/>
          <w:color w:val="010101"/>
          <w:w w:val="80"/>
          <w:sz w:val="22"/>
        </w:rPr>
        <w:t>,p,.,,.,</w:t>
        <w:tab/>
      </w:r>
      <w:r>
        <w:rPr>
          <w:rFonts w:ascii="Arial"/>
          <w:color w:val="010101"/>
          <w:w w:val="115"/>
          <w:sz w:val="16"/>
        </w:rPr>
        <w:t>(b)  </w:t>
      </w:r>
      <w:r>
        <w:rPr>
          <w:rFonts w:ascii="Arial"/>
          <w:i/>
          <w:color w:val="010101"/>
          <w:w w:val="115"/>
          <w:sz w:val="18"/>
        </w:rPr>
        <w:t>In</w:t>
      </w:r>
      <w:r>
        <w:rPr>
          <w:rFonts w:ascii="Arial"/>
          <w:i/>
          <w:color w:val="010101"/>
          <w:spacing w:val="18"/>
          <w:w w:val="115"/>
          <w:sz w:val="18"/>
        </w:rPr>
        <w:t> </w:t>
      </w:r>
      <w:r>
        <w:rPr>
          <w:rFonts w:ascii="Arial"/>
          <w:color w:val="010101"/>
          <w:w w:val="150"/>
          <w:sz w:val="18"/>
        </w:rPr>
        <w:t>.</w:t>
      </w:r>
    </w:p>
    <w:p>
      <w:pPr>
        <w:pStyle w:val="BodyText"/>
        <w:spacing w:before="8"/>
        <w:rPr>
          <w:rFonts w:ascii="Arial"/>
          <w:sz w:val="17"/>
        </w:rPr>
      </w:pPr>
    </w:p>
    <w:p>
      <w:pPr>
        <w:spacing w:before="0"/>
        <w:ind w:left="98" w:right="2069" w:firstLine="0"/>
        <w:jc w:val="center"/>
        <w:rPr>
          <w:b/>
          <w:sz w:val="17"/>
        </w:rPr>
      </w:pPr>
      <w:r>
        <w:rPr>
          <w:color w:val="010101"/>
          <w:w w:val="115"/>
          <w:sz w:val="17"/>
        </w:rPr>
        <w:t>-'· </w:t>
      </w:r>
      <w:r>
        <w:rPr>
          <w:b/>
          <w:color w:val="010101"/>
          <w:w w:val="115"/>
          <w:sz w:val="17"/>
        </w:rPr>
        <w:t>Joint-life functions under Makeham.'•  law</w:t>
      </w:r>
    </w:p>
    <w:p>
      <w:pPr>
        <w:pStyle w:val="ListParagraph"/>
        <w:numPr>
          <w:ilvl w:val="1"/>
          <w:numId w:val="95"/>
        </w:numPr>
        <w:tabs>
          <w:tab w:pos="481" w:val="left" w:leader="none"/>
        </w:tabs>
        <w:spacing w:line="175" w:lineRule="auto" w:before="76" w:after="0"/>
        <w:ind w:left="104" w:right="165" w:firstLine="161"/>
        <w:jc w:val="left"/>
        <w:rPr>
          <w:color w:val="010101"/>
          <w:sz w:val="18"/>
        </w:rPr>
      </w:pPr>
      <w:r>
        <w:rPr>
          <w:color w:val="010101"/>
          <w:w w:val="105"/>
          <w:sz w:val="18"/>
        </w:rPr>
        <w:t>Use the fact that the  </w:t>
      </w:r>
      <w:r>
        <w:rPr>
          <w:color w:val="010101"/>
          <w:spacing w:val="-10"/>
          <w:w w:val="105"/>
          <w:sz w:val="18"/>
        </w:rPr>
        <w:t>1941  </w:t>
      </w:r>
      <w:r>
        <w:rPr>
          <w:color w:val="010101"/>
          <w:w w:val="105"/>
          <w:sz w:val="24"/>
        </w:rPr>
        <w:t>eso </w:t>
      </w:r>
      <w:r>
        <w:rPr>
          <w:color w:val="010101"/>
          <w:w w:val="105"/>
          <w:sz w:val="18"/>
        </w:rPr>
        <w:t>table  </w:t>
      </w:r>
      <w:r>
        <w:rPr>
          <w:rFonts w:ascii="Arial"/>
          <w:color w:val="010101"/>
          <w:w w:val="105"/>
          <w:sz w:val="17"/>
        </w:rPr>
        <w:t>is </w:t>
      </w:r>
      <w:r>
        <w:rPr>
          <w:color w:val="010101"/>
          <w:w w:val="105"/>
          <w:sz w:val="18"/>
        </w:rPr>
        <w:t>Makeharnized  to  evaluate  the</w:t>
      </w:r>
      <w:r>
        <w:rPr>
          <w:color w:val="010101"/>
          <w:spacing w:val="11"/>
          <w:w w:val="105"/>
          <w:sz w:val="18"/>
        </w:rPr>
        <w:t> </w:t>
      </w:r>
      <w:r>
        <w:rPr>
          <w:color w:val="010101"/>
          <w:w w:val="105"/>
          <w:sz w:val="18"/>
        </w:rPr>
        <w:t>following</w:t>
      </w:r>
      <w:r>
        <w:rPr>
          <w:color w:val="010101"/>
          <w:spacing w:val="-10"/>
          <w:w w:val="105"/>
          <w:sz w:val="18"/>
        </w:rPr>
        <w:t> </w:t>
      </w:r>
      <w:r>
        <w:rPr>
          <w:color w:val="010101"/>
          <w:w w:val="105"/>
          <w:sz w:val="18"/>
        </w:rPr>
        <w:t>functions</w:t>
      </w:r>
      <w:r>
        <w:rPr>
          <w:color w:val="010101"/>
          <w:spacing w:val="1"/>
          <w:w w:val="105"/>
          <w:sz w:val="18"/>
        </w:rPr>
        <w:t> </w:t>
      </w:r>
      <w:r>
        <w:rPr>
          <w:color w:val="010101"/>
          <w:w w:val="105"/>
          <w:sz w:val="18"/>
        </w:rPr>
        <w:t>on</w:t>
      </w:r>
      <w:r>
        <w:rPr>
          <w:color w:val="010101"/>
          <w:spacing w:val="-3"/>
          <w:w w:val="105"/>
          <w:sz w:val="18"/>
        </w:rPr>
        <w:t> </w:t>
      </w:r>
      <w:r>
        <w:rPr>
          <w:color w:val="010101"/>
          <w:w w:val="105"/>
          <w:sz w:val="18"/>
        </w:rPr>
        <w:t>the</w:t>
      </w:r>
      <w:r>
        <w:rPr>
          <w:color w:val="010101"/>
          <w:spacing w:val="-2"/>
          <w:w w:val="105"/>
          <w:sz w:val="18"/>
        </w:rPr>
        <w:t> </w:t>
      </w:r>
      <w:r>
        <w:rPr>
          <w:color w:val="010101"/>
          <w:spacing w:val="-12"/>
          <w:w w:val="105"/>
          <w:sz w:val="18"/>
        </w:rPr>
        <w:t>1941</w:t>
      </w:r>
      <w:r>
        <w:rPr>
          <w:color w:val="010101"/>
          <w:spacing w:val="-23"/>
          <w:w w:val="105"/>
          <w:sz w:val="18"/>
        </w:rPr>
        <w:t> </w:t>
      </w:r>
      <w:r>
        <w:rPr>
          <w:color w:val="010101"/>
          <w:w w:val="105"/>
          <w:sz w:val="24"/>
        </w:rPr>
        <w:t>eso</w:t>
      </w:r>
      <w:r>
        <w:rPr>
          <w:color w:val="010101"/>
          <w:spacing w:val="-30"/>
          <w:w w:val="105"/>
          <w:sz w:val="24"/>
        </w:rPr>
        <w:t> </w:t>
      </w:r>
      <w:r>
        <w:rPr>
          <w:color w:val="010101"/>
          <w:spacing w:val="3"/>
          <w:w w:val="105"/>
          <w:sz w:val="18"/>
        </w:rPr>
        <w:t>2j</w:t>
      </w:r>
      <w:r>
        <w:rPr>
          <w:rFonts w:ascii="Arial"/>
          <w:color w:val="010101"/>
          <w:spacing w:val="3"/>
          <w:w w:val="105"/>
          <w:sz w:val="20"/>
        </w:rPr>
        <w:t>%</w:t>
      </w:r>
      <w:r>
        <w:rPr>
          <w:rFonts w:ascii="Arial"/>
          <w:color w:val="010101"/>
          <w:spacing w:val="-33"/>
          <w:w w:val="105"/>
          <w:sz w:val="20"/>
        </w:rPr>
        <w:t> </w:t>
      </w:r>
      <w:r>
        <w:rPr>
          <w:color w:val="010101"/>
          <w:w w:val="105"/>
          <w:sz w:val="18"/>
        </w:rPr>
        <w:t>basis:</w:t>
      </w:r>
    </w:p>
    <w:p>
      <w:pPr>
        <w:spacing w:after="0" w:line="175" w:lineRule="auto"/>
        <w:jc w:val="left"/>
        <w:rPr>
          <w:sz w:val="18"/>
        </w:rPr>
        <w:sectPr>
          <w:pgSz w:w="7200" w:h="11340"/>
          <w:pgMar w:top="500" w:bottom="280" w:left="660" w:right="540"/>
        </w:sectPr>
      </w:pPr>
    </w:p>
    <w:tbl>
      <w:tblPr>
        <w:tblW w:w="0" w:type="auto"/>
        <w:jc w:val="left"/>
        <w:tblInd w:w="404"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92"/>
        <w:gridCol w:w="2148"/>
        <w:gridCol w:w="1812"/>
      </w:tblGrid>
      <w:tr>
        <w:trPr>
          <w:trHeight w:val="724" w:hRule="exact"/>
        </w:trPr>
        <w:tc>
          <w:tcPr>
            <w:tcW w:w="1492" w:type="dxa"/>
          </w:tcPr>
          <w:p>
            <w:pPr>
              <w:pStyle w:val="TableParagraph"/>
              <w:rPr>
                <w:rFonts w:ascii="Times New Roman"/>
                <w:sz w:val="16"/>
              </w:rPr>
            </w:pPr>
          </w:p>
          <w:p>
            <w:pPr>
              <w:pStyle w:val="TableParagraph"/>
              <w:rPr>
                <w:rFonts w:ascii="Times New Roman"/>
                <w:sz w:val="16"/>
              </w:rPr>
            </w:pPr>
          </w:p>
          <w:p>
            <w:pPr>
              <w:pStyle w:val="TableParagraph"/>
              <w:spacing w:before="4"/>
              <w:rPr>
                <w:rFonts w:ascii="Times New Roman"/>
                <w:sz w:val="16"/>
              </w:rPr>
            </w:pPr>
          </w:p>
          <w:p>
            <w:pPr>
              <w:pStyle w:val="TableParagraph"/>
              <w:ind w:left="35"/>
              <w:rPr>
                <w:rFonts w:ascii="Times New Roman"/>
                <w:sz w:val="14"/>
              </w:rPr>
            </w:pPr>
            <w:r>
              <w:rPr>
                <w:rFonts w:ascii="Times New Roman"/>
                <w:color w:val="010101"/>
                <w:w w:val="105"/>
                <w:sz w:val="16"/>
              </w:rPr>
              <w:t>(a.)  a,o </w:t>
            </w:r>
            <w:r>
              <w:rPr>
                <w:rFonts w:ascii="Times New Roman"/>
                <w:color w:val="1F1F1F"/>
                <w:w w:val="105"/>
                <w:sz w:val="14"/>
              </w:rPr>
              <w:t>:</w:t>
            </w:r>
            <w:r>
              <w:rPr>
                <w:rFonts w:ascii="Times New Roman"/>
                <w:color w:val="010101"/>
                <w:w w:val="105"/>
                <w:sz w:val="14"/>
              </w:rPr>
              <w:t>\o</w:t>
            </w:r>
          </w:p>
        </w:tc>
        <w:tc>
          <w:tcPr>
            <w:tcW w:w="2148" w:type="dxa"/>
          </w:tcPr>
          <w:p>
            <w:pPr>
              <w:pStyle w:val="TableParagraph"/>
              <w:spacing w:before="105"/>
              <w:ind w:left="621"/>
              <w:rPr>
                <w:rFonts w:ascii="Times New Roman"/>
                <w:sz w:val="15"/>
              </w:rPr>
            </w:pPr>
            <w:r>
              <w:rPr>
                <w:rFonts w:ascii="Times New Roman"/>
                <w:color w:val="010101"/>
                <w:w w:val="110"/>
                <w:sz w:val="15"/>
              </w:rPr>
              <w:t>EXERCISES</w:t>
            </w:r>
          </w:p>
        </w:tc>
        <w:tc>
          <w:tcPr>
            <w:tcW w:w="1812" w:type="dxa"/>
          </w:tcPr>
          <w:p>
            <w:pPr>
              <w:pStyle w:val="TableParagraph"/>
              <w:spacing w:before="75"/>
              <w:ind w:right="49"/>
              <w:jc w:val="right"/>
              <w:rPr>
                <w:rFonts w:ascii="Times New Roman"/>
                <w:sz w:val="19"/>
              </w:rPr>
            </w:pPr>
            <w:r>
              <w:rPr>
                <w:rFonts w:ascii="Times New Roman"/>
                <w:color w:val="010101"/>
                <w:sz w:val="19"/>
              </w:rPr>
              <w:t>207</w:t>
            </w:r>
          </w:p>
          <w:p>
            <w:pPr>
              <w:pStyle w:val="TableParagraph"/>
              <w:rPr>
                <w:rFonts w:ascii="Times New Roman"/>
                <w:sz w:val="22"/>
              </w:rPr>
            </w:pPr>
          </w:p>
          <w:p>
            <w:pPr>
              <w:pStyle w:val="TableParagraph"/>
              <w:ind w:right="42"/>
              <w:jc w:val="right"/>
              <w:rPr>
                <w:rFonts w:ascii="Times New Roman"/>
                <w:sz w:val="16"/>
              </w:rPr>
            </w:pPr>
            <w:r>
              <w:rPr>
                <w:rFonts w:ascii="Times New Roman"/>
                <w:color w:val="010101"/>
                <w:w w:val="105"/>
                <w:sz w:val="17"/>
              </w:rPr>
              <w:t>(Ans. </w:t>
            </w:r>
            <w:r>
              <w:rPr>
                <w:rFonts w:ascii="Times New Roman"/>
                <w:color w:val="010101"/>
                <w:w w:val="105"/>
                <w:sz w:val="16"/>
              </w:rPr>
              <w:t>13.33810)</w:t>
            </w:r>
          </w:p>
        </w:tc>
      </w:tr>
      <w:tr>
        <w:trPr>
          <w:trHeight w:val="432" w:hRule="exact"/>
        </w:trPr>
        <w:tc>
          <w:tcPr>
            <w:tcW w:w="1492" w:type="dxa"/>
          </w:tcPr>
          <w:p>
            <w:pPr>
              <w:pStyle w:val="TableParagraph"/>
              <w:spacing w:line="227" w:lineRule="exact"/>
              <w:ind w:left="38"/>
              <w:rPr>
                <w:rFonts w:ascii="Times New Roman" w:hAnsi="Times New Roman"/>
                <w:sz w:val="25"/>
              </w:rPr>
            </w:pPr>
            <w:r>
              <w:rPr>
                <w:rFonts w:ascii="Times New Roman" w:hAnsi="Times New Roman"/>
                <w:color w:val="010101"/>
                <w:w w:val="95"/>
                <w:sz w:val="17"/>
              </w:rPr>
              <w:t>(b) </w:t>
            </w:r>
            <w:r>
              <w:rPr>
                <w:rFonts w:ascii="Arial" w:hAnsi="Arial"/>
                <w:i/>
                <w:color w:val="010101"/>
                <w:w w:val="95"/>
                <w:sz w:val="16"/>
              </w:rPr>
              <w:t>A </w:t>
            </w:r>
            <w:r>
              <w:rPr>
                <w:rFonts w:ascii="Times New Roman" w:hAnsi="Times New Roman"/>
                <w:color w:val="010101"/>
                <w:w w:val="95"/>
                <w:sz w:val="25"/>
              </w:rPr>
              <w:t>,o:'°</w:t>
            </w:r>
          </w:p>
          <w:p>
            <w:pPr>
              <w:pStyle w:val="TableParagraph"/>
              <w:spacing w:line="193" w:lineRule="exact"/>
              <w:ind w:left="38"/>
              <w:rPr>
                <w:rFonts w:ascii="Arial"/>
                <w:sz w:val="10"/>
              </w:rPr>
            </w:pPr>
            <w:r>
              <w:rPr>
                <w:rFonts w:ascii="Times New Roman"/>
                <w:color w:val="010101"/>
                <w:w w:val="102"/>
                <w:sz w:val="17"/>
              </w:rPr>
              <w:t>(</w:t>
            </w:r>
            <w:r>
              <w:rPr>
                <w:rFonts w:ascii="Times New Roman"/>
                <w:color w:val="010101"/>
                <w:w w:val="102"/>
                <w:sz w:val="17"/>
              </w:rPr>
              <w:t>e</w:t>
            </w:r>
            <w:r>
              <w:rPr>
                <w:rFonts w:ascii="Times New Roman"/>
                <w:color w:val="010101"/>
                <w:w w:val="102"/>
                <w:sz w:val="17"/>
              </w:rPr>
              <w:t>)</w:t>
            </w:r>
            <w:r>
              <w:rPr>
                <w:rFonts w:ascii="Times New Roman"/>
                <w:color w:val="010101"/>
                <w:sz w:val="17"/>
              </w:rPr>
              <w:t> </w:t>
            </w:r>
            <w:r>
              <w:rPr>
                <w:rFonts w:ascii="Times New Roman"/>
                <w:color w:val="010101"/>
                <w:spacing w:val="15"/>
                <w:sz w:val="17"/>
              </w:rPr>
              <w:t> </w:t>
            </w:r>
            <w:r>
              <w:rPr>
                <w:rFonts w:ascii="Times New Roman"/>
                <w:i/>
                <w:color w:val="010101"/>
                <w:w w:val="117"/>
                <w:sz w:val="18"/>
              </w:rPr>
              <w:t>P</w:t>
            </w:r>
            <w:r>
              <w:rPr>
                <w:rFonts w:ascii="Times New Roman"/>
                <w:i/>
                <w:color w:val="010101"/>
                <w:spacing w:val="-11"/>
                <w:w w:val="117"/>
                <w:sz w:val="18"/>
              </w:rPr>
              <w:t>,</w:t>
            </w:r>
            <w:r>
              <w:rPr>
                <w:rFonts w:ascii="Times New Roman"/>
                <w:i/>
                <w:color w:val="010101"/>
                <w:w w:val="58"/>
                <w:sz w:val="18"/>
              </w:rPr>
              <w:t>o</w:t>
            </w:r>
            <w:r>
              <w:rPr>
                <w:rFonts w:ascii="Times New Roman"/>
                <w:i/>
                <w:color w:val="010101"/>
                <w:spacing w:val="-15"/>
                <w:sz w:val="18"/>
              </w:rPr>
              <w:t> </w:t>
            </w:r>
            <w:r>
              <w:rPr>
                <w:rFonts w:ascii="Arial"/>
                <w:color w:val="010101"/>
                <w:w w:val="170"/>
                <w:sz w:val="10"/>
              </w:rPr>
              <w:t>:H</w:t>
            </w:r>
          </w:p>
        </w:tc>
        <w:tc>
          <w:tcPr>
            <w:tcW w:w="2148" w:type="dxa"/>
          </w:tcPr>
          <w:p>
            <w:pPr/>
          </w:p>
        </w:tc>
        <w:tc>
          <w:tcPr>
            <w:tcW w:w="1812" w:type="dxa"/>
          </w:tcPr>
          <w:p>
            <w:pPr>
              <w:pStyle w:val="TableParagraph"/>
              <w:spacing w:line="195" w:lineRule="exact" w:before="27"/>
              <w:ind w:left="812" w:right="-12"/>
              <w:rPr>
                <w:rFonts w:ascii="Times New Roman"/>
                <w:sz w:val="17"/>
              </w:rPr>
            </w:pPr>
            <w:r>
              <w:rPr>
                <w:rFonts w:ascii="Times New Roman"/>
                <w:color w:val="010101"/>
                <w:sz w:val="17"/>
              </w:rPr>
              <w:t>(Ans. .65029)</w:t>
            </w:r>
          </w:p>
          <w:p>
            <w:pPr>
              <w:pStyle w:val="TableParagraph"/>
              <w:spacing w:line="195" w:lineRule="exact"/>
              <w:ind w:left="816" w:right="-12"/>
              <w:rPr>
                <w:rFonts w:ascii="Times New Roman"/>
                <w:sz w:val="17"/>
              </w:rPr>
            </w:pPr>
            <w:r>
              <w:rPr>
                <w:rFonts w:ascii="Times New Roman"/>
                <w:color w:val="010101"/>
                <w:w w:val="105"/>
                <w:sz w:val="17"/>
              </w:rPr>
              <w:t>(Ans. .04535)</w:t>
            </w:r>
          </w:p>
        </w:tc>
      </w:tr>
      <w:tr>
        <w:trPr>
          <w:trHeight w:val="186" w:hRule="exact"/>
        </w:trPr>
        <w:tc>
          <w:tcPr>
            <w:tcW w:w="1492" w:type="dxa"/>
          </w:tcPr>
          <w:p>
            <w:pPr>
              <w:pStyle w:val="TableParagraph"/>
              <w:spacing w:before="4"/>
              <w:ind w:left="38"/>
              <w:rPr>
                <w:rFonts w:ascii="Times New Roman" w:hAnsi="Times New Roman"/>
                <w:b/>
                <w:sz w:val="11"/>
              </w:rPr>
            </w:pPr>
            <w:r>
              <w:rPr>
                <w:rFonts w:ascii="Times New Roman" w:hAnsi="Times New Roman"/>
                <w:color w:val="010101"/>
                <w:w w:val="115"/>
                <w:sz w:val="16"/>
              </w:rPr>
              <w:t>(d)  </w:t>
            </w:r>
            <w:r>
              <w:rPr>
                <w:rFonts w:ascii="Times New Roman" w:hAnsi="Times New Roman"/>
                <w:b/>
                <w:color w:val="010101"/>
                <w:w w:val="115"/>
                <w:sz w:val="11"/>
              </w:rPr>
              <w:t>áao :,0:10</w:t>
            </w:r>
          </w:p>
        </w:tc>
        <w:tc>
          <w:tcPr>
            <w:tcW w:w="2148" w:type="dxa"/>
          </w:tcPr>
          <w:p>
            <w:pPr/>
          </w:p>
        </w:tc>
        <w:tc>
          <w:tcPr>
            <w:tcW w:w="1812" w:type="dxa"/>
          </w:tcPr>
          <w:p>
            <w:pPr>
              <w:pStyle w:val="TableParagraph"/>
              <w:spacing w:line="190" w:lineRule="exact"/>
              <w:ind w:left="647" w:right="-12"/>
              <w:rPr>
                <w:rFonts w:ascii="Times New Roman"/>
                <w:sz w:val="16"/>
              </w:rPr>
            </w:pPr>
            <w:r>
              <w:rPr>
                <w:rFonts w:ascii="Times New Roman"/>
                <w:color w:val="010101"/>
                <w:w w:val="105"/>
                <w:sz w:val="17"/>
              </w:rPr>
              <w:t>(Ans. </w:t>
            </w:r>
            <w:r>
              <w:rPr>
                <w:rFonts w:ascii="Times New Roman"/>
                <w:color w:val="010101"/>
                <w:w w:val="105"/>
                <w:sz w:val="16"/>
              </w:rPr>
              <w:t>13.56522)</w:t>
            </w:r>
          </w:p>
        </w:tc>
      </w:tr>
    </w:tbl>
    <w:p>
      <w:pPr>
        <w:spacing w:line="252" w:lineRule="auto" w:before="0"/>
        <w:ind w:left="113" w:right="138" w:firstLine="0"/>
        <w:jc w:val="left"/>
        <w:rPr>
          <w:sz w:val="17"/>
        </w:rPr>
      </w:pPr>
      <w:r>
        <w:rPr>
          <w:color w:val="010101"/>
          <w:w w:val="105"/>
          <w:sz w:val="17"/>
        </w:rPr>
        <w:t>Explain' how you would proceed if the </w:t>
      </w:r>
      <w:r>
        <w:rPr>
          <w:color w:val="010101"/>
          <w:w w:val="105"/>
          <w:sz w:val="16"/>
        </w:rPr>
        <w:t>1941 </w:t>
      </w:r>
      <w:r>
        <w:rPr>
          <w:color w:val="010101"/>
          <w:w w:val="105"/>
          <w:sz w:val="17"/>
        </w:rPr>
        <w:t>CSO table were not Makeham­ ized.</w:t>
      </w:r>
    </w:p>
    <w:p>
      <w:pPr>
        <w:pStyle w:val="ListParagraph"/>
        <w:numPr>
          <w:ilvl w:val="1"/>
          <w:numId w:val="95"/>
        </w:numPr>
        <w:tabs>
          <w:tab w:pos="562" w:val="left" w:leader="none"/>
        </w:tabs>
        <w:spacing w:line="244" w:lineRule="auto" w:before="0" w:after="0"/>
        <w:ind w:left="109" w:right="135" w:firstLine="169"/>
        <w:jc w:val="both"/>
        <w:rPr>
          <w:color w:val="010101"/>
          <w:sz w:val="17"/>
        </w:rPr>
      </w:pPr>
      <w:r>
        <w:rPr>
          <w:color w:val="010101"/>
          <w:w w:val="110"/>
          <w:sz w:val="17"/>
        </w:rPr>
        <w:t>Two single-life tables, one for male and onefor female lives, both fol­ low Makeham's law and have a common value of the constant </w:t>
      </w:r>
      <w:r>
        <w:rPr>
          <w:i/>
          <w:color w:val="010101"/>
          <w:w w:val="110"/>
          <w:sz w:val="16"/>
        </w:rPr>
        <w:t>c. </w:t>
      </w:r>
      <w:r>
        <w:rPr>
          <w:color w:val="010101"/>
          <w:w w:val="110"/>
          <w:sz w:val="17"/>
        </w:rPr>
        <w:t>From these two tables, a joint two-life table is constructed applying  to pairs of  lives one of  which is male and the other </w:t>
      </w:r>
      <w:r>
        <w:rPr>
          <w:color w:val="010101"/>
          <w:spacing w:val="2"/>
          <w:w w:val="110"/>
          <w:sz w:val="17"/>
        </w:rPr>
        <w:t> </w:t>
      </w:r>
      <w:r>
        <w:rPr>
          <w:color w:val="010101"/>
          <w:w w:val="110"/>
          <w:sz w:val="17"/>
        </w:rPr>
        <w:t>fema.le.</w:t>
      </w:r>
    </w:p>
    <w:p>
      <w:pPr>
        <w:spacing w:before="2"/>
        <w:ind w:left="140" w:right="0" w:firstLine="0"/>
        <w:jc w:val="center"/>
        <w:rPr>
          <w:rFonts w:ascii="Arial"/>
          <w:sz w:val="15"/>
        </w:rPr>
      </w:pPr>
      <w:r>
        <w:rPr>
          <w:color w:val="010101"/>
          <w:w w:val="110"/>
          <w:sz w:val="17"/>
        </w:rPr>
        <w:t>Prove that by this joint-life  table for a male life  </w:t>
      </w:r>
      <w:r>
        <w:rPr>
          <w:rFonts w:ascii="Arial"/>
          <w:i/>
          <w:color w:val="010101"/>
          <w:w w:val="110"/>
          <w:sz w:val="14"/>
        </w:rPr>
        <w:t>(x)  </w:t>
      </w:r>
      <w:r>
        <w:rPr>
          <w:color w:val="010101"/>
          <w:w w:val="110"/>
          <w:sz w:val="17"/>
        </w:rPr>
        <w:t>and a female life   </w:t>
      </w:r>
      <w:r>
        <w:rPr>
          <w:rFonts w:ascii="Arial"/>
          <w:color w:val="010101"/>
          <w:w w:val="110"/>
          <w:sz w:val="15"/>
        </w:rPr>
        <w:t>(y)</w:t>
      </w:r>
    </w:p>
    <w:p>
      <w:pPr>
        <w:pStyle w:val="BodyText"/>
        <w:spacing w:before="6"/>
        <w:rPr>
          <w:rFonts w:ascii="Arial"/>
          <w:sz w:val="12"/>
        </w:rPr>
      </w:pPr>
    </w:p>
    <w:p>
      <w:pPr>
        <w:spacing w:line="232" w:lineRule="exact" w:before="0"/>
        <w:ind w:left="74" w:right="95" w:firstLine="0"/>
        <w:jc w:val="center"/>
        <w:rPr>
          <w:rFonts w:ascii="Arial" w:hAnsi="Arial"/>
          <w:i/>
          <w:sz w:val="19"/>
        </w:rPr>
      </w:pPr>
      <w:r>
        <w:rPr>
          <w:rFonts w:ascii="Arial" w:hAnsi="Arial"/>
          <w:i/>
          <w:color w:val="010101"/>
          <w:w w:val="90"/>
          <w:sz w:val="19"/>
        </w:rPr>
        <w:t>ª·ti/ </w:t>
      </w:r>
      <w:r>
        <w:rPr>
          <w:color w:val="010101"/>
          <w:w w:val="90"/>
          <w:sz w:val="21"/>
        </w:rPr>
        <w:t>= </w:t>
      </w:r>
      <w:r>
        <w:rPr>
          <w:rFonts w:ascii="Arial" w:hAnsi="Arial"/>
          <w:i/>
          <w:color w:val="010101"/>
          <w:w w:val="90"/>
          <w:sz w:val="19"/>
        </w:rPr>
        <w:t>ª"""</w:t>
      </w:r>
    </w:p>
    <w:p>
      <w:pPr>
        <w:spacing w:line="228" w:lineRule="exact" w:before="0"/>
        <w:ind w:left="1485" w:right="1151" w:firstLine="0"/>
        <w:jc w:val="center"/>
        <w:rPr>
          <w:rFonts w:ascii="Arial"/>
          <w:b/>
          <w:i/>
          <w:sz w:val="16"/>
        </w:rPr>
      </w:pPr>
      <w:r>
        <w:rPr>
          <w:rFonts w:ascii="Arial"/>
          <w:i/>
          <w:color w:val="010101"/>
          <w:w w:val="85"/>
          <w:sz w:val="14"/>
        </w:rPr>
        <w:t>c:ie </w:t>
      </w:r>
      <w:r>
        <w:rPr>
          <w:rFonts w:ascii="Arial"/>
          <w:color w:val="010101"/>
          <w:w w:val="90"/>
          <w:sz w:val="26"/>
        </w:rPr>
        <w:t>+</w:t>
      </w:r>
      <w:r>
        <w:rPr>
          <w:rFonts w:ascii="Arial"/>
          <w:color w:val="010101"/>
          <w:spacing w:val="-54"/>
          <w:w w:val="90"/>
          <w:sz w:val="26"/>
        </w:rPr>
        <w:t> </w:t>
      </w:r>
      <w:r>
        <w:rPr>
          <w:rFonts w:ascii="Arial"/>
          <w:b/>
          <w:i/>
          <w:color w:val="010101"/>
          <w:w w:val="85"/>
          <w:sz w:val="16"/>
        </w:rPr>
        <w:t>kC'I</w:t>
      </w:r>
    </w:p>
    <w:p>
      <w:pPr>
        <w:spacing w:after="0" w:line="228" w:lineRule="exact"/>
        <w:jc w:val="center"/>
        <w:rPr>
          <w:rFonts w:ascii="Arial"/>
          <w:sz w:val="16"/>
        </w:rPr>
        <w:sectPr>
          <w:pgSz w:w="7200" w:h="11340"/>
          <w:pgMar w:top="500" w:bottom="280" w:left="680" w:right="540"/>
        </w:sectPr>
      </w:pPr>
    </w:p>
    <w:p>
      <w:pPr>
        <w:spacing w:line="187" w:lineRule="exact" w:before="0"/>
        <w:ind w:left="123" w:right="0" w:firstLine="0"/>
        <w:jc w:val="left"/>
        <w:rPr>
          <w:sz w:val="17"/>
        </w:rPr>
      </w:pPr>
      <w:r>
        <w:rPr>
          <w:color w:val="010101"/>
          <w:w w:val="105"/>
          <w:sz w:val="17"/>
        </w:rPr>
        <w:t>where</w:t>
      </w:r>
    </w:p>
    <w:p>
      <w:pPr>
        <w:pStyle w:val="BodyText"/>
        <w:rPr>
          <w:sz w:val="16"/>
        </w:rPr>
      </w:pPr>
    </w:p>
    <w:p>
      <w:pPr>
        <w:pStyle w:val="BodyText"/>
        <w:spacing w:before="3"/>
        <w:rPr>
          <w:sz w:val="17"/>
        </w:rPr>
      </w:pPr>
    </w:p>
    <w:p>
      <w:pPr>
        <w:spacing w:before="1"/>
        <w:ind w:left="127" w:right="0" w:firstLine="0"/>
        <w:jc w:val="left"/>
        <w:rPr>
          <w:sz w:val="17"/>
        </w:rPr>
      </w:pPr>
      <w:r>
        <w:rPr>
          <w:i/>
          <w:color w:val="010101"/>
          <w:w w:val="105"/>
          <w:sz w:val="17"/>
        </w:rPr>
        <w:t>k  </w:t>
      </w:r>
      <w:r>
        <w:rPr>
          <w:color w:val="010101"/>
          <w:w w:val="105"/>
          <w:sz w:val="17"/>
        </w:rPr>
        <w:t>being  equal to</w:t>
      </w:r>
    </w:p>
    <w:p>
      <w:pPr>
        <w:spacing w:line="301" w:lineRule="exact" w:before="0"/>
        <w:ind w:left="123" w:right="0" w:firstLine="0"/>
        <w:jc w:val="left"/>
        <w:rPr>
          <w:sz w:val="23"/>
        </w:rPr>
      </w:pPr>
      <w:r>
        <w:rPr/>
        <w:br w:type="column"/>
      </w:r>
      <w:r>
        <w:rPr>
          <w:rFonts w:ascii="Arial"/>
          <w:color w:val="010101"/>
          <w:w w:val="105"/>
          <w:sz w:val="15"/>
        </w:rPr>
        <w:t>c"'  </w:t>
      </w:r>
      <w:r>
        <w:rPr>
          <w:rFonts w:ascii="Arial"/>
          <w:color w:val="010101"/>
          <w:w w:val="130"/>
          <w:sz w:val="15"/>
        </w:rPr>
        <w:t>=   </w:t>
      </w:r>
      <w:r>
        <w:rPr>
          <w:color w:val="010101"/>
          <w:w w:val="105"/>
          <w:position w:val="-12"/>
          <w:sz w:val="23"/>
        </w:rPr>
        <w:t>l + </w:t>
      </w:r>
      <w:r>
        <w:rPr>
          <w:color w:val="010101"/>
          <w:position w:val="-12"/>
          <w:sz w:val="23"/>
        </w:rPr>
        <w:t>k  </w:t>
      </w:r>
      <w:r>
        <w:rPr>
          <w:color w:val="010101"/>
          <w:w w:val="105"/>
          <w:position w:val="-12"/>
          <w:sz w:val="23"/>
        </w:rPr>
        <w:t>'</w:t>
      </w:r>
    </w:p>
    <w:p>
      <w:pPr>
        <w:spacing w:after="0" w:line="301" w:lineRule="exact"/>
        <w:jc w:val="left"/>
        <w:rPr>
          <w:sz w:val="23"/>
        </w:rPr>
        <w:sectPr>
          <w:type w:val="continuous"/>
          <w:pgSz w:w="7200" w:h="11340"/>
          <w:pgMar w:top="1100" w:bottom="0" w:left="680" w:right="540"/>
          <w:cols w:num="2" w:equalWidth="0">
            <w:col w:w="1376" w:space="932"/>
            <w:col w:w="3672"/>
          </w:cols>
        </w:sectPr>
      </w:pPr>
    </w:p>
    <w:p>
      <w:pPr>
        <w:pStyle w:val="BodyText"/>
        <w:spacing w:before="4"/>
        <w:rPr>
          <w:sz w:val="18"/>
        </w:rPr>
      </w:pPr>
    </w:p>
    <w:p>
      <w:pPr>
        <w:spacing w:line="242" w:lineRule="auto" w:before="79"/>
        <w:ind w:left="127" w:right="133" w:firstLine="14"/>
        <w:jc w:val="left"/>
        <w:rPr>
          <w:sz w:val="17"/>
        </w:rPr>
      </w:pPr>
      <w:r>
        <w:rPr/>
        <w:drawing>
          <wp:anchor distT="0" distB="0" distL="0" distR="0" allowOverlap="1" layoutInCell="1" locked="0" behindDoc="0" simplePos="0" relativeHeight="16312">
            <wp:simplePos x="0" y="0"/>
            <wp:positionH relativeFrom="page">
              <wp:posOffset>2048255</wp:posOffset>
            </wp:positionH>
            <wp:positionV relativeFrom="paragraph">
              <wp:posOffset>-320459</wp:posOffset>
            </wp:positionV>
            <wp:extent cx="621792" cy="265175"/>
            <wp:effectExtent l="0" t="0" r="0" b="0"/>
            <wp:wrapNone/>
            <wp:docPr id="435" name="image223.png" descr=""/>
            <wp:cNvGraphicFramePr>
              <a:graphicFrameLocks noChangeAspect="1"/>
            </wp:cNvGraphicFramePr>
            <a:graphic>
              <a:graphicData uri="http://schemas.openxmlformats.org/drawingml/2006/picture">
                <pic:pic>
                  <pic:nvPicPr>
                    <pic:cNvPr id="436" name="image223.png"/>
                    <pic:cNvPicPr/>
                  </pic:nvPicPr>
                  <pic:blipFill>
                    <a:blip r:embed="rId227" cstate="print"/>
                    <a:stretch>
                      <a:fillRect/>
                    </a:stretch>
                  </pic:blipFill>
                  <pic:spPr>
                    <a:xfrm>
                      <a:off x="0" y="0"/>
                      <a:ext cx="621792" cy="265175"/>
                    </a:xfrm>
                    <a:prstGeom prst="rect">
                      <a:avLst/>
                    </a:prstGeom>
                  </pic:spPr>
                </pic:pic>
              </a:graphicData>
            </a:graphic>
          </wp:anchor>
        </w:drawing>
      </w:r>
      <w:r>
        <w:rPr>
          <w:color w:val="010101"/>
          <w:w w:val="110"/>
          <w:sz w:val="17"/>
        </w:rPr>
        <w:t>the primed symbols applying to the original female table and unprimed symbols  to the  original  male table.</w:t>
      </w:r>
    </w:p>
    <w:p>
      <w:pPr>
        <w:pStyle w:val="ListParagraph"/>
        <w:numPr>
          <w:ilvl w:val="1"/>
          <w:numId w:val="95"/>
        </w:numPr>
        <w:tabs>
          <w:tab w:pos="580" w:val="left" w:leader="none"/>
        </w:tabs>
        <w:spacing w:line="240" w:lineRule="auto" w:before="4" w:after="0"/>
        <w:ind w:left="579" w:right="0" w:hanging="280"/>
        <w:jc w:val="left"/>
        <w:rPr>
          <w:color w:val="010101"/>
          <w:sz w:val="17"/>
        </w:rPr>
      </w:pPr>
      <w:r>
        <w:rPr>
          <w:color w:val="010101"/>
          <w:w w:val="110"/>
          <w:sz w:val="17"/>
        </w:rPr>
        <w:t>Assuming  Makeham's law, show</w:t>
      </w:r>
      <w:r>
        <w:rPr>
          <w:color w:val="010101"/>
          <w:spacing w:val="34"/>
          <w:w w:val="110"/>
          <w:sz w:val="17"/>
        </w:rPr>
        <w:t> </w:t>
      </w:r>
      <w:r>
        <w:rPr>
          <w:color w:val="010101"/>
          <w:w w:val="110"/>
          <w:sz w:val="17"/>
        </w:rPr>
        <w:t>that</w:t>
      </w:r>
    </w:p>
    <w:p>
      <w:pPr>
        <w:spacing w:before="133"/>
        <w:ind w:left="74" w:right="69" w:firstLine="0"/>
        <w:jc w:val="center"/>
        <w:rPr>
          <w:i/>
          <w:sz w:val="17"/>
        </w:rPr>
      </w:pPr>
      <w:r>
        <w:rPr>
          <w:i/>
          <w:color w:val="010101"/>
          <w:sz w:val="11"/>
        </w:rPr>
        <w:t>nPz11   </w:t>
      </w:r>
      <w:r>
        <w:rPr>
          <w:color w:val="010101"/>
          <w:sz w:val="18"/>
        </w:rPr>
        <w:t>=  </w:t>
      </w:r>
      <w:r>
        <w:rPr>
          <w:i/>
          <w:color w:val="010101"/>
          <w:sz w:val="17"/>
        </w:rPr>
        <w:t>,.E.,, </w:t>
      </w:r>
      <w:r>
        <w:rPr>
          <w:i/>
          <w:color w:val="010101"/>
          <w:w w:val="105"/>
          <w:sz w:val="17"/>
        </w:rPr>
        <w:t>,</w:t>
      </w:r>
    </w:p>
    <w:p>
      <w:pPr>
        <w:spacing w:after="0"/>
        <w:jc w:val="center"/>
        <w:rPr>
          <w:sz w:val="17"/>
        </w:rPr>
        <w:sectPr>
          <w:type w:val="continuous"/>
          <w:pgSz w:w="7200" w:h="11340"/>
          <w:pgMar w:top="1100" w:bottom="0" w:left="680" w:right="540"/>
        </w:sectPr>
      </w:pPr>
    </w:p>
    <w:p>
      <w:pPr>
        <w:tabs>
          <w:tab w:pos="5085" w:val="left" w:leader="none"/>
        </w:tabs>
        <w:spacing w:line="311" w:lineRule="exact" w:before="124"/>
        <w:ind w:left="0" w:right="0" w:firstLine="0"/>
        <w:jc w:val="right"/>
        <w:rPr>
          <w:sz w:val="17"/>
        </w:rPr>
      </w:pPr>
      <w:r>
        <w:rPr>
          <w:color w:val="010101"/>
          <w:sz w:val="17"/>
        </w:rPr>
        <w:t>where  e"'  </w:t>
      </w:r>
      <w:r>
        <w:rPr>
          <w:color w:val="010101"/>
          <w:sz w:val="18"/>
        </w:rPr>
        <w:t>=  </w:t>
      </w:r>
      <w:r>
        <w:rPr>
          <w:rFonts w:ascii="Arial"/>
          <w:i/>
          <w:color w:val="010101"/>
          <w:sz w:val="14"/>
        </w:rPr>
        <w:t>c:ie  </w:t>
      </w:r>
      <w:r>
        <w:rPr>
          <w:rFonts w:ascii="Arial"/>
          <w:color w:val="010101"/>
          <w:sz w:val="26"/>
        </w:rPr>
        <w:t>+ </w:t>
      </w:r>
      <w:r>
        <w:rPr>
          <w:rFonts w:ascii="Arial"/>
          <w:i/>
          <w:color w:val="010101"/>
          <w:sz w:val="14"/>
        </w:rPr>
        <w:t>c11  </w:t>
      </w:r>
      <w:r>
        <w:rPr>
          <w:color w:val="010101"/>
          <w:sz w:val="17"/>
        </w:rPr>
        <w:t>and  </w:t>
      </w:r>
      <w:r>
        <w:rPr>
          <w:i/>
          <w:color w:val="010101"/>
          <w:sz w:val="18"/>
        </w:rPr>
        <w:t>nE,,, </w:t>
      </w:r>
      <w:r>
        <w:rPr>
          <w:color w:val="010101"/>
          <w:sz w:val="17"/>
        </w:rPr>
        <w:t>is calculated  </w:t>
      </w:r>
      <w:r>
        <w:rPr>
          <w:color w:val="010101"/>
          <w:w w:val="110"/>
          <w:sz w:val="17"/>
        </w:rPr>
        <w:t>at </w:t>
      </w:r>
      <w:r>
        <w:rPr>
          <w:color w:val="010101"/>
          <w:sz w:val="17"/>
        </w:rPr>
        <w:t>rate  of </w:t>
      </w:r>
      <w:r>
        <w:rPr>
          <w:color w:val="010101"/>
          <w:spacing w:val="4"/>
          <w:sz w:val="17"/>
        </w:rPr>
        <w:t> </w:t>
      </w:r>
      <w:r>
        <w:rPr>
          <w:color w:val="010101"/>
          <w:sz w:val="17"/>
        </w:rPr>
        <w:t>interest</w:t>
      </w:r>
      <w:r>
        <w:rPr>
          <w:color w:val="010101"/>
          <w:spacing w:val="26"/>
          <w:sz w:val="17"/>
        </w:rPr>
        <w:t> </w:t>
      </w:r>
      <w:r>
        <w:rPr>
          <w:i/>
          <w:color w:val="010101"/>
          <w:w w:val="110"/>
          <w:sz w:val="18"/>
        </w:rPr>
        <w:t>i</w:t>
        <w:tab/>
      </w:r>
      <w:r>
        <w:rPr>
          <w:color w:val="010101"/>
          <w:w w:val="110"/>
          <w:position w:val="11"/>
          <w:sz w:val="17"/>
        </w:rPr>
        <w:t>1</w:t>
      </w:r>
    </w:p>
    <w:p>
      <w:pPr>
        <w:spacing w:line="114" w:lineRule="exact" w:before="0"/>
        <w:ind w:left="0" w:right="44" w:firstLine="0"/>
        <w:jc w:val="right"/>
        <w:rPr>
          <w:rFonts w:ascii="Arial"/>
          <w:i/>
          <w:sz w:val="11"/>
        </w:rPr>
      </w:pPr>
      <w:r>
        <w:rPr>
          <w:rFonts w:ascii="Arial"/>
          <w:i/>
          <w:color w:val="010101"/>
          <w:w w:val="117"/>
          <w:sz w:val="11"/>
        </w:rPr>
        <w:t>8</w:t>
      </w:r>
    </w:p>
    <w:p>
      <w:pPr>
        <w:pStyle w:val="BodyText"/>
        <w:spacing w:before="6"/>
        <w:rPr>
          <w:rFonts w:ascii="Arial"/>
          <w:i/>
          <w:sz w:val="21"/>
        </w:rPr>
      </w:pPr>
      <w:r>
        <w:rPr/>
        <w:br w:type="column"/>
      </w:r>
      <w:r>
        <w:rPr>
          <w:rFonts w:ascii="Arial"/>
          <w:i/>
          <w:sz w:val="21"/>
        </w:rPr>
      </w:r>
    </w:p>
    <w:p>
      <w:pPr>
        <w:spacing w:before="0"/>
        <w:ind w:left="134" w:right="0" w:firstLine="0"/>
        <w:jc w:val="left"/>
        <w:rPr>
          <w:rFonts w:ascii="Arial"/>
          <w:i/>
          <w:sz w:val="11"/>
        </w:rPr>
      </w:pPr>
      <w:r>
        <w:rPr>
          <w:color w:val="010101"/>
          <w:w w:val="115"/>
          <w:sz w:val="17"/>
        </w:rPr>
        <w:t>1, </w:t>
      </w:r>
      <w:r>
        <w:rPr>
          <w:rFonts w:ascii="Arial"/>
          <w:i/>
          <w:color w:val="010101"/>
          <w:w w:val="115"/>
          <w:sz w:val="11"/>
        </w:rPr>
        <w:t>8</w:t>
      </w:r>
    </w:p>
    <w:p>
      <w:pPr>
        <w:spacing w:after="0"/>
        <w:jc w:val="left"/>
        <w:rPr>
          <w:rFonts w:ascii="Arial"/>
          <w:sz w:val="11"/>
        </w:rPr>
        <w:sectPr>
          <w:type w:val="continuous"/>
          <w:pgSz w:w="7200" w:h="11340"/>
          <w:pgMar w:top="1100" w:bottom="0" w:left="680" w:right="540"/>
          <w:cols w:num="2" w:equalWidth="0">
            <w:col w:w="5329" w:space="119"/>
            <w:col w:w="532"/>
          </w:cols>
        </w:sectPr>
      </w:pPr>
    </w:p>
    <w:p>
      <w:pPr>
        <w:spacing w:before="1"/>
        <w:ind w:left="145" w:right="739" w:firstLine="0"/>
        <w:jc w:val="left"/>
        <w:rPr>
          <w:sz w:val="17"/>
        </w:rPr>
      </w:pPr>
      <w:r>
        <w:rPr>
          <w:color w:val="010101"/>
          <w:w w:val="110"/>
          <w:sz w:val="17"/>
        </w:rPr>
        <w:t>being  the  usual  Makeham constant.</w:t>
      </w:r>
    </w:p>
    <w:p>
      <w:pPr>
        <w:pStyle w:val="ListParagraph"/>
        <w:numPr>
          <w:ilvl w:val="1"/>
          <w:numId w:val="95"/>
        </w:numPr>
        <w:tabs>
          <w:tab w:pos="591" w:val="left" w:leader="none"/>
        </w:tabs>
        <w:spacing w:line="240" w:lineRule="auto" w:before="13" w:after="0"/>
        <w:ind w:left="145" w:right="131" w:firstLine="169"/>
        <w:jc w:val="both"/>
        <w:rPr>
          <w:color w:val="010101"/>
          <w:sz w:val="16"/>
        </w:rPr>
      </w:pPr>
      <w:r>
        <w:rPr>
          <w:color w:val="010101"/>
          <w:w w:val="110"/>
          <w:sz w:val="17"/>
        </w:rPr>
        <w:t>Prove that </w:t>
      </w:r>
      <w:r>
        <w:rPr>
          <w:color w:val="010101"/>
          <w:w w:val="105"/>
          <w:sz w:val="17"/>
        </w:rPr>
        <w:t>if a. </w:t>
      </w:r>
      <w:r>
        <w:rPr>
          <w:color w:val="010101"/>
          <w:w w:val="110"/>
          <w:sz w:val="17"/>
        </w:rPr>
        <w:t>mortality table is constructed according to  Make­ ham's</w:t>
      </w:r>
      <w:r>
        <w:rPr>
          <w:color w:val="010101"/>
          <w:spacing w:val="-9"/>
          <w:w w:val="110"/>
          <w:sz w:val="17"/>
        </w:rPr>
        <w:t> </w:t>
      </w:r>
      <w:r>
        <w:rPr>
          <w:color w:val="010101"/>
          <w:w w:val="110"/>
          <w:sz w:val="17"/>
        </w:rPr>
        <w:t>law</w:t>
      </w:r>
      <w:r>
        <w:rPr>
          <w:color w:val="010101"/>
          <w:spacing w:val="-2"/>
          <w:w w:val="110"/>
          <w:sz w:val="17"/>
        </w:rPr>
        <w:t> </w:t>
      </w:r>
      <w:r>
        <w:rPr>
          <w:color w:val="010101"/>
          <w:w w:val="110"/>
          <w:sz w:val="17"/>
        </w:rPr>
        <w:t>the</w:t>
      </w:r>
      <w:r>
        <w:rPr>
          <w:color w:val="010101"/>
          <w:spacing w:val="-4"/>
          <w:w w:val="110"/>
          <w:sz w:val="17"/>
        </w:rPr>
        <w:t> </w:t>
      </w:r>
      <w:r>
        <w:rPr>
          <w:color w:val="010101"/>
          <w:w w:val="110"/>
          <w:sz w:val="17"/>
        </w:rPr>
        <w:t>value </w:t>
      </w:r>
      <w:r>
        <w:rPr>
          <w:color w:val="010101"/>
          <w:w w:val="105"/>
          <w:sz w:val="17"/>
        </w:rPr>
        <w:t>of</w:t>
      </w:r>
      <w:r>
        <w:rPr>
          <w:color w:val="010101"/>
          <w:spacing w:val="11"/>
          <w:w w:val="105"/>
          <w:sz w:val="17"/>
        </w:rPr>
        <w:t> </w:t>
      </w:r>
      <w:r>
        <w:rPr>
          <w:color w:val="010101"/>
          <w:w w:val="110"/>
          <w:sz w:val="17"/>
        </w:rPr>
        <w:t>an</w:t>
      </w:r>
      <w:r>
        <w:rPr>
          <w:color w:val="010101"/>
          <w:spacing w:val="-10"/>
          <w:w w:val="110"/>
          <w:sz w:val="17"/>
        </w:rPr>
        <w:t> </w:t>
      </w:r>
      <w:r>
        <w:rPr>
          <w:color w:val="010101"/>
          <w:w w:val="110"/>
          <w:sz w:val="17"/>
        </w:rPr>
        <w:t>annuity</w:t>
      </w:r>
      <w:r>
        <w:rPr>
          <w:color w:val="010101"/>
          <w:spacing w:val="2"/>
          <w:w w:val="110"/>
          <w:sz w:val="17"/>
        </w:rPr>
        <w:t> </w:t>
      </w:r>
      <w:r>
        <w:rPr>
          <w:color w:val="010101"/>
          <w:w w:val="110"/>
          <w:sz w:val="17"/>
        </w:rPr>
        <w:t>on</w:t>
      </w:r>
      <w:r>
        <w:rPr>
          <w:color w:val="010101"/>
          <w:spacing w:val="-15"/>
          <w:w w:val="110"/>
          <w:sz w:val="17"/>
        </w:rPr>
        <w:t> </w:t>
      </w:r>
      <w:r>
        <w:rPr>
          <w:i/>
          <w:color w:val="010101"/>
          <w:w w:val="110"/>
          <w:sz w:val="17"/>
        </w:rPr>
        <w:t>m</w:t>
      </w:r>
      <w:r>
        <w:rPr>
          <w:i/>
          <w:color w:val="010101"/>
          <w:spacing w:val="-19"/>
          <w:w w:val="110"/>
          <w:sz w:val="17"/>
        </w:rPr>
        <w:t> </w:t>
      </w:r>
      <w:r>
        <w:rPr>
          <w:color w:val="010101"/>
          <w:w w:val="110"/>
          <w:sz w:val="17"/>
        </w:rPr>
        <w:t>joint</w:t>
      </w:r>
      <w:r>
        <w:rPr>
          <w:color w:val="010101"/>
          <w:spacing w:val="12"/>
          <w:w w:val="110"/>
          <w:sz w:val="17"/>
        </w:rPr>
        <w:t> </w:t>
      </w:r>
      <w:r>
        <w:rPr>
          <w:color w:val="010101"/>
          <w:w w:val="110"/>
          <w:sz w:val="17"/>
        </w:rPr>
        <w:t>lives</w:t>
      </w:r>
      <w:r>
        <w:rPr>
          <w:color w:val="010101"/>
          <w:spacing w:val="-6"/>
          <w:w w:val="110"/>
          <w:sz w:val="17"/>
        </w:rPr>
        <w:t> </w:t>
      </w:r>
      <w:r>
        <w:rPr>
          <w:color w:val="010101"/>
          <w:w w:val="110"/>
          <w:sz w:val="17"/>
        </w:rPr>
        <w:t>aged</w:t>
      </w:r>
      <w:r>
        <w:rPr>
          <w:color w:val="010101"/>
          <w:spacing w:val="-1"/>
          <w:w w:val="110"/>
          <w:sz w:val="17"/>
        </w:rPr>
        <w:t> </w:t>
      </w:r>
      <w:r>
        <w:rPr>
          <w:i/>
          <w:color w:val="010101"/>
          <w:w w:val="105"/>
          <w:sz w:val="17"/>
        </w:rPr>
        <w:t>x</w:t>
      </w:r>
      <w:r>
        <w:rPr>
          <w:i/>
          <w:color w:val="010101"/>
          <w:spacing w:val="-17"/>
          <w:w w:val="105"/>
          <w:sz w:val="17"/>
        </w:rPr>
        <w:t> </w:t>
      </w:r>
      <w:r>
        <w:rPr>
          <w:i/>
          <w:color w:val="010101"/>
          <w:w w:val="105"/>
          <w:sz w:val="17"/>
        </w:rPr>
        <w:t>,</w:t>
      </w:r>
      <w:r>
        <w:rPr>
          <w:i/>
          <w:color w:val="010101"/>
          <w:spacing w:val="-3"/>
          <w:w w:val="105"/>
          <w:sz w:val="17"/>
        </w:rPr>
        <w:t> </w:t>
      </w:r>
      <w:r>
        <w:rPr>
          <w:i/>
          <w:color w:val="010101"/>
          <w:w w:val="105"/>
          <w:sz w:val="16"/>
        </w:rPr>
        <w:t>y</w:t>
      </w:r>
      <w:r>
        <w:rPr>
          <w:i/>
          <w:color w:val="010101"/>
          <w:spacing w:val="-8"/>
          <w:w w:val="105"/>
          <w:sz w:val="16"/>
        </w:rPr>
        <w:t> </w:t>
      </w:r>
      <w:r>
        <w:rPr>
          <w:i/>
          <w:color w:val="010101"/>
          <w:w w:val="105"/>
          <w:sz w:val="16"/>
        </w:rPr>
        <w:t>,</w:t>
      </w:r>
      <w:r>
        <w:rPr>
          <w:i/>
          <w:color w:val="010101"/>
          <w:spacing w:val="-7"/>
          <w:w w:val="105"/>
          <w:sz w:val="16"/>
        </w:rPr>
        <w:t> </w:t>
      </w:r>
      <w:r>
        <w:rPr>
          <w:i/>
          <w:color w:val="010101"/>
          <w:w w:val="105"/>
          <w:sz w:val="17"/>
        </w:rPr>
        <w:t>z</w:t>
      </w:r>
      <w:r>
        <w:rPr>
          <w:i/>
          <w:color w:val="010101"/>
          <w:spacing w:val="-17"/>
          <w:w w:val="105"/>
          <w:sz w:val="17"/>
        </w:rPr>
        <w:t> </w:t>
      </w:r>
      <w:r>
        <w:rPr>
          <w:i/>
          <w:color w:val="010101"/>
          <w:w w:val="105"/>
          <w:sz w:val="17"/>
        </w:rPr>
        <w:t>,</w:t>
      </w:r>
      <w:r>
        <w:rPr>
          <w:i/>
          <w:color w:val="010101"/>
          <w:spacing w:val="10"/>
          <w:w w:val="105"/>
          <w:sz w:val="17"/>
        </w:rPr>
        <w:t> </w:t>
      </w:r>
      <w:r>
        <w:rPr>
          <w:color w:val="010101"/>
          <w:spacing w:val="5"/>
          <w:w w:val="110"/>
          <w:sz w:val="17"/>
        </w:rPr>
        <w:t>···</w:t>
      </w:r>
      <w:r>
        <w:rPr>
          <w:color w:val="010101"/>
          <w:spacing w:val="-22"/>
          <w:w w:val="110"/>
          <w:sz w:val="17"/>
        </w:rPr>
        <w:t> </w:t>
      </w:r>
      <w:r>
        <w:rPr>
          <w:color w:val="010101"/>
          <w:w w:val="110"/>
          <w:sz w:val="17"/>
        </w:rPr>
        <w:t>calculated at </w:t>
      </w:r>
      <w:r>
        <w:rPr>
          <w:color w:val="010101"/>
          <w:w w:val="105"/>
          <w:sz w:val="17"/>
        </w:rPr>
        <w:t>a. </w:t>
      </w:r>
      <w:r>
        <w:rPr>
          <w:color w:val="010101"/>
          <w:w w:val="110"/>
          <w:sz w:val="17"/>
        </w:rPr>
        <w:t>rate </w:t>
      </w:r>
      <w:r>
        <w:rPr>
          <w:color w:val="010101"/>
          <w:w w:val="105"/>
          <w:sz w:val="17"/>
        </w:rPr>
        <w:t>of </w:t>
      </w:r>
      <w:r>
        <w:rPr>
          <w:color w:val="010101"/>
          <w:w w:val="110"/>
          <w:sz w:val="17"/>
        </w:rPr>
        <w:t>interest </w:t>
      </w:r>
      <w:r>
        <w:rPr>
          <w:i/>
          <w:color w:val="010101"/>
          <w:w w:val="110"/>
          <w:sz w:val="18"/>
        </w:rPr>
        <w:t>i </w:t>
      </w:r>
      <w:r>
        <w:rPr>
          <w:color w:val="010101"/>
          <w:w w:val="110"/>
          <w:sz w:val="17"/>
        </w:rPr>
        <w:t>is equal to the value </w:t>
      </w:r>
      <w:r>
        <w:rPr>
          <w:color w:val="010101"/>
          <w:w w:val="105"/>
          <w:sz w:val="17"/>
        </w:rPr>
        <w:t>of </w:t>
      </w:r>
      <w:r>
        <w:rPr>
          <w:color w:val="010101"/>
          <w:w w:val="110"/>
          <w:sz w:val="17"/>
        </w:rPr>
        <w:t>a single-life annuity at age </w:t>
      </w:r>
      <w:r>
        <w:rPr>
          <w:i/>
          <w:color w:val="010101"/>
          <w:w w:val="110"/>
          <w:sz w:val="16"/>
        </w:rPr>
        <w:t>w </w:t>
      </w:r>
      <w:r>
        <w:rPr>
          <w:color w:val="010101"/>
          <w:w w:val="110"/>
          <w:sz w:val="17"/>
        </w:rPr>
        <w:t>calculated  at </w:t>
      </w:r>
      <w:r>
        <w:rPr>
          <w:rFonts w:ascii="Arial" w:hAnsi="Arial"/>
          <w:color w:val="010101"/>
          <w:w w:val="110"/>
          <w:sz w:val="15"/>
        </w:rPr>
        <w:t>a </w:t>
      </w:r>
      <w:r>
        <w:rPr>
          <w:color w:val="010101"/>
          <w:w w:val="110"/>
          <w:sz w:val="17"/>
        </w:rPr>
        <w:t>rate  </w:t>
      </w:r>
      <w:r>
        <w:rPr>
          <w:color w:val="010101"/>
          <w:w w:val="105"/>
          <w:sz w:val="17"/>
        </w:rPr>
        <w:t>of  </w:t>
      </w:r>
      <w:r>
        <w:rPr>
          <w:color w:val="010101"/>
          <w:w w:val="110"/>
          <w:sz w:val="17"/>
        </w:rPr>
        <w:t>interest  </w:t>
      </w:r>
      <w:r>
        <w:rPr>
          <w:color w:val="010101"/>
          <w:w w:val="145"/>
          <w:sz w:val="17"/>
        </w:rPr>
        <w:t>i'</w:t>
      </w:r>
      <w:r>
        <w:rPr>
          <w:color w:val="010101"/>
          <w:spacing w:val="-6"/>
          <w:w w:val="145"/>
          <w:sz w:val="17"/>
        </w:rPr>
        <w:t> </w:t>
      </w:r>
      <w:r>
        <w:rPr>
          <w:color w:val="010101"/>
          <w:w w:val="110"/>
          <w:sz w:val="17"/>
        </w:rPr>
        <w:t>where</w:t>
      </w:r>
    </w:p>
    <w:p>
      <w:pPr>
        <w:tabs>
          <w:tab w:pos="366" w:val="left" w:leader="none"/>
        </w:tabs>
        <w:spacing w:line="223" w:lineRule="exact" w:before="42"/>
        <w:ind w:left="0" w:right="336" w:firstLine="0"/>
        <w:jc w:val="center"/>
        <w:rPr>
          <w:i/>
          <w:sz w:val="18"/>
        </w:rPr>
      </w:pPr>
      <w:r>
        <w:rPr>
          <w:color w:val="010101"/>
          <w:w w:val="115"/>
          <w:sz w:val="18"/>
        </w:rPr>
        <w:t>.,</w:t>
        <w:tab/>
      </w:r>
      <w:r>
        <w:rPr>
          <w:b/>
          <w:color w:val="010101"/>
          <w:w w:val="115"/>
          <w:sz w:val="18"/>
        </w:rPr>
        <w:t>1 </w:t>
      </w:r>
      <w:r>
        <w:rPr>
          <w:rFonts w:ascii="Arial"/>
          <w:color w:val="010101"/>
          <w:w w:val="115"/>
          <w:sz w:val="28"/>
        </w:rPr>
        <w:t>+</w:t>
      </w:r>
      <w:r>
        <w:rPr>
          <w:rFonts w:ascii="Arial"/>
          <w:color w:val="010101"/>
          <w:spacing w:val="-75"/>
          <w:w w:val="115"/>
          <w:sz w:val="28"/>
        </w:rPr>
        <w:t> </w:t>
      </w:r>
      <w:r>
        <w:rPr>
          <w:i/>
          <w:color w:val="010101"/>
          <w:w w:val="120"/>
          <w:sz w:val="18"/>
        </w:rPr>
        <w:t>i</w:t>
      </w:r>
    </w:p>
    <w:p>
      <w:pPr>
        <w:spacing w:after="0" w:line="223" w:lineRule="exact"/>
        <w:jc w:val="center"/>
        <w:rPr>
          <w:sz w:val="18"/>
        </w:rPr>
        <w:sectPr>
          <w:type w:val="continuous"/>
          <w:pgSz w:w="7200" w:h="11340"/>
          <w:pgMar w:top="1100" w:bottom="0" w:left="680" w:right="540"/>
        </w:sectPr>
      </w:pPr>
    </w:p>
    <w:p>
      <w:pPr>
        <w:spacing w:line="275" w:lineRule="exact" w:before="0"/>
        <w:ind w:left="0" w:right="0" w:firstLine="0"/>
        <w:jc w:val="right"/>
        <w:rPr>
          <w:sz w:val="24"/>
        </w:rPr>
      </w:pPr>
      <w:r>
        <w:rPr>
          <w:i/>
          <w:color w:val="010101"/>
          <w:w w:val="205"/>
          <w:position w:val="9"/>
          <w:sz w:val="12"/>
        </w:rPr>
        <w:t>i </w:t>
      </w:r>
      <w:r>
        <w:rPr>
          <w:b/>
          <w:color w:val="010101"/>
          <w:w w:val="205"/>
          <w:position w:val="9"/>
          <w:sz w:val="17"/>
        </w:rPr>
        <w:t>- </w:t>
      </w:r>
      <w:r>
        <w:rPr>
          <w:color w:val="010101"/>
          <w:w w:val="105"/>
          <w:sz w:val="24"/>
        </w:rPr>
        <w:t>.,--1</w:t>
      </w:r>
    </w:p>
    <w:p>
      <w:pPr>
        <w:spacing w:line="174" w:lineRule="exact" w:before="0"/>
        <w:ind w:left="69" w:right="0" w:firstLine="0"/>
        <w:jc w:val="left"/>
        <w:rPr>
          <w:b/>
          <w:sz w:val="17"/>
        </w:rPr>
      </w:pPr>
      <w:r>
        <w:rPr/>
        <w:br w:type="column"/>
      </w:r>
      <w:r>
        <w:rPr>
          <w:b/>
          <w:color w:val="010101"/>
          <w:w w:val="220"/>
          <w:sz w:val="17"/>
        </w:rPr>
        <w:t>- </w:t>
      </w:r>
      <w:r>
        <w:rPr>
          <w:b/>
          <w:color w:val="010101"/>
          <w:w w:val="110"/>
          <w:sz w:val="17"/>
        </w:rPr>
        <w:t>1.</w:t>
      </w:r>
    </w:p>
    <w:p>
      <w:pPr>
        <w:spacing w:after="0" w:line="174" w:lineRule="exact"/>
        <w:jc w:val="left"/>
        <w:rPr>
          <w:sz w:val="17"/>
        </w:rPr>
        <w:sectPr>
          <w:type w:val="continuous"/>
          <w:pgSz w:w="7200" w:h="11340"/>
          <w:pgMar w:top="1100" w:bottom="0" w:left="680" w:right="540"/>
          <w:cols w:num="2" w:equalWidth="0">
            <w:col w:w="3177" w:space="40"/>
            <w:col w:w="2763"/>
          </w:cols>
        </w:sectPr>
      </w:pPr>
    </w:p>
    <w:p>
      <w:pPr>
        <w:pStyle w:val="BodyText"/>
        <w:spacing w:before="6"/>
        <w:rPr>
          <w:b/>
          <w:sz w:val="9"/>
        </w:rPr>
      </w:pPr>
    </w:p>
    <w:p>
      <w:pPr>
        <w:spacing w:before="79"/>
        <w:ind w:left="152" w:right="739" w:firstLine="0"/>
        <w:jc w:val="left"/>
        <w:rPr>
          <w:sz w:val="17"/>
        </w:rPr>
      </w:pPr>
      <w:r>
        <w:rPr>
          <w:color w:val="010101"/>
          <w:w w:val="105"/>
          <w:sz w:val="17"/>
        </w:rPr>
        <w:t>Show tha.t  the a.ge </w:t>
      </w:r>
      <w:r>
        <w:rPr>
          <w:i/>
          <w:color w:val="010101"/>
          <w:w w:val="105"/>
          <w:sz w:val="16"/>
        </w:rPr>
        <w:t>w </w:t>
      </w:r>
      <w:r>
        <w:rPr>
          <w:color w:val="010101"/>
          <w:w w:val="105"/>
          <w:sz w:val="17"/>
        </w:rPr>
        <w:t>may  be detennined  from  the  relation</w:t>
      </w:r>
    </w:p>
    <w:p>
      <w:pPr>
        <w:spacing w:line="155" w:lineRule="exact" w:before="86"/>
        <w:ind w:left="2546" w:right="739" w:firstLine="0"/>
        <w:jc w:val="left"/>
        <w:rPr>
          <w:sz w:val="23"/>
        </w:rPr>
      </w:pPr>
      <w:r>
        <w:rPr>
          <w:b/>
          <w:i/>
          <w:color w:val="010101"/>
          <w:w w:val="75"/>
          <w:sz w:val="13"/>
        </w:rPr>
        <w:t>J.l:,e  </w:t>
      </w:r>
      <w:r>
        <w:rPr>
          <w:color w:val="010101"/>
          <w:sz w:val="23"/>
        </w:rPr>
        <w:t>+ </w:t>
      </w:r>
      <w:r>
        <w:rPr>
          <w:b/>
          <w:i/>
          <w:color w:val="010101"/>
          <w:w w:val="75"/>
          <w:sz w:val="12"/>
        </w:rPr>
        <w:t>J.111  </w:t>
      </w:r>
      <w:r>
        <w:rPr>
          <w:color w:val="010101"/>
          <w:sz w:val="23"/>
        </w:rPr>
        <w:t>+ </w:t>
      </w:r>
      <w:r>
        <w:rPr>
          <w:b/>
          <w:color w:val="010101"/>
          <w:w w:val="75"/>
          <w:sz w:val="13"/>
        </w:rPr>
        <w:t>P.a  </w:t>
      </w:r>
      <w:r>
        <w:rPr>
          <w:color w:val="010101"/>
          <w:sz w:val="23"/>
        </w:rPr>
        <w:t>+ </w:t>
      </w:r>
      <w:r>
        <w:rPr>
          <w:color w:val="010101"/>
          <w:w w:val="75"/>
          <w:sz w:val="23"/>
        </w:rPr>
        <w:t>• • •</w:t>
      </w:r>
    </w:p>
    <w:p>
      <w:pPr>
        <w:spacing w:line="192" w:lineRule="exact" w:before="0"/>
        <w:ind w:left="1986" w:right="739" w:firstLine="0"/>
        <w:jc w:val="left"/>
        <w:rPr>
          <w:sz w:val="23"/>
        </w:rPr>
      </w:pPr>
      <w:r>
        <w:rPr/>
        <w:pict>
          <v:line style="position:absolute;mso-position-horizontal-relative:page;mso-position-vertical-relative:paragraph;z-index:16336" from="207.6371pt,3.231448pt" to="209.9701pt,3.231448pt" stroked="true" strokeweight=".538385pt" strokecolor="#000000">
            <w10:wrap type="none"/>
          </v:line>
        </w:pict>
      </w:r>
      <w:r>
        <w:rPr>
          <w:b/>
          <w:i/>
          <w:color w:val="010101"/>
          <w:sz w:val="11"/>
        </w:rPr>
        <w:t>11.-+,\  </w:t>
      </w:r>
      <w:r>
        <w:rPr>
          <w:color w:val="010101"/>
          <w:sz w:val="23"/>
        </w:rPr>
        <w:t>=</w:t>
      </w:r>
    </w:p>
    <w:p>
      <w:pPr>
        <w:spacing w:line="129" w:lineRule="exact" w:before="0"/>
        <w:ind w:left="612" w:right="0" w:firstLine="0"/>
        <w:jc w:val="center"/>
        <w:rPr>
          <w:rFonts w:ascii="Arial"/>
          <w:i/>
          <w:sz w:val="15"/>
        </w:rPr>
      </w:pPr>
      <w:r>
        <w:rPr>
          <w:rFonts w:ascii="Arial"/>
          <w:i/>
          <w:color w:val="010101"/>
          <w:w w:val="107"/>
          <w:sz w:val="15"/>
        </w:rPr>
        <w:t>m</w:t>
      </w:r>
    </w:p>
    <w:p>
      <w:pPr>
        <w:spacing w:after="0" w:line="129" w:lineRule="exact"/>
        <w:jc w:val="center"/>
        <w:rPr>
          <w:rFonts w:ascii="Arial"/>
          <w:sz w:val="15"/>
        </w:rPr>
        <w:sectPr>
          <w:type w:val="continuous"/>
          <w:pgSz w:w="7200" w:h="11340"/>
          <w:pgMar w:top="1100" w:bottom="0" w:left="680" w:right="540"/>
        </w:sectPr>
      </w:pPr>
    </w:p>
    <w:p>
      <w:pPr>
        <w:pStyle w:val="BodyText"/>
        <w:rPr>
          <w:rFonts w:ascii="Arial"/>
          <w:i/>
          <w:sz w:val="16"/>
        </w:rPr>
      </w:pPr>
    </w:p>
    <w:p>
      <w:pPr>
        <w:spacing w:before="143"/>
        <w:ind w:left="156" w:right="-20" w:firstLine="0"/>
        <w:jc w:val="left"/>
        <w:rPr>
          <w:sz w:val="17"/>
        </w:rPr>
      </w:pPr>
      <w:r>
        <w:rPr>
          <w:color w:val="010101"/>
          <w:w w:val="105"/>
          <w:sz w:val="17"/>
        </w:rPr>
        <w:t>where</w:t>
      </w:r>
    </w:p>
    <w:p>
      <w:pPr>
        <w:pStyle w:val="BodyText"/>
        <w:spacing w:before="8"/>
        <w:rPr>
          <w:sz w:val="14"/>
        </w:rPr>
      </w:pPr>
      <w:r>
        <w:rPr/>
        <w:br w:type="column"/>
      </w:r>
      <w:r>
        <w:rPr>
          <w:sz w:val="14"/>
        </w:rPr>
      </w:r>
    </w:p>
    <w:p>
      <w:pPr>
        <w:spacing w:line="165" w:lineRule="exact" w:before="0"/>
        <w:ind w:left="680" w:right="0" w:firstLine="0"/>
        <w:jc w:val="left"/>
        <w:rPr>
          <w:rFonts w:ascii="Arial"/>
          <w:i/>
          <w:sz w:val="14"/>
        </w:rPr>
      </w:pPr>
      <w:r>
        <w:rPr>
          <w:color w:val="010101"/>
          <w:w w:val="115"/>
          <w:sz w:val="17"/>
        </w:rPr>
        <w:t>log </w:t>
      </w:r>
      <w:r>
        <w:rPr>
          <w:rFonts w:ascii="Arial"/>
          <w:i/>
          <w:color w:val="010101"/>
          <w:w w:val="115"/>
          <w:sz w:val="14"/>
        </w:rPr>
        <w:t>m</w:t>
      </w:r>
    </w:p>
    <w:p>
      <w:pPr>
        <w:spacing w:line="234" w:lineRule="exact" w:before="0"/>
        <w:ind w:left="156" w:right="0" w:firstLine="0"/>
        <w:jc w:val="left"/>
        <w:rPr>
          <w:i/>
          <w:sz w:val="18"/>
        </w:rPr>
      </w:pPr>
      <w:r>
        <w:rPr>
          <w:rFonts w:ascii="Arial" w:hAnsi="Arial"/>
          <w:i/>
          <w:color w:val="010101"/>
          <w:w w:val="110"/>
          <w:sz w:val="16"/>
        </w:rPr>
        <w:t>h  </w:t>
      </w:r>
      <w:r>
        <w:rPr>
          <w:color w:val="010101"/>
          <w:w w:val="110"/>
          <w:sz w:val="23"/>
        </w:rPr>
        <w:t>=  </w:t>
      </w:r>
      <w:r>
        <w:rPr>
          <w:color w:val="010101"/>
          <w:w w:val="120"/>
          <w:sz w:val="23"/>
        </w:rPr>
        <w:t>-</w:t>
      </w:r>
      <w:r>
        <w:rPr>
          <w:color w:val="010101"/>
          <w:w w:val="120"/>
          <w:sz w:val="17"/>
          <w:u w:val="thick" w:color="000000"/>
        </w:rPr>
        <w:t>log </w:t>
      </w:r>
      <w:r>
        <w:rPr>
          <w:i/>
          <w:color w:val="010101"/>
          <w:w w:val="110"/>
          <w:sz w:val="18"/>
          <w:u w:val="thick" w:color="000000"/>
        </w:rPr>
        <w:t>e </w:t>
      </w:r>
      <w:r>
        <w:rPr>
          <w:i/>
          <w:color w:val="010101"/>
          <w:w w:val="120"/>
          <w:sz w:val="18"/>
        </w:rPr>
        <w:t>·</w:t>
      </w:r>
    </w:p>
    <w:p>
      <w:pPr>
        <w:spacing w:after="0" w:line="234" w:lineRule="exact"/>
        <w:jc w:val="left"/>
        <w:rPr>
          <w:sz w:val="18"/>
        </w:rPr>
        <w:sectPr>
          <w:type w:val="continuous"/>
          <w:pgSz w:w="7200" w:h="11340"/>
          <w:pgMar w:top="1100" w:bottom="0" w:left="680" w:right="540"/>
          <w:cols w:num="2" w:equalWidth="0">
            <w:col w:w="593" w:space="1705"/>
            <w:col w:w="3682"/>
          </w:cols>
        </w:sectPr>
      </w:pPr>
    </w:p>
    <w:p>
      <w:pPr>
        <w:pStyle w:val="BodyText"/>
        <w:spacing w:before="9"/>
        <w:rPr>
          <w:i/>
          <w:sz w:val="14"/>
        </w:rPr>
      </w:pPr>
    </w:p>
    <w:p>
      <w:pPr>
        <w:spacing w:before="80"/>
        <w:ind w:left="156" w:right="739" w:firstLine="0"/>
        <w:jc w:val="left"/>
        <w:rPr>
          <w:b/>
          <w:sz w:val="16"/>
        </w:rPr>
      </w:pPr>
      <w:r>
        <w:rPr>
          <w:b/>
          <w:color w:val="010101"/>
          <w:w w:val="125"/>
          <w:sz w:val="16"/>
        </w:rPr>
        <w:t>5. The law of uniform seniority</w:t>
      </w:r>
    </w:p>
    <w:p>
      <w:pPr>
        <w:spacing w:line="202" w:lineRule="exact" w:before="80"/>
        <w:ind w:left="920" w:right="104" w:hanging="596"/>
        <w:jc w:val="left"/>
        <w:rPr>
          <w:sz w:val="17"/>
        </w:rPr>
      </w:pPr>
      <w:r>
        <w:rPr>
          <w:color w:val="010101"/>
          <w:w w:val="110"/>
          <w:sz w:val="17"/>
        </w:rPr>
        <w:t>13. (a) Use the table of unifonn seniority to evaluate a,</w:t>
      </w:r>
      <w:r>
        <w:rPr>
          <w:rFonts w:ascii="Arial"/>
          <w:color w:val="010101"/>
          <w:w w:val="110"/>
          <w:position w:val="-2"/>
          <w:sz w:val="9"/>
        </w:rPr>
        <w:t>0 </w:t>
      </w:r>
      <w:r>
        <w:rPr>
          <w:color w:val="010101"/>
          <w:w w:val="110"/>
          <w:sz w:val="17"/>
        </w:rPr>
        <w:t>,,o on the </w:t>
      </w:r>
      <w:r>
        <w:rPr>
          <w:color w:val="010101"/>
          <w:spacing w:val="-10"/>
          <w:w w:val="110"/>
          <w:sz w:val="17"/>
        </w:rPr>
        <w:t>1941 </w:t>
      </w:r>
      <w:r>
        <w:rPr>
          <w:color w:val="010101"/>
          <w:w w:val="110"/>
          <w:sz w:val="17"/>
        </w:rPr>
        <w:t>CSO</w:t>
      </w:r>
      <w:r>
        <w:rPr>
          <w:color w:val="010101"/>
          <w:spacing w:val="-12"/>
          <w:w w:val="110"/>
          <w:sz w:val="17"/>
        </w:rPr>
        <w:t> </w:t>
      </w:r>
      <w:r>
        <w:rPr>
          <w:color w:val="010101"/>
          <w:w w:val="110"/>
          <w:sz w:val="21"/>
        </w:rPr>
        <w:t>21%</w:t>
      </w:r>
      <w:r>
        <w:rPr>
          <w:color w:val="010101"/>
          <w:spacing w:val="-38"/>
          <w:w w:val="110"/>
          <w:sz w:val="21"/>
        </w:rPr>
        <w:t> </w:t>
      </w:r>
      <w:r>
        <w:rPr>
          <w:color w:val="010101"/>
          <w:w w:val="110"/>
          <w:sz w:val="17"/>
        </w:rPr>
        <w:t>basis.</w:t>
      </w:r>
      <w:r>
        <w:rPr>
          <w:color w:val="010101"/>
          <w:spacing w:val="-5"/>
          <w:w w:val="110"/>
          <w:sz w:val="17"/>
        </w:rPr>
        <w:t> </w:t>
      </w:r>
      <w:r>
        <w:rPr>
          <w:color w:val="010101"/>
          <w:w w:val="110"/>
          <w:sz w:val="17"/>
        </w:rPr>
        <w:t>Compare</w:t>
      </w:r>
      <w:r>
        <w:rPr>
          <w:color w:val="010101"/>
          <w:spacing w:val="-8"/>
          <w:w w:val="110"/>
          <w:sz w:val="17"/>
        </w:rPr>
        <w:t> </w:t>
      </w:r>
      <w:r>
        <w:rPr>
          <w:color w:val="010101"/>
          <w:w w:val="110"/>
          <w:sz w:val="17"/>
        </w:rPr>
        <w:t>your</w:t>
      </w:r>
      <w:r>
        <w:rPr>
          <w:color w:val="010101"/>
          <w:spacing w:val="-6"/>
          <w:w w:val="110"/>
          <w:sz w:val="17"/>
        </w:rPr>
        <w:t> </w:t>
      </w:r>
      <w:r>
        <w:rPr>
          <w:color w:val="010101"/>
          <w:w w:val="110"/>
          <w:sz w:val="17"/>
        </w:rPr>
        <w:t>answer</w:t>
      </w:r>
      <w:r>
        <w:rPr>
          <w:color w:val="010101"/>
          <w:spacing w:val="-13"/>
          <w:w w:val="110"/>
          <w:sz w:val="17"/>
        </w:rPr>
        <w:t> </w:t>
      </w:r>
      <w:r>
        <w:rPr>
          <w:color w:val="010101"/>
          <w:w w:val="110"/>
          <w:sz w:val="17"/>
        </w:rPr>
        <w:t>with that</w:t>
      </w:r>
      <w:r>
        <w:rPr>
          <w:color w:val="010101"/>
          <w:spacing w:val="-1"/>
          <w:w w:val="110"/>
          <w:sz w:val="17"/>
        </w:rPr>
        <w:t> </w:t>
      </w:r>
      <w:r>
        <w:rPr>
          <w:color w:val="010101"/>
          <w:w w:val="110"/>
          <w:sz w:val="17"/>
        </w:rPr>
        <w:t>obtained in</w:t>
      </w:r>
      <w:r>
        <w:rPr>
          <w:color w:val="010101"/>
          <w:spacing w:val="-12"/>
          <w:w w:val="110"/>
          <w:sz w:val="17"/>
        </w:rPr>
        <w:t> </w:t>
      </w:r>
      <w:r>
        <w:rPr>
          <w:color w:val="010101"/>
          <w:w w:val="110"/>
          <w:sz w:val="17"/>
        </w:rPr>
        <w:t>exer-</w:t>
      </w:r>
    </w:p>
    <w:p>
      <w:pPr>
        <w:spacing w:after="0" w:line="202" w:lineRule="exact"/>
        <w:jc w:val="left"/>
        <w:rPr>
          <w:sz w:val="17"/>
        </w:rPr>
        <w:sectPr>
          <w:type w:val="continuous"/>
          <w:pgSz w:w="7200" w:h="11340"/>
          <w:pgMar w:top="1100" w:bottom="0" w:left="680" w:right="540"/>
        </w:sectPr>
      </w:pPr>
    </w:p>
    <w:p>
      <w:pPr>
        <w:tabs>
          <w:tab w:pos="2023" w:val="left" w:leader="none"/>
          <w:tab w:pos="5389" w:val="left" w:leader="none"/>
        </w:tabs>
        <w:spacing w:before="61"/>
        <w:ind w:left="932" w:right="0" w:hanging="758"/>
        <w:jc w:val="left"/>
        <w:rPr>
          <w:rFonts w:ascii="Arial"/>
          <w:sz w:val="19"/>
        </w:rPr>
      </w:pPr>
      <w:r>
        <w:rPr>
          <w:rFonts w:ascii="Arial"/>
          <w:color w:val="010101"/>
          <w:position w:val="1"/>
          <w:sz w:val="19"/>
        </w:rPr>
        <w:t>208</w:t>
        <w:tab/>
      </w:r>
      <w:r>
        <w:rPr>
          <w:color w:val="010101"/>
          <w:position w:val="1"/>
          <w:sz w:val="15"/>
        </w:rPr>
        <w:t>THE   </w:t>
      </w:r>
      <w:r>
        <w:rPr>
          <w:color w:val="010101"/>
          <w:spacing w:val="7"/>
          <w:position w:val="1"/>
          <w:sz w:val="15"/>
        </w:rPr>
        <w:t> </w:t>
      </w:r>
      <w:r>
        <w:rPr>
          <w:color w:val="010101"/>
          <w:position w:val="1"/>
          <w:sz w:val="15"/>
        </w:rPr>
        <w:t>JOINT-LIFE   </w:t>
      </w:r>
      <w:r>
        <w:rPr>
          <w:color w:val="010101"/>
          <w:spacing w:val="24"/>
          <w:position w:val="1"/>
          <w:sz w:val="15"/>
        </w:rPr>
        <w:t> </w:t>
      </w:r>
      <w:r>
        <w:rPr>
          <w:color w:val="010101"/>
          <w:position w:val="1"/>
          <w:sz w:val="15"/>
        </w:rPr>
        <w:t>STATUS</w:t>
        <w:tab/>
      </w:r>
      <w:r>
        <w:rPr>
          <w:color w:val="010101"/>
          <w:w w:val="95"/>
          <w:sz w:val="20"/>
        </w:rPr>
        <w:t>[CH.</w:t>
      </w:r>
      <w:r>
        <w:rPr>
          <w:color w:val="010101"/>
          <w:spacing w:val="2"/>
          <w:w w:val="95"/>
          <w:sz w:val="20"/>
        </w:rPr>
        <w:t> </w:t>
      </w:r>
      <w:r>
        <w:rPr>
          <w:rFonts w:ascii="Arial"/>
          <w:color w:val="010101"/>
          <w:w w:val="95"/>
          <w:sz w:val="19"/>
        </w:rPr>
        <w:t>9</w:t>
      </w:r>
    </w:p>
    <w:p>
      <w:pPr>
        <w:pStyle w:val="BodyText"/>
        <w:spacing w:before="10"/>
        <w:rPr>
          <w:rFonts w:ascii="Arial"/>
        </w:rPr>
      </w:pPr>
    </w:p>
    <w:p>
      <w:pPr>
        <w:tabs>
          <w:tab w:pos="4765" w:val="left" w:leader="none"/>
        </w:tabs>
        <w:spacing w:line="194" w:lineRule="exact" w:before="0"/>
        <w:ind w:left="921" w:right="115" w:firstLine="10"/>
        <w:jc w:val="left"/>
        <w:rPr>
          <w:sz w:val="17"/>
        </w:rPr>
      </w:pPr>
      <w:r>
        <w:rPr>
          <w:color w:val="010101"/>
          <w:w w:val="105"/>
          <w:sz w:val="17"/>
        </w:rPr>
        <w:t>cise </w:t>
      </w:r>
      <w:r>
        <w:rPr>
          <w:color w:val="010101"/>
          <w:w w:val="109"/>
          <w:sz w:val="17"/>
        </w:rPr>
        <w:t>9(a) </w:t>
      </w:r>
      <w:r>
        <w:rPr>
          <w:color w:val="010101"/>
          <w:w w:val="111"/>
          <w:sz w:val="17"/>
        </w:rPr>
        <w:t>and </w:t>
      </w:r>
      <w:r>
        <w:rPr>
          <w:color w:val="010101"/>
          <w:w w:val="108"/>
          <w:sz w:val="17"/>
        </w:rPr>
        <w:t>explain </w:t>
      </w:r>
      <w:r>
        <w:rPr>
          <w:color w:val="010101"/>
          <w:w w:val="106"/>
          <w:sz w:val="17"/>
        </w:rPr>
        <w:t>why </w:t>
      </w:r>
      <w:r>
        <w:rPr>
          <w:color w:val="010101"/>
          <w:w w:val="111"/>
          <w:sz w:val="17"/>
        </w:rPr>
        <w:t>there </w:t>
      </w:r>
      <w:r>
        <w:rPr>
          <w:rFonts w:ascii="Arial"/>
          <w:color w:val="010101"/>
          <w:w w:val="100"/>
          <w:sz w:val="18"/>
        </w:rPr>
        <w:t>is </w:t>
      </w:r>
      <w:r>
        <w:rPr>
          <w:color w:val="010101"/>
          <w:w w:val="110"/>
          <w:sz w:val="17"/>
        </w:rPr>
        <w:t>not </w:t>
      </w:r>
      <w:r>
        <w:rPr>
          <w:color w:val="010101"/>
          <w:w w:val="116"/>
          <w:sz w:val="17"/>
        </w:rPr>
        <w:t>an </w:t>
      </w:r>
      <w:r>
        <w:rPr>
          <w:color w:val="010101"/>
          <w:w w:val="111"/>
          <w:sz w:val="17"/>
        </w:rPr>
        <w:t>exact </w:t>
      </w:r>
      <w:r>
        <w:rPr>
          <w:color w:val="010101"/>
          <w:spacing w:val="-1"/>
          <w:w w:val="124"/>
          <w:sz w:val="17"/>
        </w:rPr>
        <w:t>areemen</w:t>
      </w:r>
      <w:r>
        <w:rPr>
          <w:color w:val="010101"/>
          <w:w w:val="124"/>
          <w:sz w:val="17"/>
        </w:rPr>
        <w:t> </w:t>
      </w:r>
      <w:r>
        <w:rPr>
          <w:color w:val="010101"/>
          <w:w w:val="77"/>
          <w:sz w:val="17"/>
        </w:rPr>
        <w:t>t. </w:t>
      </w:r>
      <w:r>
        <w:rPr>
          <w:color w:val="010101"/>
          <w:w w:val="72"/>
          <w:sz w:val="17"/>
        </w:rPr>
        <w:t>i </w:t>
      </w:r>
      <w:r>
        <w:rPr>
          <w:color w:val="010101"/>
          <w:w w:val="93"/>
          <w:sz w:val="17"/>
        </w:rPr>
        <w:t>n </w:t>
      </w:r>
      <w:r>
        <w:rPr>
          <w:color w:val="010101"/>
          <w:w w:val="113"/>
          <w:sz w:val="17"/>
        </w:rPr>
        <w:t>the </w:t>
      </w:r>
      <w:r>
        <w:rPr>
          <w:color w:val="010101"/>
          <w:w w:val="105"/>
          <w:sz w:val="17"/>
        </w:rPr>
        <w:t>two</w:t>
      </w:r>
      <w:r>
        <w:rPr>
          <w:color w:val="010101"/>
          <w:spacing w:val="24"/>
          <w:w w:val="105"/>
          <w:sz w:val="17"/>
        </w:rPr>
        <w:t> </w:t>
      </w:r>
      <w:r>
        <w:rPr>
          <w:color w:val="010101"/>
          <w:w w:val="105"/>
          <w:sz w:val="17"/>
        </w:rPr>
        <w:t>resulta.</w:t>
        <w:tab/>
        <w:t>(Ans.</w:t>
      </w:r>
      <w:r>
        <w:rPr>
          <w:color w:val="010101"/>
          <w:spacing w:val="-3"/>
          <w:w w:val="105"/>
          <w:sz w:val="17"/>
        </w:rPr>
        <w:t> </w:t>
      </w:r>
      <w:r>
        <w:rPr>
          <w:color w:val="010101"/>
          <w:spacing w:val="-5"/>
          <w:w w:val="105"/>
          <w:sz w:val="17"/>
        </w:rPr>
        <w:t>13.33769)</w:t>
      </w:r>
    </w:p>
    <w:p>
      <w:pPr>
        <w:spacing w:line="194" w:lineRule="exact" w:before="7"/>
        <w:ind w:left="634" w:right="0" w:firstLine="0"/>
        <w:jc w:val="left"/>
        <w:rPr>
          <w:sz w:val="17"/>
        </w:rPr>
      </w:pPr>
      <w:r>
        <w:rPr>
          <w:color w:val="010101"/>
          <w:w w:val="110"/>
          <w:sz w:val="17"/>
        </w:rPr>
        <w:t>(b)  Use the tables in Appendix I to compute an approximate value for</w:t>
      </w:r>
    </w:p>
    <w:p>
      <w:pPr>
        <w:tabs>
          <w:tab w:pos="4758" w:val="left" w:leader="none"/>
        </w:tabs>
        <w:spacing w:before="0"/>
        <w:ind w:left="325" w:right="129" w:firstLine="595"/>
        <w:jc w:val="left"/>
        <w:rPr>
          <w:sz w:val="17"/>
        </w:rPr>
      </w:pPr>
      <w:r>
        <w:rPr>
          <w:i/>
          <w:color w:val="010101"/>
          <w:spacing w:val="-8"/>
          <w:w w:val="100"/>
          <w:sz w:val="18"/>
        </w:rPr>
        <w:t>a,o</w:t>
      </w:r>
      <w:r>
        <w:rPr>
          <w:i/>
          <w:color w:val="010101"/>
          <w:w w:val="100"/>
          <w:sz w:val="18"/>
        </w:rPr>
        <w:t> </w:t>
      </w:r>
      <w:r>
        <w:rPr>
          <w:color w:val="010101"/>
          <w:spacing w:val="-8"/>
          <w:w w:val="119"/>
          <w:sz w:val="15"/>
        </w:rPr>
        <w:t>:,o</w:t>
      </w:r>
      <w:r>
        <w:rPr>
          <w:color w:val="010101"/>
          <w:w w:val="119"/>
          <w:sz w:val="15"/>
        </w:rPr>
        <w:t> </w:t>
      </w:r>
      <w:r>
        <w:rPr>
          <w:color w:val="010101"/>
          <w:w w:val="106"/>
          <w:sz w:val="17"/>
        </w:rPr>
        <w:t>on  </w:t>
      </w:r>
      <w:r>
        <w:rPr>
          <w:color w:val="010101"/>
          <w:w w:val="113"/>
          <w:sz w:val="17"/>
        </w:rPr>
        <w:t>the </w:t>
      </w:r>
      <w:r>
        <w:rPr>
          <w:color w:val="010101"/>
          <w:w w:val="96"/>
          <w:sz w:val="17"/>
        </w:rPr>
        <w:t>1958 </w:t>
      </w:r>
      <w:r>
        <w:rPr>
          <w:color w:val="010101"/>
          <w:w w:val="102"/>
          <w:sz w:val="17"/>
        </w:rPr>
        <w:t>CSO</w:t>
      </w:r>
      <w:r>
        <w:rPr>
          <w:color w:val="010101"/>
          <w:spacing w:val="26"/>
          <w:w w:val="102"/>
          <w:sz w:val="17"/>
        </w:rPr>
        <w:t> </w:t>
      </w:r>
      <w:r>
        <w:rPr>
          <w:color w:val="010101"/>
          <w:w w:val="104"/>
          <w:sz w:val="17"/>
        </w:rPr>
        <w:t>3%</w:t>
      </w:r>
      <w:r>
        <w:rPr>
          <w:color w:val="010101"/>
          <w:spacing w:val="12"/>
          <w:w w:val="104"/>
          <w:sz w:val="17"/>
        </w:rPr>
        <w:t> </w:t>
      </w:r>
      <w:r>
        <w:rPr>
          <w:color w:val="010101"/>
          <w:w w:val="109"/>
          <w:sz w:val="17"/>
        </w:rPr>
        <w:t>baais.</w:t>
        <w:tab/>
      </w:r>
      <w:r>
        <w:rPr>
          <w:color w:val="010101"/>
          <w:w w:val="107"/>
          <w:sz w:val="17"/>
        </w:rPr>
        <w:t>(Ans.</w:t>
      </w:r>
      <w:r>
        <w:rPr>
          <w:color w:val="010101"/>
          <w:spacing w:val="28"/>
          <w:w w:val="107"/>
          <w:sz w:val="17"/>
        </w:rPr>
        <w:t> </w:t>
      </w:r>
      <w:r>
        <w:rPr>
          <w:color w:val="010101"/>
          <w:spacing w:val="-5"/>
          <w:w w:val="99"/>
          <w:sz w:val="17"/>
        </w:rPr>
        <w:t>14.08285)</w:t>
      </w:r>
      <w:r>
        <w:rPr>
          <w:color w:val="010101"/>
          <w:w w:val="96"/>
          <w:sz w:val="17"/>
        </w:rPr>
        <w:t> </w:t>
      </w:r>
      <w:r>
        <w:rPr>
          <w:color w:val="010101"/>
          <w:spacing w:val="-15"/>
          <w:w w:val="110"/>
          <w:sz w:val="17"/>
        </w:rPr>
        <w:t>14.  </w:t>
      </w:r>
      <w:r>
        <w:rPr>
          <w:color w:val="010101"/>
          <w:w w:val="110"/>
          <w:sz w:val="17"/>
        </w:rPr>
        <w:t>Show that  the law of  unifonn  seniority holds for two </w:t>
      </w:r>
      <w:r>
        <w:rPr>
          <w:b/>
          <w:color w:val="010101"/>
          <w:w w:val="110"/>
          <w:sz w:val="17"/>
        </w:rPr>
        <w:t>Iives </w:t>
      </w:r>
      <w:r>
        <w:rPr>
          <w:color w:val="010101"/>
          <w:w w:val="110"/>
          <w:sz w:val="17"/>
        </w:rPr>
        <w:t>when  </w:t>
      </w:r>
      <w:r>
        <w:rPr>
          <w:color w:val="010101"/>
          <w:spacing w:val="1"/>
          <w:w w:val="110"/>
          <w:sz w:val="17"/>
        </w:rPr>
        <w:t> </w:t>
      </w:r>
      <w:r>
        <w:rPr>
          <w:color w:val="010101"/>
          <w:w w:val="110"/>
          <w:sz w:val="17"/>
        </w:rPr>
        <w:t>the</w:t>
      </w:r>
    </w:p>
    <w:p>
      <w:pPr>
        <w:spacing w:line="194" w:lineRule="exact" w:before="0"/>
        <w:ind w:left="160" w:right="0" w:firstLine="0"/>
        <w:jc w:val="left"/>
        <w:rPr>
          <w:sz w:val="17"/>
        </w:rPr>
      </w:pPr>
      <w:r>
        <w:rPr>
          <w:color w:val="010101"/>
          <w:w w:val="110"/>
          <w:sz w:val="17"/>
        </w:rPr>
        <w:t>law  of  mortality is</w:t>
      </w:r>
    </w:p>
    <w:p>
      <w:pPr>
        <w:spacing w:before="105"/>
        <w:ind w:left="293" w:right="264" w:firstLine="0"/>
        <w:jc w:val="center"/>
        <w:rPr>
          <w:i/>
          <w:sz w:val="18"/>
        </w:rPr>
      </w:pPr>
      <w:r>
        <w:rPr>
          <w:rFonts w:ascii="Arial"/>
          <w:i/>
          <w:color w:val="010101"/>
          <w:sz w:val="12"/>
        </w:rPr>
        <w:t>JI.a   </w:t>
      </w:r>
      <w:r>
        <w:rPr>
          <w:color w:val="010101"/>
          <w:sz w:val="21"/>
        </w:rPr>
        <w:t>=  </w:t>
      </w:r>
      <w:r>
        <w:rPr>
          <w:i/>
          <w:color w:val="010101"/>
          <w:sz w:val="18"/>
        </w:rPr>
        <w:t>a </w:t>
      </w:r>
      <w:r>
        <w:rPr>
          <w:i/>
          <w:color w:val="010101"/>
          <w:w w:val="110"/>
          <w:sz w:val="18"/>
        </w:rPr>
        <w:t>+ </w:t>
      </w:r>
      <w:r>
        <w:rPr>
          <w:i/>
          <w:color w:val="010101"/>
          <w:sz w:val="18"/>
        </w:rPr>
        <w:t>bx.</w:t>
      </w:r>
    </w:p>
    <w:p>
      <w:pPr>
        <w:spacing w:line="242" w:lineRule="auto" w:before="101"/>
        <w:ind w:left="149" w:right="229" w:firstLine="165"/>
        <w:jc w:val="left"/>
        <w:rPr>
          <w:sz w:val="17"/>
        </w:rPr>
      </w:pPr>
      <w:r>
        <w:rPr>
          <w:color w:val="010101"/>
          <w:spacing w:val="-13"/>
          <w:w w:val="110"/>
          <w:sz w:val="17"/>
        </w:rPr>
        <w:t>15. </w:t>
      </w:r>
      <w:r>
        <w:rPr>
          <w:color w:val="010101"/>
          <w:w w:val="110"/>
          <w:sz w:val="17"/>
        </w:rPr>
        <w:t>What is  the formula for calculating  the  table  oí uniform  seniority  for the joint-life  table of Exercise </w:t>
      </w:r>
      <w:r>
        <w:rPr>
          <w:color w:val="010101"/>
          <w:spacing w:val="19"/>
          <w:w w:val="110"/>
          <w:sz w:val="17"/>
        </w:rPr>
        <w:t> </w:t>
      </w:r>
      <w:r>
        <w:rPr>
          <w:color w:val="010101"/>
          <w:w w:val="110"/>
          <w:sz w:val="17"/>
        </w:rPr>
        <w:t>10?</w:t>
      </w:r>
    </w:p>
    <w:p>
      <w:pPr>
        <w:pStyle w:val="BodyText"/>
        <w:spacing w:before="8"/>
        <w:rPr>
          <w:sz w:val="14"/>
        </w:rPr>
      </w:pPr>
    </w:p>
    <w:p>
      <w:pPr>
        <w:pStyle w:val="ListParagraph"/>
        <w:numPr>
          <w:ilvl w:val="0"/>
          <w:numId w:val="96"/>
        </w:numPr>
        <w:tabs>
          <w:tab w:pos="330" w:val="left" w:leader="none"/>
        </w:tabs>
        <w:spacing w:line="240" w:lineRule="auto" w:before="0" w:after="0"/>
        <w:ind w:left="329" w:right="0" w:hanging="187"/>
        <w:jc w:val="left"/>
        <w:rPr>
          <w:b/>
          <w:sz w:val="16"/>
        </w:rPr>
      </w:pPr>
      <w:r>
        <w:rPr>
          <w:b/>
          <w:color w:val="010101"/>
          <w:w w:val="125"/>
          <w:sz w:val="16"/>
        </w:rPr>
        <w:t>Joint-life  functions under Gompertz's</w:t>
      </w:r>
      <w:r>
        <w:rPr>
          <w:b/>
          <w:color w:val="010101"/>
          <w:spacing w:val="32"/>
          <w:w w:val="125"/>
          <w:sz w:val="16"/>
        </w:rPr>
        <w:t> </w:t>
      </w:r>
      <w:r>
        <w:rPr>
          <w:b/>
          <w:color w:val="010101"/>
          <w:w w:val="125"/>
          <w:sz w:val="16"/>
        </w:rPr>
        <w:t>law</w:t>
      </w:r>
    </w:p>
    <w:p>
      <w:pPr>
        <w:pStyle w:val="ListParagraph"/>
        <w:numPr>
          <w:ilvl w:val="1"/>
          <w:numId w:val="96"/>
        </w:numPr>
        <w:tabs>
          <w:tab w:pos="617" w:val="left" w:leader="none"/>
          <w:tab w:pos="4815" w:val="left" w:leader="none"/>
        </w:tabs>
        <w:spacing w:line="240" w:lineRule="auto" w:before="81" w:after="0"/>
        <w:ind w:left="149" w:right="0" w:firstLine="165"/>
        <w:jc w:val="left"/>
        <w:rPr>
          <w:sz w:val="17"/>
        </w:rPr>
      </w:pPr>
      <w:r>
        <w:rPr>
          <w:color w:val="010101"/>
          <w:w w:val="106"/>
          <w:sz w:val="17"/>
        </w:rPr>
        <w:t>(</w:t>
      </w:r>
      <w:r>
        <w:rPr>
          <w:color w:val="010101"/>
          <w:w w:val="106"/>
          <w:sz w:val="17"/>
        </w:rPr>
        <w:t>a</w:t>
      </w:r>
      <w:r>
        <w:rPr>
          <w:color w:val="010101"/>
          <w:w w:val="106"/>
          <w:sz w:val="17"/>
        </w:rPr>
        <w:t>)</w:t>
      </w:r>
      <w:r>
        <w:rPr>
          <w:color w:val="010101"/>
          <w:sz w:val="17"/>
        </w:rPr>
        <w:t>  </w:t>
      </w:r>
      <w:r>
        <w:rPr>
          <w:color w:val="010101"/>
          <w:w w:val="109"/>
          <w:sz w:val="17"/>
        </w:rPr>
        <w:t>Calcul</w:t>
      </w:r>
      <w:r>
        <w:rPr>
          <w:color w:val="010101"/>
          <w:spacing w:val="14"/>
          <w:w w:val="109"/>
          <w:sz w:val="17"/>
        </w:rPr>
        <w:t>a</w:t>
      </w:r>
      <w:r>
        <w:rPr>
          <w:color w:val="010101"/>
          <w:w w:val="115"/>
          <w:sz w:val="17"/>
        </w:rPr>
        <w:t>te</w:t>
      </w:r>
      <w:r>
        <w:rPr>
          <w:color w:val="010101"/>
          <w:sz w:val="17"/>
        </w:rPr>
        <w:t> </w:t>
      </w:r>
      <w:r>
        <w:rPr>
          <w:color w:val="010101"/>
          <w:spacing w:val="-19"/>
          <w:sz w:val="17"/>
        </w:rPr>
        <w:t> </w:t>
      </w:r>
      <w:r>
        <w:rPr>
          <w:color w:val="010101"/>
          <w:w w:val="154"/>
          <w:sz w:val="15"/>
        </w:rPr>
        <w:t>a</w:t>
      </w:r>
      <w:r>
        <w:rPr>
          <w:color w:val="010101"/>
          <w:spacing w:val="-11"/>
          <w:w w:val="154"/>
          <w:sz w:val="15"/>
        </w:rPr>
        <w:t>,</w:t>
      </w:r>
      <w:r>
        <w:rPr>
          <w:color w:val="010101"/>
          <w:w w:val="70"/>
          <w:sz w:val="15"/>
        </w:rPr>
        <w:t>o</w:t>
      </w:r>
      <w:r>
        <w:rPr>
          <w:color w:val="010101"/>
          <w:spacing w:val="-12"/>
          <w:sz w:val="15"/>
        </w:rPr>
        <w:t> </w:t>
      </w:r>
      <w:r>
        <w:rPr>
          <w:color w:val="181818"/>
          <w:w w:val="78"/>
          <w:sz w:val="15"/>
        </w:rPr>
        <w:t>:7o</w:t>
      </w:r>
      <w:r>
        <w:rPr>
          <w:color w:val="181818"/>
          <w:sz w:val="15"/>
        </w:rPr>
        <w:t> </w:t>
      </w:r>
      <w:r>
        <w:rPr>
          <w:color w:val="181818"/>
          <w:spacing w:val="-19"/>
          <w:sz w:val="15"/>
        </w:rPr>
        <w:t> </w:t>
      </w:r>
      <w:r>
        <w:rPr>
          <w:color w:val="010101"/>
          <w:w w:val="106"/>
          <w:sz w:val="17"/>
        </w:rPr>
        <w:t>from</w:t>
      </w:r>
      <w:r>
        <w:rPr>
          <w:color w:val="010101"/>
          <w:sz w:val="17"/>
        </w:rPr>
        <w:t> </w:t>
      </w:r>
      <w:r>
        <w:rPr>
          <w:color w:val="010101"/>
          <w:spacing w:val="-15"/>
          <w:sz w:val="17"/>
        </w:rPr>
        <w:t> </w:t>
      </w:r>
      <w:r>
        <w:rPr>
          <w:color w:val="010101"/>
          <w:w w:val="110"/>
          <w:sz w:val="17"/>
        </w:rPr>
        <w:t>Table</w:t>
      </w:r>
      <w:r>
        <w:rPr>
          <w:color w:val="010101"/>
          <w:sz w:val="17"/>
        </w:rPr>
        <w:t> </w:t>
      </w:r>
      <w:r>
        <w:rPr>
          <w:color w:val="010101"/>
          <w:spacing w:val="-15"/>
          <w:sz w:val="17"/>
        </w:rPr>
        <w:t> </w:t>
      </w:r>
      <w:r>
        <w:rPr>
          <w:color w:val="010101"/>
          <w:w w:val="107"/>
          <w:sz w:val="17"/>
        </w:rPr>
        <w:t>7.</w:t>
      </w:r>
      <w:r>
        <w:rPr>
          <w:color w:val="010101"/>
          <w:sz w:val="17"/>
        </w:rPr>
        <w:tab/>
      </w:r>
      <w:r>
        <w:rPr>
          <w:color w:val="010101"/>
          <w:w w:val="104"/>
          <w:sz w:val="17"/>
        </w:rPr>
        <w:t>(</w:t>
      </w:r>
      <w:r>
        <w:rPr>
          <w:color w:val="010101"/>
          <w:w w:val="104"/>
          <w:sz w:val="17"/>
        </w:rPr>
        <w:t>Ans.</w:t>
      </w:r>
      <w:r>
        <w:rPr>
          <w:color w:val="010101"/>
          <w:sz w:val="17"/>
        </w:rPr>
        <w:t> </w:t>
      </w:r>
      <w:r>
        <w:rPr>
          <w:color w:val="010101"/>
          <w:spacing w:val="-14"/>
          <w:sz w:val="17"/>
        </w:rPr>
        <w:t> </w:t>
      </w:r>
      <w:r>
        <w:rPr>
          <w:color w:val="010101"/>
          <w:spacing w:val="9"/>
          <w:w w:val="99"/>
          <w:sz w:val="17"/>
        </w:rPr>
        <w:t>7</w:t>
      </w:r>
      <w:r>
        <w:rPr>
          <w:color w:val="010101"/>
          <w:w w:val="94"/>
          <w:sz w:val="17"/>
        </w:rPr>
        <w:t>.10323)</w:t>
      </w:r>
    </w:p>
    <w:p>
      <w:pPr>
        <w:spacing w:line="244" w:lineRule="auto" w:before="9"/>
        <w:ind w:left="892" w:right="150" w:hanging="277"/>
        <w:jc w:val="both"/>
        <w:rPr>
          <w:sz w:val="17"/>
        </w:rPr>
      </w:pPr>
      <w:r>
        <w:rPr>
          <w:color w:val="010101"/>
          <w:w w:val="110"/>
          <w:sz w:val="17"/>
        </w:rPr>
        <w:t>(b) For the calculation of </w:t>
      </w:r>
      <w:r>
        <w:rPr>
          <w:color w:val="010101"/>
          <w:w w:val="110"/>
          <w:sz w:val="16"/>
        </w:rPr>
        <w:t>a6o:u:u </w:t>
      </w:r>
      <w:r>
        <w:rPr>
          <w:color w:val="010101"/>
          <w:w w:val="110"/>
          <w:sz w:val="17"/>
        </w:rPr>
        <w:t>shown in the text, verif y that the same result is obtained if the lives (55) and (65) are combined first.</w:t>
      </w:r>
    </w:p>
    <w:p>
      <w:pPr>
        <w:pStyle w:val="ListParagraph"/>
        <w:numPr>
          <w:ilvl w:val="1"/>
          <w:numId w:val="96"/>
        </w:numPr>
        <w:tabs>
          <w:tab w:pos="588" w:val="left" w:leader="none"/>
        </w:tabs>
        <w:spacing w:line="247" w:lineRule="auto" w:before="2" w:after="0"/>
        <w:ind w:left="149" w:right="148" w:firstLine="162"/>
        <w:jc w:val="left"/>
        <w:rPr>
          <w:sz w:val="17"/>
        </w:rPr>
      </w:pPr>
      <w:r>
        <w:rPr>
          <w:color w:val="010101"/>
          <w:w w:val="110"/>
          <w:sz w:val="17"/>
        </w:rPr>
        <w:t>With Gompertz's law, if (z) is the single life which is equivalent  to  the joint  status  </w:t>
      </w:r>
      <w:r>
        <w:rPr>
          <w:color w:val="010101"/>
          <w:w w:val="110"/>
          <w:sz w:val="16"/>
        </w:rPr>
        <w:t>(xy), </w:t>
      </w:r>
      <w:r>
        <w:rPr>
          <w:color w:val="010101"/>
          <w:w w:val="110"/>
          <w:sz w:val="17"/>
        </w:rPr>
        <w:t>show that  there  is a theoretical  inaccuracy  in</w:t>
      </w:r>
      <w:r>
        <w:rPr>
          <w:color w:val="010101"/>
          <w:spacing w:val="-9"/>
          <w:w w:val="110"/>
          <w:sz w:val="17"/>
        </w:rPr>
        <w:t> </w:t>
      </w:r>
      <w:r>
        <w:rPr>
          <w:color w:val="010101"/>
          <w:w w:val="110"/>
          <w:sz w:val="17"/>
        </w:rPr>
        <w:t>writing</w:t>
      </w:r>
    </w:p>
    <w:p>
      <w:pPr>
        <w:spacing w:line="207" w:lineRule="exact" w:before="0"/>
        <w:ind w:left="138" w:right="0" w:firstLine="0"/>
        <w:jc w:val="left"/>
        <w:rPr>
          <w:sz w:val="17"/>
        </w:rPr>
      </w:pPr>
      <w:r>
        <w:rPr>
          <w:rFonts w:ascii="Arial" w:hAnsi="Arial"/>
          <w:i/>
          <w:color w:val="010101"/>
          <w:w w:val="105"/>
          <w:sz w:val="21"/>
        </w:rPr>
        <w:t>ª• </w:t>
      </w:r>
      <w:r>
        <w:rPr>
          <w:color w:val="010101"/>
          <w:w w:val="105"/>
          <w:sz w:val="23"/>
        </w:rPr>
        <w:t>= </w:t>
      </w:r>
      <w:r>
        <w:rPr>
          <w:i/>
          <w:color w:val="010101"/>
          <w:w w:val="95"/>
          <w:sz w:val="23"/>
        </w:rPr>
        <w:t>a.,., </w:t>
      </w:r>
      <w:r>
        <w:rPr>
          <w:color w:val="010101"/>
          <w:w w:val="105"/>
          <w:sz w:val="17"/>
        </w:rPr>
        <w:t>for a table  which  has a finite limiting  age </w:t>
      </w:r>
      <w:r>
        <w:rPr>
          <w:i/>
          <w:color w:val="010101"/>
          <w:w w:val="105"/>
          <w:sz w:val="16"/>
        </w:rPr>
        <w:t>w. </w:t>
      </w:r>
      <w:r>
        <w:rPr>
          <w:color w:val="010101"/>
          <w:w w:val="105"/>
          <w:sz w:val="17"/>
        </w:rPr>
        <w:t>What  is  the    correct</w:t>
      </w:r>
    </w:p>
    <w:p>
      <w:pPr>
        <w:spacing w:line="190" w:lineRule="exact" w:before="0"/>
        <w:ind w:left="142" w:right="0" w:firstLine="0"/>
        <w:jc w:val="left"/>
        <w:rPr>
          <w:sz w:val="17"/>
        </w:rPr>
      </w:pPr>
      <w:r>
        <w:rPr>
          <w:color w:val="010101"/>
          <w:w w:val="105"/>
          <w:sz w:val="17"/>
        </w:rPr>
        <w:t>relationship?  Why  can  the inaccuracy  generally  be  ignored  in practice?  </w:t>
      </w:r>
      <w:r>
        <w:rPr>
          <w:color w:val="424242"/>
          <w:w w:val="80"/>
          <w:sz w:val="17"/>
        </w:rPr>
        <w:t>·</w:t>
      </w:r>
    </w:p>
    <w:p>
      <w:pPr>
        <w:pStyle w:val="ListParagraph"/>
        <w:numPr>
          <w:ilvl w:val="1"/>
          <w:numId w:val="96"/>
        </w:numPr>
        <w:tabs>
          <w:tab w:pos="602" w:val="left" w:leader="none"/>
        </w:tabs>
        <w:spacing w:line="240" w:lineRule="auto" w:before="9" w:after="0"/>
        <w:ind w:left="874" w:right="151" w:hanging="574"/>
        <w:jc w:val="both"/>
        <w:rPr>
          <w:sz w:val="17"/>
        </w:rPr>
      </w:pPr>
      <w:r>
        <w:rPr>
          <w:color w:val="010101"/>
          <w:w w:val="110"/>
          <w:sz w:val="17"/>
        </w:rPr>
        <w:t>(a) A mortality table for male lives follows Makeham's Jaw, and an­ other table for fema.le lives follows Gompertz's ]aw with the constants </w:t>
      </w:r>
      <w:r>
        <w:rPr>
          <w:i/>
          <w:color w:val="010101"/>
          <w:w w:val="110"/>
          <w:sz w:val="18"/>
        </w:rPr>
        <w:t>B </w:t>
      </w:r>
      <w:r>
        <w:rPr>
          <w:color w:val="010101"/>
          <w:w w:val="110"/>
          <w:sz w:val="17"/>
        </w:rPr>
        <w:t>and </w:t>
      </w:r>
      <w:r>
        <w:rPr>
          <w:i/>
          <w:color w:val="010101"/>
          <w:w w:val="110"/>
          <w:sz w:val="18"/>
        </w:rPr>
        <w:t>e </w:t>
      </w:r>
      <w:r>
        <w:rPr>
          <w:color w:val="010101"/>
          <w:w w:val="110"/>
          <w:sz w:val="17"/>
        </w:rPr>
        <w:t>the same as for the male table. Show  that  in  the</w:t>
      </w:r>
      <w:r>
        <w:rPr>
          <w:color w:val="010101"/>
          <w:spacing w:val="-8"/>
          <w:w w:val="110"/>
          <w:sz w:val="17"/>
        </w:rPr>
        <w:t> </w:t>
      </w:r>
      <w:r>
        <w:rPr>
          <w:color w:val="010101"/>
          <w:w w:val="110"/>
          <w:sz w:val="17"/>
        </w:rPr>
        <w:t>evaluation</w:t>
      </w:r>
      <w:r>
        <w:rPr>
          <w:color w:val="010101"/>
          <w:spacing w:val="6"/>
          <w:w w:val="110"/>
          <w:sz w:val="17"/>
        </w:rPr>
        <w:t> </w:t>
      </w:r>
      <w:r>
        <w:rPr>
          <w:color w:val="010101"/>
          <w:w w:val="110"/>
          <w:sz w:val="17"/>
        </w:rPr>
        <w:t>of</w:t>
      </w:r>
      <w:r>
        <w:rPr>
          <w:color w:val="010101"/>
          <w:spacing w:val="11"/>
          <w:w w:val="110"/>
          <w:sz w:val="17"/>
        </w:rPr>
        <w:t> </w:t>
      </w:r>
      <w:r>
        <w:rPr>
          <w:color w:val="010101"/>
          <w:w w:val="110"/>
          <w:sz w:val="17"/>
        </w:rPr>
        <w:t>a</w:t>
      </w:r>
      <w:r>
        <w:rPr>
          <w:color w:val="010101"/>
          <w:spacing w:val="-17"/>
          <w:w w:val="110"/>
          <w:sz w:val="17"/>
        </w:rPr>
        <w:t> </w:t>
      </w:r>
      <w:r>
        <w:rPr>
          <w:color w:val="010101"/>
          <w:w w:val="110"/>
          <w:sz w:val="17"/>
        </w:rPr>
        <w:t>joint-life</w:t>
      </w:r>
      <w:r>
        <w:rPr>
          <w:color w:val="010101"/>
          <w:spacing w:val="23"/>
          <w:w w:val="110"/>
          <w:sz w:val="17"/>
        </w:rPr>
        <w:t> </w:t>
      </w:r>
      <w:r>
        <w:rPr>
          <w:color w:val="010101"/>
          <w:w w:val="110"/>
          <w:sz w:val="17"/>
        </w:rPr>
        <w:t>annuity</w:t>
      </w:r>
      <w:r>
        <w:rPr>
          <w:color w:val="010101"/>
          <w:spacing w:val="-4"/>
          <w:w w:val="110"/>
          <w:sz w:val="17"/>
        </w:rPr>
        <w:t> </w:t>
      </w:r>
      <w:r>
        <w:rPr>
          <w:color w:val="010101"/>
          <w:w w:val="110"/>
          <w:sz w:val="17"/>
        </w:rPr>
        <w:t>on</w:t>
      </w:r>
      <w:r>
        <w:rPr>
          <w:color w:val="010101"/>
          <w:spacing w:val="-12"/>
          <w:w w:val="110"/>
          <w:sz w:val="17"/>
        </w:rPr>
        <w:t> </w:t>
      </w:r>
      <w:r>
        <w:rPr>
          <w:i/>
          <w:color w:val="010101"/>
          <w:w w:val="110"/>
          <w:sz w:val="18"/>
        </w:rPr>
        <w:t>m</w:t>
      </w:r>
      <w:r>
        <w:rPr>
          <w:i/>
          <w:color w:val="010101"/>
          <w:spacing w:val="-13"/>
          <w:w w:val="110"/>
          <w:sz w:val="18"/>
        </w:rPr>
        <w:t> </w:t>
      </w:r>
      <w:r>
        <w:rPr>
          <w:color w:val="010101"/>
          <w:w w:val="110"/>
          <w:sz w:val="17"/>
        </w:rPr>
        <w:t>male</w:t>
      </w:r>
      <w:r>
        <w:rPr>
          <w:color w:val="010101"/>
          <w:spacing w:val="-6"/>
          <w:w w:val="110"/>
          <w:sz w:val="17"/>
        </w:rPr>
        <w:t> </w:t>
      </w:r>
      <w:r>
        <w:rPr>
          <w:color w:val="010101"/>
          <w:w w:val="110"/>
          <w:sz w:val="17"/>
        </w:rPr>
        <w:t>lives</w:t>
      </w:r>
      <w:r>
        <w:rPr>
          <w:color w:val="010101"/>
          <w:spacing w:val="-6"/>
          <w:w w:val="110"/>
          <w:sz w:val="17"/>
        </w:rPr>
        <w:t> </w:t>
      </w:r>
      <w:r>
        <w:rPr>
          <w:color w:val="010101"/>
          <w:w w:val="110"/>
          <w:sz w:val="17"/>
        </w:rPr>
        <w:t>and</w:t>
      </w:r>
      <w:r>
        <w:rPr>
          <w:color w:val="010101"/>
          <w:spacing w:val="-6"/>
          <w:w w:val="110"/>
          <w:sz w:val="17"/>
        </w:rPr>
        <w:t> </w:t>
      </w:r>
      <w:r>
        <w:rPr>
          <w:i/>
          <w:color w:val="010101"/>
          <w:w w:val="110"/>
          <w:sz w:val="18"/>
        </w:rPr>
        <w:t>n</w:t>
      </w:r>
      <w:r>
        <w:rPr>
          <w:i/>
          <w:color w:val="010101"/>
          <w:spacing w:val="-16"/>
          <w:w w:val="110"/>
          <w:sz w:val="18"/>
        </w:rPr>
        <w:t> </w:t>
      </w:r>
      <w:r>
        <w:rPr>
          <w:color w:val="010101"/>
          <w:w w:val="110"/>
          <w:sz w:val="17"/>
        </w:rPr>
        <w:t>fema.le lives, all of  unequal a.ges, </w:t>
      </w:r>
      <w:r>
        <w:rPr>
          <w:rFonts w:ascii="Arial" w:hAnsi="Arial"/>
          <w:i/>
          <w:color w:val="010101"/>
          <w:w w:val="110"/>
          <w:sz w:val="15"/>
        </w:rPr>
        <w:t>m </w:t>
      </w:r>
      <w:r>
        <w:rPr>
          <w:color w:val="010101"/>
          <w:w w:val="110"/>
          <w:sz w:val="17"/>
        </w:rPr>
        <w:t>male lives of equal a.ge can be </w:t>
      </w:r>
      <w:r>
        <w:rPr>
          <w:color w:val="010101"/>
          <w:spacing w:val="34"/>
          <w:w w:val="110"/>
          <w:sz w:val="17"/>
        </w:rPr>
        <w:t> </w:t>
      </w:r>
      <w:r>
        <w:rPr>
          <w:color w:val="010101"/>
          <w:w w:val="110"/>
          <w:sz w:val="17"/>
        </w:rPr>
        <w:t>sub­</w:t>
      </w:r>
    </w:p>
    <w:p>
      <w:pPr>
        <w:spacing w:line="212" w:lineRule="exact" w:before="0"/>
        <w:ind w:left="874" w:right="0" w:firstLine="0"/>
        <w:jc w:val="left"/>
        <w:rPr>
          <w:sz w:val="17"/>
        </w:rPr>
      </w:pPr>
      <w:r>
        <w:rPr>
          <w:color w:val="010101"/>
          <w:w w:val="110"/>
          <w:sz w:val="17"/>
        </w:rPr>
        <w:t>stituted  for  the </w:t>
      </w:r>
      <w:r>
        <w:rPr>
          <w:i/>
          <w:color w:val="010101"/>
          <w:w w:val="110"/>
          <w:sz w:val="18"/>
        </w:rPr>
        <w:t>m </w:t>
      </w:r>
      <w:r>
        <w:rPr>
          <w:color w:val="010101"/>
          <w:w w:val="110"/>
          <w:sz w:val="24"/>
        </w:rPr>
        <w:t>+ </w:t>
      </w:r>
      <w:r>
        <w:rPr>
          <w:i/>
          <w:color w:val="010101"/>
          <w:w w:val="110"/>
          <w:sz w:val="18"/>
        </w:rPr>
        <w:t>n  </w:t>
      </w:r>
      <w:r>
        <w:rPr>
          <w:color w:val="010101"/>
          <w:w w:val="110"/>
          <w:sz w:val="17"/>
        </w:rPr>
        <w:t>lives.</w:t>
      </w:r>
    </w:p>
    <w:p>
      <w:pPr>
        <w:spacing w:line="182" w:lineRule="auto" w:before="33"/>
        <w:ind w:left="874" w:right="165" w:hanging="288"/>
        <w:jc w:val="both"/>
        <w:rPr>
          <w:sz w:val="17"/>
        </w:rPr>
      </w:pPr>
      <w:r>
        <w:rPr>
          <w:color w:val="010101"/>
          <w:w w:val="105"/>
          <w:sz w:val="17"/>
        </w:rPr>
        <w:t>(b) Show how the table of  uniform  seniority may  be  constructed  for the ca.se where </w:t>
      </w:r>
      <w:r>
        <w:rPr>
          <w:i/>
          <w:color w:val="010101"/>
          <w:w w:val="105"/>
          <w:sz w:val="18"/>
        </w:rPr>
        <w:t>m </w:t>
      </w:r>
      <w:r>
        <w:rPr>
          <w:color w:val="010101"/>
          <w:w w:val="105"/>
          <w:sz w:val="23"/>
        </w:rPr>
        <w:t>= </w:t>
      </w:r>
      <w:r>
        <w:rPr>
          <w:i/>
          <w:color w:val="010101"/>
          <w:w w:val="105"/>
          <w:sz w:val="18"/>
        </w:rPr>
        <w:t>n  </w:t>
      </w:r>
      <w:r>
        <w:rPr>
          <w:color w:val="010101"/>
          <w:w w:val="105"/>
          <w:sz w:val="23"/>
        </w:rPr>
        <w:t>=</w:t>
      </w:r>
      <w:r>
        <w:rPr>
          <w:color w:val="010101"/>
          <w:spacing w:val="59"/>
          <w:w w:val="105"/>
          <w:sz w:val="23"/>
        </w:rPr>
        <w:t> </w:t>
      </w:r>
      <w:r>
        <w:rPr>
          <w:color w:val="010101"/>
          <w:w w:val="115"/>
          <w:sz w:val="17"/>
        </w:rPr>
        <w:t>l.</w:t>
      </w:r>
    </w:p>
    <w:p>
      <w:pPr>
        <w:spacing w:before="176"/>
        <w:ind w:left="102" w:right="0" w:firstLine="0"/>
        <w:jc w:val="left"/>
        <w:rPr>
          <w:b/>
          <w:sz w:val="16"/>
        </w:rPr>
      </w:pPr>
      <w:r>
        <w:rPr>
          <w:b/>
          <w:color w:val="010101"/>
          <w:w w:val="125"/>
          <w:sz w:val="16"/>
        </w:rPr>
        <w:t>Miscellaneous problems</w:t>
      </w:r>
    </w:p>
    <w:p>
      <w:pPr>
        <w:pStyle w:val="BodyText"/>
        <w:spacing w:before="8"/>
        <w:rPr>
          <w:b/>
          <w:sz w:val="12"/>
        </w:rPr>
      </w:pPr>
    </w:p>
    <w:p>
      <w:pPr>
        <w:pStyle w:val="ListParagraph"/>
        <w:numPr>
          <w:ilvl w:val="1"/>
          <w:numId w:val="96"/>
        </w:numPr>
        <w:tabs>
          <w:tab w:pos="566" w:val="left" w:leader="none"/>
          <w:tab w:pos="4453" w:val="left" w:leader="none"/>
        </w:tabs>
        <w:spacing w:line="251" w:lineRule="exact" w:before="0" w:after="0"/>
        <w:ind w:left="566" w:right="0" w:hanging="288"/>
        <w:jc w:val="left"/>
        <w:rPr>
          <w:sz w:val="21"/>
        </w:rPr>
      </w:pPr>
      <w:r>
        <w:rPr>
          <w:color w:val="010101"/>
          <w:sz w:val="18"/>
        </w:rPr>
        <w:t>lf   </w:t>
      </w:r>
      <w:r>
        <w:rPr>
          <w:color w:val="010101"/>
          <w:sz w:val="17"/>
        </w:rPr>
        <w:t>the   Fackler  valuation  functions  </w:t>
      </w:r>
      <w:r>
        <w:rPr>
          <w:i/>
          <w:color w:val="010101"/>
          <w:sz w:val="18"/>
        </w:rPr>
        <w:t>u.,.,</w:t>
      </w:r>
      <w:r>
        <w:rPr>
          <w:i/>
          <w:color w:val="010101"/>
          <w:spacing w:val="27"/>
          <w:sz w:val="18"/>
        </w:rPr>
        <w:t> </w:t>
      </w:r>
      <w:r>
        <w:rPr>
          <w:color w:val="010101"/>
          <w:sz w:val="23"/>
        </w:rPr>
        <w:t>= </w:t>
      </w:r>
      <w:r>
        <w:rPr>
          <w:color w:val="010101"/>
          <w:spacing w:val="4"/>
          <w:sz w:val="23"/>
        </w:rPr>
        <w:t> </w:t>
      </w:r>
      <w:r>
        <w:rPr>
          <w:i/>
          <w:color w:val="010101"/>
          <w:sz w:val="19"/>
        </w:rPr>
        <w:t>DDss</w:t>
        <w:tab/>
      </w:r>
      <w:r>
        <w:rPr>
          <w:color w:val="010101"/>
          <w:sz w:val="17"/>
        </w:rPr>
        <w:t>and </w:t>
      </w:r>
      <w:r>
        <w:rPr>
          <w:i/>
          <w:color w:val="010101"/>
          <w:sz w:val="19"/>
        </w:rPr>
        <w:t>k.,.,</w:t>
      </w:r>
      <w:r>
        <w:rPr>
          <w:i/>
          <w:color w:val="010101"/>
          <w:spacing w:val="15"/>
          <w:sz w:val="19"/>
        </w:rPr>
        <w:t> </w:t>
      </w:r>
      <w:r>
        <w:rPr>
          <w:color w:val="010101"/>
          <w:sz w:val="21"/>
        </w:rPr>
        <w:t>=</w:t>
      </w:r>
    </w:p>
    <w:p>
      <w:pPr>
        <w:tabs>
          <w:tab w:pos="5278" w:val="left" w:leader="none"/>
        </w:tabs>
        <w:spacing w:line="114" w:lineRule="exact" w:before="0"/>
        <w:ind w:left="3828" w:right="0" w:firstLine="0"/>
        <w:jc w:val="left"/>
        <w:rPr>
          <w:sz w:val="12"/>
        </w:rPr>
      </w:pPr>
      <w:r>
        <w:rPr>
          <w:color w:val="010101"/>
          <w:sz w:val="12"/>
          <w:shd w:fill="000000" w:color="auto" w:val="clear"/>
        </w:rPr>
        <w:t>    </w:t>
      </w:r>
      <w:r>
        <w:rPr>
          <w:color w:val="010101"/>
          <w:spacing w:val="-3"/>
          <w:sz w:val="12"/>
          <w:shd w:fill="000000" w:color="auto" w:val="clear"/>
        </w:rPr>
        <w:t> </w:t>
      </w:r>
      <w:r>
        <w:rPr>
          <w:color w:val="010101"/>
          <w:w w:val="115"/>
          <w:sz w:val="12"/>
          <w:shd w:fill="000000" w:color="auto" w:val="clear"/>
        </w:rPr>
        <w:t>z+l</w:t>
      </w:r>
      <w:r>
        <w:rPr>
          <w:color w:val="010101"/>
          <w:spacing w:val="12"/>
          <w:w w:val="115"/>
          <w:sz w:val="12"/>
          <w:shd w:fill="000000" w:color="auto" w:val="clear"/>
        </w:rPr>
        <w:t> </w:t>
      </w:r>
      <w:r>
        <w:rPr>
          <w:b/>
          <w:color w:val="181818"/>
          <w:w w:val="115"/>
          <w:sz w:val="11"/>
          <w:shd w:fill="000000" w:color="auto" w:val="clear"/>
        </w:rPr>
        <w:t>:</w:t>
      </w:r>
      <w:r>
        <w:rPr>
          <w:b/>
          <w:color w:val="181818"/>
          <w:w w:val="115"/>
          <w:sz w:val="11"/>
        </w:rPr>
        <w:t>z+l</w:t>
        <w:tab/>
      </w:r>
      <w:r>
        <w:rPr>
          <w:i/>
          <w:color w:val="010101"/>
          <w:w w:val="115"/>
          <w:sz w:val="13"/>
        </w:rPr>
        <w:t>Dz-tl</w:t>
      </w:r>
      <w:r>
        <w:rPr>
          <w:i/>
          <w:color w:val="010101"/>
          <w:spacing w:val="14"/>
          <w:w w:val="115"/>
          <w:sz w:val="13"/>
        </w:rPr>
        <w:t> </w:t>
      </w:r>
      <w:r>
        <w:rPr>
          <w:color w:val="181818"/>
          <w:w w:val="115"/>
          <w:sz w:val="12"/>
        </w:rPr>
        <w:t>:z+l</w:t>
      </w:r>
    </w:p>
    <w:p>
      <w:pPr>
        <w:tabs>
          <w:tab w:pos="5102" w:val="left" w:leader="none"/>
        </w:tabs>
        <w:spacing w:line="182" w:lineRule="auto" w:before="25"/>
        <w:ind w:left="117" w:right="170" w:firstLine="0"/>
        <w:jc w:val="left"/>
        <w:rPr>
          <w:sz w:val="17"/>
        </w:rPr>
      </w:pPr>
      <w:r>
        <w:rPr>
          <w:color w:val="010101"/>
          <w:w w:val="105"/>
          <w:sz w:val="17"/>
        </w:rPr>
        <w:t>are computed  at  a  certain  age </w:t>
      </w:r>
      <w:r>
        <w:rPr>
          <w:rFonts w:ascii="Arial"/>
          <w:i/>
          <w:color w:val="010101"/>
          <w:w w:val="105"/>
          <w:sz w:val="14"/>
        </w:rPr>
        <w:t>y  </w:t>
      </w:r>
      <w:r>
        <w:rPr>
          <w:color w:val="010101"/>
          <w:w w:val="105"/>
          <w:sz w:val="17"/>
        </w:rPr>
        <w:t>on  a certain mortality  basis  with </w:t>
      </w:r>
      <w:r>
        <w:rPr>
          <w:i/>
          <w:color w:val="010101"/>
          <w:w w:val="115"/>
          <w:sz w:val="18"/>
        </w:rPr>
        <w:t>i  </w:t>
      </w:r>
      <w:r>
        <w:rPr>
          <w:color w:val="010101"/>
          <w:w w:val="105"/>
          <w:sz w:val="21"/>
        </w:rPr>
        <w:t>=  </w:t>
      </w:r>
      <w:r>
        <w:rPr>
          <w:color w:val="010101"/>
          <w:w w:val="105"/>
          <w:sz w:val="17"/>
        </w:rPr>
        <w:t>.03,  it is found  that </w:t>
      </w:r>
      <w:r>
        <w:rPr>
          <w:i/>
          <w:color w:val="010101"/>
          <w:sz w:val="18"/>
        </w:rPr>
        <w:t>u</w:t>
      </w:r>
      <w:r>
        <w:rPr>
          <w:i/>
          <w:color w:val="010101"/>
          <w:position w:val="-2"/>
          <w:sz w:val="10"/>
        </w:rPr>
        <w:t>1111   </w:t>
      </w:r>
      <w:r>
        <w:rPr>
          <w:color w:val="010101"/>
          <w:sz w:val="23"/>
        </w:rPr>
        <w:t>= </w:t>
      </w:r>
      <w:r>
        <w:rPr>
          <w:color w:val="010101"/>
          <w:w w:val="105"/>
          <w:sz w:val="17"/>
        </w:rPr>
        <w:t>4 </w:t>
      </w:r>
      <w:r>
        <w:rPr>
          <w:i/>
          <w:color w:val="010101"/>
          <w:sz w:val="17"/>
        </w:rPr>
        <w:t>kl/J/  </w:t>
      </w:r>
      <w:r>
        <w:rPr>
          <w:color w:val="010101"/>
          <w:w w:val="105"/>
          <w:sz w:val="17"/>
        </w:rPr>
        <w:t>. Find </w:t>
      </w:r>
      <w:r>
        <w:rPr>
          <w:color w:val="010101"/>
          <w:spacing w:val="40"/>
          <w:w w:val="105"/>
          <w:sz w:val="17"/>
        </w:rPr>
        <w:t> </w:t>
      </w:r>
      <w:r>
        <w:rPr>
          <w:i/>
          <w:color w:val="010101"/>
          <w:sz w:val="17"/>
        </w:rPr>
        <w:t>p.,</w:t>
      </w:r>
      <w:r>
        <w:rPr>
          <w:i/>
          <w:color w:val="010101"/>
          <w:spacing w:val="27"/>
          <w:sz w:val="17"/>
        </w:rPr>
        <w:t> </w:t>
      </w:r>
      <w:r>
        <w:rPr>
          <w:color w:val="010101"/>
          <w:w w:val="115"/>
          <w:sz w:val="17"/>
        </w:rPr>
        <w:t>.</w:t>
        <w:tab/>
      </w:r>
      <w:r>
        <w:rPr>
          <w:color w:val="010101"/>
          <w:spacing w:val="2"/>
          <w:w w:val="105"/>
          <w:sz w:val="17"/>
        </w:rPr>
        <w:t>(Ans.</w:t>
      </w:r>
      <w:r>
        <w:rPr>
          <w:color w:val="010101"/>
          <w:spacing w:val="24"/>
          <w:w w:val="105"/>
          <w:sz w:val="17"/>
        </w:rPr>
        <w:t> </w:t>
      </w:r>
      <w:r>
        <w:rPr>
          <w:color w:val="010101"/>
          <w:spacing w:val="-5"/>
          <w:w w:val="105"/>
          <w:sz w:val="17"/>
        </w:rPr>
        <w:t>.86)</w:t>
      </w:r>
    </w:p>
    <w:p>
      <w:pPr>
        <w:spacing w:line="106" w:lineRule="exact" w:before="3"/>
        <w:ind w:left="0" w:right="687" w:firstLine="0"/>
        <w:jc w:val="center"/>
        <w:rPr>
          <w:sz w:val="17"/>
        </w:rPr>
      </w:pPr>
      <w:r>
        <w:rPr>
          <w:color w:val="010101"/>
          <w:w w:val="119"/>
          <w:sz w:val="17"/>
        </w:rPr>
        <w:t>1</w:t>
      </w:r>
    </w:p>
    <w:p>
      <w:pPr>
        <w:spacing w:after="0" w:line="106" w:lineRule="exact"/>
        <w:jc w:val="center"/>
        <w:rPr>
          <w:sz w:val="17"/>
        </w:rPr>
        <w:sectPr>
          <w:pgSz w:w="7200" w:h="11340"/>
          <w:pgMar w:top="480" w:bottom="280" w:left="640" w:right="540"/>
        </w:sectPr>
      </w:pPr>
    </w:p>
    <w:p>
      <w:pPr>
        <w:pStyle w:val="ListParagraph"/>
        <w:numPr>
          <w:ilvl w:val="1"/>
          <w:numId w:val="96"/>
        </w:numPr>
        <w:tabs>
          <w:tab w:pos="559" w:val="left" w:leader="none"/>
        </w:tabs>
        <w:spacing w:line="179" w:lineRule="exact" w:before="0" w:after="0"/>
        <w:ind w:left="558" w:right="0" w:hanging="290"/>
        <w:jc w:val="left"/>
        <w:rPr>
          <w:sz w:val="17"/>
        </w:rPr>
      </w:pPr>
      <w:r>
        <w:rPr>
          <w:color w:val="010101"/>
          <w:sz w:val="17"/>
        </w:rPr>
        <w:t>Compute  </w:t>
      </w:r>
      <w:r>
        <w:rPr>
          <w:color w:val="010101"/>
          <w:sz w:val="16"/>
        </w:rPr>
        <w:t>eu:H  </w:t>
      </w:r>
      <w:r>
        <w:rPr>
          <w:color w:val="010101"/>
          <w:sz w:val="17"/>
        </w:rPr>
        <w:t>if  </w:t>
      </w:r>
      <w:r>
        <w:rPr>
          <w:rFonts w:ascii="Arial" w:hAnsi="Arial"/>
          <w:i/>
          <w:color w:val="010101"/>
          <w:sz w:val="12"/>
        </w:rPr>
        <w:t>µ.,   </w:t>
      </w:r>
      <w:r>
        <w:rPr>
          <w:color w:val="010101"/>
          <w:sz w:val="21"/>
        </w:rPr>
        <w:t>=   </w:t>
      </w:r>
      <w:r>
        <w:rPr>
          <w:color w:val="010101"/>
          <w:spacing w:val="9"/>
          <w:sz w:val="21"/>
        </w:rPr>
        <w:t> </w:t>
      </w:r>
      <w:r>
        <w:rPr>
          <w:color w:val="010101"/>
          <w:sz w:val="17"/>
        </w:rPr>
        <w:t>00</w:t>
      </w:r>
    </w:p>
    <w:p>
      <w:pPr>
        <w:tabs>
          <w:tab w:pos="312" w:val="left" w:leader="none"/>
        </w:tabs>
        <w:spacing w:line="151" w:lineRule="exact" w:before="0"/>
        <w:ind w:left="0" w:right="0" w:firstLine="0"/>
        <w:jc w:val="right"/>
        <w:rPr>
          <w:rFonts w:ascii="Arial"/>
          <w:i/>
          <w:sz w:val="11"/>
        </w:rPr>
      </w:pPr>
      <w:r>
        <w:rPr>
          <w:color w:val="010101"/>
          <w:w w:val="110"/>
          <w:sz w:val="17"/>
        </w:rPr>
        <w:t>1</w:t>
        <w:tab/>
      </w:r>
      <w:r>
        <w:rPr>
          <w:color w:val="010101"/>
          <w:w w:val="240"/>
          <w:sz w:val="17"/>
        </w:rPr>
        <w:t>-</w:t>
      </w:r>
      <w:r>
        <w:rPr>
          <w:color w:val="010101"/>
          <w:spacing w:val="-59"/>
          <w:w w:val="240"/>
          <w:sz w:val="17"/>
        </w:rPr>
        <w:t> </w:t>
      </w:r>
      <w:r>
        <w:rPr>
          <w:rFonts w:ascii="Arial"/>
          <w:i/>
          <w:color w:val="010101"/>
          <w:w w:val="110"/>
          <w:sz w:val="11"/>
        </w:rPr>
        <w:t>X</w:t>
      </w:r>
    </w:p>
    <w:p>
      <w:pPr>
        <w:tabs>
          <w:tab w:pos="2178" w:val="left" w:leader="none"/>
        </w:tabs>
        <w:spacing w:line="225" w:lineRule="exact" w:before="0"/>
        <w:ind w:left="46" w:right="0" w:firstLine="0"/>
        <w:jc w:val="left"/>
        <w:rPr>
          <w:sz w:val="17"/>
        </w:rPr>
      </w:pPr>
      <w:r>
        <w:rPr/>
        <w:br w:type="column"/>
      </w:r>
      <w:r>
        <w:rPr>
          <w:color w:val="010101"/>
          <w:sz w:val="17"/>
        </w:rPr>
        <w:t>, O  &lt;;  </w:t>
      </w:r>
      <w:r>
        <w:rPr>
          <w:i/>
          <w:color w:val="010101"/>
          <w:sz w:val="18"/>
        </w:rPr>
        <w:t>x</w:t>
      </w:r>
      <w:r>
        <w:rPr>
          <w:i/>
          <w:color w:val="010101"/>
          <w:spacing w:val="17"/>
          <w:sz w:val="18"/>
        </w:rPr>
        <w:t> </w:t>
      </w:r>
      <w:r>
        <w:rPr>
          <w:rFonts w:ascii="Arial"/>
          <w:color w:val="010101"/>
          <w:sz w:val="22"/>
        </w:rPr>
        <w:t>&lt;</w:t>
      </w:r>
      <w:r>
        <w:rPr>
          <w:rFonts w:ascii="Arial"/>
          <w:color w:val="010101"/>
          <w:spacing w:val="8"/>
          <w:sz w:val="22"/>
        </w:rPr>
        <w:t> </w:t>
      </w:r>
      <w:r>
        <w:rPr>
          <w:color w:val="010101"/>
          <w:spacing w:val="-12"/>
          <w:sz w:val="17"/>
        </w:rPr>
        <w:t>100.</w:t>
        <w:tab/>
      </w:r>
      <w:r>
        <w:rPr>
          <w:color w:val="010101"/>
          <w:sz w:val="17"/>
        </w:rPr>
        <w:t>(Ans.</w:t>
      </w:r>
      <w:r>
        <w:rPr>
          <w:color w:val="010101"/>
          <w:spacing w:val="38"/>
          <w:sz w:val="17"/>
        </w:rPr>
        <w:t> </w:t>
      </w:r>
      <w:r>
        <w:rPr>
          <w:color w:val="010101"/>
          <w:sz w:val="17"/>
        </w:rPr>
        <w:t>25)</w:t>
      </w:r>
    </w:p>
    <w:p>
      <w:pPr>
        <w:spacing w:after="0" w:line="225" w:lineRule="exact"/>
        <w:jc w:val="left"/>
        <w:rPr>
          <w:sz w:val="17"/>
        </w:rPr>
        <w:sectPr>
          <w:type w:val="continuous"/>
          <w:pgSz w:w="7200" w:h="11340"/>
          <w:pgMar w:top="1100" w:bottom="0" w:left="640" w:right="540"/>
          <w:cols w:num="2" w:equalWidth="0">
            <w:col w:w="2927" w:space="40"/>
            <w:col w:w="3053"/>
          </w:cols>
        </w:sectPr>
      </w:pPr>
    </w:p>
    <w:p>
      <w:pPr>
        <w:pStyle w:val="ListParagraph"/>
        <w:numPr>
          <w:ilvl w:val="1"/>
          <w:numId w:val="96"/>
        </w:numPr>
        <w:tabs>
          <w:tab w:pos="559" w:val="left" w:leader="none"/>
        </w:tabs>
        <w:spacing w:line="240" w:lineRule="auto" w:before="9" w:after="0"/>
        <w:ind w:left="558" w:right="0" w:hanging="283"/>
        <w:jc w:val="left"/>
        <w:rPr>
          <w:sz w:val="17"/>
        </w:rPr>
      </w:pPr>
      <w:r>
        <w:rPr>
          <w:color w:val="010101"/>
          <w:spacing w:val="5"/>
          <w:w w:val="110"/>
          <w:sz w:val="17"/>
        </w:rPr>
        <w:t>You </w:t>
      </w:r>
      <w:r>
        <w:rPr>
          <w:color w:val="010101"/>
          <w:w w:val="110"/>
          <w:sz w:val="17"/>
        </w:rPr>
        <w:t>are given  the following </w:t>
      </w:r>
      <w:r>
        <w:rPr>
          <w:color w:val="010101"/>
          <w:spacing w:val="4"/>
          <w:w w:val="110"/>
          <w:sz w:val="17"/>
        </w:rPr>
        <w:t> </w:t>
      </w:r>
      <w:r>
        <w:rPr>
          <w:color w:val="010101"/>
          <w:w w:val="110"/>
          <w:sz w:val="17"/>
        </w:rPr>
        <w:t>probabilities:</w:t>
      </w:r>
    </w:p>
    <w:p>
      <w:pPr>
        <w:pStyle w:val="ListParagraph"/>
        <w:numPr>
          <w:ilvl w:val="2"/>
          <w:numId w:val="96"/>
        </w:numPr>
        <w:tabs>
          <w:tab w:pos="803" w:val="left" w:leader="none"/>
        </w:tabs>
        <w:spacing w:line="240" w:lineRule="auto" w:before="2" w:after="0"/>
        <w:ind w:left="802" w:right="162" w:hanging="247"/>
        <w:jc w:val="left"/>
        <w:rPr>
          <w:color w:val="010101"/>
          <w:sz w:val="17"/>
        </w:rPr>
      </w:pPr>
      <w:r>
        <w:rPr>
          <w:color w:val="010101"/>
          <w:w w:val="110"/>
          <w:sz w:val="17"/>
        </w:rPr>
        <w:t>The probability that three persons aged 20, 30 and 40 will live 10 years </w:t>
      </w:r>
      <w:r>
        <w:rPr>
          <w:color w:val="010101"/>
          <w:w w:val="110"/>
          <w:sz w:val="18"/>
        </w:rPr>
        <w:t>is</w:t>
      </w:r>
      <w:r>
        <w:rPr>
          <w:color w:val="010101"/>
          <w:spacing w:val="-8"/>
          <w:w w:val="110"/>
          <w:sz w:val="18"/>
        </w:rPr>
        <w:t> </w:t>
      </w:r>
      <w:r>
        <w:rPr>
          <w:color w:val="010101"/>
          <w:w w:val="110"/>
          <w:sz w:val="17"/>
        </w:rPr>
        <w:t>.758.</w:t>
      </w:r>
    </w:p>
    <w:p>
      <w:pPr>
        <w:pStyle w:val="ListParagraph"/>
        <w:numPr>
          <w:ilvl w:val="2"/>
          <w:numId w:val="96"/>
        </w:numPr>
        <w:tabs>
          <w:tab w:pos="803" w:val="left" w:leader="none"/>
        </w:tabs>
        <w:spacing w:line="235" w:lineRule="auto" w:before="3" w:after="0"/>
        <w:ind w:left="799" w:right="199" w:hanging="302"/>
        <w:jc w:val="both"/>
        <w:rPr>
          <w:color w:val="010101"/>
          <w:sz w:val="17"/>
        </w:rPr>
      </w:pPr>
      <w:r>
        <w:rPr>
          <w:color w:val="010101"/>
          <w:w w:val="110"/>
          <w:sz w:val="17"/>
        </w:rPr>
        <w:t>The probability that a person aged 45 will die within 5 years,</w:t>
      </w:r>
      <w:r>
        <w:rPr>
          <w:color w:val="010101"/>
          <w:spacing w:val="-13"/>
          <w:w w:val="110"/>
          <w:sz w:val="17"/>
        </w:rPr>
        <w:t> </w:t>
      </w:r>
      <w:r>
        <w:rPr>
          <w:color w:val="010101"/>
          <w:w w:val="110"/>
          <w:sz w:val="17"/>
        </w:rPr>
        <w:t>while another pereon aged 40 </w:t>
      </w:r>
      <w:r>
        <w:rPr>
          <w:color w:val="010101"/>
          <w:w w:val="110"/>
          <w:sz w:val="18"/>
        </w:rPr>
        <w:t>is </w:t>
      </w:r>
      <w:r>
        <w:rPr>
          <w:color w:val="010101"/>
          <w:w w:val="110"/>
          <w:sz w:val="17"/>
        </w:rPr>
        <w:t>alive at the end of 5 years, is</w:t>
      </w:r>
      <w:r>
        <w:rPr>
          <w:color w:val="010101"/>
          <w:spacing w:val="28"/>
          <w:w w:val="110"/>
          <w:sz w:val="17"/>
        </w:rPr>
        <w:t> </w:t>
      </w:r>
      <w:r>
        <w:rPr>
          <w:color w:val="010101"/>
          <w:w w:val="110"/>
          <w:sz w:val="17"/>
        </w:rPr>
        <w:t>.063.</w:t>
      </w:r>
    </w:p>
    <w:p>
      <w:pPr>
        <w:pStyle w:val="ListParagraph"/>
        <w:numPr>
          <w:ilvl w:val="2"/>
          <w:numId w:val="96"/>
        </w:numPr>
        <w:tabs>
          <w:tab w:pos="800" w:val="left" w:leader="none"/>
        </w:tabs>
        <w:spacing w:line="235" w:lineRule="auto" w:before="7" w:after="0"/>
        <w:ind w:left="799" w:right="198" w:hanging="359"/>
        <w:jc w:val="both"/>
        <w:rPr>
          <w:color w:val="010101"/>
          <w:sz w:val="16"/>
        </w:rPr>
      </w:pPr>
      <w:r>
        <w:rPr>
          <w:color w:val="010101"/>
          <w:w w:val="110"/>
          <w:sz w:val="17"/>
        </w:rPr>
        <w:t>The probability that four persona aged 20, 25, 30, and 35 will live for</w:t>
      </w:r>
      <w:r>
        <w:rPr>
          <w:color w:val="010101"/>
          <w:spacing w:val="-12"/>
          <w:w w:val="110"/>
          <w:sz w:val="17"/>
        </w:rPr>
        <w:t> </w:t>
      </w:r>
      <w:r>
        <w:rPr>
          <w:color w:val="010101"/>
          <w:w w:val="110"/>
          <w:sz w:val="17"/>
        </w:rPr>
        <w:t>5</w:t>
      </w:r>
      <w:r>
        <w:rPr>
          <w:color w:val="010101"/>
          <w:spacing w:val="-30"/>
          <w:w w:val="110"/>
          <w:sz w:val="17"/>
        </w:rPr>
        <w:t> </w:t>
      </w:r>
      <w:r>
        <w:rPr>
          <w:color w:val="010101"/>
          <w:w w:val="110"/>
          <w:sz w:val="17"/>
        </w:rPr>
        <w:t>yeare,</w:t>
      </w:r>
      <w:r>
        <w:rPr>
          <w:color w:val="010101"/>
          <w:spacing w:val="-2"/>
          <w:w w:val="110"/>
          <w:sz w:val="17"/>
        </w:rPr>
        <w:t> </w:t>
      </w:r>
      <w:r>
        <w:rPr>
          <w:color w:val="010101"/>
          <w:w w:val="110"/>
          <w:sz w:val="17"/>
        </w:rPr>
        <w:t>while</w:t>
      </w:r>
      <w:r>
        <w:rPr>
          <w:color w:val="010101"/>
          <w:spacing w:val="3"/>
          <w:w w:val="110"/>
          <w:sz w:val="17"/>
        </w:rPr>
        <w:t> </w:t>
      </w:r>
      <w:r>
        <w:rPr>
          <w:color w:val="010101"/>
          <w:w w:val="110"/>
          <w:sz w:val="17"/>
        </w:rPr>
        <w:t>a</w:t>
      </w:r>
      <w:r>
        <w:rPr>
          <w:color w:val="010101"/>
          <w:spacing w:val="-12"/>
          <w:w w:val="110"/>
          <w:sz w:val="17"/>
        </w:rPr>
        <w:t> </w:t>
      </w:r>
      <w:r>
        <w:rPr>
          <w:color w:val="010101"/>
          <w:w w:val="110"/>
          <w:sz w:val="17"/>
        </w:rPr>
        <w:t>fif</w:t>
      </w:r>
      <w:r>
        <w:rPr>
          <w:color w:val="010101"/>
          <w:spacing w:val="-23"/>
          <w:w w:val="110"/>
          <w:sz w:val="17"/>
        </w:rPr>
        <w:t> </w:t>
      </w:r>
      <w:r>
        <w:rPr>
          <w:color w:val="010101"/>
          <w:w w:val="110"/>
          <w:sz w:val="17"/>
        </w:rPr>
        <w:t>th</w:t>
      </w:r>
      <w:r>
        <w:rPr>
          <w:color w:val="010101"/>
          <w:spacing w:val="-6"/>
          <w:w w:val="110"/>
          <w:sz w:val="17"/>
        </w:rPr>
        <w:t> </w:t>
      </w:r>
      <w:r>
        <w:rPr>
          <w:color w:val="010101"/>
          <w:w w:val="110"/>
          <w:sz w:val="17"/>
        </w:rPr>
        <w:t>person</w:t>
      </w:r>
      <w:r>
        <w:rPr>
          <w:color w:val="010101"/>
          <w:spacing w:val="7"/>
          <w:w w:val="110"/>
          <w:sz w:val="17"/>
        </w:rPr>
        <w:t> </w:t>
      </w:r>
      <w:r>
        <w:rPr>
          <w:color w:val="010101"/>
          <w:w w:val="110"/>
          <w:sz w:val="17"/>
        </w:rPr>
        <w:t>aged</w:t>
      </w:r>
      <w:r>
        <w:rPr>
          <w:color w:val="010101"/>
          <w:spacing w:val="-5"/>
          <w:w w:val="110"/>
          <w:sz w:val="17"/>
        </w:rPr>
        <w:t> </w:t>
      </w:r>
      <w:r>
        <w:rPr>
          <w:color w:val="010101"/>
          <w:w w:val="110"/>
          <w:sz w:val="17"/>
        </w:rPr>
        <w:t>40</w:t>
      </w:r>
      <w:r>
        <w:rPr>
          <w:color w:val="010101"/>
          <w:spacing w:val="-14"/>
          <w:w w:val="110"/>
          <w:sz w:val="17"/>
        </w:rPr>
        <w:t> </w:t>
      </w:r>
      <w:r>
        <w:rPr>
          <w:color w:val="010101"/>
          <w:w w:val="110"/>
          <w:sz w:val="17"/>
        </w:rPr>
        <w:t>will</w:t>
      </w:r>
      <w:r>
        <w:rPr>
          <w:color w:val="010101"/>
          <w:spacing w:val="4"/>
          <w:w w:val="110"/>
          <w:sz w:val="17"/>
        </w:rPr>
        <w:t> </w:t>
      </w:r>
      <w:r>
        <w:rPr>
          <w:color w:val="010101"/>
          <w:w w:val="110"/>
          <w:sz w:val="17"/>
        </w:rPr>
        <w:t>not</w:t>
      </w:r>
      <w:r>
        <w:rPr>
          <w:color w:val="010101"/>
          <w:spacing w:val="2"/>
          <w:w w:val="110"/>
          <w:sz w:val="17"/>
        </w:rPr>
        <w:t> </w:t>
      </w:r>
      <w:r>
        <w:rPr>
          <w:color w:val="010101"/>
          <w:w w:val="110"/>
          <w:sz w:val="18"/>
        </w:rPr>
        <w:t>be </w:t>
      </w:r>
      <w:r>
        <w:rPr>
          <w:color w:val="010101"/>
          <w:w w:val="110"/>
          <w:sz w:val="17"/>
        </w:rPr>
        <w:t>alive</w:t>
      </w:r>
      <w:r>
        <w:rPr>
          <w:color w:val="010101"/>
          <w:spacing w:val="1"/>
          <w:w w:val="110"/>
          <w:sz w:val="17"/>
        </w:rPr>
        <w:t> </w:t>
      </w:r>
      <w:r>
        <w:rPr>
          <w:color w:val="010101"/>
          <w:w w:val="110"/>
          <w:sz w:val="17"/>
        </w:rPr>
        <w:t>at the</w:t>
      </w:r>
      <w:r>
        <w:rPr>
          <w:color w:val="010101"/>
          <w:spacing w:val="-2"/>
          <w:w w:val="110"/>
          <w:sz w:val="17"/>
        </w:rPr>
        <w:t> </w:t>
      </w:r>
      <w:r>
        <w:rPr>
          <w:color w:val="010101"/>
          <w:w w:val="110"/>
          <w:sz w:val="17"/>
        </w:rPr>
        <w:t>end of 5 years, </w:t>
      </w:r>
      <w:r>
        <w:rPr>
          <w:rFonts w:ascii="Arial"/>
          <w:color w:val="010101"/>
          <w:w w:val="110"/>
          <w:sz w:val="18"/>
        </w:rPr>
        <w:t>is</w:t>
      </w:r>
      <w:r>
        <w:rPr>
          <w:rFonts w:ascii="Arial"/>
          <w:color w:val="010101"/>
          <w:spacing w:val="2"/>
          <w:w w:val="110"/>
          <w:sz w:val="18"/>
        </w:rPr>
        <w:t> </w:t>
      </w:r>
      <w:r>
        <w:rPr>
          <w:color w:val="010101"/>
          <w:w w:val="110"/>
          <w:sz w:val="17"/>
        </w:rPr>
        <w:t>.045.</w:t>
      </w:r>
    </w:p>
    <w:p>
      <w:pPr>
        <w:tabs>
          <w:tab w:pos="5012" w:val="left" w:leader="none"/>
        </w:tabs>
        <w:spacing w:line="194" w:lineRule="exact" w:before="5"/>
        <w:ind w:left="106" w:right="181" w:hanging="4"/>
        <w:jc w:val="left"/>
        <w:rPr>
          <w:sz w:val="17"/>
        </w:rPr>
      </w:pPr>
      <w:r>
        <w:rPr>
          <w:color w:val="010101"/>
          <w:w w:val="110"/>
          <w:sz w:val="17"/>
        </w:rPr>
        <w:t>Find the probability that a person </w:t>
      </w:r>
      <w:r>
        <w:rPr>
          <w:b/>
          <w:color w:val="010101"/>
          <w:w w:val="110"/>
          <w:sz w:val="17"/>
        </w:rPr>
        <w:t>aged 20 </w:t>
      </w:r>
      <w:r>
        <w:rPr>
          <w:b/>
          <w:color w:val="010101"/>
          <w:w w:val="110"/>
          <w:sz w:val="18"/>
        </w:rPr>
        <w:t>will </w:t>
      </w:r>
      <w:r>
        <w:rPr>
          <w:rFonts w:ascii="Arial"/>
          <w:color w:val="010101"/>
          <w:w w:val="110"/>
          <w:sz w:val="16"/>
        </w:rPr>
        <w:t>be </w:t>
      </w:r>
      <w:r>
        <w:rPr>
          <w:color w:val="010101"/>
          <w:w w:val="110"/>
          <w:sz w:val="17"/>
        </w:rPr>
        <w:t>alive at the end of 25 years.</w:t>
        <w:tab/>
      </w:r>
      <w:r>
        <w:rPr>
          <w:rFonts w:ascii="Arial"/>
          <w:b/>
          <w:color w:val="010101"/>
          <w:w w:val="110"/>
          <w:sz w:val="15"/>
        </w:rPr>
        <w:t>(Ans.</w:t>
      </w:r>
      <w:r>
        <w:rPr>
          <w:rFonts w:ascii="Arial"/>
          <w:b/>
          <w:color w:val="010101"/>
          <w:spacing w:val="45"/>
          <w:w w:val="110"/>
          <w:sz w:val="15"/>
        </w:rPr>
        <w:t> </w:t>
      </w:r>
      <w:r>
        <w:rPr>
          <w:rFonts w:ascii="Arial"/>
          <w:color w:val="010101"/>
          <w:spacing w:val="-18"/>
          <w:w w:val="110"/>
          <w:sz w:val="15"/>
        </w:rPr>
        <w:t>.</w:t>
      </w:r>
      <w:r>
        <w:rPr>
          <w:color w:val="010101"/>
          <w:spacing w:val="-18"/>
          <w:w w:val="110"/>
          <w:sz w:val="17"/>
        </w:rPr>
        <w:t>812)</w:t>
      </w:r>
    </w:p>
    <w:p>
      <w:pPr>
        <w:spacing w:after="0" w:line="194" w:lineRule="exact"/>
        <w:jc w:val="left"/>
        <w:rPr>
          <w:sz w:val="17"/>
        </w:rPr>
        <w:sectPr>
          <w:type w:val="continuous"/>
          <w:pgSz w:w="7200" w:h="11340"/>
          <w:pgMar w:top="1100" w:bottom="0" w:left="640" w:right="540"/>
        </w:sectPr>
      </w:pPr>
    </w:p>
    <w:p>
      <w:pPr>
        <w:tabs>
          <w:tab w:pos="5853" w:val="right" w:leader="none"/>
        </w:tabs>
        <w:spacing w:before="55"/>
        <w:ind w:left="2512" w:right="0" w:firstLine="0"/>
        <w:jc w:val="left"/>
        <w:rPr>
          <w:rFonts w:ascii="Courier New"/>
          <w:sz w:val="22"/>
        </w:rPr>
      </w:pPr>
      <w:r>
        <w:rPr>
          <w:b/>
          <w:color w:val="010101"/>
          <w:w w:val="105"/>
          <w:sz w:val="15"/>
        </w:rPr>
        <w:t>EXERCISES</w:t>
      </w:r>
      <w:r>
        <w:rPr>
          <w:rFonts w:ascii="Courier New"/>
          <w:color w:val="010101"/>
          <w:w w:val="105"/>
          <w:sz w:val="22"/>
        </w:rPr>
        <w:tab/>
      </w:r>
      <w:r>
        <w:rPr>
          <w:rFonts w:ascii="Courier New"/>
          <w:color w:val="010101"/>
          <w:spacing w:val="-30"/>
          <w:w w:val="105"/>
          <w:sz w:val="22"/>
        </w:rPr>
        <w:t>209</w:t>
      </w:r>
    </w:p>
    <w:p>
      <w:pPr>
        <w:pStyle w:val="BodyText"/>
        <w:spacing w:before="7"/>
        <w:rPr>
          <w:rFonts w:ascii="Courier New"/>
          <w:sz w:val="18"/>
        </w:rPr>
      </w:pPr>
    </w:p>
    <w:p>
      <w:pPr>
        <w:pStyle w:val="ListParagraph"/>
        <w:numPr>
          <w:ilvl w:val="1"/>
          <w:numId w:val="96"/>
        </w:numPr>
        <w:tabs>
          <w:tab w:pos="554" w:val="left" w:leader="none"/>
        </w:tabs>
        <w:spacing w:line="168" w:lineRule="exact" w:before="1" w:after="0"/>
        <w:ind w:left="553" w:right="124" w:hanging="287"/>
        <w:jc w:val="center"/>
        <w:rPr>
          <w:sz w:val="13"/>
        </w:rPr>
      </w:pPr>
      <w:r>
        <w:rPr>
          <w:color w:val="010101"/>
          <w:w w:val="105"/>
          <w:sz w:val="17"/>
        </w:rPr>
        <w:t>A  mprtality   table  </w:t>
      </w:r>
      <w:r>
        <w:rPr>
          <w:color w:val="010101"/>
          <w:w w:val="105"/>
          <w:sz w:val="18"/>
        </w:rPr>
        <w:t>is  </w:t>
      </w:r>
      <w:r>
        <w:rPr>
          <w:color w:val="010101"/>
          <w:w w:val="105"/>
          <w:sz w:val="17"/>
        </w:rPr>
        <w:t>graduated   according  to  Makeham's  law: </w:t>
      </w:r>
      <w:r>
        <w:rPr>
          <w:color w:val="010101"/>
          <w:spacing w:val="18"/>
          <w:w w:val="105"/>
          <w:sz w:val="17"/>
        </w:rPr>
        <w:t> </w:t>
      </w:r>
      <w:r>
        <w:rPr>
          <w:color w:val="010101"/>
          <w:w w:val="105"/>
          <w:sz w:val="13"/>
        </w:rPr>
        <w:t>JJz</w:t>
      </w:r>
    </w:p>
    <w:p>
      <w:pPr>
        <w:spacing w:line="260" w:lineRule="exact" w:before="0"/>
        <w:ind w:left="105" w:right="0" w:firstLine="0"/>
        <w:jc w:val="left"/>
        <w:rPr>
          <w:sz w:val="17"/>
        </w:rPr>
      </w:pPr>
      <w:r>
        <w:rPr>
          <w:i/>
          <w:color w:val="010101"/>
          <w:w w:val="110"/>
          <w:sz w:val="18"/>
        </w:rPr>
        <w:t>A </w:t>
      </w:r>
      <w:r>
        <w:rPr>
          <w:rFonts w:ascii="Arial"/>
          <w:color w:val="010101"/>
          <w:w w:val="110"/>
          <w:sz w:val="26"/>
        </w:rPr>
        <w:t>+ </w:t>
      </w:r>
      <w:r>
        <w:rPr>
          <w:i/>
          <w:color w:val="010101"/>
          <w:w w:val="105"/>
          <w:sz w:val="18"/>
        </w:rPr>
        <w:t>Be"' </w:t>
      </w:r>
      <w:r>
        <w:rPr>
          <w:i/>
          <w:color w:val="010101"/>
          <w:w w:val="110"/>
          <w:sz w:val="18"/>
        </w:rPr>
        <w:t>.</w:t>
      </w:r>
      <w:r>
        <w:rPr>
          <w:rFonts w:ascii="Arial"/>
          <w:color w:val="010101"/>
          <w:w w:val="110"/>
          <w:sz w:val="17"/>
        </w:rPr>
        <w:t>A </w:t>
      </w:r>
      <w:r>
        <w:rPr>
          <w:color w:val="010101"/>
          <w:w w:val="110"/>
          <w:sz w:val="17"/>
        </w:rPr>
        <w:t>new mortality table </w:t>
      </w:r>
      <w:r>
        <w:rPr>
          <w:rFonts w:ascii="Arial"/>
          <w:color w:val="010101"/>
          <w:w w:val="110"/>
          <w:sz w:val="17"/>
        </w:rPr>
        <w:t>is </w:t>
      </w:r>
      <w:r>
        <w:rPr>
          <w:color w:val="010101"/>
          <w:w w:val="110"/>
          <w:sz w:val="17"/>
        </w:rPr>
        <w:t>constructed such that</w:t>
      </w:r>
    </w:p>
    <w:p>
      <w:pPr>
        <w:spacing w:before="79"/>
        <w:ind w:left="69" w:right="131" w:firstLine="0"/>
        <w:jc w:val="center"/>
        <w:rPr>
          <w:i/>
          <w:sz w:val="18"/>
        </w:rPr>
      </w:pPr>
      <w:r>
        <w:rPr>
          <w:rFonts w:ascii="Arial"/>
          <w:i/>
          <w:color w:val="010101"/>
          <w:w w:val="95"/>
          <w:sz w:val="19"/>
        </w:rPr>
        <w:t>p.; </w:t>
      </w:r>
      <w:r>
        <w:rPr>
          <w:color w:val="010101"/>
          <w:sz w:val="21"/>
        </w:rPr>
        <w:t>= </w:t>
      </w:r>
      <w:r>
        <w:rPr>
          <w:i/>
          <w:color w:val="010101"/>
          <w:sz w:val="18"/>
        </w:rPr>
        <w:t>A'  </w:t>
      </w:r>
      <w:r>
        <w:rPr>
          <w:i/>
          <w:color w:val="010101"/>
          <w:w w:val="110"/>
          <w:sz w:val="18"/>
        </w:rPr>
        <w:t>+ </w:t>
      </w:r>
      <w:r>
        <w:rPr>
          <w:i/>
          <w:color w:val="010101"/>
          <w:sz w:val="18"/>
        </w:rPr>
        <w:t>B'c"' ,</w:t>
      </w:r>
    </w:p>
    <w:p>
      <w:pPr>
        <w:spacing w:before="112"/>
        <w:ind w:left="108" w:right="0" w:firstLine="0"/>
        <w:jc w:val="left"/>
        <w:rPr>
          <w:sz w:val="17"/>
        </w:rPr>
      </w:pPr>
      <w:r>
        <w:rPr/>
        <w:drawing>
          <wp:anchor distT="0" distB="0" distL="0" distR="0" allowOverlap="1" layoutInCell="1" locked="0" behindDoc="0" simplePos="0" relativeHeight="16360">
            <wp:simplePos x="0" y="0"/>
            <wp:positionH relativeFrom="page">
              <wp:posOffset>2642616</wp:posOffset>
            </wp:positionH>
            <wp:positionV relativeFrom="paragraph">
              <wp:posOffset>365170</wp:posOffset>
            </wp:positionV>
            <wp:extent cx="475488" cy="109727"/>
            <wp:effectExtent l="0" t="0" r="0" b="0"/>
            <wp:wrapNone/>
            <wp:docPr id="437" name="image224.png" descr=""/>
            <wp:cNvGraphicFramePr>
              <a:graphicFrameLocks noChangeAspect="1"/>
            </wp:cNvGraphicFramePr>
            <a:graphic>
              <a:graphicData uri="http://schemas.openxmlformats.org/drawingml/2006/picture">
                <pic:pic>
                  <pic:nvPicPr>
                    <pic:cNvPr id="438" name="image224.png"/>
                    <pic:cNvPicPr/>
                  </pic:nvPicPr>
                  <pic:blipFill>
                    <a:blip r:embed="rId228" cstate="print"/>
                    <a:stretch>
                      <a:fillRect/>
                    </a:stretch>
                  </pic:blipFill>
                  <pic:spPr>
                    <a:xfrm>
                      <a:off x="0" y="0"/>
                      <a:ext cx="475488" cy="109727"/>
                    </a:xfrm>
                    <a:prstGeom prst="rect">
                      <a:avLst/>
                    </a:prstGeom>
                  </pic:spPr>
                </pic:pic>
              </a:graphicData>
            </a:graphic>
          </wp:anchor>
        </w:drawing>
      </w:r>
      <w:r>
        <w:rPr>
          <w:color w:val="010101"/>
          <w:w w:val="105"/>
          <w:sz w:val="17"/>
        </w:rPr>
        <w:t>where</w:t>
      </w:r>
    </w:p>
    <w:p>
      <w:pPr>
        <w:spacing w:after="0"/>
        <w:jc w:val="left"/>
        <w:rPr>
          <w:sz w:val="17"/>
        </w:rPr>
        <w:sectPr>
          <w:pgSz w:w="7200" w:h="11340"/>
          <w:pgMar w:top="520" w:bottom="280" w:left="720" w:right="520"/>
        </w:sectPr>
      </w:pPr>
    </w:p>
    <w:p>
      <w:pPr>
        <w:spacing w:line="146" w:lineRule="exact" w:before="137"/>
        <w:ind w:left="0" w:right="0" w:firstLine="0"/>
        <w:jc w:val="right"/>
        <w:rPr>
          <w:b/>
          <w:sz w:val="16"/>
        </w:rPr>
      </w:pPr>
      <w:r>
        <w:rPr>
          <w:b/>
          <w:color w:val="010101"/>
          <w:w w:val="117"/>
          <w:sz w:val="16"/>
        </w:rPr>
        <w:t>1</w:t>
      </w:r>
    </w:p>
    <w:p>
      <w:pPr>
        <w:spacing w:line="133" w:lineRule="exact" w:before="0"/>
        <w:ind w:left="0" w:right="380" w:firstLine="0"/>
        <w:jc w:val="right"/>
        <w:rPr>
          <w:b/>
          <w:i/>
          <w:sz w:val="18"/>
        </w:rPr>
      </w:pPr>
      <w:r>
        <w:rPr>
          <w:b/>
          <w:i/>
          <w:color w:val="010101"/>
          <w:w w:val="105"/>
          <w:sz w:val="18"/>
        </w:rPr>
        <w:t>A'  =</w:t>
      </w:r>
    </w:p>
    <w:p>
      <w:pPr>
        <w:spacing w:line="149" w:lineRule="exact" w:before="0"/>
        <w:ind w:left="0" w:right="0" w:firstLine="0"/>
        <w:jc w:val="right"/>
        <w:rPr>
          <w:rFonts w:ascii="Arial"/>
          <w:sz w:val="16"/>
        </w:rPr>
      </w:pPr>
      <w:r>
        <w:rPr>
          <w:rFonts w:ascii="Arial"/>
          <w:color w:val="010101"/>
          <w:w w:val="101"/>
          <w:sz w:val="16"/>
        </w:rPr>
        <w:t>2</w:t>
      </w:r>
    </w:p>
    <w:p>
      <w:pPr>
        <w:pStyle w:val="BodyText"/>
        <w:spacing w:before="5"/>
        <w:rPr>
          <w:rFonts w:ascii="Arial"/>
          <w:sz w:val="21"/>
        </w:rPr>
      </w:pPr>
      <w:r>
        <w:rPr/>
        <w:br w:type="column"/>
      </w:r>
      <w:r>
        <w:rPr>
          <w:rFonts w:ascii="Arial"/>
          <w:sz w:val="21"/>
        </w:rPr>
      </w:r>
    </w:p>
    <w:p>
      <w:pPr>
        <w:spacing w:before="0"/>
        <w:ind w:left="267" w:right="0" w:firstLine="0"/>
        <w:jc w:val="left"/>
        <w:rPr>
          <w:sz w:val="17"/>
        </w:rPr>
      </w:pPr>
      <w:r>
        <w:rPr>
          <w:color w:val="010101"/>
          <w:w w:val="115"/>
          <w:sz w:val="17"/>
        </w:rPr>
        <w:t>and</w:t>
      </w:r>
    </w:p>
    <w:p>
      <w:pPr>
        <w:spacing w:after="0"/>
        <w:jc w:val="left"/>
        <w:rPr>
          <w:sz w:val="17"/>
        </w:rPr>
        <w:sectPr>
          <w:type w:val="continuous"/>
          <w:pgSz w:w="7200" w:h="11340"/>
          <w:pgMar w:top="1100" w:bottom="0" w:left="720" w:right="520"/>
          <w:cols w:num="2" w:equalWidth="0">
            <w:col w:w="2528" w:space="40"/>
            <w:col w:w="3392"/>
          </w:cols>
        </w:sectPr>
      </w:pPr>
    </w:p>
    <w:p>
      <w:pPr>
        <w:pStyle w:val="BodyText"/>
        <w:spacing w:before="3"/>
        <w:rPr>
          <w:sz w:val="14"/>
        </w:rPr>
      </w:pPr>
    </w:p>
    <w:p>
      <w:pPr>
        <w:spacing w:line="247" w:lineRule="auto" w:before="1"/>
        <w:ind w:left="115" w:right="136" w:firstLine="0"/>
        <w:jc w:val="both"/>
        <w:rPr>
          <w:sz w:val="17"/>
        </w:rPr>
      </w:pPr>
      <w:r>
        <w:rPr>
          <w:color w:val="010101"/>
          <w:w w:val="110"/>
          <w:sz w:val="17"/>
        </w:rPr>
        <w:t>Express </w:t>
      </w:r>
      <w:r>
        <w:rPr>
          <w:i/>
          <w:color w:val="010101"/>
          <w:w w:val="110"/>
          <w:sz w:val="18"/>
        </w:rPr>
        <w:t>az </w:t>
      </w:r>
      <w:r>
        <w:rPr>
          <w:color w:val="010101"/>
          <w:w w:val="110"/>
          <w:sz w:val="18"/>
        </w:rPr>
        <w:t>, </w:t>
      </w:r>
      <w:r>
        <w:rPr>
          <w:color w:val="010101"/>
          <w:w w:val="110"/>
          <w:sz w:val="17"/>
        </w:rPr>
        <w:t>based on the new mortality table, as a single-life function de­ rived from the Gompertz table which is a specialization of the original Makeham table.</w:t>
      </w:r>
    </w:p>
    <w:p>
      <w:pPr>
        <w:spacing w:after="0" w:line="247" w:lineRule="auto"/>
        <w:jc w:val="both"/>
        <w:rPr>
          <w:sz w:val="17"/>
        </w:rPr>
        <w:sectPr>
          <w:type w:val="continuous"/>
          <w:pgSz w:w="7200" w:h="11340"/>
          <w:pgMar w:top="1100" w:bottom="0" w:left="720" w:right="520"/>
        </w:sectPr>
      </w:pPr>
    </w:p>
    <w:p>
      <w:pPr>
        <w:pStyle w:val="BodyText"/>
      </w:pPr>
    </w:p>
    <w:p>
      <w:pPr>
        <w:pStyle w:val="BodyText"/>
        <w:spacing w:before="9"/>
        <w:rPr>
          <w:sz w:val="25"/>
        </w:rPr>
      </w:pPr>
    </w:p>
    <w:p>
      <w:pPr>
        <w:spacing w:before="75"/>
        <w:ind w:left="98" w:right="58" w:firstLine="0"/>
        <w:jc w:val="center"/>
        <w:rPr>
          <w:sz w:val="19"/>
        </w:rPr>
      </w:pPr>
      <w:bookmarkStart w:name="10. Last-Survivor and General Multi-Life" w:id="16"/>
      <w:bookmarkEnd w:id="16"/>
      <w:r>
        <w:rPr/>
      </w:r>
      <w:r>
        <w:rPr>
          <w:w w:val="110"/>
          <w:sz w:val="15"/>
        </w:rPr>
        <w:t>CHAPTER   </w:t>
      </w:r>
      <w:r>
        <w:rPr>
          <w:w w:val="110"/>
          <w:sz w:val="19"/>
        </w:rPr>
        <w:t>10</w:t>
      </w:r>
    </w:p>
    <w:p>
      <w:pPr>
        <w:pStyle w:val="BodyText"/>
        <w:spacing w:before="7"/>
        <w:rPr>
          <w:sz w:val="14"/>
        </w:rPr>
      </w:pPr>
    </w:p>
    <w:p>
      <w:pPr>
        <w:spacing w:line="238" w:lineRule="exact" w:before="0"/>
        <w:ind w:left="276" w:right="287" w:firstLine="0"/>
        <w:jc w:val="center"/>
        <w:rPr>
          <w:sz w:val="21"/>
        </w:rPr>
      </w:pPr>
      <w:r>
        <w:rPr>
          <w:sz w:val="21"/>
        </w:rPr>
        <w:t>LAST-SURVIVOR AND GENERAL MULTI-LIFE STATUSES</w:t>
      </w:r>
    </w:p>
    <w:p>
      <w:pPr>
        <w:spacing w:before="159"/>
        <w:ind w:left="152" w:right="0" w:firstLine="0"/>
        <w:jc w:val="both"/>
        <w:rPr>
          <w:b/>
          <w:sz w:val="19"/>
        </w:rPr>
      </w:pPr>
      <w:r>
        <w:rPr>
          <w:b/>
          <w:w w:val="125"/>
          <w:sz w:val="21"/>
        </w:rPr>
        <w:t>l. The </w:t>
      </w:r>
      <w:r>
        <w:rPr>
          <w:b/>
          <w:w w:val="125"/>
          <w:sz w:val="19"/>
        </w:rPr>
        <w:t>last-survivor status</w:t>
      </w:r>
    </w:p>
    <w:p>
      <w:pPr>
        <w:spacing w:line="237" w:lineRule="auto" w:before="77"/>
        <w:ind w:left="137" w:right="138" w:firstLine="205"/>
        <w:jc w:val="both"/>
        <w:rPr>
          <w:sz w:val="21"/>
        </w:rPr>
      </w:pPr>
      <w:r>
        <w:rPr>
          <w:w w:val="105"/>
          <w:sz w:val="21"/>
        </w:rPr>
        <w:t>In the last chapter we noted that a body of </w:t>
      </w:r>
      <w:r>
        <w:rPr>
          <w:rFonts w:ascii="Arial" w:hAnsi="Arial"/>
          <w:i/>
          <w:w w:val="105"/>
          <w:sz w:val="18"/>
        </w:rPr>
        <w:t>m </w:t>
      </w:r>
      <w:r>
        <w:rPr>
          <w:w w:val="105"/>
          <w:sz w:val="21"/>
        </w:rPr>
        <w:t>lives, considered as</w:t>
      </w:r>
      <w:r>
        <w:rPr>
          <w:spacing w:val="-14"/>
          <w:w w:val="105"/>
          <w:sz w:val="21"/>
        </w:rPr>
        <w:t> </w:t>
      </w:r>
      <w:r>
        <w:rPr>
          <w:w w:val="105"/>
          <w:sz w:val="21"/>
        </w:rPr>
        <w:t>a</w:t>
      </w:r>
      <w:r>
        <w:rPr>
          <w:spacing w:val="-14"/>
          <w:w w:val="105"/>
          <w:sz w:val="21"/>
        </w:rPr>
        <w:t> </w:t>
      </w:r>
      <w:r>
        <w:rPr>
          <w:w w:val="105"/>
          <w:sz w:val="21"/>
        </w:rPr>
        <w:t>single</w:t>
      </w:r>
      <w:r>
        <w:rPr>
          <w:spacing w:val="-12"/>
          <w:w w:val="105"/>
          <w:sz w:val="21"/>
        </w:rPr>
        <w:t> </w:t>
      </w:r>
      <w:r>
        <w:rPr>
          <w:w w:val="105"/>
          <w:sz w:val="21"/>
        </w:rPr>
        <w:t>collective</w:t>
      </w:r>
      <w:r>
        <w:rPr>
          <w:spacing w:val="-3"/>
          <w:w w:val="105"/>
          <w:sz w:val="21"/>
        </w:rPr>
        <w:t> </w:t>
      </w:r>
      <w:r>
        <w:rPr>
          <w:w w:val="105"/>
          <w:sz w:val="21"/>
        </w:rPr>
        <w:t>entity,</w:t>
      </w:r>
      <w:r>
        <w:rPr>
          <w:spacing w:val="-5"/>
          <w:w w:val="105"/>
          <w:sz w:val="21"/>
        </w:rPr>
        <w:t> </w:t>
      </w:r>
      <w:r>
        <w:rPr>
          <w:w w:val="105"/>
          <w:sz w:val="21"/>
        </w:rPr>
        <w:t>can</w:t>
      </w:r>
      <w:r>
        <w:rPr>
          <w:spacing w:val="-13"/>
          <w:w w:val="105"/>
          <w:sz w:val="21"/>
        </w:rPr>
        <w:t> </w:t>
      </w:r>
      <w:r>
        <w:rPr>
          <w:w w:val="105"/>
          <w:sz w:val="21"/>
        </w:rPr>
        <w:t>be</w:t>
      </w:r>
      <w:r>
        <w:rPr>
          <w:spacing w:val="-9"/>
          <w:w w:val="105"/>
          <w:sz w:val="21"/>
        </w:rPr>
        <w:t> </w:t>
      </w:r>
      <w:r>
        <w:rPr>
          <w:w w:val="105"/>
          <w:sz w:val="21"/>
        </w:rPr>
        <w:t>said</w:t>
      </w:r>
      <w:r>
        <w:rPr>
          <w:spacing w:val="-12"/>
          <w:w w:val="105"/>
          <w:sz w:val="21"/>
        </w:rPr>
        <w:t> </w:t>
      </w:r>
      <w:r>
        <w:rPr>
          <w:w w:val="105"/>
          <w:sz w:val="22"/>
        </w:rPr>
        <w:t>to</w:t>
      </w:r>
      <w:r>
        <w:rPr>
          <w:spacing w:val="-15"/>
          <w:w w:val="105"/>
          <w:sz w:val="22"/>
        </w:rPr>
        <w:t> </w:t>
      </w:r>
      <w:r>
        <w:rPr>
          <w:w w:val="105"/>
          <w:sz w:val="21"/>
        </w:rPr>
        <w:t>fail</w:t>
      </w:r>
      <w:r>
        <w:rPr>
          <w:spacing w:val="-9"/>
          <w:w w:val="105"/>
          <w:sz w:val="21"/>
        </w:rPr>
        <w:t> </w:t>
      </w:r>
      <w:r>
        <w:rPr>
          <w:spacing w:val="3"/>
          <w:w w:val="105"/>
          <w:sz w:val="21"/>
        </w:rPr>
        <w:t>upon</w:t>
      </w:r>
      <w:r>
        <w:rPr>
          <w:spacing w:val="-5"/>
          <w:w w:val="105"/>
          <w:sz w:val="21"/>
        </w:rPr>
        <w:t> </w:t>
      </w:r>
      <w:r>
        <w:rPr>
          <w:w w:val="105"/>
          <w:sz w:val="21"/>
        </w:rPr>
        <w:t>the</w:t>
      </w:r>
      <w:r>
        <w:rPr>
          <w:spacing w:val="-16"/>
          <w:w w:val="105"/>
          <w:sz w:val="21"/>
        </w:rPr>
        <w:t> </w:t>
      </w:r>
      <w:r>
        <w:rPr>
          <w:w w:val="105"/>
          <w:sz w:val="21"/>
        </w:rPr>
        <w:t>first</w:t>
      </w:r>
      <w:r>
        <w:rPr>
          <w:spacing w:val="-10"/>
          <w:w w:val="105"/>
          <w:sz w:val="21"/>
        </w:rPr>
        <w:t> </w:t>
      </w:r>
      <w:r>
        <w:rPr>
          <w:w w:val="105"/>
          <w:sz w:val="21"/>
        </w:rPr>
        <w:t>death among</w:t>
      </w:r>
      <w:r>
        <w:rPr>
          <w:spacing w:val="-1"/>
          <w:w w:val="105"/>
          <w:sz w:val="21"/>
        </w:rPr>
        <w:t> </w:t>
      </w:r>
      <w:r>
        <w:rPr>
          <w:w w:val="105"/>
          <w:sz w:val="21"/>
        </w:rPr>
        <w:t>its</w:t>
      </w:r>
      <w:r>
        <w:rPr>
          <w:spacing w:val="-12"/>
          <w:w w:val="105"/>
          <w:sz w:val="21"/>
        </w:rPr>
        <w:t> </w:t>
      </w:r>
      <w:r>
        <w:rPr>
          <w:w w:val="105"/>
          <w:sz w:val="21"/>
        </w:rPr>
        <w:t>component</w:t>
      </w:r>
      <w:r>
        <w:rPr>
          <w:spacing w:val="-1"/>
          <w:w w:val="105"/>
          <w:sz w:val="21"/>
        </w:rPr>
        <w:t> </w:t>
      </w:r>
      <w:r>
        <w:rPr>
          <w:w w:val="105"/>
          <w:sz w:val="21"/>
        </w:rPr>
        <w:t>Iives,</w:t>
      </w:r>
      <w:r>
        <w:rPr>
          <w:spacing w:val="-2"/>
          <w:w w:val="105"/>
          <w:sz w:val="21"/>
        </w:rPr>
        <w:t> </w:t>
      </w:r>
      <w:r>
        <w:rPr>
          <w:w w:val="105"/>
          <w:sz w:val="21"/>
        </w:rPr>
        <w:t>or</w:t>
      </w:r>
      <w:r>
        <w:rPr>
          <w:spacing w:val="-12"/>
          <w:w w:val="105"/>
          <w:sz w:val="21"/>
        </w:rPr>
        <w:t> </w:t>
      </w:r>
      <w:r>
        <w:rPr>
          <w:w w:val="105"/>
          <w:sz w:val="21"/>
        </w:rPr>
        <w:t>upon</w:t>
      </w:r>
      <w:r>
        <w:rPr>
          <w:spacing w:val="-4"/>
          <w:w w:val="105"/>
          <w:sz w:val="21"/>
        </w:rPr>
        <w:t> </w:t>
      </w:r>
      <w:r>
        <w:rPr>
          <w:w w:val="105"/>
          <w:sz w:val="21"/>
        </w:rPr>
        <w:t>the</w:t>
      </w:r>
      <w:r>
        <w:rPr>
          <w:spacing w:val="-10"/>
          <w:w w:val="105"/>
          <w:sz w:val="21"/>
        </w:rPr>
        <w:t> </w:t>
      </w:r>
      <w:r>
        <w:rPr>
          <w:w w:val="105"/>
          <w:sz w:val="21"/>
        </w:rPr>
        <w:t>death</w:t>
      </w:r>
      <w:r>
        <w:rPr>
          <w:spacing w:val="-5"/>
          <w:w w:val="105"/>
          <w:sz w:val="21"/>
        </w:rPr>
        <w:t> </w:t>
      </w:r>
      <w:r>
        <w:rPr>
          <w:w w:val="105"/>
          <w:sz w:val="21"/>
        </w:rPr>
        <w:t>of</w:t>
      </w:r>
      <w:r>
        <w:rPr>
          <w:spacing w:val="3"/>
          <w:w w:val="105"/>
          <w:sz w:val="21"/>
        </w:rPr>
        <w:t> </w:t>
      </w:r>
      <w:r>
        <w:rPr>
          <w:w w:val="105"/>
          <w:sz w:val="21"/>
        </w:rPr>
        <w:t>its</w:t>
      </w:r>
      <w:r>
        <w:rPr>
          <w:spacing w:val="-17"/>
          <w:w w:val="105"/>
          <w:sz w:val="21"/>
        </w:rPr>
        <w:t> </w:t>
      </w:r>
      <w:r>
        <w:rPr>
          <w:w w:val="105"/>
          <w:sz w:val="21"/>
        </w:rPr>
        <w:t>last</w:t>
      </w:r>
      <w:r>
        <w:rPr>
          <w:spacing w:val="-11"/>
          <w:w w:val="105"/>
          <w:sz w:val="21"/>
        </w:rPr>
        <w:t> </w:t>
      </w:r>
      <w:r>
        <w:rPr>
          <w:w w:val="105"/>
          <w:sz w:val="21"/>
        </w:rPr>
        <w:t>surviving member, or arbitrarily upon sorne intermediate death. The con­ cept of group failure upon the first death leads to the joint-Iife functions; thé major alternative, that of defining  the failure of the group as occurring when its last survivor dies, leads </w:t>
      </w:r>
      <w:r>
        <w:rPr>
          <w:w w:val="105"/>
          <w:sz w:val="22"/>
        </w:rPr>
        <w:t>to </w:t>
      </w:r>
      <w:r>
        <w:rPr>
          <w:w w:val="105"/>
          <w:sz w:val="21"/>
        </w:rPr>
        <w:t>the </w:t>
      </w:r>
      <w:r>
        <w:rPr>
          <w:i/>
          <w:w w:val="105"/>
          <w:sz w:val="21"/>
        </w:rPr>
        <w:t>last-survivor </w:t>
      </w:r>
      <w:r>
        <w:rPr>
          <w:w w:val="105"/>
          <w:sz w:val="21"/>
        </w:rPr>
        <w:t>status and the various functions of that status. The expressions "longest-Iife" and "joint-and-survivor" are also used in</w:t>
      </w:r>
      <w:r>
        <w:rPr>
          <w:spacing w:val="-14"/>
          <w:w w:val="105"/>
          <w:sz w:val="21"/>
        </w:rPr>
        <w:t> </w:t>
      </w:r>
      <w:r>
        <w:rPr>
          <w:w w:val="105"/>
          <w:sz w:val="21"/>
        </w:rPr>
        <w:t>insurance</w:t>
      </w:r>
      <w:r>
        <w:rPr>
          <w:spacing w:val="-12"/>
          <w:w w:val="105"/>
          <w:sz w:val="21"/>
        </w:rPr>
        <w:t> </w:t>
      </w:r>
      <w:r>
        <w:rPr>
          <w:w w:val="105"/>
          <w:sz w:val="21"/>
        </w:rPr>
        <w:t>practice</w:t>
      </w:r>
      <w:r>
        <w:rPr>
          <w:spacing w:val="-5"/>
          <w:w w:val="105"/>
          <w:sz w:val="21"/>
        </w:rPr>
        <w:t> </w:t>
      </w:r>
      <w:r>
        <w:rPr>
          <w:w w:val="105"/>
          <w:sz w:val="21"/>
        </w:rPr>
        <w:t>as</w:t>
      </w:r>
      <w:r>
        <w:rPr>
          <w:spacing w:val="-18"/>
          <w:w w:val="105"/>
          <w:sz w:val="21"/>
        </w:rPr>
        <w:t> </w:t>
      </w:r>
      <w:r>
        <w:rPr>
          <w:w w:val="105"/>
          <w:sz w:val="21"/>
        </w:rPr>
        <w:t>synonymo</w:t>
      </w:r>
      <w:r>
        <w:rPr>
          <w:w w:val="105"/>
          <w:sz w:val="21"/>
          <w:u w:val="thick"/>
        </w:rPr>
        <w:t>u</w:t>
      </w:r>
      <w:r>
        <w:rPr>
          <w:w w:val="105"/>
          <w:sz w:val="21"/>
        </w:rPr>
        <w:t>s</w:t>
      </w:r>
      <w:r>
        <w:rPr>
          <w:spacing w:val="-13"/>
          <w:w w:val="105"/>
          <w:sz w:val="21"/>
        </w:rPr>
        <w:t> </w:t>
      </w:r>
      <w:r>
        <w:rPr>
          <w:w w:val="105"/>
          <w:sz w:val="21"/>
        </w:rPr>
        <w:t>with</w:t>
      </w:r>
      <w:r>
        <w:rPr>
          <w:spacing w:val="-1"/>
          <w:w w:val="105"/>
          <w:sz w:val="21"/>
        </w:rPr>
        <w:t> </w:t>
      </w:r>
      <w:r>
        <w:rPr>
          <w:w w:val="105"/>
          <w:sz w:val="21"/>
        </w:rPr>
        <w:t>"last-survivor."</w:t>
      </w:r>
    </w:p>
    <w:p>
      <w:pPr>
        <w:spacing w:line="252" w:lineRule="exact" w:before="0"/>
        <w:ind w:left="126" w:right="0" w:firstLine="205"/>
        <w:jc w:val="both"/>
        <w:rPr>
          <w:rFonts w:ascii="Arial" w:hAnsi="Arial"/>
          <w:sz w:val="18"/>
        </w:rPr>
      </w:pPr>
      <w:r>
        <w:rPr>
          <w:sz w:val="21"/>
        </w:rPr>
        <w:t>The symbol  </w:t>
      </w:r>
      <w:r>
        <w:rPr>
          <w:rFonts w:ascii="Arial" w:hAnsi="Arial"/>
          <w:sz w:val="18"/>
        </w:rPr>
        <w:t>(x</w:t>
      </w:r>
      <w:r>
        <w:rPr>
          <w:position w:val="-3"/>
          <w:sz w:val="12"/>
        </w:rPr>
        <w:t>1</w:t>
      </w:r>
      <w:r>
        <w:rPr>
          <w:rFonts w:ascii="Arial" w:hAnsi="Arial"/>
          <w:sz w:val="16"/>
        </w:rPr>
        <w:t>X2  • • •  </w:t>
      </w:r>
      <w:r>
        <w:rPr>
          <w:i/>
          <w:sz w:val="26"/>
        </w:rPr>
        <w:t>x,,J  </w:t>
      </w:r>
      <w:r>
        <w:rPr>
          <w:sz w:val="21"/>
        </w:rPr>
        <w:t>denotes a group of  </w:t>
      </w:r>
      <w:r>
        <w:rPr>
          <w:i/>
          <w:sz w:val="26"/>
        </w:rPr>
        <w:t>m </w:t>
      </w:r>
      <w:r>
        <w:rPr>
          <w:sz w:val="21"/>
        </w:rPr>
        <w:t>lives aged  </w:t>
      </w:r>
      <w:r>
        <w:rPr>
          <w:rFonts w:ascii="Arial" w:hAnsi="Arial"/>
          <w:sz w:val="18"/>
        </w:rPr>
        <w:t>x1 </w:t>
      </w:r>
      <w:r>
        <w:rPr>
          <w:rFonts w:ascii="Arial" w:hAnsi="Arial"/>
          <w:w w:val="155"/>
          <w:sz w:val="18"/>
        </w:rPr>
        <w:t>,</w:t>
      </w:r>
    </w:p>
    <w:p>
      <w:pPr>
        <w:spacing w:line="240" w:lineRule="auto" w:before="0"/>
        <w:ind w:left="134" w:right="149" w:hanging="8"/>
        <w:jc w:val="both"/>
        <w:rPr>
          <w:sz w:val="21"/>
        </w:rPr>
      </w:pPr>
      <w:r>
        <w:rPr>
          <w:sz w:val="20"/>
        </w:rPr>
        <w:t>x2 , </w:t>
      </w:r>
      <w:r>
        <w:rPr>
          <w:spacing w:val="8"/>
          <w:w w:val="115"/>
          <w:sz w:val="20"/>
        </w:rPr>
        <w:t>··· </w:t>
      </w:r>
      <w:r>
        <w:rPr>
          <w:sz w:val="20"/>
        </w:rPr>
        <w:t>, </w:t>
      </w:r>
      <w:r>
        <w:rPr>
          <w:i/>
          <w:sz w:val="14"/>
        </w:rPr>
        <w:t>X m </w:t>
      </w:r>
      <w:r>
        <w:rPr>
          <w:i/>
          <w:w w:val="115"/>
          <w:sz w:val="14"/>
        </w:rPr>
        <w:t>, </w:t>
      </w:r>
      <w:r>
        <w:rPr>
          <w:sz w:val="21"/>
        </w:rPr>
        <w:t>comprising a last-survivor status. The group con­ tinues to exist as long as </w:t>
      </w:r>
      <w:r>
        <w:rPr>
          <w:rFonts w:ascii="Arial" w:hAnsi="Arial"/>
          <w:i/>
          <w:sz w:val="17"/>
        </w:rPr>
        <w:t>at </w:t>
      </w:r>
      <w:r>
        <w:rPr>
          <w:i/>
          <w:sz w:val="21"/>
        </w:rPr>
        <w:t>least orw </w:t>
      </w:r>
      <w:r>
        <w:rPr>
          <w:sz w:val="21"/>
        </w:rPr>
        <w:t>of </w:t>
      </w:r>
      <w:r>
        <w:rPr>
          <w:sz w:val="20"/>
        </w:rPr>
        <w:t>(x1), (x2), </w:t>
      </w:r>
      <w:r>
        <w:rPr>
          <w:spacing w:val="3"/>
          <w:w w:val="115"/>
          <w:sz w:val="20"/>
        </w:rPr>
        <w:t>···</w:t>
      </w:r>
      <w:r>
        <w:rPr>
          <w:spacing w:val="-42"/>
          <w:w w:val="115"/>
          <w:sz w:val="20"/>
        </w:rPr>
        <w:t> </w:t>
      </w:r>
      <w:r>
        <w:rPr>
          <w:sz w:val="20"/>
        </w:rPr>
        <w:t>, (x,,. ) </w:t>
      </w:r>
      <w:r>
        <w:rPr>
          <w:sz w:val="21"/>
        </w:rPr>
        <w:t>is alive, and fails upon the occurrence of the </w:t>
      </w:r>
      <w:r>
        <w:rPr>
          <w:i/>
          <w:sz w:val="21"/>
        </w:rPr>
        <w:t>last  </w:t>
      </w:r>
      <w:r>
        <w:rPr>
          <w:i/>
          <w:spacing w:val="29"/>
          <w:sz w:val="21"/>
        </w:rPr>
        <w:t> </w:t>
      </w:r>
      <w:r>
        <w:rPr>
          <w:sz w:val="21"/>
        </w:rPr>
        <w:t>death.</w:t>
      </w:r>
    </w:p>
    <w:p>
      <w:pPr>
        <w:spacing w:line="235" w:lineRule="auto" w:before="3"/>
        <w:ind w:left="123" w:right="153" w:firstLine="205"/>
        <w:jc w:val="both"/>
        <w:rPr>
          <w:sz w:val="21"/>
        </w:rPr>
      </w:pPr>
      <w:r>
        <w:rPr/>
        <w:pict>
          <v:line style="position:absolute;mso-position-horizontal-relative:page;mso-position-vertical-relative:paragraph;z-index:-719656" from="107.82pt,10.746679pt" to="129.24pt,10.746679pt" stroked="true" strokeweight="1.98pt" strokecolor="#000000">
            <w10:wrap type="none"/>
          </v:line>
        </w:pict>
      </w:r>
      <w:r>
        <w:rPr>
          <w:w w:val="104"/>
          <w:sz w:val="21"/>
        </w:rPr>
        <w:t>The </w:t>
      </w:r>
      <w:r>
        <w:rPr>
          <w:w w:val="97"/>
          <w:sz w:val="21"/>
        </w:rPr>
        <w:t>symbol </w:t>
      </w:r>
      <w:r>
        <w:rPr>
          <w:rFonts w:ascii="Arial" w:hAnsi="Arial"/>
          <w:spacing w:val="-2"/>
          <w:w w:val="93"/>
          <w:sz w:val="18"/>
        </w:rPr>
        <w:t>nP:,;</w:t>
      </w:r>
      <w:r>
        <w:rPr>
          <w:spacing w:val="-2"/>
          <w:w w:val="93"/>
          <w:position w:val="-3"/>
          <w:sz w:val="10"/>
        </w:rPr>
        <w:t>1</w:t>
      </w:r>
      <w:r>
        <w:rPr>
          <w:spacing w:val="-2"/>
          <w:w w:val="93"/>
          <w:sz w:val="10"/>
        </w:rPr>
        <w:t>:,;</w:t>
      </w:r>
      <w:r>
        <w:rPr>
          <w:spacing w:val="-2"/>
          <w:w w:val="93"/>
          <w:position w:val="-3"/>
          <w:sz w:val="10"/>
        </w:rPr>
        <w:t>1</w:t>
      </w:r>
      <w:r>
        <w:rPr>
          <w:spacing w:val="-2"/>
          <w:w w:val="93"/>
          <w:sz w:val="10"/>
        </w:rPr>
        <w:t>•</w:t>
      </w:r>
      <w:r>
        <w:rPr>
          <w:w w:val="93"/>
          <w:sz w:val="10"/>
        </w:rPr>
        <w:t> </w:t>
      </w:r>
      <w:r>
        <w:rPr>
          <w:w w:val="115"/>
          <w:sz w:val="10"/>
        </w:rPr>
        <w:t>• </w:t>
      </w:r>
      <w:r>
        <w:rPr>
          <w:rFonts w:ascii="Arial" w:hAnsi="Arial"/>
          <w:i/>
          <w:w w:val="117"/>
          <w:sz w:val="10"/>
        </w:rPr>
        <w:t>·:i:m </w:t>
      </w:r>
      <w:r>
        <w:rPr>
          <w:w w:val="98"/>
          <w:sz w:val="21"/>
        </w:rPr>
        <w:t>denotes </w:t>
      </w:r>
      <w:r>
        <w:rPr>
          <w:w w:val="106"/>
          <w:sz w:val="21"/>
        </w:rPr>
        <w:t>the </w:t>
      </w:r>
      <w:r>
        <w:rPr>
          <w:w w:val="100"/>
          <w:sz w:val="21"/>
        </w:rPr>
        <w:t>probability </w:t>
      </w:r>
      <w:r>
        <w:rPr>
          <w:w w:val="112"/>
          <w:sz w:val="21"/>
        </w:rPr>
        <w:t>that </w:t>
      </w:r>
      <w:r>
        <w:rPr>
          <w:w w:val="103"/>
          <w:sz w:val="21"/>
        </w:rPr>
        <w:t>the </w:t>
      </w:r>
      <w:r>
        <w:rPr>
          <w:w w:val="103"/>
          <w:sz w:val="21"/>
        </w:rPr>
        <w:t>last­ </w:t>
      </w:r>
      <w:r>
        <w:rPr>
          <w:sz w:val="21"/>
        </w:rPr>
        <w:t>survivor status </w:t>
      </w:r>
      <w:r>
        <w:rPr>
          <w:spacing w:val="-5"/>
          <w:sz w:val="21"/>
        </w:rPr>
        <w:t>(x</w:t>
      </w:r>
      <w:r>
        <w:rPr>
          <w:spacing w:val="-5"/>
          <w:position w:val="-3"/>
          <w:sz w:val="12"/>
        </w:rPr>
        <w:t>1</w:t>
      </w:r>
      <w:r>
        <w:rPr>
          <w:spacing w:val="-5"/>
          <w:sz w:val="21"/>
        </w:rPr>
        <w:t>x</w:t>
      </w:r>
      <w:r>
        <w:rPr>
          <w:spacing w:val="-5"/>
          <w:position w:val="-3"/>
          <w:sz w:val="12"/>
        </w:rPr>
        <w:t>2 </w:t>
      </w:r>
      <w:r>
        <w:rPr>
          <w:sz w:val="12"/>
        </w:rPr>
        <w:t>• • • </w:t>
      </w:r>
      <w:r>
        <w:rPr>
          <w:i/>
          <w:sz w:val="20"/>
        </w:rPr>
        <w:t>Xm ) </w:t>
      </w:r>
      <w:r>
        <w:rPr>
          <w:sz w:val="21"/>
        </w:rPr>
        <w:t>will survive for </w:t>
      </w:r>
      <w:r>
        <w:rPr>
          <w:i/>
          <w:sz w:val="21"/>
        </w:rPr>
        <w:t>n </w:t>
      </w:r>
      <w:r>
        <w:rPr>
          <w:sz w:val="21"/>
        </w:rPr>
        <w:t>years. This function may also be described as the probability that at least one of  the lives </w:t>
      </w:r>
      <w:r>
        <w:rPr>
          <w:sz w:val="20"/>
        </w:rPr>
        <w:t>(xi), (x2), </w:t>
      </w:r>
      <w:r>
        <w:rPr>
          <w:spacing w:val="4"/>
          <w:w w:val="110"/>
          <w:sz w:val="20"/>
        </w:rPr>
        <w:t>··· </w:t>
      </w:r>
      <w:r>
        <w:rPr>
          <w:sz w:val="20"/>
        </w:rPr>
        <w:t>, (xm) </w:t>
      </w:r>
      <w:r>
        <w:rPr>
          <w:sz w:val="21"/>
        </w:rPr>
        <w:t>will survive for </w:t>
      </w:r>
      <w:r>
        <w:rPr>
          <w:i/>
          <w:sz w:val="21"/>
        </w:rPr>
        <w:t>n </w:t>
      </w:r>
      <w:r>
        <w:rPr>
          <w:sz w:val="21"/>
        </w:rPr>
        <w:t>years, or as the proba­ bility that the last survivor will be alive at the end of </w:t>
      </w:r>
      <w:r>
        <w:rPr>
          <w:i/>
          <w:sz w:val="21"/>
        </w:rPr>
        <w:t>n </w:t>
      </w:r>
      <w:r>
        <w:rPr>
          <w:sz w:val="21"/>
        </w:rPr>
        <w:t>years. There is, of course, no way of knowing at the outset which one of the</w:t>
      </w:r>
      <w:r>
        <w:rPr>
          <w:spacing w:val="-21"/>
          <w:sz w:val="21"/>
        </w:rPr>
        <w:t> </w:t>
      </w:r>
      <w:r>
        <w:rPr>
          <w:sz w:val="21"/>
        </w:rPr>
        <w:t>lives </w:t>
      </w:r>
      <w:r>
        <w:rPr>
          <w:sz w:val="20"/>
        </w:rPr>
        <w:t>will </w:t>
      </w:r>
      <w:r>
        <w:rPr>
          <w:sz w:val="21"/>
        </w:rPr>
        <w:t>be the last survivor. </w:t>
      </w:r>
      <w:r>
        <w:rPr>
          <w:sz w:val="22"/>
        </w:rPr>
        <w:t>It </w:t>
      </w:r>
      <w:r>
        <w:rPr>
          <w:sz w:val="21"/>
        </w:rPr>
        <w:t>should be understood that the language, "the last survivor will be alive," does not imply that none of the other lives </w:t>
      </w:r>
      <w:r>
        <w:rPr>
          <w:sz w:val="20"/>
        </w:rPr>
        <w:t>will </w:t>
      </w:r>
      <w:r>
        <w:rPr>
          <w:sz w:val="21"/>
        </w:rPr>
        <w:t>also be surviving;  it  is merely  an alternative way  of saying that at least one of  the lives will be in  </w:t>
      </w:r>
      <w:r>
        <w:rPr>
          <w:spacing w:val="10"/>
          <w:sz w:val="21"/>
        </w:rPr>
        <w:t> </w:t>
      </w:r>
      <w:r>
        <w:rPr>
          <w:sz w:val="21"/>
        </w:rPr>
        <w:t>existence.</w:t>
      </w:r>
    </w:p>
    <w:p>
      <w:pPr>
        <w:spacing w:line="225" w:lineRule="auto" w:before="7"/>
        <w:ind w:left="119" w:right="167" w:firstLine="205"/>
        <w:jc w:val="both"/>
        <w:rPr>
          <w:sz w:val="21"/>
        </w:rPr>
      </w:pPr>
      <w:r>
        <w:rPr/>
        <w:pict>
          <v:line style="position:absolute;mso-position-horizontal-relative:page;mso-position-vertical-relative:paragraph;z-index:-719632" from="131.580002pt,10.993361pt" to="153.180002pt,10.993361pt" stroked="true" strokeweight="1.98pt" strokecolor="#000000">
            <w10:wrap type="none"/>
          </v:line>
        </w:pict>
      </w:r>
      <w:r>
        <w:rPr>
          <w:w w:val="119"/>
          <w:sz w:val="22"/>
        </w:rPr>
        <w:t>It </w:t>
      </w:r>
      <w:r>
        <w:rPr>
          <w:w w:val="97"/>
          <w:sz w:val="21"/>
        </w:rPr>
        <w:t>is </w:t>
      </w:r>
      <w:r>
        <w:rPr>
          <w:w w:val="100"/>
          <w:sz w:val="21"/>
        </w:rPr>
        <w:t>evident </w:t>
      </w:r>
      <w:r>
        <w:rPr>
          <w:w w:val="112"/>
          <w:sz w:val="21"/>
        </w:rPr>
        <w:t>that </w:t>
      </w:r>
      <w:r>
        <w:rPr>
          <w:rFonts w:ascii="Arial" w:hAnsi="Arial"/>
          <w:w w:val="95"/>
          <w:sz w:val="18"/>
        </w:rPr>
        <w:t>nP:i:</w:t>
      </w:r>
      <w:r>
        <w:rPr>
          <w:w w:val="95"/>
          <w:position w:val="-3"/>
          <w:sz w:val="10"/>
        </w:rPr>
        <w:t>1</w:t>
      </w:r>
      <w:r>
        <w:rPr>
          <w:w w:val="95"/>
          <w:sz w:val="10"/>
        </w:rPr>
        <w:t>:,;</w:t>
      </w:r>
      <w:r>
        <w:rPr>
          <w:w w:val="95"/>
          <w:position w:val="-3"/>
          <w:sz w:val="10"/>
        </w:rPr>
        <w:t>1</w:t>
      </w:r>
      <w:r>
        <w:rPr>
          <w:w w:val="95"/>
          <w:sz w:val="10"/>
        </w:rPr>
        <w:t>• </w:t>
      </w:r>
      <w:r>
        <w:rPr>
          <w:i/>
          <w:w w:val="137"/>
          <w:sz w:val="10"/>
        </w:rPr>
        <w:t>..</w:t>
      </w:r>
      <w:r>
        <w:rPr>
          <w:i/>
          <w:w w:val="137"/>
          <w:sz w:val="13"/>
        </w:rPr>
        <w:t>:z,,. </w:t>
      </w:r>
      <w:r>
        <w:rPr>
          <w:w w:val="101"/>
          <w:sz w:val="21"/>
        </w:rPr>
        <w:t>may </w:t>
      </w:r>
      <w:r>
        <w:rPr>
          <w:w w:val="96"/>
          <w:sz w:val="21"/>
        </w:rPr>
        <w:t>be </w:t>
      </w:r>
      <w:r>
        <w:rPr>
          <w:w w:val="94"/>
          <w:sz w:val="21"/>
        </w:rPr>
        <w:t>expressed </w:t>
      </w:r>
      <w:r>
        <w:rPr>
          <w:w w:val="105"/>
          <w:sz w:val="21"/>
        </w:rPr>
        <w:t>as </w:t>
      </w:r>
      <w:r>
        <w:rPr>
          <w:w w:val="104"/>
          <w:sz w:val="21"/>
        </w:rPr>
        <w:t>the </w:t>
      </w:r>
      <w:r>
        <w:rPr>
          <w:w w:val="95"/>
          <w:sz w:val="21"/>
        </w:rPr>
        <w:t>comple­ </w:t>
      </w:r>
      <w:r>
        <w:rPr>
          <w:w w:val="105"/>
          <w:sz w:val="21"/>
        </w:rPr>
        <w:t>ment of the probability that </w:t>
      </w:r>
      <w:r>
        <w:rPr>
          <w:w w:val="105"/>
          <w:sz w:val="19"/>
        </w:rPr>
        <w:t>all </w:t>
      </w:r>
      <w:r>
        <w:rPr>
          <w:w w:val="105"/>
          <w:sz w:val="21"/>
        </w:rPr>
        <w:t>the lives will die within </w:t>
      </w:r>
      <w:r>
        <w:rPr>
          <w:i/>
          <w:w w:val="105"/>
          <w:sz w:val="22"/>
        </w:rPr>
        <w:t>n </w:t>
      </w:r>
      <w:r>
        <w:rPr>
          <w:w w:val="105"/>
          <w:sz w:val="21"/>
        </w:rPr>
        <w:t>years. Thus,</w:t>
      </w:r>
    </w:p>
    <w:p>
      <w:pPr>
        <w:spacing w:before="120"/>
        <w:ind w:left="39" w:right="192" w:firstLine="0"/>
        <w:jc w:val="center"/>
        <w:rPr>
          <w:b/>
          <w:sz w:val="20"/>
        </w:rPr>
      </w:pPr>
      <w:r>
        <w:rPr>
          <w:b/>
          <w:w w:val="57"/>
          <w:sz w:val="20"/>
        </w:rPr>
        <w:t>nP:</w:t>
      </w:r>
      <w:r>
        <w:rPr>
          <w:b/>
          <w:w w:val="57"/>
          <w:sz w:val="20"/>
          <w:u w:val="thick"/>
        </w:rPr>
        <w:t>z1:z1</w:t>
      </w:r>
      <w:r>
        <w:rPr>
          <w:b/>
          <w:spacing w:val="-17"/>
          <w:sz w:val="20"/>
        </w:rPr>
        <w:t> </w:t>
      </w:r>
      <w:r>
        <w:rPr>
          <w:b/>
          <w:w w:val="117"/>
          <w:sz w:val="20"/>
        </w:rPr>
        <w:t>..</w:t>
      </w:r>
      <w:r>
        <w:rPr>
          <w:b/>
          <w:spacing w:val="8"/>
          <w:w w:val="117"/>
          <w:sz w:val="20"/>
        </w:rPr>
        <w:t>.</w:t>
      </w:r>
      <w:r>
        <w:rPr>
          <w:b/>
          <w:w w:val="55"/>
          <w:sz w:val="20"/>
        </w:rPr>
        <w:t>:z,,.</w:t>
      </w:r>
      <w:r>
        <w:rPr>
          <w:b/>
          <w:sz w:val="20"/>
        </w:rPr>
        <w:t> </w:t>
      </w:r>
      <w:r>
        <w:rPr>
          <w:b/>
          <w:spacing w:val="-9"/>
          <w:sz w:val="20"/>
        </w:rPr>
        <w:t> </w:t>
      </w:r>
      <w:r>
        <w:rPr>
          <w:w w:val="104"/>
          <w:sz w:val="23"/>
        </w:rPr>
        <w:t>=</w:t>
      </w:r>
      <w:r>
        <w:rPr>
          <w:sz w:val="23"/>
        </w:rPr>
        <w:t> </w:t>
      </w:r>
      <w:r>
        <w:rPr>
          <w:spacing w:val="-7"/>
          <w:sz w:val="23"/>
        </w:rPr>
        <w:t> </w:t>
      </w:r>
      <w:r>
        <w:rPr>
          <w:rFonts w:ascii="Arial" w:hAnsi="Arial"/>
          <w:b/>
          <w:w w:val="118"/>
          <w:sz w:val="19"/>
        </w:rPr>
        <w:t>1</w:t>
      </w:r>
      <w:r>
        <w:rPr>
          <w:rFonts w:ascii="Arial" w:hAnsi="Arial"/>
          <w:b/>
          <w:spacing w:val="5"/>
          <w:sz w:val="19"/>
        </w:rPr>
        <w:t> </w:t>
      </w:r>
      <w:r>
        <w:rPr>
          <w:rFonts w:ascii="Arial" w:hAnsi="Arial"/>
          <w:w w:val="262"/>
          <w:sz w:val="19"/>
        </w:rPr>
        <w:t>-</w:t>
      </w:r>
      <w:r>
        <w:rPr>
          <w:rFonts w:ascii="Arial" w:hAnsi="Arial"/>
          <w:sz w:val="19"/>
        </w:rPr>
        <w:t> </w:t>
      </w:r>
      <w:r>
        <w:rPr>
          <w:rFonts w:ascii="Arial" w:hAnsi="Arial"/>
          <w:spacing w:val="1"/>
          <w:sz w:val="19"/>
        </w:rPr>
        <w:t> </w:t>
      </w:r>
      <w:r>
        <w:rPr>
          <w:rFonts w:ascii="Arial" w:hAnsi="Arial"/>
          <w:b/>
          <w:w w:val="104"/>
          <w:sz w:val="19"/>
        </w:rPr>
        <w:t>(</w:t>
      </w:r>
      <w:r>
        <w:rPr>
          <w:rFonts w:ascii="Arial" w:hAnsi="Arial"/>
          <w:b/>
          <w:w w:val="104"/>
          <w:sz w:val="19"/>
        </w:rPr>
        <w:t>1</w:t>
      </w:r>
      <w:r>
        <w:rPr>
          <w:rFonts w:ascii="Arial" w:hAnsi="Arial"/>
          <w:b/>
          <w:spacing w:val="18"/>
          <w:sz w:val="19"/>
        </w:rPr>
        <w:t> </w:t>
      </w:r>
      <w:r>
        <w:rPr>
          <w:rFonts w:ascii="Arial" w:hAnsi="Arial"/>
          <w:w w:val="262"/>
          <w:sz w:val="19"/>
        </w:rPr>
        <w:t>-</w:t>
      </w:r>
      <w:r>
        <w:rPr>
          <w:rFonts w:ascii="Arial" w:hAnsi="Arial"/>
          <w:spacing w:val="18"/>
          <w:sz w:val="19"/>
        </w:rPr>
        <w:t> </w:t>
      </w:r>
      <w:r>
        <w:rPr>
          <w:b/>
          <w:w w:val="61"/>
          <w:sz w:val="20"/>
        </w:rPr>
        <w:t>nP:z1</w:t>
      </w:r>
      <w:r>
        <w:rPr>
          <w:b/>
          <w:spacing w:val="-11"/>
          <w:sz w:val="20"/>
        </w:rPr>
        <w:t> </w:t>
      </w:r>
      <w:r>
        <w:rPr>
          <w:b/>
          <w:w w:val="93"/>
          <w:sz w:val="20"/>
        </w:rPr>
        <w:t>)</w:t>
      </w:r>
      <w:r>
        <w:rPr>
          <w:b/>
          <w:spacing w:val="-1"/>
          <w:sz w:val="20"/>
        </w:rPr>
        <w:t> </w:t>
      </w:r>
      <w:r>
        <w:rPr>
          <w:rFonts w:ascii="Arial" w:hAnsi="Arial"/>
          <w:b/>
          <w:w w:val="107"/>
          <w:sz w:val="19"/>
        </w:rPr>
        <w:t>(</w:t>
      </w:r>
      <w:r>
        <w:rPr>
          <w:rFonts w:ascii="Arial" w:hAnsi="Arial"/>
          <w:b/>
          <w:w w:val="107"/>
          <w:sz w:val="19"/>
        </w:rPr>
        <w:t>1</w:t>
      </w:r>
      <w:r>
        <w:rPr>
          <w:rFonts w:ascii="Arial" w:hAnsi="Arial"/>
          <w:b/>
          <w:spacing w:val="13"/>
          <w:sz w:val="19"/>
        </w:rPr>
        <w:t> </w:t>
      </w:r>
      <w:r>
        <w:rPr>
          <w:rFonts w:ascii="Arial" w:hAnsi="Arial"/>
          <w:w w:val="269"/>
          <w:sz w:val="19"/>
        </w:rPr>
        <w:t>-</w:t>
      </w:r>
      <w:r>
        <w:rPr>
          <w:rFonts w:ascii="Arial" w:hAnsi="Arial"/>
          <w:spacing w:val="14"/>
          <w:sz w:val="19"/>
        </w:rPr>
        <w:t> </w:t>
      </w:r>
      <w:r>
        <w:rPr>
          <w:b/>
          <w:w w:val="62"/>
          <w:sz w:val="20"/>
        </w:rPr>
        <w:t>nP:z1</w:t>
      </w:r>
      <w:r>
        <w:rPr>
          <w:b/>
          <w:spacing w:val="-20"/>
          <w:sz w:val="20"/>
        </w:rPr>
        <w:t> </w:t>
      </w:r>
      <w:r>
        <w:rPr>
          <w:b/>
          <w:w w:val="93"/>
          <w:sz w:val="20"/>
        </w:rPr>
        <w:t>)</w:t>
      </w:r>
      <w:r>
        <w:rPr>
          <w:b/>
          <w:sz w:val="20"/>
        </w:rPr>
        <w:t> </w:t>
      </w:r>
      <w:r>
        <w:rPr>
          <w:b/>
          <w:spacing w:val="3"/>
          <w:sz w:val="20"/>
        </w:rPr>
        <w:t> </w:t>
      </w:r>
      <w:r>
        <w:rPr>
          <w:spacing w:val="5"/>
          <w:w w:val="137"/>
          <w:sz w:val="20"/>
        </w:rPr>
        <w:t>·</w:t>
      </w:r>
      <w:r>
        <w:rPr>
          <w:spacing w:val="8"/>
          <w:w w:val="137"/>
          <w:sz w:val="20"/>
        </w:rPr>
        <w:t>·</w:t>
      </w:r>
      <w:r>
        <w:rPr>
          <w:w w:val="119"/>
          <w:sz w:val="20"/>
        </w:rPr>
        <w:t>·</w:t>
      </w:r>
      <w:r>
        <w:rPr>
          <w:spacing w:val="21"/>
          <w:sz w:val="20"/>
        </w:rPr>
        <w:t> </w:t>
      </w:r>
      <w:r>
        <w:rPr>
          <w:rFonts w:ascii="Arial" w:hAnsi="Arial"/>
          <w:b/>
          <w:w w:val="107"/>
          <w:sz w:val="19"/>
        </w:rPr>
        <w:t>(</w:t>
      </w:r>
      <w:r>
        <w:rPr>
          <w:rFonts w:ascii="Arial" w:hAnsi="Arial"/>
          <w:b/>
          <w:w w:val="107"/>
          <w:sz w:val="19"/>
        </w:rPr>
        <w:t>1</w:t>
      </w:r>
      <w:r>
        <w:rPr>
          <w:rFonts w:ascii="Arial" w:hAnsi="Arial"/>
          <w:b/>
          <w:spacing w:val="20"/>
          <w:sz w:val="19"/>
        </w:rPr>
        <w:t> </w:t>
      </w:r>
      <w:r>
        <w:rPr>
          <w:rFonts w:ascii="Arial" w:hAnsi="Arial"/>
          <w:w w:val="269"/>
          <w:sz w:val="19"/>
        </w:rPr>
        <w:t>-</w:t>
      </w:r>
      <w:r>
        <w:rPr>
          <w:rFonts w:ascii="Arial" w:hAnsi="Arial"/>
          <w:spacing w:val="10"/>
          <w:sz w:val="19"/>
        </w:rPr>
        <w:t> </w:t>
      </w:r>
      <w:r>
        <w:rPr>
          <w:b/>
          <w:w w:val="80"/>
          <w:sz w:val="20"/>
        </w:rPr>
        <w:t>nP:,;.</w:t>
      </w:r>
      <w:r>
        <w:rPr>
          <w:b/>
          <w:w w:val="80"/>
          <w:sz w:val="20"/>
        </w:rPr>
        <w:t>)</w:t>
      </w:r>
    </w:p>
    <w:p>
      <w:pPr>
        <w:spacing w:before="21"/>
        <w:ind w:left="1437" w:right="0" w:firstLine="0"/>
        <w:jc w:val="left"/>
        <w:rPr>
          <w:b/>
          <w:i/>
          <w:sz w:val="20"/>
        </w:rPr>
      </w:pPr>
      <w:r>
        <w:rPr/>
        <w:drawing>
          <wp:anchor distT="0" distB="0" distL="0" distR="0" allowOverlap="1" layoutInCell="1" locked="0" behindDoc="0" simplePos="0" relativeHeight="16384">
            <wp:simplePos x="0" y="0"/>
            <wp:positionH relativeFrom="page">
              <wp:posOffset>1609344</wp:posOffset>
            </wp:positionH>
            <wp:positionV relativeFrom="paragraph">
              <wp:posOffset>304518</wp:posOffset>
            </wp:positionV>
            <wp:extent cx="1901952" cy="146303"/>
            <wp:effectExtent l="0" t="0" r="0" b="0"/>
            <wp:wrapTopAndBottom/>
            <wp:docPr id="439" name="image225.png" descr=""/>
            <wp:cNvGraphicFramePr>
              <a:graphicFrameLocks noChangeAspect="1"/>
            </wp:cNvGraphicFramePr>
            <a:graphic>
              <a:graphicData uri="http://schemas.openxmlformats.org/drawingml/2006/picture">
                <pic:pic>
                  <pic:nvPicPr>
                    <pic:cNvPr id="440" name="image225.png"/>
                    <pic:cNvPicPr/>
                  </pic:nvPicPr>
                  <pic:blipFill>
                    <a:blip r:embed="rId229" cstate="print"/>
                    <a:stretch>
                      <a:fillRect/>
                    </a:stretch>
                  </pic:blipFill>
                  <pic:spPr>
                    <a:xfrm>
                      <a:off x="0" y="0"/>
                      <a:ext cx="1901952" cy="146303"/>
                    </a:xfrm>
                    <a:prstGeom prst="rect">
                      <a:avLst/>
                    </a:prstGeom>
                  </pic:spPr>
                </pic:pic>
              </a:graphicData>
            </a:graphic>
          </wp:anchor>
        </w:drawing>
      </w:r>
      <w:r>
        <w:rPr>
          <w:w w:val="95"/>
          <w:sz w:val="23"/>
        </w:rPr>
        <w:t>= </w:t>
      </w:r>
      <w:r>
        <w:rPr>
          <w:b/>
          <w:i/>
          <w:w w:val="95"/>
          <w:sz w:val="20"/>
        </w:rPr>
        <w:t>(nP:z1 </w:t>
      </w:r>
      <w:r>
        <w:rPr>
          <w:w w:val="95"/>
          <w:sz w:val="29"/>
        </w:rPr>
        <w:t>+ </w:t>
      </w:r>
      <w:r>
        <w:rPr>
          <w:b/>
          <w:i/>
          <w:w w:val="95"/>
          <w:sz w:val="20"/>
        </w:rPr>
        <w:t>nP:z, </w:t>
      </w:r>
      <w:r>
        <w:rPr>
          <w:w w:val="95"/>
          <w:sz w:val="29"/>
        </w:rPr>
        <w:t>+ ·</w:t>
      </w:r>
      <w:r>
        <w:rPr>
          <w:spacing w:val="-61"/>
          <w:w w:val="95"/>
          <w:sz w:val="29"/>
        </w:rPr>
        <w:t> </w:t>
      </w:r>
      <w:r>
        <w:rPr>
          <w:spacing w:val="9"/>
          <w:w w:val="95"/>
          <w:sz w:val="29"/>
        </w:rPr>
        <w:t>··</w:t>
      </w:r>
      <w:r>
        <w:rPr>
          <w:spacing w:val="-54"/>
          <w:w w:val="95"/>
          <w:sz w:val="29"/>
        </w:rPr>
        <w:t> </w:t>
      </w:r>
      <w:r>
        <w:rPr>
          <w:rFonts w:ascii="Arial" w:hAnsi="Arial"/>
          <w:w w:val="95"/>
          <w:sz w:val="32"/>
        </w:rPr>
        <w:t>+</w:t>
      </w:r>
      <w:r>
        <w:rPr>
          <w:rFonts w:ascii="Arial" w:hAnsi="Arial"/>
          <w:spacing w:val="-66"/>
          <w:w w:val="95"/>
          <w:sz w:val="32"/>
        </w:rPr>
        <w:t> </w:t>
      </w:r>
      <w:r>
        <w:rPr>
          <w:b/>
          <w:i/>
          <w:spacing w:val="2"/>
          <w:w w:val="95"/>
          <w:sz w:val="20"/>
        </w:rPr>
        <w:t>nP:i:..)</w:t>
      </w:r>
    </w:p>
    <w:p>
      <w:pPr>
        <w:spacing w:after="0"/>
        <w:jc w:val="left"/>
        <w:rPr>
          <w:sz w:val="20"/>
        </w:rPr>
        <w:sectPr>
          <w:pgSz w:w="7200" w:h="11340"/>
          <w:pgMar w:top="1060" w:bottom="280" w:left="640" w:right="560"/>
        </w:sectPr>
      </w:pPr>
    </w:p>
    <w:p>
      <w:pPr>
        <w:tabs>
          <w:tab w:pos="1764" w:val="left" w:leader="none"/>
          <w:tab w:pos="5837" w:val="right" w:leader="none"/>
        </w:tabs>
        <w:spacing w:before="43"/>
        <w:ind w:left="112" w:right="0" w:firstLine="0"/>
        <w:jc w:val="left"/>
        <w:rPr>
          <w:rFonts w:ascii="Arial"/>
          <w:sz w:val="18"/>
        </w:rPr>
      </w:pPr>
      <w:r>
        <w:rPr>
          <w:b/>
          <w:w w:val="105"/>
          <w:sz w:val="15"/>
        </w:rPr>
        <w:t>SEC.  </w:t>
      </w:r>
      <w:r>
        <w:rPr>
          <w:b/>
          <w:spacing w:val="5"/>
          <w:w w:val="105"/>
          <w:sz w:val="15"/>
        </w:rPr>
        <w:t> </w:t>
      </w:r>
      <w:r>
        <w:rPr>
          <w:b/>
          <w:w w:val="105"/>
          <w:sz w:val="22"/>
        </w:rPr>
        <w:t>l]</w:t>
        <w:tab/>
      </w:r>
      <w:r>
        <w:rPr>
          <w:b/>
          <w:w w:val="105"/>
          <w:position w:val="1"/>
          <w:sz w:val="15"/>
        </w:rPr>
        <w:t>THE </w:t>
      </w:r>
      <w:r>
        <w:rPr>
          <w:b/>
          <w:spacing w:val="8"/>
          <w:w w:val="105"/>
          <w:position w:val="1"/>
          <w:sz w:val="15"/>
        </w:rPr>
        <w:t> </w:t>
      </w:r>
      <w:r>
        <w:rPr>
          <w:b/>
          <w:w w:val="105"/>
          <w:position w:val="1"/>
          <w:sz w:val="15"/>
        </w:rPr>
        <w:t>LAST-SURVIVOB </w:t>
      </w:r>
      <w:r>
        <w:rPr>
          <w:b/>
          <w:spacing w:val="27"/>
          <w:w w:val="105"/>
          <w:position w:val="1"/>
          <w:sz w:val="15"/>
        </w:rPr>
        <w:t> </w:t>
      </w:r>
      <w:r>
        <w:rPr>
          <w:b/>
          <w:w w:val="105"/>
          <w:position w:val="1"/>
          <w:sz w:val="15"/>
        </w:rPr>
        <w:t>STATUS</w:t>
      </w:r>
      <w:r>
        <w:rPr>
          <w:rFonts w:ascii="Arial"/>
          <w:w w:val="105"/>
          <w:position w:val="2"/>
          <w:sz w:val="18"/>
        </w:rPr>
        <w:tab/>
        <w:t>211</w:t>
      </w:r>
    </w:p>
    <w:p>
      <w:pPr>
        <w:spacing w:after="0"/>
        <w:jc w:val="left"/>
        <w:rPr>
          <w:rFonts w:ascii="Arial"/>
          <w:sz w:val="18"/>
        </w:rPr>
        <w:sectPr>
          <w:pgSz w:w="7200" w:h="11340"/>
          <w:pgMar w:top="500" w:bottom="280" w:left="680" w:right="540"/>
        </w:sectPr>
      </w:pPr>
    </w:p>
    <w:p>
      <w:pPr>
        <w:pStyle w:val="BodyText"/>
        <w:rPr>
          <w:rFonts w:ascii="Arial"/>
          <w:sz w:val="32"/>
        </w:rPr>
      </w:pPr>
    </w:p>
    <w:p>
      <w:pPr>
        <w:pStyle w:val="BodyText"/>
        <w:spacing w:before="10"/>
        <w:rPr>
          <w:rFonts w:ascii="Arial"/>
          <w:sz w:val="45"/>
        </w:rPr>
      </w:pPr>
    </w:p>
    <w:p>
      <w:pPr>
        <w:pStyle w:val="Heading5"/>
        <w:spacing w:line="343" w:lineRule="exact"/>
        <w:ind w:left="1616" w:right="-9"/>
        <w:rPr>
          <w:rFonts w:ascii="Arial" w:hAnsi="Arial"/>
        </w:rPr>
      </w:pPr>
      <w:r>
        <w:rPr/>
        <w:drawing>
          <wp:anchor distT="0" distB="0" distL="0" distR="0" allowOverlap="1" layoutInCell="1" locked="0" behindDoc="0" simplePos="0" relativeHeight="16456">
            <wp:simplePos x="0" y="0"/>
            <wp:positionH relativeFrom="page">
              <wp:posOffset>1453896</wp:posOffset>
            </wp:positionH>
            <wp:positionV relativeFrom="paragraph">
              <wp:posOffset>-416092</wp:posOffset>
            </wp:positionV>
            <wp:extent cx="2478024" cy="384047"/>
            <wp:effectExtent l="0" t="0" r="0" b="0"/>
            <wp:wrapNone/>
            <wp:docPr id="441" name="image226.png" descr=""/>
            <wp:cNvGraphicFramePr>
              <a:graphicFrameLocks noChangeAspect="1"/>
            </wp:cNvGraphicFramePr>
            <a:graphic>
              <a:graphicData uri="http://schemas.openxmlformats.org/drawingml/2006/picture">
                <pic:pic>
                  <pic:nvPicPr>
                    <pic:cNvPr id="442" name="image226.png"/>
                    <pic:cNvPicPr/>
                  </pic:nvPicPr>
                  <pic:blipFill>
                    <a:blip r:embed="rId230" cstate="print"/>
                    <a:stretch>
                      <a:fillRect/>
                    </a:stretch>
                  </pic:blipFill>
                  <pic:spPr>
                    <a:xfrm>
                      <a:off x="0" y="0"/>
                      <a:ext cx="2478024" cy="384047"/>
                    </a:xfrm>
                    <a:prstGeom prst="rect">
                      <a:avLst/>
                    </a:prstGeom>
                  </pic:spPr>
                </pic:pic>
              </a:graphicData>
            </a:graphic>
          </wp:anchor>
        </w:drawing>
      </w:r>
      <w:r>
        <w:rPr>
          <w:rFonts w:ascii="Arial" w:hAnsi="Arial"/>
        </w:rPr>
        <w:t>+ ···</w:t>
      </w:r>
    </w:p>
    <w:p>
      <w:pPr>
        <w:spacing w:line="343" w:lineRule="exact" w:before="0"/>
        <w:ind w:left="1613" w:right="-9" w:firstLine="0"/>
        <w:jc w:val="left"/>
        <w:rPr>
          <w:sz w:val="20"/>
        </w:rPr>
      </w:pPr>
      <w:r>
        <w:rPr>
          <w:rFonts w:ascii="Arial"/>
          <w:w w:val="103"/>
          <w:sz w:val="33"/>
        </w:rPr>
        <w:t>+</w:t>
      </w:r>
      <w:r>
        <w:rPr>
          <w:rFonts w:ascii="Arial"/>
          <w:spacing w:val="-8"/>
          <w:sz w:val="33"/>
        </w:rPr>
        <w:t> </w:t>
      </w:r>
      <w:r>
        <w:rPr>
          <w:rFonts w:ascii="Arial"/>
          <w:spacing w:val="5"/>
          <w:w w:val="76"/>
          <w:sz w:val="33"/>
        </w:rPr>
        <w:t>(</w:t>
      </w:r>
      <w:r>
        <w:rPr>
          <w:rFonts w:ascii="Arial"/>
          <w:w w:val="197"/>
          <w:sz w:val="19"/>
        </w:rPr>
        <w:t>-</w:t>
      </w:r>
      <w:r>
        <w:rPr>
          <w:rFonts w:ascii="Arial"/>
          <w:spacing w:val="-43"/>
          <w:w w:val="197"/>
          <w:sz w:val="19"/>
        </w:rPr>
        <w:t>1</w:t>
      </w:r>
      <w:r>
        <w:rPr>
          <w:w w:val="129"/>
          <w:sz w:val="20"/>
        </w:rPr>
        <w:t>)</w:t>
      </w:r>
      <w:r>
        <w:rPr>
          <w:spacing w:val="-15"/>
          <w:w w:val="129"/>
          <w:sz w:val="20"/>
        </w:rPr>
        <w:t>'</w:t>
      </w:r>
      <w:r>
        <w:rPr>
          <w:w w:val="94"/>
          <w:sz w:val="20"/>
        </w:rPr>
        <w:t>"+1</w:t>
      </w:r>
      <w:r>
        <w:rPr>
          <w:spacing w:val="-21"/>
          <w:w w:val="95"/>
          <w:sz w:val="20"/>
        </w:rPr>
        <w:t>.</w:t>
      </w:r>
      <w:r>
        <w:rPr>
          <w:w w:val="130"/>
          <w:sz w:val="20"/>
        </w:rPr>
        <w:t>p</w:t>
      </w:r>
      <w:r>
        <w:rPr>
          <w:spacing w:val="-5"/>
          <w:w w:val="130"/>
          <w:sz w:val="20"/>
        </w:rPr>
        <w:t>.</w:t>
      </w:r>
      <w:r>
        <w:rPr>
          <w:spacing w:val="-25"/>
          <w:w w:val="158"/>
          <w:sz w:val="20"/>
        </w:rPr>
        <w:t>,</w:t>
      </w:r>
      <w:r>
        <w:rPr>
          <w:w w:val="174"/>
          <w:sz w:val="20"/>
        </w:rPr>
        <w:t>.</w:t>
      </w:r>
      <w:r>
        <w:rPr>
          <w:spacing w:val="-23"/>
          <w:w w:val="174"/>
          <w:sz w:val="20"/>
        </w:rPr>
        <w:t>.</w:t>
      </w:r>
      <w:r>
        <w:rPr>
          <w:w w:val="136"/>
          <w:sz w:val="20"/>
        </w:rPr>
        <w:t>.....</w:t>
      </w:r>
      <w:r>
        <w:rPr>
          <w:spacing w:val="-16"/>
          <w:sz w:val="20"/>
        </w:rPr>
        <w:t> </w:t>
      </w:r>
      <w:r>
        <w:rPr>
          <w:w w:val="165"/>
          <w:sz w:val="20"/>
        </w:rPr>
        <w:t>.</w:t>
      </w:r>
    </w:p>
    <w:p>
      <w:pPr>
        <w:pStyle w:val="BodyText"/>
        <w:spacing w:before="107"/>
        <w:ind w:left="108" w:right="-9"/>
      </w:pPr>
      <w:r>
        <w:rPr>
          <w:w w:val="105"/>
        </w:rPr>
        <w:t>This expression may be written more concisely as  follows:</w:t>
      </w:r>
    </w:p>
    <w:p>
      <w:pPr>
        <w:spacing w:line="359" w:lineRule="exact" w:before="49"/>
        <w:ind w:left="108" w:right="-9" w:firstLine="0"/>
        <w:jc w:val="left"/>
        <w:rPr>
          <w:b/>
          <w:sz w:val="20"/>
        </w:rPr>
      </w:pPr>
      <w:r>
        <w:rPr>
          <w:b/>
          <w:sz w:val="20"/>
        </w:rPr>
        <w:t>"P•1•1···s</w:t>
      </w:r>
      <w:r>
        <w:rPr>
          <w:b/>
          <w:sz w:val="20"/>
          <w:u w:val="single"/>
        </w:rPr>
        <w:t>.</w:t>
      </w:r>
      <w:r>
        <w:rPr>
          <w:b/>
          <w:sz w:val="20"/>
        </w:rPr>
        <w:t>. </w:t>
      </w:r>
      <w:r>
        <w:rPr>
          <w:sz w:val="26"/>
        </w:rPr>
        <w:t>= </w:t>
      </w:r>
      <w:r>
        <w:rPr>
          <w:b/>
          <w:i/>
          <w:w w:val="105"/>
          <w:sz w:val="34"/>
        </w:rPr>
        <w:t>L</w:t>
      </w:r>
      <w:r>
        <w:rPr>
          <w:b/>
          <w:i/>
          <w:spacing w:val="-66"/>
          <w:w w:val="105"/>
          <w:sz w:val="34"/>
        </w:rPr>
        <w:t> </w:t>
      </w:r>
      <w:r>
        <w:rPr>
          <w:b/>
          <w:sz w:val="20"/>
        </w:rPr>
        <w:t>aPs1 </w:t>
      </w:r>
      <w:r>
        <w:rPr>
          <w:w w:val="105"/>
          <w:sz w:val="20"/>
        </w:rPr>
        <w:t>- </w:t>
      </w:r>
      <w:r>
        <w:rPr>
          <w:b/>
          <w:i/>
          <w:w w:val="105"/>
          <w:sz w:val="34"/>
        </w:rPr>
        <w:t>L</w:t>
      </w:r>
      <w:r>
        <w:rPr>
          <w:b/>
          <w:i/>
          <w:spacing w:val="-67"/>
          <w:w w:val="105"/>
          <w:sz w:val="34"/>
        </w:rPr>
        <w:t> </w:t>
      </w:r>
      <w:r>
        <w:rPr>
          <w:b/>
          <w:sz w:val="20"/>
        </w:rPr>
        <w:t>•P•1s1 </w:t>
      </w:r>
      <w:r>
        <w:rPr>
          <w:rFonts w:ascii="Arial" w:hAnsi="Arial"/>
          <w:w w:val="105"/>
          <w:sz w:val="31"/>
        </w:rPr>
        <w:t>+</w:t>
      </w:r>
      <w:r>
        <w:rPr>
          <w:rFonts w:ascii="Arial" w:hAnsi="Arial"/>
          <w:spacing w:val="-65"/>
          <w:w w:val="105"/>
          <w:sz w:val="31"/>
        </w:rPr>
        <w:t> </w:t>
      </w:r>
      <w:r>
        <w:rPr>
          <w:b/>
          <w:i/>
          <w:w w:val="105"/>
          <w:sz w:val="34"/>
        </w:rPr>
        <w:t>L</w:t>
      </w:r>
      <w:r>
        <w:rPr>
          <w:b/>
          <w:i/>
          <w:spacing w:val="-67"/>
          <w:w w:val="105"/>
          <w:sz w:val="34"/>
        </w:rPr>
        <w:t> </w:t>
      </w:r>
      <w:r>
        <w:rPr>
          <w:b/>
          <w:sz w:val="20"/>
        </w:rPr>
        <w:t>t1Ps1•1•1</w:t>
      </w:r>
    </w:p>
    <w:p>
      <w:pPr>
        <w:spacing w:line="359" w:lineRule="exact" w:before="0"/>
        <w:ind w:left="1325" w:right="-9" w:firstLine="0"/>
        <w:jc w:val="left"/>
        <w:rPr>
          <w:b/>
          <w:sz w:val="20"/>
        </w:rPr>
      </w:pPr>
      <w:r>
        <w:rPr/>
        <w:pict>
          <v:shape style="position:absolute;margin-left:249.119995pt;margin-top:.660198pt;width:2.65pt;height:10pt;mso-position-horizontal-relative:page;mso-position-vertical-relative:paragraph;z-index:-719512" type="#_x0000_t202" filled="false" stroked="false">
            <v:textbox inset="0,0,0,0">
              <w:txbxContent>
                <w:p>
                  <w:pPr>
                    <w:spacing w:line="200" w:lineRule="exact" w:before="0"/>
                    <w:ind w:left="0" w:right="0" w:firstLine="0"/>
                    <w:jc w:val="left"/>
                    <w:rPr>
                      <w:b/>
                      <w:sz w:val="20"/>
                    </w:rPr>
                  </w:pPr>
                  <w:r>
                    <w:rPr>
                      <w:b/>
                      <w:w w:val="53"/>
                      <w:sz w:val="20"/>
                    </w:rPr>
                    <w:t>1</w:t>
                  </w:r>
                </w:p>
              </w:txbxContent>
            </v:textbox>
            <w10:wrap type="none"/>
          </v:shape>
        </w:pict>
      </w:r>
      <w:r>
        <w:rPr>
          <w:w w:val="105"/>
          <w:sz w:val="34"/>
        </w:rPr>
        <w:t>-</w:t>
      </w:r>
      <w:r>
        <w:rPr>
          <w:spacing w:val="-53"/>
          <w:w w:val="105"/>
          <w:sz w:val="34"/>
        </w:rPr>
        <w:t> </w:t>
      </w:r>
      <w:r>
        <w:rPr>
          <w:b/>
          <w:i/>
          <w:w w:val="105"/>
          <w:sz w:val="34"/>
        </w:rPr>
        <w:t>L</w:t>
      </w:r>
      <w:r>
        <w:rPr>
          <w:b/>
          <w:i/>
          <w:spacing w:val="-62"/>
          <w:w w:val="105"/>
          <w:sz w:val="34"/>
        </w:rPr>
        <w:t> </w:t>
      </w:r>
      <w:r>
        <w:rPr>
          <w:b/>
          <w:w w:val="85"/>
          <w:sz w:val="20"/>
        </w:rPr>
        <w:t>11Ps1sa:r1•, </w:t>
      </w:r>
      <w:r>
        <w:rPr>
          <w:rFonts w:ascii="Arial" w:hAnsi="Arial"/>
          <w:w w:val="105"/>
          <w:sz w:val="31"/>
        </w:rPr>
        <w:t>+</w:t>
      </w:r>
      <w:r>
        <w:rPr>
          <w:rFonts w:ascii="Arial" w:hAnsi="Arial"/>
          <w:spacing w:val="-58"/>
          <w:w w:val="105"/>
          <w:sz w:val="31"/>
        </w:rPr>
        <w:t> </w:t>
      </w:r>
      <w:r>
        <w:rPr>
          <w:rFonts w:ascii="Arial" w:hAnsi="Arial"/>
          <w:w w:val="105"/>
          <w:sz w:val="31"/>
        </w:rPr>
        <w:t>...</w:t>
      </w:r>
      <w:r>
        <w:rPr>
          <w:rFonts w:ascii="Arial" w:hAnsi="Arial"/>
          <w:spacing w:val="-72"/>
          <w:w w:val="105"/>
          <w:sz w:val="31"/>
        </w:rPr>
        <w:t> </w:t>
      </w:r>
      <w:r>
        <w:rPr>
          <w:rFonts w:ascii="Arial" w:hAnsi="Arial"/>
          <w:w w:val="105"/>
          <w:sz w:val="31"/>
        </w:rPr>
        <w:t>+</w:t>
      </w:r>
      <w:r>
        <w:rPr>
          <w:rFonts w:ascii="Arial" w:hAnsi="Arial"/>
          <w:spacing w:val="-51"/>
          <w:w w:val="105"/>
          <w:sz w:val="31"/>
        </w:rPr>
        <w:t> </w:t>
      </w:r>
      <w:r>
        <w:rPr>
          <w:rFonts w:ascii="Arial" w:hAnsi="Arial"/>
          <w:w w:val="105"/>
          <w:sz w:val="31"/>
        </w:rPr>
        <w:t>(-</w:t>
      </w:r>
      <w:r>
        <w:rPr>
          <w:rFonts w:ascii="Arial" w:hAnsi="Arial"/>
          <w:spacing w:val="-57"/>
          <w:w w:val="105"/>
          <w:sz w:val="31"/>
        </w:rPr>
        <w:t> </w:t>
      </w:r>
      <w:r>
        <w:rPr>
          <w:b/>
          <w:w w:val="105"/>
          <w:sz w:val="21"/>
        </w:rPr>
        <w:t>l</w:t>
      </w:r>
      <w:r>
        <w:rPr>
          <w:b/>
          <w:spacing w:val="-43"/>
          <w:w w:val="105"/>
          <w:sz w:val="21"/>
        </w:rPr>
        <w:t> </w:t>
      </w:r>
      <w:r>
        <w:rPr>
          <w:b/>
          <w:spacing w:val="-4"/>
          <w:w w:val="105"/>
          <w:sz w:val="21"/>
        </w:rPr>
        <w:t>)'"+</w:t>
      </w:r>
      <w:r>
        <w:rPr>
          <w:b/>
          <w:spacing w:val="-38"/>
          <w:w w:val="105"/>
          <w:sz w:val="21"/>
        </w:rPr>
        <w:t> </w:t>
      </w:r>
      <w:r>
        <w:rPr>
          <w:b/>
          <w:w w:val="85"/>
          <w:sz w:val="20"/>
        </w:rPr>
        <w:t>11Ps1:r1,</w:t>
      </w:r>
      <w:r>
        <w:rPr>
          <w:b/>
          <w:spacing w:val="-28"/>
          <w:w w:val="85"/>
          <w:sz w:val="20"/>
        </w:rPr>
        <w:t> </w:t>
      </w:r>
      <w:r>
        <w:rPr>
          <w:b/>
          <w:w w:val="85"/>
          <w:sz w:val="20"/>
        </w:rPr>
        <w:t>,,:l'..</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8"/>
        <w:ind w:left="108"/>
      </w:pPr>
      <w:r>
        <w:rPr>
          <w:w w:val="110"/>
        </w:rPr>
        <w:t>(10.1)</w:t>
      </w:r>
    </w:p>
    <w:p>
      <w:pPr>
        <w:spacing w:after="0"/>
        <w:sectPr>
          <w:type w:val="continuous"/>
          <w:pgSz w:w="7200" w:h="11340"/>
          <w:pgMar w:top="1100" w:bottom="0" w:left="680" w:right="540"/>
          <w:cols w:num="2" w:equalWidth="0">
            <w:col w:w="5144" w:space="83"/>
            <w:col w:w="753"/>
          </w:cols>
        </w:sectPr>
      </w:pPr>
    </w:p>
    <w:p>
      <w:pPr>
        <w:pStyle w:val="BodyText"/>
        <w:spacing w:line="244" w:lineRule="auto" w:before="61"/>
        <w:ind w:left="112" w:right="126" w:hanging="4"/>
        <w:jc w:val="both"/>
      </w:pPr>
      <w:r>
        <w:rPr/>
        <w:t>where the summa.tions are understood </w:t>
      </w:r>
      <w:r>
        <w:rPr>
          <w:sz w:val="23"/>
        </w:rPr>
        <w:t>to </w:t>
      </w:r>
      <w:r>
        <w:rPr/>
        <w:t>cover a.11 possible com­ bina.tions  of  the  lives  taken  one  at  a time,  two  at  a  time,  three at</w:t>
      </w:r>
    </w:p>
    <w:p>
      <w:pPr>
        <w:pStyle w:val="BodyText"/>
        <w:spacing w:line="249" w:lineRule="auto"/>
        <w:ind w:left="112" w:right="122"/>
        <w:jc w:val="both"/>
      </w:pPr>
      <w:r>
        <w:rPr>
          <w:w w:val="105"/>
          <w:sz w:val="21"/>
        </w:rPr>
        <w:t>a. </w:t>
      </w:r>
      <w:r>
        <w:rPr>
          <w:w w:val="105"/>
        </w:rPr>
        <w:t>time, a.nd so on. </w:t>
      </w:r>
      <w:r>
        <w:rPr>
          <w:w w:val="105"/>
          <w:sz w:val="22"/>
        </w:rPr>
        <w:t>It </w:t>
      </w:r>
      <w:r>
        <w:rPr>
          <w:w w:val="105"/>
        </w:rPr>
        <w:t>is thus evident that the proba.bilities of sur­ vival for the last-survivor status ma.y be obtained in terms of single-life and joint-lif e probabilities.</w:t>
      </w:r>
    </w:p>
    <w:p>
      <w:pPr>
        <w:pStyle w:val="BodyText"/>
        <w:spacing w:line="230" w:lineRule="auto" w:before="16"/>
        <w:ind w:left="112" w:right="121" w:firstLine="194"/>
        <w:jc w:val="both"/>
      </w:pPr>
      <w:r>
        <w:rPr>
          <w:w w:val="110"/>
        </w:rPr>
        <w:t>The probabilities of failure for the status </w:t>
      </w:r>
      <w:r>
        <w:rPr>
          <w:rFonts w:ascii="Arial" w:hAnsi="Arial"/>
          <w:b/>
          <w:w w:val="110"/>
          <w:sz w:val="19"/>
        </w:rPr>
        <w:t>(z</w:t>
      </w:r>
      <w:r>
        <w:rPr>
          <w:b/>
          <w:w w:val="110"/>
          <w:position w:val="-2"/>
          <w:sz w:val="13"/>
        </w:rPr>
        <w:t>1</w:t>
      </w:r>
      <w:r>
        <w:rPr>
          <w:b/>
          <w:w w:val="110"/>
          <w:sz w:val="19"/>
        </w:rPr>
        <w:t>z, </w:t>
      </w:r>
      <w:r>
        <w:rPr>
          <w:w w:val="140"/>
          <w:sz w:val="19"/>
        </w:rPr>
        <w:t>···</w:t>
      </w:r>
      <w:r>
        <w:rPr>
          <w:rFonts w:ascii="Arial" w:hAnsi="Arial"/>
          <w:w w:val="140"/>
        </w:rPr>
        <w:t>z </w:t>
      </w:r>
      <w:r>
        <w:rPr>
          <w:rFonts w:ascii="Arial" w:hAnsi="Arial"/>
          <w:w w:val="110"/>
        </w:rPr>
        <w:t>) </w:t>
      </w:r>
      <w:r>
        <w:rPr>
          <w:w w:val="110"/>
        </w:rPr>
        <w:t>may now </w:t>
      </w:r>
      <w:r>
        <w:rPr>
          <w:w w:val="103"/>
        </w:rPr>
        <w:t>be </w:t>
      </w:r>
      <w:r>
        <w:rPr>
          <w:w w:val="101"/>
        </w:rPr>
        <w:t>defined </w:t>
      </w:r>
      <w:r>
        <w:rPr>
          <w:w w:val="106"/>
        </w:rPr>
        <w:t>in </w:t>
      </w:r>
      <w:r>
        <w:rPr>
          <w:w w:val="104"/>
        </w:rPr>
        <w:t>terma  </w:t>
      </w:r>
      <w:r>
        <w:rPr>
          <w:w w:val="110"/>
        </w:rPr>
        <w:t>of</w:t>
      </w:r>
      <w:r>
        <w:rPr>
          <w:rFonts w:ascii="Arial" w:hAnsi="Arial"/>
          <w:i/>
          <w:w w:val="110"/>
        </w:rPr>
        <w:t>.p;¡;¡:-;:.;; </w:t>
      </w:r>
      <w:r>
        <w:rPr>
          <w:rFonts w:ascii="Arial" w:hAnsi="Arial"/>
          <w:w w:val="132"/>
        </w:rPr>
        <w:t>.</w:t>
      </w:r>
      <w:r>
        <w:rPr>
          <w:w w:val="132"/>
        </w:rPr>
        <w:t>The </w:t>
      </w:r>
      <w:r>
        <w:rPr>
          <w:w w:val="106"/>
        </w:rPr>
        <w:t>probability </w:t>
      </w:r>
      <w:r>
        <w:rPr>
          <w:w w:val="115"/>
        </w:rPr>
        <w:t>that </w:t>
      </w:r>
      <w:r>
        <w:rPr>
          <w:w w:val="111"/>
        </w:rPr>
        <w:t>the </w:t>
      </w:r>
      <w:r>
        <w:rPr>
          <w:w w:val="112"/>
        </w:rPr>
        <w:t>status  </w:t>
      </w:r>
      <w:r>
        <w:rPr>
          <w:w w:val="110"/>
        </w:rPr>
        <w:t>will fail within </w:t>
      </w:r>
      <w:r>
        <w:rPr>
          <w:i/>
          <w:w w:val="110"/>
          <w:sz w:val="22"/>
        </w:rPr>
        <w:t>n </w:t>
      </w:r>
      <w:r>
        <w:rPr>
          <w:w w:val="110"/>
        </w:rPr>
        <w:t>years is</w:t>
      </w:r>
    </w:p>
    <w:p>
      <w:pPr>
        <w:tabs>
          <w:tab w:pos="3556" w:val="left" w:leader="none"/>
        </w:tabs>
        <w:spacing w:line="298" w:lineRule="exact" w:before="116"/>
        <w:ind w:left="0" w:right="128" w:firstLine="0"/>
        <w:jc w:val="right"/>
        <w:rPr>
          <w:sz w:val="20"/>
        </w:rPr>
      </w:pPr>
      <w:r>
        <w:rPr/>
        <w:pict>
          <v:line style="position:absolute;mso-position-horizontal-relative:page;mso-position-vertical-relative:paragraph;z-index:-719584" from="210.779999pt,11.473507pt" to="241.739999pt,11.473507pt" stroked="true" strokeweight=".9pt" strokecolor="#000000">
            <w10:wrap type="none"/>
          </v:line>
        </w:pict>
      </w:r>
      <w:r>
        <w:rPr>
          <w:b/>
          <w:spacing w:val="-34"/>
          <w:w w:val="219"/>
          <w:sz w:val="20"/>
        </w:rPr>
        <w:t>.</w:t>
      </w:r>
      <w:r>
        <w:rPr>
          <w:b/>
          <w:w w:val="84"/>
          <w:sz w:val="20"/>
        </w:rPr>
        <w:t>q•1•1··</w:t>
      </w:r>
      <w:r>
        <w:rPr>
          <w:b/>
          <w:spacing w:val="1"/>
          <w:w w:val="84"/>
          <w:sz w:val="20"/>
        </w:rPr>
        <w:t>·</w:t>
      </w:r>
      <w:r>
        <w:rPr>
          <w:b/>
          <w:w w:val="129"/>
          <w:sz w:val="20"/>
        </w:rPr>
        <w:t>••</w:t>
      </w:r>
      <w:r>
        <w:rPr>
          <w:b/>
          <w:sz w:val="20"/>
        </w:rPr>
        <w:t> </w:t>
      </w:r>
      <w:r>
        <w:rPr>
          <w:b/>
          <w:spacing w:val="-23"/>
          <w:sz w:val="20"/>
        </w:rPr>
        <w:t> </w:t>
      </w:r>
      <w:r>
        <w:rPr>
          <w:w w:val="93"/>
          <w:sz w:val="27"/>
        </w:rPr>
        <w:t>=</w:t>
      </w:r>
      <w:r>
        <w:rPr>
          <w:sz w:val="27"/>
        </w:rPr>
        <w:t> </w:t>
      </w:r>
      <w:r>
        <w:rPr>
          <w:spacing w:val="-30"/>
          <w:sz w:val="27"/>
        </w:rPr>
        <w:t> </w:t>
      </w:r>
      <w:r>
        <w:rPr>
          <w:b/>
          <w:w w:val="94"/>
          <w:sz w:val="21"/>
        </w:rPr>
        <w:t>1</w:t>
      </w:r>
      <w:r>
        <w:rPr>
          <w:b/>
          <w:spacing w:val="25"/>
          <w:sz w:val="21"/>
        </w:rPr>
        <w:t> </w:t>
      </w:r>
      <w:r>
        <w:rPr>
          <w:w w:val="268"/>
          <w:sz w:val="21"/>
        </w:rPr>
        <w:t>-</w:t>
      </w:r>
      <w:r>
        <w:rPr>
          <w:spacing w:val="-7"/>
          <w:sz w:val="21"/>
        </w:rPr>
        <w:t> </w:t>
      </w:r>
      <w:r>
        <w:rPr>
          <w:b/>
          <w:w w:val="92"/>
          <w:sz w:val="20"/>
        </w:rPr>
        <w:t>•P•1s1···••</w:t>
      </w:r>
      <w:r>
        <w:rPr>
          <w:b/>
          <w:spacing w:val="17"/>
          <w:sz w:val="20"/>
        </w:rPr>
        <w:t> </w:t>
      </w:r>
      <w:r>
        <w:rPr>
          <w:w w:val="78"/>
          <w:sz w:val="20"/>
        </w:rPr>
        <w:t>•</w:t>
      </w:r>
      <w:r>
        <w:rPr>
          <w:sz w:val="20"/>
        </w:rPr>
        <w:tab/>
      </w:r>
      <w:r>
        <w:rPr>
          <w:w w:val="107"/>
          <w:position w:val="5"/>
          <w:sz w:val="20"/>
        </w:rPr>
        <w:t>(</w:t>
      </w:r>
      <w:r>
        <w:rPr>
          <w:spacing w:val="-26"/>
          <w:w w:val="107"/>
          <w:position w:val="5"/>
          <w:sz w:val="20"/>
        </w:rPr>
        <w:t>1</w:t>
      </w:r>
      <w:r>
        <w:rPr>
          <w:w w:val="116"/>
          <w:position w:val="5"/>
          <w:sz w:val="20"/>
        </w:rPr>
        <w:t>0</w:t>
      </w:r>
      <w:r>
        <w:rPr>
          <w:spacing w:val="-16"/>
          <w:w w:val="116"/>
          <w:position w:val="5"/>
          <w:sz w:val="20"/>
        </w:rPr>
        <w:t>.</w:t>
      </w:r>
      <w:r>
        <w:rPr>
          <w:w w:val="115"/>
          <w:position w:val="5"/>
          <w:sz w:val="20"/>
        </w:rPr>
        <w:t>2)</w:t>
      </w:r>
    </w:p>
    <w:p>
      <w:pPr>
        <w:pStyle w:val="BodyText"/>
        <w:spacing w:line="228" w:lineRule="auto" w:before="2"/>
        <w:ind w:left="115" w:right="128" w:firstLine="194"/>
        <w:jc w:val="both"/>
      </w:pPr>
      <w:r>
        <w:rPr/>
        <w:pict>
          <v:line style="position:absolute;mso-position-horizontal-relative:page;mso-position-vertical-relative:paragraph;z-index:-719560" from="151.199997pt,5.001887pt" to="197.279997pt,5.001887pt" stroked="true" strokeweight=".9pt" strokecolor="#000000">
            <w10:wrap type="none"/>
          </v:line>
        </w:pict>
      </w:r>
      <w:r>
        <w:rPr>
          <w:w w:val="110"/>
        </w:rPr>
        <w:t>The probability that (z</w:t>
      </w:r>
      <w:r>
        <w:rPr>
          <w:w w:val="110"/>
          <w:position w:val="-2"/>
          <w:sz w:val="13"/>
        </w:rPr>
        <w:t>1</w:t>
      </w:r>
      <w:r>
        <w:rPr>
          <w:rFonts w:ascii="Arial" w:hAnsi="Arial"/>
          <w:w w:val="110"/>
          <w:sz w:val="23"/>
        </w:rPr>
        <w:t>z. </w:t>
      </w:r>
      <w:r>
        <w:rPr>
          <w:rFonts w:ascii="Arial" w:hAnsi="Arial"/>
          <w:w w:val="130"/>
          <w:sz w:val="23"/>
        </w:rPr>
        <w:t>···</w:t>
      </w:r>
      <w:r>
        <w:rPr>
          <w:rFonts w:ascii="Arial" w:hAnsi="Arial"/>
          <w:w w:val="130"/>
        </w:rPr>
        <w:t>z.) </w:t>
      </w:r>
      <w:r>
        <w:rPr>
          <w:w w:val="110"/>
        </w:rPr>
        <w:t>will fail </w:t>
      </w:r>
      <w:r>
        <w:rPr>
          <w:rFonts w:ascii="Arial" w:hAnsi="Arial"/>
          <w:w w:val="110"/>
        </w:rPr>
        <w:t>in </w:t>
      </w:r>
      <w:r>
        <w:rPr>
          <w:w w:val="110"/>
        </w:rPr>
        <w:t>the  (n  </w:t>
      </w:r>
      <w:r>
        <w:rPr>
          <w:rFonts w:ascii="Arial" w:hAnsi="Arial"/>
          <w:w w:val="110"/>
          <w:sz w:val="31"/>
        </w:rPr>
        <w:t>+ </w:t>
      </w:r>
      <w:r>
        <w:rPr>
          <w:w w:val="110"/>
        </w:rPr>
        <w:t>1)-th year </w:t>
      </w:r>
      <w:r>
        <w:rPr>
          <w:rFonts w:ascii="Arial" w:hAnsi="Arial"/>
          <w:w w:val="110"/>
        </w:rPr>
        <w:t>is </w:t>
      </w:r>
      <w:r>
        <w:rPr>
          <w:w w:val="110"/>
        </w:rPr>
        <w:t>given by</w:t>
      </w:r>
    </w:p>
    <w:p>
      <w:pPr>
        <w:tabs>
          <w:tab w:pos="5342" w:val="left" w:leader="none"/>
        </w:tabs>
        <w:spacing w:line="266" w:lineRule="auto" w:before="127"/>
        <w:ind w:left="119" w:right="114" w:firstLine="1231"/>
        <w:jc w:val="right"/>
        <w:rPr>
          <w:sz w:val="20"/>
        </w:rPr>
      </w:pPr>
      <w:r>
        <w:rPr/>
        <w:pict>
          <v:line style="position:absolute;mso-position-horizontal-relative:page;mso-position-vertical-relative:paragraph;z-index:-719536" from="235.440002pt,11.535945pt" to="267.300002pt,11.535945pt" stroked="true" strokeweight=".9pt" strokecolor="#000000">
            <w10:wrap type="none"/>
          </v:line>
        </w:pict>
      </w:r>
      <w:r>
        <w:rPr>
          <w:spacing w:val="-14"/>
          <w:w w:val="98"/>
          <w:sz w:val="24"/>
        </w:rPr>
        <w:t>"'q•1•1···••</w:t>
      </w:r>
      <w:r>
        <w:rPr>
          <w:w w:val="98"/>
          <w:sz w:val="24"/>
        </w:rPr>
        <w:t> </w:t>
      </w:r>
      <w:r>
        <w:rPr>
          <w:w w:val="94"/>
          <w:sz w:val="26"/>
        </w:rPr>
        <w:t>= </w:t>
      </w:r>
      <w:r>
        <w:rPr>
          <w:spacing w:val="-11"/>
          <w:w w:val="87"/>
          <w:sz w:val="24"/>
        </w:rPr>
        <w:t>t1P•1•1···••</w:t>
      </w:r>
      <w:r>
        <w:rPr>
          <w:w w:val="87"/>
          <w:sz w:val="24"/>
        </w:rPr>
        <w:t> </w:t>
      </w:r>
      <w:r>
        <w:rPr>
          <w:w w:val="234"/>
          <w:sz w:val="24"/>
        </w:rPr>
        <w:t>-</w:t>
      </w:r>
      <w:r>
        <w:rPr>
          <w:spacing w:val="-66"/>
          <w:w w:val="234"/>
          <w:sz w:val="24"/>
        </w:rPr>
        <w:t> </w:t>
      </w:r>
      <w:r>
        <w:rPr>
          <w:spacing w:val="-9"/>
          <w:w w:val="87"/>
          <w:sz w:val="24"/>
        </w:rPr>
        <w:t>•+11'•1•1···••</w:t>
      </w:r>
      <w:r>
        <w:rPr>
          <w:spacing w:val="-12"/>
          <w:w w:val="87"/>
          <w:sz w:val="24"/>
        </w:rPr>
        <w:t> </w:t>
      </w:r>
      <w:r>
        <w:rPr>
          <w:w w:val="128"/>
          <w:sz w:val="24"/>
        </w:rPr>
        <w:t>·</w:t>
        <w:tab/>
      </w:r>
      <w:r>
        <w:rPr>
          <w:w w:val="103"/>
          <w:position w:val="7"/>
          <w:sz w:val="20"/>
        </w:rPr>
        <w:t>(10.3) </w:t>
      </w:r>
      <w:r>
        <w:rPr>
          <w:sz w:val="20"/>
        </w:rPr>
        <w:t>The most common last-survivor functions  are  those</w:t>
      </w:r>
      <w:r>
        <w:rPr>
          <w:spacing w:val="13"/>
          <w:sz w:val="20"/>
        </w:rPr>
        <w:t> </w:t>
      </w:r>
      <w:r>
        <w:rPr>
          <w:sz w:val="20"/>
        </w:rPr>
        <w:t>which </w:t>
      </w:r>
      <w:r>
        <w:rPr>
          <w:spacing w:val="46"/>
          <w:sz w:val="20"/>
        </w:rPr>
        <w:t> </w:t>
      </w:r>
      <w:r>
        <w:rPr>
          <w:sz w:val="20"/>
        </w:rPr>
        <w:t>in­</w:t>
      </w:r>
      <w:r>
        <w:rPr>
          <w:w w:val="102"/>
          <w:sz w:val="20"/>
        </w:rPr>
        <w:t> </w:t>
      </w:r>
      <w:r>
        <w:rPr>
          <w:sz w:val="20"/>
        </w:rPr>
        <w:t>volve  only  two  lives  or  three  lives.  In  these  cases,  asswning  </w:t>
      </w:r>
      <w:r>
        <w:rPr>
          <w:spacing w:val="16"/>
          <w:sz w:val="20"/>
        </w:rPr>
        <w:t> </w:t>
      </w:r>
      <w:r>
        <w:rPr>
          <w:sz w:val="20"/>
        </w:rPr>
        <w:t>that</w:t>
      </w:r>
    </w:p>
    <w:p>
      <w:pPr>
        <w:pStyle w:val="BodyText"/>
        <w:spacing w:line="217" w:lineRule="exact"/>
        <w:ind w:left="126"/>
        <w:jc w:val="both"/>
      </w:pPr>
      <w:r>
        <w:rPr>
          <w:w w:val="110"/>
        </w:rPr>
        <w:t>the lives are (x),  (y), a.nd  (z), we have from (10.1)</w:t>
      </w:r>
    </w:p>
    <w:p>
      <w:pPr>
        <w:spacing w:after="0" w:line="217" w:lineRule="exact"/>
        <w:jc w:val="both"/>
        <w:sectPr>
          <w:type w:val="continuous"/>
          <w:pgSz w:w="7200" w:h="11340"/>
          <w:pgMar w:top="1100" w:bottom="0" w:left="680" w:right="540"/>
        </w:sectPr>
      </w:pPr>
    </w:p>
    <w:p>
      <w:pPr>
        <w:spacing w:line="348" w:lineRule="exact" w:before="70"/>
        <w:ind w:left="173" w:right="0" w:firstLine="0"/>
        <w:jc w:val="left"/>
        <w:rPr>
          <w:rFonts w:ascii="Arial"/>
          <w:i/>
          <w:sz w:val="20"/>
        </w:rPr>
      </w:pPr>
      <w:r>
        <w:rPr>
          <w:rFonts w:ascii="Arial"/>
          <w:i/>
          <w:w w:val="100"/>
          <w:sz w:val="20"/>
        </w:rPr>
        <w:t>,.p.,</w:t>
      </w:r>
      <w:r>
        <w:rPr>
          <w:rFonts w:ascii="Arial"/>
          <w:i/>
          <w:spacing w:val="22"/>
          <w:sz w:val="20"/>
        </w:rPr>
        <w:t> </w:t>
      </w:r>
      <w:r>
        <w:rPr>
          <w:w w:val="88"/>
          <w:sz w:val="27"/>
        </w:rPr>
        <w:t>=</w:t>
      </w:r>
      <w:r>
        <w:rPr>
          <w:sz w:val="27"/>
        </w:rPr>
        <w:t> </w:t>
      </w:r>
      <w:r>
        <w:rPr>
          <w:spacing w:val="-30"/>
          <w:sz w:val="27"/>
        </w:rPr>
        <w:t> </w:t>
      </w:r>
      <w:r>
        <w:rPr>
          <w:i/>
          <w:spacing w:val="-44"/>
          <w:w w:val="115"/>
          <w:sz w:val="33"/>
        </w:rPr>
        <w:t>L</w:t>
      </w:r>
      <w:r>
        <w:rPr>
          <w:rFonts w:ascii="Arial"/>
          <w:i/>
          <w:spacing w:val="-201"/>
          <w:w w:val="295"/>
          <w:sz w:val="20"/>
        </w:rPr>
        <w:t>.</w:t>
      </w:r>
      <w:r>
        <w:rPr>
          <w:rFonts w:ascii="Arial"/>
          <w:i/>
          <w:w w:val="121"/>
          <w:sz w:val="20"/>
        </w:rPr>
        <w:t>p.</w:t>
      </w:r>
      <w:r>
        <w:rPr>
          <w:rFonts w:ascii="Arial"/>
          <w:i/>
          <w:spacing w:val="7"/>
          <w:sz w:val="20"/>
        </w:rPr>
        <w:t> </w:t>
      </w:r>
      <w:r>
        <w:rPr>
          <w:rFonts w:ascii="Arial"/>
          <w:w w:val="268"/>
          <w:sz w:val="20"/>
        </w:rPr>
        <w:t>-</w:t>
      </w:r>
      <w:r>
        <w:rPr>
          <w:rFonts w:ascii="Arial"/>
          <w:spacing w:val="10"/>
          <w:sz w:val="20"/>
        </w:rPr>
        <w:t> </w:t>
      </w:r>
      <w:r>
        <w:rPr>
          <w:rFonts w:ascii="Arial"/>
          <w:i/>
          <w:w w:val="83"/>
          <w:sz w:val="20"/>
        </w:rPr>
        <w:t>,.p.,,</w:t>
      </w:r>
      <w:r>
        <w:rPr>
          <w:rFonts w:ascii="Arial"/>
          <w:i/>
          <w:spacing w:val="17"/>
          <w:sz w:val="20"/>
        </w:rPr>
        <w:t> </w:t>
      </w:r>
      <w:r>
        <w:rPr>
          <w:spacing w:val="-15"/>
          <w:w w:val="91"/>
          <w:sz w:val="27"/>
        </w:rPr>
        <w:t>=</w:t>
      </w:r>
      <w:r>
        <w:rPr>
          <w:rFonts w:ascii="Arial"/>
          <w:i/>
          <w:spacing w:val="-201"/>
          <w:w w:val="295"/>
          <w:sz w:val="20"/>
        </w:rPr>
        <w:t>.</w:t>
      </w:r>
      <w:r>
        <w:rPr>
          <w:rFonts w:ascii="Arial"/>
          <w:i/>
          <w:w w:val="116"/>
          <w:sz w:val="20"/>
        </w:rPr>
        <w:t>p.</w:t>
      </w:r>
      <w:r>
        <w:rPr>
          <w:rFonts w:ascii="Arial"/>
          <w:i/>
          <w:spacing w:val="8"/>
          <w:sz w:val="20"/>
        </w:rPr>
        <w:t> </w:t>
      </w:r>
      <w:r>
        <w:rPr>
          <w:rFonts w:ascii="Arial"/>
          <w:w w:val="107"/>
          <w:sz w:val="31"/>
        </w:rPr>
        <w:t>+</w:t>
      </w:r>
      <w:r>
        <w:rPr>
          <w:rFonts w:ascii="Arial"/>
          <w:spacing w:val="-37"/>
          <w:sz w:val="31"/>
        </w:rPr>
        <w:t> </w:t>
      </w:r>
      <w:r>
        <w:rPr>
          <w:i/>
          <w:spacing w:val="-21"/>
          <w:w w:val="108"/>
          <w:sz w:val="21"/>
        </w:rPr>
        <w:t>"</w:t>
      </w:r>
      <w:r>
        <w:rPr>
          <w:i/>
          <w:w w:val="79"/>
          <w:sz w:val="21"/>
        </w:rPr>
        <w:t>p,,</w:t>
      </w:r>
      <w:r>
        <w:rPr>
          <w:i/>
          <w:spacing w:val="18"/>
          <w:sz w:val="21"/>
        </w:rPr>
        <w:t> </w:t>
      </w:r>
      <w:r>
        <w:rPr>
          <w:spacing w:val="-96"/>
          <w:w w:val="268"/>
          <w:sz w:val="21"/>
        </w:rPr>
        <w:t>-</w:t>
      </w:r>
      <w:r>
        <w:rPr>
          <w:rFonts w:ascii="Arial"/>
          <w:i/>
          <w:spacing w:val="-223"/>
          <w:w w:val="309"/>
          <w:sz w:val="20"/>
        </w:rPr>
        <w:t>.</w:t>
      </w:r>
      <w:r>
        <w:rPr>
          <w:rFonts w:ascii="Arial"/>
          <w:i/>
          <w:w w:val="89"/>
          <w:sz w:val="20"/>
        </w:rPr>
        <w:t>p.,,</w:t>
      </w:r>
    </w:p>
    <w:p>
      <w:pPr>
        <w:spacing w:line="405" w:lineRule="exact" w:before="0"/>
        <w:ind w:left="119" w:right="0" w:firstLine="0"/>
        <w:jc w:val="left"/>
        <w:rPr>
          <w:i/>
          <w:sz w:val="38"/>
        </w:rPr>
      </w:pPr>
      <w:r>
        <w:rPr>
          <w:b/>
          <w:w w:val="69"/>
          <w:sz w:val="20"/>
        </w:rPr>
        <w:t>11P'iii</w:t>
      </w:r>
      <w:r>
        <w:rPr>
          <w:b/>
          <w:sz w:val="20"/>
        </w:rPr>
        <w:t> </w:t>
      </w:r>
      <w:r>
        <w:rPr>
          <w:b/>
          <w:spacing w:val="1"/>
          <w:sz w:val="20"/>
        </w:rPr>
        <w:t> </w:t>
      </w:r>
      <w:r>
        <w:rPr>
          <w:w w:val="94"/>
          <w:sz w:val="26"/>
        </w:rPr>
        <w:t>=</w:t>
      </w:r>
      <w:r>
        <w:rPr>
          <w:sz w:val="26"/>
        </w:rPr>
        <w:t> </w:t>
      </w:r>
      <w:r>
        <w:rPr>
          <w:spacing w:val="-7"/>
          <w:sz w:val="26"/>
        </w:rPr>
        <w:t> </w:t>
      </w:r>
      <w:r>
        <w:rPr>
          <w:rFonts w:ascii="Arial"/>
          <w:b/>
          <w:i/>
          <w:spacing w:val="31"/>
          <w:w w:val="125"/>
          <w:sz w:val="32"/>
        </w:rPr>
        <w:t>L</w:t>
      </w:r>
      <w:r>
        <w:rPr>
          <w:b/>
          <w:i/>
          <w:w w:val="127"/>
          <w:sz w:val="22"/>
        </w:rPr>
        <w:t>.p.</w:t>
      </w:r>
      <w:r>
        <w:rPr>
          <w:b/>
          <w:i/>
          <w:spacing w:val="14"/>
          <w:sz w:val="22"/>
        </w:rPr>
        <w:t> </w:t>
      </w:r>
      <w:r>
        <w:rPr>
          <w:w w:val="256"/>
          <w:sz w:val="22"/>
        </w:rPr>
        <w:t>-</w:t>
      </w:r>
      <w:r>
        <w:rPr>
          <w:spacing w:val="23"/>
          <w:sz w:val="22"/>
        </w:rPr>
        <w:t> </w:t>
      </w:r>
      <w:r>
        <w:rPr>
          <w:rFonts w:ascii="Arial"/>
          <w:b/>
          <w:i/>
          <w:w w:val="123"/>
          <w:sz w:val="32"/>
        </w:rPr>
        <w:t>L</w:t>
      </w:r>
      <w:r>
        <w:rPr>
          <w:rFonts w:ascii="Arial"/>
          <w:b/>
          <w:i/>
          <w:spacing w:val="-51"/>
          <w:sz w:val="32"/>
        </w:rPr>
        <w:t> </w:t>
      </w:r>
      <w:r>
        <w:rPr>
          <w:b/>
          <w:i/>
          <w:w w:val="102"/>
          <w:sz w:val="22"/>
        </w:rPr>
        <w:t>.p,,.</w:t>
      </w:r>
      <w:r>
        <w:rPr>
          <w:b/>
          <w:i/>
          <w:spacing w:val="11"/>
          <w:sz w:val="22"/>
        </w:rPr>
        <w:t> </w:t>
      </w:r>
      <w:r>
        <w:rPr>
          <w:rFonts w:ascii="Arial"/>
          <w:w w:val="105"/>
          <w:sz w:val="31"/>
        </w:rPr>
        <w:t>+</w:t>
      </w:r>
      <w:r>
        <w:rPr>
          <w:rFonts w:ascii="Arial"/>
          <w:spacing w:val="-50"/>
          <w:sz w:val="31"/>
        </w:rPr>
        <w:t> </w:t>
      </w:r>
      <w:r>
        <w:rPr>
          <w:i/>
          <w:spacing w:val="-121"/>
          <w:w w:val="189"/>
          <w:sz w:val="38"/>
        </w:rPr>
        <w:t>.</w:t>
      </w:r>
      <w:r>
        <w:rPr>
          <w:i/>
          <w:spacing w:val="22"/>
          <w:w w:val="47"/>
          <w:sz w:val="38"/>
        </w:rPr>
        <w:t>p</w:t>
      </w:r>
      <w:r>
        <w:rPr>
          <w:i/>
          <w:w w:val="53"/>
          <w:sz w:val="38"/>
        </w:rPr>
        <w:t>.,</w:t>
      </w:r>
      <w:r>
        <w:rPr>
          <w:i/>
          <w:spacing w:val="-22"/>
          <w:w w:val="53"/>
          <w:sz w:val="38"/>
        </w:rPr>
        <w:t>,</w:t>
      </w:r>
      <w:r>
        <w:rPr>
          <w:i/>
          <w:w w:val="132"/>
          <w:sz w:val="38"/>
        </w:rPr>
        <w:t>.</w:t>
      </w:r>
    </w:p>
    <w:p>
      <w:pPr>
        <w:pStyle w:val="BodyText"/>
        <w:spacing w:before="166"/>
        <w:ind w:left="119"/>
      </w:pPr>
      <w:r>
        <w:rPr/>
        <w:br w:type="column"/>
      </w:r>
      <w:r>
        <w:rPr>
          <w:w w:val="115"/>
        </w:rPr>
        <w:t>(10.4)</w:t>
      </w:r>
    </w:p>
    <w:p>
      <w:pPr>
        <w:spacing w:after="0"/>
        <w:sectPr>
          <w:type w:val="continuous"/>
          <w:pgSz w:w="7200" w:h="11340"/>
          <w:pgMar w:top="1100" w:bottom="0" w:left="680" w:right="540"/>
          <w:cols w:num="2" w:equalWidth="0">
            <w:col w:w="3793" w:space="1434"/>
            <w:col w:w="753"/>
          </w:cols>
        </w:sectPr>
      </w:pPr>
    </w:p>
    <w:p>
      <w:pPr>
        <w:spacing w:line="337" w:lineRule="exact" w:before="0"/>
        <w:ind w:left="587" w:right="739" w:firstLine="0"/>
        <w:jc w:val="left"/>
        <w:rPr>
          <w:sz w:val="20"/>
        </w:rPr>
      </w:pPr>
      <w:r>
        <w:rPr>
          <w:spacing w:val="-10"/>
          <w:w w:val="94"/>
          <w:sz w:val="26"/>
        </w:rPr>
        <w:t>=</w:t>
      </w:r>
      <w:r>
        <w:rPr>
          <w:rFonts w:ascii="Arial" w:hAnsi="Arial"/>
          <w:i/>
          <w:spacing w:val="-201"/>
          <w:w w:val="295"/>
          <w:sz w:val="20"/>
        </w:rPr>
        <w:t>.</w:t>
      </w:r>
      <w:r>
        <w:rPr>
          <w:rFonts w:ascii="Arial" w:hAnsi="Arial"/>
          <w:i/>
          <w:w w:val="118"/>
          <w:sz w:val="20"/>
        </w:rPr>
        <w:t>p.</w:t>
      </w:r>
      <w:r>
        <w:rPr>
          <w:rFonts w:ascii="Arial" w:hAnsi="Arial"/>
          <w:i/>
          <w:spacing w:val="19"/>
          <w:sz w:val="20"/>
        </w:rPr>
        <w:t> </w:t>
      </w:r>
      <w:r>
        <w:rPr>
          <w:rFonts w:ascii="Arial" w:hAnsi="Arial"/>
          <w:w w:val="103"/>
          <w:sz w:val="33"/>
        </w:rPr>
        <w:t>+</w:t>
      </w:r>
      <w:r>
        <w:rPr>
          <w:rFonts w:ascii="Arial" w:hAnsi="Arial"/>
          <w:spacing w:val="-26"/>
          <w:sz w:val="33"/>
        </w:rPr>
        <w:t> </w:t>
      </w:r>
      <w:r>
        <w:rPr>
          <w:rFonts w:ascii="Arial" w:hAnsi="Arial"/>
          <w:i/>
          <w:w w:val="77"/>
          <w:sz w:val="20"/>
        </w:rPr>
        <w:t>,.p,,</w:t>
      </w:r>
      <w:r>
        <w:rPr>
          <w:rFonts w:ascii="Arial" w:hAnsi="Arial"/>
          <w:i/>
          <w:spacing w:val="23"/>
          <w:sz w:val="20"/>
        </w:rPr>
        <w:t> </w:t>
      </w:r>
      <w:r>
        <w:rPr>
          <w:rFonts w:ascii="Arial" w:hAnsi="Arial"/>
          <w:spacing w:val="-71"/>
          <w:w w:val="101"/>
          <w:sz w:val="33"/>
        </w:rPr>
        <w:t>+</w:t>
      </w:r>
      <w:r>
        <w:rPr>
          <w:rFonts w:ascii="Arial" w:hAnsi="Arial"/>
          <w:i/>
          <w:spacing w:val="-238"/>
          <w:w w:val="309"/>
          <w:sz w:val="20"/>
        </w:rPr>
        <w:t>.</w:t>
      </w:r>
      <w:r>
        <w:rPr>
          <w:rFonts w:ascii="Arial" w:hAnsi="Arial"/>
          <w:i/>
          <w:w w:val="113"/>
          <w:sz w:val="20"/>
        </w:rPr>
        <w:t>p.</w:t>
      </w:r>
      <w:r>
        <w:rPr>
          <w:rFonts w:ascii="Arial" w:hAnsi="Arial"/>
          <w:i/>
          <w:sz w:val="20"/>
        </w:rPr>
        <w:t> </w:t>
      </w:r>
      <w:r>
        <w:rPr>
          <w:rFonts w:ascii="Arial" w:hAnsi="Arial"/>
          <w:i/>
          <w:spacing w:val="-28"/>
          <w:sz w:val="20"/>
        </w:rPr>
        <w:t> </w:t>
      </w:r>
      <w:r>
        <w:rPr>
          <w:rFonts w:ascii="Arial" w:hAnsi="Arial"/>
          <w:spacing w:val="18"/>
          <w:w w:val="124"/>
          <w:sz w:val="20"/>
        </w:rPr>
        <w:t>_</w:t>
      </w:r>
      <w:r>
        <w:rPr>
          <w:rFonts w:ascii="Arial" w:hAnsi="Arial"/>
          <w:i/>
          <w:spacing w:val="-186"/>
          <w:w w:val="295"/>
          <w:sz w:val="20"/>
        </w:rPr>
        <w:t>.</w:t>
      </w:r>
      <w:r>
        <w:rPr>
          <w:rFonts w:ascii="Arial" w:hAnsi="Arial"/>
          <w:i/>
          <w:w w:val="90"/>
          <w:sz w:val="20"/>
        </w:rPr>
        <w:t>p.,,</w:t>
      </w:r>
      <w:r>
        <w:rPr>
          <w:rFonts w:ascii="Arial" w:hAnsi="Arial"/>
          <w:i/>
          <w:sz w:val="20"/>
        </w:rPr>
        <w:t> </w:t>
      </w:r>
      <w:r>
        <w:rPr>
          <w:rFonts w:ascii="Arial" w:hAnsi="Arial"/>
          <w:i/>
          <w:spacing w:val="-11"/>
          <w:sz w:val="20"/>
        </w:rPr>
        <w:t> </w:t>
      </w:r>
      <w:r>
        <w:rPr>
          <w:rFonts w:ascii="Arial" w:hAnsi="Arial"/>
          <w:spacing w:val="-44"/>
          <w:w w:val="248"/>
          <w:sz w:val="20"/>
        </w:rPr>
        <w:t>-</w:t>
      </w:r>
      <w:r>
        <w:rPr>
          <w:rFonts w:ascii="Arial" w:hAnsi="Arial"/>
          <w:i/>
          <w:spacing w:val="-223"/>
          <w:w w:val="309"/>
          <w:sz w:val="20"/>
        </w:rPr>
        <w:t>.</w:t>
      </w:r>
      <w:r>
        <w:rPr>
          <w:rFonts w:ascii="Arial" w:hAnsi="Arial"/>
          <w:i/>
          <w:w w:val="112"/>
          <w:sz w:val="20"/>
        </w:rPr>
        <w:t>p..</w:t>
      </w:r>
      <w:r>
        <w:rPr>
          <w:rFonts w:ascii="Arial" w:hAnsi="Arial"/>
          <w:i/>
          <w:sz w:val="20"/>
        </w:rPr>
        <w:t> </w:t>
      </w:r>
      <w:r>
        <w:rPr>
          <w:rFonts w:ascii="Arial" w:hAnsi="Arial"/>
          <w:i/>
          <w:spacing w:val="-20"/>
          <w:sz w:val="20"/>
        </w:rPr>
        <w:t> </w:t>
      </w:r>
      <w:r>
        <w:rPr>
          <w:rFonts w:ascii="Arial" w:hAnsi="Arial"/>
          <w:w w:val="262"/>
          <w:sz w:val="20"/>
        </w:rPr>
        <w:t>-</w:t>
      </w:r>
      <w:r>
        <w:rPr>
          <w:rFonts w:ascii="Arial" w:hAnsi="Arial"/>
          <w:spacing w:val="24"/>
          <w:sz w:val="20"/>
        </w:rPr>
        <w:t> </w:t>
      </w:r>
      <w:r>
        <w:rPr>
          <w:rFonts w:ascii="Arial" w:hAnsi="Arial"/>
          <w:i/>
          <w:w w:val="102"/>
          <w:sz w:val="15"/>
        </w:rPr>
        <w:t>,</w:t>
      </w:r>
      <w:r>
        <w:rPr>
          <w:rFonts w:ascii="Arial" w:hAnsi="Arial"/>
          <w:i/>
          <w:spacing w:val="-14"/>
          <w:w w:val="102"/>
          <w:sz w:val="15"/>
        </w:rPr>
        <w:t>.</w:t>
      </w:r>
      <w:r>
        <w:rPr>
          <w:rFonts w:ascii="Arial" w:hAnsi="Arial"/>
          <w:i/>
          <w:w w:val="84"/>
          <w:sz w:val="15"/>
        </w:rPr>
        <w:t>'J</w:t>
      </w:r>
      <w:r>
        <w:rPr>
          <w:rFonts w:ascii="Arial" w:hAnsi="Arial"/>
          <w:i/>
          <w:w w:val="84"/>
          <w:sz w:val="15"/>
        </w:rPr>
        <w:t>)</w:t>
      </w:r>
      <w:r>
        <w:rPr>
          <w:rFonts w:ascii="Arial" w:hAnsi="Arial"/>
          <w:i/>
          <w:w w:val="84"/>
          <w:sz w:val="15"/>
        </w:rPr>
        <w:t>,¡,</w:t>
      </w:r>
      <w:r>
        <w:rPr>
          <w:rFonts w:ascii="Arial" w:hAnsi="Arial"/>
          <w:i/>
          <w:sz w:val="15"/>
        </w:rPr>
        <w:t> </w:t>
      </w:r>
      <w:r>
        <w:rPr>
          <w:rFonts w:ascii="Arial" w:hAnsi="Arial"/>
          <w:i/>
          <w:spacing w:val="-11"/>
          <w:sz w:val="15"/>
        </w:rPr>
        <w:t> </w:t>
      </w:r>
      <w:r>
        <w:rPr>
          <w:rFonts w:ascii="Arial" w:hAnsi="Arial"/>
          <w:w w:val="101"/>
          <w:sz w:val="33"/>
        </w:rPr>
        <w:t>+</w:t>
      </w:r>
      <w:r>
        <w:rPr>
          <w:rFonts w:ascii="Arial" w:hAnsi="Arial"/>
          <w:spacing w:val="-26"/>
          <w:sz w:val="33"/>
        </w:rPr>
        <w:t> </w:t>
      </w:r>
      <w:r>
        <w:rPr>
          <w:rFonts w:ascii="Arial" w:hAnsi="Arial"/>
          <w:i/>
          <w:w w:val="84"/>
          <w:sz w:val="20"/>
        </w:rPr>
        <w:t>,.p.,</w:t>
      </w:r>
      <w:r>
        <w:rPr>
          <w:rFonts w:ascii="Arial" w:hAnsi="Arial"/>
          <w:i/>
          <w:spacing w:val="-14"/>
          <w:w w:val="84"/>
          <w:sz w:val="20"/>
        </w:rPr>
        <w:t>,</w:t>
      </w:r>
      <w:r>
        <w:rPr>
          <w:rFonts w:ascii="Arial" w:hAnsi="Arial"/>
          <w:i/>
          <w:spacing w:val="-4"/>
          <w:w w:val="220"/>
          <w:sz w:val="20"/>
        </w:rPr>
        <w:t>.</w:t>
      </w:r>
      <w:r>
        <w:rPr>
          <w:rFonts w:ascii="Arial" w:hAnsi="Arial"/>
          <w:w w:val="159"/>
          <w:sz w:val="20"/>
        </w:rPr>
        <w:t>.</w:t>
      </w:r>
      <w:r>
        <w:rPr>
          <w:rFonts w:ascii="Arial" w:hAnsi="Arial"/>
          <w:sz w:val="20"/>
        </w:rPr>
        <w:t>  </w:t>
      </w:r>
      <w:r>
        <w:rPr>
          <w:rFonts w:ascii="Arial" w:hAnsi="Arial"/>
          <w:spacing w:val="18"/>
          <w:sz w:val="20"/>
        </w:rPr>
        <w:t> </w:t>
      </w:r>
      <w:r>
        <w:rPr>
          <w:w w:val="107"/>
          <w:sz w:val="20"/>
        </w:rPr>
        <w:t>(</w:t>
      </w:r>
      <w:r>
        <w:rPr>
          <w:spacing w:val="-26"/>
          <w:w w:val="107"/>
          <w:sz w:val="20"/>
        </w:rPr>
        <w:t>1</w:t>
      </w:r>
      <w:r>
        <w:rPr>
          <w:w w:val="116"/>
          <w:sz w:val="20"/>
        </w:rPr>
        <w:t>0</w:t>
      </w:r>
      <w:r>
        <w:rPr>
          <w:spacing w:val="-12"/>
          <w:w w:val="116"/>
          <w:sz w:val="20"/>
        </w:rPr>
        <w:t>.</w:t>
      </w:r>
      <w:r>
        <w:rPr>
          <w:w w:val="119"/>
          <w:sz w:val="20"/>
        </w:rPr>
        <w:t>5)</w:t>
      </w:r>
    </w:p>
    <w:p>
      <w:pPr>
        <w:pStyle w:val="BodyText"/>
        <w:spacing w:before="135"/>
        <w:ind w:left="320"/>
      </w:pPr>
      <w:r>
        <w:rPr>
          <w:w w:val="105"/>
        </w:rPr>
        <w:t>Other functions can be expressed </w:t>
      </w:r>
      <w:r>
        <w:rPr>
          <w:rFonts w:ascii="Arial"/>
          <w:w w:val="105"/>
        </w:rPr>
        <w:t>in </w:t>
      </w:r>
      <w:r>
        <w:rPr>
          <w:w w:val="105"/>
        </w:rPr>
        <w:t>a similar wa.y; for  exe.mple,</w:t>
      </w:r>
    </w:p>
    <w:p>
      <w:pPr>
        <w:spacing w:line="392" w:lineRule="exact" w:before="6"/>
        <w:ind w:left="237" w:right="739" w:firstLine="0"/>
        <w:jc w:val="left"/>
        <w:rPr>
          <w:rFonts w:ascii="Arial"/>
          <w:i/>
          <w:sz w:val="20"/>
        </w:rPr>
      </w:pPr>
      <w:r>
        <w:rPr>
          <w:i/>
          <w:w w:val="103"/>
          <w:sz w:val="20"/>
        </w:rPr>
        <w:t>,.q.,</w:t>
      </w:r>
      <w:r>
        <w:rPr>
          <w:i/>
          <w:spacing w:val="22"/>
          <w:sz w:val="20"/>
        </w:rPr>
        <w:t> </w:t>
      </w:r>
      <w:r>
        <w:rPr>
          <w:rFonts w:ascii="Arial"/>
          <w:w w:val="82"/>
          <w:sz w:val="35"/>
        </w:rPr>
        <w:t>=</w:t>
      </w:r>
      <w:r>
        <w:rPr>
          <w:rFonts w:ascii="Arial"/>
          <w:spacing w:val="-15"/>
          <w:sz w:val="35"/>
        </w:rPr>
        <w:t> </w:t>
      </w:r>
      <w:r>
        <w:rPr>
          <w:spacing w:val="7"/>
          <w:w w:val="129"/>
          <w:sz w:val="20"/>
        </w:rPr>
        <w:t>1</w:t>
      </w:r>
      <w:r>
        <w:rPr>
          <w:spacing w:val="-121"/>
          <w:w w:val="282"/>
          <w:sz w:val="20"/>
        </w:rPr>
        <w:t>-</w:t>
      </w:r>
      <w:r>
        <w:rPr>
          <w:rFonts w:ascii="Arial"/>
          <w:i/>
          <w:spacing w:val="-223"/>
          <w:w w:val="309"/>
          <w:sz w:val="20"/>
        </w:rPr>
        <w:t>.</w:t>
      </w:r>
      <w:r>
        <w:rPr>
          <w:rFonts w:ascii="Arial"/>
          <w:i/>
          <w:w w:val="110"/>
          <w:sz w:val="20"/>
        </w:rPr>
        <w:t>p;;</w:t>
      </w:r>
      <w:r>
        <w:rPr>
          <w:rFonts w:ascii="Arial"/>
          <w:i/>
          <w:sz w:val="20"/>
        </w:rPr>
        <w:t> </w:t>
      </w:r>
      <w:r>
        <w:rPr>
          <w:rFonts w:ascii="Arial"/>
          <w:i/>
          <w:spacing w:val="-20"/>
          <w:sz w:val="20"/>
        </w:rPr>
        <w:t> </w:t>
      </w:r>
      <w:r>
        <w:rPr>
          <w:w w:val="92"/>
          <w:sz w:val="28"/>
        </w:rPr>
        <w:t>=</w:t>
      </w:r>
      <w:r>
        <w:rPr>
          <w:spacing w:val="31"/>
          <w:sz w:val="28"/>
        </w:rPr>
        <w:t> </w:t>
      </w:r>
      <w:r>
        <w:rPr>
          <w:w w:val="142"/>
          <w:sz w:val="20"/>
        </w:rPr>
        <w:t>1</w:t>
      </w:r>
      <w:r>
        <w:rPr>
          <w:spacing w:val="-12"/>
          <w:sz w:val="20"/>
        </w:rPr>
        <w:t> </w:t>
      </w:r>
      <w:r>
        <w:rPr>
          <w:w w:val="282"/>
          <w:sz w:val="20"/>
        </w:rPr>
        <w:t>-</w:t>
      </w:r>
      <w:r>
        <w:rPr>
          <w:sz w:val="20"/>
        </w:rPr>
        <w:t> </w:t>
      </w:r>
      <w:r>
        <w:rPr>
          <w:spacing w:val="-15"/>
          <w:sz w:val="20"/>
        </w:rPr>
        <w:t> </w:t>
      </w:r>
      <w:r>
        <w:rPr>
          <w:rFonts w:ascii="Arial"/>
          <w:i/>
          <w:w w:val="153"/>
          <w:sz w:val="20"/>
        </w:rPr>
        <w:t>(</w:t>
      </w:r>
      <w:r>
        <w:rPr>
          <w:rFonts w:ascii="Arial"/>
          <w:i/>
          <w:spacing w:val="-55"/>
          <w:w w:val="153"/>
          <w:sz w:val="20"/>
        </w:rPr>
        <w:t>.</w:t>
      </w:r>
      <w:r>
        <w:rPr>
          <w:rFonts w:ascii="Arial"/>
          <w:i/>
          <w:w w:val="121"/>
          <w:sz w:val="20"/>
        </w:rPr>
        <w:t>p.</w:t>
      </w:r>
      <w:r>
        <w:rPr>
          <w:rFonts w:ascii="Arial"/>
          <w:i/>
          <w:sz w:val="20"/>
        </w:rPr>
        <w:t> </w:t>
      </w:r>
      <w:r>
        <w:rPr>
          <w:rFonts w:ascii="Arial"/>
          <w:spacing w:val="-56"/>
          <w:w w:val="107"/>
          <w:sz w:val="31"/>
        </w:rPr>
        <w:t>+</w:t>
      </w:r>
      <w:r>
        <w:rPr>
          <w:rFonts w:ascii="Arial"/>
          <w:i/>
          <w:spacing w:val="-201"/>
          <w:w w:val="295"/>
          <w:sz w:val="20"/>
        </w:rPr>
        <w:t>.</w:t>
      </w:r>
      <w:r>
        <w:rPr>
          <w:rFonts w:ascii="Arial"/>
          <w:i/>
          <w:w w:val="118"/>
          <w:sz w:val="20"/>
        </w:rPr>
        <w:t>p.</w:t>
      </w:r>
      <w:r>
        <w:rPr>
          <w:rFonts w:ascii="Arial"/>
          <w:i/>
          <w:spacing w:val="8"/>
          <w:sz w:val="20"/>
        </w:rPr>
        <w:t> </w:t>
      </w:r>
      <w:r>
        <w:rPr>
          <w:rFonts w:ascii="Arial"/>
          <w:w w:val="262"/>
          <w:sz w:val="20"/>
        </w:rPr>
        <w:t>-</w:t>
      </w:r>
      <w:r>
        <w:rPr>
          <w:rFonts w:ascii="Arial"/>
          <w:spacing w:val="6"/>
          <w:sz w:val="20"/>
        </w:rPr>
        <w:t> </w:t>
      </w:r>
      <w:r>
        <w:rPr>
          <w:rFonts w:ascii="Arial"/>
          <w:i/>
          <w:w w:val="86"/>
          <w:sz w:val="20"/>
        </w:rPr>
        <w:t>,.p.,,</w:t>
      </w:r>
      <w:r>
        <w:rPr>
          <w:rFonts w:ascii="Arial"/>
          <w:i/>
          <w:w w:val="86"/>
          <w:sz w:val="20"/>
        </w:rPr>
        <w:t>)</w:t>
      </w:r>
    </w:p>
    <w:p>
      <w:pPr>
        <w:spacing w:line="357" w:lineRule="exact" w:before="0"/>
        <w:ind w:left="615" w:right="739" w:firstLine="0"/>
        <w:jc w:val="left"/>
        <w:rPr>
          <w:i/>
          <w:sz w:val="21"/>
        </w:rPr>
      </w:pPr>
      <w:r>
        <w:rPr>
          <w:w w:val="95"/>
          <w:sz w:val="24"/>
        </w:rPr>
        <w:t>= </w:t>
      </w:r>
      <w:r>
        <w:rPr>
          <w:i/>
          <w:w w:val="95"/>
          <w:sz w:val="21"/>
        </w:rPr>
        <w:t>,.q. </w:t>
      </w:r>
      <w:r>
        <w:rPr>
          <w:rFonts w:ascii="Arial" w:hAnsi="Arial"/>
          <w:w w:val="125"/>
          <w:sz w:val="33"/>
        </w:rPr>
        <w:t>+</w:t>
      </w:r>
      <w:r>
        <w:rPr>
          <w:rFonts w:ascii="Arial" w:hAnsi="Arial"/>
          <w:spacing w:val="-78"/>
          <w:w w:val="125"/>
          <w:sz w:val="33"/>
        </w:rPr>
        <w:t> </w:t>
      </w:r>
      <w:r>
        <w:rPr>
          <w:rFonts w:ascii="Arial" w:hAnsi="Arial"/>
          <w:i/>
          <w:spacing w:val="-8"/>
          <w:w w:val="125"/>
          <w:sz w:val="19"/>
        </w:rPr>
        <w:t>•Ir </w:t>
      </w:r>
      <w:r>
        <w:rPr>
          <w:rFonts w:ascii="Arial" w:hAnsi="Arial"/>
          <w:w w:val="250"/>
          <w:sz w:val="19"/>
        </w:rPr>
        <w:t>-</w:t>
      </w:r>
      <w:r>
        <w:rPr>
          <w:rFonts w:ascii="Arial" w:hAnsi="Arial"/>
          <w:spacing w:val="-85"/>
          <w:w w:val="250"/>
          <w:sz w:val="19"/>
        </w:rPr>
        <w:t> </w:t>
      </w:r>
      <w:r>
        <w:rPr>
          <w:i/>
          <w:w w:val="95"/>
          <w:sz w:val="21"/>
        </w:rPr>
        <w:t>,.qs,,</w:t>
      </w:r>
    </w:p>
    <w:p>
      <w:pPr>
        <w:spacing w:line="367" w:lineRule="exact" w:before="0"/>
        <w:ind w:left="615" w:right="739" w:firstLine="0"/>
        <w:jc w:val="left"/>
        <w:rPr>
          <w:i/>
          <w:sz w:val="21"/>
        </w:rPr>
      </w:pPr>
      <w:r>
        <w:rPr>
          <w:w w:val="94"/>
          <w:sz w:val="26"/>
        </w:rPr>
        <w:t>=</w:t>
      </w:r>
      <w:r>
        <w:rPr>
          <w:sz w:val="26"/>
        </w:rPr>
        <w:t> </w:t>
      </w:r>
      <w:r>
        <w:rPr>
          <w:spacing w:val="-7"/>
          <w:sz w:val="26"/>
        </w:rPr>
        <w:t> </w:t>
      </w:r>
      <w:r>
        <w:rPr>
          <w:i/>
          <w:spacing w:val="-147"/>
          <w:w w:val="117"/>
          <w:sz w:val="33"/>
        </w:rPr>
        <w:t>L</w:t>
      </w:r>
      <w:r>
        <w:rPr>
          <w:i/>
          <w:spacing w:val="-323"/>
          <w:w w:val="362"/>
          <w:sz w:val="21"/>
        </w:rPr>
        <w:t>.</w:t>
      </w:r>
      <w:r>
        <w:rPr>
          <w:i/>
          <w:w w:val="119"/>
          <w:sz w:val="21"/>
        </w:rPr>
        <w:t>q.</w:t>
      </w:r>
      <w:r>
        <w:rPr>
          <w:i/>
          <w:spacing w:val="4"/>
          <w:sz w:val="21"/>
        </w:rPr>
        <w:t> </w:t>
      </w:r>
      <w:r>
        <w:rPr>
          <w:w w:val="275"/>
          <w:sz w:val="21"/>
        </w:rPr>
        <w:t>-</w:t>
      </w:r>
      <w:r>
        <w:rPr>
          <w:spacing w:val="-5"/>
          <w:sz w:val="21"/>
        </w:rPr>
        <w:t> </w:t>
      </w:r>
      <w:r>
        <w:rPr>
          <w:i/>
          <w:w w:val="85"/>
          <w:sz w:val="21"/>
        </w:rPr>
        <w:t>,</w:t>
      </w:r>
      <w:r>
        <w:rPr>
          <w:i/>
          <w:spacing w:val="-14"/>
          <w:w w:val="85"/>
          <w:sz w:val="21"/>
        </w:rPr>
        <w:t>.</w:t>
      </w:r>
      <w:r>
        <w:rPr>
          <w:i/>
          <w:w w:val="89"/>
          <w:sz w:val="21"/>
        </w:rPr>
        <w:t>q..,</w:t>
      </w:r>
    </w:p>
    <w:p>
      <w:pPr>
        <w:spacing w:after="0" w:line="367" w:lineRule="exact"/>
        <w:jc w:val="left"/>
        <w:rPr>
          <w:sz w:val="21"/>
        </w:rPr>
        <w:sectPr>
          <w:type w:val="continuous"/>
          <w:pgSz w:w="7200" w:h="11340"/>
          <w:pgMar w:top="1100" w:bottom="0" w:left="680" w:right="540"/>
        </w:sectPr>
      </w:pPr>
    </w:p>
    <w:p>
      <w:pPr>
        <w:tabs>
          <w:tab w:pos="665" w:val="left" w:leader="none"/>
          <w:tab w:pos="5307" w:val="left" w:leader="none"/>
        </w:tabs>
        <w:spacing w:before="54"/>
        <w:ind w:left="170" w:right="0" w:firstLine="0"/>
        <w:jc w:val="left"/>
        <w:rPr>
          <w:sz w:val="19"/>
        </w:rPr>
      </w:pPr>
      <w:r>
        <w:rPr>
          <w:color w:val="010101"/>
          <w:w w:val="110"/>
          <w:sz w:val="19"/>
        </w:rPr>
        <w:t>212</w:t>
        <w:tab/>
      </w:r>
      <w:r>
        <w:rPr>
          <w:color w:val="010101"/>
          <w:w w:val="110"/>
          <w:sz w:val="15"/>
        </w:rPr>
        <w:t>LAST-SURVIVOR AND  GENERAL</w:t>
      </w:r>
      <w:r>
        <w:rPr>
          <w:color w:val="010101"/>
          <w:spacing w:val="35"/>
          <w:w w:val="110"/>
          <w:sz w:val="15"/>
        </w:rPr>
        <w:t> </w:t>
      </w:r>
      <w:r>
        <w:rPr>
          <w:color w:val="010101"/>
          <w:w w:val="110"/>
          <w:sz w:val="15"/>
        </w:rPr>
        <w:t>MULTI-LIFE</w:t>
      </w:r>
      <w:r>
        <w:rPr>
          <w:color w:val="010101"/>
          <w:spacing w:val="38"/>
          <w:w w:val="110"/>
          <w:sz w:val="15"/>
        </w:rPr>
        <w:t> </w:t>
      </w:r>
      <w:r>
        <w:rPr>
          <w:color w:val="010101"/>
          <w:w w:val="110"/>
          <w:sz w:val="15"/>
        </w:rPr>
        <w:t>STATUSES</w:t>
        <w:tab/>
        <w:t>[CH. </w:t>
      </w:r>
      <w:r>
        <w:rPr>
          <w:color w:val="010101"/>
          <w:spacing w:val="19"/>
          <w:w w:val="110"/>
          <w:sz w:val="15"/>
        </w:rPr>
        <w:t> </w:t>
      </w:r>
      <w:r>
        <w:rPr>
          <w:color w:val="010101"/>
          <w:spacing w:val="-20"/>
          <w:w w:val="110"/>
          <w:sz w:val="19"/>
        </w:rPr>
        <w:t>10</w:t>
      </w:r>
    </w:p>
    <w:p>
      <w:pPr>
        <w:pStyle w:val="BodyText"/>
        <w:spacing w:before="3"/>
        <w:rPr>
          <w:sz w:val="25"/>
        </w:rPr>
      </w:pPr>
      <w:r>
        <w:rPr/>
        <w:drawing>
          <wp:anchor distT="0" distB="0" distL="0" distR="0" allowOverlap="1" layoutInCell="1" locked="0" behindDoc="0" simplePos="0" relativeHeight="16576">
            <wp:simplePos x="0" y="0"/>
            <wp:positionH relativeFrom="page">
              <wp:posOffset>502919</wp:posOffset>
            </wp:positionH>
            <wp:positionV relativeFrom="paragraph">
              <wp:posOffset>209814</wp:posOffset>
            </wp:positionV>
            <wp:extent cx="1280159" cy="100584"/>
            <wp:effectExtent l="0" t="0" r="0" b="0"/>
            <wp:wrapTopAndBottom/>
            <wp:docPr id="443" name="image227.png" descr=""/>
            <wp:cNvGraphicFramePr>
              <a:graphicFrameLocks noChangeAspect="1"/>
            </wp:cNvGraphicFramePr>
            <a:graphic>
              <a:graphicData uri="http://schemas.openxmlformats.org/drawingml/2006/picture">
                <pic:pic>
                  <pic:nvPicPr>
                    <pic:cNvPr id="444" name="image227.png"/>
                    <pic:cNvPicPr/>
                  </pic:nvPicPr>
                  <pic:blipFill>
                    <a:blip r:embed="rId231" cstate="print"/>
                    <a:stretch>
                      <a:fillRect/>
                    </a:stretch>
                  </pic:blipFill>
                  <pic:spPr>
                    <a:xfrm>
                      <a:off x="0" y="0"/>
                      <a:ext cx="1280159" cy="100584"/>
                    </a:xfrm>
                    <a:prstGeom prst="rect">
                      <a:avLst/>
                    </a:prstGeom>
                  </pic:spPr>
                </pic:pic>
              </a:graphicData>
            </a:graphic>
          </wp:anchor>
        </w:drawing>
      </w:r>
    </w:p>
    <w:p>
      <w:pPr>
        <w:spacing w:before="43"/>
        <w:ind w:left="920" w:right="0" w:firstLine="0"/>
        <w:jc w:val="left"/>
        <w:rPr>
          <w:sz w:val="20"/>
        </w:rPr>
      </w:pPr>
      <w:r>
        <w:rPr>
          <w:color w:val="010101"/>
          <w:w w:val="85"/>
          <w:sz w:val="20"/>
        </w:rPr>
        <w:t>(</w:t>
      </w:r>
      <w:r>
        <w:rPr>
          <w:color w:val="010101"/>
          <w:w w:val="85"/>
          <w:sz w:val="20"/>
        </w:rPr>
        <w:t>nPz</w:t>
      </w:r>
      <w:r>
        <w:rPr>
          <w:color w:val="010101"/>
          <w:sz w:val="20"/>
        </w:rPr>
        <w:t> </w:t>
      </w:r>
      <w:r>
        <w:rPr>
          <w:color w:val="010101"/>
          <w:spacing w:val="-21"/>
          <w:sz w:val="20"/>
        </w:rPr>
        <w:t> </w:t>
      </w:r>
      <w:r>
        <w:rPr>
          <w:color w:val="010101"/>
          <w:w w:val="102"/>
          <w:sz w:val="28"/>
        </w:rPr>
        <w:t>+</w:t>
      </w:r>
      <w:r>
        <w:rPr>
          <w:color w:val="010101"/>
          <w:spacing w:val="15"/>
          <w:sz w:val="28"/>
        </w:rPr>
        <w:t> </w:t>
      </w:r>
      <w:r>
        <w:rPr>
          <w:rFonts w:ascii="Arial"/>
          <w:i/>
          <w:color w:val="010101"/>
          <w:w w:val="55"/>
          <w:sz w:val="18"/>
        </w:rPr>
        <w:t>nP11</w:t>
      </w:r>
      <w:r>
        <w:rPr>
          <w:rFonts w:ascii="Arial"/>
          <w:i/>
          <w:color w:val="010101"/>
          <w:sz w:val="18"/>
        </w:rPr>
        <w:t> </w:t>
      </w:r>
      <w:r>
        <w:rPr>
          <w:rFonts w:ascii="Arial"/>
          <w:i/>
          <w:color w:val="010101"/>
          <w:spacing w:val="-16"/>
          <w:sz w:val="18"/>
        </w:rPr>
        <w:t> </w:t>
      </w:r>
      <w:r>
        <w:rPr>
          <w:color w:val="010101"/>
          <w:w w:val="104"/>
          <w:sz w:val="28"/>
        </w:rPr>
        <w:t>+</w:t>
      </w:r>
      <w:r>
        <w:rPr>
          <w:color w:val="010101"/>
          <w:spacing w:val="12"/>
          <w:sz w:val="28"/>
        </w:rPr>
        <w:t> </w:t>
      </w:r>
      <w:r>
        <w:rPr>
          <w:color w:val="010101"/>
          <w:w w:val="78"/>
          <w:sz w:val="20"/>
        </w:rPr>
        <w:t>nPz</w:t>
      </w:r>
      <w:r>
        <w:rPr>
          <w:color w:val="010101"/>
          <w:sz w:val="20"/>
        </w:rPr>
        <w:t> </w:t>
      </w:r>
      <w:r>
        <w:rPr>
          <w:color w:val="010101"/>
          <w:spacing w:val="-4"/>
          <w:sz w:val="20"/>
        </w:rPr>
        <w:t> </w:t>
      </w:r>
      <w:r>
        <w:rPr>
          <w:color w:val="010101"/>
          <w:w w:val="266"/>
          <w:sz w:val="20"/>
        </w:rPr>
        <w:t>-</w:t>
      </w:r>
      <w:r>
        <w:rPr>
          <w:color w:val="010101"/>
          <w:spacing w:val="5"/>
          <w:sz w:val="20"/>
        </w:rPr>
        <w:t> </w:t>
      </w:r>
      <w:r>
        <w:rPr>
          <w:rFonts w:ascii="Arial"/>
          <w:i/>
          <w:color w:val="010101"/>
          <w:w w:val="58"/>
          <w:sz w:val="18"/>
        </w:rPr>
        <w:t>nP%JI</w:t>
      </w:r>
      <w:r>
        <w:rPr>
          <w:rFonts w:ascii="Arial"/>
          <w:i/>
          <w:color w:val="010101"/>
          <w:sz w:val="18"/>
        </w:rPr>
        <w:t> </w:t>
      </w:r>
      <w:r>
        <w:rPr>
          <w:rFonts w:ascii="Arial"/>
          <w:i/>
          <w:color w:val="010101"/>
          <w:spacing w:val="-5"/>
          <w:sz w:val="18"/>
        </w:rPr>
        <w:t> </w:t>
      </w:r>
      <w:r>
        <w:rPr>
          <w:rFonts w:ascii="Arial"/>
          <w:color w:val="010101"/>
          <w:w w:val="275"/>
          <w:sz w:val="18"/>
        </w:rPr>
        <w:t>-</w:t>
      </w:r>
      <w:r>
        <w:rPr>
          <w:rFonts w:ascii="Arial"/>
          <w:color w:val="010101"/>
          <w:spacing w:val="21"/>
          <w:sz w:val="18"/>
        </w:rPr>
        <w:t> </w:t>
      </w:r>
      <w:r>
        <w:rPr>
          <w:color w:val="010101"/>
          <w:w w:val="75"/>
          <w:sz w:val="20"/>
        </w:rPr>
        <w:t>nPzz</w:t>
      </w:r>
      <w:r>
        <w:rPr>
          <w:color w:val="010101"/>
          <w:sz w:val="20"/>
        </w:rPr>
        <w:t> </w:t>
      </w:r>
      <w:r>
        <w:rPr>
          <w:color w:val="010101"/>
          <w:spacing w:val="-1"/>
          <w:sz w:val="20"/>
        </w:rPr>
        <w:t> </w:t>
      </w:r>
      <w:r>
        <w:rPr>
          <w:color w:val="010101"/>
          <w:w w:val="266"/>
          <w:sz w:val="20"/>
        </w:rPr>
        <w:t>-</w:t>
      </w:r>
      <w:r>
        <w:rPr>
          <w:color w:val="010101"/>
          <w:spacing w:val="12"/>
          <w:sz w:val="20"/>
        </w:rPr>
        <w:t> </w:t>
      </w:r>
      <w:r>
        <w:rPr>
          <w:color w:val="010101"/>
          <w:w w:val="97"/>
          <w:sz w:val="20"/>
        </w:rPr>
        <w:t>"</w:t>
      </w:r>
      <w:r>
        <w:rPr>
          <w:color w:val="010101"/>
          <w:spacing w:val="-10"/>
          <w:w w:val="97"/>
          <w:sz w:val="20"/>
        </w:rPr>
        <w:t>P</w:t>
      </w:r>
      <w:r>
        <w:rPr>
          <w:color w:val="010101"/>
          <w:w w:val="45"/>
          <w:sz w:val="20"/>
        </w:rPr>
        <w:t>111</w:t>
      </w:r>
      <w:r>
        <w:rPr>
          <w:color w:val="010101"/>
          <w:spacing w:val="19"/>
          <w:sz w:val="20"/>
        </w:rPr>
        <w:t> </w:t>
      </w:r>
      <w:r>
        <w:rPr>
          <w:color w:val="010101"/>
          <w:w w:val="102"/>
          <w:sz w:val="28"/>
        </w:rPr>
        <w:t>+</w:t>
      </w:r>
      <w:r>
        <w:rPr>
          <w:color w:val="010101"/>
          <w:spacing w:val="11"/>
          <w:sz w:val="28"/>
        </w:rPr>
        <w:t> </w:t>
      </w:r>
      <w:r>
        <w:rPr>
          <w:color w:val="010101"/>
          <w:w w:val="57"/>
          <w:sz w:val="20"/>
        </w:rPr>
        <w:t>nP%Jlz</w:t>
      </w:r>
      <w:r>
        <w:rPr>
          <w:color w:val="010101"/>
          <w:spacing w:val="-11"/>
          <w:sz w:val="20"/>
        </w:rPr>
        <w:t> </w:t>
      </w:r>
      <w:r>
        <w:rPr>
          <w:color w:val="010101"/>
          <w:w w:val="97"/>
          <w:sz w:val="20"/>
        </w:rPr>
        <w:t>)</w:t>
      </w:r>
    </w:p>
    <w:p>
      <w:pPr>
        <w:spacing w:before="14"/>
        <w:ind w:left="920" w:right="0" w:firstLine="0"/>
        <w:jc w:val="left"/>
        <w:rPr>
          <w:sz w:val="17"/>
        </w:rPr>
      </w:pPr>
      <w:r>
        <w:rPr/>
        <w:drawing>
          <wp:anchor distT="0" distB="0" distL="0" distR="0" allowOverlap="1" layoutInCell="1" locked="0" behindDoc="0" simplePos="0" relativeHeight="16600">
            <wp:simplePos x="0" y="0"/>
            <wp:positionH relativeFrom="page">
              <wp:posOffset>804672</wp:posOffset>
            </wp:positionH>
            <wp:positionV relativeFrom="paragraph">
              <wp:posOffset>307641</wp:posOffset>
            </wp:positionV>
            <wp:extent cx="2852928" cy="356615"/>
            <wp:effectExtent l="0" t="0" r="0" b="0"/>
            <wp:wrapTopAndBottom/>
            <wp:docPr id="445" name="image228.png" descr=""/>
            <wp:cNvGraphicFramePr>
              <a:graphicFrameLocks noChangeAspect="1"/>
            </wp:cNvGraphicFramePr>
            <a:graphic>
              <a:graphicData uri="http://schemas.openxmlformats.org/drawingml/2006/picture">
                <pic:pic>
                  <pic:nvPicPr>
                    <pic:cNvPr id="446" name="image228.png"/>
                    <pic:cNvPicPr/>
                  </pic:nvPicPr>
                  <pic:blipFill>
                    <a:blip r:embed="rId232" cstate="print"/>
                    <a:stretch>
                      <a:fillRect/>
                    </a:stretch>
                  </pic:blipFill>
                  <pic:spPr>
                    <a:xfrm>
                      <a:off x="0" y="0"/>
                      <a:ext cx="2852928" cy="356615"/>
                    </a:xfrm>
                    <a:prstGeom prst="rect">
                      <a:avLst/>
                    </a:prstGeom>
                  </pic:spPr>
                </pic:pic>
              </a:graphicData>
            </a:graphic>
          </wp:anchor>
        </w:drawing>
      </w:r>
      <w:r>
        <w:rPr>
          <w:color w:val="010101"/>
          <w:sz w:val="17"/>
        </w:rPr>
        <w:t>(n+lPz </w:t>
      </w:r>
      <w:r>
        <w:rPr>
          <w:rFonts w:ascii="Arial" w:hAnsi="Arial"/>
          <w:color w:val="010101"/>
          <w:sz w:val="30"/>
        </w:rPr>
        <w:t>+</w:t>
      </w:r>
      <w:r>
        <w:rPr>
          <w:rFonts w:ascii="Arial" w:hAnsi="Arial"/>
          <w:color w:val="010101"/>
          <w:spacing w:val="-64"/>
          <w:sz w:val="30"/>
        </w:rPr>
        <w:t> </w:t>
      </w:r>
      <w:r>
        <w:rPr>
          <w:i/>
          <w:color w:val="010101"/>
          <w:sz w:val="17"/>
        </w:rPr>
        <w:t>n+1P11 </w:t>
      </w:r>
      <w:r>
        <w:rPr>
          <w:rFonts w:ascii="Arial" w:hAnsi="Arial"/>
          <w:color w:val="010101"/>
          <w:sz w:val="30"/>
        </w:rPr>
        <w:t>+</w:t>
      </w:r>
      <w:r>
        <w:rPr>
          <w:rFonts w:ascii="Arial" w:hAnsi="Arial"/>
          <w:color w:val="010101"/>
          <w:spacing w:val="-60"/>
          <w:sz w:val="30"/>
        </w:rPr>
        <w:t> </w:t>
      </w:r>
      <w:r>
        <w:rPr>
          <w:color w:val="010101"/>
          <w:sz w:val="17"/>
        </w:rPr>
        <w:t>n +tPz </w:t>
      </w:r>
      <w:r>
        <w:rPr>
          <w:color w:val="010101"/>
          <w:w w:val="305"/>
          <w:sz w:val="17"/>
        </w:rPr>
        <w:t>-</w:t>
      </w:r>
      <w:r>
        <w:rPr>
          <w:color w:val="010101"/>
          <w:spacing w:val="-113"/>
          <w:w w:val="305"/>
          <w:sz w:val="17"/>
        </w:rPr>
        <w:t> </w:t>
      </w:r>
      <w:r>
        <w:rPr>
          <w:color w:val="010101"/>
          <w:sz w:val="17"/>
        </w:rPr>
        <w:t>n+lPZJI </w:t>
      </w:r>
      <w:r>
        <w:rPr>
          <w:color w:val="010101"/>
          <w:w w:val="305"/>
          <w:sz w:val="17"/>
        </w:rPr>
        <w:t>-</w:t>
      </w:r>
      <w:r>
        <w:rPr>
          <w:color w:val="010101"/>
          <w:spacing w:val="-112"/>
          <w:w w:val="305"/>
          <w:sz w:val="17"/>
        </w:rPr>
        <w:t> </w:t>
      </w:r>
      <w:r>
        <w:rPr>
          <w:color w:val="010101"/>
          <w:sz w:val="17"/>
        </w:rPr>
        <w:t>n+lPza </w:t>
      </w:r>
      <w:r>
        <w:rPr>
          <w:color w:val="010101"/>
          <w:w w:val="305"/>
          <w:sz w:val="17"/>
        </w:rPr>
        <w:t>-</w:t>
      </w:r>
      <w:r>
        <w:rPr>
          <w:color w:val="010101"/>
          <w:spacing w:val="-110"/>
          <w:w w:val="305"/>
          <w:sz w:val="17"/>
        </w:rPr>
        <w:t> </w:t>
      </w:r>
      <w:r>
        <w:rPr>
          <w:color w:val="010101"/>
          <w:sz w:val="17"/>
        </w:rPr>
        <w:t>n +lP•z </w:t>
      </w:r>
      <w:r>
        <w:rPr>
          <w:color w:val="010101"/>
          <w:sz w:val="28"/>
        </w:rPr>
        <w:t>+ </w:t>
      </w:r>
      <w:r>
        <w:rPr>
          <w:color w:val="010101"/>
          <w:sz w:val="17"/>
        </w:rPr>
        <w:t>n+IPz¡,,,)</w:t>
      </w:r>
    </w:p>
    <w:p>
      <w:pPr>
        <w:spacing w:line="59" w:lineRule="exact" w:before="91"/>
        <w:ind w:left="981" w:right="0" w:firstLine="0"/>
        <w:jc w:val="left"/>
        <w:rPr>
          <w:rFonts w:ascii="Arial"/>
          <w:b/>
          <w:sz w:val="8"/>
        </w:rPr>
      </w:pPr>
      <w:r>
        <w:rPr>
          <w:rFonts w:ascii="Arial"/>
          <w:b/>
          <w:color w:val="010101"/>
          <w:w w:val="110"/>
          <w:sz w:val="8"/>
        </w:rPr>
        <w:t>00</w:t>
      </w:r>
    </w:p>
    <w:p>
      <w:pPr>
        <w:spacing w:line="309" w:lineRule="exact" w:before="0"/>
        <w:ind w:left="260" w:right="0" w:firstLine="0"/>
        <w:jc w:val="left"/>
        <w:rPr>
          <w:i/>
          <w:sz w:val="20"/>
        </w:rPr>
      </w:pPr>
      <w:r>
        <w:rPr>
          <w:i/>
          <w:color w:val="010101"/>
          <w:spacing w:val="8"/>
          <w:w w:val="127"/>
          <w:sz w:val="26"/>
        </w:rPr>
        <w:t>ª</w:t>
      </w:r>
      <w:r>
        <w:rPr>
          <w:i/>
          <w:color w:val="010101"/>
          <w:w w:val="60"/>
          <w:sz w:val="26"/>
          <w:u w:val="single" w:color="000000"/>
        </w:rPr>
        <w:t>zr•</w:t>
      </w:r>
      <w:r>
        <w:rPr>
          <w:i/>
          <w:color w:val="010101"/>
          <w:sz w:val="26"/>
        </w:rPr>
        <w:t> </w:t>
      </w:r>
      <w:r>
        <w:rPr>
          <w:i/>
          <w:color w:val="010101"/>
          <w:spacing w:val="-19"/>
          <w:sz w:val="26"/>
        </w:rPr>
        <w:t> </w:t>
      </w:r>
      <w:r>
        <w:rPr>
          <w:color w:val="010101"/>
          <w:w w:val="91"/>
          <w:sz w:val="26"/>
        </w:rPr>
        <w:t>=</w:t>
      </w:r>
      <w:r>
        <w:rPr>
          <w:color w:val="010101"/>
          <w:sz w:val="26"/>
        </w:rPr>
        <w:t> </w:t>
      </w:r>
      <w:r>
        <w:rPr>
          <w:color w:val="010101"/>
          <w:spacing w:val="-3"/>
          <w:sz w:val="26"/>
        </w:rPr>
        <w:t> </w:t>
      </w:r>
      <w:r>
        <w:rPr>
          <w:i/>
          <w:color w:val="010101"/>
          <w:w w:val="112"/>
          <w:sz w:val="33"/>
        </w:rPr>
        <w:t>L</w:t>
      </w:r>
      <w:r>
        <w:rPr>
          <w:i/>
          <w:color w:val="010101"/>
          <w:spacing w:val="-14"/>
          <w:sz w:val="33"/>
        </w:rPr>
        <w:t> </w:t>
      </w:r>
      <w:r>
        <w:rPr>
          <w:i/>
          <w:color w:val="010101"/>
          <w:w w:val="80"/>
          <w:sz w:val="21"/>
        </w:rPr>
        <w:t>vt</w:t>
      </w:r>
      <w:r>
        <w:rPr>
          <w:i/>
          <w:color w:val="010101"/>
          <w:spacing w:val="-28"/>
          <w:sz w:val="21"/>
        </w:rPr>
        <w:t> </w:t>
      </w:r>
      <w:r>
        <w:rPr>
          <w:i/>
          <w:color w:val="010101"/>
          <w:w w:val="84"/>
          <w:sz w:val="20"/>
        </w:rPr>
        <w:t>,piiíz</w:t>
      </w:r>
    </w:p>
    <w:p>
      <w:pPr>
        <w:spacing w:line="100" w:lineRule="exact" w:before="0"/>
        <w:ind w:left="909" w:right="0" w:firstLine="0"/>
        <w:jc w:val="left"/>
        <w:rPr>
          <w:sz w:val="12"/>
        </w:rPr>
      </w:pPr>
      <w:r>
        <w:rPr>
          <w:color w:val="010101"/>
          <w:w w:val="120"/>
          <w:sz w:val="12"/>
        </w:rPr>
        <w:t>t ...1</w:t>
      </w:r>
    </w:p>
    <w:p>
      <w:pPr>
        <w:pStyle w:val="BodyText"/>
        <w:spacing w:before="6"/>
        <w:rPr>
          <w:sz w:val="11"/>
        </w:rPr>
      </w:pPr>
    </w:p>
    <w:p>
      <w:pPr>
        <w:spacing w:line="57" w:lineRule="exact" w:before="0"/>
        <w:ind w:left="942" w:right="0" w:firstLine="0"/>
        <w:jc w:val="left"/>
        <w:rPr>
          <w:rFonts w:ascii="Arial"/>
          <w:b/>
          <w:sz w:val="8"/>
        </w:rPr>
      </w:pPr>
      <w:r>
        <w:rPr>
          <w:rFonts w:ascii="Arial"/>
          <w:b/>
          <w:color w:val="010101"/>
          <w:w w:val="110"/>
          <w:sz w:val="8"/>
        </w:rPr>
        <w:t>00</w:t>
      </w:r>
    </w:p>
    <w:p>
      <w:pPr>
        <w:spacing w:line="467" w:lineRule="exact" w:before="0"/>
        <w:ind w:left="633" w:right="0" w:firstLine="0"/>
        <w:jc w:val="left"/>
        <w:rPr>
          <w:sz w:val="17"/>
        </w:rPr>
      </w:pPr>
      <w:r>
        <w:rPr>
          <w:color w:val="010101"/>
          <w:w w:val="89"/>
          <w:sz w:val="26"/>
        </w:rPr>
        <w:t>=</w:t>
      </w:r>
      <w:r>
        <w:rPr>
          <w:color w:val="010101"/>
          <w:sz w:val="26"/>
        </w:rPr>
        <w:t> </w:t>
      </w:r>
      <w:r>
        <w:rPr>
          <w:color w:val="010101"/>
          <w:spacing w:val="-22"/>
          <w:sz w:val="26"/>
        </w:rPr>
        <w:t> </w:t>
      </w:r>
      <w:r>
        <w:rPr>
          <w:rFonts w:ascii="Courier New"/>
          <w:color w:val="010101"/>
          <w:spacing w:val="-67"/>
          <w:w w:val="60"/>
          <w:position w:val="-11"/>
          <w:sz w:val="25"/>
        </w:rPr>
        <w:t>,</w:t>
      </w:r>
      <w:r>
        <w:rPr>
          <w:b/>
          <w:i/>
          <w:color w:val="010101"/>
          <w:spacing w:val="-181"/>
          <w:w w:val="101"/>
          <w:sz w:val="33"/>
        </w:rPr>
        <w:t>L</w:t>
      </w:r>
      <w:r>
        <w:rPr>
          <w:rFonts w:ascii="Courier New"/>
          <w:color w:val="010101"/>
          <w:spacing w:val="-20"/>
          <w:w w:val="86"/>
          <w:position w:val="-11"/>
          <w:sz w:val="25"/>
        </w:rPr>
        <w:t>-</w:t>
      </w:r>
      <w:r>
        <w:rPr>
          <w:rFonts w:ascii="Courier New"/>
          <w:color w:val="010101"/>
          <w:w w:val="46"/>
          <w:position w:val="-11"/>
          <w:sz w:val="25"/>
        </w:rPr>
        <w:t>1</w:t>
      </w:r>
      <w:r>
        <w:rPr>
          <w:rFonts w:ascii="Courier New"/>
          <w:color w:val="010101"/>
          <w:spacing w:val="-85"/>
          <w:position w:val="-11"/>
          <w:sz w:val="25"/>
        </w:rPr>
        <w:t> </w:t>
      </w:r>
      <w:r>
        <w:rPr>
          <w:i/>
          <w:color w:val="010101"/>
          <w:w w:val="89"/>
          <w:sz w:val="20"/>
        </w:rPr>
        <w:t>v'</w:t>
      </w:r>
      <w:r>
        <w:rPr>
          <w:i/>
          <w:color w:val="010101"/>
          <w:sz w:val="20"/>
        </w:rPr>
        <w:t> </w:t>
      </w:r>
      <w:r>
        <w:rPr>
          <w:color w:val="010101"/>
          <w:w w:val="95"/>
          <w:sz w:val="17"/>
        </w:rPr>
        <w:t>(</w:t>
      </w:r>
      <w:r>
        <w:rPr>
          <w:color w:val="010101"/>
          <w:w w:val="95"/>
          <w:sz w:val="17"/>
        </w:rPr>
        <w:t>ePz</w:t>
      </w:r>
      <w:r>
        <w:rPr>
          <w:color w:val="010101"/>
          <w:sz w:val="17"/>
        </w:rPr>
        <w:t> </w:t>
      </w:r>
      <w:r>
        <w:rPr>
          <w:color w:val="010101"/>
          <w:spacing w:val="-2"/>
          <w:sz w:val="17"/>
        </w:rPr>
        <w:t> </w:t>
      </w:r>
      <w:r>
        <w:rPr>
          <w:rFonts w:ascii="Arial"/>
          <w:color w:val="010101"/>
          <w:w w:val="108"/>
          <w:sz w:val="30"/>
        </w:rPr>
        <w:t>+</w:t>
      </w:r>
      <w:r>
        <w:rPr>
          <w:rFonts w:ascii="Arial"/>
          <w:color w:val="010101"/>
          <w:spacing w:val="2"/>
          <w:sz w:val="30"/>
        </w:rPr>
        <w:t> </w:t>
      </w:r>
      <w:r>
        <w:rPr>
          <w:i/>
          <w:color w:val="010101"/>
          <w:w w:val="55"/>
          <w:sz w:val="20"/>
        </w:rPr>
        <w:t>tP11</w:t>
      </w:r>
      <w:r>
        <w:rPr>
          <w:i/>
          <w:color w:val="010101"/>
          <w:sz w:val="20"/>
        </w:rPr>
        <w:t> </w:t>
      </w:r>
      <w:r>
        <w:rPr>
          <w:i/>
          <w:color w:val="010101"/>
          <w:spacing w:val="-18"/>
          <w:sz w:val="20"/>
        </w:rPr>
        <w:t> </w:t>
      </w:r>
      <w:r>
        <w:rPr>
          <w:rFonts w:ascii="Arial"/>
          <w:color w:val="010101"/>
          <w:w w:val="108"/>
          <w:sz w:val="30"/>
        </w:rPr>
        <w:t>+</w:t>
      </w:r>
      <w:r>
        <w:rPr>
          <w:rFonts w:ascii="Arial"/>
          <w:color w:val="010101"/>
          <w:spacing w:val="2"/>
          <w:sz w:val="30"/>
        </w:rPr>
        <w:t> </w:t>
      </w:r>
      <w:r>
        <w:rPr>
          <w:rFonts w:ascii="Arial"/>
          <w:i/>
          <w:color w:val="010101"/>
          <w:spacing w:val="-31"/>
          <w:w w:val="105"/>
          <w:sz w:val="24"/>
        </w:rPr>
        <w:t>,</w:t>
      </w:r>
      <w:r>
        <w:rPr>
          <w:rFonts w:ascii="Arial"/>
          <w:i/>
          <w:color w:val="010101"/>
          <w:w w:val="88"/>
          <w:sz w:val="24"/>
        </w:rPr>
        <w:t>p,</w:t>
      </w:r>
      <w:r>
        <w:rPr>
          <w:rFonts w:ascii="Arial"/>
          <w:i/>
          <w:color w:val="010101"/>
          <w:spacing w:val="10"/>
          <w:sz w:val="24"/>
        </w:rPr>
        <w:t> </w:t>
      </w:r>
      <w:r>
        <w:rPr>
          <w:rFonts w:ascii="Arial"/>
          <w:color w:val="010101"/>
          <w:w w:val="217"/>
          <w:sz w:val="24"/>
        </w:rPr>
        <w:t>-</w:t>
      </w:r>
      <w:r>
        <w:rPr>
          <w:rFonts w:ascii="Arial"/>
          <w:color w:val="010101"/>
          <w:spacing w:val="10"/>
          <w:sz w:val="24"/>
        </w:rPr>
        <w:t> </w:t>
      </w:r>
      <w:r>
        <w:rPr>
          <w:i/>
          <w:color w:val="010101"/>
          <w:w w:val="78"/>
          <w:sz w:val="13"/>
        </w:rPr>
        <w:t>tP%11</w:t>
      </w:r>
      <w:r>
        <w:rPr>
          <w:i/>
          <w:color w:val="010101"/>
          <w:sz w:val="13"/>
        </w:rPr>
        <w:t>  </w:t>
      </w:r>
      <w:r>
        <w:rPr>
          <w:i/>
          <w:color w:val="010101"/>
          <w:spacing w:val="-4"/>
          <w:sz w:val="13"/>
        </w:rPr>
        <w:t> </w:t>
      </w:r>
      <w:r>
        <w:rPr>
          <w:color w:val="010101"/>
          <w:w w:val="411"/>
          <w:sz w:val="13"/>
        </w:rPr>
        <w:t>-</w:t>
      </w:r>
      <w:r>
        <w:rPr>
          <w:color w:val="010101"/>
          <w:sz w:val="13"/>
        </w:rPr>
        <w:t>  </w:t>
      </w:r>
      <w:r>
        <w:rPr>
          <w:i/>
          <w:color w:val="010101"/>
          <w:w w:val="80"/>
          <w:sz w:val="20"/>
        </w:rPr>
        <w:t>tPzz</w:t>
      </w:r>
      <w:r>
        <w:rPr>
          <w:i/>
          <w:color w:val="010101"/>
          <w:sz w:val="20"/>
        </w:rPr>
        <w:t> </w:t>
      </w:r>
      <w:r>
        <w:rPr>
          <w:i/>
          <w:color w:val="010101"/>
          <w:spacing w:val="-1"/>
          <w:sz w:val="20"/>
        </w:rPr>
        <w:t> </w:t>
      </w:r>
      <w:r>
        <w:rPr>
          <w:color w:val="010101"/>
          <w:w w:val="266"/>
          <w:sz w:val="20"/>
        </w:rPr>
        <w:t>-</w:t>
      </w:r>
      <w:r>
        <w:rPr>
          <w:color w:val="010101"/>
          <w:spacing w:val="16"/>
          <w:sz w:val="20"/>
        </w:rPr>
        <w:t> </w:t>
      </w:r>
      <w:r>
        <w:rPr>
          <w:i/>
          <w:color w:val="010101"/>
          <w:w w:val="51"/>
          <w:sz w:val="20"/>
        </w:rPr>
        <w:t>1P11z</w:t>
      </w:r>
      <w:r>
        <w:rPr>
          <w:i/>
          <w:color w:val="010101"/>
          <w:sz w:val="20"/>
        </w:rPr>
        <w:t> </w:t>
      </w:r>
      <w:r>
        <w:rPr>
          <w:i/>
          <w:color w:val="010101"/>
          <w:spacing w:val="-9"/>
          <w:sz w:val="20"/>
        </w:rPr>
        <w:t> </w:t>
      </w:r>
      <w:r>
        <w:rPr>
          <w:rFonts w:ascii="Arial"/>
          <w:color w:val="010101"/>
          <w:w w:val="106"/>
          <w:sz w:val="30"/>
        </w:rPr>
        <w:t>+</w:t>
      </w:r>
      <w:r>
        <w:rPr>
          <w:rFonts w:ascii="Arial"/>
          <w:color w:val="010101"/>
          <w:spacing w:val="-13"/>
          <w:sz w:val="30"/>
        </w:rPr>
        <w:t> </w:t>
      </w:r>
      <w:r>
        <w:rPr>
          <w:color w:val="010101"/>
          <w:w w:val="73"/>
          <w:sz w:val="17"/>
        </w:rPr>
        <w:t>tPZJlz</w:t>
      </w:r>
      <w:r>
        <w:rPr>
          <w:color w:val="010101"/>
          <w:spacing w:val="-5"/>
          <w:sz w:val="17"/>
        </w:rPr>
        <w:t> </w:t>
      </w:r>
      <w:r>
        <w:rPr>
          <w:color w:val="010101"/>
          <w:w w:val="106"/>
          <w:sz w:val="17"/>
        </w:rPr>
        <w:t>)</w:t>
      </w:r>
    </w:p>
    <w:p>
      <w:pPr>
        <w:spacing w:line="344" w:lineRule="exact" w:before="0"/>
        <w:ind w:left="863" w:right="0" w:firstLine="0"/>
        <w:jc w:val="left"/>
        <w:rPr>
          <w:rFonts w:ascii="Arial" w:hAnsi="Arial"/>
          <w:i/>
          <w:sz w:val="11"/>
        </w:rPr>
      </w:pPr>
      <w:r>
        <w:rPr>
          <w:color w:val="010101"/>
          <w:w w:val="90"/>
          <w:sz w:val="20"/>
        </w:rPr>
        <w:t>O:r </w:t>
      </w:r>
      <w:r>
        <w:rPr>
          <w:rFonts w:ascii="Arial" w:hAnsi="Arial"/>
          <w:color w:val="010101"/>
          <w:sz w:val="30"/>
        </w:rPr>
        <w:t>+ </w:t>
      </w:r>
      <w:r>
        <w:rPr>
          <w:i/>
          <w:color w:val="010101"/>
          <w:sz w:val="21"/>
        </w:rPr>
        <w:t>ay </w:t>
      </w:r>
      <w:r>
        <w:rPr>
          <w:rFonts w:ascii="Arial" w:hAnsi="Arial"/>
          <w:color w:val="010101"/>
          <w:sz w:val="30"/>
        </w:rPr>
        <w:t>+ </w:t>
      </w:r>
      <w:r>
        <w:rPr>
          <w:i/>
          <w:color w:val="010101"/>
          <w:sz w:val="21"/>
        </w:rPr>
        <w:t>az </w:t>
      </w:r>
      <w:r>
        <w:rPr>
          <w:color w:val="010101"/>
          <w:w w:val="255"/>
          <w:sz w:val="21"/>
        </w:rPr>
        <w:t>-</w:t>
      </w:r>
      <w:r>
        <w:rPr>
          <w:color w:val="010101"/>
          <w:spacing w:val="-92"/>
          <w:w w:val="255"/>
          <w:sz w:val="21"/>
        </w:rPr>
        <w:t> </w:t>
      </w:r>
      <w:r>
        <w:rPr>
          <w:rFonts w:ascii="Arial" w:hAnsi="Arial"/>
          <w:i/>
          <w:color w:val="010101"/>
          <w:sz w:val="17"/>
        </w:rPr>
        <w:t>ar¡¡ </w:t>
      </w:r>
      <w:r>
        <w:rPr>
          <w:rFonts w:ascii="Arial" w:hAnsi="Arial"/>
          <w:color w:val="010101"/>
          <w:w w:val="270"/>
          <w:sz w:val="17"/>
        </w:rPr>
        <w:t>-</w:t>
      </w:r>
      <w:r>
        <w:rPr>
          <w:rFonts w:ascii="Arial" w:hAnsi="Arial"/>
          <w:color w:val="010101"/>
          <w:spacing w:val="-76"/>
          <w:w w:val="270"/>
          <w:sz w:val="17"/>
        </w:rPr>
        <w:t> </w:t>
      </w:r>
      <w:r>
        <w:rPr>
          <w:color w:val="010101"/>
          <w:sz w:val="20"/>
        </w:rPr>
        <w:t>a:r, </w:t>
      </w:r>
      <w:r>
        <w:rPr>
          <w:color w:val="010101"/>
          <w:w w:val="255"/>
          <w:sz w:val="20"/>
        </w:rPr>
        <w:t>-</w:t>
      </w:r>
      <w:r>
        <w:rPr>
          <w:color w:val="010101"/>
          <w:spacing w:val="-87"/>
          <w:w w:val="255"/>
          <w:sz w:val="20"/>
        </w:rPr>
        <w:t> </w:t>
      </w:r>
      <w:r>
        <w:rPr>
          <w:color w:val="010101"/>
          <w:w w:val="90"/>
          <w:sz w:val="19"/>
        </w:rPr>
        <w:t>llvz </w:t>
      </w:r>
      <w:r>
        <w:rPr>
          <w:rFonts w:ascii="Arial" w:hAnsi="Arial"/>
          <w:color w:val="010101"/>
          <w:sz w:val="30"/>
        </w:rPr>
        <w:t>+ </w:t>
      </w:r>
      <w:r>
        <w:rPr>
          <w:rFonts w:ascii="Arial" w:hAnsi="Arial"/>
          <w:i/>
          <w:color w:val="010101"/>
          <w:sz w:val="11"/>
        </w:rPr>
        <w:t>ªZJIZ</w:t>
      </w:r>
    </w:p>
    <w:p>
      <w:pPr>
        <w:spacing w:before="16"/>
        <w:ind w:left="626" w:right="0" w:firstLine="0"/>
        <w:jc w:val="left"/>
        <w:rPr>
          <w:rFonts w:ascii="Arial" w:hAnsi="Arial"/>
          <w:i/>
          <w:sz w:val="17"/>
        </w:rPr>
      </w:pPr>
      <w:r>
        <w:rPr>
          <w:color w:val="010101"/>
          <w:sz w:val="26"/>
        </w:rPr>
        <w:t>= </w:t>
      </w:r>
      <w:r>
        <w:rPr>
          <w:rFonts w:ascii="Arial" w:hAnsi="Arial"/>
          <w:i/>
          <w:color w:val="010101"/>
          <w:spacing w:val="9"/>
          <w:sz w:val="31"/>
        </w:rPr>
        <w:t>L</w:t>
      </w:r>
      <w:r>
        <w:rPr>
          <w:i/>
          <w:color w:val="010101"/>
          <w:spacing w:val="9"/>
          <w:sz w:val="20"/>
        </w:rPr>
        <w:t>az </w:t>
      </w:r>
      <w:r>
        <w:rPr>
          <w:color w:val="010101"/>
          <w:w w:val="240"/>
          <w:sz w:val="20"/>
        </w:rPr>
        <w:t>- </w:t>
      </w:r>
      <w:r>
        <w:rPr>
          <w:rFonts w:ascii="Arial" w:hAnsi="Arial"/>
          <w:i/>
          <w:color w:val="010101"/>
          <w:w w:val="125"/>
          <w:sz w:val="31"/>
        </w:rPr>
        <w:t>L </w:t>
      </w:r>
      <w:r>
        <w:rPr>
          <w:rFonts w:ascii="Arial" w:hAnsi="Arial"/>
          <w:i/>
          <w:color w:val="010101"/>
          <w:w w:val="90"/>
          <w:sz w:val="18"/>
        </w:rPr>
        <w:t>ª%JI </w:t>
      </w:r>
      <w:r>
        <w:rPr>
          <w:rFonts w:ascii="Arial" w:hAnsi="Arial"/>
          <w:color w:val="010101"/>
          <w:sz w:val="30"/>
        </w:rPr>
        <w:t>+</w:t>
      </w:r>
      <w:r>
        <w:rPr>
          <w:rFonts w:ascii="Arial" w:hAnsi="Arial"/>
          <w:color w:val="010101"/>
          <w:spacing w:val="-55"/>
          <w:sz w:val="30"/>
        </w:rPr>
        <w:t> </w:t>
      </w:r>
      <w:r>
        <w:rPr>
          <w:rFonts w:ascii="Arial" w:hAnsi="Arial"/>
          <w:i/>
          <w:color w:val="010101"/>
          <w:w w:val="90"/>
          <w:sz w:val="17"/>
        </w:rPr>
        <w:t>az¡¡,</w:t>
      </w:r>
    </w:p>
    <w:p>
      <w:pPr>
        <w:pStyle w:val="BodyText"/>
        <w:spacing w:line="249" w:lineRule="auto" w:before="103"/>
        <w:ind w:left="127" w:right="149" w:firstLine="200"/>
        <w:jc w:val="both"/>
      </w:pPr>
      <w:r>
        <w:rPr>
          <w:color w:val="010101"/>
          <w:w w:val="110"/>
          <w:sz w:val="22"/>
        </w:rPr>
        <w:t>In </w:t>
      </w:r>
      <w:r>
        <w:rPr>
          <w:color w:val="010101"/>
          <w:w w:val="110"/>
        </w:rPr>
        <w:t>each of the special cases considered above for two lives and for three lives, it </w:t>
      </w:r>
      <w:r>
        <w:rPr>
          <w:color w:val="010101"/>
          <w:w w:val="110"/>
          <w:sz w:val="19"/>
        </w:rPr>
        <w:t>will </w:t>
      </w:r>
      <w:r>
        <w:rPr>
          <w:color w:val="010101"/>
          <w:w w:val="110"/>
        </w:rPr>
        <w:t>be observed that the forro of the result </w:t>
      </w:r>
      <w:r>
        <w:rPr>
          <w:rFonts w:ascii="Arial" w:hAnsi="Arial"/>
          <w:color w:val="010101"/>
          <w:w w:val="110"/>
          <w:sz w:val="19"/>
        </w:rPr>
        <w:t>is </w:t>
      </w:r>
      <w:r>
        <w:rPr>
          <w:color w:val="010101"/>
          <w:w w:val="110"/>
        </w:rPr>
        <w:t>the same as the form of (10.4) or (10.5). It will be apparent upon reflection</w:t>
      </w:r>
      <w:r>
        <w:rPr>
          <w:color w:val="010101"/>
          <w:spacing w:val="1"/>
          <w:w w:val="110"/>
        </w:rPr>
        <w:t> </w:t>
      </w:r>
      <w:r>
        <w:rPr>
          <w:color w:val="010101"/>
          <w:w w:val="110"/>
        </w:rPr>
        <w:t>that</w:t>
      </w:r>
      <w:r>
        <w:rPr>
          <w:color w:val="010101"/>
          <w:spacing w:val="-2"/>
          <w:w w:val="110"/>
        </w:rPr>
        <w:t> </w:t>
      </w:r>
      <w:r>
        <w:rPr>
          <w:color w:val="010101"/>
          <w:w w:val="110"/>
        </w:rPr>
        <w:t>this</w:t>
      </w:r>
      <w:r>
        <w:rPr>
          <w:color w:val="010101"/>
          <w:spacing w:val="-7"/>
          <w:w w:val="110"/>
        </w:rPr>
        <w:t> </w:t>
      </w:r>
      <w:r>
        <w:rPr>
          <w:color w:val="010101"/>
          <w:w w:val="110"/>
        </w:rPr>
        <w:t>is</w:t>
      </w:r>
      <w:r>
        <w:rPr>
          <w:color w:val="010101"/>
          <w:spacing w:val="-15"/>
          <w:w w:val="110"/>
        </w:rPr>
        <w:t> </w:t>
      </w:r>
      <w:r>
        <w:rPr>
          <w:color w:val="010101"/>
          <w:w w:val="110"/>
        </w:rPr>
        <w:t>not</w:t>
      </w:r>
      <w:r>
        <w:rPr>
          <w:color w:val="010101"/>
          <w:spacing w:val="-10"/>
          <w:w w:val="110"/>
        </w:rPr>
        <w:t> </w:t>
      </w:r>
      <w:r>
        <w:rPr>
          <w:color w:val="010101"/>
          <w:w w:val="110"/>
        </w:rPr>
        <w:t>merely</w:t>
      </w:r>
      <w:r>
        <w:rPr>
          <w:color w:val="010101"/>
          <w:spacing w:val="-4"/>
          <w:w w:val="110"/>
        </w:rPr>
        <w:t> </w:t>
      </w:r>
      <w:r>
        <w:rPr>
          <w:color w:val="010101"/>
          <w:w w:val="110"/>
        </w:rPr>
        <w:t>coincidental,</w:t>
      </w:r>
      <w:r>
        <w:rPr>
          <w:color w:val="010101"/>
          <w:spacing w:val="1"/>
          <w:w w:val="110"/>
        </w:rPr>
        <w:t> </w:t>
      </w:r>
      <w:r>
        <w:rPr>
          <w:color w:val="010101"/>
          <w:w w:val="110"/>
        </w:rPr>
        <w:t>but</w:t>
      </w:r>
      <w:r>
        <w:rPr>
          <w:color w:val="010101"/>
          <w:spacing w:val="-7"/>
          <w:w w:val="110"/>
        </w:rPr>
        <w:t> </w:t>
      </w:r>
      <w:r>
        <w:rPr>
          <w:color w:val="010101"/>
          <w:w w:val="110"/>
        </w:rPr>
        <w:t>that</w:t>
      </w:r>
      <w:r>
        <w:rPr>
          <w:color w:val="010101"/>
          <w:spacing w:val="-4"/>
          <w:w w:val="110"/>
        </w:rPr>
        <w:t> </w:t>
      </w:r>
      <w:r>
        <w:rPr>
          <w:color w:val="010101"/>
          <w:w w:val="110"/>
        </w:rPr>
        <w:t>the</w:t>
      </w:r>
      <w:r>
        <w:rPr>
          <w:color w:val="010101"/>
          <w:spacing w:val="-11"/>
          <w:w w:val="110"/>
        </w:rPr>
        <w:t> </w:t>
      </w:r>
      <w:r>
        <w:rPr>
          <w:color w:val="010101"/>
          <w:w w:val="110"/>
        </w:rPr>
        <w:t>similar­ ity</w:t>
      </w:r>
      <w:r>
        <w:rPr>
          <w:color w:val="010101"/>
          <w:spacing w:val="-16"/>
          <w:w w:val="110"/>
        </w:rPr>
        <w:t> </w:t>
      </w:r>
      <w:r>
        <w:rPr>
          <w:color w:val="010101"/>
          <w:w w:val="110"/>
        </w:rPr>
        <w:t>follows</w:t>
      </w:r>
      <w:r>
        <w:rPr>
          <w:color w:val="010101"/>
          <w:spacing w:val="-17"/>
          <w:w w:val="110"/>
        </w:rPr>
        <w:t> </w:t>
      </w:r>
      <w:r>
        <w:rPr>
          <w:color w:val="010101"/>
          <w:w w:val="110"/>
        </w:rPr>
        <w:t>necessarily</w:t>
      </w:r>
      <w:r>
        <w:rPr>
          <w:color w:val="010101"/>
          <w:spacing w:val="-1"/>
          <w:w w:val="110"/>
        </w:rPr>
        <w:t> </w:t>
      </w:r>
      <w:r>
        <w:rPr>
          <w:color w:val="010101"/>
          <w:w w:val="110"/>
        </w:rPr>
        <w:t>from</w:t>
      </w:r>
      <w:r>
        <w:rPr>
          <w:color w:val="010101"/>
          <w:spacing w:val="-14"/>
          <w:w w:val="110"/>
        </w:rPr>
        <w:t> </w:t>
      </w:r>
      <w:r>
        <w:rPr>
          <w:color w:val="010101"/>
          <w:w w:val="110"/>
        </w:rPr>
        <w:t>the</w:t>
      </w:r>
      <w:r>
        <w:rPr>
          <w:color w:val="010101"/>
          <w:spacing w:val="-18"/>
          <w:w w:val="110"/>
        </w:rPr>
        <w:t> </w:t>
      </w:r>
      <w:r>
        <w:rPr>
          <w:color w:val="010101"/>
          <w:w w:val="110"/>
        </w:rPr>
        <w:t>manner</w:t>
      </w:r>
      <w:r>
        <w:rPr>
          <w:color w:val="010101"/>
          <w:spacing w:val="-9"/>
          <w:w w:val="110"/>
        </w:rPr>
        <w:t> </w:t>
      </w:r>
      <w:r>
        <w:rPr>
          <w:color w:val="010101"/>
          <w:w w:val="110"/>
        </w:rPr>
        <w:t>in</w:t>
      </w:r>
      <w:r>
        <w:rPr>
          <w:color w:val="010101"/>
          <w:spacing w:val="-18"/>
          <w:w w:val="110"/>
        </w:rPr>
        <w:t> </w:t>
      </w:r>
      <w:r>
        <w:rPr>
          <w:color w:val="010101"/>
          <w:w w:val="110"/>
        </w:rPr>
        <w:t>which</w:t>
      </w:r>
      <w:r>
        <w:rPr>
          <w:color w:val="010101"/>
          <w:spacing w:val="-8"/>
          <w:w w:val="110"/>
        </w:rPr>
        <w:t> </w:t>
      </w:r>
      <w:r>
        <w:rPr>
          <w:color w:val="010101"/>
          <w:w w:val="110"/>
        </w:rPr>
        <w:t>each</w:t>
      </w:r>
      <w:r>
        <w:rPr>
          <w:color w:val="010101"/>
          <w:spacing w:val="-14"/>
          <w:w w:val="110"/>
        </w:rPr>
        <w:t> </w:t>
      </w:r>
      <w:r>
        <w:rPr>
          <w:color w:val="010101"/>
          <w:w w:val="110"/>
        </w:rPr>
        <w:t>of</w:t>
      </w:r>
      <w:r>
        <w:rPr>
          <w:color w:val="010101"/>
          <w:spacing w:val="-9"/>
          <w:w w:val="110"/>
        </w:rPr>
        <w:t> </w:t>
      </w:r>
      <w:r>
        <w:rPr>
          <w:color w:val="010101"/>
          <w:w w:val="110"/>
        </w:rPr>
        <w:t>the</w:t>
      </w:r>
      <w:r>
        <w:rPr>
          <w:color w:val="010101"/>
          <w:spacing w:val="-17"/>
          <w:w w:val="110"/>
        </w:rPr>
        <w:t> </w:t>
      </w:r>
      <w:r>
        <w:rPr>
          <w:color w:val="010101"/>
          <w:w w:val="110"/>
        </w:rPr>
        <w:t>func­ tions depends upon the probabilities of survival. The  </w:t>
      </w:r>
      <w:r>
        <w:rPr>
          <w:color w:val="010101"/>
          <w:spacing w:val="34"/>
          <w:w w:val="110"/>
        </w:rPr>
        <w:t> </w:t>
      </w:r>
      <w:r>
        <w:rPr>
          <w:color w:val="010101"/>
          <w:w w:val="110"/>
        </w:rPr>
        <w:t>functions,</w:t>
      </w:r>
    </w:p>
    <w:p>
      <w:pPr>
        <w:spacing w:line="23" w:lineRule="exact" w:before="0"/>
        <w:ind w:left="386" w:right="0" w:firstLine="0"/>
        <w:jc w:val="center"/>
        <w:rPr>
          <w:sz w:val="12"/>
        </w:rPr>
      </w:pPr>
      <w:r>
        <w:rPr>
          <w:color w:val="010101"/>
          <w:w w:val="112"/>
          <w:sz w:val="12"/>
        </w:rPr>
        <w:t>1</w:t>
      </w:r>
    </w:p>
    <w:p>
      <w:pPr>
        <w:spacing w:after="0" w:line="23" w:lineRule="exact"/>
        <w:jc w:val="center"/>
        <w:rPr>
          <w:sz w:val="12"/>
        </w:rPr>
        <w:sectPr>
          <w:pgSz w:w="7200" w:h="11340"/>
          <w:pgMar w:top="520" w:bottom="280" w:left="640" w:right="540"/>
        </w:sectPr>
      </w:pPr>
    </w:p>
    <w:p>
      <w:pPr>
        <w:spacing w:line="212" w:lineRule="exact" w:before="0"/>
        <w:ind w:left="124" w:right="-16" w:firstLine="0"/>
        <w:jc w:val="left"/>
        <w:rPr>
          <w:sz w:val="20"/>
        </w:rPr>
      </w:pPr>
      <w:r>
        <w:rPr>
          <w:i/>
          <w:color w:val="010101"/>
          <w:sz w:val="20"/>
        </w:rPr>
        <w:t>nq, </w:t>
      </w:r>
      <w:r>
        <w:rPr>
          <w:i/>
          <w:color w:val="010101"/>
          <w:w w:val="95"/>
          <w:sz w:val="20"/>
        </w:rPr>
        <w:t>n </w:t>
      </w:r>
      <w:r>
        <w:rPr>
          <w:rFonts w:ascii="Arial"/>
          <w:i/>
          <w:color w:val="010101"/>
          <w:w w:val="95"/>
          <w:position w:val="-3"/>
          <w:sz w:val="11"/>
        </w:rPr>
        <w:t>1 </w:t>
      </w:r>
      <w:r>
        <w:rPr>
          <w:i/>
          <w:color w:val="010101"/>
          <w:sz w:val="20"/>
        </w:rPr>
        <w:t>q, </w:t>
      </w:r>
      <w:r>
        <w:rPr>
          <w:color w:val="010101"/>
          <w:sz w:val="20"/>
        </w:rPr>
        <w:t>and  </w:t>
      </w:r>
      <w:r>
        <w:rPr>
          <w:i/>
          <w:color w:val="010101"/>
          <w:sz w:val="21"/>
        </w:rPr>
        <w:t>a, </w:t>
      </w:r>
      <w:r>
        <w:rPr>
          <w:color w:val="010101"/>
          <w:sz w:val="20"/>
        </w:rPr>
        <w:t>can  ali  be</w:t>
      </w:r>
      <w:r>
        <w:rPr>
          <w:color w:val="010101"/>
          <w:spacing w:val="-11"/>
          <w:sz w:val="20"/>
        </w:rPr>
        <w:t> </w:t>
      </w:r>
      <w:r>
        <w:rPr>
          <w:color w:val="010101"/>
          <w:sz w:val="20"/>
        </w:rPr>
        <w:t>expressed</w:t>
      </w:r>
    </w:p>
    <w:p>
      <w:pPr>
        <w:pStyle w:val="BodyText"/>
        <w:spacing w:line="212" w:lineRule="exact"/>
        <w:ind w:left="108" w:right="-16"/>
      </w:pPr>
      <w:r>
        <w:rPr/>
        <w:br w:type="column"/>
      </w:r>
      <w:r>
        <w:rPr>
          <w:color w:val="010101"/>
          <w:w w:val="105"/>
        </w:rPr>
        <w:t>as linear  combinations  of the</w:t>
      </w:r>
    </w:p>
    <w:p>
      <w:pPr>
        <w:spacing w:after="0" w:line="212" w:lineRule="exact"/>
        <w:sectPr>
          <w:type w:val="continuous"/>
          <w:pgSz w:w="7200" w:h="11340"/>
          <w:pgMar w:top="1100" w:bottom="0" w:left="640" w:right="540"/>
          <w:cols w:num="2" w:equalWidth="0">
            <w:col w:w="3151" w:space="40"/>
            <w:col w:w="2829"/>
          </w:cols>
        </w:sectPr>
      </w:pPr>
    </w:p>
    <w:p>
      <w:pPr>
        <w:pStyle w:val="BodyText"/>
        <w:spacing w:line="245" w:lineRule="exact"/>
        <w:ind w:left="127"/>
        <w:rPr>
          <w:rFonts w:ascii="Arial"/>
          <w:i/>
          <w:sz w:val="24"/>
        </w:rPr>
      </w:pPr>
      <w:r>
        <w:rPr>
          <w:color w:val="010101"/>
        </w:rPr>
        <w:t>values  of  </w:t>
      </w:r>
      <w:r>
        <w:rPr>
          <w:rFonts w:ascii="Arial"/>
          <w:i/>
          <w:color w:val="010101"/>
          <w:sz w:val="18"/>
        </w:rPr>
        <w:t>,p.  </w:t>
      </w:r>
      <w:r>
        <w:rPr>
          <w:color w:val="010101"/>
        </w:rPr>
        <w:t>lf  we  let  </w:t>
      </w:r>
      <w:r>
        <w:rPr>
          <w:i/>
          <w:color w:val="010101"/>
        </w:rPr>
        <w:t>F </w:t>
      </w:r>
      <w:r>
        <w:rPr>
          <w:color w:val="010101"/>
        </w:rPr>
        <w:t>(,p )  denote  such  a  linear  function  of </w:t>
      </w:r>
      <w:r>
        <w:rPr>
          <w:rFonts w:ascii="Arial"/>
          <w:i/>
          <w:color w:val="010101"/>
          <w:sz w:val="24"/>
        </w:rPr>
        <w:t>,p,</w:t>
      </w:r>
    </w:p>
    <w:p>
      <w:pPr>
        <w:pStyle w:val="BodyText"/>
        <w:spacing w:before="3"/>
        <w:ind w:left="127"/>
      </w:pPr>
      <w:r>
        <w:rPr>
          <w:color w:val="010101"/>
        </w:rPr>
        <w:t>it will  follow  from  the  property  of  linearity that</w:t>
      </w:r>
    </w:p>
    <w:p>
      <w:pPr>
        <w:spacing w:line="348" w:lineRule="exact" w:before="86"/>
        <w:ind w:left="127" w:right="0" w:firstLine="0"/>
        <w:jc w:val="left"/>
        <w:rPr>
          <w:i/>
          <w:sz w:val="20"/>
        </w:rPr>
      </w:pPr>
      <w:r>
        <w:rPr>
          <w:rFonts w:ascii="Arial" w:hAnsi="Arial"/>
          <w:i/>
          <w:color w:val="010101"/>
          <w:w w:val="99"/>
          <w:sz w:val="20"/>
        </w:rPr>
        <w:t>F</w:t>
      </w:r>
      <w:r>
        <w:rPr>
          <w:rFonts w:ascii="Arial" w:hAnsi="Arial"/>
          <w:i/>
          <w:color w:val="010101"/>
          <w:spacing w:val="-17"/>
          <w:sz w:val="20"/>
        </w:rPr>
        <w:t> </w:t>
      </w:r>
      <w:r>
        <w:rPr>
          <w:color w:val="010101"/>
          <w:w w:val="94"/>
          <w:sz w:val="17"/>
        </w:rPr>
        <w:t>(</w:t>
      </w:r>
      <w:r>
        <w:rPr>
          <w:color w:val="010101"/>
          <w:w w:val="94"/>
          <w:sz w:val="17"/>
        </w:rPr>
        <w:t>,Pz</w:t>
      </w:r>
      <w:r>
        <w:rPr>
          <w:color w:val="010101"/>
          <w:w w:val="94"/>
          <w:sz w:val="17"/>
          <w:u w:val="thick" w:color="000000"/>
        </w:rPr>
        <w:t>1z1</w:t>
      </w:r>
      <w:r>
        <w:rPr>
          <w:color w:val="010101"/>
          <w:spacing w:val="-19"/>
          <w:sz w:val="17"/>
        </w:rPr>
        <w:t> </w:t>
      </w:r>
      <w:r>
        <w:rPr>
          <w:color w:val="010101"/>
          <w:w w:val="145"/>
          <w:sz w:val="17"/>
        </w:rPr>
        <w:t>.</w:t>
      </w:r>
      <w:r>
        <w:rPr>
          <w:color w:val="010101"/>
          <w:spacing w:val="5"/>
          <w:w w:val="145"/>
          <w:sz w:val="17"/>
        </w:rPr>
        <w:t>.</w:t>
      </w:r>
      <w:r>
        <w:rPr>
          <w:color w:val="010101"/>
          <w:w w:val="102"/>
          <w:sz w:val="17"/>
        </w:rPr>
        <w:t>·z</w:t>
      </w:r>
      <w:r>
        <w:rPr>
          <w:color w:val="010101"/>
          <w:spacing w:val="-33"/>
          <w:w w:val="103"/>
          <w:sz w:val="17"/>
        </w:rPr>
        <w:t>,</w:t>
      </w:r>
      <w:r>
        <w:rPr>
          <w:color w:val="010101"/>
          <w:w w:val="112"/>
          <w:sz w:val="17"/>
        </w:rPr>
        <w:t>,.)</w:t>
      </w:r>
      <w:r>
        <w:rPr>
          <w:color w:val="010101"/>
          <w:spacing w:val="-1"/>
          <w:sz w:val="17"/>
        </w:rPr>
        <w:t> </w:t>
      </w:r>
      <w:r>
        <w:rPr>
          <w:color w:val="010101"/>
          <w:w w:val="102"/>
          <w:sz w:val="22"/>
        </w:rPr>
        <w:t>=</w:t>
      </w:r>
      <w:r>
        <w:rPr>
          <w:color w:val="010101"/>
          <w:sz w:val="22"/>
        </w:rPr>
        <w:t> </w:t>
      </w:r>
      <w:r>
        <w:rPr>
          <w:color w:val="010101"/>
          <w:spacing w:val="-26"/>
          <w:sz w:val="22"/>
        </w:rPr>
        <w:t> </w:t>
      </w:r>
      <w:r>
        <w:rPr>
          <w:rFonts w:ascii="Arial" w:hAnsi="Arial"/>
          <w:i/>
          <w:color w:val="010101"/>
          <w:w w:val="102"/>
          <w:sz w:val="20"/>
        </w:rPr>
        <w:t>F</w:t>
      </w:r>
      <w:r>
        <w:rPr>
          <w:rFonts w:ascii="Arial" w:hAnsi="Arial"/>
          <w:i/>
          <w:color w:val="010101"/>
          <w:spacing w:val="-6"/>
          <w:sz w:val="20"/>
        </w:rPr>
        <w:t> </w:t>
      </w:r>
      <w:r>
        <w:rPr>
          <w:rFonts w:ascii="Arial" w:hAnsi="Arial"/>
          <w:color w:val="010101"/>
          <w:w w:val="88"/>
          <w:sz w:val="20"/>
        </w:rPr>
        <w:t>(</w:t>
      </w:r>
      <w:r>
        <w:rPr>
          <w:rFonts w:ascii="Arial" w:hAnsi="Arial"/>
          <w:color w:val="010101"/>
          <w:spacing w:val="3"/>
          <w:sz w:val="20"/>
        </w:rPr>
        <w:t> </w:t>
      </w:r>
      <w:r>
        <w:rPr>
          <w:rFonts w:ascii="Arial" w:hAnsi="Arial"/>
          <w:b/>
          <w:i/>
          <w:color w:val="010101"/>
          <w:spacing w:val="25"/>
          <w:w w:val="126"/>
          <w:sz w:val="31"/>
        </w:rPr>
        <w:t>L</w:t>
      </w:r>
      <w:r>
        <w:rPr>
          <w:i/>
          <w:color w:val="010101"/>
          <w:spacing w:val="12"/>
          <w:w w:val="74"/>
          <w:sz w:val="20"/>
        </w:rPr>
        <w:t>t</w:t>
      </w:r>
      <w:r>
        <w:rPr>
          <w:i/>
          <w:color w:val="010101"/>
          <w:w w:val="73"/>
          <w:sz w:val="20"/>
        </w:rPr>
        <w:t>Pz1</w:t>
      </w:r>
      <w:r>
        <w:rPr>
          <w:i/>
          <w:color w:val="010101"/>
          <w:sz w:val="20"/>
        </w:rPr>
        <w:t> </w:t>
      </w:r>
      <w:r>
        <w:rPr>
          <w:i/>
          <w:color w:val="010101"/>
          <w:spacing w:val="-7"/>
          <w:sz w:val="20"/>
        </w:rPr>
        <w:t> </w:t>
      </w:r>
      <w:r>
        <w:rPr>
          <w:color w:val="010101"/>
          <w:w w:val="266"/>
          <w:sz w:val="20"/>
        </w:rPr>
        <w:t>-</w:t>
      </w:r>
      <w:r>
        <w:rPr>
          <w:color w:val="010101"/>
          <w:spacing w:val="23"/>
          <w:sz w:val="20"/>
        </w:rPr>
        <w:t> </w:t>
      </w:r>
      <w:r>
        <w:rPr>
          <w:rFonts w:ascii="Arial" w:hAnsi="Arial"/>
          <w:b/>
          <w:i/>
          <w:color w:val="010101"/>
          <w:w w:val="124"/>
          <w:sz w:val="31"/>
        </w:rPr>
        <w:t>L</w:t>
      </w:r>
      <w:r>
        <w:rPr>
          <w:rFonts w:ascii="Arial" w:hAnsi="Arial"/>
          <w:b/>
          <w:i/>
          <w:color w:val="010101"/>
          <w:spacing w:val="-32"/>
          <w:sz w:val="31"/>
        </w:rPr>
        <w:t> </w:t>
      </w:r>
      <w:r>
        <w:rPr>
          <w:color w:val="010101"/>
          <w:w w:val="84"/>
          <w:sz w:val="17"/>
        </w:rPr>
        <w:t>1Pz1z1</w:t>
      </w:r>
      <w:r>
        <w:rPr>
          <w:color w:val="010101"/>
          <w:spacing w:val="13"/>
          <w:sz w:val="17"/>
        </w:rPr>
        <w:t> </w:t>
      </w:r>
      <w:r>
        <w:rPr>
          <w:rFonts w:ascii="Arial" w:hAnsi="Arial"/>
          <w:color w:val="010101"/>
          <w:w w:val="106"/>
          <w:sz w:val="30"/>
        </w:rPr>
        <w:t>+</w:t>
      </w:r>
      <w:r>
        <w:rPr>
          <w:rFonts w:ascii="Arial" w:hAnsi="Arial"/>
          <w:color w:val="010101"/>
          <w:spacing w:val="-20"/>
          <w:sz w:val="30"/>
        </w:rPr>
        <w:t> </w:t>
      </w:r>
      <w:r>
        <w:rPr>
          <w:rFonts w:ascii="Arial" w:hAnsi="Arial"/>
          <w:color w:val="010101"/>
          <w:spacing w:val="18"/>
          <w:w w:val="81"/>
          <w:sz w:val="30"/>
        </w:rPr>
        <w:t>·</w:t>
      </w:r>
      <w:r>
        <w:rPr>
          <w:rFonts w:ascii="Arial" w:hAnsi="Arial"/>
          <w:color w:val="010101"/>
          <w:spacing w:val="14"/>
          <w:w w:val="81"/>
          <w:sz w:val="30"/>
        </w:rPr>
        <w:t>·</w:t>
      </w:r>
      <w:r>
        <w:rPr>
          <w:rFonts w:ascii="Arial" w:hAnsi="Arial"/>
          <w:color w:val="010101"/>
          <w:w w:val="81"/>
          <w:sz w:val="30"/>
        </w:rPr>
        <w:t>·</w:t>
      </w:r>
      <w:r>
        <w:rPr>
          <w:rFonts w:ascii="Arial" w:hAnsi="Arial"/>
          <w:color w:val="010101"/>
          <w:spacing w:val="-26"/>
          <w:sz w:val="30"/>
        </w:rPr>
        <w:t> </w:t>
      </w:r>
      <w:r>
        <w:rPr>
          <w:rFonts w:ascii="Arial" w:hAnsi="Arial"/>
          <w:color w:val="010101"/>
          <w:w w:val="101"/>
          <w:sz w:val="30"/>
        </w:rPr>
        <w:t>+</w:t>
      </w:r>
      <w:r>
        <w:rPr>
          <w:rFonts w:ascii="Arial" w:hAnsi="Arial"/>
          <w:color w:val="010101"/>
          <w:spacing w:val="-11"/>
          <w:sz w:val="30"/>
        </w:rPr>
        <w:t> </w:t>
      </w:r>
      <w:r>
        <w:rPr>
          <w:rFonts w:ascii="Arial" w:hAnsi="Arial"/>
          <w:color w:val="010101"/>
          <w:spacing w:val="15"/>
          <w:w w:val="73"/>
          <w:sz w:val="30"/>
        </w:rPr>
        <w:t>(</w:t>
      </w:r>
      <w:r>
        <w:rPr>
          <w:color w:val="010101"/>
          <w:w w:val="156"/>
          <w:sz w:val="20"/>
        </w:rPr>
        <w:t>-1</w:t>
      </w:r>
      <w:r>
        <w:rPr>
          <w:color w:val="010101"/>
          <w:spacing w:val="10"/>
          <w:w w:val="156"/>
          <w:sz w:val="20"/>
        </w:rPr>
        <w:t>)</w:t>
      </w:r>
      <w:r>
        <w:rPr>
          <w:i/>
          <w:color w:val="010101"/>
          <w:w w:val="67"/>
          <w:sz w:val="20"/>
        </w:rPr>
        <w:t>m+I</w:t>
      </w:r>
      <w:r>
        <w:rPr>
          <w:i/>
          <w:color w:val="010101"/>
          <w:spacing w:val="-9"/>
          <w:sz w:val="20"/>
        </w:rPr>
        <w:t> </w:t>
      </w:r>
      <w:r>
        <w:rPr>
          <w:color w:val="010101"/>
          <w:w w:val="87"/>
          <w:sz w:val="17"/>
        </w:rPr>
        <w:t>tPz1z1·</w:t>
      </w:r>
      <w:r>
        <w:rPr>
          <w:color w:val="010101"/>
          <w:spacing w:val="-19"/>
          <w:sz w:val="17"/>
        </w:rPr>
        <w:t> </w:t>
      </w:r>
      <w:r>
        <w:rPr>
          <w:i/>
          <w:color w:val="010101"/>
          <w:w w:val="125"/>
          <w:sz w:val="17"/>
        </w:rPr>
        <w:t>.</w:t>
      </w:r>
      <w:r>
        <w:rPr>
          <w:i/>
          <w:color w:val="010101"/>
          <w:spacing w:val="-13"/>
          <w:w w:val="125"/>
          <w:sz w:val="17"/>
        </w:rPr>
        <w:t>.</w:t>
      </w:r>
      <w:r>
        <w:rPr>
          <w:i/>
          <w:color w:val="010101"/>
          <w:w w:val="137"/>
          <w:sz w:val="20"/>
        </w:rPr>
        <w:t>z</w:t>
      </w:r>
      <w:r>
        <w:rPr>
          <w:i/>
          <w:color w:val="010101"/>
          <w:spacing w:val="-8"/>
          <w:w w:val="137"/>
          <w:sz w:val="20"/>
        </w:rPr>
        <w:t>.</w:t>
      </w:r>
      <w:r>
        <w:rPr>
          <w:i/>
          <w:color w:val="010101"/>
          <w:w w:val="60"/>
          <w:sz w:val="20"/>
        </w:rPr>
        <w:t>)</w:t>
      </w:r>
    </w:p>
    <w:p>
      <w:pPr>
        <w:spacing w:line="369" w:lineRule="exact" w:before="0"/>
        <w:ind w:left="237" w:right="279" w:firstLine="0"/>
        <w:jc w:val="center"/>
        <w:rPr>
          <w:rFonts w:ascii="Arial" w:hAnsi="Arial"/>
          <w:sz w:val="27"/>
        </w:rPr>
      </w:pPr>
      <w:r>
        <w:rPr>
          <w:color w:val="010101"/>
          <w:w w:val="89"/>
          <w:sz w:val="26"/>
        </w:rPr>
        <w:t>=</w:t>
      </w:r>
      <w:r>
        <w:rPr>
          <w:color w:val="010101"/>
          <w:sz w:val="26"/>
        </w:rPr>
        <w:t> </w:t>
      </w:r>
      <w:r>
        <w:rPr>
          <w:color w:val="010101"/>
          <w:spacing w:val="-29"/>
          <w:sz w:val="26"/>
        </w:rPr>
        <w:t> </w:t>
      </w:r>
      <w:r>
        <w:rPr>
          <w:rFonts w:ascii="Arial" w:hAnsi="Arial"/>
          <w:i/>
          <w:color w:val="010101"/>
          <w:w w:val="99"/>
          <w:sz w:val="20"/>
        </w:rPr>
        <w:t>F</w:t>
      </w:r>
      <w:r>
        <w:rPr>
          <w:rFonts w:ascii="Arial" w:hAnsi="Arial"/>
          <w:i/>
          <w:color w:val="010101"/>
          <w:spacing w:val="-9"/>
          <w:sz w:val="20"/>
        </w:rPr>
        <w:t> </w:t>
      </w:r>
      <w:r>
        <w:rPr>
          <w:rFonts w:ascii="Arial" w:hAnsi="Arial"/>
          <w:color w:val="010101"/>
          <w:spacing w:val="15"/>
          <w:w w:val="111"/>
          <w:sz w:val="20"/>
        </w:rPr>
        <w:t>(</w:t>
      </w:r>
      <w:r>
        <w:rPr>
          <w:i/>
          <w:color w:val="010101"/>
          <w:w w:val="111"/>
          <w:sz w:val="33"/>
        </w:rPr>
        <w:t>L</w:t>
      </w:r>
      <w:r>
        <w:rPr>
          <w:i/>
          <w:color w:val="010101"/>
          <w:spacing w:val="2"/>
          <w:sz w:val="33"/>
        </w:rPr>
        <w:t> </w:t>
      </w:r>
      <w:r>
        <w:rPr>
          <w:color w:val="010101"/>
          <w:w w:val="91"/>
          <w:sz w:val="17"/>
        </w:rPr>
        <w:t>tPz1</w:t>
      </w:r>
      <w:r>
        <w:rPr>
          <w:color w:val="010101"/>
          <w:spacing w:val="-12"/>
          <w:sz w:val="17"/>
        </w:rPr>
        <w:t> </w:t>
      </w:r>
      <w:r>
        <w:rPr>
          <w:color w:val="010101"/>
          <w:sz w:val="17"/>
        </w:rPr>
        <w:t>) </w:t>
      </w:r>
      <w:r>
        <w:rPr>
          <w:color w:val="010101"/>
          <w:spacing w:val="19"/>
          <w:sz w:val="17"/>
        </w:rPr>
        <w:t> </w:t>
      </w:r>
      <w:r>
        <w:rPr>
          <w:color w:val="010101"/>
          <w:w w:val="314"/>
          <w:sz w:val="17"/>
        </w:rPr>
        <w:t>-</w:t>
      </w:r>
      <w:r>
        <w:rPr>
          <w:color w:val="010101"/>
          <w:spacing w:val="12"/>
          <w:sz w:val="17"/>
        </w:rPr>
        <w:t> </w:t>
      </w:r>
      <w:r>
        <w:rPr>
          <w:i/>
          <w:color w:val="010101"/>
          <w:w w:val="86"/>
          <w:sz w:val="21"/>
        </w:rPr>
        <w:t>F</w:t>
      </w:r>
      <w:r>
        <w:rPr>
          <w:i/>
          <w:color w:val="010101"/>
          <w:spacing w:val="4"/>
          <w:sz w:val="21"/>
        </w:rPr>
        <w:t> </w:t>
      </w:r>
      <w:r>
        <w:rPr>
          <w:color w:val="010101"/>
          <w:w w:val="86"/>
          <w:sz w:val="21"/>
        </w:rPr>
        <w:t>(</w:t>
      </w:r>
      <w:r>
        <w:rPr>
          <w:color w:val="010101"/>
          <w:spacing w:val="-21"/>
          <w:sz w:val="21"/>
        </w:rPr>
        <w:t> </w:t>
      </w:r>
      <w:r>
        <w:rPr>
          <w:i/>
          <w:color w:val="010101"/>
          <w:w w:val="111"/>
          <w:sz w:val="33"/>
        </w:rPr>
        <w:t>L</w:t>
      </w:r>
      <w:r>
        <w:rPr>
          <w:i/>
          <w:color w:val="010101"/>
          <w:spacing w:val="2"/>
          <w:sz w:val="33"/>
        </w:rPr>
        <w:t> </w:t>
      </w:r>
      <w:r>
        <w:rPr>
          <w:color w:val="010101"/>
          <w:w w:val="92"/>
          <w:sz w:val="17"/>
        </w:rPr>
        <w:t>tPz1z1</w:t>
      </w:r>
      <w:r>
        <w:rPr>
          <w:color w:val="010101"/>
          <w:w w:val="92"/>
          <w:sz w:val="17"/>
        </w:rPr>
        <w:t>)</w:t>
      </w:r>
      <w:r>
        <w:rPr>
          <w:color w:val="010101"/>
          <w:sz w:val="17"/>
        </w:rPr>
        <w:t> </w:t>
      </w:r>
      <w:r>
        <w:rPr>
          <w:color w:val="010101"/>
          <w:spacing w:val="17"/>
          <w:sz w:val="17"/>
        </w:rPr>
        <w:t> </w:t>
      </w:r>
      <w:r>
        <w:rPr>
          <w:rFonts w:ascii="Arial" w:hAnsi="Arial"/>
          <w:color w:val="010101"/>
          <w:w w:val="106"/>
          <w:sz w:val="30"/>
        </w:rPr>
        <w:t>+</w:t>
      </w:r>
      <w:r>
        <w:rPr>
          <w:rFonts w:ascii="Arial" w:hAnsi="Arial"/>
          <w:color w:val="010101"/>
          <w:spacing w:val="-2"/>
          <w:sz w:val="30"/>
        </w:rPr>
        <w:t> </w:t>
      </w:r>
      <w:r>
        <w:rPr>
          <w:rFonts w:ascii="Arial" w:hAnsi="Arial"/>
          <w:color w:val="010101"/>
          <w:spacing w:val="6"/>
          <w:w w:val="93"/>
          <w:sz w:val="30"/>
        </w:rPr>
        <w:t>·</w:t>
      </w:r>
      <w:r>
        <w:rPr>
          <w:rFonts w:ascii="Arial" w:hAnsi="Arial"/>
          <w:color w:val="010101"/>
          <w:w w:val="81"/>
          <w:sz w:val="30"/>
        </w:rPr>
        <w:t>'</w:t>
      </w:r>
      <w:r>
        <w:rPr>
          <w:rFonts w:ascii="Arial" w:hAnsi="Arial"/>
          <w:color w:val="010101"/>
          <w:spacing w:val="-34"/>
          <w:sz w:val="30"/>
        </w:rPr>
        <w:t> </w:t>
      </w:r>
      <w:r>
        <w:rPr>
          <w:rFonts w:ascii="Arial" w:hAnsi="Arial"/>
          <w:color w:val="010101"/>
          <w:w w:val="81"/>
          <w:sz w:val="30"/>
        </w:rPr>
        <w:t>·</w:t>
      </w:r>
      <w:r>
        <w:rPr>
          <w:rFonts w:ascii="Arial" w:hAnsi="Arial"/>
          <w:color w:val="010101"/>
          <w:spacing w:val="-29"/>
          <w:sz w:val="30"/>
        </w:rPr>
        <w:t> </w:t>
      </w:r>
      <w:r>
        <w:rPr>
          <w:rFonts w:ascii="Arial" w:hAnsi="Arial"/>
          <w:color w:val="010101"/>
          <w:w w:val="106"/>
          <w:sz w:val="30"/>
        </w:rPr>
        <w:t>+</w:t>
      </w:r>
      <w:r>
        <w:rPr>
          <w:rFonts w:ascii="Arial" w:hAnsi="Arial"/>
          <w:color w:val="010101"/>
          <w:spacing w:val="9"/>
          <w:sz w:val="30"/>
        </w:rPr>
        <w:t> </w:t>
      </w:r>
      <w:r>
        <w:rPr>
          <w:rFonts w:ascii="Arial" w:hAnsi="Arial"/>
          <w:color w:val="010101"/>
          <w:w w:val="68"/>
          <w:sz w:val="30"/>
        </w:rPr>
        <w:t>(</w:t>
      </w:r>
      <w:r>
        <w:rPr>
          <w:rFonts w:ascii="Arial" w:hAnsi="Arial"/>
          <w:color w:val="010101"/>
          <w:spacing w:val="-63"/>
          <w:sz w:val="30"/>
        </w:rPr>
        <w:t> </w:t>
      </w:r>
      <w:r>
        <w:rPr>
          <w:rFonts w:ascii="Arial" w:hAnsi="Arial"/>
          <w:b/>
          <w:color w:val="010101"/>
          <w:w w:val="158"/>
          <w:sz w:val="19"/>
        </w:rPr>
        <w:t>-1</w:t>
      </w:r>
      <w:r>
        <w:rPr>
          <w:rFonts w:ascii="Arial" w:hAnsi="Arial"/>
          <w:b/>
          <w:color w:val="010101"/>
          <w:spacing w:val="7"/>
          <w:w w:val="158"/>
          <w:sz w:val="19"/>
        </w:rPr>
        <w:t>)</w:t>
      </w:r>
      <w:r>
        <w:rPr>
          <w:i/>
          <w:color w:val="010101"/>
          <w:w w:val="67"/>
          <w:sz w:val="21"/>
        </w:rPr>
        <w:t>m+l</w:t>
      </w:r>
      <w:r>
        <w:rPr>
          <w:i/>
          <w:color w:val="010101"/>
          <w:spacing w:val="-34"/>
          <w:sz w:val="21"/>
        </w:rPr>
        <w:t> </w:t>
      </w:r>
      <w:r>
        <w:rPr>
          <w:i/>
          <w:color w:val="010101"/>
          <w:w w:val="86"/>
          <w:sz w:val="21"/>
        </w:rPr>
        <w:t>F</w:t>
      </w:r>
      <w:r>
        <w:rPr>
          <w:i/>
          <w:color w:val="010101"/>
          <w:spacing w:val="8"/>
          <w:sz w:val="21"/>
        </w:rPr>
        <w:t> </w:t>
      </w:r>
      <w:r>
        <w:rPr>
          <w:color w:val="010101"/>
          <w:w w:val="102"/>
          <w:sz w:val="17"/>
        </w:rPr>
        <w:t>(</w:t>
      </w:r>
      <w:r>
        <w:rPr>
          <w:color w:val="010101"/>
          <w:w w:val="102"/>
          <w:sz w:val="17"/>
        </w:rPr>
        <w:t>ePz1zr•z</w:t>
      </w:r>
      <w:r>
        <w:rPr>
          <w:color w:val="010101"/>
          <w:spacing w:val="-27"/>
          <w:sz w:val="17"/>
        </w:rPr>
        <w:t> </w:t>
      </w:r>
      <w:r>
        <w:rPr>
          <w:color w:val="010101"/>
          <w:w w:val="80"/>
          <w:position w:val="-2"/>
          <w:sz w:val="8"/>
        </w:rPr>
        <w:t>1</w:t>
      </w:r>
      <w:r>
        <w:rPr>
          <w:color w:val="010101"/>
          <w:spacing w:val="-14"/>
          <w:w w:val="80"/>
          <w:position w:val="-2"/>
          <w:sz w:val="8"/>
        </w:rPr>
        <w:t>1</w:t>
      </w:r>
      <w:r>
        <w:rPr>
          <w:rFonts w:ascii="Arial" w:hAnsi="Arial"/>
          <w:color w:val="010101"/>
          <w:w w:val="106"/>
          <w:sz w:val="27"/>
        </w:rPr>
        <w:t>J</w:t>
      </w:r>
    </w:p>
    <w:p>
      <w:pPr>
        <w:spacing w:line="355" w:lineRule="exact" w:before="0"/>
        <w:ind w:left="252" w:right="279" w:firstLine="0"/>
        <w:jc w:val="center"/>
        <w:rPr>
          <w:rFonts w:ascii="Arial" w:hAnsi="Arial"/>
          <w:sz w:val="26"/>
        </w:rPr>
      </w:pPr>
      <w:r>
        <w:rPr>
          <w:color w:val="010101"/>
          <w:w w:val="86"/>
          <w:sz w:val="26"/>
        </w:rPr>
        <w:t>=</w:t>
      </w:r>
      <w:r>
        <w:rPr>
          <w:color w:val="010101"/>
          <w:sz w:val="26"/>
        </w:rPr>
        <w:t> </w:t>
      </w:r>
      <w:r>
        <w:rPr>
          <w:color w:val="010101"/>
          <w:spacing w:val="4"/>
          <w:sz w:val="26"/>
        </w:rPr>
        <w:t> </w:t>
      </w:r>
      <w:r>
        <w:rPr>
          <w:rFonts w:ascii="Arial" w:hAnsi="Arial"/>
          <w:b/>
          <w:i/>
          <w:color w:val="010101"/>
          <w:w w:val="120"/>
          <w:sz w:val="31"/>
        </w:rPr>
        <w:t>L</w:t>
      </w:r>
      <w:r>
        <w:rPr>
          <w:rFonts w:ascii="Arial" w:hAnsi="Arial"/>
          <w:b/>
          <w:i/>
          <w:color w:val="010101"/>
          <w:spacing w:val="-39"/>
          <w:sz w:val="31"/>
        </w:rPr>
        <w:t> </w:t>
      </w:r>
      <w:r>
        <w:rPr>
          <w:color w:val="010101"/>
          <w:w w:val="89"/>
          <w:sz w:val="20"/>
        </w:rPr>
        <w:t>F</w:t>
      </w:r>
      <w:r>
        <w:rPr>
          <w:color w:val="010101"/>
          <w:w w:val="89"/>
          <w:sz w:val="20"/>
        </w:rPr>
        <w:t>(</w:t>
      </w:r>
      <w:r>
        <w:rPr>
          <w:color w:val="010101"/>
          <w:w w:val="89"/>
          <w:sz w:val="20"/>
        </w:rPr>
        <w:t>ePx1</w:t>
      </w:r>
      <w:r>
        <w:rPr>
          <w:color w:val="010101"/>
          <w:spacing w:val="-21"/>
          <w:sz w:val="20"/>
        </w:rPr>
        <w:t> </w:t>
      </w:r>
      <w:r>
        <w:rPr>
          <w:color w:val="010101"/>
          <w:w w:val="83"/>
          <w:sz w:val="20"/>
        </w:rPr>
        <w:t>)</w:t>
      </w:r>
      <w:r>
        <w:rPr>
          <w:color w:val="010101"/>
          <w:sz w:val="20"/>
        </w:rPr>
        <w:t> </w:t>
      </w:r>
      <w:r>
        <w:rPr>
          <w:color w:val="010101"/>
          <w:spacing w:val="-9"/>
          <w:sz w:val="20"/>
        </w:rPr>
        <w:t> </w:t>
      </w:r>
      <w:r>
        <w:rPr>
          <w:color w:val="010101"/>
          <w:w w:val="266"/>
          <w:sz w:val="20"/>
        </w:rPr>
        <w:t>-</w:t>
      </w:r>
      <w:r>
        <w:rPr>
          <w:color w:val="010101"/>
          <w:spacing w:val="19"/>
          <w:sz w:val="20"/>
        </w:rPr>
        <w:t> </w:t>
      </w:r>
      <w:r>
        <w:rPr>
          <w:rFonts w:ascii="Arial" w:hAnsi="Arial"/>
          <w:b/>
          <w:i/>
          <w:color w:val="010101"/>
          <w:w w:val="124"/>
          <w:sz w:val="31"/>
        </w:rPr>
        <w:t>L</w:t>
      </w:r>
      <w:r>
        <w:rPr>
          <w:rFonts w:ascii="Arial" w:hAnsi="Arial"/>
          <w:b/>
          <w:i/>
          <w:color w:val="010101"/>
          <w:spacing w:val="-40"/>
          <w:sz w:val="31"/>
        </w:rPr>
        <w:t> </w:t>
      </w:r>
      <w:r>
        <w:rPr>
          <w:i/>
          <w:color w:val="010101"/>
          <w:w w:val="85"/>
          <w:sz w:val="20"/>
        </w:rPr>
        <w:t>F</w:t>
      </w:r>
      <w:r>
        <w:rPr>
          <w:i/>
          <w:color w:val="010101"/>
          <w:spacing w:val="13"/>
          <w:sz w:val="20"/>
        </w:rPr>
        <w:t> </w:t>
      </w:r>
      <w:r>
        <w:rPr>
          <w:i/>
          <w:color w:val="010101"/>
          <w:w w:val="64"/>
          <w:sz w:val="20"/>
        </w:rPr>
        <w:t>(</w:t>
      </w:r>
      <w:r>
        <w:rPr>
          <w:i/>
          <w:color w:val="010101"/>
          <w:spacing w:val="-22"/>
          <w:sz w:val="20"/>
        </w:rPr>
        <w:t> </w:t>
      </w:r>
      <w:r>
        <w:rPr>
          <w:i/>
          <w:color w:val="010101"/>
          <w:w w:val="77"/>
          <w:sz w:val="20"/>
        </w:rPr>
        <w:t>iPz</w:t>
      </w:r>
      <w:r>
        <w:rPr>
          <w:i/>
          <w:color w:val="010101"/>
          <w:spacing w:val="6"/>
          <w:w w:val="77"/>
          <w:sz w:val="20"/>
        </w:rPr>
        <w:t>1</w:t>
      </w:r>
      <w:r>
        <w:rPr>
          <w:i/>
          <w:color w:val="010101"/>
          <w:w w:val="101"/>
          <w:sz w:val="20"/>
        </w:rPr>
        <w:t>z,</w:t>
      </w:r>
      <w:r>
        <w:rPr>
          <w:i/>
          <w:color w:val="010101"/>
          <w:spacing w:val="-27"/>
          <w:sz w:val="20"/>
        </w:rPr>
        <w:t> </w:t>
      </w:r>
      <w:r>
        <w:rPr>
          <w:i/>
          <w:color w:val="010101"/>
          <w:w w:val="64"/>
          <w:sz w:val="20"/>
        </w:rPr>
        <w:t>)</w:t>
      </w:r>
      <w:r>
        <w:rPr>
          <w:i/>
          <w:color w:val="010101"/>
          <w:sz w:val="20"/>
        </w:rPr>
        <w:t> </w:t>
      </w:r>
      <w:r>
        <w:rPr>
          <w:i/>
          <w:color w:val="010101"/>
          <w:spacing w:val="-7"/>
          <w:sz w:val="20"/>
        </w:rPr>
        <w:t> </w:t>
      </w:r>
      <w:r>
        <w:rPr>
          <w:rFonts w:ascii="Arial" w:hAnsi="Arial"/>
          <w:color w:val="010101"/>
          <w:w w:val="106"/>
          <w:sz w:val="30"/>
        </w:rPr>
        <w:t>+</w:t>
      </w:r>
      <w:r>
        <w:rPr>
          <w:rFonts w:ascii="Arial" w:hAnsi="Arial"/>
          <w:color w:val="010101"/>
          <w:spacing w:val="2"/>
          <w:sz w:val="30"/>
        </w:rPr>
        <w:t> </w:t>
      </w:r>
      <w:r>
        <w:rPr>
          <w:rFonts w:ascii="Arial" w:hAnsi="Arial"/>
          <w:color w:val="010101"/>
          <w:spacing w:val="11"/>
          <w:w w:val="81"/>
          <w:sz w:val="30"/>
        </w:rPr>
        <w:t>·</w:t>
      </w:r>
      <w:r>
        <w:rPr>
          <w:rFonts w:ascii="Arial" w:hAnsi="Arial"/>
          <w:color w:val="010101"/>
          <w:spacing w:val="18"/>
          <w:w w:val="81"/>
          <w:sz w:val="30"/>
        </w:rPr>
        <w:t>·</w:t>
      </w:r>
      <w:r>
        <w:rPr>
          <w:rFonts w:ascii="Arial" w:hAnsi="Arial"/>
          <w:color w:val="010101"/>
          <w:w w:val="93"/>
          <w:sz w:val="30"/>
        </w:rPr>
        <w:t>·</w:t>
      </w:r>
      <w:r>
        <w:rPr>
          <w:rFonts w:ascii="Arial" w:hAnsi="Arial"/>
          <w:color w:val="010101"/>
          <w:spacing w:val="-41"/>
          <w:sz w:val="30"/>
        </w:rPr>
        <w:t> </w:t>
      </w:r>
      <w:r>
        <w:rPr>
          <w:rFonts w:ascii="Arial" w:hAnsi="Arial"/>
          <w:color w:val="010101"/>
          <w:w w:val="106"/>
          <w:sz w:val="30"/>
        </w:rPr>
        <w:t>+</w:t>
      </w:r>
      <w:r>
        <w:rPr>
          <w:rFonts w:ascii="Arial" w:hAnsi="Arial"/>
          <w:color w:val="010101"/>
          <w:spacing w:val="-6"/>
          <w:sz w:val="30"/>
        </w:rPr>
        <w:t> </w:t>
      </w:r>
      <w:r>
        <w:rPr>
          <w:color w:val="010101"/>
          <w:w w:val="110"/>
          <w:sz w:val="20"/>
        </w:rPr>
        <w:t>(</w:t>
      </w:r>
      <w:r>
        <w:rPr>
          <w:color w:val="010101"/>
          <w:w w:val="110"/>
          <w:sz w:val="20"/>
        </w:rPr>
        <w:t>-l</w:t>
      </w:r>
      <w:r>
        <w:rPr>
          <w:color w:val="010101"/>
          <w:w w:val="110"/>
          <w:sz w:val="20"/>
        </w:rPr>
        <w:t>)</w:t>
      </w:r>
      <w:r>
        <w:rPr>
          <w:color w:val="010101"/>
          <w:w w:val="110"/>
          <w:sz w:val="20"/>
        </w:rPr>
        <w:t>m+IF</w:t>
      </w:r>
      <w:r>
        <w:rPr>
          <w:color w:val="010101"/>
          <w:w w:val="110"/>
          <w:sz w:val="20"/>
        </w:rPr>
        <w:t>(</w:t>
      </w:r>
      <w:r>
        <w:rPr>
          <w:color w:val="010101"/>
          <w:w w:val="110"/>
          <w:sz w:val="20"/>
        </w:rPr>
        <w:t>,P:r</w:t>
      </w:r>
      <w:r>
        <w:rPr>
          <w:color w:val="010101"/>
          <w:spacing w:val="-22"/>
          <w:sz w:val="20"/>
        </w:rPr>
        <w:t> </w:t>
      </w:r>
      <w:r>
        <w:rPr>
          <w:rFonts w:ascii="Arial" w:hAnsi="Arial"/>
          <w:color w:val="010101"/>
          <w:spacing w:val="-25"/>
          <w:w w:val="146"/>
          <w:position w:val="-3"/>
          <w:sz w:val="10"/>
        </w:rPr>
        <w:t>1</w:t>
      </w:r>
      <w:r>
        <w:rPr>
          <w:rFonts w:ascii="Arial" w:hAnsi="Arial"/>
          <w:color w:val="010101"/>
          <w:w w:val="127"/>
          <w:sz w:val="10"/>
        </w:rPr>
        <w:t>z</w:t>
      </w:r>
      <w:r>
        <w:rPr>
          <w:rFonts w:ascii="Arial" w:hAnsi="Arial"/>
          <w:color w:val="010101"/>
          <w:spacing w:val="1"/>
          <w:w w:val="127"/>
          <w:sz w:val="10"/>
        </w:rPr>
        <w:t>1</w:t>
      </w:r>
      <w:r>
        <w:rPr>
          <w:rFonts w:ascii="Arial" w:hAnsi="Arial"/>
          <w:color w:val="010101"/>
          <w:w w:val="167"/>
          <w:sz w:val="10"/>
        </w:rPr>
        <w:t>..</w:t>
      </w:r>
      <w:r>
        <w:rPr>
          <w:rFonts w:ascii="Arial" w:hAnsi="Arial"/>
          <w:color w:val="010101"/>
          <w:spacing w:val="-15"/>
          <w:w w:val="167"/>
          <w:sz w:val="10"/>
        </w:rPr>
        <w:t>.</w:t>
      </w:r>
      <w:r>
        <w:rPr>
          <w:color w:val="010101"/>
          <w:spacing w:val="7"/>
          <w:w w:val="72"/>
          <w:sz w:val="20"/>
        </w:rPr>
        <w:t>z</w:t>
      </w:r>
      <w:r>
        <w:rPr>
          <w:color w:val="010101"/>
          <w:w w:val="75"/>
          <w:position w:val="-3"/>
          <w:sz w:val="8"/>
        </w:rPr>
        <w:t>1</w:t>
      </w:r>
      <w:r>
        <w:rPr>
          <w:color w:val="010101"/>
          <w:spacing w:val="-14"/>
          <w:w w:val="75"/>
          <w:position w:val="-3"/>
          <w:sz w:val="8"/>
        </w:rPr>
        <w:t>1</w:t>
      </w:r>
      <w:r>
        <w:rPr>
          <w:rFonts w:ascii="Arial" w:hAnsi="Arial"/>
          <w:color w:val="010101"/>
          <w:w w:val="103"/>
          <w:sz w:val="26"/>
        </w:rPr>
        <w:t>J,</w:t>
      </w:r>
    </w:p>
    <w:p>
      <w:pPr>
        <w:pStyle w:val="BodyText"/>
        <w:spacing w:line="238" w:lineRule="exact" w:before="139"/>
        <w:ind w:left="116" w:right="99" w:firstLine="3"/>
      </w:pPr>
      <w:r>
        <w:rPr>
          <w:color w:val="010101"/>
          <w:w w:val="101"/>
        </w:rPr>
        <w:t>Hence, </w:t>
      </w:r>
      <w:r>
        <w:rPr>
          <w:color w:val="010101"/>
          <w:w w:val="107"/>
        </w:rPr>
        <w:t>any </w:t>
      </w:r>
      <w:r>
        <w:rPr>
          <w:color w:val="010101"/>
          <w:w w:val="105"/>
        </w:rPr>
        <w:t>last-survivor </w:t>
      </w:r>
      <w:r>
        <w:rPr>
          <w:color w:val="010101"/>
          <w:w w:val="104"/>
        </w:rPr>
        <w:t>function, </w:t>
      </w:r>
      <w:r>
        <w:rPr>
          <w:color w:val="010101"/>
          <w:w w:val="177"/>
          <w:sz w:val="14"/>
        </w:rPr>
        <w:t>Fs</w:t>
      </w:r>
      <w:r>
        <w:rPr>
          <w:color w:val="010101"/>
          <w:w w:val="177"/>
          <w:position w:val="-4"/>
          <w:sz w:val="11"/>
        </w:rPr>
        <w:t>1</w:t>
      </w:r>
      <w:r>
        <w:rPr>
          <w:color w:val="010101"/>
          <w:w w:val="177"/>
          <w:sz w:val="14"/>
        </w:rPr>
        <w:t>z</w:t>
      </w:r>
      <w:r>
        <w:rPr>
          <w:color w:val="010101"/>
          <w:w w:val="177"/>
          <w:position w:val="-3"/>
          <w:sz w:val="11"/>
        </w:rPr>
        <w:t>1</w:t>
      </w:r>
      <w:r>
        <w:rPr>
          <w:color w:val="010101"/>
          <w:w w:val="177"/>
          <w:sz w:val="11"/>
        </w:rPr>
        <w:t>...</w:t>
      </w:r>
      <w:r>
        <w:rPr>
          <w:color w:val="010101"/>
          <w:w w:val="177"/>
          <w:sz w:val="14"/>
          <w:u w:val="thick" w:color="000000"/>
        </w:rPr>
        <w:t>z. </w:t>
      </w:r>
      <w:r>
        <w:rPr>
          <w:color w:val="010101"/>
          <w:w w:val="156"/>
          <w:sz w:val="14"/>
        </w:rPr>
        <w:t>, </w:t>
      </w:r>
      <w:r>
        <w:rPr>
          <w:color w:val="010101"/>
          <w:w w:val="100"/>
        </w:rPr>
        <w:t>which </w:t>
      </w:r>
      <w:r>
        <w:rPr>
          <w:color w:val="010101"/>
          <w:w w:val="106"/>
        </w:rPr>
        <w:t>can </w:t>
      </w:r>
      <w:r>
        <w:rPr>
          <w:color w:val="010101"/>
          <w:w w:val="103"/>
        </w:rPr>
        <w:t>be </w:t>
      </w:r>
      <w:r>
        <w:rPr>
          <w:color w:val="010101"/>
          <w:w w:val="105"/>
        </w:rPr>
        <w:t>written </w:t>
      </w:r>
      <w:r>
        <w:rPr>
          <w:color w:val="010101"/>
        </w:rPr>
        <w:t>as a linear combination of values of  </w:t>
      </w:r>
      <w:r>
        <w:rPr>
          <w:rFonts w:ascii="Arial"/>
          <w:i/>
          <w:color w:val="010101"/>
          <w:sz w:val="25"/>
        </w:rPr>
        <w:t>,p, </w:t>
      </w:r>
      <w:r>
        <w:rPr>
          <w:color w:val="010101"/>
        </w:rPr>
        <w:t>may be expressed in terms of</w:t>
      </w:r>
    </w:p>
    <w:p>
      <w:pPr>
        <w:spacing w:line="254" w:lineRule="exact" w:before="0"/>
        <w:ind w:left="116" w:right="0" w:firstLine="0"/>
        <w:jc w:val="left"/>
        <w:rPr>
          <w:sz w:val="11"/>
        </w:rPr>
      </w:pPr>
      <w:r>
        <w:rPr>
          <w:color w:val="010101"/>
          <w:w w:val="99"/>
          <w:sz w:val="20"/>
        </w:rPr>
        <w:t>single-life</w:t>
      </w:r>
      <w:r>
        <w:rPr>
          <w:color w:val="010101"/>
          <w:spacing w:val="19"/>
          <w:sz w:val="20"/>
        </w:rPr>
        <w:t> </w:t>
      </w:r>
      <w:r>
        <w:rPr>
          <w:color w:val="010101"/>
          <w:w w:val="105"/>
          <w:sz w:val="20"/>
        </w:rPr>
        <w:t>functions</w:t>
      </w:r>
      <w:r>
        <w:rPr>
          <w:color w:val="010101"/>
          <w:spacing w:val="18"/>
          <w:sz w:val="20"/>
        </w:rPr>
        <w:t> </w:t>
      </w:r>
      <w:r>
        <w:rPr>
          <w:rFonts w:ascii="Arial" w:hAnsi="Arial"/>
          <w:i/>
          <w:color w:val="010101"/>
          <w:w w:val="81"/>
          <w:sz w:val="22"/>
        </w:rPr>
        <w:t>F</w:t>
      </w:r>
      <w:r>
        <w:rPr>
          <w:rFonts w:ascii="Arial" w:hAnsi="Arial"/>
          <w:i/>
          <w:color w:val="010101"/>
          <w:spacing w:val="-21"/>
          <w:w w:val="81"/>
          <w:sz w:val="22"/>
        </w:rPr>
        <w:t>:</w:t>
      </w:r>
      <w:r>
        <w:rPr>
          <w:rFonts w:ascii="Arial" w:hAnsi="Arial"/>
          <w:i/>
          <w:color w:val="010101"/>
          <w:spacing w:val="-58"/>
          <w:w w:val="199"/>
          <w:sz w:val="22"/>
        </w:rPr>
        <w:t>.</w:t>
      </w:r>
      <w:r>
        <w:rPr>
          <w:i/>
          <w:color w:val="010101"/>
          <w:w w:val="109"/>
          <w:position w:val="-3"/>
          <w:sz w:val="10"/>
        </w:rPr>
        <w:t>1</w:t>
      </w:r>
      <w:r>
        <w:rPr>
          <w:i/>
          <w:color w:val="010101"/>
          <w:position w:val="-3"/>
          <w:sz w:val="10"/>
        </w:rPr>
        <w:t>  </w:t>
      </w:r>
      <w:r>
        <w:rPr>
          <w:i/>
          <w:color w:val="010101"/>
          <w:spacing w:val="-1"/>
          <w:position w:val="-3"/>
          <w:sz w:val="10"/>
        </w:rPr>
        <w:t> </w:t>
      </w:r>
      <w:r>
        <w:rPr>
          <w:color w:val="010101"/>
          <w:w w:val="109"/>
          <w:sz w:val="20"/>
        </w:rPr>
        <w:t>and</w:t>
      </w:r>
      <w:r>
        <w:rPr>
          <w:color w:val="010101"/>
          <w:spacing w:val="16"/>
          <w:sz w:val="20"/>
        </w:rPr>
        <w:t> </w:t>
      </w:r>
      <w:r>
        <w:rPr>
          <w:color w:val="010101"/>
          <w:w w:val="100"/>
          <w:sz w:val="20"/>
        </w:rPr>
        <w:t>joint-life</w:t>
      </w:r>
      <w:r>
        <w:rPr>
          <w:color w:val="010101"/>
          <w:sz w:val="20"/>
        </w:rPr>
        <w:t> </w:t>
      </w:r>
      <w:r>
        <w:rPr>
          <w:color w:val="010101"/>
          <w:spacing w:val="-3"/>
          <w:sz w:val="20"/>
        </w:rPr>
        <w:t> </w:t>
      </w:r>
      <w:r>
        <w:rPr>
          <w:color w:val="010101"/>
          <w:w w:val="104"/>
          <w:sz w:val="20"/>
        </w:rPr>
        <w:t>functions</w:t>
      </w:r>
      <w:r>
        <w:rPr>
          <w:color w:val="010101"/>
          <w:spacing w:val="19"/>
          <w:sz w:val="20"/>
        </w:rPr>
        <w:t> </w:t>
      </w:r>
      <w:r>
        <w:rPr>
          <w:i/>
          <w:color w:val="010101"/>
          <w:w w:val="80"/>
          <w:sz w:val="23"/>
        </w:rPr>
        <w:t>F</w:t>
      </w:r>
      <w:r>
        <w:rPr>
          <w:i/>
          <w:color w:val="010101"/>
          <w:spacing w:val="-39"/>
          <w:sz w:val="23"/>
        </w:rPr>
        <w:t> </w:t>
      </w:r>
      <w:r>
        <w:rPr>
          <w:color w:val="010101"/>
          <w:w w:val="117"/>
          <w:sz w:val="14"/>
        </w:rPr>
        <w:t>zizs</w:t>
      </w:r>
      <w:r>
        <w:rPr>
          <w:color w:val="010101"/>
          <w:sz w:val="14"/>
        </w:rPr>
        <w:t> </w:t>
      </w:r>
      <w:r>
        <w:rPr>
          <w:color w:val="010101"/>
          <w:spacing w:val="-4"/>
          <w:sz w:val="14"/>
        </w:rPr>
        <w:t> </w:t>
      </w:r>
      <w:r>
        <w:rPr>
          <w:color w:val="010101"/>
          <w:w w:val="156"/>
          <w:sz w:val="14"/>
        </w:rPr>
        <w:t>,</w:t>
      </w:r>
      <w:r>
        <w:rPr>
          <w:color w:val="010101"/>
          <w:sz w:val="14"/>
        </w:rPr>
        <w:t> </w:t>
      </w:r>
      <w:r>
        <w:rPr>
          <w:color w:val="010101"/>
          <w:spacing w:val="-10"/>
          <w:sz w:val="14"/>
        </w:rPr>
        <w:t> </w:t>
      </w:r>
      <w:r>
        <w:rPr>
          <w:i/>
          <w:color w:val="010101"/>
          <w:w w:val="78"/>
          <w:sz w:val="23"/>
        </w:rPr>
        <w:t>F</w:t>
      </w:r>
      <w:r>
        <w:rPr>
          <w:i/>
          <w:color w:val="010101"/>
          <w:spacing w:val="-40"/>
          <w:sz w:val="23"/>
        </w:rPr>
        <w:t> </w:t>
      </w:r>
      <w:r>
        <w:rPr>
          <w:color w:val="010101"/>
          <w:spacing w:val="10"/>
          <w:w w:val="110"/>
          <w:sz w:val="14"/>
        </w:rPr>
        <w:t>z</w:t>
      </w:r>
      <w:r>
        <w:rPr>
          <w:color w:val="010101"/>
          <w:spacing w:val="-21"/>
          <w:w w:val="135"/>
          <w:position w:val="-3"/>
          <w:sz w:val="11"/>
        </w:rPr>
        <w:t>1</w:t>
      </w:r>
      <w:r>
        <w:rPr>
          <w:color w:val="010101"/>
          <w:spacing w:val="-1"/>
          <w:w w:val="110"/>
          <w:sz w:val="14"/>
        </w:rPr>
        <w:t>z</w:t>
      </w:r>
      <w:r>
        <w:rPr>
          <w:color w:val="010101"/>
          <w:spacing w:val="-31"/>
          <w:w w:val="172"/>
          <w:position w:val="-3"/>
          <w:sz w:val="11"/>
        </w:rPr>
        <w:t>1</w:t>
      </w:r>
      <w:r>
        <w:rPr>
          <w:color w:val="010101"/>
          <w:spacing w:val="-13"/>
          <w:w w:val="148"/>
          <w:sz w:val="14"/>
        </w:rPr>
        <w:t>s</w:t>
      </w:r>
      <w:r>
        <w:rPr>
          <w:color w:val="010101"/>
          <w:w w:val="172"/>
          <w:position w:val="-3"/>
          <w:sz w:val="11"/>
        </w:rPr>
        <w:t>1</w:t>
      </w:r>
      <w:r>
        <w:rPr>
          <w:color w:val="010101"/>
          <w:spacing w:val="3"/>
          <w:position w:val="-3"/>
          <w:sz w:val="11"/>
        </w:rPr>
        <w:t> </w:t>
      </w:r>
      <w:r>
        <w:rPr>
          <w:color w:val="010101"/>
          <w:w w:val="177"/>
          <w:sz w:val="11"/>
        </w:rPr>
        <w:t>,</w:t>
      </w:r>
      <w:r>
        <w:rPr>
          <w:color w:val="010101"/>
          <w:sz w:val="11"/>
        </w:rPr>
        <w:t>  </w:t>
      </w:r>
      <w:r>
        <w:rPr>
          <w:color w:val="010101"/>
          <w:spacing w:val="-3"/>
          <w:sz w:val="11"/>
        </w:rPr>
        <w:t> </w:t>
      </w:r>
      <w:r>
        <w:rPr>
          <w:color w:val="010101"/>
          <w:w w:val="117"/>
          <w:sz w:val="11"/>
        </w:rPr>
        <w:t>•</w:t>
      </w:r>
      <w:r>
        <w:rPr>
          <w:color w:val="010101"/>
          <w:sz w:val="11"/>
        </w:rPr>
        <w:t>  </w:t>
      </w:r>
      <w:r>
        <w:rPr>
          <w:color w:val="010101"/>
          <w:w w:val="103"/>
          <w:sz w:val="11"/>
        </w:rPr>
        <w:t>•</w:t>
      </w:r>
      <w:r>
        <w:rPr>
          <w:color w:val="010101"/>
          <w:sz w:val="11"/>
        </w:rPr>
        <w:t> </w:t>
      </w:r>
      <w:r>
        <w:rPr>
          <w:color w:val="010101"/>
          <w:spacing w:val="-2"/>
          <w:sz w:val="11"/>
        </w:rPr>
        <w:t> </w:t>
      </w:r>
      <w:r>
        <w:rPr>
          <w:color w:val="010101"/>
          <w:spacing w:val="-36"/>
          <w:w w:val="282"/>
          <w:sz w:val="11"/>
        </w:rPr>
        <w:t>·</w:t>
      </w:r>
      <w:r>
        <w:rPr>
          <w:color w:val="010101"/>
          <w:w w:val="244"/>
          <w:sz w:val="11"/>
        </w:rPr>
        <w:t>,</w:t>
      </w:r>
    </w:p>
    <w:p>
      <w:pPr>
        <w:spacing w:line="254" w:lineRule="exact" w:before="0"/>
        <w:ind w:left="113" w:right="0" w:firstLine="0"/>
        <w:jc w:val="left"/>
        <w:rPr>
          <w:sz w:val="20"/>
        </w:rPr>
      </w:pPr>
      <w:r>
        <w:rPr>
          <w:rFonts w:ascii="Arial"/>
          <w:i/>
          <w:color w:val="010101"/>
          <w:w w:val="140"/>
          <w:sz w:val="20"/>
        </w:rPr>
        <w:t>F</w:t>
      </w:r>
      <w:r>
        <w:rPr>
          <w:color w:val="010101"/>
          <w:w w:val="140"/>
          <w:sz w:val="14"/>
        </w:rPr>
        <w:t>z</w:t>
      </w:r>
      <w:r>
        <w:rPr>
          <w:color w:val="010101"/>
          <w:w w:val="140"/>
          <w:position w:val="-4"/>
          <w:sz w:val="11"/>
        </w:rPr>
        <w:t>1</w:t>
      </w:r>
      <w:r>
        <w:rPr>
          <w:rFonts w:ascii="Arial"/>
          <w:color w:val="010101"/>
          <w:w w:val="140"/>
          <w:sz w:val="11"/>
        </w:rPr>
        <w:t>:z</w:t>
      </w:r>
      <w:r>
        <w:rPr>
          <w:color w:val="010101"/>
          <w:w w:val="140"/>
          <w:position w:val="-4"/>
          <w:sz w:val="11"/>
        </w:rPr>
        <w:t>1</w:t>
      </w:r>
      <w:r>
        <w:rPr>
          <w:color w:val="010101"/>
          <w:w w:val="140"/>
          <w:sz w:val="11"/>
        </w:rPr>
        <w:t>...</w:t>
      </w:r>
      <w:r>
        <w:rPr>
          <w:color w:val="010101"/>
          <w:w w:val="140"/>
          <w:sz w:val="14"/>
        </w:rPr>
        <w:t>z. , </w:t>
      </w:r>
      <w:r>
        <w:rPr>
          <w:color w:val="010101"/>
          <w:w w:val="115"/>
          <w:sz w:val="20"/>
        </w:rPr>
        <w:t>in accordance with the relation</w:t>
      </w:r>
    </w:p>
    <w:p>
      <w:pPr>
        <w:tabs>
          <w:tab w:pos="974" w:val="left" w:leader="none"/>
          <w:tab w:pos="5315" w:val="left" w:leader="none"/>
        </w:tabs>
        <w:spacing w:before="101"/>
        <w:ind w:left="113" w:right="0" w:firstLine="0"/>
        <w:jc w:val="left"/>
        <w:rPr>
          <w:sz w:val="19"/>
        </w:rPr>
      </w:pPr>
      <w:r>
        <w:rPr/>
        <w:drawing>
          <wp:anchor distT="0" distB="0" distL="0" distR="0" allowOverlap="1" layoutInCell="1" locked="0" behindDoc="0" simplePos="0" relativeHeight="16624">
            <wp:simplePos x="0" y="0"/>
            <wp:positionH relativeFrom="page">
              <wp:posOffset>649223</wp:posOffset>
            </wp:positionH>
            <wp:positionV relativeFrom="paragraph">
              <wp:posOffset>312832</wp:posOffset>
            </wp:positionV>
            <wp:extent cx="3337559" cy="164592"/>
            <wp:effectExtent l="0" t="0" r="0" b="0"/>
            <wp:wrapTopAndBottom/>
            <wp:docPr id="447" name="image229.png" descr=""/>
            <wp:cNvGraphicFramePr>
              <a:graphicFrameLocks noChangeAspect="1"/>
            </wp:cNvGraphicFramePr>
            <a:graphic>
              <a:graphicData uri="http://schemas.openxmlformats.org/drawingml/2006/picture">
                <pic:pic>
                  <pic:nvPicPr>
                    <pic:cNvPr id="448" name="image229.png"/>
                    <pic:cNvPicPr/>
                  </pic:nvPicPr>
                  <pic:blipFill>
                    <a:blip r:embed="rId233" cstate="print"/>
                    <a:stretch>
                      <a:fillRect/>
                    </a:stretch>
                  </pic:blipFill>
                  <pic:spPr>
                    <a:xfrm>
                      <a:off x="0" y="0"/>
                      <a:ext cx="3337559" cy="164592"/>
                    </a:xfrm>
                    <a:prstGeom prst="rect">
                      <a:avLst/>
                    </a:prstGeom>
                  </pic:spPr>
                </pic:pic>
              </a:graphicData>
            </a:graphic>
          </wp:anchor>
        </w:drawing>
      </w:r>
      <w:r>
        <w:rPr>
          <w:i/>
          <w:color w:val="010101"/>
          <w:position w:val="-2"/>
          <w:sz w:val="21"/>
        </w:rPr>
        <w:t>F</w:t>
        <w:tab/>
        <w:t>=</w:t>
        <w:tab/>
      </w:r>
      <w:r>
        <w:rPr>
          <w:color w:val="010101"/>
          <w:sz w:val="19"/>
        </w:rPr>
        <w:t>(10.6)</w:t>
      </w:r>
    </w:p>
    <w:p>
      <w:pPr>
        <w:spacing w:line="194" w:lineRule="exact" w:before="79"/>
        <w:ind w:left="61" w:right="0" w:firstLine="0"/>
        <w:jc w:val="center"/>
        <w:rPr>
          <w:sz w:val="17"/>
        </w:rPr>
      </w:pPr>
      <w:r>
        <w:rPr>
          <w:color w:val="A8A8A8"/>
          <w:w w:val="95"/>
          <w:sz w:val="10"/>
        </w:rPr>
        <w:t>. </w:t>
      </w:r>
      <w:r>
        <w:rPr>
          <w:color w:val="010101"/>
          <w:w w:val="115"/>
          <w:position w:val="4"/>
          <w:sz w:val="10"/>
        </w:rPr>
        <w:t>1 </w:t>
      </w:r>
      <w:r>
        <w:rPr>
          <w:color w:val="010101"/>
          <w:w w:val="115"/>
          <w:sz w:val="17"/>
        </w:rPr>
        <w:t>The function </w:t>
      </w:r>
      <w:r>
        <w:rPr>
          <w:rFonts w:ascii="Arial"/>
          <w:color w:val="010101"/>
          <w:w w:val="115"/>
          <w:sz w:val="15"/>
        </w:rPr>
        <w:t>nq </w:t>
      </w:r>
      <w:r>
        <w:rPr>
          <w:color w:val="010101"/>
          <w:w w:val="115"/>
          <w:sz w:val="17"/>
        </w:rPr>
        <w:t>becomes linear in </w:t>
      </w:r>
      <w:r>
        <w:rPr>
          <w:rFonts w:ascii="Arial"/>
          <w:i/>
          <w:color w:val="010101"/>
          <w:w w:val="115"/>
          <w:sz w:val="15"/>
        </w:rPr>
        <w:t>,p </w:t>
      </w:r>
      <w:r>
        <w:rPr>
          <w:color w:val="010101"/>
          <w:w w:val="115"/>
          <w:sz w:val="17"/>
        </w:rPr>
        <w:t>when written as </w:t>
      </w:r>
      <w:r>
        <w:rPr>
          <w:color w:val="010101"/>
          <w:w w:val="115"/>
          <w:sz w:val="16"/>
        </w:rPr>
        <w:t>op </w:t>
      </w:r>
      <w:r>
        <w:rPr>
          <w:color w:val="010101"/>
          <w:w w:val="255"/>
          <w:sz w:val="16"/>
        </w:rPr>
        <w:t>-</w:t>
      </w:r>
      <w:r>
        <w:rPr>
          <w:color w:val="010101"/>
          <w:spacing w:val="-62"/>
          <w:w w:val="255"/>
          <w:sz w:val="16"/>
        </w:rPr>
        <w:t> </w:t>
      </w:r>
      <w:r>
        <w:rPr>
          <w:rFonts w:ascii="Arial"/>
          <w:i/>
          <w:color w:val="010101"/>
          <w:w w:val="115"/>
          <w:sz w:val="16"/>
        </w:rPr>
        <w:t>,.p, </w:t>
      </w:r>
      <w:r>
        <w:rPr>
          <w:color w:val="010101"/>
          <w:w w:val="115"/>
          <w:sz w:val="17"/>
        </w:rPr>
        <w:t>where</w:t>
      </w:r>
    </w:p>
    <w:p>
      <w:pPr>
        <w:spacing w:line="240" w:lineRule="exact" w:before="0"/>
        <w:ind w:left="102" w:right="0" w:firstLine="0"/>
        <w:jc w:val="left"/>
        <w:rPr>
          <w:sz w:val="17"/>
        </w:rPr>
      </w:pPr>
      <w:r>
        <w:rPr>
          <w:i/>
          <w:color w:val="010101"/>
          <w:w w:val="105"/>
          <w:sz w:val="17"/>
        </w:rPr>
        <w:t>•P </w:t>
      </w:r>
      <w:r>
        <w:rPr>
          <w:color w:val="010101"/>
          <w:w w:val="105"/>
          <w:sz w:val="21"/>
        </w:rPr>
        <w:t>= </w:t>
      </w:r>
      <w:r>
        <w:rPr>
          <w:color w:val="010101"/>
          <w:w w:val="120"/>
          <w:sz w:val="17"/>
        </w:rPr>
        <w:t>l.</w:t>
      </w:r>
    </w:p>
    <w:p>
      <w:pPr>
        <w:spacing w:after="0" w:line="240" w:lineRule="exact"/>
        <w:jc w:val="left"/>
        <w:rPr>
          <w:sz w:val="17"/>
        </w:rPr>
        <w:sectPr>
          <w:type w:val="continuous"/>
          <w:pgSz w:w="7200" w:h="11340"/>
          <w:pgMar w:top="1100" w:bottom="0" w:left="640" w:right="540"/>
        </w:sectPr>
      </w:pPr>
    </w:p>
    <w:p>
      <w:pPr>
        <w:tabs>
          <w:tab w:pos="2093" w:val="left" w:leader="none"/>
          <w:tab w:pos="5874" w:val="right" w:leader="none"/>
        </w:tabs>
        <w:spacing w:before="56"/>
        <w:ind w:left="114" w:right="0" w:firstLine="0"/>
        <w:jc w:val="left"/>
        <w:rPr>
          <w:sz w:val="19"/>
        </w:rPr>
      </w:pPr>
      <w:r>
        <w:rPr>
          <w:b/>
          <w:w w:val="105"/>
          <w:sz w:val="15"/>
        </w:rPr>
        <w:t>SEC. </w:t>
      </w:r>
      <w:r>
        <w:rPr>
          <w:b/>
          <w:spacing w:val="19"/>
          <w:w w:val="105"/>
          <w:sz w:val="15"/>
        </w:rPr>
        <w:t> </w:t>
      </w:r>
      <w:r>
        <w:rPr>
          <w:b/>
          <w:w w:val="105"/>
          <w:sz w:val="20"/>
        </w:rPr>
        <w:t>2]</w:t>
        <w:tab/>
      </w:r>
      <w:r>
        <w:rPr>
          <w:b/>
          <w:w w:val="105"/>
          <w:sz w:val="15"/>
        </w:rPr>
        <w:t>COMPOUND </w:t>
      </w:r>
      <w:r>
        <w:rPr>
          <w:b/>
          <w:spacing w:val="24"/>
          <w:w w:val="105"/>
          <w:sz w:val="15"/>
        </w:rPr>
        <w:t> </w:t>
      </w:r>
      <w:r>
        <w:rPr>
          <w:b/>
          <w:w w:val="105"/>
          <w:sz w:val="15"/>
        </w:rPr>
        <w:t>STATUSF.S</w:t>
      </w:r>
      <w:r>
        <w:rPr>
          <w:w w:val="105"/>
          <w:position w:val="1"/>
          <w:sz w:val="19"/>
        </w:rPr>
        <w:tab/>
      </w:r>
      <w:r>
        <w:rPr>
          <w:spacing w:val="-4"/>
          <w:w w:val="105"/>
          <w:position w:val="1"/>
          <w:sz w:val="19"/>
        </w:rPr>
        <w:t>213</w:t>
      </w:r>
    </w:p>
    <w:p>
      <w:pPr>
        <w:pStyle w:val="BodyText"/>
        <w:spacing w:before="8"/>
      </w:pPr>
    </w:p>
    <w:p>
      <w:pPr>
        <w:pStyle w:val="BodyText"/>
        <w:spacing w:line="252" w:lineRule="auto"/>
        <w:ind w:left="114" w:right="125" w:firstLine="201"/>
        <w:jc w:val="both"/>
      </w:pPr>
      <w:r>
        <w:rPr>
          <w:w w:val="105"/>
        </w:rPr>
        <w:t>The nét single,premiums for the common annuity and insurancc benefits can normally be expressed as linear combinations of the probabilitics of survival, and relation </w:t>
      </w:r>
      <w:r>
        <w:rPr>
          <w:spacing w:val="-6"/>
          <w:w w:val="105"/>
          <w:sz w:val="19"/>
        </w:rPr>
        <w:t>(10.6)  </w:t>
      </w:r>
      <w:r>
        <w:rPr>
          <w:w w:val="105"/>
        </w:rPr>
        <w:t>therefore  holds  in  these </w:t>
      </w:r>
      <w:r>
        <w:rPr>
          <w:w w:val="105"/>
          <w:sz w:val="19"/>
        </w:rPr>
        <w:t>cases. </w:t>
      </w:r>
      <w:r>
        <w:rPr>
          <w:w w:val="105"/>
        </w:rPr>
        <w:t>Examples </w:t>
      </w:r>
      <w:r>
        <w:rPr>
          <w:w w:val="105"/>
          <w:sz w:val="19"/>
        </w:rPr>
        <w:t>of </w:t>
      </w:r>
      <w:r>
        <w:rPr>
          <w:w w:val="105"/>
        </w:rPr>
        <w:t>functions which  are </w:t>
      </w:r>
      <w:r>
        <w:rPr>
          <w:rFonts w:ascii="Arial" w:hAnsi="Arial"/>
          <w:i/>
          <w:w w:val="105"/>
          <w:sz w:val="18"/>
        </w:rPr>
        <w:t>Mt  </w:t>
      </w:r>
      <w:r>
        <w:rPr>
          <w:w w:val="105"/>
        </w:rPr>
        <w:t>linear  in  </w:t>
      </w:r>
      <w:r>
        <w:rPr>
          <w:rFonts w:ascii="Arial" w:hAnsi="Arial"/>
          <w:i/>
          <w:spacing w:val="-18"/>
          <w:w w:val="105"/>
          <w:sz w:val="18"/>
        </w:rPr>
        <w:t>,p  </w:t>
      </w:r>
      <w:r>
        <w:rPr>
          <w:w w:val="105"/>
        </w:rPr>
        <w:t>are net  annual premiums  and reserves.  For</w:t>
      </w:r>
      <w:r>
        <w:rPr>
          <w:spacing w:val="6"/>
          <w:w w:val="105"/>
        </w:rPr>
        <w:t> </w:t>
      </w:r>
      <w:r>
        <w:rPr>
          <w:w w:val="105"/>
        </w:rPr>
        <w:t>example,</w:t>
      </w:r>
    </w:p>
    <w:p>
      <w:pPr>
        <w:tabs>
          <w:tab w:pos="2289" w:val="left" w:leader="none"/>
        </w:tabs>
        <w:spacing w:line="300" w:lineRule="exact" w:before="48"/>
        <w:ind w:left="0" w:right="149" w:firstLine="0"/>
        <w:jc w:val="center"/>
        <w:rPr>
          <w:i/>
          <w:sz w:val="22"/>
        </w:rPr>
      </w:pPr>
      <w:r>
        <w:rPr>
          <w:rFonts w:ascii="Arial"/>
          <w:i/>
          <w:w w:val="105"/>
          <w:sz w:val="20"/>
        </w:rPr>
        <w:t>P=. </w:t>
      </w:r>
      <w:r>
        <w:rPr>
          <w:w w:val="105"/>
          <w:sz w:val="24"/>
        </w:rPr>
        <w:t>= </w:t>
      </w:r>
      <w:r>
        <w:rPr>
          <w:i/>
          <w:w w:val="105"/>
          <w:sz w:val="22"/>
          <w:u w:val="thick"/>
        </w:rPr>
        <w:t>A;, </w:t>
      </w:r>
      <w:r>
        <w:rPr>
          <w:w w:val="105"/>
          <w:sz w:val="24"/>
        </w:rPr>
        <w:t>= </w:t>
      </w:r>
      <w:r>
        <w:rPr>
          <w:i/>
          <w:w w:val="85"/>
          <w:sz w:val="22"/>
          <w:u w:val="single"/>
        </w:rPr>
        <w:t>A.1: </w:t>
      </w:r>
      <w:r>
        <w:rPr>
          <w:i/>
          <w:spacing w:val="37"/>
          <w:w w:val="85"/>
          <w:sz w:val="22"/>
          <w:u w:val="single"/>
        </w:rPr>
        <w:t> </w:t>
      </w:r>
      <w:r>
        <w:rPr>
          <w:rFonts w:ascii="Arial"/>
          <w:w w:val="105"/>
          <w:sz w:val="32"/>
          <w:u w:val="single"/>
        </w:rPr>
        <w:t>+</w:t>
      </w:r>
      <w:r>
        <w:rPr>
          <w:rFonts w:ascii="Arial"/>
          <w:spacing w:val="-47"/>
          <w:w w:val="105"/>
          <w:sz w:val="32"/>
          <w:u w:val="single"/>
        </w:rPr>
        <w:t> </w:t>
      </w:r>
      <w:r>
        <w:rPr>
          <w:i/>
          <w:w w:val="110"/>
          <w:sz w:val="22"/>
          <w:u w:val="single"/>
        </w:rPr>
        <w:t>A.</w:t>
        <w:tab/>
      </w:r>
      <w:r>
        <w:rPr>
          <w:i/>
          <w:w w:val="180"/>
          <w:sz w:val="22"/>
          <w:u w:val="single"/>
        </w:rPr>
        <w:t>A</w:t>
      </w:r>
    </w:p>
    <w:p>
      <w:pPr>
        <w:tabs>
          <w:tab w:pos="602" w:val="left" w:leader="none"/>
          <w:tab w:pos="1297" w:val="left" w:leader="none"/>
        </w:tabs>
        <w:spacing w:line="282" w:lineRule="exact" w:before="0"/>
        <w:ind w:left="142" w:right="0" w:firstLine="0"/>
        <w:jc w:val="center"/>
        <w:rPr>
          <w:rFonts w:ascii="Arial"/>
          <w:sz w:val="23"/>
        </w:rPr>
      </w:pPr>
      <w:r>
        <w:rPr>
          <w:rFonts w:ascii="Arial"/>
          <w:i/>
          <w:w w:val="85"/>
          <w:sz w:val="11"/>
        </w:rPr>
        <w:t>SJI</w:t>
        <w:tab/>
      </w:r>
      <w:r>
        <w:rPr>
          <w:rFonts w:ascii="Arial"/>
          <w:i/>
          <w:w w:val="115"/>
          <w:sz w:val="21"/>
        </w:rPr>
        <w:t>a;;</w:t>
        <w:tab/>
      </w:r>
      <w:r>
        <w:rPr>
          <w:rFonts w:ascii="Arial"/>
          <w:i/>
          <w:w w:val="85"/>
          <w:sz w:val="23"/>
        </w:rPr>
        <w:t>as</w:t>
      </w:r>
      <w:r>
        <w:rPr>
          <w:rFonts w:ascii="Arial"/>
          <w:i/>
          <w:spacing w:val="2"/>
          <w:w w:val="85"/>
          <w:sz w:val="23"/>
        </w:rPr>
        <w:t> </w:t>
      </w:r>
      <w:r>
        <w:rPr>
          <w:rFonts w:ascii="Arial"/>
          <w:w w:val="115"/>
          <w:sz w:val="31"/>
        </w:rPr>
        <w:t>+</w:t>
      </w:r>
      <w:r>
        <w:rPr>
          <w:rFonts w:ascii="Arial"/>
          <w:spacing w:val="-62"/>
          <w:w w:val="115"/>
          <w:sz w:val="31"/>
        </w:rPr>
        <w:t> </w:t>
      </w:r>
      <w:r>
        <w:rPr>
          <w:rFonts w:ascii="Arial"/>
          <w:i/>
          <w:w w:val="115"/>
          <w:sz w:val="22"/>
        </w:rPr>
        <w:t>d.</w:t>
      </w:r>
      <w:r>
        <w:rPr>
          <w:rFonts w:ascii="Arial"/>
          <w:i/>
          <w:spacing w:val="-25"/>
          <w:w w:val="115"/>
          <w:sz w:val="22"/>
        </w:rPr>
        <w:t> </w:t>
      </w:r>
      <w:r>
        <w:rPr>
          <w:rFonts w:ascii="Arial"/>
          <w:w w:val="215"/>
          <w:sz w:val="22"/>
        </w:rPr>
        <w:t>-</w:t>
      </w:r>
      <w:r>
        <w:rPr>
          <w:rFonts w:ascii="Arial"/>
          <w:spacing w:val="-93"/>
          <w:w w:val="215"/>
          <w:sz w:val="22"/>
        </w:rPr>
        <w:t> </w:t>
      </w:r>
      <w:r>
        <w:rPr>
          <w:rFonts w:ascii="Arial"/>
          <w:i/>
          <w:w w:val="85"/>
          <w:sz w:val="23"/>
        </w:rPr>
        <w:t>a.tll</w:t>
      </w:r>
      <w:r>
        <w:rPr>
          <w:rFonts w:ascii="Arial"/>
          <w:i/>
          <w:spacing w:val="48"/>
          <w:w w:val="85"/>
          <w:sz w:val="23"/>
        </w:rPr>
        <w:t> </w:t>
      </w:r>
      <w:r>
        <w:rPr>
          <w:rFonts w:ascii="Arial"/>
          <w:w w:val="135"/>
          <w:sz w:val="23"/>
        </w:rPr>
        <w:t>'</w:t>
      </w:r>
    </w:p>
    <w:p>
      <w:pPr>
        <w:pStyle w:val="BodyText"/>
        <w:spacing w:line="242" w:lineRule="auto"/>
        <w:ind w:left="121" w:right="121" w:hanging="8"/>
        <w:jc w:val="both"/>
      </w:pPr>
      <w:r>
        <w:rPr>
          <w:w w:val="110"/>
        </w:rPr>
        <w:t>which </w:t>
      </w:r>
      <w:r>
        <w:rPr>
          <w:w w:val="110"/>
          <w:sz w:val="19"/>
        </w:rPr>
        <w:t>is </w:t>
      </w:r>
      <w:r>
        <w:rPr>
          <w:w w:val="110"/>
        </w:rPr>
        <w:t>clearly diff erent from </w:t>
      </w:r>
      <w:r>
        <w:rPr>
          <w:rFonts w:ascii="Arial" w:hAnsi="Arial"/>
          <w:i/>
          <w:w w:val="110"/>
        </w:rPr>
        <w:t>P</w:t>
      </w:r>
      <w:r>
        <w:rPr>
          <w:rFonts w:ascii="Arial" w:hAnsi="Arial"/>
          <w:w w:val="110"/>
          <w:sz w:val="12"/>
        </w:rPr>
        <w:t>s </w:t>
      </w:r>
      <w:r>
        <w:rPr>
          <w:rFonts w:ascii="Arial" w:hAnsi="Arial"/>
          <w:w w:val="110"/>
          <w:sz w:val="31"/>
        </w:rPr>
        <w:t>+ </w:t>
      </w:r>
      <w:r>
        <w:rPr>
          <w:rFonts w:ascii="Arial" w:hAnsi="Arial"/>
          <w:i/>
          <w:w w:val="110"/>
        </w:rPr>
        <w:t>P. </w:t>
      </w:r>
      <w:r>
        <w:rPr>
          <w:rFonts w:ascii="Arial" w:hAnsi="Arial"/>
          <w:w w:val="235"/>
        </w:rPr>
        <w:t>- </w:t>
      </w:r>
      <w:r>
        <w:rPr>
          <w:rFonts w:ascii="Arial" w:hAnsi="Arial"/>
          <w:i/>
          <w:w w:val="110"/>
        </w:rPr>
        <w:t>P</w:t>
      </w:r>
      <w:r>
        <w:rPr>
          <w:i/>
          <w:w w:val="110"/>
          <w:sz w:val="11"/>
        </w:rPr>
        <w:t>SIi </w:t>
      </w:r>
      <w:r>
        <w:rPr>
          <w:w w:val="110"/>
          <w:sz w:val="11"/>
        </w:rPr>
        <w:t>• </w:t>
      </w:r>
      <w:r>
        <w:rPr>
          <w:w w:val="110"/>
        </w:rPr>
        <w:t>For the reserve va.lue,</w:t>
      </w:r>
      <w:r>
        <w:rPr>
          <w:spacing w:val="-6"/>
          <w:w w:val="110"/>
        </w:rPr>
        <w:t> </w:t>
      </w:r>
      <w:r>
        <w:rPr>
          <w:w w:val="110"/>
        </w:rPr>
        <w:t>the</w:t>
      </w:r>
      <w:r>
        <w:rPr>
          <w:spacing w:val="-14"/>
          <w:w w:val="110"/>
        </w:rPr>
        <w:t> </w:t>
      </w:r>
      <w:r>
        <w:rPr>
          <w:w w:val="110"/>
        </w:rPr>
        <w:t>expression</w:t>
      </w:r>
      <w:r>
        <w:rPr>
          <w:spacing w:val="-8"/>
          <w:w w:val="110"/>
        </w:rPr>
        <w:t> </w:t>
      </w:r>
      <w:r>
        <w:rPr>
          <w:w w:val="110"/>
        </w:rPr>
        <w:t>to</w:t>
      </w:r>
      <w:r>
        <w:rPr>
          <w:spacing w:val="-18"/>
          <w:w w:val="110"/>
        </w:rPr>
        <w:t> </w:t>
      </w:r>
      <w:r>
        <w:rPr>
          <w:w w:val="110"/>
        </w:rPr>
        <w:t>be</w:t>
      </w:r>
      <w:r>
        <w:rPr>
          <w:spacing w:val="-14"/>
          <w:w w:val="110"/>
        </w:rPr>
        <w:t> </w:t>
      </w:r>
      <w:r>
        <w:rPr>
          <w:w w:val="110"/>
        </w:rPr>
        <w:t>used</w:t>
      </w:r>
      <w:r>
        <w:rPr>
          <w:spacing w:val="-8"/>
          <w:w w:val="110"/>
        </w:rPr>
        <w:t> </w:t>
      </w:r>
      <w:r>
        <w:rPr>
          <w:w w:val="110"/>
        </w:rPr>
        <w:t>depends</w:t>
      </w:r>
      <w:r>
        <w:rPr>
          <w:spacing w:val="-16"/>
          <w:w w:val="110"/>
        </w:rPr>
        <w:t> </w:t>
      </w:r>
      <w:r>
        <w:rPr>
          <w:w w:val="110"/>
        </w:rPr>
        <w:t>upon</w:t>
      </w:r>
      <w:r>
        <w:rPr>
          <w:spacing w:val="-13"/>
          <w:w w:val="110"/>
        </w:rPr>
        <w:t> </w:t>
      </w:r>
      <w:r>
        <w:rPr>
          <w:w w:val="110"/>
        </w:rPr>
        <w:t>which</w:t>
      </w:r>
      <w:r>
        <w:rPr>
          <w:spacing w:val="-9"/>
          <w:w w:val="110"/>
        </w:rPr>
        <w:t> </w:t>
      </w:r>
      <w:r>
        <w:rPr>
          <w:w w:val="110"/>
        </w:rPr>
        <w:t>lives</w:t>
      </w:r>
      <w:r>
        <w:rPr>
          <w:spacing w:val="-20"/>
          <w:w w:val="110"/>
        </w:rPr>
        <w:t> </w:t>
      </w:r>
      <w:r>
        <w:rPr>
          <w:w w:val="110"/>
        </w:rPr>
        <w:t>are</w:t>
      </w:r>
      <w:r>
        <w:rPr>
          <w:spacing w:val="-22"/>
          <w:w w:val="110"/>
        </w:rPr>
        <w:t> </w:t>
      </w:r>
      <w:r>
        <w:rPr>
          <w:w w:val="110"/>
        </w:rPr>
        <w:t>still in existence at the time of valuation. Thus, in the case of the insurancc </w:t>
      </w:r>
      <w:r>
        <w:rPr>
          <w:i/>
          <w:w w:val="110"/>
          <w:sz w:val="21"/>
        </w:rPr>
        <w:t>Aii , </w:t>
      </w:r>
      <w:r>
        <w:rPr>
          <w:w w:val="110"/>
        </w:rPr>
        <w:t>the t-th year terminal reserve will</w:t>
      </w:r>
      <w:r>
        <w:rPr>
          <w:spacing w:val="-8"/>
          <w:w w:val="110"/>
        </w:rPr>
        <w:t> </w:t>
      </w:r>
      <w:r>
        <w:rPr>
          <w:w w:val="110"/>
        </w:rPr>
        <w:t>be</w:t>
      </w:r>
    </w:p>
    <w:p>
      <w:pPr>
        <w:pStyle w:val="BodyText"/>
        <w:spacing w:before="7"/>
        <w:rPr>
          <w:sz w:val="9"/>
        </w:rPr>
      </w:pPr>
      <w:r>
        <w:rPr/>
        <w:drawing>
          <wp:anchor distT="0" distB="0" distL="0" distR="0" allowOverlap="1" layoutInCell="1" locked="0" behindDoc="0" simplePos="0" relativeHeight="16648">
            <wp:simplePos x="0" y="0"/>
            <wp:positionH relativeFrom="page">
              <wp:posOffset>1060703</wp:posOffset>
            </wp:positionH>
            <wp:positionV relativeFrom="paragraph">
              <wp:posOffset>95408</wp:posOffset>
            </wp:positionV>
            <wp:extent cx="1271015" cy="137160"/>
            <wp:effectExtent l="0" t="0" r="0" b="0"/>
            <wp:wrapTopAndBottom/>
            <wp:docPr id="449" name="image230.png" descr=""/>
            <wp:cNvGraphicFramePr>
              <a:graphicFrameLocks noChangeAspect="1"/>
            </wp:cNvGraphicFramePr>
            <a:graphic>
              <a:graphicData uri="http://schemas.openxmlformats.org/drawingml/2006/picture">
                <pic:pic>
                  <pic:nvPicPr>
                    <pic:cNvPr id="450" name="image230.png"/>
                    <pic:cNvPicPr/>
                  </pic:nvPicPr>
                  <pic:blipFill>
                    <a:blip r:embed="rId234" cstate="print"/>
                    <a:stretch>
                      <a:fillRect/>
                    </a:stretch>
                  </pic:blipFill>
                  <pic:spPr>
                    <a:xfrm>
                      <a:off x="0" y="0"/>
                      <a:ext cx="1271015" cy="137160"/>
                    </a:xfrm>
                    <a:prstGeom prst="rect">
                      <a:avLst/>
                    </a:prstGeom>
                  </pic:spPr>
                </pic:pic>
              </a:graphicData>
            </a:graphic>
          </wp:anchor>
        </w:drawing>
      </w:r>
    </w:p>
    <w:p>
      <w:pPr>
        <w:spacing w:before="90"/>
        <w:ind w:left="2421" w:right="0" w:firstLine="0"/>
        <w:jc w:val="left"/>
        <w:rPr>
          <w:sz w:val="20"/>
        </w:rPr>
      </w:pPr>
      <w:r>
        <w:rPr>
          <w:sz w:val="20"/>
        </w:rPr>
        <w:t>if   </w:t>
      </w:r>
      <w:r>
        <w:rPr>
          <w:rFonts w:ascii="Arial"/>
          <w:i/>
          <w:sz w:val="19"/>
        </w:rPr>
        <w:t>(x )  </w:t>
      </w:r>
      <w:r>
        <w:rPr>
          <w:sz w:val="20"/>
        </w:rPr>
        <w:t>and  </w:t>
      </w:r>
      <w:r>
        <w:rPr>
          <w:rFonts w:ascii="Arial"/>
          <w:i/>
          <w:sz w:val="19"/>
        </w:rPr>
        <w:t>(y )  </w:t>
      </w:r>
      <w:r>
        <w:rPr>
          <w:sz w:val="20"/>
        </w:rPr>
        <w:t>are both alive,</w:t>
      </w:r>
    </w:p>
    <w:p>
      <w:pPr>
        <w:pStyle w:val="BodyText"/>
        <w:spacing w:before="3"/>
        <w:rPr>
          <w:sz w:val="11"/>
        </w:rPr>
      </w:pPr>
      <w:r>
        <w:rPr/>
        <w:drawing>
          <wp:anchor distT="0" distB="0" distL="0" distR="0" allowOverlap="1" layoutInCell="1" locked="0" behindDoc="0" simplePos="0" relativeHeight="16672">
            <wp:simplePos x="0" y="0"/>
            <wp:positionH relativeFrom="page">
              <wp:posOffset>1234439</wp:posOffset>
            </wp:positionH>
            <wp:positionV relativeFrom="paragraph">
              <wp:posOffset>107402</wp:posOffset>
            </wp:positionV>
            <wp:extent cx="923544" cy="128015"/>
            <wp:effectExtent l="0" t="0" r="0" b="0"/>
            <wp:wrapTopAndBottom/>
            <wp:docPr id="451" name="image231.png" descr=""/>
            <wp:cNvGraphicFramePr>
              <a:graphicFrameLocks noChangeAspect="1"/>
            </wp:cNvGraphicFramePr>
            <a:graphic>
              <a:graphicData uri="http://schemas.openxmlformats.org/drawingml/2006/picture">
                <pic:pic>
                  <pic:nvPicPr>
                    <pic:cNvPr id="452" name="image231.png"/>
                    <pic:cNvPicPr/>
                  </pic:nvPicPr>
                  <pic:blipFill>
                    <a:blip r:embed="rId235" cstate="print"/>
                    <a:stretch>
                      <a:fillRect/>
                    </a:stretch>
                  </pic:blipFill>
                  <pic:spPr>
                    <a:xfrm>
                      <a:off x="0" y="0"/>
                      <a:ext cx="923544" cy="128015"/>
                    </a:xfrm>
                    <a:prstGeom prst="rect">
                      <a:avLst/>
                    </a:prstGeom>
                  </pic:spPr>
                </pic:pic>
              </a:graphicData>
            </a:graphic>
          </wp:anchor>
        </w:drawing>
      </w:r>
    </w:p>
    <w:p>
      <w:pPr>
        <w:pStyle w:val="BodyText"/>
        <w:spacing w:before="79"/>
        <w:ind w:left="2425"/>
      </w:pPr>
      <w:r>
        <w:rPr>
          <w:sz w:val="22"/>
        </w:rPr>
        <w:t>if  </w:t>
      </w:r>
      <w:r>
        <w:rPr/>
        <w:t>only  (x)  </w:t>
      </w:r>
      <w:r>
        <w:rPr>
          <w:rFonts w:ascii="Arial"/>
        </w:rPr>
        <w:t>is </w:t>
      </w:r>
      <w:r>
        <w:rPr/>
        <w:t>alive,</w:t>
      </w:r>
    </w:p>
    <w:p>
      <w:pPr>
        <w:pStyle w:val="BodyText"/>
        <w:spacing w:before="133"/>
        <w:ind w:left="124"/>
      </w:pPr>
      <w:r>
        <w:rPr>
          <w:w w:val="110"/>
        </w:rPr>
        <w:t>or</w:t>
      </w:r>
    </w:p>
    <w:p>
      <w:pPr>
        <w:spacing w:before="106"/>
        <w:ind w:left="1309" w:right="0" w:firstLine="0"/>
        <w:jc w:val="left"/>
        <w:rPr>
          <w:rFonts w:ascii="Arial" w:hAnsi="Arial"/>
          <w:i/>
          <w:sz w:val="20"/>
        </w:rPr>
      </w:pPr>
      <w:r>
        <w:rPr>
          <w:i/>
          <w:w w:val="95"/>
          <w:sz w:val="26"/>
        </w:rPr>
        <w:t>A•+• </w:t>
      </w:r>
      <w:r>
        <w:rPr>
          <w:w w:val="95"/>
          <w:sz w:val="26"/>
        </w:rPr>
        <w:t>- </w:t>
      </w:r>
      <w:r>
        <w:rPr>
          <w:rFonts w:ascii="Arial" w:hAnsi="Arial"/>
          <w:i/>
          <w:w w:val="95"/>
          <w:sz w:val="20"/>
        </w:rPr>
        <w:t>P;;,·&lt;4+1</w:t>
      </w:r>
    </w:p>
    <w:p>
      <w:pPr>
        <w:spacing w:before="81"/>
        <w:ind w:left="2425" w:right="0" w:firstLine="0"/>
        <w:jc w:val="left"/>
        <w:rPr>
          <w:sz w:val="20"/>
        </w:rPr>
      </w:pPr>
      <w:r>
        <w:rPr>
          <w:sz w:val="20"/>
        </w:rPr>
        <w:t>if  only  </w:t>
      </w:r>
      <w:r>
        <w:rPr>
          <w:sz w:val="19"/>
        </w:rPr>
        <w:t>(y )  </w:t>
      </w:r>
      <w:r>
        <w:rPr>
          <w:sz w:val="20"/>
        </w:rPr>
        <w:t>is alivc.</w:t>
      </w:r>
    </w:p>
    <w:p>
      <w:pPr>
        <w:pStyle w:val="BodyText"/>
        <w:spacing w:before="2"/>
        <w:rPr>
          <w:sz w:val="9"/>
        </w:rPr>
      </w:pPr>
    </w:p>
    <w:p>
      <w:pPr>
        <w:numPr>
          <w:ilvl w:val="0"/>
          <w:numId w:val="97"/>
        </w:numPr>
        <w:tabs>
          <w:tab w:pos="363" w:val="left" w:leader="none"/>
        </w:tabs>
        <w:spacing w:before="75"/>
        <w:ind w:left="362" w:right="0" w:hanging="248"/>
        <w:jc w:val="left"/>
        <w:rPr>
          <w:b/>
          <w:sz w:val="20"/>
        </w:rPr>
      </w:pPr>
      <w:r>
        <w:rPr>
          <w:b/>
          <w:w w:val="115"/>
          <w:sz w:val="20"/>
        </w:rPr>
        <w:t>Compound</w:t>
      </w:r>
      <w:r>
        <w:rPr>
          <w:b/>
          <w:spacing w:val="6"/>
          <w:w w:val="115"/>
          <w:sz w:val="20"/>
        </w:rPr>
        <w:t> </w:t>
      </w:r>
      <w:r>
        <w:rPr>
          <w:b/>
          <w:w w:val="115"/>
          <w:sz w:val="20"/>
        </w:rPr>
        <w:t>statuses</w:t>
      </w:r>
    </w:p>
    <w:p>
      <w:pPr>
        <w:pStyle w:val="BodyText"/>
        <w:spacing w:line="242" w:lineRule="auto" w:before="87"/>
        <w:ind w:left="106" w:right="110" w:firstLine="208"/>
        <w:jc w:val="both"/>
      </w:pPr>
      <w:r>
        <w:rPr/>
        <w:t>Both the joint-life status and the last-survivor status have been defined only for groups of single lives. </w:t>
      </w:r>
      <w:r>
        <w:rPr>
          <w:w w:val="115"/>
        </w:rPr>
        <w:t>It </w:t>
      </w:r>
      <w:r>
        <w:rPr>
          <w:rFonts w:ascii="Arial" w:hAnsi="Arial"/>
        </w:rPr>
        <w:t>is </w:t>
      </w:r>
      <w:r>
        <w:rPr/>
        <w:t>possible, however, and frequently useful, </w:t>
      </w:r>
      <w:r>
        <w:rPr>
          <w:sz w:val="22"/>
        </w:rPr>
        <w:t>to </w:t>
      </w:r>
      <w:r>
        <w:rPr/>
        <w:t>relate these concepts </w:t>
      </w:r>
      <w:r>
        <w:rPr>
          <w:sz w:val="22"/>
        </w:rPr>
        <w:t>to </w:t>
      </w:r>
      <w:r>
        <w:rPr/>
        <w:t>groups of individual </w:t>
      </w:r>
      <w:r>
        <w:rPr>
          <w:w w:val="115"/>
        </w:rPr>
        <w:t>statuses </w:t>
      </w:r>
      <w:r>
        <w:rPr/>
        <w:t>which are not necessarily single lives. For example, the annuity </w:t>
      </w:r>
      <w:r>
        <w:rPr>
          <w:w w:val="145"/>
          <w:sz w:val="19"/>
        </w:rPr>
        <w:t>a;;:.. </w:t>
      </w:r>
      <w:r>
        <w:rPr>
          <w:rFonts w:ascii="Arial" w:hAnsi="Arial"/>
        </w:rPr>
        <w:t>is </w:t>
      </w:r>
      <w:r>
        <w:rPr/>
        <w:t>payable during the </w:t>
      </w:r>
      <w:r>
        <w:rPr>
          <w:i/>
        </w:rPr>
        <w:t>joint  </w:t>
      </w:r>
      <w:r>
        <w:rPr/>
        <w:t>existence  of  the  </w:t>
      </w:r>
      <w:r>
        <w:rPr>
          <w:i/>
          <w:sz w:val="19"/>
        </w:rPr>
        <w:t>last  </w:t>
      </w:r>
      <w:r>
        <w:rPr>
          <w:i/>
          <w:sz w:val="22"/>
        </w:rPr>
        <w:t>survivor </w:t>
      </w:r>
      <w:r>
        <w:rPr/>
        <w:t>of </w:t>
      </w:r>
      <w:r>
        <w:rPr>
          <w:sz w:val="19"/>
        </w:rPr>
        <w:t>(w) </w:t>
      </w:r>
      <w:r>
        <w:rPr/>
        <w:t>and (x) and the </w:t>
      </w:r>
      <w:r>
        <w:rPr>
          <w:i/>
          <w:sz w:val="22"/>
        </w:rPr>
        <w:t>last survivor </w:t>
      </w:r>
      <w:r>
        <w:rPr/>
        <w:t>of (y) and (z) ;the com­ pound status </w:t>
      </w:r>
      <w:r>
        <w:rPr>
          <w:rFonts w:ascii="Arial" w:hAnsi="Arial"/>
          <w:i/>
          <w:sz w:val="19"/>
          <w:u w:val="single"/>
        </w:rPr>
        <w:t>(wx</w:t>
      </w:r>
      <w:r>
        <w:rPr>
          <w:rFonts w:ascii="Arial" w:hAnsi="Arial"/>
          <w:i/>
          <w:sz w:val="19"/>
        </w:rPr>
        <w:t>: yz ) </w:t>
      </w:r>
      <w:r>
        <w:rPr>
          <w:rFonts w:ascii="Arial" w:hAnsi="Arial"/>
        </w:rPr>
        <w:t>is </w:t>
      </w:r>
      <w:r>
        <w:rPr>
          <w:i/>
        </w:rPr>
        <w:t>a joint </w:t>
      </w:r>
      <w:r>
        <w:rPr/>
        <w:t>status of which the individual com­ ponents are themselves </w:t>
      </w:r>
      <w:r>
        <w:rPr>
          <w:i/>
          <w:sz w:val="22"/>
        </w:rPr>
        <w:t>last-survivor </w:t>
      </w:r>
      <w:r>
        <w:rPr/>
        <w:t>statuses.  </w:t>
      </w:r>
      <w:r>
        <w:rPr>
          <w:sz w:val="19"/>
        </w:rPr>
        <w:t>As  </w:t>
      </w:r>
      <w:r>
        <w:rPr/>
        <w:t>another  example, the insurance benefit represeilted by </w:t>
      </w:r>
      <w:r>
        <w:rPr>
          <w:rFonts w:ascii="Arial" w:hAnsi="Arial"/>
          <w:sz w:val="21"/>
        </w:rPr>
        <w:t>A </w:t>
      </w:r>
      <w:r>
        <w:rPr>
          <w:rFonts w:ascii="Arial" w:hAnsi="Arial"/>
          <w:w w:val="145"/>
          <w:sz w:val="21"/>
          <w:u w:val="thick"/>
        </w:rPr>
        <w:t>..:;</w:t>
      </w:r>
      <w:r>
        <w:rPr>
          <w:rFonts w:ascii="Arial" w:hAnsi="Arial"/>
          <w:w w:val="145"/>
          <w:sz w:val="21"/>
        </w:rPr>
        <w:t>; </w:t>
      </w:r>
      <w:r>
        <w:rPr>
          <w:rFonts w:ascii="Arial" w:hAnsi="Arial"/>
        </w:rPr>
        <w:t>is </w:t>
      </w:r>
      <w:r>
        <w:rPr/>
        <w:t>paya.ble when  the second   failure  of   </w:t>
      </w:r>
      <w:r>
        <w:rPr>
          <w:sz w:val="19"/>
        </w:rPr>
        <w:t>(wx)   </w:t>
      </w:r>
      <w:r>
        <w:rPr/>
        <w:t>and   </w:t>
      </w:r>
      <w:r>
        <w:rPr>
          <w:u w:val="thick"/>
        </w:rPr>
        <w:t>(yz</w:t>
      </w:r>
      <w:r>
        <w:rPr/>
        <w:t>)  has  occurred,   so  that   </w:t>
      </w:r>
      <w:r>
        <w:rPr>
          <w:rFonts w:ascii="Arial" w:hAnsi="Arial"/>
          <w:i/>
          <w:sz w:val="19"/>
        </w:rPr>
        <w:t>(</w:t>
      </w:r>
      <w:r>
        <w:rPr>
          <w:rFonts w:ascii="Arial" w:hAnsi="Arial"/>
          <w:i/>
          <w:sz w:val="19"/>
          <w:u w:val="single"/>
        </w:rPr>
        <w:t>wx</w:t>
      </w:r>
      <w:r>
        <w:rPr>
          <w:rFonts w:ascii="Arial" w:hAnsi="Arial"/>
          <w:i/>
          <w:sz w:val="19"/>
        </w:rPr>
        <w:t>:yz ) </w:t>
      </w:r>
      <w:r>
        <w:rPr>
          <w:rFonts w:ascii="Arial" w:hAnsi="Arial"/>
        </w:rPr>
        <w:t>is </w:t>
      </w:r>
      <w:r>
        <w:rPr/>
        <w:t>a compound last-survivor status of which the components are </w:t>
      </w:r>
      <w:r>
        <w:rPr>
          <w:rFonts w:ascii="Arial" w:hAnsi="Arial"/>
          <w:sz w:val="19"/>
        </w:rPr>
        <w:t>a </w:t>
      </w:r>
      <w:r>
        <w:rPr/>
        <w:t>joint-life   status  and  a  last-survivor  </w:t>
      </w:r>
      <w:r>
        <w:rPr>
          <w:w w:val="115"/>
        </w:rPr>
        <w:t>status.</w:t>
      </w:r>
    </w:p>
    <w:p>
      <w:pPr>
        <w:pStyle w:val="BodyText"/>
        <w:spacing w:line="247" w:lineRule="auto" w:before="5"/>
        <w:ind w:left="103" w:right="125" w:firstLine="208"/>
        <w:jc w:val="both"/>
      </w:pPr>
      <w:r>
        <w:rPr>
          <w:w w:val="110"/>
        </w:rPr>
        <w:t>Functions</w:t>
      </w:r>
      <w:r>
        <w:rPr>
          <w:spacing w:val="-22"/>
          <w:w w:val="110"/>
        </w:rPr>
        <w:t> </w:t>
      </w:r>
      <w:r>
        <w:rPr>
          <w:w w:val="110"/>
        </w:rPr>
        <w:t>of</w:t>
      </w:r>
      <w:r>
        <w:rPr>
          <w:spacing w:val="-15"/>
          <w:w w:val="110"/>
        </w:rPr>
        <w:t> </w:t>
      </w:r>
      <w:r>
        <w:rPr>
          <w:w w:val="110"/>
        </w:rPr>
        <w:t>this</w:t>
      </w:r>
      <w:r>
        <w:rPr>
          <w:spacing w:val="-25"/>
          <w:w w:val="110"/>
        </w:rPr>
        <w:t> </w:t>
      </w:r>
      <w:r>
        <w:rPr>
          <w:w w:val="110"/>
        </w:rPr>
        <w:t>kind</w:t>
      </w:r>
      <w:r>
        <w:rPr>
          <w:spacing w:val="-18"/>
          <w:w w:val="110"/>
        </w:rPr>
        <w:t> </w:t>
      </w:r>
      <w:r>
        <w:rPr>
          <w:w w:val="110"/>
        </w:rPr>
        <w:t>can</w:t>
      </w:r>
      <w:r>
        <w:rPr>
          <w:spacing w:val="-27"/>
          <w:w w:val="110"/>
        </w:rPr>
        <w:t> </w:t>
      </w:r>
      <w:r>
        <w:rPr>
          <w:w w:val="110"/>
        </w:rPr>
        <w:t>always</w:t>
      </w:r>
      <w:r>
        <w:rPr>
          <w:spacing w:val="-32"/>
          <w:w w:val="110"/>
        </w:rPr>
        <w:t> </w:t>
      </w:r>
      <w:r>
        <w:rPr>
          <w:w w:val="110"/>
        </w:rPr>
        <w:t>be</w:t>
      </w:r>
      <w:r>
        <w:rPr>
          <w:spacing w:val="-24"/>
          <w:w w:val="110"/>
        </w:rPr>
        <w:t> </w:t>
      </w:r>
      <w:r>
        <w:rPr>
          <w:w w:val="110"/>
        </w:rPr>
        <w:t>expressed</w:t>
      </w:r>
      <w:r>
        <w:rPr>
          <w:spacing w:val="-15"/>
          <w:w w:val="110"/>
        </w:rPr>
        <w:t> </w:t>
      </w:r>
      <w:r>
        <w:rPr>
          <w:w w:val="110"/>
        </w:rPr>
        <w:t>in</w:t>
      </w:r>
      <w:r>
        <w:rPr>
          <w:spacing w:val="-25"/>
          <w:w w:val="110"/>
        </w:rPr>
        <w:t> </w:t>
      </w:r>
      <w:r>
        <w:rPr>
          <w:w w:val="110"/>
        </w:rPr>
        <w:t>terms</w:t>
      </w:r>
      <w:r>
        <w:rPr>
          <w:spacing w:val="-24"/>
          <w:w w:val="110"/>
        </w:rPr>
        <w:t> </w:t>
      </w:r>
      <w:r>
        <w:rPr>
          <w:w w:val="110"/>
        </w:rPr>
        <w:t>of</w:t>
      </w:r>
      <w:r>
        <w:rPr>
          <w:spacing w:val="-18"/>
          <w:w w:val="110"/>
        </w:rPr>
        <w:t> </w:t>
      </w:r>
      <w:r>
        <w:rPr>
          <w:w w:val="110"/>
        </w:rPr>
        <w:t>single­ life and simple joint-life functions. The procesa will </w:t>
      </w:r>
      <w:r>
        <w:rPr>
          <w:w w:val="110"/>
          <w:sz w:val="19"/>
        </w:rPr>
        <w:t>be </w:t>
      </w:r>
      <w:r>
        <w:rPr>
          <w:w w:val="110"/>
        </w:rPr>
        <w:t>illustrated </w:t>
      </w:r>
      <w:r>
        <w:rPr>
          <w:w w:val="110"/>
          <w:sz w:val="19"/>
        </w:rPr>
        <w:t>for </w:t>
      </w:r>
      <w:r>
        <w:rPr>
          <w:w w:val="110"/>
        </w:rPr>
        <w:t>the two </w:t>
      </w:r>
      <w:r>
        <w:rPr>
          <w:w w:val="110"/>
          <w:sz w:val="19"/>
        </w:rPr>
        <w:t>cases cited </w:t>
      </w:r>
      <w:r>
        <w:rPr>
          <w:spacing w:val="1"/>
          <w:w w:val="110"/>
          <w:sz w:val="19"/>
        </w:rPr>
        <w:t> </w:t>
      </w:r>
      <w:r>
        <w:rPr>
          <w:w w:val="110"/>
        </w:rPr>
        <w:t>above.</w:t>
      </w:r>
    </w:p>
    <w:p>
      <w:pPr>
        <w:spacing w:after="0" w:line="247" w:lineRule="auto"/>
        <w:jc w:val="both"/>
        <w:sectPr>
          <w:pgSz w:w="7200" w:h="11340"/>
          <w:pgMar w:top="480" w:bottom="280" w:left="660" w:right="540"/>
        </w:sectPr>
      </w:pPr>
    </w:p>
    <w:p>
      <w:pPr>
        <w:tabs>
          <w:tab w:pos="5267" w:val="left" w:leader="none"/>
        </w:tabs>
        <w:spacing w:before="46"/>
        <w:ind w:left="137" w:right="0" w:firstLine="0"/>
        <w:jc w:val="left"/>
        <w:rPr>
          <w:sz w:val="19"/>
        </w:rPr>
      </w:pPr>
      <w:r>
        <w:rPr>
          <w:w w:val="110"/>
          <w:sz w:val="19"/>
        </w:rPr>
        <w:t>214   </w:t>
      </w:r>
      <w:r>
        <w:rPr>
          <w:w w:val="110"/>
          <w:sz w:val="15"/>
        </w:rPr>
        <w:t>LAST-SURVIVOR  AND  GENERAL</w:t>
      </w:r>
      <w:r>
        <w:rPr>
          <w:spacing w:val="23"/>
          <w:w w:val="110"/>
          <w:sz w:val="15"/>
        </w:rPr>
        <w:t> </w:t>
      </w:r>
      <w:r>
        <w:rPr>
          <w:w w:val="110"/>
          <w:sz w:val="15"/>
        </w:rPr>
        <w:t>MULTI-LIJ'E</w:t>
      </w:r>
      <w:r>
        <w:rPr>
          <w:spacing w:val="37"/>
          <w:w w:val="110"/>
          <w:sz w:val="15"/>
        </w:rPr>
        <w:t> </w:t>
      </w:r>
      <w:r>
        <w:rPr>
          <w:spacing w:val="-3"/>
          <w:w w:val="110"/>
          <w:sz w:val="15"/>
        </w:rPr>
        <w:t>STATUSllS</w:t>
        <w:tab/>
      </w:r>
      <w:r>
        <w:rPr>
          <w:w w:val="110"/>
          <w:sz w:val="15"/>
        </w:rPr>
        <w:t>[CH. </w:t>
      </w:r>
      <w:r>
        <w:rPr>
          <w:spacing w:val="34"/>
          <w:w w:val="110"/>
          <w:sz w:val="15"/>
        </w:rPr>
        <w:t> </w:t>
      </w:r>
      <w:r>
        <w:rPr>
          <w:spacing w:val="-25"/>
          <w:w w:val="110"/>
          <w:sz w:val="19"/>
        </w:rPr>
        <w:t>10</w:t>
      </w:r>
    </w:p>
    <w:p>
      <w:pPr>
        <w:pStyle w:val="BodyText"/>
        <w:spacing w:before="6"/>
        <w:rPr>
          <w:sz w:val="21"/>
        </w:rPr>
      </w:pPr>
    </w:p>
    <w:p>
      <w:pPr>
        <w:spacing w:line="73" w:lineRule="exact" w:before="0"/>
        <w:ind w:left="74" w:right="3990" w:firstLine="0"/>
        <w:jc w:val="center"/>
        <w:rPr>
          <w:rFonts w:ascii="Arial"/>
          <w:sz w:val="8"/>
        </w:rPr>
      </w:pPr>
      <w:r>
        <w:rPr/>
        <w:pict>
          <v:shape style="position:absolute;margin-left:79.720909pt;margin-top:2.132514pt;width:.95pt;height:17pt;mso-position-horizontal-relative:page;mso-position-vertical-relative:paragraph;z-index:-719272" type="#_x0000_t202" filled="false" stroked="false">
            <v:textbox inset="0,0,0,0">
              <w:txbxContent>
                <w:p>
                  <w:pPr>
                    <w:spacing w:line="340" w:lineRule="exact" w:before="0"/>
                    <w:ind w:left="0" w:right="0" w:firstLine="0"/>
                    <w:jc w:val="left"/>
                    <w:rPr>
                      <w:i/>
                      <w:sz w:val="34"/>
                    </w:rPr>
                  </w:pPr>
                  <w:r>
                    <w:rPr>
                      <w:i/>
                      <w:spacing w:val="-238"/>
                      <w:w w:val="115"/>
                      <w:sz w:val="34"/>
                    </w:rPr>
                    <w:t>L</w:t>
                  </w:r>
                </w:p>
              </w:txbxContent>
            </v:textbox>
            <w10:wrap type="none"/>
          </v:shape>
        </w:pict>
      </w:r>
      <w:r>
        <w:rPr>
          <w:rFonts w:ascii="Arial"/>
          <w:w w:val="130"/>
          <w:sz w:val="8"/>
        </w:rPr>
        <w:t>IO</w:t>
      </w:r>
    </w:p>
    <w:p>
      <w:pPr>
        <w:spacing w:line="428" w:lineRule="exact" w:before="0"/>
        <w:ind w:left="119" w:right="739" w:firstLine="0"/>
        <w:jc w:val="left"/>
        <w:rPr>
          <w:sz w:val="20"/>
        </w:rPr>
      </w:pPr>
      <w:r>
        <w:rPr>
          <w:rFonts w:ascii="Arial"/>
          <w:spacing w:val="-18"/>
          <w:w w:val="110"/>
          <w:sz w:val="18"/>
        </w:rPr>
        <w:t>a</w:t>
      </w:r>
      <w:r>
        <w:rPr>
          <w:rFonts w:ascii="Arial"/>
          <w:spacing w:val="-34"/>
          <w:w w:val="257"/>
          <w:sz w:val="18"/>
        </w:rPr>
        <w:t>;</w:t>
      </w:r>
      <w:r>
        <w:rPr>
          <w:rFonts w:ascii="Arial"/>
          <w:spacing w:val="-97"/>
          <w:w w:val="257"/>
          <w:sz w:val="18"/>
        </w:rPr>
        <w:t>.</w:t>
      </w:r>
      <w:r>
        <w:rPr>
          <w:rFonts w:ascii="Arial"/>
          <w:w w:val="87"/>
          <w:sz w:val="18"/>
        </w:rPr>
        <w:t>:wi</w:t>
      </w:r>
      <w:r>
        <w:rPr>
          <w:rFonts w:ascii="Arial"/>
          <w:spacing w:val="23"/>
          <w:sz w:val="18"/>
        </w:rPr>
        <w:t> </w:t>
      </w:r>
      <w:r>
        <w:rPr>
          <w:w w:val="87"/>
          <w:sz w:val="28"/>
        </w:rPr>
        <w:t>=</w:t>
      </w:r>
      <w:r>
        <w:rPr>
          <w:sz w:val="28"/>
        </w:rPr>
        <w:t> </w:t>
      </w:r>
      <w:r>
        <w:rPr>
          <w:spacing w:val="-6"/>
          <w:sz w:val="28"/>
        </w:rPr>
        <w:t> </w:t>
      </w:r>
      <w:r>
        <w:rPr>
          <w:spacing w:val="-32"/>
          <w:w w:val="105"/>
          <w:position w:val="-11"/>
          <w:sz w:val="30"/>
        </w:rPr>
        <w:t>,</w:t>
      </w:r>
      <w:r>
        <w:rPr>
          <w:spacing w:val="-15"/>
          <w:w w:val="125"/>
          <w:position w:val="-11"/>
          <w:sz w:val="30"/>
        </w:rPr>
        <w:t>-</w:t>
      </w:r>
      <w:r>
        <w:rPr>
          <w:spacing w:val="11"/>
          <w:w w:val="62"/>
          <w:position w:val="-11"/>
          <w:sz w:val="30"/>
        </w:rPr>
        <w:t>1</w:t>
      </w:r>
      <w:r>
        <w:rPr>
          <w:w w:val="96"/>
          <w:sz w:val="20"/>
        </w:rPr>
        <w:t>t1</w:t>
      </w:r>
      <w:r>
        <w:rPr>
          <w:w w:val="96"/>
          <w:sz w:val="20"/>
        </w:rPr>
        <w:t>\</w:t>
      </w:r>
      <w:r>
        <w:rPr>
          <w:spacing w:val="-3"/>
          <w:w w:val="97"/>
          <w:sz w:val="20"/>
        </w:rPr>
        <w:t>p</w:t>
      </w:r>
      <w:r>
        <w:rPr>
          <w:w w:val="201"/>
          <w:sz w:val="20"/>
        </w:rPr>
        <w:t>;</w:t>
      </w:r>
      <w:r>
        <w:rPr>
          <w:spacing w:val="-33"/>
          <w:w w:val="201"/>
          <w:sz w:val="20"/>
        </w:rPr>
        <w:t>;</w:t>
      </w:r>
      <w:r>
        <w:rPr>
          <w:spacing w:val="-38"/>
          <w:w w:val="113"/>
          <w:sz w:val="20"/>
        </w:rPr>
        <w:t>:</w:t>
      </w:r>
      <w:r>
        <w:rPr>
          <w:w w:val="178"/>
          <w:sz w:val="20"/>
        </w:rPr>
        <w:t>;.</w:t>
      </w:r>
    </w:p>
    <w:p>
      <w:pPr>
        <w:spacing w:line="210" w:lineRule="exact" w:before="0"/>
        <w:ind w:left="929" w:right="0" w:firstLine="0"/>
        <w:jc w:val="left"/>
        <w:rPr>
          <w:rFonts w:ascii="Arial" w:hAnsi="Arial"/>
          <w:sz w:val="24"/>
        </w:rPr>
      </w:pPr>
      <w:r>
        <w:rPr>
          <w:rFonts w:ascii="Arial" w:hAnsi="Arial"/>
          <w:w w:val="172"/>
          <w:sz w:val="24"/>
        </w:rPr>
        <w:t>•</w:t>
      </w:r>
    </w:p>
    <w:p>
      <w:pPr>
        <w:tabs>
          <w:tab w:pos="1166" w:val="left" w:leader="none"/>
        </w:tabs>
        <w:spacing w:line="259" w:lineRule="exact" w:before="0"/>
        <w:ind w:left="626" w:right="133" w:firstLine="0"/>
        <w:jc w:val="left"/>
        <w:rPr>
          <w:sz w:val="20"/>
        </w:rPr>
      </w:pPr>
      <w:r>
        <w:rPr/>
        <w:pict>
          <v:line style="position:absolute;mso-position-horizontal-relative:page;mso-position-vertical-relative:paragraph;z-index:-719320" from="196.919998pt,10.123670pt" to="200.699998pt,10.123670pt" stroked="true" strokeweight=".36pt" strokecolor="#000000">
            <w10:wrap type="none"/>
          </v:line>
        </w:pict>
      </w:r>
      <w:r>
        <w:rPr>
          <w:w w:val="87"/>
          <w:sz w:val="28"/>
        </w:rPr>
        <w:t>=</w:t>
      </w:r>
      <w:r>
        <w:rPr>
          <w:sz w:val="28"/>
        </w:rPr>
        <w:tab/>
      </w:r>
      <w:r>
        <w:rPr>
          <w:rFonts w:ascii="Arial" w:hAnsi="Arial"/>
          <w:w w:val="151"/>
          <w:sz w:val="14"/>
        </w:rPr>
        <w:t>ir</w:t>
      </w:r>
      <w:r>
        <w:rPr>
          <w:rFonts w:ascii="Arial" w:hAnsi="Arial"/>
          <w:spacing w:val="-11"/>
          <w:w w:val="151"/>
          <w:sz w:val="14"/>
        </w:rPr>
        <w:t>'</w:t>
      </w:r>
      <w:r>
        <w:rPr>
          <w:w w:val="121"/>
          <w:sz w:val="20"/>
        </w:rPr>
        <w:t>cP</w:t>
      </w:r>
      <w:r>
        <w:rPr>
          <w:spacing w:val="24"/>
          <w:w w:val="121"/>
          <w:sz w:val="20"/>
          <w:u w:val="single"/>
        </w:rPr>
        <w:t>-</w:t>
      </w:r>
      <w:r>
        <w:rPr>
          <w:spacing w:val="-13"/>
          <w:w w:val="137"/>
          <w:sz w:val="20"/>
        </w:rPr>
        <w:t>·</w:t>
      </w:r>
      <w:r>
        <w:rPr>
          <w:rFonts w:ascii="Arial" w:hAnsi="Arial"/>
          <w:i/>
          <w:spacing w:val="-39"/>
          <w:w w:val="147"/>
          <w:sz w:val="19"/>
        </w:rPr>
        <w:t>,</w:t>
      </w:r>
      <w:r>
        <w:rPr>
          <w:rFonts w:ascii="Arial" w:hAnsi="Arial"/>
          <w:i/>
          <w:w w:val="114"/>
          <w:sz w:val="19"/>
        </w:rPr>
        <w:t>p.;</w:t>
      </w:r>
      <w:r>
        <w:rPr>
          <w:rFonts w:ascii="Arial" w:hAnsi="Arial"/>
          <w:i/>
          <w:sz w:val="19"/>
        </w:rPr>
        <w:t> </w:t>
      </w:r>
      <w:r>
        <w:rPr>
          <w:rFonts w:ascii="Arial" w:hAnsi="Arial"/>
          <w:i/>
          <w:spacing w:val="1"/>
          <w:sz w:val="19"/>
        </w:rPr>
        <w:t> </w:t>
      </w:r>
      <w:r>
        <w:rPr>
          <w:w w:val="101"/>
          <w:sz w:val="20"/>
        </w:rPr>
        <w:t>(</w:t>
      </w:r>
      <w:r>
        <w:rPr>
          <w:w w:val="101"/>
          <w:sz w:val="20"/>
        </w:rPr>
        <w:t>since</w:t>
      </w:r>
      <w:r>
        <w:rPr>
          <w:spacing w:val="10"/>
          <w:sz w:val="20"/>
        </w:rPr>
        <w:t> </w:t>
      </w:r>
      <w:r>
        <w:rPr>
          <w:w w:val="109"/>
          <w:sz w:val="20"/>
        </w:rPr>
        <w:t>both</w:t>
      </w:r>
      <w:r>
        <w:rPr>
          <w:sz w:val="20"/>
        </w:rPr>
        <w:t> </w:t>
      </w:r>
      <w:r>
        <w:rPr>
          <w:spacing w:val="5"/>
          <w:sz w:val="20"/>
        </w:rPr>
        <w:t> </w:t>
      </w:r>
      <w:r>
        <w:rPr>
          <w:w w:val="106"/>
          <w:sz w:val="18"/>
        </w:rPr>
        <w:t>(</w:t>
      </w:r>
      <w:r>
        <w:rPr>
          <w:w w:val="106"/>
          <w:sz w:val="18"/>
        </w:rPr>
        <w:t>vr.i</w:t>
      </w:r>
      <w:r>
        <w:rPr>
          <w:w w:val="106"/>
          <w:sz w:val="18"/>
        </w:rPr>
        <w:t>)</w:t>
      </w:r>
      <w:r>
        <w:rPr>
          <w:sz w:val="18"/>
        </w:rPr>
        <w:t> </w:t>
      </w:r>
      <w:r>
        <w:rPr>
          <w:spacing w:val="-20"/>
          <w:sz w:val="18"/>
        </w:rPr>
        <w:t> </w:t>
      </w:r>
      <w:r>
        <w:rPr>
          <w:w w:val="109"/>
          <w:sz w:val="20"/>
        </w:rPr>
        <w:t>and</w:t>
      </w:r>
      <w:r>
        <w:rPr>
          <w:sz w:val="20"/>
        </w:rPr>
        <w:t>  </w:t>
      </w:r>
      <w:r>
        <w:rPr>
          <w:rFonts w:ascii="Arial" w:hAnsi="Arial"/>
          <w:b/>
          <w:w w:val="113"/>
          <w:sz w:val="19"/>
          <w:u w:val="thick"/>
        </w:rPr>
        <w:t>(</w:t>
      </w:r>
      <w:r>
        <w:rPr>
          <w:rFonts w:ascii="Arial" w:hAnsi="Arial"/>
          <w:b/>
          <w:w w:val="113"/>
          <w:sz w:val="19"/>
          <w:u w:val="thick"/>
        </w:rPr>
        <w:t>pi</w:t>
      </w:r>
      <w:r>
        <w:rPr>
          <w:rFonts w:ascii="Arial" w:hAnsi="Arial"/>
          <w:b/>
          <w:w w:val="113"/>
          <w:sz w:val="19"/>
        </w:rPr>
        <w:t>)</w:t>
      </w:r>
      <w:r>
        <w:rPr>
          <w:rFonts w:ascii="Arial" w:hAnsi="Arial"/>
          <w:b/>
          <w:spacing w:val="17"/>
          <w:sz w:val="19"/>
        </w:rPr>
        <w:t> </w:t>
      </w:r>
      <w:r>
        <w:rPr>
          <w:w w:val="108"/>
          <w:sz w:val="20"/>
        </w:rPr>
        <w:t>must</w:t>
      </w:r>
      <w:r>
        <w:rPr>
          <w:spacing w:val="23"/>
          <w:sz w:val="20"/>
        </w:rPr>
        <w:t> </w:t>
      </w:r>
      <w:r>
        <w:rPr>
          <w:w w:val="108"/>
          <w:sz w:val="20"/>
        </w:rPr>
        <w:t>survive</w:t>
      </w:r>
      <w:r>
        <w:rPr>
          <w:w w:val="108"/>
          <w:sz w:val="20"/>
        </w:rPr>
        <w:t>)</w:t>
      </w:r>
    </w:p>
    <w:p>
      <w:pPr>
        <w:pStyle w:val="BodyText"/>
        <w:spacing w:before="9"/>
        <w:rPr>
          <w:sz w:val="9"/>
        </w:rPr>
      </w:pPr>
    </w:p>
    <w:p>
      <w:pPr>
        <w:pStyle w:val="BodyText"/>
        <w:spacing w:before="8"/>
        <w:rPr>
          <w:sz w:val="7"/>
        </w:rPr>
      </w:pPr>
    </w:p>
    <w:p>
      <w:pPr>
        <w:spacing w:line="68" w:lineRule="exact" w:before="0"/>
        <w:ind w:left="932" w:right="739" w:firstLine="0"/>
        <w:jc w:val="left"/>
        <w:rPr>
          <w:b/>
          <w:sz w:val="9"/>
        </w:rPr>
      </w:pPr>
      <w:r>
        <w:rPr>
          <w:b/>
          <w:w w:val="105"/>
          <w:sz w:val="9"/>
        </w:rPr>
        <w:t>tD</w:t>
      </w:r>
    </w:p>
    <w:p>
      <w:pPr>
        <w:spacing w:line="317" w:lineRule="exact" w:before="0"/>
        <w:ind w:left="623" w:right="739" w:firstLine="0"/>
        <w:jc w:val="left"/>
        <w:rPr>
          <w:i/>
          <w:sz w:val="20"/>
        </w:rPr>
      </w:pPr>
      <w:r>
        <w:rPr>
          <w:w w:val="92"/>
          <w:sz w:val="26"/>
        </w:rPr>
        <w:t>=</w:t>
      </w:r>
      <w:r>
        <w:rPr>
          <w:sz w:val="26"/>
        </w:rPr>
        <w:t> </w:t>
      </w:r>
      <w:r>
        <w:rPr>
          <w:spacing w:val="-4"/>
          <w:sz w:val="26"/>
        </w:rPr>
        <w:t> </w:t>
      </w:r>
      <w:r>
        <w:rPr>
          <w:i/>
          <w:w w:val="109"/>
          <w:sz w:val="34"/>
        </w:rPr>
        <w:t>L</w:t>
      </w:r>
      <w:r>
        <w:rPr>
          <w:i/>
          <w:spacing w:val="-16"/>
          <w:sz w:val="34"/>
        </w:rPr>
        <w:t> </w:t>
      </w:r>
      <w:r>
        <w:rPr>
          <w:i/>
          <w:w w:val="92"/>
          <w:sz w:val="20"/>
        </w:rPr>
        <w:t>v'</w:t>
      </w:r>
      <w:r>
        <w:rPr>
          <w:i/>
          <w:spacing w:val="-3"/>
          <w:sz w:val="20"/>
        </w:rPr>
        <w:t> </w:t>
      </w:r>
      <w:r>
        <w:rPr>
          <w:i/>
          <w:w w:val="69"/>
          <w:sz w:val="20"/>
        </w:rPr>
        <w:t>(</w:t>
      </w:r>
      <w:r>
        <w:rPr>
          <w:i/>
          <w:spacing w:val="-25"/>
          <w:sz w:val="20"/>
        </w:rPr>
        <w:t> </w:t>
      </w:r>
      <w:r>
        <w:rPr>
          <w:i/>
          <w:spacing w:val="-35"/>
          <w:w w:val="149"/>
          <w:sz w:val="20"/>
        </w:rPr>
        <w:t>,</w:t>
      </w:r>
      <w:r>
        <w:rPr>
          <w:i/>
          <w:w w:val="72"/>
          <w:sz w:val="20"/>
        </w:rPr>
        <w:t>Pt,,</w:t>
      </w:r>
      <w:r>
        <w:rPr>
          <w:i/>
          <w:sz w:val="20"/>
        </w:rPr>
        <w:t> </w:t>
      </w:r>
      <w:r>
        <w:rPr>
          <w:i/>
          <w:spacing w:val="-22"/>
          <w:sz w:val="20"/>
        </w:rPr>
        <w:t> </w:t>
      </w:r>
      <w:r>
        <w:rPr>
          <w:rFonts w:ascii="Arial"/>
          <w:w w:val="104"/>
          <w:sz w:val="32"/>
        </w:rPr>
        <w:t>+</w:t>
      </w:r>
      <w:r>
        <w:rPr>
          <w:rFonts w:ascii="Arial"/>
          <w:spacing w:val="-22"/>
          <w:sz w:val="32"/>
        </w:rPr>
        <w:t> </w:t>
      </w:r>
      <w:r>
        <w:rPr>
          <w:w w:val="84"/>
          <w:sz w:val="21"/>
        </w:rPr>
        <w:t>tPs</w:t>
      </w:r>
      <w:r>
        <w:rPr>
          <w:sz w:val="21"/>
        </w:rPr>
        <w:t> </w:t>
      </w:r>
      <w:r>
        <w:rPr>
          <w:spacing w:val="-18"/>
          <w:sz w:val="21"/>
        </w:rPr>
        <w:t> </w:t>
      </w:r>
      <w:r>
        <w:rPr>
          <w:w w:val="261"/>
          <w:sz w:val="21"/>
        </w:rPr>
        <w:t>-</w:t>
      </w:r>
      <w:r>
        <w:rPr>
          <w:spacing w:val="16"/>
          <w:sz w:val="21"/>
        </w:rPr>
        <w:t> </w:t>
      </w:r>
      <w:r>
        <w:rPr>
          <w:rFonts w:ascii="Arial"/>
          <w:i/>
          <w:spacing w:val="-32"/>
          <w:w w:val="135"/>
          <w:sz w:val="19"/>
        </w:rPr>
        <w:t>,</w:t>
      </w:r>
      <w:r>
        <w:rPr>
          <w:rFonts w:ascii="Arial"/>
          <w:i/>
          <w:w w:val="99"/>
          <w:sz w:val="19"/>
        </w:rPr>
        <w:t>p.</w:t>
      </w:r>
      <w:r>
        <w:rPr>
          <w:rFonts w:ascii="Arial"/>
          <w:i/>
          <w:spacing w:val="-6"/>
          <w:w w:val="99"/>
          <w:sz w:val="19"/>
        </w:rPr>
        <w:t>.</w:t>
      </w:r>
      <w:r>
        <w:rPr>
          <w:rFonts w:ascii="Arial"/>
          <w:i/>
          <w:w w:val="39"/>
          <w:sz w:val="19"/>
        </w:rPr>
        <w:t>:,:</w:t>
      </w:r>
      <w:r>
        <w:rPr>
          <w:rFonts w:ascii="Arial"/>
          <w:i/>
          <w:spacing w:val="-34"/>
          <w:sz w:val="19"/>
        </w:rPr>
        <w:t> </w:t>
      </w:r>
      <w:r>
        <w:rPr>
          <w:rFonts w:ascii="Arial"/>
          <w:i/>
          <w:w w:val="83"/>
          <w:sz w:val="19"/>
        </w:rPr>
        <w:t>)</w:t>
      </w:r>
      <w:r>
        <w:rPr>
          <w:rFonts w:ascii="Arial"/>
          <w:i/>
          <w:spacing w:val="9"/>
          <w:sz w:val="19"/>
        </w:rPr>
        <w:t> </w:t>
      </w:r>
      <w:r>
        <w:rPr>
          <w:i/>
          <w:w w:val="69"/>
          <w:sz w:val="20"/>
        </w:rPr>
        <w:t>(</w:t>
      </w:r>
      <w:r>
        <w:rPr>
          <w:i/>
          <w:spacing w:val="-25"/>
          <w:sz w:val="20"/>
        </w:rPr>
        <w:t> </w:t>
      </w:r>
      <w:r>
        <w:rPr>
          <w:i/>
          <w:w w:val="49"/>
          <w:sz w:val="20"/>
        </w:rPr>
        <w:t>1P11</w:t>
      </w:r>
      <w:r>
        <w:rPr>
          <w:i/>
          <w:sz w:val="20"/>
        </w:rPr>
        <w:t> </w:t>
      </w:r>
      <w:r>
        <w:rPr>
          <w:i/>
          <w:spacing w:val="-23"/>
          <w:sz w:val="20"/>
        </w:rPr>
        <w:t> </w:t>
      </w:r>
      <w:r>
        <w:rPr>
          <w:rFonts w:ascii="Arial"/>
          <w:w w:val="103"/>
          <w:sz w:val="31"/>
        </w:rPr>
        <w:t>+</w:t>
      </w:r>
      <w:r>
        <w:rPr>
          <w:rFonts w:ascii="Arial"/>
          <w:spacing w:val="-19"/>
          <w:sz w:val="31"/>
        </w:rPr>
        <w:t> </w:t>
      </w:r>
      <w:r>
        <w:rPr>
          <w:rFonts w:ascii="Arial"/>
          <w:i/>
          <w:spacing w:val="-39"/>
          <w:w w:val="140"/>
          <w:sz w:val="20"/>
        </w:rPr>
        <w:t>,</w:t>
      </w:r>
      <w:r>
        <w:rPr>
          <w:rFonts w:ascii="Arial"/>
          <w:i/>
          <w:w w:val="106"/>
          <w:sz w:val="20"/>
        </w:rPr>
        <w:t>p.</w:t>
      </w:r>
      <w:r>
        <w:rPr>
          <w:rFonts w:ascii="Arial"/>
          <w:i/>
          <w:spacing w:val="21"/>
          <w:sz w:val="20"/>
        </w:rPr>
        <w:t> </w:t>
      </w:r>
      <w:r>
        <w:rPr>
          <w:rFonts w:ascii="Arial"/>
          <w:w w:val="255"/>
          <w:sz w:val="20"/>
        </w:rPr>
        <w:t>-</w:t>
      </w:r>
      <w:r>
        <w:rPr>
          <w:rFonts w:ascii="Arial"/>
          <w:spacing w:val="22"/>
          <w:sz w:val="20"/>
        </w:rPr>
        <w:t> </w:t>
      </w:r>
      <w:r>
        <w:rPr>
          <w:i/>
          <w:w w:val="76"/>
          <w:sz w:val="20"/>
        </w:rPr>
        <w:t>1</w:t>
      </w:r>
      <w:r>
        <w:rPr>
          <w:i/>
          <w:spacing w:val="-22"/>
          <w:w w:val="75"/>
          <w:sz w:val="20"/>
        </w:rPr>
        <w:t>P</w:t>
      </w:r>
      <w:r>
        <w:rPr>
          <w:i/>
          <w:w w:val="49"/>
          <w:sz w:val="20"/>
        </w:rPr>
        <w:t>11:</w:t>
      </w:r>
      <w:r>
        <w:rPr>
          <w:i/>
          <w:spacing w:val="-33"/>
          <w:sz w:val="20"/>
        </w:rPr>
        <w:t> </w:t>
      </w:r>
      <w:r>
        <w:rPr>
          <w:i/>
          <w:w w:val="79"/>
          <w:sz w:val="20"/>
        </w:rPr>
        <w:t>)</w:t>
      </w:r>
    </w:p>
    <w:p>
      <w:pPr>
        <w:spacing w:line="99" w:lineRule="exact" w:before="0"/>
        <w:ind w:left="893" w:right="739" w:firstLine="0"/>
        <w:jc w:val="left"/>
        <w:rPr>
          <w:rFonts w:ascii="Arial"/>
          <w:sz w:val="12"/>
        </w:rPr>
      </w:pPr>
      <w:r>
        <w:rPr>
          <w:rFonts w:ascii="Arial"/>
          <w:w w:val="145"/>
          <w:sz w:val="12"/>
        </w:rPr>
        <w:t>e-1</w:t>
      </w:r>
    </w:p>
    <w:p>
      <w:pPr>
        <w:spacing w:line="94" w:lineRule="exact" w:before="100"/>
        <w:ind w:left="921" w:right="739" w:firstLine="0"/>
        <w:jc w:val="left"/>
        <w:rPr>
          <w:sz w:val="12"/>
        </w:rPr>
      </w:pPr>
      <w:r>
        <w:rPr>
          <w:w w:val="95"/>
          <w:sz w:val="12"/>
        </w:rPr>
        <w:t>ao</w:t>
      </w:r>
    </w:p>
    <w:p>
      <w:pPr>
        <w:spacing w:line="446" w:lineRule="exact" w:before="0"/>
        <w:ind w:left="865" w:right="133" w:firstLine="0"/>
        <w:jc w:val="left"/>
        <w:rPr>
          <w:rFonts w:ascii="Arial"/>
          <w:i/>
          <w:sz w:val="32"/>
        </w:rPr>
      </w:pPr>
      <w:r>
        <w:rPr>
          <w:i/>
          <w:spacing w:val="-222"/>
          <w:w w:val="109"/>
          <w:sz w:val="34"/>
        </w:rPr>
        <w:t>L</w:t>
      </w:r>
      <w:r>
        <w:rPr>
          <w:w w:val="103"/>
          <w:position w:val="-10"/>
          <w:sz w:val="29"/>
        </w:rPr>
        <w:t>,</w:t>
      </w:r>
      <w:r>
        <w:rPr>
          <w:spacing w:val="-11"/>
          <w:w w:val="103"/>
          <w:position w:val="-10"/>
          <w:sz w:val="29"/>
        </w:rPr>
        <w:t>-</w:t>
      </w:r>
      <w:r>
        <w:rPr>
          <w:w w:val="60"/>
          <w:position w:val="-10"/>
          <w:sz w:val="29"/>
        </w:rPr>
        <w:t>1</w:t>
      </w:r>
      <w:r>
        <w:rPr>
          <w:spacing w:val="-52"/>
          <w:position w:val="-10"/>
          <w:sz w:val="29"/>
        </w:rPr>
        <w:t> </w:t>
      </w:r>
      <w:r>
        <w:rPr>
          <w:i/>
          <w:w w:val="81"/>
          <w:sz w:val="22"/>
        </w:rPr>
        <w:t>v'</w:t>
      </w:r>
      <w:r>
        <w:rPr>
          <w:i/>
          <w:spacing w:val="-5"/>
          <w:sz w:val="22"/>
        </w:rPr>
        <w:t> </w:t>
      </w:r>
      <w:r>
        <w:rPr>
          <w:w w:val="81"/>
          <w:sz w:val="20"/>
        </w:rPr>
        <w:t>(</w:t>
      </w:r>
      <w:r>
        <w:rPr>
          <w:w w:val="81"/>
          <w:sz w:val="20"/>
        </w:rPr>
        <w:t>,Pv</w:t>
      </w:r>
      <w:r>
        <w:rPr>
          <w:spacing w:val="-9"/>
          <w:w w:val="81"/>
          <w:sz w:val="20"/>
        </w:rPr>
        <w:t>:</w:t>
      </w:r>
      <w:r>
        <w:rPr>
          <w:w w:val="41"/>
          <w:sz w:val="20"/>
        </w:rPr>
        <w:t>11</w:t>
      </w:r>
      <w:r>
        <w:rPr>
          <w:spacing w:val="15"/>
          <w:sz w:val="20"/>
        </w:rPr>
        <w:t> </w:t>
      </w:r>
      <w:r>
        <w:rPr>
          <w:rFonts w:ascii="Arial"/>
          <w:w w:val="105"/>
          <w:sz w:val="31"/>
        </w:rPr>
        <w:t>+</w:t>
      </w:r>
      <w:r>
        <w:rPr>
          <w:rFonts w:ascii="Arial"/>
          <w:spacing w:val="-23"/>
          <w:sz w:val="31"/>
        </w:rPr>
        <w:t> </w:t>
      </w:r>
      <w:r>
        <w:rPr>
          <w:i/>
          <w:w w:val="82"/>
          <w:sz w:val="18"/>
        </w:rPr>
        <w:t>t'Pvz</w:t>
      </w:r>
      <w:r>
        <w:rPr>
          <w:i/>
          <w:sz w:val="18"/>
        </w:rPr>
        <w:t> </w:t>
      </w:r>
      <w:r>
        <w:rPr>
          <w:i/>
          <w:spacing w:val="-1"/>
          <w:sz w:val="18"/>
        </w:rPr>
        <w:t> </w:t>
      </w:r>
      <w:r>
        <w:rPr>
          <w:w w:val="101"/>
          <w:sz w:val="29"/>
        </w:rPr>
        <w:t>+</w:t>
      </w:r>
      <w:r>
        <w:rPr>
          <w:spacing w:val="20"/>
          <w:sz w:val="29"/>
        </w:rPr>
        <w:t> </w:t>
      </w:r>
      <w:r>
        <w:rPr>
          <w:i/>
          <w:w w:val="96"/>
          <w:sz w:val="13"/>
        </w:rPr>
        <w:t>tPZN</w:t>
      </w:r>
      <w:r>
        <w:rPr>
          <w:i/>
          <w:sz w:val="13"/>
        </w:rPr>
        <w:t>  </w:t>
      </w:r>
      <w:r>
        <w:rPr>
          <w:i/>
          <w:spacing w:val="-4"/>
          <w:sz w:val="13"/>
        </w:rPr>
        <w:t> </w:t>
      </w:r>
      <w:r>
        <w:rPr>
          <w:rFonts w:ascii="Arial"/>
          <w:w w:val="103"/>
          <w:sz w:val="31"/>
        </w:rPr>
        <w:t>+</w:t>
      </w:r>
      <w:r>
        <w:rPr>
          <w:rFonts w:ascii="Arial"/>
          <w:spacing w:val="-19"/>
          <w:sz w:val="31"/>
        </w:rPr>
        <w:t> </w:t>
      </w:r>
      <w:r>
        <w:rPr>
          <w:i/>
          <w:w w:val="93"/>
          <w:sz w:val="18"/>
        </w:rPr>
        <w:t>t'Pu</w:t>
      </w:r>
      <w:r>
        <w:rPr>
          <w:i/>
          <w:sz w:val="18"/>
        </w:rPr>
        <w:t> </w:t>
      </w:r>
      <w:r>
        <w:rPr>
          <w:i/>
          <w:spacing w:val="-1"/>
          <w:sz w:val="18"/>
        </w:rPr>
        <w:t> </w:t>
      </w:r>
      <w:r>
        <w:rPr>
          <w:w w:val="313"/>
          <w:sz w:val="18"/>
        </w:rPr>
        <w:t>-</w:t>
      </w:r>
      <w:r>
        <w:rPr>
          <w:spacing w:val="11"/>
          <w:sz w:val="18"/>
        </w:rPr>
        <w:t> </w:t>
      </w:r>
      <w:r>
        <w:rPr>
          <w:i/>
          <w:w w:val="75"/>
          <w:sz w:val="13"/>
        </w:rPr>
        <w:t>t.1'"'1J</w:t>
      </w:r>
      <w:r>
        <w:rPr>
          <w:i/>
          <w:spacing w:val="-12"/>
          <w:sz w:val="13"/>
        </w:rPr>
        <w:t> </w:t>
      </w:r>
      <w:r>
        <w:rPr>
          <w:i/>
          <w:w w:val="54"/>
          <w:sz w:val="13"/>
        </w:rPr>
        <w:t>z:</w:t>
      </w:r>
      <w:r>
        <w:rPr>
          <w:i/>
          <w:sz w:val="13"/>
        </w:rPr>
        <w:t>  </w:t>
      </w:r>
      <w:r>
        <w:rPr>
          <w:i/>
          <w:spacing w:val="-6"/>
          <w:sz w:val="13"/>
        </w:rPr>
        <w:t> </w:t>
      </w:r>
      <w:r>
        <w:rPr>
          <w:w w:val="424"/>
          <w:sz w:val="13"/>
        </w:rPr>
        <w:t>-</w:t>
      </w:r>
      <w:r>
        <w:rPr>
          <w:sz w:val="13"/>
        </w:rPr>
        <w:t>  </w:t>
      </w:r>
      <w:r>
        <w:rPr>
          <w:spacing w:val="-16"/>
          <w:sz w:val="13"/>
        </w:rPr>
        <w:t> </w:t>
      </w:r>
      <w:r>
        <w:rPr>
          <w:b/>
          <w:i/>
          <w:w w:val="104"/>
          <w:sz w:val="19"/>
        </w:rPr>
        <w:t>,p.q,</w:t>
      </w:r>
      <w:r>
        <w:rPr>
          <w:b/>
          <w:i/>
          <w:sz w:val="19"/>
        </w:rPr>
        <w:t> </w:t>
      </w:r>
      <w:r>
        <w:rPr>
          <w:b/>
          <w:i/>
          <w:spacing w:val="-6"/>
          <w:sz w:val="19"/>
        </w:rPr>
        <w:t> </w:t>
      </w:r>
      <w:r>
        <w:rPr>
          <w:w w:val="297"/>
          <w:sz w:val="19"/>
        </w:rPr>
        <w:t>-</w:t>
      </w:r>
      <w:r>
        <w:rPr>
          <w:spacing w:val="8"/>
          <w:sz w:val="19"/>
        </w:rPr>
        <w:t> </w:t>
      </w:r>
      <w:r>
        <w:rPr>
          <w:rFonts w:ascii="Arial"/>
          <w:i/>
          <w:spacing w:val="-32"/>
          <w:w w:val="79"/>
          <w:sz w:val="32"/>
        </w:rPr>
        <w:t>,</w:t>
      </w:r>
      <w:r>
        <w:rPr>
          <w:rFonts w:ascii="Arial"/>
          <w:i/>
          <w:spacing w:val="-69"/>
          <w:w w:val="63"/>
          <w:sz w:val="32"/>
        </w:rPr>
        <w:t>p</w:t>
      </w:r>
      <w:r>
        <w:rPr>
          <w:rFonts w:ascii="Arial"/>
          <w:i/>
          <w:spacing w:val="-168"/>
          <w:w w:val="239"/>
          <w:sz w:val="32"/>
        </w:rPr>
        <w:t>.</w:t>
      </w:r>
      <w:r>
        <w:rPr>
          <w:rFonts w:ascii="Arial"/>
          <w:i/>
          <w:w w:val="54"/>
          <w:sz w:val="32"/>
        </w:rPr>
        <w:t>""</w:t>
      </w:r>
    </w:p>
    <w:p>
      <w:pPr>
        <w:spacing w:line="367" w:lineRule="exact" w:before="13"/>
        <w:ind w:left="0" w:right="138" w:firstLine="0"/>
        <w:jc w:val="right"/>
        <w:rPr>
          <w:b/>
          <w:sz w:val="15"/>
        </w:rPr>
      </w:pPr>
      <w:r>
        <w:rPr>
          <w:w w:val="365"/>
          <w:sz w:val="14"/>
        </w:rPr>
        <w:t>-</w:t>
      </w:r>
      <w:r>
        <w:rPr>
          <w:spacing w:val="-105"/>
          <w:w w:val="365"/>
          <w:sz w:val="14"/>
        </w:rPr>
        <w:t> </w:t>
      </w:r>
      <w:r>
        <w:rPr>
          <w:i/>
          <w:w w:val="95"/>
          <w:sz w:val="14"/>
        </w:rPr>
        <w:t>,P111:sz </w:t>
      </w:r>
      <w:r>
        <w:rPr>
          <w:rFonts w:ascii="Arial"/>
          <w:w w:val="125"/>
          <w:sz w:val="32"/>
        </w:rPr>
        <w:t>+</w:t>
      </w:r>
      <w:r>
        <w:rPr>
          <w:rFonts w:ascii="Arial"/>
          <w:spacing w:val="-92"/>
          <w:w w:val="125"/>
          <w:sz w:val="32"/>
        </w:rPr>
        <w:t> </w:t>
      </w:r>
      <w:r>
        <w:rPr>
          <w:b/>
          <w:w w:val="95"/>
          <w:sz w:val="15"/>
        </w:rPr>
        <w:t>t'Ptn,,z </w:t>
      </w:r>
      <w:r>
        <w:rPr>
          <w:b/>
          <w:w w:val="160"/>
          <w:sz w:val="15"/>
        </w:rPr>
        <w:t>)</w:t>
      </w:r>
    </w:p>
    <w:p>
      <w:pPr>
        <w:spacing w:line="544" w:lineRule="exact" w:before="0"/>
        <w:ind w:left="612" w:right="0" w:firstLine="0"/>
        <w:jc w:val="left"/>
        <w:rPr>
          <w:sz w:val="13"/>
        </w:rPr>
      </w:pPr>
      <w:r>
        <w:rPr>
          <w:w w:val="92"/>
          <w:sz w:val="26"/>
        </w:rPr>
        <w:t>=</w:t>
      </w:r>
      <w:r>
        <w:rPr>
          <w:sz w:val="26"/>
        </w:rPr>
        <w:t> </w:t>
      </w:r>
      <w:r>
        <w:rPr>
          <w:spacing w:val="-33"/>
          <w:sz w:val="26"/>
        </w:rPr>
        <w:t> </w:t>
      </w:r>
      <w:r>
        <w:rPr>
          <w:w w:val="65"/>
          <w:sz w:val="22"/>
        </w:rPr>
        <w:t>a,,,</w:t>
      </w:r>
      <w:r>
        <w:rPr>
          <w:spacing w:val="-30"/>
          <w:w w:val="66"/>
          <w:sz w:val="22"/>
        </w:rPr>
        <w:t>,</w:t>
      </w:r>
      <w:r>
        <w:rPr>
          <w:spacing w:val="-33"/>
          <w:w w:val="52"/>
          <w:position w:val="-22"/>
          <w:sz w:val="48"/>
        </w:rPr>
        <w:t>.</w:t>
      </w:r>
      <w:r>
        <w:rPr>
          <w:spacing w:val="-4"/>
          <w:w w:val="66"/>
          <w:sz w:val="22"/>
        </w:rPr>
        <w:t>,</w:t>
      </w:r>
      <w:r>
        <w:rPr>
          <w:spacing w:val="12"/>
          <w:w w:val="52"/>
          <w:position w:val="-22"/>
          <w:sz w:val="48"/>
        </w:rPr>
        <w:t>.</w:t>
      </w:r>
      <w:r>
        <w:rPr>
          <w:rFonts w:ascii="Arial" w:hAnsi="Arial"/>
          <w:w w:val="105"/>
          <w:sz w:val="31"/>
        </w:rPr>
        <w:t>+</w:t>
      </w:r>
      <w:r>
        <w:rPr>
          <w:rFonts w:ascii="Arial" w:hAnsi="Arial"/>
          <w:spacing w:val="-37"/>
          <w:sz w:val="31"/>
        </w:rPr>
        <w:t> </w:t>
      </w:r>
      <w:r>
        <w:rPr>
          <w:i/>
          <w:w w:val="95"/>
          <w:sz w:val="22"/>
        </w:rPr>
        <w:t>a.,,</w:t>
      </w:r>
      <w:r>
        <w:rPr>
          <w:i/>
          <w:sz w:val="22"/>
        </w:rPr>
        <w:t> </w:t>
      </w:r>
      <w:r>
        <w:rPr>
          <w:rFonts w:ascii="Arial" w:hAnsi="Arial"/>
          <w:w w:val="105"/>
          <w:sz w:val="31"/>
        </w:rPr>
        <w:t>+</w:t>
      </w:r>
      <w:r>
        <w:rPr>
          <w:rFonts w:ascii="Arial" w:hAnsi="Arial"/>
          <w:spacing w:val="-41"/>
          <w:sz w:val="31"/>
        </w:rPr>
        <w:t> </w:t>
      </w:r>
      <w:r>
        <w:rPr>
          <w:w w:val="100"/>
          <w:sz w:val="13"/>
        </w:rPr>
        <w:t>G:q,</w:t>
      </w:r>
      <w:r>
        <w:rPr>
          <w:sz w:val="13"/>
        </w:rPr>
        <w:t> </w:t>
      </w:r>
      <w:r>
        <w:rPr>
          <w:spacing w:val="4"/>
          <w:sz w:val="13"/>
        </w:rPr>
        <w:t> </w:t>
      </w:r>
      <w:r>
        <w:rPr>
          <w:rFonts w:ascii="Arial" w:hAnsi="Arial"/>
          <w:w w:val="103"/>
          <w:sz w:val="31"/>
        </w:rPr>
        <w:t>+</w:t>
      </w:r>
      <w:r>
        <w:rPr>
          <w:rFonts w:ascii="Arial" w:hAnsi="Arial"/>
          <w:spacing w:val="-33"/>
          <w:sz w:val="31"/>
        </w:rPr>
        <w:t> </w:t>
      </w:r>
      <w:r>
        <w:rPr>
          <w:w w:val="107"/>
          <w:sz w:val="13"/>
        </w:rPr>
        <w:t>O</w:t>
      </w:r>
      <w:r>
        <w:rPr>
          <w:w w:val="107"/>
          <w:sz w:val="13"/>
        </w:rPr>
        <w:t>sz</w:t>
      </w:r>
      <w:r>
        <w:rPr>
          <w:sz w:val="13"/>
        </w:rPr>
        <w:t> </w:t>
      </w:r>
      <w:r>
        <w:rPr>
          <w:spacing w:val="15"/>
          <w:sz w:val="13"/>
        </w:rPr>
        <w:t> </w:t>
      </w:r>
      <w:r>
        <w:rPr>
          <w:w w:val="435"/>
          <w:sz w:val="13"/>
        </w:rPr>
        <w:t>-</w:t>
      </w:r>
      <w:r>
        <w:rPr>
          <w:spacing w:val="12"/>
          <w:sz w:val="13"/>
        </w:rPr>
        <w:t> </w:t>
      </w:r>
      <w:r>
        <w:rPr>
          <w:w w:val="100"/>
          <w:sz w:val="16"/>
        </w:rPr>
        <w:t>0.,,.s</w:t>
      </w:r>
      <w:r>
        <w:rPr>
          <w:sz w:val="16"/>
        </w:rPr>
        <w:t> </w:t>
      </w:r>
      <w:r>
        <w:rPr>
          <w:spacing w:val="-8"/>
          <w:sz w:val="16"/>
        </w:rPr>
        <w:t> </w:t>
      </w:r>
      <w:r>
        <w:rPr>
          <w:w w:val="335"/>
          <w:sz w:val="16"/>
        </w:rPr>
        <w:t>-</w:t>
      </w:r>
      <w:r>
        <w:rPr>
          <w:spacing w:val="11"/>
          <w:sz w:val="16"/>
        </w:rPr>
        <w:t> </w:t>
      </w:r>
      <w:r>
        <w:rPr>
          <w:i/>
          <w:w w:val="53"/>
          <w:sz w:val="22"/>
        </w:rPr>
        <w:t>a:,:,</w:t>
      </w:r>
      <w:r>
        <w:rPr>
          <w:i/>
          <w:spacing w:val="-9"/>
          <w:w w:val="53"/>
          <w:sz w:val="22"/>
        </w:rPr>
        <w:t>,</w:t>
      </w:r>
      <w:r>
        <w:rPr>
          <w:i/>
          <w:w w:val="111"/>
          <w:sz w:val="22"/>
        </w:rPr>
        <w:t>•</w:t>
      </w:r>
      <w:r>
        <w:rPr>
          <w:i/>
          <w:spacing w:val="-5"/>
          <w:sz w:val="22"/>
        </w:rPr>
        <w:t> </w:t>
      </w:r>
      <w:r>
        <w:rPr>
          <w:w w:val="256"/>
          <w:sz w:val="22"/>
        </w:rPr>
        <w:t>-</w:t>
      </w:r>
      <w:r>
        <w:rPr>
          <w:spacing w:val="-10"/>
          <w:sz w:val="22"/>
        </w:rPr>
        <w:t> </w:t>
      </w:r>
      <w:r>
        <w:rPr>
          <w:w w:val="84"/>
          <w:sz w:val="16"/>
        </w:rPr>
        <w:t>tlw:q,</w:t>
      </w:r>
      <w:r>
        <w:rPr>
          <w:sz w:val="16"/>
        </w:rPr>
        <w:t> </w:t>
      </w:r>
      <w:r>
        <w:rPr>
          <w:spacing w:val="2"/>
          <w:sz w:val="16"/>
        </w:rPr>
        <w:t> </w:t>
      </w:r>
      <w:r>
        <w:rPr>
          <w:w w:val="353"/>
          <w:sz w:val="16"/>
        </w:rPr>
        <w:t>-</w:t>
      </w:r>
      <w:r>
        <w:rPr>
          <w:spacing w:val="5"/>
          <w:sz w:val="16"/>
        </w:rPr>
        <w:t> </w:t>
      </w:r>
      <w:r>
        <w:rPr>
          <w:i/>
          <w:w w:val="202"/>
          <w:sz w:val="17"/>
        </w:rPr>
        <w:t>6</w:t>
      </w:r>
      <w:r>
        <w:rPr>
          <w:i/>
          <w:spacing w:val="-31"/>
          <w:w w:val="202"/>
          <w:sz w:val="17"/>
        </w:rPr>
        <w:t>-</w:t>
      </w:r>
      <w:r>
        <w:rPr>
          <w:i/>
          <w:w w:val="53"/>
          <w:sz w:val="17"/>
        </w:rPr>
        <w:t>.i</w:t>
      </w:r>
      <w:r>
        <w:rPr>
          <w:i/>
          <w:sz w:val="17"/>
        </w:rPr>
        <w:t> </w:t>
      </w:r>
      <w:r>
        <w:rPr>
          <w:i/>
          <w:spacing w:val="-11"/>
          <w:sz w:val="17"/>
        </w:rPr>
        <w:t> </w:t>
      </w:r>
      <w:r>
        <w:rPr>
          <w:rFonts w:ascii="Arial" w:hAnsi="Arial"/>
          <w:w w:val="103"/>
          <w:sz w:val="31"/>
        </w:rPr>
        <w:t>+</w:t>
      </w:r>
      <w:r>
        <w:rPr>
          <w:rFonts w:ascii="Arial" w:hAnsi="Arial"/>
          <w:spacing w:val="-41"/>
          <w:sz w:val="31"/>
        </w:rPr>
        <w:t> </w:t>
      </w:r>
      <w:r>
        <w:rPr>
          <w:w w:val="118"/>
          <w:sz w:val="13"/>
        </w:rPr>
        <w:t>iJu.qz</w:t>
      </w:r>
    </w:p>
    <w:p>
      <w:pPr>
        <w:spacing w:line="375" w:lineRule="exact" w:before="0"/>
        <w:ind w:left="101" w:right="739" w:firstLine="0"/>
        <w:jc w:val="left"/>
        <w:rPr>
          <w:b/>
          <w:sz w:val="15"/>
        </w:rPr>
      </w:pPr>
      <w:r>
        <w:rPr/>
        <w:pict>
          <v:line style="position:absolute;mso-position-horizontal-relative:page;mso-position-vertical-relative:paragraph;z-index:-719296" from="56.52pt,11.398205pt" to="60.3pt,11.398205pt" stroked="true" strokeweight=".72pt" strokecolor="#000000">
            <w10:wrap type="none"/>
          </v:line>
        </w:pict>
      </w:r>
      <w:r>
        <w:rPr>
          <w:b/>
          <w:w w:val="94"/>
          <w:sz w:val="15"/>
        </w:rPr>
        <w:t>Á111s:p</w:t>
      </w:r>
      <w:r>
        <w:rPr>
          <w:b/>
          <w:sz w:val="15"/>
        </w:rPr>
        <w:t>  </w:t>
      </w:r>
      <w:r>
        <w:rPr>
          <w:b/>
          <w:spacing w:val="-3"/>
          <w:sz w:val="15"/>
        </w:rPr>
        <w:t> </w:t>
      </w:r>
      <w:r>
        <w:rPr>
          <w:w w:val="87"/>
          <w:sz w:val="28"/>
        </w:rPr>
        <w:t>=</w:t>
      </w:r>
      <w:r>
        <w:rPr>
          <w:spacing w:val="27"/>
          <w:sz w:val="28"/>
        </w:rPr>
        <w:t> </w:t>
      </w:r>
      <w:r>
        <w:rPr>
          <w:rFonts w:ascii="Arial" w:hAnsi="Arial"/>
          <w:b/>
          <w:i/>
          <w:spacing w:val="-251"/>
          <w:w w:val="121"/>
          <w:sz w:val="32"/>
        </w:rPr>
        <w:t>L</w:t>
      </w:r>
      <w:r>
        <w:rPr>
          <w:b/>
          <w:w w:val="80"/>
          <w:position w:val="-9"/>
          <w:sz w:val="25"/>
        </w:rPr>
        <w:t>,-a</w:t>
      </w:r>
      <w:r>
        <w:rPr>
          <w:b/>
          <w:spacing w:val="-23"/>
          <w:position w:val="-9"/>
          <w:sz w:val="25"/>
        </w:rPr>
        <w:t> </w:t>
      </w:r>
      <w:r>
        <w:rPr>
          <w:b/>
          <w:w w:val="94"/>
          <w:sz w:val="20"/>
        </w:rPr>
        <w:t>vf+</w:t>
      </w:r>
      <w:r>
        <w:rPr>
          <w:b/>
          <w:w w:val="94"/>
          <w:sz w:val="20"/>
        </w:rPr>
        <w:t>\</w:t>
      </w:r>
      <w:r>
        <w:rPr>
          <w:b/>
          <w:w w:val="94"/>
          <w:sz w:val="20"/>
          <w:u w:val="thick"/>
        </w:rPr>
        <w:t>¡qvs</w:t>
      </w:r>
      <w:r>
        <w:rPr>
          <w:b/>
          <w:spacing w:val="-4"/>
          <w:w w:val="94"/>
          <w:sz w:val="20"/>
          <w:u w:val="thick"/>
        </w:rPr>
        <w:t>:</w:t>
      </w:r>
      <w:r>
        <w:rPr>
          <w:b/>
          <w:w w:val="100"/>
          <w:sz w:val="20"/>
          <w:u w:val="thick"/>
        </w:rPr>
        <w:t>is</w:t>
      </w:r>
      <w:r>
        <w:rPr>
          <w:b/>
          <w:sz w:val="20"/>
        </w:rPr>
        <w:t> </w:t>
      </w:r>
      <w:r>
        <w:rPr>
          <w:b/>
          <w:spacing w:val="-1"/>
          <w:sz w:val="20"/>
        </w:rPr>
        <w:t> </w:t>
      </w:r>
      <w:r>
        <w:rPr>
          <w:w w:val="94"/>
          <w:sz w:val="26"/>
        </w:rPr>
        <w:t>=</w:t>
      </w:r>
      <w:r>
        <w:rPr>
          <w:sz w:val="26"/>
        </w:rPr>
        <w:t> </w:t>
      </w:r>
      <w:r>
        <w:rPr>
          <w:spacing w:val="-26"/>
          <w:sz w:val="26"/>
        </w:rPr>
        <w:t> </w:t>
      </w:r>
      <w:r>
        <w:rPr>
          <w:rFonts w:ascii="Arial" w:hAnsi="Arial"/>
          <w:b/>
          <w:i/>
          <w:spacing w:val="-237"/>
          <w:w w:val="125"/>
          <w:sz w:val="32"/>
        </w:rPr>
        <w:t>L</w:t>
      </w:r>
      <w:r>
        <w:rPr>
          <w:spacing w:val="-35"/>
          <w:w w:val="136"/>
          <w:position w:val="-9"/>
          <w:sz w:val="25"/>
        </w:rPr>
        <w:t>,</w:t>
      </w:r>
      <w:r>
        <w:rPr>
          <w:w w:val="111"/>
          <w:position w:val="-9"/>
          <w:sz w:val="25"/>
        </w:rPr>
        <w:t>,.</w:t>
      </w:r>
      <w:r>
        <w:rPr>
          <w:spacing w:val="-11"/>
          <w:w w:val="111"/>
          <w:position w:val="-9"/>
          <w:sz w:val="25"/>
        </w:rPr>
        <w:t>.</w:t>
      </w:r>
      <w:r>
        <w:rPr>
          <w:b/>
          <w:w w:val="66"/>
          <w:sz w:val="15"/>
        </w:rPr>
        <w:t>11&amp;</w:t>
      </w:r>
      <w:r>
        <w:rPr>
          <w:b/>
          <w:spacing w:val="3"/>
          <w:w w:val="66"/>
          <w:sz w:val="15"/>
        </w:rPr>
        <w:t>+</w:t>
      </w:r>
      <w:r>
        <w:rPr>
          <w:b/>
          <w:w w:val="78"/>
          <w:position w:val="11"/>
          <w:sz w:val="15"/>
        </w:rPr>
        <w:t>1</w:t>
      </w:r>
      <w:r>
        <w:rPr>
          <w:b/>
          <w:spacing w:val="-6"/>
          <w:position w:val="11"/>
          <w:sz w:val="15"/>
        </w:rPr>
        <w:t> </w:t>
      </w:r>
      <w:r>
        <w:rPr>
          <w:b/>
          <w:w w:val="129"/>
          <w:sz w:val="15"/>
        </w:rPr>
        <w:t>(</w:t>
      </w:r>
      <w:r>
        <w:rPr>
          <w:b/>
          <w:w w:val="129"/>
          <w:sz w:val="15"/>
        </w:rPr>
        <w:t>,Pvs</w:t>
      </w:r>
      <w:r>
        <w:rPr>
          <w:b/>
          <w:w w:val="129"/>
          <w:sz w:val="15"/>
          <w:u w:val="single"/>
        </w:rPr>
        <w:t>:ii</w:t>
      </w:r>
      <w:r>
        <w:rPr>
          <w:b/>
          <w:sz w:val="15"/>
        </w:rPr>
        <w:t>  </w:t>
      </w:r>
      <w:r>
        <w:rPr>
          <w:b/>
          <w:spacing w:val="-12"/>
          <w:sz w:val="15"/>
        </w:rPr>
        <w:t> </w:t>
      </w:r>
      <w:r>
        <w:rPr>
          <w:w w:val="367"/>
          <w:sz w:val="15"/>
        </w:rPr>
        <w:t>-</w:t>
      </w:r>
      <w:r>
        <w:rPr>
          <w:sz w:val="15"/>
        </w:rPr>
        <w:t> </w:t>
      </w:r>
      <w:r>
        <w:rPr>
          <w:spacing w:val="-11"/>
          <w:sz w:val="15"/>
        </w:rPr>
        <w:t> </w:t>
      </w:r>
      <w:r>
        <w:rPr>
          <w:b/>
          <w:w w:val="105"/>
          <w:sz w:val="15"/>
        </w:rPr>
        <w:t>HlP1</w:t>
      </w:r>
      <w:r>
        <w:rPr>
          <w:b/>
          <w:w w:val="105"/>
          <w:sz w:val="15"/>
          <w:u w:val="single"/>
        </w:rPr>
        <w:t>11s:ii</w:t>
      </w:r>
      <w:r>
        <w:rPr>
          <w:b/>
          <w:w w:val="105"/>
          <w:sz w:val="15"/>
        </w:rPr>
        <w:t>)</w:t>
      </w:r>
    </w:p>
    <w:p>
      <w:pPr>
        <w:spacing w:before="130"/>
        <w:ind w:left="601" w:right="739" w:firstLine="0"/>
        <w:jc w:val="left"/>
        <w:rPr>
          <w:sz w:val="20"/>
        </w:rPr>
      </w:pPr>
      <w:r>
        <w:rPr>
          <w:position w:val="-13"/>
        </w:rPr>
        <w:drawing>
          <wp:inline distT="0" distB="0" distL="0" distR="0">
            <wp:extent cx="722376" cy="283463"/>
            <wp:effectExtent l="0" t="0" r="0" b="0"/>
            <wp:docPr id="453" name="image232.png" descr=""/>
            <wp:cNvGraphicFramePr>
              <a:graphicFrameLocks noChangeAspect="1"/>
            </wp:cNvGraphicFramePr>
            <a:graphic>
              <a:graphicData uri="http://schemas.openxmlformats.org/drawingml/2006/picture">
                <pic:pic>
                  <pic:nvPicPr>
                    <pic:cNvPr id="454" name="image232.png"/>
                    <pic:cNvPicPr/>
                  </pic:nvPicPr>
                  <pic:blipFill>
                    <a:blip r:embed="rId236" cstate="print"/>
                    <a:stretch>
                      <a:fillRect/>
                    </a:stretch>
                  </pic:blipFill>
                  <pic:spPr>
                    <a:xfrm>
                      <a:off x="0" y="0"/>
                      <a:ext cx="722376" cy="283463"/>
                    </a:xfrm>
                    <a:prstGeom prst="rect">
                      <a:avLst/>
                    </a:prstGeom>
                  </pic:spPr>
                </pic:pic>
              </a:graphicData>
            </a:graphic>
          </wp:inline>
        </w:drawing>
      </w:r>
      <w:r>
        <w:rPr>
          <w:position w:val="-13"/>
        </w:rPr>
      </w:r>
      <w:r>
        <w:rPr>
          <w:sz w:val="20"/>
        </w:rPr>
        <w:t>      </w:t>
      </w:r>
      <w:r>
        <w:rPr>
          <w:w w:val="130"/>
          <w:sz w:val="18"/>
        </w:rPr>
        <w:t>(1</w:t>
      </w:r>
      <w:r>
        <w:rPr>
          <w:spacing w:val="3"/>
          <w:w w:val="130"/>
          <w:sz w:val="18"/>
        </w:rPr>
        <w:t> </w:t>
      </w:r>
      <w:r>
        <w:rPr>
          <w:w w:val="280"/>
          <w:sz w:val="18"/>
        </w:rPr>
        <w:t>-</w:t>
      </w:r>
      <w:r>
        <w:rPr>
          <w:spacing w:val="-74"/>
          <w:w w:val="280"/>
          <w:sz w:val="18"/>
        </w:rPr>
        <w:t> </w:t>
      </w:r>
      <w:r>
        <w:rPr>
          <w:spacing w:val="-12"/>
          <w:w w:val="130"/>
          <w:sz w:val="19"/>
        </w:rPr>
        <w:t>,P,u)</w:t>
      </w:r>
      <w:r>
        <w:rPr>
          <w:spacing w:val="-33"/>
          <w:w w:val="130"/>
          <w:sz w:val="19"/>
        </w:rPr>
        <w:t> </w:t>
      </w:r>
      <w:r>
        <w:rPr>
          <w:w w:val="130"/>
          <w:sz w:val="19"/>
        </w:rPr>
        <w:t>(1 </w:t>
      </w:r>
      <w:r>
        <w:rPr>
          <w:w w:val="280"/>
          <w:sz w:val="19"/>
        </w:rPr>
        <w:t>-</w:t>
      </w:r>
      <w:r>
        <w:rPr>
          <w:spacing w:val="-84"/>
          <w:w w:val="280"/>
          <w:sz w:val="19"/>
        </w:rPr>
        <w:t> </w:t>
      </w:r>
      <w:r>
        <w:rPr>
          <w:spacing w:val="-8"/>
          <w:w w:val="130"/>
          <w:sz w:val="20"/>
        </w:rPr>
        <w:t>,p;;)}</w:t>
      </w:r>
    </w:p>
    <w:p>
      <w:pPr>
        <w:pStyle w:val="BodyText"/>
        <w:spacing w:before="7"/>
        <w:rPr>
          <w:sz w:val="11"/>
        </w:rPr>
      </w:pPr>
      <w:r>
        <w:rPr/>
        <w:drawing>
          <wp:anchor distT="0" distB="0" distL="0" distR="0" allowOverlap="1" layoutInCell="1" locked="0" behindDoc="0" simplePos="0" relativeHeight="16696">
            <wp:simplePos x="0" y="0"/>
            <wp:positionH relativeFrom="page">
              <wp:posOffset>2194560</wp:posOffset>
            </wp:positionH>
            <wp:positionV relativeFrom="paragraph">
              <wp:posOffset>109728</wp:posOffset>
            </wp:positionV>
            <wp:extent cx="1920239" cy="137160"/>
            <wp:effectExtent l="0" t="0" r="0" b="0"/>
            <wp:wrapTopAndBottom/>
            <wp:docPr id="455" name="image233.png" descr=""/>
            <wp:cNvGraphicFramePr>
              <a:graphicFrameLocks noChangeAspect="1"/>
            </wp:cNvGraphicFramePr>
            <a:graphic>
              <a:graphicData uri="http://schemas.openxmlformats.org/drawingml/2006/picture">
                <pic:pic>
                  <pic:nvPicPr>
                    <pic:cNvPr id="456" name="image233.png"/>
                    <pic:cNvPicPr/>
                  </pic:nvPicPr>
                  <pic:blipFill>
                    <a:blip r:embed="rId237" cstate="print"/>
                    <a:stretch>
                      <a:fillRect/>
                    </a:stretch>
                  </pic:blipFill>
                  <pic:spPr>
                    <a:xfrm>
                      <a:off x="0" y="0"/>
                      <a:ext cx="1920239" cy="137160"/>
                    </a:xfrm>
                    <a:prstGeom prst="rect">
                      <a:avLst/>
                    </a:prstGeom>
                  </pic:spPr>
                </pic:pic>
              </a:graphicData>
            </a:graphic>
          </wp:anchor>
        </w:drawing>
      </w:r>
    </w:p>
    <w:p>
      <w:pPr>
        <w:spacing w:line="234" w:lineRule="exact" w:before="136"/>
        <w:ind w:left="1516" w:right="133" w:firstLine="36"/>
        <w:jc w:val="left"/>
        <w:rPr>
          <w:sz w:val="20"/>
        </w:rPr>
      </w:pPr>
      <w:r>
        <w:rPr>
          <w:sz w:val="20"/>
        </w:rPr>
        <w:t>(since </w:t>
      </w:r>
      <w:r>
        <w:rPr>
          <w:b/>
          <w:sz w:val="20"/>
        </w:rPr>
        <w:t>,P</w:t>
      </w:r>
      <w:r>
        <w:rPr>
          <w:b/>
          <w:sz w:val="20"/>
          <w:u w:val="thick"/>
        </w:rPr>
        <w:t>ws:ii </w:t>
      </w:r>
      <w:r>
        <w:rPr>
          <w:rFonts w:ascii="Arial"/>
          <w:sz w:val="20"/>
        </w:rPr>
        <w:t>is </w:t>
      </w:r>
      <w:r>
        <w:rPr>
          <w:sz w:val="20"/>
        </w:rPr>
        <w:t>the complement of the probability that  both  </w:t>
      </w:r>
      <w:r>
        <w:rPr>
          <w:rFonts w:ascii="Arial"/>
          <w:i/>
          <w:sz w:val="18"/>
        </w:rPr>
        <w:t>(wx)  </w:t>
      </w:r>
      <w:r>
        <w:rPr>
          <w:sz w:val="20"/>
        </w:rPr>
        <w:t>a.nd  </w:t>
      </w:r>
      <w:r>
        <w:rPr>
          <w:sz w:val="22"/>
          <w:u w:val="thick"/>
        </w:rPr>
        <w:t>(yz) </w:t>
      </w:r>
      <w:r>
        <w:rPr>
          <w:sz w:val="22"/>
        </w:rPr>
        <w:t>will </w:t>
      </w:r>
      <w:r>
        <w:rPr>
          <w:sz w:val="20"/>
        </w:rPr>
        <w:t>fail  in  </w:t>
      </w:r>
      <w:r>
        <w:rPr>
          <w:rFonts w:ascii="Arial"/>
          <w:i/>
          <w:sz w:val="18"/>
        </w:rPr>
        <w:t>t </w:t>
      </w:r>
      <w:r>
        <w:rPr>
          <w:sz w:val="20"/>
        </w:rPr>
        <w:t>years)</w:t>
      </w:r>
    </w:p>
    <w:p>
      <w:pPr>
        <w:spacing w:line="69" w:lineRule="exact" w:before="121"/>
        <w:ind w:left="925" w:right="739" w:firstLine="0"/>
        <w:jc w:val="left"/>
        <w:rPr>
          <w:sz w:val="9"/>
        </w:rPr>
      </w:pPr>
      <w:r>
        <w:rPr/>
        <w:pict>
          <v:shape style="position:absolute;margin-left:76.331253pt;margin-top:8.091717pt;width:1.1pt;height:17pt;mso-position-horizontal-relative:page;mso-position-vertical-relative:paragraph;z-index:-719248" type="#_x0000_t202" filled="false" stroked="false">
            <v:textbox inset="0,0,0,0">
              <w:txbxContent>
                <w:p>
                  <w:pPr>
                    <w:spacing w:line="340" w:lineRule="exact" w:before="0"/>
                    <w:ind w:left="0" w:right="0" w:firstLine="0"/>
                    <w:jc w:val="left"/>
                    <w:rPr>
                      <w:i/>
                      <w:sz w:val="34"/>
                    </w:rPr>
                  </w:pPr>
                  <w:r>
                    <w:rPr>
                      <w:i/>
                      <w:spacing w:val="-234"/>
                      <w:w w:val="111"/>
                      <w:sz w:val="34"/>
                    </w:rPr>
                    <w:t>L</w:t>
                  </w:r>
                </w:p>
              </w:txbxContent>
            </v:textbox>
            <w10:wrap type="none"/>
          </v:shape>
        </w:pict>
      </w:r>
      <w:r>
        <w:rPr>
          <w:w w:val="105"/>
          <w:sz w:val="9"/>
        </w:rPr>
        <w:t>IO</w:t>
      </w:r>
    </w:p>
    <w:p>
      <w:pPr>
        <w:spacing w:line="405" w:lineRule="exact" w:before="0"/>
        <w:ind w:left="601" w:right="739" w:firstLine="0"/>
        <w:jc w:val="left"/>
        <w:rPr>
          <w:sz w:val="30"/>
        </w:rPr>
      </w:pPr>
      <w:r>
        <w:rPr>
          <w:w w:val="90"/>
          <w:sz w:val="28"/>
        </w:rPr>
        <w:t>=</w:t>
      </w:r>
      <w:r>
        <w:rPr>
          <w:sz w:val="28"/>
        </w:rPr>
        <w:t> </w:t>
      </w:r>
      <w:r>
        <w:rPr>
          <w:spacing w:val="-14"/>
          <w:sz w:val="28"/>
        </w:rPr>
        <w:t> </w:t>
      </w:r>
      <w:r>
        <w:rPr>
          <w:w w:val="76"/>
          <w:position w:val="-8"/>
          <w:sz w:val="32"/>
        </w:rPr>
        <w:t>,...</w:t>
      </w:r>
      <w:r>
        <w:rPr>
          <w:spacing w:val="-46"/>
          <w:position w:val="-8"/>
          <w:sz w:val="32"/>
        </w:rPr>
        <w:t> </w:t>
      </w:r>
      <w:r>
        <w:rPr>
          <w:rFonts w:ascii="Arial" w:hAnsi="Arial"/>
          <w:i/>
          <w:w w:val="135"/>
          <w:sz w:val="13"/>
        </w:rPr>
        <w:t>vt+I</w:t>
      </w:r>
      <w:r>
        <w:rPr>
          <w:rFonts w:ascii="Arial" w:hAnsi="Arial"/>
          <w:i/>
          <w:sz w:val="13"/>
        </w:rPr>
        <w:t> </w:t>
      </w:r>
      <w:r>
        <w:rPr>
          <w:rFonts w:ascii="Arial" w:hAnsi="Arial"/>
          <w:i/>
          <w:spacing w:val="9"/>
          <w:sz w:val="13"/>
        </w:rPr>
        <w:t> </w:t>
      </w:r>
      <w:r>
        <w:rPr>
          <w:rFonts w:ascii="Arial" w:hAnsi="Arial"/>
          <w:w w:val="110"/>
          <w:sz w:val="19"/>
        </w:rPr>
        <w:t>{[1</w:t>
      </w:r>
      <w:r>
        <w:rPr>
          <w:rFonts w:ascii="Arial" w:hAnsi="Arial"/>
          <w:spacing w:val="18"/>
          <w:sz w:val="19"/>
        </w:rPr>
        <w:t> </w:t>
      </w:r>
      <w:r>
        <w:rPr>
          <w:rFonts w:ascii="Arial" w:hAnsi="Arial"/>
          <w:w w:val="262"/>
          <w:sz w:val="19"/>
        </w:rPr>
        <w:t>-</w:t>
      </w:r>
      <w:r>
        <w:rPr>
          <w:rFonts w:ascii="Arial" w:hAnsi="Arial"/>
          <w:sz w:val="19"/>
        </w:rPr>
        <w:t> </w:t>
      </w:r>
      <w:r>
        <w:rPr>
          <w:rFonts w:ascii="Arial" w:hAnsi="Arial"/>
          <w:spacing w:val="1"/>
          <w:sz w:val="19"/>
        </w:rPr>
        <w:t> </w:t>
      </w:r>
      <w:r>
        <w:rPr>
          <w:rFonts w:ascii="Arial" w:hAnsi="Arial"/>
          <w:w w:val="112"/>
          <w:sz w:val="19"/>
        </w:rPr>
        <w:t>(</w:t>
      </w:r>
      <w:r>
        <w:rPr>
          <w:rFonts w:ascii="Arial" w:hAnsi="Arial"/>
          <w:w w:val="112"/>
          <w:sz w:val="19"/>
        </w:rPr>
        <w:t>1</w:t>
      </w:r>
      <w:r>
        <w:rPr>
          <w:rFonts w:ascii="Arial" w:hAnsi="Arial"/>
          <w:spacing w:val="4"/>
          <w:sz w:val="19"/>
        </w:rPr>
        <w:t> </w:t>
      </w:r>
      <w:r>
        <w:rPr>
          <w:rFonts w:ascii="Arial" w:hAnsi="Arial"/>
          <w:w w:val="269"/>
          <w:sz w:val="19"/>
        </w:rPr>
        <w:t>-</w:t>
      </w:r>
      <w:r>
        <w:rPr>
          <w:rFonts w:ascii="Arial" w:hAnsi="Arial"/>
          <w:spacing w:val="21"/>
          <w:sz w:val="19"/>
        </w:rPr>
        <w:t> </w:t>
      </w:r>
      <w:r>
        <w:rPr>
          <w:w w:val="87"/>
          <w:sz w:val="21"/>
        </w:rPr>
        <w:t>•</w:t>
      </w:r>
      <w:r>
        <w:rPr>
          <w:spacing w:val="-13"/>
          <w:w w:val="87"/>
          <w:sz w:val="21"/>
        </w:rPr>
        <w:t>P</w:t>
      </w:r>
      <w:r>
        <w:rPr>
          <w:w w:val="74"/>
          <w:sz w:val="21"/>
        </w:rPr>
        <w:t>111s)(</w:t>
      </w:r>
      <w:r>
        <w:rPr>
          <w:w w:val="74"/>
          <w:sz w:val="21"/>
        </w:rPr>
        <w:t>l</w:t>
      </w:r>
      <w:r>
        <w:rPr>
          <w:sz w:val="21"/>
        </w:rPr>
        <w:t> </w:t>
      </w:r>
      <w:r>
        <w:rPr>
          <w:spacing w:val="-4"/>
          <w:sz w:val="21"/>
        </w:rPr>
        <w:t> </w:t>
      </w:r>
      <w:r>
        <w:rPr>
          <w:w w:val="268"/>
          <w:sz w:val="21"/>
        </w:rPr>
        <w:t>-</w:t>
      </w:r>
      <w:r>
        <w:rPr>
          <w:sz w:val="21"/>
        </w:rPr>
        <w:t> </w:t>
      </w:r>
      <w:r>
        <w:rPr>
          <w:spacing w:val="-27"/>
          <w:w w:val="139"/>
          <w:sz w:val="21"/>
        </w:rPr>
        <w:t>,</w:t>
      </w:r>
      <w:r>
        <w:rPr>
          <w:w w:val="86"/>
          <w:sz w:val="21"/>
        </w:rPr>
        <w:t>,,,,</w:t>
      </w:r>
      <w:r>
        <w:rPr>
          <w:spacing w:val="26"/>
          <w:sz w:val="21"/>
        </w:rPr>
        <w:t> </w:t>
      </w:r>
      <w:r>
        <w:rPr>
          <w:w w:val="261"/>
          <w:sz w:val="21"/>
        </w:rPr>
        <w:t>-</w:t>
      </w:r>
      <w:r>
        <w:rPr>
          <w:spacing w:val="5"/>
          <w:sz w:val="21"/>
        </w:rPr>
        <w:t> </w:t>
      </w:r>
      <w:r>
        <w:rPr>
          <w:i/>
          <w:w w:val="92"/>
          <w:sz w:val="30"/>
        </w:rPr>
        <w:t>,p.+</w:t>
      </w:r>
      <w:r>
        <w:rPr>
          <w:i/>
          <w:spacing w:val="12"/>
          <w:sz w:val="30"/>
        </w:rPr>
        <w:t> </w:t>
      </w:r>
      <w:r>
        <w:rPr>
          <w:spacing w:val="-58"/>
          <w:w w:val="365"/>
          <w:sz w:val="30"/>
        </w:rPr>
        <w:t>,</w:t>
      </w:r>
      <w:r>
        <w:rPr>
          <w:spacing w:val="-41"/>
          <w:w w:val="165"/>
          <w:sz w:val="30"/>
        </w:rPr>
        <w:t>.</w:t>
      </w:r>
      <w:r>
        <w:rPr>
          <w:w w:val="69"/>
          <w:sz w:val="30"/>
        </w:rPr>
        <w:t>)]</w:t>
      </w:r>
    </w:p>
    <w:p>
      <w:pPr>
        <w:pStyle w:val="BodyText"/>
        <w:spacing w:before="11"/>
        <w:rPr>
          <w:sz w:val="9"/>
        </w:rPr>
      </w:pPr>
      <w:r>
        <w:rPr/>
        <w:drawing>
          <wp:anchor distT="0" distB="0" distL="0" distR="0" allowOverlap="1" layoutInCell="1" locked="0" behindDoc="0" simplePos="0" relativeHeight="16720">
            <wp:simplePos x="0" y="0"/>
            <wp:positionH relativeFrom="page">
              <wp:posOffset>1289303</wp:posOffset>
            </wp:positionH>
            <wp:positionV relativeFrom="paragraph">
              <wp:posOffset>97778</wp:posOffset>
            </wp:positionV>
            <wp:extent cx="2825495" cy="137160"/>
            <wp:effectExtent l="0" t="0" r="0" b="0"/>
            <wp:wrapTopAndBottom/>
            <wp:docPr id="457" name="image234.png" descr=""/>
            <wp:cNvGraphicFramePr>
              <a:graphicFrameLocks noChangeAspect="1"/>
            </wp:cNvGraphicFramePr>
            <a:graphic>
              <a:graphicData uri="http://schemas.openxmlformats.org/drawingml/2006/picture">
                <pic:pic>
                  <pic:nvPicPr>
                    <pic:cNvPr id="458" name="image234.png"/>
                    <pic:cNvPicPr/>
                  </pic:nvPicPr>
                  <pic:blipFill>
                    <a:blip r:embed="rId238" cstate="print"/>
                    <a:stretch>
                      <a:fillRect/>
                    </a:stretch>
                  </pic:blipFill>
                  <pic:spPr>
                    <a:xfrm>
                      <a:off x="0" y="0"/>
                      <a:ext cx="2825495" cy="137160"/>
                    </a:xfrm>
                    <a:prstGeom prst="rect">
                      <a:avLst/>
                    </a:prstGeom>
                  </pic:spPr>
                </pic:pic>
              </a:graphicData>
            </a:graphic>
          </wp:anchor>
        </w:drawing>
      </w:r>
    </w:p>
    <w:p>
      <w:pPr>
        <w:spacing w:after="0"/>
        <w:rPr>
          <w:sz w:val="9"/>
        </w:rPr>
        <w:sectPr>
          <w:pgSz w:w="7200" w:h="11340"/>
          <w:pgMar w:top="500" w:bottom="280" w:left="680" w:right="540"/>
        </w:sectPr>
      </w:pPr>
    </w:p>
    <w:p>
      <w:pPr>
        <w:pStyle w:val="BodyText"/>
        <w:spacing w:before="1"/>
        <w:rPr>
          <w:sz w:val="9"/>
        </w:rPr>
      </w:pPr>
    </w:p>
    <w:p>
      <w:pPr>
        <w:spacing w:line="54" w:lineRule="exact" w:before="0"/>
        <w:ind w:left="881" w:right="1043" w:firstLine="0"/>
        <w:jc w:val="center"/>
        <w:rPr>
          <w:rFonts w:ascii="Arial"/>
          <w:sz w:val="8"/>
        </w:rPr>
      </w:pPr>
      <w:r>
        <w:rPr>
          <w:rFonts w:ascii="Arial"/>
          <w:w w:val="130"/>
          <w:sz w:val="8"/>
        </w:rPr>
        <w:t>IO</w:t>
      </w:r>
    </w:p>
    <w:p>
      <w:pPr>
        <w:spacing w:line="183" w:lineRule="exact" w:before="0"/>
        <w:ind w:left="598" w:right="-19" w:firstLine="0"/>
        <w:jc w:val="left"/>
        <w:rPr>
          <w:rFonts w:ascii="Arial"/>
          <w:sz w:val="31"/>
        </w:rPr>
      </w:pPr>
      <w:r>
        <w:rPr>
          <w:sz w:val="29"/>
        </w:rPr>
        <w:t>= </w:t>
      </w:r>
      <w:r>
        <w:rPr>
          <w:b/>
          <w:i/>
          <w:sz w:val="34"/>
        </w:rPr>
        <w:t>L </w:t>
      </w:r>
      <w:r>
        <w:rPr>
          <w:b/>
          <w:sz w:val="15"/>
        </w:rPr>
        <w:t>l't+</w:t>
      </w:r>
      <w:r>
        <w:rPr>
          <w:b/>
          <w:position w:val="13"/>
          <w:sz w:val="12"/>
        </w:rPr>
        <w:t>1  </w:t>
      </w:r>
      <w:r>
        <w:rPr>
          <w:b/>
          <w:sz w:val="21"/>
        </w:rPr>
        <w:t>(,p,, </w:t>
      </w:r>
      <w:r>
        <w:rPr>
          <w:rFonts w:ascii="Arial"/>
          <w:sz w:val="31"/>
        </w:rPr>
        <w:t>+</w:t>
      </w:r>
    </w:p>
    <w:p>
      <w:pPr>
        <w:spacing w:line="213" w:lineRule="exact" w:before="129"/>
        <w:ind w:left="560" w:right="-17" w:firstLine="0"/>
        <w:jc w:val="left"/>
        <w:rPr>
          <w:sz w:val="20"/>
        </w:rPr>
      </w:pPr>
      <w:r>
        <w:rPr/>
        <w:br w:type="column"/>
      </w:r>
      <w:r>
        <w:rPr>
          <w:b/>
          <w:i/>
          <w:w w:val="95"/>
          <w:sz w:val="14"/>
        </w:rPr>
        <w:t>t'P,,11 </w:t>
      </w:r>
      <w:r>
        <w:rPr>
          <w:rFonts w:ascii="Arial" w:hAnsi="Arial"/>
          <w:w w:val="120"/>
          <w:sz w:val="33"/>
        </w:rPr>
        <w:t>+</w:t>
      </w:r>
      <w:r>
        <w:rPr>
          <w:rFonts w:ascii="Arial" w:hAnsi="Arial"/>
          <w:spacing w:val="-86"/>
          <w:w w:val="120"/>
          <w:sz w:val="33"/>
        </w:rPr>
        <w:t> </w:t>
      </w:r>
      <w:r>
        <w:rPr>
          <w:b/>
          <w:w w:val="95"/>
          <w:sz w:val="20"/>
        </w:rPr>
        <w:t>•P•s </w:t>
      </w:r>
      <w:r>
        <w:rPr>
          <w:w w:val="255"/>
          <w:sz w:val="20"/>
        </w:rPr>
        <w:t>-</w:t>
      </w:r>
    </w:p>
    <w:p>
      <w:pPr>
        <w:spacing w:line="213" w:lineRule="exact" w:before="129"/>
        <w:ind w:left="598" w:right="0" w:firstLine="0"/>
        <w:jc w:val="left"/>
        <w:rPr>
          <w:b/>
          <w:sz w:val="22"/>
        </w:rPr>
      </w:pPr>
      <w:r>
        <w:rPr/>
        <w:br w:type="column"/>
      </w:r>
      <w:r>
        <w:rPr>
          <w:b/>
          <w:i/>
          <w:w w:val="95"/>
          <w:sz w:val="21"/>
        </w:rPr>
        <w:t>•P•m </w:t>
      </w:r>
      <w:r>
        <w:rPr>
          <w:rFonts w:ascii="Arial" w:hAnsi="Arial"/>
          <w:w w:val="95"/>
          <w:sz w:val="33"/>
        </w:rPr>
        <w:t>+</w:t>
      </w:r>
      <w:r>
        <w:rPr>
          <w:rFonts w:ascii="Arial" w:hAnsi="Arial"/>
          <w:spacing w:val="-66"/>
          <w:w w:val="95"/>
          <w:sz w:val="33"/>
        </w:rPr>
        <w:t> </w:t>
      </w:r>
      <w:r>
        <w:rPr>
          <w:b/>
          <w:w w:val="95"/>
          <w:sz w:val="22"/>
        </w:rPr>
        <w:t>,Pnr-}</w:t>
      </w:r>
    </w:p>
    <w:p>
      <w:pPr>
        <w:spacing w:after="0" w:line="213" w:lineRule="exact"/>
        <w:jc w:val="left"/>
        <w:rPr>
          <w:sz w:val="22"/>
        </w:rPr>
        <w:sectPr>
          <w:type w:val="continuous"/>
          <w:pgSz w:w="7200" w:h="11340"/>
          <w:pgMar w:top="1100" w:bottom="0" w:left="680" w:right="540"/>
          <w:cols w:num="3" w:equalWidth="0">
            <w:col w:w="2075" w:space="40"/>
            <w:col w:w="1747" w:space="149"/>
            <w:col w:w="1969"/>
          </w:cols>
        </w:sectPr>
      </w:pPr>
    </w:p>
    <w:p>
      <w:pPr>
        <w:tabs>
          <w:tab w:pos="1443" w:val="left" w:leader="none"/>
        </w:tabs>
        <w:spacing w:line="233" w:lineRule="exact" w:before="0"/>
        <w:ind w:left="857" w:right="0" w:firstLine="0"/>
        <w:jc w:val="left"/>
        <w:rPr>
          <w:b/>
          <w:sz w:val="12"/>
        </w:rPr>
      </w:pPr>
      <w:r>
        <w:rPr>
          <w:b/>
          <w:w w:val="140"/>
          <w:sz w:val="18"/>
        </w:rPr>
        <w:t>,-e</w:t>
        <w:tab/>
      </w:r>
      <w:r>
        <w:rPr>
          <w:b/>
          <w:w w:val="170"/>
          <w:position w:val="10"/>
          <w:sz w:val="12"/>
        </w:rPr>
        <w:t>[</w:t>
      </w:r>
    </w:p>
    <w:p>
      <w:pPr>
        <w:spacing w:line="123" w:lineRule="exact" w:before="0"/>
        <w:ind w:left="572" w:right="-11" w:firstLine="0"/>
        <w:jc w:val="left"/>
        <w:rPr>
          <w:sz w:val="12"/>
        </w:rPr>
      </w:pPr>
      <w:r>
        <w:rPr/>
        <w:br w:type="column"/>
      </w:r>
      <w:r>
        <w:rPr>
          <w:b/>
          <w:i/>
          <w:w w:val="105"/>
          <w:sz w:val="12"/>
        </w:rPr>
        <w:t>1P11 </w:t>
      </w:r>
      <w:r>
        <w:rPr>
          <w:w w:val="465"/>
          <w:sz w:val="12"/>
        </w:rPr>
        <w:t>-</w:t>
      </w:r>
    </w:p>
    <w:p>
      <w:pPr>
        <w:spacing w:line="123" w:lineRule="exact" w:before="0"/>
        <w:ind w:left="857" w:right="0" w:firstLine="0"/>
        <w:jc w:val="left"/>
        <w:rPr>
          <w:sz w:val="12"/>
        </w:rPr>
      </w:pPr>
      <w:r>
        <w:rPr/>
        <w:br w:type="column"/>
      </w:r>
      <w:r>
        <w:rPr>
          <w:b/>
          <w:i/>
          <w:w w:val="140"/>
          <w:sz w:val="12"/>
        </w:rPr>
        <w:t>1P.st1 </w:t>
      </w:r>
      <w:r>
        <w:rPr>
          <w:w w:val="455"/>
          <w:sz w:val="12"/>
        </w:rPr>
        <w:t>-</w:t>
      </w:r>
    </w:p>
    <w:p>
      <w:pPr>
        <w:spacing w:after="0" w:line="123" w:lineRule="exact"/>
        <w:jc w:val="left"/>
        <w:rPr>
          <w:sz w:val="12"/>
        </w:rPr>
        <w:sectPr>
          <w:type w:val="continuous"/>
          <w:pgSz w:w="7200" w:h="11340"/>
          <w:pgMar w:top="1100" w:bottom="0" w:left="680" w:right="540"/>
          <w:cols w:num="3" w:equalWidth="0">
            <w:col w:w="1523" w:space="40"/>
            <w:col w:w="1065" w:space="425"/>
            <w:col w:w="2927"/>
          </w:cols>
        </w:sectPr>
      </w:pPr>
    </w:p>
    <w:p>
      <w:pPr>
        <w:spacing w:before="59"/>
        <w:ind w:left="1652" w:right="133" w:firstLine="0"/>
        <w:jc w:val="left"/>
        <w:rPr>
          <w:b/>
          <w:sz w:val="15"/>
        </w:rPr>
      </w:pPr>
      <w:r>
        <w:rPr>
          <w:b/>
          <w:w w:val="105"/>
          <w:sz w:val="15"/>
        </w:rPr>
        <w:t>(1+1Pw </w:t>
      </w:r>
      <w:r>
        <w:rPr>
          <w:rFonts w:ascii="Arial" w:hAnsi="Arial"/>
          <w:w w:val="105"/>
          <w:sz w:val="31"/>
        </w:rPr>
        <w:t>+ </w:t>
      </w:r>
      <w:r>
        <w:rPr>
          <w:b/>
          <w:w w:val="105"/>
          <w:sz w:val="20"/>
        </w:rPr>
        <w:t>HlP• </w:t>
      </w:r>
      <w:r>
        <w:rPr>
          <w:w w:val="255"/>
          <w:sz w:val="20"/>
        </w:rPr>
        <w:t>-</w:t>
      </w:r>
      <w:r>
        <w:rPr>
          <w:spacing w:val="-83"/>
          <w:w w:val="255"/>
          <w:sz w:val="20"/>
        </w:rPr>
        <w:t> </w:t>
      </w:r>
      <w:r>
        <w:rPr>
          <w:b/>
          <w:w w:val="105"/>
          <w:sz w:val="15"/>
        </w:rPr>
        <w:t>HlJlr,z </w:t>
      </w:r>
      <w:r>
        <w:rPr>
          <w:rFonts w:ascii="Arial" w:hAnsi="Arial"/>
          <w:w w:val="105"/>
          <w:sz w:val="31"/>
        </w:rPr>
        <w:t>+ </w:t>
      </w:r>
      <w:r>
        <w:rPr>
          <w:b/>
          <w:w w:val="135"/>
          <w:sz w:val="15"/>
        </w:rPr>
        <w:t>HIPvs </w:t>
      </w:r>
      <w:r>
        <w:rPr>
          <w:w w:val="360"/>
          <w:sz w:val="15"/>
        </w:rPr>
        <w:t>-</w:t>
      </w:r>
      <w:r>
        <w:rPr>
          <w:spacing w:val="-99"/>
          <w:w w:val="360"/>
          <w:sz w:val="15"/>
        </w:rPr>
        <w:t> </w:t>
      </w:r>
      <w:r>
        <w:rPr>
          <w:b/>
          <w:w w:val="105"/>
          <w:sz w:val="15"/>
        </w:rPr>
        <w:t>HlP.iW</w:t>
      </w:r>
    </w:p>
    <w:p>
      <w:pPr>
        <w:spacing w:before="23"/>
        <w:ind w:left="3967" w:right="0" w:firstLine="0"/>
        <w:jc w:val="left"/>
        <w:rPr>
          <w:b/>
          <w:sz w:val="19"/>
        </w:rPr>
      </w:pPr>
      <w:r>
        <w:rPr>
          <w:w w:val="110"/>
          <w:sz w:val="19"/>
        </w:rPr>
        <w:t>- </w:t>
      </w:r>
      <w:r>
        <w:rPr>
          <w:b/>
          <w:w w:val="110"/>
          <w:sz w:val="19"/>
        </w:rPr>
        <w:t>Hl]),,s. </w:t>
      </w:r>
      <w:r>
        <w:rPr>
          <w:w w:val="95"/>
          <w:sz w:val="29"/>
        </w:rPr>
        <w:t>+ </w:t>
      </w:r>
      <w:r>
        <w:rPr>
          <w:b/>
          <w:w w:val="95"/>
          <w:sz w:val="19"/>
        </w:rPr>
        <w:t>H1Pw311•)]</w:t>
      </w:r>
    </w:p>
    <w:p>
      <w:pPr>
        <w:spacing w:line="90" w:lineRule="exact" w:before="37"/>
        <w:ind w:left="914" w:right="739" w:firstLine="0"/>
        <w:jc w:val="left"/>
        <w:rPr>
          <w:sz w:val="12"/>
        </w:rPr>
      </w:pPr>
      <w:r>
        <w:rPr>
          <w:w w:val="95"/>
          <w:sz w:val="12"/>
        </w:rPr>
        <w:t>ao</w:t>
      </w:r>
    </w:p>
    <w:p>
      <w:pPr>
        <w:spacing w:line="454" w:lineRule="exact" w:before="0"/>
        <w:ind w:left="601" w:right="739" w:firstLine="0"/>
        <w:jc w:val="left"/>
        <w:rPr>
          <w:sz w:val="16"/>
        </w:rPr>
      </w:pPr>
      <w:r>
        <w:rPr>
          <w:w w:val="101"/>
          <w:sz w:val="25"/>
        </w:rPr>
        <w:t>=</w:t>
      </w:r>
      <w:r>
        <w:rPr>
          <w:sz w:val="25"/>
        </w:rPr>
        <w:t> </w:t>
      </w:r>
      <w:r>
        <w:rPr>
          <w:spacing w:val="-28"/>
          <w:sz w:val="25"/>
        </w:rPr>
        <w:t> </w:t>
      </w:r>
      <w:r>
        <w:rPr>
          <w:i/>
          <w:spacing w:val="-230"/>
          <w:w w:val="111"/>
          <w:sz w:val="34"/>
        </w:rPr>
        <w:t>L</w:t>
      </w:r>
      <w:r>
        <w:rPr>
          <w:spacing w:val="-26"/>
          <w:w w:val="104"/>
          <w:position w:val="-11"/>
          <w:sz w:val="28"/>
        </w:rPr>
        <w:t>,</w:t>
      </w:r>
      <w:r>
        <w:rPr>
          <w:spacing w:val="-24"/>
          <w:w w:val="144"/>
          <w:position w:val="-11"/>
          <w:sz w:val="28"/>
        </w:rPr>
        <w:t>-</w:t>
      </w:r>
      <w:r>
        <w:rPr>
          <w:w w:val="49"/>
          <w:position w:val="-11"/>
          <w:sz w:val="28"/>
        </w:rPr>
        <w:t>o</w:t>
      </w:r>
      <w:r>
        <w:rPr>
          <w:spacing w:val="-20"/>
          <w:position w:val="-11"/>
          <w:sz w:val="28"/>
        </w:rPr>
        <w:t> </w:t>
      </w:r>
      <w:r>
        <w:rPr>
          <w:w w:val="121"/>
          <w:sz w:val="14"/>
        </w:rPr>
        <w:t>a,Hl</w:t>
      </w:r>
      <w:r>
        <w:rPr>
          <w:spacing w:val="7"/>
          <w:sz w:val="14"/>
        </w:rPr>
        <w:t> </w:t>
      </w:r>
      <w:r>
        <w:rPr>
          <w:w w:val="95"/>
          <w:sz w:val="17"/>
        </w:rPr>
        <w:t>(</w:t>
      </w:r>
      <w:r>
        <w:rPr>
          <w:w w:val="95"/>
          <w:sz w:val="17"/>
        </w:rPr>
        <w:t>etfit</w:t>
      </w:r>
      <w:r>
        <w:rPr>
          <w:sz w:val="17"/>
        </w:rPr>
        <w:t> </w:t>
      </w:r>
      <w:r>
        <w:rPr>
          <w:spacing w:val="-6"/>
          <w:sz w:val="17"/>
        </w:rPr>
        <w:t> </w:t>
      </w:r>
      <w:r>
        <w:rPr>
          <w:rFonts w:ascii="Arial" w:hAnsi="Arial"/>
          <w:w w:val="106"/>
          <w:sz w:val="32"/>
        </w:rPr>
        <w:t>+</w:t>
      </w:r>
      <w:r>
        <w:rPr>
          <w:rFonts w:ascii="Arial" w:hAnsi="Arial"/>
          <w:spacing w:val="-26"/>
          <w:sz w:val="32"/>
        </w:rPr>
        <w:t> </w:t>
      </w:r>
      <w:r>
        <w:rPr>
          <w:i/>
          <w:w w:val="87"/>
          <w:sz w:val="21"/>
        </w:rPr>
        <w:t>,,</w:t>
      </w:r>
      <w:r>
        <w:rPr>
          <w:i/>
          <w:spacing w:val="4"/>
          <w:w w:val="87"/>
          <w:sz w:val="21"/>
        </w:rPr>
        <w:t>q</w:t>
      </w:r>
      <w:r>
        <w:rPr>
          <w:i/>
          <w:w w:val="67"/>
          <w:sz w:val="21"/>
        </w:rPr>
        <w:t>..</w:t>
      </w:r>
      <w:r>
        <w:rPr>
          <w:i/>
          <w:spacing w:val="17"/>
          <w:sz w:val="21"/>
        </w:rPr>
        <w:t> </w:t>
      </w:r>
      <w:r>
        <w:rPr>
          <w:w w:val="261"/>
          <w:sz w:val="21"/>
        </w:rPr>
        <w:t>-</w:t>
      </w:r>
      <w:r>
        <w:rPr>
          <w:spacing w:val="16"/>
          <w:sz w:val="21"/>
        </w:rPr>
        <w:t> </w:t>
      </w:r>
      <w:r>
        <w:rPr>
          <w:w w:val="115"/>
          <w:sz w:val="17"/>
        </w:rPr>
        <w:t>ctfp</w:t>
      </w:r>
      <w:r>
        <w:rPr>
          <w:sz w:val="17"/>
        </w:rPr>
        <w:t> </w:t>
      </w:r>
      <w:r>
        <w:rPr>
          <w:spacing w:val="-14"/>
          <w:sz w:val="17"/>
        </w:rPr>
        <w:t> </w:t>
      </w:r>
      <w:r>
        <w:rPr>
          <w:w w:val="101"/>
          <w:sz w:val="29"/>
        </w:rPr>
        <w:t>+</w:t>
      </w:r>
      <w:r>
        <w:rPr>
          <w:spacing w:val="20"/>
          <w:sz w:val="29"/>
        </w:rPr>
        <w:t> </w:t>
      </w:r>
      <w:r>
        <w:rPr>
          <w:i/>
          <w:w w:val="80"/>
          <w:sz w:val="21"/>
        </w:rPr>
        <w:t>t¡qvs</w:t>
      </w:r>
      <w:r>
        <w:rPr>
          <w:i/>
          <w:sz w:val="21"/>
        </w:rPr>
        <w:t> </w:t>
      </w:r>
      <w:r>
        <w:rPr>
          <w:i/>
          <w:spacing w:val="-21"/>
          <w:sz w:val="21"/>
        </w:rPr>
        <w:t> </w:t>
      </w:r>
      <w:r>
        <w:rPr>
          <w:w w:val="261"/>
          <w:sz w:val="21"/>
        </w:rPr>
        <w:t>-</w:t>
      </w:r>
      <w:r>
        <w:rPr>
          <w:spacing w:val="12"/>
          <w:sz w:val="21"/>
        </w:rPr>
        <w:t> </w:t>
      </w:r>
      <w:r>
        <w:rPr>
          <w:w w:val="127"/>
          <w:sz w:val="16"/>
        </w:rPr>
        <w:t>tl9w.</w:t>
      </w:r>
      <w:r>
        <w:rPr>
          <w:sz w:val="16"/>
        </w:rPr>
        <w:t> </w:t>
      </w:r>
      <w:r>
        <w:rPr>
          <w:spacing w:val="-2"/>
          <w:sz w:val="16"/>
        </w:rPr>
        <w:t> </w:t>
      </w:r>
      <w:r>
        <w:rPr>
          <w:w w:val="353"/>
          <w:sz w:val="16"/>
        </w:rPr>
        <w:t>-</w:t>
      </w:r>
      <w:r>
        <w:rPr>
          <w:sz w:val="16"/>
        </w:rPr>
        <w:t> </w:t>
      </w:r>
      <w:r>
        <w:rPr>
          <w:spacing w:val="-13"/>
          <w:sz w:val="16"/>
        </w:rPr>
        <w:t> </w:t>
      </w:r>
      <w:r>
        <w:rPr>
          <w:w w:val="116"/>
          <w:sz w:val="16"/>
        </w:rPr>
        <w:t>tlfwa</w:t>
      </w:r>
    </w:p>
    <w:p>
      <w:pPr>
        <w:spacing w:line="350" w:lineRule="exact" w:before="16"/>
        <w:ind w:left="0" w:right="169" w:firstLine="0"/>
        <w:jc w:val="right"/>
        <w:rPr>
          <w:sz w:val="18"/>
        </w:rPr>
      </w:pPr>
      <w:r>
        <w:rPr>
          <w:rFonts w:ascii="Arial" w:hAnsi="Arial"/>
          <w:w w:val="105"/>
          <w:sz w:val="32"/>
        </w:rPr>
        <w:t>+</w:t>
      </w:r>
      <w:r>
        <w:rPr>
          <w:rFonts w:ascii="Arial" w:hAnsi="Arial"/>
          <w:spacing w:val="-53"/>
          <w:w w:val="105"/>
          <w:sz w:val="32"/>
        </w:rPr>
        <w:t> </w:t>
      </w:r>
      <w:r>
        <w:rPr>
          <w:w w:val="105"/>
          <w:sz w:val="18"/>
        </w:rPr>
        <w:t>•tfwap)</w:t>
      </w:r>
    </w:p>
    <w:p>
      <w:pPr>
        <w:spacing w:line="362" w:lineRule="exact" w:before="0"/>
        <w:ind w:left="608" w:right="133" w:firstLine="0"/>
        <w:jc w:val="left"/>
        <w:rPr>
          <w:b/>
          <w:i/>
          <w:sz w:val="21"/>
        </w:rPr>
      </w:pPr>
      <w:r>
        <w:rPr>
          <w:w w:val="120"/>
          <w:sz w:val="24"/>
        </w:rPr>
        <w:t>= </w:t>
      </w:r>
      <w:r>
        <w:rPr>
          <w:i/>
          <w:w w:val="135"/>
          <w:sz w:val="22"/>
        </w:rPr>
        <w:t>A. </w:t>
      </w:r>
      <w:r>
        <w:rPr>
          <w:w w:val="120"/>
          <w:sz w:val="29"/>
        </w:rPr>
        <w:t>+ </w:t>
      </w:r>
      <w:r>
        <w:rPr>
          <w:rFonts w:ascii="Arial" w:hAnsi="Arial"/>
          <w:i/>
          <w:w w:val="135"/>
          <w:sz w:val="20"/>
        </w:rPr>
        <w:t>A. </w:t>
      </w:r>
      <w:r>
        <w:rPr>
          <w:rFonts w:ascii="Arial" w:hAnsi="Arial"/>
          <w:w w:val="240"/>
          <w:sz w:val="20"/>
        </w:rPr>
        <w:t>-</w:t>
      </w:r>
      <w:r>
        <w:rPr>
          <w:rFonts w:ascii="Arial" w:hAnsi="Arial"/>
          <w:spacing w:val="-97"/>
          <w:w w:val="240"/>
          <w:sz w:val="20"/>
        </w:rPr>
        <w:t> </w:t>
      </w:r>
      <w:r>
        <w:rPr>
          <w:i/>
          <w:w w:val="80"/>
          <w:sz w:val="22"/>
        </w:rPr>
        <w:t>A,,z </w:t>
      </w:r>
      <w:r>
        <w:rPr>
          <w:rFonts w:ascii="Arial" w:hAnsi="Arial"/>
          <w:w w:val="120"/>
          <w:sz w:val="32"/>
        </w:rPr>
        <w:t>+</w:t>
      </w:r>
      <w:r>
        <w:rPr>
          <w:rFonts w:ascii="Arial" w:hAnsi="Arial"/>
          <w:spacing w:val="-75"/>
          <w:w w:val="120"/>
          <w:sz w:val="32"/>
        </w:rPr>
        <w:t> </w:t>
      </w:r>
      <w:r>
        <w:rPr>
          <w:b/>
          <w:i/>
          <w:w w:val="135"/>
          <w:sz w:val="21"/>
        </w:rPr>
        <w:t>A.s </w:t>
      </w:r>
      <w:r>
        <w:rPr>
          <w:w w:val="240"/>
          <w:sz w:val="21"/>
        </w:rPr>
        <w:t>-</w:t>
      </w:r>
      <w:r>
        <w:rPr>
          <w:spacing w:val="-97"/>
          <w:w w:val="240"/>
          <w:sz w:val="21"/>
        </w:rPr>
        <w:t> </w:t>
      </w:r>
      <w:r>
        <w:rPr>
          <w:b/>
          <w:i/>
          <w:spacing w:val="5"/>
          <w:w w:val="135"/>
          <w:sz w:val="21"/>
        </w:rPr>
        <w:t>A•• </w:t>
      </w:r>
      <w:r>
        <w:rPr>
          <w:w w:val="240"/>
          <w:sz w:val="21"/>
        </w:rPr>
        <w:t>-</w:t>
      </w:r>
      <w:r>
        <w:rPr>
          <w:spacing w:val="-98"/>
          <w:w w:val="240"/>
          <w:sz w:val="21"/>
        </w:rPr>
        <w:t> </w:t>
      </w:r>
      <w:r>
        <w:rPr>
          <w:b/>
          <w:i/>
          <w:w w:val="80"/>
          <w:sz w:val="22"/>
        </w:rPr>
        <w:t>A111n </w:t>
      </w:r>
      <w:r>
        <w:rPr>
          <w:rFonts w:ascii="Arial" w:hAnsi="Arial"/>
          <w:spacing w:val="13"/>
          <w:w w:val="120"/>
          <w:sz w:val="33"/>
        </w:rPr>
        <w:t>+</w:t>
      </w:r>
      <w:r>
        <w:rPr>
          <w:b/>
          <w:i/>
          <w:spacing w:val="13"/>
          <w:w w:val="120"/>
          <w:sz w:val="21"/>
        </w:rPr>
        <w:t>A</w:t>
      </w:r>
      <w:r>
        <w:rPr>
          <w:b/>
          <w:i/>
          <w:spacing w:val="-52"/>
          <w:w w:val="120"/>
          <w:sz w:val="21"/>
        </w:rPr>
        <w:t> </w:t>
      </w:r>
      <w:r>
        <w:rPr>
          <w:b/>
          <w:i/>
          <w:spacing w:val="-12"/>
          <w:w w:val="155"/>
          <w:sz w:val="21"/>
        </w:rPr>
        <w:t>.... </w:t>
      </w:r>
      <w:r>
        <w:rPr>
          <w:b/>
          <w:i/>
          <w:w w:val="80"/>
          <w:sz w:val="21"/>
        </w:rPr>
        <w:t>•</w:t>
      </w:r>
    </w:p>
    <w:p>
      <w:pPr>
        <w:pStyle w:val="BodyText"/>
        <w:spacing w:line="238" w:lineRule="exact" w:before="110"/>
        <w:ind w:left="104" w:right="163" w:firstLine="187"/>
        <w:jc w:val="right"/>
      </w:pPr>
      <w:r>
        <w:rPr>
          <w:w w:val="105"/>
        </w:rPr>
        <w:t>While </w:t>
      </w:r>
      <w:r>
        <w:rPr>
          <w:w w:val="105"/>
          <w:sz w:val="21"/>
        </w:rPr>
        <w:t>it  </w:t>
      </w:r>
      <w:r>
        <w:rPr>
          <w:rFonts w:ascii="Arial"/>
          <w:w w:val="105"/>
        </w:rPr>
        <w:t>is </w:t>
      </w:r>
      <w:r>
        <w:rPr>
          <w:w w:val="105"/>
        </w:rPr>
        <w:t>of  fundamental  importance  for  the understanding</w:t>
      </w:r>
      <w:r>
        <w:rPr>
          <w:w w:val="105"/>
        </w:rPr>
        <w:t> </w:t>
      </w:r>
      <w:r>
        <w:rPr>
          <w:w w:val="105"/>
        </w:rPr>
        <w:t>of the subject that the student be able </w:t>
      </w:r>
      <w:r>
        <w:rPr>
          <w:w w:val="105"/>
          <w:sz w:val="21"/>
        </w:rPr>
        <w:t>to </w:t>
      </w:r>
      <w:r>
        <w:rPr>
          <w:w w:val="105"/>
        </w:rPr>
        <w:t>resolve compound  expres-</w:t>
      </w:r>
    </w:p>
    <w:p>
      <w:pPr>
        <w:spacing w:after="0" w:line="238" w:lineRule="exact"/>
        <w:jc w:val="right"/>
        <w:sectPr>
          <w:type w:val="continuous"/>
          <w:pgSz w:w="7200" w:h="11340"/>
          <w:pgMar w:top="1100" w:bottom="0" w:left="680" w:right="540"/>
        </w:sectPr>
      </w:pPr>
    </w:p>
    <w:p>
      <w:pPr>
        <w:tabs>
          <w:tab w:pos="2097" w:val="left" w:leader="none"/>
          <w:tab w:pos="5866" w:val="right" w:leader="none"/>
        </w:tabs>
        <w:spacing w:before="54"/>
        <w:ind w:left="117" w:right="0" w:firstLine="0"/>
        <w:jc w:val="left"/>
        <w:rPr>
          <w:sz w:val="20"/>
        </w:rPr>
      </w:pPr>
      <w:r>
        <w:rPr>
          <w:b/>
          <w:sz w:val="15"/>
        </w:rPr>
        <w:t>SEC. </w:t>
      </w:r>
      <w:r>
        <w:rPr>
          <w:b/>
          <w:spacing w:val="21"/>
          <w:sz w:val="15"/>
        </w:rPr>
        <w:t> </w:t>
      </w:r>
      <w:r>
        <w:rPr>
          <w:rFonts w:ascii="Arial"/>
          <w:b/>
          <w:sz w:val="20"/>
        </w:rPr>
        <w:t>2]</w:t>
        <w:tab/>
      </w:r>
      <w:r>
        <w:rPr>
          <w:b/>
          <w:position w:val="1"/>
          <w:sz w:val="15"/>
        </w:rPr>
        <w:t>COMPOUND </w:t>
      </w:r>
      <w:r>
        <w:rPr>
          <w:b/>
          <w:spacing w:val="32"/>
          <w:position w:val="1"/>
          <w:sz w:val="15"/>
        </w:rPr>
        <w:t> </w:t>
      </w:r>
      <w:r>
        <w:rPr>
          <w:b/>
          <w:position w:val="1"/>
          <w:sz w:val="15"/>
        </w:rPr>
        <w:t>STATUSF.S</w:t>
      </w:r>
      <w:r>
        <w:rPr>
          <w:sz w:val="20"/>
        </w:rPr>
        <w:tab/>
      </w:r>
      <w:r>
        <w:rPr>
          <w:spacing w:val="-3"/>
          <w:sz w:val="20"/>
        </w:rPr>
        <w:t>215</w:t>
      </w:r>
    </w:p>
    <w:p>
      <w:pPr>
        <w:pStyle w:val="BodyText"/>
        <w:spacing w:line="244" w:lineRule="auto" w:before="232"/>
        <w:ind w:left="121" w:right="158" w:firstLine="7"/>
        <w:jc w:val="both"/>
      </w:pPr>
      <w:r>
        <w:rPr>
          <w:w w:val="105"/>
        </w:rPr>
        <w:t>sions of this type into their single- and joint-life  elements,  it </w:t>
      </w:r>
      <w:r>
        <w:rPr>
          <w:w w:val="105"/>
          <w:sz w:val="21"/>
        </w:rPr>
        <w:t>will </w:t>
      </w:r>
      <w:r>
        <w:rPr>
          <w:w w:val="105"/>
        </w:rPr>
        <w:t>be noted that in practice the expansions required can become tedious. Certain general relationships between last-survivor and joint-life statuses make it possible </w:t>
      </w:r>
      <w:r>
        <w:rPr>
          <w:w w:val="105"/>
          <w:sz w:val="22"/>
        </w:rPr>
        <w:t>to </w:t>
      </w:r>
      <w:r>
        <w:rPr>
          <w:w w:val="105"/>
        </w:rPr>
        <w:t>reduce very markedly the  steps needcd for these</w:t>
      </w:r>
      <w:r>
        <w:rPr>
          <w:spacing w:val="38"/>
          <w:w w:val="105"/>
        </w:rPr>
        <w:t> </w:t>
      </w:r>
      <w:r>
        <w:rPr>
          <w:w w:val="105"/>
        </w:rPr>
        <w:t>expansions.</w:t>
      </w:r>
    </w:p>
    <w:p>
      <w:pPr>
        <w:pStyle w:val="BodyText"/>
        <w:spacing w:line="244" w:lineRule="auto" w:before="3"/>
        <w:ind w:left="132" w:right="142" w:firstLine="201"/>
        <w:jc w:val="both"/>
      </w:pPr>
      <w:r>
        <w:rPr>
          <w:w w:val="105"/>
        </w:rPr>
        <w:t>Consider first the function </w:t>
      </w:r>
      <w:r>
        <w:rPr>
          <w:i/>
          <w:w w:val="125"/>
        </w:rPr>
        <w:t>a;., </w:t>
      </w:r>
      <w:r>
        <w:rPr>
          <w:w w:val="105"/>
        </w:rPr>
        <w:t>where (u) and </w:t>
      </w:r>
      <w:r>
        <w:rPr>
          <w:i/>
        </w:rPr>
        <w:t>( </w:t>
      </w:r>
      <w:r>
        <w:rPr>
          <w:i/>
          <w:w w:val="105"/>
        </w:rPr>
        <w:t>v </w:t>
      </w:r>
      <w:r>
        <w:rPr>
          <w:i/>
        </w:rPr>
        <w:t>) </w:t>
      </w:r>
      <w:r>
        <w:rPr>
          <w:w w:val="105"/>
        </w:rPr>
        <w:t>represent any type of status thus far defined-single-life, joint-life,  last-survivor,  or term-certain. Whatever  the  individual  statuses  </w:t>
      </w:r>
      <w:r>
        <w:rPr>
          <w:spacing w:val="7"/>
          <w:w w:val="105"/>
        </w:rPr>
        <w:t>(u)  </w:t>
      </w:r>
      <w:r>
        <w:rPr>
          <w:w w:val="105"/>
        </w:rPr>
        <w:t>and  </w:t>
      </w:r>
      <w:r>
        <w:rPr>
          <w:rFonts w:ascii="Arial" w:hAnsi="Arial"/>
          <w:i/>
          <w:w w:val="105"/>
          <w:sz w:val="19"/>
        </w:rPr>
        <w:t>(v ) </w:t>
      </w:r>
      <w:r>
        <w:rPr>
          <w:w w:val="105"/>
        </w:rPr>
        <w:t>may be, we know </w:t>
      </w:r>
      <w:r>
        <w:rPr>
          <w:w w:val="125"/>
        </w:rPr>
        <w:t>that </w:t>
      </w:r>
      <w:r>
        <w:rPr>
          <w:w w:val="105"/>
        </w:rPr>
        <w:t>the last-survivor annuity </w:t>
      </w:r>
      <w:r>
        <w:rPr>
          <w:i/>
          <w:w w:val="125"/>
        </w:rPr>
        <w:t>a.; </w:t>
      </w:r>
      <w:r>
        <w:rPr>
          <w:w w:val="105"/>
        </w:rPr>
        <w:t>will provide annual payments of 1 for </w:t>
      </w:r>
      <w:r>
        <w:rPr>
          <w:rFonts w:ascii="Arial" w:hAnsi="Arial"/>
          <w:w w:val="105"/>
          <w:sz w:val="17"/>
        </w:rPr>
        <w:t>a </w:t>
      </w:r>
      <w:r>
        <w:rPr>
          <w:w w:val="105"/>
        </w:rPr>
        <w:t>period determined by the </w:t>
      </w:r>
      <w:r>
        <w:rPr>
          <w:i/>
          <w:w w:val="105"/>
          <w:sz w:val="21"/>
        </w:rPr>
        <w:t>longer </w:t>
      </w:r>
      <w:r>
        <w:rPr>
          <w:w w:val="105"/>
        </w:rPr>
        <w:t>surviv­ </w:t>
      </w:r>
      <w:r>
        <w:rPr>
          <w:w w:val="101"/>
        </w:rPr>
        <w:t>ing </w:t>
      </w:r>
      <w:r>
        <w:rPr>
          <w:w w:val="112"/>
        </w:rPr>
        <w:t>status. </w:t>
      </w:r>
      <w:r>
        <w:rPr>
          <w:w w:val="104"/>
        </w:rPr>
        <w:t>On </w:t>
      </w:r>
      <w:r>
        <w:rPr>
          <w:w w:val="113"/>
        </w:rPr>
        <w:t>the </w:t>
      </w:r>
      <w:r>
        <w:rPr>
          <w:w w:val="108"/>
        </w:rPr>
        <w:t>other </w:t>
      </w:r>
      <w:r>
        <w:rPr>
          <w:w w:val="107"/>
        </w:rPr>
        <w:t>hand, </w:t>
      </w:r>
      <w:r>
        <w:rPr>
          <w:w w:val="113"/>
        </w:rPr>
        <w:t>the </w:t>
      </w:r>
      <w:r>
        <w:rPr>
          <w:w w:val="101"/>
        </w:rPr>
        <w:t>joint-life </w:t>
      </w:r>
      <w:r>
        <w:rPr>
          <w:spacing w:val="-2"/>
          <w:w w:val="133"/>
        </w:rPr>
        <w:t>anuity</w:t>
      </w:r>
      <w:r>
        <w:rPr>
          <w:w w:val="133"/>
        </w:rPr>
        <w:t> </w:t>
      </w:r>
      <w:r>
        <w:rPr>
          <w:i/>
          <w:w w:val="84"/>
        </w:rPr>
        <w:t>a,,., </w:t>
      </w:r>
      <w:r>
        <w:rPr>
          <w:w w:val="102"/>
        </w:rPr>
        <w:t>provides </w:t>
      </w:r>
      <w:r>
        <w:rPr>
          <w:w w:val="105"/>
        </w:rPr>
        <w:t>payments only during the existence of the </w:t>
      </w:r>
      <w:r>
        <w:rPr>
          <w:i/>
          <w:w w:val="105"/>
          <w:sz w:val="22"/>
        </w:rPr>
        <w:t>shorter </w:t>
      </w:r>
      <w:r>
        <w:rPr>
          <w:w w:val="105"/>
        </w:rPr>
        <w:t>surviving status. Hence, </w:t>
      </w:r>
      <w:r>
        <w:rPr>
          <w:i/>
          <w:w w:val="125"/>
        </w:rPr>
        <w:t>a;. </w:t>
      </w:r>
      <w:r>
        <w:rPr>
          <w:w w:val="105"/>
        </w:rPr>
        <w:t>provides an annuity payable during the continuance of one of the statuses (u) and (v), and </w:t>
      </w:r>
      <w:r>
        <w:rPr>
          <w:w w:val="125"/>
          <w:sz w:val="12"/>
        </w:rPr>
        <w:t>a1n </w:t>
      </w:r>
      <w:r>
        <w:rPr>
          <w:w w:val="105"/>
        </w:rPr>
        <w:t>provides an annuity on the other. </w:t>
      </w:r>
      <w:r>
        <w:rPr>
          <w:w w:val="125"/>
          <w:sz w:val="22"/>
        </w:rPr>
        <w:t>It </w:t>
      </w:r>
      <w:r>
        <w:rPr>
          <w:w w:val="105"/>
        </w:rPr>
        <w:t>follows</w:t>
      </w:r>
      <w:r>
        <w:rPr>
          <w:spacing w:val="-15"/>
          <w:w w:val="105"/>
        </w:rPr>
        <w:t> </w:t>
      </w:r>
      <w:r>
        <w:rPr>
          <w:w w:val="125"/>
        </w:rPr>
        <w:t>that</w:t>
      </w:r>
    </w:p>
    <w:p>
      <w:pPr>
        <w:spacing w:after="0" w:line="244" w:lineRule="auto"/>
        <w:jc w:val="both"/>
        <w:sectPr>
          <w:pgSz w:w="7200" w:h="11340"/>
          <w:pgMar w:top="500" w:bottom="280" w:left="660" w:right="520"/>
        </w:sectPr>
      </w:pPr>
    </w:p>
    <w:p>
      <w:pPr>
        <w:pStyle w:val="BodyText"/>
        <w:spacing w:before="488"/>
        <w:ind w:left="142" w:right="-7"/>
      </w:pPr>
      <w:r>
        <w:rPr/>
        <w:t>whence</w:t>
      </w:r>
    </w:p>
    <w:p>
      <w:pPr>
        <w:spacing w:before="88"/>
        <w:ind w:left="142" w:right="0" w:firstLine="0"/>
        <w:jc w:val="left"/>
        <w:rPr>
          <w:rFonts w:ascii="Arial" w:hAnsi="Arial"/>
          <w:sz w:val="26"/>
        </w:rPr>
      </w:pPr>
      <w:r>
        <w:rPr/>
        <w:br w:type="column"/>
      </w:r>
      <w:r>
        <w:rPr>
          <w:rFonts w:ascii="Arial" w:hAnsi="Arial"/>
          <w:i/>
          <w:w w:val="110"/>
          <w:sz w:val="25"/>
        </w:rPr>
        <w:t>ª•• </w:t>
      </w:r>
      <w:r>
        <w:rPr>
          <w:rFonts w:ascii="Arial" w:hAnsi="Arial"/>
          <w:w w:val="110"/>
          <w:sz w:val="31"/>
        </w:rPr>
        <w:t>+ </w:t>
      </w:r>
      <w:r>
        <w:rPr>
          <w:rFonts w:ascii="Arial" w:hAnsi="Arial"/>
          <w:i/>
          <w:w w:val="110"/>
          <w:sz w:val="24"/>
        </w:rPr>
        <w:t>ª•• </w:t>
      </w:r>
      <w:r>
        <w:rPr>
          <w:w w:val="110"/>
          <w:sz w:val="25"/>
        </w:rPr>
        <w:t>= </w:t>
      </w:r>
      <w:r>
        <w:rPr>
          <w:b/>
          <w:i/>
          <w:w w:val="110"/>
          <w:sz w:val="25"/>
        </w:rPr>
        <w:t>a. </w:t>
      </w:r>
      <w:r>
        <w:rPr>
          <w:rFonts w:ascii="Arial" w:hAnsi="Arial"/>
          <w:w w:val="110"/>
          <w:sz w:val="31"/>
        </w:rPr>
        <w:t>+ </w:t>
      </w:r>
      <w:r>
        <w:rPr>
          <w:rFonts w:ascii="Arial" w:hAnsi="Arial"/>
          <w:i/>
          <w:w w:val="110"/>
          <w:sz w:val="26"/>
        </w:rPr>
        <w:t>ª•</w:t>
      </w:r>
      <w:r>
        <w:rPr>
          <w:rFonts w:ascii="Arial" w:hAnsi="Arial"/>
          <w:i/>
          <w:spacing w:val="-51"/>
          <w:w w:val="110"/>
          <w:sz w:val="26"/>
        </w:rPr>
        <w:t> </w:t>
      </w:r>
      <w:r>
        <w:rPr>
          <w:rFonts w:ascii="Arial" w:hAnsi="Arial"/>
          <w:w w:val="110"/>
          <w:sz w:val="26"/>
        </w:rPr>
        <w:t>,</w:t>
      </w:r>
    </w:p>
    <w:p>
      <w:pPr>
        <w:tabs>
          <w:tab w:pos="3364" w:val="left" w:leader="none"/>
        </w:tabs>
        <w:spacing w:before="349"/>
        <w:ind w:left="193" w:right="0" w:firstLine="0"/>
        <w:jc w:val="left"/>
        <w:rPr>
          <w:sz w:val="20"/>
        </w:rPr>
      </w:pPr>
      <w:r>
        <w:rPr>
          <w:i/>
          <w:w w:val="110"/>
          <w:sz w:val="20"/>
        </w:rPr>
        <w:t>a;;</w:t>
      </w:r>
      <w:r>
        <w:rPr>
          <w:i/>
          <w:spacing w:val="4"/>
          <w:w w:val="110"/>
          <w:sz w:val="20"/>
        </w:rPr>
        <w:t> </w:t>
      </w:r>
      <w:r>
        <w:rPr>
          <w:w w:val="110"/>
          <w:sz w:val="26"/>
        </w:rPr>
        <w:t>=</w:t>
      </w:r>
      <w:r>
        <w:rPr>
          <w:spacing w:val="5"/>
          <w:w w:val="110"/>
          <w:sz w:val="26"/>
        </w:rPr>
        <w:t> </w:t>
      </w:r>
      <w:r>
        <w:rPr>
          <w:i/>
          <w:w w:val="95"/>
          <w:sz w:val="30"/>
        </w:rPr>
        <w:t>a,,</w:t>
      </w:r>
      <w:r>
        <w:rPr>
          <w:i/>
          <w:spacing w:val="-25"/>
          <w:w w:val="95"/>
          <w:sz w:val="30"/>
        </w:rPr>
        <w:t> </w:t>
      </w:r>
      <w:r>
        <w:rPr>
          <w:i/>
          <w:w w:val="110"/>
          <w:sz w:val="30"/>
        </w:rPr>
        <w:t>+</w:t>
      </w:r>
      <w:r>
        <w:rPr>
          <w:i/>
          <w:spacing w:val="-44"/>
          <w:w w:val="110"/>
          <w:sz w:val="30"/>
        </w:rPr>
        <w:t> </w:t>
      </w:r>
      <w:r>
        <w:rPr>
          <w:rFonts w:ascii="Arial" w:hAnsi="Arial"/>
          <w:i/>
          <w:w w:val="110"/>
          <w:sz w:val="26"/>
        </w:rPr>
        <w:t>ª•</w:t>
      </w:r>
      <w:r>
        <w:rPr>
          <w:rFonts w:ascii="Arial" w:hAnsi="Arial"/>
          <w:i/>
          <w:spacing w:val="-31"/>
          <w:w w:val="110"/>
          <w:sz w:val="26"/>
        </w:rPr>
        <w:t> </w:t>
      </w:r>
      <w:r>
        <w:rPr>
          <w:rFonts w:ascii="Arial" w:hAnsi="Arial"/>
          <w:w w:val="170"/>
          <w:sz w:val="26"/>
        </w:rPr>
        <w:t>-</w:t>
      </w:r>
      <w:r>
        <w:rPr>
          <w:rFonts w:ascii="Arial" w:hAnsi="Arial"/>
          <w:spacing w:val="-71"/>
          <w:w w:val="170"/>
          <w:sz w:val="26"/>
        </w:rPr>
        <w:t> </w:t>
      </w:r>
      <w:r>
        <w:rPr>
          <w:rFonts w:ascii="Arial" w:hAnsi="Arial"/>
          <w:i/>
          <w:spacing w:val="-9"/>
          <w:w w:val="110"/>
          <w:sz w:val="26"/>
        </w:rPr>
        <w:t>ª••</w:t>
      </w:r>
      <w:r>
        <w:rPr>
          <w:rFonts w:ascii="Arial" w:hAnsi="Arial"/>
          <w:i/>
          <w:spacing w:val="-40"/>
          <w:w w:val="110"/>
          <w:sz w:val="26"/>
        </w:rPr>
        <w:t> </w:t>
      </w:r>
      <w:r>
        <w:rPr>
          <w:rFonts w:ascii="Arial" w:hAnsi="Arial"/>
          <w:i/>
          <w:w w:val="110"/>
          <w:sz w:val="26"/>
        </w:rPr>
        <w:t>.</w:t>
        <w:tab/>
      </w:r>
      <w:r>
        <w:rPr>
          <w:spacing w:val="-6"/>
          <w:w w:val="110"/>
          <w:position w:val="4"/>
          <w:sz w:val="20"/>
        </w:rPr>
        <w:t>(10.7a)</w:t>
      </w:r>
    </w:p>
    <w:p>
      <w:pPr>
        <w:spacing w:after="0"/>
        <w:jc w:val="left"/>
        <w:rPr>
          <w:sz w:val="20"/>
        </w:rPr>
        <w:sectPr>
          <w:type w:val="continuous"/>
          <w:pgSz w:w="7200" w:h="11340"/>
          <w:pgMar w:top="1100" w:bottom="0" w:left="660" w:right="520"/>
          <w:cols w:num="2" w:equalWidth="0">
            <w:col w:w="766" w:space="1139"/>
            <w:col w:w="4115"/>
          </w:cols>
        </w:sectPr>
      </w:pPr>
    </w:p>
    <w:p>
      <w:pPr>
        <w:pStyle w:val="BodyText"/>
        <w:spacing w:line="247" w:lineRule="auto" w:before="59"/>
        <w:ind w:left="146" w:right="132" w:firstLine="208"/>
        <w:jc w:val="both"/>
      </w:pPr>
      <w:r>
        <w:rPr>
          <w:w w:val="98"/>
          <w:sz w:val="21"/>
        </w:rPr>
        <w:t>It. </w:t>
      </w:r>
      <w:r>
        <w:rPr>
          <w:w w:val="101"/>
        </w:rPr>
        <w:t>will </w:t>
      </w:r>
      <w:r>
        <w:rPr>
          <w:w w:val="103"/>
        </w:rPr>
        <w:t>be </w:t>
      </w:r>
      <w:r>
        <w:rPr>
          <w:w w:val="103"/>
        </w:rPr>
        <w:t>observed </w:t>
      </w:r>
      <w:r>
        <w:rPr>
          <w:w w:val="119"/>
        </w:rPr>
        <w:t>that </w:t>
      </w:r>
      <w:r>
        <w:rPr>
          <w:w w:val="113"/>
        </w:rPr>
        <w:t>the </w:t>
      </w:r>
      <w:r>
        <w:rPr>
          <w:w w:val="101"/>
        </w:rPr>
        <w:t>two-life </w:t>
      </w:r>
      <w:r>
        <w:rPr>
          <w:w w:val="104"/>
        </w:rPr>
        <w:t>case </w:t>
      </w:r>
      <w:r>
        <w:rPr>
          <w:w w:val="89"/>
        </w:rPr>
        <w:t>of </w:t>
      </w:r>
      <w:r>
        <w:rPr>
          <w:w w:val="105"/>
        </w:rPr>
        <w:t>relation </w:t>
      </w:r>
      <w:r>
        <w:rPr>
          <w:w w:val="103"/>
        </w:rPr>
        <w:t>(10.6)· </w:t>
      </w:r>
      <w:r>
        <w:rPr>
          <w:w w:val="108"/>
        </w:rPr>
        <w:t>ap­ </w:t>
      </w:r>
      <w:r>
        <w:rPr>
          <w:w w:val="105"/>
        </w:rPr>
        <w:t>plied </w:t>
      </w:r>
      <w:r>
        <w:rPr>
          <w:w w:val="105"/>
          <w:sz w:val="22"/>
        </w:rPr>
        <w:t>to </w:t>
      </w:r>
      <w:r>
        <w:rPr>
          <w:w w:val="105"/>
        </w:rPr>
        <w:t>annuities is merely </w:t>
      </w:r>
      <w:r>
        <w:rPr>
          <w:rFonts w:ascii="Arial" w:hAnsi="Arial"/>
          <w:w w:val="105"/>
          <w:sz w:val="18"/>
        </w:rPr>
        <w:t>a </w:t>
      </w:r>
      <w:r>
        <w:rPr>
          <w:w w:val="105"/>
        </w:rPr>
        <w:t>special case of the above result. Similar reasoning produces an analogous relation for the present values of insurances:</w:t>
      </w:r>
    </w:p>
    <w:p>
      <w:pPr>
        <w:tabs>
          <w:tab w:pos="5265" w:val="left" w:leader="none"/>
        </w:tabs>
        <w:spacing w:before="19"/>
        <w:ind w:left="1939" w:right="0" w:firstLine="0"/>
        <w:jc w:val="left"/>
        <w:rPr>
          <w:sz w:val="20"/>
        </w:rPr>
      </w:pPr>
      <w:r>
        <w:rPr>
          <w:i/>
          <w:w w:val="114"/>
          <w:sz w:val="22"/>
        </w:rPr>
        <w:t>A;;</w:t>
      </w:r>
      <w:r>
        <w:rPr>
          <w:i/>
          <w:sz w:val="22"/>
        </w:rPr>
        <w:t> </w:t>
      </w:r>
      <w:r>
        <w:rPr>
          <w:i/>
          <w:spacing w:val="-19"/>
          <w:sz w:val="22"/>
        </w:rPr>
        <w:t> </w:t>
      </w:r>
      <w:r>
        <w:rPr>
          <w:w w:val="87"/>
          <w:sz w:val="28"/>
        </w:rPr>
        <w:t>=</w:t>
      </w:r>
      <w:r>
        <w:rPr>
          <w:spacing w:val="21"/>
          <w:sz w:val="28"/>
        </w:rPr>
        <w:t> </w:t>
      </w:r>
      <w:r>
        <w:rPr>
          <w:i/>
          <w:spacing w:val="17"/>
          <w:w w:val="107"/>
          <w:sz w:val="22"/>
        </w:rPr>
        <w:t>A</w:t>
      </w:r>
      <w:r>
        <w:rPr>
          <w:i/>
          <w:w w:val="114"/>
          <w:sz w:val="22"/>
        </w:rPr>
        <w:t>"</w:t>
      </w:r>
      <w:r>
        <w:rPr>
          <w:i/>
          <w:spacing w:val="-7"/>
          <w:sz w:val="22"/>
        </w:rPr>
        <w:t> </w:t>
      </w:r>
      <w:r>
        <w:rPr>
          <w:rFonts w:ascii="Arial"/>
          <w:w w:val="105"/>
          <w:sz w:val="31"/>
        </w:rPr>
        <w:t>+</w:t>
      </w:r>
      <w:r>
        <w:rPr>
          <w:rFonts w:ascii="Arial"/>
          <w:spacing w:val="-33"/>
          <w:sz w:val="31"/>
        </w:rPr>
        <w:t> </w:t>
      </w:r>
      <w:r>
        <w:rPr>
          <w:i/>
          <w:w w:val="121"/>
          <w:sz w:val="22"/>
        </w:rPr>
        <w:t>A.</w:t>
      </w:r>
      <w:r>
        <w:rPr>
          <w:i/>
          <w:spacing w:val="23"/>
          <w:sz w:val="22"/>
        </w:rPr>
        <w:t> </w:t>
      </w:r>
      <w:r>
        <w:rPr>
          <w:w w:val="249"/>
          <w:sz w:val="22"/>
        </w:rPr>
        <w:t>-</w:t>
      </w:r>
      <w:r>
        <w:rPr>
          <w:spacing w:val="-5"/>
          <w:sz w:val="22"/>
        </w:rPr>
        <w:t> </w:t>
      </w:r>
      <w:r>
        <w:rPr>
          <w:i/>
          <w:spacing w:val="20"/>
          <w:w w:val="102"/>
          <w:sz w:val="22"/>
        </w:rPr>
        <w:t>A</w:t>
      </w:r>
      <w:r>
        <w:rPr>
          <w:i/>
          <w:w w:val="96"/>
          <w:sz w:val="22"/>
        </w:rPr>
        <w:t>.</w:t>
      </w:r>
      <w:r>
        <w:rPr>
          <w:i/>
          <w:spacing w:val="-27"/>
          <w:w w:val="96"/>
          <w:sz w:val="22"/>
        </w:rPr>
        <w:t>.</w:t>
      </w:r>
      <w:r>
        <w:rPr>
          <w:i/>
          <w:spacing w:val="-24"/>
          <w:w w:val="279"/>
          <w:sz w:val="22"/>
        </w:rPr>
        <w:t>.</w:t>
      </w:r>
      <w:r>
        <w:rPr>
          <w:w w:val="134"/>
          <w:sz w:val="22"/>
        </w:rPr>
        <w:t>.</w:t>
      </w:r>
      <w:r>
        <w:rPr>
          <w:sz w:val="22"/>
        </w:rPr>
        <w:tab/>
      </w:r>
      <w:r>
        <w:rPr>
          <w:w w:val="100"/>
          <w:position w:val="1"/>
          <w:sz w:val="20"/>
        </w:rPr>
        <w:t>(10</w:t>
      </w:r>
      <w:r>
        <w:rPr>
          <w:spacing w:val="-11"/>
          <w:w w:val="100"/>
          <w:position w:val="1"/>
          <w:sz w:val="20"/>
        </w:rPr>
        <w:t>.</w:t>
      </w:r>
      <w:r>
        <w:rPr>
          <w:w w:val="114"/>
          <w:position w:val="1"/>
          <w:sz w:val="20"/>
        </w:rPr>
        <w:t>7b)</w:t>
      </w:r>
    </w:p>
    <w:p>
      <w:pPr>
        <w:pStyle w:val="BodyText"/>
        <w:spacing w:before="77"/>
        <w:ind w:left="153" w:right="128" w:firstLine="201"/>
        <w:jc w:val="both"/>
        <w:rPr>
          <w:i/>
          <w:sz w:val="21"/>
        </w:rPr>
      </w:pPr>
      <w:r>
        <w:rPr>
          <w:w w:val="105"/>
        </w:rPr>
        <w:t>Next consider the function </w:t>
      </w:r>
      <w:r>
        <w:rPr>
          <w:rFonts w:ascii="Arial" w:hAnsi="Arial"/>
          <w:i/>
          <w:w w:val="105"/>
          <w:sz w:val="22"/>
        </w:rPr>
        <w:t>ª"=;; , </w:t>
      </w:r>
      <w:r>
        <w:rPr>
          <w:w w:val="105"/>
        </w:rPr>
        <w:t>where again the statuses (u), (v), (w) are not necessarily single lives. This function provides annuity payments for as long as (u) survives jointly with the </w:t>
      </w:r>
      <w:r>
        <w:rPr>
          <w:i/>
          <w:w w:val="105"/>
          <w:sz w:val="21"/>
        </w:rPr>
        <w:t>longer</w:t>
      </w:r>
    </w:p>
    <w:p>
      <w:pPr>
        <w:pStyle w:val="BodyText"/>
        <w:spacing w:line="254" w:lineRule="exact"/>
        <w:ind w:left="157" w:hanging="4"/>
        <w:jc w:val="both"/>
      </w:pPr>
      <w:r>
        <w:rPr>
          <w:w w:val="105"/>
        </w:rPr>
        <w:t>surviving of  the two statuses  (v)  and  </w:t>
      </w:r>
      <w:r>
        <w:rPr>
          <w:rFonts w:ascii="Arial" w:hAnsi="Arial"/>
          <w:i/>
          <w:spacing w:val="5"/>
          <w:w w:val="105"/>
          <w:sz w:val="19"/>
        </w:rPr>
        <w:t>(w). </w:t>
      </w:r>
      <w:r>
        <w:rPr>
          <w:w w:val="105"/>
        </w:rPr>
        <w:t>The function </w:t>
      </w:r>
      <w:r>
        <w:rPr>
          <w:rFonts w:ascii="Arial" w:hAnsi="Arial"/>
          <w:i/>
          <w:w w:val="105"/>
          <w:sz w:val="26"/>
        </w:rPr>
        <w:t>ª"- , </w:t>
      </w:r>
      <w:r>
        <w:rPr>
          <w:rFonts w:ascii="Arial" w:hAnsi="Arial"/>
          <w:i/>
          <w:spacing w:val="65"/>
          <w:w w:val="105"/>
          <w:sz w:val="26"/>
        </w:rPr>
        <w:t> </w:t>
      </w:r>
      <w:r>
        <w:rPr>
          <w:w w:val="105"/>
        </w:rPr>
        <w:t>on</w:t>
      </w:r>
    </w:p>
    <w:p>
      <w:pPr>
        <w:pStyle w:val="BodyText"/>
        <w:spacing w:line="235" w:lineRule="auto"/>
        <w:ind w:left="153" w:right="113" w:firstLine="3"/>
        <w:jc w:val="both"/>
      </w:pPr>
      <w:r>
        <w:rPr>
          <w:w w:val="105"/>
        </w:rPr>
        <w:t>the other hand, provides payments for as long as  (u)  survives jointly with the </w:t>
      </w:r>
      <w:r>
        <w:rPr>
          <w:i/>
          <w:w w:val="105"/>
          <w:sz w:val="22"/>
        </w:rPr>
        <w:t>shorter </w:t>
      </w:r>
      <w:r>
        <w:rPr>
          <w:w w:val="105"/>
        </w:rPr>
        <w:t>surviving of the two statuses (v) and (w). Hence, </w:t>
      </w:r>
      <w:r>
        <w:rPr>
          <w:w w:val="120"/>
          <w:sz w:val="19"/>
        </w:rPr>
        <w:t>a.:;; </w:t>
      </w:r>
      <w:r>
        <w:rPr>
          <w:rFonts w:ascii="Arial"/>
          <w:w w:val="105"/>
        </w:rPr>
        <w:t>is</w:t>
      </w:r>
      <w:r>
        <w:rPr>
          <w:w w:val="105"/>
        </w:rPr>
        <w:t>payable during the continuance of one of the  statuses</w:t>
      </w:r>
    </w:p>
    <w:p>
      <w:pPr>
        <w:pStyle w:val="BodyText"/>
        <w:spacing w:line="242" w:lineRule="exact" w:before="9"/>
        <w:ind w:left="157" w:right="121" w:firstLine="39"/>
        <w:jc w:val="both"/>
      </w:pPr>
      <w:r>
        <w:rPr>
          <w:w w:val="110"/>
        </w:rPr>
        <w:t>(uv) and (uw), and </w:t>
      </w:r>
      <w:r>
        <w:rPr>
          <w:rFonts w:ascii="Arial" w:hAnsi="Arial"/>
          <w:i/>
          <w:w w:val="110"/>
          <w:sz w:val="26"/>
        </w:rPr>
        <w:t>ª".. </w:t>
      </w:r>
      <w:r>
        <w:rPr>
          <w:w w:val="110"/>
        </w:rPr>
        <w:t>provides an annuity on the other. It fol­ lows that</w:t>
      </w:r>
    </w:p>
    <w:p>
      <w:pPr>
        <w:spacing w:after="0" w:line="242" w:lineRule="exact"/>
        <w:jc w:val="both"/>
        <w:sectPr>
          <w:type w:val="continuous"/>
          <w:pgSz w:w="7200" w:h="11340"/>
          <w:pgMar w:top="1100" w:bottom="0" w:left="660" w:right="520"/>
        </w:sectPr>
      </w:pPr>
    </w:p>
    <w:p>
      <w:pPr>
        <w:pStyle w:val="BodyText"/>
      </w:pPr>
    </w:p>
    <w:p>
      <w:pPr>
        <w:pStyle w:val="BodyText"/>
        <w:spacing w:before="5"/>
        <w:rPr>
          <w:sz w:val="22"/>
        </w:rPr>
      </w:pPr>
    </w:p>
    <w:p>
      <w:pPr>
        <w:pStyle w:val="BodyText"/>
        <w:ind w:left="167" w:right="-13"/>
      </w:pPr>
      <w:r>
        <w:rPr/>
        <w:t>whence</w:t>
      </w:r>
    </w:p>
    <w:p>
      <w:pPr>
        <w:spacing w:before="20"/>
        <w:ind w:left="167" w:right="0" w:firstLine="0"/>
        <w:jc w:val="left"/>
        <w:rPr>
          <w:sz w:val="25"/>
        </w:rPr>
      </w:pPr>
      <w:r>
        <w:rPr/>
        <w:br w:type="column"/>
      </w:r>
      <w:r>
        <w:rPr>
          <w:b/>
          <w:w w:val="115"/>
          <w:sz w:val="18"/>
        </w:rPr>
        <w:t>a.:;; </w:t>
      </w:r>
      <w:r>
        <w:rPr>
          <w:rFonts w:ascii="Arial"/>
          <w:w w:val="115"/>
          <w:sz w:val="31"/>
        </w:rPr>
        <w:t>+ </w:t>
      </w:r>
      <w:r>
        <w:rPr>
          <w:b/>
          <w:i/>
          <w:spacing w:val="-9"/>
          <w:w w:val="115"/>
          <w:sz w:val="25"/>
        </w:rPr>
        <w:t>a.- </w:t>
      </w:r>
      <w:r>
        <w:rPr>
          <w:w w:val="115"/>
          <w:sz w:val="28"/>
        </w:rPr>
        <w:t>= </w:t>
      </w:r>
      <w:r>
        <w:rPr>
          <w:b/>
          <w:i/>
          <w:w w:val="115"/>
          <w:sz w:val="24"/>
        </w:rPr>
        <w:t>a.. </w:t>
      </w:r>
      <w:r>
        <w:rPr>
          <w:rFonts w:ascii="Arial"/>
          <w:w w:val="115"/>
          <w:sz w:val="33"/>
        </w:rPr>
        <w:t>+</w:t>
      </w:r>
      <w:r>
        <w:rPr>
          <w:rFonts w:ascii="Arial"/>
          <w:spacing w:val="-58"/>
          <w:w w:val="115"/>
          <w:sz w:val="33"/>
        </w:rPr>
        <w:t> </w:t>
      </w:r>
      <w:r>
        <w:rPr>
          <w:b/>
          <w:i/>
          <w:w w:val="115"/>
          <w:sz w:val="25"/>
        </w:rPr>
        <w:t>a.. </w:t>
      </w:r>
      <w:r>
        <w:rPr>
          <w:w w:val="115"/>
          <w:sz w:val="25"/>
        </w:rPr>
        <w:t>,</w:t>
      </w:r>
    </w:p>
    <w:p>
      <w:pPr>
        <w:pStyle w:val="BodyText"/>
        <w:spacing w:before="4"/>
        <w:rPr>
          <w:sz w:val="28"/>
        </w:rPr>
      </w:pPr>
    </w:p>
    <w:p>
      <w:pPr>
        <w:tabs>
          <w:tab w:pos="3587" w:val="left" w:leader="none"/>
        </w:tabs>
        <w:spacing w:before="0"/>
        <w:ind w:left="167" w:right="0" w:firstLine="0"/>
        <w:jc w:val="left"/>
        <w:rPr>
          <w:sz w:val="20"/>
        </w:rPr>
      </w:pPr>
      <w:r>
        <w:rPr>
          <w:spacing w:val="-9"/>
          <w:w w:val="155"/>
          <w:sz w:val="19"/>
        </w:rPr>
        <w:t>a.:;;</w:t>
      </w:r>
      <w:r>
        <w:rPr>
          <w:spacing w:val="-38"/>
          <w:w w:val="155"/>
          <w:sz w:val="19"/>
        </w:rPr>
        <w:t> </w:t>
      </w:r>
      <w:r>
        <w:rPr>
          <w:w w:val="110"/>
          <w:sz w:val="28"/>
        </w:rPr>
        <w:t>=</w:t>
      </w:r>
      <w:r>
        <w:rPr>
          <w:spacing w:val="7"/>
          <w:w w:val="110"/>
          <w:sz w:val="28"/>
        </w:rPr>
        <w:t> </w:t>
      </w:r>
      <w:r>
        <w:rPr>
          <w:i/>
          <w:w w:val="110"/>
          <w:sz w:val="22"/>
        </w:rPr>
        <w:t>a.,.</w:t>
      </w:r>
      <w:r>
        <w:rPr>
          <w:i/>
          <w:spacing w:val="-8"/>
          <w:w w:val="110"/>
          <w:sz w:val="22"/>
        </w:rPr>
        <w:t> </w:t>
      </w:r>
      <w:r>
        <w:rPr>
          <w:rFonts w:ascii="Arial"/>
          <w:w w:val="110"/>
          <w:sz w:val="33"/>
        </w:rPr>
        <w:t>+</w:t>
      </w:r>
      <w:r>
        <w:rPr>
          <w:rFonts w:ascii="Arial"/>
          <w:spacing w:val="-57"/>
          <w:w w:val="110"/>
          <w:sz w:val="33"/>
        </w:rPr>
        <w:t> </w:t>
      </w:r>
      <w:r>
        <w:rPr>
          <w:i/>
          <w:spacing w:val="-4"/>
          <w:w w:val="110"/>
          <w:sz w:val="22"/>
        </w:rPr>
        <w:t>a.,..</w:t>
      </w:r>
      <w:r>
        <w:rPr>
          <w:i/>
          <w:spacing w:val="-13"/>
          <w:w w:val="110"/>
          <w:sz w:val="22"/>
        </w:rPr>
        <w:t> </w:t>
      </w:r>
      <w:r>
        <w:rPr>
          <w:w w:val="230"/>
          <w:sz w:val="22"/>
        </w:rPr>
        <w:t>-</w:t>
      </w:r>
      <w:r>
        <w:rPr>
          <w:spacing w:val="-81"/>
          <w:w w:val="230"/>
          <w:sz w:val="22"/>
        </w:rPr>
        <w:t> </w:t>
      </w:r>
      <w:r>
        <w:rPr>
          <w:i/>
          <w:spacing w:val="-10"/>
          <w:w w:val="130"/>
          <w:sz w:val="26"/>
        </w:rPr>
        <w:t>a.-</w:t>
      </w:r>
      <w:r>
        <w:rPr>
          <w:i/>
          <w:spacing w:val="-50"/>
          <w:w w:val="130"/>
          <w:sz w:val="26"/>
        </w:rPr>
        <w:t> </w:t>
      </w:r>
      <w:r>
        <w:rPr>
          <w:w w:val="130"/>
          <w:sz w:val="26"/>
        </w:rPr>
        <w:t>.</w:t>
        <w:tab/>
      </w:r>
      <w:r>
        <w:rPr>
          <w:spacing w:val="-6"/>
          <w:w w:val="110"/>
          <w:position w:val="1"/>
          <w:sz w:val="20"/>
        </w:rPr>
        <w:t>(10.8a)</w:t>
      </w:r>
    </w:p>
    <w:p>
      <w:pPr>
        <w:spacing w:after="0"/>
        <w:jc w:val="left"/>
        <w:rPr>
          <w:sz w:val="20"/>
        </w:rPr>
        <w:sectPr>
          <w:type w:val="continuous"/>
          <w:pgSz w:w="7200" w:h="11340"/>
          <w:pgMar w:top="1100" w:bottom="0" w:left="660" w:right="520"/>
          <w:cols w:num="2" w:equalWidth="0">
            <w:col w:w="785" w:space="914"/>
            <w:col w:w="4321"/>
          </w:cols>
        </w:sectPr>
      </w:pPr>
    </w:p>
    <w:p>
      <w:pPr>
        <w:tabs>
          <w:tab w:pos="5242" w:val="left" w:leader="none"/>
        </w:tabs>
        <w:spacing w:before="61"/>
        <w:ind w:left="143" w:right="0" w:firstLine="0"/>
        <w:jc w:val="left"/>
        <w:rPr>
          <w:rFonts w:ascii="Arial"/>
          <w:b/>
          <w:sz w:val="19"/>
        </w:rPr>
      </w:pPr>
      <w:r>
        <w:rPr>
          <w:rFonts w:ascii="Arial"/>
          <w:b/>
          <w:color w:val="010101"/>
          <w:sz w:val="19"/>
        </w:rPr>
        <w:t>216    </w:t>
      </w:r>
      <w:r>
        <w:rPr>
          <w:b/>
          <w:color w:val="010101"/>
          <w:sz w:val="15"/>
        </w:rPr>
        <w:t>LAST-SURVIVOR   AND  GENERAL </w:t>
      </w:r>
      <w:r>
        <w:rPr>
          <w:b/>
          <w:color w:val="010101"/>
          <w:spacing w:val="11"/>
          <w:sz w:val="15"/>
        </w:rPr>
        <w:t> </w:t>
      </w:r>
      <w:r>
        <w:rPr>
          <w:b/>
          <w:color w:val="010101"/>
          <w:sz w:val="15"/>
        </w:rPr>
        <w:t>MULTI-LIFE </w:t>
      </w:r>
      <w:r>
        <w:rPr>
          <w:b/>
          <w:color w:val="010101"/>
          <w:spacing w:val="17"/>
          <w:sz w:val="15"/>
        </w:rPr>
        <w:t> </w:t>
      </w:r>
      <w:r>
        <w:rPr>
          <w:b/>
          <w:color w:val="010101"/>
          <w:sz w:val="15"/>
        </w:rPr>
        <w:t>STATUSES</w:t>
        <w:tab/>
        <w:t>[CH. </w:t>
      </w:r>
      <w:r>
        <w:rPr>
          <w:b/>
          <w:color w:val="010101"/>
          <w:spacing w:val="3"/>
          <w:sz w:val="15"/>
        </w:rPr>
        <w:t> </w:t>
      </w:r>
      <w:r>
        <w:rPr>
          <w:rFonts w:ascii="Arial"/>
          <w:b/>
          <w:color w:val="010101"/>
          <w:sz w:val="19"/>
        </w:rPr>
        <w:t>10</w:t>
      </w:r>
    </w:p>
    <w:p>
      <w:pPr>
        <w:pStyle w:val="BodyText"/>
        <w:spacing w:before="4"/>
        <w:rPr>
          <w:rFonts w:ascii="Arial"/>
          <w:b/>
          <w:sz w:val="14"/>
        </w:rPr>
      </w:pPr>
    </w:p>
    <w:p>
      <w:pPr>
        <w:pStyle w:val="BodyText"/>
        <w:spacing w:before="75"/>
        <w:ind w:left="132"/>
      </w:pPr>
      <w:r>
        <w:rPr>
          <w:color w:val="010101"/>
          <w:w w:val="105"/>
        </w:rPr>
        <w:t>The corresponding result for insurances  is</w:t>
      </w:r>
    </w:p>
    <w:p>
      <w:pPr>
        <w:pStyle w:val="BodyText"/>
        <w:spacing w:before="125"/>
        <w:ind w:left="1710"/>
      </w:pPr>
      <w:r>
        <w:rPr>
          <w:position w:val="-3"/>
        </w:rPr>
        <w:drawing>
          <wp:inline distT="0" distB="0" distL="0" distR="0">
            <wp:extent cx="1618487" cy="118872"/>
            <wp:effectExtent l="0" t="0" r="0" b="0"/>
            <wp:docPr id="459" name="image235.png" descr=""/>
            <wp:cNvGraphicFramePr>
              <a:graphicFrameLocks noChangeAspect="1"/>
            </wp:cNvGraphicFramePr>
            <a:graphic>
              <a:graphicData uri="http://schemas.openxmlformats.org/drawingml/2006/picture">
                <pic:pic>
                  <pic:nvPicPr>
                    <pic:cNvPr id="460" name="image235.png"/>
                    <pic:cNvPicPr/>
                  </pic:nvPicPr>
                  <pic:blipFill>
                    <a:blip r:embed="rId239" cstate="print"/>
                    <a:stretch>
                      <a:fillRect/>
                    </a:stretch>
                  </pic:blipFill>
                  <pic:spPr>
                    <a:xfrm>
                      <a:off x="0" y="0"/>
                      <a:ext cx="1618487" cy="118872"/>
                    </a:xfrm>
                    <a:prstGeom prst="rect">
                      <a:avLst/>
                    </a:prstGeom>
                  </pic:spPr>
                </pic:pic>
              </a:graphicData>
            </a:graphic>
          </wp:inline>
        </w:drawing>
      </w:r>
      <w:r>
        <w:rPr>
          <w:position w:val="-3"/>
        </w:rPr>
      </w:r>
      <w:r>
        <w:rPr/>
        <w:t>                  </w:t>
      </w:r>
      <w:r>
        <w:rPr>
          <w:color w:val="010101"/>
          <w:w w:val="105"/>
        </w:rPr>
        <w:t>(10.8b)</w:t>
      </w:r>
    </w:p>
    <w:p>
      <w:pPr>
        <w:pStyle w:val="BodyText"/>
        <w:spacing w:line="247" w:lineRule="auto" w:before="116"/>
        <w:ind w:left="118" w:right="136" w:firstLine="203"/>
        <w:jc w:val="both"/>
      </w:pPr>
      <w:r>
        <w:rPr>
          <w:color w:val="010101"/>
          <w:w w:val="110"/>
        </w:rPr>
        <w:t>The</w:t>
      </w:r>
      <w:r>
        <w:rPr>
          <w:color w:val="010101"/>
          <w:spacing w:val="-31"/>
          <w:w w:val="110"/>
        </w:rPr>
        <w:t> </w:t>
      </w:r>
      <w:r>
        <w:rPr>
          <w:color w:val="010101"/>
          <w:w w:val="110"/>
        </w:rPr>
        <w:t>two</w:t>
      </w:r>
      <w:r>
        <w:rPr>
          <w:color w:val="010101"/>
          <w:spacing w:val="-30"/>
          <w:w w:val="110"/>
        </w:rPr>
        <w:t> </w:t>
      </w:r>
      <w:r>
        <w:rPr>
          <w:color w:val="010101"/>
          <w:w w:val="110"/>
        </w:rPr>
        <w:t>examples</w:t>
      </w:r>
      <w:r>
        <w:rPr>
          <w:color w:val="010101"/>
          <w:spacing w:val="-30"/>
          <w:w w:val="110"/>
        </w:rPr>
        <w:t> </w:t>
      </w:r>
      <w:r>
        <w:rPr>
          <w:color w:val="010101"/>
          <w:w w:val="110"/>
        </w:rPr>
        <w:t>discussed</w:t>
      </w:r>
      <w:r>
        <w:rPr>
          <w:color w:val="010101"/>
          <w:spacing w:val="-27"/>
          <w:w w:val="110"/>
        </w:rPr>
        <w:t> </w:t>
      </w:r>
      <w:r>
        <w:rPr>
          <w:color w:val="010101"/>
          <w:w w:val="110"/>
        </w:rPr>
        <w:t>earlier</w:t>
      </w:r>
      <w:r>
        <w:rPr>
          <w:color w:val="010101"/>
          <w:spacing w:val="-30"/>
          <w:w w:val="110"/>
        </w:rPr>
        <w:t> </w:t>
      </w:r>
      <w:r>
        <w:rPr>
          <w:color w:val="010101"/>
          <w:w w:val="110"/>
        </w:rPr>
        <w:t>may</w:t>
      </w:r>
      <w:r>
        <w:rPr>
          <w:color w:val="010101"/>
          <w:spacing w:val="-25"/>
          <w:w w:val="110"/>
        </w:rPr>
        <w:t> </w:t>
      </w:r>
      <w:r>
        <w:rPr>
          <w:color w:val="010101"/>
          <w:w w:val="110"/>
        </w:rPr>
        <w:t>now</w:t>
      </w:r>
      <w:r>
        <w:rPr>
          <w:color w:val="010101"/>
          <w:spacing w:val="-25"/>
          <w:w w:val="110"/>
        </w:rPr>
        <w:t> </w:t>
      </w:r>
      <w:r>
        <w:rPr>
          <w:color w:val="010101"/>
          <w:w w:val="110"/>
        </w:rPr>
        <w:t>be</w:t>
      </w:r>
      <w:r>
        <w:rPr>
          <w:color w:val="010101"/>
          <w:spacing w:val="-31"/>
          <w:w w:val="110"/>
        </w:rPr>
        <w:t> </w:t>
      </w:r>
      <w:r>
        <w:rPr>
          <w:color w:val="010101"/>
          <w:w w:val="110"/>
        </w:rPr>
        <w:t>used</w:t>
      </w:r>
      <w:r>
        <w:rPr>
          <w:color w:val="010101"/>
          <w:spacing w:val="-24"/>
          <w:w w:val="110"/>
        </w:rPr>
        <w:t> </w:t>
      </w:r>
      <w:r>
        <w:rPr>
          <w:color w:val="010101"/>
          <w:w w:val="110"/>
          <w:sz w:val="21"/>
        </w:rPr>
        <w:t>to</w:t>
      </w:r>
      <w:r>
        <w:rPr>
          <w:color w:val="010101"/>
          <w:spacing w:val="-31"/>
          <w:w w:val="110"/>
          <w:sz w:val="21"/>
        </w:rPr>
        <w:t> </w:t>
      </w:r>
      <w:r>
        <w:rPr>
          <w:color w:val="010101"/>
          <w:w w:val="110"/>
        </w:rPr>
        <w:t>illustrate how</w:t>
      </w:r>
      <w:r>
        <w:rPr>
          <w:color w:val="010101"/>
          <w:spacing w:val="-14"/>
          <w:w w:val="110"/>
        </w:rPr>
        <w:t> </w:t>
      </w:r>
      <w:r>
        <w:rPr>
          <w:color w:val="010101"/>
          <w:w w:val="110"/>
        </w:rPr>
        <w:t>these</w:t>
      </w:r>
      <w:r>
        <w:rPr>
          <w:color w:val="010101"/>
          <w:spacing w:val="-24"/>
          <w:w w:val="110"/>
        </w:rPr>
        <w:t> </w:t>
      </w:r>
      <w:r>
        <w:rPr>
          <w:color w:val="010101"/>
          <w:w w:val="110"/>
        </w:rPr>
        <w:t>general</w:t>
      </w:r>
      <w:r>
        <w:rPr>
          <w:color w:val="010101"/>
          <w:spacing w:val="-19"/>
          <w:w w:val="110"/>
        </w:rPr>
        <w:t> </w:t>
      </w:r>
      <w:r>
        <w:rPr>
          <w:color w:val="010101"/>
          <w:w w:val="110"/>
        </w:rPr>
        <w:t>relationships</w:t>
      </w:r>
      <w:r>
        <w:rPr>
          <w:color w:val="010101"/>
          <w:spacing w:val="-17"/>
          <w:w w:val="110"/>
        </w:rPr>
        <w:t> </w:t>
      </w:r>
      <w:r>
        <w:rPr>
          <w:color w:val="010101"/>
          <w:w w:val="110"/>
        </w:rPr>
        <w:t>reduce</w:t>
      </w:r>
      <w:r>
        <w:rPr>
          <w:color w:val="010101"/>
          <w:spacing w:val="-18"/>
          <w:w w:val="110"/>
        </w:rPr>
        <w:t> </w:t>
      </w:r>
      <w:r>
        <w:rPr>
          <w:color w:val="010101"/>
          <w:w w:val="110"/>
        </w:rPr>
        <w:t>the</w:t>
      </w:r>
      <w:r>
        <w:rPr>
          <w:color w:val="010101"/>
          <w:spacing w:val="-24"/>
          <w:w w:val="110"/>
        </w:rPr>
        <w:t> </w:t>
      </w:r>
      <w:r>
        <w:rPr>
          <w:color w:val="010101"/>
          <w:w w:val="110"/>
        </w:rPr>
        <w:t>number</w:t>
      </w:r>
      <w:r>
        <w:rPr>
          <w:color w:val="010101"/>
          <w:spacing w:val="-18"/>
          <w:w w:val="110"/>
        </w:rPr>
        <w:t> </w:t>
      </w:r>
      <w:r>
        <w:rPr>
          <w:color w:val="010101"/>
          <w:w w:val="110"/>
        </w:rPr>
        <w:t>of</w:t>
      </w:r>
      <w:r>
        <w:rPr>
          <w:color w:val="010101"/>
          <w:spacing w:val="-17"/>
          <w:w w:val="110"/>
        </w:rPr>
        <w:t> </w:t>
      </w:r>
      <w:r>
        <w:rPr>
          <w:color w:val="010101"/>
          <w:w w:val="110"/>
        </w:rPr>
        <w:t>steps</w:t>
      </w:r>
      <w:r>
        <w:rPr>
          <w:color w:val="010101"/>
          <w:spacing w:val="-30"/>
          <w:w w:val="110"/>
        </w:rPr>
        <w:t> </w:t>
      </w:r>
      <w:r>
        <w:rPr>
          <w:color w:val="010101"/>
          <w:w w:val="110"/>
        </w:rPr>
        <w:t>needed </w:t>
      </w:r>
      <w:r>
        <w:rPr>
          <w:color w:val="010101"/>
          <w:w w:val="112"/>
        </w:rPr>
        <w:t>to </w:t>
      </w:r>
      <w:r>
        <w:rPr>
          <w:color w:val="010101"/>
          <w:w w:val="106"/>
        </w:rPr>
        <w:t>ob\ain </w:t>
      </w:r>
      <w:r>
        <w:rPr>
          <w:color w:val="010101"/>
          <w:w w:val="112"/>
        </w:rPr>
        <w:t>the </w:t>
      </w:r>
      <w:r>
        <w:rPr>
          <w:color w:val="010101"/>
          <w:w w:val="102"/>
        </w:rPr>
        <w:t>required </w:t>
      </w:r>
      <w:r>
        <w:rPr>
          <w:color w:val="010101"/>
          <w:w w:val="102"/>
        </w:rPr>
        <w:t>expansion. </w:t>
      </w:r>
      <w:r>
        <w:rPr>
          <w:color w:val="010101"/>
          <w:w w:val="108"/>
        </w:rPr>
        <w:t>Thus, </w:t>
      </w:r>
      <w:r>
        <w:rPr>
          <w:color w:val="010101"/>
          <w:w w:val="101"/>
        </w:rPr>
        <w:t>for </w:t>
      </w:r>
      <w:r>
        <w:rPr>
          <w:color w:val="010101"/>
          <w:w w:val="109"/>
        </w:rPr>
        <w:t>the </w:t>
      </w:r>
      <w:r>
        <w:rPr>
          <w:color w:val="010101"/>
          <w:w w:val="103"/>
        </w:rPr>
        <w:t>function </w:t>
      </w:r>
      <w:r>
        <w:rPr>
          <w:color w:val="010101"/>
          <w:spacing w:val="-1"/>
          <w:w w:val="130"/>
        </w:rPr>
        <w:t>a;;</w:t>
      </w:r>
      <w:r>
        <w:rPr>
          <w:color w:val="2F2F2F"/>
          <w:spacing w:val="-1"/>
          <w:w w:val="130"/>
        </w:rPr>
        <w:t>:</w:t>
      </w:r>
      <w:r>
        <w:rPr>
          <w:color w:val="010101"/>
          <w:spacing w:val="-1"/>
          <w:w w:val="130"/>
        </w:rPr>
        <w:t>;;</w:t>
      </w:r>
      <w:r>
        <w:rPr>
          <w:color w:val="010101"/>
          <w:w w:val="130"/>
        </w:rPr>
        <w:t> </w:t>
      </w:r>
      <w:r>
        <w:rPr>
          <w:color w:val="010101"/>
          <w:w w:val="96"/>
        </w:rPr>
        <w:t>, </w:t>
      </w:r>
      <w:r>
        <w:rPr>
          <w:color w:val="010101"/>
          <w:w w:val="100"/>
        </w:rPr>
        <w:t>we </w:t>
      </w:r>
      <w:r>
        <w:rPr>
          <w:color w:val="010101"/>
          <w:w w:val="110"/>
        </w:rPr>
        <w:t>use (10.8a)</w:t>
      </w:r>
      <w:r>
        <w:rPr>
          <w:color w:val="010101"/>
          <w:spacing w:val="-14"/>
          <w:w w:val="110"/>
        </w:rPr>
        <w:t> </w:t>
      </w:r>
      <w:r>
        <w:rPr>
          <w:color w:val="010101"/>
          <w:w w:val="110"/>
        </w:rPr>
        <w:t>:</w:t>
      </w:r>
    </w:p>
    <w:p>
      <w:pPr>
        <w:spacing w:before="40"/>
        <w:ind w:left="100" w:right="131" w:firstLine="0"/>
        <w:jc w:val="center"/>
        <w:rPr>
          <w:b/>
          <w:sz w:val="16"/>
        </w:rPr>
      </w:pPr>
      <w:r>
        <w:rPr>
          <w:b/>
          <w:i/>
          <w:color w:val="010101"/>
          <w:w w:val="108"/>
          <w:sz w:val="21"/>
        </w:rPr>
        <w:t>a;</w:t>
      </w:r>
      <w:r>
        <w:rPr>
          <w:b/>
          <w:i/>
          <w:color w:val="010101"/>
          <w:spacing w:val="15"/>
          <w:w w:val="108"/>
          <w:sz w:val="21"/>
        </w:rPr>
        <w:t>;</w:t>
      </w:r>
      <w:r>
        <w:rPr>
          <w:b/>
          <w:i/>
          <w:color w:val="1C1C1C"/>
          <w:spacing w:val="9"/>
          <w:w w:val="31"/>
          <w:sz w:val="21"/>
        </w:rPr>
        <w:t>:</w:t>
      </w:r>
      <w:r>
        <w:rPr>
          <w:b/>
          <w:i/>
          <w:color w:val="010101"/>
          <w:w w:val="81"/>
          <w:sz w:val="21"/>
        </w:rPr>
        <w:t>rz</w:t>
      </w:r>
      <w:r>
        <w:rPr>
          <w:b/>
          <w:i/>
          <w:color w:val="010101"/>
          <w:sz w:val="21"/>
        </w:rPr>
        <w:t> </w:t>
      </w:r>
      <w:r>
        <w:rPr>
          <w:b/>
          <w:i/>
          <w:color w:val="010101"/>
          <w:spacing w:val="-10"/>
          <w:sz w:val="21"/>
        </w:rPr>
        <w:t> </w:t>
      </w:r>
      <w:r>
        <w:rPr>
          <w:color w:val="010101"/>
          <w:w w:val="91"/>
          <w:sz w:val="26"/>
        </w:rPr>
        <w:t>=</w:t>
      </w:r>
      <w:r>
        <w:rPr>
          <w:color w:val="010101"/>
          <w:sz w:val="26"/>
        </w:rPr>
        <w:t> </w:t>
      </w:r>
      <w:r>
        <w:rPr>
          <w:color w:val="010101"/>
          <w:spacing w:val="-33"/>
          <w:sz w:val="26"/>
        </w:rPr>
        <w:t> </w:t>
      </w:r>
      <w:r>
        <w:rPr>
          <w:b/>
          <w:i/>
          <w:color w:val="010101"/>
          <w:w w:val="108"/>
          <w:sz w:val="21"/>
        </w:rPr>
        <w:t>a</w:t>
      </w:r>
      <w:r>
        <w:rPr>
          <w:b/>
          <w:i/>
          <w:color w:val="010101"/>
          <w:spacing w:val="26"/>
          <w:w w:val="108"/>
          <w:sz w:val="21"/>
        </w:rPr>
        <w:t>w</w:t>
      </w:r>
      <w:r>
        <w:rPr>
          <w:b/>
          <w:i/>
          <w:color w:val="1C1C1C"/>
          <w:spacing w:val="-3"/>
          <w:w w:val="38"/>
          <w:sz w:val="21"/>
        </w:rPr>
        <w:t>:</w:t>
      </w:r>
      <w:r>
        <w:rPr>
          <w:b/>
          <w:i/>
          <w:color w:val="010101"/>
          <w:w w:val="67"/>
          <w:sz w:val="21"/>
        </w:rPr>
        <w:t>v</w:t>
      </w:r>
      <w:r>
        <w:rPr>
          <w:b/>
          <w:i/>
          <w:color w:val="010101"/>
          <w:sz w:val="21"/>
        </w:rPr>
        <w:t> </w:t>
      </w:r>
      <w:r>
        <w:rPr>
          <w:b/>
          <w:i/>
          <w:color w:val="010101"/>
          <w:spacing w:val="-22"/>
          <w:sz w:val="21"/>
        </w:rPr>
        <w:t> </w:t>
      </w:r>
      <w:r>
        <w:rPr>
          <w:rFonts w:ascii="Arial"/>
          <w:color w:val="010101"/>
          <w:w w:val="102"/>
          <w:sz w:val="31"/>
        </w:rPr>
        <w:t>+</w:t>
      </w:r>
      <w:r>
        <w:rPr>
          <w:rFonts w:ascii="Arial"/>
          <w:color w:val="010101"/>
          <w:spacing w:val="-33"/>
          <w:sz w:val="31"/>
        </w:rPr>
        <w:t> </w:t>
      </w:r>
      <w:r>
        <w:rPr>
          <w:rFonts w:ascii="Arial"/>
          <w:b/>
          <w:i/>
          <w:color w:val="010101"/>
          <w:w w:val="111"/>
          <w:sz w:val="17"/>
        </w:rPr>
        <w:t>aw</w:t>
      </w:r>
      <w:r>
        <w:rPr>
          <w:rFonts w:ascii="Arial"/>
          <w:b/>
          <w:i/>
          <w:color w:val="010101"/>
          <w:spacing w:val="-15"/>
          <w:sz w:val="17"/>
        </w:rPr>
        <w:t> </w:t>
      </w:r>
      <w:r>
        <w:rPr>
          <w:rFonts w:ascii="Arial"/>
          <w:b/>
          <w:i/>
          <w:color w:val="1C1C1C"/>
          <w:w w:val="40"/>
          <w:sz w:val="17"/>
        </w:rPr>
        <w:t>:</w:t>
      </w:r>
      <w:r>
        <w:rPr>
          <w:rFonts w:ascii="Arial"/>
          <w:b/>
          <w:i/>
          <w:color w:val="1C1C1C"/>
          <w:spacing w:val="-35"/>
          <w:sz w:val="17"/>
        </w:rPr>
        <w:t> </w:t>
      </w:r>
      <w:r>
        <w:rPr>
          <w:rFonts w:ascii="Arial"/>
          <w:b/>
          <w:i/>
          <w:color w:val="010101"/>
          <w:w w:val="101"/>
          <w:sz w:val="17"/>
        </w:rPr>
        <w:t>:</w:t>
      </w:r>
      <w:r>
        <w:rPr>
          <w:rFonts w:ascii="Arial"/>
          <w:b/>
          <w:i/>
          <w:color w:val="010101"/>
          <w:sz w:val="17"/>
        </w:rPr>
        <w:t> </w:t>
      </w:r>
      <w:r>
        <w:rPr>
          <w:rFonts w:ascii="Arial"/>
          <w:b/>
          <w:i/>
          <w:color w:val="010101"/>
          <w:spacing w:val="-10"/>
          <w:sz w:val="17"/>
        </w:rPr>
        <w:t> </w:t>
      </w:r>
      <w:r>
        <w:rPr>
          <w:rFonts w:ascii="Arial"/>
          <w:color w:val="010101"/>
          <w:w w:val="291"/>
          <w:sz w:val="17"/>
        </w:rPr>
        <w:t>-</w:t>
      </w:r>
      <w:r>
        <w:rPr>
          <w:rFonts w:ascii="Arial"/>
          <w:color w:val="010101"/>
          <w:spacing w:val="20"/>
          <w:sz w:val="17"/>
        </w:rPr>
        <w:t> </w:t>
      </w:r>
      <w:r>
        <w:rPr>
          <w:b/>
          <w:color w:val="010101"/>
          <w:w w:val="94"/>
          <w:sz w:val="16"/>
        </w:rPr>
        <w:t>Uwi</w:t>
      </w:r>
      <w:r>
        <w:rPr>
          <w:b/>
          <w:color w:val="010101"/>
          <w:spacing w:val="-16"/>
          <w:sz w:val="16"/>
        </w:rPr>
        <w:t> </w:t>
      </w:r>
      <w:r>
        <w:rPr>
          <w:b/>
          <w:color w:val="1C1C1C"/>
          <w:spacing w:val="-15"/>
          <w:w w:val="66"/>
          <w:sz w:val="16"/>
        </w:rPr>
        <w:t>:</w:t>
      </w:r>
      <w:r>
        <w:rPr>
          <w:b/>
          <w:color w:val="010101"/>
          <w:w w:val="77"/>
          <w:sz w:val="16"/>
        </w:rPr>
        <w:t>vr</w:t>
      </w:r>
      <w:r>
        <w:rPr>
          <w:b/>
          <w:color w:val="010101"/>
          <w:sz w:val="16"/>
        </w:rPr>
        <w:t> </w:t>
      </w:r>
      <w:r>
        <w:rPr>
          <w:b/>
          <w:color w:val="010101"/>
          <w:spacing w:val="-9"/>
          <w:sz w:val="16"/>
        </w:rPr>
        <w:t> </w:t>
      </w:r>
      <w:r>
        <w:rPr>
          <w:b/>
          <w:color w:val="010101"/>
          <w:w w:val="108"/>
          <w:sz w:val="16"/>
        </w:rPr>
        <w:t>.</w:t>
      </w:r>
    </w:p>
    <w:p>
      <w:pPr>
        <w:pStyle w:val="BodyText"/>
        <w:spacing w:before="88"/>
        <w:ind w:left="114"/>
        <w:jc w:val="both"/>
      </w:pPr>
      <w:r>
        <w:rPr>
          <w:color w:val="010101"/>
          <w:w w:val="105"/>
        </w:rPr>
        <w:t>Applying  (10.8a) a second time,</w:t>
      </w:r>
    </w:p>
    <w:p>
      <w:pPr>
        <w:spacing w:before="98"/>
        <w:ind w:left="110" w:right="0" w:firstLine="0"/>
        <w:jc w:val="both"/>
        <w:rPr>
          <w:sz w:val="26"/>
        </w:rPr>
      </w:pPr>
      <w:r>
        <w:rPr>
          <w:i/>
          <w:color w:val="010101"/>
          <w:sz w:val="20"/>
        </w:rPr>
        <w:t>a;;:iii </w:t>
      </w:r>
      <w:r>
        <w:rPr>
          <w:color w:val="010101"/>
          <w:sz w:val="26"/>
        </w:rPr>
        <w:t>=</w:t>
      </w:r>
    </w:p>
    <w:p>
      <w:pPr>
        <w:spacing w:before="12"/>
        <w:ind w:left="339" w:right="0" w:firstLine="0"/>
        <w:jc w:val="left"/>
        <w:rPr>
          <w:rFonts w:ascii="Arial" w:hAnsi="Arial"/>
          <w:b/>
          <w:sz w:val="19"/>
        </w:rPr>
      </w:pPr>
      <w:r>
        <w:rPr>
          <w:rFonts w:ascii="Arial" w:hAnsi="Arial"/>
          <w:color w:val="010101"/>
          <w:spacing w:val="-15"/>
          <w:w w:val="149"/>
          <w:sz w:val="15"/>
        </w:rPr>
        <w:t>(</w:t>
      </w:r>
      <w:r>
        <w:rPr>
          <w:rFonts w:ascii="Arial" w:hAnsi="Arial"/>
          <w:b/>
          <w:color w:val="010101"/>
          <w:w w:val="83"/>
          <w:sz w:val="15"/>
        </w:rPr>
        <w:t>°"'1,</w:t>
      </w:r>
      <w:r>
        <w:rPr>
          <w:rFonts w:ascii="Arial" w:hAnsi="Arial"/>
          <w:b/>
          <w:color w:val="010101"/>
          <w:spacing w:val="17"/>
          <w:sz w:val="15"/>
        </w:rPr>
        <w:t> </w:t>
      </w:r>
      <w:r>
        <w:rPr>
          <w:color w:val="010101"/>
          <w:w w:val="98"/>
          <w:sz w:val="29"/>
        </w:rPr>
        <w:t>+</w:t>
      </w:r>
      <w:r>
        <w:rPr>
          <w:color w:val="010101"/>
          <w:spacing w:val="-2"/>
          <w:sz w:val="29"/>
        </w:rPr>
        <w:t> </w:t>
      </w:r>
      <w:r>
        <w:rPr>
          <w:rFonts w:ascii="Arial" w:hAnsi="Arial"/>
          <w:b/>
          <w:i/>
          <w:color w:val="010101"/>
          <w:w w:val="61"/>
          <w:sz w:val="17"/>
        </w:rPr>
        <w:t>aZJ/</w:t>
      </w:r>
      <w:r>
        <w:rPr>
          <w:rFonts w:ascii="Arial" w:hAnsi="Arial"/>
          <w:b/>
          <w:i/>
          <w:color w:val="010101"/>
          <w:sz w:val="17"/>
        </w:rPr>
        <w:t> </w:t>
      </w:r>
      <w:r>
        <w:rPr>
          <w:rFonts w:ascii="Arial" w:hAnsi="Arial"/>
          <w:b/>
          <w:i/>
          <w:color w:val="010101"/>
          <w:spacing w:val="-1"/>
          <w:sz w:val="17"/>
        </w:rPr>
        <w:t> </w:t>
      </w:r>
      <w:r>
        <w:rPr>
          <w:rFonts w:ascii="Arial" w:hAnsi="Arial"/>
          <w:color w:val="010101"/>
          <w:w w:val="291"/>
          <w:sz w:val="17"/>
        </w:rPr>
        <w:t>-</w:t>
      </w:r>
      <w:r>
        <w:rPr>
          <w:rFonts w:ascii="Arial" w:hAnsi="Arial"/>
          <w:color w:val="010101"/>
          <w:spacing w:val="12"/>
          <w:sz w:val="17"/>
        </w:rPr>
        <w:t> </w:t>
      </w:r>
      <w:r>
        <w:rPr>
          <w:rFonts w:ascii="Arial" w:hAnsi="Arial"/>
          <w:b/>
          <w:color w:val="010101"/>
          <w:w w:val="76"/>
          <w:sz w:val="16"/>
        </w:rPr>
        <w:t>llu.ZJI</w:t>
      </w:r>
      <w:r>
        <w:rPr>
          <w:rFonts w:ascii="Arial" w:hAnsi="Arial"/>
          <w:b/>
          <w:color w:val="010101"/>
          <w:w w:val="76"/>
          <w:sz w:val="16"/>
        </w:rPr>
        <w:t>)</w:t>
      </w:r>
      <w:r>
        <w:rPr>
          <w:rFonts w:ascii="Arial" w:hAnsi="Arial"/>
          <w:b/>
          <w:color w:val="010101"/>
          <w:sz w:val="16"/>
        </w:rPr>
        <w:t> </w:t>
      </w:r>
      <w:r>
        <w:rPr>
          <w:rFonts w:ascii="Arial" w:hAnsi="Arial"/>
          <w:b/>
          <w:color w:val="010101"/>
          <w:spacing w:val="-6"/>
          <w:sz w:val="16"/>
        </w:rPr>
        <w:t> </w:t>
      </w:r>
      <w:r>
        <w:rPr>
          <w:color w:val="010101"/>
          <w:w w:val="100"/>
          <w:sz w:val="29"/>
        </w:rPr>
        <w:t>+</w:t>
      </w:r>
      <w:r>
        <w:rPr>
          <w:color w:val="010101"/>
          <w:spacing w:val="34"/>
          <w:sz w:val="29"/>
        </w:rPr>
        <w:t> </w:t>
      </w:r>
      <w:r>
        <w:rPr>
          <w:color w:val="010101"/>
          <w:spacing w:val="-3"/>
          <w:w w:val="61"/>
          <w:sz w:val="29"/>
        </w:rPr>
        <w:t>(</w:t>
      </w:r>
      <w:r>
        <w:rPr>
          <w:b/>
          <w:color w:val="010101"/>
          <w:w w:val="105"/>
          <w:sz w:val="13"/>
        </w:rPr>
        <w:t>au,z</w:t>
      </w:r>
      <w:r>
        <w:rPr>
          <w:b/>
          <w:color w:val="010101"/>
          <w:sz w:val="13"/>
        </w:rPr>
        <w:t> </w:t>
      </w:r>
      <w:r>
        <w:rPr>
          <w:b/>
          <w:color w:val="010101"/>
          <w:spacing w:val="-2"/>
          <w:sz w:val="13"/>
        </w:rPr>
        <w:t> </w:t>
      </w:r>
      <w:r>
        <w:rPr>
          <w:rFonts w:ascii="Arial" w:hAnsi="Arial"/>
          <w:color w:val="010101"/>
          <w:w w:val="107"/>
          <w:sz w:val="31"/>
        </w:rPr>
        <w:t>+</w:t>
      </w:r>
      <w:r>
        <w:rPr>
          <w:rFonts w:ascii="Arial" w:hAnsi="Arial"/>
          <w:color w:val="010101"/>
          <w:spacing w:val="-49"/>
          <w:sz w:val="31"/>
        </w:rPr>
        <w:t> </w:t>
      </w:r>
      <w:r>
        <w:rPr>
          <w:b/>
          <w:color w:val="010101"/>
          <w:w w:val="97"/>
          <w:sz w:val="13"/>
        </w:rPr>
        <w:t>a:rz</w:t>
      </w:r>
      <w:r>
        <w:rPr>
          <w:b/>
          <w:color w:val="010101"/>
          <w:sz w:val="13"/>
        </w:rPr>
        <w:t> </w:t>
      </w:r>
      <w:r>
        <w:rPr>
          <w:b/>
          <w:color w:val="010101"/>
          <w:spacing w:val="13"/>
          <w:sz w:val="13"/>
        </w:rPr>
        <w:t> </w:t>
      </w:r>
      <w:r>
        <w:rPr>
          <w:color w:val="010101"/>
          <w:w w:val="410"/>
          <w:sz w:val="13"/>
        </w:rPr>
        <w:t>-</w:t>
      </w:r>
      <w:r>
        <w:rPr>
          <w:color w:val="010101"/>
          <w:spacing w:val="11"/>
          <w:sz w:val="13"/>
        </w:rPr>
        <w:t> </w:t>
      </w:r>
      <w:r>
        <w:rPr>
          <w:b/>
          <w:color w:val="010101"/>
          <w:w w:val="98"/>
          <w:sz w:val="18"/>
        </w:rPr>
        <w:t>llwu</w:t>
      </w:r>
      <w:r>
        <w:rPr>
          <w:b/>
          <w:color w:val="010101"/>
          <w:w w:val="98"/>
          <w:sz w:val="18"/>
        </w:rPr>
        <w:t>)</w:t>
      </w:r>
      <w:r>
        <w:rPr>
          <w:b/>
          <w:color w:val="010101"/>
          <w:sz w:val="18"/>
        </w:rPr>
        <w:t> </w:t>
      </w:r>
      <w:r>
        <w:rPr>
          <w:b/>
          <w:color w:val="010101"/>
          <w:spacing w:val="3"/>
          <w:sz w:val="18"/>
        </w:rPr>
        <w:t> </w:t>
      </w:r>
      <w:r>
        <w:rPr>
          <w:color w:val="010101"/>
          <w:w w:val="296"/>
          <w:sz w:val="18"/>
        </w:rPr>
        <w:t>-</w:t>
      </w:r>
      <w:r>
        <w:rPr>
          <w:color w:val="010101"/>
          <w:sz w:val="18"/>
        </w:rPr>
        <w:t> </w:t>
      </w:r>
      <w:r>
        <w:rPr>
          <w:color w:val="010101"/>
          <w:spacing w:val="-7"/>
          <w:sz w:val="18"/>
        </w:rPr>
        <w:t> </w:t>
      </w:r>
      <w:r>
        <w:rPr>
          <w:color w:val="010101"/>
          <w:spacing w:val="-8"/>
          <w:w w:val="107"/>
          <w:sz w:val="18"/>
        </w:rPr>
        <w:t>(</w:t>
      </w:r>
      <w:r>
        <w:rPr>
          <w:b/>
          <w:color w:val="010101"/>
          <w:w w:val="72"/>
          <w:sz w:val="18"/>
        </w:rPr>
        <w:t>a..i.,z</w:t>
      </w:r>
      <w:r>
        <w:rPr>
          <w:b/>
          <w:color w:val="010101"/>
          <w:sz w:val="18"/>
        </w:rPr>
        <w:t> </w:t>
      </w:r>
      <w:r>
        <w:rPr>
          <w:b/>
          <w:color w:val="010101"/>
          <w:spacing w:val="-21"/>
          <w:sz w:val="18"/>
        </w:rPr>
        <w:t> </w:t>
      </w:r>
      <w:r>
        <w:rPr>
          <w:color w:val="010101"/>
          <w:w w:val="100"/>
          <w:sz w:val="29"/>
        </w:rPr>
        <w:t>+</w:t>
      </w:r>
      <w:r>
        <w:rPr>
          <w:color w:val="010101"/>
          <w:spacing w:val="-2"/>
          <w:sz w:val="29"/>
        </w:rPr>
        <w:t> </w:t>
      </w:r>
      <w:r>
        <w:rPr>
          <w:b/>
          <w:i/>
          <w:color w:val="010101"/>
          <w:w w:val="211"/>
          <w:sz w:val="21"/>
        </w:rPr>
        <w:t>a</w:t>
      </w:r>
      <w:r>
        <w:rPr>
          <w:b/>
          <w:i/>
          <w:color w:val="010101"/>
          <w:w w:val="51"/>
          <w:sz w:val="21"/>
        </w:rPr>
        <w:t>z</w:t>
      </w:r>
      <w:r>
        <w:rPr>
          <w:b/>
          <w:i/>
          <w:color w:val="010101"/>
          <w:sz w:val="21"/>
        </w:rPr>
        <w:t> </w:t>
      </w:r>
      <w:r>
        <w:rPr>
          <w:b/>
          <w:i/>
          <w:color w:val="010101"/>
          <w:spacing w:val="-26"/>
          <w:sz w:val="21"/>
        </w:rPr>
        <w:t> </w:t>
      </w:r>
      <w:r>
        <w:rPr>
          <w:color w:val="010101"/>
          <w:w w:val="246"/>
          <w:sz w:val="21"/>
        </w:rPr>
        <w:t>-</w:t>
      </w:r>
      <w:r>
        <w:rPr>
          <w:color w:val="010101"/>
          <w:spacing w:val="-4"/>
          <w:sz w:val="21"/>
        </w:rPr>
        <w:t> </w:t>
      </w:r>
      <w:r>
        <w:rPr>
          <w:rFonts w:ascii="Arial" w:hAnsi="Arial"/>
          <w:b/>
          <w:color w:val="010101"/>
          <w:w w:val="58"/>
          <w:sz w:val="19"/>
        </w:rPr>
        <w:t>ª"'ZJIZ</w:t>
      </w:r>
      <w:r>
        <w:rPr>
          <w:rFonts w:ascii="Arial" w:hAnsi="Arial"/>
          <w:b/>
          <w:color w:val="010101"/>
          <w:spacing w:val="-18"/>
          <w:sz w:val="19"/>
        </w:rPr>
        <w:t> </w:t>
      </w:r>
      <w:r>
        <w:rPr>
          <w:rFonts w:ascii="Arial" w:hAnsi="Arial"/>
          <w:b/>
          <w:color w:val="010101"/>
          <w:w w:val="120"/>
          <w:sz w:val="19"/>
        </w:rPr>
        <w:t>)</w:t>
      </w:r>
      <w:r>
        <w:rPr>
          <w:rFonts w:ascii="Arial" w:hAnsi="Arial"/>
          <w:b/>
          <w:color w:val="010101"/>
          <w:w w:val="120"/>
          <w:sz w:val="19"/>
        </w:rPr>
        <w:t>,</w:t>
      </w:r>
    </w:p>
    <w:p>
      <w:pPr>
        <w:pStyle w:val="BodyText"/>
        <w:spacing w:before="81"/>
        <w:ind w:left="110"/>
        <w:jc w:val="both"/>
      </w:pPr>
      <w:r>
        <w:rPr>
          <w:color w:val="010101"/>
          <w:w w:val="105"/>
        </w:rPr>
        <w:t>agrecing with the previous  result.</w:t>
      </w:r>
    </w:p>
    <w:p>
      <w:pPr>
        <w:spacing w:before="5"/>
        <w:ind w:left="304" w:right="0" w:firstLine="0"/>
        <w:jc w:val="left"/>
        <w:rPr>
          <w:sz w:val="21"/>
        </w:rPr>
      </w:pPr>
      <w:r>
        <w:rPr>
          <w:color w:val="010101"/>
          <w:w w:val="105"/>
          <w:sz w:val="20"/>
        </w:rPr>
        <w:t>Similarly, </w:t>
      </w:r>
      <w:r>
        <w:rPr>
          <w:color w:val="010101"/>
          <w:w w:val="105"/>
          <w:sz w:val="17"/>
        </w:rPr>
        <w:t>A </w:t>
      </w:r>
      <w:r>
        <w:rPr>
          <w:color w:val="010101"/>
          <w:w w:val="105"/>
          <w:sz w:val="17"/>
          <w:u w:val="thick" w:color="000000"/>
        </w:rPr>
        <w:t>w:r:"</w:t>
      </w:r>
      <w:r>
        <w:rPr>
          <w:color w:val="010101"/>
          <w:w w:val="105"/>
          <w:sz w:val="17"/>
        </w:rPr>
        <w:t>i </w:t>
      </w:r>
      <w:r>
        <w:rPr>
          <w:color w:val="010101"/>
          <w:w w:val="105"/>
          <w:sz w:val="20"/>
        </w:rPr>
        <w:t>is first expanded by  (10.7b) </w:t>
      </w:r>
      <w:r>
        <w:rPr>
          <w:color w:val="010101"/>
          <w:w w:val="105"/>
          <w:sz w:val="21"/>
        </w:rPr>
        <w:t>to</w:t>
      </w:r>
    </w:p>
    <w:p>
      <w:pPr>
        <w:pStyle w:val="BodyText"/>
        <w:spacing w:before="6"/>
        <w:rPr>
          <w:sz w:val="10"/>
        </w:rPr>
      </w:pPr>
      <w:r>
        <w:rPr/>
        <w:drawing>
          <wp:anchor distT="0" distB="0" distL="0" distR="0" allowOverlap="1" layoutInCell="1" locked="0" behindDoc="0" simplePos="0" relativeHeight="16840">
            <wp:simplePos x="0" y="0"/>
            <wp:positionH relativeFrom="page">
              <wp:posOffset>1728216</wp:posOffset>
            </wp:positionH>
            <wp:positionV relativeFrom="paragraph">
              <wp:posOffset>102139</wp:posOffset>
            </wp:positionV>
            <wp:extent cx="1179575" cy="137160"/>
            <wp:effectExtent l="0" t="0" r="0" b="0"/>
            <wp:wrapTopAndBottom/>
            <wp:docPr id="461" name="image236.png" descr=""/>
            <wp:cNvGraphicFramePr>
              <a:graphicFrameLocks noChangeAspect="1"/>
            </wp:cNvGraphicFramePr>
            <a:graphic>
              <a:graphicData uri="http://schemas.openxmlformats.org/drawingml/2006/picture">
                <pic:pic>
                  <pic:nvPicPr>
                    <pic:cNvPr id="462" name="image236.png"/>
                    <pic:cNvPicPr/>
                  </pic:nvPicPr>
                  <pic:blipFill>
                    <a:blip r:embed="rId240" cstate="print"/>
                    <a:stretch>
                      <a:fillRect/>
                    </a:stretch>
                  </pic:blipFill>
                  <pic:spPr>
                    <a:xfrm>
                      <a:off x="0" y="0"/>
                      <a:ext cx="1179575" cy="137160"/>
                    </a:xfrm>
                    <a:prstGeom prst="rect">
                      <a:avLst/>
                    </a:prstGeom>
                  </pic:spPr>
                </pic:pic>
              </a:graphicData>
            </a:graphic>
          </wp:anchor>
        </w:drawing>
      </w:r>
    </w:p>
    <w:p>
      <w:pPr>
        <w:spacing w:before="78"/>
        <w:ind w:left="110" w:right="0" w:firstLine="0"/>
        <w:jc w:val="both"/>
        <w:rPr>
          <w:i/>
          <w:sz w:val="20"/>
        </w:rPr>
      </w:pPr>
      <w:r>
        <w:rPr>
          <w:color w:val="010101"/>
          <w:w w:val="105"/>
          <w:sz w:val="20"/>
        </w:rPr>
        <w:t>and then  expanding </w:t>
      </w:r>
      <w:r>
        <w:rPr>
          <w:i/>
          <w:color w:val="010101"/>
          <w:w w:val="105"/>
          <w:sz w:val="21"/>
        </w:rPr>
        <w:t>Ai,i  </w:t>
      </w:r>
      <w:r>
        <w:rPr>
          <w:color w:val="010101"/>
          <w:w w:val="105"/>
          <w:sz w:val="20"/>
        </w:rPr>
        <w:t>and  applying  (10.8b)  </w:t>
      </w:r>
      <w:r>
        <w:rPr>
          <w:color w:val="010101"/>
          <w:w w:val="105"/>
          <w:sz w:val="21"/>
        </w:rPr>
        <w:t>to </w:t>
      </w:r>
      <w:r>
        <w:rPr>
          <w:color w:val="010101"/>
          <w:w w:val="105"/>
          <w:sz w:val="20"/>
        </w:rPr>
        <w:t>the term </w:t>
      </w:r>
      <w:r>
        <w:rPr>
          <w:i/>
          <w:color w:val="010101"/>
          <w:w w:val="105"/>
          <w:sz w:val="20"/>
        </w:rPr>
        <w:t>Avziz ,</w:t>
      </w:r>
    </w:p>
    <w:p>
      <w:pPr>
        <w:pStyle w:val="BodyText"/>
        <w:spacing w:before="8"/>
        <w:ind w:left="103"/>
        <w:jc w:val="both"/>
      </w:pPr>
      <w:r>
        <w:rPr>
          <w:color w:val="010101"/>
        </w:rPr>
        <w:t>we find</w:t>
      </w:r>
    </w:p>
    <w:p>
      <w:pPr>
        <w:spacing w:before="33"/>
        <w:ind w:left="182" w:right="0" w:firstLine="0"/>
        <w:jc w:val="both"/>
        <w:rPr>
          <w:b/>
          <w:sz w:val="16"/>
        </w:rPr>
      </w:pPr>
      <w:r>
        <w:rPr/>
        <w:pict>
          <v:line style="position:absolute;mso-position-horizontal-relative:page;mso-position-vertical-relative:paragraph;z-index:-719176" from="59.5825pt,17.106611pt" to="63.33996pt,17.106611pt" stroked="true" strokeweight=".894632pt" strokecolor="#000000">
            <w10:wrap type="none"/>
          </v:line>
        </w:pict>
      </w:r>
      <w:r>
        <w:rPr>
          <w:b/>
          <w:i/>
          <w:color w:val="010101"/>
          <w:w w:val="103"/>
          <w:sz w:val="16"/>
        </w:rPr>
        <w:t>Á</w:t>
      </w:r>
      <w:r>
        <w:rPr>
          <w:b/>
          <w:i/>
          <w:color w:val="010101"/>
          <w:spacing w:val="10"/>
          <w:sz w:val="16"/>
        </w:rPr>
        <w:t> </w:t>
      </w:r>
      <w:r>
        <w:rPr>
          <w:b/>
          <w:i/>
          <w:color w:val="010101"/>
          <w:w w:val="65"/>
          <w:sz w:val="16"/>
        </w:rPr>
        <w:t>w:r</w:t>
      </w:r>
      <w:r>
        <w:rPr>
          <w:b/>
          <w:i/>
          <w:color w:val="010101"/>
          <w:spacing w:val="-22"/>
          <w:sz w:val="16"/>
        </w:rPr>
        <w:t> </w:t>
      </w:r>
      <w:r>
        <w:rPr>
          <w:b/>
          <w:i/>
          <w:color w:val="2F2F2F"/>
          <w:spacing w:val="9"/>
          <w:w w:val="42"/>
          <w:sz w:val="16"/>
        </w:rPr>
        <w:t>:</w:t>
      </w:r>
      <w:r>
        <w:rPr>
          <w:b/>
          <w:i/>
          <w:color w:val="010101"/>
          <w:w w:val="55"/>
          <w:sz w:val="16"/>
        </w:rPr>
        <w:t>ii"i</w:t>
      </w:r>
      <w:r>
        <w:rPr>
          <w:b/>
          <w:i/>
          <w:color w:val="010101"/>
          <w:sz w:val="16"/>
        </w:rPr>
        <w:t>  </w:t>
      </w:r>
      <w:r>
        <w:rPr>
          <w:b/>
          <w:i/>
          <w:color w:val="010101"/>
          <w:spacing w:val="-5"/>
          <w:sz w:val="16"/>
        </w:rPr>
        <w:t> </w:t>
      </w:r>
      <w:r>
        <w:rPr>
          <w:color w:val="010101"/>
          <w:w w:val="91"/>
          <w:sz w:val="26"/>
        </w:rPr>
        <w:t>=</w:t>
      </w:r>
      <w:r>
        <w:rPr>
          <w:color w:val="010101"/>
          <w:sz w:val="26"/>
        </w:rPr>
        <w:t> </w:t>
      </w:r>
      <w:r>
        <w:rPr>
          <w:color w:val="010101"/>
          <w:spacing w:val="-22"/>
          <w:sz w:val="26"/>
        </w:rPr>
        <w:t> </w:t>
      </w:r>
      <w:r>
        <w:rPr>
          <w:b/>
          <w:color w:val="010101"/>
          <w:w w:val="115"/>
          <w:sz w:val="13"/>
        </w:rPr>
        <w:t>Áv:r</w:t>
      </w:r>
      <w:r>
        <w:rPr>
          <w:b/>
          <w:color w:val="010101"/>
          <w:sz w:val="13"/>
        </w:rPr>
        <w:t>  </w:t>
      </w:r>
      <w:r>
        <w:rPr>
          <w:b/>
          <w:color w:val="010101"/>
          <w:spacing w:val="-2"/>
          <w:sz w:val="13"/>
        </w:rPr>
        <w:t> </w:t>
      </w:r>
      <w:r>
        <w:rPr>
          <w:rFonts w:ascii="Arial" w:hAnsi="Arial"/>
          <w:color w:val="010101"/>
          <w:w w:val="101"/>
          <w:sz w:val="32"/>
        </w:rPr>
        <w:t>+</w:t>
      </w:r>
      <w:r>
        <w:rPr>
          <w:rFonts w:ascii="Arial" w:hAnsi="Arial"/>
          <w:color w:val="010101"/>
          <w:spacing w:val="17"/>
          <w:sz w:val="32"/>
        </w:rPr>
        <w:t> </w:t>
      </w:r>
      <w:r>
        <w:rPr>
          <w:b/>
          <w:i/>
          <w:color w:val="010101"/>
          <w:spacing w:val="11"/>
          <w:w w:val="64"/>
          <w:sz w:val="21"/>
        </w:rPr>
        <w:t>(</w:t>
      </w:r>
      <w:r>
        <w:rPr>
          <w:b/>
          <w:i/>
          <w:color w:val="010101"/>
          <w:w w:val="136"/>
          <w:sz w:val="21"/>
        </w:rPr>
        <w:t>A</w:t>
      </w:r>
      <w:r>
        <w:rPr>
          <w:b/>
          <w:i/>
          <w:color w:val="010101"/>
          <w:sz w:val="21"/>
        </w:rPr>
        <w:t> </w:t>
      </w:r>
      <w:r>
        <w:rPr>
          <w:b/>
          <w:i/>
          <w:color w:val="010101"/>
          <w:spacing w:val="14"/>
          <w:sz w:val="21"/>
        </w:rPr>
        <w:t> </w:t>
      </w:r>
      <w:r>
        <w:rPr>
          <w:rFonts w:ascii="Arial" w:hAnsi="Arial"/>
          <w:color w:val="010101"/>
          <w:w w:val="107"/>
          <w:sz w:val="31"/>
        </w:rPr>
        <w:t>+</w:t>
      </w:r>
      <w:r>
        <w:rPr>
          <w:rFonts w:ascii="Arial" w:hAnsi="Arial"/>
          <w:color w:val="010101"/>
          <w:spacing w:val="-24"/>
          <w:sz w:val="31"/>
        </w:rPr>
        <w:t> </w:t>
      </w:r>
      <w:r>
        <w:rPr>
          <w:b/>
          <w:i/>
          <w:color w:val="010101"/>
          <w:w w:val="75"/>
          <w:sz w:val="21"/>
        </w:rPr>
        <w:t>Á</w:t>
      </w:r>
      <w:r>
        <w:rPr>
          <w:b/>
          <w:i/>
          <w:color w:val="010101"/>
          <w:spacing w:val="2"/>
          <w:sz w:val="21"/>
        </w:rPr>
        <w:t> </w:t>
      </w:r>
      <w:r>
        <w:rPr>
          <w:b/>
          <w:i/>
          <w:color w:val="010101"/>
          <w:w w:val="51"/>
          <w:sz w:val="21"/>
        </w:rPr>
        <w:t>z</w:t>
      </w:r>
      <w:r>
        <w:rPr>
          <w:b/>
          <w:i/>
          <w:color w:val="010101"/>
          <w:sz w:val="21"/>
        </w:rPr>
        <w:t> </w:t>
      </w:r>
      <w:r>
        <w:rPr>
          <w:b/>
          <w:i/>
          <w:color w:val="010101"/>
          <w:spacing w:val="6"/>
          <w:sz w:val="21"/>
        </w:rPr>
        <w:t> </w:t>
      </w:r>
      <w:r>
        <w:rPr>
          <w:color w:val="010101"/>
          <w:w w:val="253"/>
          <w:sz w:val="21"/>
        </w:rPr>
        <w:t>-</w:t>
      </w:r>
      <w:r>
        <w:rPr>
          <w:color w:val="010101"/>
          <w:spacing w:val="20"/>
          <w:sz w:val="21"/>
        </w:rPr>
        <w:t> </w:t>
      </w:r>
      <w:r>
        <w:rPr>
          <w:b/>
          <w:i/>
          <w:color w:val="010101"/>
          <w:w w:val="88"/>
          <w:sz w:val="16"/>
        </w:rPr>
        <w:t>Á</w:t>
      </w:r>
      <w:r>
        <w:rPr>
          <w:b/>
          <w:i/>
          <w:color w:val="010101"/>
          <w:spacing w:val="8"/>
          <w:sz w:val="16"/>
        </w:rPr>
        <w:t> </w:t>
      </w:r>
      <w:r>
        <w:rPr>
          <w:b/>
          <w:i/>
          <w:color w:val="010101"/>
          <w:w w:val="77"/>
          <w:sz w:val="16"/>
        </w:rPr>
        <w:t>yi</w:t>
      </w:r>
      <w:r>
        <w:rPr>
          <w:b/>
          <w:i/>
          <w:color w:val="010101"/>
          <w:spacing w:val="6"/>
          <w:sz w:val="16"/>
        </w:rPr>
        <w:t> </w:t>
      </w:r>
      <w:r>
        <w:rPr>
          <w:b/>
          <w:i/>
          <w:color w:val="010101"/>
          <w:w w:val="84"/>
          <w:sz w:val="16"/>
        </w:rPr>
        <w:t>)</w:t>
      </w:r>
      <w:r>
        <w:rPr>
          <w:b/>
          <w:i/>
          <w:color w:val="010101"/>
          <w:sz w:val="16"/>
        </w:rPr>
        <w:t>  </w:t>
      </w:r>
      <w:r>
        <w:rPr>
          <w:b/>
          <w:i/>
          <w:color w:val="010101"/>
          <w:spacing w:val="13"/>
          <w:sz w:val="16"/>
        </w:rPr>
        <w:t> </w:t>
      </w:r>
      <w:r>
        <w:rPr>
          <w:color w:val="010101"/>
          <w:w w:val="333"/>
          <w:sz w:val="16"/>
        </w:rPr>
        <w:t>-</w:t>
      </w:r>
      <w:r>
        <w:rPr>
          <w:color w:val="010101"/>
          <w:sz w:val="16"/>
        </w:rPr>
        <w:t>  </w:t>
      </w:r>
      <w:r>
        <w:rPr>
          <w:color w:val="010101"/>
          <w:spacing w:val="-12"/>
          <w:sz w:val="16"/>
        </w:rPr>
        <w:t> </w:t>
      </w:r>
      <w:r>
        <w:rPr>
          <w:b/>
          <w:i/>
          <w:color w:val="010101"/>
          <w:w w:val="64"/>
          <w:sz w:val="21"/>
        </w:rPr>
        <w:t>(</w:t>
      </w:r>
      <w:r>
        <w:rPr>
          <w:b/>
          <w:i/>
          <w:color w:val="010101"/>
          <w:spacing w:val="-38"/>
          <w:sz w:val="21"/>
        </w:rPr>
        <w:t> </w:t>
      </w:r>
      <w:r>
        <w:rPr>
          <w:b/>
          <w:i/>
          <w:color w:val="010101"/>
          <w:w w:val="84"/>
          <w:sz w:val="21"/>
        </w:rPr>
        <w:t>Avzv</w:t>
      </w:r>
      <w:r>
        <w:rPr>
          <w:b/>
          <w:i/>
          <w:color w:val="010101"/>
          <w:sz w:val="21"/>
        </w:rPr>
        <w:t> </w:t>
      </w:r>
      <w:r>
        <w:rPr>
          <w:b/>
          <w:i/>
          <w:color w:val="010101"/>
          <w:spacing w:val="10"/>
          <w:sz w:val="21"/>
        </w:rPr>
        <w:t> </w:t>
      </w:r>
      <w:r>
        <w:rPr>
          <w:rFonts w:ascii="Arial" w:hAnsi="Arial"/>
          <w:color w:val="010101"/>
          <w:w w:val="99"/>
          <w:sz w:val="32"/>
        </w:rPr>
        <w:t>+</w:t>
      </w:r>
      <w:r>
        <w:rPr>
          <w:rFonts w:ascii="Arial" w:hAnsi="Arial"/>
          <w:color w:val="010101"/>
          <w:spacing w:val="-18"/>
          <w:sz w:val="32"/>
        </w:rPr>
        <w:t> </w:t>
      </w:r>
      <w:r>
        <w:rPr>
          <w:b/>
          <w:i/>
          <w:color w:val="010101"/>
          <w:w w:val="80"/>
          <w:sz w:val="21"/>
        </w:rPr>
        <w:t>A</w:t>
      </w:r>
      <w:r>
        <w:rPr>
          <w:b/>
          <w:i/>
          <w:color w:val="010101"/>
          <w:spacing w:val="-16"/>
          <w:sz w:val="21"/>
        </w:rPr>
        <w:t> </w:t>
      </w:r>
      <w:r>
        <w:rPr>
          <w:b/>
          <w:i/>
          <w:color w:val="010101"/>
          <w:w w:val="92"/>
          <w:sz w:val="21"/>
        </w:rPr>
        <w:t>,m</w:t>
      </w:r>
      <w:r>
        <w:rPr>
          <w:b/>
          <w:i/>
          <w:color w:val="010101"/>
          <w:sz w:val="21"/>
        </w:rPr>
        <w:t> </w:t>
      </w:r>
      <w:r>
        <w:rPr>
          <w:b/>
          <w:i/>
          <w:color w:val="010101"/>
          <w:spacing w:val="5"/>
          <w:sz w:val="21"/>
        </w:rPr>
        <w:t> </w:t>
      </w:r>
      <w:r>
        <w:rPr>
          <w:color w:val="010101"/>
          <w:w w:val="253"/>
          <w:sz w:val="21"/>
        </w:rPr>
        <w:t>-</w:t>
      </w:r>
      <w:r>
        <w:rPr>
          <w:color w:val="010101"/>
          <w:spacing w:val="20"/>
          <w:sz w:val="21"/>
        </w:rPr>
        <w:t> </w:t>
      </w:r>
      <w:r>
        <w:rPr>
          <w:b/>
          <w:color w:val="010101"/>
          <w:w w:val="99"/>
          <w:sz w:val="16"/>
        </w:rPr>
        <w:t>Á</w:t>
      </w:r>
      <w:r>
        <w:rPr>
          <w:b/>
          <w:color w:val="010101"/>
          <w:spacing w:val="-9"/>
          <w:sz w:val="16"/>
        </w:rPr>
        <w:t> </w:t>
      </w:r>
      <w:r>
        <w:rPr>
          <w:b/>
          <w:color w:val="010101"/>
          <w:w w:val="74"/>
          <w:sz w:val="16"/>
        </w:rPr>
        <w:t>wJ.11:),</w:t>
      </w:r>
    </w:p>
    <w:p>
      <w:pPr>
        <w:pStyle w:val="BodyText"/>
        <w:spacing w:line="228" w:lineRule="exact" w:before="79"/>
        <w:ind w:left="110"/>
        <w:jc w:val="both"/>
      </w:pPr>
      <w:r>
        <w:rPr>
          <w:color w:val="010101"/>
          <w:w w:val="105"/>
        </w:rPr>
        <w:t>as before.</w:t>
      </w:r>
    </w:p>
    <w:p>
      <w:pPr>
        <w:pStyle w:val="BodyText"/>
        <w:spacing w:line="249" w:lineRule="auto"/>
        <w:ind w:left="107" w:right="166" w:firstLine="200"/>
        <w:jc w:val="both"/>
      </w:pPr>
      <w:r>
        <w:rPr>
          <w:color w:val="010101"/>
          <w:w w:val="105"/>
          <w:sz w:val="22"/>
        </w:rPr>
        <w:t>It </w:t>
      </w:r>
      <w:r>
        <w:rPr>
          <w:color w:val="010101"/>
          <w:w w:val="105"/>
        </w:rPr>
        <w:t>should be noted that the general reasoning by which formulas (10.7) and (10.8) have been derived is equally valid when the compound status involves a term-certain. Consider an annuity pay­</w:t>
      </w:r>
    </w:p>
    <w:p>
      <w:pPr>
        <w:spacing w:line="247" w:lineRule="exact" w:before="0"/>
        <w:ind w:left="107" w:right="0" w:firstLine="0"/>
        <w:jc w:val="both"/>
        <w:rPr>
          <w:sz w:val="20"/>
        </w:rPr>
      </w:pPr>
      <w:r>
        <w:rPr>
          <w:color w:val="010101"/>
          <w:sz w:val="20"/>
        </w:rPr>
        <w:t>able until the death of  </w:t>
      </w:r>
      <w:r>
        <w:rPr>
          <w:rFonts w:ascii="Arial"/>
          <w:i/>
          <w:color w:val="010101"/>
          <w:sz w:val="19"/>
        </w:rPr>
        <w:t>(x ) </w:t>
      </w:r>
      <w:r>
        <w:rPr>
          <w:color w:val="010101"/>
          <w:sz w:val="20"/>
        </w:rPr>
        <w:t>or until  </w:t>
      </w:r>
      <w:r>
        <w:rPr>
          <w:rFonts w:ascii="Arial"/>
          <w:i/>
          <w:color w:val="010101"/>
          <w:sz w:val="19"/>
        </w:rPr>
        <w:t>(y ) </w:t>
      </w:r>
      <w:r>
        <w:rPr>
          <w:color w:val="010101"/>
          <w:sz w:val="20"/>
        </w:rPr>
        <w:t>attains a.ge </w:t>
      </w:r>
      <w:r>
        <w:rPr>
          <w:rFonts w:ascii="Arial"/>
          <w:i/>
          <w:color w:val="010101"/>
          <w:sz w:val="19"/>
        </w:rPr>
        <w:t>y  </w:t>
      </w:r>
      <w:r>
        <w:rPr>
          <w:color w:val="010101"/>
          <w:sz w:val="29"/>
        </w:rPr>
        <w:t>+ </w:t>
      </w:r>
      <w:r>
        <w:rPr>
          <w:rFonts w:ascii="Arial"/>
          <w:i/>
          <w:color w:val="010101"/>
          <w:sz w:val="19"/>
        </w:rPr>
        <w:t>n, </w:t>
      </w:r>
      <w:r>
        <w:rPr>
          <w:color w:val="010101"/>
          <w:sz w:val="20"/>
        </w:rPr>
        <w:t>whichever</w:t>
      </w:r>
    </w:p>
    <w:p>
      <w:pPr>
        <w:pStyle w:val="BodyText"/>
        <w:spacing w:line="252" w:lineRule="auto"/>
        <w:ind w:left="103" w:right="162" w:firstLine="3"/>
        <w:jc w:val="both"/>
      </w:pPr>
      <w:r>
        <w:rPr>
          <w:color w:val="010101"/>
          <w:w w:val="105"/>
        </w:rPr>
        <w:t>period </w:t>
      </w:r>
      <w:r>
        <w:rPr>
          <w:rFonts w:ascii="Arial" w:hAnsi="Arial"/>
          <w:color w:val="010101"/>
          <w:w w:val="105"/>
          <w:sz w:val="19"/>
        </w:rPr>
        <w:t>is </w:t>
      </w:r>
      <w:r>
        <w:rPr>
          <w:color w:val="010101"/>
          <w:w w:val="105"/>
        </w:rPr>
        <w:t>longer. The two statuses are </w:t>
      </w:r>
      <w:r>
        <w:rPr>
          <w:rFonts w:ascii="Arial" w:hAnsi="Arial"/>
          <w:i/>
          <w:color w:val="010101"/>
          <w:w w:val="105"/>
          <w:sz w:val="19"/>
        </w:rPr>
        <w:t>(x ) </w:t>
      </w:r>
      <w:r>
        <w:rPr>
          <w:color w:val="010101"/>
          <w:w w:val="105"/>
        </w:rPr>
        <w:t>and (y:n]), and the an­ nuity is payable during the continuance  of  the  last-surviving status</w:t>
      </w:r>
      <w:r>
        <w:rPr>
          <w:color w:val="2F2F2F"/>
          <w:w w:val="105"/>
        </w:rPr>
        <w:t>. </w:t>
      </w:r>
      <w:r>
        <w:rPr>
          <w:color w:val="010101"/>
          <w:w w:val="105"/>
        </w:rPr>
        <w:t>We  thus have,  from  (10.7a),</w:t>
      </w:r>
    </w:p>
    <w:p>
      <w:pPr>
        <w:spacing w:line="342" w:lineRule="exact" w:before="53"/>
        <w:ind w:left="93" w:right="131" w:firstLine="0"/>
        <w:jc w:val="center"/>
        <w:rPr>
          <w:sz w:val="21"/>
        </w:rPr>
      </w:pPr>
      <w:r>
        <w:rPr/>
        <w:pict>
          <v:line style="position:absolute;mso-position-horizontal-relative:page;mso-position-vertical-relative:paragraph;z-index:-719152" from="130.974197pt,17.368412pt" to="133.658097pt,17.368412pt" stroked="true" strokeweight=".357853pt" strokecolor="#000000">
            <w10:wrap type="none"/>
          </v:line>
        </w:pict>
      </w:r>
      <w:r>
        <w:rPr>
          <w:color w:val="010101"/>
          <w:sz w:val="21"/>
        </w:rPr>
        <w:t>ª&lt;s&gt;&lt; </w:t>
      </w:r>
      <w:r>
        <w:rPr>
          <w:color w:val="010101"/>
          <w:w w:val="75"/>
          <w:sz w:val="21"/>
        </w:rPr>
        <w:t>:iil&gt; </w:t>
      </w:r>
      <w:r>
        <w:rPr>
          <w:color w:val="010101"/>
          <w:sz w:val="24"/>
        </w:rPr>
        <w:t>= </w:t>
      </w:r>
      <w:r>
        <w:rPr>
          <w:color w:val="010101"/>
          <w:w w:val="75"/>
          <w:sz w:val="21"/>
        </w:rPr>
        <w:t>a:r </w:t>
      </w:r>
      <w:r>
        <w:rPr>
          <w:rFonts w:ascii="Arial" w:hAnsi="Arial"/>
          <w:color w:val="010101"/>
          <w:sz w:val="31"/>
        </w:rPr>
        <w:t>+</w:t>
      </w:r>
      <w:r>
        <w:rPr>
          <w:rFonts w:ascii="Arial" w:hAnsi="Arial"/>
          <w:color w:val="010101"/>
          <w:spacing w:val="-59"/>
          <w:sz w:val="31"/>
        </w:rPr>
        <w:t> </w:t>
      </w:r>
      <w:r>
        <w:rPr>
          <w:color w:val="010101"/>
          <w:sz w:val="15"/>
        </w:rPr>
        <w:t>O., </w:t>
      </w:r>
      <w:r>
        <w:rPr>
          <w:color w:val="1C1C1C"/>
          <w:spacing w:val="-5"/>
          <w:sz w:val="15"/>
        </w:rPr>
        <w:t>:</w:t>
      </w:r>
      <w:r>
        <w:rPr>
          <w:color w:val="010101"/>
          <w:spacing w:val="-5"/>
          <w:sz w:val="15"/>
        </w:rPr>
        <w:t>ñj </w:t>
      </w:r>
      <w:r>
        <w:rPr>
          <w:color w:val="010101"/>
          <w:w w:val="340"/>
          <w:sz w:val="15"/>
        </w:rPr>
        <w:t>-</w:t>
      </w:r>
      <w:r>
        <w:rPr>
          <w:color w:val="010101"/>
          <w:spacing w:val="-102"/>
          <w:w w:val="340"/>
          <w:sz w:val="15"/>
        </w:rPr>
        <w:t> </w:t>
      </w:r>
      <w:r>
        <w:rPr>
          <w:color w:val="010101"/>
          <w:w w:val="75"/>
          <w:sz w:val="21"/>
        </w:rPr>
        <w:t>aZJ1:"'ii1 </w:t>
      </w:r>
      <w:r>
        <w:rPr>
          <w:color w:val="010101"/>
          <w:w w:val="120"/>
          <w:sz w:val="21"/>
        </w:rPr>
        <w:t>.</w:t>
      </w:r>
    </w:p>
    <w:p>
      <w:pPr>
        <w:spacing w:line="334" w:lineRule="exact" w:before="0"/>
        <w:ind w:left="139" w:right="13" w:firstLine="0"/>
        <w:jc w:val="center"/>
        <w:rPr>
          <w:rFonts w:ascii="Arial"/>
          <w:i/>
          <w:sz w:val="18"/>
        </w:rPr>
      </w:pPr>
      <w:r>
        <w:rPr>
          <w:color w:val="010101"/>
          <w:w w:val="105"/>
          <w:sz w:val="21"/>
        </w:rPr>
        <w:t>If  </w:t>
      </w:r>
      <w:r>
        <w:rPr>
          <w:color w:val="010101"/>
          <w:w w:val="105"/>
          <w:sz w:val="20"/>
        </w:rPr>
        <w:t>the annuity  </w:t>
      </w:r>
      <w:r>
        <w:rPr>
          <w:rFonts w:ascii="Arial"/>
          <w:color w:val="010101"/>
          <w:w w:val="105"/>
          <w:sz w:val="19"/>
        </w:rPr>
        <w:t>is </w:t>
      </w:r>
      <w:r>
        <w:rPr>
          <w:color w:val="010101"/>
          <w:w w:val="105"/>
          <w:sz w:val="20"/>
        </w:rPr>
        <w:t>paya.ble  until  </w:t>
      </w:r>
      <w:r>
        <w:rPr>
          <w:rFonts w:ascii="Arial"/>
          <w:i/>
          <w:color w:val="010101"/>
          <w:w w:val="105"/>
          <w:sz w:val="18"/>
        </w:rPr>
        <w:t>(x )  </w:t>
      </w:r>
      <w:r>
        <w:rPr>
          <w:color w:val="010101"/>
          <w:w w:val="105"/>
          <w:sz w:val="20"/>
        </w:rPr>
        <w:t>attains age </w:t>
      </w:r>
      <w:r>
        <w:rPr>
          <w:rFonts w:ascii="Arial"/>
          <w:i/>
          <w:color w:val="010101"/>
          <w:w w:val="105"/>
          <w:sz w:val="18"/>
        </w:rPr>
        <w:t>x  </w:t>
      </w:r>
      <w:r>
        <w:rPr>
          <w:rFonts w:ascii="Arial"/>
          <w:color w:val="010101"/>
          <w:w w:val="105"/>
          <w:sz w:val="31"/>
        </w:rPr>
        <w:t>+ </w:t>
      </w:r>
      <w:r>
        <w:rPr>
          <w:rFonts w:ascii="Arial"/>
          <w:i/>
          <w:color w:val="010101"/>
          <w:w w:val="105"/>
          <w:sz w:val="18"/>
        </w:rPr>
        <w:t>n </w:t>
      </w:r>
      <w:r>
        <w:rPr>
          <w:color w:val="010101"/>
          <w:w w:val="105"/>
          <w:sz w:val="20"/>
        </w:rPr>
        <w:t>or for </w:t>
      </w:r>
      <w:r>
        <w:rPr>
          <w:rFonts w:ascii="Arial"/>
          <w:i/>
          <w:color w:val="010101"/>
          <w:w w:val="105"/>
          <w:sz w:val="18"/>
        </w:rPr>
        <w:t>m</w:t>
      </w:r>
    </w:p>
    <w:p>
      <w:pPr>
        <w:pStyle w:val="BodyText"/>
        <w:spacing w:line="177" w:lineRule="exact"/>
        <w:ind w:left="100"/>
        <w:jc w:val="both"/>
      </w:pPr>
      <w:r>
        <w:rPr>
          <w:color w:val="010101"/>
          <w:w w:val="105"/>
        </w:rPr>
        <w:t>years  certain,  whichever   </w:t>
      </w:r>
      <w:r>
        <w:rPr>
          <w:rFonts w:ascii="Arial" w:hAnsi="Arial"/>
          <w:color w:val="010101"/>
          <w:w w:val="105"/>
          <w:sz w:val="19"/>
          <w:u w:val="single" w:color="000000"/>
        </w:rPr>
        <w:t>is  </w:t>
      </w:r>
      <w:r>
        <w:rPr>
          <w:color w:val="010101"/>
          <w:w w:val="105"/>
        </w:rPr>
        <w:t>longer,  the  statuses  are   (x:ñj)  and</w:t>
      </w:r>
    </w:p>
    <w:p>
      <w:pPr>
        <w:spacing w:line="314" w:lineRule="exact" w:before="0"/>
        <w:ind w:left="139" w:right="0" w:firstLine="0"/>
        <w:jc w:val="both"/>
        <w:rPr>
          <w:i/>
          <w:sz w:val="22"/>
        </w:rPr>
      </w:pPr>
      <w:r>
        <w:rPr>
          <w:rFonts w:ascii="Arial" w:hAnsi="Arial"/>
          <w:color w:val="010101"/>
          <w:w w:val="105"/>
          <w:sz w:val="19"/>
        </w:rPr>
        <w:t>(mj), </w:t>
      </w:r>
      <w:r>
        <w:rPr>
          <w:color w:val="010101"/>
          <w:w w:val="105"/>
          <w:sz w:val="20"/>
        </w:rPr>
        <w:t>and we have </w:t>
      </w:r>
      <w:r>
        <w:rPr>
          <w:color w:val="010101"/>
          <w:w w:val="85"/>
          <w:sz w:val="21"/>
        </w:rPr>
        <w:t>ª&lt;:r:ñl&gt;&lt;ml&gt; </w:t>
      </w:r>
      <w:r>
        <w:rPr>
          <w:color w:val="010101"/>
          <w:w w:val="85"/>
          <w:sz w:val="28"/>
        </w:rPr>
        <w:t>= </w:t>
      </w:r>
      <w:r>
        <w:rPr>
          <w:color w:val="010101"/>
          <w:w w:val="105"/>
          <w:sz w:val="20"/>
        </w:rPr>
        <w:t>as:iil </w:t>
      </w:r>
      <w:r>
        <w:rPr>
          <w:rFonts w:ascii="Arial" w:hAnsi="Arial"/>
          <w:color w:val="010101"/>
          <w:w w:val="85"/>
          <w:sz w:val="33"/>
        </w:rPr>
        <w:t>+ </w:t>
      </w:r>
      <w:r>
        <w:rPr>
          <w:color w:val="010101"/>
          <w:w w:val="85"/>
          <w:sz w:val="21"/>
        </w:rPr>
        <w:t>ªiiil </w:t>
      </w:r>
      <w:r>
        <w:rPr>
          <w:color w:val="010101"/>
          <w:w w:val="240"/>
          <w:sz w:val="21"/>
        </w:rPr>
        <w:t>-</w:t>
      </w:r>
      <w:r>
        <w:rPr>
          <w:color w:val="010101"/>
          <w:spacing w:val="-96"/>
          <w:w w:val="240"/>
          <w:sz w:val="21"/>
        </w:rPr>
        <w:t> </w:t>
      </w:r>
      <w:r>
        <w:rPr>
          <w:color w:val="010101"/>
          <w:w w:val="85"/>
          <w:sz w:val="21"/>
        </w:rPr>
        <w:t>as:</w:t>
      </w:r>
      <w:r>
        <w:rPr>
          <w:color w:val="1C1C1C"/>
          <w:w w:val="85"/>
          <w:sz w:val="21"/>
        </w:rPr>
        <w:t>:</w:t>
      </w:r>
      <w:r>
        <w:rPr>
          <w:color w:val="010101"/>
          <w:w w:val="85"/>
          <w:sz w:val="21"/>
        </w:rPr>
        <w:t>iil:tiiJ </w:t>
      </w:r>
      <w:r>
        <w:rPr>
          <w:color w:val="010101"/>
          <w:w w:val="120"/>
          <w:sz w:val="21"/>
        </w:rPr>
        <w:t>. </w:t>
      </w:r>
      <w:r>
        <w:rPr>
          <w:color w:val="010101"/>
          <w:w w:val="105"/>
          <w:sz w:val="20"/>
        </w:rPr>
        <w:t>For </w:t>
      </w:r>
      <w:r>
        <w:rPr>
          <w:i/>
          <w:color w:val="010101"/>
          <w:w w:val="105"/>
          <w:sz w:val="22"/>
        </w:rPr>
        <w:t>m </w:t>
      </w:r>
      <w:r>
        <w:rPr>
          <w:rFonts w:ascii="Arial" w:hAnsi="Arial"/>
          <w:color w:val="010101"/>
          <w:w w:val="105"/>
          <w:sz w:val="26"/>
        </w:rPr>
        <w:t>&lt; </w:t>
      </w:r>
      <w:r>
        <w:rPr>
          <w:i/>
          <w:color w:val="010101"/>
          <w:w w:val="105"/>
          <w:sz w:val="22"/>
        </w:rPr>
        <w:t>n,</w:t>
      </w:r>
    </w:p>
    <w:p>
      <w:pPr>
        <w:pStyle w:val="BodyText"/>
        <w:spacing w:line="209" w:lineRule="exact"/>
        <w:ind w:left="100"/>
        <w:jc w:val="both"/>
      </w:pPr>
      <w:r>
        <w:rPr>
          <w:color w:val="010101"/>
          <w:w w:val="105"/>
        </w:rPr>
        <w:t>the  status </w:t>
      </w:r>
      <w:r>
        <w:rPr>
          <w:color w:val="1C1C1C"/>
          <w:w w:val="90"/>
        </w:rPr>
        <w:t>· </w:t>
      </w:r>
      <w:r>
        <w:rPr>
          <w:color w:val="010101"/>
          <w:w w:val="105"/>
          <w:sz w:val="18"/>
        </w:rPr>
        <w:t>(mi )  </w:t>
      </w:r>
      <w:r>
        <w:rPr>
          <w:color w:val="010101"/>
          <w:w w:val="105"/>
        </w:rPr>
        <w:t>fails  before  the  status  </w:t>
      </w:r>
      <w:r>
        <w:rPr>
          <w:color w:val="010101"/>
          <w:w w:val="105"/>
          <w:sz w:val="19"/>
        </w:rPr>
        <w:t>(nj),  </w:t>
      </w:r>
      <w:r>
        <w:rPr>
          <w:color w:val="010101"/>
          <w:w w:val="105"/>
        </w:rPr>
        <w:t>and  hence  the joint</w:t>
      </w:r>
    </w:p>
    <w:p>
      <w:pPr>
        <w:pStyle w:val="BodyText"/>
        <w:spacing w:line="247" w:lineRule="auto" w:before="5"/>
        <w:ind w:left="100"/>
      </w:pPr>
      <w:r>
        <w:rPr>
          <w:color w:val="010101"/>
        </w:rPr>
        <w:t>status (x:n¡:mj) </w:t>
      </w:r>
      <w:r>
        <w:rPr>
          <w:rFonts w:ascii="Arial" w:hAnsi="Arial"/>
          <w:color w:val="010101"/>
          <w:sz w:val="19"/>
        </w:rPr>
        <w:t>is </w:t>
      </w:r>
      <w:r>
        <w:rPr>
          <w:color w:val="010101"/>
        </w:rPr>
        <w:t>the same as (x:mj). The function </w:t>
      </w:r>
      <w:r>
        <w:rPr>
          <w:color w:val="010101"/>
          <w:sz w:val="21"/>
        </w:rPr>
        <w:t>a:r </w:t>
      </w:r>
      <w:r>
        <w:rPr>
          <w:color w:val="2F2F2F"/>
          <w:sz w:val="21"/>
        </w:rPr>
        <w:t>:</w:t>
      </w:r>
      <w:r>
        <w:rPr>
          <w:color w:val="010101"/>
          <w:sz w:val="21"/>
        </w:rPr>
        <w:t>ñliiil </w:t>
      </w:r>
      <w:r>
        <w:rPr>
          <w:color w:val="010101"/>
        </w:rPr>
        <w:t>can </w:t>
      </w:r>
      <w:r>
        <w:rPr>
          <w:color w:val="010101"/>
          <w:w w:val="102"/>
        </w:rPr>
        <w:t>be </w:t>
      </w:r>
      <w:r>
        <w:rPr>
          <w:color w:val="010101"/>
          <w:w w:val="107"/>
        </w:rPr>
        <w:t>written </w:t>
      </w:r>
      <w:r>
        <w:rPr>
          <w:color w:val="010101"/>
          <w:w w:val="101"/>
        </w:rPr>
        <w:t>in </w:t>
      </w:r>
      <w:r>
        <w:rPr>
          <w:color w:val="010101"/>
          <w:w w:val="108"/>
        </w:rPr>
        <w:t>this </w:t>
      </w:r>
      <w:r>
        <w:rPr>
          <w:color w:val="010101"/>
          <w:w w:val="101"/>
        </w:rPr>
        <w:t>case </w:t>
      </w:r>
      <w:r>
        <w:rPr>
          <w:color w:val="010101"/>
          <w:w w:val="110"/>
        </w:rPr>
        <w:t>as </w:t>
      </w:r>
      <w:r>
        <w:rPr>
          <w:b/>
          <w:color w:val="010101"/>
          <w:w w:val="63"/>
        </w:rPr>
        <w:t>a:r </w:t>
      </w:r>
      <w:r>
        <w:rPr>
          <w:b/>
          <w:color w:val="1C1C1C"/>
          <w:w w:val="77"/>
        </w:rPr>
        <w:t>:</w:t>
      </w:r>
      <w:r>
        <w:rPr>
          <w:b/>
          <w:color w:val="010101"/>
          <w:w w:val="77"/>
        </w:rPr>
        <w:t>-I  </w:t>
      </w:r>
      <w:r>
        <w:rPr>
          <w:color w:val="010101"/>
          <w:w w:val="113"/>
        </w:rPr>
        <w:t>. </w:t>
      </w:r>
      <w:r>
        <w:rPr>
          <w:color w:val="010101"/>
          <w:w w:val="100"/>
        </w:rPr>
        <w:t>We </w:t>
      </w:r>
      <w:r>
        <w:rPr>
          <w:color w:val="010101"/>
          <w:w w:val="110"/>
        </w:rPr>
        <w:t>thus  </w:t>
      </w:r>
      <w:r>
        <w:rPr>
          <w:color w:val="010101"/>
          <w:w w:val="106"/>
        </w:rPr>
        <w:t>have</w:t>
      </w:r>
    </w:p>
    <w:p>
      <w:pPr>
        <w:spacing w:before="85"/>
        <w:ind w:left="0" w:right="1087" w:firstLine="0"/>
        <w:jc w:val="right"/>
        <w:rPr>
          <w:i/>
          <w:sz w:val="21"/>
        </w:rPr>
      </w:pPr>
      <w:r>
        <w:rPr/>
        <w:drawing>
          <wp:anchor distT="0" distB="0" distL="0" distR="0" allowOverlap="1" layoutInCell="1" locked="0" behindDoc="0" simplePos="0" relativeHeight="16864">
            <wp:simplePos x="0" y="0"/>
            <wp:positionH relativeFrom="page">
              <wp:posOffset>1078991</wp:posOffset>
            </wp:positionH>
            <wp:positionV relativeFrom="paragraph">
              <wp:posOffset>114605</wp:posOffset>
            </wp:positionV>
            <wp:extent cx="1792224" cy="137159"/>
            <wp:effectExtent l="0" t="0" r="0" b="0"/>
            <wp:wrapNone/>
            <wp:docPr id="463" name="image237.png" descr=""/>
            <wp:cNvGraphicFramePr>
              <a:graphicFrameLocks noChangeAspect="1"/>
            </wp:cNvGraphicFramePr>
            <a:graphic>
              <a:graphicData uri="http://schemas.openxmlformats.org/drawingml/2006/picture">
                <pic:pic>
                  <pic:nvPicPr>
                    <pic:cNvPr id="464" name="image237.png"/>
                    <pic:cNvPicPr/>
                  </pic:nvPicPr>
                  <pic:blipFill>
                    <a:blip r:embed="rId241" cstate="print"/>
                    <a:stretch>
                      <a:fillRect/>
                    </a:stretch>
                  </pic:blipFill>
                  <pic:spPr>
                    <a:xfrm>
                      <a:off x="0" y="0"/>
                      <a:ext cx="1792224" cy="137159"/>
                    </a:xfrm>
                    <a:prstGeom prst="rect">
                      <a:avLst/>
                    </a:prstGeom>
                  </pic:spPr>
                </pic:pic>
              </a:graphicData>
            </a:graphic>
          </wp:anchor>
        </w:drawing>
      </w:r>
      <w:r>
        <w:rPr>
          <w:i/>
          <w:color w:val="010101"/>
          <w:w w:val="110"/>
          <w:sz w:val="21"/>
        </w:rPr>
        <w:t>m  </w:t>
      </w:r>
      <w:r>
        <w:rPr>
          <w:color w:val="010101"/>
          <w:w w:val="110"/>
          <w:sz w:val="24"/>
        </w:rPr>
        <w:t>&lt; </w:t>
      </w:r>
      <w:r>
        <w:rPr>
          <w:i/>
          <w:color w:val="010101"/>
          <w:w w:val="110"/>
          <w:sz w:val="21"/>
        </w:rPr>
        <w:t>n.</w:t>
      </w:r>
    </w:p>
    <w:p>
      <w:pPr>
        <w:spacing w:after="0"/>
        <w:jc w:val="right"/>
        <w:rPr>
          <w:sz w:val="21"/>
        </w:rPr>
        <w:sectPr>
          <w:pgSz w:w="7200" w:h="11340"/>
          <w:pgMar w:top="500" w:bottom="280" w:left="680" w:right="560"/>
        </w:sectPr>
      </w:pPr>
    </w:p>
    <w:p>
      <w:pPr>
        <w:tabs>
          <w:tab w:pos="1521" w:val="left" w:leader="none"/>
          <w:tab w:pos="5886" w:val="right" w:leader="none"/>
        </w:tabs>
        <w:spacing w:before="55"/>
        <w:ind w:left="146" w:right="0" w:firstLine="0"/>
        <w:jc w:val="both"/>
        <w:rPr>
          <w:sz w:val="21"/>
        </w:rPr>
      </w:pPr>
      <w:r>
        <w:rPr>
          <w:position w:val="1"/>
          <w:sz w:val="15"/>
        </w:rPr>
        <w:t>SEC. </w:t>
      </w:r>
      <w:r>
        <w:rPr>
          <w:spacing w:val="31"/>
          <w:position w:val="1"/>
          <w:sz w:val="15"/>
        </w:rPr>
        <w:t> </w:t>
      </w:r>
      <w:r>
        <w:rPr>
          <w:position w:val="1"/>
          <w:sz w:val="21"/>
        </w:rPr>
        <w:t>3]</w:t>
        <w:tab/>
      </w:r>
      <w:r>
        <w:rPr>
          <w:b/>
          <w:sz w:val="15"/>
        </w:rPr>
        <w:t>THE   GENERAL </w:t>
      </w:r>
      <w:r>
        <w:rPr>
          <w:b/>
          <w:spacing w:val="13"/>
          <w:sz w:val="15"/>
        </w:rPr>
        <w:t> </w:t>
      </w:r>
      <w:r>
        <w:rPr>
          <w:b/>
          <w:sz w:val="15"/>
        </w:rPr>
        <w:t>MULTI-Llll'E </w:t>
      </w:r>
      <w:r>
        <w:rPr>
          <w:b/>
          <w:spacing w:val="35"/>
          <w:sz w:val="15"/>
        </w:rPr>
        <w:t> </w:t>
      </w:r>
      <w:r>
        <w:rPr>
          <w:b/>
          <w:sz w:val="15"/>
        </w:rPr>
        <w:t>STATUS</w:t>
      </w:r>
      <w:r>
        <w:rPr>
          <w:sz w:val="21"/>
        </w:rPr>
        <w:tab/>
      </w:r>
      <w:r>
        <w:rPr>
          <w:spacing w:val="-4"/>
          <w:sz w:val="21"/>
        </w:rPr>
        <w:t>217</w:t>
      </w:r>
    </w:p>
    <w:p>
      <w:pPr>
        <w:spacing w:line="299" w:lineRule="exact" w:before="128"/>
        <w:ind w:left="286" w:right="87" w:firstLine="0"/>
        <w:jc w:val="center"/>
        <w:rPr>
          <w:rFonts w:ascii="Arial"/>
          <w:i/>
          <w:sz w:val="19"/>
        </w:rPr>
      </w:pPr>
      <w:r>
        <w:rPr>
          <w:w w:val="105"/>
          <w:sz w:val="20"/>
        </w:rPr>
        <w:t>An  aruruity  payable  w1til  either  </w:t>
      </w:r>
      <w:r>
        <w:rPr>
          <w:i/>
          <w:w w:val="105"/>
          <w:sz w:val="20"/>
        </w:rPr>
        <w:t>(x </w:t>
      </w:r>
      <w:r>
        <w:rPr>
          <w:i/>
          <w:sz w:val="20"/>
        </w:rPr>
        <w:t>)  </w:t>
      </w:r>
      <w:r>
        <w:rPr>
          <w:w w:val="105"/>
          <w:sz w:val="20"/>
        </w:rPr>
        <w:t>attains a.ge </w:t>
      </w:r>
      <w:r>
        <w:rPr>
          <w:i/>
          <w:w w:val="105"/>
          <w:sz w:val="20"/>
        </w:rPr>
        <w:t>x  </w:t>
      </w:r>
      <w:r>
        <w:rPr>
          <w:rFonts w:ascii="Arial"/>
          <w:w w:val="105"/>
          <w:sz w:val="31"/>
        </w:rPr>
        <w:t>+ </w:t>
      </w:r>
      <w:r>
        <w:rPr>
          <w:i/>
          <w:w w:val="105"/>
          <w:sz w:val="20"/>
        </w:rPr>
        <w:t>n </w:t>
      </w:r>
      <w:r>
        <w:rPr>
          <w:w w:val="105"/>
          <w:sz w:val="20"/>
        </w:rPr>
        <w:t>or </w:t>
      </w:r>
      <w:r>
        <w:rPr>
          <w:rFonts w:ascii="Arial"/>
          <w:i/>
          <w:w w:val="105"/>
          <w:sz w:val="19"/>
        </w:rPr>
        <w:t>(y )</w:t>
      </w:r>
    </w:p>
    <w:p>
      <w:pPr>
        <w:pStyle w:val="BodyText"/>
        <w:spacing w:line="290" w:lineRule="exact"/>
        <w:ind w:left="146"/>
        <w:jc w:val="both"/>
      </w:pPr>
      <w:r>
        <w:rPr>
          <w:w w:val="105"/>
        </w:rPr>
        <w:t>attains  a.ge </w:t>
      </w:r>
      <w:r>
        <w:rPr>
          <w:rFonts w:ascii="Arial"/>
          <w:i/>
          <w:w w:val="105"/>
          <w:sz w:val="18"/>
        </w:rPr>
        <w:t>y  </w:t>
      </w:r>
      <w:r>
        <w:rPr>
          <w:rFonts w:ascii="Arial"/>
          <w:w w:val="105"/>
          <w:sz w:val="31"/>
        </w:rPr>
        <w:t>+ </w:t>
      </w:r>
      <w:r>
        <w:rPr>
          <w:rFonts w:ascii="Arial"/>
          <w:i/>
          <w:w w:val="105"/>
          <w:sz w:val="18"/>
        </w:rPr>
        <w:t>m  </w:t>
      </w:r>
      <w:r>
        <w:rPr>
          <w:w w:val="105"/>
        </w:rPr>
        <w:t>(m  </w:t>
      </w:r>
      <w:r>
        <w:rPr>
          <w:rFonts w:ascii="Arial"/>
          <w:w w:val="105"/>
          <w:sz w:val="25"/>
        </w:rPr>
        <w:t>&lt; </w:t>
      </w:r>
      <w:r>
        <w:rPr>
          <w:rFonts w:ascii="Arial"/>
          <w:i/>
          <w:w w:val="105"/>
          <w:sz w:val="18"/>
        </w:rPr>
        <w:t>n), </w:t>
      </w:r>
      <w:r>
        <w:rPr>
          <w:w w:val="105"/>
        </w:rPr>
        <w:t>whichever  period  is longer,  has the</w:t>
      </w:r>
    </w:p>
    <w:p>
      <w:pPr>
        <w:pStyle w:val="BodyText"/>
        <w:spacing w:line="221" w:lineRule="exact"/>
        <w:ind w:left="146"/>
        <w:jc w:val="both"/>
      </w:pPr>
      <w:r>
        <w:rPr>
          <w:w w:val="105"/>
        </w:rPr>
        <w:t>present value</w:t>
      </w:r>
    </w:p>
    <w:p>
      <w:pPr>
        <w:spacing w:before="62"/>
        <w:ind w:left="934" w:right="0" w:firstLine="0"/>
        <w:jc w:val="left"/>
        <w:rPr>
          <w:b/>
          <w:sz w:val="17"/>
        </w:rPr>
      </w:pPr>
      <w:r>
        <w:rPr/>
        <w:pict>
          <v:line style="position:absolute;mso-position-horizontal-relative:page;mso-position-vertical-relative:paragraph;z-index:-719104" from="85.32pt,9.988833pt" to="123.12pt,9.988833pt" stroked="true" strokeweight=".72pt" strokecolor="#000000">
            <w10:wrap type="none"/>
          </v:line>
        </w:pict>
      </w:r>
      <w:r>
        <w:rPr>
          <w:rFonts w:ascii="Arial" w:hAnsi="Arial"/>
          <w:w w:val="95"/>
          <w:sz w:val="19"/>
        </w:rPr>
        <w:t>ª&lt;z:"ñl) </w:t>
      </w:r>
      <w:r>
        <w:rPr>
          <w:b/>
          <w:w w:val="95"/>
          <w:sz w:val="16"/>
        </w:rPr>
        <w:t>c.,:-J) </w:t>
      </w:r>
      <w:r>
        <w:rPr>
          <w:w w:val="95"/>
          <w:sz w:val="26"/>
        </w:rPr>
        <w:t>= </w:t>
      </w:r>
      <w:r>
        <w:rPr>
          <w:rFonts w:ascii="Arial" w:hAnsi="Arial"/>
          <w:b/>
          <w:w w:val="95"/>
          <w:sz w:val="19"/>
        </w:rPr>
        <w:t>az:nl </w:t>
      </w:r>
      <w:r>
        <w:rPr>
          <w:rFonts w:ascii="Arial" w:hAnsi="Arial"/>
          <w:w w:val="95"/>
          <w:sz w:val="31"/>
        </w:rPr>
        <w:t>+</w:t>
      </w:r>
      <w:r>
        <w:rPr>
          <w:rFonts w:ascii="Arial" w:hAnsi="Arial"/>
          <w:spacing w:val="-57"/>
          <w:w w:val="95"/>
          <w:sz w:val="31"/>
        </w:rPr>
        <w:t> </w:t>
      </w:r>
      <w:r>
        <w:rPr>
          <w:b/>
          <w:w w:val="95"/>
          <w:sz w:val="20"/>
        </w:rPr>
        <w:t>llw:-1 </w:t>
      </w:r>
      <w:r>
        <w:rPr>
          <w:w w:val="95"/>
          <w:sz w:val="20"/>
        </w:rPr>
        <w:t>- </w:t>
      </w:r>
      <w:r>
        <w:rPr>
          <w:rFonts w:ascii="Arial" w:hAnsi="Arial"/>
          <w:b/>
          <w:w w:val="95"/>
          <w:sz w:val="18"/>
        </w:rPr>
        <w:t>aq:ñJ</w:t>
      </w:r>
      <w:r>
        <w:rPr>
          <w:b/>
          <w:w w:val="95"/>
          <w:sz w:val="17"/>
        </w:rPr>
        <w:t>:;;J</w:t>
      </w:r>
    </w:p>
    <w:p>
      <w:pPr>
        <w:tabs>
          <w:tab w:pos="2990" w:val="left" w:leader="none"/>
          <w:tab w:pos="4415" w:val="left" w:leader="none"/>
        </w:tabs>
        <w:spacing w:before="38"/>
        <w:ind w:left="1878" w:right="0" w:firstLine="0"/>
        <w:jc w:val="left"/>
        <w:rPr>
          <w:i/>
          <w:sz w:val="21"/>
        </w:rPr>
      </w:pPr>
      <w:r>
        <w:rPr>
          <w:w w:val="110"/>
          <w:sz w:val="26"/>
        </w:rPr>
        <w:t>=</w:t>
      </w:r>
      <w:r>
        <w:rPr>
          <w:spacing w:val="5"/>
          <w:w w:val="110"/>
          <w:sz w:val="26"/>
        </w:rPr>
        <w:t> </w:t>
      </w:r>
      <w:r>
        <w:rPr>
          <w:rFonts w:ascii="Arial" w:hAnsi="Arial"/>
          <w:w w:val="105"/>
          <w:sz w:val="18"/>
        </w:rPr>
        <w:t>az:ñl</w:t>
      </w:r>
      <w:r>
        <w:rPr>
          <w:rFonts w:ascii="Arial" w:hAnsi="Arial"/>
          <w:spacing w:val="11"/>
          <w:w w:val="105"/>
          <w:sz w:val="18"/>
        </w:rPr>
        <w:t> </w:t>
      </w:r>
      <w:r>
        <w:rPr>
          <w:w w:val="110"/>
          <w:sz w:val="29"/>
        </w:rPr>
        <w:t>+</w:t>
        <w:tab/>
      </w:r>
      <w:r>
        <w:rPr>
          <w:b/>
          <w:w w:val="75"/>
          <w:sz w:val="25"/>
        </w:rPr>
        <w:t>=-1  </w:t>
      </w:r>
      <w:r>
        <w:rPr>
          <w:w w:val="190"/>
          <w:sz w:val="25"/>
        </w:rPr>
        <w:t>-</w:t>
      </w:r>
      <w:r>
        <w:rPr>
          <w:spacing w:val="-76"/>
          <w:w w:val="190"/>
          <w:sz w:val="25"/>
        </w:rPr>
        <w:t> </w:t>
      </w:r>
      <w:r>
        <w:rPr>
          <w:rFonts w:ascii="Arial" w:hAnsi="Arial"/>
          <w:b/>
          <w:w w:val="110"/>
          <w:sz w:val="22"/>
        </w:rPr>
        <w:t>ª-:-i</w:t>
      </w:r>
      <w:r>
        <w:rPr>
          <w:rFonts w:ascii="Arial" w:hAnsi="Arial"/>
          <w:b/>
          <w:spacing w:val="-21"/>
          <w:w w:val="110"/>
          <w:sz w:val="22"/>
        </w:rPr>
        <w:t> </w:t>
      </w:r>
      <w:r>
        <w:rPr>
          <w:rFonts w:ascii="Arial" w:hAnsi="Arial"/>
          <w:b/>
          <w:w w:val="110"/>
          <w:sz w:val="22"/>
        </w:rPr>
        <w:t>,</w:t>
        <w:tab/>
      </w:r>
      <w:r>
        <w:rPr>
          <w:i/>
          <w:w w:val="110"/>
          <w:position w:val="3"/>
          <w:sz w:val="21"/>
        </w:rPr>
        <w:t>m </w:t>
      </w:r>
      <w:r>
        <w:rPr>
          <w:w w:val="110"/>
          <w:position w:val="3"/>
          <w:sz w:val="24"/>
        </w:rPr>
        <w:t>&lt;</w:t>
      </w:r>
      <w:r>
        <w:rPr>
          <w:spacing w:val="54"/>
          <w:w w:val="110"/>
          <w:position w:val="3"/>
          <w:sz w:val="24"/>
        </w:rPr>
        <w:t> </w:t>
      </w:r>
      <w:r>
        <w:rPr>
          <w:i/>
          <w:w w:val="110"/>
          <w:position w:val="3"/>
          <w:sz w:val="21"/>
        </w:rPr>
        <w:t>n.</w:t>
      </w:r>
    </w:p>
    <w:p>
      <w:pPr>
        <w:numPr>
          <w:ilvl w:val="0"/>
          <w:numId w:val="97"/>
        </w:numPr>
        <w:tabs>
          <w:tab w:pos="359" w:val="left" w:leader="none"/>
        </w:tabs>
        <w:spacing w:before="110"/>
        <w:ind w:left="358" w:right="0" w:hanging="212"/>
        <w:jc w:val="both"/>
        <w:rPr>
          <w:b/>
          <w:sz w:val="20"/>
        </w:rPr>
      </w:pPr>
      <w:r>
        <w:rPr>
          <w:b/>
          <w:w w:val="120"/>
          <w:sz w:val="20"/>
        </w:rPr>
        <w:t>The</w:t>
      </w:r>
      <w:r>
        <w:rPr>
          <w:b/>
          <w:spacing w:val="-25"/>
          <w:w w:val="120"/>
          <w:sz w:val="20"/>
        </w:rPr>
        <w:t> </w:t>
      </w:r>
      <w:r>
        <w:rPr>
          <w:b/>
          <w:w w:val="120"/>
          <w:sz w:val="20"/>
        </w:rPr>
        <w:t>general</w:t>
      </w:r>
      <w:r>
        <w:rPr>
          <w:b/>
          <w:spacing w:val="-10"/>
          <w:w w:val="120"/>
          <w:sz w:val="20"/>
        </w:rPr>
        <w:t> </w:t>
      </w:r>
      <w:r>
        <w:rPr>
          <w:b/>
          <w:w w:val="120"/>
          <w:sz w:val="20"/>
        </w:rPr>
        <w:t>multi-life</w:t>
      </w:r>
      <w:r>
        <w:rPr>
          <w:b/>
          <w:spacing w:val="-22"/>
          <w:w w:val="120"/>
          <w:sz w:val="20"/>
        </w:rPr>
        <w:t> </w:t>
      </w:r>
      <w:r>
        <w:rPr>
          <w:b/>
          <w:w w:val="120"/>
          <w:sz w:val="20"/>
        </w:rPr>
        <w:t>status</w:t>
      </w:r>
    </w:p>
    <w:p>
      <w:pPr>
        <w:pStyle w:val="BodyText"/>
        <w:spacing w:line="252" w:lineRule="auto" w:before="90"/>
        <w:ind w:left="142" w:right="109" w:firstLine="194"/>
        <w:rPr>
          <w:rFonts w:ascii="Arial" w:hAnsi="Arial"/>
          <w:i/>
          <w:sz w:val="18"/>
        </w:rPr>
      </w:pPr>
      <w:r>
        <w:rPr>
          <w:w w:val="105"/>
        </w:rPr>
        <w:t>The joint-life status and the last-survivor status may be  re­  garded  as special  cases  of  a general  multi-life  status.  Let  the </w:t>
      </w:r>
      <w:r>
        <w:rPr>
          <w:spacing w:val="13"/>
          <w:w w:val="105"/>
        </w:rPr>
        <w:t> </w:t>
      </w:r>
      <w:r>
        <w:rPr>
          <w:rFonts w:ascii="Arial" w:hAnsi="Arial"/>
          <w:i/>
          <w:w w:val="105"/>
          <w:sz w:val="18"/>
        </w:rPr>
        <w:t>m</w:t>
      </w:r>
    </w:p>
    <w:p>
      <w:pPr>
        <w:pStyle w:val="BodyText"/>
        <w:spacing w:line="238" w:lineRule="exact"/>
        <w:ind w:left="135" w:right="116" w:firstLine="7"/>
        <w:jc w:val="both"/>
      </w:pPr>
      <w:r>
        <w:rPr>
          <w:w w:val="110"/>
        </w:rPr>
        <w:t>lives, (xi), (x2), </w:t>
      </w:r>
      <w:r>
        <w:rPr>
          <w:spacing w:val="4"/>
          <w:w w:val="115"/>
        </w:rPr>
        <w:t>··· </w:t>
      </w:r>
      <w:r>
        <w:rPr>
          <w:w w:val="110"/>
        </w:rPr>
        <w:t>,  </w:t>
      </w:r>
      <w:r>
        <w:rPr>
          <w:rFonts w:ascii="Arial" w:hAnsi="Arial"/>
          <w:i/>
          <w:spacing w:val="-6"/>
          <w:w w:val="115"/>
        </w:rPr>
        <w:t>(x.),  </w:t>
      </w:r>
      <w:r>
        <w:rPr>
          <w:w w:val="110"/>
        </w:rPr>
        <w:t>comprise  a  status which  is  defined as</w:t>
      </w:r>
      <w:r>
        <w:rPr>
          <w:spacing w:val="-22"/>
          <w:w w:val="110"/>
        </w:rPr>
        <w:t> </w:t>
      </w:r>
      <w:r>
        <w:rPr>
          <w:w w:val="110"/>
        </w:rPr>
        <w:t>surviving</w:t>
      </w:r>
      <w:r>
        <w:rPr>
          <w:spacing w:val="-7"/>
          <w:w w:val="110"/>
        </w:rPr>
        <w:t> </w:t>
      </w:r>
      <w:r>
        <w:rPr>
          <w:w w:val="110"/>
        </w:rPr>
        <w:t>as</w:t>
      </w:r>
      <w:r>
        <w:rPr>
          <w:spacing w:val="-22"/>
          <w:w w:val="110"/>
        </w:rPr>
        <w:t> </w:t>
      </w:r>
      <w:r>
        <w:rPr>
          <w:w w:val="110"/>
        </w:rPr>
        <w:t>long</w:t>
      </w:r>
      <w:r>
        <w:rPr>
          <w:spacing w:val="-5"/>
          <w:w w:val="110"/>
        </w:rPr>
        <w:t> </w:t>
      </w:r>
      <w:r>
        <w:rPr>
          <w:w w:val="110"/>
        </w:rPr>
        <w:t>as</w:t>
      </w:r>
      <w:r>
        <w:rPr>
          <w:spacing w:val="-15"/>
          <w:w w:val="110"/>
        </w:rPr>
        <w:t> </w:t>
      </w:r>
      <w:r>
        <w:rPr>
          <w:w w:val="110"/>
        </w:rPr>
        <w:t>at</w:t>
      </w:r>
      <w:r>
        <w:rPr>
          <w:spacing w:val="-15"/>
          <w:w w:val="110"/>
        </w:rPr>
        <w:t> </w:t>
      </w:r>
      <w:r>
        <w:rPr>
          <w:w w:val="110"/>
        </w:rPr>
        <w:t>least</w:t>
      </w:r>
      <w:r>
        <w:rPr>
          <w:spacing w:val="-16"/>
          <w:w w:val="110"/>
        </w:rPr>
        <w:t> </w:t>
      </w:r>
      <w:r>
        <w:rPr>
          <w:i/>
          <w:w w:val="110"/>
          <w:sz w:val="22"/>
        </w:rPr>
        <w:t>r</w:t>
      </w:r>
      <w:r>
        <w:rPr>
          <w:i/>
          <w:spacing w:val="-14"/>
          <w:w w:val="110"/>
          <w:sz w:val="22"/>
        </w:rPr>
        <w:t> </w:t>
      </w:r>
      <w:r>
        <w:rPr>
          <w:w w:val="110"/>
        </w:rPr>
        <w:t>of</w:t>
      </w:r>
      <w:r>
        <w:rPr>
          <w:spacing w:val="1"/>
          <w:w w:val="110"/>
        </w:rPr>
        <w:t> </w:t>
      </w:r>
      <w:r>
        <w:rPr>
          <w:w w:val="110"/>
        </w:rPr>
        <w:t>the</w:t>
      </w:r>
      <w:r>
        <w:rPr>
          <w:spacing w:val="-8"/>
          <w:w w:val="110"/>
        </w:rPr>
        <w:t> </w:t>
      </w:r>
      <w:r>
        <w:rPr>
          <w:w w:val="110"/>
        </w:rPr>
        <w:t>individual</w:t>
      </w:r>
      <w:r>
        <w:rPr>
          <w:spacing w:val="-2"/>
          <w:w w:val="110"/>
        </w:rPr>
        <w:t> </w:t>
      </w:r>
      <w:r>
        <w:rPr>
          <w:w w:val="110"/>
        </w:rPr>
        <w:t>lives</w:t>
      </w:r>
      <w:r>
        <w:rPr>
          <w:spacing w:val="-14"/>
          <w:w w:val="110"/>
        </w:rPr>
        <w:t> </w:t>
      </w:r>
      <w:r>
        <w:rPr>
          <w:w w:val="110"/>
        </w:rPr>
        <w:t>survive</w:t>
      </w:r>
      <w:r>
        <w:rPr>
          <w:spacing w:val="-8"/>
          <w:w w:val="110"/>
        </w:rPr>
        <w:t> </w:t>
      </w:r>
      <w:r>
        <w:rPr>
          <w:w w:val="110"/>
        </w:rPr>
        <w:t>and</w:t>
      </w:r>
    </w:p>
    <w:p>
      <w:pPr>
        <w:pStyle w:val="BodyText"/>
        <w:spacing w:line="254" w:lineRule="exact"/>
        <w:ind w:left="135"/>
        <w:jc w:val="both"/>
      </w:pPr>
      <w:r>
        <w:rPr>
          <w:w w:val="110"/>
        </w:rPr>
        <w:t>which therefore fails upon the occurrence of the  (m </w:t>
      </w:r>
      <w:r>
        <w:rPr>
          <w:w w:val="255"/>
        </w:rPr>
        <w:t>- </w:t>
      </w:r>
      <w:r>
        <w:rPr>
          <w:i/>
          <w:w w:val="110"/>
          <w:sz w:val="21"/>
        </w:rPr>
        <w:t>r </w:t>
      </w:r>
      <w:r>
        <w:rPr>
          <w:rFonts w:ascii="Arial"/>
          <w:w w:val="110"/>
          <w:sz w:val="33"/>
        </w:rPr>
        <w:t>+</w:t>
      </w:r>
      <w:r>
        <w:rPr>
          <w:rFonts w:ascii="Arial"/>
          <w:spacing w:val="-61"/>
          <w:w w:val="110"/>
          <w:sz w:val="33"/>
        </w:rPr>
        <w:t> </w:t>
      </w:r>
      <w:r>
        <w:rPr>
          <w:spacing w:val="-5"/>
          <w:w w:val="110"/>
        </w:rPr>
        <w:t>1)-th</w:t>
      </w:r>
    </w:p>
    <w:p>
      <w:pPr>
        <w:spacing w:line="194" w:lineRule="exact" w:before="0" w:after="19"/>
        <w:ind w:left="5517" w:right="0" w:firstLine="0"/>
        <w:jc w:val="left"/>
        <w:rPr>
          <w:rFonts w:ascii="Arial"/>
          <w:b/>
          <w:i/>
          <w:sz w:val="18"/>
        </w:rPr>
      </w:pPr>
      <w:r>
        <w:rPr>
          <w:rFonts w:ascii="Arial"/>
          <w:b/>
          <w:i/>
          <w:w w:val="92"/>
          <w:sz w:val="18"/>
        </w:rPr>
        <w:t>r</w:t>
      </w:r>
    </w:p>
    <w:p>
      <w:pPr>
        <w:pStyle w:val="BodyText"/>
        <w:spacing w:line="20" w:lineRule="exact"/>
        <w:ind w:left="4790"/>
        <w:rPr>
          <w:rFonts w:ascii="Arial"/>
          <w:sz w:val="2"/>
        </w:rPr>
      </w:pPr>
      <w:r>
        <w:rPr>
          <w:rFonts w:ascii="Arial"/>
          <w:sz w:val="2"/>
        </w:rPr>
        <w:pict>
          <v:group style="width:45.95pt;height:.75pt;mso-position-horizontal-relative:char;mso-position-vertical-relative:line" coordorigin="0,0" coordsize="919,15">
            <v:line style="position:absolute" from="8,7" to="911,7" stroked="true" strokeweight=".72pt" strokecolor="#000000"/>
          </v:group>
        </w:pict>
      </w:r>
      <w:r>
        <w:rPr>
          <w:rFonts w:ascii="Arial"/>
          <w:sz w:val="2"/>
        </w:rPr>
      </w:r>
    </w:p>
    <w:p>
      <w:pPr>
        <w:pStyle w:val="BodyText"/>
        <w:spacing w:line="228" w:lineRule="auto"/>
        <w:ind w:left="135" w:right="119" w:firstLine="3"/>
        <w:jc w:val="both"/>
      </w:pPr>
      <w:r>
        <w:rPr/>
        <w:t>death. This general status is denoted by the symbol (x</w:t>
      </w:r>
      <w:r>
        <w:rPr>
          <w:position w:val="-2"/>
          <w:sz w:val="13"/>
        </w:rPr>
        <w:t>1</w:t>
      </w:r>
      <w:r>
        <w:rPr>
          <w:sz w:val="18"/>
        </w:rPr>
        <w:t>Z2 • • • </w:t>
      </w:r>
      <w:r>
        <w:rPr>
          <w:b/>
          <w:i/>
          <w:sz w:val="17"/>
        </w:rPr>
        <w:t>Xm ) . </w:t>
      </w:r>
      <w:r>
        <w:rPr/>
        <w:t>When </w:t>
      </w:r>
      <w:r>
        <w:rPr>
          <w:i/>
        </w:rPr>
        <w:t>r </w:t>
      </w:r>
      <w:r>
        <w:rPr/>
        <w:t>equals </w:t>
      </w:r>
      <w:r>
        <w:rPr>
          <w:i/>
        </w:rPr>
        <w:t>m,  </w:t>
      </w:r>
      <w:r>
        <w:rPr/>
        <w:t>this  reduces  </w:t>
      </w:r>
      <w:r>
        <w:rPr>
          <w:sz w:val="22"/>
        </w:rPr>
        <w:t>to  </w:t>
      </w:r>
      <w:r>
        <w:rPr/>
        <w:t>the  joint-life  status;  when  </w:t>
      </w:r>
      <w:r>
        <w:rPr>
          <w:i/>
        </w:rPr>
        <w:t>r </w:t>
      </w:r>
      <w:r>
        <w:rPr/>
        <w:t>equals  1, a  last-survivor   status  is defined.</w:t>
      </w:r>
    </w:p>
    <w:p>
      <w:pPr>
        <w:spacing w:line="253" w:lineRule="exact" w:before="56"/>
        <w:ind w:left="291" w:right="79" w:firstLine="0"/>
        <w:jc w:val="center"/>
        <w:rPr>
          <w:sz w:val="20"/>
        </w:rPr>
      </w:pPr>
      <w:r>
        <w:rPr/>
        <w:pict>
          <v:line style="position:absolute;mso-position-horizontal-relative:page;mso-position-vertical-relative:paragraph;z-index:-719080" from="107.099998pt,13.21593pt" to="128.879998pt,13.21593pt" stroked="true" strokeweight="2.16pt" strokecolor="#000000">
            <w10:wrap type="none"/>
          </v:line>
        </w:pict>
      </w:r>
      <w:r>
        <w:rPr>
          <w:w w:val="111"/>
          <w:sz w:val="20"/>
        </w:rPr>
        <w:t>The</w:t>
      </w:r>
      <w:r>
        <w:rPr>
          <w:sz w:val="20"/>
        </w:rPr>
        <w:t> </w:t>
      </w:r>
      <w:r>
        <w:rPr>
          <w:spacing w:val="-9"/>
          <w:sz w:val="20"/>
        </w:rPr>
        <w:t> </w:t>
      </w:r>
      <w:r>
        <w:rPr>
          <w:w w:val="103"/>
          <w:sz w:val="20"/>
        </w:rPr>
        <w:t>symbol</w:t>
      </w:r>
      <w:r>
        <w:rPr>
          <w:sz w:val="20"/>
        </w:rPr>
        <w:t> </w:t>
      </w:r>
      <w:r>
        <w:rPr>
          <w:spacing w:val="-3"/>
          <w:sz w:val="20"/>
        </w:rPr>
        <w:t> </w:t>
      </w:r>
      <w:r>
        <w:rPr>
          <w:b/>
          <w:w w:val="78"/>
          <w:sz w:val="20"/>
        </w:rPr>
        <w:t>nP</w:t>
      </w:r>
      <w:r>
        <w:rPr>
          <w:b/>
          <w:spacing w:val="12"/>
          <w:w w:val="78"/>
          <w:sz w:val="20"/>
        </w:rPr>
        <w:t>z</w:t>
      </w:r>
      <w:r>
        <w:rPr>
          <w:b/>
          <w:spacing w:val="-1"/>
          <w:w w:val="109"/>
          <w:position w:val="-4"/>
          <w:sz w:val="10"/>
        </w:rPr>
        <w:t>1</w:t>
      </w:r>
      <w:r>
        <w:rPr>
          <w:b/>
          <w:spacing w:val="4"/>
          <w:w w:val="75"/>
          <w:sz w:val="20"/>
        </w:rPr>
        <w:t>z</w:t>
      </w:r>
      <w:r>
        <w:rPr>
          <w:b/>
          <w:w w:val="63"/>
          <w:position w:val="-4"/>
          <w:sz w:val="20"/>
        </w:rPr>
        <w:t>1</w:t>
      </w:r>
      <w:r>
        <w:rPr>
          <w:b/>
          <w:spacing w:val="-34"/>
          <w:position w:val="-4"/>
          <w:sz w:val="20"/>
        </w:rPr>
        <w:t> </w:t>
      </w:r>
      <w:r>
        <w:rPr>
          <w:b/>
          <w:w w:val="86"/>
          <w:sz w:val="20"/>
        </w:rPr>
        <w:t>.</w:t>
      </w:r>
      <w:r>
        <w:rPr>
          <w:b/>
          <w:spacing w:val="-25"/>
          <w:sz w:val="20"/>
        </w:rPr>
        <w:t> </w:t>
      </w:r>
      <w:r>
        <w:rPr>
          <w:b/>
          <w:w w:val="111"/>
          <w:sz w:val="20"/>
        </w:rPr>
        <w:t>.</w:t>
      </w:r>
      <w:r>
        <w:rPr>
          <w:b/>
          <w:spacing w:val="-11"/>
          <w:w w:val="111"/>
          <w:sz w:val="20"/>
        </w:rPr>
        <w:t>.</w:t>
      </w:r>
      <w:r>
        <w:rPr>
          <w:b/>
          <w:spacing w:val="-68"/>
          <w:w w:val="229"/>
          <w:sz w:val="20"/>
        </w:rPr>
        <w:t>:</w:t>
      </w:r>
      <w:r>
        <w:rPr>
          <w:b/>
          <w:w w:val="63"/>
          <w:sz w:val="20"/>
        </w:rPr>
        <w:t>...</w:t>
      </w:r>
      <w:r>
        <w:rPr>
          <w:b/>
          <w:sz w:val="20"/>
        </w:rPr>
        <w:t> </w:t>
      </w:r>
      <w:r>
        <w:rPr>
          <w:b/>
          <w:spacing w:val="-4"/>
          <w:sz w:val="20"/>
        </w:rPr>
        <w:t> </w:t>
      </w:r>
      <w:r>
        <w:rPr>
          <w:w w:val="105"/>
          <w:sz w:val="20"/>
        </w:rPr>
        <w:t>denotes</w:t>
      </w:r>
      <w:r>
        <w:rPr>
          <w:sz w:val="20"/>
        </w:rPr>
        <w:t> </w:t>
      </w:r>
      <w:r>
        <w:rPr>
          <w:spacing w:val="-6"/>
          <w:sz w:val="20"/>
        </w:rPr>
        <w:t> </w:t>
      </w:r>
      <w:r>
        <w:rPr>
          <w:w w:val="111"/>
          <w:sz w:val="20"/>
        </w:rPr>
        <w:t>the</w:t>
      </w:r>
      <w:r>
        <w:rPr>
          <w:sz w:val="20"/>
        </w:rPr>
        <w:t> </w:t>
      </w:r>
      <w:r>
        <w:rPr>
          <w:spacing w:val="-7"/>
          <w:sz w:val="20"/>
        </w:rPr>
        <w:t> </w:t>
      </w:r>
      <w:r>
        <w:rPr>
          <w:w w:val="106"/>
          <w:sz w:val="20"/>
        </w:rPr>
        <w:t>probability</w:t>
      </w:r>
      <w:r>
        <w:rPr>
          <w:sz w:val="20"/>
        </w:rPr>
        <w:t> </w:t>
      </w:r>
      <w:r>
        <w:rPr>
          <w:spacing w:val="16"/>
          <w:sz w:val="20"/>
        </w:rPr>
        <w:t> </w:t>
      </w:r>
      <w:r>
        <w:rPr>
          <w:w w:val="118"/>
          <w:sz w:val="20"/>
        </w:rPr>
        <w:t>that</w:t>
      </w:r>
      <w:r>
        <w:rPr>
          <w:sz w:val="20"/>
        </w:rPr>
        <w:t> </w:t>
      </w:r>
      <w:r>
        <w:rPr>
          <w:spacing w:val="-14"/>
          <w:sz w:val="20"/>
        </w:rPr>
        <w:t> </w:t>
      </w:r>
      <w:r>
        <w:rPr>
          <w:w w:val="108"/>
          <w:sz w:val="20"/>
        </w:rPr>
        <w:t>the</w:t>
      </w:r>
      <w:r>
        <w:rPr>
          <w:sz w:val="20"/>
        </w:rPr>
        <w:t> </w:t>
      </w:r>
      <w:r>
        <w:rPr>
          <w:spacing w:val="-10"/>
          <w:sz w:val="20"/>
        </w:rPr>
        <w:t> </w:t>
      </w:r>
      <w:r>
        <w:rPr>
          <w:w w:val="114"/>
          <w:sz w:val="20"/>
        </w:rPr>
        <w:t>status</w:t>
      </w:r>
    </w:p>
    <w:p>
      <w:pPr>
        <w:spacing w:line="180" w:lineRule="exact" w:before="0"/>
        <w:ind w:left="960" w:right="0" w:firstLine="0"/>
        <w:jc w:val="left"/>
        <w:rPr>
          <w:rFonts w:ascii="Arial"/>
          <w:b/>
          <w:i/>
          <w:sz w:val="18"/>
        </w:rPr>
      </w:pPr>
      <w:r>
        <w:rPr>
          <w:rFonts w:ascii="Arial"/>
          <w:b/>
          <w:i/>
          <w:w w:val="97"/>
          <w:sz w:val="18"/>
        </w:rPr>
        <w:t>r</w:t>
      </w:r>
    </w:p>
    <w:p>
      <w:pPr>
        <w:pStyle w:val="BodyText"/>
        <w:spacing w:line="220" w:lineRule="auto" w:before="27"/>
        <w:ind w:left="132" w:right="134" w:firstLine="39"/>
        <w:jc w:val="both"/>
      </w:pPr>
      <w:r>
        <w:rPr>
          <w:spacing w:val="-9"/>
          <w:w w:val="105"/>
        </w:rPr>
        <w:t>(x</w:t>
      </w:r>
      <w:r>
        <w:rPr>
          <w:spacing w:val="-9"/>
          <w:w w:val="105"/>
          <w:position w:val="-2"/>
          <w:sz w:val="13"/>
        </w:rPr>
        <w:t>1</w:t>
      </w:r>
      <w:r>
        <w:rPr>
          <w:spacing w:val="-9"/>
          <w:w w:val="105"/>
          <w:sz w:val="18"/>
        </w:rPr>
        <w:t>Z2 </w:t>
      </w:r>
      <w:r>
        <w:rPr>
          <w:sz w:val="18"/>
        </w:rPr>
        <w:t>• </w:t>
      </w:r>
      <w:r>
        <w:rPr>
          <w:w w:val="105"/>
          <w:sz w:val="18"/>
        </w:rPr>
        <w:t>• </w:t>
      </w:r>
      <w:r>
        <w:rPr>
          <w:sz w:val="18"/>
        </w:rPr>
        <w:t>• </w:t>
      </w:r>
      <w:r>
        <w:rPr>
          <w:spacing w:val="-6"/>
          <w:w w:val="105"/>
        </w:rPr>
        <w:t>x..) </w:t>
      </w:r>
      <w:r>
        <w:rPr>
          <w:w w:val="105"/>
        </w:rPr>
        <w:t>will survive for </w:t>
      </w:r>
      <w:r>
        <w:rPr>
          <w:rFonts w:ascii="Arial" w:hAnsi="Arial"/>
          <w:i/>
          <w:w w:val="105"/>
          <w:sz w:val="18"/>
        </w:rPr>
        <w:t>n </w:t>
      </w:r>
      <w:r>
        <w:rPr>
          <w:w w:val="105"/>
        </w:rPr>
        <w:t>years, that is, that at least </w:t>
      </w:r>
      <w:r>
        <w:rPr>
          <w:rFonts w:ascii="Arial" w:hAnsi="Arial"/>
          <w:i/>
          <w:w w:val="105"/>
          <w:sz w:val="18"/>
        </w:rPr>
        <w:t>r </w:t>
      </w:r>
      <w:r>
        <w:rPr>
          <w:w w:val="105"/>
        </w:rPr>
        <w:t>out of  the original </w:t>
      </w:r>
      <w:r>
        <w:rPr>
          <w:i/>
          <w:w w:val="105"/>
          <w:sz w:val="21"/>
        </w:rPr>
        <w:t>m </w:t>
      </w:r>
      <w:r>
        <w:rPr>
          <w:w w:val="105"/>
        </w:rPr>
        <w:t>lives will still be </w:t>
      </w:r>
      <w:r>
        <w:rPr>
          <w:rFonts w:ascii="Arial" w:hAnsi="Arial"/>
          <w:w w:val="105"/>
        </w:rPr>
        <w:t>in </w:t>
      </w:r>
      <w:r>
        <w:rPr>
          <w:w w:val="105"/>
        </w:rPr>
        <w:t>existence </w:t>
      </w:r>
      <w:r>
        <w:rPr>
          <w:i/>
          <w:w w:val="105"/>
          <w:sz w:val="21"/>
        </w:rPr>
        <w:t>n </w:t>
      </w:r>
      <w:r>
        <w:rPr>
          <w:w w:val="105"/>
        </w:rPr>
        <w:t>years hence. </w:t>
      </w:r>
      <w:r>
        <w:rPr>
          <w:w w:val="105"/>
          <w:sz w:val="22"/>
        </w:rPr>
        <w:t>In </w:t>
      </w:r>
      <w:r>
        <w:rPr>
          <w:w w:val="105"/>
        </w:rPr>
        <w:t>order </w:t>
      </w:r>
      <w:r>
        <w:rPr>
          <w:w w:val="105"/>
          <w:sz w:val="22"/>
        </w:rPr>
        <w:t>to </w:t>
      </w:r>
      <w:r>
        <w:rPr>
          <w:w w:val="105"/>
        </w:rPr>
        <w:t>evaluate this function, it is first necessary </w:t>
      </w:r>
      <w:r>
        <w:rPr>
          <w:w w:val="105"/>
          <w:sz w:val="22"/>
        </w:rPr>
        <w:t>to </w:t>
      </w:r>
      <w:r>
        <w:rPr>
          <w:w w:val="105"/>
        </w:rPr>
        <w:t>find an expression for the probability  that </w:t>
      </w:r>
      <w:r>
        <w:rPr>
          <w:i/>
          <w:w w:val="105"/>
          <w:sz w:val="22"/>
        </w:rPr>
        <w:t>exacay </w:t>
      </w:r>
      <w:r>
        <w:rPr>
          <w:i/>
          <w:w w:val="105"/>
          <w:sz w:val="21"/>
        </w:rPr>
        <w:t>r </w:t>
      </w:r>
      <w:r>
        <w:rPr>
          <w:w w:val="105"/>
        </w:rPr>
        <w:t>lives will be surviving at the  </w:t>
      </w:r>
      <w:r>
        <w:rPr>
          <w:spacing w:val="40"/>
          <w:w w:val="105"/>
        </w:rPr>
        <w:t> </w:t>
      </w:r>
      <w:r>
        <w:rPr>
          <w:w w:val="105"/>
        </w:rPr>
        <w:t>end</w:t>
      </w:r>
    </w:p>
    <w:p>
      <w:pPr>
        <w:spacing w:line="84" w:lineRule="exact" w:before="0"/>
        <w:ind w:left="98" w:right="375" w:firstLine="0"/>
        <w:jc w:val="center"/>
        <w:rPr>
          <w:sz w:val="12"/>
        </w:rPr>
      </w:pPr>
      <w:r>
        <w:rPr>
          <w:w w:val="150"/>
          <w:sz w:val="12"/>
        </w:rPr>
        <w:t>(r]</w:t>
      </w:r>
    </w:p>
    <w:p>
      <w:pPr>
        <w:spacing w:line="202" w:lineRule="exact" w:before="0"/>
        <w:ind w:left="132" w:right="0" w:firstLine="0"/>
        <w:jc w:val="both"/>
        <w:rPr>
          <w:rFonts w:ascii="Arial" w:hAnsi="Arial"/>
          <w:sz w:val="8"/>
        </w:rPr>
      </w:pPr>
      <w:r>
        <w:rPr>
          <w:b/>
          <w:sz w:val="22"/>
        </w:rPr>
        <w:t>of </w:t>
      </w:r>
      <w:r>
        <w:rPr>
          <w:b/>
          <w:i/>
          <w:sz w:val="21"/>
        </w:rPr>
        <w:t>n </w:t>
      </w:r>
      <w:r>
        <w:rPr>
          <w:b/>
          <w:sz w:val="20"/>
        </w:rPr>
        <w:t>years, </w:t>
      </w:r>
      <w:r>
        <w:rPr>
          <w:b/>
          <w:sz w:val="22"/>
        </w:rPr>
        <w:t>denoted </w:t>
      </w:r>
      <w:r>
        <w:rPr>
          <w:b/>
          <w:sz w:val="20"/>
        </w:rPr>
        <w:t>by </w:t>
      </w:r>
      <w:r>
        <w:rPr>
          <w:b/>
          <w:w w:val="85"/>
          <w:sz w:val="20"/>
          <w:u w:val="thick"/>
        </w:rPr>
        <w:t>,aPz1z1 </w:t>
      </w:r>
      <w:r>
        <w:rPr>
          <w:w w:val="85"/>
          <w:sz w:val="20"/>
        </w:rPr>
        <w:t>• • </w:t>
      </w:r>
      <w:r>
        <w:rPr>
          <w:rFonts w:ascii="Arial" w:hAnsi="Arial"/>
          <w:b/>
          <w:sz w:val="8"/>
        </w:rPr>
        <w:t>•S111 </w:t>
      </w:r>
      <w:r>
        <w:rPr>
          <w:rFonts w:ascii="Arial" w:hAnsi="Arial"/>
          <w:w w:val="130"/>
          <w:sz w:val="8"/>
        </w:rPr>
        <w:t>•</w:t>
      </w:r>
    </w:p>
    <w:p>
      <w:pPr>
        <w:spacing w:line="228" w:lineRule="auto" w:before="0"/>
        <w:ind w:left="124" w:right="113" w:firstLine="201"/>
        <w:jc w:val="left"/>
        <w:rPr>
          <w:sz w:val="20"/>
        </w:rPr>
      </w:pPr>
      <w:r>
        <w:rPr>
          <w:w w:val="105"/>
          <w:sz w:val="20"/>
        </w:rPr>
        <w:t>If the </w:t>
      </w:r>
      <w:r>
        <w:rPr>
          <w:i/>
          <w:w w:val="105"/>
          <w:sz w:val="22"/>
        </w:rPr>
        <w:t>m </w:t>
      </w:r>
      <w:r>
        <w:rPr>
          <w:w w:val="105"/>
          <w:sz w:val="20"/>
        </w:rPr>
        <w:t>lives are all of the same a.ge </w:t>
      </w:r>
      <w:r>
        <w:rPr>
          <w:i/>
          <w:w w:val="105"/>
          <w:sz w:val="22"/>
        </w:rPr>
        <w:t>x, </w:t>
      </w:r>
      <w:r>
        <w:rPr>
          <w:w w:val="105"/>
          <w:sz w:val="20"/>
        </w:rPr>
        <w:t>the probabi]ity that exactly </w:t>
      </w:r>
      <w:r>
        <w:rPr>
          <w:rFonts w:ascii="Arial"/>
          <w:i/>
          <w:w w:val="105"/>
          <w:sz w:val="18"/>
        </w:rPr>
        <w:t>r  </w:t>
      </w:r>
      <w:r>
        <w:rPr>
          <w:i/>
          <w:w w:val="105"/>
          <w:sz w:val="20"/>
        </w:rPr>
        <w:t>designat.ed  </w:t>
      </w:r>
      <w:r>
        <w:rPr>
          <w:w w:val="105"/>
          <w:sz w:val="20"/>
        </w:rPr>
        <w:t>lives </w:t>
      </w:r>
      <w:r>
        <w:rPr>
          <w:w w:val="105"/>
          <w:sz w:val="22"/>
        </w:rPr>
        <w:t>will </w:t>
      </w:r>
      <w:r>
        <w:rPr>
          <w:w w:val="105"/>
          <w:sz w:val="20"/>
        </w:rPr>
        <w:t>be surviving at the end of </w:t>
      </w:r>
      <w:r>
        <w:rPr>
          <w:rFonts w:ascii="Arial"/>
          <w:i/>
          <w:w w:val="105"/>
          <w:sz w:val="18"/>
        </w:rPr>
        <w:t>n   </w:t>
      </w:r>
      <w:r>
        <w:rPr>
          <w:w w:val="105"/>
          <w:sz w:val="20"/>
        </w:rPr>
        <w:t>years,</w:t>
      </w:r>
    </w:p>
    <w:p>
      <w:pPr>
        <w:pStyle w:val="BodyText"/>
        <w:spacing w:before="13"/>
        <w:ind w:left="124"/>
        <w:jc w:val="both"/>
      </w:pPr>
      <w:r>
        <w:rPr>
          <w:w w:val="115"/>
        </w:rPr>
        <w:t>the other </w:t>
      </w:r>
      <w:r>
        <w:rPr>
          <w:rFonts w:ascii="Arial"/>
          <w:i/>
          <w:w w:val="115"/>
          <w:sz w:val="18"/>
        </w:rPr>
        <w:t>m </w:t>
      </w:r>
      <w:r>
        <w:rPr>
          <w:rFonts w:ascii="Arial"/>
          <w:w w:val="265"/>
          <w:sz w:val="18"/>
        </w:rPr>
        <w:t>-</w:t>
      </w:r>
      <w:r>
        <w:rPr>
          <w:rFonts w:ascii="Arial"/>
          <w:spacing w:val="-94"/>
          <w:w w:val="265"/>
          <w:sz w:val="18"/>
        </w:rPr>
        <w:t> </w:t>
      </w:r>
      <w:r>
        <w:rPr>
          <w:rFonts w:ascii="Arial"/>
          <w:i/>
          <w:w w:val="115"/>
          <w:sz w:val="18"/>
        </w:rPr>
        <w:t>r </w:t>
      </w:r>
      <w:r>
        <w:rPr>
          <w:w w:val="115"/>
        </w:rPr>
        <w:t>being dead, is clearly</w:t>
      </w:r>
    </w:p>
    <w:p>
      <w:pPr>
        <w:spacing w:before="130"/>
        <w:ind w:left="98" w:right="59" w:firstLine="0"/>
        <w:jc w:val="center"/>
        <w:rPr>
          <w:sz w:val="20"/>
        </w:rPr>
      </w:pPr>
      <w:r>
        <w:rPr>
          <w:b/>
          <w:sz w:val="20"/>
        </w:rPr>
        <w:t>(,aps)" </w:t>
      </w:r>
      <w:r>
        <w:rPr>
          <w:rFonts w:ascii="Arial" w:hAnsi="Arial"/>
          <w:b/>
          <w:sz w:val="19"/>
        </w:rPr>
        <w:t>(1 </w:t>
      </w:r>
      <w:r>
        <w:rPr>
          <w:rFonts w:ascii="Arial" w:hAnsi="Arial"/>
          <w:w w:val="150"/>
          <w:sz w:val="19"/>
        </w:rPr>
        <w:t>-</w:t>
      </w:r>
      <w:r>
        <w:rPr>
          <w:rFonts w:ascii="Arial" w:hAnsi="Arial"/>
          <w:spacing w:val="-60"/>
          <w:w w:val="150"/>
          <w:sz w:val="19"/>
        </w:rPr>
        <w:t> </w:t>
      </w:r>
      <w:r>
        <w:rPr>
          <w:b/>
          <w:w w:val="120"/>
          <w:sz w:val="20"/>
        </w:rPr>
        <w:t>•Ps)</w:t>
      </w:r>
      <w:r>
        <w:rPr>
          <w:b/>
          <w:spacing w:val="-54"/>
          <w:w w:val="120"/>
          <w:sz w:val="20"/>
        </w:rPr>
        <w:t> </w:t>
      </w:r>
      <w:r>
        <w:rPr>
          <w:w w:val="120"/>
          <w:sz w:val="20"/>
        </w:rPr>
        <w:t>"'-r.</w:t>
      </w:r>
    </w:p>
    <w:p>
      <w:pPr>
        <w:pStyle w:val="BodyText"/>
        <w:spacing w:line="252" w:lineRule="auto" w:before="130"/>
        <w:ind w:left="121" w:right="121" w:firstLine="7"/>
        <w:jc w:val="both"/>
      </w:pPr>
      <w:r>
        <w:rPr>
          <w:w w:val="105"/>
        </w:rPr>
        <w:t>Now there are (:') ways of selecting a group of  </w:t>
      </w:r>
      <w:r>
        <w:rPr>
          <w:i/>
          <w:w w:val="105"/>
        </w:rPr>
        <w:t>r </w:t>
      </w:r>
      <w:r>
        <w:rPr>
          <w:w w:val="105"/>
        </w:rPr>
        <w:t>lives out of  </w:t>
      </w:r>
      <w:r>
        <w:rPr>
          <w:i/>
          <w:w w:val="105"/>
        </w:rPr>
        <w:t>m,  </w:t>
      </w:r>
      <w:r>
        <w:rPr>
          <w:w w:val="105"/>
        </w:rPr>
        <w:t>and the probability that </w:t>
      </w:r>
      <w:r>
        <w:rPr>
          <w:rFonts w:ascii="Arial" w:hAnsi="Arial"/>
          <w:i/>
          <w:w w:val="105"/>
          <w:sz w:val="18"/>
        </w:rPr>
        <w:t>any </w:t>
      </w:r>
      <w:r>
        <w:rPr>
          <w:w w:val="105"/>
        </w:rPr>
        <w:t>group of exactly </w:t>
      </w:r>
      <w:r>
        <w:rPr>
          <w:i/>
          <w:w w:val="105"/>
        </w:rPr>
        <w:t>r </w:t>
      </w:r>
      <w:r>
        <w:rPr>
          <w:w w:val="105"/>
        </w:rPr>
        <w:t>lives will be sur­ viving,  and  the others dead,</w:t>
      </w:r>
      <w:r>
        <w:rPr>
          <w:spacing w:val="36"/>
          <w:w w:val="105"/>
        </w:rPr>
        <w:t> </w:t>
      </w:r>
      <w:r>
        <w:rPr>
          <w:w w:val="105"/>
        </w:rPr>
        <w:t>is</w:t>
      </w:r>
    </w:p>
    <w:p>
      <w:pPr>
        <w:pStyle w:val="BodyText"/>
        <w:spacing w:before="97"/>
        <w:ind w:left="1528"/>
      </w:pPr>
      <w:r>
        <w:rPr>
          <w:position w:val="-4"/>
        </w:rPr>
        <w:drawing>
          <wp:inline distT="0" distB="0" distL="0" distR="0">
            <wp:extent cx="1856232" cy="192024"/>
            <wp:effectExtent l="0" t="0" r="0" b="0"/>
            <wp:docPr id="465" name="image238.png" descr=""/>
            <wp:cNvGraphicFramePr>
              <a:graphicFrameLocks noChangeAspect="1"/>
            </wp:cNvGraphicFramePr>
            <a:graphic>
              <a:graphicData uri="http://schemas.openxmlformats.org/drawingml/2006/picture">
                <pic:pic>
                  <pic:nvPicPr>
                    <pic:cNvPr id="466" name="image238.png"/>
                    <pic:cNvPicPr/>
                  </pic:nvPicPr>
                  <pic:blipFill>
                    <a:blip r:embed="rId242" cstate="print"/>
                    <a:stretch>
                      <a:fillRect/>
                    </a:stretch>
                  </pic:blipFill>
                  <pic:spPr>
                    <a:xfrm>
                      <a:off x="0" y="0"/>
                      <a:ext cx="1856232" cy="192024"/>
                    </a:xfrm>
                    <a:prstGeom prst="rect">
                      <a:avLst/>
                    </a:prstGeom>
                  </pic:spPr>
                </pic:pic>
              </a:graphicData>
            </a:graphic>
          </wp:inline>
        </w:drawing>
      </w:r>
      <w:r>
        <w:rPr>
          <w:position w:val="-4"/>
        </w:rPr>
      </w:r>
      <w:r>
        <w:rPr/>
        <w:t>                 </w:t>
      </w:r>
      <w:r>
        <w:rPr>
          <w:w w:val="105"/>
        </w:rPr>
        <w:t>(10.9)</w:t>
      </w:r>
    </w:p>
    <w:p>
      <w:pPr>
        <w:pStyle w:val="BodyText"/>
        <w:spacing w:line="204" w:lineRule="exact" w:before="100"/>
        <w:ind w:left="121"/>
        <w:rPr>
          <w:i/>
        </w:rPr>
      </w:pPr>
      <w:r>
        <w:rPr>
          <w:w w:val="110"/>
        </w:rPr>
        <w:t>Note  that  this  expression  is equivalent  </w:t>
      </w:r>
      <w:r>
        <w:rPr>
          <w:w w:val="110"/>
          <w:sz w:val="22"/>
        </w:rPr>
        <w:t>to </w:t>
      </w:r>
      <w:r>
        <w:rPr>
          <w:w w:val="110"/>
        </w:rPr>
        <w:t>the  coefficient  of </w:t>
      </w:r>
      <w:r>
        <w:rPr>
          <w:i/>
          <w:w w:val="110"/>
        </w:rPr>
        <w:t>(</w:t>
      </w:r>
    </w:p>
    <w:p>
      <w:pPr>
        <w:spacing w:line="299" w:lineRule="exact" w:before="0"/>
        <w:ind w:left="124" w:right="0" w:firstLine="0"/>
        <w:jc w:val="left"/>
        <w:rPr>
          <w:b/>
          <w:sz w:val="20"/>
        </w:rPr>
      </w:pPr>
      <w:r>
        <w:rPr>
          <w:rFonts w:ascii="Arial" w:hAnsi="Arial"/>
          <w:w w:val="105"/>
          <w:sz w:val="20"/>
        </w:rPr>
        <w:t>in </w:t>
      </w:r>
      <w:r>
        <w:rPr>
          <w:w w:val="105"/>
          <w:sz w:val="20"/>
        </w:rPr>
        <w:t>the binomial expansion of  </w:t>
      </w:r>
      <w:r>
        <w:rPr>
          <w:b/>
          <w:w w:val="105"/>
          <w:sz w:val="20"/>
        </w:rPr>
        <w:t>{,aps·t </w:t>
      </w:r>
      <w:r>
        <w:rPr>
          <w:rFonts w:ascii="Arial" w:hAnsi="Arial"/>
          <w:w w:val="105"/>
          <w:sz w:val="31"/>
        </w:rPr>
        <w:t>+ </w:t>
      </w:r>
      <w:r>
        <w:rPr>
          <w:b/>
          <w:w w:val="105"/>
          <w:sz w:val="20"/>
        </w:rPr>
        <w:t>,aqst'.</w:t>
      </w:r>
    </w:p>
    <w:p>
      <w:pPr>
        <w:pStyle w:val="BodyText"/>
        <w:spacing w:line="237" w:lineRule="auto"/>
        <w:ind w:left="110" w:right="109" w:firstLine="205"/>
        <w:jc w:val="both"/>
      </w:pPr>
      <w:r>
        <w:rPr>
          <w:w w:val="105"/>
        </w:rPr>
        <w:t>Suppose now that the </w:t>
      </w:r>
      <w:r>
        <w:rPr>
          <w:rFonts w:ascii="Arial" w:hAnsi="Arial"/>
          <w:i/>
          <w:w w:val="105"/>
          <w:sz w:val="18"/>
        </w:rPr>
        <w:t>m </w:t>
      </w:r>
      <w:r>
        <w:rPr>
          <w:w w:val="105"/>
        </w:rPr>
        <w:t>lives are not ali of the same age. The probability that exactly </w:t>
      </w:r>
      <w:r>
        <w:rPr>
          <w:i/>
          <w:w w:val="105"/>
          <w:sz w:val="21"/>
        </w:rPr>
        <w:t>r  </w:t>
      </w:r>
      <w:r>
        <w:rPr>
          <w:w w:val="105"/>
          <w:sz w:val="21"/>
        </w:rPr>
        <w:t>specified  </w:t>
      </w:r>
      <w:r>
        <w:rPr>
          <w:w w:val="105"/>
        </w:rPr>
        <w:t>lives,  (xi),  (x2), </w:t>
      </w:r>
      <w:r>
        <w:rPr>
          <w:w w:val="115"/>
        </w:rPr>
        <w:t>··· </w:t>
      </w:r>
      <w:r>
        <w:rPr>
          <w:w w:val="105"/>
        </w:rPr>
        <w:t>,  </w:t>
      </w:r>
      <w:r>
        <w:rPr>
          <w:rFonts w:ascii="Arial" w:hAnsi="Arial"/>
          <w:i/>
          <w:w w:val="105"/>
          <w:sz w:val="19"/>
        </w:rPr>
        <w:t>(xr </w:t>
      </w:r>
      <w:r>
        <w:rPr>
          <w:rFonts w:ascii="Arial" w:hAnsi="Arial"/>
          <w:w w:val="115"/>
          <w:sz w:val="19"/>
        </w:rPr>
        <w:t>),  </w:t>
      </w:r>
      <w:r>
        <w:rPr>
          <w:w w:val="105"/>
        </w:rPr>
        <w:t>will be surviving  at the end of  </w:t>
      </w:r>
      <w:r>
        <w:rPr>
          <w:i/>
          <w:w w:val="105"/>
          <w:sz w:val="21"/>
        </w:rPr>
        <w:t>n </w:t>
      </w:r>
      <w:r>
        <w:rPr>
          <w:w w:val="105"/>
        </w:rPr>
        <w:t>years and the others dead   </w:t>
      </w:r>
      <w:r>
        <w:rPr>
          <w:spacing w:val="25"/>
          <w:w w:val="105"/>
        </w:rPr>
        <w:t> </w:t>
      </w:r>
      <w:r>
        <w:rPr>
          <w:w w:val="105"/>
        </w:rPr>
        <w:t>is</w:t>
      </w:r>
    </w:p>
    <w:p>
      <w:pPr>
        <w:spacing w:after="0" w:line="237" w:lineRule="auto"/>
        <w:jc w:val="both"/>
        <w:sectPr>
          <w:pgSz w:w="7200" w:h="11340"/>
          <w:pgMar w:top="480" w:bottom="280" w:left="660" w:right="540"/>
        </w:sectPr>
      </w:pPr>
    </w:p>
    <w:p>
      <w:pPr>
        <w:spacing w:before="46"/>
        <w:ind w:left="161" w:right="0" w:firstLine="0"/>
        <w:jc w:val="both"/>
        <w:rPr>
          <w:rFonts w:ascii="Arial"/>
          <w:b/>
          <w:sz w:val="19"/>
        </w:rPr>
      </w:pPr>
      <w:r>
        <w:rPr>
          <w:rFonts w:ascii="Arial"/>
          <w:b/>
          <w:color w:val="010101"/>
          <w:sz w:val="19"/>
        </w:rPr>
        <w:t>218    </w:t>
      </w:r>
      <w:r>
        <w:rPr>
          <w:b/>
          <w:color w:val="010101"/>
          <w:sz w:val="15"/>
        </w:rPr>
        <w:t>LAST-SURVIVOR   AND  GENERAL  MULTI-LIFE  STATUSES      [CH.  </w:t>
      </w:r>
      <w:r>
        <w:rPr>
          <w:rFonts w:ascii="Arial"/>
          <w:b/>
          <w:color w:val="010101"/>
          <w:sz w:val="19"/>
        </w:rPr>
        <w:t>10</w:t>
      </w:r>
    </w:p>
    <w:p>
      <w:pPr>
        <w:pStyle w:val="BodyText"/>
        <w:spacing w:before="4"/>
        <w:rPr>
          <w:rFonts w:ascii="Arial"/>
          <w:b/>
          <w:sz w:val="23"/>
        </w:rPr>
      </w:pPr>
    </w:p>
    <w:p>
      <w:pPr>
        <w:spacing w:before="1"/>
        <w:ind w:left="33" w:right="0" w:firstLine="0"/>
        <w:jc w:val="center"/>
        <w:rPr>
          <w:b/>
          <w:sz w:val="20"/>
        </w:rPr>
      </w:pPr>
      <w:r>
        <w:rPr>
          <w:b/>
          <w:color w:val="010101"/>
          <w:w w:val="85"/>
          <w:sz w:val="20"/>
        </w:rPr>
        <w:t>nPz1 </w:t>
      </w:r>
      <w:r>
        <w:rPr>
          <w:b/>
          <w:color w:val="010101"/>
          <w:w w:val="70"/>
          <w:sz w:val="20"/>
        </w:rPr>
        <w:t>" </w:t>
      </w:r>
      <w:r>
        <w:rPr>
          <w:b/>
          <w:color w:val="010101"/>
          <w:w w:val="85"/>
          <w:sz w:val="20"/>
        </w:rPr>
        <w:t>,iP:r:1 </w:t>
      </w:r>
      <w:r>
        <w:rPr>
          <w:color w:val="010101"/>
          <w:w w:val="125"/>
          <w:sz w:val="20"/>
        </w:rPr>
        <w:t>··· </w:t>
      </w:r>
      <w:r>
        <w:rPr>
          <w:b/>
          <w:color w:val="010101"/>
          <w:w w:val="85"/>
          <w:sz w:val="20"/>
        </w:rPr>
        <w:t>nP:r, </w:t>
      </w:r>
      <w:r>
        <w:rPr>
          <w:b/>
          <w:color w:val="010101"/>
          <w:w w:val="110"/>
          <w:sz w:val="20"/>
        </w:rPr>
        <w:t>(1 </w:t>
      </w:r>
      <w:r>
        <w:rPr>
          <w:color w:val="010101"/>
          <w:w w:val="245"/>
          <w:sz w:val="20"/>
        </w:rPr>
        <w:t>-</w:t>
      </w:r>
      <w:r>
        <w:rPr>
          <w:color w:val="010101"/>
          <w:spacing w:val="-61"/>
          <w:w w:val="245"/>
          <w:sz w:val="20"/>
        </w:rPr>
        <w:t> </w:t>
      </w:r>
      <w:r>
        <w:rPr>
          <w:b/>
          <w:color w:val="010101"/>
          <w:w w:val="85"/>
          <w:sz w:val="20"/>
        </w:rPr>
        <w:t>nPzr+ l </w:t>
      </w:r>
      <w:r>
        <w:rPr>
          <w:b/>
          <w:color w:val="010101"/>
          <w:w w:val="110"/>
          <w:sz w:val="20"/>
        </w:rPr>
        <w:t>) </w:t>
      </w:r>
      <w:r>
        <w:rPr>
          <w:b/>
          <w:color w:val="010101"/>
          <w:w w:val="125"/>
          <w:sz w:val="20"/>
        </w:rPr>
        <w:t>(l </w:t>
      </w:r>
      <w:r>
        <w:rPr>
          <w:color w:val="010101"/>
          <w:w w:val="245"/>
          <w:sz w:val="20"/>
        </w:rPr>
        <w:t>-</w:t>
      </w:r>
      <w:r>
        <w:rPr>
          <w:color w:val="010101"/>
          <w:spacing w:val="-55"/>
          <w:w w:val="245"/>
          <w:sz w:val="20"/>
        </w:rPr>
        <w:t> </w:t>
      </w:r>
      <w:r>
        <w:rPr>
          <w:b/>
          <w:color w:val="010101"/>
          <w:w w:val="85"/>
          <w:sz w:val="20"/>
        </w:rPr>
        <w:t>nPzr+t </w:t>
      </w:r>
      <w:r>
        <w:rPr>
          <w:b/>
          <w:color w:val="010101"/>
          <w:w w:val="110"/>
          <w:sz w:val="20"/>
        </w:rPr>
        <w:t>) </w:t>
      </w:r>
      <w:r>
        <w:rPr>
          <w:color w:val="010101"/>
          <w:w w:val="125"/>
          <w:sz w:val="20"/>
        </w:rPr>
        <w:t>·'</w:t>
      </w:r>
      <w:r>
        <w:rPr>
          <w:color w:val="010101"/>
          <w:spacing w:val="6"/>
          <w:w w:val="125"/>
          <w:sz w:val="20"/>
        </w:rPr>
        <w:t> </w:t>
      </w:r>
      <w:r>
        <w:rPr>
          <w:color w:val="010101"/>
          <w:w w:val="125"/>
          <w:sz w:val="20"/>
        </w:rPr>
        <w:t>' </w:t>
      </w:r>
      <w:r>
        <w:rPr>
          <w:b/>
          <w:color w:val="010101"/>
          <w:w w:val="110"/>
          <w:sz w:val="20"/>
        </w:rPr>
        <w:t>(1 </w:t>
      </w:r>
      <w:r>
        <w:rPr>
          <w:color w:val="010101"/>
          <w:w w:val="245"/>
          <w:sz w:val="20"/>
        </w:rPr>
        <w:t>-</w:t>
      </w:r>
      <w:r>
        <w:rPr>
          <w:color w:val="010101"/>
          <w:spacing w:val="-59"/>
          <w:w w:val="245"/>
          <w:sz w:val="20"/>
        </w:rPr>
        <w:t> </w:t>
      </w:r>
      <w:r>
        <w:rPr>
          <w:b/>
          <w:color w:val="010101"/>
          <w:w w:val="85"/>
          <w:sz w:val="20"/>
        </w:rPr>
        <w:t>nP:a:,,J </w:t>
      </w:r>
      <w:r>
        <w:rPr>
          <w:b/>
          <w:color w:val="010101"/>
          <w:w w:val="110"/>
          <w:sz w:val="20"/>
        </w:rPr>
        <w:t>.</w:t>
      </w:r>
    </w:p>
    <w:p>
      <w:pPr>
        <w:pStyle w:val="BodyText"/>
        <w:spacing w:line="237" w:lineRule="auto" w:before="145"/>
        <w:ind w:left="150" w:right="115"/>
        <w:jc w:val="both"/>
      </w:pPr>
      <w:r>
        <w:rPr/>
        <w:pict>
          <v:line style="position:absolute;mso-position-horizontal-relative:page;mso-position-vertical-relative:paragraph;z-index:-719032" from="113.542603pt,17.525141pt" to="135.246603pt,17.525141pt" stroked="true" strokeweight="1.973094pt" strokecolor="#000000">
            <w10:wrap type="none"/>
          </v:line>
        </w:pict>
      </w:r>
      <w:r>
        <w:rPr>
          <w:color w:val="010101"/>
          <w:w w:val="109"/>
        </w:rPr>
        <w:t>The </w:t>
      </w:r>
      <w:r>
        <w:rPr>
          <w:color w:val="010101"/>
          <w:w w:val="105"/>
        </w:rPr>
        <w:t>probability </w:t>
      </w:r>
      <w:r>
        <w:rPr>
          <w:color w:val="010101"/>
          <w:w w:val="134"/>
          <w:sz w:val="13"/>
        </w:rPr>
        <w:t>nP:a:</w:t>
      </w:r>
      <w:r>
        <w:rPr>
          <w:color w:val="010101"/>
          <w:w w:val="134"/>
          <w:position w:val="-3"/>
          <w:sz w:val="10"/>
        </w:rPr>
        <w:t>1</w:t>
      </w:r>
      <w:r>
        <w:rPr>
          <w:color w:val="010101"/>
          <w:w w:val="134"/>
          <w:sz w:val="13"/>
        </w:rPr>
        <w:t>:a:</w:t>
      </w:r>
      <w:r>
        <w:rPr>
          <w:color w:val="010101"/>
          <w:w w:val="134"/>
          <w:position w:val="-3"/>
          <w:sz w:val="10"/>
        </w:rPr>
        <w:t>1</w:t>
      </w:r>
      <w:r>
        <w:rPr>
          <w:color w:val="010101"/>
          <w:w w:val="134"/>
          <w:sz w:val="10"/>
        </w:rPr>
        <w:t>... </w:t>
      </w:r>
      <w:r>
        <w:rPr>
          <w:rFonts w:ascii="Arial" w:hAnsi="Arial"/>
          <w:color w:val="010101"/>
          <w:w w:val="96"/>
        </w:rPr>
        <w:t>is </w:t>
      </w:r>
      <w:r>
        <w:rPr>
          <w:color w:val="010101"/>
          <w:w w:val="111"/>
        </w:rPr>
        <w:t>the </w:t>
      </w:r>
      <w:r>
        <w:rPr>
          <w:color w:val="010101"/>
          <w:w w:val="103"/>
        </w:rPr>
        <w:t>sum </w:t>
      </w:r>
      <w:r>
        <w:rPr>
          <w:color w:val="010101"/>
          <w:w w:val="87"/>
        </w:rPr>
        <w:t>of </w:t>
      </w:r>
      <w:r>
        <w:rPr>
          <w:color w:val="010101"/>
          <w:w w:val="105"/>
        </w:rPr>
        <w:t>all </w:t>
      </w:r>
      <w:r>
        <w:rPr>
          <w:color w:val="010101"/>
          <w:w w:val="102"/>
        </w:rPr>
        <w:t>such </w:t>
      </w:r>
      <w:r>
        <w:rPr>
          <w:color w:val="010101"/>
          <w:w w:val="99"/>
        </w:rPr>
        <w:t>expressions </w:t>
      </w:r>
      <w:r>
        <w:rPr>
          <w:color w:val="010101"/>
          <w:w w:val="100"/>
        </w:rPr>
        <w:t>con­ </w:t>
      </w:r>
      <w:r>
        <w:rPr>
          <w:color w:val="010101"/>
          <w:w w:val="105"/>
        </w:rPr>
        <w:t>taining exactly </w:t>
      </w:r>
      <w:r>
        <w:rPr>
          <w:rFonts w:ascii="Arial" w:hAnsi="Arial"/>
          <w:i/>
          <w:color w:val="010101"/>
          <w:w w:val="105"/>
          <w:sz w:val="18"/>
        </w:rPr>
        <w:t>r </w:t>
      </w:r>
      <w:r>
        <w:rPr>
          <w:color w:val="010101"/>
          <w:w w:val="105"/>
        </w:rPr>
        <w:t>factors </w:t>
      </w:r>
      <w:r>
        <w:rPr>
          <w:i/>
          <w:color w:val="010101"/>
          <w:w w:val="105"/>
          <w:sz w:val="14"/>
        </w:rPr>
        <w:t>nPz¡ </w:t>
      </w:r>
      <w:r>
        <w:rPr>
          <w:color w:val="010101"/>
          <w:w w:val="105"/>
        </w:rPr>
        <w:t>and exactly </w:t>
      </w:r>
      <w:r>
        <w:rPr>
          <w:i/>
          <w:color w:val="010101"/>
          <w:w w:val="105"/>
        </w:rPr>
        <w:t>m. </w:t>
      </w:r>
      <w:r>
        <w:rPr>
          <w:color w:val="010101"/>
          <w:w w:val="245"/>
        </w:rPr>
        <w:t>- </w:t>
      </w:r>
      <w:r>
        <w:rPr>
          <w:rFonts w:ascii="Arial" w:hAnsi="Arial"/>
          <w:i/>
          <w:color w:val="010101"/>
          <w:w w:val="105"/>
          <w:sz w:val="18"/>
        </w:rPr>
        <w:t>r </w:t>
      </w:r>
      <w:r>
        <w:rPr>
          <w:color w:val="010101"/>
          <w:w w:val="105"/>
        </w:rPr>
        <w:t>factors </w:t>
      </w:r>
      <w:r>
        <w:rPr>
          <w:color w:val="010101"/>
          <w:w w:val="125"/>
        </w:rPr>
        <w:t>1 </w:t>
      </w:r>
      <w:r>
        <w:rPr>
          <w:color w:val="010101"/>
          <w:w w:val="245"/>
        </w:rPr>
        <w:t>- </w:t>
      </w:r>
      <w:r>
        <w:rPr>
          <w:i/>
          <w:color w:val="010101"/>
          <w:w w:val="105"/>
          <w:sz w:val="14"/>
        </w:rPr>
        <w:t>nPz¡ </w:t>
      </w:r>
      <w:r>
        <w:rPr>
          <w:color w:val="010101"/>
          <w:w w:val="105"/>
          <w:sz w:val="14"/>
        </w:rPr>
        <w:t>• </w:t>
      </w:r>
      <w:r>
        <w:rPr>
          <w:color w:val="010101"/>
          <w:w w:val="105"/>
        </w:rPr>
        <w:t>To find this sum, we write the following   product:</w:t>
      </w:r>
    </w:p>
    <w:p>
      <w:pPr>
        <w:spacing w:before="51"/>
        <w:ind w:left="47" w:right="0" w:firstLine="0"/>
        <w:jc w:val="center"/>
        <w:rPr>
          <w:sz w:val="20"/>
        </w:rPr>
      </w:pPr>
      <w:r>
        <w:rPr>
          <w:b/>
          <w:color w:val="010101"/>
          <w:w w:val="57"/>
          <w:sz w:val="20"/>
        </w:rPr>
        <w:t>(</w:t>
      </w:r>
      <w:r>
        <w:rPr>
          <w:b/>
          <w:color w:val="010101"/>
          <w:w w:val="57"/>
          <w:sz w:val="20"/>
        </w:rPr>
        <w:t>nP:a:1</w:t>
      </w:r>
      <w:r>
        <w:rPr>
          <w:b/>
          <w:color w:val="010101"/>
          <w:spacing w:val="-5"/>
          <w:sz w:val="20"/>
        </w:rPr>
        <w:t> </w:t>
      </w:r>
      <w:r>
        <w:rPr>
          <w:color w:val="010101"/>
          <w:spacing w:val="-24"/>
          <w:w w:val="136"/>
          <w:sz w:val="20"/>
        </w:rPr>
        <w:t>·</w:t>
      </w:r>
      <w:r>
        <w:rPr>
          <w:b/>
          <w:i/>
          <w:color w:val="010101"/>
          <w:w w:val="73"/>
          <w:sz w:val="21"/>
        </w:rPr>
        <w:t>t</w:t>
      </w:r>
      <w:r>
        <w:rPr>
          <w:b/>
          <w:i/>
          <w:color w:val="010101"/>
          <w:sz w:val="21"/>
        </w:rPr>
        <w:t> </w:t>
      </w:r>
      <w:r>
        <w:rPr>
          <w:b/>
          <w:i/>
          <w:color w:val="010101"/>
          <w:spacing w:val="-16"/>
          <w:sz w:val="21"/>
        </w:rPr>
        <w:t> </w:t>
      </w:r>
      <w:r>
        <w:rPr>
          <w:rFonts w:ascii="Arial" w:hAnsi="Arial"/>
          <w:color w:val="010101"/>
          <w:w w:val="105"/>
          <w:sz w:val="31"/>
        </w:rPr>
        <w:t>+</w:t>
      </w:r>
      <w:r>
        <w:rPr>
          <w:rFonts w:ascii="Arial" w:hAnsi="Arial"/>
          <w:color w:val="010101"/>
          <w:spacing w:val="-31"/>
          <w:sz w:val="31"/>
        </w:rPr>
        <w:t> </w:t>
      </w:r>
      <w:r>
        <w:rPr>
          <w:b/>
          <w:color w:val="010101"/>
          <w:w w:val="71"/>
          <w:sz w:val="20"/>
        </w:rPr>
        <w:t>nqz1</w:t>
      </w:r>
      <w:r>
        <w:rPr>
          <w:b/>
          <w:color w:val="010101"/>
          <w:spacing w:val="-24"/>
          <w:sz w:val="20"/>
        </w:rPr>
        <w:t> </w:t>
      </w:r>
      <w:r>
        <w:rPr>
          <w:b/>
          <w:color w:val="010101"/>
          <w:w w:val="67"/>
          <w:sz w:val="20"/>
        </w:rPr>
        <w:t>HnP:a:1</w:t>
      </w:r>
      <w:r>
        <w:rPr>
          <w:b/>
          <w:color w:val="010101"/>
          <w:spacing w:val="-3"/>
          <w:sz w:val="20"/>
        </w:rPr>
        <w:t> </w:t>
      </w:r>
      <w:r>
        <w:rPr>
          <w:color w:val="010101"/>
          <w:spacing w:val="-20"/>
          <w:w w:val="136"/>
          <w:sz w:val="20"/>
        </w:rPr>
        <w:t>·</w:t>
      </w:r>
      <w:r>
        <w:rPr>
          <w:b/>
          <w:i/>
          <w:color w:val="010101"/>
          <w:w w:val="73"/>
          <w:sz w:val="21"/>
        </w:rPr>
        <w:t>t</w:t>
      </w:r>
      <w:r>
        <w:rPr>
          <w:b/>
          <w:i/>
          <w:color w:val="010101"/>
          <w:sz w:val="21"/>
        </w:rPr>
        <w:t> </w:t>
      </w:r>
      <w:r>
        <w:rPr>
          <w:b/>
          <w:i/>
          <w:color w:val="010101"/>
          <w:spacing w:val="-19"/>
          <w:sz w:val="21"/>
        </w:rPr>
        <w:t> </w:t>
      </w:r>
      <w:r>
        <w:rPr>
          <w:rFonts w:ascii="Arial" w:hAnsi="Arial"/>
          <w:color w:val="010101"/>
          <w:w w:val="107"/>
          <w:sz w:val="31"/>
        </w:rPr>
        <w:t>+</w:t>
      </w:r>
      <w:r>
        <w:rPr>
          <w:rFonts w:ascii="Arial" w:hAnsi="Arial"/>
          <w:color w:val="010101"/>
          <w:spacing w:val="-27"/>
          <w:sz w:val="31"/>
        </w:rPr>
        <w:t> </w:t>
      </w:r>
      <w:r>
        <w:rPr>
          <w:b/>
          <w:color w:val="010101"/>
          <w:w w:val="63"/>
          <w:sz w:val="20"/>
        </w:rPr>
        <w:t>,.q:rt</w:t>
      </w:r>
      <w:r>
        <w:rPr>
          <w:b/>
          <w:color w:val="010101"/>
          <w:spacing w:val="-12"/>
          <w:sz w:val="20"/>
        </w:rPr>
        <w:t> </w:t>
      </w:r>
      <w:r>
        <w:rPr>
          <w:b/>
          <w:color w:val="010101"/>
          <w:sz w:val="20"/>
        </w:rPr>
        <w:t>) </w:t>
      </w:r>
      <w:r>
        <w:rPr>
          <w:b/>
          <w:color w:val="010101"/>
          <w:spacing w:val="-6"/>
          <w:sz w:val="20"/>
        </w:rPr>
        <w:t> </w:t>
      </w:r>
      <w:r>
        <w:rPr>
          <w:color w:val="010101"/>
          <w:spacing w:val="9"/>
          <w:w w:val="136"/>
          <w:sz w:val="20"/>
        </w:rPr>
        <w:t>·</w:t>
      </w:r>
      <w:r>
        <w:rPr>
          <w:color w:val="010101"/>
          <w:spacing w:val="5"/>
          <w:w w:val="136"/>
          <w:sz w:val="20"/>
        </w:rPr>
        <w:t>·</w:t>
      </w:r>
      <w:r>
        <w:rPr>
          <w:color w:val="010101"/>
          <w:w w:val="136"/>
          <w:sz w:val="20"/>
        </w:rPr>
        <w:t>·</w:t>
      </w:r>
      <w:r>
        <w:rPr>
          <w:color w:val="010101"/>
          <w:spacing w:val="13"/>
          <w:sz w:val="20"/>
        </w:rPr>
        <w:t> </w:t>
      </w:r>
      <w:r>
        <w:rPr>
          <w:b/>
          <w:color w:val="010101"/>
          <w:w w:val="75"/>
          <w:sz w:val="20"/>
        </w:rPr>
        <w:t>(</w:t>
      </w:r>
      <w:r>
        <w:rPr>
          <w:b/>
          <w:color w:val="010101"/>
          <w:w w:val="75"/>
          <w:sz w:val="20"/>
        </w:rPr>
        <w:t>nPz,,.</w:t>
      </w:r>
      <w:r>
        <w:rPr>
          <w:b/>
          <w:color w:val="010101"/>
          <w:spacing w:val="-11"/>
          <w:sz w:val="20"/>
        </w:rPr>
        <w:t> </w:t>
      </w:r>
      <w:r>
        <w:rPr>
          <w:color w:val="010101"/>
          <w:spacing w:val="-20"/>
          <w:w w:val="136"/>
          <w:sz w:val="20"/>
        </w:rPr>
        <w:t>·</w:t>
      </w:r>
      <w:r>
        <w:rPr>
          <w:b/>
          <w:i/>
          <w:color w:val="010101"/>
          <w:w w:val="67"/>
          <w:sz w:val="21"/>
        </w:rPr>
        <w:t>t</w:t>
      </w:r>
      <w:r>
        <w:rPr>
          <w:b/>
          <w:i/>
          <w:color w:val="010101"/>
          <w:sz w:val="21"/>
        </w:rPr>
        <w:t> </w:t>
      </w:r>
      <w:r>
        <w:rPr>
          <w:b/>
          <w:i/>
          <w:color w:val="010101"/>
          <w:spacing w:val="-16"/>
          <w:sz w:val="21"/>
        </w:rPr>
        <w:t> </w:t>
      </w:r>
      <w:r>
        <w:rPr>
          <w:rFonts w:ascii="Arial" w:hAnsi="Arial"/>
          <w:color w:val="010101"/>
          <w:w w:val="102"/>
          <w:sz w:val="31"/>
        </w:rPr>
        <w:t>+</w:t>
      </w:r>
      <w:r>
        <w:rPr>
          <w:rFonts w:ascii="Arial" w:hAnsi="Arial"/>
          <w:color w:val="010101"/>
          <w:spacing w:val="-25"/>
          <w:sz w:val="31"/>
        </w:rPr>
        <w:t> </w:t>
      </w:r>
      <w:r>
        <w:rPr>
          <w:b/>
          <w:color w:val="010101"/>
          <w:w w:val="66"/>
          <w:sz w:val="20"/>
        </w:rPr>
        <w:t>nq:r,,.</w:t>
      </w:r>
      <w:r>
        <w:rPr>
          <w:b/>
          <w:color w:val="010101"/>
          <w:w w:val="66"/>
          <w:sz w:val="20"/>
        </w:rPr>
        <w:t>)</w:t>
      </w:r>
      <w:r>
        <w:rPr>
          <w:b/>
          <w:color w:val="010101"/>
          <w:spacing w:val="-7"/>
          <w:sz w:val="20"/>
        </w:rPr>
        <w:t> </w:t>
      </w:r>
      <w:r>
        <w:rPr>
          <w:color w:val="010101"/>
          <w:w w:val="56"/>
          <w:sz w:val="20"/>
        </w:rPr>
        <w:t>•</w:t>
      </w:r>
    </w:p>
    <w:p>
      <w:pPr>
        <w:pStyle w:val="BodyText"/>
        <w:spacing w:before="67"/>
        <w:ind w:left="136" w:right="126" w:firstLine="7"/>
        <w:jc w:val="both"/>
      </w:pPr>
      <w:r>
        <w:rPr>
          <w:color w:val="010101"/>
          <w:sz w:val="22"/>
        </w:rPr>
        <w:t>In </w:t>
      </w:r>
      <w:r>
        <w:rPr>
          <w:color w:val="010101"/>
        </w:rPr>
        <w:t>the expansion of this product, the coeffi.cient  of  </w:t>
      </w:r>
      <w:r>
        <w:rPr>
          <w:i/>
          <w:color w:val="010101"/>
          <w:w w:val="135"/>
        </w:rPr>
        <w:t>{ </w:t>
      </w:r>
      <w:r>
        <w:rPr>
          <w:rFonts w:ascii="Arial" w:hAnsi="Arial"/>
          <w:color w:val="010101"/>
        </w:rPr>
        <w:t>is </w:t>
      </w:r>
      <w:r>
        <w:rPr>
          <w:color w:val="010101"/>
        </w:rPr>
        <w:t>the sum of  all the terms which can be formed by multiplying </w:t>
      </w:r>
      <w:r>
        <w:rPr>
          <w:i/>
          <w:color w:val="010101"/>
          <w:sz w:val="21"/>
        </w:rPr>
        <w:t>r </w:t>
      </w:r>
      <w:r>
        <w:rPr>
          <w:color w:val="010101"/>
        </w:rPr>
        <w:t>factors  of  the  form  </w:t>
      </w:r>
      <w:r>
        <w:rPr>
          <w:i/>
          <w:color w:val="010101"/>
          <w:w w:val="135"/>
          <w:sz w:val="14"/>
        </w:rPr>
        <w:t>nPz, </w:t>
      </w:r>
      <w:r>
        <w:rPr>
          <w:color w:val="010101"/>
        </w:rPr>
        <w:t>and </w:t>
      </w:r>
      <w:r>
        <w:rPr>
          <w:i/>
          <w:color w:val="010101"/>
        </w:rPr>
        <w:t>m.  </w:t>
      </w:r>
      <w:r>
        <w:rPr>
          <w:color w:val="010101"/>
          <w:w w:val="245"/>
        </w:rPr>
        <w:t>- </w:t>
      </w:r>
      <w:r>
        <w:rPr>
          <w:i/>
          <w:color w:val="010101"/>
          <w:sz w:val="21"/>
        </w:rPr>
        <w:t>r  </w:t>
      </w:r>
      <w:r>
        <w:rPr>
          <w:color w:val="010101"/>
        </w:rPr>
        <w:t>factors of  the form </w:t>
      </w:r>
      <w:r>
        <w:rPr>
          <w:i/>
          <w:color w:val="010101"/>
          <w:sz w:val="14"/>
        </w:rPr>
        <w:t>nq:a:¡  </w:t>
      </w:r>
      <w:r>
        <w:rPr>
          <w:color w:val="010101"/>
          <w:w w:val="135"/>
          <w:sz w:val="14"/>
        </w:rPr>
        <w:t>, </w:t>
      </w:r>
      <w:r>
        <w:rPr>
          <w:color w:val="010101"/>
        </w:rPr>
        <w:t>and  </w:t>
      </w:r>
      <w:r>
        <w:rPr>
          <w:rFonts w:ascii="Arial" w:hAnsi="Arial"/>
          <w:color w:val="010101"/>
          <w:sz w:val="21"/>
        </w:rPr>
        <w:t>is </w:t>
      </w:r>
      <w:r>
        <w:rPr>
          <w:color w:val="010101"/>
        </w:rPr>
        <w:t>thus equal</w:t>
      </w:r>
      <w:r>
        <w:rPr>
          <w:color w:val="010101"/>
          <w:spacing w:val="-8"/>
        </w:rPr>
        <w:t> </w:t>
      </w:r>
      <w:r>
        <w:rPr>
          <w:color w:val="010101"/>
        </w:rPr>
        <w:t>to</w:t>
      </w:r>
    </w:p>
    <w:p>
      <w:pPr>
        <w:spacing w:before="44"/>
        <w:ind w:left="136" w:right="0" w:firstLine="0"/>
        <w:jc w:val="both"/>
        <w:rPr>
          <w:sz w:val="20"/>
        </w:rPr>
      </w:pPr>
      <w:r>
        <w:rPr/>
        <w:pict>
          <v:line style="position:absolute;mso-position-horizontal-relative:page;mso-position-vertical-relative:paragraph;z-index:-719008" from="133.811707pt,12.568896pt" to="155.515707pt,12.568896pt" stroked="true" strokeweight="1.973094pt" strokecolor="#000000">
            <w10:wrap type="none"/>
          </v:line>
        </w:pict>
      </w:r>
      <w:r>
        <w:rPr>
          <w:color w:val="010101"/>
          <w:w w:val="110"/>
          <w:sz w:val="20"/>
        </w:rPr>
        <w:t>the required  sum for </w:t>
      </w:r>
      <w:r>
        <w:rPr>
          <w:color w:val="010101"/>
          <w:w w:val="110"/>
          <w:sz w:val="13"/>
        </w:rPr>
        <w:t>nPz </w:t>
      </w:r>
      <w:r>
        <w:rPr>
          <w:color w:val="010101"/>
          <w:w w:val="110"/>
          <w:position w:val="-4"/>
          <w:sz w:val="10"/>
        </w:rPr>
        <w:t>1</w:t>
      </w:r>
      <w:r>
        <w:rPr>
          <w:color w:val="010101"/>
          <w:w w:val="110"/>
          <w:sz w:val="13"/>
        </w:rPr>
        <w:t>z</w:t>
      </w:r>
      <w:r>
        <w:rPr>
          <w:color w:val="010101"/>
          <w:w w:val="110"/>
          <w:position w:val="-4"/>
          <w:sz w:val="11"/>
        </w:rPr>
        <w:t>1</w:t>
      </w:r>
      <w:r>
        <w:rPr>
          <w:color w:val="010101"/>
          <w:w w:val="110"/>
          <w:sz w:val="11"/>
        </w:rPr>
        <w:t>• • •        •  </w:t>
      </w:r>
      <w:r>
        <w:rPr>
          <w:rFonts w:ascii="Arial" w:hAnsi="Arial"/>
          <w:color w:val="010101"/>
          <w:w w:val="110"/>
          <w:sz w:val="20"/>
        </w:rPr>
        <w:t>W</w:t>
      </w:r>
      <w:r>
        <w:rPr>
          <w:color w:val="010101"/>
          <w:w w:val="110"/>
          <w:sz w:val="20"/>
        </w:rPr>
        <w:t>e rewrite the product  as</w:t>
      </w:r>
    </w:p>
    <w:p>
      <w:pPr>
        <w:spacing w:line="356" w:lineRule="exact" w:before="13"/>
        <w:ind w:left="147" w:right="0" w:firstLine="0"/>
        <w:jc w:val="both"/>
        <w:rPr>
          <w:b/>
          <w:sz w:val="20"/>
        </w:rPr>
      </w:pPr>
      <w:r>
        <w:rPr>
          <w:b/>
          <w:color w:val="010101"/>
          <w:w w:val="85"/>
          <w:sz w:val="20"/>
        </w:rPr>
        <w:t>[1 </w:t>
      </w:r>
      <w:r>
        <w:rPr>
          <w:rFonts w:ascii="Arial" w:hAnsi="Arial"/>
          <w:color w:val="010101"/>
          <w:w w:val="125"/>
          <w:sz w:val="31"/>
        </w:rPr>
        <w:t>+ </w:t>
      </w:r>
      <w:r>
        <w:rPr>
          <w:b/>
          <w:color w:val="010101"/>
          <w:w w:val="85"/>
          <w:sz w:val="21"/>
        </w:rPr>
        <w:t>(t </w:t>
      </w:r>
      <w:r>
        <w:rPr>
          <w:color w:val="010101"/>
          <w:w w:val="240"/>
          <w:sz w:val="21"/>
        </w:rPr>
        <w:t>-</w:t>
      </w:r>
      <w:r>
        <w:rPr>
          <w:color w:val="010101"/>
          <w:spacing w:val="-76"/>
          <w:w w:val="240"/>
          <w:sz w:val="21"/>
        </w:rPr>
        <w:t> </w:t>
      </w:r>
      <w:r>
        <w:rPr>
          <w:rFonts w:ascii="Arial" w:hAnsi="Arial"/>
          <w:b/>
          <w:color w:val="010101"/>
          <w:w w:val="125"/>
          <w:sz w:val="19"/>
        </w:rPr>
        <w:t>1) </w:t>
      </w:r>
      <w:r>
        <w:rPr>
          <w:b/>
          <w:color w:val="010101"/>
          <w:w w:val="85"/>
          <w:sz w:val="20"/>
        </w:rPr>
        <w:t>nPz1Hl </w:t>
      </w:r>
      <w:r>
        <w:rPr>
          <w:rFonts w:ascii="Arial" w:hAnsi="Arial"/>
          <w:color w:val="010101"/>
          <w:w w:val="125"/>
          <w:sz w:val="31"/>
        </w:rPr>
        <w:t>+ </w:t>
      </w:r>
      <w:r>
        <w:rPr>
          <w:b/>
          <w:i/>
          <w:color w:val="010101"/>
          <w:w w:val="85"/>
          <w:sz w:val="21"/>
        </w:rPr>
        <w:t>(t </w:t>
      </w:r>
      <w:r>
        <w:rPr>
          <w:color w:val="010101"/>
          <w:w w:val="240"/>
          <w:sz w:val="21"/>
        </w:rPr>
        <w:t>-</w:t>
      </w:r>
      <w:r>
        <w:rPr>
          <w:color w:val="010101"/>
          <w:spacing w:val="-77"/>
          <w:w w:val="240"/>
          <w:sz w:val="21"/>
        </w:rPr>
        <w:t> </w:t>
      </w:r>
      <w:r>
        <w:rPr>
          <w:rFonts w:ascii="Arial" w:hAnsi="Arial"/>
          <w:b/>
          <w:color w:val="010101"/>
          <w:w w:val="125"/>
          <w:sz w:val="19"/>
        </w:rPr>
        <w:t>1) </w:t>
      </w:r>
      <w:r>
        <w:rPr>
          <w:b/>
          <w:color w:val="010101"/>
          <w:w w:val="85"/>
          <w:sz w:val="20"/>
        </w:rPr>
        <w:t>nPz1] </w:t>
      </w:r>
      <w:r>
        <w:rPr>
          <w:color w:val="010101"/>
          <w:spacing w:val="8"/>
          <w:w w:val="125"/>
          <w:sz w:val="20"/>
        </w:rPr>
        <w:t>··· </w:t>
      </w:r>
      <w:r>
        <w:rPr>
          <w:b/>
          <w:color w:val="010101"/>
          <w:w w:val="85"/>
          <w:sz w:val="20"/>
        </w:rPr>
        <w:t>[1 </w:t>
      </w:r>
      <w:r>
        <w:rPr>
          <w:rFonts w:ascii="Arial" w:hAnsi="Arial"/>
          <w:color w:val="010101"/>
          <w:w w:val="125"/>
          <w:sz w:val="31"/>
        </w:rPr>
        <w:t>+ </w:t>
      </w:r>
      <w:r>
        <w:rPr>
          <w:b/>
          <w:color w:val="010101"/>
          <w:w w:val="85"/>
          <w:sz w:val="21"/>
        </w:rPr>
        <w:t>(t </w:t>
      </w:r>
      <w:r>
        <w:rPr>
          <w:color w:val="010101"/>
          <w:w w:val="240"/>
          <w:sz w:val="21"/>
        </w:rPr>
        <w:t>-</w:t>
      </w:r>
      <w:r>
        <w:rPr>
          <w:color w:val="010101"/>
          <w:spacing w:val="-76"/>
          <w:w w:val="240"/>
          <w:sz w:val="21"/>
        </w:rPr>
        <w:t> </w:t>
      </w:r>
      <w:r>
        <w:rPr>
          <w:rFonts w:ascii="Arial" w:hAnsi="Arial"/>
          <w:b/>
          <w:color w:val="010101"/>
          <w:w w:val="125"/>
          <w:sz w:val="19"/>
        </w:rPr>
        <w:t>1) </w:t>
      </w:r>
      <w:r>
        <w:rPr>
          <w:b/>
          <w:color w:val="010101"/>
          <w:w w:val="85"/>
          <w:sz w:val="20"/>
        </w:rPr>
        <w:t>nP:rm]</w:t>
      </w:r>
    </w:p>
    <w:p>
      <w:pPr>
        <w:spacing w:line="356" w:lineRule="exact" w:before="0"/>
        <w:ind w:left="800" w:right="0" w:firstLine="0"/>
        <w:jc w:val="left"/>
        <w:rPr>
          <w:i/>
          <w:sz w:val="22"/>
        </w:rPr>
      </w:pPr>
      <w:r>
        <w:rPr>
          <w:color w:val="010101"/>
          <w:w w:val="95"/>
          <w:sz w:val="28"/>
        </w:rPr>
        <w:t>= </w:t>
      </w:r>
      <w:r>
        <w:rPr>
          <w:color w:val="010101"/>
          <w:w w:val="110"/>
          <w:sz w:val="20"/>
        </w:rPr>
        <w:t>1 </w:t>
      </w:r>
      <w:r>
        <w:rPr>
          <w:rFonts w:ascii="Arial" w:hAnsi="Arial"/>
          <w:color w:val="010101"/>
          <w:w w:val="110"/>
          <w:sz w:val="31"/>
        </w:rPr>
        <w:t>+ </w:t>
      </w:r>
      <w:r>
        <w:rPr>
          <w:i/>
          <w:color w:val="010101"/>
          <w:w w:val="110"/>
          <w:sz w:val="20"/>
        </w:rPr>
        <w:t>(t </w:t>
      </w:r>
      <w:r>
        <w:rPr>
          <w:color w:val="010101"/>
          <w:w w:val="255"/>
          <w:sz w:val="20"/>
        </w:rPr>
        <w:t>-</w:t>
      </w:r>
      <w:r>
        <w:rPr>
          <w:color w:val="010101"/>
          <w:spacing w:val="-73"/>
          <w:w w:val="255"/>
          <w:sz w:val="20"/>
        </w:rPr>
        <w:t> </w:t>
      </w:r>
      <w:r>
        <w:rPr>
          <w:color w:val="010101"/>
          <w:w w:val="110"/>
          <w:sz w:val="20"/>
        </w:rPr>
        <w:t>1) </w:t>
      </w:r>
      <w:r>
        <w:rPr>
          <w:color w:val="010101"/>
          <w:w w:val="95"/>
          <w:sz w:val="21"/>
        </w:rPr>
        <w:t>Z1 </w:t>
      </w:r>
      <w:r>
        <w:rPr>
          <w:rFonts w:ascii="Arial" w:hAnsi="Arial"/>
          <w:color w:val="010101"/>
          <w:w w:val="110"/>
          <w:sz w:val="31"/>
        </w:rPr>
        <w:t>+ </w:t>
      </w:r>
      <w:r>
        <w:rPr>
          <w:rFonts w:ascii="Arial" w:hAnsi="Arial"/>
          <w:i/>
          <w:color w:val="010101"/>
          <w:w w:val="110"/>
          <w:sz w:val="19"/>
        </w:rPr>
        <w:t>(t </w:t>
      </w:r>
      <w:r>
        <w:rPr>
          <w:rFonts w:ascii="Arial" w:hAnsi="Arial"/>
          <w:color w:val="010101"/>
          <w:w w:val="255"/>
          <w:sz w:val="19"/>
        </w:rPr>
        <w:t>-</w:t>
      </w:r>
      <w:r>
        <w:rPr>
          <w:rFonts w:ascii="Arial" w:hAnsi="Arial"/>
          <w:color w:val="010101"/>
          <w:spacing w:val="-67"/>
          <w:w w:val="255"/>
          <w:sz w:val="19"/>
        </w:rPr>
        <w:t> </w:t>
      </w:r>
      <w:r>
        <w:rPr>
          <w:color w:val="010101"/>
          <w:w w:val="110"/>
          <w:sz w:val="20"/>
        </w:rPr>
        <w:t>1)2 </w:t>
      </w:r>
      <w:r>
        <w:rPr>
          <w:color w:val="010101"/>
          <w:w w:val="95"/>
          <w:sz w:val="21"/>
        </w:rPr>
        <w:t>Z2 </w:t>
      </w:r>
      <w:r>
        <w:rPr>
          <w:rFonts w:ascii="Arial" w:hAnsi="Arial"/>
          <w:color w:val="010101"/>
          <w:w w:val="110"/>
          <w:sz w:val="31"/>
        </w:rPr>
        <w:t>+ </w:t>
      </w:r>
      <w:r>
        <w:rPr>
          <w:rFonts w:ascii="Arial" w:hAnsi="Arial"/>
          <w:color w:val="010101"/>
          <w:spacing w:val="11"/>
          <w:w w:val="95"/>
          <w:sz w:val="31"/>
        </w:rPr>
        <w:t>···</w:t>
      </w:r>
      <w:r>
        <w:rPr>
          <w:rFonts w:ascii="Arial" w:hAnsi="Arial"/>
          <w:color w:val="010101"/>
          <w:spacing w:val="-48"/>
          <w:w w:val="95"/>
          <w:sz w:val="31"/>
        </w:rPr>
        <w:t> </w:t>
      </w:r>
      <w:r>
        <w:rPr>
          <w:rFonts w:ascii="Arial" w:hAnsi="Arial"/>
          <w:color w:val="010101"/>
          <w:w w:val="110"/>
          <w:sz w:val="31"/>
        </w:rPr>
        <w:t>+ </w:t>
      </w:r>
      <w:r>
        <w:rPr>
          <w:rFonts w:ascii="Arial" w:hAnsi="Arial"/>
          <w:i/>
          <w:color w:val="010101"/>
          <w:w w:val="110"/>
          <w:sz w:val="19"/>
        </w:rPr>
        <w:t>(t </w:t>
      </w:r>
      <w:r>
        <w:rPr>
          <w:rFonts w:ascii="Arial" w:hAnsi="Arial"/>
          <w:color w:val="010101"/>
          <w:w w:val="255"/>
          <w:sz w:val="19"/>
        </w:rPr>
        <w:t>-</w:t>
      </w:r>
      <w:r>
        <w:rPr>
          <w:rFonts w:ascii="Arial" w:hAnsi="Arial"/>
          <w:color w:val="010101"/>
          <w:spacing w:val="-72"/>
          <w:w w:val="255"/>
          <w:sz w:val="19"/>
        </w:rPr>
        <w:t> </w:t>
      </w:r>
      <w:r>
        <w:rPr>
          <w:color w:val="010101"/>
          <w:w w:val="110"/>
          <w:sz w:val="20"/>
        </w:rPr>
        <w:t>1)"' </w:t>
      </w:r>
      <w:r>
        <w:rPr>
          <w:i/>
          <w:color w:val="010101"/>
          <w:w w:val="95"/>
          <w:sz w:val="22"/>
        </w:rPr>
        <w:t>Z ,,. </w:t>
      </w:r>
      <w:r>
        <w:rPr>
          <w:i/>
          <w:color w:val="010101"/>
          <w:w w:val="110"/>
          <w:sz w:val="22"/>
        </w:rPr>
        <w:t>,</w:t>
      </w:r>
    </w:p>
    <w:p>
      <w:pPr>
        <w:spacing w:line="187" w:lineRule="auto" w:before="63"/>
        <w:ind w:left="125" w:right="136" w:firstLine="0"/>
        <w:jc w:val="both"/>
        <w:rPr>
          <w:sz w:val="20"/>
        </w:rPr>
      </w:pPr>
      <w:r>
        <w:rPr/>
        <w:pict>
          <v:shape style="position:absolute;margin-left:217.757797pt;margin-top:12.77649pt;width:11.15pt;height:5pt;mso-position-horizontal-relative:page;mso-position-vertical-relative:paragraph;z-index:-718936" type="#_x0000_t202" filled="false" stroked="false">
            <v:textbox inset="0,0,0,0">
              <w:txbxContent>
                <w:p>
                  <w:pPr>
                    <w:spacing w:line="100" w:lineRule="exact" w:before="0"/>
                    <w:ind w:left="0" w:right="-13" w:firstLine="0"/>
                    <w:jc w:val="left"/>
                    <w:rPr>
                      <w:rFonts w:ascii="Arial"/>
                      <w:sz w:val="10"/>
                    </w:rPr>
                  </w:pPr>
                  <w:r>
                    <w:rPr>
                      <w:rFonts w:ascii="Arial"/>
                      <w:color w:val="010101"/>
                      <w:w w:val="155"/>
                      <w:sz w:val="10"/>
                    </w:rPr>
                    <w:t>1 1</w:t>
                  </w:r>
                </w:p>
              </w:txbxContent>
            </v:textbox>
            <w10:wrap type="none"/>
          </v:shape>
        </w:pict>
      </w:r>
      <w:r>
        <w:rPr>
          <w:color w:val="010101"/>
          <w:w w:val="101"/>
          <w:sz w:val="20"/>
        </w:rPr>
        <w:t>where </w:t>
      </w:r>
      <w:r>
        <w:rPr>
          <w:rFonts w:ascii="Arial" w:hAnsi="Arial"/>
          <w:i/>
          <w:color w:val="010101"/>
          <w:w w:val="115"/>
          <w:sz w:val="20"/>
        </w:rPr>
        <w:t>Z, </w:t>
      </w:r>
      <w:r>
        <w:rPr>
          <w:color w:val="010101"/>
          <w:w w:val="104"/>
          <w:sz w:val="20"/>
        </w:rPr>
        <w:t>denotes </w:t>
      </w:r>
      <w:r>
        <w:rPr>
          <w:color w:val="010101"/>
          <w:w w:val="109"/>
          <w:sz w:val="20"/>
        </w:rPr>
        <w:t>the </w:t>
      </w:r>
      <w:r>
        <w:rPr>
          <w:color w:val="010101"/>
          <w:w w:val="105"/>
          <w:sz w:val="20"/>
        </w:rPr>
        <w:t>summation </w:t>
      </w:r>
      <w:r>
        <w:rPr>
          <w:rFonts w:ascii="Arial" w:hAnsi="Arial"/>
          <w:color w:val="010101"/>
          <w:w w:val="133"/>
          <w:sz w:val="31"/>
        </w:rPr>
        <w:t>¿</w:t>
      </w:r>
      <w:r>
        <w:rPr>
          <w:color w:val="010101"/>
          <w:w w:val="133"/>
          <w:sz w:val="13"/>
        </w:rPr>
        <w:t>nPz </w:t>
      </w:r>
      <w:r>
        <w:rPr>
          <w:color w:val="010101"/>
          <w:w w:val="50"/>
          <w:sz w:val="13"/>
        </w:rPr>
        <w:t>:a: </w:t>
      </w:r>
      <w:r>
        <w:rPr>
          <w:rFonts w:ascii="Arial" w:hAnsi="Arial"/>
          <w:color w:val="1A1A1A"/>
          <w:w w:val="149"/>
          <w:sz w:val="10"/>
        </w:rPr>
        <w:t>.</w:t>
      </w:r>
      <w:r>
        <w:rPr>
          <w:rFonts w:ascii="Arial" w:hAnsi="Arial"/>
          <w:color w:val="010101"/>
          <w:w w:val="149"/>
          <w:sz w:val="10"/>
        </w:rPr>
        <w:t>.</w:t>
      </w:r>
      <w:r>
        <w:rPr>
          <w:rFonts w:ascii="Arial" w:hAnsi="Arial"/>
          <w:color w:val="1A1A1A"/>
          <w:w w:val="149"/>
          <w:sz w:val="10"/>
        </w:rPr>
        <w:t>.</w:t>
      </w:r>
      <w:r>
        <w:rPr>
          <w:color w:val="010101"/>
          <w:w w:val="149"/>
          <w:sz w:val="14"/>
        </w:rPr>
        <w:t>:r. </w:t>
      </w:r>
      <w:r>
        <w:rPr>
          <w:color w:val="010101"/>
          <w:w w:val="108"/>
          <w:sz w:val="20"/>
        </w:rPr>
        <w:t>taken </w:t>
      </w:r>
      <w:r>
        <w:rPr>
          <w:color w:val="010101"/>
          <w:w w:val="103"/>
          <w:sz w:val="20"/>
        </w:rPr>
        <w:t>over </w:t>
      </w:r>
      <w:r>
        <w:rPr>
          <w:color w:val="010101"/>
          <w:w w:val="105"/>
          <w:sz w:val="20"/>
        </w:rPr>
        <w:t>all </w:t>
      </w:r>
      <w:r>
        <w:rPr>
          <w:color w:val="010101"/>
          <w:w w:val="111"/>
          <w:sz w:val="20"/>
        </w:rPr>
        <w:t>the </w:t>
      </w:r>
      <w:r>
        <w:rPr>
          <w:color w:val="010101"/>
          <w:w w:val="105"/>
          <w:sz w:val="20"/>
        </w:rPr>
        <w:t>possible combinations of </w:t>
      </w:r>
      <w:r>
        <w:rPr>
          <w:i/>
          <w:color w:val="010101"/>
          <w:w w:val="105"/>
          <w:sz w:val="21"/>
        </w:rPr>
        <w:t>s </w:t>
      </w:r>
      <w:r>
        <w:rPr>
          <w:color w:val="010101"/>
          <w:w w:val="105"/>
          <w:sz w:val="20"/>
        </w:rPr>
        <w:t>lives out of </w:t>
      </w:r>
      <w:r>
        <w:rPr>
          <w:i/>
          <w:color w:val="010101"/>
          <w:w w:val="105"/>
          <w:sz w:val="20"/>
        </w:rPr>
        <w:t>m.. </w:t>
      </w:r>
      <w:r>
        <w:rPr>
          <w:color w:val="010101"/>
          <w:w w:val="105"/>
          <w:sz w:val="22"/>
        </w:rPr>
        <w:t>N</w:t>
      </w:r>
      <w:r>
        <w:rPr>
          <w:color w:val="010101"/>
          <w:w w:val="105"/>
          <w:sz w:val="20"/>
        </w:rPr>
        <w:t>ow </w:t>
      </w:r>
      <w:r>
        <w:rPr>
          <w:i/>
          <w:color w:val="010101"/>
          <w:w w:val="130"/>
          <w:sz w:val="27"/>
        </w:rPr>
        <w:t>t </w:t>
      </w:r>
      <w:r>
        <w:rPr>
          <w:color w:val="010101"/>
          <w:w w:val="105"/>
          <w:sz w:val="20"/>
        </w:rPr>
        <w:t>appears only </w:t>
      </w:r>
      <w:r>
        <w:rPr>
          <w:color w:val="010101"/>
          <w:w w:val="105"/>
          <w:sz w:val="19"/>
        </w:rPr>
        <w:t>in </w:t>
      </w:r>
      <w:r>
        <w:rPr>
          <w:color w:val="010101"/>
          <w:w w:val="105"/>
          <w:sz w:val="20"/>
        </w:rPr>
        <w:t>the  terms  involving  </w:t>
      </w:r>
      <w:r>
        <w:rPr>
          <w:rFonts w:ascii="Arial" w:hAnsi="Arial"/>
          <w:i/>
          <w:color w:val="010101"/>
          <w:w w:val="105"/>
          <w:sz w:val="20"/>
        </w:rPr>
        <w:t>Z, </w:t>
      </w:r>
      <w:r>
        <w:rPr>
          <w:color w:val="010101"/>
          <w:w w:val="105"/>
          <w:sz w:val="20"/>
        </w:rPr>
        <w:t>where  </w:t>
      </w:r>
      <w:r>
        <w:rPr>
          <w:i/>
          <w:color w:val="010101"/>
          <w:w w:val="105"/>
          <w:sz w:val="19"/>
        </w:rPr>
        <w:t>s       r. </w:t>
      </w:r>
      <w:r>
        <w:rPr>
          <w:color w:val="010101"/>
          <w:w w:val="105"/>
          <w:sz w:val="20"/>
        </w:rPr>
        <w:t>The coefficient  of  </w:t>
      </w:r>
      <w:r>
        <w:rPr>
          <w:i/>
          <w:color w:val="010101"/>
          <w:w w:val="130"/>
          <w:sz w:val="27"/>
        </w:rPr>
        <w:t>t </w:t>
      </w:r>
      <w:r>
        <w:rPr>
          <w:color w:val="010101"/>
          <w:w w:val="105"/>
          <w:sz w:val="20"/>
        </w:rPr>
        <w:t>in  the</w:t>
      </w:r>
    </w:p>
    <w:p>
      <w:pPr>
        <w:spacing w:line="269" w:lineRule="exact" w:before="0"/>
        <w:ind w:left="125" w:right="0" w:firstLine="0"/>
        <w:jc w:val="both"/>
        <w:rPr>
          <w:sz w:val="20"/>
        </w:rPr>
      </w:pPr>
      <w:r>
        <w:rPr>
          <w:color w:val="010101"/>
          <w:w w:val="115"/>
          <w:sz w:val="20"/>
        </w:rPr>
        <w:t>term involving </w:t>
      </w:r>
      <w:r>
        <w:rPr>
          <w:i/>
          <w:color w:val="010101"/>
          <w:sz w:val="34"/>
        </w:rPr>
        <w:t>z.</w:t>
      </w:r>
      <w:r>
        <w:rPr>
          <w:i/>
          <w:color w:val="010101"/>
          <w:spacing w:val="-51"/>
          <w:sz w:val="34"/>
        </w:rPr>
        <w:t> </w:t>
      </w:r>
      <w:r>
        <w:rPr>
          <w:i/>
          <w:color w:val="010101"/>
          <w:sz w:val="34"/>
        </w:rPr>
        <w:t>, </w:t>
      </w:r>
      <w:r>
        <w:rPr>
          <w:color w:val="010101"/>
          <w:w w:val="115"/>
          <w:sz w:val="20"/>
        </w:rPr>
        <w:t>that </w:t>
      </w:r>
      <w:r>
        <w:rPr>
          <w:color w:val="010101"/>
          <w:sz w:val="23"/>
        </w:rPr>
        <w:t>is, </w:t>
      </w:r>
      <w:r>
        <w:rPr>
          <w:color w:val="010101"/>
          <w:w w:val="115"/>
          <w:sz w:val="20"/>
        </w:rPr>
        <w:t>the term </w:t>
      </w:r>
      <w:r>
        <w:rPr>
          <w:rFonts w:ascii="Arial"/>
          <w:i/>
          <w:color w:val="010101"/>
          <w:w w:val="115"/>
          <w:sz w:val="17"/>
        </w:rPr>
        <w:t>(t </w:t>
      </w:r>
      <w:r>
        <w:rPr>
          <w:rFonts w:ascii="Arial"/>
          <w:color w:val="010101"/>
          <w:w w:val="265"/>
          <w:sz w:val="17"/>
        </w:rPr>
        <w:t>-</w:t>
      </w:r>
      <w:r>
        <w:rPr>
          <w:rFonts w:ascii="Arial"/>
          <w:color w:val="010101"/>
          <w:spacing w:val="-59"/>
          <w:w w:val="265"/>
          <w:sz w:val="17"/>
        </w:rPr>
        <w:t> </w:t>
      </w:r>
      <w:r>
        <w:rPr>
          <w:rFonts w:ascii="Arial"/>
          <w:b/>
          <w:color w:val="010101"/>
          <w:spacing w:val="4"/>
          <w:w w:val="115"/>
          <w:sz w:val="20"/>
        </w:rPr>
        <w:t>1</w:t>
      </w:r>
      <w:r>
        <w:rPr>
          <w:rFonts w:ascii="Arial"/>
          <w:color w:val="010101"/>
          <w:spacing w:val="4"/>
          <w:w w:val="115"/>
          <w:sz w:val="20"/>
        </w:rPr>
        <w:t>)' </w:t>
      </w:r>
      <w:r>
        <w:rPr>
          <w:rFonts w:ascii="Arial"/>
          <w:b/>
          <w:color w:val="010101"/>
          <w:w w:val="115"/>
          <w:sz w:val="20"/>
        </w:rPr>
        <w:t>Z, </w:t>
      </w:r>
      <w:r>
        <w:rPr>
          <w:color w:val="010101"/>
          <w:w w:val="115"/>
          <w:sz w:val="19"/>
        </w:rPr>
        <w:t>(s    </w:t>
      </w:r>
      <w:r>
        <w:rPr>
          <w:i/>
          <w:color w:val="010101"/>
          <w:w w:val="115"/>
          <w:sz w:val="20"/>
        </w:rPr>
        <w:t>r </w:t>
      </w:r>
      <w:r>
        <w:rPr>
          <w:color w:val="010101"/>
          <w:w w:val="115"/>
          <w:sz w:val="20"/>
        </w:rPr>
        <w:t>), is</w:t>
      </w:r>
    </w:p>
    <w:p>
      <w:pPr>
        <w:spacing w:before="87"/>
        <w:ind w:left="74" w:right="17" w:firstLine="0"/>
        <w:jc w:val="center"/>
        <w:rPr>
          <w:rFonts w:ascii="Arial"/>
          <w:sz w:val="20"/>
        </w:rPr>
      </w:pPr>
      <w:r>
        <w:rPr>
          <w:rFonts w:ascii="Arial"/>
          <w:color w:val="010101"/>
          <w:spacing w:val="15"/>
          <w:w w:val="117"/>
          <w:sz w:val="19"/>
        </w:rPr>
        <w:t>(</w:t>
      </w:r>
      <w:r>
        <w:rPr>
          <w:rFonts w:ascii="Arial"/>
          <w:color w:val="010101"/>
          <w:w w:val="193"/>
          <w:sz w:val="19"/>
        </w:rPr>
        <w:t>-</w:t>
      </w:r>
      <w:r>
        <w:rPr>
          <w:rFonts w:ascii="Arial"/>
          <w:color w:val="010101"/>
          <w:spacing w:val="-34"/>
          <w:w w:val="193"/>
          <w:sz w:val="19"/>
        </w:rPr>
        <w:t>1</w:t>
      </w:r>
      <w:r>
        <w:rPr>
          <w:rFonts w:ascii="Arial"/>
          <w:color w:val="010101"/>
          <w:w w:val="155"/>
          <w:sz w:val="19"/>
        </w:rPr>
        <w:t>)</w:t>
      </w:r>
      <w:r>
        <w:rPr>
          <w:rFonts w:ascii="Arial"/>
          <w:color w:val="010101"/>
          <w:spacing w:val="-26"/>
          <w:w w:val="155"/>
          <w:sz w:val="19"/>
        </w:rPr>
        <w:t>'</w:t>
      </w:r>
      <w:r>
        <w:rPr>
          <w:rFonts w:ascii="Arial"/>
          <w:color w:val="010101"/>
          <w:w w:val="73"/>
          <w:sz w:val="19"/>
        </w:rPr>
        <w:t>_,.</w:t>
      </w:r>
      <w:r>
        <w:rPr>
          <w:rFonts w:ascii="Arial"/>
          <w:color w:val="010101"/>
          <w:spacing w:val="-19"/>
          <w:sz w:val="19"/>
        </w:rPr>
        <w:t> </w:t>
      </w:r>
      <w:r>
        <w:rPr>
          <w:rFonts w:ascii="Arial"/>
          <w:color w:val="010101"/>
          <w:spacing w:val="-19"/>
          <w:w w:val="125"/>
          <w:sz w:val="19"/>
        </w:rPr>
        <w:t>(</w:t>
      </w:r>
      <w:r>
        <w:rPr>
          <w:rFonts w:ascii="Arial"/>
          <w:color w:val="010101"/>
          <w:w w:val="280"/>
          <w:sz w:val="19"/>
        </w:rPr>
        <w:t>.</w:t>
      </w:r>
      <w:r>
        <w:rPr>
          <w:rFonts w:ascii="Arial"/>
          <w:color w:val="010101"/>
          <w:sz w:val="19"/>
        </w:rPr>
        <w:t> </w:t>
      </w:r>
      <w:r>
        <w:rPr>
          <w:rFonts w:ascii="Arial"/>
          <w:color w:val="010101"/>
          <w:spacing w:val="1"/>
          <w:sz w:val="19"/>
        </w:rPr>
        <w:t> </w:t>
      </w:r>
      <w:r>
        <w:rPr>
          <w:rFonts w:ascii="Arial"/>
          <w:b/>
          <w:color w:val="010101"/>
          <w:w w:val="111"/>
          <w:sz w:val="20"/>
        </w:rPr>
        <w:t>)</w:t>
      </w:r>
      <w:r>
        <w:rPr>
          <w:rFonts w:ascii="Arial"/>
          <w:b/>
          <w:color w:val="010101"/>
          <w:w w:val="111"/>
          <w:sz w:val="20"/>
        </w:rPr>
        <w:t>Z,</w:t>
      </w:r>
      <w:r>
        <w:rPr>
          <w:rFonts w:ascii="Arial"/>
          <w:b/>
          <w:color w:val="010101"/>
          <w:spacing w:val="-3"/>
          <w:sz w:val="20"/>
        </w:rPr>
        <w:t> </w:t>
      </w:r>
      <w:r>
        <w:rPr>
          <w:rFonts w:ascii="Arial"/>
          <w:color w:val="010101"/>
          <w:w w:val="140"/>
          <w:sz w:val="20"/>
        </w:rPr>
        <w:t>.</w:t>
      </w:r>
    </w:p>
    <w:p>
      <w:pPr>
        <w:pStyle w:val="BodyText"/>
        <w:spacing w:before="125"/>
        <w:ind w:left="125"/>
        <w:jc w:val="both"/>
        <w:rPr>
          <w:sz w:val="19"/>
        </w:rPr>
      </w:pPr>
      <w:r>
        <w:rPr>
          <w:color w:val="010101"/>
        </w:rPr>
        <w:t>Hence the total coeffi.cient  of  </w:t>
      </w:r>
      <w:r>
        <w:rPr>
          <w:rFonts w:ascii="Arial"/>
          <w:i/>
          <w:color w:val="010101"/>
          <w:sz w:val="22"/>
        </w:rPr>
        <w:t>t" </w:t>
      </w:r>
      <w:r>
        <w:rPr>
          <w:color w:val="010101"/>
          <w:sz w:val="19"/>
        </w:rPr>
        <w:t>is</w:t>
      </w:r>
    </w:p>
    <w:p>
      <w:pPr>
        <w:pStyle w:val="BodyText"/>
        <w:spacing w:before="11"/>
        <w:rPr>
          <w:sz w:val="9"/>
        </w:rPr>
      </w:pPr>
      <w:r>
        <w:rPr/>
        <w:drawing>
          <wp:anchor distT="0" distB="0" distL="0" distR="0" allowOverlap="1" layoutInCell="1" locked="0" behindDoc="0" simplePos="0" relativeHeight="17008">
            <wp:simplePos x="0" y="0"/>
            <wp:positionH relativeFrom="page">
              <wp:posOffset>484631</wp:posOffset>
            </wp:positionH>
            <wp:positionV relativeFrom="paragraph">
              <wp:posOffset>97532</wp:posOffset>
            </wp:positionV>
            <wp:extent cx="3639312" cy="521207"/>
            <wp:effectExtent l="0" t="0" r="0" b="0"/>
            <wp:wrapTopAndBottom/>
            <wp:docPr id="467" name="image239.png" descr=""/>
            <wp:cNvGraphicFramePr>
              <a:graphicFrameLocks noChangeAspect="1"/>
            </wp:cNvGraphicFramePr>
            <a:graphic>
              <a:graphicData uri="http://schemas.openxmlformats.org/drawingml/2006/picture">
                <pic:pic>
                  <pic:nvPicPr>
                    <pic:cNvPr id="468" name="image239.png"/>
                    <pic:cNvPicPr/>
                  </pic:nvPicPr>
                  <pic:blipFill>
                    <a:blip r:embed="rId243" cstate="print"/>
                    <a:stretch>
                      <a:fillRect/>
                    </a:stretch>
                  </pic:blipFill>
                  <pic:spPr>
                    <a:xfrm>
                      <a:off x="0" y="0"/>
                      <a:ext cx="3639312" cy="521207"/>
                    </a:xfrm>
                    <a:prstGeom prst="rect">
                      <a:avLst/>
                    </a:prstGeom>
                  </pic:spPr>
                </pic:pic>
              </a:graphicData>
            </a:graphic>
          </wp:anchor>
        </w:drawing>
      </w:r>
    </w:p>
    <w:p>
      <w:pPr>
        <w:pStyle w:val="BodyText"/>
        <w:spacing w:before="87"/>
        <w:ind w:left="114" w:firstLine="3"/>
        <w:jc w:val="both"/>
      </w:pPr>
      <w:r>
        <w:rPr>
          <w:color w:val="010101"/>
          <w:w w:val="105"/>
        </w:rPr>
        <w:t>The presence  of the binomial  coefficients in this formula  suggests</w:t>
      </w:r>
    </w:p>
    <w:p>
      <w:pPr>
        <w:pStyle w:val="BodyText"/>
        <w:spacing w:line="127" w:lineRule="auto" w:before="93"/>
        <w:ind w:left="118" w:right="149" w:hanging="4"/>
        <w:jc w:val="both"/>
      </w:pPr>
      <w:r>
        <w:rPr>
          <w:color w:val="010101"/>
        </w:rPr>
        <w:t>the following formal device. </w:t>
      </w:r>
      <w:r>
        <w:rPr>
          <w:color w:val="010101"/>
          <w:sz w:val="21"/>
        </w:rPr>
        <w:t>If </w:t>
      </w:r>
      <w:r>
        <w:rPr>
          <w:color w:val="010101"/>
        </w:rPr>
        <w:t>we regard the indices of </w:t>
      </w:r>
      <w:r>
        <w:rPr>
          <w:rFonts w:ascii="Arial" w:hAnsi="Arial"/>
          <w:i/>
          <w:color w:val="010101"/>
          <w:sz w:val="19"/>
        </w:rPr>
        <w:t>Z </w:t>
      </w:r>
      <w:r>
        <w:rPr>
          <w:color w:val="010101"/>
        </w:rPr>
        <w:t>as expo­ nents  and  assume  that  </w:t>
      </w:r>
      <w:r>
        <w:rPr>
          <w:i/>
          <w:color w:val="010101"/>
          <w:sz w:val="33"/>
        </w:rPr>
        <w:t>zt  </w:t>
      </w:r>
      <w:r>
        <w:rPr>
          <w:color w:val="010101"/>
          <w:sz w:val="26"/>
        </w:rPr>
        <w:t>=  </w:t>
      </w:r>
      <w:r>
        <w:rPr>
          <w:rFonts w:ascii="Arial" w:hAnsi="Arial"/>
          <w:color w:val="010101"/>
          <w:sz w:val="19"/>
        </w:rPr>
        <w:t>O  </w:t>
      </w:r>
      <w:r>
        <w:rPr>
          <w:color w:val="010101"/>
        </w:rPr>
        <w:t>for  </w:t>
      </w:r>
      <w:r>
        <w:rPr>
          <w:rFonts w:ascii="Arial" w:hAnsi="Arial"/>
          <w:i/>
          <w:color w:val="010101"/>
          <w:sz w:val="18"/>
        </w:rPr>
        <w:t>t   </w:t>
      </w:r>
      <w:r>
        <w:rPr>
          <w:color w:val="010101"/>
          <w:sz w:val="26"/>
        </w:rPr>
        <w:t>&gt;  </w:t>
      </w:r>
      <w:r>
        <w:rPr>
          <w:i/>
          <w:color w:val="010101"/>
          <w:sz w:val="21"/>
        </w:rPr>
        <w:t>m,  </w:t>
      </w:r>
      <w:r>
        <w:rPr>
          <w:color w:val="010101"/>
        </w:rPr>
        <w:t>the  formula  may be</w:t>
      </w:r>
    </w:p>
    <w:p>
      <w:pPr>
        <w:pStyle w:val="BodyText"/>
        <w:spacing w:line="215" w:lineRule="exact" w:before="16"/>
        <w:ind w:left="122"/>
        <w:jc w:val="both"/>
      </w:pPr>
      <w:r>
        <w:rPr>
          <w:color w:val="010101"/>
          <w:w w:val="105"/>
        </w:rPr>
        <w:t>written in the following symbolic  form:</w:t>
      </w:r>
    </w:p>
    <w:p>
      <w:pPr>
        <w:tabs>
          <w:tab w:pos="1072" w:val="left" w:leader="none"/>
        </w:tabs>
        <w:spacing w:line="249" w:lineRule="exact" w:before="0"/>
        <w:ind w:left="175" w:right="0" w:firstLine="0"/>
        <w:jc w:val="center"/>
        <w:rPr>
          <w:i/>
          <w:sz w:val="34"/>
        </w:rPr>
      </w:pPr>
      <w:r>
        <w:rPr>
          <w:rFonts w:ascii="Arial"/>
          <w:color w:val="010101"/>
          <w:w w:val="135"/>
          <w:sz w:val="12"/>
        </w:rPr>
        <w:t>(r]</w:t>
        <w:tab/>
      </w:r>
      <w:r>
        <w:rPr>
          <w:i/>
          <w:color w:val="010101"/>
          <w:w w:val="95"/>
          <w:sz w:val="34"/>
          <w:u w:val="thick" w:color="000000"/>
        </w:rPr>
        <w:t>z</w:t>
      </w:r>
      <w:r>
        <w:rPr>
          <w:i/>
          <w:color w:val="010101"/>
          <w:w w:val="95"/>
          <w:sz w:val="34"/>
        </w:rPr>
        <w:t>r</w:t>
      </w:r>
    </w:p>
    <w:p>
      <w:pPr>
        <w:spacing w:after="0" w:line="249" w:lineRule="exact"/>
        <w:jc w:val="center"/>
        <w:rPr>
          <w:sz w:val="34"/>
        </w:rPr>
        <w:sectPr>
          <w:pgSz w:w="7200" w:h="11340"/>
          <w:pgMar w:top="520" w:bottom="280" w:left="660" w:right="560"/>
        </w:sectPr>
      </w:pPr>
    </w:p>
    <w:p>
      <w:pPr>
        <w:spacing w:line="317" w:lineRule="exact" w:before="0"/>
        <w:ind w:left="1905" w:right="0" w:firstLine="0"/>
        <w:jc w:val="left"/>
        <w:rPr>
          <w:sz w:val="20"/>
        </w:rPr>
      </w:pPr>
      <w:r>
        <w:rPr/>
        <w:pict>
          <v:line style="position:absolute;mso-position-horizontal-relative:page;mso-position-vertical-relative:paragraph;z-index:-718984" from="164.843002pt,12.739677pt" to="168.430502pt,12.739677pt" stroked="true" strokeweight=".358744pt" strokecolor="#000000">
            <w10:wrap type="none"/>
          </v:line>
        </w:pict>
      </w:r>
      <w:r>
        <w:rPr>
          <w:b/>
          <w:color w:val="010101"/>
          <w:w w:val="51"/>
          <w:sz w:val="20"/>
        </w:rPr>
        <w:t>n</w:t>
      </w:r>
      <w:r>
        <w:rPr>
          <w:b/>
          <w:color w:val="010101"/>
          <w:spacing w:val="-37"/>
          <w:w w:val="51"/>
          <w:sz w:val="20"/>
        </w:rPr>
        <w:t>"</w:t>
      </w:r>
      <w:r>
        <w:rPr>
          <w:b/>
          <w:color w:val="010101"/>
          <w:spacing w:val="-68"/>
          <w:w w:val="84"/>
          <w:sz w:val="20"/>
        </w:rPr>
        <w:t>P</w:t>
      </w:r>
      <w:r>
        <w:rPr>
          <w:b/>
          <w:color w:val="010101"/>
          <w:w w:val="51"/>
          <w:sz w:val="20"/>
        </w:rPr>
        <w:t>"</w:t>
      </w:r>
      <w:r>
        <w:rPr>
          <w:b/>
          <w:color w:val="010101"/>
          <w:spacing w:val="-20"/>
          <w:w w:val="51"/>
          <w:sz w:val="20"/>
        </w:rPr>
        <w:t>'</w:t>
      </w:r>
      <w:r>
        <w:rPr>
          <w:b/>
          <w:color w:val="010101"/>
          <w:spacing w:val="-67"/>
          <w:w w:val="84"/>
          <w:sz w:val="20"/>
        </w:rPr>
        <w:t>z</w:t>
      </w:r>
      <w:r>
        <w:rPr>
          <w:b/>
          <w:color w:val="010101"/>
          <w:spacing w:val="-76"/>
          <w:w w:val="211"/>
          <w:sz w:val="20"/>
        </w:rPr>
        <w:t>-</w:t>
      </w:r>
      <w:r>
        <w:rPr>
          <w:b/>
          <w:color w:val="010101"/>
          <w:spacing w:val="-61"/>
          <w:w w:val="114"/>
          <w:sz w:val="20"/>
        </w:rPr>
        <w:t>1</w:t>
      </w:r>
      <w:r>
        <w:rPr>
          <w:b/>
          <w:color w:val="010101"/>
          <w:spacing w:val="-24"/>
          <w:w w:val="94"/>
          <w:sz w:val="20"/>
        </w:rPr>
        <w:t>z</w:t>
      </w:r>
      <w:r>
        <w:rPr>
          <w:b/>
          <w:color w:val="010101"/>
          <w:spacing w:val="-52"/>
          <w:w w:val="113"/>
          <w:sz w:val="20"/>
        </w:rPr>
        <w:t>-</w:t>
      </w:r>
      <w:r>
        <w:rPr>
          <w:b/>
          <w:color w:val="010101"/>
          <w:spacing w:val="-29"/>
          <w:w w:val="95"/>
          <w:sz w:val="20"/>
        </w:rPr>
        <w:t>1</w:t>
      </w:r>
      <w:r>
        <w:rPr>
          <w:b/>
          <w:color w:val="010101"/>
          <w:spacing w:val="-38"/>
          <w:w w:val="98"/>
          <w:sz w:val="20"/>
        </w:rPr>
        <w:t>·</w:t>
      </w:r>
      <w:r>
        <w:rPr>
          <w:b/>
          <w:color w:val="010101"/>
          <w:spacing w:val="-26"/>
          <w:w w:val="94"/>
          <w:sz w:val="20"/>
        </w:rPr>
        <w:t>-</w:t>
      </w:r>
      <w:r>
        <w:rPr>
          <w:b/>
          <w:color w:val="010101"/>
          <w:spacing w:val="-3"/>
          <w:w w:val="98"/>
          <w:sz w:val="20"/>
        </w:rPr>
        <w:t>·</w:t>
      </w:r>
      <w:r>
        <w:rPr>
          <w:b/>
          <w:color w:val="010101"/>
          <w:spacing w:val="-38"/>
          <w:w w:val="136"/>
          <w:sz w:val="20"/>
        </w:rPr>
        <w:t>·</w:t>
      </w:r>
      <w:r>
        <w:rPr>
          <w:b/>
          <w:color w:val="010101"/>
          <w:w w:val="26"/>
          <w:sz w:val="20"/>
        </w:rPr>
        <w:t>:a</w:t>
      </w:r>
      <w:r>
        <w:rPr>
          <w:b/>
          <w:color w:val="010101"/>
          <w:spacing w:val="5"/>
          <w:w w:val="26"/>
          <w:sz w:val="20"/>
        </w:rPr>
        <w:t>:</w:t>
      </w:r>
      <w:r>
        <w:rPr>
          <w:b/>
          <w:color w:val="010101"/>
          <w:w w:val="273"/>
          <w:sz w:val="20"/>
        </w:rPr>
        <w:t>.</w:t>
      </w:r>
      <w:r>
        <w:rPr>
          <w:b/>
          <w:color w:val="010101"/>
          <w:spacing w:val="3"/>
          <w:sz w:val="20"/>
        </w:rPr>
        <w:t> </w:t>
      </w:r>
      <w:r>
        <w:rPr>
          <w:color w:val="010101"/>
          <w:w w:val="91"/>
          <w:sz w:val="26"/>
        </w:rPr>
        <w:t>=</w:t>
      </w:r>
      <w:r>
        <w:rPr>
          <w:color w:val="010101"/>
          <w:sz w:val="26"/>
        </w:rPr>
        <w:t> </w:t>
      </w:r>
      <w:r>
        <w:rPr>
          <w:color w:val="010101"/>
          <w:spacing w:val="-3"/>
          <w:sz w:val="26"/>
        </w:rPr>
        <w:t> </w:t>
      </w:r>
      <w:r>
        <w:rPr>
          <w:b/>
          <w:color w:val="010101"/>
          <w:w w:val="119"/>
          <w:sz w:val="21"/>
        </w:rPr>
        <w:t>(</w:t>
      </w:r>
      <w:r>
        <w:rPr>
          <w:b/>
          <w:color w:val="010101"/>
          <w:w w:val="119"/>
          <w:sz w:val="21"/>
        </w:rPr>
        <w:t>l</w:t>
      </w:r>
      <w:r>
        <w:rPr>
          <w:b/>
          <w:color w:val="010101"/>
          <w:sz w:val="21"/>
        </w:rPr>
        <w:t> </w:t>
      </w:r>
      <w:r>
        <w:rPr>
          <w:b/>
          <w:color w:val="010101"/>
          <w:spacing w:val="-22"/>
          <w:sz w:val="21"/>
        </w:rPr>
        <w:t> </w:t>
      </w:r>
      <w:r>
        <w:rPr>
          <w:rFonts w:ascii="Arial" w:hAnsi="Arial"/>
          <w:color w:val="010101"/>
          <w:w w:val="107"/>
          <w:sz w:val="31"/>
        </w:rPr>
        <w:t>+</w:t>
      </w:r>
      <w:r>
        <w:rPr>
          <w:rFonts w:ascii="Arial" w:hAnsi="Arial"/>
          <w:color w:val="010101"/>
          <w:spacing w:val="-38"/>
          <w:sz w:val="31"/>
        </w:rPr>
        <w:t> </w:t>
      </w:r>
      <w:r>
        <w:rPr>
          <w:b/>
          <w:color w:val="010101"/>
          <w:w w:val="100"/>
          <w:sz w:val="20"/>
        </w:rPr>
        <w:t>Z</w:t>
      </w:r>
      <w:r>
        <w:rPr>
          <w:b/>
          <w:color w:val="010101"/>
          <w:w w:val="100"/>
          <w:sz w:val="20"/>
        </w:rPr>
        <w:t>)</w:t>
      </w:r>
      <w:r>
        <w:rPr>
          <w:b/>
          <w:color w:val="010101"/>
          <w:spacing w:val="-19"/>
          <w:sz w:val="20"/>
        </w:rPr>
        <w:t> </w:t>
      </w:r>
      <w:r>
        <w:rPr>
          <w:b/>
          <w:color w:val="010101"/>
          <w:w w:val="46"/>
          <w:sz w:val="20"/>
        </w:rPr>
        <w:t>r-+-1</w:t>
      </w:r>
      <w:r>
        <w:rPr>
          <w:b/>
          <w:color w:val="010101"/>
          <w:spacing w:val="-11"/>
          <w:sz w:val="20"/>
        </w:rPr>
        <w:t> </w:t>
      </w:r>
      <w:r>
        <w:rPr>
          <w:color w:val="010101"/>
          <w:w w:val="78"/>
          <w:sz w:val="20"/>
        </w:rPr>
        <w:t>•</w:t>
      </w:r>
    </w:p>
    <w:p>
      <w:pPr>
        <w:pStyle w:val="BodyText"/>
        <w:spacing w:before="7"/>
        <w:ind w:left="1070"/>
      </w:pPr>
      <w:r>
        <w:rPr/>
        <w:br w:type="column"/>
      </w:r>
      <w:r>
        <w:rPr>
          <w:color w:val="010101"/>
          <w:w w:val="105"/>
        </w:rPr>
        <w:t>(10.11)</w:t>
      </w:r>
    </w:p>
    <w:p>
      <w:pPr>
        <w:spacing w:after="0"/>
        <w:sectPr>
          <w:type w:val="continuous"/>
          <w:pgSz w:w="7200" w:h="11340"/>
          <w:pgMar w:top="1100" w:bottom="0" w:left="660" w:right="560"/>
          <w:cols w:num="2" w:equalWidth="0">
            <w:col w:w="4095" w:space="40"/>
            <w:col w:w="1845"/>
          </w:cols>
        </w:sectPr>
      </w:pPr>
    </w:p>
    <w:p>
      <w:pPr>
        <w:pStyle w:val="BodyText"/>
        <w:spacing w:before="5"/>
        <w:rPr>
          <w:sz w:val="9"/>
        </w:rPr>
      </w:pPr>
    </w:p>
    <w:p>
      <w:pPr>
        <w:pStyle w:val="BodyText"/>
        <w:spacing w:line="247" w:lineRule="auto" w:before="74"/>
        <w:ind w:left="104" w:right="151" w:firstLine="200"/>
        <w:jc w:val="both"/>
      </w:pPr>
      <w:r>
        <w:rPr>
          <w:color w:val="010101"/>
          <w:w w:val="110"/>
        </w:rPr>
        <w:t>As an example of the use of formula (10.11 ), we obtain the probability that exactly two of the four lives, (</w:t>
      </w:r>
      <w:r>
        <w:rPr>
          <w:rFonts w:ascii="Arial"/>
          <w:i/>
          <w:color w:val="010101"/>
          <w:w w:val="110"/>
          <w:sz w:val="18"/>
        </w:rPr>
        <w:t>w ), </w:t>
      </w:r>
      <w:r>
        <w:rPr>
          <w:color w:val="010101"/>
          <w:w w:val="110"/>
        </w:rPr>
        <w:t>(x), (y), (z), will survive for </w:t>
      </w:r>
      <w:r>
        <w:rPr>
          <w:i/>
          <w:color w:val="010101"/>
          <w:w w:val="110"/>
          <w:sz w:val="21"/>
        </w:rPr>
        <w:t>n </w:t>
      </w:r>
      <w:r>
        <w:rPr>
          <w:color w:val="010101"/>
          <w:w w:val="110"/>
        </w:rPr>
        <w:t>years. Since </w:t>
      </w:r>
      <w:r>
        <w:rPr>
          <w:i/>
          <w:color w:val="010101"/>
          <w:w w:val="110"/>
          <w:sz w:val="21"/>
        </w:rPr>
        <w:t>m </w:t>
      </w:r>
      <w:r>
        <w:rPr>
          <w:rFonts w:ascii="Arial"/>
          <w:color w:val="010101"/>
          <w:w w:val="140"/>
          <w:sz w:val="17"/>
        </w:rPr>
        <w:t>= </w:t>
      </w:r>
      <w:r>
        <w:rPr>
          <w:color w:val="010101"/>
          <w:w w:val="110"/>
        </w:rPr>
        <w:t>4 and </w:t>
      </w:r>
      <w:r>
        <w:rPr>
          <w:i/>
          <w:color w:val="010101"/>
          <w:w w:val="110"/>
          <w:sz w:val="21"/>
        </w:rPr>
        <w:t>r </w:t>
      </w:r>
      <w:r>
        <w:rPr>
          <w:rFonts w:ascii="Arial"/>
          <w:color w:val="010101"/>
          <w:w w:val="140"/>
          <w:sz w:val="17"/>
        </w:rPr>
        <w:t>= </w:t>
      </w:r>
      <w:r>
        <w:rPr>
          <w:color w:val="010101"/>
          <w:w w:val="110"/>
        </w:rPr>
        <w:t>2, we first  write</w:t>
      </w:r>
    </w:p>
    <w:p>
      <w:pPr>
        <w:spacing w:after="0" w:line="247" w:lineRule="auto"/>
        <w:jc w:val="both"/>
        <w:sectPr>
          <w:type w:val="continuous"/>
          <w:pgSz w:w="7200" w:h="11340"/>
          <w:pgMar w:top="1100" w:bottom="0" w:left="660" w:right="560"/>
        </w:sectPr>
      </w:pPr>
    </w:p>
    <w:p>
      <w:pPr>
        <w:spacing w:line="653" w:lineRule="exact" w:before="0"/>
        <w:ind w:left="1704" w:right="0" w:firstLine="0"/>
        <w:jc w:val="left"/>
        <w:rPr>
          <w:sz w:val="32"/>
        </w:rPr>
      </w:pPr>
      <w:r>
        <w:rPr/>
        <w:pict>
          <v:line style="position:absolute;mso-position-horizontal-relative:page;mso-position-vertical-relative:paragraph;z-index:-718960" from="118.206299pt,26.152531pt" to="157.129999pt,26.152531pt" stroked="true" strokeweight="4.304933pt" strokecolor="#000000">
            <w10:wrap type="none"/>
          </v:line>
        </w:pict>
      </w:r>
      <w:r>
        <w:rPr/>
        <w:pict>
          <v:shape style="position:absolute;margin-left:179.910294pt;margin-top:11.939543pt;width:3.35pt;height:6pt;mso-position-horizontal-relative:page;mso-position-vertical-relative:paragraph;z-index:-718912" type="#_x0000_t202" filled="false" stroked="false">
            <v:textbox inset="0,0,0,0">
              <w:txbxContent>
                <w:p>
                  <w:pPr>
                    <w:spacing w:line="120" w:lineRule="exact" w:before="0"/>
                    <w:ind w:left="0" w:right="0" w:firstLine="0"/>
                    <w:jc w:val="left"/>
                    <w:rPr>
                      <w:rFonts w:ascii="Arial"/>
                      <w:sz w:val="12"/>
                    </w:rPr>
                  </w:pPr>
                  <w:r>
                    <w:rPr>
                      <w:rFonts w:ascii="Arial"/>
                      <w:color w:val="010101"/>
                      <w:w w:val="98"/>
                      <w:sz w:val="12"/>
                    </w:rPr>
                    <w:t>2</w:t>
                  </w:r>
                </w:p>
              </w:txbxContent>
            </v:textbox>
            <w10:wrap type="none"/>
          </v:shape>
        </w:pict>
      </w:r>
      <w:r>
        <w:rPr>
          <w:rFonts w:ascii="Arial" w:hAnsi="Arial"/>
          <w:color w:val="010101"/>
          <w:w w:val="123"/>
          <w:position w:val="-11"/>
          <w:sz w:val="25"/>
        </w:rPr>
        <w:t>0</w:t>
      </w:r>
      <w:r>
        <w:rPr>
          <w:rFonts w:ascii="Arial" w:hAnsi="Arial"/>
          <w:color w:val="010101"/>
          <w:spacing w:val="2"/>
          <w:position w:val="-11"/>
          <w:sz w:val="25"/>
        </w:rPr>
        <w:t> </w:t>
      </w:r>
      <w:r>
        <w:rPr>
          <w:color w:val="010101"/>
          <w:w w:val="102"/>
          <w:sz w:val="58"/>
        </w:rPr>
        <w:t>!</w:t>
      </w:r>
      <w:r>
        <w:rPr>
          <w:color w:val="010101"/>
          <w:spacing w:val="-63"/>
          <w:w w:val="102"/>
          <w:sz w:val="58"/>
        </w:rPr>
        <w:t>'</w:t>
      </w:r>
      <w:r>
        <w:rPr>
          <w:color w:val="010101"/>
          <w:w w:val="109"/>
          <w:sz w:val="21"/>
        </w:rPr>
        <w:t>Z</w:t>
      </w:r>
      <w:r>
        <w:rPr>
          <w:color w:val="010101"/>
          <w:w w:val="109"/>
          <w:sz w:val="21"/>
        </w:rPr>
        <w:t>)</w:t>
      </w:r>
      <w:r>
        <w:rPr>
          <w:color w:val="010101"/>
          <w:w w:val="109"/>
          <w:sz w:val="21"/>
        </w:rPr>
        <w:t>•</w:t>
      </w:r>
      <w:r>
        <w:rPr>
          <w:color w:val="010101"/>
          <w:sz w:val="21"/>
        </w:rPr>
        <w:t> </w:t>
      </w:r>
      <w:r>
        <w:rPr>
          <w:color w:val="010101"/>
          <w:spacing w:val="-24"/>
          <w:sz w:val="21"/>
        </w:rPr>
        <w:t> </w:t>
      </w:r>
      <w:r>
        <w:rPr>
          <w:color w:val="010101"/>
          <w:w w:val="101"/>
          <w:sz w:val="25"/>
        </w:rPr>
        <w:t>=</w:t>
      </w:r>
      <w:r>
        <w:rPr>
          <w:color w:val="010101"/>
          <w:spacing w:val="27"/>
          <w:sz w:val="25"/>
        </w:rPr>
        <w:t> </w:t>
      </w:r>
      <w:r>
        <w:rPr>
          <w:color w:val="010101"/>
          <w:w w:val="96"/>
          <w:sz w:val="32"/>
        </w:rPr>
        <w:t>z</w:t>
      </w:r>
    </w:p>
    <w:p>
      <w:pPr>
        <w:spacing w:before="181"/>
        <w:ind w:left="41" w:right="0" w:firstLine="0"/>
        <w:jc w:val="left"/>
        <w:rPr>
          <w:sz w:val="21"/>
        </w:rPr>
      </w:pPr>
      <w:r>
        <w:rPr/>
        <w:br w:type="column"/>
      </w:r>
      <w:r>
        <w:rPr>
          <w:rFonts w:ascii="Arial"/>
          <w:color w:val="010101"/>
          <w:w w:val="375"/>
          <w:sz w:val="12"/>
        </w:rPr>
        <w:t>-</w:t>
      </w:r>
      <w:r>
        <w:rPr>
          <w:rFonts w:ascii="Arial"/>
          <w:color w:val="010101"/>
          <w:spacing w:val="-109"/>
          <w:w w:val="375"/>
          <w:sz w:val="12"/>
        </w:rPr>
        <w:t> </w:t>
      </w:r>
      <w:r>
        <w:rPr>
          <w:color w:val="010101"/>
          <w:w w:val="80"/>
          <w:sz w:val="32"/>
        </w:rPr>
        <w:t>a.za </w:t>
      </w:r>
      <w:r>
        <w:rPr>
          <w:color w:val="010101"/>
          <w:w w:val="105"/>
          <w:sz w:val="32"/>
        </w:rPr>
        <w:t>+</w:t>
      </w:r>
      <w:r>
        <w:rPr>
          <w:color w:val="010101"/>
          <w:spacing w:val="-58"/>
          <w:w w:val="105"/>
          <w:sz w:val="32"/>
        </w:rPr>
        <w:t> </w:t>
      </w:r>
      <w:r>
        <w:rPr>
          <w:color w:val="010101"/>
          <w:w w:val="105"/>
          <w:sz w:val="21"/>
        </w:rPr>
        <w:t>6z4.</w:t>
      </w:r>
    </w:p>
    <w:p>
      <w:pPr>
        <w:spacing w:after="0"/>
        <w:jc w:val="left"/>
        <w:rPr>
          <w:sz w:val="21"/>
        </w:rPr>
        <w:sectPr>
          <w:type w:val="continuous"/>
          <w:pgSz w:w="7200" w:h="11340"/>
          <w:pgMar w:top="1100" w:bottom="0" w:left="660" w:right="560"/>
          <w:cols w:num="2" w:equalWidth="0">
            <w:col w:w="3005" w:space="40"/>
            <w:col w:w="2935"/>
          </w:cols>
        </w:sectPr>
      </w:pPr>
    </w:p>
    <w:p>
      <w:pPr>
        <w:pStyle w:val="BodyText"/>
        <w:spacing w:before="28"/>
        <w:ind w:left="111" w:right="739"/>
      </w:pPr>
      <w:r>
        <w:rPr>
          <w:color w:val="010101"/>
          <w:w w:val="110"/>
        </w:rPr>
        <w:t>Then,</w:t>
      </w:r>
    </w:p>
    <w:p>
      <w:pPr>
        <w:spacing w:after="0"/>
        <w:sectPr>
          <w:type w:val="continuous"/>
          <w:pgSz w:w="7200" w:h="11340"/>
          <w:pgMar w:top="1100" w:bottom="0" w:left="660" w:right="560"/>
        </w:sectPr>
      </w:pPr>
    </w:p>
    <w:p>
      <w:pPr>
        <w:tabs>
          <w:tab w:pos="1517" w:val="left" w:leader="none"/>
          <w:tab w:pos="5879" w:val="right" w:leader="none"/>
        </w:tabs>
        <w:spacing w:before="48"/>
        <w:ind w:left="132" w:right="0" w:firstLine="0"/>
        <w:jc w:val="left"/>
        <w:rPr>
          <w:rFonts w:ascii="Arial"/>
          <w:sz w:val="18"/>
        </w:rPr>
      </w:pPr>
      <w:r>
        <w:rPr>
          <w:w w:val="105"/>
          <w:sz w:val="15"/>
        </w:rPr>
        <w:t>SEC. </w:t>
      </w:r>
      <w:r>
        <w:rPr>
          <w:spacing w:val="39"/>
          <w:w w:val="105"/>
          <w:sz w:val="15"/>
        </w:rPr>
        <w:t> </w:t>
      </w:r>
      <w:r>
        <w:rPr>
          <w:spacing w:val="-11"/>
          <w:w w:val="105"/>
          <w:sz w:val="19"/>
        </w:rPr>
        <w:t>3]</w:t>
        <w:tab/>
      </w:r>
      <w:r>
        <w:rPr>
          <w:b/>
          <w:w w:val="105"/>
          <w:position w:val="1"/>
          <w:sz w:val="15"/>
        </w:rPr>
        <w:t>THE  GENERAL </w:t>
      </w:r>
      <w:r>
        <w:rPr>
          <w:b/>
          <w:spacing w:val="37"/>
          <w:w w:val="105"/>
          <w:position w:val="1"/>
          <w:sz w:val="15"/>
        </w:rPr>
        <w:t> </w:t>
      </w:r>
      <w:r>
        <w:rPr>
          <w:b/>
          <w:w w:val="105"/>
          <w:position w:val="1"/>
          <w:sz w:val="15"/>
        </w:rPr>
        <w:t>MULTI-LIFE </w:t>
      </w:r>
      <w:r>
        <w:rPr>
          <w:b/>
          <w:spacing w:val="34"/>
          <w:w w:val="105"/>
          <w:position w:val="1"/>
          <w:sz w:val="15"/>
        </w:rPr>
        <w:t> </w:t>
      </w:r>
      <w:r>
        <w:rPr>
          <w:b/>
          <w:w w:val="105"/>
          <w:position w:val="1"/>
          <w:sz w:val="15"/>
        </w:rPr>
        <w:t>STATUS</w:t>
      </w:r>
      <w:r>
        <w:rPr>
          <w:rFonts w:ascii="Arial"/>
          <w:w w:val="105"/>
          <w:sz w:val="18"/>
        </w:rPr>
        <w:tab/>
      </w:r>
      <w:r>
        <w:rPr>
          <w:rFonts w:ascii="Arial"/>
          <w:spacing w:val="-5"/>
          <w:w w:val="105"/>
          <w:sz w:val="18"/>
        </w:rPr>
        <w:t>219</w:t>
      </w:r>
    </w:p>
    <w:p>
      <w:pPr>
        <w:spacing w:line="364" w:lineRule="exact" w:before="198"/>
        <w:ind w:left="124" w:right="739" w:firstLine="0"/>
        <w:jc w:val="left"/>
        <w:rPr>
          <w:b/>
          <w:sz w:val="14"/>
        </w:rPr>
      </w:pPr>
      <w:r>
        <w:rPr/>
        <w:pict>
          <v:shape style="position:absolute;margin-left:54.18pt;margin-top:11.091072pt;width:31.4pt;height:5.5pt;mso-position-horizontal-relative:page;mso-position-vertical-relative:paragraph;z-index:-718792" type="#_x0000_t202" filled="false" stroked="false">
            <v:textbox inset="0,0,0,0">
              <w:txbxContent>
                <w:p>
                  <w:pPr>
                    <w:tabs>
                      <w:tab w:pos="557" w:val="left" w:leader="none"/>
                    </w:tabs>
                    <w:spacing w:line="110" w:lineRule="exact" w:before="0"/>
                    <w:ind w:left="0" w:right="0" w:firstLine="0"/>
                    <w:jc w:val="left"/>
                    <w:rPr>
                      <w:rFonts w:ascii="Arial"/>
                      <w:sz w:val="11"/>
                    </w:rPr>
                  </w:pPr>
                  <w:r>
                    <w:rPr>
                      <w:rFonts w:ascii="Arial"/>
                      <w:b/>
                      <w:w w:val="180"/>
                      <w:sz w:val="11"/>
                    </w:rPr>
                    <w:t>(t]</w:t>
                    <w:tab/>
                  </w:r>
                  <w:r>
                    <w:rPr>
                      <w:rFonts w:ascii="Arial"/>
                      <w:w w:val="200"/>
                      <w:sz w:val="11"/>
                    </w:rPr>
                    <w:t>.</w:t>
                  </w:r>
                </w:p>
              </w:txbxContent>
            </v:textbox>
            <w10:wrap type="none"/>
          </v:shape>
        </w:pict>
      </w:r>
      <w:r>
        <w:rPr>
          <w:rFonts w:ascii="Arial" w:hAnsi="Arial"/>
          <w:b/>
          <w:i/>
          <w:sz w:val="19"/>
        </w:rPr>
        <w:t>"p;;;¡ </w:t>
      </w:r>
      <w:r>
        <w:rPr>
          <w:w w:val="95"/>
          <w:sz w:val="26"/>
        </w:rPr>
        <w:t>= </w:t>
      </w:r>
      <w:r>
        <w:rPr>
          <w:b/>
          <w:sz w:val="14"/>
        </w:rPr>
        <w:t>nPvs </w:t>
      </w:r>
      <w:r>
        <w:rPr>
          <w:rFonts w:ascii="Arial" w:hAnsi="Arial"/>
          <w:sz w:val="32"/>
        </w:rPr>
        <w:t>+</w:t>
      </w:r>
      <w:r>
        <w:rPr>
          <w:rFonts w:ascii="Arial" w:hAnsi="Arial"/>
          <w:spacing w:val="-58"/>
          <w:sz w:val="32"/>
        </w:rPr>
        <w:t> </w:t>
      </w:r>
      <w:r>
        <w:rPr>
          <w:b/>
          <w:i/>
          <w:w w:val="80"/>
          <w:sz w:val="20"/>
        </w:rPr>
        <w:t>nPt1111 </w:t>
      </w:r>
      <w:r>
        <w:rPr>
          <w:rFonts w:ascii="Arial" w:hAnsi="Arial"/>
          <w:sz w:val="32"/>
        </w:rPr>
        <w:t>+</w:t>
      </w:r>
      <w:r>
        <w:rPr>
          <w:rFonts w:ascii="Arial" w:hAnsi="Arial"/>
          <w:spacing w:val="-58"/>
          <w:sz w:val="32"/>
        </w:rPr>
        <w:t> </w:t>
      </w:r>
      <w:r>
        <w:rPr>
          <w:b/>
          <w:sz w:val="14"/>
        </w:rPr>
        <w:t>nPvz </w:t>
      </w:r>
      <w:r>
        <w:rPr>
          <w:rFonts w:ascii="Arial" w:hAnsi="Arial"/>
          <w:b/>
          <w:i/>
          <w:w w:val="95"/>
          <w:sz w:val="19"/>
        </w:rPr>
        <w:t>+--,.pJIII </w:t>
      </w:r>
      <w:r>
        <w:rPr>
          <w:rFonts w:ascii="Arial" w:hAnsi="Arial"/>
          <w:sz w:val="32"/>
        </w:rPr>
        <w:t>+</w:t>
      </w:r>
      <w:r>
        <w:rPr>
          <w:rFonts w:ascii="Arial" w:hAnsi="Arial"/>
          <w:spacing w:val="-56"/>
          <w:sz w:val="32"/>
        </w:rPr>
        <w:t> </w:t>
      </w:r>
      <w:r>
        <w:rPr>
          <w:b/>
          <w:i/>
          <w:w w:val="95"/>
          <w:sz w:val="20"/>
        </w:rPr>
        <w:t>nP:n </w:t>
      </w:r>
      <w:r>
        <w:rPr>
          <w:rFonts w:ascii="Arial" w:hAnsi="Arial"/>
          <w:sz w:val="32"/>
        </w:rPr>
        <w:t>+</w:t>
      </w:r>
      <w:r>
        <w:rPr>
          <w:rFonts w:ascii="Arial" w:hAnsi="Arial"/>
          <w:spacing w:val="-58"/>
          <w:sz w:val="32"/>
        </w:rPr>
        <w:t> </w:t>
      </w:r>
      <w:r>
        <w:rPr>
          <w:b/>
          <w:w w:val="95"/>
          <w:sz w:val="14"/>
        </w:rPr>
        <w:t>tt'P,¡:</w:t>
      </w:r>
    </w:p>
    <w:p>
      <w:pPr>
        <w:spacing w:line="247" w:lineRule="auto" w:before="0"/>
        <w:ind w:left="117" w:right="106" w:firstLine="1540"/>
        <w:jc w:val="both"/>
        <w:rPr>
          <w:sz w:val="21"/>
        </w:rPr>
      </w:pPr>
      <w:r>
        <w:rPr>
          <w:w w:val="268"/>
          <w:sz w:val="21"/>
        </w:rPr>
        <w:t>-</w:t>
      </w:r>
      <w:r>
        <w:rPr>
          <w:spacing w:val="-95"/>
          <w:w w:val="268"/>
          <w:sz w:val="21"/>
        </w:rPr>
        <w:t> </w:t>
      </w:r>
      <w:r>
        <w:rPr>
          <w:b/>
          <w:w w:val="107"/>
          <w:sz w:val="21"/>
        </w:rPr>
        <w:t>3 </w:t>
      </w:r>
      <w:r>
        <w:rPr>
          <w:b/>
          <w:w w:val="93"/>
          <w:sz w:val="14"/>
        </w:rPr>
        <w:t>{nPtozr, </w:t>
      </w:r>
      <w:r>
        <w:rPr>
          <w:rFonts w:ascii="Arial" w:hAnsi="Arial"/>
          <w:w w:val="104"/>
          <w:sz w:val="32"/>
        </w:rPr>
        <w:t>+ </w:t>
      </w:r>
      <w:r>
        <w:rPr>
          <w:b/>
          <w:w w:val="107"/>
          <w:sz w:val="14"/>
        </w:rPr>
        <w:t>ttPvsz  </w:t>
      </w:r>
      <w:r>
        <w:rPr>
          <w:rFonts w:ascii="Arial" w:hAnsi="Arial"/>
          <w:w w:val="106"/>
          <w:sz w:val="32"/>
        </w:rPr>
        <w:t>+ </w:t>
      </w:r>
      <w:r>
        <w:rPr>
          <w:b/>
          <w:i/>
          <w:w w:val="48"/>
          <w:sz w:val="21"/>
        </w:rPr>
        <w:t>•Pt1111z  </w:t>
      </w:r>
      <w:r>
        <w:rPr>
          <w:rFonts w:ascii="Arial" w:hAnsi="Arial"/>
          <w:w w:val="104"/>
          <w:sz w:val="32"/>
        </w:rPr>
        <w:t>+ </w:t>
      </w:r>
      <w:r>
        <w:rPr>
          <w:b/>
          <w:i/>
          <w:spacing w:val="-3"/>
          <w:w w:val="127"/>
          <w:sz w:val="21"/>
        </w:rPr>
        <w:t>•Ps </w:t>
      </w:r>
      <w:r>
        <w:rPr>
          <w:b/>
          <w:i/>
          <w:w w:val="68"/>
          <w:sz w:val="21"/>
        </w:rPr>
        <w:t>)  </w:t>
      </w:r>
      <w:r>
        <w:rPr>
          <w:rFonts w:ascii="Arial" w:hAnsi="Arial"/>
          <w:w w:val="102"/>
          <w:sz w:val="32"/>
        </w:rPr>
        <w:t>+ </w:t>
      </w:r>
      <w:r>
        <w:rPr>
          <w:b/>
          <w:w w:val="101"/>
          <w:sz w:val="21"/>
        </w:rPr>
        <w:t>6 </w:t>
      </w:r>
      <w:r>
        <w:rPr>
          <w:b/>
          <w:i/>
          <w:w w:val="87"/>
          <w:sz w:val="21"/>
        </w:rPr>
        <w:t>•P•s,,: </w:t>
      </w:r>
      <w:r>
        <w:rPr>
          <w:w w:val="60"/>
          <w:sz w:val="21"/>
        </w:rPr>
        <w:t>• </w:t>
      </w:r>
      <w:r>
        <w:rPr>
          <w:sz w:val="21"/>
        </w:rPr>
        <w:t>A partial check can be obtained by letting </w:t>
      </w:r>
      <w:r>
        <w:rPr>
          <w:i/>
          <w:sz w:val="20"/>
        </w:rPr>
        <w:t>nP </w:t>
      </w:r>
      <w:r>
        <w:rPr>
          <w:sz w:val="24"/>
        </w:rPr>
        <w:t>= </w:t>
      </w:r>
      <w:r>
        <w:rPr>
          <w:w w:val="110"/>
          <w:sz w:val="21"/>
        </w:rPr>
        <w:t>1 </w:t>
      </w:r>
      <w:r>
        <w:rPr>
          <w:sz w:val="21"/>
        </w:rPr>
        <w:t>for each single </w:t>
      </w:r>
      <w:r>
        <w:rPr>
          <w:spacing w:val="3"/>
          <w:sz w:val="21"/>
        </w:rPr>
        <w:t>life. </w:t>
      </w:r>
      <w:r>
        <w:rPr>
          <w:rFonts w:ascii="Arial" w:hAnsi="Arial"/>
          <w:b/>
          <w:spacing w:val="2"/>
          <w:sz w:val="20"/>
        </w:rPr>
        <w:t>W</w:t>
      </w:r>
      <w:r>
        <w:rPr>
          <w:spacing w:val="2"/>
          <w:sz w:val="21"/>
        </w:rPr>
        <w:t>e </w:t>
      </w:r>
      <w:r>
        <w:rPr>
          <w:sz w:val="21"/>
        </w:rPr>
        <w:t>then find</w:t>
      </w:r>
    </w:p>
    <w:p>
      <w:pPr>
        <w:spacing w:before="63"/>
        <w:ind w:left="5" w:right="1259" w:firstLine="0"/>
        <w:jc w:val="center"/>
        <w:rPr>
          <w:sz w:val="31"/>
        </w:rPr>
      </w:pPr>
      <w:r>
        <w:rPr/>
        <w:pict>
          <v:shape style="position:absolute;margin-left:102.419998pt;margin-top:5.266922pt;width:8.7pt;height:6pt;mso-position-horizontal-relative:page;mso-position-vertical-relative:paragraph;z-index:-718816" type="#_x0000_t202" filled="false" stroked="false">
            <v:textbox inset="0,0,0,0">
              <w:txbxContent>
                <w:p>
                  <w:pPr>
                    <w:spacing w:line="120" w:lineRule="exact" w:before="0"/>
                    <w:ind w:left="0" w:right="-20" w:firstLine="0"/>
                    <w:jc w:val="left"/>
                    <w:rPr>
                      <w:rFonts w:ascii="Arial"/>
                      <w:b/>
                      <w:sz w:val="12"/>
                    </w:rPr>
                  </w:pPr>
                  <w:r>
                    <w:rPr>
                      <w:rFonts w:ascii="Arial"/>
                      <w:b/>
                      <w:w w:val="145"/>
                      <w:sz w:val="12"/>
                    </w:rPr>
                    <w:t>(t]</w:t>
                  </w:r>
                </w:p>
              </w:txbxContent>
            </v:textbox>
            <w10:wrap type="none"/>
          </v:shape>
        </w:pict>
      </w:r>
      <w:r>
        <w:rPr>
          <w:rFonts w:ascii="Arial" w:hAnsi="Arial"/>
          <w:i/>
          <w:spacing w:val="-186"/>
          <w:w w:val="295"/>
          <w:sz w:val="20"/>
        </w:rPr>
        <w:t>.</w:t>
      </w:r>
      <w:r>
        <w:rPr>
          <w:rFonts w:ascii="Arial" w:hAnsi="Arial"/>
          <w:i/>
          <w:w w:val="125"/>
          <w:sz w:val="20"/>
        </w:rPr>
        <w:t>p.;..</w:t>
      </w:r>
      <w:r>
        <w:rPr>
          <w:rFonts w:ascii="Arial" w:hAnsi="Arial"/>
          <w:i/>
          <w:sz w:val="20"/>
        </w:rPr>
        <w:t> </w:t>
      </w:r>
      <w:r>
        <w:rPr>
          <w:rFonts w:ascii="Arial" w:hAnsi="Arial"/>
          <w:i/>
          <w:spacing w:val="-27"/>
          <w:sz w:val="20"/>
        </w:rPr>
        <w:t> </w:t>
      </w:r>
      <w:r>
        <w:rPr>
          <w:w w:val="105"/>
          <w:sz w:val="24"/>
        </w:rPr>
        <w:t>=</w:t>
      </w:r>
      <w:r>
        <w:rPr>
          <w:sz w:val="24"/>
        </w:rPr>
        <w:t> </w:t>
      </w:r>
      <w:r>
        <w:rPr>
          <w:spacing w:val="-30"/>
          <w:sz w:val="24"/>
        </w:rPr>
        <w:t> </w:t>
      </w:r>
      <w:r>
        <w:rPr>
          <w:w w:val="109"/>
          <w:sz w:val="21"/>
        </w:rPr>
        <w:t>6</w:t>
      </w:r>
      <w:r>
        <w:rPr>
          <w:sz w:val="21"/>
        </w:rPr>
        <w:t> </w:t>
      </w:r>
      <w:r>
        <w:rPr>
          <w:spacing w:val="-26"/>
          <w:sz w:val="21"/>
        </w:rPr>
        <w:t> </w:t>
      </w:r>
      <w:r>
        <w:rPr>
          <w:w w:val="268"/>
          <w:sz w:val="21"/>
        </w:rPr>
        <w:t>-</w:t>
      </w:r>
      <w:r>
        <w:rPr>
          <w:spacing w:val="-7"/>
          <w:sz w:val="21"/>
        </w:rPr>
        <w:t> </w:t>
      </w:r>
      <w:r>
        <w:rPr>
          <w:w w:val="111"/>
          <w:sz w:val="21"/>
        </w:rPr>
        <w:t>3·</w:t>
      </w:r>
      <w:r>
        <w:rPr>
          <w:spacing w:val="-11"/>
          <w:sz w:val="21"/>
        </w:rPr>
        <w:t> </w:t>
      </w:r>
      <w:r>
        <w:rPr>
          <w:w w:val="101"/>
          <w:sz w:val="21"/>
        </w:rPr>
        <w:t>(4)</w:t>
      </w:r>
      <w:r>
        <w:rPr>
          <w:sz w:val="21"/>
        </w:rPr>
        <w:t> </w:t>
      </w:r>
      <w:r>
        <w:rPr>
          <w:spacing w:val="-17"/>
          <w:sz w:val="21"/>
        </w:rPr>
        <w:t> </w:t>
      </w:r>
      <w:r>
        <w:rPr>
          <w:rFonts w:ascii="Arial" w:hAnsi="Arial"/>
          <w:w w:val="105"/>
          <w:sz w:val="31"/>
        </w:rPr>
        <w:t>+</w:t>
      </w:r>
      <w:r>
        <w:rPr>
          <w:rFonts w:ascii="Arial" w:hAnsi="Arial"/>
          <w:spacing w:val="-33"/>
          <w:sz w:val="31"/>
        </w:rPr>
        <w:t> </w:t>
      </w:r>
      <w:r>
        <w:rPr>
          <w:w w:val="109"/>
          <w:sz w:val="21"/>
        </w:rPr>
        <w:t>6</w:t>
      </w:r>
      <w:r>
        <w:rPr>
          <w:sz w:val="21"/>
        </w:rPr>
        <w:t> </w:t>
      </w:r>
      <w:r>
        <w:rPr>
          <w:spacing w:val="-26"/>
          <w:sz w:val="21"/>
        </w:rPr>
        <w:t> </w:t>
      </w:r>
      <w:r>
        <w:rPr>
          <w:w w:val="103"/>
          <w:sz w:val="24"/>
        </w:rPr>
        <w:t>=</w:t>
      </w:r>
      <w:r>
        <w:rPr>
          <w:spacing w:val="26"/>
          <w:sz w:val="24"/>
        </w:rPr>
        <w:t> </w:t>
      </w:r>
      <w:r>
        <w:rPr>
          <w:w w:val="74"/>
          <w:sz w:val="31"/>
        </w:rPr>
        <w:t>o.</w:t>
      </w:r>
    </w:p>
    <w:p>
      <w:pPr>
        <w:spacing w:line="238" w:lineRule="exact" w:before="91"/>
        <w:ind w:left="124" w:right="133" w:hanging="8"/>
        <w:jc w:val="left"/>
        <w:rPr>
          <w:sz w:val="21"/>
        </w:rPr>
      </w:pPr>
      <w:r>
        <w:rPr>
          <w:sz w:val="21"/>
        </w:rPr>
        <w:t>This is clearly correct since if each life is certain to survive, the probability  that exactly two will survive is  O.</w:t>
      </w:r>
    </w:p>
    <w:p>
      <w:pPr>
        <w:spacing w:line="220" w:lineRule="auto" w:before="51"/>
        <w:ind w:left="117" w:right="104" w:firstLine="201"/>
        <w:jc w:val="both"/>
        <w:rPr>
          <w:sz w:val="21"/>
        </w:rPr>
      </w:pPr>
      <w:r>
        <w:rPr/>
        <w:pict>
          <v:line style="position:absolute;mso-position-horizontal-relative:page;mso-position-vertical-relative:paragraph;z-index:-718840" from="199.080002pt,12.98797pt" to="221.040002pt,12.98797pt" stroked="true" strokeweight="1.98pt" strokecolor="#000000">
            <w10:wrap type="none"/>
          </v:line>
        </w:pict>
      </w:r>
      <w:r>
        <w:rPr/>
        <w:pict>
          <v:shape style="position:absolute;margin-left:101.519997pt;margin-top:25.964769pt;width:3.05pt;height:28.5pt;mso-position-horizontal-relative:page;mso-position-vertical-relative:paragraph;z-index:-718768" type="#_x0000_t202" filled="false" stroked="false">
            <v:textbox inset="0,0,0,0">
              <w:txbxContent>
                <w:p>
                  <w:pPr>
                    <w:spacing w:line="570" w:lineRule="exact" w:before="0"/>
                    <w:ind w:left="0" w:right="0" w:firstLine="0"/>
                    <w:jc w:val="left"/>
                    <w:rPr>
                      <w:sz w:val="57"/>
                    </w:rPr>
                  </w:pPr>
                  <w:r>
                    <w:rPr>
                      <w:spacing w:val="-179"/>
                      <w:w w:val="168"/>
                      <w:sz w:val="57"/>
                    </w:rPr>
                    <w:t>.</w:t>
                  </w:r>
                </w:p>
              </w:txbxContent>
            </v:textbox>
            <w10:wrap type="none"/>
          </v:shape>
        </w:pict>
      </w:r>
      <w:r>
        <w:rPr>
          <w:w w:val="96"/>
          <w:sz w:val="21"/>
        </w:rPr>
        <w:t>We </w:t>
      </w:r>
      <w:r>
        <w:rPr>
          <w:w w:val="93"/>
          <w:sz w:val="21"/>
        </w:rPr>
        <w:t>now </w:t>
      </w:r>
      <w:r>
        <w:rPr>
          <w:w w:val="106"/>
          <w:sz w:val="21"/>
        </w:rPr>
        <w:t>retum </w:t>
      </w:r>
      <w:r>
        <w:rPr>
          <w:w w:val="102"/>
          <w:sz w:val="22"/>
        </w:rPr>
        <w:t>to </w:t>
      </w:r>
      <w:r>
        <w:rPr>
          <w:w w:val="107"/>
          <w:sz w:val="21"/>
        </w:rPr>
        <w:t>the </w:t>
      </w:r>
      <w:r>
        <w:rPr>
          <w:w w:val="100"/>
          <w:sz w:val="21"/>
        </w:rPr>
        <w:t>probability </w:t>
      </w:r>
      <w:r>
        <w:rPr>
          <w:b/>
          <w:spacing w:val="-5"/>
          <w:w w:val="173"/>
          <w:sz w:val="14"/>
        </w:rPr>
        <w:t>•Ps</w:t>
      </w:r>
      <w:r>
        <w:rPr>
          <w:rFonts w:ascii="Arial" w:hAnsi="Arial"/>
          <w:b/>
          <w:spacing w:val="-5"/>
          <w:w w:val="173"/>
          <w:position w:val="-4"/>
          <w:sz w:val="10"/>
        </w:rPr>
        <w:t>1</w:t>
      </w:r>
      <w:r>
        <w:rPr>
          <w:b/>
          <w:spacing w:val="-5"/>
          <w:w w:val="173"/>
          <w:sz w:val="14"/>
        </w:rPr>
        <w:t>s</w:t>
      </w:r>
      <w:r>
        <w:rPr>
          <w:rFonts w:ascii="Arial" w:hAnsi="Arial"/>
          <w:b/>
          <w:spacing w:val="-5"/>
          <w:w w:val="173"/>
          <w:position w:val="-4"/>
          <w:sz w:val="10"/>
        </w:rPr>
        <w:t>1</w:t>
      </w:r>
      <w:r>
        <w:rPr>
          <w:rFonts w:ascii="Arial" w:hAnsi="Arial"/>
          <w:b/>
          <w:spacing w:val="-5"/>
          <w:w w:val="173"/>
          <w:sz w:val="10"/>
        </w:rPr>
        <w:t>... </w:t>
      </w:r>
      <w:r>
        <w:rPr>
          <w:rFonts w:ascii="Arial" w:hAnsi="Arial"/>
          <w:b/>
          <w:spacing w:val="-2"/>
          <w:w w:val="211"/>
          <w:sz w:val="10"/>
        </w:rPr>
        <w:t>.</w:t>
      </w:r>
      <w:r>
        <w:rPr>
          <w:spacing w:val="-2"/>
          <w:w w:val="211"/>
          <w:sz w:val="21"/>
        </w:rPr>
        <w:t>that </w:t>
      </w:r>
      <w:r>
        <w:rPr>
          <w:rFonts w:ascii="Arial" w:hAnsi="Arial"/>
          <w:i/>
          <w:spacing w:val="-2"/>
          <w:w w:val="95"/>
          <w:sz w:val="18"/>
        </w:rPr>
        <w:t>at </w:t>
      </w:r>
      <w:r>
        <w:rPr>
          <w:i/>
          <w:spacing w:val="-2"/>
          <w:w w:val="85"/>
          <w:sz w:val="22"/>
        </w:rPr>
        <w:t>least </w:t>
      </w:r>
      <w:r>
        <w:rPr>
          <w:i/>
          <w:spacing w:val="-2"/>
          <w:w w:val="91"/>
          <w:sz w:val="22"/>
        </w:rPr>
        <w:t>r </w:t>
      </w:r>
      <w:r>
        <w:rPr>
          <w:spacing w:val="-2"/>
          <w:w w:val="98"/>
          <w:sz w:val="21"/>
        </w:rPr>
        <w:t>lives </w:t>
      </w:r>
      <w:r>
        <w:rPr>
          <w:spacing w:val="-2"/>
          <w:w w:val="105"/>
          <w:sz w:val="21"/>
        </w:rPr>
        <w:t>will survive for </w:t>
      </w:r>
      <w:r>
        <w:rPr>
          <w:i/>
          <w:spacing w:val="-2"/>
          <w:w w:val="105"/>
          <w:sz w:val="22"/>
        </w:rPr>
        <w:t>n </w:t>
      </w:r>
      <w:r>
        <w:rPr>
          <w:spacing w:val="-2"/>
          <w:w w:val="105"/>
          <w:sz w:val="21"/>
        </w:rPr>
        <w:t>years. </w:t>
      </w:r>
      <w:r>
        <w:rPr>
          <w:rFonts w:ascii="Arial" w:hAnsi="Arial"/>
          <w:b/>
          <w:spacing w:val="3"/>
          <w:w w:val="105"/>
          <w:sz w:val="20"/>
        </w:rPr>
        <w:t>W</w:t>
      </w:r>
      <w:r>
        <w:rPr>
          <w:spacing w:val="3"/>
          <w:w w:val="105"/>
          <w:sz w:val="21"/>
        </w:rPr>
        <w:t>e </w:t>
      </w:r>
      <w:r>
        <w:rPr>
          <w:w w:val="105"/>
          <w:sz w:val="21"/>
        </w:rPr>
        <w:t>shall show that this probability can </w:t>
      </w:r>
      <w:r>
        <w:rPr>
          <w:sz w:val="21"/>
        </w:rPr>
        <w:t>be expressed as follows:</w:t>
      </w:r>
    </w:p>
    <w:p>
      <w:pPr>
        <w:spacing w:line="120" w:lineRule="exact" w:before="86"/>
        <w:ind w:left="1892" w:right="0" w:firstLine="0"/>
        <w:jc w:val="left"/>
        <w:rPr>
          <w:rFonts w:ascii="Arial"/>
          <w:sz w:val="14"/>
        </w:rPr>
      </w:pPr>
      <w:r>
        <w:rPr>
          <w:rFonts w:ascii="Arial"/>
          <w:w w:val="74"/>
          <w:sz w:val="14"/>
        </w:rPr>
        <w:t>.</w:t>
      </w:r>
    </w:p>
    <w:p>
      <w:pPr>
        <w:spacing w:line="390" w:lineRule="exact" w:before="0"/>
        <w:ind w:left="121" w:right="739" w:firstLine="0"/>
        <w:jc w:val="left"/>
        <w:rPr>
          <w:b/>
          <w:sz w:val="13"/>
        </w:rPr>
      </w:pPr>
      <w:r>
        <w:rPr/>
        <w:pict>
          <v:shape style="position:absolute;margin-left:75.239998pt;margin-top:11.220562pt;width:4.75pt;height:3.5pt;mso-position-horizontal-relative:page;mso-position-vertical-relative:paragraph;z-index:-718744" type="#_x0000_t202" filled="false" stroked="false">
            <v:textbox inset="0,0,0,0">
              <w:txbxContent>
                <w:p>
                  <w:pPr>
                    <w:spacing w:line="70" w:lineRule="exact" w:before="0"/>
                    <w:ind w:left="0" w:right="-19" w:firstLine="0"/>
                    <w:jc w:val="left"/>
                    <w:rPr>
                      <w:rFonts w:ascii="Arial"/>
                      <w:b/>
                      <w:sz w:val="7"/>
                    </w:rPr>
                  </w:pPr>
                  <w:r>
                    <w:rPr>
                      <w:rFonts w:ascii="Arial"/>
                      <w:b/>
                      <w:w w:val="80"/>
                      <w:sz w:val="7"/>
                    </w:rPr>
                    <w:t>111</w:t>
                  </w:r>
                </w:p>
              </w:txbxContent>
            </v:textbox>
            <w10:wrap type="none"/>
          </v:shape>
        </w:pict>
      </w:r>
      <w:r>
        <w:rPr>
          <w:b/>
          <w:w w:val="112"/>
          <w:position w:val="-5"/>
          <w:sz w:val="13"/>
        </w:rPr>
        <w:t>nPz1z1</w:t>
      </w:r>
      <w:r>
        <w:rPr>
          <w:b/>
          <w:spacing w:val="-10"/>
          <w:position w:val="-5"/>
          <w:sz w:val="13"/>
        </w:rPr>
        <w:t> </w:t>
      </w:r>
      <w:r>
        <w:rPr>
          <w:spacing w:val="-20"/>
          <w:w w:val="185"/>
          <w:position w:val="-5"/>
          <w:sz w:val="13"/>
        </w:rPr>
        <w:t>·</w:t>
      </w:r>
      <w:r>
        <w:rPr>
          <w:w w:val="76"/>
          <w:position w:val="-5"/>
          <w:sz w:val="13"/>
        </w:rPr>
        <w:t>•</w:t>
      </w:r>
      <w:r>
        <w:rPr>
          <w:spacing w:val="-3"/>
          <w:position w:val="-5"/>
          <w:sz w:val="13"/>
        </w:rPr>
        <w:t> </w:t>
      </w:r>
      <w:r>
        <w:rPr>
          <w:b/>
          <w:spacing w:val="-3"/>
          <w:w w:val="113"/>
          <w:position w:val="-5"/>
          <w:sz w:val="13"/>
        </w:rPr>
        <w:t>•</w:t>
      </w:r>
      <w:r>
        <w:rPr>
          <w:b/>
          <w:spacing w:val="-63"/>
          <w:w w:val="113"/>
          <w:position w:val="-5"/>
          <w:sz w:val="13"/>
        </w:rPr>
        <w:t>z</w:t>
      </w:r>
      <w:r>
        <w:rPr>
          <w:b/>
          <w:spacing w:val="5"/>
          <w:w w:val="70"/>
          <w:sz w:val="20"/>
        </w:rPr>
        <w:t>r</w:t>
      </w:r>
      <w:r>
        <w:rPr>
          <w:b/>
          <w:sz w:val="20"/>
          <w:u w:val="single"/>
        </w:rPr>
        <w:t> </w:t>
      </w:r>
      <w:r>
        <w:rPr>
          <w:b/>
          <w:spacing w:val="17"/>
          <w:sz w:val="20"/>
          <w:u w:val="single"/>
        </w:rPr>
        <w:t> </w:t>
      </w:r>
      <w:r>
        <w:rPr>
          <w:b/>
          <w:spacing w:val="23"/>
          <w:sz w:val="20"/>
        </w:rPr>
        <w:t> </w:t>
      </w:r>
      <w:r>
        <w:rPr>
          <w:w w:val="92"/>
          <w:position w:val="-5"/>
          <w:sz w:val="26"/>
        </w:rPr>
        <w:t>=</w:t>
      </w:r>
      <w:r>
        <w:rPr>
          <w:spacing w:val="-8"/>
          <w:position w:val="-5"/>
          <w:sz w:val="26"/>
        </w:rPr>
        <w:t> </w:t>
      </w:r>
      <w:r>
        <w:rPr>
          <w:spacing w:val="-153"/>
          <w:w w:val="177"/>
          <w:position w:val="-13"/>
          <w:sz w:val="22"/>
        </w:rPr>
        <w:t>,</w:t>
      </w:r>
      <w:r>
        <w:rPr>
          <w:rFonts w:ascii="Arial" w:hAnsi="Arial"/>
          <w:b/>
          <w:i/>
          <w:spacing w:val="-14"/>
          <w:w w:val="81"/>
          <w:position w:val="-5"/>
          <w:sz w:val="15"/>
        </w:rPr>
        <w:t>L</w:t>
      </w:r>
      <w:r>
        <w:rPr>
          <w:spacing w:val="-32"/>
          <w:w w:val="82"/>
          <w:position w:val="-13"/>
          <w:sz w:val="22"/>
        </w:rPr>
        <w:t>.</w:t>
      </w:r>
      <w:r>
        <w:rPr>
          <w:rFonts w:ascii="Arial" w:hAnsi="Arial"/>
          <w:b/>
          <w:i/>
          <w:spacing w:val="-3"/>
          <w:w w:val="81"/>
          <w:position w:val="-5"/>
          <w:sz w:val="15"/>
        </w:rPr>
        <w:t>.</w:t>
      </w:r>
      <w:r>
        <w:rPr>
          <w:spacing w:val="-43"/>
          <w:w w:val="82"/>
          <w:position w:val="-13"/>
          <w:sz w:val="22"/>
        </w:rPr>
        <w:t>.</w:t>
      </w:r>
      <w:r>
        <w:rPr>
          <w:rFonts w:ascii="Arial" w:hAnsi="Arial"/>
          <w:b/>
          <w:i/>
          <w:w w:val="81"/>
          <w:position w:val="-5"/>
          <w:sz w:val="15"/>
        </w:rPr>
        <w:t>.</w:t>
      </w:r>
      <w:r>
        <w:rPr>
          <w:rFonts w:ascii="Arial" w:hAnsi="Arial"/>
          <w:b/>
          <w:i/>
          <w:spacing w:val="-61"/>
          <w:w w:val="81"/>
          <w:position w:val="-5"/>
          <w:sz w:val="15"/>
        </w:rPr>
        <w:t>J</w:t>
      </w:r>
      <w:r>
        <w:rPr>
          <w:w w:val="82"/>
          <w:position w:val="-13"/>
          <w:sz w:val="22"/>
        </w:rPr>
        <w:t>,.</w:t>
      </w:r>
      <w:r>
        <w:rPr>
          <w:spacing w:val="20"/>
          <w:position w:val="-13"/>
          <w:sz w:val="22"/>
        </w:rPr>
        <w:t> </w:t>
      </w:r>
      <w:r>
        <w:rPr>
          <w:rFonts w:ascii="Arial" w:hAnsi="Arial"/>
          <w:b/>
          <w:w w:val="176"/>
          <w:sz w:val="19"/>
        </w:rPr>
        <w:t>(-</w:t>
      </w:r>
      <w:r>
        <w:rPr>
          <w:rFonts w:ascii="Arial" w:hAnsi="Arial"/>
          <w:b/>
          <w:spacing w:val="-26"/>
          <w:w w:val="176"/>
          <w:sz w:val="19"/>
        </w:rPr>
        <w:t>1</w:t>
      </w:r>
      <w:r>
        <w:rPr>
          <w:rFonts w:ascii="Arial" w:hAnsi="Arial"/>
          <w:spacing w:val="4"/>
          <w:w w:val="117"/>
          <w:sz w:val="19"/>
        </w:rPr>
        <w:t>)</w:t>
      </w:r>
      <w:r>
        <w:rPr>
          <w:rFonts w:ascii="Arial" w:hAnsi="Arial"/>
          <w:w w:val="153"/>
          <w:sz w:val="19"/>
        </w:rPr>
        <w:t>,</w:t>
      </w:r>
      <w:r>
        <w:rPr>
          <w:rFonts w:ascii="Arial" w:hAnsi="Arial"/>
          <w:spacing w:val="-28"/>
          <w:w w:val="153"/>
          <w:sz w:val="19"/>
        </w:rPr>
        <w:t>-</w:t>
      </w:r>
      <w:r>
        <w:rPr>
          <w:rFonts w:ascii="Arial" w:hAnsi="Arial"/>
          <w:w w:val="66"/>
          <w:sz w:val="19"/>
        </w:rPr>
        <w:t>,.</w:t>
      </w:r>
      <w:r>
        <w:rPr>
          <w:rFonts w:ascii="Arial" w:hAnsi="Arial"/>
          <w:spacing w:val="-37"/>
          <w:sz w:val="19"/>
        </w:rPr>
        <w:t> </w:t>
      </w:r>
      <w:r>
        <w:rPr>
          <w:b/>
          <w:spacing w:val="-34"/>
          <w:w w:val="118"/>
          <w:sz w:val="20"/>
        </w:rPr>
        <w:t>(</w:t>
      </w:r>
      <w:r>
        <w:rPr>
          <w:b/>
          <w:spacing w:val="-89"/>
          <w:w w:val="152"/>
          <w:sz w:val="20"/>
        </w:rPr>
        <w:t>,</w:t>
      </w:r>
      <w:r>
        <w:rPr>
          <w:b/>
          <w:spacing w:val="-16"/>
          <w:w w:val="118"/>
          <w:sz w:val="20"/>
        </w:rPr>
        <w:t>'</w:t>
      </w:r>
      <w:r>
        <w:rPr>
          <w:b/>
          <w:spacing w:val="-56"/>
          <w:w w:val="104"/>
          <w:sz w:val="20"/>
        </w:rPr>
        <w:t>-</w:t>
      </w:r>
      <w:r>
        <w:rPr>
          <w:b/>
          <w:spacing w:val="-47"/>
          <w:w w:val="151"/>
          <w:sz w:val="20"/>
        </w:rPr>
        <w:t>-</w:t>
      </w:r>
      <w:r>
        <w:rPr>
          <w:b/>
          <w:spacing w:val="-55"/>
          <w:w w:val="104"/>
          <w:sz w:val="20"/>
        </w:rPr>
        <w:t>r</w:t>
      </w:r>
      <w:r>
        <w:rPr>
          <w:b/>
          <w:w w:val="105"/>
          <w:sz w:val="20"/>
        </w:rPr>
        <w:t>l</w:t>
      </w:r>
      <w:r>
        <w:rPr>
          <w:b/>
          <w:spacing w:val="-23"/>
          <w:sz w:val="20"/>
        </w:rPr>
        <w:t> </w:t>
      </w:r>
      <w:r>
        <w:rPr>
          <w:b/>
          <w:w w:val="86"/>
          <w:sz w:val="20"/>
        </w:rPr>
        <w:t>)</w:t>
      </w:r>
      <w:r>
        <w:rPr>
          <w:b/>
          <w:spacing w:val="-33"/>
          <w:sz w:val="20"/>
        </w:rPr>
        <w:t> </w:t>
      </w:r>
      <w:r>
        <w:rPr>
          <w:b/>
          <w:i/>
          <w:w w:val="78"/>
          <w:sz w:val="22"/>
        </w:rPr>
        <w:t>Z</w:t>
      </w:r>
      <w:r>
        <w:rPr>
          <w:b/>
          <w:i/>
          <w:spacing w:val="-25"/>
          <w:sz w:val="22"/>
        </w:rPr>
        <w:t> </w:t>
      </w:r>
      <w:r>
        <w:rPr>
          <w:b/>
          <w:i/>
          <w:w w:val="94"/>
          <w:sz w:val="22"/>
        </w:rPr>
        <w:t>,</w:t>
      </w:r>
      <w:r>
        <w:rPr>
          <w:b/>
          <w:i/>
          <w:sz w:val="22"/>
        </w:rPr>
        <w:t> </w:t>
      </w:r>
      <w:r>
        <w:rPr>
          <w:b/>
          <w:i/>
          <w:spacing w:val="-22"/>
          <w:sz w:val="22"/>
        </w:rPr>
        <w:t> </w:t>
      </w:r>
      <w:r>
        <w:rPr>
          <w:w w:val="92"/>
          <w:sz w:val="26"/>
        </w:rPr>
        <w:t>=</w:t>
      </w:r>
      <w:r>
        <w:rPr>
          <w:sz w:val="26"/>
        </w:rPr>
        <w:t> </w:t>
      </w:r>
      <w:r>
        <w:rPr>
          <w:spacing w:val="-29"/>
          <w:sz w:val="26"/>
        </w:rPr>
        <w:t> </w:t>
      </w:r>
      <w:r>
        <w:rPr>
          <w:b/>
          <w:i/>
          <w:w w:val="77"/>
          <w:sz w:val="22"/>
        </w:rPr>
        <w:t>Zr</w:t>
      </w:r>
      <w:r>
        <w:rPr>
          <w:b/>
          <w:i/>
          <w:sz w:val="22"/>
        </w:rPr>
        <w:t> </w:t>
      </w:r>
      <w:r>
        <w:rPr>
          <w:b/>
          <w:i/>
          <w:spacing w:val="-5"/>
          <w:sz w:val="22"/>
        </w:rPr>
        <w:t> </w:t>
      </w:r>
      <w:r>
        <w:rPr>
          <w:w w:val="249"/>
          <w:sz w:val="22"/>
        </w:rPr>
        <w:t>-</w:t>
      </w:r>
      <w:r>
        <w:rPr>
          <w:sz w:val="22"/>
        </w:rPr>
        <w:t> </w:t>
      </w:r>
      <w:r>
        <w:rPr>
          <w:spacing w:val="-20"/>
          <w:sz w:val="22"/>
        </w:rPr>
        <w:t> </w:t>
      </w:r>
      <w:r>
        <w:rPr>
          <w:b/>
          <w:w w:val="79"/>
          <w:sz w:val="20"/>
        </w:rPr>
        <w:t>(</w:t>
      </w:r>
      <w:r>
        <w:rPr>
          <w:b/>
          <w:spacing w:val="-56"/>
          <w:w w:val="79"/>
          <w:sz w:val="20"/>
        </w:rPr>
        <w:t>r</w:t>
      </w:r>
      <w:r>
        <w:rPr>
          <w:b/>
          <w:w w:val="106"/>
          <w:position w:val="-5"/>
          <w:sz w:val="13"/>
        </w:rPr>
        <w:t>1</w:t>
      </w:r>
      <w:r>
        <w:rPr>
          <w:b/>
          <w:spacing w:val="-15"/>
          <w:position w:val="-5"/>
          <w:sz w:val="13"/>
        </w:rPr>
        <w:t> </w:t>
      </w:r>
      <w:r>
        <w:rPr>
          <w:rFonts w:ascii="Arial" w:hAnsi="Arial"/>
          <w:b/>
          <w:w w:val="118"/>
          <w:sz w:val="19"/>
        </w:rPr>
        <w:t>)</w:t>
      </w:r>
      <w:r>
        <w:rPr>
          <w:rFonts w:ascii="Arial" w:hAnsi="Arial"/>
          <w:b/>
          <w:spacing w:val="-5"/>
          <w:w w:val="118"/>
          <w:sz w:val="19"/>
        </w:rPr>
        <w:t>Z</w:t>
      </w:r>
      <w:r>
        <w:rPr>
          <w:b/>
          <w:w w:val="130"/>
          <w:position w:val="-5"/>
          <w:sz w:val="13"/>
        </w:rPr>
        <w:t>r+l</w:t>
      </w:r>
    </w:p>
    <w:p>
      <w:pPr>
        <w:tabs>
          <w:tab w:pos="5254" w:val="left" w:leader="none"/>
        </w:tabs>
        <w:spacing w:before="33"/>
        <w:ind w:left="1467" w:right="0" w:firstLine="0"/>
        <w:jc w:val="left"/>
        <w:rPr>
          <w:sz w:val="21"/>
        </w:rPr>
      </w:pPr>
      <w:r>
        <w:rPr>
          <w:rFonts w:ascii="Arial" w:hAnsi="Arial"/>
          <w:w w:val="105"/>
          <w:sz w:val="31"/>
        </w:rPr>
        <w:t>+</w:t>
      </w:r>
      <w:r>
        <w:rPr>
          <w:rFonts w:ascii="Arial" w:hAnsi="Arial"/>
          <w:spacing w:val="6"/>
          <w:sz w:val="31"/>
        </w:rPr>
        <w:t> </w:t>
      </w:r>
      <w:r>
        <w:rPr>
          <w:spacing w:val="-20"/>
          <w:w w:val="153"/>
          <w:sz w:val="29"/>
        </w:rPr>
        <w:t>(</w:t>
      </w:r>
      <w:r>
        <w:rPr>
          <w:spacing w:val="-64"/>
          <w:w w:val="121"/>
          <w:sz w:val="29"/>
        </w:rPr>
        <w:t>1</w:t>
      </w:r>
      <w:r>
        <w:rPr>
          <w:spacing w:val="-9"/>
          <w:w w:val="135"/>
          <w:position w:val="10"/>
          <w:sz w:val="13"/>
        </w:rPr>
        <w:t>1</w:t>
      </w:r>
      <w:r>
        <w:rPr>
          <w:w w:val="84"/>
          <w:sz w:val="20"/>
        </w:rPr>
        <w:t>)</w:t>
      </w:r>
      <w:r>
        <w:rPr>
          <w:w w:val="84"/>
          <w:sz w:val="20"/>
        </w:rPr>
        <w:t>Z,.+2</w:t>
      </w:r>
      <w:r>
        <w:rPr>
          <w:sz w:val="20"/>
        </w:rPr>
        <w:t> </w:t>
      </w:r>
      <w:r>
        <w:rPr>
          <w:spacing w:val="-12"/>
          <w:sz w:val="20"/>
        </w:rPr>
        <w:t> </w:t>
      </w:r>
      <w:r>
        <w:rPr>
          <w:w w:val="282"/>
          <w:sz w:val="20"/>
        </w:rPr>
        <w:t>-</w:t>
      </w:r>
      <w:r>
        <w:rPr>
          <w:spacing w:val="24"/>
          <w:sz w:val="20"/>
        </w:rPr>
        <w:t> </w:t>
      </w:r>
      <w:r>
        <w:rPr>
          <w:spacing w:val="-13"/>
          <w:w w:val="154"/>
          <w:sz w:val="20"/>
        </w:rPr>
        <w:t>·</w:t>
      </w:r>
      <w:r>
        <w:rPr>
          <w:spacing w:val="-78"/>
          <w:w w:val="154"/>
          <w:sz w:val="20"/>
        </w:rPr>
        <w:t>·</w:t>
      </w:r>
      <w:r>
        <w:rPr>
          <w:w w:val="72"/>
          <w:sz w:val="20"/>
        </w:rPr>
        <w:t>,</w:t>
      </w:r>
      <w:r>
        <w:rPr>
          <w:spacing w:val="-18"/>
          <w:sz w:val="20"/>
        </w:rPr>
        <w:t> </w:t>
      </w:r>
      <w:r>
        <w:rPr>
          <w:w w:val="137"/>
          <w:sz w:val="20"/>
        </w:rPr>
        <w:t>·</w:t>
      </w:r>
      <w:r>
        <w:rPr>
          <w:spacing w:val="-6"/>
          <w:sz w:val="20"/>
        </w:rPr>
        <w:t> </w:t>
      </w:r>
      <w:r>
        <w:rPr>
          <w:rFonts w:ascii="Arial" w:hAnsi="Arial"/>
          <w:w w:val="105"/>
          <w:sz w:val="31"/>
        </w:rPr>
        <w:t>+</w:t>
      </w:r>
      <w:r>
        <w:rPr>
          <w:rFonts w:ascii="Arial" w:hAnsi="Arial"/>
          <w:spacing w:val="6"/>
          <w:sz w:val="31"/>
        </w:rPr>
        <w:t> </w:t>
      </w:r>
      <w:r>
        <w:rPr>
          <w:w w:val="97"/>
          <w:sz w:val="20"/>
        </w:rPr>
        <w:t>(</w:t>
      </w:r>
      <w:r>
        <w:rPr>
          <w:spacing w:val="-26"/>
          <w:sz w:val="20"/>
        </w:rPr>
        <w:t> </w:t>
      </w:r>
      <w:r>
        <w:rPr>
          <w:w w:val="132"/>
          <w:sz w:val="20"/>
        </w:rPr>
        <w:t>-l</w:t>
      </w:r>
      <w:r>
        <w:rPr>
          <w:w w:val="132"/>
          <w:sz w:val="20"/>
        </w:rPr>
        <w:t>)</w:t>
      </w:r>
      <w:r>
        <w:rPr>
          <w:w w:val="132"/>
          <w:sz w:val="20"/>
        </w:rPr>
        <w:t>m-r</w:t>
      </w:r>
      <w:r>
        <w:rPr>
          <w:spacing w:val="-16"/>
          <w:sz w:val="20"/>
        </w:rPr>
        <w:t> </w:t>
      </w:r>
      <w:r>
        <w:rPr>
          <w:spacing w:val="-16"/>
          <w:w w:val="167"/>
          <w:sz w:val="20"/>
        </w:rPr>
        <w:t>(</w:t>
      </w:r>
      <w:r>
        <w:rPr>
          <w:spacing w:val="-107"/>
          <w:w w:val="167"/>
          <w:sz w:val="20"/>
        </w:rPr>
        <w:t>:</w:t>
      </w:r>
      <w:r>
        <w:rPr>
          <w:spacing w:val="-119"/>
          <w:w w:val="475"/>
          <w:sz w:val="20"/>
        </w:rPr>
        <w:t>:</w:t>
      </w:r>
      <w:r>
        <w:rPr>
          <w:w w:val="88"/>
          <w:sz w:val="20"/>
        </w:rPr>
        <w:t>)</w:t>
      </w:r>
      <w:r>
        <w:rPr>
          <w:w w:val="88"/>
          <w:sz w:val="20"/>
        </w:rPr>
        <w:t>Zm</w:t>
      </w:r>
      <w:r>
        <w:rPr>
          <w:sz w:val="20"/>
        </w:rPr>
        <w:t> </w:t>
      </w:r>
      <w:r>
        <w:rPr>
          <w:spacing w:val="-25"/>
          <w:sz w:val="20"/>
        </w:rPr>
        <w:t> </w:t>
      </w:r>
      <w:r>
        <w:rPr>
          <w:w w:val="131"/>
          <w:sz w:val="20"/>
        </w:rPr>
        <w:t>.</w:t>
      </w:r>
      <w:r>
        <w:rPr>
          <w:sz w:val="20"/>
        </w:rPr>
        <w:tab/>
      </w:r>
      <w:r>
        <w:rPr>
          <w:w w:val="95"/>
          <w:sz w:val="21"/>
        </w:rPr>
        <w:t>(10.12)</w:t>
      </w:r>
    </w:p>
    <w:p>
      <w:pPr>
        <w:spacing w:before="70"/>
        <w:ind w:left="117" w:right="133" w:firstLine="0"/>
        <w:jc w:val="left"/>
        <w:rPr>
          <w:sz w:val="21"/>
        </w:rPr>
      </w:pPr>
      <w:r>
        <w:rPr>
          <w:w w:val="105"/>
          <w:sz w:val="21"/>
        </w:rPr>
        <w:t>The proof is by induction on </w:t>
      </w:r>
      <w:r>
        <w:rPr>
          <w:rFonts w:ascii="Arial"/>
          <w:i/>
          <w:w w:val="125"/>
          <w:sz w:val="17"/>
        </w:rPr>
        <w:t>r. </w:t>
      </w:r>
      <w:r>
        <w:rPr>
          <w:w w:val="105"/>
          <w:sz w:val="21"/>
        </w:rPr>
        <w:t>When </w:t>
      </w:r>
      <w:r>
        <w:rPr>
          <w:rFonts w:ascii="Arial"/>
          <w:i/>
          <w:w w:val="105"/>
          <w:sz w:val="17"/>
        </w:rPr>
        <w:t>r  </w:t>
      </w:r>
      <w:r>
        <w:rPr>
          <w:w w:val="105"/>
          <w:sz w:val="24"/>
        </w:rPr>
        <w:t>= </w:t>
      </w:r>
      <w:r>
        <w:rPr>
          <w:w w:val="105"/>
          <w:sz w:val="21"/>
        </w:rPr>
        <w:t>1, the formula is</w:t>
      </w:r>
    </w:p>
    <w:p>
      <w:pPr>
        <w:spacing w:before="71"/>
        <w:ind w:left="805" w:right="133" w:firstLine="0"/>
        <w:jc w:val="left"/>
        <w:rPr>
          <w:sz w:val="22"/>
        </w:rPr>
      </w:pPr>
      <w:r>
        <w:rPr/>
        <w:pict>
          <v:shape style="position:absolute;margin-left:86.580002pt;margin-top:15.657234pt;width:10.4pt;height:5pt;mso-position-horizontal-relative:page;mso-position-vertical-relative:paragraph;z-index:-718720" type="#_x0000_t202" filled="false" stroked="false">
            <v:textbox inset="0,0,0,0">
              <w:txbxContent>
                <w:p>
                  <w:pPr>
                    <w:spacing w:line="100" w:lineRule="exact" w:before="0"/>
                    <w:ind w:left="0" w:right="-7" w:firstLine="0"/>
                    <w:jc w:val="left"/>
                    <w:rPr>
                      <w:rFonts w:ascii="Arial"/>
                      <w:b/>
                      <w:sz w:val="10"/>
                    </w:rPr>
                  </w:pPr>
                  <w:r>
                    <w:rPr>
                      <w:rFonts w:ascii="Arial"/>
                      <w:b/>
                      <w:w w:val="140"/>
                      <w:sz w:val="10"/>
                    </w:rPr>
                    <w:t>1 1</w:t>
                  </w:r>
                </w:p>
              </w:txbxContent>
            </v:textbox>
            <w10:wrap type="none"/>
          </v:shape>
        </w:pict>
      </w:r>
      <w:r>
        <w:rPr>
          <w:b/>
          <w:w w:val="86"/>
          <w:sz w:val="19"/>
        </w:rPr>
        <w:t>nP</w:t>
      </w:r>
      <w:r>
        <w:rPr>
          <w:b/>
          <w:w w:val="86"/>
          <w:sz w:val="19"/>
          <w:u w:val="thick"/>
        </w:rPr>
        <w:t>s</w:t>
      </w:r>
      <w:r>
        <w:rPr>
          <w:b/>
          <w:spacing w:val="7"/>
          <w:sz w:val="19"/>
          <w:u w:val="thick"/>
        </w:rPr>
        <w:t> </w:t>
      </w:r>
      <w:r>
        <w:rPr>
          <w:b/>
          <w:w w:val="100"/>
          <w:sz w:val="19"/>
          <w:u w:val="thick"/>
        </w:rPr>
        <w:t>s</w:t>
      </w:r>
      <w:r>
        <w:rPr>
          <w:b/>
          <w:sz w:val="19"/>
        </w:rPr>
        <w:t> </w:t>
      </w:r>
      <w:r>
        <w:rPr>
          <w:b/>
          <w:spacing w:val="-15"/>
          <w:sz w:val="19"/>
        </w:rPr>
        <w:t> </w:t>
      </w:r>
      <w:r>
        <w:rPr>
          <w:rFonts w:ascii="Arial" w:hAnsi="Arial"/>
          <w:b/>
          <w:w w:val="97"/>
          <w:sz w:val="10"/>
        </w:rPr>
        <w:t>•</w:t>
      </w:r>
      <w:r>
        <w:rPr>
          <w:rFonts w:ascii="Arial" w:hAnsi="Arial"/>
          <w:b/>
          <w:spacing w:val="2"/>
          <w:sz w:val="10"/>
        </w:rPr>
        <w:t> </w:t>
      </w:r>
      <w:r>
        <w:rPr>
          <w:rFonts w:ascii="Arial" w:hAnsi="Arial"/>
          <w:b/>
          <w:w w:val="97"/>
          <w:sz w:val="10"/>
        </w:rPr>
        <w:t>•</w:t>
      </w:r>
      <w:r>
        <w:rPr>
          <w:rFonts w:ascii="Arial" w:hAnsi="Arial"/>
          <w:b/>
          <w:spacing w:val="6"/>
          <w:sz w:val="10"/>
        </w:rPr>
        <w:t> </w:t>
      </w:r>
      <w:r>
        <w:rPr>
          <w:b/>
          <w:spacing w:val="-17"/>
          <w:w w:val="105"/>
          <w:sz w:val="19"/>
        </w:rPr>
        <w:t>•</w:t>
      </w:r>
      <w:r>
        <w:rPr>
          <w:b/>
          <w:spacing w:val="-53"/>
          <w:w w:val="106"/>
          <w:position w:val="8"/>
          <w:sz w:val="13"/>
        </w:rPr>
        <w:t>1</w:t>
      </w:r>
      <w:r>
        <w:rPr>
          <w:b/>
          <w:w w:val="105"/>
          <w:sz w:val="19"/>
        </w:rPr>
        <w:t>s•</w:t>
      </w:r>
      <w:r>
        <w:rPr>
          <w:b/>
          <w:sz w:val="19"/>
        </w:rPr>
        <w:t> </w:t>
      </w:r>
      <w:r>
        <w:rPr>
          <w:b/>
          <w:spacing w:val="-5"/>
          <w:sz w:val="19"/>
        </w:rPr>
        <w:t> </w:t>
      </w:r>
      <w:r>
        <w:rPr>
          <w:w w:val="100"/>
          <w:sz w:val="24"/>
        </w:rPr>
        <w:t>=</w:t>
      </w:r>
      <w:r>
        <w:rPr>
          <w:sz w:val="24"/>
        </w:rPr>
        <w:t> </w:t>
      </w:r>
      <w:r>
        <w:rPr>
          <w:spacing w:val="-19"/>
          <w:sz w:val="24"/>
        </w:rPr>
        <w:t> </w:t>
      </w:r>
      <w:r>
        <w:rPr>
          <w:rFonts w:ascii="Arial" w:hAnsi="Arial"/>
          <w:b/>
          <w:w w:val="89"/>
          <w:sz w:val="20"/>
        </w:rPr>
        <w:t>Z1</w:t>
      </w:r>
      <w:r>
        <w:rPr>
          <w:rFonts w:ascii="Arial" w:hAnsi="Arial"/>
          <w:b/>
          <w:spacing w:val="15"/>
          <w:sz w:val="20"/>
        </w:rPr>
        <w:t> </w:t>
      </w:r>
      <w:r>
        <w:rPr>
          <w:rFonts w:ascii="Arial" w:hAnsi="Arial"/>
          <w:w w:val="255"/>
          <w:sz w:val="20"/>
        </w:rPr>
        <w:t>-</w:t>
      </w:r>
      <w:r>
        <w:rPr>
          <w:rFonts w:ascii="Arial" w:hAnsi="Arial"/>
          <w:spacing w:val="11"/>
          <w:sz w:val="20"/>
        </w:rPr>
        <w:t> </w:t>
      </w:r>
      <w:r>
        <w:rPr>
          <w:b/>
          <w:i/>
          <w:w w:val="81"/>
          <w:sz w:val="22"/>
        </w:rPr>
        <w:t>Zs</w:t>
      </w:r>
      <w:r>
        <w:rPr>
          <w:b/>
          <w:i/>
          <w:sz w:val="22"/>
        </w:rPr>
        <w:t> </w:t>
      </w:r>
      <w:r>
        <w:rPr>
          <w:b/>
          <w:i/>
          <w:spacing w:val="-21"/>
          <w:sz w:val="22"/>
        </w:rPr>
        <w:t> </w:t>
      </w:r>
      <w:r>
        <w:rPr>
          <w:rFonts w:ascii="Arial" w:hAnsi="Arial"/>
          <w:spacing w:val="-149"/>
          <w:w w:val="103"/>
          <w:sz w:val="31"/>
        </w:rPr>
        <w:t>+</w:t>
      </w:r>
      <w:r>
        <w:rPr>
          <w:w w:val="105"/>
          <w:position w:val="8"/>
          <w:sz w:val="13"/>
        </w:rPr>
        <w:t>·</w:t>
      </w:r>
      <w:r>
        <w:rPr>
          <w:position w:val="8"/>
          <w:sz w:val="13"/>
        </w:rPr>
        <w:t>    </w:t>
      </w:r>
      <w:r>
        <w:rPr>
          <w:spacing w:val="-4"/>
          <w:position w:val="8"/>
          <w:sz w:val="13"/>
        </w:rPr>
        <w:t> </w:t>
      </w:r>
      <w:r>
        <w:rPr>
          <w:b/>
          <w:i/>
          <w:w w:val="75"/>
          <w:sz w:val="22"/>
        </w:rPr>
        <w:t>Za</w:t>
      </w:r>
      <w:r>
        <w:rPr>
          <w:b/>
          <w:i/>
          <w:sz w:val="22"/>
        </w:rPr>
        <w:t> </w:t>
      </w:r>
      <w:r>
        <w:rPr>
          <w:b/>
          <w:i/>
          <w:spacing w:val="-19"/>
          <w:sz w:val="22"/>
        </w:rPr>
        <w:t> </w:t>
      </w:r>
      <w:r>
        <w:rPr>
          <w:w w:val="249"/>
          <w:sz w:val="22"/>
        </w:rPr>
        <w:t>-</w:t>
      </w:r>
      <w:r>
        <w:rPr>
          <w:spacing w:val="24"/>
          <w:sz w:val="22"/>
        </w:rPr>
        <w:t> </w:t>
      </w:r>
      <w:r>
        <w:rPr>
          <w:w w:val="50"/>
          <w:sz w:val="22"/>
        </w:rPr>
        <w:t>•</w:t>
      </w:r>
      <w:r>
        <w:rPr>
          <w:spacing w:val="-1"/>
          <w:sz w:val="22"/>
        </w:rPr>
        <w:t> </w:t>
      </w:r>
      <w:r>
        <w:rPr>
          <w:w w:val="50"/>
          <w:sz w:val="22"/>
        </w:rPr>
        <w:t>•</w:t>
      </w:r>
      <w:r>
        <w:rPr>
          <w:spacing w:val="6"/>
          <w:sz w:val="22"/>
        </w:rPr>
        <w:t> </w:t>
      </w:r>
      <w:r>
        <w:rPr>
          <w:w w:val="124"/>
          <w:sz w:val="22"/>
        </w:rPr>
        <w:t>·</w:t>
      </w:r>
      <w:r>
        <w:rPr>
          <w:spacing w:val="-10"/>
          <w:sz w:val="22"/>
        </w:rPr>
        <w:t> </w:t>
      </w:r>
      <w:r>
        <w:rPr>
          <w:rFonts w:ascii="Arial" w:hAnsi="Arial"/>
          <w:w w:val="105"/>
          <w:sz w:val="31"/>
        </w:rPr>
        <w:t>+</w:t>
      </w:r>
      <w:r>
        <w:rPr>
          <w:rFonts w:ascii="Arial" w:hAnsi="Arial"/>
          <w:spacing w:val="6"/>
          <w:sz w:val="31"/>
        </w:rPr>
        <w:t> </w:t>
      </w:r>
      <w:r>
        <w:rPr>
          <w:w w:val="161"/>
          <w:position w:val="8"/>
          <w:sz w:val="13"/>
        </w:rPr>
        <w:t>(</w:t>
      </w:r>
      <w:r>
        <w:rPr>
          <w:spacing w:val="-13"/>
          <w:position w:val="8"/>
          <w:sz w:val="13"/>
        </w:rPr>
        <w:t> </w:t>
      </w:r>
      <w:r>
        <w:rPr>
          <w:b/>
          <w:w w:val="178"/>
          <w:sz w:val="19"/>
        </w:rPr>
        <w:t>-</w:t>
      </w:r>
      <w:r>
        <w:rPr>
          <w:b/>
          <w:spacing w:val="8"/>
          <w:w w:val="178"/>
          <w:sz w:val="19"/>
        </w:rPr>
        <w:t>1</w:t>
      </w:r>
      <w:r>
        <w:rPr>
          <w:rFonts w:ascii="Arial" w:hAnsi="Arial"/>
          <w:b/>
          <w:w w:val="102"/>
          <w:position w:val="8"/>
          <w:sz w:val="18"/>
        </w:rPr>
        <w:t>)</w:t>
      </w:r>
      <w:r>
        <w:rPr>
          <w:rFonts w:ascii="Arial" w:hAnsi="Arial"/>
          <w:b/>
          <w:w w:val="102"/>
          <w:position w:val="8"/>
          <w:sz w:val="18"/>
        </w:rPr>
        <w:t>"'-</w:t>
      </w:r>
      <w:r>
        <w:rPr>
          <w:rFonts w:ascii="Arial" w:hAnsi="Arial"/>
          <w:b/>
          <w:spacing w:val="-17"/>
          <w:w w:val="102"/>
          <w:position w:val="8"/>
          <w:sz w:val="18"/>
        </w:rPr>
        <w:t>1</w:t>
      </w:r>
      <w:r>
        <w:rPr>
          <w:b/>
          <w:i/>
          <w:w w:val="77"/>
          <w:sz w:val="22"/>
        </w:rPr>
        <w:t>Zm</w:t>
      </w:r>
      <w:r>
        <w:rPr>
          <w:b/>
          <w:i/>
          <w:spacing w:val="16"/>
          <w:sz w:val="22"/>
        </w:rPr>
        <w:t> </w:t>
      </w:r>
      <w:r>
        <w:rPr>
          <w:w w:val="119"/>
          <w:sz w:val="22"/>
        </w:rPr>
        <w:t>.</w:t>
      </w:r>
    </w:p>
    <w:p>
      <w:pPr>
        <w:spacing w:line="172" w:lineRule="auto" w:before="128"/>
        <w:ind w:left="124" w:right="98" w:hanging="8"/>
        <w:jc w:val="both"/>
        <w:rPr>
          <w:sz w:val="20"/>
        </w:rPr>
      </w:pPr>
      <w:r>
        <w:rPr>
          <w:w w:val="105"/>
          <w:sz w:val="21"/>
        </w:rPr>
        <w:t>Since this is equivalent </w:t>
      </w:r>
      <w:r>
        <w:rPr>
          <w:w w:val="105"/>
          <w:sz w:val="22"/>
        </w:rPr>
        <w:t>to </w:t>
      </w:r>
      <w:r>
        <w:rPr>
          <w:spacing w:val="-6"/>
          <w:w w:val="105"/>
          <w:sz w:val="21"/>
        </w:rPr>
        <w:t>(10.1), </w:t>
      </w:r>
      <w:r>
        <w:rPr>
          <w:w w:val="105"/>
          <w:sz w:val="21"/>
        </w:rPr>
        <w:t>we see that the formula </w:t>
      </w:r>
      <w:r>
        <w:rPr>
          <w:rFonts w:ascii="Arial" w:hAnsi="Arial"/>
          <w:w w:val="105"/>
          <w:sz w:val="19"/>
        </w:rPr>
        <w:t>is </w:t>
      </w:r>
      <w:r>
        <w:rPr>
          <w:w w:val="105"/>
          <w:sz w:val="21"/>
        </w:rPr>
        <w:t>va.lid in this case. </w:t>
      </w:r>
      <w:r>
        <w:rPr>
          <w:rFonts w:ascii="Arial" w:hAnsi="Arial"/>
          <w:b/>
          <w:w w:val="105"/>
          <w:sz w:val="20"/>
        </w:rPr>
        <w:t>W</w:t>
      </w:r>
      <w:r>
        <w:rPr>
          <w:w w:val="105"/>
          <w:sz w:val="21"/>
        </w:rPr>
        <w:t>e now  show that if  the formula holds for </w:t>
      </w:r>
      <w:r>
        <w:rPr>
          <w:rFonts w:ascii="Arial" w:hAnsi="Arial"/>
          <w:i/>
          <w:spacing w:val="-14"/>
          <w:w w:val="120"/>
          <w:sz w:val="13"/>
        </w:rPr>
        <w:t>1·  </w:t>
      </w:r>
      <w:r>
        <w:rPr>
          <w:w w:val="105"/>
          <w:sz w:val="26"/>
        </w:rPr>
        <w:t>=  </w:t>
      </w:r>
      <w:r>
        <w:rPr>
          <w:rFonts w:ascii="Arial" w:hAnsi="Arial"/>
          <w:i/>
          <w:w w:val="105"/>
          <w:sz w:val="20"/>
        </w:rPr>
        <w:t>k,  </w:t>
      </w:r>
      <w:r>
        <w:rPr>
          <w:w w:val="105"/>
          <w:sz w:val="21"/>
        </w:rPr>
        <w:t>it also holds for </w:t>
      </w:r>
      <w:r>
        <w:rPr>
          <w:i/>
          <w:w w:val="105"/>
          <w:sz w:val="22"/>
        </w:rPr>
        <w:t>r </w:t>
      </w:r>
      <w:r>
        <w:rPr>
          <w:w w:val="105"/>
          <w:sz w:val="25"/>
        </w:rPr>
        <w:t>= </w:t>
      </w:r>
      <w:r>
        <w:rPr>
          <w:i/>
          <w:w w:val="105"/>
          <w:sz w:val="19"/>
        </w:rPr>
        <w:t>k  </w:t>
      </w:r>
      <w:r>
        <w:rPr>
          <w:rFonts w:ascii="Arial" w:hAnsi="Arial"/>
          <w:w w:val="105"/>
          <w:sz w:val="32"/>
        </w:rPr>
        <w:t>+</w:t>
      </w:r>
      <w:r>
        <w:rPr>
          <w:rFonts w:ascii="Arial" w:hAnsi="Arial"/>
          <w:spacing w:val="16"/>
          <w:w w:val="105"/>
          <w:sz w:val="32"/>
        </w:rPr>
        <w:t> </w:t>
      </w:r>
      <w:r>
        <w:rPr>
          <w:w w:val="120"/>
          <w:sz w:val="20"/>
        </w:rPr>
        <w:t>l.</w:t>
      </w:r>
    </w:p>
    <w:p>
      <w:pPr>
        <w:tabs>
          <w:tab w:pos="2374" w:val="left" w:leader="none"/>
          <w:tab w:pos="3472" w:val="left" w:leader="none"/>
        </w:tabs>
        <w:spacing w:before="85"/>
        <w:ind w:left="1147" w:right="739" w:firstLine="0"/>
        <w:jc w:val="left"/>
        <w:rPr>
          <w:b/>
          <w:sz w:val="13"/>
        </w:rPr>
      </w:pPr>
      <w:r>
        <w:rPr/>
        <w:pict>
          <v:shape style="position:absolute;margin-left:107.099998pt;margin-top:8.317605pt;width:7pt;height:13pt;mso-position-horizontal-relative:page;mso-position-vertical-relative:paragraph;z-index:-718696" type="#_x0000_t202" filled="false" stroked="false">
            <v:textbox inset="0,0,0,0">
              <w:txbxContent>
                <w:p>
                  <w:pPr>
                    <w:spacing w:line="260" w:lineRule="exact" w:before="0"/>
                    <w:ind w:left="0" w:right="0" w:firstLine="0"/>
                    <w:jc w:val="left"/>
                    <w:rPr>
                      <w:sz w:val="26"/>
                    </w:rPr>
                  </w:pPr>
                  <w:r>
                    <w:rPr>
                      <w:w w:val="94"/>
                      <w:sz w:val="26"/>
                    </w:rPr>
                    <w:t>=</w:t>
                  </w:r>
                </w:p>
              </w:txbxContent>
            </v:textbox>
            <w10:wrap type="none"/>
          </v:shape>
        </w:pict>
      </w:r>
      <w:r>
        <w:rPr>
          <w:b/>
          <w:w w:val="140"/>
          <w:sz w:val="13"/>
        </w:rPr>
        <w:t>i+l</w:t>
        <w:tab/>
      </w:r>
      <w:r>
        <w:rPr>
          <w:rFonts w:ascii="Arial"/>
          <w:b/>
          <w:w w:val="80"/>
          <w:sz w:val="12"/>
        </w:rPr>
        <w:t>.1:</w:t>
        <w:tab/>
      </w:r>
      <w:r>
        <w:rPr>
          <w:b/>
          <w:w w:val="80"/>
          <w:sz w:val="13"/>
        </w:rPr>
        <w:t>(11)</w:t>
      </w:r>
    </w:p>
    <w:p>
      <w:pPr>
        <w:tabs>
          <w:tab w:pos="1719" w:val="left" w:leader="none"/>
        </w:tabs>
        <w:spacing w:before="10"/>
        <w:ind w:left="567" w:right="739" w:firstLine="0"/>
        <w:jc w:val="left"/>
        <w:rPr>
          <w:sz w:val="14"/>
        </w:rPr>
      </w:pPr>
      <w:r>
        <w:rPr/>
        <w:drawing>
          <wp:anchor distT="0" distB="0" distL="0" distR="0" allowOverlap="1" layoutInCell="1" locked="0" behindDoc="0" simplePos="0" relativeHeight="17176">
            <wp:simplePos x="0" y="0"/>
            <wp:positionH relativeFrom="page">
              <wp:posOffset>1353311</wp:posOffset>
            </wp:positionH>
            <wp:positionV relativeFrom="paragraph">
              <wp:posOffset>192216</wp:posOffset>
            </wp:positionV>
            <wp:extent cx="2459736" cy="283463"/>
            <wp:effectExtent l="0" t="0" r="0" b="0"/>
            <wp:wrapTopAndBottom/>
            <wp:docPr id="469" name="image240.png" descr=""/>
            <wp:cNvGraphicFramePr>
              <a:graphicFrameLocks noChangeAspect="1"/>
            </wp:cNvGraphicFramePr>
            <a:graphic>
              <a:graphicData uri="http://schemas.openxmlformats.org/drawingml/2006/picture">
                <pic:pic>
                  <pic:nvPicPr>
                    <pic:cNvPr id="470" name="image240.png"/>
                    <pic:cNvPicPr/>
                  </pic:nvPicPr>
                  <pic:blipFill>
                    <a:blip r:embed="rId244" cstate="print"/>
                    <a:stretch>
                      <a:fillRect/>
                    </a:stretch>
                  </pic:blipFill>
                  <pic:spPr>
                    <a:xfrm>
                      <a:off x="0" y="0"/>
                      <a:ext cx="2459736" cy="283463"/>
                    </a:xfrm>
                    <a:prstGeom prst="rect">
                      <a:avLst/>
                    </a:prstGeom>
                  </pic:spPr>
                </pic:pic>
              </a:graphicData>
            </a:graphic>
          </wp:anchor>
        </w:drawing>
      </w:r>
      <w:r>
        <w:rPr>
          <w:b/>
          <w:spacing w:val="-7"/>
          <w:w w:val="140"/>
          <w:sz w:val="14"/>
        </w:rPr>
        <w:t>•</w:t>
      </w:r>
      <w:r>
        <w:rPr>
          <w:b/>
          <w:spacing w:val="-26"/>
          <w:w w:val="140"/>
          <w:sz w:val="14"/>
        </w:rPr>
        <w:t>P</w:t>
      </w:r>
      <w:r>
        <w:rPr>
          <w:b/>
          <w:spacing w:val="-20"/>
          <w:w w:val="140"/>
          <w:sz w:val="14"/>
        </w:rPr>
        <w:t>s</w:t>
      </w:r>
      <w:r>
        <w:rPr>
          <w:b/>
          <w:spacing w:val="-73"/>
          <w:w w:val="186"/>
          <w:sz w:val="14"/>
        </w:rPr>
        <w:t>¡</w:t>
      </w:r>
      <w:r>
        <w:rPr>
          <w:b/>
          <w:spacing w:val="-52"/>
          <w:w w:val="153"/>
          <w:sz w:val="14"/>
        </w:rPr>
        <w:t>s</w:t>
      </w:r>
      <w:r>
        <w:rPr>
          <w:b/>
          <w:spacing w:val="-44"/>
          <w:w w:val="175"/>
          <w:sz w:val="14"/>
        </w:rPr>
        <w:t>1</w:t>
      </w:r>
      <w:r>
        <w:rPr>
          <w:b/>
          <w:spacing w:val="-42"/>
          <w:w w:val="147"/>
          <w:sz w:val="14"/>
        </w:rPr>
        <w:t>·</w:t>
      </w:r>
      <w:r>
        <w:rPr>
          <w:b/>
          <w:spacing w:val="-73"/>
          <w:w w:val="174"/>
          <w:sz w:val="14"/>
        </w:rPr>
        <w:t>-</w:t>
      </w:r>
      <w:r>
        <w:rPr>
          <w:b/>
          <w:spacing w:val="-5"/>
          <w:w w:val="147"/>
          <w:sz w:val="14"/>
        </w:rPr>
        <w:t>·</w:t>
      </w:r>
      <w:r>
        <w:rPr>
          <w:b/>
          <w:w w:val="121"/>
          <w:sz w:val="14"/>
        </w:rPr>
        <w:t>-</w:t>
      </w:r>
      <w:r>
        <w:rPr>
          <w:b/>
          <w:spacing w:val="-5"/>
          <w:w w:val="121"/>
          <w:sz w:val="14"/>
        </w:rPr>
        <w:t>s</w:t>
      </w:r>
      <w:r>
        <w:rPr>
          <w:b/>
          <w:w w:val="392"/>
          <w:sz w:val="14"/>
        </w:rPr>
        <w:t>.</w:t>
      </w:r>
      <w:r>
        <w:rPr>
          <w:b/>
          <w:sz w:val="14"/>
        </w:rPr>
        <w:tab/>
      </w:r>
      <w:r>
        <w:rPr>
          <w:b/>
          <w:w w:val="123"/>
          <w:sz w:val="14"/>
        </w:rPr>
        <w:t>nPs1sa···s•</w:t>
      </w:r>
      <w:r>
        <w:rPr>
          <w:b/>
          <w:sz w:val="14"/>
        </w:rPr>
        <w:t>   </w:t>
      </w:r>
      <w:r>
        <w:rPr>
          <w:w w:val="383"/>
          <w:sz w:val="14"/>
        </w:rPr>
        <w:t>-</w:t>
      </w:r>
      <w:r>
        <w:rPr>
          <w:sz w:val="14"/>
        </w:rPr>
        <w:t> </w:t>
      </w:r>
      <w:r>
        <w:rPr>
          <w:spacing w:val="-16"/>
          <w:sz w:val="14"/>
        </w:rPr>
        <w:t> </w:t>
      </w:r>
      <w:r>
        <w:rPr>
          <w:b/>
          <w:w w:val="103"/>
          <w:sz w:val="14"/>
        </w:rPr>
        <w:t>ttPs1s1•</w:t>
      </w:r>
      <w:r>
        <w:rPr>
          <w:b/>
          <w:spacing w:val="5"/>
          <w:sz w:val="14"/>
        </w:rPr>
        <w:t> </w:t>
      </w:r>
      <w:r>
        <w:rPr>
          <w:spacing w:val="-28"/>
          <w:w w:val="197"/>
          <w:sz w:val="14"/>
        </w:rPr>
        <w:t>·</w:t>
      </w:r>
      <w:r>
        <w:rPr>
          <w:spacing w:val="-42"/>
          <w:w w:val="197"/>
          <w:sz w:val="14"/>
        </w:rPr>
        <w:t>·</w:t>
      </w:r>
      <w:r>
        <w:rPr>
          <w:spacing w:val="-24"/>
          <w:w w:val="186"/>
          <w:sz w:val="14"/>
        </w:rPr>
        <w:t>•</w:t>
      </w:r>
      <w:r>
        <w:rPr>
          <w:w w:val="259"/>
          <w:sz w:val="14"/>
          <w:u w:val="single"/>
        </w:rPr>
        <w:t>•</w:t>
      </w:r>
    </w:p>
    <w:p>
      <w:pPr>
        <w:spacing w:after="0"/>
        <w:jc w:val="left"/>
        <w:rPr>
          <w:sz w:val="14"/>
        </w:rPr>
        <w:sectPr>
          <w:pgSz w:w="7200" w:h="11340"/>
          <w:pgMar w:top="520" w:bottom="280" w:left="660" w:right="560"/>
        </w:sectPr>
      </w:pPr>
    </w:p>
    <w:p>
      <w:pPr>
        <w:spacing w:line="415" w:lineRule="exact" w:before="0"/>
        <w:ind w:left="0" w:right="50" w:firstLine="0"/>
        <w:jc w:val="right"/>
        <w:rPr>
          <w:sz w:val="26"/>
        </w:rPr>
      </w:pPr>
      <w:r>
        <w:rPr>
          <w:w w:val="94"/>
          <w:sz w:val="26"/>
        </w:rPr>
        <w:t>=</w:t>
      </w:r>
      <w:r>
        <w:rPr>
          <w:sz w:val="26"/>
        </w:rPr>
        <w:t> </w:t>
      </w:r>
      <w:r>
        <w:rPr>
          <w:spacing w:val="-7"/>
          <w:sz w:val="26"/>
        </w:rPr>
        <w:t> </w:t>
      </w:r>
      <w:r>
        <w:rPr>
          <w:i/>
          <w:spacing w:val="-151"/>
          <w:w w:val="113"/>
          <w:sz w:val="34"/>
        </w:rPr>
        <w:t>L</w:t>
      </w:r>
      <w:r>
        <w:rPr>
          <w:w w:val="161"/>
          <w:position w:val="17"/>
          <w:sz w:val="26"/>
        </w:rPr>
        <w:t>•</w:t>
      </w:r>
    </w:p>
    <w:p>
      <w:pPr>
        <w:spacing w:line="168" w:lineRule="exact" w:before="0"/>
        <w:ind w:left="0" w:right="0" w:firstLine="0"/>
        <w:jc w:val="right"/>
        <w:rPr>
          <w:b/>
          <w:sz w:val="20"/>
        </w:rPr>
      </w:pPr>
      <w:r>
        <w:rPr>
          <w:b/>
          <w:w w:val="80"/>
          <w:sz w:val="20"/>
        </w:rPr>
        <w:t>,-11</w:t>
      </w:r>
    </w:p>
    <w:p>
      <w:pPr>
        <w:spacing w:before="57"/>
        <w:ind w:left="13" w:right="0" w:firstLine="0"/>
        <w:jc w:val="left"/>
        <w:rPr>
          <w:sz w:val="20"/>
        </w:rPr>
      </w:pPr>
      <w:r>
        <w:rPr/>
        <w:br w:type="column"/>
      </w:r>
      <w:r>
        <w:rPr>
          <w:spacing w:val="16"/>
          <w:w w:val="64"/>
          <w:sz w:val="34"/>
        </w:rPr>
        <w:t>(</w:t>
      </w:r>
      <w:r>
        <w:rPr>
          <w:w w:val="181"/>
          <w:sz w:val="20"/>
        </w:rPr>
        <w:t>-1)</w:t>
      </w:r>
      <w:r>
        <w:rPr>
          <w:spacing w:val="-24"/>
          <w:w w:val="181"/>
          <w:sz w:val="20"/>
        </w:rPr>
        <w:t>-</w:t>
      </w:r>
      <w:r>
        <w:rPr>
          <w:w w:val="45"/>
          <w:sz w:val="20"/>
        </w:rPr>
        <w:t>.1:</w:t>
      </w:r>
      <w:r>
        <w:rPr>
          <w:w w:val="45"/>
          <w:sz w:val="20"/>
        </w:rPr>
        <w:t>(</w:t>
      </w:r>
      <w:r>
        <w:rPr>
          <w:spacing w:val="-17"/>
          <w:sz w:val="20"/>
        </w:rPr>
        <w:t> </w:t>
      </w:r>
      <w:r>
        <w:rPr>
          <w:spacing w:val="6"/>
          <w:w w:val="27"/>
          <w:sz w:val="37"/>
        </w:rPr>
        <w:t>&lt;</w:t>
      </w:r>
      <w:r>
        <w:rPr>
          <w:spacing w:val="-75"/>
          <w:w w:val="131"/>
          <w:sz w:val="37"/>
        </w:rPr>
        <w:t>:</w:t>
      </w:r>
      <w:r>
        <w:rPr>
          <w:w w:val="52"/>
          <w:sz w:val="37"/>
        </w:rPr>
        <w:t>=l</w:t>
      </w:r>
      <w:r>
        <w:rPr>
          <w:spacing w:val="-60"/>
          <w:sz w:val="37"/>
        </w:rPr>
        <w:t> </w:t>
      </w:r>
      <w:r>
        <w:rPr>
          <w:w w:val="51"/>
          <w:sz w:val="37"/>
        </w:rPr>
        <w:t>)</w:t>
      </w:r>
      <w:r>
        <w:rPr>
          <w:spacing w:val="5"/>
          <w:sz w:val="37"/>
        </w:rPr>
        <w:t> </w:t>
      </w:r>
      <w:r>
        <w:rPr>
          <w:w w:val="151"/>
          <w:sz w:val="37"/>
        </w:rPr>
        <w:t>-</w:t>
      </w:r>
      <w:r>
        <w:rPr>
          <w:spacing w:val="-3"/>
          <w:sz w:val="37"/>
        </w:rPr>
        <w:t> </w:t>
      </w:r>
      <w:r>
        <w:rPr>
          <w:w w:val="65"/>
          <w:sz w:val="37"/>
        </w:rPr>
        <w:t>(.</w:t>
      </w:r>
      <w:r>
        <w:rPr>
          <w:spacing w:val="-16"/>
          <w:sz w:val="37"/>
        </w:rPr>
        <w:t> </w:t>
      </w:r>
      <w:r>
        <w:rPr>
          <w:spacing w:val="-77"/>
          <w:w w:val="133"/>
          <w:sz w:val="37"/>
        </w:rPr>
        <w:t>.</w:t>
      </w:r>
      <w:r>
        <w:rPr>
          <w:w w:val="55"/>
          <w:sz w:val="37"/>
        </w:rPr>
        <w:t>;</w:t>
      </w:r>
      <w:r>
        <w:rPr>
          <w:spacing w:val="6"/>
          <w:w w:val="55"/>
          <w:sz w:val="37"/>
        </w:rPr>
        <w:t>)</w:t>
      </w:r>
      <w:r>
        <w:rPr>
          <w:w w:val="104"/>
          <w:sz w:val="20"/>
        </w:rPr>
        <w:t>]Z,</w:t>
      </w:r>
    </w:p>
    <w:p>
      <w:pPr>
        <w:spacing w:line="207" w:lineRule="exact" w:before="273"/>
        <w:ind w:left="261" w:right="0" w:firstLine="0"/>
        <w:jc w:val="left"/>
        <w:rPr>
          <w:sz w:val="20"/>
        </w:rPr>
      </w:pPr>
      <w:r>
        <w:rPr/>
        <w:drawing>
          <wp:anchor distT="0" distB="0" distL="0" distR="0" allowOverlap="1" layoutInCell="1" locked="0" behindDoc="0" simplePos="0" relativeHeight="17200">
            <wp:simplePos x="0" y="0"/>
            <wp:positionH relativeFrom="page">
              <wp:posOffset>1353311</wp:posOffset>
            </wp:positionH>
            <wp:positionV relativeFrom="paragraph">
              <wp:posOffset>141045</wp:posOffset>
            </wp:positionV>
            <wp:extent cx="411480" cy="292607"/>
            <wp:effectExtent l="0" t="0" r="0" b="0"/>
            <wp:wrapNone/>
            <wp:docPr id="471" name="image241.png" descr=""/>
            <wp:cNvGraphicFramePr>
              <a:graphicFrameLocks noChangeAspect="1"/>
            </wp:cNvGraphicFramePr>
            <a:graphic>
              <a:graphicData uri="http://schemas.openxmlformats.org/drawingml/2006/picture">
                <pic:pic>
                  <pic:nvPicPr>
                    <pic:cNvPr id="472" name="image241.png"/>
                    <pic:cNvPicPr/>
                  </pic:nvPicPr>
                  <pic:blipFill>
                    <a:blip r:embed="rId245" cstate="print"/>
                    <a:stretch>
                      <a:fillRect/>
                    </a:stretch>
                  </pic:blipFill>
                  <pic:spPr>
                    <a:xfrm>
                      <a:off x="0" y="0"/>
                      <a:ext cx="411480" cy="292607"/>
                    </a:xfrm>
                    <a:prstGeom prst="rect">
                      <a:avLst/>
                    </a:prstGeom>
                  </pic:spPr>
                </pic:pic>
              </a:graphicData>
            </a:graphic>
          </wp:anchor>
        </w:drawing>
      </w:r>
      <w:r>
        <w:rPr/>
        <w:pict>
          <v:shape style="position:absolute;margin-left:144.360001pt;margin-top:17.459192pt;width:3.5pt;height:10pt;mso-position-horizontal-relative:page;mso-position-vertical-relative:paragraph;z-index:17392" type="#_x0000_t202" filled="false" stroked="false">
            <v:textbox inset="0,0,0,0">
              <w:txbxContent>
                <w:p>
                  <w:pPr>
                    <w:pStyle w:val="BodyText"/>
                    <w:spacing w:line="200" w:lineRule="exact"/>
                  </w:pPr>
                  <w:r>
                    <w:rPr>
                      <w:w w:val="104"/>
                    </w:rPr>
                    <w:t>(</w:t>
                  </w:r>
                </w:p>
              </w:txbxContent>
            </v:textbox>
            <w10:wrap type="none"/>
          </v:shape>
        </w:pict>
      </w:r>
      <w:r>
        <w:rPr>
          <w:spacing w:val="-2"/>
          <w:w w:val="282"/>
          <w:sz w:val="20"/>
        </w:rPr>
        <w:t>-</w:t>
      </w:r>
      <w:r>
        <w:rPr>
          <w:spacing w:val="25"/>
          <w:w w:val="148"/>
          <w:sz w:val="20"/>
        </w:rPr>
        <w:t>l</w:t>
      </w:r>
      <w:r>
        <w:rPr>
          <w:w w:val="166"/>
          <w:sz w:val="13"/>
        </w:rPr>
        <w:t>)</w:t>
      </w:r>
      <w:r>
        <w:rPr>
          <w:w w:val="166"/>
          <w:sz w:val="13"/>
        </w:rPr>
        <w:t>a</w:t>
      </w:r>
      <w:r>
        <w:rPr>
          <w:spacing w:val="-11"/>
          <w:w w:val="166"/>
          <w:sz w:val="13"/>
        </w:rPr>
        <w:t>-</w:t>
      </w:r>
      <w:r>
        <w:rPr>
          <w:w w:val="130"/>
          <w:sz w:val="13"/>
        </w:rPr>
        <w:t>1:</w:t>
      </w:r>
      <w:r>
        <w:rPr>
          <w:spacing w:val="-20"/>
          <w:w w:val="130"/>
          <w:sz w:val="13"/>
        </w:rPr>
        <w:t>-</w:t>
      </w:r>
      <w:r>
        <w:rPr>
          <w:w w:val="104"/>
          <w:sz w:val="13"/>
        </w:rPr>
        <w:t>1</w:t>
      </w:r>
      <w:r>
        <w:rPr>
          <w:spacing w:val="-14"/>
          <w:sz w:val="13"/>
        </w:rPr>
        <w:t> </w:t>
      </w:r>
      <w:r>
        <w:rPr>
          <w:w w:val="161"/>
          <w:sz w:val="13"/>
        </w:rPr>
        <w:t>(</w:t>
      </w:r>
      <w:r>
        <w:rPr>
          <w:sz w:val="13"/>
        </w:rPr>
        <w:t>  </w:t>
      </w:r>
      <w:r>
        <w:rPr>
          <w:spacing w:val="-13"/>
          <w:sz w:val="13"/>
        </w:rPr>
        <w:t> </w:t>
      </w:r>
      <w:r>
        <w:rPr>
          <w:spacing w:val="-25"/>
          <w:w w:val="264"/>
          <w:sz w:val="13"/>
        </w:rPr>
        <w:t>,</w:t>
      </w:r>
      <w:r>
        <w:rPr>
          <w:spacing w:val="-20"/>
          <w:w w:val="303"/>
          <w:sz w:val="13"/>
        </w:rPr>
        <w:t>-</w:t>
      </w:r>
      <w:r>
        <w:rPr>
          <w:w w:val="157"/>
          <w:sz w:val="13"/>
        </w:rPr>
        <w:t>1</w:t>
      </w:r>
      <w:r>
        <w:rPr>
          <w:sz w:val="13"/>
        </w:rPr>
        <w:t> </w:t>
      </w:r>
      <w:r>
        <w:rPr>
          <w:spacing w:val="-6"/>
          <w:sz w:val="13"/>
        </w:rPr>
        <w:t> </w:t>
      </w:r>
      <w:r>
        <w:rPr>
          <w:w w:val="112"/>
          <w:sz w:val="20"/>
        </w:rPr>
        <w:t>)</w:t>
      </w:r>
      <w:r>
        <w:rPr>
          <w:w w:val="112"/>
          <w:sz w:val="20"/>
        </w:rPr>
        <w:t>Z</w:t>
      </w:r>
    </w:p>
    <w:p>
      <w:pPr>
        <w:tabs>
          <w:tab w:pos="1745" w:val="left" w:leader="none"/>
        </w:tabs>
        <w:spacing w:line="127" w:lineRule="exact" w:before="0"/>
        <w:ind w:left="1111" w:right="0" w:firstLine="0"/>
        <w:jc w:val="left"/>
        <w:rPr>
          <w:sz w:val="13"/>
        </w:rPr>
      </w:pPr>
      <w:r>
        <w:rPr>
          <w:b/>
          <w:w w:val="90"/>
          <w:sz w:val="13"/>
        </w:rPr>
        <w:t>•-:--.1:-1</w:t>
        <w:tab/>
      </w:r>
      <w:r>
        <w:rPr>
          <w:w w:val="375"/>
          <w:sz w:val="13"/>
        </w:rPr>
        <w:t>''</w:t>
      </w:r>
    </w:p>
    <w:p>
      <w:pPr>
        <w:spacing w:after="0" w:line="127" w:lineRule="exact"/>
        <w:jc w:val="left"/>
        <w:rPr>
          <w:sz w:val="13"/>
        </w:rPr>
        <w:sectPr>
          <w:type w:val="continuous"/>
          <w:pgSz w:w="7200" w:h="11340"/>
          <w:pgMar w:top="1100" w:bottom="0" w:left="660" w:right="560"/>
          <w:cols w:num="2" w:equalWidth="0">
            <w:col w:w="2012" w:space="40"/>
            <w:col w:w="3928"/>
          </w:cols>
        </w:sectPr>
      </w:pPr>
    </w:p>
    <w:p>
      <w:pPr>
        <w:pStyle w:val="BodyText"/>
        <w:spacing w:before="1"/>
        <w:rPr>
          <w:sz w:val="10"/>
        </w:rPr>
      </w:pPr>
    </w:p>
    <w:p>
      <w:pPr>
        <w:spacing w:line="189" w:lineRule="exact" w:before="74"/>
        <w:ind w:left="106" w:right="0" w:firstLine="0"/>
        <w:jc w:val="left"/>
        <w:rPr>
          <w:sz w:val="20"/>
        </w:rPr>
      </w:pPr>
      <w:r>
        <w:rPr>
          <w:w w:val="97"/>
          <w:sz w:val="21"/>
        </w:rPr>
        <w:t>where</w:t>
      </w:r>
      <w:r>
        <w:rPr>
          <w:spacing w:val="13"/>
          <w:sz w:val="21"/>
        </w:rPr>
        <w:t> </w:t>
      </w:r>
      <w:r>
        <w:rPr>
          <w:w w:val="106"/>
          <w:sz w:val="21"/>
        </w:rPr>
        <w:t>the</w:t>
      </w:r>
      <w:r>
        <w:rPr>
          <w:spacing w:val="4"/>
          <w:sz w:val="21"/>
        </w:rPr>
        <w:t> </w:t>
      </w:r>
      <w:r>
        <w:rPr>
          <w:w w:val="95"/>
          <w:sz w:val="21"/>
        </w:rPr>
        <w:t>expression</w:t>
      </w:r>
      <w:r>
        <w:rPr>
          <w:sz w:val="21"/>
        </w:rPr>
        <w:t> </w:t>
      </w:r>
      <w:r>
        <w:rPr>
          <w:spacing w:val="1"/>
          <w:sz w:val="21"/>
        </w:rPr>
        <w:t> </w:t>
      </w:r>
      <w:r>
        <w:rPr>
          <w:w w:val="129"/>
          <w:sz w:val="20"/>
        </w:rPr>
        <w:t>(</w:t>
      </w:r>
      <w:r>
        <w:rPr>
          <w:w w:val="129"/>
          <w:sz w:val="20"/>
        </w:rPr>
        <w:t>::l</w:t>
      </w:r>
      <w:r>
        <w:rPr>
          <w:w w:val="129"/>
          <w:sz w:val="20"/>
        </w:rPr>
        <w:t>)</w:t>
      </w:r>
      <w:r>
        <w:rPr>
          <w:sz w:val="20"/>
        </w:rPr>
        <w:t> </w:t>
      </w:r>
      <w:r>
        <w:rPr>
          <w:spacing w:val="-15"/>
          <w:sz w:val="20"/>
        </w:rPr>
        <w:t> </w:t>
      </w:r>
      <w:r>
        <w:rPr>
          <w:w w:val="274"/>
          <w:sz w:val="20"/>
        </w:rPr>
        <w:t>-</w:t>
      </w:r>
      <w:r>
        <w:rPr>
          <w:sz w:val="20"/>
        </w:rPr>
        <w:t> </w:t>
      </w:r>
      <w:r>
        <w:rPr>
          <w:spacing w:val="-17"/>
          <w:sz w:val="20"/>
        </w:rPr>
        <w:t> </w:t>
      </w:r>
      <w:r>
        <w:rPr>
          <w:w w:val="119"/>
          <w:sz w:val="20"/>
        </w:rPr>
        <w:t>(.</w:t>
      </w:r>
      <w:r>
        <w:rPr>
          <w:sz w:val="20"/>
        </w:rPr>
        <w:t>  </w:t>
      </w:r>
      <w:r>
        <w:rPr>
          <w:spacing w:val="23"/>
          <w:sz w:val="20"/>
        </w:rPr>
        <w:t> </w:t>
      </w:r>
      <w:r>
        <w:rPr>
          <w:w w:val="104"/>
          <w:sz w:val="20"/>
        </w:rPr>
        <w:t>)</w:t>
      </w:r>
      <w:r>
        <w:rPr>
          <w:spacing w:val="9"/>
          <w:sz w:val="20"/>
        </w:rPr>
        <w:t> </w:t>
      </w:r>
      <w:r>
        <w:rPr>
          <w:w w:val="105"/>
          <w:sz w:val="21"/>
        </w:rPr>
        <w:t>has</w:t>
      </w:r>
      <w:r>
        <w:rPr>
          <w:sz w:val="21"/>
        </w:rPr>
        <w:t> </w:t>
      </w:r>
      <w:r>
        <w:rPr>
          <w:w w:val="96"/>
          <w:sz w:val="21"/>
        </w:rPr>
        <w:t>been</w:t>
      </w:r>
      <w:r>
        <w:rPr>
          <w:spacing w:val="16"/>
          <w:sz w:val="21"/>
        </w:rPr>
        <w:t> </w:t>
      </w:r>
      <w:r>
        <w:rPr>
          <w:w w:val="97"/>
          <w:sz w:val="21"/>
        </w:rPr>
        <w:t>replaced</w:t>
      </w:r>
      <w:r>
        <w:rPr>
          <w:spacing w:val="21"/>
          <w:sz w:val="21"/>
        </w:rPr>
        <w:t> </w:t>
      </w:r>
      <w:r>
        <w:rPr>
          <w:w w:val="99"/>
          <w:sz w:val="21"/>
        </w:rPr>
        <w:t>by</w:t>
      </w:r>
      <w:r>
        <w:rPr>
          <w:sz w:val="21"/>
        </w:rPr>
        <w:t> </w:t>
      </w:r>
      <w:r>
        <w:rPr>
          <w:spacing w:val="-11"/>
          <w:sz w:val="21"/>
        </w:rPr>
        <w:t> </w:t>
      </w:r>
      <w:r>
        <w:rPr>
          <w:w w:val="254"/>
          <w:sz w:val="21"/>
        </w:rPr>
        <w:t>-</w:t>
      </w:r>
      <w:r>
        <w:rPr>
          <w:sz w:val="21"/>
        </w:rPr>
        <w:t> </w:t>
      </w:r>
      <w:r>
        <w:rPr>
          <w:spacing w:val="-17"/>
          <w:sz w:val="21"/>
        </w:rPr>
        <w:t> </w:t>
      </w:r>
      <w:r>
        <w:rPr>
          <w:w w:val="203"/>
          <w:sz w:val="20"/>
        </w:rPr>
        <w:t>(</w:t>
      </w:r>
      <w:r>
        <w:rPr>
          <w:spacing w:val="-26"/>
          <w:w w:val="203"/>
          <w:sz w:val="20"/>
        </w:rPr>
        <w:t>,</w:t>
      </w:r>
      <w:r>
        <w:rPr>
          <w:spacing w:val="3"/>
          <w:w w:val="330"/>
          <w:sz w:val="20"/>
        </w:rPr>
        <w:t>;</w:t>
      </w:r>
      <w:r>
        <w:rPr>
          <w:w w:val="99"/>
          <w:sz w:val="20"/>
        </w:rPr>
        <w:t>1)</w:t>
      </w:r>
    </w:p>
    <w:p>
      <w:pPr>
        <w:tabs>
          <w:tab w:pos="855" w:val="left" w:leader="none"/>
        </w:tabs>
        <w:spacing w:line="301" w:lineRule="exact" w:before="0"/>
        <w:ind w:left="114" w:right="0" w:firstLine="0"/>
        <w:jc w:val="left"/>
        <w:rPr>
          <w:sz w:val="21"/>
        </w:rPr>
      </w:pPr>
      <w:r>
        <w:rPr>
          <w:sz w:val="21"/>
        </w:rPr>
        <w:t>for</w:t>
      </w:r>
      <w:r>
        <w:rPr>
          <w:spacing w:val="14"/>
          <w:sz w:val="21"/>
        </w:rPr>
        <w:t> </w:t>
      </w:r>
      <w:r>
        <w:rPr>
          <w:i/>
          <w:sz w:val="22"/>
        </w:rPr>
        <w:t>s</w:t>
        <w:tab/>
      </w:r>
      <w:r>
        <w:rPr>
          <w:rFonts w:ascii="Arial"/>
          <w:i/>
          <w:sz w:val="20"/>
        </w:rPr>
        <w:t>k  </w:t>
      </w:r>
      <w:r>
        <w:rPr>
          <w:rFonts w:ascii="Arial"/>
          <w:sz w:val="32"/>
        </w:rPr>
        <w:t>+ </w:t>
      </w:r>
      <w:r>
        <w:rPr>
          <w:sz w:val="21"/>
        </w:rPr>
        <w:t>1 and  by O for </w:t>
      </w:r>
      <w:r>
        <w:rPr>
          <w:i/>
          <w:sz w:val="22"/>
        </w:rPr>
        <w:t>s  </w:t>
      </w:r>
      <w:r>
        <w:rPr>
          <w:sz w:val="26"/>
        </w:rPr>
        <w:t>=  </w:t>
      </w:r>
      <w:r>
        <w:rPr>
          <w:rFonts w:ascii="Arial"/>
          <w:i/>
          <w:sz w:val="20"/>
        </w:rPr>
        <w:t>k. </w:t>
      </w:r>
      <w:r>
        <w:rPr>
          <w:sz w:val="21"/>
        </w:rPr>
        <w:t>This relation  </w:t>
      </w:r>
      <w:r>
        <w:rPr>
          <w:rFonts w:ascii="Arial"/>
          <w:sz w:val="19"/>
        </w:rPr>
        <w:t>is </w:t>
      </w:r>
      <w:r>
        <w:rPr>
          <w:sz w:val="21"/>
        </w:rPr>
        <w:t>familiar</w:t>
      </w:r>
      <w:r>
        <w:rPr>
          <w:spacing w:val="2"/>
          <w:sz w:val="21"/>
        </w:rPr>
        <w:t> </w:t>
      </w:r>
      <w:r>
        <w:rPr>
          <w:sz w:val="21"/>
        </w:rPr>
        <w:t>from</w:t>
      </w:r>
    </w:p>
    <w:p>
      <w:pPr>
        <w:spacing w:line="235" w:lineRule="auto" w:before="0"/>
        <w:ind w:left="114" w:right="109" w:firstLine="0"/>
        <w:jc w:val="left"/>
        <w:rPr>
          <w:sz w:val="21"/>
        </w:rPr>
      </w:pPr>
      <w:r>
        <w:rPr>
          <w:sz w:val="21"/>
        </w:rPr>
        <w:t>Pascal's triangle of the binomial coefficients; it can be easily  derived  as  an  algebraic  identity.  Since  the  result  is  the  same</w:t>
      </w:r>
      <w:r>
        <w:rPr>
          <w:spacing w:val="-13"/>
          <w:sz w:val="21"/>
        </w:rPr>
        <w:t> </w:t>
      </w:r>
      <w:r>
        <w:rPr>
          <w:sz w:val="21"/>
        </w:rPr>
        <w:t>as</w:t>
      </w:r>
    </w:p>
    <w:p>
      <w:pPr>
        <w:spacing w:line="250" w:lineRule="exact" w:before="0"/>
        <w:ind w:left="114" w:right="0" w:firstLine="36"/>
        <w:jc w:val="left"/>
        <w:rPr>
          <w:sz w:val="21"/>
        </w:rPr>
      </w:pPr>
      <w:r>
        <w:rPr>
          <w:sz w:val="21"/>
        </w:rPr>
        <w:t>(10.12) for </w:t>
      </w:r>
      <w:r>
        <w:rPr>
          <w:i/>
          <w:sz w:val="21"/>
        </w:rPr>
        <w:t>r  </w:t>
      </w:r>
      <w:r>
        <w:rPr>
          <w:sz w:val="24"/>
        </w:rPr>
        <w:t>=  </w:t>
      </w:r>
      <w:r>
        <w:rPr>
          <w:i/>
          <w:sz w:val="20"/>
        </w:rPr>
        <w:t>k  </w:t>
      </w:r>
      <w:r>
        <w:rPr>
          <w:rFonts w:ascii="Arial"/>
          <w:sz w:val="32"/>
        </w:rPr>
        <w:t>+ </w:t>
      </w:r>
      <w:r>
        <w:rPr>
          <w:sz w:val="21"/>
        </w:rPr>
        <w:t>1, the induction  </w:t>
      </w:r>
      <w:r>
        <w:rPr>
          <w:rFonts w:ascii="Arial"/>
          <w:sz w:val="19"/>
        </w:rPr>
        <w:t>is </w:t>
      </w:r>
      <w:r>
        <w:rPr>
          <w:sz w:val="21"/>
        </w:rPr>
        <w:t>complete and we conclude</w:t>
      </w:r>
    </w:p>
    <w:p>
      <w:pPr>
        <w:spacing w:line="235" w:lineRule="auto" w:before="0"/>
        <w:ind w:left="121" w:right="0" w:hanging="8"/>
        <w:jc w:val="left"/>
        <w:rPr>
          <w:sz w:val="21"/>
        </w:rPr>
      </w:pPr>
      <w:r>
        <w:rPr>
          <w:w w:val="105"/>
          <w:sz w:val="21"/>
        </w:rPr>
        <w:t>that (10.12) holds for ali positive integers </w:t>
      </w:r>
      <w:r>
        <w:rPr>
          <w:rFonts w:ascii="Arial"/>
          <w:i/>
          <w:w w:val="105"/>
          <w:sz w:val="17"/>
        </w:rPr>
        <w:t>r </w:t>
      </w:r>
      <w:r>
        <w:rPr>
          <w:rFonts w:ascii="Arial"/>
          <w:i/>
          <w:w w:val="110"/>
          <w:sz w:val="17"/>
        </w:rPr>
        <w:t>. </w:t>
      </w:r>
      <w:r>
        <w:rPr>
          <w:w w:val="105"/>
          <w:sz w:val="21"/>
        </w:rPr>
        <w:t>The formula may be written in symbolic form as</w:t>
      </w:r>
    </w:p>
    <w:p>
      <w:pPr>
        <w:spacing w:after="0" w:line="235" w:lineRule="auto"/>
        <w:jc w:val="left"/>
        <w:rPr>
          <w:sz w:val="21"/>
        </w:rPr>
        <w:sectPr>
          <w:type w:val="continuous"/>
          <w:pgSz w:w="7200" w:h="11340"/>
          <w:pgMar w:top="1100" w:bottom="0" w:left="660" w:right="560"/>
        </w:sectPr>
      </w:pPr>
    </w:p>
    <w:p>
      <w:pPr>
        <w:tabs>
          <w:tab w:pos="5292" w:val="left" w:leader="none"/>
        </w:tabs>
        <w:spacing w:before="64"/>
        <w:ind w:left="141" w:right="0" w:firstLine="0"/>
        <w:jc w:val="left"/>
        <w:rPr>
          <w:b/>
          <w:sz w:val="19"/>
        </w:rPr>
      </w:pPr>
      <w:r>
        <w:rPr>
          <w:b/>
          <w:w w:val="105"/>
          <w:sz w:val="19"/>
        </w:rPr>
        <w:t>220   </w:t>
      </w:r>
      <w:r>
        <w:rPr>
          <w:b/>
          <w:w w:val="105"/>
          <w:sz w:val="15"/>
        </w:rPr>
        <w:t>LAST-SURVIVOR  AND  GENERAL</w:t>
      </w:r>
      <w:r>
        <w:rPr>
          <w:b/>
          <w:spacing w:val="36"/>
          <w:w w:val="105"/>
          <w:sz w:val="15"/>
        </w:rPr>
        <w:t> </w:t>
      </w:r>
      <w:r>
        <w:rPr>
          <w:b/>
          <w:w w:val="105"/>
          <w:sz w:val="15"/>
        </w:rPr>
        <w:t>MULTI-LIFE </w:t>
      </w:r>
      <w:r>
        <w:rPr>
          <w:b/>
          <w:spacing w:val="12"/>
          <w:w w:val="105"/>
          <w:sz w:val="15"/>
        </w:rPr>
        <w:t> </w:t>
      </w:r>
      <w:r>
        <w:rPr>
          <w:b/>
          <w:w w:val="105"/>
          <w:sz w:val="15"/>
        </w:rPr>
        <w:t>STATUSES</w:t>
        <w:tab/>
        <w:t>[CH.</w:t>
      </w:r>
      <w:r>
        <w:rPr>
          <w:b/>
          <w:spacing w:val="36"/>
          <w:w w:val="105"/>
          <w:sz w:val="15"/>
        </w:rPr>
        <w:t> </w:t>
      </w:r>
      <w:r>
        <w:rPr>
          <w:b/>
          <w:w w:val="105"/>
          <w:sz w:val="19"/>
        </w:rPr>
        <w:t>10</w:t>
      </w:r>
    </w:p>
    <w:p>
      <w:pPr>
        <w:tabs>
          <w:tab w:pos="1181" w:val="left" w:leader="none"/>
        </w:tabs>
        <w:spacing w:line="257" w:lineRule="exact" w:before="126"/>
        <w:ind w:left="385" w:right="0" w:firstLine="0"/>
        <w:jc w:val="center"/>
        <w:rPr>
          <w:b/>
          <w:i/>
          <w:sz w:val="28"/>
        </w:rPr>
      </w:pPr>
      <w:r>
        <w:rPr>
          <w:b/>
          <w:sz w:val="12"/>
        </w:rPr>
        <w:t>r</w:t>
        <w:tab/>
      </w:r>
      <w:r>
        <w:rPr>
          <w:b/>
          <w:i/>
          <w:sz w:val="28"/>
        </w:rPr>
        <w:t>zr</w:t>
      </w:r>
    </w:p>
    <w:p>
      <w:pPr>
        <w:spacing w:after="0" w:line="257" w:lineRule="exact"/>
        <w:jc w:val="center"/>
        <w:rPr>
          <w:sz w:val="28"/>
        </w:rPr>
        <w:sectPr>
          <w:pgSz w:w="7200" w:h="11340"/>
          <w:pgMar w:top="500" w:bottom="280" w:left="640" w:right="560"/>
        </w:sectPr>
      </w:pPr>
    </w:p>
    <w:p>
      <w:pPr>
        <w:spacing w:line="265" w:lineRule="exact" w:before="0"/>
        <w:ind w:left="2052" w:right="0" w:firstLine="0"/>
        <w:jc w:val="left"/>
        <w:rPr>
          <w:sz w:val="20"/>
        </w:rPr>
      </w:pPr>
      <w:r>
        <w:rPr>
          <w:w w:val="126"/>
          <w:sz w:val="13"/>
        </w:rPr>
        <w:t>nPs1s1··</w:t>
      </w:r>
      <w:r>
        <w:rPr>
          <w:spacing w:val="-6"/>
          <w:sz w:val="13"/>
        </w:rPr>
        <w:t> </w:t>
      </w:r>
      <w:r>
        <w:rPr>
          <w:spacing w:val="-34"/>
          <w:w w:val="185"/>
          <w:sz w:val="13"/>
        </w:rPr>
        <w:t>·</w:t>
      </w:r>
      <w:r>
        <w:rPr>
          <w:spacing w:val="-2"/>
          <w:w w:val="151"/>
          <w:sz w:val="13"/>
        </w:rPr>
        <w:t>s</w:t>
      </w:r>
      <w:r>
        <w:rPr>
          <w:w w:val="176"/>
          <w:sz w:val="13"/>
        </w:rPr>
        <w:t>..</w:t>
      </w:r>
      <w:r>
        <w:rPr>
          <w:sz w:val="13"/>
        </w:rPr>
        <w:t> </w:t>
      </w:r>
      <w:r>
        <w:rPr>
          <w:spacing w:val="-3"/>
          <w:sz w:val="13"/>
        </w:rPr>
        <w:t> </w:t>
      </w:r>
      <w:r>
        <w:rPr>
          <w:w w:val="89"/>
          <w:sz w:val="26"/>
        </w:rPr>
        <w:t>=</w:t>
      </w:r>
      <w:r>
        <w:rPr>
          <w:sz w:val="26"/>
        </w:rPr>
        <w:t> </w:t>
      </w:r>
      <w:r>
        <w:rPr>
          <w:spacing w:val="-21"/>
          <w:sz w:val="26"/>
        </w:rPr>
        <w:t> </w:t>
      </w:r>
      <w:r>
        <w:rPr>
          <w:spacing w:val="-22"/>
          <w:w w:val="55"/>
          <w:sz w:val="20"/>
        </w:rPr>
        <w:t>.</w:t>
      </w:r>
      <w:r>
        <w:rPr>
          <w:spacing w:val="-101"/>
          <w:w w:val="125"/>
          <w:sz w:val="20"/>
        </w:rPr>
        <w:t>(</w:t>
      </w:r>
      <w:r>
        <w:rPr>
          <w:w w:val="55"/>
          <w:sz w:val="20"/>
        </w:rPr>
        <w:t>.,</w:t>
      </w:r>
      <w:r>
        <w:rPr>
          <w:spacing w:val="-18"/>
          <w:w w:val="55"/>
          <w:sz w:val="20"/>
        </w:rPr>
        <w:t>.</w:t>
      </w:r>
      <w:r>
        <w:rPr>
          <w:spacing w:val="-101"/>
          <w:w w:val="125"/>
          <w:sz w:val="20"/>
        </w:rPr>
        <w:t>l</w:t>
      </w:r>
      <w:r>
        <w:rPr>
          <w:spacing w:val="-303"/>
          <w:w w:val="256"/>
          <w:sz w:val="20"/>
        </w:rPr>
        <w:t>_</w:t>
      </w:r>
      <w:r>
        <w:rPr>
          <w:w w:val="55"/>
          <w:sz w:val="20"/>
        </w:rPr>
        <w:t>.</w:t>
      </w:r>
    </w:p>
    <w:p>
      <w:pPr>
        <w:pStyle w:val="BodyText"/>
        <w:tabs>
          <w:tab w:pos="1896" w:val="left" w:leader="none"/>
        </w:tabs>
        <w:spacing w:line="256" w:lineRule="exact"/>
        <w:ind w:left="92"/>
      </w:pPr>
      <w:r>
        <w:rPr/>
        <w:br w:type="column"/>
      </w:r>
      <w:r>
        <w:rPr>
          <w:spacing w:val="-41"/>
          <w:w w:val="144"/>
          <w:position w:val="-4"/>
        </w:rPr>
        <w:t>+</w:t>
      </w:r>
      <w:r>
        <w:rPr>
          <w:spacing w:val="-39"/>
          <w:w w:val="133"/>
          <w:position w:val="-4"/>
        </w:rPr>
        <w:t>_</w:t>
      </w:r>
      <w:r>
        <w:rPr>
          <w:spacing w:val="-157"/>
          <w:w w:val="132"/>
          <w:position w:val="-4"/>
        </w:rPr>
        <w:t>z</w:t>
      </w:r>
      <w:r>
        <w:rPr>
          <w:w w:val="75"/>
          <w:position w:val="-4"/>
        </w:rPr>
        <w:t>-=</w:t>
      </w:r>
      <w:r>
        <w:rPr>
          <w:w w:val="75"/>
          <w:position w:val="-4"/>
        </w:rPr>
        <w:t>)</w:t>
      </w:r>
      <w:r>
        <w:rPr>
          <w:spacing w:val="-14"/>
          <w:position w:val="-4"/>
        </w:rPr>
        <w:t> </w:t>
      </w:r>
      <w:r>
        <w:rPr>
          <w:w w:val="73"/>
          <w:position w:val="-4"/>
        </w:rPr>
        <w:t>r</w:t>
      </w:r>
      <w:r>
        <w:rPr>
          <w:position w:val="-4"/>
        </w:rPr>
        <w:tab/>
      </w:r>
      <w:r>
        <w:rPr>
          <w:w w:val="121"/>
        </w:rPr>
        <w:t>(</w:t>
      </w:r>
      <w:r>
        <w:rPr>
          <w:spacing w:val="-24"/>
          <w:w w:val="121"/>
        </w:rPr>
        <w:t>1</w:t>
      </w:r>
      <w:r>
        <w:rPr>
          <w:w w:val="103"/>
        </w:rPr>
        <w:t>0.</w:t>
      </w:r>
      <w:r>
        <w:rPr>
          <w:spacing w:val="-13"/>
          <w:w w:val="103"/>
        </w:rPr>
        <w:t>1</w:t>
      </w:r>
      <w:r>
        <w:rPr>
          <w:w w:val="115"/>
        </w:rPr>
        <w:t>3)</w:t>
      </w:r>
    </w:p>
    <w:p>
      <w:pPr>
        <w:spacing w:after="0" w:line="256" w:lineRule="exact"/>
        <w:sectPr>
          <w:type w:val="continuous"/>
          <w:pgSz w:w="7200" w:h="11340"/>
          <w:pgMar w:top="1100" w:bottom="0" w:left="640" w:right="560"/>
          <w:cols w:num="2" w:equalWidth="0">
            <w:col w:w="3336" w:space="40"/>
            <w:col w:w="2624"/>
          </w:cols>
        </w:sectPr>
      </w:pPr>
    </w:p>
    <w:p>
      <w:pPr>
        <w:pStyle w:val="BodyText"/>
        <w:spacing w:before="3"/>
        <w:rPr>
          <w:sz w:val="9"/>
        </w:rPr>
      </w:pPr>
    </w:p>
    <w:p>
      <w:pPr>
        <w:spacing w:line="218" w:lineRule="auto" w:before="91"/>
        <w:ind w:left="130" w:right="100" w:firstLine="201"/>
        <w:jc w:val="both"/>
        <w:rPr>
          <w:sz w:val="21"/>
        </w:rPr>
      </w:pPr>
      <w:r>
        <w:rPr>
          <w:rFonts w:ascii="Arial" w:hAnsi="Arial"/>
          <w:w w:val="105"/>
          <w:sz w:val="19"/>
        </w:rPr>
        <w:t>As </w:t>
      </w:r>
      <w:r>
        <w:rPr>
          <w:w w:val="105"/>
          <w:sz w:val="21"/>
        </w:rPr>
        <w:t>an example of the use of formula (10.13), we obtain the probability that at least two of the three lives, (x ), </w:t>
      </w:r>
      <w:r>
        <w:rPr>
          <w:w w:val="105"/>
          <w:sz w:val="20"/>
        </w:rPr>
        <w:t>(y), </w:t>
      </w:r>
      <w:r>
        <w:rPr>
          <w:rFonts w:ascii="Arial" w:hAnsi="Arial"/>
          <w:i/>
          <w:w w:val="105"/>
          <w:sz w:val="19"/>
        </w:rPr>
        <w:t>(z </w:t>
      </w:r>
      <w:r>
        <w:rPr>
          <w:rFonts w:ascii="Arial" w:hAnsi="Arial"/>
          <w:w w:val="105"/>
          <w:sz w:val="19"/>
        </w:rPr>
        <w:t>), </w:t>
      </w:r>
      <w:r>
        <w:rPr>
          <w:w w:val="105"/>
          <w:sz w:val="21"/>
        </w:rPr>
        <w:t>will be alive at the end of </w:t>
      </w:r>
      <w:r>
        <w:rPr>
          <w:i/>
          <w:w w:val="105"/>
          <w:sz w:val="21"/>
        </w:rPr>
        <w:t>n </w:t>
      </w:r>
      <w:r>
        <w:rPr>
          <w:w w:val="105"/>
          <w:sz w:val="21"/>
        </w:rPr>
        <w:t>years. Sincc </w:t>
      </w:r>
      <w:r>
        <w:rPr>
          <w:i/>
          <w:w w:val="105"/>
          <w:sz w:val="21"/>
        </w:rPr>
        <w:t>m </w:t>
      </w:r>
      <w:r>
        <w:rPr>
          <w:w w:val="105"/>
          <w:sz w:val="25"/>
        </w:rPr>
        <w:t>= </w:t>
      </w:r>
      <w:r>
        <w:rPr>
          <w:w w:val="105"/>
          <w:sz w:val="21"/>
        </w:rPr>
        <w:t>3 and' </w:t>
      </w:r>
      <w:r>
        <w:rPr>
          <w:i/>
          <w:w w:val="105"/>
          <w:sz w:val="21"/>
        </w:rPr>
        <w:t>r </w:t>
      </w:r>
      <w:r>
        <w:rPr>
          <w:w w:val="105"/>
          <w:sz w:val="25"/>
        </w:rPr>
        <w:t>= </w:t>
      </w:r>
      <w:r>
        <w:rPr>
          <w:w w:val="105"/>
          <w:sz w:val="21"/>
        </w:rPr>
        <w:t>2, we first write·</w:t>
      </w:r>
    </w:p>
    <w:p>
      <w:pPr>
        <w:spacing w:after="0" w:line="218" w:lineRule="auto"/>
        <w:jc w:val="both"/>
        <w:rPr>
          <w:sz w:val="21"/>
        </w:rPr>
        <w:sectPr>
          <w:type w:val="continuous"/>
          <w:pgSz w:w="7200" w:h="11340"/>
          <w:pgMar w:top="1100" w:bottom="0" w:left="640" w:right="560"/>
        </w:sectPr>
      </w:pPr>
    </w:p>
    <w:p>
      <w:pPr>
        <w:pStyle w:val="BodyText"/>
      </w:pPr>
    </w:p>
    <w:p>
      <w:pPr>
        <w:pStyle w:val="BodyText"/>
      </w:pPr>
    </w:p>
    <w:p>
      <w:pPr>
        <w:pStyle w:val="BodyText"/>
        <w:spacing w:before="6"/>
        <w:rPr>
          <w:sz w:val="23"/>
        </w:rPr>
      </w:pPr>
    </w:p>
    <w:p>
      <w:pPr>
        <w:spacing w:before="0"/>
        <w:ind w:left="148" w:right="-20" w:firstLine="0"/>
        <w:jc w:val="left"/>
        <w:rPr>
          <w:sz w:val="21"/>
        </w:rPr>
      </w:pPr>
      <w:r>
        <w:rPr>
          <w:w w:val="105"/>
          <w:sz w:val="21"/>
        </w:rPr>
        <w:t>Then,</w:t>
      </w:r>
    </w:p>
    <w:p>
      <w:pPr>
        <w:tabs>
          <w:tab w:pos="1761" w:val="right" w:leader="none"/>
        </w:tabs>
        <w:spacing w:line="233" w:lineRule="exact" w:before="81"/>
        <w:ind w:left="742" w:right="0" w:firstLine="0"/>
        <w:jc w:val="left"/>
        <w:rPr>
          <w:rFonts w:ascii="Arial"/>
          <w:sz w:val="11"/>
        </w:rPr>
      </w:pPr>
      <w:r>
        <w:rPr/>
        <w:br w:type="column"/>
      </w:r>
      <w:r>
        <w:rPr>
          <w:rFonts w:ascii="Arial"/>
          <w:i/>
          <w:spacing w:val="1"/>
          <w:w w:val="94"/>
          <w:sz w:val="28"/>
        </w:rPr>
        <w:t>z</w:t>
      </w:r>
      <w:r>
        <w:rPr>
          <w:i/>
          <w:w w:val="104"/>
          <w:position w:val="11"/>
          <w:sz w:val="12"/>
        </w:rPr>
        <w:t>2</w:t>
      </w:r>
      <w:r>
        <w:rPr>
          <w:rFonts w:ascii="Arial"/>
          <w:w w:val="99"/>
          <w:sz w:val="11"/>
        </w:rPr>
        <w:t> </w:t>
      </w:r>
      <w:r>
        <w:rPr>
          <w:rFonts w:ascii="Arial"/>
          <w:sz w:val="11"/>
        </w:rPr>
        <w:tab/>
      </w:r>
      <w:r>
        <w:rPr>
          <w:rFonts w:ascii="Arial"/>
          <w:w w:val="100"/>
          <w:sz w:val="11"/>
        </w:rPr>
        <w:t>2</w:t>
      </w:r>
    </w:p>
    <w:p>
      <w:pPr>
        <w:spacing w:line="268" w:lineRule="exact" w:before="0"/>
        <w:ind w:left="468" w:right="0" w:firstLine="0"/>
        <w:jc w:val="left"/>
        <w:rPr>
          <w:sz w:val="21"/>
        </w:rPr>
      </w:pPr>
      <w:r>
        <w:rPr>
          <w:w w:val="105"/>
          <w:sz w:val="21"/>
          <w:u w:val="thick"/>
        </w:rPr>
        <w:t>(1 </w:t>
      </w:r>
      <w:r>
        <w:rPr>
          <w:rFonts w:ascii="Arial"/>
          <w:w w:val="105"/>
          <w:sz w:val="31"/>
          <w:u w:val="thick"/>
        </w:rPr>
        <w:t>+ </w:t>
      </w:r>
      <w:r>
        <w:rPr>
          <w:b/>
          <w:w w:val="105"/>
          <w:sz w:val="20"/>
          <w:u w:val="thick"/>
        </w:rPr>
        <w:t>Z) t </w:t>
      </w:r>
      <w:r>
        <w:rPr>
          <w:w w:val="105"/>
          <w:sz w:val="26"/>
        </w:rPr>
        <w:t>= </w:t>
      </w:r>
      <w:r>
        <w:rPr>
          <w:rFonts w:ascii="Arial"/>
          <w:i/>
          <w:w w:val="105"/>
          <w:sz w:val="29"/>
        </w:rPr>
        <w:t>z </w:t>
      </w:r>
      <w:r>
        <w:rPr>
          <w:rFonts w:ascii="Arial"/>
          <w:w w:val="155"/>
          <w:sz w:val="29"/>
        </w:rPr>
        <w:t>- </w:t>
      </w:r>
      <w:r>
        <w:rPr>
          <w:w w:val="105"/>
          <w:sz w:val="21"/>
        </w:rPr>
        <w:t>2.z'.</w:t>
      </w:r>
    </w:p>
    <w:p>
      <w:pPr>
        <w:spacing w:line="37" w:lineRule="exact" w:before="477"/>
        <w:ind w:left="148" w:right="0" w:firstLine="0"/>
        <w:jc w:val="left"/>
        <w:rPr>
          <w:b/>
          <w:sz w:val="14"/>
        </w:rPr>
      </w:pPr>
      <w:r>
        <w:rPr>
          <w:b/>
          <w:w w:val="149"/>
          <w:sz w:val="14"/>
        </w:rPr>
        <w:t>t</w:t>
      </w:r>
    </w:p>
    <w:p>
      <w:pPr>
        <w:spacing w:after="0" w:line="37" w:lineRule="exact"/>
        <w:jc w:val="left"/>
        <w:rPr>
          <w:sz w:val="14"/>
        </w:rPr>
        <w:sectPr>
          <w:type w:val="continuous"/>
          <w:pgSz w:w="7200" w:h="11340"/>
          <w:pgMar w:top="1100" w:bottom="0" w:left="640" w:right="560"/>
          <w:cols w:num="2" w:equalWidth="0">
            <w:col w:w="657" w:space="916"/>
            <w:col w:w="4427"/>
          </w:cols>
        </w:sectPr>
      </w:pPr>
    </w:p>
    <w:p>
      <w:pPr>
        <w:spacing w:line="326" w:lineRule="exact" w:before="0"/>
        <w:ind w:left="98" w:right="33" w:firstLine="0"/>
        <w:jc w:val="center"/>
        <w:rPr>
          <w:sz w:val="20"/>
        </w:rPr>
      </w:pPr>
      <w:r>
        <w:rPr>
          <w:rFonts w:ascii="Arial" w:hAnsi="Arial"/>
          <w:b/>
          <w:sz w:val="19"/>
        </w:rPr>
        <w:t>nP'iir </w:t>
      </w:r>
      <w:r>
        <w:rPr>
          <w:w w:val="80"/>
          <w:sz w:val="28"/>
        </w:rPr>
        <w:t>= </w:t>
      </w:r>
      <w:r>
        <w:rPr>
          <w:rFonts w:ascii="Arial" w:hAnsi="Arial"/>
          <w:b/>
          <w:i/>
          <w:w w:val="80"/>
          <w:sz w:val="18"/>
        </w:rPr>
        <w:t>,.pSfl </w:t>
      </w:r>
      <w:r>
        <w:rPr>
          <w:rFonts w:ascii="Arial" w:hAnsi="Arial"/>
          <w:sz w:val="32"/>
        </w:rPr>
        <w:t>+</w:t>
      </w:r>
      <w:r>
        <w:rPr>
          <w:rFonts w:ascii="Arial" w:hAnsi="Arial"/>
          <w:spacing w:val="-54"/>
          <w:sz w:val="32"/>
        </w:rPr>
        <w:t> </w:t>
      </w:r>
      <w:r>
        <w:rPr>
          <w:i/>
          <w:sz w:val="18"/>
        </w:rPr>
        <w:t>nPu </w:t>
      </w:r>
      <w:r>
        <w:rPr>
          <w:rFonts w:ascii="Arial" w:hAnsi="Arial"/>
          <w:sz w:val="32"/>
        </w:rPr>
        <w:t>+</w:t>
      </w:r>
      <w:r>
        <w:rPr>
          <w:rFonts w:ascii="Arial" w:hAnsi="Arial"/>
          <w:spacing w:val="-52"/>
          <w:sz w:val="32"/>
        </w:rPr>
        <w:t> </w:t>
      </w:r>
      <w:r>
        <w:rPr>
          <w:i/>
          <w:sz w:val="16"/>
        </w:rPr>
        <w:t>nPuz </w:t>
      </w:r>
      <w:r>
        <w:rPr>
          <w:w w:val="315"/>
          <w:sz w:val="16"/>
        </w:rPr>
        <w:t>-</w:t>
      </w:r>
      <w:r>
        <w:rPr>
          <w:spacing w:val="-93"/>
          <w:w w:val="315"/>
          <w:sz w:val="16"/>
        </w:rPr>
        <w:t> </w:t>
      </w:r>
      <w:r>
        <w:rPr>
          <w:rFonts w:ascii="Arial" w:hAnsi="Arial"/>
          <w:b/>
          <w:sz w:val="19"/>
        </w:rPr>
        <w:t>2 </w:t>
      </w:r>
      <w:r>
        <w:rPr>
          <w:b/>
          <w:i/>
          <w:w w:val="80"/>
          <w:sz w:val="20"/>
        </w:rPr>
        <w:t>•P:sJ1• </w:t>
      </w:r>
      <w:r>
        <w:rPr>
          <w:w w:val="80"/>
          <w:sz w:val="20"/>
        </w:rPr>
        <w:t>•</w:t>
      </w:r>
    </w:p>
    <w:p>
      <w:pPr>
        <w:spacing w:line="321" w:lineRule="exact" w:before="0"/>
        <w:ind w:left="126" w:right="0" w:firstLine="0"/>
        <w:jc w:val="left"/>
        <w:rPr>
          <w:sz w:val="21"/>
        </w:rPr>
      </w:pPr>
      <w:r>
        <w:rPr>
          <w:rFonts w:ascii="Arial"/>
          <w:sz w:val="19"/>
        </w:rPr>
        <w:t>As </w:t>
      </w:r>
      <w:r>
        <w:rPr>
          <w:sz w:val="21"/>
        </w:rPr>
        <w:t>a check in this case, </w:t>
      </w:r>
      <w:r>
        <w:rPr>
          <w:rFonts w:ascii="Arial"/>
          <w:sz w:val="20"/>
        </w:rPr>
        <w:t>if </w:t>
      </w:r>
      <w:r>
        <w:rPr>
          <w:sz w:val="21"/>
        </w:rPr>
        <w:t>we lct </w:t>
      </w:r>
      <w:r>
        <w:rPr>
          <w:i/>
          <w:sz w:val="19"/>
        </w:rPr>
        <w:t>"p   </w:t>
      </w:r>
      <w:r>
        <w:rPr>
          <w:sz w:val="28"/>
        </w:rPr>
        <w:t>= </w:t>
      </w:r>
      <w:r>
        <w:rPr>
          <w:sz w:val="21"/>
        </w:rPr>
        <w:t>1for each single life, we have</w:t>
      </w:r>
    </w:p>
    <w:p>
      <w:pPr>
        <w:spacing w:line="93" w:lineRule="exact" w:before="95"/>
        <w:ind w:left="0" w:right="1862" w:firstLine="0"/>
        <w:jc w:val="center"/>
        <w:rPr>
          <w:rFonts w:ascii="Arial"/>
          <w:b/>
          <w:sz w:val="11"/>
        </w:rPr>
      </w:pPr>
      <w:r>
        <w:rPr>
          <w:rFonts w:ascii="Arial"/>
          <w:b/>
          <w:w w:val="106"/>
          <w:sz w:val="11"/>
        </w:rPr>
        <w:t>2</w:t>
      </w:r>
    </w:p>
    <w:p>
      <w:pPr>
        <w:spacing w:line="197" w:lineRule="exact" w:before="0"/>
        <w:ind w:left="98" w:right="229" w:firstLine="0"/>
        <w:jc w:val="center"/>
        <w:rPr>
          <w:sz w:val="20"/>
        </w:rPr>
      </w:pPr>
      <w:r>
        <w:rPr>
          <w:rFonts w:ascii="Arial"/>
          <w:i/>
          <w:spacing w:val="-264"/>
          <w:w w:val="324"/>
          <w:sz w:val="20"/>
        </w:rPr>
        <w:t>.</w:t>
      </w:r>
      <w:r>
        <w:rPr>
          <w:rFonts w:ascii="Arial"/>
          <w:i/>
          <w:w w:val="118"/>
          <w:sz w:val="20"/>
        </w:rPr>
        <w:t>p;..</w:t>
      </w:r>
      <w:r>
        <w:rPr>
          <w:rFonts w:ascii="Arial"/>
          <w:i/>
          <w:spacing w:val="21"/>
          <w:sz w:val="20"/>
        </w:rPr>
        <w:t> </w:t>
      </w:r>
      <w:r>
        <w:rPr>
          <w:rFonts w:ascii="Arial"/>
          <w:i/>
          <w:w w:val="138"/>
          <w:sz w:val="20"/>
        </w:rPr>
        <w:t>=</w:t>
      </w:r>
      <w:r>
        <w:rPr>
          <w:rFonts w:ascii="Arial"/>
          <w:i/>
          <w:sz w:val="20"/>
        </w:rPr>
        <w:t> </w:t>
      </w:r>
      <w:r>
        <w:rPr>
          <w:rFonts w:ascii="Arial"/>
          <w:i/>
          <w:spacing w:val="-25"/>
          <w:sz w:val="20"/>
        </w:rPr>
        <w:t> </w:t>
      </w:r>
      <w:r>
        <w:rPr>
          <w:w w:val="135"/>
          <w:sz w:val="20"/>
        </w:rPr>
        <w:t>1</w:t>
      </w:r>
      <w:r>
        <w:rPr>
          <w:spacing w:val="-20"/>
          <w:sz w:val="20"/>
        </w:rPr>
        <w:t> </w:t>
      </w:r>
      <w:r>
        <w:rPr>
          <w:w w:val="147"/>
          <w:sz w:val="20"/>
        </w:rPr>
        <w:t>+</w:t>
      </w:r>
      <w:r>
        <w:rPr>
          <w:sz w:val="20"/>
        </w:rPr>
        <w:t> </w:t>
      </w:r>
      <w:r>
        <w:rPr>
          <w:spacing w:val="-4"/>
          <w:sz w:val="20"/>
        </w:rPr>
        <w:t> </w:t>
      </w:r>
      <w:r>
        <w:rPr>
          <w:w w:val="135"/>
          <w:sz w:val="20"/>
        </w:rPr>
        <w:t>1</w:t>
      </w:r>
      <w:r>
        <w:rPr>
          <w:spacing w:val="-16"/>
          <w:sz w:val="20"/>
        </w:rPr>
        <w:t> </w:t>
      </w:r>
      <w:r>
        <w:rPr>
          <w:w w:val="147"/>
          <w:sz w:val="20"/>
        </w:rPr>
        <w:t>+</w:t>
      </w:r>
      <w:r>
        <w:rPr>
          <w:sz w:val="20"/>
        </w:rPr>
        <w:t> </w:t>
      </w:r>
      <w:r>
        <w:rPr>
          <w:spacing w:val="-8"/>
          <w:sz w:val="20"/>
        </w:rPr>
        <w:t> </w:t>
      </w:r>
      <w:r>
        <w:rPr>
          <w:w w:val="135"/>
          <w:sz w:val="20"/>
        </w:rPr>
        <w:t>1</w:t>
      </w:r>
      <w:r>
        <w:rPr>
          <w:spacing w:val="-9"/>
          <w:sz w:val="20"/>
        </w:rPr>
        <w:t> </w:t>
      </w:r>
      <w:r>
        <w:rPr>
          <w:w w:val="274"/>
          <w:sz w:val="20"/>
        </w:rPr>
        <w:t>-</w:t>
      </w:r>
      <w:r>
        <w:rPr>
          <w:spacing w:val="4"/>
          <w:sz w:val="20"/>
        </w:rPr>
        <w:t> </w:t>
      </w:r>
      <w:r>
        <w:rPr>
          <w:w w:val="101"/>
          <w:sz w:val="20"/>
        </w:rPr>
        <w:t>2</w:t>
      </w:r>
      <w:r>
        <w:rPr>
          <w:sz w:val="20"/>
        </w:rPr>
        <w:t> </w:t>
      </w:r>
      <w:r>
        <w:rPr>
          <w:spacing w:val="-11"/>
          <w:sz w:val="20"/>
        </w:rPr>
        <w:t> </w:t>
      </w:r>
      <w:r>
        <w:rPr>
          <w:w w:val="124"/>
          <w:sz w:val="20"/>
        </w:rPr>
        <w:t>=</w:t>
      </w:r>
      <w:r>
        <w:rPr>
          <w:sz w:val="20"/>
        </w:rPr>
        <w:t> </w:t>
      </w:r>
      <w:r>
        <w:rPr>
          <w:spacing w:val="7"/>
          <w:sz w:val="20"/>
        </w:rPr>
        <w:t> </w:t>
      </w:r>
      <w:r>
        <w:rPr>
          <w:w w:val="154"/>
          <w:sz w:val="20"/>
        </w:rPr>
        <w:t>l.</w:t>
      </w:r>
    </w:p>
    <w:p>
      <w:pPr>
        <w:spacing w:line="242" w:lineRule="exact" w:before="108"/>
        <w:ind w:left="123" w:right="0" w:firstLine="7"/>
        <w:jc w:val="left"/>
        <w:rPr>
          <w:sz w:val="21"/>
        </w:rPr>
      </w:pPr>
      <w:r>
        <w:rPr/>
        <w:pict>
          <v:shape style="position:absolute;margin-left:130.5pt;margin-top:24.615599pt;width:9.35pt;height:14pt;mso-position-horizontal-relative:page;mso-position-vertical-relative:paragraph;z-index:-718528" type="#_x0000_t202" filled="false" stroked="false">
            <v:textbox inset="0,0,0,0">
              <w:txbxContent>
                <w:p>
                  <w:pPr>
                    <w:spacing w:line="280" w:lineRule="exact" w:before="0"/>
                    <w:ind w:left="0" w:right="-20" w:firstLine="0"/>
                    <w:jc w:val="left"/>
                    <w:rPr>
                      <w:rFonts w:ascii="Arial"/>
                      <w:b/>
                      <w:sz w:val="28"/>
                    </w:rPr>
                  </w:pPr>
                  <w:r>
                    <w:rPr>
                      <w:rFonts w:ascii="Arial"/>
                      <w:b/>
                      <w:w w:val="75"/>
                      <w:sz w:val="28"/>
                    </w:rPr>
                    <w:t>zr</w:t>
                  </w:r>
                </w:p>
              </w:txbxContent>
            </v:textbox>
            <w10:wrap type="none"/>
          </v:shape>
        </w:pict>
      </w:r>
      <w:r>
        <w:rPr>
          <w:w w:val="105"/>
          <w:sz w:val="21"/>
        </w:rPr>
        <w:t>If each life </w:t>
      </w:r>
      <w:r>
        <w:rPr>
          <w:w w:val="105"/>
          <w:sz w:val="20"/>
        </w:rPr>
        <w:t>is </w:t>
      </w:r>
      <w:r>
        <w:rPr>
          <w:w w:val="105"/>
          <w:sz w:val="21"/>
        </w:rPr>
        <w:t>certain </w:t>
      </w:r>
      <w:r>
        <w:rPr>
          <w:w w:val="105"/>
          <w:sz w:val="22"/>
        </w:rPr>
        <w:t>to </w:t>
      </w:r>
      <w:r>
        <w:rPr>
          <w:w w:val="105"/>
          <w:sz w:val="21"/>
        </w:rPr>
        <w:t>survive, the probability that at least two will survive is 1.</w:t>
      </w:r>
    </w:p>
    <w:p>
      <w:pPr>
        <w:spacing w:line="423" w:lineRule="exact" w:before="0"/>
        <w:ind w:left="126" w:right="0" w:firstLine="198"/>
        <w:jc w:val="left"/>
        <w:rPr>
          <w:sz w:val="22"/>
        </w:rPr>
      </w:pPr>
      <w:r>
        <w:rPr>
          <w:sz w:val="21"/>
        </w:rPr>
        <w:t>The expression  (l </w:t>
      </w:r>
      <w:r>
        <w:rPr>
          <w:rFonts w:ascii="Arial"/>
          <w:sz w:val="31"/>
        </w:rPr>
        <w:t>+ </w:t>
      </w:r>
      <w:r>
        <w:rPr>
          <w:i/>
          <w:sz w:val="43"/>
        </w:rPr>
        <w:t>zr </w:t>
      </w:r>
      <w:r>
        <w:rPr>
          <w:sz w:val="21"/>
        </w:rPr>
        <w:t>of formula  (10.13) may also be used </w:t>
      </w:r>
      <w:r>
        <w:rPr>
          <w:sz w:val="22"/>
        </w:rPr>
        <w:t>to</w:t>
      </w:r>
    </w:p>
    <w:p>
      <w:pPr>
        <w:spacing w:line="238" w:lineRule="exact" w:before="101"/>
        <w:ind w:left="123" w:right="0" w:firstLine="3"/>
        <w:jc w:val="left"/>
        <w:rPr>
          <w:sz w:val="21"/>
        </w:rPr>
      </w:pPr>
      <w:r>
        <w:rPr>
          <w:w w:val="99"/>
          <w:sz w:val="21"/>
        </w:rPr>
        <w:t>expand </w:t>
      </w:r>
      <w:r>
        <w:rPr>
          <w:w w:val="103"/>
          <w:sz w:val="21"/>
        </w:rPr>
        <w:t>any </w:t>
      </w:r>
      <w:r>
        <w:rPr>
          <w:w w:val="100"/>
          <w:sz w:val="21"/>
        </w:rPr>
        <w:t>linear </w:t>
      </w:r>
      <w:r>
        <w:rPr>
          <w:w w:val="101"/>
          <w:sz w:val="21"/>
        </w:rPr>
        <w:t>function </w:t>
      </w:r>
      <w:r>
        <w:rPr>
          <w:w w:val="87"/>
          <w:sz w:val="21"/>
        </w:rPr>
        <w:t>of </w:t>
      </w:r>
      <w:r>
        <w:rPr>
          <w:w w:val="104"/>
          <w:sz w:val="21"/>
        </w:rPr>
        <w:t>the </w:t>
      </w:r>
      <w:r>
        <w:rPr>
          <w:w w:val="100"/>
          <w:sz w:val="21"/>
        </w:rPr>
        <w:t>probability  </w:t>
      </w:r>
      <w:r>
        <w:rPr>
          <w:b/>
          <w:w w:val="115"/>
          <w:sz w:val="15"/>
          <w:u w:val="thick"/>
        </w:rPr>
        <w:t>•Psisa </w:t>
      </w:r>
      <w:r>
        <w:rPr>
          <w:b/>
          <w:w w:val="153"/>
          <w:sz w:val="15"/>
        </w:rPr>
        <w:t>.</w:t>
      </w:r>
      <w:r>
        <w:rPr>
          <w:w w:val="153"/>
          <w:sz w:val="15"/>
        </w:rPr>
        <w:t>.. </w:t>
      </w:r>
      <w:r>
        <w:rPr>
          <w:w w:val="249"/>
          <w:sz w:val="15"/>
        </w:rPr>
        <w:t>.</w:t>
      </w:r>
      <w:r>
        <w:rPr>
          <w:w w:val="249"/>
          <w:sz w:val="21"/>
        </w:rPr>
        <w:t>in </w:t>
      </w:r>
      <w:r>
        <w:rPr>
          <w:w w:val="107"/>
          <w:sz w:val="21"/>
        </w:rPr>
        <w:t>tenns </w:t>
      </w:r>
      <w:r>
        <w:rPr>
          <w:w w:val="105"/>
          <w:sz w:val="21"/>
        </w:rPr>
        <w:t>of the corresponding joint-life functions. For exa.mple,</w:t>
      </w:r>
    </w:p>
    <w:p>
      <w:pPr>
        <w:tabs>
          <w:tab w:pos="2988" w:val="left" w:leader="none"/>
        </w:tabs>
        <w:spacing w:before="84"/>
        <w:ind w:left="871" w:right="0" w:firstLine="0"/>
        <w:jc w:val="left"/>
        <w:rPr>
          <w:rFonts w:ascii="Arial" w:hAnsi="Arial"/>
          <w:i/>
          <w:sz w:val="19"/>
        </w:rPr>
      </w:pPr>
      <w:r>
        <w:rPr/>
        <w:pict>
          <v:shape style="position:absolute;margin-left:87.660004pt;margin-top:6.831074pt;width:136.75pt;height:5.5pt;mso-position-horizontal-relative:page;mso-position-vertical-relative:paragraph;z-index:-718504" type="#_x0000_t202" filled="false" stroked="false">
            <v:textbox inset="0,0,0,0">
              <w:txbxContent>
                <w:p>
                  <w:pPr>
                    <w:tabs>
                      <w:tab w:pos="2707" w:val="left" w:leader="none"/>
                    </w:tabs>
                    <w:spacing w:line="110" w:lineRule="exact" w:before="0"/>
                    <w:ind w:left="0" w:right="0" w:firstLine="0"/>
                    <w:jc w:val="left"/>
                    <w:rPr>
                      <w:rFonts w:ascii="Arial"/>
                      <w:sz w:val="11"/>
                    </w:rPr>
                  </w:pPr>
                  <w:r>
                    <w:rPr>
                      <w:rFonts w:ascii="Arial"/>
                      <w:b/>
                      <w:w w:val="120"/>
                      <w:sz w:val="11"/>
                    </w:rPr>
                    <w:t>2</w:t>
                    <w:tab/>
                  </w:r>
                  <w:r>
                    <w:rPr>
                      <w:rFonts w:ascii="Arial"/>
                      <w:w w:val="120"/>
                      <w:sz w:val="11"/>
                    </w:rPr>
                    <w:t>'</w:t>
                  </w:r>
                </w:p>
              </w:txbxContent>
            </v:textbox>
            <w10:wrap type="none"/>
          </v:shape>
        </w:pict>
      </w:r>
      <w:r>
        <w:rPr>
          <w:rFonts w:ascii="Arial" w:hAnsi="Arial"/>
          <w:i/>
          <w:w w:val="110"/>
          <w:sz w:val="20"/>
        </w:rPr>
        <w:t>ªivi  </w:t>
      </w:r>
      <w:r>
        <w:rPr>
          <w:sz w:val="24"/>
        </w:rPr>
        <w:t>=  </w:t>
      </w:r>
      <w:r>
        <w:rPr>
          <w:i/>
          <w:sz w:val="16"/>
        </w:rPr>
        <w:t>as¡¡   </w:t>
      </w:r>
      <w:r>
        <w:rPr>
          <w:rFonts w:ascii="Arial" w:hAnsi="Arial"/>
          <w:sz w:val="31"/>
        </w:rPr>
        <w:t>+</w:t>
      </w:r>
      <w:r>
        <w:rPr>
          <w:rFonts w:ascii="Arial" w:hAnsi="Arial"/>
          <w:spacing w:val="30"/>
          <w:sz w:val="31"/>
        </w:rPr>
        <w:t> </w:t>
      </w:r>
      <w:r>
        <w:rPr>
          <w:rFonts w:ascii="Arial" w:hAnsi="Arial"/>
          <w:i/>
          <w:sz w:val="24"/>
        </w:rPr>
        <w:t>ª=</w:t>
      </w:r>
      <w:r>
        <w:rPr>
          <w:rFonts w:ascii="Arial" w:hAnsi="Arial"/>
          <w:i/>
          <w:spacing w:val="29"/>
          <w:sz w:val="24"/>
        </w:rPr>
        <w:t> </w:t>
      </w:r>
      <w:r>
        <w:rPr>
          <w:rFonts w:ascii="Arial" w:hAnsi="Arial"/>
          <w:sz w:val="32"/>
        </w:rPr>
        <w:t>+</w:t>
        <w:tab/>
      </w:r>
      <w:r>
        <w:rPr>
          <w:rFonts w:ascii="Arial" w:hAnsi="Arial"/>
          <w:spacing w:val="20"/>
          <w:w w:val="140"/>
          <w:sz w:val="32"/>
        </w:rPr>
        <w:t>.-</w:t>
      </w:r>
      <w:r>
        <w:rPr>
          <w:rFonts w:ascii="Arial" w:hAnsi="Arial"/>
          <w:spacing w:val="-82"/>
          <w:w w:val="140"/>
          <w:sz w:val="32"/>
        </w:rPr>
        <w:t> </w:t>
      </w:r>
      <w:r>
        <w:rPr>
          <w:rFonts w:ascii="Arial" w:hAnsi="Arial"/>
          <w:i/>
          <w:sz w:val="19"/>
        </w:rPr>
        <w:t>2as¡¡.</w:t>
      </w:r>
    </w:p>
    <w:p>
      <w:pPr>
        <w:spacing w:before="19"/>
        <w:ind w:left="767" w:right="0" w:firstLine="0"/>
        <w:jc w:val="left"/>
        <w:rPr>
          <w:i/>
          <w:sz w:val="21"/>
        </w:rPr>
      </w:pPr>
      <w:r>
        <w:rPr/>
        <w:pict>
          <v:shape style="position:absolute;margin-left:90.360001pt;margin-top:2.698438pt;width:3.75pt;height:6.5pt;mso-position-horizontal-relative:page;mso-position-vertical-relative:paragraph;z-index:-718480" type="#_x0000_t202" filled="false" stroked="false">
            <v:textbox inset="0,0,0,0">
              <w:txbxContent>
                <w:p>
                  <w:pPr>
                    <w:spacing w:line="130" w:lineRule="exact" w:before="0"/>
                    <w:ind w:left="0" w:right="0" w:firstLine="0"/>
                    <w:jc w:val="left"/>
                    <w:rPr>
                      <w:b/>
                      <w:sz w:val="13"/>
                    </w:rPr>
                  </w:pPr>
                  <w:r>
                    <w:rPr>
                      <w:b/>
                      <w:w w:val="114"/>
                      <w:sz w:val="13"/>
                    </w:rPr>
                    <w:t>1</w:t>
                  </w:r>
                </w:p>
              </w:txbxContent>
            </v:textbox>
            <w10:wrap type="none"/>
          </v:shape>
        </w:pict>
      </w:r>
      <w:r>
        <w:rPr>
          <w:i/>
          <w:w w:val="144"/>
          <w:sz w:val="21"/>
        </w:rPr>
        <w:t>A;;.</w:t>
      </w:r>
      <w:r>
        <w:rPr>
          <w:i/>
          <w:sz w:val="21"/>
        </w:rPr>
        <w:t> </w:t>
      </w:r>
      <w:r>
        <w:rPr>
          <w:i/>
          <w:spacing w:val="17"/>
          <w:sz w:val="21"/>
        </w:rPr>
        <w:t> </w:t>
      </w:r>
      <w:r>
        <w:rPr>
          <w:w w:val="94"/>
          <w:sz w:val="26"/>
        </w:rPr>
        <w:t>=</w:t>
      </w:r>
      <w:r>
        <w:rPr>
          <w:sz w:val="26"/>
        </w:rPr>
        <w:t> </w:t>
      </w:r>
      <w:r>
        <w:rPr>
          <w:spacing w:val="-3"/>
          <w:sz w:val="26"/>
        </w:rPr>
        <w:t> </w:t>
      </w:r>
      <w:r>
        <w:rPr>
          <w:i/>
          <w:w w:val="140"/>
          <w:sz w:val="21"/>
        </w:rPr>
        <w:t>A</w:t>
      </w:r>
      <w:r>
        <w:rPr>
          <w:i/>
          <w:spacing w:val="-10"/>
          <w:w w:val="140"/>
          <w:sz w:val="21"/>
        </w:rPr>
        <w:t>.</w:t>
      </w:r>
      <w:r>
        <w:rPr>
          <w:i/>
          <w:w w:val="52"/>
          <w:sz w:val="21"/>
        </w:rPr>
        <w:t>SIi</w:t>
      </w:r>
      <w:r>
        <w:rPr>
          <w:i/>
          <w:sz w:val="21"/>
        </w:rPr>
        <w:t> </w:t>
      </w:r>
      <w:r>
        <w:rPr>
          <w:i/>
          <w:spacing w:val="12"/>
          <w:sz w:val="21"/>
        </w:rPr>
        <w:t> </w:t>
      </w:r>
      <w:r>
        <w:rPr>
          <w:rFonts w:ascii="Arial" w:hAnsi="Arial"/>
          <w:w w:val="107"/>
          <w:sz w:val="31"/>
        </w:rPr>
        <w:t>+</w:t>
      </w:r>
      <w:r>
        <w:rPr>
          <w:rFonts w:ascii="Arial" w:hAnsi="Arial"/>
          <w:spacing w:val="-1"/>
          <w:sz w:val="31"/>
        </w:rPr>
        <w:t> </w:t>
      </w:r>
      <w:r>
        <w:rPr>
          <w:w w:val="72"/>
          <w:sz w:val="22"/>
        </w:rPr>
        <w:t>Aw:u</w:t>
      </w:r>
      <w:r>
        <w:rPr>
          <w:sz w:val="22"/>
        </w:rPr>
        <w:t> </w:t>
      </w:r>
      <w:r>
        <w:rPr>
          <w:spacing w:val="15"/>
          <w:sz w:val="22"/>
        </w:rPr>
        <w:t> </w:t>
      </w:r>
      <w:r>
        <w:rPr>
          <w:rFonts w:ascii="Arial" w:hAnsi="Arial"/>
          <w:w w:val="105"/>
          <w:sz w:val="31"/>
        </w:rPr>
        <w:t>+</w:t>
      </w:r>
      <w:r>
        <w:rPr>
          <w:rFonts w:ascii="Arial" w:hAnsi="Arial"/>
          <w:spacing w:val="-1"/>
          <w:sz w:val="31"/>
        </w:rPr>
        <w:t> </w:t>
      </w:r>
      <w:r>
        <w:rPr>
          <w:i/>
          <w:w w:val="116"/>
          <w:sz w:val="16"/>
        </w:rPr>
        <w:t>Á</w:t>
      </w:r>
      <w:r>
        <w:rPr>
          <w:i/>
          <w:spacing w:val="-3"/>
          <w:sz w:val="16"/>
        </w:rPr>
        <w:t> </w:t>
      </w:r>
      <w:r>
        <w:rPr>
          <w:i/>
          <w:w w:val="86"/>
          <w:sz w:val="16"/>
        </w:rPr>
        <w:t>w¡,,</w:t>
      </w:r>
      <w:r>
        <w:rPr>
          <w:i/>
          <w:sz w:val="16"/>
        </w:rPr>
        <w:t>  </w:t>
      </w:r>
      <w:r>
        <w:rPr>
          <w:i/>
          <w:spacing w:val="-17"/>
          <w:sz w:val="16"/>
        </w:rPr>
        <w:t> </w:t>
      </w:r>
      <w:r>
        <w:rPr>
          <w:w w:val="101"/>
          <w:sz w:val="29"/>
        </w:rPr>
        <w:t>+</w:t>
      </w:r>
      <w:r>
        <w:rPr>
          <w:sz w:val="29"/>
        </w:rPr>
        <w:t> </w:t>
      </w:r>
      <w:r>
        <w:rPr>
          <w:spacing w:val="-35"/>
          <w:sz w:val="29"/>
        </w:rPr>
        <w:t> </w:t>
      </w:r>
      <w:r>
        <w:rPr>
          <w:i/>
          <w:w w:val="119"/>
          <w:sz w:val="16"/>
        </w:rPr>
        <w:t>Á</w:t>
      </w:r>
      <w:r>
        <w:rPr>
          <w:i/>
          <w:spacing w:val="1"/>
          <w:sz w:val="16"/>
        </w:rPr>
        <w:t> </w:t>
      </w:r>
      <w:r>
        <w:rPr>
          <w:i/>
          <w:w w:val="70"/>
          <w:sz w:val="16"/>
        </w:rPr>
        <w:t>s¡¡z</w:t>
      </w:r>
      <w:r>
        <w:rPr>
          <w:i/>
          <w:sz w:val="16"/>
        </w:rPr>
        <w:t>  </w:t>
      </w:r>
      <w:r>
        <w:rPr>
          <w:i/>
          <w:spacing w:val="9"/>
          <w:sz w:val="16"/>
        </w:rPr>
        <w:t> </w:t>
      </w:r>
      <w:r>
        <w:rPr>
          <w:w w:val="344"/>
          <w:sz w:val="16"/>
        </w:rPr>
        <w:t>-</w:t>
      </w:r>
      <w:r>
        <w:rPr>
          <w:sz w:val="16"/>
        </w:rPr>
        <w:t> </w:t>
      </w:r>
      <w:r>
        <w:rPr>
          <w:spacing w:val="9"/>
          <w:sz w:val="16"/>
        </w:rPr>
        <w:t> </w:t>
      </w:r>
      <w:r>
        <w:rPr>
          <w:i/>
          <w:w w:val="105"/>
          <w:sz w:val="21"/>
        </w:rPr>
        <w:t>3A.</w:t>
      </w:r>
      <w:r>
        <w:rPr>
          <w:i/>
          <w:spacing w:val="-17"/>
          <w:w w:val="105"/>
          <w:sz w:val="21"/>
        </w:rPr>
        <w:t>,</w:t>
      </w:r>
      <w:r>
        <w:rPr>
          <w:i/>
          <w:w w:val="51"/>
          <w:sz w:val="21"/>
        </w:rPr>
        <w:t>:q</w:t>
      </w:r>
      <w:r>
        <w:rPr>
          <w:i/>
          <w:spacing w:val="-8"/>
          <w:w w:val="51"/>
          <w:sz w:val="21"/>
        </w:rPr>
        <w:t>¡</w:t>
      </w:r>
      <w:r>
        <w:rPr>
          <w:i/>
          <w:w w:val="95"/>
          <w:sz w:val="21"/>
        </w:rPr>
        <w:t>•</w:t>
      </w:r>
      <w:r>
        <w:rPr>
          <w:i/>
          <w:spacing w:val="-8"/>
          <w:sz w:val="21"/>
        </w:rPr>
        <w:t> </w:t>
      </w:r>
      <w:r>
        <w:rPr>
          <w:i/>
          <w:w w:val="154"/>
          <w:sz w:val="21"/>
        </w:rPr>
        <w:t>.</w:t>
      </w:r>
    </w:p>
    <w:p>
      <w:pPr>
        <w:spacing w:line="310" w:lineRule="atLeast" w:before="11"/>
        <w:ind w:left="123" w:right="121" w:firstLine="3"/>
        <w:jc w:val="both"/>
        <w:rPr>
          <w:sz w:val="21"/>
        </w:rPr>
      </w:pPr>
      <w:r>
        <w:rPr/>
        <w:pict>
          <v:line style="position:absolute;mso-position-horizontal-relative:page;mso-position-vertical-relative:paragraph;z-index:-718624" from="97.379997pt,29.168753pt" to="109.979997pt,29.168753pt" stroked="true" strokeweight="2.34pt" strokecolor="#000000">
            <w10:wrap type="none"/>
          </v:line>
        </w:pict>
      </w:r>
      <w:r>
        <w:rPr>
          <w:w w:val="105"/>
          <w:sz w:val="21"/>
        </w:rPr>
        <w:t>When the insurance symbol </w:t>
      </w:r>
      <w:r>
        <w:rPr>
          <w:w w:val="105"/>
          <w:sz w:val="20"/>
        </w:rPr>
        <w:t>is </w:t>
      </w:r>
      <w:r>
        <w:rPr>
          <w:w w:val="105"/>
          <w:sz w:val="21"/>
        </w:rPr>
        <w:t>used in this way, it must be kept</w:t>
      </w:r>
      <w:r>
        <w:rPr>
          <w:spacing w:val="-27"/>
          <w:w w:val="105"/>
          <w:sz w:val="21"/>
        </w:rPr>
        <w:t> </w:t>
      </w:r>
      <w:r>
        <w:rPr>
          <w:w w:val="105"/>
          <w:sz w:val="21"/>
        </w:rPr>
        <w:t>in mind  that  </w:t>
      </w:r>
      <w:r>
        <w:rPr>
          <w:spacing w:val="-3"/>
          <w:w w:val="130"/>
          <w:sz w:val="13"/>
        </w:rPr>
        <w:t>...4s</w:t>
      </w:r>
      <w:r>
        <w:rPr>
          <w:spacing w:val="-3"/>
          <w:w w:val="130"/>
          <w:position w:val="-4"/>
          <w:sz w:val="10"/>
        </w:rPr>
        <w:t>1</w:t>
      </w:r>
      <w:r>
        <w:rPr>
          <w:spacing w:val="-3"/>
          <w:w w:val="130"/>
          <w:sz w:val="13"/>
        </w:rPr>
        <w:t>z</w:t>
      </w:r>
      <w:r>
        <w:rPr>
          <w:spacing w:val="-3"/>
          <w:w w:val="130"/>
          <w:position w:val="-4"/>
          <w:sz w:val="13"/>
        </w:rPr>
        <w:t>1</w:t>
      </w:r>
      <w:r>
        <w:rPr>
          <w:spacing w:val="-3"/>
          <w:w w:val="130"/>
          <w:sz w:val="13"/>
        </w:rPr>
        <w:t>... </w:t>
      </w:r>
      <w:r>
        <w:rPr>
          <w:w w:val="155"/>
          <w:sz w:val="13"/>
        </w:rPr>
        <w:t>..  </w:t>
      </w:r>
      <w:r>
        <w:rPr>
          <w:w w:val="105"/>
          <w:sz w:val="21"/>
        </w:rPr>
        <w:t>represents  an  insurance  paya.ble  upon</w:t>
      </w:r>
      <w:r>
        <w:rPr>
          <w:spacing w:val="13"/>
          <w:w w:val="105"/>
          <w:sz w:val="21"/>
        </w:rPr>
        <w:t> </w:t>
      </w:r>
      <w:r>
        <w:rPr>
          <w:w w:val="105"/>
          <w:sz w:val="21"/>
        </w:rPr>
        <w:t>the</w:t>
      </w:r>
    </w:p>
    <w:p>
      <w:pPr>
        <w:spacing w:line="172" w:lineRule="exact" w:before="0" w:after="14"/>
        <w:ind w:left="0" w:right="777" w:firstLine="0"/>
        <w:jc w:val="center"/>
        <w:rPr>
          <w:rFonts w:ascii="Arial"/>
          <w:i/>
          <w:sz w:val="18"/>
        </w:rPr>
      </w:pPr>
      <w:r>
        <w:rPr>
          <w:rFonts w:ascii="Arial"/>
          <w:i/>
          <w:w w:val="106"/>
          <w:sz w:val="18"/>
        </w:rPr>
        <w:t>r</w:t>
      </w:r>
    </w:p>
    <w:p>
      <w:pPr>
        <w:pStyle w:val="BodyText"/>
        <w:spacing w:line="20" w:lineRule="exact"/>
        <w:ind w:left="1961"/>
        <w:rPr>
          <w:rFonts w:ascii="Arial"/>
          <w:sz w:val="2"/>
        </w:rPr>
      </w:pPr>
      <w:r>
        <w:rPr>
          <w:rFonts w:ascii="Arial"/>
          <w:sz w:val="2"/>
        </w:rPr>
        <w:pict>
          <v:group style="width:40.7pt;height:.9pt;mso-position-horizontal-relative:char;mso-position-vertical-relative:line" coordorigin="0,0" coordsize="814,18">
            <v:line style="position:absolute" from="9,9" to="805,9" stroked="true" strokeweight=".9pt" strokecolor="#000000"/>
          </v:group>
        </w:pict>
      </w:r>
      <w:r>
        <w:rPr>
          <w:rFonts w:ascii="Arial"/>
          <w:sz w:val="2"/>
        </w:rPr>
      </w:r>
    </w:p>
    <w:p>
      <w:pPr>
        <w:spacing w:line="136" w:lineRule="auto" w:before="86"/>
        <w:ind w:left="119" w:right="135" w:firstLine="0"/>
        <w:jc w:val="both"/>
        <w:rPr>
          <w:sz w:val="21"/>
        </w:rPr>
      </w:pPr>
      <w:r>
        <w:rPr>
          <w:w w:val="100"/>
          <w:sz w:val="21"/>
        </w:rPr>
        <w:t>failure </w:t>
      </w:r>
      <w:r>
        <w:rPr>
          <w:w w:val="85"/>
          <w:sz w:val="21"/>
        </w:rPr>
        <w:t>of </w:t>
      </w:r>
      <w:r>
        <w:rPr>
          <w:w w:val="107"/>
          <w:sz w:val="21"/>
        </w:rPr>
        <w:t>the </w:t>
      </w:r>
      <w:r>
        <w:rPr>
          <w:w w:val="109"/>
          <w:sz w:val="21"/>
        </w:rPr>
        <w:t>status </w:t>
      </w:r>
      <w:r>
        <w:rPr>
          <w:w w:val="90"/>
          <w:sz w:val="20"/>
        </w:rPr>
        <w:t>(x1x2 </w:t>
      </w:r>
      <w:r>
        <w:rPr>
          <w:w w:val="112"/>
          <w:sz w:val="20"/>
        </w:rPr>
        <w:t>·• </w:t>
      </w:r>
      <w:r>
        <w:rPr>
          <w:rFonts w:ascii="Arial" w:hAnsi="Arial"/>
          <w:i/>
          <w:w w:val="107"/>
          <w:sz w:val="20"/>
        </w:rPr>
        <w:t>·x,.) </w:t>
      </w:r>
      <w:r>
        <w:rPr>
          <w:rFonts w:ascii="Arial" w:hAnsi="Arial"/>
          <w:w w:val="118"/>
          <w:sz w:val="20"/>
        </w:rPr>
        <w:t>.</w:t>
      </w:r>
      <w:r>
        <w:rPr>
          <w:w w:val="118"/>
          <w:sz w:val="21"/>
        </w:rPr>
        <w:t>The </w:t>
      </w:r>
      <w:r>
        <w:rPr>
          <w:w w:val="100"/>
          <w:sz w:val="21"/>
        </w:rPr>
        <w:t>insurance, </w:t>
      </w:r>
      <w:r>
        <w:rPr>
          <w:w w:val="99"/>
          <w:sz w:val="21"/>
        </w:rPr>
        <w:t>therefore, </w:t>
      </w:r>
      <w:r>
        <w:rPr>
          <w:w w:val="108"/>
          <w:sz w:val="20"/>
        </w:rPr>
        <w:t>is </w:t>
      </w:r>
      <w:r>
        <w:rPr>
          <w:w w:val="101"/>
          <w:sz w:val="21"/>
        </w:rPr>
        <w:t>pay­ </w:t>
      </w:r>
      <w:r>
        <w:rPr>
          <w:w w:val="105"/>
          <w:sz w:val="21"/>
        </w:rPr>
        <w:t>able not at the r-th dea.th but at the (m </w:t>
      </w:r>
      <w:r>
        <w:rPr>
          <w:w w:val="225"/>
          <w:sz w:val="21"/>
        </w:rPr>
        <w:t>- </w:t>
      </w:r>
      <w:r>
        <w:rPr>
          <w:i/>
          <w:w w:val="105"/>
          <w:sz w:val="21"/>
        </w:rPr>
        <w:t>r </w:t>
      </w:r>
      <w:r>
        <w:rPr>
          <w:rFonts w:ascii="Arial" w:hAnsi="Arial"/>
          <w:w w:val="105"/>
          <w:sz w:val="32"/>
        </w:rPr>
        <w:t>+ </w:t>
      </w:r>
      <w:r>
        <w:rPr>
          <w:w w:val="105"/>
          <w:sz w:val="21"/>
        </w:rPr>
        <w:t>1)-th death.</w:t>
      </w:r>
    </w:p>
    <w:p>
      <w:pPr>
        <w:spacing w:before="84"/>
        <w:ind w:left="119" w:right="0" w:firstLine="194"/>
        <w:jc w:val="left"/>
        <w:rPr>
          <w:rFonts w:ascii="Arial"/>
          <w:sz w:val="19"/>
        </w:rPr>
      </w:pPr>
      <w:r>
        <w:rPr/>
        <w:pict>
          <v:line style="position:absolute;mso-position-horizontal-relative:page;mso-position-vertical-relative:paragraph;z-index:-718600" from="158.580002pt,19.183846pt" to="205.920002pt,19.183846pt" stroked="true" strokeweight="5.58pt" strokecolor="#000000">
            <w10:wrap type="none"/>
          </v:line>
        </w:pict>
      </w:r>
      <w:r>
        <w:rPr>
          <w:w w:val="99"/>
          <w:sz w:val="21"/>
        </w:rPr>
        <w:t>Similarly,</w:t>
      </w:r>
      <w:r>
        <w:rPr>
          <w:spacing w:val="18"/>
          <w:sz w:val="21"/>
        </w:rPr>
        <w:t> </w:t>
      </w:r>
      <w:r>
        <w:rPr>
          <w:w w:val="107"/>
          <w:sz w:val="21"/>
        </w:rPr>
        <w:t>the</w:t>
      </w:r>
      <w:r>
        <w:rPr>
          <w:spacing w:val="12"/>
          <w:sz w:val="21"/>
        </w:rPr>
        <w:t> </w:t>
      </w:r>
      <w:r>
        <w:rPr>
          <w:w w:val="95"/>
          <w:sz w:val="21"/>
        </w:rPr>
        <w:t>expression</w:t>
      </w:r>
      <w:r>
        <w:rPr>
          <w:sz w:val="21"/>
        </w:rPr>
        <w:t> </w:t>
      </w:r>
      <w:r>
        <w:rPr>
          <w:spacing w:val="5"/>
          <w:sz w:val="21"/>
        </w:rPr>
        <w:t> </w:t>
      </w:r>
      <w:r>
        <w:rPr>
          <w:sz w:val="21"/>
        </w:rPr>
        <w:t>(</w:t>
      </w:r>
      <w:r>
        <w:rPr>
          <w:spacing w:val="-26"/>
          <w:sz w:val="21"/>
        </w:rPr>
        <w:t> </w:t>
      </w:r>
      <w:r>
        <w:rPr>
          <w:w w:val="116"/>
          <w:position w:val="-10"/>
          <w:sz w:val="21"/>
        </w:rPr>
        <w:t>1</w:t>
      </w:r>
      <w:r>
        <w:rPr>
          <w:spacing w:val="-9"/>
          <w:position w:val="-10"/>
          <w:sz w:val="21"/>
        </w:rPr>
        <w:t> </w:t>
      </w:r>
      <w:r>
        <w:rPr>
          <w:rFonts w:ascii="Arial"/>
          <w:i/>
          <w:spacing w:val="-85"/>
          <w:w w:val="126"/>
          <w:sz w:val="26"/>
        </w:rPr>
        <w:t>+</w:t>
      </w:r>
      <w:r>
        <w:rPr>
          <w:rFonts w:ascii="Arial"/>
          <w:i/>
          <w:spacing w:val="17"/>
          <w:w w:val="172"/>
          <w:sz w:val="26"/>
        </w:rPr>
        <w:t>Z</w:t>
      </w:r>
      <w:r>
        <w:rPr>
          <w:rFonts w:ascii="Arial"/>
          <w:i/>
          <w:w w:val="83"/>
          <w:sz w:val="26"/>
        </w:rPr>
        <w:t>y</w:t>
      </w:r>
      <w:r>
        <w:rPr>
          <w:rFonts w:ascii="Arial"/>
          <w:i/>
          <w:spacing w:val="4"/>
          <w:w w:val="83"/>
          <w:sz w:val="26"/>
        </w:rPr>
        <w:t>+</w:t>
      </w:r>
      <w:r>
        <w:rPr>
          <w:rFonts w:ascii="Arial"/>
          <w:i/>
          <w:w w:val="47"/>
          <w:sz w:val="26"/>
        </w:rPr>
        <w:t>1</w:t>
      </w:r>
      <w:r>
        <w:rPr>
          <w:rFonts w:ascii="Arial"/>
          <w:i/>
          <w:spacing w:val="-20"/>
          <w:sz w:val="26"/>
        </w:rPr>
        <w:t> </w:t>
      </w:r>
      <w:r>
        <w:rPr>
          <w:w w:val="85"/>
          <w:sz w:val="21"/>
        </w:rPr>
        <w:t>of</w:t>
      </w:r>
      <w:r>
        <w:rPr>
          <w:spacing w:val="23"/>
          <w:sz w:val="21"/>
        </w:rPr>
        <w:t> </w:t>
      </w:r>
      <w:r>
        <w:rPr>
          <w:w w:val="99"/>
          <w:sz w:val="21"/>
        </w:rPr>
        <w:t>formula</w:t>
      </w:r>
      <w:r>
        <w:rPr>
          <w:sz w:val="21"/>
        </w:rPr>
        <w:t> </w:t>
      </w:r>
      <w:r>
        <w:rPr>
          <w:spacing w:val="1"/>
          <w:sz w:val="21"/>
        </w:rPr>
        <w:t> </w:t>
      </w:r>
      <w:r>
        <w:rPr>
          <w:w w:val="104"/>
          <w:sz w:val="20"/>
        </w:rPr>
        <w:t>(</w:t>
      </w:r>
      <w:r>
        <w:rPr>
          <w:spacing w:val="-21"/>
          <w:w w:val="104"/>
          <w:sz w:val="20"/>
        </w:rPr>
        <w:t>1</w:t>
      </w:r>
      <w:r>
        <w:rPr>
          <w:w w:val="113"/>
          <w:sz w:val="20"/>
        </w:rPr>
        <w:t>0</w:t>
      </w:r>
      <w:r>
        <w:rPr>
          <w:spacing w:val="6"/>
          <w:w w:val="113"/>
          <w:sz w:val="20"/>
        </w:rPr>
        <w:t>.</w:t>
      </w:r>
      <w:r>
        <w:rPr>
          <w:w w:val="108"/>
          <w:sz w:val="20"/>
        </w:rPr>
        <w:t>11)</w:t>
      </w:r>
      <w:r>
        <w:rPr>
          <w:sz w:val="20"/>
        </w:rPr>
        <w:t> </w:t>
      </w:r>
      <w:r>
        <w:rPr>
          <w:w w:val="104"/>
          <w:sz w:val="21"/>
        </w:rPr>
        <w:t>may</w:t>
      </w:r>
      <w:r>
        <w:rPr>
          <w:spacing w:val="14"/>
          <w:sz w:val="21"/>
        </w:rPr>
        <w:t> </w:t>
      </w:r>
      <w:r>
        <w:rPr>
          <w:rFonts w:ascii="Arial"/>
          <w:w w:val="103"/>
          <w:sz w:val="19"/>
        </w:rPr>
        <w:t>be</w:t>
      </w:r>
    </w:p>
    <w:p>
      <w:pPr>
        <w:spacing w:line="230" w:lineRule="auto" w:before="40"/>
        <w:ind w:left="119" w:right="122" w:firstLine="0"/>
        <w:jc w:val="both"/>
        <w:rPr>
          <w:sz w:val="21"/>
        </w:rPr>
      </w:pPr>
      <w:r>
        <w:rPr/>
        <w:pict>
          <v:line style="position:absolute;mso-position-horizontal-relative:page;mso-position-vertical-relative:paragraph;z-index:-718576" from="190.080002pt,12.938753pt" to="214.380002pt,12.938753pt" stroked="true" strokeweight="2.16pt" strokecolor="#000000">
            <w10:wrap type="none"/>
          </v:line>
        </w:pict>
      </w:r>
      <w:r>
        <w:rPr/>
        <w:pict>
          <v:shape style="position:absolute;margin-left:213.300003pt;margin-top:7.835384pt;width:1.8pt;height:5pt;mso-position-horizontal-relative:page;mso-position-vertical-relative:paragraph;z-index:-718456" type="#_x0000_t202" filled="false" stroked="false">
            <v:textbox inset="0,0,0,0">
              <w:txbxContent>
                <w:p>
                  <w:pPr>
                    <w:spacing w:line="100" w:lineRule="exact" w:before="0"/>
                    <w:ind w:left="0" w:right="0" w:firstLine="0"/>
                    <w:jc w:val="left"/>
                    <w:rPr>
                      <w:sz w:val="10"/>
                    </w:rPr>
                  </w:pPr>
                  <w:r>
                    <w:rPr>
                      <w:w w:val="100"/>
                      <w:sz w:val="10"/>
                    </w:rPr>
                    <w:t>•</w:t>
                  </w:r>
                </w:p>
              </w:txbxContent>
            </v:textbox>
            <w10:wrap type="none"/>
          </v:shape>
        </w:pict>
      </w:r>
      <w:r>
        <w:rPr>
          <w:w w:val="96"/>
          <w:sz w:val="21"/>
        </w:rPr>
        <w:t>used </w:t>
      </w:r>
      <w:r>
        <w:rPr>
          <w:w w:val="106"/>
          <w:sz w:val="22"/>
        </w:rPr>
        <w:t>to </w:t>
      </w:r>
      <w:r>
        <w:rPr>
          <w:w w:val="99"/>
          <w:sz w:val="21"/>
        </w:rPr>
        <w:t>expand </w:t>
      </w:r>
      <w:r>
        <w:rPr>
          <w:w w:val="100"/>
          <w:sz w:val="21"/>
        </w:rPr>
        <w:t>linear </w:t>
      </w:r>
      <w:r>
        <w:rPr>
          <w:w w:val="100"/>
          <w:sz w:val="21"/>
        </w:rPr>
        <w:t>functions </w:t>
      </w:r>
      <w:r>
        <w:rPr>
          <w:w w:val="85"/>
          <w:sz w:val="21"/>
        </w:rPr>
        <w:t>of </w:t>
      </w:r>
      <w:r>
        <w:rPr>
          <w:spacing w:val="-6"/>
          <w:w w:val="119"/>
          <w:sz w:val="21"/>
        </w:rPr>
        <w:t>,.ps</w:t>
      </w:r>
      <w:r>
        <w:rPr>
          <w:spacing w:val="-6"/>
          <w:w w:val="119"/>
          <w:position w:val="-4"/>
          <w:sz w:val="10"/>
        </w:rPr>
        <w:t>1</w:t>
      </w:r>
      <w:r>
        <w:rPr>
          <w:spacing w:val="-6"/>
          <w:w w:val="119"/>
          <w:sz w:val="21"/>
        </w:rPr>
        <w:t>s</w:t>
      </w:r>
      <w:r>
        <w:rPr>
          <w:spacing w:val="-6"/>
          <w:w w:val="119"/>
          <w:position w:val="-4"/>
          <w:sz w:val="10"/>
        </w:rPr>
        <w:t>1</w:t>
      </w:r>
      <w:r>
        <w:rPr>
          <w:w w:val="119"/>
          <w:position w:val="-4"/>
          <w:sz w:val="10"/>
        </w:rPr>
        <w:t> </w:t>
      </w:r>
      <w:r>
        <w:rPr>
          <w:w w:val="129"/>
          <w:sz w:val="10"/>
        </w:rPr>
        <w:t>• </w:t>
      </w:r>
      <w:r>
        <w:rPr>
          <w:w w:val="100"/>
          <w:sz w:val="10"/>
        </w:rPr>
        <w:t>• </w:t>
      </w:r>
      <w:r>
        <w:rPr>
          <w:w w:val="265"/>
          <w:sz w:val="10"/>
        </w:rPr>
        <w:t>. </w:t>
      </w:r>
      <w:r>
        <w:rPr>
          <w:w w:val="95"/>
          <w:sz w:val="21"/>
        </w:rPr>
        <w:t>As </w:t>
      </w:r>
      <w:r>
        <w:rPr>
          <w:w w:val="109"/>
          <w:sz w:val="21"/>
        </w:rPr>
        <w:t>an </w:t>
      </w:r>
      <w:r>
        <w:rPr>
          <w:w w:val="97"/>
          <w:sz w:val="21"/>
        </w:rPr>
        <w:t>example, </w:t>
      </w:r>
      <w:r>
        <w:rPr>
          <w:w w:val="110"/>
          <w:sz w:val="21"/>
        </w:rPr>
        <w:t>the </w:t>
      </w:r>
      <w:r>
        <w:rPr>
          <w:w w:val="105"/>
          <w:sz w:val="21"/>
        </w:rPr>
        <w:t>present value. of an annuity of 1 payable at the end of ea.ch yea.r </w:t>
      </w:r>
      <w:r>
        <w:rPr>
          <w:sz w:val="21"/>
        </w:rPr>
        <w:t>if </w:t>
      </w:r>
      <w:r>
        <w:rPr>
          <w:w w:val="105"/>
          <w:sz w:val="21"/>
        </w:rPr>
        <w:t>exactly</w:t>
      </w:r>
      <w:r>
        <w:rPr>
          <w:spacing w:val="-3"/>
          <w:w w:val="105"/>
          <w:sz w:val="21"/>
        </w:rPr>
        <w:t> </w:t>
      </w:r>
      <w:r>
        <w:rPr>
          <w:w w:val="105"/>
          <w:sz w:val="21"/>
        </w:rPr>
        <w:t>one</w:t>
      </w:r>
      <w:r>
        <w:rPr>
          <w:spacing w:val="-18"/>
          <w:w w:val="105"/>
          <w:sz w:val="21"/>
        </w:rPr>
        <w:t> </w:t>
      </w:r>
      <w:r>
        <w:rPr>
          <w:w w:val="105"/>
          <w:sz w:val="21"/>
        </w:rPr>
        <w:t>of</w:t>
      </w:r>
      <w:r>
        <w:rPr>
          <w:spacing w:val="-1"/>
          <w:w w:val="105"/>
          <w:sz w:val="21"/>
        </w:rPr>
        <w:t> </w:t>
      </w:r>
      <w:r>
        <w:rPr>
          <w:w w:val="105"/>
          <w:sz w:val="21"/>
        </w:rPr>
        <w:t>the</w:t>
      </w:r>
      <w:r>
        <w:rPr>
          <w:spacing w:val="-15"/>
          <w:w w:val="105"/>
          <w:sz w:val="21"/>
        </w:rPr>
        <w:t> </w:t>
      </w:r>
      <w:r>
        <w:rPr>
          <w:w w:val="105"/>
          <w:sz w:val="21"/>
        </w:rPr>
        <w:t>three</w:t>
      </w:r>
      <w:r>
        <w:rPr>
          <w:spacing w:val="-12"/>
          <w:w w:val="105"/>
          <w:sz w:val="21"/>
        </w:rPr>
        <w:t> </w:t>
      </w:r>
      <w:r>
        <w:rPr>
          <w:w w:val="105"/>
          <w:sz w:val="21"/>
        </w:rPr>
        <w:t>lives,</w:t>
      </w:r>
      <w:r>
        <w:rPr>
          <w:spacing w:val="21"/>
          <w:w w:val="105"/>
          <w:sz w:val="21"/>
        </w:rPr>
        <w:t> </w:t>
      </w:r>
      <w:r>
        <w:rPr>
          <w:w w:val="105"/>
          <w:sz w:val="21"/>
        </w:rPr>
        <w:t>(x</w:t>
      </w:r>
      <w:r>
        <w:rPr>
          <w:spacing w:val="-34"/>
          <w:w w:val="105"/>
          <w:sz w:val="21"/>
        </w:rPr>
        <w:t> </w:t>
      </w:r>
      <w:r>
        <w:rPr>
          <w:w w:val="105"/>
          <w:sz w:val="21"/>
        </w:rPr>
        <w:t>),</w:t>
      </w:r>
      <w:r>
        <w:rPr>
          <w:spacing w:val="16"/>
          <w:w w:val="105"/>
          <w:sz w:val="21"/>
        </w:rPr>
        <w:t> </w:t>
      </w:r>
      <w:r>
        <w:rPr>
          <w:w w:val="105"/>
          <w:sz w:val="20"/>
        </w:rPr>
        <w:t>(y),</w:t>
      </w:r>
      <w:r>
        <w:rPr>
          <w:spacing w:val="-8"/>
          <w:w w:val="105"/>
          <w:sz w:val="20"/>
        </w:rPr>
        <w:t> </w:t>
      </w:r>
      <w:r>
        <w:rPr>
          <w:w w:val="105"/>
          <w:sz w:val="21"/>
        </w:rPr>
        <w:t>and</w:t>
      </w:r>
      <w:r>
        <w:rPr>
          <w:spacing w:val="18"/>
          <w:w w:val="105"/>
          <w:sz w:val="21"/>
        </w:rPr>
        <w:t> </w:t>
      </w:r>
      <w:r>
        <w:rPr>
          <w:w w:val="105"/>
          <w:sz w:val="21"/>
        </w:rPr>
        <w:t>(z),</w:t>
      </w:r>
      <w:r>
        <w:rPr>
          <w:spacing w:val="-9"/>
          <w:w w:val="105"/>
          <w:sz w:val="21"/>
        </w:rPr>
        <w:t> </w:t>
      </w:r>
      <w:r>
        <w:rPr>
          <w:w w:val="105"/>
          <w:sz w:val="21"/>
        </w:rPr>
        <w:t>is</w:t>
      </w:r>
      <w:r>
        <w:rPr>
          <w:spacing w:val="-17"/>
          <w:w w:val="105"/>
          <w:sz w:val="21"/>
        </w:rPr>
        <w:t> </w:t>
      </w:r>
      <w:r>
        <w:rPr>
          <w:w w:val="105"/>
          <w:sz w:val="21"/>
        </w:rPr>
        <w:t>then</w:t>
      </w:r>
      <w:r>
        <w:rPr>
          <w:spacing w:val="-3"/>
          <w:w w:val="105"/>
          <w:sz w:val="21"/>
        </w:rPr>
        <w:t> </w:t>
      </w:r>
      <w:r>
        <w:rPr>
          <w:w w:val="105"/>
          <w:sz w:val="21"/>
        </w:rPr>
        <w:t>surviving </w:t>
      </w:r>
      <w:r>
        <w:rPr>
          <w:w w:val="105"/>
          <w:sz w:val="20"/>
        </w:rPr>
        <w:t>is </w:t>
      </w:r>
      <w:r>
        <w:rPr>
          <w:w w:val="105"/>
          <w:sz w:val="21"/>
        </w:rPr>
        <w:t>given</w:t>
      </w:r>
      <w:r>
        <w:rPr>
          <w:spacing w:val="-30"/>
          <w:w w:val="105"/>
          <w:sz w:val="21"/>
        </w:rPr>
        <w:t> </w:t>
      </w:r>
      <w:r>
        <w:rPr>
          <w:w w:val="105"/>
          <w:sz w:val="21"/>
        </w:rPr>
        <w:t>by</w:t>
      </w:r>
    </w:p>
    <w:p>
      <w:pPr>
        <w:tabs>
          <w:tab w:pos="2038" w:val="left" w:leader="none"/>
        </w:tabs>
        <w:spacing w:before="48"/>
        <w:ind w:left="756" w:right="0" w:firstLine="0"/>
        <w:jc w:val="left"/>
        <w:rPr>
          <w:i/>
          <w:sz w:val="21"/>
        </w:rPr>
      </w:pPr>
      <w:r>
        <w:rPr/>
        <w:pict>
          <v:line style="position:absolute;mso-position-horizontal-relative:page;mso-position-vertical-relative:paragraph;z-index:17512" from="65.879997pt,19.474689pt" to="67.859997pt,19.474689pt" stroked="true" strokeweight=".54pt" strokecolor="#000000">
            <w10:wrap type="none"/>
          </v:line>
        </w:pict>
      </w:r>
      <w:r>
        <w:rPr/>
        <w:pict>
          <v:shape style="position:absolute;margin-left:63.720001pt;margin-top:5.342801pt;width:8.450pt;height:6pt;mso-position-horizontal-relative:page;mso-position-vertical-relative:paragraph;z-index:-718432" type="#_x0000_t202" filled="false" stroked="false">
            <v:textbox inset="0,0,0,0">
              <w:txbxContent>
                <w:p>
                  <w:pPr>
                    <w:spacing w:line="120" w:lineRule="exact" w:before="0"/>
                    <w:ind w:left="0" w:right="-19" w:firstLine="0"/>
                    <w:jc w:val="left"/>
                    <w:rPr>
                      <w:rFonts w:ascii="Arial"/>
                      <w:sz w:val="12"/>
                    </w:rPr>
                  </w:pPr>
                  <w:r>
                    <w:rPr>
                      <w:rFonts w:ascii="Arial"/>
                      <w:spacing w:val="-10"/>
                      <w:w w:val="135"/>
                      <w:sz w:val="12"/>
                    </w:rPr>
                    <w:t>(1)</w:t>
                  </w:r>
                </w:p>
              </w:txbxContent>
            </v:textbox>
            <w10:wrap type="none"/>
          </v:shape>
        </w:pict>
      </w:r>
      <w:r>
        <w:rPr>
          <w:w w:val="192"/>
          <w:sz w:val="24"/>
        </w:rPr>
        <w:t>.</w:t>
      </w:r>
      <w:r>
        <w:rPr>
          <w:spacing w:val="8"/>
          <w:sz w:val="24"/>
        </w:rPr>
        <w:t> </w:t>
      </w:r>
      <w:r>
        <w:rPr>
          <w:w w:val="100"/>
          <w:sz w:val="24"/>
        </w:rPr>
        <w:t>=</w:t>
      </w:r>
      <w:r>
        <w:rPr>
          <w:sz w:val="24"/>
        </w:rPr>
        <w:t> </w:t>
      </w:r>
      <w:r>
        <w:rPr>
          <w:spacing w:val="9"/>
          <w:sz w:val="24"/>
        </w:rPr>
        <w:t> </w:t>
      </w:r>
      <w:r>
        <w:rPr>
          <w:i/>
          <w:w w:val="93"/>
          <w:sz w:val="21"/>
        </w:rPr>
        <w:t>as</w:t>
      </w:r>
      <w:r>
        <w:rPr>
          <w:i/>
          <w:sz w:val="21"/>
        </w:rPr>
        <w:t>  </w:t>
      </w:r>
      <w:r>
        <w:rPr>
          <w:rFonts w:ascii="Arial" w:hAnsi="Arial"/>
          <w:w w:val="107"/>
          <w:sz w:val="31"/>
        </w:rPr>
        <w:t>+</w:t>
      </w:r>
      <w:r>
        <w:rPr>
          <w:rFonts w:ascii="Arial" w:hAnsi="Arial"/>
          <w:sz w:val="31"/>
        </w:rPr>
        <w:tab/>
      </w:r>
      <w:r>
        <w:rPr>
          <w:rFonts w:ascii="Arial" w:hAnsi="Arial"/>
          <w:w w:val="102"/>
          <w:sz w:val="32"/>
        </w:rPr>
        <w:t>+</w:t>
      </w:r>
      <w:r>
        <w:rPr>
          <w:rFonts w:ascii="Arial" w:hAnsi="Arial"/>
          <w:spacing w:val="-4"/>
          <w:sz w:val="32"/>
        </w:rPr>
        <w:t> </w:t>
      </w:r>
      <w:r>
        <w:rPr>
          <w:rFonts w:ascii="Arial" w:hAnsi="Arial"/>
          <w:i/>
          <w:w w:val="102"/>
          <w:sz w:val="25"/>
        </w:rPr>
        <w:t>ª•</w:t>
      </w:r>
      <w:r>
        <w:rPr>
          <w:rFonts w:ascii="Arial" w:hAnsi="Arial"/>
          <w:i/>
          <w:spacing w:val="25"/>
          <w:sz w:val="25"/>
        </w:rPr>
        <w:t> </w:t>
      </w:r>
      <w:r>
        <w:rPr>
          <w:rFonts w:ascii="Arial" w:hAnsi="Arial"/>
          <w:w w:val="209"/>
          <w:sz w:val="25"/>
        </w:rPr>
        <w:t>-</w:t>
      </w:r>
      <w:r>
        <w:rPr>
          <w:rFonts w:ascii="Arial" w:hAnsi="Arial"/>
          <w:spacing w:val="25"/>
          <w:sz w:val="25"/>
        </w:rPr>
        <w:t> </w:t>
      </w:r>
      <w:r>
        <w:rPr>
          <w:sz w:val="21"/>
        </w:rPr>
        <w:t>2</w:t>
      </w:r>
      <w:r>
        <w:rPr>
          <w:spacing w:val="-21"/>
          <w:sz w:val="21"/>
        </w:rPr>
        <w:t> </w:t>
      </w:r>
      <w:r>
        <w:rPr>
          <w:w w:val="147"/>
          <w:sz w:val="21"/>
        </w:rPr>
        <w:t>(</w:t>
      </w:r>
      <w:r>
        <w:rPr>
          <w:w w:val="147"/>
          <w:sz w:val="21"/>
        </w:rPr>
        <w:t>a.</w:t>
      </w:r>
      <w:r>
        <w:rPr>
          <w:spacing w:val="24"/>
          <w:sz w:val="21"/>
        </w:rPr>
        <w:t> </w:t>
      </w:r>
      <w:r>
        <w:rPr>
          <w:rFonts w:ascii="Arial" w:hAnsi="Arial"/>
          <w:w w:val="102"/>
          <w:sz w:val="32"/>
        </w:rPr>
        <w:t>+</w:t>
      </w:r>
      <w:r>
        <w:rPr>
          <w:rFonts w:ascii="Arial" w:hAnsi="Arial"/>
          <w:spacing w:val="-1"/>
          <w:sz w:val="32"/>
        </w:rPr>
        <w:t> </w:t>
      </w:r>
      <w:r>
        <w:rPr>
          <w:i/>
          <w:w w:val="104"/>
          <w:sz w:val="36"/>
        </w:rPr>
        <w:t>ªª</w:t>
      </w:r>
      <w:r>
        <w:rPr>
          <w:i/>
          <w:spacing w:val="36"/>
          <w:sz w:val="36"/>
        </w:rPr>
        <w:t> </w:t>
      </w:r>
      <w:r>
        <w:rPr>
          <w:rFonts w:ascii="Arial" w:hAnsi="Arial"/>
          <w:w w:val="103"/>
          <w:sz w:val="31"/>
        </w:rPr>
        <w:t>+</w:t>
      </w:r>
      <w:r>
        <w:rPr>
          <w:rFonts w:ascii="Arial" w:hAnsi="Arial"/>
          <w:spacing w:val="3"/>
          <w:sz w:val="31"/>
        </w:rPr>
        <w:t> </w:t>
      </w:r>
      <w:r>
        <w:rPr>
          <w:w w:val="83"/>
          <w:sz w:val="21"/>
        </w:rPr>
        <w:t>a.</w:t>
      </w:r>
      <w:r>
        <w:rPr>
          <w:spacing w:val="-12"/>
          <w:w w:val="83"/>
          <w:sz w:val="21"/>
        </w:rPr>
        <w:t>,</w:t>
      </w:r>
      <w:r>
        <w:rPr>
          <w:spacing w:val="-45"/>
          <w:w w:val="236"/>
          <w:sz w:val="21"/>
        </w:rPr>
        <w:t>.</w:t>
      </w:r>
      <w:r>
        <w:rPr>
          <w:w w:val="99"/>
          <w:sz w:val="21"/>
        </w:rPr>
        <w:t>) </w:t>
      </w:r>
      <w:r>
        <w:rPr>
          <w:spacing w:val="12"/>
          <w:w w:val="99"/>
          <w:sz w:val="21"/>
        </w:rPr>
        <w:t> </w:t>
      </w:r>
      <w:r>
        <w:rPr>
          <w:rFonts w:ascii="Arial" w:hAnsi="Arial"/>
          <w:w w:val="110"/>
          <w:sz w:val="31"/>
        </w:rPr>
        <w:t>+</w:t>
      </w:r>
      <w:r>
        <w:rPr>
          <w:rFonts w:ascii="Arial" w:hAnsi="Arial"/>
          <w:spacing w:val="-6"/>
          <w:sz w:val="31"/>
        </w:rPr>
        <w:t> </w:t>
      </w:r>
      <w:r>
        <w:rPr>
          <w:i/>
          <w:w w:val="105"/>
          <w:sz w:val="21"/>
        </w:rPr>
        <w:t>3a</w:t>
      </w:r>
      <w:r>
        <w:rPr>
          <w:i/>
          <w:spacing w:val="4"/>
          <w:w w:val="105"/>
          <w:sz w:val="21"/>
        </w:rPr>
        <w:t>_</w:t>
      </w:r>
      <w:r>
        <w:rPr>
          <w:i/>
          <w:w w:val="102"/>
          <w:sz w:val="21"/>
        </w:rPr>
        <w:t>•</w:t>
      </w:r>
      <w:r>
        <w:rPr>
          <w:i/>
          <w:spacing w:val="-10"/>
          <w:sz w:val="21"/>
        </w:rPr>
        <w:t> </w:t>
      </w:r>
      <w:r>
        <w:rPr>
          <w:i/>
          <w:w w:val="154"/>
          <w:sz w:val="21"/>
        </w:rPr>
        <w:t>.</w:t>
      </w:r>
    </w:p>
    <w:p>
      <w:pPr>
        <w:spacing w:after="0"/>
        <w:jc w:val="left"/>
        <w:rPr>
          <w:sz w:val="21"/>
        </w:rPr>
        <w:sectPr>
          <w:type w:val="continuous"/>
          <w:pgSz w:w="7200" w:h="11340"/>
          <w:pgMar w:top="1100" w:bottom="0" w:left="640" w:right="560"/>
        </w:sectPr>
      </w:pPr>
    </w:p>
    <w:p>
      <w:pPr>
        <w:tabs>
          <w:tab w:pos="1993" w:val="left" w:leader="none"/>
          <w:tab w:pos="5886" w:val="right" w:leader="none"/>
        </w:tabs>
        <w:spacing w:before="48"/>
        <w:ind w:left="146" w:right="0" w:firstLine="0"/>
        <w:jc w:val="both"/>
        <w:rPr>
          <w:sz w:val="19"/>
        </w:rPr>
      </w:pPr>
      <w:r>
        <w:rPr>
          <w:w w:val="105"/>
          <w:position w:val="1"/>
          <w:sz w:val="15"/>
        </w:rPr>
        <w:t>SEC. </w:t>
      </w:r>
      <w:r>
        <w:rPr>
          <w:spacing w:val="12"/>
          <w:w w:val="105"/>
          <w:position w:val="1"/>
          <w:sz w:val="15"/>
        </w:rPr>
        <w:t> </w:t>
      </w:r>
      <w:r>
        <w:rPr>
          <w:w w:val="105"/>
          <w:position w:val="1"/>
          <w:sz w:val="21"/>
        </w:rPr>
        <w:t>4]</w:t>
        <w:tab/>
      </w:r>
      <w:r>
        <w:rPr>
          <w:b/>
          <w:w w:val="105"/>
          <w:position w:val="1"/>
          <w:sz w:val="15"/>
        </w:rPr>
        <w:t>BUMMABY </w:t>
      </w:r>
      <w:r>
        <w:rPr>
          <w:b/>
          <w:spacing w:val="23"/>
          <w:w w:val="105"/>
          <w:position w:val="1"/>
          <w:sz w:val="15"/>
        </w:rPr>
        <w:t> </w:t>
      </w:r>
      <w:r>
        <w:rPr>
          <w:b/>
          <w:w w:val="105"/>
          <w:position w:val="1"/>
          <w:sz w:val="15"/>
        </w:rPr>
        <w:t>OP </w:t>
      </w:r>
      <w:r>
        <w:rPr>
          <w:b/>
          <w:spacing w:val="10"/>
          <w:w w:val="105"/>
          <w:position w:val="1"/>
          <w:sz w:val="15"/>
        </w:rPr>
        <w:t> </w:t>
      </w:r>
      <w:r>
        <w:rPr>
          <w:b/>
          <w:w w:val="105"/>
          <w:position w:val="1"/>
          <w:sz w:val="15"/>
        </w:rPr>
        <w:t>NOTATION</w:t>
      </w:r>
      <w:r>
        <w:rPr>
          <w:w w:val="105"/>
          <w:sz w:val="19"/>
        </w:rPr>
        <w:tab/>
        <w:t>221</w:t>
      </w:r>
    </w:p>
    <w:p>
      <w:pPr>
        <w:pStyle w:val="BodyText"/>
        <w:spacing w:before="5"/>
        <w:rPr>
          <w:sz w:val="19"/>
        </w:rPr>
      </w:pPr>
    </w:p>
    <w:p>
      <w:pPr>
        <w:spacing w:line="240" w:lineRule="auto" w:before="0"/>
        <w:ind w:left="135" w:right="113" w:firstLine="3"/>
        <w:jc w:val="both"/>
        <w:rPr>
          <w:sz w:val="21"/>
        </w:rPr>
      </w:pPr>
      <w:r>
        <w:rPr>
          <w:sz w:val="21"/>
        </w:rPr>
        <w:t>It should be noted that this benefi.t  </w:t>
      </w:r>
      <w:r>
        <w:rPr>
          <w:rFonts w:ascii="Arial"/>
          <w:sz w:val="20"/>
        </w:rPr>
        <w:t>is </w:t>
      </w:r>
      <w:r>
        <w:rPr>
          <w:sz w:val="21"/>
        </w:rPr>
        <w:t>a fonn of  deferred  annuity, no pa.yments being made until two deaths have occurred. The expression can be checked by noting  the  annuity  payments  that are provided while the diff erent numbers of lives are surviving. When ali three are a.live, ea.ch of the annuity functions  contributes</w:t>
      </w:r>
    </w:p>
    <w:p>
      <w:pPr>
        <w:spacing w:line="215" w:lineRule="exact" w:before="0"/>
        <w:ind w:left="132" w:right="0" w:firstLine="3"/>
        <w:jc w:val="both"/>
        <w:rPr>
          <w:sz w:val="21"/>
        </w:rPr>
      </w:pPr>
      <w:r>
        <w:rPr>
          <w:w w:val="115"/>
          <w:sz w:val="21"/>
        </w:rPr>
        <w:t>a payment </w:t>
      </w:r>
      <w:r>
        <w:rPr>
          <w:w w:val="105"/>
          <w:sz w:val="21"/>
        </w:rPr>
        <w:t>of </w:t>
      </w:r>
      <w:r>
        <w:rPr>
          <w:spacing w:val="-18"/>
          <w:w w:val="115"/>
          <w:sz w:val="21"/>
        </w:rPr>
        <w:t>1, </w:t>
      </w:r>
      <w:r>
        <w:rPr>
          <w:w w:val="115"/>
          <w:sz w:val="21"/>
        </w:rPr>
        <w:t>and the total payment </w:t>
      </w:r>
      <w:r>
        <w:rPr>
          <w:w w:val="105"/>
          <w:sz w:val="21"/>
        </w:rPr>
        <w:t>is </w:t>
      </w:r>
      <w:r>
        <w:rPr>
          <w:w w:val="115"/>
          <w:sz w:val="21"/>
        </w:rPr>
        <w:t>1 </w:t>
      </w:r>
      <w:r>
        <w:rPr>
          <w:rFonts w:ascii="Arial"/>
          <w:w w:val="115"/>
          <w:sz w:val="32"/>
        </w:rPr>
        <w:t>+</w:t>
      </w:r>
      <w:r>
        <w:rPr>
          <w:rFonts w:ascii="Arial"/>
          <w:spacing w:val="-54"/>
          <w:w w:val="115"/>
          <w:sz w:val="32"/>
        </w:rPr>
        <w:t> </w:t>
      </w:r>
      <w:r>
        <w:rPr>
          <w:w w:val="115"/>
          <w:sz w:val="21"/>
        </w:rPr>
        <w:t>1 </w:t>
      </w:r>
      <w:r>
        <w:rPr>
          <w:rFonts w:ascii="Arial"/>
          <w:w w:val="115"/>
          <w:sz w:val="32"/>
        </w:rPr>
        <w:t>+</w:t>
      </w:r>
      <w:r>
        <w:rPr>
          <w:rFonts w:ascii="Arial"/>
          <w:spacing w:val="-51"/>
          <w:w w:val="115"/>
          <w:sz w:val="32"/>
        </w:rPr>
        <w:t> </w:t>
      </w:r>
      <w:r>
        <w:rPr>
          <w:w w:val="115"/>
          <w:sz w:val="21"/>
        </w:rPr>
        <w:t>1 </w:t>
      </w:r>
      <w:r>
        <w:rPr>
          <w:w w:val="235"/>
          <w:sz w:val="21"/>
        </w:rPr>
        <w:t>-</w:t>
      </w:r>
      <w:r>
        <w:rPr>
          <w:spacing w:val="-82"/>
          <w:w w:val="235"/>
          <w:sz w:val="21"/>
        </w:rPr>
        <w:t> </w:t>
      </w:r>
      <w:r>
        <w:rPr>
          <w:w w:val="115"/>
          <w:sz w:val="21"/>
        </w:rPr>
        <w:t>2 </w:t>
      </w:r>
      <w:r>
        <w:rPr>
          <w:w w:val="235"/>
          <w:sz w:val="21"/>
        </w:rPr>
        <w:t>-</w:t>
      </w:r>
      <w:r>
        <w:rPr>
          <w:spacing w:val="-83"/>
          <w:w w:val="235"/>
          <w:sz w:val="21"/>
        </w:rPr>
        <w:t> </w:t>
      </w:r>
      <w:r>
        <w:rPr>
          <w:w w:val="115"/>
          <w:sz w:val="21"/>
        </w:rPr>
        <w:t>2 </w:t>
      </w:r>
      <w:r>
        <w:rPr>
          <w:w w:val="235"/>
          <w:sz w:val="21"/>
        </w:rPr>
        <w:t>-</w:t>
      </w:r>
    </w:p>
    <w:p>
      <w:pPr>
        <w:spacing w:line="274" w:lineRule="exact" w:before="0"/>
        <w:ind w:left="132" w:right="0" w:firstLine="0"/>
        <w:jc w:val="both"/>
        <w:rPr>
          <w:i/>
          <w:sz w:val="21"/>
        </w:rPr>
      </w:pPr>
      <w:r>
        <w:rPr>
          <w:sz w:val="21"/>
        </w:rPr>
        <w:t>2 </w:t>
      </w:r>
      <w:r>
        <w:rPr>
          <w:sz w:val="29"/>
        </w:rPr>
        <w:t>+ </w:t>
      </w:r>
      <w:r>
        <w:rPr>
          <w:sz w:val="21"/>
        </w:rPr>
        <w:t>3 </w:t>
      </w:r>
      <w:r>
        <w:rPr>
          <w:sz w:val="26"/>
        </w:rPr>
        <w:t>= </w:t>
      </w:r>
      <w:r>
        <w:rPr>
          <w:sz w:val="21"/>
        </w:rPr>
        <w:t>O. When exa.ctly two are alive, there </w:t>
      </w:r>
      <w:r>
        <w:rPr>
          <w:sz w:val="19"/>
        </w:rPr>
        <w:t>is </w:t>
      </w:r>
      <w:r>
        <w:rPr>
          <w:sz w:val="21"/>
        </w:rPr>
        <w:t>a payment for  </w:t>
      </w:r>
      <w:r>
        <w:rPr>
          <w:i/>
          <w:sz w:val="21"/>
        </w:rPr>
        <w:t>two</w:t>
      </w:r>
    </w:p>
    <w:p>
      <w:pPr>
        <w:spacing w:line="139" w:lineRule="auto" w:before="71"/>
        <w:ind w:left="128" w:right="121" w:firstLine="3"/>
        <w:jc w:val="both"/>
        <w:rPr>
          <w:sz w:val="21"/>
        </w:rPr>
      </w:pPr>
      <w:r>
        <w:rPr>
          <w:sz w:val="21"/>
        </w:rPr>
        <w:t>of the single-lile functions and for </w:t>
      </w:r>
      <w:r>
        <w:rPr>
          <w:i/>
          <w:sz w:val="21"/>
        </w:rPr>
        <w:t>one </w:t>
      </w:r>
      <w:r>
        <w:rPr>
          <w:sz w:val="21"/>
        </w:rPr>
        <w:t>of the two-life functions, and the total payment  </w:t>
      </w:r>
      <w:r>
        <w:rPr>
          <w:sz w:val="19"/>
        </w:rPr>
        <w:t>is  </w:t>
      </w:r>
      <w:r>
        <w:rPr>
          <w:sz w:val="21"/>
        </w:rPr>
        <w:t>1 </w:t>
      </w:r>
      <w:r>
        <w:rPr>
          <w:rFonts w:ascii="Arial"/>
          <w:sz w:val="32"/>
        </w:rPr>
        <w:t>+ </w:t>
      </w:r>
      <w:r>
        <w:rPr>
          <w:sz w:val="21"/>
        </w:rPr>
        <w:t>1 </w:t>
      </w:r>
      <w:r>
        <w:rPr>
          <w:w w:val="235"/>
          <w:sz w:val="21"/>
        </w:rPr>
        <w:t>- </w:t>
      </w:r>
      <w:r>
        <w:rPr>
          <w:sz w:val="21"/>
        </w:rPr>
        <w:t>2  </w:t>
      </w:r>
      <w:r>
        <w:rPr>
          <w:sz w:val="26"/>
        </w:rPr>
        <w:t>= </w:t>
      </w:r>
      <w:r>
        <w:rPr>
          <w:sz w:val="21"/>
        </w:rPr>
        <w:t>O. When  exactly  one </w:t>
      </w:r>
      <w:r>
        <w:rPr>
          <w:sz w:val="19"/>
        </w:rPr>
        <w:t>is  </w:t>
      </w:r>
      <w:r>
        <w:rPr>
          <w:sz w:val="21"/>
        </w:rPr>
        <w:t>alive,</w:t>
      </w:r>
    </w:p>
    <w:p>
      <w:pPr>
        <w:spacing w:line="237" w:lineRule="auto" w:before="4"/>
        <w:ind w:left="128" w:right="122" w:firstLine="3"/>
        <w:jc w:val="both"/>
        <w:rPr>
          <w:sz w:val="21"/>
        </w:rPr>
      </w:pPr>
      <w:r>
        <w:rPr>
          <w:sz w:val="21"/>
        </w:rPr>
        <w:t>there </w:t>
      </w:r>
      <w:r>
        <w:rPr>
          <w:sz w:val="19"/>
        </w:rPr>
        <w:t>is </w:t>
      </w:r>
      <w:r>
        <w:rPr>
          <w:sz w:val="21"/>
        </w:rPr>
        <w:t>a payment of 1, as required, from one of the single-life functions.</w:t>
      </w:r>
      <w:r>
        <w:rPr>
          <w:spacing w:val="-12"/>
          <w:sz w:val="21"/>
        </w:rPr>
        <w:t> </w:t>
      </w:r>
      <w:r>
        <w:rPr>
          <w:sz w:val="21"/>
        </w:rPr>
        <w:t>This</w:t>
      </w:r>
      <w:r>
        <w:rPr>
          <w:spacing w:val="-9"/>
          <w:sz w:val="21"/>
        </w:rPr>
        <w:t> </w:t>
      </w:r>
      <w:r>
        <w:rPr>
          <w:sz w:val="21"/>
        </w:rPr>
        <w:t>is</w:t>
      </w:r>
      <w:r>
        <w:rPr>
          <w:spacing w:val="-16"/>
          <w:sz w:val="21"/>
        </w:rPr>
        <w:t> </w:t>
      </w:r>
      <w:r>
        <w:rPr>
          <w:sz w:val="21"/>
        </w:rPr>
        <w:t>also</w:t>
      </w:r>
      <w:r>
        <w:rPr>
          <w:spacing w:val="-7"/>
          <w:sz w:val="21"/>
        </w:rPr>
        <w:t> </w:t>
      </w:r>
      <w:r>
        <w:rPr>
          <w:sz w:val="21"/>
        </w:rPr>
        <w:t>a</w:t>
      </w:r>
      <w:r>
        <w:rPr>
          <w:spacing w:val="-20"/>
          <w:sz w:val="21"/>
        </w:rPr>
        <w:t> </w:t>
      </w:r>
      <w:r>
        <w:rPr>
          <w:sz w:val="21"/>
        </w:rPr>
        <w:t>useful</w:t>
      </w:r>
      <w:r>
        <w:rPr>
          <w:spacing w:val="8"/>
          <w:sz w:val="21"/>
        </w:rPr>
        <w:t> </w:t>
      </w:r>
      <w:r>
        <w:rPr>
          <w:sz w:val="21"/>
        </w:rPr>
        <w:t>device</w:t>
      </w:r>
      <w:r>
        <w:rPr>
          <w:spacing w:val="-11"/>
          <w:sz w:val="21"/>
        </w:rPr>
        <w:t> </w:t>
      </w:r>
      <w:r>
        <w:rPr>
          <w:sz w:val="21"/>
        </w:rPr>
        <w:t>for</w:t>
      </w:r>
      <w:r>
        <w:rPr>
          <w:spacing w:val="-12"/>
          <w:sz w:val="21"/>
        </w:rPr>
        <w:t> </w:t>
      </w:r>
      <w:r>
        <w:rPr>
          <w:sz w:val="21"/>
        </w:rPr>
        <w:t>checking</w:t>
      </w:r>
      <w:r>
        <w:rPr>
          <w:spacing w:val="-10"/>
          <w:sz w:val="21"/>
        </w:rPr>
        <w:t> </w:t>
      </w:r>
      <w:r>
        <w:rPr>
          <w:sz w:val="21"/>
        </w:rPr>
        <w:t>the</w:t>
      </w:r>
      <w:r>
        <w:rPr>
          <w:spacing w:val="-14"/>
          <w:sz w:val="21"/>
        </w:rPr>
        <w:t> </w:t>
      </w:r>
      <w:r>
        <w:rPr>
          <w:sz w:val="21"/>
        </w:rPr>
        <w:t>corresponding probability</w:t>
      </w:r>
      <w:r>
        <w:rPr>
          <w:spacing w:val="38"/>
          <w:sz w:val="21"/>
        </w:rPr>
        <w:t> </w:t>
      </w:r>
      <w:r>
        <w:rPr>
          <w:sz w:val="21"/>
        </w:rPr>
        <w:t>expansion.</w:t>
      </w:r>
    </w:p>
    <w:p>
      <w:pPr>
        <w:pStyle w:val="BodyText"/>
        <w:spacing w:before="7"/>
        <w:rPr>
          <w:sz w:val="18"/>
        </w:rPr>
      </w:pPr>
    </w:p>
    <w:p>
      <w:pPr>
        <w:pStyle w:val="ListParagraph"/>
        <w:numPr>
          <w:ilvl w:val="0"/>
          <w:numId w:val="97"/>
        </w:numPr>
        <w:tabs>
          <w:tab w:pos="348" w:val="left" w:leader="none"/>
        </w:tabs>
        <w:spacing w:line="240" w:lineRule="auto" w:before="0" w:after="0"/>
        <w:ind w:left="348" w:right="0" w:hanging="220"/>
        <w:jc w:val="both"/>
        <w:rPr>
          <w:b/>
          <w:sz w:val="19"/>
        </w:rPr>
      </w:pPr>
      <w:r>
        <w:rPr>
          <w:b/>
          <w:w w:val="120"/>
          <w:sz w:val="19"/>
        </w:rPr>
        <w:t>Summary of</w:t>
      </w:r>
      <w:r>
        <w:rPr>
          <w:b/>
          <w:spacing w:val="40"/>
          <w:w w:val="120"/>
          <w:sz w:val="19"/>
        </w:rPr>
        <w:t> </w:t>
      </w:r>
      <w:r>
        <w:rPr>
          <w:b/>
          <w:w w:val="120"/>
          <w:sz w:val="19"/>
        </w:rPr>
        <w:t>notation</w:t>
      </w:r>
    </w:p>
    <w:p>
      <w:pPr>
        <w:spacing w:line="237" w:lineRule="auto" w:before="119"/>
        <w:ind w:left="117" w:right="127" w:firstLine="212"/>
        <w:jc w:val="both"/>
        <w:rPr>
          <w:sz w:val="21"/>
        </w:rPr>
      </w:pPr>
      <w:r>
        <w:rPr>
          <w:rFonts w:ascii="Arial"/>
          <w:w w:val="120"/>
          <w:sz w:val="20"/>
        </w:rPr>
        <w:t>If </w:t>
      </w:r>
      <w:r>
        <w:rPr>
          <w:sz w:val="21"/>
        </w:rPr>
        <w:t>a horizontal bar appears aboye a suffixed subscript, then </w:t>
      </w:r>
      <w:r>
        <w:rPr>
          <w:i/>
          <w:sz w:val="21"/>
        </w:rPr>
        <w:t>survivors </w:t>
      </w:r>
      <w:r>
        <w:rPr>
          <w:sz w:val="21"/>
        </w:rPr>
        <w:t>of the lives, and not </w:t>
      </w:r>
      <w:r>
        <w:rPr>
          <w:i/>
          <w:sz w:val="21"/>
        </w:rPr>
        <w:t>joint </w:t>
      </w:r>
      <w:r>
        <w:rPr>
          <w:sz w:val="21"/>
        </w:rPr>
        <w:t>lives, are intended. The number of survivors is denoted by  a symbol over the right end of  the bar.  </w:t>
      </w:r>
      <w:r>
        <w:rPr>
          <w:rFonts w:ascii="Arial"/>
          <w:w w:val="120"/>
          <w:sz w:val="20"/>
        </w:rPr>
        <w:t>If </w:t>
      </w:r>
      <w:r>
        <w:rPr>
          <w:sz w:val="21"/>
        </w:rPr>
        <w:t>that symbol, say </w:t>
      </w:r>
      <w:r>
        <w:rPr>
          <w:i/>
          <w:sz w:val="21"/>
        </w:rPr>
        <w:t>r, </w:t>
      </w:r>
      <w:r>
        <w:rPr>
          <w:sz w:val="21"/>
        </w:rPr>
        <w:t>is enclosed </w:t>
      </w:r>
      <w:r>
        <w:rPr>
          <w:sz w:val="19"/>
        </w:rPr>
        <w:t>in </w:t>
      </w:r>
      <w:r>
        <w:rPr>
          <w:sz w:val="21"/>
        </w:rPr>
        <w:t>brackets,  the meaning is </w:t>
      </w:r>
      <w:r>
        <w:rPr>
          <w:i/>
          <w:sz w:val="21"/>
        </w:rPr>
        <w:t>exactly </w:t>
      </w:r>
      <w:r>
        <w:rPr>
          <w:i/>
          <w:sz w:val="21"/>
        </w:rPr>
        <w:t>r </w:t>
      </w:r>
      <w:r>
        <w:rPr>
          <w:sz w:val="21"/>
        </w:rPr>
        <w:t>survivors; without bra.ckets, the meaning  </w:t>
      </w:r>
      <w:r>
        <w:rPr>
          <w:sz w:val="19"/>
        </w:rPr>
        <w:t>is </w:t>
      </w:r>
      <w:r>
        <w:rPr>
          <w:i/>
          <w:sz w:val="21"/>
        </w:rPr>
        <w:t>at  least r </w:t>
      </w:r>
      <w:r>
        <w:rPr>
          <w:sz w:val="21"/>
        </w:rPr>
        <w:t>survivors.  </w:t>
      </w:r>
      <w:r>
        <w:rPr>
          <w:sz w:val="22"/>
        </w:rPr>
        <w:t>If </w:t>
      </w:r>
      <w:r>
        <w:rPr>
          <w:sz w:val="21"/>
        </w:rPr>
        <w:t>no symbol appears over the bar, then unity </w:t>
      </w:r>
      <w:r>
        <w:rPr>
          <w:sz w:val="19"/>
        </w:rPr>
        <w:t>is </w:t>
      </w:r>
      <w:r>
        <w:rPr>
          <w:sz w:val="21"/>
        </w:rPr>
        <w:t>assumed and the meaning is </w:t>
      </w:r>
      <w:r>
        <w:rPr>
          <w:rFonts w:ascii="Arial"/>
          <w:i/>
          <w:sz w:val="17"/>
        </w:rPr>
        <w:t>at </w:t>
      </w:r>
      <w:r>
        <w:rPr>
          <w:i/>
          <w:sz w:val="21"/>
        </w:rPr>
        <w:t>least one</w:t>
      </w:r>
      <w:r>
        <w:rPr>
          <w:i/>
          <w:spacing w:val="52"/>
          <w:sz w:val="21"/>
        </w:rPr>
        <w:t> </w:t>
      </w:r>
      <w:r>
        <w:rPr>
          <w:sz w:val="21"/>
        </w:rPr>
        <w:t>survivor.</w:t>
      </w:r>
    </w:p>
    <w:p>
      <w:pPr>
        <w:pStyle w:val="BodyText"/>
        <w:spacing w:before="5"/>
        <w:rPr>
          <w:sz w:val="19"/>
        </w:rPr>
      </w:pPr>
    </w:p>
    <w:p>
      <w:pPr>
        <w:spacing w:before="0"/>
        <w:ind w:left="117" w:right="0" w:firstLine="0"/>
        <w:jc w:val="both"/>
        <w:rPr>
          <w:b/>
          <w:sz w:val="19"/>
        </w:rPr>
      </w:pPr>
      <w:r>
        <w:rPr>
          <w:b/>
          <w:w w:val="115"/>
          <w:sz w:val="19"/>
        </w:rPr>
        <w:t>References</w:t>
      </w:r>
    </w:p>
    <w:p>
      <w:pPr>
        <w:pStyle w:val="BodyText"/>
        <w:spacing w:before="9"/>
        <w:rPr>
          <w:b/>
          <w:sz w:val="14"/>
        </w:rPr>
      </w:pPr>
    </w:p>
    <w:p>
      <w:pPr>
        <w:spacing w:line="230" w:lineRule="auto" w:before="0"/>
        <w:ind w:left="110" w:right="124" w:firstLine="205"/>
        <w:jc w:val="both"/>
        <w:rPr>
          <w:sz w:val="21"/>
        </w:rPr>
      </w:pPr>
      <w:r>
        <w:rPr/>
        <w:pict>
          <v:line style="position:absolute;mso-position-horizontal-relative:page;mso-position-vertical-relative:paragraph;z-index:-718408" from="146.880005pt,10.310633pt" to="159.480005pt,10.310633pt" stroked="true" strokeweight="1.8pt" strokecolor="#000000">
            <w10:wrap type="none"/>
          </v:line>
        </w:pict>
      </w:r>
      <w:r>
        <w:rPr>
          <w:sz w:val="21"/>
        </w:rPr>
        <w:t>3. </w:t>
      </w:r>
      <w:r>
        <w:rPr>
          <w:w w:val="106"/>
          <w:sz w:val="21"/>
        </w:rPr>
        <w:t>The </w:t>
      </w:r>
      <w:r>
        <w:rPr>
          <w:w w:val="99"/>
          <w:sz w:val="21"/>
        </w:rPr>
        <w:t>formula </w:t>
      </w:r>
      <w:r>
        <w:rPr>
          <w:w w:val="98"/>
          <w:sz w:val="21"/>
        </w:rPr>
        <w:t>for </w:t>
      </w:r>
      <w:r>
        <w:rPr>
          <w:rFonts w:ascii="Arial" w:hAnsi="Arial"/>
          <w:spacing w:val="-4"/>
          <w:w w:val="168"/>
          <w:sz w:val="12"/>
        </w:rPr>
        <w:t>nP:i</w:t>
      </w:r>
      <w:r>
        <w:rPr>
          <w:rFonts w:ascii="Arial" w:hAnsi="Arial"/>
          <w:spacing w:val="-4"/>
          <w:w w:val="168"/>
          <w:position w:val="-4"/>
          <w:sz w:val="10"/>
        </w:rPr>
        <w:t>1</w:t>
      </w:r>
      <w:r>
        <w:rPr>
          <w:rFonts w:ascii="Arial" w:hAnsi="Arial"/>
          <w:spacing w:val="-4"/>
          <w:w w:val="168"/>
          <w:sz w:val="12"/>
        </w:rPr>
        <w:t>z</w:t>
      </w:r>
      <w:r>
        <w:rPr>
          <w:rFonts w:ascii="Arial" w:hAnsi="Arial"/>
          <w:spacing w:val="-4"/>
          <w:w w:val="168"/>
          <w:position w:val="-4"/>
          <w:sz w:val="10"/>
        </w:rPr>
        <w:t>1</w:t>
      </w:r>
      <w:r>
        <w:rPr>
          <w:rFonts w:ascii="Arial" w:hAnsi="Arial"/>
          <w:spacing w:val="-4"/>
          <w:w w:val="168"/>
          <w:sz w:val="10"/>
        </w:rPr>
        <w:t>...</w:t>
      </w:r>
      <w:r>
        <w:rPr>
          <w:rFonts w:ascii="Arial" w:hAnsi="Arial"/>
          <w:w w:val="168"/>
          <w:sz w:val="10"/>
        </w:rPr>
        <w:t>  </w:t>
      </w:r>
      <w:r>
        <w:rPr>
          <w:w w:val="100"/>
          <w:sz w:val="21"/>
        </w:rPr>
        <w:t>was  </w:t>
      </w:r>
      <w:r>
        <w:rPr>
          <w:w w:val="98"/>
          <w:sz w:val="21"/>
        </w:rPr>
        <w:t>derived  </w:t>
      </w:r>
      <w:r>
        <w:rPr>
          <w:w w:val="101"/>
          <w:sz w:val="21"/>
        </w:rPr>
        <w:t>by  </w:t>
      </w:r>
      <w:r>
        <w:rPr>
          <w:w w:val="100"/>
          <w:sz w:val="21"/>
        </w:rPr>
        <w:t>Waring  </w:t>
      </w:r>
      <w:r>
        <w:rPr>
          <w:w w:val="109"/>
          <w:sz w:val="19"/>
        </w:rPr>
        <w:t>in </w:t>
      </w:r>
      <w:r>
        <w:rPr>
          <w:spacing w:val="-10"/>
          <w:w w:val="100"/>
          <w:sz w:val="21"/>
        </w:rPr>
        <w:t>1792.</w:t>
      </w:r>
      <w:r>
        <w:rPr>
          <w:w w:val="100"/>
          <w:sz w:val="21"/>
        </w:rPr>
        <w:t>  </w:t>
      </w:r>
      <w:r>
        <w:rPr>
          <w:sz w:val="21"/>
        </w:rPr>
        <w:t>In its general form, Waring's Theorem gives the probability that exa.ctly </w:t>
      </w:r>
      <w:r>
        <w:rPr>
          <w:rFonts w:ascii="Arial" w:hAnsi="Arial"/>
          <w:i/>
          <w:sz w:val="18"/>
        </w:rPr>
        <w:t>r </w:t>
      </w:r>
      <w:r>
        <w:rPr>
          <w:sz w:val="21"/>
        </w:rPr>
        <w:t>out of </w:t>
      </w:r>
      <w:r>
        <w:rPr>
          <w:rFonts w:ascii="Arial" w:hAnsi="Arial"/>
          <w:i/>
          <w:sz w:val="18"/>
        </w:rPr>
        <w:t>m </w:t>
      </w:r>
      <w:r>
        <w:rPr>
          <w:sz w:val="21"/>
        </w:rPr>
        <w:t>events will occur, and thus has wide applications. The theorem is discussed in standard texts on probability, </w:t>
      </w:r>
      <w:r>
        <w:rPr>
          <w:rFonts w:ascii="Arial" w:hAnsi="Arial"/>
          <w:b/>
          <w:sz w:val="18"/>
        </w:rPr>
        <w:t>e.g., </w:t>
      </w:r>
      <w:r>
        <w:rPr>
          <w:sz w:val="21"/>
        </w:rPr>
        <w:t>Bizley (1957). White and Greville (1959) ha.ve discussed</w:t>
      </w:r>
      <w:r>
        <w:rPr>
          <w:spacing w:val="43"/>
          <w:sz w:val="21"/>
        </w:rPr>
        <w:t> </w:t>
      </w:r>
      <w:r>
        <w:rPr>
          <w:sz w:val="21"/>
        </w:rPr>
        <w:t>computa­</w:t>
      </w:r>
    </w:p>
    <w:p>
      <w:pPr>
        <w:spacing w:line="237" w:lineRule="auto" w:before="0"/>
        <w:ind w:left="110" w:right="137" w:firstLine="0"/>
        <w:jc w:val="right"/>
        <w:rPr>
          <w:sz w:val="21"/>
        </w:rPr>
      </w:pPr>
      <w:r>
        <w:rPr>
          <w:sz w:val="21"/>
        </w:rPr>
        <w:t>tional devices which simplify the application of the theorem. A</w:t>
      </w:r>
      <w:r>
        <w:rPr>
          <w:w w:val="92"/>
          <w:sz w:val="21"/>
        </w:rPr>
        <w:t> </w:t>
      </w:r>
      <w:r>
        <w:rPr>
          <w:sz w:val="21"/>
        </w:rPr>
        <w:t>related method of  computing the values of the individual  shares in</w:t>
      </w:r>
      <w:r>
        <w:rPr>
          <w:w w:val="94"/>
          <w:sz w:val="21"/>
        </w:rPr>
        <w:t> </w:t>
      </w:r>
      <w:r>
        <w:rPr>
          <w:sz w:val="21"/>
        </w:rPr>
        <w:t>a last-survivor annuity has been given by Rasor and Myers (1952).</w:t>
      </w:r>
      <w:r>
        <w:rPr>
          <w:w w:val="104"/>
          <w:sz w:val="21"/>
        </w:rPr>
        <w:t> </w:t>
      </w:r>
      <w:r>
        <w:rPr>
          <w:sz w:val="21"/>
        </w:rPr>
        <w:t>The  proof  by  induction  for  formula  (10.12) was  suggested by</w:t>
      </w:r>
    </w:p>
    <w:p>
      <w:pPr>
        <w:spacing w:line="238" w:lineRule="exact" w:before="0"/>
        <w:ind w:left="110" w:right="0" w:firstLine="0"/>
        <w:jc w:val="both"/>
        <w:rPr>
          <w:sz w:val="21"/>
        </w:rPr>
      </w:pPr>
      <w:r>
        <w:rPr>
          <w:sz w:val="21"/>
        </w:rPr>
        <w:t>Harry  Gershenson, F.S.A.</w:t>
      </w:r>
    </w:p>
    <w:p>
      <w:pPr>
        <w:spacing w:before="161"/>
        <w:ind w:left="36" w:right="87" w:firstLine="0"/>
        <w:jc w:val="center"/>
        <w:rPr>
          <w:sz w:val="18"/>
        </w:rPr>
      </w:pPr>
      <w:r>
        <w:rPr>
          <w:w w:val="105"/>
          <w:sz w:val="18"/>
        </w:rPr>
        <w:t>EXERCISES</w:t>
      </w:r>
    </w:p>
    <w:p>
      <w:pPr>
        <w:spacing w:before="158"/>
        <w:ind w:left="110" w:right="0" w:firstLine="0"/>
        <w:jc w:val="both"/>
        <w:rPr>
          <w:b/>
          <w:sz w:val="16"/>
        </w:rPr>
      </w:pPr>
      <w:r>
        <w:rPr>
          <w:b/>
          <w:w w:val="130"/>
          <w:sz w:val="17"/>
        </w:rPr>
        <w:t>l. The </w:t>
      </w:r>
      <w:r>
        <w:rPr>
          <w:b/>
          <w:w w:val="130"/>
          <w:sz w:val="16"/>
        </w:rPr>
        <w:t>last-surviror status</w:t>
      </w:r>
    </w:p>
    <w:p>
      <w:pPr>
        <w:spacing w:line="239" w:lineRule="exact" w:before="37"/>
        <w:ind w:left="100" w:right="0" w:firstLine="0"/>
        <w:jc w:val="center"/>
        <w:rPr>
          <w:sz w:val="17"/>
        </w:rPr>
      </w:pPr>
      <w:r>
        <w:rPr>
          <w:w w:val="150"/>
          <w:sz w:val="15"/>
        </w:rPr>
        <w:t>l. </w:t>
      </w:r>
      <w:r>
        <w:rPr>
          <w:w w:val="120"/>
          <w:sz w:val="17"/>
        </w:rPr>
        <w:t>Show that </w:t>
      </w:r>
      <w:r>
        <w:rPr>
          <w:i/>
          <w:w w:val="215"/>
          <w:sz w:val="16"/>
        </w:rPr>
        <w:t>q </w:t>
      </w:r>
      <w:r>
        <w:rPr>
          <w:w w:val="105"/>
          <w:sz w:val="21"/>
        </w:rPr>
        <w:t>= </w:t>
      </w:r>
      <w:r>
        <w:rPr>
          <w:i/>
          <w:w w:val="120"/>
          <w:sz w:val="16"/>
        </w:rPr>
        <w:t>qz· </w:t>
      </w:r>
      <w:r>
        <w:rPr>
          <w:i/>
          <w:w w:val="105"/>
          <w:sz w:val="16"/>
        </w:rPr>
        <w:t>q</w:t>
      </w:r>
      <w:r>
        <w:rPr>
          <w:rFonts w:ascii="Arial" w:hAnsi="Arial"/>
          <w:i/>
          <w:w w:val="105"/>
          <w:position w:val="-2"/>
          <w:sz w:val="8"/>
        </w:rPr>
        <w:t>11 </w:t>
      </w:r>
      <w:r>
        <w:rPr>
          <w:rFonts w:ascii="Arial" w:hAnsi="Arial"/>
          <w:w w:val="350"/>
          <w:sz w:val="8"/>
        </w:rPr>
        <w:t>,</w:t>
      </w:r>
      <w:r>
        <w:rPr>
          <w:rFonts w:ascii="Arial" w:hAnsi="Arial"/>
          <w:spacing w:val="-68"/>
          <w:w w:val="350"/>
          <w:sz w:val="8"/>
        </w:rPr>
        <w:t> </w:t>
      </w:r>
      <w:r>
        <w:rPr>
          <w:w w:val="120"/>
          <w:sz w:val="17"/>
        </w:rPr>
        <w:t>and give an nlternative expression in terms </w:t>
      </w:r>
      <w:r>
        <w:rPr>
          <w:w w:val="105"/>
          <w:sz w:val="17"/>
        </w:rPr>
        <w:t>of</w:t>
      </w:r>
    </w:p>
    <w:p>
      <w:pPr>
        <w:spacing w:line="204" w:lineRule="exact" w:before="0"/>
        <w:ind w:left="110" w:right="0" w:firstLine="0"/>
        <w:jc w:val="both"/>
        <w:rPr>
          <w:sz w:val="9"/>
        </w:rPr>
      </w:pPr>
      <w:r>
        <w:rPr>
          <w:i/>
          <w:w w:val="105"/>
          <w:sz w:val="17"/>
        </w:rPr>
        <w:t>qz </w:t>
      </w:r>
      <w:r>
        <w:rPr>
          <w:w w:val="105"/>
          <w:sz w:val="17"/>
        </w:rPr>
        <w:t>, </w:t>
      </w:r>
      <w:r>
        <w:rPr>
          <w:i/>
          <w:w w:val="95"/>
          <w:sz w:val="17"/>
        </w:rPr>
        <w:t>q</w:t>
      </w:r>
      <w:r>
        <w:rPr>
          <w:i/>
          <w:w w:val="95"/>
          <w:position w:val="-2"/>
          <w:sz w:val="9"/>
        </w:rPr>
        <w:t>11   </w:t>
      </w:r>
      <w:r>
        <w:rPr>
          <w:w w:val="190"/>
          <w:sz w:val="9"/>
        </w:rPr>
        <w:t>, </w:t>
      </w:r>
      <w:r>
        <w:rPr>
          <w:w w:val="105"/>
          <w:sz w:val="17"/>
        </w:rPr>
        <w:t>and </w:t>
      </w:r>
      <w:r>
        <w:rPr>
          <w:i/>
          <w:w w:val="95"/>
          <w:sz w:val="17"/>
        </w:rPr>
        <w:t>qz</w:t>
      </w:r>
      <w:r>
        <w:rPr>
          <w:i/>
          <w:w w:val="95"/>
          <w:position w:val="-2"/>
          <w:sz w:val="9"/>
        </w:rPr>
        <w:t>11   </w:t>
      </w:r>
      <w:r>
        <w:rPr>
          <w:w w:val="105"/>
          <w:sz w:val="9"/>
        </w:rPr>
        <w:t>•</w:t>
      </w:r>
    </w:p>
    <w:p>
      <w:pPr>
        <w:spacing w:after="0" w:line="204" w:lineRule="exact"/>
        <w:jc w:val="both"/>
        <w:rPr>
          <w:sz w:val="9"/>
        </w:rPr>
        <w:sectPr>
          <w:pgSz w:w="7200" w:h="11340"/>
          <w:pgMar w:top="480" w:bottom="280" w:left="660" w:right="540"/>
        </w:sectPr>
      </w:pPr>
    </w:p>
    <w:p>
      <w:pPr>
        <w:tabs>
          <w:tab w:pos="5289" w:val="left" w:leader="none"/>
        </w:tabs>
        <w:spacing w:before="54"/>
        <w:ind w:left="126" w:right="0" w:firstLine="0"/>
        <w:jc w:val="left"/>
        <w:rPr>
          <w:rFonts w:ascii="Arial"/>
          <w:sz w:val="20"/>
        </w:rPr>
      </w:pPr>
      <w:r>
        <w:rPr>
          <w:rFonts w:ascii="Arial"/>
          <w:w w:val="105"/>
          <w:sz w:val="20"/>
        </w:rPr>
        <w:t>222    </w:t>
      </w:r>
      <w:r>
        <w:rPr>
          <w:w w:val="105"/>
          <w:sz w:val="15"/>
        </w:rPr>
        <w:t>LAST-SURVIVOR   AND  GENERAL</w:t>
      </w:r>
      <w:r>
        <w:rPr>
          <w:spacing w:val="31"/>
          <w:w w:val="105"/>
          <w:sz w:val="15"/>
        </w:rPr>
        <w:t> </w:t>
      </w:r>
      <w:r>
        <w:rPr>
          <w:w w:val="105"/>
          <w:sz w:val="15"/>
        </w:rPr>
        <w:t>MULTI-LIFE </w:t>
      </w:r>
      <w:r>
        <w:rPr>
          <w:spacing w:val="12"/>
          <w:w w:val="105"/>
          <w:sz w:val="15"/>
        </w:rPr>
        <w:t> </w:t>
      </w:r>
      <w:r>
        <w:rPr>
          <w:spacing w:val="-4"/>
          <w:w w:val="105"/>
          <w:sz w:val="15"/>
        </w:rPr>
        <w:t>STATUSES</w:t>
        <w:tab/>
      </w:r>
      <w:r>
        <w:rPr>
          <w:w w:val="105"/>
          <w:sz w:val="15"/>
        </w:rPr>
        <w:t>[CH.</w:t>
      </w:r>
      <w:r>
        <w:rPr>
          <w:spacing w:val="24"/>
          <w:w w:val="105"/>
          <w:sz w:val="15"/>
        </w:rPr>
        <w:t> </w:t>
      </w:r>
      <w:r>
        <w:rPr>
          <w:rFonts w:ascii="Arial"/>
          <w:w w:val="105"/>
          <w:sz w:val="20"/>
        </w:rPr>
        <w:t>10</w:t>
      </w:r>
    </w:p>
    <w:p>
      <w:pPr>
        <w:pStyle w:val="BodyText"/>
        <w:spacing w:before="6"/>
        <w:rPr>
          <w:rFonts w:ascii="Arial"/>
        </w:rPr>
      </w:pPr>
    </w:p>
    <w:p>
      <w:pPr>
        <w:pStyle w:val="ListParagraph"/>
        <w:numPr>
          <w:ilvl w:val="0"/>
          <w:numId w:val="98"/>
        </w:numPr>
        <w:tabs>
          <w:tab w:pos="494" w:val="left" w:leader="none"/>
        </w:tabs>
        <w:spacing w:line="244" w:lineRule="auto" w:before="0" w:after="0"/>
        <w:ind w:left="126" w:right="116" w:firstLine="166"/>
        <w:jc w:val="left"/>
        <w:rPr>
          <w:sz w:val="17"/>
        </w:rPr>
      </w:pPr>
      <w:r>
        <w:rPr>
          <w:w w:val="110"/>
          <w:sz w:val="17"/>
        </w:rPr>
        <w:t>Express each </w:t>
      </w:r>
      <w:r>
        <w:rPr>
          <w:rFonts w:ascii="Arial" w:hAnsi="Arial"/>
          <w:w w:val="110"/>
          <w:sz w:val="16"/>
        </w:rPr>
        <w:t>of </w:t>
      </w:r>
      <w:r>
        <w:rPr>
          <w:w w:val="110"/>
          <w:sz w:val="17"/>
        </w:rPr>
        <w:t>the following in terma of </w:t>
      </w:r>
      <w:r>
        <w:rPr>
          <w:b/>
          <w:w w:val="110"/>
          <w:sz w:val="18"/>
        </w:rPr>
        <w:t>single- </w:t>
      </w:r>
      <w:r>
        <w:rPr>
          <w:w w:val="110"/>
          <w:sz w:val="17"/>
        </w:rPr>
        <w:t>and joint-life func­ tions:</w:t>
      </w:r>
    </w:p>
    <w:p>
      <w:pPr>
        <w:pStyle w:val="BodyText"/>
        <w:spacing w:before="11"/>
        <w:rPr>
          <w:sz w:val="13"/>
        </w:rPr>
      </w:pPr>
    </w:p>
    <w:p>
      <w:pPr>
        <w:spacing w:before="0"/>
        <w:ind w:left="468" w:right="0" w:firstLine="0"/>
        <w:jc w:val="left"/>
        <w:rPr>
          <w:b/>
          <w:sz w:val="16"/>
        </w:rPr>
      </w:pPr>
      <w:r>
        <w:rPr>
          <w:b/>
          <w:w w:val="125"/>
          <w:sz w:val="17"/>
        </w:rPr>
        <w:t>(a) </w:t>
      </w:r>
      <w:r>
        <w:rPr>
          <w:b/>
          <w:w w:val="145"/>
          <w:sz w:val="16"/>
        </w:rPr>
        <w:t>4</w:t>
      </w:r>
      <w:r>
        <w:rPr>
          <w:b/>
          <w:w w:val="145"/>
          <w:sz w:val="16"/>
          <w:u w:val="single"/>
        </w:rPr>
        <w:t>-..</w:t>
      </w:r>
    </w:p>
    <w:p>
      <w:pPr>
        <w:spacing w:line="114" w:lineRule="exact" w:before="124"/>
        <w:ind w:left="922" w:right="0" w:firstLine="0"/>
        <w:jc w:val="left"/>
        <w:rPr>
          <w:b/>
          <w:sz w:val="12"/>
        </w:rPr>
      </w:pPr>
      <w:r>
        <w:rPr>
          <w:b/>
          <w:w w:val="154"/>
          <w:sz w:val="12"/>
        </w:rPr>
        <w:t>l</w:t>
      </w:r>
    </w:p>
    <w:p>
      <w:pPr>
        <w:spacing w:line="172" w:lineRule="exact" w:before="0"/>
        <w:ind w:left="472" w:right="0" w:firstLine="0"/>
        <w:jc w:val="left"/>
        <w:rPr>
          <w:sz w:val="17"/>
        </w:rPr>
      </w:pPr>
      <w:r>
        <w:rPr>
          <w:w w:val="125"/>
          <w:sz w:val="16"/>
        </w:rPr>
        <w:t>(b) </w:t>
      </w:r>
      <w:r>
        <w:rPr>
          <w:w w:val="125"/>
          <w:sz w:val="17"/>
        </w:rPr>
        <w:t>P.i:.J</w:t>
      </w:r>
    </w:p>
    <w:p>
      <w:pPr>
        <w:pStyle w:val="BodyText"/>
        <w:spacing w:before="5"/>
        <w:rPr>
          <w:sz w:val="18"/>
        </w:rPr>
      </w:pPr>
    </w:p>
    <w:p>
      <w:pPr>
        <w:pStyle w:val="ListParagraph"/>
        <w:numPr>
          <w:ilvl w:val="0"/>
          <w:numId w:val="98"/>
        </w:numPr>
        <w:tabs>
          <w:tab w:pos="505" w:val="left" w:leader="none"/>
        </w:tabs>
        <w:spacing w:line="146" w:lineRule="auto" w:before="0" w:after="0"/>
        <w:ind w:left="141" w:right="134" w:firstLine="155"/>
        <w:jc w:val="left"/>
        <w:rPr>
          <w:sz w:val="17"/>
        </w:rPr>
      </w:pPr>
      <w:r>
        <w:rPr>
          <w:w w:val="115"/>
          <w:sz w:val="17"/>
        </w:rPr>
        <w:t>Find the probability that at least one </w:t>
      </w:r>
      <w:r>
        <w:rPr>
          <w:rFonts w:ascii="Arial"/>
          <w:w w:val="115"/>
          <w:sz w:val="16"/>
        </w:rPr>
        <w:t>of </w:t>
      </w:r>
      <w:r>
        <w:rPr>
          <w:w w:val="115"/>
          <w:sz w:val="17"/>
        </w:rPr>
        <w:t>the two lives </w:t>
      </w:r>
      <w:r>
        <w:rPr>
          <w:rFonts w:ascii="Arial"/>
          <w:w w:val="115"/>
          <w:sz w:val="16"/>
        </w:rPr>
        <w:t>(z) </w:t>
      </w:r>
      <w:r>
        <w:rPr>
          <w:w w:val="115"/>
          <w:sz w:val="17"/>
        </w:rPr>
        <w:t>and </w:t>
      </w:r>
      <w:r>
        <w:rPr>
          <w:rFonts w:ascii="Arial"/>
          <w:i/>
          <w:spacing w:val="3"/>
          <w:w w:val="115"/>
          <w:sz w:val="15"/>
        </w:rPr>
        <w:t>(y) </w:t>
      </w:r>
      <w:r>
        <w:rPr>
          <w:w w:val="115"/>
          <w:sz w:val="17"/>
        </w:rPr>
        <w:t>will die in the  (n </w:t>
      </w:r>
      <w:r>
        <w:rPr>
          <w:rFonts w:ascii="Arial"/>
          <w:w w:val="115"/>
          <w:sz w:val="26"/>
        </w:rPr>
        <w:t>+ </w:t>
      </w:r>
      <w:r>
        <w:rPr>
          <w:w w:val="115"/>
          <w:sz w:val="17"/>
        </w:rPr>
        <w:t>1)-th year.  </w:t>
      </w:r>
      <w:r>
        <w:rPr>
          <w:w w:val="115"/>
          <w:sz w:val="18"/>
        </w:rPr>
        <w:t>Is </w:t>
      </w:r>
      <w:r>
        <w:rPr>
          <w:w w:val="115"/>
          <w:sz w:val="17"/>
        </w:rPr>
        <w:t>this the same as </w:t>
      </w:r>
      <w:r>
        <w:rPr>
          <w:w w:val="115"/>
          <w:sz w:val="16"/>
        </w:rPr>
        <w:t>nlqi; ?</w:t>
      </w:r>
      <w:r>
        <w:rPr>
          <w:spacing w:val="-18"/>
          <w:w w:val="115"/>
          <w:sz w:val="16"/>
        </w:rPr>
        <w:t> </w:t>
      </w:r>
      <w:r>
        <w:rPr>
          <w:w w:val="115"/>
          <w:sz w:val="17"/>
        </w:rPr>
        <w:t>Explain.</w:t>
      </w:r>
    </w:p>
    <w:p>
      <w:pPr>
        <w:pStyle w:val="ListParagraph"/>
        <w:numPr>
          <w:ilvl w:val="0"/>
          <w:numId w:val="98"/>
        </w:numPr>
        <w:tabs>
          <w:tab w:pos="498" w:val="left" w:leader="none"/>
        </w:tabs>
        <w:spacing w:line="186" w:lineRule="exact" w:before="5" w:after="0"/>
        <w:ind w:left="497" w:right="0" w:hanging="212"/>
        <w:jc w:val="left"/>
        <w:rPr>
          <w:sz w:val="16"/>
        </w:rPr>
      </w:pPr>
      <w:r>
        <w:rPr>
          <w:w w:val="115"/>
          <w:sz w:val="17"/>
        </w:rPr>
        <w:t>Describe  the benefit  whose  net single premium  is </w:t>
      </w:r>
      <w:r>
        <w:rPr>
          <w:w w:val="115"/>
          <w:sz w:val="16"/>
        </w:rPr>
        <w:t>nlaii </w:t>
      </w:r>
      <w:r>
        <w:rPr>
          <w:w w:val="135"/>
          <w:sz w:val="16"/>
        </w:rPr>
        <w:t>. </w:t>
      </w:r>
      <w:r>
        <w:rPr>
          <w:w w:val="115"/>
          <w:sz w:val="17"/>
        </w:rPr>
        <w:t>Show</w:t>
      </w:r>
      <w:r>
        <w:rPr>
          <w:spacing w:val="-12"/>
          <w:w w:val="115"/>
          <w:sz w:val="17"/>
        </w:rPr>
        <w:t> </w:t>
      </w:r>
      <w:r>
        <w:rPr>
          <w:w w:val="115"/>
          <w:sz w:val="17"/>
        </w:rPr>
        <w:t>that</w:t>
      </w:r>
    </w:p>
    <w:p>
      <w:pPr>
        <w:spacing w:line="212" w:lineRule="exact" w:before="8"/>
        <w:ind w:left="137" w:right="0" w:hanging="11"/>
        <w:jc w:val="left"/>
        <w:rPr>
          <w:rFonts w:ascii="Arial"/>
          <w:sz w:val="21"/>
        </w:rPr>
      </w:pPr>
      <w:r>
        <w:rPr>
          <w:w w:val="95"/>
          <w:sz w:val="15"/>
        </w:rPr>
        <w:t>,il&lt;Jii </w:t>
      </w:r>
      <w:r>
        <w:rPr>
          <w:w w:val="110"/>
          <w:sz w:val="17"/>
        </w:rPr>
        <w:t>is </w:t>
      </w:r>
      <w:r>
        <w:rPr>
          <w:i/>
          <w:w w:val="90"/>
          <w:sz w:val="19"/>
        </w:rPr>
        <w:t>not </w:t>
      </w:r>
      <w:r>
        <w:rPr>
          <w:w w:val="111"/>
          <w:sz w:val="17"/>
        </w:rPr>
        <w:t>equivalent </w:t>
      </w:r>
      <w:r>
        <w:rPr>
          <w:w w:val="121"/>
          <w:sz w:val="17"/>
        </w:rPr>
        <w:t>to </w:t>
      </w:r>
      <w:r>
        <w:rPr>
          <w:w w:val="117"/>
          <w:sz w:val="14"/>
        </w:rPr>
        <w:t>tl'nP</w:t>
      </w:r>
      <w:r>
        <w:rPr>
          <w:w w:val="117"/>
          <w:sz w:val="14"/>
          <w:u w:val="single"/>
        </w:rPr>
        <w:t>s.</w:t>
      </w:r>
      <w:r>
        <w:rPr>
          <w:w w:val="117"/>
          <w:sz w:val="14"/>
        </w:rPr>
        <w:t>,ai+a:.+11 </w:t>
      </w:r>
      <w:r>
        <w:rPr>
          <w:w w:val="107"/>
          <w:sz w:val="17"/>
        </w:rPr>
        <w:t>nor </w:t>
      </w:r>
      <w:r>
        <w:rPr>
          <w:w w:val="118"/>
          <w:sz w:val="17"/>
        </w:rPr>
        <w:t>to </w:t>
      </w:r>
      <w:r>
        <w:rPr>
          <w:i/>
          <w:w w:val="153"/>
          <w:sz w:val="12"/>
        </w:rPr>
        <w:t>11</w:t>
      </w:r>
      <w:r>
        <w:rPr>
          <w:i/>
          <w:w w:val="153"/>
          <w:position w:val="5"/>
          <w:sz w:val="8"/>
        </w:rPr>
        <w:t>11</w:t>
      </w:r>
      <w:r>
        <w:rPr>
          <w:i/>
          <w:w w:val="153"/>
          <w:sz w:val="20"/>
        </w:rPr>
        <w:t>,,p.;a </w:t>
      </w:r>
      <w:r>
        <w:rPr>
          <w:w w:val="148"/>
          <w:sz w:val="20"/>
        </w:rPr>
        <w:t>. </w:t>
      </w:r>
      <w:r>
        <w:rPr>
          <w:w w:val="107"/>
          <w:sz w:val="17"/>
        </w:rPr>
        <w:t>Give </w:t>
      </w:r>
      <w:r>
        <w:rPr>
          <w:w w:val="111"/>
          <w:sz w:val="17"/>
        </w:rPr>
        <w:t>a </w:t>
      </w:r>
      <w:r>
        <w:rPr>
          <w:w w:val="110"/>
          <w:sz w:val="17"/>
        </w:rPr>
        <w:t>correct </w:t>
      </w:r>
      <w:r>
        <w:rPr>
          <w:w w:val="105"/>
          <w:sz w:val="17"/>
        </w:rPr>
        <w:t>expression for </w:t>
      </w:r>
      <w:r>
        <w:rPr>
          <w:rFonts w:ascii="Arial"/>
          <w:w w:val="105"/>
          <w:sz w:val="21"/>
        </w:rPr>
        <w:t>"1a.. .</w:t>
      </w:r>
    </w:p>
    <w:p>
      <w:pPr>
        <w:pStyle w:val="ListParagraph"/>
        <w:numPr>
          <w:ilvl w:val="0"/>
          <w:numId w:val="98"/>
        </w:numPr>
        <w:tabs>
          <w:tab w:pos="502" w:val="left" w:leader="none"/>
        </w:tabs>
        <w:spacing w:line="180" w:lineRule="exact" w:before="0" w:after="0"/>
        <w:ind w:left="501" w:right="0" w:hanging="209"/>
        <w:jc w:val="left"/>
        <w:rPr>
          <w:i/>
          <w:sz w:val="18"/>
        </w:rPr>
      </w:pPr>
      <w:r>
        <w:rPr>
          <w:w w:val="110"/>
          <w:sz w:val="17"/>
        </w:rPr>
        <w:t>Given  a  mortality  table  following  Makeham's  law  and  two  ages </w:t>
      </w:r>
      <w:r>
        <w:rPr>
          <w:spacing w:val="3"/>
          <w:w w:val="110"/>
          <w:sz w:val="17"/>
        </w:rPr>
        <w:t> </w:t>
      </w:r>
      <w:r>
        <w:rPr>
          <w:i/>
          <w:w w:val="110"/>
          <w:sz w:val="17"/>
        </w:rPr>
        <w:t>x</w:t>
      </w:r>
    </w:p>
    <w:p>
      <w:pPr>
        <w:spacing w:line="131" w:lineRule="exact" w:before="4"/>
        <w:ind w:left="134" w:right="0" w:firstLine="0"/>
        <w:jc w:val="left"/>
        <w:rPr>
          <w:sz w:val="17"/>
        </w:rPr>
      </w:pPr>
      <w:r>
        <w:rPr>
          <w:w w:val="110"/>
          <w:sz w:val="17"/>
        </w:rPr>
        <w:t>and  </w:t>
      </w:r>
      <w:r>
        <w:rPr>
          <w:i/>
          <w:sz w:val="16"/>
        </w:rPr>
        <w:t>71 </w:t>
      </w:r>
      <w:r>
        <w:rPr>
          <w:w w:val="110"/>
          <w:sz w:val="17"/>
        </w:rPr>
        <w:t>for which  </w:t>
      </w:r>
      <w:r>
        <w:rPr>
          <w:w w:val="110"/>
          <w:sz w:val="15"/>
        </w:rPr>
        <w:t>(ww)  </w:t>
      </w:r>
      <w:r>
        <w:rPr>
          <w:w w:val="110"/>
          <w:sz w:val="17"/>
        </w:rPr>
        <w:t>is the equivalent  equal-age status.</w:t>
      </w:r>
    </w:p>
    <w:p>
      <w:pPr>
        <w:spacing w:line="251" w:lineRule="exact" w:before="0"/>
        <w:ind w:left="465" w:right="0" w:firstLine="0"/>
        <w:jc w:val="left"/>
        <w:rPr>
          <w:sz w:val="31"/>
        </w:rPr>
      </w:pPr>
      <w:r>
        <w:rPr>
          <w:w w:val="105"/>
          <w:sz w:val="16"/>
        </w:rPr>
        <w:t>(a.)  </w:t>
      </w:r>
      <w:r>
        <w:rPr>
          <w:w w:val="105"/>
          <w:sz w:val="17"/>
        </w:rPr>
        <w:t>Show </w:t>
      </w:r>
      <w:r>
        <w:rPr>
          <w:w w:val="115"/>
          <w:sz w:val="17"/>
        </w:rPr>
        <w:t>that  ,p. </w:t>
      </w:r>
      <w:r>
        <w:rPr>
          <w:w w:val="105"/>
          <w:sz w:val="17"/>
        </w:rPr>
        <w:t>is the geometric mean of  </w:t>
      </w:r>
      <w:r>
        <w:rPr>
          <w:i/>
          <w:w w:val="105"/>
          <w:sz w:val="18"/>
        </w:rPr>
        <w:t>,p. </w:t>
      </w:r>
      <w:r>
        <w:rPr>
          <w:w w:val="105"/>
          <w:sz w:val="17"/>
        </w:rPr>
        <w:t>and  </w:t>
      </w:r>
      <w:r>
        <w:rPr>
          <w:i/>
          <w:w w:val="90"/>
          <w:sz w:val="31"/>
        </w:rPr>
        <w:t>,p,, </w:t>
      </w:r>
      <w:r>
        <w:rPr>
          <w:w w:val="90"/>
          <w:sz w:val="31"/>
        </w:rPr>
        <w:t>.</w:t>
      </w:r>
    </w:p>
    <w:p>
      <w:pPr>
        <w:spacing w:line="200" w:lineRule="exact" w:before="0"/>
        <w:ind w:left="465" w:right="0" w:firstLine="0"/>
        <w:jc w:val="left"/>
        <w:rPr>
          <w:sz w:val="18"/>
        </w:rPr>
      </w:pPr>
      <w:r>
        <w:rPr>
          <w:w w:val="113"/>
          <w:sz w:val="16"/>
        </w:rPr>
        <w:t>(b)</w:t>
      </w:r>
      <w:r>
        <w:rPr>
          <w:sz w:val="16"/>
        </w:rPr>
        <w:t> </w:t>
      </w:r>
      <w:r>
        <w:rPr>
          <w:spacing w:val="6"/>
          <w:sz w:val="16"/>
        </w:rPr>
        <w:t> </w:t>
      </w:r>
      <w:r>
        <w:rPr>
          <w:w w:val="137"/>
          <w:sz w:val="18"/>
        </w:rPr>
        <w:t>li</w:t>
      </w:r>
      <w:r>
        <w:rPr>
          <w:spacing w:val="-10"/>
          <w:sz w:val="18"/>
        </w:rPr>
        <w:t> </w:t>
      </w:r>
      <w:r>
        <w:rPr>
          <w:i/>
          <w:w w:val="98"/>
          <w:sz w:val="18"/>
        </w:rPr>
        <w:t>x</w:t>
      </w:r>
      <w:r>
        <w:rPr>
          <w:i/>
          <w:sz w:val="18"/>
        </w:rPr>
        <w:t> </w:t>
      </w:r>
      <w:r>
        <w:rPr>
          <w:i/>
          <w:spacing w:val="-7"/>
          <w:sz w:val="18"/>
        </w:rPr>
        <w:t> </w:t>
      </w:r>
      <w:r>
        <w:rPr>
          <w:rFonts w:ascii="Arial"/>
          <w:i/>
          <w:w w:val="84"/>
          <w:sz w:val="16"/>
        </w:rPr>
        <w:t>"F</w:t>
      </w:r>
      <w:r>
        <w:rPr>
          <w:rFonts w:ascii="Arial"/>
          <w:i/>
          <w:spacing w:val="15"/>
          <w:sz w:val="16"/>
        </w:rPr>
        <w:t> </w:t>
      </w:r>
      <w:r>
        <w:rPr>
          <w:i/>
          <w:w w:val="117"/>
          <w:sz w:val="16"/>
        </w:rPr>
        <w:t>y,</w:t>
      </w:r>
      <w:r>
        <w:rPr>
          <w:i/>
          <w:spacing w:val="16"/>
          <w:sz w:val="16"/>
        </w:rPr>
        <w:t> </w:t>
      </w:r>
      <w:r>
        <w:rPr>
          <w:w w:val="104"/>
          <w:sz w:val="17"/>
        </w:rPr>
        <w:t>show</w:t>
      </w:r>
      <w:r>
        <w:rPr>
          <w:spacing w:val="5"/>
          <w:sz w:val="17"/>
        </w:rPr>
        <w:t> </w:t>
      </w:r>
      <w:r>
        <w:rPr>
          <w:w w:val="123"/>
          <w:sz w:val="17"/>
        </w:rPr>
        <w:t>that</w:t>
      </w:r>
      <w:r>
        <w:rPr>
          <w:sz w:val="17"/>
        </w:rPr>
        <w:t> </w:t>
      </w:r>
      <w:r>
        <w:rPr>
          <w:spacing w:val="-9"/>
          <w:sz w:val="17"/>
        </w:rPr>
        <w:t> </w:t>
      </w:r>
      <w:r>
        <w:rPr>
          <w:rFonts w:ascii="Arial"/>
          <w:i/>
          <w:spacing w:val="-27"/>
          <w:w w:val="140"/>
          <w:sz w:val="15"/>
        </w:rPr>
        <w:t>,</w:t>
      </w:r>
      <w:r>
        <w:rPr>
          <w:rFonts w:ascii="Arial"/>
          <w:i/>
          <w:w w:val="103"/>
          <w:sz w:val="15"/>
        </w:rPr>
        <w:t>p,.</w:t>
      </w:r>
      <w:r>
        <w:rPr>
          <w:rFonts w:ascii="Arial"/>
          <w:i/>
          <w:spacing w:val="4"/>
          <w:sz w:val="15"/>
        </w:rPr>
        <w:t> </w:t>
      </w:r>
      <w:r>
        <w:rPr>
          <w:w w:val="105"/>
          <w:sz w:val="24"/>
        </w:rPr>
        <w:t>+</w:t>
      </w:r>
      <w:r>
        <w:rPr>
          <w:spacing w:val="12"/>
          <w:sz w:val="24"/>
        </w:rPr>
        <w:t> </w:t>
      </w:r>
      <w:r>
        <w:rPr>
          <w:rFonts w:ascii="Arial"/>
          <w:i/>
          <w:spacing w:val="-36"/>
          <w:w w:val="171"/>
          <w:sz w:val="15"/>
        </w:rPr>
        <w:t>,</w:t>
      </w:r>
      <w:r>
        <w:rPr>
          <w:rFonts w:ascii="Arial"/>
          <w:i/>
          <w:spacing w:val="3"/>
          <w:w w:val="111"/>
          <w:sz w:val="15"/>
        </w:rPr>
        <w:t>p</w:t>
      </w:r>
      <w:r>
        <w:rPr>
          <w:rFonts w:ascii="Arial"/>
          <w:i/>
          <w:w w:val="62"/>
          <w:position w:val="-2"/>
          <w:sz w:val="10"/>
        </w:rPr>
        <w:t>11</w:t>
      </w:r>
      <w:r>
        <w:rPr>
          <w:rFonts w:ascii="Arial"/>
          <w:i/>
          <w:position w:val="-2"/>
          <w:sz w:val="10"/>
        </w:rPr>
        <w:t> </w:t>
      </w:r>
      <w:r>
        <w:rPr>
          <w:rFonts w:ascii="Arial"/>
          <w:i/>
          <w:spacing w:val="3"/>
          <w:position w:val="-2"/>
          <w:sz w:val="10"/>
        </w:rPr>
        <w:t> </w:t>
      </w:r>
      <w:r>
        <w:rPr>
          <w:w w:val="95"/>
          <w:sz w:val="23"/>
        </w:rPr>
        <w:t>&gt;</w:t>
      </w:r>
      <w:r>
        <w:rPr>
          <w:spacing w:val="9"/>
          <w:sz w:val="23"/>
        </w:rPr>
        <w:t> </w:t>
      </w:r>
      <w:r>
        <w:rPr>
          <w:w w:val="93"/>
          <w:sz w:val="17"/>
        </w:rPr>
        <w:t>2c</w:t>
      </w:r>
      <w:r>
        <w:rPr>
          <w:spacing w:val="-8"/>
          <w:w w:val="93"/>
          <w:sz w:val="17"/>
        </w:rPr>
        <w:t>p</w:t>
      </w:r>
      <w:r>
        <w:rPr>
          <w:spacing w:val="-39"/>
          <w:w w:val="429"/>
          <w:sz w:val="17"/>
        </w:rPr>
        <w:t>.</w:t>
      </w:r>
      <w:r>
        <w:rPr>
          <w:w w:val="143"/>
          <w:sz w:val="17"/>
        </w:rPr>
        <w:t>,</w:t>
      </w:r>
      <w:r>
        <w:rPr>
          <w:spacing w:val="-10"/>
          <w:sz w:val="17"/>
        </w:rPr>
        <w:t> </w:t>
      </w:r>
      <w:r>
        <w:rPr>
          <w:w w:val="111"/>
          <w:sz w:val="17"/>
        </w:rPr>
        <w:t>and</w:t>
      </w:r>
      <w:r>
        <w:rPr>
          <w:spacing w:val="10"/>
          <w:sz w:val="17"/>
        </w:rPr>
        <w:t> </w:t>
      </w:r>
      <w:r>
        <w:rPr>
          <w:w w:val="107"/>
          <w:sz w:val="17"/>
        </w:rPr>
        <w:t>hence</w:t>
      </w:r>
      <w:r>
        <w:rPr>
          <w:spacing w:val="8"/>
          <w:sz w:val="17"/>
        </w:rPr>
        <w:t> </w:t>
      </w:r>
      <w:r>
        <w:rPr>
          <w:w w:val="123"/>
          <w:sz w:val="17"/>
        </w:rPr>
        <w:t>that</w:t>
      </w:r>
      <w:r>
        <w:rPr>
          <w:spacing w:val="16"/>
          <w:sz w:val="17"/>
        </w:rPr>
        <w:t> </w:t>
      </w:r>
      <w:r>
        <w:rPr>
          <w:rFonts w:ascii="Arial"/>
          <w:i/>
          <w:w w:val="95"/>
          <w:sz w:val="22"/>
        </w:rPr>
        <w:t>a..</w:t>
      </w:r>
      <w:r>
        <w:rPr>
          <w:rFonts w:ascii="Arial"/>
          <w:i/>
          <w:spacing w:val="-30"/>
          <w:sz w:val="22"/>
        </w:rPr>
        <w:t> </w:t>
      </w:r>
      <w:r>
        <w:rPr>
          <w:w w:val="92"/>
          <w:sz w:val="23"/>
        </w:rPr>
        <w:t>&gt;</w:t>
      </w:r>
      <w:r>
        <w:rPr>
          <w:spacing w:val="9"/>
          <w:sz w:val="23"/>
        </w:rPr>
        <w:t> </w:t>
      </w:r>
      <w:r>
        <w:rPr>
          <w:i/>
          <w:w w:val="178"/>
          <w:sz w:val="18"/>
        </w:rPr>
        <w:t>a</w:t>
      </w:r>
      <w:r>
        <w:rPr>
          <w:i/>
          <w:w w:val="178"/>
          <w:sz w:val="18"/>
          <w:u w:val="single"/>
        </w:rPr>
        <w:t>-</w:t>
      </w:r>
      <w:r>
        <w:rPr>
          <w:i/>
          <w:spacing w:val="4"/>
          <w:sz w:val="18"/>
        </w:rPr>
        <w:t> </w:t>
      </w:r>
      <w:r>
        <w:rPr>
          <w:w w:val="128"/>
          <w:sz w:val="18"/>
        </w:rPr>
        <w:t>.</w:t>
      </w:r>
    </w:p>
    <w:p>
      <w:pPr>
        <w:pStyle w:val="ListParagraph"/>
        <w:numPr>
          <w:ilvl w:val="0"/>
          <w:numId w:val="98"/>
        </w:numPr>
        <w:tabs>
          <w:tab w:pos="494" w:val="left" w:leader="none"/>
        </w:tabs>
        <w:spacing w:line="222" w:lineRule="exact" w:before="0" w:after="0"/>
        <w:ind w:left="494" w:right="0" w:hanging="209"/>
        <w:jc w:val="left"/>
        <w:rPr>
          <w:sz w:val="17"/>
        </w:rPr>
      </w:pPr>
      <w:r>
        <w:rPr>
          <w:w w:val="105"/>
          <w:sz w:val="17"/>
        </w:rPr>
        <w:t>Given  </w:t>
      </w:r>
      <w:r>
        <w:rPr>
          <w:rFonts w:ascii="Arial"/>
          <w:i/>
          <w:sz w:val="14"/>
        </w:rPr>
        <w:t>&lt;iz</w:t>
      </w:r>
      <w:r>
        <w:rPr>
          <w:rFonts w:ascii="Arial"/>
          <w:i/>
          <w:position w:val="-2"/>
          <w:sz w:val="9"/>
        </w:rPr>
        <w:t>11   </w:t>
      </w:r>
      <w:r>
        <w:rPr>
          <w:w w:val="105"/>
          <w:sz w:val="23"/>
        </w:rPr>
        <w:t>= </w:t>
      </w:r>
      <w:r>
        <w:rPr>
          <w:b/>
          <w:i/>
          <w:w w:val="105"/>
          <w:sz w:val="21"/>
        </w:rPr>
        <w:t>a.. </w:t>
      </w:r>
      <w:r>
        <w:rPr>
          <w:w w:val="105"/>
          <w:sz w:val="17"/>
        </w:rPr>
        <w:t>on  a Makehamized  mortality  table,  and  </w:t>
      </w:r>
      <w:r>
        <w:rPr>
          <w:rFonts w:ascii="Arial"/>
          <w:i/>
          <w:w w:val="105"/>
          <w:sz w:val="15"/>
        </w:rPr>
        <w:t>y  </w:t>
      </w:r>
      <w:r>
        <w:rPr>
          <w:rFonts w:ascii="Arial"/>
          <w:w w:val="105"/>
          <w:sz w:val="22"/>
        </w:rPr>
        <w:t>&lt; </w:t>
      </w:r>
      <w:r>
        <w:rPr>
          <w:i/>
          <w:w w:val="105"/>
          <w:sz w:val="18"/>
        </w:rPr>
        <w:t>x.</w:t>
      </w:r>
      <w:r>
        <w:rPr>
          <w:i/>
          <w:spacing w:val="11"/>
          <w:w w:val="105"/>
          <w:sz w:val="18"/>
        </w:rPr>
        <w:t> </w:t>
      </w:r>
      <w:r>
        <w:rPr>
          <w:w w:val="105"/>
          <w:sz w:val="17"/>
        </w:rPr>
        <w:t>Rank</w:t>
      </w:r>
    </w:p>
    <w:p>
      <w:pPr>
        <w:tabs>
          <w:tab w:pos="3910" w:val="left" w:leader="none"/>
        </w:tabs>
        <w:spacing w:line="212" w:lineRule="exact" w:before="0"/>
        <w:ind w:left="126" w:right="0" w:firstLine="0"/>
        <w:jc w:val="left"/>
        <w:rPr>
          <w:rFonts w:ascii="Arial"/>
          <w:sz w:val="17"/>
        </w:rPr>
      </w:pPr>
      <w:r>
        <w:rPr>
          <w:w w:val="117"/>
          <w:sz w:val="17"/>
        </w:rPr>
        <w:t>the</w:t>
      </w:r>
      <w:r>
        <w:rPr>
          <w:spacing w:val="15"/>
          <w:sz w:val="17"/>
        </w:rPr>
        <w:t> </w:t>
      </w:r>
      <w:r>
        <w:rPr>
          <w:w w:val="106"/>
          <w:sz w:val="17"/>
        </w:rPr>
        <w:t>following</w:t>
      </w:r>
      <w:r>
        <w:rPr>
          <w:spacing w:val="10"/>
          <w:sz w:val="17"/>
        </w:rPr>
        <w:t> </w:t>
      </w:r>
      <w:r>
        <w:rPr>
          <w:w w:val="114"/>
          <w:sz w:val="17"/>
        </w:rPr>
        <w:t>in</w:t>
      </w:r>
      <w:r>
        <w:rPr>
          <w:spacing w:val="14"/>
          <w:sz w:val="17"/>
        </w:rPr>
        <w:t> </w:t>
      </w:r>
      <w:r>
        <w:rPr>
          <w:w w:val="109"/>
          <w:sz w:val="17"/>
        </w:rPr>
        <w:t>order</w:t>
      </w:r>
      <w:r>
        <w:rPr>
          <w:sz w:val="17"/>
        </w:rPr>
        <w:t> </w:t>
      </w:r>
      <w:r>
        <w:rPr>
          <w:spacing w:val="-19"/>
          <w:sz w:val="17"/>
        </w:rPr>
        <w:t> </w:t>
      </w:r>
      <w:r>
        <w:rPr>
          <w:w w:val="91"/>
          <w:sz w:val="17"/>
        </w:rPr>
        <w:t>of</w:t>
      </w:r>
      <w:r>
        <w:rPr>
          <w:sz w:val="17"/>
        </w:rPr>
        <w:t> </w:t>
      </w:r>
      <w:r>
        <w:rPr>
          <w:spacing w:val="-11"/>
          <w:sz w:val="17"/>
        </w:rPr>
        <w:t> </w:t>
      </w:r>
      <w:r>
        <w:rPr>
          <w:w w:val="112"/>
          <w:sz w:val="17"/>
        </w:rPr>
        <w:t>magnitude:</w:t>
      </w:r>
      <w:r>
        <w:rPr>
          <w:sz w:val="17"/>
        </w:rPr>
        <w:t> </w:t>
      </w:r>
      <w:r>
        <w:rPr>
          <w:spacing w:val="-20"/>
          <w:sz w:val="17"/>
        </w:rPr>
        <w:t> </w:t>
      </w:r>
      <w:r>
        <w:rPr>
          <w:i/>
          <w:spacing w:val="4"/>
          <w:w w:val="101"/>
          <w:sz w:val="17"/>
        </w:rPr>
        <w:t>a</w:t>
      </w:r>
      <w:r>
        <w:rPr>
          <w:rFonts w:ascii="Arial"/>
          <w:i/>
          <w:w w:val="58"/>
          <w:position w:val="-2"/>
          <w:sz w:val="10"/>
        </w:rPr>
        <w:t>11</w:t>
      </w:r>
      <w:r>
        <w:rPr>
          <w:rFonts w:ascii="Arial"/>
          <w:i/>
          <w:position w:val="-2"/>
          <w:sz w:val="10"/>
        </w:rPr>
        <w:t> </w:t>
      </w:r>
      <w:r>
        <w:rPr>
          <w:rFonts w:ascii="Arial"/>
          <w:i/>
          <w:spacing w:val="8"/>
          <w:position w:val="-2"/>
          <w:sz w:val="10"/>
        </w:rPr>
        <w:t> </w:t>
      </w:r>
      <w:r>
        <w:rPr>
          <w:rFonts w:ascii="Arial"/>
          <w:spacing w:val="9"/>
          <w:w w:val="303"/>
          <w:sz w:val="10"/>
        </w:rPr>
        <w:t>,</w:t>
      </w:r>
      <w:r>
        <w:rPr>
          <w:i/>
          <w:w w:val="106"/>
          <w:sz w:val="17"/>
        </w:rPr>
        <w:t>a.,</w:t>
      </w:r>
      <w:r>
        <w:rPr>
          <w:i/>
          <w:spacing w:val="7"/>
          <w:sz w:val="17"/>
        </w:rPr>
        <w:t> </w:t>
      </w:r>
      <w:r>
        <w:rPr>
          <w:w w:val="114"/>
          <w:sz w:val="17"/>
        </w:rPr>
        <w:t>,</w:t>
      </w:r>
      <w:r>
        <w:rPr>
          <w:sz w:val="17"/>
        </w:rPr>
        <w:tab/>
      </w:r>
      <w:r>
        <w:rPr>
          <w:w w:val="114"/>
          <w:sz w:val="17"/>
        </w:rPr>
        <w:t>,</w:t>
      </w:r>
      <w:r>
        <w:rPr>
          <w:spacing w:val="2"/>
          <w:sz w:val="17"/>
        </w:rPr>
        <w:t> </w:t>
      </w:r>
      <w:r>
        <w:rPr>
          <w:rFonts w:ascii="Arial"/>
          <w:b/>
          <w:i/>
          <w:w w:val="148"/>
          <w:sz w:val="18"/>
        </w:rPr>
        <w:t>a-</w:t>
      </w:r>
      <w:r>
        <w:rPr>
          <w:rFonts w:ascii="Arial"/>
          <w:b/>
          <w:i/>
          <w:spacing w:val="10"/>
          <w:sz w:val="18"/>
        </w:rPr>
        <w:t> </w:t>
      </w:r>
      <w:r>
        <w:rPr>
          <w:rFonts w:ascii="Arial"/>
          <w:b/>
          <w:i/>
          <w:w w:val="76"/>
          <w:sz w:val="18"/>
        </w:rPr>
        <w:t>,</w:t>
      </w:r>
      <w:r>
        <w:rPr>
          <w:rFonts w:ascii="Arial"/>
          <w:b/>
          <w:i/>
          <w:spacing w:val="8"/>
          <w:sz w:val="18"/>
        </w:rPr>
        <w:t> </w:t>
      </w:r>
      <w:r>
        <w:rPr>
          <w:b/>
          <w:i/>
          <w:w w:val="100"/>
          <w:sz w:val="18"/>
        </w:rPr>
        <w:t>a;;</w:t>
      </w:r>
      <w:r>
        <w:rPr>
          <w:b/>
          <w:i/>
          <w:spacing w:val="5"/>
          <w:sz w:val="18"/>
        </w:rPr>
        <w:t> </w:t>
      </w:r>
      <w:r>
        <w:rPr>
          <w:b/>
          <w:i/>
          <w:w w:val="96"/>
          <w:sz w:val="18"/>
        </w:rPr>
        <w:t>,</w:t>
      </w:r>
      <w:r>
        <w:rPr>
          <w:b/>
          <w:i/>
          <w:spacing w:val="12"/>
          <w:sz w:val="18"/>
        </w:rPr>
        <w:t> </w:t>
      </w:r>
      <w:r>
        <w:rPr>
          <w:rFonts w:ascii="Arial"/>
          <w:i/>
          <w:w w:val="108"/>
          <w:sz w:val="17"/>
        </w:rPr>
        <w:t>a;;</w:t>
      </w:r>
      <w:r>
        <w:rPr>
          <w:rFonts w:ascii="Arial"/>
          <w:i/>
          <w:spacing w:val="17"/>
          <w:sz w:val="17"/>
        </w:rPr>
        <w:t> </w:t>
      </w:r>
      <w:r>
        <w:rPr>
          <w:rFonts w:ascii="Arial"/>
          <w:w w:val="124"/>
          <w:sz w:val="17"/>
        </w:rPr>
        <w:t>.</w:t>
      </w:r>
    </w:p>
    <w:p>
      <w:pPr>
        <w:pStyle w:val="BodyText"/>
        <w:spacing w:before="9"/>
        <w:rPr>
          <w:rFonts w:ascii="Arial"/>
          <w:sz w:val="16"/>
        </w:rPr>
      </w:pPr>
    </w:p>
    <w:p>
      <w:pPr>
        <w:pStyle w:val="ListParagraph"/>
        <w:numPr>
          <w:ilvl w:val="0"/>
          <w:numId w:val="99"/>
        </w:numPr>
        <w:tabs>
          <w:tab w:pos="329" w:val="left" w:leader="none"/>
        </w:tabs>
        <w:spacing w:line="240" w:lineRule="auto" w:before="0" w:after="0"/>
        <w:ind w:left="328" w:right="0" w:hanging="209"/>
        <w:jc w:val="left"/>
        <w:rPr>
          <w:b/>
          <w:sz w:val="17"/>
        </w:rPr>
      </w:pPr>
      <w:r>
        <w:rPr>
          <w:b/>
          <w:w w:val="120"/>
          <w:sz w:val="17"/>
        </w:rPr>
        <w:t>Compound</w:t>
      </w:r>
      <w:r>
        <w:rPr>
          <w:b/>
          <w:spacing w:val="-7"/>
          <w:w w:val="120"/>
          <w:sz w:val="17"/>
        </w:rPr>
        <w:t> </w:t>
      </w:r>
      <w:r>
        <w:rPr>
          <w:b/>
          <w:w w:val="120"/>
          <w:sz w:val="17"/>
        </w:rPr>
        <w:t>statuses</w:t>
      </w:r>
    </w:p>
    <w:p>
      <w:pPr>
        <w:pStyle w:val="ListParagraph"/>
        <w:numPr>
          <w:ilvl w:val="1"/>
          <w:numId w:val="99"/>
        </w:numPr>
        <w:tabs>
          <w:tab w:pos="487" w:val="left" w:leader="none"/>
        </w:tabs>
        <w:spacing w:line="210" w:lineRule="exact" w:before="42" w:after="0"/>
        <w:ind w:left="119" w:right="0" w:firstLine="159"/>
        <w:jc w:val="left"/>
        <w:rPr>
          <w:sz w:val="18"/>
        </w:rPr>
      </w:pPr>
      <w:r>
        <w:rPr>
          <w:w w:val="109"/>
          <w:sz w:val="17"/>
        </w:rPr>
        <w:t>Describe</w:t>
      </w:r>
      <w:r>
        <w:rPr>
          <w:sz w:val="17"/>
        </w:rPr>
        <w:t> </w:t>
      </w:r>
      <w:r>
        <w:rPr>
          <w:spacing w:val="-11"/>
          <w:sz w:val="17"/>
        </w:rPr>
        <w:t> </w:t>
      </w:r>
      <w:r>
        <w:rPr>
          <w:w w:val="115"/>
          <w:sz w:val="17"/>
        </w:rPr>
        <w:t>the</w:t>
      </w:r>
      <w:r>
        <w:rPr>
          <w:sz w:val="17"/>
        </w:rPr>
        <w:t> </w:t>
      </w:r>
      <w:r>
        <w:rPr>
          <w:spacing w:val="-13"/>
          <w:sz w:val="17"/>
        </w:rPr>
        <w:t> </w:t>
      </w:r>
      <w:r>
        <w:rPr>
          <w:w w:val="105"/>
          <w:sz w:val="17"/>
        </w:rPr>
        <w:t>benefit</w:t>
      </w:r>
      <w:r>
        <w:rPr>
          <w:sz w:val="17"/>
        </w:rPr>
        <w:t> </w:t>
      </w:r>
      <w:r>
        <w:rPr>
          <w:spacing w:val="9"/>
          <w:sz w:val="17"/>
        </w:rPr>
        <w:t> </w:t>
      </w:r>
      <w:r>
        <w:rPr>
          <w:w w:val="102"/>
          <w:sz w:val="17"/>
        </w:rPr>
        <w:t>whose</w:t>
      </w:r>
      <w:r>
        <w:rPr>
          <w:sz w:val="17"/>
        </w:rPr>
        <w:t> </w:t>
      </w:r>
      <w:r>
        <w:rPr>
          <w:spacing w:val="-3"/>
          <w:sz w:val="17"/>
        </w:rPr>
        <w:t> </w:t>
      </w:r>
      <w:r>
        <w:rPr>
          <w:w w:val="110"/>
          <w:sz w:val="17"/>
        </w:rPr>
        <w:t>net</w:t>
      </w:r>
      <w:r>
        <w:rPr>
          <w:sz w:val="17"/>
        </w:rPr>
        <w:t> </w:t>
      </w:r>
      <w:r>
        <w:rPr>
          <w:spacing w:val="-2"/>
          <w:sz w:val="17"/>
        </w:rPr>
        <w:t> </w:t>
      </w:r>
      <w:r>
        <w:rPr>
          <w:w w:val="106"/>
          <w:sz w:val="17"/>
        </w:rPr>
        <w:t>single</w:t>
      </w:r>
      <w:r>
        <w:rPr>
          <w:sz w:val="17"/>
        </w:rPr>
        <w:t> </w:t>
      </w:r>
      <w:r>
        <w:rPr>
          <w:spacing w:val="-15"/>
          <w:sz w:val="17"/>
        </w:rPr>
        <w:t> </w:t>
      </w:r>
      <w:r>
        <w:rPr>
          <w:w w:val="107"/>
          <w:sz w:val="17"/>
        </w:rPr>
        <w:t>premium</w:t>
      </w:r>
      <w:r>
        <w:rPr>
          <w:sz w:val="17"/>
        </w:rPr>
        <w:t> </w:t>
      </w:r>
      <w:r>
        <w:rPr>
          <w:spacing w:val="5"/>
          <w:sz w:val="17"/>
        </w:rPr>
        <w:t> </w:t>
      </w:r>
      <w:r>
        <w:rPr>
          <w:w w:val="106"/>
          <w:sz w:val="17"/>
        </w:rPr>
        <w:t>is</w:t>
      </w:r>
      <w:r>
        <w:rPr>
          <w:sz w:val="17"/>
        </w:rPr>
        <w:t> </w:t>
      </w:r>
      <w:r>
        <w:rPr>
          <w:spacing w:val="-9"/>
          <w:sz w:val="17"/>
        </w:rPr>
        <w:t> </w:t>
      </w:r>
      <w:r>
        <w:rPr>
          <w:w w:val="108"/>
          <w:sz w:val="17"/>
        </w:rPr>
        <w:t>denoted</w:t>
      </w:r>
      <w:r>
        <w:rPr>
          <w:sz w:val="17"/>
        </w:rPr>
        <w:t>  </w:t>
      </w:r>
      <w:r>
        <w:rPr>
          <w:spacing w:val="-19"/>
          <w:sz w:val="17"/>
        </w:rPr>
        <w:t> </w:t>
      </w:r>
      <w:r>
        <w:rPr>
          <w:w w:val="108"/>
          <w:sz w:val="17"/>
        </w:rPr>
        <w:t>by</w:t>
      </w:r>
      <w:r>
        <w:rPr>
          <w:sz w:val="17"/>
        </w:rPr>
        <w:t> </w:t>
      </w:r>
      <w:r>
        <w:rPr>
          <w:spacing w:val="-10"/>
          <w:sz w:val="17"/>
        </w:rPr>
        <w:t> </w:t>
      </w:r>
      <w:r>
        <w:rPr>
          <w:rFonts w:ascii="Arial" w:hAnsi="Arial"/>
          <w:i/>
          <w:w w:val="100"/>
          <w:sz w:val="17"/>
        </w:rPr>
        <w:t>A</w:t>
      </w:r>
      <w:r>
        <w:rPr>
          <w:rFonts w:ascii="Arial" w:hAnsi="Arial"/>
          <w:i/>
          <w:spacing w:val="4"/>
          <w:sz w:val="17"/>
        </w:rPr>
        <w:t> </w:t>
      </w:r>
      <w:r>
        <w:rPr>
          <w:w w:val="55"/>
          <w:sz w:val="22"/>
          <w:u w:val="thick"/>
        </w:rPr>
        <w:t>s:</w:t>
      </w:r>
      <w:r>
        <w:rPr>
          <w:spacing w:val="-42"/>
          <w:w w:val="55"/>
          <w:sz w:val="22"/>
          <w:u w:val="thick"/>
        </w:rPr>
        <w:t>w</w:t>
      </w:r>
      <w:r>
        <w:rPr>
          <w:w w:val="156"/>
          <w:sz w:val="22"/>
          <w:u w:val="thick"/>
        </w:rPr>
        <w:t>l</w:t>
      </w:r>
      <w:r>
        <w:rPr>
          <w:spacing w:val="-7"/>
          <w:sz w:val="22"/>
        </w:rPr>
        <w:t> </w:t>
      </w:r>
      <w:r>
        <w:rPr>
          <w:w w:val="57"/>
          <w:sz w:val="22"/>
        </w:rPr>
        <w:t>•</w:t>
      </w:r>
    </w:p>
    <w:p>
      <w:pPr>
        <w:spacing w:line="248" w:lineRule="exact" w:before="0"/>
        <w:ind w:left="126" w:right="0" w:firstLine="0"/>
        <w:jc w:val="left"/>
        <w:rPr>
          <w:i/>
          <w:sz w:val="8"/>
        </w:rPr>
      </w:pPr>
      <w:r>
        <w:rPr/>
        <w:pict>
          <v:line style="position:absolute;mso-position-horizontal-relative:page;mso-position-vertical-relative:paragraph;z-index:-718360" from="87.120003pt,10.217223pt" to="89.820003pt,10.217223pt" stroked="true" strokeweight=".36pt" strokecolor="#000000">
            <w10:wrap type="none"/>
          </v:line>
        </w:pict>
      </w:r>
      <w:r>
        <w:rPr>
          <w:w w:val="103"/>
          <w:sz w:val="17"/>
        </w:rPr>
        <w:t>Show</w:t>
      </w:r>
      <w:r>
        <w:rPr>
          <w:spacing w:val="15"/>
          <w:sz w:val="17"/>
        </w:rPr>
        <w:t> </w:t>
      </w:r>
      <w:r>
        <w:rPr>
          <w:w w:val="125"/>
          <w:sz w:val="17"/>
        </w:rPr>
        <w:t>that</w:t>
      </w:r>
      <w:r>
        <w:rPr>
          <w:spacing w:val="18"/>
          <w:sz w:val="17"/>
        </w:rPr>
        <w:t> </w:t>
      </w:r>
      <w:r>
        <w:rPr>
          <w:b/>
          <w:w w:val="126"/>
          <w:sz w:val="14"/>
        </w:rPr>
        <w:t>As:i</w:t>
      </w:r>
      <w:r>
        <w:rPr>
          <w:b/>
          <w:w w:val="126"/>
          <w:sz w:val="14"/>
        </w:rPr>
        <w:t>)</w:t>
      </w:r>
      <w:r>
        <w:rPr>
          <w:b/>
          <w:sz w:val="14"/>
        </w:rPr>
        <w:t>  </w:t>
      </w:r>
      <w:r>
        <w:rPr>
          <w:b/>
          <w:spacing w:val="-10"/>
          <w:sz w:val="14"/>
        </w:rPr>
        <w:t> </w:t>
      </w:r>
      <w:r>
        <w:rPr>
          <w:w w:val="83"/>
          <w:sz w:val="23"/>
        </w:rPr>
        <w:t>=</w:t>
      </w:r>
      <w:r>
        <w:rPr>
          <w:spacing w:val="24"/>
          <w:sz w:val="23"/>
        </w:rPr>
        <w:t> </w:t>
      </w:r>
      <w:r>
        <w:rPr>
          <w:i/>
          <w:w w:val="136"/>
          <w:sz w:val="18"/>
        </w:rPr>
        <w:t>A.</w:t>
      </w:r>
      <w:r>
        <w:rPr>
          <w:i/>
          <w:spacing w:val="20"/>
          <w:sz w:val="18"/>
        </w:rPr>
        <w:t> </w:t>
      </w:r>
      <w:r>
        <w:rPr>
          <w:w w:val="266"/>
          <w:sz w:val="18"/>
        </w:rPr>
        <w:t>-</w:t>
      </w:r>
      <w:r>
        <w:rPr>
          <w:spacing w:val="-4"/>
          <w:sz w:val="18"/>
        </w:rPr>
        <w:t> </w:t>
      </w:r>
      <w:r>
        <w:rPr>
          <w:w w:val="130"/>
          <w:sz w:val="14"/>
        </w:rPr>
        <w:t>Ás</w:t>
      </w:r>
      <w:r>
        <w:rPr>
          <w:spacing w:val="-17"/>
          <w:w w:val="130"/>
          <w:sz w:val="14"/>
        </w:rPr>
        <w:t>:</w:t>
      </w:r>
      <w:r>
        <w:rPr>
          <w:w w:val="123"/>
          <w:sz w:val="14"/>
        </w:rPr>
        <w:t>'il</w:t>
      </w:r>
      <w:r>
        <w:rPr>
          <w:sz w:val="14"/>
        </w:rPr>
        <w:t> </w:t>
      </w:r>
      <w:r>
        <w:rPr>
          <w:spacing w:val="4"/>
          <w:sz w:val="14"/>
        </w:rPr>
        <w:t> </w:t>
      </w:r>
      <w:r>
        <w:rPr>
          <w:rFonts w:ascii="Arial" w:hAnsi="Arial"/>
          <w:w w:val="105"/>
          <w:sz w:val="26"/>
        </w:rPr>
        <w:t>+</w:t>
      </w:r>
      <w:r>
        <w:rPr>
          <w:rFonts w:ascii="Arial" w:hAnsi="Arial"/>
          <w:spacing w:val="-17"/>
          <w:sz w:val="26"/>
        </w:rPr>
        <w:t> </w:t>
      </w:r>
      <w:r>
        <w:rPr>
          <w:i/>
          <w:w w:val="65"/>
          <w:sz w:val="12"/>
        </w:rPr>
        <w:t>1</w:t>
      </w:r>
      <w:r>
        <w:rPr>
          <w:i/>
          <w:spacing w:val="-10"/>
          <w:w w:val="65"/>
          <w:sz w:val="12"/>
        </w:rPr>
        <w:t>1</w:t>
      </w:r>
      <w:r>
        <w:rPr>
          <w:i/>
          <w:w w:val="98"/>
          <w:position w:val="5"/>
          <w:sz w:val="8"/>
        </w:rPr>
        <w:t>1</w:t>
      </w:r>
      <w:r>
        <w:rPr>
          <w:i/>
          <w:spacing w:val="4"/>
          <w:w w:val="98"/>
          <w:position w:val="5"/>
          <w:sz w:val="8"/>
        </w:rPr>
        <w:t>1</w:t>
      </w:r>
      <w:r>
        <w:rPr>
          <w:i/>
          <w:w w:val="144"/>
          <w:sz w:val="8"/>
        </w:rPr>
        <w:t>•</w:t>
      </w:r>
    </w:p>
    <w:p>
      <w:pPr>
        <w:pStyle w:val="ListParagraph"/>
        <w:numPr>
          <w:ilvl w:val="1"/>
          <w:numId w:val="99"/>
        </w:numPr>
        <w:tabs>
          <w:tab w:pos="491" w:val="left" w:leader="none"/>
        </w:tabs>
        <w:spacing w:line="188" w:lineRule="exact" w:before="0" w:after="0"/>
        <w:ind w:left="490" w:right="0" w:hanging="209"/>
        <w:jc w:val="left"/>
        <w:rPr>
          <w:sz w:val="17"/>
        </w:rPr>
      </w:pPr>
      <w:r>
        <w:rPr>
          <w:w w:val="105"/>
          <w:sz w:val="17"/>
        </w:rPr>
        <w:t>Show</w:t>
      </w:r>
      <w:r>
        <w:rPr>
          <w:spacing w:val="17"/>
          <w:w w:val="105"/>
          <w:sz w:val="17"/>
        </w:rPr>
        <w:t> </w:t>
      </w:r>
      <w:r>
        <w:rPr>
          <w:w w:val="105"/>
          <w:sz w:val="17"/>
        </w:rPr>
        <w:t>tha.t</w:t>
      </w:r>
    </w:p>
    <w:p>
      <w:pPr>
        <w:spacing w:before="61"/>
        <w:ind w:left="42" w:right="87" w:firstLine="0"/>
        <w:jc w:val="center"/>
        <w:rPr>
          <w:sz w:val="19"/>
        </w:rPr>
      </w:pPr>
      <w:r>
        <w:rPr/>
        <w:pict>
          <v:line style="position:absolute;mso-position-horizontal-relative:page;mso-position-vertical-relative:paragraph;z-index:-718336" from="221.940002pt,15.42384pt" to="223.920002pt,15.42384pt" stroked="true" strokeweight=".36pt" strokecolor="#000000">
            <w10:wrap type="none"/>
          </v:line>
        </w:pict>
      </w:r>
      <w:r>
        <w:rPr>
          <w:rFonts w:ascii="Arial" w:hAnsi="Arial"/>
          <w:b/>
          <w:w w:val="135"/>
          <w:sz w:val="18"/>
        </w:rPr>
        <w:t>a.:;. </w:t>
      </w:r>
      <w:r>
        <w:rPr>
          <w:w w:val="110"/>
          <w:sz w:val="23"/>
        </w:rPr>
        <w:t>= </w:t>
      </w:r>
      <w:r>
        <w:rPr>
          <w:b/>
          <w:i/>
          <w:w w:val="160"/>
          <w:sz w:val="16"/>
        </w:rPr>
        <w:t>a; </w:t>
      </w:r>
      <w:r>
        <w:rPr>
          <w:rFonts w:ascii="Arial" w:hAnsi="Arial"/>
          <w:w w:val="110"/>
          <w:sz w:val="26"/>
        </w:rPr>
        <w:t>+ </w:t>
      </w:r>
      <w:r>
        <w:rPr>
          <w:rFonts w:ascii="Arial" w:hAnsi="Arial"/>
          <w:w w:val="135"/>
          <w:sz w:val="15"/>
        </w:rPr>
        <w:t>a¡; </w:t>
      </w:r>
      <w:r>
        <w:rPr>
          <w:rFonts w:ascii="Arial" w:hAnsi="Arial"/>
          <w:w w:val="270"/>
          <w:sz w:val="15"/>
        </w:rPr>
        <w:t>-</w:t>
      </w:r>
      <w:r>
        <w:rPr>
          <w:rFonts w:ascii="Arial" w:hAnsi="Arial"/>
          <w:spacing w:val="-61"/>
          <w:w w:val="270"/>
          <w:sz w:val="15"/>
        </w:rPr>
        <w:t> </w:t>
      </w:r>
      <w:r>
        <w:rPr>
          <w:i/>
          <w:w w:val="135"/>
          <w:sz w:val="19"/>
        </w:rPr>
        <w:t>a-.. </w:t>
      </w:r>
      <w:r>
        <w:rPr>
          <w:w w:val="160"/>
          <w:sz w:val="19"/>
        </w:rPr>
        <w:t>'</w:t>
      </w:r>
    </w:p>
    <w:p>
      <w:pPr>
        <w:spacing w:before="121"/>
        <w:ind w:left="130" w:right="0" w:firstLine="0"/>
        <w:jc w:val="left"/>
        <w:rPr>
          <w:sz w:val="17"/>
        </w:rPr>
      </w:pPr>
      <w:r>
        <w:rPr>
          <w:w w:val="110"/>
          <w:sz w:val="17"/>
        </w:rPr>
        <w:t>and explain by  general reasoning.</w:t>
      </w:r>
    </w:p>
    <w:p>
      <w:pPr>
        <w:pStyle w:val="ListParagraph"/>
        <w:numPr>
          <w:ilvl w:val="1"/>
          <w:numId w:val="99"/>
        </w:numPr>
        <w:tabs>
          <w:tab w:pos="494" w:val="left" w:leader="none"/>
        </w:tabs>
        <w:spacing w:line="240" w:lineRule="auto" w:before="9" w:after="0"/>
        <w:ind w:left="494" w:right="0" w:hanging="216"/>
        <w:jc w:val="left"/>
        <w:rPr>
          <w:sz w:val="17"/>
        </w:rPr>
      </w:pPr>
      <w:r>
        <w:rPr/>
        <w:drawing>
          <wp:anchor distT="0" distB="0" distL="0" distR="0" allowOverlap="1" layoutInCell="1" locked="0" behindDoc="0" simplePos="0" relativeHeight="17680">
            <wp:simplePos x="0" y="0"/>
            <wp:positionH relativeFrom="page">
              <wp:posOffset>1801367</wp:posOffset>
            </wp:positionH>
            <wp:positionV relativeFrom="paragraph">
              <wp:posOffset>200222</wp:posOffset>
            </wp:positionV>
            <wp:extent cx="1014983" cy="146304"/>
            <wp:effectExtent l="0" t="0" r="0" b="0"/>
            <wp:wrapTopAndBottom/>
            <wp:docPr id="473" name="image242.png" descr=""/>
            <wp:cNvGraphicFramePr>
              <a:graphicFrameLocks noChangeAspect="1"/>
            </wp:cNvGraphicFramePr>
            <a:graphic>
              <a:graphicData uri="http://schemas.openxmlformats.org/drawingml/2006/picture">
                <pic:pic>
                  <pic:nvPicPr>
                    <pic:cNvPr id="474" name="image242.png"/>
                    <pic:cNvPicPr/>
                  </pic:nvPicPr>
                  <pic:blipFill>
                    <a:blip r:embed="rId246" cstate="print"/>
                    <a:stretch>
                      <a:fillRect/>
                    </a:stretch>
                  </pic:blipFill>
                  <pic:spPr>
                    <a:xfrm>
                      <a:off x="0" y="0"/>
                      <a:ext cx="1014983" cy="146304"/>
                    </a:xfrm>
                    <a:prstGeom prst="rect">
                      <a:avLst/>
                    </a:prstGeom>
                  </pic:spPr>
                </pic:pic>
              </a:graphicData>
            </a:graphic>
          </wp:anchor>
        </w:drawing>
      </w:r>
      <w:r>
        <w:rPr>
          <w:w w:val="115"/>
          <w:sz w:val="17"/>
        </w:rPr>
        <w:t>Show</w:t>
      </w:r>
      <w:r>
        <w:rPr>
          <w:spacing w:val="-15"/>
          <w:w w:val="115"/>
          <w:sz w:val="17"/>
        </w:rPr>
        <w:t> </w:t>
      </w:r>
      <w:r>
        <w:rPr>
          <w:w w:val="115"/>
          <w:sz w:val="17"/>
        </w:rPr>
        <w:t>that</w:t>
      </w:r>
    </w:p>
    <w:p>
      <w:pPr>
        <w:spacing w:line="192" w:lineRule="exact" w:before="122"/>
        <w:ind w:left="119" w:right="0" w:firstLine="0"/>
        <w:jc w:val="left"/>
        <w:rPr>
          <w:sz w:val="17"/>
        </w:rPr>
      </w:pPr>
      <w:r>
        <w:rPr>
          <w:w w:val="110"/>
          <w:sz w:val="17"/>
        </w:rPr>
        <w:t>Describe  this benefit.</w:t>
      </w:r>
    </w:p>
    <w:p>
      <w:pPr>
        <w:pStyle w:val="ListParagraph"/>
        <w:numPr>
          <w:ilvl w:val="1"/>
          <w:numId w:val="99"/>
        </w:numPr>
        <w:tabs>
          <w:tab w:pos="566" w:val="left" w:leader="none"/>
        </w:tabs>
        <w:spacing w:line="204" w:lineRule="exact" w:before="0" w:after="0"/>
        <w:ind w:left="566" w:right="0" w:hanging="281"/>
        <w:jc w:val="left"/>
        <w:rPr>
          <w:sz w:val="17"/>
        </w:rPr>
      </w:pPr>
      <w:r>
        <w:rPr>
          <w:w w:val="110"/>
          <w:sz w:val="17"/>
        </w:rPr>
        <w:t>Express </w:t>
      </w:r>
      <w:r>
        <w:rPr>
          <w:w w:val="110"/>
          <w:sz w:val="18"/>
        </w:rPr>
        <w:t>a.,,.:;¡; </w:t>
      </w:r>
      <w:r>
        <w:rPr>
          <w:w w:val="110"/>
          <w:sz w:val="17"/>
        </w:rPr>
        <w:t>in terms of joint-life  </w:t>
      </w:r>
      <w:r>
        <w:rPr>
          <w:spacing w:val="9"/>
          <w:w w:val="110"/>
          <w:sz w:val="17"/>
        </w:rPr>
        <w:t> </w:t>
      </w:r>
      <w:r>
        <w:rPr>
          <w:w w:val="110"/>
          <w:sz w:val="17"/>
        </w:rPr>
        <w:t>annuities.</w:t>
      </w:r>
    </w:p>
    <w:p>
      <w:pPr>
        <w:pStyle w:val="ListParagraph"/>
        <w:numPr>
          <w:ilvl w:val="1"/>
          <w:numId w:val="99"/>
        </w:numPr>
        <w:tabs>
          <w:tab w:pos="570" w:val="left" w:leader="none"/>
        </w:tabs>
        <w:spacing w:line="242" w:lineRule="auto" w:before="4" w:after="0"/>
        <w:ind w:left="119" w:right="139" w:firstLine="173"/>
        <w:jc w:val="both"/>
        <w:rPr>
          <w:sz w:val="17"/>
        </w:rPr>
      </w:pPr>
      <w:r>
        <w:rPr>
          <w:w w:val="110"/>
          <w:sz w:val="17"/>
        </w:rPr>
        <w:t>Express in annuity symbols </w:t>
      </w:r>
      <w:r>
        <w:rPr>
          <w:w w:val="160"/>
          <w:sz w:val="17"/>
        </w:rPr>
        <w:t>th </w:t>
      </w:r>
      <w:r>
        <w:rPr>
          <w:w w:val="110"/>
          <w:sz w:val="17"/>
        </w:rPr>
        <w:t>value of an annuity of </w:t>
      </w:r>
      <w:r>
        <w:rPr>
          <w:w w:val="115"/>
          <w:sz w:val="17"/>
        </w:rPr>
        <w:t>1 </w:t>
      </w:r>
      <w:r>
        <w:rPr>
          <w:w w:val="110"/>
          <w:sz w:val="17"/>
        </w:rPr>
        <w:t>payable  at  the end of each year until the survivor of (25) or (30) reaches  age 50, or until  bis  death if  both lives  die before  attaining </w:t>
      </w:r>
      <w:r>
        <w:rPr>
          <w:b/>
          <w:w w:val="110"/>
          <w:sz w:val="18"/>
        </w:rPr>
        <w:t>that</w:t>
      </w:r>
      <w:r>
        <w:rPr>
          <w:b/>
          <w:spacing w:val="13"/>
          <w:w w:val="110"/>
          <w:sz w:val="18"/>
        </w:rPr>
        <w:t> </w:t>
      </w:r>
      <w:r>
        <w:rPr>
          <w:w w:val="110"/>
          <w:sz w:val="17"/>
        </w:rPr>
        <w:t>age.</w:t>
      </w:r>
    </w:p>
    <w:p>
      <w:pPr>
        <w:pStyle w:val="ListParagraph"/>
        <w:numPr>
          <w:ilvl w:val="1"/>
          <w:numId w:val="99"/>
        </w:numPr>
        <w:tabs>
          <w:tab w:pos="570" w:val="left" w:leader="none"/>
        </w:tabs>
        <w:spacing w:line="247" w:lineRule="auto" w:before="2" w:after="0"/>
        <w:ind w:left="123" w:right="147" w:firstLine="169"/>
        <w:jc w:val="left"/>
        <w:rPr>
          <w:sz w:val="17"/>
        </w:rPr>
      </w:pPr>
      <w:r>
        <w:rPr>
          <w:w w:val="110"/>
          <w:sz w:val="17"/>
        </w:rPr>
        <w:t>Express in annuity symbols the value of a deferred annuity of </w:t>
      </w:r>
      <w:r>
        <w:rPr>
          <w:spacing w:val="2"/>
          <w:w w:val="110"/>
          <w:sz w:val="17"/>
        </w:rPr>
        <w:t>1pay­ </w:t>
      </w:r>
      <w:r>
        <w:rPr>
          <w:w w:val="110"/>
          <w:sz w:val="17"/>
        </w:rPr>
        <w:t>able as long as either  (25)  or  </w:t>
      </w:r>
      <w:r>
        <w:rPr>
          <w:w w:val="110"/>
          <w:sz w:val="15"/>
        </w:rPr>
        <w:t>(30)  </w:t>
      </w:r>
      <w:r>
        <w:rPr>
          <w:w w:val="110"/>
          <w:sz w:val="17"/>
        </w:rPr>
        <w:t>is living after age</w:t>
      </w:r>
      <w:r>
        <w:rPr>
          <w:spacing w:val="40"/>
          <w:w w:val="110"/>
          <w:sz w:val="17"/>
        </w:rPr>
        <w:t> </w:t>
      </w:r>
      <w:r>
        <w:rPr>
          <w:w w:val="110"/>
          <w:sz w:val="17"/>
        </w:rPr>
        <w:t>50.</w:t>
      </w:r>
    </w:p>
    <w:p>
      <w:pPr>
        <w:pStyle w:val="ListParagraph"/>
        <w:numPr>
          <w:ilvl w:val="1"/>
          <w:numId w:val="99"/>
        </w:numPr>
        <w:tabs>
          <w:tab w:pos="570" w:val="left" w:leader="none"/>
        </w:tabs>
        <w:spacing w:line="202" w:lineRule="exact" w:before="37" w:after="0"/>
        <w:ind w:left="126" w:right="161" w:firstLine="159"/>
        <w:jc w:val="left"/>
        <w:rPr>
          <w:sz w:val="17"/>
        </w:rPr>
      </w:pPr>
      <w:r>
        <w:rPr>
          <w:w w:val="110"/>
          <w:sz w:val="17"/>
        </w:rPr>
        <w:t>Give an expression for evaluating </w:t>
      </w:r>
      <w:r>
        <w:rPr>
          <w:spacing w:val="-4"/>
          <w:w w:val="110"/>
          <w:sz w:val="18"/>
        </w:rPr>
        <w:t>a</w:t>
      </w:r>
      <w:r>
        <w:rPr>
          <w:spacing w:val="-4"/>
          <w:w w:val="110"/>
          <w:sz w:val="18"/>
          <w:u w:val="thick"/>
        </w:rPr>
        <w:t>.:</w:t>
      </w:r>
      <w:r>
        <w:rPr>
          <w:spacing w:val="-4"/>
          <w:w w:val="110"/>
          <w:position w:val="-2"/>
          <w:sz w:val="10"/>
          <w:u w:val="thick"/>
        </w:rPr>
        <w:t>11</w:t>
      </w:r>
      <w:r>
        <w:rPr>
          <w:rFonts w:ascii="Arial" w:hAnsi="Arial"/>
          <w:spacing w:val="-4"/>
          <w:w w:val="110"/>
          <w:sz w:val="13"/>
          <w:u w:val="thick"/>
        </w:rPr>
        <w:t>:ñ</w:t>
      </w:r>
      <w:r>
        <w:rPr>
          <w:rFonts w:ascii="Arial" w:hAnsi="Arial"/>
          <w:spacing w:val="-4"/>
          <w:w w:val="110"/>
          <w:sz w:val="13"/>
        </w:rPr>
        <w:t>) </w:t>
      </w:r>
      <w:r>
        <w:rPr>
          <w:w w:val="110"/>
          <w:sz w:val="17"/>
        </w:rPr>
        <w:t>in terms of annuities-certain and  single- and joint-life </w:t>
      </w:r>
      <w:r>
        <w:rPr>
          <w:spacing w:val="22"/>
          <w:w w:val="110"/>
          <w:sz w:val="17"/>
        </w:rPr>
        <w:t> </w:t>
      </w:r>
      <w:r>
        <w:rPr>
          <w:w w:val="110"/>
          <w:sz w:val="17"/>
        </w:rPr>
        <w:t>annuities.</w:t>
      </w:r>
    </w:p>
    <w:p>
      <w:pPr>
        <w:pStyle w:val="BodyText"/>
        <w:rPr>
          <w:sz w:val="18"/>
        </w:rPr>
      </w:pPr>
    </w:p>
    <w:p>
      <w:pPr>
        <w:pStyle w:val="ListParagraph"/>
        <w:numPr>
          <w:ilvl w:val="0"/>
          <w:numId w:val="100"/>
        </w:numPr>
        <w:tabs>
          <w:tab w:pos="329" w:val="left" w:leader="none"/>
        </w:tabs>
        <w:spacing w:line="240" w:lineRule="auto" w:before="0" w:after="0"/>
        <w:ind w:left="328" w:right="0" w:hanging="212"/>
        <w:jc w:val="left"/>
        <w:rPr>
          <w:b/>
          <w:sz w:val="17"/>
        </w:rPr>
      </w:pPr>
      <w:r>
        <w:rPr>
          <w:b/>
          <w:w w:val="120"/>
          <w:sz w:val="17"/>
        </w:rPr>
        <w:t>The general multi-liíe</w:t>
      </w:r>
      <w:r>
        <w:rPr>
          <w:b/>
          <w:spacing w:val="48"/>
          <w:w w:val="120"/>
          <w:sz w:val="17"/>
        </w:rPr>
        <w:t> </w:t>
      </w:r>
      <w:r>
        <w:rPr>
          <w:b/>
          <w:w w:val="120"/>
          <w:sz w:val="17"/>
        </w:rPr>
        <w:t>atatua</w:t>
      </w:r>
    </w:p>
    <w:p>
      <w:pPr>
        <w:pStyle w:val="ListParagraph"/>
        <w:numPr>
          <w:ilvl w:val="1"/>
          <w:numId w:val="100"/>
        </w:numPr>
        <w:tabs>
          <w:tab w:pos="570" w:val="left" w:leader="none"/>
        </w:tabs>
        <w:spacing w:line="240" w:lineRule="auto" w:before="121" w:after="0"/>
        <w:ind w:left="109" w:right="0" w:firstLine="176"/>
        <w:jc w:val="left"/>
        <w:rPr>
          <w:sz w:val="17"/>
        </w:rPr>
      </w:pPr>
      <w:r>
        <w:rPr>
          <w:w w:val="110"/>
          <w:sz w:val="17"/>
        </w:rPr>
        <w:t>Show that  the symbolic</w:t>
      </w:r>
      <w:r>
        <w:rPr>
          <w:spacing w:val="45"/>
          <w:w w:val="110"/>
          <w:sz w:val="17"/>
        </w:rPr>
        <w:t> </w:t>
      </w:r>
      <w:r>
        <w:rPr>
          <w:w w:val="110"/>
          <w:sz w:val="17"/>
        </w:rPr>
        <w:t>formula</w:t>
      </w:r>
    </w:p>
    <w:p>
      <w:pPr>
        <w:tabs>
          <w:tab w:pos="813" w:val="left" w:leader="none"/>
        </w:tabs>
        <w:spacing w:line="212" w:lineRule="exact" w:before="116"/>
        <w:ind w:left="240" w:right="0" w:firstLine="0"/>
        <w:jc w:val="center"/>
        <w:rPr>
          <w:rFonts w:ascii="Arial"/>
          <w:sz w:val="24"/>
        </w:rPr>
      </w:pPr>
      <w:r>
        <w:rPr>
          <w:w w:val="115"/>
          <w:sz w:val="11"/>
        </w:rPr>
        <w:t>r</w:t>
        <w:tab/>
      </w:r>
      <w:r>
        <w:rPr>
          <w:rFonts w:ascii="Arial"/>
          <w:sz w:val="24"/>
          <w:u w:val="single"/>
        </w:rPr>
        <w:t>zr</w:t>
      </w:r>
    </w:p>
    <w:p>
      <w:pPr>
        <w:spacing w:line="247" w:lineRule="exact" w:before="0"/>
        <w:ind w:left="52" w:right="87" w:firstLine="0"/>
        <w:jc w:val="center"/>
        <w:rPr>
          <w:i/>
          <w:sz w:val="22"/>
        </w:rPr>
      </w:pPr>
      <w:r>
        <w:rPr>
          <w:spacing w:val="-116"/>
          <w:w w:val="220"/>
          <w:sz w:val="24"/>
        </w:rPr>
        <w:t>.</w:t>
      </w:r>
      <w:r>
        <w:rPr>
          <w:spacing w:val="-90"/>
          <w:w w:val="275"/>
          <w:sz w:val="24"/>
        </w:rPr>
        <w:t>,</w:t>
      </w:r>
      <w:r>
        <w:rPr>
          <w:w w:val="145"/>
          <w:sz w:val="24"/>
        </w:rPr>
        <w:t>.</w:t>
      </w:r>
      <w:r>
        <w:rPr>
          <w:spacing w:val="-27"/>
          <w:w w:val="145"/>
          <w:sz w:val="24"/>
        </w:rPr>
        <w:t>.</w:t>
      </w:r>
      <w:r>
        <w:rPr>
          <w:w w:val="106"/>
          <w:sz w:val="24"/>
        </w:rPr>
        <w:t>....</w:t>
      </w:r>
      <w:r>
        <w:rPr>
          <w:spacing w:val="2"/>
          <w:sz w:val="24"/>
        </w:rPr>
        <w:t> </w:t>
      </w:r>
      <w:r>
        <w:rPr>
          <w:w w:val="85"/>
          <w:sz w:val="24"/>
        </w:rPr>
        <w:t>=</w:t>
      </w:r>
      <w:r>
        <w:rPr>
          <w:spacing w:val="21"/>
          <w:sz w:val="24"/>
        </w:rPr>
        <w:t> </w:t>
      </w:r>
      <w:r>
        <w:rPr>
          <w:rFonts w:ascii="Arial"/>
          <w:spacing w:val="-16"/>
          <w:w w:val="150"/>
          <w:sz w:val="16"/>
        </w:rPr>
        <w:t>(</w:t>
      </w:r>
      <w:r>
        <w:rPr>
          <w:rFonts w:ascii="Arial"/>
          <w:w w:val="142"/>
          <w:sz w:val="16"/>
        </w:rPr>
        <w:t>1</w:t>
      </w:r>
      <w:r>
        <w:rPr>
          <w:rFonts w:ascii="Arial"/>
          <w:spacing w:val="-21"/>
          <w:sz w:val="16"/>
        </w:rPr>
        <w:t> </w:t>
      </w:r>
      <w:r>
        <w:rPr>
          <w:rFonts w:ascii="Arial"/>
          <w:w w:val="104"/>
          <w:sz w:val="27"/>
        </w:rPr>
        <w:t>+</w:t>
      </w:r>
      <w:r>
        <w:rPr>
          <w:rFonts w:ascii="Arial"/>
          <w:spacing w:val="-32"/>
          <w:sz w:val="27"/>
        </w:rPr>
        <w:t> </w:t>
      </w:r>
      <w:r>
        <w:rPr>
          <w:i/>
          <w:w w:val="82"/>
          <w:sz w:val="22"/>
        </w:rPr>
        <w:t>ZY</w:t>
      </w:r>
    </w:p>
    <w:p>
      <w:pPr>
        <w:spacing w:before="227"/>
        <w:ind w:left="119" w:right="0" w:firstLine="0"/>
        <w:jc w:val="left"/>
        <w:rPr>
          <w:sz w:val="17"/>
        </w:rPr>
      </w:pPr>
      <w:r>
        <w:rPr>
          <w:w w:val="105"/>
          <w:sz w:val="17"/>
        </w:rPr>
        <w:t>may  be obtained  form&amp;lly  by  an  algebraic summation  over  </w:t>
      </w:r>
      <w:r>
        <w:rPr>
          <w:rFonts w:ascii="Arial"/>
          <w:i/>
          <w:w w:val="105"/>
          <w:sz w:val="15"/>
        </w:rPr>
        <w:t>a </w:t>
      </w:r>
      <w:r>
        <w:rPr>
          <w:w w:val="105"/>
          <w:sz w:val="17"/>
        </w:rPr>
        <w:t>of</w:t>
      </w:r>
    </w:p>
    <w:p>
      <w:pPr>
        <w:spacing w:after="0"/>
        <w:jc w:val="left"/>
        <w:rPr>
          <w:sz w:val="17"/>
        </w:rPr>
        <w:sectPr>
          <w:pgSz w:w="7200" w:h="11340"/>
          <w:pgMar w:top="500" w:bottom="280" w:left="640" w:right="560"/>
        </w:sectPr>
      </w:pPr>
    </w:p>
    <w:p>
      <w:pPr>
        <w:spacing w:before="62"/>
        <w:ind w:left="74" w:right="148" w:firstLine="0"/>
        <w:jc w:val="center"/>
        <w:rPr>
          <w:b/>
          <w:sz w:val="15"/>
        </w:rPr>
      </w:pPr>
      <w:r>
        <w:rPr>
          <w:b/>
          <w:color w:val="010101"/>
          <w:sz w:val="15"/>
        </w:rPr>
        <w:t>EXERCISF.8</w:t>
      </w:r>
    </w:p>
    <w:p>
      <w:pPr>
        <w:pStyle w:val="BodyText"/>
        <w:spacing w:before="1"/>
        <w:rPr>
          <w:b/>
          <w:sz w:val="19"/>
        </w:rPr>
      </w:pPr>
    </w:p>
    <w:p>
      <w:pPr>
        <w:tabs>
          <w:tab w:pos="709" w:val="left" w:leader="none"/>
        </w:tabs>
        <w:spacing w:line="222" w:lineRule="exact" w:before="0"/>
        <w:ind w:left="0" w:right="31" w:firstLine="0"/>
        <w:jc w:val="center"/>
        <w:rPr>
          <w:sz w:val="26"/>
        </w:rPr>
      </w:pPr>
      <w:r>
        <w:rPr>
          <w:color w:val="010101"/>
          <w:w w:val="85"/>
          <w:sz w:val="17"/>
        </w:rPr>
        <w:t>l•J</w:t>
        <w:tab/>
      </w:r>
      <w:r>
        <w:rPr>
          <w:color w:val="010101"/>
          <w:w w:val="85"/>
          <w:sz w:val="26"/>
          <w:u w:val="single" w:color="000000"/>
        </w:rPr>
        <w:t>ze</w:t>
      </w:r>
    </w:p>
    <w:p>
      <w:pPr>
        <w:spacing w:line="199" w:lineRule="exact" w:before="0"/>
        <w:ind w:left="74" w:right="106" w:firstLine="0"/>
        <w:jc w:val="center"/>
        <w:rPr>
          <w:rFonts w:ascii="Arial" w:hAnsi="Arial"/>
          <w:sz w:val="16"/>
        </w:rPr>
      </w:pPr>
      <w:r>
        <w:rPr>
          <w:color w:val="010101"/>
          <w:spacing w:val="-166"/>
          <w:w w:val="395"/>
          <w:sz w:val="16"/>
        </w:rPr>
        <w:t>,</w:t>
      </w:r>
      <w:r>
        <w:rPr>
          <w:color w:val="010101"/>
          <w:spacing w:val="-22"/>
          <w:w w:val="152"/>
          <w:sz w:val="16"/>
        </w:rPr>
        <w:t>•</w:t>
      </w:r>
      <w:r>
        <w:rPr>
          <w:color w:val="010101"/>
          <w:w w:val="140"/>
          <w:sz w:val="16"/>
        </w:rPr>
        <w:t>•...•</w:t>
      </w:r>
      <w:r>
        <w:rPr>
          <w:color w:val="010101"/>
          <w:sz w:val="16"/>
        </w:rPr>
        <w:t> </w:t>
      </w:r>
      <w:r>
        <w:rPr>
          <w:color w:val="010101"/>
          <w:spacing w:val="-19"/>
          <w:sz w:val="16"/>
        </w:rPr>
        <w:t> </w:t>
      </w:r>
      <w:r>
        <w:rPr>
          <w:color w:val="010101"/>
          <w:w w:val="279"/>
          <w:sz w:val="16"/>
        </w:rPr>
        <w:t>-</w:t>
      </w:r>
      <w:r>
        <w:rPr>
          <w:color w:val="010101"/>
          <w:spacing w:val="10"/>
          <w:sz w:val="16"/>
        </w:rPr>
        <w:t> </w:t>
      </w:r>
      <w:r>
        <w:rPr>
          <w:color w:val="010101"/>
          <w:w w:val="113"/>
          <w:sz w:val="16"/>
        </w:rPr>
        <w:t>(1</w:t>
      </w:r>
      <w:r>
        <w:rPr>
          <w:color w:val="010101"/>
          <w:sz w:val="16"/>
        </w:rPr>
        <w:t> </w:t>
      </w:r>
      <w:r>
        <w:rPr>
          <w:color w:val="010101"/>
          <w:spacing w:val="-18"/>
          <w:sz w:val="16"/>
        </w:rPr>
        <w:t> </w:t>
      </w:r>
      <w:r>
        <w:rPr>
          <w:color w:val="010101"/>
          <w:w w:val="104"/>
          <w:sz w:val="24"/>
        </w:rPr>
        <w:t>+</w:t>
      </w:r>
      <w:r>
        <w:rPr>
          <w:color w:val="010101"/>
          <w:spacing w:val="1"/>
          <w:sz w:val="24"/>
        </w:rPr>
        <w:t> </w:t>
      </w:r>
      <w:r>
        <w:rPr>
          <w:rFonts w:ascii="Arial" w:hAnsi="Arial"/>
          <w:color w:val="010101"/>
          <w:w w:val="115"/>
          <w:sz w:val="16"/>
        </w:rPr>
        <w:t>z)</w:t>
      </w:r>
      <w:r>
        <w:rPr>
          <w:rFonts w:ascii="Arial" w:hAnsi="Arial"/>
          <w:color w:val="010101"/>
          <w:w w:val="114"/>
          <w:sz w:val="16"/>
        </w:rPr>
        <w:t>.</w:t>
      </w:r>
      <w:r>
        <w:rPr>
          <w:rFonts w:ascii="Arial" w:hAnsi="Arial"/>
          <w:color w:val="010101"/>
          <w:spacing w:val="-9"/>
          <w:w w:val="114"/>
          <w:sz w:val="16"/>
        </w:rPr>
        <w:t>+</w:t>
      </w:r>
      <w:r>
        <w:rPr>
          <w:rFonts w:ascii="Arial" w:hAnsi="Arial"/>
          <w:color w:val="010101"/>
          <w:w w:val="119"/>
          <w:sz w:val="16"/>
        </w:rPr>
        <w:t>1.</w:t>
      </w:r>
    </w:p>
    <w:p>
      <w:pPr>
        <w:pStyle w:val="ListParagraph"/>
        <w:numPr>
          <w:ilvl w:val="1"/>
          <w:numId w:val="100"/>
        </w:numPr>
        <w:tabs>
          <w:tab w:pos="574" w:val="left" w:leader="none"/>
        </w:tabs>
        <w:spacing w:line="240" w:lineRule="auto" w:before="160" w:after="0"/>
        <w:ind w:left="573" w:right="0" w:hanging="275"/>
        <w:jc w:val="left"/>
        <w:rPr>
          <w:color w:val="010101"/>
          <w:sz w:val="18"/>
        </w:rPr>
      </w:pPr>
      <w:r>
        <w:rPr>
          <w:color w:val="010101"/>
          <w:w w:val="105"/>
          <w:sz w:val="18"/>
        </w:rPr>
        <w:t>Express in terms of single- and joint-life  </w:t>
      </w:r>
      <w:r>
        <w:rPr>
          <w:color w:val="010101"/>
          <w:spacing w:val="10"/>
          <w:w w:val="105"/>
          <w:sz w:val="18"/>
        </w:rPr>
        <w:t> </w:t>
      </w:r>
      <w:r>
        <w:rPr>
          <w:color w:val="010101"/>
          <w:w w:val="105"/>
          <w:sz w:val="18"/>
        </w:rPr>
        <w:t>probabilities:</w:t>
      </w:r>
    </w:p>
    <w:p>
      <w:pPr>
        <w:spacing w:line="89" w:lineRule="exact" w:before="95"/>
        <w:ind w:left="997" w:right="0" w:firstLine="0"/>
        <w:jc w:val="left"/>
        <w:rPr>
          <w:b/>
          <w:sz w:val="11"/>
        </w:rPr>
      </w:pPr>
      <w:r>
        <w:rPr>
          <w:b/>
          <w:color w:val="010101"/>
          <w:w w:val="143"/>
          <w:sz w:val="11"/>
        </w:rPr>
        <w:t>1</w:t>
      </w:r>
    </w:p>
    <w:p>
      <w:pPr>
        <w:pStyle w:val="ListParagraph"/>
        <w:numPr>
          <w:ilvl w:val="2"/>
          <w:numId w:val="100"/>
        </w:numPr>
        <w:tabs>
          <w:tab w:pos="720" w:val="left" w:leader="none"/>
        </w:tabs>
        <w:spacing w:line="150" w:lineRule="exact" w:before="0" w:after="0"/>
        <w:ind w:left="719" w:right="0" w:hanging="271"/>
        <w:jc w:val="left"/>
        <w:rPr>
          <w:b/>
          <w:sz w:val="22"/>
        </w:rPr>
      </w:pPr>
      <w:r>
        <w:rPr>
          <w:b/>
          <w:color w:val="010101"/>
          <w:w w:val="125"/>
          <w:sz w:val="22"/>
        </w:rPr>
        <w:t>•P•</w:t>
      </w:r>
    </w:p>
    <w:p>
      <w:pPr>
        <w:spacing w:line="441" w:lineRule="exact" w:before="0"/>
        <w:ind w:left="448" w:right="739" w:firstLine="0"/>
        <w:jc w:val="left"/>
        <w:rPr>
          <w:rFonts w:ascii="Arial"/>
          <w:i/>
          <w:sz w:val="44"/>
        </w:rPr>
      </w:pPr>
      <w:r>
        <w:rPr>
          <w:color w:val="010101"/>
          <w:w w:val="112"/>
          <w:sz w:val="16"/>
        </w:rPr>
        <w:t>(b)</w:t>
      </w:r>
      <w:r>
        <w:rPr>
          <w:color w:val="010101"/>
          <w:sz w:val="16"/>
        </w:rPr>
        <w:t> </w:t>
      </w:r>
      <w:r>
        <w:rPr>
          <w:color w:val="010101"/>
          <w:spacing w:val="-17"/>
          <w:sz w:val="16"/>
        </w:rPr>
        <w:t> </w:t>
      </w:r>
      <w:r>
        <w:rPr>
          <w:rFonts w:ascii="Arial"/>
          <w:i/>
          <w:color w:val="010101"/>
          <w:spacing w:val="-83"/>
          <w:w w:val="131"/>
          <w:sz w:val="44"/>
          <w:u w:val="thick" w:color="000000"/>
        </w:rPr>
        <w:t>.</w:t>
      </w:r>
      <w:r>
        <w:rPr>
          <w:rFonts w:ascii="Arial"/>
          <w:i/>
          <w:color w:val="010101"/>
          <w:spacing w:val="3"/>
          <w:w w:val="34"/>
          <w:sz w:val="44"/>
          <w:u w:val="thick" w:color="000000"/>
        </w:rPr>
        <w:t>p</w:t>
      </w:r>
      <w:r>
        <w:rPr>
          <w:rFonts w:ascii="Arial"/>
          <w:i/>
          <w:color w:val="010101"/>
          <w:w w:val="180"/>
          <w:sz w:val="44"/>
          <w:u w:val="thick" w:color="000000"/>
        </w:rPr>
        <w:t>:</w:t>
      </w:r>
    </w:p>
    <w:p>
      <w:pPr>
        <w:pStyle w:val="ListParagraph"/>
        <w:numPr>
          <w:ilvl w:val="1"/>
          <w:numId w:val="100"/>
        </w:numPr>
        <w:tabs>
          <w:tab w:pos="559" w:val="left" w:leader="none"/>
        </w:tabs>
        <w:spacing w:line="200" w:lineRule="exact" w:before="69" w:after="0"/>
        <w:ind w:left="109" w:right="172" w:firstLine="175"/>
        <w:jc w:val="both"/>
        <w:rPr>
          <w:color w:val="010101"/>
          <w:sz w:val="16"/>
        </w:rPr>
      </w:pPr>
      <w:r>
        <w:rPr>
          <w:color w:val="010101"/>
          <w:w w:val="105"/>
          <w:sz w:val="18"/>
        </w:rPr>
        <w:t>Describe in words the probability indicated by the following expres­ sion:</w:t>
      </w:r>
    </w:p>
    <w:p>
      <w:pPr>
        <w:spacing w:before="47"/>
        <w:ind w:left="130" w:right="739" w:firstLine="0"/>
        <w:jc w:val="left"/>
        <w:rPr>
          <w:i/>
          <w:sz w:val="10"/>
        </w:rPr>
      </w:pPr>
      <w:r>
        <w:rPr/>
        <w:drawing>
          <wp:anchor distT="0" distB="0" distL="0" distR="0" allowOverlap="1" layoutInCell="1" locked="0" behindDoc="0" simplePos="0" relativeHeight="17752">
            <wp:simplePos x="0" y="0"/>
            <wp:positionH relativeFrom="page">
              <wp:posOffset>1929383</wp:posOffset>
            </wp:positionH>
            <wp:positionV relativeFrom="paragraph">
              <wp:posOffset>310147</wp:posOffset>
            </wp:positionV>
            <wp:extent cx="2240280" cy="109727"/>
            <wp:effectExtent l="0" t="0" r="0" b="0"/>
            <wp:wrapTopAndBottom/>
            <wp:docPr id="475" name="image243.png" descr=""/>
            <wp:cNvGraphicFramePr>
              <a:graphicFrameLocks noChangeAspect="1"/>
            </wp:cNvGraphicFramePr>
            <a:graphic>
              <a:graphicData uri="http://schemas.openxmlformats.org/drawingml/2006/picture">
                <pic:pic>
                  <pic:nvPicPr>
                    <pic:cNvPr id="476" name="image243.png"/>
                    <pic:cNvPicPr/>
                  </pic:nvPicPr>
                  <pic:blipFill>
                    <a:blip r:embed="rId247" cstate="print"/>
                    <a:stretch>
                      <a:fillRect/>
                    </a:stretch>
                  </pic:blipFill>
                  <pic:spPr>
                    <a:xfrm>
                      <a:off x="0" y="0"/>
                      <a:ext cx="2240280" cy="109727"/>
                    </a:xfrm>
                    <a:prstGeom prst="rect">
                      <a:avLst/>
                    </a:prstGeom>
                  </pic:spPr>
                </pic:pic>
              </a:graphicData>
            </a:graphic>
          </wp:anchor>
        </w:drawing>
      </w:r>
      <w:r>
        <w:rPr>
          <w:b/>
          <w:i/>
          <w:color w:val="010101"/>
          <w:w w:val="95"/>
          <w:sz w:val="17"/>
        </w:rPr>
        <w:t>,p,.I&lt; </w:t>
      </w:r>
      <w:r>
        <w:rPr>
          <w:rFonts w:ascii="Arial" w:hAnsi="Arial"/>
          <w:color w:val="010101"/>
          <w:sz w:val="27"/>
        </w:rPr>
        <w:t>+ </w:t>
      </w:r>
      <w:r>
        <w:rPr>
          <w:b/>
          <w:i/>
          <w:color w:val="010101"/>
          <w:sz w:val="17"/>
        </w:rPr>
        <w:t>,p..,, </w:t>
      </w:r>
      <w:r>
        <w:rPr>
          <w:rFonts w:ascii="Arial" w:hAnsi="Arial"/>
          <w:color w:val="010101"/>
          <w:sz w:val="27"/>
        </w:rPr>
        <w:t>+ </w:t>
      </w:r>
      <w:r>
        <w:rPr>
          <w:b/>
          <w:i/>
          <w:color w:val="010101"/>
          <w:sz w:val="17"/>
        </w:rPr>
        <w:t>,p,.. </w:t>
      </w:r>
      <w:r>
        <w:rPr>
          <w:rFonts w:ascii="Arial" w:hAnsi="Arial"/>
          <w:color w:val="010101"/>
          <w:sz w:val="27"/>
        </w:rPr>
        <w:t>+ </w:t>
      </w:r>
      <w:r>
        <w:rPr>
          <w:i/>
          <w:color w:val="010101"/>
          <w:sz w:val="10"/>
        </w:rPr>
        <w:t>1Pic11  </w:t>
      </w:r>
      <w:r>
        <w:rPr>
          <w:rFonts w:ascii="Arial" w:hAnsi="Arial"/>
          <w:color w:val="010101"/>
          <w:sz w:val="27"/>
        </w:rPr>
        <w:t>+ </w:t>
      </w:r>
      <w:r>
        <w:rPr>
          <w:b/>
          <w:i/>
          <w:color w:val="010101"/>
          <w:sz w:val="17"/>
        </w:rPr>
        <w:t>,p•• </w:t>
      </w:r>
      <w:r>
        <w:rPr>
          <w:rFonts w:ascii="Arial" w:hAnsi="Arial"/>
          <w:color w:val="010101"/>
          <w:sz w:val="27"/>
        </w:rPr>
        <w:t>+ </w:t>
      </w:r>
      <w:r>
        <w:rPr>
          <w:i/>
          <w:color w:val="010101"/>
          <w:sz w:val="10"/>
        </w:rPr>
        <w:t>1P11•</w:t>
      </w:r>
    </w:p>
    <w:p>
      <w:pPr>
        <w:pStyle w:val="ListParagraph"/>
        <w:numPr>
          <w:ilvl w:val="1"/>
          <w:numId w:val="100"/>
        </w:numPr>
        <w:tabs>
          <w:tab w:pos="559" w:val="left" w:leader="none"/>
        </w:tabs>
        <w:spacing w:line="200" w:lineRule="exact" w:before="78" w:after="0"/>
        <w:ind w:left="113" w:right="182" w:firstLine="167"/>
        <w:jc w:val="both"/>
        <w:rPr>
          <w:color w:val="010101"/>
          <w:sz w:val="16"/>
        </w:rPr>
      </w:pPr>
      <w:r>
        <w:rPr>
          <w:color w:val="010101"/>
          <w:sz w:val="18"/>
        </w:rPr>
        <w:t>Give an expression in terms of joint-life annuity values for the  net single premium for an annuity of  </w:t>
      </w:r>
      <w:r>
        <w:rPr>
          <w:color w:val="010101"/>
          <w:sz w:val="17"/>
        </w:rPr>
        <w:t>1</w:t>
      </w:r>
      <w:r>
        <w:rPr>
          <w:color w:val="010101"/>
          <w:sz w:val="18"/>
        </w:rPr>
        <w:t>payable at the end of each year  if exactly  </w:t>
      </w:r>
      <w:r>
        <w:rPr>
          <w:color w:val="010101"/>
          <w:sz w:val="16"/>
        </w:rPr>
        <w:t>3 </w:t>
      </w:r>
      <w:r>
        <w:rPr>
          <w:color w:val="010101"/>
          <w:sz w:val="18"/>
        </w:rPr>
        <w:t>of  the </w:t>
      </w:r>
      <w:r>
        <w:rPr>
          <w:color w:val="010101"/>
          <w:sz w:val="16"/>
        </w:rPr>
        <w:t>4  </w:t>
      </w:r>
      <w:r>
        <w:rPr>
          <w:color w:val="010101"/>
          <w:sz w:val="18"/>
        </w:rPr>
        <w:t>lives  </w:t>
      </w:r>
      <w:r>
        <w:rPr>
          <w:color w:val="010101"/>
          <w:sz w:val="16"/>
        </w:rPr>
        <w:t>(w),  (x),  </w:t>
      </w:r>
      <w:r>
        <w:rPr>
          <w:b/>
          <w:color w:val="010101"/>
          <w:sz w:val="16"/>
        </w:rPr>
        <w:t>(y),  </w:t>
      </w:r>
      <w:r>
        <w:rPr>
          <w:color w:val="010101"/>
          <w:sz w:val="16"/>
        </w:rPr>
        <w:t>(z)  </w:t>
      </w:r>
      <w:r>
        <w:rPr>
          <w:color w:val="010101"/>
          <w:sz w:val="18"/>
        </w:rPr>
        <w:t>are then    </w:t>
      </w:r>
      <w:r>
        <w:rPr>
          <w:color w:val="010101"/>
          <w:spacing w:val="13"/>
          <w:sz w:val="18"/>
        </w:rPr>
        <w:t> </w:t>
      </w:r>
      <w:r>
        <w:rPr>
          <w:color w:val="010101"/>
          <w:sz w:val="18"/>
        </w:rPr>
        <w:t>alive.</w:t>
      </w:r>
    </w:p>
    <w:p>
      <w:pPr>
        <w:pStyle w:val="ListParagraph"/>
        <w:numPr>
          <w:ilvl w:val="1"/>
          <w:numId w:val="100"/>
        </w:numPr>
        <w:tabs>
          <w:tab w:pos="552" w:val="left" w:leader="none"/>
        </w:tabs>
        <w:spacing w:line="240" w:lineRule="auto" w:before="150" w:after="0"/>
        <w:ind w:left="551" w:right="0" w:hanging="274"/>
        <w:jc w:val="left"/>
        <w:rPr>
          <w:color w:val="010101"/>
          <w:sz w:val="16"/>
        </w:rPr>
      </w:pPr>
      <w:r>
        <w:rPr>
          <w:color w:val="010101"/>
          <w:w w:val="104"/>
          <w:sz w:val="18"/>
        </w:rPr>
        <w:t>Find</w:t>
      </w:r>
      <w:r>
        <w:rPr>
          <w:color w:val="010101"/>
          <w:sz w:val="18"/>
        </w:rPr>
        <w:t> </w:t>
      </w:r>
      <w:r>
        <w:rPr>
          <w:color w:val="010101"/>
          <w:spacing w:val="-20"/>
          <w:sz w:val="18"/>
        </w:rPr>
        <w:t> </w:t>
      </w:r>
      <w:r>
        <w:rPr>
          <w:color w:val="010101"/>
          <w:w w:val="109"/>
          <w:sz w:val="18"/>
        </w:rPr>
        <w:t>the</w:t>
      </w:r>
      <w:r>
        <w:rPr>
          <w:color w:val="010101"/>
          <w:sz w:val="18"/>
        </w:rPr>
        <w:t> </w:t>
      </w:r>
      <w:r>
        <w:rPr>
          <w:color w:val="010101"/>
          <w:spacing w:val="-22"/>
          <w:sz w:val="18"/>
        </w:rPr>
        <w:t> </w:t>
      </w:r>
      <w:r>
        <w:rPr>
          <w:color w:val="010101"/>
          <w:w w:val="101"/>
          <w:sz w:val="18"/>
        </w:rPr>
        <w:t>value</w:t>
      </w:r>
      <w:r>
        <w:rPr>
          <w:color w:val="010101"/>
          <w:sz w:val="18"/>
        </w:rPr>
        <w:t> </w:t>
      </w:r>
      <w:r>
        <w:rPr>
          <w:color w:val="010101"/>
          <w:spacing w:val="-17"/>
          <w:sz w:val="18"/>
        </w:rPr>
        <w:t> </w:t>
      </w:r>
      <w:r>
        <w:rPr>
          <w:color w:val="010101"/>
          <w:w w:val="85"/>
          <w:sz w:val="18"/>
        </w:rPr>
        <w:t>of</w:t>
      </w:r>
      <w:r>
        <w:rPr>
          <w:color w:val="010101"/>
          <w:sz w:val="18"/>
        </w:rPr>
        <w:t> </w:t>
      </w:r>
      <w:r>
        <w:rPr>
          <w:color w:val="010101"/>
          <w:spacing w:val="-16"/>
          <w:sz w:val="18"/>
        </w:rPr>
        <w:t> </w:t>
      </w:r>
      <w:r>
        <w:rPr>
          <w:color w:val="010101"/>
          <w:w w:val="260"/>
          <w:sz w:val="16"/>
        </w:rPr>
        <w:t>a</w:t>
      </w:r>
      <w:r>
        <w:rPr>
          <w:color w:val="010101"/>
          <w:spacing w:val="-9"/>
          <w:w w:val="261"/>
          <w:sz w:val="16"/>
          <w:u w:val="single" w:color="000000"/>
        </w:rPr>
        <w:t>u</w:t>
      </w:r>
      <w:r>
        <w:rPr>
          <w:color w:val="010101"/>
          <w:spacing w:val="-51"/>
          <w:w w:val="321"/>
          <w:sz w:val="16"/>
          <w:u w:val="single" w:color="000000"/>
        </w:rPr>
        <w:t>!</w:t>
      </w:r>
      <w:r>
        <w:rPr>
          <w:color w:val="010101"/>
          <w:w w:val="120"/>
          <w:sz w:val="16"/>
        </w:rPr>
        <w:t>,</w:t>
      </w:r>
      <w:r>
        <w:rPr>
          <w:color w:val="010101"/>
          <w:spacing w:val="15"/>
          <w:sz w:val="16"/>
        </w:rPr>
        <w:t> </w:t>
      </w:r>
      <w:r>
        <w:rPr>
          <w:color w:val="010101"/>
          <w:w w:val="97"/>
          <w:sz w:val="18"/>
        </w:rPr>
        <w:t>given</w:t>
      </w:r>
      <w:r>
        <w:rPr>
          <w:color w:val="010101"/>
          <w:sz w:val="18"/>
        </w:rPr>
        <w:t> </w:t>
      </w:r>
      <w:r>
        <w:rPr>
          <w:color w:val="010101"/>
          <w:spacing w:val="-18"/>
          <w:sz w:val="18"/>
        </w:rPr>
        <w:t> </w:t>
      </w:r>
      <w:r>
        <w:rPr>
          <w:color w:val="010101"/>
          <w:w w:val="115"/>
          <w:sz w:val="18"/>
        </w:rPr>
        <w:t>that</w:t>
      </w:r>
    </w:p>
    <w:p>
      <w:pPr>
        <w:spacing w:after="0" w:line="240" w:lineRule="auto"/>
        <w:jc w:val="left"/>
        <w:rPr>
          <w:sz w:val="16"/>
        </w:rPr>
        <w:sectPr>
          <w:pgSz w:w="7200" w:h="11340"/>
          <w:pgMar w:top="580" w:bottom="280" w:left="700" w:right="520"/>
        </w:sectPr>
      </w:pPr>
    </w:p>
    <w:p>
      <w:pPr>
        <w:spacing w:line="326" w:lineRule="auto" w:before="76"/>
        <w:ind w:left="277" w:right="30" w:firstLine="296"/>
        <w:jc w:val="left"/>
        <w:rPr>
          <w:sz w:val="18"/>
        </w:rPr>
      </w:pPr>
      <w:r>
        <w:rPr>
          <w:color w:val="010101"/>
          <w:w w:val="115"/>
          <w:sz w:val="16"/>
        </w:rPr>
        <w:t>aun </w:t>
      </w:r>
      <w:r>
        <w:rPr>
          <w:color w:val="010101"/>
          <w:w w:val="105"/>
          <w:sz w:val="22"/>
        </w:rPr>
        <w:t>= </w:t>
      </w:r>
      <w:r>
        <w:rPr>
          <w:color w:val="010101"/>
          <w:spacing w:val="-5"/>
          <w:w w:val="105"/>
          <w:sz w:val="16"/>
        </w:rPr>
        <w:t>11.900, </w:t>
      </w:r>
      <w:r>
        <w:rPr>
          <w:color w:val="010101"/>
          <w:w w:val="105"/>
          <w:sz w:val="16"/>
        </w:rPr>
        <w:t>au.u.s </w:t>
      </w:r>
      <w:r>
        <w:rPr>
          <w:color w:val="010101"/>
          <w:w w:val="105"/>
          <w:sz w:val="22"/>
        </w:rPr>
        <w:t>=  </w:t>
      </w:r>
      <w:r>
        <w:rPr>
          <w:color w:val="010101"/>
          <w:spacing w:val="-8"/>
          <w:w w:val="105"/>
          <w:sz w:val="16"/>
        </w:rPr>
        <w:t>10.750  </w:t>
      </w:r>
      <w:r>
        <w:rPr>
          <w:color w:val="010101"/>
          <w:w w:val="105"/>
          <w:sz w:val="18"/>
        </w:rPr>
        <w:t>and  </w:t>
      </w:r>
      <w:r>
        <w:rPr>
          <w:color w:val="010101"/>
          <w:w w:val="105"/>
          <w:sz w:val="16"/>
        </w:rPr>
        <w:t>ª•.u.rn  </w:t>
      </w:r>
      <w:r>
        <w:rPr>
          <w:color w:val="010101"/>
          <w:w w:val="105"/>
          <w:sz w:val="23"/>
        </w:rPr>
        <w:t>= </w:t>
      </w:r>
      <w:r>
        <w:rPr>
          <w:color w:val="010101"/>
          <w:w w:val="105"/>
          <w:sz w:val="16"/>
        </w:rPr>
        <w:t>9.675.  </w:t>
      </w:r>
      <w:r>
        <w:rPr>
          <w:color w:val="010101"/>
          <w:spacing w:val="-14"/>
          <w:w w:val="105"/>
          <w:sz w:val="16"/>
        </w:rPr>
        <w:t>19.  </w:t>
      </w:r>
      <w:r>
        <w:rPr>
          <w:color w:val="010101"/>
          <w:w w:val="105"/>
          <w:sz w:val="18"/>
        </w:rPr>
        <w:t>Prove mathematically  and by  general </w:t>
      </w:r>
      <w:r>
        <w:rPr>
          <w:color w:val="010101"/>
          <w:spacing w:val="4"/>
          <w:w w:val="105"/>
          <w:sz w:val="18"/>
        </w:rPr>
        <w:t> </w:t>
      </w:r>
      <w:r>
        <w:rPr>
          <w:color w:val="010101"/>
          <w:w w:val="105"/>
          <w:sz w:val="18"/>
        </w:rPr>
        <w:t>reasoning:</w:t>
      </w:r>
    </w:p>
    <w:p>
      <w:pPr>
        <w:spacing w:before="116"/>
        <w:ind w:left="277" w:right="0" w:firstLine="0"/>
        <w:jc w:val="left"/>
        <w:rPr>
          <w:sz w:val="18"/>
        </w:rPr>
      </w:pPr>
      <w:r>
        <w:rPr/>
        <w:br w:type="column"/>
      </w:r>
      <w:r>
        <w:rPr>
          <w:color w:val="010101"/>
          <w:sz w:val="18"/>
        </w:rPr>
        <w:t>(Ans. 1.125)</w:t>
      </w:r>
    </w:p>
    <w:p>
      <w:pPr>
        <w:spacing w:after="0"/>
        <w:jc w:val="left"/>
        <w:rPr>
          <w:sz w:val="18"/>
        </w:rPr>
        <w:sectPr>
          <w:type w:val="continuous"/>
          <w:pgSz w:w="7200" w:h="11340"/>
          <w:pgMar w:top="1100" w:bottom="0" w:left="700" w:right="520"/>
          <w:cols w:num="2" w:equalWidth="0">
            <w:col w:w="4420" w:space="219"/>
            <w:col w:w="1341"/>
          </w:cols>
        </w:sectPr>
      </w:pPr>
    </w:p>
    <w:p>
      <w:pPr>
        <w:tabs>
          <w:tab w:pos="1061" w:val="left" w:leader="none"/>
        </w:tabs>
        <w:spacing w:line="77" w:lineRule="exact" w:before="39"/>
        <w:ind w:left="444" w:right="0" w:firstLine="0"/>
        <w:jc w:val="center"/>
        <w:rPr>
          <w:rFonts w:ascii="Arial"/>
          <w:sz w:val="10"/>
        </w:rPr>
      </w:pPr>
      <w:r>
        <w:rPr/>
        <w:pict>
          <v:shape style="position:absolute;margin-left:188.826202pt;margin-top:4.425337pt;width:5.6pt;height:11pt;mso-position-horizontal-relative:page;mso-position-vertical-relative:paragraph;z-index:-718288" type="#_x0000_t202" filled="false" stroked="false">
            <v:textbox inset="0,0,0,0">
              <w:txbxContent>
                <w:p>
                  <w:pPr>
                    <w:spacing w:line="220" w:lineRule="exact" w:before="0"/>
                    <w:ind w:left="0" w:right="0" w:firstLine="0"/>
                    <w:jc w:val="left"/>
                    <w:rPr>
                      <w:sz w:val="22"/>
                    </w:rPr>
                  </w:pPr>
                  <w:r>
                    <w:rPr>
                      <w:color w:val="010101"/>
                      <w:w w:val="89"/>
                      <w:sz w:val="22"/>
                    </w:rPr>
                    <w:t>=</w:t>
                  </w:r>
                </w:p>
              </w:txbxContent>
            </v:textbox>
            <w10:wrap type="none"/>
          </v:shape>
        </w:pict>
      </w:r>
      <w:r>
        <w:rPr>
          <w:rFonts w:ascii="Arial"/>
          <w:color w:val="010101"/>
          <w:w w:val="160"/>
          <w:sz w:val="10"/>
        </w:rPr>
        <w:t>(1</w:t>
        <w:tab/>
        <w:t>1</w:t>
      </w:r>
    </w:p>
    <w:p>
      <w:pPr>
        <w:tabs>
          <w:tab w:pos="1055" w:val="left" w:leader="none"/>
        </w:tabs>
        <w:spacing w:line="192" w:lineRule="exact" w:before="0"/>
        <w:ind w:left="0" w:right="117" w:firstLine="0"/>
        <w:jc w:val="center"/>
        <w:rPr>
          <w:sz w:val="19"/>
        </w:rPr>
      </w:pPr>
      <w:r>
        <w:rPr>
          <w:i/>
          <w:color w:val="010101"/>
          <w:w w:val="105"/>
          <w:sz w:val="19"/>
        </w:rPr>
        <w:t>a.,.</w:t>
      </w:r>
      <w:r>
        <w:rPr>
          <w:i/>
          <w:color w:val="010101"/>
          <w:spacing w:val="5"/>
          <w:w w:val="105"/>
          <w:sz w:val="19"/>
        </w:rPr>
        <w:t> </w:t>
      </w:r>
      <w:r>
        <w:rPr>
          <w:color w:val="010101"/>
          <w:w w:val="230"/>
          <w:sz w:val="19"/>
        </w:rPr>
        <w:t>-</w:t>
      </w:r>
      <w:r>
        <w:rPr>
          <w:color w:val="010101"/>
          <w:spacing w:val="-66"/>
          <w:w w:val="230"/>
          <w:sz w:val="19"/>
        </w:rPr>
        <w:t> </w:t>
      </w:r>
      <w:r>
        <w:rPr>
          <w:color w:val="010101"/>
          <w:sz w:val="20"/>
        </w:rPr>
        <w:t>as</w:t>
      </w:r>
      <w:r>
        <w:rPr>
          <w:color w:val="010101"/>
          <w:sz w:val="20"/>
          <w:u w:val="single" w:color="000000"/>
        </w:rPr>
        <w:t>.-</w:t>
      </w:r>
      <w:r>
        <w:rPr>
          <w:color w:val="010101"/>
          <w:sz w:val="20"/>
        </w:rPr>
        <w:tab/>
      </w:r>
      <w:r>
        <w:rPr>
          <w:i/>
          <w:color w:val="010101"/>
          <w:w w:val="105"/>
          <w:sz w:val="19"/>
        </w:rPr>
        <w:t>a.;;</w:t>
      </w:r>
      <w:r>
        <w:rPr>
          <w:i/>
          <w:color w:val="010101"/>
          <w:spacing w:val="-12"/>
          <w:w w:val="105"/>
          <w:sz w:val="19"/>
        </w:rPr>
        <w:t> </w:t>
      </w:r>
      <w:r>
        <w:rPr>
          <w:color w:val="010101"/>
          <w:w w:val="105"/>
          <w:sz w:val="19"/>
        </w:rPr>
        <w:t>.</w:t>
      </w:r>
    </w:p>
    <w:p>
      <w:pPr>
        <w:pStyle w:val="ListParagraph"/>
        <w:numPr>
          <w:ilvl w:val="0"/>
          <w:numId w:val="101"/>
        </w:numPr>
        <w:tabs>
          <w:tab w:pos="552" w:val="left" w:leader="none"/>
        </w:tabs>
        <w:spacing w:line="230" w:lineRule="auto" w:before="104" w:after="0"/>
        <w:ind w:left="109" w:right="186" w:firstLine="157"/>
        <w:jc w:val="both"/>
        <w:rPr>
          <w:color w:val="010101"/>
          <w:sz w:val="18"/>
        </w:rPr>
      </w:pPr>
      <w:r>
        <w:rPr>
          <w:color w:val="010101"/>
          <w:w w:val="105"/>
          <w:sz w:val="18"/>
        </w:rPr>
        <w:t>Express in terms of annuity values and the rate of discount the net single premium for an insurance payable at the end of the year  in which the third  death  occurs  among the four lives  </w:t>
      </w:r>
      <w:r>
        <w:rPr>
          <w:color w:val="010101"/>
          <w:w w:val="105"/>
          <w:sz w:val="16"/>
        </w:rPr>
        <w:t>(w),  </w:t>
      </w:r>
      <w:r>
        <w:rPr>
          <w:color w:val="010101"/>
          <w:w w:val="105"/>
          <w:sz w:val="18"/>
        </w:rPr>
        <w:t>(x),  </w:t>
      </w:r>
      <w:r>
        <w:rPr>
          <w:color w:val="010101"/>
          <w:w w:val="105"/>
          <w:sz w:val="16"/>
        </w:rPr>
        <w:t>(y),</w:t>
      </w:r>
      <w:r>
        <w:rPr>
          <w:color w:val="010101"/>
          <w:spacing w:val="12"/>
          <w:w w:val="105"/>
          <w:sz w:val="16"/>
        </w:rPr>
        <w:t> </w:t>
      </w:r>
      <w:r>
        <w:rPr>
          <w:color w:val="010101"/>
          <w:w w:val="105"/>
          <w:sz w:val="18"/>
        </w:rPr>
        <w:t>(z).</w:t>
      </w:r>
    </w:p>
    <w:p>
      <w:pPr>
        <w:spacing w:line="72" w:lineRule="exact" w:before="0"/>
        <w:ind w:left="1546" w:right="0" w:firstLine="0"/>
        <w:jc w:val="center"/>
        <w:rPr>
          <w:b/>
          <w:sz w:val="11"/>
        </w:rPr>
      </w:pPr>
      <w:r>
        <w:rPr>
          <w:b/>
          <w:color w:val="010101"/>
          <w:w w:val="125"/>
          <w:sz w:val="11"/>
        </w:rPr>
        <w:t>1</w:t>
      </w:r>
    </w:p>
    <w:p>
      <w:pPr>
        <w:pStyle w:val="ListParagraph"/>
        <w:numPr>
          <w:ilvl w:val="0"/>
          <w:numId w:val="101"/>
        </w:numPr>
        <w:tabs>
          <w:tab w:pos="559" w:val="left" w:leader="none"/>
        </w:tabs>
        <w:spacing w:line="169" w:lineRule="exact" w:before="0" w:after="0"/>
        <w:ind w:left="558" w:right="0" w:hanging="288"/>
        <w:jc w:val="both"/>
        <w:rPr>
          <w:color w:val="010101"/>
          <w:sz w:val="18"/>
        </w:rPr>
      </w:pPr>
      <w:r>
        <w:rPr>
          <w:color w:val="010101"/>
          <w:w w:val="105"/>
          <w:sz w:val="18"/>
        </w:rPr>
        <w:t>Obtain an expression for evaluating a..:;:;. , an annuity-due </w:t>
      </w:r>
      <w:r>
        <w:rPr>
          <w:color w:val="010101"/>
          <w:spacing w:val="30"/>
          <w:w w:val="105"/>
          <w:sz w:val="18"/>
        </w:rPr>
        <w:t> </w:t>
      </w:r>
      <w:r>
        <w:rPr>
          <w:color w:val="010101"/>
          <w:w w:val="105"/>
          <w:sz w:val="18"/>
        </w:rPr>
        <w:t>paya.ble</w:t>
      </w:r>
    </w:p>
    <w:p>
      <w:pPr>
        <w:spacing w:line="199" w:lineRule="exact" w:before="0"/>
        <w:ind w:left="113" w:right="0" w:firstLine="0"/>
        <w:jc w:val="left"/>
        <w:rPr>
          <w:sz w:val="16"/>
        </w:rPr>
      </w:pPr>
      <w:r>
        <w:rPr>
          <w:color w:val="010101"/>
          <w:w w:val="105"/>
          <w:sz w:val="18"/>
        </w:rPr>
        <w:t>for as long as  </w:t>
      </w:r>
      <w:r>
        <w:rPr>
          <w:color w:val="010101"/>
          <w:w w:val="105"/>
          <w:sz w:val="16"/>
        </w:rPr>
        <w:t>(w)  </w:t>
      </w:r>
      <w:r>
        <w:rPr>
          <w:color w:val="010101"/>
          <w:w w:val="105"/>
          <w:sz w:val="18"/>
        </w:rPr>
        <w:t>survives jointly  with  at least  two  of  the lives,  (x), </w:t>
      </w:r>
      <w:r>
        <w:rPr>
          <w:color w:val="010101"/>
          <w:w w:val="105"/>
          <w:sz w:val="16"/>
        </w:rPr>
        <w:t>(y),</w:t>
      </w:r>
    </w:p>
    <w:p>
      <w:pPr>
        <w:spacing w:line="204" w:lineRule="exact" w:before="0"/>
        <w:ind w:left="113" w:right="739" w:firstLine="0"/>
        <w:jc w:val="left"/>
        <w:rPr>
          <w:sz w:val="18"/>
        </w:rPr>
      </w:pPr>
      <w:r>
        <w:rPr>
          <w:color w:val="010101"/>
          <w:sz w:val="18"/>
        </w:rPr>
        <w:t>and  (z).</w:t>
      </w:r>
    </w:p>
    <w:p>
      <w:pPr>
        <w:pStyle w:val="BodyText"/>
        <w:spacing w:before="5"/>
        <w:rPr>
          <w:sz w:val="15"/>
        </w:rPr>
      </w:pPr>
    </w:p>
    <w:p>
      <w:pPr>
        <w:spacing w:before="0"/>
        <w:ind w:left="102" w:right="739" w:firstLine="0"/>
        <w:jc w:val="left"/>
        <w:rPr>
          <w:b/>
          <w:sz w:val="16"/>
        </w:rPr>
      </w:pPr>
      <w:r>
        <w:rPr>
          <w:b/>
          <w:color w:val="010101"/>
          <w:w w:val="125"/>
          <w:sz w:val="16"/>
        </w:rPr>
        <w:t>Miscellaneous prohlems</w:t>
      </w:r>
    </w:p>
    <w:p>
      <w:pPr>
        <w:pStyle w:val="ListParagraph"/>
        <w:numPr>
          <w:ilvl w:val="0"/>
          <w:numId w:val="101"/>
        </w:numPr>
        <w:tabs>
          <w:tab w:pos="552" w:val="left" w:leader="none"/>
        </w:tabs>
        <w:spacing w:line="200" w:lineRule="exact" w:before="81" w:after="0"/>
        <w:ind w:left="109" w:right="176" w:firstLine="157"/>
        <w:jc w:val="both"/>
        <w:rPr>
          <w:color w:val="010101"/>
          <w:sz w:val="18"/>
        </w:rPr>
      </w:pPr>
      <w:r>
        <w:rPr>
          <w:color w:val="010101"/>
          <w:sz w:val="18"/>
        </w:rPr>
        <w:t>A partnership is formed by five men, all of whom are </w:t>
      </w:r>
      <w:r>
        <w:rPr>
          <w:b/>
          <w:color w:val="010101"/>
          <w:sz w:val="17"/>
        </w:rPr>
        <w:t>aged </w:t>
      </w:r>
      <w:r>
        <w:rPr>
          <w:i/>
          <w:color w:val="010101"/>
          <w:sz w:val="18"/>
        </w:rPr>
        <w:t>x </w:t>
      </w:r>
      <w:r>
        <w:rPr>
          <w:color w:val="010101"/>
          <w:sz w:val="18"/>
        </w:rPr>
        <w:t>exactly. Find:</w:t>
      </w:r>
    </w:p>
    <w:p>
      <w:pPr>
        <w:pStyle w:val="ListParagraph"/>
        <w:numPr>
          <w:ilvl w:val="1"/>
          <w:numId w:val="101"/>
        </w:numPr>
        <w:tabs>
          <w:tab w:pos="730" w:val="left" w:leader="none"/>
        </w:tabs>
        <w:spacing w:line="232" w:lineRule="auto" w:before="0" w:after="0"/>
        <w:ind w:left="730" w:right="189" w:hanging="282"/>
        <w:jc w:val="left"/>
        <w:rPr>
          <w:sz w:val="18"/>
        </w:rPr>
      </w:pPr>
      <w:r>
        <w:rPr>
          <w:color w:val="010101"/>
          <w:w w:val="105"/>
          <w:sz w:val="18"/>
        </w:rPr>
        <w:t>The probability that not more than three of the original partners will be alive at the end of </w:t>
      </w:r>
      <w:r>
        <w:rPr>
          <w:i/>
          <w:color w:val="010101"/>
          <w:w w:val="105"/>
          <w:sz w:val="18"/>
        </w:rPr>
        <w:t>n  </w:t>
      </w:r>
      <w:r>
        <w:rPr>
          <w:i/>
          <w:color w:val="010101"/>
          <w:spacing w:val="18"/>
          <w:w w:val="105"/>
          <w:sz w:val="18"/>
        </w:rPr>
        <w:t> </w:t>
      </w:r>
      <w:r>
        <w:rPr>
          <w:color w:val="010101"/>
          <w:w w:val="105"/>
          <w:sz w:val="18"/>
        </w:rPr>
        <w:t>years.</w:t>
      </w:r>
    </w:p>
    <w:p>
      <w:pPr>
        <w:pStyle w:val="ListParagraph"/>
        <w:numPr>
          <w:ilvl w:val="1"/>
          <w:numId w:val="101"/>
        </w:numPr>
        <w:tabs>
          <w:tab w:pos="734" w:val="left" w:leader="none"/>
        </w:tabs>
        <w:spacing w:line="232" w:lineRule="auto" w:before="0" w:after="0"/>
        <w:ind w:left="733" w:right="193" w:hanging="285"/>
        <w:jc w:val="left"/>
        <w:rPr>
          <w:sz w:val="18"/>
        </w:rPr>
      </w:pPr>
      <w:r>
        <w:rPr>
          <w:color w:val="010101"/>
          <w:w w:val="105"/>
          <w:sz w:val="18"/>
        </w:rPr>
        <w:t>The probability that not more than one of the original  partners  will  die in the n-th</w:t>
      </w:r>
      <w:r>
        <w:rPr>
          <w:color w:val="010101"/>
          <w:spacing w:val="39"/>
          <w:w w:val="105"/>
          <w:sz w:val="18"/>
        </w:rPr>
        <w:t> </w:t>
      </w:r>
      <w:r>
        <w:rPr>
          <w:color w:val="010101"/>
          <w:w w:val="105"/>
          <w:sz w:val="18"/>
        </w:rPr>
        <w:t>year.</w:t>
      </w:r>
    </w:p>
    <w:p>
      <w:pPr>
        <w:pStyle w:val="ListParagraph"/>
        <w:numPr>
          <w:ilvl w:val="0"/>
          <w:numId w:val="101"/>
        </w:numPr>
        <w:tabs>
          <w:tab w:pos="556" w:val="left" w:leader="none"/>
        </w:tabs>
        <w:spacing w:line="198" w:lineRule="exact" w:before="4" w:after="0"/>
        <w:ind w:left="116" w:right="192" w:firstLine="150"/>
        <w:jc w:val="both"/>
        <w:rPr>
          <w:color w:val="010101"/>
          <w:sz w:val="18"/>
        </w:rPr>
      </w:pPr>
      <w:r>
        <w:rPr>
          <w:color w:val="010101"/>
          <w:sz w:val="18"/>
        </w:rPr>
        <w:t>An extra.et from a  ta.ble  of  joínt-life  annuities  valued  at  3 % reads as</w:t>
      </w:r>
      <w:r>
        <w:rPr>
          <w:color w:val="010101"/>
          <w:spacing w:val="21"/>
          <w:sz w:val="18"/>
        </w:rPr>
        <w:t> </w:t>
      </w:r>
      <w:r>
        <w:rPr>
          <w:color w:val="010101"/>
          <w:sz w:val="18"/>
        </w:rPr>
        <w:t>follows:</w:t>
      </w:r>
    </w:p>
    <w:p>
      <w:pPr>
        <w:spacing w:after="0" w:line="198" w:lineRule="exact"/>
        <w:jc w:val="both"/>
        <w:rPr>
          <w:sz w:val="18"/>
        </w:rPr>
        <w:sectPr>
          <w:type w:val="continuous"/>
          <w:pgSz w:w="7200" w:h="11340"/>
          <w:pgMar w:top="1100" w:bottom="0" w:left="700" w:right="520"/>
        </w:sectPr>
      </w:pPr>
    </w:p>
    <w:p>
      <w:pPr>
        <w:spacing w:before="142"/>
        <w:ind w:left="1614" w:right="122" w:firstLine="0"/>
        <w:jc w:val="center"/>
        <w:rPr>
          <w:b/>
          <w:sz w:val="13"/>
        </w:rPr>
      </w:pPr>
      <w:r>
        <w:rPr>
          <w:b/>
          <w:color w:val="010101"/>
          <w:sz w:val="17"/>
        </w:rPr>
        <w:t>Ace </w:t>
      </w:r>
      <w:r>
        <w:rPr>
          <w:b/>
          <w:color w:val="010101"/>
          <w:sz w:val="13"/>
        </w:rPr>
        <w:t>of LiveÍ</w:t>
      </w:r>
    </w:p>
    <w:p>
      <w:pPr>
        <w:spacing w:before="65"/>
        <w:ind w:left="1521" w:right="0" w:firstLine="0"/>
        <w:jc w:val="left"/>
        <w:rPr>
          <w:sz w:val="16"/>
        </w:rPr>
      </w:pPr>
      <w:r>
        <w:rPr>
          <w:color w:val="010101"/>
          <w:w w:val="105"/>
          <w:sz w:val="16"/>
        </w:rPr>
        <w:t>26:  20: 28</w:t>
      </w:r>
    </w:p>
    <w:p>
      <w:pPr>
        <w:spacing w:before="13"/>
        <w:ind w:left="1528" w:right="0" w:firstLine="0"/>
        <w:jc w:val="left"/>
        <w:rPr>
          <w:sz w:val="16"/>
        </w:rPr>
      </w:pPr>
      <w:r>
        <w:rPr>
          <w:color w:val="010101"/>
          <w:w w:val="110"/>
          <w:sz w:val="16"/>
        </w:rPr>
        <w:t>29: 26: 20</w:t>
      </w:r>
    </w:p>
    <w:p>
      <w:pPr>
        <w:spacing w:before="13"/>
        <w:ind w:left="1528" w:right="0" w:firstLine="0"/>
        <w:jc w:val="left"/>
        <w:rPr>
          <w:sz w:val="16"/>
        </w:rPr>
      </w:pPr>
      <w:r>
        <w:rPr>
          <w:color w:val="010101"/>
          <w:w w:val="105"/>
          <w:sz w:val="16"/>
        </w:rPr>
        <w:t>28: 29: 26</w:t>
      </w:r>
    </w:p>
    <w:p>
      <w:pPr>
        <w:spacing w:before="13"/>
        <w:ind w:left="1532" w:right="0" w:firstLine="0"/>
        <w:jc w:val="left"/>
        <w:rPr>
          <w:sz w:val="16"/>
        </w:rPr>
      </w:pPr>
      <w:r>
        <w:rPr>
          <w:color w:val="010101"/>
          <w:w w:val="105"/>
          <w:sz w:val="16"/>
        </w:rPr>
        <w:t>20: 28: 29</w:t>
      </w:r>
    </w:p>
    <w:p>
      <w:pPr>
        <w:spacing w:before="17"/>
        <w:ind w:left="1528" w:right="0" w:firstLine="0"/>
        <w:jc w:val="left"/>
        <w:rPr>
          <w:sz w:val="16"/>
        </w:rPr>
      </w:pPr>
      <w:r>
        <w:rPr>
          <w:color w:val="010101"/>
          <w:w w:val="110"/>
          <w:sz w:val="16"/>
        </w:rPr>
        <w:t>29: 26: 28: 20</w:t>
      </w:r>
    </w:p>
    <w:p>
      <w:pPr>
        <w:spacing w:line="140" w:lineRule="exact" w:before="45"/>
        <w:ind w:left="451" w:right="1151" w:firstLine="0"/>
        <w:jc w:val="center"/>
        <w:rPr>
          <w:sz w:val="14"/>
        </w:rPr>
      </w:pPr>
      <w:r>
        <w:rPr/>
        <w:br w:type="column"/>
      </w:r>
      <w:r>
        <w:rPr>
          <w:color w:val="010101"/>
          <w:sz w:val="14"/>
        </w:rPr>
        <w:t>Net  Single Premium Joint-Life</w:t>
      </w:r>
    </w:p>
    <w:p>
      <w:pPr>
        <w:spacing w:line="140" w:lineRule="exact" w:before="0"/>
        <w:ind w:left="404" w:right="1151" w:firstLine="0"/>
        <w:jc w:val="center"/>
        <w:rPr>
          <w:sz w:val="14"/>
        </w:rPr>
      </w:pPr>
      <w:r>
        <w:rPr>
          <w:b/>
          <w:color w:val="010101"/>
          <w:sz w:val="13"/>
        </w:rPr>
        <w:t>Immediate </w:t>
      </w:r>
      <w:r>
        <w:rPr>
          <w:color w:val="010101"/>
          <w:sz w:val="14"/>
        </w:rPr>
        <w:t>Annuity</w:t>
      </w:r>
    </w:p>
    <w:p>
      <w:pPr>
        <w:spacing w:before="75"/>
        <w:ind w:left="451" w:right="1130" w:firstLine="0"/>
        <w:jc w:val="center"/>
        <w:rPr>
          <w:sz w:val="16"/>
        </w:rPr>
      </w:pPr>
      <w:r>
        <w:rPr>
          <w:color w:val="010101"/>
          <w:w w:val="110"/>
          <w:sz w:val="16"/>
        </w:rPr>
        <w:t>14.40</w:t>
      </w:r>
    </w:p>
    <w:p>
      <w:pPr>
        <w:spacing w:before="13"/>
        <w:ind w:left="451" w:right="1123" w:firstLine="0"/>
        <w:jc w:val="center"/>
        <w:rPr>
          <w:sz w:val="16"/>
        </w:rPr>
      </w:pPr>
      <w:r>
        <w:rPr>
          <w:color w:val="010101"/>
          <w:w w:val="110"/>
          <w:sz w:val="16"/>
        </w:rPr>
        <w:t>14.30</w:t>
      </w:r>
    </w:p>
    <w:p>
      <w:pPr>
        <w:spacing w:before="7"/>
        <w:ind w:left="451" w:right="1123" w:firstLine="0"/>
        <w:jc w:val="center"/>
        <w:rPr>
          <w:sz w:val="17"/>
        </w:rPr>
      </w:pPr>
      <w:r>
        <w:rPr>
          <w:color w:val="010101"/>
          <w:w w:val="105"/>
          <w:sz w:val="17"/>
        </w:rPr>
        <w:t>13.80</w:t>
      </w:r>
    </w:p>
    <w:p>
      <w:pPr>
        <w:spacing w:before="11"/>
        <w:ind w:left="451" w:right="1120" w:firstLine="0"/>
        <w:jc w:val="center"/>
        <w:rPr>
          <w:sz w:val="16"/>
        </w:rPr>
      </w:pPr>
      <w:r>
        <w:rPr>
          <w:color w:val="010101"/>
          <w:w w:val="115"/>
          <w:sz w:val="16"/>
        </w:rPr>
        <w:t>14.00</w:t>
      </w:r>
    </w:p>
    <w:p>
      <w:pPr>
        <w:spacing w:before="9"/>
        <w:ind w:left="451" w:right="1116" w:firstLine="0"/>
        <w:jc w:val="center"/>
        <w:rPr>
          <w:sz w:val="16"/>
        </w:rPr>
      </w:pPr>
      <w:r>
        <w:rPr>
          <w:color w:val="010101"/>
          <w:w w:val="110"/>
          <w:sz w:val="16"/>
        </w:rPr>
        <w:t>12.50</w:t>
      </w:r>
    </w:p>
    <w:p>
      <w:pPr>
        <w:spacing w:after="0"/>
        <w:jc w:val="center"/>
        <w:rPr>
          <w:sz w:val="16"/>
        </w:rPr>
        <w:sectPr>
          <w:type w:val="continuous"/>
          <w:pgSz w:w="7200" w:h="11340"/>
          <w:pgMar w:top="1100" w:bottom="0" w:left="700" w:right="520"/>
          <w:cols w:num="2" w:equalWidth="0">
            <w:col w:w="2531" w:space="40"/>
            <w:col w:w="3409"/>
          </w:cols>
        </w:sectPr>
      </w:pPr>
    </w:p>
    <w:p>
      <w:pPr>
        <w:spacing w:before="47"/>
        <w:ind w:left="119" w:right="0" w:hanging="4"/>
        <w:jc w:val="both"/>
        <w:rPr>
          <w:sz w:val="20"/>
        </w:rPr>
      </w:pPr>
      <w:r>
        <w:rPr>
          <w:w w:val="105"/>
          <w:sz w:val="20"/>
        </w:rPr>
        <w:t>224    </w:t>
      </w:r>
      <w:r>
        <w:rPr>
          <w:w w:val="105"/>
          <w:sz w:val="15"/>
        </w:rPr>
        <w:t>LAST-SURVIVOR   AND  GENERAL  MULTI-LIJ'E  STATUSE8       [CH.   </w:t>
      </w:r>
      <w:r>
        <w:rPr>
          <w:spacing w:val="-22"/>
          <w:w w:val="105"/>
          <w:sz w:val="20"/>
        </w:rPr>
        <w:t>10</w:t>
      </w:r>
    </w:p>
    <w:p>
      <w:pPr>
        <w:pStyle w:val="BodyText"/>
        <w:spacing w:before="10"/>
      </w:pPr>
    </w:p>
    <w:p>
      <w:pPr>
        <w:tabs>
          <w:tab w:pos="5022" w:val="left" w:leader="none"/>
        </w:tabs>
        <w:spacing w:line="232" w:lineRule="auto" w:before="0"/>
        <w:ind w:left="123" w:right="120" w:hanging="4"/>
        <w:jc w:val="both"/>
        <w:rPr>
          <w:b/>
          <w:sz w:val="17"/>
        </w:rPr>
      </w:pPr>
      <w:r>
        <w:rPr>
          <w:sz w:val="18"/>
        </w:rPr>
        <w:t>Find the net  single premium  for  an insurance  of  </w:t>
      </w:r>
      <w:r>
        <w:rPr>
          <w:spacing w:val="-11"/>
          <w:sz w:val="18"/>
        </w:rPr>
        <w:t>$1000  </w:t>
      </w:r>
      <w:r>
        <w:rPr>
          <w:sz w:val="18"/>
        </w:rPr>
        <w:t>payable  at  the  end  of the year  of  death of  the second life to fa.il out of  four lives aged 20, 26,  28,</w:t>
      </w:r>
      <w:r>
        <w:rPr>
          <w:spacing w:val="13"/>
          <w:sz w:val="18"/>
        </w:rPr>
        <w:t> </w:t>
      </w:r>
      <w:r>
        <w:rPr>
          <w:sz w:val="18"/>
        </w:rPr>
        <w:t>and</w:t>
      </w:r>
      <w:r>
        <w:rPr>
          <w:spacing w:val="16"/>
          <w:sz w:val="18"/>
        </w:rPr>
        <w:t> </w:t>
      </w:r>
      <w:r>
        <w:rPr>
          <w:sz w:val="18"/>
        </w:rPr>
        <w:t>29.</w:t>
        <w:tab/>
      </w:r>
      <w:r>
        <w:rPr>
          <w:b/>
          <w:sz w:val="17"/>
        </w:rPr>
        <w:t>{Ans.</w:t>
      </w:r>
      <w:r>
        <w:rPr>
          <w:b/>
          <w:spacing w:val="5"/>
          <w:sz w:val="17"/>
        </w:rPr>
        <w:t> </w:t>
      </w:r>
      <w:r>
        <w:rPr>
          <w:b/>
          <w:sz w:val="17"/>
        </w:rPr>
        <w:t>$324)</w:t>
      </w:r>
    </w:p>
    <w:p>
      <w:pPr>
        <w:pStyle w:val="BodyText"/>
        <w:spacing w:before="4"/>
        <w:rPr>
          <w:b/>
          <w:sz w:val="15"/>
        </w:rPr>
      </w:pPr>
    </w:p>
    <w:p>
      <w:pPr>
        <w:pStyle w:val="ListParagraph"/>
        <w:numPr>
          <w:ilvl w:val="0"/>
          <w:numId w:val="101"/>
        </w:numPr>
        <w:tabs>
          <w:tab w:pos="577" w:val="left" w:leader="none"/>
        </w:tabs>
        <w:spacing w:line="146" w:lineRule="auto" w:before="0" w:after="0"/>
        <w:ind w:left="123" w:right="124" w:firstLine="158"/>
        <w:jc w:val="both"/>
        <w:rPr>
          <w:i/>
          <w:sz w:val="18"/>
        </w:rPr>
      </w:pPr>
      <w:r>
        <w:rPr>
          <w:w w:val="105"/>
          <w:sz w:val="18"/>
        </w:rPr>
        <w:t>An annuity of 1 is payable to (x) a.nd </w:t>
      </w:r>
      <w:r>
        <w:rPr>
          <w:w w:val="105"/>
          <w:sz w:val="16"/>
        </w:rPr>
        <w:t>(y) </w:t>
      </w:r>
      <w:r>
        <w:rPr>
          <w:w w:val="105"/>
          <w:sz w:val="18"/>
        </w:rPr>
        <w:t>on a last-survivor basis commencing at the end of </w:t>
      </w:r>
      <w:r>
        <w:rPr>
          <w:i/>
          <w:w w:val="105"/>
          <w:sz w:val="18"/>
        </w:rPr>
        <w:t>m </w:t>
      </w:r>
      <w:r>
        <w:rPr>
          <w:rFonts w:ascii="Arial"/>
          <w:w w:val="105"/>
          <w:sz w:val="26"/>
        </w:rPr>
        <w:t>+ </w:t>
      </w:r>
      <w:r>
        <w:rPr>
          <w:i/>
          <w:w w:val="105"/>
          <w:sz w:val="17"/>
        </w:rPr>
        <w:t>k </w:t>
      </w:r>
      <w:r>
        <w:rPr>
          <w:w w:val="105"/>
          <w:sz w:val="18"/>
        </w:rPr>
        <w:t>years, provided that both lives  </w:t>
      </w:r>
      <w:r>
        <w:rPr>
          <w:spacing w:val="25"/>
          <w:w w:val="105"/>
          <w:sz w:val="18"/>
        </w:rPr>
        <w:t> </w:t>
      </w:r>
      <w:r>
        <w:rPr>
          <w:w w:val="105"/>
          <w:sz w:val="18"/>
        </w:rPr>
        <w:t>survive </w:t>
      </w:r>
      <w:r>
        <w:rPr>
          <w:i/>
          <w:w w:val="105"/>
          <w:sz w:val="18"/>
        </w:rPr>
        <w:t>m</w:t>
      </w:r>
    </w:p>
    <w:p>
      <w:pPr>
        <w:spacing w:before="0"/>
        <w:ind w:left="123" w:right="0" w:firstLine="0"/>
        <w:jc w:val="both"/>
        <w:rPr>
          <w:sz w:val="18"/>
        </w:rPr>
      </w:pPr>
      <w:r>
        <w:rPr/>
        <w:drawing>
          <wp:anchor distT="0" distB="0" distL="0" distR="0" allowOverlap="1" layoutInCell="1" locked="0" behindDoc="0" simplePos="0" relativeHeight="17800">
            <wp:simplePos x="0" y="0"/>
            <wp:positionH relativeFrom="page">
              <wp:posOffset>1307591</wp:posOffset>
            </wp:positionH>
            <wp:positionV relativeFrom="paragraph">
              <wp:posOffset>218723</wp:posOffset>
            </wp:positionV>
            <wp:extent cx="1984248" cy="109727"/>
            <wp:effectExtent l="0" t="0" r="0" b="0"/>
            <wp:wrapTopAndBottom/>
            <wp:docPr id="477" name="image244.png" descr=""/>
            <wp:cNvGraphicFramePr>
              <a:graphicFrameLocks noChangeAspect="1"/>
            </wp:cNvGraphicFramePr>
            <a:graphic>
              <a:graphicData uri="http://schemas.openxmlformats.org/drawingml/2006/picture">
                <pic:pic>
                  <pic:nvPicPr>
                    <pic:cNvPr id="478" name="image244.png"/>
                    <pic:cNvPicPr/>
                  </pic:nvPicPr>
                  <pic:blipFill>
                    <a:blip r:embed="rId248" cstate="print"/>
                    <a:stretch>
                      <a:fillRect/>
                    </a:stretch>
                  </pic:blipFill>
                  <pic:spPr>
                    <a:xfrm>
                      <a:off x="0" y="0"/>
                      <a:ext cx="1984248" cy="109727"/>
                    </a:xfrm>
                    <a:prstGeom prst="rect">
                      <a:avLst/>
                    </a:prstGeom>
                  </pic:spPr>
                </pic:pic>
              </a:graphicData>
            </a:graphic>
          </wp:anchor>
        </w:drawing>
      </w:r>
      <w:r>
        <w:rPr>
          <w:w w:val="105"/>
          <w:sz w:val="18"/>
        </w:rPr>
        <w:t>years.  Show that  its present  value is</w:t>
      </w:r>
    </w:p>
    <w:p>
      <w:pPr>
        <w:pStyle w:val="ListParagraph"/>
        <w:numPr>
          <w:ilvl w:val="0"/>
          <w:numId w:val="101"/>
        </w:numPr>
        <w:tabs>
          <w:tab w:pos="570" w:val="left" w:leader="none"/>
        </w:tabs>
        <w:spacing w:line="202" w:lineRule="exact" w:before="83" w:after="0"/>
        <w:ind w:left="119" w:right="141" w:firstLine="162"/>
        <w:jc w:val="both"/>
        <w:rPr>
          <w:sz w:val="18"/>
        </w:rPr>
      </w:pPr>
      <w:r>
        <w:rPr>
          <w:w w:val="105"/>
          <w:sz w:val="18"/>
        </w:rPr>
        <w:t>An annuity of 1 is payable yearly to </w:t>
      </w:r>
      <w:r>
        <w:rPr>
          <w:w w:val="105"/>
          <w:sz w:val="16"/>
        </w:rPr>
        <w:t>(2:) </w:t>
      </w:r>
      <w:r>
        <w:rPr>
          <w:w w:val="105"/>
          <w:sz w:val="18"/>
        </w:rPr>
        <w:t>as long as he livea jointly with  </w:t>
      </w:r>
      <w:r>
        <w:rPr>
          <w:rFonts w:ascii="Arial"/>
          <w:i/>
          <w:spacing w:val="4"/>
          <w:w w:val="105"/>
          <w:sz w:val="15"/>
        </w:rPr>
        <w:t>(y) </w:t>
      </w:r>
      <w:r>
        <w:rPr>
          <w:w w:val="105"/>
          <w:sz w:val="18"/>
        </w:rPr>
        <w:t>and for </w:t>
      </w:r>
      <w:r>
        <w:rPr>
          <w:i/>
          <w:w w:val="105"/>
          <w:sz w:val="18"/>
        </w:rPr>
        <w:t>n </w:t>
      </w:r>
      <w:r>
        <w:rPr>
          <w:w w:val="105"/>
          <w:sz w:val="18"/>
        </w:rPr>
        <w:t>years </w:t>
      </w:r>
      <w:r>
        <w:rPr>
          <w:spacing w:val="3"/>
          <w:w w:val="105"/>
          <w:sz w:val="18"/>
        </w:rPr>
        <w:t>after </w:t>
      </w:r>
      <w:r>
        <w:rPr>
          <w:w w:val="105"/>
          <w:sz w:val="18"/>
        </w:rPr>
        <w:t>the death of  </w:t>
      </w:r>
      <w:r>
        <w:rPr>
          <w:i/>
          <w:sz w:val="16"/>
        </w:rPr>
        <w:t>(11)  </w:t>
      </w:r>
      <w:r>
        <w:rPr>
          <w:w w:val="105"/>
          <w:sz w:val="18"/>
        </w:rPr>
        <w:t>except that in no event </w:t>
      </w:r>
      <w:r>
        <w:rPr>
          <w:spacing w:val="40"/>
          <w:w w:val="105"/>
          <w:sz w:val="18"/>
        </w:rPr>
        <w:t> </w:t>
      </w:r>
      <w:r>
        <w:rPr>
          <w:w w:val="105"/>
          <w:sz w:val="17"/>
        </w:rPr>
        <w:t>will</w:t>
      </w:r>
    </w:p>
    <w:p>
      <w:pPr>
        <w:spacing w:line="202" w:lineRule="exact" w:before="0"/>
        <w:ind w:left="119" w:right="0" w:firstLine="0"/>
        <w:jc w:val="both"/>
        <w:rPr>
          <w:sz w:val="18"/>
        </w:rPr>
      </w:pPr>
      <w:r>
        <w:rPr>
          <w:w w:val="105"/>
          <w:sz w:val="18"/>
        </w:rPr>
        <w:t>payments  </w:t>
      </w:r>
      <w:r>
        <w:rPr>
          <w:w w:val="105"/>
          <w:sz w:val="17"/>
        </w:rPr>
        <w:t>be </w:t>
      </w:r>
      <w:r>
        <w:rPr>
          <w:w w:val="105"/>
          <w:sz w:val="18"/>
        </w:rPr>
        <w:t>made after </w:t>
      </w:r>
      <w:r>
        <w:rPr>
          <w:i/>
          <w:w w:val="105"/>
          <w:sz w:val="18"/>
        </w:rPr>
        <w:t>m </w:t>
      </w:r>
      <w:r>
        <w:rPr>
          <w:w w:val="105"/>
          <w:sz w:val="18"/>
        </w:rPr>
        <w:t>years from the present time, </w:t>
      </w:r>
      <w:r>
        <w:rPr>
          <w:i/>
          <w:w w:val="105"/>
          <w:sz w:val="18"/>
        </w:rPr>
        <w:t>m    </w:t>
      </w:r>
      <w:r>
        <w:rPr>
          <w:rFonts w:ascii="Arial"/>
          <w:w w:val="105"/>
          <w:sz w:val="23"/>
        </w:rPr>
        <w:t>&gt; </w:t>
      </w:r>
      <w:r>
        <w:rPr>
          <w:i/>
          <w:w w:val="105"/>
          <w:sz w:val="18"/>
        </w:rPr>
        <w:t>n. </w:t>
      </w:r>
      <w:r>
        <w:rPr>
          <w:w w:val="105"/>
          <w:sz w:val="18"/>
        </w:rPr>
        <w:t>Show that</w:t>
      </w:r>
    </w:p>
    <w:p>
      <w:pPr>
        <w:spacing w:line="199" w:lineRule="exact" w:before="0"/>
        <w:ind w:left="119" w:right="0" w:firstLine="0"/>
        <w:jc w:val="both"/>
        <w:rPr>
          <w:sz w:val="18"/>
        </w:rPr>
      </w:pPr>
      <w:r>
        <w:rPr>
          <w:w w:val="105"/>
          <w:sz w:val="18"/>
        </w:rPr>
        <w:t>ita present  value is</w:t>
      </w:r>
    </w:p>
    <w:p>
      <w:pPr>
        <w:pStyle w:val="BodyText"/>
        <w:spacing w:before="5"/>
        <w:rPr>
          <w:sz w:val="9"/>
        </w:rPr>
      </w:pPr>
      <w:r>
        <w:rPr/>
        <w:drawing>
          <wp:anchor distT="0" distB="0" distL="0" distR="0" allowOverlap="1" layoutInCell="1" locked="0" behindDoc="0" simplePos="0" relativeHeight="17824">
            <wp:simplePos x="0" y="0"/>
            <wp:positionH relativeFrom="page">
              <wp:posOffset>1709927</wp:posOffset>
            </wp:positionH>
            <wp:positionV relativeFrom="paragraph">
              <wp:posOffset>94148</wp:posOffset>
            </wp:positionV>
            <wp:extent cx="1197863" cy="256032"/>
            <wp:effectExtent l="0" t="0" r="0" b="0"/>
            <wp:wrapTopAndBottom/>
            <wp:docPr id="479" name="image245.png" descr=""/>
            <wp:cNvGraphicFramePr>
              <a:graphicFrameLocks noChangeAspect="1"/>
            </wp:cNvGraphicFramePr>
            <a:graphic>
              <a:graphicData uri="http://schemas.openxmlformats.org/drawingml/2006/picture">
                <pic:pic>
                  <pic:nvPicPr>
                    <pic:cNvPr id="480" name="image245.png"/>
                    <pic:cNvPicPr/>
                  </pic:nvPicPr>
                  <pic:blipFill>
                    <a:blip r:embed="rId249" cstate="print"/>
                    <a:stretch>
                      <a:fillRect/>
                    </a:stretch>
                  </pic:blipFill>
                  <pic:spPr>
                    <a:xfrm>
                      <a:off x="0" y="0"/>
                      <a:ext cx="1197863" cy="256032"/>
                    </a:xfrm>
                    <a:prstGeom prst="rect">
                      <a:avLst/>
                    </a:prstGeom>
                  </pic:spPr>
                </pic:pic>
              </a:graphicData>
            </a:graphic>
          </wp:anchor>
        </w:drawing>
      </w:r>
    </w:p>
    <w:p>
      <w:pPr>
        <w:pStyle w:val="ListParagraph"/>
        <w:numPr>
          <w:ilvl w:val="0"/>
          <w:numId w:val="101"/>
        </w:numPr>
        <w:tabs>
          <w:tab w:pos="577" w:val="left" w:leader="none"/>
        </w:tabs>
        <w:spacing w:line="151" w:lineRule="auto" w:before="160" w:after="0"/>
        <w:ind w:left="126" w:right="130" w:firstLine="162"/>
        <w:jc w:val="both"/>
        <w:rPr>
          <w:sz w:val="18"/>
        </w:rPr>
      </w:pPr>
      <w:r>
        <w:rPr>
          <w:w w:val="105"/>
          <w:sz w:val="18"/>
        </w:rPr>
        <w:t>An insurance of 1 is to </w:t>
      </w:r>
      <w:r>
        <w:rPr>
          <w:rFonts w:ascii="Arial"/>
          <w:w w:val="105"/>
          <w:sz w:val="16"/>
        </w:rPr>
        <w:t>be </w:t>
      </w:r>
      <w:r>
        <w:rPr>
          <w:w w:val="105"/>
          <w:sz w:val="18"/>
        </w:rPr>
        <w:t>payable in the event  that  (z) dies before age </w:t>
      </w:r>
      <w:r>
        <w:rPr>
          <w:i/>
          <w:w w:val="105"/>
          <w:sz w:val="18"/>
        </w:rPr>
        <w:t>x  </w:t>
      </w:r>
      <w:r>
        <w:rPr>
          <w:rFonts w:ascii="Arial"/>
          <w:w w:val="105"/>
          <w:sz w:val="26"/>
        </w:rPr>
        <w:t>+ </w:t>
      </w:r>
      <w:r>
        <w:rPr>
          <w:i/>
          <w:w w:val="105"/>
          <w:sz w:val="18"/>
        </w:rPr>
        <w:t>n </w:t>
      </w:r>
      <w:r>
        <w:rPr>
          <w:w w:val="105"/>
          <w:sz w:val="18"/>
        </w:rPr>
        <w:t>and  </w:t>
      </w:r>
      <w:r>
        <w:rPr>
          <w:rFonts w:ascii="Arial"/>
          <w:w w:val="105"/>
          <w:sz w:val="15"/>
        </w:rPr>
        <w:t>(y) </w:t>
      </w:r>
      <w:r>
        <w:rPr>
          <w:w w:val="105"/>
          <w:sz w:val="18"/>
        </w:rPr>
        <w:t>dies before  age </w:t>
      </w:r>
      <w:r>
        <w:rPr>
          <w:rFonts w:ascii="Arial"/>
          <w:i/>
          <w:w w:val="105"/>
          <w:sz w:val="15"/>
        </w:rPr>
        <w:t>y  </w:t>
      </w:r>
      <w:r>
        <w:rPr>
          <w:rFonts w:ascii="Arial"/>
          <w:w w:val="105"/>
          <w:sz w:val="26"/>
        </w:rPr>
        <w:t>+ </w:t>
      </w:r>
      <w:r>
        <w:rPr>
          <w:i/>
          <w:w w:val="105"/>
          <w:sz w:val="18"/>
        </w:rPr>
        <w:t>m, </w:t>
      </w:r>
      <w:r>
        <w:rPr>
          <w:w w:val="105"/>
          <w:sz w:val="18"/>
        </w:rPr>
        <w:t>where  </w:t>
      </w:r>
      <w:r>
        <w:rPr>
          <w:i/>
          <w:w w:val="105"/>
          <w:sz w:val="18"/>
        </w:rPr>
        <w:t>m  </w:t>
      </w:r>
      <w:r>
        <w:rPr>
          <w:w w:val="105"/>
          <w:sz w:val="21"/>
        </w:rPr>
        <w:t>&lt; </w:t>
      </w:r>
      <w:r>
        <w:rPr>
          <w:i/>
          <w:w w:val="105"/>
          <w:sz w:val="18"/>
        </w:rPr>
        <w:t>n, </w:t>
      </w:r>
      <w:r>
        <w:rPr>
          <w:w w:val="105"/>
          <w:sz w:val="18"/>
        </w:rPr>
        <w:t>the face</w:t>
      </w:r>
      <w:r>
        <w:rPr>
          <w:spacing w:val="24"/>
          <w:w w:val="105"/>
          <w:sz w:val="18"/>
        </w:rPr>
        <w:t> </w:t>
      </w:r>
      <w:r>
        <w:rPr>
          <w:w w:val="105"/>
          <w:sz w:val="18"/>
        </w:rPr>
        <w:t>amount</w:t>
      </w:r>
    </w:p>
    <w:p>
      <w:pPr>
        <w:spacing w:line="200" w:lineRule="exact" w:before="0"/>
        <w:ind w:left="126" w:right="0" w:firstLine="0"/>
        <w:jc w:val="both"/>
        <w:rPr>
          <w:sz w:val="18"/>
        </w:rPr>
      </w:pPr>
      <w:r>
        <w:rPr>
          <w:w w:val="105"/>
          <w:sz w:val="18"/>
        </w:rPr>
        <w:t>becoming paya.ble at the end of the year in whicb the second death  occurs.</w:t>
      </w:r>
    </w:p>
    <w:p>
      <w:pPr>
        <w:spacing w:line="204" w:lineRule="exact" w:before="0"/>
        <w:ind w:left="119" w:right="0" w:firstLine="0"/>
        <w:jc w:val="both"/>
        <w:rPr>
          <w:sz w:val="18"/>
        </w:rPr>
      </w:pPr>
      <w:r>
        <w:rPr>
          <w:w w:val="105"/>
          <w:sz w:val="18"/>
        </w:rPr>
        <w:t>Show that  the present  value may  </w:t>
      </w:r>
      <w:r>
        <w:rPr>
          <w:rFonts w:ascii="Arial"/>
          <w:w w:val="105"/>
          <w:sz w:val="16"/>
        </w:rPr>
        <w:t>be </w:t>
      </w:r>
      <w:r>
        <w:rPr>
          <w:w w:val="105"/>
          <w:sz w:val="18"/>
        </w:rPr>
        <w:t>expressed as</w:t>
      </w:r>
    </w:p>
    <w:p>
      <w:pPr>
        <w:tabs>
          <w:tab w:pos="1965" w:val="left" w:leader="none"/>
        </w:tabs>
        <w:spacing w:line="91" w:lineRule="exact" w:before="105"/>
        <w:ind w:left="0" w:right="380" w:firstLine="0"/>
        <w:jc w:val="center"/>
        <w:rPr>
          <w:rFonts w:ascii="Arial"/>
          <w:b/>
          <w:sz w:val="10"/>
        </w:rPr>
      </w:pPr>
      <w:r>
        <w:rPr/>
        <w:pict>
          <v:shape style="position:absolute;margin-left:138.059998pt;margin-top:6.065863pt;width:8.0500pt;height:13pt;mso-position-horizontal-relative:page;mso-position-vertical-relative:paragraph;z-index:-718192" type="#_x0000_t202" filled="false" stroked="false">
            <v:textbox inset="0,0,0,0">
              <w:txbxContent>
                <w:p>
                  <w:pPr>
                    <w:spacing w:line="260" w:lineRule="exact" w:before="0"/>
                    <w:ind w:left="0" w:right="0" w:firstLine="0"/>
                    <w:jc w:val="left"/>
                    <w:rPr>
                      <w:rFonts w:ascii="Arial"/>
                      <w:sz w:val="26"/>
                    </w:rPr>
                  </w:pPr>
                  <w:r>
                    <w:rPr>
                      <w:rFonts w:ascii="Arial"/>
                      <w:w w:val="105"/>
                      <w:sz w:val="26"/>
                    </w:rPr>
                    <w:t>+</w:t>
                  </w:r>
                </w:p>
              </w:txbxContent>
            </v:textbox>
            <w10:wrap type="none"/>
          </v:shape>
        </w:pict>
      </w:r>
      <w:r>
        <w:rPr>
          <w:rFonts w:ascii="Arial"/>
          <w:b/>
          <w:w w:val="300"/>
          <w:sz w:val="10"/>
        </w:rPr>
        <w:t>l</w:t>
        <w:tab/>
        <w:t>l</w:t>
      </w:r>
    </w:p>
    <w:p>
      <w:pPr>
        <w:tabs>
          <w:tab w:pos="2337" w:val="left" w:leader="none"/>
        </w:tabs>
        <w:spacing w:line="172" w:lineRule="exact" w:before="0"/>
        <w:ind w:left="1635" w:right="0" w:firstLine="0"/>
        <w:jc w:val="left"/>
        <w:rPr>
          <w:sz w:val="16"/>
        </w:rPr>
      </w:pPr>
      <w:r>
        <w:rPr/>
        <w:pict>
          <v:line style="position:absolute;mso-position-horizontal-relative:page;mso-position-vertical-relative:paragraph;z-index:-718216" from="237.600006pt,6.966675pt" to="241.380006pt,6.966675pt" stroked="true" strokeweight=".36pt" strokecolor="#000000">
            <w10:wrap type="none"/>
          </v:line>
        </w:pict>
      </w:r>
      <w:r>
        <w:rPr>
          <w:rFonts w:ascii="Arial" w:hAnsi="Arial"/>
          <w:i/>
          <w:w w:val="117"/>
          <w:sz w:val="17"/>
        </w:rPr>
        <w:t>A;;ii¡</w:t>
      </w:r>
      <w:r>
        <w:rPr>
          <w:rFonts w:ascii="Arial" w:hAnsi="Arial"/>
          <w:i/>
          <w:sz w:val="17"/>
        </w:rPr>
        <w:tab/>
      </w:r>
      <w:r>
        <w:rPr>
          <w:rFonts w:ascii="Arial" w:hAnsi="Arial"/>
          <w:w w:val="125"/>
          <w:sz w:val="16"/>
        </w:rPr>
        <w:t>v</w:t>
      </w:r>
      <w:r>
        <w:rPr>
          <w:rFonts w:ascii="Arial" w:hAnsi="Arial"/>
          <w:spacing w:val="-3"/>
          <w:w w:val="125"/>
          <w:sz w:val="16"/>
        </w:rPr>
        <w:t>•</w:t>
      </w:r>
      <w:r>
        <w:rPr>
          <w:rFonts w:ascii="Arial" w:hAnsi="Arial"/>
          <w:w w:val="143"/>
          <w:sz w:val="16"/>
        </w:rPr>
        <w:t>,</w:t>
      </w:r>
      <w:r>
        <w:rPr>
          <w:rFonts w:ascii="Arial" w:hAnsi="Arial"/>
          <w:spacing w:val="-38"/>
          <w:w w:val="143"/>
          <w:sz w:val="16"/>
        </w:rPr>
        <w:t>.</w:t>
      </w:r>
      <w:r>
        <w:rPr>
          <w:rFonts w:ascii="Arial" w:hAnsi="Arial"/>
          <w:w w:val="127"/>
          <w:sz w:val="16"/>
        </w:rPr>
        <w:t>p</w:t>
      </w:r>
      <w:r>
        <w:rPr>
          <w:rFonts w:ascii="Arial" w:hAnsi="Arial"/>
          <w:sz w:val="16"/>
        </w:rPr>
        <w:t> </w:t>
      </w:r>
      <w:r>
        <w:rPr>
          <w:rFonts w:ascii="Arial" w:hAnsi="Arial"/>
          <w:spacing w:val="-20"/>
          <w:sz w:val="16"/>
        </w:rPr>
        <w:t> </w:t>
      </w:r>
      <w:r>
        <w:rPr>
          <w:rFonts w:ascii="Arial" w:hAnsi="Arial"/>
          <w:w w:val="112"/>
          <w:sz w:val="16"/>
        </w:rPr>
        <w:t>(</w:t>
      </w:r>
      <w:r>
        <w:rPr>
          <w:rFonts w:ascii="Arial" w:hAnsi="Arial"/>
          <w:w w:val="112"/>
          <w:sz w:val="16"/>
        </w:rPr>
        <w:t>1</w:t>
      </w:r>
      <w:r>
        <w:rPr>
          <w:rFonts w:ascii="Arial" w:hAnsi="Arial"/>
          <w:spacing w:val="-4"/>
          <w:sz w:val="16"/>
        </w:rPr>
        <w:t> </w:t>
      </w:r>
      <w:r>
        <w:rPr>
          <w:rFonts w:ascii="Arial" w:hAnsi="Arial"/>
          <w:w w:val="278"/>
          <w:sz w:val="16"/>
        </w:rPr>
        <w:t>-</w:t>
      </w:r>
      <w:r>
        <w:rPr>
          <w:rFonts w:ascii="Arial" w:hAnsi="Arial"/>
          <w:sz w:val="16"/>
        </w:rPr>
        <w:t>  </w:t>
      </w:r>
      <w:r>
        <w:rPr>
          <w:rFonts w:ascii="Arial" w:hAnsi="Arial"/>
          <w:spacing w:val="20"/>
          <w:sz w:val="16"/>
        </w:rPr>
        <w:t> </w:t>
      </w:r>
      <w:r>
        <w:rPr>
          <w:rFonts w:ascii="Arial" w:hAnsi="Arial"/>
          <w:w w:val="127"/>
          <w:sz w:val="16"/>
        </w:rPr>
        <w:t>p</w:t>
      </w:r>
      <w:r>
        <w:rPr>
          <w:rFonts w:ascii="Arial" w:hAnsi="Arial"/>
          <w:spacing w:val="7"/>
          <w:sz w:val="16"/>
        </w:rPr>
        <w:t> </w:t>
      </w:r>
      <w:r>
        <w:rPr>
          <w:rFonts w:ascii="Arial" w:hAnsi="Arial"/>
          <w:w w:val="105"/>
          <w:sz w:val="16"/>
        </w:rPr>
        <w:t>)</w:t>
      </w:r>
      <w:r>
        <w:rPr>
          <w:rFonts w:ascii="Arial" w:hAnsi="Arial"/>
          <w:w w:val="105"/>
          <w:sz w:val="16"/>
        </w:rPr>
        <w:t>Ai+tii</w:t>
      </w:r>
      <w:r>
        <w:rPr>
          <w:rFonts w:ascii="Arial" w:hAnsi="Arial"/>
          <w:spacing w:val="-23"/>
          <w:sz w:val="16"/>
        </w:rPr>
        <w:t> </w:t>
      </w:r>
      <w:r>
        <w:rPr>
          <w:spacing w:val="-27"/>
          <w:w w:val="141"/>
          <w:sz w:val="16"/>
        </w:rPr>
        <w:t>:</w:t>
      </w:r>
      <w:r>
        <w:rPr>
          <w:w w:val="136"/>
          <w:sz w:val="16"/>
        </w:rPr>
        <w:t>11</w:t>
      </w:r>
      <w:r>
        <w:rPr>
          <w:spacing w:val="-21"/>
          <w:w w:val="136"/>
          <w:sz w:val="16"/>
        </w:rPr>
        <w:t>-</w:t>
      </w:r>
      <w:r>
        <w:rPr>
          <w:w w:val="41"/>
          <w:sz w:val="16"/>
        </w:rPr>
        <w:t>1</w:t>
      </w:r>
      <w:r>
        <w:rPr>
          <w:sz w:val="16"/>
        </w:rPr>
        <w:t> </w:t>
      </w:r>
      <w:r>
        <w:rPr>
          <w:spacing w:val="-20"/>
          <w:sz w:val="16"/>
        </w:rPr>
        <w:t> </w:t>
      </w:r>
      <w:r>
        <w:rPr>
          <w:w w:val="137"/>
          <w:sz w:val="16"/>
        </w:rPr>
        <w:t>,</w:t>
      </w:r>
    </w:p>
    <w:p>
      <w:pPr>
        <w:spacing w:before="109"/>
        <w:ind w:left="126" w:right="0" w:firstLine="0"/>
        <w:jc w:val="both"/>
        <w:rPr>
          <w:sz w:val="18"/>
        </w:rPr>
      </w:pPr>
      <w:r>
        <w:rPr>
          <w:w w:val="105"/>
          <w:sz w:val="18"/>
        </w:rPr>
        <w:t>&amp;nd that the net annual premium would </w:t>
      </w:r>
      <w:r>
        <w:rPr>
          <w:w w:val="105"/>
          <w:sz w:val="17"/>
        </w:rPr>
        <w:t>be </w:t>
      </w:r>
      <w:r>
        <w:rPr>
          <w:w w:val="105"/>
          <w:sz w:val="18"/>
        </w:rPr>
        <w:t>determined by dividing   by</w:t>
      </w:r>
    </w:p>
    <w:p>
      <w:pPr>
        <w:spacing w:before="42"/>
        <w:ind w:left="98" w:right="424" w:firstLine="0"/>
        <w:jc w:val="center"/>
        <w:rPr>
          <w:rFonts w:ascii="Arial" w:hAnsi="Arial"/>
          <w:sz w:val="18"/>
        </w:rPr>
      </w:pPr>
      <w:r>
        <w:rPr>
          <w:rFonts w:ascii="Arial" w:hAnsi="Arial"/>
          <w:w w:val="110"/>
          <w:sz w:val="13"/>
        </w:rPr>
        <w:t>4;;:tii) </w:t>
      </w:r>
      <w:r>
        <w:rPr>
          <w:rFonts w:ascii="Arial" w:hAnsi="Arial"/>
          <w:w w:val="110"/>
          <w:sz w:val="27"/>
        </w:rPr>
        <w:t>+</w:t>
      </w:r>
      <w:r>
        <w:rPr>
          <w:rFonts w:ascii="Arial" w:hAnsi="Arial"/>
          <w:spacing w:val="-51"/>
          <w:w w:val="110"/>
          <w:sz w:val="27"/>
        </w:rPr>
        <w:t> </w:t>
      </w:r>
      <w:r>
        <w:rPr>
          <w:w w:val="110"/>
          <w:sz w:val="16"/>
        </w:rPr>
        <w:t>.,.,,..pz(l </w:t>
      </w:r>
      <w:r>
        <w:rPr>
          <w:w w:val="280"/>
          <w:sz w:val="16"/>
        </w:rPr>
        <w:t>-</w:t>
      </w:r>
      <w:r>
        <w:rPr>
          <w:spacing w:val="-90"/>
          <w:w w:val="280"/>
          <w:sz w:val="16"/>
        </w:rPr>
        <w:t> </w:t>
      </w:r>
      <w:r>
        <w:rPr>
          <w:i/>
          <w:spacing w:val="-4"/>
          <w:w w:val="110"/>
          <w:sz w:val="16"/>
        </w:rPr>
        <w:t>..</w:t>
      </w:r>
      <w:r>
        <w:rPr>
          <w:rFonts w:ascii="Arial" w:hAnsi="Arial"/>
          <w:i/>
          <w:spacing w:val="-4"/>
          <w:w w:val="110"/>
          <w:sz w:val="18"/>
        </w:rPr>
        <w:t>p.)az+•= </w:t>
      </w:r>
      <w:r>
        <w:rPr>
          <w:rFonts w:ascii="Arial" w:hAnsi="Arial"/>
          <w:i/>
          <w:sz w:val="18"/>
        </w:rPr>
        <w:t>ii=iiil </w:t>
      </w:r>
      <w:r>
        <w:rPr>
          <w:rFonts w:ascii="Arial" w:hAnsi="Arial"/>
          <w:w w:val="135"/>
          <w:sz w:val="18"/>
        </w:rPr>
        <w:t>.</w:t>
      </w:r>
    </w:p>
    <w:p>
      <w:pPr>
        <w:spacing w:line="228" w:lineRule="auto" w:before="96"/>
        <w:ind w:left="123" w:right="129" w:firstLine="165"/>
        <w:jc w:val="both"/>
        <w:rPr>
          <w:sz w:val="18"/>
        </w:rPr>
      </w:pPr>
      <w:r>
        <w:rPr>
          <w:rFonts w:ascii="Arial" w:hAnsi="Arial"/>
          <w:i/>
          <w:w w:val="110"/>
          <w:sz w:val="17"/>
        </w:rPr>
        <w:t>'Zl. </w:t>
      </w:r>
      <w:r>
        <w:rPr>
          <w:w w:val="110"/>
          <w:sz w:val="18"/>
        </w:rPr>
        <w:t>Last-survivor annuities often provide for a reduction in the</w:t>
      </w:r>
      <w:r>
        <w:rPr>
          <w:spacing w:val="-24"/>
          <w:w w:val="110"/>
          <w:sz w:val="18"/>
        </w:rPr>
        <w:t> </w:t>
      </w:r>
      <w:r>
        <w:rPr>
          <w:w w:val="110"/>
          <w:sz w:val="18"/>
        </w:rPr>
        <w:t>amount of</w:t>
      </w:r>
      <w:r>
        <w:rPr>
          <w:spacing w:val="-8"/>
          <w:w w:val="110"/>
          <w:sz w:val="18"/>
        </w:rPr>
        <w:t> </w:t>
      </w:r>
      <w:r>
        <w:rPr>
          <w:w w:val="110"/>
          <w:sz w:val="18"/>
        </w:rPr>
        <w:t>the</w:t>
      </w:r>
      <w:r>
        <w:rPr>
          <w:spacing w:val="-12"/>
          <w:w w:val="110"/>
          <w:sz w:val="18"/>
        </w:rPr>
        <w:t> </w:t>
      </w:r>
      <w:r>
        <w:rPr>
          <w:w w:val="110"/>
          <w:sz w:val="18"/>
        </w:rPr>
        <w:t>annuity</w:t>
      </w:r>
      <w:r>
        <w:rPr>
          <w:spacing w:val="-12"/>
          <w:w w:val="110"/>
          <w:sz w:val="18"/>
        </w:rPr>
        <w:t> </w:t>
      </w:r>
      <w:r>
        <w:rPr>
          <w:w w:val="110"/>
          <w:sz w:val="18"/>
        </w:rPr>
        <w:t>payment after</w:t>
      </w:r>
      <w:r>
        <w:rPr>
          <w:spacing w:val="-12"/>
          <w:w w:val="110"/>
          <w:sz w:val="18"/>
        </w:rPr>
        <w:t> </w:t>
      </w:r>
      <w:r>
        <w:rPr>
          <w:w w:val="110"/>
          <w:sz w:val="18"/>
        </w:rPr>
        <w:t>the</w:t>
      </w:r>
      <w:r>
        <w:rPr>
          <w:spacing w:val="-15"/>
          <w:w w:val="110"/>
          <w:sz w:val="18"/>
        </w:rPr>
        <w:t> </w:t>
      </w:r>
      <w:r>
        <w:rPr>
          <w:w w:val="110"/>
          <w:sz w:val="18"/>
        </w:rPr>
        <w:t>first</w:t>
      </w:r>
      <w:r>
        <w:rPr>
          <w:spacing w:val="-10"/>
          <w:w w:val="110"/>
          <w:sz w:val="18"/>
        </w:rPr>
        <w:t> </w:t>
      </w:r>
      <w:r>
        <w:rPr>
          <w:w w:val="110"/>
          <w:sz w:val="18"/>
        </w:rPr>
        <w:t>deatb.</w:t>
      </w:r>
      <w:r>
        <w:rPr>
          <w:spacing w:val="-19"/>
          <w:w w:val="110"/>
          <w:sz w:val="18"/>
        </w:rPr>
        <w:t> </w:t>
      </w:r>
      <w:r>
        <w:rPr>
          <w:w w:val="110"/>
          <w:sz w:val="18"/>
        </w:rPr>
        <w:t>An</w:t>
      </w:r>
      <w:r>
        <w:rPr>
          <w:spacing w:val="-15"/>
          <w:w w:val="110"/>
          <w:sz w:val="18"/>
        </w:rPr>
        <w:t> </w:t>
      </w:r>
      <w:r>
        <w:rPr>
          <w:w w:val="110"/>
          <w:sz w:val="18"/>
        </w:rPr>
        <w:t>n-year</w:t>
      </w:r>
      <w:r>
        <w:rPr>
          <w:spacing w:val="-8"/>
          <w:w w:val="110"/>
          <w:sz w:val="18"/>
        </w:rPr>
        <w:t> </w:t>
      </w:r>
      <w:r>
        <w:rPr>
          <w:w w:val="110"/>
          <w:sz w:val="18"/>
        </w:rPr>
        <w:t>temporary</w:t>
      </w:r>
      <w:r>
        <w:rPr>
          <w:spacing w:val="-7"/>
          <w:w w:val="110"/>
          <w:sz w:val="18"/>
        </w:rPr>
        <w:t> </w:t>
      </w:r>
      <w:r>
        <w:rPr>
          <w:w w:val="110"/>
          <w:sz w:val="18"/>
        </w:rPr>
        <w:t>annuity­ due</w:t>
      </w:r>
      <w:r>
        <w:rPr>
          <w:spacing w:val="-27"/>
          <w:w w:val="110"/>
          <w:sz w:val="18"/>
        </w:rPr>
        <w:t> </w:t>
      </w:r>
      <w:r>
        <w:rPr>
          <w:w w:val="110"/>
          <w:sz w:val="18"/>
        </w:rPr>
        <w:t>payable</w:t>
      </w:r>
      <w:r>
        <w:rPr>
          <w:spacing w:val="-17"/>
          <w:w w:val="110"/>
          <w:sz w:val="18"/>
        </w:rPr>
        <w:t> </w:t>
      </w:r>
      <w:r>
        <w:rPr>
          <w:w w:val="110"/>
          <w:sz w:val="18"/>
        </w:rPr>
        <w:t>to</w:t>
      </w:r>
      <w:r>
        <w:rPr>
          <w:spacing w:val="-11"/>
          <w:w w:val="110"/>
          <w:sz w:val="18"/>
        </w:rPr>
        <w:t> </w:t>
      </w:r>
      <w:r>
        <w:rPr>
          <w:rFonts w:ascii="Arial" w:hAnsi="Arial"/>
          <w:i/>
          <w:spacing w:val="4"/>
          <w:w w:val="110"/>
          <w:sz w:val="15"/>
          <w:u w:val="thick"/>
        </w:rPr>
        <w:t>(xy</w:t>
      </w:r>
      <w:r>
        <w:rPr>
          <w:rFonts w:ascii="Arial" w:hAnsi="Arial"/>
          <w:i/>
          <w:spacing w:val="4"/>
          <w:w w:val="110"/>
          <w:sz w:val="15"/>
        </w:rPr>
        <w:t>)</w:t>
      </w:r>
      <w:r>
        <w:rPr>
          <w:rFonts w:ascii="Arial" w:hAnsi="Arial"/>
          <w:i/>
          <w:spacing w:val="-15"/>
          <w:w w:val="110"/>
          <w:sz w:val="15"/>
        </w:rPr>
        <w:t> </w:t>
      </w:r>
      <w:r>
        <w:rPr>
          <w:w w:val="110"/>
          <w:sz w:val="18"/>
        </w:rPr>
        <w:t>provides</w:t>
      </w:r>
      <w:r>
        <w:rPr>
          <w:spacing w:val="-11"/>
          <w:w w:val="110"/>
          <w:sz w:val="18"/>
        </w:rPr>
        <w:t> </w:t>
      </w:r>
      <w:r>
        <w:rPr>
          <w:w w:val="110"/>
          <w:sz w:val="18"/>
        </w:rPr>
        <w:t>annual</w:t>
      </w:r>
      <w:r>
        <w:rPr>
          <w:spacing w:val="-20"/>
          <w:w w:val="110"/>
          <w:sz w:val="18"/>
        </w:rPr>
        <w:t> </w:t>
      </w:r>
      <w:r>
        <w:rPr>
          <w:w w:val="110"/>
          <w:sz w:val="18"/>
        </w:rPr>
        <w:t>payments</w:t>
      </w:r>
      <w:r>
        <w:rPr>
          <w:spacing w:val="-13"/>
          <w:w w:val="110"/>
          <w:sz w:val="18"/>
        </w:rPr>
        <w:t> </w:t>
      </w:r>
      <w:r>
        <w:rPr>
          <w:w w:val="110"/>
          <w:sz w:val="18"/>
        </w:rPr>
        <w:t>of</w:t>
      </w:r>
      <w:r>
        <w:rPr>
          <w:spacing w:val="-9"/>
          <w:w w:val="110"/>
          <w:sz w:val="18"/>
        </w:rPr>
        <w:t> </w:t>
      </w:r>
      <w:r>
        <w:rPr>
          <w:w w:val="110"/>
          <w:sz w:val="18"/>
        </w:rPr>
        <w:t>1while</w:t>
      </w:r>
      <w:r>
        <w:rPr>
          <w:spacing w:val="-18"/>
          <w:w w:val="110"/>
          <w:sz w:val="18"/>
        </w:rPr>
        <w:t> </w:t>
      </w:r>
      <w:r>
        <w:rPr>
          <w:w w:val="110"/>
          <w:sz w:val="18"/>
        </w:rPr>
        <w:t>both</w:t>
      </w:r>
      <w:r>
        <w:rPr>
          <w:spacing w:val="-21"/>
          <w:w w:val="110"/>
          <w:sz w:val="18"/>
        </w:rPr>
        <w:t> </w:t>
      </w:r>
      <w:r>
        <w:rPr>
          <w:w w:val="110"/>
          <w:sz w:val="18"/>
        </w:rPr>
        <w:t>lives</w:t>
      </w:r>
      <w:r>
        <w:rPr>
          <w:spacing w:val="-23"/>
          <w:w w:val="110"/>
          <w:sz w:val="18"/>
        </w:rPr>
        <w:t> </w:t>
      </w:r>
      <w:r>
        <w:rPr>
          <w:w w:val="110"/>
          <w:sz w:val="18"/>
        </w:rPr>
        <w:t>survive, reducing to </w:t>
      </w:r>
      <w:r>
        <w:rPr>
          <w:rFonts w:ascii="Arial" w:hAnsi="Arial"/>
          <w:w w:val="110"/>
          <w:sz w:val="20"/>
        </w:rPr>
        <w:t>M </w:t>
      </w:r>
      <w:r>
        <w:rPr>
          <w:w w:val="110"/>
          <w:sz w:val="18"/>
        </w:rPr>
        <w:t>on the death of </w:t>
      </w:r>
      <w:r>
        <w:rPr>
          <w:rFonts w:ascii="Arial" w:hAnsi="Arial"/>
          <w:i/>
          <w:spacing w:val="4"/>
          <w:w w:val="110"/>
          <w:sz w:val="15"/>
        </w:rPr>
        <w:t>(x) </w:t>
      </w:r>
      <w:r>
        <w:rPr>
          <w:w w:val="110"/>
          <w:sz w:val="18"/>
        </w:rPr>
        <w:t>or to on the death of </w:t>
      </w:r>
      <w:r>
        <w:rPr>
          <w:rFonts w:ascii="Arial" w:hAnsi="Arial"/>
          <w:w w:val="110"/>
          <w:sz w:val="15"/>
        </w:rPr>
        <w:t>(y). </w:t>
      </w:r>
      <w:r>
        <w:rPr>
          <w:w w:val="110"/>
          <w:sz w:val="18"/>
        </w:rPr>
        <w:t>Express the present  value in terms of  annuity</w:t>
      </w:r>
      <w:r>
        <w:rPr>
          <w:spacing w:val="27"/>
          <w:w w:val="110"/>
          <w:sz w:val="18"/>
        </w:rPr>
        <w:t> </w:t>
      </w:r>
      <w:r>
        <w:rPr>
          <w:w w:val="110"/>
          <w:sz w:val="18"/>
        </w:rPr>
        <w:t>vales.</w:t>
      </w:r>
    </w:p>
    <w:p>
      <w:pPr>
        <w:pStyle w:val="ListParagraph"/>
        <w:numPr>
          <w:ilvl w:val="0"/>
          <w:numId w:val="102"/>
        </w:numPr>
        <w:tabs>
          <w:tab w:pos="581" w:val="left" w:leader="none"/>
        </w:tabs>
        <w:spacing w:line="211" w:lineRule="auto" w:before="13" w:after="0"/>
        <w:ind w:left="126" w:right="125" w:firstLine="166"/>
        <w:jc w:val="both"/>
        <w:rPr>
          <w:sz w:val="18"/>
        </w:rPr>
      </w:pPr>
      <w:r>
        <w:rPr>
          <w:w w:val="105"/>
          <w:sz w:val="18"/>
        </w:rPr>
        <w:t>An annual annuity is to </w:t>
      </w:r>
      <w:r>
        <w:rPr>
          <w:w w:val="105"/>
          <w:sz w:val="17"/>
        </w:rPr>
        <w:t>be </w:t>
      </w:r>
      <w:r>
        <w:rPr>
          <w:w w:val="105"/>
          <w:sz w:val="18"/>
        </w:rPr>
        <w:t>payable  so long as any of  the lives  </w:t>
      </w:r>
      <w:r>
        <w:rPr>
          <w:spacing w:val="-13"/>
          <w:w w:val="105"/>
          <w:sz w:val="16"/>
        </w:rPr>
        <w:t>{w), </w:t>
      </w:r>
      <w:r>
        <w:rPr>
          <w:w w:val="105"/>
          <w:sz w:val="18"/>
        </w:rPr>
        <w:t>(x), </w:t>
      </w:r>
      <w:r>
        <w:rPr>
          <w:rFonts w:ascii="Arial" w:hAnsi="Arial"/>
          <w:i/>
          <w:spacing w:val="3"/>
          <w:w w:val="105"/>
          <w:sz w:val="15"/>
        </w:rPr>
        <w:t>(y), </w:t>
      </w:r>
      <w:r>
        <w:rPr>
          <w:w w:val="105"/>
          <w:sz w:val="18"/>
        </w:rPr>
        <w:t>and </w:t>
      </w:r>
      <w:r>
        <w:rPr>
          <w:w w:val="105"/>
          <w:sz w:val="16"/>
        </w:rPr>
        <w:t>(z) </w:t>
      </w:r>
      <w:r>
        <w:rPr>
          <w:w w:val="105"/>
          <w:sz w:val="18"/>
        </w:rPr>
        <w:t>survive. At each death the rate of annual payment is re­ duced </w:t>
      </w:r>
      <w:r>
        <w:rPr>
          <w:w w:val="105"/>
          <w:sz w:val="22"/>
        </w:rPr>
        <w:t>50% </w:t>
      </w:r>
      <w:r>
        <w:rPr>
          <w:w w:val="105"/>
          <w:sz w:val="18"/>
        </w:rPr>
        <w:t>from the rate in effect prior to such dea.th. Find    </w:t>
      </w:r>
      <w:r>
        <w:rPr>
          <w:spacing w:val="10"/>
          <w:w w:val="105"/>
          <w:sz w:val="18"/>
        </w:rPr>
        <w:t> </w:t>
      </w:r>
      <w:r>
        <w:rPr>
          <w:w w:val="105"/>
          <w:sz w:val="18"/>
        </w:rPr>
        <w:t>a simplified</w:t>
      </w:r>
    </w:p>
    <w:p>
      <w:pPr>
        <w:spacing w:line="237" w:lineRule="auto" w:before="0"/>
        <w:ind w:left="126" w:right="241" w:firstLine="0"/>
        <w:jc w:val="left"/>
        <w:rPr>
          <w:sz w:val="18"/>
        </w:rPr>
      </w:pPr>
      <w:r>
        <w:rPr>
          <w:sz w:val="18"/>
        </w:rPr>
        <w:t>expression involving only  single-  and  joint-life  annuities  for  the  cost  of  the  contract  per  unit   of  initial  annual </w:t>
      </w:r>
      <w:r>
        <w:rPr>
          <w:spacing w:val="34"/>
          <w:sz w:val="18"/>
        </w:rPr>
        <w:t> </w:t>
      </w:r>
      <w:r>
        <w:rPr>
          <w:sz w:val="18"/>
        </w:rPr>
        <w:t>payment.</w:t>
      </w:r>
    </w:p>
    <w:p>
      <w:pPr>
        <w:pStyle w:val="ListParagraph"/>
        <w:numPr>
          <w:ilvl w:val="0"/>
          <w:numId w:val="102"/>
        </w:numPr>
        <w:tabs>
          <w:tab w:pos="581" w:val="left" w:leader="none"/>
        </w:tabs>
        <w:spacing w:line="232" w:lineRule="auto" w:before="0" w:after="0"/>
        <w:ind w:left="123" w:right="130" w:firstLine="169"/>
        <w:jc w:val="both"/>
        <w:rPr>
          <w:sz w:val="18"/>
        </w:rPr>
      </w:pPr>
      <w:r>
        <w:rPr>
          <w:w w:val="105"/>
          <w:sz w:val="18"/>
        </w:rPr>
        <w:t>Obtain an expression in annuity eymbols for the net single premium for a continuous annuity of </w:t>
      </w:r>
      <w:r>
        <w:rPr>
          <w:spacing w:val="4"/>
          <w:w w:val="105"/>
          <w:sz w:val="18"/>
        </w:rPr>
        <w:t>1per </w:t>
      </w:r>
      <w:r>
        <w:rPr>
          <w:w w:val="105"/>
          <w:sz w:val="18"/>
        </w:rPr>
        <w:t>annum payable wbile at least one of the two lives (40) and (50) is living and is over age 60 but not wbile eitber of them is living under e.ge</w:t>
      </w:r>
      <w:r>
        <w:rPr>
          <w:spacing w:val="9"/>
          <w:w w:val="105"/>
          <w:sz w:val="18"/>
        </w:rPr>
        <w:t> </w:t>
      </w:r>
      <w:r>
        <w:rPr>
          <w:w w:val="105"/>
          <w:sz w:val="18"/>
        </w:rPr>
        <w:t>55.</w:t>
      </w:r>
    </w:p>
    <w:p>
      <w:pPr>
        <w:spacing w:after="0" w:line="232" w:lineRule="auto"/>
        <w:jc w:val="both"/>
        <w:rPr>
          <w:sz w:val="18"/>
        </w:rPr>
        <w:sectPr>
          <w:pgSz w:w="7200" w:h="11340"/>
          <w:pgMar w:top="500" w:bottom="280" w:left="640" w:right="560"/>
        </w:sectPr>
      </w:pPr>
    </w:p>
    <w:p>
      <w:pPr>
        <w:pStyle w:val="BodyText"/>
      </w:pPr>
    </w:p>
    <w:p>
      <w:pPr>
        <w:pStyle w:val="BodyText"/>
        <w:spacing w:before="10"/>
        <w:rPr>
          <w:sz w:val="17"/>
        </w:rPr>
      </w:pPr>
    </w:p>
    <w:p>
      <w:pPr>
        <w:spacing w:line="345" w:lineRule="auto" w:before="71"/>
        <w:ind w:left="1597" w:right="1295" w:firstLine="829"/>
        <w:jc w:val="left"/>
        <w:rPr>
          <w:sz w:val="21"/>
        </w:rPr>
      </w:pPr>
      <w:bookmarkStart w:name="11. Contingent Functions" w:id="17"/>
      <w:bookmarkEnd w:id="17"/>
      <w:r>
        <w:rPr/>
      </w:r>
      <w:r>
        <w:rPr>
          <w:color w:val="010101"/>
          <w:w w:val="105"/>
          <w:sz w:val="22"/>
        </w:rPr>
        <w:t>C1u.PTER </w:t>
      </w:r>
      <w:r>
        <w:rPr>
          <w:color w:val="010101"/>
          <w:w w:val="105"/>
          <w:sz w:val="21"/>
        </w:rPr>
        <w:t>11 CONTINGENT FUNCTIONS</w:t>
      </w:r>
    </w:p>
    <w:p>
      <w:pPr>
        <w:spacing w:before="147"/>
        <w:ind w:left="118" w:right="0" w:firstLine="0"/>
        <w:jc w:val="both"/>
        <w:rPr>
          <w:b/>
          <w:sz w:val="20"/>
        </w:rPr>
      </w:pPr>
      <w:r>
        <w:rPr>
          <w:b/>
          <w:color w:val="010101"/>
          <w:w w:val="120"/>
          <w:sz w:val="20"/>
        </w:rPr>
        <w:t>l. Introduction</w:t>
      </w:r>
    </w:p>
    <w:p>
      <w:pPr>
        <w:pStyle w:val="BodyText"/>
        <w:spacing w:line="244" w:lineRule="auto" w:before="71"/>
        <w:ind w:left="126" w:right="117" w:firstLine="197"/>
        <w:jc w:val="both"/>
      </w:pPr>
      <w:r>
        <w:rPr>
          <w:color w:val="010101"/>
          <w:w w:val="105"/>
        </w:rPr>
        <w:t>In the various types of multi-life status discussed </w:t>
      </w:r>
      <w:r>
        <w:rPr>
          <w:color w:val="010101"/>
          <w:w w:val="105"/>
          <w:sz w:val="22"/>
        </w:rPr>
        <w:t>in </w:t>
      </w:r>
      <w:r>
        <w:rPr>
          <w:color w:val="010101"/>
          <w:w w:val="105"/>
        </w:rPr>
        <w:t>the pre­ ceding chapters, the component Iives are not distinguished ac­ cording </w:t>
      </w:r>
      <w:r>
        <w:rPr>
          <w:color w:val="010101"/>
          <w:w w:val="105"/>
          <w:sz w:val="22"/>
        </w:rPr>
        <w:t>to </w:t>
      </w:r>
      <w:r>
        <w:rPr>
          <w:color w:val="010101"/>
          <w:w w:val="105"/>
        </w:rPr>
        <w:t>the order in which they die. The status </w:t>
      </w:r>
      <w:r>
        <w:rPr>
          <w:rFonts w:ascii="Arial" w:hAnsi="Arial"/>
          <w:i/>
          <w:color w:val="010101"/>
          <w:spacing w:val="2"/>
          <w:w w:val="105"/>
          <w:sz w:val="19"/>
        </w:rPr>
        <w:t>(xyz), </w:t>
      </w:r>
      <w:r>
        <w:rPr>
          <w:color w:val="010101"/>
          <w:w w:val="105"/>
        </w:rPr>
        <w:t>for exam­ ple, terminates upon the first death,  whether  it  </w:t>
      </w:r>
      <w:r>
        <w:rPr>
          <w:rFonts w:ascii="Arial" w:hAnsi="Arial"/>
          <w:color w:val="010101"/>
          <w:w w:val="105"/>
          <w:sz w:val="21"/>
        </w:rPr>
        <w:t>is </w:t>
      </w:r>
      <w:r>
        <w:rPr>
          <w:color w:val="010101"/>
          <w:w w:val="105"/>
        </w:rPr>
        <w:t>the  death  of </w:t>
      </w:r>
      <w:r>
        <w:rPr>
          <w:rFonts w:ascii="Arial" w:hAnsi="Arial"/>
          <w:i/>
          <w:color w:val="010101"/>
          <w:spacing w:val="4"/>
          <w:w w:val="105"/>
          <w:sz w:val="19"/>
        </w:rPr>
        <w:t>(x), </w:t>
      </w:r>
      <w:r>
        <w:rPr>
          <w:color w:val="010101"/>
          <w:w w:val="105"/>
        </w:rPr>
        <w:t>of </w:t>
      </w:r>
      <w:r>
        <w:rPr>
          <w:rFonts w:ascii="Arial" w:hAnsi="Arial"/>
          <w:i/>
          <w:color w:val="010101"/>
          <w:w w:val="105"/>
          <w:sz w:val="19"/>
        </w:rPr>
        <w:t>(y ), </w:t>
      </w:r>
      <w:r>
        <w:rPr>
          <w:color w:val="010101"/>
          <w:w w:val="105"/>
        </w:rPr>
        <w:t>or of (z) ; and the status  </w:t>
      </w:r>
      <w:r>
        <w:rPr>
          <w:rFonts w:ascii="Arial" w:hAnsi="Arial"/>
          <w:i/>
          <w:color w:val="010101"/>
          <w:spacing w:val="4"/>
          <w:w w:val="105"/>
          <w:sz w:val="19"/>
          <w:u w:val="thick" w:color="000000"/>
        </w:rPr>
        <w:t>(xyz</w:t>
      </w:r>
      <w:r>
        <w:rPr>
          <w:rFonts w:ascii="Arial" w:hAnsi="Arial"/>
          <w:i/>
          <w:color w:val="010101"/>
          <w:spacing w:val="4"/>
          <w:w w:val="105"/>
          <w:sz w:val="19"/>
        </w:rPr>
        <w:t>)  </w:t>
      </w:r>
      <w:r>
        <w:rPr>
          <w:color w:val="010101"/>
          <w:w w:val="105"/>
        </w:rPr>
        <w:t>terminates upon  the  last death regardless of the particular order in which the individual deaths</w:t>
      </w:r>
      <w:r>
        <w:rPr>
          <w:color w:val="010101"/>
          <w:spacing w:val="23"/>
          <w:w w:val="105"/>
        </w:rPr>
        <w:t> </w:t>
      </w:r>
      <w:r>
        <w:rPr>
          <w:color w:val="010101"/>
          <w:w w:val="105"/>
        </w:rPr>
        <w:t>occur.</w:t>
      </w:r>
    </w:p>
    <w:p>
      <w:pPr>
        <w:pStyle w:val="BodyText"/>
        <w:spacing w:line="237" w:lineRule="auto" w:before="11"/>
        <w:ind w:left="129" w:right="116" w:firstLine="190"/>
        <w:jc w:val="both"/>
        <w:rPr>
          <w:i/>
          <w:sz w:val="23"/>
        </w:rPr>
      </w:pPr>
      <w:r>
        <w:rPr>
          <w:color w:val="010101"/>
        </w:rPr>
        <w:t>A different group of functions </w:t>
      </w:r>
      <w:r>
        <w:rPr>
          <w:rFonts w:ascii="Arial"/>
          <w:color w:val="010101"/>
        </w:rPr>
        <w:t>is </w:t>
      </w:r>
      <w:r>
        <w:rPr>
          <w:color w:val="010101"/>
        </w:rPr>
        <w:t>required in situa.tions where the order of deaths </w:t>
      </w:r>
      <w:r>
        <w:rPr>
          <w:rFonts w:ascii="Arial"/>
          <w:color w:val="010101"/>
          <w:sz w:val="21"/>
        </w:rPr>
        <w:t>is </w:t>
      </w:r>
      <w:r>
        <w:rPr>
          <w:color w:val="010101"/>
        </w:rPr>
        <w:t>significant, as, for exa.mple, in the ca.se of an insurance paya.ble upon the death of (x )  provided  that  he  dies  before </w:t>
      </w:r>
      <w:r>
        <w:rPr>
          <w:rFonts w:ascii="Arial"/>
          <w:i/>
          <w:color w:val="010101"/>
          <w:spacing w:val="5"/>
          <w:sz w:val="19"/>
        </w:rPr>
        <w:t>(y). </w:t>
      </w:r>
      <w:r>
        <w:rPr>
          <w:color w:val="010101"/>
        </w:rPr>
        <w:t>Functions of  this  type,  depending  upon  </w:t>
      </w:r>
      <w:r>
        <w:rPr>
          <w:color w:val="010101"/>
          <w:sz w:val="21"/>
        </w:rPr>
        <w:t>a.  </w:t>
      </w:r>
      <w:r>
        <w:rPr>
          <w:color w:val="010101"/>
        </w:rPr>
        <w:t>specified order</w:t>
      </w:r>
      <w:r>
        <w:rPr>
          <w:color w:val="010101"/>
          <w:spacing w:val="-15"/>
        </w:rPr>
        <w:t> </w:t>
      </w:r>
      <w:r>
        <w:rPr>
          <w:color w:val="010101"/>
        </w:rPr>
        <w:t>of</w:t>
      </w:r>
      <w:r>
        <w:rPr>
          <w:color w:val="010101"/>
          <w:spacing w:val="-7"/>
        </w:rPr>
        <w:t> </w:t>
      </w:r>
      <w:r>
        <w:rPr>
          <w:color w:val="010101"/>
        </w:rPr>
        <w:t>deaths,</w:t>
      </w:r>
      <w:r>
        <w:rPr>
          <w:color w:val="010101"/>
          <w:spacing w:val="-11"/>
        </w:rPr>
        <w:t> </w:t>
      </w:r>
      <w:r>
        <w:rPr>
          <w:color w:val="010101"/>
        </w:rPr>
        <w:t>are</w:t>
      </w:r>
      <w:r>
        <w:rPr>
          <w:color w:val="010101"/>
          <w:spacing w:val="-19"/>
        </w:rPr>
        <w:t> </w:t>
      </w:r>
      <w:r>
        <w:rPr>
          <w:color w:val="010101"/>
        </w:rPr>
        <w:t>k.nown</w:t>
      </w:r>
      <w:r>
        <w:rPr>
          <w:color w:val="010101"/>
          <w:spacing w:val="-8"/>
        </w:rPr>
        <w:t> </w:t>
      </w:r>
      <w:r>
        <w:rPr>
          <w:color w:val="010101"/>
        </w:rPr>
        <w:t>as</w:t>
      </w:r>
      <w:r>
        <w:rPr>
          <w:color w:val="010101"/>
          <w:spacing w:val="-22"/>
        </w:rPr>
        <w:t> </w:t>
      </w:r>
      <w:r>
        <w:rPr>
          <w:i/>
          <w:color w:val="010101"/>
          <w:sz w:val="23"/>
        </w:rPr>
        <w:t>contingent</w:t>
      </w:r>
      <w:r>
        <w:rPr>
          <w:i/>
          <w:color w:val="010101"/>
          <w:spacing w:val="-27"/>
          <w:sz w:val="23"/>
        </w:rPr>
        <w:t> </w:t>
      </w:r>
      <w:r>
        <w:rPr>
          <w:i/>
          <w:color w:val="010101"/>
          <w:sz w:val="23"/>
        </w:rPr>
        <w:t>functions.</w:t>
      </w:r>
    </w:p>
    <w:p>
      <w:pPr>
        <w:pStyle w:val="BodyText"/>
        <w:spacing w:line="244" w:lineRule="auto" w:before="5"/>
        <w:ind w:left="118" w:right="118" w:firstLine="204"/>
        <w:jc w:val="both"/>
      </w:pPr>
      <w:r>
        <w:rPr>
          <w:color w:val="010101"/>
          <w:w w:val="110"/>
        </w:rPr>
        <w:t>The present chapter deals only with the simplest class of con­ tingent function-that </w:t>
      </w:r>
      <w:r>
        <w:rPr>
          <w:color w:val="010101"/>
          <w:w w:val="110"/>
          <w:sz w:val="19"/>
        </w:rPr>
        <w:t>in </w:t>
      </w:r>
      <w:r>
        <w:rPr>
          <w:color w:val="010101"/>
          <w:w w:val="110"/>
        </w:rPr>
        <w:t>which the order of failure is prescribed with</w:t>
      </w:r>
      <w:r>
        <w:rPr>
          <w:color w:val="010101"/>
          <w:spacing w:val="-11"/>
          <w:w w:val="110"/>
        </w:rPr>
        <w:t> </w:t>
      </w:r>
      <w:r>
        <w:rPr>
          <w:color w:val="010101"/>
          <w:spacing w:val="2"/>
          <w:w w:val="110"/>
        </w:rPr>
        <w:t>reference</w:t>
      </w:r>
      <w:r>
        <w:rPr>
          <w:color w:val="010101"/>
          <w:spacing w:val="-21"/>
          <w:w w:val="110"/>
        </w:rPr>
        <w:t> </w:t>
      </w:r>
      <w:r>
        <w:rPr>
          <w:color w:val="010101"/>
          <w:w w:val="110"/>
          <w:sz w:val="21"/>
        </w:rPr>
        <w:t>to</w:t>
      </w:r>
      <w:r>
        <w:rPr>
          <w:color w:val="010101"/>
          <w:spacing w:val="-21"/>
          <w:w w:val="110"/>
          <w:sz w:val="21"/>
        </w:rPr>
        <w:t> </w:t>
      </w:r>
      <w:r>
        <w:rPr>
          <w:color w:val="010101"/>
          <w:w w:val="110"/>
        </w:rPr>
        <w:t>only</w:t>
      </w:r>
      <w:r>
        <w:rPr>
          <w:color w:val="010101"/>
          <w:spacing w:val="-17"/>
          <w:w w:val="110"/>
        </w:rPr>
        <w:t> </w:t>
      </w:r>
      <w:r>
        <w:rPr>
          <w:color w:val="010101"/>
          <w:w w:val="110"/>
        </w:rPr>
        <w:t>one</w:t>
      </w:r>
      <w:r>
        <w:rPr>
          <w:color w:val="010101"/>
          <w:spacing w:val="-23"/>
          <w:w w:val="110"/>
        </w:rPr>
        <w:t> </w:t>
      </w:r>
      <w:r>
        <w:rPr>
          <w:color w:val="010101"/>
          <w:w w:val="110"/>
        </w:rPr>
        <w:t>of</w:t>
      </w:r>
      <w:r>
        <w:rPr>
          <w:color w:val="010101"/>
          <w:spacing w:val="-10"/>
          <w:w w:val="110"/>
        </w:rPr>
        <w:t> </w:t>
      </w:r>
      <w:r>
        <w:rPr>
          <w:color w:val="010101"/>
          <w:w w:val="110"/>
        </w:rPr>
        <w:t>the</w:t>
      </w:r>
      <w:r>
        <w:rPr>
          <w:color w:val="010101"/>
          <w:spacing w:val="-18"/>
          <w:w w:val="110"/>
        </w:rPr>
        <w:t> </w:t>
      </w:r>
      <w:r>
        <w:rPr>
          <w:color w:val="010101"/>
          <w:w w:val="110"/>
        </w:rPr>
        <w:t>individual</w:t>
      </w:r>
      <w:r>
        <w:rPr>
          <w:color w:val="010101"/>
          <w:spacing w:val="-8"/>
          <w:w w:val="110"/>
        </w:rPr>
        <w:t> </w:t>
      </w:r>
      <w:r>
        <w:rPr>
          <w:color w:val="010101"/>
          <w:w w:val="110"/>
        </w:rPr>
        <w:t>components</w:t>
      </w:r>
      <w:r>
        <w:rPr>
          <w:color w:val="010101"/>
          <w:spacing w:val="-16"/>
          <w:w w:val="110"/>
        </w:rPr>
        <w:t> </w:t>
      </w:r>
      <w:r>
        <w:rPr>
          <w:color w:val="010101"/>
          <w:w w:val="110"/>
        </w:rPr>
        <w:t>involved. A</w:t>
      </w:r>
      <w:r>
        <w:rPr>
          <w:color w:val="010101"/>
          <w:spacing w:val="-20"/>
          <w:w w:val="110"/>
        </w:rPr>
        <w:t> </w:t>
      </w:r>
      <w:r>
        <w:rPr>
          <w:color w:val="010101"/>
          <w:w w:val="110"/>
        </w:rPr>
        <w:t>subsequent</w:t>
      </w:r>
      <w:r>
        <w:rPr>
          <w:color w:val="010101"/>
          <w:spacing w:val="-16"/>
          <w:w w:val="110"/>
        </w:rPr>
        <w:t> </w:t>
      </w:r>
      <w:r>
        <w:rPr>
          <w:color w:val="010101"/>
          <w:w w:val="110"/>
        </w:rPr>
        <w:t>chapter</w:t>
      </w:r>
      <w:r>
        <w:rPr>
          <w:color w:val="010101"/>
          <w:spacing w:val="-18"/>
          <w:w w:val="110"/>
        </w:rPr>
        <w:t> </w:t>
      </w:r>
      <w:r>
        <w:rPr>
          <w:color w:val="010101"/>
          <w:w w:val="110"/>
          <w:sz w:val="21"/>
        </w:rPr>
        <w:t>will</w:t>
      </w:r>
      <w:r>
        <w:rPr>
          <w:color w:val="010101"/>
          <w:spacing w:val="-15"/>
          <w:w w:val="110"/>
          <w:sz w:val="21"/>
        </w:rPr>
        <w:t> </w:t>
      </w:r>
      <w:r>
        <w:rPr>
          <w:color w:val="010101"/>
          <w:w w:val="110"/>
        </w:rPr>
        <w:t>describe</w:t>
      </w:r>
      <w:r>
        <w:rPr>
          <w:color w:val="010101"/>
          <w:spacing w:val="-21"/>
          <w:w w:val="110"/>
        </w:rPr>
        <w:t> </w:t>
      </w:r>
      <w:r>
        <w:rPr>
          <w:color w:val="010101"/>
          <w:w w:val="110"/>
        </w:rPr>
        <w:t>functions</w:t>
      </w:r>
      <w:r>
        <w:rPr>
          <w:color w:val="010101"/>
          <w:spacing w:val="-12"/>
          <w:w w:val="110"/>
        </w:rPr>
        <w:t> </w:t>
      </w:r>
      <w:r>
        <w:rPr>
          <w:color w:val="010101"/>
          <w:w w:val="110"/>
        </w:rPr>
        <w:t>in</w:t>
      </w:r>
      <w:r>
        <w:rPr>
          <w:color w:val="010101"/>
          <w:spacing w:val="-24"/>
          <w:w w:val="110"/>
        </w:rPr>
        <w:t> </w:t>
      </w:r>
      <w:r>
        <w:rPr>
          <w:color w:val="010101"/>
          <w:w w:val="110"/>
        </w:rPr>
        <w:t>which</w:t>
      </w:r>
      <w:r>
        <w:rPr>
          <w:color w:val="010101"/>
          <w:spacing w:val="-9"/>
          <w:w w:val="110"/>
        </w:rPr>
        <w:t> </w:t>
      </w:r>
      <w:r>
        <w:rPr>
          <w:color w:val="010101"/>
          <w:w w:val="110"/>
        </w:rPr>
        <w:t>the</w:t>
      </w:r>
      <w:r>
        <w:rPr>
          <w:color w:val="010101"/>
          <w:spacing w:val="-21"/>
          <w:w w:val="110"/>
        </w:rPr>
        <w:t> </w:t>
      </w:r>
      <w:r>
        <w:rPr>
          <w:color w:val="010101"/>
          <w:w w:val="110"/>
        </w:rPr>
        <w:t>order</w:t>
      </w:r>
      <w:r>
        <w:rPr>
          <w:color w:val="010101"/>
          <w:spacing w:val="-20"/>
          <w:w w:val="110"/>
        </w:rPr>
        <w:t> </w:t>
      </w:r>
      <w:r>
        <w:rPr>
          <w:color w:val="010101"/>
          <w:w w:val="110"/>
        </w:rPr>
        <w:t>of </w:t>
      </w:r>
      <w:r>
        <w:rPr>
          <w:rFonts w:ascii="Arial" w:hAnsi="Arial"/>
          <w:color w:val="010101"/>
          <w:w w:val="110"/>
        </w:rPr>
        <w:t>f</w:t>
      </w:r>
      <w:r>
        <w:rPr>
          <w:color w:val="010101"/>
          <w:w w:val="110"/>
        </w:rPr>
        <w:t>ailure is prescribed for more tha.n one of the components-the </w:t>
      </w:r>
      <w:r>
        <w:rPr>
          <w:i/>
          <w:color w:val="010101"/>
          <w:w w:val="105"/>
          <w:sz w:val="21"/>
        </w:rPr>
        <w:t>compound </w:t>
      </w:r>
      <w:r>
        <w:rPr>
          <w:color w:val="010101"/>
          <w:w w:val="105"/>
        </w:rPr>
        <w:t>contingent</w:t>
      </w:r>
      <w:r>
        <w:rPr>
          <w:color w:val="010101"/>
          <w:spacing w:val="-41"/>
          <w:w w:val="105"/>
        </w:rPr>
        <w:t> </w:t>
      </w:r>
      <w:r>
        <w:rPr>
          <w:color w:val="010101"/>
          <w:w w:val="105"/>
        </w:rPr>
        <w:t>functions.</w:t>
      </w:r>
    </w:p>
    <w:p>
      <w:pPr>
        <w:numPr>
          <w:ilvl w:val="0"/>
          <w:numId w:val="103"/>
        </w:numPr>
        <w:tabs>
          <w:tab w:pos="374" w:val="left" w:leader="none"/>
        </w:tabs>
        <w:spacing w:before="169"/>
        <w:ind w:left="373" w:right="0" w:hanging="251"/>
        <w:jc w:val="both"/>
        <w:rPr>
          <w:b/>
          <w:color w:val="010101"/>
          <w:sz w:val="20"/>
        </w:rPr>
      </w:pPr>
      <w:r>
        <w:rPr>
          <w:b/>
          <w:color w:val="010101"/>
          <w:w w:val="115"/>
          <w:sz w:val="20"/>
        </w:rPr>
        <w:t>Contingent</w:t>
      </w:r>
      <w:r>
        <w:rPr>
          <w:b/>
          <w:color w:val="010101"/>
          <w:spacing w:val="-17"/>
          <w:w w:val="115"/>
          <w:sz w:val="20"/>
        </w:rPr>
        <w:t> </w:t>
      </w:r>
      <w:r>
        <w:rPr>
          <w:b/>
          <w:color w:val="010101"/>
          <w:w w:val="115"/>
          <w:sz w:val="20"/>
        </w:rPr>
        <w:t>probabilities</w:t>
      </w:r>
    </w:p>
    <w:p>
      <w:pPr>
        <w:pStyle w:val="BodyText"/>
        <w:spacing w:before="86"/>
        <w:ind w:left="118" w:right="117" w:firstLine="204"/>
        <w:jc w:val="both"/>
      </w:pPr>
      <w:r>
        <w:rPr>
          <w:color w:val="010101"/>
          <w:w w:val="105"/>
        </w:rPr>
        <w:t>When the lives of  a group are all of  the sa.me age and  subject  to the same mortality, ea.ch  </w:t>
      </w:r>
      <w:r>
        <w:rPr>
          <w:color w:val="010101"/>
          <w:w w:val="105"/>
          <w:sz w:val="21"/>
        </w:rPr>
        <w:t>has  </w:t>
      </w:r>
      <w:r>
        <w:rPr>
          <w:color w:val="010101"/>
          <w:w w:val="105"/>
        </w:rPr>
        <w:t>the  same chance of  dying  first, or second, and contingent probabilities a.re easily eva.luated by </w:t>
      </w:r>
      <w:r>
        <w:rPr>
          <w:color w:val="010101"/>
          <w:spacing w:val="3"/>
          <w:w w:val="105"/>
        </w:rPr>
        <w:t>reference </w:t>
      </w:r>
      <w:r>
        <w:rPr>
          <w:color w:val="010101"/>
          <w:w w:val="105"/>
          <w:sz w:val="21"/>
        </w:rPr>
        <w:t>to </w:t>
      </w:r>
      <w:r>
        <w:rPr>
          <w:color w:val="010101"/>
          <w:w w:val="105"/>
        </w:rPr>
        <w:t>the possible orders of dea.th. Thus, in the case of two lives ea.ch aged </w:t>
      </w:r>
      <w:r>
        <w:rPr>
          <w:i/>
          <w:color w:val="010101"/>
          <w:w w:val="105"/>
        </w:rPr>
        <w:t>x, </w:t>
      </w:r>
      <w:r>
        <w:rPr>
          <w:color w:val="010101"/>
          <w:w w:val="105"/>
        </w:rPr>
        <w:t>the probability  that  a specified  one of  them will die first </w:t>
      </w:r>
      <w:r>
        <w:rPr>
          <w:color w:val="010101"/>
          <w:w w:val="105"/>
          <w:sz w:val="19"/>
        </w:rPr>
        <w:t>is </w:t>
      </w:r>
      <w:r>
        <w:rPr>
          <w:color w:val="010101"/>
          <w:w w:val="105"/>
        </w:rPr>
        <w:t>simply equal </w:t>
      </w:r>
      <w:r>
        <w:rPr>
          <w:color w:val="010101"/>
          <w:w w:val="105"/>
          <w:sz w:val="21"/>
        </w:rPr>
        <w:t>to </w:t>
      </w:r>
      <w:r>
        <w:rPr>
          <w:color w:val="010101"/>
          <w:w w:val="105"/>
        </w:rPr>
        <w:t>j.  Similarly,  the probability  that  the specified life will die first and within </w:t>
      </w:r>
      <w:r>
        <w:rPr>
          <w:i/>
          <w:color w:val="010101"/>
          <w:w w:val="105"/>
          <w:sz w:val="22"/>
        </w:rPr>
        <w:t>n </w:t>
      </w:r>
      <w:r>
        <w:rPr>
          <w:color w:val="010101"/>
          <w:w w:val="105"/>
        </w:rPr>
        <w:t>years </w:t>
      </w:r>
      <w:r>
        <w:rPr>
          <w:color w:val="010101"/>
          <w:spacing w:val="5"/>
          <w:w w:val="105"/>
        </w:rPr>
        <w:t> </w:t>
      </w:r>
      <w:r>
        <w:rPr>
          <w:color w:val="010101"/>
          <w:w w:val="105"/>
        </w:rPr>
        <w:t>is</w:t>
      </w:r>
    </w:p>
    <w:p>
      <w:pPr>
        <w:spacing w:before="129"/>
        <w:ind w:left="119" w:right="131" w:firstLine="0"/>
        <w:jc w:val="center"/>
        <w:rPr>
          <w:b/>
          <w:i/>
          <w:sz w:val="20"/>
        </w:rPr>
      </w:pPr>
      <w:r>
        <w:rPr>
          <w:b/>
          <w:i/>
          <w:color w:val="010101"/>
          <w:w w:val="125"/>
          <w:sz w:val="20"/>
        </w:rPr>
        <w:t>l ·,.q.,</w:t>
      </w:r>
    </w:p>
    <w:p>
      <w:pPr>
        <w:pStyle w:val="BodyText"/>
        <w:spacing w:line="235" w:lineRule="auto" w:before="126"/>
        <w:ind w:left="118" w:right="119"/>
        <w:jc w:val="both"/>
      </w:pPr>
      <w:r>
        <w:rPr>
          <w:i/>
          <w:color w:val="010101"/>
          <w:spacing w:val="-12"/>
          <w:w w:val="105"/>
        </w:rPr>
        <w:t>"q= </w:t>
      </w:r>
      <w:r>
        <w:rPr>
          <w:color w:val="010101"/>
          <w:w w:val="105"/>
        </w:rPr>
        <w:t>representing  the  chance  that  the  joint  lifetime  ends  within  </w:t>
      </w:r>
      <w:r>
        <w:rPr>
          <w:i/>
          <w:color w:val="010101"/>
          <w:w w:val="105"/>
        </w:rPr>
        <w:t>n </w:t>
      </w:r>
      <w:r>
        <w:rPr>
          <w:color w:val="010101"/>
          <w:w w:val="105"/>
        </w:rPr>
        <w:t>years, and j  being the chance that </w:t>
      </w:r>
      <w:r>
        <w:rPr>
          <w:color w:val="010101"/>
          <w:w w:val="105"/>
          <w:sz w:val="21"/>
        </w:rPr>
        <w:t>it </w:t>
      </w:r>
      <w:r>
        <w:rPr>
          <w:color w:val="010101"/>
          <w:w w:val="105"/>
        </w:rPr>
        <w:t>is terminated  by the failure  of the specified lif</w:t>
      </w:r>
      <w:r>
        <w:rPr>
          <w:color w:val="010101"/>
          <w:spacing w:val="-48"/>
          <w:w w:val="105"/>
        </w:rPr>
        <w:t> </w:t>
      </w:r>
      <w:r>
        <w:rPr>
          <w:color w:val="010101"/>
          <w:w w:val="105"/>
        </w:rPr>
        <w:t>e.</w:t>
      </w:r>
    </w:p>
    <w:p>
      <w:pPr>
        <w:pStyle w:val="BodyText"/>
        <w:spacing w:line="240" w:lineRule="exact"/>
        <w:ind w:left="319"/>
      </w:pPr>
      <w:r>
        <w:rPr>
          <w:color w:val="010101"/>
          <w:sz w:val="21"/>
        </w:rPr>
        <w:t>In  </w:t>
      </w:r>
      <w:r>
        <w:rPr>
          <w:color w:val="010101"/>
        </w:rPr>
        <w:t>general,  the  lives  involved  a.re  not  of  equal  a.ge.    Consider</w:t>
      </w:r>
    </w:p>
    <w:p>
      <w:pPr>
        <w:spacing w:after="0" w:line="240" w:lineRule="exact"/>
        <w:sectPr>
          <w:pgSz w:w="7200" w:h="11340"/>
          <w:pgMar w:top="1060" w:bottom="280" w:left="660" w:right="580"/>
        </w:sectPr>
      </w:pPr>
    </w:p>
    <w:p>
      <w:pPr>
        <w:tabs>
          <w:tab w:pos="1777" w:val="left" w:leader="none"/>
          <w:tab w:pos="5247" w:val="left" w:leader="none"/>
        </w:tabs>
        <w:spacing w:before="69"/>
        <w:ind w:left="135" w:right="0" w:firstLine="14"/>
        <w:jc w:val="both"/>
        <w:rPr>
          <w:rFonts w:ascii="Arial"/>
          <w:b/>
          <w:sz w:val="19"/>
        </w:rPr>
      </w:pPr>
      <w:r>
        <w:rPr>
          <w:sz w:val="19"/>
        </w:rPr>
        <w:t>226</w:t>
        <w:tab/>
      </w:r>
      <w:r>
        <w:rPr>
          <w:b/>
          <w:position w:val="2"/>
          <w:sz w:val="15"/>
        </w:rPr>
        <w:t>CONTJNGENT  </w:t>
      </w:r>
      <w:r>
        <w:rPr>
          <w:b/>
          <w:spacing w:val="6"/>
          <w:position w:val="2"/>
          <w:sz w:val="15"/>
        </w:rPr>
        <w:t> </w:t>
      </w:r>
      <w:r>
        <w:rPr>
          <w:b/>
          <w:position w:val="2"/>
          <w:sz w:val="15"/>
        </w:rPr>
        <w:t>FUNCTIONS</w:t>
        <w:tab/>
      </w:r>
      <w:r>
        <w:rPr>
          <w:b/>
          <w:position w:val="1"/>
          <w:sz w:val="19"/>
        </w:rPr>
        <w:t>(CH.</w:t>
      </w:r>
      <w:r>
        <w:rPr>
          <w:b/>
          <w:spacing w:val="-6"/>
          <w:position w:val="1"/>
          <w:sz w:val="19"/>
        </w:rPr>
        <w:t> </w:t>
      </w:r>
      <w:r>
        <w:rPr>
          <w:rFonts w:ascii="Arial"/>
          <w:b/>
          <w:position w:val="1"/>
          <w:sz w:val="19"/>
        </w:rPr>
        <w:t>11</w:t>
      </w:r>
    </w:p>
    <w:p>
      <w:pPr>
        <w:pStyle w:val="BodyText"/>
        <w:spacing w:before="3"/>
        <w:rPr>
          <w:rFonts w:ascii="Arial"/>
          <w:b/>
          <w:sz w:val="17"/>
        </w:rPr>
      </w:pPr>
    </w:p>
    <w:p>
      <w:pPr>
        <w:pStyle w:val="BodyText"/>
        <w:spacing w:line="232" w:lineRule="auto"/>
        <w:ind w:left="132" w:right="125" w:firstLine="3"/>
        <w:jc w:val="both"/>
      </w:pPr>
      <w:r>
        <w:rPr>
          <w:rFonts w:ascii="Arial" w:hAnsi="Arial"/>
          <w:spacing w:val="-3"/>
        </w:rPr>
        <w:t>first </w:t>
      </w:r>
      <w:r>
        <w:rPr/>
        <w:t>the case of two lives aged </w:t>
      </w:r>
      <w:r>
        <w:rPr>
          <w:rFonts w:ascii="Arial" w:hAnsi="Arial"/>
          <w:i/>
          <w:sz w:val="18"/>
        </w:rPr>
        <w:t>x </w:t>
      </w:r>
      <w:r>
        <w:rPr/>
        <w:t>and y, and let </w:t>
      </w:r>
      <w:r>
        <w:rPr>
          <w:i/>
          <w:sz w:val="24"/>
        </w:rPr>
        <w:t>q_!. </w:t>
      </w:r>
      <w:r>
        <w:rPr/>
        <w:t>denote </w:t>
      </w:r>
      <w:r>
        <w:rPr>
          <w:rFonts w:ascii="Arial" w:hAnsi="Arial"/>
        </w:rPr>
        <w:t>the </w:t>
      </w:r>
      <w:r>
        <w:rPr/>
        <w:t>probability  </w:t>
      </w:r>
      <w:r>
        <w:rPr>
          <w:w w:val="105"/>
        </w:rPr>
        <w:t>that   </w:t>
      </w:r>
      <w:r>
        <w:rPr/>
        <w:t>(x)   will   die  before   (y)   and  within   one  </w:t>
      </w:r>
      <w:r>
        <w:rPr>
          <w:b/>
          <w:w w:val="105"/>
          <w:sz w:val="21"/>
        </w:rPr>
        <w:t>year­ </w:t>
      </w:r>
      <w:r>
        <w:rPr/>
        <w:t>in </w:t>
      </w:r>
      <w:r>
        <w:rPr>
          <w:w w:val="105"/>
          <w:sz w:val="19"/>
        </w:rPr>
        <w:t>other </w:t>
      </w:r>
      <w:r>
        <w:rPr>
          <w:sz w:val="19"/>
        </w:rPr>
        <w:t>words, </w:t>
      </w:r>
      <w:r>
        <w:rPr>
          <w:w w:val="105"/>
        </w:rPr>
        <w:t>that </w:t>
      </w:r>
      <w:r>
        <w:rPr/>
        <w:t>the joint </w:t>
      </w:r>
      <w:r>
        <w:rPr>
          <w:sz w:val="19"/>
        </w:rPr>
        <w:t>lifetime </w:t>
      </w:r>
      <w:r>
        <w:rPr>
          <w:sz w:val="21"/>
        </w:rPr>
        <w:t>will  </w:t>
      </w:r>
      <w:r>
        <w:rPr/>
        <w:t>fail  within  </w:t>
      </w:r>
      <w:r>
        <w:rPr>
          <w:sz w:val="19"/>
        </w:rPr>
        <w:t>one  </w:t>
      </w:r>
      <w:r>
        <w:rPr/>
        <w:t>year beca.use of  </w:t>
      </w:r>
      <w:r>
        <w:rPr>
          <w:w w:val="105"/>
        </w:rPr>
        <w:t>the </w:t>
      </w:r>
      <w:r>
        <w:rPr/>
        <w:t>death  of  (x). This proba.bility  may  </w:t>
      </w:r>
      <w:r>
        <w:rPr>
          <w:b/>
          <w:sz w:val="22"/>
        </w:rPr>
        <w:t>be </w:t>
      </w:r>
      <w:r>
        <w:rPr>
          <w:rFonts w:ascii="Arial" w:hAnsi="Arial"/>
          <w:b/>
        </w:rPr>
        <w:t>expressed </w:t>
      </w:r>
      <w:r>
        <w:rPr/>
        <w:t>in  definite  integral  fonn  </w:t>
      </w:r>
      <w:r>
        <w:rPr>
          <w:spacing w:val="8"/>
        </w:rPr>
        <w:t> </w:t>
      </w:r>
      <w:r>
        <w:rPr>
          <w:w w:val="105"/>
        </w:rPr>
        <w:t>as</w:t>
      </w:r>
    </w:p>
    <w:p>
      <w:pPr>
        <w:spacing w:after="0" w:line="232" w:lineRule="auto"/>
        <w:jc w:val="both"/>
        <w:sectPr>
          <w:pgSz w:w="7200" w:h="11340"/>
          <w:pgMar w:top="480" w:bottom="280" w:left="660" w:right="540"/>
        </w:sectPr>
      </w:pPr>
    </w:p>
    <w:p>
      <w:pPr>
        <w:pStyle w:val="BodyText"/>
        <w:spacing w:before="9"/>
        <w:rPr>
          <w:sz w:val="16"/>
        </w:rPr>
      </w:pPr>
    </w:p>
    <w:p>
      <w:pPr>
        <w:tabs>
          <w:tab w:pos="2651" w:val="left" w:leader="none"/>
        </w:tabs>
        <w:spacing w:line="119" w:lineRule="exact" w:before="0"/>
        <w:ind w:left="1834" w:right="0" w:firstLine="0"/>
        <w:jc w:val="left"/>
        <w:rPr>
          <w:sz w:val="13"/>
        </w:rPr>
      </w:pPr>
      <w:r>
        <w:rPr/>
        <w:pict>
          <v:shape style="position:absolute;margin-left:89.639999pt;margin-top:-2.894679pt;width:71.5pt;height:25.5pt;mso-position-horizontal-relative:page;mso-position-vertical-relative:paragraph;z-index:-718144" type="#_x0000_t202" filled="false" stroked="false">
            <v:textbox inset="0,0,0,0">
              <w:txbxContent>
                <w:p>
                  <w:pPr>
                    <w:spacing w:line="510" w:lineRule="exact" w:before="0"/>
                    <w:ind w:left="0" w:right="-18" w:firstLine="0"/>
                    <w:jc w:val="left"/>
                    <w:rPr>
                      <w:b/>
                      <w:sz w:val="17"/>
                    </w:rPr>
                  </w:pPr>
                  <w:r>
                    <w:rPr>
                      <w:b/>
                      <w:i/>
                      <w:w w:val="151"/>
                      <w:sz w:val="20"/>
                    </w:rPr>
                    <w:t>q</w:t>
                  </w:r>
                  <w:r>
                    <w:rPr>
                      <w:b/>
                      <w:i/>
                      <w:w w:val="210"/>
                      <w:sz w:val="20"/>
                    </w:rPr>
                    <w:t>.</w:t>
                  </w:r>
                  <w:r>
                    <w:rPr>
                      <w:b/>
                      <w:i/>
                      <w:spacing w:val="-1"/>
                      <w:sz w:val="20"/>
                    </w:rPr>
                    <w:t> </w:t>
                  </w:r>
                  <w:r>
                    <w:rPr>
                      <w:rFonts w:ascii="Arial"/>
                      <w:w w:val="163"/>
                      <w:sz w:val="17"/>
                    </w:rPr>
                    <w:t>=</w:t>
                  </w:r>
                  <w:r>
                    <w:rPr>
                      <w:rFonts w:ascii="Arial"/>
                      <w:sz w:val="17"/>
                    </w:rPr>
                    <w:t> </w:t>
                  </w:r>
                  <w:r>
                    <w:rPr>
                      <w:rFonts w:ascii="Arial"/>
                      <w:spacing w:val="-16"/>
                      <w:sz w:val="17"/>
                    </w:rPr>
                    <w:t> </w:t>
                  </w:r>
                  <w:r>
                    <w:rPr>
                      <w:rFonts w:ascii="Arial"/>
                      <w:b/>
                      <w:spacing w:val="14"/>
                      <w:w w:val="89"/>
                      <w:position w:val="-7"/>
                      <w:sz w:val="51"/>
                    </w:rPr>
                    <w:t>1</w:t>
                  </w:r>
                  <w:r>
                    <w:rPr>
                      <w:b/>
                      <w:w w:val="82"/>
                      <w:sz w:val="17"/>
                    </w:rPr>
                    <w:t>tPzw#'z+c</w:t>
                  </w:r>
                </w:p>
              </w:txbxContent>
            </v:textbox>
            <w10:wrap type="none"/>
          </v:shape>
        </w:pict>
      </w:r>
      <w:r>
        <w:rPr>
          <w:b/>
          <w:w w:val="110"/>
          <w:sz w:val="13"/>
        </w:rPr>
        <w:t>1</w:t>
        <w:tab/>
      </w:r>
      <w:r>
        <w:rPr>
          <w:sz w:val="13"/>
        </w:rPr>
        <w:t>.</w:t>
      </w:r>
    </w:p>
    <w:p>
      <w:pPr>
        <w:spacing w:line="175" w:lineRule="exact" w:before="0"/>
        <w:ind w:left="0" w:right="0" w:firstLine="0"/>
        <w:jc w:val="right"/>
        <w:rPr>
          <w:rFonts w:ascii="Arial" w:hAnsi="Arial"/>
          <w:sz w:val="17"/>
        </w:rPr>
      </w:pPr>
      <w:r>
        <w:rPr>
          <w:rFonts w:ascii="Arial" w:hAnsi="Arial"/>
          <w:b/>
          <w:i/>
          <w:sz w:val="20"/>
        </w:rPr>
        <w:t>·dt </w:t>
      </w:r>
      <w:r>
        <w:rPr>
          <w:rFonts w:ascii="Arial" w:hAnsi="Arial"/>
          <w:w w:val="135"/>
          <w:sz w:val="17"/>
        </w:rPr>
        <w:t>=</w:t>
      </w:r>
    </w:p>
    <w:p>
      <w:pPr>
        <w:spacing w:line="125" w:lineRule="exact" w:before="0"/>
        <w:ind w:left="551" w:right="0" w:firstLine="0"/>
        <w:jc w:val="center"/>
        <w:rPr>
          <w:sz w:val="13"/>
        </w:rPr>
      </w:pPr>
      <w:r>
        <w:rPr>
          <w:w w:val="108"/>
          <w:sz w:val="13"/>
        </w:rPr>
        <w:t>0</w:t>
      </w:r>
    </w:p>
    <w:p>
      <w:pPr>
        <w:spacing w:line="356" w:lineRule="exact" w:before="0"/>
        <w:ind w:left="82" w:right="0" w:firstLine="0"/>
        <w:jc w:val="left"/>
        <w:rPr>
          <w:rFonts w:ascii="Arial"/>
          <w:b/>
          <w:sz w:val="41"/>
        </w:rPr>
      </w:pPr>
      <w:r>
        <w:rPr/>
        <w:br w:type="column"/>
      </w:r>
      <w:r>
        <w:rPr>
          <w:rFonts w:ascii="Arial"/>
          <w:b/>
          <w:w w:val="53"/>
          <w:sz w:val="41"/>
        </w:rPr>
        <w:t>1</w:t>
      </w:r>
      <w:r>
        <w:rPr>
          <w:rFonts w:ascii="Arial"/>
          <w:b/>
          <w:spacing w:val="-29"/>
          <w:sz w:val="41"/>
        </w:rPr>
        <w:t> </w:t>
      </w:r>
      <w:r>
        <w:rPr>
          <w:rFonts w:ascii="Arial"/>
          <w:b/>
          <w:spacing w:val="-45"/>
          <w:w w:val="142"/>
          <w:sz w:val="41"/>
        </w:rPr>
        <w:t>[</w:t>
      </w:r>
      <w:r>
        <w:rPr>
          <w:rFonts w:ascii="Arial"/>
          <w:b/>
          <w:w w:val="36"/>
          <w:sz w:val="41"/>
        </w:rPr>
        <w:t>1</w:t>
      </w:r>
    </w:p>
    <w:p>
      <w:pPr>
        <w:spacing w:line="132" w:lineRule="exact" w:before="0"/>
        <w:ind w:left="0" w:right="0" w:firstLine="0"/>
        <w:jc w:val="right"/>
        <w:rPr>
          <w:b/>
          <w:sz w:val="17"/>
        </w:rPr>
      </w:pPr>
      <w:r>
        <w:rPr>
          <w:b/>
          <w:w w:val="80"/>
          <w:sz w:val="17"/>
        </w:rPr>
        <w:t>Za+t</w:t>
      </w:r>
    </w:p>
    <w:p>
      <w:pPr>
        <w:spacing w:line="132" w:lineRule="exact" w:before="0"/>
        <w:ind w:left="0" w:right="22" w:firstLine="0"/>
        <w:jc w:val="center"/>
        <w:rPr>
          <w:sz w:val="13"/>
        </w:rPr>
      </w:pPr>
      <w:r>
        <w:rPr>
          <w:w w:val="108"/>
          <w:sz w:val="13"/>
        </w:rPr>
        <w:t>0</w:t>
      </w:r>
    </w:p>
    <w:p>
      <w:pPr>
        <w:pStyle w:val="BodyText"/>
        <w:rPr>
          <w:sz w:val="14"/>
        </w:rPr>
      </w:pPr>
      <w:r>
        <w:rPr/>
        <w:br w:type="column"/>
      </w:r>
      <w:r>
        <w:rPr>
          <w:sz w:val="14"/>
        </w:rPr>
      </w:r>
    </w:p>
    <w:p>
      <w:pPr>
        <w:pStyle w:val="BodyText"/>
        <w:spacing w:before="7"/>
        <w:rPr>
          <w:sz w:val="14"/>
        </w:rPr>
      </w:pPr>
    </w:p>
    <w:p>
      <w:pPr>
        <w:spacing w:before="0"/>
        <w:ind w:left="-12" w:right="0" w:firstLine="0"/>
        <w:jc w:val="left"/>
        <w:rPr>
          <w:b/>
          <w:sz w:val="15"/>
        </w:rPr>
      </w:pPr>
      <w:r>
        <w:rPr>
          <w:b/>
          <w:spacing w:val="-6"/>
          <w:w w:val="105"/>
          <w:sz w:val="15"/>
        </w:rPr>
        <w:t>:w+ll's·H</w:t>
      </w:r>
    </w:p>
    <w:p>
      <w:pPr>
        <w:pStyle w:val="BodyText"/>
        <w:rPr>
          <w:b/>
          <w:sz w:val="22"/>
        </w:rPr>
      </w:pPr>
      <w:r>
        <w:rPr/>
        <w:br w:type="column"/>
      </w:r>
      <w:r>
        <w:rPr>
          <w:b/>
          <w:sz w:val="22"/>
        </w:rPr>
      </w:r>
    </w:p>
    <w:p>
      <w:pPr>
        <w:tabs>
          <w:tab w:pos="730" w:val="left" w:leader="none"/>
        </w:tabs>
        <w:spacing w:before="0"/>
        <w:ind w:left="28" w:right="0" w:firstLine="0"/>
        <w:jc w:val="left"/>
        <w:rPr>
          <w:sz w:val="20"/>
        </w:rPr>
      </w:pPr>
      <w:r>
        <w:rPr>
          <w:b/>
          <w:i/>
          <w:w w:val="110"/>
          <w:position w:val="-2"/>
          <w:sz w:val="20"/>
        </w:rPr>
        <w:t>dt,</w:t>
        <w:tab/>
      </w:r>
      <w:r>
        <w:rPr>
          <w:w w:val="110"/>
          <w:sz w:val="20"/>
        </w:rPr>
        <w:t>(11.1)</w:t>
      </w:r>
    </w:p>
    <w:p>
      <w:pPr>
        <w:spacing w:after="0"/>
        <w:jc w:val="left"/>
        <w:rPr>
          <w:sz w:val="20"/>
        </w:rPr>
        <w:sectPr>
          <w:type w:val="continuous"/>
          <w:pgSz w:w="7200" w:h="11340"/>
          <w:pgMar w:top="1100" w:bottom="0" w:left="660" w:right="540"/>
          <w:cols w:num="4" w:equalWidth="0">
            <w:col w:w="3052" w:space="40"/>
            <w:col w:w="836" w:space="40"/>
            <w:col w:w="583" w:space="40"/>
            <w:col w:w="1409"/>
          </w:cols>
        </w:sectPr>
      </w:pPr>
    </w:p>
    <w:p>
      <w:pPr>
        <w:pStyle w:val="BodyText"/>
        <w:spacing w:line="177" w:lineRule="exact" w:before="120"/>
        <w:ind w:left="124"/>
      </w:pPr>
      <w:r>
        <w:rPr>
          <w:w w:val="105"/>
        </w:rPr>
        <w:t>since  the  differential   </w:t>
      </w:r>
      <w:r>
        <w:rPr>
          <w:b/>
          <w:i/>
          <w:w w:val="105"/>
        </w:rPr>
        <w:t>iPzrP•+ ,  </w:t>
      </w:r>
      <w:r>
        <w:rPr>
          <w:i/>
          <w:w w:val="105"/>
        </w:rPr>
        <w:t>dt  </w:t>
      </w:r>
      <w:r>
        <w:rPr>
          <w:w w:val="105"/>
        </w:rPr>
        <w:t>represen  the  probability   tbat</w:t>
      </w:r>
    </w:p>
    <w:p>
      <w:pPr>
        <w:pStyle w:val="BodyText"/>
        <w:spacing w:line="307" w:lineRule="exact"/>
        <w:ind w:left="160"/>
      </w:pPr>
      <w:r>
        <w:rPr>
          <w:w w:val="110"/>
        </w:rPr>
        <w:t>(z) will die at the moment of attaining </w:t>
      </w:r>
      <w:r>
        <w:rPr>
          <w:rFonts w:ascii="Arial"/>
          <w:w w:val="110"/>
          <w:sz w:val="17"/>
        </w:rPr>
        <w:t>age </w:t>
      </w:r>
      <w:r>
        <w:rPr>
          <w:rFonts w:ascii="Arial"/>
          <w:i/>
          <w:w w:val="110"/>
          <w:sz w:val="18"/>
        </w:rPr>
        <w:t>x  </w:t>
      </w:r>
      <w:r>
        <w:rPr>
          <w:rFonts w:ascii="Arial"/>
          <w:w w:val="110"/>
          <w:sz w:val="32"/>
        </w:rPr>
        <w:t>+ </w:t>
      </w:r>
      <w:r>
        <w:rPr>
          <w:i/>
          <w:w w:val="110"/>
          <w:sz w:val="22"/>
        </w:rPr>
        <w:t>t, </w:t>
      </w:r>
      <w:r>
        <w:rPr>
          <w:w w:val="110"/>
        </w:rPr>
        <w:t>(y) being still</w:t>
      </w:r>
    </w:p>
    <w:p>
      <w:pPr>
        <w:pStyle w:val="BodyText"/>
        <w:spacing w:line="222" w:lineRule="exact"/>
        <w:ind w:left="124"/>
      </w:pPr>
      <w:r>
        <w:rPr>
          <w:w w:val="105"/>
        </w:rPr>
        <w:t>alive.</w:t>
      </w:r>
    </w:p>
    <w:p>
      <w:pPr>
        <w:pStyle w:val="BodyText"/>
        <w:spacing w:line="244" w:lineRule="auto" w:before="2"/>
        <w:ind w:left="121" w:firstLine="198"/>
      </w:pPr>
      <w:r>
        <w:rPr>
          <w:w w:val="105"/>
        </w:rPr>
        <w:t>The other basic contingent probabilities </w:t>
      </w:r>
      <w:r>
        <w:rPr>
          <w:w w:val="105"/>
          <w:sz w:val="21"/>
        </w:rPr>
        <w:t>for </w:t>
      </w:r>
      <w:r>
        <w:rPr>
          <w:w w:val="105"/>
        </w:rPr>
        <w:t>two lives may be written  as follows:</w:t>
      </w:r>
    </w:p>
    <w:p>
      <w:pPr>
        <w:spacing w:after="0" w:line="244" w:lineRule="auto"/>
        <w:sectPr>
          <w:type w:val="continuous"/>
          <w:pgSz w:w="7200" w:h="11340"/>
          <w:pgMar w:top="1100" w:bottom="0" w:left="660" w:right="540"/>
        </w:sectPr>
      </w:pPr>
    </w:p>
    <w:p>
      <w:pPr>
        <w:spacing w:line="550" w:lineRule="exact" w:before="0"/>
        <w:ind w:left="1757" w:right="0" w:firstLine="0"/>
        <w:jc w:val="left"/>
        <w:rPr>
          <w:i/>
          <w:sz w:val="21"/>
        </w:rPr>
      </w:pPr>
      <w:r>
        <w:rPr>
          <w:i/>
          <w:spacing w:val="-301"/>
          <w:w w:val="318"/>
          <w:sz w:val="25"/>
        </w:rPr>
        <w:t>.</w:t>
      </w:r>
      <w:r>
        <w:rPr>
          <w:i/>
          <w:spacing w:val="-19"/>
          <w:w w:val="78"/>
          <w:sz w:val="25"/>
        </w:rPr>
        <w:t>q</w:t>
      </w:r>
      <w:r>
        <w:rPr>
          <w:i/>
          <w:w w:val="74"/>
          <w:sz w:val="25"/>
        </w:rPr>
        <w:t>!_</w:t>
      </w:r>
      <w:r>
        <w:rPr>
          <w:i/>
          <w:spacing w:val="22"/>
          <w:sz w:val="25"/>
        </w:rPr>
        <w:t> </w:t>
      </w:r>
      <w:r>
        <w:rPr>
          <w:w w:val="92"/>
          <w:sz w:val="26"/>
        </w:rPr>
        <w:t>=</w:t>
      </w:r>
      <w:r>
        <w:rPr>
          <w:spacing w:val="29"/>
          <w:sz w:val="26"/>
        </w:rPr>
        <w:t> </w:t>
      </w:r>
      <w:r>
        <w:rPr>
          <w:rFonts w:ascii="Arial" w:hAnsi="Arial"/>
          <w:i/>
          <w:spacing w:val="-85"/>
          <w:w w:val="79"/>
          <w:sz w:val="57"/>
        </w:rPr>
        <w:t>1</w:t>
      </w:r>
      <w:r>
        <w:rPr>
          <w:rFonts w:ascii="Arial" w:hAnsi="Arial"/>
          <w:i/>
          <w:spacing w:val="-65"/>
          <w:w w:val="111"/>
          <w:sz w:val="57"/>
        </w:rPr>
        <w:t>·</w:t>
      </w:r>
      <w:r>
        <w:rPr>
          <w:w w:val="114"/>
          <w:sz w:val="18"/>
        </w:rPr>
        <w:t>t</w:t>
      </w:r>
      <w:r>
        <w:rPr>
          <w:spacing w:val="-11"/>
          <w:w w:val="114"/>
          <w:sz w:val="18"/>
        </w:rPr>
        <w:t>P</w:t>
      </w:r>
      <w:r>
        <w:rPr>
          <w:w w:val="86"/>
          <w:sz w:val="18"/>
        </w:rPr>
        <w:t>Slll'z+c</w:t>
      </w:r>
      <w:r>
        <w:rPr>
          <w:spacing w:val="15"/>
          <w:sz w:val="18"/>
        </w:rPr>
        <w:t> </w:t>
      </w:r>
      <w:r>
        <w:rPr>
          <w:i/>
          <w:w w:val="92"/>
          <w:sz w:val="21"/>
        </w:rPr>
        <w:t>dt</w:t>
      </w:r>
    </w:p>
    <w:p>
      <w:pPr>
        <w:spacing w:line="618" w:lineRule="exact" w:before="0"/>
        <w:ind w:left="1939" w:right="0" w:firstLine="0"/>
        <w:jc w:val="center"/>
        <w:rPr>
          <w:rFonts w:ascii="Arial"/>
          <w:b/>
          <w:i/>
          <w:sz w:val="17"/>
        </w:rPr>
      </w:pPr>
      <w:r>
        <w:rPr>
          <w:rFonts w:ascii="Arial"/>
          <w:b/>
          <w:w w:val="95"/>
          <w:sz w:val="24"/>
        </w:rPr>
        <w:t>.q</w:t>
      </w:r>
      <w:r>
        <w:rPr>
          <w:rFonts w:ascii="Arial"/>
          <w:b/>
          <w:spacing w:val="-26"/>
          <w:w w:val="95"/>
          <w:sz w:val="24"/>
        </w:rPr>
        <w:t>!</w:t>
      </w:r>
      <w:r>
        <w:rPr>
          <w:rFonts w:ascii="Arial"/>
          <w:b/>
          <w:w w:val="66"/>
          <w:sz w:val="24"/>
        </w:rPr>
        <w:t>.,</w:t>
      </w:r>
      <w:r>
        <w:rPr>
          <w:rFonts w:ascii="Arial"/>
          <w:b/>
          <w:spacing w:val="13"/>
          <w:sz w:val="24"/>
        </w:rPr>
        <w:t> </w:t>
      </w:r>
      <w:r>
        <w:rPr>
          <w:w w:val="85"/>
          <w:sz w:val="28"/>
        </w:rPr>
        <w:t>=</w:t>
      </w:r>
      <w:r>
        <w:rPr>
          <w:spacing w:val="28"/>
          <w:sz w:val="28"/>
        </w:rPr>
        <w:t> </w:t>
      </w:r>
      <w:r>
        <w:rPr>
          <w:rFonts w:ascii="Arial"/>
          <w:b/>
          <w:i/>
          <w:w w:val="52"/>
          <w:sz w:val="57"/>
        </w:rPr>
        <w:t>f</w:t>
      </w:r>
      <w:r>
        <w:rPr>
          <w:rFonts w:ascii="Arial"/>
          <w:b/>
          <w:i/>
          <w:spacing w:val="-26"/>
          <w:w w:val="52"/>
          <w:sz w:val="57"/>
        </w:rPr>
        <w:t>.</w:t>
      </w:r>
      <w:r>
        <w:rPr>
          <w:rFonts w:ascii="Arial"/>
          <w:b/>
          <w:i/>
          <w:spacing w:val="5"/>
          <w:w w:val="96"/>
          <w:sz w:val="57"/>
        </w:rPr>
        <w:t>.</w:t>
      </w:r>
      <w:r>
        <w:rPr>
          <w:rFonts w:ascii="Arial"/>
          <w:b/>
          <w:spacing w:val="-40"/>
          <w:w w:val="77"/>
          <w:sz w:val="20"/>
        </w:rPr>
        <w:t>1</w:t>
      </w:r>
      <w:r>
        <w:rPr>
          <w:rFonts w:ascii="Arial"/>
          <w:b/>
          <w:w w:val="86"/>
          <w:sz w:val="20"/>
        </w:rPr>
        <w:t>1</w:t>
      </w:r>
      <w:r>
        <w:rPr>
          <w:rFonts w:ascii="Arial"/>
          <w:b/>
          <w:spacing w:val="-23"/>
          <w:w w:val="86"/>
          <w:sz w:val="20"/>
        </w:rPr>
        <w:t>'</w:t>
      </w:r>
      <w:r>
        <w:rPr>
          <w:rFonts w:ascii="Arial"/>
          <w:b/>
          <w:w w:val="145"/>
          <w:sz w:val="20"/>
        </w:rPr>
        <w:t>;.,</w:t>
      </w:r>
      <w:r>
        <w:rPr>
          <w:rFonts w:ascii="Arial"/>
          <w:b/>
          <w:spacing w:val="-31"/>
          <w:w w:val="145"/>
          <w:sz w:val="20"/>
        </w:rPr>
        <w:t>.</w:t>
      </w:r>
      <w:r>
        <w:rPr>
          <w:rFonts w:ascii="Arial"/>
          <w:b/>
          <w:w w:val="74"/>
          <w:sz w:val="20"/>
        </w:rPr>
        <w:t>+1</w:t>
      </w:r>
      <w:r>
        <w:rPr>
          <w:rFonts w:ascii="Arial"/>
          <w:b/>
          <w:spacing w:val="-11"/>
          <w:sz w:val="20"/>
        </w:rPr>
        <w:t> </w:t>
      </w:r>
      <w:r>
        <w:rPr>
          <w:rFonts w:ascii="Arial"/>
          <w:b/>
          <w:i/>
          <w:w w:val="114"/>
          <w:sz w:val="17"/>
        </w:rPr>
        <w:t>d,</w:t>
      </w:r>
    </w:p>
    <w:p>
      <w:pPr>
        <w:spacing w:line="60" w:lineRule="exact" w:before="127"/>
        <w:ind w:left="0" w:right="728" w:firstLine="0"/>
        <w:jc w:val="right"/>
        <w:rPr>
          <w:sz w:val="17"/>
        </w:rPr>
      </w:pPr>
      <w:r>
        <w:rPr>
          <w:w w:val="120"/>
          <w:sz w:val="17"/>
        </w:rPr>
        <w:t>•+I</w:t>
      </w:r>
    </w:p>
    <w:p>
      <w:pPr>
        <w:pStyle w:val="BodyText"/>
        <w:spacing w:before="2"/>
        <w:rPr>
          <w:sz w:val="22"/>
        </w:rPr>
      </w:pPr>
      <w:r>
        <w:rPr/>
        <w:br w:type="column"/>
      </w:r>
      <w:r>
        <w:rPr>
          <w:sz w:val="22"/>
        </w:rPr>
      </w:r>
    </w:p>
    <w:p>
      <w:pPr>
        <w:pStyle w:val="BodyText"/>
        <w:ind w:right="148"/>
        <w:jc w:val="right"/>
      </w:pPr>
      <w:r>
        <w:rPr>
          <w:w w:val="110"/>
        </w:rPr>
        <w:t>( 11.2)</w:t>
      </w:r>
    </w:p>
    <w:p>
      <w:pPr>
        <w:pStyle w:val="BodyText"/>
      </w:pPr>
    </w:p>
    <w:p>
      <w:pPr>
        <w:pStyle w:val="BodyText"/>
        <w:spacing w:before="145"/>
        <w:ind w:right="149"/>
        <w:jc w:val="right"/>
      </w:pPr>
      <w:r>
        <w:rPr>
          <w:w w:val="120"/>
        </w:rPr>
        <w:t>(11.3)</w:t>
      </w:r>
    </w:p>
    <w:p>
      <w:pPr>
        <w:spacing w:after="0"/>
        <w:jc w:val="right"/>
        <w:sectPr>
          <w:type w:val="continuous"/>
          <w:pgSz w:w="7200" w:h="11340"/>
          <w:pgMar w:top="1100" w:bottom="0" w:left="660" w:right="540"/>
          <w:cols w:num="2" w:equalWidth="0">
            <w:col w:w="3776" w:space="40"/>
            <w:col w:w="2184"/>
          </w:cols>
        </w:sectPr>
      </w:pPr>
    </w:p>
    <w:p>
      <w:pPr>
        <w:spacing w:line="546" w:lineRule="exact" w:before="0"/>
        <w:ind w:left="0" w:right="0" w:firstLine="0"/>
        <w:jc w:val="right"/>
        <w:rPr>
          <w:rFonts w:ascii="Arial" w:hAnsi="Arial"/>
          <w:sz w:val="24"/>
        </w:rPr>
      </w:pPr>
      <w:r>
        <w:rPr>
          <w:w w:val="362"/>
          <w:sz w:val="16"/>
        </w:rPr>
        <w:t>•I</w:t>
      </w:r>
      <w:r>
        <w:rPr>
          <w:sz w:val="16"/>
        </w:rPr>
        <w:t> </w:t>
      </w:r>
      <w:r>
        <w:rPr>
          <w:spacing w:val="-20"/>
          <w:sz w:val="16"/>
        </w:rPr>
        <w:t> </w:t>
      </w:r>
      <w:r>
        <w:rPr>
          <w:w w:val="104"/>
          <w:sz w:val="25"/>
        </w:rPr>
        <w:t>=</w:t>
      </w:r>
      <w:r>
        <w:rPr>
          <w:spacing w:val="20"/>
          <w:sz w:val="25"/>
        </w:rPr>
        <w:t> </w:t>
      </w:r>
      <w:r>
        <w:rPr>
          <w:rFonts w:ascii="Arial" w:hAnsi="Arial"/>
          <w:spacing w:val="-38"/>
          <w:w w:val="101"/>
          <w:position w:val="-6"/>
          <w:sz w:val="49"/>
        </w:rPr>
        <w:t>f</w:t>
      </w:r>
      <w:r>
        <w:rPr>
          <w:rFonts w:ascii="Arial" w:hAnsi="Arial"/>
          <w:w w:val="124"/>
          <w:position w:val="-16"/>
          <w:sz w:val="24"/>
        </w:rPr>
        <w:t>•</w:t>
      </w:r>
    </w:p>
    <w:p>
      <w:pPr>
        <w:spacing w:before="138"/>
        <w:ind w:left="236" w:right="-18" w:firstLine="0"/>
        <w:jc w:val="left"/>
        <w:rPr>
          <w:b/>
          <w:i/>
          <w:sz w:val="20"/>
        </w:rPr>
      </w:pPr>
      <w:r>
        <w:rPr/>
        <w:br w:type="column"/>
      </w:r>
      <w:r>
        <w:rPr>
          <w:b/>
          <w:w w:val="254"/>
          <w:sz w:val="17"/>
        </w:rPr>
        <w:t>a</w:t>
      </w:r>
      <w:r>
        <w:rPr>
          <w:b/>
          <w:spacing w:val="-14"/>
          <w:w w:val="254"/>
          <w:sz w:val="17"/>
        </w:rPr>
        <w:t>P</w:t>
      </w:r>
      <w:r>
        <w:rPr>
          <w:b/>
          <w:w w:val="80"/>
          <w:sz w:val="17"/>
        </w:rPr>
        <w:t>-H</w:t>
      </w:r>
      <w:r>
        <w:rPr>
          <w:b/>
          <w:sz w:val="17"/>
        </w:rPr>
        <w:t> </w:t>
      </w:r>
      <w:r>
        <w:rPr>
          <w:b/>
          <w:spacing w:val="-19"/>
          <w:sz w:val="17"/>
        </w:rPr>
        <w:t> </w:t>
      </w:r>
      <w:r>
        <w:rPr>
          <w:b/>
          <w:i/>
          <w:w w:val="106"/>
          <w:sz w:val="20"/>
        </w:rPr>
        <w:t>dt.</w:t>
      </w:r>
    </w:p>
    <w:p>
      <w:pPr>
        <w:spacing w:before="100"/>
        <w:ind w:left="1266" w:right="0" w:firstLine="0"/>
        <w:jc w:val="left"/>
        <w:rPr>
          <w:b/>
          <w:sz w:val="21"/>
        </w:rPr>
      </w:pPr>
      <w:r>
        <w:rPr/>
        <w:br w:type="column"/>
      </w:r>
      <w:r>
        <w:rPr>
          <w:b/>
          <w:sz w:val="21"/>
        </w:rPr>
        <w:t>(11.4)</w:t>
      </w:r>
    </w:p>
    <w:p>
      <w:pPr>
        <w:spacing w:after="0"/>
        <w:jc w:val="left"/>
        <w:rPr>
          <w:sz w:val="21"/>
        </w:rPr>
        <w:sectPr>
          <w:type w:val="continuous"/>
          <w:pgSz w:w="7200" w:h="11340"/>
          <w:pgMar w:top="1100" w:bottom="0" w:left="660" w:right="540"/>
          <w:cols w:num="3" w:equalWidth="0">
            <w:col w:w="2822" w:space="40"/>
            <w:col w:w="1144" w:space="40"/>
            <w:col w:w="1954"/>
          </w:cols>
        </w:sectPr>
      </w:pPr>
    </w:p>
    <w:p>
      <w:pPr>
        <w:spacing w:line="273" w:lineRule="exact" w:before="5"/>
        <w:ind w:left="114" w:right="0" w:firstLine="0"/>
        <w:jc w:val="left"/>
        <w:rPr>
          <w:sz w:val="21"/>
        </w:rPr>
      </w:pPr>
      <w:r>
        <w:rPr>
          <w:w w:val="105"/>
          <w:sz w:val="20"/>
        </w:rPr>
        <w:t>Note the symbol </w:t>
      </w:r>
      <w:r>
        <w:rPr>
          <w:w w:val="105"/>
          <w:sz w:val="24"/>
        </w:rPr>
        <w:t>used </w:t>
      </w:r>
      <w:r>
        <w:rPr>
          <w:w w:val="105"/>
          <w:sz w:val="20"/>
        </w:rPr>
        <w:t>in  (11.3)  for the probability  </w:t>
      </w:r>
      <w:r>
        <w:rPr>
          <w:w w:val="105"/>
          <w:sz w:val="21"/>
        </w:rPr>
        <w:t>that  </w:t>
      </w:r>
      <w:r>
        <w:rPr>
          <w:i/>
          <w:w w:val="105"/>
          <w:sz w:val="20"/>
        </w:rPr>
        <w:t>(x)    </w:t>
      </w:r>
      <w:r>
        <w:rPr>
          <w:w w:val="105"/>
          <w:sz w:val="21"/>
        </w:rPr>
        <w:t>will</w:t>
      </w:r>
    </w:p>
    <w:p>
      <w:pPr>
        <w:spacing w:line="231" w:lineRule="exact" w:before="0"/>
        <w:ind w:left="114" w:right="0" w:firstLine="0"/>
        <w:jc w:val="left"/>
        <w:rPr>
          <w:sz w:val="20"/>
        </w:rPr>
      </w:pPr>
      <w:r>
        <w:rPr>
          <w:w w:val="105"/>
          <w:sz w:val="20"/>
        </w:rPr>
        <w:t>die </w:t>
      </w:r>
      <w:r>
        <w:rPr>
          <w:w w:val="105"/>
          <w:sz w:val="21"/>
        </w:rPr>
        <w:t>before  </w:t>
      </w:r>
      <w:r>
        <w:rPr>
          <w:rFonts w:ascii="Arial"/>
          <w:w w:val="105"/>
          <w:sz w:val="19"/>
        </w:rPr>
        <w:t>(y) </w:t>
      </w:r>
      <w:r>
        <w:rPr>
          <w:w w:val="105"/>
          <w:sz w:val="20"/>
        </w:rPr>
        <w:t>with  no Iimit  on the time of  death.</w:t>
      </w:r>
    </w:p>
    <w:p>
      <w:pPr>
        <w:spacing w:line="249" w:lineRule="auto" w:before="0"/>
        <w:ind w:left="117" w:right="0" w:firstLine="198"/>
        <w:jc w:val="left"/>
        <w:rPr>
          <w:rFonts w:ascii="Arial" w:hAnsi="Arial"/>
          <w:sz w:val="20"/>
        </w:rPr>
      </w:pPr>
      <w:r>
        <w:rPr>
          <w:w w:val="105"/>
          <w:sz w:val="21"/>
        </w:rPr>
        <w:t>If </w:t>
      </w:r>
      <w:r>
        <w:rPr>
          <w:w w:val="105"/>
          <w:sz w:val="19"/>
        </w:rPr>
        <w:t>the specified life (x} </w:t>
      </w:r>
      <w:r>
        <w:rPr>
          <w:rFonts w:ascii="Arial" w:hAnsi="Arial"/>
          <w:w w:val="105"/>
          <w:sz w:val="20"/>
        </w:rPr>
        <w:t>is </w:t>
      </w:r>
      <w:r>
        <w:rPr>
          <w:w w:val="105"/>
          <w:sz w:val="20"/>
        </w:rPr>
        <w:t>to </w:t>
      </w:r>
      <w:r>
        <w:rPr>
          <w:w w:val="105"/>
          <w:sz w:val="19"/>
        </w:rPr>
        <w:t>die </w:t>
      </w:r>
      <w:r>
        <w:rPr>
          <w:i/>
          <w:w w:val="105"/>
          <w:sz w:val="21"/>
        </w:rPr>
        <w:t>second </w:t>
      </w:r>
      <w:r>
        <w:rPr>
          <w:w w:val="105"/>
          <w:sz w:val="20"/>
        </w:rPr>
        <w:t>within </w:t>
      </w:r>
      <w:r>
        <w:rPr>
          <w:i/>
          <w:w w:val="105"/>
          <w:sz w:val="22"/>
        </w:rPr>
        <w:t>n </w:t>
      </w:r>
      <w:r>
        <w:rPr>
          <w:w w:val="105"/>
          <w:sz w:val="20"/>
        </w:rPr>
        <w:t>years, the proba­ bility </w:t>
      </w:r>
      <w:r>
        <w:rPr>
          <w:rFonts w:ascii="Arial" w:hAnsi="Arial"/>
          <w:w w:val="105"/>
          <w:sz w:val="20"/>
        </w:rPr>
        <w:t>is</w:t>
      </w:r>
    </w:p>
    <w:p>
      <w:pPr>
        <w:spacing w:line="547" w:lineRule="exact" w:before="0"/>
        <w:ind w:left="1334" w:right="0" w:firstLine="0"/>
        <w:jc w:val="left"/>
        <w:rPr>
          <w:b/>
          <w:i/>
          <w:sz w:val="21"/>
        </w:rPr>
      </w:pPr>
      <w:r>
        <w:rPr>
          <w:b/>
          <w:spacing w:val="-30"/>
          <w:w w:val="150"/>
          <w:sz w:val="29"/>
        </w:rPr>
        <w:t>.</w:t>
      </w:r>
      <w:r>
        <w:rPr>
          <w:b/>
          <w:spacing w:val="-22"/>
          <w:w w:val="59"/>
          <w:sz w:val="29"/>
        </w:rPr>
        <w:t>q</w:t>
      </w:r>
      <w:r>
        <w:rPr>
          <w:b/>
          <w:spacing w:val="-82"/>
          <w:w w:val="165"/>
          <w:sz w:val="29"/>
        </w:rPr>
        <w:t>!</w:t>
      </w:r>
      <w:r>
        <w:rPr>
          <w:b/>
          <w:w w:val="38"/>
          <w:sz w:val="29"/>
        </w:rPr>
        <w:t>tt</w:t>
      </w:r>
      <w:r>
        <w:rPr>
          <w:b/>
          <w:spacing w:val="-4"/>
          <w:sz w:val="29"/>
        </w:rPr>
        <w:t> </w:t>
      </w:r>
      <w:r>
        <w:rPr>
          <w:rFonts w:ascii="Arial" w:hAnsi="Arial"/>
          <w:w w:val="108"/>
          <w:sz w:val="19"/>
        </w:rPr>
        <w:t>.=</w:t>
      </w:r>
      <w:r>
        <w:rPr>
          <w:rFonts w:ascii="Arial" w:hAnsi="Arial"/>
          <w:spacing w:val="21"/>
          <w:sz w:val="19"/>
        </w:rPr>
        <w:t> </w:t>
      </w:r>
      <w:r>
        <w:rPr>
          <w:w w:val="51"/>
          <w:sz w:val="55"/>
        </w:rPr>
        <w:t>f.ª</w:t>
      </w:r>
      <w:r>
        <w:rPr>
          <w:spacing w:val="-67"/>
          <w:sz w:val="55"/>
        </w:rPr>
        <w:t> </w:t>
      </w:r>
      <w:r>
        <w:rPr>
          <w:spacing w:val="-36"/>
          <w:w w:val="171"/>
          <w:sz w:val="20"/>
        </w:rPr>
        <w:t>,</w:t>
      </w:r>
      <w:r>
        <w:rPr>
          <w:w w:val="101"/>
          <w:sz w:val="20"/>
        </w:rPr>
        <w:t>pz</w:t>
      </w:r>
      <w:r>
        <w:rPr>
          <w:w w:val="101"/>
          <w:sz w:val="20"/>
        </w:rPr>
        <w:t>(</w:t>
      </w:r>
      <w:r>
        <w:rPr>
          <w:spacing w:val="-19"/>
          <w:sz w:val="20"/>
        </w:rPr>
        <w:t> </w:t>
      </w:r>
      <w:r>
        <w:rPr>
          <w:w w:val="122"/>
          <w:sz w:val="21"/>
        </w:rPr>
        <w:t>1</w:t>
      </w:r>
      <w:r>
        <w:rPr>
          <w:spacing w:val="-1"/>
          <w:sz w:val="21"/>
        </w:rPr>
        <w:t> </w:t>
      </w:r>
      <w:r>
        <w:rPr>
          <w:w w:val="268"/>
          <w:sz w:val="21"/>
        </w:rPr>
        <w:t>-</w:t>
      </w:r>
      <w:r>
        <w:rPr>
          <w:sz w:val="21"/>
        </w:rPr>
        <w:t> </w:t>
      </w:r>
      <w:r>
        <w:rPr>
          <w:b/>
          <w:w w:val="71"/>
          <w:sz w:val="20"/>
        </w:rPr>
        <w:t>aPw</w:t>
      </w:r>
      <w:r>
        <w:rPr>
          <w:b/>
          <w:w w:val="71"/>
          <w:sz w:val="20"/>
        </w:rPr>
        <w:t>)</w:t>
      </w:r>
      <w:r>
        <w:rPr>
          <w:b/>
          <w:spacing w:val="-35"/>
          <w:sz w:val="20"/>
        </w:rPr>
        <w:t> </w:t>
      </w:r>
      <w:r>
        <w:rPr>
          <w:b/>
          <w:w w:val="91"/>
          <w:sz w:val="17"/>
        </w:rPr>
        <w:t>l'a+c</w:t>
      </w:r>
      <w:r>
        <w:rPr>
          <w:b/>
          <w:sz w:val="17"/>
        </w:rPr>
        <w:t> </w:t>
      </w:r>
      <w:r>
        <w:rPr>
          <w:b/>
          <w:spacing w:val="-13"/>
          <w:sz w:val="17"/>
        </w:rPr>
        <w:t> </w:t>
      </w:r>
      <w:r>
        <w:rPr>
          <w:b/>
          <w:i/>
          <w:w w:val="80"/>
          <w:sz w:val="21"/>
        </w:rPr>
        <w:t>dt.</w:t>
      </w:r>
    </w:p>
    <w:p>
      <w:pPr>
        <w:tabs>
          <w:tab w:pos="3440" w:val="left" w:leader="none"/>
        </w:tabs>
        <w:spacing w:line="655" w:lineRule="exact" w:before="0"/>
        <w:ind w:left="1770" w:right="0" w:firstLine="0"/>
        <w:jc w:val="left"/>
        <w:rPr>
          <w:i/>
          <w:sz w:val="21"/>
        </w:rPr>
      </w:pPr>
      <w:r>
        <w:rPr>
          <w:w w:val="85"/>
          <w:sz w:val="26"/>
        </w:rPr>
        <w:t>=  </w:t>
      </w:r>
      <w:r>
        <w:rPr>
          <w:i/>
          <w:w w:val="85"/>
          <w:sz w:val="59"/>
        </w:rPr>
        <w:t>lª</w:t>
      </w:r>
      <w:r>
        <w:rPr>
          <w:i/>
          <w:spacing w:val="-40"/>
          <w:w w:val="85"/>
          <w:sz w:val="59"/>
        </w:rPr>
        <w:t> </w:t>
      </w:r>
      <w:r>
        <w:rPr>
          <w:i/>
          <w:w w:val="85"/>
          <w:sz w:val="17"/>
        </w:rPr>
        <w:t>1PJJ.s+1</w:t>
      </w:r>
      <w:r>
        <w:rPr>
          <w:i/>
          <w:spacing w:val="25"/>
          <w:w w:val="85"/>
          <w:sz w:val="17"/>
        </w:rPr>
        <w:t> </w:t>
      </w:r>
      <w:r>
        <w:rPr>
          <w:i/>
          <w:w w:val="85"/>
          <w:sz w:val="20"/>
        </w:rPr>
        <w:t>dt</w:t>
        <w:tab/>
      </w:r>
      <w:r>
        <w:rPr>
          <w:w w:val="85"/>
          <w:sz w:val="55"/>
        </w:rPr>
        <w:t>f.ª</w:t>
      </w:r>
      <w:r>
        <w:rPr>
          <w:spacing w:val="-95"/>
          <w:w w:val="85"/>
          <w:sz w:val="55"/>
        </w:rPr>
        <w:t> </w:t>
      </w:r>
      <w:r>
        <w:rPr>
          <w:sz w:val="18"/>
        </w:rPr>
        <w:t>•P-"s+c </w:t>
      </w:r>
      <w:r>
        <w:rPr>
          <w:i/>
          <w:w w:val="85"/>
          <w:sz w:val="21"/>
        </w:rPr>
        <w:t>dt</w:t>
      </w:r>
    </w:p>
    <w:p>
      <w:pPr>
        <w:tabs>
          <w:tab w:pos="5308" w:val="left" w:leader="none"/>
        </w:tabs>
        <w:spacing w:before="101"/>
        <w:ind w:left="1762" w:right="0" w:firstLine="0"/>
        <w:jc w:val="left"/>
        <w:rPr>
          <w:sz w:val="20"/>
        </w:rPr>
      </w:pPr>
      <w:r>
        <w:rPr>
          <w:w w:val="101"/>
          <w:sz w:val="23"/>
        </w:rPr>
        <w:t>=</w:t>
      </w:r>
      <w:r>
        <w:rPr>
          <w:sz w:val="23"/>
        </w:rPr>
        <w:t> </w:t>
      </w:r>
      <w:r>
        <w:rPr>
          <w:spacing w:val="-17"/>
          <w:sz w:val="23"/>
        </w:rPr>
        <w:t> </w:t>
      </w:r>
      <w:r>
        <w:rPr>
          <w:b/>
          <w:i/>
          <w:w w:val="81"/>
          <w:sz w:val="20"/>
        </w:rPr>
        <w:t>,.qs</w:t>
      </w:r>
      <w:r>
        <w:rPr>
          <w:b/>
          <w:i/>
          <w:sz w:val="20"/>
        </w:rPr>
        <w:t> </w:t>
      </w:r>
      <w:r>
        <w:rPr>
          <w:b/>
          <w:i/>
          <w:spacing w:val="-1"/>
          <w:sz w:val="20"/>
        </w:rPr>
        <w:t> </w:t>
      </w:r>
      <w:r>
        <w:rPr>
          <w:w w:val="296"/>
          <w:sz w:val="20"/>
        </w:rPr>
        <w:t>-</w:t>
      </w:r>
      <w:r>
        <w:rPr>
          <w:spacing w:val="-11"/>
          <w:sz w:val="20"/>
        </w:rPr>
        <w:t> </w:t>
      </w:r>
      <w:r>
        <w:rPr>
          <w:b/>
          <w:i/>
          <w:w w:val="76"/>
          <w:sz w:val="20"/>
        </w:rPr>
        <w:t>,.q</w:t>
      </w:r>
      <w:r>
        <w:rPr>
          <w:b/>
          <w:i/>
          <w:spacing w:val="-14"/>
          <w:w w:val="76"/>
          <w:sz w:val="20"/>
        </w:rPr>
        <w:t>,</w:t>
      </w:r>
      <w:r>
        <w:rPr>
          <w:b/>
          <w:spacing w:val="-56"/>
          <w:w w:val="106"/>
          <w:position w:val="10"/>
          <w:sz w:val="13"/>
        </w:rPr>
        <w:t>1</w:t>
      </w:r>
      <w:r>
        <w:rPr>
          <w:b/>
          <w:i/>
          <w:spacing w:val="2"/>
          <w:w w:val="76"/>
          <w:sz w:val="20"/>
        </w:rPr>
        <w:t>,</w:t>
      </w:r>
      <w:r>
        <w:rPr>
          <w:b/>
          <w:i/>
          <w:w w:val="134"/>
          <w:sz w:val="20"/>
        </w:rPr>
        <w:t>..</w:t>
      </w:r>
      <w:r>
        <w:rPr>
          <w:b/>
          <w:i/>
          <w:sz w:val="20"/>
        </w:rPr>
        <w:tab/>
      </w:r>
      <w:r>
        <w:rPr>
          <w:w w:val="109"/>
          <w:position w:val="1"/>
          <w:sz w:val="20"/>
        </w:rPr>
        <w:t>(1</w:t>
      </w:r>
      <w:r>
        <w:rPr>
          <w:spacing w:val="-9"/>
          <w:w w:val="109"/>
          <w:position w:val="1"/>
          <w:sz w:val="20"/>
        </w:rPr>
        <w:t>1</w:t>
      </w:r>
      <w:r>
        <w:rPr>
          <w:w w:val="113"/>
          <w:position w:val="1"/>
          <w:sz w:val="20"/>
        </w:rPr>
        <w:t>.5)</w:t>
      </w:r>
    </w:p>
    <w:p>
      <w:pPr>
        <w:pStyle w:val="BodyText"/>
        <w:spacing w:line="228" w:lineRule="exact" w:before="97"/>
        <w:ind w:left="106"/>
      </w:pPr>
      <w:r>
        <w:rPr>
          <w:w w:val="105"/>
        </w:rPr>
        <w:t>The  result  may  </w:t>
      </w:r>
      <w:r>
        <w:rPr>
          <w:w w:val="105"/>
          <w:sz w:val="19"/>
        </w:rPr>
        <w:t>be  </w:t>
      </w:r>
      <w:r>
        <w:rPr>
          <w:w w:val="105"/>
        </w:rPr>
        <w:t>obtained  by  general  reasoning,  since  </w:t>
      </w:r>
      <w:r>
        <w:rPr>
          <w:w w:val="105"/>
          <w:sz w:val="22"/>
        </w:rPr>
        <w:t>if   </w:t>
      </w:r>
      <w:r>
        <w:rPr>
          <w:w w:val="105"/>
        </w:rPr>
        <w:t>(x)</w:t>
      </w:r>
    </w:p>
    <w:p>
      <w:pPr>
        <w:spacing w:line="220" w:lineRule="exact" w:before="0"/>
        <w:ind w:left="110" w:right="0" w:firstLine="0"/>
        <w:jc w:val="left"/>
        <w:rPr>
          <w:sz w:val="26"/>
        </w:rPr>
      </w:pPr>
      <w:r>
        <w:rPr>
          <w:w w:val="105"/>
          <w:sz w:val="19"/>
        </w:rPr>
        <w:t>dies within </w:t>
      </w:r>
      <w:r>
        <w:rPr>
          <w:i/>
          <w:w w:val="105"/>
          <w:sz w:val="21"/>
        </w:rPr>
        <w:t>n </w:t>
      </w:r>
      <w:r>
        <w:rPr>
          <w:w w:val="105"/>
          <w:sz w:val="19"/>
        </w:rPr>
        <w:t>years he </w:t>
      </w:r>
      <w:r>
        <w:rPr>
          <w:w w:val="105"/>
          <w:sz w:val="21"/>
        </w:rPr>
        <w:t>will </w:t>
      </w:r>
      <w:r>
        <w:rPr>
          <w:w w:val="105"/>
          <w:sz w:val="19"/>
        </w:rPr>
        <w:t>die either before </w:t>
      </w:r>
      <w:r>
        <w:rPr>
          <w:w w:val="105"/>
          <w:sz w:val="20"/>
        </w:rPr>
        <w:t>or after  (y); </w:t>
      </w:r>
      <w:r>
        <w:rPr>
          <w:w w:val="105"/>
          <w:sz w:val="19"/>
        </w:rPr>
        <w:t>i.e., </w:t>
      </w:r>
      <w:r>
        <w:rPr>
          <w:i/>
          <w:sz w:val="21"/>
        </w:rPr>
        <w:t>,,,qs   </w:t>
      </w:r>
      <w:r>
        <w:rPr>
          <w:w w:val="105"/>
          <w:sz w:val="26"/>
        </w:rPr>
        <w:t>=</w:t>
      </w:r>
    </w:p>
    <w:p>
      <w:pPr>
        <w:spacing w:line="297" w:lineRule="exact" w:before="0"/>
        <w:ind w:left="103" w:right="0" w:firstLine="0"/>
        <w:jc w:val="left"/>
        <w:rPr>
          <w:i/>
          <w:sz w:val="27"/>
        </w:rPr>
      </w:pPr>
      <w:r>
        <w:rPr>
          <w:i/>
          <w:sz w:val="27"/>
        </w:rPr>
        <w:t>,.q </w:t>
      </w:r>
      <w:r>
        <w:rPr>
          <w:rFonts w:ascii="Arial"/>
          <w:sz w:val="32"/>
        </w:rPr>
        <w:t>+</w:t>
      </w:r>
      <w:r>
        <w:rPr>
          <w:rFonts w:ascii="Arial"/>
          <w:spacing w:val="-66"/>
          <w:sz w:val="32"/>
        </w:rPr>
        <w:t> </w:t>
      </w:r>
      <w:r>
        <w:rPr>
          <w:i/>
          <w:w w:val="95"/>
          <w:sz w:val="27"/>
        </w:rPr>
        <w:t>,.q!i,</w:t>
      </w:r>
      <w:r>
        <w:rPr>
          <w:i/>
          <w:spacing w:val="-57"/>
          <w:w w:val="95"/>
          <w:sz w:val="27"/>
        </w:rPr>
        <w:t> </w:t>
      </w:r>
      <w:r>
        <w:rPr>
          <w:i/>
          <w:sz w:val="27"/>
        </w:rPr>
        <w:t>.</w:t>
      </w:r>
    </w:p>
    <w:p>
      <w:pPr>
        <w:spacing w:line="189" w:lineRule="exact" w:before="0"/>
        <w:ind w:left="219" w:right="87" w:firstLine="0"/>
        <w:jc w:val="center"/>
        <w:rPr>
          <w:sz w:val="20"/>
        </w:rPr>
      </w:pPr>
      <w:r>
        <w:rPr>
          <w:w w:val="105"/>
          <w:sz w:val="20"/>
        </w:rPr>
        <w:t>The   probability   </w:t>
      </w:r>
      <w:r>
        <w:rPr>
          <w:w w:val="105"/>
          <w:sz w:val="21"/>
        </w:rPr>
        <w:t>tha.t   </w:t>
      </w:r>
      <w:r>
        <w:rPr>
          <w:rFonts w:ascii="Arial"/>
          <w:i/>
          <w:w w:val="105"/>
          <w:sz w:val="18"/>
        </w:rPr>
        <w:t>(x)   </w:t>
      </w:r>
      <w:r>
        <w:rPr>
          <w:w w:val="105"/>
          <w:sz w:val="21"/>
        </w:rPr>
        <w:t>will  </w:t>
      </w:r>
      <w:r>
        <w:rPr>
          <w:w w:val="105"/>
          <w:sz w:val="20"/>
        </w:rPr>
        <w:t>.die  second   and   during  the</w:t>
      </w:r>
    </w:p>
    <w:p>
      <w:pPr>
        <w:spacing w:line="298" w:lineRule="exact" w:before="0"/>
        <w:ind w:left="124" w:right="0" w:firstLine="0"/>
        <w:jc w:val="left"/>
        <w:rPr>
          <w:sz w:val="20"/>
        </w:rPr>
      </w:pPr>
      <w:r>
        <w:rPr>
          <w:rFonts w:ascii="Arial"/>
          <w:i/>
          <w:w w:val="105"/>
          <w:sz w:val="19"/>
        </w:rPr>
        <w:t>.(n </w:t>
      </w:r>
      <w:r>
        <w:rPr>
          <w:w w:val="105"/>
          <w:sz w:val="29"/>
        </w:rPr>
        <w:t>+ </w:t>
      </w:r>
      <w:r>
        <w:rPr>
          <w:w w:val="105"/>
          <w:sz w:val="20"/>
        </w:rPr>
        <w:t>1</w:t>
      </w:r>
      <w:r>
        <w:rPr>
          <w:rFonts w:ascii="Arial"/>
          <w:w w:val="105"/>
          <w:sz w:val="27"/>
        </w:rPr>
        <w:t>Hh </w:t>
      </w:r>
      <w:r>
        <w:rPr>
          <w:w w:val="105"/>
          <w:sz w:val="20"/>
        </w:rPr>
        <w:t>year may  similarly  </w:t>
      </w:r>
      <w:r>
        <w:rPr>
          <w:w w:val="105"/>
          <w:sz w:val="21"/>
        </w:rPr>
        <w:t>be </w:t>
      </w:r>
      <w:r>
        <w:rPr>
          <w:w w:val="105"/>
          <w:sz w:val="20"/>
        </w:rPr>
        <w:t>seen  to  be</w:t>
      </w:r>
    </w:p>
    <w:p>
      <w:pPr>
        <w:pStyle w:val="BodyText"/>
        <w:spacing w:before="143"/>
        <w:ind w:right="172"/>
        <w:jc w:val="right"/>
      </w:pPr>
      <w:r>
        <w:rPr/>
        <w:drawing>
          <wp:anchor distT="0" distB="0" distL="0" distR="0" allowOverlap="1" layoutInCell="1" locked="0" behindDoc="0" simplePos="0" relativeHeight="17896">
            <wp:simplePos x="0" y="0"/>
            <wp:positionH relativeFrom="page">
              <wp:posOffset>1764792</wp:posOffset>
            </wp:positionH>
            <wp:positionV relativeFrom="paragraph">
              <wp:posOffset>90499</wp:posOffset>
            </wp:positionV>
            <wp:extent cx="1106424" cy="155448"/>
            <wp:effectExtent l="0" t="0" r="0" b="0"/>
            <wp:wrapNone/>
            <wp:docPr id="481" name="image246.png" descr=""/>
            <wp:cNvGraphicFramePr>
              <a:graphicFrameLocks noChangeAspect="1"/>
            </wp:cNvGraphicFramePr>
            <a:graphic>
              <a:graphicData uri="http://schemas.openxmlformats.org/drawingml/2006/picture">
                <pic:pic>
                  <pic:nvPicPr>
                    <pic:cNvPr id="482" name="image246.png"/>
                    <pic:cNvPicPr/>
                  </pic:nvPicPr>
                  <pic:blipFill>
                    <a:blip r:embed="rId250" cstate="print"/>
                    <a:stretch>
                      <a:fillRect/>
                    </a:stretch>
                  </pic:blipFill>
                  <pic:spPr>
                    <a:xfrm>
                      <a:off x="0" y="0"/>
                      <a:ext cx="1106424" cy="155448"/>
                    </a:xfrm>
                    <a:prstGeom prst="rect">
                      <a:avLst/>
                    </a:prstGeom>
                  </pic:spPr>
                </pic:pic>
              </a:graphicData>
            </a:graphic>
          </wp:anchor>
        </w:drawing>
      </w:r>
      <w:r>
        <w:rPr>
          <w:w w:val="105"/>
        </w:rPr>
        <w:t>(11.6)</w:t>
      </w:r>
    </w:p>
    <w:p>
      <w:pPr>
        <w:spacing w:after="0"/>
        <w:jc w:val="right"/>
        <w:sectPr>
          <w:type w:val="continuous"/>
          <w:pgSz w:w="7200" w:h="11340"/>
          <w:pgMar w:top="1100" w:bottom="0" w:left="660" w:right="540"/>
        </w:sectPr>
      </w:pPr>
    </w:p>
    <w:p>
      <w:pPr>
        <w:tabs>
          <w:tab w:pos="1791" w:val="left" w:leader="none"/>
        </w:tabs>
        <w:spacing w:before="54"/>
        <w:ind w:left="110" w:right="0" w:firstLine="0"/>
        <w:jc w:val="both"/>
        <w:rPr>
          <w:b/>
          <w:sz w:val="15"/>
        </w:rPr>
      </w:pPr>
      <w:r>
        <w:rPr>
          <w:b/>
          <w:w w:val="105"/>
          <w:sz w:val="15"/>
        </w:rPr>
        <w:t>SEC. </w:t>
      </w:r>
      <w:r>
        <w:rPr>
          <w:b/>
          <w:spacing w:val="10"/>
          <w:w w:val="105"/>
          <w:sz w:val="15"/>
        </w:rPr>
        <w:t> </w:t>
      </w:r>
      <w:r>
        <w:rPr>
          <w:rFonts w:ascii="Arial"/>
          <w:b/>
          <w:w w:val="105"/>
          <w:sz w:val="20"/>
        </w:rPr>
        <w:t>2)</w:t>
        <w:tab/>
      </w:r>
      <w:r>
        <w:rPr>
          <w:b/>
          <w:w w:val="105"/>
          <w:sz w:val="15"/>
        </w:rPr>
        <w:t>CONTINGENT</w:t>
      </w:r>
      <w:r>
        <w:rPr>
          <w:b/>
          <w:spacing w:val="26"/>
          <w:w w:val="105"/>
          <w:sz w:val="15"/>
        </w:rPr>
        <w:t> </w:t>
      </w:r>
      <w:r>
        <w:rPr>
          <w:b/>
          <w:w w:val="105"/>
          <w:sz w:val="15"/>
        </w:rPr>
        <w:t>PROBABILITIES</w:t>
      </w:r>
    </w:p>
    <w:p>
      <w:pPr>
        <w:pStyle w:val="BodyText"/>
        <w:spacing w:line="230" w:lineRule="auto" w:before="157"/>
        <w:ind w:left="110" w:right="127"/>
        <w:jc w:val="both"/>
        <w:rPr>
          <w:rFonts w:ascii="Arial"/>
          <w:i/>
          <w:sz w:val="18"/>
        </w:rPr>
      </w:pPr>
      <w:r>
        <w:rPr>
          <w:w w:val="110"/>
        </w:rPr>
        <w:t>Note that </w:t>
      </w:r>
      <w:r>
        <w:rPr>
          <w:rFonts w:ascii="Arial"/>
          <w:i/>
          <w:w w:val="110"/>
          <w:sz w:val="19"/>
        </w:rPr>
        <w:t>(y ) </w:t>
      </w:r>
      <w:r>
        <w:rPr>
          <w:w w:val="110"/>
        </w:rPr>
        <w:t>need not die in the </w:t>
      </w:r>
      <w:r>
        <w:rPr>
          <w:rFonts w:ascii="Arial"/>
          <w:i/>
          <w:w w:val="110"/>
          <w:sz w:val="19"/>
        </w:rPr>
        <w:t>(n </w:t>
      </w:r>
      <w:r>
        <w:rPr>
          <w:rFonts w:ascii="Arial"/>
          <w:w w:val="110"/>
          <w:sz w:val="31"/>
        </w:rPr>
        <w:t>+ </w:t>
      </w:r>
      <w:r>
        <w:rPr>
          <w:w w:val="110"/>
        </w:rPr>
        <w:t>1)-th yea.r, but may die at a.ny time preceding the death of </w:t>
      </w:r>
      <w:r>
        <w:rPr>
          <w:rFonts w:ascii="Arial"/>
          <w:i/>
          <w:w w:val="110"/>
          <w:sz w:val="18"/>
        </w:rPr>
        <w:t>(x).</w:t>
      </w:r>
    </w:p>
    <w:p>
      <w:pPr>
        <w:pStyle w:val="BodyText"/>
        <w:spacing w:line="252" w:lineRule="auto" w:before="13"/>
        <w:ind w:left="106" w:right="128" w:firstLine="194"/>
        <w:jc w:val="both"/>
      </w:pPr>
      <w:r>
        <w:rPr>
          <w:w w:val="105"/>
        </w:rPr>
        <w:t>The probabilities involving three lives, contingent  upon  the death of a specified life  </w:t>
      </w:r>
      <w:r>
        <w:rPr>
          <w:rFonts w:ascii="Arial"/>
          <w:i/>
          <w:spacing w:val="4"/>
          <w:w w:val="105"/>
          <w:sz w:val="18"/>
        </w:rPr>
        <w:t>(x), </w:t>
      </w:r>
      <w:r>
        <w:rPr>
          <w:w w:val="105"/>
        </w:rPr>
        <w:t>are as</w:t>
      </w:r>
      <w:r>
        <w:rPr>
          <w:spacing w:val="9"/>
          <w:w w:val="105"/>
        </w:rPr>
        <w:t> </w:t>
      </w:r>
      <w:r>
        <w:rPr>
          <w:w w:val="105"/>
        </w:rPr>
        <w:t>follows:</w:t>
      </w:r>
    </w:p>
    <w:p>
      <w:pPr>
        <w:pStyle w:val="BodyText"/>
        <w:spacing w:before="7"/>
        <w:rPr>
          <w:sz w:val="21"/>
        </w:rPr>
      </w:pPr>
    </w:p>
    <w:p>
      <w:pPr>
        <w:pStyle w:val="BodyText"/>
        <w:ind w:right="139"/>
        <w:jc w:val="right"/>
      </w:pPr>
      <w:r>
        <w:rPr/>
        <w:drawing>
          <wp:anchor distT="0" distB="0" distL="0" distR="0" allowOverlap="1" layoutInCell="1" locked="0" behindDoc="1" simplePos="0" relativeHeight="267717335">
            <wp:simplePos x="0" y="0"/>
            <wp:positionH relativeFrom="page">
              <wp:posOffset>1179575</wp:posOffset>
            </wp:positionH>
            <wp:positionV relativeFrom="paragraph">
              <wp:posOffset>-71171</wp:posOffset>
            </wp:positionV>
            <wp:extent cx="1453896" cy="667512"/>
            <wp:effectExtent l="0" t="0" r="0" b="0"/>
            <wp:wrapNone/>
            <wp:docPr id="483" name="image247.png" descr=""/>
            <wp:cNvGraphicFramePr>
              <a:graphicFrameLocks noChangeAspect="1"/>
            </wp:cNvGraphicFramePr>
            <a:graphic>
              <a:graphicData uri="http://schemas.openxmlformats.org/drawingml/2006/picture">
                <pic:pic>
                  <pic:nvPicPr>
                    <pic:cNvPr id="484" name="image247.png"/>
                    <pic:cNvPicPr/>
                  </pic:nvPicPr>
                  <pic:blipFill>
                    <a:blip r:embed="rId251" cstate="print"/>
                    <a:stretch>
                      <a:fillRect/>
                    </a:stretch>
                  </pic:blipFill>
                  <pic:spPr>
                    <a:xfrm>
                      <a:off x="0" y="0"/>
                      <a:ext cx="1453896" cy="667512"/>
                    </a:xfrm>
                    <a:prstGeom prst="rect">
                      <a:avLst/>
                    </a:prstGeom>
                  </pic:spPr>
                </pic:pic>
              </a:graphicData>
            </a:graphic>
          </wp:anchor>
        </w:drawing>
      </w:r>
      <w:r>
        <w:rPr>
          <w:w w:val="120"/>
        </w:rPr>
        <w:t>(11.7)</w:t>
      </w:r>
    </w:p>
    <w:p>
      <w:pPr>
        <w:pStyle w:val="BodyText"/>
      </w:pPr>
    </w:p>
    <w:p>
      <w:pPr>
        <w:pStyle w:val="BodyText"/>
      </w:pPr>
    </w:p>
    <w:p>
      <w:pPr>
        <w:pStyle w:val="BodyText"/>
        <w:spacing w:before="8"/>
      </w:pPr>
    </w:p>
    <w:p>
      <w:pPr>
        <w:spacing w:line="612" w:lineRule="exact" w:before="0"/>
        <w:ind w:left="1683" w:right="739" w:firstLine="0"/>
        <w:jc w:val="left"/>
        <w:rPr>
          <w:rFonts w:ascii="Arial" w:hAnsi="Arial"/>
          <w:i/>
          <w:sz w:val="17"/>
        </w:rPr>
      </w:pPr>
      <w:r>
        <w:rPr>
          <w:w w:val="85"/>
          <w:sz w:val="28"/>
        </w:rPr>
        <w:t>=</w:t>
      </w:r>
      <w:r>
        <w:rPr>
          <w:spacing w:val="24"/>
          <w:sz w:val="28"/>
        </w:rPr>
        <w:t> </w:t>
      </w:r>
      <w:r>
        <w:rPr>
          <w:b/>
          <w:w w:val="49"/>
          <w:sz w:val="54"/>
        </w:rPr>
        <w:t>f.ª</w:t>
      </w:r>
      <w:r>
        <w:rPr>
          <w:b/>
          <w:spacing w:val="-46"/>
          <w:sz w:val="54"/>
        </w:rPr>
        <w:t> </w:t>
      </w:r>
      <w:r>
        <w:rPr>
          <w:b/>
          <w:w w:val="92"/>
          <w:sz w:val="21"/>
        </w:rPr>
        <w:t>tPs</w:t>
      </w:r>
      <w:r>
        <w:rPr>
          <w:b/>
          <w:w w:val="92"/>
          <w:sz w:val="21"/>
        </w:rPr>
        <w:t>(</w:t>
      </w:r>
      <w:r>
        <w:rPr>
          <w:b/>
          <w:w w:val="92"/>
          <w:sz w:val="21"/>
        </w:rPr>
        <w:t>,</w:t>
      </w:r>
      <w:r>
        <w:rPr>
          <w:b/>
          <w:spacing w:val="-4"/>
          <w:w w:val="92"/>
          <w:sz w:val="21"/>
        </w:rPr>
        <w:t>p</w:t>
      </w:r>
      <w:r>
        <w:rPr>
          <w:b/>
          <w:w w:val="208"/>
          <w:sz w:val="21"/>
        </w:rPr>
        <w:t>.</w:t>
      </w:r>
      <w:r>
        <w:rPr>
          <w:b/>
          <w:spacing w:val="-22"/>
          <w:sz w:val="21"/>
        </w:rPr>
        <w:t> </w:t>
      </w:r>
      <w:r>
        <w:rPr>
          <w:rFonts w:ascii="Arial" w:hAnsi="Arial"/>
          <w:w w:val="103"/>
          <w:sz w:val="33"/>
        </w:rPr>
        <w:t>+</w:t>
      </w:r>
      <w:r>
        <w:rPr>
          <w:rFonts w:ascii="Arial" w:hAnsi="Arial"/>
          <w:spacing w:val="-44"/>
          <w:sz w:val="33"/>
        </w:rPr>
        <w:t> </w:t>
      </w:r>
      <w:r>
        <w:rPr>
          <w:b/>
          <w:w w:val="78"/>
          <w:sz w:val="21"/>
        </w:rPr>
        <w:t>tP•</w:t>
      </w:r>
      <w:r>
        <w:rPr>
          <w:b/>
          <w:sz w:val="21"/>
        </w:rPr>
        <w:t> </w:t>
      </w:r>
      <w:r>
        <w:rPr>
          <w:b/>
          <w:spacing w:val="-10"/>
          <w:sz w:val="21"/>
        </w:rPr>
        <w:t> </w:t>
      </w:r>
      <w:r>
        <w:rPr>
          <w:w w:val="275"/>
          <w:sz w:val="21"/>
        </w:rPr>
        <w:t>-</w:t>
      </w:r>
      <w:r>
        <w:rPr>
          <w:spacing w:val="-8"/>
          <w:sz w:val="21"/>
        </w:rPr>
        <w:t> </w:t>
      </w:r>
      <w:r>
        <w:rPr>
          <w:b/>
          <w:w w:val="103"/>
          <w:sz w:val="16"/>
        </w:rPr>
        <w:t>2,f)</w:t>
      </w:r>
      <w:r>
        <w:rPr>
          <w:b/>
          <w:w w:val="103"/>
          <w:sz w:val="16"/>
        </w:rPr>
        <w:t>w.</w:t>
      </w:r>
      <w:r>
        <w:rPr>
          <w:b/>
          <w:w w:val="103"/>
          <w:sz w:val="16"/>
        </w:rPr>
        <w:t>)</w:t>
      </w:r>
      <w:r>
        <w:rPr>
          <w:b/>
          <w:w w:val="103"/>
          <w:sz w:val="16"/>
        </w:rPr>
        <w:t>#'s+I</w:t>
      </w:r>
      <w:r>
        <w:rPr>
          <w:b/>
          <w:sz w:val="16"/>
        </w:rPr>
        <w:t> </w:t>
      </w:r>
      <w:r>
        <w:rPr>
          <w:b/>
          <w:spacing w:val="-1"/>
          <w:sz w:val="16"/>
        </w:rPr>
        <w:t> </w:t>
      </w:r>
      <w:r>
        <w:rPr>
          <w:rFonts w:ascii="Arial" w:hAnsi="Arial"/>
          <w:i/>
          <w:w w:val="73"/>
          <w:sz w:val="17"/>
        </w:rPr>
        <w:t>dJ,</w:t>
      </w:r>
    </w:p>
    <w:p>
      <w:pPr>
        <w:tabs>
          <w:tab w:pos="5326" w:val="left" w:leader="none"/>
        </w:tabs>
        <w:spacing w:line="280" w:lineRule="auto" w:before="0"/>
        <w:ind w:left="1197" w:right="127" w:firstLine="468"/>
        <w:jc w:val="right"/>
        <w:rPr>
          <w:sz w:val="20"/>
        </w:rPr>
      </w:pPr>
      <w:r>
        <w:rPr>
          <w:w w:val="94"/>
          <w:sz w:val="26"/>
        </w:rPr>
        <w:t>= </w:t>
      </w:r>
      <w:r>
        <w:rPr>
          <w:b/>
          <w:i/>
          <w:spacing w:val="-27"/>
          <w:w w:val="86"/>
          <w:sz w:val="40"/>
        </w:rPr>
        <w:t>.q</w:t>
      </w:r>
      <w:r>
        <w:rPr>
          <w:rFonts w:ascii="Arial" w:hAnsi="Arial"/>
          <w:b/>
          <w:spacing w:val="-27"/>
          <w:w w:val="86"/>
          <w:position w:val="9"/>
          <w:sz w:val="13"/>
        </w:rPr>
        <w:t>1</w:t>
      </w:r>
      <w:r>
        <w:rPr>
          <w:b/>
          <w:i/>
          <w:spacing w:val="-27"/>
          <w:w w:val="86"/>
          <w:sz w:val="40"/>
        </w:rPr>
        <w:t>..</w:t>
      </w:r>
      <w:r>
        <w:rPr>
          <w:b/>
          <w:i/>
          <w:w w:val="86"/>
          <w:sz w:val="40"/>
        </w:rPr>
        <w:t> </w:t>
      </w:r>
      <w:r>
        <w:rPr>
          <w:rFonts w:ascii="Arial" w:hAnsi="Arial"/>
          <w:w w:val="105"/>
          <w:position w:val="9"/>
          <w:sz w:val="31"/>
        </w:rPr>
        <w:t>+</w:t>
      </w:r>
      <w:r>
        <w:rPr>
          <w:rFonts w:ascii="Arial" w:hAnsi="Arial"/>
          <w:spacing w:val="-69"/>
          <w:w w:val="105"/>
          <w:position w:val="9"/>
          <w:sz w:val="31"/>
        </w:rPr>
        <w:t> </w:t>
      </w:r>
      <w:r>
        <w:rPr>
          <w:b/>
          <w:i/>
          <w:spacing w:val="-30"/>
          <w:w w:val="123"/>
          <w:sz w:val="22"/>
        </w:rPr>
        <w:t>.q•</w:t>
      </w:r>
      <w:r>
        <w:rPr>
          <w:rFonts w:ascii="Arial" w:hAnsi="Arial"/>
          <w:b/>
          <w:spacing w:val="-30"/>
          <w:w w:val="123"/>
          <w:position w:val="9"/>
          <w:sz w:val="13"/>
        </w:rPr>
        <w:t>1</w:t>
      </w:r>
      <w:r>
        <w:rPr>
          <w:b/>
          <w:i/>
          <w:spacing w:val="-30"/>
          <w:w w:val="123"/>
          <w:sz w:val="22"/>
        </w:rPr>
        <w:t>•</w:t>
      </w:r>
      <w:r>
        <w:rPr>
          <w:b/>
          <w:i/>
          <w:spacing w:val="1"/>
          <w:w w:val="123"/>
          <w:sz w:val="22"/>
        </w:rPr>
        <w:t> </w:t>
      </w:r>
      <w:r>
        <w:rPr>
          <w:spacing w:val="-40"/>
          <w:w w:val="139"/>
          <w:sz w:val="22"/>
        </w:rPr>
        <w:t>-</w:t>
      </w:r>
      <w:r>
        <w:rPr>
          <w:b/>
          <w:spacing w:val="-40"/>
          <w:w w:val="139"/>
          <w:position w:val="9"/>
          <w:sz w:val="12"/>
        </w:rPr>
        <w:t>q</w:t>
      </w:r>
      <w:r>
        <w:rPr>
          <w:i/>
          <w:spacing w:val="-40"/>
          <w:w w:val="139"/>
          <w:sz w:val="21"/>
        </w:rPr>
        <w:t>""q•</w:t>
      </w:r>
      <w:r>
        <w:rPr>
          <w:rFonts w:ascii="Arial" w:hAnsi="Arial"/>
          <w:b/>
          <w:spacing w:val="-40"/>
          <w:w w:val="139"/>
          <w:position w:val="9"/>
          <w:sz w:val="13"/>
        </w:rPr>
        <w:t>1</w:t>
      </w:r>
      <w:r>
        <w:rPr>
          <w:i/>
          <w:spacing w:val="-40"/>
          <w:w w:val="139"/>
          <w:sz w:val="21"/>
        </w:rPr>
        <w:t>••</w:t>
        <w:tab/>
      </w:r>
      <w:r>
        <w:rPr>
          <w:spacing w:val="-2"/>
          <w:w w:val="110"/>
          <w:position w:val="2"/>
          <w:sz w:val="20"/>
        </w:rPr>
        <w:t>(11.8)</w:t>
      </w:r>
      <w:r>
        <w:rPr>
          <w:w w:val="109"/>
          <w:position w:val="2"/>
          <w:sz w:val="20"/>
        </w:rPr>
        <w:t> </w:t>
      </w:r>
      <w:r>
        <w:rPr>
          <w:w w:val="109"/>
          <w:position w:val="-4"/>
          <w:sz w:val="20"/>
        </w:rPr>
        <w:drawing>
          <wp:inline distT="0" distB="0" distL="0" distR="0">
            <wp:extent cx="2240279" cy="530351"/>
            <wp:effectExtent l="0" t="0" r="0" b="0"/>
            <wp:docPr id="485" name="image248.png" descr=""/>
            <wp:cNvGraphicFramePr>
              <a:graphicFrameLocks noChangeAspect="1"/>
            </wp:cNvGraphicFramePr>
            <a:graphic>
              <a:graphicData uri="http://schemas.openxmlformats.org/drawingml/2006/picture">
                <pic:pic>
                  <pic:nvPicPr>
                    <pic:cNvPr id="486" name="image248.png"/>
                    <pic:cNvPicPr/>
                  </pic:nvPicPr>
                  <pic:blipFill>
                    <a:blip r:embed="rId252" cstate="print"/>
                    <a:stretch>
                      <a:fillRect/>
                    </a:stretch>
                  </pic:blipFill>
                  <pic:spPr>
                    <a:xfrm>
                      <a:off x="0" y="0"/>
                      <a:ext cx="2240279" cy="530351"/>
                    </a:xfrm>
                    <a:prstGeom prst="rect">
                      <a:avLst/>
                    </a:prstGeom>
                  </pic:spPr>
                </pic:pic>
              </a:graphicData>
            </a:graphic>
          </wp:inline>
        </w:drawing>
      </w:r>
      <w:r>
        <w:rPr>
          <w:w w:val="109"/>
          <w:position w:val="-4"/>
          <w:sz w:val="20"/>
        </w:rPr>
      </w:r>
      <w:r>
        <w:rPr>
          <w:w w:val="109"/>
          <w:sz w:val="20"/>
        </w:rPr>
        <w:t>           </w:t>
      </w:r>
      <w:r>
        <w:rPr>
          <w:spacing w:val="-11"/>
          <w:w w:val="115"/>
          <w:sz w:val="20"/>
        </w:rPr>
        <w:t>(11.9)</w:t>
      </w:r>
    </w:p>
    <w:p>
      <w:pPr>
        <w:pStyle w:val="BodyText"/>
        <w:spacing w:line="235" w:lineRule="auto"/>
        <w:ind w:left="103" w:right="116" w:firstLine="190"/>
        <w:jc w:val="both"/>
      </w:pPr>
      <w:r>
        <w:rPr>
          <w:w w:val="113"/>
        </w:rPr>
        <w:t>The </w:t>
      </w:r>
      <w:r>
        <w:rPr>
          <w:w w:val="105"/>
        </w:rPr>
        <w:t>probability </w:t>
      </w:r>
      <w:r>
        <w:rPr>
          <w:w w:val="177"/>
        </w:rPr>
        <w:t>"</w:t>
      </w:r>
      <w:r>
        <w:rPr>
          <w:rFonts w:ascii="Arial" w:hAnsi="Arial"/>
          <w:i/>
          <w:w w:val="177"/>
        </w:rPr>
        <w:t>=• </w:t>
      </w:r>
      <w:r>
        <w:rPr>
          <w:rFonts w:ascii="Arial" w:hAnsi="Arial"/>
          <w:w w:val="150"/>
        </w:rPr>
        <w:t>, </w:t>
      </w:r>
      <w:r>
        <w:rPr>
          <w:w w:val="119"/>
        </w:rPr>
        <w:t>that </w:t>
      </w:r>
      <w:r>
        <w:rPr>
          <w:w w:val="106"/>
        </w:rPr>
        <w:t>either  </w:t>
      </w:r>
      <w:r>
        <w:rPr>
          <w:rFonts w:ascii="Arial" w:hAnsi="Arial"/>
          <w:i/>
          <w:w w:val="106"/>
          <w:sz w:val="18"/>
        </w:rPr>
        <w:t>(x)  </w:t>
      </w:r>
      <w:r>
        <w:rPr>
          <w:w w:val="109"/>
        </w:rPr>
        <w:t>or  </w:t>
      </w:r>
      <w:r>
        <w:rPr>
          <w:w w:val="107"/>
        </w:rPr>
        <w:t>(y)  </w:t>
      </w:r>
      <w:r>
        <w:rPr>
          <w:w w:val="97"/>
        </w:rPr>
        <w:t>will  </w:t>
      </w:r>
      <w:r>
        <w:rPr>
          <w:rFonts w:ascii="Arial" w:hAnsi="Arial"/>
          <w:w w:val="92"/>
        </w:rPr>
        <w:t>be </w:t>
      </w:r>
      <w:r>
        <w:rPr>
          <w:w w:val="111"/>
        </w:rPr>
        <w:t>the </w:t>
      </w:r>
      <w:r>
        <w:rPr>
          <w:w w:val="106"/>
        </w:rPr>
        <w:t>first </w:t>
      </w:r>
      <w:r>
        <w:rPr>
          <w:w w:val="105"/>
          <w:sz w:val="21"/>
        </w:rPr>
        <w:t>to </w:t>
      </w:r>
      <w:r>
        <w:rPr>
          <w:w w:val="105"/>
        </w:rPr>
        <w:t>die within </w:t>
      </w:r>
      <w:r>
        <w:rPr>
          <w:i/>
          <w:w w:val="105"/>
          <w:sz w:val="22"/>
        </w:rPr>
        <w:t>n </w:t>
      </w:r>
      <w:r>
        <w:rPr>
          <w:w w:val="105"/>
        </w:rPr>
        <w:t>years, </w:t>
      </w:r>
      <w:r>
        <w:rPr>
          <w:w w:val="105"/>
          <w:sz w:val="19"/>
        </w:rPr>
        <w:t>is </w:t>
      </w:r>
      <w:r>
        <w:rPr>
          <w:w w:val="105"/>
        </w:rPr>
        <w:t>an instance of a. function in which the specified status is not  a single life:</w:t>
      </w:r>
    </w:p>
    <w:p>
      <w:pPr>
        <w:tabs>
          <w:tab w:pos="3221" w:val="left" w:leader="none"/>
        </w:tabs>
        <w:spacing w:line="414" w:lineRule="exact" w:before="0"/>
        <w:ind w:left="0" w:right="102" w:firstLine="0"/>
        <w:jc w:val="right"/>
        <w:rPr>
          <w:sz w:val="20"/>
        </w:rPr>
      </w:pPr>
      <w:r>
        <w:rPr>
          <w:rFonts w:ascii="Arial" w:hAnsi="Arial"/>
          <w:b/>
          <w:w w:val="81"/>
          <w:sz w:val="23"/>
        </w:rPr>
        <w:t>•t.</w:t>
      </w:r>
      <w:r>
        <w:rPr>
          <w:rFonts w:ascii="Arial" w:hAnsi="Arial"/>
          <w:b/>
          <w:spacing w:val="-25"/>
          <w:w w:val="81"/>
          <w:sz w:val="23"/>
        </w:rPr>
        <w:t>.</w:t>
      </w:r>
      <w:r>
        <w:rPr>
          <w:rFonts w:ascii="Arial" w:hAnsi="Arial"/>
          <w:b/>
          <w:spacing w:val="-63"/>
          <w:w w:val="120"/>
          <w:position w:val="8"/>
          <w:sz w:val="13"/>
        </w:rPr>
        <w:t>1</w:t>
      </w:r>
      <w:r>
        <w:rPr>
          <w:rFonts w:ascii="Arial" w:hAnsi="Arial"/>
          <w:b/>
          <w:w w:val="81"/>
          <w:sz w:val="23"/>
        </w:rPr>
        <w:t>=•</w:t>
      </w:r>
      <w:r>
        <w:rPr>
          <w:rFonts w:ascii="Arial" w:hAnsi="Arial"/>
          <w:b/>
          <w:spacing w:val="20"/>
          <w:sz w:val="23"/>
        </w:rPr>
        <w:t> </w:t>
      </w:r>
      <w:r>
        <w:rPr>
          <w:w w:val="92"/>
          <w:sz w:val="28"/>
        </w:rPr>
        <w:t>=</w:t>
      </w:r>
      <w:r>
        <w:rPr>
          <w:spacing w:val="17"/>
          <w:sz w:val="28"/>
        </w:rPr>
        <w:t> </w:t>
      </w:r>
      <w:r>
        <w:rPr>
          <w:b/>
          <w:i/>
          <w:spacing w:val="-38"/>
          <w:w w:val="179"/>
          <w:sz w:val="26"/>
        </w:rPr>
        <w:t>.</w:t>
      </w:r>
      <w:r>
        <w:rPr>
          <w:b/>
          <w:i/>
          <w:spacing w:val="-32"/>
          <w:w w:val="96"/>
          <w:sz w:val="26"/>
        </w:rPr>
        <w:t>q</w:t>
      </w:r>
      <w:r>
        <w:rPr>
          <w:rFonts w:ascii="Arial" w:hAnsi="Arial"/>
          <w:b/>
          <w:spacing w:val="-57"/>
          <w:w w:val="120"/>
          <w:position w:val="8"/>
          <w:sz w:val="13"/>
        </w:rPr>
        <w:t>1</w:t>
      </w:r>
      <w:r>
        <w:rPr>
          <w:b/>
          <w:i/>
          <w:w w:val="96"/>
          <w:sz w:val="26"/>
        </w:rPr>
        <w:t>.</w:t>
      </w:r>
      <w:r>
        <w:rPr>
          <w:b/>
          <w:i/>
          <w:spacing w:val="-27"/>
          <w:w w:val="96"/>
          <w:sz w:val="26"/>
        </w:rPr>
        <w:t>.</w:t>
      </w:r>
      <w:r>
        <w:rPr>
          <w:b/>
          <w:i/>
          <w:w w:val="127"/>
          <w:sz w:val="26"/>
        </w:rPr>
        <w:t>.</w:t>
      </w:r>
      <w:r>
        <w:rPr>
          <w:b/>
          <w:i/>
          <w:spacing w:val="-4"/>
          <w:sz w:val="26"/>
        </w:rPr>
        <w:t> </w:t>
      </w:r>
      <w:r>
        <w:rPr>
          <w:rFonts w:ascii="Arial" w:hAnsi="Arial"/>
          <w:w w:val="105"/>
          <w:position w:val="8"/>
          <w:sz w:val="31"/>
        </w:rPr>
        <w:t>+</w:t>
      </w:r>
      <w:r>
        <w:rPr>
          <w:rFonts w:ascii="Arial" w:hAnsi="Arial"/>
          <w:spacing w:val="-33"/>
          <w:position w:val="8"/>
          <w:sz w:val="31"/>
        </w:rPr>
        <w:t> </w:t>
      </w:r>
      <w:r>
        <w:rPr>
          <w:b/>
          <w:i/>
          <w:spacing w:val="-30"/>
          <w:w w:val="161"/>
          <w:sz w:val="26"/>
        </w:rPr>
        <w:t>.</w:t>
      </w:r>
      <w:r>
        <w:rPr>
          <w:b/>
          <w:i/>
          <w:w w:val="71"/>
          <w:sz w:val="26"/>
        </w:rPr>
        <w:t>q.</w:t>
      </w:r>
      <w:r>
        <w:rPr>
          <w:b/>
          <w:i/>
          <w:spacing w:val="-23"/>
          <w:w w:val="71"/>
          <w:sz w:val="26"/>
        </w:rPr>
        <w:t>,</w:t>
      </w:r>
      <w:r>
        <w:rPr>
          <w:rFonts w:ascii="Arial" w:hAnsi="Arial"/>
          <w:b/>
          <w:spacing w:val="-60"/>
          <w:w w:val="112"/>
          <w:position w:val="8"/>
          <w:sz w:val="13"/>
        </w:rPr>
        <w:t>1</w:t>
      </w:r>
      <w:r>
        <w:rPr>
          <w:b/>
          <w:i/>
          <w:spacing w:val="-8"/>
          <w:w w:val="71"/>
          <w:sz w:val="26"/>
        </w:rPr>
        <w:t>,</w:t>
      </w:r>
      <w:r>
        <w:rPr>
          <w:b/>
          <w:i/>
          <w:w w:val="76"/>
          <w:sz w:val="26"/>
        </w:rPr>
        <w:t>•</w:t>
      </w:r>
      <w:r>
        <w:rPr>
          <w:b/>
          <w:i/>
          <w:spacing w:val="-6"/>
          <w:sz w:val="26"/>
        </w:rPr>
        <w:t> </w:t>
      </w:r>
      <w:r>
        <w:rPr>
          <w:w w:val="101"/>
          <w:sz w:val="26"/>
        </w:rPr>
        <w:t>.</w:t>
      </w:r>
      <w:r>
        <w:rPr>
          <w:spacing w:val="-23"/>
          <w:sz w:val="26"/>
        </w:rPr>
        <w:t> </w:t>
      </w:r>
      <w:r>
        <w:rPr>
          <w:w w:val="75"/>
          <w:sz w:val="26"/>
        </w:rPr>
        <w:t>.</w:t>
      </w:r>
      <w:r>
        <w:rPr>
          <w:sz w:val="26"/>
        </w:rPr>
        <w:tab/>
      </w:r>
      <w:r>
        <w:rPr>
          <w:spacing w:val="-28"/>
          <w:w w:val="103"/>
          <w:position w:val="3"/>
          <w:sz w:val="20"/>
        </w:rPr>
        <w:t>{</w:t>
      </w:r>
      <w:r>
        <w:rPr>
          <w:w w:val="105"/>
          <w:position w:val="3"/>
          <w:sz w:val="20"/>
        </w:rPr>
        <w:t>11</w:t>
      </w:r>
      <w:r>
        <w:rPr>
          <w:spacing w:val="-11"/>
          <w:w w:val="105"/>
          <w:position w:val="3"/>
          <w:sz w:val="20"/>
        </w:rPr>
        <w:t>.</w:t>
      </w:r>
      <w:r>
        <w:rPr>
          <w:w w:val="110"/>
          <w:position w:val="3"/>
          <w:sz w:val="20"/>
        </w:rPr>
        <w:t>10)</w:t>
      </w:r>
    </w:p>
    <w:p>
      <w:pPr>
        <w:pStyle w:val="BodyText"/>
        <w:spacing w:line="238" w:lineRule="exact" w:before="80"/>
        <w:ind w:left="103" w:right="111" w:firstLine="194"/>
        <w:jc w:val="both"/>
        <w:rPr>
          <w:rFonts w:ascii="Arial"/>
          <w:sz w:val="21"/>
        </w:rPr>
      </w:pPr>
      <w:r>
        <w:rPr/>
        <w:drawing>
          <wp:anchor distT="0" distB="0" distL="0" distR="0" allowOverlap="1" layoutInCell="1" locked="0" behindDoc="1" simplePos="0" relativeHeight="267717359">
            <wp:simplePos x="0" y="0"/>
            <wp:positionH relativeFrom="page">
              <wp:posOffset>1197863</wp:posOffset>
            </wp:positionH>
            <wp:positionV relativeFrom="paragraph">
              <wp:posOffset>441451</wp:posOffset>
            </wp:positionV>
            <wp:extent cx="1316736" cy="292607"/>
            <wp:effectExtent l="0" t="0" r="0" b="0"/>
            <wp:wrapNone/>
            <wp:docPr id="487" name="image249.png" descr=""/>
            <wp:cNvGraphicFramePr>
              <a:graphicFrameLocks noChangeAspect="1"/>
            </wp:cNvGraphicFramePr>
            <a:graphic>
              <a:graphicData uri="http://schemas.openxmlformats.org/drawingml/2006/picture">
                <pic:pic>
                  <pic:nvPicPr>
                    <pic:cNvPr id="488" name="image249.png"/>
                    <pic:cNvPicPr/>
                  </pic:nvPicPr>
                  <pic:blipFill>
                    <a:blip r:embed="rId253" cstate="print"/>
                    <a:stretch>
                      <a:fillRect/>
                    </a:stretch>
                  </pic:blipFill>
                  <pic:spPr>
                    <a:xfrm>
                      <a:off x="0" y="0"/>
                      <a:ext cx="1316736" cy="292607"/>
                    </a:xfrm>
                    <a:prstGeom prst="rect">
                      <a:avLst/>
                    </a:prstGeom>
                  </pic:spPr>
                </pic:pic>
              </a:graphicData>
            </a:graphic>
          </wp:anchor>
        </w:drawing>
      </w:r>
      <w:r>
        <w:rPr>
          <w:w w:val="105"/>
        </w:rPr>
        <w:t>The probability that </w:t>
      </w:r>
      <w:r>
        <w:rPr>
          <w:rFonts w:ascii="Arial"/>
          <w:i/>
          <w:w w:val="105"/>
          <w:sz w:val="18"/>
        </w:rPr>
        <w:t>(x) </w:t>
      </w:r>
      <w:r>
        <w:rPr>
          <w:w w:val="105"/>
        </w:rPr>
        <w:t>will die within </w:t>
      </w:r>
      <w:r>
        <w:rPr>
          <w:rFonts w:ascii="Arial"/>
          <w:i/>
          <w:w w:val="105"/>
          <w:sz w:val="18"/>
        </w:rPr>
        <w:t>n </w:t>
      </w:r>
      <w:r>
        <w:rPr>
          <w:w w:val="105"/>
        </w:rPr>
        <w:t>years and before the suryivor of  (y)  and  (z) </w:t>
      </w:r>
      <w:r>
        <w:rPr>
          <w:rFonts w:ascii="Arial"/>
          <w:w w:val="105"/>
          <w:sz w:val="21"/>
        </w:rPr>
        <w:t>is</w:t>
      </w:r>
    </w:p>
    <w:p>
      <w:pPr>
        <w:pStyle w:val="BodyText"/>
        <w:rPr>
          <w:rFonts w:ascii="Arial"/>
        </w:rPr>
      </w:pPr>
    </w:p>
    <w:p>
      <w:pPr>
        <w:pStyle w:val="BodyText"/>
        <w:rPr>
          <w:rFonts w:ascii="Arial"/>
        </w:rPr>
      </w:pPr>
    </w:p>
    <w:p>
      <w:pPr>
        <w:spacing w:before="115"/>
        <w:ind w:left="1770" w:right="739" w:firstLine="0"/>
        <w:jc w:val="left"/>
        <w:rPr>
          <w:rFonts w:ascii="Arial" w:hAnsi="Arial"/>
          <w:i/>
          <w:sz w:val="17"/>
        </w:rPr>
      </w:pPr>
      <w:r>
        <w:rPr>
          <w:sz w:val="26"/>
        </w:rPr>
        <w:t>= </w:t>
      </w:r>
      <w:r>
        <w:rPr>
          <w:b/>
          <w:w w:val="80"/>
          <w:sz w:val="54"/>
        </w:rPr>
        <w:t>f.ª</w:t>
      </w:r>
      <w:r>
        <w:rPr>
          <w:b/>
          <w:spacing w:val="-68"/>
          <w:w w:val="80"/>
          <w:sz w:val="54"/>
        </w:rPr>
        <w:t> </w:t>
      </w:r>
      <w:r>
        <w:rPr>
          <w:b/>
          <w:i/>
          <w:w w:val="80"/>
          <w:sz w:val="21"/>
        </w:rPr>
        <w:t>1Pa( 1Pw </w:t>
      </w:r>
      <w:r>
        <w:rPr>
          <w:rFonts w:ascii="Arial" w:hAnsi="Arial"/>
          <w:sz w:val="33"/>
        </w:rPr>
        <w:t>+</w:t>
      </w:r>
      <w:r>
        <w:rPr>
          <w:rFonts w:ascii="Arial" w:hAnsi="Arial"/>
          <w:spacing w:val="-64"/>
          <w:sz w:val="33"/>
        </w:rPr>
        <w:t> </w:t>
      </w:r>
      <w:r>
        <w:rPr>
          <w:b/>
          <w:i/>
          <w:w w:val="80"/>
          <w:sz w:val="21"/>
        </w:rPr>
        <w:t>•P• </w:t>
      </w:r>
      <w:r>
        <w:rPr>
          <w:w w:val="245"/>
          <w:sz w:val="21"/>
        </w:rPr>
        <w:t>-</w:t>
      </w:r>
      <w:r>
        <w:rPr>
          <w:spacing w:val="-103"/>
          <w:w w:val="245"/>
          <w:sz w:val="21"/>
        </w:rPr>
        <w:t> </w:t>
      </w:r>
      <w:r>
        <w:rPr>
          <w:b/>
          <w:w w:val="80"/>
          <w:sz w:val="21"/>
        </w:rPr>
        <w:t>1Pw•)l'sH </w:t>
      </w:r>
      <w:r>
        <w:rPr>
          <w:rFonts w:ascii="Arial" w:hAnsi="Arial"/>
          <w:i/>
          <w:w w:val="80"/>
          <w:sz w:val="17"/>
        </w:rPr>
        <w:t>dJ,</w:t>
      </w:r>
    </w:p>
    <w:p>
      <w:pPr>
        <w:tabs>
          <w:tab w:pos="5233" w:val="left" w:leader="none"/>
        </w:tabs>
        <w:spacing w:before="77"/>
        <w:ind w:left="1780" w:right="0" w:firstLine="0"/>
        <w:jc w:val="left"/>
        <w:rPr>
          <w:sz w:val="20"/>
        </w:rPr>
      </w:pPr>
      <w:r>
        <w:rPr>
          <w:w w:val="94"/>
          <w:sz w:val="26"/>
        </w:rPr>
        <w:t>=</w:t>
      </w:r>
      <w:r>
        <w:rPr>
          <w:spacing w:val="29"/>
          <w:sz w:val="26"/>
        </w:rPr>
        <w:t> </w:t>
      </w:r>
      <w:r>
        <w:rPr>
          <w:b/>
          <w:i/>
          <w:spacing w:val="-29"/>
          <w:w w:val="222"/>
          <w:sz w:val="20"/>
        </w:rPr>
        <w:t>.</w:t>
      </w:r>
      <w:r>
        <w:rPr>
          <w:b/>
          <w:i/>
          <w:spacing w:val="-17"/>
          <w:w w:val="92"/>
          <w:sz w:val="20"/>
        </w:rPr>
        <w:t>q</w:t>
      </w:r>
      <w:r>
        <w:rPr>
          <w:b/>
          <w:i/>
          <w:spacing w:val="-56"/>
          <w:w w:val="109"/>
          <w:sz w:val="20"/>
        </w:rPr>
        <w:t>•</w:t>
      </w:r>
      <w:r>
        <w:rPr>
          <w:rFonts w:ascii="Arial" w:hAnsi="Arial"/>
          <w:b/>
          <w:spacing w:val="-33"/>
          <w:w w:val="120"/>
          <w:position w:val="12"/>
          <w:sz w:val="13"/>
        </w:rPr>
        <w:t>1</w:t>
      </w:r>
      <w:r>
        <w:rPr>
          <w:b/>
          <w:i/>
          <w:w w:val="109"/>
          <w:sz w:val="20"/>
        </w:rPr>
        <w:t>•</w:t>
      </w:r>
      <w:r>
        <w:rPr>
          <w:b/>
          <w:i/>
          <w:spacing w:val="22"/>
          <w:sz w:val="20"/>
        </w:rPr>
        <w:t> </w:t>
      </w:r>
      <w:r>
        <w:rPr>
          <w:w w:val="101"/>
          <w:sz w:val="29"/>
        </w:rPr>
        <w:t>+</w:t>
      </w:r>
      <w:r>
        <w:rPr>
          <w:spacing w:val="5"/>
          <w:sz w:val="29"/>
        </w:rPr>
        <w:t> </w:t>
      </w:r>
      <w:r>
        <w:rPr>
          <w:b/>
          <w:i/>
          <w:spacing w:val="-34"/>
          <w:w w:val="233"/>
          <w:sz w:val="20"/>
        </w:rPr>
        <w:t>.</w:t>
      </w:r>
      <w:r>
        <w:rPr>
          <w:b/>
          <w:i/>
          <w:spacing w:val="-23"/>
          <w:w w:val="115"/>
          <w:sz w:val="20"/>
        </w:rPr>
        <w:t>q</w:t>
      </w:r>
      <w:r>
        <w:rPr>
          <w:rFonts w:ascii="Arial" w:hAnsi="Arial"/>
          <w:b/>
          <w:spacing w:val="-82"/>
          <w:w w:val="129"/>
          <w:position w:val="12"/>
          <w:sz w:val="13"/>
        </w:rPr>
        <w:t>1</w:t>
      </w:r>
      <w:r>
        <w:rPr>
          <w:b/>
          <w:i/>
          <w:spacing w:val="-18"/>
          <w:w w:val="115"/>
          <w:sz w:val="20"/>
        </w:rPr>
        <w:t>.</w:t>
      </w:r>
      <w:r>
        <w:rPr>
          <w:b/>
          <w:i/>
          <w:w w:val="166"/>
          <w:sz w:val="20"/>
        </w:rPr>
        <w:t>.</w:t>
      </w:r>
      <w:r>
        <w:rPr>
          <w:b/>
          <w:i/>
          <w:spacing w:val="14"/>
          <w:sz w:val="20"/>
        </w:rPr>
        <w:t> </w:t>
      </w:r>
      <w:r>
        <w:rPr>
          <w:w w:val="289"/>
          <w:sz w:val="20"/>
        </w:rPr>
        <w:t>-</w:t>
      </w:r>
      <w:r>
        <w:rPr>
          <w:spacing w:val="-10"/>
          <w:sz w:val="20"/>
        </w:rPr>
        <w:t> </w:t>
      </w:r>
      <w:r>
        <w:rPr>
          <w:b/>
          <w:i/>
          <w:w w:val="84"/>
          <w:sz w:val="20"/>
        </w:rPr>
        <w:t>,.</w:t>
      </w:r>
      <w:r>
        <w:rPr>
          <w:b/>
          <w:i/>
          <w:spacing w:val="8"/>
          <w:w w:val="84"/>
          <w:sz w:val="20"/>
        </w:rPr>
        <w:t>q</w:t>
      </w:r>
      <w:r>
        <w:rPr>
          <w:rFonts w:ascii="Arial" w:hAnsi="Arial"/>
          <w:b/>
          <w:spacing w:val="-40"/>
          <w:w w:val="138"/>
          <w:position w:val="12"/>
          <w:sz w:val="13"/>
        </w:rPr>
        <w:t>1</w:t>
      </w:r>
      <w:r>
        <w:rPr>
          <w:b/>
          <w:i/>
          <w:w w:val="147"/>
          <w:sz w:val="20"/>
        </w:rPr>
        <w:t>..</w:t>
      </w:r>
      <w:r>
        <w:rPr>
          <w:b/>
          <w:i/>
          <w:spacing w:val="-10"/>
          <w:sz w:val="20"/>
        </w:rPr>
        <w:t> </w:t>
      </w:r>
      <w:r>
        <w:rPr>
          <w:w w:val="165"/>
          <w:sz w:val="20"/>
        </w:rPr>
        <w:t>.</w:t>
      </w:r>
      <w:r>
        <w:rPr>
          <w:sz w:val="20"/>
        </w:rPr>
        <w:tab/>
      </w:r>
      <w:r>
        <w:rPr>
          <w:w w:val="104"/>
          <w:position w:val="2"/>
          <w:sz w:val="20"/>
        </w:rPr>
        <w:t>(</w:t>
      </w:r>
      <w:r>
        <w:rPr>
          <w:spacing w:val="-23"/>
          <w:position w:val="2"/>
          <w:sz w:val="20"/>
        </w:rPr>
        <w:t> </w:t>
      </w:r>
      <w:r>
        <w:rPr>
          <w:w w:val="101"/>
          <w:position w:val="2"/>
          <w:sz w:val="20"/>
        </w:rPr>
        <w:t>11</w:t>
      </w:r>
      <w:r>
        <w:rPr>
          <w:spacing w:val="-12"/>
          <w:w w:val="101"/>
          <w:position w:val="2"/>
          <w:sz w:val="20"/>
        </w:rPr>
        <w:t>.</w:t>
      </w:r>
      <w:r>
        <w:rPr>
          <w:w w:val="108"/>
          <w:position w:val="2"/>
          <w:sz w:val="20"/>
        </w:rPr>
        <w:t>11)</w:t>
      </w:r>
    </w:p>
    <w:p>
      <w:pPr>
        <w:pStyle w:val="BodyText"/>
        <w:spacing w:line="237" w:lineRule="auto" w:before="93"/>
        <w:ind w:left="106" w:right="131"/>
        <w:jc w:val="both"/>
      </w:pPr>
      <w:r>
        <w:rPr>
          <w:w w:val="105"/>
        </w:rPr>
        <w:t>This function may also </w:t>
      </w:r>
      <w:r>
        <w:rPr>
          <w:rFonts w:ascii="Arial"/>
          <w:w w:val="105"/>
        </w:rPr>
        <w:t>be </w:t>
      </w:r>
      <w:r>
        <w:rPr>
          <w:w w:val="105"/>
        </w:rPr>
        <w:t>described as the  probability  that  </w:t>
      </w:r>
      <w:r>
        <w:rPr>
          <w:rFonts w:ascii="Arial"/>
          <w:i/>
          <w:w w:val="105"/>
          <w:sz w:val="19"/>
        </w:rPr>
        <w:t>(x) </w:t>
      </w:r>
      <w:r>
        <w:rPr>
          <w:w w:val="105"/>
        </w:rPr>
        <w:t>will die either first or second a.nd within </w:t>
      </w:r>
      <w:r>
        <w:rPr>
          <w:i/>
          <w:w w:val="105"/>
          <w:sz w:val="22"/>
        </w:rPr>
        <w:t>n </w:t>
      </w:r>
      <w:r>
        <w:rPr>
          <w:w w:val="105"/>
        </w:rPr>
        <w:t>years, and an alternative formulation is</w:t>
      </w:r>
    </w:p>
    <w:p>
      <w:pPr>
        <w:tabs>
          <w:tab w:pos="5236" w:val="left" w:leader="none"/>
        </w:tabs>
        <w:spacing w:line="381" w:lineRule="exact" w:before="0"/>
        <w:ind w:left="2018" w:right="0" w:firstLine="0"/>
        <w:jc w:val="left"/>
        <w:rPr>
          <w:sz w:val="20"/>
        </w:rPr>
      </w:pPr>
      <w:r>
        <w:rPr>
          <w:b/>
          <w:i/>
          <w:spacing w:val="-38"/>
          <w:w w:val="233"/>
          <w:sz w:val="20"/>
        </w:rPr>
        <w:t>.</w:t>
      </w:r>
      <w:r>
        <w:rPr>
          <w:b/>
          <w:i/>
          <w:spacing w:val="1"/>
          <w:w w:val="96"/>
          <w:sz w:val="20"/>
        </w:rPr>
        <w:t>q</w:t>
      </w:r>
      <w:r>
        <w:rPr>
          <w:rFonts w:ascii="Arial" w:hAnsi="Arial"/>
          <w:b/>
          <w:spacing w:val="-47"/>
          <w:w w:val="122"/>
          <w:position w:val="7"/>
          <w:sz w:val="12"/>
        </w:rPr>
        <w:t>1</w:t>
      </w:r>
      <w:r>
        <w:rPr>
          <w:b/>
          <w:i/>
          <w:spacing w:val="-74"/>
          <w:w w:val="180"/>
          <w:sz w:val="20"/>
        </w:rPr>
        <w:t>.</w:t>
      </w:r>
      <w:r>
        <w:rPr>
          <w:rFonts w:ascii="Arial" w:hAnsi="Arial"/>
          <w:b/>
          <w:spacing w:val="-8"/>
          <w:w w:val="122"/>
          <w:position w:val="7"/>
          <w:sz w:val="12"/>
        </w:rPr>
        <w:t>:</w:t>
      </w:r>
      <w:r>
        <w:rPr>
          <w:rFonts w:ascii="Arial" w:hAnsi="Arial"/>
          <w:b/>
          <w:spacing w:val="-81"/>
          <w:w w:val="122"/>
          <w:position w:val="7"/>
          <w:sz w:val="12"/>
        </w:rPr>
        <w:t>1</w:t>
      </w:r>
      <w:r>
        <w:rPr>
          <w:b/>
          <w:i/>
          <w:w w:val="180"/>
          <w:sz w:val="20"/>
        </w:rPr>
        <w:t>..</w:t>
      </w:r>
      <w:r>
        <w:rPr>
          <w:b/>
          <w:i/>
          <w:spacing w:val="14"/>
          <w:sz w:val="20"/>
        </w:rPr>
        <w:t> </w:t>
      </w:r>
      <w:r>
        <w:rPr>
          <w:w w:val="87"/>
          <w:sz w:val="28"/>
        </w:rPr>
        <w:t>=</w:t>
      </w:r>
      <w:r>
        <w:rPr>
          <w:spacing w:val="25"/>
          <w:sz w:val="28"/>
        </w:rPr>
        <w:t> </w:t>
      </w:r>
      <w:r>
        <w:rPr>
          <w:b/>
          <w:i/>
          <w:w w:val="87"/>
          <w:sz w:val="20"/>
        </w:rPr>
        <w:t>,.</w:t>
      </w:r>
      <w:r>
        <w:rPr>
          <w:b/>
          <w:i/>
          <w:spacing w:val="-39"/>
          <w:w w:val="87"/>
          <w:sz w:val="20"/>
        </w:rPr>
        <w:t>q</w:t>
      </w:r>
      <w:r>
        <w:rPr>
          <w:rFonts w:ascii="Arial" w:hAnsi="Arial"/>
          <w:b/>
          <w:spacing w:val="-130"/>
          <w:w w:val="140"/>
          <w:position w:val="7"/>
          <w:sz w:val="12"/>
        </w:rPr>
        <w:t>1</w:t>
      </w:r>
      <w:r>
        <w:rPr>
          <w:b/>
          <w:i/>
          <w:w w:val="87"/>
          <w:sz w:val="20"/>
        </w:rPr>
        <w:t>._.</w:t>
      </w:r>
      <w:r>
        <w:rPr>
          <w:b/>
          <w:i/>
          <w:sz w:val="20"/>
        </w:rPr>
        <w:t> </w:t>
      </w:r>
      <w:r>
        <w:rPr>
          <w:b/>
          <w:i/>
          <w:spacing w:val="-24"/>
          <w:sz w:val="20"/>
        </w:rPr>
        <w:t> </w:t>
      </w:r>
      <w:r>
        <w:rPr>
          <w:rFonts w:ascii="Arial" w:hAnsi="Arial"/>
          <w:w w:val="104"/>
          <w:position w:val="7"/>
          <w:sz w:val="32"/>
        </w:rPr>
        <w:t>+</w:t>
      </w:r>
      <w:r>
        <w:rPr>
          <w:rFonts w:ascii="Arial" w:hAnsi="Arial"/>
          <w:spacing w:val="-40"/>
          <w:position w:val="7"/>
          <w:sz w:val="32"/>
        </w:rPr>
        <w:t> </w:t>
      </w:r>
      <w:r>
        <w:rPr>
          <w:b/>
          <w:i/>
          <w:w w:val="83"/>
          <w:sz w:val="20"/>
        </w:rPr>
        <w:t>,.q</w:t>
      </w:r>
      <w:r>
        <w:rPr>
          <w:b/>
          <w:i/>
          <w:spacing w:val="-39"/>
          <w:w w:val="83"/>
          <w:sz w:val="20"/>
        </w:rPr>
        <w:t>.</w:t>
      </w:r>
      <w:r>
        <w:rPr>
          <w:rFonts w:ascii="Arial" w:hAnsi="Arial"/>
          <w:b/>
          <w:spacing w:val="-63"/>
          <w:w w:val="150"/>
          <w:position w:val="7"/>
          <w:sz w:val="12"/>
        </w:rPr>
        <w:t>1</w:t>
      </w:r>
      <w:r>
        <w:rPr>
          <w:b/>
          <w:i/>
          <w:spacing w:val="1"/>
          <w:w w:val="83"/>
          <w:sz w:val="20"/>
        </w:rPr>
        <w:t>_</w:t>
      </w:r>
      <w:r>
        <w:rPr>
          <w:b/>
          <w:i/>
          <w:w w:val="94"/>
          <w:sz w:val="20"/>
        </w:rPr>
        <w:t>•</w:t>
      </w:r>
      <w:r>
        <w:rPr>
          <w:b/>
          <w:i/>
          <w:spacing w:val="5"/>
          <w:sz w:val="20"/>
        </w:rPr>
        <w:t> </w:t>
      </w:r>
      <w:r>
        <w:rPr>
          <w:b/>
          <w:i/>
          <w:w w:val="99"/>
          <w:sz w:val="20"/>
        </w:rPr>
        <w:t>.</w:t>
      </w:r>
      <w:r>
        <w:rPr>
          <w:b/>
          <w:i/>
          <w:sz w:val="20"/>
        </w:rPr>
        <w:tab/>
      </w:r>
      <w:r>
        <w:rPr>
          <w:w w:val="100"/>
          <w:position w:val="1"/>
          <w:sz w:val="20"/>
        </w:rPr>
        <w:t>(11</w:t>
      </w:r>
      <w:r>
        <w:rPr>
          <w:spacing w:val="7"/>
          <w:w w:val="100"/>
          <w:position w:val="1"/>
          <w:sz w:val="20"/>
        </w:rPr>
        <w:t>.</w:t>
      </w:r>
      <w:r>
        <w:rPr>
          <w:spacing w:val="-40"/>
          <w:w w:val="122"/>
          <w:position w:val="1"/>
          <w:sz w:val="20"/>
        </w:rPr>
        <w:t>1</w:t>
      </w:r>
      <w:r>
        <w:rPr>
          <w:w w:val="117"/>
          <w:position w:val="1"/>
          <w:sz w:val="20"/>
        </w:rPr>
        <w:t>2)</w:t>
      </w:r>
    </w:p>
    <w:p>
      <w:pPr>
        <w:pStyle w:val="BodyText"/>
        <w:spacing w:line="247" w:lineRule="auto" w:before="102"/>
        <w:ind w:left="114" w:right="123" w:firstLine="3"/>
      </w:pPr>
      <w:r>
        <w:rPr>
          <w:w w:val="105"/>
        </w:rPr>
        <w:t>In view of </w:t>
      </w:r>
      <w:r>
        <w:rPr>
          <w:rFonts w:ascii="Arial"/>
          <w:b/>
          <w:w w:val="105"/>
          <w:sz w:val="19"/>
        </w:rPr>
        <w:t>(11.8), </w:t>
      </w:r>
      <w:r>
        <w:rPr>
          <w:w w:val="105"/>
        </w:rPr>
        <w:t>this la.tter expression may easily be seen to be equiva.lent  to  that  obtained  a.hove.  Another  expression  for  this</w:t>
      </w:r>
    </w:p>
    <w:p>
      <w:pPr>
        <w:spacing w:after="0" w:line="247" w:lineRule="auto"/>
        <w:sectPr>
          <w:pgSz w:w="7200" w:h="11340"/>
          <w:pgMar w:top="500" w:bottom="280" w:left="660" w:right="560"/>
        </w:sectPr>
      </w:pPr>
    </w:p>
    <w:p>
      <w:pPr>
        <w:tabs>
          <w:tab w:pos="1744" w:val="left" w:leader="none"/>
          <w:tab w:pos="5251" w:val="left" w:leader="none"/>
        </w:tabs>
        <w:spacing w:before="63"/>
        <w:ind w:left="117" w:right="0" w:firstLine="0"/>
        <w:jc w:val="left"/>
        <w:rPr>
          <w:rFonts w:ascii="Arial"/>
          <w:b/>
          <w:sz w:val="19"/>
        </w:rPr>
      </w:pPr>
      <w:r>
        <w:rPr>
          <w:sz w:val="19"/>
        </w:rPr>
        <w:t>228</w:t>
        <w:tab/>
      </w:r>
      <w:r>
        <w:rPr>
          <w:b/>
          <w:position w:val="1"/>
          <w:sz w:val="15"/>
        </w:rPr>
        <w:t>CONTINGENT  </w:t>
      </w:r>
      <w:r>
        <w:rPr>
          <w:b/>
          <w:spacing w:val="8"/>
          <w:position w:val="1"/>
          <w:sz w:val="15"/>
        </w:rPr>
        <w:t> </w:t>
      </w:r>
      <w:r>
        <w:rPr>
          <w:b/>
          <w:position w:val="1"/>
          <w:sz w:val="15"/>
        </w:rPr>
        <w:t>FUNCTIONS </w:t>
      </w:r>
      <w:r>
        <w:rPr>
          <w:b/>
          <w:spacing w:val="2"/>
          <w:position w:val="1"/>
          <w:sz w:val="15"/>
        </w:rPr>
        <w:t> </w:t>
      </w:r>
      <w:r>
        <w:rPr>
          <w:position w:val="1"/>
          <w:sz w:val="15"/>
        </w:rPr>
        <w:t>.</w:t>
        <w:tab/>
      </w:r>
      <w:r>
        <w:rPr>
          <w:b/>
          <w:sz w:val="19"/>
        </w:rPr>
        <w:t>(CH.</w:t>
      </w:r>
      <w:r>
        <w:rPr>
          <w:b/>
          <w:spacing w:val="-6"/>
          <w:sz w:val="19"/>
        </w:rPr>
        <w:t> </w:t>
      </w:r>
      <w:r>
        <w:rPr>
          <w:rFonts w:ascii="Arial"/>
          <w:b/>
          <w:sz w:val="19"/>
        </w:rPr>
        <w:t>11</w:t>
      </w:r>
    </w:p>
    <w:p>
      <w:pPr>
        <w:pStyle w:val="BodyText"/>
        <w:rPr>
          <w:rFonts w:ascii="Arial"/>
          <w:b/>
          <w:sz w:val="14"/>
        </w:rPr>
      </w:pPr>
    </w:p>
    <w:p>
      <w:pPr>
        <w:spacing w:after="0"/>
        <w:rPr>
          <w:rFonts w:ascii="Arial"/>
          <w:sz w:val="14"/>
        </w:rPr>
        <w:sectPr>
          <w:pgSz w:w="7200" w:h="11340"/>
          <w:pgMar w:top="500" w:bottom="280" w:left="660" w:right="520"/>
        </w:sectPr>
      </w:pPr>
    </w:p>
    <w:p>
      <w:pPr>
        <w:spacing w:before="73"/>
        <w:ind w:left="132" w:right="0" w:firstLine="0"/>
        <w:jc w:val="left"/>
        <w:rPr>
          <w:sz w:val="21"/>
        </w:rPr>
      </w:pPr>
      <w:r>
        <w:rPr>
          <w:sz w:val="21"/>
        </w:rPr>
        <w:t>probability is</w:t>
      </w:r>
    </w:p>
    <w:p>
      <w:pPr>
        <w:pStyle w:val="BodyText"/>
        <w:rPr>
          <w:sz w:val="24"/>
        </w:rPr>
      </w:pPr>
      <w:r>
        <w:rPr/>
        <w:br w:type="column"/>
      </w:r>
      <w:r>
        <w:rPr>
          <w:sz w:val="24"/>
        </w:rPr>
      </w:r>
    </w:p>
    <w:p>
      <w:pPr>
        <w:spacing w:before="139"/>
        <w:ind w:left="131" w:right="0" w:firstLine="0"/>
        <w:jc w:val="left"/>
        <w:rPr>
          <w:b/>
          <w:i/>
          <w:sz w:val="20"/>
        </w:rPr>
      </w:pPr>
      <w:r>
        <w:rPr>
          <w:b/>
          <w:i/>
          <w:spacing w:val="-43"/>
          <w:w w:val="244"/>
          <w:sz w:val="20"/>
        </w:rPr>
        <w:t>.</w:t>
      </w:r>
      <w:r>
        <w:rPr>
          <w:b/>
          <w:i/>
          <w:w w:val="87"/>
          <w:sz w:val="20"/>
        </w:rPr>
        <w:t>qz</w:t>
      </w:r>
      <w:r>
        <w:rPr>
          <w:b/>
          <w:i/>
          <w:sz w:val="20"/>
        </w:rPr>
        <w:t> </w:t>
      </w:r>
      <w:r>
        <w:rPr>
          <w:b/>
          <w:i/>
          <w:spacing w:val="-12"/>
          <w:sz w:val="20"/>
        </w:rPr>
        <w:t> </w:t>
      </w:r>
      <w:r>
        <w:rPr>
          <w:w w:val="282"/>
          <w:sz w:val="20"/>
        </w:rPr>
        <w:t>-</w:t>
      </w:r>
      <w:r>
        <w:rPr>
          <w:spacing w:val="-5"/>
          <w:sz w:val="20"/>
        </w:rPr>
        <w:t> </w:t>
      </w:r>
      <w:r>
        <w:rPr>
          <w:b/>
          <w:i/>
          <w:spacing w:val="-34"/>
          <w:w w:val="233"/>
          <w:sz w:val="20"/>
        </w:rPr>
        <w:t>.</w:t>
      </w:r>
      <w:r>
        <w:rPr>
          <w:b/>
          <w:i/>
          <w:spacing w:val="-23"/>
          <w:w w:val="113"/>
          <w:sz w:val="20"/>
        </w:rPr>
        <w:t>q</w:t>
      </w:r>
      <w:r>
        <w:rPr>
          <w:b/>
          <w:spacing w:val="-52"/>
          <w:w w:val="114"/>
          <w:position w:val="10"/>
          <w:sz w:val="13"/>
        </w:rPr>
        <w:t>1</w:t>
      </w:r>
      <w:r>
        <w:rPr>
          <w:b/>
          <w:i/>
          <w:w w:val="113"/>
          <w:sz w:val="20"/>
        </w:rPr>
        <w:t>_.</w:t>
      </w:r>
      <w:r>
        <w:rPr>
          <w:b/>
          <w:i/>
          <w:spacing w:val="-5"/>
          <w:sz w:val="20"/>
        </w:rPr>
        <w:t> </w:t>
      </w:r>
      <w:r>
        <w:rPr>
          <w:b/>
          <w:i/>
          <w:w w:val="87"/>
          <w:sz w:val="20"/>
        </w:rPr>
        <w:t>.</w:t>
      </w:r>
    </w:p>
    <w:p>
      <w:pPr>
        <w:spacing w:after="0"/>
        <w:jc w:val="left"/>
        <w:rPr>
          <w:sz w:val="20"/>
        </w:rPr>
        <w:sectPr>
          <w:type w:val="continuous"/>
          <w:pgSz w:w="7200" w:h="11340"/>
          <w:pgMar w:top="1100" w:bottom="0" w:left="660" w:right="520"/>
          <w:cols w:num="2" w:equalWidth="0">
            <w:col w:w="1289" w:space="1065"/>
            <w:col w:w="3666"/>
          </w:cols>
        </w:sectPr>
      </w:pPr>
    </w:p>
    <w:p>
      <w:pPr>
        <w:spacing w:line="232" w:lineRule="auto" w:before="162"/>
        <w:ind w:left="121" w:right="143" w:firstLine="208"/>
        <w:jc w:val="both"/>
        <w:rPr>
          <w:sz w:val="21"/>
        </w:rPr>
      </w:pPr>
      <w:r>
        <w:rPr>
          <w:sz w:val="21"/>
        </w:rPr>
        <w:t>Consider the function </w:t>
      </w:r>
      <w:r>
        <w:rPr>
          <w:w w:val="435"/>
          <w:sz w:val="13"/>
        </w:rPr>
        <w:t>n </w:t>
      </w:r>
      <w:r>
        <w:rPr>
          <w:rFonts w:ascii="Arial"/>
          <w:spacing w:val="-9"/>
          <w:w w:val="125"/>
          <w:sz w:val="11"/>
        </w:rPr>
        <w:t>:.i </w:t>
      </w:r>
      <w:r>
        <w:rPr>
          <w:rFonts w:ascii="Arial"/>
          <w:w w:val="220"/>
          <w:sz w:val="11"/>
        </w:rPr>
        <w:t>, </w:t>
      </w:r>
      <w:r>
        <w:rPr>
          <w:sz w:val="21"/>
        </w:rPr>
        <w:t>representing the probability </w:t>
      </w:r>
      <w:r>
        <w:rPr>
          <w:b/>
          <w:sz w:val="20"/>
        </w:rPr>
        <w:t>that  </w:t>
      </w:r>
      <w:r>
        <w:rPr>
          <w:sz w:val="21"/>
        </w:rPr>
        <w:t>the survivor of </w:t>
      </w:r>
      <w:r>
        <w:rPr>
          <w:rFonts w:ascii="Arial"/>
          <w:i/>
          <w:spacing w:val="6"/>
          <w:sz w:val="19"/>
        </w:rPr>
        <w:t>(x) </w:t>
      </w:r>
      <w:r>
        <w:rPr>
          <w:sz w:val="21"/>
        </w:rPr>
        <w:t>and  </w:t>
      </w:r>
      <w:r>
        <w:rPr>
          <w:rFonts w:ascii="Arial"/>
          <w:i/>
          <w:spacing w:val="3"/>
          <w:sz w:val="19"/>
        </w:rPr>
        <w:t>(y </w:t>
      </w:r>
      <w:r>
        <w:rPr>
          <w:rFonts w:ascii="Arial"/>
          <w:i/>
          <w:sz w:val="19"/>
        </w:rPr>
        <w:t>)  </w:t>
      </w:r>
      <w:r>
        <w:rPr>
          <w:sz w:val="21"/>
        </w:rPr>
        <w:t>will  die within  </w:t>
      </w:r>
      <w:r>
        <w:rPr>
          <w:rFonts w:ascii="Arial"/>
          <w:i/>
          <w:sz w:val="19"/>
        </w:rPr>
        <w:t>n </w:t>
      </w:r>
      <w:r>
        <w:rPr>
          <w:sz w:val="21"/>
        </w:rPr>
        <w:t>years,  predeceased by (z). In fonnulating this probability as a definite integral, it </w:t>
      </w:r>
      <w:r>
        <w:rPr>
          <w:rFonts w:ascii="Arial"/>
          <w:sz w:val="19"/>
        </w:rPr>
        <w:t>is </w:t>
      </w:r>
      <w:r>
        <w:rPr>
          <w:sz w:val="21"/>
        </w:rPr>
        <w:t>necessary to express the diff erential  probability  that  the survivor </w:t>
      </w:r>
      <w:r>
        <w:rPr>
          <w:rFonts w:ascii="Arial"/>
          <w:sz w:val="19"/>
        </w:rPr>
        <w:t>of  </w:t>
      </w:r>
      <w:r>
        <w:rPr>
          <w:rFonts w:ascii="Arial"/>
          <w:i/>
          <w:sz w:val="19"/>
        </w:rPr>
        <w:t>(x )  </w:t>
      </w:r>
      <w:r>
        <w:rPr>
          <w:sz w:val="21"/>
        </w:rPr>
        <w:t>and  </w:t>
      </w:r>
      <w:r>
        <w:rPr>
          <w:rFonts w:ascii="Arial"/>
          <w:i/>
          <w:spacing w:val="4"/>
          <w:sz w:val="19"/>
        </w:rPr>
        <w:t>(y </w:t>
      </w:r>
      <w:r>
        <w:rPr>
          <w:rFonts w:ascii="Arial"/>
          <w:i/>
          <w:sz w:val="19"/>
        </w:rPr>
        <w:t>) </w:t>
      </w:r>
      <w:r>
        <w:rPr>
          <w:sz w:val="21"/>
        </w:rPr>
        <w:t>will die at moment </w:t>
      </w:r>
      <w:r>
        <w:rPr>
          <w:rFonts w:ascii="Arial"/>
          <w:sz w:val="19"/>
        </w:rPr>
        <w:t>of </w:t>
      </w:r>
      <w:r>
        <w:rPr>
          <w:sz w:val="21"/>
        </w:rPr>
        <w:t>time </w:t>
      </w:r>
      <w:r>
        <w:rPr>
          <w:i/>
          <w:sz w:val="22"/>
        </w:rPr>
        <w:t>t. </w:t>
      </w:r>
      <w:r>
        <w:rPr>
          <w:rFonts w:ascii="Arial"/>
          <w:spacing w:val="-3"/>
          <w:sz w:val="21"/>
        </w:rPr>
        <w:t>This </w:t>
      </w:r>
      <w:r>
        <w:rPr>
          <w:sz w:val="21"/>
        </w:rPr>
        <w:t>expression</w:t>
      </w:r>
      <w:r>
        <w:rPr>
          <w:spacing w:val="-22"/>
          <w:sz w:val="21"/>
        </w:rPr>
        <w:t> </w:t>
      </w:r>
      <w:r>
        <w:rPr>
          <w:sz w:val="21"/>
        </w:rPr>
        <w:t>is</w:t>
      </w:r>
    </w:p>
    <w:p>
      <w:pPr>
        <w:spacing w:before="34"/>
        <w:ind w:left="1240" w:right="0" w:firstLine="0"/>
        <w:jc w:val="left"/>
        <w:rPr>
          <w:i/>
          <w:sz w:val="20"/>
        </w:rPr>
      </w:pPr>
      <w:r>
        <w:rPr>
          <w:w w:val="84"/>
          <w:sz w:val="20"/>
        </w:rPr>
        <w:t>[,p:r</w:t>
      </w:r>
      <w:r>
        <w:rPr>
          <w:spacing w:val="-14"/>
          <w:sz w:val="20"/>
        </w:rPr>
        <w:t> </w:t>
      </w:r>
      <w:r>
        <w:rPr>
          <w:w w:val="108"/>
          <w:sz w:val="20"/>
        </w:rPr>
        <w:t>(I</w:t>
      </w:r>
      <w:r>
        <w:rPr>
          <w:sz w:val="20"/>
        </w:rPr>
        <w:t> </w:t>
      </w:r>
      <w:r>
        <w:rPr>
          <w:spacing w:val="3"/>
          <w:sz w:val="20"/>
        </w:rPr>
        <w:t> </w:t>
      </w:r>
      <w:r>
        <w:rPr>
          <w:w w:val="274"/>
          <w:sz w:val="20"/>
        </w:rPr>
        <w:t>-</w:t>
      </w:r>
      <w:r>
        <w:rPr>
          <w:sz w:val="20"/>
        </w:rPr>
        <w:t> </w:t>
      </w:r>
      <w:r>
        <w:rPr>
          <w:spacing w:val="-17"/>
          <w:sz w:val="20"/>
        </w:rPr>
        <w:t> </w:t>
      </w:r>
      <w:r>
        <w:rPr>
          <w:w w:val="80"/>
          <w:sz w:val="20"/>
        </w:rPr>
        <w:t>,p,,)</w:t>
      </w:r>
      <w:r>
        <w:rPr>
          <w:w w:val="79"/>
          <w:sz w:val="20"/>
        </w:rPr>
        <w:t>µ.:r+</w:t>
      </w:r>
      <w:r>
        <w:rPr>
          <w:spacing w:val="-8"/>
          <w:sz w:val="20"/>
        </w:rPr>
        <w:t> </w:t>
      </w:r>
      <w:r>
        <w:rPr>
          <w:w w:val="40"/>
          <w:sz w:val="20"/>
        </w:rPr>
        <w:t>e</w:t>
      </w:r>
      <w:r>
        <w:rPr>
          <w:sz w:val="20"/>
        </w:rPr>
        <w:t> </w:t>
      </w:r>
      <w:r>
        <w:rPr>
          <w:spacing w:val="-22"/>
          <w:sz w:val="20"/>
        </w:rPr>
        <w:t> </w:t>
      </w:r>
      <w:r>
        <w:rPr>
          <w:rFonts w:ascii="Arial" w:hAnsi="Arial"/>
          <w:w w:val="107"/>
          <w:sz w:val="31"/>
        </w:rPr>
        <w:t>+</w:t>
      </w:r>
      <w:r>
        <w:rPr>
          <w:rFonts w:ascii="Arial" w:hAnsi="Arial"/>
          <w:spacing w:val="-8"/>
          <w:sz w:val="31"/>
        </w:rPr>
        <w:t> </w:t>
      </w:r>
      <w:r>
        <w:rPr>
          <w:i/>
          <w:w w:val="85"/>
          <w:sz w:val="20"/>
        </w:rPr>
        <w:t>,p,,(</w:t>
      </w:r>
      <w:r>
        <w:rPr>
          <w:i/>
          <w:spacing w:val="-3"/>
          <w:sz w:val="20"/>
        </w:rPr>
        <w:t> </w:t>
      </w:r>
      <w:r>
        <w:rPr>
          <w:i/>
          <w:w w:val="113"/>
          <w:sz w:val="20"/>
        </w:rPr>
        <w:t>l</w:t>
      </w:r>
      <w:r>
        <w:rPr>
          <w:i/>
          <w:sz w:val="20"/>
        </w:rPr>
        <w:t> </w:t>
      </w:r>
      <w:r>
        <w:rPr>
          <w:i/>
          <w:spacing w:val="13"/>
          <w:sz w:val="20"/>
        </w:rPr>
        <w:t> </w:t>
      </w:r>
      <w:r>
        <w:rPr>
          <w:w w:val="274"/>
          <w:sz w:val="20"/>
        </w:rPr>
        <w:t>-</w:t>
      </w:r>
      <w:r>
        <w:rPr>
          <w:sz w:val="20"/>
        </w:rPr>
        <w:t> </w:t>
      </w:r>
      <w:r>
        <w:rPr>
          <w:spacing w:val="-21"/>
          <w:sz w:val="20"/>
        </w:rPr>
        <w:t> </w:t>
      </w:r>
      <w:r>
        <w:rPr>
          <w:w w:val="77"/>
          <w:sz w:val="20"/>
        </w:rPr>
        <w:t>,p:r</w:t>
      </w:r>
      <w:r>
        <w:rPr>
          <w:spacing w:val="-25"/>
          <w:sz w:val="20"/>
        </w:rPr>
        <w:t> </w:t>
      </w:r>
      <w:r>
        <w:rPr>
          <w:spacing w:val="3"/>
          <w:w w:val="362"/>
          <w:sz w:val="20"/>
        </w:rPr>
        <w:t>)</w:t>
      </w:r>
      <w:r>
        <w:rPr>
          <w:w w:val="82"/>
          <w:sz w:val="20"/>
        </w:rPr>
        <w:t>+</w:t>
      </w:r>
      <w:r>
        <w:rPr>
          <w:spacing w:val="-18"/>
          <w:sz w:val="20"/>
        </w:rPr>
        <w:t> </w:t>
      </w:r>
      <w:r>
        <w:rPr>
          <w:w w:val="72"/>
          <w:sz w:val="20"/>
        </w:rPr>
        <w:t>,J</w:t>
      </w:r>
      <w:r>
        <w:rPr>
          <w:spacing w:val="15"/>
          <w:sz w:val="20"/>
        </w:rPr>
        <w:t> </w:t>
      </w:r>
      <w:r>
        <w:rPr>
          <w:i/>
          <w:w w:val="92"/>
          <w:sz w:val="20"/>
        </w:rPr>
        <w:t>dt</w:t>
      </w:r>
    </w:p>
    <w:p>
      <w:pPr>
        <w:spacing w:after="0"/>
        <w:jc w:val="left"/>
        <w:rPr>
          <w:sz w:val="20"/>
        </w:rPr>
        <w:sectPr>
          <w:type w:val="continuous"/>
          <w:pgSz w:w="7200" w:h="11340"/>
          <w:pgMar w:top="1100" w:bottom="0" w:left="660" w:right="520"/>
        </w:sectPr>
      </w:pPr>
    </w:p>
    <w:p>
      <w:pPr>
        <w:spacing w:before="105"/>
        <w:ind w:left="121" w:right="-20" w:firstLine="0"/>
        <w:jc w:val="left"/>
        <w:rPr>
          <w:sz w:val="21"/>
        </w:rPr>
      </w:pPr>
      <w:r>
        <w:rPr>
          <w:sz w:val="21"/>
        </w:rPr>
        <w:t>or</w:t>
      </w:r>
    </w:p>
    <w:p>
      <w:pPr>
        <w:pStyle w:val="BodyText"/>
      </w:pPr>
    </w:p>
    <w:p>
      <w:pPr>
        <w:pStyle w:val="BodyText"/>
        <w:spacing w:before="10"/>
        <w:rPr>
          <w:sz w:val="21"/>
        </w:rPr>
      </w:pPr>
    </w:p>
    <w:p>
      <w:pPr>
        <w:spacing w:line="226" w:lineRule="exact" w:before="0"/>
        <w:ind w:left="132" w:right="-5" w:firstLine="0"/>
        <w:jc w:val="left"/>
        <w:rPr>
          <w:sz w:val="21"/>
        </w:rPr>
      </w:pPr>
      <w:r>
        <w:rPr>
          <w:w w:val="95"/>
          <w:sz w:val="21"/>
        </w:rPr>
        <w:t>Hence</w:t>
      </w:r>
    </w:p>
    <w:p>
      <w:pPr>
        <w:pStyle w:val="BodyText"/>
        <w:spacing w:before="2"/>
        <w:rPr>
          <w:sz w:val="35"/>
        </w:rPr>
      </w:pPr>
      <w:r>
        <w:rPr/>
        <w:br w:type="column"/>
      </w:r>
      <w:r>
        <w:rPr>
          <w:sz w:val="35"/>
        </w:rPr>
      </w:r>
    </w:p>
    <w:p>
      <w:pPr>
        <w:spacing w:before="0"/>
        <w:ind w:left="121" w:right="0" w:firstLine="0"/>
        <w:jc w:val="left"/>
        <w:rPr>
          <w:b/>
          <w:i/>
          <w:sz w:val="21"/>
        </w:rPr>
      </w:pPr>
      <w:r>
        <w:rPr>
          <w:w w:val="120"/>
          <w:sz w:val="16"/>
        </w:rPr>
        <w:t>( </w:t>
      </w:r>
      <w:r>
        <w:rPr>
          <w:b/>
          <w:i/>
          <w:w w:val="90"/>
          <w:sz w:val="16"/>
        </w:rPr>
        <w:t>tPzJJ.z+ </w:t>
      </w:r>
      <w:r>
        <w:rPr>
          <w:b/>
          <w:i/>
          <w:w w:val="85"/>
          <w:sz w:val="16"/>
        </w:rPr>
        <w:t>1 </w:t>
      </w:r>
      <w:r>
        <w:rPr>
          <w:w w:val="120"/>
          <w:sz w:val="29"/>
        </w:rPr>
        <w:t>+ </w:t>
      </w:r>
      <w:r>
        <w:rPr>
          <w:b/>
          <w:i/>
          <w:w w:val="90"/>
          <w:sz w:val="16"/>
        </w:rPr>
        <w:t>tP""1,+ </w:t>
      </w:r>
      <w:r>
        <w:rPr>
          <w:i/>
          <w:w w:val="90"/>
          <w:sz w:val="12"/>
        </w:rPr>
        <w:t>I  </w:t>
      </w:r>
      <w:r>
        <w:rPr>
          <w:w w:val="430"/>
          <w:sz w:val="12"/>
        </w:rPr>
        <w:t>-</w:t>
      </w:r>
      <w:r>
        <w:rPr>
          <w:spacing w:val="-86"/>
          <w:w w:val="430"/>
          <w:sz w:val="12"/>
        </w:rPr>
        <w:t> </w:t>
      </w:r>
      <w:r>
        <w:rPr>
          <w:b/>
          <w:i/>
          <w:w w:val="90"/>
          <w:sz w:val="16"/>
        </w:rPr>
        <w:t>1P%flll.:r+ </w:t>
      </w:r>
      <w:r>
        <w:rPr>
          <w:spacing w:val="3"/>
          <w:w w:val="120"/>
          <w:sz w:val="17"/>
        </w:rPr>
        <w:t>I:+ </w:t>
      </w:r>
      <w:r>
        <w:rPr>
          <w:w w:val="120"/>
          <w:sz w:val="17"/>
        </w:rPr>
        <w:t>I) </w:t>
      </w:r>
      <w:r>
        <w:rPr>
          <w:b/>
          <w:i/>
          <w:w w:val="120"/>
          <w:sz w:val="21"/>
        </w:rPr>
        <w:t>dt.</w:t>
      </w:r>
    </w:p>
    <w:p>
      <w:pPr>
        <w:spacing w:after="0"/>
        <w:jc w:val="left"/>
        <w:rPr>
          <w:sz w:val="21"/>
        </w:rPr>
        <w:sectPr>
          <w:type w:val="continuous"/>
          <w:pgSz w:w="7200" w:h="11340"/>
          <w:pgMar w:top="1100" w:bottom="0" w:left="660" w:right="520"/>
          <w:cols w:num="2" w:equalWidth="0">
            <w:col w:w="657" w:space="657"/>
            <w:col w:w="4706"/>
          </w:cols>
        </w:sectPr>
      </w:pPr>
    </w:p>
    <w:p>
      <w:pPr>
        <w:spacing w:line="593" w:lineRule="exact" w:before="0"/>
        <w:ind w:left="124" w:right="0" w:firstLine="0"/>
        <w:jc w:val="left"/>
        <w:rPr>
          <w:b/>
          <w:i/>
          <w:sz w:val="21"/>
        </w:rPr>
      </w:pPr>
      <w:r>
        <w:rPr/>
        <w:drawing>
          <wp:anchor distT="0" distB="0" distL="0" distR="0" allowOverlap="1" layoutInCell="1" locked="0" behindDoc="0" simplePos="0" relativeHeight="17992">
            <wp:simplePos x="0" y="0"/>
            <wp:positionH relativeFrom="page">
              <wp:posOffset>1078991</wp:posOffset>
            </wp:positionH>
            <wp:positionV relativeFrom="paragraph">
              <wp:posOffset>458458</wp:posOffset>
            </wp:positionV>
            <wp:extent cx="3054095" cy="192024"/>
            <wp:effectExtent l="0" t="0" r="0" b="0"/>
            <wp:wrapTopAndBottom/>
            <wp:docPr id="489" name="image250.png" descr=""/>
            <wp:cNvGraphicFramePr>
              <a:graphicFrameLocks noChangeAspect="1"/>
            </wp:cNvGraphicFramePr>
            <a:graphic>
              <a:graphicData uri="http://schemas.openxmlformats.org/drawingml/2006/picture">
                <pic:pic>
                  <pic:nvPicPr>
                    <pic:cNvPr id="490" name="image250.png"/>
                    <pic:cNvPicPr/>
                  </pic:nvPicPr>
                  <pic:blipFill>
                    <a:blip r:embed="rId254" cstate="print"/>
                    <a:stretch>
                      <a:fillRect/>
                    </a:stretch>
                  </pic:blipFill>
                  <pic:spPr>
                    <a:xfrm>
                      <a:off x="0" y="0"/>
                      <a:ext cx="3054095" cy="192024"/>
                    </a:xfrm>
                    <a:prstGeom prst="rect">
                      <a:avLst/>
                    </a:prstGeom>
                  </pic:spPr>
                </pic:pic>
              </a:graphicData>
            </a:graphic>
          </wp:anchor>
        </w:drawing>
      </w:r>
      <w:r>
        <w:rPr>
          <w:b/>
          <w:i/>
          <w:w w:val="100"/>
          <w:sz w:val="16"/>
        </w:rPr>
        <w:t>nq};:z</w:t>
      </w:r>
      <w:r>
        <w:rPr>
          <w:b/>
          <w:i/>
          <w:sz w:val="16"/>
        </w:rPr>
        <w:t>  </w:t>
      </w:r>
      <w:r>
        <w:rPr>
          <w:b/>
          <w:i/>
          <w:spacing w:val="-10"/>
          <w:sz w:val="16"/>
        </w:rPr>
        <w:t> </w:t>
      </w:r>
      <w:r>
        <w:rPr>
          <w:w w:val="89"/>
          <w:sz w:val="26"/>
        </w:rPr>
        <w:t>=</w:t>
      </w:r>
      <w:r>
        <w:rPr>
          <w:spacing w:val="30"/>
          <w:sz w:val="26"/>
        </w:rPr>
        <w:t> </w:t>
      </w:r>
      <w:r>
        <w:rPr>
          <w:rFonts w:ascii="Arial" w:hAnsi="Arial"/>
          <w:i/>
          <w:spacing w:val="26"/>
          <w:w w:val="104"/>
          <w:sz w:val="58"/>
        </w:rPr>
        <w:t>i</w:t>
      </w:r>
      <w:r>
        <w:rPr>
          <w:rFonts w:ascii="Arial" w:hAnsi="Arial"/>
          <w:i/>
          <w:w w:val="39"/>
          <w:sz w:val="58"/>
        </w:rPr>
        <w:t>"</w:t>
      </w:r>
      <w:r>
        <w:rPr>
          <w:rFonts w:ascii="Arial" w:hAnsi="Arial"/>
          <w:i/>
          <w:spacing w:val="-75"/>
          <w:sz w:val="58"/>
        </w:rPr>
        <w:t> </w:t>
      </w:r>
      <w:r>
        <w:rPr>
          <w:rFonts w:ascii="Arial" w:hAnsi="Arial"/>
          <w:spacing w:val="31"/>
          <w:w w:val="31"/>
          <w:sz w:val="58"/>
        </w:rPr>
        <w:t>(</w:t>
      </w:r>
      <w:r>
        <w:rPr>
          <w:rFonts w:ascii="Arial" w:hAnsi="Arial"/>
          <w:b/>
          <w:w w:val="105"/>
          <w:sz w:val="18"/>
        </w:rPr>
        <w:t>1</w:t>
      </w:r>
      <w:r>
        <w:rPr>
          <w:rFonts w:ascii="Arial" w:hAnsi="Arial"/>
          <w:b/>
          <w:spacing w:val="20"/>
          <w:sz w:val="18"/>
        </w:rPr>
        <w:t> </w:t>
      </w:r>
      <w:r>
        <w:rPr>
          <w:rFonts w:ascii="Arial" w:hAnsi="Arial"/>
          <w:w w:val="284"/>
          <w:sz w:val="18"/>
        </w:rPr>
        <w:t>-</w:t>
      </w:r>
      <w:r>
        <w:rPr>
          <w:rFonts w:ascii="Arial" w:hAnsi="Arial"/>
          <w:spacing w:val="20"/>
          <w:sz w:val="18"/>
        </w:rPr>
        <w:t> </w:t>
      </w:r>
      <w:r>
        <w:rPr>
          <w:b/>
          <w:i/>
          <w:w w:val="74"/>
          <w:sz w:val="16"/>
        </w:rPr>
        <w:t>t</w:t>
      </w:r>
      <w:r>
        <w:rPr>
          <w:b/>
          <w:i/>
          <w:spacing w:val="-20"/>
          <w:sz w:val="16"/>
        </w:rPr>
        <w:t> </w:t>
      </w:r>
      <w:r>
        <w:rPr>
          <w:b/>
          <w:i/>
          <w:w w:val="93"/>
          <w:sz w:val="16"/>
        </w:rPr>
        <w:t>Pz</w:t>
      </w:r>
      <w:r>
        <w:rPr>
          <w:b/>
          <w:i/>
          <w:spacing w:val="-7"/>
          <w:sz w:val="16"/>
        </w:rPr>
        <w:t> </w:t>
      </w:r>
      <w:r>
        <w:rPr>
          <w:w w:val="142"/>
          <w:sz w:val="16"/>
        </w:rPr>
        <w:t>)(</w:t>
      </w:r>
      <w:r>
        <w:rPr>
          <w:spacing w:val="-6"/>
          <w:sz w:val="16"/>
        </w:rPr>
        <w:t> </w:t>
      </w:r>
      <w:r>
        <w:rPr>
          <w:b/>
          <w:i/>
          <w:w w:val="66"/>
          <w:sz w:val="16"/>
        </w:rPr>
        <w:t>t</w:t>
      </w:r>
      <w:r>
        <w:rPr>
          <w:b/>
          <w:i/>
          <w:spacing w:val="-20"/>
          <w:sz w:val="16"/>
        </w:rPr>
        <w:t> </w:t>
      </w:r>
      <w:r>
        <w:rPr>
          <w:b/>
          <w:i/>
          <w:w w:val="98"/>
          <w:sz w:val="16"/>
        </w:rPr>
        <w:t>Pzµz+I</w:t>
      </w:r>
      <w:r>
        <w:rPr>
          <w:b/>
          <w:i/>
          <w:sz w:val="16"/>
        </w:rPr>
        <w:t>  </w:t>
      </w:r>
      <w:r>
        <w:rPr>
          <w:b/>
          <w:i/>
          <w:spacing w:val="3"/>
          <w:sz w:val="16"/>
        </w:rPr>
        <w:t> </w:t>
      </w:r>
      <w:r>
        <w:rPr>
          <w:rFonts w:ascii="Arial" w:hAnsi="Arial"/>
          <w:w w:val="103"/>
          <w:sz w:val="31"/>
        </w:rPr>
        <w:t>+</w:t>
      </w:r>
      <w:r>
        <w:rPr>
          <w:rFonts w:ascii="Arial" w:hAnsi="Arial"/>
          <w:spacing w:val="-26"/>
          <w:sz w:val="31"/>
        </w:rPr>
        <w:t> </w:t>
      </w:r>
      <w:r>
        <w:rPr>
          <w:b/>
          <w:i/>
          <w:w w:val="81"/>
          <w:sz w:val="16"/>
        </w:rPr>
        <w:t>t</w:t>
      </w:r>
      <w:r>
        <w:rPr>
          <w:b/>
          <w:i/>
          <w:spacing w:val="-23"/>
          <w:sz w:val="16"/>
        </w:rPr>
        <w:t> </w:t>
      </w:r>
      <w:r>
        <w:rPr>
          <w:b/>
          <w:i/>
          <w:w w:val="73"/>
          <w:sz w:val="16"/>
        </w:rPr>
        <w:t>P11P.,,+1</w:t>
      </w:r>
      <w:r>
        <w:rPr>
          <w:b/>
          <w:i/>
          <w:sz w:val="16"/>
        </w:rPr>
        <w:t> </w:t>
      </w:r>
      <w:r>
        <w:rPr>
          <w:b/>
          <w:i/>
          <w:spacing w:val="14"/>
          <w:sz w:val="16"/>
        </w:rPr>
        <w:t> </w:t>
      </w:r>
      <w:r>
        <w:rPr>
          <w:w w:val="344"/>
          <w:sz w:val="16"/>
        </w:rPr>
        <w:t>-</w:t>
      </w:r>
      <w:r>
        <w:rPr>
          <w:spacing w:val="-8"/>
          <w:sz w:val="16"/>
        </w:rPr>
        <w:t> </w:t>
      </w:r>
      <w:r>
        <w:rPr>
          <w:b/>
          <w:i/>
          <w:w w:val="84"/>
          <w:sz w:val="16"/>
        </w:rPr>
        <w:t>1P:rt1µz+l</w:t>
      </w:r>
      <w:r>
        <w:rPr>
          <w:b/>
          <w:i/>
          <w:spacing w:val="3"/>
          <w:sz w:val="16"/>
        </w:rPr>
        <w:t> </w:t>
      </w:r>
      <w:r>
        <w:rPr>
          <w:b/>
          <w:i/>
          <w:w w:val="67"/>
          <w:sz w:val="16"/>
        </w:rPr>
        <w:t>:11+1</w:t>
      </w:r>
      <w:r>
        <w:rPr>
          <w:b/>
          <w:i/>
          <w:spacing w:val="-10"/>
          <w:sz w:val="16"/>
        </w:rPr>
        <w:t> </w:t>
      </w:r>
      <w:r>
        <w:rPr>
          <w:b/>
          <w:i/>
          <w:w w:val="85"/>
          <w:sz w:val="16"/>
        </w:rPr>
        <w:t>)</w:t>
      </w:r>
      <w:r>
        <w:rPr>
          <w:b/>
          <w:i/>
          <w:sz w:val="16"/>
        </w:rPr>
        <w:t> </w:t>
      </w:r>
      <w:r>
        <w:rPr>
          <w:b/>
          <w:i/>
          <w:spacing w:val="-8"/>
          <w:sz w:val="16"/>
        </w:rPr>
        <w:t> </w:t>
      </w:r>
      <w:r>
        <w:rPr>
          <w:b/>
          <w:i/>
          <w:w w:val="88"/>
          <w:sz w:val="21"/>
        </w:rPr>
        <w:t>dt</w:t>
      </w:r>
    </w:p>
    <w:p>
      <w:pPr>
        <w:pStyle w:val="ListParagraph"/>
        <w:numPr>
          <w:ilvl w:val="0"/>
          <w:numId w:val="103"/>
        </w:numPr>
        <w:tabs>
          <w:tab w:pos="370" w:val="left" w:leader="none"/>
        </w:tabs>
        <w:spacing w:line="240" w:lineRule="auto" w:before="146" w:after="0"/>
        <w:ind w:left="369" w:right="0" w:hanging="241"/>
        <w:jc w:val="left"/>
        <w:rPr>
          <w:b/>
          <w:sz w:val="19"/>
        </w:rPr>
      </w:pPr>
      <w:r>
        <w:rPr>
          <w:b/>
          <w:w w:val="120"/>
          <w:sz w:val="19"/>
        </w:rPr>
        <w:t>Evaluation of contingent</w:t>
      </w:r>
      <w:r>
        <w:rPr>
          <w:b/>
          <w:spacing w:val="13"/>
          <w:w w:val="120"/>
          <w:sz w:val="19"/>
        </w:rPr>
        <w:t> </w:t>
      </w:r>
      <w:r>
        <w:rPr>
          <w:b/>
          <w:w w:val="120"/>
          <w:sz w:val="19"/>
        </w:rPr>
        <w:t>probabilities</w:t>
      </w:r>
    </w:p>
    <w:p>
      <w:pPr>
        <w:spacing w:line="237" w:lineRule="auto" w:before="68"/>
        <w:ind w:left="132" w:right="156" w:firstLine="201"/>
        <w:jc w:val="both"/>
        <w:rPr>
          <w:sz w:val="21"/>
        </w:rPr>
      </w:pPr>
      <w:r>
        <w:rPr>
          <w:sz w:val="22"/>
        </w:rPr>
        <w:t>In </w:t>
      </w:r>
      <w:r>
        <w:rPr>
          <w:sz w:val="21"/>
        </w:rPr>
        <w:t>the elementary case where the lives are </w:t>
      </w:r>
      <w:r>
        <w:rPr>
          <w:rFonts w:ascii="Arial" w:hAnsi="Arial"/>
          <w:sz w:val="19"/>
        </w:rPr>
        <w:t>of </w:t>
      </w:r>
      <w:r>
        <w:rPr>
          <w:sz w:val="21"/>
        </w:rPr>
        <w:t>equal age, con­ tingent probabilities can </w:t>
      </w:r>
      <w:r>
        <w:rPr>
          <w:sz w:val="19"/>
        </w:rPr>
        <w:t>be </w:t>
      </w:r>
      <w:r>
        <w:rPr>
          <w:sz w:val="21"/>
        </w:rPr>
        <w:t>evaluated directly </w:t>
      </w:r>
      <w:r>
        <w:rPr>
          <w:sz w:val="19"/>
        </w:rPr>
        <w:t>from </w:t>
      </w:r>
      <w:r>
        <w:rPr>
          <w:sz w:val="21"/>
        </w:rPr>
        <w:t>general probability principies. </w:t>
      </w:r>
      <w:r>
        <w:rPr>
          <w:sz w:val="22"/>
        </w:rPr>
        <w:t>It </w:t>
      </w:r>
      <w:r>
        <w:rPr>
          <w:sz w:val="21"/>
        </w:rPr>
        <w:t>is sometimes helpful to write the integral expression and carry out the integration as </w:t>
      </w:r>
      <w:r>
        <w:rPr>
          <w:b/>
          <w:sz w:val="20"/>
        </w:rPr>
        <w:t>a </w:t>
      </w:r>
      <w:r>
        <w:rPr>
          <w:sz w:val="21"/>
        </w:rPr>
        <w:t>check on the direct reasoning.</w:t>
      </w:r>
    </w:p>
    <w:p>
      <w:pPr>
        <w:spacing w:line="230" w:lineRule="auto" w:before="4"/>
        <w:ind w:left="135" w:right="158" w:firstLine="198"/>
        <w:jc w:val="both"/>
        <w:rPr>
          <w:sz w:val="21"/>
        </w:rPr>
      </w:pPr>
      <w:r>
        <w:rPr>
          <w:sz w:val="21"/>
        </w:rPr>
        <w:t>For three lives all aged </w:t>
      </w:r>
      <w:r>
        <w:rPr>
          <w:i/>
          <w:sz w:val="21"/>
        </w:rPr>
        <w:t>x, </w:t>
      </w:r>
      <w:r>
        <w:rPr>
          <w:sz w:val="21"/>
        </w:rPr>
        <w:t>we know that the probability that a specified life will die first within </w:t>
      </w:r>
      <w:r>
        <w:rPr>
          <w:i/>
          <w:sz w:val="22"/>
        </w:rPr>
        <w:t>n </w:t>
      </w:r>
      <w:r>
        <w:rPr>
          <w:sz w:val="21"/>
        </w:rPr>
        <w:t>years is</w:t>
      </w:r>
    </w:p>
    <w:p>
      <w:pPr>
        <w:spacing w:before="89"/>
        <w:ind w:left="1471" w:right="0" w:firstLine="0"/>
        <w:jc w:val="left"/>
        <w:rPr>
          <w:rFonts w:ascii="Arial" w:hAnsi="Arial"/>
          <w:sz w:val="11"/>
        </w:rPr>
      </w:pPr>
      <w:r>
        <w:rPr/>
        <w:pict>
          <v:shape style="position:absolute;margin-left:253.259995pt;margin-top:12.129994pt;width:5.35pt;height:5.5pt;mso-position-horizontal-relative:page;mso-position-vertical-relative:paragraph;z-index:-718024" type="#_x0000_t202" filled="false" stroked="false">
            <v:textbox inset="0,0,0,0">
              <w:txbxContent>
                <w:p>
                  <w:pPr>
                    <w:spacing w:line="110" w:lineRule="exact" w:before="0"/>
                    <w:ind w:left="0" w:right="-17" w:firstLine="0"/>
                    <w:jc w:val="left"/>
                    <w:rPr>
                      <w:rFonts w:ascii="Arial"/>
                      <w:sz w:val="11"/>
                    </w:rPr>
                  </w:pPr>
                  <w:r>
                    <w:rPr>
                      <w:rFonts w:ascii="Arial"/>
                      <w:w w:val="170"/>
                      <w:sz w:val="11"/>
                    </w:rPr>
                    <w:t>],</w:t>
                  </w:r>
                </w:p>
              </w:txbxContent>
            </v:textbox>
            <w10:wrap type="none"/>
          </v:shape>
        </w:pict>
      </w:r>
      <w:r>
        <w:rPr>
          <w:b/>
          <w:i/>
          <w:w w:val="120"/>
          <w:sz w:val="16"/>
        </w:rPr>
        <w:t>nq;u  </w:t>
      </w:r>
      <w:r>
        <w:rPr>
          <w:sz w:val="26"/>
        </w:rPr>
        <w:t>= </w:t>
      </w:r>
      <w:r>
        <w:rPr>
          <w:b/>
          <w:w w:val="120"/>
          <w:sz w:val="21"/>
        </w:rPr>
        <w:t>3, </w:t>
      </w:r>
      <w:r>
        <w:rPr>
          <w:sz w:val="21"/>
        </w:rPr>
        <w:t>·</w:t>
      </w:r>
      <w:r>
        <w:rPr>
          <w:b/>
          <w:i/>
          <w:sz w:val="16"/>
        </w:rPr>
        <w:t>,aq=:r   </w:t>
      </w:r>
      <w:r>
        <w:rPr>
          <w:sz w:val="23"/>
        </w:rPr>
        <w:t>=   </w:t>
      </w:r>
      <w:r>
        <w:rPr>
          <w:b/>
          <w:w w:val="120"/>
          <w:sz w:val="20"/>
        </w:rPr>
        <w:t>Í </w:t>
      </w:r>
      <w:r>
        <w:rPr>
          <w:b/>
          <w:sz w:val="21"/>
        </w:rPr>
        <w:t>[l </w:t>
      </w:r>
      <w:r>
        <w:rPr>
          <w:w w:val="235"/>
          <w:sz w:val="21"/>
        </w:rPr>
        <w:t>- </w:t>
      </w:r>
      <w:r>
        <w:rPr>
          <w:b/>
          <w:i/>
          <w:sz w:val="16"/>
        </w:rPr>
        <w:t>("Pz ) </w:t>
      </w:r>
      <w:r>
        <w:rPr>
          <w:rFonts w:ascii="Arial" w:hAnsi="Arial"/>
          <w:position w:val="12"/>
          <w:sz w:val="11"/>
        </w:rPr>
        <w:t>3</w:t>
      </w:r>
    </w:p>
    <w:p>
      <w:pPr>
        <w:spacing w:before="100"/>
        <w:ind w:left="139" w:right="0" w:firstLine="0"/>
        <w:jc w:val="left"/>
        <w:rPr>
          <w:sz w:val="21"/>
        </w:rPr>
      </w:pPr>
      <w:r>
        <w:rPr/>
        <w:drawing>
          <wp:anchor distT="0" distB="0" distL="0" distR="0" allowOverlap="1" layoutInCell="1" locked="0" behindDoc="0" simplePos="0" relativeHeight="18016">
            <wp:simplePos x="0" y="0"/>
            <wp:positionH relativeFrom="page">
              <wp:posOffset>1161288</wp:posOffset>
            </wp:positionH>
            <wp:positionV relativeFrom="paragraph">
              <wp:posOffset>304580</wp:posOffset>
            </wp:positionV>
            <wp:extent cx="1234440" cy="283463"/>
            <wp:effectExtent l="0" t="0" r="0" b="0"/>
            <wp:wrapTopAndBottom/>
            <wp:docPr id="491" name="image251.png" descr=""/>
            <wp:cNvGraphicFramePr>
              <a:graphicFrameLocks noChangeAspect="1"/>
            </wp:cNvGraphicFramePr>
            <a:graphic>
              <a:graphicData uri="http://schemas.openxmlformats.org/drawingml/2006/picture">
                <pic:pic>
                  <pic:nvPicPr>
                    <pic:cNvPr id="492" name="image251.png"/>
                    <pic:cNvPicPr/>
                  </pic:nvPicPr>
                  <pic:blipFill>
                    <a:blip r:embed="rId255" cstate="print"/>
                    <a:stretch>
                      <a:fillRect/>
                    </a:stretch>
                  </pic:blipFill>
                  <pic:spPr>
                    <a:xfrm>
                      <a:off x="0" y="0"/>
                      <a:ext cx="1234440" cy="283463"/>
                    </a:xfrm>
                    <a:prstGeom prst="rect">
                      <a:avLst/>
                    </a:prstGeom>
                  </pic:spPr>
                </pic:pic>
              </a:graphicData>
            </a:graphic>
          </wp:anchor>
        </w:drawing>
      </w:r>
      <w:r>
        <w:rPr>
          <w:w w:val="105"/>
          <w:sz w:val="21"/>
        </w:rPr>
        <w:t>Using the integraf </w:t>
      </w:r>
      <w:r>
        <w:rPr>
          <w:w w:val="105"/>
          <w:sz w:val="19"/>
        </w:rPr>
        <w:t>form, </w:t>
      </w:r>
      <w:r>
        <w:rPr>
          <w:w w:val="105"/>
          <w:sz w:val="21"/>
        </w:rPr>
        <w:t>we  have</w:t>
      </w:r>
    </w:p>
    <w:p>
      <w:pPr>
        <w:spacing w:line="524" w:lineRule="exact" w:before="0"/>
        <w:ind w:left="293" w:right="1208" w:firstLine="0"/>
        <w:jc w:val="center"/>
        <w:rPr>
          <w:i/>
          <w:sz w:val="20"/>
        </w:rPr>
      </w:pPr>
      <w:r>
        <w:rPr>
          <w:w w:val="101"/>
          <w:sz w:val="23"/>
        </w:rPr>
        <w:t>=</w:t>
      </w:r>
      <w:r>
        <w:rPr>
          <w:sz w:val="23"/>
        </w:rPr>
        <w:t> </w:t>
      </w:r>
      <w:r>
        <w:rPr>
          <w:spacing w:val="-21"/>
          <w:sz w:val="23"/>
        </w:rPr>
        <w:t> </w:t>
      </w:r>
      <w:r>
        <w:rPr>
          <w:rFonts w:ascii="Arial"/>
          <w:w w:val="102"/>
          <w:sz w:val="55"/>
        </w:rPr>
        <w:t>f'</w:t>
      </w:r>
      <w:r>
        <w:rPr>
          <w:rFonts w:ascii="Arial"/>
          <w:spacing w:val="-87"/>
          <w:sz w:val="55"/>
        </w:rPr>
        <w:t> </w:t>
      </w:r>
      <w:r>
        <w:rPr>
          <w:w w:val="120"/>
          <w:sz w:val="20"/>
        </w:rPr>
        <w:t>(,</w:t>
      </w:r>
      <w:r>
        <w:rPr>
          <w:spacing w:val="-14"/>
          <w:w w:val="120"/>
          <w:sz w:val="20"/>
        </w:rPr>
        <w:t>p</w:t>
      </w:r>
      <w:r>
        <w:rPr>
          <w:w w:val="58"/>
          <w:sz w:val="20"/>
        </w:rPr>
        <w:t>:</w:t>
      </w:r>
      <w:r>
        <w:rPr>
          <w:spacing w:val="14"/>
          <w:w w:val="58"/>
          <w:sz w:val="20"/>
        </w:rPr>
        <w:t>r</w:t>
      </w:r>
      <w:r>
        <w:rPr>
          <w:w w:val="74"/>
          <w:sz w:val="20"/>
        </w:rPr>
        <w:t>)2,</w:t>
      </w:r>
      <w:r>
        <w:rPr>
          <w:w w:val="74"/>
          <w:sz w:val="20"/>
        </w:rPr>
        <w:t>Ps_!'</w:t>
      </w:r>
      <w:r>
        <w:rPr>
          <w:sz w:val="20"/>
        </w:rPr>
        <w:t> </w:t>
      </w:r>
      <w:r>
        <w:rPr>
          <w:spacing w:val="-13"/>
          <w:sz w:val="20"/>
        </w:rPr>
        <w:t> </w:t>
      </w:r>
      <w:r>
        <w:rPr>
          <w:w w:val="97"/>
          <w:sz w:val="20"/>
        </w:rPr>
        <w:t>+'</w:t>
      </w:r>
      <w:r>
        <w:rPr>
          <w:spacing w:val="20"/>
          <w:sz w:val="20"/>
        </w:rPr>
        <w:t> </w:t>
      </w:r>
      <w:r>
        <w:rPr>
          <w:i/>
          <w:w w:val="94"/>
          <w:sz w:val="20"/>
        </w:rPr>
        <w:t>dt</w:t>
      </w:r>
    </w:p>
    <w:p>
      <w:pPr>
        <w:spacing w:line="489" w:lineRule="exact" w:before="0"/>
        <w:ind w:left="1924" w:right="0" w:firstLine="0"/>
        <w:jc w:val="left"/>
        <w:rPr>
          <w:b/>
          <w:i/>
          <w:sz w:val="16"/>
        </w:rPr>
      </w:pPr>
      <w:r>
        <w:rPr>
          <w:rFonts w:ascii="Arial"/>
          <w:w w:val="98"/>
          <w:sz w:val="51"/>
        </w:rPr>
        <w:t>-</w:t>
      </w:r>
      <w:r>
        <w:rPr>
          <w:rFonts w:ascii="Arial"/>
          <w:spacing w:val="-73"/>
          <w:sz w:val="51"/>
        </w:rPr>
        <w:t> </w:t>
      </w:r>
      <w:r>
        <w:rPr>
          <w:rFonts w:ascii="Arial"/>
          <w:b/>
          <w:i/>
          <w:w w:val="63"/>
          <w:sz w:val="51"/>
        </w:rPr>
        <w:t>f</w:t>
      </w:r>
      <w:r>
        <w:rPr>
          <w:rFonts w:ascii="Arial"/>
          <w:b/>
          <w:i/>
          <w:spacing w:val="-82"/>
          <w:sz w:val="51"/>
        </w:rPr>
        <w:t> </w:t>
      </w:r>
      <w:r>
        <w:rPr>
          <w:b/>
          <w:i/>
          <w:w w:val="128"/>
          <w:sz w:val="16"/>
        </w:rPr>
        <w:t>t-n</w:t>
      </w:r>
      <w:r>
        <w:rPr>
          <w:b/>
          <w:i/>
          <w:sz w:val="16"/>
        </w:rPr>
        <w:t> </w:t>
      </w:r>
      <w:r>
        <w:rPr>
          <w:b/>
          <w:i/>
          <w:spacing w:val="14"/>
          <w:sz w:val="16"/>
        </w:rPr>
        <w:t> </w:t>
      </w:r>
      <w:r>
        <w:rPr>
          <w:b/>
          <w:w w:val="110"/>
          <w:sz w:val="20"/>
        </w:rPr>
        <w:t>(</w:t>
      </w:r>
      <w:r>
        <w:rPr>
          <w:b/>
          <w:w w:val="110"/>
          <w:sz w:val="20"/>
        </w:rPr>
        <w:t>,</w:t>
      </w:r>
      <w:r>
        <w:rPr>
          <w:b/>
          <w:spacing w:val="-12"/>
          <w:w w:val="110"/>
          <w:sz w:val="20"/>
        </w:rPr>
        <w:t>p</w:t>
      </w:r>
      <w:r>
        <w:rPr>
          <w:b/>
          <w:w w:val="45"/>
          <w:sz w:val="20"/>
        </w:rPr>
        <w:t>:r</w:t>
      </w:r>
      <w:r>
        <w:rPr>
          <w:b/>
          <w:spacing w:val="-32"/>
          <w:sz w:val="20"/>
        </w:rPr>
        <w:t> </w:t>
      </w:r>
      <w:r>
        <w:rPr>
          <w:b/>
          <w:w w:val="85"/>
          <w:sz w:val="20"/>
        </w:rPr>
        <w:t>)2d(</w:t>
      </w:r>
      <w:r>
        <w:rPr>
          <w:b/>
          <w:spacing w:val="-5"/>
          <w:sz w:val="20"/>
        </w:rPr>
        <w:t> </w:t>
      </w:r>
      <w:r>
        <w:rPr>
          <w:b/>
          <w:i/>
          <w:w w:val="102"/>
          <w:sz w:val="16"/>
        </w:rPr>
        <w:t>tPz</w:t>
      </w:r>
      <w:r>
        <w:rPr>
          <w:b/>
          <w:i/>
          <w:spacing w:val="-10"/>
          <w:sz w:val="16"/>
        </w:rPr>
        <w:t> </w:t>
      </w:r>
      <w:r>
        <w:rPr>
          <w:b/>
          <w:i/>
          <w:w w:val="85"/>
          <w:sz w:val="16"/>
        </w:rPr>
        <w:t>)</w:t>
      </w:r>
    </w:p>
    <w:p>
      <w:pPr>
        <w:spacing w:line="213" w:lineRule="exact" w:before="0"/>
        <w:ind w:left="293" w:right="1539" w:firstLine="0"/>
        <w:jc w:val="center"/>
        <w:rPr>
          <w:rFonts w:ascii="Courier New"/>
          <w:sz w:val="25"/>
        </w:rPr>
      </w:pPr>
      <w:r>
        <w:rPr>
          <w:rFonts w:ascii="Courier New"/>
          <w:w w:val="75"/>
          <w:sz w:val="25"/>
        </w:rPr>
        <w:t>,-o</w:t>
      </w:r>
    </w:p>
    <w:p>
      <w:pPr>
        <w:spacing w:before="4"/>
        <w:ind w:left="1917" w:right="0" w:firstLine="0"/>
        <w:jc w:val="left"/>
        <w:rPr>
          <w:b/>
          <w:sz w:val="12"/>
        </w:rPr>
      </w:pPr>
      <w:r>
        <w:rPr>
          <w:spacing w:val="16"/>
          <w:w w:val="65"/>
          <w:sz w:val="27"/>
        </w:rPr>
        <w:t>[</w:t>
      </w:r>
      <w:r>
        <w:rPr>
          <w:w w:val="203"/>
          <w:sz w:val="27"/>
        </w:rPr>
        <w:t>-</w:t>
      </w:r>
      <w:r>
        <w:rPr>
          <w:spacing w:val="-10"/>
          <w:sz w:val="27"/>
        </w:rPr>
        <w:t> </w:t>
      </w:r>
      <w:r>
        <w:rPr>
          <w:w w:val="74"/>
          <w:sz w:val="27"/>
        </w:rPr>
        <w:t>73</w:t>
      </w:r>
      <w:r>
        <w:rPr>
          <w:spacing w:val="6"/>
          <w:sz w:val="27"/>
        </w:rPr>
        <w:t> </w:t>
      </w:r>
      <w:r>
        <w:rPr>
          <w:w w:val="107"/>
          <w:sz w:val="20"/>
        </w:rPr>
        <w:t>(</w:t>
      </w:r>
      <w:r>
        <w:rPr>
          <w:w w:val="107"/>
          <w:sz w:val="20"/>
        </w:rPr>
        <w:t>,pz</w:t>
      </w:r>
      <w:r>
        <w:rPr>
          <w:spacing w:val="8"/>
          <w:w w:val="107"/>
          <w:sz w:val="20"/>
        </w:rPr>
        <w:t>)</w:t>
      </w:r>
      <w:r>
        <w:rPr>
          <w:rFonts w:ascii="Arial"/>
          <w:spacing w:val="-2"/>
          <w:w w:val="95"/>
          <w:position w:val="10"/>
          <w:sz w:val="11"/>
        </w:rPr>
        <w:t>3</w:t>
      </w:r>
      <w:r>
        <w:rPr>
          <w:rFonts w:ascii="Arial"/>
          <w:w w:val="465"/>
          <w:sz w:val="11"/>
        </w:rPr>
        <w:t>]</w:t>
      </w:r>
      <w:r>
        <w:rPr>
          <w:rFonts w:ascii="Arial"/>
          <w:sz w:val="11"/>
        </w:rPr>
        <w:t>   </w:t>
      </w:r>
      <w:r>
        <w:rPr>
          <w:rFonts w:ascii="Arial"/>
          <w:spacing w:val="-13"/>
          <w:sz w:val="11"/>
        </w:rPr>
        <w:t> </w:t>
      </w:r>
      <w:r>
        <w:rPr>
          <w:w w:val="94"/>
          <w:sz w:val="24"/>
        </w:rPr>
        <w:t>=</w:t>
      </w:r>
      <w:r>
        <w:rPr>
          <w:sz w:val="24"/>
        </w:rPr>
        <w:t> </w:t>
      </w:r>
      <w:r>
        <w:rPr>
          <w:spacing w:val="-8"/>
          <w:sz w:val="24"/>
        </w:rPr>
        <w:t> </w:t>
      </w:r>
      <w:r>
        <w:rPr>
          <w:w w:val="72"/>
          <w:sz w:val="27"/>
        </w:rPr>
        <w:t>73</w:t>
      </w:r>
      <w:r>
        <w:rPr>
          <w:sz w:val="27"/>
        </w:rPr>
        <w:t> </w:t>
      </w:r>
      <w:r>
        <w:rPr>
          <w:w w:val="117"/>
          <w:sz w:val="20"/>
        </w:rPr>
        <w:t>[l</w:t>
      </w:r>
      <w:r>
        <w:rPr>
          <w:sz w:val="20"/>
        </w:rPr>
        <w:t> </w:t>
      </w:r>
      <w:r>
        <w:rPr>
          <w:spacing w:val="-7"/>
          <w:sz w:val="20"/>
        </w:rPr>
        <w:t> </w:t>
      </w:r>
      <w:r>
        <w:rPr>
          <w:w w:val="274"/>
          <w:sz w:val="20"/>
        </w:rPr>
        <w:t>-</w:t>
      </w:r>
      <w:r>
        <w:rPr>
          <w:spacing w:val="22"/>
          <w:sz w:val="20"/>
        </w:rPr>
        <w:t> </w:t>
      </w:r>
      <w:r>
        <w:rPr>
          <w:b/>
          <w:w w:val="100"/>
          <w:sz w:val="19"/>
        </w:rPr>
        <w:t>(</w:t>
      </w:r>
      <w:r>
        <w:rPr>
          <w:b/>
          <w:w w:val="100"/>
          <w:sz w:val="19"/>
        </w:rPr>
        <w:t>"</w:t>
      </w:r>
      <w:r>
        <w:rPr>
          <w:b/>
          <w:spacing w:val="-8"/>
          <w:w w:val="100"/>
          <w:sz w:val="19"/>
        </w:rPr>
        <w:t>p</w:t>
      </w:r>
      <w:r>
        <w:rPr>
          <w:b/>
          <w:w w:val="45"/>
          <w:sz w:val="19"/>
        </w:rPr>
        <w:t>:r</w:t>
      </w:r>
      <w:r>
        <w:rPr>
          <w:b/>
          <w:spacing w:val="-29"/>
          <w:sz w:val="19"/>
        </w:rPr>
        <w:t> </w:t>
      </w:r>
      <w:r>
        <w:rPr>
          <w:b/>
          <w:spacing w:val="9"/>
          <w:w w:val="98"/>
          <w:sz w:val="19"/>
        </w:rPr>
        <w:t>)</w:t>
      </w:r>
      <w:r>
        <w:rPr>
          <w:b/>
          <w:spacing w:val="7"/>
          <w:w w:val="90"/>
          <w:position w:val="11"/>
          <w:sz w:val="12"/>
        </w:rPr>
        <w:t>3</w:t>
      </w:r>
      <w:r>
        <w:rPr>
          <w:b/>
          <w:w w:val="139"/>
          <w:sz w:val="12"/>
        </w:rPr>
        <w:t>].</w:t>
      </w:r>
    </w:p>
    <w:p>
      <w:pPr>
        <w:spacing w:after="0"/>
        <w:jc w:val="left"/>
        <w:rPr>
          <w:sz w:val="12"/>
        </w:rPr>
        <w:sectPr>
          <w:type w:val="continuous"/>
          <w:pgSz w:w="7200" w:h="11340"/>
          <w:pgMar w:top="1100" w:bottom="0" w:left="660" w:right="520"/>
        </w:sectPr>
      </w:pPr>
    </w:p>
    <w:p>
      <w:pPr>
        <w:tabs>
          <w:tab w:pos="956" w:val="left" w:leader="none"/>
          <w:tab w:pos="5765" w:val="right" w:leader="none"/>
        </w:tabs>
        <w:spacing w:before="45"/>
        <w:ind w:left="21" w:right="0" w:firstLine="0"/>
        <w:jc w:val="center"/>
        <w:rPr>
          <w:rFonts w:ascii="Arial" w:hAnsi="Arial"/>
          <w:sz w:val="19"/>
        </w:rPr>
      </w:pPr>
      <w:r>
        <w:rPr>
          <w:b/>
          <w:sz w:val="15"/>
        </w:rPr>
        <w:t>SEC. </w:t>
      </w:r>
      <w:r>
        <w:rPr>
          <w:b/>
          <w:spacing w:val="28"/>
          <w:sz w:val="15"/>
        </w:rPr>
        <w:t> </w:t>
      </w:r>
      <w:r>
        <w:rPr>
          <w:b/>
          <w:sz w:val="21"/>
        </w:rPr>
        <w:t>3]</w:t>
        <w:tab/>
      </w:r>
      <w:r>
        <w:rPr>
          <w:b/>
          <w:sz w:val="15"/>
        </w:rPr>
        <w:t>EVALUATION· 011' </w:t>
      </w:r>
      <w:r>
        <w:rPr>
          <w:b/>
          <w:spacing w:val="35"/>
          <w:sz w:val="15"/>
        </w:rPr>
        <w:t> </w:t>
      </w:r>
      <w:r>
        <w:rPr>
          <w:b/>
          <w:sz w:val="15"/>
        </w:rPr>
        <w:t>CONTINGENT </w:t>
      </w:r>
      <w:r>
        <w:rPr>
          <w:b/>
          <w:spacing w:val="35"/>
          <w:sz w:val="15"/>
        </w:rPr>
        <w:t> </w:t>
      </w:r>
      <w:r>
        <w:rPr>
          <w:b/>
          <w:sz w:val="15"/>
        </w:rPr>
        <w:t>PROBABILITIES</w:t>
      </w:r>
      <w:r>
        <w:rPr>
          <w:rFonts w:ascii="Arial" w:hAnsi="Arial"/>
          <w:position w:val="1"/>
          <w:sz w:val="19"/>
        </w:rPr>
        <w:tab/>
        <w:t>229</w:t>
      </w:r>
    </w:p>
    <w:p>
      <w:pPr>
        <w:pStyle w:val="BodyText"/>
        <w:rPr>
          <w:rFonts w:ascii="Arial"/>
        </w:rPr>
      </w:pPr>
    </w:p>
    <w:p>
      <w:pPr>
        <w:spacing w:before="0"/>
        <w:ind w:left="124" w:right="206" w:firstLine="7"/>
        <w:jc w:val="left"/>
        <w:rPr>
          <w:sz w:val="21"/>
        </w:rPr>
      </w:pPr>
      <w:r>
        <w:rPr>
          <w:w w:val="105"/>
          <w:sz w:val="21"/>
        </w:rPr>
        <w:t>It is important to distinguish this probability from two others  that are</w:t>
      </w:r>
      <w:r>
        <w:rPr>
          <w:spacing w:val="22"/>
          <w:w w:val="105"/>
          <w:sz w:val="21"/>
        </w:rPr>
        <w:t> </w:t>
      </w:r>
      <w:r>
        <w:rPr>
          <w:w w:val="105"/>
          <w:sz w:val="21"/>
        </w:rPr>
        <w:t>similar.</w:t>
      </w:r>
    </w:p>
    <w:p>
      <w:pPr>
        <w:pStyle w:val="ListParagraph"/>
        <w:numPr>
          <w:ilvl w:val="1"/>
          <w:numId w:val="103"/>
        </w:numPr>
        <w:tabs>
          <w:tab w:pos="719" w:val="left" w:leader="none"/>
        </w:tabs>
        <w:spacing w:line="240" w:lineRule="auto" w:before="0" w:after="0"/>
        <w:ind w:left="117" w:right="110" w:firstLine="241"/>
        <w:jc w:val="both"/>
        <w:rPr>
          <w:sz w:val="21"/>
        </w:rPr>
      </w:pPr>
      <w:r>
        <w:rPr/>
        <w:drawing>
          <wp:anchor distT="0" distB="0" distL="0" distR="0" allowOverlap="1" layoutInCell="1" locked="0" behindDoc="1" simplePos="0" relativeHeight="267717455">
            <wp:simplePos x="0" y="0"/>
            <wp:positionH relativeFrom="page">
              <wp:posOffset>1554480</wp:posOffset>
            </wp:positionH>
            <wp:positionV relativeFrom="paragraph">
              <wp:posOffset>549690</wp:posOffset>
            </wp:positionV>
            <wp:extent cx="1600200" cy="283463"/>
            <wp:effectExtent l="0" t="0" r="0" b="0"/>
            <wp:wrapNone/>
            <wp:docPr id="493" name="image252.png" descr=""/>
            <wp:cNvGraphicFramePr>
              <a:graphicFrameLocks noChangeAspect="1"/>
            </wp:cNvGraphicFramePr>
            <a:graphic>
              <a:graphicData uri="http://schemas.openxmlformats.org/drawingml/2006/picture">
                <pic:pic>
                  <pic:nvPicPr>
                    <pic:cNvPr id="494" name="image252.png"/>
                    <pic:cNvPicPr/>
                  </pic:nvPicPr>
                  <pic:blipFill>
                    <a:blip r:embed="rId256" cstate="print"/>
                    <a:stretch>
                      <a:fillRect/>
                    </a:stretch>
                  </pic:blipFill>
                  <pic:spPr>
                    <a:xfrm>
                      <a:off x="0" y="0"/>
                      <a:ext cx="1600200" cy="283463"/>
                    </a:xfrm>
                    <a:prstGeom prst="rect">
                      <a:avLst/>
                    </a:prstGeom>
                  </pic:spPr>
                </pic:pic>
              </a:graphicData>
            </a:graphic>
          </wp:anchor>
        </w:drawing>
      </w:r>
      <w:r>
        <w:rPr>
          <w:sz w:val="21"/>
        </w:rPr>
        <w:t>If the failing life is not specified, the probability  that  the first death occurs within </w:t>
      </w:r>
      <w:r>
        <w:rPr>
          <w:i/>
          <w:sz w:val="21"/>
        </w:rPr>
        <w:t>n </w:t>
      </w:r>
      <w:r>
        <w:rPr>
          <w:sz w:val="21"/>
        </w:rPr>
        <w:t>years is simply the probability that the joint-life  status fails within  </w:t>
      </w:r>
      <w:r>
        <w:rPr>
          <w:i/>
          <w:sz w:val="21"/>
        </w:rPr>
        <w:t>n </w:t>
      </w:r>
      <w:r>
        <w:rPr>
          <w:i/>
          <w:spacing w:val="14"/>
          <w:sz w:val="21"/>
        </w:rPr>
        <w:t> </w:t>
      </w:r>
      <w:r>
        <w:rPr>
          <w:sz w:val="21"/>
        </w:rPr>
        <w:t>years:</w:t>
      </w:r>
    </w:p>
    <w:p>
      <w:pPr>
        <w:pStyle w:val="BodyText"/>
      </w:pPr>
    </w:p>
    <w:p>
      <w:pPr>
        <w:pStyle w:val="BodyText"/>
        <w:spacing w:before="5"/>
      </w:pPr>
    </w:p>
    <w:p>
      <w:pPr>
        <w:spacing w:before="0"/>
        <w:ind w:left="264" w:right="87" w:firstLine="0"/>
        <w:jc w:val="center"/>
        <w:rPr>
          <w:i/>
          <w:sz w:val="21"/>
        </w:rPr>
      </w:pPr>
      <w:r>
        <w:rPr>
          <w:w w:val="95"/>
          <w:sz w:val="23"/>
        </w:rPr>
        <w:t>= </w:t>
      </w:r>
      <w:r>
        <w:rPr>
          <w:i/>
          <w:spacing w:val="3"/>
          <w:w w:val="95"/>
          <w:sz w:val="59"/>
        </w:rPr>
        <w:t>l•</w:t>
      </w:r>
      <w:r>
        <w:rPr>
          <w:i/>
          <w:spacing w:val="-121"/>
          <w:w w:val="95"/>
          <w:sz w:val="59"/>
        </w:rPr>
        <w:t> </w:t>
      </w:r>
      <w:r>
        <w:rPr>
          <w:i/>
          <w:w w:val="95"/>
          <w:sz w:val="21"/>
        </w:rPr>
        <w:t>aP=z </w:t>
      </w:r>
      <w:r>
        <w:rPr>
          <w:spacing w:val="-5"/>
          <w:w w:val="95"/>
          <w:sz w:val="21"/>
        </w:rPr>
        <w:t>·</w:t>
      </w:r>
      <w:r>
        <w:rPr>
          <w:i/>
          <w:spacing w:val="-5"/>
          <w:w w:val="95"/>
          <w:sz w:val="17"/>
        </w:rPr>
        <w:t>3µs+t </w:t>
      </w:r>
      <w:r>
        <w:rPr>
          <w:i/>
          <w:w w:val="95"/>
          <w:sz w:val="21"/>
        </w:rPr>
        <w:t>dt</w:t>
      </w:r>
    </w:p>
    <w:p>
      <w:pPr>
        <w:spacing w:before="148"/>
        <w:ind w:left="2245" w:right="739" w:firstLine="0"/>
        <w:jc w:val="left"/>
        <w:rPr>
          <w:b/>
          <w:i/>
          <w:sz w:val="21"/>
        </w:rPr>
      </w:pPr>
      <w:r>
        <w:rPr>
          <w:rFonts w:ascii="Arial"/>
          <w:w w:val="145"/>
          <w:sz w:val="17"/>
        </w:rPr>
        <w:t>= </w:t>
      </w:r>
      <w:r>
        <w:rPr>
          <w:b/>
          <w:i/>
          <w:sz w:val="21"/>
        </w:rPr>
        <w:t>3nq!u </w:t>
      </w:r>
      <w:r>
        <w:rPr>
          <w:rFonts w:ascii="Arial"/>
          <w:w w:val="145"/>
          <w:sz w:val="17"/>
        </w:rPr>
        <w:t>= </w:t>
      </w:r>
      <w:r>
        <w:rPr>
          <w:b/>
          <w:sz w:val="20"/>
        </w:rPr>
        <w:t>1 </w:t>
      </w:r>
      <w:r>
        <w:rPr>
          <w:w w:val="245"/>
          <w:sz w:val="20"/>
        </w:rPr>
        <w:t>-</w:t>
      </w:r>
      <w:r>
        <w:rPr>
          <w:spacing w:val="-80"/>
          <w:w w:val="245"/>
          <w:sz w:val="20"/>
        </w:rPr>
        <w:t> </w:t>
      </w:r>
      <w:r>
        <w:rPr>
          <w:b/>
          <w:i/>
          <w:sz w:val="21"/>
        </w:rPr>
        <w:t>( nPz )3.</w:t>
      </w:r>
    </w:p>
    <w:p>
      <w:pPr>
        <w:numPr>
          <w:ilvl w:val="1"/>
          <w:numId w:val="103"/>
        </w:numPr>
        <w:tabs>
          <w:tab w:pos="716" w:val="left" w:leader="none"/>
        </w:tabs>
        <w:spacing w:line="242" w:lineRule="auto" w:before="111"/>
        <w:ind w:left="124" w:right="113" w:firstLine="234"/>
        <w:jc w:val="both"/>
        <w:rPr>
          <w:sz w:val="21"/>
        </w:rPr>
      </w:pPr>
      <w:r>
        <w:rPr>
          <w:sz w:val="21"/>
        </w:rPr>
        <w:t>The probability that a specified life dies within </w:t>
      </w:r>
      <w:r>
        <w:rPr>
          <w:i/>
          <w:sz w:val="20"/>
        </w:rPr>
        <w:t>n </w:t>
      </w:r>
      <w:r>
        <w:rPr>
          <w:sz w:val="21"/>
        </w:rPr>
        <w:t>ycars an&lt;l the other two survive the n-year  period</w:t>
      </w:r>
      <w:r>
        <w:rPr>
          <w:spacing w:val="51"/>
          <w:sz w:val="21"/>
        </w:rPr>
        <w:t> </w:t>
      </w:r>
      <w:r>
        <w:rPr>
          <w:sz w:val="21"/>
        </w:rPr>
        <w:t>is</w:t>
      </w:r>
    </w:p>
    <w:p>
      <w:pPr>
        <w:spacing w:line="530" w:lineRule="exact" w:before="0"/>
        <w:ind w:left="20" w:right="0" w:firstLine="0"/>
        <w:jc w:val="center"/>
        <w:rPr>
          <w:rFonts w:ascii="Arial" w:hAnsi="Arial"/>
          <w:sz w:val="22"/>
        </w:rPr>
      </w:pPr>
      <w:r>
        <w:rPr>
          <w:rFonts w:ascii="Arial" w:hAnsi="Arial"/>
          <w:b/>
          <w:i/>
          <w:spacing w:val="24"/>
          <w:w w:val="86"/>
          <w:sz w:val="57"/>
        </w:rPr>
        <w:t>l</w:t>
      </w:r>
      <w:r>
        <w:rPr>
          <w:rFonts w:ascii="Arial" w:hAnsi="Arial"/>
          <w:b/>
          <w:i/>
          <w:w w:val="33"/>
          <w:sz w:val="57"/>
        </w:rPr>
        <w:t>"</w:t>
      </w:r>
      <w:r>
        <w:rPr>
          <w:rFonts w:ascii="Arial" w:hAnsi="Arial"/>
          <w:b/>
          <w:i/>
          <w:spacing w:val="-96"/>
          <w:sz w:val="57"/>
        </w:rPr>
        <w:t> </w:t>
      </w:r>
      <w:r>
        <w:rPr>
          <w:b/>
          <w:i/>
          <w:w w:val="106"/>
          <w:sz w:val="16"/>
        </w:rPr>
        <w:t>tPzµz+t</w:t>
      </w:r>
      <w:r>
        <w:rPr>
          <w:b/>
          <w:i/>
          <w:sz w:val="16"/>
        </w:rPr>
        <w:t> </w:t>
      </w:r>
      <w:r>
        <w:rPr>
          <w:b/>
          <w:i/>
          <w:spacing w:val="-19"/>
          <w:sz w:val="16"/>
        </w:rPr>
        <w:t> </w:t>
      </w:r>
      <w:r>
        <w:rPr>
          <w:spacing w:val="-24"/>
          <w:w w:val="172"/>
          <w:sz w:val="16"/>
        </w:rPr>
        <w:t>·</w:t>
      </w:r>
      <w:r>
        <w:rPr>
          <w:b/>
          <w:i/>
          <w:w w:val="96"/>
          <w:sz w:val="16"/>
        </w:rPr>
        <w:t>nP:u</w:t>
      </w:r>
      <w:r>
        <w:rPr>
          <w:b/>
          <w:i/>
          <w:sz w:val="16"/>
        </w:rPr>
        <w:t> </w:t>
      </w:r>
      <w:r>
        <w:rPr>
          <w:b/>
          <w:i/>
          <w:spacing w:val="-11"/>
          <w:sz w:val="16"/>
        </w:rPr>
        <w:t> </w:t>
      </w:r>
      <w:r>
        <w:rPr>
          <w:b/>
          <w:i/>
          <w:w w:val="86"/>
          <w:sz w:val="21"/>
        </w:rPr>
        <w:t>dt</w:t>
      </w:r>
      <w:r>
        <w:rPr>
          <w:b/>
          <w:i/>
          <w:sz w:val="21"/>
        </w:rPr>
        <w:t> </w:t>
      </w:r>
      <w:r>
        <w:rPr>
          <w:b/>
          <w:i/>
          <w:spacing w:val="5"/>
          <w:sz w:val="21"/>
        </w:rPr>
        <w:t> </w:t>
      </w:r>
      <w:r>
        <w:rPr>
          <w:w w:val="101"/>
          <w:sz w:val="23"/>
        </w:rPr>
        <w:t>=</w:t>
      </w:r>
      <w:r>
        <w:rPr>
          <w:sz w:val="23"/>
        </w:rPr>
        <w:t> </w:t>
      </w:r>
      <w:r>
        <w:rPr>
          <w:spacing w:val="-17"/>
          <w:sz w:val="23"/>
        </w:rPr>
        <w:t> </w:t>
      </w:r>
      <w:r>
        <w:rPr>
          <w:b/>
          <w:i/>
          <w:w w:val="99"/>
          <w:sz w:val="16"/>
        </w:rPr>
        <w:t>nqz</w:t>
      </w:r>
      <w:r>
        <w:rPr>
          <w:b/>
          <w:i/>
          <w:spacing w:val="-2"/>
          <w:sz w:val="16"/>
        </w:rPr>
        <w:t> </w:t>
      </w:r>
      <w:r>
        <w:rPr>
          <w:w w:val="70"/>
          <w:sz w:val="16"/>
        </w:rPr>
        <w:t>•</w:t>
      </w:r>
      <w:r>
        <w:rPr>
          <w:spacing w:val="-19"/>
          <w:sz w:val="16"/>
        </w:rPr>
        <w:t> </w:t>
      </w:r>
      <w:r>
        <w:rPr>
          <w:b/>
          <w:i/>
          <w:w w:val="101"/>
          <w:sz w:val="16"/>
        </w:rPr>
        <w:t>nPzz</w:t>
      </w:r>
      <w:r>
        <w:rPr>
          <w:b/>
          <w:i/>
          <w:sz w:val="16"/>
        </w:rPr>
        <w:t>  </w:t>
      </w:r>
      <w:r>
        <w:rPr>
          <w:b/>
          <w:i/>
          <w:spacing w:val="-17"/>
          <w:sz w:val="16"/>
        </w:rPr>
        <w:t> </w:t>
      </w:r>
      <w:r>
        <w:rPr>
          <w:w w:val="104"/>
          <w:sz w:val="23"/>
        </w:rPr>
        <w:t>=</w:t>
      </w:r>
      <w:r>
        <w:rPr>
          <w:sz w:val="23"/>
        </w:rPr>
        <w:t> </w:t>
      </w:r>
      <w:r>
        <w:rPr>
          <w:spacing w:val="4"/>
          <w:sz w:val="23"/>
        </w:rPr>
        <w:t> </w:t>
      </w:r>
      <w:r>
        <w:rPr>
          <w:w w:val="78"/>
          <w:sz w:val="23"/>
        </w:rPr>
        <w:t>(</w:t>
      </w:r>
      <w:r>
        <w:rPr>
          <w:spacing w:val="-25"/>
          <w:sz w:val="23"/>
        </w:rPr>
        <w:t> </w:t>
      </w:r>
      <w:r>
        <w:rPr>
          <w:b/>
          <w:w w:val="94"/>
          <w:sz w:val="20"/>
        </w:rPr>
        <w:t>1</w:t>
      </w:r>
      <w:r>
        <w:rPr>
          <w:b/>
          <w:sz w:val="20"/>
        </w:rPr>
        <w:t> </w:t>
      </w:r>
      <w:r>
        <w:rPr>
          <w:b/>
          <w:spacing w:val="-14"/>
          <w:sz w:val="20"/>
        </w:rPr>
        <w:t> </w:t>
      </w:r>
      <w:r>
        <w:rPr>
          <w:w w:val="282"/>
          <w:sz w:val="20"/>
        </w:rPr>
        <w:t>-</w:t>
      </w:r>
      <w:r>
        <w:rPr>
          <w:spacing w:val="-1"/>
          <w:sz w:val="20"/>
        </w:rPr>
        <w:t> </w:t>
      </w:r>
      <w:r>
        <w:rPr>
          <w:b/>
          <w:i/>
          <w:w w:val="100"/>
          <w:sz w:val="16"/>
        </w:rPr>
        <w:t>nPz</w:t>
      </w:r>
      <w:r>
        <w:rPr>
          <w:b/>
          <w:i/>
          <w:spacing w:val="-11"/>
          <w:sz w:val="16"/>
        </w:rPr>
        <w:t> </w:t>
      </w:r>
      <w:r>
        <w:rPr>
          <w:w w:val="142"/>
          <w:sz w:val="16"/>
        </w:rPr>
        <w:t>)(</w:t>
      </w:r>
      <w:r>
        <w:rPr>
          <w:spacing w:val="-20"/>
          <w:sz w:val="16"/>
        </w:rPr>
        <w:t> </w:t>
      </w:r>
      <w:r>
        <w:rPr>
          <w:b/>
          <w:i/>
          <w:w w:val="99"/>
          <w:sz w:val="16"/>
        </w:rPr>
        <w:t>nPz</w:t>
      </w:r>
      <w:r>
        <w:rPr>
          <w:b/>
          <w:i/>
          <w:spacing w:val="-8"/>
          <w:sz w:val="16"/>
        </w:rPr>
        <w:t> </w:t>
      </w:r>
      <w:r>
        <w:rPr>
          <w:rFonts w:ascii="Arial" w:hAnsi="Arial"/>
          <w:w w:val="69"/>
          <w:sz w:val="22"/>
        </w:rPr>
        <w:t>)</w:t>
      </w:r>
      <w:r>
        <w:rPr>
          <w:rFonts w:ascii="Arial" w:hAnsi="Arial"/>
          <w:spacing w:val="3"/>
          <w:w w:val="69"/>
          <w:sz w:val="22"/>
        </w:rPr>
        <w:t>2</w:t>
      </w:r>
      <w:r>
        <w:rPr>
          <w:rFonts w:ascii="Arial" w:hAnsi="Arial"/>
          <w:w w:val="43"/>
          <w:sz w:val="22"/>
        </w:rPr>
        <w:t>•</w:t>
      </w:r>
    </w:p>
    <w:p>
      <w:pPr>
        <w:spacing w:line="247" w:lineRule="auto" w:before="100"/>
        <w:ind w:left="128" w:right="0" w:firstLine="3"/>
        <w:jc w:val="left"/>
        <w:rPr>
          <w:i/>
          <w:sz w:val="20"/>
        </w:rPr>
      </w:pPr>
      <w:r>
        <w:rPr>
          <w:w w:val="105"/>
          <w:sz w:val="21"/>
        </w:rPr>
        <w:t>If the failing life is not specified, the probability that exact]y </w:t>
      </w:r>
      <w:r>
        <w:rPr>
          <w:w w:val="98"/>
          <w:sz w:val="21"/>
        </w:rPr>
        <w:t>one </w:t>
      </w:r>
      <w:r>
        <w:rPr>
          <w:w w:val="92"/>
          <w:sz w:val="21"/>
        </w:rPr>
        <w:t>will </w:t>
      </w:r>
      <w:r>
        <w:rPr>
          <w:w w:val="98"/>
          <w:sz w:val="21"/>
        </w:rPr>
        <w:t>die </w:t>
      </w:r>
      <w:r>
        <w:rPr>
          <w:w w:val="100"/>
          <w:sz w:val="21"/>
        </w:rPr>
        <w:t>within </w:t>
      </w:r>
      <w:r>
        <w:rPr>
          <w:i/>
          <w:w w:val="117"/>
          <w:sz w:val="21"/>
        </w:rPr>
        <w:t>n </w:t>
      </w:r>
      <w:r>
        <w:rPr>
          <w:w w:val="100"/>
          <w:sz w:val="21"/>
        </w:rPr>
        <w:t>years </w:t>
      </w:r>
      <w:r>
        <w:rPr>
          <w:w w:val="97"/>
          <w:sz w:val="21"/>
        </w:rPr>
        <w:t>is </w:t>
      </w:r>
      <w:r>
        <w:rPr>
          <w:w w:val="102"/>
          <w:sz w:val="21"/>
        </w:rPr>
        <w:t>3(1 </w:t>
      </w:r>
      <w:r>
        <w:rPr>
          <w:w w:val="261"/>
          <w:sz w:val="21"/>
        </w:rPr>
        <w:t>- </w:t>
      </w:r>
      <w:r>
        <w:rPr>
          <w:i/>
          <w:w w:val="94"/>
          <w:sz w:val="20"/>
        </w:rPr>
        <w:t>nP,J  </w:t>
      </w:r>
      <w:r>
        <w:rPr>
          <w:i/>
          <w:w w:val="120"/>
          <w:sz w:val="20"/>
        </w:rPr>
        <w:t>(nPz/.</w:t>
      </w:r>
    </w:p>
    <w:p>
      <w:pPr>
        <w:spacing w:line="235" w:lineRule="auto" w:before="0"/>
        <w:ind w:left="128" w:right="105" w:firstLine="194"/>
        <w:jc w:val="both"/>
        <w:rPr>
          <w:sz w:val="23"/>
        </w:rPr>
      </w:pPr>
      <w:r>
        <w:rPr>
          <w:sz w:val="21"/>
        </w:rPr>
        <w:t>Suppose that  the  three  lives  aged  </w:t>
      </w:r>
      <w:r>
        <w:rPr>
          <w:rFonts w:ascii="Arial"/>
          <w:i/>
          <w:sz w:val="18"/>
        </w:rPr>
        <w:t>x  </w:t>
      </w:r>
      <w:r>
        <w:rPr>
          <w:sz w:val="21"/>
        </w:rPr>
        <w:t>are  A,  B,  and  C.  What is the probability that  either A or B will  be  the first  to die within  </w:t>
      </w:r>
      <w:r>
        <w:rPr>
          <w:i/>
          <w:sz w:val="21"/>
        </w:rPr>
        <w:t>n </w:t>
      </w:r>
      <w:r>
        <w:rPr>
          <w:sz w:val="21"/>
        </w:rPr>
        <w:t>years? The joint lifetime of A and B must fail before C, and hence </w:t>
      </w:r>
      <w:r>
        <w:rPr>
          <w:w w:val="107"/>
          <w:sz w:val="21"/>
        </w:rPr>
        <w:t>the  </w:t>
      </w:r>
      <w:r>
        <w:rPr>
          <w:w w:val="99"/>
          <w:sz w:val="21"/>
        </w:rPr>
        <w:t>solution  </w:t>
      </w:r>
      <w:r>
        <w:rPr>
          <w:w w:val="100"/>
          <w:sz w:val="21"/>
        </w:rPr>
        <w:t>is  </w:t>
      </w:r>
      <w:r>
        <w:rPr>
          <w:w w:val="97"/>
          <w:sz w:val="21"/>
        </w:rPr>
        <w:t>given  </w:t>
      </w:r>
      <w:r>
        <w:rPr>
          <w:w w:val="98"/>
          <w:sz w:val="21"/>
        </w:rPr>
        <w:t>by</w:t>
      </w:r>
      <w:r>
        <w:rPr>
          <w:spacing w:val="51"/>
          <w:w w:val="98"/>
          <w:sz w:val="21"/>
        </w:rPr>
        <w:t> </w:t>
      </w:r>
      <w:r>
        <w:rPr>
          <w:w w:val="49"/>
          <w:sz w:val="27"/>
        </w:rPr>
        <w:t>n&lt;T=:z  </w:t>
      </w:r>
      <w:r>
        <w:rPr>
          <w:w w:val="97"/>
          <w:sz w:val="27"/>
        </w:rPr>
        <w:t>. </w:t>
      </w:r>
      <w:r>
        <w:rPr>
          <w:w w:val="96"/>
          <w:sz w:val="21"/>
        </w:rPr>
        <w:t>Using   </w:t>
      </w:r>
      <w:r>
        <w:rPr>
          <w:w w:val="101"/>
          <w:sz w:val="21"/>
        </w:rPr>
        <w:t>(11.10),  </w:t>
      </w:r>
      <w:r>
        <w:rPr>
          <w:w w:val="93"/>
          <w:sz w:val="21"/>
        </w:rPr>
        <w:t>we  </w:t>
      </w:r>
      <w:r>
        <w:rPr>
          <w:w w:val="96"/>
          <w:sz w:val="21"/>
        </w:rPr>
        <w:t>find  </w:t>
      </w:r>
      <w:r>
        <w:rPr>
          <w:i/>
          <w:spacing w:val="7"/>
          <w:w w:val="106"/>
          <w:sz w:val="20"/>
        </w:rPr>
        <w:t>nq:z</w:t>
      </w:r>
      <w:r>
        <w:rPr>
          <w:i/>
          <w:spacing w:val="52"/>
          <w:w w:val="106"/>
          <w:sz w:val="20"/>
        </w:rPr>
        <w:t> </w:t>
      </w:r>
      <w:r>
        <w:rPr>
          <w:w w:val="104"/>
          <w:sz w:val="23"/>
        </w:rPr>
        <w:t>=</w:t>
      </w:r>
    </w:p>
    <w:p>
      <w:pPr>
        <w:spacing w:line="181" w:lineRule="exact" w:before="0"/>
        <w:ind w:left="128" w:right="739" w:firstLine="0"/>
        <w:jc w:val="left"/>
        <w:rPr>
          <w:sz w:val="21"/>
        </w:rPr>
      </w:pPr>
      <w:r>
        <w:rPr/>
        <w:pict>
          <v:shape style="position:absolute;margin-left:142.020004pt;margin-top:4.741504pt;width:3.25pt;height:5.5pt;mso-position-horizontal-relative:page;mso-position-vertical-relative:paragraph;z-index:-717976" type="#_x0000_t202" filled="false" stroked="false">
            <v:textbox inset="0,0,0,0">
              <w:txbxContent>
                <w:p>
                  <w:pPr>
                    <w:spacing w:line="110" w:lineRule="exact" w:before="0"/>
                    <w:ind w:left="0" w:right="0" w:firstLine="0"/>
                    <w:jc w:val="left"/>
                    <w:rPr>
                      <w:rFonts w:ascii="Arial"/>
                      <w:sz w:val="11"/>
                    </w:rPr>
                  </w:pPr>
                  <w:r>
                    <w:rPr>
                      <w:rFonts w:ascii="Arial"/>
                      <w:w w:val="174"/>
                      <w:sz w:val="11"/>
                    </w:rPr>
                    <w:t>)</w:t>
                  </w:r>
                </w:p>
              </w:txbxContent>
            </v:textbox>
            <w10:wrap type="none"/>
          </v:shape>
        </w:pict>
      </w:r>
      <w:r>
        <w:rPr>
          <w:rFonts w:ascii="Arial"/>
          <w:b/>
          <w:sz w:val="18"/>
        </w:rPr>
        <w:t>2 </w:t>
      </w:r>
      <w:r>
        <w:rPr>
          <w:b/>
          <w:i/>
          <w:sz w:val="21"/>
        </w:rPr>
        <w:t>nq!zz </w:t>
      </w:r>
      <w:r>
        <w:rPr>
          <w:sz w:val="26"/>
        </w:rPr>
        <w:t>= </w:t>
      </w:r>
      <w:r>
        <w:rPr>
          <w:rFonts w:ascii="Arial"/>
          <w:i/>
          <w:sz w:val="23"/>
        </w:rPr>
        <w:t>% </w:t>
      </w:r>
      <w:r>
        <w:rPr>
          <w:sz w:val="20"/>
        </w:rPr>
        <w:t>[l </w:t>
      </w:r>
      <w:r>
        <w:rPr>
          <w:w w:val="245"/>
          <w:sz w:val="20"/>
        </w:rPr>
        <w:t>- </w:t>
      </w:r>
      <w:r>
        <w:rPr>
          <w:sz w:val="20"/>
        </w:rPr>
        <w:t>(nPz )</w:t>
      </w:r>
      <w:r>
        <w:rPr>
          <w:rFonts w:ascii="Arial"/>
          <w:position w:val="10"/>
          <w:sz w:val="11"/>
        </w:rPr>
        <w:t>3 </w:t>
      </w:r>
      <w:r>
        <w:rPr>
          <w:rFonts w:ascii="Arial"/>
          <w:w w:val="150"/>
          <w:sz w:val="11"/>
        </w:rPr>
        <w:t>. </w:t>
      </w:r>
      <w:r>
        <w:rPr>
          <w:sz w:val="21"/>
        </w:rPr>
        <w:t>The solution by integration is</w:t>
      </w:r>
    </w:p>
    <w:p>
      <w:pPr>
        <w:spacing w:line="587" w:lineRule="exact" w:before="0"/>
        <w:ind w:left="74" w:right="77" w:firstLine="0"/>
        <w:jc w:val="center"/>
        <w:rPr>
          <w:b/>
          <w:i/>
          <w:sz w:val="21"/>
        </w:rPr>
      </w:pPr>
      <w:r>
        <w:rPr>
          <w:b/>
          <w:w w:val="156"/>
          <w:sz w:val="20"/>
        </w:rPr>
        <w:t>n</w:t>
      </w:r>
      <w:r>
        <w:rPr>
          <w:b/>
          <w:sz w:val="20"/>
        </w:rPr>
        <w:t>  </w:t>
      </w:r>
      <w:r>
        <w:rPr>
          <w:b/>
          <w:spacing w:val="-1"/>
          <w:sz w:val="20"/>
        </w:rPr>
        <w:t> </w:t>
      </w:r>
      <w:r>
        <w:rPr>
          <w:b/>
          <w:w w:val="72"/>
          <w:sz w:val="20"/>
        </w:rPr>
        <w:t>:z</w:t>
      </w:r>
      <w:r>
        <w:rPr>
          <w:b/>
          <w:sz w:val="20"/>
        </w:rPr>
        <w:t> </w:t>
      </w:r>
      <w:r>
        <w:rPr>
          <w:b/>
          <w:spacing w:val="-19"/>
          <w:sz w:val="20"/>
        </w:rPr>
        <w:t> </w:t>
      </w:r>
      <w:r>
        <w:rPr>
          <w:w w:val="104"/>
          <w:sz w:val="23"/>
        </w:rPr>
        <w:t>=</w:t>
      </w:r>
      <w:r>
        <w:rPr>
          <w:sz w:val="23"/>
        </w:rPr>
        <w:t> </w:t>
      </w:r>
      <w:r>
        <w:rPr>
          <w:spacing w:val="-17"/>
          <w:sz w:val="23"/>
        </w:rPr>
        <w:t> </w:t>
      </w:r>
      <w:r>
        <w:rPr>
          <w:rFonts w:ascii="Arial" w:hAnsi="Arial"/>
          <w:b/>
          <w:i/>
          <w:spacing w:val="27"/>
          <w:w w:val="84"/>
          <w:sz w:val="57"/>
        </w:rPr>
        <w:t>l</w:t>
      </w:r>
      <w:r>
        <w:rPr>
          <w:rFonts w:ascii="Arial" w:hAnsi="Arial"/>
          <w:b/>
          <w:i/>
          <w:w w:val="34"/>
          <w:sz w:val="57"/>
        </w:rPr>
        <w:t>"</w:t>
      </w:r>
      <w:r>
        <w:rPr>
          <w:rFonts w:ascii="Arial" w:hAnsi="Arial"/>
          <w:b/>
          <w:i/>
          <w:spacing w:val="-99"/>
          <w:sz w:val="57"/>
        </w:rPr>
        <w:t> </w:t>
      </w:r>
      <w:r>
        <w:rPr>
          <w:b/>
          <w:i/>
          <w:spacing w:val="10"/>
          <w:w w:val="108"/>
          <w:sz w:val="16"/>
        </w:rPr>
        <w:t>,</w:t>
      </w:r>
      <w:r>
        <w:rPr>
          <w:b/>
          <w:i/>
          <w:w w:val="108"/>
          <w:sz w:val="16"/>
        </w:rPr>
        <w:t>puµz+e</w:t>
      </w:r>
      <w:r>
        <w:rPr>
          <w:b/>
          <w:i/>
          <w:sz w:val="16"/>
        </w:rPr>
        <w:t> </w:t>
      </w:r>
      <w:r>
        <w:rPr>
          <w:b/>
          <w:i/>
          <w:spacing w:val="-19"/>
          <w:sz w:val="16"/>
        </w:rPr>
        <w:t> </w:t>
      </w:r>
      <w:r>
        <w:rPr>
          <w:b/>
          <w:i/>
          <w:w w:val="99"/>
          <w:sz w:val="16"/>
        </w:rPr>
        <w:t>:z+t</w:t>
      </w:r>
      <w:r>
        <w:rPr>
          <w:b/>
          <w:i/>
          <w:spacing w:val="11"/>
          <w:sz w:val="16"/>
        </w:rPr>
        <w:t> </w:t>
      </w:r>
      <w:r>
        <w:rPr>
          <w:spacing w:val="-9"/>
          <w:w w:val="150"/>
          <w:sz w:val="16"/>
        </w:rPr>
        <w:t>·</w:t>
      </w:r>
      <w:r>
        <w:rPr>
          <w:b/>
          <w:i/>
          <w:w w:val="96"/>
          <w:sz w:val="16"/>
        </w:rPr>
        <w:t>ePz</w:t>
      </w:r>
      <w:r>
        <w:rPr>
          <w:b/>
          <w:i/>
          <w:sz w:val="16"/>
        </w:rPr>
        <w:t> </w:t>
      </w:r>
      <w:r>
        <w:rPr>
          <w:b/>
          <w:i/>
          <w:spacing w:val="-9"/>
          <w:sz w:val="16"/>
        </w:rPr>
        <w:t> </w:t>
      </w:r>
      <w:r>
        <w:rPr>
          <w:b/>
          <w:i/>
          <w:w w:val="88"/>
          <w:sz w:val="21"/>
        </w:rPr>
        <w:t>dt</w:t>
      </w:r>
    </w:p>
    <w:p>
      <w:pPr>
        <w:spacing w:line="544" w:lineRule="exact" w:before="0"/>
        <w:ind w:left="264" w:right="61" w:firstLine="0"/>
        <w:jc w:val="center"/>
        <w:rPr>
          <w:b/>
          <w:i/>
          <w:sz w:val="21"/>
        </w:rPr>
      </w:pPr>
      <w:r>
        <w:rPr>
          <w:w w:val="101"/>
          <w:sz w:val="23"/>
        </w:rPr>
        <w:t>=</w:t>
      </w:r>
      <w:r>
        <w:rPr>
          <w:sz w:val="23"/>
        </w:rPr>
        <w:t> </w:t>
      </w:r>
      <w:r>
        <w:rPr>
          <w:spacing w:val="-17"/>
          <w:sz w:val="23"/>
        </w:rPr>
        <w:t> </w:t>
      </w:r>
      <w:r>
        <w:rPr>
          <w:rFonts w:ascii="Arial" w:hAnsi="Arial"/>
          <w:b/>
          <w:i/>
          <w:spacing w:val="-36"/>
          <w:w w:val="77"/>
          <w:sz w:val="48"/>
        </w:rPr>
        <w:t>1</w:t>
      </w:r>
      <w:r>
        <w:rPr>
          <w:rFonts w:ascii="Arial" w:hAnsi="Arial"/>
          <w:b/>
          <w:i/>
          <w:w w:val="35"/>
          <w:sz w:val="48"/>
        </w:rPr>
        <w:t>"</w:t>
      </w:r>
      <w:r>
        <w:rPr>
          <w:rFonts w:ascii="Arial" w:hAnsi="Arial"/>
          <w:b/>
          <w:i/>
          <w:spacing w:val="-68"/>
          <w:sz w:val="48"/>
        </w:rPr>
        <w:t> </w:t>
      </w:r>
      <w:r>
        <w:rPr>
          <w:b/>
          <w:i/>
          <w:w w:val="81"/>
          <w:sz w:val="16"/>
        </w:rPr>
        <w:t>t</w:t>
      </w:r>
      <w:r>
        <w:rPr>
          <w:b/>
          <w:i/>
          <w:spacing w:val="-23"/>
          <w:sz w:val="16"/>
        </w:rPr>
        <w:t> </w:t>
      </w:r>
      <w:r>
        <w:rPr>
          <w:b/>
          <w:i/>
          <w:w w:val="101"/>
          <w:sz w:val="16"/>
        </w:rPr>
        <w:t>Pzzz</w:t>
      </w:r>
      <w:r>
        <w:rPr>
          <w:b/>
          <w:i/>
          <w:spacing w:val="8"/>
          <w:sz w:val="16"/>
        </w:rPr>
        <w:t> </w:t>
      </w:r>
      <w:r>
        <w:rPr>
          <w:b/>
          <w:i/>
          <w:w w:val="110"/>
          <w:sz w:val="16"/>
        </w:rPr>
        <w:t>·</w:t>
      </w:r>
      <w:r>
        <w:rPr>
          <w:b/>
          <w:i/>
          <w:spacing w:val="-20"/>
          <w:sz w:val="16"/>
        </w:rPr>
        <w:t> </w:t>
      </w:r>
      <w:r>
        <w:rPr>
          <w:b/>
          <w:i/>
          <w:w w:val="115"/>
          <w:sz w:val="16"/>
        </w:rPr>
        <w:t>2</w:t>
      </w:r>
      <w:r>
        <w:rPr>
          <w:b/>
          <w:i/>
          <w:sz w:val="16"/>
        </w:rPr>
        <w:t> </w:t>
      </w:r>
      <w:r>
        <w:rPr>
          <w:b/>
          <w:i/>
          <w:spacing w:val="-18"/>
          <w:sz w:val="16"/>
        </w:rPr>
        <w:t> </w:t>
      </w:r>
      <w:r>
        <w:rPr>
          <w:b/>
          <w:i/>
          <w:w w:val="100"/>
          <w:sz w:val="16"/>
        </w:rPr>
        <w:t>l'z+I</w:t>
      </w:r>
      <w:r>
        <w:rPr>
          <w:b/>
          <w:i/>
          <w:sz w:val="16"/>
        </w:rPr>
        <w:t>  </w:t>
      </w:r>
      <w:r>
        <w:rPr>
          <w:b/>
          <w:i/>
          <w:spacing w:val="-14"/>
          <w:sz w:val="16"/>
        </w:rPr>
        <w:t> </w:t>
      </w:r>
      <w:r>
        <w:rPr>
          <w:b/>
          <w:i/>
          <w:w w:val="88"/>
          <w:sz w:val="21"/>
        </w:rPr>
        <w:t>dt</w:t>
      </w:r>
    </w:p>
    <w:p>
      <w:pPr>
        <w:spacing w:before="60"/>
        <w:ind w:left="264" w:right="181" w:firstLine="0"/>
        <w:jc w:val="center"/>
        <w:rPr>
          <w:rFonts w:ascii="Arial"/>
          <w:sz w:val="11"/>
        </w:rPr>
      </w:pPr>
      <w:r>
        <w:rPr>
          <w:sz w:val="23"/>
        </w:rPr>
        <w:t>= </w:t>
      </w:r>
      <w:r>
        <w:rPr>
          <w:b/>
          <w:i/>
          <w:sz w:val="27"/>
        </w:rPr>
        <w:t>73 </w:t>
      </w:r>
      <w:r>
        <w:rPr>
          <w:b/>
          <w:sz w:val="20"/>
        </w:rPr>
        <w:t>[1 </w:t>
      </w:r>
      <w:r>
        <w:rPr>
          <w:w w:val="245"/>
          <w:sz w:val="20"/>
        </w:rPr>
        <w:t>-</w:t>
      </w:r>
      <w:r>
        <w:rPr>
          <w:spacing w:val="-75"/>
          <w:w w:val="245"/>
          <w:sz w:val="20"/>
        </w:rPr>
        <w:t> </w:t>
      </w:r>
      <w:r>
        <w:rPr>
          <w:b/>
          <w:sz w:val="20"/>
        </w:rPr>
        <w:t>(nPz </w:t>
      </w:r>
      <w:r>
        <w:rPr>
          <w:spacing w:val="3"/>
          <w:w w:val="130"/>
          <w:sz w:val="20"/>
        </w:rPr>
        <w:t>)</w:t>
      </w:r>
      <w:r>
        <w:rPr>
          <w:rFonts w:ascii="Arial"/>
          <w:spacing w:val="3"/>
          <w:w w:val="130"/>
          <w:position w:val="10"/>
          <w:sz w:val="11"/>
        </w:rPr>
        <w:t>3</w:t>
      </w:r>
      <w:r>
        <w:rPr>
          <w:rFonts w:ascii="Arial"/>
          <w:spacing w:val="3"/>
          <w:w w:val="130"/>
          <w:sz w:val="11"/>
        </w:rPr>
        <w:t>).</w:t>
      </w:r>
    </w:p>
    <w:p>
      <w:pPr>
        <w:spacing w:line="237" w:lineRule="auto" w:before="96"/>
        <w:ind w:left="132" w:right="103" w:firstLine="198"/>
        <w:jc w:val="both"/>
        <w:rPr>
          <w:sz w:val="21"/>
        </w:rPr>
      </w:pPr>
      <w:r>
        <w:rPr>
          <w:sz w:val="21"/>
        </w:rPr>
        <w:t>When these functions involve lives of unequal age, the integra­ tions cannot </w:t>
      </w:r>
      <w:r>
        <w:rPr>
          <w:rFonts w:ascii="Arial" w:hAnsi="Arial"/>
          <w:sz w:val="18"/>
        </w:rPr>
        <w:t>be </w:t>
      </w:r>
      <w:r>
        <w:rPr>
          <w:sz w:val="21"/>
        </w:rPr>
        <w:t>directly carried out and special methods must be used. Standard methods of numerical integration are  available which can be programmed for a digital computer if a large volume of  calculations must  be made.</w:t>
      </w:r>
    </w:p>
    <w:p>
      <w:pPr>
        <w:spacing w:line="234" w:lineRule="exact" w:before="5"/>
        <w:ind w:left="135" w:right="111" w:firstLine="194"/>
        <w:jc w:val="both"/>
        <w:rPr>
          <w:sz w:val="21"/>
        </w:rPr>
      </w:pPr>
      <w:r>
        <w:rPr/>
        <w:pict>
          <v:shape style="position:absolute;margin-left:168.119995pt;margin-top:22.246344pt;width:12.1pt;height:27.5pt;mso-position-horizontal-relative:page;mso-position-vertical-relative:paragraph;z-index:-717952" type="#_x0000_t202" filled="false" stroked="false">
            <v:textbox inset="0,0,0,0">
              <w:txbxContent>
                <w:p>
                  <w:pPr>
                    <w:spacing w:line="550" w:lineRule="exact" w:before="0"/>
                    <w:ind w:left="0" w:right="0" w:firstLine="0"/>
                    <w:jc w:val="left"/>
                    <w:rPr>
                      <w:rFonts w:ascii="Arial"/>
                      <w:b/>
                      <w:sz w:val="55"/>
                    </w:rPr>
                  </w:pPr>
                  <w:r>
                    <w:rPr>
                      <w:rFonts w:ascii="Arial"/>
                      <w:b/>
                      <w:w w:val="78"/>
                      <w:sz w:val="55"/>
                    </w:rPr>
                    <w:t>1</w:t>
                  </w:r>
                </w:p>
              </w:txbxContent>
            </v:textbox>
            <w10:wrap type="none"/>
          </v:shape>
        </w:pict>
      </w:r>
      <w:r>
        <w:rPr>
          <w:sz w:val="21"/>
        </w:rPr>
        <w:t>Another method  of evaluation  is based  upon  the assumption of a uniform distrihution  of deathR. In thc  formula</w:t>
      </w:r>
    </w:p>
    <w:p>
      <w:pPr>
        <w:spacing w:before="64"/>
        <w:ind w:left="0" w:right="195" w:firstLine="0"/>
        <w:jc w:val="center"/>
        <w:rPr>
          <w:b/>
          <w:sz w:val="12"/>
        </w:rPr>
      </w:pPr>
      <w:r>
        <w:rPr>
          <w:b/>
          <w:w w:val="90"/>
          <w:sz w:val="12"/>
        </w:rPr>
        <w:t>1</w:t>
      </w:r>
    </w:p>
    <w:p>
      <w:pPr>
        <w:tabs>
          <w:tab w:pos="874" w:val="left" w:leader="none"/>
        </w:tabs>
        <w:spacing w:before="0"/>
        <w:ind w:left="39" w:right="0" w:firstLine="0"/>
        <w:jc w:val="center"/>
        <w:rPr>
          <w:b/>
          <w:i/>
          <w:sz w:val="20"/>
        </w:rPr>
      </w:pPr>
      <w:r>
        <w:rPr>
          <w:b/>
          <w:i/>
          <w:spacing w:val="10"/>
          <w:w w:val="185"/>
          <w:sz w:val="16"/>
        </w:rPr>
        <w:t>q</w:t>
      </w:r>
      <w:r>
        <w:rPr>
          <w:b/>
          <w:i/>
          <w:w w:val="43"/>
          <w:sz w:val="16"/>
        </w:rPr>
        <w:t>I/</w:t>
      </w:r>
      <w:r>
        <w:rPr>
          <w:b/>
          <w:i/>
          <w:sz w:val="16"/>
        </w:rPr>
        <w:t>  </w:t>
      </w:r>
      <w:r>
        <w:rPr>
          <w:b/>
          <w:i/>
          <w:spacing w:val="-5"/>
          <w:sz w:val="16"/>
        </w:rPr>
        <w:t> </w:t>
      </w:r>
      <w:r>
        <w:rPr>
          <w:w w:val="101"/>
          <w:sz w:val="23"/>
        </w:rPr>
        <w:t>=</w:t>
      </w:r>
      <w:r>
        <w:rPr>
          <w:sz w:val="23"/>
        </w:rPr>
        <w:tab/>
      </w:r>
      <w:r>
        <w:rPr>
          <w:b/>
          <w:i/>
          <w:w w:val="81"/>
          <w:sz w:val="16"/>
        </w:rPr>
        <w:t>t</w:t>
      </w:r>
      <w:r>
        <w:rPr>
          <w:b/>
          <w:i/>
          <w:spacing w:val="-23"/>
          <w:sz w:val="16"/>
        </w:rPr>
        <w:t> </w:t>
      </w:r>
      <w:r>
        <w:rPr>
          <w:b/>
          <w:i/>
          <w:w w:val="91"/>
          <w:sz w:val="16"/>
        </w:rPr>
        <w:t>P</w:t>
      </w:r>
      <w:r>
        <w:rPr>
          <w:b/>
          <w:i/>
          <w:spacing w:val="-19"/>
          <w:sz w:val="16"/>
        </w:rPr>
        <w:t> </w:t>
      </w:r>
      <w:r>
        <w:rPr>
          <w:b/>
          <w:i/>
          <w:w w:val="77"/>
          <w:sz w:val="16"/>
        </w:rPr>
        <w:t>x11µx+t</w:t>
      </w:r>
      <w:r>
        <w:rPr>
          <w:b/>
          <w:i/>
          <w:sz w:val="16"/>
        </w:rPr>
        <w:t>  </w:t>
      </w:r>
      <w:r>
        <w:rPr>
          <w:b/>
          <w:i/>
          <w:spacing w:val="-18"/>
          <w:sz w:val="16"/>
        </w:rPr>
        <w:t> </w:t>
      </w:r>
      <w:r>
        <w:rPr>
          <w:b/>
          <w:i/>
          <w:w w:val="88"/>
          <w:sz w:val="20"/>
        </w:rPr>
        <w:t>dt</w:t>
      </w:r>
      <w:r>
        <w:rPr>
          <w:b/>
          <w:i/>
          <w:spacing w:val="-27"/>
          <w:sz w:val="20"/>
        </w:rPr>
        <w:t> </w:t>
      </w:r>
      <w:r>
        <w:rPr>
          <w:b/>
          <w:i/>
          <w:w w:val="77"/>
          <w:sz w:val="20"/>
        </w:rPr>
        <w:t>,</w:t>
      </w:r>
    </w:p>
    <w:p>
      <w:pPr>
        <w:spacing w:after="0"/>
        <w:jc w:val="center"/>
        <w:rPr>
          <w:sz w:val="20"/>
        </w:rPr>
        <w:sectPr>
          <w:pgSz w:w="7200" w:h="11340"/>
          <w:pgMar w:top="500" w:bottom="280" w:left="660" w:right="560"/>
        </w:sectPr>
      </w:pPr>
    </w:p>
    <w:p>
      <w:pPr>
        <w:tabs>
          <w:tab w:pos="1989" w:val="left" w:leader="none"/>
          <w:tab w:pos="5269" w:val="left" w:leader="none"/>
        </w:tabs>
        <w:spacing w:before="47"/>
        <w:ind w:left="164" w:right="0" w:firstLine="0"/>
        <w:jc w:val="left"/>
        <w:rPr>
          <w:rFonts w:ascii="Arial"/>
          <w:b/>
          <w:sz w:val="19"/>
        </w:rPr>
      </w:pPr>
      <w:r>
        <w:rPr>
          <w:rFonts w:ascii="Arial"/>
          <w:sz w:val="18"/>
        </w:rPr>
        <w:t>230</w:t>
        <w:tab/>
      </w:r>
      <w:r>
        <w:rPr>
          <w:position w:val="1"/>
          <w:sz w:val="16"/>
        </w:rPr>
        <w:t>CONTINGIINT </w:t>
      </w:r>
      <w:r>
        <w:rPr>
          <w:spacing w:val="37"/>
          <w:position w:val="1"/>
          <w:sz w:val="16"/>
        </w:rPr>
        <w:t> </w:t>
      </w:r>
      <w:r>
        <w:rPr>
          <w:b/>
          <w:position w:val="1"/>
          <w:sz w:val="15"/>
        </w:rPr>
        <w:t>l'UNCTIONS</w:t>
        <w:tab/>
      </w:r>
      <w:r>
        <w:rPr>
          <w:rFonts w:ascii="Arial"/>
          <w:b/>
          <w:spacing w:val="-7"/>
          <w:position w:val="1"/>
          <w:sz w:val="20"/>
        </w:rPr>
        <w:t>[CH.</w:t>
      </w:r>
      <w:r>
        <w:rPr>
          <w:rFonts w:ascii="Arial"/>
          <w:b/>
          <w:spacing w:val="-5"/>
          <w:position w:val="1"/>
          <w:sz w:val="20"/>
        </w:rPr>
        <w:t> </w:t>
      </w:r>
      <w:r>
        <w:rPr>
          <w:rFonts w:ascii="Arial"/>
          <w:b/>
          <w:position w:val="1"/>
          <w:sz w:val="19"/>
        </w:rPr>
        <w:t>11</w:t>
      </w:r>
    </w:p>
    <w:p>
      <w:pPr>
        <w:pStyle w:val="BodyText"/>
        <w:spacing w:before="1"/>
        <w:rPr>
          <w:rFonts w:ascii="Arial"/>
          <w:b/>
          <w:sz w:val="21"/>
        </w:rPr>
      </w:pPr>
    </w:p>
    <w:p>
      <w:pPr>
        <w:pStyle w:val="BodyText"/>
        <w:ind w:left="154"/>
      </w:pPr>
      <w:r>
        <w:rPr>
          <w:w w:val="105"/>
        </w:rPr>
        <w:t>we substitute from formula. (1.24b)</w:t>
      </w:r>
    </w:p>
    <w:p>
      <w:pPr>
        <w:pStyle w:val="BodyText"/>
        <w:rPr>
          <w:sz w:val="15"/>
        </w:rPr>
      </w:pPr>
      <w:r>
        <w:rPr/>
        <w:drawing>
          <wp:anchor distT="0" distB="0" distL="0" distR="0" allowOverlap="1" layoutInCell="1" locked="0" behindDoc="0" simplePos="0" relativeHeight="18136">
            <wp:simplePos x="0" y="0"/>
            <wp:positionH relativeFrom="page">
              <wp:posOffset>1947672</wp:posOffset>
            </wp:positionH>
            <wp:positionV relativeFrom="paragraph">
              <wp:posOffset>134834</wp:posOffset>
            </wp:positionV>
            <wp:extent cx="740664" cy="128015"/>
            <wp:effectExtent l="0" t="0" r="0" b="0"/>
            <wp:wrapTopAndBottom/>
            <wp:docPr id="495" name="image253.png" descr=""/>
            <wp:cNvGraphicFramePr>
              <a:graphicFrameLocks noChangeAspect="1"/>
            </wp:cNvGraphicFramePr>
            <a:graphic>
              <a:graphicData uri="http://schemas.openxmlformats.org/drawingml/2006/picture">
                <pic:pic>
                  <pic:nvPicPr>
                    <pic:cNvPr id="496" name="image253.png"/>
                    <pic:cNvPicPr/>
                  </pic:nvPicPr>
                  <pic:blipFill>
                    <a:blip r:embed="rId257" cstate="print"/>
                    <a:stretch>
                      <a:fillRect/>
                    </a:stretch>
                  </pic:blipFill>
                  <pic:spPr>
                    <a:xfrm>
                      <a:off x="0" y="0"/>
                      <a:ext cx="740664" cy="128015"/>
                    </a:xfrm>
                    <a:prstGeom prst="rect">
                      <a:avLst/>
                    </a:prstGeom>
                  </pic:spPr>
                </pic:pic>
              </a:graphicData>
            </a:graphic>
          </wp:anchor>
        </w:drawing>
      </w:r>
    </w:p>
    <w:p>
      <w:pPr>
        <w:spacing w:after="0"/>
        <w:rPr>
          <w:sz w:val="15"/>
        </w:rPr>
        <w:sectPr>
          <w:pgSz w:w="7200" w:h="11340"/>
          <w:pgMar w:top="500" w:bottom="280" w:left="620" w:right="560"/>
        </w:sectPr>
      </w:pPr>
    </w:p>
    <w:p>
      <w:pPr>
        <w:pStyle w:val="BodyText"/>
        <w:spacing w:before="119"/>
        <w:ind w:left="157" w:right="-12"/>
      </w:pPr>
      <w:r>
        <w:rPr>
          <w:w w:val="110"/>
        </w:rPr>
        <w:t>and obtain</w:t>
      </w:r>
    </w:p>
    <w:p>
      <w:pPr>
        <w:tabs>
          <w:tab w:pos="945" w:val="left" w:leader="none"/>
          <w:tab w:pos="1521" w:val="left" w:leader="none"/>
        </w:tabs>
        <w:spacing w:before="275"/>
        <w:ind w:left="261" w:right="0" w:firstLine="0"/>
        <w:jc w:val="left"/>
        <w:rPr>
          <w:rFonts w:ascii="Arial"/>
          <w:sz w:val="25"/>
        </w:rPr>
      </w:pPr>
      <w:r>
        <w:rPr/>
        <w:br w:type="column"/>
      </w:r>
      <w:r>
        <w:rPr>
          <w:w w:val="146"/>
          <w:sz w:val="13"/>
        </w:rPr>
        <w:t>1</w:t>
      </w:r>
      <w:r>
        <w:rPr>
          <w:sz w:val="13"/>
        </w:rPr>
        <w:t>   </w:t>
      </w:r>
      <w:r>
        <w:rPr>
          <w:spacing w:val="-2"/>
          <w:sz w:val="13"/>
        </w:rPr>
        <w:t> </w:t>
      </w:r>
      <w:r>
        <w:rPr>
          <w:w w:val="93"/>
          <w:sz w:val="13"/>
        </w:rPr>
        <w:t>:....</w:t>
      </w:r>
      <w:r>
        <w:rPr>
          <w:sz w:val="13"/>
        </w:rPr>
        <w:tab/>
      </w:r>
      <w:r>
        <w:rPr>
          <w:spacing w:val="-118"/>
          <w:w w:val="107"/>
          <w:sz w:val="53"/>
        </w:rPr>
        <w:t>1</w:t>
      </w:r>
      <w:r>
        <w:rPr>
          <w:w w:val="32"/>
          <w:sz w:val="53"/>
        </w:rPr>
        <w:t>1</w:t>
      </w:r>
      <w:r>
        <w:rPr>
          <w:sz w:val="53"/>
        </w:rPr>
        <w:tab/>
      </w:r>
      <w:r>
        <w:rPr>
          <w:rFonts w:ascii="Arial"/>
          <w:i/>
          <w:w w:val="93"/>
          <w:sz w:val="20"/>
        </w:rPr>
        <w:t>dt</w:t>
      </w:r>
      <w:r>
        <w:rPr>
          <w:rFonts w:ascii="Arial"/>
          <w:i/>
          <w:sz w:val="20"/>
        </w:rPr>
        <w:t> </w:t>
      </w:r>
      <w:r>
        <w:rPr>
          <w:rFonts w:ascii="Arial"/>
          <w:i/>
          <w:spacing w:val="-20"/>
          <w:sz w:val="20"/>
        </w:rPr>
        <w:t> </w:t>
      </w:r>
      <w:r>
        <w:rPr>
          <w:rFonts w:ascii="Arial"/>
          <w:w w:val="54"/>
          <w:sz w:val="20"/>
        </w:rPr>
        <w:t>:....</w:t>
      </w:r>
      <w:r>
        <w:rPr>
          <w:rFonts w:ascii="Arial"/>
          <w:spacing w:val="26"/>
          <w:sz w:val="20"/>
        </w:rPr>
        <w:t> </w:t>
      </w:r>
      <w:r>
        <w:rPr>
          <w:rFonts w:ascii="Arial"/>
          <w:w w:val="92"/>
          <w:sz w:val="25"/>
        </w:rPr>
        <w:t>dJ</w:t>
      </w:r>
      <w:r>
        <w:rPr>
          <w:rFonts w:ascii="Arial"/>
          <w:spacing w:val="-12"/>
          <w:w w:val="92"/>
          <w:sz w:val="25"/>
        </w:rPr>
        <w:t>.</w:t>
      </w:r>
      <w:r>
        <w:rPr>
          <w:rFonts w:ascii="Arial"/>
          <w:w w:val="88"/>
          <w:sz w:val="25"/>
        </w:rPr>
        <w:t>+l</w:t>
      </w:r>
    </w:p>
    <w:p>
      <w:pPr>
        <w:pStyle w:val="BodyText"/>
        <w:rPr>
          <w:rFonts w:ascii="Arial"/>
        </w:rPr>
      </w:pPr>
      <w:r>
        <w:rPr/>
        <w:br w:type="column"/>
      </w:r>
      <w:r>
        <w:rPr>
          <w:rFonts w:ascii="Arial"/>
        </w:rPr>
      </w:r>
    </w:p>
    <w:p>
      <w:pPr>
        <w:pStyle w:val="BodyText"/>
        <w:rPr>
          <w:rFonts w:ascii="Arial"/>
        </w:rPr>
      </w:pPr>
    </w:p>
    <w:p>
      <w:pPr>
        <w:pStyle w:val="BodyText"/>
        <w:spacing w:before="174"/>
        <w:ind w:left="157"/>
      </w:pPr>
      <w:r>
        <w:rPr>
          <w:w w:val="105"/>
        </w:rPr>
        <w:t>( 11.14)</w:t>
      </w:r>
    </w:p>
    <w:p>
      <w:pPr>
        <w:spacing w:after="0"/>
        <w:sectPr>
          <w:type w:val="continuous"/>
          <w:pgSz w:w="7200" w:h="11340"/>
          <w:pgMar w:top="1100" w:bottom="0" w:left="620" w:right="560"/>
          <w:cols w:num="3" w:equalWidth="0">
            <w:col w:w="1088" w:space="637"/>
            <w:col w:w="2483" w:space="908"/>
            <w:col w:w="904"/>
          </w:cols>
        </w:sectPr>
      </w:pPr>
    </w:p>
    <w:p>
      <w:pPr>
        <w:pStyle w:val="BodyText"/>
        <w:spacing w:before="5"/>
        <w:rPr>
          <w:sz w:val="2"/>
        </w:rPr>
      </w:pPr>
    </w:p>
    <w:p>
      <w:pPr>
        <w:pStyle w:val="BodyText"/>
        <w:spacing w:line="62" w:lineRule="exact"/>
        <w:ind w:left="3795"/>
        <w:rPr>
          <w:sz w:val="6"/>
        </w:rPr>
      </w:pPr>
      <w:r>
        <w:rPr>
          <w:position w:val="0"/>
          <w:sz w:val="6"/>
        </w:rPr>
        <w:pict>
          <v:group style="width:15.2pt;height:3.1pt;mso-position-horizontal-relative:char;mso-position-vertical-relative:line" coordorigin="0,0" coordsize="304,62">
            <v:line style="position:absolute" from="31,31" to="272,31" stroked="true" strokeweight="3.06pt" strokecolor="#000000"/>
          </v:group>
        </w:pict>
      </w:r>
      <w:r>
        <w:rPr>
          <w:position w:val="0"/>
          <w:sz w:val="6"/>
        </w:rPr>
      </w:r>
    </w:p>
    <w:p>
      <w:pPr>
        <w:spacing w:after="0" w:line="62" w:lineRule="exact"/>
        <w:rPr>
          <w:sz w:val="6"/>
        </w:rPr>
        <w:sectPr>
          <w:type w:val="continuous"/>
          <w:pgSz w:w="7200" w:h="11340"/>
          <w:pgMar w:top="1100" w:bottom="0" w:left="620" w:right="560"/>
        </w:sectPr>
      </w:pPr>
    </w:p>
    <w:p>
      <w:pPr>
        <w:spacing w:before="84"/>
        <w:ind w:left="150" w:right="0" w:firstLine="0"/>
        <w:jc w:val="left"/>
        <w:rPr>
          <w:sz w:val="20"/>
        </w:rPr>
      </w:pPr>
      <w:r>
        <w:rPr/>
        <w:drawing>
          <wp:anchor distT="0" distB="0" distL="0" distR="0" allowOverlap="1" layoutInCell="1" locked="0" behindDoc="0" simplePos="0" relativeHeight="18256">
            <wp:simplePos x="0" y="0"/>
            <wp:positionH relativeFrom="page">
              <wp:posOffset>1581911</wp:posOffset>
            </wp:positionH>
            <wp:positionV relativeFrom="paragraph">
              <wp:posOffset>359141</wp:posOffset>
            </wp:positionV>
            <wp:extent cx="1444752" cy="310896"/>
            <wp:effectExtent l="0" t="0" r="0" b="0"/>
            <wp:wrapNone/>
            <wp:docPr id="497" name="image254.png" descr=""/>
            <wp:cNvGraphicFramePr>
              <a:graphicFrameLocks noChangeAspect="1"/>
            </wp:cNvGraphicFramePr>
            <a:graphic>
              <a:graphicData uri="http://schemas.openxmlformats.org/drawingml/2006/picture">
                <pic:pic>
                  <pic:nvPicPr>
                    <pic:cNvPr id="498" name="image254.png"/>
                    <pic:cNvPicPr/>
                  </pic:nvPicPr>
                  <pic:blipFill>
                    <a:blip r:embed="rId258" cstate="print"/>
                    <a:stretch>
                      <a:fillRect/>
                    </a:stretch>
                  </pic:blipFill>
                  <pic:spPr>
                    <a:xfrm>
                      <a:off x="0" y="0"/>
                      <a:ext cx="1444752" cy="310896"/>
                    </a:xfrm>
                    <a:prstGeom prst="rect">
                      <a:avLst/>
                    </a:prstGeom>
                  </pic:spPr>
                </pic:pic>
              </a:graphicData>
            </a:graphic>
          </wp:anchor>
        </w:drawing>
      </w:r>
      <w:r>
        <w:rPr/>
        <w:pict>
          <v:shape style="position:absolute;margin-left:125.099998pt;margin-top:-14.519792pt;width:110.3pt;height:11.5pt;mso-position-horizontal-relative:page;mso-position-vertical-relative:paragraph;z-index:-717784" type="#_x0000_t202" filled="false" stroked="false">
            <v:textbox inset="0,0,0,0">
              <w:txbxContent>
                <w:p>
                  <w:pPr>
                    <w:tabs>
                      <w:tab w:pos="561" w:val="left" w:leader="none"/>
                      <w:tab w:pos="1940" w:val="left" w:leader="none"/>
                    </w:tabs>
                    <w:spacing w:line="230" w:lineRule="exact" w:before="0"/>
                    <w:ind w:left="0" w:right="0" w:firstLine="0"/>
                    <w:jc w:val="left"/>
                    <w:rPr>
                      <w:rFonts w:ascii="Arial" w:hAnsi="Arial"/>
                      <w:b/>
                      <w:i/>
                      <w:sz w:val="23"/>
                    </w:rPr>
                  </w:pPr>
                  <w:r>
                    <w:rPr>
                      <w:rFonts w:ascii="Arial" w:hAnsi="Arial"/>
                      <w:b/>
                      <w:i/>
                      <w:w w:val="85"/>
                      <w:sz w:val="19"/>
                    </w:rPr>
                    <w:t>qªJI</w:t>
                    <w:tab/>
                  </w:r>
                  <w:r>
                    <w:rPr>
                      <w:rFonts w:ascii="Arial" w:hAnsi="Arial"/>
                      <w:b/>
                      <w:i/>
                      <w:w w:val="105"/>
                      <w:sz w:val="19"/>
                    </w:rPr>
                    <w:t>q. </w:t>
                  </w:r>
                  <w:r>
                    <w:rPr>
                      <w:rFonts w:ascii="Arial" w:hAnsi="Arial"/>
                      <w:b/>
                      <w:i/>
                      <w:spacing w:val="25"/>
                      <w:w w:val="105"/>
                      <w:sz w:val="19"/>
                    </w:rPr>
                    <w:t> </w:t>
                  </w:r>
                  <w:r>
                    <w:rPr>
                      <w:b/>
                      <w:w w:val="105"/>
                      <w:sz w:val="18"/>
                    </w:rPr>
                    <w:t>o </w:t>
                  </w:r>
                  <w:r>
                    <w:rPr>
                      <w:b/>
                      <w:spacing w:val="27"/>
                      <w:w w:val="105"/>
                      <w:sz w:val="18"/>
                    </w:rPr>
                    <w:t> </w:t>
                  </w:r>
                  <w:r>
                    <w:rPr>
                      <w:spacing w:val="-11"/>
                      <w:w w:val="215"/>
                      <w:sz w:val="18"/>
                    </w:rPr>
                    <w:t>,,.</w:t>
                    <w:tab/>
                  </w:r>
                  <w:r>
                    <w:rPr>
                      <w:rFonts w:ascii="Arial" w:hAnsi="Arial"/>
                      <w:b/>
                      <w:i/>
                      <w:sz w:val="23"/>
                    </w:rPr>
                    <w:t>lJ.</w:t>
                  </w:r>
                </w:p>
              </w:txbxContent>
            </v:textbox>
            <w10:wrap type="none"/>
          </v:shape>
        </w:pict>
      </w:r>
      <w:r>
        <w:rPr>
          <w:sz w:val="20"/>
        </w:rPr>
        <w:t>where </w:t>
      </w:r>
      <w:r>
        <w:rPr>
          <w:rFonts w:ascii="Arial"/>
          <w:w w:val="95"/>
          <w:sz w:val="25"/>
        </w:rPr>
        <w:t>Z.+l </w:t>
      </w:r>
      <w:r>
        <w:rPr>
          <w:sz w:val="20"/>
        </w:rPr>
        <w:t>is taken as </w:t>
      </w:r>
      <w:r>
        <w:rPr>
          <w:w w:val="110"/>
          <w:sz w:val="20"/>
        </w:rPr>
        <w:t>j  </w:t>
      </w:r>
      <w:r>
        <w:rPr>
          <w:rFonts w:ascii="Arial"/>
          <w:w w:val="95"/>
          <w:sz w:val="25"/>
        </w:rPr>
        <w:t>(Z. </w:t>
      </w:r>
      <w:r>
        <w:rPr>
          <w:rFonts w:ascii="Arial"/>
          <w:sz w:val="31"/>
        </w:rPr>
        <w:t>+ </w:t>
      </w:r>
      <w:r>
        <w:rPr>
          <w:sz w:val="20"/>
        </w:rPr>
        <w:t>4+1). Then</w:t>
      </w:r>
    </w:p>
    <w:p>
      <w:pPr>
        <w:pStyle w:val="BodyText"/>
        <w:rPr>
          <w:sz w:val="18"/>
        </w:rPr>
      </w:pPr>
      <w:r>
        <w:rPr/>
        <w:br w:type="column"/>
      </w:r>
      <w:r>
        <w:rPr>
          <w:sz w:val="18"/>
        </w:rPr>
      </w:r>
    </w:p>
    <w:p>
      <w:pPr>
        <w:pStyle w:val="BodyText"/>
        <w:rPr>
          <w:sz w:val="18"/>
        </w:rPr>
      </w:pPr>
    </w:p>
    <w:p>
      <w:pPr>
        <w:pStyle w:val="BodyText"/>
        <w:spacing w:before="3"/>
        <w:rPr>
          <w:sz w:val="25"/>
        </w:rPr>
      </w:pPr>
    </w:p>
    <w:p>
      <w:pPr>
        <w:spacing w:before="0"/>
        <w:ind w:left="150" w:right="0" w:firstLine="0"/>
        <w:jc w:val="left"/>
        <w:rPr>
          <w:sz w:val="19"/>
        </w:rPr>
      </w:pPr>
      <w:r>
        <w:rPr>
          <w:w w:val="115"/>
          <w:sz w:val="19"/>
        </w:rPr>
        <w:t>( 11.15)</w:t>
      </w:r>
    </w:p>
    <w:p>
      <w:pPr>
        <w:spacing w:after="0"/>
        <w:jc w:val="left"/>
        <w:rPr>
          <w:sz w:val="19"/>
        </w:rPr>
        <w:sectPr>
          <w:type w:val="continuous"/>
          <w:pgSz w:w="7200" w:h="11340"/>
          <w:pgMar w:top="1100" w:bottom="0" w:left="620" w:right="560"/>
          <w:cols w:num="2" w:equalWidth="0">
            <w:col w:w="4147" w:space="972"/>
            <w:col w:w="901"/>
          </w:cols>
        </w:sectPr>
      </w:pPr>
    </w:p>
    <w:p>
      <w:pPr>
        <w:pStyle w:val="BodyText"/>
        <w:spacing w:before="8"/>
        <w:rPr>
          <w:sz w:val="18"/>
        </w:rPr>
      </w:pPr>
    </w:p>
    <w:p>
      <w:pPr>
        <w:spacing w:before="74"/>
        <w:ind w:left="150" w:right="0" w:firstLine="0"/>
        <w:jc w:val="left"/>
        <w:rPr>
          <w:sz w:val="19"/>
        </w:rPr>
      </w:pPr>
      <w:r>
        <w:rPr>
          <w:rFonts w:ascii="Arial"/>
          <w:w w:val="105"/>
          <w:sz w:val="20"/>
        </w:rPr>
        <w:t>A  </w:t>
      </w:r>
      <w:r>
        <w:rPr>
          <w:w w:val="105"/>
          <w:sz w:val="19"/>
        </w:rPr>
        <w:t>similar  </w:t>
      </w:r>
      <w:r>
        <w:rPr>
          <w:w w:val="105"/>
          <w:sz w:val="20"/>
        </w:rPr>
        <w:t>approxima.tion  can  </w:t>
      </w:r>
      <w:r>
        <w:rPr>
          <w:w w:val="105"/>
          <w:sz w:val="19"/>
        </w:rPr>
        <w:t>be  used  </w:t>
      </w:r>
      <w:r>
        <w:rPr>
          <w:w w:val="105"/>
          <w:sz w:val="20"/>
        </w:rPr>
        <w:t>when  more  than  two </w:t>
      </w:r>
      <w:r>
        <w:rPr>
          <w:w w:val="105"/>
          <w:sz w:val="19"/>
        </w:rPr>
        <w:t>lives</w:t>
      </w:r>
    </w:p>
    <w:p>
      <w:pPr>
        <w:pStyle w:val="BodyText"/>
        <w:spacing w:before="7"/>
        <w:ind w:left="146"/>
      </w:pPr>
      <w:r>
        <w:rPr>
          <w:w w:val="110"/>
        </w:rPr>
        <w:t>are involved:</w:t>
      </w:r>
    </w:p>
    <w:p>
      <w:pPr>
        <w:spacing w:before="151"/>
        <w:ind w:left="1458" w:right="0" w:firstLine="0"/>
        <w:jc w:val="center"/>
        <w:rPr>
          <w:sz w:val="19"/>
        </w:rPr>
      </w:pPr>
      <w:r>
        <w:rPr>
          <w:position w:val="-17"/>
        </w:rPr>
        <w:drawing>
          <wp:inline distT="0" distB="0" distL="0" distR="0">
            <wp:extent cx="1764792" cy="320039"/>
            <wp:effectExtent l="0" t="0" r="0" b="0"/>
            <wp:docPr id="499" name="image255.png" descr=""/>
            <wp:cNvGraphicFramePr>
              <a:graphicFrameLocks noChangeAspect="1"/>
            </wp:cNvGraphicFramePr>
            <a:graphic>
              <a:graphicData uri="http://schemas.openxmlformats.org/drawingml/2006/picture">
                <pic:pic>
                  <pic:nvPicPr>
                    <pic:cNvPr id="500" name="image255.png"/>
                    <pic:cNvPicPr/>
                  </pic:nvPicPr>
                  <pic:blipFill>
                    <a:blip r:embed="rId259" cstate="print"/>
                    <a:stretch>
                      <a:fillRect/>
                    </a:stretch>
                  </pic:blipFill>
                  <pic:spPr>
                    <a:xfrm>
                      <a:off x="0" y="0"/>
                      <a:ext cx="1764792" cy="320039"/>
                    </a:xfrm>
                    <a:prstGeom prst="rect">
                      <a:avLst/>
                    </a:prstGeom>
                  </pic:spPr>
                </pic:pic>
              </a:graphicData>
            </a:graphic>
          </wp:inline>
        </w:drawing>
      </w:r>
      <w:r>
        <w:rPr>
          <w:position w:val="-17"/>
        </w:rPr>
      </w:r>
      <w:r>
        <w:rPr>
          <w:sz w:val="20"/>
        </w:rPr>
        <w:t>                </w:t>
      </w:r>
      <w:r>
        <w:rPr>
          <w:w w:val="110"/>
          <w:sz w:val="19"/>
        </w:rPr>
        <w:t>(11.16)</w:t>
      </w:r>
    </w:p>
    <w:p>
      <w:pPr>
        <w:pStyle w:val="BodyText"/>
        <w:spacing w:line="252" w:lineRule="auto" w:before="195"/>
        <w:ind w:left="139" w:right="141" w:firstLine="201"/>
        <w:jc w:val="both"/>
        <w:rPr>
          <w:b/>
          <w:sz w:val="19"/>
        </w:rPr>
      </w:pPr>
      <w:r>
        <w:rPr>
          <w:w w:val="105"/>
        </w:rPr>
        <w:t>When either Gompertz's or Makeham's law applies, special formulas are available which make possible an cxact evaluation.  For  instance,  with  Gompertz's </w:t>
      </w:r>
      <w:r>
        <w:rPr>
          <w:spacing w:val="10"/>
          <w:w w:val="105"/>
        </w:rPr>
        <w:t> </w:t>
      </w:r>
      <w:r>
        <w:rPr>
          <w:b/>
          <w:w w:val="105"/>
          <w:sz w:val="19"/>
        </w:rPr>
        <w:t>law,</w:t>
      </w:r>
    </w:p>
    <w:p>
      <w:pPr>
        <w:pStyle w:val="BodyText"/>
        <w:spacing w:before="10"/>
        <w:rPr>
          <w:b/>
          <w:sz w:val="11"/>
        </w:rPr>
      </w:pPr>
      <w:r>
        <w:rPr/>
        <w:drawing>
          <wp:anchor distT="0" distB="0" distL="0" distR="0" allowOverlap="1" layoutInCell="1" locked="0" behindDoc="0" simplePos="0" relativeHeight="18184">
            <wp:simplePos x="0" y="0"/>
            <wp:positionH relativeFrom="page">
              <wp:posOffset>466344</wp:posOffset>
            </wp:positionH>
            <wp:positionV relativeFrom="paragraph">
              <wp:posOffset>111800</wp:posOffset>
            </wp:positionV>
            <wp:extent cx="1856231" cy="283463"/>
            <wp:effectExtent l="0" t="0" r="0" b="0"/>
            <wp:wrapTopAndBottom/>
            <wp:docPr id="501" name="image256.png" descr=""/>
            <wp:cNvGraphicFramePr>
              <a:graphicFrameLocks noChangeAspect="1"/>
            </wp:cNvGraphicFramePr>
            <a:graphic>
              <a:graphicData uri="http://schemas.openxmlformats.org/drawingml/2006/picture">
                <pic:pic>
                  <pic:nvPicPr>
                    <pic:cNvPr id="502" name="image256.png"/>
                    <pic:cNvPicPr/>
                  </pic:nvPicPr>
                  <pic:blipFill>
                    <a:blip r:embed="rId260" cstate="print"/>
                    <a:stretch>
                      <a:fillRect/>
                    </a:stretch>
                  </pic:blipFill>
                  <pic:spPr>
                    <a:xfrm>
                      <a:off x="0" y="0"/>
                      <a:ext cx="1856231" cy="283463"/>
                    </a:xfrm>
                    <a:prstGeom prst="rect">
                      <a:avLst/>
                    </a:prstGeom>
                  </pic:spPr>
                </pic:pic>
              </a:graphicData>
            </a:graphic>
          </wp:anchor>
        </w:drawing>
      </w:r>
      <w:r>
        <w:rPr/>
        <w:drawing>
          <wp:anchor distT="0" distB="0" distL="0" distR="0" allowOverlap="1" layoutInCell="1" locked="0" behindDoc="0" simplePos="0" relativeHeight="18208">
            <wp:simplePos x="0" y="0"/>
            <wp:positionH relativeFrom="page">
              <wp:posOffset>493776</wp:posOffset>
            </wp:positionH>
            <wp:positionV relativeFrom="paragraph">
              <wp:posOffset>495848</wp:posOffset>
            </wp:positionV>
            <wp:extent cx="3639312" cy="301751"/>
            <wp:effectExtent l="0" t="0" r="0" b="0"/>
            <wp:wrapTopAndBottom/>
            <wp:docPr id="503" name="image257.png" descr=""/>
            <wp:cNvGraphicFramePr>
              <a:graphicFrameLocks noChangeAspect="1"/>
            </wp:cNvGraphicFramePr>
            <a:graphic>
              <a:graphicData uri="http://schemas.openxmlformats.org/drawingml/2006/picture">
                <pic:pic>
                  <pic:nvPicPr>
                    <pic:cNvPr id="504" name="image257.png"/>
                    <pic:cNvPicPr/>
                  </pic:nvPicPr>
                  <pic:blipFill>
                    <a:blip r:embed="rId261" cstate="print"/>
                    <a:stretch>
                      <a:fillRect/>
                    </a:stretch>
                  </pic:blipFill>
                  <pic:spPr>
                    <a:xfrm>
                      <a:off x="0" y="0"/>
                      <a:ext cx="3639312" cy="301751"/>
                    </a:xfrm>
                    <a:prstGeom prst="rect">
                      <a:avLst/>
                    </a:prstGeom>
                  </pic:spPr>
                </pic:pic>
              </a:graphicData>
            </a:graphic>
          </wp:anchor>
        </w:drawing>
      </w:r>
      <w:r>
        <w:rPr/>
        <w:drawing>
          <wp:anchor distT="0" distB="0" distL="0" distR="0" allowOverlap="1" layoutInCell="1" locked="0" behindDoc="0" simplePos="0" relativeHeight="18232">
            <wp:simplePos x="0" y="0"/>
            <wp:positionH relativeFrom="page">
              <wp:posOffset>484631</wp:posOffset>
            </wp:positionH>
            <wp:positionV relativeFrom="paragraph">
              <wp:posOffset>898184</wp:posOffset>
            </wp:positionV>
            <wp:extent cx="1938528" cy="301751"/>
            <wp:effectExtent l="0" t="0" r="0" b="0"/>
            <wp:wrapTopAndBottom/>
            <wp:docPr id="505" name="image258.png" descr=""/>
            <wp:cNvGraphicFramePr>
              <a:graphicFrameLocks noChangeAspect="1"/>
            </wp:cNvGraphicFramePr>
            <a:graphic>
              <a:graphicData uri="http://schemas.openxmlformats.org/drawingml/2006/picture">
                <pic:pic>
                  <pic:nvPicPr>
                    <pic:cNvPr id="506" name="image258.png"/>
                    <pic:cNvPicPr/>
                  </pic:nvPicPr>
                  <pic:blipFill>
                    <a:blip r:embed="rId262" cstate="print"/>
                    <a:stretch>
                      <a:fillRect/>
                    </a:stretch>
                  </pic:blipFill>
                  <pic:spPr>
                    <a:xfrm>
                      <a:off x="0" y="0"/>
                      <a:ext cx="1938528" cy="301751"/>
                    </a:xfrm>
                    <a:prstGeom prst="rect">
                      <a:avLst/>
                    </a:prstGeom>
                  </pic:spPr>
                </pic:pic>
              </a:graphicData>
            </a:graphic>
          </wp:anchor>
        </w:drawing>
      </w:r>
    </w:p>
    <w:p>
      <w:pPr>
        <w:pStyle w:val="BodyText"/>
        <w:spacing w:before="9"/>
        <w:rPr>
          <w:b/>
          <w:sz w:val="7"/>
        </w:rPr>
      </w:pPr>
    </w:p>
    <w:p>
      <w:pPr>
        <w:pStyle w:val="BodyText"/>
        <w:spacing w:before="9"/>
        <w:rPr>
          <w:b/>
          <w:sz w:val="7"/>
        </w:rPr>
      </w:pPr>
    </w:p>
    <w:p>
      <w:pPr>
        <w:pStyle w:val="BodyText"/>
        <w:spacing w:before="129"/>
        <w:ind w:left="143"/>
      </w:pPr>
      <w:r>
        <w:rPr>
          <w:position w:val="-17"/>
        </w:rPr>
        <w:drawing>
          <wp:inline distT="0" distB="0" distL="0" distR="0">
            <wp:extent cx="1161288" cy="292607"/>
            <wp:effectExtent l="0" t="0" r="0" b="0"/>
            <wp:docPr id="507" name="image259.png" descr=""/>
            <wp:cNvGraphicFramePr>
              <a:graphicFrameLocks noChangeAspect="1"/>
            </wp:cNvGraphicFramePr>
            <a:graphic>
              <a:graphicData uri="http://schemas.openxmlformats.org/drawingml/2006/picture">
                <pic:pic>
                  <pic:nvPicPr>
                    <pic:cNvPr id="508" name="image259.png"/>
                    <pic:cNvPicPr/>
                  </pic:nvPicPr>
                  <pic:blipFill>
                    <a:blip r:embed="rId263" cstate="print"/>
                    <a:stretch>
                      <a:fillRect/>
                    </a:stretch>
                  </pic:blipFill>
                  <pic:spPr>
                    <a:xfrm>
                      <a:off x="0" y="0"/>
                      <a:ext cx="1161288" cy="292607"/>
                    </a:xfrm>
                    <a:prstGeom prst="rect">
                      <a:avLst/>
                    </a:prstGeom>
                  </pic:spPr>
                </pic:pic>
              </a:graphicData>
            </a:graphic>
          </wp:inline>
        </w:drawing>
      </w:r>
      <w:r>
        <w:rPr>
          <w:position w:val="-17"/>
        </w:rPr>
      </w:r>
      <w:r>
        <w:rPr/>
        <w:t>                                                                 </w:t>
      </w:r>
      <w:r>
        <w:rPr>
          <w:w w:val="110"/>
        </w:rPr>
        <w:t>(11.17)</w:t>
      </w:r>
    </w:p>
    <w:p>
      <w:pPr>
        <w:pStyle w:val="BodyText"/>
        <w:spacing w:line="252" w:lineRule="auto" w:before="169"/>
        <w:ind w:left="128" w:right="229" w:hanging="4"/>
      </w:pPr>
      <w:r>
        <w:rPr>
          <w:w w:val="105"/>
        </w:rPr>
        <w:t>where </w:t>
      </w:r>
      <w:r>
        <w:rPr>
          <w:rFonts w:ascii="Arial"/>
          <w:i/>
          <w:w w:val="105"/>
        </w:rPr>
        <w:t>w </w:t>
      </w:r>
      <w:r>
        <w:rPr>
          <w:w w:val="105"/>
        </w:rPr>
        <w:t>is the age of the equivalent single life. A special case of  the above result </w:t>
      </w:r>
      <w:r>
        <w:rPr>
          <w:spacing w:val="22"/>
          <w:w w:val="105"/>
        </w:rPr>
        <w:t> </w:t>
      </w:r>
      <w:r>
        <w:rPr>
          <w:w w:val="105"/>
        </w:rPr>
        <w:t>is</w:t>
      </w:r>
    </w:p>
    <w:p>
      <w:pPr>
        <w:pStyle w:val="BodyText"/>
        <w:spacing w:before="169"/>
        <w:ind w:left="1265"/>
        <w:jc w:val="center"/>
      </w:pPr>
      <w:r>
        <w:rPr>
          <w:position w:val="-20"/>
        </w:rPr>
        <w:drawing>
          <wp:inline distT="0" distB="0" distL="0" distR="0">
            <wp:extent cx="1408175" cy="310896"/>
            <wp:effectExtent l="0" t="0" r="0" b="0"/>
            <wp:docPr id="509" name="image260.png" descr=""/>
            <wp:cNvGraphicFramePr>
              <a:graphicFrameLocks noChangeAspect="1"/>
            </wp:cNvGraphicFramePr>
            <a:graphic>
              <a:graphicData uri="http://schemas.openxmlformats.org/drawingml/2006/picture">
                <pic:pic>
                  <pic:nvPicPr>
                    <pic:cNvPr id="510" name="image260.png"/>
                    <pic:cNvPicPr/>
                  </pic:nvPicPr>
                  <pic:blipFill>
                    <a:blip r:embed="rId264" cstate="print"/>
                    <a:stretch>
                      <a:fillRect/>
                    </a:stretch>
                  </pic:blipFill>
                  <pic:spPr>
                    <a:xfrm>
                      <a:off x="0" y="0"/>
                      <a:ext cx="1408175" cy="310896"/>
                    </a:xfrm>
                    <a:prstGeom prst="rect">
                      <a:avLst/>
                    </a:prstGeom>
                  </pic:spPr>
                </pic:pic>
              </a:graphicData>
            </a:graphic>
          </wp:inline>
        </w:drawing>
      </w:r>
      <w:r>
        <w:rPr>
          <w:position w:val="-20"/>
        </w:rPr>
      </w:r>
      <w:r>
        <w:rPr/>
        <w:t>                               </w:t>
      </w:r>
      <w:r>
        <w:rPr>
          <w:spacing w:val="-8"/>
          <w:w w:val="115"/>
        </w:rPr>
        <w:t>(11.18)</w:t>
      </w:r>
    </w:p>
    <w:p>
      <w:pPr>
        <w:spacing w:before="177"/>
        <w:ind w:left="132" w:right="0" w:firstLine="0"/>
        <w:jc w:val="left"/>
        <w:rPr>
          <w:sz w:val="20"/>
        </w:rPr>
      </w:pPr>
      <w:r>
        <w:rPr>
          <w:w w:val="105"/>
          <w:sz w:val="19"/>
        </w:rPr>
        <w:t>We </w:t>
      </w:r>
      <w:r>
        <w:rPr>
          <w:rFonts w:ascii="Arial"/>
          <w:w w:val="105"/>
          <w:sz w:val="18"/>
        </w:rPr>
        <w:t>may </w:t>
      </w:r>
      <w:r>
        <w:rPr>
          <w:w w:val="105"/>
          <w:sz w:val="20"/>
        </w:rPr>
        <w:t>then write</w:t>
      </w:r>
    </w:p>
    <w:p>
      <w:pPr>
        <w:tabs>
          <w:tab w:pos="5255" w:val="left" w:leader="none"/>
        </w:tabs>
        <w:spacing w:before="151"/>
        <w:ind w:left="1550" w:right="0" w:firstLine="0"/>
        <w:jc w:val="left"/>
        <w:rPr>
          <w:sz w:val="19"/>
        </w:rPr>
      </w:pPr>
      <w:r>
        <w:rPr/>
        <w:pict>
          <v:shape style="position:absolute;margin-left:117.18pt;margin-top:7.751097pt;width:60.55pt;height:6pt;mso-position-horizontal-relative:page;mso-position-vertical-relative:paragraph;z-index:-717760" type="#_x0000_t202" filled="false" stroked="false">
            <v:textbox inset="0,0,0,0">
              <w:txbxContent>
                <w:p>
                  <w:pPr>
                    <w:tabs>
                      <w:tab w:pos="1115" w:val="left" w:leader="none"/>
                    </w:tabs>
                    <w:spacing w:line="120" w:lineRule="exact" w:before="0"/>
                    <w:ind w:left="0" w:right="0" w:firstLine="0"/>
                    <w:jc w:val="left"/>
                    <w:rPr>
                      <w:sz w:val="12"/>
                    </w:rPr>
                  </w:pPr>
                  <w:r>
                    <w:rPr>
                      <w:w w:val="165"/>
                      <w:sz w:val="12"/>
                    </w:rPr>
                    <w:t>1</w:t>
                    <w:tab/>
                  </w:r>
                  <w:r>
                    <w:rPr>
                      <w:w w:val="155"/>
                      <w:sz w:val="12"/>
                    </w:rPr>
                    <w:t>1</w:t>
                  </w:r>
                </w:p>
              </w:txbxContent>
            </v:textbox>
            <w10:wrap type="none"/>
          </v:shape>
        </w:pict>
      </w:r>
      <w:r>
        <w:rPr>
          <w:spacing w:val="-3"/>
          <w:w w:val="115"/>
          <w:sz w:val="20"/>
        </w:rPr>
        <w:t>,.qs1•t···z• </w:t>
      </w:r>
      <w:r>
        <w:rPr>
          <w:w w:val="115"/>
          <w:sz w:val="24"/>
        </w:rPr>
        <w:t>=</w:t>
      </w:r>
      <w:r>
        <w:rPr>
          <w:spacing w:val="-44"/>
          <w:w w:val="115"/>
          <w:sz w:val="24"/>
        </w:rPr>
        <w:t> </w:t>
      </w:r>
      <w:r>
        <w:rPr>
          <w:b/>
          <w:w w:val="115"/>
          <w:sz w:val="12"/>
        </w:rPr>
        <w:t>ooqs1z1 ..·••',aq:a:1:a:1···••</w:t>
      </w:r>
      <w:r>
        <w:rPr>
          <w:b/>
          <w:spacing w:val="6"/>
          <w:w w:val="115"/>
          <w:sz w:val="12"/>
        </w:rPr>
        <w:t> </w:t>
      </w:r>
      <w:r>
        <w:rPr>
          <w:w w:val="115"/>
          <w:sz w:val="12"/>
        </w:rPr>
        <w:t>•</w:t>
        <w:tab/>
      </w:r>
      <w:r>
        <w:rPr>
          <w:spacing w:val="-13"/>
          <w:w w:val="115"/>
          <w:position w:val="6"/>
          <w:sz w:val="19"/>
        </w:rPr>
        <w:t>{11.19)</w:t>
      </w:r>
    </w:p>
    <w:p>
      <w:pPr>
        <w:spacing w:after="0"/>
        <w:jc w:val="left"/>
        <w:rPr>
          <w:sz w:val="19"/>
        </w:rPr>
        <w:sectPr>
          <w:type w:val="continuous"/>
          <w:pgSz w:w="7200" w:h="11340"/>
          <w:pgMar w:top="1100" w:bottom="0" w:left="620" w:right="560"/>
        </w:sectPr>
      </w:pPr>
    </w:p>
    <w:p>
      <w:pPr>
        <w:tabs>
          <w:tab w:pos="978" w:val="left" w:leader="none"/>
          <w:tab w:pos="5821" w:val="right" w:leader="none"/>
        </w:tabs>
        <w:spacing w:before="60"/>
        <w:ind w:left="117" w:right="0" w:firstLine="0"/>
        <w:jc w:val="left"/>
        <w:rPr>
          <w:sz w:val="19"/>
        </w:rPr>
      </w:pPr>
      <w:r>
        <w:rPr>
          <w:color w:val="010101"/>
          <w:w w:val="114"/>
          <w:sz w:val="15"/>
        </w:rPr>
        <w:t>SEC.</w:t>
      </w:r>
      <w:r>
        <w:rPr>
          <w:color w:val="010101"/>
          <w:sz w:val="15"/>
        </w:rPr>
        <w:t> </w:t>
      </w:r>
      <w:r>
        <w:rPr>
          <w:color w:val="010101"/>
          <w:spacing w:val="17"/>
          <w:sz w:val="15"/>
        </w:rPr>
        <w:t> </w:t>
      </w:r>
      <w:r>
        <w:rPr>
          <w:color w:val="010101"/>
          <w:w w:val="103"/>
          <w:sz w:val="19"/>
        </w:rPr>
        <w:t>3]</w:t>
      </w:r>
      <w:r>
        <w:rPr>
          <w:color w:val="010101"/>
          <w:sz w:val="19"/>
        </w:rPr>
        <w:tab/>
      </w:r>
      <w:r>
        <w:rPr>
          <w:color w:val="5B5B5B"/>
          <w:w w:val="52"/>
          <w:sz w:val="19"/>
        </w:rPr>
        <w:t>·</w:t>
      </w:r>
      <w:r>
        <w:rPr>
          <w:color w:val="5B5B5B"/>
          <w:spacing w:val="-6"/>
          <w:sz w:val="19"/>
        </w:rPr>
        <w:t> </w:t>
      </w:r>
      <w:r>
        <w:rPr>
          <w:color w:val="010101"/>
          <w:w w:val="104"/>
          <w:sz w:val="15"/>
        </w:rPr>
        <w:t>EVALUATION</w:t>
      </w:r>
      <w:r>
        <w:rPr>
          <w:color w:val="010101"/>
          <w:sz w:val="15"/>
        </w:rPr>
        <w:t>  </w:t>
      </w:r>
      <w:r>
        <w:rPr>
          <w:color w:val="010101"/>
          <w:spacing w:val="5"/>
          <w:sz w:val="15"/>
        </w:rPr>
        <w:t> </w:t>
      </w:r>
      <w:r>
        <w:rPr>
          <w:color w:val="010101"/>
          <w:spacing w:val="-9"/>
          <w:w w:val="160"/>
          <w:sz w:val="15"/>
        </w:rPr>
        <w:t>0</w:t>
      </w:r>
      <w:r>
        <w:rPr>
          <w:color w:val="010101"/>
          <w:w w:val="62"/>
          <w:sz w:val="15"/>
        </w:rPr>
        <w:t>11'</w:t>
      </w:r>
      <w:r>
        <w:rPr>
          <w:color w:val="010101"/>
          <w:sz w:val="15"/>
        </w:rPr>
        <w:t> </w:t>
      </w:r>
      <w:r>
        <w:rPr>
          <w:color w:val="010101"/>
          <w:spacing w:val="10"/>
          <w:sz w:val="15"/>
        </w:rPr>
        <w:t> </w:t>
      </w:r>
      <w:r>
        <w:rPr>
          <w:color w:val="010101"/>
          <w:w w:val="106"/>
          <w:sz w:val="15"/>
        </w:rPr>
        <w:t>CONTINGENT</w:t>
      </w:r>
      <w:r>
        <w:rPr>
          <w:color w:val="010101"/>
          <w:sz w:val="15"/>
        </w:rPr>
        <w:t>  </w:t>
      </w:r>
      <w:r>
        <w:rPr>
          <w:color w:val="010101"/>
          <w:spacing w:val="-2"/>
          <w:sz w:val="15"/>
        </w:rPr>
        <w:t> </w:t>
      </w:r>
      <w:r>
        <w:rPr>
          <w:color w:val="010101"/>
          <w:w w:val="109"/>
          <w:sz w:val="15"/>
        </w:rPr>
        <w:t>PROBABILITIES</w:t>
      </w:r>
      <w:r>
        <w:rPr>
          <w:color w:val="010101"/>
          <w:sz w:val="19"/>
        </w:rPr>
        <w:t> </w:t>
        <w:tab/>
      </w:r>
      <w:r>
        <w:rPr>
          <w:color w:val="010101"/>
          <w:w w:val="107"/>
          <w:sz w:val="19"/>
        </w:rPr>
        <w:t>231</w:t>
      </w:r>
    </w:p>
    <w:p>
      <w:pPr>
        <w:pStyle w:val="BodyText"/>
        <w:spacing w:before="3"/>
        <w:rPr>
          <w:sz w:val="21"/>
        </w:rPr>
      </w:pPr>
    </w:p>
    <w:p>
      <w:pPr>
        <w:pStyle w:val="BodyText"/>
        <w:spacing w:line="230" w:lineRule="auto" w:before="1"/>
        <w:ind w:left="114" w:right="145"/>
        <w:jc w:val="both"/>
      </w:pPr>
      <w:r>
        <w:rPr>
          <w:color w:val="010101"/>
          <w:w w:val="105"/>
        </w:rPr>
        <w:t>Thus, with Gompertz's </w:t>
      </w:r>
      <w:r>
        <w:rPr>
          <w:color w:val="010101"/>
          <w:w w:val="105"/>
          <w:sz w:val="21"/>
        </w:rPr>
        <w:t>law, </w:t>
      </w:r>
      <w:r>
        <w:rPr>
          <w:color w:val="010101"/>
          <w:w w:val="105"/>
        </w:rPr>
        <w:t>the proba.bility tha.t (x1) </w:t>
      </w:r>
      <w:r>
        <w:rPr>
          <w:color w:val="010101"/>
          <w:w w:val="105"/>
          <w:sz w:val="21"/>
        </w:rPr>
        <w:t>will </w:t>
      </w:r>
      <w:r>
        <w:rPr>
          <w:color w:val="010101"/>
          <w:w w:val="105"/>
        </w:rPr>
        <w:t>die first within </w:t>
      </w:r>
      <w:r>
        <w:rPr>
          <w:i/>
          <w:color w:val="010101"/>
          <w:w w:val="105"/>
          <w:sz w:val="21"/>
        </w:rPr>
        <w:t>n </w:t>
      </w:r>
      <w:r>
        <w:rPr>
          <w:color w:val="010101"/>
          <w:w w:val="105"/>
        </w:rPr>
        <w:t>years is equal </w:t>
      </w:r>
      <w:r>
        <w:rPr>
          <w:color w:val="010101"/>
          <w:w w:val="105"/>
          <w:sz w:val="22"/>
        </w:rPr>
        <w:t>to </w:t>
      </w:r>
      <w:r>
        <w:rPr>
          <w:color w:val="010101"/>
          <w:w w:val="105"/>
        </w:rPr>
        <w:t>the proba.bility tha.t (x1) </w:t>
      </w:r>
      <w:r>
        <w:rPr>
          <w:color w:val="010101"/>
          <w:w w:val="105"/>
          <w:sz w:val="21"/>
        </w:rPr>
        <w:t>will </w:t>
      </w:r>
      <w:r>
        <w:rPr>
          <w:rFonts w:ascii="Arial"/>
          <w:color w:val="010101"/>
          <w:w w:val="105"/>
          <w:sz w:val="21"/>
        </w:rPr>
        <w:t>be </w:t>
      </w:r>
      <w:r>
        <w:rPr>
          <w:color w:val="010101"/>
          <w:w w:val="105"/>
        </w:rPr>
        <w:t>the</w:t>
      </w:r>
      <w:r>
        <w:rPr>
          <w:color w:val="010101"/>
          <w:spacing w:val="-17"/>
          <w:w w:val="105"/>
        </w:rPr>
        <w:t> </w:t>
      </w:r>
      <w:r>
        <w:rPr>
          <w:color w:val="010101"/>
          <w:w w:val="105"/>
        </w:rPr>
        <w:t>6.rst </w:t>
      </w:r>
      <w:r>
        <w:rPr>
          <w:color w:val="010101"/>
          <w:w w:val="105"/>
          <w:sz w:val="22"/>
        </w:rPr>
        <w:t>to </w:t>
      </w:r>
      <w:r>
        <w:rPr>
          <w:color w:val="010101"/>
          <w:w w:val="105"/>
        </w:rPr>
        <w:t>die multiplied by the proba.bility that the joint lives will fail within  </w:t>
      </w:r>
      <w:r>
        <w:rPr>
          <w:i/>
          <w:color w:val="010101"/>
          <w:w w:val="105"/>
          <w:sz w:val="22"/>
        </w:rPr>
        <w:t>n</w:t>
      </w:r>
      <w:r>
        <w:rPr>
          <w:i/>
          <w:color w:val="010101"/>
          <w:spacing w:val="-24"/>
          <w:w w:val="105"/>
          <w:sz w:val="22"/>
        </w:rPr>
        <w:t> </w:t>
      </w:r>
      <w:r>
        <w:rPr>
          <w:color w:val="010101"/>
          <w:w w:val="105"/>
        </w:rPr>
        <w:t>years.</w:t>
      </w:r>
    </w:p>
    <w:p>
      <w:pPr>
        <w:pStyle w:val="BodyText"/>
        <w:spacing w:line="249" w:lineRule="auto"/>
        <w:ind w:left="125" w:right="133" w:firstLine="186"/>
      </w:pPr>
      <w:r>
        <w:rPr>
          <w:color w:val="010101"/>
          <w:w w:val="105"/>
        </w:rPr>
        <w:t>A precise fonnula. may a.lso </w:t>
      </w:r>
      <w:r>
        <w:rPr>
          <w:rFonts w:ascii="Arial"/>
          <w:color w:val="010101"/>
          <w:w w:val="105"/>
          <w:sz w:val="21"/>
        </w:rPr>
        <w:t>be </w:t>
      </w:r>
      <w:r>
        <w:rPr>
          <w:color w:val="010101"/>
          <w:w w:val="105"/>
        </w:rPr>
        <w:t>obta.ined when Makeham's la.w applies. With  this law, </w:t>
      </w:r>
      <w:r>
        <w:rPr>
          <w:color w:val="010101"/>
          <w:w w:val="105"/>
          <w:sz w:val="19"/>
        </w:rPr>
        <w:t>we  </w:t>
      </w:r>
      <w:r>
        <w:rPr>
          <w:color w:val="010101"/>
          <w:w w:val="105"/>
        </w:rPr>
        <w:t>have</w:t>
      </w:r>
    </w:p>
    <w:p>
      <w:pPr>
        <w:spacing w:line="554" w:lineRule="exact" w:before="0"/>
        <w:ind w:left="74" w:right="156" w:firstLine="0"/>
        <w:jc w:val="center"/>
        <w:rPr>
          <w:i/>
          <w:sz w:val="22"/>
        </w:rPr>
      </w:pPr>
      <w:r>
        <w:rPr/>
        <w:pict>
          <v:shape style="position:absolute;margin-left:246.457397pt;margin-top:13.82833pt;width:4.05pt;height:5.5pt;mso-position-horizontal-relative:page;mso-position-vertical-relative:paragraph;z-index:-717664" type="#_x0000_t202" filled="false" stroked="false">
            <v:textbox inset="0,0,0,0">
              <w:txbxContent>
                <w:p>
                  <w:pPr>
                    <w:spacing w:line="110" w:lineRule="exact" w:before="0"/>
                    <w:ind w:left="0" w:right="0" w:firstLine="0"/>
                    <w:jc w:val="left"/>
                    <w:rPr>
                      <w:sz w:val="11"/>
                    </w:rPr>
                  </w:pPr>
                  <w:r>
                    <w:rPr>
                      <w:color w:val="010101"/>
                      <w:w w:val="147"/>
                      <w:sz w:val="11"/>
                    </w:rPr>
                    <w:t>1</w:t>
                  </w:r>
                </w:p>
              </w:txbxContent>
            </v:textbox>
            <w10:wrap type="none"/>
          </v:shape>
        </w:pict>
      </w:r>
      <w:r>
        <w:rPr>
          <w:color w:val="010101"/>
          <w:spacing w:val="-139"/>
          <w:w w:val="231"/>
          <w:sz w:val="30"/>
        </w:rPr>
        <w:t>.</w:t>
      </w:r>
      <w:r>
        <w:rPr>
          <w:color w:val="010101"/>
          <w:spacing w:val="-53"/>
          <w:w w:val="62"/>
          <w:sz w:val="30"/>
        </w:rPr>
        <w:t>q</w:t>
      </w:r>
      <w:r>
        <w:rPr>
          <w:color w:val="010101"/>
          <w:spacing w:val="-169"/>
          <w:w w:val="204"/>
          <w:sz w:val="30"/>
        </w:rPr>
        <w:t>!</w:t>
      </w:r>
      <w:r>
        <w:rPr>
          <w:color w:val="010101"/>
          <w:spacing w:val="-28"/>
          <w:w w:val="147"/>
          <w:position w:val="-3"/>
          <w:sz w:val="11"/>
        </w:rPr>
        <w:t>1</w:t>
      </w:r>
      <w:r>
        <w:rPr>
          <w:color w:val="010101"/>
          <w:spacing w:val="-25"/>
          <w:w w:val="250"/>
          <w:sz w:val="11"/>
        </w:rPr>
        <w:t>•</w:t>
      </w:r>
      <w:r>
        <w:rPr>
          <w:color w:val="010101"/>
          <w:spacing w:val="-23"/>
          <w:w w:val="172"/>
          <w:position w:val="-3"/>
          <w:sz w:val="11"/>
        </w:rPr>
        <w:t>1</w:t>
      </w:r>
      <w:r>
        <w:rPr>
          <w:color w:val="010101"/>
          <w:w w:val="213"/>
          <w:sz w:val="11"/>
        </w:rPr>
        <w:t>..</w:t>
      </w:r>
      <w:r>
        <w:rPr>
          <w:color w:val="010101"/>
          <w:spacing w:val="-18"/>
          <w:w w:val="213"/>
          <w:sz w:val="11"/>
        </w:rPr>
        <w:t>.</w:t>
      </w:r>
      <w:r>
        <w:rPr>
          <w:color w:val="010101"/>
          <w:spacing w:val="-4"/>
          <w:w w:val="171"/>
          <w:sz w:val="11"/>
        </w:rPr>
        <w:t>.</w:t>
      </w:r>
      <w:r>
        <w:rPr>
          <w:color w:val="010101"/>
          <w:spacing w:val="-33"/>
          <w:w w:val="171"/>
          <w:sz w:val="11"/>
        </w:rPr>
        <w:t>.</w:t>
      </w:r>
      <w:r>
        <w:rPr>
          <w:color w:val="010101"/>
          <w:spacing w:val="-22"/>
          <w:w w:val="600"/>
          <w:sz w:val="11"/>
        </w:rPr>
        <w:t>.</w:t>
      </w:r>
      <w:r>
        <w:rPr>
          <w:color w:val="010101"/>
          <w:w w:val="87"/>
          <w:sz w:val="28"/>
        </w:rPr>
        <w:t>=</w:t>
      </w:r>
      <w:r>
        <w:rPr>
          <w:color w:val="010101"/>
          <w:spacing w:val="28"/>
          <w:sz w:val="28"/>
        </w:rPr>
        <w:t> </w:t>
      </w:r>
      <w:r>
        <w:rPr>
          <w:color w:val="010101"/>
          <w:w w:val="50"/>
          <w:sz w:val="54"/>
        </w:rPr>
        <w:t>f.ª</w:t>
      </w:r>
      <w:r>
        <w:rPr>
          <w:color w:val="010101"/>
          <w:spacing w:val="-63"/>
          <w:sz w:val="54"/>
        </w:rPr>
        <w:t> </w:t>
      </w:r>
      <w:r>
        <w:rPr>
          <w:color w:val="010101"/>
          <w:w w:val="79"/>
          <w:sz w:val="30"/>
        </w:rPr>
        <w:t>,</w:t>
      </w:r>
      <w:r>
        <w:rPr>
          <w:color w:val="010101"/>
          <w:spacing w:val="-29"/>
          <w:w w:val="79"/>
          <w:sz w:val="30"/>
        </w:rPr>
        <w:t>p</w:t>
      </w:r>
      <w:r>
        <w:rPr>
          <w:color w:val="010101"/>
          <w:spacing w:val="-93"/>
          <w:w w:val="208"/>
          <w:sz w:val="30"/>
        </w:rPr>
        <w:t>.</w:t>
      </w:r>
      <w:r>
        <w:rPr>
          <w:color w:val="010101"/>
          <w:spacing w:val="-31"/>
          <w:w w:val="160"/>
          <w:position w:val="-4"/>
          <w:sz w:val="11"/>
        </w:rPr>
        <w:t>1</w:t>
      </w:r>
      <w:r>
        <w:rPr>
          <w:color w:val="010101"/>
          <w:spacing w:val="-29"/>
          <w:w w:val="250"/>
          <w:sz w:val="11"/>
        </w:rPr>
        <w:t>•</w:t>
      </w:r>
      <w:r>
        <w:rPr>
          <w:color w:val="010101"/>
          <w:spacing w:val="-33"/>
          <w:w w:val="197"/>
          <w:position w:val="-4"/>
          <w:sz w:val="11"/>
        </w:rPr>
        <w:t>1</w:t>
      </w:r>
      <w:r>
        <w:rPr>
          <w:color w:val="010101"/>
          <w:w w:val="138"/>
          <w:sz w:val="11"/>
        </w:rPr>
        <w:t>••</w:t>
      </w:r>
      <w:r>
        <w:rPr>
          <w:color w:val="010101"/>
          <w:spacing w:val="-7"/>
          <w:w w:val="138"/>
          <w:sz w:val="11"/>
        </w:rPr>
        <w:t>•</w:t>
      </w:r>
      <w:r>
        <w:rPr>
          <w:color w:val="010101"/>
          <w:w w:val="115"/>
          <w:sz w:val="20"/>
        </w:rPr>
        <w:t>._(</w:t>
      </w:r>
      <w:r>
        <w:rPr>
          <w:color w:val="010101"/>
          <w:w w:val="114"/>
          <w:sz w:val="20"/>
        </w:rPr>
        <w:t>A</w:t>
      </w:r>
      <w:r>
        <w:rPr>
          <w:color w:val="010101"/>
          <w:sz w:val="20"/>
        </w:rPr>
        <w:t> </w:t>
      </w:r>
      <w:r>
        <w:rPr>
          <w:color w:val="010101"/>
          <w:spacing w:val="-21"/>
          <w:sz w:val="20"/>
        </w:rPr>
        <w:t> </w:t>
      </w:r>
      <w:r>
        <w:rPr>
          <w:rFonts w:ascii="Arial" w:hAnsi="Arial"/>
          <w:color w:val="010101"/>
          <w:w w:val="106"/>
          <w:sz w:val="32"/>
        </w:rPr>
        <w:t>+</w:t>
      </w:r>
      <w:r>
        <w:rPr>
          <w:rFonts w:ascii="Arial" w:hAnsi="Arial"/>
          <w:color w:val="010101"/>
          <w:spacing w:val="-38"/>
          <w:sz w:val="32"/>
        </w:rPr>
        <w:t> </w:t>
      </w:r>
      <w:r>
        <w:rPr>
          <w:color w:val="010101"/>
          <w:w w:val="101"/>
          <w:sz w:val="20"/>
        </w:rPr>
        <w:t>Bc•</w:t>
      </w:r>
      <w:r>
        <w:rPr>
          <w:color w:val="010101"/>
          <w:spacing w:val="11"/>
          <w:sz w:val="20"/>
        </w:rPr>
        <w:t> </w:t>
      </w:r>
      <w:r>
        <w:rPr>
          <w:rFonts w:ascii="Arial" w:hAnsi="Arial"/>
          <w:color w:val="010101"/>
          <w:w w:val="112"/>
          <w:sz w:val="20"/>
        </w:rPr>
        <w:t>+'</w:t>
      </w:r>
      <w:r>
        <w:rPr>
          <w:rFonts w:ascii="Arial" w:hAnsi="Arial"/>
          <w:color w:val="010101"/>
          <w:w w:val="112"/>
          <w:sz w:val="20"/>
        </w:rPr>
        <w:t>)</w:t>
      </w:r>
      <w:r>
        <w:rPr>
          <w:rFonts w:ascii="Arial" w:hAnsi="Arial"/>
          <w:color w:val="010101"/>
          <w:spacing w:val="13"/>
          <w:sz w:val="20"/>
        </w:rPr>
        <w:t> </w:t>
      </w:r>
      <w:r>
        <w:rPr>
          <w:i/>
          <w:color w:val="010101"/>
          <w:w w:val="87"/>
          <w:sz w:val="22"/>
        </w:rPr>
        <w:t>dt</w:t>
      </w:r>
    </w:p>
    <w:p>
      <w:pPr>
        <w:spacing w:line="589" w:lineRule="exact" w:before="19"/>
        <w:ind w:left="146" w:right="739" w:firstLine="0"/>
        <w:jc w:val="left"/>
        <w:rPr>
          <w:i/>
          <w:sz w:val="21"/>
        </w:rPr>
      </w:pPr>
      <w:r>
        <w:rPr>
          <w:color w:val="010101"/>
          <w:w w:val="87"/>
          <w:sz w:val="28"/>
        </w:rPr>
        <w:t>=</w:t>
      </w:r>
      <w:r>
        <w:rPr>
          <w:color w:val="010101"/>
          <w:spacing w:val="24"/>
          <w:sz w:val="28"/>
        </w:rPr>
        <w:t> </w:t>
      </w:r>
      <w:r>
        <w:rPr>
          <w:rFonts w:ascii="Arial" w:hAnsi="Arial"/>
          <w:i/>
          <w:color w:val="010101"/>
          <w:w w:val="107"/>
          <w:sz w:val="20"/>
        </w:rPr>
        <w:t>A</w:t>
      </w:r>
      <w:r>
        <w:rPr>
          <w:rFonts w:ascii="Arial" w:hAnsi="Arial"/>
          <w:i/>
          <w:color w:val="010101"/>
          <w:spacing w:val="26"/>
          <w:sz w:val="20"/>
        </w:rPr>
        <w:t> </w:t>
      </w:r>
      <w:r>
        <w:rPr>
          <w:color w:val="010101"/>
          <w:w w:val="50"/>
          <w:sz w:val="54"/>
        </w:rPr>
        <w:t>f.ª</w:t>
      </w:r>
      <w:r>
        <w:rPr>
          <w:color w:val="010101"/>
          <w:spacing w:val="-63"/>
          <w:sz w:val="54"/>
        </w:rPr>
        <w:t> </w:t>
      </w:r>
      <w:r>
        <w:rPr>
          <w:color w:val="010101"/>
          <w:w w:val="73"/>
          <w:sz w:val="22"/>
        </w:rPr>
        <w:t>•P•asa</w:t>
      </w:r>
      <w:r>
        <w:rPr>
          <w:color w:val="010101"/>
          <w:spacing w:val="-30"/>
          <w:sz w:val="22"/>
        </w:rPr>
        <w:t> </w:t>
      </w:r>
      <w:r>
        <w:rPr>
          <w:color w:val="010101"/>
          <w:w w:val="105"/>
          <w:sz w:val="22"/>
        </w:rPr>
        <w:t>..</w:t>
      </w:r>
      <w:r>
        <w:rPr>
          <w:color w:val="010101"/>
          <w:spacing w:val="-23"/>
          <w:w w:val="105"/>
          <w:sz w:val="22"/>
        </w:rPr>
        <w:t>.</w:t>
      </w:r>
      <w:r>
        <w:rPr>
          <w:color w:val="010101"/>
          <w:w w:val="85"/>
          <w:sz w:val="22"/>
        </w:rPr>
        <w:t>.</w:t>
      </w:r>
      <w:r>
        <w:rPr>
          <w:color w:val="010101"/>
          <w:spacing w:val="-22"/>
          <w:w w:val="85"/>
          <w:sz w:val="22"/>
        </w:rPr>
        <w:t>.</w:t>
      </w:r>
      <w:r>
        <w:rPr>
          <w:color w:val="010101"/>
          <w:spacing w:val="-54"/>
          <w:w w:val="391"/>
          <w:sz w:val="22"/>
        </w:rPr>
        <w:t>.</w:t>
      </w:r>
      <w:r>
        <w:rPr>
          <w:i/>
          <w:color w:val="010101"/>
          <w:w w:val="91"/>
          <w:sz w:val="21"/>
        </w:rPr>
        <w:t>dt</w:t>
      </w:r>
    </w:p>
    <w:p>
      <w:pPr>
        <w:spacing w:after="0" w:line="589" w:lineRule="exact"/>
        <w:jc w:val="left"/>
        <w:rPr>
          <w:sz w:val="21"/>
        </w:rPr>
        <w:sectPr>
          <w:pgSz w:w="7200" w:h="11340"/>
          <w:pgMar w:top="500" w:bottom="280" w:left="700" w:right="520"/>
        </w:sectPr>
      </w:pPr>
    </w:p>
    <w:p>
      <w:pPr>
        <w:tabs>
          <w:tab w:pos="914" w:val="left" w:leader="none"/>
        </w:tabs>
        <w:spacing w:line="232" w:lineRule="exact" w:before="194"/>
        <w:ind w:left="139" w:right="0" w:firstLine="0"/>
        <w:jc w:val="left"/>
        <w:rPr>
          <w:sz w:val="13"/>
        </w:rPr>
      </w:pPr>
      <w:r>
        <w:rPr>
          <w:rFonts w:ascii="Arial" w:hAnsi="Arial"/>
          <w:color w:val="010101"/>
          <w:w w:val="120"/>
          <w:sz w:val="32"/>
        </w:rPr>
        <w:t>+</w:t>
      </w:r>
      <w:r>
        <w:rPr>
          <w:rFonts w:ascii="Arial" w:hAnsi="Arial"/>
          <w:color w:val="010101"/>
          <w:spacing w:val="10"/>
          <w:w w:val="120"/>
          <w:sz w:val="32"/>
        </w:rPr>
        <w:t> </w:t>
      </w:r>
      <w:r>
        <w:rPr>
          <w:b/>
          <w:color w:val="010101"/>
          <w:w w:val="145"/>
          <w:sz w:val="13"/>
        </w:rPr>
        <w:t>r</w:t>
        <w:tab/>
      </w:r>
      <w:r>
        <w:rPr>
          <w:color w:val="010101"/>
          <w:w w:val="180"/>
          <w:sz w:val="13"/>
          <w:u w:val="thick" w:color="000000"/>
        </w:rPr>
        <w:t>•</w:t>
      </w:r>
    </w:p>
    <w:p>
      <w:pPr>
        <w:pStyle w:val="BodyText"/>
        <w:spacing w:before="5"/>
        <w:rPr>
          <w:sz w:val="19"/>
        </w:rPr>
      </w:pPr>
      <w:r>
        <w:rPr/>
        <w:br w:type="column"/>
      </w:r>
      <w:r>
        <w:rPr>
          <w:sz w:val="19"/>
        </w:rPr>
      </w:r>
    </w:p>
    <w:p>
      <w:pPr>
        <w:spacing w:line="202" w:lineRule="exact" w:before="0"/>
        <w:ind w:left="90" w:right="-16" w:firstLine="0"/>
        <w:jc w:val="left"/>
        <w:rPr>
          <w:i/>
          <w:sz w:val="22"/>
        </w:rPr>
      </w:pPr>
      <w:r>
        <w:rPr>
          <w:i/>
          <w:color w:val="010101"/>
          <w:w w:val="85"/>
          <w:sz w:val="22"/>
        </w:rPr>
        <w:t>e"•</w:t>
      </w:r>
    </w:p>
    <w:p>
      <w:pPr>
        <w:spacing w:line="426" w:lineRule="exact" w:before="0"/>
        <w:ind w:left="139" w:right="0" w:firstLine="0"/>
        <w:jc w:val="left"/>
        <w:rPr>
          <w:sz w:val="30"/>
        </w:rPr>
      </w:pPr>
      <w:r>
        <w:rPr/>
        <w:br w:type="column"/>
      </w:r>
      <w:r>
        <w:rPr>
          <w:color w:val="010101"/>
          <w:w w:val="211"/>
          <w:sz w:val="13"/>
        </w:rPr>
        <w:t>•</w:t>
      </w:r>
      <w:r>
        <w:rPr>
          <w:color w:val="010101"/>
          <w:sz w:val="13"/>
        </w:rPr>
        <w:t>   </w:t>
      </w:r>
      <w:r>
        <w:rPr>
          <w:color w:val="010101"/>
          <w:spacing w:val="-12"/>
          <w:sz w:val="13"/>
        </w:rPr>
        <w:t> </w:t>
      </w:r>
      <w:r>
        <w:rPr>
          <w:rFonts w:ascii="Arial" w:hAnsi="Arial"/>
          <w:i/>
          <w:color w:val="010101"/>
          <w:spacing w:val="-78"/>
          <w:w w:val="79"/>
          <w:position w:val="6"/>
          <w:sz w:val="53"/>
        </w:rPr>
        <w:t>1</w:t>
      </w:r>
      <w:r>
        <w:rPr>
          <w:rFonts w:ascii="Arial" w:hAnsi="Arial"/>
          <w:i/>
          <w:color w:val="010101"/>
          <w:spacing w:val="-74"/>
          <w:w w:val="114"/>
          <w:position w:val="6"/>
          <w:sz w:val="53"/>
        </w:rPr>
        <w:t>·</w:t>
      </w:r>
      <w:r>
        <w:rPr>
          <w:b/>
          <w:color w:val="010101"/>
          <w:w w:val="105"/>
          <w:sz w:val="20"/>
        </w:rPr>
        <w:t>,</w:t>
      </w:r>
      <w:r>
        <w:rPr>
          <w:b/>
          <w:color w:val="010101"/>
          <w:spacing w:val="-10"/>
          <w:w w:val="105"/>
          <w:sz w:val="20"/>
        </w:rPr>
        <w:t>p</w:t>
      </w:r>
      <w:r>
        <w:rPr>
          <w:b/>
          <w:color w:val="010101"/>
          <w:w w:val="98"/>
          <w:sz w:val="20"/>
        </w:rPr>
        <w:t>••</w:t>
      </w:r>
      <w:r>
        <w:rPr>
          <w:b/>
          <w:color w:val="010101"/>
          <w:spacing w:val="-11"/>
          <w:w w:val="98"/>
          <w:sz w:val="20"/>
        </w:rPr>
        <w:t>•</w:t>
      </w:r>
      <w:r>
        <w:rPr>
          <w:b/>
          <w:color w:val="010101"/>
          <w:spacing w:val="7"/>
          <w:w w:val="143"/>
          <w:sz w:val="20"/>
        </w:rPr>
        <w:t>,</w:t>
      </w:r>
      <w:r>
        <w:rPr>
          <w:b/>
          <w:color w:val="010101"/>
          <w:w w:val="109"/>
          <w:sz w:val="20"/>
        </w:rPr>
        <w:t>...•</w:t>
      </w:r>
      <w:r>
        <w:rPr>
          <w:b/>
          <w:color w:val="010101"/>
          <w:spacing w:val="-7"/>
          <w:w w:val="109"/>
          <w:sz w:val="20"/>
        </w:rPr>
        <w:t>•</w:t>
      </w:r>
      <w:r>
        <w:rPr>
          <w:i/>
          <w:color w:val="010101"/>
          <w:w w:val="103"/>
          <w:position w:val="6"/>
          <w:sz w:val="22"/>
        </w:rPr>
        <w:t>B</w:t>
      </w:r>
      <w:r>
        <w:rPr>
          <w:i/>
          <w:color w:val="010101"/>
          <w:w w:val="91"/>
          <w:sz w:val="22"/>
        </w:rPr>
        <w:t>e</w:t>
      </w:r>
      <w:r>
        <w:rPr>
          <w:color w:val="010101"/>
          <w:spacing w:val="-7"/>
          <w:w w:val="178"/>
          <w:position w:val="6"/>
          <w:sz w:val="22"/>
        </w:rPr>
        <w:t>'</w:t>
      </w:r>
      <w:r>
        <w:rPr>
          <w:color w:val="010101"/>
          <w:spacing w:val="5"/>
          <w:w w:val="94"/>
          <w:position w:val="6"/>
          <w:sz w:val="22"/>
        </w:rPr>
        <w:t>(</w:t>
      </w:r>
      <w:r>
        <w:rPr>
          <w:i/>
          <w:color w:val="010101"/>
          <w:spacing w:val="-12"/>
          <w:w w:val="95"/>
          <w:sz w:val="22"/>
        </w:rPr>
        <w:t>e</w:t>
      </w:r>
      <w:r>
        <w:rPr>
          <w:rFonts w:ascii="Arial" w:hAnsi="Arial"/>
          <w:color w:val="010101"/>
          <w:spacing w:val="-17"/>
          <w:w w:val="247"/>
          <w:position w:val="6"/>
          <w:sz w:val="11"/>
        </w:rPr>
        <w:t>•</w:t>
      </w:r>
      <w:r>
        <w:rPr>
          <w:rFonts w:ascii="Arial" w:hAnsi="Arial"/>
          <w:color w:val="010101"/>
          <w:w w:val="145"/>
          <w:position w:val="6"/>
          <w:sz w:val="11"/>
        </w:rPr>
        <w:t>1</w:t>
      </w:r>
      <w:r>
        <w:rPr>
          <w:rFonts w:ascii="Arial" w:hAnsi="Arial"/>
          <w:color w:val="010101"/>
          <w:spacing w:val="-6"/>
          <w:position w:val="6"/>
          <w:sz w:val="11"/>
        </w:rPr>
        <w:t> </w:t>
      </w:r>
      <w:r>
        <w:rPr>
          <w:color w:val="010101"/>
          <w:w w:val="99"/>
          <w:sz w:val="30"/>
        </w:rPr>
        <w:t>+</w:t>
      </w:r>
      <w:r>
        <w:rPr>
          <w:color w:val="010101"/>
          <w:spacing w:val="-18"/>
          <w:sz w:val="30"/>
        </w:rPr>
        <w:t> </w:t>
      </w:r>
      <w:r>
        <w:rPr>
          <w:i/>
          <w:color w:val="010101"/>
          <w:spacing w:val="-3"/>
          <w:w w:val="83"/>
          <w:sz w:val="22"/>
        </w:rPr>
        <w:t>e</w:t>
      </w:r>
      <w:r>
        <w:rPr>
          <w:rFonts w:ascii="Arial" w:hAnsi="Arial"/>
          <w:color w:val="010101"/>
          <w:w w:val="170"/>
          <w:position w:val="6"/>
          <w:sz w:val="11"/>
        </w:rPr>
        <w:t>r1</w:t>
      </w:r>
      <w:r>
        <w:rPr>
          <w:rFonts w:ascii="Arial" w:hAnsi="Arial"/>
          <w:color w:val="010101"/>
          <w:spacing w:val="-1"/>
          <w:position w:val="6"/>
          <w:sz w:val="11"/>
        </w:rPr>
        <w:t> </w:t>
      </w:r>
      <w:r>
        <w:rPr>
          <w:color w:val="010101"/>
          <w:spacing w:val="-18"/>
          <w:w w:val="100"/>
          <w:sz w:val="29"/>
        </w:rPr>
        <w:t>+</w:t>
      </w:r>
      <w:r>
        <w:rPr>
          <w:rFonts w:ascii="Arial" w:hAnsi="Arial"/>
          <w:color w:val="212121"/>
          <w:w w:val="95"/>
          <w:position w:val="6"/>
          <w:sz w:val="11"/>
        </w:rPr>
        <w:t>.</w:t>
      </w:r>
      <w:r>
        <w:rPr>
          <w:rFonts w:ascii="Arial" w:hAnsi="Arial"/>
          <w:color w:val="212121"/>
          <w:position w:val="6"/>
          <w:sz w:val="11"/>
        </w:rPr>
        <w:t> </w:t>
      </w:r>
      <w:r>
        <w:rPr>
          <w:rFonts w:ascii="Arial" w:hAnsi="Arial"/>
          <w:color w:val="212121"/>
          <w:spacing w:val="13"/>
          <w:position w:val="6"/>
          <w:sz w:val="11"/>
        </w:rPr>
        <w:t> </w:t>
      </w:r>
      <w:r>
        <w:rPr>
          <w:color w:val="010101"/>
          <w:spacing w:val="23"/>
          <w:w w:val="101"/>
          <w:sz w:val="29"/>
        </w:rPr>
        <w:t>.</w:t>
      </w:r>
      <w:r>
        <w:rPr>
          <w:color w:val="010101"/>
          <w:w w:val="126"/>
          <w:sz w:val="29"/>
        </w:rPr>
        <w:t>..</w:t>
      </w:r>
      <w:r>
        <w:rPr>
          <w:color w:val="010101"/>
          <w:spacing w:val="-8"/>
          <w:sz w:val="29"/>
        </w:rPr>
        <w:t> </w:t>
      </w:r>
      <w:r>
        <w:rPr>
          <w:color w:val="010101"/>
          <w:w w:val="101"/>
          <w:sz w:val="30"/>
        </w:rPr>
        <w:t>+</w:t>
      </w:r>
      <w:r>
        <w:rPr>
          <w:color w:val="010101"/>
          <w:sz w:val="30"/>
        </w:rPr>
        <w:t> </w:t>
      </w:r>
      <w:r>
        <w:rPr>
          <w:color w:val="010101"/>
          <w:spacing w:val="-12"/>
          <w:w w:val="67"/>
          <w:sz w:val="30"/>
        </w:rPr>
        <w:t>e</w:t>
      </w:r>
      <w:r>
        <w:rPr>
          <w:rFonts w:ascii="Arial" w:hAnsi="Arial"/>
          <w:color w:val="010101"/>
          <w:spacing w:val="-69"/>
          <w:w w:val="247"/>
          <w:position w:val="6"/>
          <w:sz w:val="11"/>
        </w:rPr>
        <w:t>•</w:t>
      </w:r>
      <w:r>
        <w:rPr>
          <w:color w:val="010101"/>
          <w:spacing w:val="-252"/>
          <w:w w:val="275"/>
          <w:sz w:val="30"/>
        </w:rPr>
        <w:t>.</w:t>
      </w:r>
    </w:p>
    <w:p>
      <w:pPr>
        <w:pStyle w:val="BodyText"/>
        <w:spacing w:before="5"/>
        <w:rPr>
          <w:sz w:val="19"/>
        </w:rPr>
      </w:pPr>
      <w:r>
        <w:rPr/>
        <w:br w:type="column"/>
      </w:r>
      <w:r>
        <w:rPr>
          <w:sz w:val="19"/>
        </w:rPr>
      </w:r>
    </w:p>
    <w:p>
      <w:pPr>
        <w:spacing w:line="202" w:lineRule="exact" w:before="0"/>
        <w:ind w:left="74" w:right="0" w:firstLine="0"/>
        <w:jc w:val="left"/>
        <w:rPr>
          <w:i/>
          <w:sz w:val="22"/>
        </w:rPr>
      </w:pPr>
      <w:r>
        <w:rPr>
          <w:rFonts w:ascii="Arial"/>
          <w:color w:val="010101"/>
          <w:w w:val="195"/>
          <w:sz w:val="11"/>
        </w:rPr>
        <w:t>) </w:t>
      </w:r>
      <w:r>
        <w:rPr>
          <w:i/>
          <w:color w:val="010101"/>
          <w:w w:val="105"/>
          <w:sz w:val="22"/>
        </w:rPr>
        <w:t>dt</w:t>
      </w:r>
    </w:p>
    <w:p>
      <w:pPr>
        <w:spacing w:after="0" w:line="202" w:lineRule="exact"/>
        <w:jc w:val="left"/>
        <w:rPr>
          <w:sz w:val="22"/>
        </w:rPr>
        <w:sectPr>
          <w:type w:val="continuous"/>
          <w:pgSz w:w="7200" w:h="11340"/>
          <w:pgMar w:top="1100" w:bottom="0" w:left="700" w:right="520"/>
          <w:cols w:num="4" w:equalWidth="0">
            <w:col w:w="1046" w:space="40"/>
            <w:col w:w="321" w:space="484"/>
            <w:col w:w="3534" w:space="40"/>
            <w:col w:w="515"/>
          </w:cols>
        </w:sectPr>
      </w:pPr>
    </w:p>
    <w:p>
      <w:pPr>
        <w:spacing w:line="146" w:lineRule="exact" w:before="0"/>
        <w:ind w:left="376" w:right="739" w:firstLine="0"/>
        <w:jc w:val="left"/>
        <w:rPr>
          <w:sz w:val="29"/>
        </w:rPr>
      </w:pPr>
      <w:r>
        <w:rPr>
          <w:i/>
          <w:color w:val="010101"/>
          <w:w w:val="90"/>
          <w:sz w:val="29"/>
        </w:rPr>
        <w:t>c • </w:t>
      </w:r>
      <w:r>
        <w:rPr>
          <w:i/>
          <w:color w:val="010101"/>
          <w:spacing w:val="9"/>
          <w:sz w:val="29"/>
        </w:rPr>
        <w:t>+c </w:t>
      </w:r>
      <w:r>
        <w:rPr>
          <w:i/>
          <w:color w:val="010101"/>
          <w:w w:val="90"/>
          <w:sz w:val="29"/>
        </w:rPr>
        <w:t>• </w:t>
      </w:r>
      <w:r>
        <w:rPr>
          <w:i/>
          <w:color w:val="010101"/>
          <w:sz w:val="29"/>
        </w:rPr>
        <w:t>+ </w:t>
      </w:r>
      <w:r>
        <w:rPr>
          <w:i/>
          <w:color w:val="010101"/>
          <w:w w:val="110"/>
          <w:sz w:val="29"/>
        </w:rPr>
        <w:t>··· </w:t>
      </w:r>
      <w:r>
        <w:rPr>
          <w:i/>
          <w:color w:val="010101"/>
          <w:spacing w:val="10"/>
          <w:sz w:val="29"/>
        </w:rPr>
        <w:t>+c </w:t>
      </w:r>
      <w:r>
        <w:rPr>
          <w:i/>
          <w:color w:val="010101"/>
          <w:w w:val="110"/>
          <w:sz w:val="29"/>
        </w:rPr>
        <w:t>• </w:t>
      </w:r>
      <w:r>
        <w:rPr>
          <w:color w:val="010101"/>
          <w:sz w:val="29"/>
        </w:rPr>
        <w:t>•</w:t>
      </w:r>
    </w:p>
    <w:p>
      <w:pPr>
        <w:spacing w:after="0" w:line="146" w:lineRule="exact"/>
        <w:jc w:val="left"/>
        <w:rPr>
          <w:sz w:val="29"/>
        </w:rPr>
        <w:sectPr>
          <w:type w:val="continuous"/>
          <w:pgSz w:w="7200" w:h="11340"/>
          <w:pgMar w:top="1100" w:bottom="0" w:left="700" w:right="520"/>
        </w:sectPr>
      </w:pPr>
    </w:p>
    <w:p>
      <w:pPr>
        <w:spacing w:line="464" w:lineRule="exact" w:before="0"/>
        <w:ind w:left="157" w:right="-17" w:firstLine="0"/>
        <w:jc w:val="left"/>
        <w:rPr>
          <w:sz w:val="31"/>
        </w:rPr>
      </w:pPr>
      <w:r>
        <w:rPr>
          <w:color w:val="010101"/>
          <w:w w:val="86"/>
          <w:sz w:val="26"/>
        </w:rPr>
        <w:t>=</w:t>
      </w:r>
      <w:r>
        <w:rPr>
          <w:color w:val="010101"/>
          <w:sz w:val="26"/>
        </w:rPr>
        <w:t> </w:t>
      </w:r>
      <w:r>
        <w:rPr>
          <w:color w:val="010101"/>
          <w:spacing w:val="-25"/>
          <w:sz w:val="26"/>
        </w:rPr>
        <w:t> </w:t>
      </w:r>
      <w:r>
        <w:rPr>
          <w:rFonts w:ascii="Arial"/>
          <w:i/>
          <w:color w:val="010101"/>
          <w:w w:val="107"/>
          <w:sz w:val="20"/>
        </w:rPr>
        <w:t>A</w:t>
      </w:r>
      <w:r>
        <w:rPr>
          <w:rFonts w:ascii="Arial"/>
          <w:i/>
          <w:color w:val="010101"/>
          <w:spacing w:val="23"/>
          <w:sz w:val="20"/>
        </w:rPr>
        <w:t> </w:t>
      </w:r>
      <w:r>
        <w:rPr>
          <w:rFonts w:ascii="Arial"/>
          <w:i/>
          <w:color w:val="010101"/>
          <w:spacing w:val="-84"/>
          <w:w w:val="85"/>
          <w:position w:val="-8"/>
          <w:sz w:val="52"/>
        </w:rPr>
        <w:t>1</w:t>
      </w:r>
      <w:r>
        <w:rPr>
          <w:rFonts w:ascii="Arial"/>
          <w:i/>
          <w:color w:val="010101"/>
          <w:w w:val="44"/>
          <w:position w:val="14"/>
          <w:sz w:val="52"/>
        </w:rPr>
        <w:t>"</w:t>
      </w:r>
      <w:r>
        <w:rPr>
          <w:rFonts w:ascii="Arial"/>
          <w:i/>
          <w:color w:val="010101"/>
          <w:spacing w:val="-81"/>
          <w:position w:val="14"/>
          <w:sz w:val="52"/>
        </w:rPr>
        <w:t> </w:t>
      </w:r>
      <w:r>
        <w:rPr>
          <w:color w:val="010101"/>
          <w:w w:val="77"/>
          <w:sz w:val="31"/>
        </w:rPr>
        <w:t>,</w:t>
      </w:r>
      <w:r>
        <w:rPr>
          <w:color w:val="010101"/>
          <w:spacing w:val="-18"/>
          <w:w w:val="77"/>
          <w:sz w:val="31"/>
        </w:rPr>
        <w:t>p</w:t>
      </w:r>
      <w:r>
        <w:rPr>
          <w:color w:val="010101"/>
          <w:w w:val="191"/>
          <w:sz w:val="31"/>
        </w:rPr>
        <w:t>.</w:t>
      </w:r>
    </w:p>
    <w:p>
      <w:pPr>
        <w:spacing w:line="199" w:lineRule="exact" w:before="265"/>
        <w:ind w:left="157" w:right="-15" w:firstLine="0"/>
        <w:jc w:val="left"/>
        <w:rPr>
          <w:rFonts w:ascii="Arial"/>
          <w:sz w:val="32"/>
        </w:rPr>
      </w:pPr>
      <w:r>
        <w:rPr/>
        <w:br w:type="column"/>
      </w:r>
      <w:r>
        <w:rPr>
          <w:i/>
          <w:color w:val="010101"/>
          <w:w w:val="91"/>
          <w:sz w:val="21"/>
        </w:rPr>
        <w:t>dt</w:t>
      </w:r>
      <w:r>
        <w:rPr>
          <w:i/>
          <w:color w:val="010101"/>
          <w:sz w:val="21"/>
        </w:rPr>
        <w:t> </w:t>
      </w:r>
      <w:r>
        <w:rPr>
          <w:i/>
          <w:color w:val="010101"/>
          <w:spacing w:val="-19"/>
          <w:sz w:val="21"/>
        </w:rPr>
        <w:t> </w:t>
      </w:r>
      <w:r>
        <w:rPr>
          <w:rFonts w:ascii="Arial"/>
          <w:color w:val="010101"/>
          <w:w w:val="104"/>
          <w:sz w:val="32"/>
        </w:rPr>
        <w:t>+</w:t>
      </w:r>
      <w:r>
        <w:rPr>
          <w:rFonts w:ascii="Arial"/>
          <w:color w:val="010101"/>
          <w:spacing w:val="-38"/>
          <w:sz w:val="32"/>
        </w:rPr>
        <w:t> </w:t>
      </w:r>
      <w:r>
        <w:rPr>
          <w:rFonts w:ascii="Arial"/>
          <w:color w:val="010101"/>
          <w:spacing w:val="-55"/>
          <w:w w:val="121"/>
          <w:sz w:val="32"/>
        </w:rPr>
        <w:t>-</w:t>
      </w:r>
      <w:r>
        <w:rPr>
          <w:rFonts w:ascii="Arial"/>
          <w:color w:val="010101"/>
          <w:spacing w:val="-45"/>
          <w:w w:val="71"/>
          <w:sz w:val="32"/>
        </w:rPr>
        <w:t>-</w:t>
      </w:r>
      <w:r>
        <w:rPr>
          <w:rFonts w:ascii="Arial"/>
          <w:color w:val="010101"/>
          <w:spacing w:val="-49"/>
          <w:w w:val="253"/>
          <w:sz w:val="32"/>
        </w:rPr>
        <w:t>--</w:t>
      </w:r>
      <w:r>
        <w:rPr>
          <w:rFonts w:ascii="Arial"/>
          <w:color w:val="010101"/>
          <w:spacing w:val="-77"/>
          <w:w w:val="125"/>
          <w:sz w:val="32"/>
        </w:rPr>
        <w:t>-</w:t>
      </w:r>
      <w:r>
        <w:rPr>
          <w:rFonts w:ascii="Arial"/>
          <w:color w:val="010101"/>
          <w:spacing w:val="-23"/>
          <w:w w:val="71"/>
          <w:sz w:val="32"/>
        </w:rPr>
        <w:t>-</w:t>
      </w:r>
      <w:r>
        <w:rPr>
          <w:rFonts w:ascii="Arial"/>
          <w:color w:val="010101"/>
          <w:spacing w:val="-205"/>
          <w:w w:val="253"/>
          <w:sz w:val="32"/>
        </w:rPr>
        <w:t>-</w:t>
      </w:r>
    </w:p>
    <w:p>
      <w:pPr>
        <w:spacing w:line="244" w:lineRule="exact" w:before="220"/>
        <w:ind w:left="84" w:right="0" w:firstLine="0"/>
        <w:jc w:val="left"/>
        <w:rPr>
          <w:rFonts w:ascii="Arial" w:hAnsi="Arial"/>
          <w:sz w:val="32"/>
        </w:rPr>
      </w:pPr>
      <w:r>
        <w:rPr/>
        <w:br w:type="column"/>
      </w:r>
      <w:r>
        <w:rPr>
          <w:i/>
          <w:color w:val="010101"/>
          <w:spacing w:val="-4"/>
          <w:w w:val="91"/>
          <w:position w:val="14"/>
          <w:sz w:val="22"/>
        </w:rPr>
        <w:t>e</w:t>
      </w:r>
      <w:r>
        <w:rPr>
          <w:i/>
          <w:color w:val="010101"/>
          <w:w w:val="89"/>
          <w:position w:val="14"/>
          <w:sz w:val="22"/>
        </w:rPr>
        <w:t>"</w:t>
      </w:r>
      <w:r>
        <w:rPr>
          <w:i/>
          <w:color w:val="010101"/>
          <w:spacing w:val="16"/>
          <w:w w:val="89"/>
          <w:position w:val="14"/>
          <w:sz w:val="22"/>
        </w:rPr>
        <w:t>•</w:t>
      </w:r>
      <w:r>
        <w:rPr>
          <w:rFonts w:ascii="Arial" w:hAnsi="Arial"/>
          <w:color w:val="010101"/>
          <w:spacing w:val="-49"/>
          <w:w w:val="253"/>
          <w:sz w:val="32"/>
        </w:rPr>
        <w:t>---</w:t>
      </w:r>
      <w:r>
        <w:rPr>
          <w:rFonts w:ascii="Arial" w:hAnsi="Arial"/>
          <w:color w:val="010101"/>
          <w:w w:val="178"/>
          <w:sz w:val="32"/>
        </w:rPr>
        <w:t>-</w:t>
      </w:r>
    </w:p>
    <w:p>
      <w:pPr>
        <w:spacing w:after="0" w:line="244" w:lineRule="exact"/>
        <w:jc w:val="left"/>
        <w:rPr>
          <w:rFonts w:ascii="Arial" w:hAnsi="Arial"/>
          <w:sz w:val="32"/>
        </w:rPr>
        <w:sectPr>
          <w:type w:val="continuous"/>
          <w:pgSz w:w="7200" w:h="11340"/>
          <w:pgMar w:top="1100" w:bottom="0" w:left="700" w:right="520"/>
          <w:cols w:num="3" w:equalWidth="0">
            <w:col w:w="1235" w:space="351"/>
            <w:col w:w="1372" w:space="40"/>
            <w:col w:w="2982"/>
          </w:cols>
        </w:sectPr>
      </w:pPr>
    </w:p>
    <w:p>
      <w:pPr>
        <w:tabs>
          <w:tab w:pos="1161" w:val="left" w:leader="none"/>
        </w:tabs>
        <w:spacing w:line="310" w:lineRule="exact" w:before="0"/>
        <w:ind w:left="695" w:right="0" w:firstLine="0"/>
        <w:jc w:val="left"/>
        <w:rPr>
          <w:sz w:val="11"/>
        </w:rPr>
      </w:pPr>
      <w:r>
        <w:rPr>
          <w:rFonts w:ascii="Arial" w:hAnsi="Arial"/>
          <w:color w:val="010101"/>
          <w:w w:val="84"/>
          <w:position w:val="-15"/>
          <w:sz w:val="23"/>
        </w:rPr>
        <w:t>º</w:t>
      </w:r>
      <w:r>
        <w:rPr>
          <w:rFonts w:ascii="Arial" w:hAnsi="Arial"/>
          <w:color w:val="010101"/>
          <w:position w:val="-15"/>
          <w:sz w:val="23"/>
        </w:rPr>
        <w:tab/>
      </w:r>
      <w:r>
        <w:rPr>
          <w:color w:val="010101"/>
          <w:spacing w:val="-17"/>
          <w:w w:val="135"/>
          <w:position w:val="-2"/>
          <w:sz w:val="11"/>
        </w:rPr>
        <w:t>1</w:t>
      </w:r>
      <w:r>
        <w:rPr>
          <w:color w:val="010101"/>
          <w:w w:val="291"/>
          <w:sz w:val="11"/>
        </w:rPr>
        <w:t>.</w:t>
      </w:r>
      <w:r>
        <w:rPr>
          <w:color w:val="010101"/>
          <w:spacing w:val="-13"/>
          <w:w w:val="291"/>
          <w:sz w:val="11"/>
        </w:rPr>
        <w:t>,</w:t>
      </w:r>
      <w:r>
        <w:rPr>
          <w:color w:val="010101"/>
          <w:w w:val="168"/>
          <w:sz w:val="11"/>
        </w:rPr>
        <w:t>•••••</w:t>
      </w:r>
    </w:p>
    <w:p>
      <w:pPr>
        <w:spacing w:line="327" w:lineRule="exact" w:before="0"/>
        <w:ind w:left="488" w:right="0" w:firstLine="0"/>
        <w:jc w:val="left"/>
        <w:rPr>
          <w:sz w:val="21"/>
        </w:rPr>
      </w:pPr>
      <w:r>
        <w:rPr/>
        <w:br w:type="column"/>
      </w:r>
      <w:r>
        <w:rPr>
          <w:i/>
          <w:color w:val="010101"/>
          <w:spacing w:val="-7"/>
          <w:w w:val="68"/>
          <w:sz w:val="28"/>
        </w:rPr>
        <w:t>e</w:t>
      </w:r>
      <w:r>
        <w:rPr>
          <w:i/>
          <w:color w:val="010101"/>
          <w:spacing w:val="-53"/>
          <w:w w:val="188"/>
          <w:sz w:val="28"/>
        </w:rPr>
        <w:t>·</w:t>
      </w:r>
      <w:r>
        <w:rPr>
          <w:i/>
          <w:color w:val="010101"/>
          <w:w w:val="55"/>
          <w:sz w:val="28"/>
        </w:rPr>
        <w:t>•</w:t>
      </w:r>
      <w:r>
        <w:rPr>
          <w:i/>
          <w:color w:val="010101"/>
          <w:spacing w:val="11"/>
          <w:sz w:val="28"/>
        </w:rPr>
        <w:t> </w:t>
      </w:r>
      <w:r>
        <w:rPr>
          <w:rFonts w:ascii="Arial" w:hAnsi="Arial"/>
          <w:color w:val="010101"/>
          <w:w w:val="104"/>
          <w:sz w:val="32"/>
        </w:rPr>
        <w:t>+</w:t>
      </w:r>
      <w:r>
        <w:rPr>
          <w:rFonts w:ascii="Arial" w:hAnsi="Arial"/>
          <w:color w:val="010101"/>
          <w:spacing w:val="-41"/>
          <w:sz w:val="32"/>
        </w:rPr>
        <w:t> </w:t>
      </w:r>
      <w:r>
        <w:rPr>
          <w:color w:val="010101"/>
          <w:w w:val="97"/>
          <w:sz w:val="21"/>
        </w:rPr>
        <w:t>c</w:t>
      </w:r>
      <w:r>
        <w:rPr>
          <w:color w:val="010101"/>
          <w:spacing w:val="3"/>
          <w:sz w:val="21"/>
        </w:rPr>
        <w:t> </w:t>
      </w:r>
      <w:r>
        <w:rPr>
          <w:color w:val="010101"/>
          <w:w w:val="197"/>
          <w:position w:val="9"/>
          <w:sz w:val="11"/>
        </w:rPr>
        <w:t>1</w:t>
      </w:r>
      <w:r>
        <w:rPr>
          <w:color w:val="010101"/>
          <w:spacing w:val="11"/>
          <w:position w:val="9"/>
          <w:sz w:val="11"/>
        </w:rPr>
        <w:t> </w:t>
      </w:r>
      <w:r>
        <w:rPr>
          <w:rFonts w:ascii="Arial" w:hAnsi="Arial"/>
          <w:color w:val="010101"/>
          <w:w w:val="104"/>
          <w:sz w:val="32"/>
        </w:rPr>
        <w:t>+</w:t>
      </w:r>
      <w:r>
        <w:rPr>
          <w:rFonts w:ascii="Arial" w:hAnsi="Arial"/>
          <w:color w:val="010101"/>
          <w:spacing w:val="-5"/>
          <w:sz w:val="32"/>
        </w:rPr>
        <w:t> </w:t>
      </w:r>
      <w:r>
        <w:rPr>
          <w:rFonts w:ascii="Arial" w:hAnsi="Arial"/>
          <w:color w:val="010101"/>
          <w:spacing w:val="-17"/>
          <w:w w:val="109"/>
          <w:sz w:val="32"/>
        </w:rPr>
        <w:t>·</w:t>
      </w:r>
      <w:r>
        <w:rPr>
          <w:rFonts w:ascii="Arial" w:hAnsi="Arial"/>
          <w:color w:val="010101"/>
          <w:spacing w:val="3"/>
          <w:w w:val="87"/>
          <w:sz w:val="32"/>
        </w:rPr>
        <w:t>·</w:t>
      </w:r>
      <w:r>
        <w:rPr>
          <w:rFonts w:ascii="Arial" w:hAnsi="Arial"/>
          <w:color w:val="010101"/>
          <w:spacing w:val="29"/>
          <w:w w:val="109"/>
          <w:sz w:val="32"/>
        </w:rPr>
        <w:t>·</w:t>
      </w:r>
      <w:r>
        <w:rPr>
          <w:rFonts w:ascii="Arial" w:hAnsi="Arial"/>
          <w:color w:val="010101"/>
          <w:w w:val="104"/>
          <w:sz w:val="32"/>
        </w:rPr>
        <w:t>+</w:t>
      </w:r>
      <w:r>
        <w:rPr>
          <w:rFonts w:ascii="Arial" w:hAnsi="Arial"/>
          <w:color w:val="010101"/>
          <w:spacing w:val="-41"/>
          <w:sz w:val="32"/>
        </w:rPr>
        <w:t> </w:t>
      </w:r>
      <w:r>
        <w:rPr>
          <w:color w:val="010101"/>
          <w:w w:val="114"/>
          <w:sz w:val="21"/>
        </w:rPr>
        <w:t>eª•</w:t>
      </w:r>
    </w:p>
    <w:p>
      <w:pPr>
        <w:spacing w:after="0" w:line="327" w:lineRule="exact"/>
        <w:jc w:val="left"/>
        <w:rPr>
          <w:sz w:val="21"/>
        </w:rPr>
        <w:sectPr>
          <w:type w:val="continuous"/>
          <w:pgSz w:w="7200" w:h="11340"/>
          <w:pgMar w:top="1100" w:bottom="0" w:left="700" w:right="520"/>
          <w:cols w:num="2" w:equalWidth="0">
            <w:col w:w="1692" w:space="40"/>
            <w:col w:w="4248"/>
          </w:cols>
        </w:sectPr>
      </w:pPr>
    </w:p>
    <w:p>
      <w:pPr>
        <w:spacing w:before="1"/>
        <w:ind w:left="1086" w:right="133" w:firstLine="0"/>
        <w:jc w:val="left"/>
        <w:rPr>
          <w:rFonts w:ascii="Arial" w:hAnsi="Arial"/>
          <w:i/>
          <w:sz w:val="19"/>
        </w:rPr>
      </w:pPr>
      <w:r>
        <w:rPr>
          <w:rFonts w:ascii="Arial" w:hAnsi="Arial"/>
          <w:color w:val="010101"/>
          <w:w w:val="67"/>
          <w:position w:val="1"/>
          <w:sz w:val="46"/>
        </w:rPr>
        <w:t>·</w:t>
      </w:r>
      <w:r>
        <w:rPr>
          <w:rFonts w:ascii="Arial" w:hAnsi="Arial"/>
          <w:color w:val="010101"/>
          <w:spacing w:val="-96"/>
          <w:position w:val="1"/>
          <w:sz w:val="46"/>
        </w:rPr>
        <w:t> </w:t>
      </w:r>
      <w:r>
        <w:rPr>
          <w:rFonts w:ascii="Arial" w:hAnsi="Arial"/>
          <w:i/>
          <w:color w:val="010101"/>
          <w:w w:val="51"/>
          <w:position w:val="1"/>
          <w:sz w:val="46"/>
        </w:rPr>
        <w:t>1</w:t>
      </w:r>
      <w:r>
        <w:rPr>
          <w:rFonts w:ascii="Arial" w:hAnsi="Arial"/>
          <w:i/>
          <w:color w:val="010101"/>
          <w:spacing w:val="-38"/>
          <w:w w:val="51"/>
          <w:position w:val="1"/>
          <w:sz w:val="46"/>
        </w:rPr>
        <w:t>.</w:t>
      </w:r>
      <w:r>
        <w:rPr>
          <w:rFonts w:ascii="Arial" w:hAnsi="Arial"/>
          <w:i/>
          <w:color w:val="010101"/>
          <w:spacing w:val="-43"/>
          <w:w w:val="125"/>
          <w:position w:val="1"/>
          <w:sz w:val="46"/>
        </w:rPr>
        <w:t>·</w:t>
      </w:r>
      <w:r>
        <w:rPr>
          <w:color w:val="010101"/>
          <w:w w:val="114"/>
          <w:position w:val="1"/>
          <w:sz w:val="21"/>
        </w:rPr>
        <w:t>,</w:t>
      </w:r>
      <w:r>
        <w:rPr>
          <w:color w:val="010101"/>
          <w:spacing w:val="-102"/>
          <w:w w:val="114"/>
          <w:position w:val="1"/>
          <w:sz w:val="21"/>
        </w:rPr>
        <w:t>p</w:t>
      </w:r>
      <w:r>
        <w:rPr>
          <w:color w:val="010101"/>
          <w:spacing w:val="-184"/>
          <w:w w:val="299"/>
          <w:position w:val="1"/>
          <w:sz w:val="21"/>
        </w:rPr>
        <w:t>.</w:t>
      </w:r>
      <w:r>
        <w:rPr>
          <w:color w:val="010101"/>
          <w:spacing w:val="-101"/>
          <w:w w:val="172"/>
          <w:position w:val="1"/>
          <w:sz w:val="21"/>
        </w:rPr>
        <w:t>.</w:t>
      </w:r>
      <w:r>
        <w:rPr>
          <w:color w:val="010101"/>
          <w:spacing w:val="-125"/>
          <w:w w:val="267"/>
          <w:position w:val="1"/>
          <w:sz w:val="21"/>
        </w:rPr>
        <w:t>.</w:t>
      </w:r>
      <w:r>
        <w:rPr>
          <w:color w:val="010101"/>
          <w:spacing w:val="-36"/>
          <w:w w:val="204"/>
          <w:position w:val="1"/>
          <w:sz w:val="21"/>
        </w:rPr>
        <w:t>.</w:t>
      </w:r>
      <w:r>
        <w:rPr>
          <w:color w:val="010101"/>
          <w:w w:val="121"/>
          <w:position w:val="1"/>
          <w:sz w:val="21"/>
        </w:rPr>
        <w:t>....</w:t>
      </w:r>
      <w:r>
        <w:rPr>
          <w:color w:val="010101"/>
          <w:position w:val="1"/>
          <w:sz w:val="21"/>
        </w:rPr>
        <w:t> </w:t>
      </w:r>
      <w:r>
        <w:rPr>
          <w:color w:val="010101"/>
          <w:spacing w:val="-26"/>
          <w:position w:val="1"/>
          <w:sz w:val="21"/>
        </w:rPr>
        <w:t> </w:t>
      </w:r>
      <w:r>
        <w:rPr>
          <w:rFonts w:ascii="Arial" w:hAnsi="Arial"/>
          <w:color w:val="010101"/>
          <w:w w:val="65"/>
          <w:position w:val="1"/>
          <w:sz w:val="20"/>
        </w:rPr>
        <w:t>(</w:t>
      </w:r>
      <w:r>
        <w:rPr>
          <w:rFonts w:ascii="Arial" w:hAnsi="Arial"/>
          <w:color w:val="010101"/>
          <w:w w:val="65"/>
          <w:position w:val="1"/>
          <w:sz w:val="20"/>
        </w:rPr>
        <w:t>1&amp;</w:t>
      </w:r>
      <w:r>
        <w:rPr>
          <w:rFonts w:ascii="Arial" w:hAnsi="Arial"/>
          <w:color w:val="010101"/>
          <w:spacing w:val="6"/>
          <w:w w:val="65"/>
          <w:position w:val="1"/>
          <w:sz w:val="20"/>
        </w:rPr>
        <w:t>•</w:t>
      </w:r>
      <w:r>
        <w:rPr>
          <w:rFonts w:ascii="Arial" w:hAnsi="Arial"/>
          <w:color w:val="010101"/>
          <w:w w:val="75"/>
          <w:position w:val="1"/>
          <w:sz w:val="20"/>
        </w:rPr>
        <w:t>1+•</w:t>
      </w:r>
      <w:r>
        <w:rPr>
          <w:rFonts w:ascii="Arial" w:hAnsi="Arial"/>
          <w:color w:val="010101"/>
          <w:spacing w:val="15"/>
          <w:position w:val="1"/>
          <w:sz w:val="20"/>
        </w:rPr>
        <w:t> </w:t>
      </w:r>
      <w:r>
        <w:rPr>
          <w:color w:val="010101"/>
          <w:w w:val="103"/>
          <w:position w:val="1"/>
          <w:sz w:val="29"/>
        </w:rPr>
        <w:t>+</w:t>
      </w:r>
      <w:r>
        <w:rPr>
          <w:color w:val="010101"/>
          <w:spacing w:val="1"/>
          <w:position w:val="1"/>
          <w:sz w:val="29"/>
        </w:rPr>
        <w:t> </w:t>
      </w:r>
      <w:r>
        <w:rPr>
          <w:color w:val="010101"/>
          <w:w w:val="95"/>
          <w:position w:val="1"/>
          <w:sz w:val="13"/>
        </w:rPr>
        <w:t>1,1</w:t>
      </w:r>
      <w:r>
        <w:rPr>
          <w:color w:val="010101"/>
          <w:spacing w:val="-14"/>
          <w:w w:val="95"/>
          <w:position w:val="1"/>
          <w:sz w:val="13"/>
        </w:rPr>
        <w:t>,</w:t>
      </w:r>
      <w:r>
        <w:rPr>
          <w:rFonts w:ascii="Arial" w:hAnsi="Arial"/>
          <w:color w:val="010101"/>
          <w:w w:val="83"/>
          <w:sz w:val="20"/>
        </w:rPr>
        <w:t>1</w:t>
      </w:r>
      <w:r>
        <w:rPr>
          <w:rFonts w:ascii="Arial" w:hAnsi="Arial"/>
          <w:color w:val="010101"/>
          <w:spacing w:val="-16"/>
          <w:w w:val="83"/>
          <w:sz w:val="20"/>
        </w:rPr>
        <w:t>+</w:t>
      </w:r>
      <w:r>
        <w:rPr>
          <w:rFonts w:ascii="Arial" w:hAnsi="Arial"/>
          <w:color w:val="010101"/>
          <w:w w:val="72"/>
          <w:position w:val="1"/>
          <w:sz w:val="20"/>
        </w:rPr>
        <w:t>1</w:t>
      </w:r>
      <w:r>
        <w:rPr>
          <w:rFonts w:ascii="Arial" w:hAnsi="Arial"/>
          <w:color w:val="010101"/>
          <w:spacing w:val="-8"/>
          <w:position w:val="1"/>
          <w:sz w:val="20"/>
        </w:rPr>
        <w:t> </w:t>
      </w:r>
      <w:r>
        <w:rPr>
          <w:color w:val="010101"/>
          <w:w w:val="103"/>
          <w:position w:val="1"/>
          <w:sz w:val="29"/>
        </w:rPr>
        <w:t>+</w:t>
      </w:r>
      <w:r>
        <w:rPr>
          <w:color w:val="010101"/>
          <w:position w:val="1"/>
          <w:sz w:val="29"/>
        </w:rPr>
        <w:t> </w:t>
      </w:r>
      <w:r>
        <w:rPr>
          <w:color w:val="010101"/>
          <w:spacing w:val="-32"/>
          <w:position w:val="1"/>
          <w:sz w:val="29"/>
        </w:rPr>
        <w:t> </w:t>
      </w:r>
      <w:r>
        <w:rPr>
          <w:color w:val="010101"/>
          <w:spacing w:val="-2"/>
          <w:w w:val="105"/>
          <w:position w:val="1"/>
          <w:sz w:val="29"/>
        </w:rPr>
        <w:t>·</w:t>
      </w:r>
      <w:r>
        <w:rPr>
          <w:color w:val="010101"/>
          <w:spacing w:val="6"/>
          <w:w w:val="93"/>
          <w:position w:val="1"/>
          <w:sz w:val="29"/>
        </w:rPr>
        <w:t>·</w:t>
      </w:r>
      <w:r>
        <w:rPr>
          <w:color w:val="010101"/>
          <w:w w:val="105"/>
          <w:position w:val="1"/>
          <w:sz w:val="29"/>
        </w:rPr>
        <w:t>·</w:t>
      </w:r>
      <w:r>
        <w:rPr>
          <w:color w:val="010101"/>
          <w:spacing w:val="-28"/>
          <w:position w:val="1"/>
          <w:sz w:val="29"/>
        </w:rPr>
        <w:t> </w:t>
      </w:r>
      <w:r>
        <w:rPr>
          <w:color w:val="010101"/>
          <w:w w:val="100"/>
          <w:position w:val="1"/>
          <w:sz w:val="29"/>
        </w:rPr>
        <w:t>+</w:t>
      </w:r>
      <w:r>
        <w:rPr>
          <w:color w:val="010101"/>
          <w:spacing w:val="10"/>
          <w:position w:val="1"/>
          <w:sz w:val="29"/>
        </w:rPr>
        <w:t> </w:t>
      </w:r>
      <w:r>
        <w:rPr>
          <w:rFonts w:ascii="Arial" w:hAnsi="Arial"/>
          <w:color w:val="010101"/>
          <w:w w:val="100"/>
          <w:position w:val="1"/>
          <w:sz w:val="20"/>
        </w:rPr>
        <w:t>"'</w:t>
      </w:r>
      <w:r>
        <w:rPr>
          <w:rFonts w:ascii="Arial" w:hAnsi="Arial"/>
          <w:color w:val="010101"/>
          <w:spacing w:val="-12"/>
          <w:w w:val="100"/>
          <w:position w:val="1"/>
          <w:sz w:val="20"/>
        </w:rPr>
        <w:t>•</w:t>
      </w:r>
      <w:r>
        <w:rPr>
          <w:rFonts w:ascii="Arial" w:hAnsi="Arial"/>
          <w:color w:val="010101"/>
          <w:w w:val="118"/>
          <w:position w:val="1"/>
          <w:sz w:val="20"/>
        </w:rPr>
        <w:t>•+'</w:t>
      </w:r>
      <w:r>
        <w:rPr>
          <w:rFonts w:ascii="Arial" w:hAnsi="Arial"/>
          <w:color w:val="010101"/>
          <w:position w:val="1"/>
          <w:sz w:val="20"/>
        </w:rPr>
        <w:t> </w:t>
      </w:r>
      <w:r>
        <w:rPr>
          <w:rFonts w:ascii="Arial" w:hAnsi="Arial"/>
          <w:color w:val="010101"/>
          <w:spacing w:val="-27"/>
          <w:position w:val="1"/>
          <w:sz w:val="20"/>
        </w:rPr>
        <w:t> </w:t>
      </w:r>
      <w:r>
        <w:rPr>
          <w:rFonts w:ascii="Arial" w:hAnsi="Arial"/>
          <w:color w:val="010101"/>
          <w:w w:val="261"/>
          <w:position w:val="1"/>
          <w:sz w:val="20"/>
        </w:rPr>
        <w:t>-</w:t>
      </w:r>
      <w:r>
        <w:rPr>
          <w:rFonts w:ascii="Arial" w:hAnsi="Arial"/>
          <w:color w:val="010101"/>
          <w:spacing w:val="6"/>
          <w:position w:val="1"/>
          <w:sz w:val="20"/>
        </w:rPr>
        <w:t> </w:t>
      </w:r>
      <w:r>
        <w:rPr>
          <w:rFonts w:ascii="Arial" w:hAnsi="Arial"/>
          <w:i/>
          <w:color w:val="010101"/>
          <w:w w:val="105"/>
          <w:position w:val="1"/>
          <w:sz w:val="19"/>
        </w:rPr>
        <w:t>m</w:t>
      </w:r>
      <w:r>
        <w:rPr>
          <w:rFonts w:ascii="Arial" w:hAnsi="Arial"/>
          <w:i/>
          <w:color w:val="010101"/>
          <w:spacing w:val="28"/>
          <w:w w:val="105"/>
          <w:position w:val="1"/>
          <w:sz w:val="19"/>
        </w:rPr>
        <w:t>A</w:t>
      </w:r>
      <w:r>
        <w:rPr>
          <w:rFonts w:ascii="Arial" w:hAnsi="Arial"/>
          <w:i/>
          <w:color w:val="010101"/>
          <w:w w:val="89"/>
          <w:position w:val="1"/>
          <w:sz w:val="19"/>
        </w:rPr>
        <w:t>)</w:t>
      </w:r>
      <w:r>
        <w:rPr>
          <w:rFonts w:ascii="Arial" w:hAnsi="Arial"/>
          <w:i/>
          <w:color w:val="010101"/>
          <w:position w:val="1"/>
          <w:sz w:val="19"/>
        </w:rPr>
        <w:t> </w:t>
      </w:r>
      <w:r>
        <w:rPr>
          <w:rFonts w:ascii="Arial" w:hAnsi="Arial"/>
          <w:i/>
          <w:color w:val="010101"/>
          <w:spacing w:val="-20"/>
          <w:position w:val="1"/>
          <w:sz w:val="19"/>
        </w:rPr>
        <w:t> </w:t>
      </w:r>
      <w:r>
        <w:rPr>
          <w:rFonts w:ascii="Arial" w:hAnsi="Arial"/>
          <w:i/>
          <w:color w:val="010101"/>
          <w:w w:val="93"/>
          <w:position w:val="1"/>
          <w:sz w:val="19"/>
        </w:rPr>
        <w:t>dt</w:t>
      </w:r>
    </w:p>
    <w:p>
      <w:pPr>
        <w:spacing w:before="108"/>
        <w:ind w:left="157" w:right="739" w:firstLine="0"/>
        <w:jc w:val="left"/>
        <w:rPr>
          <w:rFonts w:ascii="Arial" w:hAnsi="Arial"/>
          <w:i/>
          <w:sz w:val="20"/>
        </w:rPr>
      </w:pPr>
      <w:r>
        <w:rPr>
          <w:color w:val="010101"/>
          <w:sz w:val="26"/>
        </w:rPr>
        <w:t>= </w:t>
      </w:r>
      <w:r>
        <w:rPr>
          <w:rFonts w:ascii="Arial" w:hAnsi="Arial"/>
          <w:i/>
          <w:color w:val="010101"/>
          <w:sz w:val="20"/>
        </w:rPr>
        <w:t>A </w:t>
      </w:r>
      <w:r>
        <w:rPr>
          <w:i/>
          <w:color w:val="010101"/>
          <w:sz w:val="38"/>
        </w:rPr>
        <w:t>f. "</w:t>
      </w:r>
      <w:r>
        <w:rPr>
          <w:i/>
          <w:color w:val="010101"/>
          <w:spacing w:val="-73"/>
          <w:sz w:val="38"/>
        </w:rPr>
        <w:t> </w:t>
      </w:r>
      <w:r>
        <w:rPr>
          <w:color w:val="010101"/>
          <w:spacing w:val="-6"/>
          <w:sz w:val="20"/>
        </w:rPr>
        <w:t>,p•••,...._ </w:t>
      </w:r>
      <w:r>
        <w:rPr>
          <w:rFonts w:ascii="Arial" w:hAnsi="Arial"/>
          <w:i/>
          <w:color w:val="010101"/>
          <w:sz w:val="20"/>
        </w:rPr>
        <w:t>di.</w:t>
      </w:r>
    </w:p>
    <w:p>
      <w:pPr>
        <w:pStyle w:val="BodyText"/>
        <w:spacing w:before="7"/>
        <w:rPr>
          <w:rFonts w:ascii="Arial"/>
          <w:i/>
          <w:sz w:val="14"/>
        </w:rPr>
      </w:pPr>
      <w:r>
        <w:rPr/>
        <w:drawing>
          <wp:anchor distT="0" distB="0" distL="0" distR="0" allowOverlap="1" layoutInCell="1" locked="0" behindDoc="0" simplePos="0" relativeHeight="18328">
            <wp:simplePos x="0" y="0"/>
            <wp:positionH relativeFrom="page">
              <wp:posOffset>539495</wp:posOffset>
            </wp:positionH>
            <wp:positionV relativeFrom="paragraph">
              <wp:posOffset>132019</wp:posOffset>
            </wp:positionV>
            <wp:extent cx="3630168" cy="722376"/>
            <wp:effectExtent l="0" t="0" r="0" b="0"/>
            <wp:wrapTopAndBottom/>
            <wp:docPr id="511" name="image261.png" descr=""/>
            <wp:cNvGraphicFramePr>
              <a:graphicFrameLocks noChangeAspect="1"/>
            </wp:cNvGraphicFramePr>
            <a:graphic>
              <a:graphicData uri="http://schemas.openxmlformats.org/drawingml/2006/picture">
                <pic:pic>
                  <pic:nvPicPr>
                    <pic:cNvPr id="512" name="image261.png"/>
                    <pic:cNvPicPr/>
                  </pic:nvPicPr>
                  <pic:blipFill>
                    <a:blip r:embed="rId265" cstate="print"/>
                    <a:stretch>
                      <a:fillRect/>
                    </a:stretch>
                  </pic:blipFill>
                  <pic:spPr>
                    <a:xfrm>
                      <a:off x="0" y="0"/>
                      <a:ext cx="3630168" cy="722376"/>
                    </a:xfrm>
                    <a:prstGeom prst="rect">
                      <a:avLst/>
                    </a:prstGeom>
                  </pic:spPr>
                </pic:pic>
              </a:graphicData>
            </a:graphic>
          </wp:anchor>
        </w:drawing>
      </w:r>
    </w:p>
    <w:p>
      <w:pPr>
        <w:spacing w:before="114" w:after="120"/>
        <w:ind w:left="3246" w:right="0" w:firstLine="0"/>
        <w:jc w:val="left"/>
        <w:rPr>
          <w:rFonts w:ascii="Arial" w:hAnsi="Arial"/>
          <w:b/>
          <w:sz w:val="19"/>
        </w:rPr>
      </w:pPr>
      <w:r>
        <w:rPr>
          <w:b/>
          <w:color w:val="010101"/>
          <w:w w:val="101"/>
          <w:sz w:val="20"/>
        </w:rPr>
        <w:t>·</w:t>
      </w:r>
      <w:r>
        <w:rPr>
          <w:b/>
          <w:color w:val="010101"/>
          <w:w w:val="101"/>
          <w:sz w:val="20"/>
        </w:rPr>
        <w:t>(,.q</w:t>
      </w:r>
      <w:r>
        <w:rPr>
          <w:b/>
          <w:color w:val="010101"/>
          <w:spacing w:val="-15"/>
          <w:w w:val="101"/>
          <w:sz w:val="20"/>
        </w:rPr>
        <w:t>.</w:t>
      </w:r>
      <w:r>
        <w:rPr>
          <w:rFonts w:ascii="Arial" w:hAnsi="Arial"/>
          <w:b/>
          <w:color w:val="010101"/>
          <w:spacing w:val="-18"/>
          <w:w w:val="122"/>
          <w:position w:val="-3"/>
          <w:sz w:val="11"/>
        </w:rPr>
        <w:t>1</w:t>
      </w:r>
      <w:r>
        <w:rPr>
          <w:rFonts w:ascii="Arial" w:hAnsi="Arial"/>
          <w:b/>
          <w:color w:val="010101"/>
          <w:spacing w:val="-10"/>
          <w:w w:val="200"/>
          <w:sz w:val="11"/>
        </w:rPr>
        <w:t>•</w:t>
      </w:r>
      <w:r>
        <w:rPr>
          <w:rFonts w:ascii="Arial" w:hAnsi="Arial"/>
          <w:b/>
          <w:color w:val="010101"/>
          <w:spacing w:val="-13"/>
          <w:w w:val="142"/>
          <w:position w:val="-3"/>
          <w:sz w:val="11"/>
        </w:rPr>
        <w:t>1</w:t>
      </w:r>
      <w:r>
        <w:rPr>
          <w:rFonts w:ascii="Arial" w:hAnsi="Arial"/>
          <w:b/>
          <w:color w:val="010101"/>
          <w:w w:val="186"/>
          <w:sz w:val="11"/>
        </w:rPr>
        <w:t>..•••</w:t>
      </w:r>
      <w:r>
        <w:rPr>
          <w:rFonts w:ascii="Arial" w:hAnsi="Arial"/>
          <w:b/>
          <w:color w:val="010101"/>
          <w:sz w:val="11"/>
        </w:rPr>
        <w:t>  </w:t>
      </w:r>
      <w:r>
        <w:rPr>
          <w:rFonts w:ascii="Arial" w:hAnsi="Arial"/>
          <w:b/>
          <w:color w:val="010101"/>
          <w:spacing w:val="-10"/>
          <w:sz w:val="11"/>
        </w:rPr>
        <w:t> </w:t>
      </w:r>
      <w:r>
        <w:rPr>
          <w:rFonts w:ascii="Arial" w:hAnsi="Arial"/>
          <w:color w:val="010101"/>
          <w:w w:val="477"/>
          <w:sz w:val="11"/>
        </w:rPr>
        <w:t>-</w:t>
      </w:r>
      <w:r>
        <w:rPr>
          <w:rFonts w:ascii="Arial" w:hAnsi="Arial"/>
          <w:color w:val="010101"/>
          <w:sz w:val="11"/>
        </w:rPr>
        <w:t> </w:t>
      </w:r>
      <w:r>
        <w:rPr>
          <w:rFonts w:ascii="Arial" w:hAnsi="Arial"/>
          <w:color w:val="010101"/>
          <w:spacing w:val="-7"/>
          <w:sz w:val="11"/>
        </w:rPr>
        <w:t> </w:t>
      </w:r>
      <w:r>
        <w:rPr>
          <w:b/>
          <w:color w:val="010101"/>
          <w:w w:val="86"/>
          <w:sz w:val="22"/>
        </w:rPr>
        <w:t>mA</w:t>
      </w:r>
      <w:r>
        <w:rPr>
          <w:b/>
          <w:color w:val="010101"/>
          <w:spacing w:val="-9"/>
          <w:sz w:val="22"/>
        </w:rPr>
        <w:t> </w:t>
      </w:r>
      <w:r>
        <w:rPr>
          <w:b/>
          <w:color w:val="010101"/>
          <w:spacing w:val="-61"/>
          <w:w w:val="272"/>
          <w:sz w:val="22"/>
        </w:rPr>
        <w:t>·</w:t>
      </w:r>
      <w:r>
        <w:rPr>
          <w:b/>
          <w:color w:val="010101"/>
          <w:w w:val="94"/>
          <w:sz w:val="22"/>
        </w:rPr>
        <w:t>...</w:t>
      </w:r>
      <w:r>
        <w:rPr>
          <w:b/>
          <w:color w:val="010101"/>
          <w:spacing w:val="-3"/>
          <w:w w:val="94"/>
          <w:sz w:val="22"/>
        </w:rPr>
        <w:t>.</w:t>
      </w:r>
      <w:r>
        <w:rPr>
          <w:rFonts w:ascii="Arial" w:hAnsi="Arial"/>
          <w:b/>
          <w:color w:val="010101"/>
          <w:spacing w:val="-10"/>
          <w:w w:val="132"/>
          <w:position w:val="-3"/>
          <w:sz w:val="11"/>
        </w:rPr>
        <w:t>1</w:t>
      </w:r>
      <w:r>
        <w:rPr>
          <w:rFonts w:ascii="Arial" w:hAnsi="Arial"/>
          <w:b/>
          <w:color w:val="010101"/>
          <w:w w:val="157"/>
          <w:sz w:val="11"/>
        </w:rPr>
        <w:t>....</w:t>
      </w:r>
      <w:r>
        <w:rPr>
          <w:rFonts w:ascii="Arial" w:hAnsi="Arial"/>
          <w:b/>
          <w:color w:val="010101"/>
          <w:spacing w:val="-19"/>
          <w:w w:val="157"/>
          <w:sz w:val="11"/>
        </w:rPr>
        <w:t>.</w:t>
      </w:r>
      <w:r>
        <w:rPr>
          <w:rFonts w:ascii="Arial" w:hAnsi="Arial"/>
          <w:b/>
          <w:color w:val="010101"/>
          <w:w w:val="95"/>
          <w:sz w:val="19"/>
        </w:rPr>
        <w:t>,.</w:t>
      </w:r>
      <w:r>
        <w:rPr>
          <w:rFonts w:ascii="Arial" w:hAnsi="Arial"/>
          <w:b/>
          <w:color w:val="010101"/>
          <w:spacing w:val="-15"/>
          <w:w w:val="95"/>
          <w:sz w:val="19"/>
        </w:rPr>
        <w:t>:</w:t>
      </w:r>
      <w:r>
        <w:rPr>
          <w:rFonts w:ascii="Arial" w:hAnsi="Arial"/>
          <w:b/>
          <w:color w:val="010101"/>
          <w:w w:val="132"/>
          <w:sz w:val="19"/>
        </w:rPr>
        <w:t>;¡)</w:t>
      </w:r>
    </w:p>
    <w:p>
      <w:pPr>
        <w:pStyle w:val="BodyText"/>
        <w:ind w:left="149"/>
        <w:rPr>
          <w:rFonts w:ascii="Arial"/>
        </w:rPr>
      </w:pPr>
      <w:r>
        <w:rPr>
          <w:rFonts w:ascii="Arial"/>
        </w:rPr>
        <w:drawing>
          <wp:inline distT="0" distB="0" distL="0" distR="0">
            <wp:extent cx="2551176" cy="283463"/>
            <wp:effectExtent l="0" t="0" r="0" b="0"/>
            <wp:docPr id="513" name="image262.png" descr=""/>
            <wp:cNvGraphicFramePr>
              <a:graphicFrameLocks noChangeAspect="1"/>
            </wp:cNvGraphicFramePr>
            <a:graphic>
              <a:graphicData uri="http://schemas.openxmlformats.org/drawingml/2006/picture">
                <pic:pic>
                  <pic:nvPicPr>
                    <pic:cNvPr id="514" name="image262.png"/>
                    <pic:cNvPicPr/>
                  </pic:nvPicPr>
                  <pic:blipFill>
                    <a:blip r:embed="rId266" cstate="print"/>
                    <a:stretch>
                      <a:fillRect/>
                    </a:stretch>
                  </pic:blipFill>
                  <pic:spPr>
                    <a:xfrm>
                      <a:off x="0" y="0"/>
                      <a:ext cx="2551176" cy="283463"/>
                    </a:xfrm>
                    <a:prstGeom prst="rect">
                      <a:avLst/>
                    </a:prstGeom>
                  </pic:spPr>
                </pic:pic>
              </a:graphicData>
            </a:graphic>
          </wp:inline>
        </w:drawing>
      </w:r>
      <w:r>
        <w:rPr>
          <w:rFonts w:ascii="Arial"/>
        </w:rPr>
      </w:r>
    </w:p>
    <w:p>
      <w:pPr>
        <w:pStyle w:val="BodyText"/>
        <w:spacing w:before="1"/>
        <w:rPr>
          <w:rFonts w:ascii="Arial"/>
          <w:b/>
          <w:sz w:val="14"/>
        </w:rPr>
      </w:pPr>
      <w:r>
        <w:rPr/>
        <w:drawing>
          <wp:anchor distT="0" distB="0" distL="0" distR="0" allowOverlap="1" layoutInCell="1" locked="0" behindDoc="0" simplePos="0" relativeHeight="18352">
            <wp:simplePos x="0" y="0"/>
            <wp:positionH relativeFrom="page">
              <wp:posOffset>1316736</wp:posOffset>
            </wp:positionH>
            <wp:positionV relativeFrom="paragraph">
              <wp:posOffset>127635</wp:posOffset>
            </wp:positionV>
            <wp:extent cx="2048256" cy="128015"/>
            <wp:effectExtent l="0" t="0" r="0" b="0"/>
            <wp:wrapTopAndBottom/>
            <wp:docPr id="515" name="image263.png" descr=""/>
            <wp:cNvGraphicFramePr>
              <a:graphicFrameLocks noChangeAspect="1"/>
            </wp:cNvGraphicFramePr>
            <a:graphic>
              <a:graphicData uri="http://schemas.openxmlformats.org/drawingml/2006/picture">
                <pic:pic>
                  <pic:nvPicPr>
                    <pic:cNvPr id="516" name="image263.png"/>
                    <pic:cNvPicPr/>
                  </pic:nvPicPr>
                  <pic:blipFill>
                    <a:blip r:embed="rId267" cstate="print"/>
                    <a:stretch>
                      <a:fillRect/>
                    </a:stretch>
                  </pic:blipFill>
                  <pic:spPr>
                    <a:xfrm>
                      <a:off x="0" y="0"/>
                      <a:ext cx="2048256" cy="128015"/>
                    </a:xfrm>
                    <a:prstGeom prst="rect">
                      <a:avLst/>
                    </a:prstGeom>
                  </pic:spPr>
                </pic:pic>
              </a:graphicData>
            </a:graphic>
          </wp:anchor>
        </w:drawing>
      </w:r>
    </w:p>
    <w:p>
      <w:pPr>
        <w:pStyle w:val="BodyText"/>
        <w:spacing w:before="135"/>
        <w:ind w:left="128" w:right="739"/>
      </w:pPr>
      <w:r>
        <w:rPr>
          <w:color w:val="010101"/>
          <w:w w:val="115"/>
        </w:rPr>
        <w:t>Replacing </w:t>
      </w:r>
      <w:r>
        <w:rPr>
          <w:rFonts w:ascii="Arial"/>
          <w:i/>
          <w:color w:val="010101"/>
          <w:w w:val="115"/>
          <w:sz w:val="19"/>
        </w:rPr>
        <w:t>A </w:t>
      </w:r>
      <w:r>
        <w:rPr>
          <w:color w:val="010101"/>
          <w:w w:val="115"/>
        </w:rPr>
        <w:t>by </w:t>
      </w:r>
      <w:r>
        <w:rPr>
          <w:color w:val="010101"/>
          <w:w w:val="255"/>
        </w:rPr>
        <w:t>-</w:t>
      </w:r>
      <w:r>
        <w:rPr>
          <w:color w:val="010101"/>
          <w:spacing w:val="-105"/>
          <w:w w:val="255"/>
        </w:rPr>
        <w:t> </w:t>
      </w:r>
      <w:r>
        <w:rPr>
          <w:color w:val="010101"/>
          <w:w w:val="115"/>
        </w:rPr>
        <w:t>log s and rearranging terms,</w:t>
      </w:r>
    </w:p>
    <w:p>
      <w:pPr>
        <w:pStyle w:val="BodyText"/>
        <w:spacing w:before="1"/>
        <w:rPr>
          <w:sz w:val="11"/>
        </w:rPr>
      </w:pPr>
      <w:r>
        <w:rPr/>
        <w:drawing>
          <wp:anchor distT="0" distB="0" distL="0" distR="0" allowOverlap="1" layoutInCell="1" locked="0" behindDoc="0" simplePos="0" relativeHeight="18376">
            <wp:simplePos x="0" y="0"/>
            <wp:positionH relativeFrom="page">
              <wp:posOffset>512063</wp:posOffset>
            </wp:positionH>
            <wp:positionV relativeFrom="paragraph">
              <wp:posOffset>106078</wp:posOffset>
            </wp:positionV>
            <wp:extent cx="502920" cy="155447"/>
            <wp:effectExtent l="0" t="0" r="0" b="0"/>
            <wp:wrapTopAndBottom/>
            <wp:docPr id="517" name="image264.png" descr=""/>
            <wp:cNvGraphicFramePr>
              <a:graphicFrameLocks noChangeAspect="1"/>
            </wp:cNvGraphicFramePr>
            <a:graphic>
              <a:graphicData uri="http://schemas.openxmlformats.org/drawingml/2006/picture">
                <pic:pic>
                  <pic:nvPicPr>
                    <pic:cNvPr id="518" name="image264.png"/>
                    <pic:cNvPicPr/>
                  </pic:nvPicPr>
                  <pic:blipFill>
                    <a:blip r:embed="rId268" cstate="print"/>
                    <a:stretch>
                      <a:fillRect/>
                    </a:stretch>
                  </pic:blipFill>
                  <pic:spPr>
                    <a:xfrm>
                      <a:off x="0" y="0"/>
                      <a:ext cx="502920" cy="155447"/>
                    </a:xfrm>
                    <a:prstGeom prst="rect">
                      <a:avLst/>
                    </a:prstGeom>
                  </pic:spPr>
                </pic:pic>
              </a:graphicData>
            </a:graphic>
          </wp:anchor>
        </w:drawing>
      </w:r>
    </w:p>
    <w:p>
      <w:pPr>
        <w:spacing w:before="129"/>
        <w:ind w:left="149" w:right="133" w:firstLine="0"/>
        <w:jc w:val="left"/>
        <w:rPr>
          <w:rFonts w:ascii="Arial"/>
          <w:sz w:val="19"/>
        </w:rPr>
      </w:pPr>
      <w:r>
        <w:rPr>
          <w:position w:val="-17"/>
        </w:rPr>
        <w:drawing>
          <wp:inline distT="0" distB="0" distL="0" distR="0">
            <wp:extent cx="3026664" cy="301752"/>
            <wp:effectExtent l="0" t="0" r="0" b="0"/>
            <wp:docPr id="519" name="image265.png" descr=""/>
            <wp:cNvGraphicFramePr>
              <a:graphicFrameLocks noChangeAspect="1"/>
            </wp:cNvGraphicFramePr>
            <a:graphic>
              <a:graphicData uri="http://schemas.openxmlformats.org/drawingml/2006/picture">
                <pic:pic>
                  <pic:nvPicPr>
                    <pic:cNvPr id="520" name="image265.png"/>
                    <pic:cNvPicPr/>
                  </pic:nvPicPr>
                  <pic:blipFill>
                    <a:blip r:embed="rId269" cstate="print"/>
                    <a:stretch>
                      <a:fillRect/>
                    </a:stretch>
                  </pic:blipFill>
                  <pic:spPr>
                    <a:xfrm>
                      <a:off x="0" y="0"/>
                      <a:ext cx="3026664" cy="301752"/>
                    </a:xfrm>
                    <a:prstGeom prst="rect">
                      <a:avLst/>
                    </a:prstGeom>
                  </pic:spPr>
                </pic:pic>
              </a:graphicData>
            </a:graphic>
          </wp:inline>
        </w:drawing>
      </w:r>
      <w:r>
        <w:rPr>
          <w:position w:val="-17"/>
        </w:rPr>
      </w:r>
      <w:r>
        <w:rPr>
          <w:sz w:val="20"/>
        </w:rPr>
        <w:t>     </w:t>
      </w:r>
      <w:r>
        <w:rPr>
          <w:rFonts w:ascii="Arial"/>
          <w:color w:val="010101"/>
          <w:sz w:val="19"/>
        </w:rPr>
        <w:t>(11.20)</w:t>
      </w:r>
    </w:p>
    <w:p>
      <w:pPr>
        <w:pStyle w:val="BodyText"/>
        <w:spacing w:before="123"/>
        <w:ind w:left="128" w:right="739"/>
      </w:pPr>
      <w:r>
        <w:rPr>
          <w:color w:val="010101"/>
          <w:w w:val="105"/>
        </w:rPr>
        <w:t>Thcn as a specin.) case</w:t>
      </w:r>
    </w:p>
    <w:p>
      <w:pPr>
        <w:spacing w:after="0"/>
        <w:sectPr>
          <w:type w:val="continuous"/>
          <w:pgSz w:w="7200" w:h="11340"/>
          <w:pgMar w:top="1100" w:bottom="0" w:left="700" w:right="520"/>
        </w:sectPr>
      </w:pPr>
    </w:p>
    <w:p>
      <w:pPr>
        <w:tabs>
          <w:tab w:pos="1942" w:val="left" w:leader="none"/>
          <w:tab w:pos="5228" w:val="left" w:leader="none"/>
        </w:tabs>
        <w:spacing w:before="61"/>
        <w:ind w:left="125" w:right="0" w:firstLine="0"/>
        <w:jc w:val="left"/>
        <w:rPr>
          <w:rFonts w:ascii="Arial"/>
          <w:b/>
          <w:sz w:val="20"/>
        </w:rPr>
      </w:pPr>
      <w:r>
        <w:rPr>
          <w:rFonts w:ascii="Arial"/>
          <w:color w:val="010101"/>
          <w:sz w:val="19"/>
        </w:rPr>
        <w:t>232</w:t>
        <w:tab/>
      </w:r>
      <w:r>
        <w:rPr>
          <w:b/>
          <w:color w:val="010101"/>
          <w:sz w:val="15"/>
        </w:rPr>
        <w:t>CONTINGllNT  </w:t>
      </w:r>
      <w:r>
        <w:rPr>
          <w:b/>
          <w:color w:val="010101"/>
          <w:spacing w:val="31"/>
          <w:sz w:val="15"/>
        </w:rPr>
        <w:t> </w:t>
      </w:r>
      <w:r>
        <w:rPr>
          <w:b/>
          <w:color w:val="010101"/>
          <w:sz w:val="15"/>
        </w:rPr>
        <w:t>l'UNCl'IONS</w:t>
        <w:tab/>
      </w:r>
      <w:r>
        <w:rPr>
          <w:b/>
          <w:color w:val="010101"/>
          <w:w w:val="90"/>
          <w:sz w:val="21"/>
        </w:rPr>
        <w:t>[CH.</w:t>
      </w:r>
      <w:r>
        <w:rPr>
          <w:b/>
          <w:color w:val="010101"/>
          <w:spacing w:val="-6"/>
          <w:w w:val="90"/>
          <w:sz w:val="21"/>
        </w:rPr>
        <w:t> </w:t>
      </w:r>
      <w:r>
        <w:rPr>
          <w:rFonts w:ascii="Arial"/>
          <w:b/>
          <w:color w:val="010101"/>
          <w:w w:val="90"/>
          <w:sz w:val="20"/>
        </w:rPr>
        <w:t>11</w:t>
      </w:r>
    </w:p>
    <w:p>
      <w:pPr>
        <w:spacing w:after="0"/>
        <w:jc w:val="left"/>
        <w:rPr>
          <w:rFonts w:ascii="Arial"/>
          <w:sz w:val="20"/>
        </w:rPr>
        <w:sectPr>
          <w:pgSz w:w="7200" w:h="11340"/>
          <w:pgMar w:top="500" w:bottom="280" w:left="680" w:right="540"/>
        </w:sectPr>
      </w:pPr>
    </w:p>
    <w:p>
      <w:pPr>
        <w:pStyle w:val="BodyText"/>
        <w:spacing w:before="5"/>
        <w:rPr>
          <w:rFonts w:ascii="Arial"/>
          <w:b/>
          <w:sz w:val="21"/>
        </w:rPr>
      </w:pPr>
    </w:p>
    <w:p>
      <w:pPr>
        <w:tabs>
          <w:tab w:pos="1703" w:val="left" w:leader="none"/>
        </w:tabs>
        <w:spacing w:line="47" w:lineRule="exact" w:before="0"/>
        <w:ind w:left="794" w:right="0" w:firstLine="0"/>
        <w:jc w:val="left"/>
        <w:rPr>
          <w:sz w:val="21"/>
        </w:rPr>
      </w:pPr>
      <w:r>
        <w:rPr>
          <w:color w:val="010101"/>
          <w:w w:val="135"/>
          <w:position w:val="4"/>
          <w:sz w:val="13"/>
        </w:rPr>
        <w:t>1    </w:t>
      </w:r>
      <w:r>
        <w:rPr>
          <w:color w:val="1D1D1D"/>
          <w:sz w:val="13"/>
        </w:rPr>
        <w:t>·</w:t>
        <w:tab/>
      </w:r>
      <w:r>
        <w:rPr>
          <w:color w:val="010101"/>
          <w:w w:val="85"/>
          <w:sz w:val="21"/>
        </w:rPr>
        <w:t>c"</w:t>
      </w:r>
    </w:p>
    <w:p>
      <w:pPr>
        <w:pStyle w:val="Heading1"/>
        <w:tabs>
          <w:tab w:pos="1659" w:val="left" w:leader="none"/>
        </w:tabs>
        <w:spacing w:line="224" w:lineRule="exact" w:before="23"/>
        <w:ind w:left="78"/>
      </w:pPr>
      <w:r>
        <w:rPr/>
        <w:br w:type="column"/>
      </w:r>
      <w:r>
        <w:rPr>
          <w:color w:val="010101"/>
          <w:spacing w:val="-7"/>
          <w:w w:val="85"/>
        </w:rPr>
        <w:t>(1</w:t>
        <w:tab/>
      </w:r>
      <w:r>
        <w:rPr>
          <w:color w:val="010101"/>
          <w:w w:val="85"/>
        </w:rPr>
        <w:t>)</w:t>
      </w:r>
    </w:p>
    <w:p>
      <w:pPr>
        <w:spacing w:after="0" w:line="224" w:lineRule="exact"/>
        <w:sectPr>
          <w:type w:val="continuous"/>
          <w:pgSz w:w="7200" w:h="11340"/>
          <w:pgMar w:top="1100" w:bottom="0" w:left="680" w:right="540"/>
          <w:cols w:num="2" w:equalWidth="0">
            <w:col w:w="1857" w:space="39"/>
            <w:col w:w="4084"/>
          </w:cols>
        </w:sectPr>
      </w:pPr>
    </w:p>
    <w:p>
      <w:pPr>
        <w:tabs>
          <w:tab w:pos="2086" w:val="left" w:leader="none"/>
        </w:tabs>
        <w:spacing w:line="362" w:lineRule="exact" w:before="0"/>
        <w:ind w:left="329" w:right="123" w:firstLine="275"/>
        <w:jc w:val="left"/>
        <w:rPr>
          <w:sz w:val="20"/>
        </w:rPr>
      </w:pPr>
      <w:r>
        <w:rPr/>
        <w:pict>
          <v:rect style="position:absolute;margin-left:118.986099pt;margin-top:13.762005pt;width:8.0517pt;height:5.367793pt;mso-position-horizontal-relative:page;mso-position-vertical-relative:paragraph;z-index:-717640" filled="true" fillcolor="#000000" stroked="false">
            <v:fill type="solid"/>
            <w10:wrap type="none"/>
          </v:rect>
        </w:pict>
      </w:r>
      <w:r>
        <w:rPr/>
        <w:pict>
          <v:shape style="position:absolute;margin-left:126.858803pt;margin-top:-1.891148pt;width:4.4pt;height:6.5pt;mso-position-horizontal-relative:page;mso-position-vertical-relative:paragraph;z-index:-717616" type="#_x0000_t202" filled="false" stroked="false">
            <v:textbox inset="0,0,0,0">
              <w:txbxContent>
                <w:p>
                  <w:pPr>
                    <w:spacing w:line="130" w:lineRule="exact" w:before="0"/>
                    <w:ind w:left="0" w:right="0" w:firstLine="0"/>
                    <w:jc w:val="left"/>
                    <w:rPr>
                      <w:sz w:val="13"/>
                    </w:rPr>
                  </w:pPr>
                  <w:r>
                    <w:rPr>
                      <w:color w:val="010101"/>
                      <w:w w:val="135"/>
                      <w:sz w:val="13"/>
                    </w:rPr>
                    <w:t>1</w:t>
                  </w:r>
                </w:p>
              </w:txbxContent>
            </v:textbox>
            <w10:wrap type="none"/>
          </v:shape>
        </w:pict>
      </w:r>
      <w:r>
        <w:rPr>
          <w:color w:val="010101"/>
          <w:w w:val="104"/>
          <w:sz w:val="13"/>
        </w:rPr>
        <w:t>aoqz1z1·</w:t>
      </w:r>
      <w:r>
        <w:rPr>
          <w:color w:val="010101"/>
          <w:spacing w:val="-18"/>
          <w:sz w:val="13"/>
        </w:rPr>
        <w:t> </w:t>
      </w:r>
      <w:r>
        <w:rPr>
          <w:color w:val="010101"/>
          <w:spacing w:val="-27"/>
          <w:w w:val="184"/>
          <w:sz w:val="13"/>
        </w:rPr>
        <w:t>·</w:t>
      </w:r>
      <w:r>
        <w:rPr>
          <w:color w:val="010101"/>
          <w:spacing w:val="-41"/>
          <w:w w:val="184"/>
          <w:sz w:val="13"/>
        </w:rPr>
        <w:t>·</w:t>
      </w:r>
      <w:r>
        <w:rPr>
          <w:color w:val="010101"/>
          <w:spacing w:val="6"/>
          <w:w w:val="118"/>
          <w:sz w:val="13"/>
        </w:rPr>
        <w:t>z</w:t>
      </w:r>
      <w:r>
        <w:rPr>
          <w:color w:val="010101"/>
          <w:w w:val="175"/>
          <w:sz w:val="13"/>
        </w:rPr>
        <w:t>..</w:t>
      </w:r>
      <w:r>
        <w:rPr>
          <w:color w:val="010101"/>
          <w:sz w:val="13"/>
        </w:rPr>
        <w:t> </w:t>
      </w:r>
      <w:r>
        <w:rPr>
          <w:color w:val="010101"/>
          <w:spacing w:val="7"/>
          <w:sz w:val="13"/>
        </w:rPr>
        <w:t> </w:t>
      </w:r>
      <w:r>
        <w:rPr>
          <w:color w:val="010101"/>
          <w:w w:val="91"/>
          <w:sz w:val="26"/>
        </w:rPr>
        <w:t>=</w:t>
      </w:r>
      <w:r>
        <w:rPr>
          <w:color w:val="010101"/>
          <w:spacing w:val="22"/>
          <w:sz w:val="26"/>
        </w:rPr>
        <w:t> </w:t>
      </w:r>
      <w:r>
        <w:rPr>
          <w:rFonts w:ascii="Arial" w:hAnsi="Arial"/>
          <w:i/>
          <w:color w:val="010101"/>
          <w:w w:val="88"/>
          <w:sz w:val="22"/>
        </w:rPr>
        <w:t>e-</w:t>
      </w:r>
      <w:r>
        <w:rPr>
          <w:rFonts w:ascii="Arial" w:hAnsi="Arial"/>
          <w:i/>
          <w:color w:val="010101"/>
          <w:sz w:val="22"/>
        </w:rPr>
        <w:tab/>
      </w:r>
      <w:r>
        <w:rPr>
          <w:i/>
          <w:color w:val="010101"/>
          <w:w w:val="56"/>
          <w:sz w:val="40"/>
        </w:rPr>
        <w:t>m</w:t>
      </w:r>
      <w:r>
        <w:rPr>
          <w:i/>
          <w:color w:val="010101"/>
          <w:spacing w:val="-36"/>
          <w:sz w:val="40"/>
        </w:rPr>
        <w:t> </w:t>
      </w:r>
      <w:r>
        <w:rPr>
          <w:rFonts w:ascii="Arial" w:hAnsi="Arial"/>
          <w:color w:val="010101"/>
          <w:w w:val="102"/>
          <w:sz w:val="33"/>
        </w:rPr>
        <w:t>+</w:t>
      </w:r>
      <w:r>
        <w:rPr>
          <w:rFonts w:ascii="Arial" w:hAnsi="Arial"/>
          <w:color w:val="010101"/>
          <w:spacing w:val="-36"/>
          <w:sz w:val="33"/>
        </w:rPr>
        <w:t> </w:t>
      </w:r>
      <w:r>
        <w:rPr>
          <w:color w:val="010101"/>
          <w:w w:val="98"/>
          <w:sz w:val="20"/>
        </w:rPr>
        <w:t>log</w:t>
      </w:r>
      <w:r>
        <w:rPr>
          <w:color w:val="010101"/>
          <w:spacing w:val="8"/>
          <w:sz w:val="20"/>
        </w:rPr>
        <w:t> </w:t>
      </w:r>
      <w:r>
        <w:rPr>
          <w:b/>
          <w:color w:val="010101"/>
          <w:w w:val="162"/>
          <w:sz w:val="20"/>
        </w:rPr>
        <w:t>,</w:t>
      </w:r>
      <w:r>
        <w:rPr>
          <w:b/>
          <w:color w:val="010101"/>
          <w:spacing w:val="16"/>
          <w:w w:val="162"/>
          <w:sz w:val="20"/>
        </w:rPr>
        <w:t>.</w:t>
      </w:r>
      <w:r>
        <w:rPr>
          <w:b/>
          <w:color w:val="010101"/>
          <w:w w:val="118"/>
          <w:sz w:val="20"/>
        </w:rPr>
        <w:t>t..</w:t>
      </w:r>
      <w:r>
        <w:rPr>
          <w:b/>
          <w:color w:val="010101"/>
          <w:spacing w:val="3"/>
          <w:w w:val="118"/>
          <w:sz w:val="20"/>
        </w:rPr>
        <w:t>,</w:t>
      </w:r>
      <w:r>
        <w:rPr>
          <w:b/>
          <w:color w:val="010101"/>
          <w:w w:val="114"/>
          <w:sz w:val="20"/>
        </w:rPr>
        <w:t>...•</w:t>
      </w:r>
      <w:r>
        <w:rPr>
          <w:b/>
          <w:color w:val="010101"/>
          <w:sz w:val="20"/>
        </w:rPr>
        <w:t>  </w:t>
      </w:r>
      <w:r>
        <w:rPr>
          <w:b/>
          <w:color w:val="010101"/>
          <w:spacing w:val="22"/>
          <w:sz w:val="20"/>
        </w:rPr>
        <w:t> </w:t>
      </w:r>
      <w:r>
        <w:rPr>
          <w:color w:val="010101"/>
          <w:w w:val="280"/>
          <w:sz w:val="20"/>
        </w:rPr>
        <w:t>-</w:t>
      </w:r>
      <w:r>
        <w:rPr>
          <w:color w:val="010101"/>
          <w:spacing w:val="-26"/>
          <w:sz w:val="20"/>
        </w:rPr>
        <w:t> </w:t>
      </w:r>
      <w:r>
        <w:rPr>
          <w:b/>
          <w:color w:val="010101"/>
          <w:w w:val="93"/>
          <w:sz w:val="21"/>
        </w:rPr>
        <w:t>log</w:t>
      </w:r>
      <w:r>
        <w:rPr>
          <w:b/>
          <w:color w:val="010101"/>
          <w:spacing w:val="-12"/>
          <w:sz w:val="21"/>
        </w:rPr>
        <w:t> </w:t>
      </w:r>
      <w:r>
        <w:rPr>
          <w:b/>
          <w:color w:val="010101"/>
          <w:w w:val="299"/>
          <w:sz w:val="21"/>
        </w:rPr>
        <w:t>s</w:t>
      </w:r>
      <w:r>
        <w:rPr>
          <w:b/>
          <w:color w:val="010101"/>
          <w:spacing w:val="-12"/>
          <w:w w:val="299"/>
          <w:sz w:val="21"/>
        </w:rPr>
        <w:t>·</w:t>
      </w:r>
      <w:r>
        <w:rPr>
          <w:b/>
          <w:color w:val="010101"/>
          <w:w w:val="127"/>
          <w:sz w:val="21"/>
        </w:rPr>
        <w:t>.....</w:t>
      </w:r>
      <w:r>
        <w:rPr>
          <w:b/>
          <w:color w:val="010101"/>
          <w:sz w:val="21"/>
        </w:rPr>
        <w:t>   </w:t>
      </w:r>
      <w:r>
        <w:rPr>
          <w:b/>
          <w:color w:val="010101"/>
          <w:spacing w:val="-25"/>
          <w:sz w:val="21"/>
        </w:rPr>
        <w:t> </w:t>
      </w:r>
      <w:r>
        <w:rPr>
          <w:color w:val="010101"/>
          <w:w w:val="102"/>
          <w:sz w:val="20"/>
        </w:rPr>
        <w:t>(11.21)</w:t>
      </w:r>
    </w:p>
    <w:p>
      <w:pPr>
        <w:pStyle w:val="BodyText"/>
        <w:spacing w:line="249" w:lineRule="auto" w:before="190"/>
        <w:ind w:left="128" w:right="150" w:firstLine="200"/>
        <w:jc w:val="both"/>
      </w:pPr>
      <w:r>
        <w:rPr>
          <w:color w:val="010101"/>
          <w:w w:val="105"/>
        </w:rPr>
        <w:t>No special techniques are required for the evaluation of prob­ abilities contingent upon a second or subsequent death, since these can always be expressed </w:t>
      </w:r>
      <w:r>
        <w:rPr>
          <w:color w:val="010101"/>
          <w:w w:val="105"/>
          <w:sz w:val="19"/>
        </w:rPr>
        <w:t>in </w:t>
      </w:r>
      <w:r>
        <w:rPr>
          <w:color w:val="010101"/>
          <w:w w:val="105"/>
        </w:rPr>
        <w:t>terms of probabilities contingent upon the  first death.</w:t>
      </w:r>
    </w:p>
    <w:p>
      <w:pPr>
        <w:pStyle w:val="ListParagraph"/>
        <w:numPr>
          <w:ilvl w:val="0"/>
          <w:numId w:val="103"/>
        </w:numPr>
        <w:tabs>
          <w:tab w:pos="348" w:val="left" w:leader="none"/>
        </w:tabs>
        <w:spacing w:line="240" w:lineRule="auto" w:before="162" w:after="0"/>
        <w:ind w:left="347" w:right="0" w:hanging="229"/>
        <w:jc w:val="left"/>
        <w:rPr>
          <w:b/>
          <w:color w:val="010101"/>
          <w:sz w:val="19"/>
        </w:rPr>
      </w:pPr>
      <w:r>
        <w:rPr>
          <w:b/>
          <w:color w:val="010101"/>
          <w:w w:val="120"/>
          <w:sz w:val="19"/>
        </w:rPr>
        <w:t>Contingent insurance</w:t>
      </w:r>
      <w:r>
        <w:rPr>
          <w:b/>
          <w:color w:val="010101"/>
          <w:spacing w:val="43"/>
          <w:w w:val="120"/>
          <w:sz w:val="19"/>
        </w:rPr>
        <w:t> </w:t>
      </w:r>
      <w:r>
        <w:rPr>
          <w:b/>
          <w:color w:val="010101"/>
          <w:w w:val="120"/>
          <w:sz w:val="19"/>
        </w:rPr>
        <w:t>functions</w:t>
      </w:r>
    </w:p>
    <w:p>
      <w:pPr>
        <w:pStyle w:val="BodyText"/>
        <w:spacing w:line="247" w:lineRule="auto" w:before="82"/>
        <w:ind w:left="128" w:right="152" w:firstLine="196"/>
        <w:jc w:val="both"/>
      </w:pPr>
      <w:r>
        <w:rPr>
          <w:color w:val="010101"/>
          <w:w w:val="105"/>
        </w:rPr>
        <w:t>Let </w:t>
      </w:r>
      <w:r>
        <w:rPr>
          <w:i/>
          <w:color w:val="010101"/>
          <w:spacing w:val="9"/>
          <w:w w:val="105"/>
          <w:sz w:val="21"/>
        </w:rPr>
        <w:t>A., </w:t>
      </w:r>
      <w:r>
        <w:rPr>
          <w:color w:val="010101"/>
          <w:w w:val="105"/>
        </w:rPr>
        <w:t>denote the net single premium for </w:t>
      </w:r>
      <w:r>
        <w:rPr>
          <w:color w:val="010101"/>
          <w:w w:val="105"/>
          <w:sz w:val="21"/>
        </w:rPr>
        <w:t>a. </w:t>
      </w:r>
      <w:r>
        <w:rPr>
          <w:color w:val="010101"/>
          <w:w w:val="105"/>
        </w:rPr>
        <w:t>contingent</w:t>
      </w:r>
      <w:r>
        <w:rPr>
          <w:color w:val="010101"/>
          <w:spacing w:val="-21"/>
          <w:w w:val="105"/>
        </w:rPr>
        <w:t> </w:t>
      </w:r>
      <w:r>
        <w:rPr>
          <w:color w:val="010101"/>
          <w:w w:val="105"/>
        </w:rPr>
        <w:t>insurance of 1 </w:t>
      </w:r>
      <w:r>
        <w:rPr>
          <w:color w:val="010101"/>
          <w:spacing w:val="2"/>
          <w:w w:val="105"/>
        </w:rPr>
        <w:t>payable </w:t>
      </w:r>
      <w:r>
        <w:rPr>
          <w:color w:val="010101"/>
          <w:w w:val="105"/>
        </w:rPr>
        <w:t>at the end of the year  of  death of  (x) provided  that  </w:t>
      </w:r>
      <w:r>
        <w:rPr>
          <w:rFonts w:ascii="Arial"/>
          <w:i/>
          <w:color w:val="010101"/>
          <w:w w:val="105"/>
          <w:sz w:val="19"/>
        </w:rPr>
        <w:t>(x ) </w:t>
      </w:r>
      <w:r>
        <w:rPr>
          <w:color w:val="010101"/>
          <w:w w:val="105"/>
        </w:rPr>
        <w:t>dies before </w:t>
      </w:r>
      <w:r>
        <w:rPr>
          <w:rFonts w:ascii="Arial"/>
          <w:i/>
          <w:color w:val="010101"/>
          <w:w w:val="105"/>
          <w:sz w:val="19"/>
        </w:rPr>
        <w:t>(y ).</w:t>
      </w:r>
      <w:r>
        <w:rPr>
          <w:rFonts w:ascii="Arial"/>
          <w:i/>
          <w:color w:val="010101"/>
          <w:spacing w:val="8"/>
          <w:w w:val="105"/>
          <w:sz w:val="19"/>
        </w:rPr>
        <w:t> </w:t>
      </w:r>
      <w:r>
        <w:rPr>
          <w:color w:val="010101"/>
          <w:w w:val="105"/>
        </w:rPr>
        <w:t>Then</w:t>
      </w:r>
    </w:p>
    <w:p>
      <w:pPr>
        <w:spacing w:before="157"/>
        <w:ind w:left="2113" w:right="133" w:firstLine="0"/>
        <w:jc w:val="left"/>
        <w:rPr>
          <w:b/>
          <w:sz w:val="19"/>
        </w:rPr>
      </w:pPr>
      <w:r>
        <w:rPr>
          <w:position w:val="-15"/>
        </w:rPr>
        <w:drawing>
          <wp:inline distT="0" distB="0" distL="0" distR="0">
            <wp:extent cx="1106424" cy="274320"/>
            <wp:effectExtent l="0" t="0" r="0" b="0"/>
            <wp:docPr id="521" name="image266.png" descr=""/>
            <wp:cNvGraphicFramePr>
              <a:graphicFrameLocks noChangeAspect="1"/>
            </wp:cNvGraphicFramePr>
            <a:graphic>
              <a:graphicData uri="http://schemas.openxmlformats.org/drawingml/2006/picture">
                <pic:pic>
                  <pic:nvPicPr>
                    <pic:cNvPr id="522" name="image266.png"/>
                    <pic:cNvPicPr/>
                  </pic:nvPicPr>
                  <pic:blipFill>
                    <a:blip r:embed="rId270" cstate="print"/>
                    <a:stretch>
                      <a:fillRect/>
                    </a:stretch>
                  </pic:blipFill>
                  <pic:spPr>
                    <a:xfrm>
                      <a:off x="0" y="0"/>
                      <a:ext cx="1106424" cy="274320"/>
                    </a:xfrm>
                    <a:prstGeom prst="rect">
                      <a:avLst/>
                    </a:prstGeom>
                  </pic:spPr>
                </pic:pic>
              </a:graphicData>
            </a:graphic>
          </wp:inline>
        </w:drawing>
      </w:r>
      <w:r>
        <w:rPr>
          <w:position w:val="-15"/>
        </w:rPr>
      </w:r>
      <w:r>
        <w:rPr>
          <w:sz w:val="20"/>
        </w:rPr>
        <w:t>                          </w:t>
      </w:r>
      <w:r>
        <w:rPr>
          <w:b/>
          <w:color w:val="010101"/>
          <w:w w:val="105"/>
          <w:sz w:val="19"/>
        </w:rPr>
        <w:t>(11.22)</w:t>
      </w:r>
    </w:p>
    <w:p>
      <w:pPr>
        <w:pStyle w:val="BodyText"/>
        <w:spacing w:line="189" w:lineRule="exact" w:before="135"/>
        <w:ind w:left="15" w:right="40"/>
        <w:jc w:val="center"/>
      </w:pPr>
      <w:r>
        <w:rPr>
          <w:color w:val="010101"/>
          <w:w w:val="101"/>
        </w:rPr>
        <w:t>When</w:t>
      </w:r>
      <w:r>
        <w:rPr>
          <w:color w:val="010101"/>
        </w:rPr>
        <w:t> </w:t>
      </w:r>
      <w:r>
        <w:rPr>
          <w:color w:val="010101"/>
          <w:spacing w:val="21"/>
        </w:rPr>
        <w:t> </w:t>
      </w:r>
      <w:r>
        <w:rPr>
          <w:color w:val="010101"/>
          <w:w w:val="109"/>
        </w:rPr>
        <w:t>the</w:t>
      </w:r>
      <w:r>
        <w:rPr>
          <w:color w:val="010101"/>
        </w:rPr>
        <w:t> </w:t>
      </w:r>
      <w:r>
        <w:rPr>
          <w:color w:val="010101"/>
          <w:spacing w:val="7"/>
        </w:rPr>
        <w:t> </w:t>
      </w:r>
      <w:r>
        <w:rPr>
          <w:color w:val="010101"/>
          <w:w w:val="105"/>
        </w:rPr>
        <w:t>value</w:t>
      </w:r>
      <w:r>
        <w:rPr>
          <w:color w:val="010101"/>
        </w:rPr>
        <w:t> </w:t>
      </w:r>
      <w:r>
        <w:rPr>
          <w:color w:val="010101"/>
          <w:spacing w:val="10"/>
        </w:rPr>
        <w:t> </w:t>
      </w:r>
      <w:r>
        <w:rPr>
          <w:color w:val="010101"/>
          <w:w w:val="88"/>
        </w:rPr>
        <w:t>of</w:t>
      </w:r>
      <w:r>
        <w:rPr>
          <w:color w:val="010101"/>
        </w:rPr>
        <w:t> </w:t>
      </w:r>
      <w:r>
        <w:rPr>
          <w:color w:val="010101"/>
          <w:spacing w:val="23"/>
        </w:rPr>
        <w:t> </w:t>
      </w:r>
      <w:r>
        <w:rPr>
          <w:rFonts w:ascii="Arial"/>
          <w:i/>
          <w:color w:val="010101"/>
          <w:spacing w:val="8"/>
          <w:w w:val="151"/>
        </w:rPr>
        <w:t>A</w:t>
      </w:r>
      <w:r>
        <w:rPr>
          <w:rFonts w:ascii="Arial"/>
          <w:i/>
          <w:color w:val="010101"/>
          <w:w w:val="66"/>
          <w:position w:val="-3"/>
          <w:sz w:val="10"/>
        </w:rPr>
        <w:t>11</w:t>
      </w:r>
      <w:r>
        <w:rPr>
          <w:rFonts w:ascii="Arial"/>
          <w:i/>
          <w:color w:val="010101"/>
          <w:position w:val="-3"/>
          <w:sz w:val="10"/>
        </w:rPr>
        <w:t>   </w:t>
      </w:r>
      <w:r>
        <w:rPr>
          <w:rFonts w:ascii="Arial"/>
          <w:i/>
          <w:color w:val="010101"/>
          <w:spacing w:val="-11"/>
          <w:position w:val="-3"/>
          <w:sz w:val="10"/>
        </w:rPr>
        <w:t> </w:t>
      </w:r>
      <w:r>
        <w:rPr>
          <w:color w:val="010101"/>
          <w:w w:val="104"/>
        </w:rPr>
        <w:t>is</w:t>
      </w:r>
      <w:r>
        <w:rPr>
          <w:color w:val="010101"/>
        </w:rPr>
        <w:t> </w:t>
      </w:r>
      <w:r>
        <w:rPr>
          <w:color w:val="010101"/>
          <w:spacing w:val="-1"/>
        </w:rPr>
        <w:t> </w:t>
      </w:r>
      <w:r>
        <w:rPr>
          <w:color w:val="010101"/>
          <w:w w:val="100"/>
        </w:rPr>
        <w:t>known,</w:t>
      </w:r>
      <w:r>
        <w:rPr>
          <w:color w:val="010101"/>
        </w:rPr>
        <w:t> </w:t>
      </w:r>
      <w:r>
        <w:rPr>
          <w:color w:val="010101"/>
          <w:spacing w:val="22"/>
        </w:rPr>
        <w:t> </w:t>
      </w:r>
      <w:r>
        <w:rPr>
          <w:color w:val="010101"/>
          <w:w w:val="111"/>
        </w:rPr>
        <w:t>the</w:t>
      </w:r>
      <w:r>
        <w:rPr>
          <w:color w:val="010101"/>
        </w:rPr>
        <w:t> </w:t>
      </w:r>
      <w:r>
        <w:rPr>
          <w:color w:val="010101"/>
          <w:spacing w:val="9"/>
        </w:rPr>
        <w:t> </w:t>
      </w:r>
      <w:r>
        <w:rPr>
          <w:color w:val="010101"/>
          <w:w w:val="103"/>
        </w:rPr>
        <w:t>complementary</w:t>
      </w:r>
      <w:r>
        <w:rPr>
          <w:color w:val="010101"/>
        </w:rPr>
        <w:t>  </w:t>
      </w:r>
      <w:r>
        <w:rPr>
          <w:color w:val="010101"/>
          <w:spacing w:val="-11"/>
        </w:rPr>
        <w:t> </w:t>
      </w:r>
      <w:r>
        <w:rPr>
          <w:color w:val="010101"/>
          <w:w w:val="104"/>
        </w:rPr>
        <w:t>function</w:t>
      </w:r>
    </w:p>
    <w:p>
      <w:pPr>
        <w:pStyle w:val="BodyText"/>
        <w:spacing w:line="308" w:lineRule="exact"/>
        <w:ind w:left="125" w:right="739"/>
      </w:pPr>
      <w:r>
        <w:rPr>
          <w:i/>
          <w:color w:val="010101"/>
          <w:sz w:val="32"/>
        </w:rPr>
        <w:t>Az! </w:t>
      </w:r>
      <w:r>
        <w:rPr>
          <w:color w:val="010101"/>
          <w:sz w:val="21"/>
        </w:rPr>
        <w:t>i8 </w:t>
      </w:r>
      <w:r>
        <w:rPr>
          <w:color w:val="010101"/>
        </w:rPr>
        <w:t>easily obtained from the relation</w:t>
      </w:r>
    </w:p>
    <w:p>
      <w:pPr>
        <w:spacing w:before="27"/>
        <w:ind w:left="74" w:right="65" w:firstLine="0"/>
        <w:jc w:val="center"/>
        <w:rPr>
          <w:sz w:val="22"/>
        </w:rPr>
      </w:pPr>
      <w:r>
        <w:rPr>
          <w:rFonts w:ascii="Arial"/>
          <w:i/>
          <w:color w:val="010101"/>
          <w:w w:val="175"/>
          <w:sz w:val="20"/>
        </w:rPr>
        <w:t>A </w:t>
      </w:r>
      <w:r>
        <w:rPr>
          <w:rFonts w:ascii="Arial"/>
          <w:color w:val="010101"/>
          <w:w w:val="115"/>
          <w:sz w:val="33"/>
        </w:rPr>
        <w:t>+ </w:t>
      </w:r>
      <w:r>
        <w:rPr>
          <w:b/>
          <w:i/>
          <w:color w:val="010101"/>
          <w:w w:val="90"/>
          <w:sz w:val="22"/>
        </w:rPr>
        <w:t>Az! </w:t>
      </w:r>
      <w:r>
        <w:rPr>
          <w:color w:val="010101"/>
          <w:w w:val="90"/>
          <w:sz w:val="26"/>
        </w:rPr>
        <w:t>= </w:t>
      </w:r>
      <w:r>
        <w:rPr>
          <w:b/>
          <w:i/>
          <w:color w:val="010101"/>
          <w:w w:val="90"/>
          <w:sz w:val="22"/>
        </w:rPr>
        <w:t>Azw </w:t>
      </w:r>
      <w:r>
        <w:rPr>
          <w:color w:val="010101"/>
          <w:w w:val="130"/>
          <w:sz w:val="22"/>
        </w:rPr>
        <w:t>.</w:t>
      </w:r>
    </w:p>
    <w:p>
      <w:pPr>
        <w:pStyle w:val="BodyText"/>
        <w:spacing w:before="124"/>
        <w:ind w:left="329" w:right="739"/>
      </w:pPr>
      <w:r>
        <w:rPr>
          <w:color w:val="010101"/>
          <w:w w:val="105"/>
        </w:rPr>
        <w:t>For the contingent term  insurance, we have</w:t>
      </w:r>
    </w:p>
    <w:p>
      <w:pPr>
        <w:spacing w:before="84"/>
        <w:ind w:left="74" w:right="161" w:firstLine="0"/>
        <w:jc w:val="center"/>
        <w:rPr>
          <w:rFonts w:ascii="Arial"/>
          <w:b/>
          <w:sz w:val="12"/>
        </w:rPr>
      </w:pPr>
      <w:r>
        <w:rPr>
          <w:rFonts w:ascii="Arial"/>
          <w:b/>
          <w:color w:val="010101"/>
          <w:w w:val="165"/>
          <w:sz w:val="12"/>
        </w:rPr>
        <w:t>..-1</w:t>
      </w:r>
    </w:p>
    <w:p>
      <w:pPr>
        <w:spacing w:line="36" w:lineRule="exact" w:before="0"/>
        <w:ind w:left="1978" w:right="739" w:firstLine="0"/>
        <w:jc w:val="left"/>
        <w:rPr>
          <w:rFonts w:ascii="Arial" w:hAnsi="Arial"/>
          <w:sz w:val="19"/>
        </w:rPr>
      </w:pPr>
      <w:r>
        <w:rPr>
          <w:rFonts w:ascii="Arial" w:hAnsi="Arial"/>
          <w:b/>
          <w:color w:val="010101"/>
          <w:w w:val="90"/>
          <w:position w:val="2"/>
          <w:sz w:val="20"/>
        </w:rPr>
        <w:t>A </w:t>
      </w:r>
      <w:r>
        <w:rPr>
          <w:b/>
          <w:color w:val="010101"/>
          <w:w w:val="125"/>
          <w:position w:val="11"/>
          <w:sz w:val="13"/>
        </w:rPr>
        <w:t>l  </w:t>
      </w:r>
      <w:r>
        <w:rPr>
          <w:color w:val="010101"/>
          <w:w w:val="90"/>
          <w:sz w:val="16"/>
        </w:rPr>
        <w:t>:ñ}  </w:t>
      </w:r>
      <w:r>
        <w:rPr>
          <w:color w:val="010101"/>
          <w:w w:val="90"/>
          <w:sz w:val="26"/>
        </w:rPr>
        <w:t>=  </w:t>
      </w:r>
      <w:r>
        <w:rPr>
          <w:b/>
          <w:i/>
          <w:color w:val="010101"/>
          <w:w w:val="110"/>
          <w:sz w:val="17"/>
        </w:rPr>
        <w:t>LJ </w:t>
      </w:r>
      <w:r>
        <w:rPr>
          <w:rFonts w:ascii="Arial" w:hAnsi="Arial"/>
          <w:b/>
          <w:i/>
          <w:color w:val="010101"/>
          <w:w w:val="90"/>
          <w:sz w:val="13"/>
        </w:rPr>
        <w:t>V </w:t>
      </w:r>
      <w:r>
        <w:rPr>
          <w:b/>
          <w:i/>
          <w:color w:val="010101"/>
          <w:w w:val="110"/>
          <w:position w:val="11"/>
          <w:sz w:val="13"/>
        </w:rPr>
        <w:t>t+l  </w:t>
      </w:r>
      <w:r>
        <w:rPr>
          <w:rFonts w:ascii="Arial" w:hAnsi="Arial"/>
          <w:b/>
          <w:i/>
          <w:color w:val="010101"/>
          <w:w w:val="90"/>
          <w:sz w:val="19"/>
        </w:rPr>
        <w:t>,,qZ</w:t>
      </w:r>
      <w:r>
        <w:rPr>
          <w:b/>
          <w:color w:val="010101"/>
          <w:w w:val="90"/>
          <w:position w:val="11"/>
          <w:sz w:val="13"/>
        </w:rPr>
        <w:t>1</w:t>
      </w:r>
      <w:r>
        <w:rPr>
          <w:rFonts w:ascii="Arial" w:hAnsi="Arial"/>
          <w:b/>
          <w:i/>
          <w:color w:val="010101"/>
          <w:w w:val="90"/>
          <w:sz w:val="19"/>
        </w:rPr>
        <w:t>II </w:t>
      </w:r>
      <w:r>
        <w:rPr>
          <w:rFonts w:ascii="Arial" w:hAnsi="Arial"/>
          <w:color w:val="010101"/>
          <w:w w:val="90"/>
          <w:sz w:val="19"/>
        </w:rPr>
        <w:t>•</w:t>
      </w:r>
    </w:p>
    <w:p>
      <w:pPr>
        <w:tabs>
          <w:tab w:pos="5224" w:val="left" w:leader="none"/>
        </w:tabs>
        <w:spacing w:line="351" w:lineRule="exact" w:before="0"/>
        <w:ind w:left="2834" w:right="123" w:firstLine="0"/>
        <w:jc w:val="left"/>
        <w:rPr>
          <w:sz w:val="20"/>
        </w:rPr>
      </w:pPr>
      <w:r>
        <w:rPr>
          <w:b/>
          <w:color w:val="010101"/>
          <w:position w:val="-13"/>
          <w:sz w:val="23"/>
        </w:rPr>
        <w:t>,-o</w:t>
        <w:tab/>
      </w:r>
      <w:r>
        <w:rPr>
          <w:color w:val="010101"/>
          <w:sz w:val="20"/>
        </w:rPr>
        <w:t>(11.23)</w:t>
      </w:r>
    </w:p>
    <w:p>
      <w:pPr>
        <w:spacing w:line="232" w:lineRule="auto" w:before="150"/>
        <w:ind w:left="125" w:right="130" w:firstLine="0"/>
        <w:jc w:val="both"/>
        <w:rPr>
          <w:sz w:val="21"/>
        </w:rPr>
      </w:pPr>
      <w:r>
        <w:rPr>
          <w:color w:val="010101"/>
          <w:w w:val="110"/>
          <w:sz w:val="20"/>
        </w:rPr>
        <w:t>The payment </w:t>
      </w:r>
      <w:r>
        <w:rPr>
          <w:rFonts w:ascii="Arial" w:hAnsi="Arial"/>
          <w:color w:val="010101"/>
          <w:w w:val="110"/>
          <w:sz w:val="19"/>
        </w:rPr>
        <w:t>is </w:t>
      </w:r>
      <w:r>
        <w:rPr>
          <w:color w:val="010101"/>
          <w:w w:val="110"/>
          <w:sz w:val="20"/>
        </w:rPr>
        <w:t>made at the end of the year </w:t>
      </w:r>
      <w:r>
        <w:rPr>
          <w:color w:val="010101"/>
          <w:sz w:val="20"/>
        </w:rPr>
        <w:t>of </w:t>
      </w:r>
      <w:r>
        <w:rPr>
          <w:color w:val="010101"/>
          <w:w w:val="110"/>
          <w:sz w:val="20"/>
        </w:rPr>
        <w:t>dea.th </w:t>
      </w:r>
      <w:r>
        <w:rPr>
          <w:color w:val="010101"/>
          <w:sz w:val="20"/>
        </w:rPr>
        <w:t>of </w:t>
      </w:r>
      <w:r>
        <w:rPr>
          <w:rFonts w:ascii="Arial" w:hAnsi="Arial"/>
          <w:i/>
          <w:color w:val="010101"/>
          <w:w w:val="110"/>
          <w:sz w:val="19"/>
        </w:rPr>
        <w:t>(x ), </w:t>
      </w:r>
      <w:r>
        <w:rPr>
          <w:color w:val="010101"/>
          <w:w w:val="110"/>
          <w:sz w:val="20"/>
        </w:rPr>
        <w:t>pro­ vided that </w:t>
      </w:r>
      <w:r>
        <w:rPr>
          <w:rFonts w:ascii="Arial" w:hAnsi="Arial"/>
          <w:i/>
          <w:color w:val="010101"/>
          <w:w w:val="110"/>
          <w:sz w:val="19"/>
        </w:rPr>
        <w:t>(x </w:t>
      </w:r>
      <w:r>
        <w:rPr>
          <w:rFonts w:ascii="Arial" w:hAnsi="Arial"/>
          <w:i/>
          <w:color w:val="010101"/>
          <w:sz w:val="19"/>
        </w:rPr>
        <w:t>) </w:t>
      </w:r>
      <w:r>
        <w:rPr>
          <w:color w:val="010101"/>
          <w:w w:val="110"/>
          <w:sz w:val="20"/>
        </w:rPr>
        <w:t>dies before </w:t>
      </w:r>
      <w:r>
        <w:rPr>
          <w:i/>
          <w:color w:val="010101"/>
          <w:spacing w:val="5"/>
          <w:sz w:val="20"/>
        </w:rPr>
        <w:t>(y </w:t>
      </w:r>
      <w:r>
        <w:rPr>
          <w:i/>
          <w:color w:val="010101"/>
          <w:sz w:val="20"/>
        </w:rPr>
        <w:t>) </w:t>
      </w:r>
      <w:r>
        <w:rPr>
          <w:color w:val="010101"/>
          <w:w w:val="110"/>
          <w:sz w:val="20"/>
        </w:rPr>
        <w:t>and within </w:t>
      </w:r>
      <w:r>
        <w:rPr>
          <w:rFonts w:ascii="Arial" w:hAnsi="Arial"/>
          <w:i/>
          <w:color w:val="010101"/>
          <w:w w:val="110"/>
          <w:sz w:val="19"/>
        </w:rPr>
        <w:t>n </w:t>
      </w:r>
      <w:r>
        <w:rPr>
          <w:color w:val="010101"/>
          <w:w w:val="110"/>
          <w:sz w:val="20"/>
        </w:rPr>
        <w:t>years-or, </w:t>
      </w:r>
      <w:r>
        <w:rPr>
          <w:color w:val="010101"/>
          <w:sz w:val="23"/>
        </w:rPr>
        <w:t>iri </w:t>
      </w:r>
      <w:r>
        <w:rPr>
          <w:color w:val="010101"/>
          <w:w w:val="110"/>
          <w:sz w:val="20"/>
        </w:rPr>
        <w:t>other words,</w:t>
      </w:r>
      <w:r>
        <w:rPr>
          <w:color w:val="010101"/>
          <w:spacing w:val="10"/>
          <w:w w:val="110"/>
          <w:sz w:val="20"/>
        </w:rPr>
        <w:t> </w:t>
      </w:r>
      <w:r>
        <w:rPr>
          <w:color w:val="010101"/>
          <w:sz w:val="20"/>
        </w:rPr>
        <w:t>if</w:t>
      </w:r>
      <w:r>
        <w:rPr>
          <w:color w:val="010101"/>
          <w:spacing w:val="8"/>
          <w:sz w:val="20"/>
        </w:rPr>
        <w:t> </w:t>
      </w:r>
      <w:r>
        <w:rPr>
          <w:color w:val="010101"/>
          <w:w w:val="110"/>
          <w:sz w:val="20"/>
        </w:rPr>
        <w:t>the</w:t>
      </w:r>
      <w:r>
        <w:rPr>
          <w:color w:val="010101"/>
          <w:spacing w:val="-6"/>
          <w:w w:val="110"/>
          <w:sz w:val="20"/>
        </w:rPr>
        <w:t> </w:t>
      </w:r>
      <w:r>
        <w:rPr>
          <w:color w:val="010101"/>
          <w:w w:val="110"/>
          <w:sz w:val="20"/>
        </w:rPr>
        <w:t>status</w:t>
      </w:r>
      <w:r>
        <w:rPr>
          <w:color w:val="010101"/>
          <w:spacing w:val="19"/>
          <w:w w:val="110"/>
          <w:sz w:val="20"/>
        </w:rPr>
        <w:t> </w:t>
      </w:r>
      <w:r>
        <w:rPr>
          <w:rFonts w:ascii="Arial" w:hAnsi="Arial"/>
          <w:i/>
          <w:color w:val="010101"/>
          <w:w w:val="110"/>
          <w:sz w:val="19"/>
        </w:rPr>
        <w:t>(x</w:t>
      </w:r>
      <w:r>
        <w:rPr>
          <w:rFonts w:ascii="Arial" w:hAnsi="Arial"/>
          <w:i/>
          <w:color w:val="010101"/>
          <w:spacing w:val="-41"/>
          <w:w w:val="110"/>
          <w:sz w:val="19"/>
        </w:rPr>
        <w:t> </w:t>
      </w:r>
      <w:r>
        <w:rPr>
          <w:rFonts w:ascii="Arial" w:hAnsi="Arial"/>
          <w:i/>
          <w:color w:val="010101"/>
          <w:sz w:val="19"/>
        </w:rPr>
        <w:t>)</w:t>
      </w:r>
      <w:r>
        <w:rPr>
          <w:rFonts w:ascii="Arial" w:hAnsi="Arial"/>
          <w:i/>
          <w:color w:val="010101"/>
          <w:spacing w:val="18"/>
          <w:sz w:val="19"/>
        </w:rPr>
        <w:t> </w:t>
      </w:r>
      <w:r>
        <w:rPr>
          <w:rFonts w:ascii="Arial" w:hAnsi="Arial"/>
          <w:color w:val="010101"/>
          <w:w w:val="110"/>
          <w:sz w:val="19"/>
        </w:rPr>
        <w:t>is</w:t>
      </w:r>
      <w:r>
        <w:rPr>
          <w:rFonts w:ascii="Arial" w:hAnsi="Arial"/>
          <w:color w:val="010101"/>
          <w:spacing w:val="-21"/>
          <w:w w:val="110"/>
          <w:sz w:val="19"/>
        </w:rPr>
        <w:t> </w:t>
      </w:r>
      <w:r>
        <w:rPr>
          <w:color w:val="010101"/>
          <w:w w:val="110"/>
          <w:sz w:val="20"/>
        </w:rPr>
        <w:t>the</w:t>
      </w:r>
      <w:r>
        <w:rPr>
          <w:color w:val="010101"/>
          <w:spacing w:val="-10"/>
          <w:w w:val="110"/>
          <w:sz w:val="20"/>
        </w:rPr>
        <w:t> </w:t>
      </w:r>
      <w:r>
        <w:rPr>
          <w:color w:val="010101"/>
          <w:w w:val="110"/>
          <w:sz w:val="20"/>
        </w:rPr>
        <w:t>first</w:t>
      </w:r>
      <w:r>
        <w:rPr>
          <w:color w:val="010101"/>
          <w:spacing w:val="-10"/>
          <w:w w:val="110"/>
          <w:sz w:val="20"/>
        </w:rPr>
        <w:t> </w:t>
      </w:r>
      <w:r>
        <w:rPr>
          <w:color w:val="010101"/>
          <w:w w:val="110"/>
          <w:sz w:val="22"/>
        </w:rPr>
        <w:t>to</w:t>
      </w:r>
      <w:r>
        <w:rPr>
          <w:color w:val="010101"/>
          <w:spacing w:val="-11"/>
          <w:w w:val="110"/>
          <w:sz w:val="22"/>
        </w:rPr>
        <w:t> </w:t>
      </w:r>
      <w:r>
        <w:rPr>
          <w:color w:val="010101"/>
          <w:w w:val="110"/>
          <w:sz w:val="20"/>
        </w:rPr>
        <w:t>fail</w:t>
      </w:r>
      <w:r>
        <w:rPr>
          <w:color w:val="010101"/>
          <w:spacing w:val="-6"/>
          <w:w w:val="110"/>
          <w:sz w:val="20"/>
        </w:rPr>
        <w:t> </w:t>
      </w:r>
      <w:r>
        <w:rPr>
          <w:color w:val="010101"/>
          <w:sz w:val="20"/>
        </w:rPr>
        <w:t>of</w:t>
      </w:r>
      <w:r>
        <w:rPr>
          <w:color w:val="010101"/>
          <w:spacing w:val="12"/>
          <w:sz w:val="20"/>
        </w:rPr>
        <w:t> </w:t>
      </w:r>
      <w:r>
        <w:rPr>
          <w:color w:val="010101"/>
          <w:w w:val="110"/>
          <w:sz w:val="20"/>
        </w:rPr>
        <w:t>the</w:t>
      </w:r>
      <w:r>
        <w:rPr>
          <w:color w:val="010101"/>
          <w:spacing w:val="-10"/>
          <w:w w:val="110"/>
          <w:sz w:val="20"/>
        </w:rPr>
        <w:t> </w:t>
      </w:r>
      <w:r>
        <w:rPr>
          <w:color w:val="010101"/>
          <w:w w:val="110"/>
          <w:sz w:val="20"/>
        </w:rPr>
        <w:t>three</w:t>
      </w:r>
      <w:r>
        <w:rPr>
          <w:color w:val="010101"/>
          <w:spacing w:val="-8"/>
          <w:w w:val="110"/>
          <w:sz w:val="20"/>
        </w:rPr>
        <w:t> </w:t>
      </w:r>
      <w:r>
        <w:rPr>
          <w:color w:val="010101"/>
          <w:w w:val="110"/>
          <w:sz w:val="20"/>
        </w:rPr>
        <w:t>statuses,</w:t>
      </w:r>
      <w:r>
        <w:rPr>
          <w:color w:val="010101"/>
          <w:spacing w:val="24"/>
          <w:w w:val="110"/>
          <w:sz w:val="20"/>
        </w:rPr>
        <w:t> </w:t>
      </w:r>
      <w:r>
        <w:rPr>
          <w:rFonts w:ascii="Arial" w:hAnsi="Arial"/>
          <w:i/>
          <w:color w:val="010101"/>
          <w:w w:val="110"/>
          <w:sz w:val="19"/>
        </w:rPr>
        <w:t>(x</w:t>
      </w:r>
      <w:r>
        <w:rPr>
          <w:rFonts w:ascii="Arial" w:hAnsi="Arial"/>
          <w:i/>
          <w:color w:val="010101"/>
          <w:spacing w:val="-37"/>
          <w:w w:val="110"/>
          <w:sz w:val="19"/>
        </w:rPr>
        <w:t> </w:t>
      </w:r>
      <w:r>
        <w:rPr>
          <w:rFonts w:ascii="Arial" w:hAnsi="Arial"/>
          <w:color w:val="010101"/>
          <w:w w:val="110"/>
          <w:sz w:val="19"/>
        </w:rPr>
        <w:t>), </w:t>
      </w:r>
      <w:r>
        <w:rPr>
          <w:rFonts w:ascii="Arial" w:hAnsi="Arial"/>
          <w:i/>
          <w:color w:val="010101"/>
          <w:spacing w:val="3"/>
          <w:sz w:val="19"/>
        </w:rPr>
        <w:t>(y </w:t>
      </w:r>
      <w:r>
        <w:rPr>
          <w:rFonts w:ascii="Arial" w:hAnsi="Arial"/>
          <w:i/>
          <w:color w:val="010101"/>
          <w:w w:val="110"/>
          <w:sz w:val="19"/>
        </w:rPr>
        <w:t>), </w:t>
      </w:r>
      <w:r>
        <w:rPr>
          <w:color w:val="010101"/>
          <w:w w:val="110"/>
          <w:sz w:val="20"/>
        </w:rPr>
        <w:t>and (nj). </w:t>
      </w:r>
      <w:r>
        <w:rPr>
          <w:color w:val="010101"/>
          <w:w w:val="110"/>
          <w:sz w:val="22"/>
        </w:rPr>
        <w:t>It </w:t>
      </w:r>
      <w:r>
        <w:rPr>
          <w:color w:val="010101"/>
          <w:w w:val="110"/>
          <w:sz w:val="20"/>
        </w:rPr>
        <w:t>may </w:t>
      </w:r>
      <w:r>
        <w:rPr>
          <w:color w:val="010101"/>
          <w:w w:val="110"/>
          <w:sz w:val="19"/>
        </w:rPr>
        <w:t>be </w:t>
      </w:r>
      <w:r>
        <w:rPr>
          <w:color w:val="010101"/>
          <w:w w:val="110"/>
          <w:sz w:val="20"/>
        </w:rPr>
        <w:t>noted that the case where  </w:t>
      </w:r>
      <w:r>
        <w:rPr>
          <w:rFonts w:ascii="Arial" w:hAnsi="Arial"/>
          <w:i/>
          <w:color w:val="010101"/>
          <w:w w:val="110"/>
          <w:sz w:val="19"/>
        </w:rPr>
        <w:t>(x </w:t>
      </w:r>
      <w:r>
        <w:rPr>
          <w:rFonts w:ascii="Arial" w:hAnsi="Arial"/>
          <w:i/>
          <w:color w:val="010101"/>
          <w:sz w:val="19"/>
        </w:rPr>
        <w:t>) </w:t>
      </w:r>
      <w:r>
        <w:rPr>
          <w:rFonts w:ascii="Arial" w:hAnsi="Arial"/>
          <w:color w:val="010101"/>
          <w:w w:val="110"/>
          <w:sz w:val="19"/>
        </w:rPr>
        <w:t>is </w:t>
      </w:r>
      <w:r>
        <w:rPr>
          <w:color w:val="010101"/>
          <w:w w:val="110"/>
          <w:sz w:val="20"/>
        </w:rPr>
        <w:t>thc first to fail </w:t>
      </w:r>
      <w:r>
        <w:rPr>
          <w:color w:val="010101"/>
          <w:sz w:val="20"/>
        </w:rPr>
        <w:t>of </w:t>
      </w:r>
      <w:r>
        <w:rPr>
          <w:color w:val="010101"/>
          <w:w w:val="110"/>
          <w:sz w:val="20"/>
        </w:rPr>
        <w:t>the </w:t>
      </w:r>
      <w:r>
        <w:rPr>
          <w:rFonts w:ascii="Arial" w:hAnsi="Arial"/>
          <w:i/>
          <w:color w:val="010101"/>
          <w:w w:val="110"/>
          <w:sz w:val="17"/>
        </w:rPr>
        <w:t>two </w:t>
      </w:r>
      <w:r>
        <w:rPr>
          <w:color w:val="010101"/>
          <w:w w:val="110"/>
          <w:sz w:val="20"/>
        </w:rPr>
        <w:t>statuses, </w:t>
      </w:r>
      <w:r>
        <w:rPr>
          <w:rFonts w:ascii="Arial" w:hAnsi="Arial"/>
          <w:i/>
          <w:color w:val="010101"/>
          <w:spacing w:val="7"/>
          <w:w w:val="110"/>
          <w:sz w:val="17"/>
        </w:rPr>
        <w:t>(x) </w:t>
      </w:r>
      <w:r>
        <w:rPr>
          <w:color w:val="010101"/>
          <w:w w:val="110"/>
          <w:sz w:val="20"/>
        </w:rPr>
        <w:t>and (ñj), is merely the familiar single-life</w:t>
      </w:r>
      <w:r>
        <w:rPr>
          <w:color w:val="010101"/>
          <w:spacing w:val="-21"/>
          <w:w w:val="110"/>
          <w:sz w:val="20"/>
        </w:rPr>
        <w:t> </w:t>
      </w:r>
      <w:r>
        <w:rPr>
          <w:color w:val="010101"/>
          <w:w w:val="110"/>
          <w:sz w:val="20"/>
        </w:rPr>
        <w:t>function</w:t>
      </w:r>
      <w:r>
        <w:rPr>
          <w:color w:val="010101"/>
          <w:spacing w:val="-27"/>
          <w:w w:val="110"/>
          <w:sz w:val="20"/>
        </w:rPr>
        <w:t> </w:t>
      </w:r>
      <w:r>
        <w:rPr>
          <w:rFonts w:ascii="Arial" w:hAnsi="Arial"/>
          <w:i/>
          <w:color w:val="010101"/>
          <w:w w:val="135"/>
          <w:sz w:val="19"/>
        </w:rPr>
        <w:t>A</w:t>
      </w:r>
      <w:r>
        <w:rPr>
          <w:rFonts w:ascii="Arial" w:hAnsi="Arial"/>
          <w:i/>
          <w:color w:val="010101"/>
          <w:spacing w:val="-53"/>
          <w:w w:val="135"/>
          <w:sz w:val="19"/>
        </w:rPr>
        <w:t> </w:t>
      </w:r>
      <w:r>
        <w:rPr>
          <w:color w:val="1D1D1D"/>
          <w:spacing w:val="-6"/>
          <w:sz w:val="21"/>
        </w:rPr>
        <w:t>:</w:t>
      </w:r>
      <w:r>
        <w:rPr>
          <w:color w:val="010101"/>
          <w:spacing w:val="-6"/>
          <w:sz w:val="21"/>
        </w:rPr>
        <w:t>ñl</w:t>
      </w:r>
      <w:r>
        <w:rPr>
          <w:color w:val="010101"/>
          <w:spacing w:val="-20"/>
          <w:sz w:val="21"/>
        </w:rPr>
        <w:t> </w:t>
      </w:r>
      <w:r>
        <w:rPr>
          <w:color w:val="010101"/>
          <w:w w:val="110"/>
          <w:sz w:val="21"/>
        </w:rPr>
        <w:t>.</w:t>
      </w:r>
    </w:p>
    <w:p>
      <w:pPr>
        <w:pStyle w:val="BodyText"/>
        <w:spacing w:line="252" w:lineRule="auto" w:before="2"/>
        <w:ind w:left="121" w:right="160" w:firstLine="200"/>
        <w:jc w:val="both"/>
      </w:pPr>
      <w:r>
        <w:rPr>
          <w:color w:val="010101"/>
          <w:w w:val="105"/>
        </w:rPr>
        <w:t>When the insurance </w:t>
      </w:r>
      <w:r>
        <w:rPr>
          <w:rFonts w:ascii="Arial"/>
          <w:color w:val="010101"/>
          <w:w w:val="105"/>
          <w:sz w:val="19"/>
        </w:rPr>
        <w:t>is </w:t>
      </w:r>
      <w:r>
        <w:rPr>
          <w:color w:val="010101"/>
          <w:w w:val="105"/>
        </w:rPr>
        <w:t>payable at the moment  of  death, instead of at the end of the year of death, the formulas </w:t>
      </w:r>
      <w:r>
        <w:rPr>
          <w:b/>
          <w:color w:val="010101"/>
          <w:w w:val="105"/>
          <w:sz w:val="19"/>
        </w:rPr>
        <w:t>appear </w:t>
      </w:r>
      <w:r>
        <w:rPr>
          <w:color w:val="010101"/>
          <w:w w:val="105"/>
        </w:rPr>
        <w:t>in definite integral form.</w:t>
      </w:r>
    </w:p>
    <w:p>
      <w:pPr>
        <w:spacing w:before="136"/>
        <w:ind w:left="2012" w:right="133" w:firstLine="0"/>
        <w:jc w:val="left"/>
        <w:rPr>
          <w:b/>
          <w:sz w:val="19"/>
        </w:rPr>
      </w:pPr>
      <w:r>
        <w:rPr>
          <w:position w:val="-17"/>
        </w:rPr>
        <w:drawing>
          <wp:inline distT="0" distB="0" distL="0" distR="0">
            <wp:extent cx="1225296" cy="283463"/>
            <wp:effectExtent l="0" t="0" r="0" b="0"/>
            <wp:docPr id="523" name="image267.png" descr=""/>
            <wp:cNvGraphicFramePr>
              <a:graphicFrameLocks noChangeAspect="1"/>
            </wp:cNvGraphicFramePr>
            <a:graphic>
              <a:graphicData uri="http://schemas.openxmlformats.org/drawingml/2006/picture">
                <pic:pic>
                  <pic:nvPicPr>
                    <pic:cNvPr id="524" name="image267.png"/>
                    <pic:cNvPicPr/>
                  </pic:nvPicPr>
                  <pic:blipFill>
                    <a:blip r:embed="rId271" cstate="print"/>
                    <a:stretch>
                      <a:fillRect/>
                    </a:stretch>
                  </pic:blipFill>
                  <pic:spPr>
                    <a:xfrm>
                      <a:off x="0" y="0"/>
                      <a:ext cx="1225296" cy="283463"/>
                    </a:xfrm>
                    <a:prstGeom prst="rect">
                      <a:avLst/>
                    </a:prstGeom>
                  </pic:spPr>
                </pic:pic>
              </a:graphicData>
            </a:graphic>
          </wp:inline>
        </w:drawing>
      </w:r>
      <w:r>
        <w:rPr>
          <w:position w:val="-17"/>
        </w:rPr>
      </w:r>
      <w:r>
        <w:rPr>
          <w:sz w:val="20"/>
        </w:rPr>
        <w:t>                        </w:t>
      </w:r>
      <w:r>
        <w:rPr>
          <w:b/>
          <w:color w:val="010101"/>
          <w:sz w:val="19"/>
        </w:rPr>
        <w:t>(</w:t>
      </w:r>
      <w:r>
        <w:rPr>
          <w:b/>
          <w:color w:val="010101"/>
          <w:spacing w:val="-3"/>
          <w:sz w:val="19"/>
        </w:rPr>
        <w:t> </w:t>
      </w:r>
      <w:r>
        <w:rPr>
          <w:b/>
          <w:color w:val="010101"/>
          <w:sz w:val="19"/>
        </w:rPr>
        <w:t>11.24)</w:t>
      </w:r>
    </w:p>
    <w:p>
      <w:pPr>
        <w:pStyle w:val="BodyText"/>
        <w:spacing w:before="158"/>
        <w:ind w:left="1926" w:right="133"/>
      </w:pPr>
      <w:r>
        <w:rPr>
          <w:position w:val="-18"/>
        </w:rPr>
        <w:drawing>
          <wp:inline distT="0" distB="0" distL="0" distR="0">
            <wp:extent cx="1353312" cy="283464"/>
            <wp:effectExtent l="0" t="0" r="0" b="0"/>
            <wp:docPr id="525" name="image268.png" descr=""/>
            <wp:cNvGraphicFramePr>
              <a:graphicFrameLocks noChangeAspect="1"/>
            </wp:cNvGraphicFramePr>
            <a:graphic>
              <a:graphicData uri="http://schemas.openxmlformats.org/drawingml/2006/picture">
                <pic:pic>
                  <pic:nvPicPr>
                    <pic:cNvPr id="526" name="image268.png"/>
                    <pic:cNvPicPr/>
                  </pic:nvPicPr>
                  <pic:blipFill>
                    <a:blip r:embed="rId272" cstate="print"/>
                    <a:stretch>
                      <a:fillRect/>
                    </a:stretch>
                  </pic:blipFill>
                  <pic:spPr>
                    <a:xfrm>
                      <a:off x="0" y="0"/>
                      <a:ext cx="1353312" cy="283464"/>
                    </a:xfrm>
                    <a:prstGeom prst="rect">
                      <a:avLst/>
                    </a:prstGeom>
                  </pic:spPr>
                </pic:pic>
              </a:graphicData>
            </a:graphic>
          </wp:inline>
        </w:drawing>
      </w:r>
      <w:r>
        <w:rPr>
          <w:position w:val="-18"/>
        </w:rPr>
      </w:r>
      <w:r>
        <w:rPr/>
        <w:t>                      </w:t>
      </w:r>
      <w:r>
        <w:rPr>
          <w:color w:val="010101"/>
          <w:w w:val="105"/>
        </w:rPr>
        <w:t>(</w:t>
      </w:r>
      <w:r>
        <w:rPr>
          <w:color w:val="010101"/>
          <w:spacing w:val="-8"/>
          <w:w w:val="105"/>
        </w:rPr>
        <w:t> </w:t>
      </w:r>
      <w:r>
        <w:rPr>
          <w:color w:val="010101"/>
          <w:spacing w:val="-9"/>
          <w:w w:val="105"/>
        </w:rPr>
        <w:t>11</w:t>
      </w:r>
      <w:r>
        <w:rPr>
          <w:color w:val="1D1D1D"/>
          <w:spacing w:val="-9"/>
          <w:w w:val="105"/>
        </w:rPr>
        <w:t>.</w:t>
      </w:r>
      <w:r>
        <w:rPr>
          <w:color w:val="010101"/>
          <w:spacing w:val="-9"/>
          <w:w w:val="105"/>
        </w:rPr>
        <w:t>25)</w:t>
      </w:r>
    </w:p>
    <w:p>
      <w:pPr>
        <w:pStyle w:val="BodyText"/>
        <w:spacing w:before="115"/>
        <w:ind w:left="121"/>
        <w:jc w:val="both"/>
      </w:pPr>
      <w:r>
        <w:rPr>
          <w:color w:val="010101"/>
        </w:rPr>
        <w:t>A fcw examples involving three lives follow  :</w:t>
      </w:r>
    </w:p>
    <w:p>
      <w:pPr>
        <w:spacing w:after="0"/>
        <w:jc w:val="both"/>
        <w:sectPr>
          <w:type w:val="continuous"/>
          <w:pgSz w:w="7200" w:h="11340"/>
          <w:pgMar w:top="1100" w:bottom="0" w:left="680" w:right="540"/>
        </w:sectPr>
      </w:pPr>
    </w:p>
    <w:p>
      <w:pPr>
        <w:tabs>
          <w:tab w:pos="1432" w:val="left" w:leader="none"/>
          <w:tab w:pos="5886" w:val="right" w:leader="none"/>
        </w:tabs>
        <w:spacing w:before="51"/>
        <w:ind w:left="126" w:right="0" w:firstLine="0"/>
        <w:jc w:val="left"/>
        <w:rPr>
          <w:rFonts w:ascii="Courier New"/>
          <w:sz w:val="22"/>
        </w:rPr>
      </w:pPr>
      <w:r>
        <w:rPr>
          <w:rFonts w:ascii="Arial"/>
          <w:b/>
          <w:color w:val="010101"/>
          <w:w w:val="105"/>
          <w:sz w:val="15"/>
        </w:rPr>
        <w:t>8EC.  </w:t>
      </w:r>
      <w:r>
        <w:rPr>
          <w:rFonts w:ascii="Arial"/>
          <w:b/>
          <w:color w:val="010101"/>
          <w:w w:val="105"/>
          <w:sz w:val="19"/>
        </w:rPr>
        <w:t>4)</w:t>
        <w:tab/>
      </w:r>
      <w:r>
        <w:rPr>
          <w:rFonts w:ascii="Arial"/>
          <w:b/>
          <w:color w:val="010101"/>
          <w:w w:val="105"/>
          <w:sz w:val="14"/>
        </w:rPr>
        <w:t>CONTINGENT </w:t>
      </w:r>
      <w:r>
        <w:rPr>
          <w:rFonts w:ascii="Arial"/>
          <w:b/>
          <w:color w:val="010101"/>
          <w:spacing w:val="34"/>
          <w:w w:val="105"/>
          <w:sz w:val="14"/>
        </w:rPr>
        <w:t> </w:t>
      </w:r>
      <w:r>
        <w:rPr>
          <w:rFonts w:ascii="Arial"/>
          <w:b/>
          <w:color w:val="010101"/>
          <w:w w:val="105"/>
          <w:sz w:val="14"/>
        </w:rPr>
        <w:t>INSUUANCE </w:t>
      </w:r>
      <w:r>
        <w:rPr>
          <w:rFonts w:ascii="Arial"/>
          <w:b/>
          <w:color w:val="010101"/>
          <w:spacing w:val="37"/>
          <w:w w:val="105"/>
          <w:sz w:val="14"/>
        </w:rPr>
        <w:t> </w:t>
      </w:r>
      <w:r>
        <w:rPr>
          <w:rFonts w:ascii="Arial"/>
          <w:b/>
          <w:color w:val="010101"/>
          <w:w w:val="105"/>
          <w:sz w:val="14"/>
        </w:rPr>
        <w:t>FUNCTIONS</w:t>
      </w:r>
      <w:r>
        <w:rPr>
          <w:rFonts w:ascii="Courier New"/>
          <w:color w:val="010101"/>
          <w:w w:val="105"/>
          <w:position w:val="1"/>
          <w:sz w:val="22"/>
        </w:rPr>
        <w:tab/>
      </w:r>
      <w:r>
        <w:rPr>
          <w:rFonts w:ascii="Courier New"/>
          <w:color w:val="010101"/>
          <w:spacing w:val="-25"/>
          <w:w w:val="105"/>
          <w:position w:val="1"/>
          <w:sz w:val="22"/>
        </w:rPr>
        <w:t>233</w:t>
      </w:r>
    </w:p>
    <w:p>
      <w:pPr>
        <w:spacing w:after="0"/>
        <w:jc w:val="left"/>
        <w:rPr>
          <w:rFonts w:ascii="Courier New"/>
          <w:sz w:val="22"/>
        </w:rPr>
        <w:sectPr>
          <w:pgSz w:w="7200" w:h="11340"/>
          <w:pgMar w:top="500" w:bottom="280" w:left="660" w:right="540"/>
        </w:sectPr>
      </w:pPr>
    </w:p>
    <w:p>
      <w:pPr>
        <w:spacing w:line="590" w:lineRule="exact" w:before="598"/>
        <w:ind w:left="126" w:right="0" w:firstLine="0"/>
        <w:jc w:val="left"/>
        <w:rPr>
          <w:i/>
          <w:sz w:val="54"/>
        </w:rPr>
      </w:pPr>
      <w:r>
        <w:rPr/>
        <w:drawing>
          <wp:anchor distT="0" distB="0" distL="0" distR="0" allowOverlap="1" layoutInCell="1" locked="0" behindDoc="1" simplePos="0" relativeHeight="267717911">
            <wp:simplePos x="0" y="0"/>
            <wp:positionH relativeFrom="page">
              <wp:posOffset>530351</wp:posOffset>
            </wp:positionH>
            <wp:positionV relativeFrom="paragraph">
              <wp:posOffset>158897</wp:posOffset>
            </wp:positionV>
            <wp:extent cx="1307592" cy="283464"/>
            <wp:effectExtent l="0" t="0" r="0" b="0"/>
            <wp:wrapNone/>
            <wp:docPr id="527" name="image269.png" descr=""/>
            <wp:cNvGraphicFramePr>
              <a:graphicFrameLocks noChangeAspect="1"/>
            </wp:cNvGraphicFramePr>
            <a:graphic>
              <a:graphicData uri="http://schemas.openxmlformats.org/drawingml/2006/picture">
                <pic:pic>
                  <pic:nvPicPr>
                    <pic:cNvPr id="528" name="image269.png"/>
                    <pic:cNvPicPr/>
                  </pic:nvPicPr>
                  <pic:blipFill>
                    <a:blip r:embed="rId273" cstate="print"/>
                    <a:stretch>
                      <a:fillRect/>
                    </a:stretch>
                  </pic:blipFill>
                  <pic:spPr>
                    <a:xfrm>
                      <a:off x="0" y="0"/>
                      <a:ext cx="1307592" cy="283464"/>
                    </a:xfrm>
                    <a:prstGeom prst="rect">
                      <a:avLst/>
                    </a:prstGeom>
                  </pic:spPr>
                </pic:pic>
              </a:graphicData>
            </a:graphic>
          </wp:anchor>
        </w:drawing>
      </w:r>
      <w:r>
        <w:rPr>
          <w:rFonts w:ascii="Arial" w:hAnsi="Arial"/>
          <w:b/>
          <w:color w:val="010101"/>
          <w:spacing w:val="-79"/>
          <w:w w:val="100"/>
          <w:sz w:val="15"/>
        </w:rPr>
        <w:t>Á</w:t>
      </w:r>
      <w:r>
        <w:rPr>
          <w:color w:val="010101"/>
          <w:spacing w:val="-87"/>
          <w:w w:val="245"/>
          <w:position w:val="6"/>
          <w:sz w:val="12"/>
        </w:rPr>
        <w:t>-</w:t>
      </w:r>
      <w:r>
        <w:rPr>
          <w:rFonts w:ascii="Arial" w:hAnsi="Arial"/>
          <w:b/>
          <w:color w:val="010101"/>
          <w:w w:val="101"/>
          <w:sz w:val="15"/>
        </w:rPr>
        <w:t>z</w:t>
      </w:r>
      <w:r>
        <w:rPr>
          <w:rFonts w:ascii="Arial" w:hAnsi="Arial"/>
          <w:b/>
          <w:color w:val="010101"/>
          <w:w w:val="100"/>
          <w:sz w:val="15"/>
        </w:rPr>
        <w:t>i</w:t>
      </w:r>
      <w:r>
        <w:rPr>
          <w:rFonts w:ascii="Arial" w:hAnsi="Arial"/>
          <w:b/>
          <w:color w:val="010101"/>
          <w:w w:val="100"/>
          <w:sz w:val="15"/>
        </w:rPr>
        <w:t>:.r</w:t>
      </w:r>
      <w:r>
        <w:rPr>
          <w:rFonts w:ascii="Arial" w:hAnsi="Arial"/>
          <w:b/>
          <w:color w:val="010101"/>
          <w:sz w:val="15"/>
        </w:rPr>
        <w:t>  </w:t>
      </w:r>
      <w:r>
        <w:rPr>
          <w:rFonts w:ascii="Arial" w:hAnsi="Arial"/>
          <w:b/>
          <w:color w:val="010101"/>
          <w:spacing w:val="-9"/>
          <w:sz w:val="15"/>
        </w:rPr>
        <w:t> </w:t>
      </w:r>
      <w:r>
        <w:rPr>
          <w:rFonts w:ascii="Arial" w:hAnsi="Arial"/>
          <w:color w:val="010101"/>
          <w:w w:val="159"/>
          <w:sz w:val="16"/>
        </w:rPr>
        <w:t>=</w:t>
      </w:r>
      <w:r>
        <w:rPr>
          <w:rFonts w:ascii="Arial" w:hAnsi="Arial"/>
          <w:color w:val="010101"/>
          <w:sz w:val="16"/>
        </w:rPr>
        <w:t> </w:t>
      </w:r>
      <w:r>
        <w:rPr>
          <w:rFonts w:ascii="Arial" w:hAnsi="Arial"/>
          <w:color w:val="010101"/>
          <w:spacing w:val="-9"/>
          <w:sz w:val="16"/>
        </w:rPr>
        <w:t> </w:t>
      </w:r>
      <w:r>
        <w:rPr>
          <w:i/>
          <w:color w:val="010101"/>
          <w:spacing w:val="-46"/>
          <w:w w:val="74"/>
          <w:position w:val="6"/>
          <w:sz w:val="54"/>
        </w:rPr>
        <w:t>1</w:t>
      </w:r>
      <w:r>
        <w:rPr>
          <w:i/>
          <w:color w:val="010101"/>
          <w:w w:val="49"/>
          <w:position w:val="6"/>
          <w:sz w:val="54"/>
        </w:rPr>
        <w:t>.</w:t>
      </w:r>
      <w:r>
        <w:rPr>
          <w:i/>
          <w:color w:val="010101"/>
          <w:spacing w:val="18"/>
          <w:w w:val="49"/>
          <w:position w:val="6"/>
          <w:sz w:val="54"/>
        </w:rPr>
        <w:t>,</w:t>
      </w:r>
      <w:r>
        <w:rPr>
          <w:b/>
          <w:i/>
          <w:color w:val="010101"/>
          <w:w w:val="83"/>
          <w:sz w:val="14"/>
        </w:rPr>
        <w:t>V</w:t>
      </w:r>
      <w:r>
        <w:rPr>
          <w:b/>
          <w:i/>
          <w:color w:val="010101"/>
          <w:spacing w:val="-24"/>
          <w:sz w:val="14"/>
        </w:rPr>
        <w:t> </w:t>
      </w:r>
      <w:r>
        <w:rPr>
          <w:i/>
          <w:color w:val="010101"/>
          <w:spacing w:val="-12"/>
          <w:w w:val="53"/>
          <w:position w:val="6"/>
          <w:sz w:val="54"/>
        </w:rPr>
        <w:t>'</w:t>
      </w:r>
      <w:r>
        <w:rPr>
          <w:b/>
          <w:i/>
          <w:color w:val="010101"/>
          <w:w w:val="128"/>
          <w:sz w:val="14"/>
        </w:rPr>
        <w:t>tPqJ.'z+t</w:t>
      </w:r>
      <w:r>
        <w:rPr>
          <w:b/>
          <w:i/>
          <w:color w:val="010101"/>
          <w:spacing w:val="9"/>
          <w:sz w:val="14"/>
        </w:rPr>
        <w:t> </w:t>
      </w:r>
      <w:r>
        <w:rPr>
          <w:b/>
          <w:i/>
          <w:color w:val="010101"/>
          <w:w w:val="76"/>
          <w:sz w:val="14"/>
        </w:rPr>
        <w:t>:11+1</w:t>
      </w:r>
      <w:r>
        <w:rPr>
          <w:b/>
          <w:i/>
          <w:color w:val="010101"/>
          <w:sz w:val="14"/>
        </w:rPr>
        <w:t> </w:t>
      </w:r>
      <w:r>
        <w:rPr>
          <w:b/>
          <w:i/>
          <w:color w:val="010101"/>
          <w:spacing w:val="-3"/>
          <w:sz w:val="14"/>
        </w:rPr>
        <w:t> </w:t>
      </w:r>
      <w:r>
        <w:rPr>
          <w:rFonts w:ascii="Arial" w:hAnsi="Arial"/>
          <w:b/>
          <w:i/>
          <w:color w:val="010101"/>
          <w:w w:val="67"/>
          <w:sz w:val="18"/>
        </w:rPr>
        <w:t>&lt;ft</w:t>
      </w:r>
      <w:r>
        <w:rPr>
          <w:rFonts w:ascii="Arial" w:hAnsi="Arial"/>
          <w:b/>
          <w:i/>
          <w:color w:val="010101"/>
          <w:sz w:val="18"/>
        </w:rPr>
        <w:t> </w:t>
      </w:r>
      <w:r>
        <w:rPr>
          <w:rFonts w:ascii="Arial" w:hAnsi="Arial"/>
          <w:b/>
          <w:i/>
          <w:color w:val="010101"/>
          <w:spacing w:val="1"/>
          <w:sz w:val="18"/>
        </w:rPr>
        <w:t> </w:t>
      </w:r>
      <w:r>
        <w:rPr>
          <w:rFonts w:ascii="Arial" w:hAnsi="Arial"/>
          <w:color w:val="010101"/>
          <w:w w:val="163"/>
          <w:sz w:val="16"/>
        </w:rPr>
        <w:t>=</w:t>
      </w:r>
      <w:r>
        <w:rPr>
          <w:rFonts w:ascii="Arial" w:hAnsi="Arial"/>
          <w:color w:val="010101"/>
          <w:sz w:val="16"/>
        </w:rPr>
        <w:t> </w:t>
      </w:r>
      <w:r>
        <w:rPr>
          <w:rFonts w:ascii="Arial" w:hAnsi="Arial"/>
          <w:color w:val="010101"/>
          <w:spacing w:val="-9"/>
          <w:sz w:val="16"/>
        </w:rPr>
        <w:t> </w:t>
      </w:r>
      <w:r>
        <w:rPr>
          <w:i/>
          <w:color w:val="010101"/>
          <w:w w:val="98"/>
          <w:position w:val="6"/>
          <w:sz w:val="54"/>
        </w:rPr>
        <w:t>[</w:t>
      </w:r>
    </w:p>
    <w:p>
      <w:pPr>
        <w:spacing w:line="590" w:lineRule="exact" w:before="598"/>
        <w:ind w:left="60" w:right="-16" w:firstLine="0"/>
        <w:jc w:val="left"/>
        <w:rPr>
          <w:b/>
          <w:i/>
          <w:sz w:val="22"/>
        </w:rPr>
      </w:pPr>
      <w:r>
        <w:rPr/>
        <w:br w:type="column"/>
      </w:r>
      <w:r>
        <w:rPr>
          <w:b/>
          <w:i/>
          <w:color w:val="010101"/>
          <w:w w:val="79"/>
          <w:sz w:val="14"/>
        </w:rPr>
        <w:t>V</w:t>
      </w:r>
      <w:r>
        <w:rPr>
          <w:b/>
          <w:i/>
          <w:color w:val="010101"/>
          <w:spacing w:val="-24"/>
          <w:sz w:val="14"/>
        </w:rPr>
        <w:t> </w:t>
      </w:r>
      <w:r>
        <w:rPr>
          <w:i/>
          <w:color w:val="010101"/>
          <w:spacing w:val="-35"/>
          <w:w w:val="60"/>
          <w:position w:val="6"/>
          <w:sz w:val="54"/>
        </w:rPr>
        <w:t>·</w:t>
      </w:r>
      <w:r>
        <w:rPr>
          <w:b/>
          <w:i/>
          <w:color w:val="010101"/>
          <w:w w:val="102"/>
          <w:sz w:val="15"/>
        </w:rPr>
        <w:t>tPr,¡z</w:t>
      </w:r>
      <w:r>
        <w:rPr>
          <w:b/>
          <w:i/>
          <w:color w:val="010101"/>
          <w:w w:val="102"/>
          <w:sz w:val="15"/>
        </w:rPr>
        <w:t>(</w:t>
      </w:r>
      <w:r>
        <w:rPr>
          <w:b/>
          <w:i/>
          <w:color w:val="010101"/>
          <w:spacing w:val="10"/>
          <w:sz w:val="15"/>
        </w:rPr>
        <w:t> </w:t>
      </w:r>
      <w:r>
        <w:rPr>
          <w:b/>
          <w:i/>
          <w:color w:val="010101"/>
          <w:w w:val="86"/>
          <w:sz w:val="15"/>
        </w:rPr>
        <w:t>l-'r·H</w:t>
      </w:r>
      <w:r>
        <w:rPr>
          <w:b/>
          <w:i/>
          <w:color w:val="010101"/>
          <w:sz w:val="15"/>
        </w:rPr>
        <w:t>  </w:t>
      </w:r>
      <w:r>
        <w:rPr>
          <w:b/>
          <w:i/>
          <w:color w:val="010101"/>
          <w:spacing w:val="3"/>
          <w:sz w:val="15"/>
        </w:rPr>
        <w:t> </w:t>
      </w:r>
      <w:r>
        <w:rPr>
          <w:rFonts w:ascii="Arial" w:hAnsi="Arial"/>
          <w:color w:val="010101"/>
          <w:w w:val="103"/>
          <w:sz w:val="30"/>
        </w:rPr>
        <w:t>+</w:t>
      </w:r>
      <w:r>
        <w:rPr>
          <w:rFonts w:ascii="Arial" w:hAnsi="Arial"/>
          <w:color w:val="010101"/>
          <w:spacing w:val="-25"/>
          <w:sz w:val="30"/>
        </w:rPr>
        <w:t> </w:t>
      </w:r>
      <w:r>
        <w:rPr>
          <w:rFonts w:ascii="Arial" w:hAnsi="Arial"/>
          <w:b/>
          <w:color w:val="010101"/>
          <w:w w:val="77"/>
          <w:sz w:val="16"/>
        </w:rPr>
        <w:t>l-'tl+c</w:t>
      </w:r>
      <w:r>
        <w:rPr>
          <w:rFonts w:ascii="Arial" w:hAnsi="Arial"/>
          <w:b/>
          <w:color w:val="010101"/>
          <w:spacing w:val="-17"/>
          <w:sz w:val="16"/>
        </w:rPr>
        <w:t> </w:t>
      </w:r>
      <w:r>
        <w:rPr>
          <w:rFonts w:ascii="Arial" w:hAnsi="Arial"/>
          <w:b/>
          <w:color w:val="010101"/>
          <w:w w:val="141"/>
          <w:sz w:val="16"/>
        </w:rPr>
        <w:t>)</w:t>
      </w:r>
      <w:r>
        <w:rPr>
          <w:rFonts w:ascii="Arial" w:hAnsi="Arial"/>
          <w:b/>
          <w:color w:val="010101"/>
          <w:spacing w:val="19"/>
          <w:sz w:val="16"/>
        </w:rPr>
        <w:t> </w:t>
      </w:r>
      <w:r>
        <w:rPr>
          <w:b/>
          <w:i/>
          <w:color w:val="010101"/>
          <w:w w:val="86"/>
          <w:sz w:val="22"/>
        </w:rPr>
        <w:t>dt</w:t>
      </w:r>
    </w:p>
    <w:p>
      <w:pPr>
        <w:spacing w:before="359"/>
        <w:ind w:left="126" w:right="0" w:firstLine="0"/>
        <w:jc w:val="left"/>
        <w:rPr>
          <w:sz w:val="19"/>
        </w:rPr>
      </w:pPr>
      <w:r>
        <w:rPr/>
        <w:br w:type="column"/>
      </w:r>
      <w:r>
        <w:rPr>
          <w:color w:val="010101"/>
          <w:w w:val="110"/>
          <w:sz w:val="19"/>
        </w:rPr>
        <w:t>( 11.26)</w:t>
      </w:r>
    </w:p>
    <w:p>
      <w:pPr>
        <w:spacing w:after="0"/>
        <w:jc w:val="left"/>
        <w:rPr>
          <w:sz w:val="19"/>
        </w:rPr>
        <w:sectPr>
          <w:type w:val="continuous"/>
          <w:pgSz w:w="7200" w:h="11340"/>
          <w:pgMar w:top="1100" w:bottom="0" w:left="660" w:right="540"/>
          <w:cols w:num="3" w:equalWidth="0">
            <w:col w:w="3023" w:space="40"/>
            <w:col w:w="1947" w:space="91"/>
            <w:col w:w="899"/>
          </w:cols>
        </w:sectPr>
      </w:pPr>
    </w:p>
    <w:p>
      <w:pPr>
        <w:tabs>
          <w:tab w:pos="2896" w:val="left" w:leader="none"/>
        </w:tabs>
        <w:spacing w:line="123" w:lineRule="exact" w:before="0"/>
        <w:ind w:left="937" w:right="0" w:firstLine="0"/>
        <w:jc w:val="left"/>
        <w:rPr>
          <w:sz w:val="12"/>
        </w:rPr>
      </w:pPr>
      <w:r>
        <w:rPr>
          <w:color w:val="010101"/>
          <w:w w:val="120"/>
          <w:sz w:val="12"/>
        </w:rPr>
        <w:t>0</w:t>
        <w:tab/>
        <w:t>0</w:t>
      </w:r>
    </w:p>
    <w:p>
      <w:pPr>
        <w:tabs>
          <w:tab w:pos="5229" w:val="left" w:leader="none"/>
        </w:tabs>
        <w:spacing w:before="19"/>
        <w:ind w:left="617" w:right="0" w:firstLine="0"/>
        <w:jc w:val="left"/>
        <w:rPr>
          <w:sz w:val="19"/>
        </w:rPr>
      </w:pPr>
      <w:r>
        <w:rPr/>
        <w:drawing>
          <wp:anchor distT="0" distB="0" distL="0" distR="0" allowOverlap="1" layoutInCell="1" locked="0" behindDoc="0" simplePos="0" relativeHeight="18472">
            <wp:simplePos x="0" y="0"/>
            <wp:positionH relativeFrom="page">
              <wp:posOffset>493776</wp:posOffset>
            </wp:positionH>
            <wp:positionV relativeFrom="paragraph">
              <wp:posOffset>305207</wp:posOffset>
            </wp:positionV>
            <wp:extent cx="2889504" cy="283463"/>
            <wp:effectExtent l="0" t="0" r="0" b="0"/>
            <wp:wrapTopAndBottom/>
            <wp:docPr id="529" name="image270.png" descr=""/>
            <wp:cNvGraphicFramePr>
              <a:graphicFrameLocks noChangeAspect="1"/>
            </wp:cNvGraphicFramePr>
            <a:graphic>
              <a:graphicData uri="http://schemas.openxmlformats.org/drawingml/2006/picture">
                <pic:pic>
                  <pic:nvPicPr>
                    <pic:cNvPr id="530" name="image270.png"/>
                    <pic:cNvPicPr/>
                  </pic:nvPicPr>
                  <pic:blipFill>
                    <a:blip r:embed="rId274" cstate="print"/>
                    <a:stretch>
                      <a:fillRect/>
                    </a:stretch>
                  </pic:blipFill>
                  <pic:spPr>
                    <a:xfrm>
                      <a:off x="0" y="0"/>
                      <a:ext cx="2889504" cy="283463"/>
                    </a:xfrm>
                    <a:prstGeom prst="rect">
                      <a:avLst/>
                    </a:prstGeom>
                  </pic:spPr>
                </pic:pic>
              </a:graphicData>
            </a:graphic>
          </wp:anchor>
        </w:drawing>
      </w:r>
      <w:r>
        <w:rPr>
          <w:color w:val="010101"/>
          <w:w w:val="104"/>
          <w:sz w:val="21"/>
        </w:rPr>
        <w:t>=</w:t>
      </w:r>
      <w:r>
        <w:rPr>
          <w:color w:val="010101"/>
          <w:sz w:val="21"/>
        </w:rPr>
        <w:t> </w:t>
      </w:r>
      <w:r>
        <w:rPr>
          <w:color w:val="010101"/>
          <w:spacing w:val="-3"/>
          <w:sz w:val="21"/>
        </w:rPr>
        <w:t> </w:t>
      </w:r>
      <w:r>
        <w:rPr>
          <w:rFonts w:ascii="Arial"/>
          <w:b/>
          <w:color w:val="010101"/>
          <w:w w:val="49"/>
          <w:sz w:val="24"/>
        </w:rPr>
        <w:t>.</w:t>
      </w:r>
      <w:r>
        <w:rPr>
          <w:rFonts w:ascii="Arial"/>
          <w:b/>
          <w:color w:val="010101"/>
          <w:spacing w:val="-43"/>
          <w:w w:val="49"/>
          <w:sz w:val="24"/>
        </w:rPr>
        <w:t>1</w:t>
      </w:r>
      <w:r>
        <w:rPr>
          <w:rFonts w:ascii="Arial"/>
          <w:b/>
          <w:color w:val="010101"/>
          <w:w w:val="115"/>
          <w:sz w:val="24"/>
        </w:rPr>
        <w:t>t</w:t>
      </w:r>
      <w:r>
        <w:rPr>
          <w:rFonts w:ascii="Arial"/>
          <w:b/>
          <w:color w:val="010101"/>
          <w:spacing w:val="-21"/>
          <w:w w:val="115"/>
          <w:sz w:val="24"/>
        </w:rPr>
        <w:t>!</w:t>
      </w:r>
      <w:r>
        <w:rPr>
          <w:rFonts w:ascii="Arial"/>
          <w:b/>
          <w:color w:val="010101"/>
          <w:w w:val="66"/>
          <w:sz w:val="24"/>
        </w:rPr>
        <w:t>.</w:t>
      </w:r>
      <w:r>
        <w:rPr>
          <w:rFonts w:ascii="Arial"/>
          <w:b/>
          <w:color w:val="010101"/>
          <w:spacing w:val="-25"/>
          <w:w w:val="66"/>
          <w:sz w:val="24"/>
        </w:rPr>
        <w:t>,</w:t>
      </w:r>
      <w:r>
        <w:rPr>
          <w:rFonts w:ascii="Arial"/>
          <w:b/>
          <w:color w:val="010101"/>
          <w:w w:val="31"/>
          <w:sz w:val="24"/>
        </w:rPr>
        <w:t>.r</w:t>
      </w:r>
      <w:r>
        <w:rPr>
          <w:rFonts w:ascii="Arial"/>
          <w:b/>
          <w:color w:val="010101"/>
          <w:spacing w:val="22"/>
          <w:sz w:val="24"/>
        </w:rPr>
        <w:t> </w:t>
      </w:r>
      <w:r>
        <w:rPr>
          <w:rFonts w:ascii="Arial"/>
          <w:color w:val="010101"/>
          <w:w w:val="101"/>
          <w:sz w:val="32"/>
        </w:rPr>
        <w:t>+</w:t>
      </w:r>
      <w:r>
        <w:rPr>
          <w:rFonts w:ascii="Arial"/>
          <w:color w:val="010101"/>
          <w:spacing w:val="-32"/>
          <w:sz w:val="32"/>
        </w:rPr>
        <w:t> </w:t>
      </w:r>
      <w:r>
        <w:rPr>
          <w:b/>
          <w:color w:val="010101"/>
          <w:spacing w:val="-38"/>
          <w:w w:val="73"/>
          <w:sz w:val="28"/>
        </w:rPr>
        <w:t>1</w:t>
      </w:r>
      <w:r>
        <w:rPr>
          <w:b/>
          <w:color w:val="010101"/>
          <w:w w:val="89"/>
          <w:sz w:val="28"/>
        </w:rPr>
        <w:t>ti</w:t>
      </w:r>
      <w:r>
        <w:rPr>
          <w:b/>
          <w:color w:val="010101"/>
          <w:spacing w:val="-12"/>
          <w:w w:val="89"/>
          <w:sz w:val="28"/>
        </w:rPr>
        <w:t>!</w:t>
      </w:r>
      <w:r>
        <w:rPr>
          <w:b/>
          <w:color w:val="010101"/>
          <w:w w:val="108"/>
          <w:sz w:val="28"/>
        </w:rPr>
        <w:t>.</w:t>
      </w:r>
      <w:r>
        <w:rPr>
          <w:b/>
          <w:color w:val="010101"/>
          <w:sz w:val="28"/>
        </w:rPr>
        <w:tab/>
      </w:r>
      <w:r>
        <w:rPr>
          <w:color w:val="010101"/>
          <w:w w:val="104"/>
          <w:position w:val="2"/>
          <w:sz w:val="19"/>
        </w:rPr>
        <w:t>(11.27</w:t>
      </w:r>
      <w:r>
        <w:rPr>
          <w:color w:val="010101"/>
          <w:spacing w:val="-18"/>
          <w:position w:val="2"/>
          <w:sz w:val="19"/>
        </w:rPr>
        <w:t> </w:t>
      </w:r>
      <w:r>
        <w:rPr>
          <w:color w:val="010101"/>
          <w:w w:val="95"/>
          <w:position w:val="2"/>
          <w:sz w:val="19"/>
        </w:rPr>
        <w:t>)</w:t>
      </w:r>
    </w:p>
    <w:p>
      <w:pPr>
        <w:tabs>
          <w:tab w:pos="1514" w:val="left" w:leader="none"/>
          <w:tab w:pos="2125" w:val="left" w:leader="none"/>
        </w:tabs>
        <w:spacing w:line="93" w:lineRule="exact" w:before="84"/>
        <w:ind w:left="912" w:right="0" w:firstLine="0"/>
        <w:jc w:val="left"/>
        <w:rPr>
          <w:rFonts w:ascii="Arial"/>
          <w:b/>
          <w:sz w:val="12"/>
        </w:rPr>
      </w:pPr>
      <w:r>
        <w:rPr>
          <w:rFonts w:ascii="Arial"/>
          <w:b/>
          <w:color w:val="010101"/>
          <w:w w:val="175"/>
          <w:sz w:val="12"/>
        </w:rPr>
        <w:t>-1</w:t>
        <w:tab/>
        <w:t>-1</w:t>
        <w:tab/>
      </w:r>
      <w:r>
        <w:rPr>
          <w:rFonts w:ascii="Arial"/>
          <w:color w:val="010101"/>
          <w:w w:val="195"/>
          <w:sz w:val="12"/>
        </w:rPr>
        <w:t>-</w:t>
      </w:r>
      <w:r>
        <w:rPr>
          <w:rFonts w:ascii="Arial"/>
          <w:color w:val="010101"/>
          <w:spacing w:val="-26"/>
          <w:w w:val="195"/>
          <w:sz w:val="12"/>
        </w:rPr>
        <w:t> </w:t>
      </w:r>
      <w:r>
        <w:rPr>
          <w:rFonts w:ascii="Arial"/>
          <w:b/>
          <w:color w:val="010101"/>
          <w:w w:val="145"/>
          <w:sz w:val="12"/>
        </w:rPr>
        <w:t>1</w:t>
      </w:r>
    </w:p>
    <w:p>
      <w:pPr>
        <w:tabs>
          <w:tab w:pos="1450" w:val="left" w:leader="none"/>
        </w:tabs>
        <w:spacing w:line="206" w:lineRule="exact" w:before="0"/>
        <w:ind w:left="847" w:right="0" w:firstLine="0"/>
        <w:jc w:val="left"/>
        <w:rPr>
          <w:b/>
          <w:i/>
          <w:sz w:val="22"/>
        </w:rPr>
      </w:pPr>
      <w:r>
        <w:rPr/>
        <w:pict>
          <v:shape style="position:absolute;margin-left:93.320038pt;margin-top:-4.960462pt;width:9.550pt;height:16pt;mso-position-horizontal-relative:page;mso-position-vertical-relative:paragraph;z-index:-717520" type="#_x0000_t202" filled="false" stroked="false">
            <v:textbox inset="0,0,0,0">
              <w:txbxContent>
                <w:p>
                  <w:pPr>
                    <w:spacing w:line="320" w:lineRule="exact" w:before="0"/>
                    <w:ind w:left="0" w:right="0" w:firstLine="0"/>
                    <w:jc w:val="left"/>
                    <w:rPr>
                      <w:rFonts w:ascii="Arial"/>
                      <w:sz w:val="32"/>
                    </w:rPr>
                  </w:pPr>
                  <w:r>
                    <w:rPr>
                      <w:rFonts w:ascii="Arial"/>
                      <w:color w:val="010101"/>
                      <w:w w:val="101"/>
                      <w:sz w:val="32"/>
                    </w:rPr>
                    <w:t>+</w:t>
                  </w:r>
                </w:p>
              </w:txbxContent>
            </v:textbox>
            <w10:wrap type="none"/>
          </v:shape>
        </w:pict>
      </w:r>
      <w:r>
        <w:rPr>
          <w:i/>
          <w:color w:val="010101"/>
          <w:w w:val="105"/>
          <w:sz w:val="21"/>
        </w:rPr>
        <w:t>Au</w:t>
        <w:tab/>
      </w:r>
      <w:r>
        <w:rPr>
          <w:i/>
          <w:color w:val="010101"/>
          <w:w w:val="90"/>
          <w:sz w:val="21"/>
        </w:rPr>
        <w:t>A,,.r</w:t>
      </w:r>
      <w:r>
        <w:rPr>
          <w:i/>
          <w:color w:val="010101"/>
          <w:spacing w:val="-11"/>
          <w:w w:val="90"/>
          <w:sz w:val="21"/>
        </w:rPr>
        <w:t> </w:t>
      </w:r>
      <w:r>
        <w:rPr>
          <w:color w:val="010101"/>
          <w:w w:val="190"/>
          <w:sz w:val="21"/>
        </w:rPr>
        <w:t>-</w:t>
      </w:r>
      <w:r>
        <w:rPr>
          <w:color w:val="010101"/>
          <w:spacing w:val="-84"/>
          <w:w w:val="190"/>
          <w:sz w:val="21"/>
        </w:rPr>
        <w:t> </w:t>
      </w:r>
      <w:r>
        <w:rPr>
          <w:b/>
          <w:i/>
          <w:color w:val="010101"/>
          <w:w w:val="90"/>
          <w:sz w:val="22"/>
        </w:rPr>
        <w:t>Azw</w:t>
      </w:r>
      <w:r>
        <w:rPr>
          <w:b/>
          <w:i/>
          <w:color w:val="010101"/>
          <w:spacing w:val="-38"/>
          <w:w w:val="90"/>
          <w:sz w:val="22"/>
        </w:rPr>
        <w:t> </w:t>
      </w:r>
      <w:r>
        <w:rPr>
          <w:b/>
          <w:i/>
          <w:color w:val="242424"/>
          <w:w w:val="50"/>
          <w:sz w:val="22"/>
        </w:rPr>
        <w:t>=</w:t>
      </w:r>
      <w:r>
        <w:rPr>
          <w:b/>
          <w:i/>
          <w:color w:val="242424"/>
          <w:spacing w:val="-20"/>
          <w:w w:val="50"/>
          <w:sz w:val="22"/>
        </w:rPr>
        <w:t> </w:t>
      </w:r>
      <w:r>
        <w:rPr>
          <w:b/>
          <w:i/>
          <w:color w:val="010101"/>
          <w:w w:val="90"/>
          <w:sz w:val="22"/>
        </w:rPr>
        <w:t>•</w:t>
      </w:r>
    </w:p>
    <w:p>
      <w:pPr>
        <w:tabs>
          <w:tab w:pos="5237" w:val="left" w:leader="none"/>
        </w:tabs>
        <w:spacing w:line="367" w:lineRule="exact" w:before="0"/>
        <w:ind w:left="847" w:right="0" w:firstLine="0"/>
        <w:jc w:val="left"/>
        <w:rPr>
          <w:sz w:val="19"/>
        </w:rPr>
      </w:pPr>
      <w:r>
        <w:rPr>
          <w:i/>
          <w:color w:val="010101"/>
          <w:spacing w:val="10"/>
          <w:w w:val="77"/>
          <w:sz w:val="28"/>
        </w:rPr>
        <w:t>A</w:t>
      </w:r>
      <w:r>
        <w:rPr>
          <w:i/>
          <w:color w:val="010101"/>
          <w:w w:val="64"/>
          <w:sz w:val="28"/>
        </w:rPr>
        <w:t>!z</w:t>
      </w:r>
      <w:r>
        <w:rPr>
          <w:i/>
          <w:color w:val="010101"/>
          <w:spacing w:val="10"/>
          <w:sz w:val="28"/>
        </w:rPr>
        <w:t> </w:t>
      </w:r>
      <w:r>
        <w:rPr>
          <w:rFonts w:ascii="Arial"/>
          <w:color w:val="010101"/>
          <w:w w:val="101"/>
          <w:sz w:val="32"/>
        </w:rPr>
        <w:t>+</w:t>
      </w:r>
      <w:r>
        <w:rPr>
          <w:rFonts w:ascii="Arial"/>
          <w:color w:val="010101"/>
          <w:spacing w:val="-32"/>
          <w:sz w:val="32"/>
        </w:rPr>
        <w:t> </w:t>
      </w:r>
      <w:r>
        <w:rPr>
          <w:i/>
          <w:color w:val="010101"/>
          <w:spacing w:val="7"/>
          <w:w w:val="81"/>
          <w:sz w:val="28"/>
        </w:rPr>
        <w:t>A</w:t>
      </w:r>
      <w:r>
        <w:rPr>
          <w:i/>
          <w:color w:val="010101"/>
          <w:w w:val="112"/>
          <w:sz w:val="28"/>
        </w:rPr>
        <w:t>!.</w:t>
      </w:r>
      <w:r>
        <w:rPr>
          <w:i/>
          <w:color w:val="010101"/>
          <w:spacing w:val="-36"/>
          <w:sz w:val="28"/>
        </w:rPr>
        <w:t> </w:t>
      </w:r>
      <w:r>
        <w:rPr>
          <w:color w:val="010101"/>
          <w:w w:val="205"/>
          <w:sz w:val="28"/>
        </w:rPr>
        <w:t>-</w:t>
      </w:r>
      <w:r>
        <w:rPr>
          <w:color w:val="010101"/>
          <w:spacing w:val="-26"/>
          <w:sz w:val="28"/>
        </w:rPr>
        <w:t> </w:t>
      </w:r>
      <w:r>
        <w:rPr>
          <w:color w:val="010101"/>
          <w:spacing w:val="-45"/>
          <w:w w:val="68"/>
          <w:sz w:val="28"/>
        </w:rPr>
        <w:t>A</w:t>
      </w:r>
      <w:r>
        <w:rPr>
          <w:color w:val="010101"/>
          <w:spacing w:val="-172"/>
          <w:w w:val="207"/>
          <w:sz w:val="28"/>
        </w:rPr>
        <w:t>!</w:t>
      </w:r>
      <w:r>
        <w:rPr>
          <w:color w:val="010101"/>
          <w:w w:val="38"/>
          <w:sz w:val="28"/>
        </w:rPr>
        <w:t>,,.r</w:t>
      </w:r>
      <w:r>
        <w:rPr>
          <w:color w:val="010101"/>
          <w:spacing w:val="23"/>
          <w:sz w:val="28"/>
        </w:rPr>
        <w:t> </w:t>
      </w:r>
      <w:r>
        <w:rPr>
          <w:color w:val="010101"/>
          <w:w w:val="200"/>
          <w:sz w:val="28"/>
        </w:rPr>
        <w:t>-</w:t>
      </w:r>
      <w:r>
        <w:rPr>
          <w:color w:val="010101"/>
          <w:spacing w:val="-14"/>
          <w:sz w:val="28"/>
        </w:rPr>
        <w:t> </w:t>
      </w:r>
      <w:r>
        <w:rPr>
          <w:i/>
          <w:color w:val="010101"/>
          <w:w w:val="60"/>
          <w:sz w:val="28"/>
        </w:rPr>
        <w:t>A.i!z</w:t>
      </w:r>
      <w:r>
        <w:rPr>
          <w:i/>
          <w:color w:val="010101"/>
          <w:spacing w:val="14"/>
          <w:sz w:val="28"/>
        </w:rPr>
        <w:t> </w:t>
      </w:r>
      <w:r>
        <w:rPr>
          <w:color w:val="010101"/>
          <w:w w:val="105"/>
          <w:sz w:val="28"/>
        </w:rPr>
        <w:t>.</w:t>
      </w:r>
      <w:r>
        <w:rPr>
          <w:color w:val="010101"/>
          <w:sz w:val="28"/>
        </w:rPr>
        <w:tab/>
      </w:r>
      <w:r>
        <w:rPr>
          <w:color w:val="010101"/>
          <w:w w:val="108"/>
          <w:position w:val="2"/>
          <w:sz w:val="19"/>
        </w:rPr>
        <w:t>(11.28)</w:t>
      </w:r>
    </w:p>
    <w:p>
      <w:pPr>
        <w:spacing w:line="261" w:lineRule="auto" w:before="100"/>
        <w:ind w:left="129" w:right="241" w:firstLine="7"/>
        <w:jc w:val="left"/>
        <w:rPr>
          <w:sz w:val="19"/>
        </w:rPr>
      </w:pPr>
      <w:r>
        <w:rPr>
          <w:color w:val="010101"/>
          <w:w w:val="110"/>
          <w:sz w:val="19"/>
        </w:rPr>
        <w:t>Note tha.t the contingent functions in this last rcsult can ali  be  made to dcpcnd upon  (z) dying </w:t>
      </w:r>
      <w:r>
        <w:rPr>
          <w:color w:val="010101"/>
          <w:spacing w:val="3"/>
          <w:w w:val="110"/>
          <w:sz w:val="19"/>
        </w:rPr>
        <w:t> </w:t>
      </w:r>
      <w:r>
        <w:rPr>
          <w:color w:val="010101"/>
          <w:w w:val="110"/>
          <w:sz w:val="19"/>
        </w:rPr>
        <w:t>first:</w:t>
      </w:r>
    </w:p>
    <w:p>
      <w:pPr>
        <w:tabs>
          <w:tab w:pos="5095" w:val="left" w:leader="none"/>
        </w:tabs>
        <w:spacing w:before="25"/>
        <w:ind w:left="106" w:right="0" w:firstLine="0"/>
        <w:jc w:val="center"/>
        <w:rPr>
          <w:b/>
          <w:sz w:val="20"/>
        </w:rPr>
      </w:pPr>
      <w:r>
        <w:rPr/>
        <w:pict>
          <v:shape style="position:absolute;margin-left:189.870407pt;margin-top:4.345727pt;width:11.25pt;height:6pt;mso-position-horizontal-relative:page;mso-position-vertical-relative:paragraph;z-index:-717496" type="#_x0000_t202" filled="false" stroked="false">
            <v:textbox inset="0,0,0,0">
              <w:txbxContent>
                <w:p>
                  <w:pPr>
                    <w:spacing w:line="120" w:lineRule="exact" w:before="0"/>
                    <w:ind w:left="0" w:right="-20" w:firstLine="0"/>
                    <w:jc w:val="left"/>
                    <w:rPr>
                      <w:rFonts w:ascii="Arial"/>
                      <w:b/>
                      <w:sz w:val="12"/>
                    </w:rPr>
                  </w:pPr>
                  <w:r>
                    <w:rPr>
                      <w:rFonts w:ascii="Arial"/>
                      <w:b/>
                      <w:color w:val="010101"/>
                      <w:w w:val="180"/>
                      <w:sz w:val="12"/>
                    </w:rPr>
                    <w:t>-</w:t>
                  </w:r>
                  <w:r>
                    <w:rPr>
                      <w:rFonts w:ascii="Arial"/>
                      <w:b/>
                      <w:color w:val="010101"/>
                      <w:spacing w:val="-1"/>
                      <w:w w:val="180"/>
                      <w:sz w:val="12"/>
                    </w:rPr>
                    <w:t> </w:t>
                  </w:r>
                  <w:r>
                    <w:rPr>
                      <w:rFonts w:ascii="Arial"/>
                      <w:b/>
                      <w:color w:val="010101"/>
                      <w:w w:val="140"/>
                      <w:sz w:val="12"/>
                    </w:rPr>
                    <w:t>1</w:t>
                  </w:r>
                </w:p>
              </w:txbxContent>
            </v:textbox>
            <w10:wrap type="none"/>
          </v:shape>
        </w:pict>
      </w:r>
      <w:r>
        <w:rPr>
          <w:b/>
          <w:color w:val="010101"/>
          <w:spacing w:val="-59"/>
          <w:w w:val="79"/>
          <w:sz w:val="20"/>
        </w:rPr>
        <w:t>Á</w:t>
      </w:r>
      <w:r>
        <w:rPr>
          <w:rFonts w:ascii="Arial" w:hAnsi="Arial"/>
          <w:b/>
          <w:color w:val="010101"/>
          <w:spacing w:val="9"/>
          <w:w w:val="219"/>
          <w:position w:val="12"/>
          <w:sz w:val="12"/>
        </w:rPr>
        <w:t>-</w:t>
      </w:r>
      <w:r>
        <w:rPr>
          <w:b/>
          <w:color w:val="010101"/>
          <w:spacing w:val="-36"/>
          <w:w w:val="84"/>
          <w:sz w:val="20"/>
        </w:rPr>
        <w:t>z</w:t>
      </w:r>
      <w:r>
        <w:rPr>
          <w:rFonts w:ascii="Arial" w:hAnsi="Arial"/>
          <w:b/>
          <w:color w:val="010101"/>
          <w:spacing w:val="-39"/>
          <w:w w:val="111"/>
          <w:position w:val="12"/>
          <w:sz w:val="12"/>
        </w:rPr>
        <w:t>1</w:t>
      </w:r>
      <w:r>
        <w:rPr>
          <w:b/>
          <w:color w:val="010101"/>
          <w:spacing w:val="14"/>
          <w:w w:val="84"/>
          <w:sz w:val="20"/>
        </w:rPr>
        <w:t>i</w:t>
      </w:r>
      <w:r>
        <w:rPr>
          <w:b/>
          <w:color w:val="242424"/>
          <w:spacing w:val="4"/>
          <w:w w:val="63"/>
          <w:sz w:val="20"/>
        </w:rPr>
        <w:t>:</w:t>
      </w:r>
      <w:r>
        <w:rPr>
          <w:b/>
          <w:color w:val="010101"/>
          <w:w w:val="58"/>
          <w:sz w:val="20"/>
        </w:rPr>
        <w:t>c</w:t>
      </w:r>
      <w:r>
        <w:rPr>
          <w:b/>
          <w:color w:val="010101"/>
          <w:sz w:val="20"/>
        </w:rPr>
        <w:t> </w:t>
      </w:r>
      <w:r>
        <w:rPr>
          <w:b/>
          <w:color w:val="010101"/>
          <w:spacing w:val="-6"/>
          <w:sz w:val="20"/>
        </w:rPr>
        <w:t> </w:t>
      </w:r>
      <w:r>
        <w:rPr>
          <w:color w:val="010101"/>
          <w:w w:val="99"/>
          <w:sz w:val="24"/>
        </w:rPr>
        <w:t>=</w:t>
      </w:r>
      <w:r>
        <w:rPr>
          <w:color w:val="010101"/>
          <w:sz w:val="24"/>
        </w:rPr>
        <w:t> </w:t>
      </w:r>
      <w:r>
        <w:rPr>
          <w:color w:val="010101"/>
          <w:spacing w:val="17"/>
          <w:sz w:val="24"/>
        </w:rPr>
        <w:t> </w:t>
      </w:r>
      <w:r>
        <w:rPr>
          <w:b/>
          <w:i/>
          <w:color w:val="010101"/>
          <w:w w:val="62"/>
          <w:sz w:val="20"/>
        </w:rPr>
        <w:t>(</w:t>
      </w:r>
      <w:r>
        <w:rPr>
          <w:b/>
          <w:i/>
          <w:color w:val="010101"/>
          <w:spacing w:val="-24"/>
          <w:sz w:val="20"/>
        </w:rPr>
        <w:t> </w:t>
      </w:r>
      <w:r>
        <w:rPr>
          <w:b/>
          <w:i/>
          <w:color w:val="010101"/>
          <w:spacing w:val="-53"/>
          <w:w w:val="84"/>
          <w:sz w:val="20"/>
        </w:rPr>
        <w:t>A</w:t>
      </w:r>
      <w:r>
        <w:rPr>
          <w:rFonts w:ascii="Arial" w:hAnsi="Arial"/>
          <w:color w:val="010101"/>
          <w:spacing w:val="-1"/>
          <w:w w:val="217"/>
          <w:position w:val="12"/>
          <w:sz w:val="12"/>
        </w:rPr>
        <w:t>-</w:t>
      </w:r>
      <w:r>
        <w:rPr>
          <w:b/>
          <w:i/>
          <w:color w:val="010101"/>
          <w:w w:val="67"/>
          <w:sz w:val="20"/>
        </w:rPr>
        <w:t>.u</w:t>
      </w:r>
      <w:r>
        <w:rPr>
          <w:b/>
          <w:i/>
          <w:color w:val="010101"/>
          <w:sz w:val="20"/>
        </w:rPr>
        <w:t> </w:t>
      </w:r>
      <w:r>
        <w:rPr>
          <w:b/>
          <w:i/>
          <w:color w:val="010101"/>
          <w:spacing w:val="-2"/>
          <w:sz w:val="20"/>
        </w:rPr>
        <w:t> </w:t>
      </w:r>
      <w:r>
        <w:rPr>
          <w:color w:val="010101"/>
          <w:w w:val="267"/>
          <w:sz w:val="20"/>
        </w:rPr>
        <w:t>-</w:t>
      </w:r>
      <w:r>
        <w:rPr>
          <w:color w:val="010101"/>
          <w:spacing w:val="15"/>
          <w:sz w:val="20"/>
        </w:rPr>
        <w:t> </w:t>
      </w:r>
      <w:r>
        <w:rPr>
          <w:b/>
          <w:i/>
          <w:color w:val="010101"/>
          <w:spacing w:val="-54"/>
          <w:w w:val="82"/>
          <w:sz w:val="20"/>
        </w:rPr>
        <w:t>A</w:t>
      </w:r>
      <w:r>
        <w:rPr>
          <w:rFonts w:ascii="Arial" w:hAnsi="Arial"/>
          <w:b/>
          <w:color w:val="010101"/>
          <w:spacing w:val="-35"/>
          <w:w w:val="219"/>
          <w:position w:val="12"/>
          <w:sz w:val="12"/>
        </w:rPr>
        <w:t>-</w:t>
      </w:r>
      <w:r>
        <w:rPr>
          <w:b/>
          <w:i/>
          <w:color w:val="010101"/>
          <w:w w:val="82"/>
          <w:sz w:val="20"/>
        </w:rPr>
        <w:t>z</w:t>
      </w:r>
      <w:r>
        <w:rPr>
          <w:b/>
          <w:i/>
          <w:color w:val="010101"/>
          <w:spacing w:val="-34"/>
          <w:w w:val="82"/>
          <w:sz w:val="20"/>
        </w:rPr>
        <w:t>c</w:t>
      </w:r>
      <w:r>
        <w:rPr>
          <w:rFonts w:ascii="Arial" w:hAnsi="Arial"/>
          <w:b/>
          <w:color w:val="010101"/>
          <w:spacing w:val="-2"/>
          <w:w w:val="130"/>
          <w:position w:val="12"/>
          <w:sz w:val="12"/>
        </w:rPr>
        <w:t>1</w:t>
      </w:r>
      <w:r>
        <w:rPr>
          <w:b/>
          <w:i/>
          <w:color w:val="010101"/>
          <w:w w:val="67"/>
          <w:sz w:val="20"/>
        </w:rPr>
        <w:t>)</w:t>
      </w:r>
      <w:r>
        <w:rPr>
          <w:b/>
          <w:i/>
          <w:color w:val="010101"/>
          <w:sz w:val="20"/>
        </w:rPr>
        <w:t> </w:t>
      </w:r>
      <w:r>
        <w:rPr>
          <w:b/>
          <w:i/>
          <w:color w:val="010101"/>
          <w:spacing w:val="12"/>
          <w:sz w:val="20"/>
        </w:rPr>
        <w:t> </w:t>
      </w:r>
      <w:r>
        <w:rPr>
          <w:rFonts w:ascii="Arial" w:hAnsi="Arial"/>
          <w:color w:val="010101"/>
          <w:w w:val="103"/>
          <w:sz w:val="30"/>
        </w:rPr>
        <w:t>+</w:t>
      </w:r>
      <w:r>
        <w:rPr>
          <w:rFonts w:ascii="Arial" w:hAnsi="Arial"/>
          <w:color w:val="010101"/>
          <w:spacing w:val="11"/>
          <w:sz w:val="30"/>
        </w:rPr>
        <w:t> </w:t>
      </w:r>
      <w:r>
        <w:rPr>
          <w:b/>
          <w:color w:val="010101"/>
          <w:w w:val="78"/>
          <w:sz w:val="20"/>
        </w:rPr>
        <w:t>{</w:t>
      </w:r>
      <w:r>
        <w:rPr>
          <w:b/>
          <w:color w:val="010101"/>
          <w:spacing w:val="-51"/>
          <w:w w:val="78"/>
          <w:sz w:val="20"/>
        </w:rPr>
        <w:t>A</w:t>
      </w:r>
      <w:r>
        <w:rPr>
          <w:rFonts w:ascii="Arial" w:hAnsi="Arial"/>
          <w:color w:val="010101"/>
          <w:spacing w:val="-37"/>
          <w:w w:val="217"/>
          <w:position w:val="12"/>
          <w:sz w:val="12"/>
        </w:rPr>
        <w:t>-</w:t>
      </w:r>
      <w:r>
        <w:rPr>
          <w:b/>
          <w:color w:val="010101"/>
          <w:w w:val="78"/>
          <w:sz w:val="20"/>
        </w:rPr>
        <w:t>,,z</w:t>
      </w:r>
      <w:r>
        <w:rPr>
          <w:b/>
          <w:color w:val="010101"/>
          <w:sz w:val="20"/>
        </w:rPr>
        <w:t> </w:t>
      </w:r>
      <w:r>
        <w:rPr>
          <w:b/>
          <w:color w:val="010101"/>
          <w:spacing w:val="-6"/>
          <w:sz w:val="20"/>
        </w:rPr>
        <w:t> </w:t>
      </w:r>
      <w:r>
        <w:rPr>
          <w:color w:val="010101"/>
          <w:w w:val="259"/>
          <w:sz w:val="20"/>
        </w:rPr>
        <w:t>-</w:t>
      </w:r>
      <w:r>
        <w:rPr>
          <w:color w:val="010101"/>
          <w:spacing w:val="13"/>
          <w:sz w:val="20"/>
        </w:rPr>
        <w:t> </w:t>
      </w:r>
      <w:r>
        <w:rPr>
          <w:b/>
          <w:color w:val="010101"/>
          <w:w w:val="100"/>
          <w:sz w:val="19"/>
        </w:rPr>
        <w:t>Ai,.</w:t>
      </w:r>
      <w:r>
        <w:rPr>
          <w:b/>
          <w:color w:val="010101"/>
          <w:w w:val="100"/>
          <w:sz w:val="19"/>
        </w:rPr>
        <w:t>)</w:t>
      </w:r>
      <w:r>
        <w:rPr>
          <w:b/>
          <w:color w:val="010101"/>
          <w:sz w:val="19"/>
        </w:rPr>
        <w:t> </w:t>
      </w:r>
      <w:r>
        <w:rPr>
          <w:b/>
          <w:color w:val="010101"/>
          <w:spacing w:val="12"/>
          <w:sz w:val="19"/>
        </w:rPr>
        <w:t> </w:t>
      </w:r>
      <w:r>
        <w:rPr>
          <w:color w:val="010101"/>
          <w:w w:val="288"/>
          <w:sz w:val="19"/>
        </w:rPr>
        <w:t>-</w:t>
      </w:r>
      <w:r>
        <w:rPr>
          <w:color w:val="010101"/>
          <w:sz w:val="19"/>
        </w:rPr>
        <w:t> </w:t>
      </w:r>
      <w:r>
        <w:rPr>
          <w:color w:val="010101"/>
          <w:spacing w:val="-6"/>
          <w:sz w:val="19"/>
        </w:rPr>
        <w:t> </w:t>
      </w:r>
      <w:r>
        <w:rPr>
          <w:b/>
          <w:i/>
          <w:color w:val="010101"/>
          <w:w w:val="67"/>
          <w:sz w:val="20"/>
        </w:rPr>
        <w:t>(</w:t>
      </w:r>
      <w:r>
        <w:rPr>
          <w:b/>
          <w:i/>
          <w:color w:val="010101"/>
          <w:spacing w:val="-28"/>
          <w:sz w:val="20"/>
        </w:rPr>
        <w:t> </w:t>
      </w:r>
      <w:r>
        <w:rPr>
          <w:b/>
          <w:i/>
          <w:color w:val="010101"/>
          <w:spacing w:val="-50"/>
          <w:w w:val="82"/>
          <w:sz w:val="20"/>
        </w:rPr>
        <w:t>A</w:t>
      </w:r>
      <w:r>
        <w:rPr>
          <w:rFonts w:ascii="Arial" w:hAnsi="Arial"/>
          <w:color w:val="010101"/>
          <w:spacing w:val="7"/>
          <w:w w:val="195"/>
          <w:position w:val="12"/>
          <w:sz w:val="12"/>
        </w:rPr>
        <w:t>-</w:t>
      </w:r>
      <w:r>
        <w:rPr>
          <w:b/>
          <w:i/>
          <w:color w:val="010101"/>
          <w:w w:val="65"/>
          <w:sz w:val="20"/>
        </w:rPr>
        <w:t>z,,z</w:t>
      </w:r>
      <w:r>
        <w:rPr>
          <w:b/>
          <w:i/>
          <w:color w:val="010101"/>
          <w:sz w:val="20"/>
        </w:rPr>
        <w:t> </w:t>
      </w:r>
      <w:r>
        <w:rPr>
          <w:b/>
          <w:i/>
          <w:color w:val="010101"/>
          <w:spacing w:val="4"/>
          <w:sz w:val="20"/>
        </w:rPr>
        <w:t> </w:t>
      </w:r>
      <w:r>
        <w:rPr>
          <w:color w:val="010101"/>
          <w:w w:val="259"/>
          <w:sz w:val="20"/>
        </w:rPr>
        <w:t>-</w:t>
      </w:r>
      <w:r>
        <w:rPr>
          <w:color w:val="010101"/>
          <w:spacing w:val="13"/>
          <w:sz w:val="20"/>
        </w:rPr>
        <w:t> </w:t>
      </w:r>
      <w:r>
        <w:rPr>
          <w:b/>
          <w:i/>
          <w:color w:val="010101"/>
          <w:spacing w:val="-38"/>
          <w:w w:val="73"/>
          <w:sz w:val="20"/>
        </w:rPr>
        <w:t>Á</w:t>
      </w:r>
      <w:r>
        <w:rPr>
          <w:rFonts w:ascii="Arial" w:hAnsi="Arial"/>
          <w:b/>
          <w:color w:val="010101"/>
          <w:spacing w:val="7"/>
          <w:w w:val="196"/>
          <w:position w:val="12"/>
          <w:sz w:val="12"/>
        </w:rPr>
        <w:t>-</w:t>
      </w:r>
      <w:r>
        <w:rPr>
          <w:b/>
          <w:i/>
          <w:color w:val="010101"/>
          <w:spacing w:val="7"/>
          <w:w w:val="68"/>
          <w:sz w:val="20"/>
        </w:rPr>
        <w:t>z</w:t>
      </w:r>
      <w:r>
        <w:rPr>
          <w:b/>
          <w:i/>
          <w:color w:val="010101"/>
          <w:w w:val="57"/>
          <w:sz w:val="20"/>
        </w:rPr>
        <w:t>y</w:t>
      </w:r>
      <w:r>
        <w:rPr>
          <w:b/>
          <w:i/>
          <w:color w:val="010101"/>
          <w:spacing w:val="-32"/>
          <w:w w:val="57"/>
          <w:sz w:val="20"/>
        </w:rPr>
        <w:t>z</w:t>
      </w:r>
      <w:r>
        <w:rPr>
          <w:rFonts w:ascii="Arial" w:hAnsi="Arial"/>
          <w:b/>
          <w:color w:val="010101"/>
          <w:spacing w:val="1"/>
          <w:w w:val="121"/>
          <w:position w:val="12"/>
          <w:sz w:val="12"/>
        </w:rPr>
        <w:t>1</w:t>
      </w:r>
      <w:r>
        <w:rPr>
          <w:b/>
          <w:i/>
          <w:color w:val="010101"/>
          <w:w w:val="94"/>
          <w:sz w:val="20"/>
        </w:rPr>
        <w:t>).</w:t>
      </w:r>
      <w:r>
        <w:rPr>
          <w:b/>
          <w:i/>
          <w:color w:val="010101"/>
          <w:sz w:val="20"/>
        </w:rPr>
        <w:tab/>
      </w:r>
      <w:r>
        <w:rPr>
          <w:b/>
          <w:color w:val="010101"/>
          <w:w w:val="101"/>
          <w:sz w:val="20"/>
        </w:rPr>
        <w:t>{11.29)</w:t>
      </w:r>
    </w:p>
    <w:p>
      <w:pPr>
        <w:spacing w:line="110" w:lineRule="auto" w:before="200"/>
        <w:ind w:left="133" w:right="142" w:firstLine="191"/>
        <w:jc w:val="center"/>
        <w:rPr>
          <w:sz w:val="19"/>
        </w:rPr>
      </w:pPr>
      <w:r>
        <w:rPr>
          <w:color w:val="010101"/>
          <w:w w:val="105"/>
          <w:sz w:val="19"/>
        </w:rPr>
        <w:t>Coutingcnt insurauccs can also be defincd when thc sp&lt;:cificd </w:t>
      </w:r>
      <w:r>
        <w:rPr>
          <w:color w:val="010101"/>
          <w:w w:val="119"/>
          <w:sz w:val="19"/>
        </w:rPr>
        <w:t>status </w:t>
      </w:r>
      <w:r>
        <w:rPr>
          <w:rFonts w:ascii="Arial"/>
          <w:color w:val="010101"/>
          <w:w w:val="93"/>
          <w:sz w:val="20"/>
        </w:rPr>
        <w:t>is </w:t>
      </w:r>
      <w:r>
        <w:rPr>
          <w:color w:val="010101"/>
          <w:w w:val="111"/>
          <w:sz w:val="19"/>
        </w:rPr>
        <w:t>not  </w:t>
      </w:r>
      <w:r>
        <w:rPr>
          <w:color w:val="010101"/>
          <w:w w:val="114"/>
          <w:sz w:val="19"/>
        </w:rPr>
        <w:t>the </w:t>
      </w:r>
      <w:r>
        <w:rPr>
          <w:i/>
          <w:color w:val="010101"/>
          <w:w w:val="85"/>
          <w:sz w:val="21"/>
        </w:rPr>
        <w:t>first   </w:t>
      </w:r>
      <w:r>
        <w:rPr>
          <w:color w:val="010101"/>
          <w:w w:val="104"/>
          <w:sz w:val="21"/>
        </w:rPr>
        <w:t>to </w:t>
      </w:r>
      <w:r>
        <w:rPr>
          <w:color w:val="010101"/>
          <w:w w:val="107"/>
          <w:sz w:val="19"/>
        </w:rPr>
        <w:t>fail. </w:t>
      </w:r>
      <w:r>
        <w:rPr>
          <w:color w:val="010101"/>
          <w:w w:val="111"/>
          <w:sz w:val="19"/>
        </w:rPr>
        <w:t>For </w:t>
      </w:r>
      <w:r>
        <w:rPr>
          <w:color w:val="010101"/>
          <w:w w:val="107"/>
          <w:sz w:val="19"/>
        </w:rPr>
        <w:t>examplc,  </w:t>
      </w:r>
      <w:r>
        <w:rPr>
          <w:color w:val="010101"/>
          <w:w w:val="117"/>
          <w:sz w:val="19"/>
        </w:rPr>
        <w:t>the </w:t>
      </w:r>
      <w:r>
        <w:rPr>
          <w:color w:val="010101"/>
          <w:w w:val="108"/>
          <w:sz w:val="19"/>
        </w:rPr>
        <w:t>symbol </w:t>
      </w:r>
      <w:r>
        <w:rPr>
          <w:i/>
          <w:color w:val="010101"/>
          <w:w w:val="69"/>
          <w:sz w:val="34"/>
        </w:rPr>
        <w:t>A;</w:t>
      </w:r>
      <w:r>
        <w:rPr>
          <w:rFonts w:ascii="Arial"/>
          <w:i/>
          <w:color w:val="010101"/>
          <w:w w:val="69"/>
          <w:position w:val="-3"/>
          <w:sz w:val="9"/>
        </w:rPr>
        <w:t>11    </w:t>
      </w:r>
      <w:r>
        <w:rPr>
          <w:rFonts w:ascii="Arial"/>
          <w:i/>
          <w:color w:val="010101"/>
          <w:spacing w:val="16"/>
          <w:w w:val="69"/>
          <w:position w:val="-3"/>
          <w:sz w:val="9"/>
        </w:rPr>
        <w:t> </w:t>
      </w:r>
      <w:r>
        <w:rPr>
          <w:color w:val="010101"/>
          <w:w w:val="110"/>
          <w:sz w:val="19"/>
        </w:rPr>
        <w:t>denotes</w:t>
      </w:r>
    </w:p>
    <w:p>
      <w:pPr>
        <w:spacing w:before="29"/>
        <w:ind w:left="140" w:right="0" w:firstLine="0"/>
        <w:jc w:val="left"/>
        <w:rPr>
          <w:sz w:val="19"/>
        </w:rPr>
      </w:pPr>
      <w:r>
        <w:rPr>
          <w:color w:val="010101"/>
          <w:w w:val="110"/>
          <w:sz w:val="19"/>
        </w:rPr>
        <w:t>the net single premium  for an insurance of  </w:t>
      </w:r>
      <w:r>
        <w:rPr>
          <w:rFonts w:ascii="Arial"/>
          <w:b/>
          <w:color w:val="010101"/>
          <w:w w:val="110"/>
          <w:sz w:val="17"/>
        </w:rPr>
        <w:t>1 </w:t>
      </w:r>
      <w:r>
        <w:rPr>
          <w:color w:val="010101"/>
          <w:w w:val="110"/>
          <w:sz w:val="19"/>
        </w:rPr>
        <w:t>payahlc at the end  of</w:t>
      </w:r>
    </w:p>
    <w:p>
      <w:pPr>
        <w:spacing w:before="0"/>
        <w:ind w:left="140" w:right="0" w:firstLine="0"/>
        <w:jc w:val="left"/>
        <w:rPr>
          <w:sz w:val="19"/>
        </w:rPr>
      </w:pPr>
      <w:r>
        <w:rPr>
          <w:color w:val="010101"/>
          <w:w w:val="110"/>
          <w:sz w:val="21"/>
        </w:rPr>
        <w:t>thc </w:t>
      </w:r>
      <w:r>
        <w:rPr>
          <w:color w:val="010101"/>
          <w:w w:val="110"/>
          <w:sz w:val="19"/>
        </w:rPr>
        <w:t>yca.r of dcath of  (x)  providcd  that  (y) has dicd beforc   (x) </w:t>
      </w:r>
      <w:r>
        <w:rPr>
          <w:color w:val="010101"/>
          <w:w w:val="125"/>
          <w:sz w:val="19"/>
        </w:rPr>
        <w:t>:</w:t>
      </w:r>
    </w:p>
    <w:p>
      <w:pPr>
        <w:spacing w:before="152"/>
        <w:ind w:left="132" w:right="0" w:firstLine="0"/>
        <w:jc w:val="left"/>
        <w:rPr>
          <w:sz w:val="19"/>
        </w:rPr>
      </w:pPr>
      <w:r>
        <w:rPr>
          <w:position w:val="-15"/>
        </w:rPr>
        <w:drawing>
          <wp:inline distT="0" distB="0" distL="0" distR="0">
            <wp:extent cx="3108960" cy="283464"/>
            <wp:effectExtent l="0" t="0" r="0" b="0"/>
            <wp:docPr id="531" name="image271.png" descr=""/>
            <wp:cNvGraphicFramePr>
              <a:graphicFrameLocks noChangeAspect="1"/>
            </wp:cNvGraphicFramePr>
            <a:graphic>
              <a:graphicData uri="http://schemas.openxmlformats.org/drawingml/2006/picture">
                <pic:pic>
                  <pic:nvPicPr>
                    <pic:cNvPr id="532" name="image271.png"/>
                    <pic:cNvPicPr/>
                  </pic:nvPicPr>
                  <pic:blipFill>
                    <a:blip r:embed="rId275" cstate="print"/>
                    <a:stretch>
                      <a:fillRect/>
                    </a:stretch>
                  </pic:blipFill>
                  <pic:spPr>
                    <a:xfrm>
                      <a:off x="0" y="0"/>
                      <a:ext cx="3108960" cy="283464"/>
                    </a:xfrm>
                    <a:prstGeom prst="rect">
                      <a:avLst/>
                    </a:prstGeom>
                  </pic:spPr>
                </pic:pic>
              </a:graphicData>
            </a:graphic>
          </wp:inline>
        </w:drawing>
      </w:r>
      <w:r>
        <w:rPr>
          <w:position w:val="-15"/>
        </w:rPr>
      </w:r>
      <w:r>
        <w:rPr>
          <w:sz w:val="20"/>
        </w:rPr>
        <w:t>   </w:t>
      </w:r>
      <w:r>
        <w:rPr>
          <w:color w:val="010101"/>
          <w:w w:val="105"/>
          <w:sz w:val="19"/>
        </w:rPr>
        <w:t>(11.30)</w:t>
      </w:r>
    </w:p>
    <w:p>
      <w:pPr>
        <w:spacing w:line="345" w:lineRule="exact" w:before="37"/>
        <w:ind w:left="136" w:right="0" w:firstLine="0"/>
        <w:jc w:val="left"/>
        <w:rPr>
          <w:sz w:val="26"/>
        </w:rPr>
      </w:pPr>
      <w:r>
        <w:rPr/>
        <w:pict>
          <v:shape style="position:absolute;margin-left:309.391815pt;margin-top:14.025446pt;width:3.7pt;height:5pt;mso-position-horizontal-relative:page;mso-position-vertical-relative:paragraph;z-index:-717472" type="#_x0000_t202" filled="false" stroked="false">
            <v:textbox inset="0,0,0,0">
              <w:txbxContent>
                <w:p>
                  <w:pPr>
                    <w:spacing w:line="100" w:lineRule="exact" w:before="0"/>
                    <w:ind w:left="0" w:right="-19" w:firstLine="0"/>
                    <w:jc w:val="left"/>
                    <w:rPr>
                      <w:rFonts w:ascii="Arial"/>
                      <w:b/>
                      <w:i/>
                      <w:sz w:val="10"/>
                    </w:rPr>
                  </w:pPr>
                  <w:r>
                    <w:rPr>
                      <w:rFonts w:ascii="Arial"/>
                      <w:b/>
                      <w:i/>
                      <w:color w:val="010101"/>
                      <w:w w:val="65"/>
                      <w:sz w:val="10"/>
                    </w:rPr>
                    <w:t>11</w:t>
                  </w:r>
                </w:p>
              </w:txbxContent>
            </v:textbox>
            <w10:wrap type="none"/>
          </v:shape>
        </w:pict>
      </w:r>
      <w:r>
        <w:rPr>
          <w:color w:val="010101"/>
          <w:w w:val="116"/>
          <w:sz w:val="19"/>
        </w:rPr>
        <w:t>The</w:t>
      </w:r>
      <w:r>
        <w:rPr>
          <w:color w:val="010101"/>
          <w:sz w:val="19"/>
        </w:rPr>
        <w:t> </w:t>
      </w:r>
      <w:r>
        <w:rPr>
          <w:color w:val="010101"/>
          <w:spacing w:val="-14"/>
          <w:sz w:val="19"/>
        </w:rPr>
        <w:t> </w:t>
      </w:r>
      <w:r>
        <w:rPr>
          <w:color w:val="010101"/>
          <w:w w:val="109"/>
          <w:sz w:val="19"/>
        </w:rPr>
        <w:t>result</w:t>
      </w:r>
      <w:r>
        <w:rPr>
          <w:color w:val="010101"/>
          <w:sz w:val="19"/>
        </w:rPr>
        <w:t> </w:t>
      </w:r>
      <w:r>
        <w:rPr>
          <w:color w:val="010101"/>
          <w:spacing w:val="4"/>
          <w:sz w:val="19"/>
        </w:rPr>
        <w:t> </w:t>
      </w:r>
      <w:r>
        <w:rPr>
          <w:color w:val="010101"/>
          <w:w w:val="104"/>
          <w:sz w:val="19"/>
        </w:rPr>
        <w:t>is</w:t>
      </w:r>
      <w:r>
        <w:rPr>
          <w:color w:val="010101"/>
          <w:sz w:val="19"/>
        </w:rPr>
        <w:t> </w:t>
      </w:r>
      <w:r>
        <w:rPr>
          <w:color w:val="010101"/>
          <w:spacing w:val="-17"/>
          <w:sz w:val="19"/>
        </w:rPr>
        <w:t> </w:t>
      </w:r>
      <w:r>
        <w:rPr>
          <w:color w:val="010101"/>
          <w:w w:val="117"/>
          <w:sz w:val="19"/>
        </w:rPr>
        <w:t>cvidmt</w:t>
      </w:r>
      <w:r>
        <w:rPr>
          <w:color w:val="010101"/>
          <w:sz w:val="19"/>
        </w:rPr>
        <w:t> </w:t>
      </w:r>
      <w:r>
        <w:rPr>
          <w:color w:val="010101"/>
          <w:spacing w:val="-3"/>
          <w:sz w:val="19"/>
        </w:rPr>
        <w:t> </w:t>
      </w:r>
      <w:r>
        <w:rPr>
          <w:color w:val="010101"/>
          <w:w w:val="105"/>
          <w:sz w:val="19"/>
        </w:rPr>
        <w:t>from</w:t>
      </w:r>
      <w:r>
        <w:rPr>
          <w:color w:val="010101"/>
          <w:sz w:val="19"/>
        </w:rPr>
        <w:t> </w:t>
      </w:r>
      <w:r>
        <w:rPr>
          <w:color w:val="010101"/>
          <w:spacing w:val="-13"/>
          <w:sz w:val="19"/>
        </w:rPr>
        <w:t> </w:t>
      </w:r>
      <w:r>
        <w:rPr>
          <w:color w:val="010101"/>
          <w:w w:val="109"/>
          <w:sz w:val="19"/>
        </w:rPr>
        <w:t>general</w:t>
      </w:r>
      <w:r>
        <w:rPr>
          <w:color w:val="010101"/>
          <w:sz w:val="19"/>
        </w:rPr>
        <w:t> </w:t>
      </w:r>
      <w:r>
        <w:rPr>
          <w:color w:val="010101"/>
          <w:spacing w:val="-3"/>
          <w:sz w:val="19"/>
        </w:rPr>
        <w:t> </w:t>
      </w:r>
      <w:r>
        <w:rPr>
          <w:color w:val="010101"/>
          <w:w w:val="108"/>
          <w:sz w:val="19"/>
        </w:rPr>
        <w:t>rcasoning,</w:t>
      </w:r>
      <w:r>
        <w:rPr>
          <w:color w:val="010101"/>
          <w:sz w:val="19"/>
        </w:rPr>
        <w:t> </w:t>
      </w:r>
      <w:r>
        <w:rPr>
          <w:color w:val="010101"/>
          <w:spacing w:val="3"/>
          <w:sz w:val="19"/>
        </w:rPr>
        <w:t> </w:t>
      </w:r>
      <w:r>
        <w:rPr>
          <w:color w:val="010101"/>
          <w:w w:val="107"/>
          <w:sz w:val="19"/>
        </w:rPr>
        <w:t>since</w:t>
      </w:r>
      <w:r>
        <w:rPr>
          <w:color w:val="010101"/>
          <w:sz w:val="19"/>
        </w:rPr>
        <w:t> </w:t>
      </w:r>
      <w:r>
        <w:rPr>
          <w:color w:val="010101"/>
          <w:spacing w:val="-21"/>
          <w:sz w:val="19"/>
        </w:rPr>
        <w:t> </w:t>
      </w:r>
      <w:r>
        <w:rPr>
          <w:i/>
          <w:color w:val="010101"/>
          <w:spacing w:val="22"/>
          <w:w w:val="147"/>
          <w:sz w:val="21"/>
        </w:rPr>
        <w:t>A</w:t>
      </w:r>
      <w:r>
        <w:rPr>
          <w:i/>
          <w:color w:val="010101"/>
          <w:w w:val="67"/>
          <w:position w:val="-3"/>
          <w:sz w:val="11"/>
        </w:rPr>
        <w:t>11</w:t>
      </w:r>
      <w:r>
        <w:rPr>
          <w:i/>
          <w:color w:val="010101"/>
          <w:position w:val="-3"/>
          <w:sz w:val="11"/>
        </w:rPr>
        <w:t>  </w:t>
      </w:r>
      <w:r>
        <w:rPr>
          <w:i/>
          <w:color w:val="010101"/>
          <w:spacing w:val="8"/>
          <w:position w:val="-3"/>
          <w:sz w:val="11"/>
        </w:rPr>
        <w:t> </w:t>
      </w:r>
      <w:r>
        <w:rPr>
          <w:rFonts w:ascii="Arial"/>
          <w:color w:val="010101"/>
          <w:w w:val="106"/>
          <w:sz w:val="30"/>
        </w:rPr>
        <w:t>+</w:t>
      </w:r>
      <w:r>
        <w:rPr>
          <w:rFonts w:ascii="Arial"/>
          <w:color w:val="010101"/>
          <w:spacing w:val="-13"/>
          <w:sz w:val="30"/>
        </w:rPr>
        <w:t> </w:t>
      </w:r>
      <w:r>
        <w:rPr>
          <w:b/>
          <w:i/>
          <w:color w:val="010101"/>
          <w:w w:val="64"/>
          <w:sz w:val="29"/>
        </w:rPr>
        <w:t>A!</w:t>
      </w:r>
      <w:r>
        <w:rPr>
          <w:b/>
          <w:i/>
          <w:color w:val="010101"/>
          <w:sz w:val="29"/>
        </w:rPr>
        <w:t> </w:t>
      </w:r>
      <w:r>
        <w:rPr>
          <w:b/>
          <w:i/>
          <w:color w:val="010101"/>
          <w:spacing w:val="25"/>
          <w:sz w:val="29"/>
        </w:rPr>
        <w:t> </w:t>
      </w:r>
      <w:r>
        <w:rPr>
          <w:color w:val="010101"/>
          <w:w w:val="89"/>
          <w:sz w:val="26"/>
        </w:rPr>
        <w:t>=</w:t>
      </w:r>
    </w:p>
    <w:p>
      <w:pPr>
        <w:spacing w:before="0"/>
        <w:ind w:left="140" w:right="0" w:firstLine="0"/>
        <w:jc w:val="left"/>
        <w:rPr>
          <w:sz w:val="19"/>
        </w:rPr>
      </w:pPr>
      <w:r>
        <w:rPr>
          <w:i/>
          <w:color w:val="010101"/>
          <w:w w:val="115"/>
          <w:sz w:val="19"/>
        </w:rPr>
        <w:t>Az . </w:t>
      </w:r>
      <w:r>
        <w:rPr>
          <w:color w:val="010101"/>
          <w:w w:val="115"/>
          <w:sz w:val="19"/>
        </w:rPr>
        <w:t>Similarly,</w:t>
      </w:r>
    </w:p>
    <w:p>
      <w:pPr>
        <w:spacing w:after="0"/>
        <w:jc w:val="left"/>
        <w:rPr>
          <w:sz w:val="19"/>
        </w:rPr>
        <w:sectPr>
          <w:type w:val="continuous"/>
          <w:pgSz w:w="7200" w:h="11340"/>
          <w:pgMar w:top="1100" w:bottom="0" w:left="660" w:right="540"/>
        </w:sectPr>
      </w:pPr>
    </w:p>
    <w:p>
      <w:pPr>
        <w:pStyle w:val="BodyText"/>
        <w:spacing w:before="7"/>
        <w:rPr>
          <w:sz w:val="19"/>
        </w:rPr>
      </w:pPr>
    </w:p>
    <w:p>
      <w:pPr>
        <w:spacing w:before="0"/>
        <w:ind w:left="1008" w:right="0" w:firstLine="0"/>
        <w:jc w:val="left"/>
        <w:rPr>
          <w:sz w:val="23"/>
        </w:rPr>
      </w:pPr>
      <w:r>
        <w:rPr>
          <w:b/>
          <w:i/>
          <w:color w:val="010101"/>
          <w:spacing w:val="-37"/>
          <w:w w:val="94"/>
          <w:sz w:val="16"/>
        </w:rPr>
        <w:t>Á</w:t>
      </w:r>
      <w:r>
        <w:rPr>
          <w:color w:val="010101"/>
          <w:spacing w:val="-30"/>
          <w:w w:val="157"/>
          <w:position w:val="8"/>
          <w:sz w:val="12"/>
        </w:rPr>
        <w:t>-</w:t>
      </w:r>
      <w:r>
        <w:rPr>
          <w:color w:val="010101"/>
          <w:spacing w:val="-109"/>
          <w:w w:val="157"/>
          <w:position w:val="8"/>
          <w:sz w:val="12"/>
        </w:rPr>
        <w:t>2</w:t>
      </w:r>
      <w:r>
        <w:rPr>
          <w:b/>
          <w:i/>
          <w:color w:val="010101"/>
          <w:w w:val="43"/>
          <w:sz w:val="16"/>
        </w:rPr>
        <w:t>:z:11</w:t>
      </w:r>
      <w:r>
        <w:rPr>
          <w:b/>
          <w:i/>
          <w:color w:val="010101"/>
          <w:sz w:val="16"/>
        </w:rPr>
        <w:t> </w:t>
      </w:r>
      <w:r>
        <w:rPr>
          <w:b/>
          <w:i/>
          <w:color w:val="010101"/>
          <w:spacing w:val="15"/>
          <w:sz w:val="16"/>
        </w:rPr>
        <w:t> </w:t>
      </w:r>
      <w:r>
        <w:rPr>
          <w:color w:val="010101"/>
          <w:w w:val="101"/>
          <w:sz w:val="23"/>
        </w:rPr>
        <w:t>=</w:t>
      </w:r>
    </w:p>
    <w:p>
      <w:pPr>
        <w:spacing w:line="289" w:lineRule="exact" w:before="198"/>
        <w:ind w:left="366" w:right="0" w:firstLine="0"/>
        <w:jc w:val="left"/>
        <w:rPr>
          <w:b/>
          <w:i/>
          <w:sz w:val="16"/>
        </w:rPr>
      </w:pPr>
      <w:r>
        <w:rPr/>
        <w:br w:type="column"/>
      </w:r>
      <w:r>
        <w:rPr>
          <w:rFonts w:ascii="Arial" w:hAnsi="Arial"/>
          <w:b/>
          <w:i/>
          <w:color w:val="010101"/>
          <w:w w:val="90"/>
          <w:sz w:val="13"/>
        </w:rPr>
        <w:t>V  </w:t>
      </w:r>
      <w:r>
        <w:rPr>
          <w:rFonts w:ascii="Arial" w:hAnsi="Arial"/>
          <w:color w:val="010101"/>
          <w:w w:val="140"/>
          <w:sz w:val="13"/>
        </w:rPr>
        <w:t>( </w:t>
      </w:r>
      <w:r>
        <w:rPr>
          <w:b/>
          <w:color w:val="010101"/>
          <w:w w:val="130"/>
          <w:sz w:val="19"/>
        </w:rPr>
        <w:t>l </w:t>
      </w:r>
      <w:r>
        <w:rPr>
          <w:color w:val="010101"/>
          <w:w w:val="260"/>
          <w:sz w:val="19"/>
        </w:rPr>
        <w:t>-</w:t>
      </w:r>
      <w:r>
        <w:rPr>
          <w:color w:val="010101"/>
          <w:spacing w:val="-79"/>
          <w:w w:val="260"/>
          <w:sz w:val="19"/>
        </w:rPr>
        <w:t> </w:t>
      </w:r>
      <w:r>
        <w:rPr>
          <w:b/>
          <w:color w:val="010101"/>
          <w:w w:val="90"/>
          <w:sz w:val="19"/>
        </w:rPr>
        <w:t>,pi, ),p;rµ:z: H </w:t>
      </w:r>
      <w:r>
        <w:rPr>
          <w:b/>
          <w:i/>
          <w:color w:val="010101"/>
          <w:w w:val="90"/>
          <w:sz w:val="20"/>
        </w:rPr>
        <w:t>dt </w:t>
      </w:r>
      <w:r>
        <w:rPr>
          <w:color w:val="010101"/>
          <w:w w:val="90"/>
          <w:sz w:val="26"/>
        </w:rPr>
        <w:t>= </w:t>
      </w:r>
      <w:r>
        <w:rPr>
          <w:b/>
          <w:i/>
          <w:color w:val="010101"/>
          <w:w w:val="90"/>
          <w:sz w:val="20"/>
        </w:rPr>
        <w:t>Ar  </w:t>
      </w:r>
      <w:r>
        <w:rPr>
          <w:color w:val="010101"/>
          <w:w w:val="260"/>
          <w:sz w:val="20"/>
        </w:rPr>
        <w:t>-</w:t>
      </w:r>
      <w:r>
        <w:rPr>
          <w:color w:val="010101"/>
          <w:spacing w:val="-89"/>
          <w:w w:val="260"/>
          <w:sz w:val="20"/>
        </w:rPr>
        <w:t> </w:t>
      </w:r>
      <w:r>
        <w:rPr>
          <w:b/>
          <w:i/>
          <w:color w:val="010101"/>
          <w:w w:val="130"/>
          <w:sz w:val="16"/>
        </w:rPr>
        <w:t>Á </w:t>
      </w:r>
      <w:r>
        <w:rPr>
          <w:b/>
          <w:i/>
          <w:color w:val="010101"/>
          <w:w w:val="90"/>
          <w:sz w:val="16"/>
        </w:rPr>
        <w:t>za, </w:t>
      </w:r>
      <w:r>
        <w:rPr>
          <w:b/>
          <w:i/>
          <w:color w:val="010101"/>
          <w:w w:val="130"/>
          <w:sz w:val="16"/>
        </w:rPr>
        <w:t>.</w:t>
      </w:r>
    </w:p>
    <w:p>
      <w:pPr>
        <w:spacing w:line="117" w:lineRule="exact" w:before="0"/>
        <w:ind w:left="150" w:right="0" w:firstLine="0"/>
        <w:jc w:val="left"/>
        <w:rPr>
          <w:rFonts w:ascii="Arial"/>
          <w:sz w:val="11"/>
        </w:rPr>
      </w:pPr>
      <w:r>
        <w:rPr/>
        <w:pict>
          <v:shape style="position:absolute;margin-left:114.496498pt;margin-top:-20.28779pt;width:154.85pt;height:17.5pt;mso-position-horizontal-relative:page;mso-position-vertical-relative:paragraph;z-index:-717448" type="#_x0000_t202" filled="false" stroked="false">
            <v:textbox inset="0,0,0,0">
              <w:txbxContent>
                <w:p>
                  <w:pPr>
                    <w:tabs>
                      <w:tab w:pos="2476" w:val="left" w:leader="none"/>
                      <w:tab w:pos="3022" w:val="left" w:leader="none"/>
                    </w:tabs>
                    <w:spacing w:line="350" w:lineRule="exact" w:before="0"/>
                    <w:ind w:left="0" w:right="0" w:firstLine="0"/>
                    <w:jc w:val="left"/>
                    <w:rPr>
                      <w:rFonts w:ascii="Arial" w:hAnsi="Arial"/>
                      <w:b/>
                      <w:sz w:val="11"/>
                    </w:rPr>
                  </w:pPr>
                  <w:r>
                    <w:rPr>
                      <w:rFonts w:ascii="Arial" w:hAnsi="Arial"/>
                      <w:b/>
                      <w:i/>
                      <w:color w:val="010101"/>
                      <w:spacing w:val="-44"/>
                      <w:w w:val="99"/>
                      <w:sz w:val="35"/>
                    </w:rPr>
                    <w:t>1</w:t>
                  </w:r>
                  <w:r>
                    <w:rPr>
                      <w:rFonts w:ascii="Arial" w:hAnsi="Arial"/>
                      <w:b/>
                      <w:i/>
                      <w:color w:val="010101"/>
                      <w:w w:val="33"/>
                      <w:sz w:val="35"/>
                    </w:rPr>
                    <w:t>"°</w:t>
                  </w:r>
                  <w:r>
                    <w:rPr>
                      <w:rFonts w:ascii="Arial" w:hAnsi="Arial"/>
                      <w:b/>
                      <w:i/>
                      <w:color w:val="010101"/>
                      <w:spacing w:val="39"/>
                      <w:sz w:val="35"/>
                    </w:rPr>
                    <w:t> </w:t>
                  </w:r>
                  <w:r>
                    <w:rPr>
                      <w:color w:val="010101"/>
                      <w:w w:val="89"/>
                      <w:sz w:val="12"/>
                    </w:rPr>
                    <w:t>1</w:t>
                  </w:r>
                  <w:r>
                    <w:rPr>
                      <w:color w:val="010101"/>
                      <w:sz w:val="12"/>
                    </w:rPr>
                    <w:tab/>
                  </w:r>
                  <w:r>
                    <w:rPr>
                      <w:color w:val="010101"/>
                      <w:w w:val="222"/>
                      <w:sz w:val="12"/>
                    </w:rPr>
                    <w:t>-</w:t>
                  </w:r>
                  <w:r>
                    <w:rPr>
                      <w:color w:val="010101"/>
                      <w:sz w:val="12"/>
                    </w:rPr>
                    <w:tab/>
                  </w:r>
                  <w:r>
                    <w:rPr>
                      <w:rFonts w:ascii="Arial" w:hAnsi="Arial"/>
                      <w:b/>
                      <w:color w:val="010101"/>
                      <w:w w:val="202"/>
                      <w:sz w:val="11"/>
                    </w:rPr>
                    <w:t>-</w:t>
                  </w:r>
                </w:p>
              </w:txbxContent>
            </v:textbox>
            <w10:wrap type="none"/>
          </v:shape>
        </w:pict>
      </w:r>
      <w:r>
        <w:rPr>
          <w:rFonts w:ascii="Arial"/>
          <w:color w:val="010101"/>
          <w:w w:val="109"/>
          <w:sz w:val="11"/>
        </w:rPr>
        <w:t>0</w:t>
      </w:r>
    </w:p>
    <w:p>
      <w:pPr>
        <w:pStyle w:val="BodyText"/>
        <w:spacing w:before="3"/>
        <w:rPr>
          <w:rFonts w:ascii="Arial"/>
          <w:sz w:val="22"/>
        </w:rPr>
      </w:pPr>
      <w:r>
        <w:rPr/>
        <w:br w:type="column"/>
      </w:r>
      <w:r>
        <w:rPr>
          <w:rFonts w:ascii="Arial"/>
          <w:sz w:val="22"/>
        </w:rPr>
      </w:r>
    </w:p>
    <w:p>
      <w:pPr>
        <w:spacing w:before="0"/>
        <w:ind w:left="208" w:right="-19" w:firstLine="0"/>
        <w:jc w:val="left"/>
        <w:rPr>
          <w:sz w:val="19"/>
        </w:rPr>
      </w:pPr>
      <w:r>
        <w:rPr>
          <w:color w:val="010101"/>
          <w:w w:val="105"/>
          <w:sz w:val="19"/>
        </w:rPr>
        <w:t>( 11.31)</w:t>
      </w:r>
    </w:p>
    <w:p>
      <w:pPr>
        <w:spacing w:after="0"/>
        <w:jc w:val="left"/>
        <w:rPr>
          <w:sz w:val="19"/>
        </w:rPr>
        <w:sectPr>
          <w:type w:val="continuous"/>
          <w:pgSz w:w="7200" w:h="11340"/>
          <w:pgMar w:top="1100" w:bottom="0" w:left="660" w:right="540"/>
          <w:cols w:num="3" w:equalWidth="0">
            <w:col w:w="1526" w:space="40"/>
            <w:col w:w="3424" w:space="40"/>
            <w:col w:w="970"/>
          </w:cols>
        </w:sectPr>
      </w:pPr>
    </w:p>
    <w:p>
      <w:pPr>
        <w:spacing w:before="126"/>
        <w:ind w:left="140" w:right="152" w:firstLine="190"/>
        <w:jc w:val="left"/>
        <w:rPr>
          <w:sz w:val="19"/>
        </w:rPr>
      </w:pPr>
      <w:r>
        <w:rPr>
          <w:color w:val="010101"/>
          <w:w w:val="105"/>
          <w:sz w:val="19"/>
        </w:rPr>
        <w:t>The cfofinite integral which appears iu (11.:H ) can be  trans­</w:t>
      </w:r>
      <w:r>
        <w:rPr>
          <w:color w:val="010101"/>
          <w:spacing w:val="49"/>
          <w:w w:val="105"/>
          <w:sz w:val="19"/>
        </w:rPr>
        <w:t> </w:t>
      </w:r>
      <w:r>
        <w:rPr>
          <w:color w:val="010101"/>
          <w:w w:val="105"/>
          <w:sz w:val="19"/>
        </w:rPr>
        <w:t>formed  in  an  intcresting  </w:t>
      </w:r>
      <w:r>
        <w:rPr>
          <w:rFonts w:ascii="Arial" w:hAnsi="Arial"/>
          <w:b/>
          <w:color w:val="010101"/>
          <w:w w:val="105"/>
          <w:sz w:val="18"/>
        </w:rPr>
        <w:t>way.  </w:t>
      </w:r>
      <w:r>
        <w:rPr>
          <w:b/>
          <w:color w:val="010101"/>
          <w:w w:val="105"/>
          <w:sz w:val="21"/>
        </w:rPr>
        <w:t>We  </w:t>
      </w:r>
      <w:r>
        <w:rPr>
          <w:color w:val="010101"/>
          <w:w w:val="105"/>
          <w:sz w:val="19"/>
        </w:rPr>
        <w:t>first  note  that  the </w:t>
      </w:r>
      <w:r>
        <w:rPr>
          <w:color w:val="010101"/>
          <w:spacing w:val="21"/>
          <w:w w:val="105"/>
          <w:sz w:val="19"/>
        </w:rPr>
        <w:t> </w:t>
      </w:r>
      <w:r>
        <w:rPr>
          <w:color w:val="010101"/>
          <w:w w:val="105"/>
          <w:sz w:val="19"/>
        </w:rPr>
        <w:t>exprefüÜon</w:t>
      </w:r>
    </w:p>
    <w:p>
      <w:pPr>
        <w:spacing w:line="269" w:lineRule="exact" w:before="0"/>
        <w:ind w:left="147" w:right="0" w:firstLine="0"/>
        <w:jc w:val="left"/>
        <w:rPr>
          <w:sz w:val="19"/>
        </w:rPr>
      </w:pPr>
      <w:r>
        <w:rPr>
          <w:rFonts w:ascii="Arial"/>
          <w:b/>
          <w:color w:val="010101"/>
          <w:w w:val="120"/>
          <w:sz w:val="17"/>
        </w:rPr>
        <w:t>1 </w:t>
      </w:r>
      <w:r>
        <w:rPr>
          <w:rFonts w:ascii="Arial"/>
          <w:color w:val="010101"/>
          <w:w w:val="270"/>
          <w:sz w:val="17"/>
        </w:rPr>
        <w:t>-</w:t>
      </w:r>
      <w:r>
        <w:rPr>
          <w:rFonts w:ascii="Arial"/>
          <w:color w:val="010101"/>
          <w:spacing w:val="-89"/>
          <w:w w:val="270"/>
          <w:sz w:val="17"/>
        </w:rPr>
        <w:t> </w:t>
      </w:r>
      <w:r>
        <w:rPr>
          <w:i/>
          <w:color w:val="010101"/>
          <w:w w:val="80"/>
          <w:sz w:val="34"/>
        </w:rPr>
        <w:t>,p,, </w:t>
      </w:r>
      <w:r>
        <w:rPr>
          <w:color w:val="010101"/>
          <w:w w:val="120"/>
          <w:sz w:val="19"/>
        </w:rPr>
        <w:t>can itself be written as the definite integral</w:t>
      </w:r>
    </w:p>
    <w:p>
      <w:pPr>
        <w:spacing w:before="91"/>
        <w:ind w:left="136" w:right="0" w:firstLine="100"/>
        <w:jc w:val="left"/>
        <w:rPr>
          <w:sz w:val="34"/>
        </w:rPr>
      </w:pPr>
      <w:r>
        <w:rPr>
          <w:i/>
          <w:color w:val="010101"/>
          <w:w w:val="84"/>
          <w:sz w:val="20"/>
        </w:rPr>
        <w:t>,q,,</w:t>
      </w:r>
      <w:r>
        <w:rPr>
          <w:i/>
          <w:color w:val="010101"/>
          <w:sz w:val="20"/>
        </w:rPr>
        <w:t> </w:t>
      </w:r>
      <w:r>
        <w:rPr>
          <w:i/>
          <w:color w:val="010101"/>
          <w:spacing w:val="-9"/>
          <w:sz w:val="20"/>
        </w:rPr>
        <w:t> </w:t>
      </w:r>
      <w:r>
        <w:rPr>
          <w:color w:val="010101"/>
          <w:w w:val="101"/>
          <w:sz w:val="23"/>
        </w:rPr>
        <w:t>=</w:t>
      </w:r>
      <w:r>
        <w:rPr>
          <w:color w:val="010101"/>
          <w:sz w:val="23"/>
        </w:rPr>
        <w:t> </w:t>
      </w:r>
      <w:r>
        <w:rPr>
          <w:color w:val="010101"/>
          <w:spacing w:val="-7"/>
          <w:sz w:val="23"/>
        </w:rPr>
        <w:t> </w:t>
      </w:r>
      <w:r>
        <w:rPr>
          <w:color w:val="010101"/>
          <w:spacing w:val="-77"/>
          <w:w w:val="215"/>
          <w:sz w:val="23"/>
        </w:rPr>
        <w:t>{</w:t>
      </w:r>
      <w:r>
        <w:rPr>
          <w:color w:val="010101"/>
          <w:spacing w:val="-17"/>
          <w:w w:val="155"/>
          <w:sz w:val="23"/>
        </w:rPr>
        <w:t>'</w:t>
      </w:r>
      <w:r>
        <w:rPr>
          <w:i/>
          <w:color w:val="010101"/>
          <w:spacing w:val="-128"/>
          <w:w w:val="252"/>
          <w:sz w:val="20"/>
        </w:rPr>
        <w:t>.</w:t>
      </w:r>
      <w:r>
        <w:rPr>
          <w:i/>
          <w:color w:val="010101"/>
          <w:w w:val="90"/>
          <w:sz w:val="20"/>
        </w:rPr>
        <w:t>p</w:t>
      </w:r>
      <w:r>
        <w:rPr>
          <w:i/>
          <w:color w:val="010101"/>
          <w:spacing w:val="-26"/>
          <w:sz w:val="20"/>
        </w:rPr>
        <w:t> </w:t>
      </w:r>
      <w:r>
        <w:rPr>
          <w:i/>
          <w:color w:val="010101"/>
          <w:w w:val="67"/>
          <w:position w:val="-3"/>
          <w:sz w:val="11"/>
        </w:rPr>
        <w:t>1</w:t>
      </w:r>
      <w:r>
        <w:rPr>
          <w:i/>
          <w:color w:val="010101"/>
          <w:spacing w:val="-6"/>
          <w:w w:val="67"/>
          <w:position w:val="-3"/>
          <w:sz w:val="11"/>
        </w:rPr>
        <w:t>1</w:t>
      </w:r>
      <w:r>
        <w:rPr>
          <w:i/>
          <w:color w:val="010101"/>
          <w:w w:val="69"/>
          <w:sz w:val="16"/>
        </w:rPr>
        <w:t>µ.11+•</w:t>
      </w:r>
      <w:r>
        <w:rPr>
          <w:i/>
          <w:color w:val="010101"/>
          <w:sz w:val="16"/>
        </w:rPr>
        <w:t> </w:t>
      </w:r>
      <w:r>
        <w:rPr>
          <w:i/>
          <w:color w:val="010101"/>
          <w:spacing w:val="-5"/>
          <w:sz w:val="16"/>
        </w:rPr>
        <w:t> </w:t>
      </w:r>
      <w:r>
        <w:rPr>
          <w:i/>
          <w:color w:val="010101"/>
          <w:w w:val="106"/>
          <w:sz w:val="20"/>
        </w:rPr>
        <w:t>ds,</w:t>
      </w:r>
      <w:r>
        <w:rPr>
          <w:i/>
          <w:color w:val="010101"/>
          <w:spacing w:val="-7"/>
          <w:sz w:val="20"/>
        </w:rPr>
        <w:t> </w:t>
      </w:r>
      <w:r>
        <w:rPr>
          <w:color w:val="010101"/>
          <w:w w:val="113"/>
          <w:sz w:val="19"/>
        </w:rPr>
        <w:t>and</w:t>
      </w:r>
      <w:r>
        <w:rPr>
          <w:color w:val="010101"/>
          <w:sz w:val="19"/>
        </w:rPr>
        <w:t> </w:t>
      </w:r>
      <w:r>
        <w:rPr>
          <w:color w:val="010101"/>
          <w:spacing w:val="-17"/>
          <w:sz w:val="19"/>
        </w:rPr>
        <w:t> </w:t>
      </w:r>
      <w:r>
        <w:rPr>
          <w:color w:val="010101"/>
          <w:w w:val="113"/>
          <w:sz w:val="19"/>
        </w:rPr>
        <w:t>this</w:t>
      </w:r>
      <w:r>
        <w:rPr>
          <w:color w:val="010101"/>
          <w:sz w:val="19"/>
        </w:rPr>
        <w:t> </w:t>
      </w:r>
      <w:r>
        <w:rPr>
          <w:color w:val="010101"/>
          <w:spacing w:val="-24"/>
          <w:sz w:val="19"/>
        </w:rPr>
        <w:t> </w:t>
      </w:r>
      <w:r>
        <w:rPr>
          <w:color w:val="010101"/>
          <w:w w:val="110"/>
          <w:sz w:val="19"/>
        </w:rPr>
        <w:t>leads</w:t>
      </w:r>
      <w:r>
        <w:rPr>
          <w:color w:val="010101"/>
          <w:spacing w:val="22"/>
          <w:sz w:val="19"/>
        </w:rPr>
        <w:t> </w:t>
      </w:r>
      <w:r>
        <w:rPr>
          <w:color w:val="010101"/>
          <w:w w:val="104"/>
          <w:sz w:val="21"/>
        </w:rPr>
        <w:t>to</w:t>
      </w:r>
      <w:r>
        <w:rPr>
          <w:color w:val="010101"/>
          <w:spacing w:val="13"/>
          <w:sz w:val="21"/>
        </w:rPr>
        <w:t> </w:t>
      </w:r>
      <w:r>
        <w:rPr>
          <w:color w:val="010101"/>
          <w:w w:val="118"/>
          <w:sz w:val="19"/>
        </w:rPr>
        <w:t>a</w:t>
      </w:r>
      <w:r>
        <w:rPr>
          <w:color w:val="010101"/>
          <w:spacing w:val="17"/>
          <w:sz w:val="19"/>
        </w:rPr>
        <w:t> </w:t>
      </w:r>
      <w:r>
        <w:rPr>
          <w:color w:val="010101"/>
          <w:w w:val="110"/>
          <w:sz w:val="19"/>
        </w:rPr>
        <w:t>double</w:t>
      </w:r>
      <w:r>
        <w:rPr>
          <w:color w:val="010101"/>
          <w:sz w:val="19"/>
        </w:rPr>
        <w:t> </w:t>
      </w:r>
      <w:r>
        <w:rPr>
          <w:color w:val="010101"/>
          <w:spacing w:val="-19"/>
          <w:sz w:val="19"/>
        </w:rPr>
        <w:t> </w:t>
      </w:r>
      <w:r>
        <w:rPr>
          <w:color w:val="010101"/>
          <w:w w:val="112"/>
          <w:sz w:val="19"/>
        </w:rPr>
        <w:t>integral</w:t>
      </w:r>
      <w:r>
        <w:rPr>
          <w:color w:val="010101"/>
          <w:spacing w:val="15"/>
          <w:sz w:val="19"/>
        </w:rPr>
        <w:t> </w:t>
      </w:r>
      <w:r>
        <w:rPr>
          <w:color w:val="010101"/>
          <w:w w:val="112"/>
          <w:sz w:val="19"/>
        </w:rPr>
        <w:t>for</w:t>
      </w:r>
      <w:r>
        <w:rPr>
          <w:color w:val="010101"/>
          <w:spacing w:val="14"/>
          <w:sz w:val="19"/>
        </w:rPr>
        <w:t> </w:t>
      </w:r>
      <w:r>
        <w:rPr>
          <w:i/>
          <w:color w:val="010101"/>
          <w:w w:val="58"/>
          <w:sz w:val="34"/>
        </w:rPr>
        <w:t>A;.,</w:t>
      </w:r>
      <w:r>
        <w:rPr>
          <w:i/>
          <w:color w:val="010101"/>
          <w:spacing w:val="-2"/>
          <w:sz w:val="34"/>
        </w:rPr>
        <w:t> </w:t>
      </w:r>
      <w:r>
        <w:rPr>
          <w:color w:val="010101"/>
          <w:w w:val="74"/>
          <w:sz w:val="34"/>
        </w:rPr>
        <w:t>:</w:t>
      </w:r>
    </w:p>
    <w:p>
      <w:pPr>
        <w:pStyle w:val="BodyText"/>
        <w:spacing w:before="10"/>
        <w:rPr>
          <w:sz w:val="15"/>
        </w:rPr>
      </w:pPr>
      <w:r>
        <w:rPr/>
        <w:drawing>
          <wp:anchor distT="0" distB="0" distL="0" distR="0" allowOverlap="1" layoutInCell="1" locked="0" behindDoc="0" simplePos="0" relativeHeight="18496">
            <wp:simplePos x="0" y="0"/>
            <wp:positionH relativeFrom="page">
              <wp:posOffset>1353311</wp:posOffset>
            </wp:positionH>
            <wp:positionV relativeFrom="paragraph">
              <wp:posOffset>141050</wp:posOffset>
            </wp:positionV>
            <wp:extent cx="1947671" cy="283463"/>
            <wp:effectExtent l="0" t="0" r="0" b="0"/>
            <wp:wrapTopAndBottom/>
            <wp:docPr id="533" name="image272.png" descr=""/>
            <wp:cNvGraphicFramePr>
              <a:graphicFrameLocks noChangeAspect="1"/>
            </wp:cNvGraphicFramePr>
            <a:graphic>
              <a:graphicData uri="http://schemas.openxmlformats.org/drawingml/2006/picture">
                <pic:pic>
                  <pic:nvPicPr>
                    <pic:cNvPr id="534" name="image272.png"/>
                    <pic:cNvPicPr/>
                  </pic:nvPicPr>
                  <pic:blipFill>
                    <a:blip r:embed="rId276" cstate="print"/>
                    <a:stretch>
                      <a:fillRect/>
                    </a:stretch>
                  </pic:blipFill>
                  <pic:spPr>
                    <a:xfrm>
                      <a:off x="0" y="0"/>
                      <a:ext cx="1947671" cy="283463"/>
                    </a:xfrm>
                    <a:prstGeom prst="rect">
                      <a:avLst/>
                    </a:prstGeom>
                  </pic:spPr>
                </pic:pic>
              </a:graphicData>
            </a:graphic>
          </wp:anchor>
        </w:drawing>
      </w:r>
    </w:p>
    <w:p>
      <w:pPr>
        <w:spacing w:line="261" w:lineRule="auto" w:before="112"/>
        <w:ind w:left="129" w:right="0" w:firstLine="7"/>
        <w:jc w:val="left"/>
        <w:rPr>
          <w:sz w:val="19"/>
        </w:rPr>
      </w:pPr>
      <w:r>
        <w:rPr>
          <w:color w:val="010101"/>
          <w:w w:val="110"/>
          <w:sz w:val="19"/>
        </w:rPr>
        <w:t>By inverting the order of integration, wc obtain the following equivalcnt exprcssion:</w:t>
      </w:r>
    </w:p>
    <w:p>
      <w:pPr>
        <w:spacing w:after="0" w:line="261" w:lineRule="auto"/>
        <w:jc w:val="left"/>
        <w:rPr>
          <w:sz w:val="19"/>
        </w:rPr>
        <w:sectPr>
          <w:type w:val="continuous"/>
          <w:pgSz w:w="7200" w:h="11340"/>
          <w:pgMar w:top="1100" w:bottom="0" w:left="660" w:right="540"/>
        </w:sectPr>
      </w:pPr>
    </w:p>
    <w:p>
      <w:pPr>
        <w:tabs>
          <w:tab w:pos="1990" w:val="left" w:leader="none"/>
          <w:tab w:pos="5257" w:val="left" w:leader="none"/>
        </w:tabs>
        <w:spacing w:before="53"/>
        <w:ind w:left="175" w:right="0" w:firstLine="0"/>
        <w:jc w:val="left"/>
        <w:rPr>
          <w:rFonts w:ascii="Arial"/>
          <w:b/>
          <w:sz w:val="17"/>
        </w:rPr>
      </w:pPr>
      <w:r>
        <w:rPr>
          <w:rFonts w:ascii="Courier New"/>
          <w:color w:val="010101"/>
          <w:spacing w:val="-21"/>
          <w:sz w:val="21"/>
        </w:rPr>
        <w:t>234</w:t>
        <w:tab/>
      </w:r>
      <w:r>
        <w:rPr>
          <w:b/>
          <w:color w:val="010101"/>
          <w:position w:val="1"/>
          <w:sz w:val="15"/>
        </w:rPr>
        <w:t>CONTINGENT  </w:t>
      </w:r>
      <w:r>
        <w:rPr>
          <w:b/>
          <w:color w:val="010101"/>
          <w:spacing w:val="17"/>
          <w:position w:val="1"/>
          <w:sz w:val="15"/>
        </w:rPr>
        <w:t> </w:t>
      </w:r>
      <w:r>
        <w:rPr>
          <w:b/>
          <w:color w:val="010101"/>
          <w:position w:val="1"/>
          <w:sz w:val="15"/>
        </w:rPr>
        <w:t>l'UNCTIONS</w:t>
        <w:tab/>
      </w:r>
      <w:r>
        <w:rPr>
          <w:b/>
          <w:color w:val="010101"/>
          <w:sz w:val="19"/>
        </w:rPr>
        <w:t>[CH.</w:t>
      </w:r>
      <w:r>
        <w:rPr>
          <w:b/>
          <w:color w:val="010101"/>
          <w:spacing w:val="-4"/>
          <w:sz w:val="19"/>
        </w:rPr>
        <w:t> </w:t>
      </w:r>
      <w:r>
        <w:rPr>
          <w:rFonts w:ascii="Arial"/>
          <w:b/>
          <w:color w:val="010101"/>
          <w:sz w:val="17"/>
        </w:rPr>
        <w:t>11</w:t>
      </w:r>
    </w:p>
    <w:p>
      <w:pPr>
        <w:pStyle w:val="BodyText"/>
        <w:rPr>
          <w:rFonts w:ascii="Arial"/>
          <w:b/>
          <w:sz w:val="16"/>
        </w:rPr>
      </w:pPr>
      <w:r>
        <w:rPr/>
        <w:drawing>
          <wp:anchor distT="0" distB="0" distL="0" distR="0" allowOverlap="1" layoutInCell="1" locked="0" behindDoc="0" simplePos="0" relativeHeight="18640">
            <wp:simplePos x="0" y="0"/>
            <wp:positionH relativeFrom="page">
              <wp:posOffset>1353311</wp:posOffset>
            </wp:positionH>
            <wp:positionV relativeFrom="paragraph">
              <wp:posOffset>141760</wp:posOffset>
            </wp:positionV>
            <wp:extent cx="1965960" cy="292608"/>
            <wp:effectExtent l="0" t="0" r="0" b="0"/>
            <wp:wrapTopAndBottom/>
            <wp:docPr id="535" name="image273.png" descr=""/>
            <wp:cNvGraphicFramePr>
              <a:graphicFrameLocks noChangeAspect="1"/>
            </wp:cNvGraphicFramePr>
            <a:graphic>
              <a:graphicData uri="http://schemas.openxmlformats.org/drawingml/2006/picture">
                <pic:pic>
                  <pic:nvPicPr>
                    <pic:cNvPr id="536" name="image273.png"/>
                    <pic:cNvPicPr/>
                  </pic:nvPicPr>
                  <pic:blipFill>
                    <a:blip r:embed="rId277" cstate="print"/>
                    <a:stretch>
                      <a:fillRect/>
                    </a:stretch>
                  </pic:blipFill>
                  <pic:spPr>
                    <a:xfrm>
                      <a:off x="0" y="0"/>
                      <a:ext cx="1965960" cy="292608"/>
                    </a:xfrm>
                    <a:prstGeom prst="rect">
                      <a:avLst/>
                    </a:prstGeom>
                  </pic:spPr>
                </pic:pic>
              </a:graphicData>
            </a:graphic>
          </wp:anchor>
        </w:drawing>
      </w:r>
    </w:p>
    <w:p>
      <w:pPr>
        <w:spacing w:before="81"/>
        <w:ind w:left="175" w:right="0" w:firstLine="0"/>
        <w:jc w:val="left"/>
        <w:rPr>
          <w:sz w:val="21"/>
        </w:rPr>
      </w:pPr>
      <w:r>
        <w:rPr>
          <w:color w:val="010101"/>
          <w:sz w:val="21"/>
        </w:rPr>
        <w:t>Performing the integration with respect to </w:t>
      </w:r>
      <w:r>
        <w:rPr>
          <w:i/>
          <w:color w:val="010101"/>
          <w:sz w:val="22"/>
        </w:rPr>
        <w:t>t, </w:t>
      </w:r>
      <w:r>
        <w:rPr>
          <w:color w:val="010101"/>
          <w:sz w:val="21"/>
        </w:rPr>
        <w:t>we    have</w:t>
      </w:r>
    </w:p>
    <w:p>
      <w:pPr>
        <w:pStyle w:val="BodyText"/>
        <w:spacing w:before="6"/>
        <w:rPr>
          <w:sz w:val="18"/>
        </w:rPr>
      </w:pPr>
    </w:p>
    <w:p>
      <w:pPr>
        <w:spacing w:line="32" w:lineRule="exact" w:before="0"/>
        <w:ind w:left="1861" w:right="0" w:firstLine="0"/>
        <w:jc w:val="left"/>
        <w:rPr>
          <w:rFonts w:ascii="Arial"/>
          <w:sz w:val="12"/>
        </w:rPr>
      </w:pPr>
      <w:r>
        <w:rPr/>
        <w:pict>
          <v:shape style="position:absolute;margin-left:152.982101pt;margin-top:-16.500584pt;width:61.6pt;height:27.5pt;mso-position-horizontal-relative:page;mso-position-vertical-relative:paragraph;z-index:-717352" type="#_x0000_t202" filled="false" stroked="false">
            <v:textbox inset="0,0,0,0">
              <w:txbxContent>
                <w:p>
                  <w:pPr>
                    <w:tabs>
                      <w:tab w:pos="1141" w:val="left" w:leader="none"/>
                    </w:tabs>
                    <w:spacing w:line="550" w:lineRule="exact" w:before="0"/>
                    <w:ind w:left="0" w:right="0" w:firstLine="0"/>
                    <w:jc w:val="left"/>
                    <w:rPr>
                      <w:sz w:val="55"/>
                    </w:rPr>
                  </w:pPr>
                  <w:r>
                    <w:rPr>
                      <w:i/>
                      <w:color w:val="010101"/>
                      <w:spacing w:val="-14"/>
                      <w:w w:val="60"/>
                      <w:sz w:val="55"/>
                    </w:rPr>
                    <w:t>1.,</w:t>
                    <w:tab/>
                  </w:r>
                  <w:r>
                    <w:rPr>
                      <w:color w:val="010101"/>
                      <w:w w:val="45"/>
                      <w:sz w:val="55"/>
                    </w:rPr>
                    <w:t>-</w:t>
                  </w:r>
                </w:p>
              </w:txbxContent>
            </v:textbox>
            <w10:wrap type="none"/>
          </v:shape>
        </w:pict>
      </w:r>
      <w:r>
        <w:rPr>
          <w:rFonts w:ascii="Arial"/>
          <w:color w:val="010101"/>
          <w:w w:val="180"/>
          <w:sz w:val="12"/>
        </w:rPr>
        <w:t>-1</w:t>
      </w:r>
    </w:p>
    <w:p>
      <w:pPr>
        <w:spacing w:after="0" w:line="32" w:lineRule="exact"/>
        <w:jc w:val="left"/>
        <w:rPr>
          <w:rFonts w:ascii="Arial"/>
          <w:sz w:val="12"/>
        </w:rPr>
        <w:sectPr>
          <w:pgSz w:w="7200" w:h="11340"/>
          <w:pgMar w:top="520" w:bottom="280" w:left="640" w:right="560"/>
        </w:sectPr>
      </w:pPr>
    </w:p>
    <w:p>
      <w:pPr>
        <w:spacing w:before="2"/>
        <w:ind w:left="0" w:right="0" w:firstLine="0"/>
        <w:jc w:val="right"/>
        <w:rPr>
          <w:sz w:val="23"/>
        </w:rPr>
      </w:pPr>
      <w:r>
        <w:rPr>
          <w:i/>
          <w:color w:val="010101"/>
          <w:w w:val="110"/>
          <w:sz w:val="21"/>
        </w:rPr>
        <w:t>Az, </w:t>
      </w:r>
      <w:r>
        <w:rPr>
          <w:color w:val="010101"/>
          <w:w w:val="110"/>
          <w:sz w:val="23"/>
        </w:rPr>
        <w:t>=</w:t>
      </w:r>
    </w:p>
    <w:p>
      <w:pPr>
        <w:spacing w:line="252" w:lineRule="exact" w:before="0"/>
        <w:ind w:left="365" w:right="0" w:firstLine="0"/>
        <w:jc w:val="left"/>
        <w:rPr>
          <w:i/>
          <w:sz w:val="20"/>
        </w:rPr>
      </w:pPr>
      <w:r>
        <w:rPr/>
        <w:br w:type="column"/>
      </w:r>
      <w:r>
        <w:rPr>
          <w:color w:val="010101"/>
          <w:w w:val="85"/>
          <w:sz w:val="20"/>
        </w:rPr>
        <w:t>•P,JJ11+•</w:t>
      </w:r>
      <w:r>
        <w:rPr>
          <w:color w:val="010101"/>
          <w:w w:val="85"/>
          <w:sz w:val="27"/>
        </w:rPr>
        <w:t>\,t-4 </w:t>
      </w:r>
      <w:r>
        <w:rPr>
          <w:i/>
          <w:color w:val="010101"/>
          <w:w w:val="85"/>
          <w:sz w:val="20"/>
        </w:rPr>
        <w:t>ds</w:t>
      </w:r>
    </w:p>
    <w:p>
      <w:pPr>
        <w:spacing w:line="103" w:lineRule="exact" w:before="0"/>
        <w:ind w:left="150" w:right="0" w:firstLine="0"/>
        <w:jc w:val="left"/>
        <w:rPr>
          <w:rFonts w:ascii="Arial"/>
          <w:sz w:val="11"/>
        </w:rPr>
      </w:pPr>
      <w:r>
        <w:rPr>
          <w:rFonts w:ascii="Arial"/>
          <w:color w:val="010101"/>
          <w:w w:val="102"/>
          <w:sz w:val="11"/>
        </w:rPr>
        <w:t>0</w:t>
      </w:r>
    </w:p>
    <w:p>
      <w:pPr>
        <w:spacing w:after="0" w:line="103" w:lineRule="exact"/>
        <w:jc w:val="left"/>
        <w:rPr>
          <w:rFonts w:ascii="Arial"/>
          <w:sz w:val="11"/>
        </w:rPr>
        <w:sectPr>
          <w:type w:val="continuous"/>
          <w:pgSz w:w="7200" w:h="11340"/>
          <w:pgMar w:top="1100" w:bottom="0" w:left="640" w:right="560"/>
          <w:cols w:num="2" w:equalWidth="0">
            <w:col w:w="2315" w:space="40"/>
            <w:col w:w="3645"/>
          </w:cols>
        </w:sectPr>
      </w:pPr>
    </w:p>
    <w:p>
      <w:pPr>
        <w:pStyle w:val="BodyText"/>
        <w:spacing w:before="8"/>
        <w:rPr>
          <w:rFonts w:ascii="Arial"/>
          <w:sz w:val="9"/>
        </w:rPr>
      </w:pPr>
    </w:p>
    <w:p>
      <w:pPr>
        <w:spacing w:before="0"/>
        <w:ind w:left="0" w:right="727" w:firstLine="0"/>
        <w:jc w:val="center"/>
        <w:rPr>
          <w:sz w:val="9"/>
        </w:rPr>
      </w:pPr>
      <w:r>
        <w:rPr/>
        <w:pict>
          <v:shape style="position:absolute;margin-left:140.6362pt;margin-top:-4.929735pt;width:21.2pt;height:27pt;mso-position-horizontal-relative:page;mso-position-vertical-relative:paragraph;z-index:-717328" type="#_x0000_t202" filled="false" stroked="false">
            <v:textbox inset="0,0,0,0">
              <w:txbxContent>
                <w:p>
                  <w:pPr>
                    <w:spacing w:line="540" w:lineRule="exact" w:before="0"/>
                    <w:ind w:left="0" w:right="-9" w:firstLine="0"/>
                    <w:jc w:val="left"/>
                    <w:rPr>
                      <w:rFonts w:ascii="Arial"/>
                      <w:b/>
                      <w:sz w:val="54"/>
                    </w:rPr>
                  </w:pPr>
                  <w:r>
                    <w:rPr>
                      <w:color w:val="010101"/>
                      <w:sz w:val="26"/>
                    </w:rPr>
                    <w:t>= </w:t>
                  </w:r>
                  <w:r>
                    <w:rPr>
                      <w:rFonts w:ascii="Arial"/>
                      <w:b/>
                      <w:color w:val="010101"/>
                      <w:sz w:val="54"/>
                    </w:rPr>
                    <w:t>f</w:t>
                  </w:r>
                </w:p>
              </w:txbxContent>
            </v:textbox>
            <w10:wrap type="none"/>
          </v:shape>
        </w:pict>
      </w:r>
      <w:r>
        <w:rPr>
          <w:color w:val="010101"/>
          <w:w w:val="101"/>
          <w:sz w:val="9"/>
        </w:rPr>
        <w:t>O</w:t>
      </w:r>
    </w:p>
    <w:p>
      <w:pPr>
        <w:tabs>
          <w:tab w:pos="2540" w:val="left" w:leader="none"/>
        </w:tabs>
        <w:spacing w:before="18"/>
        <w:ind w:left="0" w:right="135" w:firstLine="0"/>
        <w:jc w:val="right"/>
        <w:rPr>
          <w:b/>
          <w:sz w:val="20"/>
        </w:rPr>
      </w:pPr>
      <w:r>
        <w:rPr>
          <w:b/>
          <w:i/>
          <w:color w:val="010101"/>
          <w:spacing w:val="-1"/>
          <w:w w:val="92"/>
          <w:sz w:val="20"/>
        </w:rPr>
        <w:t>v</w:t>
      </w:r>
      <w:r>
        <w:rPr>
          <w:b/>
          <w:i/>
          <w:color w:val="010101"/>
          <w:spacing w:val="-27"/>
          <w:w w:val="144"/>
          <w:sz w:val="20"/>
        </w:rPr>
        <w:t>'</w:t>
      </w:r>
      <w:r>
        <w:rPr>
          <w:b/>
          <w:i/>
          <w:color w:val="010101"/>
          <w:w w:val="69"/>
          <w:sz w:val="17"/>
        </w:rPr>
        <w:t>•PawlJ1,-:if,</w:t>
      </w:r>
      <w:r>
        <w:rPr>
          <w:b/>
          <w:i/>
          <w:color w:val="010101"/>
          <w:spacing w:val="13"/>
          <w:sz w:val="17"/>
        </w:rPr>
        <w:t> </w:t>
      </w:r>
      <w:r>
        <w:rPr>
          <w:b/>
          <w:i/>
          <w:color w:val="010101"/>
          <w:w w:val="96"/>
          <w:sz w:val="21"/>
        </w:rPr>
        <w:t>Á</w:t>
      </w:r>
      <w:r>
        <w:rPr>
          <w:b/>
          <w:i/>
          <w:color w:val="010101"/>
          <w:spacing w:val="-17"/>
          <w:sz w:val="21"/>
        </w:rPr>
        <w:t> </w:t>
      </w:r>
      <w:r>
        <w:rPr>
          <w:b/>
          <w:i/>
          <w:color w:val="010101"/>
          <w:w w:val="87"/>
          <w:sz w:val="21"/>
        </w:rPr>
        <w:t>z+r</w:t>
      </w:r>
      <w:r>
        <w:rPr>
          <w:b/>
          <w:i/>
          <w:color w:val="010101"/>
          <w:spacing w:val="-1"/>
          <w:sz w:val="21"/>
        </w:rPr>
        <w:t> </w:t>
      </w:r>
      <w:r>
        <w:rPr>
          <w:rFonts w:ascii="Arial" w:hAnsi="Arial"/>
          <w:b/>
          <w:i/>
          <w:color w:val="010101"/>
          <w:w w:val="73"/>
          <w:sz w:val="21"/>
        </w:rPr>
        <w:t>ds.</w:t>
      </w:r>
      <w:r>
        <w:rPr>
          <w:rFonts w:ascii="Arial" w:hAnsi="Arial"/>
          <w:b/>
          <w:i/>
          <w:color w:val="010101"/>
          <w:sz w:val="21"/>
        </w:rPr>
        <w:tab/>
      </w:r>
      <w:r>
        <w:rPr>
          <w:b/>
          <w:color w:val="010101"/>
          <w:w w:val="92"/>
          <w:position w:val="3"/>
          <w:sz w:val="20"/>
        </w:rPr>
        <w:t>(</w:t>
      </w:r>
      <w:r>
        <w:rPr>
          <w:b/>
          <w:color w:val="010101"/>
          <w:spacing w:val="-16"/>
          <w:position w:val="3"/>
          <w:sz w:val="20"/>
        </w:rPr>
        <w:t> </w:t>
      </w:r>
      <w:r>
        <w:rPr>
          <w:b/>
          <w:color w:val="010101"/>
          <w:w w:val="98"/>
          <w:position w:val="3"/>
          <w:sz w:val="20"/>
        </w:rPr>
        <w:t>11.32)</w:t>
      </w:r>
    </w:p>
    <w:p>
      <w:pPr>
        <w:pStyle w:val="BodyText"/>
        <w:spacing w:before="10"/>
        <w:rPr>
          <w:b/>
          <w:sz w:val="17"/>
        </w:rPr>
      </w:pPr>
    </w:p>
    <w:p>
      <w:pPr>
        <w:spacing w:line="237" w:lineRule="auto" w:before="0"/>
        <w:ind w:left="154" w:right="135" w:firstLine="10"/>
        <w:jc w:val="both"/>
        <w:rPr>
          <w:sz w:val="21"/>
        </w:rPr>
      </w:pPr>
      <w:r>
        <w:rPr>
          <w:color w:val="010101"/>
          <w:sz w:val="21"/>
        </w:rPr>
        <w:t>In this form, the function  appears  as </w:t>
      </w:r>
      <w:r>
        <w:rPr>
          <w:rFonts w:ascii="Arial" w:hAnsi="Arial"/>
          <w:b/>
          <w:color w:val="010101"/>
          <w:sz w:val="18"/>
        </w:rPr>
        <w:t>a varying  </w:t>
      </w:r>
      <w:r>
        <w:rPr>
          <w:color w:val="010101"/>
          <w:sz w:val="21"/>
        </w:rPr>
        <w:t>insurance  on the  lif e of </w:t>
      </w:r>
      <w:r>
        <w:rPr>
          <w:rFonts w:ascii="Arial" w:hAnsi="Arial"/>
          <w:i/>
          <w:color w:val="010101"/>
          <w:sz w:val="19"/>
        </w:rPr>
        <w:t>(y ), </w:t>
      </w:r>
      <w:r>
        <w:rPr>
          <w:color w:val="010101"/>
          <w:sz w:val="21"/>
        </w:rPr>
        <w:t>contingent on the survival of </w:t>
      </w:r>
      <w:r>
        <w:rPr>
          <w:rFonts w:ascii="Arial" w:hAnsi="Arial"/>
          <w:i/>
          <w:color w:val="010101"/>
          <w:spacing w:val="4"/>
          <w:sz w:val="18"/>
        </w:rPr>
        <w:t>(x). </w:t>
      </w:r>
      <w:r>
        <w:rPr>
          <w:color w:val="010101"/>
          <w:sz w:val="21"/>
        </w:rPr>
        <w:t>The amount of the varying insurance at any time is the net single premium for in­ surance of  1 on  </w:t>
      </w:r>
      <w:r>
        <w:rPr>
          <w:rFonts w:ascii="Arial" w:hAnsi="Arial"/>
          <w:i/>
          <w:color w:val="010101"/>
          <w:sz w:val="19"/>
        </w:rPr>
        <w:t>(x )  </w:t>
      </w:r>
      <w:r>
        <w:rPr>
          <w:color w:val="010101"/>
          <w:sz w:val="21"/>
        </w:rPr>
        <w:t>at bis then  attained</w:t>
      </w:r>
      <w:r>
        <w:rPr>
          <w:color w:val="010101"/>
          <w:spacing w:val="-23"/>
          <w:sz w:val="21"/>
        </w:rPr>
        <w:t> </w:t>
      </w:r>
      <w:r>
        <w:rPr>
          <w:color w:val="010101"/>
          <w:sz w:val="21"/>
        </w:rPr>
        <w:t>age.</w:t>
      </w:r>
    </w:p>
    <w:p>
      <w:pPr>
        <w:spacing w:line="236" w:lineRule="exact" w:before="10"/>
        <w:ind w:left="150" w:right="136" w:firstLine="203"/>
        <w:jc w:val="right"/>
        <w:rPr>
          <w:sz w:val="21"/>
        </w:rPr>
      </w:pPr>
      <w:r>
        <w:rPr>
          <w:rFonts w:ascii="Arial"/>
          <w:color w:val="010101"/>
          <w:w w:val="140"/>
          <w:sz w:val="20"/>
        </w:rPr>
        <w:t>It </w:t>
      </w:r>
      <w:r>
        <w:rPr>
          <w:color w:val="010101"/>
          <w:sz w:val="21"/>
        </w:rPr>
        <w:t>is not necessary in general to derive separate formulas for</w:t>
      </w:r>
      <w:r>
        <w:rPr>
          <w:color w:val="010101"/>
          <w:w w:val="95"/>
          <w:sz w:val="21"/>
        </w:rPr>
        <w:t> </w:t>
      </w:r>
      <w:r>
        <w:rPr>
          <w:color w:val="010101"/>
          <w:sz w:val="21"/>
        </w:rPr>
        <w:t>contingent  functions  of  both  the </w:t>
      </w:r>
      <w:r>
        <w:rPr>
          <w:rFonts w:ascii="Arial"/>
          <w:i/>
          <w:color w:val="010101"/>
          <w:sz w:val="20"/>
        </w:rPr>
        <w:t>A  </w:t>
      </w:r>
      <w:r>
        <w:rPr>
          <w:color w:val="010101"/>
          <w:sz w:val="21"/>
        </w:rPr>
        <w:t>and </w:t>
      </w:r>
      <w:r>
        <w:rPr>
          <w:i/>
          <w:color w:val="010101"/>
          <w:sz w:val="25"/>
        </w:rPr>
        <w:t>A </w:t>
      </w:r>
      <w:r>
        <w:rPr>
          <w:color w:val="010101"/>
          <w:sz w:val="21"/>
        </w:rPr>
        <w:t>type  as we have  done</w:t>
      </w:r>
    </w:p>
    <w:p>
      <w:pPr>
        <w:spacing w:line="254" w:lineRule="exact" w:before="0"/>
        <w:ind w:left="154" w:right="0" w:hanging="4"/>
        <w:jc w:val="both"/>
        <w:rPr>
          <w:sz w:val="21"/>
        </w:rPr>
      </w:pPr>
      <w:r>
        <w:rPr>
          <w:color w:val="010101"/>
          <w:w w:val="99"/>
          <w:sz w:val="21"/>
        </w:rPr>
        <w:t>above</w:t>
      </w:r>
      <w:r>
        <w:rPr>
          <w:color w:val="010101"/>
          <w:spacing w:val="8"/>
          <w:sz w:val="21"/>
        </w:rPr>
        <w:t> </w:t>
      </w:r>
      <w:r>
        <w:rPr>
          <w:color w:val="010101"/>
          <w:w w:val="95"/>
          <w:sz w:val="21"/>
        </w:rPr>
        <w:t>for</w:t>
      </w:r>
      <w:r>
        <w:rPr>
          <w:color w:val="010101"/>
          <w:spacing w:val="2"/>
          <w:sz w:val="21"/>
        </w:rPr>
        <w:t> </w:t>
      </w:r>
      <w:r>
        <w:rPr>
          <w:i/>
          <w:color w:val="010101"/>
          <w:w w:val="66"/>
          <w:sz w:val="35"/>
        </w:rPr>
        <w:t>A</w:t>
      </w:r>
      <w:r>
        <w:rPr>
          <w:i/>
          <w:color w:val="010101"/>
          <w:spacing w:val="-7"/>
          <w:w w:val="66"/>
          <w:sz w:val="35"/>
        </w:rPr>
        <w:t>;</w:t>
      </w:r>
      <w:r>
        <w:rPr>
          <w:i/>
          <w:color w:val="010101"/>
          <w:w w:val="65"/>
          <w:position w:val="-3"/>
          <w:sz w:val="10"/>
        </w:rPr>
        <w:t>11</w:t>
      </w:r>
      <w:r>
        <w:rPr>
          <w:i/>
          <w:color w:val="010101"/>
          <w:position w:val="-3"/>
          <w:sz w:val="10"/>
        </w:rPr>
        <w:t> </w:t>
      </w:r>
      <w:r>
        <w:rPr>
          <w:i/>
          <w:color w:val="010101"/>
          <w:spacing w:val="10"/>
          <w:position w:val="-3"/>
          <w:sz w:val="10"/>
        </w:rPr>
        <w:t> </w:t>
      </w:r>
      <w:r>
        <w:rPr>
          <w:color w:val="010101"/>
          <w:w w:val="102"/>
          <w:sz w:val="21"/>
        </w:rPr>
        <w:t>and</w:t>
      </w:r>
      <w:r>
        <w:rPr>
          <w:color w:val="010101"/>
          <w:spacing w:val="7"/>
          <w:sz w:val="21"/>
        </w:rPr>
        <w:t> </w:t>
      </w:r>
      <w:r>
        <w:rPr>
          <w:rFonts w:ascii="Arial"/>
          <w:i/>
          <w:color w:val="010101"/>
          <w:w w:val="164"/>
          <w:sz w:val="24"/>
        </w:rPr>
        <w:t>A</w:t>
      </w:r>
      <w:r>
        <w:rPr>
          <w:rFonts w:ascii="Arial"/>
          <w:i/>
          <w:color w:val="010101"/>
          <w:spacing w:val="13"/>
          <w:sz w:val="24"/>
        </w:rPr>
        <w:t> </w:t>
      </w:r>
      <w:r>
        <w:rPr>
          <w:color w:val="010101"/>
          <w:w w:val="93"/>
          <w:sz w:val="21"/>
        </w:rPr>
        <w:t>in</w:t>
      </w:r>
      <w:r>
        <w:rPr>
          <w:color w:val="010101"/>
          <w:sz w:val="21"/>
        </w:rPr>
        <w:t> </w:t>
      </w:r>
      <w:r>
        <w:rPr>
          <w:color w:val="010101"/>
          <w:spacing w:val="-5"/>
          <w:sz w:val="21"/>
        </w:rPr>
        <w:t> </w:t>
      </w:r>
      <w:r>
        <w:rPr>
          <w:color w:val="010101"/>
          <w:w w:val="94"/>
          <w:sz w:val="21"/>
        </w:rPr>
        <w:t>(</w:t>
      </w:r>
      <w:r>
        <w:rPr>
          <w:color w:val="010101"/>
          <w:spacing w:val="5"/>
          <w:w w:val="94"/>
          <w:sz w:val="21"/>
        </w:rPr>
        <w:t>1</w:t>
      </w:r>
      <w:r>
        <w:rPr>
          <w:color w:val="010101"/>
          <w:w w:val="99"/>
          <w:sz w:val="21"/>
        </w:rPr>
        <w:t>1.30)</w:t>
      </w:r>
      <w:r>
        <w:rPr>
          <w:color w:val="010101"/>
          <w:spacing w:val="4"/>
          <w:sz w:val="21"/>
        </w:rPr>
        <w:t> </w:t>
      </w:r>
      <w:r>
        <w:rPr>
          <w:color w:val="010101"/>
          <w:w w:val="102"/>
          <w:sz w:val="21"/>
        </w:rPr>
        <w:t>and</w:t>
      </w:r>
      <w:r>
        <w:rPr>
          <w:color w:val="010101"/>
          <w:sz w:val="21"/>
        </w:rPr>
        <w:t> </w:t>
      </w:r>
      <w:r>
        <w:rPr>
          <w:color w:val="010101"/>
          <w:spacing w:val="-6"/>
          <w:sz w:val="21"/>
        </w:rPr>
        <w:t> </w:t>
      </w:r>
      <w:r>
        <w:rPr>
          <w:color w:val="010101"/>
          <w:w w:val="97"/>
          <w:sz w:val="21"/>
        </w:rPr>
        <w:t>(11.31).</w:t>
      </w:r>
      <w:r>
        <w:rPr>
          <w:color w:val="010101"/>
          <w:spacing w:val="11"/>
          <w:sz w:val="21"/>
        </w:rPr>
        <w:t> </w:t>
      </w:r>
      <w:r>
        <w:rPr>
          <w:color w:val="010101"/>
          <w:w w:val="103"/>
          <w:sz w:val="21"/>
        </w:rPr>
        <w:t>The</w:t>
      </w:r>
      <w:r>
        <w:rPr>
          <w:color w:val="010101"/>
          <w:spacing w:val="5"/>
          <w:sz w:val="21"/>
        </w:rPr>
        <w:t> </w:t>
      </w:r>
      <w:r>
        <w:rPr>
          <w:color w:val="010101"/>
          <w:w w:val="99"/>
          <w:sz w:val="21"/>
        </w:rPr>
        <w:t>relations</w:t>
      </w:r>
      <w:r>
        <w:rPr>
          <w:color w:val="010101"/>
          <w:spacing w:val="16"/>
          <w:sz w:val="21"/>
        </w:rPr>
        <w:t> </w:t>
      </w:r>
      <w:r>
        <w:rPr>
          <w:color w:val="010101"/>
          <w:w w:val="98"/>
          <w:sz w:val="21"/>
        </w:rPr>
        <w:t>among</w:t>
      </w:r>
    </w:p>
    <w:p>
      <w:pPr>
        <w:spacing w:line="225" w:lineRule="exact" w:before="0"/>
        <w:ind w:left="154" w:right="0" w:firstLine="0"/>
        <w:jc w:val="both"/>
        <w:rPr>
          <w:sz w:val="21"/>
        </w:rPr>
      </w:pPr>
      <w:r>
        <w:rPr>
          <w:color w:val="010101"/>
          <w:sz w:val="21"/>
        </w:rPr>
        <w:t>the  net  single  premiums  are  the  same  whether  the  insurance is</w:t>
      </w:r>
    </w:p>
    <w:p>
      <w:pPr>
        <w:spacing w:line="237" w:lineRule="auto" w:before="1"/>
        <w:ind w:left="140" w:right="145" w:firstLine="14"/>
        <w:jc w:val="right"/>
        <w:rPr>
          <w:sz w:val="21"/>
        </w:rPr>
      </w:pPr>
      <w:r>
        <w:rPr>
          <w:color w:val="010101"/>
          <w:sz w:val="21"/>
        </w:rPr>
        <w:t>payable at the end of the year of death or at the moment  of death.</w:t>
      </w:r>
      <w:r>
        <w:rPr>
          <w:color w:val="010101"/>
          <w:w w:val="103"/>
          <w:sz w:val="21"/>
        </w:rPr>
        <w:t> </w:t>
      </w:r>
      <w:r>
        <w:rPr>
          <w:rFonts w:ascii="Arial" w:hAnsi="Arial"/>
          <w:color w:val="010101"/>
          <w:w w:val="140"/>
          <w:sz w:val="20"/>
        </w:rPr>
        <w:t>It </w:t>
      </w:r>
      <w:r>
        <w:rPr>
          <w:color w:val="010101"/>
          <w:sz w:val="21"/>
        </w:rPr>
        <w:t>will be found that the net single premium for any contingent</w:t>
      </w:r>
      <w:r>
        <w:rPr>
          <w:color w:val="010101"/>
          <w:w w:val="99"/>
          <w:sz w:val="21"/>
        </w:rPr>
        <w:t> </w:t>
      </w:r>
      <w:r>
        <w:rPr>
          <w:color w:val="010101"/>
          <w:sz w:val="21"/>
        </w:rPr>
        <w:t>insurance, when written as a definite integral, can readily </w:t>
      </w:r>
      <w:r>
        <w:rPr>
          <w:color w:val="010101"/>
          <w:sz w:val="19"/>
        </w:rPr>
        <w:t>be </w:t>
      </w:r>
      <w:r>
        <w:rPr>
          <w:color w:val="010101"/>
          <w:sz w:val="21"/>
        </w:rPr>
        <w:t>trans­</w:t>
      </w:r>
      <w:r>
        <w:rPr>
          <w:color w:val="010101"/>
          <w:w w:val="103"/>
          <w:sz w:val="21"/>
        </w:rPr>
        <w:t> </w:t>
      </w:r>
      <w:r>
        <w:rPr>
          <w:color w:val="010101"/>
          <w:sz w:val="21"/>
        </w:rPr>
        <w:t>formed to an expression which is solely in terms of single- and</w:t>
      </w:r>
      <w:r>
        <w:rPr>
          <w:color w:val="010101"/>
          <w:w w:val="102"/>
          <w:sz w:val="21"/>
        </w:rPr>
        <w:t> </w:t>
      </w:r>
      <w:r>
        <w:rPr>
          <w:color w:val="010101"/>
          <w:sz w:val="21"/>
        </w:rPr>
        <w:t>joint-life   functions  and  contingent  functions   dependent  on  the</w:t>
      </w:r>
    </w:p>
    <w:p>
      <w:pPr>
        <w:spacing w:line="241" w:lineRule="exact" w:before="0"/>
        <w:ind w:left="118" w:right="0" w:firstLine="0"/>
        <w:jc w:val="both"/>
        <w:rPr>
          <w:sz w:val="21"/>
        </w:rPr>
      </w:pPr>
      <w:r>
        <w:rPr/>
        <w:drawing>
          <wp:anchor distT="0" distB="0" distL="0" distR="0" allowOverlap="1" layoutInCell="1" locked="0" behindDoc="0" simplePos="0" relativeHeight="18688">
            <wp:simplePos x="0" y="0"/>
            <wp:positionH relativeFrom="page">
              <wp:posOffset>1572767</wp:posOffset>
            </wp:positionH>
            <wp:positionV relativeFrom="paragraph">
              <wp:posOffset>246673</wp:posOffset>
            </wp:positionV>
            <wp:extent cx="1481328" cy="292607"/>
            <wp:effectExtent l="0" t="0" r="0" b="0"/>
            <wp:wrapNone/>
            <wp:docPr id="537" name="image274.png" descr=""/>
            <wp:cNvGraphicFramePr>
              <a:graphicFrameLocks noChangeAspect="1"/>
            </wp:cNvGraphicFramePr>
            <a:graphic>
              <a:graphicData uri="http://schemas.openxmlformats.org/drawingml/2006/picture">
                <pic:pic>
                  <pic:nvPicPr>
                    <pic:cNvPr id="538" name="image274.png"/>
                    <pic:cNvPicPr/>
                  </pic:nvPicPr>
                  <pic:blipFill>
                    <a:blip r:embed="rId278" cstate="print"/>
                    <a:stretch>
                      <a:fillRect/>
                    </a:stretch>
                  </pic:blipFill>
                  <pic:spPr>
                    <a:xfrm>
                      <a:off x="0" y="0"/>
                      <a:ext cx="1481328" cy="292607"/>
                    </a:xfrm>
                    <a:prstGeom prst="rect">
                      <a:avLst/>
                    </a:prstGeom>
                  </pic:spPr>
                </pic:pic>
              </a:graphicData>
            </a:graphic>
          </wp:anchor>
        </w:drawing>
      </w:r>
      <w:r>
        <w:rPr>
          <w:i/>
          <w:color w:val="010101"/>
          <w:sz w:val="20"/>
        </w:rPr>
        <w:t>first  </w:t>
      </w:r>
      <w:r>
        <w:rPr>
          <w:color w:val="010101"/>
          <w:sz w:val="21"/>
        </w:rPr>
        <w:t>death. This is illustrated  in the examples that  follow:</w:t>
      </w:r>
    </w:p>
    <w:p>
      <w:pPr>
        <w:pStyle w:val="BodyText"/>
      </w:pPr>
    </w:p>
    <w:p>
      <w:pPr>
        <w:spacing w:after="0"/>
        <w:sectPr>
          <w:type w:val="continuous"/>
          <w:pgSz w:w="7200" w:h="11340"/>
          <w:pgMar w:top="1100" w:bottom="0" w:left="640" w:right="560"/>
        </w:sectPr>
      </w:pPr>
    </w:p>
    <w:p>
      <w:pPr>
        <w:pStyle w:val="BodyText"/>
        <w:rPr>
          <w:sz w:val="12"/>
        </w:rPr>
      </w:pPr>
    </w:p>
    <w:p>
      <w:pPr>
        <w:pStyle w:val="BodyText"/>
        <w:rPr>
          <w:sz w:val="12"/>
        </w:rPr>
      </w:pPr>
    </w:p>
    <w:p>
      <w:pPr>
        <w:pStyle w:val="BodyText"/>
        <w:spacing w:before="11"/>
        <w:rPr>
          <w:sz w:val="15"/>
        </w:rPr>
      </w:pPr>
    </w:p>
    <w:p>
      <w:pPr>
        <w:tabs>
          <w:tab w:pos="3171" w:val="left" w:leader="none"/>
          <w:tab w:pos="3872" w:val="left" w:leader="none"/>
        </w:tabs>
        <w:spacing w:line="117" w:lineRule="exact" w:before="0"/>
        <w:ind w:left="2552" w:right="0" w:firstLine="0"/>
        <w:jc w:val="left"/>
        <w:rPr>
          <w:rFonts w:ascii="Arial"/>
          <w:b/>
          <w:sz w:val="12"/>
        </w:rPr>
      </w:pPr>
      <w:r>
        <w:rPr/>
        <w:pict>
          <v:shape style="position:absolute;margin-left:144.751495pt;margin-top:-.288743pt;width:39.4pt;height:15.5pt;mso-position-horizontal-relative:page;mso-position-vertical-relative:paragraph;z-index:-717280" type="#_x0000_t202" filled="false" stroked="false">
            <v:textbox inset="0,0,0,0">
              <w:txbxContent>
                <w:p>
                  <w:pPr>
                    <w:tabs>
                      <w:tab w:pos="601" w:val="left" w:leader="none"/>
                    </w:tabs>
                    <w:spacing w:line="310" w:lineRule="exact" w:before="0"/>
                    <w:ind w:left="0" w:right="0" w:firstLine="0"/>
                    <w:jc w:val="left"/>
                    <w:rPr>
                      <w:rFonts w:ascii="Arial"/>
                      <w:sz w:val="31"/>
                    </w:rPr>
                  </w:pPr>
                  <w:r>
                    <w:rPr>
                      <w:color w:val="010101"/>
                      <w:sz w:val="23"/>
                    </w:rPr>
                    <w:t>=</w:t>
                    <w:tab/>
                  </w:r>
                  <w:r>
                    <w:rPr>
                      <w:rFonts w:ascii="Arial"/>
                      <w:color w:val="010101"/>
                      <w:sz w:val="31"/>
                    </w:rPr>
                    <w:t>+</w:t>
                  </w:r>
                </w:p>
              </w:txbxContent>
            </v:textbox>
            <w10:wrap type="none"/>
          </v:shape>
        </w:pict>
      </w:r>
      <w:r>
        <w:rPr>
          <w:rFonts w:ascii="Arial"/>
          <w:b/>
          <w:color w:val="010101"/>
          <w:w w:val="180"/>
          <w:sz w:val="12"/>
        </w:rPr>
        <w:t>-1</w:t>
        <w:tab/>
        <w:t>-1</w:t>
        <w:tab/>
        <w:t>-1</w:t>
      </w:r>
    </w:p>
    <w:p>
      <w:pPr>
        <w:tabs>
          <w:tab w:pos="3099" w:val="left" w:leader="none"/>
        </w:tabs>
        <w:spacing w:line="122" w:lineRule="exact" w:before="0"/>
        <w:ind w:left="2487" w:right="0" w:firstLine="0"/>
        <w:jc w:val="left"/>
        <w:rPr>
          <w:b/>
          <w:sz w:val="16"/>
        </w:rPr>
      </w:pPr>
      <w:r>
        <w:rPr>
          <w:b/>
          <w:i/>
          <w:color w:val="010101"/>
          <w:sz w:val="16"/>
        </w:rPr>
        <w:t>Á</w:t>
      </w:r>
      <w:r>
        <w:rPr>
          <w:b/>
          <w:i/>
          <w:color w:val="010101"/>
          <w:spacing w:val="-4"/>
          <w:sz w:val="16"/>
        </w:rPr>
        <w:t> </w:t>
      </w:r>
      <w:r>
        <w:rPr>
          <w:b/>
          <w:i/>
          <w:color w:val="010101"/>
          <w:sz w:val="16"/>
        </w:rPr>
        <w:t>zi,</w:t>
        <w:tab/>
      </w:r>
      <w:r>
        <w:rPr>
          <w:b/>
          <w:i/>
          <w:color w:val="010101"/>
          <w:sz w:val="15"/>
        </w:rPr>
        <w:t>Á zz  </w:t>
      </w:r>
      <w:r>
        <w:rPr>
          <w:color w:val="010101"/>
          <w:w w:val="340"/>
          <w:sz w:val="15"/>
        </w:rPr>
        <w:t>-</w:t>
      </w:r>
      <w:r>
        <w:rPr>
          <w:color w:val="010101"/>
          <w:spacing w:val="-86"/>
          <w:w w:val="340"/>
          <w:sz w:val="15"/>
        </w:rPr>
        <w:t> </w:t>
      </w:r>
      <w:r>
        <w:rPr>
          <w:b/>
          <w:color w:val="010101"/>
          <w:sz w:val="16"/>
        </w:rPr>
        <w:t>2Az11z</w:t>
      </w:r>
    </w:p>
    <w:p>
      <w:pPr>
        <w:spacing w:line="580" w:lineRule="exact" w:before="0"/>
        <w:ind w:left="1145" w:right="0" w:firstLine="0"/>
        <w:jc w:val="left"/>
        <w:rPr>
          <w:b/>
          <w:i/>
          <w:sz w:val="21"/>
        </w:rPr>
      </w:pPr>
      <w:r>
        <w:rPr>
          <w:rFonts w:ascii="Arial"/>
          <w:b/>
          <w:i/>
          <w:color w:val="010101"/>
          <w:sz w:val="32"/>
        </w:rPr>
        <w:t>Ak</w:t>
      </w:r>
      <w:r>
        <w:rPr>
          <w:rFonts w:ascii="Arial"/>
          <w:b/>
          <w:i/>
          <w:color w:val="010101"/>
          <w:spacing w:val="-68"/>
          <w:sz w:val="32"/>
        </w:rPr>
        <w:t> </w:t>
      </w:r>
      <w:r>
        <w:rPr>
          <w:rFonts w:ascii="Arial"/>
          <w:b/>
          <w:i/>
          <w:color w:val="010101"/>
          <w:sz w:val="32"/>
        </w:rPr>
        <w:t>, </w:t>
      </w:r>
      <w:r>
        <w:rPr>
          <w:color w:val="010101"/>
          <w:sz w:val="26"/>
        </w:rPr>
        <w:t>= </w:t>
      </w:r>
      <w:r>
        <w:rPr>
          <w:color w:val="010101"/>
          <w:sz w:val="54"/>
        </w:rPr>
        <w:t>f</w:t>
      </w:r>
      <w:r>
        <w:rPr>
          <w:color w:val="010101"/>
          <w:spacing w:val="-107"/>
          <w:sz w:val="54"/>
        </w:rPr>
        <w:t> </w:t>
      </w:r>
      <w:r>
        <w:rPr>
          <w:color w:val="010101"/>
          <w:spacing w:val="-12"/>
          <w:w w:val="55"/>
          <w:sz w:val="54"/>
        </w:rPr>
        <w:t>'J </w:t>
      </w:r>
      <w:r>
        <w:rPr>
          <w:b/>
          <w:i/>
          <w:color w:val="010101"/>
          <w:sz w:val="22"/>
        </w:rPr>
        <w:t>v'( </w:t>
      </w:r>
      <w:r>
        <w:rPr>
          <w:b/>
          <w:color w:val="010101"/>
          <w:sz w:val="20"/>
        </w:rPr>
        <w:t>1 </w:t>
      </w:r>
      <w:r>
        <w:rPr>
          <w:color w:val="010101"/>
          <w:w w:val="250"/>
          <w:sz w:val="20"/>
        </w:rPr>
        <w:t>-</w:t>
      </w:r>
      <w:r>
        <w:rPr>
          <w:color w:val="010101"/>
          <w:spacing w:val="-97"/>
          <w:w w:val="250"/>
          <w:sz w:val="20"/>
        </w:rPr>
        <w:t> </w:t>
      </w:r>
      <w:r>
        <w:rPr>
          <w:b/>
          <w:i/>
          <w:color w:val="010101"/>
          <w:w w:val="110"/>
          <w:sz w:val="17"/>
        </w:rPr>
        <w:t>,p.) </w:t>
      </w:r>
      <w:r>
        <w:rPr>
          <w:b/>
          <w:i/>
          <w:color w:val="010101"/>
          <w:sz w:val="17"/>
        </w:rPr>
        <w:t>,pqJ.lz+e </w:t>
      </w:r>
      <w:r>
        <w:rPr>
          <w:b/>
          <w:i/>
          <w:color w:val="010101"/>
          <w:spacing w:val="2"/>
          <w:w w:val="55"/>
          <w:sz w:val="17"/>
        </w:rPr>
        <w:t>:</w:t>
      </w:r>
      <w:r>
        <w:rPr>
          <w:rFonts w:ascii="Arial"/>
          <w:b/>
          <w:i/>
          <w:color w:val="010101"/>
          <w:spacing w:val="2"/>
          <w:w w:val="55"/>
          <w:position w:val="-3"/>
          <w:sz w:val="11"/>
        </w:rPr>
        <w:t>11 </w:t>
      </w:r>
      <w:r>
        <w:rPr>
          <w:rFonts w:ascii="Arial"/>
          <w:b/>
          <w:i/>
          <w:color w:val="010101"/>
          <w:sz w:val="12"/>
        </w:rPr>
        <w:t>+&amp; </w:t>
      </w:r>
      <w:r>
        <w:rPr>
          <w:b/>
          <w:i/>
          <w:color w:val="010101"/>
          <w:sz w:val="21"/>
        </w:rPr>
        <w:t>dt</w:t>
      </w:r>
    </w:p>
    <w:p>
      <w:pPr>
        <w:pStyle w:val="BodyText"/>
        <w:spacing w:before="6"/>
        <w:rPr>
          <w:b/>
          <w:i/>
          <w:sz w:val="13"/>
        </w:rPr>
      </w:pPr>
      <w:r>
        <w:rPr/>
        <w:drawing>
          <wp:anchor distT="0" distB="0" distL="0" distR="0" allowOverlap="1" layoutInCell="1" locked="0" behindDoc="0" simplePos="0" relativeHeight="18664">
            <wp:simplePos x="0" y="0"/>
            <wp:positionH relativeFrom="page">
              <wp:posOffset>1444752</wp:posOffset>
            </wp:positionH>
            <wp:positionV relativeFrom="paragraph">
              <wp:posOffset>123750</wp:posOffset>
            </wp:positionV>
            <wp:extent cx="2057399" cy="164592"/>
            <wp:effectExtent l="0" t="0" r="0" b="0"/>
            <wp:wrapTopAndBottom/>
            <wp:docPr id="539" name="image275.png" descr=""/>
            <wp:cNvGraphicFramePr>
              <a:graphicFrameLocks noChangeAspect="1"/>
            </wp:cNvGraphicFramePr>
            <a:graphic>
              <a:graphicData uri="http://schemas.openxmlformats.org/drawingml/2006/picture">
                <pic:pic>
                  <pic:nvPicPr>
                    <pic:cNvPr id="540" name="image275.png"/>
                    <pic:cNvPicPr/>
                  </pic:nvPicPr>
                  <pic:blipFill>
                    <a:blip r:embed="rId279" cstate="print"/>
                    <a:stretch>
                      <a:fillRect/>
                    </a:stretch>
                  </pic:blipFill>
                  <pic:spPr>
                    <a:xfrm>
                      <a:off x="0" y="0"/>
                      <a:ext cx="2057399" cy="164592"/>
                    </a:xfrm>
                    <a:prstGeom prst="rect">
                      <a:avLst/>
                    </a:prstGeom>
                  </pic:spPr>
                </pic:pic>
              </a:graphicData>
            </a:graphic>
          </wp:anchor>
        </w:drawing>
      </w:r>
    </w:p>
    <w:p>
      <w:pPr>
        <w:spacing w:line="88" w:lineRule="exact" w:before="61"/>
        <w:ind w:left="1993" w:right="2753" w:firstLine="0"/>
        <w:jc w:val="center"/>
        <w:rPr>
          <w:rFonts w:ascii="Arial"/>
          <w:i/>
          <w:sz w:val="8"/>
        </w:rPr>
      </w:pPr>
      <w:r>
        <w:rPr>
          <w:rFonts w:ascii="Arial"/>
          <w:i/>
          <w:color w:val="010101"/>
          <w:sz w:val="8"/>
        </w:rPr>
        <w:t>00</w:t>
      </w:r>
    </w:p>
    <w:p>
      <w:pPr>
        <w:tabs>
          <w:tab w:pos="2247" w:val="left" w:leader="none"/>
        </w:tabs>
        <w:spacing w:line="42" w:lineRule="exact" w:before="0"/>
        <w:ind w:left="1245" w:right="0" w:firstLine="0"/>
        <w:jc w:val="left"/>
        <w:rPr>
          <w:i/>
          <w:sz w:val="12"/>
        </w:rPr>
      </w:pPr>
      <w:r>
        <w:rPr/>
        <w:pict>
          <v:shape style="position:absolute;margin-left:124.890701pt;margin-top:-4.448037pt;width:8.450pt;height:25.5pt;mso-position-horizontal-relative:page;mso-position-vertical-relative:paragraph;z-index:-717304" type="#_x0000_t202" filled="false" stroked="false">
            <v:textbox inset="0,0,0,0">
              <w:txbxContent>
                <w:p>
                  <w:pPr>
                    <w:spacing w:line="510" w:lineRule="exact" w:before="0"/>
                    <w:ind w:left="0" w:right="0" w:firstLine="0"/>
                    <w:jc w:val="left"/>
                    <w:rPr>
                      <w:rFonts w:ascii="Arial"/>
                      <w:i/>
                      <w:sz w:val="51"/>
                    </w:rPr>
                  </w:pPr>
                  <w:r>
                    <w:rPr>
                      <w:rFonts w:ascii="Arial"/>
                      <w:i/>
                      <w:color w:val="010101"/>
                      <w:spacing w:val="-56"/>
                      <w:w w:val="78"/>
                      <w:sz w:val="51"/>
                    </w:rPr>
                    <w:t>1</w:t>
                  </w:r>
                </w:p>
              </w:txbxContent>
            </v:textbox>
            <w10:wrap type="none"/>
          </v:shape>
        </w:pict>
      </w:r>
      <w:r>
        <w:rPr>
          <w:rFonts w:ascii="Arial"/>
          <w:i/>
          <w:color w:val="010101"/>
          <w:w w:val="205"/>
          <w:sz w:val="12"/>
        </w:rPr>
        <w:t>-i</w:t>
        <w:tab/>
      </w:r>
      <w:r>
        <w:rPr>
          <w:i/>
          <w:color w:val="010101"/>
          <w:w w:val="135"/>
          <w:sz w:val="12"/>
        </w:rPr>
        <w:t>t</w:t>
      </w:r>
    </w:p>
    <w:p>
      <w:pPr>
        <w:pStyle w:val="BodyText"/>
        <w:spacing w:before="6"/>
        <w:rPr>
          <w:i/>
          <w:sz w:val="17"/>
        </w:rPr>
      </w:pPr>
      <w:r>
        <w:rPr/>
        <w:br w:type="column"/>
      </w:r>
      <w:r>
        <w:rPr>
          <w:i/>
          <w:sz w:val="17"/>
        </w:rPr>
      </w:r>
    </w:p>
    <w:p>
      <w:pPr>
        <w:pStyle w:val="BodyText"/>
        <w:ind w:left="327"/>
      </w:pPr>
      <w:r>
        <w:rPr>
          <w:color w:val="010101"/>
        </w:rPr>
        <w:t>(11.33)</w:t>
      </w:r>
    </w:p>
    <w:p>
      <w:pPr>
        <w:pStyle w:val="BodyText"/>
      </w:pPr>
    </w:p>
    <w:p>
      <w:pPr>
        <w:pStyle w:val="BodyText"/>
      </w:pPr>
    </w:p>
    <w:p>
      <w:pPr>
        <w:pStyle w:val="BodyText"/>
        <w:spacing w:before="3"/>
        <w:rPr>
          <w:sz w:val="24"/>
        </w:rPr>
      </w:pPr>
    </w:p>
    <w:p>
      <w:pPr>
        <w:spacing w:before="0"/>
        <w:ind w:left="317" w:right="0" w:firstLine="0"/>
        <w:jc w:val="left"/>
        <w:rPr>
          <w:rFonts w:ascii="Arial"/>
          <w:sz w:val="18"/>
        </w:rPr>
      </w:pPr>
      <w:r>
        <w:rPr>
          <w:rFonts w:ascii="Arial"/>
          <w:color w:val="010101"/>
          <w:w w:val="110"/>
          <w:sz w:val="18"/>
        </w:rPr>
        <w:t>( 11.34)</w:t>
      </w:r>
    </w:p>
    <w:p>
      <w:pPr>
        <w:spacing w:after="0"/>
        <w:jc w:val="left"/>
        <w:rPr>
          <w:rFonts w:ascii="Arial"/>
          <w:sz w:val="18"/>
        </w:rPr>
        <w:sectPr>
          <w:type w:val="continuous"/>
          <w:pgSz w:w="7200" w:h="11340"/>
          <w:pgMar w:top="1100" w:bottom="0" w:left="640" w:right="560"/>
          <w:cols w:num="2" w:equalWidth="0">
            <w:col w:w="4876" w:space="40"/>
            <w:col w:w="1084"/>
          </w:cols>
        </w:sectPr>
      </w:pPr>
    </w:p>
    <w:p>
      <w:pPr>
        <w:spacing w:line="235" w:lineRule="exact" w:before="0"/>
        <w:ind w:left="0" w:right="0" w:firstLine="0"/>
        <w:jc w:val="right"/>
        <w:rPr>
          <w:sz w:val="23"/>
        </w:rPr>
      </w:pPr>
      <w:r>
        <w:rPr>
          <w:b/>
          <w:i/>
          <w:color w:val="010101"/>
          <w:w w:val="80"/>
          <w:sz w:val="19"/>
        </w:rPr>
        <w:t>Az11:i </w:t>
      </w:r>
      <w:r>
        <w:rPr>
          <w:color w:val="010101"/>
          <w:w w:val="80"/>
          <w:sz w:val="23"/>
        </w:rPr>
        <w:t>=</w:t>
      </w:r>
    </w:p>
    <w:p>
      <w:pPr>
        <w:spacing w:line="222" w:lineRule="exact" w:before="0"/>
        <w:ind w:left="368" w:right="-7" w:firstLine="0"/>
        <w:jc w:val="left"/>
        <w:rPr>
          <w:rFonts w:ascii="Arial"/>
          <w:b/>
          <w:i/>
          <w:sz w:val="19"/>
        </w:rPr>
      </w:pPr>
      <w:r>
        <w:rPr/>
        <w:br w:type="column"/>
      </w:r>
      <w:r>
        <w:rPr>
          <w:b/>
          <w:i/>
          <w:color w:val="010101"/>
          <w:w w:val="95"/>
          <w:sz w:val="17"/>
        </w:rPr>
        <w:t>V</w:t>
      </w:r>
      <w:r>
        <w:rPr>
          <w:b/>
          <w:i/>
          <w:color w:val="010101"/>
          <w:spacing w:val="-2"/>
          <w:w w:val="95"/>
          <w:sz w:val="17"/>
        </w:rPr>
        <w:t> </w:t>
      </w:r>
      <w:r>
        <w:rPr>
          <w:color w:val="010101"/>
          <w:w w:val="110"/>
          <w:sz w:val="17"/>
        </w:rPr>
        <w:t>(</w:t>
      </w:r>
      <w:r>
        <w:rPr>
          <w:color w:val="010101"/>
          <w:spacing w:val="-28"/>
          <w:w w:val="110"/>
          <w:sz w:val="17"/>
        </w:rPr>
        <w:t> </w:t>
      </w:r>
      <w:r>
        <w:rPr>
          <w:b/>
          <w:color w:val="010101"/>
          <w:w w:val="95"/>
          <w:sz w:val="20"/>
        </w:rPr>
        <w:t>1</w:t>
      </w:r>
      <w:r>
        <w:rPr>
          <w:b/>
          <w:color w:val="010101"/>
          <w:spacing w:val="1"/>
          <w:w w:val="95"/>
          <w:sz w:val="20"/>
        </w:rPr>
        <w:t> </w:t>
      </w:r>
      <w:r>
        <w:rPr>
          <w:color w:val="010101"/>
          <w:w w:val="245"/>
          <w:sz w:val="20"/>
        </w:rPr>
        <w:t>-</w:t>
      </w:r>
      <w:r>
        <w:rPr>
          <w:color w:val="010101"/>
          <w:spacing w:val="-91"/>
          <w:w w:val="245"/>
          <w:sz w:val="20"/>
        </w:rPr>
        <w:t> </w:t>
      </w:r>
      <w:r>
        <w:rPr>
          <w:b/>
          <w:i/>
          <w:color w:val="010101"/>
          <w:w w:val="95"/>
          <w:sz w:val="17"/>
        </w:rPr>
        <w:t>aP11</w:t>
      </w:r>
      <w:r>
        <w:rPr>
          <w:b/>
          <w:i/>
          <w:color w:val="010101"/>
          <w:spacing w:val="-29"/>
          <w:w w:val="95"/>
          <w:sz w:val="17"/>
        </w:rPr>
        <w:t> </w:t>
      </w:r>
      <w:r>
        <w:rPr>
          <w:b/>
          <w:i/>
          <w:color w:val="010101"/>
          <w:w w:val="95"/>
          <w:sz w:val="17"/>
        </w:rPr>
        <w:t>)</w:t>
      </w:r>
      <w:r>
        <w:rPr>
          <w:b/>
          <w:i/>
          <w:color w:val="010101"/>
          <w:spacing w:val="-14"/>
          <w:w w:val="95"/>
          <w:sz w:val="17"/>
        </w:rPr>
        <w:t> </w:t>
      </w:r>
      <w:r>
        <w:rPr>
          <w:color w:val="010101"/>
          <w:w w:val="110"/>
          <w:sz w:val="17"/>
        </w:rPr>
        <w:t>(</w:t>
      </w:r>
      <w:r>
        <w:rPr>
          <w:color w:val="010101"/>
          <w:spacing w:val="-28"/>
          <w:w w:val="110"/>
          <w:sz w:val="17"/>
        </w:rPr>
        <w:t> </w:t>
      </w:r>
      <w:r>
        <w:rPr>
          <w:b/>
          <w:color w:val="010101"/>
          <w:w w:val="95"/>
          <w:sz w:val="20"/>
        </w:rPr>
        <w:t>1</w:t>
      </w:r>
      <w:r>
        <w:rPr>
          <w:b/>
          <w:color w:val="010101"/>
          <w:spacing w:val="4"/>
          <w:w w:val="95"/>
          <w:sz w:val="20"/>
        </w:rPr>
        <w:t> </w:t>
      </w:r>
      <w:r>
        <w:rPr>
          <w:color w:val="010101"/>
          <w:w w:val="245"/>
          <w:sz w:val="20"/>
        </w:rPr>
        <w:t>-</w:t>
      </w:r>
      <w:r>
        <w:rPr>
          <w:color w:val="010101"/>
          <w:spacing w:val="-89"/>
          <w:w w:val="245"/>
          <w:sz w:val="20"/>
        </w:rPr>
        <w:t> </w:t>
      </w:r>
      <w:r>
        <w:rPr>
          <w:b/>
          <w:i/>
          <w:color w:val="010101"/>
          <w:w w:val="95"/>
          <w:sz w:val="17"/>
        </w:rPr>
        <w:t>tPz</w:t>
      </w:r>
      <w:r>
        <w:rPr>
          <w:b/>
          <w:i/>
          <w:color w:val="010101"/>
          <w:spacing w:val="-26"/>
          <w:w w:val="95"/>
          <w:sz w:val="17"/>
        </w:rPr>
        <w:t> </w:t>
      </w:r>
      <w:r>
        <w:rPr>
          <w:b/>
          <w:i/>
          <w:color w:val="010101"/>
          <w:w w:val="95"/>
          <w:sz w:val="17"/>
        </w:rPr>
        <w:t>)tP:z:ll.z+</w:t>
      </w:r>
      <w:r>
        <w:rPr>
          <w:b/>
          <w:i/>
          <w:color w:val="010101"/>
          <w:spacing w:val="-16"/>
          <w:w w:val="95"/>
          <w:sz w:val="17"/>
        </w:rPr>
        <w:t> </w:t>
      </w:r>
      <w:r>
        <w:rPr>
          <w:b/>
          <w:i/>
          <w:color w:val="010101"/>
          <w:w w:val="80"/>
          <w:sz w:val="17"/>
        </w:rPr>
        <w:t>I</w:t>
      </w:r>
      <w:r>
        <w:rPr>
          <w:b/>
          <w:i/>
          <w:color w:val="010101"/>
          <w:spacing w:val="15"/>
          <w:w w:val="80"/>
          <w:sz w:val="17"/>
        </w:rPr>
        <w:t> </w:t>
      </w:r>
      <w:r>
        <w:rPr>
          <w:rFonts w:ascii="Arial"/>
          <w:b/>
          <w:i/>
          <w:color w:val="010101"/>
          <w:w w:val="95"/>
          <w:sz w:val="19"/>
        </w:rPr>
        <w:t>dt</w:t>
      </w:r>
    </w:p>
    <w:p>
      <w:pPr>
        <w:spacing w:line="120" w:lineRule="exact" w:before="0"/>
        <w:ind w:left="149" w:right="0" w:firstLine="0"/>
        <w:jc w:val="left"/>
        <w:rPr>
          <w:rFonts w:ascii="Arial"/>
          <w:sz w:val="11"/>
        </w:rPr>
      </w:pPr>
      <w:r>
        <w:rPr>
          <w:rFonts w:ascii="Arial"/>
          <w:color w:val="010101"/>
          <w:w w:val="102"/>
          <w:sz w:val="11"/>
        </w:rPr>
        <w:t>0</w:t>
      </w:r>
    </w:p>
    <w:p>
      <w:pPr>
        <w:pStyle w:val="BodyText"/>
        <w:spacing w:before="163"/>
        <w:ind w:left="417"/>
      </w:pPr>
      <w:r>
        <w:rPr/>
        <w:br w:type="column"/>
      </w:r>
      <w:r>
        <w:rPr>
          <w:color w:val="010101"/>
          <w:w w:val="105"/>
        </w:rPr>
        <w:t>(11.35)</w:t>
      </w:r>
    </w:p>
    <w:p>
      <w:pPr>
        <w:spacing w:after="0"/>
        <w:sectPr>
          <w:type w:val="continuous"/>
          <w:pgSz w:w="7200" w:h="11340"/>
          <w:pgMar w:top="1100" w:bottom="0" w:left="640" w:right="560"/>
          <w:cols w:num="3" w:equalWidth="0">
            <w:col w:w="1754" w:space="40"/>
            <w:col w:w="2974" w:space="40"/>
            <w:col w:w="1192"/>
          </w:cols>
        </w:sectPr>
      </w:pPr>
    </w:p>
    <w:p>
      <w:pPr>
        <w:spacing w:before="37"/>
        <w:ind w:left="0" w:right="0" w:firstLine="0"/>
        <w:jc w:val="right"/>
        <w:rPr>
          <w:b/>
          <w:i/>
          <w:sz w:val="16"/>
        </w:rPr>
      </w:pPr>
      <w:r>
        <w:rPr/>
        <w:pict>
          <v:shape style="position:absolute;margin-left:127.753502pt;margin-top:2.481709pt;width:4.350pt;height:6pt;mso-position-horizontal-relative:page;mso-position-vertical-relative:paragraph;z-index:-717256" type="#_x0000_t202" filled="false" stroked="false">
            <v:textbox inset="0,0,0,0">
              <w:txbxContent>
                <w:p>
                  <w:pPr>
                    <w:spacing w:line="120" w:lineRule="exact" w:before="0"/>
                    <w:ind w:left="0" w:right="0" w:firstLine="0"/>
                    <w:jc w:val="left"/>
                    <w:rPr>
                      <w:rFonts w:ascii="Arial"/>
                      <w:sz w:val="12"/>
                    </w:rPr>
                  </w:pPr>
                  <w:r>
                    <w:rPr>
                      <w:rFonts w:ascii="Arial"/>
                      <w:color w:val="010101"/>
                      <w:w w:val="216"/>
                      <w:sz w:val="12"/>
                    </w:rPr>
                    <w:t>-</w:t>
                  </w:r>
                </w:p>
              </w:txbxContent>
            </v:textbox>
            <w10:wrap type="none"/>
          </v:shape>
        </w:pict>
      </w:r>
      <w:r>
        <w:rPr>
          <w:color w:val="010101"/>
          <w:w w:val="95"/>
          <w:sz w:val="26"/>
        </w:rPr>
        <w:t>= </w:t>
      </w:r>
      <w:r>
        <w:rPr>
          <w:b/>
          <w:i/>
          <w:color w:val="010101"/>
          <w:w w:val="95"/>
          <w:sz w:val="16"/>
        </w:rPr>
        <w:t>Á </w:t>
      </w:r>
      <w:r>
        <w:rPr>
          <w:b/>
          <w:i/>
          <w:color w:val="010101"/>
          <w:w w:val="90"/>
          <w:sz w:val="16"/>
        </w:rPr>
        <w:t>:r</w:t>
      </w:r>
    </w:p>
    <w:p>
      <w:pPr>
        <w:spacing w:line="117" w:lineRule="exact" w:before="34"/>
        <w:ind w:left="357" w:right="-7" w:firstLine="0"/>
        <w:jc w:val="left"/>
        <w:rPr>
          <w:rFonts w:ascii="Arial"/>
          <w:b/>
          <w:sz w:val="12"/>
        </w:rPr>
      </w:pPr>
      <w:r>
        <w:rPr/>
        <w:br w:type="column"/>
      </w:r>
      <w:r>
        <w:rPr>
          <w:rFonts w:ascii="Arial"/>
          <w:b/>
          <w:color w:val="010101"/>
          <w:w w:val="165"/>
          <w:sz w:val="12"/>
        </w:rPr>
        <w:t>-1</w:t>
      </w:r>
    </w:p>
    <w:p>
      <w:pPr>
        <w:pStyle w:val="ListParagraph"/>
        <w:numPr>
          <w:ilvl w:val="0"/>
          <w:numId w:val="104"/>
        </w:numPr>
        <w:tabs>
          <w:tab w:pos="290" w:val="left" w:leader="none"/>
        </w:tabs>
        <w:spacing w:line="163" w:lineRule="exact" w:before="0" w:after="0"/>
        <w:ind w:left="289" w:right="0" w:hanging="233"/>
        <w:jc w:val="left"/>
        <w:rPr>
          <w:b/>
          <w:i/>
          <w:sz w:val="16"/>
        </w:rPr>
      </w:pPr>
      <w:r>
        <w:rPr>
          <w:b/>
          <w:i/>
          <w:color w:val="010101"/>
          <w:w w:val="80"/>
          <w:sz w:val="16"/>
        </w:rPr>
        <w:t>Á</w:t>
      </w:r>
      <w:r>
        <w:rPr>
          <w:b/>
          <w:i/>
          <w:color w:val="010101"/>
          <w:spacing w:val="-15"/>
          <w:w w:val="80"/>
          <w:sz w:val="16"/>
        </w:rPr>
        <w:t> </w:t>
      </w:r>
      <w:r>
        <w:rPr>
          <w:b/>
          <w:i/>
          <w:color w:val="010101"/>
          <w:w w:val="80"/>
          <w:sz w:val="16"/>
        </w:rPr>
        <w:t>z11</w:t>
      </w:r>
    </w:p>
    <w:p>
      <w:pPr>
        <w:spacing w:line="103" w:lineRule="exact" w:before="34"/>
        <w:ind w:left="362" w:right="-10" w:firstLine="0"/>
        <w:jc w:val="left"/>
        <w:rPr>
          <w:rFonts w:ascii="Arial"/>
          <w:b/>
          <w:sz w:val="12"/>
        </w:rPr>
      </w:pPr>
      <w:r>
        <w:rPr/>
        <w:br w:type="column"/>
      </w:r>
      <w:r>
        <w:rPr>
          <w:rFonts w:ascii="Arial"/>
          <w:b/>
          <w:color w:val="010101"/>
          <w:w w:val="180"/>
          <w:sz w:val="12"/>
        </w:rPr>
        <w:t>-1</w:t>
      </w:r>
    </w:p>
    <w:p>
      <w:pPr>
        <w:pStyle w:val="ListParagraph"/>
        <w:numPr>
          <w:ilvl w:val="0"/>
          <w:numId w:val="104"/>
        </w:numPr>
        <w:tabs>
          <w:tab w:pos="295" w:val="left" w:leader="none"/>
        </w:tabs>
        <w:spacing w:line="184" w:lineRule="exact" w:before="0" w:after="0"/>
        <w:ind w:left="294" w:right="0" w:hanging="233"/>
        <w:jc w:val="left"/>
        <w:rPr>
          <w:b/>
          <w:i/>
          <w:sz w:val="19"/>
        </w:rPr>
      </w:pPr>
      <w:r>
        <w:rPr>
          <w:b/>
          <w:i/>
          <w:color w:val="010101"/>
          <w:w w:val="105"/>
          <w:sz w:val="19"/>
        </w:rPr>
        <w:t>Az,</w:t>
      </w:r>
    </w:p>
    <w:p>
      <w:pPr>
        <w:spacing w:line="117" w:lineRule="exact" w:before="34"/>
        <w:ind w:left="362" w:right="0" w:firstLine="0"/>
        <w:jc w:val="left"/>
        <w:rPr>
          <w:rFonts w:ascii="Arial"/>
          <w:b/>
          <w:sz w:val="12"/>
        </w:rPr>
      </w:pPr>
      <w:r>
        <w:rPr/>
        <w:br w:type="column"/>
      </w:r>
      <w:r>
        <w:rPr>
          <w:rFonts w:ascii="Arial"/>
          <w:b/>
          <w:color w:val="010101"/>
          <w:w w:val="175"/>
          <w:sz w:val="12"/>
        </w:rPr>
        <w:t>-1</w:t>
      </w:r>
    </w:p>
    <w:p>
      <w:pPr>
        <w:spacing w:line="163" w:lineRule="exact" w:before="0"/>
        <w:ind w:left="294" w:right="0" w:firstLine="0"/>
        <w:jc w:val="left"/>
        <w:rPr>
          <w:sz w:val="16"/>
        </w:rPr>
      </w:pPr>
      <w:r>
        <w:rPr/>
        <w:pict>
          <v:shape style="position:absolute;margin-left:200.755493pt;margin-top:-6.139686pt;width:9.35pt;height:15.5pt;mso-position-horizontal-relative:page;mso-position-vertical-relative:paragraph;z-index:18832" type="#_x0000_t202" filled="false" stroked="false">
            <v:textbox inset="0,0,0,0">
              <w:txbxContent>
                <w:p>
                  <w:pPr>
                    <w:spacing w:line="310" w:lineRule="exact" w:before="0"/>
                    <w:ind w:left="0" w:right="0" w:firstLine="0"/>
                    <w:jc w:val="left"/>
                    <w:rPr>
                      <w:rFonts w:ascii="Arial"/>
                      <w:sz w:val="31"/>
                    </w:rPr>
                  </w:pPr>
                  <w:r>
                    <w:rPr>
                      <w:rFonts w:ascii="Arial"/>
                      <w:color w:val="010101"/>
                      <w:w w:val="102"/>
                      <w:sz w:val="31"/>
                    </w:rPr>
                    <w:t>+</w:t>
                  </w:r>
                </w:p>
              </w:txbxContent>
            </v:textbox>
            <w10:wrap type="none"/>
          </v:shape>
        </w:pict>
      </w:r>
      <w:r>
        <w:rPr>
          <w:b/>
          <w:color w:val="010101"/>
          <w:w w:val="90"/>
          <w:sz w:val="16"/>
        </w:rPr>
        <w:t>Áz11• </w:t>
      </w:r>
      <w:r>
        <w:rPr>
          <w:color w:val="010101"/>
          <w:w w:val="90"/>
          <w:sz w:val="16"/>
        </w:rPr>
        <w:t>•</w:t>
      </w:r>
    </w:p>
    <w:p>
      <w:pPr>
        <w:spacing w:after="0" w:line="163" w:lineRule="exact"/>
        <w:jc w:val="left"/>
        <w:rPr>
          <w:sz w:val="16"/>
        </w:rPr>
        <w:sectPr>
          <w:type w:val="continuous"/>
          <w:pgSz w:w="7200" w:h="11340"/>
          <w:pgMar w:top="1100" w:bottom="0" w:left="640" w:right="560"/>
          <w:cols w:num="4" w:equalWidth="0">
            <w:col w:w="2070" w:space="40"/>
            <w:col w:w="571" w:space="40"/>
            <w:col w:w="565" w:space="40"/>
            <w:col w:w="2674"/>
          </w:cols>
        </w:sectPr>
      </w:pPr>
    </w:p>
    <w:p>
      <w:pPr>
        <w:spacing w:line="237" w:lineRule="auto" w:before="73"/>
        <w:ind w:left="143" w:right="167" w:firstLine="196"/>
        <w:jc w:val="both"/>
        <w:rPr>
          <w:sz w:val="21"/>
        </w:rPr>
      </w:pPr>
      <w:r>
        <w:rPr>
          <w:color w:val="010101"/>
          <w:sz w:val="21"/>
        </w:rPr>
        <w:t>A special notation is used when these insuranccs are on a tcm­ porary basis, in that the term period is indicatf'&lt;l by a prefixed subscript. For cxample,  an  insurance  on thc life of  (.r )    payahlP</w:t>
      </w:r>
    </w:p>
    <w:p>
      <w:pPr>
        <w:spacing w:line="257" w:lineRule="exact" w:before="0"/>
        <w:ind w:left="143" w:right="0" w:firstLine="0"/>
        <w:jc w:val="left"/>
        <w:rPr>
          <w:i/>
          <w:sz w:val="10"/>
        </w:rPr>
      </w:pPr>
      <w:r>
        <w:rPr>
          <w:color w:val="010101"/>
          <w:w w:val="77"/>
          <w:sz w:val="21"/>
        </w:rPr>
        <w:t>if</w:t>
      </w:r>
      <w:r>
        <w:rPr>
          <w:color w:val="010101"/>
          <w:sz w:val="21"/>
        </w:rPr>
        <w:t> </w:t>
      </w:r>
      <w:r>
        <w:rPr>
          <w:color w:val="010101"/>
          <w:spacing w:val="-26"/>
          <w:sz w:val="21"/>
        </w:rPr>
        <w:t> </w:t>
      </w:r>
      <w:r>
        <w:rPr>
          <w:color w:val="010101"/>
          <w:w w:val="96"/>
          <w:sz w:val="21"/>
        </w:rPr>
        <w:t>he</w:t>
      </w:r>
      <w:r>
        <w:rPr>
          <w:color w:val="010101"/>
          <w:spacing w:val="20"/>
          <w:sz w:val="21"/>
        </w:rPr>
        <w:t> </w:t>
      </w:r>
      <w:r>
        <w:rPr>
          <w:color w:val="010101"/>
          <w:w w:val="93"/>
          <w:sz w:val="21"/>
        </w:rPr>
        <w:t>dies</w:t>
      </w:r>
      <w:r>
        <w:rPr>
          <w:color w:val="010101"/>
          <w:spacing w:val="16"/>
          <w:sz w:val="21"/>
        </w:rPr>
        <w:t> </w:t>
      </w:r>
      <w:r>
        <w:rPr>
          <w:color w:val="010101"/>
          <w:w w:val="103"/>
          <w:sz w:val="21"/>
        </w:rPr>
        <w:t>after</w:t>
      </w:r>
      <w:r>
        <w:rPr>
          <w:color w:val="010101"/>
          <w:sz w:val="21"/>
        </w:rPr>
        <w:t> </w:t>
      </w:r>
      <w:r>
        <w:rPr>
          <w:color w:val="010101"/>
          <w:spacing w:val="-4"/>
          <w:sz w:val="21"/>
        </w:rPr>
        <w:t> </w:t>
      </w:r>
      <w:r>
        <w:rPr>
          <w:rFonts w:ascii="Arial" w:hAnsi="Arial"/>
          <w:i/>
          <w:color w:val="010101"/>
          <w:spacing w:val="11"/>
          <w:w w:val="82"/>
          <w:sz w:val="18"/>
        </w:rPr>
        <w:t>(</w:t>
      </w:r>
      <w:r>
        <w:rPr>
          <w:rFonts w:ascii="Arial" w:hAnsi="Arial"/>
          <w:i/>
          <w:color w:val="010101"/>
          <w:w w:val="90"/>
          <w:sz w:val="18"/>
        </w:rPr>
        <w:t>y</w:t>
      </w:r>
      <w:r>
        <w:rPr>
          <w:rFonts w:ascii="Arial" w:hAnsi="Arial"/>
          <w:i/>
          <w:color w:val="010101"/>
          <w:spacing w:val="-10"/>
          <w:sz w:val="18"/>
        </w:rPr>
        <w:t> </w:t>
      </w:r>
      <w:r>
        <w:rPr>
          <w:rFonts w:ascii="Arial" w:hAnsi="Arial"/>
          <w:i/>
          <w:color w:val="010101"/>
          <w:w w:val="82"/>
          <w:sz w:val="18"/>
        </w:rPr>
        <w:t>)</w:t>
      </w:r>
      <w:r>
        <w:rPr>
          <w:rFonts w:ascii="Arial" w:hAnsi="Arial"/>
          <w:i/>
          <w:color w:val="010101"/>
          <w:sz w:val="18"/>
        </w:rPr>
        <w:t> </w:t>
      </w:r>
      <w:r>
        <w:rPr>
          <w:rFonts w:ascii="Arial" w:hAnsi="Arial"/>
          <w:i/>
          <w:color w:val="010101"/>
          <w:spacing w:val="-11"/>
          <w:sz w:val="18"/>
        </w:rPr>
        <w:t> </w:t>
      </w:r>
      <w:r>
        <w:rPr>
          <w:color w:val="010101"/>
          <w:w w:val="101"/>
          <w:sz w:val="21"/>
        </w:rPr>
        <w:t>and</w:t>
      </w:r>
      <w:r>
        <w:rPr>
          <w:color w:val="010101"/>
          <w:spacing w:val="17"/>
          <w:sz w:val="21"/>
        </w:rPr>
        <w:t> </w:t>
      </w:r>
      <w:r>
        <w:rPr>
          <w:color w:val="010101"/>
          <w:w w:val="98"/>
          <w:sz w:val="21"/>
        </w:rPr>
        <w:t>within</w:t>
      </w:r>
      <w:r>
        <w:rPr>
          <w:color w:val="010101"/>
          <w:spacing w:val="25"/>
          <w:sz w:val="21"/>
        </w:rPr>
        <w:t> </w:t>
      </w:r>
      <w:r>
        <w:rPr>
          <w:i/>
          <w:color w:val="010101"/>
          <w:w w:val="113"/>
          <w:sz w:val="21"/>
        </w:rPr>
        <w:t>n</w:t>
      </w:r>
      <w:r>
        <w:rPr>
          <w:i/>
          <w:color w:val="010101"/>
          <w:sz w:val="21"/>
        </w:rPr>
        <w:t> </w:t>
      </w:r>
      <w:r>
        <w:rPr>
          <w:color w:val="010101"/>
          <w:w w:val="99"/>
          <w:sz w:val="21"/>
        </w:rPr>
        <w:t>ycars</w:t>
      </w:r>
      <w:r>
        <w:rPr>
          <w:color w:val="010101"/>
          <w:spacing w:val="23"/>
          <w:sz w:val="21"/>
        </w:rPr>
        <w:t> </w:t>
      </w:r>
      <w:r>
        <w:rPr>
          <w:color w:val="010101"/>
          <w:w w:val="91"/>
          <w:sz w:val="21"/>
        </w:rPr>
        <w:t>is</w:t>
      </w:r>
      <w:r>
        <w:rPr>
          <w:color w:val="010101"/>
          <w:spacing w:val="8"/>
          <w:sz w:val="21"/>
        </w:rPr>
        <w:t> </w:t>
      </w:r>
      <w:r>
        <w:rPr>
          <w:color w:val="010101"/>
          <w:w w:val="97"/>
          <w:sz w:val="21"/>
        </w:rPr>
        <w:t>represented</w:t>
      </w:r>
      <w:r>
        <w:rPr>
          <w:color w:val="010101"/>
          <w:sz w:val="21"/>
        </w:rPr>
        <w:t> </w:t>
      </w:r>
      <w:r>
        <w:rPr>
          <w:color w:val="010101"/>
          <w:spacing w:val="-8"/>
          <w:sz w:val="21"/>
        </w:rPr>
        <w:t> </w:t>
      </w:r>
      <w:r>
        <w:rPr>
          <w:color w:val="010101"/>
          <w:w w:val="96"/>
          <w:sz w:val="21"/>
        </w:rPr>
        <w:t>hy</w:t>
      </w:r>
      <w:r>
        <w:rPr>
          <w:color w:val="010101"/>
          <w:spacing w:val="25"/>
          <w:sz w:val="21"/>
        </w:rPr>
        <w:t> </w:t>
      </w:r>
      <w:r>
        <w:rPr>
          <w:rFonts w:ascii="Arial" w:hAnsi="Arial"/>
          <w:i/>
          <w:color w:val="010101"/>
          <w:spacing w:val="7"/>
          <w:w w:val="68"/>
          <w:sz w:val="29"/>
        </w:rPr>
        <w:t>"</w:t>
      </w:r>
      <w:r>
        <w:rPr>
          <w:rFonts w:ascii="Arial" w:hAnsi="Arial"/>
          <w:i/>
          <w:color w:val="010101"/>
          <w:w w:val="74"/>
          <w:sz w:val="29"/>
        </w:rPr>
        <w:t>A</w:t>
      </w:r>
      <w:r>
        <w:rPr>
          <w:rFonts w:ascii="Arial" w:hAnsi="Arial"/>
          <w:i/>
          <w:color w:val="010101"/>
          <w:spacing w:val="6"/>
          <w:w w:val="74"/>
          <w:sz w:val="29"/>
        </w:rPr>
        <w:t>;</w:t>
      </w:r>
      <w:r>
        <w:rPr>
          <w:i/>
          <w:color w:val="010101"/>
          <w:w w:val="65"/>
          <w:position w:val="-2"/>
          <w:sz w:val="10"/>
        </w:rPr>
        <w:t>11</w:t>
      </w:r>
      <w:r>
        <w:rPr>
          <w:i/>
          <w:color w:val="010101"/>
          <w:position w:val="-2"/>
          <w:sz w:val="10"/>
        </w:rPr>
        <w:t>  </w:t>
      </w:r>
      <w:r>
        <w:rPr>
          <w:i/>
          <w:color w:val="010101"/>
          <w:spacing w:val="-12"/>
          <w:position w:val="-2"/>
          <w:sz w:val="10"/>
        </w:rPr>
        <w:t> </w:t>
      </w:r>
      <w:r>
        <w:rPr>
          <w:i/>
          <w:color w:val="010101"/>
          <w:w w:val="85"/>
          <w:sz w:val="10"/>
        </w:rPr>
        <w:t>•</w:t>
      </w:r>
    </w:p>
    <w:p>
      <w:pPr>
        <w:spacing w:after="0" w:line="257" w:lineRule="exact"/>
        <w:jc w:val="left"/>
        <w:rPr>
          <w:sz w:val="10"/>
        </w:rPr>
        <w:sectPr>
          <w:type w:val="continuous"/>
          <w:pgSz w:w="7200" w:h="11340"/>
          <w:pgMar w:top="1100" w:bottom="0" w:left="640" w:right="560"/>
        </w:sectPr>
      </w:pPr>
    </w:p>
    <w:p>
      <w:pPr>
        <w:tabs>
          <w:tab w:pos="1152" w:val="left" w:leader="none"/>
          <w:tab w:pos="5860" w:val="right" w:leader="none"/>
        </w:tabs>
        <w:spacing w:before="59"/>
        <w:ind w:left="126" w:right="0" w:firstLine="0"/>
        <w:jc w:val="left"/>
        <w:rPr>
          <w:sz w:val="20"/>
        </w:rPr>
      </w:pPr>
      <w:r>
        <w:rPr>
          <w:b/>
          <w:color w:val="010101"/>
          <w:position w:val="1"/>
          <w:sz w:val="15"/>
        </w:rPr>
        <w:t>SEC. </w:t>
      </w:r>
      <w:r>
        <w:rPr>
          <w:b/>
          <w:color w:val="010101"/>
          <w:spacing w:val="31"/>
          <w:position w:val="1"/>
          <w:sz w:val="15"/>
        </w:rPr>
        <w:t> </w:t>
      </w:r>
      <w:r>
        <w:rPr>
          <w:rFonts w:ascii="Arial"/>
          <w:b/>
          <w:color w:val="010101"/>
          <w:position w:val="1"/>
          <w:sz w:val="19"/>
        </w:rPr>
        <w:t>5)</w:t>
        <w:tab/>
      </w:r>
      <w:r>
        <w:rPr>
          <w:b/>
          <w:color w:val="010101"/>
          <w:position w:val="1"/>
          <w:sz w:val="15"/>
        </w:rPr>
        <w:t>EVALUATION    OF </w:t>
      </w:r>
      <w:r>
        <w:rPr>
          <w:b/>
          <w:color w:val="010101"/>
          <w:spacing w:val="14"/>
          <w:position w:val="1"/>
          <w:sz w:val="15"/>
        </w:rPr>
        <w:t> </w:t>
      </w:r>
      <w:r>
        <w:rPr>
          <w:b/>
          <w:color w:val="010101"/>
          <w:position w:val="1"/>
          <w:sz w:val="15"/>
        </w:rPr>
        <w:t>CONTJNGENT  </w:t>
      </w:r>
      <w:r>
        <w:rPr>
          <w:b/>
          <w:color w:val="010101"/>
          <w:spacing w:val="10"/>
          <w:position w:val="1"/>
          <w:sz w:val="15"/>
        </w:rPr>
        <w:t> </w:t>
      </w:r>
      <w:r>
        <w:rPr>
          <w:b/>
          <w:color w:val="010101"/>
          <w:position w:val="1"/>
          <w:sz w:val="15"/>
        </w:rPr>
        <w:t>INSURANCES</w:t>
      </w:r>
      <w:r>
        <w:rPr>
          <w:color w:val="010101"/>
          <w:sz w:val="20"/>
        </w:rPr>
        <w:tab/>
      </w:r>
      <w:r>
        <w:rPr>
          <w:color w:val="010101"/>
          <w:spacing w:val="-4"/>
          <w:sz w:val="20"/>
        </w:rPr>
        <w:t>235</w:t>
      </w:r>
    </w:p>
    <w:p>
      <w:pPr>
        <w:pStyle w:val="BodyText"/>
        <w:spacing w:before="5"/>
        <w:rPr>
          <w:sz w:val="21"/>
        </w:rPr>
      </w:pPr>
    </w:p>
    <w:p>
      <w:pPr>
        <w:pStyle w:val="BodyText"/>
        <w:spacing w:before="1"/>
        <w:ind w:left="126" w:right="134" w:firstLine="201"/>
        <w:jc w:val="both"/>
      </w:pPr>
      <w:r>
        <w:rPr>
          <w:rFonts w:ascii="Arial" w:hAnsi="Arial"/>
          <w:color w:val="010101"/>
          <w:w w:val="171"/>
        </w:rPr>
        <w:t>It </w:t>
      </w:r>
      <w:r>
        <w:rPr>
          <w:color w:val="010101"/>
          <w:w w:val="102"/>
        </w:rPr>
        <w:t>should </w:t>
      </w:r>
      <w:r>
        <w:rPr>
          <w:color w:val="010101"/>
          <w:w w:val="105"/>
        </w:rPr>
        <w:t>be </w:t>
      </w:r>
      <w:r>
        <w:rPr>
          <w:color w:val="010101"/>
          <w:w w:val="104"/>
        </w:rPr>
        <w:t>noted </w:t>
      </w:r>
      <w:r>
        <w:rPr>
          <w:color w:val="010101"/>
          <w:w w:val="116"/>
        </w:rPr>
        <w:t>that </w:t>
      </w:r>
      <w:r>
        <w:rPr>
          <w:color w:val="010101"/>
          <w:w w:val="111"/>
        </w:rPr>
        <w:t>the </w:t>
      </w:r>
      <w:r>
        <w:rPr>
          <w:color w:val="010101"/>
          <w:w w:val="102"/>
        </w:rPr>
        <w:t>symbol </w:t>
      </w:r>
      <w:r>
        <w:rPr>
          <w:color w:val="010101"/>
          <w:spacing w:val="-3"/>
          <w:w w:val="86"/>
        </w:rPr>
        <w:t>A:"it]</w:t>
      </w:r>
      <w:r>
        <w:rPr>
          <w:color w:val="010101"/>
          <w:w w:val="86"/>
        </w:rPr>
        <w:t> </w:t>
      </w:r>
      <w:r>
        <w:rPr>
          <w:color w:val="010101"/>
          <w:w w:val="104"/>
        </w:rPr>
        <w:t>denotes </w:t>
      </w:r>
      <w:r>
        <w:rPr>
          <w:color w:val="010101"/>
          <w:w w:val="110"/>
        </w:rPr>
        <w:t>an </w:t>
      </w:r>
      <w:r>
        <w:rPr>
          <w:color w:val="010101"/>
          <w:w w:val="103"/>
        </w:rPr>
        <w:t>insurance </w:t>
      </w:r>
      <w:r>
        <w:rPr>
          <w:color w:val="010101"/>
        </w:rPr>
        <w:t>payab]e </w:t>
      </w:r>
      <w:r>
        <w:rPr>
          <w:color w:val="010101"/>
          <w:spacing w:val="3"/>
        </w:rPr>
        <w:t>upon </w:t>
      </w:r>
      <w:r>
        <w:rPr>
          <w:color w:val="010101"/>
        </w:rPr>
        <w:t>the death  of  </w:t>
      </w:r>
      <w:r>
        <w:rPr>
          <w:rFonts w:ascii="Arial" w:hAnsi="Arial"/>
          <w:i/>
          <w:color w:val="010101"/>
          <w:spacing w:val="6"/>
          <w:sz w:val="19"/>
        </w:rPr>
        <w:t>(x)  </w:t>
      </w:r>
      <w:r>
        <w:rPr>
          <w:color w:val="010101"/>
        </w:rPr>
        <w:t>provided  that  </w:t>
      </w:r>
      <w:r>
        <w:rPr>
          <w:rFonts w:ascii="Arial" w:hAnsi="Arial"/>
          <w:i/>
          <w:color w:val="010101"/>
          <w:spacing w:val="6"/>
          <w:sz w:val="19"/>
        </w:rPr>
        <w:t>(x)  </w:t>
      </w:r>
      <w:r>
        <w:rPr>
          <w:rFonts w:ascii="Arial" w:hAnsi="Arial"/>
          <w:color w:val="010101"/>
        </w:rPr>
        <w:t>is </w:t>
      </w:r>
      <w:r>
        <w:rPr>
          <w:color w:val="010101"/>
        </w:rPr>
        <w:t>the second of  the three statuses, </w:t>
      </w:r>
      <w:r>
        <w:rPr>
          <w:rFonts w:ascii="Arial" w:hAnsi="Arial"/>
          <w:i/>
          <w:color w:val="010101"/>
          <w:sz w:val="19"/>
        </w:rPr>
        <w:t>( x ), ( y ), </w:t>
      </w:r>
      <w:r>
        <w:rPr>
          <w:color w:val="010101"/>
        </w:rPr>
        <w:t>(ñj), </w:t>
      </w:r>
      <w:r>
        <w:rPr>
          <w:color w:val="010101"/>
          <w:sz w:val="22"/>
        </w:rPr>
        <w:t>to </w:t>
      </w:r>
      <w:r>
        <w:rPr>
          <w:color w:val="010101"/>
        </w:rPr>
        <w:t>fai], and this benefit </w:t>
      </w:r>
      <w:r>
        <w:rPr>
          <w:rFonts w:ascii="Arial" w:hAnsi="Arial"/>
          <w:color w:val="010101"/>
          <w:sz w:val="21"/>
        </w:rPr>
        <w:t>is </w:t>
      </w:r>
      <w:r>
        <w:rPr>
          <w:color w:val="010101"/>
        </w:rPr>
        <w:t>different from the tenn insurance described above. </w:t>
      </w:r>
      <w:r>
        <w:rPr>
          <w:rFonts w:ascii="Arial" w:hAnsi="Arial"/>
          <w:color w:val="010101"/>
          <w:w w:val="145"/>
        </w:rPr>
        <w:t>It </w:t>
      </w:r>
      <w:r>
        <w:rPr>
          <w:color w:val="010101"/>
        </w:rPr>
        <w:t>is thus important that </w:t>
      </w:r>
      <w:r>
        <w:rPr>
          <w:color w:val="010101"/>
          <w:w w:val="102"/>
        </w:rPr>
        <w:t>symbols </w:t>
      </w:r>
      <w:r>
        <w:rPr>
          <w:color w:val="010101"/>
          <w:w w:val="102"/>
        </w:rPr>
        <w:t>like </w:t>
      </w:r>
      <w:r>
        <w:rPr>
          <w:i/>
          <w:color w:val="010101"/>
          <w:spacing w:val="-1"/>
          <w:w w:val="82"/>
          <w:sz w:val="22"/>
        </w:rPr>
        <w:t>nA!</w:t>
      </w:r>
      <w:r>
        <w:rPr>
          <w:rFonts w:ascii="Arial" w:hAnsi="Arial"/>
          <w:i/>
          <w:color w:val="010101"/>
          <w:spacing w:val="-1"/>
          <w:w w:val="82"/>
          <w:position w:val="-3"/>
          <w:sz w:val="10"/>
        </w:rPr>
        <w:t>11</w:t>
      </w:r>
      <w:r>
        <w:rPr>
          <w:rFonts w:ascii="Arial" w:hAnsi="Arial"/>
          <w:i/>
          <w:color w:val="010101"/>
          <w:w w:val="82"/>
          <w:position w:val="-3"/>
          <w:sz w:val="10"/>
        </w:rPr>
        <w:t>   </w:t>
      </w:r>
      <w:r>
        <w:rPr>
          <w:color w:val="010101"/>
          <w:w w:val="106"/>
        </w:rPr>
        <w:t>and </w:t>
      </w:r>
      <w:r>
        <w:rPr>
          <w:color w:val="010101"/>
          <w:spacing w:val="-5"/>
          <w:w w:val="80"/>
          <w:sz w:val="22"/>
        </w:rPr>
        <w:t>A!v:ñ]</w:t>
      </w:r>
      <w:r>
        <w:rPr>
          <w:color w:val="010101"/>
          <w:w w:val="80"/>
          <w:sz w:val="22"/>
        </w:rPr>
        <w:t>  </w:t>
      </w:r>
      <w:r>
        <w:rPr>
          <w:color w:val="010101"/>
          <w:w w:val="99"/>
        </w:rPr>
        <w:t>be  </w:t>
      </w:r>
      <w:r>
        <w:rPr>
          <w:color w:val="010101"/>
          <w:w w:val="102"/>
        </w:rPr>
        <w:t>correctly </w:t>
      </w:r>
      <w:r>
        <w:rPr>
          <w:color w:val="010101"/>
          <w:spacing w:val="23"/>
          <w:w w:val="102"/>
        </w:rPr>
        <w:t> </w:t>
      </w:r>
      <w:r>
        <w:rPr>
          <w:color w:val="010101"/>
          <w:w w:val="103"/>
        </w:rPr>
        <w:t>distinguished.</w:t>
      </w:r>
    </w:p>
    <w:p>
      <w:pPr>
        <w:pStyle w:val="ListParagraph"/>
        <w:numPr>
          <w:ilvl w:val="0"/>
          <w:numId w:val="103"/>
        </w:numPr>
        <w:tabs>
          <w:tab w:pos="353" w:val="left" w:leader="none"/>
        </w:tabs>
        <w:spacing w:line="240" w:lineRule="auto" w:before="153" w:after="0"/>
        <w:ind w:left="352" w:right="0" w:hanging="234"/>
        <w:jc w:val="left"/>
        <w:rPr>
          <w:b/>
          <w:color w:val="010101"/>
          <w:sz w:val="19"/>
        </w:rPr>
      </w:pPr>
      <w:r>
        <w:rPr>
          <w:b/>
          <w:color w:val="010101"/>
          <w:w w:val="120"/>
          <w:sz w:val="19"/>
        </w:rPr>
        <w:t>Evaluation of contingent</w:t>
      </w:r>
      <w:r>
        <w:rPr>
          <w:b/>
          <w:color w:val="010101"/>
          <w:spacing w:val="32"/>
          <w:w w:val="120"/>
          <w:sz w:val="19"/>
        </w:rPr>
        <w:t> </w:t>
      </w:r>
      <w:r>
        <w:rPr>
          <w:b/>
          <w:color w:val="010101"/>
          <w:w w:val="120"/>
          <w:sz w:val="19"/>
        </w:rPr>
        <w:t>insurances</w:t>
      </w:r>
    </w:p>
    <w:p>
      <w:pPr>
        <w:pStyle w:val="BodyText"/>
        <w:spacing w:line="249" w:lineRule="auto" w:before="88"/>
        <w:ind w:left="129" w:right="122" w:firstLine="197"/>
        <w:jc w:val="both"/>
      </w:pPr>
      <w:r>
        <w:rPr>
          <w:color w:val="010101"/>
          <w:w w:val="105"/>
        </w:rPr>
        <w:t>When it is neces.sary to evaluate </w:t>
      </w:r>
      <w:r>
        <w:rPr>
          <w:rFonts w:ascii="Arial" w:hAnsi="Arial"/>
          <w:color w:val="010101"/>
          <w:w w:val="105"/>
          <w:sz w:val="18"/>
        </w:rPr>
        <w:t>a </w:t>
      </w:r>
      <w:r>
        <w:rPr>
          <w:color w:val="010101"/>
          <w:w w:val="105"/>
        </w:rPr>
        <w:t>large number of contingent insurance functions on the same mortality and interest basis, the construction of special commutation columns </w:t>
      </w:r>
      <w:r>
        <w:rPr>
          <w:color w:val="010101"/>
          <w:w w:val="105"/>
          <w:sz w:val="21"/>
        </w:rPr>
        <w:t>will </w:t>
      </w:r>
      <w:r>
        <w:rPr>
          <w:color w:val="010101"/>
          <w:w w:val="105"/>
        </w:rPr>
        <w:t>simplify the calculat.ions. These are usually based on the approximation af­ forded by the as.sumption  of  a unifonn distribution of  deaths,</w:t>
      </w:r>
    </w:p>
    <w:p>
      <w:pPr>
        <w:pStyle w:val="BodyText"/>
        <w:spacing w:before="1"/>
        <w:rPr>
          <w:sz w:val="13"/>
        </w:rPr>
      </w:pPr>
      <w:r>
        <w:rPr/>
        <w:drawing>
          <wp:anchor distT="0" distB="0" distL="0" distR="0" allowOverlap="1" layoutInCell="1" locked="0" behindDoc="0" simplePos="0" relativeHeight="18856">
            <wp:simplePos x="0" y="0"/>
            <wp:positionH relativeFrom="page">
              <wp:posOffset>1801367</wp:posOffset>
            </wp:positionH>
            <wp:positionV relativeFrom="paragraph">
              <wp:posOffset>120893</wp:posOffset>
            </wp:positionV>
            <wp:extent cx="1042415" cy="292608"/>
            <wp:effectExtent l="0" t="0" r="0" b="0"/>
            <wp:wrapTopAndBottom/>
            <wp:docPr id="541" name="image276.png" descr=""/>
            <wp:cNvGraphicFramePr>
              <a:graphicFrameLocks noChangeAspect="1"/>
            </wp:cNvGraphicFramePr>
            <a:graphic>
              <a:graphicData uri="http://schemas.openxmlformats.org/drawingml/2006/picture">
                <pic:pic>
                  <pic:nvPicPr>
                    <pic:cNvPr id="542" name="image276.png"/>
                    <pic:cNvPicPr/>
                  </pic:nvPicPr>
                  <pic:blipFill>
                    <a:blip r:embed="rId280" cstate="print"/>
                    <a:stretch>
                      <a:fillRect/>
                    </a:stretch>
                  </pic:blipFill>
                  <pic:spPr>
                    <a:xfrm>
                      <a:off x="0" y="0"/>
                      <a:ext cx="1042415" cy="292608"/>
                    </a:xfrm>
                    <a:prstGeom prst="rect">
                      <a:avLst/>
                    </a:prstGeom>
                  </pic:spPr>
                </pic:pic>
              </a:graphicData>
            </a:graphic>
          </wp:anchor>
        </w:drawing>
      </w:r>
    </w:p>
    <w:p>
      <w:pPr>
        <w:spacing w:after="0"/>
        <w:rPr>
          <w:sz w:val="13"/>
        </w:rPr>
        <w:sectPr>
          <w:pgSz w:w="7200" w:h="11340"/>
          <w:pgMar w:top="500" w:bottom="280" w:left="660" w:right="560"/>
        </w:sectPr>
      </w:pPr>
    </w:p>
    <w:p>
      <w:pPr>
        <w:spacing w:before="71"/>
        <w:ind w:left="140" w:right="-20" w:firstLine="0"/>
        <w:jc w:val="left"/>
        <w:rPr>
          <w:sz w:val="20"/>
        </w:rPr>
      </w:pPr>
      <w:r>
        <w:rPr>
          <w:color w:val="010101"/>
          <w:w w:val="110"/>
          <w:sz w:val="21"/>
        </w:rPr>
        <w:t>so</w:t>
      </w:r>
      <w:r>
        <w:rPr>
          <w:color w:val="010101"/>
          <w:spacing w:val="-3"/>
          <w:w w:val="110"/>
          <w:sz w:val="21"/>
        </w:rPr>
        <w:t> </w:t>
      </w:r>
      <w:r>
        <w:rPr>
          <w:color w:val="010101"/>
          <w:w w:val="110"/>
          <w:sz w:val="20"/>
        </w:rPr>
        <w:t>that</w:t>
      </w:r>
    </w:p>
    <w:p>
      <w:pPr>
        <w:pStyle w:val="BodyText"/>
        <w:rPr>
          <w:sz w:val="16"/>
        </w:rPr>
      </w:pPr>
      <w:r>
        <w:rPr/>
        <w:br w:type="column"/>
      </w:r>
      <w:r>
        <w:rPr>
          <w:sz w:val="16"/>
        </w:rPr>
      </w:r>
    </w:p>
    <w:p>
      <w:pPr>
        <w:pStyle w:val="BodyText"/>
        <w:spacing w:before="9"/>
        <w:rPr>
          <w:sz w:val="17"/>
        </w:rPr>
      </w:pPr>
    </w:p>
    <w:p>
      <w:pPr>
        <w:spacing w:line="155" w:lineRule="exact" w:before="0"/>
        <w:ind w:left="0" w:right="25" w:firstLine="0"/>
        <w:jc w:val="center"/>
        <w:rPr>
          <w:b/>
          <w:i/>
          <w:sz w:val="17"/>
        </w:rPr>
      </w:pPr>
      <w:r>
        <w:rPr/>
        <w:pict>
          <v:shape style="position:absolute;margin-left:250.707901pt;margin-top:5.239286pt;width:2.6pt;height:10.5pt;mso-position-horizontal-relative:page;mso-position-vertical-relative:paragraph;z-index:-717088" type="#_x0000_t202" filled="false" stroked="false">
            <v:textbox inset="0,0,0,0">
              <w:txbxContent>
                <w:p>
                  <w:pPr>
                    <w:spacing w:line="210" w:lineRule="exact" w:before="0"/>
                    <w:ind w:left="0" w:right="0" w:firstLine="0"/>
                    <w:jc w:val="left"/>
                    <w:rPr>
                      <w:i/>
                      <w:sz w:val="21"/>
                    </w:rPr>
                  </w:pPr>
                  <w:r>
                    <w:rPr>
                      <w:i/>
                      <w:color w:val="010101"/>
                      <w:w w:val="88"/>
                      <w:sz w:val="21"/>
                    </w:rPr>
                    <w:t>l</w:t>
                  </w:r>
                </w:p>
              </w:txbxContent>
            </v:textbox>
            <w10:wrap type="none"/>
          </v:shape>
        </w:pict>
      </w:r>
      <w:r>
        <w:rPr>
          <w:b/>
          <w:i/>
          <w:color w:val="010101"/>
          <w:w w:val="85"/>
          <w:sz w:val="17"/>
        </w:rPr>
        <w:t>•+11</w:t>
      </w:r>
    </w:p>
    <w:p>
      <w:pPr>
        <w:tabs>
          <w:tab w:pos="2056" w:val="left" w:leader="none"/>
          <w:tab w:pos="2376" w:val="left" w:leader="none"/>
        </w:tabs>
        <w:spacing w:line="117" w:lineRule="exact" w:before="0"/>
        <w:ind w:left="818" w:right="0" w:firstLine="0"/>
        <w:jc w:val="left"/>
        <w:rPr>
          <w:sz w:val="17"/>
        </w:rPr>
      </w:pPr>
      <w:r>
        <w:rPr>
          <w:color w:val="010101"/>
          <w:sz w:val="12"/>
        </w:rPr>
        <w:t>ao</w:t>
        <w:tab/>
        <w:t>ao</w:t>
        <w:tab/>
      </w:r>
      <w:r>
        <w:rPr>
          <w:color w:val="010101"/>
          <w:sz w:val="17"/>
        </w:rPr>
        <w:t>-¡-+'+Id</w:t>
      </w:r>
    </w:p>
    <w:p>
      <w:pPr>
        <w:tabs>
          <w:tab w:pos="1399" w:val="left" w:leader="none"/>
          <w:tab w:pos="2131" w:val="left" w:leader="none"/>
          <w:tab w:pos="2779" w:val="left" w:leader="none"/>
        </w:tabs>
        <w:spacing w:line="220" w:lineRule="exact" w:before="0"/>
        <w:ind w:left="0" w:right="1050" w:firstLine="0"/>
        <w:jc w:val="center"/>
        <w:rPr>
          <w:b/>
          <w:i/>
          <w:sz w:val="17"/>
        </w:rPr>
      </w:pPr>
      <w:r>
        <w:rPr/>
        <w:pict>
          <v:shape style="position:absolute;margin-left:183.768707pt;margin-top:5.14185pt;width:54.15pt;height:16.5pt;mso-position-horizontal-relative:page;mso-position-vertical-relative:paragraph;z-index:-717112" type="#_x0000_t202" filled="false" stroked="false">
            <v:textbox inset="0,0,0,0">
              <w:txbxContent>
                <w:p>
                  <w:pPr>
                    <w:tabs>
                      <w:tab w:pos="789" w:val="left" w:leader="none"/>
                    </w:tabs>
                    <w:spacing w:line="330" w:lineRule="exact" w:before="0"/>
                    <w:ind w:left="0" w:right="0" w:firstLine="0"/>
                    <w:jc w:val="left"/>
                    <w:rPr>
                      <w:sz w:val="33"/>
                    </w:rPr>
                  </w:pPr>
                  <w:r>
                    <w:rPr>
                      <w:color w:val="010101"/>
                      <w:w w:val="73"/>
                      <w:sz w:val="29"/>
                    </w:rPr>
                    <w:t>,-o</w:t>
                  </w:r>
                  <w:r>
                    <w:rPr>
                      <w:color w:val="010101"/>
                      <w:sz w:val="29"/>
                    </w:rPr>
                    <w:tab/>
                  </w:r>
                  <w:r>
                    <w:rPr>
                      <w:color w:val="010101"/>
                      <w:spacing w:val="-38"/>
                      <w:w w:val="242"/>
                      <w:sz w:val="33"/>
                    </w:rPr>
                    <w:t>-</w:t>
                  </w:r>
                  <w:r>
                    <w:rPr>
                      <w:color w:val="010101"/>
                      <w:w w:val="42"/>
                      <w:sz w:val="33"/>
                    </w:rPr>
                    <w:t>z</w:t>
                  </w:r>
                </w:p>
              </w:txbxContent>
            </v:textbox>
            <w10:wrap type="none"/>
          </v:shape>
        </w:pict>
      </w:r>
      <w:r>
        <w:rPr/>
        <w:pict>
          <v:shape style="position:absolute;margin-left:98.165497pt;margin-top:2.599192pt;width:136.950pt;height:10.5pt;mso-position-horizontal-relative:page;mso-position-vertical-relative:paragraph;z-index:-717064" type="#_x0000_t202" filled="false" stroked="false">
            <v:textbox inset="0,0,0,0">
              <w:txbxContent>
                <w:p>
                  <w:pPr>
                    <w:tabs>
                      <w:tab w:pos="1051" w:val="left" w:leader="none"/>
                      <w:tab w:pos="2505" w:val="left" w:leader="none"/>
                    </w:tabs>
                    <w:spacing w:line="210" w:lineRule="exact" w:before="0"/>
                    <w:ind w:left="0" w:right="0" w:firstLine="0"/>
                    <w:jc w:val="left"/>
                    <w:rPr>
                      <w:rFonts w:ascii="Arial" w:hAnsi="Arial"/>
                      <w:b/>
                      <w:sz w:val="13"/>
                    </w:rPr>
                  </w:pPr>
                  <w:r>
                    <w:rPr>
                      <w:b/>
                      <w:i/>
                      <w:color w:val="010101"/>
                      <w:w w:val="105"/>
                      <w:sz w:val="12"/>
                    </w:rPr>
                    <w:t>•11   </w:t>
                  </w:r>
                  <w:r>
                    <w:rPr>
                      <w:color w:val="010101"/>
                      <w:w w:val="395"/>
                      <w:sz w:val="12"/>
                    </w:rPr>
                    <w:t>-</w:t>
                  </w:r>
                  <w:r>
                    <w:rPr>
                      <w:color w:val="010101"/>
                      <w:spacing w:val="-74"/>
                      <w:w w:val="395"/>
                      <w:sz w:val="12"/>
                    </w:rPr>
                    <w:t> </w:t>
                  </w:r>
                  <w:r>
                    <w:rPr>
                      <w:rFonts w:ascii="Arial" w:hAnsi="Arial"/>
                      <w:color w:val="010101"/>
                      <w:w w:val="155"/>
                      <w:sz w:val="15"/>
                    </w:rPr>
                    <w:t>4J</w:t>
                  </w:r>
                  <w:r>
                    <w:rPr>
                      <w:rFonts w:ascii="Arial" w:hAnsi="Arial"/>
                      <w:color w:val="010101"/>
                      <w:spacing w:val="-26"/>
                      <w:w w:val="155"/>
                      <w:sz w:val="15"/>
                    </w:rPr>
                    <w:t> </w:t>
                  </w:r>
                  <w:r>
                    <w:rPr>
                      <w:rFonts w:ascii="Arial" w:hAnsi="Arial"/>
                      <w:i/>
                      <w:color w:val="010101"/>
                      <w:w w:val="105"/>
                      <w:sz w:val="14"/>
                    </w:rPr>
                    <w:t>V</w:t>
                    <w:tab/>
                  </w:r>
                  <w:r>
                    <w:rPr>
                      <w:i/>
                      <w:color w:val="010101"/>
                      <w:spacing w:val="-6"/>
                      <w:w w:val="105"/>
                      <w:sz w:val="21"/>
                    </w:rPr>
                    <w:t>,¡q.,, </w:t>
                  </w:r>
                  <w:r>
                    <w:rPr>
                      <w:color w:val="010101"/>
                      <w:w w:val="155"/>
                      <w:sz w:val="21"/>
                    </w:rPr>
                    <w:t>-.</w:t>
                  </w:r>
                  <w:r>
                    <w:rPr>
                      <w:color w:val="010101"/>
                      <w:spacing w:val="-36"/>
                      <w:w w:val="155"/>
                      <w:sz w:val="21"/>
                    </w:rPr>
                    <w:t> </w:t>
                  </w:r>
                  <w:r>
                    <w:rPr>
                      <w:b/>
                      <w:color w:val="010101"/>
                      <w:w w:val="155"/>
                      <w:sz w:val="16"/>
                    </w:rPr>
                    <w:t>4J</w:t>
                    <w:tab/>
                  </w:r>
                  <w:r>
                    <w:rPr>
                      <w:rFonts w:ascii="Arial" w:hAnsi="Arial"/>
                      <w:b/>
                      <w:color w:val="010101"/>
                      <w:w w:val="145"/>
                      <w:sz w:val="13"/>
                    </w:rPr>
                    <w:t>stt</w:t>
                  </w:r>
                </w:p>
              </w:txbxContent>
            </v:textbox>
            <w10:wrap type="none"/>
          </v:shape>
        </w:pict>
      </w:r>
      <w:r>
        <w:rPr>
          <w:rFonts w:ascii="Arial"/>
          <w:i/>
          <w:color w:val="010101"/>
          <w:w w:val="130"/>
          <w:position w:val="-7"/>
          <w:sz w:val="19"/>
        </w:rPr>
        <w:t>A </w:t>
      </w:r>
      <w:r>
        <w:rPr>
          <w:color w:val="010101"/>
          <w:w w:val="150"/>
          <w:sz w:val="12"/>
        </w:rPr>
        <w:t>1   </w:t>
      </w:r>
      <w:r>
        <w:rPr>
          <w:color w:val="010101"/>
          <w:w w:val="180"/>
          <w:sz w:val="12"/>
        </w:rPr>
        <w:t>_</w:t>
      </w:r>
      <w:r>
        <w:rPr>
          <w:color w:val="010101"/>
          <w:spacing w:val="15"/>
          <w:w w:val="180"/>
          <w:sz w:val="12"/>
        </w:rPr>
        <w:t> </w:t>
      </w:r>
      <w:r>
        <w:rPr>
          <w:color w:val="010101"/>
          <w:w w:val="130"/>
          <w:sz w:val="12"/>
        </w:rPr>
        <w:t>"""'  </w:t>
      </w:r>
      <w:r>
        <w:rPr>
          <w:color w:val="010101"/>
          <w:spacing w:val="30"/>
          <w:w w:val="130"/>
          <w:sz w:val="12"/>
        </w:rPr>
        <w:t> </w:t>
      </w:r>
      <w:r>
        <w:rPr>
          <w:color w:val="010101"/>
          <w:w w:val="150"/>
          <w:sz w:val="12"/>
        </w:rPr>
        <w:t>Hl</w:t>
        <w:tab/>
        <w:t>1</w:t>
        <w:tab/>
      </w:r>
      <w:r>
        <w:rPr>
          <w:rFonts w:ascii="Arial"/>
          <w:i/>
          <w:color w:val="010101"/>
          <w:w w:val="110"/>
          <w:sz w:val="14"/>
          <w:u w:val="thick" w:color="000000"/>
        </w:rPr>
        <w:t>V</w:t>
        <w:tab/>
      </w:r>
      <w:r>
        <w:rPr>
          <w:b/>
          <w:color w:val="010101"/>
          <w:w w:val="110"/>
          <w:sz w:val="16"/>
          <w:u w:val="thick" w:color="000000"/>
        </w:rPr>
        <w:t>s+a </w:t>
      </w:r>
      <w:r>
        <w:rPr>
          <w:b/>
          <w:color w:val="010101"/>
          <w:w w:val="130"/>
          <w:sz w:val="16"/>
          <w:u w:val="thick" w:color="000000"/>
        </w:rPr>
        <w:t>'</w:t>
      </w:r>
      <w:r>
        <w:rPr>
          <w:b/>
          <w:color w:val="010101"/>
          <w:spacing w:val="-33"/>
          <w:w w:val="130"/>
          <w:sz w:val="16"/>
          <w:u w:val="thick" w:color="000000"/>
        </w:rPr>
        <w:t> </w:t>
      </w:r>
      <w:r>
        <w:rPr>
          <w:b/>
          <w:i/>
          <w:color w:val="010101"/>
          <w:w w:val="85"/>
          <w:sz w:val="17"/>
          <w:u w:val="thick" w:color="000000"/>
        </w:rPr>
        <w:t>11+&amp;+-J</w:t>
      </w:r>
    </w:p>
    <w:p>
      <w:pPr>
        <w:tabs>
          <w:tab w:pos="3310" w:val="right" w:leader="none"/>
        </w:tabs>
        <w:spacing w:line="127" w:lineRule="exact" w:before="0"/>
        <w:ind w:left="761" w:right="0" w:firstLine="0"/>
        <w:jc w:val="left"/>
        <w:rPr>
          <w:i/>
          <w:sz w:val="13"/>
        </w:rPr>
      </w:pPr>
      <w:r>
        <w:rPr>
          <w:color w:val="010101"/>
          <w:w w:val="115"/>
          <w:sz w:val="18"/>
        </w:rPr>
        <w:t>,-o</w:t>
      </w:r>
      <w:r>
        <w:rPr>
          <w:i/>
          <w:color w:val="010101"/>
          <w:w w:val="115"/>
          <w:sz w:val="13"/>
        </w:rPr>
        <w:tab/>
        <w:t>1</w:t>
      </w:r>
    </w:p>
    <w:p>
      <w:pPr>
        <w:spacing w:line="297" w:lineRule="exact" w:before="0"/>
        <w:ind w:left="2710" w:right="0" w:firstLine="0"/>
        <w:jc w:val="left"/>
        <w:rPr>
          <w:sz w:val="31"/>
        </w:rPr>
      </w:pPr>
      <w:r>
        <w:rPr>
          <w:b/>
          <w:color w:val="010101"/>
          <w:w w:val="61"/>
          <w:sz w:val="31"/>
        </w:rPr>
        <w:t>"</w:t>
      </w:r>
      <w:r>
        <w:rPr>
          <w:b/>
          <w:color w:val="010101"/>
          <w:spacing w:val="-23"/>
          <w:sz w:val="31"/>
        </w:rPr>
        <w:t> </w:t>
      </w:r>
      <w:r>
        <w:rPr>
          <w:b/>
          <w:color w:val="010101"/>
          <w:w w:val="58"/>
          <w:sz w:val="31"/>
        </w:rPr>
        <w:t>t</w:t>
      </w:r>
      <w:r>
        <w:rPr>
          <w:b/>
          <w:color w:val="010101"/>
          <w:spacing w:val="30"/>
          <w:sz w:val="31"/>
        </w:rPr>
        <w:t> </w:t>
      </w:r>
      <w:r>
        <w:rPr>
          <w:color w:val="010101"/>
          <w:spacing w:val="-151"/>
          <w:w w:val="211"/>
          <w:sz w:val="31"/>
        </w:rPr>
        <w:t>·</w:t>
      </w:r>
      <w:r>
        <w:rPr>
          <w:color w:val="010101"/>
          <w:w w:val="273"/>
          <w:sz w:val="31"/>
        </w:rPr>
        <w:t>·</w:t>
      </w:r>
    </w:p>
    <w:p>
      <w:pPr>
        <w:spacing w:after="0" w:line="297" w:lineRule="exact"/>
        <w:jc w:val="left"/>
        <w:rPr>
          <w:sz w:val="31"/>
        </w:rPr>
        <w:sectPr>
          <w:type w:val="continuous"/>
          <w:pgSz w:w="7200" w:h="11340"/>
          <w:pgMar w:top="1100" w:bottom="0" w:left="660" w:right="560"/>
          <w:cols w:num="2" w:equalWidth="0">
            <w:col w:w="731" w:space="288"/>
            <w:col w:w="4961"/>
          </w:cols>
        </w:sectPr>
      </w:pPr>
    </w:p>
    <w:p>
      <w:pPr>
        <w:pStyle w:val="BodyText"/>
        <w:spacing w:before="972"/>
        <w:ind w:left="118" w:right="-10"/>
      </w:pPr>
      <w:r>
        <w:rPr>
          <w:color w:val="010101"/>
        </w:rPr>
        <w:t>where</w:t>
      </w:r>
    </w:p>
    <w:p>
      <w:pPr>
        <w:pStyle w:val="BodyText"/>
        <w:ind w:left="272"/>
      </w:pPr>
      <w:r>
        <w:rPr/>
        <w:br w:type="column"/>
      </w:r>
      <w:r>
        <w:rPr/>
        <w:drawing>
          <wp:inline distT="0" distB="0" distL="0" distR="0">
            <wp:extent cx="1243583" cy="457200"/>
            <wp:effectExtent l="0" t="0" r="0" b="0"/>
            <wp:docPr id="543" name="image277.png" descr=""/>
            <wp:cNvGraphicFramePr>
              <a:graphicFrameLocks noChangeAspect="1"/>
            </wp:cNvGraphicFramePr>
            <a:graphic>
              <a:graphicData uri="http://schemas.openxmlformats.org/drawingml/2006/picture">
                <pic:pic>
                  <pic:nvPicPr>
                    <pic:cNvPr id="544" name="image277.png"/>
                    <pic:cNvPicPr/>
                  </pic:nvPicPr>
                  <pic:blipFill>
                    <a:blip r:embed="rId281" cstate="print"/>
                    <a:stretch>
                      <a:fillRect/>
                    </a:stretch>
                  </pic:blipFill>
                  <pic:spPr>
                    <a:xfrm>
                      <a:off x="0" y="0"/>
                      <a:ext cx="1243583" cy="457200"/>
                    </a:xfrm>
                    <a:prstGeom prst="rect">
                      <a:avLst/>
                    </a:prstGeom>
                  </pic:spPr>
                </pic:pic>
              </a:graphicData>
            </a:graphic>
          </wp:inline>
        </w:drawing>
      </w:r>
      <w:r>
        <w:rPr/>
      </w:r>
    </w:p>
    <w:p>
      <w:pPr>
        <w:pStyle w:val="BodyText"/>
        <w:rPr>
          <w:sz w:val="16"/>
        </w:rPr>
      </w:pPr>
    </w:p>
    <w:p>
      <w:pPr>
        <w:tabs>
          <w:tab w:pos="1019" w:val="left" w:leader="none"/>
        </w:tabs>
        <w:spacing w:line="122" w:lineRule="exact" w:before="0"/>
        <w:ind w:left="255" w:right="0" w:firstLine="0"/>
        <w:jc w:val="left"/>
        <w:rPr>
          <w:b/>
          <w:sz w:val="13"/>
        </w:rPr>
      </w:pPr>
      <w:r>
        <w:rPr/>
        <w:pict>
          <v:line style="position:absolute;mso-position-horizontal-relative:page;mso-position-vertical-relative:paragraph;z-index:-717160" from="139.441696pt,6.607664pt" to="142.133596pt,6.607664pt" stroked="true" strokeweight="1.07677pt" strokecolor="#000000">
            <w10:wrap type="none"/>
          </v:line>
        </w:pict>
      </w:r>
      <w:r>
        <w:rPr/>
        <w:pict>
          <v:shape style="position:absolute;margin-left:119.700897pt;margin-top:1.180506pt;width:140.9pt;height:16.1pt;mso-position-horizontal-relative:page;mso-position-vertical-relative:paragraph;z-index:-717040" type="#_x0000_t202" filled="false" stroked="false">
            <v:textbox inset="0,0,0,0">
              <w:txbxContent>
                <w:p>
                  <w:pPr>
                    <w:tabs>
                      <w:tab w:pos="699" w:val="left" w:leader="none"/>
                      <w:tab w:pos="1640" w:val="left" w:leader="none"/>
                    </w:tabs>
                    <w:spacing w:line="321" w:lineRule="exact" w:before="0"/>
                    <w:ind w:left="0" w:right="0" w:firstLine="0"/>
                    <w:jc w:val="left"/>
                    <w:rPr>
                      <w:i/>
                      <w:sz w:val="21"/>
                    </w:rPr>
                  </w:pPr>
                  <w:r>
                    <w:rPr>
                      <w:color w:val="010101"/>
                      <w:sz w:val="26"/>
                    </w:rPr>
                    <w:t>=</w:t>
                  </w:r>
                  <w:r>
                    <w:rPr>
                      <w:color w:val="010101"/>
                      <w:spacing w:val="28"/>
                      <w:sz w:val="26"/>
                    </w:rPr>
                    <w:t> </w:t>
                  </w:r>
                  <w:r>
                    <w:rPr>
                      <w:color w:val="010101"/>
                      <w:sz w:val="26"/>
                    </w:rPr>
                    <w:t>"</w:t>
                    <w:tab/>
                  </w:r>
                  <w:r>
                    <w:rPr>
                      <w:rFonts w:ascii="Arial"/>
                      <w:i/>
                      <w:color w:val="010101"/>
                      <w:sz w:val="21"/>
                    </w:rPr>
                    <w:t>kdJ'll+t</w:t>
                    <w:tab/>
                  </w:r>
                  <w:r>
                    <w:rPr>
                      <w:color w:val="010101"/>
                      <w:position w:val="6"/>
                      <w:sz w:val="21"/>
                    </w:rPr>
                    <w:t>with  </w:t>
                  </w:r>
                  <w:r>
                    <w:rPr>
                      <w:i/>
                      <w:color w:val="010101"/>
                      <w:position w:val="6"/>
                      <w:sz w:val="21"/>
                    </w:rPr>
                    <w:t>k  </w:t>
                  </w:r>
                  <w:r>
                    <w:rPr>
                      <w:color w:val="010101"/>
                      <w:position w:val="6"/>
                      <w:sz w:val="26"/>
                    </w:rPr>
                    <w:t>= </w:t>
                  </w:r>
                  <w:r>
                    <w:rPr>
                      <w:color w:val="010101"/>
                      <w:spacing w:val="25"/>
                      <w:position w:val="6"/>
                      <w:sz w:val="26"/>
                    </w:rPr>
                    <w:t> </w:t>
                  </w:r>
                  <w:r>
                    <w:rPr>
                      <w:i/>
                      <w:color w:val="010101"/>
                      <w:w w:val="340"/>
                      <w:position w:val="6"/>
                      <w:sz w:val="21"/>
                    </w:rPr>
                    <w:t>l</w:t>
                  </w:r>
                </w:p>
              </w:txbxContent>
            </v:textbox>
            <w10:wrap type="none"/>
          </v:shape>
        </w:pict>
      </w:r>
      <w:r>
        <w:rPr/>
        <w:pict>
          <v:shape style="position:absolute;margin-left:101.7547pt;margin-top:1.018011pt;width:1.2pt;height:17pt;mso-position-horizontal-relative:page;mso-position-vertical-relative:paragraph;z-index:19096" type="#_x0000_t202" filled="false" stroked="false">
            <v:textbox inset="0,0,0,0">
              <w:txbxContent>
                <w:p>
                  <w:pPr>
                    <w:spacing w:line="340" w:lineRule="exact" w:before="0"/>
                    <w:ind w:left="0" w:right="0" w:firstLine="0"/>
                    <w:jc w:val="left"/>
                    <w:rPr>
                      <w:i/>
                      <w:sz w:val="34"/>
                    </w:rPr>
                  </w:pPr>
                  <w:r>
                    <w:rPr>
                      <w:i/>
                      <w:color w:val="010101"/>
                      <w:spacing w:val="-251"/>
                      <w:w w:val="181"/>
                      <w:sz w:val="34"/>
                    </w:rPr>
                    <w:t>e</w:t>
                  </w:r>
                </w:p>
              </w:txbxContent>
            </v:textbox>
            <w10:wrap type="none"/>
          </v:shape>
        </w:pict>
      </w:r>
      <w:r>
        <w:rPr>
          <w:b/>
          <w:color w:val="010101"/>
          <w:w w:val="115"/>
          <w:sz w:val="13"/>
        </w:rPr>
        <w:t>1</w:t>
        <w:tab/>
        <w:t>+1</w:t>
      </w:r>
    </w:p>
    <w:p>
      <w:pPr>
        <w:spacing w:line="95" w:lineRule="exact" w:before="0"/>
        <w:ind w:left="872" w:right="0" w:firstLine="0"/>
        <w:jc w:val="left"/>
        <w:rPr>
          <w:rFonts w:ascii="Arial"/>
          <w:sz w:val="12"/>
        </w:rPr>
      </w:pPr>
      <w:r>
        <w:rPr>
          <w:rFonts w:ascii="Arial"/>
          <w:color w:val="010101"/>
          <w:w w:val="98"/>
          <w:sz w:val="12"/>
        </w:rPr>
        <w:t>2</w:t>
      </w:r>
    </w:p>
    <w:p>
      <w:pPr>
        <w:spacing w:line="226" w:lineRule="exact" w:before="0"/>
        <w:ind w:left="0" w:right="0" w:firstLine="0"/>
        <w:jc w:val="right"/>
        <w:rPr>
          <w:rFonts w:ascii="Arial" w:hAnsi="Arial"/>
          <w:i/>
          <w:sz w:val="21"/>
        </w:rPr>
      </w:pPr>
      <w:r>
        <w:rPr/>
        <w:pict>
          <v:shape style="position:absolute;margin-left:135.852402pt;margin-top:13.171318pt;width:6.55pt;height:12pt;mso-position-horizontal-relative:page;mso-position-vertical-relative:paragraph;z-index:-717016" type="#_x0000_t202" filled="false" stroked="false">
            <v:textbox inset="0,0,0,0">
              <w:txbxContent>
                <w:p>
                  <w:pPr>
                    <w:spacing w:line="240" w:lineRule="exact" w:before="0"/>
                    <w:ind w:left="0" w:right="0" w:firstLine="0"/>
                    <w:jc w:val="left"/>
                    <w:rPr>
                      <w:rFonts w:ascii="Arial" w:hAnsi="Arial"/>
                      <w:sz w:val="24"/>
                    </w:rPr>
                  </w:pPr>
                  <w:r>
                    <w:rPr>
                      <w:rFonts w:ascii="Arial" w:hAnsi="Arial"/>
                      <w:color w:val="010101"/>
                      <w:w w:val="154"/>
                      <w:sz w:val="24"/>
                    </w:rPr>
                    <w:t>•</w:t>
                  </w:r>
                </w:p>
              </w:txbxContent>
            </v:textbox>
            <w10:wrap type="none"/>
          </v:shape>
        </w:pict>
      </w:r>
      <w:r>
        <w:rPr>
          <w:rFonts w:ascii="Arial" w:hAnsi="Arial"/>
          <w:i/>
          <w:color w:val="010101"/>
          <w:w w:val="115"/>
          <w:sz w:val="21"/>
        </w:rPr>
        <w:t>l.·l,,</w:t>
      </w:r>
    </w:p>
    <w:p>
      <w:pPr>
        <w:pStyle w:val="BodyText"/>
        <w:rPr>
          <w:rFonts w:ascii="Arial"/>
          <w:i/>
        </w:rPr>
      </w:pPr>
      <w:r>
        <w:rPr/>
        <w:br w:type="column"/>
      </w:r>
      <w:r>
        <w:rPr>
          <w:rFonts w:ascii="Arial"/>
          <w:i/>
        </w:rPr>
      </w:r>
    </w:p>
    <w:p>
      <w:pPr>
        <w:pStyle w:val="BodyText"/>
        <w:rPr>
          <w:rFonts w:ascii="Arial"/>
          <w:i/>
        </w:rPr>
      </w:pPr>
    </w:p>
    <w:p>
      <w:pPr>
        <w:pStyle w:val="BodyText"/>
        <w:rPr>
          <w:rFonts w:ascii="Arial"/>
          <w:i/>
        </w:rPr>
      </w:pPr>
    </w:p>
    <w:p>
      <w:pPr>
        <w:pStyle w:val="BodyText"/>
        <w:spacing w:before="2"/>
        <w:rPr>
          <w:rFonts w:ascii="Arial"/>
          <w:i/>
          <w:sz w:val="24"/>
        </w:rPr>
      </w:pPr>
    </w:p>
    <w:p>
      <w:pPr>
        <w:pStyle w:val="BodyText"/>
        <w:ind w:left="118"/>
      </w:pPr>
      <w:r>
        <w:rPr>
          <w:color w:val="010101"/>
          <w:w w:val="125"/>
        </w:rPr>
        <w:t>(11.36)</w:t>
      </w:r>
    </w:p>
    <w:p>
      <w:pPr>
        <w:spacing w:after="0"/>
        <w:sectPr>
          <w:type w:val="continuous"/>
          <w:pgSz w:w="7200" w:h="11340"/>
          <w:pgMar w:top="1100" w:bottom="0" w:left="660" w:right="560"/>
          <w:cols w:num="3" w:equalWidth="0">
            <w:col w:w="617" w:space="639"/>
            <w:col w:w="3359" w:space="492"/>
            <w:col w:w="873"/>
          </w:cols>
        </w:sectPr>
      </w:pPr>
    </w:p>
    <w:p>
      <w:pPr>
        <w:pStyle w:val="BodyText"/>
        <w:spacing w:before="6"/>
        <w:rPr>
          <w:sz w:val="19"/>
        </w:rPr>
      </w:pPr>
    </w:p>
    <w:p>
      <w:pPr>
        <w:pStyle w:val="BodyText"/>
        <w:spacing w:before="1"/>
        <w:ind w:left="118" w:right="-19"/>
      </w:pPr>
      <w:r>
        <w:rPr>
          <w:color w:val="010101"/>
          <w:w w:val="110"/>
        </w:rPr>
        <w:t>and</w:t>
      </w:r>
    </w:p>
    <w:p>
      <w:pPr>
        <w:spacing w:before="107"/>
        <w:ind w:left="118" w:right="-15" w:firstLine="0"/>
        <w:jc w:val="left"/>
        <w:rPr>
          <w:sz w:val="14"/>
        </w:rPr>
      </w:pPr>
      <w:r>
        <w:rPr/>
        <w:br w:type="column"/>
      </w:r>
      <w:r>
        <w:rPr>
          <w:i/>
          <w:color w:val="010101"/>
          <w:w w:val="73"/>
          <w:sz w:val="27"/>
        </w:rPr>
        <w:t>M!.,</w:t>
      </w:r>
      <w:r>
        <w:rPr>
          <w:i/>
          <w:color w:val="010101"/>
          <w:spacing w:val="8"/>
          <w:sz w:val="27"/>
        </w:rPr>
        <w:t> </w:t>
      </w:r>
      <w:r>
        <w:rPr>
          <w:color w:val="010101"/>
          <w:w w:val="94"/>
          <w:sz w:val="26"/>
        </w:rPr>
        <w:t>=</w:t>
      </w:r>
      <w:r>
        <w:rPr>
          <w:color w:val="010101"/>
          <w:sz w:val="26"/>
        </w:rPr>
        <w:t> </w:t>
      </w:r>
      <w:r>
        <w:rPr>
          <w:color w:val="010101"/>
          <w:spacing w:val="-4"/>
          <w:sz w:val="26"/>
        </w:rPr>
        <w:t> </w:t>
      </w:r>
      <w:r>
        <w:rPr>
          <w:rFonts w:ascii="Arial"/>
          <w:color w:val="010101"/>
          <w:spacing w:val="-65"/>
          <w:w w:val="84"/>
          <w:sz w:val="32"/>
        </w:rPr>
        <w:t>:</w:t>
      </w:r>
      <w:r>
        <w:rPr>
          <w:b/>
          <w:color w:val="010101"/>
          <w:w w:val="83"/>
          <w:position w:val="-10"/>
          <w:sz w:val="25"/>
        </w:rPr>
        <w:t>,</w:t>
      </w:r>
      <w:r>
        <w:rPr>
          <w:b/>
          <w:color w:val="010101"/>
          <w:spacing w:val="-57"/>
          <w:w w:val="83"/>
          <w:position w:val="-10"/>
          <w:sz w:val="25"/>
        </w:rPr>
        <w:t>-</w:t>
      </w:r>
      <w:r>
        <w:rPr>
          <w:rFonts w:ascii="Arial"/>
          <w:color w:val="010101"/>
          <w:spacing w:val="-125"/>
          <w:w w:val="84"/>
          <w:sz w:val="32"/>
        </w:rPr>
        <w:t>E</w:t>
      </w:r>
      <w:r>
        <w:rPr>
          <w:b/>
          <w:color w:val="010101"/>
          <w:w w:val="83"/>
          <w:position w:val="-10"/>
          <w:sz w:val="25"/>
        </w:rPr>
        <w:t>o</w:t>
      </w:r>
      <w:r>
        <w:rPr>
          <w:b/>
          <w:color w:val="010101"/>
          <w:spacing w:val="-11"/>
          <w:position w:val="-10"/>
          <w:sz w:val="25"/>
        </w:rPr>
        <w:t> </w:t>
      </w:r>
      <w:r>
        <w:rPr>
          <w:color w:val="010101"/>
          <w:spacing w:val="-20"/>
          <w:w w:val="95"/>
          <w:sz w:val="35"/>
        </w:rPr>
        <w:t>c</w:t>
      </w:r>
      <w:r>
        <w:rPr>
          <w:color w:val="010101"/>
          <w:spacing w:val="27"/>
          <w:w w:val="178"/>
          <w:sz w:val="35"/>
        </w:rPr>
        <w:t>.</w:t>
      </w:r>
      <w:r>
        <w:rPr>
          <w:color w:val="010101"/>
          <w:spacing w:val="18"/>
          <w:w w:val="61"/>
          <w:sz w:val="35"/>
        </w:rPr>
        <w:t>,</w:t>
      </w:r>
      <w:r>
        <w:rPr>
          <w:color w:val="010101"/>
          <w:w w:val="86"/>
          <w:sz w:val="14"/>
        </w:rPr>
        <w:t>:11+1</w:t>
      </w:r>
      <w:r>
        <w:rPr>
          <w:color w:val="010101"/>
          <w:spacing w:val="10"/>
          <w:sz w:val="14"/>
        </w:rPr>
        <w:t> </w:t>
      </w:r>
      <w:r>
        <w:rPr>
          <w:color w:val="010101"/>
          <w:w w:val="212"/>
          <w:sz w:val="14"/>
        </w:rPr>
        <w:t>.</w:t>
      </w:r>
    </w:p>
    <w:p>
      <w:pPr>
        <w:pStyle w:val="BodyText"/>
        <w:spacing w:before="3"/>
        <w:rPr>
          <w:sz w:val="19"/>
        </w:rPr>
      </w:pPr>
      <w:r>
        <w:rPr/>
        <w:br w:type="column"/>
      </w:r>
      <w:r>
        <w:rPr>
          <w:sz w:val="19"/>
        </w:rPr>
      </w:r>
    </w:p>
    <w:p>
      <w:pPr>
        <w:pStyle w:val="BodyText"/>
        <w:ind w:left="118"/>
      </w:pPr>
      <w:r>
        <w:rPr>
          <w:color w:val="010101"/>
          <w:w w:val="105"/>
        </w:rPr>
        <w:t>(11.37)</w:t>
      </w:r>
    </w:p>
    <w:p>
      <w:pPr>
        <w:spacing w:after="0"/>
        <w:sectPr>
          <w:type w:val="continuous"/>
          <w:pgSz w:w="7200" w:h="11340"/>
          <w:pgMar w:top="1100" w:bottom="0" w:left="660" w:right="560"/>
          <w:cols w:num="3" w:equalWidth="0">
            <w:col w:w="437" w:space="755"/>
            <w:col w:w="1870" w:space="2053"/>
            <w:col w:w="865"/>
          </w:cols>
        </w:sectPr>
      </w:pPr>
    </w:p>
    <w:p>
      <w:pPr>
        <w:pStyle w:val="BodyText"/>
        <w:spacing w:before="138"/>
        <w:ind w:left="118"/>
      </w:pPr>
      <w:r>
        <w:rPr/>
        <w:pict>
          <v:line style="position:absolute;mso-position-horizontal-relative:page;mso-position-vertical-relative:paragraph;z-index:-717136" from="153.080795pt,-7.763562pt" to="156.131595pt,-7.763562pt" stroked="true" strokeweight=".897308pt" strokecolor="#000000">
            <w10:wrap type="none"/>
          </v:line>
        </w:pict>
      </w:r>
      <w:r>
        <w:rPr>
          <w:color w:val="010101"/>
          <w:w w:val="105"/>
        </w:rPr>
        <w:t>For the contingent term insurance, we  ha.ve</w:t>
      </w:r>
    </w:p>
    <w:p>
      <w:pPr>
        <w:tabs>
          <w:tab w:pos="2383" w:val="left" w:leader="none"/>
        </w:tabs>
        <w:spacing w:line="250" w:lineRule="exact" w:before="142"/>
        <w:ind w:left="1963" w:right="0" w:firstLine="0"/>
        <w:jc w:val="left"/>
        <w:rPr>
          <w:b/>
          <w:i/>
          <w:sz w:val="17"/>
        </w:rPr>
      </w:pPr>
      <w:r>
        <w:rPr/>
        <w:pict>
          <v:shape style="position:absolute;margin-left:123.110703pt;margin-top:15.987374pt;width:103pt;height:10pt;mso-position-horizontal-relative:page;mso-position-vertical-relative:paragraph;z-index:-716992" type="#_x0000_t202" filled="false" stroked="false">
            <v:textbox inset="0,0,0,0">
              <w:txbxContent>
                <w:p>
                  <w:pPr>
                    <w:tabs>
                      <w:tab w:pos="1981" w:val="left" w:leader="none"/>
                    </w:tabs>
                    <w:spacing w:line="200" w:lineRule="exact" w:before="0"/>
                    <w:ind w:left="0" w:right="0" w:firstLine="0"/>
                    <w:jc w:val="left"/>
                    <w:rPr>
                      <w:rFonts w:ascii="Arial"/>
                      <w:b/>
                      <w:i/>
                      <w:sz w:val="10"/>
                    </w:rPr>
                  </w:pPr>
                  <w:r>
                    <w:rPr>
                      <w:rFonts w:ascii="Arial"/>
                      <w:color w:val="010101"/>
                      <w:w w:val="95"/>
                      <w:position w:val="-5"/>
                      <w:sz w:val="20"/>
                    </w:rPr>
                    <w:t>A</w:t>
                    <w:tab/>
                  </w:r>
                  <w:r>
                    <w:rPr>
                      <w:rFonts w:ascii="Arial"/>
                      <w:b/>
                      <w:i/>
                      <w:color w:val="010101"/>
                      <w:w w:val="70"/>
                      <w:sz w:val="10"/>
                      <w:u w:val="single" w:color="000000"/>
                    </w:rPr>
                    <w:t>1</w:t>
                  </w:r>
                  <w:r>
                    <w:rPr>
                      <w:rFonts w:ascii="Arial"/>
                      <w:b/>
                      <w:i/>
                      <w:color w:val="010101"/>
                      <w:w w:val="70"/>
                      <w:sz w:val="10"/>
                    </w:rPr>
                    <w:t>1</w:t>
                  </w:r>
                </w:p>
              </w:txbxContent>
            </v:textbox>
            <w10:wrap type="none"/>
          </v:shape>
        </w:pict>
      </w:r>
      <w:r>
        <w:rPr>
          <w:color w:val="010101"/>
          <w:w w:val="160"/>
          <w:sz w:val="13"/>
        </w:rPr>
        <w:t>1</w:t>
        <w:tab/>
        <w:t>_</w:t>
      </w:r>
      <w:r>
        <w:rPr>
          <w:color w:val="010101"/>
          <w:spacing w:val="-16"/>
          <w:w w:val="160"/>
          <w:sz w:val="13"/>
        </w:rPr>
        <w:t> </w:t>
      </w:r>
      <w:r>
        <w:rPr>
          <w:b/>
          <w:i/>
          <w:color w:val="010101"/>
          <w:w w:val="95"/>
          <w:sz w:val="26"/>
        </w:rPr>
        <w:t>M!.,</w:t>
      </w:r>
      <w:r>
        <w:rPr>
          <w:b/>
          <w:i/>
          <w:color w:val="010101"/>
          <w:spacing w:val="-28"/>
          <w:w w:val="95"/>
          <w:sz w:val="26"/>
        </w:rPr>
        <w:t> </w:t>
      </w:r>
      <w:r>
        <w:rPr>
          <w:color w:val="010101"/>
          <w:w w:val="190"/>
          <w:sz w:val="26"/>
        </w:rPr>
        <w:t>-</w:t>
      </w:r>
      <w:r>
        <w:rPr>
          <w:color w:val="010101"/>
          <w:spacing w:val="-108"/>
          <w:w w:val="190"/>
          <w:sz w:val="26"/>
        </w:rPr>
        <w:t> </w:t>
      </w:r>
      <w:r>
        <w:rPr>
          <w:b/>
          <w:i/>
          <w:color w:val="010101"/>
          <w:w w:val="95"/>
          <w:sz w:val="26"/>
        </w:rPr>
        <w:t>M;:;</w:t>
      </w:r>
      <w:r>
        <w:rPr>
          <w:b/>
          <w:i/>
          <w:color w:val="010101"/>
          <w:w w:val="95"/>
          <w:sz w:val="26"/>
          <w:u w:val="single" w:color="000000"/>
        </w:rPr>
        <w:t>;:</w:t>
      </w:r>
      <w:r>
        <w:rPr>
          <w:b/>
          <w:i/>
          <w:color w:val="010101"/>
          <w:spacing w:val="-32"/>
          <w:w w:val="95"/>
          <w:sz w:val="26"/>
          <w:u w:val="single" w:color="000000"/>
        </w:rPr>
        <w:t> </w:t>
      </w:r>
      <w:r>
        <w:rPr>
          <w:b/>
          <w:i/>
          <w:color w:val="010101"/>
          <w:w w:val="95"/>
          <w:sz w:val="17"/>
        </w:rPr>
        <w:t>+"</w:t>
      </w:r>
    </w:p>
    <w:p>
      <w:pPr>
        <w:tabs>
          <w:tab w:pos="3180" w:val="left" w:leader="none"/>
        </w:tabs>
        <w:spacing w:line="193" w:lineRule="exact" w:before="0"/>
        <w:ind w:left="1956" w:right="0" w:firstLine="0"/>
        <w:jc w:val="left"/>
        <w:rPr>
          <w:rFonts w:ascii="Arial" w:hAnsi="Arial"/>
          <w:b/>
          <w:i/>
          <w:sz w:val="20"/>
        </w:rPr>
      </w:pPr>
      <w:r>
        <w:rPr>
          <w:color w:val="010101"/>
          <w:sz w:val="21"/>
        </w:rPr>
        <w:t>.,,:ñl</w:t>
      </w:r>
      <w:r>
        <w:rPr>
          <w:color w:val="010101"/>
          <w:spacing w:val="30"/>
          <w:sz w:val="21"/>
        </w:rPr>
        <w:t> </w:t>
      </w:r>
      <w:r>
        <w:rPr>
          <w:color w:val="010101"/>
          <w:w w:val="215"/>
          <w:sz w:val="21"/>
        </w:rPr>
        <w:t>-</w:t>
        <w:tab/>
      </w:r>
      <w:r>
        <w:rPr>
          <w:rFonts w:ascii="Arial" w:hAnsi="Arial"/>
          <w:b/>
          <w:i/>
          <w:color w:val="010101"/>
          <w:sz w:val="20"/>
        </w:rPr>
        <w:t>Dq</w:t>
      </w:r>
    </w:p>
    <w:p>
      <w:pPr>
        <w:pStyle w:val="BodyText"/>
        <w:spacing w:before="116"/>
        <w:ind w:left="111"/>
      </w:pPr>
      <w:r>
        <w:rPr/>
        <w:drawing>
          <wp:anchor distT="0" distB="0" distL="0" distR="0" allowOverlap="1" layoutInCell="1" locked="0" behindDoc="0" simplePos="0" relativeHeight="18880">
            <wp:simplePos x="0" y="0"/>
            <wp:positionH relativeFrom="page">
              <wp:posOffset>1508760</wp:posOffset>
            </wp:positionH>
            <wp:positionV relativeFrom="paragraph">
              <wp:posOffset>366844</wp:posOffset>
            </wp:positionV>
            <wp:extent cx="1627631" cy="292608"/>
            <wp:effectExtent l="0" t="0" r="0" b="0"/>
            <wp:wrapNone/>
            <wp:docPr id="545" name="image278.png" descr=""/>
            <wp:cNvGraphicFramePr>
              <a:graphicFrameLocks noChangeAspect="1"/>
            </wp:cNvGraphicFramePr>
            <a:graphic>
              <a:graphicData uri="http://schemas.openxmlformats.org/drawingml/2006/picture">
                <pic:pic>
                  <pic:nvPicPr>
                    <pic:cNvPr id="546" name="image278.png"/>
                    <pic:cNvPicPr/>
                  </pic:nvPicPr>
                  <pic:blipFill>
                    <a:blip r:embed="rId282" cstate="print"/>
                    <a:stretch>
                      <a:fillRect/>
                    </a:stretch>
                  </pic:blipFill>
                  <pic:spPr>
                    <a:xfrm>
                      <a:off x="0" y="0"/>
                      <a:ext cx="1627631" cy="292608"/>
                    </a:xfrm>
                    <a:prstGeom prst="rect">
                      <a:avLst/>
                    </a:prstGeom>
                  </pic:spPr>
                </pic:pic>
              </a:graphicData>
            </a:graphic>
          </wp:anchor>
        </w:drawing>
      </w:r>
      <w:r>
        <w:rPr>
          <w:color w:val="010101"/>
        </w:rPr>
        <w:t>The exact  definition of  </w:t>
      </w:r>
      <w:r>
        <w:rPr>
          <w:i/>
          <w:color w:val="010101"/>
          <w:sz w:val="27"/>
        </w:rPr>
        <w:t>C!., </w:t>
      </w:r>
      <w:r>
        <w:rPr>
          <w:color w:val="010101"/>
        </w:rPr>
        <w:t>is</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8"/>
        <w:rPr>
          <w:sz w:val="22"/>
        </w:rPr>
      </w:pPr>
    </w:p>
    <w:p>
      <w:pPr>
        <w:pStyle w:val="BodyText"/>
        <w:ind w:left="111"/>
      </w:pPr>
      <w:r>
        <w:rPr>
          <w:color w:val="010101"/>
          <w:w w:val="110"/>
        </w:rPr>
        <w:t>(11.38)</w:t>
      </w:r>
    </w:p>
    <w:p>
      <w:pPr>
        <w:spacing w:after="0"/>
        <w:sectPr>
          <w:type w:val="continuous"/>
          <w:pgSz w:w="7200" w:h="11340"/>
          <w:pgMar w:top="1100" w:bottom="0" w:left="660" w:right="560"/>
          <w:cols w:num="2" w:equalWidth="0">
            <w:col w:w="4280" w:space="821"/>
            <w:col w:w="879"/>
          </w:cols>
        </w:sectPr>
      </w:pPr>
    </w:p>
    <w:p>
      <w:pPr>
        <w:pStyle w:val="BodyText"/>
        <w:spacing w:before="2"/>
        <w:rPr>
          <w:sz w:val="18"/>
        </w:rPr>
      </w:pPr>
    </w:p>
    <w:p>
      <w:pPr>
        <w:pStyle w:val="BodyText"/>
        <w:spacing w:line="247" w:lineRule="auto" w:before="75"/>
        <w:ind w:left="115" w:right="133"/>
      </w:pPr>
      <w:r>
        <w:rPr>
          <w:color w:val="010101"/>
          <w:w w:val="105"/>
        </w:rPr>
        <w:t>the form given by (11</w:t>
      </w:r>
      <w:r>
        <w:rPr>
          <w:color w:val="212121"/>
          <w:w w:val="105"/>
        </w:rPr>
        <w:t>.</w:t>
      </w:r>
      <w:r>
        <w:rPr>
          <w:color w:val="010101"/>
          <w:w w:val="105"/>
        </w:rPr>
        <w:t>36) being merely a convenient a.pproxima­ tion to the ti:.ue value.</w:t>
      </w:r>
    </w:p>
    <w:p>
      <w:pPr>
        <w:spacing w:after="0" w:line="247" w:lineRule="auto"/>
        <w:sectPr>
          <w:type w:val="continuous"/>
          <w:pgSz w:w="7200" w:h="11340"/>
          <w:pgMar w:top="1100" w:bottom="0" w:left="660" w:right="560"/>
        </w:sectPr>
      </w:pPr>
    </w:p>
    <w:p>
      <w:pPr>
        <w:tabs>
          <w:tab w:pos="1949" w:val="left" w:leader="none"/>
          <w:tab w:pos="5232" w:val="left" w:leader="none"/>
        </w:tabs>
        <w:spacing w:before="61"/>
        <w:ind w:left="320" w:right="0" w:hanging="194"/>
        <w:jc w:val="left"/>
        <w:rPr>
          <w:rFonts w:ascii="Arial"/>
          <w:b/>
          <w:sz w:val="19"/>
        </w:rPr>
      </w:pPr>
      <w:r>
        <w:rPr>
          <w:color w:val="010101"/>
          <w:spacing w:val="-5"/>
          <w:sz w:val="21"/>
        </w:rPr>
        <w:t>236</w:t>
        <w:tab/>
      </w:r>
      <w:r>
        <w:rPr>
          <w:b/>
          <w:color w:val="010101"/>
          <w:sz w:val="15"/>
        </w:rPr>
        <w:t>CONTINGENT  </w:t>
      </w:r>
      <w:r>
        <w:rPr>
          <w:b/>
          <w:color w:val="010101"/>
          <w:spacing w:val="18"/>
          <w:sz w:val="15"/>
        </w:rPr>
        <w:t> </w:t>
      </w:r>
      <w:r>
        <w:rPr>
          <w:b/>
          <w:color w:val="010101"/>
          <w:sz w:val="15"/>
        </w:rPr>
        <w:t>FUNCTIONS</w:t>
        <w:tab/>
      </w:r>
      <w:r>
        <w:rPr>
          <w:rFonts w:ascii="Arial"/>
          <w:b/>
          <w:color w:val="010101"/>
          <w:spacing w:val="-3"/>
          <w:position w:val="1"/>
          <w:sz w:val="19"/>
        </w:rPr>
        <w:t>[CH.</w:t>
      </w:r>
      <w:r>
        <w:rPr>
          <w:rFonts w:ascii="Arial"/>
          <w:b/>
          <w:color w:val="010101"/>
          <w:spacing w:val="1"/>
          <w:position w:val="1"/>
          <w:sz w:val="19"/>
        </w:rPr>
        <w:t> </w:t>
      </w:r>
      <w:r>
        <w:rPr>
          <w:rFonts w:ascii="Arial"/>
          <w:b/>
          <w:color w:val="010101"/>
          <w:position w:val="1"/>
          <w:sz w:val="19"/>
        </w:rPr>
        <w:t>11</w:t>
      </w:r>
    </w:p>
    <w:p>
      <w:pPr>
        <w:pStyle w:val="BodyText"/>
        <w:spacing w:before="2"/>
        <w:rPr>
          <w:rFonts w:ascii="Arial"/>
          <w:b/>
          <w:sz w:val="19"/>
        </w:rPr>
      </w:pPr>
    </w:p>
    <w:p>
      <w:pPr>
        <w:spacing w:line="235" w:lineRule="auto" w:before="0"/>
        <w:ind w:left="120" w:right="124" w:firstLine="200"/>
        <w:jc w:val="both"/>
        <w:rPr>
          <w:sz w:val="21"/>
        </w:rPr>
      </w:pPr>
      <w:r>
        <w:rPr>
          <w:color w:val="010101"/>
          <w:sz w:val="21"/>
        </w:rPr>
        <w:t>These commutation functions apply </w:t>
      </w:r>
      <w:r>
        <w:rPr>
          <w:color w:val="010101"/>
          <w:sz w:val="22"/>
        </w:rPr>
        <w:t>to </w:t>
      </w:r>
      <w:r>
        <w:rPr>
          <w:color w:val="010101"/>
          <w:sz w:val="21"/>
        </w:rPr>
        <w:t>insurances payable at the end of the year of death. When the insurance </w:t>
      </w:r>
      <w:r>
        <w:rPr>
          <w:color w:val="010101"/>
          <w:sz w:val="20"/>
        </w:rPr>
        <w:t>is </w:t>
      </w:r>
      <w:r>
        <w:rPr>
          <w:color w:val="010101"/>
          <w:sz w:val="21"/>
        </w:rPr>
        <w:t>payable at the moment of death, the payment </w:t>
      </w:r>
      <w:r>
        <w:rPr>
          <w:color w:val="010101"/>
          <w:sz w:val="20"/>
        </w:rPr>
        <w:t>is </w:t>
      </w:r>
      <w:r>
        <w:rPr>
          <w:color w:val="010101"/>
          <w:sz w:val="21"/>
        </w:rPr>
        <w:t>made on the  average  one-half year earlier, and one of the usual approximate relationships may </w:t>
      </w:r>
      <w:r>
        <w:rPr>
          <w:color w:val="010101"/>
          <w:sz w:val="20"/>
        </w:rPr>
        <w:t>be </w:t>
      </w:r>
      <w:r>
        <w:rPr>
          <w:color w:val="010101"/>
          <w:sz w:val="21"/>
        </w:rPr>
        <w:t>assumed,  for example:</w:t>
      </w:r>
    </w:p>
    <w:p>
      <w:pPr>
        <w:spacing w:before="10"/>
        <w:ind w:left="74" w:right="97" w:firstLine="0"/>
        <w:jc w:val="center"/>
        <w:rPr>
          <w:rFonts w:ascii="Arial"/>
          <w:i/>
          <w:sz w:val="20"/>
        </w:rPr>
      </w:pPr>
      <w:r>
        <w:rPr>
          <w:i/>
          <w:color w:val="010101"/>
          <w:w w:val="95"/>
          <w:sz w:val="25"/>
        </w:rPr>
        <w:t>A </w:t>
      </w:r>
      <w:r>
        <w:rPr>
          <w:rFonts w:ascii="Arial"/>
          <w:color w:val="010101"/>
          <w:w w:val="105"/>
          <w:sz w:val="20"/>
        </w:rPr>
        <w:t>=; (1 </w:t>
      </w:r>
      <w:r>
        <w:rPr>
          <w:rFonts w:ascii="Arial"/>
          <w:color w:val="010101"/>
          <w:w w:val="105"/>
          <w:sz w:val="31"/>
        </w:rPr>
        <w:t>+ </w:t>
      </w:r>
      <w:r>
        <w:rPr>
          <w:rFonts w:ascii="Arial"/>
          <w:i/>
          <w:color w:val="010101"/>
          <w:w w:val="135"/>
          <w:sz w:val="19"/>
        </w:rPr>
        <w:t>i </w:t>
      </w:r>
      <w:r>
        <w:rPr>
          <w:rFonts w:ascii="Arial"/>
          <w:i/>
          <w:color w:val="010101"/>
          <w:w w:val="105"/>
          <w:sz w:val="19"/>
        </w:rPr>
        <w:t>) </w:t>
      </w:r>
      <w:r>
        <w:rPr>
          <w:i/>
          <w:color w:val="010101"/>
          <w:w w:val="95"/>
          <w:position w:val="8"/>
          <w:sz w:val="17"/>
        </w:rPr>
        <w:t>4 </w:t>
      </w:r>
      <w:r>
        <w:rPr>
          <w:rFonts w:ascii="Arial"/>
          <w:i/>
          <w:color w:val="010101"/>
          <w:w w:val="105"/>
          <w:sz w:val="20"/>
        </w:rPr>
        <w:t>A.</w:t>
      </w:r>
    </w:p>
    <w:p>
      <w:pPr>
        <w:spacing w:line="237" w:lineRule="auto" w:before="85"/>
        <w:ind w:left="116" w:right="139" w:firstLine="204"/>
        <w:jc w:val="both"/>
        <w:rPr>
          <w:sz w:val="21"/>
        </w:rPr>
      </w:pPr>
      <w:r>
        <w:rPr>
          <w:color w:val="010101"/>
          <w:sz w:val="21"/>
        </w:rPr>
        <w:t>In most instances in practice, only </w:t>
      </w:r>
      <w:r>
        <w:rPr>
          <w:b/>
          <w:color w:val="010101"/>
          <w:sz w:val="20"/>
        </w:rPr>
        <w:t>a few </w:t>
      </w:r>
      <w:r>
        <w:rPr>
          <w:color w:val="010101"/>
          <w:sz w:val="21"/>
        </w:rPr>
        <w:t>isolated contingent insurance values are required, and the simplest method of evalua.­ tion  is  approximate  integration.  This  device  is  particularly con­</w:t>
      </w:r>
    </w:p>
    <w:p>
      <w:pPr>
        <w:spacing w:line="184" w:lineRule="auto" w:before="45"/>
        <w:ind w:left="120" w:right="139" w:hanging="4"/>
        <w:jc w:val="both"/>
        <w:rPr>
          <w:sz w:val="21"/>
        </w:rPr>
      </w:pPr>
      <w:r>
        <w:rPr>
          <w:color w:val="010101"/>
          <w:sz w:val="21"/>
        </w:rPr>
        <w:t>venient when the mortality assumption must </w:t>
      </w:r>
      <w:r>
        <w:rPr>
          <w:color w:val="010101"/>
          <w:sz w:val="20"/>
        </w:rPr>
        <w:t>be </w:t>
      </w:r>
      <w:r>
        <w:rPr>
          <w:color w:val="010101"/>
          <w:sz w:val="21"/>
        </w:rPr>
        <w:t>changed at sorne point in the contract. Suppose, for example, tha.t </w:t>
      </w:r>
      <w:r>
        <w:rPr>
          <w:i/>
          <w:color w:val="010101"/>
          <w:sz w:val="27"/>
        </w:rPr>
        <w:t>A!,</w:t>
      </w:r>
      <w:r>
        <w:rPr>
          <w:rFonts w:ascii="Arial" w:hAnsi="Arial"/>
          <w:color w:val="010101"/>
          <w:sz w:val="19"/>
        </w:rPr>
        <w:t>is </w:t>
      </w:r>
      <w:r>
        <w:rPr>
          <w:color w:val="010101"/>
          <w:sz w:val="22"/>
        </w:rPr>
        <w:t>to </w:t>
      </w:r>
      <w:r>
        <w:rPr>
          <w:color w:val="010101"/>
          <w:sz w:val="20"/>
        </w:rPr>
        <w:t>be </w:t>
      </w:r>
      <w:r>
        <w:rPr>
          <w:color w:val="010101"/>
          <w:sz w:val="21"/>
        </w:rPr>
        <w:t>evalu­</w:t>
      </w:r>
    </w:p>
    <w:p>
      <w:pPr>
        <w:spacing w:line="232" w:lineRule="auto" w:before="5"/>
        <w:ind w:left="120" w:right="139" w:firstLine="0"/>
        <w:jc w:val="both"/>
        <w:rPr>
          <w:sz w:val="21"/>
        </w:rPr>
      </w:pPr>
      <w:r>
        <w:rPr/>
        <w:pict>
          <v:shape style="position:absolute;margin-left:113.183899pt;margin-top:30.29427pt;width:117.7pt;height:27.5pt;mso-position-horizontal-relative:page;mso-position-vertical-relative:paragraph;z-index:-716944" type="#_x0000_t202" filled="false" stroked="false">
            <v:textbox inset="0,0,0,0">
              <w:txbxContent>
                <w:p>
                  <w:pPr>
                    <w:tabs>
                      <w:tab w:pos="857" w:val="left" w:leader="none"/>
                      <w:tab w:pos="2260" w:val="left" w:leader="none"/>
                    </w:tabs>
                    <w:spacing w:line="550" w:lineRule="exact" w:before="0"/>
                    <w:ind w:left="0" w:right="0" w:firstLine="0"/>
                    <w:jc w:val="left"/>
                    <w:rPr>
                      <w:sz w:val="12"/>
                    </w:rPr>
                  </w:pPr>
                  <w:r>
                    <w:rPr>
                      <w:color w:val="010101"/>
                      <w:w w:val="145"/>
                      <w:sz w:val="12"/>
                    </w:rPr>
                    <w:t>-2</w:t>
                    <w:tab/>
                  </w:r>
                  <w:r>
                    <w:rPr>
                      <w:i/>
                      <w:color w:val="010101"/>
                      <w:spacing w:val="-12"/>
                      <w:w w:val="80"/>
                      <w:sz w:val="55"/>
                    </w:rPr>
                    <w:t>1.,</w:t>
                  </w:r>
                  <w:r>
                    <w:rPr>
                      <w:i/>
                      <w:color w:val="010101"/>
                      <w:spacing w:val="-33"/>
                      <w:w w:val="80"/>
                      <w:sz w:val="55"/>
                    </w:rPr>
                    <w:t> </w:t>
                  </w:r>
                  <w:r>
                    <w:rPr>
                      <w:i/>
                      <w:color w:val="010101"/>
                      <w:w w:val="135"/>
                      <w:sz w:val="12"/>
                    </w:rPr>
                    <w:t>t</w:t>
                    <w:tab/>
                  </w:r>
                  <w:r>
                    <w:rPr>
                      <w:color w:val="010101"/>
                      <w:w w:val="205"/>
                      <w:sz w:val="12"/>
                    </w:rPr>
                    <w:t>-</w:t>
                  </w:r>
                </w:p>
              </w:txbxContent>
            </v:textbox>
            <w10:wrap type="none"/>
          </v:shape>
        </w:pict>
      </w:r>
      <w:r>
        <w:rPr>
          <w:color w:val="010101"/>
          <w:sz w:val="21"/>
        </w:rPr>
        <w:t>ated on the basis of mortality from Table </w:t>
      </w:r>
      <w:r>
        <w:rPr>
          <w:rFonts w:ascii="Arial"/>
          <w:color w:val="010101"/>
          <w:sz w:val="21"/>
        </w:rPr>
        <w:t>A </w:t>
      </w:r>
      <w:r>
        <w:rPr>
          <w:color w:val="010101"/>
          <w:sz w:val="21"/>
        </w:rPr>
        <w:t>while both lives survive and from Table </w:t>
      </w:r>
      <w:r>
        <w:rPr>
          <w:color w:val="010101"/>
          <w:sz w:val="20"/>
        </w:rPr>
        <w:t>B </w:t>
      </w:r>
      <w:r>
        <w:rPr>
          <w:color w:val="010101"/>
          <w:sz w:val="21"/>
        </w:rPr>
        <w:t>after the death of </w:t>
      </w:r>
      <w:r>
        <w:rPr>
          <w:color w:val="010101"/>
          <w:sz w:val="20"/>
        </w:rPr>
        <w:t>(y). </w:t>
      </w:r>
      <w:r>
        <w:rPr>
          <w:color w:val="010101"/>
          <w:sz w:val="21"/>
        </w:rPr>
        <w:t>This </w:t>
      </w:r>
      <w:r>
        <w:rPr>
          <w:color w:val="010101"/>
          <w:sz w:val="20"/>
        </w:rPr>
        <w:t>is </w:t>
      </w:r>
      <w:r>
        <w:rPr>
          <w:color w:val="010101"/>
          <w:sz w:val="21"/>
        </w:rPr>
        <w:t>easily handled by first using  (11.32)  </w:t>
      </w:r>
      <w:r>
        <w:rPr>
          <w:color w:val="010101"/>
          <w:sz w:val="22"/>
        </w:rPr>
        <w:t>to </w:t>
      </w:r>
      <w:r>
        <w:rPr>
          <w:color w:val="010101"/>
          <w:sz w:val="21"/>
        </w:rPr>
        <w:t>write</w:t>
      </w:r>
    </w:p>
    <w:p>
      <w:pPr>
        <w:pStyle w:val="BodyText"/>
        <w:spacing w:line="163" w:lineRule="exact" w:before="141"/>
        <w:ind w:right="1412"/>
        <w:jc w:val="center"/>
      </w:pPr>
      <w:r>
        <w:rPr>
          <w:color w:val="010101"/>
          <w:w w:val="114"/>
        </w:rPr>
        <w:t>1</w:t>
      </w:r>
    </w:p>
    <w:p>
      <w:pPr>
        <w:tabs>
          <w:tab w:pos="1223" w:val="left" w:leader="none"/>
        </w:tabs>
        <w:spacing w:line="170" w:lineRule="exact" w:before="0"/>
        <w:ind w:left="0" w:right="24" w:firstLine="0"/>
        <w:jc w:val="center"/>
        <w:rPr>
          <w:b/>
          <w:i/>
          <w:sz w:val="21"/>
        </w:rPr>
      </w:pPr>
      <w:r>
        <w:rPr>
          <w:b/>
          <w:i/>
          <w:color w:val="010101"/>
          <w:sz w:val="17"/>
        </w:rPr>
        <w:t>Á zv  </w:t>
      </w:r>
      <w:r>
        <w:rPr>
          <w:color w:val="010101"/>
          <w:sz w:val="24"/>
        </w:rPr>
        <w:t>=</w:t>
      </w:r>
      <w:r>
        <w:rPr>
          <w:color w:val="010101"/>
          <w:spacing w:val="35"/>
          <w:sz w:val="24"/>
        </w:rPr>
        <w:t> </w:t>
      </w:r>
      <w:r>
        <w:rPr>
          <w:b/>
          <w:i/>
          <w:color w:val="010101"/>
          <w:sz w:val="17"/>
        </w:rPr>
        <w:t>l</w:t>
      </w:r>
      <w:r>
        <w:rPr>
          <w:b/>
          <w:i/>
          <w:color w:val="010101"/>
          <w:spacing w:val="24"/>
          <w:sz w:val="17"/>
        </w:rPr>
        <w:t> </w:t>
      </w:r>
      <w:r>
        <w:rPr>
          <w:b/>
          <w:i/>
          <w:color w:val="010101"/>
          <w:sz w:val="21"/>
        </w:rPr>
        <w:t>l</w:t>
        <w:tab/>
      </w:r>
      <w:r>
        <w:rPr>
          <w:rFonts w:ascii="Arial" w:hAnsi="Arial"/>
          <w:b/>
          <w:i/>
          <w:color w:val="010101"/>
          <w:w w:val="90"/>
          <w:sz w:val="14"/>
        </w:rPr>
        <w:t>V </w:t>
      </w:r>
      <w:r>
        <w:rPr>
          <w:b/>
          <w:i/>
          <w:color w:val="010101"/>
          <w:w w:val="90"/>
          <w:sz w:val="17"/>
        </w:rPr>
        <w:t>lz+el11 H"11+cAz+c</w:t>
      </w:r>
      <w:r>
        <w:rPr>
          <w:b/>
          <w:i/>
          <w:color w:val="010101"/>
          <w:spacing w:val="19"/>
          <w:w w:val="90"/>
          <w:sz w:val="17"/>
        </w:rPr>
        <w:t> </w:t>
      </w:r>
      <w:r>
        <w:rPr>
          <w:b/>
          <w:i/>
          <w:color w:val="010101"/>
          <w:w w:val="90"/>
          <w:sz w:val="21"/>
        </w:rPr>
        <w:t>dt.</w:t>
      </w:r>
    </w:p>
    <w:p>
      <w:pPr>
        <w:spacing w:line="157" w:lineRule="exact" w:before="0"/>
        <w:ind w:left="2297" w:right="739" w:firstLine="0"/>
        <w:jc w:val="left"/>
        <w:rPr>
          <w:b/>
          <w:sz w:val="17"/>
        </w:rPr>
      </w:pPr>
      <w:r>
        <w:rPr>
          <w:rFonts w:ascii="Arial"/>
          <w:b/>
          <w:i/>
          <w:color w:val="010101"/>
          <w:w w:val="75"/>
          <w:sz w:val="11"/>
        </w:rPr>
        <w:t>11      </w:t>
      </w:r>
      <w:r>
        <w:rPr>
          <w:b/>
          <w:color w:val="010101"/>
          <w:w w:val="75"/>
          <w:sz w:val="17"/>
        </w:rPr>
        <w:t>o</w:t>
      </w:r>
    </w:p>
    <w:p>
      <w:pPr>
        <w:spacing w:line="240" w:lineRule="auto" w:before="87"/>
        <w:ind w:left="116" w:right="147" w:hanging="4"/>
        <w:jc w:val="both"/>
        <w:rPr>
          <w:sz w:val="20"/>
        </w:rPr>
      </w:pPr>
      <w:r>
        <w:rPr>
          <w:color w:val="010101"/>
          <w:sz w:val="21"/>
        </w:rPr>
        <w:t>Then, after an appropriate formula of approximate integration has been chosen, the required values of </w:t>
      </w:r>
      <w:r>
        <w:rPr>
          <w:rFonts w:ascii="Arial"/>
          <w:i/>
          <w:color w:val="010101"/>
          <w:sz w:val="21"/>
        </w:rPr>
        <w:t>l:+</w:t>
      </w:r>
      <w:r>
        <w:rPr>
          <w:color w:val="010101"/>
          <w:sz w:val="17"/>
        </w:rPr>
        <w:t>e , </w:t>
      </w:r>
      <w:r>
        <w:rPr>
          <w:rFonts w:ascii="Arial"/>
          <w:i/>
          <w:color w:val="010101"/>
          <w:sz w:val="21"/>
        </w:rPr>
        <w:t>l.,+ </w:t>
      </w:r>
      <w:r>
        <w:rPr>
          <w:color w:val="010101"/>
          <w:sz w:val="17"/>
        </w:rPr>
        <w:t>e , </w:t>
      </w:r>
      <w:r>
        <w:rPr>
          <w:color w:val="010101"/>
          <w:sz w:val="21"/>
        </w:rPr>
        <w:t>and </w:t>
      </w:r>
      <w:r>
        <w:rPr>
          <w:b/>
          <w:i/>
          <w:color w:val="010101"/>
          <w:sz w:val="18"/>
        </w:rPr>
        <w:t>"11+ </w:t>
      </w:r>
      <w:r>
        <w:rPr>
          <w:b/>
          <w:color w:val="010101"/>
          <w:sz w:val="17"/>
        </w:rPr>
        <w:t>e </w:t>
      </w:r>
      <w:r>
        <w:rPr>
          <w:color w:val="010101"/>
          <w:sz w:val="21"/>
        </w:rPr>
        <w:t>are taken from Table </w:t>
      </w:r>
      <w:r>
        <w:rPr>
          <w:color w:val="010101"/>
          <w:sz w:val="20"/>
        </w:rPr>
        <w:t>A  </w:t>
      </w:r>
      <w:r>
        <w:rPr>
          <w:color w:val="010101"/>
          <w:sz w:val="21"/>
        </w:rPr>
        <w:t>and those  of  </w:t>
      </w:r>
      <w:r>
        <w:rPr>
          <w:color w:val="010101"/>
          <w:sz w:val="17"/>
        </w:rPr>
        <w:t>As+c  </w:t>
      </w:r>
      <w:r>
        <w:rPr>
          <w:color w:val="010101"/>
          <w:sz w:val="21"/>
        </w:rPr>
        <w:t>from Table  </w:t>
      </w:r>
      <w:r>
        <w:rPr>
          <w:color w:val="010101"/>
          <w:sz w:val="20"/>
        </w:rPr>
        <w:t>B.</w:t>
      </w:r>
    </w:p>
    <w:p>
      <w:pPr>
        <w:spacing w:line="240" w:lineRule="auto" w:before="0"/>
        <w:ind w:left="112" w:right="139" w:firstLine="193"/>
        <w:jc w:val="both"/>
        <w:rPr>
          <w:sz w:val="21"/>
        </w:rPr>
      </w:pPr>
      <w:r>
        <w:rPr>
          <w:color w:val="010101"/>
          <w:sz w:val="21"/>
        </w:rPr>
        <w:t>As in the case of contingent probabilities, an exact evaluation is possible when either Gompertz's or Makeham's law applies. With Gompertz's law, we have</w:t>
      </w:r>
    </w:p>
    <w:p>
      <w:pPr>
        <w:tabs>
          <w:tab w:pos="1379" w:val="left" w:leader="none"/>
          <w:tab w:pos="2132" w:val="left" w:leader="none"/>
        </w:tabs>
        <w:spacing w:line="121" w:lineRule="exact" w:before="101"/>
        <w:ind w:left="170" w:right="0" w:firstLine="0"/>
        <w:jc w:val="both"/>
        <w:rPr>
          <w:rFonts w:ascii="Arial"/>
          <w:sz w:val="12"/>
        </w:rPr>
      </w:pPr>
      <w:r>
        <w:rPr/>
        <w:pict>
          <v:shape style="position:absolute;margin-left:81.434967pt;margin-top:7.53839pt;width:6.8pt;height:11.5pt;mso-position-horizontal-relative:page;mso-position-vertical-relative:paragraph;z-index:-716920" type="#_x0000_t202" filled="false" stroked="false">
            <v:textbox inset="0,0,0,0">
              <w:txbxContent>
                <w:p>
                  <w:pPr>
                    <w:spacing w:line="230" w:lineRule="exact" w:before="0"/>
                    <w:ind w:left="0" w:right="0" w:firstLine="0"/>
                    <w:jc w:val="left"/>
                    <w:rPr>
                      <w:sz w:val="23"/>
                    </w:rPr>
                  </w:pPr>
                  <w:r>
                    <w:rPr>
                      <w:color w:val="010101"/>
                      <w:w w:val="104"/>
                      <w:sz w:val="23"/>
                    </w:rPr>
                    <w:t>=</w:t>
                  </w:r>
                </w:p>
              </w:txbxContent>
            </v:textbox>
            <w10:wrap type="none"/>
          </v:shape>
        </w:pict>
      </w:r>
      <w:r>
        <w:rPr>
          <w:rFonts w:ascii="Arial"/>
          <w:b/>
          <w:color w:val="010101"/>
          <w:w w:val="195"/>
          <w:sz w:val="12"/>
        </w:rPr>
        <w:t>-1</w:t>
        <w:tab/>
      </w:r>
      <w:r>
        <w:rPr>
          <w:rFonts w:ascii="Arial"/>
          <w:b/>
          <w:color w:val="010101"/>
          <w:w w:val="155"/>
          <w:sz w:val="12"/>
        </w:rPr>
        <w:t>1</w:t>
        <w:tab/>
      </w:r>
      <w:r>
        <w:rPr>
          <w:rFonts w:ascii="Arial"/>
          <w:color w:val="010101"/>
          <w:w w:val="195"/>
          <w:sz w:val="12"/>
        </w:rPr>
        <w:t>-</w:t>
      </w:r>
    </w:p>
    <w:p>
      <w:pPr>
        <w:spacing w:line="168" w:lineRule="exact" w:before="0"/>
        <w:ind w:left="112" w:right="0" w:firstLine="0"/>
        <w:jc w:val="both"/>
        <w:rPr>
          <w:b/>
          <w:sz w:val="14"/>
        </w:rPr>
      </w:pPr>
      <w:r>
        <w:rPr>
          <w:b/>
          <w:color w:val="010101"/>
          <w:w w:val="129"/>
          <w:sz w:val="14"/>
        </w:rPr>
        <w:t>Áz</w:t>
      </w:r>
      <w:r>
        <w:rPr>
          <w:b/>
          <w:color w:val="010101"/>
          <w:spacing w:val="-18"/>
          <w:sz w:val="14"/>
        </w:rPr>
        <w:t> </w:t>
      </w:r>
      <w:r>
        <w:rPr>
          <w:rFonts w:ascii="Arial" w:hAnsi="Arial"/>
          <w:b/>
          <w:color w:val="010101"/>
          <w:spacing w:val="-9"/>
          <w:w w:val="111"/>
          <w:position w:val="-2"/>
          <w:sz w:val="10"/>
        </w:rPr>
        <w:t>1</w:t>
      </w:r>
      <w:r>
        <w:rPr>
          <w:b/>
          <w:color w:val="010101"/>
          <w:w w:val="106"/>
          <w:sz w:val="14"/>
        </w:rPr>
        <w:t>zs···z,,.</w:t>
      </w:r>
      <w:r>
        <w:rPr>
          <w:b/>
          <w:color w:val="010101"/>
          <w:sz w:val="14"/>
        </w:rPr>
        <w:t>         </w:t>
      </w:r>
      <w:r>
        <w:rPr>
          <w:b/>
          <w:color w:val="010101"/>
          <w:spacing w:val="-14"/>
          <w:sz w:val="14"/>
        </w:rPr>
        <w:t> </w:t>
      </w:r>
      <w:r>
        <w:rPr>
          <w:b/>
          <w:color w:val="010101"/>
          <w:w w:val="92"/>
          <w:sz w:val="14"/>
        </w:rPr>
        <w:t>coqz</w:t>
      </w:r>
      <w:r>
        <w:rPr>
          <w:b/>
          <w:color w:val="010101"/>
          <w:spacing w:val="-23"/>
          <w:sz w:val="14"/>
        </w:rPr>
        <w:t> </w:t>
      </w:r>
      <w:r>
        <w:rPr>
          <w:rFonts w:ascii="Arial" w:hAnsi="Arial"/>
          <w:b/>
          <w:color w:val="010101"/>
          <w:spacing w:val="-9"/>
          <w:w w:val="111"/>
          <w:position w:val="-2"/>
          <w:sz w:val="10"/>
        </w:rPr>
        <w:t>1</w:t>
      </w:r>
      <w:r>
        <w:rPr>
          <w:b/>
          <w:color w:val="010101"/>
          <w:spacing w:val="4"/>
          <w:w w:val="101"/>
          <w:sz w:val="14"/>
        </w:rPr>
        <w:t>z</w:t>
      </w:r>
      <w:r>
        <w:rPr>
          <w:b/>
          <w:color w:val="010101"/>
          <w:spacing w:val="6"/>
          <w:w w:val="126"/>
          <w:position w:val="-2"/>
          <w:sz w:val="11"/>
        </w:rPr>
        <w:t>1</w:t>
      </w:r>
      <w:r>
        <w:rPr>
          <w:b/>
          <w:color w:val="010101"/>
          <w:w w:val="185"/>
          <w:sz w:val="11"/>
        </w:rPr>
        <w:t>..</w:t>
      </w:r>
      <w:r>
        <w:rPr>
          <w:b/>
          <w:color w:val="010101"/>
          <w:spacing w:val="1"/>
          <w:w w:val="185"/>
          <w:sz w:val="11"/>
        </w:rPr>
        <w:t>.</w:t>
      </w:r>
      <w:r>
        <w:rPr>
          <w:b/>
          <w:color w:val="010101"/>
          <w:w w:val="94"/>
          <w:sz w:val="14"/>
        </w:rPr>
        <w:t>z,,.</w:t>
      </w:r>
      <w:r>
        <w:rPr>
          <w:b/>
          <w:color w:val="010101"/>
          <w:spacing w:val="3"/>
          <w:sz w:val="14"/>
        </w:rPr>
        <w:t> </w:t>
      </w:r>
      <w:r>
        <w:rPr>
          <w:color w:val="010101"/>
          <w:spacing w:val="-39"/>
          <w:w w:val="221"/>
          <w:sz w:val="14"/>
        </w:rPr>
        <w:t>·</w:t>
      </w:r>
      <w:r>
        <w:rPr>
          <w:b/>
          <w:color w:val="010101"/>
          <w:w w:val="136"/>
          <w:sz w:val="14"/>
        </w:rPr>
        <w:t>Á</w:t>
      </w:r>
      <w:r>
        <w:rPr>
          <w:b/>
          <w:color w:val="010101"/>
          <w:spacing w:val="13"/>
          <w:w w:val="136"/>
          <w:sz w:val="14"/>
        </w:rPr>
        <w:t>z</w:t>
      </w:r>
      <w:r>
        <w:rPr>
          <w:rFonts w:ascii="Arial" w:hAnsi="Arial"/>
          <w:b/>
          <w:color w:val="010101"/>
          <w:spacing w:val="-6"/>
          <w:w w:val="100"/>
          <w:position w:val="-2"/>
          <w:sz w:val="10"/>
        </w:rPr>
        <w:t>1</w:t>
      </w:r>
      <w:r>
        <w:rPr>
          <w:b/>
          <w:color w:val="010101"/>
          <w:w w:val="127"/>
          <w:sz w:val="14"/>
        </w:rPr>
        <w:t>z,</w:t>
      </w:r>
      <w:r>
        <w:rPr>
          <w:b/>
          <w:color w:val="010101"/>
          <w:spacing w:val="-9"/>
          <w:sz w:val="14"/>
        </w:rPr>
        <w:t> </w:t>
      </w:r>
      <w:r>
        <w:rPr>
          <w:b/>
          <w:color w:val="010101"/>
          <w:w w:val="141"/>
          <w:sz w:val="14"/>
        </w:rPr>
        <w:t>..</w:t>
      </w:r>
      <w:r>
        <w:rPr>
          <w:b/>
          <w:color w:val="010101"/>
          <w:spacing w:val="2"/>
          <w:w w:val="141"/>
          <w:sz w:val="14"/>
        </w:rPr>
        <w:t>.</w:t>
      </w:r>
      <w:r>
        <w:rPr>
          <w:b/>
          <w:color w:val="010101"/>
          <w:w w:val="94"/>
          <w:sz w:val="14"/>
        </w:rPr>
        <w:t>z,,.</w:t>
      </w:r>
    </w:p>
    <w:p>
      <w:pPr>
        <w:tabs>
          <w:tab w:pos="5210" w:val="left" w:leader="none"/>
        </w:tabs>
        <w:spacing w:line="192" w:lineRule="exact" w:before="16"/>
        <w:ind w:left="1257" w:right="0" w:firstLine="0"/>
        <w:jc w:val="left"/>
        <w:rPr>
          <w:b/>
          <w:sz w:val="21"/>
        </w:rPr>
      </w:pPr>
      <w:r>
        <w:rPr/>
        <w:pict>
          <v:shape style="position:absolute;margin-left:194.618805pt;margin-top:7.034356pt;width:67.8pt;height:15.5pt;mso-position-horizontal-relative:page;mso-position-vertical-relative:paragraph;z-index:-716896" type="#_x0000_t202" filled="false" stroked="false">
            <v:textbox inset="0,0,0,0">
              <w:txbxContent>
                <w:p>
                  <w:pPr>
                    <w:tabs>
                      <w:tab w:pos="541" w:val="left" w:leader="none"/>
                    </w:tabs>
                    <w:spacing w:line="310" w:lineRule="exact" w:before="0"/>
                    <w:ind w:left="0" w:right="0" w:firstLine="0"/>
                    <w:jc w:val="left"/>
                    <w:rPr>
                      <w:rFonts w:ascii="Arial"/>
                      <w:sz w:val="31"/>
                    </w:rPr>
                  </w:pPr>
                  <w:r>
                    <w:rPr>
                      <w:rFonts w:ascii="Arial"/>
                      <w:color w:val="010101"/>
                      <w:sz w:val="31"/>
                    </w:rPr>
                    <w:t>+</w:t>
                    <w:tab/>
                    <w:t>+ </w:t>
                  </w:r>
                  <w:r>
                    <w:rPr>
                      <w:rFonts w:ascii="Arial"/>
                      <w:color w:val="010101"/>
                      <w:spacing w:val="10"/>
                      <w:sz w:val="31"/>
                    </w:rPr>
                    <w:t>...</w:t>
                  </w:r>
                  <w:r>
                    <w:rPr>
                      <w:rFonts w:ascii="Arial"/>
                      <w:color w:val="010101"/>
                      <w:spacing w:val="-12"/>
                      <w:sz w:val="31"/>
                    </w:rPr>
                    <w:t> </w:t>
                  </w:r>
                  <w:r>
                    <w:rPr>
                      <w:rFonts w:ascii="Arial"/>
                      <w:color w:val="010101"/>
                      <w:sz w:val="31"/>
                    </w:rPr>
                    <w:t>+</w:t>
                  </w:r>
                </w:p>
              </w:txbxContent>
            </v:textbox>
            <w10:wrap type="none"/>
          </v:shape>
        </w:pict>
      </w:r>
      <w:r>
        <w:rPr>
          <w:color w:val="010101"/>
          <w:w w:val="110"/>
          <w:sz w:val="10"/>
        </w:rPr>
        <w:t>Z¡</w:t>
        <w:tab/>
      </w:r>
      <w:r>
        <w:rPr>
          <w:b/>
          <w:color w:val="010101"/>
          <w:w w:val="95"/>
          <w:sz w:val="21"/>
        </w:rPr>
        <w:t>(11.39</w:t>
      </w:r>
      <w:r>
        <w:rPr>
          <w:b/>
          <w:color w:val="010101"/>
          <w:spacing w:val="-21"/>
          <w:w w:val="95"/>
          <w:sz w:val="21"/>
        </w:rPr>
        <w:t> </w:t>
      </w:r>
      <w:r>
        <w:rPr>
          <w:b/>
          <w:color w:val="010101"/>
          <w:w w:val="95"/>
          <w:sz w:val="21"/>
        </w:rPr>
        <w:t>)</w:t>
      </w:r>
    </w:p>
    <w:p>
      <w:pPr>
        <w:tabs>
          <w:tab w:pos="2500" w:val="left" w:leader="none"/>
          <w:tab w:pos="3669" w:val="left" w:leader="none"/>
        </w:tabs>
        <w:spacing w:line="339" w:lineRule="exact" w:before="0"/>
        <w:ind w:left="0" w:right="98" w:firstLine="0"/>
        <w:jc w:val="center"/>
        <w:rPr>
          <w:i/>
          <w:sz w:val="22"/>
        </w:rPr>
      </w:pPr>
      <w:r>
        <w:rPr>
          <w:color w:val="010101"/>
          <w:sz w:val="24"/>
        </w:rPr>
        <w:t>= </w:t>
      </w:r>
      <w:r>
        <w:rPr>
          <w:i/>
          <w:color w:val="010101"/>
          <w:spacing w:val="-9"/>
          <w:position w:val="-10"/>
          <w:sz w:val="21"/>
        </w:rPr>
        <w:t>e•</w:t>
      </w:r>
      <w:r>
        <w:rPr>
          <w:color w:val="010101"/>
          <w:spacing w:val="-9"/>
          <w:sz w:val="24"/>
        </w:rPr>
        <w:t>- </w:t>
      </w:r>
      <w:r>
        <w:rPr>
          <w:i/>
          <w:color w:val="010101"/>
          <w:spacing w:val="3"/>
          <w:sz w:val="25"/>
        </w:rPr>
        <w:t>A</w:t>
      </w:r>
      <w:r>
        <w:rPr>
          <w:color w:val="010101"/>
          <w:spacing w:val="3"/>
          <w:position w:val="-10"/>
          <w:sz w:val="21"/>
        </w:rPr>
        <w:t>"' </w:t>
      </w:r>
      <w:r>
        <w:rPr>
          <w:color w:val="010101"/>
          <w:position w:val="-10"/>
          <w:sz w:val="21"/>
        </w:rPr>
        <w:t>, </w:t>
      </w:r>
      <w:r>
        <w:rPr>
          <w:color w:val="010101"/>
          <w:sz w:val="21"/>
        </w:rPr>
        <w:t>where </w:t>
      </w:r>
      <w:r>
        <w:rPr>
          <w:i/>
          <w:color w:val="010101"/>
          <w:sz w:val="21"/>
        </w:rPr>
        <w:t>e"'</w:t>
      </w:r>
      <w:r>
        <w:rPr>
          <w:i/>
          <w:color w:val="010101"/>
          <w:spacing w:val="27"/>
          <w:sz w:val="21"/>
        </w:rPr>
        <w:t> </w:t>
      </w:r>
      <w:r>
        <w:rPr>
          <w:color w:val="010101"/>
          <w:sz w:val="24"/>
        </w:rPr>
        <w:t>=</w:t>
      </w:r>
      <w:r>
        <w:rPr>
          <w:color w:val="010101"/>
          <w:spacing w:val="29"/>
          <w:sz w:val="24"/>
        </w:rPr>
        <w:t> </w:t>
      </w:r>
      <w:r>
        <w:rPr>
          <w:color w:val="010101"/>
          <w:spacing w:val="3"/>
          <w:sz w:val="13"/>
        </w:rPr>
        <w:t>Cz</w:t>
      </w:r>
      <w:r>
        <w:rPr>
          <w:color w:val="010101"/>
          <w:spacing w:val="3"/>
          <w:position w:val="5"/>
          <w:sz w:val="10"/>
        </w:rPr>
        <w:t>1</w:t>
        <w:tab/>
      </w:r>
      <w:r>
        <w:rPr>
          <w:color w:val="010101"/>
          <w:sz w:val="13"/>
        </w:rPr>
        <w:t>CZt</w:t>
        <w:tab/>
      </w:r>
      <w:r>
        <w:rPr>
          <w:i/>
          <w:color w:val="010101"/>
          <w:sz w:val="22"/>
        </w:rPr>
        <w:t>cz,,..</w:t>
      </w:r>
    </w:p>
    <w:p>
      <w:pPr>
        <w:spacing w:line="240" w:lineRule="auto" w:before="145"/>
        <w:ind w:left="116" w:right="133" w:firstLine="0"/>
        <w:jc w:val="both"/>
        <w:rPr>
          <w:sz w:val="21"/>
        </w:rPr>
      </w:pPr>
      <w:r>
        <w:rPr>
          <w:color w:val="010101"/>
          <w:sz w:val="21"/>
        </w:rPr>
        <w:t>In this case, thc value </w:t>
      </w:r>
      <w:r>
        <w:rPr>
          <w:rFonts w:ascii="Arial"/>
          <w:color w:val="010101"/>
          <w:sz w:val="19"/>
        </w:rPr>
        <w:t>of </w:t>
      </w:r>
      <w:r>
        <w:rPr>
          <w:color w:val="010101"/>
          <w:sz w:val="21"/>
        </w:rPr>
        <w:t>the contingent  insurance  </w:t>
      </w:r>
      <w:r>
        <w:rPr>
          <w:color w:val="010101"/>
          <w:sz w:val="20"/>
        </w:rPr>
        <w:t>is </w:t>
      </w:r>
      <w:r>
        <w:rPr>
          <w:color w:val="010101"/>
          <w:sz w:val="21"/>
        </w:rPr>
        <w:t>the same as  the value </w:t>
      </w:r>
      <w:r>
        <w:rPr>
          <w:rFonts w:ascii="Arial"/>
          <w:color w:val="010101"/>
          <w:sz w:val="19"/>
        </w:rPr>
        <w:t>of </w:t>
      </w:r>
      <w:r>
        <w:rPr>
          <w:color w:val="010101"/>
          <w:sz w:val="21"/>
        </w:rPr>
        <w:t>the joint-life insurance multiplied by the  probability that  </w:t>
      </w:r>
      <w:r>
        <w:rPr>
          <w:color w:val="010101"/>
          <w:sz w:val="20"/>
        </w:rPr>
        <w:t>(x ) </w:t>
      </w:r>
      <w:r>
        <w:rPr>
          <w:color w:val="010101"/>
          <w:sz w:val="21"/>
        </w:rPr>
        <w:t>will die</w:t>
      </w:r>
      <w:r>
        <w:rPr>
          <w:color w:val="010101"/>
          <w:spacing w:val="-20"/>
          <w:sz w:val="21"/>
        </w:rPr>
        <w:t> </w:t>
      </w:r>
      <w:r>
        <w:rPr>
          <w:color w:val="010101"/>
          <w:sz w:val="21"/>
        </w:rPr>
        <w:t>first.</w:t>
      </w:r>
    </w:p>
    <w:p>
      <w:pPr>
        <w:spacing w:line="241" w:lineRule="exact" w:before="0"/>
        <w:ind w:left="310" w:right="739" w:firstLine="0"/>
        <w:jc w:val="left"/>
        <w:rPr>
          <w:sz w:val="21"/>
        </w:rPr>
      </w:pPr>
      <w:r>
        <w:rPr>
          <w:color w:val="010101"/>
          <w:sz w:val="21"/>
        </w:rPr>
        <w:t>With  Makeham's  law, we have</w:t>
      </w:r>
    </w:p>
    <w:p>
      <w:pPr>
        <w:spacing w:after="0" w:line="241" w:lineRule="exact"/>
        <w:jc w:val="left"/>
        <w:rPr>
          <w:sz w:val="21"/>
        </w:rPr>
        <w:sectPr>
          <w:pgSz w:w="7200" w:h="11340"/>
          <w:pgMar w:top="480" w:bottom="280" w:left="680" w:right="540"/>
        </w:sectPr>
      </w:pPr>
    </w:p>
    <w:p>
      <w:pPr>
        <w:pStyle w:val="BodyText"/>
        <w:spacing w:before="1"/>
        <w:rPr>
          <w:sz w:val="12"/>
        </w:rPr>
      </w:pPr>
    </w:p>
    <w:p>
      <w:pPr>
        <w:spacing w:line="110" w:lineRule="exact" w:before="0"/>
        <w:ind w:left="0" w:right="0" w:firstLine="0"/>
        <w:jc w:val="right"/>
        <w:rPr>
          <w:sz w:val="11"/>
        </w:rPr>
      </w:pPr>
      <w:r>
        <w:rPr>
          <w:color w:val="010101"/>
          <w:w w:val="122"/>
          <w:sz w:val="11"/>
        </w:rPr>
        <w:t>1</w:t>
      </w:r>
    </w:p>
    <w:p>
      <w:pPr>
        <w:spacing w:line="142" w:lineRule="exact" w:before="0"/>
        <w:ind w:left="0" w:right="78" w:firstLine="0"/>
        <w:jc w:val="right"/>
        <w:rPr>
          <w:sz w:val="13"/>
        </w:rPr>
      </w:pPr>
      <w:r>
        <w:rPr>
          <w:color w:val="010101"/>
          <w:spacing w:val="-58"/>
          <w:w w:val="96"/>
          <w:sz w:val="18"/>
        </w:rPr>
        <w:t>A</w:t>
      </w:r>
      <w:r>
        <w:rPr>
          <w:color w:val="010101"/>
          <w:spacing w:val="-36"/>
          <w:w w:val="162"/>
          <w:position w:val="9"/>
          <w:sz w:val="13"/>
        </w:rPr>
        <w:t>-</w:t>
      </w:r>
      <w:r>
        <w:rPr>
          <w:color w:val="010101"/>
          <w:spacing w:val="-123"/>
          <w:w w:val="162"/>
          <w:position w:val="9"/>
          <w:sz w:val="13"/>
        </w:rPr>
        <w:t>1</w:t>
      </w:r>
      <w:r>
        <w:rPr>
          <w:color w:val="010101"/>
          <w:w w:val="80"/>
          <w:sz w:val="18"/>
        </w:rPr>
        <w:t>z</w:t>
      </w:r>
      <w:r>
        <w:rPr>
          <w:color w:val="010101"/>
          <w:spacing w:val="19"/>
          <w:sz w:val="18"/>
        </w:rPr>
        <w:t> </w:t>
      </w:r>
      <w:r>
        <w:rPr>
          <w:color w:val="010101"/>
          <w:w w:val="99"/>
          <w:sz w:val="18"/>
        </w:rPr>
        <w:t>z,</w:t>
      </w:r>
      <w:r>
        <w:rPr>
          <w:color w:val="010101"/>
          <w:spacing w:val="-27"/>
          <w:sz w:val="18"/>
        </w:rPr>
        <w:t> </w:t>
      </w:r>
      <w:r>
        <w:rPr>
          <w:color w:val="010101"/>
          <w:w w:val="126"/>
          <w:sz w:val="18"/>
        </w:rPr>
        <w:t>..</w:t>
      </w:r>
      <w:r>
        <w:rPr>
          <w:color w:val="010101"/>
          <w:spacing w:val="-16"/>
          <w:w w:val="126"/>
          <w:sz w:val="18"/>
        </w:rPr>
        <w:t>.</w:t>
      </w:r>
      <w:r>
        <w:rPr>
          <w:color w:val="010101"/>
          <w:w w:val="87"/>
          <w:sz w:val="18"/>
        </w:rPr>
        <w:t>z"'</w:t>
      </w:r>
      <w:r>
        <w:rPr>
          <w:color w:val="010101"/>
          <w:sz w:val="18"/>
        </w:rPr>
        <w:t> </w:t>
      </w:r>
      <w:r>
        <w:rPr>
          <w:color w:val="010101"/>
          <w:spacing w:val="5"/>
          <w:sz w:val="18"/>
        </w:rPr>
        <w:t> </w:t>
      </w:r>
      <w:r>
        <w:rPr>
          <w:color w:val="010101"/>
          <w:w w:val="104"/>
          <w:sz w:val="23"/>
        </w:rPr>
        <w:t>=</w:t>
      </w:r>
      <w:r>
        <w:rPr>
          <w:color w:val="010101"/>
          <w:sz w:val="23"/>
        </w:rPr>
        <w:t> </w:t>
      </w:r>
      <w:r>
        <w:rPr>
          <w:color w:val="010101"/>
          <w:spacing w:val="-25"/>
          <w:sz w:val="23"/>
        </w:rPr>
        <w:t> </w:t>
      </w:r>
      <w:r>
        <w:rPr>
          <w:color w:val="010101"/>
          <w:w w:val="99"/>
          <w:position w:val="9"/>
          <w:sz w:val="13"/>
        </w:rPr>
        <w:t>C</w:t>
      </w:r>
      <w:r>
        <w:rPr>
          <w:color w:val="010101"/>
          <w:w w:val="99"/>
          <w:position w:val="9"/>
          <w:sz w:val="13"/>
        </w:rPr>
        <w:t>z</w:t>
      </w:r>
    </w:p>
    <w:p>
      <w:pPr>
        <w:spacing w:line="244" w:lineRule="exact" w:before="147"/>
        <w:ind w:left="-13" w:right="0" w:firstLine="0"/>
        <w:jc w:val="left"/>
        <w:rPr>
          <w:rFonts w:ascii="Arial" w:hAnsi="Arial"/>
          <w:sz w:val="18"/>
        </w:rPr>
      </w:pPr>
      <w:r>
        <w:rPr/>
        <w:br w:type="column"/>
      </w:r>
      <w:r>
        <w:rPr>
          <w:color w:val="010101"/>
          <w:spacing w:val="-122"/>
          <w:w w:val="359"/>
          <w:position w:val="9"/>
          <w:sz w:val="11"/>
        </w:rPr>
        <w:t>(</w:t>
      </w:r>
      <w:r>
        <w:rPr>
          <w:color w:val="010101"/>
          <w:spacing w:val="-186"/>
          <w:w w:val="231"/>
          <w:sz w:val="23"/>
        </w:rPr>
        <w:t>-</w:t>
      </w:r>
      <w:r>
        <w:rPr>
          <w:color w:val="010101"/>
          <w:spacing w:val="8"/>
          <w:w w:val="135"/>
          <w:position w:val="9"/>
          <w:sz w:val="20"/>
        </w:rPr>
        <w:t>1</w:t>
      </w:r>
      <w:r>
        <w:rPr>
          <w:rFonts w:ascii="Arial" w:hAnsi="Arial"/>
          <w:i/>
          <w:color w:val="010101"/>
          <w:spacing w:val="-46"/>
          <w:w w:val="84"/>
          <w:sz w:val="20"/>
        </w:rPr>
        <w:t>A</w:t>
      </w:r>
      <w:r>
        <w:rPr>
          <w:color w:val="010101"/>
          <w:spacing w:val="-53"/>
          <w:w w:val="146"/>
          <w:position w:val="9"/>
          <w:sz w:val="20"/>
        </w:rPr>
        <w:t>-</w:t>
      </w:r>
      <w:r>
        <w:rPr>
          <w:rFonts w:ascii="Arial" w:hAnsi="Arial"/>
          <w:i/>
          <w:color w:val="010101"/>
          <w:w w:val="84"/>
          <w:sz w:val="20"/>
        </w:rPr>
        <w:t>"""</w:t>
      </w:r>
      <w:r>
        <w:rPr>
          <w:rFonts w:ascii="Arial" w:hAnsi="Arial"/>
          <w:i/>
          <w:color w:val="010101"/>
          <w:spacing w:val="-20"/>
          <w:sz w:val="20"/>
        </w:rPr>
        <w:t> </w:t>
      </w:r>
      <w:r>
        <w:rPr>
          <w:rFonts w:ascii="Arial" w:hAnsi="Arial"/>
          <w:i/>
          <w:color w:val="1A1A1A"/>
          <w:w w:val="101"/>
          <w:sz w:val="20"/>
        </w:rPr>
        <w:t>.</w:t>
      </w:r>
      <w:r>
        <w:rPr>
          <w:rFonts w:ascii="Arial" w:hAnsi="Arial"/>
          <w:i/>
          <w:color w:val="010101"/>
          <w:w w:val="96"/>
          <w:sz w:val="20"/>
        </w:rPr>
        <w:t>.</w:t>
      </w:r>
      <w:r>
        <w:rPr>
          <w:rFonts w:ascii="Arial" w:hAnsi="Arial"/>
          <w:i/>
          <w:color w:val="010101"/>
          <w:spacing w:val="-15"/>
          <w:w w:val="96"/>
          <w:sz w:val="20"/>
        </w:rPr>
        <w:t>.</w:t>
      </w:r>
      <w:r>
        <w:rPr>
          <w:rFonts w:ascii="Arial" w:hAnsi="Arial"/>
          <w:i/>
          <w:color w:val="010101"/>
          <w:w w:val="49"/>
          <w:sz w:val="32"/>
        </w:rPr>
        <w:t>"'</w:t>
      </w:r>
      <w:r>
        <w:rPr>
          <w:rFonts w:ascii="Arial" w:hAnsi="Arial"/>
          <w:i/>
          <w:color w:val="010101"/>
          <w:spacing w:val="-15"/>
          <w:sz w:val="32"/>
        </w:rPr>
        <w:t> </w:t>
      </w:r>
      <w:r>
        <w:rPr>
          <w:rFonts w:ascii="Arial" w:hAnsi="Arial"/>
          <w:i/>
          <w:color w:val="010101"/>
          <w:w w:val="101"/>
          <w:sz w:val="32"/>
        </w:rPr>
        <w:t>+</w:t>
      </w:r>
      <w:r>
        <w:rPr>
          <w:rFonts w:ascii="Arial" w:hAnsi="Arial"/>
          <w:i/>
          <w:color w:val="010101"/>
          <w:spacing w:val="-29"/>
          <w:sz w:val="32"/>
        </w:rPr>
        <w:t> </w:t>
      </w:r>
      <w:r>
        <w:rPr>
          <w:color w:val="010101"/>
          <w:w w:val="93"/>
          <w:sz w:val="21"/>
        </w:rPr>
        <w:t>log</w:t>
      </w:r>
      <w:r>
        <w:rPr>
          <w:color w:val="010101"/>
          <w:spacing w:val="11"/>
          <w:sz w:val="21"/>
        </w:rPr>
        <w:t> </w:t>
      </w:r>
      <w:r>
        <w:rPr>
          <w:rFonts w:ascii="Arial" w:hAnsi="Arial"/>
          <w:color w:val="010101"/>
          <w:w w:val="110"/>
          <w:sz w:val="18"/>
        </w:rPr>
        <w:t>s</w:t>
      </w:r>
      <w:r>
        <w:rPr>
          <w:rFonts w:ascii="Arial" w:hAnsi="Arial"/>
          <w:color w:val="010101"/>
          <w:spacing w:val="5"/>
          <w:w w:val="110"/>
          <w:sz w:val="18"/>
        </w:rPr>
        <w:t>·</w:t>
      </w:r>
      <w:r>
        <w:rPr>
          <w:rFonts w:ascii="Arial" w:hAnsi="Arial"/>
          <w:color w:val="010101"/>
          <w:w w:val="71"/>
          <w:sz w:val="18"/>
        </w:rPr>
        <w:t>áwu</w:t>
      </w:r>
      <w:r>
        <w:rPr>
          <w:rFonts w:ascii="Arial" w:hAnsi="Arial"/>
          <w:color w:val="010101"/>
          <w:spacing w:val="6"/>
          <w:w w:val="71"/>
          <w:sz w:val="18"/>
        </w:rPr>
        <w:t>,</w:t>
      </w:r>
      <w:r>
        <w:rPr>
          <w:rFonts w:ascii="Arial" w:hAnsi="Arial"/>
          <w:color w:val="010101"/>
          <w:spacing w:val="-25"/>
          <w:w w:val="156"/>
          <w:sz w:val="18"/>
        </w:rPr>
        <w:t>.</w:t>
      </w:r>
      <w:r>
        <w:rPr>
          <w:rFonts w:ascii="Arial" w:hAnsi="Arial"/>
          <w:color w:val="010101"/>
          <w:w w:val="113"/>
          <w:sz w:val="18"/>
        </w:rPr>
        <w:t>.</w:t>
      </w:r>
      <w:r>
        <w:rPr>
          <w:rFonts w:ascii="Arial" w:hAnsi="Arial"/>
          <w:color w:val="010101"/>
          <w:spacing w:val="-24"/>
          <w:w w:val="113"/>
          <w:sz w:val="18"/>
        </w:rPr>
        <w:t>.</w:t>
      </w:r>
      <w:r>
        <w:rPr>
          <w:rFonts w:ascii="Arial" w:hAnsi="Arial"/>
          <w:color w:val="010101"/>
          <w:w w:val="69"/>
          <w:sz w:val="18"/>
        </w:rPr>
        <w:t>,.</w:t>
      </w:r>
      <w:r>
        <w:rPr>
          <w:rFonts w:ascii="Arial" w:hAnsi="Arial"/>
          <w:color w:val="010101"/>
          <w:spacing w:val="-23"/>
          <w:w w:val="69"/>
          <w:sz w:val="18"/>
        </w:rPr>
        <w:t>,</w:t>
      </w:r>
      <w:r>
        <w:rPr>
          <w:color w:val="010101"/>
          <w:w w:val="210"/>
          <w:position w:val="9"/>
          <w:sz w:val="20"/>
        </w:rPr>
        <w:t>)</w:t>
      </w:r>
      <w:r>
        <w:rPr>
          <w:color w:val="010101"/>
          <w:spacing w:val="17"/>
          <w:position w:val="9"/>
          <w:sz w:val="20"/>
        </w:rPr>
        <w:t> </w:t>
      </w:r>
      <w:r>
        <w:rPr>
          <w:rFonts w:ascii="Arial" w:hAnsi="Arial"/>
          <w:color w:val="010101"/>
          <w:w w:val="290"/>
          <w:sz w:val="18"/>
        </w:rPr>
        <w:t>-</w:t>
      </w:r>
      <w:r>
        <w:rPr>
          <w:rFonts w:ascii="Arial" w:hAnsi="Arial"/>
          <w:color w:val="010101"/>
          <w:spacing w:val="15"/>
          <w:sz w:val="18"/>
        </w:rPr>
        <w:t> </w:t>
      </w:r>
      <w:r>
        <w:rPr>
          <w:color w:val="010101"/>
          <w:w w:val="94"/>
          <w:sz w:val="21"/>
        </w:rPr>
        <w:t>log</w:t>
      </w:r>
      <w:r>
        <w:rPr>
          <w:color w:val="010101"/>
          <w:spacing w:val="12"/>
          <w:sz w:val="21"/>
        </w:rPr>
        <w:t> </w:t>
      </w:r>
      <w:r>
        <w:rPr>
          <w:rFonts w:ascii="Arial" w:hAnsi="Arial"/>
          <w:color w:val="010101"/>
          <w:w w:val="124"/>
          <w:sz w:val="18"/>
        </w:rPr>
        <w:t>s</w:t>
      </w:r>
      <w:r>
        <w:rPr>
          <w:rFonts w:ascii="Arial" w:hAnsi="Arial"/>
          <w:color w:val="010101"/>
          <w:spacing w:val="-1"/>
          <w:w w:val="124"/>
          <w:sz w:val="18"/>
        </w:rPr>
        <w:t>·</w:t>
      </w:r>
      <w:r>
        <w:rPr>
          <w:rFonts w:ascii="Arial" w:hAnsi="Arial"/>
          <w:color w:val="010101"/>
          <w:spacing w:val="-102"/>
          <w:w w:val="124"/>
          <w:sz w:val="18"/>
        </w:rPr>
        <w:t>a</w:t>
      </w:r>
      <w:r>
        <w:rPr>
          <w:color w:val="010101"/>
          <w:w w:val="118"/>
          <w:position w:val="9"/>
          <w:sz w:val="20"/>
        </w:rPr>
        <w:t>-</w:t>
      </w:r>
      <w:r>
        <w:rPr>
          <w:color w:val="010101"/>
          <w:spacing w:val="-29"/>
          <w:position w:val="9"/>
          <w:sz w:val="20"/>
        </w:rPr>
        <w:t> </w:t>
      </w:r>
      <w:r>
        <w:rPr>
          <w:rFonts w:ascii="Arial" w:hAnsi="Arial"/>
          <w:color w:val="010101"/>
          <w:spacing w:val="21"/>
          <w:w w:val="124"/>
          <w:sz w:val="18"/>
        </w:rPr>
        <w:t>_</w:t>
      </w:r>
      <w:r>
        <w:rPr>
          <w:rFonts w:ascii="Arial" w:hAnsi="Arial"/>
          <w:color w:val="010101"/>
          <w:w w:val="107"/>
          <w:sz w:val="18"/>
        </w:rPr>
        <w:t>..</w:t>
      </w:r>
      <w:r>
        <w:rPr>
          <w:rFonts w:ascii="Arial" w:hAnsi="Arial"/>
          <w:color w:val="010101"/>
          <w:spacing w:val="-22"/>
          <w:w w:val="107"/>
          <w:sz w:val="18"/>
        </w:rPr>
        <w:t>.</w:t>
      </w:r>
      <w:r>
        <w:rPr>
          <w:rFonts w:ascii="Arial" w:hAnsi="Arial"/>
          <w:color w:val="010101"/>
          <w:w w:val="129"/>
          <w:sz w:val="18"/>
        </w:rPr>
        <w:t>.</w:t>
      </w:r>
      <w:r>
        <w:rPr>
          <w:rFonts w:ascii="Arial" w:hAnsi="Arial"/>
          <w:color w:val="010101"/>
          <w:spacing w:val="17"/>
          <w:w w:val="129"/>
          <w:sz w:val="18"/>
        </w:rPr>
        <w:t>.</w:t>
      </w:r>
      <w:r>
        <w:rPr>
          <w:rFonts w:ascii="Arial" w:hAnsi="Arial"/>
          <w:color w:val="010101"/>
          <w:w w:val="166"/>
          <w:sz w:val="18"/>
        </w:rPr>
        <w:t>,</w:t>
      </w:r>
    </w:p>
    <w:p>
      <w:pPr>
        <w:spacing w:after="0" w:line="244" w:lineRule="exact"/>
        <w:jc w:val="left"/>
        <w:rPr>
          <w:rFonts w:ascii="Arial" w:hAnsi="Arial"/>
          <w:sz w:val="18"/>
        </w:rPr>
        <w:sectPr>
          <w:type w:val="continuous"/>
          <w:pgSz w:w="7200" w:h="11340"/>
          <w:pgMar w:top="1100" w:bottom="0" w:left="680" w:right="540"/>
          <w:cols w:num="2" w:equalWidth="0">
            <w:col w:w="1400" w:space="40"/>
            <w:col w:w="4540"/>
          </w:cols>
        </w:sectPr>
      </w:pPr>
    </w:p>
    <w:p>
      <w:pPr>
        <w:tabs>
          <w:tab w:pos="1178" w:val="left" w:leader="none"/>
          <w:tab w:pos="1562" w:val="left" w:leader="none"/>
        </w:tabs>
        <w:spacing w:line="184" w:lineRule="exact" w:before="0"/>
        <w:ind w:left="342" w:right="739" w:firstLine="0"/>
        <w:jc w:val="left"/>
        <w:rPr>
          <w:rFonts w:ascii="Arial"/>
          <w:b/>
          <w:i/>
          <w:sz w:val="18"/>
        </w:rPr>
      </w:pPr>
      <w:r>
        <w:rPr>
          <w:color w:val="010101"/>
          <w:position w:val="5"/>
          <w:sz w:val="10"/>
        </w:rPr>
        <w:t>1</w:t>
        <w:tab/>
      </w:r>
      <w:r>
        <w:rPr>
          <w:b/>
          <w:color w:val="010101"/>
          <w:sz w:val="14"/>
        </w:rPr>
        <w:t>Cv,</w:t>
        <w:tab/>
      </w:r>
      <w:r>
        <w:rPr>
          <w:rFonts w:ascii="Arial"/>
          <w:b/>
          <w:i/>
          <w:color w:val="010101"/>
          <w:sz w:val="18"/>
        </w:rPr>
        <w:t>m</w:t>
      </w:r>
    </w:p>
    <w:p>
      <w:pPr>
        <w:tabs>
          <w:tab w:pos="5221" w:val="left" w:leader="none"/>
        </w:tabs>
        <w:spacing w:before="27"/>
        <w:ind w:left="1368" w:right="133" w:firstLine="0"/>
        <w:jc w:val="left"/>
        <w:rPr>
          <w:sz w:val="20"/>
        </w:rPr>
      </w:pPr>
      <w:r>
        <w:rPr>
          <w:rFonts w:ascii="Arial" w:hAnsi="Arial"/>
          <w:b/>
          <w:color w:val="010101"/>
          <w:sz w:val="17"/>
        </w:rPr>
        <w:t>where </w:t>
      </w:r>
      <w:r>
        <w:rPr>
          <w:rFonts w:ascii="Arial" w:hAnsi="Arial"/>
          <w:b/>
          <w:i/>
          <w:color w:val="010101"/>
          <w:w w:val="80"/>
          <w:sz w:val="17"/>
        </w:rPr>
        <w:t>mc'lll  </w:t>
      </w:r>
      <w:r>
        <w:rPr>
          <w:color w:val="010101"/>
          <w:sz w:val="23"/>
        </w:rPr>
        <w:t>= </w:t>
      </w:r>
      <w:r>
        <w:rPr>
          <w:rFonts w:ascii="Arial" w:hAnsi="Arial"/>
          <w:b/>
          <w:color w:val="010101"/>
          <w:w w:val="80"/>
          <w:sz w:val="17"/>
        </w:rPr>
        <w:t>c'Z </w:t>
      </w:r>
      <w:r>
        <w:rPr>
          <w:b/>
          <w:color w:val="010101"/>
          <w:position w:val="5"/>
          <w:sz w:val="10"/>
        </w:rPr>
        <w:t>1   </w:t>
      </w:r>
      <w:r>
        <w:rPr>
          <w:color w:val="010101"/>
          <w:sz w:val="28"/>
        </w:rPr>
        <w:t>+ </w:t>
      </w:r>
      <w:r>
        <w:rPr>
          <w:b/>
          <w:i/>
          <w:color w:val="010101"/>
          <w:spacing w:val="-16"/>
          <w:sz w:val="23"/>
        </w:rPr>
        <w:t>¿rt  </w:t>
      </w:r>
      <w:r>
        <w:rPr>
          <w:color w:val="010101"/>
          <w:sz w:val="28"/>
        </w:rPr>
        <w:t>+ </w:t>
      </w:r>
      <w:r>
        <w:rPr>
          <w:color w:val="010101"/>
          <w:w w:val="80"/>
          <w:sz w:val="28"/>
        </w:rPr>
        <w:t>• • </w:t>
      </w:r>
      <w:r>
        <w:rPr>
          <w:color w:val="1A1A1A"/>
          <w:w w:val="80"/>
          <w:sz w:val="28"/>
        </w:rPr>
        <w:t>•</w:t>
      </w:r>
      <w:r>
        <w:rPr>
          <w:color w:val="1A1A1A"/>
          <w:spacing w:val="20"/>
          <w:w w:val="80"/>
          <w:sz w:val="28"/>
        </w:rPr>
        <w:t> </w:t>
      </w:r>
      <w:r>
        <w:rPr>
          <w:rFonts w:ascii="Arial" w:hAnsi="Arial"/>
          <w:color w:val="010101"/>
          <w:sz w:val="31"/>
        </w:rPr>
        <w:t>+</w:t>
      </w:r>
      <w:r>
        <w:rPr>
          <w:rFonts w:ascii="Arial" w:hAnsi="Arial"/>
          <w:color w:val="010101"/>
          <w:spacing w:val="-49"/>
          <w:sz w:val="31"/>
        </w:rPr>
        <w:t> </w:t>
      </w:r>
      <w:r>
        <w:rPr>
          <w:rFonts w:ascii="Arial" w:hAnsi="Arial"/>
          <w:b/>
          <w:color w:val="010101"/>
          <w:sz w:val="18"/>
        </w:rPr>
        <w:t>cr"'.</w:t>
        <w:tab/>
      </w:r>
      <w:r>
        <w:rPr>
          <w:color w:val="010101"/>
          <w:sz w:val="20"/>
        </w:rPr>
        <w:t>(11.40)</w:t>
      </w:r>
    </w:p>
    <w:p>
      <w:pPr>
        <w:spacing w:line="240" w:lineRule="auto" w:before="101"/>
        <w:ind w:left="109" w:right="162" w:firstLine="0"/>
        <w:jc w:val="both"/>
        <w:rPr>
          <w:sz w:val="21"/>
        </w:rPr>
      </w:pPr>
      <w:r>
        <w:rPr>
          <w:color w:val="010101"/>
          <w:sz w:val="21"/>
        </w:rPr>
        <w:t>The </w:t>
      </w:r>
      <w:r>
        <w:rPr>
          <w:color w:val="010101"/>
          <w:sz w:val="20"/>
        </w:rPr>
        <w:t>&lt;leriva.tions of thcKc </w:t>
      </w:r>
      <w:r>
        <w:rPr>
          <w:color w:val="010101"/>
          <w:sz w:val="21"/>
        </w:rPr>
        <w:t>formulas </w:t>
      </w:r>
      <w:r>
        <w:rPr>
          <w:color w:val="010101"/>
          <w:sz w:val="20"/>
        </w:rPr>
        <w:t>are not given </w:t>
      </w:r>
      <w:r>
        <w:rPr>
          <w:color w:val="010101"/>
          <w:sz w:val="21"/>
        </w:rPr>
        <w:t>here, </w:t>
      </w:r>
      <w:r>
        <w:rPr>
          <w:color w:val="010101"/>
          <w:sz w:val="20"/>
        </w:rPr>
        <w:t>sincc they parallel </w:t>
      </w:r>
      <w:r>
        <w:rPr>
          <w:color w:val="010101"/>
          <w:sz w:val="21"/>
        </w:rPr>
        <w:t>closcly </w:t>
      </w:r>
      <w:r>
        <w:rPr>
          <w:color w:val="010101"/>
          <w:sz w:val="20"/>
        </w:rPr>
        <w:t>thosc of </w:t>
      </w:r>
      <w:r>
        <w:rPr>
          <w:color w:val="010101"/>
          <w:sz w:val="21"/>
        </w:rPr>
        <w:t>thc </w:t>
      </w:r>
      <w:r>
        <w:rPr>
          <w:color w:val="010101"/>
          <w:sz w:val="20"/>
        </w:rPr>
        <w:t>&lt;'orrcsponding contingcnt prohn.hilities </w:t>
      </w:r>
      <w:r>
        <w:rPr>
          <w:color w:val="010101"/>
          <w:sz w:val="21"/>
        </w:rPr>
        <w:t>which were set forth in detail in Section  3.</w:t>
      </w:r>
    </w:p>
    <w:p>
      <w:pPr>
        <w:spacing w:after="0" w:line="240" w:lineRule="auto"/>
        <w:jc w:val="both"/>
        <w:rPr>
          <w:sz w:val="21"/>
        </w:rPr>
        <w:sectPr>
          <w:type w:val="continuous"/>
          <w:pgSz w:w="7200" w:h="11340"/>
          <w:pgMar w:top="1100" w:bottom="0" w:left="680" w:right="540"/>
        </w:sectPr>
      </w:pPr>
    </w:p>
    <w:p>
      <w:pPr>
        <w:tabs>
          <w:tab w:pos="1281" w:val="left" w:leader="none"/>
          <w:tab w:pos="5888" w:val="right" w:leader="none"/>
        </w:tabs>
        <w:spacing w:before="58"/>
        <w:ind w:left="115" w:right="0" w:firstLine="0"/>
        <w:jc w:val="left"/>
        <w:rPr>
          <w:rFonts w:ascii="Courier New"/>
          <w:sz w:val="22"/>
        </w:rPr>
      </w:pPr>
      <w:r>
        <w:rPr>
          <w:b/>
          <w:color w:val="010101"/>
          <w:w w:val="105"/>
          <w:sz w:val="15"/>
        </w:rPr>
        <w:t>SEC. </w:t>
      </w:r>
      <w:r>
        <w:rPr>
          <w:b/>
          <w:color w:val="010101"/>
          <w:spacing w:val="24"/>
          <w:w w:val="105"/>
          <w:sz w:val="15"/>
        </w:rPr>
        <w:t> </w:t>
      </w:r>
      <w:r>
        <w:rPr>
          <w:rFonts w:ascii="Arial"/>
          <w:b/>
          <w:color w:val="010101"/>
          <w:w w:val="105"/>
          <w:sz w:val="18"/>
        </w:rPr>
        <w:t>6]</w:t>
        <w:tab/>
      </w:r>
      <w:r>
        <w:rPr>
          <w:b/>
          <w:color w:val="010101"/>
          <w:w w:val="105"/>
          <w:position w:val="1"/>
          <w:sz w:val="15"/>
        </w:rPr>
        <w:t>ANNUAL   PREMIUMS </w:t>
      </w:r>
      <w:r>
        <w:rPr>
          <w:b/>
          <w:color w:val="010101"/>
          <w:spacing w:val="17"/>
          <w:w w:val="105"/>
          <w:position w:val="1"/>
          <w:sz w:val="15"/>
        </w:rPr>
        <w:t> </w:t>
      </w:r>
      <w:r>
        <w:rPr>
          <w:b/>
          <w:color w:val="010101"/>
          <w:w w:val="105"/>
          <w:position w:val="1"/>
          <w:sz w:val="15"/>
        </w:rPr>
        <w:t>AND </w:t>
      </w:r>
      <w:r>
        <w:rPr>
          <w:b/>
          <w:color w:val="010101"/>
          <w:spacing w:val="24"/>
          <w:w w:val="105"/>
          <w:position w:val="1"/>
          <w:sz w:val="15"/>
        </w:rPr>
        <w:t> </w:t>
      </w:r>
      <w:r>
        <w:rPr>
          <w:b/>
          <w:color w:val="010101"/>
          <w:w w:val="105"/>
          <w:position w:val="1"/>
          <w:sz w:val="15"/>
        </w:rPr>
        <w:t>RESERVES</w:t>
      </w:r>
      <w:r>
        <w:rPr>
          <w:rFonts w:ascii="Courier New"/>
          <w:color w:val="010101"/>
          <w:w w:val="105"/>
          <w:position w:val="1"/>
          <w:sz w:val="22"/>
        </w:rPr>
        <w:tab/>
      </w:r>
      <w:r>
        <w:rPr>
          <w:rFonts w:ascii="Courier New"/>
          <w:color w:val="010101"/>
          <w:spacing w:val="-26"/>
          <w:w w:val="105"/>
          <w:position w:val="1"/>
          <w:sz w:val="22"/>
        </w:rPr>
        <w:t>237</w:t>
      </w:r>
    </w:p>
    <w:p>
      <w:pPr>
        <w:pStyle w:val="BodyText"/>
        <w:spacing w:before="5"/>
        <w:rPr>
          <w:rFonts w:ascii="Courier New"/>
        </w:rPr>
      </w:pPr>
    </w:p>
    <w:p>
      <w:pPr>
        <w:numPr>
          <w:ilvl w:val="0"/>
          <w:numId w:val="103"/>
        </w:numPr>
        <w:tabs>
          <w:tab w:pos="345" w:val="left" w:leader="none"/>
        </w:tabs>
        <w:spacing w:before="0"/>
        <w:ind w:left="345" w:right="0" w:hanging="234"/>
        <w:jc w:val="left"/>
        <w:rPr>
          <w:b/>
          <w:color w:val="010101"/>
          <w:sz w:val="20"/>
        </w:rPr>
      </w:pPr>
      <w:r>
        <w:rPr>
          <w:b/>
          <w:color w:val="010101"/>
          <w:w w:val="115"/>
          <w:sz w:val="20"/>
        </w:rPr>
        <w:t>Annual premiums and</w:t>
      </w:r>
      <w:r>
        <w:rPr>
          <w:b/>
          <w:color w:val="010101"/>
          <w:spacing w:val="-41"/>
          <w:w w:val="115"/>
          <w:sz w:val="20"/>
        </w:rPr>
        <w:t> </w:t>
      </w:r>
      <w:r>
        <w:rPr>
          <w:b/>
          <w:color w:val="010101"/>
          <w:w w:val="115"/>
          <w:sz w:val="20"/>
        </w:rPr>
        <w:t>reserves</w:t>
      </w:r>
    </w:p>
    <w:p>
      <w:pPr>
        <w:pStyle w:val="BodyText"/>
        <w:spacing w:line="244" w:lineRule="auto" w:before="162"/>
        <w:ind w:left="126" w:right="140" w:firstLine="201"/>
        <w:jc w:val="both"/>
      </w:pPr>
      <w:r>
        <w:rPr>
          <w:color w:val="010101"/>
          <w:w w:val="105"/>
        </w:rPr>
        <w:t>A contract of contingent insurance may terminate  in either of  two ways: </w:t>
      </w:r>
      <w:r>
        <w:rPr>
          <w:rFonts w:ascii="Arial"/>
          <w:color w:val="010101"/>
          <w:spacing w:val="-3"/>
          <w:w w:val="105"/>
          <w:sz w:val="19"/>
        </w:rPr>
        <w:t>(1) </w:t>
      </w:r>
      <w:r>
        <w:rPr>
          <w:color w:val="010101"/>
          <w:w w:val="105"/>
        </w:rPr>
        <w:t>by the occurrence of the event insured against, in which case a claim </w:t>
      </w:r>
      <w:r>
        <w:rPr>
          <w:rFonts w:ascii="Arial"/>
          <w:color w:val="010101"/>
          <w:w w:val="105"/>
          <w:sz w:val="19"/>
        </w:rPr>
        <w:t>is </w:t>
      </w:r>
      <w:r>
        <w:rPr>
          <w:color w:val="010101"/>
          <w:w w:val="105"/>
        </w:rPr>
        <w:t>incurred; or (2) by the occurrence of a death contrary </w:t>
      </w:r>
      <w:r>
        <w:rPr>
          <w:color w:val="010101"/>
          <w:w w:val="105"/>
          <w:sz w:val="22"/>
        </w:rPr>
        <w:t>to </w:t>
      </w:r>
      <w:r>
        <w:rPr>
          <w:color w:val="010101"/>
          <w:w w:val="105"/>
        </w:rPr>
        <w:t>the order of deaths insured against, in which case the contract expires. When contracts of this type are subject </w:t>
      </w:r>
      <w:r>
        <w:rPr>
          <w:color w:val="010101"/>
          <w:w w:val="105"/>
          <w:sz w:val="22"/>
        </w:rPr>
        <w:t>to </w:t>
      </w:r>
      <w:r>
        <w:rPr>
          <w:color w:val="010101"/>
          <w:w w:val="105"/>
        </w:rPr>
        <w:t>annual premiums, both of the above pos.5ibilities must </w:t>
      </w:r>
      <w:r>
        <w:rPr>
          <w:rFonts w:ascii="Arial"/>
          <w:color w:val="010101"/>
          <w:w w:val="105"/>
        </w:rPr>
        <w:t>be </w:t>
      </w:r>
      <w:r>
        <w:rPr>
          <w:color w:val="010101"/>
          <w:w w:val="105"/>
        </w:rPr>
        <w:t>considered in detennining the premium-paying period, since  premiums  should not </w:t>
      </w:r>
      <w:r>
        <w:rPr>
          <w:rFonts w:ascii="Arial"/>
          <w:color w:val="010101"/>
          <w:w w:val="105"/>
        </w:rPr>
        <w:t>be </w:t>
      </w:r>
      <w:r>
        <w:rPr>
          <w:color w:val="010101"/>
          <w:w w:val="105"/>
        </w:rPr>
        <w:t>made payable beyond the period during which the insurance is in</w:t>
      </w:r>
      <w:r>
        <w:rPr>
          <w:color w:val="010101"/>
          <w:spacing w:val="-2"/>
          <w:w w:val="105"/>
        </w:rPr>
        <w:t> </w:t>
      </w:r>
      <w:r>
        <w:rPr>
          <w:color w:val="010101"/>
          <w:w w:val="105"/>
        </w:rPr>
        <w:t>force.</w:t>
      </w:r>
    </w:p>
    <w:p>
      <w:pPr>
        <w:pStyle w:val="BodyText"/>
        <w:spacing w:line="247" w:lineRule="auto"/>
        <w:ind w:left="129" w:right="130" w:firstLine="201"/>
        <w:jc w:val="both"/>
      </w:pPr>
      <w:r>
        <w:rPr>
          <w:color w:val="010101"/>
          <w:w w:val="105"/>
          <w:sz w:val="22"/>
        </w:rPr>
        <w:t>In </w:t>
      </w:r>
      <w:r>
        <w:rPr>
          <w:color w:val="010101"/>
          <w:w w:val="105"/>
        </w:rPr>
        <w:t>the case of an insurance contingent upon a specified status being the </w:t>
      </w:r>
      <w:r>
        <w:rPr>
          <w:i/>
          <w:color w:val="010101"/>
          <w:w w:val="105"/>
          <w:sz w:val="21"/>
        </w:rPr>
        <w:t>first </w:t>
      </w:r>
      <w:r>
        <w:rPr>
          <w:color w:val="010101"/>
          <w:w w:val="105"/>
        </w:rPr>
        <w:t>to fail, the contract will either become a claim or expire upon the occurrence of the first failure, and the annual premiums are accordingly made payable during the joint existence of  all  the  statuses.  This  </w:t>
      </w:r>
      <w:r>
        <w:rPr>
          <w:rFonts w:ascii="Arial"/>
          <w:color w:val="010101"/>
          <w:w w:val="105"/>
          <w:sz w:val="19"/>
        </w:rPr>
        <w:t>is </w:t>
      </w:r>
      <w:r>
        <w:rPr>
          <w:color w:val="010101"/>
          <w:w w:val="105"/>
        </w:rPr>
        <w:t>illustrated by</w:t>
      </w:r>
    </w:p>
    <w:p>
      <w:pPr>
        <w:pStyle w:val="BodyText"/>
        <w:spacing w:before="1"/>
        <w:rPr>
          <w:sz w:val="17"/>
        </w:rPr>
      </w:pPr>
    </w:p>
    <w:p>
      <w:pPr>
        <w:pStyle w:val="BodyText"/>
        <w:tabs>
          <w:tab w:pos="2320" w:val="left" w:leader="none"/>
        </w:tabs>
        <w:spacing w:before="1"/>
        <w:ind w:left="126"/>
      </w:pPr>
      <w:r>
        <w:rPr>
          <w:color w:val="010101"/>
          <w:w w:val="105"/>
        </w:rPr>
        <w:t>and</w:t>
        <w:tab/>
      </w:r>
      <w:r>
        <w:rPr>
          <w:color w:val="010101"/>
          <w:position w:val="-20"/>
        </w:rPr>
        <w:drawing>
          <wp:inline distT="0" distB="0" distL="0" distR="0">
            <wp:extent cx="786383" cy="713231"/>
            <wp:effectExtent l="0" t="0" r="0" b="0"/>
            <wp:docPr id="547" name="image279.png" descr=""/>
            <wp:cNvGraphicFramePr>
              <a:graphicFrameLocks noChangeAspect="1"/>
            </wp:cNvGraphicFramePr>
            <a:graphic>
              <a:graphicData uri="http://schemas.openxmlformats.org/drawingml/2006/picture">
                <pic:pic>
                  <pic:nvPicPr>
                    <pic:cNvPr id="548" name="image279.png"/>
                    <pic:cNvPicPr/>
                  </pic:nvPicPr>
                  <pic:blipFill>
                    <a:blip r:embed="rId283" cstate="print"/>
                    <a:stretch>
                      <a:fillRect/>
                    </a:stretch>
                  </pic:blipFill>
                  <pic:spPr>
                    <a:xfrm>
                      <a:off x="0" y="0"/>
                      <a:ext cx="786383" cy="713231"/>
                    </a:xfrm>
                    <a:prstGeom prst="rect">
                      <a:avLst/>
                    </a:prstGeom>
                  </pic:spPr>
                </pic:pic>
              </a:graphicData>
            </a:graphic>
          </wp:inline>
        </w:drawing>
      </w:r>
      <w:r>
        <w:rPr>
          <w:color w:val="010101"/>
          <w:position w:val="-20"/>
        </w:rPr>
      </w:r>
    </w:p>
    <w:p>
      <w:pPr>
        <w:pStyle w:val="BodyText"/>
        <w:spacing w:before="190"/>
        <w:ind w:left="126" w:right="122" w:firstLine="208"/>
        <w:jc w:val="both"/>
      </w:pPr>
      <w:r>
        <w:rPr>
          <w:color w:val="010101"/>
          <w:w w:val="105"/>
        </w:rPr>
        <w:t>When an insurance is contingent upon  a specified  status being the </w:t>
      </w:r>
      <w:r>
        <w:rPr>
          <w:i/>
          <w:color w:val="010101"/>
          <w:w w:val="105"/>
          <w:sz w:val="19"/>
        </w:rPr>
        <w:t>last </w:t>
      </w:r>
      <w:r>
        <w:rPr>
          <w:color w:val="010101"/>
          <w:w w:val="105"/>
          <w:sz w:val="22"/>
        </w:rPr>
        <w:t>to </w:t>
      </w:r>
      <w:r>
        <w:rPr>
          <w:color w:val="010101"/>
          <w:w w:val="105"/>
        </w:rPr>
        <w:t>'fail, the insurance continues in foroe until the failure of the specified status, and the annual premiums may be made pay­ able during the existence of the failing status alone. In the general case involving </w:t>
      </w:r>
      <w:r>
        <w:rPr>
          <w:rFonts w:ascii="Arial" w:hAnsi="Arial"/>
          <w:i/>
          <w:color w:val="010101"/>
          <w:w w:val="105"/>
          <w:sz w:val="18"/>
        </w:rPr>
        <w:t>m </w:t>
      </w:r>
      <w:r>
        <w:rPr>
          <w:color w:val="010101"/>
          <w:w w:val="105"/>
        </w:rPr>
        <w:t>statuses where the insurance is contingent upon a specified status being the n-th </w:t>
      </w:r>
      <w:r>
        <w:rPr>
          <w:color w:val="010101"/>
          <w:w w:val="105"/>
          <w:sz w:val="22"/>
        </w:rPr>
        <w:t>to </w:t>
      </w:r>
      <w:r>
        <w:rPr>
          <w:color w:val="010101"/>
          <w:w w:val="105"/>
        </w:rPr>
        <w:t>fail, the annual premiwns may be made payable during the joint existence of the failing status with at least </w:t>
      </w:r>
      <w:r>
        <w:rPr>
          <w:i/>
          <w:color w:val="010101"/>
          <w:w w:val="105"/>
          <w:sz w:val="21"/>
        </w:rPr>
        <w:t>m-n </w:t>
      </w:r>
      <w:r>
        <w:rPr>
          <w:color w:val="010101"/>
          <w:w w:val="105"/>
        </w:rPr>
        <w:t>of the other statuses. </w:t>
      </w:r>
      <w:r>
        <w:rPr>
          <w:color w:val="010101"/>
          <w:w w:val="105"/>
          <w:sz w:val="22"/>
        </w:rPr>
        <w:t>In </w:t>
      </w:r>
      <w:r>
        <w:rPr>
          <w:color w:val="010101"/>
          <w:w w:val="105"/>
        </w:rPr>
        <w:t>practice, however, there are often underwriting considerations which require that premium payments be limited  </w:t>
      </w:r>
      <w:r>
        <w:rPr>
          <w:color w:val="010101"/>
          <w:w w:val="105"/>
          <w:sz w:val="22"/>
        </w:rPr>
        <w:t>to </w:t>
      </w:r>
      <w:r>
        <w:rPr>
          <w:color w:val="010101"/>
          <w:w w:val="105"/>
        </w:rPr>
        <w:t>a period  shorter than the maximum  indicated  above,</w:t>
      </w:r>
    </w:p>
    <w:p>
      <w:pPr>
        <w:pStyle w:val="BodyText"/>
        <w:spacing w:line="238" w:lineRule="exact"/>
        <w:ind w:left="129" w:hanging="4"/>
        <w:rPr>
          <w:rFonts w:ascii="Arial"/>
          <w:sz w:val="24"/>
        </w:rPr>
      </w:pPr>
      <w:r>
        <w:rPr>
          <w:color w:val="010101"/>
          <w:w w:val="105"/>
        </w:rPr>
        <w:t>and consequently it </w:t>
      </w:r>
      <w:r>
        <w:rPr>
          <w:color w:val="010101"/>
          <w:w w:val="105"/>
          <w:sz w:val="21"/>
        </w:rPr>
        <w:t>is </w:t>
      </w:r>
      <w:r>
        <w:rPr>
          <w:color w:val="010101"/>
          <w:w w:val="105"/>
        </w:rPr>
        <w:t>not possible </w:t>
      </w:r>
      <w:r>
        <w:rPr>
          <w:color w:val="010101"/>
          <w:w w:val="105"/>
          <w:sz w:val="22"/>
        </w:rPr>
        <w:t>to </w:t>
      </w:r>
      <w:r>
        <w:rPr>
          <w:color w:val="010101"/>
          <w:w w:val="105"/>
        </w:rPr>
        <w:t>give unique definitions for </w:t>
      </w:r>
      <w:r>
        <w:rPr>
          <w:color w:val="010101"/>
          <w:w w:val="105"/>
        </w:rPr>
        <w:t>functions </w:t>
      </w:r>
      <w:r>
        <w:rPr>
          <w:color w:val="010101"/>
          <w:w w:val="104"/>
        </w:rPr>
        <w:t>like </w:t>
      </w:r>
      <w:r>
        <w:rPr>
          <w:rFonts w:ascii="Arial"/>
          <w:i/>
          <w:color w:val="010101"/>
          <w:w w:val="99"/>
          <w:sz w:val="24"/>
        </w:rPr>
        <w:t>P.'...</w:t>
      </w:r>
      <w:r>
        <w:rPr>
          <w:rFonts w:ascii="Arial"/>
          <w:color w:val="010101"/>
          <w:w w:val="99"/>
          <w:sz w:val="24"/>
        </w:rPr>
        <w:t>.</w:t>
      </w:r>
    </w:p>
    <w:p>
      <w:pPr>
        <w:pStyle w:val="BodyText"/>
        <w:spacing w:before="3"/>
        <w:ind w:left="129" w:right="129" w:firstLine="193"/>
        <w:jc w:val="both"/>
      </w:pPr>
      <w:r>
        <w:rPr>
          <w:color w:val="010101"/>
          <w:w w:val="105"/>
        </w:rPr>
        <w:t>Tenninal reserves for contingent insurances are computed by the prospective method, and the amount of the reserve at any time depends upon the then </w:t>
      </w:r>
      <w:r>
        <w:rPr>
          <w:b/>
          <w:color w:val="010101"/>
          <w:w w:val="105"/>
          <w:sz w:val="19"/>
        </w:rPr>
        <w:t>surviving </w:t>
      </w:r>
      <w:r>
        <w:rPr>
          <w:color w:val="010101"/>
          <w:w w:val="105"/>
        </w:rPr>
        <w:t>combination of lives. As an illustration, consider the terminal reserve at the end of  </w:t>
      </w:r>
      <w:r>
        <w:rPr>
          <w:i/>
          <w:color w:val="010101"/>
          <w:w w:val="105"/>
          <w:sz w:val="22"/>
        </w:rPr>
        <w:t>t </w:t>
      </w:r>
      <w:r>
        <w:rPr>
          <w:color w:val="010101"/>
          <w:w w:val="105"/>
        </w:rPr>
        <w:t>years  for an insurance on </w:t>
      </w:r>
      <w:r>
        <w:rPr>
          <w:rFonts w:ascii="Arial"/>
          <w:i/>
          <w:color w:val="010101"/>
          <w:w w:val="105"/>
          <w:sz w:val="19"/>
        </w:rPr>
        <w:t>(x) </w:t>
      </w:r>
      <w:r>
        <w:rPr>
          <w:color w:val="010101"/>
          <w:w w:val="105"/>
          <w:sz w:val="21"/>
        </w:rPr>
        <w:t>if </w:t>
      </w:r>
      <w:r>
        <w:rPr>
          <w:color w:val="010101"/>
          <w:w w:val="105"/>
        </w:rPr>
        <w:t>he dies second of the three lives (x), </w:t>
      </w:r>
      <w:r>
        <w:rPr>
          <w:rFonts w:ascii="Arial"/>
          <w:i/>
          <w:color w:val="010101"/>
          <w:w w:val="105"/>
          <w:sz w:val="19"/>
        </w:rPr>
        <w:t>(y ), </w:t>
      </w:r>
      <w:r>
        <w:rPr>
          <w:color w:val="010101"/>
          <w:w w:val="105"/>
        </w:rPr>
        <w:t>and </w:t>
      </w:r>
      <w:r>
        <w:rPr>
          <w:i/>
          <w:color w:val="010101"/>
          <w:w w:val="105"/>
        </w:rPr>
        <w:t>(z </w:t>
      </w:r>
      <w:r>
        <w:rPr>
          <w:color w:val="010101"/>
          <w:w w:val="105"/>
        </w:rPr>
        <w:t>), with annual premiums paya.ble during the joint  lifetime of  all</w:t>
      </w:r>
    </w:p>
    <w:p>
      <w:pPr>
        <w:spacing w:after="0"/>
        <w:jc w:val="both"/>
        <w:sectPr>
          <w:pgSz w:w="7200" w:h="11340"/>
          <w:pgMar w:top="500" w:bottom="280" w:left="660" w:right="540"/>
        </w:sectPr>
      </w:pPr>
    </w:p>
    <w:p>
      <w:pPr>
        <w:tabs>
          <w:tab w:pos="1969" w:val="left" w:leader="none"/>
          <w:tab w:pos="5263" w:val="left" w:leader="none"/>
        </w:tabs>
        <w:spacing w:before="67"/>
        <w:ind w:left="137" w:right="0" w:hanging="4"/>
        <w:jc w:val="left"/>
        <w:rPr>
          <w:rFonts w:ascii="Arial"/>
          <w:b/>
          <w:sz w:val="18"/>
        </w:rPr>
      </w:pPr>
      <w:r>
        <w:rPr>
          <w:w w:val="110"/>
          <w:position w:val="1"/>
          <w:sz w:val="19"/>
        </w:rPr>
        <w:t>238</w:t>
        <w:tab/>
      </w:r>
      <w:r>
        <w:rPr>
          <w:b/>
          <w:w w:val="110"/>
          <w:position w:val="1"/>
          <w:sz w:val="15"/>
        </w:rPr>
        <w:t>CONTINGENT</w:t>
      </w:r>
      <w:r>
        <w:rPr>
          <w:b/>
          <w:spacing w:val="3"/>
          <w:w w:val="110"/>
          <w:position w:val="1"/>
          <w:sz w:val="15"/>
        </w:rPr>
        <w:t> </w:t>
      </w:r>
      <w:r>
        <w:rPr>
          <w:b/>
          <w:w w:val="110"/>
          <w:position w:val="1"/>
          <w:sz w:val="15"/>
        </w:rPr>
        <w:t>l'UNCTIONS</w:t>
        <w:tab/>
      </w:r>
      <w:r>
        <w:rPr>
          <w:b/>
          <w:w w:val="110"/>
          <w:sz w:val="16"/>
        </w:rPr>
        <w:t>[CH. </w:t>
      </w:r>
      <w:r>
        <w:rPr>
          <w:b/>
          <w:spacing w:val="4"/>
          <w:w w:val="110"/>
          <w:sz w:val="16"/>
        </w:rPr>
        <w:t> </w:t>
      </w:r>
      <w:r>
        <w:rPr>
          <w:rFonts w:ascii="Arial"/>
          <w:b/>
          <w:spacing w:val="-11"/>
          <w:w w:val="110"/>
          <w:sz w:val="18"/>
        </w:rPr>
        <w:t>11</w:t>
      </w:r>
    </w:p>
    <w:p>
      <w:pPr>
        <w:pStyle w:val="BodyText"/>
        <w:spacing w:before="10"/>
        <w:rPr>
          <w:rFonts w:ascii="Arial"/>
          <w:b/>
          <w:sz w:val="18"/>
        </w:rPr>
      </w:pPr>
    </w:p>
    <w:p>
      <w:pPr>
        <w:spacing w:line="253" w:lineRule="exact" w:before="0"/>
        <w:ind w:left="137" w:right="0" w:firstLine="0"/>
        <w:jc w:val="left"/>
        <w:rPr>
          <w:sz w:val="21"/>
        </w:rPr>
      </w:pPr>
      <w:r>
        <w:rPr>
          <w:sz w:val="21"/>
        </w:rPr>
        <w:t>three. </w:t>
      </w:r>
      <w:r>
        <w:rPr>
          <w:sz w:val="19"/>
        </w:rPr>
        <w:t>If  </w:t>
      </w:r>
      <w:r>
        <w:rPr>
          <w:sz w:val="21"/>
        </w:rPr>
        <w:t>the lives are all surviving at the end of </w:t>
      </w:r>
      <w:r>
        <w:rPr>
          <w:i/>
          <w:sz w:val="22"/>
        </w:rPr>
        <w:t>t </w:t>
      </w:r>
      <w:r>
        <w:rPr>
          <w:sz w:val="21"/>
        </w:rPr>
        <w:t>years, the   reserve</w:t>
      </w:r>
    </w:p>
    <w:p>
      <w:pPr>
        <w:pStyle w:val="BodyText"/>
        <w:ind w:left="141"/>
      </w:pPr>
      <w:r>
        <w:rPr>
          <w:w w:val="110"/>
        </w:rPr>
        <w:t>is</w:t>
      </w:r>
    </w:p>
    <w:p>
      <w:pPr>
        <w:spacing w:before="165"/>
        <w:ind w:left="569" w:right="543" w:firstLine="0"/>
        <w:jc w:val="center"/>
        <w:rPr>
          <w:sz w:val="21"/>
        </w:rPr>
      </w:pPr>
      <w:r>
        <w:rPr/>
        <w:pict>
          <v:line style="position:absolute;mso-position-horizontal-relative:page;mso-position-vertical-relative:paragraph;z-index:-716872" from="135.720001pt,18.512722pt" to="138.060001pt,18.512722pt" stroked="true" strokeweight=".72pt" strokecolor="#000000">
            <w10:wrap type="none"/>
          </v:line>
        </w:pict>
      </w:r>
      <w:r>
        <w:rPr>
          <w:b/>
          <w:w w:val="121"/>
          <w:position w:val="2"/>
          <w:sz w:val="21"/>
        </w:rPr>
        <w:t>A.</w:t>
      </w:r>
      <w:r>
        <w:rPr>
          <w:b/>
          <w:spacing w:val="4"/>
          <w:w w:val="121"/>
          <w:position w:val="2"/>
          <w:sz w:val="21"/>
        </w:rPr>
        <w:t>!</w:t>
      </w:r>
      <w:r>
        <w:rPr>
          <w:b/>
          <w:w w:val="65"/>
          <w:position w:val="2"/>
          <w:sz w:val="21"/>
        </w:rPr>
        <w:t>c</w:t>
      </w:r>
      <w:r>
        <w:rPr>
          <w:b/>
          <w:spacing w:val="-11"/>
          <w:w w:val="65"/>
          <w:position w:val="2"/>
          <w:sz w:val="21"/>
        </w:rPr>
        <w:t>:</w:t>
      </w:r>
      <w:r>
        <w:rPr>
          <w:rFonts w:ascii="Arial" w:hAnsi="Arial"/>
          <w:b/>
          <w:w w:val="65"/>
          <w:sz w:val="11"/>
        </w:rPr>
        <w:t>1</w:t>
      </w:r>
      <w:r>
        <w:rPr>
          <w:rFonts w:ascii="Arial" w:hAnsi="Arial"/>
          <w:b/>
          <w:spacing w:val="-2"/>
          <w:w w:val="65"/>
          <w:sz w:val="11"/>
        </w:rPr>
        <w:t>1</w:t>
      </w:r>
      <w:r>
        <w:rPr>
          <w:b/>
          <w:w w:val="87"/>
          <w:position w:val="2"/>
          <w:sz w:val="21"/>
        </w:rPr>
        <w:t>+,:•+•</w:t>
      </w:r>
      <w:r>
        <w:rPr>
          <w:b/>
          <w:position w:val="2"/>
          <w:sz w:val="21"/>
        </w:rPr>
        <w:t> </w:t>
      </w:r>
      <w:r>
        <w:rPr>
          <w:b/>
          <w:spacing w:val="-20"/>
          <w:position w:val="2"/>
          <w:sz w:val="21"/>
        </w:rPr>
        <w:t> </w:t>
      </w:r>
      <w:r>
        <w:rPr>
          <w:w w:val="268"/>
          <w:position w:val="2"/>
          <w:sz w:val="21"/>
        </w:rPr>
        <w:t>-</w:t>
      </w:r>
      <w:r>
        <w:rPr>
          <w:spacing w:val="-3"/>
          <w:position w:val="2"/>
          <w:sz w:val="21"/>
        </w:rPr>
        <w:t> </w:t>
      </w:r>
      <w:r>
        <w:rPr>
          <w:b/>
          <w:spacing w:val="-71"/>
          <w:w w:val="164"/>
          <w:position w:val="2"/>
          <w:sz w:val="21"/>
        </w:rPr>
        <w:t>P</w:t>
      </w:r>
      <w:r>
        <w:rPr>
          <w:b/>
          <w:w w:val="71"/>
          <w:position w:val="2"/>
          <w:sz w:val="21"/>
        </w:rPr>
        <w:t>sr,.·Oai+c:v+•=•+'</w:t>
      </w:r>
      <w:r>
        <w:rPr>
          <w:b/>
          <w:position w:val="2"/>
          <w:sz w:val="21"/>
        </w:rPr>
        <w:t> </w:t>
      </w:r>
      <w:r>
        <w:rPr>
          <w:b/>
          <w:spacing w:val="-17"/>
          <w:position w:val="2"/>
          <w:sz w:val="21"/>
        </w:rPr>
        <w:t> </w:t>
      </w:r>
      <w:r>
        <w:rPr>
          <w:w w:val="147"/>
          <w:position w:val="2"/>
          <w:sz w:val="21"/>
        </w:rPr>
        <w:t>·</w:t>
      </w:r>
    </w:p>
    <w:p>
      <w:pPr>
        <w:spacing w:line="180" w:lineRule="auto" w:before="90"/>
        <w:ind w:left="130" w:right="158" w:firstLine="7"/>
        <w:jc w:val="both"/>
        <w:rPr>
          <w:sz w:val="13"/>
        </w:rPr>
      </w:pPr>
      <w:r>
        <w:rPr/>
        <w:pict>
          <v:shape style="position:absolute;margin-left:72.180pt;margin-top:20.030317pt;width:6.8pt;height:7.5pt;mso-position-horizontal-relative:page;mso-position-vertical-relative:paragraph;z-index:-716848" type="#_x0000_t202" filled="false" stroked="false">
            <v:textbox inset="0,0,0,0">
              <w:txbxContent>
                <w:p>
                  <w:pPr>
                    <w:spacing w:line="150" w:lineRule="exact" w:before="0"/>
                    <w:ind w:left="0" w:right="-18" w:firstLine="0"/>
                    <w:jc w:val="left"/>
                    <w:rPr>
                      <w:sz w:val="15"/>
                    </w:rPr>
                  </w:pPr>
                  <w:r>
                    <w:rPr>
                      <w:sz w:val="15"/>
                    </w:rPr>
                    <w:t>IS</w:t>
                  </w:r>
                </w:p>
              </w:txbxContent>
            </v:textbox>
            <w10:wrap type="none"/>
          </v:shape>
        </w:pict>
      </w:r>
      <w:r>
        <w:rPr>
          <w:w w:val="110"/>
          <w:sz w:val="19"/>
        </w:rPr>
        <w:t>If </w:t>
      </w:r>
      <w:r>
        <w:rPr>
          <w:w w:val="110"/>
          <w:sz w:val="20"/>
        </w:rPr>
        <w:t>(y) </w:t>
      </w:r>
      <w:r>
        <w:rPr>
          <w:w w:val="110"/>
          <w:sz w:val="21"/>
        </w:rPr>
        <w:t>has died, the reserve is </w:t>
      </w:r>
      <w:r>
        <w:rPr>
          <w:rFonts w:ascii="Arial" w:hAnsi="Arial"/>
          <w:i/>
          <w:w w:val="85"/>
          <w:sz w:val="26"/>
        </w:rPr>
        <w:t>Az</w:t>
      </w:r>
      <w:r>
        <w:rPr>
          <w:rFonts w:ascii="Arial" w:hAnsi="Arial"/>
          <w:i/>
          <w:w w:val="85"/>
          <w:sz w:val="26"/>
          <w:u w:val="thick"/>
        </w:rPr>
        <w:t>-!_, </w:t>
      </w:r>
      <w:r>
        <w:rPr>
          <w:rFonts w:ascii="Arial" w:hAnsi="Arial"/>
          <w:w w:val="85"/>
          <w:sz w:val="20"/>
        </w:rPr>
        <w:t>=•+' </w:t>
      </w:r>
      <w:r>
        <w:rPr>
          <w:rFonts w:ascii="Arial" w:hAnsi="Arial"/>
          <w:w w:val="110"/>
          <w:sz w:val="20"/>
        </w:rPr>
        <w:t>, </w:t>
      </w:r>
      <w:r>
        <w:rPr>
          <w:w w:val="110"/>
          <w:sz w:val="21"/>
        </w:rPr>
        <w:t>and </w:t>
      </w:r>
      <w:r>
        <w:rPr>
          <w:w w:val="85"/>
          <w:sz w:val="21"/>
        </w:rPr>
        <w:t>if </w:t>
      </w:r>
      <w:r>
        <w:rPr>
          <w:w w:val="110"/>
          <w:sz w:val="21"/>
        </w:rPr>
        <w:t>(z) has</w:t>
      </w:r>
      <w:r>
        <w:rPr>
          <w:spacing w:val="-40"/>
          <w:w w:val="110"/>
          <w:sz w:val="21"/>
        </w:rPr>
        <w:t> </w:t>
      </w:r>
      <w:r>
        <w:rPr>
          <w:w w:val="110"/>
          <w:sz w:val="21"/>
        </w:rPr>
        <w:t>died, the </w:t>
      </w:r>
      <w:r>
        <w:rPr>
          <w:w w:val="98"/>
          <w:sz w:val="21"/>
        </w:rPr>
        <w:t>reserve </w:t>
      </w:r>
      <w:r>
        <w:rPr>
          <w:rFonts w:ascii="Arial" w:hAnsi="Arial"/>
          <w:w w:val="149"/>
          <w:position w:val="9"/>
          <w:sz w:val="19"/>
        </w:rPr>
        <w:t>. </w:t>
      </w:r>
      <w:r>
        <w:rPr>
          <w:rFonts w:ascii="Arial" w:hAnsi="Arial"/>
          <w:i/>
          <w:spacing w:val="-15"/>
          <w:w w:val="121"/>
          <w:position w:val="9"/>
          <w:sz w:val="19"/>
        </w:rPr>
        <w:t>A</w:t>
      </w:r>
      <w:r>
        <w:rPr>
          <w:spacing w:val="-15"/>
          <w:w w:val="121"/>
          <w:sz w:val="20"/>
        </w:rPr>
        <w:t>i+</w:t>
      </w:r>
      <w:r>
        <w:rPr>
          <w:spacing w:val="-15"/>
          <w:w w:val="121"/>
          <w:position w:val="9"/>
          <w:sz w:val="12"/>
        </w:rPr>
        <w:t>i</w:t>
      </w:r>
      <w:r>
        <w:rPr>
          <w:w w:val="121"/>
          <w:position w:val="9"/>
          <w:sz w:val="12"/>
        </w:rPr>
        <w:t> </w:t>
      </w:r>
      <w:r>
        <w:rPr>
          <w:w w:val="102"/>
          <w:sz w:val="20"/>
        </w:rPr>
        <w:t>i </w:t>
      </w:r>
      <w:r>
        <w:rPr>
          <w:spacing w:val="-8"/>
          <w:w w:val="122"/>
          <w:sz w:val="13"/>
        </w:rPr>
        <w:t>:s,+</w:t>
      </w:r>
      <w:r>
        <w:rPr>
          <w:w w:val="122"/>
          <w:sz w:val="13"/>
        </w:rPr>
        <w:t> </w:t>
      </w:r>
      <w:r>
        <w:rPr>
          <w:w w:val="169"/>
          <w:sz w:val="13"/>
        </w:rPr>
        <w:t>,</w:t>
      </w:r>
      <w:r>
        <w:rPr>
          <w:spacing w:val="-40"/>
          <w:w w:val="169"/>
          <w:sz w:val="13"/>
        </w:rPr>
        <w:t> </w:t>
      </w:r>
      <w:r>
        <w:rPr>
          <w:w w:val="87"/>
          <w:sz w:val="13"/>
        </w:rPr>
        <w:t>•</w:t>
      </w:r>
    </w:p>
    <w:p>
      <w:pPr>
        <w:pStyle w:val="ListParagraph"/>
        <w:numPr>
          <w:ilvl w:val="0"/>
          <w:numId w:val="103"/>
        </w:numPr>
        <w:tabs>
          <w:tab w:pos="354" w:val="left" w:leader="none"/>
        </w:tabs>
        <w:spacing w:line="240" w:lineRule="auto" w:before="181" w:after="0"/>
        <w:ind w:left="353" w:right="0" w:hanging="230"/>
        <w:jc w:val="both"/>
        <w:rPr>
          <w:b/>
          <w:sz w:val="19"/>
        </w:rPr>
      </w:pPr>
      <w:r>
        <w:rPr>
          <w:b/>
          <w:w w:val="120"/>
          <w:sz w:val="19"/>
        </w:rPr>
        <w:t>Some special contingent </w:t>
      </w:r>
      <w:r>
        <w:rPr>
          <w:b/>
          <w:spacing w:val="17"/>
          <w:w w:val="120"/>
          <w:sz w:val="19"/>
        </w:rPr>
        <w:t> </w:t>
      </w:r>
      <w:r>
        <w:rPr>
          <w:b/>
          <w:w w:val="120"/>
          <w:sz w:val="19"/>
        </w:rPr>
        <w:t>functions</w:t>
      </w:r>
    </w:p>
    <w:p>
      <w:pPr>
        <w:spacing w:line="246" w:lineRule="exact" w:before="66"/>
        <w:ind w:left="182" w:right="37" w:firstLine="0"/>
        <w:jc w:val="center"/>
        <w:rPr>
          <w:sz w:val="21"/>
        </w:rPr>
      </w:pPr>
      <w:r>
        <w:rPr>
          <w:sz w:val="21"/>
        </w:rPr>
        <w:t>The probability  that  </w:t>
      </w:r>
      <w:r>
        <w:rPr>
          <w:sz w:val="20"/>
        </w:rPr>
        <w:t>(x )  </w:t>
      </w:r>
      <w:r>
        <w:rPr>
          <w:sz w:val="21"/>
        </w:rPr>
        <w:t>will  </w:t>
      </w:r>
      <w:r>
        <w:rPr>
          <w:sz w:val="19"/>
        </w:rPr>
        <w:t>be  </w:t>
      </w:r>
      <w:r>
        <w:rPr>
          <w:sz w:val="21"/>
        </w:rPr>
        <w:t>alive </w:t>
      </w:r>
      <w:r>
        <w:rPr>
          <w:i/>
          <w:sz w:val="22"/>
        </w:rPr>
        <w:t>n </w:t>
      </w:r>
      <w:r>
        <w:rPr>
          <w:sz w:val="21"/>
        </w:rPr>
        <w:t>years  after the death of</w:t>
      </w:r>
    </w:p>
    <w:p>
      <w:pPr>
        <w:pStyle w:val="ListParagraph"/>
        <w:numPr>
          <w:ilvl w:val="0"/>
          <w:numId w:val="105"/>
        </w:numPr>
        <w:tabs>
          <w:tab w:pos="498" w:val="left" w:leader="none"/>
        </w:tabs>
        <w:spacing w:line="214" w:lineRule="exact" w:before="0" w:after="0"/>
        <w:ind w:left="497" w:right="0" w:hanging="327"/>
        <w:jc w:val="both"/>
        <w:rPr>
          <w:sz w:val="21"/>
        </w:rPr>
      </w:pPr>
      <w:r>
        <w:rPr>
          <w:sz w:val="21"/>
        </w:rPr>
        <w:t>is</w:t>
      </w:r>
    </w:p>
    <w:p>
      <w:pPr>
        <w:spacing w:line="601" w:lineRule="exact" w:before="0"/>
        <w:ind w:left="123" w:right="0" w:firstLine="3"/>
        <w:jc w:val="both"/>
        <w:rPr>
          <w:rFonts w:ascii="Arial" w:hAnsi="Arial"/>
          <w:b/>
          <w:sz w:val="18"/>
        </w:rPr>
      </w:pPr>
      <w:r>
        <w:rPr>
          <w:rFonts w:ascii="Arial" w:hAnsi="Arial"/>
          <w:b/>
          <w:i/>
          <w:spacing w:val="16"/>
          <w:w w:val="94"/>
          <w:sz w:val="54"/>
        </w:rPr>
        <w:t>l</w:t>
      </w:r>
      <w:r>
        <w:rPr>
          <w:rFonts w:ascii="Arial" w:hAnsi="Arial"/>
          <w:b/>
          <w:i/>
          <w:w w:val="33"/>
          <w:sz w:val="54"/>
        </w:rPr>
        <w:t>'°</w:t>
      </w:r>
      <w:r>
        <w:rPr>
          <w:rFonts w:ascii="Arial" w:hAnsi="Arial"/>
          <w:b/>
          <w:i/>
          <w:spacing w:val="-109"/>
          <w:sz w:val="54"/>
        </w:rPr>
        <w:t> </w:t>
      </w:r>
      <w:r>
        <w:rPr>
          <w:b/>
          <w:w w:val="65"/>
          <w:sz w:val="20"/>
        </w:rPr>
        <w:t>H11P2:·cP11"1,+c</w:t>
      </w:r>
      <w:r>
        <w:rPr>
          <w:b/>
          <w:sz w:val="20"/>
        </w:rPr>
        <w:t> </w:t>
      </w:r>
      <w:r>
        <w:rPr>
          <w:b/>
          <w:spacing w:val="-23"/>
          <w:sz w:val="20"/>
        </w:rPr>
        <w:t> </w:t>
      </w:r>
      <w:r>
        <w:rPr>
          <w:rFonts w:ascii="Arial" w:hAnsi="Arial"/>
          <w:b/>
          <w:i/>
          <w:w w:val="77"/>
          <w:sz w:val="20"/>
        </w:rPr>
        <w:t>dt</w:t>
      </w:r>
      <w:r>
        <w:rPr>
          <w:rFonts w:ascii="Arial" w:hAnsi="Arial"/>
          <w:b/>
          <w:i/>
          <w:sz w:val="20"/>
        </w:rPr>
        <w:t> </w:t>
      </w:r>
      <w:r>
        <w:rPr>
          <w:rFonts w:ascii="Arial" w:hAnsi="Arial"/>
          <w:b/>
          <w:i/>
          <w:spacing w:val="-25"/>
          <w:sz w:val="20"/>
        </w:rPr>
        <w:t> </w:t>
      </w:r>
      <w:r>
        <w:rPr>
          <w:w w:val="100"/>
          <w:sz w:val="24"/>
        </w:rPr>
        <w:t>=</w:t>
      </w:r>
      <w:r>
        <w:rPr>
          <w:spacing w:val="12"/>
          <w:sz w:val="24"/>
        </w:rPr>
        <w:t> </w:t>
      </w:r>
      <w:r>
        <w:rPr>
          <w:b/>
          <w:w w:val="71"/>
          <w:sz w:val="20"/>
        </w:rPr>
        <w:t>rtPz</w:t>
      </w:r>
      <w:r>
        <w:rPr>
          <w:b/>
          <w:spacing w:val="21"/>
          <w:sz w:val="20"/>
        </w:rPr>
        <w:t> </w:t>
      </w:r>
      <w:r>
        <w:rPr>
          <w:b/>
          <w:spacing w:val="-3"/>
          <w:w w:val="106"/>
          <w:sz w:val="53"/>
        </w:rPr>
        <w:t>l</w:t>
      </w:r>
      <w:r>
        <w:rPr>
          <w:b/>
          <w:w w:val="29"/>
          <w:sz w:val="53"/>
        </w:rPr>
        <w:t>'°</w:t>
      </w:r>
      <w:r>
        <w:rPr>
          <w:b/>
          <w:spacing w:val="-82"/>
          <w:sz w:val="53"/>
        </w:rPr>
        <w:t> </w:t>
      </w:r>
      <w:r>
        <w:rPr>
          <w:b/>
          <w:w w:val="70"/>
          <w:sz w:val="20"/>
        </w:rPr>
        <w:t>cPz+n:s,"1,+c</w:t>
      </w:r>
      <w:r>
        <w:rPr>
          <w:b/>
          <w:sz w:val="20"/>
        </w:rPr>
        <w:t> </w:t>
      </w:r>
      <w:r>
        <w:rPr>
          <w:b/>
          <w:spacing w:val="-18"/>
          <w:sz w:val="20"/>
        </w:rPr>
        <w:t> </w:t>
      </w:r>
      <w:r>
        <w:rPr>
          <w:b/>
          <w:i/>
          <w:w w:val="84"/>
          <w:sz w:val="22"/>
        </w:rPr>
        <w:t>dt</w:t>
      </w:r>
      <w:r>
        <w:rPr>
          <w:b/>
          <w:i/>
          <w:sz w:val="22"/>
        </w:rPr>
        <w:t> </w:t>
      </w:r>
      <w:r>
        <w:rPr>
          <w:b/>
          <w:i/>
          <w:spacing w:val="-25"/>
          <w:sz w:val="22"/>
        </w:rPr>
        <w:t> </w:t>
      </w:r>
      <w:r>
        <w:rPr>
          <w:w w:val="100"/>
          <w:sz w:val="24"/>
        </w:rPr>
        <w:t>=</w:t>
      </w:r>
      <w:r>
        <w:rPr>
          <w:spacing w:val="12"/>
          <w:sz w:val="24"/>
        </w:rPr>
        <w:t> </w:t>
      </w:r>
      <w:r>
        <w:rPr>
          <w:b/>
          <w:w w:val="84"/>
          <w:sz w:val="20"/>
        </w:rPr>
        <w:t>•Pz·ooqz+,.:!•</w:t>
      </w:r>
      <w:r>
        <w:rPr>
          <w:b/>
          <w:sz w:val="20"/>
        </w:rPr>
        <w:t>    </w:t>
      </w:r>
      <w:r>
        <w:rPr>
          <w:b/>
          <w:spacing w:val="-12"/>
          <w:sz w:val="20"/>
        </w:rPr>
        <w:t> </w:t>
      </w:r>
      <w:r>
        <w:rPr>
          <w:rFonts w:ascii="Arial" w:hAnsi="Arial"/>
          <w:b/>
          <w:w w:val="106"/>
          <w:sz w:val="18"/>
        </w:rPr>
        <w:t>(</w:t>
      </w:r>
      <w:r>
        <w:rPr>
          <w:rFonts w:ascii="Arial" w:hAnsi="Arial"/>
          <w:b/>
          <w:w w:val="106"/>
          <w:sz w:val="18"/>
        </w:rPr>
        <w:t>11.41</w:t>
      </w:r>
      <w:r>
        <w:rPr>
          <w:rFonts w:ascii="Arial" w:hAnsi="Arial"/>
          <w:b/>
          <w:w w:val="106"/>
          <w:sz w:val="18"/>
        </w:rPr>
        <w:t>)</w:t>
      </w:r>
    </w:p>
    <w:p>
      <w:pPr>
        <w:spacing w:line="225" w:lineRule="auto" w:before="143"/>
        <w:ind w:left="112" w:right="165" w:firstLine="10"/>
        <w:jc w:val="both"/>
        <w:rPr>
          <w:sz w:val="21"/>
        </w:rPr>
      </w:pPr>
      <w:r>
        <w:rPr>
          <w:sz w:val="21"/>
        </w:rPr>
        <w:t>Similarly the probability that </w:t>
      </w:r>
      <w:r>
        <w:rPr>
          <w:sz w:val="20"/>
        </w:rPr>
        <w:t>(y) </w:t>
      </w:r>
      <w:r>
        <w:rPr>
          <w:sz w:val="21"/>
        </w:rPr>
        <w:t>will </w:t>
      </w:r>
      <w:r>
        <w:rPr>
          <w:rFonts w:ascii="Arial" w:hAnsi="Arial"/>
          <w:sz w:val="21"/>
        </w:rPr>
        <w:t>be </w:t>
      </w:r>
      <w:r>
        <w:rPr>
          <w:sz w:val="21"/>
        </w:rPr>
        <w:t>alive </w:t>
      </w:r>
      <w:r>
        <w:rPr>
          <w:i/>
          <w:sz w:val="21"/>
        </w:rPr>
        <w:t>n </w:t>
      </w:r>
      <w:r>
        <w:rPr>
          <w:sz w:val="21"/>
        </w:rPr>
        <w:t>years after the  death of (x) is </w:t>
      </w:r>
      <w:r>
        <w:rPr>
          <w:i/>
          <w:w w:val="95"/>
          <w:sz w:val="20"/>
        </w:rPr>
        <w:t>nP</w:t>
      </w:r>
      <w:r>
        <w:rPr>
          <w:rFonts w:ascii="Arial" w:hAnsi="Arial"/>
          <w:i/>
          <w:w w:val="95"/>
          <w:position w:val="-3"/>
          <w:sz w:val="11"/>
        </w:rPr>
        <w:t>11 </w:t>
      </w:r>
      <w:r>
        <w:rPr>
          <w:rFonts w:ascii="Arial" w:hAnsi="Arial"/>
          <w:sz w:val="11"/>
        </w:rPr>
        <w:t>• </w:t>
      </w:r>
      <w:r>
        <w:rPr>
          <w:w w:val="95"/>
          <w:sz w:val="20"/>
        </w:rPr>
        <w:t>ooq :u+rt </w:t>
      </w:r>
      <w:r>
        <w:rPr>
          <w:sz w:val="20"/>
        </w:rPr>
        <w:t>, </w:t>
      </w:r>
      <w:r>
        <w:rPr>
          <w:sz w:val="21"/>
        </w:rPr>
        <w:t>and the probability that  at least </w:t>
      </w:r>
      <w:r>
        <w:rPr>
          <w:i/>
          <w:sz w:val="22"/>
        </w:rPr>
        <w:t>n  </w:t>
      </w:r>
      <w:r>
        <w:rPr>
          <w:sz w:val="21"/>
        </w:rPr>
        <w:t>years will elapse between  the two deaths </w:t>
      </w:r>
      <w:r>
        <w:rPr>
          <w:rFonts w:ascii="Arial" w:hAnsi="Arial"/>
          <w:sz w:val="19"/>
        </w:rPr>
        <w:t>is </w:t>
      </w:r>
      <w:r>
        <w:rPr>
          <w:rFonts w:ascii="Arial" w:hAnsi="Arial"/>
          <w:spacing w:val="23"/>
          <w:sz w:val="19"/>
        </w:rPr>
        <w:t> </w:t>
      </w:r>
      <w:r>
        <w:rPr>
          <w:sz w:val="21"/>
        </w:rPr>
        <w:t>therefore</w:t>
      </w:r>
    </w:p>
    <w:p>
      <w:pPr>
        <w:pStyle w:val="BodyText"/>
        <w:spacing w:before="123"/>
        <w:ind w:left="1851"/>
      </w:pPr>
      <w:r>
        <w:rPr>
          <w:position w:val="-4"/>
        </w:rPr>
        <w:drawing>
          <wp:inline distT="0" distB="0" distL="0" distR="0">
            <wp:extent cx="1435608" cy="155448"/>
            <wp:effectExtent l="0" t="0" r="0" b="0"/>
            <wp:docPr id="549" name="image280.png" descr=""/>
            <wp:cNvGraphicFramePr>
              <a:graphicFrameLocks noChangeAspect="1"/>
            </wp:cNvGraphicFramePr>
            <a:graphic>
              <a:graphicData uri="http://schemas.openxmlformats.org/drawingml/2006/picture">
                <pic:pic>
                  <pic:nvPicPr>
                    <pic:cNvPr id="550" name="image280.png"/>
                    <pic:cNvPicPr/>
                  </pic:nvPicPr>
                  <pic:blipFill>
                    <a:blip r:embed="rId284" cstate="print"/>
                    <a:stretch>
                      <a:fillRect/>
                    </a:stretch>
                  </pic:blipFill>
                  <pic:spPr>
                    <a:xfrm>
                      <a:off x="0" y="0"/>
                      <a:ext cx="1435608" cy="155448"/>
                    </a:xfrm>
                    <a:prstGeom prst="rect">
                      <a:avLst/>
                    </a:prstGeom>
                  </pic:spPr>
                </pic:pic>
              </a:graphicData>
            </a:graphic>
          </wp:inline>
        </w:drawing>
      </w:r>
      <w:r>
        <w:rPr>
          <w:position w:val="-4"/>
        </w:rPr>
      </w:r>
      <w:r>
        <w:rPr/>
        <w:t>                      (11.42</w:t>
      </w:r>
      <w:r>
        <w:rPr>
          <w:spacing w:val="-32"/>
        </w:rPr>
        <w:t> </w:t>
      </w:r>
      <w:r>
        <w:rPr/>
        <w:t>)</w:t>
      </w:r>
    </w:p>
    <w:p>
      <w:pPr>
        <w:spacing w:line="252" w:lineRule="exact" w:before="93"/>
        <w:ind w:left="123" w:right="0" w:firstLine="0"/>
        <w:jc w:val="left"/>
        <w:rPr>
          <w:i/>
          <w:sz w:val="22"/>
        </w:rPr>
      </w:pPr>
      <w:r>
        <w:rPr>
          <w:sz w:val="21"/>
        </w:rPr>
        <w:t>It follows  that  the  probability  that  (x)  and  </w:t>
      </w:r>
      <w:r>
        <w:rPr>
          <w:rFonts w:ascii="Arial"/>
          <w:i/>
          <w:sz w:val="19"/>
        </w:rPr>
        <w:t>(y )  </w:t>
      </w:r>
      <w:r>
        <w:rPr>
          <w:sz w:val="21"/>
        </w:rPr>
        <w:t>will  die within </w:t>
      </w:r>
      <w:r>
        <w:rPr>
          <w:i/>
          <w:sz w:val="22"/>
        </w:rPr>
        <w:t>n</w:t>
      </w:r>
    </w:p>
    <w:p>
      <w:pPr>
        <w:spacing w:line="240" w:lineRule="exact" w:before="0"/>
        <w:ind w:left="108" w:right="0" w:firstLine="0"/>
        <w:jc w:val="left"/>
        <w:rPr>
          <w:sz w:val="21"/>
        </w:rPr>
      </w:pPr>
      <w:r>
        <w:rPr>
          <w:sz w:val="21"/>
        </w:rPr>
        <w:t>years of  each other is</w:t>
      </w:r>
    </w:p>
    <w:p>
      <w:pPr>
        <w:pStyle w:val="BodyText"/>
        <w:spacing w:before="105"/>
        <w:ind w:left="1577"/>
      </w:pPr>
      <w:r>
        <w:rPr>
          <w:position w:val="-4"/>
        </w:rPr>
        <w:drawing>
          <wp:inline distT="0" distB="0" distL="0" distR="0">
            <wp:extent cx="1783080" cy="164591"/>
            <wp:effectExtent l="0" t="0" r="0" b="0"/>
            <wp:docPr id="551" name="image281.png" descr=""/>
            <wp:cNvGraphicFramePr>
              <a:graphicFrameLocks noChangeAspect="1"/>
            </wp:cNvGraphicFramePr>
            <a:graphic>
              <a:graphicData uri="http://schemas.openxmlformats.org/drawingml/2006/picture">
                <pic:pic>
                  <pic:nvPicPr>
                    <pic:cNvPr id="552" name="image281.png"/>
                    <pic:cNvPicPr/>
                  </pic:nvPicPr>
                  <pic:blipFill>
                    <a:blip r:embed="rId285" cstate="print"/>
                    <a:stretch>
                      <a:fillRect/>
                    </a:stretch>
                  </pic:blipFill>
                  <pic:spPr>
                    <a:xfrm>
                      <a:off x="0" y="0"/>
                      <a:ext cx="1783080" cy="164591"/>
                    </a:xfrm>
                    <a:prstGeom prst="rect">
                      <a:avLst/>
                    </a:prstGeom>
                  </pic:spPr>
                </pic:pic>
              </a:graphicData>
            </a:graphic>
          </wp:inline>
        </w:drawing>
      </w:r>
      <w:r>
        <w:rPr>
          <w:position w:val="-4"/>
        </w:rPr>
      </w:r>
      <w:r>
        <w:rPr/>
        <w:t>                (11.43)</w:t>
      </w:r>
    </w:p>
    <w:p>
      <w:pPr>
        <w:spacing w:before="110"/>
        <w:ind w:left="115" w:right="188" w:firstLine="198"/>
        <w:jc w:val="left"/>
        <w:rPr>
          <w:sz w:val="21"/>
        </w:rPr>
      </w:pPr>
      <w:r>
        <w:rPr>
          <w:sz w:val="21"/>
        </w:rPr>
        <w:t>The probability that </w:t>
      </w:r>
      <w:r>
        <w:rPr>
          <w:rFonts w:ascii="Arial"/>
          <w:i/>
          <w:spacing w:val="6"/>
          <w:sz w:val="19"/>
        </w:rPr>
        <w:t>(x) </w:t>
      </w:r>
      <w:r>
        <w:rPr>
          <w:sz w:val="21"/>
        </w:rPr>
        <w:t>will die before </w:t>
      </w:r>
      <w:r>
        <w:rPr>
          <w:rFonts w:ascii="Arial"/>
          <w:i/>
          <w:sz w:val="19"/>
        </w:rPr>
        <w:t>(y )  </w:t>
      </w:r>
      <w:r>
        <w:rPr>
          <w:sz w:val="21"/>
        </w:rPr>
        <w:t>or within  </w:t>
      </w:r>
      <w:r>
        <w:rPr>
          <w:rFonts w:ascii="Arial"/>
          <w:i/>
          <w:sz w:val="19"/>
        </w:rPr>
        <w:t>n </w:t>
      </w:r>
      <w:r>
        <w:rPr>
          <w:sz w:val="21"/>
        </w:rPr>
        <w:t>years  after  the  death  of   </w:t>
      </w:r>
      <w:r>
        <w:rPr>
          <w:rFonts w:ascii="Arial"/>
          <w:i/>
          <w:spacing w:val="6"/>
          <w:sz w:val="19"/>
        </w:rPr>
        <w:t>(y)  </w:t>
      </w:r>
      <w:r>
        <w:rPr>
          <w:sz w:val="21"/>
        </w:rPr>
        <w:t>is the  complement  of  the  probability</w:t>
      </w:r>
      <w:r>
        <w:rPr>
          <w:spacing w:val="-4"/>
          <w:sz w:val="21"/>
        </w:rPr>
        <w:t> </w:t>
      </w:r>
      <w:r>
        <w:rPr>
          <w:sz w:val="21"/>
        </w:rPr>
        <w:t>that</w:t>
      </w:r>
    </w:p>
    <w:p>
      <w:pPr>
        <w:spacing w:line="243" w:lineRule="exact" w:before="0"/>
        <w:ind w:left="155" w:right="0" w:firstLine="0"/>
        <w:jc w:val="left"/>
        <w:rPr>
          <w:sz w:val="21"/>
        </w:rPr>
      </w:pPr>
      <w:r>
        <w:rPr>
          <w:sz w:val="21"/>
        </w:rPr>
        <w:t>(x) will  </w:t>
      </w:r>
      <w:r>
        <w:rPr>
          <w:rFonts w:ascii="Arial"/>
          <w:sz w:val="21"/>
        </w:rPr>
        <w:t>be </w:t>
      </w:r>
      <w:r>
        <w:rPr>
          <w:sz w:val="21"/>
        </w:rPr>
        <w:t>alive </w:t>
      </w:r>
      <w:r>
        <w:rPr>
          <w:i/>
          <w:sz w:val="22"/>
        </w:rPr>
        <w:t>n </w:t>
      </w:r>
      <w:r>
        <w:rPr>
          <w:sz w:val="21"/>
        </w:rPr>
        <w:t>years after the death of  </w:t>
      </w:r>
      <w:r>
        <w:rPr>
          <w:sz w:val="20"/>
        </w:rPr>
        <w:t>(y),   </w:t>
      </w:r>
      <w:r>
        <w:rPr>
          <w:sz w:val="21"/>
        </w:rPr>
        <w:t>or</w:t>
      </w:r>
    </w:p>
    <w:p>
      <w:pPr>
        <w:pStyle w:val="BodyText"/>
        <w:spacing w:before="111"/>
        <w:ind w:left="2254"/>
      </w:pPr>
      <w:r>
        <w:rPr>
          <w:position w:val="-5"/>
        </w:rPr>
        <w:drawing>
          <wp:inline distT="0" distB="0" distL="0" distR="0">
            <wp:extent cx="914400" cy="155448"/>
            <wp:effectExtent l="0" t="0" r="0" b="0"/>
            <wp:docPr id="553" name="image282.png" descr=""/>
            <wp:cNvGraphicFramePr>
              <a:graphicFrameLocks noChangeAspect="1"/>
            </wp:cNvGraphicFramePr>
            <a:graphic>
              <a:graphicData uri="http://schemas.openxmlformats.org/drawingml/2006/picture">
                <pic:pic>
                  <pic:nvPicPr>
                    <pic:cNvPr id="554" name="image282.png"/>
                    <pic:cNvPicPr/>
                  </pic:nvPicPr>
                  <pic:blipFill>
                    <a:blip r:embed="rId286" cstate="print"/>
                    <a:stretch>
                      <a:fillRect/>
                    </a:stretch>
                  </pic:blipFill>
                  <pic:spPr>
                    <a:xfrm>
                      <a:off x="0" y="0"/>
                      <a:ext cx="914400" cy="155448"/>
                    </a:xfrm>
                    <a:prstGeom prst="rect">
                      <a:avLst/>
                    </a:prstGeom>
                  </pic:spPr>
                </pic:pic>
              </a:graphicData>
            </a:graphic>
          </wp:inline>
        </w:drawing>
      </w:r>
      <w:r>
        <w:rPr>
          <w:position w:val="-5"/>
        </w:rPr>
      </w:r>
      <w:r>
        <w:rPr/>
        <w:t>                              </w:t>
      </w:r>
      <w:r>
        <w:rPr>
          <w:w w:val="105"/>
        </w:rPr>
        <w:t>(11.44)</w:t>
      </w:r>
    </w:p>
    <w:p>
      <w:pPr>
        <w:spacing w:line="242" w:lineRule="exact" w:before="112"/>
        <w:ind w:left="130" w:right="183" w:firstLine="187"/>
        <w:jc w:val="left"/>
        <w:rPr>
          <w:rFonts w:ascii="Arial"/>
          <w:sz w:val="19"/>
        </w:rPr>
      </w:pPr>
      <w:r>
        <w:rPr>
          <w:sz w:val="21"/>
        </w:rPr>
        <w:t>The probability that (x) will  die  during  the </w:t>
      </w:r>
      <w:r>
        <w:rPr>
          <w:i/>
          <w:sz w:val="22"/>
        </w:rPr>
        <w:t>n </w:t>
      </w:r>
      <w:r>
        <w:rPr>
          <w:sz w:val="21"/>
        </w:rPr>
        <w:t>years  following the death of  </w:t>
      </w:r>
      <w:r>
        <w:rPr>
          <w:sz w:val="20"/>
        </w:rPr>
        <w:t>(1/) </w:t>
      </w:r>
      <w:r>
        <w:rPr>
          <w:rFonts w:ascii="Arial"/>
          <w:sz w:val="19"/>
        </w:rPr>
        <w:t>is</w:t>
      </w:r>
    </w:p>
    <w:p>
      <w:pPr>
        <w:tabs>
          <w:tab w:pos="5224" w:val="left" w:leader="none"/>
        </w:tabs>
        <w:spacing w:before="6"/>
        <w:ind w:left="115" w:right="0" w:firstLine="637"/>
        <w:jc w:val="left"/>
        <w:rPr>
          <w:b/>
          <w:sz w:val="20"/>
        </w:rPr>
      </w:pPr>
      <w:r>
        <w:rPr>
          <w:spacing w:val="-160"/>
          <w:w w:val="158"/>
          <w:sz w:val="47"/>
        </w:rPr>
        <w:t>{</w:t>
      </w:r>
      <w:r>
        <w:rPr>
          <w:w w:val="40"/>
          <w:sz w:val="47"/>
        </w:rPr>
        <w:t>º</w:t>
      </w:r>
      <w:r>
        <w:rPr>
          <w:spacing w:val="-48"/>
          <w:sz w:val="47"/>
        </w:rPr>
        <w:t> </w:t>
      </w:r>
      <w:r>
        <w:rPr>
          <w:b/>
          <w:i/>
          <w:w w:val="64"/>
          <w:sz w:val="21"/>
        </w:rPr>
        <w:t>(</w:t>
      </w:r>
      <w:r>
        <w:rPr>
          <w:b/>
          <w:i/>
          <w:spacing w:val="-12"/>
          <w:sz w:val="21"/>
        </w:rPr>
        <w:t> </w:t>
      </w:r>
      <w:r>
        <w:rPr>
          <w:b/>
          <w:i/>
          <w:w w:val="69"/>
          <w:sz w:val="21"/>
        </w:rPr>
        <w:t>1Pz</w:t>
      </w:r>
      <w:r>
        <w:rPr>
          <w:b/>
          <w:i/>
          <w:sz w:val="21"/>
        </w:rPr>
        <w:t> </w:t>
      </w:r>
      <w:r>
        <w:rPr>
          <w:b/>
          <w:i/>
          <w:spacing w:val="-9"/>
          <w:sz w:val="21"/>
        </w:rPr>
        <w:t> </w:t>
      </w:r>
      <w:r>
        <w:rPr>
          <w:w w:val="268"/>
          <w:sz w:val="21"/>
        </w:rPr>
        <w:t>-</w:t>
      </w:r>
      <w:r>
        <w:rPr>
          <w:spacing w:val="4"/>
          <w:sz w:val="21"/>
        </w:rPr>
        <w:t> </w:t>
      </w:r>
      <w:r>
        <w:rPr>
          <w:b/>
          <w:i/>
          <w:w w:val="28"/>
          <w:sz w:val="21"/>
        </w:rPr>
        <w:t>C</w:t>
      </w:r>
      <w:r>
        <w:rPr>
          <w:b/>
          <w:i/>
          <w:spacing w:val="-29"/>
          <w:sz w:val="21"/>
        </w:rPr>
        <w:t> </w:t>
      </w:r>
      <w:r>
        <w:rPr>
          <w:b/>
          <w:i/>
          <w:w w:val="61"/>
          <w:sz w:val="21"/>
        </w:rPr>
        <w:t>+rtP:1</w:t>
      </w:r>
      <w:r>
        <w:rPr>
          <w:b/>
          <w:i/>
          <w:spacing w:val="-24"/>
          <w:sz w:val="21"/>
        </w:rPr>
        <w:t> </w:t>
      </w:r>
      <w:r>
        <w:rPr>
          <w:b/>
          <w:i/>
          <w:w w:val="55"/>
          <w:sz w:val="21"/>
        </w:rPr>
        <w:t>)</w:t>
      </w:r>
      <w:r>
        <w:rPr>
          <w:b/>
          <w:i/>
          <w:w w:val="55"/>
          <w:sz w:val="21"/>
        </w:rPr>
        <w:t>cP11</w:t>
      </w:r>
      <w:r>
        <w:rPr>
          <w:b/>
          <w:i/>
          <w:spacing w:val="-28"/>
          <w:sz w:val="21"/>
        </w:rPr>
        <w:t> </w:t>
      </w:r>
      <w:r>
        <w:rPr>
          <w:b/>
          <w:i/>
          <w:w w:val="69"/>
          <w:sz w:val="21"/>
        </w:rPr>
        <w:t>"1,+c</w:t>
      </w:r>
      <w:r>
        <w:rPr>
          <w:b/>
          <w:i/>
          <w:spacing w:val="2"/>
          <w:sz w:val="21"/>
        </w:rPr>
        <w:t> </w:t>
      </w:r>
      <w:r>
        <w:rPr>
          <w:b/>
          <w:i/>
          <w:w w:val="88"/>
          <w:sz w:val="21"/>
        </w:rPr>
        <w:t>dt</w:t>
      </w:r>
      <w:r>
        <w:rPr>
          <w:b/>
          <w:i/>
          <w:sz w:val="21"/>
        </w:rPr>
        <w:t> </w:t>
      </w:r>
      <w:r>
        <w:rPr>
          <w:b/>
          <w:i/>
          <w:spacing w:val="-2"/>
          <w:sz w:val="21"/>
        </w:rPr>
        <w:t> </w:t>
      </w:r>
      <w:r>
        <w:rPr>
          <w:w w:val="94"/>
          <w:sz w:val="26"/>
        </w:rPr>
        <w:t>=</w:t>
      </w:r>
      <w:r>
        <w:rPr>
          <w:sz w:val="26"/>
        </w:rPr>
        <w:t> </w:t>
      </w:r>
      <w:r>
        <w:rPr>
          <w:spacing w:val="-32"/>
          <w:sz w:val="26"/>
        </w:rPr>
        <w:t> </w:t>
      </w:r>
      <w:r>
        <w:rPr>
          <w:b/>
          <w:w w:val="67"/>
          <w:sz w:val="20"/>
        </w:rPr>
        <w:t>ooqz!</w:t>
      </w:r>
      <w:r>
        <w:rPr>
          <w:b/>
          <w:sz w:val="20"/>
        </w:rPr>
        <w:t> </w:t>
      </w:r>
      <w:r>
        <w:rPr>
          <w:b/>
          <w:spacing w:val="-4"/>
          <w:sz w:val="20"/>
        </w:rPr>
        <w:t> </w:t>
      </w:r>
      <w:r>
        <w:rPr>
          <w:b/>
          <w:w w:val="250"/>
          <w:sz w:val="20"/>
        </w:rPr>
        <w:t>-</w:t>
      </w:r>
      <w:r>
        <w:rPr>
          <w:b/>
          <w:spacing w:val="13"/>
          <w:sz w:val="20"/>
        </w:rPr>
        <w:t> </w:t>
      </w:r>
      <w:r>
        <w:rPr>
          <w:b/>
          <w:w w:val="88"/>
          <w:sz w:val="20"/>
        </w:rPr>
        <w:t>aPz·ooqz+.:!,</w:t>
      </w:r>
      <w:r>
        <w:rPr>
          <w:b/>
          <w:sz w:val="20"/>
        </w:rPr>
        <w:tab/>
        <w:t>(</w:t>
      </w:r>
      <w:r>
        <w:rPr>
          <w:b/>
          <w:spacing w:val="-20"/>
          <w:sz w:val="20"/>
        </w:rPr>
        <w:t> </w:t>
      </w:r>
      <w:r>
        <w:rPr>
          <w:b/>
          <w:sz w:val="20"/>
        </w:rPr>
        <w:t>11.45)</w:t>
      </w:r>
    </w:p>
    <w:p>
      <w:pPr>
        <w:spacing w:line="232" w:lineRule="auto" w:before="169"/>
        <w:ind w:left="119" w:right="186" w:hanging="4"/>
        <w:jc w:val="both"/>
        <w:rPr>
          <w:rFonts w:ascii="Arial"/>
          <w:i/>
          <w:sz w:val="19"/>
        </w:rPr>
      </w:pPr>
      <w:r>
        <w:rPr>
          <w:sz w:val="21"/>
        </w:rPr>
        <w:t>which is evidently correct since the required probability </w:t>
      </w:r>
      <w:r>
        <w:rPr>
          <w:rFonts w:ascii="Arial"/>
          <w:sz w:val="19"/>
        </w:rPr>
        <w:t>is </w:t>
      </w:r>
      <w:r>
        <w:rPr>
          <w:sz w:val="21"/>
        </w:rPr>
        <w:t>the probability that (x) will survive </w:t>
      </w:r>
      <w:r>
        <w:rPr>
          <w:rFonts w:ascii="Arial"/>
          <w:i/>
          <w:sz w:val="19"/>
        </w:rPr>
        <w:t>( y ) </w:t>
      </w:r>
      <w:r>
        <w:rPr>
          <w:sz w:val="21"/>
        </w:rPr>
        <w:t>but not </w:t>
      </w:r>
      <w:r>
        <w:rPr>
          <w:rFonts w:ascii="Arial"/>
          <w:sz w:val="21"/>
        </w:rPr>
        <w:t>be </w:t>
      </w:r>
      <w:r>
        <w:rPr>
          <w:sz w:val="21"/>
        </w:rPr>
        <w:t>alive </w:t>
      </w:r>
      <w:r>
        <w:rPr>
          <w:i/>
          <w:sz w:val="22"/>
        </w:rPr>
        <w:t>n </w:t>
      </w:r>
      <w:r>
        <w:rPr>
          <w:sz w:val="21"/>
        </w:rPr>
        <w:t>years after the death of  </w:t>
      </w:r>
      <w:r>
        <w:rPr>
          <w:rFonts w:ascii="Arial"/>
          <w:i/>
          <w:sz w:val="19"/>
        </w:rPr>
        <w:t>(y ).</w:t>
      </w:r>
    </w:p>
    <w:p>
      <w:pPr>
        <w:spacing w:before="1"/>
        <w:ind w:left="119" w:right="0" w:firstLine="198"/>
        <w:jc w:val="left"/>
        <w:rPr>
          <w:sz w:val="21"/>
        </w:rPr>
      </w:pPr>
      <w:r>
        <w:rPr>
          <w:sz w:val="21"/>
        </w:rPr>
        <w:t>We may now consider the va.lues of insurances which depend on contingent  probabilities  of  the a.hove type.</w:t>
      </w:r>
    </w:p>
    <w:p>
      <w:pPr>
        <w:spacing w:line="235" w:lineRule="exact" w:before="0"/>
        <w:ind w:left="314" w:right="0" w:firstLine="0"/>
        <w:jc w:val="left"/>
        <w:rPr>
          <w:rFonts w:ascii="Arial"/>
          <w:sz w:val="20"/>
        </w:rPr>
      </w:pPr>
      <w:r>
        <w:rPr>
          <w:w w:val="105"/>
          <w:sz w:val="21"/>
        </w:rPr>
        <w:t>The net single premium for a pure endowment of  1 payable  </w:t>
      </w:r>
      <w:r>
        <w:rPr>
          <w:rFonts w:ascii="Arial"/>
          <w:w w:val="105"/>
          <w:sz w:val="20"/>
        </w:rPr>
        <w:t>if</w:t>
      </w:r>
    </w:p>
    <w:p>
      <w:pPr>
        <w:spacing w:line="250" w:lineRule="exact" w:before="0"/>
        <w:ind w:left="144" w:right="0" w:firstLine="0"/>
        <w:jc w:val="both"/>
        <w:rPr>
          <w:rFonts w:ascii="Arial"/>
          <w:sz w:val="19"/>
        </w:rPr>
      </w:pPr>
      <w:r>
        <w:rPr>
          <w:sz w:val="21"/>
        </w:rPr>
        <w:t>(x)  </w:t>
      </w:r>
      <w:r>
        <w:rPr>
          <w:rFonts w:ascii="Arial"/>
          <w:sz w:val="19"/>
        </w:rPr>
        <w:t>is </w:t>
      </w:r>
      <w:r>
        <w:rPr>
          <w:sz w:val="21"/>
        </w:rPr>
        <w:t>alive </w:t>
      </w:r>
      <w:r>
        <w:rPr>
          <w:i/>
          <w:sz w:val="22"/>
        </w:rPr>
        <w:t>n </w:t>
      </w:r>
      <w:r>
        <w:rPr>
          <w:sz w:val="21"/>
        </w:rPr>
        <w:t>years after the death of  </w:t>
      </w:r>
      <w:r>
        <w:rPr>
          <w:rFonts w:ascii="Arial"/>
          <w:i/>
          <w:sz w:val="19"/>
        </w:rPr>
        <w:t>(y)  </w:t>
      </w:r>
      <w:r>
        <w:rPr>
          <w:rFonts w:ascii="Arial"/>
          <w:sz w:val="19"/>
        </w:rPr>
        <w:t>is</w:t>
      </w:r>
    </w:p>
    <w:p>
      <w:pPr>
        <w:spacing w:after="0" w:line="250" w:lineRule="exact"/>
        <w:jc w:val="both"/>
        <w:rPr>
          <w:rFonts w:ascii="Arial"/>
          <w:sz w:val="19"/>
        </w:rPr>
        <w:sectPr>
          <w:pgSz w:w="7200" w:h="11340"/>
          <w:pgMar w:top="480" w:bottom="280" w:left="640" w:right="520"/>
        </w:sectPr>
      </w:pPr>
    </w:p>
    <w:p>
      <w:pPr>
        <w:tabs>
          <w:tab w:pos="1300" w:val="left" w:leader="none"/>
          <w:tab w:pos="5886" w:val="right" w:leader="none"/>
        </w:tabs>
        <w:spacing w:before="44"/>
        <w:ind w:left="123" w:right="0" w:firstLine="0"/>
        <w:jc w:val="left"/>
        <w:rPr>
          <w:rFonts w:ascii="Courier New"/>
          <w:sz w:val="22"/>
        </w:rPr>
      </w:pPr>
      <w:r>
        <w:rPr>
          <w:b/>
          <w:color w:val="010101"/>
          <w:position w:val="1"/>
          <w:sz w:val="15"/>
        </w:rPr>
        <w:t>SEC. </w:t>
      </w:r>
      <w:r>
        <w:rPr>
          <w:b/>
          <w:color w:val="010101"/>
          <w:spacing w:val="25"/>
          <w:position w:val="1"/>
          <w:sz w:val="15"/>
        </w:rPr>
        <w:t> </w:t>
      </w:r>
      <w:r>
        <w:rPr>
          <w:b/>
          <w:color w:val="010101"/>
          <w:position w:val="1"/>
          <w:sz w:val="21"/>
        </w:rPr>
        <w:t>7)</w:t>
        <w:tab/>
      </w:r>
      <w:r>
        <w:rPr>
          <w:b/>
          <w:color w:val="010101"/>
          <w:position w:val="1"/>
          <w:sz w:val="15"/>
        </w:rPr>
        <w:t>SOME   SPECIAL </w:t>
      </w:r>
      <w:r>
        <w:rPr>
          <w:b/>
          <w:color w:val="010101"/>
          <w:spacing w:val="31"/>
          <w:position w:val="1"/>
          <w:sz w:val="15"/>
        </w:rPr>
        <w:t> </w:t>
      </w:r>
      <w:r>
        <w:rPr>
          <w:b/>
          <w:color w:val="010101"/>
          <w:position w:val="1"/>
          <w:sz w:val="15"/>
        </w:rPr>
        <w:t>CONTINGENT  </w:t>
      </w:r>
      <w:r>
        <w:rPr>
          <w:b/>
          <w:color w:val="010101"/>
          <w:spacing w:val="11"/>
          <w:position w:val="1"/>
          <w:sz w:val="15"/>
        </w:rPr>
        <w:t> </w:t>
      </w:r>
      <w:r>
        <w:rPr>
          <w:b/>
          <w:color w:val="010101"/>
          <w:position w:val="1"/>
          <w:sz w:val="15"/>
        </w:rPr>
        <w:t>FUNCTIONS</w:t>
      </w:r>
      <w:r>
        <w:rPr>
          <w:rFonts w:ascii="Courier New"/>
          <w:color w:val="010101"/>
          <w:sz w:val="22"/>
        </w:rPr>
        <w:tab/>
      </w:r>
      <w:r>
        <w:rPr>
          <w:rFonts w:ascii="Courier New"/>
          <w:color w:val="010101"/>
          <w:spacing w:val="-27"/>
          <w:sz w:val="22"/>
        </w:rPr>
        <w:t>239</w:t>
      </w:r>
    </w:p>
    <w:p>
      <w:pPr>
        <w:spacing w:before="212"/>
        <w:ind w:left="1336" w:right="0" w:firstLine="0"/>
        <w:jc w:val="left"/>
        <w:rPr>
          <w:sz w:val="19"/>
        </w:rPr>
      </w:pPr>
      <w:r>
        <w:rPr>
          <w:position w:val="-15"/>
        </w:rPr>
        <w:drawing>
          <wp:inline distT="0" distB="0" distL="0" distR="0">
            <wp:extent cx="2103119" cy="292608"/>
            <wp:effectExtent l="0" t="0" r="0" b="0"/>
            <wp:docPr id="555" name="image283.png" descr=""/>
            <wp:cNvGraphicFramePr>
              <a:graphicFrameLocks noChangeAspect="1"/>
            </wp:cNvGraphicFramePr>
            <a:graphic>
              <a:graphicData uri="http://schemas.openxmlformats.org/drawingml/2006/picture">
                <pic:pic>
                  <pic:nvPicPr>
                    <pic:cNvPr id="556" name="image283.png"/>
                    <pic:cNvPicPr/>
                  </pic:nvPicPr>
                  <pic:blipFill>
                    <a:blip r:embed="rId287" cstate="print"/>
                    <a:stretch>
                      <a:fillRect/>
                    </a:stretch>
                  </pic:blipFill>
                  <pic:spPr>
                    <a:xfrm>
                      <a:off x="0" y="0"/>
                      <a:ext cx="2103119" cy="292608"/>
                    </a:xfrm>
                    <a:prstGeom prst="rect">
                      <a:avLst/>
                    </a:prstGeom>
                  </pic:spPr>
                </pic:pic>
              </a:graphicData>
            </a:graphic>
          </wp:inline>
        </w:drawing>
      </w:r>
      <w:r>
        <w:rPr>
          <w:position w:val="-15"/>
        </w:rPr>
      </w:r>
      <w:r>
        <w:rPr>
          <w:sz w:val="20"/>
        </w:rPr>
        <w:t>          </w:t>
      </w:r>
      <w:r>
        <w:rPr>
          <w:color w:val="010101"/>
          <w:w w:val="110"/>
          <w:sz w:val="19"/>
        </w:rPr>
        <w:t>(11.46)</w:t>
      </w:r>
    </w:p>
    <w:p>
      <w:pPr>
        <w:pStyle w:val="BodyText"/>
        <w:spacing w:line="242" w:lineRule="auto" w:before="128"/>
        <w:ind w:left="127" w:right="156"/>
        <w:jc w:val="both"/>
      </w:pPr>
      <w:r>
        <w:rPr/>
        <w:drawing>
          <wp:anchor distT="0" distB="0" distL="0" distR="0" allowOverlap="1" layoutInCell="1" locked="0" behindDoc="0" simplePos="0" relativeHeight="19240">
            <wp:simplePos x="0" y="0"/>
            <wp:positionH relativeFrom="page">
              <wp:posOffset>502919</wp:posOffset>
            </wp:positionH>
            <wp:positionV relativeFrom="paragraph">
              <wp:posOffset>767853</wp:posOffset>
            </wp:positionV>
            <wp:extent cx="2889504" cy="301751"/>
            <wp:effectExtent l="0" t="0" r="0" b="0"/>
            <wp:wrapNone/>
            <wp:docPr id="557" name="image284.png" descr=""/>
            <wp:cNvGraphicFramePr>
              <a:graphicFrameLocks noChangeAspect="1"/>
            </wp:cNvGraphicFramePr>
            <a:graphic>
              <a:graphicData uri="http://schemas.openxmlformats.org/drawingml/2006/picture">
                <pic:pic>
                  <pic:nvPicPr>
                    <pic:cNvPr id="558" name="image284.png"/>
                    <pic:cNvPicPr/>
                  </pic:nvPicPr>
                  <pic:blipFill>
                    <a:blip r:embed="rId288" cstate="print"/>
                    <a:stretch>
                      <a:fillRect/>
                    </a:stretch>
                  </pic:blipFill>
                  <pic:spPr>
                    <a:xfrm>
                      <a:off x="0" y="0"/>
                      <a:ext cx="2889504" cy="301751"/>
                    </a:xfrm>
                    <a:prstGeom prst="rect">
                      <a:avLst/>
                    </a:prstGeom>
                  </pic:spPr>
                </pic:pic>
              </a:graphicData>
            </a:graphic>
          </wp:anchor>
        </w:drawing>
      </w:r>
      <w:r>
        <w:rPr>
          <w:color w:val="010101"/>
          <w:w w:val="110"/>
        </w:rPr>
        <w:t>The</w:t>
      </w:r>
      <w:r>
        <w:rPr>
          <w:color w:val="010101"/>
          <w:spacing w:val="-30"/>
          <w:w w:val="110"/>
        </w:rPr>
        <w:t> </w:t>
      </w:r>
      <w:r>
        <w:rPr>
          <w:color w:val="010101"/>
          <w:w w:val="110"/>
        </w:rPr>
        <w:t>annual</w:t>
      </w:r>
      <w:r>
        <w:rPr>
          <w:color w:val="010101"/>
          <w:spacing w:val="-23"/>
          <w:w w:val="110"/>
        </w:rPr>
        <w:t> </w:t>
      </w:r>
      <w:r>
        <w:rPr>
          <w:color w:val="010101"/>
          <w:w w:val="110"/>
        </w:rPr>
        <w:t>premium</w:t>
      </w:r>
      <w:r>
        <w:rPr>
          <w:color w:val="010101"/>
          <w:spacing w:val="-14"/>
          <w:w w:val="110"/>
        </w:rPr>
        <w:t> </w:t>
      </w:r>
      <w:r>
        <w:rPr>
          <w:color w:val="010101"/>
          <w:w w:val="110"/>
        </w:rPr>
        <w:t>is</w:t>
      </w:r>
      <w:r>
        <w:rPr>
          <w:color w:val="010101"/>
          <w:spacing w:val="-36"/>
          <w:w w:val="110"/>
        </w:rPr>
        <w:t> </w:t>
      </w:r>
      <w:r>
        <w:rPr>
          <w:color w:val="010101"/>
          <w:w w:val="110"/>
        </w:rPr>
        <w:t>obtained</w:t>
      </w:r>
      <w:r>
        <w:rPr>
          <w:color w:val="010101"/>
          <w:spacing w:val="-20"/>
          <w:w w:val="110"/>
        </w:rPr>
        <w:t> </w:t>
      </w:r>
      <w:r>
        <w:rPr>
          <w:color w:val="010101"/>
          <w:w w:val="110"/>
        </w:rPr>
        <w:t>by</w:t>
      </w:r>
      <w:r>
        <w:rPr>
          <w:color w:val="010101"/>
          <w:spacing w:val="-19"/>
          <w:w w:val="110"/>
        </w:rPr>
        <w:t> </w:t>
      </w:r>
      <w:r>
        <w:rPr>
          <w:color w:val="010101"/>
          <w:w w:val="110"/>
        </w:rPr>
        <w:t>dividing</w:t>
      </w:r>
      <w:r>
        <w:rPr>
          <w:color w:val="010101"/>
          <w:spacing w:val="-22"/>
          <w:w w:val="110"/>
        </w:rPr>
        <w:t> </w:t>
      </w:r>
      <w:r>
        <w:rPr>
          <w:color w:val="010101"/>
          <w:w w:val="110"/>
        </w:rPr>
        <w:t>the</w:t>
      </w:r>
      <w:r>
        <w:rPr>
          <w:color w:val="010101"/>
          <w:spacing w:val="-30"/>
          <w:w w:val="110"/>
        </w:rPr>
        <w:t> </w:t>
      </w:r>
      <w:r>
        <w:rPr>
          <w:color w:val="010101"/>
          <w:w w:val="110"/>
        </w:rPr>
        <w:t>single</w:t>
      </w:r>
      <w:r>
        <w:rPr>
          <w:color w:val="010101"/>
          <w:spacing w:val="-28"/>
          <w:w w:val="110"/>
        </w:rPr>
        <w:t> </w:t>
      </w:r>
      <w:r>
        <w:rPr>
          <w:color w:val="010101"/>
          <w:w w:val="110"/>
        </w:rPr>
        <w:t>premium</w:t>
      </w:r>
      <w:r>
        <w:rPr>
          <w:color w:val="010101"/>
          <w:spacing w:val="-15"/>
          <w:w w:val="110"/>
        </w:rPr>
        <w:t> </w:t>
      </w:r>
      <w:r>
        <w:rPr>
          <w:color w:val="010101"/>
          <w:w w:val="110"/>
        </w:rPr>
        <w:t>by the present value of an annuity-due payable until the death of </w:t>
      </w:r>
      <w:r>
        <w:rPr>
          <w:rFonts w:ascii="Arial"/>
          <w:color w:val="010101"/>
          <w:w w:val="110"/>
          <w:sz w:val="19"/>
        </w:rPr>
        <w:t>(x) </w:t>
      </w:r>
      <w:r>
        <w:rPr>
          <w:color w:val="010101"/>
          <w:w w:val="110"/>
        </w:rPr>
        <w:t>or</w:t>
      </w:r>
      <w:r>
        <w:rPr>
          <w:color w:val="010101"/>
          <w:spacing w:val="-12"/>
          <w:w w:val="110"/>
        </w:rPr>
        <w:t> </w:t>
      </w:r>
      <w:r>
        <w:rPr>
          <w:color w:val="010101"/>
          <w:w w:val="110"/>
        </w:rPr>
        <w:t>until</w:t>
      </w:r>
      <w:r>
        <w:rPr>
          <w:color w:val="010101"/>
          <w:spacing w:val="-8"/>
          <w:w w:val="110"/>
        </w:rPr>
        <w:t> </w:t>
      </w:r>
      <w:r>
        <w:rPr>
          <w:i/>
          <w:color w:val="010101"/>
          <w:w w:val="110"/>
          <w:sz w:val="22"/>
        </w:rPr>
        <w:t>n</w:t>
      </w:r>
      <w:r>
        <w:rPr>
          <w:i/>
          <w:color w:val="010101"/>
          <w:spacing w:val="-21"/>
          <w:w w:val="110"/>
          <w:sz w:val="22"/>
        </w:rPr>
        <w:t> </w:t>
      </w:r>
      <w:r>
        <w:rPr>
          <w:color w:val="010101"/>
          <w:w w:val="110"/>
        </w:rPr>
        <w:t>years</w:t>
      </w:r>
      <w:r>
        <w:rPr>
          <w:color w:val="010101"/>
          <w:spacing w:val="-7"/>
          <w:w w:val="110"/>
        </w:rPr>
        <w:t> </w:t>
      </w:r>
      <w:r>
        <w:rPr>
          <w:color w:val="010101"/>
          <w:w w:val="110"/>
        </w:rPr>
        <w:t>after</w:t>
      </w:r>
      <w:r>
        <w:rPr>
          <w:color w:val="010101"/>
          <w:spacing w:val="-7"/>
          <w:w w:val="110"/>
        </w:rPr>
        <w:t> </w:t>
      </w:r>
      <w:r>
        <w:rPr>
          <w:color w:val="010101"/>
          <w:w w:val="110"/>
        </w:rPr>
        <w:t>the</w:t>
      </w:r>
      <w:r>
        <w:rPr>
          <w:color w:val="010101"/>
          <w:spacing w:val="-7"/>
          <w:w w:val="110"/>
        </w:rPr>
        <w:t> </w:t>
      </w:r>
      <w:r>
        <w:rPr>
          <w:color w:val="010101"/>
          <w:w w:val="110"/>
        </w:rPr>
        <w:t>death</w:t>
      </w:r>
      <w:r>
        <w:rPr>
          <w:color w:val="010101"/>
          <w:spacing w:val="-6"/>
          <w:w w:val="110"/>
        </w:rPr>
        <w:t> </w:t>
      </w:r>
      <w:r>
        <w:rPr>
          <w:color w:val="010101"/>
          <w:w w:val="110"/>
        </w:rPr>
        <w:t>of</w:t>
      </w:r>
      <w:r>
        <w:rPr>
          <w:color w:val="010101"/>
          <w:spacing w:val="34"/>
          <w:w w:val="110"/>
        </w:rPr>
        <w:t> </w:t>
      </w:r>
      <w:r>
        <w:rPr>
          <w:color w:val="010101"/>
          <w:w w:val="110"/>
          <w:sz w:val="19"/>
        </w:rPr>
        <w:t>(y),</w:t>
      </w:r>
      <w:r>
        <w:rPr>
          <w:color w:val="010101"/>
          <w:spacing w:val="-10"/>
          <w:w w:val="110"/>
          <w:sz w:val="19"/>
        </w:rPr>
        <w:t> </w:t>
      </w:r>
      <w:r>
        <w:rPr>
          <w:color w:val="010101"/>
          <w:w w:val="110"/>
        </w:rPr>
        <w:t>whichever</w:t>
      </w:r>
      <w:r>
        <w:rPr>
          <w:color w:val="010101"/>
          <w:spacing w:val="9"/>
          <w:w w:val="110"/>
        </w:rPr>
        <w:t> </w:t>
      </w:r>
      <w:r>
        <w:rPr>
          <w:color w:val="010101"/>
          <w:w w:val="110"/>
        </w:rPr>
        <w:t>period</w:t>
      </w:r>
      <w:r>
        <w:rPr>
          <w:color w:val="010101"/>
          <w:spacing w:val="4"/>
          <w:w w:val="110"/>
        </w:rPr>
        <w:t> </w:t>
      </w:r>
      <w:r>
        <w:rPr>
          <w:rFonts w:ascii="Arial"/>
          <w:color w:val="010101"/>
          <w:w w:val="110"/>
          <w:sz w:val="19"/>
        </w:rPr>
        <w:t>is</w:t>
      </w:r>
      <w:r>
        <w:rPr>
          <w:rFonts w:ascii="Arial"/>
          <w:color w:val="010101"/>
          <w:spacing w:val="-25"/>
          <w:w w:val="110"/>
          <w:sz w:val="19"/>
        </w:rPr>
        <w:t> </w:t>
      </w:r>
      <w:r>
        <w:rPr>
          <w:color w:val="010101"/>
          <w:w w:val="110"/>
        </w:rPr>
        <w:t>shorter. The present value</w:t>
      </w:r>
      <w:r>
        <w:rPr>
          <w:color w:val="010101"/>
          <w:spacing w:val="-7"/>
          <w:w w:val="110"/>
        </w:rPr>
        <w:t> </w:t>
      </w:r>
      <w:r>
        <w:rPr>
          <w:color w:val="010101"/>
          <w:w w:val="110"/>
        </w:rPr>
        <w:t>is</w:t>
      </w:r>
    </w:p>
    <w:p>
      <w:pPr>
        <w:spacing w:after="0" w:line="242" w:lineRule="auto"/>
        <w:jc w:val="both"/>
        <w:sectPr>
          <w:pgSz w:w="7200" w:h="11340"/>
          <w:pgMar w:top="480" w:bottom="280" w:left="680" w:right="520"/>
        </w:sectPr>
      </w:pPr>
    </w:p>
    <w:p>
      <w:pPr>
        <w:spacing w:before="718"/>
        <w:ind w:left="3068" w:right="0" w:firstLine="0"/>
        <w:jc w:val="left"/>
        <w:rPr>
          <w:b/>
          <w:sz w:val="15"/>
        </w:rPr>
      </w:pPr>
      <w:r>
        <w:rPr/>
        <w:pict>
          <v:rect style="position:absolute;margin-left:238.206299pt;margin-top:53.446598pt;width:11.1211pt;height:6.098655pt;mso-position-horizontal-relative:page;mso-position-vertical-relative:paragraph;z-index:-716800" filled="true" fillcolor="#000000" stroked="false">
            <v:fill type="solid"/>
            <w10:wrap type="none"/>
          </v:rect>
        </w:pict>
      </w:r>
      <w:r>
        <w:rPr>
          <w:color w:val="010101"/>
          <w:w w:val="102"/>
          <w:sz w:val="24"/>
        </w:rPr>
        <w:t>=</w:t>
      </w:r>
      <w:r>
        <w:rPr>
          <w:color w:val="010101"/>
          <w:sz w:val="24"/>
        </w:rPr>
        <w:t> </w:t>
      </w:r>
      <w:r>
        <w:rPr>
          <w:color w:val="010101"/>
          <w:spacing w:val="-26"/>
          <w:sz w:val="24"/>
        </w:rPr>
        <w:t> </w:t>
      </w:r>
      <w:r>
        <w:rPr>
          <w:b/>
          <w:color w:val="010101"/>
          <w:spacing w:val="-54"/>
          <w:w w:val="114"/>
          <w:sz w:val="15"/>
        </w:rPr>
        <w:t>a</w:t>
      </w:r>
      <w:r>
        <w:rPr>
          <w:rFonts w:ascii="Arial" w:hAnsi="Arial"/>
          <w:color w:val="010101"/>
          <w:spacing w:val="-50"/>
          <w:w w:val="78"/>
          <w:position w:val="6"/>
          <w:sz w:val="31"/>
        </w:rPr>
        <w:t>·</w:t>
      </w:r>
      <w:r>
        <w:rPr>
          <w:rFonts w:ascii="Arial" w:hAnsi="Arial"/>
          <w:color w:val="010101"/>
          <w:spacing w:val="-61"/>
          <w:w w:val="78"/>
          <w:position w:val="6"/>
          <w:sz w:val="31"/>
        </w:rPr>
        <w:t>·</w:t>
      </w:r>
      <w:r>
        <w:rPr>
          <w:b/>
          <w:color w:val="010101"/>
          <w:w w:val="113"/>
          <w:sz w:val="15"/>
        </w:rPr>
        <w:t>z:ñ]</w:t>
      </w:r>
      <w:r>
        <w:rPr>
          <w:b/>
          <w:color w:val="010101"/>
          <w:sz w:val="15"/>
        </w:rPr>
        <w:t> </w:t>
      </w:r>
      <w:r>
        <w:rPr>
          <w:b/>
          <w:color w:val="010101"/>
          <w:spacing w:val="-1"/>
          <w:sz w:val="15"/>
        </w:rPr>
        <w:t> </w:t>
      </w:r>
      <w:r>
        <w:rPr>
          <w:rFonts w:ascii="Arial" w:hAnsi="Arial"/>
          <w:color w:val="010101"/>
          <w:w w:val="105"/>
          <w:position w:val="6"/>
          <w:sz w:val="31"/>
        </w:rPr>
        <w:t>+</w:t>
      </w:r>
      <w:r>
        <w:rPr>
          <w:rFonts w:ascii="Arial" w:hAnsi="Arial"/>
          <w:color w:val="010101"/>
          <w:spacing w:val="-49"/>
          <w:position w:val="6"/>
          <w:sz w:val="31"/>
        </w:rPr>
        <w:t> </w:t>
      </w:r>
      <w:r>
        <w:rPr>
          <w:i/>
          <w:color w:val="010101"/>
          <w:spacing w:val="-2"/>
          <w:w w:val="104"/>
          <w:position w:val="6"/>
          <w:sz w:val="14"/>
        </w:rPr>
        <w:t>D</w:t>
      </w:r>
      <w:r>
        <w:rPr>
          <w:i/>
          <w:color w:val="010101"/>
          <w:spacing w:val="-57"/>
          <w:w w:val="104"/>
          <w:position w:val="6"/>
          <w:sz w:val="14"/>
        </w:rPr>
        <w:t>z</w:t>
      </w:r>
      <w:r>
        <w:rPr>
          <w:b/>
          <w:i/>
          <w:color w:val="010101"/>
          <w:spacing w:val="-81"/>
          <w:w w:val="93"/>
          <w:sz w:val="20"/>
        </w:rPr>
        <w:t>D</w:t>
      </w:r>
      <w:r>
        <w:rPr>
          <w:i/>
          <w:color w:val="010101"/>
          <w:spacing w:val="-20"/>
          <w:w w:val="104"/>
          <w:position w:val="6"/>
          <w:sz w:val="14"/>
        </w:rPr>
        <w:t>+</w:t>
      </w:r>
      <w:r>
        <w:rPr>
          <w:b/>
          <w:i/>
          <w:color w:val="010101"/>
          <w:spacing w:val="-55"/>
          <w:w w:val="93"/>
          <w:sz w:val="20"/>
        </w:rPr>
        <w:t>z</w:t>
      </w:r>
      <w:r>
        <w:rPr>
          <w:i/>
          <w:color w:val="010101"/>
          <w:w w:val="104"/>
          <w:position w:val="6"/>
          <w:sz w:val="14"/>
        </w:rPr>
        <w:t>ra</w:t>
      </w:r>
      <w:r>
        <w:rPr>
          <w:i/>
          <w:color w:val="010101"/>
          <w:position w:val="6"/>
          <w:sz w:val="14"/>
        </w:rPr>
        <w:t> </w:t>
      </w:r>
      <w:r>
        <w:rPr>
          <w:i/>
          <w:color w:val="010101"/>
          <w:spacing w:val="10"/>
          <w:position w:val="6"/>
          <w:sz w:val="14"/>
        </w:rPr>
        <w:t> </w:t>
      </w:r>
      <w:r>
        <w:rPr>
          <w:b/>
          <w:color w:val="010101"/>
          <w:spacing w:val="-35"/>
          <w:w w:val="94"/>
          <w:sz w:val="15"/>
        </w:rPr>
        <w:t>a</w:t>
      </w:r>
      <w:r>
        <w:rPr>
          <w:color w:val="010101"/>
          <w:spacing w:val="-77"/>
          <w:w w:val="171"/>
          <w:position w:val="6"/>
          <w:sz w:val="14"/>
        </w:rPr>
        <w:t>·</w:t>
      </w:r>
      <w:r>
        <w:rPr>
          <w:color w:val="010101"/>
          <w:spacing w:val="-95"/>
          <w:w w:val="146"/>
          <w:position w:val="6"/>
          <w:sz w:val="14"/>
        </w:rPr>
        <w:t>·</w:t>
      </w:r>
      <w:r>
        <w:rPr>
          <w:b/>
          <w:color w:val="010101"/>
          <w:w w:val="93"/>
          <w:sz w:val="15"/>
        </w:rPr>
        <w:t>z+R:S,</w:t>
      </w:r>
      <w:r>
        <w:rPr>
          <w:b/>
          <w:color w:val="010101"/>
          <w:spacing w:val="14"/>
          <w:sz w:val="15"/>
        </w:rPr>
        <w:t> </w:t>
      </w:r>
      <w:r>
        <w:rPr>
          <w:b/>
          <w:color w:val="010101"/>
          <w:w w:val="130"/>
          <w:sz w:val="15"/>
        </w:rPr>
        <w:t>.</w:t>
      </w:r>
    </w:p>
    <w:p>
      <w:pPr>
        <w:spacing w:before="821"/>
        <w:ind w:left="112" w:right="0" w:firstLine="0"/>
        <w:jc w:val="left"/>
        <w:rPr>
          <w:sz w:val="20"/>
        </w:rPr>
      </w:pPr>
      <w:r>
        <w:rPr/>
        <w:br w:type="column"/>
      </w:r>
      <w:r>
        <w:rPr>
          <w:color w:val="010101"/>
          <w:w w:val="110"/>
          <w:sz w:val="20"/>
        </w:rPr>
        <w:t>(11</w:t>
      </w:r>
      <w:r>
        <w:rPr>
          <w:color w:val="010101"/>
          <w:w w:val="110"/>
          <w:position w:val="-5"/>
          <w:sz w:val="15"/>
        </w:rPr>
        <w:t>.</w:t>
      </w:r>
      <w:r>
        <w:rPr>
          <w:color w:val="010101"/>
          <w:w w:val="110"/>
          <w:sz w:val="20"/>
        </w:rPr>
        <w:t>47 )</w:t>
      </w:r>
    </w:p>
    <w:p>
      <w:pPr>
        <w:spacing w:after="0"/>
        <w:jc w:val="left"/>
        <w:rPr>
          <w:sz w:val="20"/>
        </w:rPr>
        <w:sectPr>
          <w:type w:val="continuous"/>
          <w:pgSz w:w="7200" w:h="11340"/>
          <w:pgMar w:top="1100" w:bottom="0" w:left="680" w:right="520"/>
          <w:cols w:num="2" w:equalWidth="0">
            <w:col w:w="5027" w:space="79"/>
            <w:col w:w="894"/>
          </w:cols>
        </w:sectPr>
      </w:pPr>
    </w:p>
    <w:p>
      <w:pPr>
        <w:pStyle w:val="BodyText"/>
        <w:spacing w:before="6"/>
        <w:rPr>
          <w:sz w:val="17"/>
        </w:rPr>
      </w:pPr>
    </w:p>
    <w:p>
      <w:pPr>
        <w:pStyle w:val="BodyText"/>
        <w:spacing w:line="232" w:lineRule="auto"/>
        <w:ind w:left="123" w:right="155" w:firstLine="10"/>
        <w:jc w:val="both"/>
      </w:pPr>
      <w:r>
        <w:rPr>
          <w:color w:val="010101"/>
          <w:w w:val="105"/>
          <w:sz w:val="22"/>
        </w:rPr>
        <w:t>In </w:t>
      </w:r>
      <w:r>
        <w:rPr>
          <w:color w:val="010101"/>
          <w:w w:val="105"/>
        </w:rPr>
        <w:t>this expression, the first term represents the present value of the first </w:t>
      </w:r>
      <w:r>
        <w:rPr>
          <w:i/>
          <w:color w:val="010101"/>
          <w:w w:val="105"/>
          <w:sz w:val="21"/>
        </w:rPr>
        <w:t>n </w:t>
      </w:r>
      <w:r>
        <w:rPr>
          <w:color w:val="010101"/>
          <w:w w:val="105"/>
        </w:rPr>
        <w:t>payments, which are independent of the survival of (y), and the second term takes account of the payments after  </w:t>
      </w:r>
      <w:r>
        <w:rPr>
          <w:i/>
          <w:color w:val="010101"/>
          <w:w w:val="105"/>
          <w:sz w:val="22"/>
        </w:rPr>
        <w:t>n  </w:t>
      </w:r>
      <w:r>
        <w:rPr>
          <w:color w:val="010101"/>
          <w:w w:val="105"/>
        </w:rPr>
        <w:t>years,  which are made only if  </w:t>
      </w:r>
      <w:r>
        <w:rPr>
          <w:color w:val="010101"/>
          <w:w w:val="105"/>
          <w:sz w:val="19"/>
        </w:rPr>
        <w:t>(y ) </w:t>
      </w:r>
      <w:r>
        <w:rPr>
          <w:color w:val="010101"/>
          <w:w w:val="105"/>
        </w:rPr>
        <w:t>was alive </w:t>
      </w:r>
      <w:r>
        <w:rPr>
          <w:i/>
          <w:color w:val="010101"/>
          <w:w w:val="105"/>
          <w:sz w:val="22"/>
        </w:rPr>
        <w:t>n </w:t>
      </w:r>
      <w:r>
        <w:rPr>
          <w:color w:val="010101"/>
          <w:w w:val="105"/>
        </w:rPr>
        <w:t>years</w:t>
      </w:r>
      <w:r>
        <w:rPr>
          <w:color w:val="010101"/>
          <w:spacing w:val="43"/>
          <w:w w:val="105"/>
        </w:rPr>
        <w:t> </w:t>
      </w:r>
      <w:r>
        <w:rPr>
          <w:color w:val="010101"/>
          <w:w w:val="105"/>
        </w:rPr>
        <w:t>before.</w:t>
      </w:r>
    </w:p>
    <w:p>
      <w:pPr>
        <w:pStyle w:val="BodyText"/>
        <w:spacing w:before="4"/>
        <w:ind w:left="324"/>
      </w:pPr>
      <w:r>
        <w:rPr>
          <w:color w:val="010101"/>
          <w:w w:val="105"/>
        </w:rPr>
        <w:t>The present  value  of  an  insurance  payable  upon  the  death of</w:t>
      </w:r>
    </w:p>
    <w:p>
      <w:pPr>
        <w:pStyle w:val="BodyText"/>
        <w:spacing w:line="192" w:lineRule="exact" w:before="11"/>
        <w:ind w:left="166"/>
        <w:jc w:val="both"/>
      </w:pPr>
      <w:r>
        <w:rPr>
          <w:rFonts w:ascii="Arial"/>
          <w:i/>
          <w:color w:val="010101"/>
          <w:w w:val="105"/>
          <w:sz w:val="19"/>
        </w:rPr>
        <w:t>(x) </w:t>
      </w:r>
      <w:r>
        <w:rPr>
          <w:color w:val="010101"/>
          <w:w w:val="105"/>
        </w:rPr>
        <w:t>provided it occurs at least </w:t>
      </w:r>
      <w:r>
        <w:rPr>
          <w:rFonts w:ascii="Arial"/>
          <w:i/>
          <w:color w:val="010101"/>
          <w:w w:val="105"/>
          <w:sz w:val="19"/>
        </w:rPr>
        <w:t>n </w:t>
      </w:r>
      <w:r>
        <w:rPr>
          <w:color w:val="010101"/>
          <w:w w:val="105"/>
        </w:rPr>
        <w:t>years after the death of  </w:t>
      </w:r>
      <w:r>
        <w:rPr>
          <w:rFonts w:ascii="Arial"/>
          <w:i/>
          <w:color w:val="010101"/>
          <w:w w:val="105"/>
          <w:sz w:val="19"/>
        </w:rPr>
        <w:t>(y )  </w:t>
      </w:r>
      <w:r>
        <w:rPr>
          <w:color w:val="010101"/>
          <w:w w:val="105"/>
        </w:rPr>
        <w:t>is</w:t>
      </w:r>
    </w:p>
    <w:p>
      <w:pPr>
        <w:spacing w:line="164" w:lineRule="exact" w:before="0"/>
        <w:ind w:left="134" w:right="0" w:firstLine="0"/>
        <w:jc w:val="both"/>
        <w:rPr>
          <w:b/>
          <w:sz w:val="10"/>
        </w:rPr>
      </w:pPr>
      <w:r>
        <w:rPr>
          <w:rFonts w:ascii="Arial"/>
          <w:b/>
          <w:color w:val="010101"/>
          <w:spacing w:val="-96"/>
          <w:w w:val="79"/>
          <w:position w:val="-23"/>
          <w:sz w:val="57"/>
        </w:rPr>
        <w:t>1</w:t>
      </w:r>
      <w:r>
        <w:rPr>
          <w:b/>
          <w:color w:val="010101"/>
          <w:w w:val="95"/>
          <w:sz w:val="10"/>
        </w:rPr>
        <w:t>00</w:t>
      </w:r>
    </w:p>
    <w:p>
      <w:pPr>
        <w:tabs>
          <w:tab w:pos="5221" w:val="left" w:leader="none"/>
        </w:tabs>
        <w:spacing w:line="419" w:lineRule="exact" w:before="0"/>
        <w:ind w:left="421" w:right="0" w:firstLine="0"/>
        <w:jc w:val="left"/>
        <w:rPr>
          <w:b/>
          <w:sz w:val="20"/>
        </w:rPr>
      </w:pPr>
      <w:r>
        <w:rPr/>
        <w:pict>
          <v:line style="position:absolute;mso-position-horizontal-relative:page;mso-position-vertical-relative:paragraph;z-index:-716776" from="257.937195pt,17.305012pt" to="279.461895pt,17.305012pt" stroked="true" strokeweight="1.61435pt" strokecolor="#000000">
            <w10:wrap type="none"/>
          </v:line>
        </w:pict>
      </w:r>
      <w:r>
        <w:rPr/>
        <w:pict>
          <v:shape style="position:absolute;margin-left:68.52018pt;margin-top:7.077543pt;width:1.95pt;height:5pt;mso-position-horizontal-relative:page;mso-position-vertical-relative:paragraph;z-index:-716752" type="#_x0000_t202" filled="false" stroked="false">
            <v:textbox inset="0,0,0,0">
              <w:txbxContent>
                <w:p>
                  <w:pPr>
                    <w:spacing w:line="100" w:lineRule="exact" w:before="0"/>
                    <w:ind w:left="0" w:right="0" w:firstLine="0"/>
                    <w:jc w:val="left"/>
                    <w:rPr>
                      <w:b/>
                      <w:sz w:val="10"/>
                    </w:rPr>
                  </w:pPr>
                  <w:r>
                    <w:rPr>
                      <w:b/>
                      <w:color w:val="010101"/>
                      <w:w w:val="78"/>
                      <w:sz w:val="10"/>
                    </w:rPr>
                    <w:t>1</w:t>
                  </w:r>
                </w:p>
              </w:txbxContent>
            </v:textbox>
            <w10:wrap type="none"/>
          </v:shape>
        </w:pict>
      </w:r>
      <w:r>
        <w:rPr>
          <w:b/>
          <w:color w:val="010101"/>
          <w:w w:val="103"/>
          <w:sz w:val="13"/>
        </w:rPr>
        <w:t>Vn+</w:t>
      </w:r>
      <w:r>
        <w:rPr>
          <w:b/>
          <w:color w:val="010101"/>
          <w:sz w:val="13"/>
        </w:rPr>
        <w:t>  </w:t>
      </w:r>
      <w:r>
        <w:rPr>
          <w:b/>
          <w:color w:val="010101"/>
          <w:spacing w:val="-14"/>
          <w:sz w:val="13"/>
        </w:rPr>
        <w:t> </w:t>
      </w:r>
      <w:r>
        <w:rPr>
          <w:b/>
          <w:color w:val="010101"/>
          <w:w w:val="86"/>
          <w:sz w:val="20"/>
        </w:rPr>
        <w:t>(</w:t>
      </w:r>
      <w:r>
        <w:rPr>
          <w:b/>
          <w:color w:val="010101"/>
          <w:spacing w:val="-15"/>
          <w:sz w:val="20"/>
        </w:rPr>
        <w:t> </w:t>
      </w:r>
      <w:r>
        <w:rPr>
          <w:b/>
          <w:color w:val="010101"/>
          <w:w w:val="93"/>
          <w:sz w:val="20"/>
        </w:rPr>
        <w:t>1</w:t>
      </w:r>
      <w:r>
        <w:rPr>
          <w:b/>
          <w:color w:val="010101"/>
          <w:spacing w:val="11"/>
          <w:sz w:val="20"/>
        </w:rPr>
        <w:t> </w:t>
      </w:r>
      <w:r>
        <w:rPr>
          <w:color w:val="010101"/>
          <w:w w:val="281"/>
          <w:sz w:val="20"/>
        </w:rPr>
        <w:t>-</w:t>
      </w:r>
      <w:r>
        <w:rPr>
          <w:color w:val="010101"/>
          <w:spacing w:val="-16"/>
          <w:sz w:val="20"/>
        </w:rPr>
        <w:t> </w:t>
      </w:r>
      <w:r>
        <w:rPr>
          <w:b/>
          <w:i/>
          <w:color w:val="010101"/>
          <w:w w:val="90"/>
          <w:sz w:val="20"/>
        </w:rPr>
        <w:t>,p,,</w:t>
      </w:r>
      <w:r>
        <w:rPr>
          <w:b/>
          <w:i/>
          <w:color w:val="010101"/>
          <w:spacing w:val="-28"/>
          <w:sz w:val="20"/>
        </w:rPr>
        <w:t> </w:t>
      </w:r>
      <w:r>
        <w:rPr>
          <w:b/>
          <w:i/>
          <w:color w:val="010101"/>
          <w:w w:val="89"/>
          <w:sz w:val="20"/>
        </w:rPr>
        <w:t>)</w:t>
      </w:r>
      <w:r>
        <w:rPr>
          <w:b/>
          <w:i/>
          <w:color w:val="010101"/>
          <w:w w:val="89"/>
          <w:sz w:val="20"/>
        </w:rPr>
        <w:t>,.+iPz·</w:t>
      </w:r>
      <w:r>
        <w:rPr>
          <w:b/>
          <w:i/>
          <w:color w:val="010101"/>
          <w:spacing w:val="18"/>
          <w:sz w:val="20"/>
        </w:rPr>
        <w:t> </w:t>
      </w:r>
      <w:r>
        <w:rPr>
          <w:b/>
          <w:i/>
          <w:color w:val="010101"/>
          <w:w w:val="67"/>
          <w:sz w:val="20"/>
        </w:rPr>
        <w:t>P.z+ra+t</w:t>
      </w:r>
      <w:r>
        <w:rPr>
          <w:b/>
          <w:i/>
          <w:color w:val="010101"/>
          <w:sz w:val="20"/>
        </w:rPr>
        <w:t> </w:t>
      </w:r>
      <w:r>
        <w:rPr>
          <w:b/>
          <w:i/>
          <w:color w:val="010101"/>
          <w:spacing w:val="-17"/>
          <w:sz w:val="20"/>
        </w:rPr>
        <w:t> </w:t>
      </w:r>
      <w:r>
        <w:rPr>
          <w:b/>
          <w:i/>
          <w:color w:val="010101"/>
          <w:w w:val="43"/>
          <w:sz w:val="41"/>
        </w:rPr>
        <w:t>dt</w:t>
      </w:r>
      <w:r>
        <w:rPr>
          <w:b/>
          <w:i/>
          <w:color w:val="010101"/>
          <w:spacing w:val="-14"/>
          <w:sz w:val="41"/>
        </w:rPr>
        <w:t> </w:t>
      </w:r>
      <w:r>
        <w:rPr>
          <w:color w:val="010101"/>
          <w:w w:val="99"/>
          <w:sz w:val="24"/>
        </w:rPr>
        <w:t>=</w:t>
      </w:r>
      <w:r>
        <w:rPr>
          <w:color w:val="010101"/>
          <w:spacing w:val="2"/>
          <w:sz w:val="24"/>
        </w:rPr>
        <w:t> </w:t>
      </w:r>
      <w:r>
        <w:rPr>
          <w:b/>
          <w:i/>
          <w:color w:val="010101"/>
          <w:spacing w:val="-41"/>
          <w:w w:val="48"/>
          <w:sz w:val="41"/>
        </w:rPr>
        <w:t>D</w:t>
      </w:r>
      <w:r>
        <w:rPr>
          <w:b/>
          <w:i/>
          <w:color w:val="010101"/>
          <w:spacing w:val="-62"/>
          <w:w w:val="104"/>
          <w:sz w:val="41"/>
        </w:rPr>
        <w:t>i</w:t>
      </w:r>
      <w:r>
        <w:rPr>
          <w:b/>
          <w:i/>
          <w:color w:val="010101"/>
          <w:spacing w:val="4"/>
          <w:w w:val="80"/>
          <w:sz w:val="41"/>
        </w:rPr>
        <w:t>/</w:t>
      </w:r>
      <w:r>
        <w:rPr>
          <w:b/>
          <w:i/>
          <w:color w:val="010101"/>
          <w:spacing w:val="12"/>
          <w:w w:val="145"/>
          <w:sz w:val="41"/>
        </w:rPr>
        <w:t>:</w:t>
      </w:r>
      <w:r>
        <w:rPr>
          <w:b/>
          <w:i/>
          <w:color w:val="010101"/>
          <w:w w:val="64"/>
          <w:sz w:val="21"/>
        </w:rPr>
        <w:t>(</w:t>
      </w:r>
      <w:r>
        <w:rPr>
          <w:b/>
          <w:i/>
          <w:color w:val="010101"/>
          <w:spacing w:val="-23"/>
          <w:sz w:val="21"/>
        </w:rPr>
        <w:t> </w:t>
      </w:r>
      <w:r>
        <w:rPr>
          <w:b/>
          <w:i/>
          <w:color w:val="010101"/>
          <w:w w:val="69"/>
          <w:sz w:val="21"/>
        </w:rPr>
        <w:t>A.z+,a</w:t>
      </w:r>
      <w:r>
        <w:rPr>
          <w:b/>
          <w:i/>
          <w:color w:val="010101"/>
          <w:sz w:val="21"/>
        </w:rPr>
        <w:t> </w:t>
      </w:r>
      <w:r>
        <w:rPr>
          <w:b/>
          <w:i/>
          <w:color w:val="010101"/>
          <w:spacing w:val="4"/>
          <w:sz w:val="21"/>
        </w:rPr>
        <w:t> </w:t>
      </w:r>
      <w:r>
        <w:rPr>
          <w:color w:val="010101"/>
          <w:w w:val="267"/>
          <w:sz w:val="21"/>
        </w:rPr>
        <w:t>-</w:t>
      </w:r>
      <w:r>
        <w:rPr>
          <w:color w:val="010101"/>
          <w:spacing w:val="-22"/>
          <w:sz w:val="21"/>
        </w:rPr>
        <w:t> </w:t>
      </w:r>
      <w:r>
        <w:rPr>
          <w:b/>
          <w:i/>
          <w:color w:val="010101"/>
          <w:w w:val="207"/>
          <w:sz w:val="21"/>
        </w:rPr>
        <w:t>A</w:t>
      </w:r>
      <w:r>
        <w:rPr>
          <w:b/>
          <w:i/>
          <w:color w:val="010101"/>
          <w:spacing w:val="-3"/>
          <w:sz w:val="21"/>
        </w:rPr>
        <w:t> </w:t>
      </w:r>
      <w:r>
        <w:rPr>
          <w:b/>
          <w:i/>
          <w:color w:val="010101"/>
          <w:w w:val="64"/>
          <w:sz w:val="21"/>
        </w:rPr>
        <w:t>,.:</w:t>
      </w:r>
      <w:r>
        <w:rPr>
          <w:b/>
          <w:i/>
          <w:color w:val="010101"/>
          <w:spacing w:val="-34"/>
          <w:sz w:val="21"/>
        </w:rPr>
        <w:t> </w:t>
      </w:r>
      <w:r>
        <w:rPr>
          <w:rFonts w:ascii="Arial" w:hAnsi="Arial"/>
          <w:b/>
          <w:i/>
          <w:color w:val="010101"/>
          <w:w w:val="62"/>
          <w:position w:val="-3"/>
          <w:sz w:val="11"/>
        </w:rPr>
        <w:t>11</w:t>
      </w:r>
      <w:r>
        <w:rPr>
          <w:rFonts w:ascii="Arial" w:hAnsi="Arial"/>
          <w:b/>
          <w:i/>
          <w:color w:val="010101"/>
          <w:spacing w:val="-15"/>
          <w:position w:val="-3"/>
          <w:sz w:val="11"/>
        </w:rPr>
        <w:t> </w:t>
      </w:r>
      <w:r>
        <w:rPr>
          <w:rFonts w:ascii="Arial" w:hAnsi="Arial"/>
          <w:b/>
          <w:i/>
          <w:color w:val="010101"/>
          <w:w w:val="165"/>
          <w:sz w:val="11"/>
        </w:rPr>
        <w:t>)</w:t>
      </w:r>
      <w:r>
        <w:rPr>
          <w:rFonts w:ascii="Arial" w:hAnsi="Arial"/>
          <w:b/>
          <w:i/>
          <w:color w:val="010101"/>
          <w:w w:val="165"/>
          <w:sz w:val="11"/>
        </w:rPr>
        <w:t>.</w:t>
      </w:r>
      <w:r>
        <w:rPr>
          <w:rFonts w:ascii="Arial" w:hAnsi="Arial"/>
          <w:b/>
          <w:i/>
          <w:color w:val="010101"/>
          <w:sz w:val="11"/>
        </w:rPr>
        <w:tab/>
      </w:r>
      <w:r>
        <w:rPr>
          <w:b/>
          <w:color w:val="010101"/>
          <w:w w:val="102"/>
          <w:sz w:val="20"/>
        </w:rPr>
        <w:t>(11.48)</w:t>
      </w:r>
    </w:p>
    <w:p>
      <w:pPr>
        <w:pStyle w:val="BodyText"/>
        <w:spacing w:before="185"/>
        <w:ind w:left="130"/>
        <w:rPr>
          <w:sz w:val="17"/>
        </w:rPr>
      </w:pPr>
      <w:r>
        <w:rPr>
          <w:color w:val="010101"/>
        </w:rPr>
        <w:t>The  annual  premium  is determined  by  dividing  by  </w:t>
      </w:r>
      <w:r>
        <w:rPr>
          <w:i/>
          <w:color w:val="010101"/>
          <w:sz w:val="17"/>
        </w:rPr>
        <w:t>d.z </w:t>
      </w:r>
      <w:r>
        <w:rPr>
          <w:color w:val="010101"/>
          <w:sz w:val="17"/>
        </w:rPr>
        <w:t>•</w:t>
      </w:r>
    </w:p>
    <w:p>
      <w:pPr>
        <w:pStyle w:val="BodyText"/>
        <w:spacing w:before="7"/>
        <w:ind w:left="130" w:right="154" w:firstLine="197"/>
        <w:jc w:val="both"/>
        <w:rPr>
          <w:rFonts w:ascii="Arial"/>
          <w:sz w:val="19"/>
        </w:rPr>
      </w:pPr>
      <w:r>
        <w:rPr>
          <w:color w:val="010101"/>
          <w:w w:val="105"/>
        </w:rPr>
        <w:t>The present value of an insurancc payab)e if </w:t>
      </w:r>
      <w:r>
        <w:rPr>
          <w:rFonts w:ascii="Arial"/>
          <w:i/>
          <w:color w:val="010101"/>
          <w:w w:val="105"/>
          <w:sz w:val="18"/>
        </w:rPr>
        <w:t>(x) </w:t>
      </w:r>
      <w:r>
        <w:rPr>
          <w:color w:val="010101"/>
          <w:w w:val="105"/>
        </w:rPr>
        <w:t>dies before </w:t>
      </w:r>
      <w:r>
        <w:rPr>
          <w:rFonts w:ascii="Arial"/>
          <w:i/>
          <w:color w:val="010101"/>
          <w:w w:val="105"/>
          <w:sz w:val="19"/>
        </w:rPr>
        <w:t>(y ) </w:t>
      </w:r>
      <w:r>
        <w:rPr>
          <w:color w:val="010101"/>
          <w:w w:val="105"/>
        </w:rPr>
        <w:t>or within </w:t>
      </w:r>
      <w:r>
        <w:rPr>
          <w:i/>
          <w:color w:val="010101"/>
          <w:w w:val="105"/>
          <w:sz w:val="21"/>
        </w:rPr>
        <w:t>n </w:t>
      </w:r>
      <w:r>
        <w:rPr>
          <w:color w:val="010101"/>
          <w:w w:val="105"/>
        </w:rPr>
        <w:t>years after </w:t>
      </w:r>
      <w:r>
        <w:rPr>
          <w:rFonts w:ascii="Arial"/>
          <w:i/>
          <w:color w:val="010101"/>
          <w:w w:val="105"/>
          <w:sz w:val="19"/>
        </w:rPr>
        <w:t>(y ) </w:t>
      </w:r>
      <w:r>
        <w:rPr>
          <w:color w:val="010101"/>
          <w:w w:val="105"/>
        </w:rPr>
        <w:t>is equal </w:t>
      </w:r>
      <w:r>
        <w:rPr>
          <w:color w:val="010101"/>
          <w:w w:val="105"/>
          <w:sz w:val="22"/>
        </w:rPr>
        <w:t>to </w:t>
      </w:r>
      <w:r>
        <w:rPr>
          <w:i/>
          <w:color w:val="010101"/>
          <w:w w:val="105"/>
          <w:sz w:val="17"/>
        </w:rPr>
        <w:t>A.z </w:t>
      </w:r>
      <w:r>
        <w:rPr>
          <w:color w:val="010101"/>
          <w:w w:val="105"/>
        </w:rPr>
        <w:t>minus the value of an insurance payable if  </w:t>
      </w:r>
      <w:r>
        <w:rPr>
          <w:rFonts w:ascii="Arial"/>
          <w:i/>
          <w:color w:val="010101"/>
          <w:w w:val="105"/>
          <w:sz w:val="19"/>
        </w:rPr>
        <w:t>(x ) </w:t>
      </w:r>
      <w:r>
        <w:rPr>
          <w:color w:val="010101"/>
          <w:w w:val="105"/>
        </w:rPr>
        <w:t>dies at least </w:t>
      </w:r>
      <w:r>
        <w:rPr>
          <w:rFonts w:ascii="Arial"/>
          <w:i/>
          <w:color w:val="010101"/>
          <w:w w:val="105"/>
          <w:sz w:val="19"/>
        </w:rPr>
        <w:t>n </w:t>
      </w:r>
      <w:r>
        <w:rPr>
          <w:color w:val="010101"/>
          <w:w w:val="105"/>
        </w:rPr>
        <w:t>years after  </w:t>
      </w:r>
      <w:r>
        <w:rPr>
          <w:rFonts w:ascii="Arial"/>
          <w:i/>
          <w:color w:val="010101"/>
          <w:w w:val="105"/>
          <w:sz w:val="19"/>
        </w:rPr>
        <w:t>(y ) </w:t>
      </w:r>
      <w:r>
        <w:rPr>
          <w:rFonts w:ascii="Arial"/>
          <w:color w:val="010101"/>
          <w:w w:val="105"/>
          <w:sz w:val="19"/>
        </w:rPr>
        <w:t>:</w:t>
      </w:r>
    </w:p>
    <w:p>
      <w:pPr>
        <w:pStyle w:val="BodyText"/>
        <w:spacing w:before="154"/>
        <w:ind w:left="1753"/>
      </w:pPr>
      <w:r>
        <w:rPr>
          <w:position w:val="-17"/>
        </w:rPr>
        <w:drawing>
          <wp:inline distT="0" distB="0" distL="0" distR="0">
            <wp:extent cx="1609344" cy="283463"/>
            <wp:effectExtent l="0" t="0" r="0" b="0"/>
            <wp:docPr id="559" name="image285.png" descr=""/>
            <wp:cNvGraphicFramePr>
              <a:graphicFrameLocks noChangeAspect="1"/>
            </wp:cNvGraphicFramePr>
            <a:graphic>
              <a:graphicData uri="http://schemas.openxmlformats.org/drawingml/2006/picture">
                <pic:pic>
                  <pic:nvPicPr>
                    <pic:cNvPr id="560" name="image285.png"/>
                    <pic:cNvPicPr/>
                  </pic:nvPicPr>
                  <pic:blipFill>
                    <a:blip r:embed="rId289" cstate="print"/>
                    <a:stretch>
                      <a:fillRect/>
                    </a:stretch>
                  </pic:blipFill>
                  <pic:spPr>
                    <a:xfrm>
                      <a:off x="0" y="0"/>
                      <a:ext cx="1609344" cy="283463"/>
                    </a:xfrm>
                    <a:prstGeom prst="rect">
                      <a:avLst/>
                    </a:prstGeom>
                  </pic:spPr>
                </pic:pic>
              </a:graphicData>
            </a:graphic>
          </wp:inline>
        </w:drawing>
      </w:r>
      <w:r>
        <w:rPr>
          <w:position w:val="-17"/>
        </w:rPr>
      </w:r>
      <w:r>
        <w:rPr/>
        <w:t>                </w:t>
      </w:r>
      <w:r>
        <w:rPr>
          <w:color w:val="010101"/>
          <w:w w:val="105"/>
        </w:rPr>
        <w:t>(11.49a)</w:t>
      </w:r>
    </w:p>
    <w:p>
      <w:pPr>
        <w:pStyle w:val="BodyText"/>
        <w:spacing w:before="119"/>
        <w:ind w:left="130"/>
      </w:pPr>
      <w:r>
        <w:rPr>
          <w:color w:val="010101"/>
          <w:w w:val="105"/>
        </w:rPr>
        <w:t>Alternatively,  this value may  </w:t>
      </w:r>
      <w:r>
        <w:rPr>
          <w:color w:val="010101"/>
          <w:w w:val="105"/>
          <w:sz w:val="19"/>
        </w:rPr>
        <w:t>be </w:t>
      </w:r>
      <w:r>
        <w:rPr>
          <w:color w:val="010101"/>
          <w:w w:val="105"/>
        </w:rPr>
        <w:t>expressed  as</w:t>
      </w:r>
    </w:p>
    <w:p>
      <w:pPr>
        <w:spacing w:line="155" w:lineRule="exact" w:before="53"/>
        <w:ind w:left="98" w:right="1333" w:firstLine="0"/>
        <w:jc w:val="center"/>
        <w:rPr>
          <w:rFonts w:ascii="Arial"/>
          <w:sz w:val="8"/>
        </w:rPr>
      </w:pPr>
      <w:r>
        <w:rPr>
          <w:color w:val="010101"/>
          <w:spacing w:val="-110"/>
          <w:w w:val="101"/>
          <w:position w:val="-33"/>
          <w:sz w:val="53"/>
        </w:rPr>
        <w:t>1</w:t>
      </w:r>
      <w:r>
        <w:rPr>
          <w:rFonts w:ascii="Arial"/>
          <w:color w:val="010101"/>
          <w:w w:val="107"/>
          <w:sz w:val="8"/>
        </w:rPr>
        <w:t>00</w:t>
      </w:r>
    </w:p>
    <w:p>
      <w:pPr>
        <w:spacing w:after="0" w:line="155" w:lineRule="exact"/>
        <w:jc w:val="center"/>
        <w:rPr>
          <w:rFonts w:ascii="Arial"/>
          <w:sz w:val="8"/>
        </w:rPr>
        <w:sectPr>
          <w:type w:val="continuous"/>
          <w:pgSz w:w="7200" w:h="11340"/>
          <w:pgMar w:top="1100" w:bottom="0" w:left="680" w:right="520"/>
        </w:sectPr>
      </w:pPr>
    </w:p>
    <w:p>
      <w:pPr>
        <w:spacing w:line="1" w:lineRule="exact" w:before="0"/>
        <w:ind w:left="0" w:right="0" w:firstLine="0"/>
        <w:jc w:val="right"/>
        <w:rPr>
          <w:rFonts w:ascii="Arial" w:hAnsi="Arial"/>
          <w:sz w:val="31"/>
        </w:rPr>
      </w:pPr>
      <w:r>
        <w:rPr>
          <w:b/>
          <w:color w:val="010101"/>
          <w:w w:val="110"/>
          <w:sz w:val="15"/>
        </w:rPr>
        <w:t>Áz:ñl  </w:t>
      </w:r>
      <w:r>
        <w:rPr>
          <w:rFonts w:ascii="Arial" w:hAnsi="Arial"/>
          <w:color w:val="010101"/>
          <w:w w:val="110"/>
          <w:sz w:val="31"/>
        </w:rPr>
        <w:t>+</w:t>
      </w:r>
    </w:p>
    <w:p>
      <w:pPr>
        <w:tabs>
          <w:tab w:pos="634" w:val="left" w:leader="none"/>
        </w:tabs>
        <w:spacing w:line="54" w:lineRule="exact" w:before="1"/>
        <w:ind w:left="326" w:right="0" w:firstLine="0"/>
        <w:jc w:val="left"/>
        <w:rPr>
          <w:b/>
          <w:i/>
          <w:sz w:val="21"/>
        </w:rPr>
      </w:pPr>
      <w:r>
        <w:rPr/>
        <w:br w:type="column"/>
      </w:r>
      <w:r>
        <w:rPr>
          <w:rFonts w:ascii="Arial" w:hAnsi="Arial"/>
          <w:b/>
          <w:i/>
          <w:color w:val="010101"/>
          <w:w w:val="90"/>
          <w:sz w:val="13"/>
        </w:rPr>
        <w:t>V</w:t>
        <w:tab/>
      </w:r>
      <w:r>
        <w:rPr>
          <w:b/>
          <w:color w:val="010101"/>
          <w:w w:val="85"/>
          <w:sz w:val="15"/>
        </w:rPr>
        <w:t>tt</w:t>
      </w:r>
      <w:r>
        <w:rPr>
          <w:b/>
          <w:color w:val="010101"/>
          <w:spacing w:val="-18"/>
          <w:w w:val="85"/>
          <w:sz w:val="15"/>
        </w:rPr>
        <w:t> </w:t>
      </w:r>
      <w:r>
        <w:rPr>
          <w:b/>
          <w:color w:val="010101"/>
          <w:w w:val="85"/>
          <w:sz w:val="15"/>
        </w:rPr>
        <w:t>+&amp;Pz·</w:t>
      </w:r>
      <w:r>
        <w:rPr>
          <w:b/>
          <w:color w:val="010101"/>
          <w:spacing w:val="-12"/>
          <w:w w:val="85"/>
          <w:sz w:val="15"/>
        </w:rPr>
        <w:t> </w:t>
      </w:r>
      <w:r>
        <w:rPr>
          <w:b/>
          <w:i/>
          <w:color w:val="010101"/>
          <w:w w:val="85"/>
          <w:sz w:val="20"/>
        </w:rPr>
        <w:t>tP11</w:t>
      </w:r>
      <w:r>
        <w:rPr>
          <w:b/>
          <w:i/>
          <w:color w:val="010101"/>
          <w:spacing w:val="-16"/>
          <w:w w:val="85"/>
          <w:sz w:val="20"/>
        </w:rPr>
        <w:t> </w:t>
      </w:r>
      <w:r>
        <w:rPr>
          <w:color w:val="010101"/>
          <w:spacing w:val="-5"/>
          <w:w w:val="85"/>
          <w:sz w:val="20"/>
        </w:rPr>
        <w:t>·</w:t>
      </w:r>
      <w:r>
        <w:rPr>
          <w:b/>
          <w:color w:val="010101"/>
          <w:spacing w:val="-5"/>
          <w:w w:val="85"/>
          <w:sz w:val="15"/>
        </w:rPr>
        <w:t>J.&amp;z+n</w:t>
      </w:r>
      <w:r>
        <w:rPr>
          <w:b/>
          <w:color w:val="010101"/>
          <w:spacing w:val="-9"/>
          <w:w w:val="85"/>
          <w:sz w:val="15"/>
        </w:rPr>
        <w:t> </w:t>
      </w:r>
      <w:r>
        <w:rPr>
          <w:b/>
          <w:color w:val="010101"/>
          <w:w w:val="85"/>
          <w:sz w:val="15"/>
        </w:rPr>
        <w:t>+t</w:t>
      </w:r>
      <w:r>
        <w:rPr>
          <w:b/>
          <w:color w:val="010101"/>
          <w:spacing w:val="13"/>
          <w:w w:val="85"/>
          <w:sz w:val="15"/>
        </w:rPr>
        <w:t> </w:t>
      </w:r>
      <w:r>
        <w:rPr>
          <w:b/>
          <w:i/>
          <w:color w:val="010101"/>
          <w:w w:val="85"/>
          <w:sz w:val="21"/>
        </w:rPr>
        <w:t>dt</w:t>
      </w:r>
    </w:p>
    <w:p>
      <w:pPr>
        <w:spacing w:after="0" w:line="54" w:lineRule="exact"/>
        <w:jc w:val="left"/>
        <w:rPr>
          <w:sz w:val="21"/>
        </w:rPr>
        <w:sectPr>
          <w:type w:val="continuous"/>
          <w:pgSz w:w="7200" w:h="11340"/>
          <w:pgMar w:top="1100" w:bottom="0" w:left="680" w:right="520"/>
          <w:cols w:num="2" w:equalWidth="0">
            <w:col w:w="2190" w:space="40"/>
            <w:col w:w="3770"/>
          </w:cols>
        </w:sectPr>
      </w:pPr>
    </w:p>
    <w:p>
      <w:pPr>
        <w:tabs>
          <w:tab w:pos="2641" w:val="left" w:leader="none"/>
        </w:tabs>
        <w:spacing w:line="99" w:lineRule="exact" w:before="0"/>
        <w:ind w:left="1562" w:right="0" w:firstLine="0"/>
        <w:jc w:val="left"/>
        <w:rPr>
          <w:b/>
          <w:sz w:val="15"/>
        </w:rPr>
      </w:pPr>
      <w:r>
        <w:rPr>
          <w:rFonts w:ascii="Arial"/>
          <w:b/>
          <w:color w:val="010101"/>
          <w:w w:val="180"/>
          <w:sz w:val="11"/>
        </w:rPr>
        <w:t>-1</w:t>
        <w:tab/>
      </w:r>
      <w:r>
        <w:rPr>
          <w:b/>
          <w:color w:val="010101"/>
          <w:sz w:val="15"/>
        </w:rPr>
        <w:t>t1+t</w:t>
      </w:r>
    </w:p>
    <w:p>
      <w:pPr>
        <w:pStyle w:val="BodyText"/>
        <w:spacing w:before="6"/>
        <w:rPr>
          <w:b/>
          <w:sz w:val="9"/>
        </w:rPr>
      </w:pPr>
    </w:p>
    <w:p>
      <w:pPr>
        <w:spacing w:before="1"/>
        <w:ind w:left="0" w:right="1252" w:firstLine="0"/>
        <w:jc w:val="center"/>
        <w:rPr>
          <w:rFonts w:ascii="Arial"/>
          <w:sz w:val="12"/>
        </w:rPr>
      </w:pPr>
      <w:r>
        <w:rPr>
          <w:rFonts w:ascii="Arial"/>
          <w:color w:val="010101"/>
          <w:w w:val="106"/>
          <w:sz w:val="12"/>
        </w:rPr>
        <w:t>0</w:t>
      </w:r>
    </w:p>
    <w:p>
      <w:pPr>
        <w:pStyle w:val="BodyText"/>
        <w:spacing w:line="232" w:lineRule="auto" w:before="101"/>
        <w:ind w:left="123" w:right="163" w:firstLine="3"/>
        <w:jc w:val="both"/>
        <w:rPr>
          <w:sz w:val="22"/>
        </w:rPr>
      </w:pPr>
      <w:r>
        <w:rPr>
          <w:color w:val="010101"/>
          <w:w w:val="105"/>
        </w:rPr>
        <w:t>since the insurancc must </w:t>
      </w:r>
      <w:r>
        <w:rPr>
          <w:color w:val="010101"/>
          <w:w w:val="105"/>
          <w:sz w:val="19"/>
        </w:rPr>
        <w:t>be </w:t>
      </w:r>
      <w:r>
        <w:rPr>
          <w:color w:val="010101"/>
          <w:w w:val="105"/>
        </w:rPr>
        <w:t>payable if </w:t>
      </w:r>
      <w:r>
        <w:rPr>
          <w:color w:val="010101"/>
          <w:w w:val="105"/>
          <w:sz w:val="19"/>
        </w:rPr>
        <w:t>(x ) </w:t>
      </w:r>
      <w:r>
        <w:rPr>
          <w:color w:val="010101"/>
          <w:w w:val="105"/>
        </w:rPr>
        <w:t>dics during the first </w:t>
      </w:r>
      <w:r>
        <w:rPr>
          <w:i/>
          <w:color w:val="010101"/>
          <w:w w:val="105"/>
          <w:sz w:val="21"/>
        </w:rPr>
        <w:t>n </w:t>
      </w:r>
      <w:r>
        <w:rPr>
          <w:color w:val="010101"/>
          <w:w w:val="105"/>
        </w:rPr>
        <w:t>years, and </w:t>
      </w:r>
      <w:r>
        <w:rPr>
          <w:rFonts w:ascii="Arial"/>
          <w:color w:val="010101"/>
          <w:w w:val="105"/>
          <w:sz w:val="19"/>
        </w:rPr>
        <w:t>is </w:t>
      </w:r>
      <w:r>
        <w:rPr>
          <w:color w:val="010101"/>
          <w:w w:val="105"/>
        </w:rPr>
        <w:t>payablc after that time if  </w:t>
      </w:r>
      <w:r>
        <w:rPr>
          <w:color w:val="010101"/>
          <w:spacing w:val="7"/>
          <w:w w:val="105"/>
          <w:sz w:val="19"/>
        </w:rPr>
        <w:t>(y) </w:t>
      </w:r>
      <w:r>
        <w:rPr>
          <w:color w:val="010101"/>
          <w:w w:val="105"/>
        </w:rPr>
        <w:t>is alive </w:t>
      </w:r>
      <w:r>
        <w:rPr>
          <w:i/>
          <w:color w:val="010101"/>
          <w:w w:val="105"/>
          <w:sz w:val="21"/>
        </w:rPr>
        <w:t>n </w:t>
      </w:r>
      <w:r>
        <w:rPr>
          <w:color w:val="010101"/>
          <w:w w:val="105"/>
        </w:rPr>
        <w:t>years before  the death of  </w:t>
      </w:r>
      <w:r>
        <w:rPr>
          <w:color w:val="010101"/>
          <w:w w:val="105"/>
          <w:sz w:val="19"/>
        </w:rPr>
        <w:t>(x). </w:t>
      </w:r>
      <w:r>
        <w:rPr>
          <w:color w:val="010101"/>
          <w:w w:val="105"/>
        </w:rPr>
        <w:t>This alternative expression  reduces</w:t>
      </w:r>
      <w:r>
        <w:rPr>
          <w:color w:val="010101"/>
          <w:spacing w:val="35"/>
          <w:w w:val="105"/>
        </w:rPr>
        <w:t> </w:t>
      </w:r>
      <w:r>
        <w:rPr>
          <w:color w:val="010101"/>
          <w:w w:val="105"/>
          <w:sz w:val="22"/>
        </w:rPr>
        <w:t>to</w:t>
      </w:r>
    </w:p>
    <w:p>
      <w:pPr>
        <w:spacing w:before="168"/>
        <w:ind w:left="2070" w:right="0" w:firstLine="0"/>
        <w:jc w:val="left"/>
        <w:rPr>
          <w:sz w:val="19"/>
        </w:rPr>
      </w:pPr>
      <w:r>
        <w:rPr>
          <w:position w:val="-16"/>
        </w:rPr>
        <w:drawing>
          <wp:inline distT="0" distB="0" distL="0" distR="0">
            <wp:extent cx="1179576" cy="274320"/>
            <wp:effectExtent l="0" t="0" r="0" b="0"/>
            <wp:docPr id="561" name="image286.png" descr=""/>
            <wp:cNvGraphicFramePr>
              <a:graphicFrameLocks noChangeAspect="1"/>
            </wp:cNvGraphicFramePr>
            <a:graphic>
              <a:graphicData uri="http://schemas.openxmlformats.org/drawingml/2006/picture">
                <pic:pic>
                  <pic:nvPicPr>
                    <pic:cNvPr id="562" name="image286.png"/>
                    <pic:cNvPicPr/>
                  </pic:nvPicPr>
                  <pic:blipFill>
                    <a:blip r:embed="rId290" cstate="print"/>
                    <a:stretch>
                      <a:fillRect/>
                    </a:stretch>
                  </pic:blipFill>
                  <pic:spPr>
                    <a:xfrm>
                      <a:off x="0" y="0"/>
                      <a:ext cx="1179576" cy="274320"/>
                    </a:xfrm>
                    <a:prstGeom prst="rect">
                      <a:avLst/>
                    </a:prstGeom>
                  </pic:spPr>
                </pic:pic>
              </a:graphicData>
            </a:graphic>
          </wp:inline>
        </w:drawing>
      </w:r>
      <w:r>
        <w:rPr>
          <w:position w:val="-16"/>
        </w:rPr>
      </w:r>
      <w:r>
        <w:rPr>
          <w:sz w:val="20"/>
        </w:rPr>
        <w:t>                        </w:t>
      </w:r>
      <w:r>
        <w:rPr>
          <w:color w:val="010101"/>
          <w:w w:val="105"/>
          <w:sz w:val="19"/>
        </w:rPr>
        <w:t>(11.49b)</w:t>
      </w:r>
    </w:p>
    <w:p>
      <w:pPr>
        <w:pStyle w:val="BodyText"/>
        <w:spacing w:before="101"/>
        <w:ind w:left="123"/>
        <w:jc w:val="both"/>
      </w:pPr>
      <w:r>
        <w:rPr>
          <w:color w:val="010101"/>
          <w:w w:val="105"/>
        </w:rPr>
        <w:t>which  may  be seen </w:t>
      </w:r>
      <w:r>
        <w:rPr>
          <w:color w:val="010101"/>
          <w:w w:val="105"/>
          <w:sz w:val="22"/>
        </w:rPr>
        <w:t>to </w:t>
      </w:r>
      <w:r>
        <w:rPr>
          <w:color w:val="010101"/>
          <w:w w:val="105"/>
          <w:sz w:val="19"/>
        </w:rPr>
        <w:t>be </w:t>
      </w:r>
      <w:r>
        <w:rPr>
          <w:color w:val="010101"/>
          <w:w w:val="105"/>
        </w:rPr>
        <w:t>equivalent  to the formula first  obtained.</w:t>
      </w:r>
    </w:p>
    <w:p>
      <w:pPr>
        <w:spacing w:after="0"/>
        <w:jc w:val="both"/>
        <w:sectPr>
          <w:type w:val="continuous"/>
          <w:pgSz w:w="7200" w:h="11340"/>
          <w:pgMar w:top="1100" w:bottom="0" w:left="680" w:right="520"/>
        </w:sectPr>
      </w:pPr>
    </w:p>
    <w:p>
      <w:pPr>
        <w:tabs>
          <w:tab w:pos="1960" w:val="left" w:leader="none"/>
          <w:tab w:pos="5265" w:val="left" w:leader="none"/>
        </w:tabs>
        <w:spacing w:before="64"/>
        <w:ind w:left="135" w:right="0" w:firstLine="0"/>
        <w:jc w:val="both"/>
        <w:rPr>
          <w:sz w:val="20"/>
        </w:rPr>
      </w:pPr>
      <w:r>
        <w:rPr>
          <w:w w:val="115"/>
          <w:sz w:val="20"/>
        </w:rPr>
        <w:t>240</w:t>
        <w:tab/>
      </w:r>
      <w:r>
        <w:rPr>
          <w:b/>
          <w:w w:val="105"/>
          <w:sz w:val="15"/>
        </w:rPr>
        <w:t>CONTINGJCNT</w:t>
      </w:r>
      <w:r>
        <w:rPr>
          <w:b/>
          <w:spacing w:val="14"/>
          <w:w w:val="105"/>
          <w:sz w:val="15"/>
        </w:rPr>
        <w:t> </w:t>
      </w:r>
      <w:r>
        <w:rPr>
          <w:b/>
          <w:w w:val="105"/>
          <w:sz w:val="15"/>
        </w:rPr>
        <w:t>l'UNCTIONS</w:t>
        <w:tab/>
      </w:r>
      <w:r>
        <w:rPr>
          <w:rFonts w:ascii="Arial"/>
          <w:spacing w:val="-12"/>
          <w:w w:val="120"/>
          <w:sz w:val="19"/>
        </w:rPr>
        <w:t>[cB. </w:t>
      </w:r>
      <w:r>
        <w:rPr>
          <w:rFonts w:ascii="Arial"/>
          <w:spacing w:val="-7"/>
          <w:w w:val="120"/>
          <w:sz w:val="19"/>
        </w:rPr>
        <w:t> </w:t>
      </w:r>
      <w:r>
        <w:rPr>
          <w:spacing w:val="-11"/>
          <w:w w:val="120"/>
          <w:sz w:val="20"/>
        </w:rPr>
        <w:t>11</w:t>
      </w:r>
    </w:p>
    <w:p>
      <w:pPr>
        <w:pStyle w:val="BodyText"/>
        <w:spacing w:before="2"/>
      </w:pPr>
    </w:p>
    <w:p>
      <w:pPr>
        <w:spacing w:before="0"/>
        <w:ind w:left="139" w:right="0" w:firstLine="0"/>
        <w:jc w:val="both"/>
        <w:rPr>
          <w:sz w:val="21"/>
        </w:rPr>
      </w:pPr>
      <w:r>
        <w:rPr>
          <w:sz w:val="21"/>
        </w:rPr>
        <w:t>The annual premium  </w:t>
      </w:r>
      <w:r>
        <w:rPr>
          <w:rFonts w:ascii="Arial"/>
          <w:sz w:val="19"/>
        </w:rPr>
        <w:t>is </w:t>
      </w:r>
      <w:r>
        <w:rPr>
          <w:sz w:val="21"/>
        </w:rPr>
        <w:t>determined by dividing  by</w:t>
      </w:r>
    </w:p>
    <w:p>
      <w:pPr>
        <w:pStyle w:val="BodyText"/>
        <w:spacing w:before="3"/>
        <w:rPr>
          <w:sz w:val="18"/>
        </w:rPr>
      </w:pPr>
    </w:p>
    <w:p>
      <w:pPr>
        <w:spacing w:before="0"/>
        <w:ind w:left="522" w:right="543" w:firstLine="0"/>
        <w:jc w:val="center"/>
        <w:rPr>
          <w:b/>
          <w:sz w:val="21"/>
        </w:rPr>
      </w:pPr>
      <w:r>
        <w:rPr/>
        <w:pict>
          <v:line style="position:absolute;mso-position-horizontal-relative:page;mso-position-vertical-relative:paragraph;z-index:-716680" from="179.639999pt,18.089884pt" to="190.799999pt,18.089884pt" stroked="true" strokeweight="4.140pt" strokecolor="#000000">
            <w10:wrap type="none"/>
          </v:line>
        </w:pict>
      </w:r>
      <w:r>
        <w:rPr/>
        <w:pict>
          <v:shape style="position:absolute;margin-left:179.639999pt;margin-top:6.766136pt;width:11.5pt;height:11.5pt;mso-position-horizontal-relative:page;mso-position-vertical-relative:paragraph;z-index:-716656" type="#_x0000_t202" filled="false" stroked="false">
            <v:textbox inset="0,0,0,0">
              <w:txbxContent>
                <w:p>
                  <w:pPr>
                    <w:spacing w:line="230" w:lineRule="exact" w:before="0"/>
                    <w:ind w:left="0" w:right="-8" w:firstLine="0"/>
                    <w:jc w:val="left"/>
                    <w:rPr>
                      <w:sz w:val="23"/>
                    </w:rPr>
                  </w:pPr>
                  <w:r>
                    <w:rPr>
                      <w:w w:val="85"/>
                      <w:sz w:val="23"/>
                    </w:rPr>
                    <w:t>Ds</w:t>
                  </w:r>
                </w:p>
              </w:txbxContent>
            </v:textbox>
            <w10:wrap type="none"/>
          </v:shape>
        </w:pict>
      </w:r>
      <w:r>
        <w:rPr>
          <w:spacing w:val="-4"/>
          <w:w w:val="105"/>
          <w:position w:val="1"/>
          <w:sz w:val="21"/>
        </w:rPr>
        <w:t>ds:.J </w:t>
      </w:r>
      <w:r>
        <w:rPr>
          <w:rFonts w:ascii="Arial" w:hAnsi="Arial"/>
          <w:i/>
          <w:w w:val="105"/>
          <w:sz w:val="34"/>
        </w:rPr>
        <w:t>+</w:t>
      </w:r>
      <w:r>
        <w:rPr>
          <w:rFonts w:ascii="Arial" w:hAnsi="Arial"/>
          <w:i/>
          <w:spacing w:val="-81"/>
          <w:w w:val="105"/>
          <w:sz w:val="34"/>
        </w:rPr>
        <w:t> </w:t>
      </w:r>
      <w:r>
        <w:rPr>
          <w:rFonts w:ascii="Arial" w:hAnsi="Arial"/>
          <w:i/>
          <w:w w:val="105"/>
          <w:position w:val="14"/>
          <w:sz w:val="20"/>
        </w:rPr>
        <w:t>D•+- </w:t>
      </w:r>
      <w:r>
        <w:rPr>
          <w:b/>
          <w:w w:val="105"/>
          <w:position w:val="1"/>
          <w:sz w:val="21"/>
        </w:rPr>
        <w:t>4.+.:• .</w:t>
      </w:r>
    </w:p>
    <w:p>
      <w:pPr>
        <w:numPr>
          <w:ilvl w:val="0"/>
          <w:numId w:val="106"/>
        </w:numPr>
        <w:tabs>
          <w:tab w:pos="374" w:val="left" w:leader="none"/>
        </w:tabs>
        <w:spacing w:before="190"/>
        <w:ind w:left="373" w:right="0" w:hanging="249"/>
        <w:jc w:val="both"/>
        <w:rPr>
          <w:b/>
          <w:sz w:val="20"/>
        </w:rPr>
      </w:pPr>
      <w:r>
        <w:rPr>
          <w:b/>
          <w:w w:val="115"/>
          <w:sz w:val="20"/>
        </w:rPr>
        <w:t>Summary of</w:t>
      </w:r>
      <w:r>
        <w:rPr>
          <w:b/>
          <w:spacing w:val="24"/>
          <w:w w:val="115"/>
          <w:sz w:val="20"/>
        </w:rPr>
        <w:t> </w:t>
      </w:r>
      <w:r>
        <w:rPr>
          <w:b/>
          <w:w w:val="115"/>
          <w:sz w:val="20"/>
        </w:rPr>
        <w:t>notation</w:t>
      </w:r>
    </w:p>
    <w:p>
      <w:pPr>
        <w:pStyle w:val="ListParagraph"/>
        <w:numPr>
          <w:ilvl w:val="1"/>
          <w:numId w:val="106"/>
        </w:numPr>
        <w:tabs>
          <w:tab w:pos="586" w:val="left" w:leader="none"/>
        </w:tabs>
        <w:spacing w:line="238" w:lineRule="exact" w:before="83" w:after="0"/>
        <w:ind w:left="135" w:right="156" w:firstLine="209"/>
        <w:jc w:val="left"/>
        <w:rPr>
          <w:sz w:val="21"/>
        </w:rPr>
      </w:pPr>
      <w:r>
        <w:rPr>
          <w:w w:val="105"/>
          <w:sz w:val="21"/>
        </w:rPr>
        <w:t>The notational principie used with simple contingent func­ tions is an extension of Principie I (Chapter 3)</w:t>
      </w:r>
      <w:r>
        <w:rPr>
          <w:spacing w:val="-12"/>
          <w:w w:val="105"/>
          <w:sz w:val="21"/>
        </w:rPr>
        <w:t> </w:t>
      </w:r>
      <w:r>
        <w:rPr>
          <w:w w:val="110"/>
          <w:sz w:val="21"/>
        </w:rPr>
        <w:t>:</w:t>
      </w:r>
    </w:p>
    <w:p>
      <w:pPr>
        <w:spacing w:line="232" w:lineRule="auto" w:before="3"/>
        <w:ind w:left="132" w:right="171" w:firstLine="208"/>
        <w:jc w:val="both"/>
        <w:rPr>
          <w:sz w:val="21"/>
        </w:rPr>
      </w:pPr>
      <w:r>
        <w:rPr>
          <w:sz w:val="21"/>
        </w:rPr>
        <w:t>When a suffixed subscript consists of severa! statuses, a numeral, say </w:t>
      </w:r>
      <w:r>
        <w:rPr>
          <w:i/>
          <w:sz w:val="20"/>
        </w:rPr>
        <w:t>r, </w:t>
      </w:r>
      <w:r>
        <w:rPr>
          <w:sz w:val="21"/>
        </w:rPr>
        <w:t>written above one of the statuses indicates that  the function  </w:t>
      </w:r>
      <w:r>
        <w:rPr>
          <w:rFonts w:ascii="Arial"/>
          <w:sz w:val="19"/>
        </w:rPr>
        <w:t>is </w:t>
      </w:r>
      <w:r>
        <w:rPr>
          <w:sz w:val="21"/>
        </w:rPr>
        <w:t>determined  by  that  status  being  the  r-th  </w:t>
      </w:r>
      <w:r>
        <w:rPr>
          <w:sz w:val="22"/>
        </w:rPr>
        <w:t>to  </w:t>
      </w:r>
      <w:r>
        <w:rPr>
          <w:sz w:val="21"/>
        </w:rPr>
        <w:t>fail.  For</w:t>
      </w:r>
      <w:r>
        <w:rPr>
          <w:spacing w:val="-6"/>
          <w:sz w:val="21"/>
        </w:rPr>
        <w:t> </w:t>
      </w:r>
      <w:r>
        <w:rPr>
          <w:sz w:val="21"/>
        </w:rPr>
        <w:t>example,</w:t>
      </w:r>
    </w:p>
    <w:p>
      <w:pPr>
        <w:spacing w:line="240" w:lineRule="exact" w:before="0"/>
        <w:ind w:left="135" w:right="0" w:hanging="4"/>
        <w:jc w:val="both"/>
        <w:rPr>
          <w:sz w:val="21"/>
        </w:rPr>
      </w:pPr>
      <w:r>
        <w:rPr>
          <w:sz w:val="21"/>
        </w:rPr>
        <w:t>the suffi.x </w:t>
      </w:r>
      <w:r>
        <w:rPr>
          <w:i/>
          <w:w w:val="90"/>
          <w:sz w:val="38"/>
        </w:rPr>
        <w:t>xyz </w:t>
      </w:r>
      <w:r>
        <w:rPr>
          <w:sz w:val="21"/>
        </w:rPr>
        <w:t>refers </w:t>
      </w:r>
      <w:r>
        <w:rPr>
          <w:sz w:val="22"/>
        </w:rPr>
        <w:t>to </w:t>
      </w:r>
      <w:r>
        <w:rPr>
          <w:sz w:val="21"/>
        </w:rPr>
        <w:t>the contingency that </w:t>
      </w:r>
      <w:r>
        <w:rPr>
          <w:sz w:val="20"/>
        </w:rPr>
        <w:t>(y) </w:t>
      </w:r>
      <w:r>
        <w:rPr>
          <w:sz w:val="21"/>
        </w:rPr>
        <w:t>will be the second</w:t>
      </w:r>
    </w:p>
    <w:p>
      <w:pPr>
        <w:spacing w:line="290" w:lineRule="exact" w:before="0"/>
        <w:ind w:left="135" w:right="0" w:firstLine="0"/>
        <w:jc w:val="both"/>
        <w:rPr>
          <w:sz w:val="22"/>
        </w:rPr>
      </w:pPr>
      <w:r>
        <w:rPr>
          <w:sz w:val="22"/>
        </w:rPr>
        <w:t>to </w:t>
      </w:r>
      <w:r>
        <w:rPr>
          <w:sz w:val="21"/>
        </w:rPr>
        <w:t>die of  the  three  lives; the  </w:t>
      </w:r>
      <w:r>
        <w:rPr>
          <w:rFonts w:ascii="Arial"/>
          <w:sz w:val="19"/>
        </w:rPr>
        <w:t>suffix </w:t>
      </w:r>
      <w:r>
        <w:rPr>
          <w:rFonts w:ascii="Arial"/>
          <w:i/>
          <w:sz w:val="17"/>
          <w:u w:val="thick"/>
        </w:rPr>
        <w:t>xy </w:t>
      </w:r>
      <w:r>
        <w:rPr>
          <w:i/>
          <w:sz w:val="32"/>
        </w:rPr>
        <w:t>iw </w:t>
      </w:r>
      <w:r>
        <w:rPr>
          <w:sz w:val="22"/>
        </w:rPr>
        <w:t>to  </w:t>
      </w:r>
      <w:r>
        <w:rPr>
          <w:sz w:val="21"/>
        </w:rPr>
        <w:t>the  contingency </w:t>
      </w:r>
      <w:r>
        <w:rPr>
          <w:sz w:val="22"/>
        </w:rPr>
        <w:t>that</w:t>
      </w:r>
    </w:p>
    <w:p>
      <w:pPr>
        <w:spacing w:line="233" w:lineRule="exact" w:before="0"/>
        <w:ind w:left="160" w:right="0" w:firstLine="0"/>
        <w:jc w:val="both"/>
        <w:rPr>
          <w:sz w:val="20"/>
        </w:rPr>
      </w:pPr>
      <w:r>
        <w:rPr>
          <w:sz w:val="21"/>
        </w:rPr>
        <w:t>(z} will be the second </w:t>
      </w:r>
      <w:r>
        <w:rPr>
          <w:sz w:val="22"/>
        </w:rPr>
        <w:t>to </w:t>
      </w:r>
      <w:r>
        <w:rPr>
          <w:sz w:val="21"/>
        </w:rPr>
        <w:t>fail of the three statuses  </w:t>
      </w:r>
      <w:r>
        <w:rPr>
          <w:sz w:val="20"/>
          <w:u w:val="thick"/>
        </w:rPr>
        <w:t>(zy),  </w:t>
      </w:r>
      <w:r>
        <w:rPr>
          <w:sz w:val="21"/>
        </w:rPr>
        <w:t>(z),   </w:t>
      </w:r>
      <w:r>
        <w:rPr>
          <w:sz w:val="20"/>
        </w:rPr>
        <w:t>(w).</w:t>
      </w:r>
    </w:p>
    <w:p>
      <w:pPr>
        <w:pStyle w:val="ListParagraph"/>
        <w:numPr>
          <w:ilvl w:val="1"/>
          <w:numId w:val="106"/>
        </w:numPr>
        <w:tabs>
          <w:tab w:pos="579" w:val="left" w:leader="none"/>
        </w:tabs>
        <w:spacing w:line="235" w:lineRule="exact" w:before="0" w:after="0"/>
        <w:ind w:left="578" w:right="0" w:hanging="259"/>
        <w:jc w:val="left"/>
        <w:rPr>
          <w:rFonts w:ascii="Arial"/>
          <w:sz w:val="20"/>
        </w:rPr>
      </w:pPr>
      <w:r>
        <w:rPr>
          <w:sz w:val="21"/>
        </w:rPr>
        <w:t>With  contingent  term  insurances,  the  temporary   period  </w:t>
      </w:r>
      <w:r>
        <w:rPr>
          <w:spacing w:val="34"/>
          <w:sz w:val="21"/>
        </w:rPr>
        <w:t> </w:t>
      </w:r>
      <w:r>
        <w:rPr>
          <w:rFonts w:ascii="Arial"/>
          <w:sz w:val="20"/>
        </w:rPr>
        <w:t>is</w:t>
      </w:r>
    </w:p>
    <w:p>
      <w:pPr>
        <w:spacing w:line="144" w:lineRule="auto" w:before="77"/>
        <w:ind w:left="128" w:right="183" w:firstLine="0"/>
        <w:jc w:val="left"/>
        <w:rPr>
          <w:b/>
          <w:sz w:val="22"/>
        </w:rPr>
      </w:pPr>
      <w:r>
        <w:rPr>
          <w:w w:val="105"/>
          <w:sz w:val="21"/>
        </w:rPr>
        <w:t>denoted by a prefixed subscript; </w:t>
      </w:r>
      <w:r>
        <w:rPr>
          <w:spacing w:val="-3"/>
          <w:w w:val="105"/>
          <w:sz w:val="21"/>
        </w:rPr>
        <w:t>e.g., </w:t>
      </w:r>
      <w:r>
        <w:rPr>
          <w:i/>
          <w:w w:val="165"/>
          <w:sz w:val="22"/>
        </w:rPr>
        <w:t>A </w:t>
      </w:r>
      <w:r>
        <w:rPr>
          <w:i/>
          <w:w w:val="105"/>
          <w:sz w:val="22"/>
        </w:rPr>
        <w:t>. </w:t>
      </w:r>
      <w:r>
        <w:rPr>
          <w:w w:val="105"/>
          <w:sz w:val="21"/>
        </w:rPr>
        <w:t>(When the insura.nce </w:t>
      </w:r>
      <w:r>
        <w:rPr>
          <w:w w:val="100"/>
          <w:sz w:val="21"/>
        </w:rPr>
        <w:t>is </w:t>
      </w:r>
      <w:r>
        <w:rPr>
          <w:w w:val="100"/>
          <w:sz w:val="21"/>
        </w:rPr>
        <w:t>contingent </w:t>
      </w:r>
      <w:r>
        <w:rPr>
          <w:w w:val="99"/>
          <w:sz w:val="21"/>
        </w:rPr>
        <w:t>upon  </w:t>
      </w:r>
      <w:r>
        <w:rPr>
          <w:w w:val="109"/>
          <w:sz w:val="21"/>
        </w:rPr>
        <w:t>the </w:t>
      </w:r>
      <w:r>
        <w:rPr>
          <w:w w:val="104"/>
          <w:sz w:val="20"/>
        </w:rPr>
        <w:t>first </w:t>
      </w:r>
      <w:r>
        <w:rPr>
          <w:w w:val="103"/>
          <w:sz w:val="21"/>
        </w:rPr>
        <w:t>death, </w:t>
      </w:r>
      <w:r>
        <w:rPr>
          <w:w w:val="96"/>
          <w:sz w:val="21"/>
        </w:rPr>
        <w:t>however, </w:t>
      </w:r>
      <w:r>
        <w:rPr>
          <w:w w:val="101"/>
          <w:sz w:val="21"/>
        </w:rPr>
        <w:t>either </w:t>
      </w:r>
      <w:r>
        <w:rPr>
          <w:i/>
          <w:spacing w:val="-34"/>
          <w:w w:val="94"/>
          <w:sz w:val="32"/>
        </w:rPr>
        <w:t>.A!w </w:t>
      </w:r>
      <w:r>
        <w:rPr>
          <w:spacing w:val="-34"/>
          <w:w w:val="104"/>
          <w:sz w:val="21"/>
        </w:rPr>
        <w:t>or </w:t>
      </w:r>
      <w:r>
        <w:rPr>
          <w:w w:val="104"/>
          <w:sz w:val="21"/>
        </w:rPr>
        <w:t> </w:t>
      </w:r>
      <w:r>
        <w:rPr>
          <w:b/>
          <w:spacing w:val="-2"/>
          <w:w w:val="78"/>
          <w:sz w:val="22"/>
        </w:rPr>
        <w:t>A!w:-;i</w:t>
      </w:r>
    </w:p>
    <w:p>
      <w:pPr>
        <w:spacing w:line="232" w:lineRule="auto" w:before="6"/>
        <w:ind w:left="121" w:right="164" w:firstLine="7"/>
        <w:jc w:val="both"/>
        <w:rPr>
          <w:i/>
          <w:sz w:val="22"/>
        </w:rPr>
      </w:pPr>
      <w:r>
        <w:rPr>
          <w:sz w:val="21"/>
        </w:rPr>
        <w:t>is correct.) This device </w:t>
      </w:r>
      <w:r>
        <w:rPr>
          <w:rFonts w:ascii="Arial" w:hAnsi="Arial"/>
          <w:sz w:val="19"/>
        </w:rPr>
        <w:t>is </w:t>
      </w:r>
      <w:r>
        <w:rPr>
          <w:sz w:val="21"/>
        </w:rPr>
        <w:t>sometimes used as an alternative notation under other circumstances. For example, the symbol </w:t>
      </w:r>
      <w:r>
        <w:rPr>
          <w:w w:val="120"/>
          <w:sz w:val="15"/>
        </w:rPr>
        <w:t>as:,ij </w:t>
      </w:r>
      <w:r>
        <w:rPr>
          <w:sz w:val="21"/>
        </w:rPr>
        <w:t>is sometimes written  </w:t>
      </w:r>
      <w:r>
        <w:rPr>
          <w:rFonts w:ascii="Arial" w:hAnsi="Arial"/>
          <w:b/>
          <w:i/>
          <w:sz w:val="23"/>
        </w:rPr>
        <w:t>"ªs , </w:t>
      </w:r>
      <w:r>
        <w:rPr>
          <w:sz w:val="21"/>
        </w:rPr>
        <w:t>and </w:t>
      </w:r>
      <w:r>
        <w:rPr>
          <w:rFonts w:ascii="Arial" w:hAnsi="Arial"/>
          <w:sz w:val="21"/>
        </w:rPr>
        <w:t>A!:iil </w:t>
      </w:r>
      <w:r>
        <w:rPr>
          <w:sz w:val="21"/>
        </w:rPr>
        <w:t>is sometimes written  </w:t>
      </w:r>
      <w:r>
        <w:rPr>
          <w:i/>
          <w:sz w:val="22"/>
        </w:rPr>
        <w:t>nAz </w:t>
      </w:r>
      <w:r>
        <w:rPr>
          <w:i/>
          <w:w w:val="120"/>
          <w:sz w:val="22"/>
        </w:rPr>
        <w:t>.</w:t>
      </w:r>
    </w:p>
    <w:p>
      <w:pPr>
        <w:pStyle w:val="ListParagraph"/>
        <w:numPr>
          <w:ilvl w:val="1"/>
          <w:numId w:val="106"/>
        </w:numPr>
        <w:tabs>
          <w:tab w:pos="572" w:val="left" w:leader="none"/>
        </w:tabs>
        <w:spacing w:line="232" w:lineRule="exact" w:before="0" w:after="0"/>
        <w:ind w:left="571" w:right="0" w:hanging="256"/>
        <w:jc w:val="left"/>
        <w:rPr>
          <w:sz w:val="21"/>
        </w:rPr>
      </w:pPr>
      <w:r>
        <w:rPr>
          <w:sz w:val="21"/>
        </w:rPr>
        <w:t>Contingent  commutation</w:t>
      </w:r>
      <w:r>
        <w:rPr>
          <w:spacing w:val="50"/>
          <w:sz w:val="21"/>
        </w:rPr>
        <w:t> </w:t>
      </w:r>
      <w:r>
        <w:rPr>
          <w:sz w:val="21"/>
        </w:rPr>
        <w:t>functions:</w:t>
      </w:r>
    </w:p>
    <w:p>
      <w:pPr>
        <w:pStyle w:val="BodyText"/>
        <w:spacing w:before="10"/>
        <w:rPr>
          <w:sz w:val="8"/>
        </w:rPr>
      </w:pPr>
      <w:r>
        <w:rPr/>
        <w:drawing>
          <wp:anchor distT="0" distB="0" distL="0" distR="0" allowOverlap="1" layoutInCell="1" locked="0" behindDoc="0" simplePos="0" relativeHeight="19336">
            <wp:simplePos x="0" y="0"/>
            <wp:positionH relativeFrom="page">
              <wp:posOffset>868680</wp:posOffset>
            </wp:positionH>
            <wp:positionV relativeFrom="paragraph">
              <wp:posOffset>90027</wp:posOffset>
            </wp:positionV>
            <wp:extent cx="2889504" cy="301751"/>
            <wp:effectExtent l="0" t="0" r="0" b="0"/>
            <wp:wrapTopAndBottom/>
            <wp:docPr id="563" name="image287.png" descr=""/>
            <wp:cNvGraphicFramePr>
              <a:graphicFrameLocks noChangeAspect="1"/>
            </wp:cNvGraphicFramePr>
            <a:graphic>
              <a:graphicData uri="http://schemas.openxmlformats.org/drawingml/2006/picture">
                <pic:pic>
                  <pic:nvPicPr>
                    <pic:cNvPr id="564" name="image287.png"/>
                    <pic:cNvPicPr/>
                  </pic:nvPicPr>
                  <pic:blipFill>
                    <a:blip r:embed="rId291" cstate="print"/>
                    <a:stretch>
                      <a:fillRect/>
                    </a:stretch>
                  </pic:blipFill>
                  <pic:spPr>
                    <a:xfrm>
                      <a:off x="0" y="0"/>
                      <a:ext cx="2889504" cy="301751"/>
                    </a:xfrm>
                    <a:prstGeom prst="rect">
                      <a:avLst/>
                    </a:prstGeom>
                  </pic:spPr>
                </pic:pic>
              </a:graphicData>
            </a:graphic>
          </wp:anchor>
        </w:drawing>
      </w:r>
      <w:r>
        <w:rPr/>
        <w:drawing>
          <wp:anchor distT="0" distB="0" distL="0" distR="0" allowOverlap="1" layoutInCell="1" locked="0" behindDoc="0" simplePos="0" relativeHeight="19360">
            <wp:simplePos x="0" y="0"/>
            <wp:positionH relativeFrom="page">
              <wp:posOffset>1243583</wp:posOffset>
            </wp:positionH>
            <wp:positionV relativeFrom="paragraph">
              <wp:posOffset>501507</wp:posOffset>
            </wp:positionV>
            <wp:extent cx="2157984" cy="301751"/>
            <wp:effectExtent l="0" t="0" r="0" b="0"/>
            <wp:wrapTopAndBottom/>
            <wp:docPr id="565" name="image288.png" descr=""/>
            <wp:cNvGraphicFramePr>
              <a:graphicFrameLocks noChangeAspect="1"/>
            </wp:cNvGraphicFramePr>
            <a:graphic>
              <a:graphicData uri="http://schemas.openxmlformats.org/drawingml/2006/picture">
                <pic:pic>
                  <pic:nvPicPr>
                    <pic:cNvPr id="566" name="image288.png"/>
                    <pic:cNvPicPr/>
                  </pic:nvPicPr>
                  <pic:blipFill>
                    <a:blip r:embed="rId292" cstate="print"/>
                    <a:stretch>
                      <a:fillRect/>
                    </a:stretch>
                  </pic:blipFill>
                  <pic:spPr>
                    <a:xfrm>
                      <a:off x="0" y="0"/>
                      <a:ext cx="2157984" cy="301751"/>
                    </a:xfrm>
                    <a:prstGeom prst="rect">
                      <a:avLst/>
                    </a:prstGeom>
                  </pic:spPr>
                </pic:pic>
              </a:graphicData>
            </a:graphic>
          </wp:anchor>
        </w:drawing>
      </w:r>
    </w:p>
    <w:p>
      <w:pPr>
        <w:pStyle w:val="BodyText"/>
        <w:spacing w:before="1"/>
        <w:rPr>
          <w:sz w:val="9"/>
        </w:rPr>
      </w:pPr>
    </w:p>
    <w:p>
      <w:pPr>
        <w:spacing w:line="309" w:lineRule="exact" w:before="79"/>
        <w:ind w:left="110" w:right="0" w:firstLine="0"/>
        <w:jc w:val="both"/>
        <w:rPr>
          <w:sz w:val="21"/>
        </w:rPr>
      </w:pPr>
      <w:r>
        <w:rPr>
          <w:sz w:val="21"/>
        </w:rPr>
        <w:t>The functions </w:t>
      </w:r>
      <w:r>
        <w:rPr>
          <w:rFonts w:ascii="Arial"/>
          <w:b/>
          <w:i/>
          <w:sz w:val="21"/>
        </w:rPr>
        <w:t>M, </w:t>
      </w:r>
      <w:r>
        <w:rPr>
          <w:b/>
          <w:i/>
          <w:w w:val="95"/>
          <w:sz w:val="27"/>
        </w:rPr>
        <w:t>M , </w:t>
      </w:r>
      <w:r>
        <w:rPr>
          <w:rFonts w:ascii="Arial"/>
          <w:b/>
          <w:i/>
          <w:sz w:val="21"/>
        </w:rPr>
        <w:t>R, </w:t>
      </w:r>
      <w:r>
        <w:rPr>
          <w:b/>
          <w:i/>
          <w:w w:val="95"/>
          <w:sz w:val="27"/>
        </w:rPr>
        <w:t>R </w:t>
      </w:r>
      <w:r>
        <w:rPr>
          <w:sz w:val="21"/>
        </w:rPr>
        <w:t>are obtained by summation in the usual</w:t>
      </w:r>
    </w:p>
    <w:p>
      <w:pPr>
        <w:spacing w:line="228" w:lineRule="exact" w:before="0"/>
        <w:ind w:left="110" w:right="0" w:firstLine="0"/>
        <w:jc w:val="both"/>
        <w:rPr>
          <w:b/>
          <w:sz w:val="20"/>
        </w:rPr>
      </w:pPr>
      <w:r>
        <w:rPr>
          <w:b/>
          <w:w w:val="105"/>
          <w:sz w:val="20"/>
        </w:rPr>
        <w:t>way.</w:t>
      </w:r>
    </w:p>
    <w:p>
      <w:pPr>
        <w:pStyle w:val="BodyText"/>
        <w:spacing w:before="5"/>
        <w:rPr>
          <w:b/>
          <w:sz w:val="18"/>
        </w:rPr>
      </w:pPr>
    </w:p>
    <w:p>
      <w:pPr>
        <w:spacing w:before="1"/>
        <w:ind w:left="110" w:right="0" w:firstLine="0"/>
        <w:jc w:val="both"/>
        <w:rPr>
          <w:b/>
          <w:sz w:val="20"/>
        </w:rPr>
      </w:pPr>
      <w:r>
        <w:rPr>
          <w:b/>
          <w:w w:val="110"/>
          <w:sz w:val="20"/>
        </w:rPr>
        <w:t>References</w:t>
      </w:r>
    </w:p>
    <w:p>
      <w:pPr>
        <w:spacing w:before="113"/>
        <w:ind w:left="117" w:right="183" w:firstLine="201"/>
        <w:jc w:val="left"/>
        <w:rPr>
          <w:sz w:val="21"/>
        </w:rPr>
      </w:pPr>
      <w:r>
        <w:rPr>
          <w:b/>
          <w:sz w:val="20"/>
        </w:rPr>
        <w:t>1, 2, 3, 4. </w:t>
      </w:r>
      <w:r>
        <w:rPr>
          <w:sz w:val="21"/>
        </w:rPr>
        <w:t>This  material  </w:t>
      </w:r>
      <w:r>
        <w:rPr>
          <w:rFonts w:ascii="Arial"/>
          <w:sz w:val="19"/>
        </w:rPr>
        <w:t>is </w:t>
      </w:r>
      <w:r>
        <w:rPr>
          <w:sz w:val="21"/>
        </w:rPr>
        <w:t>also  covered  by  Spurgeon  (1932) and  by  Hooker  and  Longley-Cook (1957).</w:t>
      </w:r>
    </w:p>
    <w:p>
      <w:pPr>
        <w:numPr>
          <w:ilvl w:val="0"/>
          <w:numId w:val="107"/>
        </w:numPr>
        <w:tabs>
          <w:tab w:pos="561" w:val="left" w:leader="none"/>
        </w:tabs>
        <w:spacing w:line="221" w:lineRule="exact" w:before="0"/>
        <w:ind w:left="560" w:right="0" w:hanging="245"/>
        <w:jc w:val="left"/>
        <w:rPr>
          <w:sz w:val="21"/>
        </w:rPr>
      </w:pPr>
      <w:r>
        <w:rPr/>
        <w:pict>
          <v:shape style="position:absolute;margin-left:223.919998pt;margin-top:11.046871pt;width:8.75pt;height:6pt;mso-position-horizontal-relative:page;mso-position-vertical-relative:paragraph;z-index:-716632" type="#_x0000_t202" filled="false" stroked="false">
            <v:textbox inset="0,0,0,0">
              <w:txbxContent>
                <w:p>
                  <w:pPr>
                    <w:spacing w:line="120" w:lineRule="exact" w:before="0"/>
                    <w:ind w:left="0" w:right="-16" w:firstLine="0"/>
                    <w:jc w:val="left"/>
                    <w:rPr>
                      <w:rFonts w:ascii="Arial"/>
                      <w:b/>
                      <w:sz w:val="12"/>
                    </w:rPr>
                  </w:pPr>
                  <w:r>
                    <w:rPr>
                      <w:rFonts w:ascii="Arial"/>
                      <w:b/>
                      <w:w w:val="160"/>
                      <w:sz w:val="12"/>
                    </w:rPr>
                    <w:t>-1</w:t>
                  </w:r>
                </w:p>
              </w:txbxContent>
            </v:textbox>
            <w10:wrap type="none"/>
          </v:shape>
        </w:pict>
      </w:r>
      <w:r>
        <w:rPr>
          <w:sz w:val="21"/>
        </w:rPr>
        <w:t>The  method  of  formula   (11.40)  </w:t>
      </w:r>
      <w:r>
        <w:rPr>
          <w:rFonts w:ascii="Arial"/>
          <w:sz w:val="19"/>
        </w:rPr>
        <w:t>is  </w:t>
      </w:r>
      <w:r>
        <w:rPr>
          <w:sz w:val="21"/>
        </w:rPr>
        <w:t>due  </w:t>
      </w:r>
      <w:r>
        <w:rPr>
          <w:sz w:val="22"/>
        </w:rPr>
        <w:t>to  </w:t>
      </w:r>
      <w:r>
        <w:rPr>
          <w:sz w:val="21"/>
        </w:rPr>
        <w:t>Hume  and</w:t>
      </w:r>
      <w:r>
        <w:rPr>
          <w:spacing w:val="-2"/>
          <w:sz w:val="21"/>
        </w:rPr>
        <w:t> </w:t>
      </w:r>
      <w:r>
        <w:rPr>
          <w:sz w:val="21"/>
        </w:rPr>
        <w:t>Stott</w:t>
      </w:r>
    </w:p>
    <w:p>
      <w:pPr>
        <w:spacing w:after="0" w:line="221" w:lineRule="exact"/>
        <w:jc w:val="left"/>
        <w:rPr>
          <w:sz w:val="21"/>
        </w:rPr>
        <w:sectPr>
          <w:pgSz w:w="7200" w:h="11340"/>
          <w:pgMar w:top="480" w:bottom="280" w:left="660" w:right="500"/>
        </w:sectPr>
      </w:pPr>
    </w:p>
    <w:p>
      <w:pPr>
        <w:spacing w:before="20"/>
        <w:ind w:left="150" w:right="-15" w:firstLine="0"/>
        <w:jc w:val="left"/>
        <w:rPr>
          <w:sz w:val="21"/>
        </w:rPr>
      </w:pPr>
      <w:r>
        <w:rPr>
          <w:sz w:val="21"/>
        </w:rPr>
        <w:t>(1905).  Another  method  of   evaluating</w:t>
      </w:r>
    </w:p>
    <w:p>
      <w:pPr>
        <w:spacing w:line="265" w:lineRule="exact" w:before="20"/>
        <w:ind w:left="102" w:right="0" w:firstLine="0"/>
        <w:jc w:val="left"/>
        <w:rPr>
          <w:sz w:val="21"/>
        </w:rPr>
      </w:pPr>
      <w:r>
        <w:rPr/>
        <w:br w:type="column"/>
      </w:r>
      <w:r>
        <w:rPr>
          <w:w w:val="130"/>
          <w:sz w:val="13"/>
        </w:rPr>
        <w:t>Az </w:t>
      </w:r>
      <w:r>
        <w:rPr>
          <w:w w:val="130"/>
          <w:position w:val="-4"/>
          <w:sz w:val="11"/>
        </w:rPr>
        <w:t>1</w:t>
      </w:r>
      <w:r>
        <w:rPr>
          <w:w w:val="130"/>
          <w:sz w:val="13"/>
        </w:rPr>
        <w:t>s</w:t>
      </w:r>
      <w:r>
        <w:rPr>
          <w:w w:val="130"/>
          <w:position w:val="-4"/>
          <w:sz w:val="11"/>
        </w:rPr>
        <w:t>1</w:t>
      </w:r>
      <w:r>
        <w:rPr>
          <w:w w:val="130"/>
          <w:sz w:val="13"/>
        </w:rPr>
        <w:t>,.,s,,.  </w:t>
      </w:r>
      <w:r>
        <w:rPr>
          <w:w w:val="120"/>
          <w:sz w:val="21"/>
        </w:rPr>
        <w:t>under Make-</w:t>
      </w:r>
    </w:p>
    <w:p>
      <w:pPr>
        <w:spacing w:after="0" w:line="265" w:lineRule="exact"/>
        <w:jc w:val="left"/>
        <w:rPr>
          <w:sz w:val="21"/>
        </w:rPr>
        <w:sectPr>
          <w:type w:val="continuous"/>
          <w:pgSz w:w="7200" w:h="11340"/>
          <w:pgMar w:top="1100" w:bottom="0" w:left="660" w:right="500"/>
          <w:cols w:num="2" w:equalWidth="0">
            <w:col w:w="3608" w:space="40"/>
            <w:col w:w="2392"/>
          </w:cols>
        </w:sectPr>
      </w:pPr>
    </w:p>
    <w:p>
      <w:pPr>
        <w:spacing w:line="212" w:lineRule="exact" w:before="0"/>
        <w:ind w:left="121" w:right="0" w:hanging="15"/>
        <w:jc w:val="both"/>
        <w:rPr>
          <w:sz w:val="21"/>
        </w:rPr>
      </w:pPr>
      <w:r>
        <w:rPr>
          <w:sz w:val="21"/>
        </w:rPr>
        <w:t>ham's law was given by Evans  (1925)  and may </w:t>
      </w:r>
      <w:r>
        <w:rPr>
          <w:sz w:val="20"/>
        </w:rPr>
        <w:t>be </w:t>
      </w:r>
      <w:r>
        <w:rPr>
          <w:sz w:val="21"/>
        </w:rPr>
        <w:t>seen in   Hooker</w:t>
      </w:r>
    </w:p>
    <w:p>
      <w:pPr>
        <w:spacing w:line="235" w:lineRule="auto" w:before="2"/>
        <w:ind w:left="114" w:right="186" w:firstLine="7"/>
        <w:jc w:val="both"/>
        <w:rPr>
          <w:sz w:val="21"/>
        </w:rPr>
      </w:pPr>
      <w:r>
        <w:rPr>
          <w:sz w:val="21"/>
        </w:rPr>
        <w:t>and Longley-Cook (1957), page 147. A paper by Groeschell a.nd Snell (1951) shows how Evans' method </w:t>
      </w:r>
      <w:r>
        <w:rPr>
          <w:rFonts w:ascii="Arial"/>
          <w:sz w:val="19"/>
        </w:rPr>
        <w:t>is </w:t>
      </w:r>
      <w:r>
        <w:rPr>
          <w:sz w:val="21"/>
        </w:rPr>
        <w:t>applied  </w:t>
      </w:r>
      <w:r>
        <w:rPr>
          <w:sz w:val="22"/>
        </w:rPr>
        <w:t>to </w:t>
      </w:r>
      <w:r>
        <w:rPr>
          <w:sz w:val="21"/>
        </w:rPr>
        <w:t>the valuation of reversionary interests for taxation purposes. The numerical illustrations in this paper,  comparing the results of  Eva.ns'  method</w:t>
      </w:r>
    </w:p>
    <w:p>
      <w:pPr>
        <w:spacing w:after="0" w:line="235" w:lineRule="auto"/>
        <w:jc w:val="both"/>
        <w:rPr>
          <w:sz w:val="21"/>
        </w:rPr>
        <w:sectPr>
          <w:type w:val="continuous"/>
          <w:pgSz w:w="7200" w:h="11340"/>
          <w:pgMar w:top="1100" w:bottom="0" w:left="660" w:right="500"/>
        </w:sectPr>
      </w:pPr>
    </w:p>
    <w:p>
      <w:pPr>
        <w:tabs>
          <w:tab w:pos="5932" w:val="right" w:leader="none"/>
        </w:tabs>
        <w:spacing w:before="67"/>
        <w:ind w:left="2616" w:right="0" w:firstLine="0"/>
        <w:jc w:val="left"/>
        <w:rPr>
          <w:b/>
          <w:sz w:val="20"/>
        </w:rPr>
      </w:pPr>
      <w:r>
        <w:rPr>
          <w:b/>
          <w:sz w:val="15"/>
        </w:rPr>
        <w:t>EXERCISES</w:t>
      </w:r>
      <w:r>
        <w:rPr>
          <w:b/>
          <w:sz w:val="20"/>
        </w:rPr>
        <w:tab/>
        <w:t>241</w:t>
      </w:r>
    </w:p>
    <w:p>
      <w:pPr>
        <w:pStyle w:val="BodyText"/>
        <w:rPr>
          <w:b/>
        </w:rPr>
      </w:pPr>
    </w:p>
    <w:p>
      <w:pPr>
        <w:spacing w:line="252" w:lineRule="exact" w:before="0"/>
        <w:ind w:left="190" w:right="0" w:firstLine="0"/>
        <w:jc w:val="both"/>
        <w:rPr>
          <w:sz w:val="22"/>
        </w:rPr>
      </w:pPr>
      <w:r>
        <w:rPr>
          <w:sz w:val="21"/>
        </w:rPr>
        <w:t>with others described  in the present  cha.pter, will be of  interest  </w:t>
      </w:r>
      <w:r>
        <w:rPr>
          <w:sz w:val="22"/>
        </w:rPr>
        <w:t>to</w:t>
      </w:r>
    </w:p>
    <w:p>
      <w:pPr>
        <w:spacing w:line="238" w:lineRule="exact" w:before="0"/>
        <w:ind w:left="190" w:right="0" w:firstLine="0"/>
        <w:jc w:val="both"/>
        <w:rPr>
          <w:sz w:val="21"/>
        </w:rPr>
      </w:pPr>
      <w:r>
        <w:rPr>
          <w:w w:val="105"/>
          <w:sz w:val="21"/>
        </w:rPr>
        <w:t>students.</w:t>
      </w:r>
    </w:p>
    <w:p>
      <w:pPr>
        <w:spacing w:line="242" w:lineRule="auto" w:before="0"/>
        <w:ind w:left="190" w:right="162" w:firstLine="198"/>
        <w:jc w:val="both"/>
        <w:rPr>
          <w:sz w:val="21"/>
        </w:rPr>
      </w:pPr>
      <w:r>
        <w:rPr>
          <w:sz w:val="21"/>
        </w:rPr>
        <w:t>Spurgeon </w:t>
      </w:r>
      <w:r>
        <w:rPr>
          <w:spacing w:val="-3"/>
          <w:sz w:val="21"/>
        </w:rPr>
        <w:t>(1932) </w:t>
      </w:r>
      <w:r>
        <w:rPr>
          <w:sz w:val="21"/>
        </w:rPr>
        <w:t>a.nd Hooker and Longley-Cook </w:t>
      </w:r>
      <w:r>
        <w:rPr>
          <w:spacing w:val="-7"/>
          <w:sz w:val="21"/>
        </w:rPr>
        <w:t>(1957) </w:t>
      </w:r>
      <w:r>
        <w:rPr>
          <w:sz w:val="21"/>
        </w:rPr>
        <w:t>de­  scribe severa.l other a.pproxima.te methods of evaluation. Sorne of these form the base.s for .Exercises 5, 6, </w:t>
      </w:r>
      <w:r>
        <w:rPr>
          <w:spacing w:val="-17"/>
          <w:sz w:val="21"/>
        </w:rPr>
        <w:t>19,  </w:t>
      </w:r>
      <w:r>
        <w:rPr>
          <w:sz w:val="21"/>
        </w:rPr>
        <w:t>20, and </w:t>
      </w:r>
      <w:r>
        <w:rPr>
          <w:spacing w:val="29"/>
          <w:sz w:val="21"/>
        </w:rPr>
        <w:t> </w:t>
      </w:r>
      <w:r>
        <w:rPr>
          <w:sz w:val="21"/>
        </w:rPr>
        <w:t>21.</w:t>
      </w:r>
    </w:p>
    <w:p>
      <w:pPr>
        <w:pStyle w:val="ListParagraph"/>
        <w:numPr>
          <w:ilvl w:val="0"/>
          <w:numId w:val="107"/>
        </w:numPr>
        <w:tabs>
          <w:tab w:pos="641" w:val="left" w:leader="none"/>
        </w:tabs>
        <w:spacing w:line="234" w:lineRule="exact" w:before="0" w:after="0"/>
        <w:ind w:left="640" w:right="0" w:hanging="248"/>
        <w:jc w:val="both"/>
        <w:rPr>
          <w:sz w:val="22"/>
        </w:rPr>
      </w:pPr>
      <w:r>
        <w:rPr>
          <w:sz w:val="21"/>
        </w:rPr>
        <w:t>The  family-type  policy  currently  issued  by  many</w:t>
      </w:r>
      <w:r>
        <w:rPr>
          <w:spacing w:val="5"/>
          <w:sz w:val="21"/>
        </w:rPr>
        <w:t> </w:t>
      </w:r>
      <w:r>
        <w:rPr>
          <w:sz w:val="21"/>
        </w:rPr>
        <w:t>insurance</w:t>
      </w:r>
    </w:p>
    <w:p>
      <w:pPr>
        <w:spacing w:line="235" w:lineRule="auto" w:before="5"/>
        <w:ind w:left="190" w:right="142" w:firstLine="3"/>
        <w:jc w:val="both"/>
        <w:rPr>
          <w:sz w:val="21"/>
        </w:rPr>
      </w:pPr>
      <w:r>
        <w:rPr>
          <w:sz w:val="21"/>
        </w:rPr>
        <w:t>compa.nies affords an interesting application of contingent in­ surance principies. A paper by Samoff (1958)  discusses  this  policy, with special </w:t>
      </w:r>
      <w:r>
        <w:rPr>
          <w:spacing w:val="3"/>
          <w:sz w:val="21"/>
        </w:rPr>
        <w:t>reference </w:t>
      </w:r>
      <w:r>
        <w:rPr>
          <w:sz w:val="22"/>
        </w:rPr>
        <w:t>to </w:t>
      </w:r>
      <w:r>
        <w:rPr>
          <w:sz w:val="21"/>
        </w:rPr>
        <w:t>the problem of</w:t>
      </w:r>
      <w:r>
        <w:rPr>
          <w:spacing w:val="23"/>
          <w:sz w:val="21"/>
        </w:rPr>
        <w:t> </w:t>
      </w:r>
      <w:r>
        <w:rPr>
          <w:sz w:val="21"/>
        </w:rPr>
        <w:t>valuation.</w:t>
      </w:r>
    </w:p>
    <w:p>
      <w:pPr>
        <w:spacing w:before="176"/>
        <w:ind w:left="64" w:right="29" w:firstLine="0"/>
        <w:jc w:val="center"/>
        <w:rPr>
          <w:sz w:val="17"/>
        </w:rPr>
      </w:pPr>
      <w:r>
        <w:rPr>
          <w:w w:val="145"/>
          <w:sz w:val="17"/>
        </w:rPr>
        <w:t>EXERCIS</w:t>
      </w:r>
    </w:p>
    <w:p>
      <w:pPr>
        <w:pStyle w:val="BodyText"/>
        <w:spacing w:before="3"/>
        <w:rPr>
          <w:sz w:val="14"/>
        </w:rPr>
      </w:pPr>
    </w:p>
    <w:p>
      <w:pPr>
        <w:spacing w:before="0"/>
        <w:ind w:left="197" w:right="0" w:firstLine="0"/>
        <w:jc w:val="both"/>
        <w:rPr>
          <w:b/>
          <w:sz w:val="17"/>
        </w:rPr>
      </w:pPr>
      <w:r>
        <w:rPr>
          <w:w w:val="120"/>
          <w:sz w:val="17"/>
        </w:rPr>
        <w:t>I, </w:t>
      </w:r>
      <w:r>
        <w:rPr>
          <w:rFonts w:ascii="Arial"/>
          <w:b/>
          <w:w w:val="120"/>
          <w:sz w:val="16"/>
        </w:rPr>
        <w:t>2. </w:t>
      </w:r>
      <w:r>
        <w:rPr>
          <w:b/>
          <w:w w:val="120"/>
          <w:sz w:val="17"/>
        </w:rPr>
        <w:t>Contingent probabilitiee</w:t>
      </w:r>
    </w:p>
    <w:p>
      <w:pPr>
        <w:pStyle w:val="ListParagraph"/>
        <w:numPr>
          <w:ilvl w:val="0"/>
          <w:numId w:val="108"/>
        </w:numPr>
        <w:tabs>
          <w:tab w:pos="569" w:val="left" w:leader="none"/>
        </w:tabs>
        <w:spacing w:line="253" w:lineRule="exact" w:before="72" w:after="0"/>
        <w:ind w:left="197" w:right="0" w:firstLine="166"/>
        <w:jc w:val="left"/>
        <w:rPr>
          <w:rFonts w:ascii="Arial" w:hAnsi="Arial"/>
          <w:sz w:val="18"/>
        </w:rPr>
      </w:pPr>
      <w:r>
        <w:rPr/>
        <w:pict>
          <v:shape style="position:absolute;margin-left:110.339996pt;margin-top:3.430632pt;width:3.25pt;height:5.5pt;mso-position-horizontal-relative:page;mso-position-vertical-relative:paragraph;z-index:-716584" type="#_x0000_t202" filled="false" stroked="false">
            <v:textbox inset="0,0,0,0">
              <w:txbxContent>
                <w:p>
                  <w:pPr>
                    <w:spacing w:line="110" w:lineRule="exact" w:before="0"/>
                    <w:ind w:left="0" w:right="0" w:firstLine="0"/>
                    <w:jc w:val="left"/>
                    <w:rPr>
                      <w:b/>
                      <w:sz w:val="11"/>
                    </w:rPr>
                  </w:pPr>
                  <w:r>
                    <w:rPr>
                      <w:b/>
                      <w:w w:val="117"/>
                      <w:sz w:val="11"/>
                    </w:rPr>
                    <w:t>1</w:t>
                  </w:r>
                </w:p>
              </w:txbxContent>
            </v:textbox>
            <w10:wrap type="none"/>
          </v:shape>
        </w:pict>
      </w:r>
      <w:r>
        <w:rPr>
          <w:w w:val="110"/>
          <w:sz w:val="18"/>
        </w:rPr>
        <w:t>Show that </w:t>
      </w:r>
      <w:r>
        <w:rPr>
          <w:rFonts w:ascii="Arial" w:hAnsi="Arial"/>
          <w:spacing w:val="-3"/>
          <w:w w:val="165"/>
          <w:sz w:val="13"/>
        </w:rPr>
        <w:t>•qii:. </w:t>
      </w:r>
      <w:r>
        <w:rPr>
          <w:w w:val="110"/>
          <w:sz w:val="23"/>
        </w:rPr>
        <w:t>=</w:t>
      </w:r>
      <w:r>
        <w:rPr>
          <w:spacing w:val="16"/>
          <w:w w:val="110"/>
          <w:sz w:val="23"/>
        </w:rPr>
        <w:t> </w:t>
      </w:r>
      <w:r>
        <w:rPr>
          <w:rFonts w:ascii="Arial" w:hAnsi="Arial"/>
          <w:spacing w:val="2"/>
          <w:w w:val="110"/>
          <w:sz w:val="20"/>
        </w:rPr>
        <w:t>%.</w:t>
      </w:r>
    </w:p>
    <w:p>
      <w:pPr>
        <w:pStyle w:val="ListParagraph"/>
        <w:numPr>
          <w:ilvl w:val="0"/>
          <w:numId w:val="108"/>
        </w:numPr>
        <w:tabs>
          <w:tab w:pos="565" w:val="left" w:leader="none"/>
        </w:tabs>
        <w:spacing w:line="235" w:lineRule="auto" w:before="0" w:after="0"/>
        <w:ind w:left="197" w:right="139" w:firstLine="159"/>
        <w:jc w:val="both"/>
        <w:rPr>
          <w:sz w:val="17"/>
        </w:rPr>
      </w:pPr>
      <w:r>
        <w:rPr>
          <w:w w:val="105"/>
          <w:sz w:val="18"/>
        </w:rPr>
        <w:t>Given the three lives </w:t>
      </w:r>
      <w:r>
        <w:rPr>
          <w:rFonts w:ascii="Arial" w:hAnsi="Arial"/>
          <w:i/>
          <w:w w:val="105"/>
          <w:sz w:val="17"/>
        </w:rPr>
        <w:t>A, B, C, </w:t>
      </w:r>
      <w:r>
        <w:rPr>
          <w:w w:val="105"/>
          <w:sz w:val="18"/>
        </w:rPr>
        <w:t>ali aged </w:t>
      </w:r>
      <w:r>
        <w:rPr>
          <w:i/>
          <w:w w:val="105"/>
          <w:sz w:val="18"/>
        </w:rPr>
        <w:t>x. </w:t>
      </w:r>
      <w:r>
        <w:rPr>
          <w:w w:val="105"/>
          <w:sz w:val="18"/>
        </w:rPr>
        <w:t>Write an expression in terms of </w:t>
      </w:r>
      <w:r>
        <w:rPr>
          <w:i/>
          <w:w w:val="105"/>
          <w:sz w:val="18"/>
        </w:rPr>
        <w:t>,.pz </w:t>
      </w:r>
      <w:r>
        <w:rPr>
          <w:w w:val="105"/>
          <w:sz w:val="18"/>
        </w:rPr>
        <w:t>for the probability that </w:t>
      </w:r>
      <w:r>
        <w:rPr>
          <w:i/>
          <w:w w:val="105"/>
          <w:sz w:val="18"/>
        </w:rPr>
        <w:t>A </w:t>
      </w:r>
      <w:r>
        <w:rPr>
          <w:w w:val="105"/>
          <w:sz w:val="18"/>
        </w:rPr>
        <w:t>and </w:t>
      </w:r>
      <w:r>
        <w:rPr>
          <w:i/>
          <w:w w:val="105"/>
          <w:sz w:val="18"/>
        </w:rPr>
        <w:t>B </w:t>
      </w:r>
      <w:r>
        <w:rPr>
          <w:w w:val="105"/>
          <w:sz w:val="17"/>
        </w:rPr>
        <w:t>will </w:t>
      </w:r>
      <w:r>
        <w:rPr>
          <w:w w:val="105"/>
          <w:sz w:val="18"/>
        </w:rPr>
        <w:t>die within </w:t>
      </w:r>
      <w:r>
        <w:rPr>
          <w:i/>
          <w:w w:val="105"/>
          <w:sz w:val="18"/>
        </w:rPr>
        <w:t>n </w:t>
      </w:r>
      <w:r>
        <w:rPr>
          <w:w w:val="105"/>
          <w:sz w:val="18"/>
        </w:rPr>
        <w:t>years, </w:t>
      </w:r>
      <w:r>
        <w:rPr>
          <w:i/>
          <w:w w:val="105"/>
          <w:sz w:val="18"/>
        </w:rPr>
        <w:t>A </w:t>
      </w:r>
      <w:r>
        <w:rPr>
          <w:w w:val="105"/>
          <w:sz w:val="18"/>
        </w:rPr>
        <w:t>predeceas­ ing </w:t>
      </w:r>
      <w:r>
        <w:rPr>
          <w:rFonts w:ascii="Arial" w:hAnsi="Arial"/>
          <w:i/>
          <w:w w:val="105"/>
          <w:sz w:val="17"/>
        </w:rPr>
        <w:t>B, </w:t>
      </w:r>
      <w:r>
        <w:rPr>
          <w:w w:val="105"/>
          <w:sz w:val="18"/>
        </w:rPr>
        <w:t>and  that  </w:t>
      </w:r>
      <w:r>
        <w:rPr>
          <w:rFonts w:ascii="Arial" w:hAnsi="Arial"/>
          <w:i/>
          <w:w w:val="105"/>
          <w:sz w:val="17"/>
        </w:rPr>
        <w:t>C </w:t>
      </w:r>
      <w:r>
        <w:rPr>
          <w:w w:val="105"/>
          <w:sz w:val="17"/>
        </w:rPr>
        <w:t>will  </w:t>
      </w:r>
      <w:r>
        <w:rPr>
          <w:w w:val="105"/>
          <w:sz w:val="18"/>
        </w:rPr>
        <w:t>survive for </w:t>
      </w:r>
      <w:r>
        <w:rPr>
          <w:i/>
          <w:w w:val="105"/>
          <w:sz w:val="18"/>
        </w:rPr>
        <w:t>n </w:t>
      </w:r>
      <w:r>
        <w:rPr>
          <w:i/>
          <w:spacing w:val="3"/>
          <w:w w:val="105"/>
          <w:sz w:val="18"/>
        </w:rPr>
        <w:t> </w:t>
      </w:r>
      <w:r>
        <w:rPr>
          <w:w w:val="105"/>
          <w:sz w:val="18"/>
        </w:rPr>
        <w:t>years.</w:t>
      </w:r>
    </w:p>
    <w:p>
      <w:pPr>
        <w:pStyle w:val="ListParagraph"/>
        <w:numPr>
          <w:ilvl w:val="0"/>
          <w:numId w:val="108"/>
        </w:numPr>
        <w:tabs>
          <w:tab w:pos="569" w:val="left" w:leader="none"/>
        </w:tabs>
        <w:spacing w:line="168" w:lineRule="exact" w:before="0" w:after="0"/>
        <w:ind w:left="568" w:right="0" w:hanging="216"/>
        <w:jc w:val="left"/>
        <w:rPr>
          <w:sz w:val="17"/>
        </w:rPr>
      </w:pPr>
      <w:r>
        <w:rPr>
          <w:w w:val="102"/>
          <w:sz w:val="18"/>
        </w:rPr>
        <w:t>Give</w:t>
      </w:r>
      <w:r>
        <w:rPr>
          <w:spacing w:val="-29"/>
          <w:w w:val="103"/>
          <w:sz w:val="18"/>
        </w:rPr>
        <w:t>n</w:t>
      </w:r>
      <w:r>
        <w:rPr>
          <w:spacing w:val="-182"/>
          <w:w w:val="290"/>
          <w:sz w:val="24"/>
        </w:rPr>
        <w:t>.</w:t>
      </w:r>
      <w:r>
        <w:rPr>
          <w:spacing w:val="-76"/>
          <w:w w:val="66"/>
          <w:sz w:val="24"/>
        </w:rPr>
        <w:t>q</w:t>
      </w:r>
      <w:r>
        <w:rPr>
          <w:spacing w:val="-180"/>
          <w:w w:val="215"/>
          <w:sz w:val="24"/>
        </w:rPr>
        <w:t>!</w:t>
      </w:r>
      <w:r>
        <w:rPr>
          <w:w w:val="74"/>
          <w:position w:val="-2"/>
          <w:sz w:val="10"/>
        </w:rPr>
        <w:t>11</w:t>
      </w:r>
      <w:r>
        <w:rPr>
          <w:position w:val="-2"/>
          <w:sz w:val="10"/>
        </w:rPr>
        <w:t>  </w:t>
      </w:r>
      <w:r>
        <w:rPr>
          <w:spacing w:val="-9"/>
          <w:position w:val="-2"/>
          <w:sz w:val="10"/>
        </w:rPr>
        <w:t> </w:t>
      </w:r>
      <w:r>
        <w:rPr>
          <w:w w:val="86"/>
          <w:sz w:val="23"/>
        </w:rPr>
        <w:t>=</w:t>
      </w:r>
      <w:r>
        <w:rPr>
          <w:sz w:val="23"/>
        </w:rPr>
        <w:t> </w:t>
      </w:r>
      <w:r>
        <w:rPr>
          <w:spacing w:val="-23"/>
          <w:sz w:val="23"/>
        </w:rPr>
        <w:t> </w:t>
      </w:r>
      <w:r>
        <w:rPr>
          <w:w w:val="109"/>
          <w:sz w:val="17"/>
        </w:rPr>
        <w:t>.4,</w:t>
      </w:r>
      <w:r>
        <w:rPr>
          <w:sz w:val="17"/>
        </w:rPr>
        <w:t>   </w:t>
      </w:r>
      <w:r>
        <w:rPr>
          <w:i/>
          <w:spacing w:val="-13"/>
          <w:w w:val="68"/>
          <w:sz w:val="25"/>
        </w:rPr>
        <w:t>q</w:t>
      </w:r>
      <w:r>
        <w:rPr>
          <w:i/>
          <w:w w:val="107"/>
          <w:sz w:val="25"/>
        </w:rPr>
        <w:t>!.</w:t>
      </w:r>
      <w:r>
        <w:rPr>
          <w:i/>
          <w:spacing w:val="-30"/>
          <w:sz w:val="25"/>
        </w:rPr>
        <w:t> </w:t>
      </w:r>
      <w:r>
        <w:rPr>
          <w:w w:val="86"/>
          <w:sz w:val="23"/>
        </w:rPr>
        <w:t>=</w:t>
      </w:r>
      <w:r>
        <w:rPr>
          <w:sz w:val="23"/>
        </w:rPr>
        <w:t> </w:t>
      </w:r>
      <w:r>
        <w:rPr>
          <w:spacing w:val="-19"/>
          <w:sz w:val="23"/>
        </w:rPr>
        <w:t> </w:t>
      </w:r>
      <w:r>
        <w:rPr>
          <w:w w:val="104"/>
          <w:sz w:val="17"/>
        </w:rPr>
        <w:t>.5,</w:t>
      </w:r>
      <w:r>
        <w:rPr>
          <w:spacing w:val="11"/>
          <w:sz w:val="17"/>
        </w:rPr>
        <w:t> </w:t>
      </w:r>
      <w:r>
        <w:rPr>
          <w:w w:val="105"/>
          <w:sz w:val="18"/>
        </w:rPr>
        <w:t>and</w:t>
      </w:r>
      <w:r>
        <w:rPr>
          <w:spacing w:val="14"/>
          <w:sz w:val="18"/>
        </w:rPr>
        <w:t> </w:t>
      </w:r>
      <w:r>
        <w:rPr>
          <w:b/>
          <w:i/>
          <w:spacing w:val="-28"/>
          <w:w w:val="201"/>
          <w:sz w:val="22"/>
        </w:rPr>
        <w:t>.</w:t>
      </w:r>
      <w:r>
        <w:rPr>
          <w:b/>
          <w:i/>
          <w:w w:val="85"/>
          <w:sz w:val="22"/>
        </w:rPr>
        <w:t>q!,.</w:t>
      </w:r>
      <w:r>
        <w:rPr>
          <w:b/>
          <w:i/>
          <w:spacing w:val="2"/>
          <w:sz w:val="22"/>
        </w:rPr>
        <w:t> </w:t>
      </w:r>
      <w:r>
        <w:rPr>
          <w:w w:val="89"/>
          <w:sz w:val="23"/>
        </w:rPr>
        <w:t>=</w:t>
      </w:r>
      <w:r>
        <w:rPr>
          <w:sz w:val="23"/>
        </w:rPr>
        <w:t> </w:t>
      </w:r>
      <w:r>
        <w:rPr>
          <w:spacing w:val="-27"/>
          <w:sz w:val="23"/>
        </w:rPr>
        <w:t> </w:t>
      </w:r>
      <w:r>
        <w:rPr>
          <w:spacing w:val="-35"/>
          <w:w w:val="174"/>
          <w:sz w:val="17"/>
        </w:rPr>
        <w:t>.</w:t>
      </w:r>
      <w:r>
        <w:rPr>
          <w:w w:val="110"/>
          <w:sz w:val="17"/>
        </w:rPr>
        <w:t>3,</w:t>
      </w:r>
      <w:r>
        <w:rPr>
          <w:spacing w:val="8"/>
          <w:sz w:val="17"/>
        </w:rPr>
        <w:t> </w:t>
      </w:r>
      <w:r>
        <w:rPr>
          <w:w w:val="97"/>
          <w:sz w:val="18"/>
        </w:rPr>
        <w:t>find</w:t>
      </w:r>
      <w:r>
        <w:rPr>
          <w:sz w:val="18"/>
        </w:rPr>
        <w:t> </w:t>
      </w:r>
      <w:r>
        <w:rPr>
          <w:spacing w:val="-22"/>
          <w:sz w:val="18"/>
        </w:rPr>
        <w:t> </w:t>
      </w:r>
      <w:r>
        <w:rPr>
          <w:w w:val="110"/>
          <w:sz w:val="18"/>
        </w:rPr>
        <w:t>the</w:t>
      </w:r>
      <w:r>
        <w:rPr>
          <w:spacing w:val="17"/>
          <w:sz w:val="18"/>
        </w:rPr>
        <w:t> </w:t>
      </w:r>
      <w:r>
        <w:rPr>
          <w:w w:val="101"/>
          <w:sz w:val="18"/>
        </w:rPr>
        <w:t>numerical</w:t>
      </w:r>
      <w:r>
        <w:rPr>
          <w:sz w:val="18"/>
        </w:rPr>
        <w:t> </w:t>
      </w:r>
      <w:r>
        <w:rPr>
          <w:spacing w:val="-14"/>
          <w:sz w:val="18"/>
        </w:rPr>
        <w:t> </w:t>
      </w:r>
      <w:r>
        <w:rPr>
          <w:w w:val="103"/>
          <w:sz w:val="18"/>
        </w:rPr>
        <w:t>value</w:t>
      </w:r>
      <w:r>
        <w:rPr>
          <w:sz w:val="18"/>
        </w:rPr>
        <w:t> </w:t>
      </w:r>
      <w:r>
        <w:rPr>
          <w:spacing w:val="1"/>
          <w:sz w:val="18"/>
        </w:rPr>
        <w:t> </w:t>
      </w:r>
      <w:r>
        <w:rPr>
          <w:w w:val="84"/>
          <w:sz w:val="18"/>
        </w:rPr>
        <w:t>of</w:t>
      </w:r>
    </w:p>
    <w:p>
      <w:pPr>
        <w:tabs>
          <w:tab w:pos="5287" w:val="left" w:leader="none"/>
        </w:tabs>
        <w:spacing w:line="224" w:lineRule="exact" w:before="0"/>
        <w:ind w:left="106" w:right="0" w:firstLine="0"/>
        <w:jc w:val="both"/>
        <w:rPr>
          <w:sz w:val="17"/>
        </w:rPr>
      </w:pPr>
      <w:r>
        <w:rPr>
          <w:i/>
          <w:spacing w:val="-190"/>
          <w:w w:val="278"/>
          <w:sz w:val="26"/>
        </w:rPr>
        <w:t>.</w:t>
      </w:r>
      <w:r>
        <w:rPr>
          <w:i/>
          <w:spacing w:val="-9"/>
          <w:w w:val="62"/>
          <w:sz w:val="26"/>
        </w:rPr>
        <w:t>q</w:t>
      </w:r>
      <w:r>
        <w:rPr>
          <w:i/>
          <w:w w:val="110"/>
          <w:sz w:val="26"/>
        </w:rPr>
        <w:t>!</w:t>
      </w:r>
      <w:r>
        <w:rPr>
          <w:i/>
          <w:spacing w:val="-43"/>
          <w:w w:val="110"/>
          <w:sz w:val="26"/>
        </w:rPr>
        <w:t>.</w:t>
      </w:r>
      <w:r>
        <w:rPr>
          <w:i/>
          <w:spacing w:val="-6"/>
          <w:w w:val="180"/>
          <w:sz w:val="26"/>
        </w:rPr>
        <w:t>.</w:t>
      </w:r>
      <w:r>
        <w:rPr>
          <w:w w:val="101"/>
          <w:sz w:val="26"/>
        </w:rPr>
        <w:t>.</w:t>
      </w:r>
      <w:r>
        <w:rPr>
          <w:sz w:val="26"/>
        </w:rPr>
        <w:tab/>
      </w:r>
      <w:r>
        <w:rPr>
          <w:w w:val="102"/>
          <w:sz w:val="17"/>
        </w:rPr>
        <w:t>(</w:t>
      </w:r>
      <w:r>
        <w:rPr>
          <w:w w:val="102"/>
          <w:sz w:val="17"/>
        </w:rPr>
        <w:t>An</w:t>
      </w:r>
      <w:r>
        <w:rPr>
          <w:spacing w:val="16"/>
          <w:w w:val="102"/>
          <w:sz w:val="17"/>
        </w:rPr>
        <w:t>s</w:t>
      </w:r>
      <w:r>
        <w:rPr>
          <w:w w:val="155"/>
          <w:sz w:val="17"/>
        </w:rPr>
        <w:t>.</w:t>
      </w:r>
      <w:r>
        <w:rPr>
          <w:spacing w:val="6"/>
          <w:sz w:val="17"/>
        </w:rPr>
        <w:t> </w:t>
      </w:r>
      <w:r>
        <w:rPr>
          <w:spacing w:val="-22"/>
          <w:w w:val="135"/>
          <w:sz w:val="17"/>
        </w:rPr>
        <w:t>.</w:t>
      </w:r>
      <w:r>
        <w:rPr>
          <w:w w:val="105"/>
          <w:sz w:val="17"/>
        </w:rPr>
        <w:t>3)</w:t>
      </w:r>
    </w:p>
    <w:p>
      <w:pPr>
        <w:pStyle w:val="ListParagraph"/>
        <w:numPr>
          <w:ilvl w:val="0"/>
          <w:numId w:val="108"/>
        </w:numPr>
        <w:tabs>
          <w:tab w:pos="551" w:val="left" w:leader="none"/>
        </w:tabs>
        <w:spacing w:line="206" w:lineRule="exact" w:before="6" w:after="0"/>
        <w:ind w:left="201" w:right="138" w:firstLine="151"/>
        <w:jc w:val="both"/>
        <w:rPr>
          <w:sz w:val="18"/>
        </w:rPr>
      </w:pPr>
      <w:r>
        <w:rPr>
          <w:sz w:val="18"/>
        </w:rPr>
        <w:t>Express </w:t>
      </w:r>
      <w:r>
        <w:rPr>
          <w:b/>
          <w:sz w:val="21"/>
        </w:rPr>
        <w:t>aoq.!.,. </w:t>
      </w:r>
      <w:r>
        <w:rPr>
          <w:sz w:val="18"/>
        </w:rPr>
        <w:t>in terms of probabilities contingent  upon  the  first death.</w:t>
      </w:r>
    </w:p>
    <w:p>
      <w:pPr>
        <w:pStyle w:val="ListParagraph"/>
        <w:numPr>
          <w:ilvl w:val="0"/>
          <w:numId w:val="109"/>
        </w:numPr>
        <w:tabs>
          <w:tab w:pos="421" w:val="left" w:leader="none"/>
        </w:tabs>
        <w:spacing w:line="240" w:lineRule="auto" w:before="156" w:after="0"/>
        <w:ind w:left="420" w:right="0" w:hanging="223"/>
        <w:jc w:val="both"/>
        <w:rPr>
          <w:b/>
          <w:sz w:val="17"/>
        </w:rPr>
      </w:pPr>
      <w:r>
        <w:rPr>
          <w:b/>
          <w:w w:val="120"/>
          <w:sz w:val="17"/>
        </w:rPr>
        <w:t>Evaluation of eontingent probabilitiee</w:t>
      </w:r>
    </w:p>
    <w:p>
      <w:pPr>
        <w:pStyle w:val="BodyText"/>
        <w:spacing w:before="6"/>
        <w:rPr>
          <w:b/>
          <w:sz w:val="12"/>
        </w:rPr>
      </w:pPr>
    </w:p>
    <w:p>
      <w:pPr>
        <w:pStyle w:val="ListParagraph"/>
        <w:numPr>
          <w:ilvl w:val="1"/>
          <w:numId w:val="109"/>
        </w:numPr>
        <w:tabs>
          <w:tab w:pos="572" w:val="left" w:leader="none"/>
        </w:tabs>
        <w:spacing w:line="227" w:lineRule="exact" w:before="0" w:after="0"/>
        <w:ind w:left="572" w:right="0" w:hanging="213"/>
        <w:jc w:val="left"/>
        <w:rPr>
          <w:sz w:val="17"/>
        </w:rPr>
      </w:pPr>
      <w:r>
        <w:rPr>
          <w:w w:val="100"/>
          <w:sz w:val="18"/>
        </w:rPr>
        <w:t>Using</w:t>
      </w:r>
      <w:r>
        <w:rPr>
          <w:spacing w:val="21"/>
          <w:sz w:val="18"/>
        </w:rPr>
        <w:t> </w:t>
      </w:r>
      <w:r>
        <w:rPr>
          <w:w w:val="112"/>
          <w:sz w:val="18"/>
        </w:rPr>
        <w:t>the</w:t>
      </w:r>
      <w:r>
        <w:rPr>
          <w:spacing w:val="20"/>
          <w:sz w:val="18"/>
        </w:rPr>
        <w:t> </w:t>
      </w:r>
      <w:r>
        <w:rPr>
          <w:w w:val="108"/>
          <w:sz w:val="18"/>
        </w:rPr>
        <w:t>fact</w:t>
      </w:r>
      <w:r>
        <w:rPr>
          <w:sz w:val="18"/>
        </w:rPr>
        <w:t> </w:t>
      </w:r>
      <w:r>
        <w:rPr>
          <w:spacing w:val="-20"/>
          <w:sz w:val="18"/>
        </w:rPr>
        <w:t> </w:t>
      </w:r>
      <w:r>
        <w:rPr>
          <w:w w:val="116"/>
          <w:sz w:val="18"/>
        </w:rPr>
        <w:t>that</w:t>
      </w:r>
      <w:r>
        <w:rPr>
          <w:sz w:val="18"/>
        </w:rPr>
        <w:t> </w:t>
      </w:r>
      <w:r>
        <w:rPr>
          <w:spacing w:val="-21"/>
          <w:sz w:val="18"/>
        </w:rPr>
        <w:t> </w:t>
      </w:r>
      <w:r>
        <w:rPr>
          <w:rFonts w:ascii="Arial"/>
          <w:i/>
          <w:w w:val="54"/>
          <w:sz w:val="21"/>
        </w:rPr>
        <w:t>aeZII</w:t>
      </w:r>
      <w:r>
        <w:rPr>
          <w:rFonts w:ascii="Arial"/>
          <w:i/>
          <w:sz w:val="21"/>
        </w:rPr>
        <w:t> </w:t>
      </w:r>
      <w:r>
        <w:rPr>
          <w:rFonts w:ascii="Arial"/>
          <w:i/>
          <w:spacing w:val="-20"/>
          <w:sz w:val="21"/>
        </w:rPr>
        <w:t> </w:t>
      </w:r>
      <w:r>
        <w:rPr>
          <w:w w:val="86"/>
          <w:sz w:val="23"/>
        </w:rPr>
        <w:t>=</w:t>
      </w:r>
      <w:r>
        <w:rPr>
          <w:spacing w:val="17"/>
          <w:sz w:val="23"/>
        </w:rPr>
        <w:t> </w:t>
      </w:r>
      <w:r>
        <w:rPr>
          <w:i/>
          <w:w w:val="110"/>
          <w:sz w:val="14"/>
        </w:rPr>
        <w:t>p.z</w:t>
      </w:r>
      <w:r>
        <w:rPr>
          <w:i/>
          <w:w w:val="110"/>
          <w:sz w:val="14"/>
        </w:rPr>
        <w:t>e</w:t>
      </w:r>
      <w:r>
        <w:rPr>
          <w:i/>
          <w:w w:val="111"/>
          <w:sz w:val="14"/>
        </w:rPr>
        <w:t>q</w:t>
      </w:r>
      <w:r>
        <w:rPr>
          <w:i/>
          <w:sz w:val="14"/>
        </w:rPr>
        <w:t>   </w:t>
      </w:r>
      <w:r>
        <w:rPr>
          <w:i/>
          <w:spacing w:val="15"/>
          <w:sz w:val="14"/>
        </w:rPr>
        <w:t> </w:t>
      </w:r>
      <w:r>
        <w:rPr>
          <w:i/>
          <w:spacing w:val="-255"/>
          <w:w w:val="330"/>
          <w:sz w:val="23"/>
        </w:rPr>
        <w:t>.</w:t>
      </w:r>
      <w:r>
        <w:rPr>
          <w:i/>
          <w:w w:val="62"/>
          <w:sz w:val="23"/>
        </w:rPr>
        <w:t>q!_</w:t>
      </w:r>
      <w:r>
        <w:rPr>
          <w:i/>
          <w:sz w:val="23"/>
        </w:rPr>
        <w:t> </w:t>
      </w:r>
      <w:r>
        <w:rPr>
          <w:i/>
          <w:spacing w:val="-21"/>
          <w:sz w:val="23"/>
        </w:rPr>
        <w:t> </w:t>
      </w:r>
      <w:r>
        <w:rPr>
          <w:w w:val="98"/>
          <w:sz w:val="18"/>
        </w:rPr>
        <w:t>(</w:t>
      </w:r>
      <w:r>
        <w:rPr>
          <w:w w:val="98"/>
          <w:sz w:val="18"/>
        </w:rPr>
        <w:t>see</w:t>
      </w:r>
      <w:r>
        <w:rPr>
          <w:spacing w:val="14"/>
          <w:sz w:val="18"/>
        </w:rPr>
        <w:t> </w:t>
      </w:r>
      <w:r>
        <w:rPr>
          <w:w w:val="100"/>
          <w:sz w:val="18"/>
        </w:rPr>
        <w:t>Appendix</w:t>
      </w:r>
      <w:r>
        <w:rPr>
          <w:sz w:val="18"/>
        </w:rPr>
        <w:t> </w:t>
      </w:r>
      <w:r>
        <w:rPr>
          <w:spacing w:val="-1"/>
          <w:sz w:val="18"/>
        </w:rPr>
        <w:t> </w:t>
      </w:r>
      <w:r>
        <w:rPr>
          <w:w w:val="107"/>
          <w:sz w:val="17"/>
        </w:rPr>
        <w:t>11),</w:t>
      </w:r>
      <w:r>
        <w:rPr>
          <w:sz w:val="17"/>
        </w:rPr>
        <w:t> </w:t>
      </w:r>
      <w:r>
        <w:rPr>
          <w:w w:val="105"/>
          <w:sz w:val="18"/>
        </w:rPr>
        <w:t>derive</w:t>
      </w:r>
      <w:r>
        <w:rPr>
          <w:spacing w:val="15"/>
          <w:sz w:val="18"/>
        </w:rPr>
        <w:t> </w:t>
      </w:r>
      <w:r>
        <w:rPr>
          <w:w w:val="112"/>
          <w:sz w:val="18"/>
        </w:rPr>
        <w:t>the</w:t>
      </w:r>
    </w:p>
    <w:p>
      <w:pPr>
        <w:spacing w:line="158" w:lineRule="exact" w:before="0"/>
        <w:ind w:left="64" w:right="1646" w:firstLine="0"/>
        <w:jc w:val="center"/>
        <w:rPr>
          <w:i/>
          <w:sz w:val="17"/>
        </w:rPr>
      </w:pPr>
      <w:r>
        <w:rPr>
          <w:i/>
          <w:w w:val="140"/>
          <w:sz w:val="17"/>
        </w:rPr>
        <w:t>in</w:t>
      </w:r>
    </w:p>
    <w:p>
      <w:pPr>
        <w:spacing w:line="197" w:lineRule="exact" w:before="0"/>
        <w:ind w:left="208" w:right="0" w:firstLine="0"/>
        <w:jc w:val="left"/>
        <w:rPr>
          <w:sz w:val="18"/>
        </w:rPr>
      </w:pPr>
      <w:r>
        <w:rPr>
          <w:sz w:val="18"/>
        </w:rPr>
        <w:t>approxima.te  formula</w:t>
      </w:r>
    </w:p>
    <w:p>
      <w:pPr>
        <w:spacing w:before="35"/>
        <w:ind w:left="1726" w:right="0" w:firstLine="0"/>
        <w:jc w:val="left"/>
        <w:rPr>
          <w:b/>
          <w:sz w:val="17"/>
        </w:rPr>
      </w:pPr>
      <w:r>
        <w:rPr>
          <w:spacing w:val="-220"/>
          <w:w w:val="304"/>
          <w:sz w:val="24"/>
        </w:rPr>
        <w:t>.</w:t>
      </w:r>
      <w:r>
        <w:rPr>
          <w:w w:val="66"/>
          <w:sz w:val="24"/>
        </w:rPr>
        <w:t>q</w:t>
      </w:r>
      <w:r>
        <w:rPr>
          <w:spacing w:val="-3"/>
          <w:sz w:val="24"/>
        </w:rPr>
        <w:t> </w:t>
      </w:r>
      <w:r>
        <w:rPr>
          <w:w w:val="57"/>
          <w:sz w:val="24"/>
        </w:rPr>
        <w:t>.,</w:t>
      </w:r>
      <w:r>
        <w:rPr>
          <w:spacing w:val="8"/>
          <w:sz w:val="24"/>
        </w:rPr>
        <w:t> </w:t>
      </w:r>
      <w:r>
        <w:rPr>
          <w:rFonts w:ascii="Arial"/>
          <w:w w:val="86"/>
          <w:sz w:val="16"/>
        </w:rPr>
        <w:t>""!</w:t>
      </w:r>
      <w:r>
        <w:rPr>
          <w:rFonts w:ascii="Arial"/>
          <w:spacing w:val="9"/>
          <w:sz w:val="16"/>
        </w:rPr>
        <w:t> </w:t>
      </w:r>
      <w:r>
        <w:rPr>
          <w:rFonts w:ascii="Arial"/>
          <w:b/>
          <w:i/>
          <w:w w:val="87"/>
          <w:sz w:val="13"/>
        </w:rPr>
        <w:t>P.zezi,</w:t>
      </w:r>
      <w:r>
        <w:rPr>
          <w:rFonts w:ascii="Arial"/>
          <w:b/>
          <w:i/>
          <w:sz w:val="13"/>
        </w:rPr>
        <w:t> </w:t>
      </w:r>
      <w:r>
        <w:rPr>
          <w:rFonts w:ascii="Arial"/>
          <w:b/>
          <w:i/>
          <w:spacing w:val="-1"/>
          <w:sz w:val="13"/>
        </w:rPr>
        <w:t> </w:t>
      </w:r>
      <w:r>
        <w:rPr>
          <w:rFonts w:ascii="Arial"/>
          <w:w w:val="104"/>
          <w:sz w:val="27"/>
        </w:rPr>
        <w:t>+</w:t>
      </w:r>
      <w:r>
        <w:rPr>
          <w:rFonts w:ascii="Arial"/>
          <w:spacing w:val="-32"/>
          <w:sz w:val="27"/>
        </w:rPr>
        <w:t> </w:t>
      </w:r>
      <w:r>
        <w:rPr>
          <w:b/>
          <w:w w:val="93"/>
          <w:sz w:val="17"/>
        </w:rPr>
        <w:t>j{ea-1:,</w:t>
      </w:r>
      <w:r>
        <w:rPr>
          <w:b/>
          <w:sz w:val="17"/>
        </w:rPr>
        <w:t> </w:t>
      </w:r>
      <w:r>
        <w:rPr>
          <w:b/>
          <w:spacing w:val="12"/>
          <w:sz w:val="17"/>
        </w:rPr>
        <w:t> </w:t>
      </w:r>
      <w:r>
        <w:rPr>
          <w:w w:val="273"/>
          <w:sz w:val="17"/>
        </w:rPr>
        <w:t>-</w:t>
      </w:r>
      <w:r>
        <w:rPr>
          <w:spacing w:val="4"/>
          <w:sz w:val="17"/>
        </w:rPr>
        <w:t> </w:t>
      </w:r>
      <w:r>
        <w:rPr>
          <w:b/>
          <w:w w:val="99"/>
          <w:sz w:val="17"/>
        </w:rPr>
        <w:t>la+i:,</w:t>
      </w:r>
      <w:r>
        <w:rPr>
          <w:b/>
          <w:w w:val="99"/>
          <w:sz w:val="17"/>
        </w:rPr>
        <w:t>),</w:t>
      </w:r>
    </w:p>
    <w:p>
      <w:pPr>
        <w:pStyle w:val="ListParagraph"/>
        <w:numPr>
          <w:ilvl w:val="1"/>
          <w:numId w:val="109"/>
        </w:numPr>
        <w:tabs>
          <w:tab w:pos="605" w:val="left" w:leader="none"/>
        </w:tabs>
        <w:spacing w:line="244" w:lineRule="exact" w:before="175" w:after="0"/>
        <w:ind w:left="604" w:right="0" w:hanging="238"/>
        <w:jc w:val="left"/>
        <w:rPr>
          <w:sz w:val="18"/>
        </w:rPr>
      </w:pPr>
      <w:r>
        <w:rPr>
          <w:rFonts w:ascii="Arial"/>
          <w:w w:val="105"/>
          <w:sz w:val="16"/>
        </w:rPr>
        <w:t>(a) </w:t>
      </w:r>
      <w:r>
        <w:rPr>
          <w:w w:val="105"/>
          <w:sz w:val="18"/>
        </w:rPr>
        <w:t>Assuming that </w:t>
      </w:r>
      <w:r>
        <w:rPr>
          <w:w w:val="105"/>
          <w:sz w:val="13"/>
        </w:rPr>
        <w:t>P.a+t  </w:t>
      </w:r>
      <w:r>
        <w:rPr>
          <w:rFonts w:ascii="Arial"/>
          <w:sz w:val="22"/>
        </w:rPr>
        <w:t>=: </w:t>
      </w:r>
      <w:r>
        <w:rPr>
          <w:w w:val="105"/>
          <w:sz w:val="18"/>
        </w:rPr>
        <w:t>2ll   </w:t>
      </w:r>
      <w:r>
        <w:rPr>
          <w:w w:val="125"/>
          <w:sz w:val="13"/>
        </w:rPr>
        <w:t>(ls+i-1 </w:t>
      </w:r>
      <w:r>
        <w:rPr>
          <w:w w:val="330"/>
          <w:sz w:val="13"/>
        </w:rPr>
        <w:t>- </w:t>
      </w:r>
      <w:r>
        <w:rPr>
          <w:w w:val="105"/>
          <w:sz w:val="13"/>
        </w:rPr>
        <w:t>Zz+1+1) </w:t>
      </w:r>
      <w:r>
        <w:rPr>
          <w:rFonts w:ascii="Arial"/>
          <w:w w:val="105"/>
          <w:sz w:val="16"/>
        </w:rPr>
        <w:t>for </w:t>
      </w:r>
      <w:r>
        <w:rPr>
          <w:w w:val="105"/>
          <w:sz w:val="18"/>
        </w:rPr>
        <w:t>ali values </w:t>
      </w:r>
      <w:r>
        <w:rPr>
          <w:rFonts w:ascii="Arial"/>
          <w:w w:val="105"/>
          <w:sz w:val="16"/>
        </w:rPr>
        <w:t>of </w:t>
      </w:r>
      <w:r>
        <w:rPr>
          <w:i/>
          <w:w w:val="125"/>
          <w:sz w:val="19"/>
        </w:rPr>
        <w:t>t,</w:t>
      </w:r>
      <w:r>
        <w:rPr>
          <w:i/>
          <w:spacing w:val="-15"/>
          <w:w w:val="125"/>
          <w:sz w:val="19"/>
        </w:rPr>
        <w:t> </w:t>
      </w:r>
      <w:r>
        <w:rPr>
          <w:w w:val="105"/>
          <w:sz w:val="18"/>
        </w:rPr>
        <w:t>show</w:t>
      </w:r>
    </w:p>
    <w:p>
      <w:pPr>
        <w:spacing w:line="129" w:lineRule="exact" w:before="0"/>
        <w:ind w:left="64" w:right="498" w:firstLine="0"/>
        <w:jc w:val="center"/>
        <w:rPr>
          <w:rFonts w:ascii="Arial"/>
          <w:b/>
          <w:sz w:val="12"/>
        </w:rPr>
      </w:pPr>
      <w:r>
        <w:rPr>
          <w:rFonts w:ascii="Arial"/>
          <w:b/>
          <w:w w:val="95"/>
          <w:sz w:val="12"/>
        </w:rPr>
        <w:t>s+C</w:t>
      </w:r>
    </w:p>
    <w:p>
      <w:pPr>
        <w:spacing w:line="190" w:lineRule="exact" w:before="0"/>
        <w:ind w:left="881" w:right="0" w:firstLine="0"/>
        <w:jc w:val="left"/>
        <w:rPr>
          <w:sz w:val="18"/>
        </w:rPr>
      </w:pPr>
      <w:r>
        <w:rPr/>
        <w:drawing>
          <wp:anchor distT="0" distB="0" distL="0" distR="0" allowOverlap="1" layoutInCell="1" locked="0" behindDoc="0" simplePos="0" relativeHeight="19456">
            <wp:simplePos x="0" y="0"/>
            <wp:positionH relativeFrom="page">
              <wp:posOffset>1618488</wp:posOffset>
            </wp:positionH>
            <wp:positionV relativeFrom="paragraph">
              <wp:posOffset>159874</wp:posOffset>
            </wp:positionV>
            <wp:extent cx="1417320" cy="301751"/>
            <wp:effectExtent l="0" t="0" r="0" b="0"/>
            <wp:wrapTopAndBottom/>
            <wp:docPr id="567" name="image289.png" descr=""/>
            <wp:cNvGraphicFramePr>
              <a:graphicFrameLocks noChangeAspect="1"/>
            </wp:cNvGraphicFramePr>
            <a:graphic>
              <a:graphicData uri="http://schemas.openxmlformats.org/drawingml/2006/picture">
                <pic:pic>
                  <pic:nvPicPr>
                    <pic:cNvPr id="568" name="image289.png"/>
                    <pic:cNvPicPr/>
                  </pic:nvPicPr>
                  <pic:blipFill>
                    <a:blip r:embed="rId293" cstate="print"/>
                    <a:stretch>
                      <a:fillRect/>
                    </a:stretch>
                  </pic:blipFill>
                  <pic:spPr>
                    <a:xfrm>
                      <a:off x="0" y="0"/>
                      <a:ext cx="1417320" cy="301751"/>
                    </a:xfrm>
                    <a:prstGeom prst="rect">
                      <a:avLst/>
                    </a:prstGeom>
                  </pic:spPr>
                </pic:pic>
              </a:graphicData>
            </a:graphic>
          </wp:anchor>
        </w:drawing>
      </w:r>
      <w:r>
        <w:rPr>
          <w:w w:val="120"/>
          <w:sz w:val="18"/>
        </w:rPr>
        <w:t>that</w:t>
      </w:r>
    </w:p>
    <w:p>
      <w:pPr>
        <w:spacing w:before="105"/>
        <w:ind w:left="600" w:right="0" w:firstLine="0"/>
        <w:jc w:val="left"/>
        <w:rPr>
          <w:sz w:val="18"/>
        </w:rPr>
      </w:pPr>
      <w:r>
        <w:rPr>
          <w:w w:val="105"/>
          <w:sz w:val="17"/>
        </w:rPr>
        <w:t>(b)  </w:t>
      </w:r>
      <w:r>
        <w:rPr>
          <w:w w:val="105"/>
          <w:sz w:val="18"/>
        </w:rPr>
        <w:t>Determine  whether  </w:t>
      </w:r>
      <w:r>
        <w:rPr>
          <w:rFonts w:ascii="Arial"/>
          <w:w w:val="105"/>
          <w:sz w:val="16"/>
        </w:rPr>
        <w:t>(x) </w:t>
      </w:r>
      <w:r>
        <w:rPr>
          <w:w w:val="105"/>
          <w:sz w:val="18"/>
        </w:rPr>
        <w:t>is older than  </w:t>
      </w:r>
      <w:r>
        <w:rPr>
          <w:w w:val="105"/>
          <w:sz w:val="17"/>
        </w:rPr>
        <w:t>(y), </w:t>
      </w:r>
      <w:r>
        <w:rPr>
          <w:w w:val="105"/>
          <w:sz w:val="18"/>
        </w:rPr>
        <w:t>given</w:t>
      </w:r>
    </w:p>
    <w:p>
      <w:pPr>
        <w:tabs>
          <w:tab w:pos="1522" w:val="left" w:leader="none"/>
        </w:tabs>
        <w:spacing w:before="74"/>
        <w:ind w:left="64" w:right="0" w:firstLine="0"/>
        <w:jc w:val="center"/>
        <w:rPr>
          <w:b/>
          <w:sz w:val="17"/>
        </w:rPr>
      </w:pPr>
      <w:r>
        <w:rPr>
          <w:b/>
          <w:sz w:val="17"/>
        </w:rPr>
        <w:t>ez-l:11</w:t>
      </w:r>
      <w:r>
        <w:rPr>
          <w:b/>
          <w:spacing w:val="13"/>
          <w:sz w:val="17"/>
        </w:rPr>
        <w:t> </w:t>
      </w:r>
      <w:r>
        <w:rPr>
          <w:sz w:val="23"/>
        </w:rPr>
        <w:t>=</w:t>
      </w:r>
      <w:r>
        <w:rPr>
          <w:spacing w:val="3"/>
          <w:sz w:val="23"/>
        </w:rPr>
        <w:t> </w:t>
      </w:r>
      <w:r>
        <w:rPr>
          <w:b/>
          <w:sz w:val="17"/>
        </w:rPr>
        <w:t>10.682</w:t>
        <w:tab/>
      </w:r>
      <w:r>
        <w:rPr>
          <w:b/>
          <w:w w:val="95"/>
          <w:sz w:val="17"/>
        </w:rPr>
        <w:t>Za-l:11 </w:t>
      </w:r>
      <w:r>
        <w:rPr>
          <w:w w:val="95"/>
          <w:sz w:val="23"/>
        </w:rPr>
        <w:t>=</w:t>
      </w:r>
      <w:r>
        <w:rPr>
          <w:spacing w:val="-1"/>
          <w:w w:val="95"/>
          <w:sz w:val="23"/>
        </w:rPr>
        <w:t> </w:t>
      </w:r>
      <w:r>
        <w:rPr>
          <w:b/>
          <w:w w:val="95"/>
          <w:sz w:val="17"/>
        </w:rPr>
        <w:t>10,250,000</w:t>
      </w:r>
    </w:p>
    <w:p>
      <w:pPr>
        <w:tabs>
          <w:tab w:pos="1541" w:val="left" w:leader="none"/>
        </w:tabs>
        <w:spacing w:before="15"/>
        <w:ind w:left="76" w:right="0" w:firstLine="0"/>
        <w:jc w:val="center"/>
        <w:rPr>
          <w:sz w:val="17"/>
        </w:rPr>
      </w:pPr>
      <w:r>
        <w:rPr>
          <w:sz w:val="25"/>
        </w:rPr>
        <w:t>tr+1:,</w:t>
      </w:r>
      <w:r>
        <w:rPr>
          <w:spacing w:val="-33"/>
          <w:sz w:val="25"/>
        </w:rPr>
        <w:t> </w:t>
      </w:r>
      <w:r>
        <w:rPr>
          <w:sz w:val="25"/>
        </w:rPr>
        <w:t>...</w:t>
      </w:r>
      <w:r>
        <w:rPr>
          <w:spacing w:val="-27"/>
          <w:sz w:val="25"/>
        </w:rPr>
        <w:t> </w:t>
      </w:r>
      <w:r>
        <w:rPr>
          <w:spacing w:val="-7"/>
          <w:sz w:val="17"/>
        </w:rPr>
        <w:t>10.000</w:t>
        <w:tab/>
      </w:r>
      <w:r>
        <w:rPr>
          <w:sz w:val="19"/>
        </w:rPr>
        <w:t>Z.:,    ... </w:t>
      </w:r>
      <w:r>
        <w:rPr>
          <w:spacing w:val="1"/>
          <w:sz w:val="19"/>
        </w:rPr>
        <w:t> </w:t>
      </w:r>
      <w:r>
        <w:rPr>
          <w:sz w:val="17"/>
        </w:rPr>
        <w:t>10,000,000</w:t>
      </w:r>
    </w:p>
    <w:p>
      <w:pPr>
        <w:spacing w:before="46"/>
        <w:ind w:left="3081" w:right="0" w:firstLine="0"/>
        <w:jc w:val="left"/>
        <w:rPr>
          <w:b/>
          <w:sz w:val="17"/>
        </w:rPr>
      </w:pPr>
      <w:r>
        <w:rPr>
          <w:sz w:val="13"/>
        </w:rPr>
        <w:t>Zz+i:</w:t>
      </w:r>
      <w:r>
        <w:rPr>
          <w:position w:val="-1"/>
          <w:sz w:val="10"/>
        </w:rPr>
        <w:t>11   </w:t>
      </w:r>
      <w:r>
        <w:rPr>
          <w:sz w:val="24"/>
        </w:rPr>
        <w:t>=  </w:t>
      </w:r>
      <w:r>
        <w:rPr>
          <w:b/>
          <w:sz w:val="17"/>
        </w:rPr>
        <w:t>9,740,000.</w:t>
      </w:r>
    </w:p>
    <w:p>
      <w:pPr>
        <w:pStyle w:val="ListParagraph"/>
        <w:numPr>
          <w:ilvl w:val="1"/>
          <w:numId w:val="109"/>
        </w:numPr>
        <w:tabs>
          <w:tab w:pos="605" w:val="left" w:leader="none"/>
        </w:tabs>
        <w:spacing w:line="240" w:lineRule="auto" w:before="86" w:after="0"/>
        <w:ind w:left="604" w:right="0" w:hanging="230"/>
        <w:jc w:val="center"/>
        <w:rPr>
          <w:sz w:val="17"/>
        </w:rPr>
      </w:pPr>
      <w:r>
        <w:rPr>
          <w:sz w:val="18"/>
        </w:rPr>
        <w:t>In a mortality  table known to follow Ma.keha.m's  la.w, you  are</w:t>
      </w:r>
      <w:r>
        <w:rPr>
          <w:spacing w:val="37"/>
          <w:sz w:val="18"/>
        </w:rPr>
        <w:t> </w:t>
      </w:r>
      <w:r>
        <w:rPr>
          <w:sz w:val="18"/>
        </w:rPr>
        <w:t>given:</w:t>
      </w:r>
    </w:p>
    <w:p>
      <w:pPr>
        <w:spacing w:before="42"/>
        <w:ind w:left="92" w:right="3" w:firstLine="0"/>
        <w:jc w:val="center"/>
        <w:rPr>
          <w:sz w:val="17"/>
        </w:rPr>
      </w:pPr>
      <w:r>
        <w:rPr>
          <w:rFonts w:ascii="Arial"/>
          <w:b/>
          <w:i/>
          <w:w w:val="102"/>
          <w:sz w:val="16"/>
        </w:rPr>
        <w:t>A</w:t>
      </w:r>
      <w:r>
        <w:rPr>
          <w:rFonts w:ascii="Arial"/>
          <w:b/>
          <w:i/>
          <w:sz w:val="16"/>
        </w:rPr>
        <w:t> </w:t>
      </w:r>
      <w:r>
        <w:rPr>
          <w:rFonts w:ascii="Arial"/>
          <w:b/>
          <w:i/>
          <w:spacing w:val="8"/>
          <w:sz w:val="16"/>
        </w:rPr>
        <w:t> </w:t>
      </w:r>
      <w:r>
        <w:rPr>
          <w:w w:val="89"/>
          <w:sz w:val="23"/>
        </w:rPr>
        <w:t>=</w:t>
      </w:r>
      <w:r>
        <w:rPr>
          <w:sz w:val="23"/>
        </w:rPr>
        <w:t> </w:t>
      </w:r>
      <w:r>
        <w:rPr>
          <w:spacing w:val="-20"/>
          <w:sz w:val="23"/>
        </w:rPr>
        <w:t> </w:t>
      </w:r>
      <w:r>
        <w:rPr>
          <w:w w:val="102"/>
          <w:sz w:val="17"/>
        </w:rPr>
        <w:t>.003,</w:t>
      </w:r>
      <w:r>
        <w:rPr>
          <w:spacing w:val="10"/>
          <w:sz w:val="17"/>
        </w:rPr>
        <w:t> </w:t>
      </w:r>
      <w:r>
        <w:rPr>
          <w:spacing w:val="5"/>
          <w:w w:val="92"/>
          <w:sz w:val="17"/>
        </w:rPr>
        <w:t>c</w:t>
      </w:r>
      <w:r>
        <w:rPr>
          <w:rFonts w:ascii="Arial"/>
          <w:w w:val="113"/>
          <w:position w:val="5"/>
          <w:sz w:val="11"/>
        </w:rPr>
        <w:t>11</w:t>
      </w:r>
      <w:r>
        <w:rPr>
          <w:rFonts w:ascii="Arial"/>
          <w:position w:val="5"/>
          <w:sz w:val="11"/>
        </w:rPr>
        <w:t> </w:t>
      </w:r>
      <w:r>
        <w:rPr>
          <w:rFonts w:ascii="Arial"/>
          <w:spacing w:val="-7"/>
          <w:position w:val="5"/>
          <w:sz w:val="11"/>
        </w:rPr>
        <w:t> </w:t>
      </w:r>
      <w:r>
        <w:rPr>
          <w:w w:val="83"/>
          <w:sz w:val="23"/>
        </w:rPr>
        <w:t>=</w:t>
      </w:r>
      <w:r>
        <w:rPr>
          <w:sz w:val="23"/>
        </w:rPr>
        <w:t> </w:t>
      </w:r>
      <w:r>
        <w:rPr>
          <w:spacing w:val="-26"/>
          <w:sz w:val="23"/>
        </w:rPr>
        <w:t> </w:t>
      </w:r>
      <w:r>
        <w:rPr>
          <w:w w:val="114"/>
          <w:sz w:val="17"/>
        </w:rPr>
        <w:t>3,</w:t>
      </w:r>
      <w:r>
        <w:rPr>
          <w:spacing w:val="13"/>
          <w:sz w:val="17"/>
        </w:rPr>
        <w:t> </w:t>
      </w:r>
      <w:r>
        <w:rPr>
          <w:w w:val="103"/>
          <w:sz w:val="18"/>
        </w:rPr>
        <w:t>and</w:t>
      </w:r>
      <w:r>
        <w:rPr>
          <w:sz w:val="18"/>
        </w:rPr>
        <w:t> </w:t>
      </w:r>
      <w:r>
        <w:rPr>
          <w:spacing w:val="-19"/>
          <w:sz w:val="18"/>
        </w:rPr>
        <w:t> </w:t>
      </w:r>
      <w:r>
        <w:rPr>
          <w:spacing w:val="-6"/>
          <w:w w:val="63"/>
          <w:sz w:val="26"/>
        </w:rPr>
        <w:t>e</w:t>
      </w:r>
      <w:r>
        <w:rPr>
          <w:w w:val="118"/>
          <w:sz w:val="26"/>
        </w:rPr>
        <w:t>.</w:t>
      </w:r>
      <w:r>
        <w:rPr>
          <w:spacing w:val="-65"/>
          <w:w w:val="118"/>
          <w:sz w:val="26"/>
        </w:rPr>
        <w:t>.</w:t>
      </w:r>
      <w:r>
        <w:rPr>
          <w:rFonts w:ascii="Arial"/>
          <w:spacing w:val="-77"/>
          <w:w w:val="259"/>
          <w:sz w:val="11"/>
        </w:rPr>
        <w:t>:</w:t>
      </w:r>
      <w:r>
        <w:rPr>
          <w:rFonts w:ascii="Arial"/>
          <w:w w:val="108"/>
          <w:sz w:val="11"/>
        </w:rPr>
        <w:t>IO</w:t>
      </w:r>
      <w:r>
        <w:rPr>
          <w:rFonts w:ascii="Arial"/>
          <w:sz w:val="11"/>
        </w:rPr>
        <w:t> </w:t>
      </w:r>
      <w:r>
        <w:rPr>
          <w:rFonts w:ascii="Arial"/>
          <w:spacing w:val="10"/>
          <w:sz w:val="11"/>
        </w:rPr>
        <w:t> </w:t>
      </w:r>
      <w:r>
        <w:rPr>
          <w:w w:val="86"/>
          <w:sz w:val="23"/>
        </w:rPr>
        <w:t>=</w:t>
      </w:r>
      <w:r>
        <w:rPr>
          <w:sz w:val="23"/>
        </w:rPr>
        <w:t> </w:t>
      </w:r>
      <w:r>
        <w:rPr>
          <w:spacing w:val="-23"/>
          <w:sz w:val="23"/>
        </w:rPr>
        <w:t> </w:t>
      </w:r>
      <w:r>
        <w:rPr>
          <w:spacing w:val="-47"/>
          <w:w w:val="135"/>
          <w:sz w:val="17"/>
        </w:rPr>
        <w:t>1</w:t>
      </w:r>
      <w:r>
        <w:rPr>
          <w:w w:val="110"/>
          <w:sz w:val="17"/>
        </w:rPr>
        <w:t>7.</w:t>
      </w:r>
    </w:p>
    <w:p>
      <w:pPr>
        <w:tabs>
          <w:tab w:pos="4974" w:val="left" w:leader="none"/>
        </w:tabs>
        <w:spacing w:before="3"/>
        <w:ind w:left="92" w:right="0" w:firstLine="0"/>
        <w:jc w:val="center"/>
        <w:rPr>
          <w:sz w:val="17"/>
        </w:rPr>
      </w:pPr>
      <w:r>
        <w:rPr>
          <w:w w:val="105"/>
          <w:sz w:val="18"/>
        </w:rPr>
        <w:t>Fin</w:t>
      </w:r>
      <w:r>
        <w:rPr>
          <w:spacing w:val="-28"/>
          <w:w w:val="106"/>
          <w:sz w:val="18"/>
        </w:rPr>
        <w:t>d</w:t>
      </w:r>
      <w:r>
        <w:rPr>
          <w:spacing w:val="-195"/>
          <w:w w:val="280"/>
          <w:sz w:val="26"/>
        </w:rPr>
        <w:t>.</w:t>
      </w:r>
      <w:r>
        <w:rPr>
          <w:spacing w:val="-65"/>
          <w:w w:val="216"/>
          <w:sz w:val="26"/>
        </w:rPr>
        <w:t>,</w:t>
      </w:r>
      <w:r>
        <w:rPr>
          <w:w w:val="52"/>
          <w:sz w:val="26"/>
        </w:rPr>
        <w:t>!o._.</w:t>
      </w:r>
      <w:r>
        <w:rPr>
          <w:spacing w:val="-23"/>
          <w:sz w:val="26"/>
        </w:rPr>
        <w:t> </w:t>
      </w:r>
      <w:r>
        <w:rPr>
          <w:w w:val="113"/>
          <w:sz w:val="26"/>
        </w:rPr>
        <w:t>.</w:t>
      </w:r>
      <w:r>
        <w:rPr>
          <w:sz w:val="26"/>
        </w:rPr>
        <w:tab/>
      </w:r>
      <w:r>
        <w:rPr>
          <w:w w:val="101"/>
          <w:sz w:val="17"/>
        </w:rPr>
        <w:t>(</w:t>
      </w:r>
      <w:r>
        <w:rPr>
          <w:w w:val="101"/>
          <w:sz w:val="17"/>
        </w:rPr>
        <w:t>An</w:t>
      </w:r>
      <w:r>
        <w:rPr>
          <w:spacing w:val="12"/>
          <w:w w:val="101"/>
          <w:sz w:val="17"/>
        </w:rPr>
        <w:t>s</w:t>
      </w:r>
      <w:r>
        <w:rPr>
          <w:w w:val="174"/>
          <w:sz w:val="17"/>
        </w:rPr>
        <w:t>.</w:t>
      </w:r>
      <w:r>
        <w:rPr>
          <w:spacing w:val="-2"/>
          <w:sz w:val="17"/>
        </w:rPr>
        <w:t> </w:t>
      </w:r>
      <w:r>
        <w:rPr>
          <w:spacing w:val="-34"/>
          <w:w w:val="155"/>
          <w:sz w:val="17"/>
        </w:rPr>
        <w:t>.</w:t>
      </w:r>
      <w:r>
        <w:rPr>
          <w:w w:val="97"/>
          <w:sz w:val="17"/>
        </w:rPr>
        <w:t>2765)</w:t>
      </w:r>
    </w:p>
    <w:p>
      <w:pPr>
        <w:spacing w:after="0"/>
        <w:jc w:val="center"/>
        <w:rPr>
          <w:sz w:val="17"/>
        </w:rPr>
        <w:sectPr>
          <w:pgSz w:w="7200" w:h="11340"/>
          <w:pgMar w:top="480" w:bottom="280" w:left="580" w:right="540"/>
        </w:sectPr>
      </w:pPr>
    </w:p>
    <w:p>
      <w:pPr>
        <w:tabs>
          <w:tab w:pos="1949" w:val="left" w:leader="none"/>
          <w:tab w:pos="5236" w:val="left" w:leader="none"/>
        </w:tabs>
        <w:spacing w:before="52"/>
        <w:ind w:left="121" w:right="0" w:firstLine="0"/>
        <w:jc w:val="left"/>
        <w:rPr>
          <w:sz w:val="20"/>
        </w:rPr>
      </w:pPr>
      <w:r>
        <w:rPr>
          <w:rFonts w:ascii="Courier New"/>
          <w:spacing w:val="-30"/>
          <w:w w:val="110"/>
          <w:sz w:val="22"/>
        </w:rPr>
        <w:t>242</w:t>
        <w:tab/>
      </w:r>
      <w:r>
        <w:rPr>
          <w:w w:val="110"/>
          <w:sz w:val="15"/>
        </w:rPr>
        <w:t>CONTINGENT </w:t>
      </w:r>
      <w:r>
        <w:rPr>
          <w:spacing w:val="13"/>
          <w:w w:val="110"/>
          <w:sz w:val="15"/>
        </w:rPr>
        <w:t> </w:t>
      </w:r>
      <w:r>
        <w:rPr>
          <w:w w:val="110"/>
          <w:sz w:val="15"/>
        </w:rPr>
        <w:t>FUNCTIONS</w:t>
        <w:tab/>
      </w:r>
      <w:r>
        <w:rPr>
          <w:w w:val="110"/>
          <w:position w:val="1"/>
          <w:sz w:val="20"/>
        </w:rPr>
        <w:t>[CH.</w:t>
      </w:r>
      <w:r>
        <w:rPr>
          <w:spacing w:val="-5"/>
          <w:w w:val="110"/>
          <w:position w:val="1"/>
          <w:sz w:val="20"/>
        </w:rPr>
        <w:t> </w:t>
      </w:r>
      <w:r>
        <w:rPr>
          <w:spacing w:val="-18"/>
          <w:w w:val="110"/>
          <w:position w:val="1"/>
          <w:sz w:val="20"/>
        </w:rPr>
        <w:t>11</w:t>
      </w:r>
    </w:p>
    <w:p>
      <w:pPr>
        <w:pStyle w:val="BodyText"/>
        <w:spacing w:before="11"/>
        <w:rPr>
          <w:sz w:val="18"/>
        </w:rPr>
      </w:pPr>
    </w:p>
    <w:p>
      <w:pPr>
        <w:pStyle w:val="ListParagraph"/>
        <w:numPr>
          <w:ilvl w:val="1"/>
          <w:numId w:val="109"/>
        </w:numPr>
        <w:tabs>
          <w:tab w:pos="489" w:val="left" w:leader="none"/>
        </w:tabs>
        <w:spacing w:line="240" w:lineRule="auto" w:before="0" w:after="0"/>
        <w:ind w:left="488" w:right="0" w:hanging="212"/>
        <w:jc w:val="left"/>
        <w:rPr>
          <w:sz w:val="17"/>
        </w:rPr>
      </w:pPr>
      <w:r>
        <w:rPr>
          <w:w w:val="110"/>
          <w:sz w:val="17"/>
        </w:rPr>
        <w:t>Assuming  that  Makeham's  law  holds  a.nd  given  the  following</w:t>
      </w:r>
      <w:r>
        <w:rPr>
          <w:spacing w:val="17"/>
          <w:w w:val="110"/>
          <w:sz w:val="17"/>
        </w:rPr>
        <w:t> </w:t>
      </w:r>
      <w:r>
        <w:rPr>
          <w:w w:val="110"/>
          <w:sz w:val="17"/>
        </w:rPr>
        <w:t>data</w:t>
      </w:r>
    </w:p>
    <w:p>
      <w:pPr>
        <w:spacing w:line="99" w:lineRule="exact" w:before="98"/>
        <w:ind w:left="963" w:right="0" w:firstLine="0"/>
        <w:jc w:val="center"/>
        <w:rPr>
          <w:sz w:val="11"/>
        </w:rPr>
      </w:pPr>
      <w:r>
        <w:rPr>
          <w:w w:val="135"/>
          <w:sz w:val="11"/>
        </w:rPr>
        <w:t>1</w:t>
      </w:r>
    </w:p>
    <w:p>
      <w:pPr>
        <w:spacing w:line="271" w:lineRule="exact" w:before="0"/>
        <w:ind w:left="110" w:right="0" w:firstLine="0"/>
        <w:jc w:val="left"/>
        <w:rPr>
          <w:sz w:val="11"/>
        </w:rPr>
      </w:pPr>
      <w:r>
        <w:rPr>
          <w:w w:val="102"/>
          <w:sz w:val="17"/>
        </w:rPr>
        <w:t>find</w:t>
      </w:r>
      <w:r>
        <w:rPr>
          <w:spacing w:val="21"/>
          <w:sz w:val="17"/>
        </w:rPr>
        <w:t> </w:t>
      </w:r>
      <w:r>
        <w:rPr>
          <w:w w:val="102"/>
          <w:sz w:val="18"/>
        </w:rPr>
        <w:t>as</w:t>
      </w:r>
      <w:r>
        <w:rPr>
          <w:spacing w:val="9"/>
          <w:sz w:val="18"/>
        </w:rPr>
        <w:t> </w:t>
      </w:r>
      <w:r>
        <w:rPr>
          <w:w w:val="103"/>
          <w:sz w:val="17"/>
        </w:rPr>
        <w:t>closely</w:t>
      </w:r>
      <w:r>
        <w:rPr>
          <w:sz w:val="17"/>
        </w:rPr>
        <w:t> </w:t>
      </w:r>
      <w:r>
        <w:rPr>
          <w:spacing w:val="-13"/>
          <w:sz w:val="17"/>
        </w:rPr>
        <w:t> </w:t>
      </w:r>
      <w:r>
        <w:rPr>
          <w:w w:val="102"/>
          <w:sz w:val="18"/>
        </w:rPr>
        <w:t>as</w:t>
      </w:r>
      <w:r>
        <w:rPr>
          <w:spacing w:val="2"/>
          <w:sz w:val="18"/>
        </w:rPr>
        <w:t> </w:t>
      </w:r>
      <w:r>
        <w:rPr>
          <w:w w:val="106"/>
          <w:sz w:val="17"/>
        </w:rPr>
        <w:t>possible</w:t>
      </w:r>
      <w:r>
        <w:rPr>
          <w:spacing w:val="20"/>
          <w:sz w:val="17"/>
        </w:rPr>
        <w:t> </w:t>
      </w:r>
      <w:r>
        <w:rPr>
          <w:w w:val="112"/>
          <w:sz w:val="18"/>
        </w:rPr>
        <w:t>the</w:t>
      </w:r>
      <w:r>
        <w:rPr>
          <w:spacing w:val="12"/>
          <w:sz w:val="18"/>
        </w:rPr>
        <w:t> </w:t>
      </w:r>
      <w:r>
        <w:rPr>
          <w:w w:val="110"/>
          <w:sz w:val="17"/>
        </w:rPr>
        <w:t>value</w:t>
      </w:r>
      <w:r>
        <w:rPr>
          <w:spacing w:val="17"/>
          <w:sz w:val="17"/>
        </w:rPr>
        <w:t> </w:t>
      </w:r>
      <w:r>
        <w:rPr>
          <w:w w:val="86"/>
          <w:sz w:val="17"/>
        </w:rPr>
        <w:t>of</w:t>
      </w:r>
      <w:r>
        <w:rPr>
          <w:spacing w:val="-11"/>
          <w:sz w:val="17"/>
        </w:rPr>
        <w:t> </w:t>
      </w:r>
      <w:r>
        <w:rPr>
          <w:rFonts w:ascii="Arial" w:hAnsi="Arial"/>
          <w:i/>
          <w:spacing w:val="-129"/>
          <w:w w:val="237"/>
          <w:sz w:val="26"/>
        </w:rPr>
        <w:t>.</w:t>
      </w:r>
      <w:r>
        <w:rPr>
          <w:rFonts w:ascii="Arial" w:hAnsi="Arial"/>
          <w:i/>
          <w:w w:val="52"/>
          <w:sz w:val="26"/>
        </w:rPr>
        <w:t>r/</w:t>
      </w:r>
      <w:r>
        <w:rPr>
          <w:rFonts w:ascii="Arial" w:hAnsi="Arial"/>
          <w:i/>
          <w:spacing w:val="-49"/>
          <w:sz w:val="26"/>
        </w:rPr>
        <w:t> </w:t>
      </w:r>
      <w:r>
        <w:rPr>
          <w:w w:val="109"/>
          <w:sz w:val="18"/>
          <w:u w:val="thick"/>
        </w:rPr>
        <w:t>u</w:t>
      </w:r>
      <w:r>
        <w:rPr>
          <w:spacing w:val="-3"/>
          <w:w w:val="109"/>
          <w:sz w:val="18"/>
          <w:u w:val="thick"/>
        </w:rPr>
        <w:t>:</w:t>
      </w:r>
      <w:r>
        <w:rPr>
          <w:spacing w:val="-29"/>
          <w:w w:val="205"/>
          <w:sz w:val="18"/>
          <w:u w:val="thick"/>
        </w:rPr>
        <w:t>"</w:t>
      </w:r>
      <w:r>
        <w:rPr>
          <w:w w:val="135"/>
          <w:sz w:val="18"/>
          <w:u w:val="thick"/>
        </w:rPr>
        <w:t>:</w:t>
      </w:r>
      <w:r>
        <w:rPr>
          <w:spacing w:val="-35"/>
          <w:w w:val="135"/>
          <w:sz w:val="18"/>
          <w:u w:val="thick"/>
        </w:rPr>
        <w:t>"</w:t>
      </w:r>
      <w:r>
        <w:rPr>
          <w:spacing w:val="1"/>
          <w:w w:val="138"/>
          <w:sz w:val="18"/>
        </w:rPr>
        <w:t>'</w:t>
      </w:r>
      <w:r>
        <w:rPr>
          <w:w w:val="113"/>
          <w:sz w:val="11"/>
        </w:rPr>
        <w:t>:41</w:t>
      </w:r>
      <w:r>
        <w:rPr>
          <w:sz w:val="11"/>
        </w:rPr>
        <w:t> </w:t>
      </w:r>
      <w:r>
        <w:rPr>
          <w:spacing w:val="-10"/>
          <w:sz w:val="11"/>
        </w:rPr>
        <w:t> </w:t>
      </w:r>
      <w:r>
        <w:rPr>
          <w:w w:val="91"/>
          <w:sz w:val="11"/>
        </w:rPr>
        <w:t>•</w:t>
      </w:r>
    </w:p>
    <w:p>
      <w:pPr>
        <w:spacing w:before="109"/>
        <w:ind w:left="1269" w:right="0" w:firstLine="0"/>
        <w:jc w:val="left"/>
        <w:rPr>
          <w:rFonts w:ascii="Arial"/>
          <w:b/>
          <w:sz w:val="17"/>
        </w:rPr>
      </w:pPr>
      <w:r>
        <w:rPr>
          <w:w w:val="135"/>
          <w:sz w:val="16"/>
        </w:rPr>
        <w:t>logu 4.0 </w:t>
      </w:r>
      <w:r>
        <w:rPr>
          <w:w w:val="245"/>
          <w:sz w:val="16"/>
        </w:rPr>
        <w:t>- </w:t>
      </w:r>
      <w:r>
        <w:rPr>
          <w:rFonts w:ascii="Arial"/>
          <w:b/>
          <w:w w:val="180"/>
          <w:sz w:val="17"/>
        </w:rPr>
        <w:t>.60</w:t>
      </w:r>
    </w:p>
    <w:p>
      <w:pPr>
        <w:spacing w:after="0"/>
        <w:jc w:val="left"/>
        <w:rPr>
          <w:rFonts w:ascii="Arial"/>
          <w:sz w:val="17"/>
        </w:rPr>
        <w:sectPr>
          <w:pgSz w:w="7200" w:h="11340"/>
          <w:pgMar w:top="500" w:bottom="280" w:left="660" w:right="520"/>
        </w:sectPr>
      </w:pPr>
    </w:p>
    <w:p>
      <w:pPr>
        <w:spacing w:before="56"/>
        <w:ind w:left="1269" w:right="-20" w:firstLine="0"/>
        <w:jc w:val="left"/>
        <w:rPr>
          <w:sz w:val="16"/>
        </w:rPr>
      </w:pPr>
      <w:r>
        <w:rPr>
          <w:w w:val="110"/>
          <w:sz w:val="16"/>
        </w:rPr>
        <w:t>logu  4.1 </w:t>
      </w:r>
      <w:r>
        <w:rPr>
          <w:w w:val="110"/>
          <w:sz w:val="24"/>
        </w:rPr>
        <w:t>= </w:t>
      </w:r>
      <w:r>
        <w:rPr>
          <w:w w:val="110"/>
          <w:sz w:val="16"/>
        </w:rPr>
        <w:t>.61278</w:t>
      </w:r>
    </w:p>
    <w:p>
      <w:pPr>
        <w:spacing w:before="109"/>
        <w:ind w:left="1269" w:right="-20" w:firstLine="0"/>
        <w:jc w:val="left"/>
        <w:rPr>
          <w:sz w:val="16"/>
        </w:rPr>
      </w:pPr>
      <w:r>
        <w:rPr>
          <w:sz w:val="17"/>
        </w:rPr>
        <w:t>log10 </w:t>
      </w:r>
      <w:r>
        <w:rPr>
          <w:sz w:val="16"/>
        </w:rPr>
        <w:t>4.2  </w:t>
      </w:r>
      <w:r>
        <w:rPr>
          <w:rFonts w:ascii="Arial"/>
          <w:sz w:val="15"/>
        </w:rPr>
        <w:t>=- </w:t>
      </w:r>
      <w:r>
        <w:rPr>
          <w:sz w:val="16"/>
        </w:rPr>
        <w:t>.62325</w:t>
      </w:r>
    </w:p>
    <w:p>
      <w:pPr>
        <w:spacing w:before="72"/>
        <w:ind w:left="1266" w:right="-20" w:firstLine="0"/>
        <w:jc w:val="left"/>
        <w:rPr>
          <w:sz w:val="18"/>
        </w:rPr>
      </w:pPr>
      <w:r>
        <w:rPr>
          <w:sz w:val="17"/>
        </w:rPr>
        <w:t>log10 </w:t>
      </w:r>
      <w:r>
        <w:rPr>
          <w:sz w:val="18"/>
        </w:rPr>
        <w:t>4.3 </w:t>
      </w:r>
      <w:r>
        <w:rPr>
          <w:sz w:val="23"/>
        </w:rPr>
        <w:t>=</w:t>
      </w:r>
      <w:r>
        <w:rPr>
          <w:spacing w:val="-35"/>
          <w:sz w:val="23"/>
        </w:rPr>
        <w:t> </w:t>
      </w:r>
      <w:r>
        <w:rPr>
          <w:sz w:val="18"/>
        </w:rPr>
        <w:t>.63347</w:t>
      </w:r>
    </w:p>
    <w:p>
      <w:pPr>
        <w:spacing w:before="59"/>
        <w:ind w:left="1266" w:right="-20" w:firstLine="0"/>
        <w:jc w:val="left"/>
        <w:rPr>
          <w:sz w:val="16"/>
        </w:rPr>
      </w:pPr>
      <w:r>
        <w:rPr>
          <w:sz w:val="16"/>
        </w:rPr>
        <w:t>log10 4.4  </w:t>
      </w:r>
      <w:r>
        <w:rPr>
          <w:sz w:val="23"/>
        </w:rPr>
        <w:t>= </w:t>
      </w:r>
      <w:r>
        <w:rPr>
          <w:sz w:val="16"/>
        </w:rPr>
        <w:t>.64345</w:t>
      </w:r>
    </w:p>
    <w:p>
      <w:pPr>
        <w:spacing w:before="98"/>
        <w:ind w:left="714" w:right="0" w:firstLine="0"/>
        <w:jc w:val="center"/>
        <w:rPr>
          <w:rFonts w:ascii="Arial"/>
          <w:sz w:val="17"/>
        </w:rPr>
      </w:pPr>
      <w:r>
        <w:rPr/>
        <w:br w:type="column"/>
      </w:r>
      <w:r>
        <w:rPr>
          <w:i/>
          <w:sz w:val="18"/>
        </w:rPr>
        <w:t>e  ...   </w:t>
      </w:r>
      <w:r>
        <w:rPr>
          <w:rFonts w:ascii="Arial"/>
          <w:sz w:val="17"/>
        </w:rPr>
        <w:t>1.1</w:t>
      </w:r>
    </w:p>
    <w:p>
      <w:pPr>
        <w:spacing w:before="81"/>
        <w:ind w:left="663" w:right="0" w:firstLine="0"/>
        <w:jc w:val="center"/>
        <w:rPr>
          <w:sz w:val="18"/>
        </w:rPr>
      </w:pPr>
      <w:r>
        <w:rPr>
          <w:w w:val="110"/>
          <w:sz w:val="17"/>
        </w:rPr>
        <w:t>log.</w:t>
      </w:r>
      <w:r>
        <w:rPr>
          <w:spacing w:val="11"/>
          <w:sz w:val="17"/>
        </w:rPr>
        <w:t> </w:t>
      </w:r>
      <w:r>
        <w:rPr>
          <w:w w:val="85"/>
          <w:sz w:val="18"/>
        </w:rPr>
        <w:t>a</w:t>
      </w:r>
      <w:r>
        <w:rPr>
          <w:sz w:val="18"/>
        </w:rPr>
        <w:t> </w:t>
      </w:r>
      <w:r>
        <w:rPr>
          <w:spacing w:val="3"/>
          <w:sz w:val="18"/>
        </w:rPr>
        <w:t> </w:t>
      </w:r>
      <w:r>
        <w:rPr>
          <w:w w:val="83"/>
          <w:sz w:val="23"/>
        </w:rPr>
        <w:t>=</w:t>
      </w:r>
      <w:r>
        <w:rPr>
          <w:sz w:val="23"/>
        </w:rPr>
        <w:t> </w:t>
      </w:r>
      <w:r>
        <w:rPr>
          <w:spacing w:val="-12"/>
          <w:sz w:val="23"/>
        </w:rPr>
        <w:t> </w:t>
      </w:r>
      <w:r>
        <w:rPr>
          <w:spacing w:val="-9"/>
          <w:w w:val="207"/>
          <w:sz w:val="23"/>
        </w:rPr>
        <w:t>-</w:t>
      </w:r>
      <w:r>
        <w:rPr>
          <w:w w:val="92"/>
          <w:sz w:val="18"/>
        </w:rPr>
        <w:t>.006</w:t>
      </w:r>
      <w:r>
        <w:rPr>
          <w:spacing w:val="-17"/>
          <w:w w:val="92"/>
          <w:sz w:val="18"/>
        </w:rPr>
        <w:t>1</w:t>
      </w:r>
      <w:r>
        <w:rPr>
          <w:w w:val="104"/>
          <w:sz w:val="18"/>
        </w:rPr>
        <w:t>9</w:t>
      </w:r>
    </w:p>
    <w:p>
      <w:pPr>
        <w:spacing w:before="59"/>
        <w:ind w:left="426" w:right="-19" w:firstLine="0"/>
        <w:jc w:val="left"/>
        <w:rPr>
          <w:sz w:val="16"/>
        </w:rPr>
      </w:pPr>
      <w:r>
        <w:rPr>
          <w:w w:val="105"/>
          <w:sz w:val="16"/>
        </w:rPr>
        <w:t>l,o,,o:o,u   </w:t>
      </w:r>
      <w:r>
        <w:rPr>
          <w:w w:val="105"/>
          <w:sz w:val="23"/>
        </w:rPr>
        <w:t>=  </w:t>
      </w:r>
      <w:r>
        <w:rPr>
          <w:w w:val="105"/>
          <w:sz w:val="16"/>
        </w:rPr>
        <w:t>13.880</w:t>
      </w:r>
    </w:p>
    <w:p>
      <w:pPr>
        <w:spacing w:before="66"/>
        <w:ind w:left="429" w:right="-19" w:firstLine="0"/>
        <w:jc w:val="left"/>
        <w:rPr>
          <w:b/>
          <w:sz w:val="17"/>
        </w:rPr>
      </w:pPr>
      <w:r>
        <w:rPr>
          <w:w w:val="105"/>
          <w:sz w:val="11"/>
        </w:rPr>
        <w:t>tH:41:41:41    </w:t>
      </w:r>
      <w:r>
        <w:rPr>
          <w:w w:val="105"/>
          <w:sz w:val="23"/>
        </w:rPr>
        <w:t>= </w:t>
      </w:r>
      <w:r>
        <w:rPr>
          <w:b/>
          <w:w w:val="105"/>
          <w:sz w:val="17"/>
        </w:rPr>
        <w:t>13.429</w:t>
      </w:r>
    </w:p>
    <w:p>
      <w:pPr>
        <w:pStyle w:val="BodyText"/>
        <w:rPr>
          <w:b/>
          <w:sz w:val="16"/>
        </w:rPr>
      </w:pPr>
      <w:r>
        <w:rPr/>
        <w:br w:type="column"/>
      </w:r>
      <w:r>
        <w:rPr>
          <w:b/>
          <w:sz w:val="16"/>
        </w:rPr>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spacing w:before="128"/>
        <w:ind w:left="352" w:right="0" w:firstLine="0"/>
        <w:jc w:val="left"/>
        <w:rPr>
          <w:sz w:val="16"/>
        </w:rPr>
      </w:pPr>
      <w:r>
        <w:rPr>
          <w:w w:val="115"/>
          <w:sz w:val="16"/>
        </w:rPr>
        <w:t>(Ans. .725)</w:t>
      </w:r>
    </w:p>
    <w:p>
      <w:pPr>
        <w:spacing w:after="0"/>
        <w:jc w:val="left"/>
        <w:rPr>
          <w:sz w:val="16"/>
        </w:rPr>
        <w:sectPr>
          <w:type w:val="continuous"/>
          <w:pgSz w:w="7200" w:h="11340"/>
          <w:pgMar w:top="1100" w:bottom="0" w:left="660" w:right="520"/>
          <w:cols w:num="3" w:equalWidth="0">
            <w:col w:w="2633" w:space="40"/>
            <w:col w:w="1982" w:space="40"/>
            <w:col w:w="1325"/>
          </w:cols>
        </w:sectPr>
      </w:pPr>
    </w:p>
    <w:p>
      <w:pPr>
        <w:pStyle w:val="BodyText"/>
        <w:spacing w:before="3"/>
        <w:rPr>
          <w:sz w:val="9"/>
        </w:rPr>
      </w:pPr>
    </w:p>
    <w:p>
      <w:pPr>
        <w:pStyle w:val="ListParagraph"/>
        <w:numPr>
          <w:ilvl w:val="0"/>
          <w:numId w:val="110"/>
        </w:numPr>
        <w:tabs>
          <w:tab w:pos="327" w:val="left" w:leader="none"/>
        </w:tabs>
        <w:spacing w:line="240" w:lineRule="auto" w:before="80" w:after="0"/>
        <w:ind w:left="326" w:right="0" w:hanging="223"/>
        <w:jc w:val="left"/>
        <w:rPr>
          <w:b/>
          <w:sz w:val="16"/>
        </w:rPr>
      </w:pPr>
      <w:r>
        <w:rPr>
          <w:b/>
          <w:w w:val="130"/>
          <w:sz w:val="16"/>
        </w:rPr>
        <w:t>Contingent insurance</w:t>
      </w:r>
      <w:r>
        <w:rPr>
          <w:b/>
          <w:spacing w:val="-7"/>
          <w:w w:val="130"/>
          <w:sz w:val="16"/>
        </w:rPr>
        <w:t> </w:t>
      </w:r>
      <w:r>
        <w:rPr>
          <w:b/>
          <w:w w:val="130"/>
          <w:sz w:val="16"/>
        </w:rPr>
        <w:t>functions</w:t>
      </w:r>
    </w:p>
    <w:p>
      <w:pPr>
        <w:pStyle w:val="ListParagraph"/>
        <w:numPr>
          <w:ilvl w:val="1"/>
          <w:numId w:val="110"/>
        </w:numPr>
        <w:tabs>
          <w:tab w:pos="471" w:val="left" w:leader="none"/>
        </w:tabs>
        <w:spacing w:line="237" w:lineRule="auto" w:before="85" w:after="0"/>
        <w:ind w:left="103" w:right="160" w:firstLine="155"/>
        <w:jc w:val="both"/>
        <w:rPr>
          <w:sz w:val="17"/>
        </w:rPr>
      </w:pPr>
      <w:r>
        <w:rPr>
          <w:w w:val="110"/>
          <w:sz w:val="17"/>
        </w:rPr>
        <w:t>Show that the net single premium for an insuranee of 1payable at tbe end of the year of death of (x) ,provided that </w:t>
      </w:r>
      <w:r>
        <w:rPr>
          <w:w w:val="110"/>
          <w:sz w:val="16"/>
        </w:rPr>
        <w:t>(y) is </w:t>
      </w:r>
      <w:r>
        <w:rPr>
          <w:w w:val="110"/>
          <w:sz w:val="17"/>
        </w:rPr>
        <w:t>then alive may </w:t>
      </w:r>
      <w:r>
        <w:rPr>
          <w:w w:val="110"/>
          <w:sz w:val="18"/>
        </w:rPr>
        <w:t>be </w:t>
      </w:r>
      <w:r>
        <w:rPr>
          <w:w w:val="110"/>
          <w:sz w:val="17"/>
        </w:rPr>
        <w:t>ex­ preseed</w:t>
      </w:r>
      <w:r>
        <w:rPr>
          <w:spacing w:val="5"/>
          <w:w w:val="110"/>
          <w:sz w:val="17"/>
        </w:rPr>
        <w:t> </w:t>
      </w:r>
      <w:r>
        <w:rPr>
          <w:w w:val="110"/>
          <w:sz w:val="18"/>
        </w:rPr>
        <w:t>as</w:t>
      </w:r>
    </w:p>
    <w:p>
      <w:pPr>
        <w:pStyle w:val="BodyText"/>
        <w:spacing w:before="9"/>
        <w:rPr>
          <w:sz w:val="10"/>
        </w:rPr>
      </w:pPr>
      <w:r>
        <w:rPr/>
        <w:drawing>
          <wp:anchor distT="0" distB="0" distL="0" distR="0" allowOverlap="1" layoutInCell="1" locked="0" behindDoc="0" simplePos="0" relativeHeight="19504">
            <wp:simplePos x="0" y="0"/>
            <wp:positionH relativeFrom="page">
              <wp:posOffset>1911095</wp:posOffset>
            </wp:positionH>
            <wp:positionV relativeFrom="paragraph">
              <wp:posOffset>103539</wp:posOffset>
            </wp:positionV>
            <wp:extent cx="786383" cy="100584"/>
            <wp:effectExtent l="0" t="0" r="0" b="0"/>
            <wp:wrapTopAndBottom/>
            <wp:docPr id="569" name="image290.png" descr=""/>
            <wp:cNvGraphicFramePr>
              <a:graphicFrameLocks noChangeAspect="1"/>
            </wp:cNvGraphicFramePr>
            <a:graphic>
              <a:graphicData uri="http://schemas.openxmlformats.org/drawingml/2006/picture">
                <pic:pic>
                  <pic:nvPicPr>
                    <pic:cNvPr id="570" name="image290.png"/>
                    <pic:cNvPicPr/>
                  </pic:nvPicPr>
                  <pic:blipFill>
                    <a:blip r:embed="rId294" cstate="print"/>
                    <a:stretch>
                      <a:fillRect/>
                    </a:stretch>
                  </pic:blipFill>
                  <pic:spPr>
                    <a:xfrm>
                      <a:off x="0" y="0"/>
                      <a:ext cx="786383" cy="100584"/>
                    </a:xfrm>
                    <a:prstGeom prst="rect">
                      <a:avLst/>
                    </a:prstGeom>
                  </pic:spPr>
                </pic:pic>
              </a:graphicData>
            </a:graphic>
          </wp:anchor>
        </w:drawing>
      </w:r>
    </w:p>
    <w:p>
      <w:pPr>
        <w:pStyle w:val="ListParagraph"/>
        <w:numPr>
          <w:ilvl w:val="1"/>
          <w:numId w:val="110"/>
        </w:numPr>
        <w:tabs>
          <w:tab w:pos="550" w:val="left" w:leader="none"/>
        </w:tabs>
        <w:spacing w:line="240" w:lineRule="auto" w:before="87" w:after="0"/>
        <w:ind w:left="549" w:right="0" w:hanging="270"/>
        <w:jc w:val="left"/>
        <w:rPr>
          <w:b/>
          <w:sz w:val="17"/>
        </w:rPr>
      </w:pPr>
      <w:r>
        <w:rPr>
          <w:w w:val="105"/>
          <w:sz w:val="17"/>
        </w:rPr>
        <w:t>Show by </w:t>
      </w:r>
      <w:r>
        <w:rPr>
          <w:b/>
          <w:w w:val="105"/>
          <w:sz w:val="18"/>
        </w:rPr>
        <w:t>general reuoning</w:t>
      </w:r>
      <w:r>
        <w:rPr>
          <w:b/>
          <w:spacing w:val="38"/>
          <w:w w:val="105"/>
          <w:sz w:val="18"/>
        </w:rPr>
        <w:t> </w:t>
      </w:r>
      <w:r>
        <w:rPr>
          <w:b/>
          <w:w w:val="105"/>
          <w:sz w:val="18"/>
        </w:rPr>
        <w:t>that</w:t>
      </w:r>
    </w:p>
    <w:p>
      <w:pPr>
        <w:spacing w:before="90"/>
        <w:ind w:left="293" w:right="358" w:firstLine="0"/>
        <w:jc w:val="center"/>
        <w:rPr>
          <w:sz w:val="17"/>
        </w:rPr>
      </w:pPr>
      <w:r>
        <w:rPr>
          <w:b/>
          <w:i/>
          <w:w w:val="170"/>
          <w:sz w:val="18"/>
        </w:rPr>
        <w:t>A </w:t>
      </w:r>
      <w:r>
        <w:rPr>
          <w:w w:val="235"/>
          <w:sz w:val="18"/>
        </w:rPr>
        <w:t>- </w:t>
      </w:r>
      <w:r>
        <w:rPr>
          <w:b/>
          <w:w w:val="105"/>
          <w:sz w:val="22"/>
        </w:rPr>
        <w:t>A!, &gt; </w:t>
      </w:r>
      <w:r>
        <w:rPr>
          <w:w w:val="105"/>
          <w:sz w:val="17"/>
        </w:rPr>
        <w:t>O.</w:t>
      </w:r>
    </w:p>
    <w:p>
      <w:pPr>
        <w:spacing w:line="261" w:lineRule="exact" w:before="58"/>
        <w:ind w:left="128" w:right="0" w:firstLine="0"/>
        <w:jc w:val="left"/>
        <w:rPr>
          <w:sz w:val="17"/>
        </w:rPr>
      </w:pPr>
      <w:r>
        <w:rPr>
          <w:w w:val="105"/>
          <w:sz w:val="17"/>
        </w:rPr>
        <w:t>Is this true  </w:t>
      </w:r>
      <w:r>
        <w:rPr>
          <w:w w:val="105"/>
          <w:sz w:val="18"/>
        </w:rPr>
        <w:t>if  </w:t>
      </w:r>
      <w:r>
        <w:rPr>
          <w:i/>
          <w:w w:val="120"/>
          <w:sz w:val="19"/>
        </w:rPr>
        <w:t>i </w:t>
      </w:r>
      <w:r>
        <w:rPr>
          <w:w w:val="105"/>
          <w:sz w:val="23"/>
        </w:rPr>
        <w:t>= </w:t>
      </w:r>
      <w:r>
        <w:rPr>
          <w:w w:val="105"/>
          <w:sz w:val="17"/>
        </w:rPr>
        <w:t>O?  Explain.</w:t>
      </w:r>
    </w:p>
    <w:p>
      <w:pPr>
        <w:pStyle w:val="ListParagraph"/>
        <w:numPr>
          <w:ilvl w:val="1"/>
          <w:numId w:val="110"/>
        </w:numPr>
        <w:tabs>
          <w:tab w:pos="557" w:val="left" w:leader="none"/>
        </w:tabs>
        <w:spacing w:line="192" w:lineRule="exact" w:before="0" w:after="0"/>
        <w:ind w:left="556" w:right="0" w:hanging="277"/>
        <w:jc w:val="left"/>
        <w:rPr>
          <w:sz w:val="16"/>
        </w:rPr>
      </w:pPr>
      <w:r>
        <w:rPr/>
        <w:drawing>
          <wp:anchor distT="0" distB="0" distL="0" distR="0" allowOverlap="1" layoutInCell="1" locked="0" behindDoc="0" simplePos="0" relativeHeight="19528">
            <wp:simplePos x="0" y="0"/>
            <wp:positionH relativeFrom="page">
              <wp:posOffset>1700783</wp:posOffset>
            </wp:positionH>
            <wp:positionV relativeFrom="paragraph">
              <wp:posOffset>196900</wp:posOffset>
            </wp:positionV>
            <wp:extent cx="1207007" cy="128016"/>
            <wp:effectExtent l="0" t="0" r="0" b="0"/>
            <wp:wrapTopAndBottom/>
            <wp:docPr id="571" name="image291.png" descr=""/>
            <wp:cNvGraphicFramePr>
              <a:graphicFrameLocks noChangeAspect="1"/>
            </wp:cNvGraphicFramePr>
            <a:graphic>
              <a:graphicData uri="http://schemas.openxmlformats.org/drawingml/2006/picture">
                <pic:pic>
                  <pic:nvPicPr>
                    <pic:cNvPr id="572" name="image291.png"/>
                    <pic:cNvPicPr/>
                  </pic:nvPicPr>
                  <pic:blipFill>
                    <a:blip r:embed="rId295" cstate="print"/>
                    <a:stretch>
                      <a:fillRect/>
                    </a:stretch>
                  </pic:blipFill>
                  <pic:spPr>
                    <a:xfrm>
                      <a:off x="0" y="0"/>
                      <a:ext cx="1207007" cy="128016"/>
                    </a:xfrm>
                    <a:prstGeom prst="rect">
                      <a:avLst/>
                    </a:prstGeom>
                  </pic:spPr>
                </pic:pic>
              </a:graphicData>
            </a:graphic>
          </wp:anchor>
        </w:drawing>
      </w:r>
      <w:r>
        <w:rPr/>
        <w:drawing>
          <wp:anchor distT="0" distB="0" distL="0" distR="0" allowOverlap="1" layoutInCell="1" locked="0" behindDoc="0" simplePos="0" relativeHeight="19552">
            <wp:simplePos x="0" y="0"/>
            <wp:positionH relativeFrom="page">
              <wp:posOffset>585216</wp:posOffset>
            </wp:positionH>
            <wp:positionV relativeFrom="paragraph">
              <wp:posOffset>425500</wp:posOffset>
            </wp:positionV>
            <wp:extent cx="2532888" cy="868680"/>
            <wp:effectExtent l="0" t="0" r="0" b="0"/>
            <wp:wrapTopAndBottom/>
            <wp:docPr id="573" name="image292.png" descr=""/>
            <wp:cNvGraphicFramePr>
              <a:graphicFrameLocks noChangeAspect="1"/>
            </wp:cNvGraphicFramePr>
            <a:graphic>
              <a:graphicData uri="http://schemas.openxmlformats.org/drawingml/2006/picture">
                <pic:pic>
                  <pic:nvPicPr>
                    <pic:cNvPr id="574" name="image292.png"/>
                    <pic:cNvPicPr/>
                  </pic:nvPicPr>
                  <pic:blipFill>
                    <a:blip r:embed="rId296" cstate="print"/>
                    <a:stretch>
                      <a:fillRect/>
                    </a:stretch>
                  </pic:blipFill>
                  <pic:spPr>
                    <a:xfrm>
                      <a:off x="0" y="0"/>
                      <a:ext cx="2532888" cy="868680"/>
                    </a:xfrm>
                    <a:prstGeom prst="rect">
                      <a:avLst/>
                    </a:prstGeom>
                  </pic:spPr>
                </pic:pic>
              </a:graphicData>
            </a:graphic>
          </wp:anchor>
        </w:drawing>
      </w:r>
      <w:r>
        <w:rPr>
          <w:w w:val="115"/>
          <w:sz w:val="17"/>
        </w:rPr>
        <w:t>Show</w:t>
      </w:r>
      <w:r>
        <w:rPr>
          <w:spacing w:val="-11"/>
          <w:w w:val="115"/>
          <w:sz w:val="17"/>
        </w:rPr>
        <w:t> </w:t>
      </w:r>
      <w:r>
        <w:rPr>
          <w:w w:val="115"/>
          <w:sz w:val="17"/>
        </w:rPr>
        <w:t>that</w:t>
      </w:r>
    </w:p>
    <w:p>
      <w:pPr>
        <w:pStyle w:val="BodyText"/>
        <w:spacing w:before="9"/>
        <w:rPr>
          <w:sz w:val="7"/>
        </w:rPr>
      </w:pPr>
    </w:p>
    <w:p>
      <w:pPr>
        <w:spacing w:line="164" w:lineRule="exact" w:before="111"/>
        <w:ind w:left="121" w:right="0" w:firstLine="0"/>
        <w:jc w:val="left"/>
        <w:rPr>
          <w:sz w:val="17"/>
        </w:rPr>
      </w:pPr>
      <w:r>
        <w:rPr>
          <w:w w:val="110"/>
          <w:sz w:val="16"/>
        </w:rPr>
        <w:t>In ea.ch  case,  describe  </w:t>
      </w:r>
      <w:r>
        <w:rPr>
          <w:w w:val="110"/>
          <w:sz w:val="17"/>
        </w:rPr>
        <w:t>the benefit.</w:t>
      </w:r>
    </w:p>
    <w:p>
      <w:pPr>
        <w:spacing w:line="245" w:lineRule="exact" w:before="0"/>
        <w:ind w:left="279" w:right="0" w:firstLine="0"/>
        <w:jc w:val="left"/>
        <w:rPr>
          <w:b/>
          <w:sz w:val="18"/>
        </w:rPr>
      </w:pPr>
      <w:r>
        <w:rPr>
          <w:spacing w:val="-34"/>
          <w:w w:val="127"/>
          <w:sz w:val="16"/>
        </w:rPr>
        <w:t>1</w:t>
      </w:r>
      <w:r>
        <w:rPr>
          <w:w w:val="111"/>
          <w:sz w:val="16"/>
        </w:rPr>
        <w:t>3.</w:t>
      </w:r>
      <w:r>
        <w:rPr>
          <w:sz w:val="16"/>
        </w:rPr>
        <w:t> </w:t>
      </w:r>
      <w:r>
        <w:rPr>
          <w:spacing w:val="6"/>
          <w:sz w:val="16"/>
        </w:rPr>
        <w:t> </w:t>
      </w:r>
      <w:r>
        <w:rPr>
          <w:w w:val="107"/>
          <w:sz w:val="17"/>
        </w:rPr>
        <w:t>Express</w:t>
      </w:r>
      <w:r>
        <w:rPr>
          <w:sz w:val="17"/>
        </w:rPr>
        <w:t> </w:t>
      </w:r>
      <w:r>
        <w:rPr>
          <w:spacing w:val="-15"/>
          <w:sz w:val="17"/>
        </w:rPr>
        <w:t> </w:t>
      </w:r>
      <w:r>
        <w:rPr>
          <w:i/>
          <w:w w:val="58"/>
          <w:sz w:val="24"/>
        </w:rPr>
        <w:t>A...</w:t>
      </w:r>
      <w:r>
        <w:rPr>
          <w:i/>
          <w:spacing w:val="15"/>
          <w:w w:val="58"/>
          <w:sz w:val="24"/>
        </w:rPr>
        <w:t>!</w:t>
      </w:r>
      <w:r>
        <w:rPr>
          <w:rFonts w:ascii="Arial" w:hAnsi="Arial"/>
          <w:i/>
          <w:w w:val="65"/>
          <w:position w:val="-2"/>
          <w:sz w:val="9"/>
        </w:rPr>
        <w:t>1</w:t>
      </w:r>
      <w:r>
        <w:rPr>
          <w:rFonts w:ascii="Arial" w:hAnsi="Arial"/>
          <w:i/>
          <w:spacing w:val="2"/>
          <w:w w:val="65"/>
          <w:position w:val="-2"/>
          <w:sz w:val="9"/>
        </w:rPr>
        <w:t>1</w:t>
      </w:r>
      <w:r>
        <w:rPr>
          <w:rFonts w:ascii="Arial" w:hAnsi="Arial"/>
          <w:i/>
          <w:w w:val="191"/>
          <w:sz w:val="9"/>
        </w:rPr>
        <w:t>•</w:t>
      </w:r>
      <w:r>
        <w:rPr>
          <w:rFonts w:ascii="Arial" w:hAnsi="Arial"/>
          <w:i/>
          <w:sz w:val="9"/>
        </w:rPr>
        <w:t> </w:t>
      </w:r>
      <w:r>
        <w:rPr>
          <w:rFonts w:ascii="Arial" w:hAnsi="Arial"/>
          <w:i/>
          <w:spacing w:val="-3"/>
          <w:sz w:val="9"/>
        </w:rPr>
        <w:t> </w:t>
      </w:r>
      <w:r>
        <w:rPr>
          <w:w w:val="105"/>
          <w:sz w:val="17"/>
        </w:rPr>
        <w:t>in</w:t>
      </w:r>
      <w:r>
        <w:rPr>
          <w:sz w:val="17"/>
        </w:rPr>
        <w:t> </w:t>
      </w:r>
      <w:r>
        <w:rPr>
          <w:spacing w:val="-20"/>
          <w:sz w:val="17"/>
        </w:rPr>
        <w:t> </w:t>
      </w:r>
      <w:r>
        <w:rPr>
          <w:w w:val="111"/>
          <w:sz w:val="17"/>
        </w:rPr>
        <w:t>terms</w:t>
      </w:r>
      <w:r>
        <w:rPr>
          <w:sz w:val="17"/>
        </w:rPr>
        <w:t> </w:t>
      </w:r>
      <w:r>
        <w:rPr>
          <w:spacing w:val="-15"/>
          <w:sz w:val="17"/>
        </w:rPr>
        <w:t> </w:t>
      </w:r>
      <w:r>
        <w:rPr>
          <w:w w:val="89"/>
          <w:sz w:val="17"/>
        </w:rPr>
        <w:t>of</w:t>
      </w:r>
      <w:r>
        <w:rPr>
          <w:sz w:val="17"/>
        </w:rPr>
        <w:t> </w:t>
      </w:r>
      <w:r>
        <w:rPr>
          <w:spacing w:val="-4"/>
          <w:sz w:val="17"/>
        </w:rPr>
        <w:t> </w:t>
      </w:r>
      <w:r>
        <w:rPr>
          <w:w w:val="103"/>
          <w:sz w:val="17"/>
        </w:rPr>
        <w:t>irumrances</w:t>
      </w:r>
      <w:r>
        <w:rPr>
          <w:sz w:val="17"/>
        </w:rPr>
        <w:t> </w:t>
      </w:r>
      <w:r>
        <w:rPr>
          <w:spacing w:val="-10"/>
          <w:sz w:val="17"/>
        </w:rPr>
        <w:t> </w:t>
      </w:r>
      <w:r>
        <w:rPr>
          <w:w w:val="110"/>
          <w:sz w:val="17"/>
        </w:rPr>
        <w:t>contingent</w:t>
      </w:r>
      <w:r>
        <w:rPr>
          <w:sz w:val="17"/>
        </w:rPr>
        <w:t> </w:t>
      </w:r>
      <w:r>
        <w:rPr>
          <w:spacing w:val="-10"/>
          <w:sz w:val="17"/>
        </w:rPr>
        <w:t> </w:t>
      </w:r>
      <w:r>
        <w:rPr>
          <w:w w:val="108"/>
          <w:sz w:val="17"/>
        </w:rPr>
        <w:t>on</w:t>
      </w:r>
      <w:r>
        <w:rPr>
          <w:spacing w:val="15"/>
          <w:sz w:val="17"/>
        </w:rPr>
        <w:t> </w:t>
      </w:r>
      <w:r>
        <w:rPr>
          <w:w w:val="117"/>
          <w:sz w:val="17"/>
        </w:rPr>
        <w:t>the</w:t>
      </w:r>
      <w:r>
        <w:rPr>
          <w:sz w:val="17"/>
        </w:rPr>
        <w:t> </w:t>
      </w:r>
      <w:r>
        <w:rPr>
          <w:spacing w:val="-21"/>
          <w:sz w:val="17"/>
        </w:rPr>
        <w:t> </w:t>
      </w:r>
      <w:r>
        <w:rPr>
          <w:w w:val="106"/>
          <w:sz w:val="17"/>
        </w:rPr>
        <w:t>first</w:t>
      </w:r>
      <w:r>
        <w:rPr>
          <w:sz w:val="17"/>
        </w:rPr>
        <w:t> </w:t>
      </w:r>
      <w:r>
        <w:rPr>
          <w:spacing w:val="-15"/>
          <w:sz w:val="17"/>
        </w:rPr>
        <w:t> </w:t>
      </w:r>
      <w:r>
        <w:rPr>
          <w:b/>
          <w:w w:val="99"/>
          <w:sz w:val="18"/>
        </w:rPr>
        <w:t>deatb.</w:t>
      </w:r>
    </w:p>
    <w:p>
      <w:pPr>
        <w:pStyle w:val="BodyText"/>
        <w:spacing w:before="3"/>
        <w:rPr>
          <w:b/>
          <w:sz w:val="10"/>
        </w:rPr>
      </w:pPr>
    </w:p>
    <w:p>
      <w:pPr>
        <w:pStyle w:val="ListParagraph"/>
        <w:numPr>
          <w:ilvl w:val="0"/>
          <w:numId w:val="111"/>
        </w:numPr>
        <w:tabs>
          <w:tab w:pos="330" w:val="left" w:leader="none"/>
        </w:tabs>
        <w:spacing w:line="240" w:lineRule="auto" w:before="80" w:after="0"/>
        <w:ind w:left="330" w:right="0" w:hanging="224"/>
        <w:jc w:val="left"/>
        <w:rPr>
          <w:b/>
          <w:sz w:val="16"/>
        </w:rPr>
      </w:pPr>
      <w:r>
        <w:rPr>
          <w:b/>
          <w:w w:val="125"/>
          <w:sz w:val="16"/>
        </w:rPr>
        <w:t>Evaluation  of contingent</w:t>
      </w:r>
      <w:r>
        <w:rPr>
          <w:b/>
          <w:spacing w:val="28"/>
          <w:w w:val="125"/>
          <w:sz w:val="16"/>
        </w:rPr>
        <w:t> </w:t>
      </w:r>
      <w:r>
        <w:rPr>
          <w:b/>
          <w:w w:val="125"/>
          <w:sz w:val="16"/>
        </w:rPr>
        <w:t>insurances</w:t>
      </w:r>
    </w:p>
    <w:p>
      <w:pPr>
        <w:spacing w:before="57"/>
        <w:ind w:left="0" w:right="1531" w:firstLine="0"/>
        <w:jc w:val="right"/>
        <w:rPr>
          <w:sz w:val="11"/>
        </w:rPr>
      </w:pPr>
      <w:r>
        <w:rPr>
          <w:w w:val="148"/>
          <w:sz w:val="11"/>
        </w:rPr>
        <w:t>1</w:t>
      </w:r>
    </w:p>
    <w:p>
      <w:pPr>
        <w:pStyle w:val="ListParagraph"/>
        <w:numPr>
          <w:ilvl w:val="1"/>
          <w:numId w:val="111"/>
        </w:numPr>
        <w:tabs>
          <w:tab w:pos="550" w:val="left" w:leader="none"/>
        </w:tabs>
        <w:spacing w:line="247" w:lineRule="auto" w:before="4" w:after="0"/>
        <w:ind w:left="110" w:right="167" w:firstLine="158"/>
        <w:jc w:val="left"/>
        <w:rPr>
          <w:sz w:val="17"/>
        </w:rPr>
      </w:pPr>
      <w:r>
        <w:rPr>
          <w:w w:val="110"/>
          <w:sz w:val="17"/>
        </w:rPr>
        <w:t>Describe the benefit denoted by the symbol As:;;¡' and give a for­  mula for it in  commutation </w:t>
      </w:r>
      <w:r>
        <w:rPr>
          <w:spacing w:val="20"/>
          <w:w w:val="110"/>
          <w:sz w:val="17"/>
        </w:rPr>
        <w:t> </w:t>
      </w:r>
      <w:r>
        <w:rPr>
          <w:w w:val="110"/>
          <w:sz w:val="17"/>
        </w:rPr>
        <w:t>symbols.</w:t>
      </w:r>
    </w:p>
    <w:p>
      <w:pPr>
        <w:pStyle w:val="ListParagraph"/>
        <w:numPr>
          <w:ilvl w:val="1"/>
          <w:numId w:val="111"/>
        </w:numPr>
        <w:tabs>
          <w:tab w:pos="550" w:val="left" w:leader="none"/>
        </w:tabs>
        <w:spacing w:line="207" w:lineRule="exact" w:before="0" w:after="0"/>
        <w:ind w:left="549" w:right="0" w:hanging="281"/>
        <w:jc w:val="left"/>
        <w:rPr>
          <w:sz w:val="17"/>
        </w:rPr>
      </w:pPr>
      <w:r>
        <w:rPr>
          <w:w w:val="110"/>
          <w:sz w:val="17"/>
        </w:rPr>
        <w:t>Given </w:t>
      </w:r>
      <w:r>
        <w:rPr>
          <w:w w:val="110"/>
          <w:sz w:val="13"/>
        </w:rPr>
        <w:t>#'z   </w:t>
      </w:r>
      <w:r>
        <w:rPr>
          <w:rFonts w:ascii="Arial" w:hAnsi="Arial"/>
          <w:w w:val="120"/>
          <w:sz w:val="14"/>
        </w:rPr>
        <w:t>=  </w:t>
      </w:r>
      <w:r>
        <w:rPr>
          <w:w w:val="110"/>
          <w:sz w:val="17"/>
        </w:rPr>
        <w:t>0.002  </w:t>
      </w:r>
      <w:r>
        <w:rPr>
          <w:w w:val="110"/>
          <w:sz w:val="24"/>
        </w:rPr>
        <w:t>+ </w:t>
      </w:r>
      <w:r>
        <w:rPr>
          <w:w w:val="110"/>
          <w:sz w:val="17"/>
        </w:rPr>
        <w:t>10-</w:t>
      </w:r>
      <w:r>
        <w:rPr>
          <w:w w:val="110"/>
          <w:position w:val="5"/>
          <w:sz w:val="10"/>
        </w:rPr>
        <w:t>5  </w:t>
      </w:r>
      <w:r>
        <w:rPr>
          <w:rFonts w:ascii="Arial" w:hAnsi="Arial"/>
          <w:i/>
          <w:w w:val="110"/>
          <w:sz w:val="14"/>
        </w:rPr>
        <w:t>cii  </w:t>
      </w:r>
      <w:r>
        <w:rPr>
          <w:w w:val="110"/>
          <w:sz w:val="17"/>
        </w:rPr>
        <w:t>and  </w:t>
      </w:r>
      <w:r>
        <w:rPr>
          <w:spacing w:val="3"/>
          <w:w w:val="110"/>
          <w:sz w:val="17"/>
        </w:rPr>
        <w:t>c</w:t>
      </w:r>
      <w:r>
        <w:rPr>
          <w:spacing w:val="3"/>
          <w:w w:val="110"/>
          <w:position w:val="5"/>
          <w:sz w:val="10"/>
        </w:rPr>
        <w:t>10 </w:t>
      </w:r>
      <w:r>
        <w:rPr>
          <w:spacing w:val="33"/>
          <w:w w:val="110"/>
          <w:position w:val="5"/>
          <w:sz w:val="10"/>
        </w:rPr>
        <w:t> </w:t>
      </w:r>
      <w:r>
        <w:rPr>
          <w:rFonts w:ascii="Arial" w:hAnsi="Arial"/>
          <w:w w:val="120"/>
          <w:sz w:val="14"/>
        </w:rPr>
        <w:t>= </w:t>
      </w:r>
      <w:r>
        <w:rPr>
          <w:w w:val="110"/>
          <w:sz w:val="17"/>
        </w:rPr>
        <w:t>3, express </w:t>
      </w:r>
      <w:r>
        <w:rPr>
          <w:b/>
          <w:w w:val="105"/>
          <w:sz w:val="17"/>
        </w:rPr>
        <w:t>ÁJ,ao  </w:t>
      </w:r>
      <w:r>
        <w:rPr>
          <w:w w:val="110"/>
          <w:sz w:val="17"/>
        </w:rPr>
        <w:t>in  </w:t>
      </w:r>
      <w:r>
        <w:rPr>
          <w:w w:val="110"/>
          <w:sz w:val="16"/>
        </w:rPr>
        <w:t>terms</w:t>
      </w:r>
      <w:r>
        <w:rPr>
          <w:spacing w:val="28"/>
          <w:w w:val="110"/>
          <w:sz w:val="16"/>
        </w:rPr>
        <w:t> </w:t>
      </w:r>
      <w:r>
        <w:rPr>
          <w:w w:val="110"/>
          <w:sz w:val="17"/>
        </w:rPr>
        <w:t>of</w:t>
      </w:r>
    </w:p>
    <w:p>
      <w:pPr>
        <w:spacing w:line="188" w:lineRule="exact" w:before="9"/>
        <w:ind w:left="103" w:right="0" w:firstLine="0"/>
        <w:jc w:val="left"/>
        <w:rPr>
          <w:sz w:val="11"/>
        </w:rPr>
      </w:pPr>
      <w:r>
        <w:rPr>
          <w:w w:val="120"/>
          <w:sz w:val="11"/>
        </w:rPr>
        <w:t>.A40:IO </w:t>
      </w:r>
      <w:r>
        <w:rPr>
          <w:w w:val="120"/>
          <w:sz w:val="17"/>
        </w:rPr>
        <w:t>and </w:t>
      </w:r>
      <w:r>
        <w:rPr>
          <w:b/>
          <w:w w:val="120"/>
          <w:sz w:val="11"/>
        </w:rPr>
        <w:t>040:U </w:t>
      </w:r>
      <w:r>
        <w:rPr>
          <w:w w:val="180"/>
          <w:sz w:val="11"/>
        </w:rPr>
        <w:t>.</w:t>
      </w:r>
    </w:p>
    <w:p>
      <w:pPr>
        <w:pStyle w:val="ListParagraph"/>
        <w:numPr>
          <w:ilvl w:val="1"/>
          <w:numId w:val="111"/>
        </w:numPr>
        <w:tabs>
          <w:tab w:pos="554" w:val="left" w:leader="none"/>
        </w:tabs>
        <w:spacing w:line="188" w:lineRule="exact" w:before="0" w:after="0"/>
        <w:ind w:left="553" w:right="0" w:hanging="277"/>
        <w:jc w:val="left"/>
        <w:rPr>
          <w:sz w:val="17"/>
        </w:rPr>
      </w:pPr>
      <w:r>
        <w:rPr>
          <w:w w:val="105"/>
          <w:sz w:val="17"/>
        </w:rPr>
        <w:t>Give the full &lt;lerivation  of  formulas  (11.39)  and</w:t>
      </w:r>
      <w:r>
        <w:rPr>
          <w:spacing w:val="17"/>
          <w:w w:val="105"/>
          <w:sz w:val="17"/>
        </w:rPr>
        <w:t> </w:t>
      </w:r>
      <w:r>
        <w:rPr>
          <w:w w:val="105"/>
          <w:sz w:val="16"/>
        </w:rPr>
        <w:t>(11.40).</w:t>
      </w:r>
    </w:p>
    <w:p>
      <w:pPr>
        <w:pStyle w:val="ListParagraph"/>
        <w:numPr>
          <w:ilvl w:val="1"/>
          <w:numId w:val="111"/>
        </w:numPr>
        <w:tabs>
          <w:tab w:pos="554" w:val="left" w:leader="none"/>
        </w:tabs>
        <w:spacing w:line="240" w:lineRule="auto" w:before="6" w:after="0"/>
        <w:ind w:left="553" w:right="0" w:hanging="274"/>
        <w:jc w:val="left"/>
        <w:rPr>
          <w:sz w:val="17"/>
        </w:rPr>
      </w:pPr>
      <w:r>
        <w:rPr>
          <w:w w:val="105"/>
          <w:sz w:val="17"/>
        </w:rPr>
        <w:t>Show that, if  a </w:t>
      </w:r>
      <w:r>
        <w:rPr>
          <w:w w:val="105"/>
          <w:sz w:val="16"/>
        </w:rPr>
        <w:t>morf.a.lity  </w:t>
      </w:r>
      <w:r>
        <w:rPr>
          <w:w w:val="105"/>
          <w:sz w:val="17"/>
        </w:rPr>
        <w:t>ta.ble fullows Makeham's</w:t>
      </w:r>
      <w:r>
        <w:rPr>
          <w:spacing w:val="43"/>
          <w:w w:val="105"/>
          <w:sz w:val="17"/>
        </w:rPr>
        <w:t> </w:t>
      </w:r>
      <w:r>
        <w:rPr>
          <w:w w:val="105"/>
          <w:sz w:val="16"/>
        </w:rPr>
        <w:t>la.w,</w:t>
      </w:r>
    </w:p>
    <w:p>
      <w:pPr>
        <w:spacing w:after="0" w:line="240" w:lineRule="auto"/>
        <w:jc w:val="left"/>
        <w:rPr>
          <w:sz w:val="17"/>
        </w:rPr>
        <w:sectPr>
          <w:type w:val="continuous"/>
          <w:pgSz w:w="7200" w:h="11340"/>
          <w:pgMar w:top="1100" w:bottom="0" w:left="660" w:right="520"/>
        </w:sectPr>
      </w:pPr>
    </w:p>
    <w:p>
      <w:pPr>
        <w:pStyle w:val="BodyText"/>
        <w:spacing w:before="46"/>
        <w:ind w:left="2531"/>
        <w:rPr>
          <w:sz w:val="22"/>
        </w:rPr>
      </w:pPr>
      <w:r>
        <w:rPr>
          <w:position w:val="-3"/>
        </w:rPr>
        <w:drawing>
          <wp:inline distT="0" distB="0" distL="0" distR="0">
            <wp:extent cx="585215" cy="100583"/>
            <wp:effectExtent l="0" t="0" r="0" b="0"/>
            <wp:docPr id="575" name="image293.png" descr=""/>
            <wp:cNvGraphicFramePr>
              <a:graphicFrameLocks noChangeAspect="1"/>
            </wp:cNvGraphicFramePr>
            <a:graphic>
              <a:graphicData uri="http://schemas.openxmlformats.org/drawingml/2006/picture">
                <pic:pic>
                  <pic:nvPicPr>
                    <pic:cNvPr id="576" name="image293.png"/>
                    <pic:cNvPicPr/>
                  </pic:nvPicPr>
                  <pic:blipFill>
                    <a:blip r:embed="rId297" cstate="print"/>
                    <a:stretch>
                      <a:fillRect/>
                    </a:stretch>
                  </pic:blipFill>
                  <pic:spPr>
                    <a:xfrm>
                      <a:off x="0" y="0"/>
                      <a:ext cx="585215" cy="100583"/>
                    </a:xfrm>
                    <a:prstGeom prst="rect">
                      <a:avLst/>
                    </a:prstGeom>
                  </pic:spPr>
                </pic:pic>
              </a:graphicData>
            </a:graphic>
          </wp:inline>
        </w:drawing>
      </w:r>
      <w:r>
        <w:rPr>
          <w:position w:val="-3"/>
        </w:rPr>
      </w:r>
      <w:r>
        <w:rPr/>
        <w:t>                                         </w:t>
      </w:r>
      <w:r>
        <w:rPr>
          <w:color w:val="010101"/>
          <w:sz w:val="22"/>
        </w:rPr>
        <w:t>243</w:t>
      </w:r>
    </w:p>
    <w:p>
      <w:pPr>
        <w:pStyle w:val="BodyText"/>
        <w:spacing w:before="3"/>
        <w:rPr>
          <w:sz w:val="17"/>
        </w:rPr>
      </w:pPr>
      <w:r>
        <w:rPr/>
        <w:drawing>
          <wp:anchor distT="0" distB="0" distL="0" distR="0" allowOverlap="1" layoutInCell="1" locked="0" behindDoc="0" simplePos="0" relativeHeight="19576">
            <wp:simplePos x="0" y="0"/>
            <wp:positionH relativeFrom="page">
              <wp:posOffset>1298447</wp:posOffset>
            </wp:positionH>
            <wp:positionV relativeFrom="paragraph">
              <wp:posOffset>150829</wp:posOffset>
            </wp:positionV>
            <wp:extent cx="2029968" cy="274320"/>
            <wp:effectExtent l="0" t="0" r="0" b="0"/>
            <wp:wrapTopAndBottom/>
            <wp:docPr id="577" name="image294.png" descr=""/>
            <wp:cNvGraphicFramePr>
              <a:graphicFrameLocks noChangeAspect="1"/>
            </wp:cNvGraphicFramePr>
            <a:graphic>
              <a:graphicData uri="http://schemas.openxmlformats.org/drawingml/2006/picture">
                <pic:pic>
                  <pic:nvPicPr>
                    <pic:cNvPr id="578" name="image294.png"/>
                    <pic:cNvPicPr/>
                  </pic:nvPicPr>
                  <pic:blipFill>
                    <a:blip r:embed="rId298" cstate="print"/>
                    <a:stretch>
                      <a:fillRect/>
                    </a:stretch>
                  </pic:blipFill>
                  <pic:spPr>
                    <a:xfrm>
                      <a:off x="0" y="0"/>
                      <a:ext cx="2029968" cy="274320"/>
                    </a:xfrm>
                    <a:prstGeom prst="rect">
                      <a:avLst/>
                    </a:prstGeom>
                  </pic:spPr>
                </pic:pic>
              </a:graphicData>
            </a:graphic>
          </wp:anchor>
        </w:drawing>
      </w:r>
    </w:p>
    <w:p>
      <w:pPr>
        <w:pStyle w:val="ListParagraph"/>
        <w:numPr>
          <w:ilvl w:val="1"/>
          <w:numId w:val="111"/>
        </w:numPr>
        <w:tabs>
          <w:tab w:pos="565" w:val="left" w:leader="none"/>
        </w:tabs>
        <w:spacing w:line="218" w:lineRule="exact" w:before="130" w:after="0"/>
        <w:ind w:left="564" w:right="0" w:hanging="279"/>
        <w:jc w:val="left"/>
        <w:rPr>
          <w:color w:val="010101"/>
          <w:sz w:val="18"/>
        </w:rPr>
      </w:pPr>
      <w:r>
        <w:rPr>
          <w:color w:val="010101"/>
          <w:w w:val="110"/>
          <w:sz w:val="17"/>
        </w:rPr>
        <w:t>Given the  </w:t>
      </w:r>
      <w:r>
        <w:rPr>
          <w:color w:val="010101"/>
          <w:w w:val="110"/>
          <w:sz w:val="18"/>
        </w:rPr>
        <w:t>following data </w:t>
      </w:r>
      <w:r>
        <w:rPr>
          <w:color w:val="010101"/>
          <w:w w:val="110"/>
          <w:sz w:val="17"/>
        </w:rPr>
        <w:t>from  </w:t>
      </w:r>
      <w:r>
        <w:rPr>
          <w:b/>
          <w:color w:val="010101"/>
          <w:w w:val="110"/>
          <w:sz w:val="19"/>
        </w:rPr>
        <w:t>a </w:t>
      </w:r>
      <w:r>
        <w:rPr>
          <w:color w:val="010101"/>
          <w:w w:val="110"/>
          <w:sz w:val="17"/>
        </w:rPr>
        <w:t>table known  </w:t>
      </w:r>
      <w:r>
        <w:rPr>
          <w:color w:val="010101"/>
          <w:w w:val="110"/>
          <w:sz w:val="18"/>
        </w:rPr>
        <w:t>to </w:t>
      </w:r>
      <w:r>
        <w:rPr>
          <w:color w:val="010101"/>
          <w:w w:val="110"/>
          <w:sz w:val="17"/>
        </w:rPr>
        <w:t>follow </w:t>
      </w:r>
      <w:r>
        <w:rPr>
          <w:color w:val="010101"/>
          <w:spacing w:val="9"/>
          <w:w w:val="110"/>
          <w:sz w:val="17"/>
        </w:rPr>
        <w:t> </w:t>
      </w:r>
      <w:r>
        <w:rPr>
          <w:color w:val="010101"/>
          <w:w w:val="110"/>
          <w:sz w:val="17"/>
        </w:rPr>
        <w:t>Makeham'1</w:t>
      </w:r>
    </w:p>
    <w:p>
      <w:pPr>
        <w:spacing w:line="207" w:lineRule="exact" w:before="0"/>
        <w:ind w:left="105" w:right="0" w:firstLine="0"/>
        <w:jc w:val="left"/>
        <w:rPr>
          <w:sz w:val="12"/>
        </w:rPr>
      </w:pPr>
      <w:r>
        <w:rPr>
          <w:color w:val="010101"/>
          <w:w w:val="110"/>
          <w:sz w:val="18"/>
        </w:rPr>
        <w:t>law, </w:t>
      </w:r>
      <w:r>
        <w:rPr>
          <w:color w:val="010101"/>
          <w:w w:val="110"/>
          <w:sz w:val="17"/>
        </w:rPr>
        <w:t>find </w:t>
      </w:r>
      <w:r>
        <w:rPr>
          <w:color w:val="010101"/>
          <w:w w:val="110"/>
          <w:sz w:val="18"/>
        </w:rPr>
        <w:t>the </w:t>
      </w:r>
      <w:r>
        <w:rPr>
          <w:color w:val="010101"/>
          <w:w w:val="110"/>
          <w:sz w:val="17"/>
        </w:rPr>
        <w:t>value </w:t>
      </w:r>
      <w:r>
        <w:rPr>
          <w:color w:val="010101"/>
          <w:w w:val="110"/>
          <w:sz w:val="18"/>
        </w:rPr>
        <w:t>of </w:t>
      </w:r>
      <w:r>
        <w:rPr>
          <w:color w:val="010101"/>
          <w:w w:val="260"/>
          <w:sz w:val="12"/>
        </w:rPr>
        <w:t>A </w:t>
      </w:r>
      <w:r>
        <w:rPr>
          <w:color w:val="010101"/>
          <w:w w:val="135"/>
          <w:sz w:val="12"/>
        </w:rPr>
        <w:t>:H:11 </w:t>
      </w:r>
      <w:r>
        <w:rPr>
          <w:color w:val="010101"/>
          <w:w w:val="110"/>
          <w:sz w:val="12"/>
        </w:rPr>
        <w:t>•</w:t>
      </w:r>
    </w:p>
    <w:p>
      <w:pPr>
        <w:pStyle w:val="BodyText"/>
        <w:spacing w:before="5"/>
        <w:rPr>
          <w:sz w:val="15"/>
        </w:rPr>
      </w:pPr>
    </w:p>
    <w:p>
      <w:pPr>
        <w:spacing w:before="0"/>
        <w:ind w:left="47" w:right="87" w:firstLine="0"/>
        <w:jc w:val="center"/>
        <w:rPr>
          <w:sz w:val="18"/>
        </w:rPr>
      </w:pPr>
      <w:r>
        <w:rPr>
          <w:color w:val="010101"/>
          <w:spacing w:val="-19"/>
          <w:w w:val="185"/>
          <w:sz w:val="18"/>
        </w:rPr>
        <w:t>""</w:t>
      </w:r>
      <w:r>
        <w:rPr>
          <w:color w:val="010101"/>
          <w:spacing w:val="-74"/>
          <w:w w:val="185"/>
          <w:sz w:val="18"/>
        </w:rPr>
        <w:t> </w:t>
      </w:r>
      <w:r>
        <w:rPr>
          <w:color w:val="010101"/>
          <w:w w:val="220"/>
          <w:sz w:val="18"/>
        </w:rPr>
        <w:t>-</w:t>
      </w:r>
      <w:r>
        <w:rPr>
          <w:color w:val="010101"/>
          <w:spacing w:val="-75"/>
          <w:w w:val="220"/>
          <w:sz w:val="18"/>
        </w:rPr>
        <w:t> </w:t>
      </w:r>
      <w:r>
        <w:rPr>
          <w:color w:val="010101"/>
          <w:spacing w:val="-22"/>
          <w:w w:val="140"/>
          <w:sz w:val="18"/>
        </w:rPr>
        <w:t>.0106</w:t>
      </w:r>
    </w:p>
    <w:p>
      <w:pPr>
        <w:spacing w:before="53"/>
        <w:ind w:left="47" w:right="87" w:firstLine="0"/>
        <w:jc w:val="center"/>
        <w:rPr>
          <w:sz w:val="18"/>
        </w:rPr>
      </w:pPr>
      <w:r>
        <w:rPr>
          <w:color w:val="010101"/>
          <w:w w:val="125"/>
          <w:sz w:val="24"/>
        </w:rPr>
        <w:t>"" </w:t>
      </w:r>
      <w:r>
        <w:rPr>
          <w:color w:val="010101"/>
          <w:w w:val="115"/>
          <w:sz w:val="24"/>
        </w:rPr>
        <w:t>= </w:t>
      </w:r>
      <w:r>
        <w:rPr>
          <w:color w:val="010101"/>
          <w:w w:val="115"/>
          <w:sz w:val="18"/>
        </w:rPr>
        <w:t>.0136</w:t>
      </w:r>
    </w:p>
    <w:p>
      <w:pPr>
        <w:spacing w:before="12"/>
        <w:ind w:left="63" w:right="87" w:firstLine="0"/>
        <w:jc w:val="center"/>
        <w:rPr>
          <w:sz w:val="18"/>
        </w:rPr>
      </w:pPr>
      <w:r>
        <w:rPr/>
        <w:pict>
          <v:group style="position:absolute;margin-left:40.26749pt;margin-top:18.152218pt;width:286.3pt;height:44.6pt;mso-position-horizontal-relative:page;mso-position-vertical-relative:paragraph;z-index:19696;mso-wrap-distance-left:0;mso-wrap-distance-right:0" coordorigin="805,363" coordsize="5726,892">
            <v:line style="position:absolute" from="2703,1246" to="2703,372" stroked="true" strokeweight=".896861pt" strokecolor="#000000"/>
            <v:line style="position:absolute" from="814,717" to="6522,717" stroked="true" strokeweight=".896861pt" strokecolor="#000000"/>
            <v:shape style="position:absolute;left:1657;top:449;width:177;height:790" type="#_x0000_t202" filled="false" stroked="false">
              <v:textbox inset="0,0,0,0">
                <w:txbxContent>
                  <w:p>
                    <w:pPr>
                      <w:spacing w:line="112" w:lineRule="exact" w:before="0"/>
                      <w:ind w:left="32" w:right="0" w:firstLine="0"/>
                      <w:jc w:val="left"/>
                      <w:rPr>
                        <w:sz w:val="11"/>
                      </w:rPr>
                    </w:pPr>
                    <w:r>
                      <w:rPr>
                        <w:color w:val="010101"/>
                        <w:w w:val="99"/>
                        <w:sz w:val="11"/>
                      </w:rPr>
                      <w:t>%</w:t>
                    </w:r>
                  </w:p>
                  <w:p>
                    <w:pPr>
                      <w:spacing w:line="240" w:lineRule="auto" w:before="0"/>
                      <w:rPr>
                        <w:sz w:val="10"/>
                      </w:rPr>
                    </w:pPr>
                  </w:p>
                  <w:p>
                    <w:pPr>
                      <w:spacing w:line="240" w:lineRule="auto" w:before="4"/>
                      <w:rPr>
                        <w:sz w:val="13"/>
                      </w:rPr>
                    </w:pPr>
                  </w:p>
                  <w:p>
                    <w:pPr>
                      <w:spacing w:line="206" w:lineRule="exact" w:before="0"/>
                      <w:ind w:left="0" w:right="-14" w:firstLine="0"/>
                      <w:jc w:val="left"/>
                      <w:rPr>
                        <w:sz w:val="18"/>
                      </w:rPr>
                    </w:pPr>
                    <w:r>
                      <w:rPr>
                        <w:color w:val="010101"/>
                        <w:w w:val="95"/>
                        <w:sz w:val="18"/>
                      </w:rPr>
                      <w:t>49</w:t>
                    </w:r>
                  </w:p>
                  <w:p>
                    <w:pPr>
                      <w:spacing w:line="202" w:lineRule="exact" w:before="0"/>
                      <w:ind w:left="3" w:right="-17" w:firstLine="0"/>
                      <w:jc w:val="left"/>
                      <w:rPr>
                        <w:sz w:val="18"/>
                      </w:rPr>
                    </w:pPr>
                    <w:r>
                      <w:rPr>
                        <w:color w:val="010101"/>
                        <w:w w:val="95"/>
                        <w:sz w:val="18"/>
                      </w:rPr>
                      <w:t>50</w:t>
                    </w:r>
                  </w:p>
                </w:txbxContent>
              </v:textbox>
              <w10:wrap type="none"/>
            </v:shape>
            <v:shape style="position:absolute;left:3150;top:861;width:390;height:372" type="#_x0000_t202" filled="false" stroked="false">
              <v:textbox inset="0,0,0,0">
                <w:txbxContent>
                  <w:p>
                    <w:pPr>
                      <w:spacing w:line="174" w:lineRule="exact" w:before="0"/>
                      <w:ind w:left="53" w:right="-19" w:hanging="54"/>
                      <w:jc w:val="left"/>
                      <w:rPr>
                        <w:sz w:val="17"/>
                      </w:rPr>
                    </w:pPr>
                    <w:r>
                      <w:rPr>
                        <w:color w:val="010101"/>
                        <w:w w:val="110"/>
                        <w:sz w:val="17"/>
                      </w:rPr>
                      <w:t>·80.6</w:t>
                    </w:r>
                  </w:p>
                  <w:p>
                    <w:pPr>
                      <w:spacing w:line="192" w:lineRule="exact" w:before="6"/>
                      <w:ind w:left="53" w:right="-11" w:firstLine="0"/>
                      <w:jc w:val="left"/>
                      <w:rPr>
                        <w:sz w:val="17"/>
                      </w:rPr>
                    </w:pPr>
                    <w:r>
                      <w:rPr>
                        <w:color w:val="010101"/>
                        <w:w w:val="110"/>
                        <w:sz w:val="17"/>
                      </w:rPr>
                      <w:t>88.2</w:t>
                    </w:r>
                  </w:p>
                </w:txbxContent>
              </v:textbox>
              <w10:wrap type="none"/>
            </v:shape>
            <v:shape style="position:absolute;left:4513;top:855;width:305;height:395" type="#_x0000_t202" filled="false" stroked="false">
              <v:textbox inset="0,0,0,0">
                <w:txbxContent>
                  <w:p>
                    <w:pPr>
                      <w:spacing w:line="186" w:lineRule="exact" w:before="0"/>
                      <w:ind w:left="10" w:right="-13" w:firstLine="0"/>
                      <w:jc w:val="left"/>
                      <w:rPr>
                        <w:rFonts w:ascii="Courier New"/>
                        <w:sz w:val="19"/>
                      </w:rPr>
                    </w:pPr>
                    <w:r>
                      <w:rPr>
                        <w:rFonts w:ascii="Courier New"/>
                        <w:color w:val="010101"/>
                        <w:spacing w:val="-24"/>
                        <w:w w:val="105"/>
                        <w:sz w:val="19"/>
                      </w:rPr>
                      <w:t>9.0</w:t>
                    </w:r>
                  </w:p>
                  <w:p>
                    <w:pPr>
                      <w:spacing w:line="208" w:lineRule="exact" w:before="0"/>
                      <w:ind w:left="0" w:right="-13" w:firstLine="0"/>
                      <w:jc w:val="left"/>
                      <w:rPr>
                        <w:rFonts w:ascii="Courier New"/>
                        <w:sz w:val="20"/>
                      </w:rPr>
                    </w:pPr>
                    <w:r>
                      <w:rPr>
                        <w:rFonts w:ascii="Courier New"/>
                        <w:color w:val="010101"/>
                        <w:spacing w:val="-29"/>
                        <w:sz w:val="20"/>
                      </w:rPr>
                      <w:t>8.7</w:t>
                    </w:r>
                  </w:p>
                </w:txbxContent>
              </v:textbox>
              <w10:wrap type="none"/>
            </v:shape>
            <v:shape style="position:absolute;left:5804;top:847;width:263;height:402" type="#_x0000_t202" filled="false" stroked="false">
              <v:textbox inset="0,0,0,0">
                <w:txbxContent>
                  <w:p>
                    <w:pPr>
                      <w:spacing w:line="194" w:lineRule="exact" w:before="0"/>
                      <w:ind w:left="0" w:right="-1" w:firstLine="0"/>
                      <w:jc w:val="left"/>
                      <w:rPr>
                        <w:rFonts w:ascii="Courier New"/>
                        <w:sz w:val="20"/>
                      </w:rPr>
                    </w:pPr>
                    <w:r>
                      <w:rPr>
                        <w:rFonts w:ascii="Courier New"/>
                        <w:color w:val="010101"/>
                        <w:spacing w:val="-33"/>
                        <w:w w:val="95"/>
                        <w:sz w:val="20"/>
                      </w:rPr>
                      <w:t>.73</w:t>
                    </w:r>
                  </w:p>
                  <w:p>
                    <w:pPr>
                      <w:spacing w:line="207" w:lineRule="exact" w:before="0"/>
                      <w:ind w:left="0" w:right="-4" w:firstLine="0"/>
                      <w:jc w:val="left"/>
                      <w:rPr>
                        <w:rFonts w:ascii="Courier New"/>
                        <w:sz w:val="20"/>
                      </w:rPr>
                    </w:pPr>
                    <w:r>
                      <w:rPr>
                        <w:rFonts w:ascii="Courier New"/>
                        <w:color w:val="010101"/>
                        <w:spacing w:val="-38"/>
                        <w:sz w:val="20"/>
                      </w:rPr>
                      <w:t>.74</w:t>
                    </w:r>
                  </w:p>
                </w:txbxContent>
              </v:textbox>
              <w10:wrap type="none"/>
            </v:shape>
            <w10:wrap type="topAndBottom"/>
          </v:group>
        </w:pict>
      </w:r>
      <w:r>
        <w:rPr>
          <w:rFonts w:ascii="Arial"/>
          <w:b/>
          <w:color w:val="010101"/>
          <w:w w:val="115"/>
          <w:sz w:val="14"/>
        </w:rPr>
        <w:t>l'H </w:t>
      </w:r>
      <w:r>
        <w:rPr>
          <w:color w:val="010101"/>
          <w:w w:val="115"/>
          <w:sz w:val="22"/>
        </w:rPr>
        <w:t>= </w:t>
      </w:r>
      <w:r>
        <w:rPr>
          <w:color w:val="010101"/>
          <w:w w:val="115"/>
          <w:sz w:val="18"/>
        </w:rPr>
        <w:t>.0316</w:t>
      </w:r>
    </w:p>
    <w:p>
      <w:pPr>
        <w:spacing w:before="60"/>
        <w:ind w:left="0" w:right="153" w:firstLine="0"/>
        <w:jc w:val="right"/>
        <w:rPr>
          <w:sz w:val="18"/>
        </w:rPr>
      </w:pPr>
      <w:r>
        <w:rPr>
          <w:color w:val="010101"/>
          <w:sz w:val="18"/>
        </w:rPr>
        <w:t>(Ana . .099)</w:t>
      </w:r>
    </w:p>
    <w:p>
      <w:pPr>
        <w:spacing w:line="73" w:lineRule="exact" w:before="14"/>
        <w:ind w:left="1386" w:right="0" w:firstLine="0"/>
        <w:jc w:val="left"/>
        <w:rPr>
          <w:sz w:val="17"/>
        </w:rPr>
      </w:pPr>
      <w:r>
        <w:rPr>
          <w:color w:val="010101"/>
          <w:w w:val="110"/>
          <w:sz w:val="17"/>
        </w:rPr>
        <w:t>84</w:t>
      </w:r>
    </w:p>
    <w:p>
      <w:pPr>
        <w:spacing w:after="0" w:line="73" w:lineRule="exact"/>
        <w:jc w:val="left"/>
        <w:rPr>
          <w:sz w:val="17"/>
        </w:rPr>
        <w:sectPr>
          <w:pgSz w:w="7200" w:h="11340"/>
          <w:pgMar w:top="500" w:bottom="280" w:left="680" w:right="520"/>
        </w:sectPr>
      </w:pPr>
    </w:p>
    <w:p>
      <w:pPr>
        <w:pStyle w:val="ListParagraph"/>
        <w:numPr>
          <w:ilvl w:val="1"/>
          <w:numId w:val="111"/>
        </w:numPr>
        <w:tabs>
          <w:tab w:pos="562" w:val="left" w:leader="none"/>
        </w:tabs>
        <w:spacing w:line="240" w:lineRule="auto" w:before="42" w:after="0"/>
        <w:ind w:left="561" w:right="0" w:hanging="276"/>
        <w:jc w:val="left"/>
        <w:rPr>
          <w:color w:val="010101"/>
          <w:sz w:val="17"/>
        </w:rPr>
      </w:pPr>
      <w:r>
        <w:rPr>
          <w:color w:val="010101"/>
          <w:w w:val="115"/>
          <w:sz w:val="17"/>
        </w:rPr>
        <w:t>Show</w:t>
      </w:r>
      <w:r>
        <w:rPr>
          <w:color w:val="010101"/>
          <w:spacing w:val="-25"/>
          <w:w w:val="115"/>
          <w:sz w:val="17"/>
        </w:rPr>
        <w:t> </w:t>
      </w:r>
      <w:r>
        <w:rPr>
          <w:color w:val="010101"/>
          <w:w w:val="115"/>
          <w:sz w:val="17"/>
        </w:rPr>
        <w:t>that</w:t>
      </w:r>
    </w:p>
    <w:p>
      <w:pPr>
        <w:spacing w:line="221" w:lineRule="exact" w:before="0"/>
        <w:ind w:left="190" w:right="0" w:firstLine="0"/>
        <w:jc w:val="left"/>
        <w:rPr>
          <w:sz w:val="17"/>
        </w:rPr>
      </w:pPr>
      <w:r>
        <w:rPr/>
        <w:br w:type="column"/>
      </w:r>
      <w:r>
        <w:rPr>
          <w:rFonts w:ascii="Arial"/>
          <w:color w:val="010101"/>
          <w:w w:val="73"/>
          <w:sz w:val="13"/>
        </w:rPr>
        <w:t>aw</w:t>
      </w:r>
      <w:r>
        <w:rPr>
          <w:rFonts w:ascii="Arial"/>
          <w:color w:val="010101"/>
          <w:sz w:val="13"/>
        </w:rPr>
        <w:t> </w:t>
      </w:r>
      <w:r>
        <w:rPr>
          <w:rFonts w:ascii="Arial"/>
          <w:color w:val="010101"/>
          <w:spacing w:val="-2"/>
          <w:sz w:val="13"/>
        </w:rPr>
        <w:t> </w:t>
      </w:r>
      <w:r>
        <w:rPr>
          <w:rFonts w:ascii="Arial"/>
          <w:color w:val="010101"/>
          <w:w w:val="65"/>
          <w:sz w:val="15"/>
        </w:rPr>
        <w:t>==</w:t>
      </w:r>
      <w:r>
        <w:rPr>
          <w:rFonts w:ascii="Arial"/>
          <w:color w:val="010101"/>
          <w:spacing w:val="11"/>
          <w:sz w:val="15"/>
        </w:rPr>
        <w:t> </w:t>
      </w:r>
      <w:r>
        <w:rPr>
          <w:color w:val="010101"/>
          <w:w w:val="89"/>
          <w:sz w:val="25"/>
        </w:rPr>
        <w:t>,</w:t>
      </w:r>
      <w:r>
        <w:rPr>
          <w:color w:val="010101"/>
          <w:spacing w:val="-22"/>
          <w:w w:val="89"/>
          <w:sz w:val="25"/>
        </w:rPr>
        <w:t>,</w:t>
      </w:r>
      <w:r>
        <w:rPr>
          <w:color w:val="010101"/>
          <w:w w:val="92"/>
          <w:sz w:val="25"/>
        </w:rPr>
        <w:t>.</w:t>
      </w:r>
      <w:r>
        <w:rPr>
          <w:color w:val="010101"/>
          <w:spacing w:val="-40"/>
          <w:w w:val="92"/>
          <w:sz w:val="25"/>
        </w:rPr>
        <w:t>4</w:t>
      </w:r>
      <w:r>
        <w:rPr>
          <w:color w:val="010101"/>
          <w:spacing w:val="-89"/>
          <w:w w:val="211"/>
          <w:sz w:val="25"/>
        </w:rPr>
        <w:t>.</w:t>
      </w:r>
      <w:r>
        <w:rPr>
          <w:color w:val="010101"/>
          <w:spacing w:val="25"/>
          <w:w w:val="155"/>
          <w:sz w:val="25"/>
        </w:rPr>
        <w:t>,</w:t>
      </w:r>
      <w:r>
        <w:rPr>
          <w:color w:val="010101"/>
          <w:w w:val="190"/>
          <w:sz w:val="25"/>
        </w:rPr>
        <w:t>-</w:t>
      </w:r>
      <w:r>
        <w:rPr>
          <w:color w:val="010101"/>
          <w:spacing w:val="-32"/>
          <w:sz w:val="25"/>
        </w:rPr>
        <w:t> </w:t>
      </w:r>
      <w:r>
        <w:rPr>
          <w:color w:val="010101"/>
          <w:w w:val="78"/>
          <w:sz w:val="24"/>
        </w:rPr>
        <w:t>A</w:t>
      </w:r>
      <w:r>
        <w:rPr>
          <w:color w:val="010101"/>
          <w:spacing w:val="-10"/>
          <w:w w:val="78"/>
          <w:sz w:val="24"/>
        </w:rPr>
        <w:t>!</w:t>
      </w:r>
      <w:r>
        <w:rPr>
          <w:color w:val="010101"/>
          <w:w w:val="152"/>
          <w:sz w:val="24"/>
        </w:rPr>
        <w:t>,</w:t>
      </w:r>
      <w:r>
        <w:rPr>
          <w:color w:val="010101"/>
          <w:spacing w:val="-26"/>
          <w:sz w:val="24"/>
        </w:rPr>
        <w:t> </w:t>
      </w:r>
      <w:r>
        <w:rPr>
          <w:color w:val="010101"/>
          <w:w w:val="95"/>
          <w:sz w:val="24"/>
        </w:rPr>
        <w:t>.</w:t>
      </w:r>
      <w:r>
        <w:rPr>
          <w:color w:val="010101"/>
          <w:spacing w:val="-31"/>
          <w:sz w:val="24"/>
        </w:rPr>
        <w:t> </w:t>
      </w:r>
      <w:r>
        <w:rPr>
          <w:color w:val="010101"/>
          <w:w w:val="106"/>
          <w:sz w:val="17"/>
        </w:rPr>
        <w:t>Hence</w:t>
      </w:r>
      <w:r>
        <w:rPr>
          <w:color w:val="010101"/>
          <w:spacing w:val="6"/>
          <w:sz w:val="17"/>
        </w:rPr>
        <w:t> </w:t>
      </w:r>
      <w:r>
        <w:rPr>
          <w:color w:val="010101"/>
          <w:w w:val="111"/>
          <w:sz w:val="17"/>
        </w:rPr>
        <w:t>derive</w:t>
      </w:r>
      <w:r>
        <w:rPr>
          <w:color w:val="010101"/>
          <w:spacing w:val="2"/>
          <w:sz w:val="17"/>
        </w:rPr>
        <w:t> </w:t>
      </w:r>
      <w:r>
        <w:rPr>
          <w:color w:val="010101"/>
          <w:w w:val="117"/>
          <w:sz w:val="17"/>
        </w:rPr>
        <w:t>the</w:t>
      </w:r>
      <w:r>
        <w:rPr>
          <w:color w:val="010101"/>
          <w:spacing w:val="6"/>
          <w:sz w:val="17"/>
        </w:rPr>
        <w:t> </w:t>
      </w:r>
      <w:r>
        <w:rPr>
          <w:color w:val="010101"/>
          <w:w w:val="110"/>
          <w:sz w:val="17"/>
        </w:rPr>
        <w:t>approximate</w:t>
      </w:r>
      <w:r>
        <w:rPr>
          <w:color w:val="010101"/>
          <w:spacing w:val="12"/>
          <w:sz w:val="17"/>
        </w:rPr>
        <w:t> </w:t>
      </w:r>
      <w:r>
        <w:rPr>
          <w:color w:val="010101"/>
          <w:w w:val="109"/>
          <w:sz w:val="17"/>
        </w:rPr>
        <w:t>formula</w:t>
      </w:r>
    </w:p>
    <w:p>
      <w:pPr>
        <w:spacing w:line="138" w:lineRule="exact" w:before="0"/>
        <w:ind w:left="83" w:right="0" w:firstLine="0"/>
        <w:jc w:val="left"/>
        <w:rPr>
          <w:rFonts w:ascii="Arial"/>
          <w:i/>
          <w:sz w:val="15"/>
        </w:rPr>
      </w:pPr>
      <w:r>
        <w:rPr>
          <w:rFonts w:ascii="Arial"/>
          <w:i/>
          <w:color w:val="010101"/>
          <w:w w:val="95"/>
          <w:sz w:val="15"/>
        </w:rPr>
        <w:t>8%</w:t>
      </w:r>
    </w:p>
    <w:p>
      <w:pPr>
        <w:spacing w:after="0" w:line="138" w:lineRule="exact"/>
        <w:jc w:val="left"/>
        <w:rPr>
          <w:rFonts w:ascii="Arial"/>
          <w:sz w:val="15"/>
        </w:rPr>
        <w:sectPr>
          <w:type w:val="continuous"/>
          <w:pgSz w:w="7200" w:h="11340"/>
          <w:pgMar w:top="1100" w:bottom="0" w:left="680" w:right="520"/>
          <w:cols w:num="2" w:equalWidth="0">
            <w:col w:w="1325" w:space="40"/>
            <w:col w:w="4635"/>
          </w:cols>
        </w:sectPr>
      </w:pPr>
    </w:p>
    <w:p>
      <w:pPr>
        <w:pStyle w:val="BodyText"/>
        <w:spacing w:before="1"/>
        <w:rPr>
          <w:rFonts w:ascii="Arial"/>
          <w:i/>
          <w:sz w:val="10"/>
        </w:rPr>
      </w:pPr>
    </w:p>
    <w:p>
      <w:pPr>
        <w:pStyle w:val="BodyText"/>
        <w:spacing w:line="216" w:lineRule="exact"/>
        <w:ind w:left="1724"/>
        <w:rPr>
          <w:rFonts w:ascii="Arial"/>
        </w:rPr>
      </w:pPr>
      <w:r>
        <w:rPr>
          <w:rFonts w:ascii="Arial"/>
          <w:position w:val="-3"/>
        </w:rPr>
        <w:drawing>
          <wp:inline distT="0" distB="0" distL="0" distR="0">
            <wp:extent cx="1609343" cy="137160"/>
            <wp:effectExtent l="0" t="0" r="0" b="0"/>
            <wp:docPr id="579" name="image295.png" descr=""/>
            <wp:cNvGraphicFramePr>
              <a:graphicFrameLocks noChangeAspect="1"/>
            </wp:cNvGraphicFramePr>
            <a:graphic>
              <a:graphicData uri="http://schemas.openxmlformats.org/drawingml/2006/picture">
                <pic:pic>
                  <pic:nvPicPr>
                    <pic:cNvPr id="580" name="image295.png"/>
                    <pic:cNvPicPr/>
                  </pic:nvPicPr>
                  <pic:blipFill>
                    <a:blip r:embed="rId299" cstate="print"/>
                    <a:stretch>
                      <a:fillRect/>
                    </a:stretch>
                  </pic:blipFill>
                  <pic:spPr>
                    <a:xfrm>
                      <a:off x="0" y="0"/>
                      <a:ext cx="1609343" cy="137160"/>
                    </a:xfrm>
                    <a:prstGeom prst="rect">
                      <a:avLst/>
                    </a:prstGeom>
                  </pic:spPr>
                </pic:pic>
              </a:graphicData>
            </a:graphic>
          </wp:inline>
        </w:drawing>
      </w:r>
      <w:r>
        <w:rPr>
          <w:rFonts w:ascii="Arial"/>
          <w:position w:val="-3"/>
        </w:rPr>
      </w:r>
    </w:p>
    <w:p>
      <w:pPr>
        <w:spacing w:line="216" w:lineRule="exact" w:before="97"/>
        <w:ind w:left="98" w:right="520" w:firstLine="0"/>
        <w:jc w:val="center"/>
        <w:rPr>
          <w:rFonts w:ascii="Arial"/>
          <w:sz w:val="21"/>
        </w:rPr>
      </w:pPr>
      <w:r>
        <w:rPr>
          <w:color w:val="010101"/>
          <w:w w:val="85"/>
          <w:sz w:val="23"/>
          <w:u w:val="thick" w:color="000000"/>
        </w:rPr>
        <w:t>l.+c-1 - </w:t>
      </w:r>
      <w:r>
        <w:rPr>
          <w:rFonts w:ascii="Arial"/>
          <w:color w:val="010101"/>
          <w:w w:val="85"/>
          <w:sz w:val="21"/>
          <w:u w:val="thick" w:color="000000"/>
        </w:rPr>
        <w:t>l.+i+1</w:t>
      </w:r>
    </w:p>
    <w:p>
      <w:pPr>
        <w:pStyle w:val="ListParagraph"/>
        <w:numPr>
          <w:ilvl w:val="1"/>
          <w:numId w:val="111"/>
        </w:numPr>
        <w:tabs>
          <w:tab w:pos="576" w:val="left" w:leader="none"/>
          <w:tab w:pos="2695" w:val="left" w:leader="none"/>
        </w:tabs>
        <w:spacing w:line="102" w:lineRule="exact" w:before="0" w:after="0"/>
        <w:ind w:left="575" w:right="0" w:hanging="305"/>
        <w:jc w:val="left"/>
        <w:rPr>
          <w:rFonts w:ascii="Arial" w:hAnsi="Arial"/>
          <w:i/>
          <w:color w:val="010101"/>
          <w:sz w:val="17"/>
        </w:rPr>
      </w:pPr>
      <w:r>
        <w:rPr>
          <w:color w:val="010101"/>
          <w:w w:val="99"/>
          <w:sz w:val="17"/>
        </w:rPr>
        <w:t>A88uming</w:t>
      </w:r>
      <w:r>
        <w:rPr>
          <w:color w:val="010101"/>
          <w:spacing w:val="16"/>
          <w:sz w:val="17"/>
        </w:rPr>
        <w:t> </w:t>
      </w:r>
      <w:r>
        <w:rPr>
          <w:color w:val="010101"/>
          <w:w w:val="126"/>
          <w:sz w:val="17"/>
        </w:rPr>
        <w:t>that</w:t>
      </w:r>
      <w:r>
        <w:rPr>
          <w:color w:val="010101"/>
          <w:sz w:val="17"/>
        </w:rPr>
        <w:t> </w:t>
      </w:r>
      <w:r>
        <w:rPr>
          <w:color w:val="010101"/>
          <w:w w:val="101"/>
          <w:sz w:val="17"/>
        </w:rPr>
        <w:t>"-+•</w:t>
      </w:r>
      <w:r>
        <w:rPr>
          <w:color w:val="010101"/>
          <w:spacing w:val="15"/>
          <w:sz w:val="17"/>
        </w:rPr>
        <w:t> </w:t>
      </w:r>
      <w:r>
        <w:rPr>
          <w:color w:val="010101"/>
          <w:w w:val="102"/>
          <w:sz w:val="17"/>
        </w:rPr>
        <w:t>9!</w:t>
      </w:r>
      <w:r>
        <w:rPr>
          <w:color w:val="010101"/>
          <w:sz w:val="17"/>
        </w:rPr>
        <w:tab/>
      </w:r>
      <w:r>
        <w:rPr>
          <w:rFonts w:ascii="Arial" w:hAnsi="Arial"/>
          <w:i/>
          <w:color w:val="010101"/>
          <w:spacing w:val="-24"/>
          <w:w w:val="551"/>
          <w:sz w:val="18"/>
        </w:rPr>
        <w:t>l</w:t>
      </w:r>
      <w:r>
        <w:rPr>
          <w:rFonts w:ascii="Arial" w:hAnsi="Arial"/>
          <w:i/>
          <w:color w:val="010101"/>
          <w:w w:val="129"/>
          <w:sz w:val="18"/>
        </w:rPr>
        <w:t>,</w:t>
      </w:r>
    </w:p>
    <w:p>
      <w:pPr>
        <w:spacing w:line="150" w:lineRule="exact" w:before="0"/>
        <w:ind w:left="0" w:right="692" w:firstLine="0"/>
        <w:jc w:val="center"/>
        <w:rPr>
          <w:rFonts w:ascii="Arial"/>
          <w:i/>
          <w:sz w:val="18"/>
        </w:rPr>
      </w:pPr>
      <w:r>
        <w:rPr>
          <w:rFonts w:ascii="Arial"/>
          <w:i/>
          <w:color w:val="010101"/>
          <w:w w:val="92"/>
          <w:sz w:val="18"/>
        </w:rPr>
        <w:t>2</w:t>
      </w:r>
    </w:p>
    <w:p>
      <w:pPr>
        <w:spacing w:before="138"/>
        <w:ind w:left="120" w:right="0" w:firstLine="0"/>
        <w:jc w:val="both"/>
        <w:rPr>
          <w:sz w:val="17"/>
        </w:rPr>
      </w:pPr>
      <w:r>
        <w:rPr/>
        <w:pict>
          <v:shape style="position:absolute;margin-left:130.582993pt;margin-top:21.078798pt;width:105.75pt;height:17pt;mso-position-horizontal-relative:page;mso-position-vertical-relative:paragraph;z-index:-716344" type="#_x0000_t202" filled="false" stroked="false">
            <v:textbox inset="0,0,0,0">
              <w:txbxContent>
                <w:p>
                  <w:pPr>
                    <w:tabs>
                      <w:tab w:pos="631" w:val="left" w:leader="none"/>
                      <w:tab w:pos="1990" w:val="left" w:leader="none"/>
                    </w:tabs>
                    <w:spacing w:line="340" w:lineRule="exact" w:before="0"/>
                    <w:ind w:left="0" w:right="0" w:firstLine="0"/>
                    <w:jc w:val="left"/>
                    <w:rPr>
                      <w:sz w:val="34"/>
                    </w:rPr>
                  </w:pPr>
                  <w:r>
                    <w:rPr>
                      <w:color w:val="010101"/>
                      <w:w w:val="110"/>
                      <w:sz w:val="11"/>
                    </w:rPr>
                    <w:t>J'I</w:t>
                    <w:tab/>
                  </w:r>
                  <w:r>
                    <w:rPr>
                      <w:color w:val="010101"/>
                      <w:spacing w:val="-3"/>
                      <w:w w:val="65"/>
                      <w:sz w:val="34"/>
                    </w:rPr>
                    <w:t>{4s-1:,</w:t>
                    <w:tab/>
                  </w:r>
                  <w:r>
                    <w:rPr>
                      <w:color w:val="010101"/>
                      <w:w w:val="75"/>
                      <w:sz w:val="34"/>
                    </w:rPr>
                    <w:t>}</w:t>
                  </w:r>
                </w:p>
              </w:txbxContent>
            </v:textbox>
            <w10:wrap type="none"/>
          </v:shape>
        </w:pict>
      </w:r>
      <w:r>
        <w:rPr>
          <w:color w:val="010101"/>
          <w:w w:val="110"/>
          <w:sz w:val="17"/>
        </w:rPr>
        <w:t>for all valuea  of  </w:t>
      </w:r>
      <w:r>
        <w:rPr>
          <w:i/>
          <w:color w:val="010101"/>
          <w:w w:val="110"/>
          <w:sz w:val="20"/>
        </w:rPr>
        <w:t>t, </w:t>
      </w:r>
      <w:r>
        <w:rPr>
          <w:color w:val="010101"/>
          <w:w w:val="110"/>
          <w:sz w:val="17"/>
        </w:rPr>
        <w:t>derive the formula</w:t>
      </w:r>
    </w:p>
    <w:p>
      <w:pPr>
        <w:pStyle w:val="BodyText"/>
        <w:spacing w:before="9"/>
        <w:rPr>
          <w:sz w:val="17"/>
        </w:rPr>
      </w:pPr>
    </w:p>
    <w:p>
      <w:pPr>
        <w:spacing w:line="212" w:lineRule="exact" w:before="0"/>
        <w:ind w:left="98" w:right="75" w:firstLine="0"/>
        <w:jc w:val="center"/>
        <w:rPr>
          <w:sz w:val="17"/>
        </w:rPr>
      </w:pPr>
      <w:r>
        <w:rPr>
          <w:rFonts w:ascii="Arial"/>
          <w:i/>
          <w:color w:val="010101"/>
          <w:w w:val="197"/>
          <w:sz w:val="10"/>
        </w:rPr>
        <w:t>Jlq</w:t>
      </w:r>
      <w:r>
        <w:rPr>
          <w:rFonts w:ascii="Arial"/>
          <w:i/>
          <w:color w:val="010101"/>
          <w:sz w:val="10"/>
        </w:rPr>
        <w:t> </w:t>
      </w:r>
      <w:r>
        <w:rPr>
          <w:rFonts w:ascii="Arial"/>
          <w:i/>
          <w:color w:val="010101"/>
          <w:spacing w:val="3"/>
          <w:sz w:val="10"/>
        </w:rPr>
        <w:t> </w:t>
      </w:r>
      <w:r>
        <w:rPr>
          <w:rFonts w:ascii="Arial"/>
          <w:i/>
          <w:color w:val="010101"/>
          <w:w w:val="312"/>
          <w:sz w:val="10"/>
        </w:rPr>
        <w:t>..</w:t>
      </w:r>
      <w:r>
        <w:rPr>
          <w:rFonts w:ascii="Arial"/>
          <w:i/>
          <w:color w:val="010101"/>
          <w:sz w:val="10"/>
        </w:rPr>
        <w:t> </w:t>
      </w:r>
      <w:r>
        <w:rPr>
          <w:rFonts w:ascii="Arial"/>
          <w:i/>
          <w:color w:val="010101"/>
          <w:spacing w:val="-14"/>
          <w:sz w:val="10"/>
        </w:rPr>
        <w:t> </w:t>
      </w:r>
      <w:r>
        <w:rPr>
          <w:color w:val="010101"/>
          <w:w w:val="121"/>
          <w:sz w:val="22"/>
        </w:rPr>
        <w:t>i</w:t>
      </w:r>
      <w:r>
        <w:rPr>
          <w:color w:val="010101"/>
          <w:sz w:val="22"/>
        </w:rPr>
        <w:t> </w:t>
      </w:r>
      <w:r>
        <w:rPr>
          <w:color w:val="010101"/>
          <w:spacing w:val="9"/>
          <w:sz w:val="22"/>
        </w:rPr>
        <w:t> </w:t>
      </w:r>
      <w:r>
        <w:rPr>
          <w:color w:val="010101"/>
          <w:spacing w:val="-113"/>
          <w:w w:val="461"/>
          <w:sz w:val="22"/>
        </w:rPr>
        <w:t>-</w:t>
      </w:r>
      <w:r>
        <w:rPr>
          <w:color w:val="010101"/>
          <w:w w:val="229"/>
          <w:sz w:val="22"/>
        </w:rPr>
        <w:t>-</w:t>
      </w:r>
      <w:r>
        <w:rPr>
          <w:color w:val="010101"/>
          <w:spacing w:val="-12"/>
          <w:sz w:val="22"/>
        </w:rPr>
        <w:t> </w:t>
      </w:r>
      <w:r>
        <w:rPr>
          <w:color w:val="010101"/>
          <w:spacing w:val="-54"/>
          <w:w w:val="210"/>
          <w:sz w:val="22"/>
        </w:rPr>
        <w:t>-</w:t>
      </w:r>
      <w:r>
        <w:rPr>
          <w:color w:val="010101"/>
          <w:spacing w:val="-240"/>
          <w:w w:val="374"/>
          <w:sz w:val="17"/>
        </w:rPr>
        <w:t>,</w:t>
      </w:r>
      <w:r>
        <w:rPr>
          <w:color w:val="010101"/>
          <w:spacing w:val="-134"/>
          <w:w w:val="350"/>
          <w:sz w:val="17"/>
        </w:rPr>
        <w:t>.</w:t>
      </w:r>
      <w:r>
        <w:rPr>
          <w:color w:val="010101"/>
          <w:w w:val="72"/>
          <w:sz w:val="17"/>
        </w:rPr>
        <w:t>-</w:t>
      </w:r>
      <w:r>
        <w:rPr>
          <w:color w:val="010101"/>
          <w:spacing w:val="-23"/>
          <w:sz w:val="17"/>
        </w:rPr>
        <w:t> </w:t>
      </w:r>
      <w:r>
        <w:rPr>
          <w:color w:val="010101"/>
          <w:w w:val="125"/>
          <w:sz w:val="17"/>
        </w:rPr>
        <w:t>4</w:t>
      </w:r>
      <w:r>
        <w:rPr>
          <w:color w:val="010101"/>
          <w:spacing w:val="-9"/>
          <w:w w:val="125"/>
          <w:sz w:val="17"/>
        </w:rPr>
        <w:t>.</w:t>
      </w:r>
      <w:r>
        <w:rPr>
          <w:color w:val="010101"/>
          <w:w w:val="70"/>
          <w:sz w:val="17"/>
        </w:rPr>
        <w:t>+</w:t>
      </w:r>
      <w:r>
        <w:rPr>
          <w:color w:val="010101"/>
          <w:spacing w:val="8"/>
          <w:w w:val="70"/>
          <w:sz w:val="17"/>
        </w:rPr>
        <w:t>1</w:t>
      </w:r>
      <w:r>
        <w:rPr>
          <w:color w:val="1F1F1F"/>
          <w:spacing w:val="-18"/>
          <w:w w:val="113"/>
          <w:sz w:val="17"/>
        </w:rPr>
        <w:t>:</w:t>
      </w:r>
      <w:r>
        <w:rPr>
          <w:color w:val="010101"/>
          <w:w w:val="229"/>
          <w:sz w:val="17"/>
        </w:rPr>
        <w:t>,</w:t>
      </w:r>
      <w:r>
        <w:rPr>
          <w:color w:val="010101"/>
          <w:sz w:val="17"/>
        </w:rPr>
        <w:t>  </w:t>
      </w:r>
      <w:r>
        <w:rPr>
          <w:color w:val="010101"/>
          <w:spacing w:val="-14"/>
          <w:sz w:val="17"/>
        </w:rPr>
        <w:t> </w:t>
      </w:r>
      <w:r>
        <w:rPr>
          <w:color w:val="010101"/>
          <w:w w:val="154"/>
          <w:sz w:val="17"/>
        </w:rPr>
        <w:t>.</w:t>
      </w:r>
    </w:p>
    <w:p>
      <w:pPr>
        <w:spacing w:line="166" w:lineRule="exact" w:before="0"/>
        <w:ind w:left="98" w:right="418" w:firstLine="0"/>
        <w:jc w:val="center"/>
        <w:rPr>
          <w:sz w:val="18"/>
        </w:rPr>
      </w:pPr>
      <w:r>
        <w:rPr>
          <w:color w:val="010101"/>
          <w:sz w:val="18"/>
        </w:rPr>
        <w:t>Pa-1</w:t>
      </w:r>
    </w:p>
    <w:p>
      <w:pPr>
        <w:spacing w:line="241" w:lineRule="exact" w:before="101"/>
        <w:ind w:left="120" w:right="0" w:firstLine="0"/>
        <w:jc w:val="both"/>
        <w:rPr>
          <w:sz w:val="18"/>
        </w:rPr>
      </w:pPr>
      <w:r>
        <w:rPr>
          <w:color w:val="010101"/>
          <w:sz w:val="17"/>
        </w:rPr>
        <w:t>What  </w:t>
      </w:r>
      <w:r>
        <w:rPr>
          <w:rFonts w:ascii="Arial"/>
          <w:color w:val="010101"/>
          <w:sz w:val="18"/>
        </w:rPr>
        <w:t>ia </w:t>
      </w:r>
      <w:r>
        <w:rPr>
          <w:color w:val="010101"/>
          <w:sz w:val="17"/>
        </w:rPr>
        <w:t>the  correaponding  formula  for  </w:t>
      </w:r>
      <w:r>
        <w:rPr>
          <w:color w:val="010101"/>
          <w:sz w:val="22"/>
        </w:rPr>
        <w:t>A!:;.  </w:t>
      </w:r>
      <w:r>
        <w:rPr>
          <w:color w:val="010101"/>
          <w:sz w:val="18"/>
        </w:rPr>
        <w:t>?</w:t>
      </w:r>
    </w:p>
    <w:p>
      <w:pPr>
        <w:pStyle w:val="ListParagraph"/>
        <w:numPr>
          <w:ilvl w:val="1"/>
          <w:numId w:val="111"/>
        </w:numPr>
        <w:tabs>
          <w:tab w:pos="565" w:val="left" w:leader="none"/>
        </w:tabs>
        <w:spacing w:line="207" w:lineRule="exact" w:before="0" w:after="0"/>
        <w:ind w:left="564" w:right="0" w:hanging="287"/>
        <w:jc w:val="left"/>
        <w:rPr>
          <w:color w:val="010101"/>
          <w:sz w:val="17"/>
        </w:rPr>
      </w:pPr>
      <w:r>
        <w:rPr>
          <w:color w:val="010101"/>
          <w:w w:val="110"/>
          <w:sz w:val="17"/>
        </w:rPr>
        <w:t>Aesuming that </w:t>
      </w:r>
      <w:r>
        <w:rPr>
          <w:rFonts w:ascii="Arial" w:hAnsi="Arial"/>
          <w:color w:val="010101"/>
          <w:w w:val="110"/>
          <w:sz w:val="19"/>
        </w:rPr>
        <w:t>"-+• </w:t>
      </w:r>
      <w:r>
        <w:rPr>
          <w:rFonts w:ascii="Arial" w:hAnsi="Arial"/>
          <w:color w:val="010101"/>
          <w:spacing w:val="3"/>
          <w:w w:val="110"/>
          <w:sz w:val="19"/>
        </w:rPr>
        <w:t>..</w:t>
      </w:r>
      <w:r>
        <w:rPr>
          <w:rFonts w:ascii="Arial" w:hAnsi="Arial"/>
          <w:i/>
          <w:color w:val="010101"/>
          <w:spacing w:val="3"/>
          <w:w w:val="110"/>
          <w:sz w:val="16"/>
        </w:rPr>
        <w:t>qs+, </w:t>
      </w:r>
      <w:r>
        <w:rPr>
          <w:color w:val="010101"/>
          <w:w w:val="110"/>
          <w:sz w:val="17"/>
        </w:rPr>
        <w:t>for ali valuea of </w:t>
      </w:r>
      <w:r>
        <w:rPr>
          <w:i/>
          <w:color w:val="010101"/>
          <w:w w:val="110"/>
          <w:sz w:val="19"/>
        </w:rPr>
        <w:t>t, </w:t>
      </w:r>
      <w:r>
        <w:rPr>
          <w:color w:val="010101"/>
          <w:w w:val="110"/>
          <w:sz w:val="17"/>
        </w:rPr>
        <w:t>derive the</w:t>
      </w:r>
      <w:r>
        <w:rPr>
          <w:color w:val="010101"/>
          <w:spacing w:val="-33"/>
          <w:w w:val="110"/>
          <w:sz w:val="17"/>
        </w:rPr>
        <w:t> </w:t>
      </w:r>
      <w:r>
        <w:rPr>
          <w:color w:val="010101"/>
          <w:w w:val="110"/>
          <w:sz w:val="17"/>
        </w:rPr>
        <w:t>formula</w:t>
      </w:r>
    </w:p>
    <w:p>
      <w:pPr>
        <w:tabs>
          <w:tab w:pos="814" w:val="left" w:leader="none"/>
        </w:tabs>
        <w:spacing w:before="41"/>
        <w:ind w:left="0" w:right="24" w:firstLine="0"/>
        <w:jc w:val="center"/>
        <w:rPr>
          <w:sz w:val="17"/>
        </w:rPr>
      </w:pPr>
      <w:r>
        <w:rPr>
          <w:color w:val="010101"/>
          <w:w w:val="72"/>
          <w:sz w:val="27"/>
        </w:rPr>
        <w:t>A!.</w:t>
      </w:r>
      <w:r>
        <w:rPr>
          <w:color w:val="010101"/>
          <w:sz w:val="27"/>
        </w:rPr>
        <w:tab/>
      </w:r>
      <w:r>
        <w:rPr>
          <w:color w:val="010101"/>
          <w:w w:val="181"/>
          <w:sz w:val="27"/>
        </w:rPr>
        <w:t>-</w:t>
      </w:r>
      <w:r>
        <w:rPr>
          <w:color w:val="010101"/>
          <w:spacing w:val="-27"/>
          <w:sz w:val="27"/>
        </w:rPr>
        <w:t> </w:t>
      </w:r>
      <w:r>
        <w:rPr>
          <w:color w:val="010101"/>
          <w:w w:val="134"/>
          <w:sz w:val="17"/>
        </w:rPr>
        <w:t>p</w:t>
      </w:r>
      <w:r>
        <w:rPr>
          <w:color w:val="010101"/>
          <w:spacing w:val="12"/>
          <w:w w:val="134"/>
          <w:sz w:val="17"/>
        </w:rPr>
        <w:t>.</w:t>
      </w:r>
      <w:r>
        <w:rPr>
          <w:color w:val="010101"/>
          <w:spacing w:val="-38"/>
          <w:w w:val="161"/>
          <w:sz w:val="17"/>
        </w:rPr>
        <w:t>·</w:t>
      </w:r>
      <w:r>
        <w:rPr>
          <w:color w:val="010101"/>
          <w:w w:val="77"/>
          <w:sz w:val="17"/>
        </w:rPr>
        <w:t>4.+1:w</w:t>
      </w:r>
      <w:r>
        <w:rPr>
          <w:color w:val="010101"/>
          <w:sz w:val="17"/>
        </w:rPr>
        <w:t> </w:t>
      </w:r>
      <w:r>
        <w:rPr>
          <w:color w:val="010101"/>
          <w:spacing w:val="1"/>
          <w:sz w:val="17"/>
        </w:rPr>
        <w:t> </w:t>
      </w:r>
      <w:r>
        <w:rPr>
          <w:color w:val="010101"/>
          <w:w w:val="154"/>
          <w:sz w:val="17"/>
        </w:rPr>
        <w:t>.</w:t>
      </w:r>
    </w:p>
    <w:p>
      <w:pPr>
        <w:pStyle w:val="ListParagraph"/>
        <w:numPr>
          <w:ilvl w:val="0"/>
          <w:numId w:val="112"/>
        </w:numPr>
        <w:tabs>
          <w:tab w:pos="339" w:val="left" w:leader="none"/>
        </w:tabs>
        <w:spacing w:line="240" w:lineRule="auto" w:before="139" w:after="0"/>
        <w:ind w:left="338" w:right="0" w:hanging="229"/>
        <w:jc w:val="both"/>
        <w:rPr>
          <w:sz w:val="17"/>
        </w:rPr>
      </w:pPr>
      <w:r>
        <w:rPr>
          <w:color w:val="010101"/>
          <w:w w:val="125"/>
          <w:sz w:val="17"/>
        </w:rPr>
        <w:t>Annual premiums and</w:t>
      </w:r>
      <w:r>
        <w:rPr>
          <w:color w:val="010101"/>
          <w:spacing w:val="21"/>
          <w:w w:val="125"/>
          <w:sz w:val="17"/>
        </w:rPr>
        <w:t> </w:t>
      </w:r>
      <w:r>
        <w:rPr>
          <w:color w:val="010101"/>
          <w:w w:val="125"/>
          <w:sz w:val="17"/>
        </w:rPr>
        <w:t>reserves</w:t>
      </w:r>
    </w:p>
    <w:p>
      <w:pPr>
        <w:pStyle w:val="ListParagraph"/>
        <w:numPr>
          <w:ilvl w:val="1"/>
          <w:numId w:val="112"/>
        </w:numPr>
        <w:tabs>
          <w:tab w:pos="565" w:val="left" w:leader="none"/>
        </w:tabs>
        <w:spacing w:line="232" w:lineRule="auto" w:before="18" w:after="0"/>
        <w:ind w:left="116" w:right="155" w:firstLine="158"/>
        <w:jc w:val="both"/>
        <w:rPr>
          <w:sz w:val="17"/>
        </w:rPr>
      </w:pPr>
      <w:r>
        <w:rPr>
          <w:color w:val="010101"/>
          <w:w w:val="110"/>
          <w:sz w:val="17"/>
        </w:rPr>
        <w:t>Give</w:t>
      </w:r>
      <w:r>
        <w:rPr>
          <w:color w:val="010101"/>
          <w:spacing w:val="-17"/>
          <w:w w:val="110"/>
          <w:sz w:val="17"/>
        </w:rPr>
        <w:t> </w:t>
      </w:r>
      <w:r>
        <w:rPr>
          <w:color w:val="010101"/>
          <w:w w:val="110"/>
          <w:sz w:val="17"/>
        </w:rPr>
        <w:t>formulas</w:t>
      </w:r>
      <w:r>
        <w:rPr>
          <w:color w:val="010101"/>
          <w:spacing w:val="-13"/>
          <w:w w:val="110"/>
          <w:sz w:val="17"/>
        </w:rPr>
        <w:t> </w:t>
      </w:r>
      <w:r>
        <w:rPr>
          <w:color w:val="010101"/>
          <w:w w:val="110"/>
          <w:sz w:val="17"/>
        </w:rPr>
        <w:t>for</w:t>
      </w:r>
      <w:r>
        <w:rPr>
          <w:color w:val="010101"/>
          <w:spacing w:val="-10"/>
          <w:w w:val="110"/>
          <w:sz w:val="17"/>
        </w:rPr>
        <w:t> </w:t>
      </w:r>
      <w:r>
        <w:rPr>
          <w:color w:val="010101"/>
          <w:w w:val="110"/>
          <w:sz w:val="17"/>
        </w:rPr>
        <w:t>,</w:t>
      </w:r>
      <w:r>
        <w:rPr>
          <w:rFonts w:ascii="Arial"/>
          <w:i/>
          <w:color w:val="010101"/>
          <w:w w:val="110"/>
          <w:sz w:val="24"/>
        </w:rPr>
        <w:t>V!,.</w:t>
      </w:r>
      <w:r>
        <w:rPr>
          <w:rFonts w:ascii="Arial"/>
          <w:color w:val="010101"/>
          <w:w w:val="110"/>
          <w:sz w:val="24"/>
        </w:rPr>
        <w:t>,</w:t>
      </w:r>
      <w:r>
        <w:rPr>
          <w:color w:val="010101"/>
          <w:w w:val="110"/>
          <w:sz w:val="17"/>
        </w:rPr>
        <w:t>888uming</w:t>
      </w:r>
      <w:r>
        <w:rPr>
          <w:color w:val="010101"/>
          <w:spacing w:val="-24"/>
          <w:w w:val="110"/>
          <w:sz w:val="17"/>
        </w:rPr>
        <w:t> </w:t>
      </w:r>
      <w:r>
        <w:rPr>
          <w:color w:val="010101"/>
          <w:w w:val="110"/>
          <w:sz w:val="17"/>
        </w:rPr>
        <w:t>that</w:t>
      </w:r>
      <w:r>
        <w:rPr>
          <w:color w:val="010101"/>
          <w:spacing w:val="-11"/>
          <w:w w:val="110"/>
          <w:sz w:val="17"/>
        </w:rPr>
        <w:t> </w:t>
      </w:r>
      <w:r>
        <w:rPr>
          <w:color w:val="010101"/>
          <w:w w:val="110"/>
          <w:sz w:val="17"/>
        </w:rPr>
        <w:t>the</w:t>
      </w:r>
      <w:r>
        <w:rPr>
          <w:color w:val="010101"/>
          <w:spacing w:val="-14"/>
          <w:w w:val="110"/>
          <w:sz w:val="17"/>
        </w:rPr>
        <w:t> </w:t>
      </w:r>
      <w:r>
        <w:rPr>
          <w:color w:val="010101"/>
          <w:w w:val="110"/>
          <w:sz w:val="17"/>
        </w:rPr>
        <w:t>annual</w:t>
      </w:r>
      <w:r>
        <w:rPr>
          <w:color w:val="010101"/>
          <w:spacing w:val="-11"/>
          <w:w w:val="110"/>
          <w:sz w:val="17"/>
        </w:rPr>
        <w:t> </w:t>
      </w:r>
      <w:r>
        <w:rPr>
          <w:color w:val="010101"/>
          <w:w w:val="110"/>
          <w:sz w:val="17"/>
        </w:rPr>
        <w:t>premium</w:t>
      </w:r>
      <w:r>
        <w:rPr>
          <w:color w:val="010101"/>
          <w:spacing w:val="-2"/>
          <w:w w:val="110"/>
          <w:sz w:val="17"/>
        </w:rPr>
        <w:t> </w:t>
      </w:r>
      <w:r>
        <w:rPr>
          <w:color w:val="010101"/>
          <w:w w:val="110"/>
          <w:sz w:val="17"/>
        </w:rPr>
        <w:t>is</w:t>
      </w:r>
      <w:r>
        <w:rPr>
          <w:color w:val="010101"/>
          <w:spacing w:val="-7"/>
          <w:w w:val="110"/>
          <w:sz w:val="17"/>
        </w:rPr>
        <w:t> </w:t>
      </w:r>
      <w:r>
        <w:rPr>
          <w:color w:val="010101"/>
          <w:w w:val="110"/>
          <w:sz w:val="17"/>
        </w:rPr>
        <w:t>paya.ble during the joint lifetime of  (x) and the survivor of  </w:t>
      </w:r>
      <w:r>
        <w:rPr>
          <w:rFonts w:ascii="Arial"/>
          <w:color w:val="010101"/>
          <w:w w:val="110"/>
          <w:sz w:val="16"/>
        </w:rPr>
        <w:t>(y) </w:t>
      </w:r>
      <w:r>
        <w:rPr>
          <w:color w:val="010101"/>
          <w:w w:val="110"/>
          <w:sz w:val="17"/>
        </w:rPr>
        <w:t>and</w:t>
      </w:r>
      <w:r>
        <w:rPr>
          <w:color w:val="010101"/>
          <w:spacing w:val="12"/>
          <w:w w:val="110"/>
          <w:sz w:val="17"/>
        </w:rPr>
        <w:t> </w:t>
      </w:r>
      <w:r>
        <w:rPr>
          <w:color w:val="010101"/>
          <w:w w:val="110"/>
          <w:sz w:val="17"/>
        </w:rPr>
        <w:t>(z).</w:t>
      </w:r>
    </w:p>
    <w:p>
      <w:pPr>
        <w:pStyle w:val="ListParagraph"/>
        <w:numPr>
          <w:ilvl w:val="1"/>
          <w:numId w:val="112"/>
        </w:numPr>
        <w:tabs>
          <w:tab w:pos="565" w:val="left" w:leader="none"/>
        </w:tabs>
        <w:spacing w:line="230" w:lineRule="auto" w:before="3" w:after="0"/>
        <w:ind w:left="112" w:right="140" w:firstLine="162"/>
        <w:jc w:val="both"/>
        <w:rPr>
          <w:sz w:val="17"/>
        </w:rPr>
      </w:pPr>
      <w:r>
        <w:rPr>
          <w:color w:val="010101"/>
          <w:w w:val="115"/>
          <w:sz w:val="17"/>
        </w:rPr>
        <w:t>A</w:t>
      </w:r>
      <w:r>
        <w:rPr>
          <w:color w:val="010101"/>
          <w:spacing w:val="-20"/>
          <w:w w:val="115"/>
          <w:sz w:val="17"/>
        </w:rPr>
        <w:t> </w:t>
      </w:r>
      <w:r>
        <w:rPr>
          <w:color w:val="010101"/>
          <w:w w:val="115"/>
          <w:sz w:val="17"/>
        </w:rPr>
        <w:t>policy</w:t>
      </w:r>
      <w:r>
        <w:rPr>
          <w:color w:val="010101"/>
          <w:spacing w:val="-12"/>
          <w:w w:val="115"/>
          <w:sz w:val="17"/>
        </w:rPr>
        <w:t> </w:t>
      </w:r>
      <w:r>
        <w:rPr>
          <w:color w:val="010101"/>
          <w:w w:val="115"/>
          <w:sz w:val="17"/>
        </w:rPr>
        <w:t>insurea</w:t>
      </w:r>
      <w:r>
        <w:rPr>
          <w:color w:val="010101"/>
          <w:spacing w:val="-13"/>
          <w:w w:val="115"/>
          <w:sz w:val="17"/>
        </w:rPr>
        <w:t> </w:t>
      </w:r>
      <w:r>
        <w:rPr>
          <w:color w:val="010101"/>
          <w:w w:val="115"/>
          <w:sz w:val="17"/>
        </w:rPr>
        <w:t>a</w:t>
      </w:r>
      <w:r>
        <w:rPr>
          <w:color w:val="010101"/>
          <w:spacing w:val="-23"/>
          <w:w w:val="115"/>
          <w:sz w:val="17"/>
        </w:rPr>
        <w:t> </w:t>
      </w:r>
      <w:r>
        <w:rPr>
          <w:color w:val="010101"/>
          <w:w w:val="115"/>
          <w:sz w:val="17"/>
        </w:rPr>
        <w:t>bUBband</w:t>
      </w:r>
      <w:r>
        <w:rPr>
          <w:color w:val="010101"/>
          <w:spacing w:val="-6"/>
          <w:w w:val="115"/>
          <w:sz w:val="17"/>
        </w:rPr>
        <w:t> </w:t>
      </w:r>
      <w:r>
        <w:rPr>
          <w:color w:val="010101"/>
          <w:w w:val="115"/>
          <w:sz w:val="17"/>
        </w:rPr>
        <w:t>aged</w:t>
      </w:r>
      <w:r>
        <w:rPr>
          <w:color w:val="010101"/>
          <w:spacing w:val="-20"/>
          <w:w w:val="115"/>
          <w:sz w:val="17"/>
        </w:rPr>
        <w:t> </w:t>
      </w:r>
      <w:r>
        <w:rPr>
          <w:color w:val="010101"/>
          <w:w w:val="115"/>
          <w:sz w:val="17"/>
        </w:rPr>
        <w:t>40</w:t>
      </w:r>
      <w:r>
        <w:rPr>
          <w:color w:val="010101"/>
          <w:spacing w:val="-23"/>
          <w:w w:val="115"/>
          <w:sz w:val="17"/>
        </w:rPr>
        <w:t> </w:t>
      </w:r>
      <w:r>
        <w:rPr>
          <w:color w:val="010101"/>
          <w:w w:val="115"/>
          <w:sz w:val="17"/>
        </w:rPr>
        <w:t>and</w:t>
      </w:r>
      <w:r>
        <w:rPr>
          <w:color w:val="010101"/>
          <w:spacing w:val="-19"/>
          <w:w w:val="115"/>
          <w:sz w:val="17"/>
        </w:rPr>
        <w:t> </w:t>
      </w:r>
      <w:r>
        <w:rPr>
          <w:color w:val="010101"/>
          <w:w w:val="115"/>
          <w:sz w:val="17"/>
        </w:rPr>
        <w:t>his</w:t>
      </w:r>
      <w:r>
        <w:rPr>
          <w:color w:val="010101"/>
          <w:spacing w:val="-19"/>
          <w:w w:val="115"/>
          <w:sz w:val="17"/>
        </w:rPr>
        <w:t> </w:t>
      </w:r>
      <w:r>
        <w:rPr>
          <w:color w:val="010101"/>
          <w:w w:val="115"/>
          <w:sz w:val="17"/>
        </w:rPr>
        <w:t>wife</w:t>
      </w:r>
      <w:r>
        <w:rPr>
          <w:color w:val="010101"/>
          <w:spacing w:val="-14"/>
          <w:w w:val="115"/>
          <w:sz w:val="17"/>
        </w:rPr>
        <w:t> </w:t>
      </w:r>
      <w:r>
        <w:rPr>
          <w:color w:val="010101"/>
          <w:w w:val="115"/>
          <w:sz w:val="17"/>
        </w:rPr>
        <w:t>aged</w:t>
      </w:r>
      <w:r>
        <w:rPr>
          <w:color w:val="010101"/>
          <w:spacing w:val="-18"/>
          <w:w w:val="115"/>
          <w:sz w:val="17"/>
        </w:rPr>
        <w:t> </w:t>
      </w:r>
      <w:r>
        <w:rPr>
          <w:color w:val="010101"/>
          <w:w w:val="115"/>
          <w:sz w:val="17"/>
        </w:rPr>
        <w:t>35.</w:t>
      </w:r>
      <w:r>
        <w:rPr>
          <w:color w:val="010101"/>
          <w:spacing w:val="-15"/>
          <w:w w:val="115"/>
          <w:sz w:val="17"/>
        </w:rPr>
        <w:t> </w:t>
      </w:r>
      <w:r>
        <w:rPr>
          <w:rFonts w:ascii="Arial"/>
          <w:color w:val="010101"/>
          <w:w w:val="115"/>
          <w:sz w:val="18"/>
        </w:rPr>
        <w:t>If</w:t>
      </w:r>
      <w:r>
        <w:rPr>
          <w:rFonts w:ascii="Arial"/>
          <w:color w:val="010101"/>
          <w:spacing w:val="-24"/>
          <w:w w:val="115"/>
          <w:sz w:val="18"/>
        </w:rPr>
        <w:t> </w:t>
      </w:r>
      <w:r>
        <w:rPr>
          <w:color w:val="010101"/>
          <w:w w:val="115"/>
          <w:sz w:val="17"/>
        </w:rPr>
        <w:t>(35)</w:t>
      </w:r>
      <w:r>
        <w:rPr>
          <w:color w:val="010101"/>
          <w:spacing w:val="-5"/>
          <w:w w:val="115"/>
          <w:sz w:val="17"/>
        </w:rPr>
        <w:t> </w:t>
      </w:r>
      <w:r>
        <w:rPr>
          <w:color w:val="010101"/>
          <w:w w:val="115"/>
          <w:sz w:val="17"/>
        </w:rPr>
        <w:t>dies fint, the payment at her death is </w:t>
      </w:r>
      <w:r>
        <w:rPr>
          <w:color w:val="010101"/>
          <w:spacing w:val="-10"/>
          <w:w w:val="115"/>
          <w:sz w:val="18"/>
        </w:rPr>
        <w:t>$1000. </w:t>
      </w:r>
      <w:r>
        <w:rPr>
          <w:rFonts w:ascii="Arial"/>
          <w:color w:val="010101"/>
          <w:w w:val="115"/>
          <w:sz w:val="18"/>
        </w:rPr>
        <w:t>If </w:t>
      </w:r>
      <w:r>
        <w:rPr>
          <w:color w:val="010101"/>
          <w:w w:val="115"/>
          <w:sz w:val="17"/>
        </w:rPr>
        <w:t>(40) dies first, the payment at </w:t>
      </w:r>
      <w:r>
        <w:rPr>
          <w:rFonts w:ascii="Arial"/>
          <w:color w:val="010101"/>
          <w:w w:val="115"/>
          <w:sz w:val="18"/>
        </w:rPr>
        <w:t>hia</w:t>
      </w:r>
      <w:r>
        <w:rPr>
          <w:rFonts w:ascii="Arial"/>
          <w:color w:val="010101"/>
          <w:spacing w:val="-17"/>
          <w:w w:val="115"/>
          <w:sz w:val="18"/>
        </w:rPr>
        <w:t> </w:t>
      </w:r>
      <w:r>
        <w:rPr>
          <w:color w:val="010101"/>
          <w:w w:val="115"/>
          <w:sz w:val="17"/>
        </w:rPr>
        <w:t>death</w:t>
      </w:r>
      <w:r>
        <w:rPr>
          <w:color w:val="010101"/>
          <w:spacing w:val="-3"/>
          <w:w w:val="115"/>
          <w:sz w:val="17"/>
        </w:rPr>
        <w:t> </w:t>
      </w:r>
      <w:r>
        <w:rPr>
          <w:color w:val="010101"/>
          <w:w w:val="115"/>
          <w:sz w:val="17"/>
        </w:rPr>
        <w:t>is</w:t>
      </w:r>
      <w:r>
        <w:rPr>
          <w:color w:val="010101"/>
          <w:spacing w:val="-10"/>
          <w:w w:val="115"/>
          <w:sz w:val="17"/>
        </w:rPr>
        <w:t> </w:t>
      </w:r>
      <w:r>
        <w:rPr>
          <w:color w:val="010101"/>
          <w:spacing w:val="-9"/>
          <w:w w:val="115"/>
          <w:sz w:val="18"/>
        </w:rPr>
        <w:t>$10,000</w:t>
      </w:r>
      <w:r>
        <w:rPr>
          <w:color w:val="010101"/>
          <w:spacing w:val="-8"/>
          <w:w w:val="115"/>
          <w:sz w:val="18"/>
        </w:rPr>
        <w:t> </w:t>
      </w:r>
      <w:r>
        <w:rPr>
          <w:color w:val="010101"/>
          <w:w w:val="115"/>
          <w:sz w:val="17"/>
        </w:rPr>
        <w:t>during</w:t>
      </w:r>
      <w:r>
        <w:rPr>
          <w:color w:val="010101"/>
          <w:spacing w:val="-8"/>
          <w:w w:val="115"/>
          <w:sz w:val="17"/>
        </w:rPr>
        <w:t> </w:t>
      </w:r>
      <w:r>
        <w:rPr>
          <w:color w:val="010101"/>
          <w:w w:val="115"/>
          <w:sz w:val="17"/>
        </w:rPr>
        <w:t>the</w:t>
      </w:r>
      <w:r>
        <w:rPr>
          <w:color w:val="010101"/>
          <w:spacing w:val="-4"/>
          <w:w w:val="115"/>
          <w:sz w:val="17"/>
        </w:rPr>
        <w:t> </w:t>
      </w:r>
      <w:r>
        <w:rPr>
          <w:color w:val="010101"/>
          <w:w w:val="115"/>
          <w:sz w:val="17"/>
        </w:rPr>
        <w:t>first</w:t>
      </w:r>
      <w:r>
        <w:rPr>
          <w:color w:val="010101"/>
          <w:spacing w:val="-1"/>
          <w:w w:val="115"/>
          <w:sz w:val="17"/>
        </w:rPr>
        <w:t> </w:t>
      </w:r>
      <w:r>
        <w:rPr>
          <w:color w:val="010101"/>
          <w:w w:val="115"/>
          <w:sz w:val="17"/>
        </w:rPr>
        <w:t>policy</w:t>
      </w:r>
      <w:r>
        <w:rPr>
          <w:color w:val="010101"/>
          <w:spacing w:val="-9"/>
          <w:w w:val="115"/>
          <w:sz w:val="17"/>
        </w:rPr>
        <w:t> </w:t>
      </w:r>
      <w:r>
        <w:rPr>
          <w:color w:val="010101"/>
          <w:w w:val="115"/>
          <w:sz w:val="17"/>
        </w:rPr>
        <w:t>year;</w:t>
      </w:r>
      <w:r>
        <w:rPr>
          <w:color w:val="010101"/>
          <w:spacing w:val="-5"/>
          <w:w w:val="115"/>
          <w:sz w:val="17"/>
        </w:rPr>
        <w:t> </w:t>
      </w:r>
      <w:r>
        <w:rPr>
          <w:color w:val="010101"/>
          <w:w w:val="115"/>
          <w:sz w:val="17"/>
        </w:rPr>
        <w:t>thereafter</w:t>
      </w:r>
      <w:r>
        <w:rPr>
          <w:color w:val="010101"/>
          <w:spacing w:val="1"/>
          <w:w w:val="115"/>
          <w:sz w:val="17"/>
        </w:rPr>
        <w:t> </w:t>
      </w:r>
      <w:r>
        <w:rPr>
          <w:color w:val="010101"/>
          <w:w w:val="115"/>
          <w:sz w:val="17"/>
        </w:rPr>
        <w:t>it decreases</w:t>
      </w:r>
      <w:r>
        <w:rPr>
          <w:color w:val="010101"/>
          <w:spacing w:val="3"/>
          <w:w w:val="115"/>
          <w:sz w:val="17"/>
        </w:rPr>
        <w:t> </w:t>
      </w:r>
      <w:r>
        <w:rPr>
          <w:color w:val="010101"/>
          <w:w w:val="115"/>
          <w:sz w:val="17"/>
        </w:rPr>
        <w:t>by</w:t>
      </w:r>
    </w:p>
    <w:p>
      <w:pPr>
        <w:spacing w:line="244" w:lineRule="auto" w:before="0"/>
        <w:ind w:left="112" w:right="146" w:hanging="4"/>
        <w:jc w:val="both"/>
        <w:rPr>
          <w:sz w:val="17"/>
        </w:rPr>
      </w:pPr>
      <w:r>
        <w:rPr>
          <w:color w:val="010101"/>
          <w:w w:val="110"/>
          <w:sz w:val="18"/>
        </w:rPr>
        <w:t>$100 </w:t>
      </w:r>
      <w:r>
        <w:rPr>
          <w:color w:val="010101"/>
          <w:w w:val="110"/>
          <w:sz w:val="17"/>
        </w:rPr>
        <w:t>at the beginning of each policy year until it reaches </w:t>
      </w:r>
      <w:r>
        <w:rPr>
          <w:rFonts w:ascii="Arial"/>
          <w:color w:val="010101"/>
          <w:w w:val="110"/>
          <w:sz w:val="16"/>
        </w:rPr>
        <w:t>$8000 </w:t>
      </w:r>
      <w:r>
        <w:rPr>
          <w:color w:val="010101"/>
          <w:w w:val="110"/>
          <w:sz w:val="17"/>
        </w:rPr>
        <w:t>and then remains constant. Give a formula for the net annual premium in terma of commutation  functions.</w:t>
      </w:r>
    </w:p>
    <w:p>
      <w:pPr>
        <w:pStyle w:val="BodyText"/>
        <w:spacing w:before="7"/>
        <w:rPr>
          <w:sz w:val="13"/>
        </w:rPr>
      </w:pPr>
    </w:p>
    <w:p>
      <w:pPr>
        <w:pStyle w:val="ListParagraph"/>
        <w:numPr>
          <w:ilvl w:val="0"/>
          <w:numId w:val="112"/>
        </w:numPr>
        <w:tabs>
          <w:tab w:pos="336" w:val="left" w:leader="none"/>
        </w:tabs>
        <w:spacing w:line="240" w:lineRule="auto" w:before="0" w:after="0"/>
        <w:ind w:left="335" w:right="0" w:hanging="230"/>
        <w:jc w:val="both"/>
        <w:rPr>
          <w:sz w:val="17"/>
        </w:rPr>
      </w:pPr>
      <w:r>
        <w:rPr>
          <w:b/>
          <w:color w:val="010101"/>
          <w:w w:val="130"/>
          <w:sz w:val="16"/>
        </w:rPr>
        <w:t>Some speclal eontingent</w:t>
      </w:r>
      <w:r>
        <w:rPr>
          <w:b/>
          <w:color w:val="010101"/>
          <w:spacing w:val="15"/>
          <w:w w:val="130"/>
          <w:sz w:val="16"/>
        </w:rPr>
        <w:t> </w:t>
      </w:r>
      <w:r>
        <w:rPr>
          <w:color w:val="010101"/>
          <w:w w:val="130"/>
          <w:sz w:val="17"/>
        </w:rPr>
        <w:t>íunction•</w:t>
      </w:r>
    </w:p>
    <w:p>
      <w:pPr>
        <w:pStyle w:val="ListParagraph"/>
        <w:numPr>
          <w:ilvl w:val="0"/>
          <w:numId w:val="113"/>
        </w:numPr>
        <w:tabs>
          <w:tab w:pos="580" w:val="left" w:leader="none"/>
        </w:tabs>
        <w:spacing w:line="240" w:lineRule="auto" w:before="65" w:after="0"/>
        <w:ind w:left="116" w:right="142" w:firstLine="154"/>
        <w:jc w:val="both"/>
        <w:rPr>
          <w:sz w:val="17"/>
        </w:rPr>
      </w:pPr>
      <w:r>
        <w:rPr>
          <w:color w:val="010101"/>
          <w:w w:val="106"/>
          <w:sz w:val="18"/>
        </w:rPr>
        <w:t>In </w:t>
      </w:r>
      <w:r>
        <w:rPr>
          <w:color w:val="010101"/>
          <w:w w:val="120"/>
          <w:sz w:val="17"/>
        </w:rPr>
        <w:t>the </w:t>
      </w:r>
      <w:r>
        <w:rPr>
          <w:color w:val="010101"/>
          <w:w w:val="108"/>
          <w:sz w:val="17"/>
        </w:rPr>
        <w:t>case </w:t>
      </w:r>
      <w:r>
        <w:rPr>
          <w:color w:val="010101"/>
          <w:w w:val="93"/>
          <w:sz w:val="17"/>
        </w:rPr>
        <w:t>of </w:t>
      </w:r>
      <w:r>
        <w:rPr>
          <w:color w:val="010101"/>
          <w:w w:val="121"/>
          <w:sz w:val="17"/>
        </w:rPr>
        <w:t>3 </w:t>
      </w:r>
      <w:r>
        <w:rPr>
          <w:color w:val="010101"/>
          <w:w w:val="111"/>
          <w:sz w:val="17"/>
        </w:rPr>
        <w:t>lives </w:t>
      </w:r>
      <w:r>
        <w:rPr>
          <w:color w:val="010101"/>
          <w:w w:val="105"/>
          <w:sz w:val="17"/>
        </w:rPr>
        <w:t>aged </w:t>
      </w:r>
      <w:r>
        <w:rPr>
          <w:color w:val="010101"/>
          <w:w w:val="101"/>
          <w:sz w:val="17"/>
        </w:rPr>
        <w:t>70, 75, </w:t>
      </w:r>
      <w:r>
        <w:rPr>
          <w:color w:val="010101"/>
          <w:w w:val="108"/>
          <w:sz w:val="17"/>
        </w:rPr>
        <w:t>and </w:t>
      </w:r>
      <w:r>
        <w:rPr>
          <w:color w:val="383838"/>
          <w:spacing w:val="1"/>
          <w:w w:val="78"/>
          <w:sz w:val="17"/>
        </w:rPr>
        <w:t>_</w:t>
      </w:r>
      <w:r>
        <w:rPr>
          <w:color w:val="010101"/>
          <w:spacing w:val="1"/>
          <w:w w:val="78"/>
          <w:sz w:val="17"/>
        </w:rPr>
        <w:t>79,</w:t>
      </w:r>
      <w:r>
        <w:rPr>
          <w:color w:val="010101"/>
          <w:w w:val="78"/>
          <w:sz w:val="17"/>
        </w:rPr>
        <w:t> </w:t>
      </w:r>
      <w:r>
        <w:rPr>
          <w:color w:val="010101"/>
          <w:w w:val="117"/>
          <w:sz w:val="17"/>
        </w:rPr>
        <w:t>the </w:t>
      </w:r>
      <w:r>
        <w:rPr>
          <w:color w:val="010101"/>
          <w:w w:val="112"/>
          <w:sz w:val="17"/>
        </w:rPr>
        <w:t>probability </w:t>
      </w:r>
      <w:r>
        <w:rPr>
          <w:color w:val="010101"/>
          <w:w w:val="122"/>
          <w:sz w:val="17"/>
        </w:rPr>
        <w:t>that </w:t>
      </w:r>
      <w:r>
        <w:rPr>
          <w:color w:val="010101"/>
          <w:w w:val="110"/>
          <w:sz w:val="17"/>
        </w:rPr>
        <w:t>exactly </w:t>
      </w:r>
      <w:r>
        <w:rPr>
          <w:color w:val="010101"/>
          <w:w w:val="115"/>
          <w:sz w:val="17"/>
        </w:rPr>
        <w:t>2 lives survive 5 years is </w:t>
      </w:r>
      <w:r>
        <w:rPr>
          <w:color w:val="1F1F1F"/>
          <w:spacing w:val="-6"/>
          <w:w w:val="115"/>
          <w:sz w:val="17"/>
        </w:rPr>
        <w:t>.</w:t>
      </w:r>
      <w:r>
        <w:rPr>
          <w:color w:val="010101"/>
          <w:spacing w:val="-6"/>
          <w:w w:val="115"/>
          <w:sz w:val="17"/>
        </w:rPr>
        <w:t>45 </w:t>
      </w:r>
      <w:r>
        <w:rPr>
          <w:color w:val="010101"/>
          <w:w w:val="115"/>
          <w:sz w:val="17"/>
        </w:rPr>
        <w:t>and that  at least one dies within  5 years  </w:t>
      </w:r>
      <w:r>
        <w:rPr>
          <w:color w:val="010101"/>
          <w:spacing w:val="38"/>
          <w:w w:val="115"/>
          <w:sz w:val="17"/>
        </w:rPr>
        <w:t> </w:t>
      </w:r>
      <w:r>
        <w:rPr>
          <w:color w:val="010101"/>
          <w:w w:val="115"/>
          <w:sz w:val="17"/>
        </w:rPr>
        <w:t>is</w:t>
      </w:r>
    </w:p>
    <w:p>
      <w:pPr>
        <w:spacing w:after="0" w:line="240" w:lineRule="auto"/>
        <w:jc w:val="both"/>
        <w:rPr>
          <w:sz w:val="17"/>
        </w:rPr>
        <w:sectPr>
          <w:type w:val="continuous"/>
          <w:pgSz w:w="7200" w:h="11340"/>
          <w:pgMar w:top="1100" w:bottom="0" w:left="680" w:right="520"/>
        </w:sectPr>
      </w:pPr>
    </w:p>
    <w:p>
      <w:pPr>
        <w:tabs>
          <w:tab w:pos="2178" w:val="left" w:leader="none"/>
          <w:tab w:pos="5493" w:val="left" w:leader="none"/>
        </w:tabs>
        <w:spacing w:before="54"/>
        <w:ind w:left="349" w:right="0" w:firstLine="0"/>
        <w:jc w:val="left"/>
        <w:rPr>
          <w:rFonts w:ascii="Arial"/>
          <w:sz w:val="19"/>
        </w:rPr>
      </w:pPr>
      <w:r>
        <w:rPr>
          <w:rFonts w:ascii="Courier New"/>
          <w:color w:val="010101"/>
          <w:spacing w:val="-28"/>
          <w:sz w:val="22"/>
        </w:rPr>
        <w:t>244</w:t>
        <w:tab/>
      </w:r>
      <w:r>
        <w:rPr>
          <w:color w:val="010101"/>
          <w:sz w:val="15"/>
        </w:rPr>
        <w:t>CONTINGENT   </w:t>
      </w:r>
      <w:r>
        <w:rPr>
          <w:color w:val="010101"/>
          <w:spacing w:val="16"/>
          <w:sz w:val="15"/>
        </w:rPr>
        <w:t> </w:t>
      </w:r>
      <w:r>
        <w:rPr>
          <w:color w:val="010101"/>
          <w:sz w:val="15"/>
        </w:rPr>
        <w:t>FUNCTIONS</w:t>
        <w:tab/>
      </w:r>
      <w:r>
        <w:rPr>
          <w:color w:val="010101"/>
          <w:w w:val="95"/>
          <w:sz w:val="20"/>
        </w:rPr>
        <w:t>[CH.</w:t>
      </w:r>
      <w:r>
        <w:rPr>
          <w:color w:val="010101"/>
          <w:spacing w:val="-9"/>
          <w:w w:val="95"/>
          <w:sz w:val="20"/>
        </w:rPr>
        <w:t> </w:t>
      </w:r>
      <w:r>
        <w:rPr>
          <w:rFonts w:ascii="Arial"/>
          <w:color w:val="010101"/>
          <w:w w:val="95"/>
          <w:sz w:val="19"/>
        </w:rPr>
        <w:t>11</w:t>
      </w:r>
    </w:p>
    <w:p>
      <w:pPr>
        <w:pStyle w:val="BodyText"/>
        <w:spacing w:before="6"/>
        <w:rPr>
          <w:rFonts w:ascii="Arial"/>
          <w:sz w:val="25"/>
        </w:rPr>
      </w:pPr>
    </w:p>
    <w:p>
      <w:pPr>
        <w:spacing w:line="212" w:lineRule="exact" w:before="1"/>
        <w:ind w:left="352" w:right="0" w:firstLine="0"/>
        <w:jc w:val="left"/>
        <w:rPr>
          <w:sz w:val="17"/>
        </w:rPr>
      </w:pPr>
      <w:r>
        <w:rPr>
          <w:color w:val="010101"/>
          <w:w w:val="105"/>
          <w:sz w:val="17"/>
        </w:rPr>
        <w:t>.775. Given that  </w:t>
      </w:r>
      <w:r>
        <w:rPr>
          <w:color w:val="010101"/>
          <w:w w:val="95"/>
          <w:sz w:val="21"/>
        </w:rPr>
        <w:t>_!.... </w:t>
      </w:r>
      <w:r>
        <w:rPr>
          <w:color w:val="010101"/>
          <w:w w:val="105"/>
          <w:sz w:val="21"/>
        </w:rPr>
        <w:t>, </w:t>
      </w:r>
      <w:r>
        <w:rPr>
          <w:rFonts w:ascii="Arial"/>
          <w:color w:val="010101"/>
          <w:w w:val="95"/>
          <w:sz w:val="21"/>
        </w:rPr>
        <w:t>_!_ </w:t>
      </w:r>
      <w:r>
        <w:rPr>
          <w:rFonts w:ascii="Arial"/>
          <w:color w:val="010101"/>
          <w:w w:val="105"/>
          <w:sz w:val="21"/>
        </w:rPr>
        <w:t>,</w:t>
      </w:r>
      <w:r>
        <w:rPr>
          <w:color w:val="010101"/>
          <w:w w:val="105"/>
          <w:sz w:val="17"/>
        </w:rPr>
        <w:t>and  </w:t>
      </w:r>
      <w:r>
        <w:rPr>
          <w:rFonts w:ascii="Arial"/>
          <w:color w:val="010101"/>
          <w:w w:val="95"/>
          <w:sz w:val="21"/>
        </w:rPr>
        <w:t>_!_ </w:t>
      </w:r>
      <w:r>
        <w:rPr>
          <w:color w:val="010101"/>
          <w:w w:val="105"/>
          <w:sz w:val="17"/>
        </w:rPr>
        <w:t>are in arithmetic progression  and   that</w:t>
      </w:r>
    </w:p>
    <w:p>
      <w:pPr>
        <w:tabs>
          <w:tab w:pos="2813" w:val="left" w:leader="none"/>
        </w:tabs>
        <w:spacing w:line="127" w:lineRule="exact" w:before="0"/>
        <w:ind w:left="1629" w:right="0" w:firstLine="0"/>
        <w:jc w:val="left"/>
        <w:rPr>
          <w:rFonts w:ascii="Arial"/>
          <w:i/>
          <w:sz w:val="15"/>
        </w:rPr>
      </w:pPr>
      <w:r>
        <w:rPr>
          <w:rFonts w:ascii="Arial"/>
          <w:i/>
          <w:color w:val="010101"/>
          <w:spacing w:val="-28"/>
          <w:w w:val="186"/>
          <w:sz w:val="15"/>
        </w:rPr>
        <w:t>,</w:t>
      </w:r>
      <w:r>
        <w:rPr>
          <w:rFonts w:ascii="Arial"/>
          <w:i/>
          <w:color w:val="010101"/>
          <w:w w:val="113"/>
          <w:sz w:val="15"/>
        </w:rPr>
        <w:t>pn</w:t>
      </w:r>
      <w:r>
        <w:rPr>
          <w:rFonts w:ascii="Arial"/>
          <w:i/>
          <w:color w:val="010101"/>
          <w:sz w:val="15"/>
        </w:rPr>
        <w:t>   </w:t>
      </w:r>
      <w:r>
        <w:rPr>
          <w:rFonts w:ascii="Arial"/>
          <w:i/>
          <w:color w:val="010101"/>
          <w:spacing w:val="12"/>
          <w:sz w:val="15"/>
        </w:rPr>
        <w:t> </w:t>
      </w:r>
      <w:r>
        <w:rPr>
          <w:rFonts w:ascii="Arial"/>
          <w:i/>
          <w:color w:val="010101"/>
          <w:spacing w:val="-28"/>
          <w:w w:val="186"/>
          <w:sz w:val="15"/>
        </w:rPr>
        <w:t>,</w:t>
      </w:r>
      <w:r>
        <w:rPr>
          <w:rFonts w:ascii="Arial"/>
          <w:i/>
          <w:color w:val="010101"/>
          <w:w w:val="104"/>
          <w:sz w:val="15"/>
        </w:rPr>
        <w:t>p1,</w:t>
      </w:r>
      <w:r>
        <w:rPr>
          <w:rFonts w:ascii="Arial"/>
          <w:i/>
          <w:color w:val="010101"/>
          <w:sz w:val="15"/>
        </w:rPr>
        <w:tab/>
      </w:r>
      <w:r>
        <w:rPr>
          <w:rFonts w:ascii="Arial"/>
          <w:i/>
          <w:color w:val="010101"/>
          <w:spacing w:val="-35"/>
          <w:w w:val="202"/>
          <w:sz w:val="15"/>
        </w:rPr>
        <w:t>,</w:t>
      </w:r>
      <w:r>
        <w:rPr>
          <w:rFonts w:ascii="Arial"/>
          <w:i/>
          <w:color w:val="010101"/>
          <w:w w:val="81"/>
          <w:sz w:val="15"/>
        </w:rPr>
        <w:t>p10</w:t>
      </w:r>
    </w:p>
    <w:p>
      <w:pPr>
        <w:tabs>
          <w:tab w:pos="5267" w:val="left" w:leader="none"/>
        </w:tabs>
        <w:spacing w:line="198" w:lineRule="exact" w:before="22"/>
        <w:ind w:left="345" w:right="149" w:hanging="234"/>
        <w:jc w:val="left"/>
        <w:rPr>
          <w:sz w:val="17"/>
        </w:rPr>
      </w:pPr>
      <w:r>
        <w:rPr>
          <w:i/>
          <w:color w:val="010101"/>
          <w:spacing w:val="-26"/>
          <w:w w:val="126"/>
          <w:sz w:val="17"/>
        </w:rPr>
        <w:t>.q:0:aa</w:t>
      </w:r>
      <w:r>
        <w:rPr>
          <w:i/>
          <w:color w:val="010101"/>
          <w:w w:val="126"/>
          <w:sz w:val="17"/>
        </w:rPr>
        <w:t>  </w:t>
      </w:r>
      <w:r>
        <w:rPr>
          <w:color w:val="010101"/>
          <w:w w:val="91"/>
          <w:sz w:val="21"/>
        </w:rPr>
        <w:t>=  </w:t>
      </w:r>
      <w:r>
        <w:rPr>
          <w:color w:val="010101"/>
          <w:w w:val="104"/>
          <w:sz w:val="17"/>
        </w:rPr>
        <w:t>.3, </w:t>
      </w:r>
      <w:r>
        <w:rPr>
          <w:color w:val="010101"/>
          <w:w w:val="102"/>
          <w:sz w:val="17"/>
        </w:rPr>
        <w:t>find  </w:t>
      </w:r>
      <w:r>
        <w:rPr>
          <w:color w:val="010101"/>
          <w:w w:val="117"/>
          <w:sz w:val="17"/>
        </w:rPr>
        <w:t>the </w:t>
      </w:r>
      <w:r>
        <w:rPr>
          <w:color w:val="010101"/>
          <w:w w:val="112"/>
          <w:sz w:val="17"/>
        </w:rPr>
        <w:t>probability  </w:t>
      </w:r>
      <w:r>
        <w:rPr>
          <w:color w:val="010101"/>
          <w:w w:val="122"/>
          <w:sz w:val="17"/>
        </w:rPr>
        <w:t>that </w:t>
      </w:r>
      <w:r>
        <w:rPr>
          <w:color w:val="010101"/>
          <w:w w:val="98"/>
          <w:sz w:val="17"/>
        </w:rPr>
        <w:t>2 </w:t>
      </w:r>
      <w:r>
        <w:rPr>
          <w:color w:val="010101"/>
          <w:w w:val="108"/>
          <w:sz w:val="17"/>
        </w:rPr>
        <w:t>lives  </w:t>
      </w:r>
      <w:r>
        <w:rPr>
          <w:color w:val="010101"/>
          <w:w w:val="105"/>
          <w:sz w:val="17"/>
        </w:rPr>
        <w:t>aged  </w:t>
      </w:r>
      <w:r>
        <w:rPr>
          <w:color w:val="010101"/>
          <w:w w:val="98"/>
          <w:sz w:val="17"/>
        </w:rPr>
        <w:t>70  </w:t>
      </w:r>
      <w:r>
        <w:rPr>
          <w:color w:val="010101"/>
          <w:w w:val="109"/>
          <w:sz w:val="17"/>
        </w:rPr>
        <w:t>and </w:t>
      </w:r>
      <w:r>
        <w:rPr>
          <w:color w:val="010101"/>
          <w:w w:val="102"/>
          <w:sz w:val="17"/>
        </w:rPr>
        <w:t>75 </w:t>
      </w:r>
      <w:r>
        <w:rPr>
          <w:color w:val="010101"/>
          <w:w w:val="90"/>
          <w:sz w:val="19"/>
        </w:rPr>
        <w:t>will  </w:t>
      </w:r>
      <w:r>
        <w:rPr>
          <w:color w:val="010101"/>
          <w:w w:val="108"/>
          <w:sz w:val="17"/>
        </w:rPr>
        <w:t>die </w:t>
      </w:r>
      <w:r>
        <w:rPr>
          <w:color w:val="010101"/>
          <w:w w:val="110"/>
          <w:sz w:val="17"/>
        </w:rPr>
        <w:t>within </w:t>
      </w:r>
      <w:r>
        <w:rPr>
          <w:color w:val="010101"/>
          <w:w w:val="110"/>
          <w:sz w:val="17"/>
        </w:rPr>
        <w:t>5 years  of</w:t>
      </w:r>
      <w:r>
        <w:rPr>
          <w:color w:val="010101"/>
          <w:spacing w:val="6"/>
          <w:w w:val="110"/>
          <w:sz w:val="17"/>
        </w:rPr>
        <w:t> </w:t>
      </w:r>
      <w:r>
        <w:rPr>
          <w:color w:val="010101"/>
          <w:w w:val="110"/>
          <w:sz w:val="17"/>
        </w:rPr>
        <w:t>each</w:t>
      </w:r>
      <w:r>
        <w:rPr>
          <w:color w:val="010101"/>
          <w:spacing w:val="15"/>
          <w:w w:val="110"/>
          <w:sz w:val="17"/>
        </w:rPr>
        <w:t> </w:t>
      </w:r>
      <w:r>
        <w:rPr>
          <w:color w:val="010101"/>
          <w:w w:val="110"/>
          <w:sz w:val="17"/>
        </w:rPr>
        <w:t>other.</w:t>
        <w:tab/>
      </w:r>
      <w:r>
        <w:rPr>
          <w:color w:val="010101"/>
          <w:spacing w:val="3"/>
          <w:w w:val="105"/>
          <w:sz w:val="17"/>
        </w:rPr>
        <w:t>(Ana.</w:t>
      </w:r>
      <w:r>
        <w:rPr>
          <w:color w:val="010101"/>
          <w:spacing w:val="-9"/>
          <w:w w:val="105"/>
          <w:sz w:val="17"/>
        </w:rPr>
        <w:t> </w:t>
      </w:r>
      <w:r>
        <w:rPr>
          <w:color w:val="010101"/>
          <w:spacing w:val="-5"/>
          <w:w w:val="105"/>
          <w:sz w:val="17"/>
        </w:rPr>
        <w:t>.445)</w:t>
      </w:r>
    </w:p>
    <w:p>
      <w:pPr>
        <w:pStyle w:val="ListParagraph"/>
        <w:numPr>
          <w:ilvl w:val="0"/>
          <w:numId w:val="113"/>
        </w:numPr>
        <w:tabs>
          <w:tab w:pos="787" w:val="left" w:leader="none"/>
        </w:tabs>
        <w:spacing w:line="242" w:lineRule="auto" w:before="3" w:after="0"/>
        <w:ind w:left="338" w:right="156" w:firstLine="161"/>
        <w:jc w:val="both"/>
        <w:rPr>
          <w:sz w:val="17"/>
        </w:rPr>
      </w:pPr>
      <w:r>
        <w:rPr/>
        <w:drawing>
          <wp:anchor distT="0" distB="0" distL="0" distR="0" allowOverlap="1" layoutInCell="1" locked="0" behindDoc="0" simplePos="0" relativeHeight="19744">
            <wp:simplePos x="0" y="0"/>
            <wp:positionH relativeFrom="page">
              <wp:posOffset>1975104</wp:posOffset>
            </wp:positionH>
            <wp:positionV relativeFrom="paragraph">
              <wp:posOffset>327936</wp:posOffset>
            </wp:positionV>
            <wp:extent cx="630936" cy="283463"/>
            <wp:effectExtent l="0" t="0" r="0" b="0"/>
            <wp:wrapTopAndBottom/>
            <wp:docPr id="581" name="image296.png" descr=""/>
            <wp:cNvGraphicFramePr>
              <a:graphicFrameLocks noChangeAspect="1"/>
            </wp:cNvGraphicFramePr>
            <a:graphic>
              <a:graphicData uri="http://schemas.openxmlformats.org/drawingml/2006/picture">
                <pic:pic>
                  <pic:nvPicPr>
                    <pic:cNvPr id="582" name="image296.png"/>
                    <pic:cNvPicPr/>
                  </pic:nvPicPr>
                  <pic:blipFill>
                    <a:blip r:embed="rId300" cstate="print"/>
                    <a:stretch>
                      <a:fillRect/>
                    </a:stretch>
                  </pic:blipFill>
                  <pic:spPr>
                    <a:xfrm>
                      <a:off x="0" y="0"/>
                      <a:ext cx="630936" cy="283463"/>
                    </a:xfrm>
                    <a:prstGeom prst="rect">
                      <a:avLst/>
                    </a:prstGeom>
                  </pic:spPr>
                </pic:pic>
              </a:graphicData>
            </a:graphic>
          </wp:anchor>
        </w:drawing>
      </w:r>
      <w:r>
        <w:rPr>
          <w:color w:val="010101"/>
          <w:w w:val="105"/>
          <w:sz w:val="17"/>
        </w:rPr>
        <w:t>Show that the net  annual premium  for  a pure endowment  of  1payable  if  </w:t>
      </w:r>
      <w:r>
        <w:rPr>
          <w:rFonts w:ascii="Arial"/>
          <w:i/>
          <w:color w:val="010101"/>
          <w:spacing w:val="5"/>
          <w:w w:val="105"/>
          <w:sz w:val="15"/>
        </w:rPr>
        <w:t>(x)  </w:t>
      </w:r>
      <w:r>
        <w:rPr>
          <w:color w:val="010101"/>
          <w:w w:val="105"/>
          <w:sz w:val="17"/>
        </w:rPr>
        <w:t>is alive </w:t>
      </w:r>
      <w:r>
        <w:rPr>
          <w:rFonts w:ascii="Arial"/>
          <w:i/>
          <w:color w:val="010101"/>
          <w:w w:val="105"/>
          <w:sz w:val="15"/>
        </w:rPr>
        <w:t>n </w:t>
      </w:r>
      <w:r>
        <w:rPr>
          <w:color w:val="010101"/>
          <w:w w:val="105"/>
          <w:sz w:val="17"/>
        </w:rPr>
        <w:t>years  after the death of  </w:t>
      </w:r>
      <w:r>
        <w:rPr>
          <w:rFonts w:ascii="Arial"/>
          <w:i/>
          <w:color w:val="010101"/>
          <w:spacing w:val="4"/>
          <w:w w:val="105"/>
          <w:sz w:val="15"/>
        </w:rPr>
        <w:t>(y)  </w:t>
      </w:r>
      <w:r>
        <w:rPr>
          <w:color w:val="010101"/>
          <w:w w:val="105"/>
          <w:sz w:val="17"/>
        </w:rPr>
        <w:t>is given  </w:t>
      </w:r>
      <w:r>
        <w:rPr>
          <w:color w:val="010101"/>
          <w:spacing w:val="21"/>
          <w:w w:val="105"/>
          <w:sz w:val="17"/>
        </w:rPr>
        <w:t> </w:t>
      </w:r>
      <w:r>
        <w:rPr>
          <w:color w:val="010101"/>
          <w:w w:val="105"/>
          <w:sz w:val="17"/>
        </w:rPr>
        <w:t>by</w:t>
      </w:r>
    </w:p>
    <w:p>
      <w:pPr>
        <w:pStyle w:val="ListParagraph"/>
        <w:numPr>
          <w:ilvl w:val="0"/>
          <w:numId w:val="113"/>
        </w:numPr>
        <w:tabs>
          <w:tab w:pos="787" w:val="left" w:leader="none"/>
        </w:tabs>
        <w:spacing w:line="247" w:lineRule="auto" w:before="126" w:after="0"/>
        <w:ind w:left="345" w:right="152" w:firstLine="154"/>
        <w:jc w:val="both"/>
        <w:rPr>
          <w:sz w:val="17"/>
        </w:rPr>
      </w:pPr>
      <w:r>
        <w:rPr>
          <w:color w:val="010101"/>
          <w:w w:val="110"/>
          <w:sz w:val="17"/>
        </w:rPr>
        <w:t>A deferred annuity of 1 is payable annually, beginning </w:t>
      </w:r>
      <w:r>
        <w:rPr>
          <w:rFonts w:ascii="Arial"/>
          <w:i/>
          <w:color w:val="010101"/>
          <w:w w:val="110"/>
          <w:sz w:val="15"/>
        </w:rPr>
        <w:t>m </w:t>
      </w:r>
      <w:r>
        <w:rPr>
          <w:color w:val="010101"/>
          <w:w w:val="110"/>
          <w:sz w:val="17"/>
        </w:rPr>
        <w:t>years </w:t>
      </w:r>
      <w:r>
        <w:rPr>
          <w:color w:val="010101"/>
          <w:sz w:val="17"/>
        </w:rPr>
        <w:t>f </w:t>
      </w:r>
      <w:r>
        <w:rPr>
          <w:color w:val="010101"/>
          <w:w w:val="110"/>
          <w:sz w:val="17"/>
        </w:rPr>
        <w:t>rom now. Annuity payments are made if at the time of payment  </w:t>
      </w:r>
      <w:r>
        <w:rPr>
          <w:rFonts w:ascii="Arial"/>
          <w:i/>
          <w:color w:val="010101"/>
          <w:spacing w:val="5"/>
          <w:w w:val="110"/>
          <w:sz w:val="14"/>
        </w:rPr>
        <w:t>(x) </w:t>
      </w:r>
      <w:r>
        <w:rPr>
          <w:color w:val="010101"/>
          <w:w w:val="110"/>
          <w:sz w:val="17"/>
        </w:rPr>
        <w:t>is alive  </w:t>
      </w:r>
      <w:r>
        <w:rPr>
          <w:color w:val="010101"/>
          <w:spacing w:val="24"/>
          <w:w w:val="110"/>
          <w:sz w:val="17"/>
        </w:rPr>
        <w:t> </w:t>
      </w:r>
      <w:r>
        <w:rPr>
          <w:color w:val="010101"/>
          <w:w w:val="110"/>
          <w:sz w:val="17"/>
        </w:rPr>
        <w:t>and</w:t>
      </w:r>
    </w:p>
    <w:p>
      <w:pPr>
        <w:pStyle w:val="ListParagraph"/>
        <w:numPr>
          <w:ilvl w:val="1"/>
          <w:numId w:val="105"/>
        </w:numPr>
        <w:tabs>
          <w:tab w:pos="594" w:val="left" w:leader="none"/>
        </w:tabs>
        <w:spacing w:line="204" w:lineRule="exact" w:before="0" w:after="0"/>
        <w:ind w:left="593" w:right="0" w:hanging="237"/>
        <w:jc w:val="left"/>
        <w:rPr>
          <w:color w:val="010101"/>
          <w:sz w:val="16"/>
        </w:rPr>
      </w:pPr>
      <w:r>
        <w:rPr>
          <w:color w:val="131313"/>
          <w:w w:val="110"/>
          <w:sz w:val="17"/>
        </w:rPr>
        <w:t>.either</w:t>
      </w:r>
      <w:r>
        <w:rPr>
          <w:color w:val="131313"/>
          <w:spacing w:val="14"/>
          <w:w w:val="110"/>
          <w:sz w:val="17"/>
        </w:rPr>
        <w:t> </w:t>
      </w:r>
      <w:r>
        <w:rPr>
          <w:color w:val="010101"/>
          <w:w w:val="110"/>
          <w:sz w:val="17"/>
        </w:rPr>
        <w:t>is</w:t>
      </w:r>
      <w:r>
        <w:rPr>
          <w:color w:val="010101"/>
          <w:spacing w:val="13"/>
          <w:w w:val="110"/>
          <w:sz w:val="17"/>
        </w:rPr>
        <w:t> </w:t>
      </w:r>
      <w:r>
        <w:rPr>
          <w:color w:val="010101"/>
          <w:w w:val="110"/>
          <w:sz w:val="17"/>
        </w:rPr>
        <w:t>alive</w:t>
      </w:r>
      <w:r>
        <w:rPr>
          <w:color w:val="010101"/>
          <w:spacing w:val="11"/>
          <w:w w:val="110"/>
          <w:sz w:val="17"/>
        </w:rPr>
        <w:t> </w:t>
      </w:r>
      <w:r>
        <w:rPr>
          <w:color w:val="010101"/>
          <w:w w:val="110"/>
          <w:sz w:val="17"/>
        </w:rPr>
        <w:t>or</w:t>
      </w:r>
      <w:r>
        <w:rPr>
          <w:color w:val="010101"/>
          <w:spacing w:val="13"/>
          <w:w w:val="110"/>
          <w:sz w:val="17"/>
        </w:rPr>
        <w:t> </w:t>
      </w:r>
      <w:r>
        <w:rPr>
          <w:color w:val="010101"/>
          <w:w w:val="110"/>
          <w:sz w:val="17"/>
        </w:rPr>
        <w:t>has</w:t>
      </w:r>
      <w:r>
        <w:rPr>
          <w:color w:val="010101"/>
          <w:spacing w:val="17"/>
          <w:w w:val="110"/>
          <w:sz w:val="17"/>
        </w:rPr>
        <w:t> </w:t>
      </w:r>
      <w:r>
        <w:rPr>
          <w:color w:val="010101"/>
          <w:w w:val="110"/>
          <w:sz w:val="17"/>
        </w:rPr>
        <w:t>been</w:t>
      </w:r>
      <w:r>
        <w:rPr>
          <w:color w:val="010101"/>
          <w:spacing w:val="21"/>
          <w:w w:val="110"/>
          <w:sz w:val="17"/>
        </w:rPr>
        <w:t> </w:t>
      </w:r>
      <w:r>
        <w:rPr>
          <w:color w:val="010101"/>
          <w:w w:val="110"/>
          <w:sz w:val="17"/>
        </w:rPr>
        <w:t>dead</w:t>
      </w:r>
      <w:r>
        <w:rPr>
          <w:color w:val="010101"/>
          <w:spacing w:val="18"/>
          <w:w w:val="110"/>
          <w:sz w:val="17"/>
        </w:rPr>
        <w:t> </w:t>
      </w:r>
      <w:r>
        <w:rPr>
          <w:color w:val="010101"/>
          <w:w w:val="110"/>
          <w:sz w:val="17"/>
        </w:rPr>
        <w:t>less</w:t>
      </w:r>
      <w:r>
        <w:rPr>
          <w:color w:val="010101"/>
          <w:spacing w:val="12"/>
          <w:w w:val="110"/>
          <w:sz w:val="17"/>
        </w:rPr>
        <w:t> </w:t>
      </w:r>
      <w:r>
        <w:rPr>
          <w:color w:val="010101"/>
          <w:w w:val="110"/>
          <w:sz w:val="17"/>
        </w:rPr>
        <w:t>than</w:t>
      </w:r>
      <w:r>
        <w:rPr>
          <w:color w:val="010101"/>
          <w:spacing w:val="10"/>
          <w:w w:val="110"/>
          <w:sz w:val="17"/>
        </w:rPr>
        <w:t> </w:t>
      </w:r>
      <w:r>
        <w:rPr>
          <w:rFonts w:ascii="Arial"/>
          <w:i/>
          <w:color w:val="010101"/>
          <w:w w:val="110"/>
          <w:sz w:val="15"/>
        </w:rPr>
        <w:t>n</w:t>
      </w:r>
      <w:r>
        <w:rPr>
          <w:rFonts w:ascii="Arial"/>
          <w:i/>
          <w:color w:val="010101"/>
          <w:spacing w:val="8"/>
          <w:w w:val="110"/>
          <w:sz w:val="15"/>
        </w:rPr>
        <w:t> </w:t>
      </w:r>
      <w:r>
        <w:rPr>
          <w:color w:val="010101"/>
          <w:w w:val="110"/>
          <w:sz w:val="17"/>
        </w:rPr>
        <w:t>years</w:t>
      </w:r>
      <w:r>
        <w:rPr>
          <w:color w:val="010101"/>
          <w:spacing w:val="37"/>
          <w:w w:val="110"/>
          <w:sz w:val="17"/>
        </w:rPr>
        <w:t> </w:t>
      </w:r>
      <w:r>
        <w:rPr>
          <w:rFonts w:ascii="Arial"/>
          <w:i/>
          <w:color w:val="010101"/>
          <w:w w:val="110"/>
          <w:sz w:val="15"/>
        </w:rPr>
        <w:t>(m</w:t>
      </w:r>
      <w:r>
        <w:rPr>
          <w:rFonts w:ascii="Arial"/>
          <w:i/>
          <w:color w:val="010101"/>
          <w:spacing w:val="21"/>
          <w:w w:val="110"/>
          <w:sz w:val="15"/>
        </w:rPr>
        <w:t> </w:t>
      </w:r>
      <w:r>
        <w:rPr>
          <w:rFonts w:ascii="Arial"/>
          <w:color w:val="010101"/>
          <w:w w:val="110"/>
          <w:sz w:val="22"/>
        </w:rPr>
        <w:t>&gt;</w:t>
      </w:r>
      <w:r>
        <w:rPr>
          <w:rFonts w:ascii="Arial"/>
          <w:color w:val="010101"/>
          <w:spacing w:val="-11"/>
          <w:w w:val="110"/>
          <w:sz w:val="22"/>
        </w:rPr>
        <w:t> </w:t>
      </w:r>
      <w:r>
        <w:rPr>
          <w:rFonts w:ascii="Arial"/>
          <w:i/>
          <w:color w:val="010101"/>
          <w:spacing w:val="4"/>
          <w:w w:val="110"/>
          <w:sz w:val="15"/>
        </w:rPr>
        <w:t>n).</w:t>
      </w:r>
      <w:r>
        <w:rPr>
          <w:rFonts w:ascii="Arial"/>
          <w:i/>
          <w:color w:val="010101"/>
          <w:spacing w:val="22"/>
          <w:w w:val="110"/>
          <w:sz w:val="15"/>
        </w:rPr>
        <w:t> </w:t>
      </w:r>
      <w:r>
        <w:rPr>
          <w:color w:val="010101"/>
          <w:w w:val="110"/>
          <w:sz w:val="17"/>
        </w:rPr>
        <w:t>What</w:t>
      </w:r>
      <w:r>
        <w:rPr>
          <w:color w:val="010101"/>
          <w:spacing w:val="21"/>
          <w:w w:val="110"/>
          <w:sz w:val="17"/>
        </w:rPr>
        <w:t> </w:t>
      </w:r>
      <w:r>
        <w:rPr>
          <w:color w:val="010101"/>
          <w:w w:val="110"/>
          <w:sz w:val="17"/>
        </w:rPr>
        <w:t>is</w:t>
      </w:r>
      <w:r>
        <w:rPr>
          <w:color w:val="010101"/>
          <w:spacing w:val="9"/>
          <w:w w:val="110"/>
          <w:sz w:val="17"/>
        </w:rPr>
        <w:t> </w:t>
      </w:r>
      <w:r>
        <w:rPr>
          <w:color w:val="010101"/>
          <w:w w:val="110"/>
          <w:sz w:val="17"/>
        </w:rPr>
        <w:t>the</w:t>
      </w:r>
    </w:p>
    <w:p>
      <w:pPr>
        <w:spacing w:line="194" w:lineRule="exact" w:before="0"/>
        <w:ind w:left="331" w:right="0" w:firstLine="0"/>
        <w:jc w:val="left"/>
        <w:rPr>
          <w:sz w:val="17"/>
        </w:rPr>
      </w:pPr>
      <w:r>
        <w:rPr>
          <w:color w:val="010101"/>
          <w:w w:val="110"/>
          <w:sz w:val="17"/>
        </w:rPr>
        <w:t>present  value  of  this  annuity?</w:t>
      </w:r>
    </w:p>
    <w:p>
      <w:pPr>
        <w:spacing w:line="247" w:lineRule="auto" w:before="5"/>
        <w:ind w:left="334" w:right="157" w:firstLine="161"/>
        <w:jc w:val="both"/>
        <w:rPr>
          <w:sz w:val="17"/>
        </w:rPr>
      </w:pPr>
      <w:r>
        <w:rPr>
          <w:rFonts w:ascii="Arial"/>
          <w:i/>
          <w:color w:val="010101"/>
          <w:w w:val="105"/>
          <w:sz w:val="17"/>
        </w:rPr>
        <w:t>Zl. </w:t>
      </w:r>
      <w:r>
        <w:rPr>
          <w:color w:val="010101"/>
          <w:w w:val="105"/>
          <w:sz w:val="17"/>
        </w:rPr>
        <w:t>Find the present value of 1 paya.ble at the moment of death of (50) provided  that  (20)  has then either died  or attained  a.ge 40.</w:t>
      </w:r>
    </w:p>
    <w:p>
      <w:pPr>
        <w:pStyle w:val="ListParagraph"/>
        <w:numPr>
          <w:ilvl w:val="0"/>
          <w:numId w:val="114"/>
        </w:numPr>
        <w:tabs>
          <w:tab w:pos="787" w:val="left" w:leader="none"/>
        </w:tabs>
        <w:spacing w:line="242" w:lineRule="auto" w:before="0" w:after="0"/>
        <w:ind w:left="334" w:right="146" w:firstLine="162"/>
        <w:jc w:val="both"/>
        <w:rPr>
          <w:sz w:val="17"/>
        </w:rPr>
      </w:pPr>
      <w:r>
        <w:rPr>
          <w:color w:val="010101"/>
          <w:w w:val="105"/>
          <w:sz w:val="17"/>
        </w:rPr>
        <w:t>Derive and simplify an expression, in terms oí single  premium  sym­ bols, for an insurance payable on the  death  of. (x} af ter  </w:t>
      </w:r>
      <w:r>
        <w:rPr>
          <w:color w:val="010101"/>
          <w:w w:val="105"/>
          <w:sz w:val="16"/>
        </w:rPr>
        <w:t>(y},  </w:t>
      </w:r>
      <w:r>
        <w:rPr>
          <w:color w:val="010101"/>
          <w:w w:val="105"/>
          <w:sz w:val="17"/>
        </w:rPr>
        <w:t>provided  </w:t>
      </w:r>
      <w:r>
        <w:rPr>
          <w:rFonts w:ascii="Arial" w:hAnsi="Arial"/>
          <w:i/>
          <w:color w:val="010101"/>
          <w:spacing w:val="5"/>
          <w:w w:val="105"/>
          <w:sz w:val="15"/>
        </w:rPr>
        <w:t>(y) </w:t>
      </w:r>
      <w:r>
        <w:rPr>
          <w:color w:val="010101"/>
          <w:w w:val="105"/>
          <w:sz w:val="17"/>
        </w:rPr>
        <w:t>dies during the </w:t>
      </w:r>
      <w:r>
        <w:rPr>
          <w:i/>
          <w:color w:val="010101"/>
          <w:w w:val="105"/>
          <w:sz w:val="18"/>
        </w:rPr>
        <w:t>n </w:t>
      </w:r>
      <w:r>
        <w:rPr>
          <w:color w:val="010101"/>
          <w:w w:val="105"/>
          <w:sz w:val="17"/>
        </w:rPr>
        <w:t>years  preceding  the  death  oí </w:t>
      </w:r>
      <w:r>
        <w:rPr>
          <w:color w:val="010101"/>
          <w:spacing w:val="23"/>
          <w:w w:val="105"/>
          <w:sz w:val="17"/>
        </w:rPr>
        <w:t> </w:t>
      </w:r>
      <w:r>
        <w:rPr>
          <w:color w:val="010101"/>
          <w:w w:val="105"/>
          <w:sz w:val="17"/>
        </w:rPr>
        <w:t>(x}.</w:t>
      </w:r>
    </w:p>
    <w:p>
      <w:pPr>
        <w:pStyle w:val="BodyText"/>
        <w:spacing w:before="1"/>
        <w:rPr>
          <w:sz w:val="14"/>
        </w:rPr>
      </w:pPr>
    </w:p>
    <w:p>
      <w:pPr>
        <w:spacing w:before="0"/>
        <w:ind w:left="324" w:right="0" w:firstLine="0"/>
        <w:jc w:val="left"/>
        <w:rPr>
          <w:b/>
          <w:sz w:val="16"/>
        </w:rPr>
      </w:pPr>
      <w:r>
        <w:rPr>
          <w:b/>
          <w:color w:val="010101"/>
          <w:w w:val="125"/>
          <w:sz w:val="16"/>
        </w:rPr>
        <w:t>Miscellaneous problems</w:t>
      </w:r>
    </w:p>
    <w:p>
      <w:pPr>
        <w:pStyle w:val="ListParagraph"/>
        <w:numPr>
          <w:ilvl w:val="0"/>
          <w:numId w:val="114"/>
        </w:numPr>
        <w:tabs>
          <w:tab w:pos="780" w:val="left" w:leader="none"/>
        </w:tabs>
        <w:spacing w:line="249" w:lineRule="auto" w:before="50" w:after="0"/>
        <w:ind w:left="327" w:right="157" w:firstLine="162"/>
        <w:jc w:val="both"/>
        <w:rPr>
          <w:sz w:val="16"/>
        </w:rPr>
      </w:pPr>
      <w:r>
        <w:rPr>
          <w:color w:val="010101"/>
          <w:w w:val="110"/>
          <w:sz w:val="17"/>
        </w:rPr>
        <w:t>Fin&lt;l the single premium with a loading of </w:t>
      </w:r>
      <w:r>
        <w:rPr>
          <w:color w:val="010101"/>
          <w:w w:val="110"/>
          <w:sz w:val="21"/>
        </w:rPr>
        <w:t>7! </w:t>
      </w:r>
      <w:r>
        <w:rPr>
          <w:color w:val="010101"/>
          <w:w w:val="110"/>
          <w:sz w:val="17"/>
        </w:rPr>
        <w:t>per cent of the net premium for a contingent survivorship policy paya.ble ií a life aged 30 dies before a life aged 60, or within 5 years aíter the death oí the latter, with return of the single premium without interest 5 years after the death of the life aged 60 if no claim under the policy arises by the death of the life aged </w:t>
      </w:r>
      <w:r>
        <w:rPr>
          <w:color w:val="010101"/>
          <w:w w:val="110"/>
          <w:sz w:val="16"/>
        </w:rPr>
        <w:t>30.</w:t>
      </w:r>
    </w:p>
    <w:p>
      <w:pPr>
        <w:pStyle w:val="ListParagraph"/>
        <w:numPr>
          <w:ilvl w:val="0"/>
          <w:numId w:val="114"/>
        </w:numPr>
        <w:tabs>
          <w:tab w:pos="798" w:val="left" w:leader="none"/>
        </w:tabs>
        <w:spacing w:line="240" w:lineRule="auto" w:before="46" w:after="0"/>
        <w:ind w:left="797" w:right="0" w:hanging="312"/>
        <w:jc w:val="left"/>
        <w:rPr>
          <w:i/>
          <w:sz w:val="17"/>
        </w:rPr>
      </w:pPr>
      <w:r>
        <w:rPr>
          <w:color w:val="010101"/>
          <w:sz w:val="17"/>
        </w:rPr>
        <w:t>Find  the value  of  </w:t>
      </w:r>
      <w:r>
        <w:rPr>
          <w:b/>
          <w:color w:val="010101"/>
          <w:w w:val="80"/>
          <w:sz w:val="38"/>
        </w:rPr>
        <w:t>loo </w:t>
      </w:r>
      <w:r>
        <w:rPr>
          <w:color w:val="010101"/>
          <w:sz w:val="14"/>
        </w:rPr>
        <w:t>,qz! cPzz P.z+c</w:t>
      </w:r>
      <w:r>
        <w:rPr>
          <w:color w:val="010101"/>
          <w:spacing w:val="9"/>
          <w:sz w:val="14"/>
        </w:rPr>
        <w:t> </w:t>
      </w:r>
      <w:r>
        <w:rPr>
          <w:i/>
          <w:color w:val="010101"/>
          <w:sz w:val="17"/>
        </w:rPr>
        <w:t>dt.</w:t>
      </w:r>
    </w:p>
    <w:p>
      <w:pPr>
        <w:pStyle w:val="ListParagraph"/>
        <w:numPr>
          <w:ilvl w:val="0"/>
          <w:numId w:val="114"/>
        </w:numPr>
        <w:tabs>
          <w:tab w:pos="773" w:val="left" w:leader="none"/>
        </w:tabs>
        <w:spacing w:line="247" w:lineRule="auto" w:before="237" w:after="0"/>
        <w:ind w:left="324" w:right="164" w:firstLine="161"/>
        <w:jc w:val="both"/>
        <w:rPr>
          <w:sz w:val="17"/>
        </w:rPr>
      </w:pPr>
      <w:r>
        <w:rPr>
          <w:color w:val="010101"/>
          <w:w w:val="105"/>
          <w:sz w:val="17"/>
        </w:rPr>
        <w:t>An insurance is to be paid at the moment of dcath of (x) if  he </w:t>
      </w:r>
      <w:r>
        <w:rPr>
          <w:color w:val="010101"/>
          <w:spacing w:val="2"/>
          <w:w w:val="105"/>
          <w:sz w:val="17"/>
        </w:rPr>
        <w:t>survives </w:t>
      </w:r>
      <w:r>
        <w:rPr>
          <w:color w:val="010101"/>
          <w:w w:val="105"/>
          <w:sz w:val="15"/>
        </w:rPr>
        <w:t>(y). </w:t>
      </w:r>
      <w:r>
        <w:rPr>
          <w:color w:val="010101"/>
          <w:w w:val="105"/>
          <w:sz w:val="17"/>
        </w:rPr>
        <w:t>The payment is equal  to the number  oí years  (includi ng fractional  parta  oí a year) elapsed from the date of issue to the  moment  of  death  of  </w:t>
      </w:r>
      <w:r>
        <w:rPr>
          <w:rFonts w:ascii="Arial" w:hAnsi="Arial"/>
          <w:i/>
          <w:color w:val="010101"/>
          <w:w w:val="105"/>
          <w:sz w:val="15"/>
        </w:rPr>
        <w:t>( y ). </w:t>
      </w:r>
      <w:r>
        <w:rPr>
          <w:color w:val="010101"/>
          <w:w w:val="105"/>
          <w:sz w:val="17"/>
        </w:rPr>
        <w:t>Write  thc  net  single  premium   as  a  definite</w:t>
      </w:r>
      <w:r>
        <w:rPr>
          <w:color w:val="010101"/>
          <w:spacing w:val="-10"/>
          <w:w w:val="105"/>
          <w:sz w:val="17"/>
        </w:rPr>
        <w:t> </w:t>
      </w:r>
      <w:r>
        <w:rPr>
          <w:color w:val="010101"/>
          <w:w w:val="105"/>
          <w:sz w:val="17"/>
        </w:rPr>
        <w:t>integral.</w:t>
      </w:r>
    </w:p>
    <w:p>
      <w:pPr>
        <w:pStyle w:val="ListParagraph"/>
        <w:numPr>
          <w:ilvl w:val="0"/>
          <w:numId w:val="114"/>
        </w:numPr>
        <w:tabs>
          <w:tab w:pos="777" w:val="left" w:leader="none"/>
        </w:tabs>
        <w:spacing w:line="247" w:lineRule="auto" w:before="0" w:after="0"/>
        <w:ind w:left="324" w:right="161" w:firstLine="157"/>
        <w:jc w:val="both"/>
        <w:rPr>
          <w:sz w:val="17"/>
        </w:rPr>
      </w:pPr>
      <w:r>
        <w:rPr>
          <w:color w:val="010101"/>
          <w:w w:val="105"/>
          <w:sz w:val="17"/>
        </w:rPr>
        <w:t>Dcvelop a formula i n terms of an expression which does not involve integrals for the net  </w:t>
      </w:r>
      <w:r>
        <w:rPr>
          <w:color w:val="010101"/>
          <w:spacing w:val="2"/>
          <w:w w:val="105"/>
          <w:sz w:val="17"/>
        </w:rPr>
        <w:t>single </w:t>
      </w:r>
      <w:r>
        <w:rPr>
          <w:color w:val="010101"/>
          <w:w w:val="105"/>
          <w:sz w:val="17"/>
        </w:rPr>
        <w:t>premíum  for an insurance of  1 paya.ble  10 years  af ter the death oí (x), ií both or either of </w:t>
      </w:r>
      <w:r>
        <w:rPr>
          <w:rFonts w:ascii="Arial" w:hAnsi="Arial"/>
          <w:i/>
          <w:color w:val="010101"/>
          <w:w w:val="105"/>
          <w:sz w:val="15"/>
        </w:rPr>
        <w:t>( y )  </w:t>
      </w:r>
      <w:r>
        <w:rPr>
          <w:color w:val="010101"/>
          <w:w w:val="105"/>
          <w:sz w:val="17"/>
        </w:rPr>
        <w:t>and  (z) survive  </w:t>
      </w:r>
      <w:r>
        <w:rPr>
          <w:rFonts w:ascii="Arial" w:hAnsi="Arial"/>
          <w:i/>
          <w:color w:val="010101"/>
          <w:spacing w:val="5"/>
          <w:w w:val="105"/>
          <w:sz w:val="15"/>
        </w:rPr>
        <w:t>(x)  </w:t>
      </w:r>
      <w:r>
        <w:rPr>
          <w:color w:val="010101"/>
          <w:w w:val="105"/>
          <w:sz w:val="17"/>
        </w:rPr>
        <w:t>and  both  are &lt;lead  before the end of  the 10-year </w:t>
      </w:r>
      <w:r>
        <w:rPr>
          <w:color w:val="010101"/>
          <w:spacing w:val="36"/>
          <w:w w:val="105"/>
          <w:sz w:val="17"/>
        </w:rPr>
        <w:t> </w:t>
      </w:r>
      <w:r>
        <w:rPr>
          <w:color w:val="010101"/>
          <w:w w:val="105"/>
          <w:sz w:val="17"/>
        </w:rPr>
        <w:t>period.</w:t>
      </w:r>
    </w:p>
    <w:p>
      <w:pPr>
        <w:pStyle w:val="ListParagraph"/>
        <w:numPr>
          <w:ilvl w:val="0"/>
          <w:numId w:val="114"/>
        </w:numPr>
        <w:tabs>
          <w:tab w:pos="777" w:val="left" w:leader="none"/>
        </w:tabs>
        <w:spacing w:line="242" w:lineRule="auto" w:before="0" w:after="0"/>
        <w:ind w:left="320" w:right="156" w:firstLine="158"/>
        <w:jc w:val="both"/>
        <w:rPr>
          <w:sz w:val="17"/>
        </w:rPr>
      </w:pPr>
      <w:r>
        <w:rPr>
          <w:color w:val="010101"/>
          <w:w w:val="105"/>
          <w:sz w:val="17"/>
        </w:rPr>
        <w:t>A corporation has a president,  aged 50&gt;  and  two vice-presidents  aged 48  a.nd  45  respectivcly.  They  wish  to  purchase  the  following  insurance:   </w:t>
      </w:r>
      <w:r>
        <w:rPr>
          <w:color w:val="010101"/>
          <w:w w:val="105"/>
          <w:sz w:val="16"/>
        </w:rPr>
        <w:t>lf  </w:t>
      </w:r>
      <w:r>
        <w:rPr>
          <w:color w:val="010101"/>
          <w:w w:val="105"/>
          <w:sz w:val="17"/>
        </w:rPr>
        <w:t>the  president  dies  first,  $1000  is  to  be  paid  immediately   and  </w:t>
      </w:r>
      <w:r>
        <w:rPr>
          <w:rFonts w:ascii="Arial"/>
          <w:b/>
          <w:color w:val="010101"/>
          <w:w w:val="105"/>
          <w:sz w:val="14"/>
        </w:rPr>
        <w:t>$2000  </w:t>
      </w:r>
      <w:r>
        <w:rPr>
          <w:color w:val="010101"/>
          <w:w w:val="105"/>
          <w:sz w:val="17"/>
        </w:rPr>
        <w:t>is to be paid upon the first death of the two vice-presidenta. </w:t>
      </w:r>
      <w:r>
        <w:rPr>
          <w:color w:val="010101"/>
          <w:w w:val="105"/>
          <w:sz w:val="18"/>
        </w:rPr>
        <w:t>lf </w:t>
      </w:r>
      <w:r>
        <w:rPr>
          <w:color w:val="010101"/>
          <w:w w:val="105"/>
          <w:sz w:val="17"/>
        </w:rPr>
        <w:t>one of the vice-presidents dies first,  nothing  is  to  be  paid  until  the  second  death among the three officers n.t which time </w:t>
      </w:r>
      <w:r>
        <w:rPr>
          <w:b/>
          <w:color w:val="010101"/>
          <w:w w:val="105"/>
          <w:sz w:val="18"/>
        </w:rPr>
        <w:t>$3000 </w:t>
      </w:r>
      <w:r>
        <w:rPr>
          <w:color w:val="010101"/>
          <w:w w:val="105"/>
          <w:sz w:val="17"/>
        </w:rPr>
        <w:t>is to be  </w:t>
      </w:r>
      <w:r>
        <w:rPr>
          <w:color w:val="010101"/>
          <w:spacing w:val="4"/>
          <w:w w:val="105"/>
          <w:sz w:val="17"/>
        </w:rPr>
        <w:t> </w:t>
      </w:r>
      <w:r>
        <w:rPr>
          <w:color w:val="010101"/>
          <w:w w:val="105"/>
          <w:sz w:val="17"/>
        </w:rPr>
        <w:t>paid.</w:t>
      </w:r>
    </w:p>
    <w:p>
      <w:pPr>
        <w:spacing w:line="194" w:lineRule="exact" w:before="0"/>
        <w:ind w:left="485" w:right="0" w:firstLine="0"/>
        <w:jc w:val="left"/>
        <w:rPr>
          <w:sz w:val="17"/>
        </w:rPr>
      </w:pPr>
      <w:r>
        <w:rPr>
          <w:color w:val="010101"/>
          <w:sz w:val="17"/>
        </w:rPr>
        <w:t>Comp11t.e the net single premi um for this i nsurance, &amp;S1'1Uming  imme&lt;liatc</w:t>
      </w:r>
    </w:p>
    <w:p>
      <w:pPr>
        <w:spacing w:after="0" w:line="194" w:lineRule="exact"/>
        <w:jc w:val="left"/>
        <w:rPr>
          <w:sz w:val="17"/>
        </w:rPr>
        <w:sectPr>
          <w:pgSz w:w="7200" w:h="11340"/>
          <w:pgMar w:top="500" w:bottom="280" w:left="440" w:right="540"/>
        </w:sectPr>
      </w:pPr>
    </w:p>
    <w:p>
      <w:pPr>
        <w:tabs>
          <w:tab w:pos="5785" w:val="right" w:leader="none"/>
        </w:tabs>
        <w:spacing w:before="56"/>
        <w:ind w:left="2516" w:right="0" w:firstLine="0"/>
        <w:jc w:val="left"/>
        <w:rPr>
          <w:rFonts w:ascii="Arial"/>
          <w:sz w:val="19"/>
        </w:rPr>
      </w:pPr>
      <w:r>
        <w:rPr>
          <w:color w:val="010101"/>
          <w:w w:val="105"/>
          <w:sz w:val="15"/>
        </w:rPr>
        <w:t>EXERCISES</w:t>
      </w:r>
      <w:r>
        <w:rPr>
          <w:rFonts w:ascii="Arial"/>
          <w:color w:val="010101"/>
          <w:w w:val="105"/>
          <w:sz w:val="19"/>
        </w:rPr>
        <w:tab/>
        <w:t>245</w:t>
      </w:r>
    </w:p>
    <w:p>
      <w:pPr>
        <w:spacing w:line="249" w:lineRule="auto" w:before="252"/>
        <w:ind w:left="111" w:right="0" w:firstLine="0"/>
        <w:jc w:val="left"/>
        <w:rPr>
          <w:sz w:val="17"/>
        </w:rPr>
      </w:pPr>
      <w:r>
        <w:rPr>
          <w:color w:val="010101"/>
          <w:w w:val="110"/>
          <w:sz w:val="17"/>
        </w:rPr>
        <w:t>payment of claims, given the following values at 21% from the mortality table to be employed  :</w:t>
      </w:r>
    </w:p>
    <w:p>
      <w:pPr>
        <w:spacing w:after="0" w:line="249" w:lineRule="auto"/>
        <w:jc w:val="left"/>
        <w:rPr>
          <w:sz w:val="17"/>
        </w:rPr>
        <w:sectPr>
          <w:pgSz w:w="7200" w:h="11340"/>
          <w:pgMar w:top="500" w:bottom="280" w:left="660" w:right="640"/>
        </w:sectPr>
      </w:pPr>
    </w:p>
    <w:p>
      <w:pPr>
        <w:spacing w:before="100"/>
        <w:ind w:left="1737" w:right="-3" w:firstLine="0"/>
        <w:jc w:val="left"/>
        <w:rPr>
          <w:sz w:val="16"/>
        </w:rPr>
      </w:pPr>
      <w:r>
        <w:rPr>
          <w:color w:val="010101"/>
          <w:w w:val="105"/>
          <w:sz w:val="14"/>
        </w:rPr>
        <w:t>ciu</w:t>
      </w:r>
      <w:r>
        <w:rPr>
          <w:color w:val="1C1C1C"/>
          <w:w w:val="105"/>
          <w:sz w:val="14"/>
        </w:rPr>
        <w:t>:</w:t>
      </w:r>
      <w:r>
        <w:rPr>
          <w:color w:val="010101"/>
          <w:w w:val="105"/>
          <w:sz w:val="14"/>
        </w:rPr>
        <w:t>41  </w:t>
      </w:r>
      <w:r>
        <w:rPr>
          <w:color w:val="010101"/>
          <w:w w:val="105"/>
          <w:sz w:val="19"/>
        </w:rPr>
        <w:t>=  </w:t>
      </w:r>
      <w:r>
        <w:rPr>
          <w:color w:val="010101"/>
          <w:spacing w:val="-8"/>
          <w:w w:val="105"/>
          <w:sz w:val="16"/>
        </w:rPr>
        <w:t>10.95</w:t>
      </w:r>
    </w:p>
    <w:p>
      <w:pPr>
        <w:spacing w:before="70"/>
        <w:ind w:left="1712" w:right="-16" w:firstLine="0"/>
        <w:jc w:val="left"/>
        <w:rPr>
          <w:sz w:val="16"/>
        </w:rPr>
      </w:pPr>
      <w:r>
        <w:rPr>
          <w:color w:val="010101"/>
          <w:w w:val="105"/>
          <w:sz w:val="14"/>
        </w:rPr>
        <w:t>&lt;iao </w:t>
      </w:r>
      <w:r>
        <w:rPr>
          <w:color w:val="1C1C1C"/>
          <w:spacing w:val="-11"/>
          <w:w w:val="120"/>
          <w:sz w:val="14"/>
        </w:rPr>
        <w:t>:</w:t>
      </w:r>
      <w:r>
        <w:rPr>
          <w:color w:val="010101"/>
          <w:spacing w:val="-11"/>
          <w:w w:val="120"/>
          <w:sz w:val="14"/>
        </w:rPr>
        <w:t>u  </w:t>
      </w:r>
      <w:r>
        <w:rPr>
          <w:color w:val="010101"/>
          <w:w w:val="105"/>
          <w:sz w:val="23"/>
        </w:rPr>
        <w:t>=</w:t>
      </w:r>
      <w:r>
        <w:rPr>
          <w:color w:val="010101"/>
          <w:spacing w:val="-15"/>
          <w:w w:val="105"/>
          <w:sz w:val="23"/>
        </w:rPr>
        <w:t> </w:t>
      </w:r>
      <w:r>
        <w:rPr>
          <w:color w:val="010101"/>
          <w:w w:val="105"/>
          <w:sz w:val="16"/>
        </w:rPr>
        <w:t>11.26</w:t>
      </w:r>
    </w:p>
    <w:p>
      <w:pPr>
        <w:tabs>
          <w:tab w:pos="1079" w:val="left" w:leader="none"/>
        </w:tabs>
        <w:spacing w:line="298" w:lineRule="exact" w:before="92"/>
        <w:ind w:left="254" w:right="0" w:firstLine="0"/>
        <w:jc w:val="left"/>
        <w:rPr>
          <w:sz w:val="16"/>
        </w:rPr>
      </w:pPr>
      <w:r>
        <w:rPr/>
        <w:br w:type="column"/>
      </w:r>
      <w:r>
        <w:rPr>
          <w:color w:val="010101"/>
          <w:w w:val="116"/>
          <w:sz w:val="26"/>
        </w:rPr>
        <w:t>ª</w:t>
      </w:r>
      <w:r>
        <w:rPr>
          <w:color w:val="010101"/>
          <w:spacing w:val="12"/>
          <w:w w:val="116"/>
          <w:sz w:val="26"/>
        </w:rPr>
        <w:t>"</w:t>
      </w:r>
      <w:r>
        <w:rPr>
          <w:color w:val="1C1C1C"/>
          <w:w w:val="66"/>
          <w:sz w:val="26"/>
        </w:rPr>
        <w:t>'</w:t>
      </w:r>
      <w:r>
        <w:rPr>
          <w:color w:val="010101"/>
          <w:w w:val="142"/>
          <w:sz w:val="26"/>
        </w:rPr>
        <w:t>º</w:t>
      </w:r>
      <w:r>
        <w:rPr>
          <w:color w:val="010101"/>
          <w:sz w:val="26"/>
        </w:rPr>
        <w:tab/>
      </w:r>
      <w:r>
        <w:rPr>
          <w:color w:val="010101"/>
          <w:w w:val="103"/>
          <w:sz w:val="16"/>
        </w:rPr>
        <w:t>11.46</w:t>
      </w:r>
    </w:p>
    <w:p>
      <w:pPr>
        <w:spacing w:line="263" w:lineRule="exact" w:before="0"/>
        <w:ind w:left="257" w:right="0" w:firstLine="0"/>
        <w:jc w:val="left"/>
        <w:rPr>
          <w:sz w:val="16"/>
        </w:rPr>
      </w:pPr>
      <w:r>
        <w:rPr>
          <w:rFonts w:ascii="Arial"/>
          <w:b/>
          <w:color w:val="010101"/>
          <w:w w:val="140"/>
          <w:sz w:val="10"/>
        </w:rPr>
        <w:t>4u</w:t>
      </w:r>
      <w:r>
        <w:rPr>
          <w:rFonts w:ascii="Arial"/>
          <w:b/>
          <w:color w:val="1C1C1C"/>
          <w:w w:val="140"/>
          <w:sz w:val="10"/>
        </w:rPr>
        <w:t>:</w:t>
      </w:r>
      <w:r>
        <w:rPr>
          <w:rFonts w:ascii="Arial"/>
          <w:b/>
          <w:color w:val="010101"/>
          <w:w w:val="140"/>
          <w:sz w:val="10"/>
        </w:rPr>
        <w:t>'8:U  </w:t>
      </w:r>
      <w:r>
        <w:rPr>
          <w:color w:val="010101"/>
          <w:w w:val="115"/>
          <w:sz w:val="23"/>
        </w:rPr>
        <w:t>=  </w:t>
      </w:r>
      <w:r>
        <w:rPr>
          <w:color w:val="010101"/>
          <w:w w:val="115"/>
          <w:sz w:val="16"/>
        </w:rPr>
        <w:t>9.30</w:t>
      </w:r>
    </w:p>
    <w:p>
      <w:pPr>
        <w:spacing w:before="766"/>
        <w:ind w:left="389" w:right="0" w:firstLine="0"/>
        <w:jc w:val="left"/>
        <w:rPr>
          <w:sz w:val="16"/>
        </w:rPr>
      </w:pPr>
      <w:r>
        <w:rPr/>
        <w:br w:type="column"/>
      </w:r>
      <w:r>
        <w:rPr>
          <w:color w:val="010101"/>
          <w:w w:val="105"/>
          <w:sz w:val="16"/>
        </w:rPr>
        <w:t>(Ans</w:t>
      </w:r>
      <w:r>
        <w:rPr>
          <w:color w:val="1C1C1C"/>
          <w:w w:val="105"/>
          <w:sz w:val="16"/>
        </w:rPr>
        <w:t>. </w:t>
      </w:r>
      <w:r>
        <w:rPr>
          <w:color w:val="010101"/>
          <w:w w:val="105"/>
          <w:sz w:val="16"/>
        </w:rPr>
        <w:t>$1974.38)</w:t>
      </w:r>
    </w:p>
    <w:p>
      <w:pPr>
        <w:spacing w:after="0"/>
        <w:jc w:val="left"/>
        <w:rPr>
          <w:sz w:val="16"/>
        </w:rPr>
        <w:sectPr>
          <w:type w:val="continuous"/>
          <w:pgSz w:w="7200" w:h="11340"/>
          <w:pgMar w:top="1100" w:bottom="0" w:left="660" w:right="640"/>
          <w:cols w:num="3" w:equalWidth="0">
            <w:col w:w="2746" w:space="40"/>
            <w:col w:w="1451" w:space="40"/>
            <w:col w:w="1623"/>
          </w:cols>
        </w:sectPr>
      </w:pPr>
    </w:p>
    <w:p>
      <w:pPr>
        <w:pStyle w:val="BodyText"/>
      </w:pPr>
    </w:p>
    <w:p>
      <w:pPr>
        <w:pStyle w:val="BodyText"/>
        <w:spacing w:before="3"/>
        <w:rPr>
          <w:sz w:val="19"/>
        </w:rPr>
      </w:pPr>
    </w:p>
    <w:p>
      <w:pPr>
        <w:spacing w:before="0"/>
        <w:ind w:left="126" w:right="112" w:firstLine="0"/>
        <w:jc w:val="center"/>
        <w:rPr>
          <w:sz w:val="20"/>
        </w:rPr>
      </w:pPr>
      <w:bookmarkStart w:name="12. Compound Contingent Functions" w:id="18"/>
      <w:bookmarkEnd w:id="18"/>
      <w:r>
        <w:rPr/>
      </w:r>
      <w:r>
        <w:rPr>
          <w:rFonts w:ascii="Arial"/>
          <w:color w:val="010101"/>
          <w:w w:val="115"/>
          <w:sz w:val="14"/>
        </w:rPr>
        <w:t>CHAPTER  </w:t>
      </w:r>
      <w:r>
        <w:rPr>
          <w:color w:val="010101"/>
          <w:w w:val="115"/>
          <w:sz w:val="20"/>
        </w:rPr>
        <w:t>12</w:t>
      </w:r>
    </w:p>
    <w:p>
      <w:pPr>
        <w:pStyle w:val="BodyText"/>
        <w:spacing w:before="118"/>
        <w:ind w:left="73" w:right="112"/>
        <w:jc w:val="center"/>
      </w:pPr>
      <w:r>
        <w:rPr>
          <w:color w:val="010101"/>
          <w:w w:val="110"/>
        </w:rPr>
        <w:t>COMPOUND CONTINGENT  FUNCTIONS</w:t>
      </w:r>
    </w:p>
    <w:p>
      <w:pPr>
        <w:pStyle w:val="BodyText"/>
        <w:spacing w:before="6"/>
        <w:rPr>
          <w:sz w:val="21"/>
        </w:rPr>
      </w:pPr>
    </w:p>
    <w:p>
      <w:pPr>
        <w:numPr>
          <w:ilvl w:val="0"/>
          <w:numId w:val="115"/>
        </w:numPr>
        <w:tabs>
          <w:tab w:pos="363" w:val="left" w:leader="none"/>
        </w:tabs>
        <w:spacing w:before="0"/>
        <w:ind w:left="362" w:right="0" w:hanging="250"/>
        <w:jc w:val="left"/>
        <w:rPr>
          <w:b/>
          <w:sz w:val="20"/>
        </w:rPr>
      </w:pPr>
      <w:r>
        <w:rPr>
          <w:b/>
          <w:color w:val="010101"/>
          <w:w w:val="115"/>
          <w:sz w:val="20"/>
        </w:rPr>
        <w:t>lntroduction</w:t>
      </w:r>
    </w:p>
    <w:p>
      <w:pPr>
        <w:pStyle w:val="BodyText"/>
        <w:spacing w:line="244" w:lineRule="auto" w:before="86"/>
        <w:ind w:left="105" w:right="121" w:firstLine="200"/>
        <w:jc w:val="both"/>
        <w:rPr>
          <w:i/>
          <w:sz w:val="22"/>
        </w:rPr>
      </w:pPr>
      <w:r>
        <w:rPr>
          <w:color w:val="010101"/>
        </w:rPr>
        <w:t>The contingent  functions  considered  in  the  preceding  chapter were of a type in which the sequence of deaths was restricted by a condition on a single one of the lives (or statuses) involved. Thus a typical problem arose from the condition that </w:t>
      </w:r>
      <w:r>
        <w:rPr>
          <w:rFonts w:ascii="Arial" w:hAnsi="Arial"/>
          <w:i/>
          <w:color w:val="010101"/>
          <w:spacing w:val="5"/>
          <w:sz w:val="19"/>
        </w:rPr>
        <w:t>(y </w:t>
      </w:r>
      <w:r>
        <w:rPr>
          <w:rFonts w:ascii="Arial" w:hAnsi="Arial"/>
          <w:i/>
          <w:color w:val="010101"/>
          <w:sz w:val="19"/>
        </w:rPr>
        <w:t>) </w:t>
      </w:r>
      <w:r>
        <w:rPr>
          <w:color w:val="010101"/>
        </w:rPr>
        <w:t>die second </w:t>
      </w:r>
      <w:r>
        <w:rPr>
          <w:color w:val="010101"/>
          <w:sz w:val="21"/>
        </w:rPr>
        <w:t>of </w:t>
      </w:r>
      <w:r>
        <w:rPr>
          <w:color w:val="010101"/>
        </w:rPr>
        <w:t>the lives </w:t>
      </w:r>
      <w:r>
        <w:rPr>
          <w:rFonts w:ascii="Arial" w:hAnsi="Arial"/>
          <w:i/>
          <w:color w:val="010101"/>
          <w:sz w:val="18"/>
        </w:rPr>
        <w:t>(x), </w:t>
      </w:r>
      <w:r>
        <w:rPr>
          <w:rFonts w:ascii="Arial" w:hAnsi="Arial"/>
          <w:i/>
          <w:color w:val="010101"/>
          <w:spacing w:val="5"/>
          <w:sz w:val="19"/>
        </w:rPr>
        <w:t>(y </w:t>
      </w:r>
      <w:r>
        <w:rPr>
          <w:rFonts w:ascii="Arial" w:hAnsi="Arial"/>
          <w:i/>
          <w:color w:val="010101"/>
          <w:sz w:val="19"/>
        </w:rPr>
        <w:t>), </w:t>
      </w:r>
      <w:r>
        <w:rPr>
          <w:color w:val="010101"/>
        </w:rPr>
        <w:t>and </w:t>
      </w:r>
      <w:r>
        <w:rPr>
          <w:color w:val="010101"/>
          <w:sz w:val="19"/>
        </w:rPr>
        <w:t>(z), </w:t>
      </w:r>
      <w:r>
        <w:rPr>
          <w:color w:val="010101"/>
        </w:rPr>
        <w:t>and nothing was said about the multiple condition exemplified by, say, the requirement that </w:t>
      </w:r>
      <w:r>
        <w:rPr>
          <w:i/>
          <w:color w:val="010101"/>
        </w:rPr>
        <w:t>( y ) </w:t>
      </w:r>
      <w:r>
        <w:rPr>
          <w:color w:val="010101"/>
        </w:rPr>
        <w:t>die second predeceased by </w:t>
      </w:r>
      <w:r>
        <w:rPr>
          <w:rFonts w:ascii="Arial" w:hAnsi="Arial"/>
          <w:i/>
          <w:color w:val="010101"/>
          <w:sz w:val="19"/>
        </w:rPr>
        <w:t>(x) </w:t>
      </w:r>
      <w:r>
        <w:rPr>
          <w:color w:val="010101"/>
        </w:rPr>
        <w:t>among </w:t>
      </w:r>
      <w:r>
        <w:rPr>
          <w:rFonts w:ascii="Arial" w:hAnsi="Arial"/>
          <w:i/>
          <w:color w:val="010101"/>
          <w:sz w:val="19"/>
        </w:rPr>
        <w:t>(x), </w:t>
      </w:r>
      <w:r>
        <w:rPr>
          <w:rFonts w:ascii="Arial" w:hAnsi="Arial"/>
          <w:i/>
          <w:color w:val="010101"/>
          <w:spacing w:val="5"/>
          <w:sz w:val="19"/>
        </w:rPr>
        <w:t>(y),  </w:t>
      </w:r>
      <w:r>
        <w:rPr>
          <w:color w:val="010101"/>
        </w:rPr>
        <w:t>and  </w:t>
      </w:r>
      <w:r>
        <w:rPr>
          <w:rFonts w:ascii="Arial" w:hAnsi="Arial"/>
          <w:i/>
          <w:color w:val="010101"/>
          <w:sz w:val="19"/>
        </w:rPr>
        <w:t>(z). </w:t>
      </w:r>
      <w:r>
        <w:rPr>
          <w:color w:val="010101"/>
        </w:rPr>
        <w:t>The  present  chapter  deals with functions of this latter type, known </w:t>
      </w:r>
      <w:r>
        <w:rPr>
          <w:rFonts w:ascii="Arial" w:hAnsi="Arial"/>
          <w:color w:val="010101"/>
          <w:sz w:val="18"/>
        </w:rPr>
        <w:t>as </w:t>
      </w:r>
      <w:r>
        <w:rPr>
          <w:i/>
          <w:color w:val="010101"/>
          <w:sz w:val="19"/>
        </w:rPr>
        <w:t>compound  contin­  </w:t>
      </w:r>
      <w:r>
        <w:rPr>
          <w:i/>
          <w:color w:val="010101"/>
          <w:w w:val="90"/>
          <w:sz w:val="22"/>
        </w:rPr>
        <w:t>gent</w:t>
      </w:r>
      <w:r>
        <w:rPr>
          <w:i/>
          <w:color w:val="010101"/>
          <w:spacing w:val="-18"/>
          <w:w w:val="90"/>
          <w:sz w:val="22"/>
        </w:rPr>
        <w:t> </w:t>
      </w:r>
      <w:r>
        <w:rPr>
          <w:i/>
          <w:color w:val="010101"/>
          <w:w w:val="90"/>
          <w:sz w:val="22"/>
        </w:rPr>
        <w:t>functians.</w:t>
      </w:r>
    </w:p>
    <w:p>
      <w:pPr>
        <w:pStyle w:val="BodyText"/>
        <w:spacing w:line="249" w:lineRule="auto"/>
        <w:ind w:left="101" w:right="122" w:firstLine="203"/>
        <w:jc w:val="both"/>
      </w:pPr>
      <w:r>
        <w:rPr>
          <w:color w:val="010101"/>
          <w:w w:val="105"/>
          <w:sz w:val="21"/>
        </w:rPr>
        <w:t>It </w:t>
      </w:r>
      <w:r>
        <w:rPr>
          <w:color w:val="010101"/>
          <w:w w:val="105"/>
        </w:rPr>
        <w:t>is obvious </w:t>
      </w:r>
      <w:r>
        <w:rPr>
          <w:b/>
          <w:color w:val="010101"/>
          <w:w w:val="105"/>
          <w:sz w:val="21"/>
        </w:rPr>
        <w:t>that </w:t>
      </w:r>
      <w:r>
        <w:rPr>
          <w:color w:val="010101"/>
          <w:w w:val="105"/>
        </w:rPr>
        <w:t>no compound contingent function can arise from </w:t>
      </w:r>
      <w:r>
        <w:rPr>
          <w:rFonts w:ascii="Arial"/>
          <w:color w:val="010101"/>
          <w:w w:val="105"/>
          <w:sz w:val="18"/>
        </w:rPr>
        <w:t>a </w:t>
      </w:r>
      <w:r>
        <w:rPr>
          <w:color w:val="010101"/>
          <w:w w:val="105"/>
        </w:rPr>
        <w:t>two-life status, since an ordering restriction on one life will automatically determine a complementary  condition  on the other. </w:t>
      </w:r>
      <w:r>
        <w:rPr>
          <w:rFonts w:ascii="Arial"/>
          <w:color w:val="010101"/>
          <w:w w:val="105"/>
          <w:sz w:val="19"/>
        </w:rPr>
        <w:t>A </w:t>
      </w:r>
      <w:r>
        <w:rPr>
          <w:color w:val="010101"/>
          <w:w w:val="105"/>
        </w:rPr>
        <w:t>compound contingent function thus requires three or more lives with two or more conditions on the sequence of  deaths.</w:t>
      </w:r>
    </w:p>
    <w:p>
      <w:pPr>
        <w:numPr>
          <w:ilvl w:val="0"/>
          <w:numId w:val="116"/>
        </w:numPr>
        <w:tabs>
          <w:tab w:pos="356" w:val="left" w:leader="none"/>
        </w:tabs>
        <w:spacing w:before="156"/>
        <w:ind w:left="355" w:right="0" w:hanging="250"/>
        <w:jc w:val="left"/>
        <w:rPr>
          <w:b/>
          <w:color w:val="010101"/>
          <w:sz w:val="20"/>
        </w:rPr>
      </w:pPr>
      <w:r>
        <w:rPr>
          <w:b/>
          <w:color w:val="010101"/>
          <w:w w:val="110"/>
          <w:sz w:val="20"/>
        </w:rPr>
        <w:t>Probabilities</w:t>
      </w:r>
    </w:p>
    <w:p>
      <w:pPr>
        <w:pStyle w:val="BodyText"/>
        <w:spacing w:line="247" w:lineRule="auto" w:before="89"/>
        <w:ind w:left="108" w:right="138" w:firstLine="189"/>
        <w:jc w:val="both"/>
      </w:pPr>
      <w:r>
        <w:rPr>
          <w:color w:val="010101"/>
          <w:w w:val="105"/>
        </w:rPr>
        <w:t>Given the three lives </w:t>
      </w:r>
      <w:r>
        <w:rPr>
          <w:color w:val="010101"/>
          <w:w w:val="105"/>
          <w:sz w:val="19"/>
        </w:rPr>
        <w:t>(x), </w:t>
      </w:r>
      <w:r>
        <w:rPr>
          <w:color w:val="010101"/>
          <w:w w:val="105"/>
        </w:rPr>
        <w:t>(y), and </w:t>
      </w:r>
      <w:r>
        <w:rPr>
          <w:color w:val="010101"/>
          <w:w w:val="105"/>
          <w:sz w:val="19"/>
        </w:rPr>
        <w:t>(z), </w:t>
      </w:r>
      <w:r>
        <w:rPr>
          <w:color w:val="010101"/>
          <w:w w:val="105"/>
        </w:rPr>
        <w:t>what  is the  probability  that  their  deaths </w:t>
      </w:r>
      <w:r>
        <w:rPr>
          <w:color w:val="010101"/>
          <w:w w:val="105"/>
          <w:sz w:val="19"/>
        </w:rPr>
        <w:t>wíll  </w:t>
      </w:r>
      <w:r>
        <w:rPr>
          <w:color w:val="010101"/>
          <w:w w:val="105"/>
        </w:rPr>
        <w:t>occur  in the order  named?  This</w:t>
      </w:r>
      <w:r>
        <w:rPr>
          <w:color w:val="010101"/>
          <w:spacing w:val="12"/>
          <w:w w:val="105"/>
        </w:rPr>
        <w:t> </w:t>
      </w:r>
      <w:r>
        <w:rPr>
          <w:color w:val="010101"/>
          <w:w w:val="105"/>
        </w:rPr>
        <w:t>probability</w:t>
      </w:r>
    </w:p>
    <w:p>
      <w:pPr>
        <w:pStyle w:val="BodyText"/>
        <w:spacing w:line="253" w:lineRule="exact"/>
        <w:ind w:left="18" w:right="47"/>
        <w:jc w:val="center"/>
      </w:pPr>
      <w:r>
        <w:rPr>
          <w:color w:val="010101"/>
        </w:rPr>
        <w:t>is denoted  by  </w:t>
      </w:r>
      <w:r>
        <w:rPr>
          <w:color w:val="010101"/>
          <w:w w:val="80"/>
          <w:sz w:val="29"/>
        </w:rPr>
        <w:t>ooqz!.. </w:t>
      </w:r>
      <w:r>
        <w:rPr>
          <w:color w:val="010101"/>
          <w:sz w:val="29"/>
        </w:rPr>
        <w:t>, </w:t>
      </w:r>
      <w:r>
        <w:rPr>
          <w:color w:val="010101"/>
        </w:rPr>
        <w:t>and  it may  be expressed  in several different</w:t>
      </w:r>
    </w:p>
    <w:p>
      <w:pPr>
        <w:spacing w:line="130" w:lineRule="exact" w:before="5"/>
        <w:ind w:left="1561" w:right="19" w:firstLine="0"/>
        <w:jc w:val="left"/>
        <w:rPr>
          <w:rFonts w:ascii="Courier New"/>
          <w:sz w:val="13"/>
        </w:rPr>
      </w:pPr>
      <w:r>
        <w:rPr>
          <w:rFonts w:ascii="Courier New"/>
          <w:b/>
          <w:color w:val="010101"/>
          <w:w w:val="105"/>
          <w:sz w:val="13"/>
        </w:rPr>
        <w:t>1  </w:t>
      </w:r>
      <w:r>
        <w:rPr>
          <w:rFonts w:ascii="Courier New"/>
          <w:color w:val="010101"/>
          <w:w w:val="300"/>
          <w:sz w:val="13"/>
        </w:rPr>
        <w:t>'</w:t>
      </w:r>
    </w:p>
    <w:p>
      <w:pPr>
        <w:pStyle w:val="BodyText"/>
        <w:spacing w:line="204" w:lineRule="exact"/>
        <w:ind w:left="101" w:right="19"/>
      </w:pPr>
      <w:r>
        <w:rPr>
          <w:color w:val="010101"/>
          <w:w w:val="110"/>
        </w:rPr>
        <w:t>ways:</w:t>
      </w:r>
    </w:p>
    <w:p>
      <w:pPr>
        <w:pStyle w:val="BodyText"/>
        <w:spacing w:before="3"/>
        <w:rPr>
          <w:sz w:val="11"/>
        </w:rPr>
      </w:pPr>
    </w:p>
    <w:p>
      <w:pPr>
        <w:spacing w:after="0"/>
        <w:rPr>
          <w:sz w:val="11"/>
        </w:rPr>
        <w:sectPr>
          <w:pgSz w:w="7200" w:h="11340"/>
          <w:pgMar w:top="1060" w:bottom="280" w:left="700" w:right="560"/>
        </w:sectPr>
      </w:pPr>
    </w:p>
    <w:p>
      <w:pPr>
        <w:pStyle w:val="BodyText"/>
        <w:ind w:left="1359" w:right="-40"/>
      </w:pPr>
      <w:r>
        <w:rPr/>
        <w:drawing>
          <wp:inline distT="0" distB="0" distL="0" distR="0">
            <wp:extent cx="1828800" cy="283463"/>
            <wp:effectExtent l="0" t="0" r="0" b="0"/>
            <wp:docPr id="583" name="image297.png" descr=""/>
            <wp:cNvGraphicFramePr>
              <a:graphicFrameLocks noChangeAspect="1"/>
            </wp:cNvGraphicFramePr>
            <a:graphic>
              <a:graphicData uri="http://schemas.openxmlformats.org/drawingml/2006/picture">
                <pic:pic>
                  <pic:nvPicPr>
                    <pic:cNvPr id="584" name="image297.png"/>
                    <pic:cNvPicPr/>
                  </pic:nvPicPr>
                  <pic:blipFill>
                    <a:blip r:embed="rId301" cstate="print"/>
                    <a:stretch>
                      <a:fillRect/>
                    </a:stretch>
                  </pic:blipFill>
                  <pic:spPr>
                    <a:xfrm>
                      <a:off x="0" y="0"/>
                      <a:ext cx="1828800" cy="283463"/>
                    </a:xfrm>
                    <a:prstGeom prst="rect">
                      <a:avLst/>
                    </a:prstGeom>
                  </pic:spPr>
                </pic:pic>
              </a:graphicData>
            </a:graphic>
          </wp:inline>
        </w:drawing>
      </w:r>
      <w:r>
        <w:rPr/>
      </w:r>
    </w:p>
    <w:p>
      <w:pPr>
        <w:pStyle w:val="BodyText"/>
        <w:spacing w:before="5"/>
        <w:rPr>
          <w:sz w:val="10"/>
        </w:rPr>
      </w:pPr>
    </w:p>
    <w:p>
      <w:pPr>
        <w:spacing w:before="0"/>
        <w:ind w:left="2333" w:right="1773" w:firstLine="0"/>
        <w:jc w:val="center"/>
        <w:rPr>
          <w:rFonts w:ascii="Arial"/>
          <w:b/>
          <w:i/>
          <w:sz w:val="8"/>
        </w:rPr>
      </w:pPr>
      <w:r>
        <w:rPr/>
        <w:pict>
          <v:shape style="position:absolute;margin-left:144.751495pt;margin-top:-5.830153pt;width:8.550pt;height:28pt;mso-position-horizontal-relative:page;mso-position-vertical-relative:paragraph;z-index:-716296" type="#_x0000_t202" filled="false" stroked="false">
            <v:textbox inset="0,0,0,0">
              <w:txbxContent>
                <w:p>
                  <w:pPr>
                    <w:spacing w:line="560" w:lineRule="exact" w:before="0"/>
                    <w:ind w:left="0" w:right="-3" w:firstLine="0"/>
                    <w:jc w:val="left"/>
                    <w:rPr>
                      <w:rFonts w:ascii="Arial"/>
                      <w:b/>
                      <w:i/>
                      <w:sz w:val="56"/>
                    </w:rPr>
                  </w:pPr>
                  <w:r>
                    <w:rPr>
                      <w:rFonts w:ascii="Arial"/>
                      <w:b/>
                      <w:i/>
                      <w:color w:val="010101"/>
                      <w:w w:val="45"/>
                      <w:sz w:val="56"/>
                    </w:rPr>
                    <w:t>f.</w:t>
                  </w:r>
                </w:p>
              </w:txbxContent>
            </v:textbox>
            <w10:wrap type="none"/>
          </v:shape>
        </w:pict>
      </w:r>
      <w:r>
        <w:rPr>
          <w:rFonts w:ascii="Arial"/>
          <w:b/>
          <w:i/>
          <w:color w:val="010101"/>
          <w:w w:val="105"/>
          <w:sz w:val="8"/>
        </w:rPr>
        <w:t>00</w:t>
      </w:r>
    </w:p>
    <w:p>
      <w:pPr>
        <w:tabs>
          <w:tab w:pos="2509" w:val="left" w:leader="none"/>
        </w:tabs>
        <w:spacing w:before="18"/>
        <w:ind w:left="105" w:right="0" w:firstLine="0"/>
        <w:jc w:val="left"/>
        <w:rPr>
          <w:b/>
          <w:i/>
          <w:sz w:val="21"/>
        </w:rPr>
      </w:pPr>
      <w:r>
        <w:rPr>
          <w:color w:val="010101"/>
          <w:position w:val="4"/>
          <w:sz w:val="20"/>
        </w:rPr>
        <w:t>or</w:t>
        <w:tab/>
      </w:r>
      <w:r>
        <w:rPr>
          <w:b/>
          <w:i/>
          <w:color w:val="010101"/>
          <w:w w:val="90"/>
          <w:sz w:val="15"/>
        </w:rPr>
        <w:t>tQz' tP11zJJ.v+c</w:t>
      </w:r>
      <w:r>
        <w:rPr>
          <w:b/>
          <w:i/>
          <w:color w:val="010101"/>
          <w:spacing w:val="11"/>
          <w:w w:val="90"/>
          <w:sz w:val="15"/>
        </w:rPr>
        <w:t> </w:t>
      </w:r>
      <w:r>
        <w:rPr>
          <w:b/>
          <w:i/>
          <w:color w:val="010101"/>
          <w:w w:val="90"/>
          <w:sz w:val="21"/>
        </w:rPr>
        <w:t>dt</w:t>
      </w:r>
    </w:p>
    <w:p>
      <w:pPr>
        <w:tabs>
          <w:tab w:pos="2191" w:val="left" w:leader="none"/>
        </w:tabs>
        <w:spacing w:before="180"/>
        <w:ind w:left="108" w:right="0" w:firstLine="0"/>
        <w:jc w:val="left"/>
        <w:rPr>
          <w:sz w:val="30"/>
        </w:rPr>
      </w:pPr>
      <w:r>
        <w:rPr/>
        <w:pict>
          <v:shape style="position:absolute;margin-left:152.803207pt;margin-top:10.792631pt;width:4.7pt;height:4pt;mso-position-horizontal-relative:page;mso-position-vertical-relative:paragraph;z-index:-716272" type="#_x0000_t202" filled="false" stroked="false">
            <v:textbox inset="0,0,0,0">
              <w:txbxContent>
                <w:p>
                  <w:pPr>
                    <w:spacing w:line="80" w:lineRule="exact" w:before="0"/>
                    <w:ind w:left="0" w:right="-20" w:firstLine="0"/>
                    <w:jc w:val="left"/>
                    <w:rPr>
                      <w:rFonts w:ascii="Arial"/>
                      <w:i/>
                      <w:sz w:val="8"/>
                    </w:rPr>
                  </w:pPr>
                  <w:r>
                    <w:rPr>
                      <w:rFonts w:ascii="Arial"/>
                      <w:i/>
                      <w:color w:val="010101"/>
                      <w:w w:val="105"/>
                      <w:sz w:val="8"/>
                    </w:rPr>
                    <w:t>00</w:t>
                  </w:r>
                </w:p>
              </w:txbxContent>
            </v:textbox>
            <w10:wrap type="none"/>
          </v:shape>
        </w:pict>
      </w:r>
      <w:r>
        <w:rPr>
          <w:color w:val="010101"/>
          <w:w w:val="106"/>
          <w:position w:val="1"/>
          <w:sz w:val="20"/>
        </w:rPr>
        <w:t>or</w:t>
      </w:r>
      <w:r>
        <w:rPr>
          <w:color w:val="010101"/>
          <w:position w:val="1"/>
          <w:sz w:val="20"/>
        </w:rPr>
        <w:tab/>
      </w:r>
      <w:r>
        <w:rPr>
          <w:rFonts w:ascii="Arial" w:hAnsi="Arial"/>
          <w:i/>
          <w:color w:val="010101"/>
          <w:w w:val="51"/>
          <w:sz w:val="36"/>
        </w:rPr>
        <w:t>fa</w:t>
      </w:r>
      <w:r>
        <w:rPr>
          <w:rFonts w:ascii="Arial" w:hAnsi="Arial"/>
          <w:i/>
          <w:color w:val="010101"/>
          <w:sz w:val="36"/>
        </w:rPr>
        <w:t> </w:t>
      </w:r>
      <w:r>
        <w:rPr>
          <w:rFonts w:ascii="Arial" w:hAnsi="Arial"/>
          <w:i/>
          <w:color w:val="010101"/>
          <w:spacing w:val="-34"/>
          <w:sz w:val="36"/>
        </w:rPr>
        <w:t> </w:t>
      </w:r>
      <w:r>
        <w:rPr>
          <w:b/>
          <w:i/>
          <w:color w:val="010101"/>
          <w:w w:val="68"/>
          <w:sz w:val="25"/>
        </w:rPr>
        <w:t>,qz:</w:t>
      </w:r>
      <w:r>
        <w:rPr>
          <w:b/>
          <w:i/>
          <w:color w:val="010101"/>
          <w:spacing w:val="-16"/>
          <w:sz w:val="25"/>
        </w:rPr>
        <w:t> </w:t>
      </w:r>
      <w:r>
        <w:rPr>
          <w:b/>
          <w:i/>
          <w:color w:val="010101"/>
          <w:w w:val="69"/>
          <w:sz w:val="25"/>
        </w:rPr>
        <w:t>.</w:t>
      </w:r>
      <w:r>
        <w:rPr>
          <w:b/>
          <w:i/>
          <w:color w:val="010101"/>
          <w:spacing w:val="-35"/>
          <w:sz w:val="25"/>
        </w:rPr>
        <w:t> </w:t>
      </w:r>
      <w:r>
        <w:rPr>
          <w:rFonts w:ascii="Arial" w:hAnsi="Arial"/>
          <w:i/>
          <w:color w:val="010101"/>
          <w:spacing w:val="-32"/>
          <w:w w:val="141"/>
          <w:sz w:val="18"/>
        </w:rPr>
        <w:t>,</w:t>
      </w:r>
      <w:r>
        <w:rPr>
          <w:rFonts w:ascii="Arial" w:hAnsi="Arial"/>
          <w:i/>
          <w:color w:val="010101"/>
          <w:spacing w:val="3"/>
          <w:w w:val="110"/>
          <w:sz w:val="18"/>
        </w:rPr>
        <w:t>p</w:t>
      </w:r>
      <w:r>
        <w:rPr>
          <w:rFonts w:ascii="Arial" w:hAnsi="Arial"/>
          <w:i/>
          <w:color w:val="010101"/>
          <w:w w:val="67"/>
          <w:sz w:val="18"/>
        </w:rPr>
        <w:t>.</w:t>
      </w:r>
      <w:r>
        <w:rPr>
          <w:rFonts w:ascii="Arial" w:hAnsi="Arial"/>
          <w:i/>
          <w:color w:val="010101"/>
          <w:spacing w:val="-11"/>
          <w:w w:val="67"/>
          <w:sz w:val="18"/>
        </w:rPr>
        <w:t>.</w:t>
      </w:r>
      <w:r>
        <w:rPr>
          <w:i/>
          <w:color w:val="010101"/>
          <w:spacing w:val="-4"/>
          <w:w w:val="105"/>
          <w:sz w:val="17"/>
        </w:rPr>
        <w:t>µ</w:t>
      </w:r>
      <w:r>
        <w:rPr>
          <w:i/>
          <w:color w:val="010101"/>
          <w:w w:val="76"/>
          <w:sz w:val="17"/>
        </w:rPr>
        <w:t>.</w:t>
      </w:r>
      <w:r>
        <w:rPr>
          <w:i/>
          <w:color w:val="010101"/>
          <w:spacing w:val="3"/>
          <w:w w:val="76"/>
          <w:sz w:val="17"/>
        </w:rPr>
        <w:t>.</w:t>
      </w:r>
      <w:r>
        <w:rPr>
          <w:i/>
          <w:color w:val="010101"/>
          <w:w w:val="93"/>
          <w:sz w:val="17"/>
        </w:rPr>
        <w:t>+t</w:t>
      </w:r>
      <w:r>
        <w:rPr>
          <w:i/>
          <w:color w:val="010101"/>
          <w:spacing w:val="-9"/>
          <w:sz w:val="17"/>
        </w:rPr>
        <w:t> </w:t>
      </w:r>
      <w:r>
        <w:rPr>
          <w:i/>
          <w:color w:val="494949"/>
          <w:w w:val="42"/>
          <w:sz w:val="30"/>
        </w:rPr>
        <w:t>·</w:t>
      </w:r>
      <w:r>
        <w:rPr>
          <w:i/>
          <w:color w:val="010101"/>
          <w:w w:val="59"/>
          <w:sz w:val="30"/>
        </w:rPr>
        <w:t>a</w:t>
      </w:r>
      <w:r>
        <w:rPr>
          <w:i/>
          <w:color w:val="010101"/>
          <w:spacing w:val="17"/>
          <w:w w:val="59"/>
          <w:sz w:val="30"/>
        </w:rPr>
        <w:t>t</w:t>
      </w:r>
      <w:r>
        <w:rPr>
          <w:i/>
          <w:color w:val="010101"/>
          <w:w w:val="94"/>
          <w:sz w:val="30"/>
        </w:rPr>
        <w:t>.</w:t>
      </w:r>
      <w:r>
        <w:rPr>
          <w:i/>
          <w:color w:val="010101"/>
          <w:spacing w:val="-17"/>
          <w:sz w:val="30"/>
        </w:rPr>
        <w:t> </w:t>
      </w:r>
      <w:r>
        <w:rPr>
          <w:color w:val="010101"/>
          <w:w w:val="42"/>
          <w:sz w:val="30"/>
        </w:rPr>
        <w:t>.</w:t>
      </w:r>
    </w:p>
    <w:p>
      <w:pPr>
        <w:pStyle w:val="BodyText"/>
        <w:spacing w:before="75"/>
        <w:ind w:left="115" w:right="-19"/>
      </w:pPr>
      <w:r>
        <w:rPr/>
        <w:br w:type="column"/>
      </w:r>
      <w:r>
        <w:rPr>
          <w:color w:val="010101"/>
          <w:w w:val="115"/>
        </w:rPr>
        <w:t>(12.la)</w:t>
      </w:r>
    </w:p>
    <w:p>
      <w:pPr>
        <w:pStyle w:val="BodyText"/>
      </w:pPr>
    </w:p>
    <w:p>
      <w:pPr>
        <w:pStyle w:val="BodyText"/>
        <w:spacing w:before="139"/>
        <w:ind w:left="105" w:right="-19"/>
      </w:pPr>
      <w:r>
        <w:rPr>
          <w:color w:val="010101"/>
          <w:w w:val="110"/>
        </w:rPr>
        <w:t>(12.lb)</w:t>
      </w:r>
    </w:p>
    <w:p>
      <w:pPr>
        <w:pStyle w:val="BodyText"/>
      </w:pPr>
    </w:p>
    <w:p>
      <w:pPr>
        <w:pStyle w:val="BodyText"/>
        <w:spacing w:before="125"/>
        <w:ind w:left="130" w:right="-19"/>
      </w:pPr>
      <w:r>
        <w:rPr>
          <w:color w:val="010101"/>
          <w:w w:val="110"/>
        </w:rPr>
        <w:t>(12.lc)</w:t>
      </w:r>
    </w:p>
    <w:p>
      <w:pPr>
        <w:spacing w:after="0"/>
        <w:sectPr>
          <w:type w:val="continuous"/>
          <w:pgSz w:w="7200" w:h="11340"/>
          <w:pgMar w:top="1100" w:bottom="0" w:left="700" w:right="560"/>
          <w:cols w:num="2" w:equalWidth="0">
            <w:col w:w="4240" w:space="856"/>
            <w:col w:w="844"/>
          </w:cols>
        </w:sectPr>
      </w:pPr>
    </w:p>
    <w:p>
      <w:pPr>
        <w:pStyle w:val="BodyText"/>
        <w:spacing w:before="6"/>
        <w:rPr>
          <w:sz w:val="11"/>
        </w:rPr>
      </w:pPr>
    </w:p>
    <w:p>
      <w:pPr>
        <w:pStyle w:val="BodyText"/>
        <w:spacing w:line="249" w:lineRule="auto" w:before="75"/>
        <w:ind w:left="115" w:right="105" w:hanging="4"/>
        <w:jc w:val="both"/>
        <w:rPr>
          <w:sz w:val="19"/>
        </w:rPr>
      </w:pPr>
      <w:r>
        <w:rPr>
          <w:color w:val="010101"/>
        </w:rPr>
        <w:t>These three expressions are derived by  letting </w:t>
      </w:r>
      <w:r>
        <w:rPr>
          <w:rFonts w:ascii="Arial"/>
          <w:i/>
          <w:color w:val="010101"/>
          <w:sz w:val="18"/>
        </w:rPr>
        <w:t>t  </w:t>
      </w:r>
      <w:r>
        <w:rPr>
          <w:color w:val="010101"/>
        </w:rPr>
        <w:t>refer  to the moment of death of </w:t>
      </w:r>
      <w:r>
        <w:rPr>
          <w:rFonts w:ascii="Arial"/>
          <w:i/>
          <w:color w:val="010101"/>
          <w:sz w:val="19"/>
        </w:rPr>
        <w:t>(x), </w:t>
      </w:r>
      <w:r>
        <w:rPr>
          <w:color w:val="010101"/>
        </w:rPr>
        <w:t>of </w:t>
      </w:r>
      <w:r>
        <w:rPr>
          <w:rFonts w:ascii="Arial"/>
          <w:i/>
          <w:color w:val="010101"/>
          <w:spacing w:val="5"/>
          <w:sz w:val="19"/>
        </w:rPr>
        <w:t>(y), </w:t>
      </w:r>
      <w:r>
        <w:rPr>
          <w:color w:val="010101"/>
        </w:rPr>
        <w:t>and of (z) respectively. The integrand  in the first case expresses the condition that  at  the  moment  of  death  of (x), the lives </w:t>
      </w:r>
      <w:r>
        <w:rPr>
          <w:rFonts w:ascii="Arial"/>
          <w:i/>
          <w:color w:val="010101"/>
          <w:spacing w:val="7"/>
          <w:sz w:val="19"/>
        </w:rPr>
        <w:t>(y) </w:t>
      </w:r>
      <w:r>
        <w:rPr>
          <w:color w:val="010101"/>
        </w:rPr>
        <w:t>and </w:t>
      </w:r>
      <w:r>
        <w:rPr>
          <w:i/>
          <w:color w:val="010101"/>
        </w:rPr>
        <w:t>( </w:t>
      </w:r>
      <w:r>
        <w:rPr>
          <w:i/>
          <w:color w:val="010101"/>
          <w:spacing w:val="5"/>
        </w:rPr>
        <w:t>z) </w:t>
      </w:r>
      <w:r>
        <w:rPr>
          <w:color w:val="010101"/>
        </w:rPr>
        <w:t>are both surviving and that </w:t>
      </w:r>
      <w:r>
        <w:rPr>
          <w:rFonts w:ascii="Arial"/>
          <w:i/>
          <w:color w:val="010101"/>
          <w:spacing w:val="7"/>
          <w:sz w:val="19"/>
        </w:rPr>
        <w:t>(y) </w:t>
      </w:r>
      <w:r>
        <w:rPr>
          <w:color w:val="010101"/>
        </w:rPr>
        <w:t>will later predecease  </w:t>
      </w:r>
      <w:r>
        <w:rPr>
          <w:rFonts w:ascii="Arial"/>
          <w:i/>
          <w:color w:val="010101"/>
          <w:sz w:val="19"/>
        </w:rPr>
        <w:t>(z).  </w:t>
      </w:r>
      <w:r>
        <w:rPr>
          <w:color w:val="010101"/>
        </w:rPr>
        <w:t>The second  integral  reflects  the  fact  that  when </w:t>
      </w:r>
      <w:r>
        <w:rPr>
          <w:color w:val="010101"/>
          <w:spacing w:val="13"/>
        </w:rPr>
        <w:t> </w:t>
      </w:r>
      <w:r>
        <w:rPr>
          <w:color w:val="010101"/>
          <w:sz w:val="19"/>
        </w:rPr>
        <w:t>(y)</w:t>
      </w:r>
    </w:p>
    <w:p>
      <w:pPr>
        <w:spacing w:after="0" w:line="249" w:lineRule="auto"/>
        <w:jc w:val="both"/>
        <w:rPr>
          <w:sz w:val="19"/>
        </w:rPr>
        <w:sectPr>
          <w:type w:val="continuous"/>
          <w:pgSz w:w="7200" w:h="11340"/>
          <w:pgMar w:top="1100" w:bottom="0" w:left="700" w:right="560"/>
        </w:sectPr>
      </w:pPr>
    </w:p>
    <w:p>
      <w:pPr>
        <w:tabs>
          <w:tab w:pos="2389" w:val="left" w:leader="none"/>
          <w:tab w:pos="5894" w:val="right" w:leader="none"/>
        </w:tabs>
        <w:spacing w:before="48"/>
        <w:ind w:left="150" w:right="0" w:firstLine="0"/>
        <w:jc w:val="left"/>
        <w:rPr>
          <w:rFonts w:ascii="Courier New"/>
          <w:sz w:val="22"/>
        </w:rPr>
      </w:pPr>
      <w:r>
        <w:rPr>
          <w:b/>
          <w:color w:val="010101"/>
          <w:sz w:val="15"/>
        </w:rPr>
        <w:t>SEC. </w:t>
      </w:r>
      <w:r>
        <w:rPr>
          <w:b/>
          <w:color w:val="010101"/>
          <w:spacing w:val="27"/>
          <w:sz w:val="15"/>
        </w:rPr>
        <w:t> </w:t>
      </w:r>
      <w:r>
        <w:rPr>
          <w:b/>
          <w:color w:val="010101"/>
          <w:sz w:val="21"/>
        </w:rPr>
        <w:t>2]</w:t>
        <w:tab/>
      </w:r>
      <w:r>
        <w:rPr>
          <w:b/>
          <w:color w:val="010101"/>
          <w:position w:val="1"/>
          <w:sz w:val="15"/>
        </w:rPr>
        <w:t>PROBABILITIES</w:t>
      </w:r>
      <w:r>
        <w:rPr>
          <w:rFonts w:ascii="Courier New"/>
          <w:color w:val="010101"/>
          <w:sz w:val="22"/>
        </w:rPr>
        <w:tab/>
      </w:r>
      <w:r>
        <w:rPr>
          <w:rFonts w:ascii="Courier New"/>
          <w:color w:val="010101"/>
          <w:spacing w:val="-27"/>
          <w:sz w:val="22"/>
        </w:rPr>
        <w:t>247</w:t>
      </w:r>
    </w:p>
    <w:p>
      <w:pPr>
        <w:pStyle w:val="BodyText"/>
        <w:spacing w:before="10"/>
        <w:rPr>
          <w:rFonts w:ascii="Courier New"/>
          <w:sz w:val="19"/>
        </w:rPr>
      </w:pPr>
    </w:p>
    <w:p>
      <w:pPr>
        <w:pStyle w:val="BodyText"/>
        <w:spacing w:line="249" w:lineRule="auto"/>
        <w:ind w:left="143" w:right="149" w:firstLine="7"/>
        <w:jc w:val="both"/>
      </w:pPr>
      <w:r>
        <w:rPr>
          <w:color w:val="010101"/>
          <w:w w:val="105"/>
        </w:rPr>
        <w:t>dies, </w:t>
      </w:r>
      <w:r>
        <w:rPr>
          <w:rFonts w:ascii="Arial"/>
          <w:i/>
          <w:color w:val="010101"/>
          <w:w w:val="105"/>
          <w:sz w:val="19"/>
        </w:rPr>
        <w:t>(x) </w:t>
      </w:r>
      <w:r>
        <w:rPr>
          <w:color w:val="010101"/>
          <w:w w:val="105"/>
        </w:rPr>
        <w:t>is already dead and  </w:t>
      </w:r>
      <w:r>
        <w:rPr>
          <w:rFonts w:ascii="Arial"/>
          <w:i/>
          <w:color w:val="010101"/>
          <w:w w:val="105"/>
          <w:sz w:val="19"/>
        </w:rPr>
        <w:t>(z) </w:t>
      </w:r>
      <w:r>
        <w:rPr>
          <w:color w:val="010101"/>
          <w:w w:val="105"/>
        </w:rPr>
        <w:t>is surviving</w:t>
      </w:r>
      <w:r>
        <w:rPr>
          <w:color w:val="1C1C1C"/>
          <w:w w:val="105"/>
        </w:rPr>
        <w:t>. </w:t>
      </w:r>
      <w:r>
        <w:rPr>
          <w:color w:val="010101"/>
          <w:w w:val="105"/>
        </w:rPr>
        <w:t>The third expression is based on the fact that </w:t>
      </w:r>
      <w:r>
        <w:rPr>
          <w:rFonts w:ascii="Arial"/>
          <w:i/>
          <w:color w:val="010101"/>
          <w:w w:val="105"/>
          <w:sz w:val="18"/>
        </w:rPr>
        <w:t>(x) </w:t>
      </w:r>
      <w:r>
        <w:rPr>
          <w:color w:val="010101"/>
          <w:w w:val="105"/>
        </w:rPr>
        <w:t>and </w:t>
      </w:r>
      <w:r>
        <w:rPr>
          <w:rFonts w:ascii="Arial"/>
          <w:i/>
          <w:color w:val="010101"/>
          <w:w w:val="105"/>
          <w:sz w:val="19"/>
        </w:rPr>
        <w:t>(y) </w:t>
      </w:r>
      <w:r>
        <w:rPr>
          <w:color w:val="010101"/>
          <w:w w:val="105"/>
        </w:rPr>
        <w:t>have already died in the order named when the death of  </w:t>
      </w:r>
      <w:r>
        <w:rPr>
          <w:rFonts w:ascii="Arial"/>
          <w:i/>
          <w:color w:val="010101"/>
          <w:w w:val="105"/>
          <w:sz w:val="19"/>
        </w:rPr>
        <w:t>(z)</w:t>
      </w:r>
      <w:r>
        <w:rPr>
          <w:rFonts w:ascii="Arial"/>
          <w:i/>
          <w:color w:val="010101"/>
          <w:spacing w:val="26"/>
          <w:w w:val="105"/>
          <w:sz w:val="19"/>
        </w:rPr>
        <w:t> </w:t>
      </w:r>
      <w:r>
        <w:rPr>
          <w:color w:val="010101"/>
          <w:w w:val="105"/>
        </w:rPr>
        <w:t>occurs.</w:t>
      </w:r>
    </w:p>
    <w:p>
      <w:pPr>
        <w:pStyle w:val="BodyText"/>
        <w:spacing w:line="236" w:lineRule="exact"/>
        <w:ind w:left="140" w:firstLine="193"/>
        <w:jc w:val="both"/>
      </w:pPr>
      <w:r>
        <w:rPr>
          <w:color w:val="010101"/>
          <w:w w:val="105"/>
        </w:rPr>
        <w:t>The three integrals may easily </w:t>
      </w:r>
      <w:r>
        <w:rPr>
          <w:color w:val="010101"/>
          <w:w w:val="105"/>
          <w:sz w:val="22"/>
        </w:rPr>
        <w:t>be </w:t>
      </w:r>
      <w:r>
        <w:rPr>
          <w:color w:val="010101"/>
          <w:w w:val="105"/>
        </w:rPr>
        <w:t>shown to be equivalent  mathe-</w:t>
      </w:r>
    </w:p>
    <w:p>
      <w:pPr>
        <w:spacing w:before="129"/>
        <w:ind w:left="143" w:right="0" w:hanging="4"/>
        <w:jc w:val="both"/>
        <w:rPr>
          <w:sz w:val="20"/>
        </w:rPr>
      </w:pPr>
      <w:r>
        <w:rPr>
          <w:color w:val="010101"/>
          <w:w w:val="110"/>
          <w:sz w:val="20"/>
        </w:rPr>
        <w:t>matically. If, in (12.lb), the substitution of </w:t>
      </w:r>
      <w:r>
        <w:rPr>
          <w:i/>
          <w:color w:val="010101"/>
          <w:w w:val="225"/>
          <w:sz w:val="20"/>
        </w:rPr>
        <w:t>{ </w:t>
      </w:r>
      <w:r>
        <w:rPr>
          <w:i/>
          <w:color w:val="010101"/>
          <w:w w:val="110"/>
          <w:position w:val="-2"/>
          <w:sz w:val="8"/>
        </w:rPr>
        <w:t>6 </w:t>
      </w:r>
      <w:r>
        <w:rPr>
          <w:i/>
          <w:color w:val="010101"/>
          <w:w w:val="110"/>
          <w:sz w:val="15"/>
        </w:rPr>
        <w:t>pzµz+s  </w:t>
      </w:r>
      <w:r>
        <w:rPr>
          <w:i/>
          <w:color w:val="010101"/>
          <w:w w:val="110"/>
          <w:sz w:val="20"/>
        </w:rPr>
        <w:t>ds </w:t>
      </w:r>
      <w:r>
        <w:rPr>
          <w:color w:val="010101"/>
          <w:w w:val="110"/>
          <w:sz w:val="20"/>
        </w:rPr>
        <w:t>is  made</w:t>
      </w:r>
    </w:p>
    <w:p>
      <w:pPr>
        <w:pStyle w:val="BodyText"/>
        <w:spacing w:line="252" w:lineRule="auto" w:before="125"/>
        <w:ind w:left="140" w:right="144" w:firstLine="3"/>
        <w:jc w:val="both"/>
      </w:pPr>
      <w:r>
        <w:rPr>
          <w:color w:val="010101"/>
          <w:w w:val="105"/>
        </w:rPr>
        <w:t>for </w:t>
      </w:r>
      <w:r>
        <w:rPr>
          <w:i/>
          <w:color w:val="010101"/>
          <w:w w:val="105"/>
        </w:rPr>
        <w:t>,qz </w:t>
      </w:r>
      <w:r>
        <w:rPr>
          <w:color w:val="010101"/>
          <w:w w:val="105"/>
        </w:rPr>
        <w:t>, a double integral results. By inverting the order of integra­ tion and simplifying,  formula  (12. la)  is obtained. If, on the  other</w:t>
      </w:r>
    </w:p>
    <w:p>
      <w:pPr>
        <w:spacing w:line="408" w:lineRule="exact" w:before="0"/>
        <w:ind w:left="154" w:right="0" w:hanging="15"/>
        <w:jc w:val="both"/>
        <w:rPr>
          <w:sz w:val="20"/>
        </w:rPr>
      </w:pPr>
      <w:r>
        <w:rPr>
          <w:color w:val="010101"/>
          <w:w w:val="105"/>
          <w:sz w:val="20"/>
        </w:rPr>
        <w:t>hand,</w:t>
      </w:r>
      <w:r>
        <w:rPr>
          <w:color w:val="010101"/>
          <w:sz w:val="20"/>
        </w:rPr>
        <w:t> </w:t>
      </w:r>
      <w:r>
        <w:rPr>
          <w:color w:val="010101"/>
          <w:spacing w:val="1"/>
          <w:sz w:val="20"/>
        </w:rPr>
        <w:t> </w:t>
      </w:r>
      <w:r>
        <w:rPr>
          <w:color w:val="010101"/>
          <w:w w:val="108"/>
          <w:sz w:val="20"/>
        </w:rPr>
        <w:t>the</w:t>
      </w:r>
      <w:r>
        <w:rPr>
          <w:color w:val="010101"/>
          <w:sz w:val="20"/>
        </w:rPr>
        <w:t> </w:t>
      </w:r>
      <w:r>
        <w:rPr>
          <w:color w:val="010101"/>
          <w:spacing w:val="-15"/>
          <w:sz w:val="20"/>
        </w:rPr>
        <w:t> </w:t>
      </w:r>
      <w:r>
        <w:rPr>
          <w:color w:val="010101"/>
          <w:w w:val="108"/>
          <w:sz w:val="20"/>
        </w:rPr>
        <w:t>substitution</w:t>
      </w:r>
      <w:r>
        <w:rPr>
          <w:color w:val="010101"/>
          <w:sz w:val="20"/>
        </w:rPr>
        <w:t> </w:t>
      </w:r>
      <w:r>
        <w:rPr>
          <w:color w:val="010101"/>
          <w:spacing w:val="-1"/>
          <w:sz w:val="20"/>
        </w:rPr>
        <w:t> </w:t>
      </w:r>
      <w:r>
        <w:rPr>
          <w:color w:val="010101"/>
          <w:w w:val="87"/>
          <w:sz w:val="20"/>
        </w:rPr>
        <w:t>of</w:t>
      </w:r>
      <w:r>
        <w:rPr>
          <w:color w:val="010101"/>
          <w:sz w:val="20"/>
        </w:rPr>
        <w:t> </w:t>
      </w:r>
      <w:r>
        <w:rPr>
          <w:color w:val="010101"/>
          <w:spacing w:val="-10"/>
          <w:sz w:val="20"/>
        </w:rPr>
        <w:t> </w:t>
      </w:r>
      <w:r>
        <w:rPr>
          <w:color w:val="010101"/>
          <w:spacing w:val="-142"/>
          <w:w w:val="143"/>
          <w:sz w:val="46"/>
        </w:rPr>
        <w:t>{</w:t>
      </w:r>
      <w:r>
        <w:rPr>
          <w:color w:val="010101"/>
          <w:w w:val="33"/>
          <w:sz w:val="46"/>
        </w:rPr>
        <w:t>'º</w:t>
      </w:r>
      <w:r>
        <w:rPr>
          <w:color w:val="010101"/>
          <w:spacing w:val="-63"/>
          <w:sz w:val="46"/>
        </w:rPr>
        <w:t> </w:t>
      </w:r>
      <w:r>
        <w:rPr>
          <w:color w:val="010101"/>
          <w:w w:val="102"/>
          <w:sz w:val="16"/>
        </w:rPr>
        <w:t>,pzµz+•</w:t>
      </w:r>
      <w:r>
        <w:rPr>
          <w:color w:val="010101"/>
          <w:spacing w:val="15"/>
          <w:sz w:val="16"/>
        </w:rPr>
        <w:t> </w:t>
      </w:r>
      <w:r>
        <w:rPr>
          <w:i/>
          <w:color w:val="010101"/>
          <w:w w:val="97"/>
          <w:sz w:val="20"/>
        </w:rPr>
        <w:t>ds</w:t>
      </w:r>
      <w:r>
        <w:rPr>
          <w:i/>
          <w:color w:val="010101"/>
          <w:sz w:val="20"/>
        </w:rPr>
        <w:t> </w:t>
      </w:r>
      <w:r>
        <w:rPr>
          <w:i/>
          <w:color w:val="010101"/>
          <w:spacing w:val="-9"/>
          <w:sz w:val="20"/>
        </w:rPr>
        <w:t> </w:t>
      </w:r>
      <w:r>
        <w:rPr>
          <w:color w:val="010101"/>
          <w:w w:val="98"/>
          <w:sz w:val="20"/>
        </w:rPr>
        <w:t>is</w:t>
      </w:r>
      <w:r>
        <w:rPr>
          <w:color w:val="010101"/>
          <w:sz w:val="20"/>
        </w:rPr>
        <w:t> </w:t>
      </w:r>
      <w:r>
        <w:rPr>
          <w:color w:val="010101"/>
          <w:spacing w:val="-21"/>
          <w:sz w:val="20"/>
        </w:rPr>
        <w:t> </w:t>
      </w:r>
      <w:r>
        <w:rPr>
          <w:color w:val="010101"/>
          <w:w w:val="104"/>
          <w:sz w:val="20"/>
        </w:rPr>
        <w:t>made</w:t>
      </w:r>
      <w:r>
        <w:rPr>
          <w:color w:val="010101"/>
          <w:sz w:val="20"/>
        </w:rPr>
        <w:t> </w:t>
      </w:r>
      <w:r>
        <w:rPr>
          <w:color w:val="010101"/>
          <w:spacing w:val="-2"/>
          <w:sz w:val="20"/>
        </w:rPr>
        <w:t> </w:t>
      </w:r>
      <w:r>
        <w:rPr>
          <w:color w:val="010101"/>
          <w:w w:val="101"/>
          <w:sz w:val="20"/>
        </w:rPr>
        <w:t>for</w:t>
      </w:r>
      <w:r>
        <w:rPr>
          <w:color w:val="010101"/>
          <w:sz w:val="20"/>
        </w:rPr>
        <w:t> </w:t>
      </w:r>
      <w:r>
        <w:rPr>
          <w:color w:val="010101"/>
          <w:spacing w:val="-1"/>
          <w:sz w:val="20"/>
        </w:rPr>
        <w:t> </w:t>
      </w:r>
      <w:r>
        <w:rPr>
          <w:i/>
          <w:color w:val="010101"/>
          <w:w w:val="77"/>
          <w:sz w:val="20"/>
        </w:rPr>
        <w:t>tPz</w:t>
      </w:r>
      <w:r>
        <w:rPr>
          <w:i/>
          <w:color w:val="010101"/>
          <w:sz w:val="20"/>
        </w:rPr>
        <w:t> </w:t>
      </w:r>
      <w:r>
        <w:rPr>
          <w:i/>
          <w:color w:val="010101"/>
          <w:spacing w:val="-9"/>
          <w:sz w:val="20"/>
        </w:rPr>
        <w:t> </w:t>
      </w:r>
      <w:r>
        <w:rPr>
          <w:color w:val="010101"/>
          <w:w w:val="101"/>
          <w:sz w:val="20"/>
        </w:rPr>
        <w:t>in</w:t>
      </w:r>
      <w:r>
        <w:rPr>
          <w:color w:val="010101"/>
          <w:sz w:val="20"/>
        </w:rPr>
        <w:t> </w:t>
      </w:r>
      <w:r>
        <w:rPr>
          <w:color w:val="010101"/>
          <w:spacing w:val="-11"/>
          <w:sz w:val="20"/>
        </w:rPr>
        <w:t> </w:t>
      </w:r>
      <w:r>
        <w:rPr>
          <w:color w:val="010101"/>
          <w:w w:val="103"/>
          <w:sz w:val="20"/>
        </w:rPr>
        <w:t>formula</w:t>
      </w:r>
    </w:p>
    <w:p>
      <w:pPr>
        <w:pStyle w:val="BodyText"/>
        <w:spacing w:line="252" w:lineRule="auto" w:before="73"/>
        <w:ind w:left="154" w:right="148"/>
        <w:jc w:val="both"/>
      </w:pPr>
      <w:r>
        <w:rPr>
          <w:color w:val="010101"/>
        </w:rPr>
        <w:t>(12.1b), then when the order of integrat.ion is  inverted  formula  (12.lc)  will  be  obtained .</w:t>
      </w:r>
      <w:r>
        <w:rPr>
          <w:color w:val="010101"/>
          <w:spacing w:val="-5"/>
        </w:rPr>
        <w:t> </w:t>
      </w:r>
      <w:r>
        <w:rPr>
          <w:color w:val="464646"/>
        </w:rPr>
        <w:t>.</w:t>
      </w:r>
    </w:p>
    <w:p>
      <w:pPr>
        <w:pStyle w:val="BodyText"/>
        <w:spacing w:line="242" w:lineRule="auto"/>
        <w:ind w:left="132" w:right="149" w:firstLine="193"/>
        <w:jc w:val="both"/>
      </w:pPr>
      <w:r>
        <w:rPr>
          <w:b/>
          <w:color w:val="010101"/>
          <w:w w:val="105"/>
          <w:sz w:val="21"/>
        </w:rPr>
        <w:t>All </w:t>
      </w:r>
      <w:r>
        <w:rPr>
          <w:color w:val="010101"/>
          <w:w w:val="105"/>
        </w:rPr>
        <w:t>three expressions will normally require approximate integra­ tion methods, and formulas (12.la) and (12.lc) are less convenient  </w:t>
      </w:r>
      <w:r>
        <w:rPr>
          <w:color w:val="010101"/>
          <w:w w:val="105"/>
          <w:sz w:val="22"/>
        </w:rPr>
        <w:t>to </w:t>
      </w:r>
      <w:r>
        <w:rPr>
          <w:color w:val="010101"/>
          <w:w w:val="105"/>
        </w:rPr>
        <w:t>evaluate because of the presence of contingent functions under the integral</w:t>
      </w:r>
      <w:r>
        <w:rPr>
          <w:color w:val="010101"/>
          <w:spacing w:val="15"/>
          <w:w w:val="105"/>
        </w:rPr>
        <w:t> </w:t>
      </w:r>
      <w:r>
        <w:rPr>
          <w:color w:val="010101"/>
          <w:w w:val="105"/>
        </w:rPr>
        <w:t>sign.</w:t>
      </w:r>
    </w:p>
    <w:p>
      <w:pPr>
        <w:pStyle w:val="BodyText"/>
        <w:spacing w:line="224" w:lineRule="exact" w:before="12"/>
        <w:ind w:left="275" w:right="87"/>
        <w:jc w:val="center"/>
      </w:pPr>
      <w:r>
        <w:rPr>
          <w:color w:val="010101"/>
        </w:rPr>
        <w:t>By using (12.lb), it is possible to express </w:t>
      </w:r>
      <w:r>
        <w:rPr>
          <w:color w:val="010101"/>
          <w:w w:val="95"/>
        </w:rPr>
        <w:t>aoqzZz </w:t>
      </w:r>
      <w:r>
        <w:rPr>
          <w:color w:val="010101"/>
        </w:rPr>
        <w:t>in terms of   simple</w:t>
      </w:r>
    </w:p>
    <w:p>
      <w:pPr>
        <w:spacing w:line="132" w:lineRule="exact" w:before="0"/>
        <w:ind w:left="0" w:right="1861" w:firstLine="0"/>
        <w:jc w:val="right"/>
        <w:rPr>
          <w:b/>
          <w:sz w:val="12"/>
        </w:rPr>
      </w:pPr>
      <w:r>
        <w:rPr>
          <w:b/>
          <w:color w:val="010101"/>
          <w:w w:val="107"/>
          <w:sz w:val="12"/>
        </w:rPr>
        <w:t>1</w:t>
      </w:r>
    </w:p>
    <w:p>
      <w:pPr>
        <w:pStyle w:val="BodyText"/>
        <w:spacing w:before="3"/>
        <w:ind w:left="136"/>
        <w:jc w:val="both"/>
      </w:pPr>
      <w:r>
        <w:rPr>
          <w:color w:val="010101"/>
          <w:w w:val="105"/>
        </w:rPr>
        <w:t>contingent probabilities. Writing 1 </w:t>
      </w:r>
      <w:r>
        <w:rPr>
          <w:color w:val="010101"/>
          <w:w w:val="240"/>
        </w:rPr>
        <w:t>- </w:t>
      </w:r>
      <w:r>
        <w:rPr>
          <w:i/>
          <w:color w:val="010101"/>
          <w:w w:val="105"/>
        </w:rPr>
        <w:t>tPz </w:t>
      </w:r>
      <w:r>
        <w:rPr>
          <w:color w:val="010101"/>
          <w:w w:val="105"/>
        </w:rPr>
        <w:t>for </w:t>
      </w:r>
      <w:r>
        <w:rPr>
          <w:i/>
          <w:color w:val="010101"/>
          <w:w w:val="105"/>
        </w:rPr>
        <w:t>,qz , </w:t>
      </w:r>
      <w:r>
        <w:rPr>
          <w:color w:val="010101"/>
          <w:w w:val="105"/>
        </w:rPr>
        <w:t>we have</w:t>
      </w:r>
    </w:p>
    <w:p>
      <w:pPr>
        <w:spacing w:before="158"/>
        <w:ind w:left="98" w:right="810" w:firstLine="0"/>
        <w:jc w:val="center"/>
        <w:rPr>
          <w:b/>
          <w:i/>
          <w:sz w:val="21"/>
        </w:rPr>
      </w:pPr>
      <w:r>
        <w:rPr>
          <w:b/>
          <w:color w:val="010101"/>
          <w:w w:val="55"/>
          <w:sz w:val="30"/>
        </w:rPr>
        <w:t>aoq</w:t>
      </w:r>
      <w:r>
        <w:rPr>
          <w:b/>
          <w:color w:val="010101"/>
          <w:spacing w:val="1"/>
          <w:w w:val="55"/>
          <w:sz w:val="30"/>
        </w:rPr>
        <w:t>;</w:t>
      </w:r>
      <w:r>
        <w:rPr>
          <w:b/>
          <w:color w:val="010101"/>
          <w:w w:val="34"/>
          <w:sz w:val="30"/>
        </w:rPr>
        <w:t>z</w:t>
      </w:r>
      <w:r>
        <w:rPr>
          <w:b/>
          <w:color w:val="010101"/>
          <w:spacing w:val="29"/>
          <w:sz w:val="30"/>
        </w:rPr>
        <w:t> </w:t>
      </w:r>
      <w:r>
        <w:rPr>
          <w:color w:val="010101"/>
          <w:w w:val="86"/>
          <w:sz w:val="26"/>
        </w:rPr>
        <w:t>=</w:t>
      </w:r>
      <w:r>
        <w:rPr>
          <w:color w:val="010101"/>
          <w:sz w:val="26"/>
        </w:rPr>
        <w:t> </w:t>
      </w:r>
      <w:r>
        <w:rPr>
          <w:color w:val="010101"/>
          <w:spacing w:val="-25"/>
          <w:sz w:val="26"/>
        </w:rPr>
        <w:t> </w:t>
      </w:r>
      <w:r>
        <w:rPr>
          <w:b/>
          <w:color w:val="010101"/>
          <w:spacing w:val="-41"/>
          <w:w w:val="132"/>
          <w:sz w:val="30"/>
        </w:rPr>
        <w:t>1</w:t>
      </w:r>
      <w:r>
        <w:rPr>
          <w:b/>
          <w:color w:val="010101"/>
          <w:w w:val="31"/>
          <w:sz w:val="30"/>
        </w:rPr>
        <w:t>ao</w:t>
      </w:r>
      <w:r>
        <w:rPr>
          <w:b/>
          <w:color w:val="010101"/>
          <w:sz w:val="30"/>
        </w:rPr>
        <w:t> </w:t>
      </w:r>
      <w:r>
        <w:rPr>
          <w:color w:val="010101"/>
          <w:w w:val="59"/>
          <w:sz w:val="30"/>
        </w:rPr>
        <w:t>(</w:t>
      </w:r>
      <w:r>
        <w:rPr>
          <w:color w:val="010101"/>
          <w:spacing w:val="-39"/>
          <w:sz w:val="30"/>
        </w:rPr>
        <w:t> </w:t>
      </w:r>
      <w:r>
        <w:rPr>
          <w:rFonts w:ascii="Arial" w:hAnsi="Arial"/>
          <w:b/>
          <w:color w:val="010101"/>
          <w:w w:val="99"/>
          <w:sz w:val="18"/>
        </w:rPr>
        <w:t>1</w:t>
      </w:r>
      <w:r>
        <w:rPr>
          <w:rFonts w:ascii="Arial" w:hAnsi="Arial"/>
          <w:b/>
          <w:color w:val="010101"/>
          <w:sz w:val="18"/>
        </w:rPr>
        <w:t> </w:t>
      </w:r>
      <w:r>
        <w:rPr>
          <w:rFonts w:ascii="Arial" w:hAnsi="Arial"/>
          <w:b/>
          <w:color w:val="010101"/>
          <w:spacing w:val="-25"/>
          <w:sz w:val="18"/>
        </w:rPr>
        <w:t> </w:t>
      </w:r>
      <w:r>
        <w:rPr>
          <w:rFonts w:ascii="Arial" w:hAnsi="Arial"/>
          <w:color w:val="010101"/>
          <w:w w:val="275"/>
          <w:sz w:val="18"/>
        </w:rPr>
        <w:t>-</w:t>
      </w:r>
      <w:r>
        <w:rPr>
          <w:rFonts w:ascii="Arial" w:hAnsi="Arial"/>
          <w:color w:val="010101"/>
          <w:spacing w:val="24"/>
          <w:sz w:val="18"/>
        </w:rPr>
        <w:t> </w:t>
      </w:r>
      <w:r>
        <w:rPr>
          <w:b/>
          <w:i/>
          <w:color w:val="010101"/>
          <w:w w:val="105"/>
          <w:sz w:val="16"/>
        </w:rPr>
        <w:t>tPz</w:t>
      </w:r>
      <w:r>
        <w:rPr>
          <w:b/>
          <w:i/>
          <w:color w:val="010101"/>
          <w:spacing w:val="-13"/>
          <w:sz w:val="16"/>
        </w:rPr>
        <w:t> </w:t>
      </w:r>
      <w:r>
        <w:rPr>
          <w:b/>
          <w:i/>
          <w:color w:val="010101"/>
          <w:w w:val="79"/>
          <w:sz w:val="16"/>
        </w:rPr>
        <w:t>)</w:t>
      </w:r>
      <w:r>
        <w:rPr>
          <w:b/>
          <w:i/>
          <w:color w:val="010101"/>
          <w:spacing w:val="-1"/>
          <w:sz w:val="16"/>
        </w:rPr>
        <w:t> </w:t>
      </w:r>
      <w:r>
        <w:rPr>
          <w:b/>
          <w:i/>
          <w:color w:val="010101"/>
          <w:w w:val="84"/>
          <w:sz w:val="16"/>
        </w:rPr>
        <w:t>tP11zµ,¡+t</w:t>
      </w:r>
      <w:r>
        <w:rPr>
          <w:b/>
          <w:i/>
          <w:color w:val="010101"/>
          <w:sz w:val="16"/>
        </w:rPr>
        <w:t> </w:t>
      </w:r>
      <w:r>
        <w:rPr>
          <w:b/>
          <w:i/>
          <w:color w:val="010101"/>
          <w:spacing w:val="11"/>
          <w:sz w:val="16"/>
        </w:rPr>
        <w:t> </w:t>
      </w:r>
      <w:r>
        <w:rPr>
          <w:b/>
          <w:i/>
          <w:color w:val="010101"/>
          <w:w w:val="83"/>
          <w:sz w:val="21"/>
        </w:rPr>
        <w:t>dt</w:t>
      </w:r>
    </w:p>
    <w:p>
      <w:pPr>
        <w:spacing w:before="259"/>
        <w:ind w:left="2001" w:right="0" w:firstLine="0"/>
        <w:jc w:val="left"/>
        <w:rPr>
          <w:b/>
          <w:i/>
          <w:sz w:val="21"/>
        </w:rPr>
      </w:pPr>
      <w:r>
        <w:rPr>
          <w:b/>
          <w:color w:val="010101"/>
          <w:spacing w:val="-38"/>
          <w:w w:val="128"/>
          <w:sz w:val="30"/>
        </w:rPr>
        <w:t>1</w:t>
      </w:r>
      <w:r>
        <w:rPr>
          <w:b/>
          <w:color w:val="010101"/>
          <w:w w:val="32"/>
          <w:sz w:val="30"/>
        </w:rPr>
        <w:t>ao</w:t>
      </w:r>
      <w:r>
        <w:rPr>
          <w:b/>
          <w:color w:val="010101"/>
          <w:spacing w:val="-14"/>
          <w:sz w:val="30"/>
        </w:rPr>
        <w:t> </w:t>
      </w:r>
      <w:r>
        <w:rPr>
          <w:b/>
          <w:i/>
          <w:color w:val="010101"/>
          <w:w w:val="80"/>
          <w:sz w:val="16"/>
        </w:rPr>
        <w:t>tP11zµ,¡+e</w:t>
      </w:r>
      <w:r>
        <w:rPr>
          <w:b/>
          <w:i/>
          <w:color w:val="010101"/>
          <w:sz w:val="16"/>
        </w:rPr>
        <w:t> </w:t>
      </w:r>
      <w:r>
        <w:rPr>
          <w:b/>
          <w:i/>
          <w:color w:val="010101"/>
          <w:spacing w:val="7"/>
          <w:sz w:val="16"/>
        </w:rPr>
        <w:t> </w:t>
      </w:r>
      <w:r>
        <w:rPr>
          <w:b/>
          <w:i/>
          <w:color w:val="010101"/>
          <w:w w:val="86"/>
          <w:sz w:val="21"/>
        </w:rPr>
        <w:t>dt</w:t>
      </w:r>
      <w:r>
        <w:rPr>
          <w:b/>
          <w:i/>
          <w:color w:val="010101"/>
          <w:sz w:val="21"/>
        </w:rPr>
        <w:t> </w:t>
      </w:r>
      <w:r>
        <w:rPr>
          <w:b/>
          <w:i/>
          <w:color w:val="010101"/>
          <w:spacing w:val="-3"/>
          <w:sz w:val="21"/>
        </w:rPr>
        <w:t> </w:t>
      </w:r>
      <w:r>
        <w:rPr>
          <w:color w:val="010101"/>
          <w:w w:val="267"/>
          <w:sz w:val="21"/>
        </w:rPr>
        <w:t>-</w:t>
      </w:r>
      <w:r>
        <w:rPr>
          <w:color w:val="010101"/>
          <w:spacing w:val="4"/>
          <w:sz w:val="21"/>
        </w:rPr>
        <w:t> </w:t>
      </w:r>
      <w:r>
        <w:rPr>
          <w:b/>
          <w:color w:val="010101"/>
          <w:w w:val="48"/>
          <w:sz w:val="30"/>
        </w:rPr>
        <w:t>Lao</w:t>
      </w:r>
      <w:r>
        <w:rPr>
          <w:b/>
          <w:color w:val="010101"/>
          <w:spacing w:val="-8"/>
          <w:sz w:val="30"/>
        </w:rPr>
        <w:t> </w:t>
      </w:r>
      <w:r>
        <w:rPr>
          <w:b/>
          <w:i/>
          <w:color w:val="010101"/>
          <w:w w:val="65"/>
          <w:sz w:val="16"/>
        </w:rPr>
        <w:t>tP%Jl:i</w:t>
      </w:r>
      <w:r>
        <w:rPr>
          <w:b/>
          <w:i/>
          <w:color w:val="010101"/>
          <w:spacing w:val="-21"/>
          <w:sz w:val="16"/>
        </w:rPr>
        <w:t> </w:t>
      </w:r>
      <w:r>
        <w:rPr>
          <w:b/>
          <w:i/>
          <w:color w:val="010101"/>
          <w:w w:val="84"/>
          <w:sz w:val="16"/>
        </w:rPr>
        <w:t>µ,¡+c</w:t>
      </w:r>
      <w:r>
        <w:rPr>
          <w:b/>
          <w:i/>
          <w:color w:val="010101"/>
          <w:sz w:val="16"/>
        </w:rPr>
        <w:t> </w:t>
      </w:r>
      <w:r>
        <w:rPr>
          <w:b/>
          <w:i/>
          <w:color w:val="010101"/>
          <w:spacing w:val="11"/>
          <w:sz w:val="16"/>
        </w:rPr>
        <w:t> </w:t>
      </w:r>
      <w:r>
        <w:rPr>
          <w:b/>
          <w:i/>
          <w:color w:val="010101"/>
          <w:w w:val="88"/>
          <w:sz w:val="21"/>
        </w:rPr>
        <w:t>dt</w:t>
      </w:r>
    </w:p>
    <w:p>
      <w:pPr>
        <w:pStyle w:val="BodyText"/>
        <w:spacing w:before="219"/>
        <w:ind w:left="1759"/>
      </w:pPr>
      <w:r>
        <w:rPr>
          <w:position w:val="-5"/>
        </w:rPr>
        <w:drawing>
          <wp:inline distT="0" distB="0" distL="0" distR="0">
            <wp:extent cx="868680" cy="155448"/>
            <wp:effectExtent l="0" t="0" r="0" b="0"/>
            <wp:docPr id="585" name="image298.png" descr=""/>
            <wp:cNvGraphicFramePr>
              <a:graphicFrameLocks noChangeAspect="1"/>
            </wp:cNvGraphicFramePr>
            <a:graphic>
              <a:graphicData uri="http://schemas.openxmlformats.org/drawingml/2006/picture">
                <pic:pic>
                  <pic:nvPicPr>
                    <pic:cNvPr id="586" name="image298.png"/>
                    <pic:cNvPicPr/>
                  </pic:nvPicPr>
                  <pic:blipFill>
                    <a:blip r:embed="rId302" cstate="print"/>
                    <a:stretch>
                      <a:fillRect/>
                    </a:stretch>
                  </pic:blipFill>
                  <pic:spPr>
                    <a:xfrm>
                      <a:off x="0" y="0"/>
                      <a:ext cx="868680" cy="155448"/>
                    </a:xfrm>
                    <a:prstGeom prst="rect">
                      <a:avLst/>
                    </a:prstGeom>
                  </pic:spPr>
                </pic:pic>
              </a:graphicData>
            </a:graphic>
          </wp:inline>
        </w:drawing>
      </w:r>
      <w:r>
        <w:rPr>
          <w:position w:val="-5"/>
        </w:rPr>
      </w:r>
      <w:r>
        <w:rPr/>
        <w:t>                                           </w:t>
      </w:r>
      <w:r>
        <w:rPr>
          <w:color w:val="010101"/>
        </w:rPr>
        <w:t>(</w:t>
      </w:r>
      <w:r>
        <w:rPr>
          <w:color w:val="010101"/>
          <w:spacing w:val="-13"/>
        </w:rPr>
        <w:t> </w:t>
      </w:r>
      <w:r>
        <w:rPr>
          <w:color w:val="010101"/>
        </w:rPr>
        <w:t>12.2)</w:t>
      </w:r>
    </w:p>
    <w:p>
      <w:pPr>
        <w:pStyle w:val="BodyText"/>
        <w:spacing w:line="249" w:lineRule="auto" w:before="151"/>
        <w:ind w:left="129" w:right="146" w:firstLine="197"/>
        <w:jc w:val="both"/>
      </w:pPr>
      <w:r>
        <w:rPr>
          <w:rFonts w:ascii="Arial" w:hAnsi="Arial"/>
          <w:color w:val="010101"/>
          <w:w w:val="110"/>
        </w:rPr>
        <w:t>In </w:t>
      </w:r>
      <w:r>
        <w:rPr>
          <w:color w:val="010101"/>
          <w:w w:val="105"/>
        </w:rPr>
        <w:t>the symbols used for compound contingent functions, it is important to note the significance of the numerals which appear above and below the suffix. The numeral above the suffix dis­ tinguishes the life upon whose failure the function is finally de­ termined, and numerals below the suffix indicate the order in which the other lives are to fail. </w:t>
      </w:r>
      <w:r>
        <w:rPr>
          <w:rFonts w:ascii="Arial" w:hAnsi="Arial"/>
          <w:color w:val="010101"/>
          <w:w w:val="110"/>
        </w:rPr>
        <w:t>In </w:t>
      </w:r>
      <w:r>
        <w:rPr>
          <w:color w:val="010101"/>
          <w:w w:val="105"/>
        </w:rPr>
        <w:t>the case of  </w:t>
      </w:r>
      <w:r>
        <w:rPr>
          <w:color w:val="010101"/>
          <w:w w:val="95"/>
        </w:rPr>
        <w:t>aoqzZz </w:t>
      </w:r>
      <w:r>
        <w:rPr>
          <w:color w:val="010101"/>
          <w:w w:val="105"/>
        </w:rPr>
        <w:t>, for example,     the</w:t>
      </w:r>
    </w:p>
    <w:p>
      <w:pPr>
        <w:spacing w:line="114" w:lineRule="exact" w:before="0"/>
        <w:ind w:left="0" w:right="1874" w:firstLine="0"/>
        <w:jc w:val="right"/>
        <w:rPr>
          <w:sz w:val="12"/>
        </w:rPr>
      </w:pPr>
      <w:r>
        <w:rPr>
          <w:color w:val="010101"/>
          <w:w w:val="158"/>
          <w:sz w:val="12"/>
        </w:rPr>
        <w:t>1</w:t>
      </w:r>
    </w:p>
    <w:p>
      <w:pPr>
        <w:pStyle w:val="BodyText"/>
        <w:spacing w:line="247" w:lineRule="auto" w:before="6"/>
        <w:ind w:left="118" w:right="194" w:firstLine="14"/>
        <w:jc w:val="both"/>
        <w:rPr>
          <w:rFonts w:ascii="Arial"/>
          <w:i/>
          <w:sz w:val="18"/>
        </w:rPr>
      </w:pPr>
      <w:r>
        <w:rPr>
          <w:color w:val="010101"/>
        </w:rPr>
        <w:t>probability  is  determined  upon  </w:t>
      </w:r>
      <w:r>
        <w:rPr>
          <w:rFonts w:ascii="Arial"/>
          <w:i/>
          <w:color w:val="010101"/>
          <w:sz w:val="18"/>
        </w:rPr>
        <w:t>(y )'s   </w:t>
      </w:r>
      <w:r>
        <w:rPr>
          <w:color w:val="010101"/>
        </w:rPr>
        <w:t>dying  second,  predeceased by  </w:t>
      </w:r>
      <w:r>
        <w:rPr>
          <w:rFonts w:ascii="Arial"/>
          <w:i/>
          <w:color w:val="010101"/>
          <w:sz w:val="18"/>
        </w:rPr>
        <w:t>(x).</w:t>
      </w:r>
    </w:p>
    <w:p>
      <w:pPr>
        <w:pStyle w:val="BodyText"/>
        <w:spacing w:line="247" w:lineRule="auto"/>
        <w:ind w:left="122" w:right="169" w:firstLine="208"/>
        <w:jc w:val="both"/>
      </w:pPr>
      <w:r>
        <w:rPr>
          <w:color w:val="010101"/>
          <w:w w:val="105"/>
        </w:rPr>
        <w:t>When more than three lives are involved, the functions become more complex and it is not always possible to set up  integrals which are themselves free of contingent functions. For example, to take a four-life case, the probability that </w:t>
      </w:r>
      <w:r>
        <w:rPr>
          <w:rFonts w:ascii="Arial"/>
          <w:i/>
          <w:color w:val="010101"/>
          <w:w w:val="105"/>
          <w:sz w:val="18"/>
        </w:rPr>
        <w:t>(w), (x), (y), </w:t>
      </w:r>
      <w:r>
        <w:rPr>
          <w:color w:val="010101"/>
          <w:w w:val="105"/>
        </w:rPr>
        <w:t>and  (z) will die in the order named  is</w:t>
      </w:r>
    </w:p>
    <w:p>
      <w:pPr>
        <w:spacing w:after="0" w:line="247" w:lineRule="auto"/>
        <w:jc w:val="both"/>
        <w:sectPr>
          <w:pgSz w:w="7200" w:h="11340"/>
          <w:pgMar w:top="500" w:bottom="280" w:left="660" w:right="540"/>
        </w:sectPr>
      </w:pPr>
    </w:p>
    <w:p>
      <w:pPr>
        <w:tabs>
          <w:tab w:pos="1455" w:val="left" w:leader="none"/>
          <w:tab w:pos="5234" w:val="left" w:leader="none"/>
        </w:tabs>
        <w:spacing w:before="50"/>
        <w:ind w:left="127" w:right="0" w:firstLine="0"/>
        <w:jc w:val="left"/>
        <w:rPr>
          <w:sz w:val="19"/>
        </w:rPr>
      </w:pPr>
      <w:r>
        <w:rPr>
          <w:color w:val="010101"/>
          <w:w w:val="105"/>
          <w:sz w:val="19"/>
        </w:rPr>
        <w:t>248</w:t>
        <w:tab/>
      </w:r>
      <w:r>
        <w:rPr>
          <w:color w:val="010101"/>
          <w:w w:val="105"/>
          <w:sz w:val="15"/>
        </w:rPr>
        <w:t>COMPOUND  </w:t>
      </w:r>
      <w:r>
        <w:rPr>
          <w:color w:val="010101"/>
          <w:spacing w:val="7"/>
          <w:w w:val="105"/>
          <w:sz w:val="15"/>
        </w:rPr>
        <w:t> </w:t>
      </w:r>
      <w:r>
        <w:rPr>
          <w:color w:val="010101"/>
          <w:w w:val="105"/>
          <w:sz w:val="15"/>
        </w:rPr>
        <w:t>CONTINGENT  </w:t>
      </w:r>
      <w:r>
        <w:rPr>
          <w:color w:val="010101"/>
          <w:spacing w:val="6"/>
          <w:w w:val="105"/>
          <w:sz w:val="15"/>
        </w:rPr>
        <w:t> </w:t>
      </w:r>
      <w:r>
        <w:rPr>
          <w:color w:val="010101"/>
          <w:w w:val="105"/>
          <w:sz w:val="15"/>
        </w:rPr>
        <w:t>FUNCTIONS</w:t>
        <w:tab/>
      </w:r>
      <w:r>
        <w:rPr>
          <w:color w:val="010101"/>
          <w:w w:val="105"/>
          <w:sz w:val="19"/>
        </w:rPr>
        <w:t>[CH.</w:t>
      </w:r>
      <w:r>
        <w:rPr>
          <w:color w:val="010101"/>
          <w:spacing w:val="-4"/>
          <w:w w:val="105"/>
          <w:sz w:val="19"/>
        </w:rPr>
        <w:t> </w:t>
      </w:r>
      <w:r>
        <w:rPr>
          <w:color w:val="010101"/>
          <w:w w:val="105"/>
          <w:sz w:val="19"/>
        </w:rPr>
        <w:t>12</w:t>
      </w:r>
    </w:p>
    <w:p>
      <w:pPr>
        <w:pStyle w:val="BodyText"/>
        <w:spacing w:before="2"/>
        <w:rPr>
          <w:sz w:val="13"/>
        </w:rPr>
      </w:pPr>
    </w:p>
    <w:p>
      <w:pPr>
        <w:spacing w:after="0"/>
        <w:rPr>
          <w:sz w:val="13"/>
        </w:rPr>
        <w:sectPr>
          <w:pgSz w:w="7200" w:h="11340"/>
          <w:pgMar w:top="520" w:bottom="280" w:left="680" w:right="540"/>
        </w:sectPr>
      </w:pPr>
    </w:p>
    <w:p>
      <w:pPr>
        <w:spacing w:line="417" w:lineRule="exact" w:before="48"/>
        <w:ind w:left="1441" w:right="-13" w:firstLine="0"/>
        <w:jc w:val="left"/>
        <w:rPr>
          <w:rFonts w:ascii="Arial" w:hAnsi="Arial"/>
          <w:i/>
          <w:sz w:val="18"/>
        </w:rPr>
      </w:pPr>
      <w:r>
        <w:rPr/>
        <w:pict>
          <v:line style="position:absolute;mso-position-horizontal-relative:page;mso-position-vertical-relative:paragraph;z-index:-716248" from="234.017899pt,21.70104pt" to="250.528399pt,21.70104pt" stroked="true" strokeweight="1.256231pt" strokecolor="#000000">
            <w10:wrap type="none"/>
          </v:line>
        </w:pict>
      </w:r>
      <w:r>
        <w:rPr>
          <w:b/>
          <w:color w:val="010101"/>
          <w:w w:val="90"/>
          <w:sz w:val="16"/>
        </w:rPr>
        <w:t>..&lt;</w:t>
      </w:r>
      <w:r>
        <w:rPr>
          <w:b/>
          <w:color w:val="010101"/>
          <w:spacing w:val="-29"/>
          <w:w w:val="90"/>
          <w:sz w:val="16"/>
        </w:rPr>
        <w:t>]</w:t>
      </w:r>
      <w:r>
        <w:rPr>
          <w:b/>
          <w:color w:val="010101"/>
          <w:spacing w:val="11"/>
          <w:w w:val="185"/>
          <w:sz w:val="16"/>
        </w:rPr>
        <w:t>w</w:t>
      </w:r>
      <w:r>
        <w:rPr>
          <w:b/>
          <w:color w:val="010101"/>
          <w:w w:val="32"/>
          <w:sz w:val="16"/>
        </w:rPr>
        <w:t>11</w:t>
      </w:r>
      <w:r>
        <w:rPr>
          <w:b/>
          <w:color w:val="010101"/>
          <w:sz w:val="16"/>
        </w:rPr>
        <w:t> </w:t>
      </w:r>
      <w:r>
        <w:rPr>
          <w:b/>
          <w:color w:val="010101"/>
          <w:spacing w:val="15"/>
          <w:sz w:val="16"/>
        </w:rPr>
        <w:t> </w:t>
      </w:r>
      <w:r>
        <w:rPr>
          <w:color w:val="010101"/>
          <w:w w:val="91"/>
          <w:sz w:val="26"/>
        </w:rPr>
        <w:t>=</w:t>
      </w:r>
      <w:r>
        <w:rPr>
          <w:color w:val="010101"/>
          <w:sz w:val="26"/>
        </w:rPr>
        <w:t> </w:t>
      </w:r>
      <w:r>
        <w:rPr>
          <w:color w:val="010101"/>
          <w:spacing w:val="-25"/>
          <w:sz w:val="26"/>
        </w:rPr>
        <w:t> </w:t>
      </w:r>
      <w:r>
        <w:rPr>
          <w:i/>
          <w:color w:val="010101"/>
          <w:w w:val="75"/>
          <w:sz w:val="40"/>
        </w:rPr>
        <w:t>[</w:t>
      </w:r>
      <w:r>
        <w:rPr>
          <w:i/>
          <w:color w:val="010101"/>
          <w:spacing w:val="-64"/>
          <w:sz w:val="40"/>
        </w:rPr>
        <w:t> </w:t>
      </w:r>
      <w:r>
        <w:rPr>
          <w:i/>
          <w:color w:val="010101"/>
          <w:w w:val="31"/>
          <w:sz w:val="40"/>
        </w:rPr>
        <w:t>"°</w:t>
      </w:r>
      <w:r>
        <w:rPr>
          <w:i/>
          <w:color w:val="010101"/>
          <w:spacing w:val="-44"/>
          <w:sz w:val="40"/>
        </w:rPr>
        <w:t> </w:t>
      </w:r>
      <w:r>
        <w:rPr>
          <w:i/>
          <w:color w:val="010101"/>
          <w:spacing w:val="-16"/>
          <w:w w:val="111"/>
          <w:sz w:val="20"/>
        </w:rPr>
        <w:t>,</w:t>
      </w:r>
      <w:r>
        <w:rPr>
          <w:i/>
          <w:color w:val="010101"/>
          <w:w w:val="95"/>
          <w:sz w:val="20"/>
        </w:rPr>
        <w:t>q.,·</w:t>
      </w:r>
      <w:r>
        <w:rPr>
          <w:i/>
          <w:color w:val="010101"/>
          <w:spacing w:val="-12"/>
          <w:sz w:val="20"/>
        </w:rPr>
        <w:t> </w:t>
      </w:r>
      <w:r>
        <w:rPr>
          <w:i/>
          <w:color w:val="010101"/>
          <w:w w:val="69"/>
          <w:sz w:val="20"/>
        </w:rPr>
        <w:t>,pZ11zµz+t</w:t>
      </w:r>
      <w:r>
        <w:rPr>
          <w:i/>
          <w:color w:val="010101"/>
          <w:spacing w:val="11"/>
          <w:sz w:val="20"/>
        </w:rPr>
        <w:t> </w:t>
      </w:r>
      <w:r>
        <w:rPr>
          <w:i/>
          <w:color w:val="010101"/>
          <w:spacing w:val="11"/>
          <w:w w:val="114"/>
          <w:sz w:val="20"/>
        </w:rPr>
        <w:t>·</w:t>
      </w:r>
      <w:r>
        <w:rPr>
          <w:i/>
          <w:color w:val="010101"/>
          <w:w w:val="121"/>
          <w:sz w:val="20"/>
        </w:rPr>
        <w:t>.</w:t>
      </w:r>
      <w:r>
        <w:rPr>
          <w:i/>
          <w:color w:val="010101"/>
          <w:spacing w:val="-25"/>
          <w:w w:val="121"/>
          <w:sz w:val="20"/>
        </w:rPr>
        <w:t>,</w:t>
      </w:r>
      <w:r>
        <w:rPr>
          <w:i/>
          <w:color w:val="010101"/>
          <w:w w:val="83"/>
          <w:sz w:val="20"/>
        </w:rPr>
        <w:t>qw!t</w:t>
      </w:r>
      <w:r>
        <w:rPr>
          <w:i/>
          <w:color w:val="010101"/>
          <w:spacing w:val="-11"/>
          <w:sz w:val="20"/>
        </w:rPr>
        <w:t> </w:t>
      </w:r>
      <w:r>
        <w:rPr>
          <w:i/>
          <w:color w:val="010101"/>
          <w:w w:val="78"/>
          <w:sz w:val="20"/>
        </w:rPr>
        <w:t>:•+t</w:t>
      </w:r>
      <w:r>
        <w:rPr>
          <w:i/>
          <w:color w:val="010101"/>
          <w:spacing w:val="18"/>
          <w:sz w:val="20"/>
        </w:rPr>
        <w:t> </w:t>
      </w:r>
      <w:r>
        <w:rPr>
          <w:rFonts w:ascii="Arial" w:hAnsi="Arial"/>
          <w:i/>
          <w:color w:val="010101"/>
          <w:w w:val="99"/>
          <w:sz w:val="18"/>
        </w:rPr>
        <w:t>dt</w:t>
      </w:r>
    </w:p>
    <w:p>
      <w:pPr>
        <w:spacing w:line="41" w:lineRule="exact" w:before="0"/>
        <w:ind w:left="1622" w:right="2722" w:firstLine="0"/>
        <w:jc w:val="center"/>
        <w:rPr>
          <w:rFonts w:ascii="Arial"/>
          <w:b/>
          <w:sz w:val="13"/>
        </w:rPr>
      </w:pPr>
      <w:r>
        <w:rPr>
          <w:rFonts w:ascii="Arial"/>
          <w:b/>
          <w:color w:val="010101"/>
          <w:w w:val="80"/>
          <w:sz w:val="13"/>
        </w:rPr>
        <w:t>12"</w:t>
      </w:r>
    </w:p>
    <w:p>
      <w:pPr>
        <w:tabs>
          <w:tab w:pos="2216" w:val="left" w:leader="none"/>
        </w:tabs>
        <w:spacing w:line="624" w:lineRule="exact" w:before="0"/>
        <w:ind w:left="127" w:right="0" w:firstLine="0"/>
        <w:jc w:val="left"/>
        <w:rPr>
          <w:rFonts w:ascii="Arial" w:hAnsi="Arial"/>
          <w:i/>
          <w:sz w:val="18"/>
        </w:rPr>
      </w:pPr>
      <w:r>
        <w:rPr>
          <w:color w:val="010101"/>
          <w:w w:val="103"/>
          <w:position w:val="1"/>
          <w:sz w:val="22"/>
        </w:rPr>
        <w:t>or</w:t>
      </w:r>
      <w:r>
        <w:rPr>
          <w:color w:val="010101"/>
          <w:position w:val="1"/>
          <w:sz w:val="22"/>
        </w:rPr>
        <w:tab/>
      </w:r>
      <w:r>
        <w:rPr>
          <w:color w:val="010101"/>
          <w:spacing w:val="28"/>
          <w:w w:val="80"/>
          <w:sz w:val="60"/>
        </w:rPr>
        <w:t>f</w:t>
      </w:r>
      <w:r>
        <w:rPr>
          <w:color w:val="010101"/>
          <w:w w:val="24"/>
          <w:sz w:val="60"/>
        </w:rPr>
        <w:t>e</w:t>
      </w:r>
      <w:r>
        <w:rPr>
          <w:color w:val="010101"/>
          <w:spacing w:val="-91"/>
          <w:sz w:val="60"/>
        </w:rPr>
        <w:t> </w:t>
      </w:r>
      <w:r>
        <w:rPr>
          <w:i/>
          <w:color w:val="010101"/>
          <w:spacing w:val="-18"/>
          <w:w w:val="136"/>
          <w:sz w:val="20"/>
        </w:rPr>
        <w:t>,</w:t>
      </w:r>
      <w:r>
        <w:rPr>
          <w:i/>
          <w:color w:val="010101"/>
          <w:w w:val="79"/>
          <w:sz w:val="20"/>
        </w:rPr>
        <w:t>q,.,;·</w:t>
      </w:r>
      <w:r>
        <w:rPr>
          <w:i/>
          <w:color w:val="010101"/>
          <w:spacing w:val="-6"/>
          <w:sz w:val="20"/>
        </w:rPr>
        <w:t> </w:t>
      </w:r>
      <w:r>
        <w:rPr>
          <w:i/>
          <w:color w:val="010101"/>
          <w:w w:val="58"/>
          <w:sz w:val="20"/>
        </w:rPr>
        <w:t>tPJ12JLu+c</w:t>
      </w:r>
      <w:r>
        <w:rPr>
          <w:i/>
          <w:color w:val="010101"/>
          <w:sz w:val="20"/>
        </w:rPr>
        <w:t> </w:t>
      </w:r>
      <w:r>
        <w:rPr>
          <w:i/>
          <w:color w:val="010101"/>
          <w:spacing w:val="-13"/>
          <w:sz w:val="20"/>
        </w:rPr>
        <w:t> </w:t>
      </w:r>
      <w:r>
        <w:rPr>
          <w:rFonts w:ascii="Arial" w:hAnsi="Arial"/>
          <w:i/>
          <w:color w:val="010101"/>
          <w:w w:val="107"/>
          <w:sz w:val="18"/>
        </w:rPr>
        <w:t>dt.</w:t>
      </w:r>
    </w:p>
    <w:p>
      <w:pPr>
        <w:pStyle w:val="BodyText"/>
        <w:spacing w:before="1"/>
        <w:rPr>
          <w:rFonts w:ascii="Arial"/>
          <w:i/>
          <w:sz w:val="19"/>
        </w:rPr>
      </w:pPr>
      <w:r>
        <w:rPr/>
        <w:br w:type="column"/>
      </w:r>
      <w:r>
        <w:rPr>
          <w:rFonts w:ascii="Arial"/>
          <w:i/>
          <w:sz w:val="19"/>
        </w:rPr>
      </w:r>
    </w:p>
    <w:p>
      <w:pPr>
        <w:spacing w:before="0"/>
        <w:ind w:left="141" w:right="0" w:firstLine="0"/>
        <w:jc w:val="left"/>
        <w:rPr>
          <w:sz w:val="19"/>
        </w:rPr>
      </w:pPr>
      <w:r>
        <w:rPr>
          <w:color w:val="010101"/>
          <w:sz w:val="19"/>
        </w:rPr>
        <w:t>( 12.Za)</w:t>
      </w:r>
    </w:p>
    <w:p>
      <w:pPr>
        <w:pStyle w:val="BodyText"/>
        <w:rPr>
          <w:sz w:val="18"/>
        </w:rPr>
      </w:pPr>
    </w:p>
    <w:p>
      <w:pPr>
        <w:pStyle w:val="BodyText"/>
        <w:spacing w:before="3"/>
        <w:rPr>
          <w:sz w:val="14"/>
        </w:rPr>
      </w:pPr>
    </w:p>
    <w:p>
      <w:pPr>
        <w:spacing w:before="0"/>
        <w:ind w:left="127" w:right="0" w:firstLine="0"/>
        <w:jc w:val="left"/>
        <w:rPr>
          <w:sz w:val="19"/>
        </w:rPr>
      </w:pPr>
      <w:r>
        <w:rPr>
          <w:color w:val="010101"/>
          <w:sz w:val="19"/>
        </w:rPr>
        <w:t>( 12.2b)</w:t>
      </w:r>
    </w:p>
    <w:p>
      <w:pPr>
        <w:spacing w:after="0"/>
        <w:jc w:val="left"/>
        <w:rPr>
          <w:sz w:val="19"/>
        </w:rPr>
        <w:sectPr>
          <w:type w:val="continuous"/>
          <w:pgSz w:w="7200" w:h="11340"/>
          <w:pgMar w:top="1100" w:bottom="0" w:left="680" w:right="540"/>
          <w:cols w:num="2" w:equalWidth="0">
            <w:col w:w="4549" w:space="548"/>
            <w:col w:w="883"/>
          </w:cols>
        </w:sectPr>
      </w:pPr>
    </w:p>
    <w:p>
      <w:pPr>
        <w:spacing w:line="244" w:lineRule="auto" w:before="153"/>
        <w:ind w:left="127" w:right="127" w:firstLine="3"/>
        <w:jc w:val="both"/>
        <w:rPr>
          <w:sz w:val="19"/>
        </w:rPr>
      </w:pPr>
      <w:r>
        <w:rPr>
          <w:color w:val="010101"/>
          <w:w w:val="105"/>
          <w:sz w:val="19"/>
        </w:rPr>
        <w:t>Other equivalent expressions can be formulated by basing the inte­ grals on the moment of death of </w:t>
      </w:r>
      <w:r>
        <w:rPr>
          <w:rFonts w:ascii="Arial" w:hAnsi="Arial"/>
          <w:i/>
          <w:color w:val="010101"/>
          <w:w w:val="105"/>
          <w:sz w:val="19"/>
        </w:rPr>
        <w:t>(w) </w:t>
      </w:r>
      <w:r>
        <w:rPr>
          <w:color w:val="010101"/>
          <w:w w:val="105"/>
          <w:sz w:val="19"/>
        </w:rPr>
        <w:t>or of </w:t>
      </w:r>
      <w:r>
        <w:rPr>
          <w:rFonts w:ascii="Arial" w:hAnsi="Arial"/>
          <w:i/>
          <w:color w:val="010101"/>
          <w:w w:val="105"/>
          <w:sz w:val="18"/>
        </w:rPr>
        <w:t>(z). </w:t>
      </w:r>
      <w:r>
        <w:rPr>
          <w:color w:val="010101"/>
          <w:w w:val="105"/>
          <w:sz w:val="21"/>
        </w:rPr>
        <w:t>It </w:t>
      </w:r>
      <w:r>
        <w:rPr>
          <w:color w:val="010101"/>
          <w:w w:val="105"/>
          <w:sz w:val="19"/>
        </w:rPr>
        <w:t>will be found, however, that the formulas are simpler when the variable of intc­ gration </w:t>
      </w:r>
      <w:r>
        <w:rPr>
          <w:i/>
          <w:color w:val="010101"/>
          <w:w w:val="105"/>
          <w:sz w:val="22"/>
        </w:rPr>
        <w:t>t </w:t>
      </w:r>
      <w:r>
        <w:rPr>
          <w:color w:val="010101"/>
          <w:w w:val="105"/>
          <w:sz w:val="19"/>
        </w:rPr>
        <w:t>refers to the moment of death of one of  the  intermediutc Iives, as </w:t>
      </w:r>
      <w:r>
        <w:rPr>
          <w:rFonts w:ascii="Arial" w:hAnsi="Arial"/>
          <w:i/>
          <w:color w:val="010101"/>
          <w:w w:val="105"/>
          <w:sz w:val="19"/>
        </w:rPr>
        <w:t>(x) </w:t>
      </w:r>
      <w:r>
        <w:rPr>
          <w:color w:val="010101"/>
          <w:w w:val="105"/>
          <w:sz w:val="19"/>
        </w:rPr>
        <w:t>in  (12.2a)  or  </w:t>
      </w:r>
      <w:r>
        <w:rPr>
          <w:rFonts w:ascii="Arial" w:hAnsi="Arial"/>
          <w:i/>
          <w:color w:val="010101"/>
          <w:spacing w:val="7"/>
          <w:w w:val="105"/>
          <w:sz w:val="19"/>
        </w:rPr>
        <w:t>(y) </w:t>
      </w:r>
      <w:r>
        <w:rPr>
          <w:color w:val="010101"/>
          <w:w w:val="105"/>
          <w:sz w:val="19"/>
        </w:rPr>
        <w:t>in</w:t>
      </w:r>
      <w:r>
        <w:rPr>
          <w:color w:val="010101"/>
          <w:spacing w:val="45"/>
          <w:w w:val="105"/>
          <w:sz w:val="19"/>
        </w:rPr>
        <w:t> </w:t>
      </w:r>
      <w:r>
        <w:rPr>
          <w:color w:val="010101"/>
          <w:w w:val="105"/>
          <w:sz w:val="19"/>
        </w:rPr>
        <w:t>(12.2b).</w:t>
      </w:r>
    </w:p>
    <w:p>
      <w:pPr>
        <w:pStyle w:val="BodyText"/>
        <w:spacing w:before="6"/>
        <w:rPr>
          <w:sz w:val="14"/>
        </w:rPr>
      </w:pPr>
    </w:p>
    <w:p>
      <w:pPr>
        <w:pStyle w:val="ListParagraph"/>
        <w:numPr>
          <w:ilvl w:val="0"/>
          <w:numId w:val="116"/>
        </w:numPr>
        <w:tabs>
          <w:tab w:pos="354" w:val="left" w:leader="none"/>
        </w:tabs>
        <w:spacing w:line="240" w:lineRule="auto" w:before="0" w:after="0"/>
        <w:ind w:left="353" w:right="0" w:hanging="233"/>
        <w:jc w:val="both"/>
        <w:rPr>
          <w:b/>
          <w:color w:val="010101"/>
          <w:sz w:val="20"/>
        </w:rPr>
      </w:pPr>
      <w:r>
        <w:rPr>
          <w:b/>
          <w:color w:val="010101"/>
          <w:w w:val="120"/>
          <w:sz w:val="19"/>
        </w:rPr>
        <w:t>Insurances</w:t>
      </w:r>
    </w:p>
    <w:p>
      <w:pPr>
        <w:spacing w:line="261" w:lineRule="auto" w:before="89"/>
        <w:ind w:left="116" w:right="125" w:firstLine="201"/>
        <w:jc w:val="both"/>
        <w:rPr>
          <w:sz w:val="19"/>
        </w:rPr>
      </w:pPr>
      <w:r>
        <w:rPr>
          <w:rFonts w:ascii="Arial" w:hAnsi="Arial"/>
          <w:color w:val="010101"/>
          <w:w w:val="110"/>
          <w:sz w:val="20"/>
        </w:rPr>
        <w:t>A </w:t>
      </w:r>
      <w:r>
        <w:rPr>
          <w:color w:val="010101"/>
          <w:w w:val="110"/>
          <w:sz w:val="19"/>
        </w:rPr>
        <w:t>single order of deaths  among a ·group of  lives may  give rise to severa! different insurance functions. If there are three lives which are to die in the order (x), (y), (z), tbere are three insurance functions corresponding to payment of  the benefit  upon  the death </w:t>
      </w:r>
      <w:r>
        <w:rPr>
          <w:rFonts w:ascii="Arial" w:hAnsi="Arial"/>
          <w:color w:val="010101"/>
          <w:w w:val="110"/>
          <w:sz w:val="19"/>
        </w:rPr>
        <w:t>of </w:t>
      </w:r>
      <w:r>
        <w:rPr>
          <w:color w:val="010101"/>
          <w:w w:val="110"/>
          <w:sz w:val="19"/>
        </w:rPr>
        <w:t>(x), of (y), or of </w:t>
      </w:r>
      <w:r>
        <w:rPr>
          <w:rFonts w:ascii="Arial" w:hAnsi="Arial"/>
          <w:i/>
          <w:color w:val="010101"/>
          <w:w w:val="110"/>
          <w:sz w:val="19"/>
        </w:rPr>
        <w:t>(z). </w:t>
      </w:r>
      <w:r>
        <w:rPr>
          <w:color w:val="010101"/>
          <w:w w:val="110"/>
          <w:sz w:val="19"/>
        </w:rPr>
        <w:t>Actually, the first  ease presents  nothing</w:t>
      </w:r>
      <w:r>
        <w:rPr>
          <w:color w:val="010101"/>
          <w:spacing w:val="52"/>
          <w:w w:val="110"/>
          <w:sz w:val="19"/>
        </w:rPr>
        <w:t> </w:t>
      </w:r>
      <w:r>
        <w:rPr>
          <w:color w:val="010101"/>
          <w:w w:val="110"/>
          <w:sz w:val="19"/>
        </w:rPr>
        <w:t>new since </w:t>
      </w:r>
      <w:r>
        <w:rPr>
          <w:color w:val="010101"/>
          <w:w w:val="110"/>
          <w:sz w:val="20"/>
        </w:rPr>
        <w:t>if </w:t>
      </w:r>
      <w:r>
        <w:rPr>
          <w:color w:val="010101"/>
          <w:w w:val="110"/>
          <w:sz w:val="19"/>
        </w:rPr>
        <w:t>the insurance is payable upon </w:t>
      </w:r>
      <w:r>
        <w:rPr>
          <w:rFonts w:ascii="Arial" w:hAnsi="Arial"/>
          <w:i/>
          <w:color w:val="010101"/>
          <w:w w:val="110"/>
          <w:sz w:val="19"/>
        </w:rPr>
        <w:t>(x)'s </w:t>
      </w:r>
      <w:r>
        <w:rPr>
          <w:color w:val="010101"/>
          <w:w w:val="110"/>
          <w:sz w:val="19"/>
        </w:rPr>
        <w:t>dying </w:t>
      </w:r>
      <w:r>
        <w:rPr>
          <w:color w:val="010101"/>
          <w:w w:val="110"/>
          <w:sz w:val="20"/>
        </w:rPr>
        <w:t>first, </w:t>
      </w:r>
      <w:r>
        <w:rPr>
          <w:color w:val="010101"/>
          <w:w w:val="110"/>
          <w:sz w:val="19"/>
        </w:rPr>
        <w:t>the order of the subsequent deaths is  immaterial.  There  remain  the two cases where the insurance is payable (1) upan the death af </w:t>
      </w:r>
      <w:r>
        <w:rPr>
          <w:rFonts w:ascii="Arial" w:hAnsi="Arial"/>
          <w:i/>
          <w:color w:val="010101"/>
          <w:w w:val="110"/>
          <w:sz w:val="18"/>
        </w:rPr>
        <w:t>( y ) </w:t>
      </w:r>
      <w:r>
        <w:rPr>
          <w:color w:val="010101"/>
          <w:w w:val="110"/>
          <w:sz w:val="19"/>
        </w:rPr>
        <w:t>predeceased  by  </w:t>
      </w:r>
      <w:r>
        <w:rPr>
          <w:rFonts w:ascii="Arial" w:hAnsi="Arial"/>
          <w:i/>
          <w:color w:val="010101"/>
          <w:w w:val="110"/>
          <w:sz w:val="19"/>
        </w:rPr>
        <w:t>(x) </w:t>
      </w:r>
      <w:r>
        <w:rPr>
          <w:color w:val="010101"/>
          <w:w w:val="110"/>
          <w:sz w:val="19"/>
        </w:rPr>
        <w:t>and survived by  (z), and (2) upon the death </w:t>
      </w:r>
      <w:r>
        <w:rPr>
          <w:color w:val="010101"/>
          <w:spacing w:val="29"/>
          <w:w w:val="110"/>
          <w:sz w:val="19"/>
        </w:rPr>
        <w:t> </w:t>
      </w:r>
      <w:r>
        <w:rPr>
          <w:color w:val="010101"/>
          <w:w w:val="110"/>
          <w:sz w:val="19"/>
        </w:rPr>
        <w:t>af</w:t>
      </w:r>
    </w:p>
    <w:p>
      <w:pPr>
        <w:pStyle w:val="ListParagraph"/>
        <w:numPr>
          <w:ilvl w:val="1"/>
          <w:numId w:val="105"/>
        </w:numPr>
        <w:tabs>
          <w:tab w:pos="422" w:val="left" w:leader="none"/>
        </w:tabs>
        <w:spacing w:line="240" w:lineRule="auto" w:before="2" w:after="0"/>
        <w:ind w:left="421" w:right="0" w:hanging="287"/>
        <w:jc w:val="both"/>
        <w:rPr>
          <w:color w:val="010101"/>
          <w:sz w:val="19"/>
        </w:rPr>
      </w:pPr>
      <w:r>
        <w:rPr>
          <w:color w:val="010101"/>
          <w:w w:val="105"/>
          <w:sz w:val="19"/>
        </w:rPr>
        <w:t>predeceased  by  (x)  and  </w:t>
      </w:r>
      <w:r>
        <w:rPr>
          <w:rFonts w:ascii="Arial"/>
          <w:i/>
          <w:color w:val="010101"/>
          <w:spacing w:val="5"/>
          <w:w w:val="105"/>
          <w:sz w:val="19"/>
        </w:rPr>
        <w:t>(y </w:t>
      </w:r>
      <w:r>
        <w:rPr>
          <w:rFonts w:ascii="Arial"/>
          <w:i/>
          <w:color w:val="010101"/>
          <w:w w:val="105"/>
          <w:sz w:val="19"/>
        </w:rPr>
        <w:t>)  </w:t>
      </w:r>
      <w:r>
        <w:rPr>
          <w:color w:val="010101"/>
          <w:w w:val="105"/>
          <w:sz w:val="19"/>
        </w:rPr>
        <w:t>in that</w:t>
      </w:r>
      <w:r>
        <w:rPr>
          <w:color w:val="010101"/>
          <w:spacing w:val="1"/>
          <w:w w:val="105"/>
          <w:sz w:val="19"/>
        </w:rPr>
        <w:t> </w:t>
      </w:r>
      <w:r>
        <w:rPr>
          <w:color w:val="010101"/>
          <w:w w:val="105"/>
          <w:sz w:val="19"/>
        </w:rPr>
        <w:t>arder.</w:t>
      </w:r>
    </w:p>
    <w:p>
      <w:pPr>
        <w:spacing w:before="21"/>
        <w:ind w:left="324" w:right="133" w:firstLine="0"/>
        <w:jc w:val="left"/>
        <w:rPr>
          <w:rFonts w:ascii="Arial"/>
          <w:i/>
          <w:sz w:val="19"/>
        </w:rPr>
      </w:pPr>
      <w:r>
        <w:rPr>
          <w:color w:val="010101"/>
          <w:w w:val="105"/>
          <w:sz w:val="19"/>
        </w:rPr>
        <w:t>For  case (1), where  the payment  is made  upon  the  death  of  </w:t>
      </w:r>
      <w:r>
        <w:rPr>
          <w:rFonts w:ascii="Arial"/>
          <w:i/>
          <w:color w:val="010101"/>
          <w:w w:val="105"/>
          <w:sz w:val="19"/>
        </w:rPr>
        <w:t>(y ),</w:t>
      </w:r>
    </w:p>
    <w:p>
      <w:pPr>
        <w:spacing w:before="13"/>
        <w:ind w:left="127" w:right="0" w:firstLine="0"/>
        <w:jc w:val="both"/>
        <w:rPr>
          <w:sz w:val="19"/>
        </w:rPr>
      </w:pPr>
      <w:r>
        <w:rPr>
          <w:color w:val="010101"/>
          <w:w w:val="110"/>
          <w:sz w:val="19"/>
        </w:rPr>
        <w:t>the net single premium for an insurance af  </w:t>
      </w:r>
      <w:r>
        <w:rPr>
          <w:color w:val="010101"/>
          <w:w w:val="110"/>
          <w:sz w:val="20"/>
        </w:rPr>
        <w:t>1 </w:t>
      </w:r>
      <w:r>
        <w:rPr>
          <w:color w:val="010101"/>
          <w:w w:val="110"/>
          <w:sz w:val="19"/>
        </w:rPr>
        <w:t>is given by</w:t>
      </w:r>
    </w:p>
    <w:p>
      <w:pPr>
        <w:spacing w:before="134"/>
        <w:ind w:left="1566" w:right="133" w:firstLine="0"/>
        <w:jc w:val="left"/>
        <w:rPr>
          <w:sz w:val="19"/>
        </w:rPr>
      </w:pPr>
      <w:r>
        <w:rPr>
          <w:position w:val="-5"/>
        </w:rPr>
        <w:drawing>
          <wp:inline distT="0" distB="0" distL="0" distR="0">
            <wp:extent cx="1819656" cy="905256"/>
            <wp:effectExtent l="0" t="0" r="0" b="0"/>
            <wp:docPr id="587" name="image299.png" descr=""/>
            <wp:cNvGraphicFramePr>
              <a:graphicFrameLocks noChangeAspect="1"/>
            </wp:cNvGraphicFramePr>
            <a:graphic>
              <a:graphicData uri="http://schemas.openxmlformats.org/drawingml/2006/picture">
                <pic:pic>
                  <pic:nvPicPr>
                    <pic:cNvPr id="588" name="image299.png"/>
                    <pic:cNvPicPr/>
                  </pic:nvPicPr>
                  <pic:blipFill>
                    <a:blip r:embed="rId303" cstate="print"/>
                    <a:stretch>
                      <a:fillRect/>
                    </a:stretch>
                  </pic:blipFill>
                  <pic:spPr>
                    <a:xfrm>
                      <a:off x="0" y="0"/>
                      <a:ext cx="1819656" cy="905256"/>
                    </a:xfrm>
                    <a:prstGeom prst="rect">
                      <a:avLst/>
                    </a:prstGeom>
                  </pic:spPr>
                </pic:pic>
              </a:graphicData>
            </a:graphic>
          </wp:inline>
        </w:drawing>
      </w:r>
      <w:r>
        <w:rPr>
          <w:position w:val="-5"/>
        </w:rPr>
      </w:r>
      <w:r>
        <w:rPr>
          <w:sz w:val="20"/>
        </w:rPr>
        <w:t>                 </w:t>
      </w:r>
      <w:r>
        <w:rPr>
          <w:color w:val="010101"/>
          <w:spacing w:val="-3"/>
          <w:w w:val="115"/>
          <w:sz w:val="19"/>
        </w:rPr>
        <w:t>(12.3)</w:t>
      </w:r>
    </w:p>
    <w:p>
      <w:pPr>
        <w:spacing w:before="149"/>
        <w:ind w:left="113" w:right="0" w:firstLine="0"/>
        <w:jc w:val="both"/>
        <w:rPr>
          <w:sz w:val="21"/>
        </w:rPr>
      </w:pPr>
      <w:r>
        <w:rPr>
          <w:color w:val="010101"/>
          <w:w w:val="105"/>
          <w:sz w:val="21"/>
        </w:rPr>
        <w:t>For  case  (2), where the </w:t>
      </w:r>
      <w:r>
        <w:rPr>
          <w:color w:val="010101"/>
          <w:w w:val="105"/>
          <w:sz w:val="19"/>
        </w:rPr>
        <w:t>payment  is </w:t>
      </w:r>
      <w:r>
        <w:rPr>
          <w:color w:val="010101"/>
          <w:w w:val="105"/>
          <w:sz w:val="21"/>
        </w:rPr>
        <w:t>made  </w:t>
      </w:r>
      <w:r>
        <w:rPr>
          <w:color w:val="010101"/>
          <w:w w:val="105"/>
          <w:sz w:val="19"/>
        </w:rPr>
        <w:t>upon  t.he  </w:t>
      </w:r>
      <w:r>
        <w:rPr>
          <w:color w:val="010101"/>
          <w:w w:val="105"/>
          <w:sz w:val="21"/>
        </w:rPr>
        <w:t>death  of (z),</w:t>
      </w:r>
    </w:p>
    <w:p>
      <w:pPr>
        <w:spacing w:before="21"/>
        <w:ind w:left="102" w:right="0" w:firstLine="0"/>
        <w:jc w:val="both"/>
        <w:rPr>
          <w:rFonts w:ascii="Arial"/>
          <w:b/>
          <w:sz w:val="19"/>
        </w:rPr>
      </w:pPr>
      <w:r>
        <w:rPr>
          <w:rFonts w:ascii="Arial"/>
          <w:b/>
          <w:color w:val="010101"/>
          <w:sz w:val="19"/>
        </w:rPr>
        <w:t>we have</w:t>
      </w:r>
    </w:p>
    <w:p>
      <w:pPr>
        <w:spacing w:before="147"/>
        <w:ind w:left="1566" w:right="133" w:firstLine="0"/>
        <w:jc w:val="left"/>
        <w:rPr>
          <w:sz w:val="19"/>
        </w:rPr>
      </w:pPr>
      <w:r>
        <w:rPr>
          <w:position w:val="-17"/>
        </w:rPr>
        <w:drawing>
          <wp:inline distT="0" distB="0" distL="0" distR="0">
            <wp:extent cx="1783080" cy="292608"/>
            <wp:effectExtent l="0" t="0" r="0" b="0"/>
            <wp:docPr id="589" name="image300.png" descr=""/>
            <wp:cNvGraphicFramePr>
              <a:graphicFrameLocks noChangeAspect="1"/>
            </wp:cNvGraphicFramePr>
            <a:graphic>
              <a:graphicData uri="http://schemas.openxmlformats.org/drawingml/2006/picture">
                <pic:pic>
                  <pic:nvPicPr>
                    <pic:cNvPr id="590" name="image300.png"/>
                    <pic:cNvPicPr/>
                  </pic:nvPicPr>
                  <pic:blipFill>
                    <a:blip r:embed="rId304" cstate="print"/>
                    <a:stretch>
                      <a:fillRect/>
                    </a:stretch>
                  </pic:blipFill>
                  <pic:spPr>
                    <a:xfrm>
                      <a:off x="0" y="0"/>
                      <a:ext cx="1783080" cy="292608"/>
                    </a:xfrm>
                    <a:prstGeom prst="rect">
                      <a:avLst/>
                    </a:prstGeom>
                  </pic:spPr>
                </pic:pic>
              </a:graphicData>
            </a:graphic>
          </wp:inline>
        </w:drawing>
      </w:r>
      <w:r>
        <w:rPr>
          <w:position w:val="-17"/>
        </w:rPr>
      </w:r>
      <w:r>
        <w:rPr>
          <w:sz w:val="20"/>
        </w:rPr>
        <w:t>                  </w:t>
      </w:r>
      <w:r>
        <w:rPr>
          <w:color w:val="010101"/>
          <w:w w:val="120"/>
          <w:sz w:val="19"/>
        </w:rPr>
        <w:t>(</w:t>
      </w:r>
      <w:r>
        <w:rPr>
          <w:color w:val="010101"/>
          <w:spacing w:val="7"/>
          <w:w w:val="120"/>
          <w:sz w:val="19"/>
        </w:rPr>
        <w:t> </w:t>
      </w:r>
      <w:r>
        <w:rPr>
          <w:color w:val="010101"/>
          <w:spacing w:val="-24"/>
          <w:w w:val="120"/>
          <w:sz w:val="19"/>
        </w:rPr>
        <w:t>12.4)</w:t>
      </w:r>
    </w:p>
    <w:p>
      <w:pPr>
        <w:spacing w:line="261" w:lineRule="auto" w:before="146"/>
        <w:ind w:left="109" w:right="153" w:firstLine="193"/>
        <w:jc w:val="both"/>
        <w:rPr>
          <w:b/>
          <w:sz w:val="19"/>
        </w:rPr>
      </w:pPr>
      <w:r>
        <w:rPr>
          <w:color w:val="010101"/>
          <w:w w:val="110"/>
          <w:sz w:val="19"/>
        </w:rPr>
        <w:t>Analogous functions may </w:t>
      </w:r>
      <w:r>
        <w:rPr>
          <w:color w:val="010101"/>
          <w:w w:val="110"/>
          <w:sz w:val="20"/>
        </w:rPr>
        <w:t>be </w:t>
      </w:r>
      <w:r>
        <w:rPr>
          <w:color w:val="010101"/>
          <w:w w:val="110"/>
          <w:sz w:val="19"/>
        </w:rPr>
        <w:t>written for four lives. The student should describe the insurance represented by each of the </w:t>
      </w:r>
      <w:r>
        <w:rPr>
          <w:b/>
          <w:color w:val="010101"/>
          <w:w w:val="110"/>
          <w:sz w:val="19"/>
        </w:rPr>
        <w:t>following:</w:t>
      </w:r>
    </w:p>
    <w:p>
      <w:pPr>
        <w:spacing w:after="0" w:line="261" w:lineRule="auto"/>
        <w:jc w:val="both"/>
        <w:rPr>
          <w:sz w:val="19"/>
        </w:rPr>
        <w:sectPr>
          <w:type w:val="continuous"/>
          <w:pgSz w:w="7200" w:h="11340"/>
          <w:pgMar w:top="1100" w:bottom="0" w:left="680" w:right="540"/>
        </w:sectPr>
      </w:pPr>
    </w:p>
    <w:p>
      <w:pPr>
        <w:tabs>
          <w:tab w:pos="5846" w:val="right" w:leader="none"/>
        </w:tabs>
        <w:spacing w:before="52"/>
        <w:ind w:left="111" w:right="0" w:firstLine="0"/>
        <w:jc w:val="left"/>
        <w:rPr>
          <w:rFonts w:ascii="Arial"/>
          <w:sz w:val="18"/>
        </w:rPr>
      </w:pPr>
      <w:r>
        <w:rPr>
          <w:color w:val="010101"/>
          <w:w w:val="110"/>
          <w:sz w:val="15"/>
        </w:rPr>
        <w:t>SEC.  </w:t>
      </w:r>
      <w:r>
        <w:rPr>
          <w:rFonts w:ascii="Arial"/>
          <w:color w:val="010101"/>
          <w:w w:val="110"/>
          <w:sz w:val="18"/>
        </w:rPr>
        <w:t>4]   </w:t>
      </w:r>
      <w:r>
        <w:rPr>
          <w:color w:val="010101"/>
          <w:w w:val="110"/>
          <w:sz w:val="15"/>
        </w:rPr>
        <w:t>COMPOUND  CONTINGENCIES </w:t>
      </w:r>
      <w:r>
        <w:rPr>
          <w:color w:val="010101"/>
          <w:spacing w:val="39"/>
          <w:w w:val="110"/>
          <w:sz w:val="15"/>
        </w:rPr>
        <w:t> </w:t>
      </w:r>
      <w:r>
        <w:rPr>
          <w:color w:val="010101"/>
          <w:w w:val="110"/>
          <w:sz w:val="15"/>
        </w:rPr>
        <w:t>WITH </w:t>
      </w:r>
      <w:r>
        <w:rPr>
          <w:color w:val="010101"/>
          <w:spacing w:val="14"/>
          <w:w w:val="110"/>
          <w:sz w:val="15"/>
        </w:rPr>
        <w:t> </w:t>
      </w:r>
      <w:r>
        <w:rPr>
          <w:color w:val="010101"/>
          <w:w w:val="110"/>
          <w:sz w:val="15"/>
        </w:rPr>
        <w:t>TERMS-CERTAIN</w:t>
      </w:r>
      <w:r>
        <w:rPr>
          <w:rFonts w:ascii="Arial"/>
          <w:color w:val="010101"/>
          <w:w w:val="110"/>
          <w:sz w:val="18"/>
        </w:rPr>
        <w:tab/>
        <w:t>249</w:t>
      </w:r>
    </w:p>
    <w:p>
      <w:pPr>
        <w:spacing w:line="89" w:lineRule="exact" w:before="250"/>
        <w:ind w:left="421" w:right="1654" w:firstLine="0"/>
        <w:jc w:val="center"/>
        <w:rPr>
          <w:rFonts w:ascii="Arial"/>
          <w:i/>
          <w:sz w:val="8"/>
        </w:rPr>
      </w:pPr>
      <w:r>
        <w:rPr/>
        <w:pict>
          <v:shape style="position:absolute;margin-left:141.415802pt;margin-top:12.487517pt;width:8.2pt;height:25.5pt;mso-position-horizontal-relative:page;mso-position-vertical-relative:paragraph;z-index:-716224" type="#_x0000_t202" filled="false" stroked="false">
            <v:textbox inset="0,0,0,0">
              <w:txbxContent>
                <w:p>
                  <w:pPr>
                    <w:spacing w:line="510" w:lineRule="exact" w:before="0"/>
                    <w:ind w:left="0" w:right="0" w:firstLine="0"/>
                    <w:jc w:val="left"/>
                    <w:rPr>
                      <w:rFonts w:ascii="Arial"/>
                      <w:i/>
                      <w:sz w:val="51"/>
                    </w:rPr>
                  </w:pPr>
                  <w:r>
                    <w:rPr>
                      <w:rFonts w:ascii="Arial"/>
                      <w:i/>
                      <w:color w:val="010101"/>
                      <w:spacing w:val="-55"/>
                      <w:w w:val="76"/>
                      <w:sz w:val="51"/>
                    </w:rPr>
                    <w:t>1</w:t>
                  </w:r>
                </w:p>
              </w:txbxContent>
            </v:textbox>
            <w10:wrap type="none"/>
          </v:shape>
        </w:pict>
      </w:r>
      <w:r>
        <w:rPr>
          <w:rFonts w:ascii="Arial"/>
          <w:i/>
          <w:color w:val="010101"/>
          <w:w w:val="105"/>
          <w:sz w:val="8"/>
        </w:rPr>
        <w:t>00</w:t>
      </w:r>
    </w:p>
    <w:p>
      <w:pPr>
        <w:tabs>
          <w:tab w:pos="2552" w:val="left" w:leader="none"/>
        </w:tabs>
        <w:spacing w:line="52" w:lineRule="exact" w:before="0"/>
        <w:ind w:left="1468" w:right="0" w:firstLine="0"/>
        <w:jc w:val="left"/>
        <w:rPr>
          <w:i/>
          <w:sz w:val="13"/>
        </w:rPr>
      </w:pPr>
      <w:r>
        <w:rPr>
          <w:rFonts w:ascii="Arial"/>
          <w:color w:val="010101"/>
          <w:w w:val="210"/>
          <w:sz w:val="12"/>
        </w:rPr>
        <w:t>-</w:t>
      </w:r>
      <w:r>
        <w:rPr>
          <w:rFonts w:ascii="Arial"/>
          <w:color w:val="010101"/>
          <w:spacing w:val="9"/>
          <w:w w:val="210"/>
          <w:sz w:val="12"/>
        </w:rPr>
        <w:t> </w:t>
      </w:r>
      <w:r>
        <w:rPr>
          <w:rFonts w:ascii="Arial"/>
          <w:color w:val="010101"/>
          <w:w w:val="115"/>
          <w:sz w:val="12"/>
        </w:rPr>
        <w:t>2</w:t>
        <w:tab/>
      </w:r>
      <w:r>
        <w:rPr>
          <w:i/>
          <w:color w:val="010101"/>
          <w:w w:val="115"/>
          <w:sz w:val="13"/>
        </w:rPr>
        <w:t>t</w:t>
      </w:r>
    </w:p>
    <w:p>
      <w:pPr>
        <w:spacing w:after="0" w:line="52" w:lineRule="exact"/>
        <w:jc w:val="left"/>
        <w:rPr>
          <w:sz w:val="13"/>
        </w:rPr>
        <w:sectPr>
          <w:pgSz w:w="7200" w:h="11340"/>
          <w:pgMar w:top="520" w:bottom="280" w:left="660" w:right="580"/>
        </w:sectPr>
      </w:pPr>
    </w:p>
    <w:p>
      <w:pPr>
        <w:tabs>
          <w:tab w:pos="2462" w:val="left" w:leader="none"/>
        </w:tabs>
        <w:spacing w:line="201" w:lineRule="exact" w:before="0"/>
        <w:ind w:left="1410" w:right="0" w:firstLine="0"/>
        <w:jc w:val="left"/>
        <w:rPr>
          <w:i/>
          <w:sz w:val="21"/>
        </w:rPr>
      </w:pPr>
      <w:r>
        <w:rPr>
          <w:i/>
          <w:color w:val="010101"/>
          <w:sz w:val="14"/>
        </w:rPr>
        <w:t>AwQz   </w:t>
      </w:r>
      <w:r>
        <w:rPr>
          <w:i/>
          <w:color w:val="010101"/>
          <w:spacing w:val="10"/>
          <w:sz w:val="14"/>
        </w:rPr>
        <w:t> </w:t>
      </w:r>
      <w:r>
        <w:rPr>
          <w:color w:val="010101"/>
          <w:sz w:val="23"/>
        </w:rPr>
        <w:t>=</w:t>
        <w:tab/>
      </w:r>
      <w:r>
        <w:rPr>
          <w:i/>
          <w:color w:val="010101"/>
          <w:w w:val="90"/>
          <w:sz w:val="14"/>
        </w:rPr>
        <w:t>V </w:t>
      </w:r>
      <w:r>
        <w:rPr>
          <w:i/>
          <w:color w:val="010101"/>
          <w:spacing w:val="-6"/>
          <w:w w:val="90"/>
          <w:sz w:val="20"/>
        </w:rPr>
        <w:t>,qv,</w:t>
      </w:r>
      <w:r>
        <w:rPr>
          <w:i/>
          <w:color w:val="010101"/>
          <w:spacing w:val="-28"/>
          <w:w w:val="90"/>
          <w:sz w:val="20"/>
        </w:rPr>
        <w:t> </w:t>
      </w:r>
      <w:r>
        <w:rPr>
          <w:color w:val="010101"/>
          <w:w w:val="90"/>
          <w:sz w:val="20"/>
        </w:rPr>
        <w:t>·</w:t>
      </w:r>
      <w:r>
        <w:rPr>
          <w:i/>
          <w:color w:val="010101"/>
          <w:w w:val="90"/>
          <w:sz w:val="14"/>
        </w:rPr>
        <w:t>tP%11z#.&amp;z+t </w:t>
      </w:r>
      <w:r>
        <w:rPr>
          <w:i/>
          <w:color w:val="010101"/>
          <w:w w:val="90"/>
          <w:sz w:val="21"/>
        </w:rPr>
        <w:t>dt</w:t>
      </w:r>
    </w:p>
    <w:p>
      <w:pPr>
        <w:tabs>
          <w:tab w:pos="674" w:val="left" w:leader="none"/>
        </w:tabs>
        <w:spacing w:line="146" w:lineRule="exact" w:before="0"/>
        <w:ind w:left="0" w:right="714" w:firstLine="0"/>
        <w:jc w:val="center"/>
        <w:rPr>
          <w:rFonts w:ascii="Arial"/>
          <w:sz w:val="15"/>
        </w:rPr>
      </w:pPr>
      <w:r>
        <w:rPr>
          <w:rFonts w:ascii="Courier New"/>
          <w:color w:val="010101"/>
          <w:w w:val="95"/>
          <w:sz w:val="13"/>
        </w:rPr>
        <w:t>l</w:t>
        <w:tab/>
      </w:r>
      <w:r>
        <w:rPr>
          <w:rFonts w:ascii="Arial"/>
          <w:color w:val="010101"/>
          <w:w w:val="95"/>
          <w:sz w:val="15"/>
        </w:rPr>
        <w:t>o</w:t>
      </w:r>
    </w:p>
    <w:p>
      <w:pPr>
        <w:pStyle w:val="BodyText"/>
        <w:spacing w:before="6"/>
        <w:rPr>
          <w:rFonts w:ascii="Arial"/>
          <w:sz w:val="9"/>
        </w:rPr>
      </w:pPr>
    </w:p>
    <w:p>
      <w:pPr>
        <w:pStyle w:val="BodyText"/>
        <w:ind w:left="1399" w:right="-40"/>
        <w:rPr>
          <w:rFonts w:ascii="Arial"/>
        </w:rPr>
      </w:pPr>
      <w:r>
        <w:rPr>
          <w:rFonts w:ascii="Arial"/>
        </w:rPr>
        <w:drawing>
          <wp:inline distT="0" distB="0" distL="0" distR="0">
            <wp:extent cx="2029968" cy="676655"/>
            <wp:effectExtent l="0" t="0" r="0" b="0"/>
            <wp:docPr id="591" name="image301.png" descr=""/>
            <wp:cNvGraphicFramePr>
              <a:graphicFrameLocks noChangeAspect="1"/>
            </wp:cNvGraphicFramePr>
            <a:graphic>
              <a:graphicData uri="http://schemas.openxmlformats.org/drawingml/2006/picture">
                <pic:pic>
                  <pic:nvPicPr>
                    <pic:cNvPr id="592" name="image301.png"/>
                    <pic:cNvPicPr/>
                  </pic:nvPicPr>
                  <pic:blipFill>
                    <a:blip r:embed="rId305" cstate="print"/>
                    <a:stretch>
                      <a:fillRect/>
                    </a:stretch>
                  </pic:blipFill>
                  <pic:spPr>
                    <a:xfrm>
                      <a:off x="0" y="0"/>
                      <a:ext cx="2029968" cy="676655"/>
                    </a:xfrm>
                    <a:prstGeom prst="rect">
                      <a:avLst/>
                    </a:prstGeom>
                  </pic:spPr>
                </pic:pic>
              </a:graphicData>
            </a:graphic>
          </wp:inline>
        </w:drawing>
      </w:r>
      <w:r>
        <w:rPr>
          <w:rFonts w:ascii="Arial"/>
        </w:rPr>
      </w:r>
    </w:p>
    <w:p>
      <w:pPr>
        <w:spacing w:line="88" w:lineRule="exact" w:before="138"/>
        <w:ind w:left="1018" w:right="714" w:firstLine="0"/>
        <w:jc w:val="center"/>
        <w:rPr>
          <w:rFonts w:ascii="Arial"/>
          <w:i/>
          <w:sz w:val="8"/>
        </w:rPr>
      </w:pPr>
      <w:r>
        <w:rPr/>
        <w:pict>
          <v:shape style="position:absolute;margin-left:145.543396pt;margin-top:6.482256pt;width:8.4pt;height:26pt;mso-position-horizontal-relative:page;mso-position-vertical-relative:paragraph;z-index:-716200" type="#_x0000_t202" filled="false" stroked="false">
            <v:textbox inset="0,0,0,0">
              <w:txbxContent>
                <w:p>
                  <w:pPr>
                    <w:spacing w:line="520" w:lineRule="exact" w:before="0"/>
                    <w:ind w:left="0" w:right="0" w:firstLine="0"/>
                    <w:jc w:val="left"/>
                    <w:rPr>
                      <w:rFonts w:ascii="Arial"/>
                      <w:i/>
                      <w:sz w:val="52"/>
                    </w:rPr>
                  </w:pPr>
                  <w:r>
                    <w:rPr>
                      <w:rFonts w:ascii="Arial"/>
                      <w:i/>
                      <w:color w:val="010101"/>
                      <w:spacing w:val="-62"/>
                      <w:w w:val="78"/>
                      <w:sz w:val="52"/>
                    </w:rPr>
                    <w:t>1</w:t>
                  </w:r>
                </w:p>
              </w:txbxContent>
            </v:textbox>
            <w10:wrap type="none"/>
          </v:shape>
        </w:pict>
      </w:r>
      <w:r>
        <w:rPr>
          <w:rFonts w:ascii="Arial"/>
          <w:i/>
          <w:color w:val="010101"/>
          <w:w w:val="110"/>
          <w:sz w:val="8"/>
        </w:rPr>
        <w:t>00</w:t>
      </w:r>
    </w:p>
    <w:p>
      <w:pPr>
        <w:tabs>
          <w:tab w:pos="2642" w:val="left" w:leader="none"/>
          <w:tab w:pos="3822" w:val="left" w:leader="none"/>
        </w:tabs>
        <w:spacing w:line="99" w:lineRule="exact" w:before="0"/>
        <w:ind w:left="1439" w:right="0" w:firstLine="0"/>
        <w:jc w:val="left"/>
        <w:rPr>
          <w:sz w:val="13"/>
        </w:rPr>
      </w:pPr>
      <w:r>
        <w:rPr/>
        <w:pict>
          <v:shape style="position:absolute;margin-left:133.698898pt;margin-top:1.497738pt;width:117.3pt;height:13pt;mso-position-horizontal-relative:page;mso-position-vertical-relative:paragraph;z-index:-716176" type="#_x0000_t202" filled="false" stroked="false">
            <v:textbox inset="0,0,0,0">
              <w:txbxContent>
                <w:p>
                  <w:pPr>
                    <w:tabs>
                      <w:tab w:pos="2203" w:val="left" w:leader="none"/>
                    </w:tabs>
                    <w:spacing w:line="260" w:lineRule="exact" w:before="0"/>
                    <w:ind w:left="0" w:right="0" w:firstLine="0"/>
                    <w:jc w:val="left"/>
                    <w:rPr>
                      <w:b/>
                      <w:i/>
                      <w:sz w:val="21"/>
                    </w:rPr>
                  </w:pPr>
                  <w:r>
                    <w:rPr>
                      <w:color w:val="010101"/>
                      <w:sz w:val="26"/>
                    </w:rPr>
                    <w:t>=</w:t>
                    <w:tab/>
                  </w:r>
                  <w:r>
                    <w:rPr>
                      <w:b/>
                      <w:i/>
                      <w:color w:val="010101"/>
                      <w:w w:val="85"/>
                      <w:sz w:val="21"/>
                    </w:rPr>
                    <w:t>dt</w:t>
                  </w:r>
                </w:p>
              </w:txbxContent>
            </v:textbox>
            <w10:wrap type="none"/>
          </v:shape>
        </w:pict>
      </w:r>
      <w:r>
        <w:rPr>
          <w:rFonts w:ascii="Arial"/>
          <w:color w:val="010101"/>
          <w:w w:val="215"/>
          <w:sz w:val="11"/>
        </w:rPr>
        <w:t>- </w:t>
      </w:r>
      <w:r>
        <w:rPr>
          <w:rFonts w:ascii="Arial"/>
          <w:color w:val="010101"/>
          <w:spacing w:val="25"/>
          <w:w w:val="215"/>
          <w:sz w:val="11"/>
        </w:rPr>
        <w:t> </w:t>
      </w:r>
      <w:r>
        <w:rPr>
          <w:rFonts w:ascii="Arial"/>
          <w:b/>
          <w:color w:val="010101"/>
          <w:w w:val="125"/>
          <w:sz w:val="11"/>
        </w:rPr>
        <w:t>3</w:t>
      </w:r>
      <w:r>
        <w:rPr>
          <w:rFonts w:ascii="Arial"/>
          <w:b/>
          <w:color w:val="1C1C1C"/>
          <w:w w:val="125"/>
          <w:sz w:val="11"/>
        </w:rPr>
        <w:t>:</w:t>
      </w:r>
      <w:r>
        <w:rPr>
          <w:rFonts w:ascii="Arial"/>
          <w:b/>
          <w:color w:val="010101"/>
          <w:w w:val="125"/>
          <w:sz w:val="11"/>
        </w:rPr>
        <w:t>t</w:t>
        <w:tab/>
      </w:r>
      <w:r>
        <w:rPr>
          <w:i/>
          <w:color w:val="010101"/>
          <w:w w:val="125"/>
          <w:sz w:val="13"/>
        </w:rPr>
        <w:t>t</w:t>
        <w:tab/>
      </w:r>
      <w:r>
        <w:rPr>
          <w:color w:val="010101"/>
          <w:w w:val="215"/>
          <w:sz w:val="13"/>
        </w:rPr>
        <w:t>-</w:t>
      </w:r>
    </w:p>
    <w:p>
      <w:pPr>
        <w:tabs>
          <w:tab w:pos="2552" w:val="left" w:leader="none"/>
        </w:tabs>
        <w:spacing w:line="173" w:lineRule="exact" w:before="0"/>
        <w:ind w:left="1375" w:right="0" w:firstLine="0"/>
        <w:jc w:val="left"/>
        <w:rPr>
          <w:b/>
          <w:i/>
          <w:sz w:val="12"/>
        </w:rPr>
      </w:pPr>
      <w:r>
        <w:rPr>
          <w:b/>
          <w:i/>
          <w:color w:val="010101"/>
          <w:w w:val="95"/>
          <w:sz w:val="16"/>
        </w:rPr>
        <w:t>Áwz</w:t>
      </w:r>
      <w:r>
        <w:rPr>
          <w:b/>
          <w:i/>
          <w:color w:val="010101"/>
          <w:spacing w:val="21"/>
          <w:w w:val="95"/>
          <w:sz w:val="16"/>
        </w:rPr>
        <w:t> </w:t>
      </w:r>
      <w:r>
        <w:rPr>
          <w:b/>
          <w:i/>
          <w:color w:val="010101"/>
          <w:w w:val="95"/>
          <w:sz w:val="12"/>
        </w:rPr>
        <w:t>11 </w:t>
      </w:r>
      <w:r>
        <w:rPr>
          <w:b/>
          <w:i/>
          <w:color w:val="010101"/>
          <w:spacing w:val="4"/>
          <w:w w:val="95"/>
          <w:sz w:val="12"/>
        </w:rPr>
        <w:t> </w:t>
      </w:r>
      <w:r>
        <w:rPr>
          <w:b/>
          <w:color w:val="010101"/>
          <w:w w:val="95"/>
          <w:sz w:val="12"/>
        </w:rPr>
        <w:t>z</w:t>
        <w:tab/>
      </w:r>
      <w:r>
        <w:rPr>
          <w:rFonts w:ascii="Arial" w:hAnsi="Arial"/>
          <w:b/>
          <w:i/>
          <w:color w:val="010101"/>
          <w:w w:val="90"/>
          <w:sz w:val="13"/>
        </w:rPr>
        <w:t>V</w:t>
      </w:r>
      <w:r>
        <w:rPr>
          <w:rFonts w:ascii="Arial" w:hAnsi="Arial"/>
          <w:b/>
          <w:i/>
          <w:color w:val="010101"/>
          <w:spacing w:val="14"/>
          <w:w w:val="90"/>
          <w:sz w:val="13"/>
        </w:rPr>
        <w:t> </w:t>
      </w:r>
      <w:r>
        <w:rPr>
          <w:b/>
          <w:i/>
          <w:color w:val="010101"/>
          <w:w w:val="90"/>
          <w:sz w:val="20"/>
        </w:rPr>
        <w:t>,qu,</w:t>
      </w:r>
      <w:r>
        <w:rPr>
          <w:b/>
          <w:i/>
          <w:color w:val="010101"/>
          <w:spacing w:val="-33"/>
          <w:w w:val="90"/>
          <w:sz w:val="20"/>
        </w:rPr>
        <w:t> </w:t>
      </w:r>
      <w:r>
        <w:rPr>
          <w:color w:val="010101"/>
          <w:w w:val="90"/>
          <w:sz w:val="20"/>
        </w:rPr>
        <w:t>·</w:t>
      </w:r>
      <w:r>
        <w:rPr>
          <w:b/>
          <w:i/>
          <w:color w:val="010101"/>
          <w:w w:val="90"/>
          <w:sz w:val="16"/>
        </w:rPr>
        <w:t>tPr11rl.&amp;z+1</w:t>
      </w:r>
      <w:r>
        <w:rPr>
          <w:b/>
          <w:i/>
          <w:color w:val="010101"/>
          <w:spacing w:val="-27"/>
          <w:w w:val="90"/>
          <w:sz w:val="16"/>
        </w:rPr>
        <w:t> </w:t>
      </w:r>
      <w:r>
        <w:rPr>
          <w:b/>
          <w:i/>
          <w:color w:val="010101"/>
          <w:w w:val="90"/>
          <w:sz w:val="16"/>
        </w:rPr>
        <w:t>A</w:t>
      </w:r>
      <w:r>
        <w:rPr>
          <w:b/>
          <w:i/>
          <w:color w:val="010101"/>
          <w:spacing w:val="-22"/>
          <w:w w:val="90"/>
          <w:sz w:val="16"/>
        </w:rPr>
        <w:t> </w:t>
      </w:r>
      <w:r>
        <w:rPr>
          <w:b/>
          <w:i/>
          <w:color w:val="010101"/>
          <w:w w:val="90"/>
          <w:sz w:val="12"/>
        </w:rPr>
        <w:t>11+'</w:t>
      </w:r>
    </w:p>
    <w:p>
      <w:pPr>
        <w:tabs>
          <w:tab w:pos="2336" w:val="left" w:leader="none"/>
        </w:tabs>
        <w:spacing w:line="116" w:lineRule="exact" w:before="0"/>
        <w:ind w:left="1550" w:right="0" w:firstLine="0"/>
        <w:jc w:val="left"/>
        <w:rPr>
          <w:rFonts w:ascii="Arial"/>
          <w:b/>
          <w:sz w:val="11"/>
        </w:rPr>
      </w:pPr>
      <w:r>
        <w:rPr>
          <w:rFonts w:ascii="Arial"/>
          <w:b/>
          <w:color w:val="010101"/>
          <w:sz w:val="11"/>
        </w:rPr>
        <w:t>12</w:t>
        <w:tab/>
        <w:t>O</w:t>
      </w:r>
    </w:p>
    <w:p>
      <w:pPr>
        <w:pStyle w:val="BodyText"/>
        <w:spacing w:line="207" w:lineRule="exact"/>
        <w:ind w:left="698"/>
      </w:pPr>
      <w:r>
        <w:rPr/>
        <w:br w:type="column"/>
      </w:r>
      <w:r>
        <w:rPr>
          <w:color w:val="010101"/>
        </w:rPr>
        <w:t>( 12.5)</w:t>
      </w:r>
    </w:p>
    <w:p>
      <w:pPr>
        <w:pStyle w:val="BodyText"/>
      </w:pPr>
    </w:p>
    <w:p>
      <w:pPr>
        <w:pStyle w:val="BodyText"/>
        <w:spacing w:before="133"/>
        <w:ind w:left="698"/>
      </w:pPr>
      <w:r>
        <w:rPr>
          <w:color w:val="010101"/>
          <w:w w:val="105"/>
        </w:rPr>
        <w:t>( 12.6)</w:t>
      </w:r>
    </w:p>
    <w:p>
      <w:pPr>
        <w:pStyle w:val="BodyText"/>
      </w:pPr>
    </w:p>
    <w:p>
      <w:pPr>
        <w:pStyle w:val="BodyText"/>
        <w:spacing w:before="144"/>
        <w:ind w:left="698"/>
      </w:pPr>
      <w:r>
        <w:rPr>
          <w:color w:val="010101"/>
          <w:w w:val="105"/>
        </w:rPr>
        <w:t>(12.7)</w:t>
      </w:r>
    </w:p>
    <w:p>
      <w:pPr>
        <w:pStyle w:val="BodyText"/>
      </w:pPr>
    </w:p>
    <w:p>
      <w:pPr>
        <w:pStyle w:val="BodyText"/>
        <w:spacing w:before="140"/>
        <w:ind w:left="698"/>
      </w:pPr>
      <w:r>
        <w:rPr>
          <w:color w:val="010101"/>
          <w:w w:val="110"/>
        </w:rPr>
        <w:t>(12.8)</w:t>
      </w:r>
    </w:p>
    <w:p>
      <w:pPr>
        <w:spacing w:after="0"/>
        <w:sectPr>
          <w:type w:val="continuous"/>
          <w:pgSz w:w="7200" w:h="11340"/>
          <w:pgMar w:top="1100" w:bottom="0" w:left="660" w:right="580"/>
          <w:cols w:num="2" w:equalWidth="0">
            <w:col w:w="4596" w:space="40"/>
            <w:col w:w="1324"/>
          </w:cols>
        </w:sectPr>
      </w:pPr>
    </w:p>
    <w:p>
      <w:pPr>
        <w:pStyle w:val="BodyText"/>
        <w:spacing w:line="252" w:lineRule="auto" w:before="124"/>
        <w:ind w:left="122" w:firstLine="197"/>
      </w:pPr>
      <w:r>
        <w:rPr>
          <w:color w:val="010101"/>
        </w:rPr>
        <w:t>Each of the above may also be written as a doublc i ntegral. For example,</w:t>
      </w:r>
    </w:p>
    <w:p>
      <w:pPr>
        <w:spacing w:line="544" w:lineRule="exact" w:before="0"/>
        <w:ind w:left="127" w:right="131" w:firstLine="0"/>
        <w:jc w:val="center"/>
        <w:rPr>
          <w:rFonts w:ascii="Arial" w:hAnsi="Arial"/>
          <w:b/>
          <w:i/>
          <w:sz w:val="20"/>
        </w:rPr>
      </w:pPr>
      <w:r>
        <w:rPr>
          <w:rFonts w:ascii="Arial" w:hAnsi="Arial"/>
          <w:b/>
          <w:i/>
          <w:color w:val="010101"/>
          <w:spacing w:val="16"/>
          <w:w w:val="205"/>
          <w:sz w:val="24"/>
        </w:rPr>
        <w:t>A</w:t>
      </w:r>
      <w:r>
        <w:rPr>
          <w:rFonts w:ascii="Arial" w:hAnsi="Arial"/>
          <w:b/>
          <w:i/>
          <w:color w:val="010101"/>
          <w:w w:val="100"/>
          <w:sz w:val="24"/>
        </w:rPr>
        <w:t>,</w:t>
      </w:r>
      <w:r>
        <w:rPr>
          <w:rFonts w:ascii="Arial" w:hAnsi="Arial"/>
          <w:b/>
          <w:i/>
          <w:color w:val="010101"/>
          <w:spacing w:val="16"/>
          <w:sz w:val="24"/>
        </w:rPr>
        <w:t> </w:t>
      </w:r>
      <w:r>
        <w:rPr>
          <w:color w:val="010101"/>
          <w:w w:val="85"/>
          <w:sz w:val="28"/>
        </w:rPr>
        <w:t>=</w:t>
      </w:r>
      <w:r>
        <w:rPr>
          <w:color w:val="010101"/>
          <w:spacing w:val="31"/>
          <w:sz w:val="28"/>
        </w:rPr>
        <w:t> </w:t>
      </w:r>
      <w:r>
        <w:rPr>
          <w:i/>
          <w:color w:val="010101"/>
          <w:w w:val="192"/>
          <w:sz w:val="28"/>
        </w:rPr>
        <w:t>[</w:t>
      </w:r>
      <w:r>
        <w:rPr>
          <w:i/>
          <w:color w:val="010101"/>
          <w:sz w:val="28"/>
        </w:rPr>
        <w:t> </w:t>
      </w:r>
      <w:r>
        <w:rPr>
          <w:i/>
          <w:color w:val="010101"/>
          <w:spacing w:val="-35"/>
          <w:sz w:val="28"/>
        </w:rPr>
        <w:t> </w:t>
      </w:r>
      <w:r>
        <w:rPr>
          <w:b/>
          <w:i/>
          <w:color w:val="010101"/>
          <w:w w:val="90"/>
          <w:sz w:val="14"/>
        </w:rPr>
        <w:t>1Qw·</w:t>
      </w:r>
      <w:r>
        <w:rPr>
          <w:b/>
          <w:i/>
          <w:color w:val="010101"/>
          <w:spacing w:val="8"/>
          <w:sz w:val="14"/>
        </w:rPr>
        <w:t> </w:t>
      </w:r>
      <w:r>
        <w:rPr>
          <w:b/>
          <w:i/>
          <w:color w:val="010101"/>
          <w:w w:val="124"/>
          <w:sz w:val="14"/>
        </w:rPr>
        <w:t>1p,P,+1</w:t>
      </w:r>
      <w:r>
        <w:rPr>
          <w:b/>
          <w:i/>
          <w:color w:val="010101"/>
          <w:sz w:val="14"/>
        </w:rPr>
        <w:t> </w:t>
      </w:r>
      <w:r>
        <w:rPr>
          <w:b/>
          <w:i/>
          <w:color w:val="010101"/>
          <w:spacing w:val="-9"/>
          <w:sz w:val="14"/>
        </w:rPr>
        <w:t> </w:t>
      </w:r>
      <w:r>
        <w:rPr>
          <w:rFonts w:ascii="Arial" w:hAnsi="Arial"/>
          <w:b/>
          <w:color w:val="010101"/>
          <w:w w:val="115"/>
          <w:sz w:val="50"/>
        </w:rPr>
        <w:t>(</w:t>
      </w:r>
      <w:r>
        <w:rPr>
          <w:rFonts w:ascii="Arial" w:hAnsi="Arial"/>
          <w:b/>
          <w:color w:val="010101"/>
          <w:spacing w:val="37"/>
          <w:w w:val="115"/>
          <w:sz w:val="50"/>
        </w:rPr>
        <w:t>f</w:t>
      </w:r>
      <w:r>
        <w:rPr>
          <w:b/>
          <w:i/>
          <w:color w:val="010101"/>
          <w:spacing w:val="-5"/>
          <w:w w:val="96"/>
          <w:sz w:val="21"/>
        </w:rPr>
        <w:t>v</w:t>
      </w:r>
      <w:r>
        <w:rPr>
          <w:b/>
          <w:i/>
          <w:color w:val="010101"/>
          <w:spacing w:val="15"/>
          <w:w w:val="170"/>
          <w:sz w:val="21"/>
        </w:rPr>
        <w:t>'</w:t>
      </w:r>
      <w:r>
        <w:rPr>
          <w:b/>
          <w:i/>
          <w:color w:val="010101"/>
          <w:w w:val="88"/>
          <w:sz w:val="20"/>
        </w:rPr>
        <w:t>,P,Jlw+•</w:t>
      </w:r>
      <w:r>
        <w:rPr>
          <w:b/>
          <w:i/>
          <w:color w:val="010101"/>
          <w:sz w:val="20"/>
        </w:rPr>
        <w:t> </w:t>
      </w:r>
      <w:r>
        <w:rPr>
          <w:b/>
          <w:i/>
          <w:color w:val="010101"/>
          <w:spacing w:val="-22"/>
          <w:sz w:val="20"/>
        </w:rPr>
        <w:t> </w:t>
      </w:r>
      <w:r>
        <w:rPr>
          <w:b/>
          <w:i/>
          <w:color w:val="010101"/>
          <w:w w:val="42"/>
          <w:sz w:val="45"/>
        </w:rPr>
        <w:t>ds</w:t>
      </w:r>
      <w:r>
        <w:rPr>
          <w:b/>
          <w:i/>
          <w:color w:val="010101"/>
          <w:w w:val="63"/>
          <w:sz w:val="45"/>
        </w:rPr>
        <w:t>)</w:t>
      </w:r>
      <w:r>
        <w:rPr>
          <w:b/>
          <w:i/>
          <w:color w:val="010101"/>
          <w:spacing w:val="-29"/>
          <w:sz w:val="45"/>
        </w:rPr>
        <w:t> </w:t>
      </w:r>
      <w:r>
        <w:rPr>
          <w:rFonts w:ascii="Arial" w:hAnsi="Arial"/>
          <w:b/>
          <w:i/>
          <w:color w:val="010101"/>
          <w:w w:val="82"/>
          <w:sz w:val="20"/>
        </w:rPr>
        <w:t>dt.</w:t>
      </w:r>
    </w:p>
    <w:p>
      <w:pPr>
        <w:pStyle w:val="BodyText"/>
        <w:spacing w:line="247" w:lineRule="auto" w:before="164"/>
        <w:ind w:left="133" w:right="218" w:firstLine="3"/>
      </w:pPr>
      <w:r>
        <w:rPr>
          <w:color w:val="010101"/>
          <w:w w:val="105"/>
        </w:rPr>
        <w:t>In more complex cases, multiple integration  is  sometimes  the  only means of writing a precise expression for a given</w:t>
      </w:r>
      <w:r>
        <w:rPr>
          <w:color w:val="010101"/>
          <w:spacing w:val="35"/>
          <w:w w:val="105"/>
        </w:rPr>
        <w:t> </w:t>
      </w:r>
      <w:r>
        <w:rPr>
          <w:color w:val="010101"/>
          <w:w w:val="105"/>
        </w:rPr>
        <w:t>function.</w:t>
      </w:r>
    </w:p>
    <w:p>
      <w:pPr>
        <w:pStyle w:val="BodyText"/>
        <w:spacing w:before="7"/>
        <w:rPr>
          <w:sz w:val="18"/>
        </w:rPr>
      </w:pPr>
    </w:p>
    <w:p>
      <w:pPr>
        <w:pStyle w:val="ListParagraph"/>
        <w:numPr>
          <w:ilvl w:val="0"/>
          <w:numId w:val="116"/>
        </w:numPr>
        <w:tabs>
          <w:tab w:pos="363" w:val="left" w:leader="none"/>
        </w:tabs>
        <w:spacing w:line="240" w:lineRule="auto" w:before="1" w:after="0"/>
        <w:ind w:left="362" w:right="0" w:hanging="236"/>
        <w:jc w:val="left"/>
        <w:rPr>
          <w:b/>
          <w:color w:val="010101"/>
          <w:sz w:val="19"/>
        </w:rPr>
      </w:pPr>
      <w:r>
        <w:rPr>
          <w:b/>
          <w:color w:val="010101"/>
          <w:w w:val="120"/>
          <w:sz w:val="19"/>
        </w:rPr>
        <w:t>Compound contingencies with</w:t>
      </w:r>
      <w:r>
        <w:rPr>
          <w:b/>
          <w:color w:val="010101"/>
          <w:spacing w:val="37"/>
          <w:w w:val="120"/>
          <w:sz w:val="19"/>
        </w:rPr>
        <w:t> </w:t>
      </w:r>
      <w:r>
        <w:rPr>
          <w:b/>
          <w:color w:val="010101"/>
          <w:w w:val="120"/>
          <w:sz w:val="19"/>
        </w:rPr>
        <w:t>terms-certain</w:t>
      </w:r>
    </w:p>
    <w:p>
      <w:pPr>
        <w:pStyle w:val="BodyText"/>
        <w:spacing w:line="252" w:lineRule="auto" w:before="88"/>
        <w:ind w:left="136" w:right="108" w:firstLine="197"/>
        <w:jc w:val="both"/>
      </w:pPr>
      <w:r>
        <w:rPr>
          <w:color w:val="010101"/>
          <w:w w:val="105"/>
        </w:rPr>
        <w:t>A compound contingent function may involve conditions other than the mere order  of  deaths,  as for example where  a condition as to the time interval between deaths is introduced. No new theory is needed for the formulation of such  functions,  and in fact they are always best handled from first  principies without  any attempt at classification. Since these  functions  are of  such varying  types, it is not feasible to assign specific symbols for them. The examples which follow will illustrate the techniques used in formulating </w:t>
      </w:r>
      <w:r>
        <w:rPr>
          <w:color w:val="010101"/>
          <w:w w:val="115"/>
        </w:rPr>
        <w:t>exprions  </w:t>
      </w:r>
      <w:r>
        <w:rPr>
          <w:color w:val="010101"/>
          <w:w w:val="105"/>
        </w:rPr>
        <w:t>for  such </w:t>
      </w:r>
      <w:r>
        <w:rPr>
          <w:color w:val="010101"/>
          <w:spacing w:val="16"/>
          <w:w w:val="105"/>
        </w:rPr>
        <w:t> </w:t>
      </w:r>
      <w:r>
        <w:rPr>
          <w:rFonts w:ascii="Arial"/>
          <w:color w:val="010101"/>
          <w:w w:val="105"/>
          <w:sz w:val="18"/>
        </w:rPr>
        <w:t>f</w:t>
      </w:r>
      <w:r>
        <w:rPr>
          <w:color w:val="010101"/>
          <w:w w:val="105"/>
        </w:rPr>
        <w:t>unctions.</w:t>
      </w:r>
    </w:p>
    <w:p>
      <w:pPr>
        <w:pStyle w:val="BodyText"/>
        <w:spacing w:line="242" w:lineRule="auto"/>
        <w:ind w:left="140" w:right="106" w:firstLine="197"/>
        <w:jc w:val="both"/>
      </w:pPr>
      <w:r>
        <w:rPr>
          <w:color w:val="010101"/>
          <w:w w:val="105"/>
        </w:rPr>
        <w:t>Consider the probability that (x), (y), and </w:t>
      </w:r>
      <w:r>
        <w:rPr>
          <w:rFonts w:ascii="Arial" w:hAnsi="Arial"/>
          <w:i/>
          <w:color w:val="010101"/>
          <w:w w:val="105"/>
          <w:sz w:val="19"/>
        </w:rPr>
        <w:t>(z) </w:t>
      </w:r>
      <w:r>
        <w:rPr>
          <w:color w:val="010101"/>
          <w:w w:val="105"/>
        </w:rPr>
        <w:t>will die  in  the order named within twenty years, at least  five years  separating each death. These conditions require the death of </w:t>
      </w:r>
      <w:r>
        <w:rPr>
          <w:rFonts w:ascii="Arial" w:hAnsi="Arial"/>
          <w:i/>
          <w:color w:val="010101"/>
          <w:spacing w:val="8"/>
          <w:w w:val="105"/>
          <w:sz w:val="19"/>
        </w:rPr>
        <w:t>(y) </w:t>
      </w:r>
      <w:r>
        <w:rPr>
          <w:color w:val="010101"/>
          <w:w w:val="105"/>
        </w:rPr>
        <w:t>within the period from five </w:t>
      </w:r>
      <w:r>
        <w:rPr>
          <w:color w:val="010101"/>
          <w:w w:val="105"/>
          <w:sz w:val="22"/>
        </w:rPr>
        <w:t>to </w:t>
      </w:r>
      <w:r>
        <w:rPr>
          <w:color w:val="010101"/>
          <w:w w:val="105"/>
        </w:rPr>
        <w:t>fifteen years from the present, and the proba­ bility  may  be  </w:t>
      </w:r>
      <w:r>
        <w:rPr>
          <w:color w:val="010101"/>
          <w:w w:val="130"/>
        </w:rPr>
        <w:t>expred</w:t>
      </w:r>
      <w:r>
        <w:rPr>
          <w:color w:val="010101"/>
          <w:spacing w:val="8"/>
          <w:w w:val="130"/>
        </w:rPr>
        <w:t> </w:t>
      </w:r>
      <w:r>
        <w:rPr>
          <w:color w:val="010101"/>
          <w:w w:val="105"/>
        </w:rPr>
        <w:t>as</w:t>
      </w:r>
    </w:p>
    <w:p>
      <w:pPr>
        <w:spacing w:before="52"/>
        <w:ind w:left="181" w:right="131" w:firstLine="0"/>
        <w:jc w:val="center"/>
        <w:rPr>
          <w:rFonts w:ascii="Arial"/>
          <w:b/>
          <w:i/>
          <w:sz w:val="19"/>
        </w:rPr>
      </w:pPr>
      <w:r>
        <w:rPr>
          <w:rFonts w:ascii="Arial"/>
          <w:b/>
          <w:i/>
          <w:color w:val="010101"/>
          <w:spacing w:val="-113"/>
          <w:w w:val="69"/>
          <w:position w:val="-7"/>
          <w:sz w:val="51"/>
        </w:rPr>
        <w:t>1</w:t>
      </w:r>
      <w:r>
        <w:rPr>
          <w:rFonts w:ascii="Arial"/>
          <w:b/>
          <w:color w:val="010101"/>
          <w:w w:val="82"/>
          <w:sz w:val="12"/>
        </w:rPr>
        <w:t>fi</w:t>
      </w:r>
      <w:r>
        <w:rPr>
          <w:rFonts w:ascii="Arial"/>
          <w:b/>
          <w:color w:val="010101"/>
          <w:spacing w:val="-19"/>
          <w:sz w:val="12"/>
        </w:rPr>
        <w:t> </w:t>
      </w:r>
      <w:r>
        <w:rPr>
          <w:b/>
          <w:i/>
          <w:color w:val="010101"/>
          <w:w w:val="92"/>
          <w:position w:val="23"/>
          <w:sz w:val="14"/>
        </w:rPr>
        <w:t>H</w:t>
      </w:r>
      <w:r>
        <w:rPr>
          <w:b/>
          <w:i/>
          <w:color w:val="010101"/>
          <w:position w:val="23"/>
          <w:sz w:val="14"/>
        </w:rPr>
        <w:t>  </w:t>
      </w:r>
      <w:r>
        <w:rPr>
          <w:b/>
          <w:i/>
          <w:color w:val="010101"/>
          <w:spacing w:val="-6"/>
          <w:position w:val="23"/>
          <w:sz w:val="14"/>
        </w:rPr>
        <w:t> </w:t>
      </w:r>
      <w:r>
        <w:rPr>
          <w:b/>
          <w:color w:val="010101"/>
          <w:w w:val="110"/>
          <w:sz w:val="20"/>
        </w:rPr>
        <w:t>(1</w:t>
      </w:r>
      <w:r>
        <w:rPr>
          <w:b/>
          <w:color w:val="010101"/>
          <w:sz w:val="20"/>
        </w:rPr>
        <w:t> </w:t>
      </w:r>
      <w:r>
        <w:rPr>
          <w:b/>
          <w:color w:val="010101"/>
          <w:spacing w:val="-13"/>
          <w:sz w:val="20"/>
        </w:rPr>
        <w:t> </w:t>
      </w:r>
      <w:r>
        <w:rPr>
          <w:color w:val="010101"/>
          <w:w w:val="274"/>
          <w:sz w:val="20"/>
        </w:rPr>
        <w:t>-</w:t>
      </w:r>
      <w:r>
        <w:rPr>
          <w:color w:val="010101"/>
          <w:spacing w:val="10"/>
          <w:sz w:val="20"/>
        </w:rPr>
        <w:t> </w:t>
      </w:r>
      <w:r>
        <w:rPr>
          <w:b/>
          <w:i/>
          <w:color w:val="010101"/>
          <w:w w:val="62"/>
          <w:sz w:val="16"/>
        </w:rPr>
        <w:t>l</w:t>
      </w:r>
      <w:r>
        <w:rPr>
          <w:b/>
          <w:i/>
          <w:color w:val="010101"/>
          <w:spacing w:val="-18"/>
          <w:sz w:val="16"/>
        </w:rPr>
        <w:t> </w:t>
      </w:r>
      <w:r>
        <w:rPr>
          <w:b/>
          <w:i/>
          <w:color w:val="010101"/>
          <w:w w:val="122"/>
          <w:sz w:val="16"/>
        </w:rPr>
        <w:t>-iPz</w:t>
      </w:r>
      <w:r>
        <w:rPr>
          <w:b/>
          <w:i/>
          <w:color w:val="010101"/>
          <w:spacing w:val="-9"/>
          <w:sz w:val="16"/>
        </w:rPr>
        <w:t> </w:t>
      </w:r>
      <w:r>
        <w:rPr>
          <w:b/>
          <w:i/>
          <w:color w:val="010101"/>
          <w:w w:val="62"/>
          <w:sz w:val="16"/>
        </w:rPr>
        <w:t>)</w:t>
      </w:r>
      <w:r>
        <w:rPr>
          <w:b/>
          <w:i/>
          <w:color w:val="010101"/>
          <w:w w:val="62"/>
          <w:sz w:val="16"/>
        </w:rPr>
        <w:t>tP11#.&amp;tl</w:t>
      </w:r>
      <w:r>
        <w:rPr>
          <w:b/>
          <w:i/>
          <w:color w:val="010101"/>
          <w:spacing w:val="14"/>
          <w:sz w:val="16"/>
        </w:rPr>
        <w:t> </w:t>
      </w:r>
      <w:r>
        <w:rPr>
          <w:b/>
          <w:i/>
          <w:color w:val="010101"/>
          <w:w w:val="98"/>
          <w:sz w:val="16"/>
        </w:rPr>
        <w:t>+t</w:t>
      </w:r>
      <w:r>
        <w:rPr>
          <w:b/>
          <w:i/>
          <w:color w:val="010101"/>
          <w:spacing w:val="-6"/>
          <w:sz w:val="16"/>
        </w:rPr>
        <w:t> </w:t>
      </w:r>
      <w:r>
        <w:rPr>
          <w:b/>
          <w:i/>
          <w:color w:val="010101"/>
          <w:w w:val="45"/>
          <w:sz w:val="16"/>
        </w:rPr>
        <w:t>C</w:t>
      </w:r>
      <w:r>
        <w:rPr>
          <w:b/>
          <w:i/>
          <w:color w:val="010101"/>
          <w:sz w:val="16"/>
        </w:rPr>
        <w:t> </w:t>
      </w:r>
      <w:r>
        <w:rPr>
          <w:b/>
          <w:i/>
          <w:color w:val="010101"/>
          <w:w w:val="66"/>
          <w:sz w:val="16"/>
        </w:rPr>
        <w:t>t</w:t>
      </w:r>
      <w:r>
        <w:rPr>
          <w:b/>
          <w:i/>
          <w:color w:val="010101"/>
          <w:spacing w:val="-13"/>
          <w:sz w:val="16"/>
        </w:rPr>
        <w:t> </w:t>
      </w:r>
      <w:r>
        <w:rPr>
          <w:b/>
          <w:i/>
          <w:color w:val="010101"/>
          <w:w w:val="88"/>
          <w:sz w:val="16"/>
        </w:rPr>
        <w:t>+fiPz</w:t>
      </w:r>
      <w:r>
        <w:rPr>
          <w:b/>
          <w:i/>
          <w:color w:val="010101"/>
          <w:sz w:val="16"/>
        </w:rPr>
        <w:t>  </w:t>
      </w:r>
      <w:r>
        <w:rPr>
          <w:b/>
          <w:i/>
          <w:color w:val="010101"/>
          <w:spacing w:val="-18"/>
          <w:sz w:val="16"/>
        </w:rPr>
        <w:t> </w:t>
      </w:r>
      <w:r>
        <w:rPr>
          <w:color w:val="010101"/>
          <w:w w:val="343"/>
          <w:sz w:val="16"/>
        </w:rPr>
        <w:t>-</w:t>
      </w:r>
      <w:r>
        <w:rPr>
          <w:color w:val="010101"/>
          <w:spacing w:val="13"/>
          <w:sz w:val="16"/>
        </w:rPr>
        <w:t> </w:t>
      </w:r>
      <w:r>
        <w:rPr>
          <w:b/>
          <w:color w:val="010101"/>
          <w:w w:val="66"/>
          <w:sz w:val="20"/>
        </w:rPr>
        <w:t>20Pz</w:t>
      </w:r>
      <w:r>
        <w:rPr>
          <w:b/>
          <w:color w:val="010101"/>
          <w:spacing w:val="-20"/>
          <w:sz w:val="20"/>
        </w:rPr>
        <w:t> </w:t>
      </w:r>
      <w:r>
        <w:rPr>
          <w:b/>
          <w:color w:val="010101"/>
          <w:w w:val="92"/>
          <w:sz w:val="20"/>
        </w:rPr>
        <w:t>)</w:t>
      </w:r>
      <w:r>
        <w:rPr>
          <w:b/>
          <w:color w:val="010101"/>
          <w:sz w:val="20"/>
        </w:rPr>
        <w:t> </w:t>
      </w:r>
      <w:r>
        <w:rPr>
          <w:b/>
          <w:color w:val="010101"/>
          <w:spacing w:val="-22"/>
          <w:sz w:val="20"/>
        </w:rPr>
        <w:t> </w:t>
      </w:r>
      <w:r>
        <w:rPr>
          <w:rFonts w:ascii="Arial"/>
          <w:b/>
          <w:i/>
          <w:color w:val="010101"/>
          <w:w w:val="88"/>
          <w:sz w:val="19"/>
        </w:rPr>
        <w:t>dt.</w:t>
      </w:r>
    </w:p>
    <w:p>
      <w:pPr>
        <w:pStyle w:val="BodyText"/>
        <w:spacing w:line="238" w:lineRule="exact" w:before="110"/>
        <w:ind w:left="136"/>
      </w:pPr>
      <w:r>
        <w:rPr>
          <w:color w:val="010101"/>
          <w:w w:val="105"/>
        </w:rPr>
        <w:t>This may be reduced to a form involving simple contingent proba­ bilities. </w:t>
      </w:r>
      <w:r>
        <w:rPr>
          <w:b/>
          <w:color w:val="010101"/>
          <w:w w:val="105"/>
          <w:sz w:val="19"/>
        </w:rPr>
        <w:t>Making </w:t>
      </w:r>
      <w:r>
        <w:rPr>
          <w:color w:val="010101"/>
          <w:w w:val="105"/>
        </w:rPr>
        <w:t>the change of variable s </w:t>
      </w:r>
      <w:r>
        <w:rPr>
          <w:color w:val="010101"/>
          <w:w w:val="105"/>
          <w:sz w:val="23"/>
        </w:rPr>
        <w:t>= </w:t>
      </w:r>
      <w:r>
        <w:rPr>
          <w:rFonts w:ascii="Arial" w:hAnsi="Arial"/>
          <w:i/>
          <w:color w:val="010101"/>
          <w:w w:val="105"/>
          <w:sz w:val="17"/>
        </w:rPr>
        <w:t>t  </w:t>
      </w:r>
      <w:r>
        <w:rPr>
          <w:rFonts w:ascii="Arial" w:hAnsi="Arial"/>
          <w:color w:val="010101"/>
          <w:w w:val="265"/>
          <w:sz w:val="17"/>
        </w:rPr>
        <w:t>- </w:t>
      </w:r>
      <w:r>
        <w:rPr>
          <w:color w:val="010101"/>
          <w:w w:val="105"/>
        </w:rPr>
        <w:t>.5,  we   have</w:t>
      </w:r>
    </w:p>
    <w:p>
      <w:pPr>
        <w:spacing w:after="0" w:line="238" w:lineRule="exact"/>
        <w:sectPr>
          <w:type w:val="continuous"/>
          <w:pgSz w:w="7200" w:h="11340"/>
          <w:pgMar w:top="1100" w:bottom="0" w:left="660" w:right="580"/>
        </w:sectPr>
      </w:pPr>
    </w:p>
    <w:p>
      <w:pPr>
        <w:tabs>
          <w:tab w:pos="1487" w:val="left" w:leader="none"/>
          <w:tab w:pos="5274" w:val="left" w:leader="none"/>
        </w:tabs>
        <w:spacing w:before="49"/>
        <w:ind w:left="155" w:right="0" w:firstLine="0"/>
        <w:jc w:val="both"/>
        <w:rPr>
          <w:rFonts w:ascii="Arial"/>
          <w:b/>
          <w:sz w:val="19"/>
        </w:rPr>
      </w:pPr>
      <w:r>
        <w:rPr>
          <w:w w:val="105"/>
          <w:sz w:val="21"/>
        </w:rPr>
        <w:t>250</w:t>
        <w:tab/>
      </w:r>
      <w:r>
        <w:rPr>
          <w:w w:val="105"/>
          <w:sz w:val="15"/>
        </w:rPr>
        <w:t>COMPOUND  </w:t>
      </w:r>
      <w:r>
        <w:rPr>
          <w:spacing w:val="17"/>
          <w:w w:val="105"/>
          <w:sz w:val="15"/>
        </w:rPr>
        <w:t> </w:t>
      </w:r>
      <w:r>
        <w:rPr>
          <w:w w:val="105"/>
          <w:sz w:val="15"/>
        </w:rPr>
        <w:t>CONTINGENT  </w:t>
      </w:r>
      <w:r>
        <w:rPr>
          <w:spacing w:val="8"/>
          <w:w w:val="105"/>
          <w:sz w:val="15"/>
        </w:rPr>
        <w:t> </w:t>
      </w:r>
      <w:r>
        <w:rPr>
          <w:w w:val="105"/>
          <w:sz w:val="15"/>
        </w:rPr>
        <w:t>FUNCTIONS</w:t>
        <w:tab/>
      </w:r>
      <w:r>
        <w:rPr>
          <w:spacing w:val="-9"/>
          <w:w w:val="105"/>
          <w:sz w:val="19"/>
        </w:rPr>
        <w:t>[CH.</w:t>
      </w:r>
      <w:r>
        <w:rPr>
          <w:w w:val="105"/>
          <w:sz w:val="19"/>
        </w:rPr>
        <w:t> </w:t>
      </w:r>
      <w:r>
        <w:rPr>
          <w:rFonts w:ascii="Arial"/>
          <w:b/>
          <w:w w:val="105"/>
          <w:sz w:val="19"/>
        </w:rPr>
        <w:t>12</w:t>
      </w:r>
    </w:p>
    <w:p>
      <w:pPr>
        <w:pStyle w:val="BodyText"/>
        <w:spacing w:before="8"/>
        <w:rPr>
          <w:rFonts w:ascii="Arial"/>
          <w:b/>
          <w:sz w:val="16"/>
        </w:rPr>
      </w:pPr>
      <w:r>
        <w:rPr/>
        <w:drawing>
          <wp:anchor distT="0" distB="0" distL="0" distR="0" allowOverlap="1" layoutInCell="1" locked="0" behindDoc="0" simplePos="0" relativeHeight="19912">
            <wp:simplePos x="0" y="0"/>
            <wp:positionH relativeFrom="page">
              <wp:posOffset>493776</wp:posOffset>
            </wp:positionH>
            <wp:positionV relativeFrom="paragraph">
              <wp:posOffset>147177</wp:posOffset>
            </wp:positionV>
            <wp:extent cx="2304287" cy="292608"/>
            <wp:effectExtent l="0" t="0" r="0" b="0"/>
            <wp:wrapTopAndBottom/>
            <wp:docPr id="593" name="image302.png" descr=""/>
            <wp:cNvGraphicFramePr>
              <a:graphicFrameLocks noChangeAspect="1"/>
            </wp:cNvGraphicFramePr>
            <a:graphic>
              <a:graphicData uri="http://schemas.openxmlformats.org/drawingml/2006/picture">
                <pic:pic>
                  <pic:nvPicPr>
                    <pic:cNvPr id="594" name="image302.png"/>
                    <pic:cNvPicPr/>
                  </pic:nvPicPr>
                  <pic:blipFill>
                    <a:blip r:embed="rId306" cstate="print"/>
                    <a:stretch>
                      <a:fillRect/>
                    </a:stretch>
                  </pic:blipFill>
                  <pic:spPr>
                    <a:xfrm>
                      <a:off x="0" y="0"/>
                      <a:ext cx="2304287" cy="292608"/>
                    </a:xfrm>
                    <a:prstGeom prst="rect">
                      <a:avLst/>
                    </a:prstGeom>
                  </pic:spPr>
                </pic:pic>
              </a:graphicData>
            </a:graphic>
          </wp:anchor>
        </w:drawing>
      </w:r>
    </w:p>
    <w:p>
      <w:pPr>
        <w:spacing w:line="135" w:lineRule="exact" w:before="53"/>
        <w:ind w:left="293" w:right="1761" w:firstLine="0"/>
        <w:jc w:val="center"/>
        <w:rPr>
          <w:b/>
          <w:sz w:val="12"/>
        </w:rPr>
      </w:pPr>
      <w:r>
        <w:rPr>
          <w:b/>
          <w:w w:val="110"/>
          <w:sz w:val="12"/>
        </w:rPr>
        <w:t>10</w:t>
      </w:r>
    </w:p>
    <w:p>
      <w:pPr>
        <w:tabs>
          <w:tab w:pos="1334" w:val="left" w:leader="none"/>
        </w:tabs>
        <w:spacing w:line="273" w:lineRule="exact" w:before="0"/>
        <w:ind w:left="52" w:right="0" w:firstLine="0"/>
        <w:jc w:val="center"/>
        <w:rPr>
          <w:rFonts w:ascii="Arial" w:hAnsi="Arial"/>
          <w:i/>
          <w:sz w:val="19"/>
        </w:rPr>
      </w:pPr>
      <w:r>
        <w:rPr/>
        <w:pict>
          <v:shape style="position:absolute;margin-left:134.460007pt;margin-top:-5.810388pt;width:4.5pt;height:25.5pt;mso-position-horizontal-relative:page;mso-position-vertical-relative:paragraph;z-index:-716032" type="#_x0000_t202" filled="false" stroked="false">
            <v:textbox inset="0,0,0,0">
              <w:txbxContent>
                <w:p>
                  <w:pPr>
                    <w:spacing w:line="510" w:lineRule="exact" w:before="0"/>
                    <w:ind w:left="0" w:right="0" w:firstLine="0"/>
                    <w:jc w:val="left"/>
                    <w:rPr>
                      <w:rFonts w:ascii="Arial"/>
                      <w:b/>
                      <w:sz w:val="51"/>
                    </w:rPr>
                  </w:pPr>
                  <w:r>
                    <w:rPr>
                      <w:rFonts w:ascii="Arial"/>
                      <w:b/>
                      <w:spacing w:val="-155"/>
                      <w:w w:val="85"/>
                      <w:sz w:val="51"/>
                    </w:rPr>
                    <w:t>1</w:t>
                  </w:r>
                </w:p>
              </w:txbxContent>
            </v:textbox>
            <w10:wrap type="none"/>
          </v:shape>
        </w:pict>
      </w:r>
      <w:r>
        <w:rPr>
          <w:sz w:val="24"/>
        </w:rPr>
        <w:t>= </w:t>
      </w:r>
      <w:r>
        <w:rPr>
          <w:rFonts w:ascii="Arial" w:hAnsi="Arial"/>
          <w:i/>
          <w:w w:val="90"/>
          <w:sz w:val="18"/>
        </w:rPr>
        <w:t>6P11</w:t>
      </w:r>
      <w:r>
        <w:rPr>
          <w:rFonts w:ascii="Arial" w:hAnsi="Arial"/>
          <w:i/>
          <w:spacing w:val="-22"/>
          <w:w w:val="90"/>
          <w:sz w:val="18"/>
        </w:rPr>
        <w:t> </w:t>
      </w:r>
      <w:r>
        <w:rPr>
          <w:rFonts w:ascii="Arial" w:hAnsi="Arial"/>
          <w:spacing w:val="-11"/>
          <w:sz w:val="18"/>
        </w:rPr>
        <w:t>·</w:t>
      </w:r>
      <w:r>
        <w:rPr>
          <w:spacing w:val="-11"/>
          <w:sz w:val="17"/>
        </w:rPr>
        <w:t>10Pz  </w:t>
      </w:r>
      <w:r>
        <w:rPr>
          <w:spacing w:val="-9"/>
          <w:sz w:val="17"/>
        </w:rPr>
        <w:t> </w:t>
      </w:r>
      <w:r>
        <w:rPr>
          <w:rFonts w:ascii="Arial" w:hAnsi="Arial"/>
          <w:sz w:val="15"/>
        </w:rPr>
        <w:t>o</w:t>
        <w:tab/>
      </w:r>
      <w:r>
        <w:rPr>
          <w:rFonts w:ascii="Arial" w:hAnsi="Arial"/>
          <w:w w:val="95"/>
          <w:sz w:val="15"/>
        </w:rPr>
        <w:t>(</w:t>
      </w:r>
      <w:r>
        <w:rPr>
          <w:rFonts w:ascii="Arial" w:hAnsi="Arial"/>
          <w:spacing w:val="-22"/>
          <w:w w:val="95"/>
          <w:sz w:val="15"/>
        </w:rPr>
        <w:t> </w:t>
      </w:r>
      <w:r>
        <w:rPr>
          <w:w w:val="95"/>
          <w:sz w:val="19"/>
        </w:rPr>
        <w:t>1</w:t>
      </w:r>
      <w:r>
        <w:rPr>
          <w:spacing w:val="-8"/>
          <w:w w:val="95"/>
          <w:sz w:val="19"/>
        </w:rPr>
        <w:t> </w:t>
      </w:r>
      <w:r>
        <w:rPr>
          <w:w w:val="95"/>
          <w:sz w:val="19"/>
        </w:rPr>
        <w:t>-</w:t>
      </w:r>
      <w:r>
        <w:rPr>
          <w:spacing w:val="-9"/>
          <w:w w:val="95"/>
          <w:sz w:val="19"/>
        </w:rPr>
        <w:t> </w:t>
      </w:r>
      <w:r>
        <w:rPr>
          <w:rFonts w:ascii="Arial" w:hAnsi="Arial"/>
          <w:i/>
          <w:w w:val="95"/>
          <w:sz w:val="18"/>
        </w:rPr>
        <w:t>•Pz</w:t>
      </w:r>
      <w:r>
        <w:rPr>
          <w:rFonts w:ascii="Arial" w:hAnsi="Arial"/>
          <w:i/>
          <w:spacing w:val="-32"/>
          <w:w w:val="95"/>
          <w:sz w:val="18"/>
        </w:rPr>
        <w:t> </w:t>
      </w:r>
      <w:r>
        <w:rPr>
          <w:rFonts w:ascii="Arial" w:hAnsi="Arial"/>
          <w:i/>
          <w:w w:val="95"/>
          <w:sz w:val="18"/>
        </w:rPr>
        <w:t>)•P11+f,/.l.¡¡+H•.</w:t>
      </w:r>
      <w:r>
        <w:rPr>
          <w:rFonts w:ascii="Arial" w:hAnsi="Arial"/>
          <w:i/>
          <w:spacing w:val="-10"/>
          <w:w w:val="95"/>
          <w:sz w:val="18"/>
        </w:rPr>
        <w:t> </w:t>
      </w:r>
      <w:r>
        <w:rPr>
          <w:w w:val="95"/>
          <w:sz w:val="17"/>
        </w:rPr>
        <w:t>•P•+lO</w:t>
      </w:r>
      <w:r>
        <w:rPr>
          <w:spacing w:val="2"/>
          <w:w w:val="95"/>
          <w:sz w:val="17"/>
        </w:rPr>
        <w:t> </w:t>
      </w:r>
      <w:r>
        <w:rPr>
          <w:rFonts w:ascii="Arial" w:hAnsi="Arial"/>
          <w:i/>
          <w:w w:val="95"/>
          <w:sz w:val="19"/>
        </w:rPr>
        <w:t>ds</w:t>
      </w:r>
    </w:p>
    <w:p>
      <w:pPr>
        <w:spacing w:before="145"/>
        <w:ind w:left="293" w:right="1221" w:firstLine="0"/>
        <w:jc w:val="center"/>
        <w:rPr>
          <w:b/>
          <w:sz w:val="12"/>
        </w:rPr>
      </w:pPr>
      <w:r>
        <w:rPr/>
        <w:pict>
          <v:shape style="position:absolute;margin-left:147.960007pt;margin-top:8.388532pt;width:5.3pt;height:25.5pt;mso-position-horizontal-relative:page;mso-position-vertical-relative:paragraph;z-index:-716008" type="#_x0000_t202" filled="false" stroked="false">
            <v:textbox inset="0,0,0,0">
              <w:txbxContent>
                <w:p>
                  <w:pPr>
                    <w:spacing w:line="510" w:lineRule="exact" w:before="0"/>
                    <w:ind w:left="0" w:right="0" w:firstLine="0"/>
                    <w:jc w:val="left"/>
                    <w:rPr>
                      <w:rFonts w:ascii="Arial"/>
                      <w:b/>
                      <w:sz w:val="51"/>
                    </w:rPr>
                  </w:pPr>
                  <w:r>
                    <w:rPr>
                      <w:rFonts w:ascii="Arial"/>
                      <w:b/>
                      <w:spacing w:val="-144"/>
                      <w:w w:val="87"/>
                      <w:sz w:val="51"/>
                    </w:rPr>
                    <w:t>1</w:t>
                  </w:r>
                </w:p>
              </w:txbxContent>
            </v:textbox>
            <w10:wrap type="none"/>
          </v:shape>
        </w:pict>
      </w:r>
      <w:r>
        <w:rPr>
          <w:b/>
          <w:w w:val="110"/>
          <w:sz w:val="12"/>
        </w:rPr>
        <w:t>10</w:t>
      </w:r>
    </w:p>
    <w:p>
      <w:pPr>
        <w:tabs>
          <w:tab w:pos="1329" w:val="left" w:leader="none"/>
        </w:tabs>
        <w:spacing w:before="34"/>
        <w:ind w:left="44" w:right="0" w:firstLine="0"/>
        <w:jc w:val="center"/>
        <w:rPr>
          <w:b/>
          <w:i/>
          <w:sz w:val="19"/>
        </w:rPr>
      </w:pPr>
      <w:r>
        <w:rPr>
          <w:w w:val="270"/>
          <w:sz w:val="19"/>
        </w:rPr>
        <w:t>-</w:t>
      </w:r>
      <w:r>
        <w:rPr>
          <w:spacing w:val="-91"/>
          <w:w w:val="270"/>
          <w:sz w:val="19"/>
        </w:rPr>
        <w:t> </w:t>
      </w:r>
      <w:r>
        <w:rPr>
          <w:b/>
          <w:i/>
          <w:w w:val="85"/>
          <w:sz w:val="19"/>
        </w:rPr>
        <w:t>r,p11</w:t>
      </w:r>
      <w:r>
        <w:rPr>
          <w:b/>
          <w:i/>
          <w:spacing w:val="-11"/>
          <w:w w:val="85"/>
          <w:sz w:val="19"/>
        </w:rPr>
        <w:t> </w:t>
      </w:r>
      <w:r>
        <w:rPr>
          <w:b/>
          <w:i/>
          <w:w w:val="85"/>
          <w:sz w:val="19"/>
        </w:rPr>
        <w:t>·</w:t>
      </w:r>
      <w:r>
        <w:rPr>
          <w:b/>
          <w:i/>
          <w:spacing w:val="-25"/>
          <w:w w:val="85"/>
          <w:sz w:val="19"/>
        </w:rPr>
        <w:t> </w:t>
      </w:r>
      <w:r>
        <w:rPr>
          <w:b/>
          <w:i/>
          <w:w w:val="85"/>
          <w:sz w:val="19"/>
        </w:rPr>
        <w:t>20P, </w:t>
      </w:r>
      <w:r>
        <w:rPr>
          <w:b/>
          <w:i/>
          <w:spacing w:val="22"/>
          <w:w w:val="85"/>
          <w:sz w:val="19"/>
        </w:rPr>
        <w:t> </w:t>
      </w:r>
      <w:r>
        <w:rPr>
          <w:rFonts w:ascii="Arial" w:hAnsi="Arial"/>
          <w:w w:val="130"/>
          <w:position w:val="-11"/>
          <w:sz w:val="11"/>
        </w:rPr>
        <w:t>0</w:t>
        <w:tab/>
      </w:r>
      <w:r>
        <w:rPr>
          <w:w w:val="130"/>
          <w:sz w:val="19"/>
        </w:rPr>
        <w:t>(1</w:t>
      </w:r>
      <w:r>
        <w:rPr>
          <w:spacing w:val="-36"/>
          <w:w w:val="130"/>
          <w:sz w:val="19"/>
        </w:rPr>
        <w:t> </w:t>
      </w:r>
      <w:r>
        <w:rPr>
          <w:w w:val="180"/>
          <w:sz w:val="19"/>
        </w:rPr>
        <w:t>-</w:t>
      </w:r>
      <w:r>
        <w:rPr>
          <w:spacing w:val="-69"/>
          <w:w w:val="180"/>
          <w:sz w:val="19"/>
        </w:rPr>
        <w:t> </w:t>
      </w:r>
      <w:r>
        <w:rPr>
          <w:b/>
          <w:i/>
          <w:w w:val="85"/>
          <w:sz w:val="19"/>
        </w:rPr>
        <w:t>•Pz),P11+6</w:t>
      </w:r>
      <w:r>
        <w:rPr>
          <w:b/>
          <w:i/>
          <w:spacing w:val="-30"/>
          <w:w w:val="85"/>
          <w:sz w:val="19"/>
        </w:rPr>
        <w:t> </w:t>
      </w:r>
      <w:r>
        <w:rPr>
          <w:b/>
          <w:i/>
          <w:w w:val="85"/>
          <w:sz w:val="19"/>
        </w:rPr>
        <w:t>"'11+1+•</w:t>
      </w:r>
      <w:r>
        <w:rPr>
          <w:b/>
          <w:i/>
          <w:spacing w:val="-16"/>
          <w:w w:val="85"/>
          <w:sz w:val="19"/>
        </w:rPr>
        <w:t> </w:t>
      </w:r>
      <w:r>
        <w:rPr>
          <w:b/>
          <w:i/>
          <w:w w:val="130"/>
          <w:sz w:val="19"/>
        </w:rPr>
        <w:t>ds</w:t>
      </w:r>
    </w:p>
    <w:p>
      <w:pPr>
        <w:tabs>
          <w:tab w:pos="2783" w:val="left" w:leader="none"/>
          <w:tab w:pos="5609" w:val="left" w:leader="none"/>
        </w:tabs>
        <w:spacing w:line="98" w:lineRule="exact" w:before="74"/>
        <w:ind w:left="1595" w:right="0" w:firstLine="0"/>
        <w:jc w:val="left"/>
        <w:rPr>
          <w:rFonts w:ascii="Arial"/>
          <w:b/>
          <w:sz w:val="11"/>
        </w:rPr>
      </w:pPr>
      <w:r>
        <w:rPr/>
        <w:pict>
          <v:shape style="position:absolute;margin-left:50.400002pt;margin-top:6.402851pt;width:6.85pt;height:12pt;mso-position-horizontal-relative:page;mso-position-vertical-relative:paragraph;z-index:20080" type="#_x0000_t202" filled="false" stroked="false">
            <v:textbox inset="0,0,0,0">
              <w:txbxContent>
                <w:p>
                  <w:pPr>
                    <w:spacing w:line="240" w:lineRule="exact" w:before="0"/>
                    <w:ind w:left="0" w:right="0" w:firstLine="0"/>
                    <w:jc w:val="left"/>
                    <w:rPr>
                      <w:sz w:val="24"/>
                    </w:rPr>
                  </w:pPr>
                  <w:r>
                    <w:rPr>
                      <w:w w:val="100"/>
                      <w:sz w:val="24"/>
                    </w:rPr>
                    <w:t>=</w:t>
                  </w:r>
                </w:p>
              </w:txbxContent>
            </v:textbox>
            <w10:wrap type="none"/>
          </v:shape>
        </w:pict>
      </w:r>
      <w:r>
        <w:rPr>
          <w:rFonts w:ascii="Arial"/>
          <w:b/>
          <w:w w:val="135"/>
          <w:sz w:val="11"/>
        </w:rPr>
        <w:t>1</w:t>
        <w:tab/>
        <w:t>1</w:t>
        <w:tab/>
        <w:t>1</w:t>
      </w:r>
    </w:p>
    <w:p>
      <w:pPr>
        <w:spacing w:line="190" w:lineRule="exact" w:before="0"/>
        <w:ind w:left="598" w:right="0" w:firstLine="0"/>
        <w:jc w:val="left"/>
        <w:rPr>
          <w:b/>
          <w:sz w:val="13"/>
        </w:rPr>
      </w:pPr>
      <w:r>
        <w:rPr/>
        <w:pict>
          <v:line style="position:absolute;mso-position-horizontal-relative:page;mso-position-vertical-relative:paragraph;z-index:-716104" from="156.779999pt,7.901801pt" to="159.479999pt,7.901801pt" stroked="true" strokeweight=".9pt" strokecolor="#000000">
            <w10:wrap type="none"/>
          </v:line>
        </w:pict>
      </w:r>
      <w:r>
        <w:rPr>
          <w:b/>
          <w:sz w:val="13"/>
        </w:rPr>
        <w:t>6P11</w:t>
      </w:r>
      <w:r>
        <w:rPr>
          <w:b/>
          <w:spacing w:val="-22"/>
          <w:sz w:val="13"/>
        </w:rPr>
        <w:t> </w:t>
      </w:r>
      <w:r>
        <w:rPr>
          <w:spacing w:val="-3"/>
          <w:w w:val="135"/>
          <w:sz w:val="13"/>
        </w:rPr>
        <w:t>·</w:t>
      </w:r>
      <w:r>
        <w:rPr>
          <w:b/>
          <w:spacing w:val="-3"/>
          <w:w w:val="135"/>
          <w:sz w:val="13"/>
        </w:rPr>
        <w:t>10pzC</w:t>
      </w:r>
      <w:r>
        <w:rPr>
          <w:b/>
          <w:spacing w:val="-36"/>
          <w:w w:val="135"/>
          <w:sz w:val="13"/>
        </w:rPr>
        <w:t> </w:t>
      </w:r>
      <w:r>
        <w:rPr>
          <w:b/>
          <w:sz w:val="13"/>
        </w:rPr>
        <w:t>1o</w:t>
      </w:r>
      <w:r>
        <w:rPr>
          <w:b/>
          <w:sz w:val="13"/>
          <w:u w:val="single"/>
        </w:rPr>
        <w:t>q1</w:t>
      </w:r>
      <w:r>
        <w:rPr>
          <w:b/>
          <w:sz w:val="13"/>
        </w:rPr>
        <w:t>1+6:ir+10</w:t>
      </w:r>
      <w:r>
        <w:rPr>
          <w:b/>
          <w:spacing w:val="-5"/>
          <w:sz w:val="13"/>
        </w:rPr>
        <w:t> </w:t>
      </w:r>
      <w:r>
        <w:rPr>
          <w:w w:val="355"/>
          <w:sz w:val="13"/>
        </w:rPr>
        <w:t>-</w:t>
      </w:r>
      <w:r>
        <w:rPr>
          <w:spacing w:val="-104"/>
          <w:w w:val="355"/>
          <w:sz w:val="13"/>
        </w:rPr>
        <w:t> </w:t>
      </w:r>
      <w:r>
        <w:rPr>
          <w:b/>
          <w:sz w:val="13"/>
        </w:rPr>
        <w:t>1oqz:11+6:ir+10</w:t>
      </w:r>
      <w:r>
        <w:rPr>
          <w:b/>
          <w:spacing w:val="-22"/>
          <w:sz w:val="13"/>
        </w:rPr>
        <w:t> </w:t>
      </w:r>
      <w:r>
        <w:rPr>
          <w:b/>
          <w:w w:val="135"/>
          <w:sz w:val="13"/>
        </w:rPr>
        <w:t>)</w:t>
      </w:r>
      <w:r>
        <w:rPr>
          <w:b/>
          <w:spacing w:val="-6"/>
          <w:w w:val="135"/>
          <w:sz w:val="13"/>
        </w:rPr>
        <w:t> </w:t>
      </w:r>
      <w:r>
        <w:rPr>
          <w:w w:val="355"/>
          <w:sz w:val="13"/>
        </w:rPr>
        <w:t>-</w:t>
      </w:r>
      <w:r>
        <w:rPr>
          <w:spacing w:val="-96"/>
          <w:w w:val="355"/>
          <w:sz w:val="13"/>
        </w:rPr>
        <w:t> </w:t>
      </w:r>
      <w:r>
        <w:rPr>
          <w:b/>
          <w:i/>
          <w:w w:val="90"/>
          <w:sz w:val="19"/>
        </w:rPr>
        <w:t>6P11</w:t>
      </w:r>
      <w:r>
        <w:rPr>
          <w:b/>
          <w:i/>
          <w:spacing w:val="-32"/>
          <w:w w:val="90"/>
          <w:sz w:val="19"/>
        </w:rPr>
        <w:t> </w:t>
      </w:r>
      <w:r>
        <w:rPr>
          <w:spacing w:val="-3"/>
          <w:sz w:val="19"/>
        </w:rPr>
        <w:t>·</w:t>
      </w:r>
      <w:r>
        <w:rPr>
          <w:b/>
          <w:i/>
          <w:spacing w:val="-3"/>
          <w:sz w:val="19"/>
        </w:rPr>
        <w:t>2opzC</w:t>
      </w:r>
      <w:r>
        <w:rPr>
          <w:b/>
          <w:i/>
          <w:spacing w:val="-34"/>
          <w:sz w:val="19"/>
        </w:rPr>
        <w:t> </w:t>
      </w:r>
      <w:r>
        <w:rPr>
          <w:b/>
          <w:sz w:val="13"/>
        </w:rPr>
        <w:t>1oq11H</w:t>
      </w:r>
      <w:r>
        <w:rPr>
          <w:b/>
          <w:spacing w:val="1"/>
          <w:sz w:val="13"/>
        </w:rPr>
        <w:t> </w:t>
      </w:r>
      <w:r>
        <w:rPr>
          <w:w w:val="355"/>
          <w:sz w:val="13"/>
        </w:rPr>
        <w:t>-</w:t>
      </w:r>
      <w:r>
        <w:rPr>
          <w:spacing w:val="-94"/>
          <w:w w:val="355"/>
          <w:sz w:val="13"/>
        </w:rPr>
        <w:t> </w:t>
      </w:r>
      <w:r>
        <w:rPr>
          <w:b/>
          <w:sz w:val="13"/>
        </w:rPr>
        <w:t>1oqz</w:t>
      </w:r>
      <w:r>
        <w:rPr>
          <w:b/>
          <w:sz w:val="13"/>
          <w:u w:val="single"/>
        </w:rPr>
        <w:t>:a</w:t>
      </w:r>
      <w:r>
        <w:rPr>
          <w:b/>
          <w:sz w:val="13"/>
        </w:rPr>
        <w:t>,+r,</w:t>
      </w:r>
      <w:r>
        <w:rPr>
          <w:b/>
          <w:spacing w:val="-23"/>
          <w:sz w:val="13"/>
        </w:rPr>
        <w:t> </w:t>
      </w:r>
      <w:r>
        <w:rPr>
          <w:b/>
          <w:w w:val="175"/>
          <w:sz w:val="13"/>
        </w:rPr>
        <w:t>).</w:t>
      </w:r>
    </w:p>
    <w:p>
      <w:pPr>
        <w:pStyle w:val="BodyText"/>
        <w:spacing w:line="249" w:lineRule="auto" w:before="99"/>
        <w:ind w:left="137" w:right="138" w:firstLine="205"/>
        <w:jc w:val="both"/>
      </w:pPr>
      <w:r>
        <w:rPr/>
        <w:pict>
          <v:shape style="position:absolute;margin-left:39.240002pt;margin-top:40.917141pt;width:8.85pt;height:28pt;mso-position-horizontal-relative:page;mso-position-vertical-relative:paragraph;z-index:-715960" type="#_x0000_t202" filled="false" stroked="false">
            <v:textbox inset="0,0,0,0">
              <w:txbxContent>
                <w:p>
                  <w:pPr>
                    <w:spacing w:line="560" w:lineRule="exact" w:before="0"/>
                    <w:ind w:left="0" w:right="0" w:firstLine="0"/>
                    <w:jc w:val="left"/>
                    <w:rPr>
                      <w:rFonts w:ascii="Arial"/>
                      <w:b/>
                      <w:sz w:val="56"/>
                    </w:rPr>
                  </w:pPr>
                  <w:r>
                    <w:rPr>
                      <w:rFonts w:ascii="Arial"/>
                      <w:b/>
                      <w:spacing w:val="-73"/>
                      <w:w w:val="79"/>
                      <w:sz w:val="56"/>
                    </w:rPr>
                    <w:t>1</w:t>
                  </w:r>
                </w:p>
              </w:txbxContent>
            </v:textbox>
            <w10:wrap type="none"/>
          </v:shape>
        </w:pict>
      </w:r>
      <w:r>
        <w:rPr>
          <w:w w:val="105"/>
        </w:rPr>
        <w:t>Consider next the probability that </w:t>
      </w:r>
      <w:r>
        <w:rPr>
          <w:rFonts w:ascii="Arial"/>
          <w:i/>
          <w:w w:val="105"/>
          <w:sz w:val="18"/>
        </w:rPr>
        <w:t>(x), </w:t>
      </w:r>
      <w:r>
        <w:rPr>
          <w:rFonts w:ascii="Arial"/>
          <w:i/>
          <w:w w:val="105"/>
          <w:sz w:val="19"/>
        </w:rPr>
        <w:t>(y ), </w:t>
      </w:r>
      <w:r>
        <w:rPr>
          <w:w w:val="105"/>
        </w:rPr>
        <w:t>and </w:t>
      </w:r>
      <w:r>
        <w:rPr>
          <w:rFonts w:ascii="Arial"/>
          <w:i/>
          <w:w w:val="105"/>
          <w:sz w:val="18"/>
        </w:rPr>
        <w:t>(z) </w:t>
      </w:r>
      <w:r>
        <w:rPr>
          <w:w w:val="105"/>
        </w:rPr>
        <w:t>will die in the order named, </w:t>
      </w:r>
      <w:r>
        <w:rPr>
          <w:rFonts w:ascii="Arial"/>
          <w:i/>
          <w:w w:val="105"/>
          <w:sz w:val="19"/>
        </w:rPr>
        <w:t>(y ) </w:t>
      </w:r>
      <w:r>
        <w:rPr>
          <w:w w:val="105"/>
        </w:rPr>
        <w:t>within  five years of  </w:t>
      </w:r>
      <w:r>
        <w:rPr>
          <w:rFonts w:ascii="Arial"/>
          <w:i/>
          <w:w w:val="105"/>
          <w:sz w:val="18"/>
        </w:rPr>
        <w:t>(x), </w:t>
      </w:r>
      <w:r>
        <w:rPr>
          <w:w w:val="105"/>
        </w:rPr>
        <w:t>and </w:t>
      </w:r>
      <w:r>
        <w:rPr>
          <w:rFonts w:ascii="Arial"/>
          <w:i/>
          <w:w w:val="105"/>
          <w:sz w:val="18"/>
        </w:rPr>
        <w:t>(z) </w:t>
      </w:r>
      <w:r>
        <w:rPr>
          <w:w w:val="105"/>
        </w:rPr>
        <w:t>within ten years of  </w:t>
      </w:r>
      <w:r>
        <w:rPr>
          <w:w w:val="105"/>
          <w:sz w:val="19"/>
        </w:rPr>
        <w:t>(y). </w:t>
      </w:r>
      <w:r>
        <w:rPr>
          <w:w w:val="105"/>
        </w:rPr>
        <w:t>This probability  may be expressed  as</w:t>
      </w:r>
    </w:p>
    <w:p>
      <w:pPr>
        <w:spacing w:before="100"/>
        <w:ind w:left="303" w:right="0" w:firstLine="0"/>
        <w:jc w:val="left"/>
        <w:rPr>
          <w:b/>
          <w:sz w:val="13"/>
        </w:rPr>
      </w:pPr>
      <w:r>
        <w:rPr>
          <w:b/>
          <w:w w:val="94"/>
          <w:sz w:val="13"/>
        </w:rPr>
        <w:t>6</w:t>
      </w:r>
    </w:p>
    <w:p>
      <w:pPr>
        <w:spacing w:before="10"/>
        <w:ind w:left="436" w:right="0" w:firstLine="0"/>
        <w:jc w:val="left"/>
        <w:rPr>
          <w:b/>
          <w:i/>
          <w:sz w:val="21"/>
        </w:rPr>
      </w:pPr>
      <w:r>
        <w:rPr>
          <w:w w:val="130"/>
          <w:sz w:val="13"/>
        </w:rPr>
        <w:t>( </w:t>
      </w:r>
      <w:r>
        <w:rPr>
          <w:b/>
          <w:w w:val="130"/>
          <w:sz w:val="20"/>
        </w:rPr>
        <w:t>l </w:t>
      </w:r>
      <w:r>
        <w:rPr>
          <w:w w:val="245"/>
          <w:sz w:val="20"/>
        </w:rPr>
        <w:t>-</w:t>
      </w:r>
      <w:r>
        <w:rPr>
          <w:spacing w:val="-89"/>
          <w:w w:val="245"/>
          <w:sz w:val="20"/>
        </w:rPr>
        <w:t> </w:t>
      </w:r>
      <w:r>
        <w:rPr>
          <w:b/>
          <w:i/>
          <w:w w:val="85"/>
          <w:sz w:val="19"/>
        </w:rPr>
        <w:t>tPz ) tP11"'11+tC </w:t>
      </w:r>
      <w:r>
        <w:rPr>
          <w:b/>
          <w:i/>
          <w:w w:val="85"/>
          <w:sz w:val="20"/>
        </w:rPr>
        <w:t>tPa </w:t>
      </w:r>
      <w:r>
        <w:rPr>
          <w:w w:val="245"/>
          <w:sz w:val="20"/>
        </w:rPr>
        <w:t>-</w:t>
      </w:r>
      <w:r>
        <w:rPr>
          <w:spacing w:val="-89"/>
          <w:w w:val="245"/>
          <w:sz w:val="20"/>
        </w:rPr>
        <w:t> </w:t>
      </w:r>
      <w:r>
        <w:rPr>
          <w:b/>
          <w:w w:val="130"/>
          <w:sz w:val="13"/>
        </w:rPr>
        <w:t>t+toPa </w:t>
      </w:r>
      <w:r>
        <w:rPr>
          <w:b/>
          <w:w w:val="135"/>
          <w:sz w:val="13"/>
        </w:rPr>
        <w:t>) </w:t>
      </w:r>
      <w:r>
        <w:rPr>
          <w:b/>
          <w:i/>
          <w:w w:val="85"/>
          <w:sz w:val="21"/>
        </w:rPr>
        <w:t>dt</w:t>
      </w:r>
    </w:p>
    <w:p>
      <w:pPr>
        <w:pStyle w:val="BodyText"/>
        <w:spacing w:before="9"/>
        <w:rPr>
          <w:b/>
          <w:i/>
          <w:sz w:val="17"/>
        </w:rPr>
      </w:pPr>
    </w:p>
    <w:p>
      <w:pPr>
        <w:spacing w:before="0"/>
        <w:ind w:left="130" w:right="0" w:firstLine="2026"/>
        <w:jc w:val="left"/>
        <w:rPr>
          <w:rFonts w:ascii="Arial"/>
          <w:b/>
          <w:i/>
          <w:sz w:val="20"/>
        </w:rPr>
      </w:pPr>
      <w:r>
        <w:rPr>
          <w:rFonts w:ascii="Arial"/>
          <w:w w:val="104"/>
          <w:sz w:val="32"/>
        </w:rPr>
        <w:t>+</w:t>
      </w:r>
      <w:r>
        <w:rPr>
          <w:rFonts w:ascii="Arial"/>
          <w:spacing w:val="-30"/>
          <w:sz w:val="32"/>
        </w:rPr>
        <w:t> </w:t>
      </w:r>
      <w:r>
        <w:rPr>
          <w:rFonts w:ascii="Arial"/>
          <w:i/>
          <w:spacing w:val="22"/>
          <w:w w:val="140"/>
          <w:sz w:val="32"/>
        </w:rPr>
        <w:t>{</w:t>
      </w:r>
      <w:r>
        <w:rPr>
          <w:rFonts w:ascii="Arial"/>
          <w:i/>
          <w:w w:val="25"/>
          <w:sz w:val="32"/>
        </w:rPr>
        <w:t>_,</w:t>
      </w:r>
      <w:r>
        <w:rPr>
          <w:rFonts w:ascii="Arial"/>
          <w:i/>
          <w:spacing w:val="-7"/>
          <w:sz w:val="32"/>
        </w:rPr>
        <w:t> </w:t>
      </w:r>
      <w:r>
        <w:rPr>
          <w:b/>
          <w:i/>
          <w:w w:val="67"/>
          <w:sz w:val="20"/>
        </w:rPr>
        <w:t>(</w:t>
      </w:r>
      <w:r>
        <w:rPr>
          <w:b/>
          <w:i/>
          <w:spacing w:val="-6"/>
          <w:sz w:val="20"/>
        </w:rPr>
        <w:t> </w:t>
      </w:r>
      <w:r>
        <w:rPr>
          <w:b/>
          <w:i/>
          <w:w w:val="98"/>
          <w:sz w:val="20"/>
        </w:rPr>
        <w:t>t-iPz</w:t>
      </w:r>
      <w:r>
        <w:rPr>
          <w:b/>
          <w:i/>
          <w:sz w:val="20"/>
        </w:rPr>
        <w:t> </w:t>
      </w:r>
      <w:r>
        <w:rPr>
          <w:b/>
          <w:i/>
          <w:spacing w:val="-2"/>
          <w:sz w:val="20"/>
        </w:rPr>
        <w:t> </w:t>
      </w:r>
      <w:r>
        <w:rPr>
          <w:w w:val="282"/>
          <w:sz w:val="20"/>
        </w:rPr>
        <w:t>-</w:t>
      </w:r>
      <w:r>
        <w:rPr>
          <w:spacing w:val="6"/>
          <w:sz w:val="20"/>
        </w:rPr>
        <w:t> </w:t>
      </w:r>
      <w:r>
        <w:rPr>
          <w:b/>
          <w:i/>
          <w:w w:val="84"/>
          <w:sz w:val="20"/>
        </w:rPr>
        <w:t>tPz</w:t>
      </w:r>
      <w:r>
        <w:rPr>
          <w:b/>
          <w:i/>
          <w:spacing w:val="-19"/>
          <w:sz w:val="20"/>
        </w:rPr>
        <w:t> </w:t>
      </w:r>
      <w:r>
        <w:rPr>
          <w:b/>
          <w:i/>
          <w:w w:val="58"/>
          <w:sz w:val="20"/>
        </w:rPr>
        <w:t>)</w:t>
      </w:r>
      <w:r>
        <w:rPr>
          <w:b/>
          <w:i/>
          <w:w w:val="58"/>
          <w:sz w:val="20"/>
        </w:rPr>
        <w:t>t'PII</w:t>
      </w:r>
      <w:r>
        <w:rPr>
          <w:b/>
          <w:i/>
          <w:spacing w:val="-13"/>
          <w:sz w:val="20"/>
        </w:rPr>
        <w:t> </w:t>
      </w:r>
      <w:r>
        <w:rPr>
          <w:b/>
          <w:i/>
          <w:w w:val="78"/>
          <w:sz w:val="20"/>
        </w:rPr>
        <w:t>J.'u+l</w:t>
      </w:r>
      <w:r>
        <w:rPr>
          <w:b/>
          <w:i/>
          <w:spacing w:val="5"/>
          <w:sz w:val="20"/>
        </w:rPr>
        <w:t> </w:t>
      </w:r>
      <w:r>
        <w:rPr>
          <w:b/>
          <w:i/>
          <w:w w:val="81"/>
          <w:sz w:val="20"/>
        </w:rPr>
        <w:t>tPz</w:t>
      </w:r>
      <w:r>
        <w:rPr>
          <w:b/>
          <w:i/>
          <w:sz w:val="20"/>
        </w:rPr>
        <w:t> </w:t>
      </w:r>
      <w:r>
        <w:rPr>
          <w:b/>
          <w:i/>
          <w:spacing w:val="-4"/>
          <w:sz w:val="20"/>
        </w:rPr>
        <w:t> </w:t>
      </w:r>
      <w:r>
        <w:rPr>
          <w:w w:val="282"/>
          <w:sz w:val="20"/>
        </w:rPr>
        <w:t>-</w:t>
      </w:r>
      <w:r>
        <w:rPr>
          <w:spacing w:val="9"/>
          <w:sz w:val="20"/>
        </w:rPr>
        <w:t> </w:t>
      </w:r>
      <w:r>
        <w:rPr>
          <w:b/>
          <w:w w:val="87"/>
          <w:sz w:val="16"/>
        </w:rPr>
        <w:t>t+lOPz</w:t>
      </w:r>
      <w:r>
        <w:rPr>
          <w:b/>
          <w:spacing w:val="-7"/>
          <w:sz w:val="16"/>
        </w:rPr>
        <w:t> </w:t>
      </w:r>
      <w:r>
        <w:rPr>
          <w:b/>
          <w:w w:val="109"/>
          <w:sz w:val="16"/>
        </w:rPr>
        <w:t>)</w:t>
      </w:r>
      <w:r>
        <w:rPr>
          <w:b/>
          <w:sz w:val="16"/>
        </w:rPr>
        <w:t> </w:t>
      </w:r>
      <w:r>
        <w:rPr>
          <w:b/>
          <w:spacing w:val="-2"/>
          <w:sz w:val="16"/>
        </w:rPr>
        <w:t> </w:t>
      </w:r>
      <w:r>
        <w:rPr>
          <w:rFonts w:ascii="Arial"/>
          <w:b/>
          <w:i/>
          <w:w w:val="84"/>
          <w:sz w:val="20"/>
        </w:rPr>
        <w:t>dt,</w:t>
      </w:r>
    </w:p>
    <w:p>
      <w:pPr>
        <w:pStyle w:val="BodyText"/>
        <w:spacing w:line="247" w:lineRule="auto" w:before="202"/>
        <w:ind w:left="130" w:right="139"/>
        <w:jc w:val="both"/>
      </w:pPr>
      <w:r>
        <w:rPr/>
        <w:t>since, if </w:t>
      </w:r>
      <w:r>
        <w:rPr>
          <w:rFonts w:ascii="Arial" w:hAnsi="Arial"/>
          <w:i/>
          <w:spacing w:val="5"/>
          <w:sz w:val="19"/>
        </w:rPr>
        <w:t>(y </w:t>
      </w:r>
      <w:r>
        <w:rPr>
          <w:rFonts w:ascii="Arial" w:hAnsi="Arial"/>
          <w:i/>
          <w:sz w:val="19"/>
        </w:rPr>
        <w:t>)  </w:t>
      </w:r>
      <w:r>
        <w:rPr/>
        <w:t>dies within  the first five years, he must be  predeceased  by </w:t>
      </w:r>
      <w:r>
        <w:rPr>
          <w:rFonts w:ascii="Arial" w:hAnsi="Arial"/>
          <w:i/>
          <w:sz w:val="18"/>
        </w:rPr>
        <w:t>(x), </w:t>
      </w:r>
      <w:r>
        <w:rPr/>
        <w:t>and if </w:t>
      </w:r>
      <w:r>
        <w:rPr>
          <w:sz w:val="19"/>
        </w:rPr>
        <w:t>(y) dies </w:t>
      </w:r>
      <w:r>
        <w:rPr/>
        <w:t>after five years,  the  prior  death  of  </w:t>
      </w:r>
      <w:r>
        <w:rPr>
          <w:rFonts w:ascii="Arial" w:hAnsi="Arial"/>
          <w:i/>
          <w:sz w:val="18"/>
        </w:rPr>
        <w:t>(x)  </w:t>
      </w:r>
      <w:r>
        <w:rPr/>
        <w:t>must have occurred within five years,  the  death  of  (z} occurring  within ten years after that of  </w:t>
      </w:r>
      <w:r>
        <w:rPr>
          <w:sz w:val="19"/>
        </w:rPr>
        <w:t>(y)  </w:t>
      </w:r>
      <w:r>
        <w:rPr/>
        <w:t>in  either  </w:t>
      </w:r>
      <w:r>
        <w:rPr>
          <w:sz w:val="21"/>
        </w:rPr>
        <w:t>case.  </w:t>
      </w:r>
      <w:r>
        <w:rPr/>
        <w:t>The  student  may  verify </w:t>
      </w:r>
      <w:r>
        <w:rPr>
          <w:sz w:val="21"/>
        </w:rPr>
        <w:t>that </w:t>
      </w:r>
      <w:r>
        <w:rPr/>
        <w:t>the integrals reduce to the following expression  involving  sim­  ple  contingent </w:t>
      </w:r>
      <w:r>
        <w:rPr>
          <w:spacing w:val="43"/>
        </w:rPr>
        <w:t> </w:t>
      </w:r>
      <w:r>
        <w:rPr/>
        <w:t>functions:</w:t>
      </w:r>
    </w:p>
    <w:p>
      <w:pPr>
        <w:pStyle w:val="BodyText"/>
        <w:spacing w:before="7"/>
        <w:rPr>
          <w:sz w:val="9"/>
        </w:rPr>
      </w:pPr>
    </w:p>
    <w:p>
      <w:pPr>
        <w:tabs>
          <w:tab w:pos="979" w:val="left" w:leader="none"/>
          <w:tab w:pos="1721" w:val="left" w:leader="none"/>
          <w:tab w:pos="2941" w:val="left" w:leader="none"/>
          <w:tab w:pos="3381" w:val="left" w:leader="none"/>
        </w:tabs>
        <w:spacing w:line="111" w:lineRule="exact" w:before="0"/>
        <w:ind w:left="274" w:right="0" w:firstLine="0"/>
        <w:jc w:val="left"/>
        <w:rPr>
          <w:rFonts w:ascii="Arial"/>
          <w:sz w:val="12"/>
        </w:rPr>
      </w:pPr>
      <w:r>
        <w:rPr>
          <w:rFonts w:ascii="Arial"/>
          <w:b/>
          <w:w w:val="135"/>
          <w:sz w:val="12"/>
        </w:rPr>
        <w:t>1</w:t>
        <w:tab/>
        <w:t>1</w:t>
        <w:tab/>
      </w:r>
      <w:r>
        <w:rPr>
          <w:rFonts w:ascii="Arial"/>
          <w:w w:val="170"/>
          <w:sz w:val="12"/>
        </w:rPr>
        <w:t>( </w:t>
      </w:r>
      <w:r>
        <w:rPr>
          <w:rFonts w:ascii="Arial"/>
          <w:spacing w:val="43"/>
          <w:w w:val="170"/>
          <w:sz w:val="12"/>
        </w:rPr>
        <w:t> </w:t>
      </w:r>
      <w:r>
        <w:rPr>
          <w:rFonts w:ascii="Arial"/>
          <w:b/>
          <w:w w:val="135"/>
          <w:sz w:val="12"/>
        </w:rPr>
        <w:t>1</w:t>
        <w:tab/>
        <w:t>1</w:t>
        <w:tab/>
      </w:r>
      <w:r>
        <w:rPr>
          <w:rFonts w:ascii="Arial"/>
          <w:w w:val="170"/>
          <w:sz w:val="12"/>
        </w:rPr>
        <w:t>)</w:t>
      </w:r>
    </w:p>
    <w:p>
      <w:pPr>
        <w:spacing w:line="123" w:lineRule="exact" w:before="0"/>
        <w:ind w:left="119" w:right="0" w:firstLine="0"/>
        <w:jc w:val="left"/>
        <w:rPr>
          <w:b/>
          <w:sz w:val="13"/>
        </w:rPr>
      </w:pPr>
      <w:r>
        <w:rPr>
          <w:rFonts w:ascii="Arial" w:hAnsi="Arial"/>
          <w:b/>
          <w:i/>
          <w:sz w:val="11"/>
        </w:rPr>
        <w:t>r,q11z  </w:t>
      </w:r>
      <w:r>
        <w:rPr>
          <w:rFonts w:ascii="Arial" w:hAnsi="Arial"/>
          <w:w w:val="460"/>
          <w:sz w:val="11"/>
        </w:rPr>
        <w:t>-</w:t>
      </w:r>
      <w:r>
        <w:rPr>
          <w:rFonts w:ascii="Arial" w:hAnsi="Arial"/>
          <w:spacing w:val="-89"/>
          <w:w w:val="460"/>
          <w:sz w:val="11"/>
        </w:rPr>
        <w:t> </w:t>
      </w:r>
      <w:r>
        <w:rPr>
          <w:rFonts w:ascii="Arial" w:hAnsi="Arial"/>
          <w:b/>
          <w:i/>
          <w:sz w:val="11"/>
        </w:rPr>
        <w:t>ooq:r¡¡z  </w:t>
      </w:r>
      <w:r>
        <w:rPr>
          <w:rFonts w:ascii="Arial" w:hAnsi="Arial"/>
          <w:w w:val="460"/>
          <w:sz w:val="11"/>
        </w:rPr>
        <w:t>-</w:t>
      </w:r>
      <w:r>
        <w:rPr>
          <w:rFonts w:ascii="Arial" w:hAnsi="Arial"/>
          <w:spacing w:val="-87"/>
          <w:w w:val="460"/>
          <w:sz w:val="11"/>
        </w:rPr>
        <w:t> </w:t>
      </w:r>
      <w:r>
        <w:rPr>
          <w:b/>
          <w:sz w:val="13"/>
        </w:rPr>
        <w:t>lOPz  6q11:z+10  </w:t>
      </w:r>
      <w:r>
        <w:rPr>
          <w:w w:val="395"/>
          <w:sz w:val="13"/>
        </w:rPr>
        <w:t>-</w:t>
      </w:r>
      <w:r>
        <w:rPr>
          <w:spacing w:val="-82"/>
          <w:w w:val="395"/>
          <w:sz w:val="13"/>
        </w:rPr>
        <w:t> </w:t>
      </w:r>
      <w:r>
        <w:rPr>
          <w:b/>
          <w:sz w:val="13"/>
        </w:rPr>
        <w:t>coqz¡¡:z+lO</w:t>
      </w:r>
    </w:p>
    <w:p>
      <w:pPr>
        <w:tabs>
          <w:tab w:pos="3568" w:val="left" w:leader="none"/>
          <w:tab w:pos="5271" w:val="left" w:leader="none"/>
        </w:tabs>
        <w:spacing w:line="193" w:lineRule="exact" w:before="23"/>
        <w:ind w:left="2531" w:right="0" w:firstLine="0"/>
        <w:jc w:val="left"/>
        <w:rPr>
          <w:b/>
          <w:sz w:val="12"/>
        </w:rPr>
      </w:pPr>
      <w:r>
        <w:rPr>
          <w:rFonts w:ascii="Arial"/>
          <w:w w:val="110"/>
          <w:position w:val="-14"/>
          <w:sz w:val="32"/>
        </w:rPr>
        <w:t>+</w:t>
        <w:tab/>
      </w:r>
      <w:r>
        <w:rPr>
          <w:b/>
          <w:w w:val="110"/>
          <w:sz w:val="12"/>
        </w:rPr>
        <w:t>1</w:t>
        <w:tab/>
        <w:t>1</w:t>
      </w:r>
    </w:p>
    <w:p>
      <w:pPr>
        <w:spacing w:line="133" w:lineRule="exact" w:before="0"/>
        <w:ind w:left="2780" w:right="0" w:firstLine="0"/>
        <w:jc w:val="left"/>
        <w:rPr>
          <w:b/>
          <w:sz w:val="13"/>
        </w:rPr>
      </w:pPr>
      <w:r>
        <w:rPr/>
        <w:pict>
          <v:line style="position:absolute;mso-position-horizontal-relative:page;mso-position-vertical-relative:paragraph;z-index:-716080" from="196.020004pt,5.590379pt" to="198.900004pt,5.590379pt" stroked="true" strokeweight=".72pt" strokecolor="#000000">
            <w10:wrap type="none"/>
          </v:line>
        </w:pict>
      </w:r>
      <w:r>
        <w:rPr/>
        <w:pict>
          <v:line style="position:absolute;mso-position-horizontal-relative:page;mso-position-vertical-relative:paragraph;z-index:-716056" from="280.980011pt,5.590379pt" to="284.040011pt,5.590379pt" stroked="true" strokeweight=".72pt" strokecolor="#000000">
            <w10:wrap type="none"/>
          </v:line>
        </w:pict>
      </w:r>
      <w:r>
        <w:rPr>
          <w:b/>
          <w:w w:val="110"/>
          <w:sz w:val="13"/>
        </w:rPr>
        <w:t>6P11icoqz:11+6:z-t6 </w:t>
      </w:r>
      <w:r>
        <w:rPr>
          <w:w w:val="275"/>
          <w:sz w:val="13"/>
        </w:rPr>
        <w:t>-</w:t>
      </w:r>
      <w:r>
        <w:rPr>
          <w:spacing w:val="-72"/>
          <w:w w:val="275"/>
          <w:sz w:val="13"/>
        </w:rPr>
        <w:t> </w:t>
      </w:r>
      <w:r>
        <w:rPr>
          <w:b/>
          <w:w w:val="110"/>
          <w:sz w:val="13"/>
        </w:rPr>
        <w:t>lOPa+lí ·ooqz:11+6:11+16)•</w:t>
      </w:r>
    </w:p>
    <w:p>
      <w:pPr>
        <w:pStyle w:val="BodyText"/>
        <w:spacing w:line="247" w:lineRule="auto" w:before="105"/>
        <w:ind w:left="130" w:right="137" w:firstLine="198"/>
        <w:jc w:val="both"/>
      </w:pPr>
      <w:r>
        <w:rPr/>
        <w:drawing>
          <wp:anchor distT="0" distB="0" distL="0" distR="0" allowOverlap="1" layoutInCell="1" locked="0" behindDoc="0" simplePos="0" relativeHeight="19936">
            <wp:simplePos x="0" y="0"/>
            <wp:positionH relativeFrom="page">
              <wp:posOffset>484631</wp:posOffset>
            </wp:positionH>
            <wp:positionV relativeFrom="paragraph">
              <wp:posOffset>1485975</wp:posOffset>
            </wp:positionV>
            <wp:extent cx="3648455" cy="658368"/>
            <wp:effectExtent l="0" t="0" r="0" b="0"/>
            <wp:wrapTopAndBottom/>
            <wp:docPr id="595" name="image303.png" descr=""/>
            <wp:cNvGraphicFramePr>
              <a:graphicFrameLocks noChangeAspect="1"/>
            </wp:cNvGraphicFramePr>
            <a:graphic>
              <a:graphicData uri="http://schemas.openxmlformats.org/drawingml/2006/picture">
                <pic:pic>
                  <pic:nvPicPr>
                    <pic:cNvPr id="596" name="image303.png"/>
                    <pic:cNvPicPr/>
                  </pic:nvPicPr>
                  <pic:blipFill>
                    <a:blip r:embed="rId307" cstate="print"/>
                    <a:stretch>
                      <a:fillRect/>
                    </a:stretch>
                  </pic:blipFill>
                  <pic:spPr>
                    <a:xfrm>
                      <a:off x="0" y="0"/>
                      <a:ext cx="3648455" cy="658368"/>
                    </a:xfrm>
                    <a:prstGeom prst="rect">
                      <a:avLst/>
                    </a:prstGeom>
                  </pic:spPr>
                </pic:pic>
              </a:graphicData>
            </a:graphic>
          </wp:anchor>
        </w:drawing>
      </w:r>
      <w:r>
        <w:rPr>
          <w:w w:val="105"/>
        </w:rPr>
        <w:t>Suppose that we require the probability that the three lives </w:t>
      </w:r>
      <w:r>
        <w:rPr>
          <w:w w:val="105"/>
          <w:sz w:val="19"/>
        </w:rPr>
        <w:t>(10), </w:t>
      </w:r>
      <w:r>
        <w:rPr>
          <w:w w:val="105"/>
        </w:rPr>
        <w:t>(20), (30} will all die between ages 40 and 80 and in the order named, the first and second deaths occurring within five years of each other, with the second and third deaths separated by  </w:t>
      </w:r>
      <w:r>
        <w:rPr>
          <w:w w:val="105"/>
          <w:sz w:val="21"/>
        </w:rPr>
        <w:t>at </w:t>
      </w:r>
      <w:r>
        <w:rPr>
          <w:w w:val="105"/>
        </w:rPr>
        <w:t>least five years. </w:t>
      </w:r>
      <w:r>
        <w:rPr>
          <w:w w:val="105"/>
          <w:sz w:val="21"/>
        </w:rPr>
        <w:t>I</w:t>
      </w:r>
      <w:r>
        <w:rPr>
          <w:w w:val="105"/>
        </w:rPr>
        <w:t>t may </w:t>
      </w:r>
      <w:r>
        <w:rPr>
          <w:w w:val="105"/>
          <w:sz w:val="21"/>
        </w:rPr>
        <w:t>be </w:t>
      </w:r>
      <w:r>
        <w:rPr>
          <w:w w:val="105"/>
        </w:rPr>
        <w:t>noted that, in order to </w:t>
      </w:r>
      <w:r>
        <w:rPr>
          <w:w w:val="105"/>
          <w:sz w:val="21"/>
        </w:rPr>
        <w:t>fulfill </w:t>
      </w:r>
      <w:r>
        <w:rPr>
          <w:w w:val="105"/>
        </w:rPr>
        <w:t>these conditions, the life </w:t>
      </w:r>
      <w:r>
        <w:rPr>
          <w:w w:val="105"/>
          <w:sz w:val="19"/>
        </w:rPr>
        <w:t>(20) </w:t>
      </w:r>
      <w:r>
        <w:rPr>
          <w:w w:val="105"/>
        </w:rPr>
        <w:t>must die within the period from  thirty  to forty-five years from the present, and that two separa.te integrals must </w:t>
      </w:r>
      <w:r>
        <w:rPr>
          <w:rFonts w:ascii="Arial"/>
          <w:w w:val="105"/>
          <w:sz w:val="18"/>
        </w:rPr>
        <w:t>be </w:t>
      </w:r>
      <w:r>
        <w:rPr>
          <w:w w:val="105"/>
        </w:rPr>
        <w:t>written to take account of (lO)'s predeceasing (20) within five years. </w:t>
      </w:r>
      <w:r>
        <w:rPr>
          <w:w w:val="105"/>
          <w:sz w:val="21"/>
        </w:rPr>
        <w:t>We </w:t>
      </w:r>
      <w:r>
        <w:rPr>
          <w:w w:val="105"/>
        </w:rPr>
        <w:t>thus have</w:t>
      </w:r>
    </w:p>
    <w:p>
      <w:pPr>
        <w:spacing w:after="0" w:line="247" w:lineRule="auto"/>
        <w:jc w:val="both"/>
        <w:sectPr>
          <w:pgSz w:w="7200" w:h="11340"/>
          <w:pgMar w:top="500" w:bottom="280" w:left="640" w:right="540"/>
        </w:sectPr>
      </w:pPr>
    </w:p>
    <w:p>
      <w:pPr>
        <w:tabs>
          <w:tab w:pos="1970" w:val="left" w:leader="none"/>
          <w:tab w:pos="5851" w:val="right" w:leader="none"/>
        </w:tabs>
        <w:spacing w:before="61"/>
        <w:ind w:left="118" w:right="0" w:firstLine="0"/>
        <w:jc w:val="left"/>
        <w:rPr>
          <w:sz w:val="20"/>
        </w:rPr>
      </w:pPr>
      <w:r>
        <w:rPr>
          <w:b/>
          <w:color w:val="010101"/>
          <w:sz w:val="15"/>
        </w:rPr>
        <w:t>SEC. </w:t>
      </w:r>
      <w:r>
        <w:rPr>
          <w:b/>
          <w:color w:val="010101"/>
          <w:spacing w:val="37"/>
          <w:sz w:val="15"/>
        </w:rPr>
        <w:t> </w:t>
      </w:r>
      <w:r>
        <w:rPr>
          <w:color w:val="010101"/>
          <w:sz w:val="20"/>
        </w:rPr>
        <w:t>5]</w:t>
        <w:tab/>
      </w:r>
      <w:r>
        <w:rPr>
          <w:b/>
          <w:color w:val="010101"/>
          <w:position w:val="1"/>
          <w:sz w:val="15"/>
        </w:rPr>
        <w:t>SUMMARY </w:t>
      </w:r>
      <w:r>
        <w:rPr>
          <w:b/>
          <w:color w:val="010101"/>
          <w:spacing w:val="33"/>
          <w:position w:val="1"/>
          <w:sz w:val="15"/>
        </w:rPr>
        <w:t> </w:t>
      </w:r>
      <w:r>
        <w:rPr>
          <w:b/>
          <w:color w:val="010101"/>
          <w:position w:val="1"/>
          <w:sz w:val="15"/>
        </w:rPr>
        <w:t>OF </w:t>
      </w:r>
      <w:r>
        <w:rPr>
          <w:b/>
          <w:color w:val="010101"/>
          <w:spacing w:val="21"/>
          <w:position w:val="1"/>
          <w:sz w:val="15"/>
        </w:rPr>
        <w:t> </w:t>
      </w:r>
      <w:r>
        <w:rPr>
          <w:b/>
          <w:color w:val="010101"/>
          <w:position w:val="1"/>
          <w:sz w:val="15"/>
        </w:rPr>
        <w:t>NOTATION</w:t>
      </w:r>
      <w:r>
        <w:rPr>
          <w:color w:val="010101"/>
          <w:sz w:val="20"/>
        </w:rPr>
        <w:tab/>
        <w:t>251</w:t>
      </w:r>
    </w:p>
    <w:p>
      <w:pPr>
        <w:pStyle w:val="BodyText"/>
        <w:spacing w:before="7"/>
      </w:pPr>
    </w:p>
    <w:p>
      <w:pPr>
        <w:pStyle w:val="BodyText"/>
        <w:spacing w:line="249" w:lineRule="auto"/>
        <w:ind w:left="115" w:right="170" w:firstLine="193"/>
        <w:jc w:val="both"/>
      </w:pPr>
      <w:r>
        <w:rPr>
          <w:color w:val="010101"/>
          <w:w w:val="105"/>
        </w:rPr>
        <w:t>As an example involving four lives, consider the probability that </w:t>
      </w:r>
      <w:r>
        <w:rPr>
          <w:rFonts w:ascii="Arial"/>
          <w:i/>
          <w:color w:val="010101"/>
          <w:w w:val="105"/>
          <w:sz w:val="18"/>
        </w:rPr>
        <w:t>(w), </w:t>
      </w:r>
      <w:r>
        <w:rPr>
          <w:rFonts w:ascii="Arial"/>
          <w:i/>
          <w:color w:val="010101"/>
          <w:w w:val="105"/>
          <w:sz w:val="19"/>
        </w:rPr>
        <w:t>(x), (y), </w:t>
      </w:r>
      <w:r>
        <w:rPr>
          <w:color w:val="010101"/>
          <w:w w:val="105"/>
        </w:rPr>
        <w:t>and </w:t>
      </w:r>
      <w:r>
        <w:rPr>
          <w:rFonts w:ascii="Arial"/>
          <w:i/>
          <w:color w:val="010101"/>
          <w:w w:val="105"/>
          <w:sz w:val="19"/>
        </w:rPr>
        <w:t>(z) </w:t>
      </w:r>
      <w:r>
        <w:rPr>
          <w:color w:val="010101"/>
          <w:w w:val="105"/>
        </w:rPr>
        <w:t>will die in the order named, the  first  two deaths occurring within the first fivc ycars with not more than two years separating each of the last threc deaths. This probability requires  a double integral:</w:t>
      </w:r>
    </w:p>
    <w:p>
      <w:pPr>
        <w:spacing w:before="4"/>
        <w:ind w:left="242" w:right="279" w:firstLine="0"/>
        <w:jc w:val="center"/>
        <w:rPr>
          <w:b/>
          <w:i/>
          <w:sz w:val="21"/>
        </w:rPr>
      </w:pPr>
      <w:r>
        <w:rPr>
          <w:b/>
          <w:i/>
          <w:color w:val="010101"/>
          <w:w w:val="80"/>
          <w:sz w:val="39"/>
        </w:rPr>
        <w:t>f.' </w:t>
      </w:r>
      <w:r>
        <w:rPr>
          <w:b/>
          <w:color w:val="010101"/>
          <w:w w:val="120"/>
          <w:sz w:val="21"/>
        </w:rPr>
        <w:t>(1 </w:t>
      </w:r>
      <w:r>
        <w:rPr>
          <w:color w:val="010101"/>
          <w:w w:val="120"/>
          <w:sz w:val="21"/>
        </w:rPr>
        <w:t>- </w:t>
      </w:r>
      <w:r>
        <w:rPr>
          <w:b/>
          <w:color w:val="010101"/>
          <w:w w:val="120"/>
          <w:sz w:val="21"/>
        </w:rPr>
        <w:t>,p.),p,i,* </w:t>
      </w:r>
      <w:r>
        <w:rPr>
          <w:b/>
          <w:color w:val="010101"/>
          <w:w w:val="80"/>
          <w:sz w:val="46"/>
        </w:rPr>
        <w:t>(f.'+t</w:t>
      </w:r>
      <w:r>
        <w:rPr>
          <w:b/>
          <w:color w:val="010101"/>
          <w:spacing w:val="-65"/>
          <w:w w:val="80"/>
          <w:sz w:val="46"/>
        </w:rPr>
        <w:t> </w:t>
      </w:r>
      <w:r>
        <w:rPr>
          <w:b/>
          <w:color w:val="010101"/>
          <w:sz w:val="21"/>
        </w:rPr>
        <w:t>,P,p.,,+.(,p, </w:t>
      </w:r>
      <w:r>
        <w:rPr>
          <w:color w:val="010101"/>
          <w:w w:val="120"/>
          <w:sz w:val="21"/>
        </w:rPr>
        <w:t>- </w:t>
      </w:r>
      <w:r>
        <w:rPr>
          <w:b/>
          <w:color w:val="010101"/>
          <w:sz w:val="18"/>
        </w:rPr>
        <w:t>o+.P,) </w:t>
      </w:r>
      <w:r>
        <w:rPr>
          <w:b/>
          <w:color w:val="010101"/>
          <w:w w:val="80"/>
          <w:sz w:val="46"/>
        </w:rPr>
        <w:t>ds)</w:t>
      </w:r>
      <w:r>
        <w:rPr>
          <w:b/>
          <w:color w:val="010101"/>
          <w:spacing w:val="-70"/>
          <w:w w:val="80"/>
          <w:sz w:val="46"/>
        </w:rPr>
        <w:t> </w:t>
      </w:r>
      <w:r>
        <w:rPr>
          <w:b/>
          <w:i/>
          <w:color w:val="010101"/>
          <w:sz w:val="21"/>
        </w:rPr>
        <w:t>dt.</w:t>
      </w:r>
    </w:p>
    <w:p>
      <w:pPr>
        <w:pStyle w:val="BodyText"/>
        <w:spacing w:line="249" w:lineRule="auto" w:before="184"/>
        <w:ind w:left="126" w:right="143" w:firstLine="204"/>
        <w:jc w:val="both"/>
      </w:pPr>
      <w:r>
        <w:rPr/>
        <w:drawing>
          <wp:anchor distT="0" distB="0" distL="0" distR="0" allowOverlap="1" layoutInCell="1" locked="0" behindDoc="0" simplePos="0" relativeHeight="20128">
            <wp:simplePos x="0" y="0"/>
            <wp:positionH relativeFrom="page">
              <wp:posOffset>493776</wp:posOffset>
            </wp:positionH>
            <wp:positionV relativeFrom="paragraph">
              <wp:posOffset>1118041</wp:posOffset>
            </wp:positionV>
            <wp:extent cx="2761487" cy="292608"/>
            <wp:effectExtent l="0" t="0" r="0" b="0"/>
            <wp:wrapTopAndBottom/>
            <wp:docPr id="597" name="image304.png" descr=""/>
            <wp:cNvGraphicFramePr>
              <a:graphicFrameLocks noChangeAspect="1"/>
            </wp:cNvGraphicFramePr>
            <a:graphic>
              <a:graphicData uri="http://schemas.openxmlformats.org/drawingml/2006/picture">
                <pic:pic>
                  <pic:nvPicPr>
                    <pic:cNvPr id="598" name="image304.png"/>
                    <pic:cNvPicPr/>
                  </pic:nvPicPr>
                  <pic:blipFill>
                    <a:blip r:embed="rId308" cstate="print"/>
                    <a:stretch>
                      <a:fillRect/>
                    </a:stretch>
                  </pic:blipFill>
                  <pic:spPr>
                    <a:xfrm>
                      <a:off x="0" y="0"/>
                      <a:ext cx="2761487" cy="292608"/>
                    </a:xfrm>
                    <a:prstGeom prst="rect">
                      <a:avLst/>
                    </a:prstGeom>
                  </pic:spPr>
                </pic:pic>
              </a:graphicData>
            </a:graphic>
          </wp:anchor>
        </w:drawing>
      </w:r>
      <w:r>
        <w:rPr>
          <w:color w:val="010101"/>
        </w:rPr>
        <w:t>Insurances which involve contingencies of this nature may be similarly formulated. Suppose that  an  insurance  of  1 is  payable  at the death of </w:t>
      </w:r>
      <w:r>
        <w:rPr>
          <w:rFonts w:ascii="Arial" w:hAnsi="Arial"/>
          <w:i/>
          <w:color w:val="010101"/>
          <w:sz w:val="19"/>
        </w:rPr>
        <w:t>(x) </w:t>
      </w:r>
      <w:r>
        <w:rPr>
          <w:color w:val="010101"/>
        </w:rPr>
        <w:t>if he dies before </w:t>
      </w:r>
      <w:r>
        <w:rPr>
          <w:rFonts w:ascii="Arial" w:hAnsi="Arial"/>
          <w:i/>
          <w:color w:val="010101"/>
          <w:spacing w:val="7"/>
          <w:sz w:val="19"/>
        </w:rPr>
        <w:t>(y) </w:t>
      </w:r>
      <w:r>
        <w:rPr>
          <w:color w:val="010101"/>
        </w:rPr>
        <w:t>or within </w:t>
      </w:r>
      <w:r>
        <w:rPr>
          <w:rFonts w:ascii="Arial" w:hAnsi="Arial"/>
          <w:i/>
          <w:color w:val="010101"/>
          <w:sz w:val="19"/>
        </w:rPr>
        <w:t>n </w:t>
      </w:r>
      <w:r>
        <w:rPr>
          <w:color w:val="010101"/>
        </w:rPr>
        <w:t>years af ter  </w:t>
      </w:r>
      <w:r>
        <w:rPr>
          <w:rFonts w:ascii="Arial" w:hAnsi="Arial"/>
          <w:i/>
          <w:color w:val="010101"/>
          <w:spacing w:val="5"/>
          <w:sz w:val="19"/>
        </w:rPr>
        <w:t>(y), </w:t>
      </w:r>
      <w:r>
        <w:rPr>
          <w:color w:val="010101"/>
        </w:rPr>
        <w:t>leaving a third life </w:t>
      </w:r>
      <w:r>
        <w:rPr>
          <w:rFonts w:ascii="Arial" w:hAnsi="Arial"/>
          <w:i/>
          <w:color w:val="010101"/>
          <w:sz w:val="19"/>
        </w:rPr>
        <w:t>(z) </w:t>
      </w:r>
      <w:r>
        <w:rPr>
          <w:color w:val="010101"/>
        </w:rPr>
        <w:t>surviving. In expressing the net single  pre­ mium, we note that during the first </w:t>
      </w:r>
      <w:r>
        <w:rPr>
          <w:i/>
          <w:color w:val="010101"/>
          <w:sz w:val="21"/>
        </w:rPr>
        <w:t>n </w:t>
      </w:r>
      <w:r>
        <w:rPr>
          <w:color w:val="010101"/>
        </w:rPr>
        <w:t>years the insurance is inde­ pendent  of  the  survival  of   (y),  and</w:t>
      </w:r>
      <w:r>
        <w:rPr>
          <w:color w:val="010101"/>
          <w:spacing w:val="12"/>
        </w:rPr>
        <w:t> </w:t>
      </w:r>
      <w:r>
        <w:rPr>
          <w:color w:val="010101"/>
        </w:rPr>
        <w:t>write</w:t>
      </w:r>
    </w:p>
    <w:p>
      <w:pPr>
        <w:spacing w:after="0" w:line="249" w:lineRule="auto"/>
        <w:jc w:val="both"/>
        <w:sectPr>
          <w:pgSz w:w="7200" w:h="11340"/>
          <w:pgMar w:top="500" w:bottom="280" w:left="660" w:right="520"/>
        </w:sectPr>
      </w:pPr>
    </w:p>
    <w:p>
      <w:pPr>
        <w:pStyle w:val="BodyText"/>
        <w:rPr>
          <w:sz w:val="17"/>
        </w:rPr>
      </w:pPr>
    </w:p>
    <w:p>
      <w:pPr>
        <w:spacing w:line="139" w:lineRule="exact" w:before="0"/>
        <w:ind w:left="0" w:right="219" w:firstLine="0"/>
        <w:jc w:val="right"/>
        <w:rPr>
          <w:b/>
          <w:sz w:val="13"/>
        </w:rPr>
      </w:pPr>
      <w:r>
        <w:rPr/>
        <w:pict>
          <v:shape style="position:absolute;margin-left:187.896301pt;margin-top:3.28642pt;width:6.65pt;height:11.5pt;mso-position-horizontal-relative:page;mso-position-vertical-relative:paragraph;z-index:20224" type="#_x0000_t202" filled="false" stroked="false">
            <v:textbox inset="0,0,0,0">
              <w:txbxContent>
                <w:p>
                  <w:pPr>
                    <w:spacing w:line="230" w:lineRule="exact" w:before="0"/>
                    <w:ind w:left="0" w:right="0" w:firstLine="0"/>
                    <w:jc w:val="left"/>
                    <w:rPr>
                      <w:sz w:val="23"/>
                    </w:rPr>
                  </w:pPr>
                  <w:r>
                    <w:rPr>
                      <w:color w:val="010101"/>
                      <w:w w:val="101"/>
                      <w:sz w:val="23"/>
                    </w:rPr>
                    <w:t>=</w:t>
                  </w:r>
                </w:p>
              </w:txbxContent>
            </v:textbox>
            <w10:wrap type="none"/>
          </v:shape>
        </w:pict>
      </w:r>
      <w:r>
        <w:rPr>
          <w:b/>
          <w:color w:val="010101"/>
          <w:w w:val="160"/>
          <w:sz w:val="13"/>
        </w:rPr>
        <w:t>-1</w:t>
      </w:r>
    </w:p>
    <w:p>
      <w:pPr>
        <w:spacing w:line="139" w:lineRule="exact" w:before="0"/>
        <w:ind w:left="0" w:right="0" w:firstLine="0"/>
        <w:jc w:val="right"/>
        <w:rPr>
          <w:b/>
          <w:sz w:val="13"/>
        </w:rPr>
      </w:pPr>
      <w:r>
        <w:rPr>
          <w:b/>
          <w:color w:val="010101"/>
          <w:sz w:val="13"/>
        </w:rPr>
        <w:t>Á zz:"ñl</w:t>
      </w:r>
    </w:p>
    <w:p>
      <w:pPr>
        <w:spacing w:line="179" w:lineRule="exact" w:before="130"/>
        <w:ind w:left="300" w:right="0" w:firstLine="0"/>
        <w:jc w:val="left"/>
        <w:rPr>
          <w:b/>
          <w:sz w:val="13"/>
        </w:rPr>
      </w:pPr>
      <w:r>
        <w:rPr/>
        <w:br w:type="column"/>
      </w:r>
      <w:r>
        <w:rPr>
          <w:b/>
          <w:color w:val="010101"/>
          <w:w w:val="120"/>
          <w:sz w:val="13"/>
        </w:rPr>
        <w:t>Dz+11:a+n </w:t>
      </w:r>
      <w:r>
        <w:rPr>
          <w:i/>
          <w:color w:val="010101"/>
          <w:w w:val="120"/>
          <w:sz w:val="20"/>
        </w:rPr>
        <w:t>,A- </w:t>
      </w:r>
      <w:r>
        <w:rPr>
          <w:b/>
          <w:color w:val="010101"/>
          <w:w w:val="120"/>
          <w:sz w:val="13"/>
        </w:rPr>
        <w:t>_l_</w:t>
      </w:r>
    </w:p>
    <w:p>
      <w:pPr>
        <w:tabs>
          <w:tab w:pos="1262" w:val="left" w:leader="none"/>
        </w:tabs>
        <w:spacing w:line="161" w:lineRule="exact" w:before="0"/>
        <w:ind w:left="516" w:right="0" w:firstLine="0"/>
        <w:jc w:val="left"/>
        <w:rPr>
          <w:sz w:val="13"/>
        </w:rPr>
      </w:pPr>
      <w:r>
        <w:rPr/>
        <w:pict>
          <v:rect style="position:absolute;margin-left:250.348999pt;margin-top:6.848643pt;width:7.3579pt;height:5.024925pt;mso-position-horizontal-relative:page;mso-position-vertical-relative:paragraph;z-index:-715888" filled="true" fillcolor="#000000" stroked="false">
            <v:fill type="solid"/>
            <w10:wrap type="none"/>
          </v:rect>
        </w:pict>
      </w:r>
      <w:r>
        <w:rPr/>
        <w:pict>
          <v:shape style="position:absolute;margin-left:227.557297pt;margin-top:-6.120729pt;width:9.550pt;height:16pt;mso-position-horizontal-relative:page;mso-position-vertical-relative:paragraph;z-index:20200" type="#_x0000_t202" filled="false" stroked="false">
            <v:textbox inset="0,0,0,0">
              <w:txbxContent>
                <w:p>
                  <w:pPr>
                    <w:spacing w:line="320" w:lineRule="exact" w:before="0"/>
                    <w:ind w:left="0" w:right="0" w:firstLine="0"/>
                    <w:jc w:val="left"/>
                    <w:rPr>
                      <w:rFonts w:ascii="Arial"/>
                      <w:sz w:val="32"/>
                    </w:rPr>
                  </w:pPr>
                  <w:r>
                    <w:rPr>
                      <w:rFonts w:ascii="Arial"/>
                      <w:color w:val="010101"/>
                      <w:w w:val="101"/>
                      <w:sz w:val="32"/>
                    </w:rPr>
                    <w:t>+</w:t>
                  </w:r>
                </w:p>
              </w:txbxContent>
            </v:textbox>
            <w10:wrap type="none"/>
          </v:shape>
        </w:pict>
      </w:r>
      <w:r>
        <w:rPr>
          <w:rFonts w:ascii="Arial" w:hAnsi="Arial"/>
          <w:b/>
          <w:i/>
          <w:color w:val="010101"/>
          <w:w w:val="105"/>
          <w:sz w:val="20"/>
        </w:rPr>
        <w:t>D</w:t>
        <w:tab/>
      </w:r>
      <w:r>
        <w:rPr>
          <w:b/>
          <w:color w:val="010101"/>
          <w:w w:val="105"/>
          <w:sz w:val="13"/>
        </w:rPr>
        <w:t>z+n:11:i+n </w:t>
      </w:r>
      <w:r>
        <w:rPr>
          <w:b/>
          <w:color w:val="010101"/>
          <w:spacing w:val="33"/>
          <w:w w:val="105"/>
          <w:sz w:val="13"/>
        </w:rPr>
        <w:t> </w:t>
      </w:r>
      <w:r>
        <w:rPr>
          <w:color w:val="010101"/>
          <w:w w:val="105"/>
          <w:sz w:val="13"/>
        </w:rPr>
        <w:t>•</w:t>
      </w:r>
    </w:p>
    <w:p>
      <w:pPr>
        <w:spacing w:line="120" w:lineRule="exact" w:before="0"/>
        <w:ind w:left="674" w:right="0" w:firstLine="0"/>
        <w:jc w:val="left"/>
        <w:rPr>
          <w:sz w:val="12"/>
        </w:rPr>
      </w:pPr>
      <w:r>
        <w:rPr>
          <w:color w:val="010101"/>
          <w:w w:val="110"/>
          <w:sz w:val="12"/>
        </w:rPr>
        <w:t>zz</w:t>
      </w:r>
    </w:p>
    <w:p>
      <w:pPr>
        <w:spacing w:after="0" w:line="120" w:lineRule="exact"/>
        <w:jc w:val="left"/>
        <w:rPr>
          <w:sz w:val="12"/>
        </w:rPr>
        <w:sectPr>
          <w:type w:val="continuous"/>
          <w:pgSz w:w="7200" w:h="11340"/>
          <w:pgMar w:top="1100" w:bottom="0" w:left="660" w:right="520"/>
          <w:cols w:num="2" w:equalWidth="0">
            <w:col w:w="3791" w:space="40"/>
            <w:col w:w="2189"/>
          </w:cols>
        </w:sectPr>
      </w:pPr>
    </w:p>
    <w:p>
      <w:pPr>
        <w:pStyle w:val="BodyText"/>
        <w:spacing w:line="249" w:lineRule="auto" w:before="147"/>
        <w:ind w:left="133" w:right="132" w:firstLine="197"/>
        <w:jc w:val="both"/>
      </w:pPr>
      <w:r>
        <w:rPr/>
        <w:drawing>
          <wp:anchor distT="0" distB="0" distL="0" distR="0" allowOverlap="1" layoutInCell="1" locked="0" behindDoc="0" simplePos="0" relativeHeight="20152">
            <wp:simplePos x="0" y="0"/>
            <wp:positionH relativeFrom="page">
              <wp:posOffset>502919</wp:posOffset>
            </wp:positionH>
            <wp:positionV relativeFrom="paragraph">
              <wp:posOffset>1243112</wp:posOffset>
            </wp:positionV>
            <wp:extent cx="3666744" cy="685800"/>
            <wp:effectExtent l="0" t="0" r="0" b="0"/>
            <wp:wrapTopAndBottom/>
            <wp:docPr id="599" name="image305.png" descr=""/>
            <wp:cNvGraphicFramePr>
              <a:graphicFrameLocks noChangeAspect="1"/>
            </wp:cNvGraphicFramePr>
            <a:graphic>
              <a:graphicData uri="http://schemas.openxmlformats.org/drawingml/2006/picture">
                <pic:pic>
                  <pic:nvPicPr>
                    <pic:cNvPr id="600" name="image305.png"/>
                    <pic:cNvPicPr/>
                  </pic:nvPicPr>
                  <pic:blipFill>
                    <a:blip r:embed="rId309" cstate="print"/>
                    <a:stretch>
                      <a:fillRect/>
                    </a:stretch>
                  </pic:blipFill>
                  <pic:spPr>
                    <a:xfrm>
                      <a:off x="0" y="0"/>
                      <a:ext cx="3666744" cy="685800"/>
                    </a:xfrm>
                    <a:prstGeom prst="rect">
                      <a:avLst/>
                    </a:prstGeom>
                  </pic:spPr>
                </pic:pic>
              </a:graphicData>
            </a:graphic>
          </wp:anchor>
        </w:drawing>
      </w:r>
      <w:r>
        <w:rPr>
          <w:color w:val="010101"/>
        </w:rPr>
        <w:t>As a second example, consider  an  insurance  payable  at the  death of </w:t>
      </w:r>
      <w:r>
        <w:rPr>
          <w:rFonts w:ascii="Arial"/>
          <w:i/>
          <w:color w:val="010101"/>
          <w:sz w:val="19"/>
        </w:rPr>
        <w:t>(x) </w:t>
      </w:r>
      <w:r>
        <w:rPr>
          <w:color w:val="010101"/>
        </w:rPr>
        <w:t>if he is predeceased by  </w:t>
      </w:r>
      <w:r>
        <w:rPr>
          <w:i/>
          <w:color w:val="010101"/>
        </w:rPr>
        <w:t>( y )  </w:t>
      </w:r>
      <w:r>
        <w:rPr>
          <w:color w:val="010101"/>
        </w:rPr>
        <w:t>and  </w:t>
      </w:r>
      <w:r>
        <w:rPr>
          <w:rFonts w:ascii="Arial"/>
          <w:i/>
          <w:color w:val="010101"/>
          <w:sz w:val="19"/>
        </w:rPr>
        <w:t>(z) </w:t>
      </w:r>
      <w:r>
        <w:rPr>
          <w:color w:val="010101"/>
        </w:rPr>
        <w:t>in the order named  with  the death of </w:t>
      </w:r>
      <w:r>
        <w:rPr>
          <w:rFonts w:ascii="Arial"/>
          <w:i/>
          <w:color w:val="010101"/>
          <w:sz w:val="19"/>
        </w:rPr>
        <w:t>(z) </w:t>
      </w:r>
      <w:r>
        <w:rPr>
          <w:color w:val="010101"/>
        </w:rPr>
        <w:t>occurring at least </w:t>
      </w:r>
      <w:r>
        <w:rPr>
          <w:rFonts w:ascii="Arial"/>
          <w:i/>
          <w:color w:val="010101"/>
          <w:sz w:val="19"/>
        </w:rPr>
        <w:t>n </w:t>
      </w:r>
      <w:r>
        <w:rPr>
          <w:color w:val="010101"/>
        </w:rPr>
        <w:t>years earlier. This  may  be regarded as a contingent insurance on the life of </w:t>
      </w:r>
      <w:r>
        <w:rPr>
          <w:i/>
          <w:color w:val="010101"/>
          <w:spacing w:val="8"/>
        </w:rPr>
        <w:t>(z) </w:t>
      </w:r>
      <w:r>
        <w:rPr>
          <w:color w:val="010101"/>
        </w:rPr>
        <w:t>in which the amount of insurance at any  time  is  equal  to  the  present  value  at tha.t time of an n-year deferred insurance  on  </w:t>
      </w:r>
      <w:r>
        <w:rPr>
          <w:rFonts w:ascii="Arial"/>
          <w:i/>
          <w:color w:val="010101"/>
          <w:sz w:val="19"/>
        </w:rPr>
        <w:t>(x).  </w:t>
      </w:r>
      <w:r>
        <w:rPr>
          <w:color w:val="010101"/>
        </w:rPr>
        <w:t>The  value  may  thus  </w:t>
      </w:r>
      <w:r>
        <w:rPr>
          <w:color w:val="010101"/>
          <w:sz w:val="21"/>
        </w:rPr>
        <w:t>be  </w:t>
      </w:r>
      <w:r>
        <w:rPr>
          <w:color w:val="010101"/>
        </w:rPr>
        <w:t>written</w:t>
      </w:r>
      <w:r>
        <w:rPr>
          <w:color w:val="010101"/>
          <w:spacing w:val="44"/>
        </w:rPr>
        <w:t> </w:t>
      </w:r>
      <w:r>
        <w:rPr>
          <w:color w:val="010101"/>
        </w:rPr>
        <w:t>as</w:t>
      </w:r>
    </w:p>
    <w:p>
      <w:pPr>
        <w:pStyle w:val="ListParagraph"/>
        <w:numPr>
          <w:ilvl w:val="0"/>
          <w:numId w:val="116"/>
        </w:numPr>
        <w:tabs>
          <w:tab w:pos="389" w:val="left" w:leader="none"/>
        </w:tabs>
        <w:spacing w:line="240" w:lineRule="auto" w:before="163" w:after="0"/>
        <w:ind w:left="388" w:right="0" w:hanging="241"/>
        <w:jc w:val="left"/>
        <w:rPr>
          <w:b/>
          <w:color w:val="010101"/>
          <w:sz w:val="19"/>
        </w:rPr>
      </w:pPr>
      <w:r>
        <w:rPr>
          <w:b/>
          <w:color w:val="010101"/>
          <w:w w:val="120"/>
          <w:sz w:val="19"/>
        </w:rPr>
        <w:t>Summary of</w:t>
      </w:r>
      <w:r>
        <w:rPr>
          <w:b/>
          <w:color w:val="010101"/>
          <w:spacing w:val="33"/>
          <w:w w:val="120"/>
          <w:sz w:val="19"/>
        </w:rPr>
        <w:t> </w:t>
      </w:r>
      <w:r>
        <w:rPr>
          <w:b/>
          <w:color w:val="010101"/>
          <w:w w:val="120"/>
          <w:sz w:val="19"/>
        </w:rPr>
        <w:t>notation</w:t>
      </w:r>
    </w:p>
    <w:p>
      <w:pPr>
        <w:pStyle w:val="BodyText"/>
        <w:spacing w:line="244" w:lineRule="auto" w:before="85"/>
        <w:ind w:left="154" w:right="137" w:firstLine="201"/>
        <w:jc w:val="both"/>
      </w:pPr>
      <w:r>
        <w:rPr>
          <w:color w:val="010101"/>
          <w:spacing w:val="2"/>
          <w:w w:val="105"/>
        </w:rPr>
        <w:t>Numerals </w:t>
      </w:r>
      <w:r>
        <w:rPr>
          <w:color w:val="010101"/>
          <w:w w:val="105"/>
        </w:rPr>
        <w:t>are used with a suffixed subscript to indicate the order of failure of the statuses involved. The numeral written above the suffix distinguishes the status upon whose failure the event is  fina.lly determined, and the numera.Is written below the suffix indicate the order in which the other statuses are </w:t>
      </w:r>
      <w:r>
        <w:rPr>
          <w:color w:val="010101"/>
          <w:w w:val="105"/>
          <w:sz w:val="21"/>
        </w:rPr>
        <w:t>to </w:t>
      </w:r>
      <w:r>
        <w:rPr>
          <w:color w:val="010101"/>
          <w:w w:val="105"/>
        </w:rPr>
        <w:t>fail. </w:t>
      </w:r>
      <w:r>
        <w:rPr>
          <w:color w:val="010101"/>
          <w:w w:val="105"/>
          <w:sz w:val="21"/>
        </w:rPr>
        <w:t>In </w:t>
      </w:r>
      <w:r>
        <w:rPr>
          <w:color w:val="010101"/>
          <w:w w:val="105"/>
        </w:rPr>
        <w:t>cases where</w:t>
      </w:r>
      <w:r>
        <w:rPr>
          <w:color w:val="010101"/>
          <w:spacing w:val="-11"/>
          <w:w w:val="105"/>
        </w:rPr>
        <w:t> </w:t>
      </w:r>
      <w:r>
        <w:rPr>
          <w:color w:val="010101"/>
          <w:w w:val="105"/>
        </w:rPr>
        <w:t>a</w:t>
      </w:r>
      <w:r>
        <w:rPr>
          <w:color w:val="010101"/>
          <w:spacing w:val="-19"/>
          <w:w w:val="105"/>
        </w:rPr>
        <w:t> </w:t>
      </w:r>
      <w:r>
        <w:rPr>
          <w:color w:val="010101"/>
          <w:w w:val="105"/>
        </w:rPr>
        <w:t>numeral</w:t>
      </w:r>
      <w:r>
        <w:rPr>
          <w:color w:val="010101"/>
          <w:spacing w:val="-11"/>
          <w:w w:val="105"/>
        </w:rPr>
        <w:t> </w:t>
      </w:r>
      <w:r>
        <w:rPr>
          <w:color w:val="010101"/>
          <w:w w:val="105"/>
        </w:rPr>
        <w:t>below</w:t>
      </w:r>
      <w:r>
        <w:rPr>
          <w:color w:val="010101"/>
          <w:spacing w:val="-2"/>
          <w:w w:val="105"/>
        </w:rPr>
        <w:t> </w:t>
      </w:r>
      <w:r>
        <w:rPr>
          <w:color w:val="010101"/>
          <w:w w:val="105"/>
        </w:rPr>
        <w:t>the</w:t>
      </w:r>
      <w:r>
        <w:rPr>
          <w:color w:val="010101"/>
          <w:spacing w:val="-18"/>
          <w:w w:val="105"/>
        </w:rPr>
        <w:t> </w:t>
      </w:r>
      <w:r>
        <w:rPr>
          <w:color w:val="010101"/>
          <w:w w:val="105"/>
        </w:rPr>
        <w:t>suffix</w:t>
      </w:r>
      <w:r>
        <w:rPr>
          <w:color w:val="010101"/>
          <w:spacing w:val="-10"/>
          <w:w w:val="105"/>
        </w:rPr>
        <w:t> </w:t>
      </w:r>
      <w:r>
        <w:rPr>
          <w:color w:val="010101"/>
          <w:w w:val="105"/>
        </w:rPr>
        <w:t>is</w:t>
      </w:r>
      <w:r>
        <w:rPr>
          <w:color w:val="010101"/>
          <w:spacing w:val="-23"/>
          <w:w w:val="105"/>
        </w:rPr>
        <w:t> </w:t>
      </w:r>
      <w:r>
        <w:rPr>
          <w:color w:val="010101"/>
          <w:w w:val="105"/>
        </w:rPr>
        <w:t>clearly</w:t>
      </w:r>
      <w:r>
        <w:rPr>
          <w:color w:val="010101"/>
          <w:spacing w:val="-8"/>
          <w:w w:val="105"/>
        </w:rPr>
        <w:t> </w:t>
      </w:r>
      <w:r>
        <w:rPr>
          <w:color w:val="010101"/>
          <w:w w:val="105"/>
        </w:rPr>
        <w:t>implied,</w:t>
      </w:r>
      <w:r>
        <w:rPr>
          <w:color w:val="010101"/>
          <w:spacing w:val="-9"/>
          <w:w w:val="105"/>
        </w:rPr>
        <w:t> </w:t>
      </w:r>
      <w:r>
        <w:rPr>
          <w:color w:val="010101"/>
          <w:w w:val="105"/>
        </w:rPr>
        <w:t>it</w:t>
      </w:r>
      <w:r>
        <w:rPr>
          <w:color w:val="010101"/>
          <w:spacing w:val="-15"/>
          <w:w w:val="105"/>
        </w:rPr>
        <w:t> </w:t>
      </w:r>
      <w:r>
        <w:rPr>
          <w:color w:val="010101"/>
          <w:w w:val="105"/>
        </w:rPr>
        <w:t>is</w:t>
      </w:r>
      <w:r>
        <w:rPr>
          <w:color w:val="010101"/>
          <w:spacing w:val="-23"/>
          <w:w w:val="105"/>
        </w:rPr>
        <w:t> </w:t>
      </w:r>
      <w:r>
        <w:rPr>
          <w:color w:val="010101"/>
          <w:w w:val="105"/>
        </w:rPr>
        <w:t>unnecessary</w:t>
      </w:r>
    </w:p>
    <w:p>
      <w:pPr>
        <w:spacing w:after="0" w:line="244" w:lineRule="auto"/>
        <w:jc w:val="both"/>
        <w:sectPr>
          <w:type w:val="continuous"/>
          <w:pgSz w:w="7200" w:h="11340"/>
          <w:pgMar w:top="1100" w:bottom="0" w:left="660" w:right="520"/>
        </w:sectPr>
      </w:pPr>
    </w:p>
    <w:p>
      <w:pPr>
        <w:tabs>
          <w:tab w:pos="1472" w:val="left" w:leader="none"/>
          <w:tab w:pos="5242" w:val="left" w:leader="none"/>
        </w:tabs>
        <w:spacing w:before="47"/>
        <w:ind w:left="145" w:right="0" w:firstLine="3"/>
        <w:jc w:val="left"/>
        <w:rPr>
          <w:rFonts w:ascii="Arial"/>
          <w:b/>
          <w:sz w:val="19"/>
        </w:rPr>
      </w:pPr>
      <w:r>
        <w:rPr>
          <w:color w:val="030303"/>
          <w:spacing w:val="-7"/>
          <w:position w:val="1"/>
          <w:sz w:val="20"/>
        </w:rPr>
        <w:t>2.52</w:t>
        <w:tab/>
      </w:r>
      <w:r>
        <w:rPr>
          <w:b/>
          <w:color w:val="030303"/>
          <w:sz w:val="14"/>
        </w:rPr>
        <w:t>COMPOUND    </w:t>
      </w:r>
      <w:r>
        <w:rPr>
          <w:b/>
          <w:color w:val="030303"/>
          <w:spacing w:val="10"/>
          <w:sz w:val="14"/>
        </w:rPr>
        <w:t> </w:t>
      </w:r>
      <w:r>
        <w:rPr>
          <w:b/>
          <w:color w:val="030303"/>
          <w:sz w:val="14"/>
        </w:rPr>
        <w:t>CONTINGENT    </w:t>
      </w:r>
      <w:r>
        <w:rPr>
          <w:b/>
          <w:color w:val="030303"/>
          <w:spacing w:val="4"/>
          <w:sz w:val="14"/>
        </w:rPr>
        <w:t> </w:t>
      </w:r>
      <w:r>
        <w:rPr>
          <w:b/>
          <w:color w:val="030303"/>
          <w:sz w:val="14"/>
        </w:rPr>
        <w:t>FUNCTIONS</w:t>
        <w:tab/>
      </w:r>
      <w:r>
        <w:rPr>
          <w:b/>
          <w:color w:val="030303"/>
          <w:sz w:val="17"/>
        </w:rPr>
        <w:t>[CH.</w:t>
      </w:r>
      <w:r>
        <w:rPr>
          <w:b/>
          <w:color w:val="030303"/>
          <w:spacing w:val="12"/>
          <w:sz w:val="17"/>
        </w:rPr>
        <w:t> </w:t>
      </w:r>
      <w:r>
        <w:rPr>
          <w:rFonts w:ascii="Arial"/>
          <w:b/>
          <w:color w:val="030303"/>
          <w:sz w:val="19"/>
        </w:rPr>
        <w:t>12</w:t>
      </w:r>
    </w:p>
    <w:p>
      <w:pPr>
        <w:pStyle w:val="BodyText"/>
        <w:spacing w:before="9"/>
        <w:rPr>
          <w:rFonts w:ascii="Arial"/>
          <w:b/>
          <w:sz w:val="18"/>
        </w:rPr>
      </w:pPr>
    </w:p>
    <w:p>
      <w:pPr>
        <w:pStyle w:val="BodyText"/>
        <w:spacing w:line="254" w:lineRule="exact"/>
        <w:ind w:left="145" w:right="133"/>
      </w:pPr>
      <w:r>
        <w:rPr>
          <w:color w:val="030303"/>
        </w:rPr>
        <w:t>to write  it, as, for cxamplc,  the numeral  2 below  the </w:t>
      </w:r>
      <w:r>
        <w:rPr>
          <w:rFonts w:ascii="Arial"/>
          <w:i/>
          <w:color w:val="030303"/>
          <w:sz w:val="18"/>
        </w:rPr>
        <w:t>y  </w:t>
      </w:r>
      <w:r>
        <w:rPr>
          <w:color w:val="030303"/>
        </w:rPr>
        <w:t>in </w:t>
      </w:r>
      <w:r>
        <w:rPr>
          <w:color w:val="030303"/>
          <w:sz w:val="23"/>
        </w:rPr>
        <w:t>.ti.ru! , </w:t>
      </w:r>
      <w:r>
        <w:rPr>
          <w:color w:val="030303"/>
        </w:rPr>
        <w:t>or</w:t>
      </w:r>
    </w:p>
    <w:p>
      <w:pPr>
        <w:spacing w:line="116" w:lineRule="exact" w:before="0"/>
        <w:ind w:left="0" w:right="579" w:firstLine="0"/>
        <w:jc w:val="right"/>
        <w:rPr>
          <w:b/>
          <w:sz w:val="12"/>
        </w:rPr>
      </w:pPr>
      <w:r>
        <w:rPr>
          <w:b/>
          <w:color w:val="030303"/>
          <w:w w:val="98"/>
          <w:sz w:val="12"/>
        </w:rPr>
        <w:t>1</w:t>
      </w:r>
    </w:p>
    <w:p>
      <w:pPr>
        <w:spacing w:line="244" w:lineRule="exact" w:before="0"/>
        <w:ind w:left="145" w:right="739" w:firstLine="0"/>
        <w:jc w:val="left"/>
        <w:rPr>
          <w:sz w:val="25"/>
        </w:rPr>
      </w:pPr>
      <w:r>
        <w:rPr>
          <w:color w:val="030303"/>
          <w:sz w:val="20"/>
        </w:rPr>
        <w:t>thc numeral </w:t>
      </w:r>
      <w:r>
        <w:rPr>
          <w:rFonts w:ascii="Arial"/>
          <w:color w:val="030303"/>
          <w:sz w:val="18"/>
        </w:rPr>
        <w:t>3 </w:t>
      </w:r>
      <w:r>
        <w:rPr>
          <w:color w:val="030303"/>
          <w:sz w:val="20"/>
        </w:rPr>
        <w:t>below the </w:t>
      </w:r>
      <w:r>
        <w:rPr>
          <w:rFonts w:ascii="Arial"/>
          <w:i/>
          <w:color w:val="030303"/>
          <w:sz w:val="18"/>
        </w:rPr>
        <w:t>y </w:t>
      </w:r>
      <w:r>
        <w:rPr>
          <w:color w:val="030303"/>
          <w:sz w:val="20"/>
        </w:rPr>
        <w:t>in </w:t>
      </w:r>
      <w:r>
        <w:rPr>
          <w:i/>
          <w:color w:val="030303"/>
          <w:w w:val="95"/>
          <w:sz w:val="25"/>
          <w:u w:val="thick" w:color="000000"/>
        </w:rPr>
        <w:t>.:1:z:yz </w:t>
      </w:r>
      <w:r>
        <w:rPr>
          <w:color w:val="030303"/>
          <w:sz w:val="25"/>
        </w:rPr>
        <w:t>.</w:t>
      </w:r>
    </w:p>
    <w:p>
      <w:pPr>
        <w:spacing w:line="127" w:lineRule="exact" w:before="0"/>
        <w:ind w:left="331" w:right="0" w:firstLine="0"/>
        <w:jc w:val="center"/>
        <w:rPr>
          <w:b/>
          <w:sz w:val="12"/>
        </w:rPr>
      </w:pPr>
      <w:r>
        <w:rPr>
          <w:b/>
          <w:color w:val="030303"/>
          <w:w w:val="98"/>
          <w:sz w:val="12"/>
        </w:rPr>
        <w:t>1</w:t>
      </w:r>
    </w:p>
    <w:p>
      <w:pPr>
        <w:pStyle w:val="BodyText"/>
        <w:spacing w:before="3"/>
        <w:rPr>
          <w:b/>
          <w:sz w:val="15"/>
        </w:rPr>
      </w:pPr>
    </w:p>
    <w:p>
      <w:pPr>
        <w:spacing w:before="1"/>
        <w:ind w:left="137" w:right="739" w:firstLine="0"/>
        <w:jc w:val="left"/>
        <w:rPr>
          <w:b/>
          <w:sz w:val="18"/>
        </w:rPr>
      </w:pPr>
      <w:r>
        <w:rPr>
          <w:b/>
          <w:color w:val="030303"/>
          <w:w w:val="120"/>
          <w:sz w:val="18"/>
        </w:rPr>
        <w:t>References</w:t>
      </w:r>
    </w:p>
    <w:p>
      <w:pPr>
        <w:pStyle w:val="BodyText"/>
        <w:spacing w:line="252" w:lineRule="auto" w:before="91"/>
        <w:ind w:left="137" w:right="138" w:firstLine="193"/>
      </w:pPr>
      <w:r>
        <w:rPr>
          <w:color w:val="030303"/>
        </w:rPr>
        <w:t>This material is treatcd by  Sµurgeon  (1932),  Chapter  19,  and more  briefly  by  Hooker  and  Longley-Cook  (1957),  Chapter 24.</w:t>
      </w:r>
    </w:p>
    <w:p>
      <w:pPr>
        <w:spacing w:before="148"/>
        <w:ind w:left="74" w:right="81" w:firstLine="0"/>
        <w:jc w:val="center"/>
        <w:rPr>
          <w:sz w:val="18"/>
        </w:rPr>
      </w:pPr>
      <w:r>
        <w:rPr>
          <w:color w:val="030303"/>
          <w:w w:val="105"/>
          <w:sz w:val="18"/>
        </w:rPr>
        <w:t>EXERCISES</w:t>
      </w:r>
    </w:p>
    <w:p>
      <w:pPr>
        <w:pStyle w:val="BodyText"/>
        <w:spacing w:before="10"/>
        <w:rPr>
          <w:sz w:val="14"/>
        </w:rPr>
      </w:pPr>
    </w:p>
    <w:p>
      <w:pPr>
        <w:spacing w:before="0"/>
        <w:ind w:left="137" w:right="739" w:firstLine="0"/>
        <w:jc w:val="left"/>
        <w:rPr>
          <w:b/>
          <w:sz w:val="16"/>
        </w:rPr>
      </w:pPr>
      <w:r>
        <w:rPr>
          <w:b/>
          <w:color w:val="030303"/>
          <w:w w:val="110"/>
          <w:sz w:val="16"/>
        </w:rPr>
        <w:t>1,   2.  Probabilities</w:t>
      </w:r>
    </w:p>
    <w:p>
      <w:pPr>
        <w:pStyle w:val="ListParagraph"/>
        <w:numPr>
          <w:ilvl w:val="1"/>
          <w:numId w:val="115"/>
        </w:numPr>
        <w:tabs>
          <w:tab w:pos="501" w:val="left" w:leader="none"/>
        </w:tabs>
        <w:spacing w:line="188" w:lineRule="exact" w:before="78" w:after="0"/>
        <w:ind w:left="500" w:right="0" w:hanging="205"/>
        <w:jc w:val="left"/>
        <w:rPr>
          <w:sz w:val="18"/>
        </w:rPr>
      </w:pPr>
      <w:r>
        <w:rPr>
          <w:color w:val="030303"/>
          <w:w w:val="90"/>
          <w:sz w:val="17"/>
        </w:rPr>
        <w:t>Express</w:t>
      </w:r>
      <w:r>
        <w:rPr>
          <w:color w:val="030303"/>
          <w:spacing w:val="-10"/>
          <w:w w:val="90"/>
          <w:sz w:val="17"/>
        </w:rPr>
        <w:t> </w:t>
      </w:r>
      <w:r>
        <w:rPr>
          <w:color w:val="030303"/>
          <w:w w:val="90"/>
          <w:sz w:val="18"/>
        </w:rPr>
        <w:t>.,q..,!11,</w:t>
      </w:r>
    </w:p>
    <w:p>
      <w:pPr>
        <w:spacing w:line="108" w:lineRule="exact" w:before="0"/>
        <w:ind w:left="1318" w:right="0" w:firstLine="0"/>
        <w:jc w:val="left"/>
        <w:rPr>
          <w:b/>
          <w:sz w:val="11"/>
        </w:rPr>
      </w:pPr>
      <w:r>
        <w:rPr>
          <w:b/>
          <w:color w:val="030303"/>
          <w:w w:val="141"/>
          <w:sz w:val="11"/>
        </w:rPr>
        <w:t>l</w:t>
      </w:r>
    </w:p>
    <w:p>
      <w:pPr>
        <w:pStyle w:val="BodyText"/>
        <w:spacing w:before="6"/>
        <w:rPr>
          <w:b/>
          <w:sz w:val="12"/>
        </w:rPr>
      </w:pPr>
    </w:p>
    <w:p>
      <w:pPr>
        <w:pStyle w:val="ListParagraph"/>
        <w:numPr>
          <w:ilvl w:val="2"/>
          <w:numId w:val="115"/>
        </w:numPr>
        <w:tabs>
          <w:tab w:pos="755" w:val="left" w:leader="none"/>
        </w:tabs>
        <w:spacing w:line="240" w:lineRule="auto" w:before="0" w:after="0"/>
        <w:ind w:left="754" w:right="0" w:hanging="294"/>
        <w:jc w:val="left"/>
        <w:rPr>
          <w:sz w:val="17"/>
        </w:rPr>
      </w:pPr>
      <w:r>
        <w:rPr>
          <w:color w:val="030303"/>
          <w:w w:val="110"/>
          <w:sz w:val="17"/>
        </w:rPr>
        <w:t>as a definite integral</w:t>
      </w:r>
      <w:r>
        <w:rPr>
          <w:color w:val="030303"/>
          <w:spacing w:val="36"/>
          <w:w w:val="110"/>
          <w:sz w:val="17"/>
        </w:rPr>
        <w:t> </w:t>
      </w:r>
      <w:r>
        <w:rPr>
          <w:color w:val="030303"/>
          <w:w w:val="110"/>
          <w:sz w:val="17"/>
        </w:rPr>
        <w:t>;</w:t>
      </w:r>
    </w:p>
    <w:p>
      <w:pPr>
        <w:spacing w:before="2"/>
        <w:ind w:left="464" w:right="739" w:firstLine="0"/>
        <w:jc w:val="left"/>
        <w:rPr>
          <w:sz w:val="17"/>
        </w:rPr>
      </w:pPr>
      <w:r>
        <w:rPr>
          <w:rFonts w:ascii="Arial"/>
          <w:color w:val="030303"/>
          <w:sz w:val="15"/>
        </w:rPr>
        <w:t>(b)   </w:t>
      </w:r>
      <w:r>
        <w:rPr>
          <w:color w:val="030303"/>
          <w:sz w:val="17"/>
        </w:rPr>
        <w:t>i n  terms  of  simple  contingent  proba.bilities.</w:t>
      </w:r>
    </w:p>
    <w:p>
      <w:pPr>
        <w:pStyle w:val="ListParagraph"/>
        <w:numPr>
          <w:ilvl w:val="1"/>
          <w:numId w:val="116"/>
        </w:numPr>
        <w:tabs>
          <w:tab w:pos="512" w:val="left" w:leader="none"/>
        </w:tabs>
        <w:spacing w:line="240" w:lineRule="auto" w:before="6" w:after="0"/>
        <w:ind w:left="511" w:right="0" w:hanging="223"/>
        <w:jc w:val="left"/>
        <w:rPr>
          <w:color w:val="030303"/>
          <w:sz w:val="17"/>
        </w:rPr>
      </w:pPr>
      <w:r>
        <w:rPr>
          <w:color w:val="030303"/>
          <w:w w:val="105"/>
          <w:sz w:val="17"/>
        </w:rPr>
        <w:t>If  the  mortality  table  follows  Gompertz's  law,  show</w:t>
      </w:r>
      <w:r>
        <w:rPr>
          <w:color w:val="030303"/>
          <w:spacing w:val="36"/>
          <w:w w:val="105"/>
          <w:sz w:val="17"/>
        </w:rPr>
        <w:t> </w:t>
      </w:r>
      <w:r>
        <w:rPr>
          <w:color w:val="030303"/>
          <w:w w:val="105"/>
          <w:sz w:val="17"/>
        </w:rPr>
        <w:t>tha.t</w:t>
      </w:r>
    </w:p>
    <w:p>
      <w:pPr>
        <w:pStyle w:val="BodyText"/>
        <w:spacing w:before="4"/>
        <w:rPr>
          <w:sz w:val="10"/>
        </w:rPr>
      </w:pPr>
      <w:r>
        <w:rPr/>
        <w:drawing>
          <wp:anchor distT="0" distB="0" distL="0" distR="0" allowOverlap="1" layoutInCell="1" locked="0" behindDoc="0" simplePos="0" relativeHeight="20248">
            <wp:simplePos x="0" y="0"/>
            <wp:positionH relativeFrom="page">
              <wp:posOffset>713231</wp:posOffset>
            </wp:positionH>
            <wp:positionV relativeFrom="paragraph">
              <wp:posOffset>100520</wp:posOffset>
            </wp:positionV>
            <wp:extent cx="1005839" cy="137160"/>
            <wp:effectExtent l="0" t="0" r="0" b="0"/>
            <wp:wrapTopAndBottom/>
            <wp:docPr id="601" name="image306.png" descr=""/>
            <wp:cNvGraphicFramePr>
              <a:graphicFrameLocks noChangeAspect="1"/>
            </wp:cNvGraphicFramePr>
            <a:graphic>
              <a:graphicData uri="http://schemas.openxmlformats.org/drawingml/2006/picture">
                <pic:pic>
                  <pic:nvPicPr>
                    <pic:cNvPr id="602" name="image306.png"/>
                    <pic:cNvPicPr/>
                  </pic:nvPicPr>
                  <pic:blipFill>
                    <a:blip r:embed="rId310" cstate="print"/>
                    <a:stretch>
                      <a:fillRect/>
                    </a:stretch>
                  </pic:blipFill>
                  <pic:spPr>
                    <a:xfrm>
                      <a:off x="0" y="0"/>
                      <a:ext cx="1005839" cy="137160"/>
                    </a:xfrm>
                    <a:prstGeom prst="rect">
                      <a:avLst/>
                    </a:prstGeom>
                  </pic:spPr>
                </pic:pic>
              </a:graphicData>
            </a:graphic>
          </wp:anchor>
        </w:drawing>
      </w:r>
    </w:p>
    <w:p>
      <w:pPr>
        <w:pStyle w:val="BodyText"/>
        <w:spacing w:before="10"/>
        <w:rPr>
          <w:sz w:val="10"/>
        </w:rPr>
      </w:pPr>
    </w:p>
    <w:p>
      <w:pPr>
        <w:spacing w:after="0"/>
        <w:rPr>
          <w:sz w:val="10"/>
        </w:rPr>
        <w:sectPr>
          <w:pgSz w:w="7200" w:h="11340"/>
          <w:pgMar w:top="500" w:bottom="280" w:left="680" w:right="540"/>
        </w:sectPr>
      </w:pPr>
    </w:p>
    <w:p>
      <w:pPr>
        <w:pStyle w:val="BodyText"/>
        <w:spacing w:before="9"/>
        <w:rPr>
          <w:sz w:val="14"/>
        </w:rPr>
      </w:pPr>
    </w:p>
    <w:p>
      <w:pPr>
        <w:spacing w:line="98" w:lineRule="exact" w:before="0"/>
        <w:ind w:left="0" w:right="220" w:firstLine="0"/>
        <w:jc w:val="right"/>
        <w:rPr>
          <w:b/>
          <w:sz w:val="11"/>
        </w:rPr>
      </w:pPr>
      <w:r>
        <w:rPr>
          <w:b/>
          <w:color w:val="030303"/>
          <w:w w:val="90"/>
          <w:sz w:val="11"/>
        </w:rPr>
        <w:t>3</w:t>
      </w:r>
    </w:p>
    <w:p>
      <w:pPr>
        <w:spacing w:line="144" w:lineRule="exact" w:before="0"/>
        <w:ind w:left="446" w:right="-19" w:firstLine="0"/>
        <w:jc w:val="left"/>
        <w:rPr>
          <w:b/>
          <w:sz w:val="11"/>
        </w:rPr>
      </w:pPr>
      <w:r>
        <w:rPr>
          <w:rFonts w:ascii="Arial"/>
          <w:color w:val="030303"/>
          <w:w w:val="115"/>
          <w:sz w:val="15"/>
        </w:rPr>
        <w:t>(b)  </w:t>
      </w:r>
      <w:r>
        <w:rPr>
          <w:b/>
          <w:color w:val="030303"/>
          <w:w w:val="115"/>
          <w:sz w:val="14"/>
        </w:rPr>
        <w:t>.,qis:ao:a</w:t>
      </w:r>
      <w:r>
        <w:rPr>
          <w:b/>
          <w:color w:val="030303"/>
          <w:spacing w:val="-22"/>
          <w:w w:val="115"/>
          <w:sz w:val="14"/>
        </w:rPr>
        <w:t> </w:t>
      </w:r>
      <w:r>
        <w:rPr>
          <w:b/>
          <w:color w:val="030303"/>
          <w:w w:val="115"/>
          <w:sz w:val="11"/>
        </w:rPr>
        <w:t>6:to</w:t>
      </w:r>
    </w:p>
    <w:p>
      <w:pPr>
        <w:spacing w:before="8"/>
        <w:ind w:left="959" w:right="-19" w:firstLine="0"/>
        <w:jc w:val="left"/>
        <w:rPr>
          <w:b/>
          <w:sz w:val="10"/>
        </w:rPr>
      </w:pPr>
      <w:r>
        <w:rPr>
          <w:color w:val="030303"/>
          <w:w w:val="120"/>
          <w:sz w:val="10"/>
        </w:rPr>
        <w:t>1    </w:t>
      </w:r>
      <w:r>
        <w:rPr>
          <w:b/>
          <w:color w:val="030303"/>
          <w:w w:val="120"/>
          <w:sz w:val="10"/>
        </w:rPr>
        <w:t>2</w:t>
      </w:r>
    </w:p>
    <w:p>
      <w:pPr>
        <w:pStyle w:val="BodyText"/>
        <w:spacing w:before="1"/>
        <w:rPr>
          <w:b/>
          <w:sz w:val="13"/>
        </w:rPr>
      </w:pPr>
    </w:p>
    <w:p>
      <w:pPr>
        <w:pStyle w:val="ListParagraph"/>
        <w:numPr>
          <w:ilvl w:val="1"/>
          <w:numId w:val="116"/>
        </w:numPr>
        <w:tabs>
          <w:tab w:pos="490" w:val="left" w:leader="none"/>
        </w:tabs>
        <w:spacing w:line="240" w:lineRule="auto" w:before="0" w:after="0"/>
        <w:ind w:left="489" w:right="0" w:hanging="212"/>
        <w:jc w:val="left"/>
        <w:rPr>
          <w:color w:val="030303"/>
          <w:sz w:val="17"/>
        </w:rPr>
      </w:pPr>
      <w:r>
        <w:rPr>
          <w:color w:val="030303"/>
          <w:w w:val="110"/>
          <w:sz w:val="17"/>
        </w:rPr>
        <w:t>Show</w:t>
      </w:r>
      <w:r>
        <w:rPr>
          <w:color w:val="030303"/>
          <w:spacing w:val="14"/>
          <w:w w:val="110"/>
          <w:sz w:val="17"/>
        </w:rPr>
        <w:t> </w:t>
      </w:r>
      <w:r>
        <w:rPr>
          <w:color w:val="030303"/>
          <w:w w:val="110"/>
          <w:sz w:val="17"/>
        </w:rPr>
        <w:t>that</w:t>
      </w:r>
    </w:p>
    <w:p>
      <w:pPr>
        <w:spacing w:line="181" w:lineRule="exact" w:before="78"/>
        <w:ind w:left="289" w:right="0" w:firstLine="0"/>
        <w:jc w:val="center"/>
        <w:rPr>
          <w:sz w:val="17"/>
        </w:rPr>
      </w:pPr>
      <w:r>
        <w:rPr/>
        <w:br w:type="column"/>
      </w:r>
      <w:r>
        <w:rPr>
          <w:color w:val="030303"/>
          <w:w w:val="120"/>
          <w:sz w:val="17"/>
        </w:rPr>
        <w:t>1</w:t>
      </w:r>
    </w:p>
    <w:p>
      <w:pPr>
        <w:spacing w:line="285" w:lineRule="exact" w:before="0"/>
        <w:ind w:left="250" w:right="0" w:firstLine="0"/>
        <w:jc w:val="center"/>
        <w:rPr>
          <w:rFonts w:ascii="Arial"/>
          <w:i/>
          <w:sz w:val="16"/>
        </w:rPr>
      </w:pPr>
      <w:r>
        <w:rPr>
          <w:color w:val="030303"/>
          <w:sz w:val="17"/>
        </w:rPr>
        <w:t>1 </w:t>
      </w:r>
      <w:r>
        <w:rPr>
          <w:rFonts w:ascii="Arial"/>
          <w:color w:val="030303"/>
          <w:sz w:val="26"/>
        </w:rPr>
        <w:t>+</w:t>
      </w:r>
      <w:r>
        <w:rPr>
          <w:rFonts w:ascii="Arial"/>
          <w:color w:val="030303"/>
          <w:spacing w:val="-55"/>
          <w:sz w:val="26"/>
        </w:rPr>
        <w:t> </w:t>
      </w:r>
      <w:r>
        <w:rPr>
          <w:rFonts w:ascii="Arial"/>
          <w:i/>
          <w:color w:val="030303"/>
          <w:w w:val="85"/>
          <w:sz w:val="16"/>
        </w:rPr>
        <w:t>e&amp;</w:t>
      </w:r>
    </w:p>
    <w:p>
      <w:pPr>
        <w:pStyle w:val="BodyText"/>
        <w:spacing w:before="11"/>
        <w:rPr>
          <w:rFonts w:ascii="Arial"/>
          <w:i/>
          <w:sz w:val="14"/>
        </w:rPr>
      </w:pPr>
      <w:r>
        <w:rPr/>
        <w:br w:type="column"/>
      </w:r>
      <w:r>
        <w:rPr>
          <w:rFonts w:ascii="Arial"/>
          <w:i/>
          <w:sz w:val="14"/>
        </w:rPr>
      </w:r>
    </w:p>
    <w:p>
      <w:pPr>
        <w:spacing w:line="110" w:lineRule="exact" w:before="0"/>
        <w:ind w:left="0" w:right="2280" w:firstLine="0"/>
        <w:jc w:val="center"/>
        <w:rPr>
          <w:b/>
          <w:sz w:val="10"/>
        </w:rPr>
      </w:pPr>
      <w:r>
        <w:rPr>
          <w:b/>
          <w:color w:val="030303"/>
          <w:w w:val="99"/>
          <w:sz w:val="10"/>
        </w:rPr>
        <w:t>2</w:t>
      </w:r>
    </w:p>
    <w:p>
      <w:pPr>
        <w:spacing w:line="122" w:lineRule="exact" w:before="0"/>
        <w:ind w:left="213" w:right="2391" w:firstLine="0"/>
        <w:jc w:val="center"/>
        <w:rPr>
          <w:sz w:val="11"/>
        </w:rPr>
      </w:pPr>
      <w:r>
        <w:rPr>
          <w:color w:val="030303"/>
          <w:w w:val="120"/>
          <w:sz w:val="11"/>
        </w:rPr>
        <w:t>..qt&amp;:30:36:(0    </w:t>
      </w:r>
      <w:r>
        <w:rPr>
          <w:color w:val="030303"/>
          <w:w w:val="110"/>
          <w:sz w:val="11"/>
        </w:rPr>
        <w:t>•</w:t>
      </w:r>
    </w:p>
    <w:p>
      <w:pPr>
        <w:spacing w:after="0" w:line="122" w:lineRule="exact"/>
        <w:jc w:val="center"/>
        <w:rPr>
          <w:sz w:val="11"/>
        </w:rPr>
        <w:sectPr>
          <w:type w:val="continuous"/>
          <w:pgSz w:w="7200" w:h="11340"/>
          <w:pgMar w:top="1100" w:bottom="0" w:left="680" w:right="540"/>
          <w:cols w:num="3" w:equalWidth="0">
            <w:col w:w="1609" w:space="40"/>
            <w:col w:w="716" w:space="40"/>
            <w:col w:w="3575"/>
          </w:cols>
        </w:sectPr>
      </w:pPr>
    </w:p>
    <w:p>
      <w:pPr>
        <w:pStyle w:val="BodyText"/>
        <w:spacing w:before="1"/>
        <w:rPr>
          <w:sz w:val="10"/>
        </w:rPr>
      </w:pPr>
    </w:p>
    <w:p>
      <w:pPr>
        <w:pStyle w:val="BodyText"/>
        <w:spacing w:line="201" w:lineRule="exact"/>
        <w:ind w:left="112"/>
      </w:pPr>
      <w:r>
        <w:rPr>
          <w:position w:val="-3"/>
        </w:rPr>
        <w:drawing>
          <wp:inline distT="0" distB="0" distL="0" distR="0">
            <wp:extent cx="1536191" cy="128016"/>
            <wp:effectExtent l="0" t="0" r="0" b="0"/>
            <wp:docPr id="603" name="image307.png" descr=""/>
            <wp:cNvGraphicFramePr>
              <a:graphicFrameLocks noChangeAspect="1"/>
            </wp:cNvGraphicFramePr>
            <a:graphic>
              <a:graphicData uri="http://schemas.openxmlformats.org/drawingml/2006/picture">
                <pic:pic>
                  <pic:nvPicPr>
                    <pic:cNvPr id="604" name="image307.png"/>
                    <pic:cNvPicPr/>
                  </pic:nvPicPr>
                  <pic:blipFill>
                    <a:blip r:embed="rId311" cstate="print"/>
                    <a:stretch>
                      <a:fillRect/>
                    </a:stretch>
                  </pic:blipFill>
                  <pic:spPr>
                    <a:xfrm>
                      <a:off x="0" y="0"/>
                      <a:ext cx="1536191" cy="128016"/>
                    </a:xfrm>
                    <a:prstGeom prst="rect">
                      <a:avLst/>
                    </a:prstGeom>
                  </pic:spPr>
                </pic:pic>
              </a:graphicData>
            </a:graphic>
          </wp:inline>
        </w:drawing>
      </w:r>
      <w:r>
        <w:rPr>
          <w:position w:val="-3"/>
        </w:rPr>
      </w:r>
    </w:p>
    <w:p>
      <w:pPr>
        <w:pStyle w:val="BodyText"/>
        <w:spacing w:before="10"/>
        <w:rPr>
          <w:sz w:val="7"/>
        </w:rPr>
      </w:pPr>
      <w:r>
        <w:rPr/>
        <w:drawing>
          <wp:anchor distT="0" distB="0" distL="0" distR="0" allowOverlap="1" layoutInCell="1" locked="0" behindDoc="0" simplePos="0" relativeHeight="20272">
            <wp:simplePos x="0" y="0"/>
            <wp:positionH relativeFrom="page">
              <wp:posOffset>2157983</wp:posOffset>
            </wp:positionH>
            <wp:positionV relativeFrom="paragraph">
              <wp:posOffset>82677</wp:posOffset>
            </wp:positionV>
            <wp:extent cx="1993392" cy="219456"/>
            <wp:effectExtent l="0" t="0" r="0" b="0"/>
            <wp:wrapTopAndBottom/>
            <wp:docPr id="605" name="image308.png" descr=""/>
            <wp:cNvGraphicFramePr>
              <a:graphicFrameLocks noChangeAspect="1"/>
            </wp:cNvGraphicFramePr>
            <a:graphic>
              <a:graphicData uri="http://schemas.openxmlformats.org/drawingml/2006/picture">
                <pic:pic>
                  <pic:nvPicPr>
                    <pic:cNvPr id="606" name="image308.png"/>
                    <pic:cNvPicPr/>
                  </pic:nvPicPr>
                  <pic:blipFill>
                    <a:blip r:embed="rId312" cstate="print"/>
                    <a:stretch>
                      <a:fillRect/>
                    </a:stretch>
                  </pic:blipFill>
                  <pic:spPr>
                    <a:xfrm>
                      <a:off x="0" y="0"/>
                      <a:ext cx="1993392" cy="219456"/>
                    </a:xfrm>
                    <a:prstGeom prst="rect">
                      <a:avLst/>
                    </a:prstGeom>
                  </pic:spPr>
                </pic:pic>
              </a:graphicData>
            </a:graphic>
          </wp:anchor>
        </w:drawing>
      </w:r>
    </w:p>
    <w:p>
      <w:pPr>
        <w:spacing w:after="0"/>
        <w:rPr>
          <w:sz w:val="7"/>
        </w:rPr>
        <w:sectPr>
          <w:type w:val="continuous"/>
          <w:pgSz w:w="7200" w:h="11340"/>
          <w:pgMar w:top="1100" w:bottom="0" w:left="680" w:right="540"/>
        </w:sectPr>
      </w:pPr>
    </w:p>
    <w:p>
      <w:pPr>
        <w:pStyle w:val="ListParagraph"/>
        <w:numPr>
          <w:ilvl w:val="1"/>
          <w:numId w:val="116"/>
        </w:numPr>
        <w:tabs>
          <w:tab w:pos="465" w:val="left" w:leader="none"/>
        </w:tabs>
        <w:spacing w:line="240" w:lineRule="auto" w:before="93" w:after="0"/>
        <w:ind w:left="464" w:right="0" w:hanging="197"/>
        <w:jc w:val="right"/>
        <w:rPr>
          <w:color w:val="030303"/>
          <w:sz w:val="16"/>
        </w:rPr>
      </w:pPr>
      <w:r>
        <w:rPr>
          <w:color w:val="030303"/>
          <w:w w:val="105"/>
          <w:sz w:val="17"/>
        </w:rPr>
        <w:t>Given</w:t>
      </w:r>
    </w:p>
    <w:p>
      <w:pPr>
        <w:pStyle w:val="BodyText"/>
      </w:pPr>
    </w:p>
    <w:p>
      <w:pPr>
        <w:spacing w:line="60" w:lineRule="exact" w:before="0"/>
        <w:ind w:left="0" w:right="68" w:firstLine="0"/>
        <w:jc w:val="right"/>
        <w:rPr>
          <w:sz w:val="18"/>
        </w:rPr>
      </w:pPr>
      <w:r>
        <w:rPr>
          <w:color w:val="030303"/>
          <w:w w:val="95"/>
          <w:sz w:val="18"/>
        </w:rPr>
        <w:t>q!</w:t>
      </w:r>
    </w:p>
    <w:p>
      <w:pPr>
        <w:pStyle w:val="BodyText"/>
        <w:rPr>
          <w:sz w:val="24"/>
        </w:rPr>
      </w:pPr>
      <w:r>
        <w:rPr/>
        <w:br w:type="column"/>
      </w:r>
      <w:r>
        <w:rPr>
          <w:sz w:val="24"/>
        </w:rPr>
      </w:r>
    </w:p>
    <w:p>
      <w:pPr>
        <w:spacing w:line="116" w:lineRule="exact" w:before="187"/>
        <w:ind w:left="14" w:right="0" w:firstLine="0"/>
        <w:jc w:val="left"/>
        <w:rPr>
          <w:rFonts w:ascii="Arial" w:hAnsi="Arial"/>
          <w:sz w:val="14"/>
        </w:rPr>
      </w:pPr>
      <w:r>
        <w:rPr>
          <w:color w:val="030303"/>
          <w:w w:val="86"/>
          <w:sz w:val="23"/>
        </w:rPr>
        <w:t>=</w:t>
      </w:r>
      <w:r>
        <w:rPr>
          <w:color w:val="030303"/>
          <w:spacing w:val="27"/>
          <w:sz w:val="23"/>
        </w:rPr>
        <w:t> </w:t>
      </w:r>
      <w:r>
        <w:rPr>
          <w:color w:val="030303"/>
          <w:spacing w:val="-29"/>
          <w:w w:val="143"/>
          <w:sz w:val="16"/>
        </w:rPr>
        <w:t>.</w:t>
      </w:r>
      <w:r>
        <w:rPr>
          <w:color w:val="030303"/>
          <w:sz w:val="16"/>
        </w:rPr>
        <w:t>5537,</w:t>
      </w:r>
      <w:r>
        <w:rPr>
          <w:color w:val="030303"/>
          <w:spacing w:val="16"/>
          <w:sz w:val="16"/>
        </w:rPr>
        <w:t> </w:t>
      </w:r>
      <w:r>
        <w:rPr>
          <w:color w:val="030303"/>
          <w:w w:val="130"/>
          <w:sz w:val="16"/>
        </w:rPr>
        <w:t>.</w:t>
      </w:r>
      <w:r>
        <w:rPr>
          <w:color w:val="030303"/>
          <w:spacing w:val="-22"/>
          <w:w w:val="130"/>
          <w:sz w:val="16"/>
        </w:rPr>
        <w:t>.</w:t>
      </w:r>
      <w:r>
        <w:rPr>
          <w:color w:val="030303"/>
          <w:w w:val="102"/>
          <w:sz w:val="18"/>
        </w:rPr>
        <w:t>q</w:t>
      </w:r>
      <w:r>
        <w:rPr>
          <w:color w:val="030303"/>
          <w:spacing w:val="-21"/>
          <w:w w:val="102"/>
          <w:sz w:val="18"/>
        </w:rPr>
        <w:t>!</w:t>
      </w:r>
      <w:r>
        <w:rPr>
          <w:color w:val="030303"/>
          <w:w w:val="219"/>
          <w:sz w:val="18"/>
        </w:rPr>
        <w:t>.</w:t>
      </w:r>
      <w:r>
        <w:rPr>
          <w:color w:val="030303"/>
          <w:spacing w:val="-8"/>
          <w:sz w:val="18"/>
        </w:rPr>
        <w:t> </w:t>
      </w:r>
      <w:r>
        <w:rPr>
          <w:rFonts w:ascii="Arial" w:hAnsi="Arial"/>
          <w:color w:val="030303"/>
          <w:w w:val="65"/>
          <w:sz w:val="15"/>
        </w:rPr>
        <w:t>==</w:t>
      </w:r>
      <w:r>
        <w:rPr>
          <w:rFonts w:ascii="Arial" w:hAnsi="Arial"/>
          <w:color w:val="030303"/>
          <w:sz w:val="15"/>
        </w:rPr>
        <w:t> </w:t>
      </w:r>
      <w:r>
        <w:rPr>
          <w:rFonts w:ascii="Arial" w:hAnsi="Arial"/>
          <w:color w:val="030303"/>
          <w:spacing w:val="2"/>
          <w:sz w:val="15"/>
        </w:rPr>
        <w:t> </w:t>
      </w:r>
      <w:r>
        <w:rPr>
          <w:color w:val="030303"/>
          <w:w w:val="99"/>
          <w:sz w:val="16"/>
        </w:rPr>
        <w:t>.6484,</w:t>
      </w:r>
      <w:r>
        <w:rPr>
          <w:color w:val="030303"/>
          <w:spacing w:val="12"/>
          <w:sz w:val="16"/>
        </w:rPr>
        <w:t> </w:t>
      </w:r>
      <w:r>
        <w:rPr>
          <w:color w:val="030303"/>
          <w:sz w:val="18"/>
        </w:rPr>
        <w:t>.,q!</w:t>
      </w:r>
      <w:r>
        <w:rPr>
          <w:color w:val="030303"/>
          <w:spacing w:val="-9"/>
          <w:sz w:val="18"/>
        </w:rPr>
        <w:t> </w:t>
      </w:r>
      <w:r>
        <w:rPr>
          <w:color w:val="030303"/>
          <w:w w:val="92"/>
          <w:sz w:val="17"/>
        </w:rPr>
        <w:t>•</w:t>
      </w:r>
      <w:r>
        <w:rPr>
          <w:color w:val="030303"/>
          <w:sz w:val="17"/>
        </w:rPr>
        <w:t> </w:t>
      </w:r>
      <w:r>
        <w:rPr>
          <w:color w:val="030303"/>
          <w:spacing w:val="-8"/>
          <w:sz w:val="17"/>
        </w:rPr>
        <w:t> </w:t>
      </w:r>
      <w:r>
        <w:rPr>
          <w:color w:val="030303"/>
          <w:w w:val="86"/>
          <w:sz w:val="23"/>
        </w:rPr>
        <w:t>=</w:t>
      </w:r>
      <w:r>
        <w:rPr>
          <w:color w:val="030303"/>
          <w:spacing w:val="23"/>
          <w:sz w:val="23"/>
        </w:rPr>
        <w:t> </w:t>
      </w:r>
      <w:r>
        <w:rPr>
          <w:color w:val="030303"/>
          <w:sz w:val="16"/>
        </w:rPr>
        <w:t>.5325,</w:t>
      </w:r>
      <w:r>
        <w:rPr>
          <w:color w:val="030303"/>
          <w:spacing w:val="8"/>
          <w:sz w:val="16"/>
        </w:rPr>
        <w:t> </w:t>
      </w:r>
      <w:r>
        <w:rPr>
          <w:rFonts w:ascii="Arial" w:hAnsi="Arial"/>
          <w:b/>
          <w:color w:val="030303"/>
          <w:w w:val="102"/>
          <w:position w:val="-2"/>
          <w:sz w:val="7"/>
        </w:rPr>
        <w:t>0</w:t>
      </w:r>
      <w:r>
        <w:rPr>
          <w:rFonts w:ascii="Arial" w:hAnsi="Arial"/>
          <w:b/>
          <w:color w:val="030303"/>
          <w:spacing w:val="-2"/>
          <w:w w:val="102"/>
          <w:position w:val="-2"/>
          <w:sz w:val="7"/>
        </w:rPr>
        <w:t>0</w:t>
      </w:r>
      <w:r>
        <w:rPr>
          <w:b/>
          <w:color w:val="030303"/>
          <w:w w:val="85"/>
          <w:sz w:val="17"/>
        </w:rPr>
        <w:t>qa</w:t>
      </w:r>
      <w:r>
        <w:rPr>
          <w:b/>
          <w:color w:val="030303"/>
          <w:spacing w:val="-6"/>
          <w:w w:val="85"/>
          <w:sz w:val="17"/>
        </w:rPr>
        <w:t>!</w:t>
      </w:r>
      <w:r>
        <w:rPr>
          <w:b/>
          <w:color w:val="030303"/>
          <w:w w:val="135"/>
          <w:sz w:val="17"/>
        </w:rPr>
        <w:t>,</w:t>
      </w:r>
      <w:r>
        <w:rPr>
          <w:b/>
          <w:color w:val="030303"/>
          <w:sz w:val="17"/>
        </w:rPr>
        <w:t> </w:t>
      </w:r>
      <w:r>
        <w:rPr>
          <w:b/>
          <w:color w:val="030303"/>
          <w:spacing w:val="-17"/>
          <w:sz w:val="17"/>
        </w:rPr>
        <w:t> </w:t>
      </w:r>
      <w:r>
        <w:rPr>
          <w:color w:val="030303"/>
          <w:w w:val="101"/>
          <w:sz w:val="21"/>
        </w:rPr>
        <w:t>=</w:t>
      </w:r>
      <w:r>
        <w:rPr>
          <w:color w:val="030303"/>
          <w:spacing w:val="9"/>
          <w:sz w:val="21"/>
        </w:rPr>
        <w:t> </w:t>
      </w:r>
      <w:r>
        <w:rPr>
          <w:color w:val="030303"/>
          <w:w w:val="63"/>
          <w:sz w:val="18"/>
        </w:rPr>
        <w:t>.,q.,1</w:t>
      </w:r>
      <w:r>
        <w:rPr>
          <w:color w:val="030303"/>
          <w:spacing w:val="-15"/>
          <w:w w:val="63"/>
          <w:sz w:val="18"/>
        </w:rPr>
        <w:t>1</w:t>
      </w:r>
      <w:r>
        <w:rPr>
          <w:color w:val="030303"/>
          <w:spacing w:val="-51"/>
          <w:w w:val="174"/>
          <w:sz w:val="24"/>
        </w:rPr>
        <w:t>!</w:t>
      </w:r>
      <w:r>
        <w:rPr>
          <w:color w:val="030303"/>
          <w:spacing w:val="13"/>
          <w:w w:val="109"/>
          <w:sz w:val="24"/>
        </w:rPr>
        <w:t>.</w:t>
      </w:r>
      <w:r>
        <w:rPr>
          <w:color w:val="030303"/>
          <w:w w:val="119"/>
          <w:sz w:val="16"/>
        </w:rPr>
        <w:t>Find</w:t>
      </w:r>
      <w:r>
        <w:rPr>
          <w:color w:val="030303"/>
          <w:spacing w:val="13"/>
          <w:sz w:val="16"/>
        </w:rPr>
        <w:t> </w:t>
      </w:r>
      <w:r>
        <w:rPr>
          <w:i/>
          <w:color w:val="030303"/>
          <w:w w:val="126"/>
          <w:sz w:val="16"/>
        </w:rPr>
        <w:t>.</w:t>
      </w:r>
      <w:r>
        <w:rPr>
          <w:i/>
          <w:color w:val="030303"/>
          <w:spacing w:val="-22"/>
          <w:w w:val="126"/>
          <w:sz w:val="16"/>
        </w:rPr>
        <w:t>.</w:t>
      </w:r>
      <w:r>
        <w:rPr>
          <w:rFonts w:ascii="Arial" w:hAnsi="Arial"/>
          <w:i/>
          <w:color w:val="030303"/>
          <w:spacing w:val="-7"/>
          <w:w w:val="100"/>
          <w:sz w:val="14"/>
        </w:rPr>
        <w:t>q</w:t>
      </w:r>
      <w:r>
        <w:rPr>
          <w:rFonts w:ascii="Arial" w:hAnsi="Arial"/>
          <w:i/>
          <w:color w:val="030303"/>
          <w:spacing w:val="-5"/>
          <w:w w:val="209"/>
          <w:sz w:val="14"/>
        </w:rPr>
        <w:t>.</w:t>
      </w:r>
      <w:r>
        <w:rPr>
          <w:rFonts w:ascii="Arial" w:hAnsi="Arial"/>
          <w:i/>
          <w:color w:val="030303"/>
          <w:spacing w:val="-46"/>
          <w:w w:val="209"/>
          <w:sz w:val="14"/>
        </w:rPr>
        <w:t>.</w:t>
      </w:r>
      <w:r>
        <w:rPr>
          <w:rFonts w:ascii="Arial" w:hAnsi="Arial"/>
          <w:i/>
          <w:color w:val="030303"/>
          <w:w w:val="145"/>
          <w:sz w:val="14"/>
        </w:rPr>
        <w:t>:</w:t>
      </w:r>
      <w:r>
        <w:rPr>
          <w:rFonts w:ascii="Arial" w:hAnsi="Arial"/>
          <w:i/>
          <w:color w:val="030303"/>
          <w:spacing w:val="-10"/>
          <w:sz w:val="14"/>
        </w:rPr>
        <w:t> </w:t>
      </w:r>
      <w:r>
        <w:rPr>
          <w:rFonts w:ascii="Arial" w:hAnsi="Arial"/>
          <w:color w:val="030303"/>
          <w:w w:val="80"/>
          <w:sz w:val="14"/>
        </w:rPr>
        <w:t>•</w:t>
      </w:r>
    </w:p>
    <w:p>
      <w:pPr>
        <w:spacing w:after="0" w:line="116" w:lineRule="exact"/>
        <w:jc w:val="left"/>
        <w:rPr>
          <w:rFonts w:ascii="Arial" w:hAnsi="Arial"/>
          <w:sz w:val="14"/>
        </w:rPr>
        <w:sectPr>
          <w:type w:val="continuous"/>
          <w:pgSz w:w="7200" w:h="11340"/>
          <w:pgMar w:top="1100" w:bottom="0" w:left="680" w:right="540"/>
          <w:cols w:num="2" w:equalWidth="0">
            <w:col w:w="909" w:space="40"/>
            <w:col w:w="5031"/>
          </w:cols>
        </w:sectPr>
      </w:pPr>
    </w:p>
    <w:p>
      <w:pPr>
        <w:tabs>
          <w:tab w:pos="2821" w:val="left" w:leader="none"/>
        </w:tabs>
        <w:spacing w:line="171" w:lineRule="exact" w:before="0"/>
        <w:ind w:left="611" w:right="0" w:firstLine="0"/>
        <w:jc w:val="left"/>
        <w:rPr>
          <w:sz w:val="17"/>
        </w:rPr>
      </w:pPr>
      <w:r>
        <w:rPr>
          <w:rFonts w:ascii="Arial"/>
          <w:color w:val="030303"/>
          <w:w w:val="90"/>
          <w:sz w:val="7"/>
        </w:rPr>
        <w:t>00     </w:t>
      </w:r>
      <w:r>
        <w:rPr>
          <w:rFonts w:ascii="Arial"/>
          <w:color w:val="030303"/>
          <w:spacing w:val="14"/>
          <w:w w:val="90"/>
          <w:sz w:val="7"/>
        </w:rPr>
        <w:t> </w:t>
      </w:r>
      <w:r>
        <w:rPr>
          <w:color w:val="030303"/>
          <w:w w:val="60"/>
          <w:position w:val="1"/>
          <w:sz w:val="17"/>
        </w:rPr>
        <w:t>11</w:t>
        <w:tab/>
      </w:r>
      <w:r>
        <w:rPr>
          <w:color w:val="030303"/>
          <w:w w:val="40"/>
          <w:position w:val="1"/>
          <w:sz w:val="17"/>
        </w:rPr>
        <w:t>11</w:t>
      </w:r>
    </w:p>
    <w:p>
      <w:pPr>
        <w:pStyle w:val="BodyText"/>
        <w:spacing w:before="1"/>
        <w:rPr>
          <w:sz w:val="10"/>
        </w:rPr>
      </w:pPr>
      <w:r>
        <w:rPr/>
        <w:br w:type="column"/>
      </w:r>
      <w:r>
        <w:rPr>
          <w:sz w:val="10"/>
        </w:rPr>
      </w:r>
    </w:p>
    <w:p>
      <w:pPr>
        <w:spacing w:before="1"/>
        <w:ind w:left="366" w:right="0" w:firstLine="0"/>
        <w:jc w:val="center"/>
        <w:rPr>
          <w:sz w:val="11"/>
        </w:rPr>
      </w:pPr>
      <w:r>
        <w:rPr>
          <w:color w:val="030303"/>
          <w:w w:val="141"/>
          <w:sz w:val="11"/>
        </w:rPr>
        <w:t>l</w:t>
      </w:r>
    </w:p>
    <w:p>
      <w:pPr>
        <w:pStyle w:val="BodyText"/>
        <w:spacing w:before="10"/>
        <w:rPr>
          <w:sz w:val="10"/>
        </w:rPr>
      </w:pPr>
    </w:p>
    <w:p>
      <w:pPr>
        <w:spacing w:before="0"/>
        <w:ind w:left="572" w:right="121" w:firstLine="0"/>
        <w:jc w:val="center"/>
        <w:rPr>
          <w:sz w:val="16"/>
        </w:rPr>
      </w:pPr>
      <w:r>
        <w:rPr>
          <w:color w:val="030303"/>
          <w:w w:val="110"/>
          <w:sz w:val="16"/>
        </w:rPr>
        <w:t>(Ans. .2145)</w:t>
      </w:r>
    </w:p>
    <w:p>
      <w:pPr>
        <w:spacing w:after="0"/>
        <w:jc w:val="center"/>
        <w:rPr>
          <w:sz w:val="16"/>
        </w:rPr>
        <w:sectPr>
          <w:type w:val="continuous"/>
          <w:pgSz w:w="7200" w:h="11340"/>
          <w:pgMar w:top="1100" w:bottom="0" w:left="680" w:right="540"/>
          <w:cols w:num="2" w:equalWidth="0">
            <w:col w:w="2890" w:space="1472"/>
            <w:col w:w="1618"/>
          </w:cols>
        </w:sectPr>
      </w:pPr>
    </w:p>
    <w:p>
      <w:pPr>
        <w:pStyle w:val="BodyText"/>
        <w:spacing w:before="10"/>
        <w:rPr>
          <w:sz w:val="8"/>
        </w:rPr>
      </w:pPr>
    </w:p>
    <w:p>
      <w:pPr>
        <w:pStyle w:val="ListParagraph"/>
        <w:numPr>
          <w:ilvl w:val="0"/>
          <w:numId w:val="117"/>
        </w:numPr>
        <w:tabs>
          <w:tab w:pos="314" w:val="left" w:leader="none"/>
        </w:tabs>
        <w:spacing w:line="240" w:lineRule="auto" w:before="78" w:after="0"/>
        <w:ind w:left="313" w:right="0" w:hanging="208"/>
        <w:jc w:val="left"/>
        <w:rPr>
          <w:b/>
          <w:sz w:val="16"/>
        </w:rPr>
      </w:pPr>
      <w:r>
        <w:rPr>
          <w:b/>
          <w:color w:val="030303"/>
          <w:w w:val="125"/>
          <w:sz w:val="16"/>
        </w:rPr>
        <w:t>lnsurances</w:t>
      </w:r>
    </w:p>
    <w:p>
      <w:pPr>
        <w:pStyle w:val="ListParagraph"/>
        <w:numPr>
          <w:ilvl w:val="1"/>
          <w:numId w:val="117"/>
        </w:numPr>
        <w:tabs>
          <w:tab w:pos="476" w:val="left" w:leader="none"/>
        </w:tabs>
        <w:spacing w:line="240" w:lineRule="auto" w:before="72" w:after="0"/>
        <w:ind w:left="475" w:right="0" w:hanging="208"/>
        <w:jc w:val="left"/>
        <w:rPr>
          <w:color w:val="030303"/>
          <w:sz w:val="18"/>
        </w:rPr>
      </w:pPr>
      <w:r>
        <w:rPr>
          <w:color w:val="030303"/>
          <w:w w:val="105"/>
          <w:sz w:val="18"/>
        </w:rPr>
        <w:t>Show</w:t>
      </w:r>
      <w:r>
        <w:rPr>
          <w:color w:val="030303"/>
          <w:spacing w:val="11"/>
          <w:w w:val="105"/>
          <w:sz w:val="18"/>
        </w:rPr>
        <w:t> </w:t>
      </w:r>
      <w:r>
        <w:rPr>
          <w:color w:val="030303"/>
          <w:w w:val="105"/>
          <w:sz w:val="18"/>
        </w:rPr>
        <w:t>that</w:t>
      </w:r>
    </w:p>
    <w:p>
      <w:pPr>
        <w:spacing w:line="271" w:lineRule="exact" w:before="45"/>
        <w:ind w:left="442" w:right="739" w:firstLine="0"/>
        <w:jc w:val="left"/>
        <w:rPr>
          <w:sz w:val="24"/>
        </w:rPr>
      </w:pPr>
      <w:r>
        <w:rPr>
          <w:rFonts w:ascii="Arial" w:hAnsi="Arial"/>
          <w:color w:val="030303"/>
          <w:w w:val="108"/>
          <w:sz w:val="15"/>
        </w:rPr>
        <w:t>(</w:t>
      </w:r>
      <w:r>
        <w:rPr>
          <w:rFonts w:ascii="Arial" w:hAnsi="Arial"/>
          <w:color w:val="030303"/>
          <w:w w:val="108"/>
          <w:sz w:val="15"/>
        </w:rPr>
        <w:t>a</w:t>
      </w:r>
      <w:r>
        <w:rPr>
          <w:rFonts w:ascii="Arial" w:hAnsi="Arial"/>
          <w:color w:val="030303"/>
          <w:w w:val="108"/>
          <w:sz w:val="15"/>
        </w:rPr>
        <w:t>)</w:t>
      </w:r>
      <w:r>
        <w:rPr>
          <w:rFonts w:ascii="Arial" w:hAnsi="Arial"/>
          <w:color w:val="030303"/>
          <w:sz w:val="15"/>
        </w:rPr>
        <w:t> </w:t>
      </w:r>
      <w:r>
        <w:rPr>
          <w:rFonts w:ascii="Arial" w:hAnsi="Arial"/>
          <w:color w:val="030303"/>
          <w:spacing w:val="3"/>
          <w:sz w:val="15"/>
        </w:rPr>
        <w:t> </w:t>
      </w:r>
      <w:r>
        <w:rPr>
          <w:color w:val="030303"/>
          <w:w w:val="67"/>
          <w:sz w:val="17"/>
        </w:rPr>
        <w:t>Á.r11!</w:t>
      </w:r>
      <w:r>
        <w:rPr>
          <w:color w:val="030303"/>
          <w:sz w:val="17"/>
        </w:rPr>
        <w:t> </w:t>
      </w:r>
      <w:r>
        <w:rPr>
          <w:color w:val="030303"/>
          <w:spacing w:val="1"/>
          <w:sz w:val="17"/>
        </w:rPr>
        <w:t> </w:t>
      </w:r>
      <w:r>
        <w:rPr>
          <w:color w:val="030303"/>
          <w:w w:val="88"/>
          <w:sz w:val="21"/>
        </w:rPr>
        <w:t>=</w:t>
      </w:r>
      <w:r>
        <w:rPr>
          <w:color w:val="030303"/>
          <w:sz w:val="21"/>
        </w:rPr>
        <w:t> </w:t>
      </w:r>
      <w:r>
        <w:rPr>
          <w:color w:val="030303"/>
          <w:spacing w:val="-13"/>
          <w:sz w:val="21"/>
        </w:rPr>
        <w:t> </w:t>
      </w:r>
      <w:r>
        <w:rPr>
          <w:i/>
          <w:color w:val="030303"/>
          <w:w w:val="88"/>
          <w:sz w:val="26"/>
        </w:rPr>
        <w:t>A</w:t>
      </w:r>
      <w:r>
        <w:rPr>
          <w:i/>
          <w:color w:val="030303"/>
          <w:spacing w:val="-13"/>
          <w:w w:val="88"/>
          <w:sz w:val="26"/>
        </w:rPr>
        <w:t>.</w:t>
      </w:r>
      <w:r>
        <w:rPr>
          <w:i/>
          <w:color w:val="030303"/>
          <w:w w:val="88"/>
          <w:sz w:val="26"/>
        </w:rPr>
        <w:t>!</w:t>
      </w:r>
      <w:r>
        <w:rPr>
          <w:i/>
          <w:color w:val="030303"/>
          <w:spacing w:val="12"/>
          <w:sz w:val="26"/>
        </w:rPr>
        <w:t> </w:t>
      </w:r>
      <w:r>
        <w:rPr>
          <w:color w:val="030303"/>
          <w:w w:val="166"/>
          <w:sz w:val="26"/>
        </w:rPr>
        <w:t>-</w:t>
      </w:r>
      <w:r>
        <w:rPr>
          <w:color w:val="030303"/>
          <w:spacing w:val="-13"/>
          <w:sz w:val="26"/>
        </w:rPr>
        <w:t> </w:t>
      </w:r>
      <w:r>
        <w:rPr>
          <w:color w:val="030303"/>
          <w:spacing w:val="-16"/>
          <w:w w:val="141"/>
          <w:sz w:val="24"/>
        </w:rPr>
        <w:t>A</w:t>
      </w:r>
      <w:r>
        <w:rPr>
          <w:color w:val="030303"/>
          <w:spacing w:val="-118"/>
          <w:w w:val="187"/>
          <w:sz w:val="24"/>
        </w:rPr>
        <w:t>!</w:t>
      </w:r>
      <w:r>
        <w:rPr>
          <w:color w:val="030303"/>
          <w:w w:val="81"/>
          <w:sz w:val="24"/>
        </w:rPr>
        <w:t>:ª</w:t>
      </w:r>
    </w:p>
    <w:p>
      <w:pPr>
        <w:tabs>
          <w:tab w:pos="2057" w:val="left" w:leader="none"/>
        </w:tabs>
        <w:spacing w:line="122" w:lineRule="exact" w:before="0"/>
        <w:ind w:left="869" w:right="739" w:firstLine="0"/>
        <w:jc w:val="left"/>
        <w:rPr>
          <w:sz w:val="13"/>
        </w:rPr>
      </w:pPr>
      <w:r>
        <w:rPr>
          <w:color w:val="030303"/>
          <w:w w:val="140"/>
          <w:sz w:val="13"/>
        </w:rPr>
        <w:t>1</w:t>
        <w:tab/>
        <w:t>1</w:t>
      </w:r>
    </w:p>
    <w:p>
      <w:pPr>
        <w:spacing w:line="285" w:lineRule="exact" w:before="7"/>
        <w:ind w:left="74" w:right="3150" w:firstLine="0"/>
        <w:jc w:val="center"/>
        <w:rPr>
          <w:sz w:val="22"/>
        </w:rPr>
      </w:pPr>
      <w:r>
        <w:rPr>
          <w:rFonts w:ascii="Arial" w:hAnsi="Arial"/>
          <w:color w:val="030303"/>
          <w:w w:val="116"/>
          <w:sz w:val="15"/>
        </w:rPr>
        <w:t>(</w:t>
      </w:r>
      <w:r>
        <w:rPr>
          <w:rFonts w:ascii="Arial" w:hAnsi="Arial"/>
          <w:color w:val="030303"/>
          <w:w w:val="116"/>
          <w:sz w:val="15"/>
        </w:rPr>
        <w:t>b</w:t>
      </w:r>
      <w:r>
        <w:rPr>
          <w:rFonts w:ascii="Arial" w:hAnsi="Arial"/>
          <w:color w:val="030303"/>
          <w:w w:val="116"/>
          <w:sz w:val="15"/>
        </w:rPr>
        <w:t>)</w:t>
      </w:r>
      <w:r>
        <w:rPr>
          <w:rFonts w:ascii="Arial" w:hAnsi="Arial"/>
          <w:color w:val="030303"/>
          <w:sz w:val="15"/>
        </w:rPr>
        <w:t> </w:t>
      </w:r>
      <w:r>
        <w:rPr>
          <w:rFonts w:ascii="Arial" w:hAnsi="Arial"/>
          <w:color w:val="030303"/>
          <w:spacing w:val="-15"/>
          <w:sz w:val="15"/>
        </w:rPr>
        <w:t> </w:t>
      </w:r>
      <w:r>
        <w:rPr>
          <w:color w:val="030303"/>
          <w:w w:val="100"/>
          <w:sz w:val="27"/>
        </w:rPr>
        <w:t>.J</w:t>
      </w:r>
      <w:r>
        <w:rPr>
          <w:color w:val="030303"/>
          <w:spacing w:val="-35"/>
          <w:w w:val="101"/>
          <w:sz w:val="27"/>
        </w:rPr>
        <w:t>.</w:t>
      </w:r>
      <w:r>
        <w:rPr>
          <w:color w:val="030303"/>
          <w:w w:val="66"/>
          <w:sz w:val="27"/>
        </w:rPr>
        <w:t>!v.</w:t>
      </w:r>
      <w:r>
        <w:rPr>
          <w:color w:val="030303"/>
          <w:spacing w:val="-2"/>
          <w:sz w:val="27"/>
        </w:rPr>
        <w:t> </w:t>
      </w:r>
      <w:r>
        <w:rPr>
          <w:color w:val="030303"/>
          <w:w w:val="80"/>
          <w:sz w:val="23"/>
        </w:rPr>
        <w:t>=</w:t>
      </w:r>
      <w:r>
        <w:rPr>
          <w:color w:val="030303"/>
          <w:sz w:val="23"/>
        </w:rPr>
        <w:t> </w:t>
      </w:r>
      <w:r>
        <w:rPr>
          <w:color w:val="030303"/>
          <w:spacing w:val="-27"/>
          <w:sz w:val="23"/>
        </w:rPr>
        <w:t> </w:t>
      </w:r>
      <w:r>
        <w:rPr>
          <w:color w:val="030303"/>
          <w:w w:val="59"/>
          <w:sz w:val="26"/>
        </w:rPr>
        <w:t>.Á</w:t>
      </w:r>
      <w:r>
        <w:rPr>
          <w:color w:val="030303"/>
          <w:spacing w:val="-9"/>
          <w:w w:val="59"/>
          <w:sz w:val="26"/>
        </w:rPr>
        <w:t>;</w:t>
      </w:r>
      <w:r>
        <w:rPr>
          <w:color w:val="030303"/>
          <w:w w:val="88"/>
          <w:position w:val="-1"/>
          <w:sz w:val="10"/>
        </w:rPr>
        <w:t>11•</w:t>
      </w:r>
      <w:r>
        <w:rPr>
          <w:color w:val="030303"/>
          <w:position w:val="-1"/>
          <w:sz w:val="10"/>
        </w:rPr>
        <w:t>  </w:t>
      </w:r>
      <w:r>
        <w:rPr>
          <w:color w:val="030303"/>
          <w:spacing w:val="-5"/>
          <w:position w:val="-1"/>
          <w:sz w:val="10"/>
        </w:rPr>
        <w:t> </w:t>
      </w:r>
      <w:r>
        <w:rPr>
          <w:color w:val="030303"/>
          <w:w w:val="451"/>
          <w:sz w:val="10"/>
        </w:rPr>
        <w:t>-</w:t>
      </w:r>
      <w:r>
        <w:rPr>
          <w:color w:val="030303"/>
          <w:sz w:val="10"/>
        </w:rPr>
        <w:t>  </w:t>
      </w:r>
      <w:r>
        <w:rPr>
          <w:i/>
          <w:color w:val="030303"/>
          <w:spacing w:val="30"/>
          <w:w w:val="217"/>
          <w:sz w:val="22"/>
        </w:rPr>
        <w:t>A</w:t>
      </w:r>
      <w:r>
        <w:rPr>
          <w:i/>
          <w:color w:val="030303"/>
          <w:w w:val="77"/>
          <w:sz w:val="22"/>
        </w:rPr>
        <w:t>•</w:t>
      </w:r>
      <w:r>
        <w:rPr>
          <w:i/>
          <w:color w:val="030303"/>
          <w:spacing w:val="-4"/>
          <w:sz w:val="22"/>
        </w:rPr>
        <w:t> </w:t>
      </w:r>
      <w:r>
        <w:rPr>
          <w:color w:val="030303"/>
          <w:w w:val="104"/>
          <w:sz w:val="22"/>
        </w:rPr>
        <w:t>.</w:t>
      </w:r>
    </w:p>
    <w:p>
      <w:pPr>
        <w:spacing w:line="89" w:lineRule="exact" w:before="0"/>
        <w:ind w:left="851" w:right="0" w:firstLine="0"/>
        <w:jc w:val="left"/>
        <w:rPr>
          <w:sz w:val="10"/>
        </w:rPr>
      </w:pPr>
      <w:r>
        <w:rPr>
          <w:color w:val="030303"/>
          <w:w w:val="187"/>
          <w:sz w:val="10"/>
        </w:rPr>
        <w:t>l</w:t>
      </w:r>
    </w:p>
    <w:p>
      <w:pPr>
        <w:pStyle w:val="BodyText"/>
        <w:spacing w:before="8"/>
        <w:rPr>
          <w:sz w:val="11"/>
        </w:rPr>
      </w:pPr>
    </w:p>
    <w:p>
      <w:pPr>
        <w:pStyle w:val="ListParagraph"/>
        <w:numPr>
          <w:ilvl w:val="1"/>
          <w:numId w:val="117"/>
        </w:numPr>
        <w:tabs>
          <w:tab w:pos="476" w:val="left" w:leader="none"/>
        </w:tabs>
        <w:spacing w:line="231" w:lineRule="exact" w:before="0" w:after="0"/>
        <w:ind w:left="475" w:right="0" w:hanging="212"/>
        <w:jc w:val="left"/>
        <w:rPr>
          <w:color w:val="030303"/>
          <w:sz w:val="17"/>
        </w:rPr>
      </w:pPr>
      <w:r>
        <w:rPr>
          <w:color w:val="030303"/>
          <w:w w:val="111"/>
          <w:sz w:val="17"/>
        </w:rPr>
        <w:t>The</w:t>
      </w:r>
      <w:r>
        <w:rPr>
          <w:color w:val="030303"/>
          <w:sz w:val="17"/>
        </w:rPr>
        <w:t> </w:t>
      </w:r>
      <w:r>
        <w:rPr>
          <w:color w:val="030303"/>
          <w:spacing w:val="-19"/>
          <w:sz w:val="17"/>
        </w:rPr>
        <w:t> </w:t>
      </w:r>
      <w:r>
        <w:rPr>
          <w:color w:val="030303"/>
          <w:w w:val="106"/>
          <w:sz w:val="17"/>
        </w:rPr>
        <w:t>expressions</w:t>
      </w:r>
      <w:r>
        <w:rPr>
          <w:color w:val="030303"/>
          <w:sz w:val="17"/>
        </w:rPr>
        <w:t> </w:t>
      </w:r>
      <w:r>
        <w:rPr>
          <w:color w:val="030303"/>
          <w:spacing w:val="-5"/>
          <w:sz w:val="17"/>
        </w:rPr>
        <w:t> </w:t>
      </w:r>
      <w:r>
        <w:rPr>
          <w:color w:val="030303"/>
          <w:w w:val="100"/>
          <w:sz w:val="17"/>
        </w:rPr>
        <w:t>below</w:t>
      </w:r>
      <w:r>
        <w:rPr>
          <w:color w:val="030303"/>
          <w:sz w:val="17"/>
        </w:rPr>
        <w:t> </w:t>
      </w:r>
      <w:r>
        <w:rPr>
          <w:color w:val="030303"/>
          <w:spacing w:val="-3"/>
          <w:sz w:val="17"/>
        </w:rPr>
        <w:t> </w:t>
      </w:r>
      <w:r>
        <w:rPr>
          <w:color w:val="030303"/>
          <w:w w:val="94"/>
          <w:sz w:val="17"/>
        </w:rPr>
        <w:t>ha.ve</w:t>
      </w:r>
      <w:r>
        <w:rPr>
          <w:color w:val="030303"/>
          <w:sz w:val="17"/>
        </w:rPr>
        <w:t> </w:t>
      </w:r>
      <w:r>
        <w:rPr>
          <w:color w:val="030303"/>
          <w:spacing w:val="-4"/>
          <w:sz w:val="17"/>
        </w:rPr>
        <w:t> </w:t>
      </w:r>
      <w:r>
        <w:rPr>
          <w:color w:val="030303"/>
          <w:w w:val="102"/>
          <w:sz w:val="17"/>
        </w:rPr>
        <w:t>been</w:t>
      </w:r>
      <w:r>
        <w:rPr>
          <w:color w:val="030303"/>
          <w:sz w:val="17"/>
        </w:rPr>
        <w:t> </w:t>
      </w:r>
      <w:r>
        <w:rPr>
          <w:color w:val="030303"/>
          <w:spacing w:val="-3"/>
          <w:sz w:val="17"/>
        </w:rPr>
        <w:t> </w:t>
      </w:r>
      <w:r>
        <w:rPr>
          <w:color w:val="030303"/>
          <w:w w:val="106"/>
          <w:sz w:val="17"/>
        </w:rPr>
        <w:t>given</w:t>
      </w:r>
      <w:r>
        <w:rPr>
          <w:color w:val="030303"/>
          <w:sz w:val="17"/>
        </w:rPr>
        <w:t> </w:t>
      </w:r>
      <w:r>
        <w:rPr>
          <w:color w:val="030303"/>
          <w:spacing w:val="-12"/>
          <w:sz w:val="17"/>
        </w:rPr>
        <w:t> </w:t>
      </w:r>
      <w:r>
        <w:rPr>
          <w:color w:val="030303"/>
          <w:w w:val="111"/>
          <w:sz w:val="17"/>
        </w:rPr>
        <w:t>for</w:t>
      </w:r>
      <w:r>
        <w:rPr>
          <w:color w:val="030303"/>
          <w:sz w:val="17"/>
        </w:rPr>
        <w:t> </w:t>
      </w:r>
      <w:r>
        <w:rPr>
          <w:color w:val="030303"/>
          <w:spacing w:val="-20"/>
          <w:sz w:val="17"/>
        </w:rPr>
        <w:t> </w:t>
      </w:r>
      <w:r>
        <w:rPr>
          <w:color w:val="030303"/>
          <w:w w:val="115"/>
          <w:sz w:val="17"/>
        </w:rPr>
        <w:t>the</w:t>
      </w:r>
      <w:r>
        <w:rPr>
          <w:color w:val="030303"/>
          <w:sz w:val="17"/>
        </w:rPr>
        <w:t> </w:t>
      </w:r>
      <w:r>
        <w:rPr>
          <w:color w:val="030303"/>
          <w:spacing w:val="-10"/>
          <w:sz w:val="17"/>
        </w:rPr>
        <w:t> </w:t>
      </w:r>
      <w:r>
        <w:rPr>
          <w:color w:val="030303"/>
          <w:w w:val="94"/>
          <w:sz w:val="17"/>
        </w:rPr>
        <w:t>v&amp;lue</w:t>
      </w:r>
      <w:r>
        <w:rPr>
          <w:color w:val="030303"/>
          <w:sz w:val="17"/>
        </w:rPr>
        <w:t> </w:t>
      </w:r>
      <w:r>
        <w:rPr>
          <w:color w:val="030303"/>
          <w:spacing w:val="-8"/>
          <w:sz w:val="17"/>
        </w:rPr>
        <w:t> </w:t>
      </w:r>
      <w:r>
        <w:rPr>
          <w:color w:val="030303"/>
          <w:w w:val="114"/>
          <w:sz w:val="17"/>
        </w:rPr>
        <w:t>oí</w:t>
      </w:r>
      <w:r>
        <w:rPr>
          <w:color w:val="030303"/>
          <w:spacing w:val="17"/>
          <w:sz w:val="17"/>
        </w:rPr>
        <w:t> </w:t>
      </w:r>
      <w:r>
        <w:rPr>
          <w:rFonts w:ascii="Arial" w:hAnsi="Arial"/>
          <w:color w:val="030303"/>
          <w:w w:val="62"/>
          <w:sz w:val="22"/>
        </w:rPr>
        <w:t>.A!.</w:t>
      </w:r>
      <w:r>
        <w:rPr>
          <w:rFonts w:ascii="Arial" w:hAnsi="Arial"/>
          <w:color w:val="030303"/>
          <w:spacing w:val="-1"/>
          <w:w w:val="62"/>
          <w:sz w:val="22"/>
        </w:rPr>
        <w:t>z</w:t>
      </w:r>
      <w:r>
        <w:rPr>
          <w:color w:val="030303"/>
          <w:w w:val="64"/>
          <w:position w:val="-2"/>
          <w:sz w:val="10"/>
        </w:rPr>
        <w:t>1</w:t>
      </w:r>
      <w:r>
        <w:rPr>
          <w:color w:val="030303"/>
          <w:spacing w:val="-3"/>
          <w:w w:val="64"/>
          <w:position w:val="-2"/>
          <w:sz w:val="10"/>
        </w:rPr>
        <w:t>1</w:t>
      </w:r>
      <w:r>
        <w:rPr>
          <w:color w:val="030303"/>
          <w:w w:val="202"/>
          <w:sz w:val="10"/>
        </w:rPr>
        <w:t>•</w:t>
      </w:r>
      <w:r>
        <w:rPr>
          <w:color w:val="030303"/>
          <w:sz w:val="10"/>
        </w:rPr>
        <w:t> </w:t>
      </w:r>
      <w:r>
        <w:rPr>
          <w:color w:val="030303"/>
          <w:spacing w:val="-10"/>
          <w:sz w:val="10"/>
        </w:rPr>
        <w:t> </w:t>
      </w:r>
      <w:r>
        <w:rPr>
          <w:color w:val="030303"/>
          <w:w w:val="85"/>
          <w:sz w:val="10"/>
        </w:rPr>
        <w:t>•</w:t>
      </w:r>
      <w:r>
        <w:rPr>
          <w:color w:val="030303"/>
          <w:sz w:val="10"/>
        </w:rPr>
        <w:t>  </w:t>
      </w:r>
      <w:r>
        <w:rPr>
          <w:color w:val="030303"/>
          <w:spacing w:val="-9"/>
          <w:sz w:val="10"/>
        </w:rPr>
        <w:t> </w:t>
      </w:r>
      <w:r>
        <w:rPr>
          <w:color w:val="030303"/>
          <w:w w:val="99"/>
          <w:sz w:val="17"/>
        </w:rPr>
        <w:t>Show</w:t>
      </w:r>
    </w:p>
    <w:p>
      <w:pPr>
        <w:spacing w:line="100" w:lineRule="exact" w:before="0"/>
        <w:ind w:left="0" w:right="691" w:firstLine="0"/>
        <w:jc w:val="right"/>
        <w:rPr>
          <w:b/>
          <w:sz w:val="11"/>
        </w:rPr>
      </w:pPr>
      <w:r>
        <w:rPr>
          <w:b/>
          <w:color w:val="030303"/>
          <w:w w:val="141"/>
          <w:sz w:val="11"/>
        </w:rPr>
        <w:t>l</w:t>
      </w:r>
    </w:p>
    <w:p>
      <w:pPr>
        <w:spacing w:line="252" w:lineRule="auto" w:before="37"/>
        <w:ind w:left="112" w:right="133" w:firstLine="0"/>
        <w:jc w:val="left"/>
        <w:rPr>
          <w:sz w:val="17"/>
        </w:rPr>
      </w:pPr>
      <w:r>
        <w:rPr>
          <w:color w:val="030303"/>
          <w:w w:val="110"/>
          <w:sz w:val="17"/>
        </w:rPr>
        <w:t>clearly why each expression is correct or incorrect. Also </w:t>
      </w:r>
      <w:r>
        <w:rPr>
          <w:b/>
          <w:color w:val="030303"/>
          <w:w w:val="110"/>
          <w:sz w:val="17"/>
        </w:rPr>
        <w:t>give </w:t>
      </w:r>
      <w:r>
        <w:rPr>
          <w:color w:val="030303"/>
          <w:w w:val="110"/>
          <w:sz w:val="17"/>
        </w:rPr>
        <w:t>another ex­ pression, which is correct.</w:t>
      </w:r>
    </w:p>
    <w:p>
      <w:pPr>
        <w:spacing w:after="0" w:line="252" w:lineRule="auto"/>
        <w:jc w:val="left"/>
        <w:rPr>
          <w:sz w:val="17"/>
        </w:rPr>
        <w:sectPr>
          <w:type w:val="continuous"/>
          <w:pgSz w:w="7200" w:h="11340"/>
          <w:pgMar w:top="1100" w:bottom="0" w:left="680" w:right="540"/>
        </w:sectPr>
      </w:pPr>
    </w:p>
    <w:p>
      <w:pPr>
        <w:spacing w:before="98"/>
        <w:ind w:left="2518" w:right="1859" w:firstLine="0"/>
        <w:jc w:val="center"/>
        <w:rPr>
          <w:sz w:val="15"/>
        </w:rPr>
      </w:pPr>
      <w:r>
        <w:rPr>
          <w:w w:val="110"/>
          <w:sz w:val="15"/>
        </w:rPr>
        <w:t>EXERCISES</w:t>
      </w:r>
    </w:p>
    <w:p>
      <w:pPr>
        <w:spacing w:before="17"/>
        <w:ind w:left="432" w:right="-11" w:firstLine="0"/>
        <w:jc w:val="left"/>
        <w:rPr>
          <w:i/>
          <w:sz w:val="16"/>
        </w:rPr>
      </w:pPr>
      <w:r>
        <w:rPr>
          <w:w w:val="111"/>
          <w:sz w:val="16"/>
        </w:rPr>
        <w:t>(</w:t>
      </w:r>
      <w:r>
        <w:rPr>
          <w:w w:val="111"/>
          <w:sz w:val="16"/>
        </w:rPr>
        <w:t>a</w:t>
      </w:r>
      <w:r>
        <w:rPr>
          <w:w w:val="111"/>
          <w:sz w:val="16"/>
        </w:rPr>
        <w:t>)</w:t>
      </w:r>
      <w:r>
        <w:rPr>
          <w:sz w:val="16"/>
        </w:rPr>
        <w:t> </w:t>
      </w:r>
      <w:r>
        <w:rPr>
          <w:spacing w:val="-9"/>
          <w:sz w:val="16"/>
        </w:rPr>
        <w:t> </w:t>
      </w:r>
      <w:r>
        <w:rPr>
          <w:rFonts w:ascii="Arial" w:hAnsi="Arial"/>
          <w:i/>
          <w:spacing w:val="-78"/>
          <w:w w:val="79"/>
          <w:sz w:val="53"/>
        </w:rPr>
        <w:t>1</w:t>
      </w:r>
      <w:r>
        <w:rPr>
          <w:rFonts w:ascii="Arial" w:hAnsi="Arial"/>
          <w:i/>
          <w:spacing w:val="-63"/>
          <w:w w:val="120"/>
          <w:sz w:val="53"/>
        </w:rPr>
        <w:t>·</w:t>
      </w:r>
      <w:r>
        <w:rPr>
          <w:i/>
          <w:w w:val="77"/>
          <w:sz w:val="19"/>
        </w:rPr>
        <w:t>o'</w:t>
      </w:r>
      <w:r>
        <w:rPr>
          <w:i/>
          <w:spacing w:val="19"/>
          <w:sz w:val="19"/>
        </w:rPr>
        <w:t> </w:t>
      </w:r>
      <w:r>
        <w:rPr>
          <w:w w:val="119"/>
          <w:sz w:val="17"/>
        </w:rPr>
        <w:t>,p.(1</w:t>
      </w:r>
      <w:r>
        <w:rPr>
          <w:spacing w:val="18"/>
          <w:sz w:val="17"/>
        </w:rPr>
        <w:t> </w:t>
      </w:r>
      <w:r>
        <w:rPr>
          <w:w w:val="282"/>
          <w:sz w:val="17"/>
        </w:rPr>
        <w:t>-</w:t>
      </w:r>
      <w:r>
        <w:rPr>
          <w:spacing w:val="9"/>
          <w:sz w:val="17"/>
        </w:rPr>
        <w:t> </w:t>
      </w:r>
      <w:r>
        <w:rPr>
          <w:w w:val="117"/>
          <w:sz w:val="17"/>
        </w:rPr>
        <w:t>,p</w:t>
      </w:r>
      <w:r>
        <w:rPr>
          <w:spacing w:val="-16"/>
          <w:w w:val="117"/>
          <w:sz w:val="17"/>
        </w:rPr>
        <w:t>.</w:t>
      </w:r>
      <w:r>
        <w:rPr>
          <w:w w:val="106"/>
          <w:sz w:val="17"/>
        </w:rPr>
        <w:t>)[,p,(1</w:t>
      </w:r>
      <w:r>
        <w:rPr>
          <w:sz w:val="17"/>
        </w:rPr>
        <w:t> </w:t>
      </w:r>
      <w:r>
        <w:rPr>
          <w:spacing w:val="-11"/>
          <w:sz w:val="17"/>
        </w:rPr>
        <w:t> </w:t>
      </w:r>
      <w:r>
        <w:rPr>
          <w:w w:val="256"/>
          <w:sz w:val="17"/>
        </w:rPr>
        <w:t>-</w:t>
      </w:r>
      <w:r>
        <w:rPr>
          <w:spacing w:val="17"/>
          <w:sz w:val="17"/>
        </w:rPr>
        <w:t> </w:t>
      </w:r>
      <w:r>
        <w:rPr>
          <w:w w:val="63"/>
          <w:sz w:val="17"/>
        </w:rPr>
        <w:t>,p.,)</w:t>
      </w:r>
      <w:r>
        <w:rPr>
          <w:w w:val="62"/>
          <w:sz w:val="17"/>
        </w:rPr>
        <w:t>1,111+1</w:t>
      </w:r>
      <w:r>
        <w:rPr>
          <w:sz w:val="17"/>
        </w:rPr>
        <w:t> </w:t>
      </w:r>
      <w:r>
        <w:rPr>
          <w:spacing w:val="-5"/>
          <w:sz w:val="17"/>
        </w:rPr>
        <w:t> </w:t>
      </w:r>
      <w:r>
        <w:rPr>
          <w:rFonts w:ascii="Arial" w:hAnsi="Arial"/>
          <w:w w:val="102"/>
          <w:sz w:val="26"/>
        </w:rPr>
        <w:t>+</w:t>
      </w:r>
      <w:r>
        <w:rPr>
          <w:rFonts w:ascii="Arial" w:hAnsi="Arial"/>
          <w:spacing w:val="-16"/>
          <w:sz w:val="26"/>
        </w:rPr>
        <w:t> </w:t>
      </w:r>
      <w:r>
        <w:rPr>
          <w:w w:val="98"/>
          <w:sz w:val="17"/>
        </w:rPr>
        <w:t>,p.,(1</w:t>
      </w:r>
      <w:r>
        <w:rPr>
          <w:sz w:val="17"/>
        </w:rPr>
        <w:t> </w:t>
      </w:r>
      <w:r>
        <w:rPr>
          <w:spacing w:val="-11"/>
          <w:sz w:val="17"/>
        </w:rPr>
        <w:t> </w:t>
      </w:r>
      <w:r>
        <w:rPr>
          <w:w w:val="273"/>
          <w:sz w:val="17"/>
        </w:rPr>
        <w:t>-</w:t>
      </w:r>
      <w:r>
        <w:rPr>
          <w:spacing w:val="7"/>
          <w:sz w:val="17"/>
        </w:rPr>
        <w:t> </w:t>
      </w:r>
      <w:r>
        <w:rPr>
          <w:w w:val="113"/>
          <w:sz w:val="17"/>
        </w:rPr>
        <w:t>,</w:t>
      </w:r>
      <w:r>
        <w:rPr>
          <w:spacing w:val="-1"/>
          <w:w w:val="113"/>
          <w:sz w:val="17"/>
        </w:rPr>
        <w:t>p</w:t>
      </w:r>
      <w:r>
        <w:rPr>
          <w:w w:val="71"/>
          <w:position w:val="-2"/>
          <w:sz w:val="9"/>
        </w:rPr>
        <w:t>1</w:t>
      </w:r>
      <w:r>
        <w:rPr>
          <w:spacing w:val="-10"/>
          <w:w w:val="71"/>
          <w:position w:val="-2"/>
          <w:sz w:val="9"/>
        </w:rPr>
        <w:t>1</w:t>
      </w:r>
      <w:r>
        <w:rPr>
          <w:w w:val="68"/>
          <w:sz w:val="17"/>
        </w:rPr>
        <w:t>)</w:t>
      </w:r>
      <w:r>
        <w:rPr>
          <w:w w:val="68"/>
          <w:sz w:val="17"/>
        </w:rPr>
        <w:t>1,1.,+1IAw+1</w:t>
      </w:r>
      <w:r>
        <w:rPr>
          <w:spacing w:val="18"/>
          <w:sz w:val="17"/>
        </w:rPr>
        <w:t> </w:t>
      </w:r>
      <w:r>
        <w:rPr>
          <w:i/>
          <w:w w:val="95"/>
          <w:sz w:val="16"/>
        </w:rPr>
        <w:t>d</w:t>
      </w:r>
      <w:r>
        <w:rPr>
          <w:i/>
          <w:spacing w:val="-12"/>
          <w:sz w:val="16"/>
        </w:rPr>
        <w:t> </w:t>
      </w:r>
      <w:r>
        <w:rPr>
          <w:i/>
          <w:w w:val="93"/>
          <w:sz w:val="16"/>
        </w:rPr>
        <w:t>t</w:t>
      </w:r>
    </w:p>
    <w:p>
      <w:pPr>
        <w:spacing w:line="518" w:lineRule="exact" w:before="22"/>
        <w:ind w:left="432" w:right="-11" w:firstLine="0"/>
        <w:jc w:val="left"/>
        <w:rPr>
          <w:i/>
          <w:sz w:val="16"/>
        </w:rPr>
      </w:pPr>
      <w:r>
        <w:rPr>
          <w:w w:val="111"/>
          <w:sz w:val="16"/>
        </w:rPr>
        <w:t>(b)</w:t>
      </w:r>
      <w:r>
        <w:rPr>
          <w:sz w:val="16"/>
        </w:rPr>
        <w:t> </w:t>
      </w:r>
      <w:r>
        <w:rPr>
          <w:spacing w:val="-12"/>
          <w:sz w:val="16"/>
        </w:rPr>
        <w:t> </w:t>
      </w:r>
      <w:r>
        <w:rPr>
          <w:rFonts w:ascii="Arial" w:hAnsi="Arial"/>
          <w:i/>
          <w:spacing w:val="-84"/>
          <w:w w:val="85"/>
          <w:sz w:val="52"/>
        </w:rPr>
        <w:t>1</w:t>
      </w:r>
      <w:r>
        <w:rPr>
          <w:rFonts w:ascii="Arial" w:hAnsi="Arial"/>
          <w:i/>
          <w:spacing w:val="-57"/>
          <w:w w:val="117"/>
          <w:sz w:val="52"/>
        </w:rPr>
        <w:t>·</w:t>
      </w:r>
      <w:r>
        <w:rPr>
          <w:i/>
          <w:spacing w:val="-2"/>
          <w:w w:val="81"/>
          <w:sz w:val="19"/>
        </w:rPr>
        <w:t>o</w:t>
      </w:r>
      <w:r>
        <w:rPr>
          <w:i/>
          <w:w w:val="143"/>
          <w:sz w:val="19"/>
        </w:rPr>
        <w:t>'</w:t>
      </w:r>
      <w:r>
        <w:rPr>
          <w:i/>
          <w:spacing w:val="-9"/>
          <w:sz w:val="19"/>
        </w:rPr>
        <w:t> </w:t>
      </w:r>
      <w:r>
        <w:rPr>
          <w:rFonts w:ascii="Arial" w:hAnsi="Arial"/>
          <w:i/>
          <w:w w:val="127"/>
          <w:sz w:val="16"/>
        </w:rPr>
        <w:t>,p.</w:t>
      </w:r>
      <w:r>
        <w:rPr>
          <w:rFonts w:ascii="Arial" w:hAnsi="Arial"/>
          <w:i/>
          <w:spacing w:val="19"/>
          <w:sz w:val="16"/>
        </w:rPr>
        <w:t> </w:t>
      </w:r>
      <w:r>
        <w:rPr>
          <w:w w:val="91"/>
          <w:sz w:val="29"/>
        </w:rPr>
        <w:t>c</w:t>
      </w:r>
      <w:r>
        <w:rPr>
          <w:spacing w:val="-11"/>
          <w:w w:val="91"/>
          <w:sz w:val="29"/>
        </w:rPr>
        <w:t>p</w:t>
      </w:r>
      <w:r>
        <w:rPr>
          <w:spacing w:val="-46"/>
          <w:w w:val="182"/>
          <w:sz w:val="29"/>
        </w:rPr>
        <w:t>.</w:t>
      </w:r>
      <w:r>
        <w:rPr>
          <w:w w:val="60"/>
          <w:sz w:val="29"/>
        </w:rPr>
        <w:t>·</w:t>
      </w:r>
      <w:r>
        <w:rPr>
          <w:w w:val="60"/>
          <w:sz w:val="29"/>
          <w:u w:val="thick"/>
        </w:rPr>
        <w:t>,</w:t>
      </w:r>
      <w:r>
        <w:rPr>
          <w:spacing w:val="-16"/>
          <w:w w:val="60"/>
          <w:sz w:val="29"/>
          <w:u w:val="thick"/>
        </w:rPr>
        <w:t>q</w:t>
      </w:r>
      <w:r>
        <w:rPr>
          <w:spacing w:val="-116"/>
          <w:w w:val="178"/>
          <w:sz w:val="29"/>
          <w:u w:val="thick"/>
        </w:rPr>
        <w:t>!</w:t>
      </w:r>
      <w:r>
        <w:rPr>
          <w:spacing w:val="-62"/>
          <w:w w:val="159"/>
          <w:sz w:val="29"/>
          <w:u w:val="thick"/>
        </w:rPr>
        <w:t>.</w:t>
      </w:r>
      <w:r>
        <w:rPr>
          <w:spacing w:val="-14"/>
          <w:w w:val="177"/>
          <w:sz w:val="29"/>
          <w:u w:val="thick"/>
        </w:rPr>
        <w:t>l</w:t>
      </w:r>
      <w:r>
        <w:rPr>
          <w:w w:val="134"/>
          <w:sz w:val="29"/>
          <w:u w:val="thick"/>
        </w:rPr>
        <w:t>.</w:t>
      </w:r>
      <w:r>
        <w:rPr>
          <w:spacing w:val="-65"/>
          <w:w w:val="134"/>
          <w:sz w:val="29"/>
          <w:u w:val="thick"/>
        </w:rPr>
        <w:t>!</w:t>
      </w:r>
      <w:r>
        <w:rPr>
          <w:w w:val="70"/>
          <w:sz w:val="29"/>
          <w:u w:val="thick"/>
        </w:rPr>
        <w:t>,</w:t>
      </w:r>
      <w:r>
        <w:rPr>
          <w:spacing w:val="-15"/>
          <w:w w:val="70"/>
          <w:sz w:val="29"/>
          <w:u w:val="thick"/>
        </w:rPr>
        <w:t>:</w:t>
      </w:r>
      <w:r>
        <w:rPr>
          <w:w w:val="67"/>
          <w:sz w:val="29"/>
          <w:u w:val="thick"/>
        </w:rPr>
        <w:t>.+</w:t>
      </w:r>
      <w:r>
        <w:rPr>
          <w:w w:val="68"/>
          <w:sz w:val="29"/>
        </w:rPr>
        <w:t>,</w:t>
      </w:r>
      <w:r>
        <w:rPr>
          <w:spacing w:val="-13"/>
          <w:sz w:val="29"/>
        </w:rPr>
        <w:t> </w:t>
      </w:r>
      <w:r>
        <w:rPr>
          <w:rFonts w:ascii="Arial" w:hAnsi="Arial"/>
          <w:w w:val="105"/>
          <w:sz w:val="26"/>
        </w:rPr>
        <w:t>+</w:t>
      </w:r>
      <w:r>
        <w:rPr>
          <w:rFonts w:ascii="Arial" w:hAnsi="Arial"/>
          <w:spacing w:val="-25"/>
          <w:sz w:val="26"/>
        </w:rPr>
        <w:t> </w:t>
      </w:r>
      <w:r>
        <w:rPr>
          <w:i/>
          <w:w w:val="67"/>
          <w:sz w:val="32"/>
        </w:rPr>
        <w:t>,p</w:t>
      </w:r>
      <w:r>
        <w:rPr>
          <w:i/>
          <w:spacing w:val="8"/>
          <w:w w:val="67"/>
          <w:sz w:val="32"/>
        </w:rPr>
        <w:t>,</w:t>
      </w:r>
      <w:r>
        <w:rPr>
          <w:i/>
          <w:spacing w:val="-13"/>
          <w:w w:val="92"/>
          <w:sz w:val="32"/>
        </w:rPr>
        <w:t>·</w:t>
      </w:r>
      <w:r>
        <w:rPr>
          <w:i/>
          <w:spacing w:val="-19"/>
          <w:w w:val="77"/>
          <w:sz w:val="32"/>
          <w:u w:val="thick"/>
        </w:rPr>
        <w:t>,</w:t>
      </w:r>
      <w:r>
        <w:rPr>
          <w:i/>
          <w:spacing w:val="-8"/>
          <w:w w:val="50"/>
          <w:sz w:val="32"/>
          <w:u w:val="thick"/>
        </w:rPr>
        <w:t>q</w:t>
      </w:r>
      <w:r>
        <w:rPr>
          <w:i/>
          <w:w w:val="83"/>
          <w:sz w:val="32"/>
          <w:u w:val="thick"/>
        </w:rPr>
        <w:t>!</w:t>
      </w:r>
      <w:r>
        <w:rPr>
          <w:i/>
          <w:spacing w:val="-38"/>
          <w:w w:val="83"/>
          <w:sz w:val="32"/>
          <w:u w:val="thick"/>
        </w:rPr>
        <w:t>.</w:t>
      </w:r>
      <w:r>
        <w:rPr>
          <w:i/>
          <w:w w:val="72"/>
          <w:sz w:val="32"/>
          <w:u w:val="thick"/>
        </w:rPr>
        <w:t>A,;</w:t>
      </w:r>
      <w:r>
        <w:rPr>
          <w:i/>
          <w:spacing w:val="12"/>
          <w:w w:val="72"/>
          <w:sz w:val="32"/>
          <w:u w:val="thick"/>
        </w:rPr>
        <w:t>,</w:t>
      </w:r>
      <w:r>
        <w:rPr>
          <w:i/>
          <w:spacing w:val="6"/>
          <w:w w:val="30"/>
          <w:sz w:val="32"/>
          <w:u w:val="thick"/>
        </w:rPr>
        <w:t>:</w:t>
      </w:r>
      <w:r>
        <w:rPr>
          <w:i/>
          <w:w w:val="44"/>
          <w:sz w:val="32"/>
          <w:u w:val="thick"/>
        </w:rPr>
        <w:t>,</w:t>
      </w:r>
      <w:r>
        <w:rPr>
          <w:i/>
          <w:spacing w:val="-2"/>
          <w:w w:val="44"/>
          <w:sz w:val="32"/>
          <w:u w:val="thick"/>
        </w:rPr>
        <w:t>,</w:t>
      </w:r>
      <w:r>
        <w:rPr>
          <w:i/>
          <w:w w:val="40"/>
          <w:sz w:val="32"/>
          <w:u w:val="thick"/>
        </w:rPr>
        <w:t>+</w:t>
      </w:r>
      <w:r>
        <w:rPr>
          <w:i/>
          <w:spacing w:val="1"/>
          <w:w w:val="40"/>
          <w:sz w:val="32"/>
          <w:u w:val="thick"/>
        </w:rPr>
        <w:t>i</w:t>
      </w:r>
      <w:r>
        <w:rPr>
          <w:i/>
          <w:w w:val="75"/>
          <w:sz w:val="32"/>
          <w:u w:val="thick"/>
        </w:rPr>
        <w:t>)</w:t>
      </w:r>
      <w:r>
        <w:rPr>
          <w:i/>
          <w:spacing w:val="19"/>
          <w:sz w:val="32"/>
        </w:rPr>
        <w:t> </w:t>
      </w:r>
      <w:r>
        <w:rPr>
          <w:i/>
          <w:w w:val="107"/>
          <w:sz w:val="16"/>
        </w:rPr>
        <w:t>d</w:t>
      </w:r>
      <w:r>
        <w:rPr>
          <w:i/>
          <w:spacing w:val="16"/>
          <w:w w:val="107"/>
          <w:sz w:val="16"/>
        </w:rPr>
        <w:t>t</w:t>
      </w:r>
      <w:r>
        <w:rPr>
          <w:i/>
          <w:w w:val="157"/>
          <w:sz w:val="16"/>
        </w:rPr>
        <w:t>.</w:t>
      </w:r>
    </w:p>
    <w:p>
      <w:pPr>
        <w:pStyle w:val="Heading8"/>
        <w:spacing w:line="274" w:lineRule="exact"/>
        <w:ind w:left="792"/>
      </w:pPr>
      <w:r>
        <w:rPr>
          <w:w w:val="67"/>
        </w:rPr>
        <w:t>•</w:t>
      </w:r>
    </w:p>
    <w:p>
      <w:pPr>
        <w:spacing w:before="55"/>
        <w:ind w:left="209" w:right="0" w:firstLine="0"/>
        <w:jc w:val="left"/>
        <w:rPr>
          <w:sz w:val="20"/>
        </w:rPr>
      </w:pPr>
      <w:r>
        <w:rPr/>
        <w:br w:type="column"/>
      </w:r>
      <w:r>
        <w:rPr>
          <w:sz w:val="20"/>
        </w:rPr>
        <w:t>253</w:t>
      </w:r>
    </w:p>
    <w:p>
      <w:pPr>
        <w:spacing w:after="0"/>
        <w:jc w:val="left"/>
        <w:rPr>
          <w:sz w:val="20"/>
        </w:rPr>
        <w:sectPr>
          <w:pgSz w:w="7200" w:h="11340"/>
          <w:pgMar w:top="500" w:bottom="280" w:left="680" w:right="540"/>
          <w:cols w:num="2" w:equalWidth="0">
            <w:col w:w="5299" w:space="40"/>
            <w:col w:w="641"/>
          </w:cols>
        </w:sectPr>
      </w:pPr>
    </w:p>
    <w:p>
      <w:pPr>
        <w:pStyle w:val="ListParagraph"/>
        <w:numPr>
          <w:ilvl w:val="1"/>
          <w:numId w:val="117"/>
        </w:numPr>
        <w:tabs>
          <w:tab w:pos="469" w:val="left" w:leader="none"/>
        </w:tabs>
        <w:spacing w:line="184" w:lineRule="exact" w:before="0" w:after="0"/>
        <w:ind w:left="468" w:right="0" w:hanging="209"/>
        <w:jc w:val="both"/>
        <w:rPr>
          <w:sz w:val="18"/>
        </w:rPr>
      </w:pPr>
      <w:r>
        <w:rPr>
          <w:w w:val="105"/>
          <w:sz w:val="18"/>
        </w:rPr>
        <w:t>Assume that the mortality of  </w:t>
      </w:r>
      <w:r>
        <w:rPr>
          <w:rFonts w:ascii="Arial"/>
          <w:i/>
          <w:spacing w:val="5"/>
          <w:w w:val="105"/>
          <w:sz w:val="15"/>
        </w:rPr>
        <w:t>(y </w:t>
      </w:r>
      <w:r>
        <w:rPr>
          <w:rFonts w:ascii="Arial"/>
          <w:i/>
          <w:w w:val="105"/>
          <w:sz w:val="15"/>
        </w:rPr>
        <w:t>) </w:t>
      </w:r>
      <w:r>
        <w:rPr>
          <w:w w:val="105"/>
          <w:sz w:val="18"/>
        </w:rPr>
        <w:t>and </w:t>
      </w:r>
      <w:r>
        <w:rPr>
          <w:w w:val="105"/>
          <w:sz w:val="16"/>
        </w:rPr>
        <w:t>(z) </w:t>
      </w:r>
      <w:r>
        <w:rPr>
          <w:rFonts w:ascii="Arial"/>
          <w:w w:val="105"/>
          <w:sz w:val="18"/>
        </w:rPr>
        <w:t>is </w:t>
      </w:r>
      <w:r>
        <w:rPr>
          <w:w w:val="105"/>
          <w:sz w:val="18"/>
        </w:rPr>
        <w:t>given in terma of a</w:t>
      </w:r>
      <w:r>
        <w:rPr>
          <w:spacing w:val="-19"/>
          <w:w w:val="105"/>
          <w:sz w:val="18"/>
        </w:rPr>
        <w:t> </w:t>
      </w:r>
      <w:r>
        <w:rPr>
          <w:w w:val="105"/>
          <w:sz w:val="18"/>
        </w:rPr>
        <w:t>standard</w:t>
      </w:r>
    </w:p>
    <w:p>
      <w:pPr>
        <w:spacing w:line="232" w:lineRule="auto" w:before="3"/>
        <w:ind w:left="104" w:right="117" w:hanging="4"/>
        <w:jc w:val="both"/>
        <w:rPr>
          <w:sz w:val="16"/>
        </w:rPr>
      </w:pPr>
      <w:r>
        <w:rPr>
          <w:w w:val="105"/>
          <w:sz w:val="18"/>
        </w:rPr>
        <w:t>table and that </w:t>
      </w:r>
      <w:r>
        <w:rPr>
          <w:rFonts w:ascii="Arial"/>
          <w:w w:val="105"/>
          <w:sz w:val="16"/>
        </w:rPr>
        <w:t>(z) </w:t>
      </w:r>
      <w:r>
        <w:rPr>
          <w:rFonts w:ascii="Arial"/>
          <w:w w:val="105"/>
          <w:sz w:val="18"/>
        </w:rPr>
        <w:t>is </w:t>
      </w:r>
      <w:r>
        <w:rPr>
          <w:w w:val="105"/>
          <w:sz w:val="18"/>
        </w:rPr>
        <w:t>subject to the mortality of a special table in which the force of mortality </w:t>
      </w:r>
      <w:r>
        <w:rPr>
          <w:rFonts w:ascii="Arial"/>
          <w:w w:val="105"/>
          <w:sz w:val="18"/>
        </w:rPr>
        <w:t>is </w:t>
      </w:r>
      <w:r>
        <w:rPr>
          <w:w w:val="105"/>
          <w:sz w:val="18"/>
        </w:rPr>
        <w:t>twice that of the standard table. On the basis of this assumption, derive an expression in terma of the standard table for the</w:t>
      </w:r>
      <w:r>
        <w:rPr>
          <w:spacing w:val="-29"/>
          <w:w w:val="105"/>
          <w:sz w:val="18"/>
        </w:rPr>
        <w:t> </w:t>
      </w:r>
      <w:r>
        <w:rPr>
          <w:w w:val="105"/>
          <w:sz w:val="18"/>
        </w:rPr>
        <w:t>value of a unit payable to </w:t>
      </w:r>
      <w:r>
        <w:rPr>
          <w:w w:val="105"/>
          <w:sz w:val="16"/>
        </w:rPr>
        <w:t>(z) </w:t>
      </w:r>
      <w:r>
        <w:rPr>
          <w:w w:val="105"/>
          <w:sz w:val="18"/>
        </w:rPr>
        <w:t>upon the death of </w:t>
      </w:r>
      <w:r>
        <w:rPr>
          <w:w w:val="105"/>
          <w:sz w:val="17"/>
        </w:rPr>
        <w:t>(.i:), </w:t>
      </w:r>
      <w:r>
        <w:rPr>
          <w:w w:val="105"/>
          <w:sz w:val="18"/>
        </w:rPr>
        <w:t>if </w:t>
      </w:r>
      <w:r>
        <w:rPr>
          <w:w w:val="105"/>
          <w:sz w:val="16"/>
        </w:rPr>
        <w:t>(z) </w:t>
      </w:r>
      <w:r>
        <w:rPr>
          <w:w w:val="105"/>
          <w:sz w:val="18"/>
        </w:rPr>
        <w:t>is then living, provided </w:t>
      </w:r>
      <w:r>
        <w:rPr>
          <w:rFonts w:ascii="Arial"/>
          <w:w w:val="105"/>
          <w:sz w:val="16"/>
        </w:rPr>
        <w:t>(z}  </w:t>
      </w:r>
      <w:r>
        <w:rPr>
          <w:w w:val="105"/>
          <w:sz w:val="18"/>
        </w:rPr>
        <w:t>dies  after</w:t>
      </w:r>
      <w:r>
        <w:rPr>
          <w:spacing w:val="36"/>
          <w:w w:val="105"/>
          <w:sz w:val="18"/>
        </w:rPr>
        <w:t> </w:t>
      </w:r>
      <w:r>
        <w:rPr>
          <w:w w:val="105"/>
          <w:sz w:val="16"/>
        </w:rPr>
        <w:t>(y).</w:t>
      </w:r>
    </w:p>
    <w:p>
      <w:pPr>
        <w:pStyle w:val="ListParagraph"/>
        <w:numPr>
          <w:ilvl w:val="0"/>
          <w:numId w:val="118"/>
        </w:numPr>
        <w:tabs>
          <w:tab w:pos="472" w:val="left" w:leader="none"/>
        </w:tabs>
        <w:spacing w:line="202" w:lineRule="exact" w:before="6" w:after="0"/>
        <w:ind w:left="104" w:right="119" w:firstLine="159"/>
        <w:jc w:val="both"/>
        <w:rPr>
          <w:sz w:val="18"/>
        </w:rPr>
      </w:pPr>
      <w:r>
        <w:rPr>
          <w:b/>
          <w:w w:val="105"/>
          <w:sz w:val="18"/>
        </w:rPr>
        <w:t>What </w:t>
      </w:r>
      <w:r>
        <w:rPr>
          <w:w w:val="105"/>
          <w:sz w:val="18"/>
        </w:rPr>
        <w:t>annuity value should be used in obtaining the net annual pre­ mium corresponding </w:t>
      </w:r>
      <w:r>
        <w:rPr>
          <w:w w:val="105"/>
          <w:sz w:val="19"/>
        </w:rPr>
        <w:t>to </w:t>
      </w:r>
      <w:r>
        <w:rPr>
          <w:w w:val="105"/>
          <w:sz w:val="18"/>
        </w:rPr>
        <w:t>each of the following net single </w:t>
      </w:r>
      <w:r>
        <w:rPr>
          <w:spacing w:val="21"/>
          <w:w w:val="105"/>
          <w:sz w:val="18"/>
        </w:rPr>
        <w:t> </w:t>
      </w:r>
      <w:r>
        <w:rPr>
          <w:w w:val="105"/>
          <w:sz w:val="18"/>
        </w:rPr>
        <w:t>premiums?</w:t>
      </w:r>
    </w:p>
    <w:p>
      <w:pPr>
        <w:numPr>
          <w:ilvl w:val="1"/>
          <w:numId w:val="118"/>
        </w:numPr>
        <w:tabs>
          <w:tab w:pos="732" w:val="left" w:leader="none"/>
        </w:tabs>
        <w:spacing w:line="288" w:lineRule="exact" w:before="31"/>
        <w:ind w:left="731" w:right="0" w:hanging="288"/>
        <w:jc w:val="left"/>
        <w:rPr>
          <w:i/>
          <w:sz w:val="27"/>
        </w:rPr>
      </w:pPr>
      <w:r>
        <w:rPr>
          <w:i/>
          <w:w w:val="75"/>
          <w:sz w:val="27"/>
        </w:rPr>
        <w:t>A!w.</w:t>
      </w:r>
    </w:p>
    <w:p>
      <w:pPr>
        <w:spacing w:line="104" w:lineRule="exact" w:before="0"/>
        <w:ind w:left="0" w:right="4069" w:firstLine="0"/>
        <w:jc w:val="center"/>
        <w:rPr>
          <w:b/>
          <w:sz w:val="11"/>
        </w:rPr>
      </w:pPr>
      <w:r>
        <w:rPr>
          <w:b/>
          <w:w w:val="117"/>
          <w:sz w:val="11"/>
        </w:rPr>
        <w:t>1</w:t>
      </w:r>
    </w:p>
    <w:p>
      <w:pPr>
        <w:spacing w:line="286" w:lineRule="exact" w:before="51"/>
        <w:ind w:left="443" w:right="739" w:firstLine="0"/>
        <w:jc w:val="left"/>
        <w:rPr>
          <w:i/>
          <w:sz w:val="27"/>
        </w:rPr>
      </w:pPr>
      <w:r>
        <w:rPr>
          <w:w w:val="85"/>
          <w:sz w:val="16"/>
        </w:rPr>
        <w:t>(b) </w:t>
      </w:r>
      <w:r>
        <w:rPr>
          <w:i/>
          <w:w w:val="85"/>
          <w:sz w:val="27"/>
        </w:rPr>
        <w:t>A.!w.</w:t>
      </w:r>
    </w:p>
    <w:p>
      <w:pPr>
        <w:spacing w:line="102" w:lineRule="exact" w:before="0"/>
        <w:ind w:left="0" w:right="3759" w:firstLine="0"/>
        <w:jc w:val="center"/>
        <w:rPr>
          <w:sz w:val="11"/>
        </w:rPr>
      </w:pPr>
      <w:r>
        <w:rPr>
          <w:w w:val="160"/>
          <w:sz w:val="11"/>
        </w:rPr>
        <w:t>1</w:t>
      </w:r>
    </w:p>
    <w:p>
      <w:pPr>
        <w:pStyle w:val="BodyText"/>
        <w:rPr>
          <w:sz w:val="10"/>
        </w:rPr>
      </w:pPr>
    </w:p>
    <w:p>
      <w:pPr>
        <w:pStyle w:val="ListParagraph"/>
        <w:numPr>
          <w:ilvl w:val="0"/>
          <w:numId w:val="119"/>
        </w:numPr>
        <w:tabs>
          <w:tab w:pos="325" w:val="left" w:leader="none"/>
        </w:tabs>
        <w:spacing w:line="240" w:lineRule="auto" w:before="75" w:after="0"/>
        <w:ind w:left="324" w:right="0" w:hanging="220"/>
        <w:jc w:val="both"/>
        <w:rPr>
          <w:b/>
          <w:sz w:val="16"/>
        </w:rPr>
      </w:pPr>
      <w:r>
        <w:rPr>
          <w:b/>
          <w:w w:val="125"/>
          <w:sz w:val="16"/>
        </w:rPr>
        <w:t>Compound contingencies wlth</w:t>
      </w:r>
      <w:r>
        <w:rPr>
          <w:b/>
          <w:spacing w:val="5"/>
          <w:w w:val="125"/>
          <w:sz w:val="16"/>
        </w:rPr>
        <w:t> </w:t>
      </w:r>
      <w:r>
        <w:rPr>
          <w:b/>
          <w:w w:val="125"/>
          <w:sz w:val="16"/>
        </w:rPr>
        <w:t>term.s-certain</w:t>
      </w:r>
    </w:p>
    <w:p>
      <w:pPr>
        <w:pStyle w:val="ListParagraph"/>
        <w:numPr>
          <w:ilvl w:val="1"/>
          <w:numId w:val="119"/>
        </w:numPr>
        <w:tabs>
          <w:tab w:pos="480" w:val="left" w:leader="none"/>
        </w:tabs>
        <w:spacing w:line="202" w:lineRule="exact" w:before="78" w:after="0"/>
        <w:ind w:left="115" w:right="0" w:firstLine="148"/>
        <w:jc w:val="left"/>
        <w:rPr>
          <w:sz w:val="18"/>
        </w:rPr>
      </w:pPr>
      <w:r>
        <w:rPr>
          <w:w w:val="105"/>
          <w:sz w:val="18"/>
        </w:rPr>
        <w:t>Express in the form of integra.la the probabilities that of the four </w:t>
      </w:r>
      <w:r>
        <w:rPr>
          <w:spacing w:val="37"/>
          <w:w w:val="105"/>
          <w:sz w:val="18"/>
        </w:rPr>
        <w:t> </w:t>
      </w:r>
      <w:r>
        <w:rPr>
          <w:w w:val="105"/>
          <w:sz w:val="18"/>
        </w:rPr>
        <w:t>lives</w:t>
      </w:r>
    </w:p>
    <w:p>
      <w:pPr>
        <w:spacing w:line="200" w:lineRule="exact" w:before="0"/>
        <w:ind w:left="130" w:right="0" w:firstLine="0"/>
        <w:jc w:val="both"/>
        <w:rPr>
          <w:sz w:val="16"/>
        </w:rPr>
      </w:pPr>
      <w:r>
        <w:rPr>
          <w:w w:val="115"/>
          <w:sz w:val="16"/>
        </w:rPr>
        <w:t>(w),  (z),  (y), </w:t>
      </w:r>
      <w:r>
        <w:rPr>
          <w:w w:val="115"/>
          <w:sz w:val="18"/>
        </w:rPr>
        <w:t>and </w:t>
      </w:r>
      <w:r>
        <w:rPr>
          <w:w w:val="115"/>
          <w:sz w:val="16"/>
        </w:rPr>
        <w:t>(z),</w:t>
      </w:r>
    </w:p>
    <w:p>
      <w:pPr>
        <w:pStyle w:val="ListParagraph"/>
        <w:numPr>
          <w:ilvl w:val="2"/>
          <w:numId w:val="119"/>
        </w:numPr>
        <w:tabs>
          <w:tab w:pos="739" w:val="left" w:leader="none"/>
        </w:tabs>
        <w:spacing w:line="202" w:lineRule="exact" w:before="0" w:after="0"/>
        <w:ind w:left="738" w:right="0" w:hanging="292"/>
        <w:jc w:val="left"/>
        <w:rPr>
          <w:rFonts w:ascii="Arial"/>
          <w:i/>
          <w:sz w:val="15"/>
        </w:rPr>
      </w:pPr>
      <w:r>
        <w:rPr>
          <w:w w:val="110"/>
          <w:sz w:val="18"/>
        </w:rPr>
        <w:t>the  deaths </w:t>
      </w:r>
      <w:r>
        <w:rPr>
          <w:w w:val="110"/>
          <w:sz w:val="16"/>
        </w:rPr>
        <w:t>will  </w:t>
      </w:r>
      <w:r>
        <w:rPr>
          <w:w w:val="110"/>
          <w:sz w:val="18"/>
        </w:rPr>
        <w:t>occur in the order  </w:t>
      </w:r>
      <w:r>
        <w:rPr>
          <w:w w:val="110"/>
          <w:sz w:val="16"/>
        </w:rPr>
        <w:t>(w),  (z),  </w:t>
      </w:r>
      <w:r>
        <w:rPr>
          <w:w w:val="110"/>
          <w:sz w:val="17"/>
        </w:rPr>
        <w:t>(y),  </w:t>
      </w:r>
      <w:r>
        <w:rPr>
          <w:w w:val="110"/>
          <w:sz w:val="16"/>
        </w:rPr>
        <w:t>(z),  </w:t>
      </w:r>
      <w:r>
        <w:rPr>
          <w:w w:val="110"/>
          <w:sz w:val="18"/>
        </w:rPr>
        <w:t>and that </w:t>
      </w:r>
      <w:r>
        <w:rPr>
          <w:spacing w:val="22"/>
          <w:w w:val="110"/>
          <w:sz w:val="18"/>
        </w:rPr>
        <w:t> </w:t>
      </w:r>
      <w:r>
        <w:rPr>
          <w:rFonts w:ascii="Arial"/>
          <w:i/>
          <w:spacing w:val="2"/>
          <w:w w:val="110"/>
          <w:sz w:val="15"/>
        </w:rPr>
        <w:t>(x)</w:t>
      </w:r>
    </w:p>
    <w:p>
      <w:pPr>
        <w:spacing w:line="200" w:lineRule="exact" w:before="0"/>
        <w:ind w:left="741" w:right="739" w:firstLine="0"/>
        <w:jc w:val="left"/>
        <w:rPr>
          <w:sz w:val="18"/>
        </w:rPr>
      </w:pPr>
      <w:r>
        <w:rPr>
          <w:w w:val="105"/>
          <w:sz w:val="18"/>
        </w:rPr>
        <w:t>and </w:t>
      </w:r>
      <w:r>
        <w:rPr>
          <w:rFonts w:ascii="Arial"/>
          <w:i/>
          <w:w w:val="105"/>
          <w:sz w:val="15"/>
        </w:rPr>
        <w:t>(y) </w:t>
      </w:r>
      <w:r>
        <w:rPr>
          <w:w w:val="105"/>
          <w:sz w:val="18"/>
        </w:rPr>
        <w:t>will die within four years of each   other;</w:t>
      </w:r>
    </w:p>
    <w:p>
      <w:pPr>
        <w:pStyle w:val="ListParagraph"/>
        <w:numPr>
          <w:ilvl w:val="2"/>
          <w:numId w:val="119"/>
        </w:numPr>
        <w:tabs>
          <w:tab w:pos="757" w:val="left" w:leader="none"/>
        </w:tabs>
        <w:spacing w:line="232" w:lineRule="auto" w:before="0" w:after="0"/>
        <w:ind w:left="738" w:right="114" w:hanging="292"/>
        <w:jc w:val="both"/>
        <w:rPr>
          <w:sz w:val="17"/>
        </w:rPr>
      </w:pPr>
      <w:r>
        <w:rPr>
          <w:w w:val="105"/>
          <w:sz w:val="16"/>
        </w:rPr>
        <w:t>(w) </w:t>
      </w:r>
      <w:r>
        <w:rPr>
          <w:w w:val="105"/>
          <w:sz w:val="18"/>
        </w:rPr>
        <w:t>only will die within </w:t>
      </w:r>
      <w:r>
        <w:rPr>
          <w:w w:val="105"/>
          <w:sz w:val="16"/>
        </w:rPr>
        <w:t>10 </w:t>
      </w:r>
      <w:r>
        <w:rPr>
          <w:w w:val="105"/>
          <w:sz w:val="18"/>
        </w:rPr>
        <w:t>years of the present time and </w:t>
      </w:r>
      <w:r>
        <w:rPr>
          <w:w w:val="105"/>
          <w:sz w:val="16"/>
        </w:rPr>
        <w:t>(z),  </w:t>
      </w:r>
      <w:r>
        <w:rPr>
          <w:rFonts w:ascii="Arial"/>
          <w:i/>
          <w:w w:val="105"/>
          <w:sz w:val="15"/>
        </w:rPr>
        <w:t>( </w:t>
      </w:r>
      <w:r>
        <w:rPr>
          <w:rFonts w:ascii="Arial"/>
          <w:i/>
          <w:spacing w:val="6"/>
          <w:w w:val="105"/>
          <w:sz w:val="15"/>
        </w:rPr>
        <w:t>y), </w:t>
      </w:r>
      <w:r>
        <w:rPr>
          <w:w w:val="105"/>
          <w:sz w:val="18"/>
        </w:rPr>
        <w:t>and </w:t>
      </w:r>
      <w:r>
        <w:rPr>
          <w:w w:val="105"/>
          <w:sz w:val="16"/>
        </w:rPr>
        <w:t>(z) </w:t>
      </w:r>
      <w:r>
        <w:rPr>
          <w:w w:val="105"/>
          <w:sz w:val="18"/>
        </w:rPr>
        <w:t>will die after the </w:t>
      </w:r>
      <w:r>
        <w:rPr>
          <w:w w:val="105"/>
          <w:sz w:val="16"/>
        </w:rPr>
        <w:t>10 </w:t>
      </w:r>
      <w:r>
        <w:rPr>
          <w:w w:val="105"/>
          <w:sz w:val="18"/>
        </w:rPr>
        <w:t>years in that order,  </w:t>
      </w:r>
      <w:r>
        <w:rPr>
          <w:w w:val="105"/>
          <w:sz w:val="16"/>
        </w:rPr>
        <w:t>(y)  </w:t>
      </w:r>
      <w:r>
        <w:rPr>
          <w:w w:val="105"/>
          <w:sz w:val="18"/>
        </w:rPr>
        <w:t>within  </w:t>
      </w:r>
      <w:r>
        <w:rPr>
          <w:w w:val="105"/>
          <w:sz w:val="16"/>
        </w:rPr>
        <w:t>5 </w:t>
      </w:r>
      <w:r>
        <w:rPr>
          <w:w w:val="105"/>
          <w:sz w:val="18"/>
        </w:rPr>
        <w:t>years  of </w:t>
      </w:r>
      <w:r>
        <w:rPr>
          <w:rFonts w:ascii="Arial"/>
          <w:i/>
          <w:w w:val="105"/>
          <w:sz w:val="15"/>
        </w:rPr>
        <w:t>(x) </w:t>
      </w:r>
      <w:r>
        <w:rPr>
          <w:w w:val="105"/>
          <w:sz w:val="18"/>
        </w:rPr>
        <w:t>and </w:t>
      </w:r>
      <w:r>
        <w:rPr>
          <w:rFonts w:ascii="Arial"/>
          <w:w w:val="105"/>
          <w:sz w:val="16"/>
        </w:rPr>
        <w:t>(z) </w:t>
      </w:r>
      <w:r>
        <w:rPr>
          <w:w w:val="105"/>
          <w:sz w:val="18"/>
        </w:rPr>
        <w:t>within </w:t>
      </w:r>
      <w:r>
        <w:rPr>
          <w:rFonts w:ascii="Arial"/>
          <w:w w:val="105"/>
          <w:sz w:val="15"/>
        </w:rPr>
        <w:t>5 </w:t>
      </w:r>
      <w:r>
        <w:rPr>
          <w:w w:val="105"/>
          <w:sz w:val="18"/>
        </w:rPr>
        <w:t>years of</w:t>
      </w:r>
      <w:r>
        <w:rPr>
          <w:spacing w:val="30"/>
          <w:w w:val="105"/>
          <w:sz w:val="18"/>
        </w:rPr>
        <w:t> </w:t>
      </w:r>
      <w:r>
        <w:rPr>
          <w:w w:val="105"/>
          <w:sz w:val="17"/>
        </w:rPr>
        <w:t>(y).</w:t>
      </w:r>
    </w:p>
    <w:p>
      <w:pPr>
        <w:pStyle w:val="ListParagraph"/>
        <w:numPr>
          <w:ilvl w:val="1"/>
          <w:numId w:val="119"/>
        </w:numPr>
        <w:tabs>
          <w:tab w:pos="566" w:val="left" w:leader="none"/>
        </w:tabs>
        <w:spacing w:line="202" w:lineRule="exact" w:before="0" w:after="0"/>
        <w:ind w:left="565" w:right="0" w:hanging="281"/>
        <w:jc w:val="left"/>
        <w:rPr>
          <w:sz w:val="16"/>
        </w:rPr>
      </w:pPr>
      <w:r>
        <w:rPr>
          <w:w w:val="105"/>
          <w:sz w:val="18"/>
        </w:rPr>
        <w:t>Express in integral </w:t>
      </w:r>
      <w:r>
        <w:rPr>
          <w:spacing w:val="25"/>
          <w:w w:val="105"/>
          <w:sz w:val="18"/>
        </w:rPr>
        <w:t> </w:t>
      </w:r>
      <w:r>
        <w:rPr>
          <w:w w:val="105"/>
          <w:sz w:val="18"/>
        </w:rPr>
        <w:t>form:</w:t>
      </w:r>
    </w:p>
    <w:p>
      <w:pPr>
        <w:pStyle w:val="ListParagraph"/>
        <w:numPr>
          <w:ilvl w:val="2"/>
          <w:numId w:val="119"/>
        </w:numPr>
        <w:tabs>
          <w:tab w:pos="735" w:val="left" w:leader="none"/>
        </w:tabs>
        <w:spacing w:line="202" w:lineRule="exact" w:before="2" w:after="0"/>
        <w:ind w:left="745" w:right="124" w:hanging="295"/>
        <w:jc w:val="both"/>
        <w:rPr>
          <w:sz w:val="18"/>
        </w:rPr>
      </w:pPr>
      <w:r>
        <w:rPr>
          <w:w w:val="105"/>
          <w:sz w:val="18"/>
        </w:rPr>
        <w:t>The probability that three lives aged </w:t>
      </w:r>
      <w:r>
        <w:rPr>
          <w:w w:val="105"/>
          <w:sz w:val="16"/>
        </w:rPr>
        <w:t>10, 20, </w:t>
      </w:r>
      <w:r>
        <w:rPr>
          <w:w w:val="105"/>
          <w:sz w:val="18"/>
        </w:rPr>
        <w:t>and </w:t>
      </w:r>
      <w:r>
        <w:rPr>
          <w:spacing w:val="-12"/>
          <w:w w:val="105"/>
          <w:sz w:val="16"/>
        </w:rPr>
        <w:t>30 </w:t>
      </w:r>
      <w:r>
        <w:rPr>
          <w:w w:val="105"/>
          <w:sz w:val="18"/>
        </w:rPr>
        <w:t>ali die before attaining age </w:t>
      </w:r>
      <w:r>
        <w:rPr>
          <w:w w:val="105"/>
          <w:sz w:val="16"/>
        </w:rPr>
        <w:t>60, </w:t>
      </w:r>
      <w:r>
        <w:rPr>
          <w:w w:val="105"/>
          <w:sz w:val="18"/>
        </w:rPr>
        <w:t>with  </w:t>
      </w:r>
      <w:r>
        <w:rPr>
          <w:w w:val="105"/>
          <w:sz w:val="16"/>
        </w:rPr>
        <w:t>(20)  </w:t>
      </w:r>
      <w:r>
        <w:rPr>
          <w:w w:val="105"/>
          <w:sz w:val="18"/>
        </w:rPr>
        <w:t>being the second to</w:t>
      </w:r>
      <w:r>
        <w:rPr>
          <w:spacing w:val="-15"/>
          <w:w w:val="105"/>
          <w:sz w:val="18"/>
        </w:rPr>
        <w:t> </w:t>
      </w:r>
      <w:r>
        <w:rPr>
          <w:w w:val="105"/>
          <w:sz w:val="18"/>
        </w:rPr>
        <w:t>die;</w:t>
      </w:r>
    </w:p>
    <w:p>
      <w:pPr>
        <w:pStyle w:val="ListParagraph"/>
        <w:numPr>
          <w:ilvl w:val="2"/>
          <w:numId w:val="119"/>
        </w:numPr>
        <w:tabs>
          <w:tab w:pos="742" w:val="left" w:leader="none"/>
        </w:tabs>
        <w:spacing w:line="235" w:lineRule="auto" w:before="0" w:after="0"/>
        <w:ind w:left="724" w:right="110" w:hanging="274"/>
        <w:jc w:val="both"/>
        <w:rPr>
          <w:sz w:val="18"/>
        </w:rPr>
      </w:pPr>
      <w:r>
        <w:rPr>
          <w:w w:val="105"/>
          <w:sz w:val="18"/>
        </w:rPr>
        <w:t>the probability that </w:t>
      </w:r>
      <w:r>
        <w:rPr>
          <w:rFonts w:ascii="Arial"/>
          <w:i/>
          <w:spacing w:val="2"/>
          <w:w w:val="105"/>
          <w:sz w:val="15"/>
        </w:rPr>
        <w:t>(w), </w:t>
      </w:r>
      <w:r>
        <w:rPr>
          <w:rFonts w:ascii="Arial"/>
          <w:i/>
          <w:w w:val="105"/>
          <w:sz w:val="15"/>
        </w:rPr>
        <w:t>(x), </w:t>
      </w:r>
      <w:r>
        <w:rPr>
          <w:w w:val="105"/>
          <w:sz w:val="16"/>
        </w:rPr>
        <w:t>(y), </w:t>
      </w:r>
      <w:r>
        <w:rPr>
          <w:w w:val="105"/>
          <w:sz w:val="18"/>
        </w:rPr>
        <w:t>and </w:t>
      </w:r>
      <w:r>
        <w:rPr>
          <w:w w:val="105"/>
          <w:sz w:val="16"/>
        </w:rPr>
        <w:t>(z) </w:t>
      </w:r>
      <w:r>
        <w:rPr>
          <w:w w:val="105"/>
          <w:sz w:val="18"/>
        </w:rPr>
        <w:t>will die  in  the  order  named, not more than two years separating any two consecutive deaths.</w:t>
      </w:r>
    </w:p>
    <w:p>
      <w:pPr>
        <w:pStyle w:val="ListParagraph"/>
        <w:numPr>
          <w:ilvl w:val="1"/>
          <w:numId w:val="119"/>
        </w:numPr>
        <w:tabs>
          <w:tab w:pos="570" w:val="left" w:leader="none"/>
        </w:tabs>
        <w:spacing w:line="232" w:lineRule="auto" w:before="0" w:after="0"/>
        <w:ind w:left="115" w:right="112" w:firstLine="169"/>
        <w:jc w:val="both"/>
        <w:rPr>
          <w:sz w:val="16"/>
        </w:rPr>
      </w:pPr>
      <w:r>
        <w:rPr>
          <w:w w:val="105"/>
          <w:sz w:val="18"/>
        </w:rPr>
        <w:t>Derive an expression in terma of contingent insurances and commu­ tation functions for the net single premium for an insurance paya.ble at the death of a person now aged </w:t>
      </w:r>
      <w:r>
        <w:rPr>
          <w:w w:val="105"/>
          <w:sz w:val="16"/>
        </w:rPr>
        <w:t>35 </w:t>
      </w:r>
      <w:r>
        <w:rPr>
          <w:w w:val="105"/>
          <w:sz w:val="18"/>
        </w:rPr>
        <w:t>if he dies before the survivor of two persona now aged </w:t>
      </w:r>
      <w:r>
        <w:rPr>
          <w:rFonts w:ascii="Arial" w:hAnsi="Arial"/>
          <w:w w:val="105"/>
          <w:sz w:val="15"/>
        </w:rPr>
        <w:t>40 </w:t>
      </w:r>
      <w:r>
        <w:rPr>
          <w:w w:val="105"/>
          <w:sz w:val="18"/>
        </w:rPr>
        <w:t>and </w:t>
      </w:r>
      <w:r>
        <w:rPr>
          <w:rFonts w:ascii="Arial" w:hAnsi="Arial"/>
          <w:w w:val="105"/>
          <w:sz w:val="15"/>
        </w:rPr>
        <w:t>50 </w:t>
      </w:r>
      <w:r>
        <w:rPr>
          <w:w w:val="105"/>
          <w:sz w:val="18"/>
        </w:rPr>
        <w:t>or within ten years after the death of such survivor, leaving another person  now aged </w:t>
      </w:r>
      <w:r>
        <w:rPr>
          <w:w w:val="105"/>
          <w:sz w:val="16"/>
        </w:rPr>
        <w:t>30</w:t>
      </w:r>
      <w:r>
        <w:rPr>
          <w:spacing w:val="34"/>
          <w:w w:val="105"/>
          <w:sz w:val="16"/>
        </w:rPr>
        <w:t> </w:t>
      </w:r>
      <w:r>
        <w:rPr>
          <w:w w:val="105"/>
          <w:sz w:val="18"/>
        </w:rPr>
        <w:t>surviving.</w:t>
      </w:r>
    </w:p>
    <w:p>
      <w:pPr>
        <w:pStyle w:val="BodyText"/>
        <w:rPr>
          <w:sz w:val="15"/>
        </w:rPr>
      </w:pPr>
    </w:p>
    <w:p>
      <w:pPr>
        <w:spacing w:before="0"/>
        <w:ind w:left="104" w:right="0" w:firstLine="0"/>
        <w:jc w:val="both"/>
        <w:rPr>
          <w:b/>
          <w:sz w:val="16"/>
        </w:rPr>
      </w:pPr>
      <w:r>
        <w:rPr>
          <w:b/>
          <w:w w:val="120"/>
          <w:sz w:val="16"/>
        </w:rPr>
        <w:t>Mlscellaneous  problerns</w:t>
      </w:r>
    </w:p>
    <w:p>
      <w:pPr>
        <w:pStyle w:val="ListParagraph"/>
        <w:numPr>
          <w:ilvl w:val="1"/>
          <w:numId w:val="119"/>
        </w:numPr>
        <w:tabs>
          <w:tab w:pos="566" w:val="left" w:leader="none"/>
        </w:tabs>
        <w:spacing w:line="230" w:lineRule="auto" w:before="77" w:after="0"/>
        <w:ind w:left="112" w:right="114" w:firstLine="172"/>
        <w:jc w:val="both"/>
        <w:rPr>
          <w:sz w:val="16"/>
        </w:rPr>
      </w:pPr>
      <w:r>
        <w:rPr>
          <w:w w:val="105"/>
          <w:sz w:val="18"/>
        </w:rPr>
        <w:t>According to a certain mortality table, the probability  that  three  lives aged </w:t>
      </w:r>
      <w:r>
        <w:rPr>
          <w:w w:val="105"/>
          <w:sz w:val="16"/>
        </w:rPr>
        <w:t>70, 55, </w:t>
      </w:r>
      <w:r>
        <w:rPr>
          <w:w w:val="105"/>
          <w:sz w:val="18"/>
        </w:rPr>
        <w:t>and </w:t>
      </w:r>
      <w:r>
        <w:rPr>
          <w:w w:val="105"/>
          <w:sz w:val="16"/>
        </w:rPr>
        <w:t>40 </w:t>
      </w:r>
      <w:r>
        <w:rPr>
          <w:w w:val="105"/>
          <w:sz w:val="18"/>
        </w:rPr>
        <w:t>will die in that order at intervals of not Iess than fifteen years is </w:t>
      </w:r>
      <w:r>
        <w:rPr>
          <w:spacing w:val="-6"/>
          <w:w w:val="105"/>
          <w:sz w:val="16"/>
        </w:rPr>
        <w:t>.048, </w:t>
      </w:r>
      <w:r>
        <w:rPr>
          <w:w w:val="105"/>
          <w:sz w:val="18"/>
        </w:rPr>
        <w:t>and the probability that at least one of two lives now aged </w:t>
      </w:r>
      <w:r>
        <w:rPr>
          <w:w w:val="105"/>
          <w:sz w:val="16"/>
        </w:rPr>
        <w:t>70 will  </w:t>
      </w:r>
      <w:r>
        <w:rPr>
          <w:w w:val="105"/>
          <w:sz w:val="18"/>
        </w:rPr>
        <w:t>be alive fifteen years before the death of a life now aged  </w:t>
      </w:r>
      <w:r>
        <w:rPr>
          <w:spacing w:val="45"/>
          <w:w w:val="105"/>
          <w:sz w:val="18"/>
        </w:rPr>
        <w:t> </w:t>
      </w:r>
      <w:r>
        <w:rPr>
          <w:w w:val="105"/>
          <w:sz w:val="16"/>
        </w:rPr>
        <w:t>55 </w:t>
      </w:r>
      <w:r>
        <w:rPr>
          <w:w w:val="105"/>
          <w:sz w:val="18"/>
        </w:rPr>
        <w:t>is</w:t>
      </w:r>
    </w:p>
    <w:p>
      <w:pPr>
        <w:tabs>
          <w:tab w:pos="4957" w:val="left" w:leader="none"/>
        </w:tabs>
        <w:spacing w:line="230" w:lineRule="auto" w:before="0"/>
        <w:ind w:left="115" w:right="118" w:firstLine="14"/>
        <w:jc w:val="both"/>
        <w:rPr>
          <w:sz w:val="16"/>
        </w:rPr>
      </w:pPr>
      <w:r>
        <w:rPr>
          <w:w w:val="105"/>
          <w:sz w:val="16"/>
        </w:rPr>
        <w:t>.8. </w:t>
      </w:r>
      <w:r>
        <w:rPr>
          <w:w w:val="105"/>
          <w:sz w:val="18"/>
        </w:rPr>
        <w:t>Find the probability that neither of  two lives now  aged </w:t>
      </w:r>
      <w:r>
        <w:rPr>
          <w:w w:val="105"/>
          <w:sz w:val="16"/>
        </w:rPr>
        <w:t>40 will  </w:t>
      </w:r>
      <w:r>
        <w:rPr>
          <w:w w:val="105"/>
          <w:sz w:val="18"/>
        </w:rPr>
        <w:t>survive to</w:t>
      </w:r>
      <w:r>
        <w:rPr>
          <w:spacing w:val="10"/>
          <w:w w:val="105"/>
          <w:sz w:val="18"/>
        </w:rPr>
        <w:t> </w:t>
      </w:r>
      <w:r>
        <w:rPr>
          <w:w w:val="105"/>
          <w:sz w:val="18"/>
        </w:rPr>
        <w:t>age</w:t>
      </w:r>
      <w:r>
        <w:rPr>
          <w:spacing w:val="2"/>
          <w:w w:val="105"/>
          <w:sz w:val="18"/>
        </w:rPr>
        <w:t> </w:t>
      </w:r>
      <w:r>
        <w:rPr>
          <w:w w:val="105"/>
          <w:sz w:val="18"/>
        </w:rPr>
        <w:t>70.</w:t>
        <w:tab/>
        <w:t>(Ans.</w:t>
      </w:r>
      <w:r>
        <w:rPr>
          <w:spacing w:val="4"/>
          <w:w w:val="105"/>
          <w:sz w:val="18"/>
        </w:rPr>
        <w:t> </w:t>
      </w:r>
      <w:r>
        <w:rPr>
          <w:spacing w:val="-3"/>
          <w:w w:val="105"/>
          <w:sz w:val="18"/>
        </w:rPr>
        <w:t>.</w:t>
      </w:r>
      <w:r>
        <w:rPr>
          <w:spacing w:val="-3"/>
          <w:w w:val="105"/>
          <w:sz w:val="16"/>
        </w:rPr>
        <w:t>2704)</w:t>
      </w:r>
    </w:p>
    <w:p>
      <w:pPr>
        <w:spacing w:after="0" w:line="230" w:lineRule="auto"/>
        <w:jc w:val="both"/>
        <w:rPr>
          <w:sz w:val="16"/>
        </w:rPr>
        <w:sectPr>
          <w:type w:val="continuous"/>
          <w:pgSz w:w="7200" w:h="11340"/>
          <w:pgMar w:top="1100" w:bottom="0" w:left="680" w:right="540"/>
        </w:sectPr>
      </w:pPr>
    </w:p>
    <w:p>
      <w:pPr>
        <w:tabs>
          <w:tab w:pos="1476" w:val="left" w:leader="none"/>
          <w:tab w:pos="5274" w:val="left" w:leader="none"/>
        </w:tabs>
        <w:spacing w:before="57"/>
        <w:ind w:left="141" w:right="0" w:firstLine="0"/>
        <w:jc w:val="left"/>
        <w:rPr>
          <w:sz w:val="20"/>
        </w:rPr>
      </w:pPr>
      <w:r>
        <w:rPr>
          <w:w w:val="105"/>
          <w:sz w:val="19"/>
        </w:rPr>
        <w:t>254</w:t>
        <w:tab/>
      </w:r>
      <w:r>
        <w:rPr>
          <w:w w:val="105"/>
          <w:sz w:val="15"/>
        </w:rPr>
        <w:t>COMPOUND  </w:t>
      </w:r>
      <w:r>
        <w:rPr>
          <w:spacing w:val="21"/>
          <w:w w:val="105"/>
          <w:sz w:val="15"/>
        </w:rPr>
        <w:t> </w:t>
      </w:r>
      <w:r>
        <w:rPr>
          <w:w w:val="105"/>
          <w:sz w:val="15"/>
        </w:rPr>
        <w:t>CONTINGENT  </w:t>
      </w:r>
      <w:r>
        <w:rPr>
          <w:spacing w:val="3"/>
          <w:w w:val="105"/>
          <w:sz w:val="15"/>
        </w:rPr>
        <w:t> </w:t>
      </w:r>
      <w:r>
        <w:rPr>
          <w:w w:val="105"/>
          <w:sz w:val="15"/>
        </w:rPr>
        <w:t>FUNCTIONS</w:t>
        <w:tab/>
      </w:r>
      <w:r>
        <w:rPr>
          <w:position w:val="1"/>
          <w:sz w:val="20"/>
        </w:rPr>
        <w:t>[CH.</w:t>
      </w:r>
      <w:r>
        <w:rPr>
          <w:spacing w:val="-4"/>
          <w:position w:val="1"/>
          <w:sz w:val="20"/>
        </w:rPr>
        <w:t> </w:t>
      </w:r>
      <w:r>
        <w:rPr>
          <w:position w:val="1"/>
          <w:sz w:val="20"/>
        </w:rPr>
        <w:t>12</w:t>
      </w:r>
    </w:p>
    <w:p>
      <w:pPr>
        <w:pStyle w:val="BodyText"/>
        <w:spacing w:before="5"/>
        <w:rPr>
          <w:sz w:val="18"/>
        </w:rPr>
      </w:pPr>
    </w:p>
    <w:p>
      <w:pPr>
        <w:pStyle w:val="ListParagraph"/>
        <w:numPr>
          <w:ilvl w:val="1"/>
          <w:numId w:val="119"/>
        </w:numPr>
        <w:tabs>
          <w:tab w:pos="588" w:val="left" w:leader="none"/>
        </w:tabs>
        <w:spacing w:line="240" w:lineRule="auto" w:before="1" w:after="0"/>
        <w:ind w:left="587" w:right="0" w:hanging="291"/>
        <w:jc w:val="left"/>
        <w:rPr>
          <w:sz w:val="18"/>
        </w:rPr>
      </w:pPr>
      <w:r>
        <w:rPr>
          <w:sz w:val="18"/>
        </w:rPr>
        <w:t>lf it is assumed that </w:t>
      </w:r>
      <w:r>
        <w:rPr>
          <w:sz w:val="14"/>
        </w:rPr>
        <w:t>#lz+1  </w:t>
      </w:r>
      <w:r>
        <w:rPr>
          <w:sz w:val="21"/>
        </w:rPr>
        <w:t>= </w:t>
      </w:r>
      <w:r>
        <w:rPr>
          <w:rFonts w:ascii="Arial"/>
          <w:i/>
          <w:sz w:val="15"/>
        </w:rPr>
        <w:t>&lt;Jz+1 </w:t>
      </w:r>
      <w:r>
        <w:rPr>
          <w:sz w:val="18"/>
        </w:rPr>
        <w:t>for all values of </w:t>
      </w:r>
      <w:r>
        <w:rPr>
          <w:i/>
          <w:sz w:val="18"/>
        </w:rPr>
        <w:t>t , </w:t>
      </w:r>
      <w:r>
        <w:rPr>
          <w:sz w:val="18"/>
        </w:rPr>
        <w:t>show</w:t>
      </w:r>
      <w:r>
        <w:rPr>
          <w:spacing w:val="-28"/>
          <w:sz w:val="18"/>
        </w:rPr>
        <w:t> </w:t>
      </w:r>
      <w:r>
        <w:rPr>
          <w:sz w:val="18"/>
        </w:rPr>
        <w:t>that</w:t>
      </w:r>
    </w:p>
    <w:p>
      <w:pPr>
        <w:spacing w:after="0" w:line="240" w:lineRule="auto"/>
        <w:jc w:val="left"/>
        <w:rPr>
          <w:sz w:val="18"/>
        </w:rPr>
        <w:sectPr>
          <w:pgSz w:w="7200" w:h="11340"/>
          <w:pgMar w:top="480" w:bottom="280" w:left="640" w:right="540"/>
        </w:sectPr>
      </w:pPr>
    </w:p>
    <w:p>
      <w:pPr>
        <w:spacing w:line="123" w:lineRule="exact" w:before="125"/>
        <w:ind w:left="1080" w:right="-3" w:firstLine="0"/>
        <w:jc w:val="left"/>
        <w:rPr>
          <w:sz w:val="18"/>
        </w:rPr>
      </w:pPr>
      <w:r>
        <w:rPr>
          <w:i/>
          <w:spacing w:val="-37"/>
          <w:w w:val="61"/>
          <w:sz w:val="24"/>
        </w:rPr>
        <w:t>A</w:t>
      </w:r>
      <w:r>
        <w:rPr>
          <w:rFonts w:ascii="Arial"/>
          <w:b/>
          <w:spacing w:val="-26"/>
          <w:w w:val="185"/>
          <w:position w:val="10"/>
          <w:sz w:val="10"/>
        </w:rPr>
        <w:t>-</w:t>
      </w:r>
      <w:r>
        <w:rPr>
          <w:i/>
          <w:w w:val="62"/>
          <w:sz w:val="24"/>
        </w:rPr>
        <w:t>,,,</w:t>
      </w:r>
      <w:r>
        <w:rPr>
          <w:i/>
          <w:spacing w:val="1"/>
          <w:w w:val="62"/>
          <w:sz w:val="24"/>
        </w:rPr>
        <w:t>,</w:t>
      </w:r>
      <w:r>
        <w:rPr>
          <w:i/>
          <w:w w:val="124"/>
          <w:sz w:val="24"/>
        </w:rPr>
        <w:t>,</w:t>
      </w:r>
      <w:r>
        <w:rPr>
          <w:i/>
          <w:spacing w:val="2"/>
          <w:sz w:val="24"/>
        </w:rPr>
        <w:t> </w:t>
      </w:r>
      <w:r>
        <w:rPr>
          <w:w w:val="86"/>
          <w:sz w:val="23"/>
        </w:rPr>
        <w:t>=</w:t>
      </w:r>
      <w:r>
        <w:rPr>
          <w:spacing w:val="14"/>
          <w:sz w:val="23"/>
        </w:rPr>
        <w:t> </w:t>
      </w:r>
      <w:r>
        <w:rPr>
          <w:spacing w:val="-96"/>
          <w:w w:val="115"/>
          <w:sz w:val="23"/>
        </w:rPr>
        <w:t>-</w:t>
      </w:r>
      <w:r>
        <w:rPr>
          <w:b/>
          <w:w w:val="93"/>
          <w:position w:val="10"/>
          <w:sz w:val="18"/>
        </w:rPr>
        <w:t>1</w:t>
      </w:r>
      <w:r>
        <w:rPr>
          <w:b/>
          <w:position w:val="10"/>
          <w:sz w:val="18"/>
        </w:rPr>
        <w:t>  </w:t>
      </w:r>
      <w:r>
        <w:rPr>
          <w:b/>
          <w:spacing w:val="22"/>
          <w:position w:val="10"/>
          <w:sz w:val="18"/>
        </w:rPr>
        <w:t> </w:t>
      </w:r>
      <w:r>
        <w:rPr>
          <w:w w:val="123"/>
          <w:position w:val="10"/>
          <w:sz w:val="18"/>
        </w:rPr>
        <w:t>-</w:t>
      </w:r>
    </w:p>
    <w:p>
      <w:pPr>
        <w:spacing w:line="123" w:lineRule="exact" w:before="125"/>
        <w:ind w:left="216" w:right="-17" w:firstLine="0"/>
        <w:jc w:val="left"/>
        <w:rPr>
          <w:sz w:val="18"/>
        </w:rPr>
      </w:pPr>
      <w:r>
        <w:rPr/>
        <w:br w:type="column"/>
      </w:r>
      <w:r>
        <w:rPr>
          <w:w w:val="411"/>
          <w:sz w:val="11"/>
        </w:rPr>
        <w:t>-</w:t>
      </w:r>
      <w:r>
        <w:rPr>
          <w:sz w:val="11"/>
        </w:rPr>
        <w:t>   </w:t>
      </w:r>
      <w:r>
        <w:rPr>
          <w:spacing w:val="-2"/>
          <w:sz w:val="11"/>
        </w:rPr>
        <w:t> </w:t>
      </w:r>
      <w:r>
        <w:rPr>
          <w:w w:val="131"/>
          <w:position w:val="10"/>
          <w:sz w:val="18"/>
        </w:rPr>
        <w:t>-</w:t>
      </w:r>
      <w:r>
        <w:rPr>
          <w:position w:val="10"/>
          <w:sz w:val="18"/>
        </w:rPr>
        <w:t>   </w:t>
      </w:r>
      <w:r>
        <w:rPr>
          <w:spacing w:val="7"/>
          <w:position w:val="10"/>
          <w:sz w:val="18"/>
        </w:rPr>
        <w:t> </w:t>
      </w:r>
      <w:r>
        <w:rPr>
          <w:w w:val="250"/>
          <w:sz w:val="18"/>
        </w:rPr>
        <w:t>-</w:t>
      </w:r>
      <w:r>
        <w:rPr>
          <w:spacing w:val="13"/>
          <w:sz w:val="18"/>
        </w:rPr>
        <w:t> </w:t>
      </w:r>
      <w:r>
        <w:rPr>
          <w:rFonts w:ascii="Arial" w:hAnsi="Arial"/>
          <w:w w:val="109"/>
          <w:sz w:val="16"/>
        </w:rPr>
        <w:t>(</w:t>
      </w:r>
      <w:r>
        <w:rPr>
          <w:rFonts w:ascii="Arial" w:hAnsi="Arial"/>
          <w:w w:val="109"/>
          <w:sz w:val="16"/>
        </w:rPr>
        <w:t>1</w:t>
      </w:r>
      <w:r>
        <w:rPr>
          <w:rFonts w:ascii="Arial" w:hAnsi="Arial"/>
          <w:spacing w:val="11"/>
          <w:sz w:val="16"/>
        </w:rPr>
        <w:t> </w:t>
      </w:r>
      <w:r>
        <w:rPr>
          <w:spacing w:val="-21"/>
          <w:w w:val="322"/>
          <w:sz w:val="14"/>
        </w:rPr>
        <w:t>-</w:t>
      </w:r>
      <w:r>
        <w:rPr>
          <w:w w:val="150"/>
          <w:sz w:val="14"/>
        </w:rPr>
        <w:t>µ</w:t>
      </w:r>
      <w:r>
        <w:rPr>
          <w:spacing w:val="-20"/>
          <w:w w:val="150"/>
          <w:sz w:val="14"/>
        </w:rPr>
        <w:t>.</w:t>
      </w:r>
      <w:r>
        <w:rPr>
          <w:w w:val="116"/>
          <w:sz w:val="14"/>
        </w:rPr>
        <w:t>}</w:t>
      </w:r>
      <w:r>
        <w:rPr>
          <w:w w:val="116"/>
          <w:sz w:val="14"/>
        </w:rPr>
        <w:t>(</w:t>
      </w:r>
      <w:r>
        <w:rPr>
          <w:spacing w:val="15"/>
          <w:sz w:val="14"/>
        </w:rPr>
        <w:t> </w:t>
      </w:r>
      <w:r>
        <w:rPr>
          <w:w w:val="123"/>
          <w:position w:val="10"/>
          <w:sz w:val="18"/>
        </w:rPr>
        <w:t>-</w:t>
      </w:r>
    </w:p>
    <w:p>
      <w:pPr>
        <w:spacing w:line="173" w:lineRule="exact" w:before="125"/>
        <w:ind w:left="0" w:right="880" w:firstLine="0"/>
        <w:jc w:val="center"/>
        <w:rPr>
          <w:sz w:val="18"/>
        </w:rPr>
      </w:pPr>
      <w:r>
        <w:rPr/>
        <w:br w:type="column"/>
      </w:r>
      <w:r>
        <w:rPr>
          <w:w w:val="125"/>
          <w:sz w:val="18"/>
        </w:rPr>
        <w:t>-</w:t>
      </w:r>
    </w:p>
    <w:p>
      <w:pPr>
        <w:tabs>
          <w:tab w:pos="602" w:val="left" w:leader="none"/>
        </w:tabs>
        <w:spacing w:line="49" w:lineRule="exact" w:before="0"/>
        <w:ind w:left="0" w:right="717" w:firstLine="0"/>
        <w:jc w:val="center"/>
        <w:rPr>
          <w:sz w:val="14"/>
        </w:rPr>
      </w:pPr>
      <w:r>
        <w:rPr>
          <w:w w:val="310"/>
          <w:sz w:val="14"/>
        </w:rPr>
        <w:t>-</w:t>
        <w:tab/>
      </w:r>
      <w:r>
        <w:rPr>
          <w:w w:val="130"/>
          <w:sz w:val="14"/>
        </w:rPr>
        <w:t>)J.</w:t>
      </w:r>
    </w:p>
    <w:p>
      <w:pPr>
        <w:spacing w:after="0" w:line="49" w:lineRule="exact"/>
        <w:jc w:val="center"/>
        <w:rPr>
          <w:sz w:val="14"/>
        </w:rPr>
        <w:sectPr>
          <w:type w:val="continuous"/>
          <w:pgSz w:w="7200" w:h="11340"/>
          <w:pgMar w:top="1100" w:bottom="0" w:left="640" w:right="540"/>
          <w:cols w:num="3" w:equalWidth="0">
            <w:col w:w="1973" w:space="40"/>
            <w:col w:w="1706" w:space="40"/>
            <w:col w:w="2261"/>
          </w:cols>
        </w:sectPr>
      </w:pPr>
    </w:p>
    <w:p>
      <w:pPr>
        <w:tabs>
          <w:tab w:pos="629" w:val="left" w:leader="none"/>
        </w:tabs>
        <w:spacing w:line="99" w:lineRule="exact" w:before="0"/>
        <w:ind w:left="0" w:right="0" w:firstLine="0"/>
        <w:jc w:val="right"/>
        <w:rPr>
          <w:b/>
          <w:i/>
          <w:sz w:val="18"/>
        </w:rPr>
      </w:pPr>
      <w:r>
        <w:rPr>
          <w:b/>
          <w:w w:val="105"/>
          <w:sz w:val="11"/>
        </w:rPr>
        <w:t>!Az111</w:t>
        <w:tab/>
      </w:r>
      <w:r>
        <w:rPr>
          <w:b/>
          <w:i/>
          <w:sz w:val="18"/>
        </w:rPr>
        <w:t>Au</w:t>
      </w:r>
    </w:p>
    <w:p>
      <w:pPr>
        <w:tabs>
          <w:tab w:pos="712" w:val="left" w:leader="none"/>
        </w:tabs>
        <w:spacing w:line="147" w:lineRule="exact" w:before="0"/>
        <w:ind w:left="345" w:right="0" w:firstLine="0"/>
        <w:jc w:val="center"/>
        <w:rPr>
          <w:b/>
          <w:i/>
          <w:sz w:val="16"/>
        </w:rPr>
      </w:pPr>
      <w:r>
        <w:rPr>
          <w:rFonts w:ascii="Courier New"/>
          <w:sz w:val="11"/>
        </w:rPr>
        <w:t>1</w:t>
        <w:tab/>
      </w:r>
      <w:r>
        <w:rPr>
          <w:b/>
          <w:i/>
          <w:sz w:val="16"/>
        </w:rPr>
        <w:t>6</w:t>
      </w:r>
    </w:p>
    <w:p>
      <w:pPr>
        <w:spacing w:line="127" w:lineRule="exact" w:before="0"/>
        <w:ind w:left="896" w:right="-12" w:firstLine="0"/>
        <w:jc w:val="left"/>
        <w:rPr>
          <w:sz w:val="14"/>
        </w:rPr>
      </w:pPr>
      <w:r>
        <w:rPr/>
        <w:br w:type="column"/>
      </w:r>
      <w:r>
        <w:rPr>
          <w:w w:val="115"/>
          <w:sz w:val="14"/>
        </w:rPr>
        <w:t>Az+l:r•</w:t>
      </w:r>
    </w:p>
    <w:p>
      <w:pPr>
        <w:spacing w:line="127" w:lineRule="exact" w:before="0"/>
        <w:ind w:left="234" w:right="-16" w:firstLine="0"/>
        <w:jc w:val="left"/>
        <w:rPr>
          <w:sz w:val="14"/>
        </w:rPr>
      </w:pPr>
      <w:r>
        <w:rPr/>
        <w:br w:type="column"/>
      </w:r>
      <w:r>
        <w:rPr>
          <w:w w:val="115"/>
          <w:sz w:val="14"/>
        </w:rPr>
        <w:t>Az+l:,</w:t>
      </w:r>
    </w:p>
    <w:p>
      <w:pPr>
        <w:spacing w:after="0" w:line="127" w:lineRule="exact"/>
        <w:jc w:val="left"/>
        <w:rPr>
          <w:sz w:val="14"/>
        </w:rPr>
        <w:sectPr>
          <w:type w:val="continuous"/>
          <w:pgSz w:w="7200" w:h="11340"/>
          <w:pgMar w:top="1100" w:bottom="0" w:left="640" w:right="540"/>
          <w:cols w:num="3" w:equalWidth="0">
            <w:col w:w="2658" w:space="40"/>
            <w:col w:w="1382" w:space="40"/>
            <w:col w:w="1900"/>
          </w:cols>
        </w:sectPr>
      </w:pPr>
    </w:p>
    <w:p>
      <w:pPr>
        <w:pStyle w:val="ListParagraph"/>
        <w:numPr>
          <w:ilvl w:val="1"/>
          <w:numId w:val="119"/>
        </w:numPr>
        <w:tabs>
          <w:tab w:pos="577" w:val="left" w:leader="none"/>
          <w:tab w:pos="3561" w:val="left" w:leader="none"/>
        </w:tabs>
        <w:spacing w:line="232" w:lineRule="auto" w:before="155" w:after="0"/>
        <w:ind w:left="119" w:right="124" w:firstLine="177"/>
        <w:jc w:val="both"/>
        <w:rPr>
          <w:sz w:val="18"/>
        </w:rPr>
      </w:pPr>
      <w:r>
        <w:rPr>
          <w:sz w:val="18"/>
        </w:rPr>
        <w:t>Write an expression in the form of integrals for the gross single  premium, including a loading of 10 per cent of the net, for an  insurance  payable on the death of a life aged 30, provided  that  he dies either before  a  life aged 35 or within three years af ter his death and that both a.re prede­ ceased by two lives ea.ch aged 40 who must die in a specified  order. Should  the life aged 30 die within the three years a.fter the death of the </w:t>
      </w:r>
      <w:r>
        <w:rPr>
          <w:spacing w:val="4"/>
          <w:sz w:val="16"/>
        </w:rPr>
        <w:t>lif</w:t>
      </w:r>
      <w:r>
        <w:rPr>
          <w:spacing w:val="4"/>
          <w:sz w:val="18"/>
        </w:rPr>
        <w:t>e </w:t>
      </w:r>
      <w:r>
        <w:rPr>
          <w:sz w:val="18"/>
        </w:rPr>
        <w:t>a.ged 35, the sum insured is to be  reduced  by 25 per cent,  but  should he survive the  life a.ged 35 by three  years,  the  other lives dying as before,  the premium  is  to </w:t>
      </w:r>
      <w:r>
        <w:rPr>
          <w:spacing w:val="6"/>
          <w:sz w:val="18"/>
        </w:rPr>
        <w:t> </w:t>
      </w:r>
      <w:r>
        <w:rPr>
          <w:sz w:val="18"/>
        </w:rPr>
        <w:t>be </w:t>
      </w:r>
      <w:r>
        <w:rPr>
          <w:spacing w:val="18"/>
          <w:sz w:val="18"/>
        </w:rPr>
        <w:t> </w:t>
      </w:r>
      <w:r>
        <w:rPr>
          <w:sz w:val="18"/>
        </w:rPr>
        <w:t>returned.</w:t>
        <w:tab/>
        <w:t>·</w:t>
      </w:r>
    </w:p>
    <w:p>
      <w:pPr>
        <w:pStyle w:val="ListParagraph"/>
        <w:numPr>
          <w:ilvl w:val="1"/>
          <w:numId w:val="119"/>
        </w:numPr>
        <w:tabs>
          <w:tab w:pos="566" w:val="left" w:leader="none"/>
        </w:tabs>
        <w:spacing w:line="232" w:lineRule="auto" w:before="0" w:after="0"/>
        <w:ind w:left="116" w:right="128" w:firstLine="172"/>
        <w:jc w:val="both"/>
        <w:rPr>
          <w:sz w:val="18"/>
        </w:rPr>
      </w:pPr>
      <w:r>
        <w:rPr>
          <w:sz w:val="18"/>
        </w:rPr>
        <w:t>The will of </w:t>
      </w:r>
      <w:r>
        <w:rPr>
          <w:rFonts w:ascii="Arial" w:hAnsi="Arial"/>
          <w:i/>
          <w:w w:val="105"/>
          <w:sz w:val="17"/>
        </w:rPr>
        <w:t>H, </w:t>
      </w:r>
      <w:r>
        <w:rPr>
          <w:sz w:val="18"/>
        </w:rPr>
        <w:t>now dea.d, lea.ves to his wife </w:t>
      </w:r>
      <w:r>
        <w:rPr>
          <w:rFonts w:ascii="Arial" w:hAnsi="Arial"/>
          <w:sz w:val="16"/>
        </w:rPr>
        <w:t>(w) </w:t>
      </w:r>
      <w:r>
        <w:rPr>
          <w:sz w:val="18"/>
        </w:rPr>
        <w:t>the income for life from a $200,000 trust </w:t>
      </w:r>
      <w:r>
        <w:rPr>
          <w:spacing w:val="3"/>
          <w:sz w:val="18"/>
        </w:rPr>
        <w:t>fund, </w:t>
      </w:r>
      <w:r>
        <w:rPr>
          <w:sz w:val="18"/>
        </w:rPr>
        <w:t>the principal to be divided at  (w)'s  death  in  accord­ ancE&gt; with the following conditions. </w:t>
      </w:r>
      <w:r>
        <w:rPr>
          <w:sz w:val="17"/>
        </w:rPr>
        <w:t>If </w:t>
      </w:r>
      <w:r>
        <w:rPr>
          <w:i/>
          <w:sz w:val="18"/>
        </w:rPr>
        <w:t>H' s </w:t>
      </w:r>
      <w:r>
        <w:rPr>
          <w:sz w:val="18"/>
        </w:rPr>
        <w:t>sons (x) and </w:t>
      </w:r>
      <w:r>
        <w:rPr>
          <w:rFonts w:ascii="Arial" w:hAnsi="Arial"/>
          <w:sz w:val="16"/>
        </w:rPr>
        <w:t>(y) </w:t>
      </w:r>
      <w:r>
        <w:rPr>
          <w:sz w:val="18"/>
        </w:rPr>
        <w:t>a.re both alive,  they alone share the principal. lf either  son  predeceases  </w:t>
      </w:r>
      <w:r>
        <w:rPr>
          <w:sz w:val="16"/>
        </w:rPr>
        <w:t>(w),  </w:t>
      </w:r>
      <w:r>
        <w:rPr>
          <w:sz w:val="18"/>
        </w:rPr>
        <w:t>his  children living  at  (w) 's death share the principal.  (x)  has three  children,  </w:t>
      </w:r>
      <w:r>
        <w:rPr>
          <w:rFonts w:ascii="Arial" w:hAnsi="Arial"/>
          <w:i/>
          <w:sz w:val="16"/>
        </w:rPr>
        <w:t>(a), (b),  </w:t>
      </w:r>
      <w:r>
        <w:rPr>
          <w:rFonts w:ascii="Arial" w:hAnsi="Arial"/>
          <w:i/>
          <w:spacing w:val="1"/>
          <w:sz w:val="16"/>
        </w:rPr>
        <w:t> </w:t>
      </w:r>
      <w:r>
        <w:rPr>
          <w:sz w:val="18"/>
        </w:rPr>
        <w:t>and</w:t>
      </w:r>
    </w:p>
    <w:p>
      <w:pPr>
        <w:spacing w:line="202" w:lineRule="exact" w:before="2"/>
        <w:ind w:left="119" w:right="139" w:firstLine="18"/>
        <w:jc w:val="both"/>
        <w:rPr>
          <w:rFonts w:ascii="Arial"/>
          <w:sz w:val="16"/>
        </w:rPr>
      </w:pPr>
      <w:r>
        <w:rPr>
          <w:rFonts w:ascii="Arial"/>
          <w:i/>
          <w:w w:val="105"/>
          <w:sz w:val="14"/>
        </w:rPr>
        <w:t>(e) ; </w:t>
      </w:r>
      <w:r>
        <w:rPr>
          <w:w w:val="105"/>
          <w:sz w:val="18"/>
        </w:rPr>
        <w:t>and </w:t>
      </w:r>
      <w:r>
        <w:rPr>
          <w:rFonts w:ascii="Arial"/>
          <w:i/>
          <w:w w:val="105"/>
          <w:sz w:val="16"/>
        </w:rPr>
        <w:t>(y) </w:t>
      </w:r>
      <w:r>
        <w:rPr>
          <w:w w:val="105"/>
          <w:sz w:val="18"/>
        </w:rPr>
        <w:t>two, (d) and </w:t>
      </w:r>
      <w:r>
        <w:rPr>
          <w:rFonts w:ascii="Arial"/>
          <w:i/>
          <w:w w:val="105"/>
          <w:sz w:val="14"/>
        </w:rPr>
        <w:t>(e). </w:t>
      </w:r>
      <w:r>
        <w:rPr>
          <w:w w:val="105"/>
          <w:sz w:val="18"/>
        </w:rPr>
        <w:t>Ali beneficiaries at </w:t>
      </w:r>
      <w:r>
        <w:rPr>
          <w:rFonts w:ascii="Arial"/>
          <w:i/>
          <w:w w:val="105"/>
          <w:sz w:val="14"/>
        </w:rPr>
        <w:t>(w)'s </w:t>
      </w:r>
      <w:r>
        <w:rPr>
          <w:w w:val="105"/>
          <w:sz w:val="18"/>
        </w:rPr>
        <w:t>death are to share the principal per ca.pita, i.e., equally without regard to generation. Ignore the possibility of the birth of any further children to </w:t>
      </w:r>
      <w:r>
        <w:rPr>
          <w:rFonts w:ascii="Arial"/>
          <w:i/>
          <w:w w:val="105"/>
          <w:sz w:val="14"/>
        </w:rPr>
        <w:t>(x)  </w:t>
      </w:r>
      <w:r>
        <w:rPr>
          <w:w w:val="105"/>
          <w:sz w:val="18"/>
        </w:rPr>
        <w:t>or   </w:t>
      </w:r>
      <w:r>
        <w:rPr>
          <w:rFonts w:ascii="Arial"/>
          <w:w w:val="105"/>
          <w:sz w:val="16"/>
        </w:rPr>
        <w:t>(y).</w:t>
      </w:r>
    </w:p>
    <w:p>
      <w:pPr>
        <w:spacing w:line="235" w:lineRule="auto" w:before="0"/>
        <w:ind w:left="115" w:right="134" w:firstLine="205"/>
        <w:jc w:val="both"/>
        <w:rPr>
          <w:sz w:val="18"/>
        </w:rPr>
      </w:pPr>
      <w:r>
        <w:rPr>
          <w:w w:val="105"/>
          <w:sz w:val="18"/>
        </w:rPr>
        <w:t>Find an expression for the present value of (x)'s expectation (not includ­ ing that of bis children) in terms of continuous contingent iilsurances pay­ able on the first   death.</w:t>
      </w:r>
    </w:p>
    <w:p>
      <w:pPr>
        <w:spacing w:after="0" w:line="235" w:lineRule="auto"/>
        <w:jc w:val="both"/>
        <w:rPr>
          <w:sz w:val="18"/>
        </w:rPr>
        <w:sectPr>
          <w:type w:val="continuous"/>
          <w:pgSz w:w="7200" w:h="11340"/>
          <w:pgMar w:top="1100" w:bottom="0" w:left="640" w:right="540"/>
        </w:sectPr>
      </w:pPr>
    </w:p>
    <w:p>
      <w:pPr>
        <w:pStyle w:val="BodyText"/>
      </w:pPr>
    </w:p>
    <w:p>
      <w:pPr>
        <w:pStyle w:val="BodyText"/>
        <w:spacing w:before="5"/>
        <w:rPr>
          <w:sz w:val="28"/>
        </w:rPr>
      </w:pPr>
    </w:p>
    <w:p>
      <w:pPr>
        <w:spacing w:before="76"/>
        <w:ind w:left="127" w:right="131" w:firstLine="0"/>
        <w:jc w:val="center"/>
        <w:rPr>
          <w:sz w:val="19"/>
        </w:rPr>
      </w:pPr>
      <w:bookmarkStart w:name="13. Reversionary Annuities" w:id="19"/>
      <w:bookmarkEnd w:id="19"/>
      <w:r>
        <w:rPr/>
      </w:r>
      <w:r>
        <w:rPr>
          <w:rFonts w:ascii="Arial"/>
          <w:color w:val="010101"/>
          <w:w w:val="115"/>
          <w:sz w:val="15"/>
        </w:rPr>
        <w:t>CHAPTER  </w:t>
      </w:r>
      <w:r>
        <w:rPr>
          <w:color w:val="010101"/>
          <w:w w:val="115"/>
          <w:sz w:val="19"/>
        </w:rPr>
        <w:t>13</w:t>
      </w:r>
    </w:p>
    <w:p>
      <w:pPr>
        <w:spacing w:before="122"/>
        <w:ind w:left="95" w:right="131" w:firstLine="0"/>
        <w:jc w:val="center"/>
        <w:rPr>
          <w:sz w:val="21"/>
        </w:rPr>
      </w:pPr>
      <w:r>
        <w:rPr>
          <w:color w:val="010101"/>
          <w:w w:val="105"/>
          <w:sz w:val="21"/>
        </w:rPr>
        <w:t>REVERSIONARY ANNUITIES</w:t>
      </w:r>
    </w:p>
    <w:p>
      <w:pPr>
        <w:pStyle w:val="BodyText"/>
        <w:spacing w:before="4"/>
        <w:rPr>
          <w:sz w:val="22"/>
        </w:rPr>
      </w:pPr>
    </w:p>
    <w:p>
      <w:pPr>
        <w:spacing w:before="0"/>
        <w:ind w:left="116" w:right="0" w:firstLine="0"/>
        <w:jc w:val="left"/>
        <w:rPr>
          <w:b/>
          <w:sz w:val="20"/>
        </w:rPr>
      </w:pPr>
      <w:r>
        <w:rPr>
          <w:b/>
          <w:color w:val="010101"/>
          <w:w w:val="120"/>
          <w:sz w:val="20"/>
        </w:rPr>
        <w:t>l. lntroduction</w:t>
      </w:r>
    </w:p>
    <w:p>
      <w:pPr>
        <w:spacing w:line="261" w:lineRule="auto" w:before="92"/>
        <w:ind w:left="112" w:right="115" w:firstLine="193"/>
        <w:jc w:val="both"/>
        <w:rPr>
          <w:sz w:val="19"/>
        </w:rPr>
      </w:pPr>
      <w:r>
        <w:rPr>
          <w:color w:val="010101"/>
          <w:w w:val="110"/>
          <w:sz w:val="19"/>
        </w:rPr>
        <w:t>A reversionary annuity is an  annuity  which  commences  upon the failure of a given status </w:t>
      </w:r>
      <w:r>
        <w:rPr>
          <w:rFonts w:ascii="Arial" w:hAnsi="Arial"/>
          <w:i/>
          <w:color w:val="010101"/>
          <w:sz w:val="19"/>
        </w:rPr>
        <w:t>( </w:t>
      </w:r>
      <w:r>
        <w:rPr>
          <w:rFonts w:ascii="Arial" w:hAnsi="Arial"/>
          <w:i/>
          <w:color w:val="010101"/>
          <w:w w:val="110"/>
          <w:sz w:val="19"/>
        </w:rPr>
        <w:t>A) </w:t>
      </w:r>
      <w:r>
        <w:rPr>
          <w:color w:val="010101"/>
          <w:w w:val="110"/>
          <w:sz w:val="19"/>
        </w:rPr>
        <w:t>if a second status </w:t>
      </w:r>
      <w:r>
        <w:rPr>
          <w:rFonts w:ascii="Arial" w:hAnsi="Arial"/>
          <w:i/>
          <w:color w:val="010101"/>
          <w:w w:val="110"/>
          <w:sz w:val="19"/>
        </w:rPr>
        <w:t>(B) </w:t>
      </w:r>
      <w:r>
        <w:rPr>
          <w:color w:val="010101"/>
          <w:w w:val="110"/>
          <w:sz w:val="19"/>
        </w:rPr>
        <w:t>is then in existence and which continues thereafter during  the  existence of </w:t>
      </w:r>
      <w:r>
        <w:rPr>
          <w:rFonts w:ascii="Arial" w:hAnsi="Arial"/>
          <w:b/>
          <w:i/>
          <w:color w:val="010101"/>
          <w:w w:val="110"/>
          <w:sz w:val="19"/>
        </w:rPr>
        <w:t>(B). </w:t>
      </w:r>
      <w:r>
        <w:rPr>
          <w:rFonts w:ascii="Arial" w:hAnsi="Arial"/>
          <w:b/>
          <w:color w:val="010101"/>
          <w:w w:val="110"/>
          <w:sz w:val="19"/>
        </w:rPr>
        <w:t>A </w:t>
      </w:r>
      <w:r>
        <w:rPr>
          <w:color w:val="010101"/>
          <w:w w:val="110"/>
          <w:sz w:val="19"/>
        </w:rPr>
        <w:t>simple example is the familiar deferred annuity </w:t>
      </w:r>
      <w:r>
        <w:rPr>
          <w:rFonts w:ascii="Arial" w:hAnsi="Arial"/>
          <w:color w:val="010101"/>
          <w:w w:val="110"/>
          <w:sz w:val="15"/>
        </w:rPr>
        <w:t>nlaz </w:t>
      </w:r>
      <w:r>
        <w:rPr>
          <w:rFonts w:ascii="Arial" w:hAnsi="Arial"/>
          <w:color w:val="010101"/>
          <w:w w:val="170"/>
          <w:sz w:val="15"/>
        </w:rPr>
        <w:t>, </w:t>
      </w:r>
      <w:r>
        <w:rPr>
          <w:color w:val="010101"/>
          <w:w w:val="110"/>
          <w:sz w:val="19"/>
        </w:rPr>
        <w:t>in which </w:t>
      </w:r>
      <w:r>
        <w:rPr>
          <w:color w:val="010101"/>
          <w:w w:val="110"/>
          <w:sz w:val="20"/>
        </w:rPr>
        <w:t>(n]) </w:t>
      </w:r>
      <w:r>
        <w:rPr>
          <w:color w:val="010101"/>
          <w:w w:val="110"/>
          <w:sz w:val="19"/>
        </w:rPr>
        <w:t>is the </w:t>
      </w:r>
      <w:r>
        <w:rPr>
          <w:b/>
          <w:color w:val="010101"/>
          <w:w w:val="110"/>
          <w:sz w:val="21"/>
        </w:rPr>
        <w:t>failing </w:t>
      </w:r>
      <w:r>
        <w:rPr>
          <w:color w:val="010101"/>
          <w:w w:val="110"/>
          <w:sz w:val="19"/>
        </w:rPr>
        <w:t>status </w:t>
      </w:r>
      <w:r>
        <w:rPr>
          <w:rFonts w:ascii="Arial" w:hAnsi="Arial"/>
          <w:i/>
          <w:color w:val="010101"/>
          <w:w w:val="110"/>
          <w:sz w:val="19"/>
        </w:rPr>
        <w:t>(A) </w:t>
      </w:r>
      <w:r>
        <w:rPr>
          <w:color w:val="010101"/>
          <w:w w:val="110"/>
          <w:sz w:val="19"/>
        </w:rPr>
        <w:t>and </w:t>
      </w:r>
      <w:r>
        <w:rPr>
          <w:rFonts w:ascii="Arial" w:hAnsi="Arial"/>
          <w:i/>
          <w:color w:val="010101"/>
          <w:sz w:val="19"/>
        </w:rPr>
        <w:t>(x ) </w:t>
      </w:r>
      <w:r>
        <w:rPr>
          <w:color w:val="010101"/>
          <w:w w:val="110"/>
          <w:sz w:val="19"/>
        </w:rPr>
        <w:t>the surviving status </w:t>
      </w:r>
      <w:r>
        <w:rPr>
          <w:rFonts w:ascii="Arial" w:hAnsi="Arial"/>
          <w:i/>
          <w:color w:val="010101"/>
          <w:w w:val="110"/>
          <w:sz w:val="19"/>
        </w:rPr>
        <w:t>(B). </w:t>
      </w:r>
      <w:r>
        <w:rPr>
          <w:color w:val="010101"/>
          <w:w w:val="110"/>
          <w:sz w:val="19"/>
        </w:rPr>
        <w:t>In the general case where the failing status involves life contin­ gencies, reversionary annuities are a type of contingent function analogous to the contingent insurances discussed in the preceding chapters.</w:t>
      </w:r>
    </w:p>
    <w:p>
      <w:pPr>
        <w:numPr>
          <w:ilvl w:val="0"/>
          <w:numId w:val="120"/>
        </w:numPr>
        <w:tabs>
          <w:tab w:pos="329" w:val="left" w:leader="none"/>
        </w:tabs>
        <w:spacing w:before="149"/>
        <w:ind w:left="328" w:right="0" w:hanging="216"/>
        <w:jc w:val="left"/>
        <w:rPr>
          <w:b/>
          <w:color w:val="010101"/>
          <w:sz w:val="19"/>
        </w:rPr>
      </w:pPr>
      <w:r>
        <w:rPr>
          <w:b/>
          <w:color w:val="010101"/>
          <w:w w:val="115"/>
          <w:sz w:val="20"/>
        </w:rPr>
        <w:t>The basic</w:t>
      </w:r>
      <w:r>
        <w:rPr>
          <w:b/>
          <w:color w:val="010101"/>
          <w:spacing w:val="49"/>
          <w:w w:val="115"/>
          <w:sz w:val="20"/>
        </w:rPr>
        <w:t> </w:t>
      </w:r>
      <w:r>
        <w:rPr>
          <w:b/>
          <w:color w:val="010101"/>
          <w:w w:val="115"/>
          <w:sz w:val="20"/>
        </w:rPr>
        <w:t>function</w:t>
      </w:r>
    </w:p>
    <w:p>
      <w:pPr>
        <w:spacing w:line="266" w:lineRule="auto" w:before="96"/>
        <w:ind w:left="109" w:right="123" w:firstLine="197"/>
        <w:jc w:val="both"/>
        <w:rPr>
          <w:sz w:val="19"/>
        </w:rPr>
      </w:pPr>
      <w:r>
        <w:rPr>
          <w:color w:val="010101"/>
          <w:w w:val="105"/>
          <w:sz w:val="19"/>
        </w:rPr>
        <w:t>The simplest form</w:t>
      </w:r>
      <w:r>
        <w:rPr>
          <w:color w:val="010101"/>
          <w:spacing w:val="49"/>
          <w:w w:val="105"/>
          <w:sz w:val="19"/>
        </w:rPr>
        <w:t> </w:t>
      </w:r>
      <w:r>
        <w:rPr>
          <w:color w:val="010101"/>
          <w:w w:val="105"/>
          <w:sz w:val="19"/>
        </w:rPr>
        <w:t>of</w:t>
      </w:r>
      <w:r>
        <w:rPr>
          <w:color w:val="010101"/>
          <w:spacing w:val="49"/>
          <w:w w:val="105"/>
          <w:sz w:val="19"/>
        </w:rPr>
        <w:t> </w:t>
      </w:r>
      <w:r>
        <w:rPr>
          <w:color w:val="010101"/>
          <w:w w:val="105"/>
          <w:sz w:val="19"/>
        </w:rPr>
        <w:t>reversionary</w:t>
      </w:r>
      <w:r>
        <w:rPr>
          <w:color w:val="010101"/>
          <w:spacing w:val="49"/>
          <w:w w:val="105"/>
          <w:sz w:val="19"/>
        </w:rPr>
        <w:t> </w:t>
      </w:r>
      <w:r>
        <w:rPr>
          <w:color w:val="010101"/>
          <w:w w:val="105"/>
          <w:sz w:val="19"/>
        </w:rPr>
        <w:t>annuity</w:t>
      </w:r>
      <w:r>
        <w:rPr>
          <w:color w:val="010101"/>
          <w:spacing w:val="49"/>
          <w:w w:val="105"/>
          <w:sz w:val="19"/>
        </w:rPr>
        <w:t> </w:t>
      </w:r>
      <w:r>
        <w:rPr>
          <w:color w:val="010101"/>
          <w:w w:val="105"/>
          <w:sz w:val="19"/>
        </w:rPr>
        <w:t>where  the  failing status involves a life contingency  is  an  annuity  of</w:t>
      </w:r>
      <w:r>
        <w:rPr>
          <w:color w:val="010101"/>
          <w:spacing w:val="49"/>
          <w:w w:val="105"/>
          <w:sz w:val="19"/>
        </w:rPr>
        <w:t> </w:t>
      </w:r>
      <w:r>
        <w:rPr>
          <w:color w:val="010101"/>
          <w:w w:val="115"/>
          <w:sz w:val="19"/>
        </w:rPr>
        <w:t>1 </w:t>
      </w:r>
      <w:r>
        <w:rPr>
          <w:color w:val="010101"/>
          <w:w w:val="105"/>
          <w:sz w:val="19"/>
        </w:rPr>
        <w:t>payable  to  a </w:t>
      </w:r>
      <w:r>
        <w:rPr>
          <w:color w:val="010101"/>
          <w:spacing w:val="3"/>
          <w:w w:val="105"/>
          <w:sz w:val="19"/>
        </w:rPr>
        <w:t>life </w:t>
      </w:r>
      <w:r>
        <w:rPr>
          <w:color w:val="010101"/>
          <w:w w:val="105"/>
          <w:sz w:val="19"/>
        </w:rPr>
        <w:t>now aged </w:t>
      </w:r>
      <w:r>
        <w:rPr>
          <w:rFonts w:ascii="Arial" w:hAnsi="Arial"/>
          <w:i/>
          <w:color w:val="010101"/>
          <w:w w:val="105"/>
          <w:sz w:val="17"/>
        </w:rPr>
        <w:t>x </w:t>
      </w:r>
      <w:r>
        <w:rPr>
          <w:color w:val="010101"/>
          <w:w w:val="105"/>
          <w:sz w:val="19"/>
        </w:rPr>
        <w:t>commencing </w:t>
      </w:r>
      <w:r>
        <w:rPr>
          <w:color w:val="010101"/>
          <w:w w:val="115"/>
          <w:sz w:val="19"/>
        </w:rPr>
        <w:t>at </w:t>
      </w:r>
      <w:r>
        <w:rPr>
          <w:color w:val="010101"/>
          <w:w w:val="105"/>
          <w:sz w:val="19"/>
        </w:rPr>
        <w:t>the end of the year  of  death  of  </w:t>
      </w:r>
      <w:r>
        <w:rPr>
          <w:color w:val="010101"/>
          <w:w w:val="115"/>
          <w:sz w:val="19"/>
        </w:rPr>
        <w:t>(y)-or, </w:t>
      </w:r>
      <w:r>
        <w:rPr>
          <w:color w:val="010101"/>
          <w:w w:val="105"/>
          <w:sz w:val="19"/>
        </w:rPr>
        <w:t>more briefly,</w:t>
      </w:r>
      <w:r>
        <w:rPr>
          <w:color w:val="010101"/>
          <w:spacing w:val="49"/>
          <w:w w:val="105"/>
          <w:sz w:val="19"/>
        </w:rPr>
        <w:t> </w:t>
      </w:r>
      <w:r>
        <w:rPr>
          <w:color w:val="010101"/>
          <w:w w:val="105"/>
          <w:sz w:val="19"/>
        </w:rPr>
        <w:t>an</w:t>
      </w:r>
      <w:r>
        <w:rPr>
          <w:color w:val="010101"/>
          <w:spacing w:val="49"/>
          <w:w w:val="105"/>
          <w:sz w:val="19"/>
        </w:rPr>
        <w:t> </w:t>
      </w:r>
      <w:r>
        <w:rPr>
          <w:color w:val="010101"/>
          <w:w w:val="105"/>
          <w:sz w:val="19"/>
        </w:rPr>
        <w:t>annuity</w:t>
      </w:r>
      <w:r>
        <w:rPr>
          <w:color w:val="010101"/>
          <w:spacing w:val="49"/>
          <w:w w:val="105"/>
          <w:sz w:val="19"/>
        </w:rPr>
        <w:t> </w:t>
      </w:r>
      <w:r>
        <w:rPr>
          <w:color w:val="010101"/>
          <w:w w:val="105"/>
          <w:sz w:val="19"/>
        </w:rPr>
        <w:t>to</w:t>
      </w:r>
      <w:r>
        <w:rPr>
          <w:color w:val="010101"/>
          <w:spacing w:val="49"/>
          <w:w w:val="105"/>
          <w:sz w:val="19"/>
        </w:rPr>
        <w:t> </w:t>
      </w:r>
      <w:r>
        <w:rPr>
          <w:rFonts w:ascii="Arial" w:hAnsi="Arial"/>
          <w:i/>
          <w:color w:val="010101"/>
          <w:spacing w:val="7"/>
          <w:w w:val="105"/>
          <w:sz w:val="19"/>
        </w:rPr>
        <w:t>(x)  </w:t>
      </w:r>
      <w:r>
        <w:rPr>
          <w:color w:val="010101"/>
          <w:w w:val="105"/>
          <w:sz w:val="19"/>
        </w:rPr>
        <w:t>after</w:t>
      </w:r>
      <w:r>
        <w:rPr>
          <w:color w:val="010101"/>
          <w:spacing w:val="49"/>
          <w:w w:val="105"/>
          <w:sz w:val="19"/>
        </w:rPr>
        <w:t> </w:t>
      </w:r>
      <w:r>
        <w:rPr>
          <w:rFonts w:ascii="Arial" w:hAnsi="Arial"/>
          <w:i/>
          <w:color w:val="010101"/>
          <w:spacing w:val="5"/>
          <w:w w:val="105"/>
          <w:sz w:val="19"/>
        </w:rPr>
        <w:t>(y </w:t>
      </w:r>
      <w:r>
        <w:rPr>
          <w:rFonts w:ascii="Arial" w:hAnsi="Arial"/>
          <w:i/>
          <w:color w:val="010101"/>
          <w:w w:val="105"/>
          <w:sz w:val="19"/>
        </w:rPr>
        <w:t>).  </w:t>
      </w:r>
      <w:r>
        <w:rPr>
          <w:color w:val="010101"/>
          <w:w w:val="105"/>
          <w:sz w:val="19"/>
        </w:rPr>
        <w:t>The  present value of this annuity is denoted  by  </w:t>
      </w:r>
      <w:r>
        <w:rPr>
          <w:color w:val="010101"/>
          <w:w w:val="105"/>
          <w:sz w:val="16"/>
        </w:rPr>
        <w:t>llvl:c  </w:t>
      </w:r>
      <w:r>
        <w:rPr>
          <w:color w:val="010101"/>
          <w:w w:val="155"/>
          <w:sz w:val="16"/>
        </w:rPr>
        <w:t>. </w:t>
      </w:r>
      <w:r>
        <w:rPr>
          <w:color w:val="010101"/>
          <w:w w:val="105"/>
          <w:sz w:val="19"/>
        </w:rPr>
        <w:t>Since  the  annuity  con­ sists of a series of payments made at the end of  each year  provided tha.t </w:t>
      </w:r>
      <w:r>
        <w:rPr>
          <w:rFonts w:ascii="Arial" w:hAnsi="Arial"/>
          <w:i/>
          <w:color w:val="010101"/>
          <w:w w:val="105"/>
          <w:sz w:val="19"/>
        </w:rPr>
        <w:t>(x) </w:t>
      </w:r>
      <w:r>
        <w:rPr>
          <w:color w:val="010101"/>
          <w:w w:val="105"/>
          <w:sz w:val="19"/>
        </w:rPr>
        <w:t>is alive and </w:t>
      </w:r>
      <w:r>
        <w:rPr>
          <w:rFonts w:ascii="Arial" w:hAnsi="Arial"/>
          <w:i/>
          <w:color w:val="010101"/>
          <w:spacing w:val="3"/>
          <w:w w:val="105"/>
          <w:sz w:val="19"/>
        </w:rPr>
        <w:t>(y </w:t>
      </w:r>
      <w:r>
        <w:rPr>
          <w:rFonts w:ascii="Arial" w:hAnsi="Arial"/>
          <w:i/>
          <w:color w:val="010101"/>
          <w:w w:val="105"/>
          <w:sz w:val="19"/>
        </w:rPr>
        <w:t>) </w:t>
      </w:r>
      <w:r>
        <w:rPr>
          <w:color w:val="010101"/>
          <w:w w:val="105"/>
          <w:sz w:val="19"/>
        </w:rPr>
        <w:t>is not alive,  its  present  value  may  be written</w:t>
      </w:r>
    </w:p>
    <w:p>
      <w:pPr>
        <w:spacing w:after="0" w:line="266" w:lineRule="auto"/>
        <w:jc w:val="both"/>
        <w:rPr>
          <w:sz w:val="19"/>
        </w:rPr>
        <w:sectPr>
          <w:pgSz w:w="7200" w:h="11340"/>
          <w:pgMar w:top="1060" w:bottom="280" w:left="680" w:right="560"/>
        </w:sectPr>
      </w:pPr>
    </w:p>
    <w:p>
      <w:pPr>
        <w:pStyle w:val="BodyText"/>
        <w:spacing w:before="10"/>
        <w:rPr>
          <w:sz w:val="8"/>
        </w:rPr>
      </w:pPr>
    </w:p>
    <w:p>
      <w:pPr>
        <w:spacing w:line="51" w:lineRule="exact" w:before="0"/>
        <w:ind w:left="1985" w:right="2533" w:firstLine="0"/>
        <w:jc w:val="center"/>
        <w:rPr>
          <w:sz w:val="8"/>
        </w:rPr>
      </w:pPr>
      <w:r>
        <w:rPr>
          <w:color w:val="010101"/>
          <w:w w:val="115"/>
          <w:sz w:val="8"/>
        </w:rPr>
        <w:t>IO</w:t>
      </w:r>
    </w:p>
    <w:p>
      <w:pPr>
        <w:tabs>
          <w:tab w:pos="4033" w:val="left" w:leader="none"/>
        </w:tabs>
        <w:spacing w:line="447" w:lineRule="exact" w:before="0"/>
        <w:ind w:left="1311" w:right="0" w:firstLine="0"/>
        <w:jc w:val="left"/>
        <w:rPr>
          <w:rFonts w:ascii="Arial" w:hAnsi="Arial"/>
          <w:sz w:val="19"/>
        </w:rPr>
      </w:pPr>
      <w:r>
        <w:rPr>
          <w:color w:val="010101"/>
          <w:w w:val="67"/>
          <w:sz w:val="16"/>
        </w:rPr>
        <w:t>Oir1:c</w:t>
      </w:r>
      <w:r>
        <w:rPr>
          <w:color w:val="010101"/>
          <w:sz w:val="16"/>
        </w:rPr>
        <w:t>  </w:t>
      </w:r>
      <w:r>
        <w:rPr>
          <w:color w:val="010101"/>
          <w:spacing w:val="-18"/>
          <w:sz w:val="16"/>
        </w:rPr>
        <w:t> </w:t>
      </w:r>
      <w:r>
        <w:rPr>
          <w:color w:val="010101"/>
          <w:w w:val="99"/>
          <w:sz w:val="24"/>
        </w:rPr>
        <w:t>=</w:t>
      </w:r>
      <w:r>
        <w:rPr>
          <w:color w:val="010101"/>
          <w:sz w:val="24"/>
        </w:rPr>
        <w:t> </w:t>
      </w:r>
      <w:r>
        <w:rPr>
          <w:color w:val="010101"/>
          <w:spacing w:val="-19"/>
          <w:sz w:val="24"/>
        </w:rPr>
        <w:t> </w:t>
      </w:r>
      <w:r>
        <w:rPr>
          <w:b/>
          <w:i/>
          <w:color w:val="010101"/>
          <w:spacing w:val="-181"/>
          <w:w w:val="100"/>
          <w:sz w:val="34"/>
        </w:rPr>
        <w:t>L</w:t>
      </w:r>
      <w:r>
        <w:rPr>
          <w:rFonts w:ascii="Arial" w:hAnsi="Arial"/>
          <w:b/>
          <w:color w:val="010101"/>
          <w:w w:val="87"/>
          <w:position w:val="-11"/>
          <w:sz w:val="24"/>
        </w:rPr>
        <w:t>,-</w:t>
      </w:r>
      <w:r>
        <w:rPr>
          <w:rFonts w:ascii="Arial" w:hAnsi="Arial"/>
          <w:b/>
          <w:color w:val="010101"/>
          <w:spacing w:val="4"/>
          <w:w w:val="87"/>
          <w:position w:val="-11"/>
          <w:sz w:val="24"/>
        </w:rPr>
        <w:t>1</w:t>
      </w:r>
      <w:r>
        <w:rPr>
          <w:i/>
          <w:color w:val="010101"/>
          <w:w w:val="82"/>
          <w:sz w:val="21"/>
        </w:rPr>
        <w:t>v'</w:t>
      </w:r>
      <w:r>
        <w:rPr>
          <w:i/>
          <w:color w:val="010101"/>
          <w:sz w:val="21"/>
        </w:rPr>
        <w:t> </w:t>
      </w:r>
      <w:r>
        <w:rPr>
          <w:i/>
          <w:color w:val="010101"/>
          <w:spacing w:val="3"/>
          <w:sz w:val="21"/>
        </w:rPr>
        <w:t> </w:t>
      </w:r>
      <w:r>
        <w:rPr>
          <w:color w:val="010101"/>
          <w:w w:val="103"/>
          <w:sz w:val="20"/>
        </w:rPr>
        <w:t>,pz</w:t>
      </w:r>
      <w:r>
        <w:rPr>
          <w:color w:val="010101"/>
          <w:w w:val="103"/>
          <w:sz w:val="20"/>
        </w:rPr>
        <w:t>(</w:t>
      </w:r>
      <w:r>
        <w:rPr>
          <w:color w:val="010101"/>
          <w:w w:val="103"/>
          <w:sz w:val="20"/>
        </w:rPr>
        <w:t>l</w:t>
      </w:r>
      <w:r>
        <w:rPr>
          <w:color w:val="010101"/>
          <w:sz w:val="20"/>
        </w:rPr>
        <w:t> </w:t>
      </w:r>
      <w:r>
        <w:rPr>
          <w:color w:val="010101"/>
          <w:spacing w:val="5"/>
          <w:sz w:val="20"/>
        </w:rPr>
        <w:t> </w:t>
      </w:r>
      <w:r>
        <w:rPr>
          <w:color w:val="010101"/>
          <w:w w:val="266"/>
          <w:sz w:val="20"/>
        </w:rPr>
        <w:t>-</w:t>
      </w:r>
      <w:r>
        <w:rPr>
          <w:color w:val="010101"/>
          <w:spacing w:val="19"/>
          <w:sz w:val="20"/>
        </w:rPr>
        <w:t> </w:t>
      </w:r>
      <w:r>
        <w:rPr>
          <w:i/>
          <w:color w:val="010101"/>
          <w:w w:val="96"/>
          <w:sz w:val="20"/>
        </w:rPr>
        <w:t>,</w:t>
      </w:r>
      <w:r>
        <w:rPr>
          <w:i/>
          <w:color w:val="010101"/>
          <w:spacing w:val="-1"/>
          <w:w w:val="96"/>
          <w:sz w:val="20"/>
        </w:rPr>
        <w:t>p</w:t>
      </w:r>
      <w:r>
        <w:rPr>
          <w:i/>
          <w:color w:val="010101"/>
          <w:w w:val="39"/>
          <w:sz w:val="20"/>
        </w:rPr>
        <w:t>'/</w:t>
      </w:r>
      <w:r>
        <w:rPr>
          <w:i/>
          <w:color w:val="010101"/>
          <w:spacing w:val="-12"/>
          <w:w w:val="39"/>
          <w:sz w:val="20"/>
        </w:rPr>
        <w:t>1</w:t>
      </w:r>
      <w:r>
        <w:rPr>
          <w:i/>
          <w:color w:val="010101"/>
          <w:w w:val="74"/>
          <w:sz w:val="20"/>
        </w:rPr>
        <w:t>)</w:t>
      </w:r>
      <w:r>
        <w:rPr>
          <w:i/>
          <w:color w:val="010101"/>
          <w:sz w:val="20"/>
        </w:rPr>
        <w:t>  </w:t>
      </w:r>
      <w:r>
        <w:rPr>
          <w:i/>
          <w:color w:val="010101"/>
          <w:spacing w:val="-25"/>
          <w:sz w:val="20"/>
        </w:rPr>
        <w:t> </w:t>
      </w:r>
      <w:r>
        <w:rPr>
          <w:color w:val="010101"/>
          <w:w w:val="99"/>
          <w:sz w:val="24"/>
        </w:rPr>
        <w:t>=</w:t>
      </w:r>
      <w:r>
        <w:rPr>
          <w:color w:val="010101"/>
          <w:sz w:val="24"/>
        </w:rPr>
        <w:tab/>
      </w:r>
      <w:r>
        <w:rPr>
          <w:color w:val="010101"/>
          <w:w w:val="227"/>
          <w:sz w:val="24"/>
        </w:rPr>
        <w:t>-</w:t>
      </w:r>
      <w:r>
        <w:rPr>
          <w:color w:val="010101"/>
          <w:spacing w:val="-10"/>
          <w:sz w:val="24"/>
        </w:rPr>
        <w:t> </w:t>
      </w:r>
      <w:r>
        <w:rPr>
          <w:rFonts w:ascii="Arial" w:hAnsi="Arial"/>
          <w:b/>
          <w:i/>
          <w:color w:val="010101"/>
          <w:w w:val="49"/>
          <w:sz w:val="19"/>
        </w:rPr>
        <w:t>ª%'JI</w:t>
      </w:r>
      <w:r>
        <w:rPr>
          <w:rFonts w:ascii="Arial" w:hAnsi="Arial"/>
          <w:b/>
          <w:i/>
          <w:color w:val="010101"/>
          <w:spacing w:val="20"/>
          <w:sz w:val="19"/>
        </w:rPr>
        <w:t> </w:t>
      </w:r>
      <w:r>
        <w:rPr>
          <w:rFonts w:ascii="Arial" w:hAnsi="Arial"/>
          <w:color w:val="010101"/>
          <w:w w:val="148"/>
          <w:sz w:val="19"/>
        </w:rPr>
        <w:t>·</w:t>
      </w:r>
    </w:p>
    <w:p>
      <w:pPr>
        <w:pStyle w:val="BodyText"/>
        <w:spacing w:before="11"/>
        <w:rPr>
          <w:rFonts w:ascii="Arial"/>
          <w:sz w:val="19"/>
        </w:rPr>
      </w:pPr>
      <w:r>
        <w:rPr/>
        <w:br w:type="column"/>
      </w:r>
      <w:r>
        <w:rPr>
          <w:rFonts w:ascii="Arial"/>
          <w:sz w:val="19"/>
        </w:rPr>
      </w:r>
    </w:p>
    <w:p>
      <w:pPr>
        <w:spacing w:before="0"/>
        <w:ind w:left="647" w:right="0" w:firstLine="0"/>
        <w:jc w:val="left"/>
        <w:rPr>
          <w:sz w:val="19"/>
        </w:rPr>
      </w:pPr>
      <w:r>
        <w:rPr>
          <w:color w:val="010101"/>
          <w:w w:val="105"/>
          <w:sz w:val="19"/>
        </w:rPr>
        <w:t>(13.1)</w:t>
      </w:r>
    </w:p>
    <w:p>
      <w:pPr>
        <w:spacing w:after="0"/>
        <w:jc w:val="left"/>
        <w:rPr>
          <w:sz w:val="19"/>
        </w:rPr>
        <w:sectPr>
          <w:type w:val="continuous"/>
          <w:pgSz w:w="7200" w:h="11340"/>
          <w:pgMar w:top="1100" w:bottom="0" w:left="680" w:right="560"/>
          <w:cols w:num="2" w:equalWidth="0">
            <w:col w:w="4656" w:space="40"/>
            <w:col w:w="1264"/>
          </w:cols>
        </w:sectPr>
      </w:pPr>
    </w:p>
    <w:p>
      <w:pPr>
        <w:spacing w:line="261" w:lineRule="auto" w:before="112"/>
        <w:ind w:left="109" w:right="123" w:firstLine="197"/>
        <w:jc w:val="both"/>
        <w:rPr>
          <w:sz w:val="19"/>
        </w:rPr>
      </w:pPr>
      <w:r>
        <w:rPr>
          <w:color w:val="010101"/>
          <w:w w:val="110"/>
          <w:sz w:val="19"/>
        </w:rPr>
        <w:t>This result is obviously correct  since this  reversionary  annuit.y is the same as a life annuity to </w:t>
      </w:r>
      <w:r>
        <w:rPr>
          <w:rFonts w:ascii="Arial"/>
          <w:i/>
          <w:color w:val="010101"/>
          <w:w w:val="110"/>
          <w:sz w:val="19"/>
        </w:rPr>
        <w:t>(x) </w:t>
      </w:r>
      <w:r>
        <w:rPr>
          <w:color w:val="010101"/>
          <w:w w:val="110"/>
          <w:sz w:val="19"/>
        </w:rPr>
        <w:t>with payments  omitted  during the joint  lifetime of </w:t>
      </w:r>
      <w:r>
        <w:rPr>
          <w:rFonts w:ascii="Arial"/>
          <w:i/>
          <w:color w:val="010101"/>
          <w:spacing w:val="3"/>
          <w:w w:val="110"/>
          <w:sz w:val="19"/>
        </w:rPr>
        <w:t>(x) </w:t>
      </w:r>
      <w:r>
        <w:rPr>
          <w:color w:val="010101"/>
          <w:w w:val="110"/>
          <w:sz w:val="19"/>
        </w:rPr>
        <w:t>and </w:t>
      </w:r>
      <w:r>
        <w:rPr>
          <w:rFonts w:ascii="Arial"/>
          <w:i/>
          <w:color w:val="010101"/>
          <w:spacing w:val="5"/>
          <w:w w:val="110"/>
          <w:sz w:val="19"/>
        </w:rPr>
        <w:t>(y </w:t>
      </w:r>
      <w:r>
        <w:rPr>
          <w:rFonts w:ascii="Arial"/>
          <w:i/>
          <w:color w:val="010101"/>
          <w:w w:val="110"/>
          <w:sz w:val="19"/>
        </w:rPr>
        <w:t>). </w:t>
      </w:r>
      <w:r>
        <w:rPr>
          <w:color w:val="010101"/>
          <w:w w:val="110"/>
          <w:sz w:val="19"/>
        </w:rPr>
        <w:t>The same reasoning applies to</w:t>
      </w:r>
      <w:r>
        <w:rPr>
          <w:color w:val="010101"/>
          <w:spacing w:val="50"/>
          <w:w w:val="110"/>
          <w:sz w:val="19"/>
        </w:rPr>
        <w:t> </w:t>
      </w:r>
      <w:r>
        <w:rPr>
          <w:color w:val="010101"/>
          <w:w w:val="110"/>
          <w:sz w:val="19"/>
        </w:rPr>
        <w:t>the</w:t>
      </w:r>
    </w:p>
    <w:p>
      <w:pPr>
        <w:spacing w:line="213" w:lineRule="auto" w:before="23"/>
        <w:ind w:left="109" w:right="0" w:firstLine="0"/>
        <w:jc w:val="left"/>
        <w:rPr>
          <w:sz w:val="19"/>
        </w:rPr>
      </w:pPr>
      <w:r>
        <w:rPr>
          <w:color w:val="010101"/>
          <w:w w:val="106"/>
          <w:sz w:val="19"/>
        </w:rPr>
        <w:t>generalized </w:t>
      </w:r>
      <w:r>
        <w:rPr>
          <w:color w:val="010101"/>
          <w:w w:val="111"/>
          <w:sz w:val="19"/>
        </w:rPr>
        <w:t>function </w:t>
      </w:r>
      <w:r>
        <w:rPr>
          <w:color w:val="010101"/>
          <w:w w:val="121"/>
          <w:sz w:val="18"/>
        </w:rPr>
        <w:t>a,,</w:t>
      </w:r>
      <w:r>
        <w:rPr>
          <w:rFonts w:ascii="Arial"/>
          <w:color w:val="010101"/>
          <w:w w:val="121"/>
          <w:position w:val="-4"/>
          <w:sz w:val="10"/>
        </w:rPr>
        <w:t>1</w:t>
      </w:r>
      <w:r>
        <w:rPr>
          <w:rFonts w:ascii="Arial"/>
          <w:color w:val="010101"/>
          <w:w w:val="121"/>
          <w:sz w:val="10"/>
        </w:rPr>
        <w:t>" </w:t>
      </w:r>
      <w:r>
        <w:rPr>
          <w:rFonts w:ascii="Arial"/>
          <w:color w:val="010101"/>
          <w:w w:val="302"/>
          <w:sz w:val="10"/>
        </w:rPr>
        <w:t>, </w:t>
      </w:r>
      <w:r>
        <w:rPr>
          <w:color w:val="010101"/>
          <w:w w:val="110"/>
          <w:sz w:val="19"/>
        </w:rPr>
        <w:t>whatever </w:t>
      </w:r>
      <w:r>
        <w:rPr>
          <w:color w:val="010101"/>
          <w:w w:val="110"/>
          <w:sz w:val="19"/>
        </w:rPr>
        <w:t>age </w:t>
      </w:r>
      <w:r>
        <w:rPr>
          <w:color w:val="010101"/>
          <w:w w:val="119"/>
          <w:sz w:val="19"/>
        </w:rPr>
        <w:t>status </w:t>
      </w:r>
      <w:r>
        <w:rPr>
          <w:color w:val="010101"/>
          <w:w w:val="114"/>
          <w:sz w:val="19"/>
        </w:rPr>
        <w:t>or </w:t>
      </w:r>
      <w:r>
        <w:rPr>
          <w:color w:val="010101"/>
          <w:w w:val="108"/>
          <w:sz w:val="19"/>
        </w:rPr>
        <w:t>combination </w:t>
      </w:r>
      <w:r>
        <w:rPr>
          <w:color w:val="010101"/>
          <w:w w:val="96"/>
          <w:sz w:val="19"/>
        </w:rPr>
        <w:t>of </w:t>
      </w:r>
      <w:r>
        <w:rPr>
          <w:color w:val="010101"/>
          <w:w w:val="115"/>
          <w:sz w:val="19"/>
        </w:rPr>
        <w:t>statuses may be represented by (u) and </w:t>
      </w:r>
      <w:r>
        <w:rPr>
          <w:color w:val="010101"/>
          <w:w w:val="115"/>
          <w:sz w:val="20"/>
        </w:rPr>
        <w:t>(v), </w:t>
      </w:r>
      <w:r>
        <w:rPr>
          <w:color w:val="010101"/>
          <w:w w:val="115"/>
          <w:sz w:val="19"/>
        </w:rPr>
        <w:t>and we may write</w:t>
      </w:r>
    </w:p>
    <w:p>
      <w:pPr>
        <w:pStyle w:val="BodyText"/>
        <w:spacing w:before="136"/>
        <w:ind w:left="2200"/>
        <w:rPr>
          <w:sz w:val="19"/>
        </w:rPr>
      </w:pPr>
      <w:r>
        <w:rPr>
          <w:position w:val="-6"/>
        </w:rPr>
        <w:drawing>
          <wp:inline distT="0" distB="0" distL="0" distR="0">
            <wp:extent cx="950976" cy="109728"/>
            <wp:effectExtent l="0" t="0" r="0" b="0"/>
            <wp:docPr id="607" name="image309.png" descr=""/>
            <wp:cNvGraphicFramePr>
              <a:graphicFrameLocks noChangeAspect="1"/>
            </wp:cNvGraphicFramePr>
            <a:graphic>
              <a:graphicData uri="http://schemas.openxmlformats.org/drawingml/2006/picture">
                <pic:pic>
                  <pic:nvPicPr>
                    <pic:cNvPr id="608" name="image309.png"/>
                    <pic:cNvPicPr/>
                  </pic:nvPicPr>
                  <pic:blipFill>
                    <a:blip r:embed="rId313" cstate="print"/>
                    <a:stretch>
                      <a:fillRect/>
                    </a:stretch>
                  </pic:blipFill>
                  <pic:spPr>
                    <a:xfrm>
                      <a:off x="0" y="0"/>
                      <a:ext cx="950976" cy="109728"/>
                    </a:xfrm>
                    <a:prstGeom prst="rect">
                      <a:avLst/>
                    </a:prstGeom>
                  </pic:spPr>
                </pic:pic>
              </a:graphicData>
            </a:graphic>
          </wp:inline>
        </w:drawing>
      </w:r>
      <w:r>
        <w:rPr>
          <w:position w:val="-6"/>
        </w:rPr>
      </w:r>
      <w:r>
        <w:rPr/>
        <w:t>                                </w:t>
      </w:r>
      <w:r>
        <w:rPr>
          <w:color w:val="010101"/>
          <w:w w:val="105"/>
          <w:sz w:val="19"/>
        </w:rPr>
        <w:t>(13.2)</w:t>
      </w:r>
    </w:p>
    <w:p>
      <w:pPr>
        <w:spacing w:line="247" w:lineRule="auto" w:before="86"/>
        <w:ind w:left="105" w:right="122" w:firstLine="3"/>
        <w:jc w:val="left"/>
        <w:rPr>
          <w:sz w:val="19"/>
        </w:rPr>
      </w:pPr>
      <w:r>
        <w:rPr>
          <w:color w:val="010101"/>
          <w:w w:val="105"/>
          <w:sz w:val="19"/>
        </w:rPr>
        <w:t>For example, </w:t>
      </w:r>
      <w:r>
        <w:rPr>
          <w:color w:val="010101"/>
          <w:w w:val="105"/>
          <w:sz w:val="21"/>
        </w:rPr>
        <w:t>if </w:t>
      </w:r>
      <w:r>
        <w:rPr>
          <w:color w:val="010101"/>
          <w:w w:val="105"/>
          <w:sz w:val="19"/>
        </w:rPr>
        <w:t>(u) represents the joint-life status </w:t>
      </w:r>
      <w:r>
        <w:rPr>
          <w:rFonts w:ascii="Arial" w:hAnsi="Arial"/>
          <w:i/>
          <w:color w:val="010101"/>
          <w:w w:val="105"/>
          <w:sz w:val="19"/>
        </w:rPr>
        <w:t>(xy) </w:t>
      </w:r>
      <w:r>
        <w:rPr>
          <w:color w:val="010101"/>
          <w:w w:val="105"/>
          <w:sz w:val="19"/>
        </w:rPr>
        <w:t>·and </w:t>
      </w:r>
      <w:r>
        <w:rPr>
          <w:rFonts w:ascii="Arial" w:hAnsi="Arial"/>
          <w:i/>
          <w:color w:val="010101"/>
          <w:w w:val="105"/>
          <w:sz w:val="19"/>
        </w:rPr>
        <w:t>(v) </w:t>
      </w:r>
      <w:r>
        <w:rPr>
          <w:color w:val="010101"/>
          <w:w w:val="105"/>
          <w:sz w:val="19"/>
        </w:rPr>
        <w:t>the single life  (z), we have</w:t>
      </w:r>
    </w:p>
    <w:p>
      <w:pPr>
        <w:pStyle w:val="BodyText"/>
        <w:spacing w:before="3"/>
        <w:rPr>
          <w:sz w:val="14"/>
        </w:rPr>
      </w:pPr>
      <w:r>
        <w:rPr/>
        <w:drawing>
          <wp:anchor distT="0" distB="0" distL="0" distR="0" allowOverlap="1" layoutInCell="1" locked="0" behindDoc="0" simplePos="0" relativeHeight="20296">
            <wp:simplePos x="0" y="0"/>
            <wp:positionH relativeFrom="page">
              <wp:posOffset>1801367</wp:posOffset>
            </wp:positionH>
            <wp:positionV relativeFrom="paragraph">
              <wp:posOffset>129235</wp:posOffset>
            </wp:positionV>
            <wp:extent cx="1042415" cy="100584"/>
            <wp:effectExtent l="0" t="0" r="0" b="0"/>
            <wp:wrapTopAndBottom/>
            <wp:docPr id="609" name="image310.png" descr=""/>
            <wp:cNvGraphicFramePr>
              <a:graphicFrameLocks noChangeAspect="1"/>
            </wp:cNvGraphicFramePr>
            <a:graphic>
              <a:graphicData uri="http://schemas.openxmlformats.org/drawingml/2006/picture">
                <pic:pic>
                  <pic:nvPicPr>
                    <pic:cNvPr id="610" name="image310.png"/>
                    <pic:cNvPicPr/>
                  </pic:nvPicPr>
                  <pic:blipFill>
                    <a:blip r:embed="rId314" cstate="print"/>
                    <a:stretch>
                      <a:fillRect/>
                    </a:stretch>
                  </pic:blipFill>
                  <pic:spPr>
                    <a:xfrm>
                      <a:off x="0" y="0"/>
                      <a:ext cx="1042415" cy="100584"/>
                    </a:xfrm>
                    <a:prstGeom prst="rect">
                      <a:avLst/>
                    </a:prstGeom>
                  </pic:spPr>
                </pic:pic>
              </a:graphicData>
            </a:graphic>
          </wp:anchor>
        </w:drawing>
      </w:r>
    </w:p>
    <w:p>
      <w:pPr>
        <w:spacing w:before="68"/>
        <w:ind w:left="116" w:right="131" w:firstLine="0"/>
        <w:jc w:val="center"/>
        <w:rPr>
          <w:rFonts w:ascii="Arial"/>
          <w:sz w:val="15"/>
        </w:rPr>
      </w:pPr>
      <w:r>
        <w:rPr>
          <w:rFonts w:ascii="Arial"/>
          <w:color w:val="010101"/>
          <w:sz w:val="15"/>
        </w:rPr>
        <w:t>255</w:t>
      </w:r>
    </w:p>
    <w:p>
      <w:pPr>
        <w:spacing w:after="0"/>
        <w:jc w:val="center"/>
        <w:rPr>
          <w:rFonts w:ascii="Arial"/>
          <w:sz w:val="15"/>
        </w:rPr>
        <w:sectPr>
          <w:type w:val="continuous"/>
          <w:pgSz w:w="7200" w:h="11340"/>
          <w:pgMar w:top="1100" w:bottom="0" w:left="680" w:right="560"/>
        </w:sectPr>
      </w:pPr>
    </w:p>
    <w:p>
      <w:pPr>
        <w:tabs>
          <w:tab w:pos="1876" w:val="left" w:leader="none"/>
          <w:tab w:pos="5271" w:val="left" w:leader="none"/>
        </w:tabs>
        <w:spacing w:before="67"/>
        <w:ind w:left="148" w:right="0" w:hanging="8"/>
        <w:jc w:val="both"/>
        <w:rPr>
          <w:rFonts w:ascii="Arial"/>
          <w:b/>
          <w:sz w:val="19"/>
        </w:rPr>
      </w:pPr>
      <w:r>
        <w:rPr>
          <w:sz w:val="19"/>
        </w:rPr>
        <w:t>256</w:t>
        <w:tab/>
      </w:r>
      <w:r>
        <w:rPr>
          <w:b/>
          <w:sz w:val="15"/>
        </w:rPr>
        <w:t>REVERSIONARY   </w:t>
      </w:r>
      <w:r>
        <w:rPr>
          <w:b/>
          <w:spacing w:val="7"/>
          <w:sz w:val="15"/>
        </w:rPr>
        <w:t> </w:t>
      </w:r>
      <w:r>
        <w:rPr>
          <w:b/>
          <w:sz w:val="15"/>
        </w:rPr>
        <w:t>ANNUITIES</w:t>
        <w:tab/>
      </w:r>
      <w:r>
        <w:rPr>
          <w:b/>
          <w:sz w:val="17"/>
        </w:rPr>
        <w:t>[CH.</w:t>
      </w:r>
      <w:r>
        <w:rPr>
          <w:b/>
          <w:spacing w:val="14"/>
          <w:sz w:val="17"/>
        </w:rPr>
        <w:t> </w:t>
      </w:r>
      <w:r>
        <w:rPr>
          <w:rFonts w:ascii="Arial"/>
          <w:b/>
          <w:sz w:val="19"/>
        </w:rPr>
        <w:t>13</w:t>
      </w:r>
    </w:p>
    <w:p>
      <w:pPr>
        <w:pStyle w:val="BodyText"/>
        <w:spacing w:before="10"/>
        <w:rPr>
          <w:rFonts w:ascii="Arial"/>
          <w:b/>
        </w:rPr>
      </w:pPr>
    </w:p>
    <w:p>
      <w:pPr>
        <w:spacing w:line="238" w:lineRule="exact" w:before="0"/>
        <w:ind w:left="137" w:right="122" w:firstLine="10"/>
        <w:jc w:val="both"/>
        <w:rPr>
          <w:sz w:val="21"/>
        </w:rPr>
      </w:pPr>
      <w:r>
        <w:rPr>
          <w:sz w:val="21"/>
        </w:rPr>
        <w:t>Reversionary annuities of this type may thus be expressed directly </w:t>
      </w:r>
      <w:r>
        <w:rPr>
          <w:sz w:val="20"/>
        </w:rPr>
        <w:t>in </w:t>
      </w:r>
      <w:r>
        <w:rPr>
          <w:sz w:val="21"/>
        </w:rPr>
        <w:t>terms of single-life and joint-life annuity values. Two further examples</w:t>
      </w:r>
      <w:r>
        <w:rPr>
          <w:spacing w:val="-20"/>
          <w:sz w:val="21"/>
        </w:rPr>
        <w:t> </w:t>
      </w:r>
      <w:r>
        <w:rPr>
          <w:sz w:val="21"/>
        </w:rPr>
        <w:t>follow:</w:t>
      </w:r>
    </w:p>
    <w:p>
      <w:pPr>
        <w:pStyle w:val="BodyText"/>
        <w:spacing w:before="7"/>
        <w:rPr>
          <w:sz w:val="10"/>
        </w:rPr>
      </w:pPr>
      <w:r>
        <w:rPr/>
        <w:drawing>
          <wp:anchor distT="0" distB="0" distL="0" distR="0" allowOverlap="1" layoutInCell="1" locked="0" behindDoc="0" simplePos="0" relativeHeight="20320">
            <wp:simplePos x="0" y="0"/>
            <wp:positionH relativeFrom="page">
              <wp:posOffset>1078991</wp:posOffset>
            </wp:positionH>
            <wp:positionV relativeFrom="paragraph">
              <wp:posOffset>102361</wp:posOffset>
            </wp:positionV>
            <wp:extent cx="2386584" cy="128015"/>
            <wp:effectExtent l="0" t="0" r="0" b="0"/>
            <wp:wrapTopAndBottom/>
            <wp:docPr id="611" name="image311.png" descr=""/>
            <wp:cNvGraphicFramePr>
              <a:graphicFrameLocks noChangeAspect="1"/>
            </wp:cNvGraphicFramePr>
            <a:graphic>
              <a:graphicData uri="http://schemas.openxmlformats.org/drawingml/2006/picture">
                <pic:pic>
                  <pic:nvPicPr>
                    <pic:cNvPr id="612" name="image311.png"/>
                    <pic:cNvPicPr/>
                  </pic:nvPicPr>
                  <pic:blipFill>
                    <a:blip r:embed="rId315" cstate="print"/>
                    <a:stretch>
                      <a:fillRect/>
                    </a:stretch>
                  </pic:blipFill>
                  <pic:spPr>
                    <a:xfrm>
                      <a:off x="0" y="0"/>
                      <a:ext cx="2386584" cy="128015"/>
                    </a:xfrm>
                    <a:prstGeom prst="rect">
                      <a:avLst/>
                    </a:prstGeom>
                  </pic:spPr>
                </pic:pic>
              </a:graphicData>
            </a:graphic>
          </wp:anchor>
        </w:drawing>
      </w:r>
      <w:r>
        <w:rPr/>
        <w:drawing>
          <wp:anchor distT="0" distB="0" distL="0" distR="0" allowOverlap="1" layoutInCell="1" locked="0" behindDoc="0" simplePos="0" relativeHeight="20344">
            <wp:simplePos x="0" y="0"/>
            <wp:positionH relativeFrom="page">
              <wp:posOffset>1005839</wp:posOffset>
            </wp:positionH>
            <wp:positionV relativeFrom="paragraph">
              <wp:posOffset>358393</wp:posOffset>
            </wp:positionV>
            <wp:extent cx="1161287" cy="100584"/>
            <wp:effectExtent l="0" t="0" r="0" b="0"/>
            <wp:wrapTopAndBottom/>
            <wp:docPr id="613" name="image312.png" descr=""/>
            <wp:cNvGraphicFramePr>
              <a:graphicFrameLocks noChangeAspect="1"/>
            </wp:cNvGraphicFramePr>
            <a:graphic>
              <a:graphicData uri="http://schemas.openxmlformats.org/drawingml/2006/picture">
                <pic:pic>
                  <pic:nvPicPr>
                    <pic:cNvPr id="614" name="image312.png"/>
                    <pic:cNvPicPr/>
                  </pic:nvPicPr>
                  <pic:blipFill>
                    <a:blip r:embed="rId316" cstate="print"/>
                    <a:stretch>
                      <a:fillRect/>
                    </a:stretch>
                  </pic:blipFill>
                  <pic:spPr>
                    <a:xfrm>
                      <a:off x="0" y="0"/>
                      <a:ext cx="1161287" cy="100584"/>
                    </a:xfrm>
                    <a:prstGeom prst="rect">
                      <a:avLst/>
                    </a:prstGeom>
                  </pic:spPr>
                </pic:pic>
              </a:graphicData>
            </a:graphic>
          </wp:anchor>
        </w:drawing>
      </w:r>
      <w:r>
        <w:rPr/>
        <w:drawing>
          <wp:anchor distT="0" distB="0" distL="0" distR="0" allowOverlap="1" layoutInCell="1" locked="0" behindDoc="0" simplePos="0" relativeHeight="20368">
            <wp:simplePos x="0" y="0"/>
            <wp:positionH relativeFrom="page">
              <wp:posOffset>1335024</wp:posOffset>
            </wp:positionH>
            <wp:positionV relativeFrom="paragraph">
              <wp:posOffset>559561</wp:posOffset>
            </wp:positionV>
            <wp:extent cx="2267711" cy="118872"/>
            <wp:effectExtent l="0" t="0" r="0" b="0"/>
            <wp:wrapTopAndBottom/>
            <wp:docPr id="615" name="image313.png" descr=""/>
            <wp:cNvGraphicFramePr>
              <a:graphicFrameLocks noChangeAspect="1"/>
            </wp:cNvGraphicFramePr>
            <a:graphic>
              <a:graphicData uri="http://schemas.openxmlformats.org/drawingml/2006/picture">
                <pic:pic>
                  <pic:nvPicPr>
                    <pic:cNvPr id="616" name="image313.png"/>
                    <pic:cNvPicPr/>
                  </pic:nvPicPr>
                  <pic:blipFill>
                    <a:blip r:embed="rId317" cstate="print"/>
                    <a:stretch>
                      <a:fillRect/>
                    </a:stretch>
                  </pic:blipFill>
                  <pic:spPr>
                    <a:xfrm>
                      <a:off x="0" y="0"/>
                      <a:ext cx="2267711" cy="118872"/>
                    </a:xfrm>
                    <a:prstGeom prst="rect">
                      <a:avLst/>
                    </a:prstGeom>
                  </pic:spPr>
                </pic:pic>
              </a:graphicData>
            </a:graphic>
          </wp:anchor>
        </w:drawing>
      </w:r>
    </w:p>
    <w:p>
      <w:pPr>
        <w:pStyle w:val="BodyText"/>
        <w:spacing w:before="7"/>
        <w:rPr>
          <w:sz w:val="11"/>
        </w:rPr>
      </w:pPr>
    </w:p>
    <w:p>
      <w:pPr>
        <w:pStyle w:val="BodyText"/>
        <w:spacing w:before="9"/>
        <w:rPr>
          <w:sz w:val="7"/>
        </w:rPr>
      </w:pPr>
    </w:p>
    <w:p>
      <w:pPr>
        <w:spacing w:before="79"/>
        <w:ind w:left="134" w:right="0" w:firstLine="0"/>
        <w:jc w:val="both"/>
        <w:rPr>
          <w:sz w:val="21"/>
        </w:rPr>
      </w:pPr>
      <w:r>
        <w:rPr>
          <w:sz w:val="22"/>
        </w:rPr>
        <w:t>fo </w:t>
      </w:r>
      <w:r>
        <w:rPr>
          <w:sz w:val="21"/>
        </w:rPr>
        <w:t>the  first  of  these,  the  annuity  is payable  during the lifetime of</w:t>
      </w:r>
    </w:p>
    <w:p>
      <w:pPr>
        <w:spacing w:line="237" w:lineRule="auto" w:before="3"/>
        <w:ind w:left="137" w:right="114" w:firstLine="10"/>
        <w:jc w:val="both"/>
        <w:rPr>
          <w:rFonts w:ascii="Arial"/>
          <w:i/>
          <w:sz w:val="17"/>
        </w:rPr>
      </w:pPr>
      <w:r>
        <w:rPr>
          <w:rFonts w:ascii="Arial"/>
          <w:i/>
          <w:spacing w:val="2"/>
          <w:sz w:val="19"/>
        </w:rPr>
        <w:t>(x) </w:t>
      </w:r>
      <w:r>
        <w:rPr>
          <w:sz w:val="21"/>
        </w:rPr>
        <w:t>after the death of the survivor of </w:t>
      </w:r>
      <w:r>
        <w:rPr>
          <w:rFonts w:ascii="Arial"/>
          <w:i/>
          <w:spacing w:val="7"/>
          <w:sz w:val="19"/>
        </w:rPr>
        <w:t>(y) </w:t>
      </w:r>
      <w:r>
        <w:rPr>
          <w:sz w:val="21"/>
        </w:rPr>
        <w:t>and (z). </w:t>
      </w:r>
      <w:r>
        <w:rPr>
          <w:rFonts w:ascii="Arial"/>
          <w:spacing w:val="3"/>
          <w:sz w:val="20"/>
        </w:rPr>
        <w:t>In</w:t>
      </w:r>
      <w:r>
        <w:rPr>
          <w:spacing w:val="3"/>
          <w:sz w:val="21"/>
        </w:rPr>
        <w:t>the </w:t>
      </w:r>
      <w:r>
        <w:rPr>
          <w:sz w:val="21"/>
        </w:rPr>
        <w:t>second, the annuity commences upon the first death of </w:t>
      </w:r>
      <w:r>
        <w:rPr>
          <w:sz w:val="19"/>
        </w:rPr>
        <w:t>(y) </w:t>
      </w:r>
      <w:r>
        <w:rPr>
          <w:sz w:val="21"/>
        </w:rPr>
        <w:t>and </w:t>
      </w:r>
      <w:r>
        <w:rPr>
          <w:rFonts w:ascii="Arial"/>
          <w:i/>
          <w:spacing w:val="3"/>
          <w:sz w:val="19"/>
        </w:rPr>
        <w:t>(z) </w:t>
      </w:r>
      <w:r>
        <w:rPr>
          <w:sz w:val="21"/>
        </w:rPr>
        <w:t>and is  payable  until the second death of  </w:t>
      </w:r>
      <w:r>
        <w:rPr>
          <w:rFonts w:ascii="Arial"/>
          <w:i/>
          <w:sz w:val="17"/>
        </w:rPr>
        <w:t>(w) </w:t>
      </w:r>
      <w:r>
        <w:rPr>
          <w:sz w:val="21"/>
        </w:rPr>
        <w:t>and  </w:t>
      </w:r>
      <w:r>
        <w:rPr>
          <w:spacing w:val="20"/>
          <w:sz w:val="21"/>
        </w:rPr>
        <w:t> </w:t>
      </w:r>
      <w:r>
        <w:rPr>
          <w:rFonts w:ascii="Arial"/>
          <w:i/>
          <w:sz w:val="17"/>
        </w:rPr>
        <w:t>(x).</w:t>
      </w:r>
    </w:p>
    <w:p>
      <w:pPr>
        <w:spacing w:line="240" w:lineRule="auto" w:before="0"/>
        <w:ind w:left="134" w:right="126" w:firstLine="194"/>
        <w:jc w:val="both"/>
        <w:rPr>
          <w:sz w:val="21"/>
        </w:rPr>
      </w:pPr>
      <w:r>
        <w:rPr>
          <w:sz w:val="21"/>
        </w:rPr>
        <w:t>Although known as reversionary </w:t>
      </w:r>
      <w:r>
        <w:rPr>
          <w:rFonts w:ascii="Arial"/>
          <w:i/>
          <w:sz w:val="18"/>
        </w:rPr>
        <w:t>annui'ties, </w:t>
      </w:r>
      <w:r>
        <w:rPr>
          <w:sz w:val="21"/>
        </w:rPr>
        <w:t>these functions are essentially insurances since the payments commence upon the failure of a specified</w:t>
      </w:r>
      <w:r>
        <w:rPr>
          <w:spacing w:val="50"/>
          <w:sz w:val="21"/>
        </w:rPr>
        <w:t> </w:t>
      </w:r>
      <w:r>
        <w:rPr>
          <w:sz w:val="21"/>
        </w:rPr>
        <w:t>status.</w:t>
      </w:r>
    </w:p>
    <w:p>
      <w:pPr>
        <w:numPr>
          <w:ilvl w:val="0"/>
          <w:numId w:val="120"/>
        </w:numPr>
        <w:tabs>
          <w:tab w:pos="354" w:val="left" w:leader="none"/>
        </w:tabs>
        <w:spacing w:before="167"/>
        <w:ind w:left="353" w:right="0" w:hanging="219"/>
        <w:jc w:val="both"/>
        <w:rPr>
          <w:b/>
          <w:sz w:val="20"/>
        </w:rPr>
      </w:pPr>
      <w:r>
        <w:rPr>
          <w:b/>
          <w:w w:val="115"/>
          <w:sz w:val="20"/>
        </w:rPr>
        <w:t>Modifications of the basic </w:t>
      </w:r>
      <w:r>
        <w:rPr>
          <w:b/>
          <w:spacing w:val="14"/>
          <w:w w:val="115"/>
          <w:sz w:val="20"/>
        </w:rPr>
        <w:t> </w:t>
      </w:r>
      <w:r>
        <w:rPr>
          <w:b/>
          <w:w w:val="115"/>
          <w:sz w:val="20"/>
        </w:rPr>
        <w:t>function</w:t>
      </w:r>
    </w:p>
    <w:p>
      <w:pPr>
        <w:spacing w:line="240" w:lineRule="auto" w:before="81"/>
        <w:ind w:left="126" w:right="127" w:firstLine="198"/>
        <w:jc w:val="both"/>
        <w:rPr>
          <w:sz w:val="21"/>
        </w:rPr>
      </w:pPr>
      <w:r>
        <w:rPr>
          <w:sz w:val="21"/>
        </w:rPr>
        <w:t>The basic function </w:t>
      </w:r>
      <w:r>
        <w:rPr>
          <w:sz w:val="14"/>
        </w:rPr>
        <w:t>lli,iz </w:t>
      </w:r>
      <w:r>
        <w:rPr>
          <w:sz w:val="21"/>
        </w:rPr>
        <w:t>makes  provision  for  annual  payments, and the payment periods are measured from the end of the year of death of </w:t>
      </w:r>
      <w:r>
        <w:rPr>
          <w:rFonts w:ascii="Arial" w:hAnsi="Arial"/>
          <w:i/>
          <w:sz w:val="19"/>
        </w:rPr>
        <w:t>(y ). </w:t>
      </w:r>
      <w:r>
        <w:rPr>
          <w:rFonts w:ascii="Arial" w:hAnsi="Arial"/>
          <w:w w:val="110"/>
          <w:sz w:val="20"/>
        </w:rPr>
        <w:t>In </w:t>
      </w:r>
      <w:r>
        <w:rPr>
          <w:sz w:val="21"/>
        </w:rPr>
        <w:t>practice, the payments are often made more fre­ quently than once a year, and the payment periods are measured from different points of  time.</w:t>
      </w:r>
    </w:p>
    <w:p>
      <w:pPr>
        <w:spacing w:line="242" w:lineRule="auto" w:before="0"/>
        <w:ind w:left="119" w:right="139" w:firstLine="205"/>
        <w:jc w:val="both"/>
        <w:rPr>
          <w:sz w:val="21"/>
        </w:rPr>
      </w:pPr>
      <w:r>
        <w:rPr>
          <w:sz w:val="19"/>
        </w:rPr>
        <w:t>If </w:t>
      </w:r>
      <w:r>
        <w:rPr>
          <w:sz w:val="21"/>
        </w:rPr>
        <w:t>the annuity is payable  </w:t>
      </w:r>
      <w:r>
        <w:rPr>
          <w:sz w:val="20"/>
        </w:rPr>
        <w:t>to  </w:t>
      </w:r>
      <w:r>
        <w:rPr>
          <w:sz w:val="21"/>
        </w:rPr>
        <w:t>(x) </w:t>
      </w:r>
      <w:r>
        <w:rPr>
          <w:rFonts w:ascii="Arial"/>
          <w:i/>
          <w:sz w:val="18"/>
        </w:rPr>
        <w:t>m </w:t>
      </w:r>
      <w:r>
        <w:rPr>
          <w:sz w:val="21"/>
        </w:rPr>
        <w:t>times a year  and  commences at the end of the m-th part of the year in which </w:t>
      </w:r>
      <w:r>
        <w:rPr>
          <w:i/>
          <w:sz w:val="20"/>
        </w:rPr>
        <w:t>( y ) </w:t>
      </w:r>
      <w:r>
        <w:rPr>
          <w:sz w:val="21"/>
        </w:rPr>
        <w:t>dies, the present value is given by</w:t>
      </w:r>
    </w:p>
    <w:p>
      <w:pPr>
        <w:spacing w:after="0" w:line="242" w:lineRule="auto"/>
        <w:jc w:val="both"/>
        <w:rPr>
          <w:sz w:val="21"/>
        </w:rPr>
        <w:sectPr>
          <w:pgSz w:w="7200" w:h="11340"/>
          <w:pgMar w:top="500" w:bottom="280" w:left="640" w:right="560"/>
        </w:sectPr>
      </w:pPr>
    </w:p>
    <w:p>
      <w:pPr>
        <w:spacing w:line="229" w:lineRule="exact" w:before="27"/>
        <w:ind w:left="1790" w:right="0" w:firstLine="0"/>
        <w:jc w:val="left"/>
        <w:rPr>
          <w:b/>
          <w:sz w:val="11"/>
        </w:rPr>
      </w:pPr>
      <w:r>
        <w:rPr>
          <w:b/>
          <w:w w:val="82"/>
          <w:sz w:val="11"/>
        </w:rPr>
        <w:t>(111)</w:t>
      </w:r>
      <w:r>
        <w:rPr>
          <w:b/>
          <w:sz w:val="11"/>
        </w:rPr>
        <w:t>   </w:t>
      </w:r>
      <w:r>
        <w:rPr>
          <w:b/>
          <w:spacing w:val="1"/>
          <w:sz w:val="11"/>
        </w:rPr>
        <w:t> </w:t>
      </w:r>
      <w:r>
        <w:rPr>
          <w:w w:val="103"/>
          <w:sz w:val="24"/>
        </w:rPr>
        <w:t>=</w:t>
      </w:r>
      <w:r>
        <w:rPr>
          <w:sz w:val="24"/>
        </w:rPr>
        <w:t> </w:t>
      </w:r>
      <w:r>
        <w:rPr>
          <w:spacing w:val="-20"/>
          <w:sz w:val="24"/>
        </w:rPr>
        <w:t> </w:t>
      </w:r>
      <w:r>
        <w:rPr>
          <w:rFonts w:ascii="Arial"/>
          <w:b/>
          <w:i/>
          <w:spacing w:val="-12"/>
          <w:w w:val="169"/>
          <w:sz w:val="18"/>
        </w:rPr>
        <w:t>a</w:t>
      </w:r>
      <w:r>
        <w:rPr>
          <w:rFonts w:ascii="Arial"/>
          <w:b/>
          <w:i/>
          <w:w w:val="83"/>
          <w:sz w:val="18"/>
        </w:rPr>
        <w:t>"</w:t>
      </w:r>
      <w:r>
        <w:rPr>
          <w:rFonts w:ascii="Arial"/>
          <w:b/>
          <w:i/>
          <w:spacing w:val="4"/>
          <w:w w:val="83"/>
          <w:sz w:val="18"/>
        </w:rPr>
        <w:t>'</w:t>
      </w:r>
      <w:r>
        <w:rPr>
          <w:rFonts w:ascii="Arial"/>
          <w:b/>
          <w:i/>
          <w:w w:val="57"/>
          <w:sz w:val="18"/>
        </w:rPr>
        <w:t>)</w:t>
      </w:r>
      <w:r>
        <w:rPr>
          <w:rFonts w:ascii="Arial"/>
          <w:b/>
          <w:i/>
          <w:sz w:val="18"/>
        </w:rPr>
        <w:t> </w:t>
      </w:r>
      <w:r>
        <w:rPr>
          <w:rFonts w:ascii="Arial"/>
          <w:b/>
          <w:i/>
          <w:spacing w:val="20"/>
          <w:sz w:val="18"/>
        </w:rPr>
        <w:t> </w:t>
      </w:r>
      <w:r>
        <w:rPr>
          <w:rFonts w:ascii="Arial"/>
          <w:w w:val="284"/>
          <w:sz w:val="18"/>
        </w:rPr>
        <w:t>-</w:t>
      </w:r>
      <w:r>
        <w:rPr>
          <w:rFonts w:ascii="Arial"/>
          <w:spacing w:val="13"/>
          <w:sz w:val="18"/>
        </w:rPr>
        <w:t> </w:t>
      </w:r>
      <w:r>
        <w:rPr>
          <w:b/>
          <w:w w:val="112"/>
          <w:sz w:val="11"/>
        </w:rPr>
        <w:t>n_</w:t>
      </w:r>
      <w:r>
        <w:rPr>
          <w:b/>
          <w:w w:val="112"/>
          <w:sz w:val="11"/>
        </w:rPr>
        <w:t>(</w:t>
      </w:r>
      <w:r>
        <w:rPr>
          <w:b/>
          <w:w w:val="112"/>
          <w:sz w:val="11"/>
        </w:rPr>
        <w:t>lll</w:t>
      </w:r>
      <w:r>
        <w:rPr>
          <w:b/>
          <w:w w:val="112"/>
          <w:sz w:val="11"/>
        </w:rPr>
        <w:t>)</w:t>
      </w:r>
    </w:p>
    <w:p>
      <w:pPr>
        <w:tabs>
          <w:tab w:pos="759" w:val="left" w:leader="none"/>
        </w:tabs>
        <w:spacing w:line="137" w:lineRule="exact" w:before="0"/>
        <w:ind w:left="0" w:right="137" w:firstLine="0"/>
        <w:jc w:val="center"/>
        <w:rPr>
          <w:sz w:val="16"/>
        </w:rPr>
      </w:pPr>
      <w:r>
        <w:rPr/>
        <w:drawing>
          <wp:anchor distT="0" distB="0" distL="0" distR="0" allowOverlap="1" layoutInCell="1" locked="0" behindDoc="0" simplePos="0" relativeHeight="20392">
            <wp:simplePos x="0" y="0"/>
            <wp:positionH relativeFrom="page">
              <wp:posOffset>1728216</wp:posOffset>
            </wp:positionH>
            <wp:positionV relativeFrom="paragraph">
              <wp:posOffset>133813</wp:posOffset>
            </wp:positionV>
            <wp:extent cx="1426464" cy="292607"/>
            <wp:effectExtent l="0" t="0" r="0" b="0"/>
            <wp:wrapNone/>
            <wp:docPr id="617" name="image314.png" descr=""/>
            <wp:cNvGraphicFramePr>
              <a:graphicFrameLocks noChangeAspect="1"/>
            </wp:cNvGraphicFramePr>
            <a:graphic>
              <a:graphicData uri="http://schemas.openxmlformats.org/drawingml/2006/picture">
                <pic:pic>
                  <pic:nvPicPr>
                    <pic:cNvPr id="618" name="image314.png"/>
                    <pic:cNvPicPr/>
                  </pic:nvPicPr>
                  <pic:blipFill>
                    <a:blip r:embed="rId318" cstate="print"/>
                    <a:stretch>
                      <a:fillRect/>
                    </a:stretch>
                  </pic:blipFill>
                  <pic:spPr>
                    <a:xfrm>
                      <a:off x="0" y="0"/>
                      <a:ext cx="1426464" cy="292607"/>
                    </a:xfrm>
                    <a:prstGeom prst="rect">
                      <a:avLst/>
                    </a:prstGeom>
                  </pic:spPr>
                </pic:pic>
              </a:graphicData>
            </a:graphic>
          </wp:anchor>
        </w:drawing>
      </w:r>
      <w:r>
        <w:rPr>
          <w:w w:val="85"/>
          <w:sz w:val="16"/>
        </w:rPr>
        <w:t>ª111.z</w:t>
        <w:tab/>
      </w:r>
      <w:r>
        <w:rPr>
          <w:w w:val="120"/>
          <w:sz w:val="16"/>
        </w:rPr>
        <w:t>-</w:t>
      </w:r>
    </w:p>
    <w:p>
      <w:pPr>
        <w:pStyle w:val="BodyText"/>
        <w:rPr>
          <w:sz w:val="18"/>
        </w:rPr>
      </w:pPr>
      <w:r>
        <w:rPr/>
        <w:br w:type="column"/>
      </w:r>
      <w:r>
        <w:rPr>
          <w:sz w:val="18"/>
        </w:rPr>
      </w:r>
    </w:p>
    <w:p>
      <w:pPr>
        <w:pStyle w:val="BodyText"/>
        <w:rPr>
          <w:sz w:val="18"/>
        </w:rPr>
      </w:pPr>
    </w:p>
    <w:p>
      <w:pPr>
        <w:pStyle w:val="BodyText"/>
        <w:rPr>
          <w:sz w:val="17"/>
        </w:rPr>
      </w:pPr>
    </w:p>
    <w:p>
      <w:pPr>
        <w:spacing w:before="0"/>
        <w:ind w:left="985" w:right="0" w:firstLine="0"/>
        <w:jc w:val="left"/>
        <w:rPr>
          <w:sz w:val="19"/>
        </w:rPr>
      </w:pPr>
      <w:r>
        <w:rPr>
          <w:w w:val="110"/>
          <w:sz w:val="19"/>
        </w:rPr>
        <w:t>(13.3)</w:t>
      </w:r>
    </w:p>
    <w:p>
      <w:pPr>
        <w:spacing w:after="0"/>
        <w:jc w:val="left"/>
        <w:rPr>
          <w:sz w:val="19"/>
        </w:rPr>
        <w:sectPr>
          <w:type w:val="continuous"/>
          <w:pgSz w:w="7200" w:h="11340"/>
          <w:pgMar w:top="1100" w:bottom="0" w:left="640" w:right="560"/>
          <w:cols w:num="2" w:equalWidth="0">
            <w:col w:w="4328" w:space="40"/>
            <w:col w:w="1632"/>
          </w:cols>
        </w:sectPr>
      </w:pPr>
    </w:p>
    <w:p>
      <w:pPr>
        <w:pStyle w:val="BodyText"/>
        <w:spacing w:before="3"/>
        <w:rPr>
          <w:sz w:val="15"/>
        </w:rPr>
      </w:pPr>
    </w:p>
    <w:p>
      <w:pPr>
        <w:spacing w:before="73"/>
        <w:ind w:left="126" w:right="0" w:firstLine="0"/>
        <w:jc w:val="both"/>
        <w:rPr>
          <w:sz w:val="21"/>
        </w:rPr>
      </w:pPr>
      <w:r>
        <w:rPr>
          <w:sz w:val="21"/>
        </w:rPr>
        <w:t>using (2.18) and recalling  that</w:t>
      </w:r>
    </w:p>
    <w:p>
      <w:pPr>
        <w:spacing w:before="39"/>
        <w:ind w:left="48" w:right="87" w:firstLine="0"/>
        <w:jc w:val="center"/>
        <w:rPr>
          <w:sz w:val="16"/>
        </w:rPr>
      </w:pPr>
      <w:r>
        <w:rPr>
          <w:b/>
          <w:i/>
          <w:w w:val="80"/>
          <w:sz w:val="16"/>
        </w:rPr>
        <w:t>µ.%11 </w:t>
      </w:r>
      <w:r>
        <w:rPr>
          <w:w w:val="80"/>
          <w:sz w:val="26"/>
        </w:rPr>
        <w:t>= </w:t>
      </w:r>
      <w:r>
        <w:rPr>
          <w:rFonts w:ascii="Arial" w:hAnsi="Arial"/>
          <w:b/>
          <w:w w:val="80"/>
          <w:sz w:val="15"/>
        </w:rPr>
        <w:t>µ.s </w:t>
      </w:r>
      <w:r>
        <w:rPr>
          <w:rFonts w:ascii="Arial" w:hAnsi="Arial"/>
          <w:w w:val="95"/>
          <w:sz w:val="32"/>
        </w:rPr>
        <w:t>+ </w:t>
      </w:r>
      <w:r>
        <w:rPr>
          <w:b/>
          <w:i/>
          <w:w w:val="80"/>
          <w:sz w:val="16"/>
        </w:rPr>
        <w:t>µ.11 </w:t>
      </w:r>
      <w:r>
        <w:rPr>
          <w:w w:val="80"/>
          <w:sz w:val="16"/>
        </w:rPr>
        <w:t>•</w:t>
      </w:r>
    </w:p>
    <w:p>
      <w:pPr>
        <w:spacing w:before="74"/>
        <w:ind w:left="324" w:right="0" w:firstLine="0"/>
        <w:jc w:val="left"/>
        <w:rPr>
          <w:sz w:val="21"/>
        </w:rPr>
      </w:pPr>
      <w:r>
        <w:rPr>
          <w:sz w:val="21"/>
        </w:rPr>
        <w:t>If  </w:t>
      </w:r>
      <w:r>
        <w:rPr>
          <w:rFonts w:ascii="Arial"/>
          <w:i/>
          <w:sz w:val="18"/>
        </w:rPr>
        <w:t>m </w:t>
      </w:r>
      <w:r>
        <w:rPr>
          <w:sz w:val="21"/>
        </w:rPr>
        <w:t>becomes  infinite in the formula above, we  have</w:t>
      </w:r>
    </w:p>
    <w:p>
      <w:pPr>
        <w:tabs>
          <w:tab w:pos="5389" w:val="left" w:leader="none"/>
        </w:tabs>
        <w:spacing w:before="29"/>
        <w:ind w:left="126" w:right="0" w:firstLine="1220"/>
        <w:jc w:val="left"/>
        <w:rPr>
          <w:sz w:val="19"/>
        </w:rPr>
      </w:pPr>
      <w:r>
        <w:rPr>
          <w:rFonts w:ascii="Arial" w:hAnsi="Arial"/>
          <w:b/>
          <w:w w:val="90"/>
          <w:sz w:val="15"/>
        </w:rPr>
        <w:t>O¡¡¡s</w:t>
      </w:r>
      <w:r>
        <w:rPr>
          <w:rFonts w:ascii="Arial" w:hAnsi="Arial"/>
          <w:b/>
          <w:spacing w:val="23"/>
          <w:w w:val="90"/>
          <w:sz w:val="15"/>
        </w:rPr>
        <w:t> </w:t>
      </w:r>
      <w:r>
        <w:rPr>
          <w:w w:val="110"/>
          <w:sz w:val="26"/>
        </w:rPr>
        <w:t>=</w:t>
      </w:r>
      <w:r>
        <w:rPr>
          <w:spacing w:val="-13"/>
          <w:w w:val="110"/>
          <w:sz w:val="26"/>
        </w:rPr>
        <w:t> </w:t>
      </w:r>
      <w:r>
        <w:rPr>
          <w:rFonts w:ascii="Arial" w:hAnsi="Arial"/>
          <w:w w:val="90"/>
          <w:sz w:val="17"/>
        </w:rPr>
        <w:t>&lt;is</w:t>
      </w:r>
      <w:r>
        <w:rPr>
          <w:rFonts w:ascii="Arial" w:hAnsi="Arial"/>
          <w:spacing w:val="11"/>
          <w:w w:val="90"/>
          <w:sz w:val="17"/>
        </w:rPr>
        <w:t> </w:t>
      </w:r>
      <w:r>
        <w:rPr>
          <w:rFonts w:ascii="Arial" w:hAnsi="Arial"/>
          <w:w w:val="280"/>
          <w:sz w:val="17"/>
        </w:rPr>
        <w:t>-</w:t>
      </w:r>
      <w:r>
        <w:rPr>
          <w:rFonts w:ascii="Arial" w:hAnsi="Arial"/>
          <w:spacing w:val="-91"/>
          <w:w w:val="280"/>
          <w:sz w:val="17"/>
        </w:rPr>
        <w:t> </w:t>
      </w:r>
      <w:r>
        <w:rPr>
          <w:rFonts w:ascii="Arial" w:hAnsi="Arial"/>
          <w:i/>
          <w:w w:val="90"/>
          <w:sz w:val="22"/>
        </w:rPr>
        <w:t>aztl</w:t>
      </w:r>
      <w:r>
        <w:rPr>
          <w:rFonts w:ascii="Arial" w:hAnsi="Arial"/>
          <w:i/>
          <w:spacing w:val="17"/>
          <w:w w:val="90"/>
          <w:sz w:val="22"/>
        </w:rPr>
        <w:t> </w:t>
      </w:r>
      <w:r>
        <w:rPr>
          <w:rFonts w:ascii="Arial" w:hAnsi="Arial"/>
          <w:w w:val="90"/>
          <w:sz w:val="26"/>
        </w:rPr>
        <w:t>=:</w:t>
      </w:r>
      <w:r>
        <w:rPr>
          <w:rFonts w:ascii="Arial" w:hAnsi="Arial"/>
          <w:spacing w:val="-19"/>
          <w:w w:val="90"/>
          <w:sz w:val="26"/>
        </w:rPr>
        <w:t> </w:t>
      </w:r>
      <w:r>
        <w:rPr>
          <w:b/>
          <w:i/>
          <w:w w:val="110"/>
          <w:sz w:val="20"/>
        </w:rPr>
        <w:t>az</w:t>
      </w:r>
      <w:r>
        <w:rPr>
          <w:b/>
          <w:i/>
          <w:spacing w:val="2"/>
          <w:w w:val="110"/>
          <w:sz w:val="20"/>
        </w:rPr>
        <w:t> </w:t>
      </w:r>
      <w:r>
        <w:rPr>
          <w:w w:val="280"/>
          <w:sz w:val="20"/>
        </w:rPr>
        <w:t>-</w:t>
      </w:r>
      <w:r>
        <w:rPr>
          <w:spacing w:val="-110"/>
          <w:w w:val="280"/>
          <w:sz w:val="20"/>
        </w:rPr>
        <w:t> </w:t>
      </w:r>
      <w:r>
        <w:rPr>
          <w:b/>
          <w:i/>
          <w:w w:val="90"/>
          <w:sz w:val="16"/>
        </w:rPr>
        <w:t>lZza,</w:t>
      </w:r>
      <w:r>
        <w:rPr>
          <w:b/>
          <w:i/>
          <w:spacing w:val="15"/>
          <w:w w:val="90"/>
          <w:sz w:val="16"/>
        </w:rPr>
        <w:t> </w:t>
      </w:r>
      <w:r>
        <w:rPr>
          <w:rFonts w:ascii="Arial" w:hAnsi="Arial"/>
          <w:w w:val="110"/>
          <w:sz w:val="32"/>
        </w:rPr>
        <w:t>+</w:t>
      </w:r>
      <w:r>
        <w:rPr>
          <w:rFonts w:ascii="Arial" w:hAnsi="Arial"/>
          <w:spacing w:val="-68"/>
          <w:w w:val="110"/>
          <w:sz w:val="32"/>
        </w:rPr>
        <w:t> </w:t>
      </w:r>
      <w:r>
        <w:rPr>
          <w:w w:val="90"/>
          <w:sz w:val="27"/>
        </w:rPr>
        <w:t>H</w:t>
      </w:r>
      <w:r>
        <w:rPr>
          <w:b/>
          <w:i/>
          <w:w w:val="90"/>
          <w:sz w:val="16"/>
        </w:rPr>
        <w:t>2M11</w:t>
      </w:r>
      <w:r>
        <w:rPr>
          <w:b/>
          <w:i/>
          <w:spacing w:val="8"/>
          <w:w w:val="90"/>
          <w:sz w:val="16"/>
        </w:rPr>
        <w:t> </w:t>
      </w:r>
      <w:r>
        <w:rPr>
          <w:w w:val="110"/>
          <w:sz w:val="16"/>
        </w:rPr>
        <w:t>•</w:t>
        <w:tab/>
      </w:r>
      <w:r>
        <w:rPr>
          <w:w w:val="110"/>
          <w:position w:val="3"/>
          <w:sz w:val="19"/>
        </w:rPr>
        <w:t>(13.4)</w:t>
      </w:r>
    </w:p>
    <w:p>
      <w:pPr>
        <w:spacing w:line="240" w:lineRule="auto" w:before="71"/>
        <w:ind w:left="130" w:right="126" w:hanging="4"/>
        <w:jc w:val="both"/>
        <w:rPr>
          <w:sz w:val="19"/>
        </w:rPr>
      </w:pPr>
      <w:r>
        <w:rPr>
          <w:sz w:val="21"/>
        </w:rPr>
        <w:t>This represents the present value of  an annuity  of  1 commencing at the moment of death of </w:t>
      </w:r>
      <w:r>
        <w:rPr>
          <w:rFonts w:ascii="Arial" w:hAnsi="Arial"/>
          <w:i/>
          <w:spacing w:val="4"/>
          <w:sz w:val="19"/>
        </w:rPr>
        <w:t>(y </w:t>
      </w:r>
      <w:r>
        <w:rPr>
          <w:rFonts w:ascii="Arial" w:hAnsi="Arial"/>
          <w:i/>
          <w:sz w:val="19"/>
        </w:rPr>
        <w:t>) </w:t>
      </w:r>
      <w:r>
        <w:rPr>
          <w:sz w:val="21"/>
        </w:rPr>
        <w:t>and payable continuously  through­ out the remaining Iifetime of </w:t>
      </w:r>
      <w:r>
        <w:rPr>
          <w:rFonts w:ascii="Arial" w:hAnsi="Arial"/>
          <w:i/>
          <w:sz w:val="19"/>
        </w:rPr>
        <w:t>(x). </w:t>
      </w:r>
      <w:r>
        <w:rPr>
          <w:sz w:val="21"/>
        </w:rPr>
        <w:t>An integral expression for this function</w:t>
      </w:r>
      <w:r>
        <w:rPr>
          <w:spacing w:val="27"/>
          <w:sz w:val="21"/>
        </w:rPr>
        <w:t> </w:t>
      </w:r>
      <w:r>
        <w:rPr>
          <w:sz w:val="19"/>
        </w:rPr>
        <w:t>is</w:t>
      </w:r>
    </w:p>
    <w:p>
      <w:pPr>
        <w:spacing w:after="0" w:line="240" w:lineRule="auto"/>
        <w:jc w:val="both"/>
        <w:rPr>
          <w:sz w:val="19"/>
        </w:rPr>
        <w:sectPr>
          <w:type w:val="continuous"/>
          <w:pgSz w:w="7200" w:h="11340"/>
          <w:pgMar w:top="1100" w:bottom="0" w:left="640" w:right="560"/>
        </w:sectPr>
      </w:pPr>
    </w:p>
    <w:p>
      <w:pPr>
        <w:tabs>
          <w:tab w:pos="1213" w:val="left" w:leader="none"/>
          <w:tab w:pos="5847" w:val="right" w:leader="none"/>
        </w:tabs>
        <w:spacing w:before="60"/>
        <w:ind w:left="104" w:right="0" w:firstLine="0"/>
        <w:jc w:val="left"/>
        <w:rPr>
          <w:sz w:val="21"/>
        </w:rPr>
      </w:pPr>
      <w:r>
        <w:rPr>
          <w:w w:val="105"/>
          <w:sz w:val="15"/>
        </w:rPr>
        <w:t>SEC. </w:t>
      </w:r>
      <w:r>
        <w:rPr>
          <w:spacing w:val="12"/>
          <w:w w:val="105"/>
          <w:sz w:val="15"/>
        </w:rPr>
        <w:t> </w:t>
      </w:r>
      <w:r>
        <w:rPr>
          <w:rFonts w:ascii="Arial"/>
          <w:w w:val="105"/>
          <w:sz w:val="19"/>
        </w:rPr>
        <w:t>3)</w:t>
        <w:tab/>
      </w:r>
      <w:r>
        <w:rPr>
          <w:b/>
          <w:w w:val="105"/>
          <w:sz w:val="15"/>
        </w:rPr>
        <w:t>MODIFICATIONS  OF  THE </w:t>
      </w:r>
      <w:r>
        <w:rPr>
          <w:b/>
          <w:spacing w:val="29"/>
          <w:w w:val="105"/>
          <w:sz w:val="15"/>
        </w:rPr>
        <w:t> </w:t>
      </w:r>
      <w:r>
        <w:rPr>
          <w:b/>
          <w:w w:val="105"/>
          <w:sz w:val="15"/>
        </w:rPr>
        <w:t>BASIC </w:t>
      </w:r>
      <w:r>
        <w:rPr>
          <w:b/>
          <w:spacing w:val="19"/>
          <w:w w:val="105"/>
          <w:sz w:val="15"/>
        </w:rPr>
        <w:t> </w:t>
      </w:r>
      <w:r>
        <w:rPr>
          <w:b/>
          <w:w w:val="105"/>
          <w:sz w:val="15"/>
        </w:rPr>
        <w:t>FUNCTION</w:t>
      </w:r>
      <w:r>
        <w:rPr>
          <w:w w:val="105"/>
          <w:sz w:val="21"/>
        </w:rPr>
        <w:tab/>
        <w:t>257</w:t>
      </w:r>
    </w:p>
    <w:p>
      <w:pPr>
        <w:spacing w:after="0"/>
        <w:jc w:val="left"/>
        <w:rPr>
          <w:sz w:val="21"/>
        </w:rPr>
        <w:sectPr>
          <w:pgSz w:w="7200" w:h="11340"/>
          <w:pgMar w:top="500" w:bottom="280" w:left="680" w:right="560"/>
        </w:sectPr>
      </w:pPr>
    </w:p>
    <w:p>
      <w:pPr>
        <w:spacing w:line="90" w:lineRule="exact" w:before="250"/>
        <w:ind w:left="0" w:right="0" w:firstLine="0"/>
        <w:jc w:val="right"/>
        <w:rPr>
          <w:rFonts w:ascii="Arial"/>
          <w:sz w:val="8"/>
        </w:rPr>
      </w:pPr>
      <w:r>
        <w:rPr/>
        <w:pict>
          <v:shape style="position:absolute;margin-left:151.020004pt;margin-top:4.394082pt;width:8.85pt;height:29.5pt;mso-position-horizontal-relative:page;mso-position-vertical-relative:paragraph;z-index:-715624" type="#_x0000_t202" filled="false" stroked="false">
            <v:textbox inset="0,0,0,0">
              <w:txbxContent>
                <w:p>
                  <w:pPr>
                    <w:spacing w:line="590" w:lineRule="exact" w:before="0"/>
                    <w:ind w:left="0" w:right="0" w:firstLine="0"/>
                    <w:jc w:val="left"/>
                    <w:rPr>
                      <w:sz w:val="59"/>
                    </w:rPr>
                  </w:pPr>
                  <w:r>
                    <w:rPr>
                      <w:w w:val="107"/>
                      <w:sz w:val="59"/>
                    </w:rPr>
                    <w:t>l</w:t>
                  </w:r>
                </w:p>
              </w:txbxContent>
            </v:textbox>
            <w10:wrap type="none"/>
          </v:shape>
        </w:pict>
      </w:r>
      <w:r>
        <w:rPr>
          <w:rFonts w:ascii="Arial"/>
          <w:w w:val="105"/>
          <w:sz w:val="8"/>
        </w:rPr>
        <w:t>00</w:t>
      </w:r>
    </w:p>
    <w:p>
      <w:pPr>
        <w:spacing w:line="274" w:lineRule="exact" w:before="0"/>
        <w:ind w:left="0" w:right="338" w:firstLine="0"/>
        <w:jc w:val="right"/>
        <w:rPr>
          <w:sz w:val="24"/>
        </w:rPr>
      </w:pPr>
      <w:r>
        <w:rPr>
          <w:rFonts w:ascii="Arial" w:hAnsi="Arial"/>
          <w:b/>
          <w:sz w:val="15"/>
        </w:rPr>
        <w:t>d¡,¡s </w:t>
      </w:r>
      <w:r>
        <w:rPr>
          <w:sz w:val="24"/>
        </w:rPr>
        <w:t>=</w:t>
      </w:r>
    </w:p>
    <w:p>
      <w:pPr>
        <w:tabs>
          <w:tab w:pos="2596" w:val="left" w:leader="none"/>
        </w:tabs>
        <w:spacing w:before="357"/>
        <w:ind w:left="11" w:right="0" w:firstLine="0"/>
        <w:jc w:val="left"/>
        <w:rPr>
          <w:sz w:val="19"/>
        </w:rPr>
      </w:pPr>
      <w:r>
        <w:rPr/>
        <w:br w:type="column"/>
      </w:r>
      <w:r>
        <w:rPr>
          <w:i/>
          <w:w w:val="110"/>
          <w:sz w:val="22"/>
        </w:rPr>
        <w:t>v' </w:t>
      </w:r>
      <w:r>
        <w:rPr>
          <w:i/>
          <w:w w:val="110"/>
          <w:sz w:val="19"/>
        </w:rPr>
        <w:t>tPz </w:t>
      </w:r>
      <w:r>
        <w:rPr>
          <w:w w:val="110"/>
          <w:sz w:val="20"/>
        </w:rPr>
        <w:t>(I </w:t>
      </w:r>
      <w:r>
        <w:rPr>
          <w:w w:val="240"/>
          <w:sz w:val="20"/>
        </w:rPr>
        <w:t>-</w:t>
      </w:r>
      <w:r>
        <w:rPr>
          <w:spacing w:val="-85"/>
          <w:w w:val="240"/>
          <w:sz w:val="20"/>
        </w:rPr>
        <w:t> </w:t>
      </w:r>
      <w:r>
        <w:rPr>
          <w:i/>
          <w:sz w:val="19"/>
        </w:rPr>
        <w:t>tP</w:t>
      </w:r>
      <w:r>
        <w:rPr>
          <w:rFonts w:ascii="Arial"/>
          <w:i/>
          <w:position w:val="-2"/>
          <w:sz w:val="11"/>
        </w:rPr>
        <w:t>11 </w:t>
      </w:r>
      <w:r>
        <w:rPr>
          <w:rFonts w:ascii="Arial"/>
          <w:i/>
          <w:w w:val="110"/>
          <w:sz w:val="11"/>
        </w:rPr>
        <w:t>) </w:t>
      </w:r>
      <w:r>
        <w:rPr>
          <w:rFonts w:ascii="Arial"/>
          <w:i/>
          <w:spacing w:val="2"/>
          <w:w w:val="110"/>
          <w:sz w:val="11"/>
        </w:rPr>
        <w:t> </w:t>
      </w:r>
      <w:r>
        <w:rPr>
          <w:i/>
          <w:w w:val="110"/>
          <w:sz w:val="21"/>
        </w:rPr>
        <w:t>dt.</w:t>
        <w:tab/>
      </w:r>
      <w:r>
        <w:rPr>
          <w:w w:val="110"/>
          <w:sz w:val="19"/>
        </w:rPr>
        <w:t>(13.5a)</w:t>
      </w:r>
    </w:p>
    <w:p>
      <w:pPr>
        <w:spacing w:after="0"/>
        <w:jc w:val="left"/>
        <w:rPr>
          <w:sz w:val="19"/>
        </w:rPr>
        <w:sectPr>
          <w:type w:val="continuous"/>
          <w:pgSz w:w="7200" w:h="11340"/>
          <w:pgMar w:top="1100" w:bottom="0" w:left="680" w:right="560"/>
          <w:cols w:num="2" w:equalWidth="0">
            <w:col w:w="2599" w:space="40"/>
            <w:col w:w="3321"/>
          </w:cols>
        </w:sectPr>
      </w:pPr>
    </w:p>
    <w:p>
      <w:pPr>
        <w:spacing w:line="252" w:lineRule="auto" w:before="6"/>
        <w:ind w:left="140" w:right="0" w:hanging="33"/>
        <w:jc w:val="left"/>
        <w:rPr>
          <w:sz w:val="21"/>
        </w:rPr>
      </w:pPr>
      <w:r>
        <w:rPr>
          <w:w w:val="98"/>
          <w:sz w:val="21"/>
        </w:rPr>
        <w:t>When </w:t>
      </w:r>
      <w:r>
        <w:rPr>
          <w:w w:val="106"/>
          <w:sz w:val="21"/>
        </w:rPr>
        <w:t>the </w:t>
      </w:r>
      <w:r>
        <w:rPr>
          <w:w w:val="103"/>
          <w:sz w:val="21"/>
        </w:rPr>
        <w:t>substitution </w:t>
      </w:r>
      <w:r>
        <w:rPr>
          <w:w w:val="87"/>
          <w:sz w:val="21"/>
        </w:rPr>
        <w:t>of </w:t>
      </w:r>
      <w:r>
        <w:rPr>
          <w:rFonts w:ascii="Arial" w:hAnsi="Arial"/>
          <w:i/>
          <w:w w:val="62"/>
          <w:sz w:val="57"/>
        </w:rPr>
        <w:t>1' </w:t>
      </w:r>
      <w:r>
        <w:rPr>
          <w:rFonts w:ascii="Arial" w:hAnsi="Arial"/>
          <w:i/>
          <w:w w:val="73"/>
          <w:sz w:val="19"/>
        </w:rPr>
        <w:t>,Pfll.'11+• </w:t>
      </w:r>
      <w:r>
        <w:rPr>
          <w:rFonts w:ascii="Arial" w:hAnsi="Arial"/>
          <w:i/>
          <w:w w:val="91"/>
          <w:sz w:val="19"/>
        </w:rPr>
        <w:t>ds </w:t>
      </w:r>
      <w:r>
        <w:rPr>
          <w:w w:val="100"/>
          <w:sz w:val="21"/>
        </w:rPr>
        <w:t>is </w:t>
      </w:r>
      <w:r>
        <w:rPr>
          <w:w w:val="99"/>
          <w:sz w:val="21"/>
        </w:rPr>
        <w:t>made </w:t>
      </w:r>
      <w:r>
        <w:rPr>
          <w:w w:val="98"/>
          <w:sz w:val="21"/>
        </w:rPr>
        <w:t>for </w:t>
      </w:r>
      <w:r>
        <w:rPr>
          <w:w w:val="116"/>
          <w:sz w:val="21"/>
        </w:rPr>
        <w:t>1 </w:t>
      </w:r>
      <w:r>
        <w:rPr>
          <w:w w:val="275"/>
          <w:sz w:val="21"/>
        </w:rPr>
        <w:t>- </w:t>
      </w:r>
      <w:r>
        <w:rPr>
          <w:rFonts w:ascii="Arial" w:hAnsi="Arial"/>
          <w:i/>
          <w:w w:val="75"/>
          <w:sz w:val="31"/>
        </w:rPr>
        <w:t>,p, </w:t>
      </w:r>
      <w:r>
        <w:rPr>
          <w:w w:val="96"/>
          <w:sz w:val="21"/>
        </w:rPr>
        <w:t>in </w:t>
      </w:r>
      <w:r>
        <w:rPr>
          <w:w w:val="105"/>
          <w:sz w:val="21"/>
        </w:rPr>
        <w:t>(13.5a), we obtain</w:t>
      </w:r>
    </w:p>
    <w:p>
      <w:pPr>
        <w:spacing w:line="578" w:lineRule="exact" w:before="0"/>
        <w:ind w:left="167" w:right="131" w:firstLine="0"/>
        <w:jc w:val="center"/>
        <w:rPr>
          <w:rFonts w:ascii="Arial" w:hAnsi="Arial"/>
          <w:i/>
          <w:sz w:val="19"/>
        </w:rPr>
      </w:pPr>
      <w:r>
        <w:rPr/>
        <w:pict>
          <v:shape style="position:absolute;margin-left:151.740005pt;margin-top:6.326107pt;width:4.7pt;height:4pt;mso-position-horizontal-relative:page;mso-position-vertical-relative:paragraph;z-index:-715600" type="#_x0000_t202" filled="false" stroked="false">
            <v:textbox inset="0,0,0,0">
              <w:txbxContent>
                <w:p>
                  <w:pPr>
                    <w:spacing w:line="80" w:lineRule="exact" w:before="0"/>
                    <w:ind w:left="0" w:right="-20" w:firstLine="0"/>
                    <w:jc w:val="left"/>
                    <w:rPr>
                      <w:rFonts w:ascii="Arial"/>
                      <w:i/>
                      <w:sz w:val="8"/>
                    </w:rPr>
                  </w:pPr>
                  <w:r>
                    <w:rPr>
                      <w:rFonts w:ascii="Arial"/>
                      <w:i/>
                      <w:w w:val="105"/>
                      <w:sz w:val="8"/>
                    </w:rPr>
                    <w:t>00</w:t>
                  </w:r>
                </w:p>
              </w:txbxContent>
            </v:textbox>
            <w10:wrap type="none"/>
          </v:shape>
        </w:pict>
      </w:r>
      <w:r>
        <w:rPr>
          <w:i/>
          <w:w w:val="59"/>
          <w:position w:val="1"/>
          <w:sz w:val="22"/>
        </w:rPr>
        <w:t>llitr</w:t>
      </w:r>
      <w:r>
        <w:rPr>
          <w:i/>
          <w:spacing w:val="-26"/>
          <w:position w:val="1"/>
          <w:sz w:val="22"/>
        </w:rPr>
        <w:t> </w:t>
      </w:r>
      <w:r>
        <w:rPr>
          <w:i/>
          <w:w w:val="63"/>
          <w:position w:val="1"/>
          <w:sz w:val="22"/>
        </w:rPr>
        <w:t>z</w:t>
      </w:r>
      <w:r>
        <w:rPr>
          <w:i/>
          <w:position w:val="1"/>
          <w:sz w:val="22"/>
        </w:rPr>
        <w:t> </w:t>
      </w:r>
      <w:r>
        <w:rPr>
          <w:i/>
          <w:spacing w:val="-18"/>
          <w:position w:val="1"/>
          <w:sz w:val="22"/>
        </w:rPr>
        <w:t> </w:t>
      </w:r>
      <w:r>
        <w:rPr>
          <w:w w:val="100"/>
          <w:position w:val="1"/>
          <w:sz w:val="24"/>
        </w:rPr>
        <w:t>=</w:t>
      </w:r>
      <w:r>
        <w:rPr>
          <w:position w:val="1"/>
          <w:sz w:val="24"/>
        </w:rPr>
        <w:t> </w:t>
      </w:r>
      <w:r>
        <w:rPr>
          <w:spacing w:val="-30"/>
          <w:position w:val="1"/>
          <w:sz w:val="24"/>
        </w:rPr>
        <w:t> </w:t>
      </w:r>
      <w:r>
        <w:rPr>
          <w:rFonts w:ascii="Arial" w:hAnsi="Arial"/>
          <w:i/>
          <w:w w:val="107"/>
          <w:position w:val="1"/>
          <w:sz w:val="58"/>
        </w:rPr>
        <w:t>l</w:t>
      </w:r>
      <w:r>
        <w:rPr>
          <w:rFonts w:ascii="Arial" w:hAnsi="Arial"/>
          <w:i/>
          <w:spacing w:val="77"/>
          <w:position w:val="1"/>
          <w:sz w:val="58"/>
        </w:rPr>
        <w:t> </w:t>
      </w:r>
      <w:r>
        <w:rPr>
          <w:rFonts w:ascii="Arial" w:hAnsi="Arial"/>
          <w:i/>
          <w:spacing w:val="36"/>
          <w:w w:val="102"/>
          <w:position w:val="1"/>
          <w:sz w:val="58"/>
        </w:rPr>
        <w:t>l</w:t>
      </w:r>
      <w:r>
        <w:rPr>
          <w:rFonts w:ascii="Arial" w:hAnsi="Arial"/>
          <w:i/>
          <w:w w:val="44"/>
          <w:position w:val="1"/>
          <w:sz w:val="58"/>
        </w:rPr>
        <w:t>'</w:t>
      </w:r>
      <w:r>
        <w:rPr>
          <w:rFonts w:ascii="Arial" w:hAnsi="Arial"/>
          <w:i/>
          <w:spacing w:val="-103"/>
          <w:position w:val="1"/>
          <w:sz w:val="58"/>
        </w:rPr>
        <w:t> </w:t>
      </w:r>
      <w:r>
        <w:rPr>
          <w:i/>
          <w:w w:val="90"/>
          <w:position w:val="1"/>
          <w:sz w:val="21"/>
        </w:rPr>
        <w:t>v'</w:t>
      </w:r>
      <w:r>
        <w:rPr>
          <w:i/>
          <w:position w:val="1"/>
          <w:sz w:val="21"/>
        </w:rPr>
        <w:t> </w:t>
      </w:r>
      <w:r>
        <w:rPr>
          <w:i/>
          <w:spacing w:val="-22"/>
          <w:position w:val="1"/>
          <w:sz w:val="21"/>
        </w:rPr>
        <w:t> </w:t>
      </w:r>
      <w:r>
        <w:rPr>
          <w:i/>
          <w:w w:val="88"/>
          <w:position w:val="1"/>
          <w:sz w:val="20"/>
        </w:rPr>
        <w:t>tPz</w:t>
      </w:r>
      <w:r>
        <w:rPr>
          <w:i/>
          <w:spacing w:val="7"/>
          <w:position w:val="1"/>
          <w:sz w:val="20"/>
        </w:rPr>
        <w:t> </w:t>
      </w:r>
      <w:r>
        <w:rPr>
          <w:i/>
          <w:spacing w:val="-28"/>
          <w:w w:val="149"/>
          <w:position w:val="1"/>
          <w:sz w:val="20"/>
        </w:rPr>
        <w:t>,</w:t>
      </w:r>
      <w:r>
        <w:rPr>
          <w:i/>
          <w:w w:val="81"/>
          <w:position w:val="1"/>
          <w:sz w:val="20"/>
        </w:rPr>
        <w:t>P</w:t>
      </w:r>
      <w:r>
        <w:rPr>
          <w:i/>
          <w:spacing w:val="-35"/>
          <w:position w:val="1"/>
          <w:sz w:val="20"/>
        </w:rPr>
        <w:t> </w:t>
      </w:r>
      <w:r>
        <w:rPr>
          <w:rFonts w:ascii="Arial" w:hAnsi="Arial"/>
          <w:i/>
          <w:w w:val="63"/>
          <w:sz w:val="11"/>
        </w:rPr>
        <w:t>1</w:t>
      </w:r>
      <w:r>
        <w:rPr>
          <w:rFonts w:ascii="Arial" w:hAnsi="Arial"/>
          <w:i/>
          <w:spacing w:val="-7"/>
          <w:w w:val="63"/>
          <w:sz w:val="11"/>
        </w:rPr>
        <w:t>1</w:t>
      </w:r>
      <w:r>
        <w:rPr>
          <w:rFonts w:ascii="Arial" w:hAnsi="Arial"/>
          <w:i/>
          <w:w w:val="69"/>
          <w:position w:val="1"/>
          <w:sz w:val="19"/>
        </w:rPr>
        <w:t>J.'fl+•</w:t>
      </w:r>
      <w:r>
        <w:rPr>
          <w:rFonts w:ascii="Arial" w:hAnsi="Arial"/>
          <w:i/>
          <w:spacing w:val="-2"/>
          <w:position w:val="1"/>
          <w:sz w:val="19"/>
        </w:rPr>
        <w:t> </w:t>
      </w:r>
      <w:r>
        <w:rPr>
          <w:rFonts w:ascii="Arial" w:hAnsi="Arial"/>
          <w:i/>
          <w:w w:val="88"/>
          <w:position w:val="1"/>
          <w:sz w:val="19"/>
        </w:rPr>
        <w:t>ds</w:t>
      </w:r>
      <w:r>
        <w:rPr>
          <w:rFonts w:ascii="Arial" w:hAnsi="Arial"/>
          <w:i/>
          <w:spacing w:val="-1"/>
          <w:position w:val="1"/>
          <w:sz w:val="19"/>
        </w:rPr>
        <w:t> </w:t>
      </w:r>
      <w:r>
        <w:rPr>
          <w:rFonts w:ascii="Arial" w:hAnsi="Arial"/>
          <w:i/>
          <w:w w:val="104"/>
          <w:position w:val="1"/>
          <w:sz w:val="19"/>
        </w:rPr>
        <w:t>dt.</w:t>
      </w:r>
    </w:p>
    <w:p>
      <w:pPr>
        <w:spacing w:before="130"/>
        <w:ind w:left="101" w:right="0" w:firstLine="0"/>
        <w:jc w:val="left"/>
        <w:rPr>
          <w:sz w:val="21"/>
        </w:rPr>
      </w:pPr>
      <w:r>
        <w:rPr>
          <w:sz w:val="21"/>
        </w:rPr>
        <w:t>Then,  inverting the order of  integration,</w:t>
      </w:r>
    </w:p>
    <w:p>
      <w:pPr>
        <w:spacing w:before="124"/>
        <w:ind w:left="149" w:right="131" w:firstLine="0"/>
        <w:jc w:val="center"/>
        <w:rPr>
          <w:rFonts w:ascii="Arial" w:hAnsi="Arial"/>
          <w:i/>
          <w:sz w:val="19"/>
        </w:rPr>
      </w:pPr>
      <w:r>
        <w:rPr>
          <w:w w:val="80"/>
          <w:sz w:val="17"/>
        </w:rPr>
        <w:t>llit1 z </w:t>
      </w:r>
      <w:r>
        <w:rPr>
          <w:w w:val="80"/>
          <w:sz w:val="24"/>
        </w:rPr>
        <w:t>= </w:t>
      </w:r>
      <w:r>
        <w:rPr>
          <w:w w:val="80"/>
          <w:sz w:val="35"/>
        </w:rPr>
        <w:t>loo </w:t>
      </w:r>
      <w:r>
        <w:rPr>
          <w:w w:val="75"/>
          <w:sz w:val="35"/>
        </w:rPr>
        <w:t>J.oo </w:t>
      </w:r>
      <w:r>
        <w:rPr>
          <w:i/>
          <w:w w:val="80"/>
          <w:sz w:val="21"/>
        </w:rPr>
        <w:t>v' </w:t>
      </w:r>
      <w:r>
        <w:rPr>
          <w:i/>
          <w:w w:val="80"/>
          <w:sz w:val="20"/>
        </w:rPr>
        <w:t>tPz </w:t>
      </w:r>
      <w:r>
        <w:rPr>
          <w:rFonts w:ascii="Arial" w:hAnsi="Arial"/>
          <w:i/>
          <w:w w:val="80"/>
          <w:sz w:val="19"/>
        </w:rPr>
        <w:t>•P11J.'fl+• </w:t>
      </w:r>
      <w:r>
        <w:rPr>
          <w:i/>
          <w:w w:val="80"/>
          <w:sz w:val="21"/>
        </w:rPr>
        <w:t>dt </w:t>
      </w:r>
      <w:r>
        <w:rPr>
          <w:rFonts w:ascii="Arial" w:hAnsi="Arial"/>
          <w:i/>
          <w:w w:val="80"/>
          <w:sz w:val="19"/>
        </w:rPr>
        <w:t>ds</w:t>
      </w:r>
    </w:p>
    <w:p>
      <w:pPr>
        <w:spacing w:before="252"/>
        <w:ind w:left="1980" w:right="0" w:firstLine="0"/>
        <w:jc w:val="left"/>
        <w:rPr>
          <w:i/>
          <w:sz w:val="20"/>
        </w:rPr>
      </w:pPr>
      <w:r>
        <w:rPr>
          <w:w w:val="92"/>
          <w:sz w:val="26"/>
        </w:rPr>
        <w:t>=</w:t>
      </w:r>
      <w:r>
        <w:rPr>
          <w:spacing w:val="29"/>
          <w:sz w:val="26"/>
        </w:rPr>
        <w:t> </w:t>
      </w:r>
      <w:r>
        <w:rPr>
          <w:b/>
          <w:w w:val="66"/>
          <w:sz w:val="30"/>
        </w:rPr>
        <w:t>loo</w:t>
      </w:r>
      <w:r>
        <w:rPr>
          <w:b/>
          <w:spacing w:val="-19"/>
          <w:sz w:val="30"/>
        </w:rPr>
        <w:t> </w:t>
      </w:r>
      <w:r>
        <w:rPr>
          <w:rFonts w:ascii="Arial" w:hAnsi="Arial"/>
          <w:b/>
          <w:i/>
          <w:w w:val="59"/>
          <w:sz w:val="19"/>
        </w:rPr>
        <w:t>•P11J.'fl+•</w:t>
      </w:r>
      <w:r>
        <w:rPr>
          <w:rFonts w:ascii="Arial" w:hAnsi="Arial"/>
          <w:b/>
          <w:i/>
          <w:spacing w:val="-3"/>
          <w:sz w:val="19"/>
        </w:rPr>
        <w:t> </w:t>
      </w:r>
      <w:r>
        <w:rPr>
          <w:rFonts w:ascii="Arial" w:hAnsi="Arial"/>
          <w:b/>
          <w:i/>
          <w:w w:val="88"/>
          <w:sz w:val="19"/>
        </w:rPr>
        <w:t>.</w:t>
      </w:r>
      <w:r>
        <w:rPr>
          <w:rFonts w:ascii="Arial" w:hAnsi="Arial"/>
          <w:b/>
          <w:i/>
          <w:spacing w:val="-32"/>
          <w:sz w:val="19"/>
        </w:rPr>
        <w:t> </w:t>
      </w:r>
      <w:r>
        <w:rPr>
          <w:spacing w:val="-21"/>
          <w:w w:val="201"/>
          <w:sz w:val="17"/>
        </w:rPr>
        <w:t>,</w:t>
      </w:r>
      <w:r>
        <w:rPr>
          <w:spacing w:val="10"/>
          <w:w w:val="38"/>
          <w:sz w:val="17"/>
        </w:rPr>
        <w:t>1</w:t>
      </w:r>
      <w:r>
        <w:rPr>
          <w:w w:val="83"/>
          <w:sz w:val="17"/>
        </w:rPr>
        <w:t>ciz</w:t>
      </w:r>
      <w:r>
        <w:rPr>
          <w:spacing w:val="7"/>
          <w:sz w:val="17"/>
        </w:rPr>
        <w:t> </w:t>
      </w:r>
      <w:r>
        <w:rPr>
          <w:i/>
          <w:w w:val="99"/>
          <w:sz w:val="20"/>
        </w:rPr>
        <w:t>ds</w:t>
      </w:r>
    </w:p>
    <w:p>
      <w:pPr>
        <w:tabs>
          <w:tab w:pos="5220" w:val="left" w:leader="none"/>
        </w:tabs>
        <w:spacing w:before="201"/>
        <w:ind w:left="1976" w:right="0" w:firstLine="0"/>
        <w:jc w:val="left"/>
        <w:rPr>
          <w:sz w:val="19"/>
        </w:rPr>
      </w:pPr>
      <w:r>
        <w:rPr>
          <w:w w:val="85"/>
          <w:sz w:val="23"/>
        </w:rPr>
        <w:t>= </w:t>
      </w:r>
      <w:r>
        <w:rPr>
          <w:b/>
          <w:w w:val="85"/>
          <w:sz w:val="37"/>
        </w:rPr>
        <w:t>loo</w:t>
      </w:r>
      <w:r>
        <w:rPr>
          <w:b/>
          <w:spacing w:val="-60"/>
          <w:w w:val="85"/>
          <w:sz w:val="37"/>
        </w:rPr>
        <w:t> </w:t>
      </w:r>
      <w:r>
        <w:rPr>
          <w:i/>
          <w:w w:val="85"/>
          <w:sz w:val="21"/>
        </w:rPr>
        <w:t>v' </w:t>
      </w:r>
      <w:r>
        <w:rPr>
          <w:rFonts w:ascii="Arial" w:hAnsi="Arial"/>
          <w:i/>
          <w:w w:val="85"/>
          <w:sz w:val="19"/>
        </w:rPr>
        <w:t>•PZ1JJ.'fl+•ªz+•</w:t>
      </w:r>
      <w:r>
        <w:rPr>
          <w:rFonts w:ascii="Arial" w:hAnsi="Arial"/>
          <w:i/>
          <w:spacing w:val="-4"/>
          <w:w w:val="85"/>
          <w:sz w:val="19"/>
        </w:rPr>
        <w:t> </w:t>
      </w:r>
      <w:r>
        <w:rPr>
          <w:i/>
          <w:w w:val="85"/>
          <w:sz w:val="20"/>
        </w:rPr>
        <w:t>ds.</w:t>
        <w:tab/>
      </w:r>
      <w:r>
        <w:rPr>
          <w:position w:val="2"/>
          <w:sz w:val="19"/>
        </w:rPr>
        <w:t>( </w:t>
      </w:r>
      <w:r>
        <w:rPr>
          <w:spacing w:val="17"/>
          <w:position w:val="2"/>
          <w:sz w:val="19"/>
        </w:rPr>
        <w:t> </w:t>
      </w:r>
      <w:r>
        <w:rPr>
          <w:spacing w:val="-8"/>
          <w:position w:val="2"/>
          <w:sz w:val="19"/>
        </w:rPr>
        <w:t>13.5b)</w:t>
      </w:r>
    </w:p>
    <w:p>
      <w:pPr>
        <w:spacing w:line="234" w:lineRule="exact" w:before="193"/>
        <w:ind w:left="104" w:right="0" w:firstLine="0"/>
        <w:jc w:val="left"/>
        <w:rPr>
          <w:sz w:val="21"/>
        </w:rPr>
      </w:pPr>
      <w:r>
        <w:rPr>
          <w:sz w:val="21"/>
        </w:rPr>
        <w:t>In this form, the contingent insurance character of the function is clearly  apparent.</w:t>
      </w:r>
    </w:p>
    <w:p>
      <w:pPr>
        <w:spacing w:line="242" w:lineRule="exact" w:before="4"/>
        <w:ind w:left="104" w:right="107" w:firstLine="190"/>
        <w:jc w:val="both"/>
        <w:rPr>
          <w:sz w:val="21"/>
        </w:rPr>
      </w:pPr>
      <w:r>
        <w:rPr>
          <w:sz w:val="21"/>
        </w:rPr>
        <w:t>The symbol </w:t>
      </w:r>
      <w:r>
        <w:rPr>
          <w:rFonts w:ascii="Arial" w:hAnsi="Arial"/>
          <w:i/>
          <w:sz w:val="26"/>
        </w:rPr>
        <w:t>a </w:t>
      </w:r>
      <w:r>
        <w:rPr>
          <w:sz w:val="21"/>
        </w:rPr>
        <w:t>is used to distinguish a type of reversionary an­ nuity in which the payments are made periodically with the pay­ ment periods measured from the date of death. The annuity which provides payments </w:t>
      </w:r>
      <w:r>
        <w:rPr>
          <w:rFonts w:ascii="Arial" w:hAnsi="Arial"/>
          <w:i/>
          <w:sz w:val="18"/>
        </w:rPr>
        <w:t>m </w:t>
      </w:r>
      <w:r>
        <w:rPr>
          <w:sz w:val="21"/>
        </w:rPr>
        <w:t>times a year to  </w:t>
      </w:r>
      <w:r>
        <w:rPr>
          <w:rFonts w:ascii="Arial" w:hAnsi="Arial"/>
          <w:i/>
          <w:sz w:val="18"/>
        </w:rPr>
        <w:t>(x)  </w:t>
      </w:r>
      <w:r>
        <w:rPr>
          <w:sz w:val="21"/>
        </w:rPr>
        <w:t>with the first payment    of</w:t>
      </w:r>
    </w:p>
    <w:p>
      <w:pPr>
        <w:spacing w:line="240" w:lineRule="exact" w:before="0"/>
        <w:ind w:left="112" w:right="0" w:firstLine="0"/>
        <w:jc w:val="left"/>
        <w:rPr>
          <w:rFonts w:ascii="Arial"/>
          <w:i/>
          <w:sz w:val="19"/>
        </w:rPr>
      </w:pPr>
      <w:r>
        <w:rPr>
          <w:sz w:val="21"/>
        </w:rPr>
        <w:t>1/m due at the end of  1/m years from the moment  of  death of   </w:t>
      </w:r>
      <w:r>
        <w:rPr>
          <w:rFonts w:ascii="Arial"/>
          <w:i/>
          <w:sz w:val="19"/>
        </w:rPr>
        <w:t>(y)</w:t>
      </w:r>
    </w:p>
    <w:p>
      <w:pPr>
        <w:spacing w:line="240" w:lineRule="exact" w:before="0"/>
        <w:ind w:left="104" w:right="0" w:firstLine="0"/>
        <w:jc w:val="left"/>
        <w:rPr>
          <w:sz w:val="21"/>
        </w:rPr>
      </w:pPr>
      <w:r>
        <w:rPr>
          <w:w w:val="105"/>
          <w:sz w:val="21"/>
        </w:rPr>
        <w:t>has the present value:</w:t>
      </w:r>
    </w:p>
    <w:p>
      <w:pPr>
        <w:tabs>
          <w:tab w:pos="2160" w:val="left" w:leader="none"/>
          <w:tab w:pos="3348" w:val="left" w:leader="none"/>
        </w:tabs>
        <w:spacing w:line="181" w:lineRule="exact" w:before="56"/>
        <w:ind w:left="1451" w:right="0" w:firstLine="0"/>
        <w:jc w:val="left"/>
        <w:rPr>
          <w:i/>
          <w:sz w:val="21"/>
        </w:rPr>
      </w:pPr>
      <w:r>
        <w:rPr>
          <w:rFonts w:ascii="Arial" w:hAnsi="Arial"/>
          <w:b/>
          <w:w w:val="150"/>
          <w:sz w:val="11"/>
        </w:rPr>
        <w:t>A(•)</w:t>
        <w:tab/>
      </w:r>
      <w:r>
        <w:rPr>
          <w:b/>
          <w:sz w:val="30"/>
        </w:rPr>
        <w:t>f</w:t>
      </w:r>
      <w:r>
        <w:rPr>
          <w:b/>
          <w:spacing w:val="-54"/>
          <w:sz w:val="30"/>
        </w:rPr>
        <w:t> </w:t>
      </w:r>
      <w:r>
        <w:rPr>
          <w:b/>
          <w:w w:val="65"/>
          <w:sz w:val="30"/>
        </w:rPr>
        <w:t>oo  </w:t>
      </w:r>
      <w:r>
        <w:rPr>
          <w:b/>
          <w:i/>
          <w:sz w:val="13"/>
        </w:rPr>
        <w:t>t</w:t>
        <w:tab/>
      </w:r>
      <w:r>
        <w:rPr>
          <w:spacing w:val="-4"/>
          <w:w w:val="150"/>
          <w:sz w:val="13"/>
        </w:rPr>
        <w:t>(•)</w:t>
      </w:r>
      <w:r>
        <w:rPr>
          <w:spacing w:val="18"/>
          <w:w w:val="150"/>
          <w:sz w:val="13"/>
        </w:rPr>
        <w:t> </w:t>
      </w:r>
      <w:r>
        <w:rPr>
          <w:i/>
          <w:sz w:val="21"/>
        </w:rPr>
        <w:t>dt</w:t>
      </w:r>
    </w:p>
    <w:p>
      <w:pPr>
        <w:spacing w:after="0" w:line="181" w:lineRule="exact"/>
        <w:jc w:val="left"/>
        <w:rPr>
          <w:sz w:val="21"/>
        </w:rPr>
        <w:sectPr>
          <w:type w:val="continuous"/>
          <w:pgSz w:w="7200" w:h="11340"/>
          <w:pgMar w:top="1100" w:bottom="0" w:left="680" w:right="560"/>
        </w:sectPr>
      </w:pPr>
    </w:p>
    <w:p>
      <w:pPr>
        <w:spacing w:line="255" w:lineRule="exact" w:before="0"/>
        <w:ind w:left="0" w:right="68" w:firstLine="0"/>
        <w:jc w:val="right"/>
        <w:rPr>
          <w:sz w:val="28"/>
        </w:rPr>
      </w:pPr>
      <w:r>
        <w:rPr>
          <w:rFonts w:ascii="Arial"/>
          <w:w w:val="115"/>
          <w:sz w:val="12"/>
        </w:rPr>
        <w:t>""llls   </w:t>
      </w:r>
      <w:r>
        <w:rPr>
          <w:w w:val="115"/>
          <w:sz w:val="23"/>
        </w:rPr>
        <w:t>= </w:t>
      </w:r>
      <w:r>
        <w:rPr>
          <w:w w:val="105"/>
          <w:sz w:val="28"/>
        </w:rPr>
        <w:t>J</w:t>
      </w:r>
    </w:p>
    <w:p>
      <w:pPr>
        <w:spacing w:line="107" w:lineRule="exact" w:before="0"/>
        <w:ind w:left="0" w:right="0" w:firstLine="0"/>
        <w:jc w:val="right"/>
        <w:rPr>
          <w:rFonts w:ascii="Arial"/>
          <w:sz w:val="12"/>
        </w:rPr>
      </w:pPr>
      <w:r>
        <w:rPr>
          <w:rFonts w:ascii="Arial"/>
          <w:w w:val="94"/>
          <w:sz w:val="12"/>
        </w:rPr>
        <w:t>0</w:t>
      </w:r>
    </w:p>
    <w:p>
      <w:pPr>
        <w:spacing w:before="66"/>
        <w:ind w:left="112" w:right="0" w:firstLine="0"/>
        <w:jc w:val="left"/>
        <w:rPr>
          <w:i/>
          <w:sz w:val="17"/>
        </w:rPr>
      </w:pPr>
      <w:r>
        <w:rPr/>
        <w:br w:type="column"/>
      </w:r>
      <w:r>
        <w:rPr>
          <w:rFonts w:ascii="Arial"/>
          <w:i/>
          <w:w w:val="85"/>
          <w:sz w:val="14"/>
        </w:rPr>
        <w:t>V  </w:t>
      </w:r>
      <w:r>
        <w:rPr>
          <w:i/>
          <w:w w:val="85"/>
          <w:sz w:val="17"/>
        </w:rPr>
        <w:t>tP:it1/J1i+1ar+ ,</w:t>
      </w:r>
    </w:p>
    <w:p>
      <w:pPr>
        <w:spacing w:after="0"/>
        <w:jc w:val="left"/>
        <w:rPr>
          <w:sz w:val="17"/>
        </w:rPr>
        <w:sectPr>
          <w:type w:val="continuous"/>
          <w:pgSz w:w="7200" w:h="11340"/>
          <w:pgMar w:top="1100" w:bottom="0" w:left="680" w:right="560"/>
          <w:cols w:num="2" w:equalWidth="0">
            <w:col w:w="2264" w:space="40"/>
            <w:col w:w="3656"/>
          </w:cols>
        </w:sectPr>
      </w:pPr>
    </w:p>
    <w:p>
      <w:pPr>
        <w:tabs>
          <w:tab w:pos="3863" w:val="left" w:leader="none"/>
        </w:tabs>
        <w:spacing w:line="572" w:lineRule="exact" w:before="0"/>
        <w:ind w:left="1890" w:right="0" w:firstLine="0"/>
        <w:jc w:val="left"/>
        <w:rPr>
          <w:i/>
          <w:sz w:val="21"/>
        </w:rPr>
      </w:pPr>
      <w:r>
        <w:rPr>
          <w:w w:val="90"/>
          <w:sz w:val="20"/>
        </w:rPr>
        <w:t>,o¡</w:t>
      </w:r>
      <w:r>
        <w:rPr>
          <w:spacing w:val="-5"/>
          <w:w w:val="90"/>
          <w:sz w:val="20"/>
        </w:rPr>
        <w:t> </w:t>
      </w:r>
      <w:r>
        <w:rPr>
          <w:i/>
          <w:w w:val="280"/>
          <w:sz w:val="20"/>
        </w:rPr>
        <w:t>{</w:t>
      </w:r>
      <w:r>
        <w:rPr>
          <w:i/>
          <w:spacing w:val="-105"/>
          <w:w w:val="280"/>
          <w:sz w:val="20"/>
        </w:rPr>
        <w:t> </w:t>
      </w:r>
      <w:r>
        <w:rPr>
          <w:w w:val="140"/>
          <w:sz w:val="20"/>
        </w:rPr>
        <w:t>•'</w:t>
      </w:r>
      <w:r>
        <w:rPr>
          <w:spacing w:val="-50"/>
          <w:w w:val="140"/>
          <w:sz w:val="20"/>
        </w:rPr>
        <w:t> </w:t>
      </w:r>
      <w:r>
        <w:rPr>
          <w:rFonts w:ascii="Arial" w:hAnsi="Arial"/>
          <w:i/>
          <w:spacing w:val="-8"/>
          <w:w w:val="90"/>
          <w:sz w:val="34"/>
        </w:rPr>
        <w:t>,p,.,,.+,</w:t>
      </w:r>
      <w:r>
        <w:rPr>
          <w:rFonts w:ascii="Arial" w:hAnsi="Arial"/>
          <w:i/>
          <w:spacing w:val="-67"/>
          <w:w w:val="90"/>
          <w:sz w:val="34"/>
        </w:rPr>
        <w:t> </w:t>
      </w:r>
      <w:r>
        <w:rPr>
          <w:rFonts w:ascii="Arial" w:hAnsi="Arial"/>
          <w:w w:val="140"/>
          <w:sz w:val="34"/>
        </w:rPr>
        <w:t>(</w:t>
        <w:tab/>
        <w:t>-</w:t>
      </w:r>
      <w:r>
        <w:rPr>
          <w:rFonts w:ascii="Arial" w:hAnsi="Arial"/>
          <w:spacing w:val="-103"/>
          <w:w w:val="140"/>
          <w:sz w:val="34"/>
        </w:rPr>
        <w:t> </w:t>
      </w:r>
      <w:r>
        <w:rPr>
          <w:spacing w:val="-3"/>
          <w:w w:val="90"/>
          <w:sz w:val="50"/>
        </w:rPr>
        <w:t>2) </w:t>
      </w:r>
      <w:r>
        <w:rPr>
          <w:i/>
          <w:w w:val="90"/>
          <w:sz w:val="21"/>
        </w:rPr>
        <w:t>di</w:t>
      </w:r>
    </w:p>
    <w:p>
      <w:pPr>
        <w:spacing w:before="135"/>
        <w:ind w:left="3751" w:right="0" w:firstLine="0"/>
        <w:jc w:val="left"/>
        <w:rPr>
          <w:sz w:val="21"/>
        </w:rPr>
      </w:pPr>
      <w:r>
        <w:rPr>
          <w:sz w:val="21"/>
        </w:rPr>
        <w:t>using  (2.19)  and  (2.27),</w:t>
      </w:r>
    </w:p>
    <w:p>
      <w:pPr>
        <w:spacing w:after="0"/>
        <w:jc w:val="left"/>
        <w:rPr>
          <w:sz w:val="21"/>
        </w:rPr>
        <w:sectPr>
          <w:type w:val="continuous"/>
          <w:pgSz w:w="7200" w:h="11340"/>
          <w:pgMar w:top="1100" w:bottom="0" w:left="680" w:right="560"/>
        </w:sectPr>
      </w:pPr>
    </w:p>
    <w:p>
      <w:pPr>
        <w:pStyle w:val="BodyText"/>
        <w:spacing w:before="5"/>
        <w:rPr>
          <w:sz w:val="19"/>
        </w:rPr>
      </w:pPr>
    </w:p>
    <w:p>
      <w:pPr>
        <w:tabs>
          <w:tab w:pos="417" w:val="left" w:leader="none"/>
        </w:tabs>
        <w:spacing w:before="0"/>
        <w:ind w:left="0" w:right="0" w:firstLine="0"/>
        <w:jc w:val="right"/>
        <w:rPr>
          <w:rFonts w:ascii="Arial"/>
          <w:sz w:val="15"/>
        </w:rPr>
      </w:pPr>
      <w:r>
        <w:rPr/>
        <w:pict>
          <v:shape style="position:absolute;margin-left:141.839996pt;margin-top:-2.825949pt;width:4pt;height:10.5pt;mso-position-horizontal-relative:page;mso-position-vertical-relative:paragraph;z-index:-715528" type="#_x0000_t202" filled="false" stroked="false">
            <v:textbox inset="0,0,0,0">
              <w:txbxContent>
                <w:p>
                  <w:pPr>
                    <w:spacing w:line="210" w:lineRule="exact" w:before="0"/>
                    <w:ind w:left="0" w:right="0" w:firstLine="0"/>
                    <w:jc w:val="left"/>
                    <w:rPr>
                      <w:sz w:val="21"/>
                    </w:rPr>
                  </w:pPr>
                  <w:r>
                    <w:rPr>
                      <w:w w:val="112"/>
                      <w:sz w:val="21"/>
                    </w:rPr>
                    <w:t>-</w:t>
                  </w:r>
                </w:p>
              </w:txbxContent>
            </v:textbox>
            <w10:wrap type="none"/>
          </v:shape>
        </w:pict>
      </w:r>
      <w:r>
        <w:rPr>
          <w:w w:val="115"/>
          <w:sz w:val="24"/>
        </w:rPr>
        <w:t>=</w:t>
        <w:tab/>
      </w:r>
      <w:r>
        <w:rPr>
          <w:rFonts w:ascii="Arial"/>
          <w:b/>
          <w:w w:val="115"/>
          <w:sz w:val="15"/>
        </w:rPr>
        <w:t>Is</w:t>
      </w:r>
      <w:r>
        <w:rPr>
          <w:rFonts w:ascii="Arial"/>
          <w:b/>
          <w:spacing w:val="20"/>
          <w:w w:val="115"/>
          <w:sz w:val="15"/>
        </w:rPr>
        <w:t> </w:t>
      </w:r>
      <w:r>
        <w:rPr>
          <w:rFonts w:ascii="Arial"/>
          <w:w w:val="320"/>
          <w:sz w:val="15"/>
        </w:rPr>
        <w:t>-</w:t>
      </w:r>
    </w:p>
    <w:p>
      <w:pPr>
        <w:spacing w:line="181" w:lineRule="exact" w:before="140"/>
        <w:ind w:left="105" w:right="0" w:firstLine="0"/>
        <w:jc w:val="left"/>
        <w:rPr>
          <w:sz w:val="13"/>
        </w:rPr>
      </w:pPr>
      <w:r>
        <w:rPr/>
        <w:br w:type="column"/>
      </w:r>
      <w:r>
        <w:rPr>
          <w:w w:val="135"/>
          <w:sz w:val="21"/>
        </w:rPr>
        <w:t>1  - </w:t>
      </w:r>
      <w:r>
        <w:rPr>
          <w:w w:val="135"/>
          <w:sz w:val="13"/>
        </w:rPr>
        <w:t>1</w:t>
      </w:r>
    </w:p>
    <w:p>
      <w:pPr>
        <w:spacing w:line="106" w:lineRule="exact" w:before="0"/>
        <w:ind w:left="23" w:right="0" w:firstLine="0"/>
        <w:jc w:val="left"/>
        <w:rPr>
          <w:b/>
          <w:i/>
          <w:sz w:val="20"/>
        </w:rPr>
      </w:pPr>
      <w:r>
        <w:rPr>
          <w:b/>
          <w:i/>
          <w:w w:val="260"/>
          <w:sz w:val="20"/>
        </w:rPr>
        <w:t>-</w:t>
      </w:r>
      <w:r>
        <w:rPr>
          <w:b/>
          <w:i/>
          <w:spacing w:val="-110"/>
          <w:w w:val="260"/>
          <w:sz w:val="20"/>
        </w:rPr>
        <w:t> </w:t>
      </w:r>
      <w:r>
        <w:rPr>
          <w:b/>
          <w:i/>
          <w:w w:val="90"/>
          <w:sz w:val="20"/>
        </w:rPr>
        <w:t>ASIJ</w:t>
      </w:r>
    </w:p>
    <w:p>
      <w:pPr>
        <w:spacing w:line="178" w:lineRule="exact" w:before="0"/>
        <w:ind w:left="15" w:right="0" w:firstLine="0"/>
        <w:jc w:val="left"/>
        <w:rPr>
          <w:sz w:val="21"/>
        </w:rPr>
      </w:pPr>
      <w:r>
        <w:rPr>
          <w:sz w:val="21"/>
        </w:rPr>
        <w:t>2m</w:t>
      </w:r>
    </w:p>
    <w:p>
      <w:pPr>
        <w:spacing w:after="0" w:line="178" w:lineRule="exact"/>
        <w:jc w:val="left"/>
        <w:rPr>
          <w:sz w:val="21"/>
        </w:rPr>
        <w:sectPr>
          <w:type w:val="continuous"/>
          <w:pgSz w:w="7200" w:h="11340"/>
          <w:pgMar w:top="1100" w:bottom="0" w:left="680" w:right="560"/>
          <w:cols w:num="2" w:equalWidth="0">
            <w:col w:w="2677" w:space="40"/>
            <w:col w:w="3243"/>
          </w:cols>
        </w:sectPr>
      </w:pPr>
    </w:p>
    <w:p>
      <w:pPr>
        <w:spacing w:before="115"/>
        <w:ind w:left="1883" w:right="-16" w:firstLine="0"/>
        <w:jc w:val="left"/>
        <w:rPr>
          <w:rFonts w:ascii="Arial" w:hAnsi="Arial"/>
          <w:i/>
          <w:sz w:val="25"/>
        </w:rPr>
      </w:pPr>
      <w:r>
        <w:rPr>
          <w:spacing w:val="-25"/>
          <w:w w:val="85"/>
          <w:position w:val="8"/>
          <w:sz w:val="29"/>
        </w:rPr>
        <w:t>:</w:t>
      </w:r>
      <w:r>
        <w:rPr>
          <w:spacing w:val="-25"/>
          <w:w w:val="85"/>
          <w:sz w:val="21"/>
        </w:rPr>
        <w:t>-</w:t>
      </w:r>
      <w:r>
        <w:rPr>
          <w:spacing w:val="-25"/>
          <w:w w:val="85"/>
          <w:position w:val="8"/>
          <w:sz w:val="29"/>
        </w:rPr>
        <w:t>.</w:t>
      </w:r>
      <w:r>
        <w:rPr>
          <w:spacing w:val="-25"/>
          <w:w w:val="85"/>
          <w:sz w:val="21"/>
        </w:rPr>
        <w:t>-</w:t>
      </w:r>
      <w:r>
        <w:rPr>
          <w:spacing w:val="-25"/>
          <w:w w:val="85"/>
          <w:position w:val="8"/>
          <w:sz w:val="29"/>
        </w:rPr>
        <w:t>-</w:t>
      </w:r>
      <w:r>
        <w:rPr>
          <w:spacing w:val="-25"/>
          <w:w w:val="85"/>
          <w:sz w:val="21"/>
        </w:rPr>
        <w:t>; </w:t>
      </w:r>
      <w:r>
        <w:rPr>
          <w:i/>
          <w:sz w:val="21"/>
        </w:rPr>
        <w:t>az </w:t>
      </w:r>
      <w:r>
        <w:rPr>
          <w:w w:val="125"/>
          <w:position w:val="8"/>
          <w:sz w:val="29"/>
        </w:rPr>
        <w:t>-</w:t>
      </w:r>
      <w:r>
        <w:rPr>
          <w:spacing w:val="-86"/>
          <w:w w:val="125"/>
          <w:position w:val="8"/>
          <w:sz w:val="29"/>
        </w:rPr>
        <w:t> </w:t>
      </w:r>
      <w:r>
        <w:rPr>
          <w:rFonts w:ascii="Arial" w:hAnsi="Arial"/>
          <w:i/>
          <w:w w:val="85"/>
          <w:sz w:val="25"/>
        </w:rPr>
        <w:t>ªZI/</w:t>
      </w:r>
    </w:p>
    <w:p>
      <w:pPr>
        <w:pStyle w:val="BodyText"/>
        <w:rPr>
          <w:rFonts w:ascii="Arial"/>
          <w:i/>
          <w:sz w:val="14"/>
        </w:rPr>
      </w:pPr>
      <w:r>
        <w:rPr/>
        <w:br w:type="column"/>
      </w:r>
      <w:r>
        <w:rPr>
          <w:rFonts w:ascii="Arial"/>
          <w:i/>
          <w:sz w:val="14"/>
        </w:rPr>
      </w:r>
    </w:p>
    <w:p>
      <w:pPr>
        <w:pStyle w:val="BodyText"/>
        <w:spacing w:before="3"/>
        <w:rPr>
          <w:rFonts w:ascii="Arial"/>
          <w:i/>
          <w:sz w:val="14"/>
        </w:rPr>
      </w:pPr>
    </w:p>
    <w:p>
      <w:pPr>
        <w:spacing w:before="0"/>
        <w:ind w:left="267" w:right="0" w:firstLine="0"/>
        <w:jc w:val="left"/>
        <w:rPr>
          <w:rFonts w:ascii="Arial"/>
          <w:sz w:val="15"/>
        </w:rPr>
      </w:pPr>
      <w:r>
        <w:rPr/>
        <w:pict>
          <v:shape style="position:absolute;margin-left:180.539993pt;margin-top:-8.772856pt;width:20.9pt;height:14.5pt;mso-position-horizontal-relative:page;mso-position-vertical-relative:paragraph;z-index:-715576" type="#_x0000_t202" filled="false" stroked="false">
            <v:textbox inset="0,0,0,0">
              <w:txbxContent>
                <w:p>
                  <w:pPr>
                    <w:spacing w:line="290" w:lineRule="exact" w:before="0"/>
                    <w:ind w:left="0" w:right="-4" w:firstLine="0"/>
                    <w:jc w:val="left"/>
                    <w:rPr>
                      <w:sz w:val="24"/>
                    </w:rPr>
                  </w:pPr>
                  <w:r>
                    <w:rPr>
                      <w:w w:val="105"/>
                      <w:sz w:val="29"/>
                    </w:rPr>
                    <w:t>+ </w:t>
                  </w:r>
                  <w:r>
                    <w:rPr>
                      <w:w w:val="105"/>
                      <w:sz w:val="24"/>
                    </w:rPr>
                    <w:t>lf</w:t>
                  </w:r>
                </w:p>
              </w:txbxContent>
            </v:textbox>
            <w10:wrap type="none"/>
          </v:shape>
        </w:pict>
      </w:r>
      <w:r>
        <w:rPr>
          <w:rFonts w:ascii="Arial"/>
          <w:i/>
          <w:w w:val="130"/>
          <w:sz w:val="12"/>
        </w:rPr>
        <w:t>7 </w:t>
      </w:r>
      <w:r>
        <w:rPr>
          <w:rFonts w:ascii="Arial"/>
          <w:w w:val="105"/>
          <w:sz w:val="15"/>
        </w:rPr>
        <w:t>2/Jf/</w:t>
      </w:r>
    </w:p>
    <w:p>
      <w:pPr>
        <w:tabs>
          <w:tab w:pos="1640" w:val="left" w:leader="none"/>
        </w:tabs>
        <w:spacing w:before="155"/>
        <w:ind w:left="74" w:right="0" w:firstLine="0"/>
        <w:jc w:val="left"/>
        <w:rPr>
          <w:sz w:val="19"/>
        </w:rPr>
      </w:pPr>
      <w:r>
        <w:rPr/>
        <w:br w:type="column"/>
      </w:r>
      <w:r>
        <w:rPr>
          <w:w w:val="234"/>
          <w:position w:val="4"/>
          <w:sz w:val="24"/>
        </w:rPr>
        <w:t>-</w:t>
      </w:r>
      <w:r>
        <w:rPr>
          <w:position w:val="4"/>
          <w:sz w:val="24"/>
        </w:rPr>
        <w:t> </w:t>
      </w:r>
      <w:r>
        <w:rPr>
          <w:spacing w:val="-26"/>
          <w:w w:val="93"/>
          <w:position w:val="-4"/>
          <w:sz w:val="21"/>
        </w:rPr>
        <w:t>2</w:t>
      </w:r>
      <w:r>
        <w:rPr>
          <w:spacing w:val="-140"/>
          <w:w w:val="122"/>
          <w:position w:val="4"/>
          <w:sz w:val="20"/>
        </w:rPr>
        <w:t>1</w:t>
      </w:r>
      <w:r>
        <w:rPr>
          <w:w w:val="92"/>
          <w:position w:val="-4"/>
          <w:sz w:val="21"/>
        </w:rPr>
        <w:t>m</w:t>
      </w:r>
      <w:r>
        <w:rPr>
          <w:spacing w:val="22"/>
          <w:position w:val="-4"/>
          <w:sz w:val="21"/>
        </w:rPr>
        <w:t> </w:t>
      </w:r>
      <w:r>
        <w:rPr>
          <w:rFonts w:ascii="Arial" w:hAnsi="Arial"/>
          <w:i/>
          <w:spacing w:val="-69"/>
          <w:w w:val="99"/>
          <w:position w:val="4"/>
          <w:sz w:val="20"/>
        </w:rPr>
        <w:t>A</w:t>
      </w:r>
      <w:r>
        <w:rPr>
          <w:rFonts w:ascii="Arial" w:hAnsi="Arial"/>
          <w:i/>
          <w:w w:val="122"/>
          <w:position w:val="4"/>
          <w:sz w:val="20"/>
        </w:rPr>
        <w:t>-</w:t>
      </w:r>
      <w:r>
        <w:rPr>
          <w:rFonts w:ascii="Arial" w:hAnsi="Arial"/>
          <w:i/>
          <w:spacing w:val="24"/>
          <w:position w:val="4"/>
          <w:sz w:val="20"/>
        </w:rPr>
        <w:t> </w:t>
      </w:r>
      <w:r>
        <w:rPr>
          <w:w w:val="158"/>
          <w:position w:val="4"/>
          <w:sz w:val="13"/>
        </w:rPr>
        <w:t>i</w:t>
      </w:r>
      <w:r>
        <w:rPr>
          <w:position w:val="4"/>
          <w:sz w:val="13"/>
        </w:rPr>
        <w:t> </w:t>
      </w:r>
      <w:r>
        <w:rPr>
          <w:spacing w:val="-4"/>
          <w:position w:val="4"/>
          <w:sz w:val="13"/>
        </w:rPr>
        <w:t> </w:t>
      </w:r>
      <w:r>
        <w:rPr>
          <w:rFonts w:ascii="Arial" w:hAnsi="Arial"/>
          <w:w w:val="116"/>
          <w:position w:val="-4"/>
          <w:sz w:val="11"/>
        </w:rPr>
        <w:t>•</w:t>
      </w:r>
      <w:r>
        <w:rPr>
          <w:rFonts w:ascii="Arial" w:hAnsi="Arial"/>
          <w:position w:val="-4"/>
          <w:sz w:val="11"/>
        </w:rPr>
        <w:tab/>
      </w:r>
      <w:r>
        <w:rPr>
          <w:w w:val="109"/>
          <w:sz w:val="19"/>
        </w:rPr>
        <w:t>(</w:t>
      </w:r>
      <w:r>
        <w:rPr>
          <w:spacing w:val="-17"/>
          <w:sz w:val="19"/>
        </w:rPr>
        <w:t> </w:t>
      </w:r>
      <w:r>
        <w:rPr>
          <w:spacing w:val="-39"/>
          <w:w w:val="128"/>
          <w:sz w:val="19"/>
        </w:rPr>
        <w:t>1</w:t>
      </w:r>
      <w:r>
        <w:rPr>
          <w:spacing w:val="-17"/>
          <w:w w:val="124"/>
          <w:sz w:val="19"/>
        </w:rPr>
        <w:t>3</w:t>
      </w:r>
      <w:r>
        <w:rPr>
          <w:spacing w:val="-30"/>
          <w:w w:val="138"/>
          <w:sz w:val="19"/>
        </w:rPr>
        <w:t>.</w:t>
      </w:r>
      <w:r>
        <w:rPr>
          <w:w w:val="124"/>
          <w:sz w:val="19"/>
        </w:rPr>
        <w:t>6)</w:t>
      </w:r>
    </w:p>
    <w:p>
      <w:pPr>
        <w:spacing w:after="0"/>
        <w:jc w:val="left"/>
        <w:rPr>
          <w:sz w:val="19"/>
        </w:rPr>
        <w:sectPr>
          <w:type w:val="continuous"/>
          <w:pgSz w:w="7200" w:h="11340"/>
          <w:pgMar w:top="1100" w:bottom="0" w:left="680" w:right="560"/>
          <w:cols w:num="3" w:equalWidth="0">
            <w:col w:w="2829" w:space="40"/>
            <w:col w:w="769" w:space="40"/>
            <w:col w:w="2282"/>
          </w:cols>
        </w:sectPr>
      </w:pPr>
    </w:p>
    <w:p>
      <w:pPr>
        <w:pStyle w:val="BodyText"/>
        <w:spacing w:before="6"/>
        <w:rPr>
          <w:sz w:val="9"/>
        </w:rPr>
      </w:pPr>
    </w:p>
    <w:p>
      <w:pPr>
        <w:spacing w:line="234" w:lineRule="exact" w:before="82"/>
        <w:ind w:left="101" w:right="121" w:firstLine="201"/>
        <w:jc w:val="left"/>
        <w:rPr>
          <w:sz w:val="21"/>
        </w:rPr>
      </w:pPr>
      <w:r>
        <w:rPr/>
        <w:pict>
          <v:line style="position:absolute;mso-position-horizontal-relative:page;mso-position-vertical-relative:paragraph;z-index:-715648" from="234pt,-5.980001pt" to="246.42pt,-5.980001pt" stroked="true" strokeweight="4.32pt" strokecolor="#000000">
            <w10:wrap type="none"/>
          </v:line>
        </w:pict>
      </w:r>
      <w:r>
        <w:rPr/>
        <w:pict>
          <v:shape style="position:absolute;margin-left:257.579987pt;margin-top:-12.596732pt;width:7pt;height:5.5pt;mso-position-horizontal-relative:page;mso-position-vertical-relative:paragraph;z-index:-715552" type="#_x0000_t202" filled="false" stroked="false">
            <v:textbox inset="0,0,0,0">
              <w:txbxContent>
                <w:p>
                  <w:pPr>
                    <w:spacing w:line="110" w:lineRule="exact" w:before="0"/>
                    <w:ind w:left="0" w:right="-15" w:firstLine="0"/>
                    <w:jc w:val="left"/>
                    <w:rPr>
                      <w:rFonts w:ascii="Arial"/>
                      <w:sz w:val="11"/>
                    </w:rPr>
                  </w:pPr>
                  <w:r>
                    <w:rPr>
                      <w:rFonts w:ascii="Arial"/>
                      <w:sz w:val="11"/>
                    </w:rPr>
                    <w:t>SI/</w:t>
                  </w:r>
                </w:p>
              </w:txbxContent>
            </v:textbox>
            <w10:wrap type="none"/>
          </v:shape>
        </w:pict>
      </w:r>
      <w:r>
        <w:rPr>
          <w:sz w:val="21"/>
        </w:rPr>
        <w:t>It will be observed </w:t>
      </w:r>
      <w:r>
        <w:rPr>
          <w:sz w:val="19"/>
        </w:rPr>
        <w:t>in </w:t>
      </w:r>
      <w:r>
        <w:rPr>
          <w:sz w:val="21"/>
        </w:rPr>
        <w:t>each of the three cases considered above that the formula for the modified function consists of the</w:t>
      </w:r>
      <w:r>
        <w:rPr>
          <w:spacing w:val="-1"/>
          <w:sz w:val="21"/>
        </w:rPr>
        <w:t> </w:t>
      </w:r>
      <w:r>
        <w:rPr>
          <w:sz w:val="21"/>
        </w:rPr>
        <w:t>expression</w:t>
      </w:r>
    </w:p>
    <w:p>
      <w:pPr>
        <w:spacing w:after="0" w:line="234" w:lineRule="exact"/>
        <w:jc w:val="left"/>
        <w:rPr>
          <w:sz w:val="21"/>
        </w:rPr>
        <w:sectPr>
          <w:type w:val="continuous"/>
          <w:pgSz w:w="7200" w:h="11340"/>
          <w:pgMar w:top="1100" w:bottom="0" w:left="680" w:right="560"/>
        </w:sectPr>
      </w:pPr>
    </w:p>
    <w:p>
      <w:pPr>
        <w:tabs>
          <w:tab w:pos="1870" w:val="left" w:leader="none"/>
          <w:tab w:pos="5236" w:val="left" w:leader="none"/>
        </w:tabs>
        <w:spacing w:before="60"/>
        <w:ind w:left="132" w:right="0" w:firstLine="0"/>
        <w:jc w:val="both"/>
        <w:rPr>
          <w:rFonts w:ascii="Arial"/>
          <w:b/>
          <w:sz w:val="19"/>
        </w:rPr>
      </w:pPr>
      <w:r>
        <w:rPr>
          <w:rFonts w:ascii="Courier New"/>
          <w:spacing w:val="-25"/>
          <w:w w:val="105"/>
          <w:sz w:val="22"/>
        </w:rPr>
        <w:t>258</w:t>
        <w:tab/>
      </w:r>
      <w:r>
        <w:rPr>
          <w:b/>
          <w:w w:val="105"/>
          <w:sz w:val="14"/>
        </w:rPr>
        <w:t>REVERSIONARY   </w:t>
      </w:r>
      <w:r>
        <w:rPr>
          <w:b/>
          <w:spacing w:val="29"/>
          <w:w w:val="105"/>
          <w:sz w:val="14"/>
        </w:rPr>
        <w:t> </w:t>
      </w:r>
      <w:r>
        <w:rPr>
          <w:b/>
          <w:w w:val="105"/>
          <w:sz w:val="14"/>
        </w:rPr>
        <w:t>ANNUITIES</w:t>
        <w:tab/>
      </w:r>
      <w:r>
        <w:rPr>
          <w:b/>
          <w:position w:val="1"/>
          <w:sz w:val="17"/>
        </w:rPr>
        <w:t>[CH.</w:t>
      </w:r>
      <w:r>
        <w:rPr>
          <w:b/>
          <w:spacing w:val="21"/>
          <w:position w:val="1"/>
          <w:sz w:val="17"/>
        </w:rPr>
        <w:t> </w:t>
      </w:r>
      <w:r>
        <w:rPr>
          <w:rFonts w:ascii="Arial"/>
          <w:b/>
          <w:position w:val="1"/>
          <w:sz w:val="19"/>
        </w:rPr>
        <w:t>13</w:t>
      </w:r>
    </w:p>
    <w:p>
      <w:pPr>
        <w:pStyle w:val="BodyText"/>
        <w:spacing w:before="4"/>
        <w:rPr>
          <w:rFonts w:ascii="Arial"/>
          <w:b/>
          <w:sz w:val="18"/>
        </w:rPr>
      </w:pPr>
    </w:p>
    <w:p>
      <w:pPr>
        <w:pStyle w:val="BodyText"/>
        <w:spacing w:line="242" w:lineRule="auto"/>
        <w:ind w:left="132" w:right="130"/>
        <w:jc w:val="both"/>
        <w:rPr>
          <w:rFonts w:ascii="Arial" w:hAnsi="Arial"/>
          <w:sz w:val="10"/>
        </w:rPr>
      </w:pPr>
      <w:r>
        <w:rPr>
          <w:rFonts w:ascii="Arial" w:hAnsi="Arial"/>
          <w:i/>
          <w:w w:val="105"/>
          <w:sz w:val="17"/>
        </w:rPr>
        <w:t>az </w:t>
      </w:r>
      <w:r>
        <w:rPr>
          <w:rFonts w:ascii="Arial" w:hAnsi="Arial"/>
          <w:w w:val="265"/>
          <w:sz w:val="17"/>
        </w:rPr>
        <w:t>- </w:t>
      </w:r>
      <w:r>
        <w:rPr>
          <w:rFonts w:ascii="Arial" w:hAnsi="Arial"/>
          <w:i/>
          <w:w w:val="95"/>
          <w:sz w:val="17"/>
        </w:rPr>
        <w:t>aZJI </w:t>
      </w:r>
      <w:r>
        <w:rPr>
          <w:w w:val="105"/>
        </w:rPr>
        <w:t>plus certain correction terms. In practice, the correction terms are often ignored, and the net single premium for all three </w:t>
      </w:r>
      <w:r>
        <w:rPr>
          <w:w w:val="107"/>
        </w:rPr>
        <w:t>types </w:t>
      </w:r>
      <w:r>
        <w:rPr>
          <w:w w:val="99"/>
        </w:rPr>
        <w:t>is </w:t>
      </w:r>
      <w:r>
        <w:rPr>
          <w:w w:val="103"/>
        </w:rPr>
        <w:t>computed </w:t>
      </w:r>
      <w:r>
        <w:rPr>
          <w:w w:val="108"/>
        </w:rPr>
        <w:t>as </w:t>
      </w:r>
      <w:r>
        <w:rPr>
          <w:i/>
          <w:w w:val="84"/>
          <w:sz w:val="21"/>
        </w:rPr>
        <w:t>az  </w:t>
      </w:r>
      <w:r>
        <w:rPr>
          <w:w w:val="261"/>
          <w:sz w:val="21"/>
        </w:rPr>
        <w:t>- </w:t>
      </w:r>
      <w:r>
        <w:rPr>
          <w:i/>
          <w:w w:val="72"/>
          <w:sz w:val="21"/>
        </w:rPr>
        <w:t>az</w:t>
      </w:r>
      <w:r>
        <w:rPr>
          <w:rFonts w:ascii="Arial" w:hAnsi="Arial"/>
          <w:i/>
          <w:w w:val="72"/>
          <w:position w:val="-3"/>
          <w:sz w:val="10"/>
        </w:rPr>
        <w:t>11  </w:t>
      </w:r>
      <w:r>
        <w:rPr>
          <w:rFonts w:ascii="Arial" w:hAnsi="Arial"/>
          <w:w w:val="113"/>
          <w:sz w:val="10"/>
        </w:rPr>
        <w:t>•</w:t>
      </w:r>
    </w:p>
    <w:p>
      <w:pPr>
        <w:pStyle w:val="BodyText"/>
        <w:spacing w:line="219" w:lineRule="exact"/>
        <w:ind w:left="330"/>
      </w:pPr>
      <w:r>
        <w:rPr>
          <w:w w:val="105"/>
        </w:rPr>
        <w:t>This  convenient  approximation  may  also  be  extended  </w:t>
      </w:r>
      <w:r>
        <w:rPr>
          <w:w w:val="105"/>
          <w:sz w:val="21"/>
        </w:rPr>
        <w:t>to   </w:t>
      </w:r>
      <w:r>
        <w:rPr>
          <w:w w:val="105"/>
        </w:rPr>
        <w:t>the</w:t>
      </w:r>
    </w:p>
    <w:p>
      <w:pPr>
        <w:pStyle w:val="BodyText"/>
        <w:spacing w:before="5"/>
        <w:ind w:left="132"/>
        <w:jc w:val="both"/>
        <w:rPr>
          <w:sz w:val="18"/>
        </w:rPr>
      </w:pPr>
      <w:r>
        <w:rPr>
          <w:w w:val="105"/>
        </w:rPr>
        <w:t>general  case of  an annuity  to  </w:t>
      </w:r>
      <w:r>
        <w:rPr>
          <w:rFonts w:ascii="Arial"/>
          <w:i/>
          <w:w w:val="105"/>
          <w:sz w:val="18"/>
        </w:rPr>
        <w:t>(u) </w:t>
      </w:r>
      <w:r>
        <w:rPr>
          <w:w w:val="105"/>
        </w:rPr>
        <w:t>af ter </w:t>
      </w:r>
      <w:r>
        <w:rPr>
          <w:w w:val="105"/>
          <w:sz w:val="18"/>
        </w:rPr>
        <w:t>(v) </w:t>
      </w:r>
      <w:r>
        <w:rPr>
          <w:w w:val="115"/>
          <w:sz w:val="18"/>
        </w:rPr>
        <w:t>:</w:t>
      </w:r>
    </w:p>
    <w:p>
      <w:pPr>
        <w:spacing w:after="0"/>
        <w:jc w:val="both"/>
        <w:rPr>
          <w:sz w:val="18"/>
        </w:rPr>
        <w:sectPr>
          <w:pgSz w:w="7200" w:h="11340"/>
          <w:pgMar w:top="500" w:bottom="280" w:left="660" w:right="560"/>
        </w:sectPr>
      </w:pPr>
    </w:p>
    <w:p>
      <w:pPr>
        <w:tabs>
          <w:tab w:pos="1971" w:val="left" w:leader="none"/>
        </w:tabs>
        <w:spacing w:line="118" w:lineRule="exact" w:before="103"/>
        <w:ind w:left="1276" w:right="0" w:firstLine="0"/>
        <w:jc w:val="left"/>
        <w:rPr>
          <w:sz w:val="12"/>
        </w:rPr>
      </w:pPr>
      <w:r>
        <w:rPr>
          <w:rFonts w:ascii="Arial" w:hAnsi="Arial"/>
          <w:i/>
          <w:w w:val="85"/>
          <w:position w:val="-11"/>
          <w:sz w:val="26"/>
        </w:rPr>
        <w:t>ª</w:t>
      </w:r>
      <w:r>
        <w:rPr>
          <w:rFonts w:ascii="Arial" w:hAnsi="Arial"/>
          <w:i/>
          <w:spacing w:val="-47"/>
          <w:w w:val="85"/>
          <w:position w:val="-11"/>
          <w:sz w:val="26"/>
        </w:rPr>
        <w:t>"</w:t>
      </w:r>
      <w:r>
        <w:rPr>
          <w:rFonts w:ascii="Arial" w:hAnsi="Arial"/>
          <w:b/>
          <w:spacing w:val="-17"/>
          <w:w w:val="117"/>
          <w:sz w:val="11"/>
        </w:rPr>
        <w:t>(</w:t>
      </w:r>
      <w:r>
        <w:rPr>
          <w:rFonts w:ascii="Arial" w:hAnsi="Arial"/>
          <w:b/>
          <w:spacing w:val="-129"/>
          <w:w w:val="117"/>
          <w:sz w:val="11"/>
        </w:rPr>
        <w:t>m</w:t>
      </w:r>
      <w:r>
        <w:rPr>
          <w:rFonts w:ascii="Arial" w:hAnsi="Arial"/>
          <w:i/>
          <w:w w:val="85"/>
          <w:position w:val="-11"/>
          <w:sz w:val="26"/>
        </w:rPr>
        <w:t>'</w:t>
      </w:r>
      <w:r>
        <w:rPr>
          <w:rFonts w:ascii="Arial" w:hAnsi="Arial"/>
          <w:i/>
          <w:spacing w:val="-10"/>
          <w:w w:val="85"/>
          <w:position w:val="-11"/>
          <w:sz w:val="26"/>
        </w:rPr>
        <w:t>"</w:t>
      </w:r>
      <w:r>
        <w:rPr>
          <w:rFonts w:ascii="Arial" w:hAnsi="Arial"/>
          <w:b/>
          <w:w w:val="117"/>
          <w:sz w:val="11"/>
        </w:rPr>
        <w:t>)</w:t>
      </w:r>
      <w:r>
        <w:rPr>
          <w:rFonts w:ascii="Arial" w:hAnsi="Arial"/>
          <w:b/>
          <w:sz w:val="11"/>
        </w:rPr>
        <w:t>   </w:t>
      </w:r>
      <w:r>
        <w:rPr>
          <w:rFonts w:ascii="Arial" w:hAnsi="Arial"/>
          <w:b/>
          <w:spacing w:val="-15"/>
          <w:sz w:val="11"/>
        </w:rPr>
        <w:t> </w:t>
      </w:r>
      <w:r>
        <w:rPr>
          <w:rFonts w:ascii="Arial" w:hAnsi="Arial"/>
          <w:w w:val="226"/>
          <w:sz w:val="11"/>
        </w:rPr>
        <w:t>.</w:t>
      </w:r>
      <w:r>
        <w:rPr>
          <w:rFonts w:ascii="Arial" w:hAnsi="Arial"/>
          <w:sz w:val="11"/>
        </w:rPr>
        <w:tab/>
      </w:r>
      <w:r>
        <w:rPr>
          <w:rFonts w:ascii="Arial" w:hAnsi="Arial"/>
          <w:w w:val="190"/>
          <w:sz w:val="11"/>
        </w:rPr>
        <w:t>-</w:t>
      </w:r>
      <w:r>
        <w:rPr>
          <w:rFonts w:ascii="Arial" w:hAnsi="Arial"/>
          <w:spacing w:val="3"/>
          <w:sz w:val="11"/>
        </w:rPr>
        <w:t> </w:t>
      </w:r>
      <w:r>
        <w:rPr>
          <w:rFonts w:ascii="Arial" w:hAnsi="Arial"/>
          <w:b/>
          <w:w w:val="88"/>
          <w:position w:val="-11"/>
          <w:sz w:val="15"/>
        </w:rPr>
        <w:t>·lu</w:t>
      </w:r>
      <w:r>
        <w:rPr>
          <w:rFonts w:ascii="Arial" w:hAnsi="Arial"/>
          <w:b/>
          <w:position w:val="-11"/>
          <w:sz w:val="15"/>
        </w:rPr>
        <w:t> </w:t>
      </w:r>
      <w:r>
        <w:rPr>
          <w:rFonts w:ascii="Arial" w:hAnsi="Arial"/>
          <w:b/>
          <w:spacing w:val="5"/>
          <w:position w:val="-11"/>
          <w:sz w:val="15"/>
        </w:rPr>
        <w:t> </w:t>
      </w:r>
      <w:r>
        <w:rPr>
          <w:rFonts w:ascii="Arial" w:hAnsi="Arial"/>
          <w:w w:val="226"/>
          <w:sz w:val="11"/>
        </w:rPr>
        <w:t>.</w:t>
      </w:r>
      <w:r>
        <w:rPr>
          <w:rFonts w:ascii="Arial" w:hAnsi="Arial"/>
          <w:sz w:val="11"/>
        </w:rPr>
        <w:t>    </w:t>
      </w:r>
      <w:r>
        <w:rPr>
          <w:rFonts w:ascii="Arial" w:hAnsi="Arial"/>
          <w:spacing w:val="8"/>
          <w:sz w:val="11"/>
        </w:rPr>
        <w:t> </w:t>
      </w:r>
      <w:r>
        <w:rPr>
          <w:b/>
          <w:i/>
          <w:w w:val="137"/>
          <w:sz w:val="12"/>
        </w:rPr>
        <w:t>á(</w:t>
      </w:r>
      <w:r>
        <w:rPr>
          <w:b/>
          <w:i/>
          <w:spacing w:val="8"/>
          <w:w w:val="136"/>
          <w:sz w:val="12"/>
        </w:rPr>
        <w:t>m</w:t>
      </w:r>
      <w:r>
        <w:rPr>
          <w:b/>
          <w:i/>
          <w:w w:val="67"/>
          <w:sz w:val="12"/>
        </w:rPr>
        <w:t>)</w:t>
      </w:r>
      <w:r>
        <w:rPr>
          <w:b/>
          <w:i/>
          <w:sz w:val="12"/>
        </w:rPr>
        <w:t>   </w:t>
      </w:r>
      <w:r>
        <w:rPr>
          <w:b/>
          <w:i/>
          <w:spacing w:val="7"/>
          <w:sz w:val="12"/>
        </w:rPr>
        <w:t> </w:t>
      </w:r>
      <w:r>
        <w:rPr>
          <w:w w:val="192"/>
          <w:sz w:val="12"/>
        </w:rPr>
        <w:t>.</w:t>
      </w:r>
    </w:p>
    <w:p>
      <w:pPr>
        <w:spacing w:line="86" w:lineRule="exact" w:before="134"/>
        <w:ind w:left="129" w:right="0" w:firstLine="0"/>
        <w:jc w:val="left"/>
        <w:rPr>
          <w:sz w:val="16"/>
        </w:rPr>
      </w:pPr>
      <w:r>
        <w:rPr/>
        <w:br w:type="column"/>
      </w:r>
      <w:r>
        <w:rPr>
          <w:rFonts w:ascii="Arial" w:hAnsi="Arial"/>
          <w:b/>
          <w:i/>
          <w:w w:val="85"/>
          <w:sz w:val="14"/>
        </w:rPr>
        <w:t>Ov ¡u  </w:t>
      </w:r>
      <w:r>
        <w:rPr>
          <w:w w:val="110"/>
          <w:sz w:val="23"/>
        </w:rPr>
        <w:t>= </w:t>
      </w:r>
      <w:r>
        <w:rPr>
          <w:b/>
          <w:i/>
          <w:w w:val="85"/>
          <w:sz w:val="19"/>
        </w:rPr>
        <w:t>au </w:t>
      </w:r>
      <w:r>
        <w:rPr>
          <w:w w:val="260"/>
          <w:sz w:val="19"/>
        </w:rPr>
        <w:t>- </w:t>
      </w:r>
      <w:r>
        <w:rPr>
          <w:b/>
          <w:w w:val="85"/>
          <w:sz w:val="16"/>
        </w:rPr>
        <w:t>Ou11 </w:t>
      </w:r>
      <w:r>
        <w:rPr>
          <w:w w:val="85"/>
          <w:sz w:val="16"/>
        </w:rPr>
        <w:t>•</w:t>
      </w:r>
    </w:p>
    <w:p>
      <w:pPr>
        <w:spacing w:after="0" w:line="86" w:lineRule="exact"/>
        <w:jc w:val="left"/>
        <w:rPr>
          <w:sz w:val="16"/>
        </w:rPr>
        <w:sectPr>
          <w:type w:val="continuous"/>
          <w:pgSz w:w="7200" w:h="11340"/>
          <w:pgMar w:top="1100" w:bottom="0" w:left="660" w:right="560"/>
          <w:cols w:num="2" w:equalWidth="0">
            <w:col w:w="3045" w:space="40"/>
            <w:col w:w="2895"/>
          </w:cols>
        </w:sectPr>
      </w:pPr>
    </w:p>
    <w:p>
      <w:pPr>
        <w:tabs>
          <w:tab w:pos="2327" w:val="left" w:leader="none"/>
          <w:tab w:pos="2684" w:val="left" w:leader="none"/>
        </w:tabs>
        <w:spacing w:line="114" w:lineRule="exact" w:before="0"/>
        <w:ind w:left="1701" w:right="739" w:firstLine="0"/>
        <w:jc w:val="left"/>
        <w:rPr>
          <w:rFonts w:ascii="Arial" w:hAnsi="Arial"/>
          <w:sz w:val="13"/>
        </w:rPr>
      </w:pPr>
      <w:r>
        <w:rPr>
          <w:rFonts w:ascii="Arial" w:hAnsi="Arial"/>
          <w:w w:val="75"/>
          <w:sz w:val="13"/>
        </w:rPr>
        <w:t>===; </w:t>
      </w:r>
      <w:r>
        <w:rPr>
          <w:rFonts w:ascii="Arial" w:hAnsi="Arial"/>
          <w:spacing w:val="21"/>
          <w:w w:val="75"/>
          <w:sz w:val="13"/>
        </w:rPr>
        <w:t> </w:t>
      </w:r>
      <w:r>
        <w:rPr>
          <w:rFonts w:ascii="Arial" w:hAnsi="Arial"/>
          <w:b/>
          <w:w w:val="90"/>
          <w:sz w:val="15"/>
        </w:rPr>
        <w:t>a1</w:t>
        <w:tab/>
      </w:r>
      <w:r>
        <w:rPr>
          <w:rFonts w:ascii="Arial" w:hAnsi="Arial"/>
          <w:w w:val="70"/>
          <w:sz w:val="13"/>
        </w:rPr>
        <w:t>===;</w:t>
        <w:tab/>
      </w:r>
      <w:r>
        <w:rPr>
          <w:b/>
          <w:w w:val="65"/>
          <w:sz w:val="16"/>
        </w:rPr>
        <w:t>11¡u </w:t>
      </w:r>
      <w:r>
        <w:rPr>
          <w:b/>
          <w:spacing w:val="12"/>
          <w:w w:val="65"/>
          <w:sz w:val="16"/>
        </w:rPr>
        <w:t> </w:t>
      </w:r>
      <w:r>
        <w:rPr>
          <w:rFonts w:ascii="Arial" w:hAnsi="Arial"/>
          <w:w w:val="65"/>
          <w:sz w:val="13"/>
        </w:rPr>
        <w:t>===;</w:t>
      </w:r>
    </w:p>
    <w:p>
      <w:pPr>
        <w:pStyle w:val="BodyText"/>
        <w:spacing w:line="378" w:lineRule="exact"/>
        <w:ind w:left="132"/>
        <w:jc w:val="both"/>
      </w:pPr>
      <w:r>
        <w:rPr>
          <w:w w:val="105"/>
        </w:rPr>
        <w:t>When  necessary,  the  approxima</w:t>
      </w:r>
      <w:r>
        <w:rPr>
          <w:rFonts w:ascii="Arial" w:hAnsi="Arial"/>
          <w:w w:val="105"/>
          <w:position w:val="11"/>
          <w:sz w:val="28"/>
        </w:rPr>
        <w:t>•</w:t>
      </w:r>
      <w:r>
        <w:rPr>
          <w:w w:val="105"/>
        </w:rPr>
        <w:t>tion  can  be  improved  by adding</w:t>
      </w:r>
    </w:p>
    <w:p>
      <w:pPr>
        <w:pStyle w:val="BodyText"/>
        <w:spacing w:line="249" w:lineRule="auto"/>
        <w:ind w:left="128" w:right="113" w:firstLine="3"/>
        <w:jc w:val="both"/>
      </w:pPr>
      <w:r>
        <w:rPr>
          <w:w w:val="105"/>
        </w:rPr>
        <w:t>the proper correction terms. </w:t>
      </w:r>
      <w:r>
        <w:rPr>
          <w:w w:val="105"/>
          <w:sz w:val="22"/>
        </w:rPr>
        <w:t>In </w:t>
      </w:r>
      <w:r>
        <w:rPr>
          <w:w w:val="105"/>
        </w:rPr>
        <w:t>particular, when either of the statuses </w:t>
      </w:r>
      <w:r>
        <w:rPr>
          <w:rFonts w:ascii="Arial" w:hAnsi="Arial"/>
          <w:i/>
          <w:w w:val="105"/>
          <w:sz w:val="19"/>
        </w:rPr>
        <w:t>(u) </w:t>
      </w:r>
      <w:r>
        <w:rPr>
          <w:w w:val="105"/>
        </w:rPr>
        <w:t>and </w:t>
      </w:r>
      <w:r>
        <w:rPr>
          <w:rFonts w:ascii="Arial" w:hAnsi="Arial"/>
          <w:i/>
          <w:w w:val="105"/>
          <w:sz w:val="19"/>
        </w:rPr>
        <w:t>(v) </w:t>
      </w:r>
      <w:r>
        <w:rPr>
          <w:w w:val="105"/>
        </w:rPr>
        <w:t>involves a term-certain, the  correction  terms are important and should not be neglected. This case will be ex­ amined in the next </w:t>
      </w:r>
      <w:r>
        <w:rPr>
          <w:spacing w:val="20"/>
          <w:w w:val="105"/>
        </w:rPr>
        <w:t> </w:t>
      </w:r>
      <w:r>
        <w:rPr>
          <w:w w:val="105"/>
        </w:rPr>
        <w:t>section.</w:t>
      </w:r>
    </w:p>
    <w:p>
      <w:pPr>
        <w:spacing w:line="247" w:lineRule="exact" w:before="0"/>
        <w:ind w:left="0" w:right="130" w:firstLine="0"/>
        <w:jc w:val="right"/>
        <w:rPr>
          <w:sz w:val="20"/>
        </w:rPr>
      </w:pPr>
      <w:r>
        <w:rPr/>
        <w:pict>
          <v:shape style="position:absolute;margin-left:177.660004pt;margin-top:8.372689pt;width:1.2pt;height:4pt;mso-position-horizontal-relative:page;mso-position-vertical-relative:paragraph;z-index:-715480" type="#_x0000_t202" filled="false" stroked="false">
            <v:textbox inset="0,0,0,0">
              <w:txbxContent>
                <w:p>
                  <w:pPr>
                    <w:spacing w:line="80" w:lineRule="exact" w:before="0"/>
                    <w:ind w:left="0" w:right="0" w:firstLine="0"/>
                    <w:jc w:val="left"/>
                    <w:rPr>
                      <w:rFonts w:ascii="Arial"/>
                      <w:i/>
                      <w:sz w:val="8"/>
                    </w:rPr>
                  </w:pPr>
                  <w:r>
                    <w:rPr>
                      <w:rFonts w:ascii="Arial"/>
                      <w:i/>
                      <w:w w:val="51"/>
                      <w:sz w:val="8"/>
                    </w:rPr>
                    <w:t>1</w:t>
                  </w:r>
                </w:p>
              </w:txbxContent>
            </v:textbox>
            <w10:wrap type="none"/>
          </v:shape>
        </w:pict>
      </w:r>
      <w:r>
        <w:rPr>
          <w:w w:val="105"/>
          <w:sz w:val="20"/>
        </w:rPr>
        <w:t>From  the  relation  </w:t>
      </w:r>
      <w:r>
        <w:rPr>
          <w:w w:val="105"/>
          <w:sz w:val="14"/>
        </w:rPr>
        <w:t>ai·J u   </w:t>
      </w:r>
      <w:r>
        <w:rPr>
          <w:rFonts w:ascii="Arial" w:hAnsi="Arial"/>
          <w:w w:val="105"/>
          <w:sz w:val="20"/>
        </w:rPr>
        <w:t>=;  </w:t>
      </w:r>
      <w:r>
        <w:rPr>
          <w:i/>
          <w:w w:val="90"/>
          <w:sz w:val="27"/>
        </w:rPr>
        <w:t>av </w:t>
      </w:r>
      <w:r>
        <w:rPr>
          <w:i/>
          <w:w w:val="105"/>
          <w:sz w:val="12"/>
        </w:rPr>
        <w:t>u  </w:t>
      </w:r>
      <w:r>
        <w:rPr>
          <w:w w:val="175"/>
          <w:sz w:val="12"/>
        </w:rPr>
        <w:t>,  </w:t>
      </w:r>
      <w:r>
        <w:rPr>
          <w:w w:val="105"/>
          <w:sz w:val="20"/>
        </w:rPr>
        <w:t>it  follows  that  annuities with</w:t>
      </w:r>
    </w:p>
    <w:p>
      <w:pPr>
        <w:pStyle w:val="BodyText"/>
        <w:spacing w:line="252" w:lineRule="auto"/>
        <w:ind w:left="117" w:right="117" w:firstLine="10"/>
        <w:jc w:val="right"/>
      </w:pPr>
      <w:r>
        <w:rPr/>
        <w:t>periodic payments may be  evaluated  as  continuous </w:t>
      </w:r>
      <w:r>
        <w:rPr>
          <w:spacing w:val="19"/>
        </w:rPr>
        <w:t> </w:t>
      </w:r>
      <w:r>
        <w:rPr/>
        <w:t>annuities </w:t>
      </w:r>
      <w:r>
        <w:rPr>
          <w:spacing w:val="16"/>
        </w:rPr>
        <w:t> </w:t>
      </w:r>
      <w:r>
        <w:rPr/>
        <w:t>and</w:t>
      </w:r>
      <w:r>
        <w:rPr>
          <w:w w:val="105"/>
        </w:rPr>
        <w:t> </w:t>
      </w:r>
      <w:r>
        <w:rPr/>
        <w:t>that  either  type  may  therefore  be  directly  computed </w:t>
      </w:r>
      <w:r>
        <w:rPr>
          <w:spacing w:val="9"/>
        </w:rPr>
        <w:t> </w:t>
      </w:r>
      <w:r>
        <w:rPr/>
        <w:t>by </w:t>
      </w:r>
      <w:r>
        <w:rPr>
          <w:spacing w:val="22"/>
        </w:rPr>
        <w:t> </w:t>
      </w:r>
      <w:r>
        <w:rPr/>
        <w:t>methods</w:t>
      </w:r>
      <w:r>
        <w:rPr>
          <w:w w:val="104"/>
        </w:rPr>
        <w:t> </w:t>
      </w:r>
      <w:r>
        <w:rPr/>
        <w:t>of numerical integrat.ion in cases where the</w:t>
      </w:r>
      <w:r>
        <w:rPr>
          <w:spacing w:val="6"/>
        </w:rPr>
        <w:t> </w:t>
      </w:r>
      <w:r>
        <w:rPr/>
        <w:t>necessary</w:t>
      </w:r>
      <w:r>
        <w:rPr>
          <w:spacing w:val="29"/>
        </w:rPr>
        <w:t> </w:t>
      </w:r>
      <w:r>
        <w:rPr/>
        <w:t>joint-life</w:t>
      </w:r>
      <w:r>
        <w:rPr>
          <w:w w:val="102"/>
        </w:rPr>
        <w:t> </w:t>
      </w:r>
      <w:r>
        <w:rPr/>
        <w:t>functions are not already tabulated. As long as </w:t>
      </w:r>
      <w:r>
        <w:rPr>
          <w:rFonts w:ascii="Arial"/>
          <w:i/>
          <w:sz w:val="19"/>
        </w:rPr>
        <w:t>(u)  </w:t>
      </w:r>
      <w:r>
        <w:rPr/>
        <w:t>and</w:t>
      </w:r>
      <w:r>
        <w:rPr>
          <w:spacing w:val="-5"/>
        </w:rPr>
        <w:t> </w:t>
      </w:r>
      <w:r>
        <w:rPr>
          <w:rFonts w:ascii="Arial"/>
          <w:i/>
          <w:sz w:val="19"/>
        </w:rPr>
        <w:t>(v) </w:t>
      </w:r>
      <w:r>
        <w:rPr>
          <w:rFonts w:ascii="Arial"/>
          <w:i/>
          <w:spacing w:val="4"/>
          <w:sz w:val="19"/>
        </w:rPr>
        <w:t> </w:t>
      </w:r>
      <w:r>
        <w:rPr/>
        <w:t>involve</w:t>
      </w:r>
      <w:r>
        <w:rPr>
          <w:w w:val="102"/>
        </w:rPr>
        <w:t> </w:t>
      </w:r>
      <w:r>
        <w:rPr/>
        <w:t>only  lives,  the definite integrals  always  assume  the following</w:t>
      </w:r>
      <w:r>
        <w:rPr>
          <w:spacing w:val="21"/>
        </w:rPr>
        <w:t> </w:t>
      </w:r>
      <w:r>
        <w:rPr/>
        <w:t>forms:</w:t>
      </w:r>
    </w:p>
    <w:p>
      <w:pPr>
        <w:tabs>
          <w:tab w:pos="3470" w:val="left" w:leader="none"/>
        </w:tabs>
        <w:spacing w:before="107"/>
        <w:ind w:left="0" w:right="132" w:firstLine="0"/>
        <w:jc w:val="right"/>
        <w:rPr>
          <w:b/>
          <w:sz w:val="20"/>
        </w:rPr>
      </w:pPr>
      <w:r>
        <w:rPr>
          <w:b/>
          <w:i/>
          <w:w w:val="103"/>
          <w:sz w:val="15"/>
        </w:rPr>
        <w:t>Ü,¡"</w:t>
      </w:r>
      <w:r>
        <w:rPr>
          <w:b/>
          <w:i/>
          <w:sz w:val="15"/>
        </w:rPr>
        <w:t> </w:t>
      </w:r>
      <w:r>
        <w:rPr>
          <w:b/>
          <w:i/>
          <w:spacing w:val="18"/>
          <w:sz w:val="15"/>
        </w:rPr>
        <w:t> </w:t>
      </w:r>
      <w:r>
        <w:rPr>
          <w:w w:val="104"/>
          <w:sz w:val="23"/>
        </w:rPr>
        <w:t>=</w:t>
      </w:r>
      <w:r>
        <w:rPr>
          <w:sz w:val="23"/>
        </w:rPr>
        <w:t> </w:t>
      </w:r>
      <w:r>
        <w:rPr>
          <w:spacing w:val="-14"/>
          <w:sz w:val="23"/>
        </w:rPr>
        <w:t> </w:t>
      </w:r>
      <w:r>
        <w:rPr>
          <w:rFonts w:ascii="Arial" w:hAnsi="Arial"/>
          <w:b/>
          <w:i/>
          <w:spacing w:val="-43"/>
          <w:w w:val="102"/>
          <w:sz w:val="35"/>
        </w:rPr>
        <w:t>1</w:t>
      </w:r>
      <w:r>
        <w:rPr>
          <w:rFonts w:ascii="Arial" w:hAnsi="Arial"/>
          <w:b/>
          <w:i/>
          <w:w w:val="32"/>
          <w:sz w:val="35"/>
        </w:rPr>
        <w:t>"°</w:t>
      </w:r>
      <w:r>
        <w:rPr>
          <w:rFonts w:ascii="Arial" w:hAnsi="Arial"/>
          <w:b/>
          <w:i/>
          <w:spacing w:val="-55"/>
          <w:sz w:val="35"/>
        </w:rPr>
        <w:t> </w:t>
      </w:r>
      <w:r>
        <w:rPr>
          <w:b/>
          <w:i/>
          <w:w w:val="84"/>
          <w:sz w:val="20"/>
        </w:rPr>
        <w:t>v'</w:t>
      </w:r>
      <w:r>
        <w:rPr>
          <w:b/>
          <w:i/>
          <w:sz w:val="20"/>
        </w:rPr>
        <w:t> </w:t>
      </w:r>
      <w:r>
        <w:rPr>
          <w:b/>
          <w:i/>
          <w:spacing w:val="-18"/>
          <w:sz w:val="20"/>
        </w:rPr>
        <w:t> </w:t>
      </w:r>
      <w:r>
        <w:rPr>
          <w:b/>
          <w:i/>
          <w:w w:val="99"/>
          <w:sz w:val="20"/>
        </w:rPr>
        <w:t>,</w:t>
      </w:r>
      <w:r>
        <w:rPr>
          <w:b/>
          <w:i/>
          <w:spacing w:val="13"/>
          <w:w w:val="99"/>
          <w:sz w:val="20"/>
        </w:rPr>
        <w:t>p</w:t>
      </w:r>
      <w:r>
        <w:rPr>
          <w:b/>
          <w:i/>
          <w:spacing w:val="2"/>
          <w:w w:val="84"/>
          <w:sz w:val="20"/>
        </w:rPr>
        <w:t>"</w:t>
      </w:r>
      <w:r>
        <w:rPr>
          <w:b/>
          <w:i/>
          <w:w w:val="103"/>
          <w:sz w:val="20"/>
        </w:rPr>
        <w:t>(</w:t>
      </w:r>
      <w:r>
        <w:rPr>
          <w:b/>
          <w:i/>
          <w:w w:val="103"/>
          <w:sz w:val="20"/>
        </w:rPr>
        <w:t>I</w:t>
      </w:r>
      <w:r>
        <w:rPr>
          <w:b/>
          <w:i/>
          <w:sz w:val="20"/>
        </w:rPr>
        <w:t> </w:t>
      </w:r>
      <w:r>
        <w:rPr>
          <w:b/>
          <w:i/>
          <w:spacing w:val="23"/>
          <w:sz w:val="20"/>
        </w:rPr>
        <w:t> </w:t>
      </w:r>
      <w:r>
        <w:rPr>
          <w:w w:val="267"/>
          <w:sz w:val="20"/>
        </w:rPr>
        <w:t>-</w:t>
      </w:r>
      <w:r>
        <w:rPr>
          <w:spacing w:val="9"/>
          <w:sz w:val="20"/>
        </w:rPr>
        <w:t> </w:t>
      </w:r>
      <w:r>
        <w:rPr>
          <w:b/>
          <w:i/>
          <w:w w:val="89"/>
          <w:sz w:val="20"/>
        </w:rPr>
        <w:t>,p.,</w:t>
      </w:r>
      <w:r>
        <w:rPr>
          <w:b/>
          <w:i/>
          <w:spacing w:val="-25"/>
          <w:sz w:val="20"/>
        </w:rPr>
        <w:t> </w:t>
      </w:r>
      <w:r>
        <w:rPr>
          <w:b/>
          <w:i/>
          <w:w w:val="67"/>
          <w:sz w:val="20"/>
        </w:rPr>
        <w:t>)</w:t>
      </w:r>
      <w:r>
        <w:rPr>
          <w:b/>
          <w:i/>
          <w:sz w:val="20"/>
        </w:rPr>
        <w:t> </w:t>
      </w:r>
      <w:r>
        <w:rPr>
          <w:b/>
          <w:i/>
          <w:spacing w:val="-13"/>
          <w:sz w:val="20"/>
        </w:rPr>
        <w:t> </w:t>
      </w:r>
      <w:r>
        <w:rPr>
          <w:b/>
          <w:i/>
          <w:w w:val="93"/>
          <w:sz w:val="20"/>
        </w:rPr>
        <w:t>dt</w:t>
      </w:r>
      <w:r>
        <w:rPr>
          <w:b/>
          <w:i/>
          <w:sz w:val="20"/>
        </w:rPr>
        <w:tab/>
      </w:r>
      <w:r>
        <w:rPr>
          <w:b/>
          <w:w w:val="104"/>
          <w:sz w:val="20"/>
        </w:rPr>
        <w:t>(13.7a)</w:t>
      </w:r>
    </w:p>
    <w:p>
      <w:pPr>
        <w:tabs>
          <w:tab w:pos="2104" w:val="left" w:leader="none"/>
        </w:tabs>
        <w:spacing w:before="210"/>
        <w:ind w:left="114" w:right="0" w:firstLine="0"/>
        <w:jc w:val="both"/>
        <w:rPr>
          <w:sz w:val="20"/>
        </w:rPr>
      </w:pPr>
      <w:r>
        <w:rPr>
          <w:b/>
          <w:w w:val="90"/>
          <w:sz w:val="21"/>
        </w:rPr>
        <w:t>or</w:t>
        <w:tab/>
      </w:r>
      <w:r>
        <w:rPr>
          <w:b/>
          <w:position w:val="-13"/>
          <w:sz w:val="21"/>
        </w:rPr>
        <w:drawing>
          <wp:inline distT="0" distB="0" distL="0" distR="0">
            <wp:extent cx="1115568" cy="292607"/>
            <wp:effectExtent l="0" t="0" r="0" b="0"/>
            <wp:docPr id="619" name="image315.png" descr=""/>
            <wp:cNvGraphicFramePr>
              <a:graphicFrameLocks noChangeAspect="1"/>
            </wp:cNvGraphicFramePr>
            <a:graphic>
              <a:graphicData uri="http://schemas.openxmlformats.org/drawingml/2006/picture">
                <pic:pic>
                  <pic:nvPicPr>
                    <pic:cNvPr id="620" name="image315.png"/>
                    <pic:cNvPicPr/>
                  </pic:nvPicPr>
                  <pic:blipFill>
                    <a:blip r:embed="rId319" cstate="print"/>
                    <a:stretch>
                      <a:fillRect/>
                    </a:stretch>
                  </pic:blipFill>
                  <pic:spPr>
                    <a:xfrm>
                      <a:off x="0" y="0"/>
                      <a:ext cx="1115568" cy="292607"/>
                    </a:xfrm>
                    <a:prstGeom prst="rect">
                      <a:avLst/>
                    </a:prstGeom>
                  </pic:spPr>
                </pic:pic>
              </a:graphicData>
            </a:graphic>
          </wp:inline>
        </w:drawing>
      </w:r>
      <w:r>
        <w:rPr>
          <w:b/>
          <w:position w:val="-13"/>
          <w:sz w:val="21"/>
        </w:rPr>
      </w:r>
      <w:r>
        <w:rPr>
          <w:position w:val="2"/>
          <w:sz w:val="21"/>
        </w:rPr>
        <w:t>                         </w:t>
      </w:r>
      <w:r>
        <w:rPr>
          <w:w w:val="105"/>
          <w:position w:val="2"/>
          <w:sz w:val="20"/>
        </w:rPr>
        <w:t>(</w:t>
      </w:r>
      <w:r>
        <w:rPr>
          <w:spacing w:val="14"/>
          <w:w w:val="105"/>
          <w:position w:val="2"/>
          <w:sz w:val="20"/>
        </w:rPr>
        <w:t> </w:t>
      </w:r>
      <w:r>
        <w:rPr>
          <w:spacing w:val="-9"/>
          <w:w w:val="105"/>
          <w:position w:val="2"/>
          <w:sz w:val="20"/>
        </w:rPr>
        <w:t>13.7b)</w:t>
      </w:r>
    </w:p>
    <w:p>
      <w:pPr>
        <w:pStyle w:val="BodyText"/>
        <w:spacing w:line="252" w:lineRule="auto" w:before="144"/>
        <w:ind w:left="128" w:right="111" w:hanging="8"/>
        <w:jc w:val="both"/>
        <w:rPr>
          <w:rFonts w:ascii="Arial"/>
          <w:i/>
          <w:sz w:val="19"/>
        </w:rPr>
      </w:pPr>
      <w:r>
        <w:rPr>
          <w:w w:val="105"/>
        </w:rPr>
        <w:t>The second form is useful when there is a change in the interest or mortality  assumptions after the failure of  </w:t>
      </w:r>
      <w:r>
        <w:rPr>
          <w:rFonts w:ascii="Arial"/>
          <w:i/>
          <w:w w:val="105"/>
          <w:sz w:val="19"/>
        </w:rPr>
        <w:t>(v).</w:t>
      </w:r>
    </w:p>
    <w:p>
      <w:pPr>
        <w:pStyle w:val="ListParagraph"/>
        <w:numPr>
          <w:ilvl w:val="0"/>
          <w:numId w:val="120"/>
        </w:numPr>
        <w:tabs>
          <w:tab w:pos="366" w:val="left" w:leader="none"/>
        </w:tabs>
        <w:spacing w:line="240" w:lineRule="auto" w:before="168" w:after="0"/>
        <w:ind w:left="366" w:right="0" w:hanging="245"/>
        <w:jc w:val="both"/>
        <w:rPr>
          <w:b/>
          <w:sz w:val="19"/>
        </w:rPr>
      </w:pPr>
      <w:r>
        <w:rPr>
          <w:b/>
          <w:w w:val="120"/>
          <w:sz w:val="19"/>
        </w:rPr>
        <w:t>Functions involving </w:t>
      </w:r>
      <w:r>
        <w:rPr>
          <w:b/>
          <w:spacing w:val="1"/>
          <w:w w:val="120"/>
          <w:sz w:val="19"/>
        </w:rPr>
        <w:t> </w:t>
      </w:r>
      <w:r>
        <w:rPr>
          <w:b/>
          <w:w w:val="120"/>
          <w:sz w:val="19"/>
        </w:rPr>
        <w:t>terms-certain</w:t>
      </w:r>
    </w:p>
    <w:p>
      <w:pPr>
        <w:pStyle w:val="BodyText"/>
        <w:spacing w:before="89"/>
        <w:ind w:left="322" w:right="739"/>
      </w:pPr>
      <w:r>
        <w:rPr>
          <w:w w:val="105"/>
        </w:rPr>
        <w:t>We have already  notcd  that  the basic formula</w:t>
      </w:r>
    </w:p>
    <w:p>
      <w:pPr>
        <w:pStyle w:val="BodyText"/>
        <w:spacing w:before="5"/>
        <w:rPr>
          <w:sz w:val="13"/>
        </w:rPr>
      </w:pPr>
      <w:r>
        <w:rPr/>
        <w:drawing>
          <wp:anchor distT="0" distB="0" distL="0" distR="0" allowOverlap="1" layoutInCell="1" locked="0" behindDoc="0" simplePos="0" relativeHeight="20560">
            <wp:simplePos x="0" y="0"/>
            <wp:positionH relativeFrom="page">
              <wp:posOffset>1874520</wp:posOffset>
            </wp:positionH>
            <wp:positionV relativeFrom="paragraph">
              <wp:posOffset>123404</wp:posOffset>
            </wp:positionV>
            <wp:extent cx="877824" cy="100583"/>
            <wp:effectExtent l="0" t="0" r="0" b="0"/>
            <wp:wrapTopAndBottom/>
            <wp:docPr id="621" name="image316.png" descr=""/>
            <wp:cNvGraphicFramePr>
              <a:graphicFrameLocks noChangeAspect="1"/>
            </wp:cNvGraphicFramePr>
            <a:graphic>
              <a:graphicData uri="http://schemas.openxmlformats.org/drawingml/2006/picture">
                <pic:pic>
                  <pic:nvPicPr>
                    <pic:cNvPr id="622" name="image316.png"/>
                    <pic:cNvPicPr/>
                  </pic:nvPicPr>
                  <pic:blipFill>
                    <a:blip r:embed="rId320" cstate="print"/>
                    <a:stretch>
                      <a:fillRect/>
                    </a:stretch>
                  </pic:blipFill>
                  <pic:spPr>
                    <a:xfrm>
                      <a:off x="0" y="0"/>
                      <a:ext cx="877824" cy="100583"/>
                    </a:xfrm>
                    <a:prstGeom prst="rect">
                      <a:avLst/>
                    </a:prstGeom>
                  </pic:spPr>
                </pic:pic>
              </a:graphicData>
            </a:graphic>
          </wp:anchor>
        </w:drawing>
      </w:r>
    </w:p>
    <w:p>
      <w:pPr>
        <w:pStyle w:val="BodyText"/>
        <w:spacing w:line="252" w:lineRule="auto" w:before="61"/>
        <w:ind w:left="128" w:right="122"/>
        <w:jc w:val="both"/>
      </w:pPr>
      <w:r>
        <w:rPr>
          <w:w w:val="105"/>
        </w:rPr>
        <w:t>is valid regardless of the type of status represented by (u) and </w:t>
      </w:r>
      <w:r>
        <w:rPr>
          <w:rFonts w:ascii="Arial" w:hAnsi="Arial"/>
          <w:i/>
          <w:w w:val="105"/>
          <w:sz w:val="19"/>
        </w:rPr>
        <w:t>(v). </w:t>
      </w:r>
      <w:r>
        <w:rPr>
          <w:w w:val="105"/>
        </w:rPr>
        <w:t>Let us consider a few cases where these statuses include a term­ certain.</w:t>
      </w:r>
    </w:p>
    <w:p>
      <w:pPr>
        <w:pStyle w:val="BodyText"/>
        <w:spacing w:line="227" w:lineRule="exact"/>
        <w:ind w:right="118"/>
        <w:jc w:val="right"/>
      </w:pPr>
      <w:r>
        <w:rPr/>
        <w:t>If  </w:t>
      </w:r>
      <w:r>
        <w:rPr>
          <w:rFonts w:ascii="Arial"/>
          <w:i/>
          <w:sz w:val="19"/>
        </w:rPr>
        <w:t>(v)  </w:t>
      </w:r>
      <w:r>
        <w:rPr/>
        <w:t>is the term-certain   (n])  and  </w:t>
      </w:r>
      <w:r>
        <w:rPr>
          <w:rFonts w:ascii="Arial"/>
          <w:i/>
          <w:sz w:val="19"/>
        </w:rPr>
        <w:t>(u) </w:t>
      </w:r>
      <w:r>
        <w:rPr/>
        <w:t>the single life  </w:t>
      </w:r>
      <w:r>
        <w:rPr>
          <w:rFonts w:ascii="Arial"/>
          <w:i/>
          <w:sz w:val="19"/>
        </w:rPr>
        <w:t>( x), </w:t>
      </w:r>
      <w:r>
        <w:rPr/>
        <w:t>we have</w:t>
      </w:r>
    </w:p>
    <w:p>
      <w:pPr>
        <w:spacing w:before="102"/>
        <w:ind w:left="74" w:right="63" w:firstLine="0"/>
        <w:jc w:val="center"/>
        <w:rPr>
          <w:sz w:val="16"/>
        </w:rPr>
      </w:pPr>
      <w:r>
        <w:rPr>
          <w:rFonts w:ascii="Arial" w:hAnsi="Arial"/>
          <w:w w:val="105"/>
          <w:sz w:val="19"/>
        </w:rPr>
        <w:t>ªnlls </w:t>
      </w:r>
      <w:r>
        <w:rPr>
          <w:w w:val="105"/>
          <w:sz w:val="23"/>
        </w:rPr>
        <w:t>= </w:t>
      </w:r>
      <w:r>
        <w:rPr>
          <w:b/>
          <w:i/>
          <w:w w:val="105"/>
          <w:sz w:val="17"/>
        </w:rPr>
        <w:t>a.i  </w:t>
      </w:r>
      <w:r>
        <w:rPr>
          <w:w w:val="305"/>
          <w:sz w:val="17"/>
        </w:rPr>
        <w:t>- </w:t>
      </w:r>
      <w:r>
        <w:rPr>
          <w:b/>
          <w:w w:val="105"/>
          <w:sz w:val="16"/>
        </w:rPr>
        <w:t>tlz:;i </w:t>
      </w:r>
      <w:r>
        <w:rPr>
          <w:w w:val="205"/>
          <w:sz w:val="16"/>
        </w:rPr>
        <w:t>'</w:t>
      </w:r>
    </w:p>
    <w:p>
      <w:pPr>
        <w:pStyle w:val="BodyText"/>
        <w:spacing w:before="44"/>
        <w:ind w:left="132"/>
        <w:jc w:val="both"/>
      </w:pPr>
      <w:r>
        <w:rPr>
          <w:w w:val="105"/>
        </w:rPr>
        <w:t>and  this  will  be  recognized   as  the  single-life  deferred  annuity,</w:t>
      </w:r>
    </w:p>
    <w:p>
      <w:pPr>
        <w:pStyle w:val="BodyText"/>
        <w:spacing w:line="227" w:lineRule="exact" w:before="11"/>
        <w:ind w:left="326" w:hanging="202"/>
      </w:pPr>
      <w:r>
        <w:rPr>
          <w:rFonts w:ascii="Arial"/>
          <w:w w:val="115"/>
          <w:sz w:val="14"/>
        </w:rPr>
        <w:t>nlas</w:t>
      </w:r>
      <w:r>
        <w:rPr>
          <w:rFonts w:ascii="Arial"/>
          <w:spacing w:val="-21"/>
          <w:w w:val="115"/>
          <w:sz w:val="14"/>
        </w:rPr>
        <w:t> </w:t>
      </w:r>
      <w:r>
        <w:rPr>
          <w:rFonts w:ascii="Arial"/>
          <w:w w:val="160"/>
          <w:sz w:val="14"/>
        </w:rPr>
        <w:t>,</w:t>
      </w:r>
      <w:r>
        <w:rPr>
          <w:rFonts w:ascii="Arial"/>
          <w:spacing w:val="-39"/>
          <w:w w:val="160"/>
          <w:sz w:val="14"/>
        </w:rPr>
        <w:t> </w:t>
      </w:r>
      <w:r>
        <w:rPr>
          <w:w w:val="115"/>
        </w:rPr>
        <w:t>cited</w:t>
      </w:r>
      <w:r>
        <w:rPr>
          <w:spacing w:val="-19"/>
          <w:w w:val="115"/>
        </w:rPr>
        <w:t> </w:t>
      </w:r>
      <w:r>
        <w:rPr>
          <w:w w:val="115"/>
        </w:rPr>
        <w:t>earlier</w:t>
      </w:r>
      <w:r>
        <w:rPr>
          <w:spacing w:val="-18"/>
          <w:w w:val="115"/>
        </w:rPr>
        <w:t> </w:t>
      </w:r>
      <w:r>
        <w:rPr>
          <w:w w:val="115"/>
        </w:rPr>
        <w:t>as</w:t>
      </w:r>
      <w:r>
        <w:rPr>
          <w:spacing w:val="-25"/>
          <w:w w:val="115"/>
        </w:rPr>
        <w:t> </w:t>
      </w:r>
      <w:r>
        <w:rPr>
          <w:w w:val="115"/>
        </w:rPr>
        <w:t>a</w:t>
      </w:r>
      <w:r>
        <w:rPr>
          <w:spacing w:val="-27"/>
          <w:w w:val="115"/>
        </w:rPr>
        <w:t> </w:t>
      </w:r>
      <w:r>
        <w:rPr>
          <w:w w:val="115"/>
        </w:rPr>
        <w:t>simple</w:t>
      </w:r>
      <w:r>
        <w:rPr>
          <w:spacing w:val="-23"/>
          <w:w w:val="115"/>
        </w:rPr>
        <w:t> </w:t>
      </w:r>
      <w:r>
        <w:rPr>
          <w:w w:val="115"/>
        </w:rPr>
        <w:t>example</w:t>
      </w:r>
      <w:r>
        <w:rPr>
          <w:spacing w:val="-24"/>
          <w:w w:val="115"/>
        </w:rPr>
        <w:t> </w:t>
      </w:r>
      <w:r>
        <w:rPr>
          <w:w w:val="115"/>
        </w:rPr>
        <w:t>of</w:t>
      </w:r>
      <w:r>
        <w:rPr>
          <w:spacing w:val="-15"/>
          <w:w w:val="115"/>
        </w:rPr>
        <w:t> </w:t>
      </w:r>
      <w:r>
        <w:rPr>
          <w:w w:val="115"/>
        </w:rPr>
        <w:t>a</w:t>
      </w:r>
      <w:r>
        <w:rPr>
          <w:spacing w:val="-22"/>
          <w:w w:val="115"/>
        </w:rPr>
        <w:t> </w:t>
      </w:r>
      <w:r>
        <w:rPr>
          <w:w w:val="115"/>
        </w:rPr>
        <w:t>reversionary</w:t>
      </w:r>
      <w:r>
        <w:rPr>
          <w:spacing w:val="-11"/>
          <w:w w:val="115"/>
        </w:rPr>
        <w:t> </w:t>
      </w:r>
      <w:r>
        <w:rPr>
          <w:w w:val="115"/>
        </w:rPr>
        <w:t>function.</w:t>
      </w:r>
    </w:p>
    <w:p>
      <w:pPr>
        <w:spacing w:line="234" w:lineRule="exact" w:before="0"/>
        <w:ind w:left="208" w:right="0" w:firstLine="0"/>
        <w:jc w:val="center"/>
        <w:rPr>
          <w:sz w:val="20"/>
        </w:rPr>
      </w:pPr>
      <w:r>
        <w:rPr>
          <w:w w:val="105"/>
          <w:sz w:val="20"/>
        </w:rPr>
        <w:t>An annuity </w:t>
      </w:r>
      <w:r>
        <w:rPr>
          <w:w w:val="105"/>
          <w:sz w:val="21"/>
        </w:rPr>
        <w:t>to  </w:t>
      </w:r>
      <w:r>
        <w:rPr>
          <w:rFonts w:ascii="Arial"/>
          <w:i/>
          <w:w w:val="105"/>
          <w:sz w:val="19"/>
        </w:rPr>
        <w:t>(x)  </w:t>
      </w:r>
      <w:r>
        <w:rPr>
          <w:w w:val="105"/>
          <w:sz w:val="20"/>
        </w:rPr>
        <w:t>af ter  </w:t>
      </w:r>
      <w:r>
        <w:rPr>
          <w:w w:val="105"/>
          <w:sz w:val="18"/>
        </w:rPr>
        <w:t>(y)  </w:t>
      </w:r>
      <w:r>
        <w:rPr>
          <w:w w:val="105"/>
          <w:sz w:val="20"/>
        </w:rPr>
        <w:t>with no payments </w:t>
      </w:r>
      <w:r>
        <w:rPr>
          <w:w w:val="105"/>
          <w:sz w:val="21"/>
        </w:rPr>
        <w:t>to </w:t>
      </w:r>
      <w:r>
        <w:rPr>
          <w:w w:val="105"/>
          <w:sz w:val="20"/>
        </w:rPr>
        <w:t>be made  after</w:t>
      </w:r>
    </w:p>
    <w:p>
      <w:pPr>
        <w:pStyle w:val="BodyText"/>
        <w:spacing w:line="248" w:lineRule="exact"/>
        <w:ind w:left="132"/>
        <w:jc w:val="both"/>
      </w:pPr>
      <w:r>
        <w:rPr>
          <w:i/>
          <w:w w:val="105"/>
          <w:sz w:val="22"/>
        </w:rPr>
        <w:t>n </w:t>
      </w:r>
      <w:r>
        <w:rPr>
          <w:w w:val="105"/>
        </w:rPr>
        <w:t>years from the present  time has the present   va.lue</w:t>
      </w:r>
    </w:p>
    <w:p>
      <w:pPr>
        <w:spacing w:after="0" w:line="248" w:lineRule="exact"/>
        <w:jc w:val="both"/>
        <w:sectPr>
          <w:type w:val="continuous"/>
          <w:pgSz w:w="7200" w:h="11340"/>
          <w:pgMar w:top="1100" w:bottom="0" w:left="660" w:right="560"/>
        </w:sectPr>
      </w:pPr>
    </w:p>
    <w:p>
      <w:pPr>
        <w:tabs>
          <w:tab w:pos="1293" w:val="left" w:leader="none"/>
          <w:tab w:pos="5835" w:val="right" w:leader="none"/>
        </w:tabs>
        <w:spacing w:before="51"/>
        <w:ind w:left="106" w:right="0" w:firstLine="0"/>
        <w:jc w:val="left"/>
        <w:rPr>
          <w:sz w:val="20"/>
        </w:rPr>
      </w:pPr>
      <w:r>
        <w:rPr>
          <w:color w:val="010101"/>
          <w:sz w:val="15"/>
        </w:rPr>
        <w:t>SEC. </w:t>
      </w:r>
      <w:r>
        <w:rPr>
          <w:color w:val="010101"/>
          <w:spacing w:val="25"/>
          <w:sz w:val="15"/>
        </w:rPr>
        <w:t> </w:t>
      </w:r>
      <w:r>
        <w:rPr>
          <w:rFonts w:ascii="Arial"/>
          <w:color w:val="010101"/>
          <w:sz w:val="20"/>
        </w:rPr>
        <w:t>4)</w:t>
        <w:tab/>
      </w:r>
      <w:r>
        <w:rPr>
          <w:b/>
          <w:color w:val="010101"/>
          <w:sz w:val="15"/>
        </w:rPr>
        <w:t>l'UNCTIONS   INVOLVING </w:t>
      </w:r>
      <w:r>
        <w:rPr>
          <w:b/>
          <w:color w:val="010101"/>
          <w:spacing w:val="36"/>
          <w:sz w:val="15"/>
        </w:rPr>
        <w:t> </w:t>
      </w:r>
      <w:r>
        <w:rPr>
          <w:b/>
          <w:color w:val="010101"/>
          <w:sz w:val="15"/>
        </w:rPr>
        <w:t>TERMS-CERTAIN</w:t>
      </w:r>
      <w:r>
        <w:rPr>
          <w:color w:val="010101"/>
          <w:position w:val="1"/>
          <w:sz w:val="20"/>
        </w:rPr>
        <w:tab/>
        <w:t>259</w:t>
      </w:r>
    </w:p>
    <w:p>
      <w:pPr>
        <w:pStyle w:val="BodyText"/>
        <w:spacing w:before="6"/>
        <w:rPr>
          <w:sz w:val="16"/>
        </w:rPr>
      </w:pPr>
    </w:p>
    <w:p>
      <w:pPr>
        <w:spacing w:before="0"/>
        <w:ind w:left="104" w:right="131" w:firstLine="0"/>
        <w:jc w:val="center"/>
        <w:rPr>
          <w:rFonts w:ascii="Arial" w:hAnsi="Arial"/>
          <w:sz w:val="22"/>
        </w:rPr>
      </w:pPr>
      <w:r>
        <w:rPr>
          <w:b/>
          <w:color w:val="010101"/>
          <w:sz w:val="21"/>
        </w:rPr>
        <w:t>a,,,.:;i </w:t>
      </w:r>
      <w:r>
        <w:rPr>
          <w:color w:val="010101"/>
          <w:sz w:val="29"/>
        </w:rPr>
        <w:t>= </w:t>
      </w:r>
      <w:r>
        <w:rPr>
          <w:b/>
          <w:color w:val="010101"/>
          <w:sz w:val="17"/>
        </w:rPr>
        <w:t>lJ.c:i} </w:t>
      </w:r>
      <w:r>
        <w:rPr>
          <w:color w:val="010101"/>
          <w:w w:val="295"/>
          <w:sz w:val="17"/>
        </w:rPr>
        <w:t>- </w:t>
      </w:r>
      <w:r>
        <w:rPr>
          <w:rFonts w:ascii="Arial" w:hAnsi="Arial"/>
          <w:color w:val="010101"/>
          <w:sz w:val="22"/>
        </w:rPr>
        <w:t>°-=iil </w:t>
      </w:r>
      <w:r>
        <w:rPr>
          <w:rFonts w:ascii="Arial" w:hAnsi="Arial"/>
          <w:color w:val="010101"/>
          <w:w w:val="140"/>
          <w:sz w:val="22"/>
        </w:rPr>
        <w:t>.</w:t>
      </w:r>
    </w:p>
    <w:p>
      <w:pPr>
        <w:pStyle w:val="BodyText"/>
        <w:spacing w:line="244" w:lineRule="exact" w:before="62"/>
        <w:ind w:left="116" w:right="126" w:hanging="4"/>
        <w:jc w:val="both"/>
        <w:rPr>
          <w:rFonts w:ascii="Arial" w:hAnsi="Arial"/>
          <w:sz w:val="16"/>
        </w:rPr>
      </w:pPr>
      <w:r>
        <w:rPr>
          <w:color w:val="010101"/>
          <w:w w:val="105"/>
        </w:rPr>
        <w:t>This function may be described as an n-year temporary rever­ </w:t>
      </w:r>
      <w:r>
        <w:rPr>
          <w:color w:val="010101"/>
          <w:w w:val="105"/>
        </w:rPr>
        <w:t>sionary </w:t>
      </w:r>
      <w:r>
        <w:rPr>
          <w:color w:val="010101"/>
          <w:w w:val="110"/>
        </w:rPr>
        <w:t>annuity. </w:t>
      </w:r>
      <w:r>
        <w:rPr>
          <w:color w:val="010101"/>
          <w:w w:val="104"/>
        </w:rPr>
        <w:t>An  </w:t>
      </w:r>
      <w:r>
        <w:rPr>
          <w:color w:val="010101"/>
          <w:w w:val="110"/>
        </w:rPr>
        <w:t>altemative </w:t>
      </w:r>
      <w:r>
        <w:rPr>
          <w:color w:val="010101"/>
          <w:w w:val="107"/>
        </w:rPr>
        <w:t>notation  </w:t>
      </w:r>
      <w:r>
        <w:rPr>
          <w:rFonts w:ascii="Arial" w:hAnsi="Arial"/>
          <w:color w:val="010101"/>
          <w:w w:val="104"/>
          <w:sz w:val="19"/>
        </w:rPr>
        <w:t>is </w:t>
      </w:r>
      <w:r>
        <w:rPr>
          <w:color w:val="010101"/>
          <w:w w:val="92"/>
          <w:sz w:val="22"/>
        </w:rPr>
        <w:t>"a,,</w:t>
      </w:r>
      <w:r>
        <w:rPr>
          <w:rFonts w:ascii="Arial" w:hAnsi="Arial"/>
          <w:color w:val="010101"/>
          <w:w w:val="92"/>
          <w:position w:val="-4"/>
          <w:sz w:val="16"/>
        </w:rPr>
        <w:t>1</w:t>
      </w:r>
      <w:r>
        <w:rPr>
          <w:rFonts w:ascii="Arial" w:hAnsi="Arial"/>
          <w:color w:val="010101"/>
          <w:w w:val="92"/>
          <w:sz w:val="16"/>
        </w:rPr>
        <w:t>• </w:t>
      </w:r>
      <w:r>
        <w:rPr>
          <w:rFonts w:ascii="Arial" w:hAnsi="Arial"/>
          <w:color w:val="010101"/>
          <w:w w:val="78"/>
          <w:sz w:val="16"/>
        </w:rPr>
        <w:t>•</w:t>
      </w:r>
    </w:p>
    <w:p>
      <w:pPr>
        <w:spacing w:line="235" w:lineRule="exact" w:before="0"/>
        <w:ind w:left="116" w:right="0" w:firstLine="190"/>
        <w:jc w:val="left"/>
        <w:rPr>
          <w:sz w:val="20"/>
        </w:rPr>
      </w:pPr>
      <w:r>
        <w:rPr>
          <w:color w:val="010101"/>
          <w:sz w:val="20"/>
        </w:rPr>
        <w:t>An annuity </w:t>
      </w:r>
      <w:r>
        <w:rPr>
          <w:color w:val="010101"/>
          <w:sz w:val="22"/>
        </w:rPr>
        <w:t>to </w:t>
      </w:r>
      <w:r>
        <w:rPr>
          <w:rFonts w:ascii="Arial"/>
          <w:i/>
          <w:color w:val="010101"/>
          <w:sz w:val="19"/>
        </w:rPr>
        <w:t>(x) </w:t>
      </w:r>
      <w:r>
        <w:rPr>
          <w:color w:val="010101"/>
          <w:sz w:val="20"/>
        </w:rPr>
        <w:t>a.fter  </w:t>
      </w:r>
      <w:r>
        <w:rPr>
          <w:rFonts w:ascii="Arial"/>
          <w:i/>
          <w:color w:val="010101"/>
          <w:sz w:val="19"/>
        </w:rPr>
        <w:t>(y )  </w:t>
      </w:r>
      <w:r>
        <w:rPr>
          <w:color w:val="010101"/>
          <w:sz w:val="20"/>
        </w:rPr>
        <w:t>with no payments  </w:t>
      </w:r>
      <w:r>
        <w:rPr>
          <w:color w:val="010101"/>
          <w:sz w:val="22"/>
        </w:rPr>
        <w:t>to </w:t>
      </w:r>
      <w:r>
        <w:rPr>
          <w:color w:val="010101"/>
          <w:sz w:val="20"/>
        </w:rPr>
        <w:t>be    made within</w:t>
      </w:r>
    </w:p>
    <w:p>
      <w:pPr>
        <w:pStyle w:val="BodyText"/>
        <w:spacing w:line="268" w:lineRule="auto"/>
        <w:ind w:left="116" w:right="118"/>
        <w:jc w:val="both"/>
      </w:pPr>
      <w:r>
        <w:rPr>
          <w:color w:val="010101"/>
          <w:w w:val="105"/>
        </w:rPr>
        <w:t>the first </w:t>
      </w:r>
      <w:r>
        <w:rPr>
          <w:i/>
          <w:color w:val="010101"/>
          <w:w w:val="105"/>
          <w:sz w:val="21"/>
        </w:rPr>
        <w:t>n </w:t>
      </w:r>
      <w:r>
        <w:rPr>
          <w:color w:val="010101"/>
          <w:w w:val="105"/>
        </w:rPr>
        <w:t>years from the present time may be interpreted as an annuity  </w:t>
      </w:r>
      <w:r>
        <w:rPr>
          <w:color w:val="010101"/>
          <w:w w:val="105"/>
          <w:sz w:val="22"/>
        </w:rPr>
        <w:t>to  </w:t>
      </w:r>
      <w:r>
        <w:rPr>
          <w:rFonts w:ascii="Arial" w:hAnsi="Arial"/>
          <w:i/>
          <w:color w:val="010101"/>
          <w:w w:val="105"/>
          <w:sz w:val="19"/>
        </w:rPr>
        <w:t>(x) </w:t>
      </w:r>
      <w:r>
        <w:rPr>
          <w:color w:val="010101"/>
          <w:w w:val="105"/>
        </w:rPr>
        <w:t>after  (y:</w:t>
      </w:r>
      <w:r>
        <w:rPr>
          <w:color w:val="010101"/>
          <w:w w:val="105"/>
          <w:u w:val="thick" w:color="000000"/>
        </w:rPr>
        <w:t>ñ]), </w:t>
      </w:r>
      <w:r>
        <w:rPr>
          <w:color w:val="010101"/>
          <w:w w:val="105"/>
        </w:rPr>
        <w:t>and</w:t>
      </w:r>
    </w:p>
    <w:p>
      <w:pPr>
        <w:tabs>
          <w:tab w:pos="1066" w:val="left" w:leader="none"/>
          <w:tab w:pos="1486" w:val="left" w:leader="none"/>
          <w:tab w:pos="2365" w:val="left" w:leader="none"/>
          <w:tab w:pos="2760" w:val="left" w:leader="none"/>
          <w:tab w:pos="3345" w:val="left" w:leader="none"/>
        </w:tabs>
        <w:spacing w:before="4"/>
        <w:ind w:left="0" w:right="0" w:firstLine="0"/>
        <w:jc w:val="center"/>
        <w:rPr>
          <w:b/>
          <w:sz w:val="16"/>
        </w:rPr>
      </w:pPr>
      <w:r>
        <w:rPr/>
        <w:pict>
          <v:line style="position:absolute;mso-position-horizontal-relative:page;mso-position-vertical-relative:paragraph;z-index:-715456" from="92.961121pt,15.657304pt" to="96.550351pt,15.657304pt" stroked="true" strokeweight=".897308pt" strokecolor="#000000">
            <w10:wrap type="none"/>
          </v:line>
        </w:pict>
      </w:r>
      <w:r>
        <w:rPr/>
        <w:pict>
          <v:line style="position:absolute;mso-position-horizontal-relative:page;mso-position-vertical-relative:paragraph;z-index:-715432" from="152.183395pt,15.926904pt" to="154.336995pt,15.926904pt" stroked="true" strokeweight="1.435693pt" strokecolor="#000000">
            <w10:wrap type="none"/>
          </v:line>
        </w:pict>
      </w:r>
      <w:r>
        <w:rPr>
          <w:rFonts w:ascii="Arial"/>
          <w:b/>
          <w:color w:val="010101"/>
          <w:sz w:val="16"/>
        </w:rPr>
        <w:t>a,,:ii')ls</w:t>
      </w:r>
      <w:r>
        <w:rPr>
          <w:rFonts w:ascii="Arial"/>
          <w:b/>
          <w:color w:val="010101"/>
          <w:spacing w:val="17"/>
          <w:sz w:val="16"/>
        </w:rPr>
        <w:t> </w:t>
      </w:r>
      <w:r>
        <w:rPr>
          <w:color w:val="010101"/>
          <w:sz w:val="27"/>
        </w:rPr>
        <w:t>=</w:t>
        <w:tab/>
      </w:r>
      <w:r>
        <w:rPr>
          <w:color w:val="010101"/>
          <w:w w:val="190"/>
          <w:sz w:val="27"/>
        </w:rPr>
        <w:t>-</w:t>
        <w:tab/>
      </w:r>
      <w:r>
        <w:rPr>
          <w:b/>
          <w:color w:val="010101"/>
          <w:w w:val="125"/>
          <w:sz w:val="12"/>
        </w:rPr>
        <w:t>:s,:i;l </w:t>
      </w:r>
      <w:r>
        <w:rPr>
          <w:b/>
          <w:color w:val="010101"/>
          <w:spacing w:val="5"/>
          <w:w w:val="125"/>
          <w:sz w:val="12"/>
        </w:rPr>
        <w:t> </w:t>
      </w:r>
      <w:r>
        <w:rPr>
          <w:color w:val="010101"/>
          <w:sz w:val="27"/>
        </w:rPr>
        <w:t>=</w:t>
        <w:tab/>
      </w:r>
      <w:r>
        <w:rPr>
          <w:color w:val="010101"/>
          <w:w w:val="190"/>
          <w:sz w:val="27"/>
        </w:rPr>
        <w:t>-</w:t>
        <w:tab/>
      </w:r>
      <w:r>
        <w:rPr>
          <w:b/>
          <w:i/>
          <w:color w:val="010101"/>
          <w:sz w:val="11"/>
        </w:rPr>
        <w:t>ll  </w:t>
      </w:r>
      <w:r>
        <w:rPr>
          <w:b/>
          <w:i/>
          <w:color w:val="010101"/>
          <w:spacing w:val="21"/>
          <w:sz w:val="11"/>
        </w:rPr>
        <w:t> </w:t>
      </w:r>
      <w:r>
        <w:rPr>
          <w:color w:val="010101"/>
          <w:w w:val="500"/>
          <w:sz w:val="11"/>
        </w:rPr>
        <w:t>-</w:t>
        <w:tab/>
      </w:r>
      <w:r>
        <w:rPr>
          <w:color w:val="010101"/>
          <w:w w:val="95"/>
          <w:sz w:val="17"/>
        </w:rPr>
        <w:t>:i;l </w:t>
      </w:r>
      <w:r>
        <w:rPr>
          <w:rFonts w:ascii="Arial"/>
          <w:color w:val="010101"/>
          <w:w w:val="95"/>
          <w:sz w:val="32"/>
        </w:rPr>
        <w:t>+</w:t>
      </w:r>
      <w:r>
        <w:rPr>
          <w:rFonts w:ascii="Arial"/>
          <w:color w:val="010101"/>
          <w:spacing w:val="-51"/>
          <w:w w:val="95"/>
          <w:sz w:val="32"/>
        </w:rPr>
        <w:t> </w:t>
      </w:r>
      <w:r>
        <w:rPr>
          <w:b/>
          <w:color w:val="010101"/>
          <w:w w:val="95"/>
          <w:sz w:val="16"/>
        </w:rPr>
        <w:t>Osi,:i"j</w:t>
      </w:r>
    </w:p>
    <w:p>
      <w:pPr>
        <w:spacing w:before="13"/>
        <w:ind w:left="2736" w:right="0" w:firstLine="0"/>
        <w:jc w:val="left"/>
        <w:rPr>
          <w:rFonts w:ascii="Arial" w:hAnsi="Arial"/>
          <w:sz w:val="15"/>
        </w:rPr>
      </w:pPr>
      <w:r>
        <w:rPr>
          <w:color w:val="010101"/>
          <w:sz w:val="26"/>
        </w:rPr>
        <w:t>= </w:t>
      </w:r>
      <w:r>
        <w:rPr>
          <w:rFonts w:ascii="Arial" w:hAnsi="Arial"/>
          <w:b/>
          <w:color w:val="010101"/>
          <w:w w:val="155"/>
          <w:sz w:val="15"/>
        </w:rPr>
        <w:t>t1I </w:t>
      </w:r>
      <w:r>
        <w:rPr>
          <w:rFonts w:ascii="Arial" w:hAnsi="Arial"/>
          <w:color w:val="010101"/>
          <w:w w:val="320"/>
          <w:sz w:val="15"/>
        </w:rPr>
        <w:t>- </w:t>
      </w:r>
      <w:r>
        <w:rPr>
          <w:rFonts w:ascii="Arial" w:hAnsi="Arial"/>
          <w:b/>
          <w:color w:val="010101"/>
          <w:sz w:val="15"/>
        </w:rPr>
        <w:t>nla.ia, </w:t>
      </w:r>
      <w:r>
        <w:rPr>
          <w:rFonts w:ascii="Arial" w:hAnsi="Arial"/>
          <w:color w:val="010101"/>
          <w:sz w:val="15"/>
        </w:rPr>
        <w:t>•</w:t>
      </w:r>
    </w:p>
    <w:p>
      <w:pPr>
        <w:pStyle w:val="BodyText"/>
        <w:spacing w:line="254" w:lineRule="auto" w:before="91"/>
        <w:ind w:left="116" w:right="108" w:firstLine="3"/>
        <w:jc w:val="both"/>
        <w:rPr>
          <w:sz w:val="15"/>
        </w:rPr>
      </w:pPr>
      <w:r>
        <w:rPr>
          <w:color w:val="010101"/>
          <w:w w:val="105"/>
        </w:rPr>
        <w:t>The function is an n-year deferred reversionary annuity. An al­ temative  symbol for the present  value  </w:t>
      </w:r>
      <w:r>
        <w:rPr>
          <w:rFonts w:ascii="Arial" w:hAnsi="Arial"/>
          <w:color w:val="010101"/>
          <w:w w:val="105"/>
        </w:rPr>
        <w:t>is </w:t>
      </w:r>
      <w:r>
        <w:rPr>
          <w:color w:val="010101"/>
          <w:w w:val="105"/>
          <w:sz w:val="15"/>
        </w:rPr>
        <w:t>"10.,1s •</w:t>
      </w:r>
    </w:p>
    <w:p>
      <w:pPr>
        <w:pStyle w:val="BodyText"/>
        <w:spacing w:line="222" w:lineRule="exact"/>
        <w:ind w:left="116" w:firstLine="197"/>
      </w:pPr>
      <w:r>
        <w:rPr>
          <w:color w:val="010101"/>
          <w:w w:val="110"/>
          <w:sz w:val="22"/>
        </w:rPr>
        <w:t>It </w:t>
      </w:r>
      <w:r>
        <w:rPr>
          <w:color w:val="010101"/>
          <w:w w:val="110"/>
        </w:rPr>
        <w:t>should be noted that the tenn-certain in the above </w:t>
      </w:r>
      <w:r>
        <w:rPr>
          <w:color w:val="010101"/>
          <w:spacing w:val="50"/>
          <w:w w:val="110"/>
        </w:rPr>
        <w:t> </w:t>
      </w:r>
      <w:r>
        <w:rPr>
          <w:color w:val="010101"/>
          <w:w w:val="110"/>
        </w:rPr>
        <w:t>functions</w:t>
      </w:r>
    </w:p>
    <w:p>
      <w:pPr>
        <w:pStyle w:val="BodyText"/>
        <w:spacing w:line="249" w:lineRule="auto"/>
        <w:ind w:left="113" w:right="102" w:firstLine="3"/>
        <w:jc w:val="both"/>
      </w:pPr>
      <w:r>
        <w:rPr>
          <w:color w:val="010101"/>
        </w:rPr>
        <w:t>is measured from the  date of  issue  of  the  contra.et.  </w:t>
      </w:r>
      <w:r>
        <w:rPr>
          <w:color w:val="010101"/>
          <w:sz w:val="22"/>
        </w:rPr>
        <w:t>It </w:t>
      </w:r>
      <w:r>
        <w:rPr>
          <w:color w:val="010101"/>
        </w:rPr>
        <w:t>is important  to distinguish clearly another type of function in  which  the  tem­ porary or deferred period is measured from the  </w:t>
      </w:r>
      <w:r>
        <w:rPr>
          <w:i/>
          <w:color w:val="010101"/>
          <w:sz w:val="21"/>
        </w:rPr>
        <w:t>date  </w:t>
      </w:r>
      <w:r>
        <w:rPr>
          <w:i/>
          <w:color w:val="010101"/>
        </w:rPr>
        <w:t>of  </w:t>
      </w:r>
      <w:r>
        <w:rPr>
          <w:i/>
          <w:color w:val="010101"/>
          <w:sz w:val="21"/>
        </w:rPr>
        <w:t>death  </w:t>
      </w:r>
      <w:r>
        <w:rPr>
          <w:color w:val="010101"/>
        </w:rPr>
        <w:t>in­ stead of the da.te of issue. In the case where the deferred period is measured from the end of the year of death of </w:t>
      </w:r>
      <w:r>
        <w:rPr>
          <w:rFonts w:ascii="Arial" w:hAnsi="Arial"/>
          <w:i/>
          <w:color w:val="010101"/>
          <w:spacing w:val="5"/>
          <w:sz w:val="19"/>
        </w:rPr>
        <w:t>(y), </w:t>
      </w:r>
      <w:r>
        <w:rPr>
          <w:color w:val="010101"/>
        </w:rPr>
        <w:t>the benefit is</w:t>
      </w:r>
      <w:r>
        <w:rPr>
          <w:color w:val="282828"/>
        </w:rPr>
        <w:t>·</w:t>
      </w:r>
      <w:r>
        <w:rPr>
          <w:color w:val="010101"/>
        </w:rPr>
        <w:t>an a.nnuity to </w:t>
      </w:r>
      <w:r>
        <w:rPr>
          <w:rFonts w:ascii="Arial" w:hAnsi="Arial"/>
          <w:i/>
          <w:color w:val="010101"/>
          <w:spacing w:val="2"/>
          <w:sz w:val="19"/>
        </w:rPr>
        <w:t>(x) </w:t>
      </w:r>
      <w:r>
        <w:rPr>
          <w:color w:val="010101"/>
        </w:rPr>
        <w:t>commencing </w:t>
      </w:r>
      <w:r>
        <w:rPr>
          <w:rFonts w:ascii="Arial" w:hAnsi="Arial"/>
          <w:i/>
          <w:color w:val="010101"/>
          <w:sz w:val="19"/>
        </w:rPr>
        <w:t>n </w:t>
      </w:r>
      <w:r>
        <w:rPr>
          <w:color w:val="010101"/>
        </w:rPr>
        <w:t>years after the death of </w:t>
      </w:r>
      <w:r>
        <w:rPr>
          <w:rFonts w:ascii="Arial" w:hAnsi="Arial"/>
          <w:i/>
          <w:color w:val="010101"/>
          <w:spacing w:val="5"/>
          <w:sz w:val="19"/>
        </w:rPr>
        <w:t>(y </w:t>
      </w:r>
      <w:r>
        <w:rPr>
          <w:rFonts w:ascii="Arial" w:hAnsi="Arial"/>
          <w:i/>
          <w:color w:val="010101"/>
          <w:sz w:val="19"/>
        </w:rPr>
        <w:t>), </w:t>
      </w:r>
      <w:r>
        <w:rPr>
          <w:color w:val="010101"/>
        </w:rPr>
        <w:t>and the present  va.lue</w:t>
      </w:r>
      <w:r>
        <w:rPr>
          <w:color w:val="010101"/>
          <w:spacing w:val="12"/>
        </w:rPr>
        <w:t> </w:t>
      </w:r>
      <w:r>
        <w:rPr>
          <w:color w:val="010101"/>
        </w:rPr>
        <w:t>is</w:t>
      </w:r>
    </w:p>
    <w:p>
      <w:pPr>
        <w:spacing w:after="0" w:line="249" w:lineRule="auto"/>
        <w:jc w:val="both"/>
        <w:sectPr>
          <w:pgSz w:w="7200" w:h="11340"/>
          <w:pgMar w:top="500" w:bottom="280" w:left="680" w:right="560"/>
        </w:sectPr>
      </w:pPr>
    </w:p>
    <w:p>
      <w:pPr>
        <w:tabs>
          <w:tab w:pos="953" w:val="left" w:leader="none"/>
        </w:tabs>
        <w:spacing w:before="208"/>
        <w:ind w:left="296" w:right="0" w:firstLine="0"/>
        <w:jc w:val="left"/>
        <w:rPr>
          <w:b/>
          <w:i/>
          <w:sz w:val="26"/>
        </w:rPr>
      </w:pPr>
      <w:r>
        <w:rPr/>
        <w:pict>
          <v:shape style="position:absolute;margin-left:66.939194pt;margin-top:12.007368pt;width:78pt;height:7.5pt;mso-position-horizontal-relative:page;mso-position-vertical-relative:paragraph;z-index:-715312" type="#_x0000_t202" filled="false" stroked="false">
            <v:textbox inset="0,0,0,0">
              <w:txbxContent>
                <w:p>
                  <w:pPr>
                    <w:tabs>
                      <w:tab w:pos="721" w:val="left" w:leader="none"/>
                      <w:tab w:pos="1489" w:val="left" w:leader="none"/>
                    </w:tabs>
                    <w:spacing w:line="150" w:lineRule="exact" w:before="0"/>
                    <w:ind w:left="0" w:right="0" w:firstLine="0"/>
                    <w:jc w:val="left"/>
                    <w:rPr>
                      <w:sz w:val="15"/>
                    </w:rPr>
                  </w:pPr>
                  <w:r>
                    <w:rPr>
                      <w:color w:val="010101"/>
                      <w:w w:val="115"/>
                      <w:sz w:val="15"/>
                    </w:rPr>
                    <w:t>n+a</w:t>
                    <w:tab/>
                  </w:r>
                  <w:r>
                    <w:rPr>
                      <w:color w:val="010101"/>
                      <w:w w:val="125"/>
                      <w:sz w:val="15"/>
                    </w:rPr>
                    <w:t>(</w:t>
                    <w:tab/>
                    <w:t>)</w:t>
                  </w:r>
                </w:p>
              </w:txbxContent>
            </v:textbox>
            <w10:wrap type="none"/>
          </v:shape>
        </w:pict>
      </w:r>
      <w:r>
        <w:rPr>
          <w:b/>
          <w:i/>
          <w:color w:val="010101"/>
          <w:spacing w:val="-97"/>
          <w:w w:val="99"/>
          <w:sz w:val="17"/>
        </w:rPr>
        <w:t>L</w:t>
      </w:r>
      <w:r>
        <w:rPr>
          <w:rFonts w:ascii="Arial"/>
          <w:b/>
          <w:color w:val="010101"/>
          <w:spacing w:val="-23"/>
          <w:w w:val="96"/>
          <w:position w:val="-11"/>
          <w:sz w:val="27"/>
        </w:rPr>
        <w:t>,</w:t>
      </w:r>
      <w:r>
        <w:rPr>
          <w:rFonts w:ascii="Arial"/>
          <w:b/>
          <w:color w:val="010101"/>
          <w:spacing w:val="-31"/>
          <w:w w:val="84"/>
          <w:position w:val="-11"/>
          <w:sz w:val="27"/>
        </w:rPr>
        <w:t>-</w:t>
      </w:r>
      <w:r>
        <w:rPr>
          <w:b/>
          <w:i/>
          <w:color w:val="010101"/>
          <w:spacing w:val="-55"/>
          <w:sz w:val="17"/>
        </w:rPr>
        <w:t>J</w:t>
      </w:r>
      <w:r>
        <w:rPr>
          <w:rFonts w:ascii="Arial"/>
          <w:b/>
          <w:color w:val="010101"/>
          <w:spacing w:val="14"/>
          <w:w w:val="84"/>
          <w:position w:val="-11"/>
          <w:sz w:val="27"/>
        </w:rPr>
        <w:t>1</w:t>
      </w:r>
      <w:r>
        <w:rPr>
          <w:rFonts w:ascii="Arial"/>
          <w:b/>
          <w:i/>
          <w:color w:val="010101"/>
          <w:w w:val="80"/>
          <w:sz w:val="14"/>
        </w:rPr>
        <w:t>V</w:t>
      </w:r>
      <w:r>
        <w:rPr>
          <w:rFonts w:ascii="Arial"/>
          <w:b/>
          <w:i/>
          <w:color w:val="010101"/>
          <w:sz w:val="14"/>
        </w:rPr>
        <w:tab/>
      </w:r>
      <w:r>
        <w:rPr>
          <w:rFonts w:ascii="Arial"/>
          <w:b/>
          <w:color w:val="010101"/>
          <w:w w:val="77"/>
          <w:sz w:val="15"/>
        </w:rPr>
        <w:t>t1+</w:t>
      </w:r>
      <w:r>
        <w:rPr>
          <w:rFonts w:ascii="Arial"/>
          <w:b/>
          <w:color w:val="010101"/>
          <w:spacing w:val="-12"/>
          <w:w w:val="77"/>
          <w:sz w:val="15"/>
        </w:rPr>
        <w:t>1</w:t>
      </w:r>
      <w:r>
        <w:rPr>
          <w:rFonts w:ascii="Arial"/>
          <w:b/>
          <w:color w:val="010101"/>
          <w:w w:val="108"/>
          <w:sz w:val="15"/>
        </w:rPr>
        <w:t>Ps</w:t>
      </w:r>
      <w:r>
        <w:rPr>
          <w:rFonts w:ascii="Arial"/>
          <w:b/>
          <w:color w:val="010101"/>
          <w:sz w:val="15"/>
        </w:rPr>
        <w:t> </w:t>
      </w:r>
      <w:r>
        <w:rPr>
          <w:rFonts w:ascii="Arial"/>
          <w:b/>
          <w:color w:val="010101"/>
          <w:spacing w:val="14"/>
          <w:sz w:val="15"/>
        </w:rPr>
        <w:t> </w:t>
      </w:r>
      <w:r>
        <w:rPr>
          <w:b/>
          <w:color w:val="010101"/>
          <w:w w:val="104"/>
          <w:sz w:val="19"/>
        </w:rPr>
        <w:t>1</w:t>
      </w:r>
      <w:r>
        <w:rPr>
          <w:b/>
          <w:color w:val="010101"/>
          <w:sz w:val="19"/>
        </w:rPr>
        <w:t> </w:t>
      </w:r>
      <w:r>
        <w:rPr>
          <w:b/>
          <w:color w:val="010101"/>
          <w:spacing w:val="-18"/>
          <w:sz w:val="19"/>
        </w:rPr>
        <w:t> </w:t>
      </w:r>
      <w:r>
        <w:rPr>
          <w:color w:val="010101"/>
          <w:w w:val="303"/>
          <w:sz w:val="19"/>
        </w:rPr>
        <w:t>-</w:t>
      </w:r>
      <w:r>
        <w:rPr>
          <w:color w:val="010101"/>
          <w:spacing w:val="4"/>
          <w:sz w:val="19"/>
        </w:rPr>
        <w:t> </w:t>
      </w:r>
      <w:r>
        <w:rPr>
          <w:b/>
          <w:i/>
          <w:color w:val="010101"/>
          <w:spacing w:val="-1"/>
          <w:w w:val="72"/>
          <w:sz w:val="26"/>
        </w:rPr>
        <w:t>,</w:t>
      </w:r>
      <w:r>
        <w:rPr>
          <w:b/>
          <w:i/>
          <w:color w:val="010101"/>
          <w:w w:val="64"/>
          <w:sz w:val="26"/>
        </w:rPr>
        <w:t>p,,</w:t>
      </w:r>
    </w:p>
    <w:p>
      <w:pPr>
        <w:spacing w:line="327" w:lineRule="exact" w:before="156"/>
        <w:ind w:left="65" w:right="0" w:firstLine="0"/>
        <w:jc w:val="left"/>
        <w:rPr>
          <w:rFonts w:ascii="Arial" w:hAnsi="Arial"/>
          <w:b/>
          <w:sz w:val="15"/>
        </w:rPr>
      </w:pPr>
      <w:r>
        <w:rPr/>
        <w:br w:type="column"/>
      </w:r>
      <w:r>
        <w:rPr>
          <w:color w:val="010101"/>
          <w:w w:val="89"/>
          <w:sz w:val="26"/>
        </w:rPr>
        <w:t>=</w:t>
      </w:r>
      <w:r>
        <w:rPr>
          <w:color w:val="010101"/>
          <w:spacing w:val="25"/>
          <w:sz w:val="26"/>
        </w:rPr>
        <w:t> </w:t>
      </w:r>
      <w:r>
        <w:rPr>
          <w:i/>
          <w:color w:val="010101"/>
          <w:spacing w:val="-30"/>
          <w:w w:val="74"/>
          <w:position w:val="9"/>
          <w:sz w:val="22"/>
        </w:rPr>
        <w:t>D</w:t>
      </w:r>
      <w:r>
        <w:rPr>
          <w:rFonts w:ascii="Arial" w:hAnsi="Arial"/>
          <w:b/>
          <w:i/>
          <w:color w:val="010101"/>
          <w:spacing w:val="-131"/>
          <w:w w:val="110"/>
          <w:sz w:val="20"/>
        </w:rPr>
        <w:t>D</w:t>
      </w:r>
      <w:r>
        <w:rPr>
          <w:i/>
          <w:color w:val="010101"/>
          <w:w w:val="74"/>
          <w:position w:val="9"/>
          <w:sz w:val="22"/>
        </w:rPr>
        <w:t>a-r•</w:t>
      </w:r>
      <w:r>
        <w:rPr>
          <w:i/>
          <w:color w:val="010101"/>
          <w:position w:val="9"/>
          <w:sz w:val="22"/>
        </w:rPr>
        <w:t> </w:t>
      </w:r>
      <w:r>
        <w:rPr>
          <w:i/>
          <w:color w:val="010101"/>
          <w:spacing w:val="-12"/>
          <w:position w:val="9"/>
          <w:sz w:val="22"/>
        </w:rPr>
        <w:t> </w:t>
      </w:r>
      <w:r>
        <w:rPr>
          <w:color w:val="010101"/>
          <w:spacing w:val="9"/>
          <w:w w:val="94"/>
          <w:position w:val="9"/>
          <w:sz w:val="22"/>
        </w:rPr>
        <w:t>(</w:t>
      </w:r>
      <w:r>
        <w:rPr>
          <w:rFonts w:ascii="Arial" w:hAnsi="Arial"/>
          <w:b/>
          <w:color w:val="010101"/>
          <w:w w:val="91"/>
          <w:sz w:val="15"/>
        </w:rPr>
        <w:t>Oz+n</w:t>
      </w:r>
      <w:r>
        <w:rPr>
          <w:rFonts w:ascii="Arial" w:hAnsi="Arial"/>
          <w:b/>
          <w:color w:val="010101"/>
          <w:sz w:val="15"/>
        </w:rPr>
        <w:t> </w:t>
      </w:r>
      <w:r>
        <w:rPr>
          <w:rFonts w:ascii="Arial" w:hAnsi="Arial"/>
          <w:b/>
          <w:color w:val="010101"/>
          <w:spacing w:val="17"/>
          <w:sz w:val="15"/>
        </w:rPr>
        <w:t> </w:t>
      </w:r>
      <w:r>
        <w:rPr>
          <w:rFonts w:ascii="Arial" w:hAnsi="Arial"/>
          <w:color w:val="010101"/>
          <w:w w:val="349"/>
          <w:sz w:val="15"/>
        </w:rPr>
        <w:t>-</w:t>
      </w:r>
      <w:r>
        <w:rPr>
          <w:rFonts w:ascii="Arial" w:hAnsi="Arial"/>
          <w:color w:val="010101"/>
          <w:spacing w:val="20"/>
          <w:sz w:val="15"/>
        </w:rPr>
        <w:t> </w:t>
      </w:r>
      <w:r>
        <w:rPr>
          <w:b/>
          <w:color w:val="010101"/>
          <w:w w:val="122"/>
          <w:sz w:val="13"/>
        </w:rPr>
        <w:t>aa+n</w:t>
      </w:r>
      <w:r>
        <w:rPr>
          <w:b/>
          <w:color w:val="010101"/>
          <w:spacing w:val="-10"/>
          <w:sz w:val="13"/>
        </w:rPr>
        <w:t> </w:t>
      </w:r>
      <w:r>
        <w:rPr>
          <w:b/>
          <w:color w:val="282828"/>
          <w:spacing w:val="-4"/>
          <w:w w:val="82"/>
          <w:sz w:val="13"/>
        </w:rPr>
        <w:t>:</w:t>
      </w:r>
      <w:r>
        <w:rPr>
          <w:b/>
          <w:color w:val="010101"/>
          <w:w w:val="90"/>
          <w:sz w:val="13"/>
        </w:rPr>
        <w:t>s,</w:t>
      </w:r>
      <w:r>
        <w:rPr>
          <w:b/>
          <w:color w:val="010101"/>
          <w:spacing w:val="-19"/>
          <w:sz w:val="13"/>
        </w:rPr>
        <w:t> </w:t>
      </w:r>
      <w:r>
        <w:rPr>
          <w:color w:val="010101"/>
          <w:w w:val="94"/>
          <w:position w:val="9"/>
          <w:sz w:val="22"/>
        </w:rPr>
        <w:t>)</w:t>
      </w:r>
      <w:r>
        <w:rPr>
          <w:color w:val="010101"/>
          <w:position w:val="9"/>
          <w:sz w:val="22"/>
        </w:rPr>
        <w:t> </w:t>
      </w:r>
      <w:r>
        <w:rPr>
          <w:color w:val="010101"/>
          <w:spacing w:val="-11"/>
          <w:position w:val="9"/>
          <w:sz w:val="22"/>
        </w:rPr>
        <w:t> </w:t>
      </w:r>
      <w:r>
        <w:rPr>
          <w:color w:val="010101"/>
          <w:w w:val="89"/>
          <w:sz w:val="26"/>
        </w:rPr>
        <w:t>=</w:t>
      </w:r>
      <w:r>
        <w:rPr>
          <w:color w:val="010101"/>
          <w:spacing w:val="18"/>
          <w:sz w:val="26"/>
        </w:rPr>
        <w:t> </w:t>
      </w:r>
      <w:r>
        <w:rPr>
          <w:i/>
          <w:color w:val="010101"/>
          <w:spacing w:val="-38"/>
          <w:w w:val="79"/>
          <w:position w:val="9"/>
          <w:sz w:val="22"/>
        </w:rPr>
        <w:t>D</w:t>
      </w:r>
      <w:r>
        <w:rPr>
          <w:rFonts w:ascii="Arial" w:hAnsi="Arial"/>
          <w:b/>
          <w:i/>
          <w:color w:val="010101"/>
          <w:spacing w:val="-123"/>
          <w:w w:val="110"/>
          <w:sz w:val="20"/>
        </w:rPr>
        <w:t>D</w:t>
      </w:r>
      <w:r>
        <w:rPr>
          <w:i/>
          <w:color w:val="010101"/>
          <w:w w:val="79"/>
          <w:position w:val="9"/>
          <w:sz w:val="22"/>
        </w:rPr>
        <w:t>s</w:t>
      </w:r>
      <w:r>
        <w:rPr>
          <w:i/>
          <w:color w:val="010101"/>
          <w:spacing w:val="8"/>
          <w:w w:val="79"/>
          <w:position w:val="9"/>
          <w:sz w:val="22"/>
        </w:rPr>
        <w:t>+</w:t>
      </w:r>
      <w:r>
        <w:rPr>
          <w:i/>
          <w:color w:val="010101"/>
          <w:w w:val="103"/>
          <w:position w:val="9"/>
          <w:sz w:val="22"/>
        </w:rPr>
        <w:t>"</w:t>
      </w:r>
      <w:r>
        <w:rPr>
          <w:i/>
          <w:color w:val="010101"/>
          <w:spacing w:val="-15"/>
          <w:position w:val="9"/>
          <w:sz w:val="22"/>
        </w:rPr>
        <w:t> </w:t>
      </w:r>
      <w:r>
        <w:rPr>
          <w:rFonts w:ascii="Arial" w:hAnsi="Arial"/>
          <w:b/>
          <w:color w:val="010101"/>
          <w:w w:val="78"/>
          <w:sz w:val="15"/>
        </w:rPr>
        <w:t>Cli,!s+t1</w:t>
      </w:r>
      <w:r>
        <w:rPr>
          <w:rFonts w:ascii="Arial" w:hAnsi="Arial"/>
          <w:b/>
          <w:color w:val="010101"/>
          <w:spacing w:val="-7"/>
          <w:sz w:val="15"/>
        </w:rPr>
        <w:t> </w:t>
      </w:r>
      <w:r>
        <w:rPr>
          <w:rFonts w:ascii="Arial" w:hAnsi="Arial"/>
          <w:b/>
          <w:color w:val="010101"/>
          <w:w w:val="72"/>
          <w:sz w:val="15"/>
        </w:rPr>
        <w:t>•</w:t>
      </w:r>
    </w:p>
    <w:p>
      <w:pPr>
        <w:tabs>
          <w:tab w:pos="2639" w:val="left" w:leader="none"/>
        </w:tabs>
        <w:spacing w:line="113" w:lineRule="exact" w:before="0"/>
        <w:ind w:left="539" w:right="0" w:firstLine="0"/>
        <w:jc w:val="left"/>
        <w:rPr>
          <w:rFonts w:ascii="Arial"/>
          <w:b/>
          <w:sz w:val="12"/>
        </w:rPr>
      </w:pPr>
      <w:r>
        <w:rPr>
          <w:b/>
          <w:color w:val="010101"/>
          <w:w w:val="105"/>
          <w:sz w:val="9"/>
        </w:rPr>
        <w:t>:1</w:t>
        <w:tab/>
      </w:r>
      <w:r>
        <w:rPr>
          <w:rFonts w:ascii="Arial"/>
          <w:b/>
          <w:color w:val="010101"/>
          <w:w w:val="105"/>
          <w:sz w:val="12"/>
        </w:rPr>
        <w:t>s</w:t>
      </w:r>
    </w:p>
    <w:p>
      <w:pPr>
        <w:spacing w:after="0" w:line="113" w:lineRule="exact"/>
        <w:jc w:val="left"/>
        <w:rPr>
          <w:rFonts w:ascii="Arial"/>
          <w:sz w:val="12"/>
        </w:rPr>
        <w:sectPr>
          <w:type w:val="continuous"/>
          <w:pgSz w:w="7200" w:h="11340"/>
          <w:pgMar w:top="1100" w:bottom="0" w:left="680" w:right="560"/>
          <w:cols w:num="2" w:equalWidth="0">
            <w:col w:w="2219" w:space="40"/>
            <w:col w:w="3701"/>
          </w:cols>
        </w:sectPr>
      </w:pPr>
    </w:p>
    <w:p>
      <w:pPr>
        <w:pStyle w:val="BodyText"/>
        <w:spacing w:line="252" w:lineRule="auto" w:before="84"/>
        <w:ind w:left="109" w:right="105" w:firstLine="3"/>
        <w:jc w:val="both"/>
      </w:pPr>
      <w:r>
        <w:rPr>
          <w:color w:val="010101"/>
          <w:w w:val="105"/>
        </w:rPr>
        <w:t>For the case where the annuity </w:t>
      </w:r>
      <w:r>
        <w:rPr>
          <w:rFonts w:ascii="Arial"/>
          <w:color w:val="010101"/>
          <w:w w:val="105"/>
        </w:rPr>
        <w:t>is </w:t>
      </w:r>
      <w:r>
        <w:rPr>
          <w:color w:val="010101"/>
          <w:w w:val="105"/>
        </w:rPr>
        <w:t>paya.ble to </w:t>
      </w:r>
      <w:r>
        <w:rPr>
          <w:rFonts w:ascii="Arial"/>
          <w:i/>
          <w:color w:val="010101"/>
          <w:w w:val="105"/>
          <w:sz w:val="18"/>
        </w:rPr>
        <w:t>(x) </w:t>
      </w:r>
      <w:r>
        <w:rPr>
          <w:color w:val="010101"/>
          <w:w w:val="105"/>
        </w:rPr>
        <w:t>for </w:t>
      </w:r>
      <w:r>
        <w:rPr>
          <w:rFonts w:ascii="Arial"/>
          <w:i/>
          <w:color w:val="010101"/>
          <w:w w:val="105"/>
          <w:sz w:val="18"/>
        </w:rPr>
        <w:t>n </w:t>
      </w:r>
      <w:r>
        <w:rPr>
          <w:color w:val="010101"/>
          <w:w w:val="105"/>
        </w:rPr>
        <w:t>years  after  the death of </w:t>
      </w:r>
      <w:r>
        <w:rPr>
          <w:rFonts w:ascii="Arial"/>
          <w:i/>
          <w:color w:val="010101"/>
          <w:spacing w:val="5"/>
          <w:w w:val="105"/>
          <w:sz w:val="19"/>
        </w:rPr>
        <w:t>(y </w:t>
      </w:r>
      <w:r>
        <w:rPr>
          <w:rFonts w:ascii="Arial"/>
          <w:i/>
          <w:color w:val="010101"/>
          <w:w w:val="105"/>
          <w:sz w:val="19"/>
        </w:rPr>
        <w:t>), </w:t>
      </w:r>
      <w:r>
        <w:rPr>
          <w:color w:val="010101"/>
          <w:w w:val="105"/>
        </w:rPr>
        <w:t>the present value </w:t>
      </w:r>
      <w:r>
        <w:rPr>
          <w:rFonts w:ascii="Arial"/>
          <w:color w:val="010101"/>
          <w:w w:val="105"/>
        </w:rPr>
        <w:t>is </w:t>
      </w:r>
      <w:r>
        <w:rPr>
          <w:color w:val="010101"/>
          <w:w w:val="105"/>
        </w:rPr>
        <w:t>obtained by ded'1cting the value of the above deferred benefit from the nonna.l reversiona.ry annuity:</w:t>
      </w:r>
    </w:p>
    <w:p>
      <w:pPr>
        <w:spacing w:line="171" w:lineRule="exact" w:before="59"/>
        <w:ind w:left="98" w:right="131" w:firstLine="0"/>
        <w:jc w:val="center"/>
        <w:rPr>
          <w:b/>
          <w:i/>
          <w:sz w:val="19"/>
        </w:rPr>
      </w:pPr>
      <w:r>
        <w:rPr>
          <w:b/>
          <w:i/>
          <w:color w:val="010101"/>
          <w:sz w:val="19"/>
        </w:rPr>
        <w:t>Ds+,.</w:t>
      </w:r>
    </w:p>
    <w:p>
      <w:pPr>
        <w:spacing w:line="217" w:lineRule="exact" w:before="0"/>
        <w:ind w:left="131" w:right="131" w:firstLine="0"/>
        <w:jc w:val="center"/>
        <w:rPr>
          <w:rFonts w:ascii="Arial" w:hAnsi="Arial"/>
          <w:sz w:val="15"/>
        </w:rPr>
      </w:pPr>
      <w:r>
        <w:rPr/>
        <w:pict>
          <v:line style="position:absolute;mso-position-horizontal-relative:page;mso-position-vertical-relative:paragraph;z-index:-715408" from="176.590195pt,10.722548pt" to="187.716795pt,10.722548pt" stroked="true" strokeweight="4.666002pt" strokecolor="#000000">
            <w10:wrap type="none"/>
          </v:line>
        </w:pict>
      </w:r>
      <w:r>
        <w:rPr>
          <w:rFonts w:ascii="Arial" w:hAnsi="Arial"/>
          <w:b/>
          <w:color w:val="010101"/>
          <w:sz w:val="15"/>
        </w:rPr>
        <w:t>O.Is  </w:t>
      </w:r>
      <w:r>
        <w:rPr>
          <w:rFonts w:ascii="Arial" w:hAnsi="Arial"/>
          <w:color w:val="010101"/>
          <w:w w:val="320"/>
          <w:sz w:val="15"/>
        </w:rPr>
        <w:t>- </w:t>
      </w:r>
      <w:r>
        <w:rPr>
          <w:i/>
          <w:color w:val="010101"/>
          <w:sz w:val="23"/>
        </w:rPr>
        <w:t>Dz   </w:t>
      </w:r>
      <w:r>
        <w:rPr>
          <w:rFonts w:ascii="Arial" w:hAnsi="Arial"/>
          <w:color w:val="010101"/>
          <w:sz w:val="15"/>
        </w:rPr>
        <w:t>a.1s+n •</w:t>
      </w:r>
    </w:p>
    <w:p>
      <w:pPr>
        <w:pStyle w:val="BodyText"/>
        <w:spacing w:line="242" w:lineRule="auto" w:before="134"/>
        <w:ind w:left="123" w:right="116" w:firstLine="186"/>
        <w:jc w:val="both"/>
      </w:pPr>
      <w:r>
        <w:rPr>
          <w:color w:val="010101"/>
          <w:w w:val="103"/>
        </w:rPr>
        <w:t>Although </w:t>
      </w:r>
      <w:r>
        <w:rPr>
          <w:color w:val="010101"/>
          <w:w w:val="114"/>
        </w:rPr>
        <w:t>the </w:t>
      </w:r>
      <w:r>
        <w:rPr>
          <w:color w:val="010101"/>
          <w:w w:val="100"/>
        </w:rPr>
        <w:t>approxima.tion </w:t>
      </w:r>
      <w:r>
        <w:rPr>
          <w:i/>
          <w:color w:val="010101"/>
          <w:spacing w:val="-9"/>
          <w:w w:val="99"/>
          <w:sz w:val="25"/>
        </w:rPr>
        <w:t>ajJ</w:t>
      </w:r>
      <w:r>
        <w:rPr>
          <w:i/>
          <w:color w:val="010101"/>
          <w:w w:val="99"/>
          <w:sz w:val="25"/>
        </w:rPr>
        <w:t> </w:t>
      </w:r>
      <w:r>
        <w:rPr>
          <w:rFonts w:ascii="Arial"/>
          <w:color w:val="010101"/>
          <w:w w:val="70"/>
          <w:sz w:val="26"/>
        </w:rPr>
        <w:t>=: </w:t>
      </w:r>
      <w:r>
        <w:rPr>
          <w:color w:val="010101"/>
          <w:spacing w:val="2"/>
          <w:w w:val="81"/>
          <w:sz w:val="15"/>
        </w:rPr>
        <w:t>Ov1u</w:t>
      </w:r>
      <w:r>
        <w:rPr>
          <w:color w:val="010101"/>
          <w:w w:val="81"/>
          <w:sz w:val="15"/>
        </w:rPr>
        <w:t> </w:t>
      </w:r>
      <w:r>
        <w:rPr>
          <w:rFonts w:ascii="Arial"/>
          <w:color w:val="010101"/>
          <w:w w:val="104"/>
        </w:rPr>
        <w:t>is </w:t>
      </w:r>
      <w:r>
        <w:rPr>
          <w:color w:val="010101"/>
          <w:w w:val="105"/>
        </w:rPr>
        <w:t>often </w:t>
      </w:r>
      <w:r>
        <w:rPr>
          <w:color w:val="010101"/>
          <w:w w:val="101"/>
        </w:rPr>
        <w:t>used </w:t>
      </w:r>
      <w:r>
        <w:rPr>
          <w:color w:val="010101"/>
          <w:w w:val="101"/>
        </w:rPr>
        <w:t>when  </w:t>
      </w:r>
      <w:r>
        <w:rPr>
          <w:color w:val="010101"/>
          <w:w w:val="105"/>
        </w:rPr>
        <w:t>(u)  </w:t>
      </w:r>
      <w:r>
        <w:rPr>
          <w:color w:val="010101"/>
        </w:rPr>
        <w:t>and </w:t>
      </w:r>
      <w:r>
        <w:rPr>
          <w:rFonts w:ascii="Arial"/>
          <w:i/>
          <w:color w:val="010101"/>
          <w:sz w:val="19"/>
        </w:rPr>
        <w:t>(v) </w:t>
      </w:r>
      <w:r>
        <w:rPr>
          <w:color w:val="010101"/>
        </w:rPr>
        <w:t>involve only lives, it should not be used  when  tenns-certain are involved.  This  may  be  seen  in  the  case  of  the  simple</w:t>
      </w:r>
      <w:r>
        <w:rPr>
          <w:color w:val="010101"/>
          <w:spacing w:val="10"/>
        </w:rPr>
        <w:t> </w:t>
      </w:r>
      <w:r>
        <w:rPr>
          <w:color w:val="010101"/>
        </w:rPr>
        <w:t>function</w:t>
      </w:r>
    </w:p>
    <w:p>
      <w:pPr>
        <w:spacing w:line="133" w:lineRule="exact" w:before="0"/>
        <w:ind w:left="231" w:right="0" w:firstLine="0"/>
        <w:jc w:val="left"/>
        <w:rPr>
          <w:rFonts w:ascii="Arial" w:hAnsi="Arial"/>
          <w:sz w:val="21"/>
        </w:rPr>
      </w:pPr>
      <w:r>
        <w:rPr>
          <w:rFonts w:ascii="Arial" w:hAnsi="Arial"/>
          <w:color w:val="010101"/>
          <w:w w:val="84"/>
          <w:sz w:val="21"/>
        </w:rPr>
        <w:t>&lt;</w:t>
      </w:r>
      <w:r>
        <w:rPr>
          <w:rFonts w:ascii="Arial" w:hAnsi="Arial"/>
          <w:color w:val="010101"/>
          <w:spacing w:val="-9"/>
          <w:w w:val="84"/>
          <w:sz w:val="21"/>
        </w:rPr>
        <w:t>•</w:t>
      </w:r>
      <w:r>
        <w:rPr>
          <w:rFonts w:ascii="Arial" w:hAnsi="Arial"/>
          <w:color w:val="010101"/>
          <w:w w:val="37"/>
          <w:sz w:val="21"/>
        </w:rPr>
        <w:t>&gt;</w:t>
      </w:r>
    </w:p>
    <w:p>
      <w:pPr>
        <w:spacing w:line="177" w:lineRule="exact" w:before="0"/>
        <w:ind w:left="120" w:right="0" w:firstLine="0"/>
        <w:jc w:val="left"/>
        <w:rPr>
          <w:rFonts w:ascii="Arial"/>
          <w:sz w:val="15"/>
        </w:rPr>
      </w:pPr>
      <w:r>
        <w:rPr>
          <w:rFonts w:ascii="Arial"/>
          <w:color w:val="010101"/>
          <w:w w:val="85"/>
          <w:sz w:val="20"/>
        </w:rPr>
        <w:t>&lt;Jii1 </w:t>
      </w:r>
      <w:r>
        <w:rPr>
          <w:rFonts w:ascii="Arial"/>
          <w:color w:val="010101"/>
          <w:w w:val="95"/>
          <w:sz w:val="15"/>
        </w:rPr>
        <w:t>Is :</w:t>
      </w:r>
    </w:p>
    <w:p>
      <w:pPr>
        <w:tabs>
          <w:tab w:pos="924" w:val="left" w:leader="none"/>
          <w:tab w:pos="1548" w:val="left" w:leader="none"/>
        </w:tabs>
        <w:spacing w:line="100" w:lineRule="exact" w:before="52"/>
        <w:ind w:left="231" w:right="0" w:firstLine="0"/>
        <w:jc w:val="left"/>
        <w:rPr>
          <w:rFonts w:ascii="Arial"/>
          <w:b/>
          <w:sz w:val="11"/>
        </w:rPr>
      </w:pPr>
      <w:r>
        <w:rPr/>
        <w:pict>
          <v:shape style="position:absolute;margin-left:62.632099pt;margin-top:5.473459pt;width:40.85pt;height:12pt;mso-position-horizontal-relative:page;mso-position-vertical-relative:paragraph;z-index:-715288" type="#_x0000_t202" filled="false" stroked="false">
            <v:textbox inset="0,0,0,0">
              <w:txbxContent>
                <w:p>
                  <w:pPr>
                    <w:tabs>
                      <w:tab w:pos="624" w:val="left" w:leader="none"/>
                    </w:tabs>
                    <w:spacing w:line="240" w:lineRule="exact" w:before="0"/>
                    <w:ind w:left="0" w:right="0" w:firstLine="0"/>
                    <w:jc w:val="left"/>
                    <w:rPr>
                      <w:sz w:val="24"/>
                    </w:rPr>
                  </w:pPr>
                  <w:r>
                    <w:rPr>
                      <w:color w:val="010101"/>
                      <w:w w:val="120"/>
                      <w:sz w:val="24"/>
                    </w:rPr>
                    <w:t>=</w:t>
                    <w:tab/>
                  </w:r>
                  <w:r>
                    <w:rPr>
                      <w:color w:val="010101"/>
                      <w:w w:val="220"/>
                      <w:sz w:val="24"/>
                    </w:rPr>
                    <w:t>-</w:t>
                  </w:r>
                </w:p>
              </w:txbxContent>
            </v:textbox>
            <w10:wrap type="none"/>
          </v:shape>
        </w:pict>
      </w:r>
      <w:r>
        <w:rPr>
          <w:rFonts w:ascii="Arial"/>
          <w:b/>
          <w:color w:val="010101"/>
          <w:w w:val="160"/>
          <w:sz w:val="11"/>
        </w:rPr>
        <w:t>(a)</w:t>
        <w:tab/>
        <w:t>(a)</w:t>
        <w:tab/>
        <w:t>(a)</w:t>
      </w:r>
    </w:p>
    <w:p>
      <w:pPr>
        <w:tabs>
          <w:tab w:pos="1606" w:val="left" w:leader="none"/>
        </w:tabs>
        <w:spacing w:line="155" w:lineRule="exact" w:before="0"/>
        <w:ind w:left="109" w:right="0" w:firstLine="0"/>
        <w:jc w:val="left"/>
        <w:rPr>
          <w:sz w:val="16"/>
        </w:rPr>
      </w:pPr>
      <w:r>
        <w:rPr>
          <w:b/>
          <w:color w:val="010101"/>
          <w:w w:val="115"/>
          <w:sz w:val="19"/>
        </w:rPr>
        <w:t>a.¡¡s</w:t>
        <w:tab/>
      </w:r>
      <w:r>
        <w:rPr>
          <w:color w:val="010101"/>
          <w:spacing w:val="-9"/>
          <w:w w:val="115"/>
          <w:sz w:val="16"/>
        </w:rPr>
        <w:t>:ii]</w:t>
      </w:r>
    </w:p>
    <w:p>
      <w:pPr>
        <w:pStyle w:val="Heading1"/>
        <w:tabs>
          <w:tab w:pos="1889" w:val="left" w:leader="none"/>
          <w:tab w:pos="3741" w:val="left" w:leader="none"/>
        </w:tabs>
        <w:spacing w:line="539" w:lineRule="exact"/>
        <w:ind w:left="540"/>
      </w:pPr>
      <w:r>
        <w:rPr/>
        <w:pict>
          <v:line style="position:absolute;mso-position-horizontal-relative:page;mso-position-vertical-relative:paragraph;z-index:-715384" from="111.804604pt,25.114059pt" to="137.647104pt,25.114059pt" stroked="true" strokeweight="7.178465pt" strokecolor="#000000">
            <w10:wrap type="none"/>
          </v:line>
        </w:pict>
      </w:r>
      <w:r>
        <w:rPr/>
        <w:pict>
          <v:line style="position:absolute;mso-position-horizontal-relative:page;mso-position-vertical-relative:paragraph;z-index:-715360" from="204.586197pt,24.394958pt" to="216.969097pt,24.394958pt" stroked="true" strokeweight="5.024925pt" strokecolor="#000000">
            <w10:wrap type="none"/>
          </v:line>
        </w:pict>
      </w:r>
      <w:r>
        <w:rPr/>
        <w:pict>
          <v:line style="position:absolute;mso-position-horizontal-relative:page;mso-position-vertical-relative:paragraph;z-index:-715336" from="259.142609pt,25.114059pt" to="286.420709pt,25.114059pt" stroked="true" strokeweight="7.178465pt" strokecolor="#000000">
            <w10:wrap type="none"/>
          </v:line>
        </w:pict>
      </w:r>
      <w:r>
        <w:rPr>
          <w:color w:val="010101"/>
          <w:w w:val="37"/>
        </w:rPr>
        <w:t>""</w:t>
      </w:r>
      <w:r>
        <w:rPr>
          <w:color w:val="010101"/>
          <w:spacing w:val="-51"/>
        </w:rPr>
        <w:t> </w:t>
      </w:r>
      <w:r>
        <w:rPr>
          <w:color w:val="010101"/>
          <w:spacing w:val="-24"/>
          <w:w w:val="82"/>
        </w:rPr>
        <w:t>(</w:t>
      </w:r>
      <w:r>
        <w:rPr>
          <w:color w:val="010101"/>
          <w:spacing w:val="-4"/>
          <w:w w:val="46"/>
        </w:rPr>
        <w:t>a</w:t>
      </w:r>
      <w:r>
        <w:rPr>
          <w:color w:val="010101"/>
          <w:w w:val="86"/>
        </w:rPr>
        <w:t>.+</w:t>
      </w:r>
      <w:r>
        <w:rPr>
          <w:color w:val="010101"/>
          <w:spacing w:val="-84"/>
        </w:rPr>
        <w:t> </w:t>
      </w:r>
      <w:r>
        <w:rPr>
          <w:color w:val="010101"/>
          <w:w w:val="40"/>
        </w:rPr>
        <w:t>m</w:t>
      </w:r>
      <w:r>
        <w:rPr>
          <w:color w:val="010101"/>
          <w:w w:val="41"/>
        </w:rPr>
        <w:t>2</w:t>
      </w:r>
      <w:r>
        <w:rPr>
          <w:color w:val="010101"/>
        </w:rPr>
        <w:tab/>
      </w:r>
      <w:r>
        <w:rPr>
          <w:color w:val="010101"/>
          <w:w w:val="55"/>
        </w:rPr>
        <w:t>1)</w:t>
      </w:r>
      <w:r>
        <w:rPr>
          <w:color w:val="010101"/>
          <w:spacing w:val="-67"/>
        </w:rPr>
        <w:t> </w:t>
      </w:r>
      <w:r>
        <w:rPr>
          <w:color w:val="010101"/>
          <w:w w:val="114"/>
        </w:rPr>
        <w:t>-</w:t>
      </w:r>
      <w:r>
        <w:rPr>
          <w:color w:val="010101"/>
          <w:spacing w:val="-32"/>
          <w:w w:val="114"/>
        </w:rPr>
        <w:t>[</w:t>
      </w:r>
      <w:r>
        <w:rPr>
          <w:color w:val="010101"/>
          <w:spacing w:val="-4"/>
          <w:w w:val="46"/>
        </w:rPr>
        <w:t>a</w:t>
      </w:r>
      <w:r>
        <w:rPr>
          <w:color w:val="010101"/>
          <w:w w:val="49"/>
        </w:rPr>
        <w:t>.,il</w:t>
      </w:r>
      <w:r>
        <w:rPr>
          <w:color w:val="010101"/>
          <w:spacing w:val="-30"/>
        </w:rPr>
        <w:t> </w:t>
      </w:r>
      <w:r>
        <w:rPr>
          <w:rFonts w:ascii="Arial" w:hAnsi="Arial"/>
          <w:color w:val="010101"/>
          <w:w w:val="106"/>
          <w:sz w:val="32"/>
        </w:rPr>
        <w:t>+</w:t>
      </w:r>
      <w:r>
        <w:rPr>
          <w:rFonts w:ascii="Arial" w:hAnsi="Arial"/>
          <w:color w:val="010101"/>
          <w:spacing w:val="-38"/>
          <w:sz w:val="32"/>
        </w:rPr>
        <w:t> </w:t>
      </w:r>
      <w:r>
        <w:rPr>
          <w:rFonts w:ascii="Arial" w:hAnsi="Arial"/>
          <w:i/>
          <w:color w:val="010101"/>
          <w:w w:val="109"/>
          <w:sz w:val="18"/>
        </w:rPr>
        <w:t>m</w:t>
      </w:r>
      <w:r>
        <w:rPr>
          <w:rFonts w:ascii="Arial" w:hAnsi="Arial"/>
          <w:i/>
          <w:color w:val="010101"/>
          <w:sz w:val="18"/>
        </w:rPr>
        <w:tab/>
      </w:r>
      <w:r>
        <w:rPr>
          <w:color w:val="010101"/>
          <w:spacing w:val="5"/>
          <w:w w:val="58"/>
        </w:rPr>
        <w:t>1</w:t>
      </w:r>
      <w:r>
        <w:rPr>
          <w:color w:val="010101"/>
          <w:spacing w:val="-2"/>
          <w:w w:val="82"/>
        </w:rPr>
        <w:t>(</w:t>
      </w:r>
      <w:r>
        <w:rPr>
          <w:color w:val="010101"/>
          <w:w w:val="47"/>
        </w:rPr>
        <w:t>1</w:t>
      </w:r>
      <w:r>
        <w:rPr>
          <w:color w:val="010101"/>
          <w:spacing w:val="-78"/>
        </w:rPr>
        <w:t> </w:t>
      </w:r>
      <w:r>
        <w:rPr>
          <w:color w:val="010101"/>
          <w:spacing w:val="37"/>
          <w:w w:val="110"/>
        </w:rPr>
        <w:t>-</w:t>
      </w:r>
      <w:r>
        <w:rPr>
          <w:color w:val="010101"/>
          <w:spacing w:val="-77"/>
          <w:w w:val="44"/>
        </w:rPr>
        <w:t>D</w:t>
      </w:r>
      <w:r>
        <w:rPr>
          <w:color w:val="010101"/>
          <w:w w:val="59"/>
        </w:rPr>
        <w:t>ñ:"</w:t>
      </w:r>
      <w:r>
        <w:rPr>
          <w:color w:val="010101"/>
          <w:w w:val="59"/>
        </w:rPr>
        <w:t>)]</w:t>
      </w:r>
    </w:p>
    <w:p>
      <w:pPr>
        <w:tabs>
          <w:tab w:pos="5335" w:val="left" w:leader="none"/>
        </w:tabs>
        <w:spacing w:line="155" w:lineRule="exact" w:before="123"/>
        <w:ind w:left="554" w:right="0" w:firstLine="0"/>
        <w:jc w:val="left"/>
        <w:rPr>
          <w:sz w:val="20"/>
        </w:rPr>
      </w:pPr>
      <w:r>
        <w:rPr>
          <w:color w:val="010101"/>
          <w:w w:val="110"/>
          <w:sz w:val="26"/>
        </w:rPr>
        <w:t>= </w:t>
      </w:r>
      <w:r>
        <w:rPr>
          <w:rFonts w:ascii="Arial" w:hAnsi="Arial"/>
          <w:i/>
          <w:color w:val="010101"/>
          <w:w w:val="110"/>
          <w:sz w:val="26"/>
        </w:rPr>
        <w:t>ª•</w:t>
      </w:r>
      <w:r>
        <w:rPr>
          <w:rFonts w:ascii="Arial" w:hAnsi="Arial"/>
          <w:i/>
          <w:color w:val="010101"/>
          <w:spacing w:val="-35"/>
          <w:w w:val="110"/>
          <w:sz w:val="26"/>
        </w:rPr>
        <w:t> </w:t>
      </w:r>
      <w:r>
        <w:rPr>
          <w:rFonts w:ascii="Arial" w:hAnsi="Arial"/>
          <w:color w:val="010101"/>
          <w:w w:val="185"/>
          <w:sz w:val="26"/>
        </w:rPr>
        <w:t>-</w:t>
      </w:r>
      <w:r>
        <w:rPr>
          <w:rFonts w:ascii="Arial" w:hAnsi="Arial"/>
          <w:color w:val="010101"/>
          <w:spacing w:val="-93"/>
          <w:w w:val="185"/>
          <w:sz w:val="26"/>
        </w:rPr>
        <w:t> </w:t>
      </w:r>
      <w:r>
        <w:rPr>
          <w:rFonts w:ascii="Arial" w:hAnsi="Arial"/>
          <w:i/>
          <w:color w:val="010101"/>
          <w:sz w:val="21"/>
        </w:rPr>
        <w:t>ª•=.J</w:t>
      </w:r>
      <w:r>
        <w:rPr>
          <w:rFonts w:ascii="Arial" w:hAnsi="Arial"/>
          <w:i/>
          <w:color w:val="010101"/>
          <w:spacing w:val="16"/>
          <w:sz w:val="21"/>
        </w:rPr>
        <w:t> </w:t>
      </w:r>
      <w:r>
        <w:rPr>
          <w:color w:val="010101"/>
          <w:w w:val="110"/>
          <w:sz w:val="29"/>
        </w:rPr>
        <w:t>+</w:t>
      </w:r>
      <w:r>
        <w:rPr>
          <w:color w:val="010101"/>
          <w:spacing w:val="-31"/>
          <w:w w:val="110"/>
          <w:sz w:val="29"/>
        </w:rPr>
        <w:t> </w:t>
      </w:r>
      <w:r>
        <w:rPr>
          <w:rFonts w:ascii="Arial" w:hAnsi="Arial"/>
          <w:i/>
          <w:color w:val="010101"/>
          <w:w w:val="110"/>
          <w:position w:val="16"/>
          <w:sz w:val="18"/>
        </w:rPr>
        <w:t>m</w:t>
      </w:r>
      <w:r>
        <w:rPr>
          <w:rFonts w:ascii="Arial" w:hAnsi="Arial"/>
          <w:i/>
          <w:color w:val="010101"/>
          <w:spacing w:val="12"/>
          <w:w w:val="110"/>
          <w:position w:val="16"/>
          <w:sz w:val="18"/>
        </w:rPr>
        <w:t> </w:t>
      </w:r>
      <w:r>
        <w:rPr>
          <w:rFonts w:ascii="Arial" w:hAnsi="Arial"/>
          <w:color w:val="010101"/>
          <w:w w:val="260"/>
          <w:position w:val="16"/>
          <w:sz w:val="18"/>
        </w:rPr>
        <w:t>-</w:t>
      </w:r>
      <w:r>
        <w:rPr>
          <w:rFonts w:ascii="Arial" w:hAnsi="Arial"/>
          <w:color w:val="010101"/>
          <w:spacing w:val="-73"/>
          <w:w w:val="260"/>
          <w:position w:val="16"/>
          <w:sz w:val="18"/>
        </w:rPr>
        <w:t> </w:t>
      </w:r>
      <w:r>
        <w:rPr>
          <w:color w:val="010101"/>
          <w:spacing w:val="6"/>
          <w:w w:val="110"/>
          <w:position w:val="16"/>
          <w:sz w:val="21"/>
        </w:rPr>
        <w:t>1</w:t>
      </w:r>
      <w:r>
        <w:rPr>
          <w:rFonts w:ascii="Arial" w:hAnsi="Arial"/>
          <w:color w:val="010101"/>
          <w:spacing w:val="6"/>
          <w:w w:val="110"/>
          <w:sz w:val="26"/>
        </w:rPr>
        <w:t>.</w:t>
      </w:r>
      <w:r>
        <w:rPr>
          <w:i/>
          <w:color w:val="010101"/>
          <w:spacing w:val="6"/>
          <w:w w:val="110"/>
          <w:position w:val="16"/>
          <w:sz w:val="22"/>
        </w:rPr>
        <w:t>Ds+"</w:t>
      </w:r>
      <w:r>
        <w:rPr>
          <w:i/>
          <w:color w:val="010101"/>
          <w:spacing w:val="-34"/>
          <w:w w:val="110"/>
          <w:position w:val="16"/>
          <w:sz w:val="22"/>
        </w:rPr>
        <w:t> </w:t>
      </w:r>
      <w:r>
        <w:rPr>
          <w:color w:val="010101"/>
          <w:w w:val="130"/>
          <w:sz w:val="23"/>
        </w:rPr>
        <w:t>.</w:t>
        <w:tab/>
      </w:r>
      <w:r>
        <w:rPr>
          <w:color w:val="010101"/>
          <w:w w:val="110"/>
          <w:position w:val="7"/>
          <w:sz w:val="20"/>
        </w:rPr>
        <w:t>(</w:t>
      </w:r>
      <w:r>
        <w:rPr>
          <w:color w:val="010101"/>
          <w:spacing w:val="-24"/>
          <w:w w:val="110"/>
          <w:position w:val="7"/>
          <w:sz w:val="20"/>
        </w:rPr>
        <w:t> </w:t>
      </w:r>
      <w:r>
        <w:rPr>
          <w:color w:val="010101"/>
          <w:spacing w:val="-11"/>
          <w:w w:val="110"/>
          <w:position w:val="7"/>
          <w:sz w:val="20"/>
        </w:rPr>
        <w:t>13.8)</w:t>
      </w:r>
    </w:p>
    <w:p>
      <w:pPr>
        <w:tabs>
          <w:tab w:pos="2805" w:val="left" w:leader="none"/>
        </w:tabs>
        <w:spacing w:line="266" w:lineRule="exact" w:before="0"/>
        <w:ind w:left="1968" w:right="0" w:firstLine="0"/>
        <w:jc w:val="left"/>
        <w:rPr>
          <w:i/>
          <w:sz w:val="23"/>
        </w:rPr>
      </w:pPr>
      <w:r>
        <w:rPr>
          <w:rFonts w:ascii="Arial"/>
          <w:i/>
          <w:color w:val="010101"/>
          <w:w w:val="150"/>
          <w:sz w:val="26"/>
        </w:rPr>
        <w:t>2m</w:t>
        <w:tab/>
      </w:r>
      <w:r>
        <w:rPr>
          <w:i/>
          <w:color w:val="010101"/>
          <w:w w:val="105"/>
          <w:sz w:val="23"/>
          <w:u w:val="thick" w:color="000000"/>
        </w:rPr>
        <w:t>Ds</w:t>
      </w:r>
    </w:p>
    <w:p>
      <w:pPr>
        <w:spacing w:after="0" w:line="266" w:lineRule="exact"/>
        <w:jc w:val="left"/>
        <w:rPr>
          <w:sz w:val="23"/>
        </w:rPr>
        <w:sectPr>
          <w:type w:val="continuous"/>
          <w:pgSz w:w="7200" w:h="11340"/>
          <w:pgMar w:top="1100" w:bottom="0" w:left="680" w:right="560"/>
        </w:sectPr>
      </w:pPr>
    </w:p>
    <w:p>
      <w:pPr>
        <w:tabs>
          <w:tab w:pos="1877" w:val="left" w:leader="none"/>
          <w:tab w:pos="5243" w:val="left" w:leader="none"/>
        </w:tabs>
        <w:spacing w:before="55"/>
        <w:ind w:left="135" w:right="0" w:firstLine="0"/>
        <w:jc w:val="left"/>
        <w:rPr>
          <w:rFonts w:ascii="Arial"/>
          <w:b/>
          <w:sz w:val="19"/>
        </w:rPr>
      </w:pPr>
      <w:r>
        <w:rPr>
          <w:sz w:val="19"/>
        </w:rPr>
        <w:t>260</w:t>
        <w:tab/>
      </w:r>
      <w:r>
        <w:rPr>
          <w:b/>
          <w:position w:val="1"/>
          <w:sz w:val="15"/>
        </w:rPr>
        <w:t>REVERSIONARY   </w:t>
      </w:r>
      <w:r>
        <w:rPr>
          <w:b/>
          <w:spacing w:val="10"/>
          <w:position w:val="1"/>
          <w:sz w:val="15"/>
        </w:rPr>
        <w:t> </w:t>
      </w:r>
      <w:r>
        <w:rPr>
          <w:b/>
          <w:position w:val="1"/>
          <w:sz w:val="15"/>
        </w:rPr>
        <w:t>ANNUITIES</w:t>
        <w:tab/>
      </w:r>
      <w:r>
        <w:rPr>
          <w:b/>
          <w:w w:val="95"/>
          <w:position w:val="1"/>
          <w:sz w:val="19"/>
        </w:rPr>
        <w:t>[CH.</w:t>
      </w:r>
      <w:r>
        <w:rPr>
          <w:b/>
          <w:spacing w:val="7"/>
          <w:w w:val="95"/>
          <w:position w:val="1"/>
          <w:sz w:val="19"/>
        </w:rPr>
        <w:t> </w:t>
      </w:r>
      <w:r>
        <w:rPr>
          <w:rFonts w:ascii="Arial"/>
          <w:b/>
          <w:w w:val="95"/>
          <w:position w:val="1"/>
          <w:sz w:val="19"/>
        </w:rPr>
        <w:t>13</w:t>
      </w:r>
    </w:p>
    <w:p>
      <w:pPr>
        <w:pStyle w:val="BodyText"/>
        <w:spacing w:before="9"/>
        <w:rPr>
          <w:rFonts w:ascii="Arial"/>
          <w:b/>
          <w:sz w:val="16"/>
        </w:rPr>
      </w:pPr>
    </w:p>
    <w:p>
      <w:pPr>
        <w:spacing w:before="77"/>
        <w:ind w:left="128" w:right="0" w:firstLine="0"/>
        <w:jc w:val="left"/>
        <w:rPr>
          <w:sz w:val="21"/>
        </w:rPr>
      </w:pPr>
      <w:r>
        <w:rPr/>
        <w:pict>
          <v:rect style="position:absolute;margin-left:123.660004pt;margin-top:18.152725pt;width:11.34pt;height:6.84pt;mso-position-horizontal-relative:page;mso-position-vertical-relative:paragraph;z-index:-715264" filled="true" fillcolor="#000000" stroked="false">
            <v:fill type="solid"/>
            <w10:wrap type="none"/>
          </v:rect>
        </w:pict>
      </w:r>
      <w:r>
        <w:rPr>
          <w:w w:val="106"/>
          <w:position w:val="1"/>
          <w:sz w:val="21"/>
        </w:rPr>
        <w:t>T</w:t>
      </w:r>
      <w:r>
        <w:rPr>
          <w:spacing w:val="6"/>
          <w:w w:val="106"/>
          <w:position w:val="1"/>
          <w:sz w:val="21"/>
        </w:rPr>
        <w:t>h</w:t>
      </w:r>
      <w:r>
        <w:rPr>
          <w:w w:val="97"/>
          <w:sz w:val="21"/>
        </w:rPr>
        <w:t>e</w:t>
      </w:r>
      <w:r>
        <w:rPr>
          <w:sz w:val="21"/>
        </w:rPr>
        <w:t> </w:t>
      </w:r>
      <w:r>
        <w:rPr>
          <w:spacing w:val="-24"/>
          <w:sz w:val="21"/>
        </w:rPr>
        <w:t> </w:t>
      </w:r>
      <w:r>
        <w:rPr>
          <w:w w:val="100"/>
          <w:sz w:val="21"/>
        </w:rPr>
        <w:t>term</w:t>
      </w:r>
      <w:r>
        <w:rPr>
          <w:spacing w:val="-2"/>
          <w:sz w:val="21"/>
        </w:rPr>
        <w:t> </w:t>
      </w:r>
      <w:r>
        <w:rPr>
          <w:rFonts w:ascii="Arial" w:hAnsi="Arial"/>
          <w:i/>
          <w:w w:val="89"/>
          <w:position w:val="9"/>
          <w:sz w:val="18"/>
        </w:rPr>
        <w:t>·m</w:t>
      </w:r>
      <w:r>
        <w:rPr>
          <w:rFonts w:ascii="Arial" w:hAnsi="Arial"/>
          <w:i/>
          <w:spacing w:val="16"/>
          <w:position w:val="9"/>
          <w:sz w:val="18"/>
        </w:rPr>
        <w:t> </w:t>
      </w:r>
      <w:r>
        <w:rPr>
          <w:rFonts w:ascii="Arial" w:hAnsi="Arial"/>
          <w:w w:val="291"/>
          <w:position w:val="9"/>
          <w:sz w:val="18"/>
        </w:rPr>
        <w:t>-</w:t>
      </w:r>
      <w:r>
        <w:rPr>
          <w:rFonts w:ascii="Arial" w:hAnsi="Arial"/>
          <w:position w:val="9"/>
          <w:sz w:val="18"/>
        </w:rPr>
        <w:t> </w:t>
      </w:r>
      <w:r>
        <w:rPr>
          <w:rFonts w:ascii="Arial" w:hAnsi="Arial"/>
          <w:spacing w:val="-24"/>
          <w:position w:val="9"/>
          <w:sz w:val="18"/>
        </w:rPr>
        <w:t> </w:t>
      </w:r>
      <w:r>
        <w:rPr>
          <w:spacing w:val="3"/>
          <w:w w:val="115"/>
          <w:position w:val="9"/>
          <w:sz w:val="20"/>
        </w:rPr>
        <w:t>1</w:t>
      </w:r>
      <w:r>
        <w:rPr>
          <w:spacing w:val="-8"/>
          <w:w w:val="97"/>
          <w:sz w:val="21"/>
        </w:rPr>
        <w:t>·</w:t>
      </w:r>
      <w:r>
        <w:rPr>
          <w:i/>
          <w:w w:val="67"/>
          <w:position w:val="9"/>
          <w:sz w:val="21"/>
        </w:rPr>
        <w:t>D</w:t>
      </w:r>
      <w:r>
        <w:rPr>
          <w:i/>
          <w:spacing w:val="-22"/>
          <w:w w:val="67"/>
          <w:position w:val="9"/>
          <w:sz w:val="21"/>
        </w:rPr>
        <w:t>:</w:t>
      </w:r>
      <w:r>
        <w:rPr>
          <w:i/>
          <w:spacing w:val="-87"/>
          <w:w w:val="70"/>
          <w:sz w:val="21"/>
        </w:rPr>
        <w:t>D</w:t>
      </w:r>
      <w:r>
        <w:rPr>
          <w:i/>
          <w:w w:val="67"/>
          <w:position w:val="9"/>
          <w:sz w:val="21"/>
        </w:rPr>
        <w:t>z</w:t>
      </w:r>
      <w:r>
        <w:rPr>
          <w:i/>
          <w:spacing w:val="-66"/>
          <w:w w:val="67"/>
          <w:position w:val="9"/>
          <w:sz w:val="21"/>
        </w:rPr>
        <w:t>+</w:t>
      </w:r>
      <w:r>
        <w:rPr>
          <w:i/>
          <w:w w:val="70"/>
          <w:sz w:val="21"/>
        </w:rPr>
        <w:t>:</w:t>
      </w:r>
      <w:r>
        <w:rPr>
          <w:i/>
          <w:spacing w:val="-43"/>
          <w:w w:val="70"/>
          <w:sz w:val="21"/>
        </w:rPr>
        <w:t>z</w:t>
      </w:r>
      <w:r>
        <w:rPr>
          <w:i/>
          <w:w w:val="68"/>
          <w:position w:val="9"/>
          <w:sz w:val="21"/>
        </w:rPr>
        <w:t>n</w:t>
      </w:r>
      <w:r>
        <w:rPr>
          <w:i/>
          <w:position w:val="9"/>
          <w:sz w:val="21"/>
        </w:rPr>
        <w:t> </w:t>
      </w:r>
      <w:r>
        <w:rPr>
          <w:i/>
          <w:spacing w:val="3"/>
          <w:position w:val="9"/>
          <w:sz w:val="21"/>
        </w:rPr>
        <w:t> </w:t>
      </w:r>
      <w:r>
        <w:rPr>
          <w:w w:val="99"/>
          <w:sz w:val="21"/>
        </w:rPr>
        <w:t>may</w:t>
      </w:r>
      <w:r>
        <w:rPr>
          <w:sz w:val="21"/>
        </w:rPr>
        <w:t> </w:t>
      </w:r>
      <w:r>
        <w:rPr>
          <w:spacing w:val="-13"/>
          <w:sz w:val="21"/>
        </w:rPr>
        <w:t> </w:t>
      </w:r>
      <w:r>
        <w:rPr>
          <w:w w:val="100"/>
          <w:sz w:val="21"/>
        </w:rPr>
        <w:t>m</w:t>
      </w:r>
      <w:r>
        <w:rPr>
          <w:spacing w:val="4"/>
          <w:w w:val="100"/>
          <w:sz w:val="21"/>
        </w:rPr>
        <w:t>a</w:t>
      </w:r>
      <w:r>
        <w:rPr>
          <w:spacing w:val="11"/>
          <w:w w:val="95"/>
          <w:position w:val="9"/>
          <w:sz w:val="21"/>
        </w:rPr>
        <w:t>k</w:t>
      </w:r>
      <w:r>
        <w:rPr>
          <w:w w:val="101"/>
          <w:sz w:val="21"/>
        </w:rPr>
        <w:t>e</w:t>
      </w:r>
      <w:r>
        <w:rPr>
          <w:spacing w:val="25"/>
          <w:sz w:val="21"/>
        </w:rPr>
        <w:t> </w:t>
      </w:r>
      <w:r>
        <w:rPr>
          <w:w w:val="101"/>
          <w:sz w:val="21"/>
        </w:rPr>
        <w:t>an</w:t>
      </w:r>
      <w:r>
        <w:rPr>
          <w:sz w:val="21"/>
        </w:rPr>
        <w:t> </w:t>
      </w:r>
      <w:r>
        <w:rPr>
          <w:spacing w:val="6"/>
          <w:sz w:val="21"/>
        </w:rPr>
        <w:t> </w:t>
      </w:r>
      <w:r>
        <w:rPr>
          <w:w w:val="93"/>
          <w:sz w:val="21"/>
        </w:rPr>
        <w:t>apprec</w:t>
      </w:r>
      <w:r>
        <w:rPr>
          <w:spacing w:val="-45"/>
          <w:w w:val="94"/>
          <w:sz w:val="21"/>
        </w:rPr>
        <w:t>1</w:t>
      </w:r>
      <w:r>
        <w:rPr>
          <w:spacing w:val="-13"/>
          <w:w w:val="109"/>
          <w:position w:val="9"/>
          <w:sz w:val="21"/>
        </w:rPr>
        <w:t>.</w:t>
      </w:r>
      <w:r>
        <w:rPr>
          <w:spacing w:val="4"/>
          <w:w w:val="93"/>
          <w:sz w:val="21"/>
        </w:rPr>
        <w:t>a</w:t>
      </w:r>
      <w:r>
        <w:rPr>
          <w:w w:val="96"/>
          <w:position w:val="9"/>
          <w:sz w:val="21"/>
        </w:rPr>
        <w:t>b</w:t>
      </w:r>
      <w:r>
        <w:rPr>
          <w:spacing w:val="10"/>
          <w:w w:val="96"/>
          <w:position w:val="9"/>
          <w:sz w:val="21"/>
        </w:rPr>
        <w:t>l</w:t>
      </w:r>
      <w:r>
        <w:rPr>
          <w:w w:val="101"/>
          <w:sz w:val="21"/>
        </w:rPr>
        <w:t>e</w:t>
      </w:r>
      <w:r>
        <w:rPr>
          <w:spacing w:val="25"/>
          <w:sz w:val="21"/>
        </w:rPr>
        <w:t> </w:t>
      </w:r>
      <w:r>
        <w:rPr>
          <w:w w:val="101"/>
          <w:sz w:val="21"/>
        </w:rPr>
        <w:t>contr</w:t>
      </w:r>
      <w:r>
        <w:rPr>
          <w:spacing w:val="-42"/>
          <w:w w:val="101"/>
          <w:sz w:val="21"/>
        </w:rPr>
        <w:t>i</w:t>
      </w:r>
      <w:r>
        <w:rPr>
          <w:w w:val="87"/>
          <w:position w:val="9"/>
          <w:sz w:val="21"/>
        </w:rPr>
        <w:t>º</w:t>
      </w:r>
      <w:r>
        <w:rPr>
          <w:spacing w:val="8"/>
          <w:w w:val="87"/>
          <w:position w:val="9"/>
          <w:sz w:val="21"/>
        </w:rPr>
        <w:t>b</w:t>
      </w:r>
      <w:r>
        <w:rPr>
          <w:w w:val="98"/>
          <w:sz w:val="21"/>
        </w:rPr>
        <w:t>ut</w:t>
      </w:r>
      <w:r>
        <w:rPr>
          <w:spacing w:val="-29"/>
          <w:w w:val="98"/>
          <w:sz w:val="21"/>
        </w:rPr>
        <w:t>i</w:t>
      </w:r>
      <w:r>
        <w:rPr>
          <w:spacing w:val="-29"/>
          <w:w w:val="109"/>
          <w:position w:val="9"/>
          <w:sz w:val="21"/>
        </w:rPr>
        <w:t>.</w:t>
      </w:r>
      <w:r>
        <w:rPr>
          <w:w w:val="99"/>
          <w:sz w:val="21"/>
        </w:rPr>
        <w:t>on</w:t>
      </w:r>
      <w:r>
        <w:rPr>
          <w:sz w:val="21"/>
        </w:rPr>
        <w:t> </w:t>
      </w:r>
      <w:r>
        <w:rPr>
          <w:spacing w:val="-3"/>
          <w:sz w:val="21"/>
        </w:rPr>
        <w:t> </w:t>
      </w:r>
      <w:r>
        <w:rPr>
          <w:w w:val="104"/>
          <w:sz w:val="21"/>
        </w:rPr>
        <w:t>to</w:t>
      </w:r>
    </w:p>
    <w:p>
      <w:pPr>
        <w:spacing w:before="107"/>
        <w:ind w:left="128" w:right="133" w:firstLine="0"/>
        <w:jc w:val="left"/>
        <w:rPr>
          <w:sz w:val="21"/>
        </w:rPr>
      </w:pPr>
      <w:r>
        <w:rPr>
          <w:sz w:val="21"/>
        </w:rPr>
        <w:t>the total  value of  the function  and  should  not be neglected.</w:t>
      </w:r>
    </w:p>
    <w:p>
      <w:pPr>
        <w:pStyle w:val="ListParagraph"/>
        <w:numPr>
          <w:ilvl w:val="0"/>
          <w:numId w:val="120"/>
        </w:numPr>
        <w:tabs>
          <w:tab w:pos="359" w:val="left" w:leader="none"/>
        </w:tabs>
        <w:spacing w:line="240" w:lineRule="auto" w:before="130" w:after="0"/>
        <w:ind w:left="358" w:right="0" w:hanging="237"/>
        <w:jc w:val="left"/>
        <w:rPr>
          <w:b/>
          <w:sz w:val="19"/>
        </w:rPr>
      </w:pPr>
      <w:r>
        <w:rPr>
          <w:b/>
          <w:w w:val="120"/>
          <w:sz w:val="19"/>
        </w:rPr>
        <w:t>Annual premiums and</w:t>
      </w:r>
      <w:r>
        <w:rPr>
          <w:b/>
          <w:spacing w:val="28"/>
          <w:w w:val="120"/>
          <w:sz w:val="19"/>
        </w:rPr>
        <w:t> </w:t>
      </w:r>
      <w:r>
        <w:rPr>
          <w:b/>
          <w:w w:val="120"/>
          <w:sz w:val="19"/>
        </w:rPr>
        <w:t>reserves</w:t>
      </w:r>
    </w:p>
    <w:p>
      <w:pPr>
        <w:spacing w:line="237" w:lineRule="auto" w:before="78"/>
        <w:ind w:left="117" w:right="123" w:firstLine="208"/>
        <w:jc w:val="both"/>
        <w:rPr>
          <w:sz w:val="21"/>
        </w:rPr>
      </w:pPr>
      <w:r>
        <w:rPr/>
        <w:pict>
          <v:shape style="position:absolute;margin-left:203.399994pt;margin-top:12.34346pt;width:1.2pt;height:4pt;mso-position-horizontal-relative:page;mso-position-vertical-relative:paragraph;z-index:-715216" type="#_x0000_t202" filled="false" stroked="false">
            <v:textbox inset="0,0,0,0">
              <w:txbxContent>
                <w:p>
                  <w:pPr>
                    <w:spacing w:line="80" w:lineRule="exact" w:before="0"/>
                    <w:ind w:left="0" w:right="0" w:firstLine="0"/>
                    <w:jc w:val="left"/>
                    <w:rPr>
                      <w:rFonts w:ascii="Arial"/>
                      <w:i/>
                      <w:sz w:val="8"/>
                    </w:rPr>
                  </w:pPr>
                  <w:r>
                    <w:rPr>
                      <w:rFonts w:ascii="Arial"/>
                      <w:i/>
                      <w:w w:val="51"/>
                      <w:sz w:val="8"/>
                    </w:rPr>
                    <w:t>1</w:t>
                  </w:r>
                </w:p>
              </w:txbxContent>
            </v:textbox>
            <w10:wrap type="none"/>
          </v:shape>
        </w:pict>
      </w:r>
      <w:r>
        <w:rPr>
          <w:sz w:val="21"/>
        </w:rPr>
        <w:t>When the reversionary annuity </w:t>
      </w:r>
      <w:r>
        <w:rPr>
          <w:i/>
          <w:sz w:val="21"/>
        </w:rPr>
        <w:t>av </w:t>
      </w:r>
      <w:r>
        <w:rPr>
          <w:i/>
          <w:sz w:val="12"/>
        </w:rPr>
        <w:t>u </w:t>
      </w:r>
      <w:r>
        <w:rPr>
          <w:sz w:val="21"/>
        </w:rPr>
        <w:t>is subject to annual pre­ miums, the premium-paying period coincides with the joint life­ time of the statuses </w:t>
      </w:r>
      <w:r>
        <w:rPr>
          <w:rFonts w:ascii="Arial" w:hAnsi="Arial"/>
          <w:i/>
          <w:sz w:val="18"/>
        </w:rPr>
        <w:t>(u) </w:t>
      </w:r>
      <w:r>
        <w:rPr>
          <w:sz w:val="21"/>
        </w:rPr>
        <w:t>and </w:t>
      </w:r>
      <w:r>
        <w:rPr>
          <w:rFonts w:ascii="Arial" w:hAnsi="Arial"/>
          <w:i/>
          <w:sz w:val="18"/>
        </w:rPr>
        <w:t>(v). </w:t>
      </w:r>
      <w:r>
        <w:rPr>
          <w:sz w:val="19"/>
        </w:rPr>
        <w:t>If </w:t>
      </w:r>
      <w:r>
        <w:rPr>
          <w:rFonts w:ascii="Arial" w:hAnsi="Arial"/>
          <w:i/>
          <w:sz w:val="18"/>
        </w:rPr>
        <w:t>(v) </w:t>
      </w:r>
      <w:r>
        <w:rPr>
          <w:sz w:val="21"/>
        </w:rPr>
        <w:t>is the first to fail, the annuity becomes payable, whereas if </w:t>
      </w:r>
      <w:r>
        <w:rPr>
          <w:rFonts w:ascii="Arial" w:hAnsi="Arial"/>
          <w:i/>
          <w:sz w:val="18"/>
        </w:rPr>
        <w:t>(u) </w:t>
      </w:r>
      <w:r>
        <w:rPr>
          <w:sz w:val="21"/>
        </w:rPr>
        <w:t>is the first to fail, the contract ex­ pires, and in either case no further premium payments are made. The  following  annual  premium  formulas  illustrate  this</w:t>
      </w:r>
      <w:r>
        <w:rPr>
          <w:spacing w:val="-22"/>
          <w:sz w:val="21"/>
        </w:rPr>
        <w:t> </w:t>
      </w:r>
      <w:r>
        <w:rPr>
          <w:sz w:val="21"/>
        </w:rPr>
        <w:t>principie:</w:t>
      </w:r>
    </w:p>
    <w:p>
      <w:pPr>
        <w:pStyle w:val="BodyText"/>
        <w:spacing w:before="11"/>
        <w:rPr>
          <w:sz w:val="10"/>
        </w:rPr>
      </w:pPr>
    </w:p>
    <w:p>
      <w:pPr>
        <w:spacing w:after="0"/>
        <w:rPr>
          <w:sz w:val="10"/>
        </w:rPr>
        <w:sectPr>
          <w:pgSz w:w="7200" w:h="11340"/>
          <w:pgMar w:top="520" w:bottom="280" w:left="660" w:right="560"/>
        </w:sectPr>
      </w:pPr>
    </w:p>
    <w:p>
      <w:pPr>
        <w:pStyle w:val="BodyText"/>
        <w:ind w:left="578" w:right="-40"/>
      </w:pPr>
      <w:r>
        <w:rPr/>
        <w:drawing>
          <wp:inline distT="0" distB="0" distL="0" distR="0">
            <wp:extent cx="2734055" cy="274320"/>
            <wp:effectExtent l="0" t="0" r="0" b="0"/>
            <wp:docPr id="623" name="image317.png" descr=""/>
            <wp:cNvGraphicFramePr>
              <a:graphicFrameLocks noChangeAspect="1"/>
            </wp:cNvGraphicFramePr>
            <a:graphic>
              <a:graphicData uri="http://schemas.openxmlformats.org/drawingml/2006/picture">
                <pic:pic>
                  <pic:nvPicPr>
                    <pic:cNvPr id="624" name="image317.png"/>
                    <pic:cNvPicPr/>
                  </pic:nvPicPr>
                  <pic:blipFill>
                    <a:blip r:embed="rId321" cstate="print"/>
                    <a:stretch>
                      <a:fillRect/>
                    </a:stretch>
                  </pic:blipFill>
                  <pic:spPr>
                    <a:xfrm>
                      <a:off x="0" y="0"/>
                      <a:ext cx="2734055" cy="274320"/>
                    </a:xfrm>
                    <a:prstGeom prst="rect">
                      <a:avLst/>
                    </a:prstGeom>
                  </pic:spPr>
                </pic:pic>
              </a:graphicData>
            </a:graphic>
          </wp:inline>
        </w:drawing>
      </w:r>
      <w:r>
        <w:rPr/>
      </w:r>
    </w:p>
    <w:p>
      <w:pPr>
        <w:spacing w:line="339" w:lineRule="exact" w:before="83"/>
        <w:ind w:left="560" w:right="0" w:firstLine="0"/>
        <w:jc w:val="left"/>
        <w:rPr>
          <w:i/>
          <w:sz w:val="21"/>
        </w:rPr>
      </w:pPr>
      <w:r>
        <w:rPr/>
        <w:pict>
          <v:shape style="position:absolute;margin-left:98.829819pt;margin-top:11.699001pt;width:29.85pt;height:11.5pt;mso-position-horizontal-relative:page;mso-position-vertical-relative:paragraph;z-index:-715192" type="#_x0000_t202" filled="false" stroked="false">
            <v:textbox inset="0,0,0,0">
              <w:txbxContent>
                <w:p>
                  <w:pPr>
                    <w:spacing w:line="230" w:lineRule="exact" w:before="0"/>
                    <w:ind w:left="0" w:right="0" w:firstLine="0"/>
                    <w:jc w:val="left"/>
                    <w:rPr>
                      <w:sz w:val="23"/>
                    </w:rPr>
                  </w:pPr>
                  <w:r>
                    <w:rPr>
                      <w:spacing w:val="-381"/>
                      <w:w w:val="275"/>
                      <w:sz w:val="23"/>
                    </w:rPr>
                    <w:t>-</w:t>
                  </w:r>
                  <w:r>
                    <w:rPr>
                      <w:w w:val="59"/>
                      <w:sz w:val="23"/>
                    </w:rPr>
                    <w:t>..</w:t>
                  </w:r>
                  <w:r>
                    <w:rPr>
                      <w:spacing w:val="-18"/>
                      <w:sz w:val="23"/>
                    </w:rPr>
                    <w:t> </w:t>
                  </w:r>
                  <w:r>
                    <w:rPr>
                      <w:w w:val="275"/>
                      <w:sz w:val="23"/>
                    </w:rPr>
                    <w:t>-</w:t>
                  </w:r>
                </w:p>
              </w:txbxContent>
            </v:textbox>
            <w10:wrap type="none"/>
          </v:shape>
        </w:pict>
      </w:r>
      <w:r>
        <w:rPr>
          <w:rFonts w:ascii="Arial" w:hAnsi="Arial"/>
          <w:w w:val="119"/>
          <w:position w:val="3"/>
          <w:sz w:val="19"/>
        </w:rPr>
        <w:t>P</w:t>
      </w:r>
      <w:r>
        <w:rPr>
          <w:rFonts w:ascii="Arial" w:hAnsi="Arial"/>
          <w:spacing w:val="6"/>
          <w:w w:val="119"/>
          <w:position w:val="3"/>
          <w:sz w:val="19"/>
        </w:rPr>
        <w:t>(</w:t>
      </w:r>
      <w:r>
        <w:rPr>
          <w:b/>
          <w:w w:val="80"/>
          <w:sz w:val="15"/>
        </w:rPr>
        <w:t>0.,11:z</w:t>
      </w:r>
      <w:r>
        <w:rPr>
          <w:b/>
          <w:spacing w:val="-12"/>
          <w:sz w:val="15"/>
        </w:rPr>
        <w:t> </w:t>
      </w:r>
      <w:r>
        <w:rPr>
          <w:rFonts w:ascii="Arial" w:hAnsi="Arial"/>
          <w:w w:val="117"/>
          <w:position w:val="4"/>
          <w:sz w:val="19"/>
        </w:rPr>
        <w:t>)</w:t>
      </w:r>
      <w:r>
        <w:rPr>
          <w:rFonts w:ascii="Arial" w:hAnsi="Arial"/>
          <w:spacing w:val="16"/>
          <w:position w:val="4"/>
          <w:sz w:val="19"/>
        </w:rPr>
        <w:t> </w:t>
      </w:r>
      <w:r>
        <w:rPr>
          <w:w w:val="104"/>
          <w:sz w:val="23"/>
        </w:rPr>
        <w:t>=</w:t>
      </w:r>
      <w:r>
        <w:rPr>
          <w:sz w:val="23"/>
        </w:rPr>
        <w:t> </w:t>
      </w:r>
      <w:r>
        <w:rPr>
          <w:spacing w:val="-25"/>
          <w:sz w:val="23"/>
        </w:rPr>
        <w:t> </w:t>
      </w:r>
      <w:r>
        <w:rPr>
          <w:i/>
          <w:w w:val="91"/>
          <w:position w:val="14"/>
          <w:sz w:val="21"/>
        </w:rPr>
        <w:t>a.,</w:t>
      </w:r>
      <w:r>
        <w:rPr>
          <w:i/>
          <w:spacing w:val="2"/>
          <w:w w:val="91"/>
          <w:position w:val="14"/>
          <w:sz w:val="21"/>
        </w:rPr>
        <w:t>,</w:t>
      </w:r>
      <w:r>
        <w:rPr>
          <w:i/>
          <w:w w:val="18"/>
          <w:position w:val="14"/>
          <w:sz w:val="21"/>
        </w:rPr>
        <w:t>¡</w:t>
      </w:r>
      <w:r>
        <w:rPr>
          <w:i/>
          <w:spacing w:val="-29"/>
          <w:position w:val="14"/>
          <w:sz w:val="21"/>
        </w:rPr>
        <w:t> </w:t>
      </w:r>
      <w:r>
        <w:rPr>
          <w:i/>
          <w:w w:val="41"/>
          <w:position w:val="14"/>
          <w:sz w:val="21"/>
        </w:rPr>
        <w:t>:z</w:t>
      </w:r>
    </w:p>
    <w:p>
      <w:pPr>
        <w:spacing w:line="172" w:lineRule="exact" w:before="0"/>
        <w:ind w:left="1557" w:right="0" w:firstLine="0"/>
        <w:jc w:val="left"/>
        <w:rPr>
          <w:b/>
          <w:i/>
          <w:sz w:val="19"/>
        </w:rPr>
      </w:pPr>
      <w:r>
        <w:rPr>
          <w:b/>
          <w:i/>
          <w:w w:val="75"/>
          <w:sz w:val="19"/>
        </w:rPr>
        <w:t>az11•</w:t>
      </w:r>
    </w:p>
    <w:p>
      <w:pPr>
        <w:pStyle w:val="BodyText"/>
        <w:spacing w:before="74"/>
        <w:ind w:left="395"/>
      </w:pPr>
      <w:r>
        <w:rPr/>
        <w:br w:type="column"/>
      </w:r>
      <w:r>
        <w:rPr/>
        <w:t>( 13.9)</w:t>
      </w:r>
    </w:p>
    <w:p>
      <w:pPr>
        <w:spacing w:after="0"/>
        <w:sectPr>
          <w:type w:val="continuous"/>
          <w:pgSz w:w="7200" w:h="11340"/>
          <w:pgMar w:top="1100" w:bottom="0" w:left="660" w:right="560"/>
          <w:cols w:num="2" w:equalWidth="0">
            <w:col w:w="4884" w:space="40"/>
            <w:col w:w="1056"/>
          </w:cols>
        </w:sectPr>
      </w:pPr>
    </w:p>
    <w:p>
      <w:pPr>
        <w:spacing w:line="298" w:lineRule="exact" w:before="111"/>
        <w:ind w:left="538" w:right="0" w:firstLine="0"/>
        <w:jc w:val="left"/>
        <w:rPr>
          <w:sz w:val="15"/>
        </w:rPr>
      </w:pPr>
      <w:r>
        <w:rPr/>
        <w:pict>
          <v:line style="position:absolute;mso-position-horizontal-relative:page;mso-position-vertical-relative:paragraph;z-index:-715240" from="120.239998pt,16.376324pt" to="124.199998pt,16.376324pt" stroked="true" strokeweight=".18pt" strokecolor="#000000">
            <w10:wrap type="none"/>
          </v:line>
        </w:pict>
      </w:r>
      <w:r>
        <w:rPr>
          <w:rFonts w:ascii="Arial" w:hAnsi="Arial"/>
          <w:w w:val="121"/>
          <w:sz w:val="19"/>
        </w:rPr>
        <w:t>P</w:t>
      </w:r>
      <w:r>
        <w:rPr>
          <w:rFonts w:ascii="Arial" w:hAnsi="Arial"/>
          <w:w w:val="121"/>
          <w:sz w:val="19"/>
        </w:rPr>
        <w:t>(</w:t>
      </w:r>
      <w:r>
        <w:rPr>
          <w:rFonts w:ascii="Arial" w:hAnsi="Arial"/>
          <w:spacing w:val="16"/>
          <w:sz w:val="19"/>
        </w:rPr>
        <w:t> </w:t>
      </w:r>
      <w:r>
        <w:rPr>
          <w:rFonts w:ascii="Arial" w:hAnsi="Arial"/>
          <w:spacing w:val="-129"/>
          <w:w w:val="227"/>
          <w:sz w:val="19"/>
        </w:rPr>
        <w:t>-</w:t>
      </w:r>
      <w:r>
        <w:rPr>
          <w:b/>
          <w:i/>
          <w:w w:val="84"/>
          <w:position w:val="-5"/>
          <w:sz w:val="15"/>
        </w:rPr>
        <w:t>.¡:z</w:t>
      </w:r>
      <w:r>
        <w:rPr>
          <w:b/>
          <w:i/>
          <w:spacing w:val="-6"/>
          <w:position w:val="-5"/>
          <w:sz w:val="15"/>
        </w:rPr>
        <w:t> </w:t>
      </w:r>
      <w:r>
        <w:rPr>
          <w:rFonts w:ascii="Arial" w:hAnsi="Arial"/>
          <w:w w:val="109"/>
          <w:sz w:val="19"/>
        </w:rPr>
        <w:t>)</w:t>
      </w:r>
      <w:r>
        <w:rPr>
          <w:rFonts w:ascii="Arial" w:hAnsi="Arial"/>
          <w:sz w:val="19"/>
        </w:rPr>
        <w:t> </w:t>
      </w:r>
      <w:r>
        <w:rPr>
          <w:rFonts w:ascii="Arial" w:hAnsi="Arial"/>
          <w:spacing w:val="-17"/>
          <w:sz w:val="19"/>
        </w:rPr>
        <w:t> </w:t>
      </w:r>
      <w:r>
        <w:rPr>
          <w:w w:val="101"/>
          <w:sz w:val="23"/>
        </w:rPr>
        <w:t>=</w:t>
      </w:r>
      <w:r>
        <w:rPr>
          <w:sz w:val="23"/>
        </w:rPr>
        <w:t> </w:t>
      </w:r>
      <w:r>
        <w:rPr>
          <w:spacing w:val="-21"/>
          <w:sz w:val="23"/>
        </w:rPr>
        <w:t> </w:t>
      </w:r>
      <w:r>
        <w:rPr>
          <w:i/>
          <w:spacing w:val="-56"/>
          <w:w w:val="158"/>
          <w:sz w:val="21"/>
        </w:rPr>
        <w:t>ª</w:t>
      </w:r>
      <w:r>
        <w:rPr>
          <w:w w:val="99"/>
          <w:position w:val="-5"/>
          <w:sz w:val="15"/>
        </w:rPr>
        <w:t>..</w:t>
      </w:r>
    </w:p>
    <w:p>
      <w:pPr>
        <w:spacing w:before="130"/>
        <w:ind w:left="98" w:right="-13" w:firstLine="0"/>
        <w:jc w:val="left"/>
        <w:rPr>
          <w:i/>
          <w:sz w:val="21"/>
        </w:rPr>
      </w:pPr>
      <w:r>
        <w:rPr/>
        <w:br w:type="column"/>
      </w:r>
      <w:r>
        <w:rPr>
          <w:i/>
          <w:w w:val="50"/>
          <w:sz w:val="21"/>
        </w:rPr>
        <w:t>1:z</w:t>
      </w:r>
    </w:p>
    <w:p>
      <w:pPr>
        <w:spacing w:after="0"/>
        <w:jc w:val="left"/>
        <w:rPr>
          <w:sz w:val="21"/>
        </w:rPr>
        <w:sectPr>
          <w:type w:val="continuous"/>
          <w:pgSz w:w="7200" w:h="11340"/>
          <w:pgMar w:top="1100" w:bottom="0" w:left="660" w:right="560"/>
          <w:cols w:num="2" w:equalWidth="0">
            <w:col w:w="1647" w:space="40"/>
            <w:col w:w="4293"/>
          </w:cols>
        </w:sectPr>
      </w:pPr>
    </w:p>
    <w:p>
      <w:pPr>
        <w:spacing w:line="123" w:lineRule="exact" w:before="0"/>
        <w:ind w:left="1532" w:right="739" w:firstLine="0"/>
        <w:jc w:val="left"/>
        <w:rPr>
          <w:b/>
          <w:sz w:val="12"/>
        </w:rPr>
      </w:pPr>
      <w:r>
        <w:rPr>
          <w:b/>
          <w:w w:val="95"/>
          <w:sz w:val="12"/>
        </w:rPr>
        <w:t>O:z:i,.r</w:t>
      </w:r>
    </w:p>
    <w:p>
      <w:pPr>
        <w:spacing w:before="73"/>
        <w:ind w:left="114" w:right="133" w:firstLine="205"/>
        <w:jc w:val="left"/>
        <w:rPr>
          <w:sz w:val="21"/>
        </w:rPr>
      </w:pPr>
      <w:r>
        <w:rPr>
          <w:sz w:val="21"/>
        </w:rPr>
        <w:t>Reserve formulas are easily written in prospective form. For example,</w:t>
      </w:r>
    </w:p>
    <w:p>
      <w:pPr>
        <w:pStyle w:val="BodyText"/>
        <w:spacing w:before="88"/>
        <w:ind w:left="1615" w:right="133"/>
      </w:pPr>
      <w:r>
        <w:rPr>
          <w:position w:val="-3"/>
        </w:rPr>
        <w:drawing>
          <wp:inline distT="0" distB="0" distL="0" distR="0">
            <wp:extent cx="1728216" cy="128015"/>
            <wp:effectExtent l="0" t="0" r="0" b="0"/>
            <wp:docPr id="625" name="image318.png" descr=""/>
            <wp:cNvGraphicFramePr>
              <a:graphicFrameLocks noChangeAspect="1"/>
            </wp:cNvGraphicFramePr>
            <a:graphic>
              <a:graphicData uri="http://schemas.openxmlformats.org/drawingml/2006/picture">
                <pic:pic>
                  <pic:nvPicPr>
                    <pic:cNvPr id="626" name="image318.png"/>
                    <pic:cNvPicPr/>
                  </pic:nvPicPr>
                  <pic:blipFill>
                    <a:blip r:embed="rId322" cstate="print"/>
                    <a:stretch>
                      <a:fillRect/>
                    </a:stretch>
                  </pic:blipFill>
                  <pic:spPr>
                    <a:xfrm>
                      <a:off x="0" y="0"/>
                      <a:ext cx="1728216" cy="128015"/>
                    </a:xfrm>
                    <a:prstGeom prst="rect">
                      <a:avLst/>
                    </a:prstGeom>
                  </pic:spPr>
                </pic:pic>
              </a:graphicData>
            </a:graphic>
          </wp:inline>
        </w:drawing>
      </w:r>
      <w:r>
        <w:rPr>
          <w:position w:val="-3"/>
        </w:rPr>
      </w:r>
      <w:r>
        <w:rPr/>
        <w:t>                 </w:t>
      </w:r>
      <w:r>
        <w:rPr>
          <w:w w:val="105"/>
        </w:rPr>
        <w:t>(13.10)</w:t>
      </w:r>
    </w:p>
    <w:p>
      <w:pPr>
        <w:spacing w:line="235" w:lineRule="auto" w:before="66"/>
        <w:ind w:left="117" w:right="121" w:firstLine="3"/>
        <w:jc w:val="both"/>
        <w:rPr>
          <w:sz w:val="21"/>
        </w:rPr>
      </w:pPr>
      <w:r>
        <w:rPr>
          <w:sz w:val="21"/>
        </w:rPr>
        <w:t>if both </w:t>
      </w:r>
      <w:r>
        <w:rPr>
          <w:i/>
          <w:spacing w:val="8"/>
          <w:sz w:val="20"/>
        </w:rPr>
        <w:t>(x) </w:t>
      </w:r>
      <w:r>
        <w:rPr>
          <w:sz w:val="21"/>
        </w:rPr>
        <w:t>and </w:t>
      </w:r>
      <w:r>
        <w:rPr>
          <w:rFonts w:ascii="Arial" w:hAnsi="Arial"/>
          <w:i/>
          <w:sz w:val="19"/>
        </w:rPr>
        <w:t>( y ) </w:t>
      </w:r>
      <w:r>
        <w:rPr>
          <w:sz w:val="21"/>
        </w:rPr>
        <w:t>are surviving, or ,V(a¡, </w:t>
      </w:r>
      <w:r>
        <w:rPr>
          <w:rFonts w:ascii="Arial" w:hAnsi="Arial"/>
          <w:position w:val="-3"/>
          <w:sz w:val="10"/>
        </w:rPr>
        <w:t>1</w:t>
      </w:r>
      <w:r>
        <w:rPr>
          <w:sz w:val="19"/>
        </w:rPr>
        <w:t>:z) </w:t>
      </w:r>
      <w:r>
        <w:rPr>
          <w:sz w:val="23"/>
        </w:rPr>
        <w:t>= </w:t>
      </w:r>
      <w:r>
        <w:rPr>
          <w:i/>
          <w:sz w:val="20"/>
        </w:rPr>
        <w:t>a:z+i </w:t>
      </w:r>
      <w:r>
        <w:rPr>
          <w:sz w:val="21"/>
        </w:rPr>
        <w:t>if (x) alone is surviving. Reversionary annuities often give rise to negative re­ serves-depending on the ages involved, the duration, and the mortality table used. This feature may be avoided by suitably limiting the premium-paying</w:t>
      </w:r>
      <w:r>
        <w:rPr>
          <w:spacing w:val="51"/>
          <w:sz w:val="21"/>
        </w:rPr>
        <w:t> </w:t>
      </w:r>
      <w:r>
        <w:rPr>
          <w:sz w:val="21"/>
        </w:rPr>
        <w:t>period.</w:t>
      </w:r>
    </w:p>
    <w:p>
      <w:pPr>
        <w:pStyle w:val="ListParagraph"/>
        <w:numPr>
          <w:ilvl w:val="0"/>
          <w:numId w:val="120"/>
        </w:numPr>
        <w:tabs>
          <w:tab w:pos="338" w:val="left" w:leader="none"/>
        </w:tabs>
        <w:spacing w:line="240" w:lineRule="auto" w:before="131" w:after="0"/>
        <w:ind w:left="337" w:right="0" w:hanging="223"/>
        <w:jc w:val="both"/>
        <w:rPr>
          <w:b/>
          <w:sz w:val="19"/>
        </w:rPr>
      </w:pPr>
      <w:r>
        <w:rPr>
          <w:b/>
          <w:w w:val="120"/>
          <w:sz w:val="19"/>
        </w:rPr>
        <w:t>Continuous</w:t>
      </w:r>
      <w:r>
        <w:rPr>
          <w:b/>
          <w:spacing w:val="53"/>
          <w:w w:val="120"/>
          <w:sz w:val="19"/>
        </w:rPr>
        <w:t> </w:t>
      </w:r>
      <w:r>
        <w:rPr>
          <w:b/>
          <w:w w:val="120"/>
          <w:sz w:val="19"/>
        </w:rPr>
        <w:t>instalments</w:t>
      </w:r>
    </w:p>
    <w:p>
      <w:pPr>
        <w:spacing w:before="83"/>
        <w:ind w:left="121" w:right="136" w:firstLine="194"/>
        <w:jc w:val="both"/>
        <w:rPr>
          <w:i/>
          <w:sz w:val="21"/>
        </w:rPr>
      </w:pPr>
      <w:r>
        <w:rPr>
          <w:sz w:val="21"/>
        </w:rPr>
        <w:t>Reversionary annuities are sometimes issued in  combination  with other insurance benefits. One such combination policy is known as</w:t>
      </w:r>
      <w:r>
        <w:rPr>
          <w:spacing w:val="-39"/>
          <w:sz w:val="21"/>
        </w:rPr>
        <w:t> </w:t>
      </w:r>
      <w:r>
        <w:rPr>
          <w:i/>
          <w:sz w:val="21"/>
        </w:rPr>
        <w:t>insurance </w:t>
      </w:r>
      <w:r>
        <w:rPr>
          <w:i/>
          <w:sz w:val="20"/>
        </w:rPr>
        <w:t>with </w:t>
      </w:r>
      <w:r>
        <w:rPr>
          <w:i/>
          <w:sz w:val="21"/>
        </w:rPr>
        <w:t>continuous instal,ments.</w:t>
      </w:r>
    </w:p>
    <w:p>
      <w:pPr>
        <w:spacing w:line="235" w:lineRule="auto" w:before="0"/>
        <w:ind w:left="114" w:right="136" w:firstLine="198"/>
        <w:jc w:val="both"/>
        <w:rPr>
          <w:sz w:val="21"/>
        </w:rPr>
      </w:pPr>
      <w:r>
        <w:rPr>
          <w:sz w:val="21"/>
        </w:rPr>
        <w:t>Suppose that a policy provides that at the death of </w:t>
      </w:r>
      <w:r>
        <w:rPr>
          <w:rFonts w:ascii="Arial" w:hAnsi="Arial"/>
          <w:sz w:val="18"/>
        </w:rPr>
        <w:t>(x) </w:t>
      </w:r>
      <w:r>
        <w:rPr>
          <w:sz w:val="21"/>
        </w:rPr>
        <w:t>a monthly annuity of </w:t>
      </w:r>
      <w:r>
        <w:rPr>
          <w:sz w:val="20"/>
        </w:rPr>
        <w:t>1 </w:t>
      </w:r>
      <w:r>
        <w:rPr>
          <w:sz w:val="21"/>
        </w:rPr>
        <w:t>per annum will be payable for </w:t>
      </w:r>
      <w:r>
        <w:rPr>
          <w:i/>
          <w:sz w:val="21"/>
        </w:rPr>
        <w:t>n </w:t>
      </w:r>
      <w:r>
        <w:rPr>
          <w:sz w:val="21"/>
        </w:rPr>
        <w:t>years certain and for  as long thereaf ter as a beneficiary, aged </w:t>
      </w:r>
      <w:r>
        <w:rPr>
          <w:rFonts w:ascii="Arial" w:hAnsi="Arial"/>
          <w:i/>
          <w:sz w:val="18"/>
        </w:rPr>
        <w:t>y </w:t>
      </w:r>
      <w:r>
        <w:rPr>
          <w:sz w:val="21"/>
        </w:rPr>
        <w:t>at date of  ue, survives. At the date of issue, the certain payments have a present value </w:t>
      </w:r>
      <w:r>
        <w:rPr>
          <w:w w:val="87"/>
          <w:sz w:val="21"/>
        </w:rPr>
        <w:t>of </w:t>
      </w:r>
      <w:r>
        <w:rPr>
          <w:rFonts w:ascii="Arial" w:hAnsi="Arial"/>
          <w:i/>
          <w:spacing w:val="-4"/>
          <w:w w:val="170"/>
          <w:sz w:val="18"/>
        </w:rPr>
        <w:t>a</w:t>
      </w:r>
      <w:r>
        <w:rPr>
          <w:i/>
          <w:spacing w:val="-4"/>
          <w:w w:val="170"/>
          <w:position w:val="10"/>
          <w:sz w:val="12"/>
        </w:rPr>
        <w:t>2</w:t>
      </w:r>
      <w:r>
        <w:rPr>
          <w:i/>
          <w:w w:val="170"/>
          <w:position w:val="10"/>
          <w:sz w:val="12"/>
        </w:rPr>
        <w:t> </w:t>
      </w:r>
      <w:r>
        <w:rPr>
          <w:rFonts w:ascii="Arial" w:hAnsi="Arial"/>
          <w:i/>
          <w:w w:val="51"/>
          <w:sz w:val="14"/>
        </w:rPr>
        <w:t>&gt; </w:t>
      </w:r>
      <w:r>
        <w:rPr>
          <w:rFonts w:ascii="Arial" w:hAnsi="Arial"/>
          <w:b/>
          <w:w w:val="68"/>
          <w:sz w:val="14"/>
        </w:rPr>
        <w:t>• </w:t>
      </w:r>
      <w:r>
        <w:rPr>
          <w:rFonts w:ascii="Arial" w:hAnsi="Arial"/>
          <w:b/>
          <w:spacing w:val="-17"/>
          <w:w w:val="83"/>
          <w:sz w:val="14"/>
        </w:rPr>
        <w:t>.•</w:t>
      </w:r>
      <w:r>
        <w:rPr>
          <w:b/>
          <w:spacing w:val="-17"/>
          <w:w w:val="83"/>
          <w:sz w:val="22"/>
        </w:rPr>
        <w:t>{a:</w:t>
      </w:r>
      <w:r>
        <w:rPr>
          <w:b/>
          <w:w w:val="83"/>
          <w:sz w:val="22"/>
        </w:rPr>
        <w:t> </w:t>
      </w:r>
      <w:r>
        <w:rPr>
          <w:b/>
          <w:w w:val="85"/>
          <w:sz w:val="22"/>
        </w:rPr>
        <w:t>, </w:t>
      </w:r>
      <w:r>
        <w:rPr>
          <w:w w:val="100"/>
          <w:sz w:val="21"/>
        </w:rPr>
        <w:t>and </w:t>
      </w:r>
      <w:r>
        <w:rPr>
          <w:w w:val="104"/>
          <w:sz w:val="21"/>
        </w:rPr>
        <w:t>the </w:t>
      </w:r>
      <w:r>
        <w:rPr>
          <w:w w:val="96"/>
          <w:sz w:val="21"/>
        </w:rPr>
        <w:t>deferred </w:t>
      </w:r>
      <w:r>
        <w:rPr>
          <w:w w:val="102"/>
          <w:sz w:val="21"/>
        </w:rPr>
        <w:t>annuity </w:t>
      </w:r>
      <w:r>
        <w:rPr>
          <w:w w:val="102"/>
          <w:sz w:val="21"/>
        </w:rPr>
        <w:t>to </w:t>
      </w:r>
      <w:r>
        <w:rPr>
          <w:rFonts w:ascii="Arial" w:hAnsi="Arial"/>
          <w:i/>
          <w:spacing w:val="6"/>
          <w:w w:val="99"/>
          <w:sz w:val="18"/>
        </w:rPr>
        <w:t>(y),</w:t>
      </w:r>
      <w:r>
        <w:rPr>
          <w:rFonts w:ascii="Arial" w:hAnsi="Arial"/>
          <w:i/>
          <w:w w:val="99"/>
          <w:sz w:val="18"/>
        </w:rPr>
        <w:t> </w:t>
      </w:r>
      <w:r>
        <w:rPr>
          <w:w w:val="106"/>
          <w:sz w:val="21"/>
        </w:rPr>
        <w:t>the </w:t>
      </w:r>
      <w:r>
        <w:rPr>
          <w:w w:val="99"/>
          <w:sz w:val="21"/>
        </w:rPr>
        <w:t>continuous </w:t>
      </w:r>
      <w:r>
        <w:rPr>
          <w:w w:val="83"/>
          <w:sz w:val="21"/>
        </w:rPr>
        <w:t>insta.1- </w:t>
      </w:r>
      <w:r>
        <w:rPr>
          <w:sz w:val="21"/>
        </w:rPr>
        <w:t>ment portion, has the following</w:t>
      </w:r>
      <w:r>
        <w:rPr>
          <w:spacing w:val="36"/>
          <w:sz w:val="21"/>
        </w:rPr>
        <w:t> </w:t>
      </w:r>
      <w:r>
        <w:rPr>
          <w:sz w:val="21"/>
        </w:rPr>
        <w:t>value:</w:t>
      </w:r>
    </w:p>
    <w:p>
      <w:pPr>
        <w:tabs>
          <w:tab w:pos="1485" w:val="left" w:leader="none"/>
          <w:tab w:pos="2345" w:val="left" w:leader="none"/>
          <w:tab w:pos="4174" w:val="left" w:leader="none"/>
        </w:tabs>
        <w:spacing w:line="82" w:lineRule="exact" w:before="0"/>
        <w:ind w:left="574" w:right="739" w:firstLine="0"/>
        <w:jc w:val="left"/>
        <w:rPr>
          <w:sz w:val="20"/>
        </w:rPr>
      </w:pPr>
      <w:r>
        <w:rPr/>
        <w:pict>
          <v:shape style="position:absolute;margin-left:41.580002pt;margin-top:4.111158pt;width:8.9pt;height:25.5pt;mso-position-horizontal-relative:page;mso-position-vertical-relative:paragraph;z-index:-715168" type="#_x0000_t202" filled="false" stroked="false">
            <v:textbox inset="0,0,0,0">
              <w:txbxContent>
                <w:p>
                  <w:pPr>
                    <w:spacing w:line="510" w:lineRule="exact" w:before="0"/>
                    <w:ind w:left="0" w:right="0" w:firstLine="0"/>
                    <w:jc w:val="left"/>
                    <w:rPr>
                      <w:rFonts w:ascii="Arial"/>
                      <w:i/>
                      <w:sz w:val="51"/>
                    </w:rPr>
                  </w:pPr>
                  <w:r>
                    <w:rPr>
                      <w:rFonts w:ascii="Arial"/>
                      <w:i/>
                      <w:spacing w:val="-58"/>
                      <w:w w:val="82"/>
                      <w:sz w:val="51"/>
                    </w:rPr>
                    <w:t>1</w:t>
                  </w:r>
                </w:p>
              </w:txbxContent>
            </v:textbox>
            <w10:wrap type="none"/>
          </v:shape>
        </w:pict>
      </w:r>
      <w:r>
        <w:rPr>
          <w:rFonts w:ascii="Arial" w:hAnsi="Arial"/>
          <w:w w:val="378"/>
          <w:sz w:val="8"/>
        </w:rPr>
        <w:t>,</w:t>
      </w:r>
      <w:r>
        <w:rPr>
          <w:rFonts w:ascii="Arial" w:hAnsi="Arial"/>
          <w:sz w:val="8"/>
        </w:rPr>
        <w:tab/>
      </w:r>
      <w:r>
        <w:rPr>
          <w:rFonts w:ascii="Arial" w:hAnsi="Arial"/>
          <w:w w:val="108"/>
          <w:sz w:val="8"/>
        </w:rPr>
        <w:t>•.</w:t>
      </w:r>
      <w:r>
        <w:rPr>
          <w:rFonts w:ascii="Arial" w:hAnsi="Arial"/>
          <w:spacing w:val="-2"/>
          <w:sz w:val="8"/>
        </w:rPr>
        <w:t> </w:t>
      </w:r>
      <w:r>
        <w:rPr>
          <w:w w:val="45"/>
          <w:sz w:val="20"/>
        </w:rPr>
        <w:t>e</w:t>
      </w:r>
      <w:r>
        <w:rPr>
          <w:spacing w:val="-30"/>
          <w:sz w:val="20"/>
        </w:rPr>
        <w:t> </w:t>
      </w:r>
      <w:r>
        <w:rPr>
          <w:w w:val="80"/>
          <w:sz w:val="20"/>
        </w:rPr>
        <w:t>n&gt;</w:t>
      </w:r>
      <w:r>
        <w:rPr>
          <w:sz w:val="20"/>
        </w:rPr>
        <w:tab/>
      </w:r>
      <w:r>
        <w:rPr>
          <w:b/>
          <w:i/>
          <w:w w:val="91"/>
          <w:sz w:val="15"/>
        </w:rPr>
        <w:t>D11+n</w:t>
      </w:r>
      <w:r>
        <w:rPr>
          <w:b/>
          <w:i/>
          <w:sz w:val="15"/>
        </w:rPr>
        <w:t> </w:t>
      </w:r>
      <w:r>
        <w:rPr>
          <w:b/>
          <w:i/>
          <w:spacing w:val="7"/>
          <w:sz w:val="15"/>
        </w:rPr>
        <w:t> </w:t>
      </w:r>
      <w:r>
        <w:rPr>
          <w:rFonts w:ascii="Arial" w:hAnsi="Arial"/>
          <w:b/>
          <w:i/>
          <w:spacing w:val="-33"/>
          <w:w w:val="96"/>
          <w:sz w:val="36"/>
        </w:rPr>
        <w:t>1</w:t>
      </w:r>
      <w:r>
        <w:rPr>
          <w:rFonts w:ascii="Arial" w:hAnsi="Arial"/>
          <w:b/>
          <w:i/>
          <w:w w:val="31"/>
          <w:sz w:val="36"/>
        </w:rPr>
        <w:t>"°</w:t>
      </w:r>
      <w:r>
        <w:rPr>
          <w:rFonts w:ascii="Arial" w:hAnsi="Arial"/>
          <w:b/>
          <w:i/>
          <w:spacing w:val="40"/>
          <w:sz w:val="36"/>
        </w:rPr>
        <w:t> </w:t>
      </w:r>
      <w:r>
        <w:rPr>
          <w:w w:val="98"/>
          <w:sz w:val="11"/>
        </w:rPr>
        <w:t>1</w:t>
      </w:r>
      <w:r>
        <w:rPr>
          <w:sz w:val="11"/>
        </w:rPr>
        <w:tab/>
      </w:r>
      <w:r>
        <w:rPr>
          <w:w w:val="87"/>
          <w:sz w:val="11"/>
        </w:rPr>
        <w:t>•.</w:t>
      </w:r>
      <w:r>
        <w:rPr>
          <w:spacing w:val="-7"/>
          <w:sz w:val="11"/>
        </w:rPr>
        <w:t> </w:t>
      </w:r>
      <w:r>
        <w:rPr>
          <w:w w:val="57"/>
          <w:sz w:val="20"/>
        </w:rPr>
        <w:t>c12&gt;</w:t>
      </w:r>
    </w:p>
    <w:p>
      <w:pPr>
        <w:spacing w:after="0" w:line="82" w:lineRule="exact"/>
        <w:jc w:val="left"/>
        <w:rPr>
          <w:sz w:val="20"/>
        </w:rPr>
        <w:sectPr>
          <w:type w:val="continuous"/>
          <w:pgSz w:w="7200" w:h="11340"/>
          <w:pgMar w:top="1100" w:bottom="0" w:left="660" w:right="560"/>
        </w:sectPr>
      </w:pPr>
    </w:p>
    <w:p>
      <w:pPr>
        <w:spacing w:before="3"/>
        <w:ind w:left="337" w:right="0" w:firstLine="0"/>
        <w:jc w:val="left"/>
        <w:rPr>
          <w:rFonts w:ascii="Arial"/>
          <w:i/>
          <w:sz w:val="8"/>
        </w:rPr>
      </w:pPr>
      <w:r>
        <w:rPr>
          <w:rFonts w:ascii="Arial"/>
          <w:i/>
          <w:w w:val="105"/>
          <w:sz w:val="8"/>
        </w:rPr>
        <w:t>00</w:t>
      </w:r>
    </w:p>
    <w:p>
      <w:pPr>
        <w:tabs>
          <w:tab w:pos="3134" w:val="left" w:leader="none"/>
        </w:tabs>
        <w:spacing w:line="180" w:lineRule="exact" w:before="33"/>
        <w:ind w:left="481" w:right="0" w:firstLine="0"/>
        <w:jc w:val="left"/>
        <w:rPr>
          <w:rFonts w:ascii="Arial" w:hAnsi="Arial"/>
          <w:b/>
          <w:i/>
          <w:sz w:val="20"/>
        </w:rPr>
      </w:pPr>
      <w:r>
        <w:rPr>
          <w:b/>
          <w:i/>
          <w:sz w:val="15"/>
        </w:rPr>
        <w:t>V </w:t>
      </w:r>
      <w:r>
        <w:rPr>
          <w:b/>
          <w:sz w:val="16"/>
        </w:rPr>
        <w:t>,p.eyµz+c·n1 ª11+1  </w:t>
      </w:r>
      <w:r>
        <w:rPr>
          <w:rFonts w:ascii="Arial" w:hAnsi="Arial"/>
          <w:b/>
          <w:i/>
          <w:sz w:val="20"/>
        </w:rPr>
        <w:t>dt</w:t>
      </w:r>
      <w:r>
        <w:rPr>
          <w:rFonts w:ascii="Arial" w:hAnsi="Arial"/>
          <w:b/>
          <w:i/>
          <w:spacing w:val="6"/>
          <w:sz w:val="20"/>
        </w:rPr>
        <w:t> </w:t>
      </w:r>
      <w:r>
        <w:rPr>
          <w:sz w:val="22"/>
        </w:rPr>
        <w:t>= </w:t>
      </w:r>
      <w:r>
        <w:rPr>
          <w:spacing w:val="17"/>
          <w:sz w:val="22"/>
        </w:rPr>
        <w:t> </w:t>
      </w:r>
      <w:r>
        <w:rPr>
          <w:rFonts w:ascii="Arial" w:hAnsi="Arial"/>
          <w:b/>
          <w:i/>
          <w:sz w:val="20"/>
        </w:rPr>
        <w:t>D</w:t>
        <w:tab/>
      </w:r>
      <w:r>
        <w:rPr>
          <w:b/>
          <w:i/>
          <w:sz w:val="15"/>
        </w:rPr>
        <w:t>V 1Pz: 11+nJ.&amp;:z+a +•+e</w:t>
      </w:r>
      <w:r>
        <w:rPr>
          <w:b/>
          <w:i/>
          <w:spacing w:val="-3"/>
          <w:sz w:val="15"/>
        </w:rPr>
        <w:t> </w:t>
      </w:r>
      <w:r>
        <w:rPr>
          <w:rFonts w:ascii="Arial" w:hAnsi="Arial"/>
          <w:b/>
          <w:i/>
          <w:sz w:val="20"/>
        </w:rPr>
        <w:t>dt.</w:t>
      </w:r>
    </w:p>
    <w:p>
      <w:pPr>
        <w:spacing w:line="199" w:lineRule="exact" w:before="110"/>
        <w:ind w:left="171" w:right="-18" w:firstLine="0"/>
        <w:jc w:val="left"/>
        <w:rPr>
          <w:sz w:val="19"/>
        </w:rPr>
      </w:pPr>
      <w:r>
        <w:rPr/>
        <w:br w:type="column"/>
      </w:r>
      <w:r>
        <w:rPr>
          <w:w w:val="110"/>
          <w:sz w:val="19"/>
        </w:rPr>
        <w:t>(13.11)</w:t>
      </w:r>
    </w:p>
    <w:p>
      <w:pPr>
        <w:spacing w:after="0" w:line="199" w:lineRule="exact"/>
        <w:jc w:val="left"/>
        <w:rPr>
          <w:sz w:val="19"/>
        </w:rPr>
        <w:sectPr>
          <w:type w:val="continuous"/>
          <w:pgSz w:w="7200" w:h="11340"/>
          <w:pgMar w:top="1100" w:bottom="0" w:left="660" w:right="560"/>
          <w:cols w:num="2" w:equalWidth="0">
            <w:col w:w="5011" w:space="40"/>
            <w:col w:w="929"/>
          </w:cols>
        </w:sectPr>
      </w:pPr>
    </w:p>
    <w:p>
      <w:pPr>
        <w:tabs>
          <w:tab w:pos="2590" w:val="left" w:leader="none"/>
          <w:tab w:pos="2911" w:val="left" w:leader="none"/>
        </w:tabs>
        <w:spacing w:line="174" w:lineRule="exact" w:before="0"/>
        <w:ind w:left="261" w:right="739" w:firstLine="0"/>
        <w:jc w:val="left"/>
        <w:rPr>
          <w:b/>
          <w:sz w:val="17"/>
        </w:rPr>
      </w:pPr>
      <w:r>
        <w:rPr>
          <w:b/>
          <w:w w:val="90"/>
          <w:sz w:val="17"/>
        </w:rPr>
        <w:t>o</w:t>
        <w:tab/>
      </w:r>
      <w:r>
        <w:rPr>
          <w:w w:val="90"/>
          <w:sz w:val="17"/>
        </w:rPr>
        <w:t>,,</w:t>
        <w:tab/>
      </w:r>
      <w:r>
        <w:rPr>
          <w:b/>
          <w:w w:val="90"/>
          <w:sz w:val="17"/>
        </w:rPr>
        <w:t>o</w:t>
      </w:r>
    </w:p>
    <w:p>
      <w:pPr>
        <w:spacing w:after="0" w:line="174" w:lineRule="exact"/>
        <w:jc w:val="left"/>
        <w:rPr>
          <w:sz w:val="17"/>
        </w:rPr>
        <w:sectPr>
          <w:type w:val="continuous"/>
          <w:pgSz w:w="7200" w:h="11340"/>
          <w:pgMar w:top="1100" w:bottom="0" w:left="660" w:right="560"/>
        </w:sectPr>
      </w:pPr>
    </w:p>
    <w:p>
      <w:pPr>
        <w:tabs>
          <w:tab w:pos="2505" w:val="left" w:leader="none"/>
          <w:tab w:pos="6512" w:val="right" w:leader="none"/>
        </w:tabs>
        <w:spacing w:before="54"/>
        <w:ind w:left="781" w:right="0" w:firstLine="0"/>
        <w:jc w:val="left"/>
        <w:rPr>
          <w:sz w:val="19"/>
        </w:rPr>
      </w:pPr>
      <w:r>
        <w:rPr>
          <w:b/>
          <w:w w:val="105"/>
          <w:sz w:val="15"/>
        </w:rPr>
        <w:t>SEC. </w:t>
      </w:r>
      <w:r>
        <w:rPr>
          <w:b/>
          <w:spacing w:val="23"/>
          <w:w w:val="105"/>
          <w:sz w:val="15"/>
        </w:rPr>
        <w:t> </w:t>
      </w:r>
      <w:r>
        <w:rPr>
          <w:w w:val="105"/>
          <w:sz w:val="19"/>
        </w:rPr>
        <w:t>6]</w:t>
        <w:tab/>
      </w:r>
      <w:r>
        <w:rPr>
          <w:b/>
          <w:w w:val="105"/>
          <w:position w:val="1"/>
          <w:sz w:val="15"/>
        </w:rPr>
        <w:t>CONTINUOUS </w:t>
      </w:r>
      <w:r>
        <w:rPr>
          <w:b/>
          <w:spacing w:val="29"/>
          <w:w w:val="105"/>
          <w:position w:val="1"/>
          <w:sz w:val="15"/>
        </w:rPr>
        <w:t> </w:t>
      </w:r>
      <w:r>
        <w:rPr>
          <w:b/>
          <w:w w:val="105"/>
          <w:position w:val="1"/>
          <w:sz w:val="15"/>
        </w:rPr>
        <w:t>INSTALMENTS</w:t>
      </w:r>
      <w:r>
        <w:rPr>
          <w:w w:val="105"/>
          <w:position w:val="1"/>
          <w:sz w:val="19"/>
        </w:rPr>
        <w:tab/>
        <w:t>261</w:t>
      </w:r>
    </w:p>
    <w:p>
      <w:pPr>
        <w:pStyle w:val="BodyText"/>
        <w:spacing w:before="3"/>
      </w:pPr>
    </w:p>
    <w:p>
      <w:pPr>
        <w:pStyle w:val="BodyText"/>
        <w:spacing w:line="242" w:lineRule="exact"/>
        <w:ind w:left="795" w:right="111" w:hanging="4"/>
        <w:jc w:val="both"/>
      </w:pPr>
      <w:r>
        <w:rPr>
          <w:w w:val="105"/>
        </w:rPr>
        <w:t>The expressions assume that the first monthly income payment is made on the date of death of  </w:t>
      </w:r>
      <w:r>
        <w:rPr>
          <w:rFonts w:ascii="Arial"/>
          <w:i/>
          <w:w w:val="105"/>
          <w:sz w:val="19"/>
        </w:rPr>
        <w:t>(x). </w:t>
      </w:r>
      <w:r>
        <w:rPr>
          <w:w w:val="105"/>
        </w:rPr>
        <w:t>Earlier in the chapter the symbol</w:t>
      </w:r>
      <w:r>
        <w:rPr>
          <w:spacing w:val="52"/>
          <w:w w:val="105"/>
        </w:rPr>
        <w:t> </w:t>
      </w:r>
      <w:r>
        <w:rPr>
          <w:rFonts w:ascii="Arial"/>
          <w:i/>
          <w:sz w:val="25"/>
        </w:rPr>
        <w:t>a </w:t>
      </w:r>
      <w:r>
        <w:rPr>
          <w:w w:val="105"/>
        </w:rPr>
        <w:t>was used </w:t>
      </w:r>
      <w:r>
        <w:rPr>
          <w:w w:val="105"/>
          <w:sz w:val="21"/>
        </w:rPr>
        <w:t>to </w:t>
      </w:r>
      <w:r>
        <w:rPr>
          <w:w w:val="105"/>
        </w:rPr>
        <w:t>indicate that an immediate annuity commences at  the moment of death, and if we now use </w:t>
      </w:r>
      <w:r>
        <w:rPr>
          <w:i/>
          <w:sz w:val="24"/>
        </w:rPr>
        <w:t>d </w:t>
      </w:r>
      <w:r>
        <w:rPr>
          <w:w w:val="105"/>
        </w:rPr>
        <w:t>to indicate that an annuity-due  becomes  payable  at  death,  the  definite  integral   </w:t>
      </w:r>
      <w:r>
        <w:rPr>
          <w:spacing w:val="13"/>
          <w:w w:val="105"/>
        </w:rPr>
        <w:t> </w:t>
      </w:r>
      <w:r>
        <w:rPr>
          <w:w w:val="105"/>
        </w:rPr>
        <w:t>in</w:t>
      </w:r>
    </w:p>
    <w:p>
      <w:pPr>
        <w:pStyle w:val="BodyText"/>
        <w:spacing w:line="249" w:lineRule="exact"/>
        <w:ind w:left="802"/>
        <w:jc w:val="both"/>
      </w:pPr>
      <w:r>
        <w:rPr/>
        <w:t>(13.11)  may be written  as </w:t>
      </w:r>
      <w:r>
        <w:rPr>
          <w:rFonts w:ascii="Arial"/>
          <w:sz w:val="31"/>
        </w:rPr>
        <w:t>&amp;;f!tn . </w:t>
      </w:r>
      <w:r>
        <w:rPr/>
        <w:t>Thc total  net  single  premium,</w:t>
      </w:r>
    </w:p>
    <w:p>
      <w:pPr>
        <w:pStyle w:val="BodyText"/>
        <w:spacing w:line="221" w:lineRule="exact"/>
        <w:ind w:left="795"/>
        <w:jc w:val="both"/>
      </w:pPr>
      <w:r>
        <w:rPr>
          <w:w w:val="105"/>
        </w:rPr>
        <w:t>including the certain  payments,  will  then be</w:t>
      </w:r>
    </w:p>
    <w:p>
      <w:pPr>
        <w:spacing w:line="263" w:lineRule="exact" w:before="71"/>
        <w:ind w:left="1848" w:right="1369" w:firstLine="0"/>
        <w:jc w:val="center"/>
        <w:rPr>
          <w:rFonts w:ascii="Arial" w:hAnsi="Arial"/>
          <w:sz w:val="11"/>
        </w:rPr>
      </w:pPr>
      <w:r>
        <w:rPr>
          <w:rFonts w:ascii="Arial" w:hAnsi="Arial"/>
          <w:w w:val="84"/>
          <w:sz w:val="11"/>
        </w:rPr>
        <w:t>•.</w:t>
      </w:r>
      <w:r>
        <w:rPr>
          <w:rFonts w:ascii="Arial" w:hAnsi="Arial"/>
          <w:spacing w:val="-10"/>
          <w:sz w:val="11"/>
        </w:rPr>
        <w:t> </w:t>
      </w:r>
      <w:r>
        <w:rPr>
          <w:rFonts w:ascii="Arial" w:hAnsi="Arial"/>
          <w:w w:val="144"/>
          <w:sz w:val="11"/>
        </w:rPr>
        <w:t>(</w:t>
      </w:r>
      <w:r>
        <w:rPr>
          <w:rFonts w:ascii="Arial" w:hAnsi="Arial"/>
          <w:spacing w:val="-27"/>
          <w:w w:val="144"/>
          <w:sz w:val="11"/>
        </w:rPr>
        <w:t>1</w:t>
      </w:r>
      <w:r>
        <w:rPr>
          <w:rFonts w:ascii="Arial" w:hAnsi="Arial"/>
          <w:w w:val="93"/>
          <w:sz w:val="11"/>
        </w:rPr>
        <w:t>2&gt;</w:t>
      </w:r>
      <w:r>
        <w:rPr>
          <w:rFonts w:ascii="Arial" w:hAnsi="Arial"/>
          <w:spacing w:val="-12"/>
          <w:sz w:val="11"/>
        </w:rPr>
        <w:t> </w:t>
      </w:r>
      <w:r>
        <w:rPr>
          <w:rFonts w:ascii="Arial" w:hAnsi="Arial"/>
          <w:spacing w:val="-60"/>
          <w:w w:val="173"/>
          <w:sz w:val="11"/>
        </w:rPr>
        <w:t>A</w:t>
      </w:r>
      <w:r>
        <w:rPr>
          <w:rFonts w:ascii="Arial" w:hAnsi="Arial"/>
          <w:w w:val="226"/>
          <w:sz w:val="11"/>
        </w:rPr>
        <w:t>-</w:t>
      </w:r>
      <w:r>
        <w:rPr>
          <w:rFonts w:ascii="Arial" w:hAnsi="Arial"/>
          <w:sz w:val="11"/>
        </w:rPr>
        <w:t>    </w:t>
      </w:r>
      <w:r>
        <w:rPr>
          <w:rFonts w:ascii="Arial" w:hAnsi="Arial"/>
          <w:spacing w:val="-2"/>
          <w:sz w:val="11"/>
        </w:rPr>
        <w:t> </w:t>
      </w:r>
      <w:r>
        <w:rPr>
          <w:w w:val="101"/>
          <w:sz w:val="29"/>
        </w:rPr>
        <w:t>+</w:t>
      </w:r>
      <w:r>
        <w:rPr>
          <w:spacing w:val="-6"/>
          <w:sz w:val="29"/>
        </w:rPr>
        <w:t> </w:t>
      </w:r>
      <w:r>
        <w:rPr>
          <w:i/>
          <w:w w:val="97"/>
          <w:sz w:val="14"/>
        </w:rPr>
        <w:t>D11+n</w:t>
      </w:r>
      <w:r>
        <w:rPr>
          <w:i/>
          <w:sz w:val="14"/>
        </w:rPr>
        <w:t>  </w:t>
      </w:r>
      <w:r>
        <w:rPr>
          <w:i/>
          <w:spacing w:val="1"/>
          <w:sz w:val="14"/>
        </w:rPr>
        <w:t> </w:t>
      </w:r>
      <w:r>
        <w:rPr>
          <w:rFonts w:ascii="Arial" w:hAnsi="Arial"/>
          <w:w w:val="124"/>
          <w:sz w:val="11"/>
        </w:rPr>
        <w:t>!'!</w:t>
      </w:r>
      <w:r>
        <w:rPr>
          <w:rFonts w:ascii="Arial" w:hAnsi="Arial"/>
          <w:w w:val="124"/>
          <w:sz w:val="11"/>
        </w:rPr>
        <w:t>(</w:t>
      </w:r>
      <w:r>
        <w:rPr>
          <w:rFonts w:ascii="Arial" w:hAnsi="Arial"/>
          <w:spacing w:val="-20"/>
          <w:w w:val="124"/>
          <w:sz w:val="11"/>
        </w:rPr>
        <w:t>1</w:t>
      </w:r>
      <w:r>
        <w:rPr>
          <w:rFonts w:ascii="Arial" w:hAnsi="Arial"/>
          <w:w w:val="96"/>
          <w:sz w:val="11"/>
        </w:rPr>
        <w:t>2&gt;</w:t>
      </w:r>
    </w:p>
    <w:p>
      <w:pPr>
        <w:spacing w:after="0" w:line="263" w:lineRule="exact"/>
        <w:jc w:val="center"/>
        <w:rPr>
          <w:rFonts w:ascii="Arial" w:hAnsi="Arial"/>
          <w:sz w:val="11"/>
        </w:rPr>
        <w:sectPr>
          <w:pgSz w:w="7200" w:h="11340"/>
          <w:pgMar w:top="500" w:bottom="280" w:left="0" w:right="560"/>
        </w:sectPr>
      </w:pPr>
    </w:p>
    <w:p>
      <w:pPr>
        <w:tabs>
          <w:tab w:pos="3196" w:val="left" w:leader="none"/>
          <w:tab w:pos="3682" w:val="left" w:leader="none"/>
        </w:tabs>
        <w:spacing w:line="184" w:lineRule="auto" w:before="15"/>
        <w:ind w:left="3837" w:right="0" w:hanging="1167"/>
        <w:jc w:val="left"/>
        <w:rPr>
          <w:i/>
          <w:sz w:val="14"/>
        </w:rPr>
      </w:pPr>
      <w:r>
        <w:rPr/>
        <w:pict>
          <v:line style="position:absolute;mso-position-horizontal-relative:page;mso-position-vertical-relative:paragraph;z-index:-715120" from="184.139999pt,9.229132pt" to="194.939999pt,9.229132pt" stroked="true" strokeweight="4.68pt" strokecolor="#000000">
            <w10:wrap type="none"/>
          </v:line>
        </w:pict>
      </w:r>
      <w:r>
        <w:rPr>
          <w:rFonts w:ascii="Arial" w:hAnsi="Arial"/>
          <w:i/>
          <w:w w:val="120"/>
          <w:sz w:val="17"/>
        </w:rPr>
        <w:t>ªni</w:t>
        <w:tab/>
      </w:r>
      <w:r>
        <w:rPr>
          <w:i/>
          <w:w w:val="120"/>
          <w:sz w:val="14"/>
        </w:rPr>
        <w:t>z</w:t>
        <w:tab/>
        <w:t>D </w:t>
      </w:r>
      <w:r>
        <w:rPr>
          <w:i/>
          <w:w w:val="45"/>
          <w:sz w:val="14"/>
        </w:rPr>
        <w:t>11</w:t>
      </w:r>
    </w:p>
    <w:p>
      <w:pPr>
        <w:spacing w:before="7"/>
        <w:ind w:left="107" w:right="0" w:firstLine="0"/>
        <w:jc w:val="left"/>
        <w:rPr>
          <w:i/>
          <w:sz w:val="14"/>
        </w:rPr>
      </w:pPr>
      <w:r>
        <w:rPr/>
        <w:br w:type="column"/>
      </w:r>
      <w:r>
        <w:rPr>
          <w:i/>
          <w:w w:val="105"/>
          <w:sz w:val="14"/>
        </w:rPr>
        <w:t>az111+n .</w:t>
      </w:r>
    </w:p>
    <w:p>
      <w:pPr>
        <w:spacing w:after="0"/>
        <w:jc w:val="left"/>
        <w:rPr>
          <w:sz w:val="14"/>
        </w:rPr>
        <w:sectPr>
          <w:type w:val="continuous"/>
          <w:pgSz w:w="7200" w:h="11340"/>
          <w:pgMar w:top="1100" w:bottom="0" w:left="0" w:right="560"/>
          <w:cols w:num="2" w:equalWidth="0">
            <w:col w:w="3907" w:space="40"/>
            <w:col w:w="2693"/>
          </w:cols>
        </w:sectPr>
      </w:pPr>
    </w:p>
    <w:p>
      <w:pPr>
        <w:spacing w:line="254" w:lineRule="auto" w:before="106"/>
        <w:ind w:left="788" w:right="0" w:hanging="4"/>
        <w:jc w:val="left"/>
        <w:rPr>
          <w:i/>
          <w:sz w:val="20"/>
        </w:rPr>
      </w:pPr>
      <w:r>
        <w:rPr>
          <w:sz w:val="20"/>
        </w:rPr>
        <w:t>This particular combination of benefits </w:t>
      </w:r>
      <w:r>
        <w:rPr>
          <w:rFonts w:ascii="Arial" w:hAnsi="Arial"/>
          <w:sz w:val="20"/>
        </w:rPr>
        <w:t>is </w:t>
      </w:r>
      <w:r>
        <w:rPr>
          <w:sz w:val="20"/>
        </w:rPr>
        <w:t>known </w:t>
      </w:r>
      <w:r>
        <w:rPr>
          <w:rFonts w:ascii="Arial" w:hAnsi="Arial"/>
          <w:sz w:val="18"/>
        </w:rPr>
        <w:t>a.&lt;, </w:t>
      </w:r>
      <w:r>
        <w:rPr>
          <w:i/>
          <w:sz w:val="20"/>
        </w:rPr>
        <w:t>whole lif e in­ </w:t>
      </w:r>
      <w:r>
        <w:rPr>
          <w:i/>
          <w:sz w:val="20"/>
        </w:rPr>
        <w:t>surance with cantinuous instal,ments.</w:t>
      </w:r>
    </w:p>
    <w:p>
      <w:pPr>
        <w:pStyle w:val="BodyText"/>
        <w:spacing w:line="249" w:lineRule="auto"/>
        <w:ind w:left="784" w:right="118" w:firstLine="198"/>
        <w:jc w:val="both"/>
      </w:pPr>
      <w:r>
        <w:rPr/>
        <w:t>The continuous instalment portion of this policy expires without value if </w:t>
      </w:r>
      <w:r>
        <w:rPr>
          <w:rFonts w:ascii="Arial"/>
          <w:i/>
          <w:spacing w:val="5"/>
          <w:sz w:val="19"/>
        </w:rPr>
        <w:t>(y </w:t>
      </w:r>
      <w:r>
        <w:rPr>
          <w:rFonts w:ascii="Arial"/>
          <w:i/>
          <w:sz w:val="19"/>
        </w:rPr>
        <w:t>) </w:t>
      </w:r>
      <w:r>
        <w:rPr/>
        <w:t>predeceases </w:t>
      </w:r>
      <w:r>
        <w:rPr>
          <w:rFonts w:ascii="Arial"/>
          <w:i/>
          <w:spacing w:val="5"/>
          <w:sz w:val="19"/>
        </w:rPr>
        <w:t>(x </w:t>
      </w:r>
      <w:r>
        <w:rPr>
          <w:rFonts w:ascii="Arial"/>
          <w:i/>
          <w:sz w:val="19"/>
        </w:rPr>
        <w:t>), </w:t>
      </w:r>
      <w:r>
        <w:rPr/>
        <w:t>and when the  policy  is  subject  to annual premiums, the payment of the extra premium for  the continuous instalment portion  is made  to  depend  upon  the  survival of  both  </w:t>
      </w:r>
      <w:r>
        <w:rPr>
          <w:rFonts w:ascii="Arial"/>
          <w:i/>
          <w:spacing w:val="3"/>
          <w:sz w:val="18"/>
        </w:rPr>
        <w:t>(x)  </w:t>
      </w:r>
      <w:r>
        <w:rPr/>
        <w:t>and  </w:t>
      </w:r>
      <w:r>
        <w:rPr>
          <w:rFonts w:ascii="Arial"/>
          <w:i/>
          <w:spacing w:val="4"/>
          <w:sz w:val="19"/>
        </w:rPr>
        <w:t>(y </w:t>
      </w:r>
      <w:r>
        <w:rPr>
          <w:rFonts w:ascii="Arial"/>
          <w:i/>
          <w:sz w:val="19"/>
        </w:rPr>
        <w:t>).  </w:t>
      </w:r>
      <w:r>
        <w:rPr/>
        <w:t>The  total  annual  premium  is thus  given</w:t>
      </w:r>
      <w:r>
        <w:rPr>
          <w:spacing w:val="6"/>
        </w:rPr>
        <w:t> </w:t>
      </w:r>
      <w:r>
        <w:rPr/>
        <w:t>by</w:t>
      </w:r>
    </w:p>
    <w:p>
      <w:pPr>
        <w:pStyle w:val="BodyText"/>
        <w:spacing w:before="5"/>
        <w:rPr>
          <w:sz w:val="10"/>
        </w:rPr>
      </w:pPr>
    </w:p>
    <w:p>
      <w:pPr>
        <w:spacing w:after="0"/>
        <w:rPr>
          <w:sz w:val="10"/>
        </w:rPr>
        <w:sectPr>
          <w:type w:val="continuous"/>
          <w:pgSz w:w="7200" w:h="11340"/>
          <w:pgMar w:top="1100" w:bottom="0" w:left="0" w:right="560"/>
        </w:sectPr>
      </w:pPr>
    </w:p>
    <w:p>
      <w:pPr>
        <w:spacing w:line="123" w:lineRule="exact" w:before="82"/>
        <w:ind w:left="0" w:right="129" w:firstLine="0"/>
        <w:jc w:val="right"/>
        <w:rPr>
          <w:b/>
          <w:sz w:val="11"/>
        </w:rPr>
      </w:pPr>
      <w:r>
        <w:rPr/>
        <w:pict>
          <v:shape style="position:absolute;margin-left:152.279999pt;margin-top:6.792066pt;width:46.35pt;height:13.5pt;mso-position-horizontal-relative:page;mso-position-vertical-relative:paragraph;z-index:-715048" type="#_x0000_t202" filled="false" stroked="false">
            <v:textbox inset="0,0,0,0">
              <w:txbxContent>
                <w:p>
                  <w:pPr>
                    <w:tabs>
                      <w:tab w:pos="557" w:val="left" w:leader="none"/>
                    </w:tabs>
                    <w:spacing w:line="270" w:lineRule="exact" w:before="0"/>
                    <w:ind w:left="0" w:right="0" w:firstLine="0"/>
                    <w:jc w:val="left"/>
                    <w:rPr>
                      <w:i/>
                      <w:sz w:val="27"/>
                    </w:rPr>
                  </w:pPr>
                  <w:r>
                    <w:rPr>
                      <w:i/>
                      <w:w w:val="105"/>
                      <w:sz w:val="27"/>
                    </w:rPr>
                    <w:t>A</w:t>
                    <w:tab/>
                  </w:r>
                  <w:r>
                    <w:rPr>
                      <w:i/>
                      <w:w w:val="170"/>
                      <w:sz w:val="27"/>
                    </w:rPr>
                    <w:t>D</w:t>
                  </w:r>
                </w:p>
              </w:txbxContent>
            </v:textbox>
            <w10:wrap type="none"/>
          </v:shape>
        </w:pict>
      </w:r>
      <w:r>
        <w:rPr>
          <w:b/>
          <w:i/>
          <w:sz w:val="14"/>
        </w:rPr>
        <w:t>D11+n   </w:t>
      </w:r>
      <w:r>
        <w:rPr>
          <w:b/>
          <w:sz w:val="11"/>
        </w:rPr>
        <w:t>!'!(12&gt;</w:t>
      </w:r>
    </w:p>
    <w:p>
      <w:pPr>
        <w:tabs>
          <w:tab w:pos="4037" w:val="left" w:leader="none"/>
        </w:tabs>
        <w:spacing w:line="156" w:lineRule="exact" w:before="0"/>
        <w:ind w:left="2695" w:right="0" w:firstLine="0"/>
        <w:jc w:val="center"/>
        <w:rPr>
          <w:i/>
          <w:sz w:val="14"/>
        </w:rPr>
      </w:pPr>
      <w:r>
        <w:rPr>
          <w:spacing w:val="2"/>
          <w:w w:val="90"/>
          <w:sz w:val="20"/>
        </w:rPr>
        <w:t>..cu&gt;</w:t>
        <w:tab/>
      </w:r>
      <w:r>
        <w:rPr>
          <w:i/>
          <w:w w:val="95"/>
          <w:sz w:val="14"/>
        </w:rPr>
        <w:t>az111+n</w:t>
      </w:r>
    </w:p>
    <w:p>
      <w:pPr>
        <w:tabs>
          <w:tab w:pos="3196" w:val="left" w:leader="none"/>
        </w:tabs>
        <w:spacing w:line="188" w:lineRule="exact" w:before="0"/>
        <w:ind w:left="2671" w:right="0" w:firstLine="0"/>
        <w:jc w:val="center"/>
        <w:rPr>
          <w:b/>
          <w:i/>
          <w:sz w:val="22"/>
        </w:rPr>
      </w:pPr>
      <w:r>
        <w:rPr>
          <w:rFonts w:ascii="Arial" w:hAnsi="Arial"/>
          <w:i/>
          <w:w w:val="117"/>
          <w:sz w:val="17"/>
        </w:rPr>
        <w:t>ªni</w:t>
      </w:r>
      <w:r>
        <w:rPr>
          <w:rFonts w:ascii="Arial" w:hAnsi="Arial"/>
          <w:i/>
          <w:sz w:val="17"/>
        </w:rPr>
        <w:tab/>
      </w:r>
      <w:r>
        <w:rPr>
          <w:b/>
          <w:i/>
          <w:w w:val="69"/>
          <w:sz w:val="22"/>
        </w:rPr>
        <w:t>z</w:t>
      </w:r>
      <w:r>
        <w:rPr>
          <w:b/>
          <w:i/>
          <w:sz w:val="22"/>
        </w:rPr>
        <w:t> </w:t>
      </w:r>
      <w:r>
        <w:rPr>
          <w:b/>
          <w:i/>
          <w:spacing w:val="-26"/>
          <w:sz w:val="22"/>
        </w:rPr>
        <w:t> </w:t>
      </w:r>
      <w:r>
        <w:rPr>
          <w:b/>
          <w:i/>
          <w:w w:val="132"/>
          <w:sz w:val="22"/>
        </w:rPr>
        <w:t>+</w:t>
      </w:r>
      <w:r>
        <w:rPr>
          <w:b/>
          <w:i/>
          <w:spacing w:val="23"/>
          <w:sz w:val="22"/>
        </w:rPr>
        <w:t> </w:t>
      </w:r>
      <w:r>
        <w:rPr>
          <w:b/>
          <w:i/>
          <w:spacing w:val="-12"/>
          <w:w w:val="339"/>
          <w:sz w:val="22"/>
        </w:rPr>
        <w:t>-</w:t>
      </w:r>
      <w:r>
        <w:rPr>
          <w:b/>
          <w:i/>
          <w:spacing w:val="-79"/>
          <w:w w:val="63"/>
          <w:sz w:val="22"/>
        </w:rPr>
        <w:t>"</w:t>
      </w:r>
      <w:r>
        <w:rPr>
          <w:b/>
          <w:i/>
          <w:w w:val="322"/>
          <w:sz w:val="22"/>
        </w:rPr>
        <w:t>---</w:t>
      </w:r>
    </w:p>
    <w:p>
      <w:pPr>
        <w:tabs>
          <w:tab w:pos="3563" w:val="left" w:leader="none"/>
        </w:tabs>
        <w:spacing w:line="178" w:lineRule="exact" w:before="0"/>
        <w:ind w:left="2505" w:right="0" w:firstLine="0"/>
        <w:jc w:val="center"/>
        <w:rPr>
          <w:rFonts w:ascii="Arial"/>
          <w:i/>
          <w:sz w:val="13"/>
        </w:rPr>
      </w:pPr>
      <w:r>
        <w:rPr/>
        <w:pict>
          <v:line style="position:absolute;mso-position-horizontal-relative:page;mso-position-vertical-relative:paragraph;z-index:-715096" from="199.080002pt,.671476pt" to="201.420002pt,.671476pt" stroked="true" strokeweight=".36pt" strokecolor="#000000">
            <w10:wrap type="none"/>
          </v:line>
        </w:pict>
      </w:r>
      <w:r>
        <w:rPr>
          <w:i/>
          <w:w w:val="95"/>
          <w:sz w:val="18"/>
        </w:rPr>
        <w:t>iiz</w:t>
        <w:tab/>
      </w:r>
      <w:r>
        <w:rPr>
          <w:rFonts w:ascii="Arial"/>
          <w:i/>
          <w:w w:val="95"/>
          <w:sz w:val="13"/>
        </w:rPr>
        <w:t>{i,J:JI</w:t>
      </w:r>
    </w:p>
    <w:p>
      <w:pPr>
        <w:pStyle w:val="BodyText"/>
        <w:rPr>
          <w:rFonts w:ascii="Arial"/>
          <w:i/>
        </w:rPr>
      </w:pPr>
      <w:r>
        <w:rPr/>
        <w:br w:type="column"/>
      </w:r>
      <w:r>
        <w:rPr>
          <w:rFonts w:ascii="Arial"/>
          <w:i/>
        </w:rPr>
      </w:r>
    </w:p>
    <w:p>
      <w:pPr>
        <w:pStyle w:val="BodyText"/>
        <w:spacing w:before="124"/>
        <w:ind w:left="1323"/>
      </w:pPr>
      <w:r>
        <w:rPr/>
        <w:t>(13.12 )</w:t>
      </w:r>
    </w:p>
    <w:p>
      <w:pPr>
        <w:spacing w:after="0"/>
        <w:sectPr>
          <w:type w:val="continuous"/>
          <w:pgSz w:w="7200" w:h="11340"/>
          <w:pgMar w:top="1100" w:bottom="0" w:left="0" w:right="560"/>
          <w:cols w:num="2" w:equalWidth="0">
            <w:col w:w="4534" w:space="40"/>
            <w:col w:w="2066"/>
          </w:cols>
        </w:sectPr>
      </w:pPr>
    </w:p>
    <w:p>
      <w:pPr>
        <w:pStyle w:val="BodyText"/>
        <w:spacing w:before="10"/>
        <w:rPr>
          <w:sz w:val="9"/>
        </w:rPr>
      </w:pPr>
    </w:p>
    <w:p>
      <w:pPr>
        <w:spacing w:line="122" w:lineRule="exact" w:before="0"/>
        <w:ind w:left="1848" w:right="4304" w:firstLine="0"/>
        <w:jc w:val="center"/>
        <w:rPr>
          <w:b/>
          <w:sz w:val="11"/>
        </w:rPr>
      </w:pPr>
      <w:r>
        <w:rPr>
          <w:b/>
          <w:w w:val="120"/>
          <w:sz w:val="11"/>
        </w:rPr>
        <w:t>.. (12).A</w:t>
      </w:r>
    </w:p>
    <w:p>
      <w:pPr>
        <w:spacing w:line="211" w:lineRule="exact" w:before="0"/>
        <w:ind w:left="792" w:right="0" w:firstLine="0"/>
        <w:jc w:val="both"/>
        <w:rPr>
          <w:rFonts w:ascii="Arial" w:hAnsi="Arial"/>
          <w:i/>
          <w:sz w:val="19"/>
        </w:rPr>
      </w:pPr>
      <w:r>
        <w:rPr/>
        <w:pict>
          <v:line style="position:absolute;mso-position-horizontal-relative:page;mso-position-vertical-relative:paragraph;z-index:-715072" from="103.68pt,10.553116pt" to="106.2pt,10.553116pt" stroked="true" strokeweight="1.08pt" strokecolor="#000000">
            <w10:wrap type="none"/>
          </v:line>
        </w:pict>
      </w:r>
      <w:r>
        <w:rPr>
          <w:sz w:val="20"/>
        </w:rPr>
        <w:t>reducing  to </w:t>
      </w:r>
      <w:r>
        <w:rPr>
          <w:rFonts w:ascii="Arial" w:hAnsi="Arial"/>
          <w:i/>
          <w:sz w:val="17"/>
        </w:rPr>
        <w:t>ªni ..    </w:t>
      </w:r>
      <w:r>
        <w:rPr>
          <w:i/>
          <w:sz w:val="13"/>
        </w:rPr>
        <w:t>z    </w:t>
      </w:r>
      <w:r>
        <w:rPr>
          <w:sz w:val="20"/>
        </w:rPr>
        <w:t>upon  the  death  of   </w:t>
      </w:r>
      <w:r>
        <w:rPr>
          <w:rFonts w:ascii="Arial" w:hAnsi="Arial"/>
          <w:i/>
          <w:sz w:val="19"/>
        </w:rPr>
        <w:t>(y ).</w:t>
      </w:r>
    </w:p>
    <w:p>
      <w:pPr>
        <w:spacing w:line="146" w:lineRule="exact" w:before="0"/>
        <w:ind w:left="1848" w:right="4259" w:firstLine="0"/>
        <w:jc w:val="center"/>
        <w:rPr>
          <w:b/>
          <w:i/>
          <w:sz w:val="14"/>
        </w:rPr>
      </w:pPr>
      <w:r>
        <w:rPr>
          <w:b/>
          <w:i/>
          <w:w w:val="125"/>
          <w:sz w:val="14"/>
        </w:rPr>
        <w:t>az</w:t>
      </w:r>
    </w:p>
    <w:p>
      <w:pPr>
        <w:spacing w:line="252" w:lineRule="auto" w:before="2"/>
        <w:ind w:left="784" w:right="117" w:firstLine="201"/>
        <w:jc w:val="both"/>
        <w:rPr>
          <w:sz w:val="20"/>
        </w:rPr>
      </w:pPr>
      <w:r>
        <w:rPr>
          <w:w w:val="105"/>
          <w:sz w:val="20"/>
        </w:rPr>
        <w:t>Continuous instalments may also be issued in combination with other forms of insurance. In the case of </w:t>
      </w:r>
      <w:r>
        <w:rPr>
          <w:i/>
          <w:w w:val="105"/>
          <w:sz w:val="20"/>
        </w:rPr>
        <w:t>term insurance with can­ </w:t>
      </w:r>
      <w:r>
        <w:rPr>
          <w:i/>
          <w:w w:val="105"/>
          <w:sz w:val="20"/>
        </w:rPr>
        <w:t>tinuous instal,ments, </w:t>
      </w:r>
      <w:r>
        <w:rPr>
          <w:w w:val="105"/>
          <w:sz w:val="20"/>
        </w:rPr>
        <w:t>the benefit  is payable only  if  the insured  life</w:t>
      </w:r>
    </w:p>
    <w:p>
      <w:pPr>
        <w:pStyle w:val="BodyText"/>
        <w:spacing w:line="213" w:lineRule="auto" w:before="20"/>
        <w:ind w:left="788" w:right="122" w:firstLine="10"/>
        <w:jc w:val="both"/>
      </w:pPr>
      <w:r>
        <w:rPr>
          <w:rFonts w:ascii="Arial"/>
          <w:i/>
          <w:sz w:val="19"/>
        </w:rPr>
        <w:t>(x ) </w:t>
      </w:r>
      <w:r>
        <w:rPr/>
        <w:t>dies within </w:t>
      </w:r>
      <w:r>
        <w:rPr>
          <w:rFonts w:ascii="Arial"/>
          <w:i/>
          <w:sz w:val="19"/>
        </w:rPr>
        <w:t>m </w:t>
      </w:r>
      <w:r>
        <w:rPr/>
        <w:t>years. The net single premium for the n-year </w:t>
      </w:r>
      <w:r>
        <w:rPr>
          <w:w w:val="106"/>
        </w:rPr>
        <w:t>annuity-certain </w:t>
      </w:r>
      <w:r>
        <w:rPr>
          <w:w w:val="102"/>
        </w:rPr>
        <w:t>is </w:t>
      </w:r>
      <w:r>
        <w:rPr>
          <w:i/>
          <w:w w:val="136"/>
          <w:sz w:val="26"/>
        </w:rPr>
        <w:t>a</w:t>
      </w:r>
      <w:r>
        <w:rPr>
          <w:rFonts w:ascii="Arial"/>
          <w:i/>
          <w:w w:val="136"/>
          <w:position w:val="10"/>
          <w:sz w:val="11"/>
        </w:rPr>
        <w:t>2 </w:t>
      </w:r>
      <w:r>
        <w:rPr>
          <w:rFonts w:ascii="Arial"/>
          <w:i/>
          <w:w w:val="54"/>
          <w:sz w:val="12"/>
        </w:rPr>
        <w:t>&gt; </w:t>
      </w:r>
      <w:r>
        <w:rPr>
          <w:rFonts w:ascii="Arial"/>
          <w:w w:val="86"/>
          <w:sz w:val="24"/>
        </w:rPr>
        <w:t>A!:al </w:t>
      </w:r>
      <w:r>
        <w:rPr>
          <w:rFonts w:ascii="Arial"/>
          <w:w w:val="124"/>
          <w:sz w:val="24"/>
        </w:rPr>
        <w:t>, </w:t>
      </w:r>
      <w:r>
        <w:rPr>
          <w:w w:val="104"/>
        </w:rPr>
        <w:t>and </w:t>
      </w:r>
      <w:r>
        <w:rPr>
          <w:w w:val="107"/>
        </w:rPr>
        <w:t>the </w:t>
      </w:r>
      <w:r>
        <w:rPr>
          <w:w w:val="108"/>
        </w:rPr>
        <w:t>extra </w:t>
      </w:r>
      <w:r>
        <w:rPr>
          <w:w w:val="102"/>
        </w:rPr>
        <w:t>premium </w:t>
      </w:r>
      <w:r>
        <w:rPr>
          <w:w w:val="102"/>
        </w:rPr>
        <w:t>required </w:t>
      </w:r>
      <w:r>
        <w:rPr>
          <w:w w:val="110"/>
        </w:rPr>
        <w:t>to </w:t>
      </w:r>
      <w:r>
        <w:rPr/>
        <w:t>continue the  instalments  </w:t>
      </w:r>
      <w:r>
        <w:rPr>
          <w:sz w:val="21"/>
        </w:rPr>
        <w:t>to  </w:t>
      </w:r>
      <w:r>
        <w:rPr>
          <w:rFonts w:ascii="Arial"/>
          <w:i/>
          <w:sz w:val="18"/>
        </w:rPr>
        <w:t>(y ) </w:t>
      </w:r>
      <w:r>
        <w:rPr/>
        <w:t>is</w:t>
      </w:r>
    </w:p>
    <w:p>
      <w:pPr>
        <w:pStyle w:val="BodyText"/>
        <w:rPr>
          <w:sz w:val="9"/>
        </w:rPr>
      </w:pPr>
      <w:r>
        <w:rPr/>
        <w:drawing>
          <wp:anchor distT="0" distB="0" distL="0" distR="0" allowOverlap="1" layoutInCell="1" locked="0" behindDoc="0" simplePos="0" relativeHeight="20920">
            <wp:simplePos x="0" y="0"/>
            <wp:positionH relativeFrom="page">
              <wp:posOffset>484631</wp:posOffset>
            </wp:positionH>
            <wp:positionV relativeFrom="paragraph">
              <wp:posOffset>90914</wp:posOffset>
            </wp:positionV>
            <wp:extent cx="1188720" cy="283463"/>
            <wp:effectExtent l="0" t="0" r="0" b="0"/>
            <wp:wrapTopAndBottom/>
            <wp:docPr id="627" name="image319.png" descr=""/>
            <wp:cNvGraphicFramePr>
              <a:graphicFrameLocks noChangeAspect="1"/>
            </wp:cNvGraphicFramePr>
            <a:graphic>
              <a:graphicData uri="http://schemas.openxmlformats.org/drawingml/2006/picture">
                <pic:pic>
                  <pic:nvPicPr>
                    <pic:cNvPr id="628" name="image319.png"/>
                    <pic:cNvPicPr/>
                  </pic:nvPicPr>
                  <pic:blipFill>
                    <a:blip r:embed="rId323" cstate="print"/>
                    <a:stretch>
                      <a:fillRect/>
                    </a:stretch>
                  </pic:blipFill>
                  <pic:spPr>
                    <a:xfrm>
                      <a:off x="0" y="0"/>
                      <a:ext cx="1188720" cy="283463"/>
                    </a:xfrm>
                    <a:prstGeom prst="rect">
                      <a:avLst/>
                    </a:prstGeom>
                  </pic:spPr>
                </pic:pic>
              </a:graphicData>
            </a:graphic>
          </wp:anchor>
        </w:drawing>
      </w:r>
    </w:p>
    <w:p>
      <w:pPr>
        <w:spacing w:after="0"/>
        <w:rPr>
          <w:sz w:val="9"/>
        </w:rPr>
        <w:sectPr>
          <w:type w:val="continuous"/>
          <w:pgSz w:w="7200" w:h="11340"/>
          <w:pgMar w:top="1100" w:bottom="0" w:left="0" w:right="560"/>
        </w:sectPr>
      </w:pPr>
    </w:p>
    <w:p>
      <w:pPr>
        <w:spacing w:line="231" w:lineRule="exact" w:before="56"/>
        <w:ind w:left="810" w:right="-18" w:firstLine="0"/>
        <w:jc w:val="left"/>
        <w:rPr>
          <w:b/>
          <w:i/>
          <w:sz w:val="14"/>
        </w:rPr>
      </w:pPr>
      <w:r>
        <w:rPr>
          <w:w w:val="85"/>
          <w:sz w:val="26"/>
        </w:rPr>
        <w:t>= </w:t>
      </w:r>
      <w:r>
        <w:rPr>
          <w:rFonts w:ascii="Arial"/>
          <w:b/>
          <w:spacing w:val="-10"/>
          <w:w w:val="85"/>
          <w:sz w:val="26"/>
        </w:rPr>
        <w:t>J</w:t>
      </w:r>
      <w:r>
        <w:rPr>
          <w:b/>
          <w:i/>
          <w:spacing w:val="-10"/>
          <w:w w:val="85"/>
          <w:position w:val="11"/>
          <w:sz w:val="25"/>
        </w:rPr>
        <w:t>roo</w:t>
      </w:r>
      <w:r>
        <w:rPr>
          <w:b/>
          <w:i/>
          <w:spacing w:val="-37"/>
          <w:w w:val="85"/>
          <w:position w:val="11"/>
          <w:sz w:val="25"/>
        </w:rPr>
        <w:t> </w:t>
      </w:r>
      <w:r>
        <w:rPr>
          <w:b/>
          <w:i/>
          <w:w w:val="85"/>
          <w:sz w:val="14"/>
        </w:rPr>
        <w:t>V </w:t>
      </w:r>
      <w:r>
        <w:rPr>
          <w:i/>
          <w:w w:val="85"/>
          <w:position w:val="11"/>
          <w:sz w:val="13"/>
        </w:rPr>
        <w:t>t </w:t>
      </w:r>
      <w:r>
        <w:rPr>
          <w:b/>
          <w:i/>
          <w:w w:val="85"/>
          <w:sz w:val="14"/>
        </w:rPr>
        <w:t>tPZ11/Jz+t</w:t>
      </w:r>
    </w:p>
    <w:p>
      <w:pPr>
        <w:tabs>
          <w:tab w:pos="1181" w:val="left" w:leader="none"/>
          <w:tab w:pos="1685" w:val="left" w:leader="none"/>
          <w:tab w:pos="3683" w:val="left" w:leader="none"/>
          <w:tab w:pos="4231" w:val="left" w:leader="none"/>
        </w:tabs>
        <w:spacing w:line="316" w:lineRule="exact" w:before="0"/>
        <w:ind w:left="227" w:right="0" w:firstLine="0"/>
        <w:jc w:val="left"/>
        <w:rPr>
          <w:i/>
          <w:sz w:val="20"/>
        </w:rPr>
      </w:pPr>
      <w:r>
        <w:rPr/>
        <w:br w:type="column"/>
      </w:r>
      <w:r>
        <w:rPr>
          <w:w w:val="99"/>
          <w:sz w:val="13"/>
        </w:rPr>
        <w:t>..</w:t>
      </w:r>
      <w:r>
        <w:rPr>
          <w:spacing w:val="-15"/>
          <w:sz w:val="13"/>
        </w:rPr>
        <w:t> </w:t>
      </w:r>
      <w:r>
        <w:rPr>
          <w:w w:val="127"/>
          <w:sz w:val="11"/>
        </w:rPr>
        <w:t>(12)</w:t>
      </w:r>
      <w:r>
        <w:rPr>
          <w:sz w:val="11"/>
        </w:rPr>
        <w:t>  </w:t>
      </w:r>
      <w:r>
        <w:rPr>
          <w:spacing w:val="-4"/>
          <w:sz w:val="11"/>
        </w:rPr>
        <w:t> </w:t>
      </w:r>
      <w:r>
        <w:rPr>
          <w:i/>
          <w:w w:val="94"/>
          <w:sz w:val="20"/>
        </w:rPr>
        <w:t>dt</w:t>
      </w:r>
      <w:r>
        <w:rPr>
          <w:i/>
          <w:sz w:val="20"/>
        </w:rPr>
        <w:tab/>
      </w:r>
      <w:r>
        <w:rPr>
          <w:rFonts w:ascii="Arial"/>
          <w:i/>
          <w:w w:val="106"/>
          <w:sz w:val="11"/>
        </w:rPr>
        <w:t>m</w:t>
      </w:r>
      <w:r>
        <w:rPr>
          <w:rFonts w:ascii="Arial"/>
          <w:i/>
          <w:sz w:val="11"/>
        </w:rPr>
        <w:tab/>
      </w:r>
      <w:r>
        <w:rPr>
          <w:i/>
          <w:spacing w:val="-30"/>
          <w:w w:val="114"/>
          <w:sz w:val="33"/>
        </w:rPr>
        <w:t>1</w:t>
      </w:r>
      <w:r>
        <w:rPr>
          <w:i/>
          <w:w w:val="28"/>
          <w:sz w:val="33"/>
        </w:rPr>
        <w:t>00</w:t>
      </w:r>
      <w:r>
        <w:rPr>
          <w:i/>
          <w:sz w:val="33"/>
        </w:rPr>
        <w:t> </w:t>
      </w:r>
      <w:r>
        <w:rPr>
          <w:i/>
          <w:spacing w:val="-17"/>
          <w:sz w:val="33"/>
        </w:rPr>
        <w:t> </w:t>
      </w:r>
      <w:r>
        <w:rPr>
          <w:i/>
          <w:w w:val="94"/>
          <w:sz w:val="13"/>
        </w:rPr>
        <w:t>t</w:t>
      </w:r>
      <w:r>
        <w:rPr>
          <w:i/>
          <w:sz w:val="13"/>
        </w:rPr>
        <w:tab/>
      </w:r>
      <w:r>
        <w:rPr>
          <w:w w:val="91"/>
          <w:sz w:val="13"/>
        </w:rPr>
        <w:t>..</w:t>
      </w:r>
      <w:r>
        <w:rPr>
          <w:spacing w:val="-17"/>
          <w:sz w:val="13"/>
        </w:rPr>
        <w:t> </w:t>
      </w:r>
      <w:r>
        <w:rPr>
          <w:w w:val="127"/>
          <w:sz w:val="11"/>
        </w:rPr>
        <w:t>(12)</w:t>
      </w:r>
      <w:r>
        <w:rPr>
          <w:sz w:val="11"/>
        </w:rPr>
        <w:tab/>
      </w:r>
      <w:r>
        <w:rPr>
          <w:i/>
          <w:w w:val="92"/>
          <w:sz w:val="20"/>
        </w:rPr>
        <w:t>dt</w:t>
      </w:r>
    </w:p>
    <w:p>
      <w:pPr>
        <w:tabs>
          <w:tab w:pos="1999" w:val="left" w:leader="none"/>
        </w:tabs>
        <w:spacing w:line="29" w:lineRule="exact" w:before="0"/>
        <w:ind w:left="868" w:right="0" w:firstLine="0"/>
        <w:jc w:val="left"/>
        <w:rPr>
          <w:b/>
          <w:i/>
          <w:sz w:val="14"/>
        </w:rPr>
      </w:pPr>
      <w:r>
        <w:rPr>
          <w:w w:val="365"/>
          <w:sz w:val="14"/>
        </w:rPr>
        <w:t>-</w:t>
      </w:r>
      <w:r>
        <w:rPr>
          <w:spacing w:val="-84"/>
          <w:w w:val="365"/>
          <w:sz w:val="14"/>
        </w:rPr>
        <w:t> </w:t>
      </w:r>
      <w:r>
        <w:rPr>
          <w:b/>
          <w:i/>
          <w:sz w:val="14"/>
        </w:rPr>
        <w:t>V</w:t>
        <w:tab/>
        <w:t>V  tPz+m:11+m/Jz+m+ t"</w:t>
      </w:r>
      <w:r>
        <w:rPr>
          <w:b/>
          <w:i/>
          <w:spacing w:val="-29"/>
          <w:sz w:val="14"/>
        </w:rPr>
        <w:t> </w:t>
      </w:r>
      <w:r>
        <w:rPr>
          <w:b/>
          <w:i/>
          <w:sz w:val="14"/>
        </w:rPr>
        <w:t>nl</w:t>
      </w:r>
    </w:p>
    <w:p>
      <w:pPr>
        <w:spacing w:after="0" w:line="29" w:lineRule="exact"/>
        <w:jc w:val="left"/>
        <w:rPr>
          <w:sz w:val="14"/>
        </w:rPr>
        <w:sectPr>
          <w:type w:val="continuous"/>
          <w:pgSz w:w="7200" w:h="11340"/>
          <w:pgMar w:top="1100" w:bottom="0" w:left="0" w:right="560"/>
          <w:cols w:num="2" w:equalWidth="0">
            <w:col w:w="2091" w:space="40"/>
            <w:col w:w="4509"/>
          </w:cols>
        </w:sectPr>
      </w:pPr>
    </w:p>
    <w:p>
      <w:pPr>
        <w:spacing w:line="108" w:lineRule="exact" w:before="0"/>
        <w:ind w:left="0" w:right="0" w:firstLine="0"/>
        <w:jc w:val="right"/>
        <w:rPr>
          <w:b/>
          <w:i/>
          <w:sz w:val="14"/>
        </w:rPr>
      </w:pPr>
      <w:r>
        <w:rPr>
          <w:b/>
          <w:i/>
          <w:w w:val="95"/>
          <w:sz w:val="14"/>
        </w:rPr>
        <w:t>·n1a11+ t</w:t>
      </w:r>
    </w:p>
    <w:p>
      <w:pPr>
        <w:spacing w:line="121" w:lineRule="exact" w:before="0"/>
        <w:ind w:left="0" w:right="309" w:firstLine="0"/>
        <w:jc w:val="center"/>
        <w:rPr>
          <w:rFonts w:ascii="Arial"/>
          <w:b/>
          <w:sz w:val="11"/>
        </w:rPr>
      </w:pPr>
      <w:r>
        <w:rPr>
          <w:rFonts w:ascii="Arial"/>
          <w:b/>
          <w:w w:val="103"/>
          <w:sz w:val="11"/>
        </w:rPr>
        <w:t>0</w:t>
      </w:r>
    </w:p>
    <w:p>
      <w:pPr>
        <w:spacing w:line="105" w:lineRule="exact" w:before="0"/>
        <w:ind w:left="733" w:right="0" w:firstLine="0"/>
        <w:jc w:val="left"/>
        <w:rPr>
          <w:b/>
          <w:i/>
          <w:sz w:val="14"/>
        </w:rPr>
      </w:pPr>
      <w:r>
        <w:rPr/>
        <w:br w:type="column"/>
      </w:r>
      <w:r>
        <w:rPr>
          <w:b/>
          <w:i/>
          <w:w w:val="95"/>
          <w:sz w:val="14"/>
        </w:rPr>
        <w:t>mPZI/</w:t>
      </w:r>
    </w:p>
    <w:p>
      <w:pPr>
        <w:spacing w:line="117" w:lineRule="exact" w:before="0"/>
        <w:ind w:left="0" w:right="0" w:firstLine="0"/>
        <w:jc w:val="right"/>
        <w:rPr>
          <w:rFonts w:ascii="Arial"/>
          <w:sz w:val="11"/>
        </w:rPr>
      </w:pPr>
      <w:r>
        <w:rPr>
          <w:rFonts w:ascii="Arial"/>
          <w:w w:val="102"/>
          <w:sz w:val="11"/>
        </w:rPr>
        <w:t>0</w:t>
      </w:r>
    </w:p>
    <w:p>
      <w:pPr>
        <w:spacing w:line="114" w:lineRule="exact" w:before="0"/>
        <w:ind w:left="1130" w:right="0" w:firstLine="0"/>
        <w:jc w:val="left"/>
        <w:rPr>
          <w:b/>
          <w:i/>
          <w:sz w:val="14"/>
        </w:rPr>
      </w:pPr>
      <w:r>
        <w:rPr/>
        <w:br w:type="column"/>
      </w:r>
      <w:r>
        <w:rPr>
          <w:b/>
          <w:i/>
          <w:w w:val="105"/>
          <w:sz w:val="14"/>
        </w:rPr>
        <w:t>ll¡í+m+t</w:t>
      </w:r>
    </w:p>
    <w:p>
      <w:pPr>
        <w:spacing w:after="0" w:line="114" w:lineRule="exact"/>
        <w:jc w:val="left"/>
        <w:rPr>
          <w:sz w:val="14"/>
        </w:rPr>
        <w:sectPr>
          <w:type w:val="continuous"/>
          <w:pgSz w:w="7200" w:h="11340"/>
          <w:pgMar w:top="1100" w:bottom="0" w:left="0" w:right="560"/>
          <w:cols w:num="3" w:equalWidth="0">
            <w:col w:w="2637" w:space="40"/>
            <w:col w:w="1297" w:space="667"/>
            <w:col w:w="1999"/>
          </w:cols>
        </w:sectPr>
      </w:pPr>
    </w:p>
    <w:p>
      <w:pPr>
        <w:spacing w:line="103" w:lineRule="exact" w:before="155"/>
        <w:ind w:left="1839" w:right="-4" w:firstLine="0"/>
        <w:jc w:val="left"/>
        <w:rPr>
          <w:rFonts w:ascii="Arial"/>
          <w:sz w:val="11"/>
        </w:rPr>
      </w:pPr>
      <w:r>
        <w:rPr>
          <w:w w:val="110"/>
          <w:position w:val="-12"/>
          <w:sz w:val="24"/>
        </w:rPr>
        <w:t>= </w:t>
      </w:r>
      <w:r>
        <w:rPr>
          <w:b/>
          <w:i/>
          <w:w w:val="110"/>
          <w:sz w:val="14"/>
        </w:rPr>
        <w:t>D11+n  </w:t>
      </w:r>
      <w:r>
        <w:rPr>
          <w:rFonts w:ascii="Arial"/>
          <w:w w:val="110"/>
          <w:sz w:val="11"/>
        </w:rPr>
        <w:t>!'!(12)</w:t>
      </w:r>
    </w:p>
    <w:p>
      <w:pPr>
        <w:pStyle w:val="BodyText"/>
        <w:spacing w:before="6"/>
        <w:rPr>
          <w:rFonts w:ascii="Arial"/>
          <w:sz w:val="13"/>
        </w:rPr>
      </w:pPr>
      <w:r>
        <w:rPr/>
        <w:br w:type="column"/>
      </w:r>
      <w:r>
        <w:rPr>
          <w:rFonts w:ascii="Arial"/>
          <w:sz w:val="13"/>
        </w:rPr>
      </w:r>
    </w:p>
    <w:p>
      <w:pPr>
        <w:tabs>
          <w:tab w:pos="982" w:val="left" w:leader="none"/>
        </w:tabs>
        <w:spacing w:line="143" w:lineRule="exact" w:before="0"/>
        <w:ind w:left="493" w:right="0" w:firstLine="0"/>
        <w:jc w:val="left"/>
        <w:rPr>
          <w:rFonts w:ascii="Arial"/>
          <w:sz w:val="11"/>
        </w:rPr>
      </w:pPr>
      <w:r>
        <w:rPr>
          <w:i/>
          <w:w w:val="105"/>
          <w:sz w:val="14"/>
        </w:rPr>
        <w:t>m</w:t>
        <w:tab/>
        <w:t>D11+m+n  </w:t>
      </w:r>
      <w:r>
        <w:rPr>
          <w:i/>
          <w:spacing w:val="11"/>
          <w:w w:val="105"/>
          <w:sz w:val="14"/>
        </w:rPr>
        <w:t> </w:t>
      </w:r>
      <w:r>
        <w:rPr>
          <w:rFonts w:ascii="Arial"/>
          <w:w w:val="105"/>
          <w:sz w:val="11"/>
        </w:rPr>
        <w:t>!'!(12)</w:t>
      </w:r>
    </w:p>
    <w:p>
      <w:pPr>
        <w:spacing w:line="41" w:lineRule="exact" w:before="0"/>
        <w:ind w:left="176" w:right="0" w:firstLine="0"/>
        <w:jc w:val="left"/>
        <w:rPr>
          <w:i/>
          <w:sz w:val="14"/>
        </w:rPr>
      </w:pPr>
      <w:r>
        <w:rPr>
          <w:w w:val="365"/>
          <w:sz w:val="14"/>
        </w:rPr>
        <w:t>-</w:t>
      </w:r>
      <w:r>
        <w:rPr>
          <w:spacing w:val="-95"/>
          <w:w w:val="365"/>
          <w:sz w:val="14"/>
        </w:rPr>
        <w:t> </w:t>
      </w:r>
      <w:r>
        <w:rPr>
          <w:rFonts w:ascii="Arial"/>
          <w:i/>
          <w:sz w:val="13"/>
        </w:rPr>
        <w:t>V  </w:t>
      </w:r>
      <w:r>
        <w:rPr>
          <w:i/>
          <w:sz w:val="14"/>
        </w:rPr>
        <w:t>mPx11</w:t>
      </w:r>
    </w:p>
    <w:p>
      <w:pPr>
        <w:spacing w:after="0" w:line="41" w:lineRule="exact"/>
        <w:jc w:val="left"/>
        <w:rPr>
          <w:sz w:val="14"/>
        </w:rPr>
        <w:sectPr>
          <w:type w:val="continuous"/>
          <w:pgSz w:w="7200" w:h="11340"/>
          <w:pgMar w:top="1100" w:bottom="0" w:left="0" w:right="560"/>
          <w:cols w:num="2" w:equalWidth="0">
            <w:col w:w="2891" w:space="40"/>
            <w:col w:w="3709"/>
          </w:cols>
        </w:sectPr>
      </w:pPr>
    </w:p>
    <w:p>
      <w:pPr>
        <w:tabs>
          <w:tab w:pos="2537" w:val="left" w:leader="none"/>
        </w:tabs>
        <w:spacing w:line="137" w:lineRule="exact" w:before="0"/>
        <w:ind w:left="-1274" w:right="0" w:firstLine="0"/>
        <w:jc w:val="left"/>
        <w:rPr>
          <w:i/>
          <w:sz w:val="14"/>
        </w:rPr>
      </w:pPr>
      <w:r>
        <w:rPr>
          <w:i/>
          <w:spacing w:val="-3723"/>
          <w:w w:val="600"/>
          <w:sz w:val="14"/>
        </w:rPr>
        <w:t>-</w:t>
      </w:r>
      <w:r>
        <w:rPr>
          <w:i/>
          <w:w w:val="137"/>
          <w:sz w:val="14"/>
        </w:rPr>
        <w:t>D</w:t>
      </w:r>
      <w:r>
        <w:rPr>
          <w:i/>
          <w:sz w:val="14"/>
        </w:rPr>
        <w:tab/>
      </w:r>
      <w:r>
        <w:rPr>
          <w:i/>
          <w:w w:val="130"/>
          <w:sz w:val="14"/>
        </w:rPr>
        <w:t>az</w:t>
      </w:r>
      <w:r>
        <w:rPr>
          <w:i/>
          <w:spacing w:val="-8"/>
          <w:sz w:val="14"/>
        </w:rPr>
        <w:t> </w:t>
      </w:r>
      <w:r>
        <w:rPr>
          <w:i/>
          <w:w w:val="79"/>
          <w:sz w:val="14"/>
        </w:rPr>
        <w:t>l11+n</w:t>
      </w:r>
    </w:p>
    <w:p>
      <w:pPr>
        <w:spacing w:line="137" w:lineRule="exact" w:before="0"/>
        <w:ind w:left="-1274" w:right="0" w:firstLine="0"/>
        <w:jc w:val="left"/>
        <w:rPr>
          <w:i/>
          <w:sz w:val="14"/>
        </w:rPr>
      </w:pPr>
      <w:r>
        <w:rPr/>
        <w:br w:type="column"/>
      </w:r>
      <w:r>
        <w:rPr>
          <w:rFonts w:ascii="Arial"/>
          <w:i/>
          <w:spacing w:val="-43"/>
          <w:w w:val="214"/>
          <w:sz w:val="19"/>
        </w:rPr>
        <w:t>-</w:t>
      </w:r>
      <w:r>
        <w:rPr>
          <w:rFonts w:ascii="Arial"/>
          <w:i/>
          <w:spacing w:val="-132"/>
          <w:w w:val="113"/>
          <w:sz w:val="19"/>
        </w:rPr>
        <w:t>D</w:t>
      </w:r>
      <w:r>
        <w:rPr>
          <w:rFonts w:ascii="Arial"/>
          <w:i/>
          <w:spacing w:val="-36"/>
          <w:w w:val="431"/>
          <w:sz w:val="19"/>
        </w:rPr>
        <w:t>-</w:t>
      </w:r>
      <w:r>
        <w:rPr>
          <w:rFonts w:ascii="Arial"/>
          <w:i/>
          <w:w w:val="438"/>
          <w:sz w:val="19"/>
        </w:rPr>
        <w:t>-</w:t>
      </w:r>
      <w:r>
        <w:rPr>
          <w:rFonts w:ascii="Arial"/>
          <w:i/>
          <w:spacing w:val="-18"/>
          <w:sz w:val="19"/>
        </w:rPr>
        <w:t> </w:t>
      </w:r>
      <w:r>
        <w:rPr>
          <w:i/>
          <w:w w:val="99"/>
          <w:sz w:val="14"/>
        </w:rPr>
        <w:t>ax+ml11+m+n</w:t>
      </w:r>
    </w:p>
    <w:p>
      <w:pPr>
        <w:spacing w:after="0" w:line="137" w:lineRule="exact"/>
        <w:jc w:val="left"/>
        <w:rPr>
          <w:sz w:val="14"/>
        </w:rPr>
        <w:sectPr>
          <w:type w:val="continuous"/>
          <w:pgSz w:w="7200" w:h="11340"/>
          <w:pgMar w:top="1100" w:bottom="0" w:left="0" w:right="560"/>
          <w:cols w:num="2" w:equalWidth="0">
            <w:col w:w="3004" w:space="2198"/>
            <w:col w:w="1438"/>
          </w:cols>
        </w:sectPr>
      </w:pPr>
    </w:p>
    <w:p>
      <w:pPr>
        <w:tabs>
          <w:tab w:pos="4172" w:val="left" w:leader="none"/>
        </w:tabs>
        <w:spacing w:line="143" w:lineRule="exact" w:before="0"/>
        <w:ind w:left="2307" w:right="0" w:firstLine="0"/>
        <w:jc w:val="left"/>
        <w:rPr>
          <w:i/>
          <w:sz w:val="14"/>
        </w:rPr>
      </w:pPr>
      <w:r>
        <w:rPr/>
        <w:pict>
          <v:shape style="position:absolute;margin-left:315.179993pt;margin-top:.413536pt;width:5.1pt;height:25.5pt;mso-position-horizontal-relative:page;mso-position-vertical-relative:paragraph;z-index:-715024" type="#_x0000_t202" filled="false" stroked="false">
            <v:textbox inset="0,0,0,0">
              <w:txbxContent>
                <w:p>
                  <w:pPr>
                    <w:spacing w:line="510" w:lineRule="exact" w:before="0"/>
                    <w:ind w:left="0" w:right="0" w:firstLine="0"/>
                    <w:jc w:val="left"/>
                    <w:rPr>
                      <w:sz w:val="51"/>
                    </w:rPr>
                  </w:pPr>
                  <w:r>
                    <w:rPr>
                      <w:w w:val="50"/>
                      <w:sz w:val="51"/>
                    </w:rPr>
                    <w:t>J</w:t>
                  </w:r>
                </w:p>
              </w:txbxContent>
            </v:textbox>
            <w10:wrap type="none"/>
          </v:shape>
        </w:pict>
      </w:r>
      <w:r>
        <w:rPr>
          <w:b/>
          <w:i/>
          <w:w w:val="80"/>
          <w:sz w:val="14"/>
        </w:rPr>
        <w:t>11</w:t>
        <w:tab/>
      </w:r>
      <w:r>
        <w:rPr>
          <w:i/>
          <w:w w:val="80"/>
          <w:sz w:val="14"/>
        </w:rPr>
        <w:t>11+m</w:t>
      </w:r>
    </w:p>
    <w:p>
      <w:pPr>
        <w:pStyle w:val="BodyText"/>
        <w:spacing w:before="7"/>
        <w:rPr>
          <w:i/>
          <w:sz w:val="12"/>
        </w:rPr>
      </w:pPr>
    </w:p>
    <w:p>
      <w:pPr>
        <w:tabs>
          <w:tab w:pos="4406" w:val="left" w:leader="none"/>
        </w:tabs>
        <w:spacing w:line="138" w:lineRule="exact" w:before="0"/>
        <w:ind w:left="2797" w:right="0" w:firstLine="0"/>
        <w:jc w:val="left"/>
        <w:rPr>
          <w:rFonts w:ascii="Arial"/>
          <w:sz w:val="11"/>
        </w:rPr>
      </w:pPr>
      <w:r>
        <w:rPr>
          <w:w w:val="150"/>
          <w:sz w:val="14"/>
        </w:rPr>
        <w:t>_  </w:t>
      </w:r>
      <w:r>
        <w:rPr>
          <w:i/>
          <w:w w:val="110"/>
          <w:sz w:val="14"/>
        </w:rPr>
        <w:t>D11+n</w:t>
      </w:r>
      <w:r>
        <w:rPr>
          <w:i/>
          <w:spacing w:val="35"/>
          <w:w w:val="110"/>
          <w:sz w:val="14"/>
        </w:rPr>
        <w:t> </w:t>
      </w:r>
      <w:r>
        <w:rPr>
          <w:w w:val="305"/>
          <w:sz w:val="14"/>
        </w:rPr>
        <w:t>[</w:t>
      </w:r>
      <w:r>
        <w:rPr>
          <w:spacing w:val="-28"/>
          <w:w w:val="305"/>
          <w:sz w:val="14"/>
        </w:rPr>
        <w:t> </w:t>
      </w:r>
      <w:r>
        <w:rPr>
          <w:rFonts w:ascii="Arial"/>
          <w:w w:val="110"/>
          <w:sz w:val="11"/>
        </w:rPr>
        <w:t>(12)</w:t>
        <w:tab/>
      </w:r>
      <w:r>
        <w:rPr>
          <w:i/>
          <w:w w:val="110"/>
          <w:sz w:val="14"/>
          <w:u w:val="single"/>
        </w:rPr>
        <w:t>Dx+m: y+n+m </w:t>
      </w:r>
      <w:r>
        <w:rPr>
          <w:i/>
          <w:spacing w:val="29"/>
          <w:w w:val="110"/>
          <w:sz w:val="14"/>
          <w:u w:val="single"/>
        </w:rPr>
        <w:t> </w:t>
      </w:r>
      <w:r>
        <w:rPr>
          <w:rFonts w:ascii="Arial"/>
          <w:w w:val="110"/>
          <w:sz w:val="11"/>
        </w:rPr>
        <w:t>!'!(12)</w:t>
      </w:r>
    </w:p>
    <w:p>
      <w:pPr>
        <w:tabs>
          <w:tab w:pos="3610" w:val="left" w:leader="none"/>
          <w:tab w:pos="4622" w:val="left" w:leader="none"/>
          <w:tab w:pos="5410" w:val="left" w:leader="none"/>
        </w:tabs>
        <w:spacing w:line="126" w:lineRule="exact" w:before="0"/>
        <w:ind w:left="2797" w:right="0" w:firstLine="0"/>
        <w:jc w:val="left"/>
        <w:rPr>
          <w:sz w:val="14"/>
        </w:rPr>
      </w:pPr>
      <w:r>
        <w:rPr>
          <w:w w:val="315"/>
          <w:sz w:val="14"/>
        </w:rPr>
        <w:t>-</w:t>
      </w:r>
      <w:r>
        <w:rPr>
          <w:spacing w:val="41"/>
          <w:w w:val="315"/>
          <w:sz w:val="14"/>
        </w:rPr>
        <w:t> </w:t>
      </w:r>
      <w:r>
        <w:rPr>
          <w:i/>
          <w:w w:val="155"/>
          <w:sz w:val="14"/>
        </w:rPr>
        <w:t>D</w:t>
        <w:tab/>
      </w:r>
      <w:r>
        <w:rPr>
          <w:i/>
          <w:sz w:val="14"/>
        </w:rPr>
        <w:t>Gx111+n </w:t>
      </w:r>
      <w:r>
        <w:rPr>
          <w:i/>
          <w:spacing w:val="3"/>
          <w:sz w:val="14"/>
        </w:rPr>
        <w:t> </w:t>
      </w:r>
      <w:r>
        <w:rPr>
          <w:w w:val="355"/>
          <w:sz w:val="14"/>
        </w:rPr>
        <w:t>-</w:t>
        <w:tab/>
      </w:r>
      <w:r>
        <w:rPr>
          <w:i/>
          <w:w w:val="155"/>
          <w:sz w:val="14"/>
        </w:rPr>
        <w:t>D</w:t>
        <w:tab/>
      </w:r>
      <w:r>
        <w:rPr>
          <w:i/>
          <w:sz w:val="14"/>
        </w:rPr>
        <w:t>t1x+m111+n+m  </w:t>
      </w:r>
      <w:r>
        <w:rPr>
          <w:i/>
          <w:spacing w:val="15"/>
          <w:sz w:val="14"/>
        </w:rPr>
        <w:t> </w:t>
      </w:r>
      <w:r>
        <w:rPr>
          <w:sz w:val="14"/>
        </w:rPr>
        <w:t>•</w:t>
      </w:r>
    </w:p>
    <w:p>
      <w:pPr>
        <w:tabs>
          <w:tab w:pos="4777" w:val="left" w:leader="none"/>
        </w:tabs>
        <w:spacing w:line="126" w:lineRule="exact" w:before="0"/>
        <w:ind w:left="3258" w:right="0" w:firstLine="0"/>
        <w:jc w:val="left"/>
        <w:rPr>
          <w:i/>
          <w:sz w:val="12"/>
        </w:rPr>
      </w:pPr>
      <w:r>
        <w:rPr>
          <w:rFonts w:ascii="Arial"/>
          <w:i/>
          <w:sz w:val="10"/>
        </w:rPr>
        <w:t>11</w:t>
        <w:tab/>
      </w:r>
      <w:r>
        <w:rPr>
          <w:i/>
          <w:sz w:val="12"/>
        </w:rPr>
        <w:t>r:y+n</w:t>
      </w:r>
    </w:p>
    <w:p>
      <w:pPr>
        <w:pStyle w:val="BodyText"/>
        <w:spacing w:before="107"/>
        <w:ind w:left="975"/>
      </w:pPr>
      <w:r>
        <w:rPr>
          <w:w w:val="105"/>
        </w:rPr>
        <w:t>The total  annual premium</w:t>
      </w:r>
      <w:r>
        <w:rPr>
          <w:spacing w:val="51"/>
          <w:w w:val="105"/>
        </w:rPr>
        <w:t> </w:t>
      </w:r>
      <w:r>
        <w:rPr>
          <w:w w:val="105"/>
        </w:rPr>
        <w:t>is</w:t>
      </w:r>
    </w:p>
    <w:p>
      <w:pPr>
        <w:spacing w:after="0"/>
        <w:sectPr>
          <w:type w:val="continuous"/>
          <w:pgSz w:w="7200" w:h="11340"/>
          <w:pgMar w:top="1100" w:bottom="0" w:left="0" w:right="560"/>
        </w:sectPr>
      </w:pPr>
    </w:p>
    <w:p>
      <w:pPr>
        <w:tabs>
          <w:tab w:pos="1877" w:val="left" w:leader="none"/>
          <w:tab w:pos="5237" w:val="left" w:leader="none"/>
        </w:tabs>
        <w:spacing w:before="51"/>
        <w:ind w:left="151" w:right="0" w:firstLine="0"/>
        <w:jc w:val="left"/>
        <w:rPr>
          <w:b/>
          <w:sz w:val="21"/>
        </w:rPr>
      </w:pPr>
      <w:r>
        <w:rPr>
          <w:color w:val="010101"/>
          <w:sz w:val="19"/>
        </w:rPr>
        <w:t>262</w:t>
        <w:tab/>
      </w:r>
      <w:r>
        <w:rPr>
          <w:b/>
          <w:color w:val="010101"/>
          <w:sz w:val="15"/>
        </w:rPr>
        <w:t>REVERSIONARY   </w:t>
      </w:r>
      <w:r>
        <w:rPr>
          <w:b/>
          <w:color w:val="010101"/>
          <w:spacing w:val="1"/>
          <w:sz w:val="15"/>
        </w:rPr>
        <w:t> </w:t>
      </w:r>
      <w:r>
        <w:rPr>
          <w:b/>
          <w:color w:val="010101"/>
          <w:sz w:val="15"/>
        </w:rPr>
        <w:t>ANNUITIES</w:t>
        <w:tab/>
      </w:r>
      <w:r>
        <w:rPr>
          <w:b/>
          <w:color w:val="010101"/>
          <w:w w:val="90"/>
          <w:sz w:val="21"/>
        </w:rPr>
        <w:t>[CH.</w:t>
      </w:r>
      <w:r>
        <w:rPr>
          <w:b/>
          <w:color w:val="010101"/>
          <w:spacing w:val="1"/>
          <w:w w:val="90"/>
          <w:sz w:val="21"/>
        </w:rPr>
        <w:t> </w:t>
      </w:r>
      <w:r>
        <w:rPr>
          <w:b/>
          <w:color w:val="010101"/>
          <w:w w:val="90"/>
          <w:sz w:val="21"/>
        </w:rPr>
        <w:t>13</w:t>
      </w:r>
    </w:p>
    <w:p>
      <w:pPr>
        <w:pStyle w:val="BodyText"/>
        <w:spacing w:before="9"/>
        <w:rPr>
          <w:b/>
          <w:sz w:val="26"/>
        </w:rPr>
      </w:pPr>
    </w:p>
    <w:p>
      <w:pPr>
        <w:tabs>
          <w:tab w:pos="3173" w:val="left" w:leader="none"/>
          <w:tab w:pos="5075" w:val="left" w:leader="none"/>
        </w:tabs>
        <w:spacing w:line="132" w:lineRule="exact" w:before="0"/>
        <w:ind w:left="1780" w:right="739" w:firstLine="0"/>
        <w:jc w:val="left"/>
        <w:rPr>
          <w:sz w:val="12"/>
        </w:rPr>
      </w:pPr>
      <w:r>
        <w:rPr>
          <w:b/>
          <w:i/>
          <w:color w:val="010101"/>
          <w:sz w:val="16"/>
        </w:rPr>
        <w:t>D11+ra</w:t>
      </w:r>
      <w:r>
        <w:rPr>
          <w:b/>
          <w:i/>
          <w:color w:val="010101"/>
          <w:spacing w:val="17"/>
          <w:sz w:val="16"/>
        </w:rPr>
        <w:t> </w:t>
      </w:r>
      <w:r>
        <w:rPr>
          <w:color w:val="010101"/>
          <w:w w:val="225"/>
          <w:sz w:val="16"/>
        </w:rPr>
        <w:t>(</w:t>
      </w:r>
      <w:r>
        <w:rPr>
          <w:color w:val="010101"/>
          <w:spacing w:val="-15"/>
          <w:w w:val="225"/>
          <w:sz w:val="16"/>
        </w:rPr>
        <w:t> </w:t>
      </w:r>
      <w:r>
        <w:rPr>
          <w:b/>
          <w:color w:val="010101"/>
          <w:w w:val="120"/>
          <w:sz w:val="12"/>
        </w:rPr>
        <w:t>(1!}</w:t>
        <w:tab/>
      </w:r>
      <w:r>
        <w:rPr>
          <w:b/>
          <w:color w:val="010101"/>
          <w:w w:val="120"/>
          <w:sz w:val="12"/>
          <w:u w:val="single" w:color="000000"/>
        </w:rPr>
        <w:t>Dz+wt:11+ra</w:t>
      </w:r>
      <w:r>
        <w:rPr>
          <w:b/>
          <w:color w:val="010101"/>
          <w:spacing w:val="-18"/>
          <w:w w:val="120"/>
          <w:sz w:val="12"/>
          <w:u w:val="single" w:color="000000"/>
        </w:rPr>
        <w:t> </w:t>
      </w:r>
      <w:r>
        <w:rPr>
          <w:b/>
          <w:color w:val="010101"/>
          <w:sz w:val="12"/>
          <w:u w:val="single" w:color="000000"/>
        </w:rPr>
        <w:t>+t1</w:t>
      </w:r>
      <w:r>
        <w:rPr>
          <w:b/>
          <w:color w:val="010101"/>
          <w:sz w:val="12"/>
        </w:rPr>
        <w:t>1  </w:t>
      </w:r>
      <w:r>
        <w:rPr>
          <w:b/>
          <w:color w:val="010101"/>
          <w:spacing w:val="5"/>
          <w:sz w:val="12"/>
        </w:rPr>
        <w:t> </w:t>
      </w:r>
      <w:r>
        <w:rPr>
          <w:b/>
          <w:color w:val="010101"/>
          <w:w w:val="160"/>
          <w:sz w:val="12"/>
        </w:rPr>
        <w:t>(U)</w:t>
        <w:tab/>
      </w:r>
      <w:r>
        <w:rPr>
          <w:color w:val="010101"/>
          <w:w w:val="300"/>
          <w:sz w:val="12"/>
        </w:rPr>
        <w:t>)</w:t>
      </w:r>
    </w:p>
    <w:p>
      <w:pPr>
        <w:tabs>
          <w:tab w:pos="1148" w:val="left" w:leader="none"/>
          <w:tab w:pos="1640" w:val="left" w:leader="none"/>
          <w:tab w:pos="2659" w:val="left" w:leader="none"/>
          <w:tab w:pos="3449" w:val="left" w:leader="none"/>
        </w:tabs>
        <w:spacing w:line="143" w:lineRule="exact" w:before="0"/>
        <w:ind w:left="0" w:right="178" w:firstLine="0"/>
        <w:jc w:val="center"/>
        <w:rPr>
          <w:b/>
          <w:i/>
          <w:sz w:val="16"/>
        </w:rPr>
      </w:pPr>
      <w:r>
        <w:rPr/>
        <w:pict>
          <v:shape style="position:absolute;margin-left:109.830498pt;margin-top:1.235489pt;width:8.25pt;height:14.5pt;mso-position-horizontal-relative:page;mso-position-vertical-relative:paragraph;z-index:-714952" type="#_x0000_t202" filled="false" stroked="false">
            <v:textbox inset="0,0,0,0">
              <w:txbxContent>
                <w:p>
                  <w:pPr>
                    <w:spacing w:line="290" w:lineRule="exact" w:before="0"/>
                    <w:ind w:left="0" w:right="0" w:firstLine="0"/>
                    <w:jc w:val="left"/>
                    <w:rPr>
                      <w:sz w:val="29"/>
                    </w:rPr>
                  </w:pPr>
                  <w:r>
                    <w:rPr>
                      <w:color w:val="010101"/>
                      <w:w w:val="100"/>
                      <w:sz w:val="29"/>
                    </w:rPr>
                    <w:t>+</w:t>
                  </w:r>
                </w:p>
              </w:txbxContent>
            </v:textbox>
            <w10:wrap type="none"/>
          </v:shape>
        </w:pict>
      </w:r>
      <w:r>
        <w:rPr>
          <w:b/>
          <w:color w:val="010101"/>
          <w:w w:val="99"/>
          <w:sz w:val="12"/>
        </w:rPr>
        <w:t>..</w:t>
      </w:r>
      <w:r>
        <w:rPr>
          <w:b/>
          <w:color w:val="010101"/>
          <w:spacing w:val="-7"/>
          <w:sz w:val="12"/>
        </w:rPr>
        <w:t> </w:t>
      </w:r>
      <w:r>
        <w:rPr>
          <w:b/>
          <w:color w:val="010101"/>
          <w:w w:val="128"/>
          <w:sz w:val="12"/>
        </w:rPr>
        <w:t>(12)</w:t>
      </w:r>
      <w:r>
        <w:rPr>
          <w:b/>
          <w:color w:val="010101"/>
          <w:spacing w:val="-61"/>
          <w:w w:val="128"/>
          <w:sz w:val="12"/>
        </w:rPr>
        <w:t>A</w:t>
      </w:r>
      <w:r>
        <w:rPr>
          <w:b/>
          <w:color w:val="010101"/>
          <w:w w:val="152"/>
          <w:sz w:val="12"/>
        </w:rPr>
        <w:t>-1</w:t>
      </w:r>
      <w:r>
        <w:rPr>
          <w:b/>
          <w:color w:val="010101"/>
          <w:sz w:val="12"/>
        </w:rPr>
        <w:tab/>
      </w:r>
      <w:r>
        <w:rPr>
          <w:rFonts w:ascii="Arial" w:hAnsi="Arial"/>
          <w:b/>
          <w:i/>
          <w:color w:val="010101"/>
          <w:w w:val="105"/>
          <w:sz w:val="20"/>
        </w:rPr>
        <w:t>D</w:t>
      </w:r>
      <w:r>
        <w:rPr>
          <w:rFonts w:ascii="Arial" w:hAnsi="Arial"/>
          <w:b/>
          <w:i/>
          <w:color w:val="010101"/>
          <w:sz w:val="20"/>
        </w:rPr>
        <w:tab/>
      </w:r>
      <w:r>
        <w:rPr>
          <w:b/>
          <w:i/>
          <w:color w:val="010101"/>
          <w:w w:val="81"/>
          <w:sz w:val="16"/>
        </w:rPr>
        <w:t>az111+n</w:t>
      </w:r>
      <w:r>
        <w:rPr>
          <w:b/>
          <w:i/>
          <w:color w:val="010101"/>
          <w:sz w:val="16"/>
        </w:rPr>
        <w:t>  </w:t>
      </w:r>
      <w:r>
        <w:rPr>
          <w:b/>
          <w:i/>
          <w:color w:val="010101"/>
          <w:spacing w:val="-11"/>
          <w:sz w:val="16"/>
        </w:rPr>
        <w:t> </w:t>
      </w:r>
      <w:r>
        <w:rPr>
          <w:color w:val="010101"/>
          <w:w w:val="352"/>
          <w:sz w:val="16"/>
        </w:rPr>
        <w:t>-</w:t>
      </w:r>
      <w:r>
        <w:rPr>
          <w:color w:val="010101"/>
          <w:sz w:val="16"/>
        </w:rPr>
        <w:tab/>
      </w:r>
      <w:r>
        <w:rPr>
          <w:rFonts w:ascii="Arial" w:hAnsi="Arial"/>
          <w:b/>
          <w:i/>
          <w:color w:val="010101"/>
          <w:w w:val="107"/>
          <w:sz w:val="20"/>
        </w:rPr>
        <w:t>D</w:t>
      </w:r>
      <w:r>
        <w:rPr>
          <w:rFonts w:ascii="Arial" w:hAnsi="Arial"/>
          <w:b/>
          <w:i/>
          <w:color w:val="010101"/>
          <w:sz w:val="20"/>
        </w:rPr>
        <w:tab/>
      </w:r>
      <w:r>
        <w:rPr>
          <w:b/>
          <w:i/>
          <w:color w:val="010101"/>
          <w:w w:val="192"/>
          <w:sz w:val="16"/>
        </w:rPr>
        <w:t>ª</w:t>
      </w:r>
      <w:r>
        <w:rPr>
          <w:b/>
          <w:i/>
          <w:color w:val="010101"/>
          <w:spacing w:val="-19"/>
          <w:sz w:val="16"/>
        </w:rPr>
        <w:t> </w:t>
      </w:r>
      <w:r>
        <w:rPr>
          <w:b/>
          <w:i/>
          <w:color w:val="010101"/>
          <w:w w:val="112"/>
          <w:sz w:val="16"/>
        </w:rPr>
        <w:t>z+•l</w:t>
      </w:r>
      <w:r>
        <w:rPr>
          <w:b/>
          <w:i/>
          <w:color w:val="010101"/>
          <w:spacing w:val="-4"/>
          <w:sz w:val="16"/>
        </w:rPr>
        <w:t> </w:t>
      </w:r>
      <w:r>
        <w:rPr>
          <w:b/>
          <w:i/>
          <w:color w:val="010101"/>
          <w:w w:val="71"/>
          <w:sz w:val="16"/>
        </w:rPr>
        <w:t>11+n+t11</w:t>
      </w:r>
    </w:p>
    <w:p>
      <w:pPr>
        <w:tabs>
          <w:tab w:pos="1209" w:val="left" w:leader="none"/>
          <w:tab w:pos="2031" w:val="left" w:leader="none"/>
          <w:tab w:pos="3550" w:val="left" w:leader="none"/>
        </w:tabs>
        <w:spacing w:line="149" w:lineRule="exact" w:before="0"/>
        <w:ind w:left="890" w:right="739" w:hanging="198"/>
        <w:jc w:val="left"/>
        <w:rPr>
          <w:b/>
          <w:sz w:val="12"/>
        </w:rPr>
      </w:pPr>
      <w:r>
        <w:rPr/>
        <w:pict>
          <v:line style="position:absolute;mso-position-horizontal-relative:page;mso-position-vertical-relative:paragraph;z-index:-715000" from="216.430695pt,5.928264pt" to="218.225295pt,5.928264pt" stroked="true" strokeweight=".358923pt" strokecolor="#000000">
            <w10:wrap type="none"/>
          </v:line>
        </w:pict>
      </w:r>
      <w:r>
        <w:rPr>
          <w:rFonts w:ascii="Arial" w:hAnsi="Arial"/>
          <w:b/>
          <w:i/>
          <w:color w:val="010101"/>
          <w:w w:val="95"/>
          <w:sz w:val="16"/>
        </w:rPr>
        <w:t>a;;¡</w:t>
        <w:tab/>
      </w:r>
      <w:r>
        <w:rPr>
          <w:b/>
          <w:color w:val="010101"/>
          <w:w w:val="95"/>
          <w:sz w:val="12"/>
        </w:rPr>
        <w:t>z:ml</w:t>
        <w:tab/>
      </w:r>
      <w:r>
        <w:rPr>
          <w:rFonts w:ascii="Arial" w:hAnsi="Arial"/>
          <w:b/>
          <w:i/>
          <w:color w:val="010101"/>
          <w:w w:val="90"/>
          <w:sz w:val="10"/>
        </w:rPr>
        <w:t>'11</w:t>
        <w:tab/>
      </w:r>
      <w:r>
        <w:rPr>
          <w:b/>
          <w:color w:val="010101"/>
          <w:w w:val="95"/>
          <w:sz w:val="12"/>
        </w:rPr>
        <w:t>x:11+ra</w:t>
      </w:r>
    </w:p>
    <w:p>
      <w:pPr>
        <w:tabs>
          <w:tab w:pos="3277" w:val="left" w:leader="none"/>
        </w:tabs>
        <w:spacing w:before="72"/>
        <w:ind w:left="890" w:right="739" w:firstLine="0"/>
        <w:jc w:val="left"/>
        <w:rPr>
          <w:sz w:val="16"/>
        </w:rPr>
      </w:pPr>
      <w:r>
        <w:rPr>
          <w:color w:val="010101"/>
          <w:w w:val="95"/>
          <w:sz w:val="16"/>
        </w:rPr>
        <w:t>llz:m]</w:t>
        <w:tab/>
        <w:t>llz11:m]</w:t>
      </w:r>
    </w:p>
    <w:p>
      <w:pPr>
        <w:spacing w:line="102" w:lineRule="exact" w:before="134"/>
        <w:ind w:left="74" w:right="3088" w:firstLine="0"/>
        <w:jc w:val="center"/>
        <w:rPr>
          <w:b/>
          <w:sz w:val="12"/>
        </w:rPr>
      </w:pPr>
      <w:r>
        <w:rPr>
          <w:b/>
          <w:color w:val="010101"/>
          <w:w w:val="130"/>
          <w:sz w:val="12"/>
        </w:rPr>
        <w:t>.. (12).Jl</w:t>
      </w:r>
    </w:p>
    <w:p>
      <w:pPr>
        <w:tabs>
          <w:tab w:pos="1683" w:val="left" w:leader="none"/>
        </w:tabs>
        <w:spacing w:line="246" w:lineRule="exact" w:before="0"/>
        <w:ind w:left="136" w:right="739" w:firstLine="0"/>
        <w:jc w:val="left"/>
        <w:rPr>
          <w:rFonts w:ascii="Arial" w:hAnsi="Arial"/>
          <w:i/>
          <w:sz w:val="19"/>
        </w:rPr>
      </w:pPr>
      <w:r>
        <w:rPr/>
        <w:pict>
          <v:line style="position:absolute;mso-position-horizontal-relative:page;mso-position-vertical-relative:paragraph;z-index:-714976" from="113.240303pt,11.919852pt" to="116.291103pt,11.919852pt" stroked="true" strokeweight=".897308pt" strokecolor="#000000">
            <w10:wrap type="none"/>
          </v:line>
        </w:pict>
      </w:r>
      <w:r>
        <w:rPr>
          <w:color w:val="010101"/>
          <w:w w:val="96"/>
          <w:sz w:val="21"/>
        </w:rPr>
        <w:t>reducing</w:t>
      </w:r>
      <w:r>
        <w:rPr>
          <w:color w:val="010101"/>
          <w:sz w:val="21"/>
        </w:rPr>
        <w:t> </w:t>
      </w:r>
      <w:r>
        <w:rPr>
          <w:color w:val="010101"/>
          <w:spacing w:val="-14"/>
          <w:sz w:val="21"/>
        </w:rPr>
        <w:t> </w:t>
      </w:r>
      <w:r>
        <w:rPr>
          <w:color w:val="010101"/>
          <w:w w:val="104"/>
          <w:sz w:val="21"/>
        </w:rPr>
        <w:t>to</w:t>
      </w:r>
      <w:r>
        <w:rPr>
          <w:color w:val="010101"/>
          <w:spacing w:val="9"/>
          <w:sz w:val="21"/>
        </w:rPr>
        <w:t> </w:t>
      </w:r>
      <w:r>
        <w:rPr>
          <w:rFonts w:ascii="Arial" w:hAnsi="Arial"/>
          <w:color w:val="010101"/>
          <w:w w:val="125"/>
          <w:sz w:val="26"/>
        </w:rPr>
        <w:t>ª</w:t>
      </w:r>
      <w:r>
        <w:rPr>
          <w:rFonts w:ascii="Arial" w:hAnsi="Arial"/>
          <w:color w:val="010101"/>
          <w:spacing w:val="-28"/>
          <w:w w:val="125"/>
          <w:sz w:val="26"/>
        </w:rPr>
        <w:t>•</w:t>
      </w:r>
      <w:r>
        <w:rPr>
          <w:rFonts w:ascii="Arial" w:hAnsi="Arial"/>
          <w:color w:val="010101"/>
          <w:w w:val="39"/>
          <w:sz w:val="26"/>
        </w:rPr>
        <w:t>I_</w:t>
      </w:r>
      <w:r>
        <w:rPr>
          <w:rFonts w:ascii="Arial" w:hAnsi="Arial"/>
          <w:color w:val="010101"/>
          <w:sz w:val="26"/>
        </w:rPr>
        <w:tab/>
      </w:r>
      <w:r>
        <w:rPr>
          <w:color w:val="010101"/>
          <w:w w:val="90"/>
          <w:sz w:val="18"/>
        </w:rPr>
        <w:t>z</w:t>
      </w:r>
      <w:r>
        <w:rPr>
          <w:color w:val="010101"/>
          <w:spacing w:val="-28"/>
          <w:sz w:val="18"/>
        </w:rPr>
        <w:t> </w:t>
      </w:r>
      <w:r>
        <w:rPr>
          <w:color w:val="282828"/>
          <w:spacing w:val="-16"/>
          <w:w w:val="88"/>
          <w:sz w:val="18"/>
        </w:rPr>
        <w:t>:</w:t>
      </w:r>
      <w:r>
        <w:rPr>
          <w:color w:val="010101"/>
          <w:w w:val="80"/>
          <w:sz w:val="18"/>
        </w:rPr>
        <w:t>;;J</w:t>
      </w:r>
      <w:r>
        <w:rPr>
          <w:color w:val="010101"/>
          <w:sz w:val="18"/>
        </w:rPr>
        <w:t> </w:t>
      </w:r>
      <w:r>
        <w:rPr>
          <w:color w:val="010101"/>
          <w:spacing w:val="-9"/>
          <w:sz w:val="18"/>
        </w:rPr>
        <w:t> </w:t>
      </w:r>
      <w:r>
        <w:rPr>
          <w:color w:val="010101"/>
          <w:w w:val="98"/>
          <w:sz w:val="21"/>
        </w:rPr>
        <w:t>upon</w:t>
      </w:r>
      <w:r>
        <w:rPr>
          <w:color w:val="010101"/>
          <w:sz w:val="21"/>
        </w:rPr>
        <w:t> </w:t>
      </w:r>
      <w:r>
        <w:rPr>
          <w:color w:val="010101"/>
          <w:spacing w:val="-11"/>
          <w:sz w:val="21"/>
        </w:rPr>
        <w:t> </w:t>
      </w:r>
      <w:r>
        <w:rPr>
          <w:color w:val="010101"/>
          <w:w w:val="104"/>
          <w:sz w:val="21"/>
        </w:rPr>
        <w:t>the</w:t>
      </w:r>
      <w:r>
        <w:rPr>
          <w:color w:val="010101"/>
          <w:spacing w:val="23"/>
          <w:sz w:val="21"/>
        </w:rPr>
        <w:t> </w:t>
      </w:r>
      <w:r>
        <w:rPr>
          <w:color w:val="010101"/>
          <w:w w:val="103"/>
          <w:sz w:val="21"/>
        </w:rPr>
        <w:t>death</w:t>
      </w:r>
      <w:r>
        <w:rPr>
          <w:color w:val="010101"/>
          <w:spacing w:val="24"/>
          <w:sz w:val="21"/>
        </w:rPr>
        <w:t> </w:t>
      </w:r>
      <w:r>
        <w:rPr>
          <w:color w:val="010101"/>
          <w:w w:val="84"/>
          <w:sz w:val="21"/>
        </w:rPr>
        <w:t>of</w:t>
      </w:r>
      <w:r>
        <w:rPr>
          <w:color w:val="010101"/>
          <w:sz w:val="21"/>
        </w:rPr>
        <w:t> </w:t>
      </w:r>
      <w:r>
        <w:rPr>
          <w:color w:val="010101"/>
          <w:spacing w:val="1"/>
          <w:sz w:val="21"/>
        </w:rPr>
        <w:t> </w:t>
      </w:r>
      <w:r>
        <w:rPr>
          <w:rFonts w:ascii="Arial" w:hAnsi="Arial"/>
          <w:i/>
          <w:color w:val="010101"/>
          <w:spacing w:val="7"/>
          <w:w w:val="83"/>
          <w:sz w:val="19"/>
        </w:rPr>
        <w:t>(</w:t>
      </w:r>
      <w:r>
        <w:rPr>
          <w:rFonts w:ascii="Arial" w:hAnsi="Arial"/>
          <w:i/>
          <w:color w:val="010101"/>
          <w:spacing w:val="15"/>
          <w:w w:val="86"/>
          <w:sz w:val="19"/>
        </w:rPr>
        <w:t>y</w:t>
      </w:r>
      <w:r>
        <w:rPr>
          <w:rFonts w:ascii="Arial" w:hAnsi="Arial"/>
          <w:i/>
          <w:color w:val="010101"/>
          <w:w w:val="107"/>
          <w:sz w:val="19"/>
        </w:rPr>
        <w:t>)</w:t>
      </w:r>
      <w:r>
        <w:rPr>
          <w:rFonts w:ascii="Arial" w:hAnsi="Arial"/>
          <w:i/>
          <w:color w:val="010101"/>
          <w:w w:val="107"/>
          <w:sz w:val="19"/>
        </w:rPr>
        <w:t>.</w:t>
      </w:r>
    </w:p>
    <w:p>
      <w:pPr>
        <w:spacing w:line="146" w:lineRule="exact" w:before="0"/>
        <w:ind w:left="74" w:right="2948" w:firstLine="0"/>
        <w:jc w:val="center"/>
        <w:rPr>
          <w:b/>
          <w:sz w:val="15"/>
        </w:rPr>
      </w:pPr>
      <w:r>
        <w:rPr>
          <w:b/>
          <w:color w:val="010101"/>
          <w:sz w:val="15"/>
        </w:rPr>
        <w:t>Os:.i]</w:t>
      </w:r>
    </w:p>
    <w:p>
      <w:pPr>
        <w:spacing w:line="240" w:lineRule="auto" w:before="0"/>
        <w:ind w:left="129" w:right="131" w:firstLine="201"/>
        <w:jc w:val="both"/>
        <w:rPr>
          <w:sz w:val="21"/>
        </w:rPr>
      </w:pPr>
      <w:r>
        <w:rPr>
          <w:color w:val="010101"/>
          <w:sz w:val="21"/>
        </w:rPr>
        <w:t>In practice, the </w:t>
      </w:r>
      <w:r>
        <w:rPr>
          <w:rFonts w:ascii="Arial"/>
          <w:color w:val="010101"/>
          <w:sz w:val="20"/>
        </w:rPr>
        <w:t>&amp;&lt;m </w:t>
      </w:r>
      <w:r>
        <w:rPr>
          <w:color w:val="010101"/>
          <w:sz w:val="21"/>
        </w:rPr>
        <w:t>functions appearing in these formulas are most conveniently evaluated as simple reversionary a.nnuities,</w:t>
      </w:r>
      <w:r>
        <w:rPr>
          <w:color w:val="010101"/>
          <w:spacing w:val="-9"/>
          <w:sz w:val="21"/>
        </w:rPr>
        <w:t> </w:t>
      </w:r>
      <w:r>
        <w:rPr>
          <w:color w:val="010101"/>
          <w:sz w:val="21"/>
        </w:rPr>
        <w:t>thus:</w:t>
      </w:r>
    </w:p>
    <w:p>
      <w:pPr>
        <w:spacing w:line="110" w:lineRule="exact" w:before="137"/>
        <w:ind w:left="2333" w:right="739" w:firstLine="0"/>
        <w:jc w:val="left"/>
        <w:rPr>
          <w:sz w:val="12"/>
        </w:rPr>
      </w:pPr>
      <w:r>
        <w:rPr>
          <w:b/>
          <w:color w:val="010101"/>
          <w:w w:val="110"/>
          <w:sz w:val="12"/>
        </w:rPr>
        <w:t>(12)   </w:t>
      </w:r>
      <w:r>
        <w:rPr>
          <w:color w:val="010101"/>
          <w:w w:val="110"/>
          <w:sz w:val="12"/>
        </w:rPr>
        <w:t>•</w:t>
      </w:r>
    </w:p>
    <w:p>
      <w:pPr>
        <w:tabs>
          <w:tab w:pos="951" w:val="left" w:leader="none"/>
        </w:tabs>
        <w:spacing w:line="168" w:lineRule="exact" w:before="0"/>
        <w:ind w:left="0" w:right="13" w:firstLine="0"/>
        <w:jc w:val="center"/>
        <w:rPr>
          <w:sz w:val="17"/>
        </w:rPr>
      </w:pPr>
      <w:r>
        <w:rPr>
          <w:rFonts w:ascii="Arial" w:hAnsi="Arial"/>
          <w:b/>
          <w:color w:val="010101"/>
          <w:w w:val="125"/>
          <w:sz w:val="15"/>
        </w:rPr>
        <w:t>ª•lu </w:t>
      </w:r>
      <w:r>
        <w:rPr>
          <w:rFonts w:ascii="Arial" w:hAnsi="Arial"/>
          <w:b/>
          <w:color w:val="010101"/>
          <w:spacing w:val="36"/>
          <w:w w:val="125"/>
          <w:sz w:val="15"/>
        </w:rPr>
        <w:t> </w:t>
      </w:r>
      <w:r>
        <w:rPr>
          <w:rFonts w:ascii="Arial" w:hAnsi="Arial"/>
          <w:color w:val="010101"/>
          <w:w w:val="125"/>
          <w:sz w:val="17"/>
        </w:rPr>
        <w:t>=:</w:t>
        <w:tab/>
      </w:r>
      <w:r>
        <w:rPr>
          <w:rFonts w:ascii="Arial" w:hAnsi="Arial"/>
          <w:color w:val="010101"/>
          <w:w w:val="285"/>
          <w:sz w:val="17"/>
        </w:rPr>
        <w:t>-</w:t>
      </w:r>
      <w:r>
        <w:rPr>
          <w:rFonts w:ascii="Arial" w:hAnsi="Arial"/>
          <w:color w:val="010101"/>
          <w:spacing w:val="-116"/>
          <w:w w:val="285"/>
          <w:sz w:val="17"/>
        </w:rPr>
        <w:t> </w:t>
      </w:r>
      <w:r>
        <w:rPr>
          <w:b/>
          <w:color w:val="010101"/>
          <w:w w:val="95"/>
          <w:sz w:val="17"/>
        </w:rPr>
        <w:t>tluw </w:t>
      </w:r>
      <w:r>
        <w:rPr>
          <w:color w:val="010101"/>
          <w:w w:val="95"/>
          <w:sz w:val="17"/>
        </w:rPr>
        <w:t>•</w:t>
      </w:r>
    </w:p>
    <w:p>
      <w:pPr>
        <w:spacing w:before="141"/>
        <w:ind w:left="129" w:right="133" w:hanging="4"/>
        <w:jc w:val="left"/>
        <w:rPr>
          <w:sz w:val="21"/>
        </w:rPr>
      </w:pPr>
      <w:r>
        <w:rPr>
          <w:color w:val="010101"/>
          <w:sz w:val="21"/>
        </w:rPr>
        <w:t>This approximation understates the true value, a fact which is sometimes reflected  </w:t>
      </w:r>
      <w:r>
        <w:rPr>
          <w:rFonts w:ascii="Arial"/>
          <w:color w:val="010101"/>
          <w:sz w:val="20"/>
        </w:rPr>
        <w:t>in </w:t>
      </w:r>
      <w:r>
        <w:rPr>
          <w:color w:val="010101"/>
          <w:sz w:val="21"/>
        </w:rPr>
        <w:t>the loading formula.</w:t>
      </w:r>
    </w:p>
    <w:p>
      <w:pPr>
        <w:spacing w:line="237" w:lineRule="auto" w:before="1"/>
        <w:ind w:left="118" w:right="141" w:firstLine="204"/>
        <w:jc w:val="both"/>
        <w:rPr>
          <w:sz w:val="21"/>
        </w:rPr>
      </w:pPr>
      <w:r>
        <w:rPr>
          <w:color w:val="010101"/>
          <w:sz w:val="21"/>
        </w:rPr>
        <w:t>Reserves for continuous instalment policies may be obtained from the usual valuation principies. As an example, consider an ordinary life policy  issued  at age </w:t>
      </w:r>
      <w:r>
        <w:rPr>
          <w:rFonts w:ascii="Arial"/>
          <w:i/>
          <w:color w:val="010101"/>
          <w:sz w:val="18"/>
        </w:rPr>
        <w:t>x  </w:t>
      </w:r>
      <w:r>
        <w:rPr>
          <w:color w:val="010101"/>
          <w:sz w:val="21"/>
        </w:rPr>
        <w:t>with  continuous  instalmen ts to a beneficiary aged </w:t>
      </w:r>
      <w:r>
        <w:rPr>
          <w:i/>
          <w:color w:val="010101"/>
          <w:sz w:val="20"/>
        </w:rPr>
        <w:t>y. </w:t>
      </w:r>
      <w:r>
        <w:rPr>
          <w:color w:val="010101"/>
          <w:sz w:val="21"/>
        </w:rPr>
        <w:t>The reserve at the end of </w:t>
      </w:r>
      <w:r>
        <w:rPr>
          <w:rFonts w:ascii="Arial"/>
          <w:i/>
          <w:color w:val="010101"/>
          <w:sz w:val="17"/>
        </w:rPr>
        <w:t>t </w:t>
      </w:r>
      <w:r>
        <w:rPr>
          <w:color w:val="010101"/>
          <w:sz w:val="21"/>
        </w:rPr>
        <w:t>years is given by the following</w:t>
      </w:r>
      <w:r>
        <w:rPr>
          <w:color w:val="010101"/>
          <w:spacing w:val="-20"/>
          <w:sz w:val="21"/>
        </w:rPr>
        <w:t> </w:t>
      </w:r>
      <w:r>
        <w:rPr>
          <w:color w:val="010101"/>
          <w:sz w:val="21"/>
        </w:rPr>
        <w:t>expression:</w:t>
      </w:r>
    </w:p>
    <w:p>
      <w:pPr>
        <w:pStyle w:val="BodyText"/>
        <w:spacing w:before="7"/>
        <w:rPr>
          <w:sz w:val="16"/>
        </w:rPr>
      </w:pPr>
    </w:p>
    <w:p>
      <w:pPr>
        <w:tabs>
          <w:tab w:pos="2257" w:val="left" w:leader="none"/>
          <w:tab w:pos="4048" w:val="left" w:leader="none"/>
        </w:tabs>
        <w:spacing w:line="203" w:lineRule="exact" w:before="1"/>
        <w:ind w:left="987" w:right="739" w:firstLine="0"/>
        <w:jc w:val="left"/>
        <w:rPr>
          <w:sz w:val="22"/>
        </w:rPr>
      </w:pPr>
      <w:r>
        <w:rPr/>
        <w:pict>
          <v:shape style="position:absolute;margin-left:133.878403pt;margin-top:-2.645489pt;width:9.8pt;height:16pt;mso-position-horizontal-relative:page;mso-position-vertical-relative:paragraph;z-index:-714928" type="#_x0000_t202" filled="false" stroked="false">
            <v:textbox inset="0,0,0,0">
              <w:txbxContent>
                <w:p>
                  <w:pPr>
                    <w:spacing w:line="320" w:lineRule="exact" w:before="0"/>
                    <w:ind w:left="0" w:right="0" w:firstLine="0"/>
                    <w:jc w:val="left"/>
                    <w:rPr>
                      <w:rFonts w:ascii="Arial"/>
                      <w:sz w:val="32"/>
                    </w:rPr>
                  </w:pPr>
                  <w:r>
                    <w:rPr>
                      <w:rFonts w:ascii="Arial"/>
                      <w:color w:val="010101"/>
                      <w:w w:val="104"/>
                      <w:sz w:val="32"/>
                    </w:rPr>
                    <w:t>+</w:t>
                  </w:r>
                </w:p>
              </w:txbxContent>
            </v:textbox>
            <w10:wrap type="none"/>
          </v:shape>
        </w:pict>
      </w:r>
      <w:r>
        <w:rPr>
          <w:color w:val="010101"/>
          <w:sz w:val="15"/>
        </w:rPr>
        <w:t>.. 02&gt;  </w:t>
      </w:r>
      <w:r>
        <w:rPr>
          <w:rFonts w:ascii="Arial"/>
          <w:i/>
          <w:color w:val="010101"/>
          <w:w w:val="105"/>
          <w:sz w:val="18"/>
        </w:rPr>
        <w:t>V(</w:t>
      </w:r>
      <w:r>
        <w:rPr>
          <w:rFonts w:ascii="Arial"/>
          <w:i/>
          <w:color w:val="010101"/>
          <w:spacing w:val="-23"/>
          <w:w w:val="105"/>
          <w:sz w:val="18"/>
        </w:rPr>
        <w:t> </w:t>
      </w:r>
      <w:r>
        <w:rPr>
          <w:rFonts w:ascii="Arial"/>
          <w:i/>
          <w:color w:val="010101"/>
          <w:spacing w:val="-33"/>
          <w:w w:val="105"/>
          <w:sz w:val="18"/>
        </w:rPr>
        <w:t>A-    </w:t>
      </w:r>
      <w:r>
        <w:rPr>
          <w:rFonts w:ascii="Arial"/>
          <w:i/>
          <w:color w:val="010101"/>
          <w:spacing w:val="-24"/>
          <w:w w:val="105"/>
          <w:sz w:val="18"/>
        </w:rPr>
        <w:t> </w:t>
      </w:r>
      <w:r>
        <w:rPr>
          <w:rFonts w:ascii="Arial"/>
          <w:color w:val="010101"/>
          <w:w w:val="105"/>
          <w:sz w:val="18"/>
        </w:rPr>
        <w:t>)</w:t>
        <w:tab/>
      </w:r>
      <w:r>
        <w:rPr>
          <w:i/>
          <w:color w:val="010101"/>
          <w:sz w:val="17"/>
        </w:rPr>
        <w:t>D,,+,.+1 </w:t>
      </w:r>
      <w:r>
        <w:rPr>
          <w:i/>
          <w:color w:val="010101"/>
          <w:spacing w:val="35"/>
          <w:sz w:val="17"/>
        </w:rPr>
        <w:t> </w:t>
      </w:r>
      <w:r>
        <w:rPr>
          <w:color w:val="010101"/>
          <w:sz w:val="15"/>
        </w:rPr>
        <w:t>c12&gt;</w:t>
        <w:tab/>
      </w:r>
      <w:r>
        <w:rPr>
          <w:i/>
          <w:color w:val="010101"/>
          <w:sz w:val="22"/>
        </w:rPr>
        <w:t>p </w:t>
      </w:r>
      <w:r>
        <w:rPr>
          <w:i/>
          <w:color w:val="010101"/>
          <w:spacing w:val="17"/>
          <w:sz w:val="22"/>
        </w:rPr>
        <w:t> </w:t>
      </w:r>
      <w:r>
        <w:rPr>
          <w:color w:val="010101"/>
          <w:w w:val="80"/>
          <w:sz w:val="22"/>
        </w:rPr>
        <w:t>_</w:t>
      </w:r>
    </w:p>
    <w:p>
      <w:pPr>
        <w:tabs>
          <w:tab w:pos="825" w:val="left" w:leader="none"/>
          <w:tab w:pos="1414" w:val="left" w:leader="none"/>
          <w:tab w:pos="1945" w:val="left" w:leader="none"/>
          <w:tab w:pos="3273" w:val="left" w:leader="none"/>
        </w:tabs>
        <w:spacing w:line="136" w:lineRule="exact" w:before="0"/>
        <w:ind w:left="0" w:right="13" w:firstLine="0"/>
        <w:jc w:val="center"/>
        <w:rPr>
          <w:i/>
          <w:sz w:val="17"/>
        </w:rPr>
      </w:pPr>
      <w:r>
        <w:rPr>
          <w:rFonts w:ascii="Arial" w:hAnsi="Arial"/>
          <w:color w:val="010101"/>
          <w:w w:val="135"/>
          <w:sz w:val="17"/>
        </w:rPr>
        <w:t>ªñl</w:t>
      </w:r>
      <w:r>
        <w:rPr>
          <w:rFonts w:ascii="Arial" w:hAnsi="Arial"/>
          <w:color w:val="010101"/>
          <w:spacing w:val="57"/>
          <w:w w:val="135"/>
          <w:sz w:val="17"/>
        </w:rPr>
        <w:t> </w:t>
      </w:r>
      <w:r>
        <w:rPr>
          <w:rFonts w:ascii="Arial" w:hAnsi="Arial"/>
          <w:color w:val="010101"/>
          <w:w w:val="175"/>
          <w:sz w:val="17"/>
        </w:rPr>
        <w:t>,</w:t>
        <w:tab/>
      </w:r>
      <w:r>
        <w:rPr>
          <w:rFonts w:ascii="Arial" w:hAnsi="Arial"/>
          <w:i/>
          <w:color w:val="010101"/>
          <w:w w:val="95"/>
          <w:sz w:val="11"/>
        </w:rPr>
        <w:t>x</w:t>
        <w:tab/>
      </w:r>
      <w:r>
        <w:rPr>
          <w:i/>
          <w:color w:val="010101"/>
          <w:w w:val="135"/>
          <w:sz w:val="17"/>
        </w:rPr>
        <w:t>D</w:t>
        <w:tab/>
      </w:r>
      <w:r>
        <w:rPr>
          <w:i/>
          <w:color w:val="010101"/>
          <w:w w:val="95"/>
          <w:sz w:val="17"/>
        </w:rPr>
        <w:t>az+1</w:t>
      </w:r>
      <w:r>
        <w:rPr>
          <w:i/>
          <w:color w:val="010101"/>
          <w:spacing w:val="-31"/>
          <w:w w:val="95"/>
          <w:sz w:val="17"/>
        </w:rPr>
        <w:t> </w:t>
      </w:r>
      <w:r>
        <w:rPr>
          <w:i/>
          <w:color w:val="010101"/>
          <w:w w:val="95"/>
          <w:sz w:val="17"/>
        </w:rPr>
        <w:t>111+n+1</w:t>
      </w:r>
      <w:r>
        <w:rPr>
          <w:i/>
          <w:color w:val="010101"/>
          <w:spacing w:val="-4"/>
          <w:w w:val="95"/>
          <w:sz w:val="17"/>
        </w:rPr>
        <w:t> </w:t>
      </w:r>
      <w:r>
        <w:rPr>
          <w:color w:val="010101"/>
          <w:w w:val="285"/>
          <w:sz w:val="17"/>
        </w:rPr>
        <w:t>-</w:t>
        <w:tab/>
      </w:r>
      <w:r>
        <w:rPr>
          <w:i/>
          <w:color w:val="010101"/>
          <w:w w:val="85"/>
          <w:sz w:val="17"/>
        </w:rPr>
        <w:t>·ax+1:11+1</w:t>
      </w:r>
      <w:r>
        <w:rPr>
          <w:i/>
          <w:color w:val="010101"/>
          <w:spacing w:val="17"/>
          <w:w w:val="85"/>
          <w:sz w:val="17"/>
        </w:rPr>
        <w:t> </w:t>
      </w:r>
      <w:r>
        <w:rPr>
          <w:i/>
          <w:color w:val="010101"/>
          <w:w w:val="85"/>
          <w:sz w:val="17"/>
        </w:rPr>
        <w:t>,</w:t>
      </w:r>
    </w:p>
    <w:p>
      <w:pPr>
        <w:spacing w:line="139" w:lineRule="exact" w:before="0"/>
        <w:ind w:left="74" w:right="820" w:firstLine="0"/>
        <w:jc w:val="center"/>
        <w:rPr>
          <w:b/>
          <w:i/>
          <w:sz w:val="13"/>
        </w:rPr>
      </w:pPr>
      <w:r>
        <w:rPr>
          <w:b/>
          <w:i/>
          <w:color w:val="010101"/>
          <w:w w:val="115"/>
          <w:sz w:val="13"/>
        </w:rPr>
        <w:t>tt+t</w:t>
      </w:r>
    </w:p>
    <w:p>
      <w:pPr>
        <w:spacing w:line="191" w:lineRule="exact" w:before="128"/>
        <w:ind w:left="74" w:right="2964" w:firstLine="0"/>
        <w:jc w:val="center"/>
        <w:rPr>
          <w:rFonts w:ascii="Arial"/>
          <w:sz w:val="19"/>
        </w:rPr>
      </w:pPr>
      <w:r>
        <w:rPr>
          <w:i/>
          <w:color w:val="010101"/>
          <w:w w:val="85"/>
          <w:sz w:val="17"/>
        </w:rPr>
        <w:t>Dy+n   </w:t>
      </w:r>
      <w:r>
        <w:rPr>
          <w:rFonts w:ascii="Arial"/>
          <w:color w:val="010101"/>
          <w:w w:val="85"/>
          <w:sz w:val="19"/>
        </w:rPr>
        <w:t>c12&gt;</w:t>
      </w:r>
    </w:p>
    <w:p>
      <w:pPr>
        <w:spacing w:line="133" w:lineRule="exact" w:before="0"/>
        <w:ind w:left="74" w:right="2825" w:firstLine="0"/>
        <w:jc w:val="center"/>
        <w:rPr>
          <w:i/>
          <w:sz w:val="17"/>
        </w:rPr>
      </w:pPr>
      <w:r>
        <w:rPr>
          <w:i/>
          <w:color w:val="010101"/>
          <w:w w:val="335"/>
          <w:sz w:val="17"/>
        </w:rPr>
        <w:t>nª</w:t>
      </w:r>
      <w:r>
        <w:rPr>
          <w:i/>
          <w:color w:val="010101"/>
          <w:spacing w:val="-121"/>
          <w:w w:val="335"/>
          <w:sz w:val="17"/>
        </w:rPr>
        <w:t> </w:t>
      </w:r>
      <w:r>
        <w:rPr>
          <w:i/>
          <w:color w:val="010101"/>
          <w:w w:val="115"/>
          <w:sz w:val="17"/>
        </w:rPr>
        <w:t>xh,+n</w:t>
      </w:r>
    </w:p>
    <w:p>
      <w:pPr>
        <w:tabs>
          <w:tab w:pos="1378" w:val="left" w:leader="none"/>
          <w:tab w:pos="2243" w:val="left" w:leader="none"/>
        </w:tabs>
        <w:spacing w:line="212" w:lineRule="exact" w:before="0"/>
        <w:ind w:left="115" w:right="0" w:firstLine="0"/>
        <w:jc w:val="left"/>
        <w:rPr>
          <w:sz w:val="21"/>
        </w:rPr>
      </w:pPr>
      <w:r>
        <w:rPr>
          <w:color w:val="010101"/>
          <w:sz w:val="21"/>
        </w:rPr>
        <w:t>where</w:t>
      </w:r>
      <w:r>
        <w:rPr>
          <w:color w:val="010101"/>
          <w:spacing w:val="20"/>
          <w:sz w:val="21"/>
        </w:rPr>
        <w:t> </w:t>
      </w:r>
      <w:r>
        <w:rPr>
          <w:rFonts w:ascii="Arial"/>
          <w:i/>
          <w:color w:val="010101"/>
          <w:sz w:val="18"/>
        </w:rPr>
        <w:t>P</w:t>
      </w:r>
      <w:r>
        <w:rPr>
          <w:rFonts w:ascii="Arial"/>
          <w:i/>
          <w:color w:val="010101"/>
          <w:spacing w:val="47"/>
          <w:sz w:val="18"/>
        </w:rPr>
        <w:t> </w:t>
      </w:r>
      <w:r>
        <w:rPr>
          <w:color w:val="010101"/>
          <w:sz w:val="24"/>
        </w:rPr>
        <w:t>=</w:t>
        <w:tab/>
      </w:r>
      <w:r>
        <w:rPr>
          <w:rFonts w:ascii="Arial"/>
          <w:i/>
          <w:color w:val="010101"/>
          <w:sz w:val="14"/>
        </w:rPr>
        <w:t>v</w:t>
        <w:tab/>
      </w:r>
      <w:r>
        <w:rPr>
          <w:color w:val="010101"/>
          <w:sz w:val="21"/>
        </w:rPr>
        <w:t>the  extra  annual  premium   for  the </w:t>
      </w:r>
      <w:r>
        <w:rPr>
          <w:color w:val="010101"/>
          <w:spacing w:val="30"/>
          <w:sz w:val="21"/>
        </w:rPr>
        <w:t> </w:t>
      </w:r>
      <w:r>
        <w:rPr>
          <w:color w:val="010101"/>
          <w:sz w:val="21"/>
        </w:rPr>
        <w:t>con-</w:t>
      </w:r>
    </w:p>
    <w:p>
      <w:pPr>
        <w:spacing w:line="154" w:lineRule="exact" w:before="0"/>
        <w:ind w:left="74" w:right="2842" w:firstLine="0"/>
        <w:jc w:val="center"/>
        <w:rPr>
          <w:rFonts w:ascii="Arial"/>
          <w:b/>
          <w:i/>
          <w:sz w:val="17"/>
        </w:rPr>
      </w:pPr>
      <w:r>
        <w:rPr>
          <w:rFonts w:ascii="Arial"/>
          <w:b/>
          <w:i/>
          <w:color w:val="010101"/>
          <w:w w:val="70"/>
          <w:sz w:val="17"/>
        </w:rPr>
        <w:t>dZ'I/</w:t>
      </w:r>
    </w:p>
    <w:p>
      <w:pPr>
        <w:spacing w:line="228" w:lineRule="exact" w:before="0"/>
        <w:ind w:left="111" w:right="133" w:firstLine="7"/>
        <w:jc w:val="left"/>
        <w:rPr>
          <w:sz w:val="21"/>
        </w:rPr>
      </w:pPr>
      <w:r>
        <w:rPr>
          <w:color w:val="010101"/>
          <w:sz w:val="21"/>
        </w:rPr>
        <w:t>tinuous instalments.  This expression  involves  the assumption that</w:t>
      </w:r>
    </w:p>
    <w:p>
      <w:pPr>
        <w:spacing w:line="240" w:lineRule="exact" w:before="3"/>
        <w:ind w:left="118" w:right="78" w:hanging="8"/>
        <w:jc w:val="left"/>
        <w:rPr>
          <w:rFonts w:ascii="Arial" w:hAnsi="Arial"/>
          <w:i/>
          <w:sz w:val="18"/>
        </w:rPr>
      </w:pPr>
      <w:r>
        <w:rPr>
          <w:color w:val="010101"/>
          <w:w w:val="105"/>
          <w:sz w:val="21"/>
        </w:rPr>
        <w:t>both </w:t>
      </w:r>
      <w:r>
        <w:rPr>
          <w:rFonts w:ascii="Arial" w:hAnsi="Arial"/>
          <w:i/>
          <w:color w:val="010101"/>
          <w:w w:val="105"/>
          <w:sz w:val="19"/>
        </w:rPr>
        <w:t>(x) </w:t>
      </w:r>
      <w:r>
        <w:rPr>
          <w:color w:val="010101"/>
          <w:w w:val="105"/>
          <w:sz w:val="21"/>
        </w:rPr>
        <w:t>and </w:t>
      </w:r>
      <w:r>
        <w:rPr>
          <w:rFonts w:ascii="Arial" w:hAnsi="Arial"/>
          <w:i/>
          <w:color w:val="010101"/>
          <w:w w:val="105"/>
          <w:sz w:val="19"/>
        </w:rPr>
        <w:t>(y) </w:t>
      </w:r>
      <w:r>
        <w:rPr>
          <w:color w:val="010101"/>
          <w:w w:val="105"/>
          <w:sz w:val="21"/>
        </w:rPr>
        <w:t>are alive on the valuation date. </w:t>
      </w:r>
      <w:r>
        <w:rPr>
          <w:color w:val="010101"/>
          <w:w w:val="105"/>
          <w:sz w:val="20"/>
        </w:rPr>
        <w:t>If </w:t>
      </w:r>
      <w:r>
        <w:rPr>
          <w:color w:val="010101"/>
          <w:w w:val="105"/>
          <w:sz w:val="21"/>
        </w:rPr>
        <w:t>only </w:t>
      </w:r>
      <w:r>
        <w:rPr>
          <w:rFonts w:ascii="Arial" w:hAnsi="Arial"/>
          <w:i/>
          <w:color w:val="010101"/>
          <w:w w:val="105"/>
          <w:sz w:val="19"/>
        </w:rPr>
        <w:t>(x) </w:t>
      </w:r>
      <w:r>
        <w:rPr>
          <w:color w:val="010101"/>
          <w:w w:val="105"/>
          <w:sz w:val="21"/>
        </w:rPr>
        <w:t>is alive, </w:t>
      </w:r>
      <w:r>
        <w:rPr>
          <w:color w:val="010101"/>
          <w:w w:val="104"/>
          <w:sz w:val="21"/>
        </w:rPr>
        <w:t>the </w:t>
      </w:r>
      <w:r>
        <w:rPr>
          <w:color w:val="010101"/>
          <w:w w:val="97"/>
          <w:sz w:val="21"/>
        </w:rPr>
        <w:t>reserve </w:t>
      </w:r>
      <w:r>
        <w:rPr>
          <w:color w:val="010101"/>
          <w:w w:val="97"/>
          <w:sz w:val="21"/>
        </w:rPr>
        <w:t>is </w:t>
      </w:r>
      <w:r>
        <w:rPr>
          <w:color w:val="010101"/>
          <w:w w:val="98"/>
          <w:sz w:val="21"/>
        </w:rPr>
        <w:t>simply </w:t>
      </w:r>
      <w:r>
        <w:rPr>
          <w:color w:val="010101"/>
          <w:w w:val="128"/>
          <w:sz w:val="18"/>
        </w:rPr>
        <w:t>ci</w:t>
      </w:r>
      <w:r>
        <w:rPr>
          <w:rFonts w:ascii="Arial" w:hAnsi="Arial"/>
          <w:color w:val="010101"/>
          <w:w w:val="128"/>
          <w:position w:val="10"/>
          <w:sz w:val="12"/>
        </w:rPr>
        <w:t>2</w:t>
      </w:r>
      <w:r>
        <w:rPr>
          <w:rFonts w:ascii="Arial" w:hAnsi="Arial"/>
          <w:color w:val="010101"/>
          <w:w w:val="128"/>
          <w:sz w:val="14"/>
        </w:rPr>
        <w:t>&gt; </w:t>
      </w:r>
      <w:r>
        <w:rPr>
          <w:rFonts w:ascii="Arial" w:hAnsi="Arial"/>
          <w:color w:val="010101"/>
          <w:w w:val="134"/>
          <w:sz w:val="14"/>
        </w:rPr>
        <w:t>·,</w:t>
      </w:r>
      <w:r>
        <w:rPr>
          <w:rFonts w:ascii="Arial" w:hAnsi="Arial"/>
          <w:i/>
          <w:color w:val="010101"/>
          <w:w w:val="134"/>
          <w:sz w:val="18"/>
        </w:rPr>
        <w:t>V(Az).</w:t>
      </w:r>
    </w:p>
    <w:p>
      <w:pPr>
        <w:pStyle w:val="ListParagraph"/>
        <w:numPr>
          <w:ilvl w:val="0"/>
          <w:numId w:val="120"/>
        </w:numPr>
        <w:tabs>
          <w:tab w:pos="342" w:val="left" w:leader="none"/>
        </w:tabs>
        <w:spacing w:line="240" w:lineRule="auto" w:before="177" w:after="0"/>
        <w:ind w:left="341" w:right="0" w:hanging="230"/>
        <w:jc w:val="left"/>
        <w:rPr>
          <w:b/>
          <w:color w:val="010101"/>
          <w:sz w:val="19"/>
        </w:rPr>
      </w:pPr>
      <w:r>
        <w:rPr>
          <w:b/>
          <w:color w:val="010101"/>
          <w:w w:val="115"/>
          <w:sz w:val="19"/>
        </w:rPr>
        <w:t>Compound  reversionary</w:t>
      </w:r>
      <w:r>
        <w:rPr>
          <w:b/>
          <w:color w:val="010101"/>
          <w:spacing w:val="40"/>
          <w:w w:val="115"/>
          <w:sz w:val="19"/>
        </w:rPr>
        <w:t> </w:t>
      </w:r>
      <w:r>
        <w:rPr>
          <w:b/>
          <w:color w:val="010101"/>
          <w:w w:val="115"/>
          <w:sz w:val="19"/>
        </w:rPr>
        <w:t>annuities</w:t>
      </w:r>
    </w:p>
    <w:p>
      <w:pPr>
        <w:spacing w:line="240" w:lineRule="auto" w:before="79"/>
        <w:ind w:left="111" w:right="146" w:firstLine="201"/>
        <w:jc w:val="both"/>
        <w:rPr>
          <w:sz w:val="21"/>
        </w:rPr>
      </w:pPr>
      <w:r>
        <w:rPr>
          <w:color w:val="010101"/>
          <w:sz w:val="21"/>
        </w:rPr>
        <w:t>Although rarely encountered in practice, compound reversionary annuities are of theoretical interest  since  they  represent  the annuity counterpart of the compound contingent insurances dis­ cussed in the preceding chapter. Under such an annuity, pa.yments are made only in the event that the antecedent deaths have oc­ curred </w:t>
      </w:r>
      <w:r>
        <w:rPr>
          <w:rFonts w:ascii="Arial" w:hAnsi="Arial"/>
          <w:color w:val="010101"/>
          <w:sz w:val="20"/>
        </w:rPr>
        <w:t>in </w:t>
      </w:r>
      <w:r>
        <w:rPr>
          <w:color w:val="010101"/>
          <w:sz w:val="21"/>
        </w:rPr>
        <w:t>a prescribed order. Many functions of this type may be defined, and, since little classification is possible, each particular case should be approached  from first principies.</w:t>
      </w:r>
    </w:p>
    <w:p>
      <w:pPr>
        <w:spacing w:line="248" w:lineRule="exact" w:before="0"/>
        <w:ind w:left="118" w:right="0" w:firstLine="186"/>
        <w:jc w:val="both"/>
        <w:rPr>
          <w:sz w:val="21"/>
        </w:rPr>
      </w:pPr>
      <w:r>
        <w:rPr>
          <w:color w:val="010101"/>
          <w:w w:val="104"/>
          <w:sz w:val="21"/>
        </w:rPr>
        <w:t>The</w:t>
      </w:r>
      <w:r>
        <w:rPr>
          <w:color w:val="010101"/>
          <w:spacing w:val="25"/>
          <w:sz w:val="21"/>
        </w:rPr>
        <w:t> </w:t>
      </w:r>
      <w:r>
        <w:rPr>
          <w:color w:val="010101"/>
          <w:w w:val="96"/>
          <w:sz w:val="21"/>
        </w:rPr>
        <w:t>symbol</w:t>
      </w:r>
      <w:r>
        <w:rPr>
          <w:color w:val="010101"/>
          <w:sz w:val="21"/>
        </w:rPr>
        <w:t> </w:t>
      </w:r>
      <w:r>
        <w:rPr>
          <w:color w:val="010101"/>
          <w:spacing w:val="-23"/>
          <w:sz w:val="21"/>
        </w:rPr>
        <w:t> </w:t>
      </w:r>
      <w:r>
        <w:rPr>
          <w:rFonts w:ascii="Arial" w:hAnsi="Arial"/>
          <w:color w:val="010101"/>
          <w:w w:val="71"/>
          <w:sz w:val="30"/>
        </w:rPr>
        <w:t>a</w:t>
      </w:r>
      <w:r>
        <w:rPr>
          <w:rFonts w:ascii="Arial" w:hAnsi="Arial"/>
          <w:color w:val="010101"/>
          <w:spacing w:val="-5"/>
          <w:w w:val="71"/>
          <w:sz w:val="30"/>
        </w:rPr>
        <w:t>!</w:t>
      </w:r>
      <w:r>
        <w:rPr>
          <w:rFonts w:ascii="Arial" w:hAnsi="Arial"/>
          <w:color w:val="010101"/>
          <w:spacing w:val="-43"/>
          <w:w w:val="132"/>
          <w:sz w:val="30"/>
        </w:rPr>
        <w:t>,</w:t>
      </w:r>
      <w:r>
        <w:rPr>
          <w:rFonts w:ascii="Arial" w:hAnsi="Arial"/>
          <w:color w:val="010101"/>
          <w:w w:val="48"/>
          <w:sz w:val="30"/>
        </w:rPr>
        <w:t>iz</w:t>
      </w:r>
      <w:r>
        <w:rPr>
          <w:rFonts w:ascii="Arial" w:hAnsi="Arial"/>
          <w:color w:val="010101"/>
          <w:spacing w:val="-14"/>
          <w:sz w:val="30"/>
        </w:rPr>
        <w:t> </w:t>
      </w:r>
      <w:r>
        <w:rPr>
          <w:color w:val="010101"/>
          <w:w w:val="100"/>
          <w:sz w:val="21"/>
        </w:rPr>
        <w:t>denotes</w:t>
      </w:r>
      <w:r>
        <w:rPr>
          <w:color w:val="010101"/>
          <w:sz w:val="21"/>
        </w:rPr>
        <w:t> </w:t>
      </w:r>
      <w:r>
        <w:rPr>
          <w:color w:val="010101"/>
          <w:spacing w:val="-24"/>
          <w:sz w:val="21"/>
        </w:rPr>
        <w:t> </w:t>
      </w:r>
      <w:r>
        <w:rPr>
          <w:color w:val="010101"/>
          <w:w w:val="103"/>
          <w:sz w:val="21"/>
        </w:rPr>
        <w:t>the</w:t>
      </w:r>
      <w:r>
        <w:rPr>
          <w:color w:val="010101"/>
          <w:spacing w:val="22"/>
          <w:sz w:val="21"/>
        </w:rPr>
        <w:t> </w:t>
      </w:r>
      <w:r>
        <w:rPr>
          <w:color w:val="010101"/>
          <w:w w:val="98"/>
          <w:sz w:val="21"/>
        </w:rPr>
        <w:t>present</w:t>
      </w:r>
      <w:r>
        <w:rPr>
          <w:color w:val="010101"/>
          <w:sz w:val="21"/>
        </w:rPr>
        <w:t> </w:t>
      </w:r>
      <w:r>
        <w:rPr>
          <w:color w:val="010101"/>
          <w:spacing w:val="-9"/>
          <w:sz w:val="21"/>
        </w:rPr>
        <w:t> </w:t>
      </w:r>
      <w:r>
        <w:rPr>
          <w:color w:val="010101"/>
          <w:w w:val="99"/>
          <w:sz w:val="21"/>
        </w:rPr>
        <w:t>value</w:t>
      </w:r>
      <w:r>
        <w:rPr>
          <w:color w:val="010101"/>
          <w:spacing w:val="24"/>
          <w:sz w:val="21"/>
        </w:rPr>
        <w:t> </w:t>
      </w:r>
      <w:r>
        <w:rPr>
          <w:color w:val="010101"/>
          <w:w w:val="88"/>
          <w:sz w:val="21"/>
        </w:rPr>
        <w:t>of</w:t>
      </w:r>
      <w:r>
        <w:rPr>
          <w:color w:val="010101"/>
          <w:sz w:val="21"/>
        </w:rPr>
        <w:t> </w:t>
      </w:r>
      <w:r>
        <w:rPr>
          <w:color w:val="010101"/>
          <w:spacing w:val="-14"/>
          <w:sz w:val="21"/>
        </w:rPr>
        <w:t> </w:t>
      </w:r>
      <w:r>
        <w:rPr>
          <w:color w:val="010101"/>
          <w:w w:val="106"/>
          <w:sz w:val="21"/>
        </w:rPr>
        <w:t>a</w:t>
      </w:r>
      <w:r>
        <w:rPr>
          <w:color w:val="010101"/>
          <w:sz w:val="21"/>
        </w:rPr>
        <w:t> </w:t>
      </w:r>
      <w:r>
        <w:rPr>
          <w:color w:val="010101"/>
          <w:spacing w:val="-26"/>
          <w:sz w:val="21"/>
        </w:rPr>
        <w:t> </w:t>
      </w:r>
      <w:r>
        <w:rPr>
          <w:color w:val="010101"/>
          <w:w w:val="99"/>
          <w:sz w:val="21"/>
        </w:rPr>
        <w:t>continuous</w:t>
      </w:r>
      <w:r>
        <w:rPr>
          <w:color w:val="010101"/>
          <w:sz w:val="21"/>
        </w:rPr>
        <w:t> </w:t>
      </w:r>
      <w:r>
        <w:rPr>
          <w:color w:val="010101"/>
          <w:spacing w:val="-25"/>
          <w:sz w:val="21"/>
        </w:rPr>
        <w:t> </w:t>
      </w:r>
      <w:r>
        <w:rPr>
          <w:color w:val="010101"/>
          <w:w w:val="99"/>
          <w:sz w:val="21"/>
        </w:rPr>
        <w:t>an­</w:t>
      </w:r>
    </w:p>
    <w:p>
      <w:pPr>
        <w:spacing w:line="235" w:lineRule="auto" w:before="0"/>
        <w:ind w:left="115" w:right="165" w:firstLine="3"/>
        <w:jc w:val="left"/>
        <w:rPr>
          <w:sz w:val="21"/>
        </w:rPr>
      </w:pPr>
      <w:r>
        <w:rPr>
          <w:color w:val="010101"/>
          <w:sz w:val="21"/>
        </w:rPr>
        <w:t>nuity of 1 per annum payable to  </w:t>
      </w:r>
      <w:r>
        <w:rPr>
          <w:rFonts w:ascii="Arial"/>
          <w:i/>
          <w:color w:val="010101"/>
          <w:sz w:val="18"/>
        </w:rPr>
        <w:t>(x)  </w:t>
      </w:r>
      <w:r>
        <w:rPr>
          <w:color w:val="010101"/>
          <w:sz w:val="21"/>
        </w:rPr>
        <w:t>commencing upon  the death  of</w:t>
      </w:r>
      <w:r>
        <w:rPr>
          <w:color w:val="010101"/>
          <w:spacing w:val="12"/>
          <w:sz w:val="21"/>
        </w:rPr>
        <w:t> </w:t>
      </w:r>
      <w:r>
        <w:rPr>
          <w:rFonts w:ascii="Arial"/>
          <w:i/>
          <w:color w:val="010101"/>
          <w:spacing w:val="4"/>
          <w:sz w:val="19"/>
        </w:rPr>
        <w:t>(y</w:t>
      </w:r>
      <w:r>
        <w:rPr>
          <w:rFonts w:ascii="Arial"/>
          <w:i/>
          <w:color w:val="010101"/>
          <w:spacing w:val="-38"/>
          <w:sz w:val="19"/>
        </w:rPr>
        <w:t> </w:t>
      </w:r>
      <w:r>
        <w:rPr>
          <w:rFonts w:ascii="Arial"/>
          <w:i/>
          <w:color w:val="010101"/>
          <w:sz w:val="19"/>
        </w:rPr>
        <w:t>)</w:t>
      </w:r>
      <w:r>
        <w:rPr>
          <w:rFonts w:ascii="Arial"/>
          <w:i/>
          <w:color w:val="010101"/>
          <w:spacing w:val="10"/>
          <w:sz w:val="19"/>
        </w:rPr>
        <w:t> </w:t>
      </w:r>
      <w:r>
        <w:rPr>
          <w:color w:val="010101"/>
          <w:sz w:val="21"/>
        </w:rPr>
        <w:t>provided</w:t>
      </w:r>
      <w:r>
        <w:rPr>
          <w:color w:val="010101"/>
          <w:spacing w:val="17"/>
          <w:sz w:val="21"/>
        </w:rPr>
        <w:t> </w:t>
      </w:r>
      <w:r>
        <w:rPr>
          <w:color w:val="010101"/>
          <w:sz w:val="21"/>
        </w:rPr>
        <w:t>that</w:t>
      </w:r>
      <w:r>
        <w:rPr>
          <w:color w:val="010101"/>
          <w:spacing w:val="11"/>
          <w:sz w:val="21"/>
        </w:rPr>
        <w:t> </w:t>
      </w:r>
      <w:r>
        <w:rPr>
          <w:rFonts w:ascii="Arial"/>
          <w:i/>
          <w:color w:val="010101"/>
          <w:sz w:val="19"/>
        </w:rPr>
        <w:t>(</w:t>
      </w:r>
      <w:r>
        <w:rPr>
          <w:rFonts w:ascii="Arial"/>
          <w:i/>
          <w:color w:val="010101"/>
          <w:spacing w:val="-41"/>
          <w:sz w:val="19"/>
        </w:rPr>
        <w:t> </w:t>
      </w:r>
      <w:r>
        <w:rPr>
          <w:rFonts w:ascii="Arial"/>
          <w:i/>
          <w:color w:val="010101"/>
          <w:sz w:val="19"/>
        </w:rPr>
        <w:t>y</w:t>
      </w:r>
      <w:r>
        <w:rPr>
          <w:rFonts w:ascii="Arial"/>
          <w:i/>
          <w:color w:val="010101"/>
          <w:spacing w:val="-36"/>
          <w:sz w:val="19"/>
        </w:rPr>
        <w:t> </w:t>
      </w:r>
      <w:r>
        <w:rPr>
          <w:rFonts w:ascii="Arial"/>
          <w:i/>
          <w:color w:val="010101"/>
          <w:sz w:val="19"/>
        </w:rPr>
        <w:t>)</w:t>
      </w:r>
      <w:r>
        <w:rPr>
          <w:rFonts w:ascii="Arial"/>
          <w:i/>
          <w:color w:val="010101"/>
          <w:spacing w:val="13"/>
          <w:sz w:val="19"/>
        </w:rPr>
        <w:t> </w:t>
      </w:r>
      <w:r>
        <w:rPr>
          <w:color w:val="010101"/>
          <w:sz w:val="21"/>
        </w:rPr>
        <w:t>dies</w:t>
      </w:r>
      <w:r>
        <w:rPr>
          <w:color w:val="010101"/>
          <w:spacing w:val="-14"/>
          <w:sz w:val="21"/>
        </w:rPr>
        <w:t> </w:t>
      </w:r>
      <w:r>
        <w:rPr>
          <w:color w:val="010101"/>
          <w:sz w:val="21"/>
        </w:rPr>
        <w:t>before</w:t>
      </w:r>
      <w:r>
        <w:rPr>
          <w:color w:val="010101"/>
          <w:spacing w:val="2"/>
          <w:sz w:val="21"/>
        </w:rPr>
        <w:t> </w:t>
      </w:r>
      <w:r>
        <w:rPr>
          <w:color w:val="010101"/>
          <w:sz w:val="21"/>
        </w:rPr>
        <w:t>a</w:t>
      </w:r>
      <w:r>
        <w:rPr>
          <w:color w:val="010101"/>
          <w:spacing w:val="-9"/>
          <w:sz w:val="21"/>
        </w:rPr>
        <w:t> </w:t>
      </w:r>
      <w:r>
        <w:rPr>
          <w:color w:val="010101"/>
          <w:sz w:val="21"/>
        </w:rPr>
        <w:t>third</w:t>
      </w:r>
      <w:r>
        <w:rPr>
          <w:color w:val="010101"/>
          <w:spacing w:val="-1"/>
          <w:sz w:val="21"/>
        </w:rPr>
        <w:t> </w:t>
      </w:r>
      <w:r>
        <w:rPr>
          <w:color w:val="010101"/>
          <w:sz w:val="21"/>
        </w:rPr>
        <w:t>life (z).</w:t>
      </w:r>
      <w:r>
        <w:rPr>
          <w:color w:val="010101"/>
          <w:spacing w:val="-15"/>
          <w:sz w:val="21"/>
        </w:rPr>
        <w:t> </w:t>
      </w:r>
      <w:r>
        <w:rPr>
          <w:color w:val="010101"/>
          <w:sz w:val="21"/>
        </w:rPr>
        <w:t>This</w:t>
      </w:r>
      <w:r>
        <w:rPr>
          <w:color w:val="010101"/>
          <w:spacing w:val="-17"/>
          <w:sz w:val="21"/>
        </w:rPr>
        <w:t> </w:t>
      </w:r>
      <w:r>
        <w:rPr>
          <w:color w:val="010101"/>
          <w:sz w:val="21"/>
        </w:rPr>
        <w:t>benefit</w:t>
      </w:r>
      <w:r>
        <w:rPr>
          <w:color w:val="010101"/>
          <w:spacing w:val="3"/>
          <w:sz w:val="21"/>
        </w:rPr>
        <w:t> </w:t>
      </w:r>
      <w:r>
        <w:rPr>
          <w:color w:val="010101"/>
          <w:sz w:val="21"/>
        </w:rPr>
        <w:t>may</w:t>
      </w:r>
    </w:p>
    <w:p>
      <w:pPr>
        <w:spacing w:after="0" w:line="235" w:lineRule="auto"/>
        <w:jc w:val="left"/>
        <w:rPr>
          <w:sz w:val="21"/>
        </w:rPr>
        <w:sectPr>
          <w:pgSz w:w="7200" w:h="11340"/>
          <w:pgMar w:top="500" w:bottom="280" w:left="660" w:right="560"/>
        </w:sectPr>
      </w:pPr>
    </w:p>
    <w:p>
      <w:pPr>
        <w:tabs>
          <w:tab w:pos="1332" w:val="left" w:leader="none"/>
        </w:tabs>
        <w:spacing w:before="49"/>
        <w:ind w:left="109" w:right="0" w:firstLine="0"/>
        <w:jc w:val="both"/>
        <w:rPr>
          <w:rFonts w:ascii="Courier New"/>
          <w:sz w:val="22"/>
        </w:rPr>
      </w:pPr>
      <w:r>
        <w:rPr>
          <w:color w:val="030303"/>
          <w:w w:val="105"/>
          <w:sz w:val="15"/>
        </w:rPr>
        <w:t>SEC. </w:t>
      </w:r>
      <w:r>
        <w:rPr>
          <w:color w:val="030303"/>
          <w:spacing w:val="15"/>
          <w:w w:val="105"/>
          <w:sz w:val="15"/>
        </w:rPr>
        <w:t> </w:t>
      </w:r>
      <w:r>
        <w:rPr>
          <w:rFonts w:ascii="Arial"/>
          <w:b/>
          <w:color w:val="030303"/>
          <w:w w:val="105"/>
          <w:sz w:val="19"/>
        </w:rPr>
        <w:t>7]</w:t>
        <w:tab/>
      </w:r>
      <w:r>
        <w:rPr>
          <w:b/>
          <w:color w:val="030303"/>
          <w:w w:val="105"/>
          <w:position w:val="1"/>
          <w:sz w:val="14"/>
        </w:rPr>
        <w:t>COMPOUND   REVERSIONARY    ANNUITIES                          </w:t>
      </w:r>
      <w:r>
        <w:rPr>
          <w:b/>
          <w:color w:val="030303"/>
          <w:spacing w:val="16"/>
          <w:w w:val="105"/>
          <w:position w:val="1"/>
          <w:sz w:val="14"/>
        </w:rPr>
        <w:t> </w:t>
      </w:r>
      <w:r>
        <w:rPr>
          <w:rFonts w:ascii="Courier New"/>
          <w:color w:val="030303"/>
          <w:spacing w:val="-21"/>
          <w:w w:val="105"/>
          <w:position w:val="1"/>
          <w:sz w:val="22"/>
        </w:rPr>
        <w:t>263</w:t>
      </w:r>
    </w:p>
    <w:p>
      <w:pPr>
        <w:pStyle w:val="BodyText"/>
        <w:spacing w:before="10"/>
        <w:rPr>
          <w:rFonts w:ascii="Courier New"/>
        </w:rPr>
      </w:pPr>
    </w:p>
    <w:p>
      <w:pPr>
        <w:pStyle w:val="BodyText"/>
        <w:spacing w:line="237" w:lineRule="auto" w:before="1"/>
        <w:ind w:left="109" w:right="138"/>
        <w:jc w:val="both"/>
      </w:pPr>
      <w:r>
        <w:rPr>
          <w:color w:val="030303"/>
          <w:w w:val="105"/>
        </w:rPr>
        <w:t>be regarded as a.n insurance contingent on </w:t>
      </w:r>
      <w:r>
        <w:rPr>
          <w:rFonts w:ascii="Arial"/>
          <w:i/>
          <w:color w:val="030303"/>
          <w:w w:val="105"/>
          <w:sz w:val="18"/>
        </w:rPr>
        <w:t>(y) </w:t>
      </w:r>
      <w:r>
        <w:rPr>
          <w:color w:val="030303"/>
          <w:w w:val="105"/>
        </w:rPr>
        <w:t>being the first of the three lives </w:t>
      </w:r>
      <w:r>
        <w:rPr>
          <w:color w:val="030303"/>
          <w:w w:val="105"/>
          <w:sz w:val="22"/>
        </w:rPr>
        <w:t>to </w:t>
      </w:r>
      <w:r>
        <w:rPr>
          <w:color w:val="030303"/>
          <w:w w:val="105"/>
        </w:rPr>
        <w:t>die, with the amount of insurance at any time being equal </w:t>
      </w:r>
      <w:r>
        <w:rPr>
          <w:color w:val="030303"/>
          <w:w w:val="105"/>
          <w:sz w:val="22"/>
        </w:rPr>
        <w:t>to </w:t>
      </w:r>
      <w:r>
        <w:rPr>
          <w:color w:val="030303"/>
          <w:w w:val="105"/>
        </w:rPr>
        <w:t>the present value of a continuous annuity at (x)'s attained age. </w:t>
      </w:r>
      <w:r>
        <w:rPr>
          <w:rFonts w:ascii="Arial"/>
          <w:color w:val="030303"/>
          <w:w w:val="105"/>
        </w:rPr>
        <w:t>W</w:t>
      </w:r>
      <w:r>
        <w:rPr>
          <w:color w:val="030303"/>
          <w:w w:val="105"/>
        </w:rPr>
        <w:t>e thus have</w:t>
      </w:r>
    </w:p>
    <w:p>
      <w:pPr>
        <w:pStyle w:val="BodyText"/>
        <w:spacing w:before="135"/>
        <w:ind w:left="1753"/>
      </w:pPr>
      <w:r>
        <w:rPr>
          <w:position w:val="-14"/>
        </w:rPr>
        <w:drawing>
          <wp:inline distT="0" distB="0" distL="0" distR="0">
            <wp:extent cx="1536191" cy="283463"/>
            <wp:effectExtent l="0" t="0" r="0" b="0"/>
            <wp:docPr id="629" name="image320.png" descr=""/>
            <wp:cNvGraphicFramePr>
              <a:graphicFrameLocks noChangeAspect="1"/>
            </wp:cNvGraphicFramePr>
            <a:graphic>
              <a:graphicData uri="http://schemas.openxmlformats.org/drawingml/2006/picture">
                <pic:pic>
                  <pic:nvPicPr>
                    <pic:cNvPr id="630" name="image320.png"/>
                    <pic:cNvPicPr/>
                  </pic:nvPicPr>
                  <pic:blipFill>
                    <a:blip r:embed="rId324" cstate="print"/>
                    <a:stretch>
                      <a:fillRect/>
                    </a:stretch>
                  </pic:blipFill>
                  <pic:spPr>
                    <a:xfrm>
                      <a:off x="0" y="0"/>
                      <a:ext cx="1536191" cy="283463"/>
                    </a:xfrm>
                    <a:prstGeom prst="rect">
                      <a:avLst/>
                    </a:prstGeom>
                  </pic:spPr>
                </pic:pic>
              </a:graphicData>
            </a:graphic>
          </wp:inline>
        </w:drawing>
      </w:r>
      <w:r>
        <w:rPr>
          <w:position w:val="-14"/>
        </w:rPr>
      </w:r>
      <w:r>
        <w:rPr/>
        <w:t>                  </w:t>
      </w:r>
      <w:r>
        <w:rPr>
          <w:color w:val="030303"/>
        </w:rPr>
        <w:t>(</w:t>
      </w:r>
      <w:r>
        <w:rPr>
          <w:color w:val="030303"/>
          <w:spacing w:val="-20"/>
        </w:rPr>
        <w:t> </w:t>
      </w:r>
      <w:r>
        <w:rPr>
          <w:color w:val="030303"/>
        </w:rPr>
        <w:t>13.13a)</w:t>
      </w:r>
    </w:p>
    <w:p>
      <w:pPr>
        <w:pStyle w:val="BodyText"/>
        <w:spacing w:line="252" w:lineRule="auto" w:before="145"/>
        <w:ind w:left="116" w:right="125"/>
        <w:jc w:val="both"/>
      </w:pPr>
      <w:r>
        <w:rPr>
          <w:color w:val="030303"/>
        </w:rPr>
        <w:t>An equivalent definite integral may be written by considering the function from another point of  view.  Annuity  payments  will  be made at time </w:t>
      </w:r>
      <w:r>
        <w:rPr>
          <w:rFonts w:ascii="Arial" w:hAnsi="Arial"/>
          <w:i/>
          <w:color w:val="030303"/>
          <w:sz w:val="18"/>
        </w:rPr>
        <w:t>t </w:t>
      </w:r>
      <w:r>
        <w:rPr>
          <w:color w:val="030303"/>
        </w:rPr>
        <w:t>provided that (x) is then alive and that </w:t>
      </w:r>
      <w:r>
        <w:rPr>
          <w:rFonts w:ascii="Arial" w:hAnsi="Arial"/>
          <w:i/>
          <w:color w:val="030303"/>
          <w:sz w:val="18"/>
        </w:rPr>
        <w:t>(y) </w:t>
      </w:r>
      <w:r>
        <w:rPr>
          <w:color w:val="030303"/>
        </w:rPr>
        <w:t>has pre­ viously  died  before  </w:t>
      </w:r>
      <w:r>
        <w:rPr>
          <w:rFonts w:ascii="Arial" w:hAnsi="Arial"/>
          <w:i/>
          <w:color w:val="030303"/>
          <w:sz w:val="18"/>
        </w:rPr>
        <w:t>(z). </w:t>
      </w:r>
      <w:r>
        <w:rPr>
          <w:color w:val="030303"/>
        </w:rPr>
        <w:t>We may  thus write</w:t>
      </w:r>
    </w:p>
    <w:p>
      <w:pPr>
        <w:pStyle w:val="BodyText"/>
        <w:spacing w:before="125"/>
        <w:ind w:left="1983"/>
      </w:pPr>
      <w:r>
        <w:rPr>
          <w:position w:val="-16"/>
        </w:rPr>
        <w:drawing>
          <wp:inline distT="0" distB="0" distL="0" distR="0">
            <wp:extent cx="1261872" cy="292608"/>
            <wp:effectExtent l="0" t="0" r="0" b="0"/>
            <wp:docPr id="631" name="image321.png" descr=""/>
            <wp:cNvGraphicFramePr>
              <a:graphicFrameLocks noChangeAspect="1"/>
            </wp:cNvGraphicFramePr>
            <a:graphic>
              <a:graphicData uri="http://schemas.openxmlformats.org/drawingml/2006/picture">
                <pic:pic>
                  <pic:nvPicPr>
                    <pic:cNvPr id="632" name="image321.png"/>
                    <pic:cNvPicPr/>
                  </pic:nvPicPr>
                  <pic:blipFill>
                    <a:blip r:embed="rId325" cstate="print"/>
                    <a:stretch>
                      <a:fillRect/>
                    </a:stretch>
                  </pic:blipFill>
                  <pic:spPr>
                    <a:xfrm>
                      <a:off x="0" y="0"/>
                      <a:ext cx="1261872" cy="292608"/>
                    </a:xfrm>
                    <a:prstGeom prst="rect">
                      <a:avLst/>
                    </a:prstGeom>
                  </pic:spPr>
                </pic:pic>
              </a:graphicData>
            </a:graphic>
          </wp:inline>
        </w:drawing>
      </w:r>
      <w:r>
        <w:rPr>
          <w:position w:val="-16"/>
        </w:rPr>
      </w:r>
      <w:r>
        <w:rPr/>
        <w:t>                      </w:t>
      </w:r>
      <w:r>
        <w:rPr>
          <w:color w:val="030303"/>
          <w:w w:val="105"/>
        </w:rPr>
        <w:t>(13.13b)</w:t>
      </w:r>
    </w:p>
    <w:p>
      <w:pPr>
        <w:pStyle w:val="BodyText"/>
        <w:spacing w:line="218" w:lineRule="auto" w:before="77"/>
        <w:ind w:left="123" w:right="125" w:firstLine="197"/>
        <w:jc w:val="both"/>
      </w:pPr>
      <w:r>
        <w:rPr>
          <w:color w:val="030303"/>
          <w:w w:val="101"/>
        </w:rPr>
        <w:t>When </w:t>
      </w:r>
      <w:r>
        <w:rPr>
          <w:color w:val="030303"/>
          <w:spacing w:val="-54"/>
          <w:w w:val="99"/>
          <w:sz w:val="25"/>
        </w:rPr>
        <w:t>a!ziz</w:t>
      </w:r>
      <w:r>
        <w:rPr>
          <w:color w:val="030303"/>
          <w:w w:val="99"/>
          <w:sz w:val="25"/>
        </w:rPr>
        <w:t>  </w:t>
      </w:r>
      <w:r>
        <w:rPr>
          <w:color w:val="030303"/>
          <w:w w:val="101"/>
        </w:rPr>
        <w:t>is  </w:t>
      </w:r>
      <w:r>
        <w:rPr>
          <w:color w:val="030303"/>
          <w:w w:val="101"/>
        </w:rPr>
        <w:t>known,  </w:t>
      </w:r>
      <w:r>
        <w:rPr>
          <w:color w:val="030303"/>
          <w:w w:val="108"/>
        </w:rPr>
        <w:t>the  </w:t>
      </w:r>
      <w:r>
        <w:rPr>
          <w:color w:val="030303"/>
          <w:w w:val="102"/>
        </w:rPr>
        <w:t>value  </w:t>
      </w:r>
      <w:r>
        <w:rPr>
          <w:color w:val="030303"/>
          <w:w w:val="89"/>
        </w:rPr>
        <w:t>of  </w:t>
      </w:r>
      <w:r>
        <w:rPr>
          <w:color w:val="030303"/>
          <w:spacing w:val="-11"/>
          <w:w w:val="84"/>
          <w:sz w:val="25"/>
        </w:rPr>
        <w:t>a</w:t>
      </w:r>
      <w:r>
        <w:rPr>
          <w:color w:val="030303"/>
          <w:spacing w:val="-11"/>
          <w:w w:val="84"/>
          <w:position w:val="-3"/>
          <w:sz w:val="11"/>
        </w:rPr>
        <w:t>11</w:t>
      </w:r>
      <w:r>
        <w:rPr>
          <w:color w:val="030303"/>
          <w:spacing w:val="-11"/>
          <w:w w:val="84"/>
          <w:sz w:val="29"/>
        </w:rPr>
        <w:t>!</w:t>
      </w:r>
      <w:r>
        <w:rPr>
          <w:color w:val="030303"/>
          <w:spacing w:val="-11"/>
          <w:w w:val="84"/>
          <w:position w:val="-2"/>
          <w:sz w:val="25"/>
        </w:rPr>
        <w:t>1</w:t>
      </w:r>
      <w:r>
        <w:rPr>
          <w:color w:val="030303"/>
          <w:spacing w:val="-11"/>
          <w:w w:val="84"/>
          <w:sz w:val="12"/>
        </w:rPr>
        <w:t>x</w:t>
      </w:r>
      <w:r>
        <w:rPr>
          <w:color w:val="030303"/>
          <w:w w:val="84"/>
          <w:sz w:val="12"/>
        </w:rPr>
        <w:t>  </w:t>
      </w:r>
      <w:r>
        <w:rPr>
          <w:color w:val="030303"/>
          <w:w w:val="102"/>
        </w:rPr>
        <w:t>may  </w:t>
      </w:r>
      <w:r>
        <w:rPr>
          <w:color w:val="030303"/>
          <w:w w:val="101"/>
        </w:rPr>
        <w:t>be </w:t>
      </w:r>
      <w:r>
        <w:rPr>
          <w:color w:val="030303"/>
          <w:w w:val="103"/>
        </w:rPr>
        <w:t>obtained  </w:t>
      </w:r>
      <w:r>
        <w:rPr>
          <w:color w:val="030303"/>
          <w:w w:val="100"/>
        </w:rPr>
        <w:t>from </w:t>
      </w:r>
      <w:r>
        <w:rPr>
          <w:color w:val="030303"/>
          <w:w w:val="105"/>
        </w:rPr>
        <w:t>the relation</w:t>
      </w:r>
    </w:p>
    <w:p>
      <w:pPr>
        <w:spacing w:before="116"/>
        <w:ind w:left="2070" w:right="0" w:firstLine="0"/>
        <w:jc w:val="left"/>
        <w:rPr>
          <w:rFonts w:ascii="Arial"/>
          <w:sz w:val="17"/>
        </w:rPr>
      </w:pPr>
      <w:r>
        <w:rPr>
          <w:position w:val="-4"/>
        </w:rPr>
        <w:drawing>
          <wp:inline distT="0" distB="0" distL="0" distR="0">
            <wp:extent cx="1161288" cy="155448"/>
            <wp:effectExtent l="0" t="0" r="0" b="0"/>
            <wp:docPr id="633" name="image322.png" descr=""/>
            <wp:cNvGraphicFramePr>
              <a:graphicFrameLocks noChangeAspect="1"/>
            </wp:cNvGraphicFramePr>
            <a:graphic>
              <a:graphicData uri="http://schemas.openxmlformats.org/drawingml/2006/picture">
                <pic:pic>
                  <pic:nvPicPr>
                    <pic:cNvPr id="634" name="image322.png"/>
                    <pic:cNvPicPr/>
                  </pic:nvPicPr>
                  <pic:blipFill>
                    <a:blip r:embed="rId326" cstate="print"/>
                    <a:stretch>
                      <a:fillRect/>
                    </a:stretch>
                  </pic:blipFill>
                  <pic:spPr>
                    <a:xfrm>
                      <a:off x="0" y="0"/>
                      <a:ext cx="1161288" cy="155448"/>
                    </a:xfrm>
                    <a:prstGeom prst="rect">
                      <a:avLst/>
                    </a:prstGeom>
                  </pic:spPr>
                </pic:pic>
              </a:graphicData>
            </a:graphic>
          </wp:inline>
        </w:drawing>
      </w:r>
      <w:r>
        <w:rPr>
          <w:position w:val="-4"/>
        </w:rPr>
      </w:r>
      <w:r>
        <w:rPr>
          <w:sz w:val="20"/>
        </w:rPr>
        <w:t>                          </w:t>
      </w:r>
      <w:r>
        <w:rPr>
          <w:rFonts w:ascii="Arial"/>
          <w:color w:val="030303"/>
          <w:sz w:val="17"/>
        </w:rPr>
        <w:t>(13.14)</w:t>
      </w:r>
    </w:p>
    <w:p>
      <w:pPr>
        <w:pStyle w:val="BodyText"/>
        <w:spacing w:line="244" w:lineRule="auto" w:before="78"/>
        <w:ind w:left="120" w:right="126" w:firstLine="193"/>
        <w:jc w:val="both"/>
      </w:pPr>
      <w:r>
        <w:rPr/>
        <w:drawing>
          <wp:anchor distT="0" distB="0" distL="0" distR="0" allowOverlap="1" layoutInCell="1" locked="0" behindDoc="0" simplePos="0" relativeHeight="21160">
            <wp:simplePos x="0" y="0"/>
            <wp:positionH relativeFrom="page">
              <wp:posOffset>1325880</wp:posOffset>
            </wp:positionH>
            <wp:positionV relativeFrom="paragraph">
              <wp:posOffset>621728</wp:posOffset>
            </wp:positionV>
            <wp:extent cx="2011680" cy="292607"/>
            <wp:effectExtent l="0" t="0" r="0" b="0"/>
            <wp:wrapTopAndBottom/>
            <wp:docPr id="635" name="image323.png" descr=""/>
            <wp:cNvGraphicFramePr>
              <a:graphicFrameLocks noChangeAspect="1"/>
            </wp:cNvGraphicFramePr>
            <a:graphic>
              <a:graphicData uri="http://schemas.openxmlformats.org/drawingml/2006/picture">
                <pic:pic>
                  <pic:nvPicPr>
                    <pic:cNvPr id="636" name="image323.png"/>
                    <pic:cNvPicPr/>
                  </pic:nvPicPr>
                  <pic:blipFill>
                    <a:blip r:embed="rId327" cstate="print"/>
                    <a:stretch>
                      <a:fillRect/>
                    </a:stretch>
                  </pic:blipFill>
                  <pic:spPr>
                    <a:xfrm>
                      <a:off x="0" y="0"/>
                      <a:ext cx="2011680" cy="292607"/>
                    </a:xfrm>
                    <a:prstGeom prst="rect">
                      <a:avLst/>
                    </a:prstGeom>
                  </pic:spPr>
                </pic:pic>
              </a:graphicData>
            </a:graphic>
          </wp:anchor>
        </w:drawing>
      </w:r>
      <w:r>
        <w:rPr>
          <w:color w:val="030303"/>
        </w:rPr>
        <w:t>The symbol </w:t>
      </w:r>
      <w:r>
        <w:rPr>
          <w:color w:val="030303"/>
          <w:sz w:val="25"/>
        </w:rPr>
        <w:t>a;zlz </w:t>
      </w:r>
      <w:r>
        <w:rPr>
          <w:color w:val="030303"/>
        </w:rPr>
        <w:t>denotes the present value of an annuity to </w:t>
      </w:r>
      <w:r>
        <w:rPr>
          <w:rFonts w:ascii="Arial"/>
          <w:i/>
          <w:color w:val="030303"/>
          <w:sz w:val="18"/>
        </w:rPr>
        <w:t>(x ) </w:t>
      </w:r>
      <w:r>
        <w:rPr>
          <w:color w:val="030303"/>
        </w:rPr>
        <w:t>commencing upon the death of </w:t>
      </w:r>
      <w:r>
        <w:rPr>
          <w:color w:val="030303"/>
          <w:sz w:val="18"/>
        </w:rPr>
        <w:t>(y) </w:t>
      </w:r>
      <w:r>
        <w:rPr>
          <w:color w:val="030303"/>
        </w:rPr>
        <w:t>provided that </w:t>
      </w:r>
      <w:r>
        <w:rPr>
          <w:rFonts w:ascii="Arial"/>
          <w:i/>
          <w:color w:val="030303"/>
          <w:sz w:val="18"/>
        </w:rPr>
        <w:t>( y ) </w:t>
      </w:r>
      <w:r>
        <w:rPr>
          <w:color w:val="030303"/>
        </w:rPr>
        <w:t>dies af ter </w:t>
      </w:r>
      <w:r>
        <w:rPr>
          <w:rFonts w:ascii="Arial"/>
          <w:i/>
          <w:color w:val="030303"/>
          <w:sz w:val="18"/>
        </w:rPr>
        <w:t>( z). </w:t>
      </w:r>
      <w:r>
        <w:rPr>
          <w:color w:val="030303"/>
        </w:rPr>
        <w:t>This  value  is  given by</w:t>
      </w:r>
    </w:p>
    <w:p>
      <w:pPr>
        <w:spacing w:after="0" w:line="244" w:lineRule="auto"/>
        <w:jc w:val="both"/>
        <w:sectPr>
          <w:pgSz w:w="7200" w:h="11340"/>
          <w:pgMar w:top="520" w:bottom="280" w:left="680" w:right="560"/>
        </w:sectPr>
      </w:pPr>
    </w:p>
    <w:p>
      <w:pPr>
        <w:pStyle w:val="BodyText"/>
      </w:pPr>
    </w:p>
    <w:p>
      <w:pPr>
        <w:pStyle w:val="BodyText"/>
        <w:spacing w:before="9"/>
        <w:rPr>
          <w:sz w:val="19"/>
        </w:rPr>
      </w:pPr>
    </w:p>
    <w:p>
      <w:pPr>
        <w:pStyle w:val="BodyText"/>
        <w:ind w:left="120" w:right="-18"/>
      </w:pPr>
      <w:r>
        <w:rPr/>
        <w:pict>
          <v:shape style="position:absolute;margin-left:170.0448pt;margin-top:-16.880095pt;width:7.5pt;height:5.5pt;mso-position-horizontal-relative:page;mso-position-vertical-relative:paragraph;z-index:-714880" type="#_x0000_t202" filled="false" stroked="false">
            <v:textbox inset="0,0,0,0">
              <w:txbxContent>
                <w:p>
                  <w:pPr>
                    <w:spacing w:line="110" w:lineRule="exact" w:before="0"/>
                    <w:ind w:left="0" w:right="-17" w:firstLine="0"/>
                    <w:jc w:val="left"/>
                    <w:rPr>
                      <w:rFonts w:ascii="Arial"/>
                      <w:sz w:val="11"/>
                    </w:rPr>
                  </w:pPr>
                  <w:r>
                    <w:rPr>
                      <w:rFonts w:ascii="Arial"/>
                      <w:color w:val="030303"/>
                      <w:w w:val="150"/>
                      <w:sz w:val="11"/>
                    </w:rPr>
                    <w:t>-1</w:t>
                  </w:r>
                </w:p>
              </w:txbxContent>
            </v:textbox>
            <w10:wrap type="none"/>
          </v:shape>
        </w:pict>
      </w:r>
      <w:r>
        <w:rPr>
          <w:color w:val="030303"/>
          <w:w w:val="110"/>
        </w:rPr>
        <w:t>The</w:t>
      </w:r>
      <w:r>
        <w:rPr>
          <w:color w:val="030303"/>
          <w:spacing w:val="-17"/>
          <w:w w:val="110"/>
        </w:rPr>
        <w:t> </w:t>
      </w:r>
      <w:r>
        <w:rPr>
          <w:color w:val="030303"/>
          <w:w w:val="110"/>
        </w:rPr>
        <w:t>relation</w:t>
      </w:r>
    </w:p>
    <w:p>
      <w:pPr>
        <w:pStyle w:val="BodyText"/>
        <w:spacing w:before="2"/>
        <w:rPr>
          <w:sz w:val="9"/>
        </w:rPr>
      </w:pPr>
      <w:r>
        <w:rPr/>
        <w:br w:type="column"/>
      </w:r>
      <w:r>
        <w:rPr>
          <w:sz w:val="9"/>
        </w:rPr>
      </w:r>
    </w:p>
    <w:p>
      <w:pPr>
        <w:spacing w:line="100" w:lineRule="exact" w:before="0"/>
        <w:ind w:left="389" w:right="0" w:firstLine="0"/>
        <w:jc w:val="left"/>
        <w:rPr>
          <w:rFonts w:ascii="Arial"/>
          <w:sz w:val="11"/>
        </w:rPr>
      </w:pPr>
      <w:r>
        <w:rPr>
          <w:rFonts w:ascii="Arial"/>
          <w:color w:val="030303"/>
          <w:w w:val="189"/>
          <w:sz w:val="11"/>
        </w:rPr>
        <w:t>-</w:t>
      </w:r>
    </w:p>
    <w:p>
      <w:pPr>
        <w:spacing w:line="134" w:lineRule="exact" w:before="0"/>
        <w:ind w:left="349" w:right="-13" w:firstLine="0"/>
        <w:jc w:val="left"/>
        <w:rPr>
          <w:rFonts w:ascii="Arial"/>
          <w:b/>
          <w:sz w:val="14"/>
        </w:rPr>
      </w:pPr>
      <w:r>
        <w:rPr/>
        <w:pict>
          <v:shape style="position:absolute;margin-left:126.278pt;margin-top:-5.242957pt;width:6.6pt;height:13pt;mso-position-horizontal-relative:page;mso-position-vertical-relative:paragraph;z-index:21208" type="#_x0000_t202" filled="false" stroked="false">
            <v:textbox inset="0,0,0,0">
              <w:txbxContent>
                <w:p>
                  <w:pPr>
                    <w:spacing w:line="260" w:lineRule="exact" w:before="0"/>
                    <w:ind w:left="0" w:right="0" w:firstLine="0"/>
                    <w:jc w:val="left"/>
                    <w:rPr>
                      <w:sz w:val="26"/>
                    </w:rPr>
                  </w:pPr>
                  <w:r>
                    <w:rPr>
                      <w:color w:val="030303"/>
                      <w:w w:val="89"/>
                      <w:sz w:val="26"/>
                    </w:rPr>
                    <w:t>=</w:t>
                  </w:r>
                </w:p>
              </w:txbxContent>
            </v:textbox>
            <w10:wrap type="none"/>
          </v:shape>
        </w:pict>
      </w:r>
      <w:r>
        <w:rPr>
          <w:rFonts w:ascii="Arial"/>
          <w:b/>
          <w:color w:val="030303"/>
          <w:w w:val="75"/>
          <w:sz w:val="14"/>
        </w:rPr>
        <w:t>&lt;liti.i:</w:t>
      </w:r>
    </w:p>
    <w:p>
      <w:pPr>
        <w:tabs>
          <w:tab w:pos="2825" w:val="left" w:leader="none"/>
        </w:tabs>
        <w:spacing w:before="94"/>
        <w:ind w:left="49" w:right="0" w:firstLine="0"/>
        <w:jc w:val="left"/>
        <w:rPr>
          <w:sz w:val="20"/>
        </w:rPr>
      </w:pPr>
      <w:r>
        <w:rPr/>
        <w:br w:type="column"/>
      </w:r>
      <w:r>
        <w:rPr>
          <w:rFonts w:ascii="Arial" w:hAnsi="Arial"/>
          <w:color w:val="030303"/>
          <w:w w:val="335"/>
          <w:position w:val="-2"/>
          <w:sz w:val="14"/>
        </w:rPr>
        <w:t>-</w:t>
      </w:r>
      <w:r>
        <w:rPr>
          <w:rFonts w:ascii="Arial" w:hAnsi="Arial"/>
          <w:color w:val="030303"/>
          <w:spacing w:val="-82"/>
          <w:w w:val="335"/>
          <w:position w:val="-2"/>
          <w:sz w:val="14"/>
        </w:rPr>
        <w:t> </w:t>
      </w:r>
      <w:r>
        <w:rPr>
          <w:i/>
          <w:color w:val="030303"/>
          <w:w w:val="110"/>
          <w:position w:val="-2"/>
          <w:sz w:val="14"/>
        </w:rPr>
        <w:t>ayzl x</w:t>
      </w:r>
      <w:r>
        <w:rPr>
          <w:i/>
          <w:color w:val="030303"/>
          <w:spacing w:val="32"/>
          <w:w w:val="110"/>
          <w:position w:val="-2"/>
          <w:sz w:val="14"/>
        </w:rPr>
        <w:t> </w:t>
      </w:r>
      <w:r>
        <w:rPr>
          <w:color w:val="030303"/>
          <w:w w:val="95"/>
          <w:position w:val="-2"/>
          <w:sz w:val="14"/>
        </w:rPr>
        <w:t>•</w:t>
        <w:tab/>
      </w:r>
      <w:r>
        <w:rPr>
          <w:color w:val="030303"/>
          <w:sz w:val="20"/>
        </w:rPr>
        <w:t>(</w:t>
      </w:r>
      <w:r>
        <w:rPr>
          <w:color w:val="030303"/>
          <w:spacing w:val="-23"/>
          <w:sz w:val="20"/>
        </w:rPr>
        <w:t> </w:t>
      </w:r>
      <w:r>
        <w:rPr>
          <w:color w:val="030303"/>
          <w:sz w:val="20"/>
        </w:rPr>
        <w:t>13.15)</w:t>
      </w:r>
    </w:p>
    <w:p>
      <w:pPr>
        <w:spacing w:after="0"/>
        <w:jc w:val="left"/>
        <w:rPr>
          <w:sz w:val="20"/>
        </w:rPr>
        <w:sectPr>
          <w:type w:val="continuous"/>
          <w:pgSz w:w="7200" w:h="11340"/>
          <w:pgMar w:top="1100" w:bottom="0" w:left="680" w:right="560"/>
          <w:cols w:num="3" w:equalWidth="0">
            <w:col w:w="1174" w:space="552"/>
            <w:col w:w="634" w:space="40"/>
            <w:col w:w="3560"/>
          </w:cols>
        </w:sectPr>
      </w:pPr>
    </w:p>
    <w:p>
      <w:pPr>
        <w:pStyle w:val="BodyText"/>
        <w:spacing w:before="3"/>
        <w:rPr>
          <w:sz w:val="10"/>
        </w:rPr>
      </w:pPr>
    </w:p>
    <w:p>
      <w:pPr>
        <w:pStyle w:val="BodyText"/>
        <w:ind w:left="2171"/>
      </w:pPr>
      <w:r>
        <w:rPr/>
        <w:drawing>
          <wp:inline distT="0" distB="0" distL="0" distR="0">
            <wp:extent cx="1051559" cy="155448"/>
            <wp:effectExtent l="0" t="0" r="0" b="0"/>
            <wp:docPr id="637" name="image324.png" descr=""/>
            <wp:cNvGraphicFramePr>
              <a:graphicFrameLocks noChangeAspect="1"/>
            </wp:cNvGraphicFramePr>
            <a:graphic>
              <a:graphicData uri="http://schemas.openxmlformats.org/drawingml/2006/picture">
                <pic:pic>
                  <pic:nvPicPr>
                    <pic:cNvPr id="638" name="image324.png"/>
                    <pic:cNvPicPr/>
                  </pic:nvPicPr>
                  <pic:blipFill>
                    <a:blip r:embed="rId328" cstate="print"/>
                    <a:stretch>
                      <a:fillRect/>
                    </a:stretch>
                  </pic:blipFill>
                  <pic:spPr>
                    <a:xfrm>
                      <a:off x="0" y="0"/>
                      <a:ext cx="1051559" cy="155448"/>
                    </a:xfrm>
                    <a:prstGeom prst="rect">
                      <a:avLst/>
                    </a:prstGeom>
                  </pic:spPr>
                </pic:pic>
              </a:graphicData>
            </a:graphic>
          </wp:inline>
        </w:drawing>
      </w:r>
      <w:r>
        <w:rPr/>
      </w:r>
    </w:p>
    <w:p>
      <w:pPr>
        <w:pStyle w:val="BodyText"/>
        <w:spacing w:line="210" w:lineRule="exact" w:before="115"/>
        <w:ind w:left="134"/>
        <w:jc w:val="both"/>
      </w:pPr>
      <w:r>
        <w:rPr>
          <w:color w:val="030303"/>
        </w:rPr>
        <w:t>is  clearly correct.</w:t>
      </w:r>
    </w:p>
    <w:p>
      <w:pPr>
        <w:pStyle w:val="BodyText"/>
        <w:spacing w:line="268" w:lineRule="exact"/>
        <w:ind w:left="130" w:firstLine="190"/>
      </w:pPr>
      <w:r>
        <w:rPr>
          <w:color w:val="030303"/>
        </w:rPr>
        <w:t>Another way of expressing </w:t>
      </w:r>
      <w:r>
        <w:rPr>
          <w:color w:val="030303"/>
          <w:w w:val="85"/>
          <w:sz w:val="25"/>
        </w:rPr>
        <w:t>&lt;i;.riz </w:t>
      </w:r>
      <w:r>
        <w:rPr>
          <w:color w:val="030303"/>
        </w:rPr>
        <w:t>is by  regarding the benefit  as  an</w:t>
      </w:r>
    </w:p>
    <w:p>
      <w:pPr>
        <w:pStyle w:val="BodyText"/>
        <w:spacing w:line="249" w:lineRule="auto"/>
        <w:ind w:left="130" w:right="112" w:firstLine="3"/>
        <w:jc w:val="both"/>
      </w:pPr>
      <w:r>
        <w:rPr>
          <w:color w:val="030303"/>
          <w:w w:val="105"/>
        </w:rPr>
        <w:t>insurance contingent upon </w:t>
      </w:r>
      <w:r>
        <w:rPr>
          <w:rFonts w:ascii="Arial"/>
          <w:i/>
          <w:color w:val="030303"/>
          <w:w w:val="105"/>
          <w:sz w:val="18"/>
        </w:rPr>
        <w:t>(z) </w:t>
      </w:r>
      <w:r>
        <w:rPr>
          <w:color w:val="030303"/>
          <w:w w:val="105"/>
        </w:rPr>
        <w:t>dying first with the amount of insurance at any time equal to the current present value of a reversionary annuity to </w:t>
      </w:r>
      <w:r>
        <w:rPr>
          <w:rFonts w:ascii="Arial"/>
          <w:i/>
          <w:color w:val="030303"/>
          <w:w w:val="105"/>
          <w:sz w:val="18"/>
        </w:rPr>
        <w:t>(x) </w:t>
      </w:r>
      <w:r>
        <w:rPr>
          <w:color w:val="030303"/>
          <w:w w:val="105"/>
        </w:rPr>
        <w:t>after </w:t>
      </w:r>
      <w:r>
        <w:rPr>
          <w:rFonts w:ascii="Arial"/>
          <w:i/>
          <w:color w:val="030303"/>
          <w:w w:val="105"/>
          <w:sz w:val="18"/>
        </w:rPr>
        <w:t>(y). </w:t>
      </w:r>
      <w:r>
        <w:rPr>
          <w:color w:val="030303"/>
          <w:w w:val="105"/>
        </w:rPr>
        <w:t>This point of view leads to the following result:</w:t>
      </w:r>
    </w:p>
    <w:p>
      <w:pPr>
        <w:tabs>
          <w:tab w:pos="5228" w:val="left" w:leader="none"/>
        </w:tabs>
        <w:spacing w:line="549" w:lineRule="exact" w:before="0"/>
        <w:ind w:left="130" w:right="0" w:firstLine="810"/>
        <w:jc w:val="left"/>
        <w:rPr>
          <w:rFonts w:ascii="Arial" w:hAnsi="Arial"/>
          <w:b/>
          <w:sz w:val="17"/>
        </w:rPr>
      </w:pPr>
      <w:r>
        <w:rPr>
          <w:b/>
          <w:color w:val="030303"/>
          <w:sz w:val="17"/>
        </w:rPr>
        <w:t>&lt;i;zl</w:t>
      </w:r>
      <w:r>
        <w:rPr>
          <w:b/>
          <w:color w:val="030303"/>
          <w:spacing w:val="-24"/>
          <w:sz w:val="17"/>
        </w:rPr>
        <w:t> </w:t>
      </w:r>
      <w:r>
        <w:rPr>
          <w:b/>
          <w:color w:val="030303"/>
          <w:sz w:val="17"/>
        </w:rPr>
        <w:t>z</w:t>
      </w:r>
      <w:r>
        <w:rPr>
          <w:b/>
          <w:color w:val="030303"/>
          <w:spacing w:val="18"/>
          <w:sz w:val="17"/>
        </w:rPr>
        <w:t> </w:t>
      </w:r>
      <w:r>
        <w:rPr>
          <w:color w:val="030303"/>
          <w:sz w:val="23"/>
        </w:rPr>
        <w:t>=</w:t>
      </w:r>
      <w:r>
        <w:rPr>
          <w:color w:val="030303"/>
          <w:spacing w:val="9"/>
          <w:sz w:val="23"/>
        </w:rPr>
        <w:t> </w:t>
      </w:r>
      <w:r>
        <w:rPr>
          <w:rFonts w:ascii="Arial" w:hAnsi="Arial"/>
          <w:b/>
          <w:color w:val="030303"/>
          <w:w w:val="60"/>
          <w:sz w:val="51"/>
        </w:rPr>
        <w:t>f'°</w:t>
      </w:r>
      <w:r>
        <w:rPr>
          <w:rFonts w:ascii="Arial" w:hAnsi="Arial"/>
          <w:b/>
          <w:color w:val="030303"/>
          <w:spacing w:val="-52"/>
          <w:w w:val="60"/>
          <w:sz w:val="51"/>
        </w:rPr>
        <w:t> </w:t>
      </w:r>
      <w:r>
        <w:rPr>
          <w:b/>
          <w:i/>
          <w:color w:val="030303"/>
          <w:sz w:val="16"/>
        </w:rPr>
        <w:t>v',pzyzµz+elL¡,,+t</w:t>
      </w:r>
      <w:r>
        <w:rPr>
          <w:b/>
          <w:i/>
          <w:color w:val="030303"/>
          <w:spacing w:val="-9"/>
          <w:sz w:val="16"/>
        </w:rPr>
        <w:t> </w:t>
      </w:r>
      <w:r>
        <w:rPr>
          <w:b/>
          <w:i/>
          <w:color w:val="030303"/>
          <w:w w:val="60"/>
          <w:sz w:val="16"/>
        </w:rPr>
        <w:t>l</w:t>
      </w:r>
      <w:r>
        <w:rPr>
          <w:b/>
          <w:i/>
          <w:color w:val="030303"/>
          <w:spacing w:val="-5"/>
          <w:w w:val="60"/>
          <w:sz w:val="16"/>
        </w:rPr>
        <w:t> </w:t>
      </w:r>
      <w:r>
        <w:rPr>
          <w:b/>
          <w:i/>
          <w:color w:val="030303"/>
          <w:sz w:val="16"/>
        </w:rPr>
        <w:t>x+</w:t>
      </w:r>
      <w:r>
        <w:rPr>
          <w:b/>
          <w:i/>
          <w:color w:val="030303"/>
          <w:spacing w:val="-21"/>
          <w:sz w:val="16"/>
        </w:rPr>
        <w:t> </w:t>
      </w:r>
      <w:r>
        <w:rPr>
          <w:b/>
          <w:i/>
          <w:color w:val="030303"/>
          <w:w w:val="60"/>
          <w:sz w:val="16"/>
        </w:rPr>
        <w:t>I </w:t>
      </w:r>
      <w:r>
        <w:rPr>
          <w:b/>
          <w:i/>
          <w:color w:val="030303"/>
          <w:spacing w:val="9"/>
          <w:w w:val="60"/>
          <w:sz w:val="16"/>
        </w:rPr>
        <w:t> </w:t>
      </w:r>
      <w:r>
        <w:rPr>
          <w:rFonts w:ascii="Arial" w:hAnsi="Arial"/>
          <w:b/>
          <w:i/>
          <w:color w:val="030303"/>
          <w:sz w:val="18"/>
        </w:rPr>
        <w:t>dt</w:t>
      </w:r>
      <w:r>
        <w:rPr>
          <w:rFonts w:ascii="Arial" w:hAnsi="Arial"/>
          <w:b/>
          <w:i/>
          <w:color w:val="030303"/>
          <w:spacing w:val="15"/>
          <w:sz w:val="18"/>
        </w:rPr>
        <w:t> </w:t>
      </w:r>
      <w:r>
        <w:rPr>
          <w:color w:val="030303"/>
          <w:sz w:val="24"/>
        </w:rPr>
        <w:t>=</w:t>
      </w:r>
      <w:r>
        <w:rPr>
          <w:color w:val="030303"/>
          <w:spacing w:val="7"/>
          <w:sz w:val="24"/>
        </w:rPr>
        <w:t> </w:t>
      </w:r>
      <w:r>
        <w:rPr>
          <w:b/>
          <w:color w:val="030303"/>
          <w:sz w:val="17"/>
        </w:rPr>
        <w:t>O¡r!l</w:t>
      </w:r>
      <w:r>
        <w:rPr>
          <w:b/>
          <w:color w:val="030303"/>
          <w:spacing w:val="-25"/>
          <w:sz w:val="17"/>
        </w:rPr>
        <w:t> </w:t>
      </w:r>
      <w:r>
        <w:rPr>
          <w:b/>
          <w:color w:val="030303"/>
          <w:sz w:val="17"/>
        </w:rPr>
        <w:t>x</w:t>
      </w:r>
      <w:r>
        <w:rPr>
          <w:b/>
          <w:color w:val="030303"/>
          <w:spacing w:val="15"/>
          <w:sz w:val="17"/>
        </w:rPr>
        <w:t> </w:t>
      </w:r>
      <w:r>
        <w:rPr>
          <w:color w:val="030303"/>
          <w:w w:val="295"/>
          <w:sz w:val="17"/>
        </w:rPr>
        <w:t>-</w:t>
      </w:r>
      <w:r>
        <w:rPr>
          <w:color w:val="030303"/>
          <w:spacing w:val="-90"/>
          <w:w w:val="295"/>
          <w:sz w:val="17"/>
        </w:rPr>
        <w:t> </w:t>
      </w:r>
      <w:r>
        <w:rPr>
          <w:b/>
          <w:i/>
          <w:color w:val="030303"/>
          <w:sz w:val="16"/>
        </w:rPr>
        <w:t>llz</w:t>
      </w:r>
      <w:r>
        <w:rPr>
          <w:b/>
          <w:i/>
          <w:color w:val="030303"/>
          <w:spacing w:val="-24"/>
          <w:sz w:val="16"/>
        </w:rPr>
        <w:t> </w:t>
      </w:r>
      <w:r>
        <w:rPr>
          <w:b/>
          <w:i/>
          <w:color w:val="030303"/>
          <w:w w:val="60"/>
          <w:sz w:val="16"/>
        </w:rPr>
        <w:t>i</w:t>
      </w:r>
      <w:r>
        <w:rPr>
          <w:b/>
          <w:i/>
          <w:color w:val="030303"/>
          <w:spacing w:val="-6"/>
          <w:w w:val="60"/>
          <w:sz w:val="16"/>
        </w:rPr>
        <w:t> </w:t>
      </w:r>
      <w:r>
        <w:rPr>
          <w:b/>
          <w:i/>
          <w:color w:val="030303"/>
          <w:sz w:val="16"/>
        </w:rPr>
        <w:t>xy</w:t>
      </w:r>
      <w:r>
        <w:rPr>
          <w:b/>
          <w:i/>
          <w:color w:val="030303"/>
          <w:spacing w:val="9"/>
          <w:sz w:val="16"/>
        </w:rPr>
        <w:t> </w:t>
      </w:r>
      <w:r>
        <w:rPr>
          <w:color w:val="030303"/>
          <w:w w:val="60"/>
          <w:sz w:val="16"/>
        </w:rPr>
        <w:t>•</w:t>
        <w:tab/>
      </w:r>
      <w:r>
        <w:rPr>
          <w:color w:val="030303"/>
          <w:sz w:val="16"/>
        </w:rPr>
        <w:t>( </w:t>
      </w:r>
      <w:r>
        <w:rPr>
          <w:rFonts w:ascii="Arial" w:hAnsi="Arial"/>
          <w:b/>
          <w:color w:val="030303"/>
          <w:sz w:val="17"/>
        </w:rPr>
        <w:t>13.16</w:t>
      </w:r>
      <w:r>
        <w:rPr>
          <w:rFonts w:ascii="Arial" w:hAnsi="Arial"/>
          <w:b/>
          <w:color w:val="030303"/>
          <w:spacing w:val="-19"/>
          <w:sz w:val="17"/>
        </w:rPr>
        <w:t> </w:t>
      </w:r>
      <w:r>
        <w:rPr>
          <w:rFonts w:ascii="Arial" w:hAnsi="Arial"/>
          <w:b/>
          <w:color w:val="030303"/>
          <w:sz w:val="17"/>
        </w:rPr>
        <w:t>)</w:t>
      </w:r>
    </w:p>
    <w:p>
      <w:pPr>
        <w:pStyle w:val="BodyText"/>
        <w:spacing w:line="247" w:lineRule="auto" w:before="165"/>
        <w:ind w:left="130" w:right="125"/>
        <w:jc w:val="both"/>
      </w:pPr>
      <w:r>
        <w:rPr>
          <w:color w:val="030303"/>
          <w:w w:val="105"/>
        </w:rPr>
        <w:t>The </w:t>
      </w:r>
      <w:r>
        <w:rPr>
          <w:color w:val="161616"/>
          <w:w w:val="105"/>
        </w:rPr>
        <w:t>student </w:t>
      </w:r>
      <w:r>
        <w:rPr>
          <w:color w:val="030303"/>
          <w:w w:val="105"/>
        </w:rPr>
        <w:t>should give a verbal intNpretation of </w:t>
      </w:r>
      <w:r>
        <w:rPr>
          <w:color w:val="030303"/>
          <w:w w:val="115"/>
        </w:rPr>
        <w:t>thi </w:t>
      </w:r>
      <w:r>
        <w:rPr>
          <w:color w:val="030303"/>
          <w:w w:val="105"/>
        </w:rPr>
        <w:t>r&lt;'sult ami show that it is equivalent  to the one obtained </w:t>
      </w:r>
      <w:r>
        <w:rPr>
          <w:color w:val="030303"/>
          <w:spacing w:val="51"/>
          <w:w w:val="105"/>
        </w:rPr>
        <w:t> </w:t>
      </w:r>
      <w:r>
        <w:rPr>
          <w:color w:val="030303"/>
          <w:w w:val="105"/>
        </w:rPr>
        <w:t>above.</w:t>
      </w:r>
    </w:p>
    <w:p>
      <w:pPr>
        <w:spacing w:after="0" w:line="247" w:lineRule="auto"/>
        <w:jc w:val="both"/>
        <w:sectPr>
          <w:type w:val="continuous"/>
          <w:pgSz w:w="7200" w:h="11340"/>
          <w:pgMar w:top="1100" w:bottom="0" w:left="680" w:right="560"/>
        </w:sectPr>
      </w:pPr>
    </w:p>
    <w:p>
      <w:pPr>
        <w:tabs>
          <w:tab w:pos="1874" w:val="left" w:leader="none"/>
          <w:tab w:pos="5224" w:val="left" w:leader="none"/>
        </w:tabs>
        <w:spacing w:before="58"/>
        <w:ind w:left="349" w:right="0" w:hanging="201"/>
        <w:jc w:val="left"/>
        <w:rPr>
          <w:b/>
          <w:sz w:val="19"/>
        </w:rPr>
      </w:pPr>
      <w:r>
        <w:rPr>
          <w:color w:val="030303"/>
          <w:w w:val="105"/>
          <w:position w:val="1"/>
          <w:sz w:val="19"/>
        </w:rPr>
        <w:t>264</w:t>
        <w:tab/>
      </w:r>
      <w:r>
        <w:rPr>
          <w:b/>
          <w:color w:val="030303"/>
          <w:w w:val="105"/>
          <w:position w:val="1"/>
          <w:sz w:val="14"/>
        </w:rPr>
        <w:t>REVERSIONARY   </w:t>
      </w:r>
      <w:r>
        <w:rPr>
          <w:b/>
          <w:color w:val="030303"/>
          <w:spacing w:val="16"/>
          <w:w w:val="105"/>
          <w:position w:val="1"/>
          <w:sz w:val="14"/>
        </w:rPr>
        <w:t> </w:t>
      </w:r>
      <w:r>
        <w:rPr>
          <w:b/>
          <w:color w:val="030303"/>
          <w:w w:val="105"/>
          <w:position w:val="1"/>
          <w:sz w:val="14"/>
        </w:rPr>
        <w:t>ANNUITIES</w:t>
        <w:tab/>
      </w:r>
      <w:r>
        <w:rPr>
          <w:b/>
          <w:color w:val="030303"/>
          <w:w w:val="105"/>
          <w:sz w:val="17"/>
        </w:rPr>
        <w:t>[CH.</w:t>
      </w:r>
      <w:r>
        <w:rPr>
          <w:b/>
          <w:color w:val="030303"/>
          <w:spacing w:val="5"/>
          <w:w w:val="105"/>
          <w:sz w:val="17"/>
        </w:rPr>
        <w:t> </w:t>
      </w:r>
      <w:r>
        <w:rPr>
          <w:b/>
          <w:color w:val="030303"/>
          <w:w w:val="105"/>
          <w:sz w:val="19"/>
        </w:rPr>
        <w:t>13</w:t>
      </w:r>
    </w:p>
    <w:p>
      <w:pPr>
        <w:pStyle w:val="BodyText"/>
        <w:spacing w:before="6"/>
        <w:rPr>
          <w:b/>
        </w:rPr>
      </w:pPr>
    </w:p>
    <w:p>
      <w:pPr>
        <w:pStyle w:val="BodyText"/>
        <w:spacing w:line="242" w:lineRule="auto"/>
        <w:ind w:left="137" w:right="125" w:firstLine="211"/>
        <w:jc w:val="both"/>
      </w:pPr>
      <w:r>
        <w:rPr>
          <w:color w:val="030303"/>
          <w:w w:val="105"/>
        </w:rPr>
        <w:t>In the case of more complex functions, a notation similar to that used with compound contingent insurances can be adopted. A numeral is written above the </w:t>
      </w:r>
      <w:r>
        <w:rPr>
          <w:color w:val="030303"/>
          <w:w w:val="105"/>
          <w:sz w:val="19"/>
        </w:rPr>
        <w:t>life </w:t>
      </w:r>
      <w:r>
        <w:rPr>
          <w:color w:val="030303"/>
          <w:w w:val="105"/>
        </w:rPr>
        <w:t>upon whose failure the benefit becomes payable, and numerals written below indicate the rela­  tive</w:t>
      </w:r>
      <w:r>
        <w:rPr>
          <w:color w:val="030303"/>
          <w:spacing w:val="-16"/>
          <w:w w:val="105"/>
        </w:rPr>
        <w:t> </w:t>
      </w:r>
      <w:r>
        <w:rPr>
          <w:color w:val="030303"/>
          <w:w w:val="105"/>
        </w:rPr>
        <w:t>order</w:t>
      </w:r>
      <w:r>
        <w:rPr>
          <w:color w:val="030303"/>
          <w:spacing w:val="-15"/>
          <w:w w:val="105"/>
        </w:rPr>
        <w:t> </w:t>
      </w:r>
      <w:r>
        <w:rPr>
          <w:color w:val="030303"/>
          <w:w w:val="105"/>
        </w:rPr>
        <w:t>of</w:t>
      </w:r>
      <w:r>
        <w:rPr>
          <w:color w:val="030303"/>
          <w:spacing w:val="-13"/>
          <w:w w:val="105"/>
        </w:rPr>
        <w:t> </w:t>
      </w:r>
      <w:r>
        <w:rPr>
          <w:color w:val="030303"/>
          <w:w w:val="105"/>
        </w:rPr>
        <w:t>death</w:t>
      </w:r>
      <w:r>
        <w:rPr>
          <w:color w:val="030303"/>
          <w:spacing w:val="-15"/>
          <w:w w:val="105"/>
        </w:rPr>
        <w:t> </w:t>
      </w:r>
      <w:r>
        <w:rPr>
          <w:color w:val="030303"/>
          <w:w w:val="105"/>
        </w:rPr>
        <w:t>of</w:t>
      </w:r>
      <w:r>
        <w:rPr>
          <w:color w:val="030303"/>
          <w:spacing w:val="-8"/>
          <w:w w:val="105"/>
        </w:rPr>
        <w:t> </w:t>
      </w:r>
      <w:r>
        <w:rPr>
          <w:color w:val="030303"/>
          <w:w w:val="105"/>
        </w:rPr>
        <w:t>the</w:t>
      </w:r>
      <w:r>
        <w:rPr>
          <w:color w:val="030303"/>
          <w:spacing w:val="-17"/>
          <w:w w:val="105"/>
        </w:rPr>
        <w:t> </w:t>
      </w:r>
      <w:r>
        <w:rPr>
          <w:color w:val="030303"/>
          <w:w w:val="105"/>
        </w:rPr>
        <w:t>other</w:t>
      </w:r>
      <w:r>
        <w:rPr>
          <w:color w:val="030303"/>
          <w:spacing w:val="-16"/>
          <w:w w:val="105"/>
        </w:rPr>
        <w:t> </w:t>
      </w:r>
      <w:r>
        <w:rPr>
          <w:color w:val="030303"/>
          <w:w w:val="105"/>
        </w:rPr>
        <w:t>lives.</w:t>
      </w:r>
      <w:r>
        <w:rPr>
          <w:color w:val="030303"/>
          <w:spacing w:val="-15"/>
          <w:w w:val="105"/>
        </w:rPr>
        <w:t> </w:t>
      </w:r>
      <w:r>
        <w:rPr>
          <w:color w:val="030303"/>
          <w:w w:val="105"/>
        </w:rPr>
        <w:t>For</w:t>
      </w:r>
      <w:r>
        <w:rPr>
          <w:color w:val="030303"/>
          <w:spacing w:val="-13"/>
          <w:w w:val="105"/>
        </w:rPr>
        <w:t> </w:t>
      </w:r>
      <w:r>
        <w:rPr>
          <w:color w:val="030303"/>
          <w:w w:val="105"/>
        </w:rPr>
        <w:t>example,</w:t>
      </w:r>
      <w:r>
        <w:rPr>
          <w:color w:val="030303"/>
          <w:spacing w:val="-10"/>
          <w:w w:val="105"/>
        </w:rPr>
        <w:t> </w:t>
      </w:r>
      <w:r>
        <w:rPr>
          <w:rFonts w:ascii="Arial" w:hAnsi="Arial"/>
          <w:color w:val="030303"/>
          <w:w w:val="95"/>
          <w:sz w:val="22"/>
        </w:rPr>
        <w:t>a!uzitD</w:t>
      </w:r>
      <w:r>
        <w:rPr>
          <w:rFonts w:ascii="Arial" w:hAnsi="Arial"/>
          <w:color w:val="030303"/>
          <w:spacing w:val="-26"/>
          <w:w w:val="95"/>
          <w:sz w:val="22"/>
        </w:rPr>
        <w:t> </w:t>
      </w:r>
      <w:r>
        <w:rPr>
          <w:color w:val="030303"/>
          <w:w w:val="105"/>
        </w:rPr>
        <w:t>represents</w:t>
      </w:r>
    </w:p>
    <w:p>
      <w:pPr>
        <w:spacing w:line="121" w:lineRule="exact" w:before="0"/>
        <w:ind w:left="0" w:right="1212" w:firstLine="0"/>
        <w:jc w:val="right"/>
        <w:rPr>
          <w:b/>
          <w:sz w:val="12"/>
        </w:rPr>
      </w:pPr>
      <w:r>
        <w:rPr>
          <w:b/>
          <w:color w:val="030303"/>
          <w:w w:val="115"/>
          <w:sz w:val="12"/>
        </w:rPr>
        <w:t>1</w:t>
      </w:r>
    </w:p>
    <w:p>
      <w:pPr>
        <w:pStyle w:val="BodyText"/>
        <w:spacing w:line="230" w:lineRule="exact"/>
        <w:ind w:left="137"/>
      </w:pPr>
      <w:r>
        <w:rPr>
          <w:color w:val="030303"/>
          <w:w w:val="105"/>
        </w:rPr>
        <w:t>an annuity to </w:t>
      </w:r>
      <w:r>
        <w:rPr>
          <w:color w:val="030303"/>
          <w:w w:val="105"/>
          <w:sz w:val="18"/>
        </w:rPr>
        <w:t>(w)  </w:t>
      </w:r>
      <w:r>
        <w:rPr>
          <w:color w:val="030303"/>
          <w:w w:val="105"/>
        </w:rPr>
        <w:t>commencing upon the death of  </w:t>
      </w:r>
      <w:r>
        <w:rPr>
          <w:rFonts w:ascii="Arial"/>
          <w:i/>
          <w:color w:val="030303"/>
          <w:w w:val="105"/>
          <w:sz w:val="19"/>
        </w:rPr>
        <w:t>(x) </w:t>
      </w:r>
      <w:r>
        <w:rPr>
          <w:color w:val="030303"/>
          <w:w w:val="105"/>
        </w:rPr>
        <w:t>provided  that</w:t>
      </w:r>
    </w:p>
    <w:p>
      <w:pPr>
        <w:spacing w:before="7"/>
        <w:ind w:left="145" w:right="0" w:firstLine="0"/>
        <w:jc w:val="left"/>
        <w:rPr>
          <w:sz w:val="19"/>
        </w:rPr>
      </w:pPr>
      <w:r>
        <w:rPr>
          <w:rFonts w:ascii="Arial"/>
          <w:i/>
          <w:color w:val="030303"/>
          <w:sz w:val="18"/>
        </w:rPr>
        <w:t>(x)  </w:t>
      </w:r>
      <w:r>
        <w:rPr>
          <w:color w:val="030303"/>
          <w:sz w:val="20"/>
        </w:rPr>
        <w:t>dies before  </w:t>
      </w:r>
      <w:r>
        <w:rPr>
          <w:rFonts w:ascii="Arial"/>
          <w:i/>
          <w:color w:val="030303"/>
          <w:sz w:val="18"/>
        </w:rPr>
        <w:t>(z)  </w:t>
      </w:r>
      <w:r>
        <w:rPr>
          <w:color w:val="030303"/>
          <w:sz w:val="20"/>
        </w:rPr>
        <w:t>and  after  </w:t>
      </w:r>
      <w:r>
        <w:rPr>
          <w:color w:val="030303"/>
          <w:sz w:val="19"/>
        </w:rPr>
        <w:t>(y) :</w:t>
      </w:r>
    </w:p>
    <w:p>
      <w:pPr>
        <w:spacing w:before="130"/>
        <w:ind w:left="1163" w:right="0" w:firstLine="0"/>
        <w:jc w:val="left"/>
        <w:rPr>
          <w:rFonts w:ascii="Arial"/>
          <w:i/>
          <w:sz w:val="8"/>
        </w:rPr>
      </w:pPr>
      <w:r>
        <w:rPr>
          <w:rFonts w:ascii="Arial"/>
          <w:i/>
          <w:color w:val="030303"/>
          <w:w w:val="105"/>
          <w:sz w:val="8"/>
        </w:rPr>
        <w:t>00</w:t>
      </w:r>
    </w:p>
    <w:p>
      <w:pPr>
        <w:tabs>
          <w:tab w:pos="1101" w:val="left" w:leader="none"/>
          <w:tab w:pos="2729" w:val="left" w:leader="none"/>
          <w:tab w:pos="3616" w:val="left" w:leader="none"/>
          <w:tab w:pos="4308" w:val="left" w:leader="none"/>
        </w:tabs>
        <w:spacing w:line="32" w:lineRule="exact" w:before="20"/>
        <w:ind w:left="0" w:right="1219" w:firstLine="0"/>
        <w:jc w:val="right"/>
        <w:rPr>
          <w:rFonts w:ascii="Arial"/>
          <w:b/>
          <w:sz w:val="11"/>
        </w:rPr>
      </w:pPr>
      <w:r>
        <w:rPr>
          <w:rFonts w:ascii="Arial"/>
          <w:b/>
          <w:color w:val="030303"/>
          <w:w w:val="120"/>
          <w:sz w:val="11"/>
        </w:rPr>
        <w:t>-2</w:t>
        <w:tab/>
      </w:r>
      <w:r>
        <w:rPr>
          <w:rFonts w:ascii="Arial"/>
          <w:b/>
          <w:i/>
          <w:color w:val="030303"/>
          <w:w w:val="110"/>
          <w:sz w:val="11"/>
        </w:rPr>
        <w:t>t</w:t>
        <w:tab/>
      </w:r>
      <w:r>
        <w:rPr>
          <w:rFonts w:ascii="Arial"/>
          <w:color w:val="030303"/>
          <w:w w:val="155"/>
          <w:sz w:val="11"/>
        </w:rPr>
        <w:t>-</w:t>
        <w:tab/>
      </w:r>
      <w:r>
        <w:rPr>
          <w:rFonts w:ascii="Arial"/>
          <w:b/>
          <w:color w:val="030303"/>
          <w:w w:val="155"/>
          <w:sz w:val="11"/>
        </w:rPr>
        <w:t>-1</w:t>
        <w:tab/>
      </w:r>
      <w:r>
        <w:rPr>
          <w:rFonts w:ascii="Arial"/>
          <w:b/>
          <w:color w:val="030303"/>
          <w:spacing w:val="-1"/>
          <w:w w:val="105"/>
          <w:sz w:val="11"/>
        </w:rPr>
        <w:t>_1</w:t>
      </w:r>
    </w:p>
    <w:p>
      <w:pPr>
        <w:spacing w:after="0" w:line="32" w:lineRule="exact"/>
        <w:jc w:val="right"/>
        <w:rPr>
          <w:rFonts w:ascii="Arial"/>
          <w:sz w:val="11"/>
        </w:rPr>
        <w:sectPr>
          <w:pgSz w:w="7200" w:h="11340"/>
          <w:pgMar w:top="520" w:bottom="280" w:left="680" w:right="560"/>
        </w:sectPr>
      </w:pPr>
    </w:p>
    <w:p>
      <w:pPr>
        <w:tabs>
          <w:tab w:pos="1310" w:val="left" w:leader="none"/>
        </w:tabs>
        <w:spacing w:line="197" w:lineRule="exact" w:before="0"/>
        <w:ind w:left="263" w:right="0" w:firstLine="0"/>
        <w:jc w:val="left"/>
        <w:rPr>
          <w:b/>
          <w:i/>
          <w:sz w:val="16"/>
        </w:rPr>
      </w:pPr>
      <w:r>
        <w:rPr/>
        <w:pict>
          <v:shape style="position:absolute;margin-left:83.94619pt;margin-top:-7.401187pt;width:8.9pt;height:25.5pt;mso-position-horizontal-relative:page;mso-position-vertical-relative:paragraph;z-index:-714808" type="#_x0000_t202" filled="false" stroked="false">
            <v:textbox inset="0,0,0,0">
              <w:txbxContent>
                <w:p>
                  <w:pPr>
                    <w:spacing w:line="510" w:lineRule="exact" w:before="0"/>
                    <w:ind w:left="0" w:right="0" w:firstLine="0"/>
                    <w:jc w:val="left"/>
                    <w:rPr>
                      <w:rFonts w:ascii="Arial"/>
                      <w:i/>
                      <w:sz w:val="51"/>
                    </w:rPr>
                  </w:pPr>
                  <w:r>
                    <w:rPr>
                      <w:rFonts w:ascii="Arial"/>
                      <w:i/>
                      <w:color w:val="030303"/>
                      <w:spacing w:val="-53"/>
                      <w:w w:val="80"/>
                      <w:sz w:val="51"/>
                    </w:rPr>
                    <w:t>1</w:t>
                  </w:r>
                </w:p>
              </w:txbxContent>
            </v:textbox>
            <w10:wrap type="none"/>
          </v:shape>
        </w:pict>
      </w:r>
      <w:r>
        <w:rPr>
          <w:i/>
          <w:color w:val="030303"/>
          <w:w w:val="125"/>
          <w:sz w:val="13"/>
        </w:rPr>
        <w:t>azyzlw</w:t>
      </w:r>
      <w:r>
        <w:rPr>
          <w:i/>
          <w:color w:val="030303"/>
          <w:spacing w:val="37"/>
          <w:w w:val="125"/>
          <w:sz w:val="13"/>
        </w:rPr>
        <w:t> </w:t>
      </w:r>
      <w:r>
        <w:rPr>
          <w:color w:val="030303"/>
          <w:w w:val="125"/>
          <w:sz w:val="22"/>
        </w:rPr>
        <w:t>=</w:t>
        <w:tab/>
      </w:r>
      <w:r>
        <w:rPr>
          <w:i/>
          <w:color w:val="030303"/>
          <w:sz w:val="13"/>
        </w:rPr>
        <w:t>V</w:t>
      </w:r>
      <w:r>
        <w:rPr>
          <w:i/>
          <w:color w:val="030303"/>
          <w:spacing w:val="11"/>
          <w:sz w:val="13"/>
        </w:rPr>
        <w:t> </w:t>
      </w:r>
      <w:r>
        <w:rPr>
          <w:i/>
          <w:color w:val="030303"/>
          <w:sz w:val="16"/>
        </w:rPr>
        <w:t>tPwzz(</w:t>
      </w:r>
      <w:r>
        <w:rPr>
          <w:i/>
          <w:color w:val="030303"/>
          <w:spacing w:val="3"/>
          <w:sz w:val="16"/>
        </w:rPr>
        <w:t> </w:t>
      </w:r>
      <w:r>
        <w:rPr>
          <w:b/>
          <w:color w:val="030303"/>
          <w:w w:val="125"/>
          <w:sz w:val="20"/>
        </w:rPr>
        <w:t>l</w:t>
      </w:r>
      <w:r>
        <w:rPr>
          <w:b/>
          <w:color w:val="030303"/>
          <w:spacing w:val="7"/>
          <w:w w:val="125"/>
          <w:sz w:val="20"/>
        </w:rPr>
        <w:t> </w:t>
      </w:r>
      <w:r>
        <w:rPr>
          <w:color w:val="030303"/>
          <w:w w:val="245"/>
          <w:sz w:val="20"/>
        </w:rPr>
        <w:t>-</w:t>
      </w:r>
      <w:r>
        <w:rPr>
          <w:color w:val="030303"/>
          <w:spacing w:val="-86"/>
          <w:w w:val="245"/>
          <w:sz w:val="20"/>
        </w:rPr>
        <w:t> </w:t>
      </w:r>
      <w:r>
        <w:rPr>
          <w:i/>
          <w:color w:val="030303"/>
          <w:sz w:val="16"/>
        </w:rPr>
        <w:t>tPu</w:t>
      </w:r>
      <w:r>
        <w:rPr>
          <w:i/>
          <w:color w:val="030303"/>
          <w:spacing w:val="-23"/>
          <w:sz w:val="16"/>
        </w:rPr>
        <w:t> </w:t>
      </w:r>
      <w:r>
        <w:rPr>
          <w:i/>
          <w:color w:val="030303"/>
          <w:sz w:val="16"/>
        </w:rPr>
        <w:t>)J.Lx+ta.i»+t</w:t>
      </w:r>
      <w:r>
        <w:rPr>
          <w:i/>
          <w:color w:val="030303"/>
          <w:spacing w:val="34"/>
          <w:sz w:val="16"/>
        </w:rPr>
        <w:t> </w:t>
      </w:r>
      <w:r>
        <w:rPr>
          <w:rFonts w:ascii="Arial" w:hAnsi="Arial"/>
          <w:i/>
          <w:color w:val="030303"/>
          <w:sz w:val="20"/>
        </w:rPr>
        <w:t>dt</w:t>
      </w:r>
      <w:r>
        <w:rPr>
          <w:rFonts w:ascii="Arial" w:hAnsi="Arial"/>
          <w:i/>
          <w:color w:val="030303"/>
          <w:spacing w:val="14"/>
          <w:sz w:val="20"/>
        </w:rPr>
        <w:t> </w:t>
      </w:r>
      <w:r>
        <w:rPr>
          <w:color w:val="030303"/>
          <w:w w:val="125"/>
          <w:sz w:val="22"/>
        </w:rPr>
        <w:t>=</w:t>
      </w:r>
      <w:r>
        <w:rPr>
          <w:color w:val="030303"/>
          <w:spacing w:val="-5"/>
          <w:w w:val="125"/>
          <w:sz w:val="22"/>
        </w:rPr>
        <w:t> </w:t>
      </w:r>
      <w:r>
        <w:rPr>
          <w:i/>
          <w:color w:val="030303"/>
          <w:w w:val="125"/>
          <w:sz w:val="13"/>
        </w:rPr>
        <w:t>axz</w:t>
      </w:r>
      <w:r>
        <w:rPr>
          <w:i/>
          <w:color w:val="030303"/>
          <w:spacing w:val="-23"/>
          <w:w w:val="125"/>
          <w:sz w:val="13"/>
        </w:rPr>
        <w:t> </w:t>
      </w:r>
      <w:r>
        <w:rPr>
          <w:i/>
          <w:color w:val="030303"/>
          <w:w w:val="60"/>
          <w:sz w:val="13"/>
        </w:rPr>
        <w:t>l</w:t>
      </w:r>
      <w:r>
        <w:rPr>
          <w:i/>
          <w:color w:val="030303"/>
          <w:spacing w:val="-4"/>
          <w:w w:val="60"/>
          <w:sz w:val="13"/>
        </w:rPr>
        <w:t> </w:t>
      </w:r>
      <w:r>
        <w:rPr>
          <w:i/>
          <w:color w:val="030303"/>
          <w:sz w:val="13"/>
        </w:rPr>
        <w:t>w</w:t>
      </w:r>
      <w:r>
        <w:rPr>
          <w:i/>
          <w:color w:val="030303"/>
          <w:spacing w:val="31"/>
          <w:sz w:val="13"/>
        </w:rPr>
        <w:t> </w:t>
      </w:r>
      <w:r>
        <w:rPr>
          <w:color w:val="030303"/>
          <w:w w:val="395"/>
          <w:sz w:val="13"/>
        </w:rPr>
        <w:t>-</w:t>
      </w:r>
      <w:r>
        <w:rPr>
          <w:color w:val="030303"/>
          <w:spacing w:val="-95"/>
          <w:w w:val="395"/>
          <w:sz w:val="13"/>
        </w:rPr>
        <w:t> </w:t>
      </w:r>
      <w:r>
        <w:rPr>
          <w:b/>
          <w:i/>
          <w:color w:val="030303"/>
          <w:sz w:val="16"/>
        </w:rPr>
        <w:t>azy.i</w:t>
      </w:r>
      <w:r>
        <w:rPr>
          <w:b/>
          <w:i/>
          <w:color w:val="030303"/>
          <w:spacing w:val="-21"/>
          <w:sz w:val="16"/>
        </w:rPr>
        <w:t> </w:t>
      </w:r>
      <w:r>
        <w:rPr>
          <w:b/>
          <w:i/>
          <w:color w:val="030303"/>
          <w:sz w:val="16"/>
        </w:rPr>
        <w:t>lw</w:t>
      </w:r>
    </w:p>
    <w:p>
      <w:pPr>
        <w:tabs>
          <w:tab w:pos="1092" w:val="left" w:leader="none"/>
          <w:tab w:pos="1597" w:val="left" w:leader="none"/>
          <w:tab w:pos="2509" w:val="left" w:leader="none"/>
        </w:tabs>
        <w:spacing w:line="109" w:lineRule="exact" w:before="0"/>
        <w:ind w:left="432" w:right="0" w:firstLine="0"/>
        <w:jc w:val="left"/>
        <w:rPr>
          <w:sz w:val="12"/>
        </w:rPr>
      </w:pPr>
      <w:r>
        <w:rPr>
          <w:b/>
          <w:color w:val="030303"/>
          <w:sz w:val="12"/>
        </w:rPr>
        <w:t>1</w:t>
        <w:tab/>
      </w:r>
      <w:r>
        <w:rPr>
          <w:b/>
          <w:color w:val="030303"/>
          <w:w w:val="90"/>
          <w:sz w:val="12"/>
        </w:rPr>
        <w:t>O</w:t>
        <w:tab/>
      </w:r>
      <w:r>
        <w:rPr>
          <w:color w:val="3A3A3A"/>
          <w:w w:val="85"/>
          <w:sz w:val="12"/>
        </w:rPr>
        <w:t>.</w:t>
        <w:tab/>
      </w:r>
      <w:r>
        <w:rPr>
          <w:color w:val="030303"/>
          <w:w w:val="90"/>
          <w:sz w:val="12"/>
        </w:rPr>
        <w:t>•</w:t>
      </w:r>
    </w:p>
    <w:p>
      <w:pPr>
        <w:pStyle w:val="BodyText"/>
        <w:spacing w:line="204" w:lineRule="exact"/>
        <w:ind w:left="177"/>
      </w:pPr>
      <w:r>
        <w:rPr/>
        <w:br w:type="column"/>
      </w:r>
      <w:r>
        <w:rPr>
          <w:color w:val="030303"/>
          <w:w w:val="105"/>
        </w:rPr>
        <w:t>(13.17)</w:t>
      </w:r>
    </w:p>
    <w:p>
      <w:pPr>
        <w:spacing w:after="0" w:line="204" w:lineRule="exact"/>
        <w:sectPr>
          <w:type w:val="continuous"/>
          <w:pgSz w:w="7200" w:h="11340"/>
          <w:pgMar w:top="1100" w:bottom="0" w:left="680" w:right="560"/>
          <w:cols w:num="2" w:equalWidth="0">
            <w:col w:w="4994" w:space="40"/>
            <w:col w:w="926"/>
          </w:cols>
        </w:sectPr>
      </w:pPr>
    </w:p>
    <w:p>
      <w:pPr>
        <w:pStyle w:val="BodyText"/>
        <w:spacing w:line="244" w:lineRule="auto" w:before="141"/>
        <w:ind w:left="123" w:right="133" w:firstLine="200"/>
        <w:jc w:val="both"/>
      </w:pPr>
      <w:r>
        <w:rPr>
          <w:color w:val="030303"/>
          <w:w w:val="105"/>
          <w:sz w:val="21"/>
        </w:rPr>
        <w:t>In </w:t>
      </w:r>
      <w:r>
        <w:rPr>
          <w:color w:val="030303"/>
          <w:w w:val="105"/>
        </w:rPr>
        <w:t>the two examples that follow, the  student  should  describe  the benefit  and verify the expressions </w:t>
      </w:r>
      <w:r>
        <w:rPr>
          <w:color w:val="030303"/>
          <w:spacing w:val="4"/>
          <w:w w:val="105"/>
        </w:rPr>
        <w:t> </w:t>
      </w:r>
      <w:r>
        <w:rPr>
          <w:color w:val="030303"/>
          <w:w w:val="105"/>
        </w:rPr>
        <w:t>given:</w:t>
      </w:r>
    </w:p>
    <w:p>
      <w:pPr>
        <w:pStyle w:val="BodyText"/>
        <w:spacing w:before="6"/>
        <w:rPr>
          <w:sz w:val="21"/>
        </w:rPr>
      </w:pPr>
    </w:p>
    <w:p>
      <w:pPr>
        <w:pStyle w:val="BodyText"/>
        <w:ind w:right="134"/>
        <w:jc w:val="right"/>
      </w:pPr>
      <w:r>
        <w:rPr/>
        <w:drawing>
          <wp:anchor distT="0" distB="0" distL="0" distR="0" allowOverlap="1" layoutInCell="1" locked="0" behindDoc="0" simplePos="0" relativeHeight="21232">
            <wp:simplePos x="0" y="0"/>
            <wp:positionH relativeFrom="page">
              <wp:posOffset>804672</wp:posOffset>
            </wp:positionH>
            <wp:positionV relativeFrom="paragraph">
              <wp:posOffset>-68476</wp:posOffset>
            </wp:positionV>
            <wp:extent cx="2816352" cy="667512"/>
            <wp:effectExtent l="0" t="0" r="0" b="0"/>
            <wp:wrapNone/>
            <wp:docPr id="639" name="image325.png" descr=""/>
            <wp:cNvGraphicFramePr>
              <a:graphicFrameLocks noChangeAspect="1"/>
            </wp:cNvGraphicFramePr>
            <a:graphic>
              <a:graphicData uri="http://schemas.openxmlformats.org/drawingml/2006/picture">
                <pic:pic>
                  <pic:nvPicPr>
                    <pic:cNvPr id="640" name="image325.png"/>
                    <pic:cNvPicPr/>
                  </pic:nvPicPr>
                  <pic:blipFill>
                    <a:blip r:embed="rId329" cstate="print"/>
                    <a:stretch>
                      <a:fillRect/>
                    </a:stretch>
                  </pic:blipFill>
                  <pic:spPr>
                    <a:xfrm>
                      <a:off x="0" y="0"/>
                      <a:ext cx="2816352" cy="667512"/>
                    </a:xfrm>
                    <a:prstGeom prst="rect">
                      <a:avLst/>
                    </a:prstGeom>
                  </pic:spPr>
                </pic:pic>
              </a:graphicData>
            </a:graphic>
          </wp:anchor>
        </w:drawing>
      </w:r>
      <w:r>
        <w:rPr>
          <w:color w:val="030303"/>
        </w:rPr>
        <w:t>( 13.18)</w:t>
      </w:r>
    </w:p>
    <w:p>
      <w:pPr>
        <w:pStyle w:val="BodyText"/>
      </w:pPr>
    </w:p>
    <w:p>
      <w:pPr>
        <w:pStyle w:val="BodyText"/>
        <w:spacing w:before="133"/>
        <w:ind w:right="156"/>
        <w:jc w:val="right"/>
      </w:pPr>
      <w:r>
        <w:rPr>
          <w:color w:val="030303"/>
        </w:rPr>
        <w:t>(13.19)</w:t>
      </w:r>
    </w:p>
    <w:p>
      <w:pPr>
        <w:pStyle w:val="BodyText"/>
        <w:spacing w:before="4"/>
        <w:rPr>
          <w:sz w:val="21"/>
        </w:rPr>
      </w:pPr>
    </w:p>
    <w:p>
      <w:pPr>
        <w:pStyle w:val="BodyText"/>
        <w:spacing w:line="249" w:lineRule="auto"/>
        <w:ind w:left="120" w:right="136" w:firstLine="204"/>
        <w:jc w:val="both"/>
      </w:pPr>
      <w:r>
        <w:rPr>
          <w:color w:val="030303"/>
          <w:w w:val="105"/>
          <w:sz w:val="21"/>
        </w:rPr>
        <w:t>It </w:t>
      </w:r>
      <w:r>
        <w:rPr>
          <w:color w:val="030303"/>
          <w:w w:val="105"/>
        </w:rPr>
        <w:t>is not necessary to give special attention to compound rever­ sionary annuities in non-continuous fonn since, just as with simple reversionary annuities, the values of the discrete annuities are approximately the same as the values oí the corresponding con­ tinuous annuities.</w:t>
      </w:r>
    </w:p>
    <w:p>
      <w:pPr>
        <w:pStyle w:val="ListParagraph"/>
        <w:numPr>
          <w:ilvl w:val="0"/>
          <w:numId w:val="120"/>
        </w:numPr>
        <w:tabs>
          <w:tab w:pos="343" w:val="left" w:leader="none"/>
        </w:tabs>
        <w:spacing w:line="240" w:lineRule="auto" w:before="166" w:after="0"/>
        <w:ind w:left="342" w:right="0" w:hanging="237"/>
        <w:jc w:val="both"/>
        <w:rPr>
          <w:b/>
          <w:color w:val="030303"/>
          <w:sz w:val="19"/>
        </w:rPr>
      </w:pPr>
      <w:r>
        <w:rPr>
          <w:b/>
          <w:color w:val="030303"/>
          <w:w w:val="120"/>
          <w:sz w:val="19"/>
        </w:rPr>
        <w:t>Summary of</w:t>
      </w:r>
      <w:r>
        <w:rPr>
          <w:b/>
          <w:color w:val="030303"/>
          <w:spacing w:val="19"/>
          <w:w w:val="120"/>
          <w:sz w:val="19"/>
        </w:rPr>
        <w:t> </w:t>
      </w:r>
      <w:r>
        <w:rPr>
          <w:b/>
          <w:color w:val="030303"/>
          <w:w w:val="120"/>
          <w:sz w:val="19"/>
        </w:rPr>
        <w:t>notation</w:t>
      </w:r>
    </w:p>
    <w:p>
      <w:pPr>
        <w:pStyle w:val="BodyText"/>
        <w:spacing w:line="252" w:lineRule="auto" w:before="88"/>
        <w:ind w:left="105" w:right="106" w:firstLine="204"/>
        <w:jc w:val="both"/>
      </w:pPr>
      <w:r>
        <w:rPr>
          <w:color w:val="030303"/>
          <w:w w:val="105"/>
        </w:rPr>
        <w:t>A vertical bar separating  the  elements  of  a  suffixed  sub­  script  indicates  a  reversionary  function,  the  status  af ter  the</w:t>
      </w:r>
      <w:r>
        <w:rPr>
          <w:color w:val="030303"/>
          <w:spacing w:val="-14"/>
          <w:w w:val="105"/>
        </w:rPr>
        <w:t> </w:t>
      </w:r>
      <w:r>
        <w:rPr>
          <w:color w:val="030303"/>
          <w:w w:val="105"/>
        </w:rPr>
        <w:t>bar</w:t>
      </w:r>
    </w:p>
    <w:p>
      <w:pPr>
        <w:pStyle w:val="BodyText"/>
        <w:spacing w:line="245" w:lineRule="exact"/>
        <w:ind w:left="109" w:hanging="4"/>
        <w:jc w:val="both"/>
        <w:rPr>
          <w:sz w:val="31"/>
        </w:rPr>
      </w:pPr>
      <w:r>
        <w:rPr>
          <w:color w:val="030303"/>
          <w:w w:val="105"/>
        </w:rPr>
        <w:t>being  understood  to  follow  the  status  before  the  bar.  Thus </w:t>
      </w:r>
      <w:r>
        <w:rPr>
          <w:color w:val="030303"/>
          <w:w w:val="105"/>
          <w:sz w:val="31"/>
        </w:rPr>
        <w:t>a!i;</w:t>
      </w:r>
    </w:p>
    <w:p>
      <w:pPr>
        <w:pStyle w:val="BodyText"/>
        <w:spacing w:line="252" w:lineRule="auto"/>
        <w:ind w:left="102" w:right="146" w:firstLine="7"/>
        <w:jc w:val="both"/>
      </w:pPr>
      <w:r>
        <w:rPr>
          <w:color w:val="030303"/>
        </w:rPr>
        <w:t>is an annuity on the life of </w:t>
      </w:r>
      <w:r>
        <w:rPr>
          <w:rFonts w:ascii="Arial" w:hAnsi="Arial"/>
          <w:i/>
          <w:color w:val="030303"/>
          <w:sz w:val="18"/>
        </w:rPr>
        <w:t>(x) </w:t>
      </w:r>
      <w:r>
        <w:rPr>
          <w:color w:val="030303"/>
        </w:rPr>
        <w:t>after the death of </w:t>
      </w:r>
      <w:r>
        <w:rPr>
          <w:rFonts w:ascii="Arial" w:hAnsi="Arial"/>
          <w:i/>
          <w:color w:val="030303"/>
          <w:spacing w:val="5"/>
          <w:sz w:val="18"/>
        </w:rPr>
        <w:t>(y </w:t>
      </w:r>
      <w:r>
        <w:rPr>
          <w:rFonts w:ascii="Arial" w:hAnsi="Arial"/>
          <w:i/>
          <w:color w:val="030303"/>
          <w:sz w:val="18"/>
        </w:rPr>
        <w:t>) </w:t>
      </w:r>
      <w:r>
        <w:rPr>
          <w:color w:val="030303"/>
        </w:rPr>
        <w:t>with the first annuity payment of 1/m due  at  the  end  of  the  1/m-th  part  of  a year in which </w:t>
      </w:r>
      <w:r>
        <w:rPr>
          <w:rFonts w:ascii="Arial" w:hAnsi="Arial"/>
          <w:i/>
          <w:color w:val="030303"/>
          <w:sz w:val="18"/>
        </w:rPr>
        <w:t>( y ) </w:t>
      </w:r>
      <w:r>
        <w:rPr>
          <w:color w:val="030303"/>
        </w:rPr>
        <w:t>dies, the payment  periods  being  measured  from the date of issue of the contract. When the payment periods are measured  from  the  date  of   death,  the  distinguishing   symbol  </w:t>
      </w:r>
      <w:r>
        <w:rPr>
          <w:color w:val="030303"/>
          <w:spacing w:val="-5"/>
        </w:rPr>
        <w:t>ác..</w:t>
      </w:r>
      <w:r>
        <w:rPr>
          <w:color w:val="030303"/>
          <w:spacing w:val="-5"/>
          <w:sz w:val="12"/>
        </w:rPr>
        <w:t>i </w:t>
      </w:r>
      <w:r>
        <w:rPr>
          <w:color w:val="030303"/>
        </w:rPr>
        <w:t>is</w:t>
      </w:r>
      <w:r>
        <w:rPr>
          <w:color w:val="030303"/>
          <w:spacing w:val="25"/>
        </w:rPr>
        <w:t> </w:t>
      </w:r>
      <w:r>
        <w:rPr>
          <w:color w:val="030303"/>
        </w:rPr>
        <w:t>used.</w:t>
      </w:r>
    </w:p>
    <w:p>
      <w:pPr>
        <w:spacing w:before="164"/>
        <w:ind w:left="102" w:right="0" w:firstLine="0"/>
        <w:jc w:val="both"/>
        <w:rPr>
          <w:b/>
          <w:sz w:val="19"/>
        </w:rPr>
      </w:pPr>
      <w:r>
        <w:rPr>
          <w:b/>
          <w:color w:val="030303"/>
          <w:w w:val="115"/>
          <w:sz w:val="19"/>
        </w:rPr>
        <w:t>References</w:t>
      </w:r>
    </w:p>
    <w:p>
      <w:pPr>
        <w:pStyle w:val="BodyText"/>
        <w:spacing w:line="249" w:lineRule="auto" w:before="79"/>
        <w:ind w:left="105" w:right="140" w:firstLine="200"/>
        <w:jc w:val="both"/>
      </w:pPr>
      <w:r>
        <w:rPr>
          <w:b/>
          <w:color w:val="030303"/>
          <w:sz w:val="21"/>
        </w:rPr>
        <w:t>1-5. </w:t>
      </w:r>
      <w:r>
        <w:rPr>
          <w:color w:val="030303"/>
        </w:rPr>
        <w:t>Similar material is covered by Spurgeon (1932), Chapter 18, and  by  Hooker  and  Longley-Cook   (1957),  Chapter 25.</w:t>
      </w:r>
    </w:p>
    <w:p>
      <w:pPr>
        <w:pStyle w:val="BodyText"/>
        <w:spacing w:line="249" w:lineRule="auto"/>
        <w:ind w:left="105" w:right="170" w:firstLine="186"/>
        <w:jc w:val="both"/>
      </w:pPr>
      <w:r>
        <w:rPr>
          <w:b/>
          <w:color w:val="030303"/>
          <w:w w:val="105"/>
          <w:sz w:val="21"/>
        </w:rPr>
        <w:t>6. </w:t>
      </w:r>
      <w:r>
        <w:rPr>
          <w:color w:val="030303"/>
          <w:w w:val="105"/>
        </w:rPr>
        <w:t>Policies with continuous instalments are discussed by Berg­ stresser (1941).</w:t>
      </w:r>
    </w:p>
    <w:p>
      <w:pPr>
        <w:spacing w:after="0" w:line="249" w:lineRule="auto"/>
        <w:jc w:val="both"/>
        <w:sectPr>
          <w:type w:val="continuous"/>
          <w:pgSz w:w="7200" w:h="11340"/>
          <w:pgMar w:top="1100" w:bottom="0" w:left="680" w:right="560"/>
        </w:sectPr>
      </w:pPr>
    </w:p>
    <w:p>
      <w:pPr>
        <w:tabs>
          <w:tab w:pos="5835" w:val="right" w:leader="none"/>
        </w:tabs>
        <w:spacing w:before="60"/>
        <w:ind w:left="2545" w:right="0" w:firstLine="0"/>
        <w:jc w:val="left"/>
        <w:rPr>
          <w:rFonts w:ascii="Arial"/>
          <w:sz w:val="19"/>
        </w:rPr>
      </w:pPr>
      <w:r>
        <w:rPr>
          <w:b/>
          <w:color w:val="010101"/>
          <w:sz w:val="15"/>
        </w:rPr>
        <w:t>EXERCISES</w:t>
      </w:r>
      <w:r>
        <w:rPr>
          <w:rFonts w:ascii="Arial"/>
          <w:color w:val="010101"/>
          <w:sz w:val="19"/>
        </w:rPr>
        <w:tab/>
        <w:t>265</w:t>
      </w:r>
    </w:p>
    <w:p>
      <w:pPr>
        <w:pStyle w:val="BodyText"/>
        <w:spacing w:before="9"/>
        <w:rPr>
          <w:rFonts w:ascii="Arial"/>
          <w:sz w:val="21"/>
        </w:rPr>
      </w:pPr>
    </w:p>
    <w:p>
      <w:pPr>
        <w:pStyle w:val="BodyText"/>
        <w:spacing w:line="259" w:lineRule="auto" w:before="1"/>
        <w:ind w:left="134" w:firstLine="182"/>
      </w:pPr>
      <w:r>
        <w:rPr>
          <w:color w:val="010101"/>
          <w:w w:val="105"/>
        </w:rPr>
        <w:t>7. Compound reversionary annuities are trcated by Spurgeon (1932),  Chapter 19.</w:t>
      </w:r>
    </w:p>
    <w:p>
      <w:pPr>
        <w:spacing w:before="143"/>
        <w:ind w:left="119" w:right="131" w:firstLine="0"/>
        <w:jc w:val="center"/>
        <w:rPr>
          <w:sz w:val="17"/>
        </w:rPr>
      </w:pPr>
      <w:r>
        <w:rPr>
          <w:color w:val="010101"/>
          <w:w w:val="110"/>
          <w:sz w:val="17"/>
        </w:rPr>
        <w:t>EXERCISES</w:t>
      </w:r>
    </w:p>
    <w:p>
      <w:pPr>
        <w:pStyle w:val="BodyText"/>
        <w:spacing w:before="8"/>
        <w:rPr>
          <w:sz w:val="13"/>
        </w:rPr>
      </w:pPr>
    </w:p>
    <w:p>
      <w:pPr>
        <w:spacing w:before="1"/>
        <w:ind w:left="123" w:right="0" w:firstLine="0"/>
        <w:jc w:val="both"/>
        <w:rPr>
          <w:b/>
          <w:sz w:val="16"/>
        </w:rPr>
      </w:pPr>
      <w:r>
        <w:rPr>
          <w:b/>
          <w:color w:val="010101"/>
          <w:w w:val="120"/>
          <w:sz w:val="16"/>
        </w:rPr>
        <w:t>1, </w:t>
      </w:r>
      <w:r>
        <w:rPr>
          <w:rFonts w:ascii="Arial"/>
          <w:b/>
          <w:color w:val="010101"/>
          <w:w w:val="120"/>
          <w:sz w:val="16"/>
        </w:rPr>
        <w:t>2. </w:t>
      </w:r>
      <w:r>
        <w:rPr>
          <w:b/>
          <w:color w:val="010101"/>
          <w:w w:val="120"/>
          <w:sz w:val="16"/>
        </w:rPr>
        <w:t>The basic  function</w:t>
      </w:r>
    </w:p>
    <w:p>
      <w:pPr>
        <w:spacing w:before="74"/>
        <w:ind w:left="288" w:right="0" w:firstLine="0"/>
        <w:jc w:val="left"/>
        <w:rPr>
          <w:sz w:val="17"/>
        </w:rPr>
      </w:pPr>
      <w:r>
        <w:rPr>
          <w:b/>
          <w:color w:val="010101"/>
          <w:w w:val="110"/>
          <w:sz w:val="18"/>
        </w:rPr>
        <w:t>l. </w:t>
      </w:r>
      <w:r>
        <w:rPr>
          <w:color w:val="010101"/>
          <w:w w:val="110"/>
          <w:sz w:val="17"/>
        </w:rPr>
        <w:t>Explain  by  general reasoni ng and show algebraically :</w:t>
      </w:r>
    </w:p>
    <w:p>
      <w:pPr>
        <w:spacing w:line="66" w:lineRule="exact" w:before="123"/>
        <w:ind w:left="268" w:right="960" w:firstLine="0"/>
        <w:jc w:val="center"/>
        <w:rPr>
          <w:rFonts w:ascii="Arial"/>
          <w:b/>
          <w:sz w:val="8"/>
        </w:rPr>
      </w:pPr>
      <w:r>
        <w:rPr>
          <w:rFonts w:ascii="Arial"/>
          <w:b/>
          <w:color w:val="010101"/>
          <w:w w:val="110"/>
          <w:sz w:val="8"/>
        </w:rPr>
        <w:t>00</w:t>
      </w:r>
    </w:p>
    <w:p>
      <w:pPr>
        <w:spacing w:line="401" w:lineRule="exact" w:before="0"/>
        <w:ind w:left="120" w:right="131" w:firstLine="0"/>
        <w:jc w:val="center"/>
        <w:rPr>
          <w:sz w:val="15"/>
        </w:rPr>
      </w:pPr>
      <w:r>
        <w:rPr>
          <w:rFonts w:ascii="Arial" w:hAnsi="Arial"/>
          <w:color w:val="010101"/>
          <w:w w:val="91"/>
          <w:sz w:val="14"/>
        </w:rPr>
        <w:t>&lt;ii,1.</w:t>
      </w:r>
      <w:r>
        <w:rPr>
          <w:rFonts w:ascii="Arial" w:hAnsi="Arial"/>
          <w:color w:val="010101"/>
          <w:sz w:val="14"/>
        </w:rPr>
        <w:t> </w:t>
      </w:r>
      <w:r>
        <w:rPr>
          <w:rFonts w:ascii="Arial" w:hAnsi="Arial"/>
          <w:color w:val="010101"/>
          <w:spacing w:val="-2"/>
          <w:sz w:val="14"/>
        </w:rPr>
        <w:t> </w:t>
      </w:r>
      <w:r>
        <w:rPr>
          <w:color w:val="010101"/>
          <w:w w:val="83"/>
          <w:sz w:val="23"/>
        </w:rPr>
        <w:t>=</w:t>
      </w:r>
      <w:r>
        <w:rPr>
          <w:color w:val="010101"/>
          <w:spacing w:val="19"/>
          <w:sz w:val="23"/>
        </w:rPr>
        <w:t> </w:t>
      </w:r>
      <w:r>
        <w:rPr>
          <w:i/>
          <w:color w:val="010101"/>
          <w:spacing w:val="-192"/>
          <w:w w:val="110"/>
          <w:sz w:val="28"/>
        </w:rPr>
        <w:t>L</w:t>
      </w:r>
      <w:r>
        <w:rPr>
          <w:rFonts w:ascii="Arial" w:hAnsi="Arial"/>
          <w:b/>
          <w:color w:val="010101"/>
          <w:w w:val="80"/>
          <w:position w:val="-10"/>
          <w:sz w:val="26"/>
        </w:rPr>
        <w:t>,-</w:t>
      </w:r>
      <w:r>
        <w:rPr>
          <w:rFonts w:ascii="Arial" w:hAnsi="Arial"/>
          <w:b/>
          <w:color w:val="010101"/>
          <w:spacing w:val="9"/>
          <w:w w:val="80"/>
          <w:position w:val="-10"/>
          <w:sz w:val="26"/>
        </w:rPr>
        <w:t>1</w:t>
      </w:r>
      <w:r>
        <w:rPr>
          <w:i/>
          <w:color w:val="010101"/>
          <w:w w:val="91"/>
          <w:sz w:val="18"/>
        </w:rPr>
        <w:t>v'</w:t>
      </w:r>
      <w:r>
        <w:rPr>
          <w:i/>
          <w:color w:val="010101"/>
          <w:spacing w:val="-21"/>
          <w:sz w:val="18"/>
        </w:rPr>
        <w:t> </w:t>
      </w:r>
      <w:r>
        <w:rPr>
          <w:i/>
          <w:color w:val="010101"/>
          <w:w w:val="65"/>
          <w:sz w:val="18"/>
        </w:rPr>
        <w:t>,P.z</w:t>
      </w:r>
      <w:r>
        <w:rPr>
          <w:i/>
          <w:color w:val="010101"/>
          <w:spacing w:val="2"/>
          <w:sz w:val="18"/>
        </w:rPr>
        <w:t> </w:t>
      </w:r>
      <w:r>
        <w:rPr>
          <w:color w:val="010101"/>
          <w:spacing w:val="2"/>
          <w:w w:val="132"/>
          <w:sz w:val="18"/>
        </w:rPr>
        <w:t>·</w:t>
      </w:r>
      <w:r>
        <w:rPr>
          <w:color w:val="010101"/>
          <w:w w:val="101"/>
          <w:sz w:val="15"/>
        </w:rPr>
        <w:t>1-11q,</w:t>
      </w:r>
      <w:r>
        <w:rPr>
          <w:color w:val="010101"/>
          <w:spacing w:val="-33"/>
          <w:w w:val="101"/>
          <w:sz w:val="15"/>
        </w:rPr>
        <w:t>/</w:t>
      </w:r>
      <w:r>
        <w:rPr>
          <w:color w:val="010101"/>
          <w:w w:val="78"/>
          <w:sz w:val="15"/>
        </w:rPr>
        <w:t>i.z.t</w:t>
      </w:r>
      <w:r>
        <w:rPr>
          <w:color w:val="010101"/>
          <w:spacing w:val="-11"/>
          <w:sz w:val="15"/>
        </w:rPr>
        <w:t> </w:t>
      </w:r>
      <w:r>
        <w:rPr>
          <w:color w:val="010101"/>
          <w:w w:val="31"/>
          <w:sz w:val="15"/>
        </w:rPr>
        <w:t>&amp;</w:t>
      </w:r>
      <w:r>
        <w:rPr>
          <w:color w:val="010101"/>
          <w:sz w:val="15"/>
        </w:rPr>
        <w:t> </w:t>
      </w:r>
      <w:r>
        <w:rPr>
          <w:color w:val="010101"/>
          <w:spacing w:val="-5"/>
          <w:sz w:val="15"/>
        </w:rPr>
        <w:t> </w:t>
      </w:r>
      <w:r>
        <w:rPr>
          <w:color w:val="181818"/>
          <w:w w:val="65"/>
          <w:sz w:val="15"/>
        </w:rPr>
        <w:t>•</w:t>
      </w:r>
    </w:p>
    <w:p>
      <w:pPr>
        <w:pStyle w:val="ListParagraph"/>
        <w:numPr>
          <w:ilvl w:val="0"/>
          <w:numId w:val="121"/>
        </w:numPr>
        <w:tabs>
          <w:tab w:pos="486" w:val="left" w:leader="none"/>
        </w:tabs>
        <w:spacing w:line="240" w:lineRule="auto" w:before="100" w:after="0"/>
        <w:ind w:left="120" w:right="0" w:firstLine="154"/>
        <w:jc w:val="left"/>
        <w:rPr>
          <w:sz w:val="17"/>
        </w:rPr>
      </w:pPr>
      <w:r>
        <w:rPr>
          <w:color w:val="010101"/>
          <w:w w:val="110"/>
          <w:sz w:val="17"/>
        </w:rPr>
        <w:t>Express in terms of  single- and joint-life </w:t>
      </w:r>
      <w:r>
        <w:rPr>
          <w:color w:val="010101"/>
          <w:spacing w:val="39"/>
          <w:w w:val="110"/>
          <w:sz w:val="17"/>
        </w:rPr>
        <w:t> </w:t>
      </w:r>
      <w:r>
        <w:rPr>
          <w:color w:val="010101"/>
          <w:w w:val="110"/>
          <w:sz w:val="17"/>
        </w:rPr>
        <w:t>annuities:</w:t>
      </w:r>
    </w:p>
    <w:p>
      <w:pPr>
        <w:pStyle w:val="ListParagraph"/>
        <w:numPr>
          <w:ilvl w:val="1"/>
          <w:numId w:val="121"/>
        </w:numPr>
        <w:tabs>
          <w:tab w:pos="745" w:val="left" w:leader="none"/>
        </w:tabs>
        <w:spacing w:line="161" w:lineRule="exact" w:before="16" w:after="0"/>
        <w:ind w:left="744" w:right="0" w:hanging="287"/>
        <w:jc w:val="left"/>
        <w:rPr>
          <w:sz w:val="15"/>
        </w:rPr>
      </w:pPr>
      <w:r>
        <w:rPr>
          <w:color w:val="010101"/>
          <w:sz w:val="15"/>
        </w:rPr>
        <w:t>a.z:</w:t>
      </w:r>
      <w:r>
        <w:rPr>
          <w:color w:val="010101"/>
          <w:spacing w:val="-31"/>
          <w:sz w:val="15"/>
        </w:rPr>
        <w:t> </w:t>
      </w:r>
      <w:r>
        <w:rPr>
          <w:color w:val="010101"/>
          <w:w w:val="285"/>
          <w:sz w:val="15"/>
        </w:rPr>
        <w:t>l</w:t>
      </w:r>
    </w:p>
    <w:p>
      <w:pPr>
        <w:spacing w:line="222" w:lineRule="exact" w:before="0"/>
        <w:ind w:left="460" w:right="0" w:firstLine="0"/>
        <w:jc w:val="left"/>
        <w:rPr>
          <w:sz w:val="25"/>
        </w:rPr>
      </w:pPr>
      <w:r>
        <w:rPr>
          <w:color w:val="010101"/>
          <w:w w:val="111"/>
          <w:sz w:val="16"/>
        </w:rPr>
        <w:t>(b)</w:t>
      </w:r>
      <w:r>
        <w:rPr>
          <w:color w:val="010101"/>
          <w:sz w:val="16"/>
        </w:rPr>
        <w:t> </w:t>
      </w:r>
      <w:r>
        <w:rPr>
          <w:color w:val="010101"/>
          <w:spacing w:val="-2"/>
          <w:sz w:val="16"/>
        </w:rPr>
        <w:t> </w:t>
      </w:r>
      <w:r>
        <w:rPr>
          <w:color w:val="010101"/>
          <w:w w:val="49"/>
          <w:sz w:val="25"/>
        </w:rPr>
        <w:t>aw.</w:t>
      </w:r>
      <w:r>
        <w:rPr>
          <w:color w:val="010101"/>
          <w:spacing w:val="8"/>
          <w:w w:val="49"/>
          <w:sz w:val="25"/>
        </w:rPr>
        <w:t>1</w:t>
      </w:r>
      <w:r>
        <w:rPr>
          <w:color w:val="010101"/>
          <w:w w:val="207"/>
          <w:sz w:val="25"/>
        </w:rPr>
        <w:t>-</w:t>
      </w:r>
      <w:r>
        <w:rPr>
          <w:color w:val="010101"/>
          <w:spacing w:val="-32"/>
          <w:sz w:val="25"/>
        </w:rPr>
        <w:t> </w:t>
      </w:r>
      <w:r>
        <w:rPr>
          <w:color w:val="010101"/>
          <w:w w:val="67"/>
          <w:sz w:val="25"/>
        </w:rPr>
        <w:t>,</w:t>
      </w:r>
    </w:p>
    <w:p>
      <w:pPr>
        <w:pStyle w:val="ListParagraph"/>
        <w:numPr>
          <w:ilvl w:val="0"/>
          <w:numId w:val="121"/>
        </w:numPr>
        <w:tabs>
          <w:tab w:pos="486" w:val="left" w:leader="none"/>
        </w:tabs>
        <w:spacing w:line="182" w:lineRule="auto" w:before="15" w:after="0"/>
        <w:ind w:left="120" w:right="106" w:firstLine="154"/>
        <w:jc w:val="left"/>
        <w:rPr>
          <w:sz w:val="17"/>
        </w:rPr>
      </w:pPr>
      <w:r>
        <w:rPr>
          <w:color w:val="010101"/>
          <w:w w:val="105"/>
          <w:sz w:val="17"/>
        </w:rPr>
        <w:t>The last-survivor annuity </w:t>
      </w:r>
      <w:r>
        <w:rPr>
          <w:i/>
          <w:color w:val="010101"/>
          <w:w w:val="105"/>
          <w:sz w:val="21"/>
        </w:rPr>
        <w:t>a;,; </w:t>
      </w:r>
      <w:r>
        <w:rPr>
          <w:color w:val="010101"/>
          <w:w w:val="105"/>
          <w:sz w:val="17"/>
        </w:rPr>
        <w:t>is paya.ble  in the  following way.  While  all three lives are surviving,  </w:t>
      </w:r>
      <w:r>
        <w:rPr>
          <w:rFonts w:ascii="Arial" w:hAnsi="Arial"/>
          <w:i/>
          <w:color w:val="010101"/>
          <w:spacing w:val="4"/>
          <w:w w:val="105"/>
          <w:sz w:val="15"/>
        </w:rPr>
        <w:t>(x)  </w:t>
      </w:r>
      <w:r>
        <w:rPr>
          <w:color w:val="010101"/>
          <w:w w:val="105"/>
          <w:sz w:val="17"/>
        </w:rPr>
        <w:t>and  </w:t>
      </w:r>
      <w:r>
        <w:rPr>
          <w:rFonts w:ascii="Arial" w:hAnsi="Arial"/>
          <w:i/>
          <w:color w:val="010101"/>
          <w:w w:val="105"/>
          <w:sz w:val="15"/>
        </w:rPr>
        <w:t>( y )  </w:t>
      </w:r>
      <w:r>
        <w:rPr>
          <w:color w:val="010101"/>
          <w:w w:val="105"/>
          <w:sz w:val="17"/>
        </w:rPr>
        <w:t>ea.ch receive  </w:t>
      </w:r>
      <w:r>
        <w:rPr>
          <w:color w:val="010101"/>
          <w:w w:val="105"/>
          <w:sz w:val="23"/>
        </w:rPr>
        <w:t>X </w:t>
      </w:r>
      <w:r>
        <w:rPr>
          <w:color w:val="010101"/>
          <w:w w:val="105"/>
          <w:sz w:val="17"/>
        </w:rPr>
        <w:t>of  the annual </w:t>
      </w:r>
      <w:r>
        <w:rPr>
          <w:color w:val="010101"/>
          <w:spacing w:val="3"/>
          <w:w w:val="105"/>
          <w:sz w:val="17"/>
        </w:rPr>
        <w:t> </w:t>
      </w:r>
      <w:r>
        <w:rPr>
          <w:color w:val="010101"/>
          <w:w w:val="105"/>
          <w:sz w:val="17"/>
        </w:rPr>
        <w:t>pay­</w:t>
      </w:r>
    </w:p>
    <w:p>
      <w:pPr>
        <w:spacing w:line="247" w:lineRule="auto" w:before="0"/>
        <w:ind w:left="120" w:right="105" w:firstLine="0"/>
        <w:jc w:val="both"/>
        <w:rPr>
          <w:sz w:val="17"/>
        </w:rPr>
      </w:pPr>
      <w:r>
        <w:rPr>
          <w:color w:val="010101"/>
          <w:w w:val="110"/>
          <w:sz w:val="17"/>
        </w:rPr>
        <w:t>ment and (z) receives </w:t>
      </w:r>
      <w:r>
        <w:rPr>
          <w:color w:val="010101"/>
          <w:sz w:val="18"/>
        </w:rPr>
        <w:t>3,1. </w:t>
      </w:r>
      <w:r>
        <w:rPr>
          <w:color w:val="010101"/>
          <w:w w:val="110"/>
          <w:sz w:val="17"/>
        </w:rPr>
        <w:t>Upon the death of (x), his share passes to </w:t>
      </w:r>
      <w:r>
        <w:rPr>
          <w:color w:val="010101"/>
          <w:w w:val="110"/>
          <w:sz w:val="15"/>
        </w:rPr>
        <w:t>(y), </w:t>
      </w:r>
      <w:r>
        <w:rPr>
          <w:color w:val="010101"/>
          <w:w w:val="110"/>
          <w:sz w:val="17"/>
        </w:rPr>
        <w:t>if surviving, otherwise to (z). Upon the death of either </w:t>
      </w:r>
      <w:r>
        <w:rPr>
          <w:rFonts w:ascii="Arial" w:hAnsi="Arial"/>
          <w:i/>
          <w:color w:val="010101"/>
          <w:spacing w:val="5"/>
          <w:w w:val="110"/>
          <w:sz w:val="15"/>
        </w:rPr>
        <w:t>(y) </w:t>
      </w:r>
      <w:r>
        <w:rPr>
          <w:color w:val="010101"/>
          <w:w w:val="110"/>
          <w:sz w:val="17"/>
        </w:rPr>
        <w:t>or (z), their shares are divided equally among the survivors, the last survivor receiving  the  total annuity payment of </w:t>
      </w:r>
      <w:r>
        <w:rPr>
          <w:color w:val="010101"/>
          <w:w w:val="125"/>
          <w:sz w:val="16"/>
        </w:rPr>
        <w:t>l. </w:t>
      </w:r>
      <w:r>
        <w:rPr>
          <w:color w:val="010101"/>
          <w:w w:val="110"/>
          <w:sz w:val="17"/>
        </w:rPr>
        <w:t>Find expressions for the present values of the individual shares of (x), </w:t>
      </w:r>
      <w:r>
        <w:rPr>
          <w:rFonts w:ascii="Arial" w:hAnsi="Arial"/>
          <w:i/>
          <w:color w:val="010101"/>
          <w:spacing w:val="3"/>
          <w:w w:val="110"/>
          <w:sz w:val="15"/>
        </w:rPr>
        <w:t>(y), </w:t>
      </w:r>
      <w:r>
        <w:rPr>
          <w:color w:val="010101"/>
          <w:w w:val="110"/>
          <w:sz w:val="17"/>
        </w:rPr>
        <w:t>and </w:t>
      </w:r>
      <w:r>
        <w:rPr>
          <w:rFonts w:ascii="Arial" w:hAnsi="Arial"/>
          <w:i/>
          <w:color w:val="010101"/>
          <w:w w:val="110"/>
          <w:sz w:val="15"/>
        </w:rPr>
        <w:t>(z) </w:t>
      </w:r>
      <w:r>
        <w:rPr>
          <w:color w:val="010101"/>
          <w:w w:val="110"/>
          <w:sz w:val="17"/>
        </w:rPr>
        <w:t>in terms of single- and joint-life an­ nuities.</w:t>
      </w:r>
    </w:p>
    <w:p>
      <w:pPr>
        <w:pStyle w:val="BodyText"/>
        <w:spacing w:before="6"/>
        <w:rPr>
          <w:sz w:val="14"/>
        </w:rPr>
      </w:pPr>
    </w:p>
    <w:p>
      <w:pPr>
        <w:pStyle w:val="ListParagraph"/>
        <w:numPr>
          <w:ilvl w:val="0"/>
          <w:numId w:val="122"/>
        </w:numPr>
        <w:tabs>
          <w:tab w:pos="314" w:val="left" w:leader="none"/>
        </w:tabs>
        <w:spacing w:line="240" w:lineRule="auto" w:before="1" w:after="0"/>
        <w:ind w:left="116" w:right="0" w:hanging="4"/>
        <w:jc w:val="both"/>
        <w:rPr>
          <w:b/>
          <w:sz w:val="16"/>
        </w:rPr>
      </w:pPr>
      <w:r>
        <w:rPr>
          <w:b/>
          <w:color w:val="010101"/>
          <w:w w:val="120"/>
          <w:sz w:val="16"/>
        </w:rPr>
        <w:t>Modifications  of  the  basic </w:t>
      </w:r>
      <w:r>
        <w:rPr>
          <w:b/>
          <w:color w:val="010101"/>
          <w:spacing w:val="29"/>
          <w:w w:val="120"/>
          <w:sz w:val="16"/>
        </w:rPr>
        <w:t> </w:t>
      </w:r>
      <w:r>
        <w:rPr>
          <w:b/>
          <w:color w:val="010101"/>
          <w:w w:val="120"/>
          <w:sz w:val="16"/>
        </w:rPr>
        <w:t>function</w:t>
      </w:r>
    </w:p>
    <w:p>
      <w:pPr>
        <w:pStyle w:val="ListParagraph"/>
        <w:numPr>
          <w:ilvl w:val="0"/>
          <w:numId w:val="122"/>
        </w:numPr>
        <w:tabs>
          <w:tab w:pos="490" w:val="left" w:leader="none"/>
        </w:tabs>
        <w:spacing w:line="247" w:lineRule="auto" w:before="87" w:after="0"/>
        <w:ind w:left="116" w:right="106" w:firstLine="161"/>
        <w:jc w:val="both"/>
        <w:rPr>
          <w:sz w:val="17"/>
        </w:rPr>
      </w:pPr>
      <w:r>
        <w:rPr>
          <w:color w:val="010101"/>
          <w:w w:val="107"/>
          <w:sz w:val="17"/>
        </w:rPr>
        <w:t>Give </w:t>
      </w:r>
      <w:r>
        <w:rPr>
          <w:color w:val="010101"/>
          <w:w w:val="107"/>
          <w:sz w:val="17"/>
        </w:rPr>
        <w:t>two </w:t>
      </w:r>
      <w:r>
        <w:rPr>
          <w:color w:val="010101"/>
          <w:w w:val="110"/>
          <w:sz w:val="17"/>
        </w:rPr>
        <w:t>independent  </w:t>
      </w:r>
      <w:r>
        <w:rPr>
          <w:color w:val="010101"/>
          <w:w w:val="112"/>
          <w:sz w:val="17"/>
        </w:rPr>
        <w:t>integral  </w:t>
      </w:r>
      <w:r>
        <w:rPr>
          <w:color w:val="010101"/>
          <w:w w:val="107"/>
          <w:sz w:val="17"/>
        </w:rPr>
        <w:t>expressions</w:t>
      </w:r>
      <w:r>
        <w:rPr>
          <w:color w:val="010101"/>
          <w:spacing w:val="45"/>
          <w:w w:val="107"/>
          <w:sz w:val="17"/>
        </w:rPr>
        <w:t> </w:t>
      </w:r>
      <w:r>
        <w:rPr>
          <w:color w:val="010101"/>
          <w:w w:val="107"/>
          <w:sz w:val="17"/>
        </w:rPr>
        <w:t>for  </w:t>
      </w:r>
      <w:r>
        <w:rPr>
          <w:color w:val="010101"/>
          <w:w w:val="80"/>
          <w:sz w:val="14"/>
        </w:rPr>
        <w:t>111.z:  </w:t>
      </w:r>
      <w:r>
        <w:rPr>
          <w:color w:val="010101"/>
          <w:w w:val="60"/>
          <w:sz w:val="14"/>
        </w:rPr>
        <w:t>•</w:t>
      </w:r>
      <w:r>
        <w:rPr>
          <w:color w:val="010101"/>
          <w:spacing w:val="21"/>
          <w:w w:val="60"/>
          <w:sz w:val="14"/>
        </w:rPr>
        <w:t> </w:t>
      </w:r>
      <w:r>
        <w:rPr>
          <w:color w:val="010101"/>
          <w:w w:val="112"/>
          <w:sz w:val="17"/>
        </w:rPr>
        <w:t>Demonstrate </w:t>
      </w:r>
      <w:r>
        <w:rPr>
          <w:color w:val="010101"/>
          <w:sz w:val="17"/>
        </w:rPr>
        <w:t>their equivalence by  reducing  both  to  the  same  expression  in  terms  of  sim­  ple    continuous  </w:t>
      </w:r>
      <w:r>
        <w:rPr>
          <w:color w:val="010101"/>
          <w:spacing w:val="25"/>
          <w:sz w:val="17"/>
        </w:rPr>
        <w:t> </w:t>
      </w:r>
      <w:r>
        <w:rPr>
          <w:color w:val="010101"/>
          <w:sz w:val="17"/>
        </w:rPr>
        <w:t>annuities.</w:t>
      </w:r>
    </w:p>
    <w:p>
      <w:pPr>
        <w:pStyle w:val="ListParagraph"/>
        <w:numPr>
          <w:ilvl w:val="0"/>
          <w:numId w:val="123"/>
        </w:numPr>
        <w:tabs>
          <w:tab w:pos="490" w:val="left" w:leader="none"/>
        </w:tabs>
        <w:spacing w:line="240" w:lineRule="auto" w:before="4" w:after="0"/>
        <w:ind w:left="489" w:right="0" w:hanging="212"/>
        <w:jc w:val="left"/>
        <w:rPr>
          <w:sz w:val="17"/>
        </w:rPr>
      </w:pPr>
      <w:r>
        <w:rPr/>
        <w:pict>
          <v:shape style="position:absolute;margin-left:114.798203pt;margin-top:19.184196pt;width:3.25pt;height:7.5pt;mso-position-horizontal-relative:page;mso-position-vertical-relative:paragraph;z-index:-714760" type="#_x0000_t202" filled="false" stroked="false">
            <v:textbox inset="0,0,0,0">
              <w:txbxContent>
                <w:p>
                  <w:pPr>
                    <w:spacing w:line="150" w:lineRule="exact" w:before="0"/>
                    <w:ind w:left="0" w:right="0" w:firstLine="0"/>
                    <w:jc w:val="left"/>
                    <w:rPr>
                      <w:sz w:val="15"/>
                    </w:rPr>
                  </w:pPr>
                  <w:r>
                    <w:rPr>
                      <w:color w:val="010101"/>
                      <w:w w:val="129"/>
                      <w:sz w:val="15"/>
                    </w:rPr>
                    <w:t>-</w:t>
                  </w:r>
                </w:p>
              </w:txbxContent>
            </v:textbox>
            <w10:wrap type="none"/>
          </v:shape>
        </w:pict>
      </w:r>
      <w:r>
        <w:rPr>
          <w:color w:val="010101"/>
          <w:w w:val="115"/>
          <w:sz w:val="17"/>
        </w:rPr>
        <w:t>Show</w:t>
      </w:r>
      <w:r>
        <w:rPr>
          <w:color w:val="010101"/>
          <w:spacing w:val="-9"/>
          <w:w w:val="115"/>
          <w:sz w:val="17"/>
        </w:rPr>
        <w:t> </w:t>
      </w:r>
      <w:r>
        <w:rPr>
          <w:color w:val="010101"/>
          <w:w w:val="115"/>
          <w:sz w:val="17"/>
        </w:rPr>
        <w:t>that</w:t>
      </w:r>
    </w:p>
    <w:p>
      <w:pPr>
        <w:spacing w:after="0" w:line="240" w:lineRule="auto"/>
        <w:jc w:val="left"/>
        <w:rPr>
          <w:sz w:val="17"/>
        </w:rPr>
        <w:sectPr>
          <w:pgSz w:w="7200" w:h="11340"/>
          <w:pgMar w:top="520" w:bottom="280" w:left="680" w:right="560"/>
        </w:sectPr>
      </w:pPr>
    </w:p>
    <w:p>
      <w:pPr>
        <w:pStyle w:val="BodyText"/>
        <w:spacing w:before="3"/>
        <w:rPr>
          <w:sz w:val="14"/>
        </w:rPr>
      </w:pPr>
    </w:p>
    <w:p>
      <w:pPr>
        <w:spacing w:line="130" w:lineRule="exact" w:before="1"/>
        <w:ind w:left="670" w:right="72" w:firstLine="0"/>
        <w:jc w:val="center"/>
        <w:rPr>
          <w:sz w:val="15"/>
        </w:rPr>
      </w:pPr>
      <w:r>
        <w:rPr>
          <w:color w:val="010101"/>
          <w:w w:val="95"/>
          <w:sz w:val="15"/>
        </w:rPr>
        <w:t>éJ  </w:t>
      </w:r>
      <w:r>
        <w:rPr>
          <w:color w:val="010101"/>
          <w:sz w:val="15"/>
        </w:rPr>
        <w:t>-</w:t>
      </w:r>
    </w:p>
    <w:p>
      <w:pPr>
        <w:pStyle w:val="ListParagraph"/>
        <w:numPr>
          <w:ilvl w:val="1"/>
          <w:numId w:val="123"/>
        </w:numPr>
        <w:tabs>
          <w:tab w:pos="702" w:val="left" w:leader="none"/>
        </w:tabs>
        <w:spacing w:line="110" w:lineRule="exact" w:before="0" w:after="0"/>
        <w:ind w:left="701" w:right="0" w:hanging="255"/>
        <w:jc w:val="center"/>
        <w:rPr>
          <w:sz w:val="15"/>
        </w:rPr>
      </w:pPr>
      <w:r>
        <w:rPr>
          <w:color w:val="010101"/>
          <w:spacing w:val="14"/>
          <w:w w:val="396"/>
          <w:sz w:val="16"/>
        </w:rPr>
        <w:t>-</w:t>
      </w:r>
      <w:r>
        <w:rPr>
          <w:color w:val="010101"/>
          <w:w w:val="77"/>
          <w:sz w:val="15"/>
        </w:rPr>
        <w:t>tlill:r</w:t>
      </w:r>
    </w:p>
    <w:p>
      <w:pPr>
        <w:spacing w:line="141" w:lineRule="exact" w:before="0"/>
        <w:ind w:left="548" w:right="141" w:firstLine="0"/>
        <w:jc w:val="center"/>
        <w:rPr>
          <w:rFonts w:ascii="Arial" w:hAnsi="Arial"/>
          <w:i/>
          <w:sz w:val="15"/>
        </w:rPr>
      </w:pPr>
      <w:r>
        <w:rPr>
          <w:rFonts w:ascii="Arial" w:hAnsi="Arial"/>
          <w:i/>
          <w:color w:val="010101"/>
          <w:w w:val="80"/>
          <w:sz w:val="15"/>
        </w:rPr>
        <w:t>éJx</w:t>
      </w:r>
    </w:p>
    <w:p>
      <w:pPr>
        <w:spacing w:before="187"/>
        <w:ind w:left="56" w:right="0" w:firstLine="0"/>
        <w:jc w:val="left"/>
        <w:rPr>
          <w:sz w:val="14"/>
        </w:rPr>
      </w:pPr>
      <w:r>
        <w:rPr/>
        <w:br w:type="column"/>
      </w:r>
      <w:r>
        <w:rPr>
          <w:color w:val="010101"/>
          <w:sz w:val="23"/>
        </w:rPr>
        <w:t>= </w:t>
      </w:r>
      <w:r>
        <w:rPr>
          <w:i/>
          <w:color w:val="010101"/>
          <w:sz w:val="14"/>
        </w:rPr>
        <w:t>µza</w:t>
      </w:r>
      <w:r>
        <w:rPr>
          <w:rFonts w:ascii="Arial" w:hAnsi="Arial"/>
          <w:i/>
          <w:color w:val="010101"/>
          <w:position w:val="-1"/>
          <w:sz w:val="9"/>
        </w:rPr>
        <w:t>11</w:t>
      </w:r>
      <w:r>
        <w:rPr>
          <w:i/>
          <w:color w:val="010101"/>
          <w:sz w:val="14"/>
        </w:rPr>
        <w:t>¡z </w:t>
      </w:r>
      <w:r>
        <w:rPr>
          <w:color w:val="010101"/>
          <w:w w:val="285"/>
          <w:sz w:val="14"/>
        </w:rPr>
        <w:t>-</w:t>
      </w:r>
    </w:p>
    <w:p>
      <w:pPr>
        <w:pStyle w:val="BodyText"/>
        <w:spacing w:before="3"/>
        <w:rPr>
          <w:sz w:val="14"/>
        </w:rPr>
      </w:pPr>
      <w:r>
        <w:rPr/>
        <w:br w:type="column"/>
      </w:r>
      <w:r>
        <w:rPr>
          <w:sz w:val="14"/>
        </w:rPr>
      </w:r>
    </w:p>
    <w:p>
      <w:pPr>
        <w:spacing w:line="135" w:lineRule="exact" w:before="1"/>
        <w:ind w:left="69" w:right="0" w:firstLine="0"/>
        <w:jc w:val="left"/>
        <w:rPr>
          <w:b/>
          <w:sz w:val="15"/>
        </w:rPr>
      </w:pPr>
      <w:r>
        <w:rPr>
          <w:b/>
          <w:color w:val="010101"/>
          <w:w w:val="110"/>
          <w:sz w:val="15"/>
        </w:rPr>
        <w:t>-z</w:t>
      </w:r>
    </w:p>
    <w:p>
      <w:pPr>
        <w:spacing w:line="135" w:lineRule="exact" w:before="0"/>
        <w:ind w:left="15" w:right="0" w:firstLine="0"/>
        <w:jc w:val="left"/>
        <w:rPr>
          <w:sz w:val="15"/>
        </w:rPr>
      </w:pPr>
      <w:r>
        <w:rPr>
          <w:color w:val="010101"/>
          <w:w w:val="80"/>
          <w:sz w:val="15"/>
        </w:rPr>
        <w:t>A:r11</w:t>
      </w:r>
    </w:p>
    <w:p>
      <w:pPr>
        <w:spacing w:after="0" w:line="135" w:lineRule="exact"/>
        <w:jc w:val="left"/>
        <w:rPr>
          <w:sz w:val="15"/>
        </w:rPr>
        <w:sectPr>
          <w:type w:val="continuous"/>
          <w:pgSz w:w="7200" w:h="11340"/>
          <w:pgMar w:top="1100" w:bottom="0" w:left="680" w:right="560"/>
          <w:cols w:num="3" w:equalWidth="0">
            <w:col w:w="1161" w:space="40"/>
            <w:col w:w="863" w:space="40"/>
            <w:col w:w="3856"/>
          </w:cols>
        </w:sectPr>
      </w:pPr>
    </w:p>
    <w:p>
      <w:pPr>
        <w:spacing w:line="401" w:lineRule="exact" w:before="0"/>
        <w:ind w:left="439" w:right="0" w:firstLine="0"/>
        <w:jc w:val="left"/>
        <w:rPr>
          <w:i/>
          <w:sz w:val="37"/>
        </w:rPr>
      </w:pPr>
      <w:r>
        <w:rPr>
          <w:color w:val="010101"/>
          <w:w w:val="106"/>
          <w:sz w:val="17"/>
        </w:rPr>
        <w:t>(b)</w:t>
      </w:r>
      <w:r>
        <w:rPr>
          <w:color w:val="010101"/>
          <w:sz w:val="17"/>
        </w:rPr>
        <w:t> </w:t>
      </w:r>
      <w:r>
        <w:rPr>
          <w:color w:val="010101"/>
          <w:spacing w:val="-21"/>
          <w:sz w:val="17"/>
        </w:rPr>
        <w:t> </w:t>
      </w:r>
      <w:r>
        <w:rPr>
          <w:rFonts w:ascii="Arial" w:hAnsi="Arial"/>
          <w:color w:val="010101"/>
          <w:spacing w:val="-14"/>
          <w:w w:val="106"/>
          <w:sz w:val="27"/>
        </w:rPr>
        <w:t>J</w:t>
      </w:r>
      <w:r>
        <w:rPr>
          <w:rFonts w:ascii="Arial" w:hAnsi="Arial"/>
          <w:color w:val="010101"/>
          <w:w w:val="45"/>
          <w:sz w:val="27"/>
        </w:rPr>
        <w:t>!w</w:t>
      </w:r>
      <w:r>
        <w:rPr>
          <w:rFonts w:ascii="Arial" w:hAnsi="Arial"/>
          <w:color w:val="010101"/>
          <w:spacing w:val="9"/>
          <w:sz w:val="27"/>
        </w:rPr>
        <w:t> </w:t>
      </w:r>
      <w:r>
        <w:rPr>
          <w:color w:val="010101"/>
          <w:w w:val="91"/>
          <w:sz w:val="21"/>
        </w:rPr>
        <w:t>=</w:t>
      </w:r>
      <w:r>
        <w:rPr>
          <w:color w:val="010101"/>
          <w:sz w:val="21"/>
        </w:rPr>
        <w:t> </w:t>
      </w:r>
      <w:r>
        <w:rPr>
          <w:color w:val="010101"/>
          <w:spacing w:val="-21"/>
          <w:sz w:val="21"/>
        </w:rPr>
        <w:t> </w:t>
      </w:r>
      <w:r>
        <w:rPr>
          <w:color w:val="010101"/>
          <w:w w:val="75"/>
          <w:sz w:val="22"/>
        </w:rPr>
        <w:t>Az!</w:t>
      </w:r>
      <w:r>
        <w:rPr>
          <w:color w:val="010101"/>
          <w:spacing w:val="17"/>
          <w:sz w:val="22"/>
        </w:rPr>
        <w:t> </w:t>
      </w:r>
      <w:r>
        <w:rPr>
          <w:color w:val="010101"/>
          <w:w w:val="203"/>
          <w:sz w:val="22"/>
        </w:rPr>
        <w:t>-</w:t>
      </w:r>
      <w:r>
        <w:rPr>
          <w:color w:val="010101"/>
          <w:spacing w:val="-8"/>
          <w:sz w:val="22"/>
        </w:rPr>
        <w:t> </w:t>
      </w:r>
      <w:r>
        <w:rPr>
          <w:i/>
          <w:color w:val="010101"/>
          <w:w w:val="83"/>
          <w:sz w:val="37"/>
        </w:rPr>
        <w:t>ºª*</w:t>
      </w:r>
      <w:r>
        <w:rPr>
          <w:i/>
          <w:color w:val="010101"/>
          <w:spacing w:val="-64"/>
          <w:sz w:val="37"/>
        </w:rPr>
        <w:t> </w:t>
      </w:r>
      <w:r>
        <w:rPr>
          <w:i/>
          <w:color w:val="010101"/>
          <w:w w:val="67"/>
          <w:sz w:val="37"/>
        </w:rPr>
        <w:t>.</w:t>
      </w:r>
    </w:p>
    <w:p>
      <w:pPr>
        <w:spacing w:before="49"/>
        <w:ind w:left="281" w:right="0" w:firstLine="0"/>
        <w:jc w:val="left"/>
        <w:rPr>
          <w:sz w:val="17"/>
        </w:rPr>
      </w:pPr>
      <w:r>
        <w:rPr/>
        <w:drawing>
          <wp:anchor distT="0" distB="0" distL="0" distR="0" allowOverlap="1" layoutInCell="1" locked="0" behindDoc="0" simplePos="0" relativeHeight="21280">
            <wp:simplePos x="0" y="0"/>
            <wp:positionH relativeFrom="page">
              <wp:posOffset>1810511</wp:posOffset>
            </wp:positionH>
            <wp:positionV relativeFrom="paragraph">
              <wp:posOffset>200628</wp:posOffset>
            </wp:positionV>
            <wp:extent cx="1088136" cy="237744"/>
            <wp:effectExtent l="0" t="0" r="0" b="0"/>
            <wp:wrapTopAndBottom/>
            <wp:docPr id="641" name="image326.png" descr=""/>
            <wp:cNvGraphicFramePr>
              <a:graphicFrameLocks noChangeAspect="1"/>
            </wp:cNvGraphicFramePr>
            <a:graphic>
              <a:graphicData uri="http://schemas.openxmlformats.org/drawingml/2006/picture">
                <pic:pic>
                  <pic:nvPicPr>
                    <pic:cNvPr id="642" name="image326.png"/>
                    <pic:cNvPicPr/>
                  </pic:nvPicPr>
                  <pic:blipFill>
                    <a:blip r:embed="rId330" cstate="print"/>
                    <a:stretch>
                      <a:fillRect/>
                    </a:stretch>
                  </pic:blipFill>
                  <pic:spPr>
                    <a:xfrm>
                      <a:off x="0" y="0"/>
                      <a:ext cx="1088136" cy="237744"/>
                    </a:xfrm>
                    <a:prstGeom prst="rect">
                      <a:avLst/>
                    </a:prstGeom>
                  </pic:spPr>
                </pic:pic>
              </a:graphicData>
            </a:graphic>
          </wp:anchor>
        </w:drawing>
      </w:r>
      <w:r>
        <w:rPr>
          <w:color w:val="010101"/>
          <w:w w:val="110"/>
          <w:sz w:val="17"/>
        </w:rPr>
        <w:t>ü.  Show that</w:t>
      </w:r>
    </w:p>
    <w:p>
      <w:pPr>
        <w:pStyle w:val="BodyText"/>
        <w:spacing w:before="5"/>
        <w:rPr>
          <w:sz w:val="18"/>
        </w:rPr>
      </w:pPr>
    </w:p>
    <w:p>
      <w:pPr>
        <w:spacing w:before="1"/>
        <w:ind w:left="0" w:right="2556" w:firstLine="0"/>
        <w:jc w:val="center"/>
        <w:rPr>
          <w:b/>
          <w:sz w:val="16"/>
        </w:rPr>
      </w:pPr>
      <w:r>
        <w:rPr>
          <w:b/>
          <w:i/>
          <w:color w:val="010101"/>
          <w:w w:val="120"/>
          <w:sz w:val="14"/>
        </w:rPr>
        <w:t>4,.  </w:t>
      </w:r>
      <w:r>
        <w:rPr>
          <w:b/>
          <w:color w:val="010101"/>
          <w:w w:val="120"/>
          <w:sz w:val="16"/>
        </w:rPr>
        <w:t>Functions  involving  terms-certain</w:t>
      </w:r>
    </w:p>
    <w:p>
      <w:pPr>
        <w:pStyle w:val="ListParagraph"/>
        <w:numPr>
          <w:ilvl w:val="0"/>
          <w:numId w:val="124"/>
        </w:numPr>
        <w:tabs>
          <w:tab w:pos="490" w:val="left" w:leader="none"/>
        </w:tabs>
        <w:spacing w:line="240" w:lineRule="auto" w:before="87" w:after="0"/>
        <w:ind w:left="129" w:right="0" w:firstLine="152"/>
        <w:jc w:val="left"/>
        <w:rPr>
          <w:sz w:val="17"/>
        </w:rPr>
      </w:pPr>
      <w:r>
        <w:rPr>
          <w:color w:val="010101"/>
          <w:w w:val="110"/>
          <w:sz w:val="17"/>
        </w:rPr>
        <w:t>Express in terma of commutation functions and simple annuity val</w:t>
      </w:r>
      <w:r>
        <w:rPr>
          <w:color w:val="010101"/>
          <w:spacing w:val="23"/>
          <w:w w:val="110"/>
          <w:sz w:val="17"/>
        </w:rPr>
        <w:t> </w:t>
      </w:r>
      <w:r>
        <w:rPr>
          <w:color w:val="010101"/>
          <w:w w:val="110"/>
          <w:sz w:val="17"/>
        </w:rPr>
        <w:t>ues:</w:t>
      </w:r>
    </w:p>
    <w:p>
      <w:pPr>
        <w:pStyle w:val="ListParagraph"/>
        <w:numPr>
          <w:ilvl w:val="1"/>
          <w:numId w:val="124"/>
        </w:numPr>
        <w:tabs>
          <w:tab w:pos="745" w:val="left" w:leader="none"/>
        </w:tabs>
        <w:spacing w:line="244" w:lineRule="auto" w:before="2" w:after="0"/>
        <w:ind w:left="740" w:right="110" w:hanging="280"/>
        <w:jc w:val="both"/>
        <w:rPr>
          <w:sz w:val="17"/>
        </w:rPr>
      </w:pPr>
      <w:r>
        <w:rPr>
          <w:color w:val="010101"/>
          <w:w w:val="110"/>
          <w:sz w:val="17"/>
        </w:rPr>
        <w:t>the present value of a temporary annuity of 1 paya.ble to  </w:t>
      </w:r>
      <w:r>
        <w:rPr>
          <w:rFonts w:ascii="Arial"/>
          <w:i/>
          <w:color w:val="010101"/>
          <w:spacing w:val="4"/>
          <w:w w:val="110"/>
          <w:sz w:val="15"/>
        </w:rPr>
        <w:t>(x) </w:t>
      </w:r>
      <w:r>
        <w:rPr>
          <w:color w:val="010101"/>
          <w:w w:val="110"/>
          <w:sz w:val="17"/>
        </w:rPr>
        <w:t>with the first payment at the erid of </w:t>
      </w:r>
      <w:r>
        <w:rPr>
          <w:i/>
          <w:color w:val="010101"/>
          <w:w w:val="110"/>
          <w:sz w:val="17"/>
        </w:rPr>
        <w:t>n </w:t>
      </w:r>
      <w:r>
        <w:rPr>
          <w:color w:val="010101"/>
          <w:w w:val="110"/>
          <w:sz w:val="17"/>
        </w:rPr>
        <w:t>years from the end of the year of death of  </w:t>
      </w:r>
      <w:r>
        <w:rPr>
          <w:rFonts w:ascii="Arial"/>
          <w:i/>
          <w:color w:val="010101"/>
          <w:spacing w:val="4"/>
          <w:w w:val="110"/>
          <w:sz w:val="15"/>
        </w:rPr>
        <w:t>(y), </w:t>
      </w:r>
      <w:r>
        <w:rPr>
          <w:color w:val="010101"/>
          <w:w w:val="110"/>
          <w:sz w:val="17"/>
        </w:rPr>
        <w:t>but with no payments  to be made after </w:t>
      </w:r>
      <w:r>
        <w:rPr>
          <w:rFonts w:ascii="Arial"/>
          <w:i/>
          <w:color w:val="010101"/>
          <w:w w:val="110"/>
          <w:sz w:val="15"/>
        </w:rPr>
        <w:t>m </w:t>
      </w:r>
      <w:r>
        <w:rPr>
          <w:color w:val="010101"/>
          <w:w w:val="110"/>
          <w:sz w:val="17"/>
        </w:rPr>
        <w:t>years  </w:t>
      </w:r>
      <w:r>
        <w:rPr>
          <w:color w:val="010101"/>
          <w:spacing w:val="39"/>
          <w:w w:val="110"/>
          <w:sz w:val="17"/>
        </w:rPr>
        <w:t> </w:t>
      </w:r>
      <w:r>
        <w:rPr>
          <w:color w:val="010101"/>
          <w:w w:val="110"/>
          <w:sz w:val="17"/>
        </w:rPr>
        <w:t>from</w:t>
      </w:r>
    </w:p>
    <w:p>
      <w:pPr>
        <w:spacing w:line="201" w:lineRule="exact" w:before="0"/>
        <w:ind w:left="740" w:right="0" w:firstLine="0"/>
        <w:jc w:val="left"/>
        <w:rPr>
          <w:rFonts w:ascii="Arial"/>
          <w:i/>
          <w:sz w:val="15"/>
        </w:rPr>
      </w:pPr>
      <w:r>
        <w:rPr>
          <w:color w:val="010101"/>
          <w:w w:val="105"/>
          <w:sz w:val="17"/>
        </w:rPr>
        <w:t>the  present  time   </w:t>
      </w:r>
      <w:r>
        <w:rPr>
          <w:rFonts w:ascii="Arial"/>
          <w:i/>
          <w:color w:val="010101"/>
          <w:w w:val="105"/>
          <w:sz w:val="15"/>
        </w:rPr>
        <w:t>(m  </w:t>
      </w:r>
      <w:r>
        <w:rPr>
          <w:rFonts w:ascii="Arial"/>
          <w:color w:val="010101"/>
          <w:w w:val="105"/>
          <w:sz w:val="21"/>
        </w:rPr>
        <w:t>&gt; </w:t>
      </w:r>
      <w:r>
        <w:rPr>
          <w:rFonts w:ascii="Arial"/>
          <w:i/>
          <w:color w:val="010101"/>
          <w:w w:val="105"/>
          <w:sz w:val="15"/>
        </w:rPr>
        <w:t>n) ;</w:t>
      </w:r>
    </w:p>
    <w:p>
      <w:pPr>
        <w:pStyle w:val="ListParagraph"/>
        <w:numPr>
          <w:ilvl w:val="1"/>
          <w:numId w:val="124"/>
        </w:numPr>
        <w:tabs>
          <w:tab w:pos="741" w:val="left" w:leader="none"/>
        </w:tabs>
        <w:spacing w:line="225" w:lineRule="auto" w:before="5" w:after="0"/>
        <w:ind w:left="740" w:right="110" w:hanging="283"/>
        <w:jc w:val="both"/>
        <w:rPr>
          <w:sz w:val="20"/>
        </w:rPr>
      </w:pPr>
      <w:r>
        <w:rPr>
          <w:color w:val="010101"/>
          <w:w w:val="110"/>
          <w:sz w:val="17"/>
        </w:rPr>
        <w:t>the present value of a temporary annuity of 1 paya.ble to </w:t>
      </w:r>
      <w:r>
        <w:rPr>
          <w:rFonts w:ascii="Arial"/>
          <w:i/>
          <w:color w:val="010101"/>
          <w:spacing w:val="5"/>
          <w:w w:val="110"/>
          <w:sz w:val="15"/>
        </w:rPr>
        <w:t>(x) </w:t>
      </w:r>
      <w:r>
        <w:rPr>
          <w:color w:val="010101"/>
          <w:w w:val="110"/>
          <w:sz w:val="17"/>
        </w:rPr>
        <w:t>during the lifetime of </w:t>
      </w:r>
      <w:r>
        <w:rPr>
          <w:color w:val="010101"/>
          <w:w w:val="110"/>
          <w:sz w:val="15"/>
        </w:rPr>
        <w:t>(y) </w:t>
      </w:r>
      <w:r>
        <w:rPr>
          <w:color w:val="010101"/>
          <w:w w:val="110"/>
          <w:sz w:val="17"/>
        </w:rPr>
        <w:t>and for </w:t>
      </w:r>
      <w:r>
        <w:rPr>
          <w:i/>
          <w:color w:val="010101"/>
          <w:w w:val="110"/>
          <w:sz w:val="17"/>
        </w:rPr>
        <w:t>n </w:t>
      </w:r>
      <w:r>
        <w:rPr>
          <w:color w:val="010101"/>
          <w:w w:val="110"/>
          <w:sz w:val="17"/>
        </w:rPr>
        <w:t>years af ter  the death of  </w:t>
      </w:r>
      <w:r>
        <w:rPr>
          <w:color w:val="181818"/>
          <w:w w:val="110"/>
          <w:sz w:val="15"/>
        </w:rPr>
        <w:t>(y), </w:t>
      </w:r>
      <w:r>
        <w:rPr>
          <w:color w:val="010101"/>
          <w:w w:val="110"/>
          <w:sz w:val="17"/>
        </w:rPr>
        <w:t>but  with  no payments to be made af ter </w:t>
      </w:r>
      <w:r>
        <w:rPr>
          <w:rFonts w:ascii="Arial"/>
          <w:i/>
          <w:color w:val="010101"/>
          <w:w w:val="110"/>
          <w:sz w:val="15"/>
        </w:rPr>
        <w:t>m </w:t>
      </w:r>
      <w:r>
        <w:rPr>
          <w:color w:val="010101"/>
          <w:w w:val="110"/>
          <w:sz w:val="17"/>
        </w:rPr>
        <w:t>years from the present  time  </w:t>
      </w:r>
      <w:r>
        <w:rPr>
          <w:rFonts w:ascii="Arial"/>
          <w:i/>
          <w:color w:val="010101"/>
          <w:w w:val="110"/>
          <w:sz w:val="15"/>
        </w:rPr>
        <w:t>(m</w:t>
      </w:r>
      <w:r>
        <w:rPr>
          <w:rFonts w:ascii="Arial"/>
          <w:i/>
          <w:color w:val="010101"/>
          <w:spacing w:val="34"/>
          <w:w w:val="110"/>
          <w:sz w:val="15"/>
        </w:rPr>
        <w:t> </w:t>
      </w:r>
      <w:r>
        <w:rPr>
          <w:color w:val="010101"/>
          <w:w w:val="110"/>
          <w:sz w:val="20"/>
        </w:rPr>
        <w:t>&gt;</w:t>
      </w:r>
    </w:p>
    <w:p>
      <w:pPr>
        <w:spacing w:before="13"/>
        <w:ind w:left="740" w:right="0" w:firstLine="0"/>
        <w:jc w:val="left"/>
        <w:rPr>
          <w:rFonts w:ascii="Arial"/>
          <w:i/>
          <w:sz w:val="15"/>
        </w:rPr>
      </w:pPr>
      <w:r>
        <w:rPr>
          <w:rFonts w:ascii="Arial"/>
          <w:i/>
          <w:color w:val="010101"/>
          <w:w w:val="110"/>
          <w:sz w:val="15"/>
        </w:rPr>
        <w:t>n).</w:t>
      </w:r>
    </w:p>
    <w:p>
      <w:pPr>
        <w:spacing w:after="0"/>
        <w:jc w:val="left"/>
        <w:rPr>
          <w:rFonts w:ascii="Arial"/>
          <w:sz w:val="15"/>
        </w:rPr>
        <w:sectPr>
          <w:type w:val="continuous"/>
          <w:pgSz w:w="7200" w:h="11340"/>
          <w:pgMar w:top="1100" w:bottom="0" w:left="680" w:right="560"/>
        </w:sectPr>
      </w:pPr>
    </w:p>
    <w:p>
      <w:pPr>
        <w:tabs>
          <w:tab w:pos="1739" w:val="left" w:leader="none"/>
          <w:tab w:pos="5104" w:val="left" w:leader="none"/>
        </w:tabs>
        <w:spacing w:before="60"/>
        <w:ind w:left="0" w:right="114" w:firstLine="0"/>
        <w:jc w:val="right"/>
        <w:rPr>
          <w:sz w:val="20"/>
        </w:rPr>
      </w:pPr>
      <w:r>
        <w:rPr>
          <w:rFonts w:ascii="Courier New"/>
          <w:color w:val="010101"/>
          <w:spacing w:val="-27"/>
          <w:w w:val="105"/>
          <w:sz w:val="22"/>
        </w:rPr>
        <w:t>266</w:t>
        <w:tab/>
      </w:r>
      <w:r>
        <w:rPr>
          <w:b/>
          <w:color w:val="010101"/>
          <w:w w:val="105"/>
          <w:position w:val="1"/>
          <w:sz w:val="15"/>
        </w:rPr>
        <w:t>REVERSIO:SARY  </w:t>
      </w:r>
      <w:r>
        <w:rPr>
          <w:b/>
          <w:color w:val="010101"/>
          <w:spacing w:val="30"/>
          <w:w w:val="105"/>
          <w:position w:val="1"/>
          <w:sz w:val="15"/>
        </w:rPr>
        <w:t> </w:t>
      </w:r>
      <w:r>
        <w:rPr>
          <w:color w:val="010101"/>
          <w:w w:val="105"/>
          <w:position w:val="1"/>
          <w:sz w:val="14"/>
        </w:rPr>
        <w:t>ANSUITIES</w:t>
        <w:tab/>
      </w:r>
      <w:r>
        <w:rPr>
          <w:color w:val="010101"/>
          <w:w w:val="105"/>
          <w:position w:val="1"/>
          <w:sz w:val="16"/>
        </w:rPr>
        <w:t>[CH. </w:t>
      </w:r>
      <w:r>
        <w:rPr>
          <w:color w:val="010101"/>
          <w:spacing w:val="10"/>
          <w:w w:val="105"/>
          <w:position w:val="1"/>
          <w:sz w:val="16"/>
        </w:rPr>
        <w:t> </w:t>
      </w:r>
      <w:r>
        <w:rPr>
          <w:color w:val="010101"/>
          <w:w w:val="105"/>
          <w:position w:val="1"/>
          <w:sz w:val="20"/>
        </w:rPr>
        <w:t>13</w:t>
      </w:r>
    </w:p>
    <w:p>
      <w:pPr>
        <w:pStyle w:val="BodyText"/>
        <w:spacing w:before="10"/>
        <w:rPr>
          <w:sz w:val="18"/>
        </w:rPr>
      </w:pPr>
    </w:p>
    <w:p>
      <w:pPr>
        <w:pStyle w:val="ListParagraph"/>
        <w:numPr>
          <w:ilvl w:val="0"/>
          <w:numId w:val="124"/>
        </w:numPr>
        <w:tabs>
          <w:tab w:pos="510" w:val="left" w:leader="none"/>
        </w:tabs>
        <w:spacing w:line="247" w:lineRule="auto" w:before="0" w:after="0"/>
        <w:ind w:left="129" w:right="127" w:firstLine="165"/>
        <w:jc w:val="both"/>
        <w:rPr>
          <w:sz w:val="17"/>
        </w:rPr>
      </w:pPr>
      <w:r>
        <w:rPr>
          <w:color w:val="010101"/>
          <w:w w:val="110"/>
          <w:sz w:val="17"/>
        </w:rPr>
        <w:t>An annuity of 1 becomes payable at the end of the year of death of </w:t>
      </w:r>
      <w:r>
        <w:rPr>
          <w:rFonts w:ascii="Arial" w:hAnsi="Arial"/>
          <w:i/>
          <w:color w:val="010101"/>
          <w:w w:val="110"/>
          <w:sz w:val="14"/>
        </w:rPr>
        <w:t>(x) </w:t>
      </w:r>
      <w:r>
        <w:rPr>
          <w:color w:val="010101"/>
          <w:w w:val="110"/>
          <w:sz w:val="17"/>
        </w:rPr>
        <w:t>and continues until </w:t>
      </w:r>
      <w:r>
        <w:rPr>
          <w:i/>
          <w:color w:val="010101"/>
          <w:w w:val="110"/>
          <w:sz w:val="17"/>
        </w:rPr>
        <w:t>n </w:t>
      </w:r>
      <w:r>
        <w:rPr>
          <w:color w:val="010101"/>
          <w:w w:val="110"/>
          <w:sz w:val="17"/>
        </w:rPr>
        <w:t>years af ter the death of </w:t>
      </w:r>
      <w:r>
        <w:rPr>
          <w:color w:val="010101"/>
          <w:w w:val="110"/>
          <w:sz w:val="15"/>
        </w:rPr>
        <w:t>(y). </w:t>
      </w:r>
      <w:r>
        <w:rPr>
          <w:color w:val="010101"/>
          <w:w w:val="110"/>
          <w:sz w:val="17"/>
        </w:rPr>
        <w:t>Express the present value in terms of net single premi um symbols on each of the following assump­ tions:</w:t>
      </w:r>
    </w:p>
    <w:p>
      <w:pPr>
        <w:spacing w:line="185" w:lineRule="exact" w:before="0"/>
        <w:ind w:left="0" w:right="135" w:firstLine="0"/>
        <w:jc w:val="right"/>
        <w:rPr>
          <w:rFonts w:ascii="Arial"/>
          <w:i/>
          <w:sz w:val="15"/>
        </w:rPr>
      </w:pPr>
      <w:r>
        <w:rPr>
          <w:b/>
          <w:color w:val="010101"/>
          <w:sz w:val="16"/>
        </w:rPr>
        <w:t>(a.)   </w:t>
      </w:r>
      <w:r>
        <w:rPr>
          <w:color w:val="010101"/>
          <w:sz w:val="17"/>
        </w:rPr>
        <w:t>the  annuity  is entered  upon  only  if  </w:t>
      </w:r>
      <w:r>
        <w:rPr>
          <w:rFonts w:ascii="Arial"/>
          <w:i/>
          <w:color w:val="010101"/>
          <w:sz w:val="15"/>
        </w:rPr>
        <w:t>( y )  </w:t>
      </w:r>
      <w:r>
        <w:rPr>
          <w:color w:val="010101"/>
          <w:sz w:val="17"/>
        </w:rPr>
        <w:t>is alive  at  the  death  of  </w:t>
      </w:r>
      <w:r>
        <w:rPr>
          <w:rFonts w:ascii="Arial"/>
          <w:i/>
          <w:color w:val="010101"/>
          <w:sz w:val="15"/>
        </w:rPr>
        <w:t>(x) ;</w:t>
      </w:r>
    </w:p>
    <w:p>
      <w:pPr>
        <w:spacing w:line="244" w:lineRule="auto" w:before="6"/>
        <w:ind w:left="129" w:right="136" w:firstLine="344"/>
        <w:jc w:val="right"/>
        <w:rPr>
          <w:sz w:val="17"/>
        </w:rPr>
      </w:pPr>
      <w:r>
        <w:rPr>
          <w:color w:val="010101"/>
          <w:w w:val="110"/>
          <w:sz w:val="17"/>
        </w:rPr>
        <w:t>(b) the annuity is payable whether or not </w:t>
      </w:r>
      <w:r>
        <w:rPr>
          <w:rFonts w:ascii="Arial"/>
          <w:i/>
          <w:color w:val="010101"/>
          <w:w w:val="110"/>
          <w:sz w:val="15"/>
        </w:rPr>
        <w:t>(y ) </w:t>
      </w:r>
      <w:r>
        <w:rPr>
          <w:color w:val="010101"/>
          <w:w w:val="110"/>
          <w:sz w:val="17"/>
        </w:rPr>
        <w:t>is alive at the death</w:t>
      </w:r>
      <w:r>
        <w:rPr>
          <w:color w:val="010101"/>
          <w:spacing w:val="-11"/>
          <w:w w:val="110"/>
          <w:sz w:val="17"/>
        </w:rPr>
        <w:t> </w:t>
      </w:r>
      <w:r>
        <w:rPr>
          <w:color w:val="010101"/>
          <w:w w:val="110"/>
          <w:sz w:val="17"/>
        </w:rPr>
        <w:t>of</w:t>
      </w:r>
      <w:r>
        <w:rPr>
          <w:color w:val="010101"/>
          <w:spacing w:val="27"/>
          <w:w w:val="110"/>
          <w:sz w:val="17"/>
        </w:rPr>
        <w:t> </w:t>
      </w:r>
      <w:r>
        <w:rPr>
          <w:rFonts w:ascii="Arial"/>
          <w:i/>
          <w:color w:val="010101"/>
          <w:spacing w:val="3"/>
          <w:w w:val="110"/>
          <w:sz w:val="15"/>
        </w:rPr>
        <w:t>(x).</w:t>
      </w:r>
      <w:r>
        <w:rPr>
          <w:rFonts w:ascii="Arial"/>
          <w:i/>
          <w:color w:val="010101"/>
          <w:w w:val="120"/>
          <w:sz w:val="15"/>
        </w:rPr>
        <w:t> </w:t>
      </w:r>
      <w:r>
        <w:rPr>
          <w:color w:val="010101"/>
          <w:spacing w:val="6"/>
          <w:w w:val="110"/>
          <w:sz w:val="17"/>
        </w:rPr>
        <w:t>9</w:t>
      </w:r>
      <w:r>
        <w:rPr>
          <w:color w:val="1F1F1F"/>
          <w:spacing w:val="6"/>
          <w:w w:val="110"/>
          <w:sz w:val="17"/>
        </w:rPr>
        <w:t>. </w:t>
      </w:r>
      <w:r>
        <w:rPr>
          <w:color w:val="010101"/>
          <w:w w:val="110"/>
          <w:sz w:val="17"/>
        </w:rPr>
        <w:t>Find an expression in a form free from integrals  or </w:t>
      </w:r>
      <w:r>
        <w:rPr>
          <w:color w:val="010101"/>
          <w:spacing w:val="45"/>
          <w:w w:val="110"/>
          <w:sz w:val="17"/>
        </w:rPr>
        <w:t> </w:t>
      </w:r>
      <w:r>
        <w:rPr>
          <w:color w:val="010101"/>
          <w:w w:val="110"/>
          <w:sz w:val="17"/>
        </w:rPr>
        <w:t>summations</w:t>
      </w:r>
      <w:r>
        <w:rPr>
          <w:color w:val="010101"/>
          <w:spacing w:val="33"/>
          <w:w w:val="110"/>
          <w:sz w:val="17"/>
        </w:rPr>
        <w:t> </w:t>
      </w:r>
      <w:r>
        <w:rPr>
          <w:color w:val="010101"/>
          <w:w w:val="110"/>
          <w:sz w:val="17"/>
        </w:rPr>
        <w:t>for</w:t>
      </w:r>
      <w:r>
        <w:rPr>
          <w:color w:val="010101"/>
          <w:w w:val="109"/>
          <w:sz w:val="17"/>
        </w:rPr>
        <w:t> </w:t>
      </w:r>
      <w:r>
        <w:rPr>
          <w:color w:val="010101"/>
          <w:w w:val="110"/>
          <w:sz w:val="17"/>
        </w:rPr>
        <w:t>the value of an annuity of $100 per annum payable to </w:t>
      </w:r>
      <w:r>
        <w:rPr>
          <w:rFonts w:ascii="Arial"/>
          <w:i/>
          <w:color w:val="010101"/>
          <w:spacing w:val="4"/>
          <w:w w:val="110"/>
          <w:sz w:val="14"/>
        </w:rPr>
        <w:t>(y), </w:t>
      </w:r>
      <w:r>
        <w:rPr>
          <w:color w:val="010101"/>
          <w:w w:val="110"/>
          <w:sz w:val="17"/>
        </w:rPr>
        <w:t>the</w:t>
      </w:r>
      <w:r>
        <w:rPr>
          <w:color w:val="010101"/>
          <w:spacing w:val="4"/>
          <w:w w:val="110"/>
          <w:sz w:val="17"/>
        </w:rPr>
        <w:t> </w:t>
      </w:r>
      <w:r>
        <w:rPr>
          <w:color w:val="010101"/>
          <w:w w:val="110"/>
          <w:sz w:val="17"/>
        </w:rPr>
        <w:t>first</w:t>
      </w:r>
      <w:r>
        <w:rPr>
          <w:color w:val="010101"/>
          <w:spacing w:val="6"/>
          <w:w w:val="110"/>
          <w:sz w:val="17"/>
        </w:rPr>
        <w:t> </w:t>
      </w:r>
      <w:r>
        <w:rPr>
          <w:color w:val="010101"/>
          <w:w w:val="110"/>
          <w:sz w:val="17"/>
        </w:rPr>
        <w:t>payment</w:t>
      </w:r>
      <w:r>
        <w:rPr>
          <w:color w:val="010101"/>
          <w:w w:val="110"/>
          <w:sz w:val="17"/>
        </w:rPr>
        <w:t> </w:t>
      </w:r>
      <w:r>
        <w:rPr>
          <w:color w:val="010101"/>
          <w:w w:val="110"/>
          <w:sz w:val="17"/>
        </w:rPr>
        <w:t>to be made at the end of the t-th year  succeeding  the year</w:t>
      </w:r>
      <w:r>
        <w:rPr>
          <w:color w:val="010101"/>
          <w:spacing w:val="13"/>
          <w:w w:val="110"/>
          <w:sz w:val="17"/>
        </w:rPr>
        <w:t> </w:t>
      </w:r>
      <w:r>
        <w:rPr>
          <w:color w:val="010101"/>
          <w:w w:val="110"/>
          <w:sz w:val="17"/>
        </w:rPr>
        <w:t>in which </w:t>
      </w:r>
      <w:r>
        <w:rPr>
          <w:color w:val="010101"/>
          <w:spacing w:val="5"/>
          <w:w w:val="110"/>
          <w:sz w:val="17"/>
        </w:rPr>
        <w:t> </w:t>
      </w:r>
      <w:r>
        <w:rPr>
          <w:color w:val="010101"/>
          <w:w w:val="110"/>
          <w:sz w:val="17"/>
        </w:rPr>
        <w:t>(x)</w:t>
      </w:r>
      <w:r>
        <w:rPr>
          <w:color w:val="010101"/>
          <w:w w:val="102"/>
          <w:sz w:val="17"/>
        </w:rPr>
        <w:t> </w:t>
      </w:r>
      <w:r>
        <w:rPr>
          <w:color w:val="010101"/>
          <w:w w:val="110"/>
          <w:sz w:val="17"/>
        </w:rPr>
        <w:t>dies, provided  </w:t>
      </w:r>
      <w:r>
        <w:rPr>
          <w:rFonts w:ascii="Arial"/>
          <w:i/>
          <w:color w:val="010101"/>
          <w:spacing w:val="5"/>
          <w:w w:val="110"/>
          <w:sz w:val="14"/>
        </w:rPr>
        <w:t>(x)  </w:t>
      </w:r>
      <w:r>
        <w:rPr>
          <w:color w:val="010101"/>
          <w:w w:val="110"/>
          <w:sz w:val="17"/>
        </w:rPr>
        <w:t>dies within </w:t>
      </w:r>
      <w:r>
        <w:rPr>
          <w:rFonts w:ascii="Arial"/>
          <w:i/>
          <w:color w:val="010101"/>
          <w:w w:val="110"/>
          <w:sz w:val="14"/>
        </w:rPr>
        <w:t>n </w:t>
      </w:r>
      <w:r>
        <w:rPr>
          <w:color w:val="010101"/>
          <w:w w:val="110"/>
          <w:sz w:val="17"/>
        </w:rPr>
        <w:t>years, tlie annuity to be  void  if  </w:t>
      </w:r>
      <w:r>
        <w:rPr>
          <w:rFonts w:ascii="Arial"/>
          <w:i/>
          <w:color w:val="010101"/>
          <w:spacing w:val="4"/>
          <w:w w:val="110"/>
          <w:sz w:val="14"/>
        </w:rPr>
        <w:t>(x)    </w:t>
      </w:r>
      <w:r>
        <w:rPr>
          <w:rFonts w:ascii="Arial"/>
          <w:i/>
          <w:color w:val="010101"/>
          <w:spacing w:val="21"/>
          <w:w w:val="110"/>
          <w:sz w:val="14"/>
        </w:rPr>
        <w:t> </w:t>
      </w:r>
      <w:r>
        <w:rPr>
          <w:color w:val="010101"/>
          <w:w w:val="110"/>
          <w:sz w:val="17"/>
        </w:rPr>
        <w:t>lives</w:t>
      </w:r>
    </w:p>
    <w:p>
      <w:pPr>
        <w:spacing w:before="2"/>
        <w:ind w:left="140" w:right="0" w:firstLine="0"/>
        <w:jc w:val="left"/>
        <w:rPr>
          <w:sz w:val="17"/>
        </w:rPr>
      </w:pPr>
      <w:r>
        <w:rPr>
          <w:color w:val="010101"/>
          <w:w w:val="110"/>
          <w:sz w:val="17"/>
        </w:rPr>
        <w:t>beyond  </w:t>
      </w:r>
      <w:r>
        <w:rPr>
          <w:i/>
          <w:color w:val="010101"/>
          <w:w w:val="110"/>
          <w:sz w:val="17"/>
        </w:rPr>
        <w:t>n </w:t>
      </w:r>
      <w:r>
        <w:rPr>
          <w:color w:val="010101"/>
          <w:w w:val="110"/>
          <w:sz w:val="17"/>
        </w:rPr>
        <w:t>years.</w:t>
      </w:r>
    </w:p>
    <w:p>
      <w:pPr>
        <w:pStyle w:val="ListParagraph"/>
        <w:numPr>
          <w:ilvl w:val="0"/>
          <w:numId w:val="125"/>
        </w:numPr>
        <w:tabs>
          <w:tab w:pos="578" w:val="left" w:leader="none"/>
        </w:tabs>
        <w:spacing w:line="242" w:lineRule="auto" w:before="6" w:after="0"/>
        <w:ind w:left="129" w:right="134" w:firstLine="172"/>
        <w:jc w:val="both"/>
        <w:rPr>
          <w:sz w:val="17"/>
        </w:rPr>
      </w:pPr>
      <w:r>
        <w:rPr>
          <w:color w:val="010101"/>
          <w:w w:val="110"/>
          <w:sz w:val="17"/>
        </w:rPr>
        <w:t>For each of the following, describe the benefit and give a simple formula  (using standard approximations  if  necessary)</w:t>
      </w:r>
      <w:r>
        <w:rPr>
          <w:color w:val="010101"/>
          <w:spacing w:val="-4"/>
          <w:w w:val="110"/>
          <w:sz w:val="17"/>
        </w:rPr>
        <w:t> </w:t>
      </w:r>
      <w:r>
        <w:rPr>
          <w:color w:val="010101"/>
          <w:w w:val="110"/>
          <w:sz w:val="17"/>
        </w:rPr>
        <w:t>:</w:t>
      </w:r>
    </w:p>
    <w:p>
      <w:pPr>
        <w:tabs>
          <w:tab w:pos="1736" w:val="left" w:leader="none"/>
        </w:tabs>
        <w:spacing w:line="90" w:lineRule="exact" w:before="119"/>
        <w:ind w:left="893" w:right="0" w:firstLine="0"/>
        <w:jc w:val="left"/>
        <w:rPr>
          <w:b/>
          <w:sz w:val="10"/>
        </w:rPr>
      </w:pPr>
      <w:r>
        <w:rPr>
          <w:color w:val="010101"/>
          <w:w w:val="580"/>
          <w:sz w:val="10"/>
        </w:rPr>
        <w:t>-</w:t>
        <w:tab/>
      </w:r>
      <w:r>
        <w:rPr>
          <w:b/>
          <w:color w:val="010101"/>
          <w:w w:val="145"/>
          <w:sz w:val="10"/>
        </w:rPr>
        <w:t>(4)</w:t>
      </w:r>
    </w:p>
    <w:p>
      <w:pPr>
        <w:pStyle w:val="ListParagraph"/>
        <w:numPr>
          <w:ilvl w:val="1"/>
          <w:numId w:val="125"/>
        </w:numPr>
        <w:tabs>
          <w:tab w:pos="729" w:val="left" w:leader="none"/>
          <w:tab w:pos="1804" w:val="left" w:leader="none"/>
        </w:tabs>
        <w:spacing w:line="170" w:lineRule="exact" w:before="0" w:after="0"/>
        <w:ind w:left="728" w:right="0" w:hanging="273"/>
        <w:jc w:val="left"/>
        <w:rPr>
          <w:sz w:val="16"/>
        </w:rPr>
      </w:pPr>
      <w:r>
        <w:rPr>
          <w:rFonts w:ascii="Arial" w:hAnsi="Arial"/>
          <w:b/>
          <w:color w:val="010101"/>
          <w:w w:val="90"/>
          <w:sz w:val="15"/>
        </w:rPr>
        <w:t>Owiz</w:t>
      </w:r>
      <w:r>
        <w:rPr>
          <w:rFonts w:ascii="Arial" w:hAnsi="Arial"/>
          <w:b/>
          <w:color w:val="010101"/>
          <w:spacing w:val="-33"/>
          <w:w w:val="90"/>
          <w:sz w:val="15"/>
        </w:rPr>
        <w:t> </w:t>
      </w:r>
      <w:r>
        <w:rPr>
          <w:rFonts w:ascii="Arial" w:hAnsi="Arial"/>
          <w:b/>
          <w:color w:val="1F1F1F"/>
          <w:spacing w:val="-5"/>
          <w:w w:val="90"/>
          <w:sz w:val="15"/>
        </w:rPr>
        <w:t>:</w:t>
      </w:r>
      <w:r>
        <w:rPr>
          <w:rFonts w:ascii="Arial" w:hAnsi="Arial"/>
          <w:b/>
          <w:color w:val="010101"/>
          <w:spacing w:val="-5"/>
          <w:w w:val="90"/>
          <w:sz w:val="15"/>
        </w:rPr>
        <w:t>;J </w:t>
      </w:r>
      <w:r>
        <w:rPr>
          <w:rFonts w:ascii="Arial" w:hAnsi="Arial"/>
          <w:color w:val="010101"/>
          <w:w w:val="150"/>
          <w:sz w:val="15"/>
        </w:rPr>
        <w:t>,</w:t>
      </w:r>
      <w:r>
        <w:rPr>
          <w:rFonts w:ascii="Arial" w:hAnsi="Arial"/>
          <w:color w:val="010101"/>
          <w:spacing w:val="23"/>
          <w:w w:val="150"/>
          <w:sz w:val="15"/>
        </w:rPr>
        <w:t> </w:t>
      </w:r>
      <w:r>
        <w:rPr>
          <w:color w:val="010101"/>
          <w:w w:val="110"/>
          <w:sz w:val="17"/>
        </w:rPr>
        <w:t>(b)</w:t>
        <w:tab/>
      </w:r>
      <w:r>
        <w:rPr>
          <w:b/>
          <w:color w:val="1F1F1F"/>
          <w:spacing w:val="-3"/>
          <w:w w:val="90"/>
          <w:sz w:val="16"/>
        </w:rPr>
        <w:t>:</w:t>
      </w:r>
      <w:r>
        <w:rPr>
          <w:b/>
          <w:color w:val="010101"/>
          <w:spacing w:val="-3"/>
          <w:w w:val="90"/>
          <w:sz w:val="16"/>
        </w:rPr>
        <w:t>iilfw</w:t>
      </w:r>
      <w:r>
        <w:rPr>
          <w:b/>
          <w:color w:val="010101"/>
          <w:spacing w:val="-20"/>
          <w:w w:val="90"/>
          <w:sz w:val="16"/>
        </w:rPr>
        <w:t> </w:t>
      </w:r>
      <w:r>
        <w:rPr>
          <w:color w:val="010101"/>
          <w:w w:val="90"/>
          <w:sz w:val="16"/>
        </w:rPr>
        <w:t>·</w:t>
      </w:r>
    </w:p>
    <w:p>
      <w:pPr>
        <w:pStyle w:val="BodyText"/>
        <w:spacing w:before="1"/>
      </w:pPr>
    </w:p>
    <w:p>
      <w:pPr>
        <w:pStyle w:val="ListParagraph"/>
        <w:numPr>
          <w:ilvl w:val="0"/>
          <w:numId w:val="122"/>
        </w:numPr>
        <w:tabs>
          <w:tab w:pos="331" w:val="left" w:leader="none"/>
        </w:tabs>
        <w:spacing w:line="240" w:lineRule="auto" w:before="0" w:after="0"/>
        <w:ind w:left="330" w:right="0" w:hanging="208"/>
        <w:jc w:val="left"/>
        <w:rPr>
          <w:b/>
          <w:sz w:val="16"/>
        </w:rPr>
      </w:pPr>
      <w:r>
        <w:rPr>
          <w:b/>
          <w:color w:val="010101"/>
          <w:w w:val="120"/>
          <w:sz w:val="16"/>
        </w:rPr>
        <w:t>Annual  premiums and</w:t>
      </w:r>
      <w:r>
        <w:rPr>
          <w:b/>
          <w:color w:val="010101"/>
          <w:spacing w:val="26"/>
          <w:w w:val="120"/>
          <w:sz w:val="16"/>
        </w:rPr>
        <w:t> </w:t>
      </w:r>
      <w:r>
        <w:rPr>
          <w:b/>
          <w:color w:val="010101"/>
          <w:w w:val="120"/>
          <w:sz w:val="16"/>
        </w:rPr>
        <w:t>reserves</w:t>
      </w:r>
    </w:p>
    <w:p>
      <w:pPr>
        <w:pStyle w:val="ListParagraph"/>
        <w:numPr>
          <w:ilvl w:val="1"/>
          <w:numId w:val="122"/>
        </w:numPr>
        <w:tabs>
          <w:tab w:pos="575" w:val="left" w:leader="none"/>
        </w:tabs>
        <w:spacing w:line="247" w:lineRule="auto" w:before="87" w:after="0"/>
        <w:ind w:left="125" w:right="135" w:firstLine="169"/>
        <w:jc w:val="both"/>
        <w:rPr>
          <w:sz w:val="17"/>
        </w:rPr>
      </w:pPr>
      <w:r>
        <w:rPr>
          <w:color w:val="010101"/>
          <w:w w:val="105"/>
          <w:sz w:val="17"/>
        </w:rPr>
        <w:t>Find as close)y as possible the net annual premium for a reversionary annuity of </w:t>
      </w:r>
      <w:r>
        <w:rPr>
          <w:color w:val="010101"/>
          <w:spacing w:val="4"/>
          <w:w w:val="105"/>
          <w:sz w:val="17"/>
        </w:rPr>
        <w:t>1per </w:t>
      </w:r>
      <w:r>
        <w:rPr>
          <w:color w:val="010101"/>
          <w:w w:val="105"/>
          <w:sz w:val="17"/>
        </w:rPr>
        <w:t>annum to a life aged 40 after the death  of  another  life  aged 43, the first annuity payment to be  a f ull  payment  of  1 and to be  made  on the anniversary of the date of issue, given the following  data from a Gom­  pertz  </w:t>
      </w:r>
      <w:r>
        <w:rPr>
          <w:color w:val="010101"/>
          <w:spacing w:val="16"/>
          <w:w w:val="105"/>
          <w:sz w:val="17"/>
        </w:rPr>
        <w:t> </w:t>
      </w:r>
      <w:r>
        <w:rPr>
          <w:color w:val="010101"/>
          <w:w w:val="105"/>
          <w:sz w:val="17"/>
        </w:rPr>
        <w:t>table:</w:t>
      </w:r>
    </w:p>
    <w:p>
      <w:pPr>
        <w:pStyle w:val="BodyText"/>
        <w:spacing w:before="6"/>
        <w:rPr>
          <w:sz w:val="16"/>
        </w:rPr>
      </w:pPr>
    </w:p>
    <w:p>
      <w:pPr>
        <w:spacing w:after="0"/>
        <w:rPr>
          <w:sz w:val="16"/>
        </w:rPr>
        <w:sectPr>
          <w:pgSz w:w="7200" w:h="11340"/>
          <w:pgMar w:top="480" w:bottom="280" w:left="660" w:right="540"/>
        </w:sectPr>
      </w:pPr>
    </w:p>
    <w:p>
      <w:pPr>
        <w:tabs>
          <w:tab w:pos="495" w:val="left" w:leader="none"/>
          <w:tab w:pos="932" w:val="left" w:leader="none"/>
        </w:tabs>
        <w:spacing w:before="69"/>
        <w:ind w:left="125" w:right="0" w:firstLine="0"/>
        <w:jc w:val="left"/>
        <w:rPr>
          <w:rFonts w:ascii="Arial"/>
          <w:sz w:val="25"/>
        </w:rPr>
      </w:pPr>
      <w:r>
        <w:rPr/>
        <w:pict>
          <v:group style="position:absolute;margin-left:38.828140pt;margin-top:-2.903162pt;width:286.150pt;height:68.2pt;mso-position-horizontal-relative:page;mso-position-vertical-relative:paragraph;z-index:-714640" coordorigin="777,-58" coordsize="5723,1364">
            <v:line style="position:absolute" from="782,-53" to="6493,-53" stroked="true" strokeweight=".538117pt" strokecolor="#000000"/>
            <v:line style="position:absolute" from="1776,300" to="4280,300" stroked="true" strokeweight=".179372pt" strokecolor="#000000"/>
            <v:line style="position:absolute" from="2630,1300" to="2630,-13" stroked="true" strokeweight=".358744pt" strokecolor="#000000"/>
            <v:line style="position:absolute" from="3627,1073" to="3627,-17" stroked="true" strokeweight=".538117pt" strokecolor="#000000"/>
            <v:line style="position:absolute" from="4509,300" to="5539,300" stroked="true" strokeweight=".179372pt" strokecolor="#000000"/>
            <v:shape style="position:absolute;left:2626;top:-1351;width:2913;height:1320" coordorigin="2626,-1351" coordsize="2913,1320" path="m5539,879l5539,-20m2626,1300l2626,-13e" filled="false" stroked="true" strokeweight=".538117pt" strokecolor="#000000">
              <v:path arrowok="t"/>
            </v:shape>
            <v:shape style="position:absolute;left:3039;top:118;width:128;height:100" type="#_x0000_t202" filled="false" stroked="false">
              <v:textbox inset="0,0,0,0">
                <w:txbxContent>
                  <w:p>
                    <w:pPr>
                      <w:spacing w:line="100" w:lineRule="exact" w:before="0"/>
                      <w:ind w:left="0" w:right="-20" w:firstLine="0"/>
                      <w:jc w:val="left"/>
                      <w:rPr>
                        <w:rFonts w:ascii="Arial"/>
                        <w:b/>
                        <w:i/>
                        <w:sz w:val="10"/>
                      </w:rPr>
                    </w:pPr>
                    <w:r>
                      <w:rPr>
                        <w:rFonts w:ascii="Arial"/>
                        <w:b/>
                        <w:i/>
                        <w:color w:val="010101"/>
                        <w:w w:val="110"/>
                        <w:sz w:val="10"/>
                      </w:rPr>
                      <w:t>l'</w:t>
                    </w:r>
                    <w:r>
                      <w:rPr>
                        <w:rFonts w:ascii="Arial"/>
                        <w:b/>
                        <w:i/>
                        <w:color w:val="010101"/>
                        <w:spacing w:val="-15"/>
                        <w:w w:val="110"/>
                        <w:sz w:val="10"/>
                      </w:rPr>
                      <w:t> </w:t>
                    </w:r>
                    <w:r>
                      <w:rPr>
                        <w:rFonts w:ascii="Arial"/>
                        <w:b/>
                        <w:i/>
                        <w:color w:val="010101"/>
                        <w:w w:val="110"/>
                        <w:sz w:val="10"/>
                      </w:rPr>
                      <w:t>z</w:t>
                    </w:r>
                  </w:p>
                </w:txbxContent>
              </v:textbox>
              <w10:wrap type="none"/>
            </v:shape>
            <v:shape style="position:absolute;left:4068;top:116;width:47;height:80" type="#_x0000_t202" filled="false" stroked="false">
              <v:textbox inset="0,0,0,0">
                <w:txbxContent>
                  <w:p>
                    <w:pPr>
                      <w:spacing w:line="80" w:lineRule="exact" w:before="0"/>
                      <w:ind w:left="0" w:right="0" w:firstLine="0"/>
                      <w:jc w:val="left"/>
                      <w:rPr>
                        <w:rFonts w:ascii="Arial"/>
                        <w:i/>
                        <w:sz w:val="8"/>
                      </w:rPr>
                    </w:pPr>
                    <w:r>
                      <w:rPr>
                        <w:rFonts w:ascii="Arial"/>
                        <w:i/>
                        <w:color w:val="010101"/>
                        <w:w w:val="87"/>
                        <w:sz w:val="8"/>
                      </w:rPr>
                      <w:t>X</w:t>
                    </w:r>
                  </w:p>
                </w:txbxContent>
              </v:textbox>
              <w10:wrap type="none"/>
            </v:shape>
            <v:shape style="position:absolute;left:4535;top:208;width:29;height:100" type="#_x0000_t202" filled="false" stroked="false">
              <v:textbox inset="0,0,0,0">
                <w:txbxContent>
                  <w:p>
                    <w:pPr>
                      <w:spacing w:line="100" w:lineRule="exact" w:before="0"/>
                      <w:ind w:left="0" w:right="0" w:firstLine="0"/>
                      <w:jc w:val="left"/>
                      <w:rPr>
                        <w:rFonts w:ascii="Arial"/>
                        <w:sz w:val="10"/>
                      </w:rPr>
                    </w:pPr>
                    <w:r>
                      <w:rPr>
                        <w:rFonts w:ascii="Arial"/>
                        <w:color w:val="010101"/>
                        <w:w w:val="51"/>
                        <w:sz w:val="10"/>
                      </w:rPr>
                      <w:t>1</w:t>
                    </w:r>
                  </w:p>
                </w:txbxContent>
              </v:textbox>
              <w10:wrap type="none"/>
            </v:shape>
            <v:shape style="position:absolute;left:4961;top:130;width:117;height:170" type="#_x0000_t202" filled="false" stroked="false">
              <v:textbox inset="0,0,0,0">
                <w:txbxContent>
                  <w:p>
                    <w:pPr>
                      <w:spacing w:line="170" w:lineRule="exact" w:before="0"/>
                      <w:ind w:left="0" w:right="-20" w:firstLine="0"/>
                      <w:jc w:val="left"/>
                      <w:rPr>
                        <w:rFonts w:ascii="Arial" w:hAnsi="Arial"/>
                        <w:i/>
                        <w:sz w:val="17"/>
                      </w:rPr>
                    </w:pPr>
                    <w:r>
                      <w:rPr>
                        <w:rFonts w:ascii="Arial" w:hAnsi="Arial"/>
                        <w:i/>
                        <w:color w:val="010101"/>
                        <w:w w:val="75"/>
                        <w:sz w:val="17"/>
                      </w:rPr>
                      <w:t>ª"'</w:t>
                    </w:r>
                  </w:p>
                </w:txbxContent>
              </v:textbox>
              <w10:wrap type="none"/>
            </v:shape>
            <w10:wrap type="none"/>
          </v:group>
        </w:pict>
      </w:r>
      <w:r>
        <w:rPr>
          <w:rFonts w:ascii="Arial"/>
          <w:color w:val="010101"/>
          <w:w w:val="99"/>
          <w:sz w:val="25"/>
          <w:u w:val="single" w:color="000000"/>
        </w:rPr>
        <w:t> </w:t>
      </w:r>
      <w:r>
        <w:rPr>
          <w:rFonts w:ascii="Arial"/>
          <w:color w:val="010101"/>
          <w:sz w:val="25"/>
          <w:u w:val="single" w:color="000000"/>
        </w:rPr>
        <w:tab/>
        <w:t>"</w:t>
        <w:tab/>
      </w:r>
    </w:p>
    <w:p>
      <w:pPr>
        <w:tabs>
          <w:tab w:pos="907" w:val="left" w:leader="none"/>
        </w:tabs>
        <w:spacing w:line="226" w:lineRule="exact" w:before="90"/>
        <w:ind w:left="129" w:right="0" w:firstLine="0"/>
        <w:jc w:val="left"/>
        <w:rPr>
          <w:rFonts w:ascii="Arial" w:hAnsi="Arial"/>
          <w:sz w:val="26"/>
        </w:rPr>
      </w:pPr>
      <w:r>
        <w:rPr>
          <w:color w:val="010101"/>
          <w:w w:val="96"/>
          <w:sz w:val="17"/>
        </w:rPr>
        <w:t>40</w:t>
      </w:r>
      <w:r>
        <w:rPr>
          <w:color w:val="010101"/>
          <w:spacing w:val="-9"/>
          <w:sz w:val="17"/>
        </w:rPr>
        <w:t> </w:t>
      </w:r>
      <w:r>
        <w:rPr>
          <w:color w:val="343434"/>
          <w:w w:val="76"/>
          <w:sz w:val="17"/>
        </w:rPr>
        <w:t>.</w:t>
      </w:r>
      <w:r>
        <w:rPr>
          <w:color w:val="343434"/>
          <w:sz w:val="17"/>
        </w:rPr>
        <w:tab/>
      </w:r>
      <w:r>
        <w:rPr>
          <w:rFonts w:ascii="Arial" w:hAnsi="Arial"/>
          <w:color w:val="5D5D5D"/>
          <w:spacing w:val="-5"/>
          <w:w w:val="66"/>
          <w:position w:val="-8"/>
          <w:sz w:val="26"/>
        </w:rPr>
        <w:t>·</w:t>
      </w:r>
      <w:r>
        <w:rPr>
          <w:color w:val="010101"/>
          <w:spacing w:val="-20"/>
          <w:w w:val="59"/>
          <w:position w:val="6"/>
          <w:sz w:val="9"/>
        </w:rPr>
        <w:t>1</w:t>
      </w:r>
      <w:r>
        <w:rPr>
          <w:rFonts w:ascii="Arial" w:hAnsi="Arial"/>
          <w:color w:val="010101"/>
          <w:w w:val="48"/>
          <w:position w:val="-8"/>
          <w:sz w:val="26"/>
        </w:rPr>
        <w:t>¡</w:t>
      </w:r>
    </w:p>
    <w:p>
      <w:pPr>
        <w:spacing w:line="193" w:lineRule="exact" w:before="0"/>
        <w:ind w:left="129" w:right="-17" w:firstLine="0"/>
        <w:jc w:val="left"/>
        <w:rPr>
          <w:rFonts w:ascii="Arial"/>
          <w:sz w:val="26"/>
        </w:rPr>
      </w:pPr>
      <w:r>
        <w:rPr>
          <w:color w:val="010101"/>
          <w:w w:val="96"/>
          <w:position w:val="3"/>
          <w:sz w:val="17"/>
        </w:rPr>
        <w:t>43</w:t>
      </w:r>
      <w:r>
        <w:rPr>
          <w:color w:val="010101"/>
          <w:spacing w:val="-9"/>
          <w:position w:val="3"/>
          <w:sz w:val="17"/>
        </w:rPr>
        <w:t> </w:t>
      </w:r>
      <w:r>
        <w:rPr>
          <w:color w:val="010101"/>
          <w:w w:val="76"/>
          <w:position w:val="3"/>
          <w:sz w:val="17"/>
        </w:rPr>
        <w:t>.</w:t>
      </w:r>
      <w:r>
        <w:rPr>
          <w:color w:val="010101"/>
          <w:position w:val="3"/>
          <w:sz w:val="17"/>
        </w:rPr>
        <w:t> </w:t>
      </w:r>
      <w:r>
        <w:rPr>
          <w:color w:val="010101"/>
          <w:spacing w:val="-21"/>
          <w:position w:val="3"/>
          <w:sz w:val="17"/>
        </w:rPr>
        <w:t> </w:t>
      </w:r>
      <w:r>
        <w:rPr>
          <w:color w:val="464646"/>
          <w:sz w:val="13"/>
        </w:rPr>
        <w:t>. </w:t>
      </w:r>
      <w:r>
        <w:rPr>
          <w:color w:val="464646"/>
          <w:spacing w:val="-8"/>
          <w:sz w:val="13"/>
        </w:rPr>
        <w:t> </w:t>
      </w:r>
      <w:r>
        <w:rPr>
          <w:rFonts w:ascii="Arial"/>
          <w:color w:val="343434"/>
          <w:w w:val="74"/>
          <w:sz w:val="14"/>
        </w:rPr>
        <w:t>.</w:t>
      </w:r>
      <w:r>
        <w:rPr>
          <w:rFonts w:ascii="Arial"/>
          <w:color w:val="343434"/>
          <w:sz w:val="14"/>
        </w:rPr>
        <w:t>  </w:t>
      </w:r>
      <w:r>
        <w:rPr>
          <w:rFonts w:ascii="Arial"/>
          <w:color w:val="343434"/>
          <w:spacing w:val="12"/>
          <w:sz w:val="14"/>
        </w:rPr>
        <w:t> </w:t>
      </w:r>
      <w:r>
        <w:rPr>
          <w:rFonts w:ascii="Arial"/>
          <w:color w:val="343434"/>
          <w:w w:val="168"/>
          <w:sz w:val="16"/>
        </w:rPr>
        <w:t>...</w:t>
      </w:r>
      <w:r>
        <w:rPr>
          <w:rFonts w:ascii="Arial"/>
          <w:color w:val="343434"/>
          <w:spacing w:val="-6"/>
          <w:w w:val="168"/>
          <w:sz w:val="16"/>
        </w:rPr>
        <w:t>.</w:t>
      </w:r>
      <w:r>
        <w:rPr>
          <w:rFonts w:ascii="Arial"/>
          <w:color w:val="010101"/>
          <w:w w:val="62"/>
          <w:sz w:val="26"/>
        </w:rPr>
        <w:t>,</w:t>
      </w:r>
    </w:p>
    <w:p>
      <w:pPr>
        <w:pStyle w:val="BodyText"/>
        <w:spacing w:before="4"/>
        <w:rPr>
          <w:rFonts w:ascii="Arial"/>
          <w:sz w:val="9"/>
        </w:rPr>
      </w:pPr>
      <w:r>
        <w:rPr/>
        <w:br w:type="column"/>
      </w:r>
      <w:r>
        <w:rPr>
          <w:rFonts w:ascii="Arial"/>
          <w:sz w:val="9"/>
        </w:rPr>
      </w:r>
    </w:p>
    <w:p>
      <w:pPr>
        <w:spacing w:before="0"/>
        <w:ind w:left="125" w:right="-18" w:firstLine="0"/>
        <w:jc w:val="left"/>
        <w:rPr>
          <w:rFonts w:ascii="Arial"/>
          <w:sz w:val="9"/>
        </w:rPr>
      </w:pPr>
      <w:r>
        <w:rPr>
          <w:rFonts w:ascii="Arial"/>
          <w:color w:val="010101"/>
          <w:w w:val="110"/>
          <w:sz w:val="9"/>
        </w:rPr>
        <w:t>IJz</w:t>
      </w:r>
    </w:p>
    <w:p>
      <w:pPr>
        <w:pStyle w:val="BodyText"/>
        <w:rPr>
          <w:rFonts w:ascii="Arial"/>
          <w:sz w:val="6"/>
        </w:rPr>
      </w:pPr>
      <w:r>
        <w:rPr/>
        <w:br w:type="column"/>
      </w:r>
      <w:r>
        <w:rPr>
          <w:rFonts w:ascii="Arial"/>
          <w:sz w:val="6"/>
        </w:rPr>
      </w:r>
    </w:p>
    <w:p>
      <w:pPr>
        <w:pStyle w:val="BodyText"/>
        <w:spacing w:before="10"/>
        <w:rPr>
          <w:rFonts w:ascii="Arial"/>
          <w:sz w:val="5"/>
        </w:rPr>
      </w:pPr>
    </w:p>
    <w:p>
      <w:pPr>
        <w:spacing w:line="78" w:lineRule="exact" w:before="1"/>
        <w:ind w:left="101" w:right="0" w:firstLine="0"/>
        <w:jc w:val="center"/>
        <w:rPr>
          <w:sz w:val="7"/>
        </w:rPr>
      </w:pPr>
      <w:r>
        <w:rPr>
          <w:color w:val="010101"/>
          <w:w w:val="98"/>
          <w:sz w:val="7"/>
        </w:rPr>
        <w:t>%</w:t>
      </w:r>
    </w:p>
    <w:p>
      <w:pPr>
        <w:spacing w:line="216" w:lineRule="exact" w:before="0"/>
        <w:ind w:left="162" w:right="185" w:firstLine="0"/>
        <w:jc w:val="center"/>
        <w:rPr>
          <w:sz w:val="19"/>
        </w:rPr>
      </w:pPr>
      <w:r>
        <w:rPr/>
        <w:pict>
          <v:shape style="position:absolute;margin-left:93.855377pt;margin-top:12.501754pt;width:222.35pt;height:19.6pt;mso-position-horizontal-relative:page;mso-position-vertical-relative:paragraph;z-index:2147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778"/>
                    <w:gridCol w:w="902"/>
                    <w:gridCol w:w="617"/>
                    <w:gridCol w:w="519"/>
                    <w:gridCol w:w="872"/>
                    <w:gridCol w:w="758"/>
                  </w:tblGrid>
                  <w:tr>
                    <w:trPr>
                      <w:trHeight w:val="186" w:hRule="exact"/>
                    </w:trPr>
                    <w:tc>
                      <w:tcPr>
                        <w:tcW w:w="778" w:type="dxa"/>
                      </w:tcPr>
                      <w:p>
                        <w:pPr>
                          <w:pStyle w:val="TableParagraph"/>
                          <w:spacing w:line="174" w:lineRule="exact"/>
                          <w:ind w:left="35"/>
                          <w:rPr>
                            <w:rFonts w:ascii="Times New Roman"/>
                            <w:sz w:val="17"/>
                          </w:rPr>
                        </w:pPr>
                        <w:r>
                          <w:rPr>
                            <w:rFonts w:ascii="Times New Roman"/>
                            <w:color w:val="010101"/>
                            <w:sz w:val="17"/>
                          </w:rPr>
                          <w:t>15</w:t>
                        </w:r>
                        <w:r>
                          <w:rPr>
                            <w:rFonts w:ascii="Times New Roman"/>
                            <w:color w:val="1F1F1F"/>
                            <w:sz w:val="17"/>
                          </w:rPr>
                          <w:t>.</w:t>
                        </w:r>
                        <w:r>
                          <w:rPr>
                            <w:rFonts w:ascii="Times New Roman"/>
                            <w:color w:val="010101"/>
                            <w:sz w:val="17"/>
                          </w:rPr>
                          <w:t>136</w:t>
                        </w:r>
                      </w:p>
                    </w:tc>
                    <w:tc>
                      <w:tcPr>
                        <w:tcW w:w="902" w:type="dxa"/>
                      </w:tcPr>
                      <w:p>
                        <w:pPr>
                          <w:pStyle w:val="TableParagraph"/>
                          <w:spacing w:line="174" w:lineRule="exact"/>
                          <w:ind w:right="172"/>
                          <w:jc w:val="right"/>
                          <w:rPr>
                            <w:rFonts w:ascii="Times New Roman"/>
                            <w:sz w:val="17"/>
                          </w:rPr>
                        </w:pPr>
                        <w:r>
                          <w:rPr>
                            <w:rFonts w:ascii="Times New Roman"/>
                            <w:color w:val="010101"/>
                            <w:w w:val="95"/>
                            <w:sz w:val="17"/>
                          </w:rPr>
                          <w:t>.00990</w:t>
                        </w:r>
                      </w:p>
                    </w:tc>
                    <w:tc>
                      <w:tcPr>
                        <w:tcW w:w="617" w:type="dxa"/>
                      </w:tcPr>
                      <w:p>
                        <w:pPr>
                          <w:pStyle w:val="TableParagraph"/>
                          <w:spacing w:line="171" w:lineRule="exact"/>
                          <w:ind w:left="143" w:right="191"/>
                          <w:jc w:val="center"/>
                          <w:rPr>
                            <w:rFonts w:ascii="Times New Roman"/>
                            <w:sz w:val="16"/>
                          </w:rPr>
                        </w:pPr>
                        <w:r>
                          <w:rPr>
                            <w:rFonts w:ascii="Times New Roman"/>
                            <w:color w:val="010101"/>
                            <w:w w:val="95"/>
                            <w:sz w:val="16"/>
                          </w:rPr>
                          <w:t>54 </w:t>
                        </w:r>
                        <w:r>
                          <w:rPr>
                            <w:rFonts w:ascii="Times New Roman"/>
                            <w:color w:val="343434"/>
                            <w:w w:val="95"/>
                            <w:sz w:val="16"/>
                          </w:rPr>
                          <w:t>.</w:t>
                        </w:r>
                      </w:p>
                    </w:tc>
                    <w:tc>
                      <w:tcPr>
                        <w:tcW w:w="519" w:type="dxa"/>
                      </w:tcPr>
                      <w:p>
                        <w:pPr/>
                      </w:p>
                    </w:tc>
                    <w:tc>
                      <w:tcPr>
                        <w:tcW w:w="872" w:type="dxa"/>
                      </w:tcPr>
                      <w:p>
                        <w:pPr>
                          <w:pStyle w:val="TableParagraph"/>
                          <w:spacing w:line="177" w:lineRule="exact"/>
                          <w:ind w:left="128"/>
                          <w:rPr>
                            <w:rFonts w:ascii="Times New Roman"/>
                            <w:sz w:val="17"/>
                          </w:rPr>
                        </w:pPr>
                        <w:r>
                          <w:rPr>
                            <w:rFonts w:ascii="Times New Roman"/>
                            <w:color w:val="010101"/>
                            <w:w w:val="105"/>
                            <w:sz w:val="17"/>
                          </w:rPr>
                          <w:t>11.331</w:t>
                        </w:r>
                      </w:p>
                    </w:tc>
                    <w:tc>
                      <w:tcPr>
                        <w:tcW w:w="758" w:type="dxa"/>
                      </w:tcPr>
                      <w:p>
                        <w:pPr>
                          <w:pStyle w:val="TableParagraph"/>
                          <w:spacing w:line="175" w:lineRule="exact"/>
                          <w:ind w:right="37"/>
                          <w:jc w:val="right"/>
                          <w:rPr>
                            <w:rFonts w:ascii="Times New Roman"/>
                            <w:sz w:val="16"/>
                          </w:rPr>
                        </w:pPr>
                        <w:r>
                          <w:rPr>
                            <w:rFonts w:ascii="Times New Roman"/>
                            <w:color w:val="1F1F1F"/>
                            <w:w w:val="105"/>
                            <w:sz w:val="16"/>
                          </w:rPr>
                          <w:t>.</w:t>
                        </w:r>
                        <w:r>
                          <w:rPr>
                            <w:rFonts w:ascii="Times New Roman"/>
                            <w:color w:val="010101"/>
                            <w:w w:val="105"/>
                            <w:sz w:val="16"/>
                          </w:rPr>
                          <w:t>01950</w:t>
                        </w:r>
                      </w:p>
                    </w:tc>
                  </w:tr>
                  <w:tr>
                    <w:trPr>
                      <w:trHeight w:val="206" w:hRule="exact"/>
                    </w:trPr>
                    <w:tc>
                      <w:tcPr>
                        <w:tcW w:w="778" w:type="dxa"/>
                      </w:tcPr>
                      <w:p>
                        <w:pPr>
                          <w:pStyle w:val="TableParagraph"/>
                          <w:spacing w:line="186" w:lineRule="exact"/>
                          <w:ind w:left="35"/>
                          <w:rPr>
                            <w:rFonts w:ascii="Times New Roman"/>
                            <w:sz w:val="17"/>
                          </w:rPr>
                        </w:pPr>
                        <w:r>
                          <w:rPr>
                            <w:rFonts w:ascii="Times New Roman"/>
                            <w:color w:val="010101"/>
                            <w:sz w:val="17"/>
                          </w:rPr>
                          <w:t>14 .413</w:t>
                        </w:r>
                      </w:p>
                    </w:tc>
                    <w:tc>
                      <w:tcPr>
                        <w:tcW w:w="902" w:type="dxa"/>
                      </w:tcPr>
                      <w:p>
                        <w:pPr>
                          <w:pStyle w:val="TableParagraph"/>
                          <w:spacing w:line="189" w:lineRule="exact"/>
                          <w:ind w:right="184"/>
                          <w:jc w:val="right"/>
                          <w:rPr>
                            <w:rFonts w:ascii="Times New Roman"/>
                            <w:sz w:val="17"/>
                          </w:rPr>
                        </w:pPr>
                        <w:r>
                          <w:rPr>
                            <w:rFonts w:ascii="Times New Roman"/>
                            <w:color w:val="010101"/>
                            <w:w w:val="95"/>
                            <w:sz w:val="17"/>
                          </w:rPr>
                          <w:t>.01106</w:t>
                        </w:r>
                      </w:p>
                    </w:tc>
                    <w:tc>
                      <w:tcPr>
                        <w:tcW w:w="617" w:type="dxa"/>
                      </w:tcPr>
                      <w:p>
                        <w:pPr>
                          <w:pStyle w:val="TableParagraph"/>
                          <w:spacing w:line="189" w:lineRule="exact"/>
                          <w:ind w:left="143" w:right="191"/>
                          <w:jc w:val="center"/>
                          <w:rPr>
                            <w:rFonts w:ascii="Times New Roman"/>
                            <w:sz w:val="17"/>
                          </w:rPr>
                        </w:pPr>
                        <w:r>
                          <w:rPr>
                            <w:rFonts w:ascii="Times New Roman"/>
                            <w:color w:val="010101"/>
                            <w:w w:val="95"/>
                            <w:sz w:val="17"/>
                          </w:rPr>
                          <w:t>55 </w:t>
                        </w:r>
                        <w:r>
                          <w:rPr>
                            <w:rFonts w:ascii="Times New Roman"/>
                            <w:color w:val="343434"/>
                            <w:w w:val="95"/>
                            <w:sz w:val="17"/>
                          </w:rPr>
                          <w:t>.</w:t>
                        </w:r>
                      </w:p>
                    </w:tc>
                    <w:tc>
                      <w:tcPr>
                        <w:tcW w:w="519" w:type="dxa"/>
                      </w:tcPr>
                      <w:p>
                        <w:pPr>
                          <w:pStyle w:val="TableParagraph"/>
                          <w:spacing w:before="17"/>
                          <w:ind w:left="224"/>
                          <w:rPr>
                            <w:rFonts w:ascii="Times New Roman"/>
                            <w:sz w:val="9"/>
                          </w:rPr>
                        </w:pPr>
                        <w:r>
                          <w:rPr>
                            <w:rFonts w:ascii="Arial"/>
                            <w:color w:val="343434"/>
                            <w:sz w:val="14"/>
                          </w:rPr>
                          <w:t>. </w:t>
                        </w:r>
                        <w:r>
                          <w:rPr>
                            <w:rFonts w:ascii="Arial"/>
                            <w:color w:val="010101"/>
                            <w:sz w:val="14"/>
                          </w:rPr>
                          <w:t>. </w:t>
                        </w:r>
                        <w:r>
                          <w:rPr>
                            <w:rFonts w:ascii="Times New Roman"/>
                            <w:color w:val="010101"/>
                            <w:position w:val="-3"/>
                            <w:sz w:val="9"/>
                          </w:rPr>
                          <w:t>1</w:t>
                        </w:r>
                      </w:p>
                    </w:tc>
                    <w:tc>
                      <w:tcPr>
                        <w:tcW w:w="872" w:type="dxa"/>
                      </w:tcPr>
                      <w:p>
                        <w:pPr>
                          <w:pStyle w:val="TableParagraph"/>
                          <w:spacing w:line="189" w:lineRule="exact"/>
                          <w:ind w:left="125"/>
                          <w:rPr>
                            <w:rFonts w:ascii="Times New Roman"/>
                            <w:sz w:val="17"/>
                          </w:rPr>
                        </w:pPr>
                        <w:r>
                          <w:rPr>
                            <w:rFonts w:ascii="Times New Roman"/>
                            <w:color w:val="010101"/>
                            <w:sz w:val="17"/>
                          </w:rPr>
                          <w:t>11.024</w:t>
                        </w:r>
                      </w:p>
                    </w:tc>
                    <w:tc>
                      <w:tcPr>
                        <w:tcW w:w="758" w:type="dxa"/>
                      </w:tcPr>
                      <w:p>
                        <w:pPr>
                          <w:pStyle w:val="TableParagraph"/>
                          <w:spacing w:line="193" w:lineRule="exact"/>
                          <w:ind w:right="33"/>
                          <w:jc w:val="right"/>
                          <w:rPr>
                            <w:rFonts w:ascii="Times New Roman"/>
                            <w:sz w:val="17"/>
                          </w:rPr>
                        </w:pPr>
                        <w:r>
                          <w:rPr>
                            <w:rFonts w:ascii="Times New Roman"/>
                            <w:color w:val="010101"/>
                            <w:w w:val="90"/>
                            <w:sz w:val="17"/>
                          </w:rPr>
                          <w:t>.OW77</w:t>
                        </w:r>
                      </w:p>
                    </w:tc>
                  </w:tr>
                </w:tbl>
                <w:p>
                  <w:pPr>
                    <w:pStyle w:val="BodyText"/>
                  </w:pPr>
                </w:p>
              </w:txbxContent>
            </v:textbox>
            <w10:wrap type="none"/>
          </v:shape>
        </w:pict>
      </w:r>
      <w:r>
        <w:rPr>
          <w:color w:val="010101"/>
          <w:spacing w:val="-125"/>
          <w:w w:val="460"/>
          <w:sz w:val="19"/>
        </w:rPr>
        <w:t>-</w:t>
      </w:r>
      <w:r>
        <w:rPr>
          <w:color w:val="010101"/>
          <w:spacing w:val="-97"/>
          <w:w w:val="460"/>
          <w:sz w:val="19"/>
        </w:rPr>
        <w:t>-</w:t>
      </w:r>
      <w:r>
        <w:rPr>
          <w:color w:val="010101"/>
          <w:spacing w:val="-23"/>
          <w:w w:val="228"/>
          <w:sz w:val="19"/>
        </w:rPr>
        <w:t>-</w:t>
      </w:r>
      <w:r>
        <w:rPr>
          <w:color w:val="010101"/>
          <w:spacing w:val="-43"/>
          <w:w w:val="288"/>
          <w:sz w:val="19"/>
        </w:rPr>
        <w:t>-</w:t>
      </w:r>
      <w:r>
        <w:rPr>
          <w:color w:val="010101"/>
          <w:spacing w:val="-38"/>
          <w:w w:val="296"/>
          <w:sz w:val="19"/>
        </w:rPr>
        <w:t>-</w:t>
      </w:r>
      <w:r>
        <w:rPr>
          <w:color w:val="010101"/>
          <w:w w:val="131"/>
          <w:sz w:val="19"/>
        </w:rPr>
        <w:t>-</w:t>
      </w:r>
    </w:p>
    <w:p>
      <w:pPr>
        <w:spacing w:after="0" w:line="216" w:lineRule="exact"/>
        <w:jc w:val="center"/>
        <w:rPr>
          <w:sz w:val="19"/>
        </w:rPr>
        <w:sectPr>
          <w:type w:val="continuous"/>
          <w:pgSz w:w="7200" w:h="11340"/>
          <w:pgMar w:top="1100" w:bottom="0" w:left="660" w:right="540"/>
          <w:cols w:num="3" w:equalWidth="0">
            <w:col w:w="1012" w:space="291"/>
            <w:col w:w="254" w:space="3199"/>
            <w:col w:w="1244"/>
          </w:cols>
        </w:sectPr>
      </w:pPr>
    </w:p>
    <w:p>
      <w:pPr>
        <w:spacing w:line="179" w:lineRule="exact" w:before="0"/>
        <w:ind w:left="125" w:right="-18" w:firstLine="0"/>
        <w:jc w:val="left"/>
        <w:rPr>
          <w:rFonts w:ascii="Courier New"/>
          <w:sz w:val="10"/>
        </w:rPr>
      </w:pPr>
      <w:r>
        <w:rPr>
          <w:color w:val="010101"/>
          <w:sz w:val="17"/>
        </w:rPr>
        <w:t>51 .</w:t>
      </w:r>
      <w:r>
        <w:rPr>
          <w:color w:val="010101"/>
          <w:spacing w:val="-5"/>
          <w:sz w:val="17"/>
        </w:rPr>
        <w:t> </w:t>
      </w:r>
      <w:r>
        <w:rPr>
          <w:rFonts w:ascii="Courier New"/>
          <w:color w:val="343434"/>
          <w:sz w:val="10"/>
        </w:rPr>
        <w:t>.</w:t>
      </w:r>
    </w:p>
    <w:p>
      <w:pPr>
        <w:pStyle w:val="BodyText"/>
        <w:spacing w:before="8"/>
        <w:rPr>
          <w:rFonts w:ascii="Courier New"/>
          <w:sz w:val="6"/>
        </w:rPr>
      </w:pPr>
      <w:r>
        <w:rPr/>
        <w:br w:type="column"/>
      </w:r>
      <w:r>
        <w:rPr>
          <w:rFonts w:ascii="Courier New"/>
          <w:sz w:val="6"/>
        </w:rPr>
      </w:r>
    </w:p>
    <w:p>
      <w:pPr>
        <w:spacing w:before="0"/>
        <w:ind w:left="-7" w:right="-19" w:firstLine="0"/>
        <w:jc w:val="left"/>
        <w:rPr>
          <w:rFonts w:ascii="Courier New"/>
          <w:sz w:val="8"/>
        </w:rPr>
      </w:pPr>
      <w:r>
        <w:rPr>
          <w:rFonts w:ascii="Courier New"/>
          <w:color w:val="464646"/>
          <w:sz w:val="8"/>
        </w:rPr>
        <w:t>.</w:t>
      </w:r>
      <w:r>
        <w:rPr>
          <w:rFonts w:ascii="Courier New"/>
          <w:color w:val="464646"/>
          <w:spacing w:val="-18"/>
          <w:sz w:val="8"/>
        </w:rPr>
        <w:t> </w:t>
      </w:r>
      <w:r>
        <w:rPr>
          <w:rFonts w:ascii="Courier New"/>
          <w:color w:val="1F1F1F"/>
          <w:sz w:val="8"/>
        </w:rPr>
        <w:t>.</w:t>
      </w:r>
      <w:r>
        <w:rPr>
          <w:rFonts w:ascii="Courier New"/>
          <w:color w:val="1F1F1F"/>
          <w:spacing w:val="-23"/>
          <w:sz w:val="8"/>
        </w:rPr>
        <w:t> </w:t>
      </w:r>
      <w:r>
        <w:rPr>
          <w:rFonts w:ascii="Courier New"/>
          <w:color w:val="343434"/>
          <w:sz w:val="8"/>
        </w:rPr>
        <w:t>.</w:t>
      </w:r>
    </w:p>
    <w:p>
      <w:pPr>
        <w:spacing w:before="59"/>
        <w:ind w:left="-4" w:right="-19" w:firstLine="0"/>
        <w:jc w:val="left"/>
        <w:rPr>
          <w:rFonts w:ascii="Courier New"/>
          <w:sz w:val="8"/>
        </w:rPr>
      </w:pPr>
      <w:r>
        <w:rPr/>
        <w:br w:type="column"/>
      </w:r>
      <w:r>
        <w:rPr>
          <w:rFonts w:ascii="Courier New"/>
          <w:color w:val="A1A1A1"/>
          <w:spacing w:val="4"/>
          <w:w w:val="110"/>
          <w:sz w:val="10"/>
        </w:rPr>
        <w:t>.</w:t>
      </w:r>
      <w:r>
        <w:rPr>
          <w:rFonts w:ascii="Courier New"/>
          <w:color w:val="464646"/>
          <w:spacing w:val="4"/>
          <w:w w:val="110"/>
          <w:sz w:val="10"/>
        </w:rPr>
        <w:t>.</w:t>
      </w:r>
      <w:r>
        <w:rPr>
          <w:rFonts w:ascii="Courier New"/>
          <w:color w:val="464646"/>
          <w:spacing w:val="-41"/>
          <w:w w:val="110"/>
          <w:sz w:val="10"/>
        </w:rPr>
        <w:t> </w:t>
      </w:r>
      <w:r>
        <w:rPr>
          <w:rFonts w:ascii="Courier New"/>
          <w:color w:val="757575"/>
          <w:w w:val="110"/>
          <w:sz w:val="8"/>
        </w:rPr>
        <w:t>.</w:t>
      </w:r>
    </w:p>
    <w:p>
      <w:pPr>
        <w:tabs>
          <w:tab w:pos="1133" w:val="left" w:leader="none"/>
          <w:tab w:pos="1947" w:val="left" w:leader="none"/>
          <w:tab w:pos="2751" w:val="left" w:leader="none"/>
          <w:tab w:pos="3034" w:val="left" w:leader="none"/>
          <w:tab w:pos="4046" w:val="left" w:leader="none"/>
        </w:tabs>
        <w:spacing w:line="179" w:lineRule="exact" w:before="0"/>
        <w:ind w:left="125" w:right="0" w:firstLine="0"/>
        <w:jc w:val="left"/>
        <w:rPr>
          <w:sz w:val="17"/>
        </w:rPr>
      </w:pPr>
      <w:r>
        <w:rPr/>
        <w:br w:type="column"/>
      </w:r>
      <w:r>
        <w:rPr>
          <w:color w:val="010101"/>
          <w:spacing w:val="3"/>
          <w:sz w:val="17"/>
        </w:rPr>
        <w:t>12</w:t>
      </w:r>
      <w:r>
        <w:rPr>
          <w:color w:val="1F1F1F"/>
          <w:spacing w:val="3"/>
          <w:sz w:val="17"/>
        </w:rPr>
        <w:t>.</w:t>
      </w:r>
      <w:r>
        <w:rPr>
          <w:color w:val="010101"/>
          <w:spacing w:val="3"/>
          <w:sz w:val="17"/>
        </w:rPr>
        <w:t>230</w:t>
        <w:tab/>
      </w:r>
      <w:r>
        <w:rPr>
          <w:color w:val="1F1F1F"/>
          <w:sz w:val="17"/>
        </w:rPr>
        <w:t>.</w:t>
      </w:r>
      <w:r>
        <w:rPr>
          <w:color w:val="010101"/>
          <w:sz w:val="17"/>
        </w:rPr>
        <w:t>01631</w:t>
        <w:tab/>
      </w:r>
      <w:r>
        <w:rPr>
          <w:rFonts w:ascii="Arial"/>
          <w:color w:val="010101"/>
          <w:sz w:val="16"/>
        </w:rPr>
        <w:t>56</w:t>
      </w:r>
      <w:r>
        <w:rPr>
          <w:rFonts w:ascii="Arial"/>
          <w:color w:val="010101"/>
          <w:spacing w:val="-24"/>
          <w:sz w:val="16"/>
        </w:rPr>
        <w:t> </w:t>
      </w:r>
      <w:r>
        <w:rPr>
          <w:rFonts w:ascii="Arial"/>
          <w:color w:val="343434"/>
          <w:sz w:val="16"/>
        </w:rPr>
        <w:t>.</w:t>
        <w:tab/>
      </w:r>
      <w:r>
        <w:rPr>
          <w:color w:val="010101"/>
          <w:w w:val="95"/>
          <w:position w:val="9"/>
          <w:sz w:val="7"/>
        </w:rPr>
        <w:t>1</w:t>
        <w:tab/>
      </w:r>
      <w:r>
        <w:rPr>
          <w:color w:val="010101"/>
          <w:spacing w:val="-21"/>
          <w:sz w:val="17"/>
        </w:rPr>
        <w:t>10</w:t>
      </w:r>
      <w:r>
        <w:rPr>
          <w:color w:val="010101"/>
          <w:spacing w:val="-23"/>
          <w:sz w:val="17"/>
        </w:rPr>
        <w:t> </w:t>
      </w:r>
      <w:r>
        <w:rPr>
          <w:color w:val="1F1F1F"/>
          <w:sz w:val="17"/>
        </w:rPr>
        <w:t>.</w:t>
      </w:r>
      <w:r>
        <w:rPr>
          <w:color w:val="010101"/>
          <w:sz w:val="17"/>
        </w:rPr>
        <w:t>714</w:t>
        <w:tab/>
      </w:r>
      <w:r>
        <w:rPr>
          <w:color w:val="010101"/>
          <w:spacing w:val="-4"/>
          <w:sz w:val="17"/>
        </w:rPr>
        <w:t>.02216</w:t>
      </w:r>
    </w:p>
    <w:p>
      <w:pPr>
        <w:spacing w:after="0" w:line="179" w:lineRule="exact"/>
        <w:jc w:val="left"/>
        <w:rPr>
          <w:sz w:val="17"/>
        </w:rPr>
        <w:sectPr>
          <w:type w:val="continuous"/>
          <w:pgSz w:w="7200" w:h="11340"/>
          <w:pgMar w:top="1100" w:bottom="0" w:left="660" w:right="540"/>
          <w:cols w:num="4" w:equalWidth="0">
            <w:col w:w="480" w:space="40"/>
            <w:col w:w="194" w:space="40"/>
            <w:col w:w="215" w:space="154"/>
            <w:col w:w="4877"/>
          </w:cols>
        </w:sectPr>
      </w:pPr>
    </w:p>
    <w:p>
      <w:pPr>
        <w:tabs>
          <w:tab w:pos="1252" w:val="left" w:leader="none"/>
          <w:tab w:pos="2260" w:val="left" w:leader="none"/>
          <w:tab w:pos="3070" w:val="left" w:leader="none"/>
          <w:tab w:pos="4218" w:val="left" w:leader="none"/>
          <w:tab w:pos="5169" w:val="left" w:leader="none"/>
        </w:tabs>
        <w:spacing w:line="226" w:lineRule="exact" w:before="6"/>
        <w:ind w:left="129" w:right="0" w:firstLine="0"/>
        <w:jc w:val="left"/>
        <w:rPr>
          <w:sz w:val="17"/>
        </w:rPr>
      </w:pPr>
      <w:r>
        <w:rPr>
          <w:color w:val="010101"/>
          <w:sz w:val="17"/>
        </w:rPr>
        <w:t>52 </w:t>
      </w:r>
      <w:r>
        <w:rPr>
          <w:color w:val="464646"/>
          <w:w w:val="85"/>
          <w:sz w:val="17"/>
        </w:rPr>
        <w:t>.  </w:t>
      </w:r>
      <w:r>
        <w:rPr>
          <w:color w:val="1F1F1F"/>
          <w:w w:val="85"/>
          <w:position w:val="-5"/>
          <w:sz w:val="18"/>
        </w:rPr>
        <w:t>. </w:t>
      </w:r>
      <w:r>
        <w:rPr>
          <w:color w:val="010101"/>
          <w:w w:val="85"/>
          <w:position w:val="-5"/>
          <w:sz w:val="18"/>
        </w:rPr>
        <w:t>.   </w:t>
      </w:r>
      <w:r>
        <w:rPr>
          <w:color w:val="1F1F1F"/>
          <w:w w:val="85"/>
          <w:position w:val="-5"/>
          <w:sz w:val="18"/>
        </w:rPr>
        <w:t>. </w:t>
      </w:r>
      <w:r>
        <w:rPr>
          <w:color w:val="5D5D5D"/>
          <w:w w:val="85"/>
          <w:position w:val="-5"/>
          <w:sz w:val="18"/>
        </w:rPr>
        <w:t>. </w:t>
      </w:r>
      <w:r>
        <w:rPr>
          <w:color w:val="010101"/>
          <w:w w:val="85"/>
          <w:position w:val="-5"/>
          <w:sz w:val="18"/>
        </w:rPr>
        <w:t>.</w:t>
      </w:r>
      <w:r>
        <w:rPr>
          <w:color w:val="010101"/>
          <w:spacing w:val="-20"/>
          <w:w w:val="85"/>
          <w:position w:val="-5"/>
          <w:sz w:val="18"/>
        </w:rPr>
        <w:t> </w:t>
      </w:r>
      <w:r>
        <w:rPr>
          <w:color w:val="343434"/>
          <w:w w:val="85"/>
          <w:position w:val="-5"/>
          <w:sz w:val="18"/>
        </w:rPr>
        <w:t>:</w:t>
      </w:r>
      <w:r>
        <w:rPr>
          <w:color w:val="343434"/>
          <w:spacing w:val="-20"/>
          <w:w w:val="85"/>
          <w:position w:val="-5"/>
          <w:sz w:val="18"/>
        </w:rPr>
        <w:t> </w:t>
      </w:r>
      <w:r>
        <w:rPr>
          <w:color w:val="010101"/>
          <w:w w:val="65"/>
          <w:position w:val="-5"/>
          <w:sz w:val="18"/>
        </w:rPr>
        <w:t>1</w:t>
        <w:tab/>
      </w:r>
      <w:r>
        <w:rPr>
          <w:color w:val="010101"/>
          <w:sz w:val="17"/>
        </w:rPr>
        <w:t>11.935</w:t>
        <w:tab/>
        <w:t>.017'27</w:t>
        <w:tab/>
        <w:t>62 </w:t>
      </w:r>
      <w:r>
        <w:rPr>
          <w:color w:val="1F1F1F"/>
          <w:w w:val="85"/>
          <w:sz w:val="17"/>
        </w:rPr>
        <w:t>. . .</w:t>
      </w:r>
      <w:r>
        <w:rPr>
          <w:color w:val="1F1F1F"/>
          <w:spacing w:val="-3"/>
          <w:w w:val="85"/>
          <w:sz w:val="17"/>
        </w:rPr>
        <w:t> </w:t>
      </w:r>
      <w:r>
        <w:rPr>
          <w:color w:val="5D5D5D"/>
          <w:w w:val="85"/>
          <w:sz w:val="17"/>
        </w:rPr>
        <w:t>.</w:t>
      </w:r>
      <w:r>
        <w:rPr>
          <w:color w:val="5D5D5D"/>
          <w:spacing w:val="5"/>
          <w:w w:val="85"/>
          <w:sz w:val="17"/>
        </w:rPr>
        <w:t> </w:t>
      </w:r>
      <w:r>
        <w:rPr>
          <w:color w:val="5D5D5D"/>
          <w:w w:val="85"/>
          <w:sz w:val="17"/>
        </w:rPr>
        <w:t>.</w:t>
        <w:tab/>
      </w:r>
      <w:r>
        <w:rPr>
          <w:color w:val="010101"/>
          <w:sz w:val="17"/>
        </w:rPr>
        <w:t>8.808</w:t>
        <w:tab/>
        <w:t>.03381</w:t>
      </w:r>
    </w:p>
    <w:p>
      <w:pPr>
        <w:tabs>
          <w:tab w:pos="1248" w:val="left" w:leader="none"/>
          <w:tab w:pos="2260" w:val="left" w:leader="none"/>
          <w:tab w:pos="3067" w:val="left" w:leader="none"/>
          <w:tab w:pos="3655" w:val="left" w:leader="none"/>
          <w:tab w:pos="4226" w:val="left" w:leader="none"/>
          <w:tab w:pos="5165" w:val="left" w:leader="none"/>
        </w:tabs>
        <w:spacing w:line="128" w:lineRule="exact" w:before="0"/>
        <w:ind w:left="129" w:right="0" w:firstLine="0"/>
        <w:jc w:val="left"/>
        <w:rPr>
          <w:sz w:val="17"/>
        </w:rPr>
      </w:pPr>
      <w:r>
        <w:rPr>
          <w:rFonts w:ascii="Arial"/>
          <w:color w:val="010101"/>
          <w:sz w:val="16"/>
        </w:rPr>
        <w:t>53</w:t>
      </w:r>
      <w:r>
        <w:rPr>
          <w:rFonts w:ascii="Arial"/>
          <w:color w:val="010101"/>
          <w:spacing w:val="-14"/>
          <w:sz w:val="16"/>
        </w:rPr>
        <w:t> </w:t>
      </w:r>
      <w:r>
        <w:rPr>
          <w:rFonts w:ascii="Arial"/>
          <w:color w:val="1F1F1F"/>
          <w:sz w:val="16"/>
        </w:rPr>
        <w:t>.</w:t>
        <w:tab/>
      </w:r>
      <w:r>
        <w:rPr>
          <w:color w:val="010101"/>
          <w:position w:val="1"/>
          <w:sz w:val="17"/>
        </w:rPr>
        <w:t>11.635</w:t>
        <w:tab/>
      </w:r>
      <w:r>
        <w:rPr>
          <w:color w:val="010101"/>
          <w:spacing w:val="2"/>
          <w:sz w:val="17"/>
        </w:rPr>
        <w:t>.01833</w:t>
        <w:tab/>
      </w:r>
      <w:r>
        <w:rPr>
          <w:color w:val="010101"/>
          <w:position w:val="1"/>
          <w:sz w:val="17"/>
        </w:rPr>
        <w:t>63</w:t>
      </w:r>
      <w:r>
        <w:rPr>
          <w:color w:val="010101"/>
          <w:spacing w:val="-24"/>
          <w:position w:val="1"/>
          <w:sz w:val="17"/>
        </w:rPr>
        <w:t> </w:t>
      </w:r>
      <w:r>
        <w:rPr>
          <w:color w:val="1F1F1F"/>
          <w:position w:val="1"/>
          <w:sz w:val="17"/>
        </w:rPr>
        <w:t>.</w:t>
        <w:tab/>
      </w:r>
      <w:r>
        <w:rPr>
          <w:color w:val="1F1F1F"/>
          <w:position w:val="1"/>
          <w:sz w:val="10"/>
        </w:rPr>
        <w:t>.</w:t>
      </w:r>
      <w:r>
        <w:rPr>
          <w:color w:val="1F1F1F"/>
          <w:spacing w:val="22"/>
          <w:position w:val="1"/>
          <w:sz w:val="10"/>
        </w:rPr>
        <w:t> </w:t>
      </w:r>
      <w:r>
        <w:rPr>
          <w:rFonts w:ascii="Arial"/>
          <w:color w:val="343434"/>
          <w:position w:val="1"/>
          <w:sz w:val="14"/>
        </w:rPr>
        <w:t>.</w:t>
      </w:r>
      <w:r>
        <w:rPr>
          <w:rFonts w:ascii="Arial"/>
          <w:color w:val="343434"/>
          <w:spacing w:val="2"/>
          <w:position w:val="1"/>
          <w:sz w:val="14"/>
        </w:rPr>
        <w:t> </w:t>
      </w:r>
      <w:r>
        <w:rPr>
          <w:rFonts w:ascii="Arial"/>
          <w:color w:val="343434"/>
          <w:position w:val="1"/>
          <w:sz w:val="14"/>
        </w:rPr>
        <w:t>.</w:t>
        <w:tab/>
      </w:r>
      <w:r>
        <w:rPr>
          <w:color w:val="010101"/>
          <w:spacing w:val="2"/>
          <w:sz w:val="17"/>
        </w:rPr>
        <w:t>8</w:t>
      </w:r>
      <w:r>
        <w:rPr>
          <w:color w:val="1F1F1F"/>
          <w:spacing w:val="2"/>
          <w:sz w:val="17"/>
        </w:rPr>
        <w:t>.</w:t>
      </w:r>
      <w:r>
        <w:rPr>
          <w:color w:val="010101"/>
          <w:spacing w:val="2"/>
          <w:sz w:val="17"/>
        </w:rPr>
        <w:t>488</w:t>
        <w:tab/>
      </w:r>
      <w:r>
        <w:rPr>
          <w:color w:val="010101"/>
          <w:sz w:val="17"/>
        </w:rPr>
        <w:t>.03645</w:t>
      </w:r>
    </w:p>
    <w:p>
      <w:pPr>
        <w:spacing w:after="0" w:line="128" w:lineRule="exact"/>
        <w:jc w:val="left"/>
        <w:rPr>
          <w:sz w:val="17"/>
        </w:rPr>
        <w:sectPr>
          <w:type w:val="continuous"/>
          <w:pgSz w:w="7200" w:h="11340"/>
          <w:pgMar w:top="1100" w:bottom="0" w:left="660" w:right="540"/>
        </w:sectPr>
      </w:pPr>
    </w:p>
    <w:p>
      <w:pPr>
        <w:tabs>
          <w:tab w:pos="3867" w:val="left" w:leader="none"/>
        </w:tabs>
        <w:spacing w:line="140" w:lineRule="exact" w:before="0"/>
        <w:ind w:left="972" w:right="0" w:firstLine="0"/>
        <w:jc w:val="left"/>
        <w:rPr>
          <w:rFonts w:ascii="Arial"/>
          <w:sz w:val="14"/>
        </w:rPr>
      </w:pPr>
      <w:r>
        <w:rPr/>
        <w:pict>
          <v:shape style="position:absolute;margin-left:40pt;margin-top:-151.587997pt;width:284.7pt;height:.1pt;mso-position-horizontal-relative:page;mso-position-vertical-relative:paragraph;z-index:21448" coordorigin="800,-3032" coordsize="5694,2" path="m1575,169l1804,169m800,167l6493,167e" filled="false" stroked="true" strokeweight=".538117pt" strokecolor="#000000">
            <v:path arrowok="t"/>
            <w10:wrap type="none"/>
          </v:shape>
        </w:pict>
      </w:r>
      <w:r>
        <w:rPr>
          <w:color w:val="010101"/>
          <w:w w:val="65"/>
          <w:sz w:val="7"/>
        </w:rPr>
        <w:t>1</w:t>
        <w:tab/>
      </w:r>
      <w:r>
        <w:rPr>
          <w:rFonts w:ascii="Arial"/>
          <w:color w:val="1F1F1F"/>
          <w:w w:val="55"/>
          <w:position w:val="1"/>
          <w:sz w:val="14"/>
        </w:rPr>
        <w:t>1</w:t>
      </w:r>
    </w:p>
    <w:p>
      <w:pPr>
        <w:pStyle w:val="BodyText"/>
        <w:rPr>
          <w:rFonts w:ascii="Arial"/>
          <w:sz w:val="14"/>
        </w:rPr>
      </w:pPr>
    </w:p>
    <w:p>
      <w:pPr>
        <w:pStyle w:val="ListParagraph"/>
        <w:numPr>
          <w:ilvl w:val="1"/>
          <w:numId w:val="122"/>
        </w:numPr>
        <w:tabs>
          <w:tab w:pos="578" w:val="left" w:leader="none"/>
        </w:tabs>
        <w:spacing w:line="240" w:lineRule="auto" w:before="85" w:after="0"/>
        <w:ind w:left="577" w:right="0" w:hanging="276"/>
        <w:jc w:val="left"/>
        <w:rPr>
          <w:sz w:val="17"/>
        </w:rPr>
      </w:pPr>
      <w:r>
        <w:rPr>
          <w:color w:val="010101"/>
          <w:w w:val="110"/>
          <w:sz w:val="17"/>
        </w:rPr>
        <w:t>Show that  ,</w:t>
      </w:r>
      <w:r>
        <w:rPr>
          <w:color w:val="010101"/>
          <w:w w:val="110"/>
          <w:sz w:val="14"/>
        </w:rPr>
        <w:t>V(0i,1z)  </w:t>
      </w:r>
      <w:r>
        <w:rPr>
          <w:color w:val="010101"/>
          <w:w w:val="110"/>
          <w:sz w:val="17"/>
        </w:rPr>
        <w:t>is negative </w:t>
      </w:r>
      <w:r>
        <w:rPr>
          <w:color w:val="010101"/>
          <w:spacing w:val="6"/>
          <w:w w:val="110"/>
          <w:sz w:val="17"/>
        </w:rPr>
        <w:t> </w:t>
      </w:r>
      <w:r>
        <w:rPr>
          <w:color w:val="010101"/>
          <w:w w:val="110"/>
          <w:sz w:val="17"/>
        </w:rPr>
        <w:t>if</w:t>
      </w:r>
    </w:p>
    <w:p>
      <w:pPr>
        <w:pStyle w:val="BodyText"/>
        <w:spacing w:before="6"/>
        <w:rPr>
          <w:sz w:val="15"/>
        </w:rPr>
      </w:pPr>
    </w:p>
    <w:p>
      <w:pPr>
        <w:spacing w:line="244" w:lineRule="exact" w:before="0"/>
        <w:ind w:left="2432" w:right="0" w:firstLine="0"/>
        <w:jc w:val="left"/>
        <w:rPr>
          <w:sz w:val="11"/>
        </w:rPr>
      </w:pPr>
      <w:r>
        <w:rPr>
          <w:b/>
          <w:color w:val="010101"/>
          <w:w w:val="110"/>
          <w:sz w:val="13"/>
          <w:u w:val="single" w:color="000000"/>
        </w:rPr>
        <w:t>&lt;iz+t  </w:t>
      </w:r>
      <w:r>
        <w:rPr>
          <w:rFonts w:ascii="Arial" w:hAnsi="Arial"/>
          <w:color w:val="010101"/>
          <w:w w:val="110"/>
          <w:sz w:val="23"/>
        </w:rPr>
        <w:t>&lt; </w:t>
      </w:r>
      <w:r>
        <w:rPr>
          <w:color w:val="010101"/>
          <w:w w:val="110"/>
          <w:sz w:val="11"/>
          <w:u w:val="single" w:color="000000"/>
        </w:rPr>
        <w:t>Üz+l:i,+</w:t>
      </w:r>
      <w:r>
        <w:rPr>
          <w:color w:val="010101"/>
          <w:w w:val="110"/>
          <w:sz w:val="11"/>
        </w:rPr>
        <w:t>I  •</w:t>
      </w:r>
    </w:p>
    <w:p>
      <w:pPr>
        <w:tabs>
          <w:tab w:pos="3128" w:val="left" w:leader="none"/>
        </w:tabs>
        <w:spacing w:line="279" w:lineRule="exact" w:before="0"/>
        <w:ind w:left="2482" w:right="0" w:firstLine="0"/>
        <w:jc w:val="left"/>
        <w:rPr>
          <w:rFonts w:ascii="Arial" w:hAnsi="Arial"/>
          <w:i/>
          <w:sz w:val="26"/>
        </w:rPr>
      </w:pPr>
      <w:r>
        <w:rPr>
          <w:b/>
          <w:i/>
          <w:color w:val="010101"/>
          <w:w w:val="80"/>
          <w:sz w:val="15"/>
        </w:rPr>
        <w:t>á.s</w:t>
        <w:tab/>
      </w:r>
      <w:r>
        <w:rPr>
          <w:rFonts w:ascii="Arial" w:hAnsi="Arial"/>
          <w:i/>
          <w:color w:val="010101"/>
          <w:w w:val="80"/>
          <w:sz w:val="26"/>
        </w:rPr>
        <w:t>ª%•</w:t>
      </w:r>
    </w:p>
    <w:p>
      <w:pPr>
        <w:pStyle w:val="BodyText"/>
        <w:spacing w:before="8"/>
        <w:rPr>
          <w:rFonts w:ascii="Arial"/>
          <w:i/>
          <w:sz w:val="15"/>
        </w:rPr>
      </w:pPr>
      <w:r>
        <w:rPr/>
        <w:br w:type="column"/>
      </w:r>
      <w:r>
        <w:rPr>
          <w:rFonts w:ascii="Arial"/>
          <w:i/>
          <w:sz w:val="15"/>
        </w:rPr>
      </w:r>
    </w:p>
    <w:p>
      <w:pPr>
        <w:spacing w:before="1"/>
        <w:ind w:left="301" w:right="0" w:firstLine="0"/>
        <w:jc w:val="left"/>
        <w:rPr>
          <w:sz w:val="17"/>
        </w:rPr>
      </w:pPr>
      <w:r>
        <w:rPr>
          <w:b/>
          <w:color w:val="010101"/>
          <w:sz w:val="17"/>
        </w:rPr>
        <w:t>(Ans. </w:t>
      </w:r>
      <w:r>
        <w:rPr>
          <w:color w:val="010101"/>
          <w:sz w:val="17"/>
        </w:rPr>
        <w:t>.347)</w:t>
      </w:r>
    </w:p>
    <w:p>
      <w:pPr>
        <w:spacing w:after="0"/>
        <w:jc w:val="left"/>
        <w:rPr>
          <w:sz w:val="17"/>
        </w:rPr>
        <w:sectPr>
          <w:type w:val="continuous"/>
          <w:pgSz w:w="7200" w:h="11340"/>
          <w:pgMar w:top="1100" w:bottom="0" w:left="660" w:right="540"/>
          <w:cols w:num="2" w:equalWidth="0">
            <w:col w:w="3911" w:space="885"/>
            <w:col w:w="1204"/>
          </w:cols>
        </w:sectPr>
      </w:pPr>
    </w:p>
    <w:p>
      <w:pPr>
        <w:pStyle w:val="ListParagraph"/>
        <w:numPr>
          <w:ilvl w:val="1"/>
          <w:numId w:val="122"/>
        </w:numPr>
        <w:tabs>
          <w:tab w:pos="578" w:val="left" w:leader="none"/>
        </w:tabs>
        <w:spacing w:line="244" w:lineRule="auto" w:before="5" w:after="0"/>
        <w:ind w:left="129" w:right="129" w:firstLine="168"/>
        <w:jc w:val="both"/>
        <w:rPr>
          <w:rFonts w:ascii="Arial"/>
          <w:i/>
          <w:sz w:val="14"/>
        </w:rPr>
      </w:pPr>
      <w:r>
        <w:rPr>
          <w:color w:val="010101"/>
          <w:w w:val="110"/>
          <w:sz w:val="17"/>
        </w:rPr>
        <w:t>Express in annuity symbols the reserve </w:t>
      </w:r>
      <w:r>
        <w:rPr>
          <w:i/>
          <w:color w:val="010101"/>
          <w:w w:val="110"/>
          <w:sz w:val="19"/>
        </w:rPr>
        <w:t>t </w:t>
      </w:r>
      <w:r>
        <w:rPr>
          <w:color w:val="010101"/>
          <w:w w:val="110"/>
          <w:sz w:val="17"/>
        </w:rPr>
        <w:t>years after issue for a single prernium reversionary annuity payable to a life (z) af ter the death of the survivor  of  two lives  </w:t>
      </w:r>
      <w:r>
        <w:rPr>
          <w:rFonts w:ascii="Arial"/>
          <w:i/>
          <w:color w:val="010101"/>
          <w:spacing w:val="4"/>
          <w:w w:val="110"/>
          <w:sz w:val="14"/>
        </w:rPr>
        <w:t>(x)  </w:t>
      </w:r>
      <w:r>
        <w:rPr>
          <w:color w:val="010101"/>
          <w:w w:val="110"/>
          <w:sz w:val="17"/>
        </w:rPr>
        <w:t>and</w:t>
      </w:r>
      <w:r>
        <w:rPr>
          <w:color w:val="010101"/>
          <w:spacing w:val="15"/>
          <w:w w:val="110"/>
          <w:sz w:val="17"/>
        </w:rPr>
        <w:t> </w:t>
      </w:r>
      <w:r>
        <w:rPr>
          <w:rFonts w:ascii="Arial"/>
          <w:i/>
          <w:color w:val="010101"/>
          <w:spacing w:val="4"/>
          <w:w w:val="110"/>
          <w:sz w:val="14"/>
        </w:rPr>
        <w:t>(y).</w:t>
      </w:r>
    </w:p>
    <w:p>
      <w:pPr>
        <w:pStyle w:val="ListParagraph"/>
        <w:numPr>
          <w:ilvl w:val="0"/>
          <w:numId w:val="122"/>
        </w:numPr>
        <w:tabs>
          <w:tab w:pos="338" w:val="left" w:leader="none"/>
        </w:tabs>
        <w:spacing w:line="240" w:lineRule="auto" w:before="133" w:after="0"/>
        <w:ind w:left="337" w:right="0" w:hanging="208"/>
        <w:jc w:val="left"/>
        <w:rPr>
          <w:b/>
          <w:sz w:val="16"/>
        </w:rPr>
      </w:pPr>
      <w:r>
        <w:rPr>
          <w:b/>
          <w:color w:val="010101"/>
          <w:w w:val="125"/>
          <w:sz w:val="16"/>
        </w:rPr>
        <w:t>Continuous</w:t>
      </w:r>
      <w:r>
        <w:rPr>
          <w:b/>
          <w:color w:val="010101"/>
          <w:spacing w:val="49"/>
          <w:w w:val="125"/>
          <w:sz w:val="16"/>
        </w:rPr>
        <w:t> </w:t>
      </w:r>
      <w:r>
        <w:rPr>
          <w:b/>
          <w:color w:val="010101"/>
          <w:w w:val="125"/>
          <w:sz w:val="16"/>
        </w:rPr>
        <w:t>instalments</w:t>
      </w:r>
    </w:p>
    <w:p>
      <w:pPr>
        <w:pStyle w:val="ListParagraph"/>
        <w:numPr>
          <w:ilvl w:val="0"/>
          <w:numId w:val="126"/>
        </w:numPr>
        <w:tabs>
          <w:tab w:pos="589" w:val="left" w:leader="none"/>
        </w:tabs>
        <w:spacing w:line="244" w:lineRule="auto" w:before="83" w:after="0"/>
        <w:ind w:left="136" w:right="121" w:firstLine="169"/>
        <w:jc w:val="both"/>
        <w:rPr>
          <w:color w:val="010101"/>
          <w:sz w:val="17"/>
        </w:rPr>
      </w:pPr>
      <w:r>
        <w:rPr>
          <w:color w:val="010101"/>
          <w:w w:val="110"/>
          <w:sz w:val="17"/>
        </w:rPr>
        <w:t>An m-year endowment policy with continuous instalrnents provides that </w:t>
      </w:r>
      <w:r>
        <w:rPr>
          <w:color w:val="010101"/>
          <w:sz w:val="17"/>
        </w:rPr>
        <w:t>if </w:t>
      </w:r>
      <w:r>
        <w:rPr>
          <w:color w:val="010101"/>
          <w:w w:val="110"/>
          <w:sz w:val="17"/>
        </w:rPr>
        <w:t>the insured, aged </w:t>
      </w:r>
      <w:r>
        <w:rPr>
          <w:rFonts w:ascii="Arial" w:hAnsi="Arial"/>
          <w:i/>
          <w:color w:val="010101"/>
          <w:w w:val="110"/>
          <w:sz w:val="14"/>
        </w:rPr>
        <w:t>x </w:t>
      </w:r>
      <w:r>
        <w:rPr>
          <w:color w:val="010101"/>
          <w:w w:val="110"/>
          <w:sz w:val="17"/>
        </w:rPr>
        <w:t>at issue, dies before the maturity of the policy  as an endowment, a monthly </w:t>
      </w:r>
      <w:r>
        <w:rPr>
          <w:color w:val="010101"/>
          <w:sz w:val="17"/>
        </w:rPr>
        <w:t>i </w:t>
      </w:r>
      <w:r>
        <w:rPr>
          <w:color w:val="010101"/>
          <w:w w:val="110"/>
          <w:sz w:val="17"/>
        </w:rPr>
        <w:t>ncome will be paid for </w:t>
      </w:r>
      <w:r>
        <w:rPr>
          <w:i/>
          <w:color w:val="010101"/>
          <w:w w:val="110"/>
          <w:sz w:val="18"/>
        </w:rPr>
        <w:t>n </w:t>
      </w:r>
      <w:r>
        <w:rPr>
          <w:color w:val="010101"/>
          <w:w w:val="110"/>
          <w:sz w:val="17"/>
        </w:rPr>
        <w:t>years certain and for as long thereaf ter as the beneficiary, aged </w:t>
      </w:r>
      <w:r>
        <w:rPr>
          <w:rFonts w:ascii="Arial" w:hAnsi="Arial"/>
          <w:i/>
          <w:color w:val="010101"/>
          <w:w w:val="110"/>
          <w:sz w:val="14"/>
        </w:rPr>
        <w:t>y </w:t>
      </w:r>
      <w:r>
        <w:rPr>
          <w:color w:val="010101"/>
          <w:w w:val="110"/>
          <w:sz w:val="17"/>
        </w:rPr>
        <w:t>at issue, survives. At maturity as an endowment the income is paya.ble for </w:t>
      </w:r>
      <w:r>
        <w:rPr>
          <w:i/>
          <w:color w:val="010101"/>
          <w:w w:val="110"/>
          <w:sz w:val="17"/>
        </w:rPr>
        <w:t>n </w:t>
      </w:r>
      <w:r>
        <w:rPr>
          <w:color w:val="010101"/>
          <w:w w:val="110"/>
          <w:sz w:val="17"/>
        </w:rPr>
        <w:t>years certain and as long there­ after  as either the  insured  or  beneficiary</w:t>
      </w:r>
      <w:r>
        <w:rPr>
          <w:color w:val="010101"/>
          <w:spacing w:val="8"/>
          <w:w w:val="110"/>
          <w:sz w:val="17"/>
        </w:rPr>
        <w:t> </w:t>
      </w:r>
      <w:r>
        <w:rPr>
          <w:color w:val="010101"/>
          <w:spacing w:val="2"/>
          <w:w w:val="110"/>
          <w:sz w:val="17"/>
        </w:rPr>
        <w:t>survives</w:t>
      </w:r>
      <w:r>
        <w:rPr>
          <w:color w:val="1F1F1F"/>
          <w:spacing w:val="2"/>
          <w:w w:val="110"/>
          <w:sz w:val="17"/>
        </w:rPr>
        <w:t>.</w:t>
      </w:r>
    </w:p>
    <w:p>
      <w:pPr>
        <w:spacing w:after="0" w:line="244" w:lineRule="auto"/>
        <w:jc w:val="both"/>
        <w:rPr>
          <w:sz w:val="17"/>
        </w:rPr>
        <w:sectPr>
          <w:type w:val="continuous"/>
          <w:pgSz w:w="7200" w:h="11340"/>
          <w:pgMar w:top="1100" w:bottom="0" w:left="660" w:right="540"/>
        </w:sectPr>
      </w:pPr>
    </w:p>
    <w:p>
      <w:pPr>
        <w:tabs>
          <w:tab w:pos="6074" w:val="right" w:leader="none"/>
        </w:tabs>
        <w:spacing w:before="50"/>
        <w:ind w:left="2777" w:right="0" w:firstLine="0"/>
        <w:jc w:val="left"/>
        <w:rPr>
          <w:sz w:val="19"/>
        </w:rPr>
      </w:pPr>
      <w:r>
        <w:rPr>
          <w:color w:val="030303"/>
          <w:w w:val="110"/>
          <w:sz w:val="15"/>
        </w:rPr>
        <w:t>EXERCISES</w:t>
      </w:r>
      <w:r>
        <w:rPr>
          <w:color w:val="030303"/>
          <w:w w:val="110"/>
          <w:sz w:val="19"/>
        </w:rPr>
        <w:tab/>
        <w:t>267</w:t>
      </w:r>
    </w:p>
    <w:p>
      <w:pPr>
        <w:spacing w:line="200" w:lineRule="atLeast" w:before="249"/>
        <w:ind w:left="352" w:right="0" w:firstLine="157"/>
        <w:jc w:val="left"/>
        <w:rPr>
          <w:sz w:val="17"/>
        </w:rPr>
      </w:pPr>
      <w:r>
        <w:rPr/>
        <w:pict>
          <v:shape style="position:absolute;margin-left:171.577148pt;margin-top:32.592804pt;width:14.45pt;height:5pt;mso-position-horizontal-relative:page;mso-position-vertical-relative:paragraph;z-index:-714496" type="#_x0000_t202" filled="false" stroked="false">
            <v:textbox inset="0,0,0,0">
              <w:txbxContent>
                <w:p>
                  <w:pPr>
                    <w:spacing w:line="100" w:lineRule="exact" w:before="0"/>
                    <w:ind w:left="0" w:right="-19" w:firstLine="0"/>
                    <w:jc w:val="left"/>
                    <w:rPr>
                      <w:sz w:val="10"/>
                    </w:rPr>
                  </w:pPr>
                  <w:r>
                    <w:rPr>
                      <w:b/>
                      <w:color w:val="030303"/>
                      <w:spacing w:val="-56"/>
                      <w:w w:val="142"/>
                      <w:sz w:val="10"/>
                    </w:rPr>
                    <w:t>(</w:t>
                  </w:r>
                  <w:r>
                    <w:rPr>
                      <w:b/>
                      <w:color w:val="030303"/>
                      <w:spacing w:val="-40"/>
                      <w:w w:val="142"/>
                      <w:sz w:val="10"/>
                    </w:rPr>
                    <w:t>U</w:t>
                  </w:r>
                  <w:r>
                    <w:rPr>
                      <w:b/>
                      <w:color w:val="030303"/>
                      <w:w w:val="142"/>
                      <w:sz w:val="10"/>
                    </w:rPr>
                    <w:t>)</w:t>
                  </w:r>
                  <w:r>
                    <w:rPr>
                      <w:b/>
                      <w:color w:val="030303"/>
                      <w:sz w:val="10"/>
                    </w:rPr>
                    <w:t> </w:t>
                  </w:r>
                  <w:r>
                    <w:rPr>
                      <w:b/>
                      <w:color w:val="030303"/>
                      <w:spacing w:val="-7"/>
                      <w:sz w:val="10"/>
                    </w:rPr>
                    <w:t> </w:t>
                  </w:r>
                  <w:r>
                    <w:rPr>
                      <w:color w:val="030303"/>
                      <w:spacing w:val="-96"/>
                      <w:w w:val="196"/>
                      <w:sz w:val="10"/>
                    </w:rPr>
                    <w:t>-</w:t>
                  </w:r>
                </w:p>
              </w:txbxContent>
            </v:textbox>
            <w10:wrap type="none"/>
          </v:shape>
        </w:pict>
      </w:r>
      <w:r>
        <w:rPr>
          <w:color w:val="030303"/>
          <w:w w:val="110"/>
          <w:sz w:val="17"/>
        </w:rPr>
        <w:t>Show that the Mt single premi um for the policy consists of the following four  parts:</w:t>
      </w:r>
    </w:p>
    <w:p>
      <w:pPr>
        <w:spacing w:after="0" w:line="200" w:lineRule="atLeast"/>
        <w:jc w:val="left"/>
        <w:rPr>
          <w:sz w:val="17"/>
        </w:rPr>
        <w:sectPr>
          <w:pgSz w:w="7200" w:h="11340"/>
          <w:pgMar w:top="520" w:bottom="280" w:left="440" w:right="560"/>
        </w:sectPr>
      </w:pPr>
    </w:p>
    <w:p>
      <w:pPr>
        <w:pStyle w:val="ListParagraph"/>
        <w:numPr>
          <w:ilvl w:val="1"/>
          <w:numId w:val="126"/>
        </w:numPr>
        <w:tabs>
          <w:tab w:pos="981" w:val="left" w:leader="none"/>
        </w:tabs>
        <w:spacing w:line="240" w:lineRule="auto" w:before="8" w:after="0"/>
        <w:ind w:left="980" w:right="0" w:hanging="283"/>
        <w:jc w:val="left"/>
        <w:rPr>
          <w:sz w:val="17"/>
        </w:rPr>
      </w:pPr>
      <w:r>
        <w:rPr>
          <w:color w:val="030303"/>
          <w:spacing w:val="4"/>
          <w:w w:val="105"/>
          <w:sz w:val="18"/>
        </w:rPr>
        <w:t>f</w:t>
      </w:r>
      <w:r>
        <w:rPr>
          <w:color w:val="030303"/>
          <w:spacing w:val="4"/>
          <w:w w:val="105"/>
          <w:sz w:val="17"/>
        </w:rPr>
        <w:t>or</w:t>
      </w:r>
      <w:r>
        <w:rPr>
          <w:color w:val="030303"/>
          <w:spacing w:val="12"/>
          <w:w w:val="105"/>
          <w:sz w:val="17"/>
        </w:rPr>
        <w:t> </w:t>
      </w:r>
      <w:r>
        <w:rPr>
          <w:color w:val="030303"/>
          <w:spacing w:val="9"/>
          <w:w w:val="105"/>
          <w:sz w:val="18"/>
        </w:rPr>
        <w:t>t</w:t>
      </w:r>
      <w:r>
        <w:rPr>
          <w:color w:val="030303"/>
          <w:spacing w:val="9"/>
          <w:w w:val="105"/>
          <w:position w:val="1"/>
          <w:sz w:val="17"/>
        </w:rPr>
        <w:t>h</w:t>
      </w:r>
      <w:r>
        <w:rPr>
          <w:color w:val="030303"/>
          <w:spacing w:val="9"/>
          <w:w w:val="105"/>
          <w:sz w:val="17"/>
        </w:rPr>
        <w:t>e</w:t>
      </w:r>
    </w:p>
    <w:p>
      <w:pPr>
        <w:tabs>
          <w:tab w:pos="1097" w:val="left" w:leader="none"/>
        </w:tabs>
        <w:spacing w:line="70" w:lineRule="exact" w:before="0"/>
        <w:ind w:left="419" w:right="0" w:firstLine="0"/>
        <w:jc w:val="left"/>
        <w:rPr>
          <w:sz w:val="17"/>
        </w:rPr>
      </w:pPr>
      <w:r>
        <w:rPr/>
        <w:br w:type="column"/>
      </w:r>
      <w:r>
        <w:rPr>
          <w:color w:val="030303"/>
          <w:w w:val="135"/>
          <w:sz w:val="17"/>
        </w:rPr>
        <w:t>.</w:t>
        <w:tab/>
        <w:t>.</w:t>
      </w:r>
    </w:p>
    <w:p>
      <w:pPr>
        <w:spacing w:line="150" w:lineRule="exact" w:before="0"/>
        <w:ind w:left="32" w:right="-19" w:firstLine="0"/>
        <w:jc w:val="left"/>
        <w:rPr>
          <w:sz w:val="17"/>
        </w:rPr>
      </w:pPr>
      <w:r>
        <w:rPr>
          <w:color w:val="030303"/>
          <w:w w:val="115"/>
          <w:sz w:val="17"/>
        </w:rPr>
        <w:t>annmty  certam:</w:t>
      </w:r>
    </w:p>
    <w:p>
      <w:pPr>
        <w:spacing w:before="13"/>
        <w:ind w:left="19" w:right="0" w:firstLine="0"/>
        <w:jc w:val="left"/>
        <w:rPr>
          <w:rFonts w:ascii="Arial" w:hAnsi="Arial"/>
          <w:i/>
          <w:sz w:val="18"/>
        </w:rPr>
      </w:pPr>
      <w:r>
        <w:rPr/>
        <w:br w:type="column"/>
      </w:r>
      <w:r>
        <w:rPr>
          <w:rFonts w:ascii="Arial" w:hAnsi="Arial"/>
          <w:i/>
          <w:color w:val="030303"/>
          <w:w w:val="85"/>
          <w:sz w:val="17"/>
        </w:rPr>
        <w:t>a;¡ </w:t>
      </w:r>
      <w:r>
        <w:rPr>
          <w:rFonts w:ascii="Arial" w:hAnsi="Arial"/>
          <w:i/>
          <w:color w:val="030303"/>
          <w:w w:val="85"/>
          <w:sz w:val="18"/>
        </w:rPr>
        <w:t>A,.,;¡¡¡</w:t>
      </w:r>
    </w:p>
    <w:p>
      <w:pPr>
        <w:spacing w:after="0"/>
        <w:jc w:val="left"/>
        <w:rPr>
          <w:rFonts w:ascii="Arial" w:hAnsi="Arial"/>
          <w:sz w:val="18"/>
        </w:rPr>
        <w:sectPr>
          <w:type w:val="continuous"/>
          <w:pgSz w:w="7200" w:h="11340"/>
          <w:pgMar w:top="1100" w:bottom="0" w:left="440" w:right="560"/>
          <w:cols w:num="3" w:equalWidth="0">
            <w:col w:w="1511" w:space="40"/>
            <w:col w:w="1304" w:space="40"/>
            <w:col w:w="3305"/>
          </w:cols>
        </w:sectPr>
      </w:pPr>
    </w:p>
    <w:p>
      <w:pPr>
        <w:spacing w:line="247" w:lineRule="auto" w:before="14"/>
        <w:ind w:left="980" w:right="151" w:hanging="284"/>
        <w:jc w:val="left"/>
        <w:rPr>
          <w:sz w:val="17"/>
        </w:rPr>
      </w:pPr>
      <w:r>
        <w:rPr>
          <w:rFonts w:ascii="Arial"/>
          <w:color w:val="030303"/>
          <w:w w:val="110"/>
          <w:sz w:val="15"/>
        </w:rPr>
        <w:t>(b) </w:t>
      </w:r>
      <w:r>
        <w:rPr>
          <w:color w:val="030303"/>
          <w:w w:val="110"/>
          <w:sz w:val="17"/>
        </w:rPr>
        <w:t>for the continuou.s instalments to the beneficiary  in the event  of  the  </w:t>
      </w:r>
      <w:r>
        <w:rPr>
          <w:color w:val="030303"/>
          <w:sz w:val="17"/>
        </w:rPr>
        <w:t>i </w:t>
      </w:r>
      <w:r>
        <w:rPr>
          <w:color w:val="030303"/>
          <w:w w:val="110"/>
          <w:sz w:val="17"/>
        </w:rPr>
        <w:t>nsured 's death  prior  to maturity</w:t>
      </w:r>
      <w:r>
        <w:rPr>
          <w:color w:val="030303"/>
          <w:spacing w:val="-11"/>
          <w:w w:val="110"/>
          <w:sz w:val="17"/>
        </w:rPr>
        <w:t> </w:t>
      </w:r>
      <w:r>
        <w:rPr>
          <w:color w:val="030303"/>
          <w:w w:val="110"/>
          <w:sz w:val="17"/>
        </w:rPr>
        <w:t>:</w:t>
      </w:r>
    </w:p>
    <w:p>
      <w:pPr>
        <w:tabs>
          <w:tab w:pos="1447" w:val="left" w:leader="none"/>
          <w:tab w:pos="3015" w:val="left" w:leader="none"/>
        </w:tabs>
        <w:spacing w:line="334" w:lineRule="exact" w:before="9"/>
        <w:ind w:left="256" w:right="0" w:firstLine="0"/>
        <w:jc w:val="center"/>
        <w:rPr>
          <w:sz w:val="10"/>
        </w:rPr>
      </w:pPr>
      <w:r>
        <w:rPr/>
        <w:pict>
          <v:shape style="position:absolute;margin-left:27.508671pt;margin-top:14.541311pt;width:157.7pt;height:8.5pt;mso-position-horizontal-relative:page;mso-position-vertical-relative:paragraph;z-index:-714472" type="#_x0000_t202" filled="false" stroked="false">
            <v:textbox inset="0,0,0,0">
              <w:txbxContent>
                <w:p>
                  <w:pPr>
                    <w:tabs>
                      <w:tab w:pos="3019" w:val="left" w:leader="none"/>
                    </w:tabs>
                    <w:spacing w:line="170" w:lineRule="exact" w:before="0"/>
                    <w:ind w:left="0" w:right="0" w:firstLine="0"/>
                    <w:jc w:val="left"/>
                    <w:rPr>
                      <w:rFonts w:ascii="Arial"/>
                      <w:i/>
                      <w:sz w:val="17"/>
                    </w:rPr>
                  </w:pPr>
                  <w:r>
                    <w:rPr>
                      <w:rFonts w:ascii="Arial"/>
                      <w:i/>
                      <w:color w:val="030303"/>
                      <w:spacing w:val="-1989"/>
                      <w:w w:val="600"/>
                      <w:sz w:val="17"/>
                    </w:rPr>
                    <w:t>-</w:t>
                  </w:r>
                  <w:r>
                    <w:rPr>
                      <w:rFonts w:ascii="Arial"/>
                      <w:i/>
                      <w:color w:val="030303"/>
                      <w:w w:val="117"/>
                      <w:sz w:val="17"/>
                    </w:rPr>
                    <w:t>D</w:t>
                  </w:r>
                  <w:r>
                    <w:rPr>
                      <w:rFonts w:ascii="Arial"/>
                      <w:i/>
                      <w:color w:val="030303"/>
                      <w:sz w:val="17"/>
                    </w:rPr>
                    <w:tab/>
                  </w:r>
                  <w:r>
                    <w:rPr>
                      <w:rFonts w:ascii="Arial"/>
                      <w:i/>
                      <w:color w:val="030303"/>
                      <w:w w:val="108"/>
                      <w:sz w:val="17"/>
                    </w:rPr>
                    <w:t>D</w:t>
                  </w:r>
                </w:p>
              </w:txbxContent>
            </v:textbox>
            <w10:wrap type="none"/>
          </v:shape>
        </w:pict>
      </w:r>
      <w:r>
        <w:rPr>
          <w:i/>
          <w:color w:val="030303"/>
          <w:w w:val="66"/>
          <w:sz w:val="18"/>
        </w:rPr>
        <w:t>D.,,+</w:t>
      </w:r>
      <w:r>
        <w:rPr>
          <w:i/>
          <w:color w:val="030303"/>
          <w:spacing w:val="-28"/>
          <w:sz w:val="18"/>
        </w:rPr>
        <w:t> </w:t>
      </w:r>
      <w:r>
        <w:rPr>
          <w:i/>
          <w:color w:val="030303"/>
          <w:w w:val="95"/>
          <w:sz w:val="18"/>
        </w:rPr>
        <w:t>..</w:t>
      </w:r>
      <w:r>
        <w:rPr>
          <w:i/>
          <w:color w:val="030303"/>
          <w:spacing w:val="-5"/>
          <w:sz w:val="18"/>
        </w:rPr>
        <w:t> </w:t>
      </w:r>
      <w:r>
        <w:rPr>
          <w:color w:val="030303"/>
          <w:spacing w:val="-1"/>
          <w:w w:val="114"/>
          <w:sz w:val="33"/>
        </w:rPr>
        <w:t>(</w:t>
      </w:r>
      <w:r>
        <w:rPr>
          <w:color w:val="030303"/>
          <w:spacing w:val="-99"/>
          <w:w w:val="134"/>
          <w:sz w:val="33"/>
        </w:rPr>
        <w:t>·</w:t>
      </w:r>
      <w:r>
        <w:rPr>
          <w:color w:val="1C1C1C"/>
          <w:spacing w:val="15"/>
          <w:w w:val="14"/>
          <w:sz w:val="33"/>
        </w:rPr>
        <w:t>-</w:t>
      </w:r>
      <w:r>
        <w:rPr>
          <w:color w:val="030303"/>
          <w:w w:val="41"/>
          <w:sz w:val="33"/>
        </w:rPr>
        <w:t>OI)</w:t>
      </w:r>
      <w:r>
        <w:rPr>
          <w:color w:val="030303"/>
          <w:sz w:val="33"/>
        </w:rPr>
        <w:tab/>
      </w:r>
      <w:r>
        <w:rPr>
          <w:b/>
          <w:color w:val="030303"/>
          <w:spacing w:val="-13"/>
          <w:w w:val="105"/>
          <w:sz w:val="18"/>
          <w:u w:val="single" w:color="000000"/>
        </w:rPr>
        <w:t>D</w:t>
      </w:r>
      <w:r>
        <w:rPr>
          <w:b/>
          <w:color w:val="030303"/>
          <w:w w:val="66"/>
          <w:sz w:val="18"/>
          <w:u w:val="single" w:color="000000"/>
        </w:rPr>
        <w:t>.</w:t>
      </w:r>
      <w:r>
        <w:rPr>
          <w:b/>
          <w:color w:val="030303"/>
          <w:spacing w:val="5"/>
          <w:w w:val="66"/>
          <w:sz w:val="18"/>
          <w:u w:val="single" w:color="000000"/>
        </w:rPr>
        <w:t>.</w:t>
      </w:r>
      <w:r>
        <w:rPr>
          <w:b/>
          <w:color w:val="030303"/>
          <w:w w:val="109"/>
          <w:sz w:val="13"/>
          <w:u w:val="single" w:color="000000"/>
        </w:rPr>
        <w:t>+..,,+11+•</w:t>
      </w:r>
      <w:r>
        <w:rPr>
          <w:b/>
          <w:color w:val="030303"/>
          <w:sz w:val="13"/>
        </w:rPr>
        <w:t>    </w:t>
      </w:r>
      <w:r>
        <w:rPr>
          <w:b/>
          <w:color w:val="030303"/>
          <w:spacing w:val="-1"/>
          <w:sz w:val="13"/>
        </w:rPr>
        <w:t> </w:t>
      </w:r>
      <w:r>
        <w:rPr>
          <w:b/>
          <w:color w:val="030303"/>
          <w:w w:val="115"/>
          <w:sz w:val="10"/>
        </w:rPr>
        <w:t>(11)</w:t>
      </w:r>
      <w:r>
        <w:rPr>
          <w:b/>
          <w:color w:val="030303"/>
          <w:sz w:val="10"/>
        </w:rPr>
        <w:tab/>
      </w:r>
      <w:r>
        <w:rPr>
          <w:color w:val="030303"/>
          <w:w w:val="409"/>
          <w:sz w:val="10"/>
        </w:rPr>
        <w:t>)</w:t>
      </w:r>
    </w:p>
    <w:p>
      <w:pPr>
        <w:tabs>
          <w:tab w:pos="3803" w:val="left" w:leader="none"/>
        </w:tabs>
        <w:spacing w:line="94" w:lineRule="exact" w:before="0"/>
        <w:ind w:left="2297" w:right="0" w:firstLine="0"/>
        <w:jc w:val="left"/>
        <w:rPr>
          <w:i/>
          <w:sz w:val="14"/>
        </w:rPr>
      </w:pPr>
      <w:r>
        <w:rPr>
          <w:rFonts w:ascii="Arial" w:hAnsi="Arial"/>
          <w:i/>
          <w:color w:val="030303"/>
          <w:w w:val="105"/>
          <w:sz w:val="14"/>
        </w:rPr>
        <w:t>t.i;1,+•</w:t>
      </w:r>
      <w:r>
        <w:rPr>
          <w:rFonts w:ascii="Arial" w:hAnsi="Arial"/>
          <w:i/>
          <w:color w:val="030303"/>
          <w:spacing w:val="31"/>
          <w:w w:val="105"/>
          <w:sz w:val="14"/>
        </w:rPr>
        <w:t> </w:t>
      </w:r>
      <w:r>
        <w:rPr>
          <w:rFonts w:ascii="Arial" w:hAnsi="Arial"/>
          <w:color w:val="030303"/>
          <w:w w:val="270"/>
          <w:sz w:val="14"/>
        </w:rPr>
        <w:t>-</w:t>
        <w:tab/>
      </w:r>
      <w:r>
        <w:rPr>
          <w:i/>
          <w:color w:val="030303"/>
          <w:w w:val="105"/>
          <w:sz w:val="14"/>
        </w:rPr>
        <w:t>a,.+..t¡v+n+...</w:t>
      </w:r>
    </w:p>
    <w:p>
      <w:pPr>
        <w:tabs>
          <w:tab w:pos="3251" w:val="left" w:leader="none"/>
        </w:tabs>
        <w:spacing w:line="128" w:lineRule="exact" w:before="0"/>
        <w:ind w:left="1977" w:right="0" w:firstLine="0"/>
        <w:jc w:val="left"/>
        <w:rPr>
          <w:b/>
          <w:sz w:val="13"/>
        </w:rPr>
      </w:pPr>
      <w:r>
        <w:rPr>
          <w:color w:val="030303"/>
          <w:w w:val="270"/>
          <w:sz w:val="13"/>
        </w:rPr>
        <w:t>,</w:t>
        <w:tab/>
      </w:r>
      <w:r>
        <w:rPr>
          <w:b/>
          <w:color w:val="030303"/>
          <w:w w:val="105"/>
          <w:sz w:val="13"/>
        </w:rPr>
        <w:t>s:r+11</w:t>
      </w:r>
    </w:p>
    <w:p>
      <w:pPr>
        <w:pStyle w:val="BodyText"/>
        <w:spacing w:before="5"/>
        <w:rPr>
          <w:b/>
          <w:sz w:val="13"/>
        </w:rPr>
      </w:pPr>
    </w:p>
    <w:p>
      <w:pPr>
        <w:spacing w:before="0"/>
        <w:ind w:left="177" w:right="0" w:firstLine="0"/>
        <w:jc w:val="center"/>
        <w:rPr>
          <w:sz w:val="17"/>
        </w:rPr>
      </w:pPr>
      <w:r>
        <w:rPr>
          <w:color w:val="030303"/>
          <w:w w:val="115"/>
          <w:sz w:val="16"/>
        </w:rPr>
        <w:t>(e)  </w:t>
      </w:r>
      <w:r>
        <w:rPr>
          <w:color w:val="030303"/>
          <w:w w:val="115"/>
          <w:sz w:val="17"/>
        </w:rPr>
        <w:t>for the continuous instalments to the insured af ter maturity:</w:t>
      </w:r>
    </w:p>
    <w:p>
      <w:pPr>
        <w:pStyle w:val="BodyText"/>
        <w:spacing w:before="5"/>
        <w:rPr>
          <w:sz w:val="13"/>
        </w:rPr>
      </w:pPr>
    </w:p>
    <w:p>
      <w:pPr>
        <w:spacing w:before="0"/>
        <w:ind w:left="211" w:right="0" w:firstLine="0"/>
        <w:jc w:val="center"/>
        <w:rPr>
          <w:b/>
          <w:sz w:val="13"/>
        </w:rPr>
      </w:pPr>
      <w:r>
        <w:rPr>
          <w:b/>
          <w:color w:val="030303"/>
          <w:w w:val="125"/>
          <w:sz w:val="13"/>
        </w:rPr>
        <w:t>m+nltll)</w:t>
      </w:r>
    </w:p>
    <w:p>
      <w:pPr>
        <w:pStyle w:val="BodyText"/>
        <w:spacing w:before="6"/>
        <w:rPr>
          <w:b/>
          <w:sz w:val="12"/>
        </w:rPr>
      </w:pPr>
    </w:p>
    <w:p>
      <w:pPr>
        <w:spacing w:line="247" w:lineRule="auto" w:before="0"/>
        <w:ind w:left="973" w:right="151" w:hanging="287"/>
        <w:jc w:val="left"/>
        <w:rPr>
          <w:sz w:val="17"/>
        </w:rPr>
      </w:pPr>
      <w:r>
        <w:rPr/>
        <w:drawing>
          <wp:anchor distT="0" distB="0" distL="0" distR="0" allowOverlap="1" layoutInCell="1" locked="0" behindDoc="0" simplePos="0" relativeHeight="21496">
            <wp:simplePos x="0" y="0"/>
            <wp:positionH relativeFrom="page">
              <wp:posOffset>941832</wp:posOffset>
            </wp:positionH>
            <wp:positionV relativeFrom="paragraph">
              <wp:posOffset>342993</wp:posOffset>
            </wp:positionV>
            <wp:extent cx="2779775" cy="274320"/>
            <wp:effectExtent l="0" t="0" r="0" b="0"/>
            <wp:wrapTopAndBottom/>
            <wp:docPr id="643" name="image327.png" descr=""/>
            <wp:cNvGraphicFramePr>
              <a:graphicFrameLocks noChangeAspect="1"/>
            </wp:cNvGraphicFramePr>
            <a:graphic>
              <a:graphicData uri="http://schemas.openxmlformats.org/drawingml/2006/picture">
                <pic:pic>
                  <pic:nvPicPr>
                    <pic:cNvPr id="644" name="image327.png"/>
                    <pic:cNvPicPr/>
                  </pic:nvPicPr>
                  <pic:blipFill>
                    <a:blip r:embed="rId331" cstate="print"/>
                    <a:stretch>
                      <a:fillRect/>
                    </a:stretch>
                  </pic:blipFill>
                  <pic:spPr>
                    <a:xfrm>
                      <a:off x="0" y="0"/>
                      <a:ext cx="2779775" cy="274320"/>
                    </a:xfrm>
                    <a:prstGeom prst="rect">
                      <a:avLst/>
                    </a:prstGeom>
                  </pic:spPr>
                </pic:pic>
              </a:graphicData>
            </a:graphic>
          </wp:anchor>
        </w:drawing>
      </w:r>
      <w:r>
        <w:rPr>
          <w:color w:val="030303"/>
          <w:w w:val="115"/>
          <w:sz w:val="17"/>
        </w:rPr>
        <w:t>(d) for the continuous instalments to the beneficiary in the event of the insured's  death  after maturity:</w:t>
      </w:r>
    </w:p>
    <w:p>
      <w:pPr>
        <w:pStyle w:val="ListParagraph"/>
        <w:numPr>
          <w:ilvl w:val="0"/>
          <w:numId w:val="126"/>
        </w:numPr>
        <w:tabs>
          <w:tab w:pos="820" w:val="left" w:leader="none"/>
        </w:tabs>
        <w:spacing w:line="237" w:lineRule="auto" w:before="62" w:after="0"/>
        <w:ind w:left="377" w:right="122" w:firstLine="140"/>
        <w:jc w:val="both"/>
        <w:rPr>
          <w:color w:val="030303"/>
          <w:sz w:val="17"/>
        </w:rPr>
      </w:pPr>
      <w:r>
        <w:rPr>
          <w:color w:val="030303"/>
          <w:w w:val="105"/>
          <w:sz w:val="17"/>
        </w:rPr>
        <w:t>In </w:t>
      </w:r>
      <w:r>
        <w:rPr>
          <w:color w:val="030303"/>
          <w:w w:val="107"/>
          <w:sz w:val="17"/>
        </w:rPr>
        <w:t>Exercise </w:t>
      </w:r>
      <w:r>
        <w:rPr>
          <w:color w:val="030303"/>
          <w:w w:val="101"/>
          <w:sz w:val="17"/>
        </w:rPr>
        <w:t>14, </w:t>
      </w:r>
      <w:r>
        <w:rPr>
          <w:color w:val="030303"/>
          <w:w w:val="90"/>
          <w:sz w:val="17"/>
        </w:rPr>
        <w:t>if </w:t>
      </w:r>
      <w:r>
        <w:rPr>
          <w:color w:val="030303"/>
          <w:w w:val="117"/>
          <w:sz w:val="17"/>
        </w:rPr>
        <w:t>the </w:t>
      </w:r>
      <w:r>
        <w:rPr>
          <w:rFonts w:ascii="Arial"/>
          <w:color w:val="030303"/>
          <w:spacing w:val="-1"/>
          <w:w w:val="73"/>
          <w:sz w:val="23"/>
        </w:rPr>
        <w:t>a&lt;</w:t>
      </w:r>
      <w:r>
        <w:rPr>
          <w:rFonts w:ascii="Arial"/>
          <w:color w:val="030303"/>
          <w:spacing w:val="-1"/>
          <w:w w:val="73"/>
          <w:position w:val="4"/>
          <w:sz w:val="10"/>
        </w:rPr>
        <w:t>11</w:t>
      </w:r>
      <w:r>
        <w:rPr>
          <w:rFonts w:ascii="Arial"/>
          <w:color w:val="030303"/>
          <w:spacing w:val="-1"/>
          <w:w w:val="73"/>
          <w:sz w:val="12"/>
        </w:rPr>
        <w:t>&gt;</w:t>
      </w:r>
      <w:r>
        <w:rPr>
          <w:rFonts w:ascii="Arial"/>
          <w:color w:val="030303"/>
          <w:w w:val="73"/>
          <w:sz w:val="12"/>
        </w:rPr>
        <w:t> </w:t>
      </w:r>
      <w:r>
        <w:rPr>
          <w:color w:val="030303"/>
          <w:w w:val="109"/>
          <w:sz w:val="17"/>
        </w:rPr>
        <w:t>functions </w:t>
      </w:r>
      <w:r>
        <w:rPr>
          <w:color w:val="030303"/>
          <w:w w:val="110"/>
          <w:sz w:val="17"/>
        </w:rPr>
        <w:t>are </w:t>
      </w:r>
      <w:r>
        <w:rPr>
          <w:color w:val="030303"/>
          <w:w w:val="108"/>
          <w:sz w:val="17"/>
        </w:rPr>
        <w:t>replaced </w:t>
      </w:r>
      <w:r>
        <w:rPr>
          <w:color w:val="030303"/>
          <w:w w:val="106"/>
          <w:sz w:val="17"/>
        </w:rPr>
        <w:t>by</w:t>
      </w:r>
      <w:r>
        <w:rPr>
          <w:color w:val="030303"/>
          <w:spacing w:val="45"/>
          <w:w w:val="106"/>
          <w:sz w:val="17"/>
        </w:rPr>
        <w:t> </w:t>
      </w:r>
      <w:r>
        <w:rPr>
          <w:color w:val="030303"/>
          <w:spacing w:val="6"/>
          <w:w w:val="73"/>
          <w:sz w:val="17"/>
        </w:rPr>
        <w:t>a</w:t>
      </w:r>
      <w:r>
        <w:rPr>
          <w:color w:val="1C1C1C"/>
          <w:spacing w:val="6"/>
          <w:w w:val="73"/>
          <w:sz w:val="17"/>
        </w:rPr>
        <w:t>&lt;</w:t>
      </w:r>
      <w:r>
        <w:rPr>
          <w:color w:val="1C1C1C"/>
          <w:w w:val="73"/>
          <w:sz w:val="17"/>
        </w:rPr>
        <w:t> </w:t>
      </w:r>
      <w:r>
        <w:rPr>
          <w:color w:val="030303"/>
          <w:w w:val="62"/>
          <w:sz w:val="17"/>
        </w:rPr>
        <w:t>12J </w:t>
      </w:r>
      <w:r>
        <w:rPr>
          <w:color w:val="030303"/>
          <w:w w:val="114"/>
          <w:sz w:val="17"/>
        </w:rPr>
        <w:t>, </w:t>
      </w:r>
      <w:r>
        <w:rPr>
          <w:color w:val="030303"/>
          <w:w w:val="158"/>
          <w:sz w:val="17"/>
        </w:rPr>
        <w:t>sho </w:t>
      </w:r>
      <w:r>
        <w:rPr>
          <w:color w:val="030303"/>
          <w:w w:val="119"/>
          <w:sz w:val="17"/>
        </w:rPr>
        <w:t>that </w:t>
      </w:r>
      <w:r>
        <w:rPr>
          <w:color w:val="030303"/>
          <w:w w:val="105"/>
          <w:sz w:val="17"/>
        </w:rPr>
        <w:t>the sum of  pa.rts  {b) and  (d) of  the  net  single premi um  reduces</w:t>
      </w:r>
      <w:r>
        <w:rPr>
          <w:color w:val="030303"/>
          <w:spacing w:val="-4"/>
          <w:w w:val="105"/>
          <w:sz w:val="17"/>
        </w:rPr>
        <w:t> </w:t>
      </w:r>
      <w:r>
        <w:rPr>
          <w:color w:val="030303"/>
          <w:w w:val="105"/>
          <w:sz w:val="17"/>
        </w:rPr>
        <w:t>to</w:t>
      </w:r>
    </w:p>
    <w:p>
      <w:pPr>
        <w:tabs>
          <w:tab w:pos="956" w:val="left" w:leader="none"/>
          <w:tab w:pos="1444" w:val="left" w:leader="none"/>
        </w:tabs>
        <w:spacing w:line="163" w:lineRule="exact" w:before="133"/>
        <w:ind w:left="88" w:right="0" w:firstLine="0"/>
        <w:jc w:val="center"/>
        <w:rPr>
          <w:sz w:val="10"/>
        </w:rPr>
      </w:pPr>
      <w:r>
        <w:rPr/>
        <w:pict>
          <v:shape style="position:absolute;margin-left:123.228699pt;margin-top:11.732999pt;width:70.150pt;height:11.5pt;mso-position-horizontal-relative:page;mso-position-vertical-relative:paragraph;z-index:-714448" type="#_x0000_t202" filled="false" stroked="false">
            <v:textbox inset="0,0,0,0">
              <w:txbxContent>
                <w:p>
                  <w:pPr>
                    <w:tabs>
                      <w:tab w:pos="380" w:val="left" w:leader="none"/>
                    </w:tabs>
                    <w:spacing w:line="230" w:lineRule="exact" w:before="0"/>
                    <w:ind w:left="0" w:right="0" w:firstLine="0"/>
                    <w:jc w:val="left"/>
                    <w:rPr>
                      <w:sz w:val="23"/>
                    </w:rPr>
                  </w:pPr>
                  <w:r>
                    <w:rPr>
                      <w:i/>
                      <w:color w:val="030303"/>
                      <w:sz w:val="23"/>
                    </w:rPr>
                    <w:t>a,</w:t>
                    <w:tab/>
                  </w:r>
                  <w:r>
                    <w:rPr>
                      <w:color w:val="030303"/>
                      <w:w w:val="180"/>
                      <w:sz w:val="23"/>
                    </w:rPr>
                    <w:t>- </w:t>
                  </w:r>
                  <w:r>
                    <w:rPr>
                      <w:i/>
                      <w:color w:val="030303"/>
                      <w:sz w:val="23"/>
                    </w:rPr>
                    <w:t>..   a..,</w:t>
                  </w:r>
                  <w:r>
                    <w:rPr>
                      <w:i/>
                      <w:color w:val="030303"/>
                      <w:spacing w:val="8"/>
                      <w:sz w:val="23"/>
                    </w:rPr>
                    <w:t> </w:t>
                  </w:r>
                  <w:r>
                    <w:rPr>
                      <w:color w:val="030303"/>
                      <w:w w:val="180"/>
                      <w:sz w:val="23"/>
                    </w:rPr>
                    <w:t>-</w:t>
                  </w:r>
                </w:p>
              </w:txbxContent>
            </v:textbox>
            <w10:wrap type="none"/>
          </v:shape>
        </w:pict>
      </w:r>
      <w:r>
        <w:rPr>
          <w:color w:val="030303"/>
          <w:w w:val="105"/>
          <w:sz w:val="11"/>
        </w:rPr>
        <w:t>(</w:t>
      </w:r>
      <w:r>
        <w:rPr>
          <w:color w:val="030303"/>
          <w:spacing w:val="-13"/>
          <w:w w:val="105"/>
          <w:sz w:val="11"/>
        </w:rPr>
        <w:t> </w:t>
      </w:r>
      <w:r>
        <w:rPr>
          <w:b/>
          <w:color w:val="030303"/>
          <w:w w:val="105"/>
          <w:sz w:val="11"/>
        </w:rPr>
        <w:t>U)</w:t>
        <w:tab/>
        <w:t>(11)</w:t>
        <w:tab/>
      </w:r>
      <w:r>
        <w:rPr>
          <w:b/>
          <w:i/>
          <w:color w:val="030303"/>
          <w:w w:val="105"/>
          <w:sz w:val="18"/>
        </w:rPr>
        <w:t>D..</w:t>
      </w:r>
      <w:r>
        <w:rPr>
          <w:rFonts w:ascii="Arial"/>
          <w:b/>
          <w:i/>
          <w:color w:val="030303"/>
          <w:w w:val="105"/>
          <w:sz w:val="14"/>
        </w:rPr>
        <w:t>+.. </w:t>
      </w:r>
      <w:r>
        <w:rPr>
          <w:rFonts w:ascii="Arial"/>
          <w:b/>
          <w:i/>
          <w:color w:val="030303"/>
          <w:spacing w:val="11"/>
          <w:w w:val="105"/>
          <w:sz w:val="14"/>
        </w:rPr>
        <w:t> </w:t>
      </w:r>
      <w:r>
        <w:rPr>
          <w:color w:val="030303"/>
          <w:spacing w:val="-4"/>
          <w:w w:val="140"/>
          <w:sz w:val="10"/>
        </w:rPr>
        <w:t>.</w:t>
      </w:r>
      <w:r>
        <w:rPr>
          <w:color w:val="1C1C1C"/>
          <w:spacing w:val="-4"/>
          <w:w w:val="140"/>
          <w:sz w:val="10"/>
        </w:rPr>
        <w:t>.</w:t>
      </w:r>
      <w:r>
        <w:rPr>
          <w:color w:val="030303"/>
          <w:spacing w:val="-4"/>
          <w:w w:val="140"/>
          <w:sz w:val="10"/>
        </w:rPr>
        <w:t>(ti)</w:t>
      </w:r>
    </w:p>
    <w:p>
      <w:pPr>
        <w:tabs>
          <w:tab w:pos="1057" w:val="left" w:leader="none"/>
          <w:tab w:pos="1910" w:val="left" w:leader="none"/>
        </w:tabs>
        <w:spacing w:line="179" w:lineRule="exact" w:before="0"/>
        <w:ind w:left="267" w:right="0" w:firstLine="0"/>
        <w:jc w:val="center"/>
        <w:rPr>
          <w:sz w:val="17"/>
        </w:rPr>
      </w:pPr>
      <w:r>
        <w:rPr/>
        <w:pict>
          <v:rect style="position:absolute;margin-left:199.282501pt;margin-top:6.201267pt;width:9.6861pt;height:5.022422pt;mso-position-horizontal-relative:page;mso-position-vertical-relative:paragraph;z-index:-714520" filled="true" fillcolor="#000000" stroked="false">
            <v:fill type="solid"/>
            <w10:wrap type="none"/>
          </v:rect>
        </w:pict>
      </w:r>
      <w:r>
        <w:rPr>
          <w:rFonts w:ascii="Arial" w:hAnsi="Arial"/>
          <w:i/>
          <w:color w:val="030303"/>
          <w:w w:val="125"/>
          <w:sz w:val="12"/>
        </w:rPr>
        <w:t>.</w:t>
      </w:r>
      <w:r>
        <w:rPr>
          <w:rFonts w:ascii="Arial" w:hAnsi="Arial"/>
          <w:i/>
          <w:color w:val="030303"/>
          <w:spacing w:val="-5"/>
          <w:w w:val="125"/>
          <w:sz w:val="12"/>
        </w:rPr>
        <w:t>.</w:t>
      </w:r>
      <w:r>
        <w:rPr>
          <w:rFonts w:ascii="Arial" w:hAnsi="Arial"/>
          <w:i/>
          <w:color w:val="030303"/>
          <w:w w:val="60"/>
          <w:position w:val="-2"/>
          <w:sz w:val="12"/>
        </w:rPr>
        <w:t>1</w:t>
      </w:r>
      <w:r>
        <w:rPr>
          <w:rFonts w:ascii="Arial" w:hAnsi="Arial"/>
          <w:i/>
          <w:color w:val="030303"/>
          <w:position w:val="-2"/>
          <w:sz w:val="12"/>
        </w:rPr>
        <w:tab/>
      </w:r>
      <w:r>
        <w:rPr>
          <w:i/>
          <w:color w:val="030303"/>
          <w:w w:val="141"/>
          <w:sz w:val="14"/>
        </w:rPr>
        <w:t>+</w:t>
      </w:r>
      <w:r>
        <w:rPr>
          <w:i/>
          <w:color w:val="030303"/>
          <w:spacing w:val="-19"/>
          <w:w w:val="141"/>
          <w:sz w:val="14"/>
        </w:rPr>
        <w:t>.</w:t>
      </w:r>
      <w:r>
        <w:rPr>
          <w:rFonts w:ascii="Arial" w:hAnsi="Arial"/>
          <w:i/>
          <w:color w:val="030303"/>
          <w:w w:val="51"/>
          <w:position w:val="-2"/>
          <w:sz w:val="12"/>
        </w:rPr>
        <w:t>1</w:t>
      </w:r>
      <w:r>
        <w:rPr>
          <w:rFonts w:ascii="Arial" w:hAnsi="Arial"/>
          <w:i/>
          <w:color w:val="030303"/>
          <w:position w:val="-2"/>
          <w:sz w:val="12"/>
        </w:rPr>
        <w:tab/>
      </w:r>
      <w:r>
        <w:rPr>
          <w:i/>
          <w:color w:val="030303"/>
          <w:w w:val="92"/>
          <w:sz w:val="18"/>
        </w:rPr>
        <w:t>D,,</w:t>
      </w:r>
      <w:r>
        <w:rPr>
          <w:i/>
          <w:color w:val="030303"/>
          <w:sz w:val="18"/>
        </w:rPr>
        <w:t>  </w:t>
      </w:r>
      <w:r>
        <w:rPr>
          <w:i/>
          <w:color w:val="030303"/>
          <w:spacing w:val="1"/>
          <w:sz w:val="18"/>
        </w:rPr>
        <w:t> </w:t>
      </w:r>
      <w:r>
        <w:rPr>
          <w:rFonts w:ascii="Arial" w:hAnsi="Arial"/>
          <w:color w:val="030303"/>
          <w:spacing w:val="-16"/>
          <w:w w:val="120"/>
          <w:sz w:val="14"/>
        </w:rPr>
        <w:t>a</w:t>
      </w:r>
      <w:r>
        <w:rPr>
          <w:rFonts w:ascii="Arial" w:hAnsi="Arial"/>
          <w:color w:val="030303"/>
          <w:w w:val="119"/>
          <w:sz w:val="14"/>
        </w:rPr>
        <w:t>.</w:t>
      </w:r>
      <w:r>
        <w:rPr>
          <w:rFonts w:ascii="Arial" w:hAnsi="Arial"/>
          <w:color w:val="030303"/>
          <w:spacing w:val="-18"/>
          <w:w w:val="119"/>
          <w:sz w:val="14"/>
        </w:rPr>
        <w:t>.</w:t>
      </w:r>
      <w:r>
        <w:rPr>
          <w:color w:val="030303"/>
          <w:spacing w:val="-33"/>
          <w:w w:val="162"/>
          <w:sz w:val="12"/>
        </w:rPr>
        <w:t>:</w:t>
      </w:r>
      <w:r>
        <w:rPr>
          <w:color w:val="030303"/>
          <w:w w:val="158"/>
          <w:sz w:val="12"/>
        </w:rPr>
        <w:t>,</w:t>
      </w:r>
      <w:r>
        <w:rPr>
          <w:color w:val="030303"/>
          <w:spacing w:val="2"/>
          <w:w w:val="158"/>
          <w:sz w:val="12"/>
        </w:rPr>
        <w:t>+</w:t>
      </w:r>
      <w:r>
        <w:rPr>
          <w:color w:val="030303"/>
          <w:w w:val="132"/>
          <w:sz w:val="12"/>
        </w:rPr>
        <w:t>.</w:t>
      </w:r>
      <w:r>
        <w:rPr>
          <w:color w:val="030303"/>
          <w:spacing w:val="-1"/>
          <w:w w:val="132"/>
          <w:sz w:val="12"/>
        </w:rPr>
        <w:t>.</w:t>
      </w:r>
      <w:r>
        <w:rPr>
          <w:color w:val="030303"/>
          <w:w w:val="105"/>
          <w:sz w:val="17"/>
        </w:rPr>
        <w:t>;¡¡</w:t>
      </w:r>
      <w:r>
        <w:rPr>
          <w:color w:val="030303"/>
          <w:spacing w:val="-12"/>
          <w:sz w:val="17"/>
        </w:rPr>
        <w:t> </w:t>
      </w:r>
      <w:r>
        <w:rPr>
          <w:color w:val="030303"/>
          <w:w w:val="154"/>
          <w:sz w:val="17"/>
        </w:rPr>
        <w:t>.</w:t>
      </w:r>
    </w:p>
    <w:p>
      <w:pPr>
        <w:pStyle w:val="BodyText"/>
        <w:spacing w:before="9"/>
      </w:pPr>
    </w:p>
    <w:p>
      <w:pPr>
        <w:pStyle w:val="ListParagraph"/>
        <w:numPr>
          <w:ilvl w:val="0"/>
          <w:numId w:val="126"/>
        </w:numPr>
        <w:tabs>
          <w:tab w:pos="816" w:val="left" w:leader="none"/>
        </w:tabs>
        <w:spacing w:line="244" w:lineRule="auto" w:before="0" w:after="0"/>
        <w:ind w:left="345" w:right="108" w:firstLine="169"/>
        <w:jc w:val="both"/>
        <w:rPr>
          <w:color w:val="030303"/>
          <w:sz w:val="17"/>
        </w:rPr>
      </w:pPr>
      <w:r>
        <w:rPr>
          <w:color w:val="030303"/>
          <w:w w:val="110"/>
          <w:sz w:val="17"/>
        </w:rPr>
        <w:t>In the policy described in Exercise 14, the annual premiurns are ar­ ranged so that </w:t>
      </w:r>
      <w:r>
        <w:rPr>
          <w:color w:val="030303"/>
          <w:w w:val="110"/>
          <w:sz w:val="18"/>
        </w:rPr>
        <w:t>if </w:t>
      </w:r>
      <w:r>
        <w:rPr>
          <w:color w:val="030303"/>
          <w:w w:val="110"/>
          <w:sz w:val="17"/>
        </w:rPr>
        <w:t>the beneficia.ry dies during the premium-paying  period, the premium will reduce to that for a policy on the insured 's life only. Using the approximation indicated in Exercise 15, write the formula for the net </w:t>
      </w:r>
      <w:r>
        <w:rPr>
          <w:color w:val="030303"/>
          <w:spacing w:val="3"/>
          <w:w w:val="110"/>
          <w:sz w:val="17"/>
        </w:rPr>
        <w:t>annual</w:t>
      </w:r>
      <w:r>
        <w:rPr>
          <w:color w:val="030303"/>
          <w:spacing w:val="-20"/>
          <w:w w:val="110"/>
          <w:sz w:val="17"/>
        </w:rPr>
        <w:t> </w:t>
      </w:r>
      <w:r>
        <w:rPr>
          <w:color w:val="030303"/>
          <w:spacing w:val="4"/>
          <w:w w:val="110"/>
          <w:sz w:val="17"/>
        </w:rPr>
        <w:t>premium.</w:t>
      </w:r>
    </w:p>
    <w:p>
      <w:pPr>
        <w:pStyle w:val="BodyText"/>
        <w:spacing w:before="8"/>
        <w:rPr>
          <w:sz w:val="14"/>
        </w:rPr>
      </w:pPr>
    </w:p>
    <w:p>
      <w:pPr>
        <w:pStyle w:val="ListParagraph"/>
        <w:numPr>
          <w:ilvl w:val="0"/>
          <w:numId w:val="127"/>
        </w:numPr>
        <w:tabs>
          <w:tab w:pos="551" w:val="left" w:leader="none"/>
        </w:tabs>
        <w:spacing w:line="240" w:lineRule="auto" w:before="0" w:after="0"/>
        <w:ind w:left="550" w:right="0" w:hanging="208"/>
        <w:jc w:val="left"/>
        <w:rPr>
          <w:b/>
          <w:sz w:val="16"/>
        </w:rPr>
      </w:pPr>
      <w:r>
        <w:rPr>
          <w:b/>
          <w:color w:val="030303"/>
          <w:w w:val="120"/>
          <w:sz w:val="16"/>
        </w:rPr>
        <w:t>Compound   reversionary</w:t>
      </w:r>
      <w:r>
        <w:rPr>
          <w:b/>
          <w:color w:val="030303"/>
          <w:spacing w:val="25"/>
          <w:w w:val="120"/>
          <w:sz w:val="16"/>
        </w:rPr>
        <w:t> </w:t>
      </w:r>
      <w:r>
        <w:rPr>
          <w:b/>
          <w:color w:val="030303"/>
          <w:w w:val="120"/>
          <w:sz w:val="16"/>
        </w:rPr>
        <w:t>annuities</w:t>
      </w:r>
    </w:p>
    <w:p>
      <w:pPr>
        <w:pStyle w:val="ListParagraph"/>
        <w:numPr>
          <w:ilvl w:val="1"/>
          <w:numId w:val="127"/>
        </w:numPr>
        <w:tabs>
          <w:tab w:pos="791" w:val="left" w:leader="none"/>
        </w:tabs>
        <w:spacing w:line="240" w:lineRule="auto" w:before="87" w:after="0"/>
        <w:ind w:left="345" w:right="0" w:firstLine="165"/>
        <w:jc w:val="left"/>
        <w:rPr>
          <w:color w:val="030303"/>
          <w:sz w:val="17"/>
        </w:rPr>
      </w:pPr>
      <w:r>
        <w:rPr/>
        <w:drawing>
          <wp:anchor distT="0" distB="0" distL="0" distR="0" allowOverlap="1" layoutInCell="1" locked="0" behindDoc="0" simplePos="0" relativeHeight="21520">
            <wp:simplePos x="0" y="0"/>
            <wp:positionH relativeFrom="page">
              <wp:posOffset>1911095</wp:posOffset>
            </wp:positionH>
            <wp:positionV relativeFrom="paragraph">
              <wp:posOffset>247301</wp:posOffset>
            </wp:positionV>
            <wp:extent cx="832103" cy="137160"/>
            <wp:effectExtent l="0" t="0" r="0" b="0"/>
            <wp:wrapTopAndBottom/>
            <wp:docPr id="645" name="image328.png" descr=""/>
            <wp:cNvGraphicFramePr>
              <a:graphicFrameLocks noChangeAspect="1"/>
            </wp:cNvGraphicFramePr>
            <a:graphic>
              <a:graphicData uri="http://schemas.openxmlformats.org/drawingml/2006/picture">
                <pic:pic>
                  <pic:nvPicPr>
                    <pic:cNvPr id="646" name="image328.png"/>
                    <pic:cNvPicPr/>
                  </pic:nvPicPr>
                  <pic:blipFill>
                    <a:blip r:embed="rId332" cstate="print"/>
                    <a:stretch>
                      <a:fillRect/>
                    </a:stretch>
                  </pic:blipFill>
                  <pic:spPr>
                    <a:xfrm>
                      <a:off x="0" y="0"/>
                      <a:ext cx="832103" cy="137160"/>
                    </a:xfrm>
                    <a:prstGeom prst="rect">
                      <a:avLst/>
                    </a:prstGeom>
                  </pic:spPr>
                </pic:pic>
              </a:graphicData>
            </a:graphic>
          </wp:anchor>
        </w:drawing>
      </w:r>
      <w:r>
        <w:rPr>
          <w:color w:val="030303"/>
          <w:w w:val="115"/>
          <w:sz w:val="17"/>
        </w:rPr>
        <w:t>When Gompertz</w:t>
      </w:r>
      <w:r>
        <w:rPr>
          <w:color w:val="030303"/>
          <w:spacing w:val="-40"/>
          <w:w w:val="115"/>
          <w:sz w:val="17"/>
        </w:rPr>
        <w:t> </w:t>
      </w:r>
      <w:r>
        <w:rPr>
          <w:color w:val="1C1C1C"/>
          <w:spacing w:val="-7"/>
          <w:w w:val="115"/>
          <w:sz w:val="17"/>
        </w:rPr>
        <w:t>'</w:t>
      </w:r>
      <w:r>
        <w:rPr>
          <w:color w:val="030303"/>
          <w:spacing w:val="-7"/>
          <w:w w:val="115"/>
          <w:sz w:val="17"/>
        </w:rPr>
        <w:t>s </w:t>
      </w:r>
      <w:r>
        <w:rPr>
          <w:color w:val="030303"/>
          <w:w w:val="115"/>
          <w:sz w:val="17"/>
        </w:rPr>
        <w:t>law holds, show that</w:t>
      </w:r>
    </w:p>
    <w:p>
      <w:pPr>
        <w:pStyle w:val="ListParagraph"/>
        <w:numPr>
          <w:ilvl w:val="1"/>
          <w:numId w:val="127"/>
        </w:numPr>
        <w:tabs>
          <w:tab w:pos="795" w:val="left" w:leader="none"/>
        </w:tabs>
        <w:spacing w:line="240" w:lineRule="auto" w:before="118" w:after="0"/>
        <w:ind w:left="345" w:right="120" w:firstLine="169"/>
        <w:jc w:val="both"/>
        <w:rPr>
          <w:color w:val="030303"/>
          <w:sz w:val="17"/>
        </w:rPr>
      </w:pPr>
      <w:r>
        <w:rPr>
          <w:color w:val="030303"/>
          <w:w w:val="105"/>
          <w:sz w:val="17"/>
        </w:rPr>
        <w:t>Give two different expressions in  the  forro  oí integra.Is  for  the val ue of a continuous annuity of 1 per annum, paya.ble  so long  as  at least  one of two lives aged </w:t>
      </w:r>
      <w:r>
        <w:rPr>
          <w:i/>
          <w:color w:val="030303"/>
          <w:w w:val="105"/>
          <w:sz w:val="18"/>
        </w:rPr>
        <w:t>x </w:t>
      </w:r>
      <w:r>
        <w:rPr>
          <w:color w:val="030303"/>
          <w:w w:val="105"/>
          <w:sz w:val="17"/>
        </w:rPr>
        <w:t>and </w:t>
      </w:r>
      <w:r>
        <w:rPr>
          <w:rFonts w:ascii="Arial" w:hAnsi="Arial"/>
          <w:i/>
          <w:color w:val="030303"/>
          <w:w w:val="105"/>
          <w:sz w:val="15"/>
        </w:rPr>
        <w:t>y </w:t>
      </w:r>
      <w:r>
        <w:rPr>
          <w:color w:val="030303"/>
          <w:w w:val="105"/>
          <w:sz w:val="17"/>
        </w:rPr>
        <w:t>shall survive af ter the death of </w:t>
      </w:r>
      <w:r>
        <w:rPr>
          <w:color w:val="030303"/>
          <w:w w:val="105"/>
          <w:sz w:val="18"/>
        </w:rPr>
        <w:t>z, </w:t>
      </w:r>
      <w:r>
        <w:rPr>
          <w:color w:val="030303"/>
          <w:w w:val="105"/>
          <w:sz w:val="17"/>
        </w:rPr>
        <w:t>provided </w:t>
      </w:r>
      <w:r>
        <w:rPr>
          <w:color w:val="030303"/>
          <w:w w:val="105"/>
          <w:sz w:val="18"/>
        </w:rPr>
        <w:t>z </w:t>
      </w:r>
      <w:r>
        <w:rPr>
          <w:color w:val="030303"/>
          <w:w w:val="105"/>
          <w:sz w:val="17"/>
        </w:rPr>
        <w:t>pre­ deceases  a  fourth life </w:t>
      </w:r>
      <w:r>
        <w:rPr>
          <w:i/>
          <w:color w:val="030303"/>
          <w:spacing w:val="10"/>
          <w:w w:val="105"/>
          <w:sz w:val="17"/>
        </w:rPr>
        <w:t>w, </w:t>
      </w:r>
      <w:r>
        <w:rPr>
          <w:color w:val="030303"/>
          <w:w w:val="105"/>
          <w:sz w:val="17"/>
        </w:rPr>
        <w:t>and  show  that  your  expressions  are</w:t>
      </w:r>
      <w:r>
        <w:rPr>
          <w:color w:val="030303"/>
          <w:spacing w:val="-3"/>
          <w:w w:val="105"/>
          <w:sz w:val="17"/>
        </w:rPr>
        <w:t> </w:t>
      </w:r>
      <w:r>
        <w:rPr>
          <w:color w:val="030303"/>
          <w:w w:val="105"/>
          <w:sz w:val="17"/>
        </w:rPr>
        <w:t>equal.</w:t>
      </w:r>
    </w:p>
    <w:p>
      <w:pPr>
        <w:pStyle w:val="BodyText"/>
        <w:spacing w:before="1"/>
        <w:rPr>
          <w:sz w:val="13"/>
        </w:rPr>
      </w:pPr>
    </w:p>
    <w:p>
      <w:pPr>
        <w:spacing w:line="87" w:lineRule="exact" w:before="0"/>
        <w:ind w:left="256" w:right="1623" w:firstLine="0"/>
        <w:jc w:val="center"/>
        <w:rPr>
          <w:rFonts w:ascii="Arial"/>
          <w:sz w:val="8"/>
        </w:rPr>
      </w:pPr>
      <w:r>
        <w:rPr/>
        <w:pict>
          <v:shape style="position:absolute;margin-left:132.556107pt;margin-top:-8.732116pt;width:12.75pt;height:28.5pt;mso-position-horizontal-relative:page;mso-position-vertical-relative:paragraph;z-index:-714424" type="#_x0000_t202" filled="false" stroked="false">
            <v:textbox inset="0,0,0,0">
              <w:txbxContent>
                <w:p>
                  <w:pPr>
                    <w:spacing w:line="570" w:lineRule="exact" w:before="0"/>
                    <w:ind w:left="0" w:right="0" w:firstLine="0"/>
                    <w:jc w:val="left"/>
                    <w:rPr>
                      <w:rFonts w:ascii="Arial"/>
                      <w:sz w:val="57"/>
                    </w:rPr>
                  </w:pPr>
                  <w:r>
                    <w:rPr>
                      <w:rFonts w:ascii="Arial"/>
                      <w:color w:val="030303"/>
                      <w:spacing w:val="-41"/>
                      <w:w w:val="92"/>
                      <w:sz w:val="57"/>
                    </w:rPr>
                    <w:t>1</w:t>
                  </w:r>
                </w:p>
              </w:txbxContent>
            </v:textbox>
            <w10:wrap type="none"/>
          </v:shape>
        </w:pict>
      </w:r>
      <w:r>
        <w:rPr>
          <w:rFonts w:ascii="Arial"/>
          <w:color w:val="030303"/>
          <w:w w:val="110"/>
          <w:sz w:val="8"/>
        </w:rPr>
        <w:t>00</w:t>
      </w:r>
    </w:p>
    <w:p>
      <w:pPr>
        <w:pStyle w:val="ListParagraph"/>
        <w:numPr>
          <w:ilvl w:val="1"/>
          <w:numId w:val="127"/>
        </w:numPr>
        <w:tabs>
          <w:tab w:pos="769" w:val="left" w:leader="none"/>
          <w:tab w:pos="2462" w:val="left" w:leader="none"/>
        </w:tabs>
        <w:spacing w:line="248" w:lineRule="exact" w:before="0" w:after="0"/>
        <w:ind w:left="768" w:right="0" w:hanging="272"/>
        <w:jc w:val="left"/>
        <w:rPr>
          <w:i/>
          <w:color w:val="030303"/>
          <w:sz w:val="17"/>
        </w:rPr>
      </w:pPr>
      <w:r>
        <w:rPr>
          <w:color w:val="030303"/>
          <w:w w:val="103"/>
          <w:sz w:val="17"/>
        </w:rPr>
        <w:t>Show</w:t>
      </w:r>
      <w:r>
        <w:rPr>
          <w:color w:val="030303"/>
          <w:spacing w:val="17"/>
          <w:sz w:val="17"/>
        </w:rPr>
        <w:t> </w:t>
      </w:r>
      <w:r>
        <w:rPr>
          <w:color w:val="030303"/>
          <w:w w:val="124"/>
          <w:sz w:val="17"/>
        </w:rPr>
        <w:t>that</w:t>
      </w:r>
      <w:r>
        <w:rPr>
          <w:color w:val="030303"/>
          <w:sz w:val="17"/>
        </w:rPr>
        <w:t> </w:t>
      </w:r>
      <w:r>
        <w:rPr>
          <w:color w:val="030303"/>
          <w:spacing w:val="-13"/>
          <w:sz w:val="17"/>
        </w:rPr>
        <w:t> </w:t>
      </w:r>
      <w:r>
        <w:rPr>
          <w:color w:val="030303"/>
          <w:w w:val="69"/>
          <w:sz w:val="22"/>
        </w:rPr>
        <w:t>a!.,</w:t>
      </w:r>
      <w:r>
        <w:rPr>
          <w:color w:val="030303"/>
          <w:spacing w:val="-4"/>
          <w:w w:val="69"/>
          <w:sz w:val="22"/>
        </w:rPr>
        <w:t>¡</w:t>
      </w:r>
      <w:r>
        <w:rPr>
          <w:color w:val="030303"/>
          <w:w w:val="194"/>
          <w:sz w:val="22"/>
        </w:rPr>
        <w:t>.</w:t>
      </w:r>
      <w:r>
        <w:rPr>
          <w:color w:val="030303"/>
          <w:spacing w:val="-22"/>
          <w:sz w:val="22"/>
        </w:rPr>
        <w:t> </w:t>
      </w:r>
      <w:r>
        <w:rPr>
          <w:rFonts w:ascii="Arial" w:hAnsi="Arial"/>
          <w:color w:val="030303"/>
          <w:w w:val="93"/>
          <w:sz w:val="14"/>
        </w:rPr>
        <w:t>-=</w:t>
      </w:r>
      <w:r>
        <w:rPr>
          <w:rFonts w:ascii="Arial" w:hAnsi="Arial"/>
          <w:color w:val="030303"/>
          <w:sz w:val="14"/>
        </w:rPr>
        <w:tab/>
      </w:r>
      <w:r>
        <w:rPr>
          <w:i/>
          <w:color w:val="030303"/>
          <w:w w:val="88"/>
          <w:sz w:val="18"/>
        </w:rPr>
        <w:t>v'</w:t>
      </w:r>
      <w:r>
        <w:rPr>
          <w:i/>
          <w:color w:val="030303"/>
          <w:spacing w:val="22"/>
          <w:sz w:val="18"/>
        </w:rPr>
        <w:t> </w:t>
      </w:r>
      <w:r>
        <w:rPr>
          <w:rFonts w:ascii="Arial" w:hAnsi="Arial"/>
          <w:i/>
          <w:color w:val="030303"/>
          <w:w w:val="85"/>
          <w:sz w:val="21"/>
        </w:rPr>
        <w:t>,p</w:t>
      </w:r>
      <w:r>
        <w:rPr>
          <w:rFonts w:ascii="Arial" w:hAnsi="Arial"/>
          <w:i/>
          <w:color w:val="030303"/>
          <w:spacing w:val="-14"/>
          <w:w w:val="85"/>
          <w:sz w:val="21"/>
        </w:rPr>
        <w:t>.</w:t>
      </w:r>
      <w:r>
        <w:rPr>
          <w:rFonts w:ascii="Arial" w:hAnsi="Arial"/>
          <w:i/>
          <w:color w:val="030303"/>
          <w:w w:val="79"/>
          <w:sz w:val="21"/>
        </w:rPr>
        <w:t>A:r:•H</w:t>
      </w:r>
      <w:r>
        <w:rPr>
          <w:rFonts w:ascii="Arial" w:hAnsi="Arial"/>
          <w:i/>
          <w:color w:val="030303"/>
          <w:sz w:val="21"/>
        </w:rPr>
        <w:t> </w:t>
      </w:r>
      <w:r>
        <w:rPr>
          <w:rFonts w:ascii="Arial" w:hAnsi="Arial"/>
          <w:i/>
          <w:color w:val="030303"/>
          <w:spacing w:val="-27"/>
          <w:sz w:val="21"/>
        </w:rPr>
        <w:t> </w:t>
      </w:r>
      <w:r>
        <w:rPr>
          <w:i/>
          <w:color w:val="030303"/>
          <w:w w:val="111"/>
          <w:sz w:val="17"/>
        </w:rPr>
        <w:t>dt.</w:t>
      </w:r>
    </w:p>
    <w:p>
      <w:pPr>
        <w:pStyle w:val="BodyText"/>
        <w:spacing w:before="6"/>
        <w:rPr>
          <w:i/>
          <w:sz w:val="23"/>
        </w:rPr>
      </w:pPr>
    </w:p>
    <w:p>
      <w:pPr>
        <w:spacing w:before="0"/>
        <w:ind w:left="334" w:right="0" w:firstLine="0"/>
        <w:jc w:val="left"/>
        <w:rPr>
          <w:b/>
          <w:sz w:val="16"/>
        </w:rPr>
      </w:pPr>
      <w:r>
        <w:rPr>
          <w:b/>
          <w:color w:val="030303"/>
          <w:w w:val="125"/>
          <w:sz w:val="16"/>
        </w:rPr>
        <w:t>Miscellaneous applications</w:t>
      </w:r>
    </w:p>
    <w:p>
      <w:pPr>
        <w:pStyle w:val="ListParagraph"/>
        <w:numPr>
          <w:ilvl w:val="1"/>
          <w:numId w:val="127"/>
        </w:numPr>
        <w:tabs>
          <w:tab w:pos="791" w:val="left" w:leader="none"/>
        </w:tabs>
        <w:spacing w:line="242" w:lineRule="auto" w:before="83" w:after="0"/>
        <w:ind w:left="338" w:right="113" w:firstLine="158"/>
        <w:jc w:val="both"/>
        <w:rPr>
          <w:color w:val="030303"/>
          <w:sz w:val="17"/>
        </w:rPr>
      </w:pPr>
      <w:r>
        <w:rPr>
          <w:color w:val="030303"/>
          <w:w w:val="105"/>
          <w:sz w:val="17"/>
        </w:rPr>
        <w:t>Develop a formula in terms of annuity a.nd insurance symbols for the gross single premi um to provide the followi ng  benefits  with  </w:t>
      </w:r>
      <w:r>
        <w:rPr>
          <w:color w:val="030303"/>
          <w:sz w:val="17"/>
        </w:rPr>
        <w:t>a. </w:t>
      </w:r>
      <w:r>
        <w:rPr>
          <w:color w:val="030303"/>
          <w:w w:val="105"/>
          <w:sz w:val="17"/>
        </w:rPr>
        <w:t>loading  oí </w:t>
      </w:r>
      <w:r>
        <w:rPr>
          <w:color w:val="030303"/>
          <w:spacing w:val="-6"/>
          <w:w w:val="105"/>
          <w:sz w:val="17"/>
        </w:rPr>
        <w:t>61% </w:t>
      </w:r>
      <w:r>
        <w:rPr>
          <w:color w:val="030303"/>
          <w:w w:val="105"/>
          <w:sz w:val="17"/>
        </w:rPr>
        <w:t>of the gross premi um: A last-survi vor </w:t>
      </w:r>
      <w:r>
        <w:rPr>
          <w:color w:val="1C1C1C"/>
          <w:spacing w:val="6"/>
          <w:w w:val="105"/>
          <w:sz w:val="17"/>
        </w:rPr>
        <w:t>a</w:t>
      </w:r>
      <w:r>
        <w:rPr>
          <w:color w:val="030303"/>
          <w:spacing w:val="6"/>
          <w:w w:val="105"/>
          <w:sz w:val="17"/>
        </w:rPr>
        <w:t>n </w:t>
      </w:r>
      <w:r>
        <w:rPr>
          <w:color w:val="030303"/>
          <w:w w:val="105"/>
          <w:sz w:val="17"/>
        </w:rPr>
        <w:t>n ui ty on the </w:t>
      </w:r>
      <w:r>
        <w:rPr>
          <w:color w:val="030303"/>
          <w:spacing w:val="3"/>
          <w:w w:val="105"/>
          <w:sz w:val="17"/>
        </w:rPr>
        <w:t>lives </w:t>
      </w:r>
      <w:r>
        <w:rPr>
          <w:color w:val="030303"/>
          <w:w w:val="105"/>
          <w:sz w:val="17"/>
        </w:rPr>
        <w:t>of a husband and wife, deferred </w:t>
      </w:r>
      <w:r>
        <w:rPr>
          <w:i/>
          <w:color w:val="030303"/>
          <w:w w:val="105"/>
          <w:sz w:val="16"/>
        </w:rPr>
        <w:t>n </w:t>
      </w:r>
      <w:r>
        <w:rPr>
          <w:color w:val="030303"/>
          <w:w w:val="105"/>
          <w:sz w:val="17"/>
        </w:rPr>
        <w:t>yea.rs  and reduci ng by  one-third  on the first  death.  If  the  husband's  death  occurs  prior   to  that   of   the  wife  and  during  the  </w:t>
      </w:r>
      <w:r>
        <w:rPr>
          <w:color w:val="030303"/>
          <w:spacing w:val="15"/>
          <w:w w:val="105"/>
          <w:sz w:val="17"/>
        </w:rPr>
        <w:t> </w:t>
      </w:r>
      <w:r>
        <w:rPr>
          <w:color w:val="030303"/>
          <w:w w:val="105"/>
          <w:sz w:val="17"/>
        </w:rPr>
        <w:t>de-</w:t>
      </w:r>
    </w:p>
    <w:p>
      <w:pPr>
        <w:spacing w:after="0" w:line="242" w:lineRule="auto"/>
        <w:jc w:val="both"/>
        <w:rPr>
          <w:sz w:val="17"/>
        </w:rPr>
        <w:sectPr>
          <w:type w:val="continuous"/>
          <w:pgSz w:w="7200" w:h="11340"/>
          <w:pgMar w:top="1100" w:bottom="0" w:left="440" w:right="560"/>
        </w:sectPr>
      </w:pPr>
    </w:p>
    <w:p>
      <w:pPr>
        <w:tabs>
          <w:tab w:pos="1870" w:val="left" w:leader="none"/>
          <w:tab w:pos="5258" w:val="left" w:leader="none"/>
        </w:tabs>
        <w:spacing w:before="51"/>
        <w:ind w:left="132" w:right="0" w:firstLine="0"/>
        <w:jc w:val="both"/>
        <w:rPr>
          <w:sz w:val="20"/>
        </w:rPr>
      </w:pPr>
      <w:r>
        <w:rPr>
          <w:rFonts w:ascii="Courier New"/>
          <w:spacing w:val="-28"/>
          <w:w w:val="105"/>
          <w:sz w:val="22"/>
        </w:rPr>
        <w:t>268</w:t>
        <w:tab/>
      </w:r>
      <w:r>
        <w:rPr>
          <w:w w:val="105"/>
          <w:position w:val="1"/>
          <w:sz w:val="15"/>
        </w:rPr>
        <w:t>REVERSIONARY  </w:t>
      </w:r>
      <w:r>
        <w:rPr>
          <w:spacing w:val="35"/>
          <w:w w:val="105"/>
          <w:position w:val="1"/>
          <w:sz w:val="15"/>
        </w:rPr>
        <w:t> </w:t>
      </w:r>
      <w:r>
        <w:rPr>
          <w:w w:val="105"/>
          <w:position w:val="1"/>
          <w:sz w:val="15"/>
        </w:rPr>
        <w:t>ANNUITIES</w:t>
        <w:tab/>
      </w:r>
      <w:r>
        <w:rPr>
          <w:sz w:val="20"/>
        </w:rPr>
        <w:t>[CH.</w:t>
      </w:r>
      <w:r>
        <w:rPr>
          <w:spacing w:val="5"/>
          <w:sz w:val="20"/>
        </w:rPr>
        <w:t> </w:t>
      </w:r>
      <w:r>
        <w:rPr>
          <w:sz w:val="20"/>
        </w:rPr>
        <w:t>13</w:t>
      </w:r>
    </w:p>
    <w:p>
      <w:pPr>
        <w:pStyle w:val="BodyText"/>
        <w:spacing w:before="7"/>
        <w:rPr>
          <w:sz w:val="17"/>
        </w:rPr>
      </w:pPr>
    </w:p>
    <w:p>
      <w:pPr>
        <w:spacing w:line="242" w:lineRule="auto" w:before="0"/>
        <w:ind w:left="121" w:right="143" w:firstLine="3"/>
        <w:jc w:val="both"/>
        <w:rPr>
          <w:sz w:val="17"/>
        </w:rPr>
      </w:pPr>
      <w:r>
        <w:rPr>
          <w:w w:val="110"/>
          <w:sz w:val="17"/>
        </w:rPr>
        <w:t>ferred period, the annuity on the reduced basis </w:t>
      </w:r>
      <w:r>
        <w:rPr>
          <w:rFonts w:ascii="Arial"/>
          <w:w w:val="110"/>
          <w:sz w:val="17"/>
        </w:rPr>
        <w:t>is </w:t>
      </w:r>
      <w:r>
        <w:rPr>
          <w:w w:val="110"/>
          <w:sz w:val="17"/>
        </w:rPr>
        <w:t>to commence immediately to the wife. lf the husband's death occurs after that of the wife and during  the deferred period,  the single premium  is to be </w:t>
      </w:r>
      <w:r>
        <w:rPr>
          <w:spacing w:val="13"/>
          <w:w w:val="110"/>
          <w:sz w:val="17"/>
        </w:rPr>
        <w:t> </w:t>
      </w:r>
      <w:r>
        <w:rPr>
          <w:w w:val="110"/>
          <w:sz w:val="17"/>
        </w:rPr>
        <w:t>refunded.</w:t>
      </w:r>
    </w:p>
    <w:p>
      <w:pPr>
        <w:pStyle w:val="ListParagraph"/>
        <w:numPr>
          <w:ilvl w:val="1"/>
          <w:numId w:val="127"/>
        </w:numPr>
        <w:tabs>
          <w:tab w:pos="575" w:val="left" w:leader="none"/>
        </w:tabs>
        <w:spacing w:line="244" w:lineRule="auto" w:before="4" w:after="0"/>
        <w:ind w:left="117" w:right="125" w:firstLine="166"/>
        <w:jc w:val="both"/>
        <w:rPr>
          <w:sz w:val="17"/>
        </w:rPr>
      </w:pPr>
      <w:r>
        <w:rPr>
          <w:w w:val="110"/>
          <w:sz w:val="17"/>
        </w:rPr>
        <w:t>A man aged 35 has a wif e aged 30 and two children aged 5 and 10, respectively. Under an insurance program, upon the man's  death  while either of his two children is under age </w:t>
      </w:r>
      <w:r>
        <w:rPr>
          <w:spacing w:val="-17"/>
          <w:w w:val="110"/>
          <w:sz w:val="17"/>
        </w:rPr>
        <w:t>18 </w:t>
      </w:r>
      <w:r>
        <w:rPr>
          <w:w w:val="110"/>
          <w:sz w:val="17"/>
        </w:rPr>
        <w:t>a monthly annuity will become paya.ble  subject to the following </w:t>
      </w:r>
      <w:r>
        <w:rPr>
          <w:spacing w:val="13"/>
          <w:w w:val="110"/>
          <w:sz w:val="17"/>
        </w:rPr>
        <w:t> </w:t>
      </w:r>
      <w:r>
        <w:rPr>
          <w:w w:val="110"/>
          <w:sz w:val="17"/>
        </w:rPr>
        <w:t>conditions:</w:t>
      </w:r>
    </w:p>
    <w:p>
      <w:pPr>
        <w:pStyle w:val="ListParagraph"/>
        <w:numPr>
          <w:ilvl w:val="2"/>
          <w:numId w:val="127"/>
        </w:numPr>
        <w:tabs>
          <w:tab w:pos="762" w:val="left" w:leader="none"/>
        </w:tabs>
        <w:spacing w:line="247" w:lineRule="auto" w:before="0" w:after="0"/>
        <w:ind w:left="769" w:right="146" w:hanging="256"/>
        <w:jc w:val="both"/>
        <w:rPr>
          <w:sz w:val="17"/>
        </w:rPr>
      </w:pPr>
      <w:r>
        <w:rPr>
          <w:w w:val="110"/>
          <w:sz w:val="17"/>
        </w:rPr>
        <w:t>$30 monthly paya.ble to his wife as long as she survives and either child survives and has not attained a.ge  </w:t>
      </w:r>
      <w:r>
        <w:rPr>
          <w:spacing w:val="4"/>
          <w:w w:val="110"/>
          <w:sz w:val="17"/>
        </w:rPr>
        <w:t> </w:t>
      </w:r>
      <w:r>
        <w:rPr>
          <w:spacing w:val="-15"/>
          <w:w w:val="110"/>
          <w:sz w:val="17"/>
        </w:rPr>
        <w:t>18,</w:t>
      </w:r>
    </w:p>
    <w:p>
      <w:pPr>
        <w:pStyle w:val="ListParagraph"/>
        <w:numPr>
          <w:ilvl w:val="2"/>
          <w:numId w:val="127"/>
        </w:numPr>
        <w:tabs>
          <w:tab w:pos="766" w:val="left" w:leader="none"/>
        </w:tabs>
        <w:spacing w:line="247" w:lineRule="auto" w:before="0" w:after="0"/>
        <w:ind w:left="765" w:right="148" w:hanging="302"/>
        <w:jc w:val="both"/>
        <w:rPr>
          <w:sz w:val="17"/>
        </w:rPr>
      </w:pPr>
      <w:r>
        <w:rPr>
          <w:w w:val="110"/>
          <w:sz w:val="17"/>
        </w:rPr>
        <w:t>$20 monthly paya.ble to each child as long as the child survives and has not attained a.ge 18, paya.ble whether or not the man's wife is alive at the time the payments  come due.         </w:t>
      </w:r>
      <w:r>
        <w:rPr>
          <w:spacing w:val="27"/>
          <w:w w:val="110"/>
          <w:sz w:val="17"/>
        </w:rPr>
        <w:t> </w:t>
      </w:r>
      <w:r>
        <w:rPr>
          <w:w w:val="110"/>
          <w:sz w:val="17"/>
        </w:rPr>
        <w:t>,</w:t>
      </w:r>
    </w:p>
    <w:p>
      <w:pPr>
        <w:spacing w:line="247" w:lineRule="auto" w:before="0"/>
        <w:ind w:left="114" w:right="145" w:firstLine="7"/>
        <w:jc w:val="both"/>
        <w:rPr>
          <w:sz w:val="17"/>
        </w:rPr>
      </w:pPr>
      <w:r>
        <w:rPr>
          <w:w w:val="110"/>
          <w:sz w:val="17"/>
        </w:rPr>
        <w:t>Assuming that the monthly functions may be replaced by continuous func­ tions without appreciable loss of accuracy, express the value of the in­ surance  program  in terms  of  continuous life annuities.</w:t>
      </w:r>
    </w:p>
    <w:p>
      <w:pPr>
        <w:pStyle w:val="ListParagraph"/>
        <w:numPr>
          <w:ilvl w:val="1"/>
          <w:numId w:val="127"/>
        </w:numPr>
        <w:tabs>
          <w:tab w:pos="564" w:val="left" w:leader="none"/>
        </w:tabs>
        <w:spacing w:line="244" w:lineRule="auto" w:before="0" w:after="0"/>
        <w:ind w:left="106" w:right="152" w:firstLine="166"/>
        <w:jc w:val="both"/>
        <w:rPr>
          <w:sz w:val="17"/>
        </w:rPr>
      </w:pPr>
      <w:r>
        <w:rPr>
          <w:w w:val="110"/>
          <w:sz w:val="17"/>
        </w:rPr>
        <w:t>An insured holds a </w:t>
      </w:r>
      <w:r>
        <w:rPr>
          <w:rFonts w:ascii="Arial" w:hAnsi="Arial"/>
          <w:w w:val="110"/>
          <w:sz w:val="14"/>
        </w:rPr>
        <w:t>$5000 </w:t>
      </w:r>
      <w:r>
        <w:rPr>
          <w:w w:val="110"/>
          <w:sz w:val="17"/>
        </w:rPr>
        <w:t>policy, whole life fully paid up at a.ge 65, issued at a.ge </w:t>
      </w:r>
      <w:r>
        <w:rPr>
          <w:rFonts w:ascii="Arial" w:hAnsi="Arial"/>
          <w:i/>
          <w:w w:val="110"/>
          <w:sz w:val="15"/>
        </w:rPr>
        <w:t>x </w:t>
      </w:r>
      <w:r>
        <w:rPr>
          <w:w w:val="110"/>
          <w:sz w:val="17"/>
        </w:rPr>
        <w:t>five years ago. An option in the policy provides for settle­ ment in equal monthly instalments for a period of twenty years, the first payment </w:t>
      </w:r>
      <w:r>
        <w:rPr>
          <w:w w:val="110"/>
          <w:sz w:val="18"/>
        </w:rPr>
        <w:t>to </w:t>
      </w:r>
      <w:r>
        <w:rPr>
          <w:w w:val="110"/>
          <w:sz w:val="17"/>
        </w:rPr>
        <w:t>be made at the date of death, and  such  that  the  present  value of the instalments at the date of death is </w:t>
      </w:r>
      <w:r>
        <w:rPr>
          <w:w w:val="110"/>
          <w:sz w:val="16"/>
        </w:rPr>
        <w:t>$5000. </w:t>
      </w:r>
      <w:r>
        <w:rPr>
          <w:w w:val="110"/>
          <w:sz w:val="17"/>
        </w:rPr>
        <w:t>The insured now desires to provide for an additional benefit, whereby the monthly instalments will continue during the lifetime of the beneficiary now aged </w:t>
      </w:r>
      <w:r>
        <w:rPr>
          <w:i/>
          <w:w w:val="110"/>
          <w:sz w:val="17"/>
        </w:rPr>
        <w:t>y. </w:t>
      </w:r>
      <w:r>
        <w:rPr>
          <w:w w:val="110"/>
          <w:sz w:val="17"/>
        </w:rPr>
        <w:t>Find an expres· sion for the additional net annual premium, assuming such premiums  are  not to be paya.ble af ter the death of the beneficiary. Give an expression for tbe reserve on the additional benefit after five years, </w:t>
      </w:r>
      <w:r>
        <w:rPr>
          <w:spacing w:val="-3"/>
          <w:w w:val="110"/>
          <w:sz w:val="17"/>
        </w:rPr>
        <w:t>as'sumilig </w:t>
      </w:r>
      <w:r>
        <w:rPr>
          <w:w w:val="110"/>
          <w:sz w:val="17"/>
        </w:rPr>
        <w:t>both the insured  and  the beneficiary  are then </w:t>
      </w:r>
      <w:r>
        <w:rPr>
          <w:spacing w:val="2"/>
          <w:w w:val="110"/>
          <w:sz w:val="17"/>
        </w:rPr>
        <w:t> </w:t>
      </w:r>
      <w:r>
        <w:rPr>
          <w:w w:val="110"/>
          <w:sz w:val="17"/>
        </w:rPr>
        <w:t>alive.</w:t>
      </w:r>
    </w:p>
    <w:p>
      <w:pPr>
        <w:spacing w:after="0" w:line="244" w:lineRule="auto"/>
        <w:jc w:val="both"/>
        <w:rPr>
          <w:sz w:val="17"/>
        </w:rPr>
        <w:sectPr>
          <w:pgSz w:w="7200" w:h="11340"/>
          <w:pgMar w:top="500" w:bottom="280" w:left="660" w:right="5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8"/>
        </w:rPr>
      </w:pPr>
    </w:p>
    <w:p>
      <w:pPr>
        <w:spacing w:before="68"/>
        <w:ind w:left="1452" w:right="1371" w:firstLine="0"/>
        <w:jc w:val="center"/>
        <w:rPr>
          <w:rFonts w:ascii="Arial"/>
          <w:i/>
          <w:sz w:val="25"/>
        </w:rPr>
      </w:pPr>
      <w:bookmarkStart w:name="Part III. Multiple-Decrement Functions" w:id="20"/>
      <w:bookmarkEnd w:id="20"/>
      <w:r>
        <w:rPr/>
      </w:r>
      <w:r>
        <w:rPr>
          <w:b/>
          <w:i/>
          <w:w w:val="125"/>
          <w:sz w:val="25"/>
        </w:rPr>
        <w:t>Part </w:t>
      </w:r>
      <w:r>
        <w:rPr>
          <w:rFonts w:ascii="Arial"/>
          <w:i/>
          <w:w w:val="170"/>
          <w:sz w:val="25"/>
        </w:rPr>
        <w:t>III</w:t>
      </w:r>
    </w:p>
    <w:p>
      <w:pPr>
        <w:spacing w:before="104"/>
        <w:ind w:left="309" w:right="276" w:firstLine="0"/>
        <w:jc w:val="center"/>
        <w:rPr>
          <w:sz w:val="26"/>
        </w:rPr>
      </w:pPr>
      <w:r>
        <w:rPr>
          <w:sz w:val="26"/>
        </w:rPr>
        <w:t>MULTIPLE-DECREMENT   FUNCTIONS</w:t>
      </w:r>
    </w:p>
    <w:p>
      <w:pPr>
        <w:spacing w:after="0"/>
        <w:jc w:val="center"/>
        <w:rPr>
          <w:sz w:val="26"/>
        </w:rPr>
        <w:sectPr>
          <w:pgSz w:w="7200" w:h="11340"/>
          <w:pgMar w:top="1060" w:bottom="280" w:left="980" w:right="980"/>
        </w:sectPr>
      </w:pPr>
    </w:p>
    <w:p>
      <w:pPr>
        <w:pStyle w:val="BodyText"/>
        <w:spacing w:before="8"/>
        <w:rPr>
          <w:sz w:val="28"/>
        </w:rPr>
      </w:pPr>
    </w:p>
    <w:p>
      <w:pPr>
        <w:spacing w:before="75"/>
        <w:ind w:left="74" w:right="75" w:firstLine="0"/>
        <w:jc w:val="center"/>
        <w:rPr>
          <w:sz w:val="19"/>
        </w:rPr>
      </w:pPr>
      <w:bookmarkStart w:name="14. Multiple-Decrement Tables" w:id="21"/>
      <w:bookmarkEnd w:id="21"/>
      <w:r>
        <w:rPr/>
      </w:r>
      <w:r>
        <w:rPr>
          <w:color w:val="030303"/>
          <w:w w:val="110"/>
          <w:sz w:val="15"/>
        </w:rPr>
        <w:t>CHAPTER   </w:t>
      </w:r>
      <w:r>
        <w:rPr>
          <w:color w:val="030303"/>
          <w:w w:val="110"/>
          <w:sz w:val="19"/>
        </w:rPr>
        <w:t>14</w:t>
      </w:r>
    </w:p>
    <w:p>
      <w:pPr>
        <w:spacing w:before="122"/>
        <w:ind w:left="74" w:right="107" w:firstLine="0"/>
        <w:jc w:val="center"/>
        <w:rPr>
          <w:sz w:val="21"/>
        </w:rPr>
      </w:pPr>
      <w:r>
        <w:rPr>
          <w:color w:val="030303"/>
          <w:w w:val="105"/>
          <w:sz w:val="21"/>
        </w:rPr>
        <w:t>MULTIPLE-DECREMENT  TABLES</w:t>
      </w:r>
    </w:p>
    <w:p>
      <w:pPr>
        <w:pStyle w:val="BodyText"/>
        <w:spacing w:before="2"/>
        <w:rPr>
          <w:sz w:val="21"/>
        </w:rPr>
      </w:pPr>
    </w:p>
    <w:p>
      <w:pPr>
        <w:spacing w:before="0"/>
        <w:ind w:left="123" w:right="739" w:firstLine="0"/>
        <w:jc w:val="left"/>
        <w:rPr>
          <w:b/>
          <w:sz w:val="19"/>
        </w:rPr>
      </w:pPr>
      <w:r>
        <w:rPr>
          <w:b/>
          <w:color w:val="030303"/>
          <w:w w:val="125"/>
          <w:sz w:val="21"/>
        </w:rPr>
        <w:t>l. </w:t>
      </w:r>
      <w:r>
        <w:rPr>
          <w:b/>
          <w:color w:val="030303"/>
          <w:w w:val="125"/>
          <w:sz w:val="19"/>
        </w:rPr>
        <w:t>lntroduction</w:t>
      </w:r>
    </w:p>
    <w:p>
      <w:pPr>
        <w:spacing w:line="264" w:lineRule="auto" w:before="93"/>
        <w:ind w:left="120" w:right="123" w:firstLine="197"/>
        <w:jc w:val="both"/>
        <w:rPr>
          <w:i/>
          <w:sz w:val="21"/>
        </w:rPr>
      </w:pPr>
      <w:r>
        <w:rPr>
          <w:color w:val="030303"/>
          <w:w w:val="110"/>
          <w:sz w:val="19"/>
        </w:rPr>
        <w:t>The analytical methods applied so far to problems involving mortality alone can be extended to form a more general theory involving the simultaneous operation </w:t>
      </w:r>
      <w:r>
        <w:rPr>
          <w:rFonts w:ascii="Arial" w:hAnsi="Arial"/>
          <w:color w:val="030303"/>
          <w:w w:val="110"/>
          <w:sz w:val="18"/>
        </w:rPr>
        <w:t>of </w:t>
      </w:r>
      <w:r>
        <w:rPr>
          <w:color w:val="030303"/>
          <w:w w:val="110"/>
          <w:sz w:val="19"/>
        </w:rPr>
        <w:t>severa} causes of decre­ ment to a particular body ef lives. For example, one may be con­ cerned with an insurance coverage in which disability and mortality are distinct causes of daim and the interacting effects of  exposure  to both causes of decrement rnust be analyzed. Similarly, one may wish to study a mortality experience in terms of its component causes of death, treating each cause of death as a </w:t>
      </w:r>
      <w:r>
        <w:rPr>
          <w:color w:val="161616"/>
          <w:w w:val="110"/>
          <w:sz w:val="19"/>
        </w:rPr>
        <w:t>separate </w:t>
      </w:r>
      <w:r>
        <w:rPr>
          <w:color w:val="030303"/>
          <w:w w:val="110"/>
          <w:sz w:val="19"/>
        </w:rPr>
        <w:t>decre­ ment. Or, one rnay have the problem of  valuation  of  a pension  plan where death, disability, withdrawal, and retirement all operate as decrementa! forces against a staff of employees. The mathemat i­ cal model from which analyses of this kind can be made is known</w:t>
      </w:r>
      <w:r>
        <w:rPr>
          <w:color w:val="030303"/>
          <w:spacing w:val="-16"/>
          <w:w w:val="110"/>
          <w:sz w:val="19"/>
        </w:rPr>
        <w:t> </w:t>
      </w:r>
      <w:r>
        <w:rPr>
          <w:color w:val="030303"/>
          <w:w w:val="110"/>
          <w:sz w:val="19"/>
        </w:rPr>
        <w:t>as </w:t>
      </w:r>
      <w:r>
        <w:rPr>
          <w:color w:val="030303"/>
          <w:w w:val="95"/>
          <w:sz w:val="19"/>
        </w:rPr>
        <w:t>the </w:t>
      </w:r>
      <w:r>
        <w:rPr>
          <w:i/>
          <w:color w:val="030303"/>
          <w:w w:val="95"/>
          <w:sz w:val="21"/>
        </w:rPr>
        <w:t>multiple-decrement</w:t>
      </w:r>
      <w:r>
        <w:rPr>
          <w:i/>
          <w:color w:val="030303"/>
          <w:spacing w:val="40"/>
          <w:w w:val="95"/>
          <w:sz w:val="21"/>
        </w:rPr>
        <w:t> </w:t>
      </w:r>
      <w:r>
        <w:rPr>
          <w:i/>
          <w:color w:val="030303"/>
          <w:w w:val="95"/>
          <w:sz w:val="21"/>
        </w:rPr>
        <w:t>table.</w:t>
      </w:r>
    </w:p>
    <w:p>
      <w:pPr>
        <w:spacing w:before="153"/>
        <w:ind w:left="120" w:right="739" w:firstLine="0"/>
        <w:jc w:val="left"/>
        <w:rPr>
          <w:b/>
          <w:sz w:val="19"/>
        </w:rPr>
      </w:pPr>
      <w:r>
        <w:rPr>
          <w:b/>
          <w:color w:val="030303"/>
          <w:w w:val="115"/>
          <w:sz w:val="19"/>
        </w:rPr>
        <w:t>2. Probabilities  of decrement</w:t>
      </w:r>
    </w:p>
    <w:p>
      <w:pPr>
        <w:spacing w:line="264" w:lineRule="auto" w:before="97"/>
        <w:ind w:left="123" w:right="133" w:firstLine="197"/>
        <w:jc w:val="both"/>
        <w:rPr>
          <w:sz w:val="19"/>
        </w:rPr>
      </w:pPr>
      <w:r>
        <w:rPr>
          <w:rFonts w:ascii="Arial" w:hAnsi="Arial"/>
          <w:color w:val="030303"/>
          <w:w w:val="110"/>
          <w:sz w:val="19"/>
        </w:rPr>
        <w:t>A </w:t>
      </w:r>
      <w:r>
        <w:rPr>
          <w:color w:val="030303"/>
          <w:w w:val="110"/>
          <w:sz w:val="19"/>
        </w:rPr>
        <w:t>multiple-decrement table is a mathematical model which as­ sumes a large body of lives subject to severa! independent causes </w:t>
      </w:r>
      <w:r>
        <w:rPr>
          <w:rFonts w:ascii="Arial" w:hAnsi="Arial"/>
          <w:color w:val="030303"/>
          <w:w w:val="110"/>
          <w:sz w:val="18"/>
        </w:rPr>
        <w:t>of </w:t>
      </w:r>
      <w:r>
        <w:rPr>
          <w:color w:val="030303"/>
          <w:w w:val="110"/>
          <w:sz w:val="19"/>
        </w:rPr>
        <w:t>decrernent which are operating continuously. The body of lives forros </w:t>
      </w:r>
      <w:r>
        <w:rPr>
          <w:rFonts w:ascii="Arial" w:hAnsi="Arial"/>
          <w:color w:val="030303"/>
          <w:w w:val="110"/>
          <w:sz w:val="17"/>
        </w:rPr>
        <w:t>a </w:t>
      </w:r>
      <w:r>
        <w:rPr>
          <w:color w:val="030303"/>
          <w:w w:val="110"/>
          <w:sz w:val="19"/>
        </w:rPr>
        <w:t>closed group, there being no ne,v entrants and no re-en­ trants af ter th_e opera tion of the various decrements.</w:t>
      </w:r>
    </w:p>
    <w:p>
      <w:pPr>
        <w:spacing w:line="169" w:lineRule="exact" w:before="0"/>
        <w:ind w:left="321" w:right="739" w:firstLine="0"/>
        <w:jc w:val="left"/>
        <w:rPr>
          <w:sz w:val="19"/>
        </w:rPr>
      </w:pPr>
      <w:r>
        <w:rPr>
          <w:color w:val="030303"/>
          <w:w w:val="105"/>
          <w:sz w:val="19"/>
        </w:rPr>
        <w:t>The  following  notation  is  adopted :</w:t>
      </w:r>
    </w:p>
    <w:p>
      <w:pPr>
        <w:spacing w:line="309" w:lineRule="exact" w:before="0"/>
        <w:ind w:left="127" w:right="0" w:firstLine="190"/>
        <w:jc w:val="both"/>
        <w:rPr>
          <w:sz w:val="19"/>
        </w:rPr>
      </w:pPr>
      <w:r>
        <w:rPr>
          <w:rFonts w:ascii="Arial" w:hAnsi="Arial"/>
          <w:i/>
          <w:color w:val="030303"/>
          <w:w w:val="105"/>
          <w:sz w:val="31"/>
        </w:rPr>
        <w:t>l; </w:t>
      </w:r>
      <w:r>
        <w:rPr>
          <w:color w:val="030303"/>
          <w:w w:val="105"/>
          <w:sz w:val="13"/>
        </w:rPr>
        <w:t>Tl  </w:t>
      </w:r>
      <w:r>
        <w:rPr>
          <w:color w:val="030303"/>
          <w:w w:val="105"/>
          <w:sz w:val="19"/>
        </w:rPr>
        <w:t>is the nurnber of lives attaining age </w:t>
      </w:r>
      <w:r>
        <w:rPr>
          <w:rFonts w:ascii="Arial" w:hAnsi="Arial"/>
          <w:i/>
          <w:color w:val="030303"/>
          <w:w w:val="105"/>
          <w:sz w:val="18"/>
        </w:rPr>
        <w:t>x  </w:t>
      </w:r>
      <w:r>
        <w:rPr>
          <w:color w:val="030303"/>
          <w:w w:val="105"/>
          <w:sz w:val="19"/>
        </w:rPr>
        <w:t>in a  body of  lives   sub­</w:t>
      </w:r>
    </w:p>
    <w:p>
      <w:pPr>
        <w:spacing w:before="1"/>
        <w:ind w:left="20" w:right="0" w:firstLine="0"/>
        <w:jc w:val="center"/>
        <w:rPr>
          <w:sz w:val="19"/>
        </w:rPr>
      </w:pPr>
      <w:r>
        <w:rPr>
          <w:color w:val="030303"/>
          <w:w w:val="110"/>
          <w:sz w:val="19"/>
        </w:rPr>
        <w:t>ject to the operation of </w:t>
      </w:r>
      <w:r>
        <w:rPr>
          <w:rFonts w:ascii="Arial" w:hAnsi="Arial"/>
          <w:i/>
          <w:color w:val="030303"/>
          <w:w w:val="110"/>
          <w:sz w:val="17"/>
        </w:rPr>
        <w:t>m </w:t>
      </w:r>
      <w:r>
        <w:rPr>
          <w:color w:val="030303"/>
          <w:w w:val="110"/>
          <w:sz w:val="19"/>
        </w:rPr>
        <w:t>causes of decremen t  (1),  (2 ), ··· ,  (m ) ;</w:t>
      </w:r>
    </w:p>
    <w:p>
      <w:pPr>
        <w:spacing w:line="191" w:lineRule="exact" w:before="5"/>
        <w:ind w:left="317" w:right="0" w:firstLine="0"/>
        <w:jc w:val="left"/>
        <w:rPr>
          <w:sz w:val="19"/>
        </w:rPr>
      </w:pPr>
      <w:r>
        <w:rPr>
          <w:rFonts w:ascii="Arial"/>
          <w:i/>
          <w:color w:val="030303"/>
          <w:sz w:val="20"/>
        </w:rPr>
        <w:t>d;k&gt;  </w:t>
      </w:r>
      <w:r>
        <w:rPr>
          <w:color w:val="030303"/>
          <w:w w:val="105"/>
          <w:sz w:val="19"/>
        </w:rPr>
        <w:t>is the nurnber  of  decrements  from  cause  </w:t>
      </w:r>
      <w:r>
        <w:rPr>
          <w:rFonts w:ascii="Arial"/>
          <w:color w:val="030303"/>
          <w:w w:val="105"/>
          <w:sz w:val="19"/>
        </w:rPr>
        <w:t>(k )  </w:t>
      </w:r>
      <w:r>
        <w:rPr>
          <w:color w:val="030303"/>
          <w:w w:val="105"/>
          <w:sz w:val="19"/>
        </w:rPr>
        <w:t>between  ages</w:t>
      </w:r>
    </w:p>
    <w:p>
      <w:pPr>
        <w:spacing w:line="255" w:lineRule="exact" w:before="0"/>
        <w:ind w:left="123" w:right="739" w:firstLine="0"/>
        <w:jc w:val="left"/>
        <w:rPr>
          <w:rFonts w:ascii="Arial"/>
          <w:sz w:val="19"/>
        </w:rPr>
      </w:pPr>
      <w:r>
        <w:rPr>
          <w:i/>
          <w:color w:val="030303"/>
          <w:w w:val="105"/>
          <w:sz w:val="21"/>
        </w:rPr>
        <w:t>x  </w:t>
      </w:r>
      <w:r>
        <w:rPr>
          <w:color w:val="030303"/>
          <w:w w:val="105"/>
          <w:sz w:val="19"/>
        </w:rPr>
        <w:t>and </w:t>
      </w:r>
      <w:r>
        <w:rPr>
          <w:i/>
          <w:color w:val="030303"/>
          <w:w w:val="105"/>
          <w:sz w:val="21"/>
        </w:rPr>
        <w:t>x  </w:t>
      </w:r>
      <w:r>
        <w:rPr>
          <w:rFonts w:ascii="Arial"/>
          <w:color w:val="030303"/>
          <w:w w:val="105"/>
          <w:sz w:val="31"/>
        </w:rPr>
        <w:t>+ </w:t>
      </w:r>
      <w:r>
        <w:rPr>
          <w:rFonts w:ascii="Arial"/>
          <w:color w:val="030303"/>
          <w:w w:val="105"/>
          <w:sz w:val="19"/>
        </w:rPr>
        <w:t>1;</w:t>
      </w:r>
    </w:p>
    <w:p>
      <w:pPr>
        <w:spacing w:line="165" w:lineRule="auto" w:before="25"/>
        <w:ind w:left="120" w:right="152" w:firstLine="197"/>
        <w:jc w:val="both"/>
        <w:rPr>
          <w:sz w:val="19"/>
        </w:rPr>
      </w:pPr>
      <w:r>
        <w:rPr>
          <w:rFonts w:ascii="Arial"/>
          <w:i/>
          <w:color w:val="030303"/>
          <w:w w:val="90"/>
          <w:sz w:val="30"/>
        </w:rPr>
        <w:t>d; </w:t>
      </w:r>
      <w:r>
        <w:rPr>
          <w:rFonts w:ascii="Arial"/>
          <w:i/>
          <w:color w:val="030303"/>
          <w:w w:val="90"/>
          <w:sz w:val="19"/>
        </w:rPr>
        <w:t>T&gt; </w:t>
      </w:r>
      <w:r>
        <w:rPr>
          <w:color w:val="030303"/>
          <w:w w:val="105"/>
          <w:sz w:val="19"/>
        </w:rPr>
        <w:t>is the total nurnber of decrernents from all causes between ages </w:t>
      </w:r>
      <w:r>
        <w:rPr>
          <w:i/>
          <w:color w:val="030303"/>
          <w:w w:val="105"/>
          <w:sz w:val="21"/>
        </w:rPr>
        <w:t>x  </w:t>
      </w:r>
      <w:r>
        <w:rPr>
          <w:color w:val="030303"/>
          <w:w w:val="105"/>
          <w:sz w:val="19"/>
        </w:rPr>
        <w:t>and  </w:t>
      </w:r>
      <w:r>
        <w:rPr>
          <w:i/>
          <w:color w:val="030303"/>
          <w:w w:val="105"/>
          <w:sz w:val="21"/>
        </w:rPr>
        <w:t>x  </w:t>
      </w:r>
      <w:r>
        <w:rPr>
          <w:rFonts w:ascii="Arial"/>
          <w:color w:val="030303"/>
          <w:w w:val="105"/>
          <w:sz w:val="31"/>
        </w:rPr>
        <w:t>+ </w:t>
      </w:r>
      <w:r>
        <w:rPr>
          <w:color w:val="030303"/>
          <w:w w:val="105"/>
          <w:sz w:val="19"/>
        </w:rPr>
        <w:t>1, </w:t>
      </w:r>
      <w:r>
        <w:rPr>
          <w:rFonts w:ascii="Arial"/>
          <w:color w:val="030303"/>
          <w:w w:val="105"/>
          <w:sz w:val="17"/>
        </w:rPr>
        <w:t>so </w:t>
      </w:r>
      <w:r>
        <w:rPr>
          <w:color w:val="030303"/>
          <w:w w:val="105"/>
          <w:sz w:val="19"/>
        </w:rPr>
        <w:t>that</w:t>
      </w:r>
    </w:p>
    <w:p>
      <w:pPr>
        <w:spacing w:before="257"/>
        <w:ind w:left="0" w:right="149" w:firstLine="0"/>
        <w:jc w:val="right"/>
        <w:rPr>
          <w:rFonts w:ascii="Arial"/>
          <w:sz w:val="18"/>
        </w:rPr>
      </w:pPr>
      <w:r>
        <w:rPr/>
        <w:drawing>
          <wp:anchor distT="0" distB="0" distL="0" distR="0" allowOverlap="1" layoutInCell="1" locked="0" behindDoc="1" simplePos="0" relativeHeight="267721055">
            <wp:simplePos x="0" y="0"/>
            <wp:positionH relativeFrom="page">
              <wp:posOffset>1755648</wp:posOffset>
            </wp:positionH>
            <wp:positionV relativeFrom="paragraph">
              <wp:posOffset>93118</wp:posOffset>
            </wp:positionV>
            <wp:extent cx="1143000" cy="502920"/>
            <wp:effectExtent l="0" t="0" r="0" b="0"/>
            <wp:wrapNone/>
            <wp:docPr id="647" name="image329.png" descr=""/>
            <wp:cNvGraphicFramePr>
              <a:graphicFrameLocks noChangeAspect="1"/>
            </wp:cNvGraphicFramePr>
            <a:graphic>
              <a:graphicData uri="http://schemas.openxmlformats.org/drawingml/2006/picture">
                <pic:pic>
                  <pic:nvPicPr>
                    <pic:cNvPr id="648" name="image329.png"/>
                    <pic:cNvPicPr/>
                  </pic:nvPicPr>
                  <pic:blipFill>
                    <a:blip r:embed="rId333" cstate="print"/>
                    <a:stretch>
                      <a:fillRect/>
                    </a:stretch>
                  </pic:blipFill>
                  <pic:spPr>
                    <a:xfrm>
                      <a:off x="0" y="0"/>
                      <a:ext cx="1143000" cy="502920"/>
                    </a:xfrm>
                    <a:prstGeom prst="rect">
                      <a:avLst/>
                    </a:prstGeom>
                  </pic:spPr>
                </pic:pic>
              </a:graphicData>
            </a:graphic>
          </wp:anchor>
        </w:drawing>
      </w:r>
      <w:r>
        <w:rPr>
          <w:rFonts w:ascii="Arial"/>
          <w:color w:val="030303"/>
          <w:w w:val="110"/>
          <w:sz w:val="18"/>
        </w:rPr>
        <w:t>(14.1)</w:t>
      </w:r>
    </w:p>
    <w:p>
      <w:pPr>
        <w:pStyle w:val="BodyText"/>
        <w:rPr>
          <w:rFonts w:ascii="Arial"/>
          <w:sz w:val="15"/>
        </w:rPr>
      </w:pPr>
    </w:p>
    <w:p>
      <w:pPr>
        <w:tabs>
          <w:tab w:pos="5331" w:val="left" w:leader="none"/>
        </w:tabs>
        <w:spacing w:before="81"/>
        <w:ind w:left="116" w:right="0" w:firstLine="0"/>
        <w:jc w:val="left"/>
        <w:rPr>
          <w:rFonts w:ascii="Arial"/>
          <w:sz w:val="18"/>
        </w:rPr>
      </w:pPr>
      <w:r>
        <w:rPr>
          <w:color w:val="030303"/>
          <w:w w:val="115"/>
          <w:sz w:val="19"/>
        </w:rPr>
        <w:t>and</w:t>
        <w:tab/>
      </w:r>
      <w:r>
        <w:rPr>
          <w:rFonts w:ascii="Arial"/>
          <w:color w:val="030303"/>
          <w:spacing w:val="-9"/>
          <w:w w:val="115"/>
          <w:position w:val="1"/>
          <w:sz w:val="18"/>
        </w:rPr>
        <w:t>(14</w:t>
      </w:r>
      <w:r>
        <w:rPr>
          <w:rFonts w:ascii="Arial"/>
          <w:color w:val="242424"/>
          <w:spacing w:val="-9"/>
          <w:w w:val="115"/>
          <w:position w:val="1"/>
          <w:sz w:val="18"/>
        </w:rPr>
        <w:t>.</w:t>
      </w:r>
      <w:r>
        <w:rPr>
          <w:rFonts w:ascii="Arial"/>
          <w:color w:val="030303"/>
          <w:spacing w:val="-9"/>
          <w:w w:val="115"/>
          <w:position w:val="1"/>
          <w:sz w:val="18"/>
        </w:rPr>
        <w:t>2)</w:t>
      </w:r>
    </w:p>
    <w:p>
      <w:pPr>
        <w:spacing w:before="90"/>
        <w:ind w:left="155" w:right="0" w:firstLine="0"/>
        <w:jc w:val="center"/>
        <w:rPr>
          <w:sz w:val="19"/>
        </w:rPr>
      </w:pPr>
      <w:r>
        <w:rPr>
          <w:color w:val="030303"/>
          <w:w w:val="121"/>
          <w:sz w:val="19"/>
        </w:rPr>
        <w:t>q</w:t>
      </w:r>
      <w:r>
        <w:rPr>
          <w:color w:val="030303"/>
          <w:spacing w:val="7"/>
          <w:w w:val="121"/>
          <w:sz w:val="19"/>
        </w:rPr>
        <w:t>?</w:t>
      </w:r>
      <w:r>
        <w:rPr>
          <w:color w:val="242424"/>
          <w:w w:val="39"/>
          <w:sz w:val="19"/>
        </w:rPr>
        <w:t>)</w:t>
      </w:r>
      <w:r>
        <w:rPr>
          <w:color w:val="242424"/>
          <w:sz w:val="19"/>
        </w:rPr>
        <w:t> </w:t>
      </w:r>
      <w:r>
        <w:rPr>
          <w:color w:val="242424"/>
          <w:spacing w:val="-10"/>
          <w:sz w:val="19"/>
        </w:rPr>
        <w:t> </w:t>
      </w:r>
      <w:r>
        <w:rPr>
          <w:rFonts w:ascii="Arial"/>
          <w:color w:val="030303"/>
          <w:w w:val="93"/>
          <w:sz w:val="20"/>
        </w:rPr>
        <w:t>is</w:t>
      </w:r>
      <w:r>
        <w:rPr>
          <w:rFonts w:ascii="Arial"/>
          <w:color w:val="030303"/>
          <w:spacing w:val="-5"/>
          <w:sz w:val="20"/>
        </w:rPr>
        <w:t> </w:t>
      </w:r>
      <w:r>
        <w:rPr>
          <w:color w:val="030303"/>
          <w:w w:val="114"/>
          <w:sz w:val="19"/>
        </w:rPr>
        <w:t>the</w:t>
      </w:r>
      <w:r>
        <w:rPr>
          <w:color w:val="030303"/>
          <w:spacing w:val="16"/>
          <w:sz w:val="19"/>
        </w:rPr>
        <w:t> </w:t>
      </w:r>
      <w:r>
        <w:rPr>
          <w:color w:val="030303"/>
          <w:w w:val="110"/>
          <w:sz w:val="19"/>
        </w:rPr>
        <w:t>probability</w:t>
      </w:r>
      <w:r>
        <w:rPr>
          <w:color w:val="030303"/>
          <w:sz w:val="19"/>
        </w:rPr>
        <w:t> </w:t>
      </w:r>
      <w:r>
        <w:rPr>
          <w:color w:val="030303"/>
          <w:spacing w:val="-8"/>
          <w:sz w:val="19"/>
        </w:rPr>
        <w:t> </w:t>
      </w:r>
      <w:r>
        <w:rPr>
          <w:color w:val="030303"/>
          <w:w w:val="121"/>
          <w:sz w:val="19"/>
        </w:rPr>
        <w:t>that</w:t>
      </w:r>
      <w:r>
        <w:rPr>
          <w:color w:val="030303"/>
          <w:sz w:val="19"/>
        </w:rPr>
        <w:t> </w:t>
      </w:r>
      <w:r>
        <w:rPr>
          <w:color w:val="030303"/>
          <w:spacing w:val="10"/>
          <w:sz w:val="19"/>
        </w:rPr>
        <w:t> </w:t>
      </w:r>
      <w:r>
        <w:rPr>
          <w:rFonts w:ascii="Arial"/>
          <w:color w:val="030303"/>
          <w:sz w:val="19"/>
        </w:rPr>
        <w:t>(x</w:t>
      </w:r>
      <w:r>
        <w:rPr>
          <w:rFonts w:ascii="Arial"/>
          <w:color w:val="030303"/>
          <w:spacing w:val="-28"/>
          <w:sz w:val="19"/>
        </w:rPr>
        <w:t> </w:t>
      </w:r>
      <w:r>
        <w:rPr>
          <w:rFonts w:ascii="Arial"/>
          <w:color w:val="030303"/>
          <w:w w:val="101"/>
          <w:sz w:val="19"/>
        </w:rPr>
        <w:t>)</w:t>
      </w:r>
      <w:r>
        <w:rPr>
          <w:rFonts w:ascii="Arial"/>
          <w:color w:val="030303"/>
          <w:spacing w:val="11"/>
          <w:sz w:val="19"/>
        </w:rPr>
        <w:t> </w:t>
      </w:r>
      <w:r>
        <w:rPr>
          <w:color w:val="030303"/>
          <w:w w:val="90"/>
          <w:sz w:val="21"/>
        </w:rPr>
        <w:t>will</w:t>
      </w:r>
      <w:r>
        <w:rPr>
          <w:color w:val="030303"/>
          <w:spacing w:val="13"/>
          <w:sz w:val="21"/>
        </w:rPr>
        <w:t> </w:t>
      </w:r>
      <w:r>
        <w:rPr>
          <w:color w:val="030303"/>
          <w:w w:val="109"/>
          <w:sz w:val="19"/>
        </w:rPr>
        <w:t>leave</w:t>
      </w:r>
      <w:r>
        <w:rPr>
          <w:color w:val="030303"/>
          <w:spacing w:val="14"/>
          <w:sz w:val="19"/>
        </w:rPr>
        <w:t> </w:t>
      </w:r>
      <w:r>
        <w:rPr>
          <w:color w:val="030303"/>
          <w:w w:val="114"/>
          <w:sz w:val="19"/>
        </w:rPr>
        <w:t>the</w:t>
      </w:r>
      <w:r>
        <w:rPr>
          <w:color w:val="030303"/>
          <w:spacing w:val="19"/>
          <w:sz w:val="19"/>
        </w:rPr>
        <w:t> </w:t>
      </w:r>
      <w:r>
        <w:rPr>
          <w:color w:val="030303"/>
          <w:w w:val="107"/>
          <w:sz w:val="19"/>
        </w:rPr>
        <w:t>body</w:t>
      </w:r>
      <w:r>
        <w:rPr>
          <w:color w:val="030303"/>
          <w:sz w:val="19"/>
        </w:rPr>
        <w:t> </w:t>
      </w:r>
      <w:r>
        <w:rPr>
          <w:color w:val="030303"/>
          <w:spacing w:val="-21"/>
          <w:sz w:val="19"/>
        </w:rPr>
        <w:t> </w:t>
      </w:r>
      <w:r>
        <w:rPr>
          <w:color w:val="030303"/>
          <w:w w:val="89"/>
          <w:sz w:val="19"/>
        </w:rPr>
        <w:t>of</w:t>
      </w:r>
      <w:r>
        <w:rPr>
          <w:color w:val="030303"/>
          <w:sz w:val="19"/>
        </w:rPr>
        <w:t> </w:t>
      </w:r>
      <w:r>
        <w:rPr>
          <w:color w:val="030303"/>
          <w:spacing w:val="-19"/>
          <w:sz w:val="19"/>
        </w:rPr>
        <w:t> </w:t>
      </w:r>
      <w:r>
        <w:rPr>
          <w:color w:val="030303"/>
          <w:w w:val="106"/>
          <w:sz w:val="19"/>
        </w:rPr>
        <w:t>lives</w:t>
      </w:r>
      <w:r>
        <w:rPr>
          <w:color w:val="030303"/>
          <w:spacing w:val="10"/>
          <w:sz w:val="19"/>
        </w:rPr>
        <w:t> </w:t>
      </w:r>
      <w:r>
        <w:rPr>
          <w:color w:val="030303"/>
          <w:w w:val="108"/>
          <w:sz w:val="19"/>
        </w:rPr>
        <w:t>within</w:t>
      </w:r>
    </w:p>
    <w:p>
      <w:pPr>
        <w:spacing w:before="106"/>
        <w:ind w:left="74" w:right="90" w:firstLine="0"/>
        <w:jc w:val="center"/>
        <w:rPr>
          <w:rFonts w:ascii="Arial"/>
          <w:sz w:val="16"/>
        </w:rPr>
      </w:pPr>
      <w:r>
        <w:rPr>
          <w:rFonts w:ascii="Arial"/>
          <w:color w:val="030303"/>
          <w:sz w:val="16"/>
        </w:rPr>
        <w:t>271</w:t>
      </w:r>
    </w:p>
    <w:p>
      <w:pPr>
        <w:spacing w:after="0"/>
        <w:jc w:val="center"/>
        <w:rPr>
          <w:rFonts w:ascii="Arial"/>
          <w:sz w:val="16"/>
        </w:rPr>
        <w:sectPr>
          <w:pgSz w:w="7200" w:h="11340"/>
          <w:pgMar w:top="1060" w:bottom="280" w:left="680" w:right="540"/>
        </w:sectPr>
      </w:pPr>
    </w:p>
    <w:p>
      <w:pPr>
        <w:tabs>
          <w:tab w:pos="1721" w:val="left" w:leader="none"/>
          <w:tab w:pos="5274" w:val="left" w:leader="none"/>
        </w:tabs>
        <w:spacing w:before="65"/>
        <w:ind w:left="155" w:right="0" w:firstLine="0"/>
        <w:jc w:val="left"/>
        <w:rPr>
          <w:sz w:val="20"/>
        </w:rPr>
      </w:pPr>
      <w:r>
        <w:rPr>
          <w:w w:val="105"/>
          <w:position w:val="1"/>
          <w:sz w:val="20"/>
        </w:rPr>
        <w:t>272</w:t>
        <w:tab/>
      </w:r>
      <w:r>
        <w:rPr>
          <w:w w:val="105"/>
          <w:position w:val="1"/>
          <w:sz w:val="15"/>
        </w:rPr>
        <w:t>MULTIPLE-DECREMENT  </w:t>
      </w:r>
      <w:r>
        <w:rPr>
          <w:spacing w:val="37"/>
          <w:w w:val="105"/>
          <w:position w:val="1"/>
          <w:sz w:val="15"/>
        </w:rPr>
        <w:t> </w:t>
      </w:r>
      <w:r>
        <w:rPr>
          <w:b/>
          <w:w w:val="105"/>
          <w:position w:val="1"/>
          <w:sz w:val="15"/>
        </w:rPr>
        <w:t>TABLES</w:t>
        <w:tab/>
      </w:r>
      <w:r>
        <w:rPr>
          <w:sz w:val="21"/>
        </w:rPr>
        <w:t>[CH.</w:t>
      </w:r>
      <w:r>
        <w:rPr>
          <w:spacing w:val="4"/>
          <w:sz w:val="21"/>
        </w:rPr>
        <w:t> </w:t>
      </w:r>
      <w:r>
        <w:rPr>
          <w:spacing w:val="-22"/>
          <w:sz w:val="20"/>
        </w:rPr>
        <w:t>14</w:t>
      </w:r>
    </w:p>
    <w:p>
      <w:pPr>
        <w:pStyle w:val="BodyText"/>
        <w:spacing w:before="8"/>
        <w:rPr>
          <w:sz w:val="19"/>
        </w:rPr>
      </w:pPr>
    </w:p>
    <w:p>
      <w:pPr>
        <w:spacing w:before="0"/>
        <w:ind w:left="155" w:right="0" w:firstLine="0"/>
        <w:jc w:val="left"/>
        <w:rPr>
          <w:rFonts w:ascii="Arial"/>
          <w:sz w:val="19"/>
        </w:rPr>
      </w:pPr>
      <w:r>
        <w:rPr>
          <w:w w:val="105"/>
          <w:sz w:val="21"/>
        </w:rPr>
        <w:t>one year as a result of cause  </w:t>
      </w:r>
      <w:r>
        <w:rPr>
          <w:rFonts w:ascii="Arial"/>
          <w:i/>
          <w:w w:val="105"/>
          <w:sz w:val="19"/>
        </w:rPr>
        <w:t>(k) </w:t>
      </w:r>
      <w:r>
        <w:rPr>
          <w:rFonts w:ascii="Arial"/>
          <w:w w:val="120"/>
          <w:sz w:val="19"/>
        </w:rPr>
        <w:t>:</w:t>
      </w:r>
    </w:p>
    <w:p>
      <w:pPr>
        <w:tabs>
          <w:tab w:pos="531" w:val="left" w:leader="none"/>
        </w:tabs>
        <w:spacing w:line="94" w:lineRule="exact" w:before="179"/>
        <w:ind w:left="30" w:right="0" w:firstLine="0"/>
        <w:jc w:val="center"/>
        <w:rPr>
          <w:b/>
          <w:sz w:val="11"/>
        </w:rPr>
      </w:pPr>
      <w:r>
        <w:rPr>
          <w:b/>
          <w:sz w:val="11"/>
        </w:rPr>
        <w:t>(A:)</w:t>
        <w:tab/>
        <w:t>d!A:)</w:t>
      </w:r>
    </w:p>
    <w:p>
      <w:pPr>
        <w:tabs>
          <w:tab w:pos="2898" w:val="left" w:leader="none"/>
          <w:tab w:pos="5371" w:val="left" w:leader="none"/>
        </w:tabs>
        <w:spacing w:line="244" w:lineRule="exact" w:before="0"/>
        <w:ind w:left="2524" w:right="0" w:firstLine="0"/>
        <w:jc w:val="left"/>
        <w:rPr>
          <w:b/>
          <w:sz w:val="21"/>
        </w:rPr>
      </w:pPr>
      <w:r>
        <w:rPr/>
        <w:pict>
          <v:rect style="position:absolute;margin-left:189pt;margin-top:9.596717pt;width:13.32pt;height:7.56pt;mso-position-horizontal-relative:page;mso-position-vertical-relative:paragraph;z-index:-714376" filled="true" fillcolor="#000000" stroked="false">
            <v:fill type="solid"/>
            <w10:wrap type="none"/>
          </v:rect>
        </w:pict>
      </w:r>
      <w:r>
        <w:rPr>
          <w:rFonts w:ascii="Arial"/>
          <w:b/>
          <w:i/>
          <w:w w:val="52"/>
          <w:sz w:val="19"/>
        </w:rPr>
        <w:t>q:,;</w:t>
      </w:r>
      <w:r>
        <w:rPr>
          <w:rFonts w:ascii="Arial"/>
          <w:b/>
          <w:i/>
          <w:sz w:val="19"/>
        </w:rPr>
        <w:tab/>
      </w:r>
      <w:r>
        <w:rPr>
          <w:w w:val="103"/>
          <w:sz w:val="24"/>
        </w:rPr>
        <w:t>=</w:t>
      </w:r>
      <w:r>
        <w:rPr>
          <w:sz w:val="24"/>
        </w:rPr>
        <w:t> </w:t>
      </w:r>
      <w:r>
        <w:rPr>
          <w:spacing w:val="-20"/>
          <w:sz w:val="24"/>
        </w:rPr>
        <w:t> </w:t>
      </w:r>
      <w:r>
        <w:rPr>
          <w:b/>
          <w:spacing w:val="-9"/>
          <w:w w:val="93"/>
          <w:sz w:val="24"/>
        </w:rPr>
        <w:t>l</w:t>
      </w:r>
      <w:r>
        <w:rPr>
          <w:b/>
          <w:spacing w:val="-52"/>
          <w:w w:val="172"/>
          <w:sz w:val="24"/>
        </w:rPr>
        <w:t>!</w:t>
      </w:r>
      <w:r>
        <w:rPr>
          <w:b/>
          <w:w w:val="66"/>
          <w:sz w:val="24"/>
        </w:rPr>
        <w:t>"</w:t>
      </w:r>
      <w:r>
        <w:rPr>
          <w:b/>
          <w:w w:val="66"/>
          <w:sz w:val="24"/>
        </w:rPr>
        <w:t>)</w:t>
      </w:r>
      <w:r>
        <w:rPr>
          <w:b/>
          <w:spacing w:val="-2"/>
          <w:sz w:val="24"/>
        </w:rPr>
        <w:t> </w:t>
      </w:r>
      <w:r>
        <w:rPr>
          <w:b/>
          <w:w w:val="90"/>
          <w:sz w:val="24"/>
        </w:rPr>
        <w:t>.</w:t>
      </w:r>
      <w:r>
        <w:rPr>
          <w:b/>
          <w:sz w:val="24"/>
        </w:rPr>
        <w:tab/>
      </w:r>
      <w:r>
        <w:rPr>
          <w:b/>
          <w:w w:val="100"/>
          <w:sz w:val="21"/>
        </w:rPr>
        <w:t>(14.3)</w:t>
      </w:r>
    </w:p>
    <w:p>
      <w:pPr>
        <w:spacing w:line="225" w:lineRule="auto" w:before="134"/>
        <w:ind w:left="148" w:right="0" w:firstLine="201"/>
        <w:jc w:val="left"/>
        <w:rPr>
          <w:sz w:val="21"/>
        </w:rPr>
      </w:pPr>
      <w:r>
        <w:rPr>
          <w:i/>
          <w:w w:val="94"/>
          <w:sz w:val="31"/>
        </w:rPr>
        <w:t>q!</w:t>
      </w:r>
      <w:r>
        <w:rPr>
          <w:rFonts w:ascii="Arial"/>
          <w:w w:val="94"/>
          <w:sz w:val="10"/>
        </w:rPr>
        <w:t>2') </w:t>
      </w:r>
      <w:r>
        <w:rPr>
          <w:rFonts w:ascii="Arial"/>
          <w:w w:val="107"/>
          <w:sz w:val="19"/>
        </w:rPr>
        <w:t>is </w:t>
      </w:r>
      <w:r>
        <w:rPr>
          <w:w w:val="109"/>
          <w:sz w:val="21"/>
        </w:rPr>
        <w:t>the </w:t>
      </w:r>
      <w:r>
        <w:rPr>
          <w:w w:val="100"/>
          <w:sz w:val="21"/>
        </w:rPr>
        <w:t>probability </w:t>
      </w:r>
      <w:r>
        <w:rPr>
          <w:w w:val="112"/>
          <w:sz w:val="21"/>
        </w:rPr>
        <w:t>that </w:t>
      </w:r>
      <w:r>
        <w:rPr>
          <w:rFonts w:ascii="Arial"/>
          <w:i/>
          <w:w w:val="97"/>
          <w:sz w:val="19"/>
        </w:rPr>
        <w:t>(x) </w:t>
      </w:r>
      <w:r>
        <w:rPr>
          <w:w w:val="92"/>
          <w:sz w:val="21"/>
        </w:rPr>
        <w:t>will </w:t>
      </w:r>
      <w:r>
        <w:rPr>
          <w:w w:val="99"/>
          <w:sz w:val="21"/>
        </w:rPr>
        <w:t>leave </w:t>
      </w:r>
      <w:r>
        <w:rPr>
          <w:w w:val="106"/>
          <w:sz w:val="21"/>
        </w:rPr>
        <w:t>the </w:t>
      </w:r>
      <w:r>
        <w:rPr>
          <w:w w:val="99"/>
          <w:sz w:val="21"/>
        </w:rPr>
        <w:t>body </w:t>
      </w:r>
      <w:r>
        <w:rPr>
          <w:rFonts w:ascii="Arial"/>
          <w:w w:val="58"/>
          <w:sz w:val="32"/>
        </w:rPr>
        <w:t>of </w:t>
      </w:r>
      <w:r>
        <w:rPr>
          <w:w w:val="99"/>
          <w:sz w:val="21"/>
        </w:rPr>
        <w:t>lives </w:t>
      </w:r>
      <w:r>
        <w:rPr>
          <w:w w:val="100"/>
          <w:sz w:val="21"/>
        </w:rPr>
        <w:t>within </w:t>
      </w:r>
      <w:r>
        <w:rPr>
          <w:sz w:val="21"/>
        </w:rPr>
        <w:t>one year regardless of  cause:</w:t>
      </w:r>
    </w:p>
    <w:p>
      <w:pPr>
        <w:pStyle w:val="BodyText"/>
        <w:spacing w:before="105"/>
        <w:ind w:left="2052"/>
        <w:rPr>
          <w:sz w:val="21"/>
        </w:rPr>
      </w:pPr>
      <w:r>
        <w:rPr>
          <w:position w:val="-18"/>
        </w:rPr>
        <w:drawing>
          <wp:inline distT="0" distB="0" distL="0" distR="0">
            <wp:extent cx="1216152" cy="329184"/>
            <wp:effectExtent l="0" t="0" r="0" b="0"/>
            <wp:docPr id="649" name="image330.png" descr=""/>
            <wp:cNvGraphicFramePr>
              <a:graphicFrameLocks noChangeAspect="1"/>
            </wp:cNvGraphicFramePr>
            <a:graphic>
              <a:graphicData uri="http://schemas.openxmlformats.org/drawingml/2006/picture">
                <pic:pic>
                  <pic:nvPicPr>
                    <pic:cNvPr id="650" name="image330.png"/>
                    <pic:cNvPicPr/>
                  </pic:nvPicPr>
                  <pic:blipFill>
                    <a:blip r:embed="rId334" cstate="print"/>
                    <a:stretch>
                      <a:fillRect/>
                    </a:stretch>
                  </pic:blipFill>
                  <pic:spPr>
                    <a:xfrm>
                      <a:off x="0" y="0"/>
                      <a:ext cx="1216152" cy="329184"/>
                    </a:xfrm>
                    <a:prstGeom prst="rect">
                      <a:avLst/>
                    </a:prstGeom>
                  </pic:spPr>
                </pic:pic>
              </a:graphicData>
            </a:graphic>
          </wp:inline>
        </w:drawing>
      </w:r>
      <w:r>
        <w:rPr>
          <w:position w:val="-18"/>
        </w:rPr>
      </w:r>
      <w:r>
        <w:rPr/>
        <w:t>                           </w:t>
      </w:r>
      <w:r>
        <w:rPr>
          <w:spacing w:val="-6"/>
          <w:w w:val="110"/>
          <w:sz w:val="21"/>
        </w:rPr>
        <w:t>(14.4)</w:t>
      </w:r>
    </w:p>
    <w:p>
      <w:pPr>
        <w:spacing w:before="231"/>
        <w:ind w:left="293" w:right="276" w:firstLine="0"/>
        <w:jc w:val="center"/>
        <w:rPr>
          <w:sz w:val="18"/>
        </w:rPr>
      </w:pPr>
      <w:r>
        <w:rPr>
          <w:w w:val="110"/>
          <w:sz w:val="18"/>
        </w:rPr>
        <w:t>TABLE 8</w:t>
      </w:r>
    </w:p>
    <w:p>
      <w:pPr>
        <w:spacing w:before="28" w:after="53"/>
        <w:ind w:left="293" w:right="220" w:firstLine="0"/>
        <w:jc w:val="center"/>
        <w:rPr>
          <w:sz w:val="13"/>
        </w:rPr>
      </w:pPr>
      <w:r>
        <w:rPr>
          <w:w w:val="120"/>
          <w:sz w:val="13"/>
        </w:rPr>
        <w:t>EC'nON  </w:t>
      </w:r>
      <w:r>
        <w:rPr>
          <w:rFonts w:ascii="Arial"/>
          <w:b/>
          <w:w w:val="120"/>
          <w:sz w:val="12"/>
        </w:rPr>
        <w:t>01' DOUBLE-DECREMENT </w:t>
      </w:r>
      <w:r>
        <w:rPr>
          <w:w w:val="120"/>
          <w:sz w:val="19"/>
        </w:rPr>
        <w:t>T</w:t>
      </w:r>
      <w:r>
        <w:rPr>
          <w:w w:val="120"/>
          <w:sz w:val="13"/>
        </w:rPr>
        <w:t>.ABLE</w:t>
      </w:r>
    </w:p>
    <w:tbl>
      <w:tblPr>
        <w:tblW w:w="0" w:type="auto"/>
        <w:jc w:val="left"/>
        <w:tblInd w:w="117"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top w:w="0" w:type="dxa"/>
          <w:left w:w="0" w:type="dxa"/>
          <w:bottom w:w="0" w:type="dxa"/>
          <w:right w:w="0" w:type="dxa"/>
        </w:tblCellMar>
        <w:tblLook w:val="01E0"/>
      </w:tblPr>
      <w:tblGrid>
        <w:gridCol w:w="1336"/>
        <w:gridCol w:w="1715"/>
        <w:gridCol w:w="1233"/>
        <w:gridCol w:w="1447"/>
      </w:tblGrid>
      <w:tr>
        <w:trPr>
          <w:trHeight w:val="479" w:hRule="exact"/>
        </w:trPr>
        <w:tc>
          <w:tcPr>
            <w:tcW w:w="1336" w:type="dxa"/>
            <w:tcBorders>
              <w:left w:val="nil"/>
            </w:tcBorders>
          </w:tcPr>
          <w:p>
            <w:pPr>
              <w:pStyle w:val="TableParagraph"/>
              <w:spacing w:before="134"/>
              <w:ind w:left="477" w:right="441"/>
              <w:jc w:val="center"/>
              <w:rPr>
                <w:rFonts w:ascii="Arial"/>
                <w:sz w:val="13"/>
              </w:rPr>
            </w:pPr>
            <w:r>
              <w:rPr>
                <w:rFonts w:ascii="Arial"/>
                <w:b/>
                <w:sz w:val="16"/>
              </w:rPr>
              <w:t>Afe </w:t>
            </w:r>
            <w:r>
              <w:rPr>
                <w:rFonts w:ascii="Arial"/>
                <w:sz w:val="13"/>
              </w:rPr>
              <w:t>s</w:t>
            </w:r>
          </w:p>
        </w:tc>
        <w:tc>
          <w:tcPr>
            <w:tcW w:w="1715" w:type="dxa"/>
          </w:tcPr>
          <w:p>
            <w:pPr>
              <w:pStyle w:val="TableParagraph"/>
              <w:spacing w:before="89"/>
              <w:ind w:left="469" w:right="478"/>
              <w:jc w:val="center"/>
              <w:rPr>
                <w:rFonts w:ascii="Times New Roman"/>
                <w:b/>
                <w:sz w:val="17"/>
              </w:rPr>
            </w:pPr>
            <w:r>
              <w:rPr>
                <w:rFonts w:ascii="Times New Roman"/>
                <w:b/>
                <w:w w:val="90"/>
                <w:sz w:val="17"/>
              </w:rPr>
              <w:t>li,11</w:t>
            </w:r>
          </w:p>
        </w:tc>
        <w:tc>
          <w:tcPr>
            <w:tcW w:w="1233" w:type="dxa"/>
          </w:tcPr>
          <w:p>
            <w:pPr>
              <w:pStyle w:val="TableParagraph"/>
              <w:spacing w:before="107"/>
              <w:ind w:left="450" w:right="449"/>
              <w:jc w:val="center"/>
              <w:rPr>
                <w:rFonts w:ascii="Arial"/>
                <w:b/>
                <w:sz w:val="20"/>
              </w:rPr>
            </w:pPr>
            <w:r>
              <w:rPr>
                <w:rFonts w:ascii="Arial"/>
                <w:b/>
                <w:w w:val="95"/>
                <w:sz w:val="20"/>
              </w:rPr>
              <w:t>4&gt;</w:t>
            </w:r>
          </w:p>
        </w:tc>
        <w:tc>
          <w:tcPr>
            <w:tcW w:w="1447" w:type="dxa"/>
            <w:tcBorders>
              <w:right w:val="nil"/>
            </w:tcBorders>
          </w:tcPr>
          <w:p>
            <w:pPr>
              <w:pStyle w:val="TableParagraph"/>
              <w:spacing w:before="104"/>
              <w:ind w:left="381" w:right="349"/>
              <w:jc w:val="center"/>
              <w:rPr>
                <w:rFonts w:ascii="Arial"/>
                <w:sz w:val="20"/>
              </w:rPr>
            </w:pPr>
            <w:r>
              <w:rPr>
                <w:rFonts w:ascii="Arial"/>
                <w:w w:val="140"/>
                <w:sz w:val="20"/>
              </w:rPr>
              <w:t>4'</w:t>
            </w:r>
          </w:p>
        </w:tc>
      </w:tr>
      <w:tr>
        <w:trPr>
          <w:trHeight w:val="310" w:hRule="exact"/>
        </w:trPr>
        <w:tc>
          <w:tcPr>
            <w:tcW w:w="1336" w:type="dxa"/>
            <w:tcBorders>
              <w:left w:val="nil"/>
              <w:bottom w:val="nil"/>
            </w:tcBorders>
          </w:tcPr>
          <w:p>
            <w:pPr>
              <w:pStyle w:val="TableParagraph"/>
              <w:spacing w:before="84"/>
              <w:ind w:left="455" w:right="441"/>
              <w:jc w:val="center"/>
              <w:rPr>
                <w:rFonts w:ascii="Times New Roman"/>
                <w:sz w:val="18"/>
              </w:rPr>
            </w:pPr>
            <w:r>
              <w:rPr>
                <w:rFonts w:ascii="Times New Roman"/>
                <w:sz w:val="18"/>
              </w:rPr>
              <w:t>24</w:t>
            </w:r>
          </w:p>
        </w:tc>
        <w:tc>
          <w:tcPr>
            <w:tcW w:w="1715" w:type="dxa"/>
            <w:tcBorders>
              <w:bottom w:val="nil"/>
            </w:tcBorders>
          </w:tcPr>
          <w:p>
            <w:pPr>
              <w:pStyle w:val="TableParagraph"/>
              <w:spacing w:before="102"/>
              <w:ind w:left="495" w:right="476"/>
              <w:jc w:val="center"/>
              <w:rPr>
                <w:b/>
                <w:sz w:val="18"/>
              </w:rPr>
            </w:pPr>
            <w:r>
              <w:rPr>
                <w:b/>
                <w:w w:val="90"/>
                <w:sz w:val="18"/>
              </w:rPr>
              <w:t>901,020</w:t>
            </w:r>
          </w:p>
        </w:tc>
        <w:tc>
          <w:tcPr>
            <w:tcW w:w="1233" w:type="dxa"/>
            <w:tcBorders>
              <w:bottom w:val="nil"/>
            </w:tcBorders>
          </w:tcPr>
          <w:p>
            <w:pPr>
              <w:pStyle w:val="TableParagraph"/>
              <w:spacing w:before="87"/>
              <w:ind w:left="451" w:right="444"/>
              <w:jc w:val="center"/>
              <w:rPr>
                <w:rFonts w:ascii="Times New Roman"/>
                <w:b/>
                <w:sz w:val="18"/>
              </w:rPr>
            </w:pPr>
            <w:r>
              <w:rPr>
                <w:rFonts w:ascii="Times New Roman"/>
                <w:b/>
                <w:sz w:val="18"/>
              </w:rPr>
              <w:t>299</w:t>
            </w:r>
          </w:p>
        </w:tc>
        <w:tc>
          <w:tcPr>
            <w:tcW w:w="1447" w:type="dxa"/>
            <w:tcBorders>
              <w:bottom w:val="nil"/>
              <w:right w:val="nil"/>
            </w:tcBorders>
          </w:tcPr>
          <w:p>
            <w:pPr>
              <w:pStyle w:val="TableParagraph"/>
              <w:spacing w:before="102"/>
              <w:ind w:left="400" w:right="349"/>
              <w:jc w:val="center"/>
              <w:rPr>
                <w:b/>
                <w:sz w:val="18"/>
              </w:rPr>
            </w:pPr>
            <w:r>
              <w:rPr>
                <w:b/>
                <w:sz w:val="18"/>
              </w:rPr>
              <w:t>92,762</w:t>
            </w:r>
          </w:p>
        </w:tc>
      </w:tr>
      <w:tr>
        <w:trPr>
          <w:trHeight w:val="205" w:hRule="exact"/>
        </w:trPr>
        <w:tc>
          <w:tcPr>
            <w:tcW w:w="1336" w:type="dxa"/>
            <w:tcBorders>
              <w:top w:val="nil"/>
              <w:left w:val="nil"/>
              <w:bottom w:val="nil"/>
            </w:tcBorders>
          </w:tcPr>
          <w:p>
            <w:pPr>
              <w:pStyle w:val="TableParagraph"/>
              <w:spacing w:line="190" w:lineRule="exact"/>
              <w:ind w:left="461" w:right="441"/>
              <w:jc w:val="center"/>
              <w:rPr>
                <w:rFonts w:ascii="Times New Roman"/>
                <w:sz w:val="17"/>
              </w:rPr>
            </w:pPr>
            <w:r>
              <w:rPr>
                <w:rFonts w:ascii="Times New Roman"/>
                <w:sz w:val="17"/>
              </w:rPr>
              <w:t>25</w:t>
            </w:r>
          </w:p>
        </w:tc>
        <w:tc>
          <w:tcPr>
            <w:tcW w:w="1715" w:type="dxa"/>
            <w:tcBorders>
              <w:top w:val="nil"/>
              <w:bottom w:val="nil"/>
            </w:tcBorders>
          </w:tcPr>
          <w:p>
            <w:pPr>
              <w:pStyle w:val="TableParagraph"/>
              <w:spacing w:line="185" w:lineRule="exact"/>
              <w:ind w:left="478" w:right="478"/>
              <w:jc w:val="center"/>
              <w:rPr>
                <w:rFonts w:ascii="Times New Roman"/>
                <w:b/>
                <w:sz w:val="18"/>
              </w:rPr>
            </w:pPr>
            <w:r>
              <w:rPr>
                <w:rFonts w:ascii="Times New Roman"/>
                <w:b/>
                <w:i/>
                <w:w w:val="85"/>
                <w:sz w:val="14"/>
              </w:rPr>
              <w:t>f!I.Yl </w:t>
            </w:r>
            <w:r>
              <w:rPr>
                <w:rFonts w:ascii="Times New Roman"/>
                <w:b/>
                <w:w w:val="85"/>
                <w:sz w:val="18"/>
              </w:rPr>
              <w:t>,959</w:t>
            </w:r>
          </w:p>
        </w:tc>
        <w:tc>
          <w:tcPr>
            <w:tcW w:w="1233" w:type="dxa"/>
            <w:tcBorders>
              <w:top w:val="nil"/>
              <w:bottom w:val="nil"/>
            </w:tcBorders>
          </w:tcPr>
          <w:p>
            <w:pPr>
              <w:pStyle w:val="TableParagraph"/>
              <w:spacing w:line="192" w:lineRule="exact"/>
              <w:ind w:left="449" w:right="449"/>
              <w:jc w:val="center"/>
              <w:rPr>
                <w:rFonts w:ascii="Times New Roman"/>
                <w:b/>
                <w:sz w:val="18"/>
              </w:rPr>
            </w:pPr>
            <w:r>
              <w:rPr>
                <w:rFonts w:ascii="Times New Roman"/>
                <w:b/>
                <w:sz w:val="18"/>
              </w:rPr>
              <w:t>314</w:t>
            </w:r>
          </w:p>
        </w:tc>
        <w:tc>
          <w:tcPr>
            <w:tcW w:w="1447" w:type="dxa"/>
            <w:tcBorders>
              <w:top w:val="nil"/>
              <w:bottom w:val="nil"/>
              <w:right w:val="nil"/>
            </w:tcBorders>
          </w:tcPr>
          <w:p>
            <w:pPr>
              <w:pStyle w:val="TableParagraph"/>
              <w:spacing w:before="3"/>
              <w:ind w:left="396" w:right="349"/>
              <w:jc w:val="center"/>
              <w:rPr>
                <w:b/>
                <w:sz w:val="18"/>
              </w:rPr>
            </w:pPr>
            <w:r>
              <w:rPr>
                <w:b/>
                <w:w w:val="95"/>
                <w:sz w:val="18"/>
              </w:rPr>
              <w:t>86,632</w:t>
            </w:r>
          </w:p>
        </w:tc>
      </w:tr>
      <w:tr>
        <w:trPr>
          <w:trHeight w:val="200" w:hRule="exact"/>
        </w:trPr>
        <w:tc>
          <w:tcPr>
            <w:tcW w:w="1336" w:type="dxa"/>
            <w:tcBorders>
              <w:top w:val="nil"/>
              <w:left w:val="nil"/>
              <w:bottom w:val="nil"/>
            </w:tcBorders>
          </w:tcPr>
          <w:p>
            <w:pPr>
              <w:pStyle w:val="TableParagraph"/>
              <w:ind w:left="456" w:right="441"/>
              <w:jc w:val="center"/>
              <w:rPr>
                <w:rFonts w:ascii="Times New Roman"/>
                <w:b/>
                <w:sz w:val="16"/>
              </w:rPr>
            </w:pPr>
            <w:r>
              <w:rPr>
                <w:rFonts w:ascii="Times New Roman"/>
                <w:b/>
                <w:w w:val="105"/>
                <w:sz w:val="16"/>
              </w:rPr>
              <w:t>26</w:t>
            </w:r>
          </w:p>
        </w:tc>
        <w:tc>
          <w:tcPr>
            <w:tcW w:w="1715" w:type="dxa"/>
            <w:tcBorders>
              <w:top w:val="nil"/>
              <w:bottom w:val="nil"/>
            </w:tcBorders>
          </w:tcPr>
          <w:p>
            <w:pPr>
              <w:pStyle w:val="TableParagraph"/>
              <w:spacing w:line="203" w:lineRule="exact"/>
              <w:ind w:left="492" w:right="478"/>
              <w:jc w:val="center"/>
              <w:rPr>
                <w:b/>
                <w:sz w:val="18"/>
              </w:rPr>
            </w:pPr>
            <w:r>
              <w:rPr>
                <w:b/>
                <w:w w:val="90"/>
                <w:sz w:val="18"/>
              </w:rPr>
              <w:t>721,013</w:t>
            </w:r>
          </w:p>
        </w:tc>
        <w:tc>
          <w:tcPr>
            <w:tcW w:w="1233" w:type="dxa"/>
            <w:tcBorders>
              <w:top w:val="nil"/>
              <w:bottom w:val="nil"/>
            </w:tcBorders>
          </w:tcPr>
          <w:p>
            <w:pPr>
              <w:pStyle w:val="TableParagraph"/>
              <w:spacing w:line="192" w:lineRule="exact"/>
              <w:ind w:left="447" w:right="449"/>
              <w:jc w:val="center"/>
              <w:rPr>
                <w:rFonts w:ascii="Times New Roman"/>
                <w:sz w:val="18"/>
              </w:rPr>
            </w:pPr>
            <w:r>
              <w:rPr>
                <w:rFonts w:ascii="Times New Roman"/>
                <w:sz w:val="18"/>
              </w:rPr>
              <w:t>324</w:t>
            </w:r>
          </w:p>
        </w:tc>
        <w:tc>
          <w:tcPr>
            <w:tcW w:w="1447" w:type="dxa"/>
            <w:tcBorders>
              <w:top w:val="nil"/>
              <w:bottom w:val="nil"/>
              <w:right w:val="nil"/>
            </w:tcBorders>
          </w:tcPr>
          <w:p>
            <w:pPr>
              <w:pStyle w:val="TableParagraph"/>
              <w:spacing w:line="188" w:lineRule="exact"/>
              <w:ind w:left="373" w:right="349"/>
              <w:jc w:val="center"/>
              <w:rPr>
                <w:rFonts w:ascii="Times New Roman"/>
                <w:b/>
                <w:sz w:val="18"/>
              </w:rPr>
            </w:pPr>
            <w:r>
              <w:rPr>
                <w:rFonts w:ascii="Times New Roman"/>
                <w:b/>
                <w:sz w:val="18"/>
              </w:rPr>
              <w:t>80,385</w:t>
            </w:r>
          </w:p>
        </w:tc>
      </w:tr>
      <w:tr>
        <w:trPr>
          <w:trHeight w:val="199" w:hRule="exact"/>
        </w:trPr>
        <w:tc>
          <w:tcPr>
            <w:tcW w:w="1336" w:type="dxa"/>
            <w:tcBorders>
              <w:top w:val="nil"/>
              <w:left w:val="nil"/>
              <w:bottom w:val="nil"/>
            </w:tcBorders>
          </w:tcPr>
          <w:p>
            <w:pPr>
              <w:pStyle w:val="TableParagraph"/>
              <w:spacing w:line="187" w:lineRule="exact"/>
              <w:ind w:left="437" w:right="441"/>
              <w:jc w:val="center"/>
              <w:rPr>
                <w:rFonts w:ascii="Arial"/>
                <w:i/>
                <w:sz w:val="17"/>
              </w:rPr>
            </w:pPr>
            <w:r>
              <w:rPr>
                <w:rFonts w:ascii="Arial"/>
                <w:i/>
                <w:w w:val="90"/>
                <w:sz w:val="17"/>
              </w:rPr>
              <w:t>'rT</w:t>
            </w:r>
          </w:p>
        </w:tc>
        <w:tc>
          <w:tcPr>
            <w:tcW w:w="1715" w:type="dxa"/>
            <w:tcBorders>
              <w:top w:val="nil"/>
              <w:bottom w:val="nil"/>
            </w:tcBorders>
          </w:tcPr>
          <w:p>
            <w:pPr>
              <w:pStyle w:val="TableParagraph"/>
              <w:spacing w:line="190" w:lineRule="exact"/>
              <w:ind w:left="470" w:right="478"/>
              <w:jc w:val="center"/>
              <w:rPr>
                <w:rFonts w:ascii="Times New Roman"/>
                <w:b/>
                <w:sz w:val="18"/>
              </w:rPr>
            </w:pPr>
            <w:r>
              <w:rPr>
                <w:rFonts w:ascii="Times New Roman"/>
                <w:b/>
                <w:sz w:val="18"/>
              </w:rPr>
              <w:t>640,304</w:t>
            </w:r>
          </w:p>
        </w:tc>
        <w:tc>
          <w:tcPr>
            <w:tcW w:w="1233" w:type="dxa"/>
            <w:tcBorders>
              <w:top w:val="nil"/>
              <w:bottom w:val="nil"/>
            </w:tcBorders>
          </w:tcPr>
          <w:p>
            <w:pPr>
              <w:pStyle w:val="TableParagraph"/>
              <w:spacing w:line="194" w:lineRule="exact"/>
              <w:ind w:left="447" w:right="449"/>
              <w:jc w:val="center"/>
              <w:rPr>
                <w:rFonts w:ascii="Times New Roman"/>
                <w:sz w:val="18"/>
              </w:rPr>
            </w:pPr>
            <w:r>
              <w:rPr>
                <w:rFonts w:ascii="Times New Roman"/>
                <w:sz w:val="18"/>
              </w:rPr>
              <w:t>329</w:t>
            </w:r>
          </w:p>
        </w:tc>
        <w:tc>
          <w:tcPr>
            <w:tcW w:w="1447" w:type="dxa"/>
            <w:tcBorders>
              <w:top w:val="nil"/>
              <w:bottom w:val="nil"/>
              <w:right w:val="nil"/>
            </w:tcBorders>
          </w:tcPr>
          <w:p>
            <w:pPr>
              <w:pStyle w:val="TableParagraph"/>
              <w:spacing w:line="186" w:lineRule="exact"/>
              <w:ind w:left="363" w:right="349"/>
              <w:jc w:val="center"/>
              <w:rPr>
                <w:rFonts w:ascii="Times New Roman"/>
                <w:b/>
                <w:sz w:val="18"/>
              </w:rPr>
            </w:pPr>
            <w:r>
              <w:rPr>
                <w:rFonts w:ascii="Times New Roman"/>
                <w:b/>
                <w:sz w:val="18"/>
              </w:rPr>
              <w:t>74,117</w:t>
            </w:r>
          </w:p>
        </w:tc>
      </w:tr>
      <w:tr>
        <w:trPr>
          <w:trHeight w:val="208" w:hRule="exact"/>
        </w:trPr>
        <w:tc>
          <w:tcPr>
            <w:tcW w:w="1336" w:type="dxa"/>
            <w:tcBorders>
              <w:top w:val="nil"/>
              <w:left w:val="nil"/>
              <w:bottom w:val="nil"/>
            </w:tcBorders>
          </w:tcPr>
          <w:p>
            <w:pPr>
              <w:pStyle w:val="TableParagraph"/>
              <w:spacing w:line="193" w:lineRule="exact"/>
              <w:ind w:left="453" w:right="441"/>
              <w:jc w:val="center"/>
              <w:rPr>
                <w:rFonts w:ascii="Times New Roman"/>
                <w:b/>
                <w:sz w:val="18"/>
              </w:rPr>
            </w:pPr>
            <w:r>
              <w:rPr>
                <w:rFonts w:ascii="Times New Roman"/>
                <w:b/>
                <w:sz w:val="18"/>
              </w:rPr>
              <w:t>28</w:t>
            </w:r>
          </w:p>
        </w:tc>
        <w:tc>
          <w:tcPr>
            <w:tcW w:w="1715" w:type="dxa"/>
            <w:tcBorders>
              <w:top w:val="nil"/>
              <w:bottom w:val="nil"/>
              <w:right w:val="single" w:sz="6" w:space="0" w:color="000000"/>
            </w:tcBorders>
          </w:tcPr>
          <w:p>
            <w:pPr>
              <w:pStyle w:val="TableParagraph"/>
              <w:spacing w:line="187" w:lineRule="exact"/>
              <w:ind w:left="545" w:right="546"/>
              <w:jc w:val="center"/>
              <w:rPr>
                <w:rFonts w:ascii="Times New Roman"/>
                <w:b/>
                <w:sz w:val="17"/>
              </w:rPr>
            </w:pPr>
            <w:r>
              <w:rPr>
                <w:rFonts w:ascii="Times New Roman"/>
                <w:b/>
                <w:sz w:val="17"/>
              </w:rPr>
              <w:t>565,858</w:t>
            </w:r>
          </w:p>
        </w:tc>
        <w:tc>
          <w:tcPr>
            <w:tcW w:w="1233" w:type="dxa"/>
            <w:tcBorders>
              <w:top w:val="nil"/>
              <w:left w:val="single" w:sz="6" w:space="0" w:color="000000"/>
              <w:bottom w:val="nil"/>
            </w:tcBorders>
          </w:tcPr>
          <w:p>
            <w:pPr>
              <w:pStyle w:val="TableParagraph"/>
              <w:spacing w:before="7"/>
              <w:ind w:left="450" w:right="449"/>
              <w:jc w:val="center"/>
              <w:rPr>
                <w:b/>
                <w:sz w:val="18"/>
              </w:rPr>
            </w:pPr>
            <w:r>
              <w:rPr>
                <w:b/>
                <w:w w:val="85"/>
                <w:sz w:val="18"/>
              </w:rPr>
              <w:t>329</w:t>
            </w:r>
          </w:p>
        </w:tc>
        <w:tc>
          <w:tcPr>
            <w:tcW w:w="1447" w:type="dxa"/>
            <w:tcBorders>
              <w:top w:val="nil"/>
              <w:bottom w:val="nil"/>
              <w:right w:val="nil"/>
            </w:tcBorders>
          </w:tcPr>
          <w:p>
            <w:pPr>
              <w:pStyle w:val="TableParagraph"/>
              <w:spacing w:line="193" w:lineRule="exact"/>
              <w:ind w:left="366" w:right="349"/>
              <w:jc w:val="center"/>
              <w:rPr>
                <w:rFonts w:ascii="Times New Roman"/>
                <w:b/>
                <w:sz w:val="18"/>
              </w:rPr>
            </w:pPr>
            <w:r>
              <w:rPr>
                <w:rFonts w:ascii="Times New Roman"/>
                <w:b/>
                <w:sz w:val="18"/>
              </w:rPr>
              <w:t>67,909</w:t>
            </w:r>
          </w:p>
        </w:tc>
      </w:tr>
      <w:tr>
        <w:trPr>
          <w:trHeight w:val="308" w:hRule="exact"/>
        </w:trPr>
        <w:tc>
          <w:tcPr>
            <w:tcW w:w="1336" w:type="dxa"/>
            <w:tcBorders>
              <w:top w:val="nil"/>
              <w:left w:val="nil"/>
              <w:bottom w:val="single" w:sz="6" w:space="0" w:color="000000"/>
            </w:tcBorders>
          </w:tcPr>
          <w:p>
            <w:pPr>
              <w:pStyle w:val="TableParagraph"/>
              <w:spacing w:line="202" w:lineRule="exact"/>
              <w:ind w:left="447" w:right="441"/>
              <w:jc w:val="center"/>
              <w:rPr>
                <w:b/>
                <w:sz w:val="18"/>
              </w:rPr>
            </w:pPr>
            <w:r>
              <w:rPr>
                <w:b/>
                <w:w w:val="85"/>
                <w:sz w:val="18"/>
              </w:rPr>
              <w:t>29</w:t>
            </w:r>
          </w:p>
        </w:tc>
        <w:tc>
          <w:tcPr>
            <w:tcW w:w="1715" w:type="dxa"/>
            <w:tcBorders>
              <w:top w:val="nil"/>
              <w:bottom w:val="single" w:sz="6" w:space="0" w:color="000000"/>
              <w:right w:val="single" w:sz="6" w:space="0" w:color="000000"/>
            </w:tcBorders>
          </w:tcPr>
          <w:p>
            <w:pPr>
              <w:pStyle w:val="TableParagraph"/>
              <w:spacing w:line="186" w:lineRule="exact"/>
              <w:ind w:left="546" w:right="546"/>
              <w:jc w:val="center"/>
              <w:rPr>
                <w:rFonts w:ascii="Times New Roman"/>
                <w:b/>
                <w:sz w:val="18"/>
              </w:rPr>
            </w:pPr>
            <w:r>
              <w:rPr>
                <w:rFonts w:ascii="Times New Roman"/>
                <w:b/>
                <w:w w:val="140"/>
                <w:sz w:val="18"/>
              </w:rPr>
              <w:t>497,6</w:t>
            </w:r>
          </w:p>
        </w:tc>
        <w:tc>
          <w:tcPr>
            <w:tcW w:w="1233" w:type="dxa"/>
            <w:tcBorders>
              <w:top w:val="nil"/>
              <w:left w:val="single" w:sz="6" w:space="0" w:color="000000"/>
              <w:bottom w:val="single" w:sz="6" w:space="0" w:color="000000"/>
            </w:tcBorders>
          </w:tcPr>
          <w:p>
            <w:pPr>
              <w:pStyle w:val="TableParagraph"/>
              <w:spacing w:line="186" w:lineRule="exact"/>
              <w:ind w:left="444" w:right="450"/>
              <w:jc w:val="center"/>
              <w:rPr>
                <w:rFonts w:ascii="Times New Roman"/>
                <w:b/>
                <w:sz w:val="18"/>
              </w:rPr>
            </w:pPr>
            <w:r>
              <w:rPr>
                <w:rFonts w:ascii="Times New Roman"/>
                <w:b/>
                <w:sz w:val="18"/>
              </w:rPr>
              <w:t>324</w:t>
            </w:r>
          </w:p>
        </w:tc>
        <w:tc>
          <w:tcPr>
            <w:tcW w:w="1447" w:type="dxa"/>
            <w:tcBorders>
              <w:top w:val="nil"/>
              <w:bottom w:val="single" w:sz="6" w:space="0" w:color="000000"/>
              <w:right w:val="nil"/>
            </w:tcBorders>
          </w:tcPr>
          <w:p>
            <w:pPr>
              <w:pStyle w:val="TableParagraph"/>
              <w:spacing w:line="181" w:lineRule="exact"/>
              <w:ind w:left="363" w:right="349"/>
              <w:jc w:val="center"/>
              <w:rPr>
                <w:rFonts w:ascii="Times New Roman"/>
                <w:b/>
                <w:sz w:val="17"/>
              </w:rPr>
            </w:pPr>
            <w:r>
              <w:rPr>
                <w:rFonts w:ascii="Times New Roman"/>
                <w:b/>
                <w:sz w:val="17"/>
              </w:rPr>
              <w:t>61,839</w:t>
            </w:r>
          </w:p>
        </w:tc>
      </w:tr>
    </w:tbl>
    <w:p>
      <w:pPr>
        <w:pStyle w:val="BodyText"/>
        <w:rPr>
          <w:sz w:val="14"/>
        </w:rPr>
      </w:pPr>
    </w:p>
    <w:p>
      <w:pPr>
        <w:spacing w:before="73"/>
        <w:ind w:left="314" w:right="0" w:firstLine="0"/>
        <w:jc w:val="left"/>
        <w:rPr>
          <w:b/>
          <w:sz w:val="17"/>
        </w:rPr>
      </w:pPr>
      <w:r>
        <w:rPr>
          <w:b/>
          <w:w w:val="110"/>
          <w:sz w:val="20"/>
        </w:rPr>
        <w:t>p!</w:t>
      </w:r>
      <w:r>
        <w:rPr>
          <w:rFonts w:ascii="Arial" w:hAnsi="Arial"/>
          <w:b/>
          <w:w w:val="110"/>
          <w:sz w:val="10"/>
        </w:rPr>
        <w:t>T)     </w:t>
      </w:r>
      <w:r>
        <w:rPr>
          <w:rFonts w:ascii="Arial" w:hAnsi="Arial"/>
          <w:sz w:val="19"/>
        </w:rPr>
        <w:t>is </w:t>
      </w:r>
      <w:r>
        <w:rPr>
          <w:b/>
          <w:sz w:val="20"/>
        </w:rPr>
        <w:t>the probability  that  </w:t>
      </w:r>
      <w:r>
        <w:rPr>
          <w:b/>
          <w:i/>
          <w:sz w:val="21"/>
        </w:rPr>
        <w:t>(X )  </w:t>
      </w:r>
      <w:r>
        <w:rPr>
          <w:b/>
          <w:sz w:val="15"/>
        </w:rPr>
        <w:t>Will  </w:t>
      </w:r>
      <w:r>
        <w:rPr>
          <w:b/>
          <w:sz w:val="20"/>
        </w:rPr>
        <w:t>rema.in  in the body  </w:t>
      </w:r>
      <w:r>
        <w:rPr>
          <w:b/>
          <w:sz w:val="15"/>
        </w:rPr>
        <w:t>OÍ </w:t>
      </w:r>
      <w:r>
        <w:rPr>
          <w:b/>
          <w:sz w:val="17"/>
        </w:rPr>
        <w:t>}iyeg</w:t>
      </w:r>
    </w:p>
    <w:p>
      <w:pPr>
        <w:spacing w:before="7"/>
        <w:ind w:left="123" w:right="0" w:firstLine="0"/>
        <w:jc w:val="left"/>
        <w:rPr>
          <w:sz w:val="21"/>
        </w:rPr>
      </w:pPr>
      <w:r>
        <w:rPr>
          <w:w w:val="110"/>
          <w:sz w:val="21"/>
        </w:rPr>
        <w:t>for at least one year:</w:t>
      </w:r>
    </w:p>
    <w:p>
      <w:pPr>
        <w:spacing w:after="0"/>
        <w:jc w:val="left"/>
        <w:rPr>
          <w:sz w:val="21"/>
        </w:rPr>
        <w:sectPr>
          <w:pgSz w:w="7200" w:h="11340"/>
          <w:pgMar w:top="480" w:bottom="280" w:left="640" w:right="540"/>
        </w:sectPr>
      </w:pPr>
    </w:p>
    <w:p>
      <w:pPr>
        <w:spacing w:line="232" w:lineRule="exact" w:before="105"/>
        <w:ind w:left="0" w:right="116" w:firstLine="0"/>
        <w:jc w:val="right"/>
        <w:rPr>
          <w:b/>
          <w:sz w:val="12"/>
        </w:rPr>
      </w:pPr>
      <w:r>
        <w:rPr/>
        <w:pict>
          <v:shape style="position:absolute;margin-left:127.980003pt;margin-top:9.475482pt;width:101.7pt;height:16.75pt;mso-position-horizontal-relative:page;mso-position-vertical-relative:paragraph;z-index:-714352" type="#_x0000_t202" filled="false" stroked="false">
            <v:textbox inset="0,0,0,0">
              <w:txbxContent>
                <w:p>
                  <w:pPr>
                    <w:spacing w:line="335" w:lineRule="exact" w:before="0"/>
                    <w:ind w:left="0" w:right="0" w:firstLine="0"/>
                    <w:jc w:val="left"/>
                    <w:rPr>
                      <w:b/>
                      <w:sz w:val="14"/>
                    </w:rPr>
                  </w:pPr>
                  <w:r>
                    <w:rPr>
                      <w:b/>
                      <w:w w:val="105"/>
                      <w:position w:val="-9"/>
                      <w:sz w:val="21"/>
                    </w:rPr>
                    <w:t>P </w:t>
                  </w:r>
                  <w:r>
                    <w:rPr>
                      <w:b/>
                      <w:w w:val="140"/>
                      <w:sz w:val="11"/>
                    </w:rPr>
                    <w:t>{t')  </w:t>
                  </w:r>
                  <w:r>
                    <w:rPr>
                      <w:w w:val="105"/>
                      <w:sz w:val="24"/>
                    </w:rPr>
                    <w:t>=  </w:t>
                  </w:r>
                  <w:r>
                    <w:rPr>
                      <w:b/>
                      <w:w w:val="105"/>
                      <w:sz w:val="21"/>
                    </w:rPr>
                    <w:t>1 </w:t>
                  </w:r>
                  <w:r>
                    <w:rPr>
                      <w:w w:val="245"/>
                      <w:sz w:val="21"/>
                    </w:rPr>
                    <w:t>- </w:t>
                  </w:r>
                  <w:r>
                    <w:rPr>
                      <w:rFonts w:ascii="Arial"/>
                      <w:b/>
                      <w:w w:val="140"/>
                      <w:sz w:val="11"/>
                    </w:rPr>
                    <w:t>(f')  </w:t>
                  </w:r>
                  <w:r>
                    <w:rPr>
                      <w:w w:val="105"/>
                      <w:sz w:val="24"/>
                    </w:rPr>
                    <w:t>=  </w:t>
                  </w:r>
                  <w:r>
                    <w:rPr>
                      <w:b/>
                      <w:w w:val="105"/>
                      <w:sz w:val="14"/>
                      <w:u w:val="single"/>
                    </w:rPr>
                    <w:t>s-+1</w:t>
                  </w:r>
                </w:p>
              </w:txbxContent>
            </v:textbox>
            <w10:wrap type="none"/>
          </v:shape>
        </w:pict>
      </w:r>
      <w:r>
        <w:rPr>
          <w:rFonts w:ascii="Arial"/>
          <w:b/>
          <w:w w:val="90"/>
          <w:position w:val="-9"/>
          <w:sz w:val="19"/>
        </w:rPr>
        <w:t>Z </w:t>
      </w:r>
      <w:r>
        <w:rPr>
          <w:b/>
          <w:w w:val="110"/>
          <w:sz w:val="12"/>
        </w:rPr>
        <w:t>(f')</w:t>
      </w:r>
    </w:p>
    <w:p>
      <w:pPr>
        <w:spacing w:line="31" w:lineRule="exact" w:before="0"/>
        <w:ind w:left="0" w:right="991" w:firstLine="0"/>
        <w:jc w:val="right"/>
        <w:rPr>
          <w:rFonts w:ascii="Arial" w:hAnsi="Arial"/>
          <w:b/>
          <w:i/>
          <w:sz w:val="7"/>
        </w:rPr>
      </w:pPr>
      <w:r>
        <w:rPr>
          <w:rFonts w:ascii="Arial" w:hAnsi="Arial"/>
          <w:b/>
          <w:i/>
          <w:spacing w:val="-146"/>
          <w:w w:val="224"/>
          <w:sz w:val="7"/>
        </w:rPr>
        <w:t>q</w:t>
      </w:r>
      <w:r>
        <w:rPr>
          <w:rFonts w:ascii="Arial" w:hAnsi="Arial"/>
          <w:b/>
          <w:i/>
          <w:w w:val="120"/>
          <w:sz w:val="7"/>
        </w:rPr>
        <w:t>·</w:t>
      </w:r>
    </w:p>
    <w:p>
      <w:pPr>
        <w:tabs>
          <w:tab w:pos="3103" w:val="left" w:leader="none"/>
          <w:tab w:pos="3669" w:val="left" w:leader="none"/>
        </w:tabs>
        <w:spacing w:line="201" w:lineRule="exact" w:before="0"/>
        <w:ind w:left="2027" w:right="0" w:firstLine="0"/>
        <w:jc w:val="center"/>
        <w:rPr>
          <w:rFonts w:ascii="Arial" w:hAnsi="Arial"/>
          <w:sz w:val="20"/>
        </w:rPr>
      </w:pPr>
      <w:r>
        <w:rPr>
          <w:rFonts w:ascii="Arial" w:hAnsi="Arial"/>
          <w:w w:val="90"/>
          <w:sz w:val="11"/>
        </w:rPr>
        <w:t>:r:</w:t>
        <w:tab/>
      </w:r>
      <w:r>
        <w:rPr>
          <w:rFonts w:ascii="Arial" w:hAnsi="Arial"/>
          <w:w w:val="220"/>
          <w:sz w:val="11"/>
        </w:rPr>
        <w:t>•</w:t>
        <w:tab/>
      </w:r>
      <w:r>
        <w:rPr>
          <w:rFonts w:ascii="Arial" w:hAnsi="Arial"/>
          <w:w w:val="80"/>
          <w:sz w:val="20"/>
        </w:rPr>
        <w:t>Z!f'&gt;</w:t>
      </w:r>
      <w:r>
        <w:rPr>
          <w:rFonts w:ascii="Arial" w:hAnsi="Arial"/>
          <w:spacing w:val="-21"/>
          <w:w w:val="80"/>
          <w:sz w:val="20"/>
        </w:rPr>
        <w:t> </w:t>
      </w:r>
      <w:r>
        <w:rPr>
          <w:rFonts w:ascii="Arial" w:hAnsi="Arial"/>
          <w:w w:val="80"/>
          <w:sz w:val="20"/>
        </w:rPr>
        <w:t>•</w:t>
      </w:r>
    </w:p>
    <w:p>
      <w:pPr>
        <w:pStyle w:val="BodyText"/>
        <w:spacing w:before="7"/>
        <w:rPr>
          <w:rFonts w:ascii="Arial"/>
        </w:rPr>
      </w:pPr>
      <w:r>
        <w:rPr/>
        <w:br w:type="column"/>
      </w:r>
      <w:r>
        <w:rPr>
          <w:rFonts w:ascii="Arial"/>
        </w:rPr>
      </w:r>
    </w:p>
    <w:p>
      <w:pPr>
        <w:spacing w:before="0"/>
        <w:ind w:left="1235" w:right="0" w:firstLine="0"/>
        <w:jc w:val="left"/>
        <w:rPr>
          <w:sz w:val="21"/>
        </w:rPr>
      </w:pPr>
      <w:r>
        <w:rPr>
          <w:w w:val="110"/>
          <w:sz w:val="21"/>
        </w:rPr>
        <w:t>(14.5)</w:t>
      </w:r>
    </w:p>
    <w:p>
      <w:pPr>
        <w:spacing w:after="0"/>
        <w:jc w:val="left"/>
        <w:rPr>
          <w:sz w:val="21"/>
        </w:rPr>
        <w:sectPr>
          <w:type w:val="continuous"/>
          <w:pgSz w:w="7200" w:h="11340"/>
          <w:pgMar w:top="1100" w:bottom="0" w:left="640" w:right="540"/>
          <w:cols w:num="2" w:equalWidth="0">
            <w:col w:w="4061" w:space="40"/>
            <w:col w:w="1919"/>
          </w:cols>
        </w:sectPr>
      </w:pPr>
    </w:p>
    <w:p>
      <w:pPr>
        <w:pStyle w:val="BodyText"/>
        <w:spacing w:before="3"/>
        <w:rPr>
          <w:sz w:val="9"/>
        </w:rPr>
      </w:pPr>
    </w:p>
    <w:p>
      <w:pPr>
        <w:spacing w:after="0"/>
        <w:rPr>
          <w:sz w:val="9"/>
        </w:rPr>
        <w:sectPr>
          <w:type w:val="continuous"/>
          <w:pgSz w:w="7200" w:h="11340"/>
          <w:pgMar w:top="1100" w:bottom="0" w:left="640" w:right="540"/>
        </w:sectPr>
      </w:pPr>
    </w:p>
    <w:p>
      <w:pPr>
        <w:pStyle w:val="BodyText"/>
        <w:spacing w:before="9"/>
        <w:rPr>
          <w:sz w:val="18"/>
        </w:rPr>
      </w:pPr>
    </w:p>
    <w:p>
      <w:pPr>
        <w:spacing w:before="0"/>
        <w:ind w:left="108" w:right="-12" w:firstLine="0"/>
        <w:jc w:val="left"/>
        <w:rPr>
          <w:sz w:val="21"/>
        </w:rPr>
      </w:pPr>
      <w:r>
        <w:rPr>
          <w:sz w:val="21"/>
        </w:rPr>
        <w:t>Similarly,</w:t>
      </w:r>
    </w:p>
    <w:p>
      <w:pPr>
        <w:spacing w:line="126" w:lineRule="exact" w:before="84"/>
        <w:ind w:left="0" w:right="31" w:firstLine="0"/>
        <w:jc w:val="right"/>
        <w:rPr>
          <w:b/>
          <w:sz w:val="12"/>
        </w:rPr>
      </w:pPr>
      <w:r>
        <w:rPr/>
        <w:br w:type="column"/>
      </w:r>
      <w:r>
        <w:rPr>
          <w:b/>
          <w:w w:val="115"/>
          <w:sz w:val="12"/>
        </w:rPr>
        <w:t>1(2')</w:t>
      </w:r>
    </w:p>
    <w:p>
      <w:pPr>
        <w:tabs>
          <w:tab w:pos="521" w:val="left" w:leader="none"/>
        </w:tabs>
        <w:spacing w:line="79" w:lineRule="exact" w:before="0"/>
        <w:ind w:left="0" w:right="0" w:firstLine="0"/>
        <w:jc w:val="right"/>
        <w:rPr>
          <w:rFonts w:ascii="Arial" w:hAnsi="Arial"/>
          <w:b/>
          <w:sz w:val="12"/>
        </w:rPr>
      </w:pPr>
      <w:r>
        <w:rPr>
          <w:b/>
          <w:w w:val="135"/>
          <w:sz w:val="12"/>
        </w:rPr>
        <w:t>(2')</w:t>
        <w:tab/>
      </w:r>
      <w:r>
        <w:rPr>
          <w:rFonts w:ascii="Arial" w:hAnsi="Arial"/>
          <w:b/>
          <w:w w:val="140"/>
          <w:sz w:val="12"/>
        </w:rPr>
        <w:t>tri-•</w:t>
      </w:r>
    </w:p>
    <w:p>
      <w:pPr>
        <w:tabs>
          <w:tab w:pos="507" w:val="left" w:leader="none"/>
        </w:tabs>
        <w:spacing w:line="285" w:lineRule="exact" w:before="0"/>
        <w:ind w:left="0" w:right="40" w:firstLine="0"/>
        <w:jc w:val="right"/>
        <w:rPr>
          <w:rFonts w:ascii="Arial" w:hAnsi="Arial"/>
          <w:i/>
          <w:sz w:val="29"/>
        </w:rPr>
      </w:pPr>
      <w:r>
        <w:rPr>
          <w:i/>
          <w:w w:val="108"/>
          <w:sz w:val="21"/>
        </w:rPr>
        <w:t>"P·</w:t>
      </w:r>
      <w:r>
        <w:rPr>
          <w:i/>
          <w:sz w:val="21"/>
        </w:rPr>
        <w:tab/>
      </w:r>
      <w:r>
        <w:rPr>
          <w:w w:val="87"/>
          <w:sz w:val="28"/>
        </w:rPr>
        <w:t>=</w:t>
      </w:r>
      <w:r>
        <w:rPr>
          <w:spacing w:val="14"/>
          <w:sz w:val="28"/>
        </w:rPr>
        <w:t> </w:t>
      </w:r>
      <w:r>
        <w:rPr>
          <w:rFonts w:ascii="Arial" w:hAnsi="Arial"/>
          <w:i/>
          <w:spacing w:val="2"/>
          <w:w w:val="38"/>
          <w:sz w:val="29"/>
          <w:u w:val="thick"/>
        </w:rPr>
        <w:t>z</w:t>
      </w:r>
      <w:r>
        <w:rPr>
          <w:rFonts w:ascii="Arial" w:hAnsi="Arial"/>
          <w:i/>
          <w:spacing w:val="-32"/>
          <w:w w:val="126"/>
          <w:sz w:val="29"/>
          <w:u w:val="thick"/>
        </w:rPr>
        <w:t>?</w:t>
      </w:r>
      <w:r>
        <w:rPr>
          <w:rFonts w:ascii="Arial" w:hAnsi="Arial"/>
          <w:i/>
          <w:w w:val="26"/>
          <w:sz w:val="29"/>
        </w:rPr>
        <w:t>&gt;</w:t>
      </w:r>
    </w:p>
    <w:p>
      <w:pPr>
        <w:pStyle w:val="BodyText"/>
        <w:spacing w:before="2"/>
        <w:rPr>
          <w:rFonts w:ascii="Arial"/>
          <w:i/>
          <w:sz w:val="18"/>
        </w:rPr>
      </w:pPr>
      <w:r>
        <w:rPr/>
        <w:br w:type="column"/>
      </w:r>
      <w:r>
        <w:rPr>
          <w:rFonts w:ascii="Arial"/>
          <w:i/>
          <w:sz w:val="18"/>
        </w:rPr>
      </w:r>
    </w:p>
    <w:p>
      <w:pPr>
        <w:spacing w:before="0"/>
        <w:ind w:left="108" w:right="0" w:firstLine="0"/>
        <w:jc w:val="left"/>
        <w:rPr>
          <w:sz w:val="21"/>
        </w:rPr>
      </w:pPr>
      <w:r>
        <w:rPr>
          <w:w w:val="110"/>
          <w:sz w:val="21"/>
        </w:rPr>
        <w:t>(14.6)</w:t>
      </w:r>
    </w:p>
    <w:p>
      <w:pPr>
        <w:spacing w:after="0"/>
        <w:jc w:val="left"/>
        <w:rPr>
          <w:sz w:val="21"/>
        </w:rPr>
        <w:sectPr>
          <w:type w:val="continuous"/>
          <w:pgSz w:w="7200" w:h="11340"/>
          <w:pgMar w:top="1100" w:bottom="0" w:left="640" w:right="540"/>
          <w:cols w:num="3" w:equalWidth="0">
            <w:col w:w="951" w:space="1389"/>
            <w:col w:w="1159" w:space="1729"/>
            <w:col w:w="792"/>
          </w:cols>
        </w:sectPr>
      </w:pPr>
    </w:p>
    <w:p>
      <w:pPr>
        <w:spacing w:before="167"/>
        <w:ind w:left="108" w:right="-8" w:firstLine="0"/>
        <w:jc w:val="left"/>
        <w:rPr>
          <w:sz w:val="21"/>
        </w:rPr>
      </w:pPr>
      <w:r>
        <w:rPr>
          <w:sz w:val="21"/>
        </w:rPr>
        <w:t>and</w:t>
      </w:r>
    </w:p>
    <w:p>
      <w:pPr>
        <w:spacing w:before="139"/>
        <w:ind w:left="108" w:right="-17" w:firstLine="0"/>
        <w:jc w:val="left"/>
        <w:rPr>
          <w:sz w:val="26"/>
        </w:rPr>
      </w:pPr>
      <w:r>
        <w:rPr/>
        <w:br w:type="column"/>
      </w:r>
      <w:r>
        <w:rPr>
          <w:b/>
          <w:i/>
          <w:w w:val="103"/>
          <w:position w:val="-7"/>
          <w:sz w:val="21"/>
        </w:rPr>
        <w:t>"</w:t>
      </w:r>
      <w:r>
        <w:rPr>
          <w:b/>
          <w:i/>
          <w:spacing w:val="-47"/>
          <w:w w:val="104"/>
          <w:position w:val="-7"/>
          <w:sz w:val="21"/>
        </w:rPr>
        <w:t>q</w:t>
      </w:r>
      <w:r>
        <w:rPr>
          <w:rFonts w:ascii="Arial"/>
          <w:spacing w:val="-9"/>
          <w:w w:val="150"/>
          <w:sz w:val="11"/>
        </w:rPr>
        <w:t>(</w:t>
      </w:r>
      <w:r>
        <w:rPr>
          <w:b/>
          <w:i/>
          <w:spacing w:val="-23"/>
          <w:w w:val="104"/>
          <w:position w:val="-7"/>
          <w:sz w:val="21"/>
        </w:rPr>
        <w:t>.</w:t>
      </w:r>
      <w:r>
        <w:rPr>
          <w:rFonts w:ascii="Arial"/>
          <w:w w:val="131"/>
          <w:sz w:val="11"/>
        </w:rPr>
        <w:t>f'</w:t>
      </w:r>
      <w:r>
        <w:rPr>
          <w:rFonts w:ascii="Arial"/>
          <w:w w:val="131"/>
          <w:sz w:val="11"/>
        </w:rPr>
        <w:t>)</w:t>
      </w:r>
      <w:r>
        <w:rPr>
          <w:rFonts w:ascii="Arial"/>
          <w:sz w:val="11"/>
        </w:rPr>
        <w:t>   </w:t>
      </w:r>
      <w:r>
        <w:rPr>
          <w:rFonts w:ascii="Arial"/>
          <w:spacing w:val="13"/>
          <w:sz w:val="11"/>
        </w:rPr>
        <w:t> </w:t>
      </w:r>
      <w:r>
        <w:rPr>
          <w:w w:val="92"/>
          <w:position w:val="-7"/>
          <w:sz w:val="26"/>
        </w:rPr>
        <w:t>=</w:t>
      </w:r>
    </w:p>
    <w:p>
      <w:pPr>
        <w:spacing w:before="114"/>
        <w:ind w:left="104" w:right="0" w:firstLine="0"/>
        <w:jc w:val="left"/>
        <w:rPr>
          <w:sz w:val="21"/>
        </w:rPr>
      </w:pPr>
      <w:r>
        <w:rPr/>
        <w:br w:type="column"/>
      </w:r>
      <w:r>
        <w:rPr>
          <w:rFonts w:ascii="Arial"/>
          <w:w w:val="130"/>
          <w:sz w:val="20"/>
        </w:rPr>
        <w:t>1</w:t>
      </w:r>
      <w:r>
        <w:rPr>
          <w:rFonts w:ascii="Arial"/>
          <w:spacing w:val="-36"/>
          <w:w w:val="130"/>
          <w:sz w:val="20"/>
        </w:rPr>
        <w:t> </w:t>
      </w:r>
      <w:r>
        <w:rPr>
          <w:w w:val="195"/>
          <w:position w:val="-7"/>
          <w:sz w:val="26"/>
        </w:rPr>
        <w:t>-</w:t>
      </w:r>
      <w:r>
        <w:rPr>
          <w:spacing w:val="-63"/>
          <w:w w:val="195"/>
          <w:position w:val="-7"/>
          <w:sz w:val="26"/>
        </w:rPr>
        <w:t> </w:t>
      </w:r>
      <w:r>
        <w:rPr>
          <w:b/>
          <w:i/>
          <w:spacing w:val="-21"/>
          <w:w w:val="130"/>
          <w:position w:val="-7"/>
          <w:sz w:val="21"/>
        </w:rPr>
        <w:t>.p.</w:t>
      </w:r>
      <w:r>
        <w:rPr>
          <w:rFonts w:ascii="Arial"/>
          <w:spacing w:val="-21"/>
          <w:w w:val="130"/>
          <w:sz w:val="20"/>
        </w:rPr>
        <w:t>(</w:t>
      </w:r>
      <w:r>
        <w:rPr>
          <w:rFonts w:ascii="Arial"/>
          <w:spacing w:val="-61"/>
          <w:w w:val="130"/>
          <w:sz w:val="20"/>
        </w:rPr>
        <w:t> </w:t>
      </w:r>
      <w:r>
        <w:rPr>
          <w:rFonts w:ascii="Arial"/>
          <w:sz w:val="20"/>
        </w:rPr>
        <w:t>f')</w:t>
      </w:r>
      <w:r>
        <w:rPr>
          <w:rFonts w:ascii="Arial"/>
          <w:spacing w:val="-37"/>
          <w:sz w:val="20"/>
        </w:rPr>
        <w:t> </w:t>
      </w:r>
      <w:r>
        <w:rPr>
          <w:w w:val="130"/>
          <w:position w:val="-7"/>
          <w:sz w:val="21"/>
        </w:rPr>
        <w:t>.</w:t>
      </w:r>
    </w:p>
    <w:p>
      <w:pPr>
        <w:spacing w:before="106"/>
        <w:ind w:left="108" w:right="0" w:firstLine="0"/>
        <w:jc w:val="left"/>
        <w:rPr>
          <w:sz w:val="21"/>
        </w:rPr>
      </w:pPr>
      <w:r>
        <w:rPr/>
        <w:br w:type="column"/>
      </w:r>
      <w:r>
        <w:rPr>
          <w:w w:val="105"/>
          <w:sz w:val="21"/>
        </w:rPr>
        <w:t>(14</w:t>
      </w:r>
      <w:r>
        <w:rPr>
          <w:w w:val="105"/>
          <w:position w:val="-7"/>
          <w:sz w:val="21"/>
        </w:rPr>
        <w:t>.</w:t>
      </w:r>
      <w:r>
        <w:rPr>
          <w:w w:val="105"/>
          <w:sz w:val="21"/>
        </w:rPr>
        <w:t>7)</w:t>
      </w:r>
    </w:p>
    <w:p>
      <w:pPr>
        <w:spacing w:after="0"/>
        <w:jc w:val="left"/>
        <w:rPr>
          <w:sz w:val="21"/>
        </w:rPr>
        <w:sectPr>
          <w:type w:val="continuous"/>
          <w:pgSz w:w="7200" w:h="11340"/>
          <w:pgMar w:top="1100" w:bottom="0" w:left="640" w:right="540"/>
          <w:cols w:num="4" w:equalWidth="0">
            <w:col w:w="424" w:space="1584"/>
            <w:col w:w="760" w:space="40"/>
            <w:col w:w="1076" w:space="1350"/>
            <w:col w:w="786"/>
          </w:cols>
        </w:sectPr>
      </w:pPr>
    </w:p>
    <w:p>
      <w:pPr>
        <w:spacing w:before="58"/>
        <w:ind w:left="115" w:right="0" w:firstLine="198"/>
        <w:jc w:val="both"/>
        <w:rPr>
          <w:sz w:val="21"/>
        </w:rPr>
      </w:pPr>
      <w:r>
        <w:rPr>
          <w:sz w:val="22"/>
        </w:rPr>
        <w:t>If  </w:t>
      </w:r>
      <w:r>
        <w:rPr>
          <w:sz w:val="21"/>
        </w:rPr>
        <w:t>the values of </w:t>
      </w:r>
      <w:r>
        <w:rPr>
          <w:rFonts w:ascii="Arial" w:hAnsi="Arial"/>
          <w:sz w:val="19"/>
        </w:rPr>
        <w:t>q </w:t>
      </w:r>
      <w:r>
        <w:rPr>
          <w:rFonts w:ascii="Arial" w:hAnsi="Arial"/>
          <w:w w:val="80"/>
          <w:sz w:val="19"/>
        </w:rPr>
        <w:t>A:)  </w:t>
      </w:r>
      <w:r>
        <w:rPr>
          <w:sz w:val="21"/>
        </w:rPr>
        <w:t>are known for ali </w:t>
      </w:r>
      <w:r>
        <w:rPr>
          <w:rFonts w:ascii="Arial" w:hAnsi="Arial"/>
          <w:i/>
          <w:sz w:val="21"/>
        </w:rPr>
        <w:t>k , </w:t>
      </w:r>
      <w:r>
        <w:rPr>
          <w:sz w:val="21"/>
        </w:rPr>
        <w:t>the complete multiple­</w:t>
      </w:r>
    </w:p>
    <w:p>
      <w:pPr>
        <w:spacing w:line="165" w:lineRule="auto" w:before="62"/>
        <w:ind w:left="115" w:right="166" w:firstLine="0"/>
        <w:jc w:val="left"/>
        <w:rPr>
          <w:sz w:val="21"/>
        </w:rPr>
      </w:pPr>
      <w:r>
        <w:rPr>
          <w:sz w:val="21"/>
        </w:rPr>
        <w:t>decrement table </w:t>
      </w:r>
      <w:r>
        <w:rPr>
          <w:rFonts w:ascii="Arial"/>
          <w:sz w:val="19"/>
        </w:rPr>
        <w:t>is </w:t>
      </w:r>
      <w:r>
        <w:rPr>
          <w:sz w:val="21"/>
        </w:rPr>
        <w:t>easily built up. </w:t>
      </w:r>
      <w:r>
        <w:rPr>
          <w:rFonts w:ascii="Arial"/>
          <w:sz w:val="20"/>
        </w:rPr>
        <w:t>An </w:t>
      </w:r>
      <w:r>
        <w:rPr>
          <w:sz w:val="21"/>
        </w:rPr>
        <w:t>arbitrary radix  </w:t>
      </w:r>
      <w:r>
        <w:rPr>
          <w:rFonts w:ascii="Arial"/>
          <w:sz w:val="19"/>
        </w:rPr>
        <w:t>is </w:t>
      </w:r>
      <w:r>
        <w:rPr>
          <w:sz w:val="21"/>
        </w:rPr>
        <w:t>assumed, and</w:t>
      </w:r>
      <w:r>
        <w:rPr>
          <w:spacing w:val="-22"/>
          <w:sz w:val="21"/>
        </w:rPr>
        <w:t> </w:t>
      </w:r>
      <w:r>
        <w:rPr>
          <w:sz w:val="21"/>
        </w:rPr>
        <w:t>the</w:t>
      </w:r>
      <w:r>
        <w:rPr>
          <w:spacing w:val="-23"/>
          <w:sz w:val="21"/>
        </w:rPr>
        <w:t> </w:t>
      </w:r>
      <w:r>
        <w:rPr>
          <w:sz w:val="21"/>
        </w:rPr>
        <w:t>values</w:t>
      </w:r>
      <w:r>
        <w:rPr>
          <w:spacing w:val="-19"/>
          <w:sz w:val="21"/>
        </w:rPr>
        <w:t> </w:t>
      </w:r>
      <w:r>
        <w:rPr>
          <w:sz w:val="21"/>
        </w:rPr>
        <w:t>of</w:t>
      </w:r>
      <w:r>
        <w:rPr>
          <w:spacing w:val="-15"/>
          <w:sz w:val="21"/>
        </w:rPr>
        <w:t> </w:t>
      </w:r>
      <w:r>
        <w:rPr>
          <w:sz w:val="21"/>
        </w:rPr>
        <w:t>d</w:t>
      </w:r>
      <w:r>
        <w:rPr>
          <w:spacing w:val="-16"/>
          <w:sz w:val="21"/>
        </w:rPr>
        <w:t> </w:t>
      </w:r>
      <w:r>
        <w:rPr>
          <w:w w:val="90"/>
          <w:position w:val="9"/>
          <w:sz w:val="12"/>
        </w:rPr>
        <w:t>11</w:t>
      </w:r>
      <w:r>
        <w:rPr>
          <w:w w:val="90"/>
          <w:sz w:val="20"/>
        </w:rPr>
        <w:t>&gt;,</w:t>
      </w:r>
      <w:r>
        <w:rPr>
          <w:spacing w:val="-17"/>
          <w:w w:val="90"/>
          <w:sz w:val="20"/>
        </w:rPr>
        <w:t> </w:t>
      </w:r>
      <w:r>
        <w:rPr>
          <w:sz w:val="24"/>
        </w:rPr>
        <w:t>el;</w:t>
      </w:r>
      <w:r>
        <w:rPr>
          <w:spacing w:val="-50"/>
          <w:sz w:val="24"/>
        </w:rPr>
        <w:t> </w:t>
      </w:r>
      <w:r>
        <w:rPr>
          <w:rFonts w:ascii="Arial"/>
          <w:i/>
          <w:w w:val="90"/>
          <w:sz w:val="19"/>
        </w:rPr>
        <w:t>T&gt;,</w:t>
      </w:r>
      <w:r>
        <w:rPr>
          <w:rFonts w:ascii="Arial"/>
          <w:i/>
          <w:spacing w:val="-27"/>
          <w:w w:val="90"/>
          <w:sz w:val="19"/>
        </w:rPr>
        <w:t> </w:t>
      </w:r>
      <w:r>
        <w:rPr>
          <w:sz w:val="21"/>
        </w:rPr>
        <w:t>and</w:t>
      </w:r>
      <w:r>
        <w:rPr>
          <w:spacing w:val="-22"/>
          <w:sz w:val="21"/>
        </w:rPr>
        <w:t> </w:t>
      </w:r>
      <w:r>
        <w:rPr>
          <w:rFonts w:ascii="Arial"/>
          <w:w w:val="90"/>
          <w:sz w:val="28"/>
        </w:rPr>
        <w:t>Z!</w:t>
      </w:r>
      <w:r>
        <w:rPr>
          <w:rFonts w:ascii="Arial"/>
          <w:spacing w:val="-58"/>
          <w:w w:val="90"/>
          <w:sz w:val="28"/>
        </w:rPr>
        <w:t> </w:t>
      </w:r>
      <w:r>
        <w:rPr>
          <w:rFonts w:ascii="Arial"/>
          <w:i/>
          <w:sz w:val="16"/>
        </w:rPr>
        <w:t>r&gt;</w:t>
      </w:r>
      <w:r>
        <w:rPr>
          <w:rFonts w:ascii="Arial"/>
          <w:i/>
          <w:spacing w:val="-6"/>
          <w:sz w:val="16"/>
        </w:rPr>
        <w:t> </w:t>
      </w:r>
      <w:r>
        <w:rPr>
          <w:sz w:val="21"/>
        </w:rPr>
        <w:t>are</w:t>
      </w:r>
      <w:r>
        <w:rPr>
          <w:spacing w:val="-24"/>
          <w:sz w:val="21"/>
        </w:rPr>
        <w:t> </w:t>
      </w:r>
      <w:r>
        <w:rPr>
          <w:sz w:val="21"/>
        </w:rPr>
        <w:t>obtained</w:t>
      </w:r>
      <w:r>
        <w:rPr>
          <w:spacing w:val="-19"/>
          <w:sz w:val="21"/>
        </w:rPr>
        <w:t> </w:t>
      </w:r>
      <w:r>
        <w:rPr>
          <w:sz w:val="21"/>
        </w:rPr>
        <w:t>for</w:t>
      </w:r>
      <w:r>
        <w:rPr>
          <w:spacing w:val="-22"/>
          <w:sz w:val="21"/>
        </w:rPr>
        <w:t> </w:t>
      </w:r>
      <w:r>
        <w:rPr>
          <w:sz w:val="21"/>
        </w:rPr>
        <w:t>each</w:t>
      </w:r>
      <w:r>
        <w:rPr>
          <w:spacing w:val="-25"/>
          <w:sz w:val="21"/>
        </w:rPr>
        <w:t> </w:t>
      </w:r>
      <w:r>
        <w:rPr>
          <w:sz w:val="21"/>
        </w:rPr>
        <w:t>successive</w:t>
      </w:r>
    </w:p>
    <w:p>
      <w:pPr>
        <w:spacing w:before="8"/>
        <w:ind w:left="115" w:right="0" w:firstLine="0"/>
        <w:jc w:val="left"/>
        <w:rPr>
          <w:sz w:val="21"/>
        </w:rPr>
      </w:pPr>
      <w:r>
        <w:rPr>
          <w:sz w:val="21"/>
        </w:rPr>
        <w:t>age by using formulas  (14.3),  (14.1), and  (14.2)  respectively.</w:t>
      </w:r>
    </w:p>
    <w:p>
      <w:pPr>
        <w:spacing w:line="237" w:lineRule="auto" w:before="5"/>
        <w:ind w:left="115" w:right="166" w:firstLine="194"/>
        <w:jc w:val="both"/>
        <w:rPr>
          <w:sz w:val="21"/>
        </w:rPr>
      </w:pPr>
      <w:r>
        <w:rPr>
          <w:sz w:val="21"/>
        </w:rPr>
        <w:t>Table 8 shows a section of a multiple-decrement.. table with two causes of decrement. When such a table </w:t>
      </w:r>
      <w:r>
        <w:rPr>
          <w:rFonts w:ascii="Arial"/>
          <w:sz w:val="19"/>
        </w:rPr>
        <w:t>is </w:t>
      </w:r>
      <w:r>
        <w:rPr>
          <w:sz w:val="21"/>
        </w:rPr>
        <w:t>available, it aff ords an instrument for calculating various probabilities for the lives </w:t>
      </w:r>
      <w:r>
        <w:rPr>
          <w:sz w:val="20"/>
        </w:rPr>
        <w:t>in </w:t>
      </w:r>
      <w:r>
        <w:rPr>
          <w:sz w:val="21"/>
        </w:rPr>
        <w:t>question. The following examples may be verified  from Table  8:</w:t>
      </w:r>
    </w:p>
    <w:p>
      <w:pPr>
        <w:spacing w:after="0" w:line="237" w:lineRule="auto"/>
        <w:jc w:val="both"/>
        <w:rPr>
          <w:sz w:val="21"/>
        </w:rPr>
        <w:sectPr>
          <w:type w:val="continuous"/>
          <w:pgSz w:w="7200" w:h="11340"/>
          <w:pgMar w:top="1100" w:bottom="0" w:left="640" w:right="540"/>
        </w:sectPr>
      </w:pPr>
    </w:p>
    <w:p>
      <w:pPr>
        <w:tabs>
          <w:tab w:pos="1619" w:val="left" w:leader="none"/>
          <w:tab w:pos="5556" w:val="left" w:leader="none"/>
        </w:tabs>
        <w:spacing w:before="61"/>
        <w:ind w:left="133" w:right="0" w:firstLine="0"/>
        <w:jc w:val="left"/>
        <w:rPr>
          <w:rFonts w:ascii="Arial"/>
          <w:sz w:val="20"/>
        </w:rPr>
      </w:pPr>
      <w:r>
        <w:rPr>
          <w:color w:val="010101"/>
          <w:position w:val="2"/>
          <w:sz w:val="15"/>
        </w:rPr>
        <w:t>SEC.  </w:t>
      </w:r>
      <w:r>
        <w:rPr>
          <w:color w:val="010101"/>
          <w:spacing w:val="2"/>
          <w:position w:val="2"/>
          <w:sz w:val="15"/>
        </w:rPr>
        <w:t> </w:t>
      </w:r>
      <w:r>
        <w:rPr>
          <w:color w:val="010101"/>
          <w:position w:val="2"/>
          <w:sz w:val="19"/>
        </w:rPr>
        <w:t>3]</w:t>
        <w:tab/>
      </w:r>
      <w:r>
        <w:rPr>
          <w:b/>
          <w:color w:val="010101"/>
          <w:position w:val="1"/>
          <w:sz w:val="15"/>
        </w:rPr>
        <w:t>CENTRAL   RATES </w:t>
      </w:r>
      <w:r>
        <w:rPr>
          <w:b/>
          <w:color w:val="010101"/>
          <w:spacing w:val="32"/>
          <w:position w:val="1"/>
          <w:sz w:val="15"/>
        </w:rPr>
        <w:t> </w:t>
      </w:r>
      <w:r>
        <w:rPr>
          <w:b/>
          <w:color w:val="010101"/>
          <w:position w:val="1"/>
          <w:sz w:val="15"/>
        </w:rPr>
        <w:t>OF </w:t>
      </w:r>
      <w:r>
        <w:rPr>
          <w:b/>
          <w:color w:val="010101"/>
          <w:spacing w:val="28"/>
          <w:position w:val="1"/>
          <w:sz w:val="15"/>
        </w:rPr>
        <w:t> </w:t>
      </w:r>
      <w:r>
        <w:rPr>
          <w:b/>
          <w:color w:val="010101"/>
          <w:position w:val="1"/>
          <w:sz w:val="15"/>
        </w:rPr>
        <w:t>DECREMENT</w:t>
      </w:r>
      <w:r>
        <w:rPr>
          <w:rFonts w:ascii="Arial"/>
          <w:color w:val="010101"/>
          <w:sz w:val="20"/>
        </w:rPr>
        <w:tab/>
        <w:t>273</w:t>
      </w:r>
    </w:p>
    <w:p>
      <w:pPr>
        <w:tabs>
          <w:tab w:pos="667" w:val="left" w:leader="none"/>
        </w:tabs>
        <w:spacing w:line="178" w:lineRule="exact" w:before="249"/>
        <w:ind w:left="0" w:right="625" w:firstLine="0"/>
        <w:jc w:val="center"/>
        <w:rPr>
          <w:sz w:val="19"/>
        </w:rPr>
      </w:pPr>
      <w:r>
        <w:rPr>
          <w:color w:val="010101"/>
          <w:sz w:val="20"/>
        </w:rPr>
        <w:t>m</w:t>
      </w:r>
      <w:r>
        <w:rPr>
          <w:color w:val="010101"/>
          <w:sz w:val="19"/>
        </w:rPr>
        <w:tab/>
        <w:t>299</w:t>
      </w:r>
    </w:p>
    <w:p>
      <w:pPr>
        <w:spacing w:line="270" w:lineRule="exact" w:before="0"/>
        <w:ind w:left="390" w:right="960" w:firstLine="0"/>
        <w:jc w:val="center"/>
        <w:rPr>
          <w:sz w:val="19"/>
        </w:rPr>
      </w:pPr>
      <w:r>
        <w:rPr>
          <w:i/>
          <w:color w:val="010101"/>
          <w:w w:val="105"/>
          <w:sz w:val="21"/>
        </w:rPr>
        <w:t>qu  </w:t>
      </w:r>
      <w:r>
        <w:rPr>
          <w:color w:val="010101"/>
          <w:w w:val="105"/>
          <w:sz w:val="28"/>
        </w:rPr>
        <w:t>= </w:t>
      </w:r>
      <w:r>
        <w:rPr>
          <w:color w:val="010101"/>
          <w:w w:val="105"/>
          <w:sz w:val="19"/>
          <w:u w:val="thick" w:color="000000"/>
        </w:rPr>
        <w:t>901,020</w:t>
      </w:r>
    </w:p>
    <w:p>
      <w:pPr>
        <w:tabs>
          <w:tab w:pos="523" w:val="left" w:leader="none"/>
        </w:tabs>
        <w:spacing w:line="334" w:lineRule="exact" w:before="78"/>
        <w:ind w:left="0" w:right="2" w:firstLine="0"/>
        <w:jc w:val="center"/>
        <w:rPr>
          <w:sz w:val="19"/>
        </w:rPr>
      </w:pPr>
      <w:r>
        <w:rPr/>
        <w:pict>
          <v:line style="position:absolute;mso-position-horizontal-relative:page;mso-position-vertical-relative:paragraph;z-index:-714280" from="207.278122pt,19.716711pt" to="208.893277pt,19.716711pt" stroked="true" strokeweight="1.61794pt" strokecolor="#000000">
            <w10:wrap type="none"/>
          </v:line>
        </w:pict>
      </w:r>
      <w:r>
        <w:rPr>
          <w:color w:val="010101"/>
          <w:w w:val="115"/>
          <w:sz w:val="11"/>
        </w:rPr>
        <w:t>(2')</w:t>
        <w:tab/>
      </w:r>
      <w:r>
        <w:rPr>
          <w:color w:val="010101"/>
          <w:spacing w:val="-3"/>
          <w:w w:val="115"/>
          <w:sz w:val="19"/>
        </w:rPr>
        <w:t>314</w:t>
      </w:r>
      <w:r>
        <w:rPr>
          <w:color w:val="010101"/>
          <w:spacing w:val="-25"/>
          <w:w w:val="115"/>
          <w:sz w:val="19"/>
        </w:rPr>
        <w:t> </w:t>
      </w:r>
      <w:r>
        <w:rPr>
          <w:rFonts w:ascii="Arial"/>
          <w:color w:val="010101"/>
          <w:w w:val="115"/>
          <w:sz w:val="32"/>
        </w:rPr>
        <w:t>+</w:t>
      </w:r>
      <w:r>
        <w:rPr>
          <w:rFonts w:ascii="Arial"/>
          <w:color w:val="010101"/>
          <w:spacing w:val="-78"/>
          <w:w w:val="115"/>
          <w:sz w:val="32"/>
        </w:rPr>
        <w:t> </w:t>
      </w:r>
      <w:r>
        <w:rPr>
          <w:color w:val="010101"/>
          <w:spacing w:val="-4"/>
          <w:w w:val="115"/>
          <w:sz w:val="19"/>
        </w:rPr>
        <w:t>86,632</w:t>
      </w:r>
    </w:p>
    <w:p>
      <w:pPr>
        <w:tabs>
          <w:tab w:pos="879" w:val="left" w:leader="none"/>
        </w:tabs>
        <w:spacing w:line="219" w:lineRule="exact" w:before="0"/>
        <w:ind w:left="0" w:right="380" w:firstLine="0"/>
        <w:jc w:val="center"/>
        <w:rPr>
          <w:sz w:val="19"/>
        </w:rPr>
      </w:pPr>
      <w:r>
        <w:rPr>
          <w:b/>
          <w:i/>
          <w:color w:val="010101"/>
          <w:w w:val="105"/>
          <w:sz w:val="21"/>
        </w:rPr>
        <w:t>qn  </w:t>
      </w:r>
      <w:r>
        <w:rPr>
          <w:b/>
          <w:i/>
          <w:color w:val="010101"/>
          <w:spacing w:val="12"/>
          <w:w w:val="105"/>
          <w:sz w:val="21"/>
        </w:rPr>
        <w:t> </w:t>
      </w:r>
      <w:r>
        <w:rPr>
          <w:color w:val="010101"/>
          <w:w w:val="105"/>
          <w:sz w:val="22"/>
        </w:rPr>
        <w:t>=</w:t>
        <w:tab/>
      </w:r>
      <w:r>
        <w:rPr>
          <w:color w:val="010101"/>
          <w:w w:val="105"/>
          <w:sz w:val="19"/>
        </w:rPr>
        <w:t>807,959</w:t>
      </w:r>
    </w:p>
    <w:p>
      <w:pPr>
        <w:tabs>
          <w:tab w:pos="516" w:val="left" w:leader="none"/>
        </w:tabs>
        <w:spacing w:line="208" w:lineRule="exact" w:before="191"/>
        <w:ind w:left="0" w:right="584" w:firstLine="0"/>
        <w:jc w:val="center"/>
        <w:rPr>
          <w:sz w:val="21"/>
        </w:rPr>
      </w:pPr>
      <w:r>
        <w:rPr>
          <w:color w:val="010101"/>
          <w:w w:val="105"/>
          <w:sz w:val="12"/>
        </w:rPr>
        <w:t>(2')</w:t>
        <w:tab/>
      </w:r>
      <w:r>
        <w:rPr>
          <w:color w:val="010101"/>
          <w:w w:val="105"/>
          <w:sz w:val="21"/>
        </w:rPr>
        <w:t>497,620</w:t>
      </w:r>
    </w:p>
    <w:p>
      <w:pPr>
        <w:spacing w:line="277" w:lineRule="exact" w:before="0"/>
        <w:ind w:left="206" w:right="960" w:firstLine="0"/>
        <w:jc w:val="center"/>
        <w:rPr>
          <w:sz w:val="19"/>
        </w:rPr>
      </w:pPr>
      <w:r>
        <w:rPr>
          <w:color w:val="010101"/>
          <w:w w:val="105"/>
          <w:position w:val="10"/>
          <w:sz w:val="13"/>
        </w:rPr>
        <w:t>3</w:t>
      </w:r>
      <w:r>
        <w:rPr>
          <w:color w:val="010101"/>
          <w:w w:val="105"/>
          <w:position w:val="2"/>
          <w:sz w:val="20"/>
        </w:rPr>
        <w:t>P</w:t>
      </w:r>
      <w:r>
        <w:rPr>
          <w:color w:val="010101"/>
          <w:w w:val="105"/>
          <w:position w:val="10"/>
          <w:sz w:val="13"/>
        </w:rPr>
        <w:t>21      </w:t>
      </w:r>
      <w:r>
        <w:rPr>
          <w:color w:val="010101"/>
          <w:w w:val="105"/>
          <w:position w:val="2"/>
          <w:sz w:val="26"/>
        </w:rPr>
        <w:t>= </w:t>
      </w:r>
      <w:r>
        <w:rPr>
          <w:color w:val="010101"/>
          <w:w w:val="105"/>
          <w:position w:val="2"/>
          <w:sz w:val="19"/>
          <w:u w:val="thick" w:color="000000"/>
        </w:rPr>
        <w:t>721</w:t>
      </w:r>
      <w:r>
        <w:rPr>
          <w:color w:val="010101"/>
          <w:w w:val="105"/>
          <w:sz w:val="22"/>
          <w:u w:val="thick" w:color="000000"/>
        </w:rPr>
        <w:t>,</w:t>
      </w:r>
      <w:r>
        <w:rPr>
          <w:color w:val="010101"/>
          <w:w w:val="105"/>
          <w:position w:val="2"/>
          <w:sz w:val="19"/>
          <w:u w:val="thick" w:color="000000"/>
        </w:rPr>
        <w:t>013</w:t>
      </w:r>
    </w:p>
    <w:p>
      <w:pPr>
        <w:tabs>
          <w:tab w:pos="2638" w:val="left" w:leader="none"/>
        </w:tabs>
        <w:spacing w:line="334" w:lineRule="exact" w:before="51"/>
        <w:ind w:left="2146" w:right="0" w:firstLine="0"/>
        <w:jc w:val="left"/>
        <w:rPr>
          <w:sz w:val="19"/>
        </w:rPr>
      </w:pPr>
      <w:r>
        <w:rPr/>
        <w:pict>
          <v:line style="position:absolute;mso-position-horizontal-relative:page;mso-position-vertical-relative:paragraph;z-index:-714256" from="175.513489pt,18.187014pt" to="176.76972pt,18.187014pt" stroked="true" strokeweight="1.2584pt" strokecolor="#000000">
            <w10:wrap type="none"/>
          </v:line>
        </w:pict>
      </w:r>
      <w:r>
        <w:rPr>
          <w:color w:val="010101"/>
          <w:w w:val="110"/>
          <w:sz w:val="11"/>
        </w:rPr>
        <w:t>(2)</w:t>
        <w:tab/>
      </w:r>
      <w:r>
        <w:rPr>
          <w:color w:val="010101"/>
          <w:spacing w:val="-3"/>
          <w:w w:val="110"/>
          <w:sz w:val="19"/>
        </w:rPr>
        <w:t>80,385 </w:t>
      </w:r>
      <w:r>
        <w:rPr>
          <w:rFonts w:ascii="Arial"/>
          <w:color w:val="010101"/>
          <w:w w:val="110"/>
          <w:sz w:val="32"/>
        </w:rPr>
        <w:t>+</w:t>
      </w:r>
      <w:r>
        <w:rPr>
          <w:rFonts w:ascii="Arial"/>
          <w:color w:val="010101"/>
          <w:spacing w:val="-79"/>
          <w:w w:val="110"/>
          <w:sz w:val="32"/>
        </w:rPr>
        <w:t> </w:t>
      </w:r>
      <w:r>
        <w:rPr>
          <w:color w:val="010101"/>
          <w:w w:val="110"/>
          <w:sz w:val="19"/>
        </w:rPr>
        <w:t>74,117</w:t>
      </w:r>
    </w:p>
    <w:p>
      <w:pPr>
        <w:tabs>
          <w:tab w:pos="3015" w:val="left" w:leader="none"/>
        </w:tabs>
        <w:spacing w:line="259" w:lineRule="exact" w:before="0"/>
        <w:ind w:left="1985" w:right="0" w:firstLine="0"/>
        <w:jc w:val="left"/>
        <w:rPr>
          <w:sz w:val="19"/>
        </w:rPr>
      </w:pPr>
      <w:r>
        <w:rPr>
          <w:color w:val="010101"/>
          <w:w w:val="105"/>
          <w:sz w:val="20"/>
        </w:rPr>
        <w:t>zgu </w:t>
      </w:r>
      <w:r>
        <w:rPr>
          <w:color w:val="010101"/>
          <w:spacing w:val="34"/>
          <w:w w:val="105"/>
          <w:sz w:val="20"/>
        </w:rPr>
        <w:t> </w:t>
      </w:r>
      <w:r>
        <w:rPr>
          <w:color w:val="010101"/>
          <w:w w:val="105"/>
          <w:sz w:val="22"/>
        </w:rPr>
        <w:t>=</w:t>
        <w:tab/>
      </w:r>
      <w:r>
        <w:rPr>
          <w:color w:val="010101"/>
          <w:spacing w:val="-7"/>
          <w:w w:val="105"/>
          <w:sz w:val="19"/>
        </w:rPr>
        <w:t>721</w:t>
      </w:r>
      <w:r>
        <w:rPr>
          <w:color w:val="010101"/>
          <w:spacing w:val="-7"/>
          <w:w w:val="105"/>
          <w:position w:val="-3"/>
          <w:sz w:val="22"/>
        </w:rPr>
        <w:t>,</w:t>
      </w:r>
      <w:r>
        <w:rPr>
          <w:color w:val="010101"/>
          <w:spacing w:val="-7"/>
          <w:w w:val="105"/>
          <w:sz w:val="19"/>
        </w:rPr>
        <w:t>013</w:t>
      </w:r>
    </w:p>
    <w:p>
      <w:pPr>
        <w:pStyle w:val="BodyText"/>
        <w:spacing w:before="5"/>
        <w:rPr>
          <w:sz w:val="14"/>
        </w:rPr>
      </w:pPr>
    </w:p>
    <w:p>
      <w:pPr>
        <w:tabs>
          <w:tab w:pos="660" w:val="left" w:leader="none"/>
        </w:tabs>
        <w:spacing w:line="187" w:lineRule="exact" w:before="0"/>
        <w:ind w:left="0" w:right="714" w:firstLine="0"/>
        <w:jc w:val="center"/>
        <w:rPr>
          <w:sz w:val="19"/>
        </w:rPr>
      </w:pPr>
      <w:r>
        <w:rPr>
          <w:rFonts w:ascii="Arial"/>
          <w:color w:val="010101"/>
          <w:spacing w:val="-10"/>
          <w:w w:val="125"/>
          <w:sz w:val="11"/>
        </w:rPr>
        <w:t>(1)</w:t>
        <w:tab/>
      </w:r>
      <w:r>
        <w:rPr>
          <w:color w:val="010101"/>
          <w:w w:val="120"/>
          <w:sz w:val="19"/>
        </w:rPr>
        <w:t>324</w:t>
      </w:r>
    </w:p>
    <w:p>
      <w:pPr>
        <w:spacing w:line="221" w:lineRule="exact" w:before="0"/>
        <w:ind w:left="197" w:right="960" w:firstLine="0"/>
        <w:jc w:val="center"/>
        <w:rPr>
          <w:sz w:val="20"/>
        </w:rPr>
      </w:pPr>
      <w:r>
        <w:rPr>
          <w:color w:val="010101"/>
          <w:w w:val="105"/>
          <w:sz w:val="19"/>
        </w:rPr>
        <w:t>s¡qn   </w:t>
      </w:r>
      <w:r>
        <w:rPr>
          <w:color w:val="010101"/>
          <w:w w:val="105"/>
          <w:sz w:val="22"/>
        </w:rPr>
        <w:t>= </w:t>
      </w:r>
      <w:r>
        <w:rPr>
          <w:color w:val="010101"/>
          <w:w w:val="105"/>
          <w:sz w:val="20"/>
          <w:u w:val="thick" w:color="000000"/>
        </w:rPr>
        <w:t>640,304</w:t>
      </w:r>
    </w:p>
    <w:p>
      <w:pPr>
        <w:pStyle w:val="BodyText"/>
        <w:spacing w:before="6"/>
        <w:rPr>
          <w:sz w:val="23"/>
        </w:rPr>
      </w:pPr>
    </w:p>
    <w:p>
      <w:pPr>
        <w:spacing w:before="0"/>
        <w:ind w:left="118" w:right="0" w:firstLine="0"/>
        <w:jc w:val="left"/>
        <w:rPr>
          <w:b/>
          <w:sz w:val="19"/>
        </w:rPr>
      </w:pPr>
      <w:r>
        <w:rPr>
          <w:b/>
          <w:color w:val="010101"/>
          <w:w w:val="110"/>
          <w:sz w:val="19"/>
        </w:rPr>
        <w:t>3.- Central  rates  of decrement</w:t>
      </w:r>
    </w:p>
    <w:p>
      <w:pPr>
        <w:spacing w:before="86"/>
        <w:ind w:left="319" w:right="0" w:firstLine="0"/>
        <w:jc w:val="left"/>
        <w:rPr>
          <w:sz w:val="21"/>
        </w:rPr>
      </w:pPr>
      <w:r>
        <w:rPr>
          <w:color w:val="010101"/>
          <w:sz w:val="21"/>
        </w:rPr>
        <w:t>The central rate oí decremcnt  from ali causes. at age </w:t>
      </w:r>
      <w:r>
        <w:rPr>
          <w:i/>
          <w:color w:val="010101"/>
          <w:sz w:val="20"/>
        </w:rPr>
        <w:t>x </w:t>
      </w:r>
      <w:r>
        <w:rPr>
          <w:color w:val="010101"/>
          <w:sz w:val="21"/>
        </w:rPr>
        <w:t>is  defined</w:t>
      </w:r>
    </w:p>
    <w:p>
      <w:pPr>
        <w:spacing w:after="0"/>
        <w:jc w:val="left"/>
        <w:rPr>
          <w:sz w:val="21"/>
        </w:rPr>
        <w:sectPr>
          <w:pgSz w:w="7200" w:h="11340"/>
          <w:pgMar w:top="500" w:bottom="280" w:left="660" w:right="580"/>
        </w:sectPr>
      </w:pPr>
    </w:p>
    <w:p>
      <w:pPr>
        <w:spacing w:line="241" w:lineRule="exact" w:before="0"/>
        <w:ind w:left="126" w:right="0" w:firstLine="0"/>
        <w:jc w:val="left"/>
        <w:rPr>
          <w:sz w:val="21"/>
        </w:rPr>
      </w:pPr>
      <w:r>
        <w:rPr>
          <w:color w:val="010101"/>
          <w:w w:val="105"/>
          <w:sz w:val="21"/>
        </w:rPr>
        <w:t>as</w:t>
      </w:r>
    </w:p>
    <w:p>
      <w:pPr>
        <w:spacing w:before="119"/>
        <w:ind w:left="0" w:right="0" w:firstLine="0"/>
        <w:jc w:val="right"/>
        <w:rPr>
          <w:rFonts w:ascii="Arial"/>
          <w:sz w:val="30"/>
        </w:rPr>
      </w:pPr>
      <w:r>
        <w:rPr>
          <w:rFonts w:ascii="Arial"/>
          <w:color w:val="010101"/>
          <w:w w:val="65"/>
          <w:sz w:val="30"/>
        </w:rPr>
        <w:t>m!"&gt;</w:t>
      </w:r>
    </w:p>
    <w:p>
      <w:pPr>
        <w:pStyle w:val="BodyText"/>
        <w:rPr>
          <w:rFonts w:ascii="Arial"/>
        </w:rPr>
      </w:pPr>
      <w:r>
        <w:rPr/>
        <w:br w:type="column"/>
      </w:r>
      <w:r>
        <w:rPr>
          <w:rFonts w:ascii="Arial"/>
        </w:rPr>
      </w:r>
    </w:p>
    <w:p>
      <w:pPr>
        <w:spacing w:before="126"/>
        <w:ind w:left="272" w:right="19" w:firstLine="0"/>
        <w:jc w:val="center"/>
        <w:rPr>
          <w:sz w:val="12"/>
        </w:rPr>
      </w:pPr>
      <w:r>
        <w:rPr>
          <w:color w:val="010101"/>
          <w:w w:val="105"/>
          <w:position w:val="-6"/>
          <w:sz w:val="19"/>
        </w:rPr>
        <w:t>d </w:t>
      </w:r>
      <w:r>
        <w:rPr>
          <w:color w:val="010101"/>
          <w:w w:val="105"/>
          <w:sz w:val="12"/>
        </w:rPr>
        <w:t>2')</w:t>
      </w:r>
    </w:p>
    <w:p>
      <w:pPr>
        <w:spacing w:line="126" w:lineRule="exact" w:before="41"/>
        <w:ind w:left="49" w:right="-17" w:firstLine="0"/>
        <w:jc w:val="left"/>
        <w:rPr>
          <w:rFonts w:ascii="Arial"/>
          <w:i/>
          <w:sz w:val="11"/>
        </w:rPr>
      </w:pPr>
      <w:r>
        <w:rPr/>
        <w:pict>
          <v:line style="position:absolute;mso-position-horizontal-relative:page;mso-position-vertical-relative:paragraph;z-index:-714232" from="178.205399pt,9.546045pt" to="193.997999pt,9.546045pt" stroked="true" strokeweight="4.666002pt" strokecolor="#000000">
            <w10:wrap type="none"/>
          </v:line>
        </w:pict>
      </w:r>
      <w:r>
        <w:rPr/>
        <w:pict>
          <v:shape style="position:absolute;margin-left:182.871399pt;margin-top:-9.080475pt;width:1.150pt;height:15pt;mso-position-horizontal-relative:page;mso-position-vertical-relative:paragraph;z-index:-714208" type="#_x0000_t202" filled="false" stroked="false">
            <v:textbox inset="0,0,0,0">
              <w:txbxContent>
                <w:p>
                  <w:pPr>
                    <w:spacing w:line="300" w:lineRule="exact" w:before="0"/>
                    <w:ind w:left="0" w:right="0" w:firstLine="0"/>
                    <w:jc w:val="left"/>
                    <w:rPr>
                      <w:rFonts w:ascii="Arial"/>
                      <w:sz w:val="30"/>
                    </w:rPr>
                  </w:pPr>
                  <w:r>
                    <w:rPr>
                      <w:rFonts w:ascii="Arial"/>
                      <w:color w:val="010101"/>
                      <w:spacing w:val="-51"/>
                      <w:w w:val="72"/>
                      <w:sz w:val="30"/>
                    </w:rPr>
                    <w:t>-</w:t>
                  </w:r>
                </w:p>
              </w:txbxContent>
            </v:textbox>
            <w10:wrap type="none"/>
          </v:shape>
        </w:pict>
      </w:r>
      <w:r>
        <w:rPr>
          <w:rFonts w:ascii="Arial"/>
          <w:color w:val="010101"/>
          <w:w w:val="395"/>
          <w:sz w:val="11"/>
        </w:rPr>
        <w:t>-</w:t>
      </w:r>
      <w:r>
        <w:rPr>
          <w:rFonts w:ascii="Arial"/>
          <w:color w:val="010101"/>
          <w:spacing w:val="-89"/>
          <w:w w:val="395"/>
          <w:sz w:val="11"/>
        </w:rPr>
        <w:t> </w:t>
      </w:r>
      <w:r>
        <w:rPr>
          <w:rFonts w:ascii="Arial"/>
          <w:i/>
          <w:color w:val="010101"/>
          <w:w w:val="175"/>
          <w:sz w:val="11"/>
        </w:rPr>
        <w:t>L(T </w:t>
      </w:r>
      <w:r>
        <w:rPr>
          <w:rFonts w:ascii="Arial"/>
          <w:i/>
          <w:color w:val="010101"/>
          <w:w w:val="105"/>
          <w:sz w:val="11"/>
        </w:rPr>
        <w:t>)</w:t>
      </w:r>
    </w:p>
    <w:p>
      <w:pPr>
        <w:spacing w:line="126" w:lineRule="exact" w:before="0"/>
        <w:ind w:left="260" w:right="0" w:firstLine="0"/>
        <w:jc w:val="center"/>
        <w:rPr>
          <w:rFonts w:ascii="Arial"/>
          <w:b/>
          <w:i/>
          <w:sz w:val="11"/>
        </w:rPr>
      </w:pPr>
      <w:r>
        <w:rPr>
          <w:rFonts w:ascii="Arial"/>
          <w:b/>
          <w:i/>
          <w:color w:val="010101"/>
          <w:w w:val="121"/>
          <w:sz w:val="11"/>
        </w:rPr>
        <w:t>z</w:t>
      </w:r>
    </w:p>
    <w:p>
      <w:pPr>
        <w:pStyle w:val="BodyText"/>
        <w:rPr>
          <w:rFonts w:ascii="Arial"/>
          <w:b/>
          <w:i/>
          <w:sz w:val="18"/>
        </w:rPr>
      </w:pPr>
      <w:r>
        <w:rPr/>
        <w:br w:type="column"/>
      </w:r>
      <w:r>
        <w:rPr>
          <w:rFonts w:ascii="Arial"/>
          <w:b/>
          <w:i/>
          <w:sz w:val="18"/>
        </w:rPr>
      </w:r>
    </w:p>
    <w:p>
      <w:pPr>
        <w:pStyle w:val="BodyText"/>
        <w:spacing w:before="10"/>
        <w:rPr>
          <w:rFonts w:ascii="Arial"/>
          <w:b/>
          <w:i/>
          <w:sz w:val="25"/>
        </w:rPr>
      </w:pPr>
    </w:p>
    <w:p>
      <w:pPr>
        <w:spacing w:before="0"/>
        <w:ind w:left="126" w:right="0" w:firstLine="0"/>
        <w:jc w:val="left"/>
        <w:rPr>
          <w:rFonts w:ascii="Arial"/>
          <w:b/>
          <w:sz w:val="18"/>
        </w:rPr>
      </w:pPr>
      <w:r>
        <w:rPr>
          <w:rFonts w:ascii="Arial"/>
          <w:color w:val="010101"/>
          <w:w w:val="110"/>
          <w:sz w:val="18"/>
        </w:rPr>
        <w:t>( </w:t>
      </w:r>
      <w:r>
        <w:rPr>
          <w:rFonts w:ascii="Arial"/>
          <w:b/>
          <w:color w:val="010101"/>
          <w:w w:val="110"/>
          <w:sz w:val="18"/>
        </w:rPr>
        <w:t>14.8)</w:t>
      </w:r>
    </w:p>
    <w:p>
      <w:pPr>
        <w:spacing w:after="0"/>
        <w:jc w:val="left"/>
        <w:rPr>
          <w:rFonts w:ascii="Arial"/>
          <w:sz w:val="18"/>
        </w:rPr>
        <w:sectPr>
          <w:type w:val="continuous"/>
          <w:pgSz w:w="7200" w:h="11340"/>
          <w:pgMar w:top="1100" w:bottom="0" w:left="660" w:right="580"/>
          <w:cols w:num="3" w:equalWidth="0">
            <w:col w:w="2585" w:space="40"/>
            <w:col w:w="610" w:space="1956"/>
            <w:col w:w="769"/>
          </w:cols>
        </w:sectPr>
      </w:pPr>
    </w:p>
    <w:p>
      <w:pPr>
        <w:pStyle w:val="BodyText"/>
        <w:spacing w:before="1"/>
        <w:rPr>
          <w:rFonts w:ascii="Arial"/>
          <w:b/>
          <w:sz w:val="17"/>
        </w:rPr>
      </w:pPr>
    </w:p>
    <w:p>
      <w:pPr>
        <w:tabs>
          <w:tab w:pos="5308" w:val="left" w:leader="none"/>
        </w:tabs>
        <w:spacing w:before="76"/>
        <w:ind w:left="118" w:right="0" w:firstLine="0"/>
        <w:jc w:val="left"/>
        <w:rPr>
          <w:b/>
          <w:sz w:val="19"/>
        </w:rPr>
      </w:pPr>
      <w:r>
        <w:rPr/>
        <w:drawing>
          <wp:anchor distT="0" distB="0" distL="0" distR="0" allowOverlap="1" layoutInCell="1" locked="0" behindDoc="1" simplePos="0" relativeHeight="267721127">
            <wp:simplePos x="0" y="0"/>
            <wp:positionH relativeFrom="page">
              <wp:posOffset>1828800</wp:posOffset>
            </wp:positionH>
            <wp:positionV relativeFrom="paragraph">
              <wp:posOffset>-32571</wp:posOffset>
            </wp:positionV>
            <wp:extent cx="969263" cy="301751"/>
            <wp:effectExtent l="0" t="0" r="0" b="0"/>
            <wp:wrapNone/>
            <wp:docPr id="651" name="image331.png" descr=""/>
            <wp:cNvGraphicFramePr>
              <a:graphicFrameLocks noChangeAspect="1"/>
            </wp:cNvGraphicFramePr>
            <a:graphic>
              <a:graphicData uri="http://schemas.openxmlformats.org/drawingml/2006/picture">
                <pic:pic>
                  <pic:nvPicPr>
                    <pic:cNvPr id="652" name="image331.png"/>
                    <pic:cNvPicPr/>
                  </pic:nvPicPr>
                  <pic:blipFill>
                    <a:blip r:embed="rId335" cstate="print"/>
                    <a:stretch>
                      <a:fillRect/>
                    </a:stretch>
                  </pic:blipFill>
                  <pic:spPr>
                    <a:xfrm>
                      <a:off x="0" y="0"/>
                      <a:ext cx="969263" cy="301751"/>
                    </a:xfrm>
                    <a:prstGeom prst="rect">
                      <a:avLst/>
                    </a:prstGeom>
                  </pic:spPr>
                </pic:pic>
              </a:graphicData>
            </a:graphic>
          </wp:anchor>
        </w:drawing>
      </w:r>
      <w:r>
        <w:rPr>
          <w:color w:val="010101"/>
          <w:w w:val="105"/>
          <w:sz w:val="21"/>
        </w:rPr>
        <w:t>where</w:t>
        <w:tab/>
      </w:r>
      <w:r>
        <w:rPr>
          <w:b/>
          <w:color w:val="010101"/>
          <w:w w:val="105"/>
          <w:sz w:val="19"/>
        </w:rPr>
        <w:t>(14.9)</w:t>
      </w:r>
    </w:p>
    <w:p>
      <w:pPr>
        <w:pStyle w:val="BodyText"/>
        <w:spacing w:before="9"/>
        <w:rPr>
          <w:b/>
          <w:sz w:val="23"/>
        </w:rPr>
      </w:pPr>
    </w:p>
    <w:p>
      <w:pPr>
        <w:tabs>
          <w:tab w:pos="4605" w:val="left" w:leader="none"/>
        </w:tabs>
        <w:spacing w:line="230" w:lineRule="exact" w:before="0"/>
        <w:ind w:left="122" w:right="136" w:firstLine="0"/>
        <w:jc w:val="left"/>
        <w:rPr>
          <w:sz w:val="21"/>
        </w:rPr>
      </w:pPr>
      <w:r>
        <w:rPr>
          <w:color w:val="010101"/>
          <w:sz w:val="21"/>
        </w:rPr>
        <w:t>This function is analogous to the </w:t>
      </w:r>
      <w:r>
        <w:rPr>
          <w:color w:val="010101"/>
          <w:spacing w:val="-8"/>
          <w:sz w:val="21"/>
        </w:rPr>
        <w:t>·central </w:t>
      </w:r>
      <w:r>
        <w:rPr>
          <w:color w:val="010101"/>
          <w:sz w:val="21"/>
        </w:rPr>
        <w:t>death rate </w:t>
      </w:r>
      <w:r>
        <w:rPr>
          <w:i/>
          <w:color w:val="010101"/>
          <w:sz w:val="21"/>
        </w:rPr>
        <w:t>mz </w:t>
      </w:r>
      <w:r>
        <w:rPr>
          <w:color w:val="010101"/>
          <w:sz w:val="19"/>
        </w:rPr>
        <w:t>in </w:t>
      </w:r>
      <w:r>
        <w:rPr>
          <w:color w:val="010101"/>
          <w:sz w:val="21"/>
        </w:rPr>
        <w:t>the mor- tality</w:t>
      </w:r>
      <w:r>
        <w:rPr>
          <w:color w:val="010101"/>
          <w:spacing w:val="38"/>
          <w:sz w:val="21"/>
        </w:rPr>
        <w:t> </w:t>
      </w:r>
      <w:r>
        <w:rPr>
          <w:color w:val="010101"/>
          <w:sz w:val="21"/>
        </w:rPr>
        <w:t>table.</w:t>
        <w:tab/>
      </w:r>
      <w:r>
        <w:rPr>
          <w:color w:val="2F2F2F"/>
          <w:sz w:val="21"/>
        </w:rPr>
        <w:t>·</w:t>
      </w:r>
    </w:p>
    <w:p>
      <w:pPr>
        <w:spacing w:before="9"/>
        <w:ind w:left="316" w:right="0" w:firstLine="0"/>
        <w:jc w:val="left"/>
        <w:rPr>
          <w:sz w:val="21"/>
        </w:rPr>
      </w:pPr>
      <w:r>
        <w:rPr>
          <w:color w:val="010101"/>
          <w:sz w:val="21"/>
        </w:rPr>
        <w:t>The central rate of  decrement from cause  </w:t>
      </w:r>
      <w:r>
        <w:rPr>
          <w:rFonts w:ascii="Arial"/>
          <w:i/>
          <w:color w:val="010101"/>
          <w:sz w:val="19"/>
        </w:rPr>
        <w:t>( k ) </w:t>
      </w:r>
      <w:r>
        <w:rPr>
          <w:color w:val="010101"/>
          <w:sz w:val="21"/>
        </w:rPr>
        <w:t>is</w:t>
      </w:r>
    </w:p>
    <w:p>
      <w:pPr>
        <w:spacing w:line="206" w:lineRule="exact" w:before="101"/>
        <w:ind w:left="657" w:right="131" w:firstLine="0"/>
        <w:jc w:val="center"/>
        <w:rPr>
          <w:rFonts w:ascii="Arial"/>
          <w:i/>
          <w:sz w:val="20"/>
        </w:rPr>
      </w:pPr>
      <w:r>
        <w:rPr>
          <w:i/>
          <w:color w:val="010101"/>
          <w:w w:val="60"/>
          <w:position w:val="-5"/>
          <w:sz w:val="20"/>
        </w:rPr>
        <w:t>d </w:t>
      </w:r>
      <w:r>
        <w:rPr>
          <w:rFonts w:ascii="Arial"/>
          <w:i/>
          <w:color w:val="010101"/>
          <w:w w:val="60"/>
          <w:sz w:val="20"/>
        </w:rPr>
        <w:t>!.I:&gt;</w:t>
      </w:r>
    </w:p>
    <w:p>
      <w:pPr>
        <w:spacing w:after="0" w:line="206" w:lineRule="exact"/>
        <w:jc w:val="center"/>
        <w:rPr>
          <w:rFonts w:ascii="Arial"/>
          <w:sz w:val="20"/>
        </w:rPr>
        <w:sectPr>
          <w:type w:val="continuous"/>
          <w:pgSz w:w="7200" w:h="11340"/>
          <w:pgMar w:top="1100" w:bottom="0" w:left="660" w:right="580"/>
        </w:sectPr>
      </w:pPr>
    </w:p>
    <w:p>
      <w:pPr>
        <w:tabs>
          <w:tab w:pos="793" w:val="left" w:leader="none"/>
        </w:tabs>
        <w:spacing w:line="162" w:lineRule="exact" w:before="0"/>
        <w:ind w:left="0" w:right="298" w:firstLine="0"/>
        <w:jc w:val="right"/>
        <w:rPr>
          <w:rFonts w:ascii="Courier New"/>
          <w:sz w:val="12"/>
        </w:rPr>
      </w:pPr>
      <w:r>
        <w:rPr/>
        <w:pict>
          <v:shape style="position:absolute;margin-left:160.977097pt;margin-top:2.028889pt;width:21.15pt;height:11.5pt;mso-position-horizontal-relative:page;mso-position-vertical-relative:paragraph;z-index:-714184" type="#_x0000_t202" filled="false" stroked="false">
            <v:textbox inset="0,0,0,0">
              <w:txbxContent>
                <w:p>
                  <w:pPr>
                    <w:tabs>
                      <w:tab w:pos="290" w:val="left" w:leader="none"/>
                    </w:tabs>
                    <w:spacing w:line="230" w:lineRule="exact" w:before="0"/>
                    <w:ind w:left="0" w:right="0" w:firstLine="0"/>
                    <w:jc w:val="left"/>
                    <w:rPr>
                      <w:sz w:val="23"/>
                    </w:rPr>
                  </w:pPr>
                  <w:r>
                    <w:rPr>
                      <w:color w:val="010101"/>
                      <w:sz w:val="23"/>
                    </w:rPr>
                    <w:t>-</w:t>
                    <w:tab/>
                    <w:t>=</w:t>
                  </w:r>
                </w:p>
              </w:txbxContent>
            </v:textbox>
            <w10:wrap type="none"/>
          </v:shape>
        </w:pict>
      </w:r>
      <w:r>
        <w:rPr/>
        <w:pict>
          <v:shape style="position:absolute;margin-left:207.278198pt;margin-top:2.028889pt;width:5.15pt;height:11.5pt;mso-position-horizontal-relative:page;mso-position-vertical-relative:paragraph;z-index:21904" type="#_x0000_t202" filled="false" stroked="false">
            <v:textbox inset="0,0,0,0">
              <w:txbxContent>
                <w:p>
                  <w:pPr>
                    <w:spacing w:line="230" w:lineRule="exact" w:before="0"/>
                    <w:ind w:left="0" w:right="0" w:firstLine="0"/>
                    <w:jc w:val="left"/>
                    <w:rPr>
                      <w:sz w:val="23"/>
                    </w:rPr>
                  </w:pPr>
                  <w:r>
                    <w:rPr>
                      <w:color w:val="010101"/>
                      <w:w w:val="133"/>
                      <w:sz w:val="23"/>
                    </w:rPr>
                    <w:t>·</w:t>
                  </w:r>
                </w:p>
              </w:txbxContent>
            </v:textbox>
            <w10:wrap type="none"/>
          </v:shape>
        </w:pict>
      </w:r>
      <w:r>
        <w:rPr>
          <w:color w:val="010101"/>
          <w:w w:val="105"/>
          <w:position w:val="-5"/>
          <w:sz w:val="20"/>
        </w:rPr>
        <w:t>m</w:t>
      </w:r>
      <w:r>
        <w:rPr>
          <w:color w:val="010101"/>
          <w:spacing w:val="13"/>
          <w:w w:val="105"/>
          <w:position w:val="-5"/>
          <w:sz w:val="20"/>
        </w:rPr>
        <w:t> </w:t>
      </w:r>
      <w:r>
        <w:rPr>
          <w:rFonts w:ascii="Courier New"/>
          <w:color w:val="010101"/>
          <w:w w:val="105"/>
          <w:sz w:val="12"/>
        </w:rPr>
        <w:t>k)</w:t>
        <w:tab/>
        <w:t>-</w:t>
      </w:r>
    </w:p>
    <w:p>
      <w:pPr>
        <w:spacing w:line="212" w:lineRule="exact" w:before="0"/>
        <w:ind w:left="0" w:right="331" w:firstLine="0"/>
        <w:jc w:val="right"/>
        <w:rPr>
          <w:b/>
          <w:i/>
          <w:sz w:val="22"/>
        </w:rPr>
      </w:pPr>
      <w:r>
        <w:rPr>
          <w:b/>
          <w:i/>
          <w:color w:val="010101"/>
          <w:w w:val="80"/>
          <w:sz w:val="22"/>
        </w:rPr>
        <w:t>Lz</w:t>
      </w:r>
    </w:p>
    <w:p>
      <w:pPr>
        <w:spacing w:line="209" w:lineRule="exact" w:before="0"/>
        <w:ind w:left="0" w:right="145" w:firstLine="0"/>
        <w:jc w:val="right"/>
        <w:rPr>
          <w:b/>
          <w:sz w:val="19"/>
        </w:rPr>
      </w:pPr>
      <w:r>
        <w:rPr/>
        <w:br w:type="column"/>
      </w:r>
      <w:r>
        <w:rPr>
          <w:b/>
          <w:color w:val="010101"/>
          <w:w w:val="110"/>
          <w:sz w:val="19"/>
        </w:rPr>
        <w:t>(14.10)</w:t>
      </w:r>
    </w:p>
    <w:p>
      <w:pPr>
        <w:spacing w:after="0" w:line="209" w:lineRule="exact"/>
        <w:jc w:val="right"/>
        <w:rPr>
          <w:sz w:val="19"/>
        </w:rPr>
        <w:sectPr>
          <w:type w:val="continuous"/>
          <w:pgSz w:w="7200" w:h="11340"/>
          <w:pgMar w:top="1100" w:bottom="0" w:left="660" w:right="580"/>
          <w:cols w:num="2" w:equalWidth="0">
            <w:col w:w="3589" w:space="40"/>
            <w:col w:w="2331"/>
          </w:cols>
        </w:sectPr>
      </w:pPr>
    </w:p>
    <w:p>
      <w:pPr>
        <w:pStyle w:val="BodyText"/>
        <w:spacing w:before="4"/>
        <w:rPr>
          <w:b/>
          <w:sz w:val="12"/>
        </w:rPr>
      </w:pPr>
    </w:p>
    <w:p>
      <w:pPr>
        <w:tabs>
          <w:tab w:pos="5215" w:val="left" w:leader="none"/>
        </w:tabs>
        <w:spacing w:before="76"/>
        <w:ind w:left="122" w:right="0" w:firstLine="0"/>
        <w:jc w:val="left"/>
        <w:rPr>
          <w:rFonts w:ascii="Arial"/>
          <w:b/>
          <w:sz w:val="19"/>
        </w:rPr>
      </w:pPr>
      <w:r>
        <w:rPr/>
        <w:drawing>
          <wp:anchor distT="0" distB="0" distL="0" distR="0" allowOverlap="1" layoutInCell="1" locked="0" behindDoc="1" simplePos="0" relativeHeight="267721151">
            <wp:simplePos x="0" y="0"/>
            <wp:positionH relativeFrom="page">
              <wp:posOffset>1856232</wp:posOffset>
            </wp:positionH>
            <wp:positionV relativeFrom="paragraph">
              <wp:posOffset>-2060</wp:posOffset>
            </wp:positionV>
            <wp:extent cx="932688" cy="274319"/>
            <wp:effectExtent l="0" t="0" r="0" b="0"/>
            <wp:wrapNone/>
            <wp:docPr id="653" name="image332.png" descr=""/>
            <wp:cNvGraphicFramePr>
              <a:graphicFrameLocks noChangeAspect="1"/>
            </wp:cNvGraphicFramePr>
            <a:graphic>
              <a:graphicData uri="http://schemas.openxmlformats.org/drawingml/2006/picture">
                <pic:pic>
                  <pic:nvPicPr>
                    <pic:cNvPr id="654" name="image332.png"/>
                    <pic:cNvPicPr/>
                  </pic:nvPicPr>
                  <pic:blipFill>
                    <a:blip r:embed="rId336" cstate="print"/>
                    <a:stretch>
                      <a:fillRect/>
                    </a:stretch>
                  </pic:blipFill>
                  <pic:spPr>
                    <a:xfrm>
                      <a:off x="0" y="0"/>
                      <a:ext cx="932688" cy="274319"/>
                    </a:xfrm>
                    <a:prstGeom prst="rect">
                      <a:avLst/>
                    </a:prstGeom>
                  </pic:spPr>
                </pic:pic>
              </a:graphicData>
            </a:graphic>
          </wp:anchor>
        </w:drawing>
      </w:r>
      <w:r>
        <w:rPr>
          <w:color w:val="010101"/>
          <w:w w:val="105"/>
          <w:sz w:val="22"/>
        </w:rPr>
        <w:t>It </w:t>
      </w:r>
      <w:r>
        <w:rPr>
          <w:rFonts w:ascii="Arial"/>
          <w:color w:val="010101"/>
          <w:w w:val="105"/>
          <w:sz w:val="20"/>
        </w:rPr>
        <w:t>is</w:t>
      </w:r>
      <w:r>
        <w:rPr>
          <w:rFonts w:ascii="Arial"/>
          <w:color w:val="010101"/>
          <w:spacing w:val="7"/>
          <w:w w:val="105"/>
          <w:sz w:val="20"/>
        </w:rPr>
        <w:t> </w:t>
      </w:r>
      <w:r>
        <w:rPr>
          <w:color w:val="010101"/>
          <w:w w:val="105"/>
          <w:sz w:val="21"/>
        </w:rPr>
        <w:t>evident</w:t>
      </w:r>
      <w:r>
        <w:rPr>
          <w:color w:val="010101"/>
          <w:spacing w:val="20"/>
          <w:w w:val="105"/>
          <w:sz w:val="21"/>
        </w:rPr>
        <w:t> </w:t>
      </w:r>
      <w:r>
        <w:rPr>
          <w:color w:val="010101"/>
          <w:w w:val="105"/>
          <w:sz w:val="21"/>
        </w:rPr>
        <w:t>that</w:t>
        <w:tab/>
      </w:r>
      <w:r>
        <w:rPr>
          <w:rFonts w:ascii="Arial"/>
          <w:b/>
          <w:color w:val="010101"/>
          <w:spacing w:val="-4"/>
          <w:w w:val="105"/>
          <w:sz w:val="19"/>
        </w:rPr>
        <w:t>(14.11)</w:t>
      </w:r>
    </w:p>
    <w:p>
      <w:pPr>
        <w:pStyle w:val="BodyText"/>
        <w:spacing w:before="4"/>
        <w:rPr>
          <w:rFonts w:ascii="Arial"/>
          <w:b/>
          <w:sz w:val="23"/>
        </w:rPr>
      </w:pPr>
    </w:p>
    <w:p>
      <w:pPr>
        <w:spacing w:line="237" w:lineRule="auto" w:before="0"/>
        <w:ind w:left="111" w:right="125" w:firstLine="204"/>
        <w:jc w:val="both"/>
        <w:rPr>
          <w:sz w:val="21"/>
        </w:rPr>
      </w:pPr>
      <w:r>
        <w:rPr>
          <w:color w:val="010101"/>
          <w:sz w:val="21"/>
        </w:rPr>
        <w:t>In order to evaluate </w:t>
      </w:r>
      <w:r>
        <w:rPr>
          <w:color w:val="010101"/>
          <w:spacing w:val="-3"/>
          <w:sz w:val="21"/>
        </w:rPr>
        <w:t>m!1:&gt;, </w:t>
      </w:r>
      <w:r>
        <w:rPr>
          <w:color w:val="010101"/>
          <w:sz w:val="21"/>
        </w:rPr>
        <w:t>it is convenient to assume that  the total decrement at each age is unifonnly  distributed  over the </w:t>
      </w:r>
      <w:r>
        <w:rPr>
          <w:b/>
          <w:color w:val="010101"/>
          <w:sz w:val="19"/>
        </w:rPr>
        <w:t>year  </w:t>
      </w:r>
      <w:r>
        <w:rPr>
          <w:color w:val="010101"/>
          <w:sz w:val="21"/>
        </w:rPr>
        <w:t>of  </w:t>
      </w:r>
      <w:r>
        <w:rPr>
          <w:b/>
          <w:color w:val="010101"/>
          <w:sz w:val="19"/>
        </w:rPr>
        <w:t>age. </w:t>
      </w:r>
      <w:r>
        <w:rPr>
          <w:color w:val="010101"/>
          <w:sz w:val="21"/>
        </w:rPr>
        <w:t>This assumption  is equivalent  to the</w:t>
      </w:r>
      <w:r>
        <w:rPr>
          <w:color w:val="010101"/>
          <w:spacing w:val="34"/>
          <w:sz w:val="21"/>
        </w:rPr>
        <w:t> </w:t>
      </w:r>
      <w:r>
        <w:rPr>
          <w:color w:val="010101"/>
          <w:sz w:val="21"/>
        </w:rPr>
        <w:t>approximation</w:t>
      </w:r>
    </w:p>
    <w:p>
      <w:pPr>
        <w:tabs>
          <w:tab w:pos="5204" w:val="left" w:leader="none"/>
        </w:tabs>
        <w:spacing w:before="118"/>
        <w:ind w:left="1485" w:right="0" w:firstLine="0"/>
        <w:jc w:val="left"/>
        <w:rPr>
          <w:sz w:val="19"/>
        </w:rPr>
      </w:pPr>
      <w:r>
        <w:rPr>
          <w:position w:val="-4"/>
        </w:rPr>
        <w:drawing>
          <wp:inline distT="0" distB="0" distL="0" distR="0">
            <wp:extent cx="1060704" cy="155447"/>
            <wp:effectExtent l="0" t="0" r="0" b="0"/>
            <wp:docPr id="655" name="image333.png" descr=""/>
            <wp:cNvGraphicFramePr>
              <a:graphicFrameLocks noChangeAspect="1"/>
            </wp:cNvGraphicFramePr>
            <a:graphic>
              <a:graphicData uri="http://schemas.openxmlformats.org/drawingml/2006/picture">
                <pic:pic>
                  <pic:nvPicPr>
                    <pic:cNvPr id="656" name="image333.png"/>
                    <pic:cNvPicPr/>
                  </pic:nvPicPr>
                  <pic:blipFill>
                    <a:blip r:embed="rId337" cstate="print"/>
                    <a:stretch>
                      <a:fillRect/>
                    </a:stretch>
                  </pic:blipFill>
                  <pic:spPr>
                    <a:xfrm>
                      <a:off x="0" y="0"/>
                      <a:ext cx="1060704" cy="155447"/>
                    </a:xfrm>
                    <a:prstGeom prst="rect">
                      <a:avLst/>
                    </a:prstGeom>
                  </pic:spPr>
                </pic:pic>
              </a:graphicData>
            </a:graphic>
          </wp:inline>
        </w:drawing>
      </w:r>
      <w:r>
        <w:rPr>
          <w:position w:val="-4"/>
        </w:rPr>
      </w:r>
      <w:r>
        <w:rPr>
          <w:sz w:val="20"/>
        </w:rPr>
        <w:t>      </w:t>
      </w:r>
      <w:r>
        <w:rPr>
          <w:color w:val="010101"/>
          <w:sz w:val="26"/>
        </w:rPr>
        <w:t>o &lt; </w:t>
      </w:r>
      <w:r>
        <w:rPr>
          <w:i/>
          <w:color w:val="010101"/>
          <w:sz w:val="22"/>
        </w:rPr>
        <w:t>t </w:t>
      </w:r>
      <w:r>
        <w:rPr>
          <w:i/>
          <w:color w:val="010101"/>
          <w:spacing w:val="32"/>
          <w:sz w:val="22"/>
        </w:rPr>
        <w:t> </w:t>
      </w:r>
      <w:r>
        <w:rPr>
          <w:color w:val="010101"/>
          <w:sz w:val="26"/>
        </w:rPr>
        <w:t>&lt;</w:t>
      </w:r>
      <w:r>
        <w:rPr>
          <w:color w:val="010101"/>
          <w:spacing w:val="41"/>
          <w:sz w:val="26"/>
        </w:rPr>
        <w:t> </w:t>
      </w:r>
      <w:r>
        <w:rPr>
          <w:color w:val="010101"/>
          <w:w w:val="110"/>
          <w:sz w:val="19"/>
        </w:rPr>
        <w:t>l</w:t>
        <w:tab/>
      </w:r>
      <w:r>
        <w:rPr>
          <w:color w:val="010101"/>
          <w:position w:val="1"/>
          <w:sz w:val="19"/>
        </w:rPr>
        <w:t>(</w:t>
      </w:r>
      <w:r>
        <w:rPr>
          <w:color w:val="010101"/>
          <w:spacing w:val="44"/>
          <w:position w:val="1"/>
          <w:sz w:val="19"/>
        </w:rPr>
        <w:t> </w:t>
      </w:r>
      <w:r>
        <w:rPr>
          <w:color w:val="010101"/>
          <w:spacing w:val="-8"/>
          <w:position w:val="1"/>
          <w:sz w:val="19"/>
        </w:rPr>
        <w:t>14.12)</w:t>
      </w:r>
    </w:p>
    <w:p>
      <w:pPr>
        <w:spacing w:before="129"/>
        <w:ind w:left="104" w:right="0" w:firstLine="0"/>
        <w:jc w:val="left"/>
        <w:rPr>
          <w:sz w:val="21"/>
        </w:rPr>
      </w:pPr>
      <w:r>
        <w:rPr>
          <w:color w:val="010101"/>
          <w:sz w:val="21"/>
        </w:rPr>
        <w:t>whence</w:t>
      </w:r>
    </w:p>
    <w:p>
      <w:pPr>
        <w:spacing w:after="0"/>
        <w:jc w:val="left"/>
        <w:rPr>
          <w:sz w:val="21"/>
        </w:rPr>
        <w:sectPr>
          <w:type w:val="continuous"/>
          <w:pgSz w:w="7200" w:h="11340"/>
          <w:pgMar w:top="1100" w:bottom="0" w:left="660" w:right="580"/>
        </w:sectPr>
      </w:pPr>
    </w:p>
    <w:p>
      <w:pPr>
        <w:tabs>
          <w:tab w:pos="1594" w:val="left" w:leader="none"/>
          <w:tab w:pos="5144" w:val="left" w:leader="none"/>
        </w:tabs>
        <w:spacing w:line="210" w:lineRule="exact" w:before="47"/>
        <w:ind w:left="36" w:right="0" w:firstLine="0"/>
        <w:jc w:val="center"/>
        <w:rPr>
          <w:rFonts w:ascii="Arial"/>
          <w:b/>
          <w:sz w:val="18"/>
        </w:rPr>
      </w:pPr>
      <w:r>
        <w:rPr>
          <w:sz w:val="19"/>
        </w:rPr>
        <w:t>274</w:t>
        <w:tab/>
      </w:r>
      <w:r>
        <w:rPr>
          <w:sz w:val="15"/>
        </w:rPr>
        <w:t>MULTIPLE-DECREMENT     </w:t>
      </w:r>
      <w:r>
        <w:rPr>
          <w:spacing w:val="1"/>
          <w:sz w:val="15"/>
        </w:rPr>
        <w:t> </w:t>
      </w:r>
      <w:r>
        <w:rPr>
          <w:sz w:val="15"/>
        </w:rPr>
        <w:t>TABLES</w:t>
        <w:tab/>
      </w:r>
      <w:r>
        <w:rPr>
          <w:position w:val="1"/>
          <w:sz w:val="19"/>
        </w:rPr>
        <w:t>[CH.</w:t>
      </w:r>
      <w:r>
        <w:rPr>
          <w:spacing w:val="-2"/>
          <w:position w:val="1"/>
          <w:sz w:val="19"/>
        </w:rPr>
        <w:t> </w:t>
      </w:r>
      <w:r>
        <w:rPr>
          <w:rFonts w:ascii="Arial"/>
          <w:b/>
          <w:position w:val="1"/>
          <w:sz w:val="18"/>
        </w:rPr>
        <w:t>14</w:t>
      </w:r>
    </w:p>
    <w:p>
      <w:pPr>
        <w:spacing w:line="695" w:lineRule="exact" w:before="0"/>
        <w:ind w:left="74" w:right="89" w:firstLine="0"/>
        <w:jc w:val="center"/>
        <w:rPr>
          <w:i/>
          <w:sz w:val="21"/>
        </w:rPr>
      </w:pPr>
      <w:r>
        <w:rPr>
          <w:rFonts w:ascii="Arial"/>
          <w:i/>
          <w:sz w:val="20"/>
        </w:rPr>
        <w:t>L;T </w:t>
      </w:r>
      <w:r>
        <w:rPr>
          <w:rFonts w:ascii="Arial"/>
          <w:i/>
          <w:w w:val="80"/>
          <w:sz w:val="20"/>
        </w:rPr>
        <w:t>)  </w:t>
      </w:r>
      <w:r>
        <w:rPr>
          <w:w w:val="115"/>
          <w:sz w:val="23"/>
        </w:rPr>
        <w:t>= </w:t>
      </w:r>
      <w:r>
        <w:rPr>
          <w:sz w:val="62"/>
        </w:rPr>
        <w:t>f</w:t>
      </w:r>
      <w:r>
        <w:rPr>
          <w:spacing w:val="-67"/>
          <w:sz w:val="62"/>
        </w:rPr>
        <w:t> </w:t>
      </w:r>
      <w:r>
        <w:rPr>
          <w:i/>
          <w:spacing w:val="-4"/>
          <w:w w:val="115"/>
          <w:sz w:val="21"/>
        </w:rPr>
        <w:t>l;!! </w:t>
      </w:r>
      <w:r>
        <w:rPr>
          <w:i/>
          <w:sz w:val="21"/>
        </w:rPr>
        <w:t>dt </w:t>
      </w:r>
      <w:r>
        <w:rPr>
          <w:sz w:val="22"/>
        </w:rPr>
        <w:t>=; </w:t>
      </w:r>
      <w:r>
        <w:rPr>
          <w:i/>
          <w:w w:val="240"/>
          <w:sz w:val="22"/>
        </w:rPr>
        <w:t>{</w:t>
      </w:r>
      <w:r>
        <w:rPr>
          <w:i/>
          <w:spacing w:val="-60"/>
          <w:w w:val="240"/>
          <w:sz w:val="22"/>
        </w:rPr>
        <w:t> </w:t>
      </w:r>
      <w:r>
        <w:rPr>
          <w:rFonts w:ascii="Arial"/>
          <w:spacing w:val="-9"/>
          <w:w w:val="135"/>
          <w:sz w:val="19"/>
        </w:rPr>
        <w:t>(lt&gt; </w:t>
      </w:r>
      <w:r>
        <w:rPr>
          <w:rFonts w:ascii="Arial"/>
          <w:w w:val="240"/>
          <w:sz w:val="19"/>
        </w:rPr>
        <w:t>-</w:t>
      </w:r>
      <w:r>
        <w:rPr>
          <w:rFonts w:ascii="Arial"/>
          <w:spacing w:val="-75"/>
          <w:w w:val="240"/>
          <w:sz w:val="19"/>
        </w:rPr>
        <w:t> </w:t>
      </w:r>
      <w:r>
        <w:rPr>
          <w:i/>
          <w:spacing w:val="4"/>
          <w:w w:val="115"/>
          <w:sz w:val="21"/>
        </w:rPr>
        <w:t>td?)) </w:t>
      </w:r>
      <w:r>
        <w:rPr>
          <w:i/>
          <w:sz w:val="21"/>
        </w:rPr>
        <w:t>dt</w:t>
      </w:r>
    </w:p>
    <w:p>
      <w:pPr>
        <w:spacing w:after="0" w:line="695" w:lineRule="exact"/>
        <w:jc w:val="center"/>
        <w:rPr>
          <w:sz w:val="21"/>
        </w:rPr>
        <w:sectPr>
          <w:pgSz w:w="7200" w:h="11340"/>
          <w:pgMar w:top="500" w:bottom="280" w:left="660" w:right="560"/>
        </w:sectPr>
      </w:pPr>
    </w:p>
    <w:p>
      <w:pPr>
        <w:spacing w:before="102"/>
        <w:ind w:left="1694" w:right="0" w:firstLine="0"/>
        <w:jc w:val="left"/>
        <w:rPr>
          <w:sz w:val="26"/>
        </w:rPr>
      </w:pPr>
      <w:r>
        <w:rPr/>
        <w:pict>
          <v:shape style="position:absolute;margin-left:181.080002pt;margin-top:17.925028pt;width:1.7pt;height:2.5pt;mso-position-horizontal-relative:page;mso-position-vertical-relative:paragraph;z-index:21976" type="#_x0000_t202" filled="false" stroked="false">
            <v:textbox inset="0,0,0,0">
              <w:txbxContent>
                <w:p>
                  <w:pPr>
                    <w:spacing w:line="50" w:lineRule="exact" w:before="0"/>
                    <w:ind w:left="0" w:right="0" w:firstLine="0"/>
                    <w:jc w:val="left"/>
                    <w:rPr>
                      <w:sz w:val="5"/>
                    </w:rPr>
                  </w:pPr>
                  <w:r>
                    <w:rPr>
                      <w:w w:val="133"/>
                      <w:sz w:val="5"/>
                    </w:rPr>
                    <w:t>0</w:t>
                  </w:r>
                </w:p>
              </w:txbxContent>
            </v:textbox>
            <w10:wrap type="none"/>
          </v:shape>
        </w:pict>
      </w:r>
      <w:r>
        <w:rPr>
          <w:sz w:val="24"/>
        </w:rPr>
        <w:t>= </w:t>
      </w:r>
      <w:r>
        <w:rPr>
          <w:rFonts w:ascii="Arial"/>
          <w:i/>
          <w:sz w:val="20"/>
        </w:rPr>
        <w:t>l;T </w:t>
      </w:r>
      <w:r>
        <w:rPr>
          <w:rFonts w:ascii="Arial"/>
          <w:i/>
          <w:w w:val="80"/>
          <w:sz w:val="20"/>
        </w:rPr>
        <w:t>)  </w:t>
      </w:r>
      <w:r>
        <w:rPr>
          <w:rFonts w:ascii="Arial"/>
          <w:w w:val="115"/>
          <w:sz w:val="20"/>
        </w:rPr>
        <w:t>_ </w:t>
      </w:r>
      <w:r>
        <w:rPr>
          <w:w w:val="265"/>
          <w:sz w:val="26"/>
        </w:rPr>
        <w:t>!</w:t>
      </w:r>
      <w:r>
        <w:rPr>
          <w:spacing w:val="-161"/>
          <w:w w:val="265"/>
          <w:sz w:val="26"/>
        </w:rPr>
        <w:t> </w:t>
      </w:r>
      <w:r>
        <w:rPr>
          <w:w w:val="80"/>
          <w:sz w:val="26"/>
        </w:rPr>
        <w:t>T)</w:t>
      </w:r>
    </w:p>
    <w:p>
      <w:pPr>
        <w:pStyle w:val="BodyText"/>
        <w:spacing w:before="10"/>
        <w:rPr>
          <w:sz w:val="16"/>
        </w:rPr>
      </w:pPr>
      <w:r>
        <w:rPr/>
        <w:br w:type="column"/>
      </w:r>
      <w:r>
        <w:rPr>
          <w:sz w:val="16"/>
        </w:rPr>
      </w:r>
    </w:p>
    <w:p>
      <w:pPr>
        <w:pStyle w:val="BodyText"/>
        <w:ind w:right="131"/>
        <w:jc w:val="right"/>
      </w:pPr>
      <w:r>
        <w:rPr/>
        <w:t>(14.13)</w:t>
      </w:r>
    </w:p>
    <w:p>
      <w:pPr>
        <w:spacing w:after="0"/>
        <w:jc w:val="right"/>
        <w:sectPr>
          <w:type w:val="continuous"/>
          <w:pgSz w:w="7200" w:h="11340"/>
          <w:pgMar w:top="1100" w:bottom="0" w:left="660" w:right="560"/>
          <w:cols w:num="2" w:equalWidth="0">
            <w:col w:w="2995" w:space="561"/>
            <w:col w:w="2424"/>
          </w:cols>
        </w:sectPr>
      </w:pPr>
    </w:p>
    <w:p>
      <w:pPr>
        <w:pStyle w:val="BodyText"/>
        <w:spacing w:before="10"/>
        <w:rPr>
          <w:sz w:val="8"/>
        </w:rPr>
      </w:pPr>
    </w:p>
    <w:p>
      <w:pPr>
        <w:pStyle w:val="BodyText"/>
        <w:spacing w:before="75"/>
        <w:ind w:left="139" w:right="739"/>
      </w:pPr>
      <w:r>
        <w:rPr>
          <w:w w:val="105"/>
        </w:rPr>
        <w:t>We then have</w:t>
      </w:r>
    </w:p>
    <w:p>
      <w:pPr>
        <w:spacing w:after="0"/>
        <w:sectPr>
          <w:type w:val="continuous"/>
          <w:pgSz w:w="7200" w:h="11340"/>
          <w:pgMar w:top="1100" w:bottom="0" w:left="660" w:right="560"/>
        </w:sectPr>
      </w:pPr>
    </w:p>
    <w:p>
      <w:pPr>
        <w:pStyle w:val="BodyText"/>
        <w:rPr>
          <w:sz w:val="10"/>
        </w:rPr>
      </w:pPr>
    </w:p>
    <w:p>
      <w:pPr>
        <w:spacing w:line="115" w:lineRule="exact" w:before="62"/>
        <w:ind w:left="0" w:right="526" w:firstLine="0"/>
        <w:jc w:val="right"/>
        <w:rPr>
          <w:rFonts w:ascii="Arial"/>
          <w:i/>
          <w:sz w:val="11"/>
        </w:rPr>
      </w:pPr>
      <w:r>
        <w:rPr>
          <w:rFonts w:ascii="Arial"/>
          <w:i/>
          <w:w w:val="105"/>
          <w:sz w:val="11"/>
        </w:rPr>
        <w:t>d(lc </w:t>
      </w:r>
      <w:r>
        <w:rPr>
          <w:rFonts w:ascii="Arial"/>
          <w:i/>
          <w:sz w:val="11"/>
        </w:rPr>
        <w:t>)</w:t>
      </w:r>
    </w:p>
    <w:p>
      <w:pPr>
        <w:tabs>
          <w:tab w:pos="3227" w:val="left" w:leader="none"/>
        </w:tabs>
        <w:spacing w:line="93" w:lineRule="exact" w:before="0"/>
        <w:ind w:left="2543" w:right="0" w:firstLine="0"/>
        <w:jc w:val="left"/>
        <w:rPr>
          <w:rFonts w:ascii="Arial"/>
          <w:b/>
          <w:i/>
          <w:sz w:val="11"/>
        </w:rPr>
      </w:pPr>
      <w:r>
        <w:rPr>
          <w:rFonts w:ascii="Arial"/>
          <w:w w:val="210"/>
          <w:sz w:val="11"/>
        </w:rPr>
        <w:t>.</w:t>
        <w:tab/>
      </w:r>
      <w:r>
        <w:rPr>
          <w:rFonts w:ascii="Arial"/>
          <w:b/>
          <w:i/>
          <w:w w:val="135"/>
          <w:sz w:val="11"/>
        </w:rPr>
        <w:t>z</w:t>
      </w:r>
    </w:p>
    <w:p>
      <w:pPr>
        <w:spacing w:line="191" w:lineRule="exact" w:before="0"/>
        <w:ind w:left="0" w:right="0" w:firstLine="0"/>
        <w:jc w:val="right"/>
        <w:rPr>
          <w:rFonts w:ascii="Arial"/>
          <w:sz w:val="20"/>
        </w:rPr>
      </w:pPr>
      <w:r>
        <w:rPr>
          <w:b/>
          <w:i/>
          <w:w w:val="95"/>
          <w:sz w:val="19"/>
        </w:rPr>
        <w:t>z&lt;T </w:t>
      </w:r>
      <w:r>
        <w:rPr>
          <w:b/>
          <w:i/>
          <w:w w:val="70"/>
          <w:sz w:val="19"/>
        </w:rPr>
        <w:t>) </w:t>
      </w:r>
      <w:r>
        <w:rPr>
          <w:w w:val="255"/>
          <w:sz w:val="19"/>
        </w:rPr>
        <w:t>-</w:t>
      </w:r>
      <w:r>
        <w:rPr>
          <w:spacing w:val="-100"/>
          <w:w w:val="255"/>
          <w:sz w:val="19"/>
        </w:rPr>
        <w:t> </w:t>
      </w:r>
      <w:r>
        <w:rPr>
          <w:rFonts w:ascii="Arial"/>
          <w:i/>
          <w:w w:val="95"/>
          <w:sz w:val="20"/>
        </w:rPr>
        <w:t>1.d(T </w:t>
      </w:r>
      <w:r>
        <w:rPr>
          <w:rFonts w:ascii="Arial"/>
          <w:i/>
          <w:w w:val="70"/>
          <w:sz w:val="20"/>
        </w:rPr>
        <w:t>) </w:t>
      </w:r>
      <w:r>
        <w:rPr>
          <w:rFonts w:ascii="Arial"/>
          <w:w w:val="115"/>
          <w:sz w:val="20"/>
        </w:rPr>
        <w:t>,</w:t>
      </w:r>
    </w:p>
    <w:p>
      <w:pPr>
        <w:tabs>
          <w:tab w:pos="568" w:val="left" w:leader="none"/>
        </w:tabs>
        <w:spacing w:line="131" w:lineRule="exact" w:before="0"/>
        <w:ind w:left="0" w:right="286" w:firstLine="0"/>
        <w:jc w:val="right"/>
        <w:rPr>
          <w:rFonts w:ascii="Courier New"/>
          <w:b/>
          <w:i/>
          <w:sz w:val="13"/>
        </w:rPr>
      </w:pPr>
      <w:r>
        <w:rPr>
          <w:rFonts w:ascii="Courier New"/>
          <w:i/>
          <w:sz w:val="13"/>
        </w:rPr>
        <w:t>z</w:t>
        <w:tab/>
      </w:r>
      <w:r>
        <w:rPr>
          <w:rFonts w:ascii="Courier New"/>
          <w:b/>
          <w:sz w:val="12"/>
        </w:rPr>
        <w:t>2</w:t>
      </w:r>
      <w:r>
        <w:rPr>
          <w:rFonts w:ascii="Courier New"/>
          <w:b/>
          <w:spacing w:val="30"/>
          <w:sz w:val="12"/>
        </w:rPr>
        <w:t> </w:t>
      </w:r>
      <w:r>
        <w:rPr>
          <w:rFonts w:ascii="Courier New"/>
          <w:b/>
          <w:i/>
          <w:sz w:val="13"/>
        </w:rPr>
        <w:t>z</w:t>
      </w:r>
    </w:p>
    <w:p>
      <w:pPr>
        <w:pStyle w:val="BodyText"/>
        <w:spacing w:before="1"/>
        <w:rPr>
          <w:rFonts w:ascii="Courier New"/>
          <w:b/>
          <w:i/>
          <w:sz w:val="25"/>
        </w:rPr>
      </w:pPr>
      <w:r>
        <w:rPr/>
        <w:br w:type="column"/>
      </w:r>
      <w:r>
        <w:rPr>
          <w:rFonts w:ascii="Courier New"/>
          <w:b/>
          <w:i/>
          <w:sz w:val="25"/>
        </w:rPr>
      </w:r>
    </w:p>
    <w:p>
      <w:pPr>
        <w:pStyle w:val="BodyText"/>
        <w:ind w:left="1275"/>
      </w:pPr>
      <w:r>
        <w:rPr>
          <w:w w:val="105"/>
        </w:rPr>
        <w:t>(14.14)</w:t>
      </w:r>
    </w:p>
    <w:p>
      <w:pPr>
        <w:spacing w:after="0"/>
        <w:sectPr>
          <w:type w:val="continuous"/>
          <w:pgSz w:w="7200" w:h="11340"/>
          <w:pgMar w:top="1100" w:bottom="0" w:left="660" w:right="560"/>
          <w:cols w:num="2" w:equalWidth="0">
            <w:col w:w="3929" w:space="40"/>
            <w:col w:w="2011"/>
          </w:cols>
        </w:sectPr>
      </w:pPr>
    </w:p>
    <w:p>
      <w:pPr>
        <w:pStyle w:val="BodyText"/>
        <w:spacing w:line="259" w:lineRule="auto" w:before="138"/>
        <w:ind w:left="139" w:right="133"/>
      </w:pPr>
      <w:r>
        <w:rPr/>
        <w:t>From this it follows that </w:t>
      </w:r>
      <w:r>
        <w:rPr>
          <w:b/>
          <w:i/>
          <w:w w:val="95"/>
        </w:rPr>
        <w:t>m;1c&gt; </w:t>
      </w:r>
      <w:r>
        <w:rPr/>
        <w:t>can be cxpressed in terms of proba­ bilities  of  decrement as</w:t>
      </w:r>
    </w:p>
    <w:p>
      <w:pPr>
        <w:pStyle w:val="BodyText"/>
        <w:spacing w:before="133"/>
        <w:ind w:right="140"/>
        <w:jc w:val="right"/>
      </w:pPr>
      <w:r>
        <w:rPr>
          <w:position w:val="-20"/>
        </w:rPr>
        <w:drawing>
          <wp:inline distT="0" distB="0" distL="0" distR="0">
            <wp:extent cx="594360" cy="338327"/>
            <wp:effectExtent l="0" t="0" r="0" b="0"/>
            <wp:docPr id="657" name="image334.png" descr=""/>
            <wp:cNvGraphicFramePr>
              <a:graphicFrameLocks noChangeAspect="1"/>
            </wp:cNvGraphicFramePr>
            <a:graphic>
              <a:graphicData uri="http://schemas.openxmlformats.org/drawingml/2006/picture">
                <pic:pic>
                  <pic:nvPicPr>
                    <pic:cNvPr id="658" name="image334.png"/>
                    <pic:cNvPicPr/>
                  </pic:nvPicPr>
                  <pic:blipFill>
                    <a:blip r:embed="rId338" cstate="print"/>
                    <a:stretch>
                      <a:fillRect/>
                    </a:stretch>
                  </pic:blipFill>
                  <pic:spPr>
                    <a:xfrm>
                      <a:off x="0" y="0"/>
                      <a:ext cx="594360" cy="338327"/>
                    </a:xfrm>
                    <a:prstGeom prst="rect">
                      <a:avLst/>
                    </a:prstGeom>
                  </pic:spPr>
                </pic:pic>
              </a:graphicData>
            </a:graphic>
          </wp:inline>
        </w:drawing>
      </w:r>
      <w:r>
        <w:rPr>
          <w:position w:val="-20"/>
        </w:rPr>
      </w:r>
      <w:r>
        <w:rPr/>
        <w:t>                            (14.15)</w:t>
      </w:r>
    </w:p>
    <w:p>
      <w:pPr>
        <w:pStyle w:val="BodyText"/>
        <w:spacing w:line="249" w:lineRule="auto" w:before="166"/>
        <w:ind w:left="121" w:right="111" w:firstLine="201"/>
        <w:jc w:val="both"/>
      </w:pPr>
      <w:r>
        <w:rPr>
          <w:w w:val="105"/>
        </w:rPr>
        <w:t>The experience obtained from a body of lives subject to severa! causes of decrement is often summarized in the form of central  rates, and it becomes important to have a method for constructing the multiple-decrement table when the central rates of decrement are given for each</w:t>
      </w:r>
      <w:r>
        <w:rPr>
          <w:spacing w:val="44"/>
          <w:w w:val="105"/>
        </w:rPr>
        <w:t> </w:t>
      </w:r>
      <w:r>
        <w:rPr>
          <w:w w:val="105"/>
        </w:rPr>
        <w:t>cause.</w:t>
      </w:r>
    </w:p>
    <w:p>
      <w:pPr>
        <w:spacing w:line="241" w:lineRule="exact" w:before="0"/>
        <w:ind w:left="319" w:right="739" w:firstLine="0"/>
        <w:jc w:val="left"/>
        <w:rPr>
          <w:sz w:val="20"/>
        </w:rPr>
      </w:pPr>
      <w:r>
        <w:rPr>
          <w:w w:val="104"/>
          <w:sz w:val="20"/>
        </w:rPr>
        <w:t>From</w:t>
      </w:r>
      <w:r>
        <w:rPr>
          <w:sz w:val="20"/>
        </w:rPr>
        <w:t> </w:t>
      </w:r>
      <w:r>
        <w:rPr>
          <w:spacing w:val="17"/>
          <w:sz w:val="20"/>
        </w:rPr>
        <w:t> </w:t>
      </w:r>
      <w:r>
        <w:rPr>
          <w:w w:val="97"/>
          <w:sz w:val="20"/>
        </w:rPr>
        <w:t>(14</w:t>
      </w:r>
      <w:r>
        <w:rPr>
          <w:spacing w:val="10"/>
          <w:w w:val="97"/>
          <w:sz w:val="20"/>
        </w:rPr>
        <w:t>.</w:t>
      </w:r>
      <w:r>
        <w:rPr>
          <w:w w:val="111"/>
          <w:sz w:val="20"/>
        </w:rPr>
        <w:t>13),</w:t>
      </w:r>
      <w:r>
        <w:rPr>
          <w:spacing w:val="-6"/>
          <w:sz w:val="20"/>
        </w:rPr>
        <w:t> </w:t>
      </w:r>
      <w:r>
        <w:rPr>
          <w:w w:val="100"/>
          <w:sz w:val="20"/>
        </w:rPr>
        <w:t>we</w:t>
      </w:r>
      <w:r>
        <w:rPr>
          <w:spacing w:val="17"/>
          <w:sz w:val="20"/>
        </w:rPr>
        <w:t> </w:t>
      </w:r>
      <w:r>
        <w:rPr>
          <w:w w:val="106"/>
          <w:sz w:val="20"/>
        </w:rPr>
        <w:t>have</w:t>
      </w:r>
      <w:r>
        <w:rPr>
          <w:spacing w:val="21"/>
          <w:sz w:val="20"/>
        </w:rPr>
        <w:t> </w:t>
      </w:r>
      <w:r>
        <w:rPr>
          <w:spacing w:val="-20"/>
          <w:w w:val="45"/>
          <w:sz w:val="26"/>
        </w:rPr>
        <w:t>z</w:t>
      </w:r>
      <w:r>
        <w:rPr>
          <w:spacing w:val="-111"/>
          <w:w w:val="224"/>
          <w:sz w:val="26"/>
        </w:rPr>
        <w:t>!</w:t>
      </w:r>
      <w:r>
        <w:rPr>
          <w:w w:val="39"/>
          <w:sz w:val="26"/>
        </w:rPr>
        <w:t>TJ</w:t>
      </w:r>
      <w:r>
        <w:rPr>
          <w:sz w:val="26"/>
        </w:rPr>
        <w:t> </w:t>
      </w:r>
      <w:r>
        <w:rPr>
          <w:spacing w:val="-15"/>
          <w:sz w:val="26"/>
        </w:rPr>
        <w:t> </w:t>
      </w:r>
      <w:r>
        <w:rPr>
          <w:w w:val="79"/>
          <w:sz w:val="22"/>
        </w:rPr>
        <w:t>=;</w:t>
      </w:r>
      <w:r>
        <w:rPr>
          <w:sz w:val="22"/>
        </w:rPr>
        <w:t> </w:t>
      </w:r>
      <w:r>
        <w:rPr>
          <w:spacing w:val="-24"/>
          <w:sz w:val="22"/>
        </w:rPr>
        <w:t> </w:t>
      </w:r>
      <w:r>
        <w:rPr>
          <w:rFonts w:ascii="Arial"/>
          <w:i/>
          <w:w w:val="82"/>
          <w:sz w:val="20"/>
        </w:rPr>
        <w:t>L!T&gt;</w:t>
      </w:r>
      <w:r>
        <w:rPr>
          <w:rFonts w:ascii="Arial"/>
          <w:i/>
          <w:sz w:val="20"/>
        </w:rPr>
        <w:t> </w:t>
      </w:r>
      <w:r>
        <w:rPr>
          <w:rFonts w:ascii="Arial"/>
          <w:i/>
          <w:spacing w:val="-16"/>
          <w:sz w:val="20"/>
        </w:rPr>
        <w:t> </w:t>
      </w:r>
      <w:r>
        <w:rPr>
          <w:w w:val="101"/>
          <w:sz w:val="29"/>
        </w:rPr>
        <w:t>+</w:t>
      </w:r>
      <w:r>
        <w:rPr>
          <w:spacing w:val="16"/>
          <w:sz w:val="29"/>
        </w:rPr>
        <w:t> </w:t>
      </w:r>
      <w:r>
        <w:rPr>
          <w:rFonts w:ascii="Arial"/>
          <w:i/>
          <w:w w:val="141"/>
          <w:sz w:val="20"/>
        </w:rPr>
        <w:t>i</w:t>
      </w:r>
      <w:r>
        <w:rPr>
          <w:rFonts w:ascii="Arial"/>
          <w:i/>
          <w:spacing w:val="-25"/>
          <w:sz w:val="20"/>
        </w:rPr>
        <w:t> </w:t>
      </w:r>
      <w:r>
        <w:rPr>
          <w:rFonts w:ascii="Arial"/>
          <w:i/>
          <w:w w:val="73"/>
          <w:sz w:val="20"/>
        </w:rPr>
        <w:t>d!T&gt;</w:t>
      </w:r>
      <w:r>
        <w:rPr>
          <w:rFonts w:ascii="Arial"/>
          <w:i/>
          <w:spacing w:val="-28"/>
          <w:sz w:val="20"/>
        </w:rPr>
        <w:t> </w:t>
      </w:r>
      <w:r>
        <w:rPr>
          <w:rFonts w:ascii="Arial"/>
          <w:i/>
          <w:w w:val="131"/>
          <w:sz w:val="20"/>
        </w:rPr>
        <w:t>.</w:t>
      </w:r>
      <w:r>
        <w:rPr>
          <w:rFonts w:ascii="Arial"/>
          <w:i/>
          <w:spacing w:val="-18"/>
          <w:sz w:val="20"/>
        </w:rPr>
        <w:t> </w:t>
      </w:r>
      <w:r>
        <w:rPr>
          <w:w w:val="108"/>
          <w:sz w:val="20"/>
        </w:rPr>
        <w:t>Then</w:t>
      </w:r>
    </w:p>
    <w:p>
      <w:pPr>
        <w:pStyle w:val="BodyText"/>
        <w:spacing w:before="8"/>
        <w:rPr>
          <w:sz w:val="28"/>
        </w:rPr>
      </w:pPr>
    </w:p>
    <w:p>
      <w:pPr>
        <w:pStyle w:val="BodyText"/>
        <w:ind w:right="137"/>
        <w:jc w:val="right"/>
      </w:pPr>
      <w:r>
        <w:rPr/>
        <w:drawing>
          <wp:anchor distT="0" distB="0" distL="0" distR="0" allowOverlap="1" layoutInCell="1" locked="0" behindDoc="0" simplePos="0" relativeHeight="21928">
            <wp:simplePos x="0" y="0"/>
            <wp:positionH relativeFrom="page">
              <wp:posOffset>1380744</wp:posOffset>
            </wp:positionH>
            <wp:positionV relativeFrom="paragraph">
              <wp:posOffset>-87173</wp:posOffset>
            </wp:positionV>
            <wp:extent cx="1078992" cy="329183"/>
            <wp:effectExtent l="0" t="0" r="0" b="0"/>
            <wp:wrapNone/>
            <wp:docPr id="659" name="image335.png" descr=""/>
            <wp:cNvGraphicFramePr>
              <a:graphicFrameLocks noChangeAspect="1"/>
            </wp:cNvGraphicFramePr>
            <a:graphic>
              <a:graphicData uri="http://schemas.openxmlformats.org/drawingml/2006/picture">
                <pic:pic>
                  <pic:nvPicPr>
                    <pic:cNvPr id="660" name="image335.png"/>
                    <pic:cNvPicPr/>
                  </pic:nvPicPr>
                  <pic:blipFill>
                    <a:blip r:embed="rId339" cstate="print"/>
                    <a:stretch>
                      <a:fillRect/>
                    </a:stretch>
                  </pic:blipFill>
                  <pic:spPr>
                    <a:xfrm>
                      <a:off x="0" y="0"/>
                      <a:ext cx="1078992" cy="329183"/>
                    </a:xfrm>
                    <a:prstGeom prst="rect">
                      <a:avLst/>
                    </a:prstGeom>
                  </pic:spPr>
                </pic:pic>
              </a:graphicData>
            </a:graphic>
          </wp:anchor>
        </w:drawing>
      </w:r>
      <w:r>
        <w:rPr/>
        <w:drawing>
          <wp:anchor distT="0" distB="0" distL="0" distR="0" allowOverlap="1" layoutInCell="1" locked="0" behindDoc="0" simplePos="0" relativeHeight="21952">
            <wp:simplePos x="0" y="0"/>
            <wp:positionH relativeFrom="page">
              <wp:posOffset>2670048</wp:posOffset>
            </wp:positionH>
            <wp:positionV relativeFrom="paragraph">
              <wp:posOffset>-87173</wp:posOffset>
            </wp:positionV>
            <wp:extent cx="640079" cy="338327"/>
            <wp:effectExtent l="0" t="0" r="0" b="0"/>
            <wp:wrapNone/>
            <wp:docPr id="661" name="image336.png" descr=""/>
            <wp:cNvGraphicFramePr>
              <a:graphicFrameLocks noChangeAspect="1"/>
            </wp:cNvGraphicFramePr>
            <a:graphic>
              <a:graphicData uri="http://schemas.openxmlformats.org/drawingml/2006/picture">
                <pic:pic>
                  <pic:nvPicPr>
                    <pic:cNvPr id="662" name="image336.png"/>
                    <pic:cNvPicPr/>
                  </pic:nvPicPr>
                  <pic:blipFill>
                    <a:blip r:embed="rId340" cstate="print"/>
                    <a:stretch>
                      <a:fillRect/>
                    </a:stretch>
                  </pic:blipFill>
                  <pic:spPr>
                    <a:xfrm>
                      <a:off x="0" y="0"/>
                      <a:ext cx="640079" cy="338327"/>
                    </a:xfrm>
                    <a:prstGeom prst="rect">
                      <a:avLst/>
                    </a:prstGeom>
                  </pic:spPr>
                </pic:pic>
              </a:graphicData>
            </a:graphic>
          </wp:anchor>
        </w:drawing>
      </w:r>
      <w:r>
        <w:rPr>
          <w:w w:val="105"/>
        </w:rPr>
        <w:t>(14.16)</w:t>
      </w:r>
    </w:p>
    <w:p>
      <w:pPr>
        <w:pStyle w:val="BodyText"/>
        <w:spacing w:before="8"/>
        <w:rPr>
          <w:sz w:val="21"/>
        </w:rPr>
      </w:pPr>
    </w:p>
    <w:p>
      <w:pPr>
        <w:spacing w:after="0"/>
        <w:rPr>
          <w:sz w:val="21"/>
        </w:rPr>
        <w:sectPr>
          <w:type w:val="continuous"/>
          <w:pgSz w:w="7200" w:h="11340"/>
          <w:pgMar w:top="1100" w:bottom="0" w:left="660" w:right="560"/>
        </w:sectPr>
      </w:pPr>
    </w:p>
    <w:p>
      <w:pPr>
        <w:pStyle w:val="BodyText"/>
        <w:spacing w:before="75"/>
        <w:ind w:left="121" w:right="-2"/>
      </w:pPr>
      <w:r>
        <w:rPr>
          <w:w w:val="105"/>
        </w:rPr>
        <w:t>and similarly</w:t>
      </w:r>
    </w:p>
    <w:p>
      <w:pPr>
        <w:pStyle w:val="BodyText"/>
        <w:rPr>
          <w:sz w:val="26"/>
        </w:rPr>
      </w:pPr>
      <w:r>
        <w:rPr/>
        <w:br w:type="column"/>
      </w:r>
      <w:r>
        <w:rPr>
          <w:sz w:val="26"/>
        </w:rPr>
      </w:r>
    </w:p>
    <w:p>
      <w:pPr>
        <w:tabs>
          <w:tab w:pos="547" w:val="left" w:leader="none"/>
        </w:tabs>
        <w:spacing w:line="243" w:lineRule="exact" w:before="155"/>
        <w:ind w:left="4" w:right="0" w:firstLine="0"/>
        <w:jc w:val="center"/>
        <w:rPr>
          <w:b/>
          <w:i/>
          <w:sz w:val="26"/>
        </w:rPr>
      </w:pPr>
      <w:r>
        <w:rPr>
          <w:rFonts w:ascii="Arial" w:hAnsi="Arial"/>
          <w:i/>
          <w:w w:val="110"/>
          <w:sz w:val="10"/>
        </w:rPr>
        <w:t>( T</w:t>
      </w:r>
      <w:r>
        <w:rPr>
          <w:rFonts w:ascii="Arial" w:hAnsi="Arial"/>
          <w:i/>
          <w:spacing w:val="-9"/>
          <w:w w:val="110"/>
          <w:sz w:val="10"/>
        </w:rPr>
        <w:t> </w:t>
      </w:r>
      <w:r>
        <w:rPr>
          <w:rFonts w:ascii="Arial" w:hAnsi="Arial"/>
          <w:i/>
          <w:w w:val="90"/>
          <w:sz w:val="10"/>
        </w:rPr>
        <w:t>)   </w:t>
      </w:r>
      <w:r>
        <w:rPr>
          <w:rFonts w:ascii="Arial" w:hAnsi="Arial"/>
          <w:i/>
          <w:spacing w:val="11"/>
          <w:w w:val="90"/>
          <w:sz w:val="10"/>
        </w:rPr>
        <w:t> </w:t>
      </w:r>
      <w:r>
        <w:rPr>
          <w:rFonts w:ascii="Arial" w:hAnsi="Arial"/>
          <w:w w:val="110"/>
          <w:sz w:val="10"/>
        </w:rPr>
        <w:t>•</w:t>
        <w:tab/>
      </w:r>
      <w:r>
        <w:rPr>
          <w:b/>
          <w:w w:val="90"/>
          <w:sz w:val="20"/>
        </w:rPr>
        <w:t>1</w:t>
      </w:r>
      <w:r>
        <w:rPr>
          <w:b/>
          <w:spacing w:val="-17"/>
          <w:w w:val="90"/>
          <w:sz w:val="20"/>
        </w:rPr>
        <w:t> </w:t>
      </w:r>
      <w:r>
        <w:rPr>
          <w:w w:val="245"/>
          <w:sz w:val="20"/>
        </w:rPr>
        <w:t>-</w:t>
      </w:r>
      <w:r>
        <w:rPr>
          <w:spacing w:val="-105"/>
          <w:w w:val="245"/>
          <w:sz w:val="20"/>
        </w:rPr>
        <w:t> </w:t>
      </w:r>
      <w:r>
        <w:rPr>
          <w:b/>
          <w:i/>
          <w:w w:val="90"/>
          <w:sz w:val="26"/>
          <w:u w:val="thick"/>
        </w:rPr>
        <w:t>!m;</w:t>
      </w:r>
      <w:r>
        <w:rPr>
          <w:b/>
          <w:i/>
          <w:w w:val="90"/>
          <w:sz w:val="26"/>
        </w:rPr>
        <w:t>T</w:t>
      </w:r>
      <w:r>
        <w:rPr>
          <w:b/>
          <w:i/>
          <w:spacing w:val="-48"/>
          <w:w w:val="90"/>
          <w:sz w:val="26"/>
        </w:rPr>
        <w:t> </w:t>
      </w:r>
      <w:r>
        <w:rPr>
          <w:b/>
          <w:i/>
          <w:w w:val="60"/>
          <w:sz w:val="26"/>
        </w:rPr>
        <w:t>)</w:t>
      </w:r>
    </w:p>
    <w:p>
      <w:pPr>
        <w:tabs>
          <w:tab w:pos="459" w:val="left" w:leader="none"/>
        </w:tabs>
        <w:spacing w:line="312" w:lineRule="exact" w:before="0"/>
        <w:ind w:left="27" w:right="0" w:firstLine="0"/>
        <w:jc w:val="center"/>
        <w:rPr>
          <w:rFonts w:ascii="Arial"/>
          <w:sz w:val="26"/>
        </w:rPr>
      </w:pPr>
      <w:r>
        <w:rPr>
          <w:i/>
          <w:w w:val="89"/>
          <w:sz w:val="19"/>
        </w:rPr>
        <w:t>Pz</w:t>
      </w:r>
      <w:r>
        <w:rPr>
          <w:i/>
          <w:sz w:val="19"/>
        </w:rPr>
        <w:tab/>
      </w:r>
      <w:r>
        <w:rPr>
          <w:rFonts w:ascii="Arial"/>
          <w:w w:val="106"/>
          <w:sz w:val="17"/>
        </w:rPr>
        <w:t>=:</w:t>
      </w:r>
      <w:r>
        <w:rPr>
          <w:rFonts w:ascii="Arial"/>
          <w:sz w:val="17"/>
        </w:rPr>
        <w:t> </w:t>
      </w:r>
      <w:r>
        <w:rPr>
          <w:rFonts w:ascii="Arial"/>
          <w:spacing w:val="-10"/>
          <w:sz w:val="17"/>
        </w:rPr>
        <w:t> </w:t>
      </w:r>
      <w:r>
        <w:rPr>
          <w:w w:val="129"/>
          <w:sz w:val="20"/>
        </w:rPr>
        <w:t>1</w:t>
      </w:r>
      <w:r>
        <w:rPr>
          <w:spacing w:val="-14"/>
          <w:sz w:val="20"/>
        </w:rPr>
        <w:t> </w:t>
      </w:r>
      <w:r>
        <w:rPr>
          <w:rFonts w:ascii="Arial"/>
          <w:spacing w:val="-100"/>
          <w:w w:val="102"/>
          <w:sz w:val="32"/>
        </w:rPr>
        <w:t>+</w:t>
      </w:r>
      <w:r>
        <w:rPr>
          <w:rFonts w:ascii="Arial"/>
          <w:spacing w:val="-284"/>
          <w:w w:val="302"/>
          <w:sz w:val="26"/>
        </w:rPr>
        <w:t>!</w:t>
      </w:r>
      <w:r>
        <w:rPr>
          <w:rFonts w:ascii="Arial"/>
          <w:spacing w:val="-25"/>
          <w:w w:val="80"/>
          <w:sz w:val="26"/>
        </w:rPr>
        <w:t>m</w:t>
      </w:r>
      <w:r>
        <w:rPr>
          <w:rFonts w:ascii="Arial"/>
          <w:w w:val="73"/>
          <w:sz w:val="26"/>
        </w:rPr>
        <w:t>?&gt;</w:t>
      </w:r>
      <w:r>
        <w:rPr>
          <w:rFonts w:ascii="Arial"/>
          <w:spacing w:val="-4"/>
          <w:sz w:val="26"/>
        </w:rPr>
        <w:t> </w:t>
      </w:r>
      <w:r>
        <w:rPr>
          <w:rFonts w:ascii="Arial"/>
          <w:w w:val="94"/>
          <w:sz w:val="26"/>
        </w:rPr>
        <w:t>.</w:t>
      </w:r>
    </w:p>
    <w:p>
      <w:pPr>
        <w:pStyle w:val="BodyText"/>
        <w:rPr>
          <w:rFonts w:ascii="Arial"/>
        </w:rPr>
      </w:pPr>
      <w:r>
        <w:rPr/>
        <w:br w:type="column"/>
      </w:r>
      <w:r>
        <w:rPr>
          <w:rFonts w:ascii="Arial"/>
        </w:rPr>
      </w:r>
    </w:p>
    <w:p>
      <w:pPr>
        <w:pStyle w:val="BodyText"/>
        <w:rPr>
          <w:rFonts w:ascii="Arial"/>
        </w:rPr>
      </w:pPr>
    </w:p>
    <w:p>
      <w:pPr>
        <w:pStyle w:val="BodyText"/>
        <w:spacing w:before="7"/>
        <w:rPr>
          <w:rFonts w:ascii="Arial"/>
          <w:sz w:val="16"/>
        </w:rPr>
      </w:pPr>
    </w:p>
    <w:p>
      <w:pPr>
        <w:pStyle w:val="BodyText"/>
        <w:ind w:left="121"/>
      </w:pPr>
      <w:r>
        <w:rPr>
          <w:w w:val="105"/>
        </w:rPr>
        <w:t>(14.17)</w:t>
      </w:r>
    </w:p>
    <w:p>
      <w:pPr>
        <w:spacing w:after="0"/>
        <w:sectPr>
          <w:type w:val="continuous"/>
          <w:pgSz w:w="7200" w:h="11340"/>
          <w:pgMar w:top="1100" w:bottom="0" w:left="660" w:right="560"/>
          <w:cols w:num="3" w:equalWidth="0">
            <w:col w:w="1242" w:space="151"/>
            <w:col w:w="3160" w:space="548"/>
            <w:col w:w="879"/>
          </w:cols>
        </w:sectPr>
      </w:pPr>
    </w:p>
    <w:p>
      <w:pPr>
        <w:pStyle w:val="BodyText"/>
        <w:spacing w:before="5"/>
        <w:rPr>
          <w:sz w:val="10"/>
        </w:rPr>
      </w:pPr>
    </w:p>
    <w:p>
      <w:pPr>
        <w:pStyle w:val="BodyText"/>
        <w:spacing w:line="249" w:lineRule="auto" w:before="74"/>
        <w:ind w:left="114" w:right="91" w:firstLine="10"/>
      </w:pPr>
      <w:r>
        <w:rPr/>
        <w:t>Formula (14.17) can be used to build up the </w:t>
      </w:r>
      <w:r>
        <w:rPr>
          <w:rFonts w:ascii="Arial"/>
          <w:i/>
        </w:rPr>
        <w:t>l;T&gt; </w:t>
      </w:r>
      <w:r>
        <w:rPr/>
        <w:t>column of the multiple-decrement  table,  and  the  total  decrement  </w:t>
      </w:r>
      <w:r>
        <w:rPr>
          <w:rFonts w:ascii="Arial"/>
          <w:i/>
        </w:rPr>
        <w:t>d! </w:t>
      </w:r>
      <w:r>
        <w:rPr>
          <w:rFonts w:ascii="Arial"/>
          <w:w w:val="95"/>
          <w:sz w:val="18"/>
        </w:rPr>
        <w:t>T&gt;  </w:t>
      </w:r>
      <w:r>
        <w:rPr/>
        <w:t>at each age</w:t>
      </w:r>
    </w:p>
    <w:p>
      <w:pPr>
        <w:pStyle w:val="BodyText"/>
        <w:spacing w:line="184" w:lineRule="exact" w:before="6"/>
        <w:ind w:left="114" w:right="123"/>
      </w:pPr>
      <w:r>
        <w:rPr>
          <w:w w:val="105"/>
        </w:rPr>
        <w:t>can  then  be  distributed  in  proportion  to the various  central rates</w:t>
      </w:r>
    </w:p>
    <w:p>
      <w:pPr>
        <w:spacing w:line="253" w:lineRule="exact" w:before="0"/>
        <w:ind w:left="110" w:right="739" w:firstLine="0"/>
        <w:jc w:val="left"/>
        <w:rPr>
          <w:sz w:val="26"/>
        </w:rPr>
      </w:pPr>
      <w:r>
        <w:rPr>
          <w:spacing w:val="-72"/>
          <w:w w:val="71"/>
          <w:sz w:val="26"/>
        </w:rPr>
        <w:t>m</w:t>
      </w:r>
      <w:r>
        <w:rPr>
          <w:spacing w:val="-193"/>
          <w:w w:val="224"/>
          <w:sz w:val="26"/>
        </w:rPr>
        <w:t>!</w:t>
      </w:r>
      <w:r>
        <w:rPr>
          <w:w w:val="28"/>
          <w:sz w:val="26"/>
        </w:rPr>
        <w:t>1cJ</w:t>
      </w:r>
    </w:p>
    <w:p>
      <w:pPr>
        <w:pStyle w:val="BodyText"/>
        <w:spacing w:before="9"/>
        <w:rPr>
          <w:sz w:val="11"/>
        </w:rPr>
      </w:pPr>
    </w:p>
    <w:p>
      <w:pPr>
        <w:spacing w:line="87" w:lineRule="exact" w:before="86"/>
        <w:ind w:left="1485" w:right="481" w:firstLine="0"/>
        <w:jc w:val="center"/>
        <w:rPr>
          <w:rFonts w:ascii="Arial"/>
          <w:b/>
          <w:i/>
          <w:sz w:val="11"/>
        </w:rPr>
      </w:pPr>
      <w:r>
        <w:rPr>
          <w:rFonts w:ascii="Arial"/>
          <w:b/>
          <w:i/>
          <w:sz w:val="11"/>
        </w:rPr>
        <w:t>(k )</w:t>
      </w:r>
    </w:p>
    <w:p>
      <w:pPr>
        <w:spacing w:line="189" w:lineRule="exact" w:before="0"/>
        <w:ind w:left="74" w:right="382" w:firstLine="0"/>
        <w:jc w:val="center"/>
        <w:rPr>
          <w:b/>
          <w:i/>
          <w:sz w:val="20"/>
        </w:rPr>
      </w:pPr>
      <w:r>
        <w:rPr>
          <w:b/>
          <w:i/>
          <w:spacing w:val="1"/>
          <w:w w:val="273"/>
          <w:sz w:val="12"/>
        </w:rPr>
        <w:t>d</w:t>
      </w:r>
      <w:r>
        <w:rPr>
          <w:b/>
          <w:i/>
          <w:w w:val="66"/>
          <w:sz w:val="12"/>
        </w:rPr>
        <w:t>lc</w:t>
      </w:r>
      <w:r>
        <w:rPr>
          <w:b/>
          <w:i/>
          <w:spacing w:val="-16"/>
          <w:sz w:val="12"/>
        </w:rPr>
        <w:t> </w:t>
      </w:r>
      <w:r>
        <w:rPr>
          <w:b/>
          <w:i/>
          <w:w w:val="60"/>
          <w:sz w:val="12"/>
        </w:rPr>
        <w:t>)</w:t>
      </w:r>
      <w:r>
        <w:rPr>
          <w:b/>
          <w:i/>
          <w:sz w:val="12"/>
        </w:rPr>
        <w:t>   </w:t>
      </w:r>
      <w:r>
        <w:rPr>
          <w:b/>
          <w:i/>
          <w:spacing w:val="-1"/>
          <w:sz w:val="12"/>
        </w:rPr>
        <w:t> </w:t>
      </w:r>
      <w:r>
        <w:rPr>
          <w:w w:val="104"/>
          <w:sz w:val="23"/>
        </w:rPr>
        <w:t>=</w:t>
      </w:r>
      <w:r>
        <w:rPr>
          <w:sz w:val="23"/>
        </w:rPr>
        <w:t> </w:t>
      </w:r>
      <w:r>
        <w:rPr>
          <w:spacing w:val="-17"/>
          <w:sz w:val="23"/>
        </w:rPr>
        <w:t> </w:t>
      </w:r>
      <w:r>
        <w:rPr>
          <w:rFonts w:ascii="Arial"/>
          <w:b/>
          <w:i/>
          <w:w w:val="137"/>
          <w:sz w:val="11"/>
        </w:rPr>
        <w:t>d</w:t>
      </w:r>
      <w:r>
        <w:rPr>
          <w:rFonts w:ascii="Arial"/>
          <w:b/>
          <w:i/>
          <w:w w:val="137"/>
          <w:sz w:val="11"/>
        </w:rPr>
        <w:t>(</w:t>
      </w:r>
      <w:r>
        <w:rPr>
          <w:rFonts w:ascii="Arial"/>
          <w:b/>
          <w:i/>
          <w:spacing w:val="6"/>
          <w:sz w:val="11"/>
        </w:rPr>
        <w:t> </w:t>
      </w:r>
      <w:r>
        <w:rPr>
          <w:rFonts w:ascii="Arial"/>
          <w:b/>
          <w:i/>
          <w:w w:val="103"/>
          <w:sz w:val="11"/>
        </w:rPr>
        <w:t>T</w:t>
      </w:r>
      <w:r>
        <w:rPr>
          <w:rFonts w:ascii="Arial"/>
          <w:b/>
          <w:i/>
          <w:spacing w:val="-11"/>
          <w:sz w:val="11"/>
        </w:rPr>
        <w:t> </w:t>
      </w:r>
      <w:r>
        <w:rPr>
          <w:rFonts w:ascii="Arial"/>
          <w:b/>
          <w:i/>
          <w:w w:val="86"/>
          <w:sz w:val="11"/>
        </w:rPr>
        <w:t>)</w:t>
      </w:r>
      <w:r>
        <w:rPr>
          <w:rFonts w:ascii="Arial"/>
          <w:b/>
          <w:i/>
          <w:sz w:val="11"/>
        </w:rPr>
        <w:t> </w:t>
      </w:r>
      <w:r>
        <w:rPr>
          <w:rFonts w:ascii="Arial"/>
          <w:b/>
          <w:i/>
          <w:spacing w:val="-11"/>
          <w:sz w:val="11"/>
        </w:rPr>
        <w:t> </w:t>
      </w:r>
      <w:r>
        <w:rPr>
          <w:rFonts w:ascii="Arial"/>
          <w:b/>
          <w:i/>
          <w:w w:val="110"/>
          <w:sz w:val="11"/>
        </w:rPr>
        <w:t>,</w:t>
      </w:r>
      <w:r>
        <w:rPr>
          <w:rFonts w:ascii="Arial"/>
          <w:b/>
          <w:i/>
          <w:sz w:val="11"/>
        </w:rPr>
        <w:t> </w:t>
      </w:r>
      <w:r>
        <w:rPr>
          <w:b/>
          <w:i/>
          <w:w w:val="90"/>
          <w:sz w:val="20"/>
          <w:u w:val="single"/>
        </w:rPr>
        <w:t>mz</w:t>
      </w:r>
    </w:p>
    <w:p>
      <w:pPr>
        <w:tabs>
          <w:tab w:pos="670" w:val="left" w:leader="none"/>
          <w:tab w:pos="1167" w:val="left" w:leader="none"/>
        </w:tabs>
        <w:spacing w:line="133" w:lineRule="exact" w:before="0"/>
        <w:ind w:left="54" w:right="0" w:firstLine="0"/>
        <w:jc w:val="center"/>
        <w:rPr>
          <w:sz w:val="12"/>
        </w:rPr>
      </w:pPr>
      <w:r>
        <w:rPr/>
        <w:pict>
          <v:shape style="position:absolute;margin-left:195.300003pt;margin-top:3.123642pt;width:8.85pt;height:10pt;mso-position-horizontal-relative:page;mso-position-vertical-relative:paragraph;z-index:-714064" type="#_x0000_t202" filled="false" stroked="false">
            <v:textbox inset="0,0,0,0">
              <w:txbxContent>
                <w:p>
                  <w:pPr>
                    <w:spacing w:line="200" w:lineRule="exact" w:before="0"/>
                    <w:ind w:left="0" w:right="-10" w:firstLine="0"/>
                    <w:jc w:val="left"/>
                    <w:rPr>
                      <w:b/>
                      <w:i/>
                      <w:sz w:val="20"/>
                    </w:rPr>
                  </w:pPr>
                  <w:r>
                    <w:rPr>
                      <w:b/>
                      <w:i/>
                      <w:spacing w:val="-16"/>
                      <w:w w:val="85"/>
                      <w:sz w:val="20"/>
                    </w:rPr>
                    <w:t>mz</w:t>
                  </w:r>
                </w:p>
              </w:txbxContent>
            </v:textbox>
            <w10:wrap type="none"/>
          </v:shape>
        </w:pict>
      </w:r>
      <w:r>
        <w:rPr>
          <w:w w:val="165"/>
          <w:sz w:val="13"/>
        </w:rPr>
        <w:t>-</w:t>
        <w:tab/>
      </w:r>
      <w:r>
        <w:rPr>
          <w:b/>
          <w:w w:val="110"/>
          <w:sz w:val="13"/>
        </w:rPr>
        <w:t>z</w:t>
        <w:tab/>
      </w:r>
      <w:r>
        <w:rPr>
          <w:b/>
          <w:i/>
          <w:sz w:val="12"/>
        </w:rPr>
        <w:t>( T </w:t>
      </w:r>
      <w:r>
        <w:rPr>
          <w:b/>
          <w:i/>
          <w:w w:val="90"/>
          <w:sz w:val="12"/>
        </w:rPr>
        <w:t>)</w:t>
      </w:r>
      <w:r>
        <w:rPr>
          <w:b/>
          <w:i/>
          <w:spacing w:val="26"/>
          <w:w w:val="90"/>
          <w:sz w:val="12"/>
        </w:rPr>
        <w:t> </w:t>
      </w:r>
      <w:r>
        <w:rPr>
          <w:w w:val="110"/>
          <w:sz w:val="12"/>
        </w:rPr>
        <w:t>•</w:t>
      </w:r>
    </w:p>
    <w:p>
      <w:pPr>
        <w:pStyle w:val="BodyText"/>
        <w:spacing w:before="1"/>
      </w:pPr>
    </w:p>
    <w:p>
      <w:pPr>
        <w:pStyle w:val="ListParagraph"/>
        <w:numPr>
          <w:ilvl w:val="0"/>
          <w:numId w:val="128"/>
        </w:numPr>
        <w:tabs>
          <w:tab w:pos="338" w:val="left" w:leader="none"/>
        </w:tabs>
        <w:spacing w:line="240" w:lineRule="auto" w:before="77" w:after="0"/>
        <w:ind w:left="351" w:right="0" w:hanging="241"/>
        <w:jc w:val="left"/>
        <w:rPr>
          <w:b/>
          <w:sz w:val="18"/>
        </w:rPr>
      </w:pPr>
      <w:r>
        <w:rPr>
          <w:b/>
          <w:w w:val="120"/>
          <w:sz w:val="18"/>
        </w:rPr>
        <w:t>Forces  of</w:t>
      </w:r>
      <w:r>
        <w:rPr>
          <w:b/>
          <w:spacing w:val="6"/>
          <w:w w:val="120"/>
          <w:sz w:val="18"/>
        </w:rPr>
        <w:t> </w:t>
      </w:r>
      <w:r>
        <w:rPr>
          <w:b/>
          <w:w w:val="120"/>
          <w:sz w:val="18"/>
        </w:rPr>
        <w:t>decrement</w:t>
      </w:r>
    </w:p>
    <w:p>
      <w:pPr>
        <w:pStyle w:val="BodyText"/>
        <w:spacing w:line="224" w:lineRule="exact" w:before="106"/>
        <w:ind w:left="117" w:right="206" w:firstLine="205"/>
      </w:pPr>
      <w:r>
        <w:rPr>
          <w:w w:val="105"/>
        </w:rPr>
        <w:t>In a multiplc-dccremcnt table, the total force of decrement  at  age </w:t>
      </w:r>
      <w:r>
        <w:rPr>
          <w:rFonts w:ascii="Arial"/>
          <w:i/>
          <w:w w:val="105"/>
          <w:sz w:val="18"/>
        </w:rPr>
        <w:t>x </w:t>
      </w:r>
      <w:r>
        <w:rPr>
          <w:w w:val="105"/>
        </w:rPr>
        <w:t>is defined</w:t>
      </w:r>
      <w:r>
        <w:rPr>
          <w:spacing w:val="-16"/>
          <w:w w:val="105"/>
        </w:rPr>
        <w:t> </w:t>
      </w:r>
      <w:r>
        <w:rPr>
          <w:w w:val="105"/>
        </w:rPr>
        <w:t>a's</w:t>
      </w:r>
    </w:p>
    <w:p>
      <w:pPr>
        <w:spacing w:after="0" w:line="224" w:lineRule="exact"/>
        <w:sectPr>
          <w:type w:val="continuous"/>
          <w:pgSz w:w="7200" w:h="11340"/>
          <w:pgMar w:top="1100" w:bottom="0" w:left="660" w:right="560"/>
        </w:sectPr>
      </w:pPr>
    </w:p>
    <w:p>
      <w:pPr>
        <w:tabs>
          <w:tab w:pos="1965" w:val="left" w:leader="none"/>
          <w:tab w:pos="5850" w:val="right" w:leader="none"/>
        </w:tabs>
        <w:spacing w:before="53"/>
        <w:ind w:left="109" w:right="0" w:firstLine="0"/>
        <w:jc w:val="left"/>
        <w:rPr>
          <w:rFonts w:ascii="Courier New"/>
          <w:sz w:val="22"/>
        </w:rPr>
      </w:pPr>
      <w:r>
        <w:rPr>
          <w:b/>
          <w:color w:val="030303"/>
          <w:sz w:val="15"/>
        </w:rPr>
        <w:t>SEC. </w:t>
      </w:r>
      <w:r>
        <w:rPr>
          <w:b/>
          <w:color w:val="030303"/>
          <w:spacing w:val="23"/>
          <w:sz w:val="15"/>
        </w:rPr>
        <w:t> </w:t>
      </w:r>
      <w:r>
        <w:rPr>
          <w:rFonts w:ascii="Arial"/>
          <w:b/>
          <w:color w:val="030303"/>
          <w:sz w:val="20"/>
        </w:rPr>
        <w:t>4]</w:t>
        <w:tab/>
      </w:r>
      <w:r>
        <w:rPr>
          <w:b/>
          <w:color w:val="030303"/>
          <w:position w:val="1"/>
          <w:sz w:val="15"/>
        </w:rPr>
        <w:t>FORCES </w:t>
      </w:r>
      <w:r>
        <w:rPr>
          <w:b/>
          <w:color w:val="030303"/>
          <w:spacing w:val="32"/>
          <w:position w:val="1"/>
          <w:sz w:val="15"/>
        </w:rPr>
        <w:t> </w:t>
      </w:r>
      <w:r>
        <w:rPr>
          <w:b/>
          <w:color w:val="030303"/>
          <w:position w:val="1"/>
          <w:sz w:val="15"/>
        </w:rPr>
        <w:t>OF </w:t>
      </w:r>
      <w:r>
        <w:rPr>
          <w:b/>
          <w:color w:val="030303"/>
          <w:spacing w:val="23"/>
          <w:position w:val="1"/>
          <w:sz w:val="15"/>
        </w:rPr>
        <w:t> </w:t>
      </w:r>
      <w:r>
        <w:rPr>
          <w:b/>
          <w:color w:val="030303"/>
          <w:position w:val="1"/>
          <w:sz w:val="15"/>
        </w:rPr>
        <w:t>DECREMENT</w:t>
      </w:r>
      <w:r>
        <w:rPr>
          <w:rFonts w:ascii="Courier New"/>
          <w:color w:val="030303"/>
          <w:sz w:val="22"/>
        </w:rPr>
        <w:tab/>
      </w:r>
      <w:r>
        <w:rPr>
          <w:rFonts w:ascii="Courier New"/>
          <w:color w:val="030303"/>
          <w:spacing w:val="-25"/>
          <w:sz w:val="22"/>
        </w:rPr>
        <w:t>275</w:t>
      </w:r>
    </w:p>
    <w:p>
      <w:pPr>
        <w:spacing w:after="0"/>
        <w:jc w:val="left"/>
        <w:rPr>
          <w:rFonts w:ascii="Courier New"/>
          <w:sz w:val="22"/>
        </w:rPr>
        <w:sectPr>
          <w:pgSz w:w="7200" w:h="11340"/>
          <w:pgMar w:top="500" w:bottom="280" w:left="680" w:right="560"/>
        </w:sectPr>
      </w:pPr>
    </w:p>
    <w:p>
      <w:pPr>
        <w:pStyle w:val="BodyText"/>
        <w:spacing w:before="11"/>
        <w:rPr>
          <w:rFonts w:ascii="Courier New"/>
          <w:sz w:val="16"/>
        </w:rPr>
      </w:pPr>
    </w:p>
    <w:p>
      <w:pPr>
        <w:spacing w:before="0"/>
        <w:ind w:left="0" w:right="0" w:firstLine="0"/>
        <w:jc w:val="right"/>
        <w:rPr>
          <w:b/>
          <w:sz w:val="12"/>
        </w:rPr>
      </w:pPr>
      <w:r>
        <w:rPr>
          <w:b/>
          <w:color w:val="030303"/>
          <w:w w:val="125"/>
          <w:sz w:val="12"/>
        </w:rPr>
        <w:t>(T)</w:t>
      </w:r>
    </w:p>
    <w:p>
      <w:pPr>
        <w:tabs>
          <w:tab w:pos="2726" w:val="left" w:leader="none"/>
          <w:tab w:pos="3067" w:val="left" w:leader="none"/>
        </w:tabs>
        <w:spacing w:line="90" w:lineRule="exact" w:before="0"/>
        <w:ind w:left="2187" w:right="0" w:firstLine="0"/>
        <w:jc w:val="left"/>
        <w:rPr>
          <w:rFonts w:ascii="Arial"/>
          <w:b/>
          <w:i/>
          <w:sz w:val="11"/>
        </w:rPr>
      </w:pPr>
      <w:r>
        <w:rPr/>
        <w:pict>
          <v:shape style="position:absolute;margin-left:158.823502pt;margin-top:1.837678pt;width:6.65pt;height:11.5pt;mso-position-horizontal-relative:page;mso-position-vertical-relative:paragraph;z-index:-713992" type="#_x0000_t202" filled="false" stroked="false">
            <v:textbox inset="0,0,0,0">
              <w:txbxContent>
                <w:p>
                  <w:pPr>
                    <w:spacing w:line="230" w:lineRule="exact" w:before="0"/>
                    <w:ind w:left="0" w:right="0" w:firstLine="0"/>
                    <w:jc w:val="left"/>
                    <w:rPr>
                      <w:sz w:val="23"/>
                    </w:rPr>
                  </w:pPr>
                  <w:r>
                    <w:rPr>
                      <w:color w:val="030303"/>
                      <w:w w:val="101"/>
                      <w:sz w:val="23"/>
                    </w:rPr>
                    <w:t>=</w:t>
                  </w:r>
                </w:p>
              </w:txbxContent>
            </v:textbox>
            <w10:wrap type="none"/>
          </v:shape>
        </w:pict>
      </w:r>
      <w:r>
        <w:rPr>
          <w:rFonts w:ascii="Arial"/>
          <w:b/>
          <w:color w:val="030303"/>
          <w:w w:val="150"/>
          <w:sz w:val="10"/>
        </w:rPr>
        <w:t>(T)</w:t>
        <w:tab/>
      </w:r>
      <w:r>
        <w:rPr>
          <w:rFonts w:ascii="Arial"/>
          <w:color w:val="030303"/>
          <w:w w:val="175"/>
          <w:sz w:val="10"/>
        </w:rPr>
        <w:t>}'</w:t>
        <w:tab/>
      </w:r>
      <w:r>
        <w:rPr>
          <w:rFonts w:ascii="Arial"/>
          <w:b/>
          <w:i/>
          <w:color w:val="030303"/>
          <w:sz w:val="11"/>
        </w:rPr>
        <w:t>11,qz</w:t>
      </w:r>
    </w:p>
    <w:p>
      <w:pPr>
        <w:tabs>
          <w:tab w:pos="2787" w:val="left" w:leader="none"/>
        </w:tabs>
        <w:spacing w:line="151" w:lineRule="exact" w:before="0"/>
        <w:ind w:left="2069" w:right="0" w:firstLine="0"/>
        <w:jc w:val="left"/>
        <w:rPr>
          <w:rFonts w:ascii="Arial"/>
          <w:b/>
          <w:sz w:val="18"/>
        </w:rPr>
      </w:pPr>
      <w:r>
        <w:rPr>
          <w:b/>
          <w:i/>
          <w:color w:val="030303"/>
          <w:sz w:val="13"/>
        </w:rPr>
        <w:t>JJ.z</w:t>
        <w:tab/>
      </w:r>
      <w:r>
        <w:rPr>
          <w:rFonts w:ascii="Arial"/>
          <w:b/>
          <w:color w:val="030303"/>
          <w:sz w:val="18"/>
        </w:rPr>
        <w:t>1m  </w:t>
      </w:r>
      <w:r>
        <w:rPr>
          <w:rFonts w:ascii="Arial"/>
          <w:b/>
          <w:color w:val="030303"/>
          <w:spacing w:val="20"/>
          <w:sz w:val="18"/>
        </w:rPr>
        <w:t> </w:t>
      </w:r>
      <w:r>
        <w:rPr>
          <w:rFonts w:ascii="Arial"/>
          <w:b/>
          <w:color w:val="030303"/>
          <w:sz w:val="18"/>
        </w:rPr>
        <w:t>h</w:t>
      </w:r>
    </w:p>
    <w:p>
      <w:pPr>
        <w:spacing w:line="118" w:lineRule="exact" w:before="0"/>
        <w:ind w:left="0" w:right="473" w:firstLine="0"/>
        <w:jc w:val="right"/>
        <w:rPr>
          <w:rFonts w:ascii="Arial"/>
          <w:b/>
          <w:i/>
          <w:sz w:val="12"/>
        </w:rPr>
      </w:pPr>
      <w:r>
        <w:rPr>
          <w:rFonts w:ascii="Arial"/>
          <w:b/>
          <w:i/>
          <w:color w:val="030303"/>
          <w:w w:val="80"/>
          <w:sz w:val="12"/>
        </w:rPr>
        <w:t>1'-+0</w:t>
      </w:r>
    </w:p>
    <w:p>
      <w:pPr>
        <w:pStyle w:val="BodyText"/>
        <w:rPr>
          <w:rFonts w:ascii="Arial"/>
          <w:b/>
          <w:i/>
          <w:sz w:val="18"/>
        </w:rPr>
      </w:pPr>
      <w:r>
        <w:rPr/>
        <w:br w:type="column"/>
      </w:r>
      <w:r>
        <w:rPr>
          <w:rFonts w:ascii="Arial"/>
          <w:b/>
          <w:i/>
          <w:sz w:val="18"/>
        </w:rPr>
      </w:r>
    </w:p>
    <w:p>
      <w:pPr>
        <w:spacing w:before="139"/>
        <w:ind w:left="1637" w:right="0" w:firstLine="0"/>
        <w:jc w:val="left"/>
        <w:rPr>
          <w:sz w:val="19"/>
        </w:rPr>
      </w:pPr>
      <w:r>
        <w:rPr>
          <w:color w:val="030303"/>
          <w:w w:val="105"/>
          <w:sz w:val="19"/>
        </w:rPr>
        <w:t>(14.18a)</w:t>
      </w:r>
    </w:p>
    <w:p>
      <w:pPr>
        <w:spacing w:after="0"/>
        <w:jc w:val="left"/>
        <w:rPr>
          <w:sz w:val="19"/>
        </w:rPr>
        <w:sectPr>
          <w:type w:val="continuous"/>
          <w:pgSz w:w="7200" w:h="11340"/>
          <w:pgMar w:top="1100" w:bottom="0" w:left="680" w:right="560"/>
          <w:cols w:num="2" w:equalWidth="0">
            <w:col w:w="3440" w:space="40"/>
            <w:col w:w="2480"/>
          </w:cols>
        </w:sectPr>
      </w:pPr>
    </w:p>
    <w:p>
      <w:pPr>
        <w:spacing w:before="87"/>
        <w:ind w:left="0" w:right="7" w:firstLine="0"/>
        <w:jc w:val="right"/>
        <w:rPr>
          <w:b/>
          <w:i/>
          <w:sz w:val="21"/>
        </w:rPr>
      </w:pPr>
      <w:r>
        <w:rPr>
          <w:rFonts w:ascii="Arial"/>
          <w:b/>
          <w:color w:val="030303"/>
          <w:w w:val="95"/>
          <w:sz w:val="18"/>
        </w:rPr>
        <w:t>1  </w:t>
      </w:r>
      <w:r>
        <w:rPr>
          <w:b/>
          <w:i/>
          <w:color w:val="030303"/>
          <w:w w:val="95"/>
          <w:sz w:val="21"/>
        </w:rPr>
        <w:t>dl;T </w:t>
      </w:r>
      <w:r>
        <w:rPr>
          <w:b/>
          <w:i/>
          <w:color w:val="030303"/>
          <w:w w:val="75"/>
          <w:sz w:val="21"/>
        </w:rPr>
        <w:t>)</w:t>
      </w:r>
    </w:p>
    <w:p>
      <w:pPr>
        <w:spacing w:before="18"/>
        <w:ind w:left="0" w:right="79" w:firstLine="0"/>
        <w:jc w:val="right"/>
        <w:rPr>
          <w:rFonts w:ascii="Arial"/>
          <w:i/>
          <w:sz w:val="20"/>
        </w:rPr>
      </w:pPr>
      <w:r>
        <w:rPr>
          <w:rFonts w:ascii="Arial"/>
          <w:color w:val="030303"/>
          <w:w w:val="220"/>
          <w:sz w:val="20"/>
        </w:rPr>
        <w:t>-</w:t>
      </w:r>
      <w:r>
        <w:rPr>
          <w:rFonts w:ascii="Arial"/>
          <w:color w:val="030303"/>
          <w:spacing w:val="-100"/>
          <w:w w:val="220"/>
          <w:sz w:val="20"/>
        </w:rPr>
        <w:t> </w:t>
      </w:r>
      <w:r>
        <w:rPr>
          <w:rFonts w:ascii="Arial"/>
          <w:i/>
          <w:color w:val="030303"/>
          <w:spacing w:val="7"/>
          <w:w w:val="135"/>
          <w:sz w:val="20"/>
        </w:rPr>
        <w:t>l?). </w:t>
      </w:r>
      <w:r>
        <w:rPr>
          <w:rFonts w:ascii="Arial"/>
          <w:i/>
          <w:color w:val="030303"/>
          <w:w w:val="110"/>
          <w:sz w:val="20"/>
          <w:u w:val="thick" w:color="000000"/>
        </w:rPr>
        <w:t>dx</w:t>
      </w:r>
    </w:p>
    <w:p>
      <w:pPr>
        <w:spacing w:before="164"/>
        <w:ind w:left="0" w:right="0" w:firstLine="0"/>
        <w:jc w:val="right"/>
        <w:rPr>
          <w:b/>
          <w:i/>
          <w:sz w:val="21"/>
        </w:rPr>
      </w:pPr>
      <w:r>
        <w:rPr>
          <w:b/>
          <w:i/>
          <w:color w:val="030303"/>
          <w:w w:val="95"/>
          <w:sz w:val="20"/>
          <w:u w:val="thick" w:color="000000"/>
        </w:rPr>
        <w:t>d </w:t>
      </w:r>
      <w:r>
        <w:rPr>
          <w:b/>
          <w:color w:val="030303"/>
          <w:w w:val="95"/>
          <w:sz w:val="19"/>
          <w:u w:val="thick" w:color="000000"/>
        </w:rPr>
        <w:t>log </w:t>
      </w:r>
      <w:r>
        <w:rPr>
          <w:b/>
          <w:i/>
          <w:color w:val="030303"/>
          <w:w w:val="95"/>
          <w:sz w:val="21"/>
          <w:u w:val="thick" w:color="000000"/>
        </w:rPr>
        <w:t>l;</w:t>
      </w:r>
      <w:r>
        <w:rPr>
          <w:b/>
          <w:i/>
          <w:color w:val="030303"/>
          <w:w w:val="95"/>
          <w:sz w:val="21"/>
        </w:rPr>
        <w:t>T </w:t>
      </w:r>
      <w:r>
        <w:rPr>
          <w:b/>
          <w:i/>
          <w:color w:val="030303"/>
          <w:w w:val="85"/>
          <w:sz w:val="21"/>
        </w:rPr>
        <w:t>)</w:t>
      </w:r>
    </w:p>
    <w:p>
      <w:pPr>
        <w:spacing w:before="65"/>
        <w:ind w:left="0" w:right="259" w:firstLine="0"/>
        <w:jc w:val="right"/>
        <w:rPr>
          <w:i/>
          <w:sz w:val="19"/>
        </w:rPr>
      </w:pPr>
      <w:r>
        <w:rPr>
          <w:i/>
          <w:color w:val="030303"/>
          <w:w w:val="105"/>
          <w:sz w:val="19"/>
        </w:rPr>
        <w:t>dx</w:t>
      </w:r>
    </w:p>
    <w:p>
      <w:pPr>
        <w:pStyle w:val="BodyText"/>
        <w:spacing w:before="8"/>
        <w:rPr>
          <w:i/>
          <w:sz w:val="22"/>
        </w:rPr>
      </w:pPr>
      <w:r>
        <w:rPr/>
        <w:br w:type="column"/>
      </w:r>
      <w:r>
        <w:rPr>
          <w:i/>
          <w:sz w:val="22"/>
        </w:rPr>
      </w:r>
    </w:p>
    <w:p>
      <w:pPr>
        <w:spacing w:before="0"/>
        <w:ind w:left="1337" w:right="0" w:firstLine="0"/>
        <w:jc w:val="left"/>
        <w:rPr>
          <w:sz w:val="19"/>
        </w:rPr>
      </w:pPr>
      <w:r>
        <w:rPr>
          <w:color w:val="030303"/>
          <w:w w:val="110"/>
          <w:sz w:val="19"/>
        </w:rPr>
        <w:t>(14.18b)</w:t>
      </w:r>
    </w:p>
    <w:p>
      <w:pPr>
        <w:pStyle w:val="BodyText"/>
        <w:rPr>
          <w:sz w:val="18"/>
        </w:rPr>
      </w:pPr>
    </w:p>
    <w:p>
      <w:pPr>
        <w:pStyle w:val="BodyText"/>
        <w:spacing w:before="3"/>
        <w:rPr>
          <w:sz w:val="19"/>
        </w:rPr>
      </w:pPr>
    </w:p>
    <w:p>
      <w:pPr>
        <w:spacing w:before="0"/>
        <w:ind w:left="1366" w:right="0" w:firstLine="0"/>
        <w:jc w:val="left"/>
        <w:rPr>
          <w:sz w:val="19"/>
        </w:rPr>
      </w:pPr>
      <w:r>
        <w:rPr>
          <w:color w:val="030303"/>
          <w:sz w:val="19"/>
        </w:rPr>
        <w:t>(14.18c )</w:t>
      </w:r>
    </w:p>
    <w:p>
      <w:pPr>
        <w:spacing w:after="0"/>
        <w:jc w:val="left"/>
        <w:rPr>
          <w:sz w:val="19"/>
        </w:rPr>
        <w:sectPr>
          <w:type w:val="continuous"/>
          <w:pgSz w:w="7200" w:h="11340"/>
          <w:pgMar w:top="1100" w:bottom="0" w:left="680" w:right="560"/>
          <w:cols w:num="2" w:equalWidth="0">
            <w:col w:w="3725" w:space="40"/>
            <w:col w:w="2195"/>
          </w:cols>
        </w:sectPr>
      </w:pPr>
    </w:p>
    <w:p>
      <w:pPr>
        <w:spacing w:line="254" w:lineRule="auto" w:before="126"/>
        <w:ind w:left="120" w:right="118" w:firstLine="3"/>
        <w:jc w:val="both"/>
        <w:rPr>
          <w:sz w:val="20"/>
        </w:rPr>
      </w:pPr>
      <w:r>
        <w:rPr>
          <w:color w:val="030303"/>
          <w:sz w:val="19"/>
        </w:rPr>
        <w:t>This function represen ts thc force of decrement from  all  causes combined, and is mathematically  the  same  kind  of  f unction  </w:t>
      </w:r>
      <w:r>
        <w:rPr>
          <w:color w:val="030303"/>
          <w:sz w:val="20"/>
        </w:rPr>
        <w:t>as  </w:t>
      </w:r>
      <w:r>
        <w:rPr>
          <w:color w:val="030303"/>
          <w:sz w:val="19"/>
        </w:rPr>
        <w:t>the force of mortality  </w:t>
      </w:r>
      <w:r>
        <w:rPr>
          <w:color w:val="030303"/>
          <w:sz w:val="20"/>
        </w:rPr>
        <w:t>in  </w:t>
      </w:r>
      <w:r>
        <w:rPr>
          <w:color w:val="030303"/>
          <w:sz w:val="19"/>
        </w:rPr>
        <w:t>a  sing1c-dcrement  mortality  tab]e.  The  follow­ ing  relations  may  be  derived  in  the  same  way  as  in  Chapter   </w:t>
      </w:r>
      <w:r>
        <w:rPr>
          <w:color w:val="030303"/>
          <w:sz w:val="20"/>
        </w:rPr>
        <w:t>l :</w:t>
      </w:r>
    </w:p>
    <w:p>
      <w:pPr>
        <w:spacing w:after="0" w:line="254" w:lineRule="auto"/>
        <w:jc w:val="both"/>
        <w:rPr>
          <w:sz w:val="20"/>
        </w:rPr>
        <w:sectPr>
          <w:type w:val="continuous"/>
          <w:pgSz w:w="7200" w:h="11340"/>
          <w:pgMar w:top="1100" w:bottom="0" w:left="680" w:right="560"/>
        </w:sectPr>
      </w:pPr>
    </w:p>
    <w:p>
      <w:pPr>
        <w:spacing w:before="56"/>
        <w:ind w:left="1446" w:right="0" w:firstLine="0"/>
        <w:jc w:val="center"/>
        <w:rPr>
          <w:b/>
          <w:i/>
          <w:sz w:val="22"/>
        </w:rPr>
      </w:pPr>
      <w:r>
        <w:rPr>
          <w:b/>
          <w:i/>
          <w:color w:val="030303"/>
          <w:spacing w:val="4"/>
          <w:w w:val="41"/>
          <w:sz w:val="28"/>
        </w:rPr>
        <w:t>z</w:t>
      </w:r>
      <w:r>
        <w:rPr>
          <w:b/>
          <w:i/>
          <w:color w:val="030303"/>
          <w:spacing w:val="-27"/>
          <w:w w:val="147"/>
          <w:sz w:val="28"/>
        </w:rPr>
        <w:t>?</w:t>
      </w:r>
      <w:r>
        <w:rPr>
          <w:b/>
          <w:i/>
          <w:color w:val="030303"/>
          <w:w w:val="24"/>
          <w:sz w:val="28"/>
        </w:rPr>
        <w:t>)</w:t>
      </w:r>
      <w:r>
        <w:rPr>
          <w:b/>
          <w:i/>
          <w:color w:val="030303"/>
          <w:sz w:val="28"/>
        </w:rPr>
        <w:t> </w:t>
      </w:r>
      <w:r>
        <w:rPr>
          <w:b/>
          <w:i/>
          <w:color w:val="030303"/>
          <w:spacing w:val="-20"/>
          <w:sz w:val="28"/>
        </w:rPr>
        <w:t> </w:t>
      </w:r>
      <w:r>
        <w:rPr>
          <w:color w:val="030303"/>
          <w:w w:val="101"/>
          <w:sz w:val="23"/>
        </w:rPr>
        <w:t>=</w:t>
      </w:r>
      <w:r>
        <w:rPr>
          <w:color w:val="030303"/>
          <w:sz w:val="23"/>
        </w:rPr>
        <w:t> </w:t>
      </w:r>
      <w:r>
        <w:rPr>
          <w:color w:val="030303"/>
          <w:spacing w:val="-14"/>
          <w:sz w:val="23"/>
        </w:rPr>
        <w:t> </w:t>
      </w:r>
      <w:r>
        <w:rPr>
          <w:b/>
          <w:i/>
          <w:color w:val="030303"/>
          <w:spacing w:val="7"/>
          <w:w w:val="57"/>
          <w:sz w:val="22"/>
        </w:rPr>
        <w:t>z</w:t>
      </w:r>
      <w:r>
        <w:rPr>
          <w:b/>
          <w:i/>
          <w:color w:val="030303"/>
          <w:w w:val="99"/>
          <w:sz w:val="22"/>
        </w:rPr>
        <w:t>f </w:t>
      </w:r>
      <w:r>
        <w:rPr>
          <w:b/>
          <w:i/>
          <w:color w:val="030303"/>
          <w:spacing w:val="-11"/>
          <w:w w:val="99"/>
          <w:sz w:val="22"/>
        </w:rPr>
        <w:t> </w:t>
      </w:r>
      <w:r>
        <w:rPr>
          <w:b/>
          <w:i/>
          <w:color w:val="030303"/>
          <w:w w:val="78"/>
          <w:sz w:val="22"/>
        </w:rPr>
        <w:t>&gt;e</w:t>
      </w:r>
      <w:r>
        <w:rPr>
          <w:b/>
          <w:i/>
          <w:color w:val="030303"/>
          <w:spacing w:val="3"/>
          <w:w w:val="78"/>
          <w:sz w:val="22"/>
        </w:rPr>
        <w:t>-</w:t>
      </w:r>
      <w:r>
        <w:rPr>
          <w:b/>
          <w:i/>
          <w:color w:val="030303"/>
          <w:w w:val="87"/>
          <w:sz w:val="22"/>
        </w:rPr>
        <w:t>f:</w:t>
      </w:r>
      <w:r>
        <w:rPr>
          <w:b/>
          <w:i/>
          <w:color w:val="030303"/>
          <w:spacing w:val="9"/>
          <w:sz w:val="22"/>
        </w:rPr>
        <w:t> </w:t>
      </w:r>
      <w:r>
        <w:rPr>
          <w:b/>
          <w:i/>
          <w:color w:val="030303"/>
          <w:w w:val="61"/>
          <w:sz w:val="22"/>
        </w:rPr>
        <w:t>µiT</w:t>
      </w:r>
      <w:r>
        <w:rPr>
          <w:b/>
          <w:i/>
          <w:color w:val="030303"/>
          <w:spacing w:val="3"/>
          <w:sz w:val="22"/>
        </w:rPr>
        <w:t> </w:t>
      </w:r>
      <w:r>
        <w:rPr>
          <w:b/>
          <w:i/>
          <w:color w:val="030303"/>
          <w:w w:val="25"/>
          <w:sz w:val="22"/>
        </w:rPr>
        <w:t>&gt;</w:t>
      </w:r>
      <w:r>
        <w:rPr>
          <w:b/>
          <w:i/>
          <w:color w:val="030303"/>
          <w:spacing w:val="-9"/>
          <w:sz w:val="22"/>
        </w:rPr>
        <w:t> </w:t>
      </w:r>
      <w:r>
        <w:rPr>
          <w:b/>
          <w:i/>
          <w:color w:val="030303"/>
          <w:w w:val="50"/>
          <w:sz w:val="22"/>
        </w:rPr>
        <w:t>d</w:t>
      </w:r>
      <w:r>
        <w:rPr>
          <w:b/>
          <w:i/>
          <w:color w:val="030303"/>
          <w:spacing w:val="-35"/>
          <w:sz w:val="22"/>
        </w:rPr>
        <w:t> </w:t>
      </w:r>
      <w:r>
        <w:rPr>
          <w:b/>
          <w:i/>
          <w:color w:val="030303"/>
          <w:w w:val="46"/>
          <w:sz w:val="22"/>
        </w:rPr>
        <w:t>y</w:t>
      </w:r>
    </w:p>
    <w:p>
      <w:pPr>
        <w:spacing w:before="162"/>
        <w:ind w:left="1495" w:right="0" w:firstLine="0"/>
        <w:jc w:val="center"/>
        <w:rPr>
          <w:i/>
          <w:sz w:val="21"/>
        </w:rPr>
      </w:pPr>
      <w:r>
        <w:rPr>
          <w:i/>
          <w:color w:val="030303"/>
          <w:spacing w:val="-3"/>
          <w:sz w:val="20"/>
        </w:rPr>
        <w:t>"p;T)</w:t>
      </w:r>
      <w:r>
        <w:rPr>
          <w:i/>
          <w:color w:val="030303"/>
          <w:spacing w:val="-1"/>
          <w:sz w:val="20"/>
        </w:rPr>
        <w:t> </w:t>
      </w:r>
      <w:r>
        <w:rPr>
          <w:color w:val="030303"/>
          <w:sz w:val="25"/>
        </w:rPr>
        <w:t>=</w:t>
      </w:r>
      <w:r>
        <w:rPr>
          <w:color w:val="030303"/>
          <w:spacing w:val="-26"/>
          <w:sz w:val="25"/>
        </w:rPr>
        <w:t> </w:t>
      </w:r>
      <w:r>
        <w:rPr>
          <w:color w:val="030303"/>
          <w:sz w:val="24"/>
        </w:rPr>
        <w:t>e-f:+""V&gt;</w:t>
      </w:r>
      <w:r>
        <w:rPr>
          <w:color w:val="030303"/>
          <w:spacing w:val="-41"/>
          <w:sz w:val="24"/>
        </w:rPr>
        <w:t> </w:t>
      </w:r>
      <w:r>
        <w:rPr>
          <w:color w:val="030303"/>
          <w:w w:val="75"/>
          <w:sz w:val="24"/>
        </w:rPr>
        <w:t>d11</w:t>
      </w:r>
      <w:r>
        <w:rPr>
          <w:color w:val="030303"/>
          <w:spacing w:val="-9"/>
          <w:w w:val="75"/>
          <w:sz w:val="24"/>
        </w:rPr>
        <w:t> </w:t>
      </w:r>
      <w:r>
        <w:rPr>
          <w:color w:val="030303"/>
          <w:sz w:val="25"/>
        </w:rPr>
        <w:t>=</w:t>
      </w:r>
      <w:r>
        <w:rPr>
          <w:color w:val="030303"/>
          <w:spacing w:val="-25"/>
          <w:sz w:val="25"/>
        </w:rPr>
        <w:t> </w:t>
      </w:r>
      <w:r>
        <w:rPr>
          <w:i/>
          <w:color w:val="030303"/>
          <w:sz w:val="21"/>
        </w:rPr>
        <w:t>e-f:"</w:t>
      </w:r>
      <w:r>
        <w:rPr>
          <w:i/>
          <w:color w:val="030303"/>
          <w:spacing w:val="-32"/>
          <w:sz w:val="21"/>
        </w:rPr>
        <w:t> </w:t>
      </w:r>
      <w:r>
        <w:rPr>
          <w:i/>
          <w:color w:val="030303"/>
          <w:sz w:val="21"/>
        </w:rPr>
        <w:t>H{</w:t>
      </w:r>
      <w:r>
        <w:rPr>
          <w:i/>
          <w:color w:val="030303"/>
          <w:spacing w:val="-30"/>
          <w:sz w:val="21"/>
        </w:rPr>
        <w:t> </w:t>
      </w:r>
      <w:r>
        <w:rPr>
          <w:i/>
          <w:color w:val="030303"/>
          <w:w w:val="75"/>
          <w:sz w:val="21"/>
        </w:rPr>
        <w:t>d</w:t>
      </w:r>
      <w:r>
        <w:rPr>
          <w:i/>
          <w:color w:val="030303"/>
          <w:spacing w:val="-27"/>
          <w:w w:val="75"/>
          <w:sz w:val="21"/>
        </w:rPr>
        <w:t> </w:t>
      </w:r>
      <w:r>
        <w:rPr>
          <w:i/>
          <w:color w:val="030303"/>
          <w:w w:val="75"/>
          <w:sz w:val="21"/>
        </w:rPr>
        <w:t>t</w:t>
      </w:r>
      <w:r>
        <w:rPr>
          <w:i/>
          <w:color w:val="030303"/>
          <w:spacing w:val="-30"/>
          <w:w w:val="75"/>
          <w:sz w:val="21"/>
        </w:rPr>
        <w:t> </w:t>
      </w:r>
      <w:r>
        <w:rPr>
          <w:i/>
          <w:color w:val="030303"/>
          <w:sz w:val="21"/>
        </w:rPr>
        <w:t>.</w:t>
      </w:r>
    </w:p>
    <w:p>
      <w:pPr>
        <w:pStyle w:val="BodyText"/>
        <w:spacing w:before="9"/>
        <w:rPr>
          <w:i/>
          <w:sz w:val="17"/>
        </w:rPr>
      </w:pPr>
      <w:r>
        <w:rPr/>
        <w:br w:type="column"/>
      </w:r>
      <w:r>
        <w:rPr>
          <w:i/>
          <w:sz w:val="17"/>
        </w:rPr>
      </w:r>
    </w:p>
    <w:p>
      <w:pPr>
        <w:spacing w:before="0"/>
        <w:ind w:left="708" w:right="0" w:firstLine="0"/>
        <w:jc w:val="left"/>
        <w:rPr>
          <w:sz w:val="19"/>
        </w:rPr>
      </w:pPr>
      <w:r>
        <w:rPr>
          <w:color w:val="030303"/>
          <w:w w:val="105"/>
          <w:sz w:val="19"/>
        </w:rPr>
        <w:t>(14.19)</w:t>
      </w:r>
    </w:p>
    <w:p>
      <w:pPr>
        <w:pStyle w:val="BodyText"/>
        <w:spacing w:before="5"/>
        <w:rPr>
          <w:sz w:val="19"/>
        </w:rPr>
      </w:pPr>
    </w:p>
    <w:p>
      <w:pPr>
        <w:spacing w:before="0"/>
        <w:ind w:left="708" w:right="0" w:firstLine="0"/>
        <w:jc w:val="left"/>
        <w:rPr>
          <w:sz w:val="19"/>
        </w:rPr>
      </w:pPr>
      <w:r>
        <w:rPr>
          <w:color w:val="030303"/>
          <w:w w:val="110"/>
          <w:sz w:val="19"/>
        </w:rPr>
        <w:t>(14.20)</w:t>
      </w:r>
    </w:p>
    <w:p>
      <w:pPr>
        <w:spacing w:after="0"/>
        <w:jc w:val="left"/>
        <w:rPr>
          <w:sz w:val="19"/>
        </w:rPr>
        <w:sectPr>
          <w:type w:val="continuous"/>
          <w:pgSz w:w="7200" w:h="11340"/>
          <w:pgMar w:top="1100" w:bottom="0" w:left="680" w:right="560"/>
          <w:cols w:num="2" w:equalWidth="0">
            <w:col w:w="4476" w:space="40"/>
            <w:col w:w="1444"/>
          </w:cols>
        </w:sectPr>
      </w:pPr>
    </w:p>
    <w:p>
      <w:pPr>
        <w:spacing w:line="261" w:lineRule="auto" w:before="144"/>
        <w:ind w:left="116" w:right="0" w:firstLine="204"/>
        <w:jc w:val="left"/>
        <w:rPr>
          <w:sz w:val="19"/>
        </w:rPr>
      </w:pPr>
      <w:r>
        <w:rPr>
          <w:color w:val="030303"/>
          <w:w w:val="110"/>
          <w:sz w:val="19"/>
        </w:rPr>
        <w:t>In order to define the forces of decrement for each of the in­ dividual causes, we first introduce the new   functions</w:t>
      </w:r>
    </w:p>
    <w:p>
      <w:pPr>
        <w:spacing w:line="86" w:lineRule="exact" w:before="113"/>
        <w:ind w:left="421" w:right="1788" w:firstLine="0"/>
        <w:jc w:val="center"/>
        <w:rPr>
          <w:rFonts w:ascii="Arial"/>
          <w:b/>
          <w:sz w:val="8"/>
        </w:rPr>
      </w:pPr>
      <w:r>
        <w:rPr/>
        <w:pict>
          <v:shape style="position:absolute;margin-left:113.778702pt;margin-top:8.725821pt;width:68.350pt;height:14.9pt;mso-position-horizontal-relative:page;mso-position-vertical-relative:paragraph;z-index:-713968" type="#_x0000_t202" filled="false" stroked="false">
            <v:textbox inset="0,0,0,0">
              <w:txbxContent>
                <w:p>
                  <w:pPr>
                    <w:tabs>
                      <w:tab w:pos="882" w:val="left" w:leader="none"/>
                    </w:tabs>
                    <w:spacing w:line="297" w:lineRule="exact" w:before="0"/>
                    <w:ind w:left="0" w:right="0" w:firstLine="0"/>
                    <w:jc w:val="left"/>
                    <w:rPr>
                      <w:i/>
                      <w:sz w:val="20"/>
                    </w:rPr>
                  </w:pPr>
                  <w:r>
                    <w:rPr>
                      <w:b/>
                      <w:color w:val="030303"/>
                      <w:position w:val="-8"/>
                      <w:sz w:val="22"/>
                    </w:rPr>
                    <w:t>l</w:t>
                  </w:r>
                  <w:r>
                    <w:rPr>
                      <w:b/>
                      <w:color w:val="030303"/>
                      <w:spacing w:val="-37"/>
                      <w:position w:val="-8"/>
                      <w:sz w:val="22"/>
                    </w:rPr>
                    <w:t> </w:t>
                  </w:r>
                  <w:r>
                    <w:rPr>
                      <w:rFonts w:ascii="Arial"/>
                      <w:b/>
                      <w:color w:val="030303"/>
                      <w:sz w:val="11"/>
                    </w:rPr>
                    <w:t>(k)</w:t>
                    <w:tab/>
                  </w:r>
                  <w:r>
                    <w:rPr>
                      <w:color w:val="030303"/>
                      <w:sz w:val="11"/>
                    </w:rPr>
                    <w:t>.,1(k)    </w:t>
                  </w:r>
                  <w:r>
                    <w:rPr>
                      <w:color w:val="030303"/>
                      <w:spacing w:val="18"/>
                      <w:sz w:val="11"/>
                    </w:rPr>
                    <w:t> </w:t>
                  </w:r>
                  <w:r>
                    <w:rPr>
                      <w:i/>
                      <w:color w:val="030303"/>
                      <w:sz w:val="20"/>
                    </w:rPr>
                    <w:t>k</w:t>
                  </w:r>
                </w:p>
              </w:txbxContent>
            </v:textbox>
            <w10:wrap type="none"/>
          </v:shape>
        </w:pict>
      </w:r>
      <w:r>
        <w:rPr>
          <w:rFonts w:ascii="Arial"/>
          <w:b/>
          <w:color w:val="030303"/>
          <w:w w:val="110"/>
          <w:sz w:val="8"/>
        </w:rPr>
        <w:t>00</w:t>
      </w:r>
    </w:p>
    <w:p>
      <w:pPr>
        <w:tabs>
          <w:tab w:pos="1925" w:val="left" w:leader="none"/>
          <w:tab w:pos="2769" w:val="left" w:leader="none"/>
          <w:tab w:pos="3067" w:val="left" w:leader="none"/>
          <w:tab w:pos="5130" w:val="left" w:leader="none"/>
        </w:tabs>
        <w:spacing w:line="293" w:lineRule="exact" w:before="0"/>
        <w:ind w:left="1642" w:right="0" w:firstLine="0"/>
        <w:jc w:val="left"/>
        <w:rPr>
          <w:sz w:val="19"/>
        </w:rPr>
      </w:pPr>
      <w:r>
        <w:rPr>
          <w:i/>
          <w:color w:val="030303"/>
          <w:w w:val="110"/>
          <w:sz w:val="13"/>
        </w:rPr>
        <w:t>z</w:t>
        <w:tab/>
      </w:r>
      <w:r>
        <w:rPr>
          <w:color w:val="030303"/>
          <w:w w:val="110"/>
          <w:sz w:val="26"/>
        </w:rPr>
        <w:t>=</w:t>
      </w:r>
      <w:r>
        <w:rPr>
          <w:color w:val="030303"/>
          <w:spacing w:val="41"/>
          <w:w w:val="110"/>
          <w:sz w:val="26"/>
        </w:rPr>
        <w:t> </w:t>
      </w:r>
      <w:r>
        <w:rPr>
          <w:b/>
          <w:i/>
          <w:color w:val="030303"/>
          <w:w w:val="110"/>
          <w:sz w:val="16"/>
        </w:rPr>
        <w:t>k-1</w:t>
        <w:tab/>
      </w:r>
      <w:r>
        <w:rPr>
          <w:color w:val="030303"/>
          <w:w w:val="110"/>
          <w:sz w:val="16"/>
        </w:rPr>
        <w:t>,</w:t>
        <w:tab/>
      </w:r>
      <w:r>
        <w:rPr>
          <w:color w:val="030303"/>
          <w:w w:val="110"/>
          <w:sz w:val="23"/>
        </w:rPr>
        <w:t>=  </w:t>
      </w:r>
      <w:r>
        <w:rPr>
          <w:color w:val="030303"/>
          <w:w w:val="110"/>
          <w:sz w:val="19"/>
        </w:rPr>
        <w:t>1, 2, </w:t>
      </w:r>
      <w:r>
        <w:rPr>
          <w:color w:val="030303"/>
          <w:spacing w:val="10"/>
          <w:w w:val="110"/>
          <w:sz w:val="19"/>
        </w:rPr>
        <w:t>·· </w:t>
      </w:r>
      <w:r>
        <w:rPr>
          <w:color w:val="030303"/>
          <w:w w:val="110"/>
          <w:sz w:val="19"/>
        </w:rPr>
        <w:t>·</w:t>
      </w:r>
      <w:r>
        <w:rPr>
          <w:color w:val="030303"/>
          <w:spacing w:val="-11"/>
          <w:w w:val="110"/>
          <w:sz w:val="19"/>
        </w:rPr>
        <w:t> </w:t>
      </w:r>
      <w:r>
        <w:rPr>
          <w:color w:val="030303"/>
          <w:w w:val="110"/>
          <w:sz w:val="19"/>
        </w:rPr>
        <w:t>,</w:t>
      </w:r>
      <w:r>
        <w:rPr>
          <w:color w:val="030303"/>
          <w:spacing w:val="7"/>
          <w:w w:val="110"/>
          <w:sz w:val="19"/>
        </w:rPr>
        <w:t> </w:t>
      </w:r>
      <w:r>
        <w:rPr>
          <w:i/>
          <w:color w:val="030303"/>
          <w:w w:val="110"/>
          <w:sz w:val="20"/>
        </w:rPr>
        <w:t>m.</w:t>
        <w:tab/>
      </w:r>
      <w:r>
        <w:rPr>
          <w:color w:val="030303"/>
          <w:w w:val="105"/>
          <w:position w:val="1"/>
          <w:sz w:val="19"/>
        </w:rPr>
        <w:t>(14.21a</w:t>
      </w:r>
      <w:r>
        <w:rPr>
          <w:color w:val="030303"/>
          <w:spacing w:val="-28"/>
          <w:w w:val="105"/>
          <w:position w:val="1"/>
          <w:sz w:val="19"/>
        </w:rPr>
        <w:t> </w:t>
      </w:r>
      <w:r>
        <w:rPr>
          <w:color w:val="030303"/>
          <w:w w:val="105"/>
          <w:position w:val="1"/>
          <w:sz w:val="19"/>
        </w:rPr>
        <w:t>)</w:t>
      </w:r>
    </w:p>
    <w:p>
      <w:pPr>
        <w:spacing w:line="252" w:lineRule="auto" w:before="163"/>
        <w:ind w:left="123" w:right="120" w:hanging="4"/>
        <w:jc w:val="both"/>
        <w:rPr>
          <w:sz w:val="19"/>
        </w:rPr>
      </w:pPr>
      <w:r>
        <w:rPr>
          <w:color w:val="030303"/>
          <w:w w:val="115"/>
          <w:sz w:val="19"/>
        </w:rPr>
        <w:t>It</w:t>
      </w:r>
      <w:r>
        <w:rPr>
          <w:color w:val="030303"/>
          <w:spacing w:val="-21"/>
          <w:w w:val="115"/>
          <w:sz w:val="19"/>
        </w:rPr>
        <w:t> </w:t>
      </w:r>
      <w:r>
        <w:rPr>
          <w:color w:val="030303"/>
          <w:w w:val="115"/>
          <w:sz w:val="19"/>
        </w:rPr>
        <w:t>will</w:t>
      </w:r>
      <w:r>
        <w:rPr>
          <w:color w:val="030303"/>
          <w:spacing w:val="-10"/>
          <w:w w:val="115"/>
          <w:sz w:val="19"/>
        </w:rPr>
        <w:t> </w:t>
      </w:r>
      <w:r>
        <w:rPr>
          <w:color w:val="030303"/>
          <w:w w:val="115"/>
          <w:sz w:val="19"/>
        </w:rPr>
        <w:t>be</w:t>
      </w:r>
      <w:r>
        <w:rPr>
          <w:color w:val="030303"/>
          <w:spacing w:val="-13"/>
          <w:w w:val="115"/>
          <w:sz w:val="19"/>
        </w:rPr>
        <w:t> </w:t>
      </w:r>
      <w:r>
        <w:rPr>
          <w:color w:val="030303"/>
          <w:w w:val="115"/>
          <w:sz w:val="19"/>
        </w:rPr>
        <w:t>seen</w:t>
      </w:r>
      <w:r>
        <w:rPr>
          <w:color w:val="030303"/>
          <w:spacing w:val="-18"/>
          <w:w w:val="115"/>
          <w:sz w:val="19"/>
        </w:rPr>
        <w:t> </w:t>
      </w:r>
      <w:r>
        <w:rPr>
          <w:color w:val="030303"/>
          <w:w w:val="115"/>
          <w:sz w:val="21"/>
        </w:rPr>
        <w:t>that</w:t>
      </w:r>
      <w:r>
        <w:rPr>
          <w:color w:val="030303"/>
          <w:spacing w:val="-18"/>
          <w:w w:val="115"/>
          <w:sz w:val="21"/>
        </w:rPr>
        <w:t> </w:t>
      </w:r>
      <w:r>
        <w:rPr>
          <w:rFonts w:ascii="Arial" w:hAnsi="Arial"/>
          <w:i/>
          <w:color w:val="030303"/>
          <w:w w:val="80"/>
          <w:sz w:val="26"/>
        </w:rPr>
        <w:t>z?&gt;</w:t>
      </w:r>
      <w:r>
        <w:rPr>
          <w:rFonts w:ascii="Arial" w:hAnsi="Arial"/>
          <w:i/>
          <w:color w:val="030303"/>
          <w:spacing w:val="-20"/>
          <w:w w:val="80"/>
          <w:sz w:val="26"/>
        </w:rPr>
        <w:t> </w:t>
      </w:r>
      <w:r>
        <w:rPr>
          <w:color w:val="030303"/>
          <w:w w:val="115"/>
          <w:sz w:val="19"/>
        </w:rPr>
        <w:t>represents</w:t>
      </w:r>
      <w:r>
        <w:rPr>
          <w:color w:val="030303"/>
          <w:spacing w:val="-5"/>
          <w:w w:val="115"/>
          <w:sz w:val="19"/>
        </w:rPr>
        <w:t> </w:t>
      </w:r>
      <w:r>
        <w:rPr>
          <w:color w:val="030303"/>
          <w:w w:val="115"/>
          <w:sz w:val="19"/>
        </w:rPr>
        <w:t>the</w:t>
      </w:r>
      <w:r>
        <w:rPr>
          <w:color w:val="030303"/>
          <w:spacing w:val="-15"/>
          <w:w w:val="115"/>
          <w:sz w:val="19"/>
        </w:rPr>
        <w:t> </w:t>
      </w:r>
      <w:r>
        <w:rPr>
          <w:color w:val="030303"/>
          <w:w w:val="115"/>
          <w:sz w:val="19"/>
        </w:rPr>
        <w:t>number</w:t>
      </w:r>
      <w:r>
        <w:rPr>
          <w:color w:val="030303"/>
          <w:spacing w:val="-9"/>
          <w:w w:val="115"/>
          <w:sz w:val="19"/>
        </w:rPr>
        <w:t> </w:t>
      </w:r>
      <w:r>
        <w:rPr>
          <w:color w:val="030303"/>
          <w:w w:val="115"/>
          <w:sz w:val="19"/>
        </w:rPr>
        <w:t>of</w:t>
      </w:r>
      <w:r>
        <w:rPr>
          <w:color w:val="030303"/>
          <w:spacing w:val="-4"/>
          <w:w w:val="115"/>
          <w:sz w:val="19"/>
        </w:rPr>
        <w:t> </w:t>
      </w:r>
      <w:r>
        <w:rPr>
          <w:color w:val="030303"/>
          <w:w w:val="115"/>
          <w:sz w:val="19"/>
        </w:rPr>
        <w:t>live8</w:t>
      </w:r>
      <w:r>
        <w:rPr>
          <w:color w:val="030303"/>
          <w:spacing w:val="-13"/>
          <w:w w:val="115"/>
          <w:sz w:val="19"/>
        </w:rPr>
        <w:t> </w:t>
      </w:r>
      <w:r>
        <w:rPr>
          <w:color w:val="030303"/>
          <w:w w:val="115"/>
          <w:sz w:val="21"/>
        </w:rPr>
        <w:t>at</w:t>
      </w:r>
      <w:r>
        <w:rPr>
          <w:color w:val="030303"/>
          <w:spacing w:val="-18"/>
          <w:w w:val="115"/>
          <w:sz w:val="21"/>
        </w:rPr>
        <w:t> </w:t>
      </w:r>
      <w:r>
        <w:rPr>
          <w:color w:val="030303"/>
          <w:w w:val="115"/>
          <w:sz w:val="19"/>
        </w:rPr>
        <w:t>age</w:t>
      </w:r>
      <w:r>
        <w:rPr>
          <w:color w:val="030303"/>
          <w:spacing w:val="-19"/>
          <w:w w:val="115"/>
          <w:sz w:val="19"/>
        </w:rPr>
        <w:t> </w:t>
      </w:r>
      <w:r>
        <w:rPr>
          <w:rFonts w:ascii="Arial" w:hAnsi="Arial"/>
          <w:i/>
          <w:color w:val="030303"/>
          <w:w w:val="115"/>
          <w:sz w:val="16"/>
        </w:rPr>
        <w:t>x</w:t>
      </w:r>
      <w:r>
        <w:rPr>
          <w:rFonts w:ascii="Arial" w:hAnsi="Arial"/>
          <w:i/>
          <w:color w:val="030303"/>
          <w:spacing w:val="-1"/>
          <w:w w:val="115"/>
          <w:sz w:val="16"/>
        </w:rPr>
        <w:t> </w:t>
      </w:r>
      <w:r>
        <w:rPr>
          <w:color w:val="030303"/>
          <w:w w:val="115"/>
          <w:sz w:val="19"/>
        </w:rPr>
        <w:t>that will eventually be removed by cause </w:t>
      </w:r>
      <w:r>
        <w:rPr>
          <w:rFonts w:ascii="Arial" w:hAnsi="Arial"/>
          <w:color w:val="030303"/>
          <w:w w:val="115"/>
          <w:sz w:val="19"/>
        </w:rPr>
        <w:t>(k). </w:t>
      </w:r>
      <w:r>
        <w:rPr>
          <w:color w:val="030303"/>
          <w:w w:val="115"/>
          <w:sz w:val="19"/>
        </w:rPr>
        <w:t>We now seek to define a</w:t>
      </w:r>
      <w:r>
        <w:rPr>
          <w:color w:val="030303"/>
          <w:spacing w:val="-24"/>
          <w:w w:val="115"/>
          <w:sz w:val="19"/>
        </w:rPr>
        <w:t> </w:t>
      </w:r>
      <w:r>
        <w:rPr>
          <w:color w:val="030303"/>
          <w:w w:val="115"/>
          <w:sz w:val="19"/>
        </w:rPr>
        <w:t>force</w:t>
      </w:r>
      <w:r>
        <w:rPr>
          <w:color w:val="030303"/>
          <w:spacing w:val="-23"/>
          <w:w w:val="115"/>
          <w:sz w:val="19"/>
        </w:rPr>
        <w:t> </w:t>
      </w:r>
      <w:r>
        <w:rPr>
          <w:color w:val="030303"/>
          <w:w w:val="115"/>
          <w:sz w:val="19"/>
        </w:rPr>
        <w:t>of</w:t>
      </w:r>
      <w:r>
        <w:rPr>
          <w:color w:val="030303"/>
          <w:spacing w:val="-13"/>
          <w:w w:val="115"/>
          <w:sz w:val="19"/>
        </w:rPr>
        <w:t> </w:t>
      </w:r>
      <w:r>
        <w:rPr>
          <w:color w:val="030303"/>
          <w:w w:val="115"/>
          <w:sz w:val="19"/>
        </w:rPr>
        <w:t>decrement</w:t>
      </w:r>
      <w:r>
        <w:rPr>
          <w:color w:val="030303"/>
          <w:spacing w:val="-17"/>
          <w:w w:val="115"/>
          <w:sz w:val="19"/>
        </w:rPr>
        <w:t> </w:t>
      </w:r>
      <w:r>
        <w:rPr>
          <w:rFonts w:ascii="Arial" w:hAnsi="Arial"/>
          <w:i/>
          <w:color w:val="030303"/>
          <w:w w:val="80"/>
          <w:sz w:val="19"/>
        </w:rPr>
        <w:t>µ.&lt;</w:t>
      </w:r>
      <w:r>
        <w:rPr>
          <w:rFonts w:ascii="Arial" w:hAnsi="Arial"/>
          <w:i/>
          <w:color w:val="030303"/>
          <w:spacing w:val="-29"/>
          <w:w w:val="80"/>
          <w:sz w:val="19"/>
        </w:rPr>
        <w:t> </w:t>
      </w:r>
      <w:r>
        <w:rPr>
          <w:rFonts w:ascii="Arial" w:hAnsi="Arial"/>
          <w:i/>
          <w:color w:val="030303"/>
          <w:w w:val="80"/>
          <w:sz w:val="19"/>
        </w:rPr>
        <w:t>k&gt; </w:t>
      </w:r>
      <w:r>
        <w:rPr>
          <w:color w:val="030303"/>
          <w:w w:val="115"/>
          <w:sz w:val="19"/>
        </w:rPr>
        <w:t>for</w:t>
      </w:r>
      <w:r>
        <w:rPr>
          <w:color w:val="030303"/>
          <w:spacing w:val="-22"/>
          <w:w w:val="115"/>
          <w:sz w:val="19"/>
        </w:rPr>
        <w:t> </w:t>
      </w:r>
      <w:r>
        <w:rPr>
          <w:color w:val="030303"/>
          <w:w w:val="115"/>
          <w:sz w:val="19"/>
        </w:rPr>
        <w:t>each</w:t>
      </w:r>
      <w:r>
        <w:rPr>
          <w:color w:val="030303"/>
          <w:spacing w:val="-19"/>
          <w:w w:val="115"/>
          <w:sz w:val="19"/>
        </w:rPr>
        <w:t> </w:t>
      </w:r>
      <w:r>
        <w:rPr>
          <w:color w:val="030303"/>
          <w:w w:val="115"/>
          <w:sz w:val="19"/>
        </w:rPr>
        <w:t>cause</w:t>
      </w:r>
      <w:r>
        <w:rPr>
          <w:color w:val="030303"/>
          <w:spacing w:val="2"/>
          <w:w w:val="115"/>
          <w:sz w:val="19"/>
        </w:rPr>
        <w:t> </w:t>
      </w:r>
      <w:r>
        <w:rPr>
          <w:rFonts w:ascii="Arial" w:hAnsi="Arial"/>
          <w:i/>
          <w:color w:val="030303"/>
          <w:w w:val="80"/>
          <w:sz w:val="19"/>
        </w:rPr>
        <w:t>(</w:t>
      </w:r>
      <w:r>
        <w:rPr>
          <w:rFonts w:ascii="Arial" w:hAnsi="Arial"/>
          <w:i/>
          <w:color w:val="030303"/>
          <w:spacing w:val="-34"/>
          <w:w w:val="80"/>
          <w:sz w:val="19"/>
        </w:rPr>
        <w:t> </w:t>
      </w:r>
      <w:r>
        <w:rPr>
          <w:rFonts w:ascii="Arial" w:hAnsi="Arial"/>
          <w:i/>
          <w:color w:val="030303"/>
          <w:w w:val="80"/>
          <w:sz w:val="19"/>
        </w:rPr>
        <w:t>k</w:t>
      </w:r>
      <w:r>
        <w:rPr>
          <w:rFonts w:ascii="Arial" w:hAnsi="Arial"/>
          <w:i/>
          <w:color w:val="030303"/>
          <w:spacing w:val="-22"/>
          <w:w w:val="80"/>
          <w:sz w:val="19"/>
        </w:rPr>
        <w:t> </w:t>
      </w:r>
      <w:r>
        <w:rPr>
          <w:rFonts w:ascii="Arial" w:hAnsi="Arial"/>
          <w:i/>
          <w:color w:val="030303"/>
          <w:w w:val="80"/>
          <w:sz w:val="19"/>
        </w:rPr>
        <w:t>)</w:t>
      </w:r>
      <w:r>
        <w:rPr>
          <w:rFonts w:ascii="Arial" w:hAnsi="Arial"/>
          <w:i/>
          <w:color w:val="030303"/>
          <w:spacing w:val="7"/>
          <w:w w:val="80"/>
          <w:sz w:val="19"/>
        </w:rPr>
        <w:t> </w:t>
      </w:r>
      <w:r>
        <w:rPr>
          <w:color w:val="030303"/>
          <w:w w:val="115"/>
          <w:sz w:val="19"/>
        </w:rPr>
        <w:t>such</w:t>
      </w:r>
      <w:r>
        <w:rPr>
          <w:color w:val="030303"/>
          <w:spacing w:val="-18"/>
          <w:w w:val="115"/>
          <w:sz w:val="19"/>
        </w:rPr>
        <w:t> </w:t>
      </w:r>
      <w:r>
        <w:rPr>
          <w:color w:val="030303"/>
          <w:w w:val="115"/>
          <w:sz w:val="19"/>
        </w:rPr>
        <w:t>that</w:t>
      </w:r>
    </w:p>
    <w:p>
      <w:pPr>
        <w:spacing w:after="0" w:line="252" w:lineRule="auto"/>
        <w:jc w:val="both"/>
        <w:rPr>
          <w:sz w:val="19"/>
        </w:rPr>
        <w:sectPr>
          <w:type w:val="continuous"/>
          <w:pgSz w:w="7200" w:h="11340"/>
          <w:pgMar w:top="1100" w:bottom="0" w:left="680" w:right="560"/>
        </w:sectPr>
      </w:pPr>
    </w:p>
    <w:p>
      <w:pPr>
        <w:spacing w:line="184" w:lineRule="exact" w:before="178"/>
        <w:ind w:left="1473" w:right="0" w:firstLine="0"/>
        <w:jc w:val="left"/>
        <w:rPr>
          <w:rFonts w:ascii="Arial"/>
          <w:i/>
          <w:sz w:val="19"/>
        </w:rPr>
      </w:pPr>
      <w:r>
        <w:rPr/>
        <w:pict>
          <v:shape style="position:absolute;margin-left:92.243271pt;margin-top:5.796851pt;width:12.75pt;height:26pt;mso-position-horizontal-relative:page;mso-position-vertical-relative:paragraph;z-index:-713944" type="#_x0000_t202" filled="false" stroked="false">
            <v:textbox inset="0,0,0,0">
              <w:txbxContent>
                <w:p>
                  <w:pPr>
                    <w:spacing w:line="520" w:lineRule="exact" w:before="0"/>
                    <w:ind w:left="0" w:right="-20" w:firstLine="0"/>
                    <w:jc w:val="left"/>
                    <w:rPr>
                      <w:rFonts w:ascii="Arial"/>
                      <w:i/>
                      <w:sz w:val="9"/>
                    </w:rPr>
                  </w:pPr>
                  <w:r>
                    <w:rPr>
                      <w:rFonts w:ascii="Arial"/>
                      <w:i/>
                      <w:color w:val="030303"/>
                      <w:spacing w:val="-67"/>
                      <w:w w:val="78"/>
                      <w:position w:val="-16"/>
                      <w:sz w:val="52"/>
                    </w:rPr>
                    <w:t>1</w:t>
                  </w:r>
                  <w:r>
                    <w:rPr>
                      <w:rFonts w:ascii="Arial"/>
                      <w:i/>
                      <w:color w:val="030303"/>
                      <w:w w:val="92"/>
                      <w:sz w:val="9"/>
                    </w:rPr>
                    <w:t>00</w:t>
                  </w:r>
                </w:p>
              </w:txbxContent>
            </v:textbox>
            <w10:wrap type="none"/>
          </v:shape>
        </w:pict>
      </w:r>
      <w:r>
        <w:rPr>
          <w:rFonts w:ascii="Arial"/>
          <w:i/>
          <w:color w:val="030303"/>
          <w:w w:val="75"/>
          <w:sz w:val="19"/>
        </w:rPr>
        <w:t>z&lt;T ) &lt;k&gt; </w:t>
      </w:r>
      <w:r>
        <w:rPr>
          <w:i/>
          <w:color w:val="030303"/>
          <w:spacing w:val="8"/>
          <w:sz w:val="20"/>
        </w:rPr>
        <w:t>dy </w:t>
      </w:r>
      <w:r>
        <w:rPr>
          <w:color w:val="030303"/>
          <w:w w:val="215"/>
          <w:sz w:val="20"/>
        </w:rPr>
        <w:t>-</w:t>
      </w:r>
      <w:r>
        <w:rPr>
          <w:color w:val="030303"/>
          <w:spacing w:val="-71"/>
          <w:w w:val="215"/>
          <w:sz w:val="20"/>
        </w:rPr>
        <w:t> </w:t>
      </w:r>
      <w:r>
        <w:rPr>
          <w:rFonts w:ascii="Arial"/>
          <w:i/>
          <w:color w:val="030303"/>
          <w:w w:val="75"/>
          <w:sz w:val="19"/>
        </w:rPr>
        <w:t>z&lt;k&gt;</w:t>
      </w:r>
    </w:p>
    <w:p>
      <w:pPr>
        <w:tabs>
          <w:tab w:pos="2413" w:val="left" w:leader="none"/>
        </w:tabs>
        <w:spacing w:line="126" w:lineRule="exact" w:before="0"/>
        <w:ind w:left="1534" w:right="0" w:firstLine="0"/>
        <w:jc w:val="left"/>
        <w:rPr>
          <w:rFonts w:ascii="Arial" w:hAnsi="Arial"/>
          <w:sz w:val="11"/>
        </w:rPr>
      </w:pPr>
      <w:r>
        <w:rPr>
          <w:color w:val="030303"/>
          <w:w w:val="120"/>
          <w:sz w:val="16"/>
        </w:rPr>
        <w:t>., </w:t>
      </w:r>
      <w:r>
        <w:rPr>
          <w:color w:val="030303"/>
          <w:spacing w:val="21"/>
          <w:w w:val="120"/>
          <w:sz w:val="16"/>
        </w:rPr>
        <w:t> </w:t>
      </w:r>
      <w:r>
        <w:rPr>
          <w:i/>
          <w:color w:val="030303"/>
          <w:w w:val="120"/>
          <w:sz w:val="16"/>
        </w:rPr>
        <w:t>µ,,</w:t>
        <w:tab/>
      </w:r>
      <w:r>
        <w:rPr>
          <w:color w:val="030303"/>
          <w:w w:val="285"/>
          <w:sz w:val="16"/>
        </w:rPr>
        <w:t>- </w:t>
      </w:r>
      <w:r>
        <w:rPr>
          <w:rFonts w:ascii="Arial" w:hAnsi="Arial"/>
          <w:b/>
          <w:i/>
          <w:color w:val="030303"/>
          <w:w w:val="120"/>
          <w:sz w:val="11"/>
        </w:rPr>
        <w:t>z   </w:t>
      </w:r>
      <w:r>
        <w:rPr>
          <w:rFonts w:ascii="Arial" w:hAnsi="Arial"/>
          <w:b/>
          <w:i/>
          <w:color w:val="030303"/>
          <w:spacing w:val="13"/>
          <w:w w:val="120"/>
          <w:sz w:val="11"/>
        </w:rPr>
        <w:t> </w:t>
      </w:r>
      <w:r>
        <w:rPr>
          <w:rFonts w:ascii="Arial" w:hAnsi="Arial"/>
          <w:color w:val="030303"/>
          <w:w w:val="235"/>
          <w:sz w:val="11"/>
        </w:rPr>
        <w:t>'</w:t>
      </w:r>
    </w:p>
    <w:p>
      <w:pPr>
        <w:pStyle w:val="BodyText"/>
        <w:spacing w:before="7"/>
        <w:rPr>
          <w:rFonts w:ascii="Arial"/>
          <w:sz w:val="19"/>
        </w:rPr>
      </w:pPr>
      <w:r>
        <w:rPr/>
        <w:br w:type="column"/>
      </w:r>
      <w:r>
        <w:rPr>
          <w:rFonts w:ascii="Arial"/>
          <w:sz w:val="19"/>
        </w:rPr>
      </w:r>
    </w:p>
    <w:p>
      <w:pPr>
        <w:tabs>
          <w:tab w:pos="2105" w:val="left" w:leader="none"/>
        </w:tabs>
        <w:spacing w:line="262" w:lineRule="exact" w:before="0"/>
        <w:ind w:left="336" w:right="0" w:firstLine="0"/>
        <w:jc w:val="left"/>
        <w:rPr>
          <w:sz w:val="19"/>
        </w:rPr>
      </w:pPr>
      <w:r>
        <w:rPr>
          <w:i/>
          <w:color w:val="030303"/>
          <w:w w:val="110"/>
          <w:sz w:val="19"/>
        </w:rPr>
        <w:t>k  </w:t>
      </w:r>
      <w:r>
        <w:rPr>
          <w:color w:val="030303"/>
          <w:w w:val="110"/>
          <w:sz w:val="23"/>
        </w:rPr>
        <w:t>=  </w:t>
      </w:r>
      <w:r>
        <w:rPr>
          <w:color w:val="030303"/>
          <w:w w:val="110"/>
          <w:sz w:val="19"/>
        </w:rPr>
        <w:t>1, 2,</w:t>
      </w:r>
      <w:r>
        <w:rPr>
          <w:color w:val="030303"/>
          <w:spacing w:val="23"/>
          <w:w w:val="110"/>
          <w:sz w:val="19"/>
        </w:rPr>
        <w:t> </w:t>
      </w:r>
      <w:r>
        <w:rPr>
          <w:color w:val="030303"/>
          <w:spacing w:val="6"/>
          <w:w w:val="110"/>
          <w:sz w:val="19"/>
        </w:rPr>
        <w:t>···,</w:t>
      </w:r>
      <w:r>
        <w:rPr>
          <w:color w:val="030303"/>
          <w:spacing w:val="-19"/>
          <w:w w:val="110"/>
          <w:sz w:val="19"/>
        </w:rPr>
        <w:t> </w:t>
      </w:r>
      <w:r>
        <w:rPr>
          <w:i/>
          <w:color w:val="030303"/>
          <w:w w:val="110"/>
          <w:sz w:val="22"/>
        </w:rPr>
        <w:t>m.</w:t>
        <w:tab/>
      </w:r>
      <w:r>
        <w:rPr>
          <w:color w:val="030303"/>
          <w:w w:val="110"/>
          <w:sz w:val="19"/>
        </w:rPr>
        <w:t>(14.21b)</w:t>
      </w:r>
    </w:p>
    <w:p>
      <w:pPr>
        <w:spacing w:after="0" w:line="262" w:lineRule="exact"/>
        <w:jc w:val="left"/>
        <w:rPr>
          <w:sz w:val="19"/>
        </w:rPr>
        <w:sectPr>
          <w:type w:val="continuous"/>
          <w:pgSz w:w="7200" w:h="11340"/>
          <w:pgMar w:top="1100" w:bottom="0" w:left="680" w:right="560"/>
          <w:cols w:num="2" w:equalWidth="0">
            <w:col w:w="2957" w:space="40"/>
            <w:col w:w="2963"/>
          </w:cols>
        </w:sectPr>
      </w:pPr>
    </w:p>
    <w:p>
      <w:pPr>
        <w:spacing w:line="112" w:lineRule="exact" w:before="0"/>
        <w:ind w:left="1243" w:right="0" w:firstLine="0"/>
        <w:jc w:val="left"/>
        <w:rPr>
          <w:rFonts w:ascii="Arial"/>
          <w:b/>
          <w:i/>
          <w:sz w:val="11"/>
        </w:rPr>
      </w:pPr>
      <w:r>
        <w:rPr>
          <w:rFonts w:ascii="Arial"/>
          <w:b/>
          <w:i/>
          <w:color w:val="030303"/>
          <w:w w:val="115"/>
          <w:sz w:val="11"/>
        </w:rPr>
        <w:t>z</w:t>
      </w:r>
    </w:p>
    <w:p>
      <w:pPr>
        <w:pStyle w:val="BodyText"/>
        <w:spacing w:before="7"/>
        <w:rPr>
          <w:rFonts w:ascii="Arial"/>
          <w:b/>
          <w:i/>
          <w:sz w:val="11"/>
        </w:rPr>
      </w:pPr>
    </w:p>
    <w:p>
      <w:pPr>
        <w:spacing w:before="0"/>
        <w:ind w:left="131" w:right="0" w:firstLine="0"/>
        <w:jc w:val="left"/>
        <w:rPr>
          <w:sz w:val="19"/>
        </w:rPr>
      </w:pPr>
      <w:r>
        <w:rPr>
          <w:color w:val="030303"/>
          <w:w w:val="110"/>
          <w:sz w:val="19"/>
        </w:rPr>
        <w:t>Differentiating with respect  to </w:t>
      </w:r>
      <w:r>
        <w:rPr>
          <w:i/>
          <w:color w:val="030303"/>
          <w:w w:val="110"/>
          <w:sz w:val="19"/>
        </w:rPr>
        <w:t>x, </w:t>
      </w:r>
      <w:r>
        <w:rPr>
          <w:color w:val="030303"/>
          <w:w w:val="110"/>
          <w:sz w:val="19"/>
        </w:rPr>
        <w:t>we  find</w:t>
      </w:r>
    </w:p>
    <w:p>
      <w:pPr>
        <w:spacing w:after="0"/>
        <w:jc w:val="left"/>
        <w:rPr>
          <w:sz w:val="19"/>
        </w:rPr>
        <w:sectPr>
          <w:type w:val="continuous"/>
          <w:pgSz w:w="7200" w:h="11340"/>
          <w:pgMar w:top="1100" w:bottom="0" w:left="680" w:right="560"/>
        </w:sectPr>
      </w:pPr>
    </w:p>
    <w:p>
      <w:pPr>
        <w:pStyle w:val="BodyText"/>
        <w:rPr>
          <w:sz w:val="10"/>
        </w:rPr>
      </w:pPr>
    </w:p>
    <w:p>
      <w:pPr>
        <w:pStyle w:val="BodyText"/>
        <w:spacing w:before="11"/>
        <w:rPr>
          <w:sz w:val="9"/>
        </w:rPr>
      </w:pPr>
    </w:p>
    <w:p>
      <w:pPr>
        <w:spacing w:line="62" w:lineRule="exact" w:before="0"/>
        <w:ind w:left="0" w:right="0" w:firstLine="0"/>
        <w:jc w:val="right"/>
        <w:rPr>
          <w:rFonts w:ascii="Arial"/>
          <w:sz w:val="10"/>
        </w:rPr>
      </w:pPr>
      <w:r>
        <w:rPr>
          <w:rFonts w:ascii="Arial"/>
          <w:i/>
          <w:color w:val="030303"/>
          <w:w w:val="110"/>
          <w:sz w:val="11"/>
        </w:rPr>
        <w:t>( </w:t>
      </w:r>
      <w:r>
        <w:rPr>
          <w:rFonts w:ascii="Arial"/>
          <w:i/>
          <w:color w:val="030303"/>
          <w:w w:val="120"/>
          <w:sz w:val="11"/>
        </w:rPr>
        <w:t>T </w:t>
      </w:r>
      <w:r>
        <w:rPr>
          <w:rFonts w:ascii="Arial"/>
          <w:i/>
          <w:color w:val="030303"/>
          <w:w w:val="110"/>
          <w:sz w:val="11"/>
        </w:rPr>
        <w:t>l   </w:t>
      </w:r>
      <w:r>
        <w:rPr>
          <w:rFonts w:ascii="Arial"/>
          <w:color w:val="030303"/>
          <w:w w:val="120"/>
          <w:sz w:val="10"/>
        </w:rPr>
        <w:t>(k)</w:t>
      </w:r>
    </w:p>
    <w:p>
      <w:pPr>
        <w:spacing w:line="291" w:lineRule="exact" w:before="0"/>
        <w:ind w:left="70" w:right="0" w:firstLine="0"/>
        <w:jc w:val="left"/>
        <w:rPr>
          <w:rFonts w:ascii="Arial"/>
          <w:i/>
          <w:sz w:val="26"/>
        </w:rPr>
      </w:pPr>
      <w:r>
        <w:rPr/>
        <w:br w:type="column"/>
      </w:r>
      <w:r>
        <w:rPr>
          <w:color w:val="030303"/>
          <w:w w:val="220"/>
          <w:position w:val="-17"/>
          <w:sz w:val="20"/>
        </w:rPr>
        <w:t>-</w:t>
      </w:r>
      <w:r>
        <w:rPr>
          <w:color w:val="030303"/>
          <w:spacing w:val="-82"/>
          <w:w w:val="220"/>
          <w:position w:val="-17"/>
          <w:sz w:val="20"/>
        </w:rPr>
        <w:t> </w:t>
      </w:r>
      <w:r>
        <w:rPr>
          <w:i/>
          <w:color w:val="030303"/>
          <w:w w:val="105"/>
          <w:position w:val="-8"/>
          <w:sz w:val="20"/>
        </w:rPr>
        <w:t>dl </w:t>
      </w:r>
      <w:r>
        <w:rPr>
          <w:rFonts w:ascii="Arial"/>
          <w:i/>
          <w:color w:val="030303"/>
          <w:w w:val="65"/>
          <w:sz w:val="26"/>
        </w:rPr>
        <w:t>:k )</w:t>
      </w:r>
    </w:p>
    <w:p>
      <w:pPr>
        <w:spacing w:after="0" w:line="291" w:lineRule="exact"/>
        <w:jc w:val="left"/>
        <w:rPr>
          <w:rFonts w:ascii="Arial"/>
          <w:sz w:val="26"/>
        </w:rPr>
        <w:sectPr>
          <w:type w:val="continuous"/>
          <w:pgSz w:w="7200" w:h="11340"/>
          <w:pgMar w:top="1100" w:bottom="0" w:left="680" w:right="560"/>
          <w:cols w:num="2" w:equalWidth="0">
            <w:col w:w="2968" w:space="40"/>
            <w:col w:w="2952"/>
          </w:cols>
        </w:sectPr>
      </w:pPr>
    </w:p>
    <w:p>
      <w:pPr>
        <w:pStyle w:val="BodyText"/>
        <w:rPr>
          <w:rFonts w:ascii="Arial"/>
          <w:i/>
          <w:sz w:val="18"/>
        </w:rPr>
      </w:pPr>
    </w:p>
    <w:p>
      <w:pPr>
        <w:pStyle w:val="BodyText"/>
        <w:rPr>
          <w:rFonts w:ascii="Arial"/>
          <w:i/>
          <w:sz w:val="18"/>
        </w:rPr>
      </w:pPr>
    </w:p>
    <w:p>
      <w:pPr>
        <w:spacing w:before="111"/>
        <w:ind w:left="116" w:right="-20" w:firstLine="0"/>
        <w:jc w:val="left"/>
        <w:rPr>
          <w:sz w:val="19"/>
        </w:rPr>
      </w:pPr>
      <w:r>
        <w:rPr>
          <w:color w:val="030303"/>
          <w:w w:val="105"/>
          <w:sz w:val="19"/>
        </w:rPr>
        <w:t>whence</w:t>
      </w:r>
    </w:p>
    <w:p>
      <w:pPr>
        <w:tabs>
          <w:tab w:pos="1064" w:val="left" w:leader="none"/>
        </w:tabs>
        <w:spacing w:line="220" w:lineRule="exact" w:before="0"/>
        <w:ind w:left="224" w:right="0" w:firstLine="0"/>
        <w:jc w:val="left"/>
        <w:rPr>
          <w:sz w:val="21"/>
        </w:rPr>
      </w:pPr>
      <w:r>
        <w:rPr/>
        <w:br w:type="column"/>
      </w:r>
      <w:r>
        <w:rPr>
          <w:rFonts w:ascii="Arial" w:hAnsi="Arial"/>
          <w:color w:val="030303"/>
          <w:spacing w:val="-2"/>
          <w:w w:val="426"/>
          <w:sz w:val="12"/>
        </w:rPr>
        <w:t>-</w:t>
      </w:r>
      <w:r>
        <w:rPr>
          <w:i/>
          <w:color w:val="030303"/>
          <w:spacing w:val="-5"/>
          <w:w w:val="104"/>
          <w:position w:val="2"/>
          <w:sz w:val="19"/>
        </w:rPr>
        <w:t>l</w:t>
      </w:r>
      <w:r>
        <w:rPr>
          <w:rFonts w:ascii="Arial" w:hAnsi="Arial"/>
          <w:b/>
          <w:i/>
          <w:color w:val="030303"/>
          <w:w w:val="111"/>
          <w:sz w:val="12"/>
        </w:rPr>
        <w:t>z</w:t>
      </w:r>
      <w:r>
        <w:rPr>
          <w:rFonts w:ascii="Arial" w:hAnsi="Arial"/>
          <w:b/>
          <w:i/>
          <w:color w:val="030303"/>
          <w:sz w:val="12"/>
        </w:rPr>
        <w:t>    </w:t>
      </w:r>
      <w:r>
        <w:rPr>
          <w:rFonts w:ascii="Arial" w:hAnsi="Arial"/>
          <w:b/>
          <w:i/>
          <w:color w:val="030303"/>
          <w:spacing w:val="-8"/>
          <w:sz w:val="12"/>
        </w:rPr>
        <w:t> </w:t>
      </w:r>
      <w:r>
        <w:rPr>
          <w:rFonts w:ascii="Arial" w:hAnsi="Arial"/>
          <w:b/>
          <w:i/>
          <w:color w:val="030303"/>
          <w:w w:val="119"/>
          <w:sz w:val="12"/>
        </w:rPr>
        <w:t>µz</w:t>
      </w:r>
      <w:r>
        <w:rPr>
          <w:rFonts w:ascii="Arial" w:hAnsi="Arial"/>
          <w:b/>
          <w:i/>
          <w:color w:val="030303"/>
          <w:sz w:val="12"/>
        </w:rPr>
        <w:tab/>
      </w:r>
      <w:r>
        <w:rPr>
          <w:rFonts w:ascii="Arial" w:hAnsi="Arial"/>
          <w:color w:val="030303"/>
          <w:w w:val="371"/>
          <w:sz w:val="12"/>
        </w:rPr>
        <w:t>-</w:t>
      </w:r>
      <w:r>
        <w:rPr>
          <w:rFonts w:ascii="Arial" w:hAnsi="Arial"/>
          <w:color w:val="030303"/>
          <w:sz w:val="12"/>
        </w:rPr>
        <w:t>   </w:t>
      </w:r>
      <w:r>
        <w:rPr>
          <w:rFonts w:ascii="Arial" w:hAnsi="Arial"/>
          <w:color w:val="030303"/>
          <w:spacing w:val="15"/>
          <w:sz w:val="12"/>
        </w:rPr>
        <w:t> </w:t>
      </w:r>
      <w:r>
        <w:rPr>
          <w:b/>
          <w:i/>
          <w:color w:val="030303"/>
          <w:w w:val="90"/>
          <w:sz w:val="21"/>
        </w:rPr>
        <w:t>dx</w:t>
      </w:r>
      <w:r>
        <w:rPr>
          <w:b/>
          <w:i/>
          <w:color w:val="030303"/>
          <w:sz w:val="21"/>
        </w:rPr>
        <w:t>  </w:t>
      </w:r>
      <w:r>
        <w:rPr>
          <w:b/>
          <w:i/>
          <w:color w:val="030303"/>
          <w:spacing w:val="-13"/>
          <w:sz w:val="21"/>
        </w:rPr>
        <w:t> </w:t>
      </w:r>
      <w:r>
        <w:rPr>
          <w:color w:val="030303"/>
          <w:w w:val="92"/>
          <w:sz w:val="21"/>
        </w:rPr>
        <w:t>,</w:t>
      </w:r>
    </w:p>
    <w:p>
      <w:pPr>
        <w:tabs>
          <w:tab w:pos="1093" w:val="left" w:leader="none"/>
        </w:tabs>
        <w:spacing w:line="192" w:lineRule="exact" w:before="147"/>
        <w:ind w:left="231" w:right="0" w:firstLine="0"/>
        <w:jc w:val="left"/>
        <w:rPr>
          <w:i/>
          <w:sz w:val="21"/>
        </w:rPr>
      </w:pPr>
      <w:r>
        <w:rPr/>
        <w:pict>
          <v:rect style="position:absolute;margin-left:202.791595pt;margin-top:-1.719103pt;width:9.5115pt;height:4.845464pt;mso-position-horizontal-relative:page;mso-position-vertical-relative:paragraph;z-index:-714040" filled="true" fillcolor="#000000" stroked="false">
            <v:fill type="solid"/>
            <w10:wrap type="none"/>
          </v:rect>
        </w:pict>
      </w:r>
      <w:r>
        <w:rPr>
          <w:rFonts w:ascii="Arial"/>
          <w:color w:val="030303"/>
          <w:sz w:val="12"/>
        </w:rPr>
        <w:t>(k)</w:t>
        <w:tab/>
      </w:r>
      <w:r>
        <w:rPr>
          <w:color w:val="030303"/>
          <w:sz w:val="20"/>
        </w:rPr>
        <w:t>1  </w:t>
      </w:r>
      <w:r>
        <w:rPr>
          <w:i/>
          <w:color w:val="030303"/>
          <w:sz w:val="21"/>
        </w:rPr>
        <w:t>dl!k</w:t>
      </w:r>
      <w:r>
        <w:rPr>
          <w:i/>
          <w:color w:val="030303"/>
          <w:spacing w:val="-43"/>
          <w:sz w:val="21"/>
        </w:rPr>
        <w:t> </w:t>
      </w:r>
      <w:r>
        <w:rPr>
          <w:i/>
          <w:color w:val="030303"/>
          <w:w w:val="80"/>
          <w:sz w:val="21"/>
        </w:rPr>
        <w:t>)</w:t>
      </w:r>
    </w:p>
    <w:p>
      <w:pPr>
        <w:tabs>
          <w:tab w:pos="762" w:val="left" w:leader="none"/>
        </w:tabs>
        <w:spacing w:line="272" w:lineRule="exact" w:before="0"/>
        <w:ind w:left="116" w:right="0" w:firstLine="0"/>
        <w:jc w:val="center"/>
        <w:rPr>
          <w:sz w:val="20"/>
        </w:rPr>
      </w:pPr>
      <w:r>
        <w:rPr/>
        <w:pict>
          <v:line style="position:absolute;mso-position-horizontal-relative:page;mso-position-vertical-relative:paragraph;z-index:-714016" from="183.948196pt,12.890843pt" to="196.151496pt,12.890843pt" stroked="true" strokeweight="4.48654pt" strokecolor="#000000">
            <w10:wrap type="none"/>
          </v:line>
        </w:pict>
      </w:r>
      <w:r>
        <w:rPr>
          <w:i/>
          <w:color w:val="030303"/>
          <w:w w:val="85"/>
          <w:sz w:val="16"/>
        </w:rPr>
        <w:t>JJ.z</w:t>
        <w:tab/>
      </w:r>
      <w:r>
        <w:rPr>
          <w:color w:val="030303"/>
          <w:w w:val="320"/>
          <w:sz w:val="16"/>
        </w:rPr>
        <w:t>-</w:t>
      </w:r>
      <w:r>
        <w:rPr>
          <w:color w:val="030303"/>
          <w:spacing w:val="-92"/>
          <w:w w:val="320"/>
          <w:sz w:val="16"/>
        </w:rPr>
        <w:t> </w:t>
      </w:r>
      <w:r>
        <w:rPr>
          <w:rFonts w:ascii="Arial"/>
          <w:i/>
          <w:color w:val="030303"/>
          <w:w w:val="85"/>
          <w:sz w:val="28"/>
        </w:rPr>
        <w:t>zt&gt; . </w:t>
      </w:r>
      <w:r>
        <w:rPr>
          <w:i/>
          <w:color w:val="030303"/>
          <w:w w:val="120"/>
          <w:sz w:val="20"/>
        </w:rPr>
        <w:t>dx </w:t>
      </w:r>
      <w:r>
        <w:rPr>
          <w:color w:val="030303"/>
          <w:w w:val="120"/>
          <w:sz w:val="20"/>
        </w:rPr>
        <w:t>.</w:t>
      </w:r>
    </w:p>
    <w:p>
      <w:pPr>
        <w:pStyle w:val="BodyText"/>
        <w:rPr>
          <w:sz w:val="18"/>
        </w:rPr>
      </w:pPr>
      <w:r>
        <w:rPr/>
        <w:br w:type="column"/>
      </w:r>
      <w:r>
        <w:rPr>
          <w:sz w:val="18"/>
        </w:rPr>
      </w:r>
    </w:p>
    <w:p>
      <w:pPr>
        <w:pStyle w:val="BodyText"/>
        <w:rPr>
          <w:sz w:val="18"/>
        </w:rPr>
      </w:pPr>
    </w:p>
    <w:p>
      <w:pPr>
        <w:spacing w:before="108"/>
        <w:ind w:left="116" w:right="0" w:firstLine="0"/>
        <w:jc w:val="left"/>
        <w:rPr>
          <w:sz w:val="19"/>
        </w:rPr>
      </w:pPr>
      <w:r>
        <w:rPr>
          <w:color w:val="030303"/>
          <w:w w:val="110"/>
          <w:sz w:val="19"/>
        </w:rPr>
        <w:t>(14.22)</w:t>
      </w:r>
    </w:p>
    <w:p>
      <w:pPr>
        <w:spacing w:after="0"/>
        <w:jc w:val="left"/>
        <w:rPr>
          <w:sz w:val="19"/>
        </w:rPr>
        <w:sectPr>
          <w:type w:val="continuous"/>
          <w:pgSz w:w="7200" w:h="11340"/>
          <w:pgMar w:top="1100" w:bottom="0" w:left="680" w:right="560"/>
          <w:cols w:num="3" w:equalWidth="0">
            <w:col w:w="726" w:space="1288"/>
            <w:col w:w="1841" w:space="1246"/>
            <w:col w:w="859"/>
          </w:cols>
        </w:sectPr>
      </w:pPr>
    </w:p>
    <w:p>
      <w:pPr>
        <w:spacing w:line="278" w:lineRule="exact" w:before="44"/>
        <w:ind w:left="120" w:right="0" w:hanging="4"/>
        <w:jc w:val="left"/>
        <w:rPr>
          <w:sz w:val="19"/>
        </w:rPr>
      </w:pPr>
      <w:r>
        <w:rPr>
          <w:color w:val="030303"/>
          <w:w w:val="115"/>
          <w:sz w:val="19"/>
        </w:rPr>
        <w:t>This </w:t>
      </w:r>
      <w:r>
        <w:rPr>
          <w:rFonts w:ascii="Arial" w:hAnsi="Arial"/>
          <w:color w:val="030303"/>
          <w:w w:val="115"/>
          <w:sz w:val="19"/>
        </w:rPr>
        <w:t>is </w:t>
      </w:r>
      <w:r>
        <w:rPr>
          <w:color w:val="030303"/>
          <w:w w:val="115"/>
          <w:sz w:val="19"/>
        </w:rPr>
        <w:t>taken as the definition of </w:t>
      </w:r>
      <w:r>
        <w:rPr>
          <w:rFonts w:ascii="Arial" w:hAnsi="Arial"/>
          <w:i/>
          <w:color w:val="030303"/>
          <w:sz w:val="28"/>
        </w:rPr>
        <w:t>µ?&gt;. </w:t>
      </w:r>
      <w:r>
        <w:rPr>
          <w:color w:val="030303"/>
          <w:w w:val="115"/>
          <w:sz w:val="19"/>
        </w:rPr>
        <w:t>It is important to observe</w:t>
      </w:r>
    </w:p>
    <w:p>
      <w:pPr>
        <w:spacing w:line="154" w:lineRule="exact" w:before="0"/>
        <w:ind w:left="120" w:right="0" w:firstLine="0"/>
        <w:jc w:val="left"/>
        <w:rPr>
          <w:sz w:val="19"/>
        </w:rPr>
      </w:pPr>
      <w:r>
        <w:rPr/>
        <w:pict>
          <v:shape style="position:absolute;margin-left:136.929199pt;margin-top:7.715425pt;width:43.3pt;height:27.3pt;mso-position-horizontal-relative:page;mso-position-vertical-relative:paragraph;z-index:-713920" type="#_x0000_t202" filled="false" stroked="false">
            <v:textbox inset="0,0,0,0">
              <w:txbxContent>
                <w:p>
                  <w:pPr>
                    <w:tabs>
                      <w:tab w:pos="610" w:val="left" w:leader="none"/>
                    </w:tabs>
                    <w:spacing w:line="545" w:lineRule="exact" w:before="0"/>
                    <w:ind w:left="0" w:right="0" w:firstLine="0"/>
                    <w:jc w:val="left"/>
                    <w:rPr>
                      <w:sz w:val="54"/>
                    </w:rPr>
                  </w:pPr>
                  <w:r>
                    <w:rPr>
                      <w:i/>
                      <w:color w:val="030303"/>
                      <w:w w:val="85"/>
                      <w:position w:val="-6"/>
                      <w:sz w:val="20"/>
                    </w:rPr>
                    <w:t>d</w:t>
                  </w:r>
                  <w:r>
                    <w:rPr>
                      <w:i/>
                      <w:color w:val="030303"/>
                      <w:position w:val="-6"/>
                      <w:sz w:val="20"/>
                    </w:rPr>
                    <w:tab/>
                  </w:r>
                  <w:r>
                    <w:rPr>
                      <w:color w:val="030303"/>
                      <w:spacing w:val="-96"/>
                      <w:w w:val="94"/>
                      <w:sz w:val="54"/>
                    </w:rPr>
                    <w:t>1</w:t>
                  </w:r>
                  <w:r>
                    <w:rPr>
                      <w:color w:val="030303"/>
                      <w:w w:val="36"/>
                      <w:sz w:val="54"/>
                    </w:rPr>
                    <w:t>1</w:t>
                  </w:r>
                </w:p>
              </w:txbxContent>
            </v:textbox>
            <w10:wrap type="none"/>
          </v:shape>
        </w:pict>
      </w:r>
      <w:r>
        <w:rPr>
          <w:color w:val="030303"/>
          <w:w w:val="110"/>
          <w:sz w:val="19"/>
        </w:rPr>
        <w:t>that the denominator in (14.22 ) is </w:t>
      </w:r>
      <w:r>
        <w:rPr>
          <w:i/>
          <w:color w:val="030303"/>
          <w:w w:val="110"/>
          <w:sz w:val="22"/>
        </w:rPr>
        <w:t>not </w:t>
      </w:r>
      <w:r>
        <w:rPr>
          <w:rFonts w:ascii="Arial"/>
          <w:i/>
          <w:color w:val="030303"/>
          <w:w w:val="90"/>
          <w:sz w:val="28"/>
        </w:rPr>
        <w:t>z?&gt; </w:t>
      </w:r>
      <w:r>
        <w:rPr>
          <w:color w:val="030303"/>
          <w:w w:val="110"/>
          <w:sz w:val="19"/>
        </w:rPr>
        <w:t>but </w:t>
      </w:r>
      <w:r>
        <w:rPr>
          <w:rFonts w:ascii="Arial"/>
          <w:i/>
          <w:color w:val="030303"/>
          <w:w w:val="90"/>
          <w:sz w:val="20"/>
        </w:rPr>
        <w:t>l!T&gt; </w:t>
      </w:r>
      <w:r>
        <w:rPr>
          <w:rFonts w:ascii="Arial"/>
          <w:i/>
          <w:color w:val="030303"/>
          <w:w w:val="110"/>
          <w:sz w:val="20"/>
        </w:rPr>
        <w:t>. </w:t>
      </w:r>
      <w:r>
        <w:rPr>
          <w:color w:val="030303"/>
          <w:w w:val="110"/>
          <w:sz w:val="19"/>
        </w:rPr>
        <w:t>We now have</w:t>
      </w:r>
    </w:p>
    <w:p>
      <w:pPr>
        <w:spacing w:after="0" w:line="154" w:lineRule="exact"/>
        <w:jc w:val="left"/>
        <w:rPr>
          <w:sz w:val="19"/>
        </w:rPr>
        <w:sectPr>
          <w:type w:val="continuous"/>
          <w:pgSz w:w="7200" w:h="11340"/>
          <w:pgMar w:top="1100" w:bottom="0" w:left="680" w:right="560"/>
        </w:sectPr>
      </w:pPr>
    </w:p>
    <w:p>
      <w:pPr>
        <w:pStyle w:val="BodyText"/>
        <w:spacing w:before="6"/>
        <w:rPr>
          <w:sz w:val="21"/>
        </w:rPr>
      </w:pPr>
    </w:p>
    <w:p>
      <w:pPr>
        <w:tabs>
          <w:tab w:pos="2945" w:val="left" w:leader="none"/>
        </w:tabs>
        <w:spacing w:line="194" w:lineRule="exact" w:before="0"/>
        <w:ind w:left="2177" w:right="0" w:firstLine="0"/>
        <w:jc w:val="left"/>
        <w:rPr>
          <w:i/>
          <w:sz w:val="20"/>
        </w:rPr>
      </w:pPr>
      <w:r>
        <w:rPr>
          <w:rFonts w:ascii="Arial"/>
          <w:i/>
          <w:color w:val="030303"/>
          <w:w w:val="155"/>
          <w:sz w:val="10"/>
        </w:rPr>
        <w:t>(k) </w:t>
      </w:r>
      <w:r>
        <w:rPr>
          <w:rFonts w:ascii="Arial"/>
          <w:i/>
          <w:color w:val="030303"/>
          <w:spacing w:val="9"/>
          <w:w w:val="155"/>
          <w:sz w:val="10"/>
        </w:rPr>
        <w:t> </w:t>
      </w:r>
      <w:r>
        <w:rPr>
          <w:rFonts w:ascii="Arial"/>
          <w:color w:val="030303"/>
          <w:w w:val="425"/>
          <w:sz w:val="10"/>
        </w:rPr>
        <w:t>-</w:t>
        <w:tab/>
      </w:r>
      <w:r>
        <w:rPr>
          <w:color w:val="030303"/>
          <w:sz w:val="15"/>
        </w:rPr>
        <w:t>zCT)   </w:t>
      </w:r>
      <w:r>
        <w:rPr>
          <w:color w:val="030303"/>
          <w:sz w:val="11"/>
        </w:rPr>
        <w:t>(A:) </w:t>
      </w:r>
      <w:r>
        <w:rPr>
          <w:color w:val="030303"/>
          <w:spacing w:val="21"/>
          <w:sz w:val="11"/>
        </w:rPr>
        <w:t> </w:t>
      </w:r>
      <w:r>
        <w:rPr>
          <w:i/>
          <w:color w:val="030303"/>
          <w:sz w:val="20"/>
        </w:rPr>
        <w:t>dt</w:t>
      </w:r>
    </w:p>
    <w:p>
      <w:pPr>
        <w:tabs>
          <w:tab w:pos="2442" w:val="left" w:leader="none"/>
          <w:tab w:pos="2998" w:val="left" w:leader="none"/>
        </w:tabs>
        <w:spacing w:line="89" w:lineRule="exact" w:before="0"/>
        <w:ind w:left="2151" w:right="0" w:firstLine="0"/>
        <w:jc w:val="left"/>
        <w:rPr>
          <w:b/>
          <w:i/>
          <w:sz w:val="13"/>
        </w:rPr>
      </w:pPr>
      <w:r>
        <w:rPr>
          <w:b/>
          <w:i/>
          <w:color w:val="030303"/>
          <w:w w:val="130"/>
          <w:sz w:val="13"/>
        </w:rPr>
        <w:t>z</w:t>
        <w:tab/>
      </w:r>
      <w:r>
        <w:rPr>
          <w:color w:val="030303"/>
          <w:w w:val="340"/>
          <w:sz w:val="13"/>
        </w:rPr>
        <w:t>-</w:t>
        <w:tab/>
      </w:r>
      <w:r>
        <w:rPr>
          <w:b/>
          <w:i/>
          <w:color w:val="030303"/>
          <w:w w:val="120"/>
          <w:sz w:val="13"/>
        </w:rPr>
        <w:t>z+tJJ.rl</w:t>
      </w:r>
      <w:r>
        <w:rPr>
          <w:b/>
          <w:i/>
          <w:color w:val="030303"/>
          <w:spacing w:val="-20"/>
          <w:w w:val="120"/>
          <w:sz w:val="13"/>
        </w:rPr>
        <w:t> </w:t>
      </w:r>
      <w:r>
        <w:rPr>
          <w:b/>
          <w:i/>
          <w:color w:val="030303"/>
          <w:w w:val="115"/>
          <w:sz w:val="13"/>
        </w:rPr>
        <w:t>t</w:t>
      </w:r>
    </w:p>
    <w:p>
      <w:pPr>
        <w:spacing w:line="147" w:lineRule="exact" w:before="0"/>
        <w:ind w:left="0" w:right="961" w:firstLine="0"/>
        <w:jc w:val="right"/>
        <w:rPr>
          <w:rFonts w:ascii="Arial"/>
          <w:sz w:val="15"/>
        </w:rPr>
      </w:pPr>
      <w:r>
        <w:rPr/>
        <w:pict>
          <v:shape style="position:absolute;margin-left:141.236298pt;margin-top:22.174301pt;width:2.75pt;height:8pt;mso-position-horizontal-relative:page;mso-position-vertical-relative:paragraph;z-index:-713896" type="#_x0000_t202" filled="false" stroked="false">
            <v:textbox inset="0,0,0,0">
              <w:txbxContent>
                <w:p>
                  <w:pPr>
                    <w:spacing w:line="160" w:lineRule="exact" w:before="0"/>
                    <w:ind w:left="0" w:right="0" w:firstLine="0"/>
                    <w:jc w:val="left"/>
                    <w:rPr>
                      <w:i/>
                      <w:sz w:val="16"/>
                    </w:rPr>
                  </w:pPr>
                  <w:r>
                    <w:rPr>
                      <w:i/>
                      <w:color w:val="030303"/>
                      <w:w w:val="87"/>
                      <w:sz w:val="16"/>
                    </w:rPr>
                    <w:t>z</w:t>
                  </w:r>
                </w:p>
              </w:txbxContent>
            </v:textbox>
            <w10:wrap type="none"/>
          </v:shape>
        </w:pict>
      </w:r>
      <w:r>
        <w:rPr>
          <w:rFonts w:ascii="Arial"/>
          <w:color w:val="030303"/>
          <w:w w:val="76"/>
          <w:sz w:val="15"/>
        </w:rPr>
        <w:t>o</w:t>
      </w:r>
    </w:p>
    <w:p>
      <w:pPr>
        <w:pStyle w:val="BodyText"/>
        <w:rPr>
          <w:rFonts w:ascii="Arial"/>
          <w:sz w:val="18"/>
        </w:rPr>
      </w:pPr>
      <w:r>
        <w:rPr/>
        <w:br w:type="column"/>
      </w:r>
      <w:r>
        <w:rPr>
          <w:rFonts w:ascii="Arial"/>
          <w:sz w:val="18"/>
        </w:rPr>
      </w:r>
    </w:p>
    <w:p>
      <w:pPr>
        <w:spacing w:before="118"/>
        <w:ind w:left="1387" w:right="0" w:firstLine="0"/>
        <w:jc w:val="left"/>
        <w:rPr>
          <w:sz w:val="19"/>
        </w:rPr>
      </w:pPr>
      <w:r>
        <w:rPr>
          <w:color w:val="030303"/>
          <w:w w:val="110"/>
          <w:sz w:val="19"/>
        </w:rPr>
        <w:t>(14.23)</w:t>
      </w:r>
    </w:p>
    <w:p>
      <w:pPr>
        <w:spacing w:after="0"/>
        <w:jc w:val="left"/>
        <w:rPr>
          <w:sz w:val="19"/>
        </w:rPr>
        <w:sectPr>
          <w:type w:val="continuous"/>
          <w:pgSz w:w="7200" w:h="11340"/>
          <w:pgMar w:top="1100" w:bottom="0" w:left="680" w:right="560"/>
          <w:cols w:num="2" w:equalWidth="0">
            <w:col w:w="3783" w:space="40"/>
            <w:col w:w="2137"/>
          </w:cols>
        </w:sectPr>
      </w:pPr>
    </w:p>
    <w:p>
      <w:pPr>
        <w:pStyle w:val="BodyText"/>
        <w:spacing w:before="1"/>
        <w:rPr>
          <w:sz w:val="17"/>
        </w:rPr>
      </w:pPr>
    </w:p>
    <w:p>
      <w:pPr>
        <w:spacing w:before="0"/>
        <w:ind w:left="120" w:right="-11" w:firstLine="0"/>
        <w:jc w:val="left"/>
        <w:rPr>
          <w:sz w:val="19"/>
        </w:rPr>
      </w:pPr>
      <w:r>
        <w:rPr>
          <w:color w:val="030303"/>
          <w:w w:val="110"/>
          <w:sz w:val="19"/>
        </w:rPr>
        <w:t>and</w:t>
      </w:r>
    </w:p>
    <w:p>
      <w:pPr>
        <w:spacing w:before="187"/>
        <w:ind w:left="120" w:right="-6" w:firstLine="0"/>
        <w:jc w:val="left"/>
        <w:rPr>
          <w:rFonts w:ascii="Arial"/>
          <w:b/>
          <w:i/>
          <w:sz w:val="10"/>
        </w:rPr>
      </w:pPr>
      <w:r>
        <w:rPr/>
        <w:br w:type="column"/>
      </w:r>
      <w:r>
        <w:rPr>
          <w:color w:val="030303"/>
          <w:w w:val="110"/>
          <w:position w:val="-13"/>
          <w:sz w:val="16"/>
        </w:rPr>
        <w:t>"</w:t>
      </w:r>
      <w:r>
        <w:rPr>
          <w:b/>
          <w:i/>
          <w:color w:val="030303"/>
          <w:w w:val="110"/>
          <w:position w:val="-9"/>
          <w:sz w:val="20"/>
        </w:rPr>
        <w:t>q</w:t>
      </w:r>
      <w:r>
        <w:rPr>
          <w:rFonts w:ascii="Arial"/>
          <w:b/>
          <w:i/>
          <w:color w:val="030303"/>
          <w:w w:val="110"/>
          <w:sz w:val="10"/>
        </w:rPr>
        <w:t>(k)</w:t>
      </w:r>
    </w:p>
    <w:p>
      <w:pPr>
        <w:tabs>
          <w:tab w:pos="807" w:val="left" w:leader="none"/>
        </w:tabs>
        <w:spacing w:line="173" w:lineRule="exact" w:before="85"/>
        <w:ind w:left="365" w:right="0" w:firstLine="0"/>
        <w:jc w:val="left"/>
        <w:rPr>
          <w:b/>
          <w:i/>
          <w:sz w:val="21"/>
        </w:rPr>
      </w:pPr>
      <w:r>
        <w:rPr/>
        <w:br w:type="column"/>
      </w:r>
      <w:r>
        <w:rPr>
          <w:rFonts w:ascii="Arial"/>
          <w:i/>
          <w:color w:val="030303"/>
          <w:w w:val="220"/>
          <w:sz w:val="10"/>
        </w:rPr>
        <w:t>(</w:t>
      </w:r>
      <w:r>
        <w:rPr>
          <w:rFonts w:ascii="Arial"/>
          <w:i/>
          <w:color w:val="030303"/>
          <w:spacing w:val="-31"/>
          <w:w w:val="220"/>
          <w:sz w:val="10"/>
        </w:rPr>
        <w:t> </w:t>
      </w:r>
      <w:r>
        <w:rPr>
          <w:rFonts w:ascii="Arial"/>
          <w:i/>
          <w:color w:val="030303"/>
          <w:w w:val="220"/>
          <w:sz w:val="10"/>
        </w:rPr>
        <w:t>"</w:t>
        <w:tab/>
      </w:r>
      <w:r>
        <w:rPr>
          <w:b/>
          <w:color w:val="030303"/>
          <w:w w:val="135"/>
          <w:sz w:val="12"/>
        </w:rPr>
        <w:t>(T)  </w:t>
      </w:r>
      <w:r>
        <w:rPr>
          <w:b/>
          <w:color w:val="030303"/>
          <w:sz w:val="12"/>
        </w:rPr>
        <w:t>(A:) </w:t>
      </w:r>
      <w:r>
        <w:rPr>
          <w:b/>
          <w:color w:val="030303"/>
          <w:spacing w:val="27"/>
          <w:sz w:val="12"/>
        </w:rPr>
        <w:t> </w:t>
      </w:r>
      <w:r>
        <w:rPr>
          <w:b/>
          <w:i/>
          <w:color w:val="030303"/>
          <w:sz w:val="21"/>
        </w:rPr>
        <w:t>dt</w:t>
      </w:r>
    </w:p>
    <w:p>
      <w:pPr>
        <w:tabs>
          <w:tab w:pos="631" w:val="left" w:leader="none"/>
          <w:tab w:pos="1582" w:val="left" w:leader="none"/>
        </w:tabs>
        <w:spacing w:line="190" w:lineRule="exact" w:before="0"/>
        <w:ind w:left="82" w:right="0" w:firstLine="0"/>
        <w:jc w:val="left"/>
        <w:rPr>
          <w:sz w:val="16"/>
        </w:rPr>
      </w:pPr>
      <w:r>
        <w:rPr>
          <w:color w:val="030303"/>
          <w:w w:val="95"/>
          <w:sz w:val="23"/>
        </w:rPr>
        <w:t>=</w:t>
      </w:r>
      <w:r>
        <w:rPr>
          <w:color w:val="030303"/>
          <w:spacing w:val="30"/>
          <w:w w:val="95"/>
          <w:sz w:val="23"/>
        </w:rPr>
        <w:t> </w:t>
      </w:r>
      <w:r>
        <w:rPr>
          <w:rFonts w:ascii="Arial" w:hAnsi="Arial"/>
          <w:i/>
          <w:color w:val="030303"/>
          <w:w w:val="95"/>
          <w:sz w:val="25"/>
        </w:rPr>
        <w:t>J</w:t>
        <w:tab/>
      </w:r>
      <w:r>
        <w:rPr>
          <w:i/>
          <w:color w:val="030303"/>
          <w:w w:val="95"/>
          <w:sz w:val="16"/>
        </w:rPr>
        <w:t>•Pz  </w:t>
      </w:r>
      <w:r>
        <w:rPr>
          <w:i/>
          <w:color w:val="030303"/>
          <w:spacing w:val="17"/>
          <w:w w:val="95"/>
          <w:sz w:val="16"/>
        </w:rPr>
        <w:t> </w:t>
      </w:r>
      <w:r>
        <w:rPr>
          <w:i/>
          <w:color w:val="030303"/>
          <w:w w:val="95"/>
          <w:sz w:val="16"/>
        </w:rPr>
        <w:t>JJ.z+i</w:t>
        <w:tab/>
      </w:r>
      <w:r>
        <w:rPr>
          <w:color w:val="030303"/>
          <w:w w:val="70"/>
          <w:sz w:val="16"/>
        </w:rPr>
        <w:t>•</w:t>
      </w:r>
    </w:p>
    <w:p>
      <w:pPr>
        <w:spacing w:line="97" w:lineRule="exact" w:before="0"/>
        <w:ind w:left="401" w:right="0" w:firstLine="0"/>
        <w:jc w:val="left"/>
        <w:rPr>
          <w:rFonts w:ascii="Arial"/>
          <w:i/>
          <w:sz w:val="11"/>
        </w:rPr>
      </w:pPr>
      <w:r>
        <w:rPr>
          <w:rFonts w:ascii="Arial"/>
          <w:i/>
          <w:color w:val="030303"/>
          <w:w w:val="103"/>
          <w:sz w:val="11"/>
        </w:rPr>
        <w:t>0</w:t>
      </w:r>
    </w:p>
    <w:p>
      <w:pPr>
        <w:pStyle w:val="BodyText"/>
        <w:spacing w:before="9"/>
        <w:rPr>
          <w:rFonts w:ascii="Arial"/>
          <w:i/>
          <w:sz w:val="16"/>
        </w:rPr>
      </w:pPr>
      <w:r>
        <w:rPr/>
        <w:br w:type="column"/>
      </w:r>
      <w:r>
        <w:rPr>
          <w:rFonts w:ascii="Arial"/>
          <w:i/>
          <w:sz w:val="16"/>
        </w:rPr>
      </w:r>
    </w:p>
    <w:p>
      <w:pPr>
        <w:spacing w:before="0"/>
        <w:ind w:left="120" w:right="0" w:firstLine="0"/>
        <w:jc w:val="left"/>
        <w:rPr>
          <w:sz w:val="19"/>
        </w:rPr>
      </w:pPr>
      <w:r>
        <w:rPr>
          <w:color w:val="030303"/>
          <w:w w:val="115"/>
          <w:sz w:val="19"/>
        </w:rPr>
        <w:t>(14.24)</w:t>
      </w:r>
    </w:p>
    <w:p>
      <w:pPr>
        <w:spacing w:after="0"/>
        <w:jc w:val="left"/>
        <w:rPr>
          <w:sz w:val="19"/>
        </w:rPr>
        <w:sectPr>
          <w:type w:val="continuous"/>
          <w:pgSz w:w="7200" w:h="11340"/>
          <w:pgMar w:top="1100" w:bottom="0" w:left="680" w:right="560"/>
          <w:cols w:num="4" w:equalWidth="0">
            <w:col w:w="431" w:space="1429"/>
            <w:col w:w="451" w:space="40"/>
            <w:col w:w="1623" w:space="1114"/>
            <w:col w:w="872"/>
          </w:cols>
        </w:sectPr>
      </w:pPr>
    </w:p>
    <w:p>
      <w:pPr>
        <w:tabs>
          <w:tab w:pos="1732" w:val="left" w:leader="none"/>
          <w:tab w:pos="5263" w:val="left" w:leader="none"/>
        </w:tabs>
        <w:spacing w:before="61"/>
        <w:ind w:left="373" w:right="0" w:hanging="190"/>
        <w:jc w:val="left"/>
        <w:rPr>
          <w:b/>
          <w:sz w:val="19"/>
        </w:rPr>
      </w:pPr>
      <w:r>
        <w:rPr>
          <w:color w:val="010101"/>
          <w:position w:val="1"/>
          <w:sz w:val="19"/>
        </w:rPr>
        <w:t>276</w:t>
        <w:tab/>
      </w:r>
      <w:r>
        <w:rPr>
          <w:b/>
          <w:color w:val="010101"/>
          <w:position w:val="1"/>
          <w:sz w:val="15"/>
        </w:rPr>
        <w:t>MULTIPLE-DECREMENT   </w:t>
      </w:r>
      <w:r>
        <w:rPr>
          <w:b/>
          <w:color w:val="010101"/>
          <w:spacing w:val="9"/>
          <w:position w:val="1"/>
          <w:sz w:val="15"/>
        </w:rPr>
        <w:t> </w:t>
      </w:r>
      <w:r>
        <w:rPr>
          <w:b/>
          <w:color w:val="010101"/>
          <w:position w:val="1"/>
          <w:sz w:val="15"/>
        </w:rPr>
        <w:t>TABLM</w:t>
        <w:tab/>
      </w:r>
      <w:r>
        <w:rPr>
          <w:b/>
          <w:color w:val="010101"/>
          <w:sz w:val="17"/>
        </w:rPr>
        <w:t>[CH.</w:t>
      </w:r>
      <w:r>
        <w:rPr>
          <w:b/>
          <w:color w:val="010101"/>
          <w:spacing w:val="41"/>
          <w:sz w:val="17"/>
        </w:rPr>
        <w:t> </w:t>
      </w:r>
      <w:r>
        <w:rPr>
          <w:b/>
          <w:color w:val="010101"/>
          <w:sz w:val="19"/>
        </w:rPr>
        <w:t>14</w:t>
      </w:r>
    </w:p>
    <w:p>
      <w:pPr>
        <w:pStyle w:val="BodyText"/>
        <w:spacing w:before="4"/>
        <w:rPr>
          <w:b/>
        </w:rPr>
      </w:pPr>
    </w:p>
    <w:p>
      <w:pPr>
        <w:spacing w:line="230" w:lineRule="exact" w:before="0"/>
        <w:ind w:left="180" w:right="115" w:firstLine="193"/>
        <w:jc w:val="both"/>
        <w:rPr>
          <w:sz w:val="21"/>
        </w:rPr>
      </w:pPr>
      <w:r>
        <w:rPr>
          <w:color w:val="010101"/>
          <w:sz w:val="21"/>
        </w:rPr>
        <w:t>A simple relationship exists between the total force </w:t>
      </w:r>
      <w:r>
        <w:rPr>
          <w:rFonts w:ascii="Arial" w:hAnsi="Arial"/>
          <w:i/>
          <w:color w:val="010101"/>
          <w:w w:val="85"/>
          <w:sz w:val="19"/>
        </w:rPr>
        <w:t>T&gt; </w:t>
      </w:r>
      <w:r>
        <w:rPr>
          <w:color w:val="010101"/>
          <w:sz w:val="21"/>
        </w:rPr>
        <w:t>and the </w:t>
      </w:r>
      <w:r>
        <w:rPr>
          <w:color w:val="010101"/>
          <w:w w:val="95"/>
          <w:sz w:val="21"/>
        </w:rPr>
        <w:t>individual forces </w:t>
      </w:r>
      <w:r>
        <w:rPr>
          <w:b/>
          <w:i/>
          <w:color w:val="010101"/>
          <w:w w:val="85"/>
          <w:sz w:val="20"/>
        </w:rPr>
        <w:t>µ.;k&gt; </w:t>
      </w:r>
      <w:r>
        <w:rPr>
          <w:b/>
          <w:i/>
          <w:color w:val="010101"/>
          <w:w w:val="95"/>
          <w:sz w:val="20"/>
        </w:rPr>
        <w:t>. </w:t>
      </w:r>
      <w:r>
        <w:rPr>
          <w:color w:val="010101"/>
          <w:w w:val="95"/>
          <w:sz w:val="21"/>
        </w:rPr>
        <w:t>Since</w:t>
      </w:r>
    </w:p>
    <w:p>
      <w:pPr>
        <w:pStyle w:val="BodyText"/>
        <w:rPr>
          <w:sz w:val="11"/>
        </w:rPr>
      </w:pPr>
      <w:r>
        <w:rPr/>
        <w:drawing>
          <wp:anchor distT="0" distB="0" distL="0" distR="0" allowOverlap="1" layoutInCell="1" locked="0" behindDoc="0" simplePos="0" relativeHeight="22192">
            <wp:simplePos x="0" y="0"/>
            <wp:positionH relativeFrom="page">
              <wp:posOffset>1938527</wp:posOffset>
            </wp:positionH>
            <wp:positionV relativeFrom="paragraph">
              <wp:posOffset>105435</wp:posOffset>
            </wp:positionV>
            <wp:extent cx="822960" cy="283463"/>
            <wp:effectExtent l="0" t="0" r="0" b="0"/>
            <wp:wrapTopAndBottom/>
            <wp:docPr id="663" name="image337.png" descr=""/>
            <wp:cNvGraphicFramePr>
              <a:graphicFrameLocks noChangeAspect="1"/>
            </wp:cNvGraphicFramePr>
            <a:graphic>
              <a:graphicData uri="http://schemas.openxmlformats.org/drawingml/2006/picture">
                <pic:pic>
                  <pic:nvPicPr>
                    <pic:cNvPr id="664" name="image337.png"/>
                    <pic:cNvPicPr/>
                  </pic:nvPicPr>
                  <pic:blipFill>
                    <a:blip r:embed="rId341" cstate="print"/>
                    <a:stretch>
                      <a:fillRect/>
                    </a:stretch>
                  </pic:blipFill>
                  <pic:spPr>
                    <a:xfrm>
                      <a:off x="0" y="0"/>
                      <a:ext cx="822960" cy="283463"/>
                    </a:xfrm>
                    <a:prstGeom prst="rect">
                      <a:avLst/>
                    </a:prstGeom>
                  </pic:spPr>
                </pic:pic>
              </a:graphicData>
            </a:graphic>
          </wp:anchor>
        </w:drawing>
      </w:r>
    </w:p>
    <w:p>
      <w:pPr>
        <w:spacing w:before="86"/>
        <w:ind w:left="176" w:right="0" w:firstLine="0"/>
        <w:jc w:val="both"/>
        <w:rPr>
          <w:sz w:val="21"/>
        </w:rPr>
      </w:pPr>
      <w:r>
        <w:rPr>
          <w:color w:val="010101"/>
          <w:sz w:val="21"/>
        </w:rPr>
        <w:t>it follows from (14.18b) and (14.22 ) that</w:t>
      </w:r>
    </w:p>
    <w:p>
      <w:pPr>
        <w:pStyle w:val="BodyText"/>
        <w:spacing w:before="147"/>
        <w:ind w:left="2378"/>
        <w:rPr>
          <w:sz w:val="21"/>
        </w:rPr>
      </w:pPr>
      <w:r>
        <w:rPr>
          <w:position w:val="-15"/>
        </w:rPr>
        <w:drawing>
          <wp:inline distT="0" distB="0" distL="0" distR="0">
            <wp:extent cx="822959" cy="283463"/>
            <wp:effectExtent l="0" t="0" r="0" b="0"/>
            <wp:docPr id="665" name="image338.png" descr=""/>
            <wp:cNvGraphicFramePr>
              <a:graphicFrameLocks noChangeAspect="1"/>
            </wp:cNvGraphicFramePr>
            <a:graphic>
              <a:graphicData uri="http://schemas.openxmlformats.org/drawingml/2006/picture">
                <pic:pic>
                  <pic:nvPicPr>
                    <pic:cNvPr id="666" name="image338.png"/>
                    <pic:cNvPicPr/>
                  </pic:nvPicPr>
                  <pic:blipFill>
                    <a:blip r:embed="rId342" cstate="print"/>
                    <a:stretch>
                      <a:fillRect/>
                    </a:stretch>
                  </pic:blipFill>
                  <pic:spPr>
                    <a:xfrm>
                      <a:off x="0" y="0"/>
                      <a:ext cx="822959" cy="283463"/>
                    </a:xfrm>
                    <a:prstGeom prst="rect">
                      <a:avLst/>
                    </a:prstGeom>
                  </pic:spPr>
                </pic:pic>
              </a:graphicData>
            </a:graphic>
          </wp:inline>
        </w:drawing>
      </w:r>
      <w:r>
        <w:rPr>
          <w:position w:val="-15"/>
        </w:rPr>
      </w:r>
      <w:r>
        <w:rPr/>
        <w:t>                               </w:t>
      </w:r>
      <w:r>
        <w:rPr>
          <w:color w:val="010101"/>
          <w:sz w:val="21"/>
        </w:rPr>
        <w:t>(14.25)</w:t>
      </w:r>
    </w:p>
    <w:p>
      <w:pPr>
        <w:spacing w:before="124"/>
        <w:ind w:left="159" w:right="125" w:hanging="4"/>
        <w:jc w:val="both"/>
        <w:rPr>
          <w:sz w:val="21"/>
        </w:rPr>
      </w:pPr>
      <w:r>
        <w:rPr>
          <w:color w:val="010101"/>
          <w:sz w:val="21"/>
        </w:rPr>
        <w:t>Thus, the total force of decremcnt is equal to the sum of the severa! partial forces.</w:t>
      </w:r>
    </w:p>
    <w:p>
      <w:pPr>
        <w:spacing w:line="237" w:lineRule="auto" w:before="0"/>
        <w:ind w:left="130" w:right="152" w:firstLine="221"/>
        <w:jc w:val="both"/>
        <w:rPr>
          <w:sz w:val="21"/>
        </w:rPr>
      </w:pPr>
      <w:r>
        <w:rPr>
          <w:color w:val="010101"/>
          <w:sz w:val="21"/>
        </w:rPr>
        <w:t>An important distinction between forces of decrement and prob­ abilities of decrement should be noted. The probability functions involve a certain interval of time during which the body of lives is being</w:t>
      </w:r>
      <w:r>
        <w:rPr>
          <w:color w:val="010101"/>
          <w:spacing w:val="-5"/>
          <w:sz w:val="21"/>
        </w:rPr>
        <w:t> </w:t>
      </w:r>
      <w:r>
        <w:rPr>
          <w:color w:val="010101"/>
          <w:sz w:val="21"/>
        </w:rPr>
        <w:t>depleted</w:t>
      </w:r>
      <w:r>
        <w:rPr>
          <w:color w:val="010101"/>
          <w:spacing w:val="-1"/>
          <w:sz w:val="21"/>
        </w:rPr>
        <w:t> </w:t>
      </w:r>
      <w:r>
        <w:rPr>
          <w:color w:val="010101"/>
          <w:sz w:val="21"/>
        </w:rPr>
        <w:t>by</w:t>
      </w:r>
      <w:r>
        <w:rPr>
          <w:color w:val="010101"/>
          <w:spacing w:val="-5"/>
          <w:sz w:val="21"/>
        </w:rPr>
        <w:t> </w:t>
      </w:r>
      <w:r>
        <w:rPr>
          <w:color w:val="010101"/>
          <w:sz w:val="21"/>
        </w:rPr>
        <w:t>all</w:t>
      </w:r>
      <w:r>
        <w:rPr>
          <w:color w:val="010101"/>
          <w:spacing w:val="-15"/>
          <w:sz w:val="21"/>
        </w:rPr>
        <w:t> </w:t>
      </w:r>
      <w:r>
        <w:rPr>
          <w:color w:val="010101"/>
          <w:sz w:val="21"/>
        </w:rPr>
        <w:t>the</w:t>
      </w:r>
      <w:r>
        <w:rPr>
          <w:color w:val="010101"/>
          <w:spacing w:val="-14"/>
          <w:sz w:val="21"/>
        </w:rPr>
        <w:t> </w:t>
      </w:r>
      <w:r>
        <w:rPr>
          <w:color w:val="010101"/>
          <w:sz w:val="21"/>
        </w:rPr>
        <w:t>causes</w:t>
      </w:r>
      <w:r>
        <w:rPr>
          <w:color w:val="010101"/>
          <w:spacing w:val="-14"/>
          <w:sz w:val="21"/>
        </w:rPr>
        <w:t> </w:t>
      </w:r>
      <w:r>
        <w:rPr>
          <w:color w:val="010101"/>
          <w:sz w:val="21"/>
        </w:rPr>
        <w:t>of</w:t>
      </w:r>
      <w:r>
        <w:rPr>
          <w:color w:val="010101"/>
          <w:spacing w:val="-1"/>
          <w:sz w:val="21"/>
        </w:rPr>
        <w:t> </w:t>
      </w:r>
      <w:r>
        <w:rPr>
          <w:color w:val="010101"/>
          <w:sz w:val="21"/>
        </w:rPr>
        <w:t>decrement.</w:t>
      </w:r>
      <w:r>
        <w:rPr>
          <w:color w:val="010101"/>
          <w:spacing w:val="-3"/>
          <w:sz w:val="21"/>
        </w:rPr>
        <w:t> </w:t>
      </w:r>
      <w:r>
        <w:rPr>
          <w:color w:val="010101"/>
          <w:sz w:val="21"/>
        </w:rPr>
        <w:t>Hence,</w:t>
      </w:r>
      <w:r>
        <w:rPr>
          <w:color w:val="010101"/>
          <w:spacing w:val="1"/>
          <w:sz w:val="21"/>
        </w:rPr>
        <w:t> </w:t>
      </w:r>
      <w:r>
        <w:rPr>
          <w:color w:val="010101"/>
          <w:sz w:val="21"/>
        </w:rPr>
        <w:t>the</w:t>
      </w:r>
      <w:r>
        <w:rPr>
          <w:color w:val="010101"/>
          <w:spacing w:val="-17"/>
          <w:sz w:val="21"/>
        </w:rPr>
        <w:t> </w:t>
      </w:r>
      <w:r>
        <w:rPr>
          <w:color w:val="010101"/>
          <w:sz w:val="21"/>
        </w:rPr>
        <w:t>number</w:t>
      </w:r>
      <w:r>
        <w:rPr>
          <w:color w:val="010101"/>
          <w:spacing w:val="-3"/>
          <w:sz w:val="21"/>
        </w:rPr>
        <w:t> </w:t>
      </w:r>
      <w:r>
        <w:rPr>
          <w:color w:val="010101"/>
          <w:sz w:val="21"/>
        </w:rPr>
        <w:t>of lives which drop out </w:t>
      </w:r>
      <w:r>
        <w:rPr>
          <w:color w:val="010101"/>
          <w:sz w:val="19"/>
        </w:rPr>
        <w:t>in </w:t>
      </w:r>
      <w:r>
        <w:rPr>
          <w:color w:val="010101"/>
          <w:sz w:val="21"/>
        </w:rPr>
        <w:t>the interval on account of cause (k ) is not independent of the magnitude of the decrements due to the compet­ ing causes. The greater the effect of these other forces, the fewer will be the decrements on account of cause </w:t>
      </w:r>
      <w:r>
        <w:rPr>
          <w:rFonts w:ascii="Arial" w:hAnsi="Arial"/>
          <w:i/>
          <w:color w:val="010101"/>
          <w:sz w:val="19"/>
        </w:rPr>
        <w:t>(k ),  </w:t>
      </w:r>
      <w:r>
        <w:rPr>
          <w:color w:val="010101"/>
          <w:sz w:val="21"/>
        </w:rPr>
        <w:t>and  the  smaller will be the value of the probability of decrement from this cause. The probability values for the various causes thus </w:t>
      </w:r>
      <w:r>
        <w:rPr>
          <w:color w:val="232323"/>
          <w:spacing w:val="-4"/>
          <w:sz w:val="21"/>
        </w:rPr>
        <w:t>'</w:t>
      </w:r>
      <w:r>
        <w:rPr>
          <w:color w:val="010101"/>
          <w:spacing w:val="-4"/>
          <w:sz w:val="21"/>
        </w:rPr>
        <w:t>depend </w:t>
      </w:r>
      <w:r>
        <w:rPr>
          <w:color w:val="010101"/>
          <w:sz w:val="21"/>
        </w:rPr>
        <w:t>on one another, and probabilities of decrement must be regarded as </w:t>
      </w:r>
      <w:r>
        <w:rPr>
          <w:i/>
          <w:color w:val="010101"/>
          <w:sz w:val="21"/>
        </w:rPr>
        <w:t>de­ </w:t>
      </w:r>
      <w:r>
        <w:rPr>
          <w:i/>
          <w:color w:val="010101"/>
          <w:sz w:val="20"/>
        </w:rPr>
        <w:t>pendent </w:t>
      </w:r>
      <w:r>
        <w:rPr>
          <w:color w:val="010101"/>
          <w:sz w:val="21"/>
        </w:rPr>
        <w:t>probabilities in any situation </w:t>
      </w:r>
      <w:r>
        <w:rPr>
          <w:color w:val="010101"/>
          <w:sz w:val="22"/>
        </w:rPr>
        <w:t>in </w:t>
      </w:r>
      <w:r>
        <w:rPr>
          <w:color w:val="010101"/>
          <w:sz w:val="21"/>
        </w:rPr>
        <w:t>which several causes are combined.</w:t>
      </w:r>
    </w:p>
    <w:p>
      <w:pPr>
        <w:spacing w:before="3"/>
        <w:ind w:left="126" w:right="199" w:firstLine="196"/>
        <w:jc w:val="both"/>
        <w:rPr>
          <w:sz w:val="21"/>
        </w:rPr>
      </w:pPr>
      <w:r>
        <w:rPr>
          <w:color w:val="010101"/>
          <w:sz w:val="21"/>
        </w:rPr>
        <w:t>This may be seen mathematically by writing the probability of decrement from cause  </w:t>
      </w:r>
      <w:r>
        <w:rPr>
          <w:rFonts w:ascii="Arial"/>
          <w:i/>
          <w:color w:val="010101"/>
          <w:sz w:val="19"/>
        </w:rPr>
        <w:t>(k ) </w:t>
      </w:r>
      <w:r>
        <w:rPr>
          <w:color w:val="010101"/>
          <w:sz w:val="21"/>
        </w:rPr>
        <w:t>as</w:t>
      </w:r>
    </w:p>
    <w:p>
      <w:pPr>
        <w:tabs>
          <w:tab w:pos="1051" w:val="left" w:leader="none"/>
        </w:tabs>
        <w:spacing w:line="459" w:lineRule="exact" w:before="0"/>
        <w:ind w:left="0" w:right="59" w:firstLine="0"/>
        <w:jc w:val="center"/>
        <w:rPr>
          <w:b/>
          <w:i/>
          <w:sz w:val="20"/>
        </w:rPr>
      </w:pPr>
      <w:r>
        <w:rPr/>
        <w:pict>
          <v:shape style="position:absolute;margin-left:140.923996pt;margin-top:16.390337pt;width:74.45pt;height:8pt;mso-position-horizontal-relative:page;mso-position-vertical-relative:paragraph;z-index:-713800" type="#_x0000_t202" filled="false" stroked="false">
            <v:textbox inset="0,0,0,0">
              <w:txbxContent>
                <w:p>
                  <w:pPr>
                    <w:tabs>
                      <w:tab w:pos="282" w:val="left" w:leader="none"/>
                      <w:tab w:pos="790" w:val="left" w:leader="none"/>
                    </w:tabs>
                    <w:spacing w:line="160" w:lineRule="exact" w:before="0"/>
                    <w:ind w:left="0" w:right="0" w:firstLine="0"/>
                    <w:jc w:val="left"/>
                    <w:rPr>
                      <w:rFonts w:ascii="Arial" w:hAnsi="Arial"/>
                      <w:i/>
                      <w:sz w:val="16"/>
                    </w:rPr>
                  </w:pPr>
                  <w:r>
                    <w:rPr>
                      <w:color w:val="010101"/>
                      <w:w w:val="110"/>
                      <w:sz w:val="8"/>
                    </w:rPr>
                    <w:t>%</w:t>
                    <w:tab/>
                  </w:r>
                  <w:r>
                    <w:rPr>
                      <w:color w:val="010101"/>
                      <w:w w:val="580"/>
                      <w:sz w:val="8"/>
                    </w:rPr>
                    <w:t>-</w:t>
                    <w:tab/>
                  </w:r>
                  <w:r>
                    <w:rPr>
                      <w:i/>
                      <w:color w:val="010101"/>
                      <w:w w:val="110"/>
                      <w:sz w:val="14"/>
                    </w:rPr>
                    <w:t>tP% </w:t>
                  </w:r>
                  <w:r>
                    <w:rPr>
                      <w:i/>
                      <w:color w:val="010101"/>
                      <w:spacing w:val="14"/>
                      <w:w w:val="110"/>
                      <w:sz w:val="14"/>
                    </w:rPr>
                    <w:t> </w:t>
                  </w:r>
                  <w:r>
                    <w:rPr>
                      <w:rFonts w:ascii="Arial" w:hAnsi="Arial"/>
                      <w:i/>
                      <w:color w:val="010101"/>
                      <w:w w:val="110"/>
                      <w:sz w:val="16"/>
                    </w:rPr>
                    <w:t>µz+,</w:t>
                  </w:r>
                </w:p>
              </w:txbxContent>
            </v:textbox>
            <w10:wrap type="none"/>
          </v:shape>
        </w:pict>
      </w:r>
      <w:r>
        <w:rPr>
          <w:b/>
          <w:i/>
          <w:color w:val="010101"/>
          <w:spacing w:val="6"/>
          <w:position w:val="-5"/>
          <w:sz w:val="20"/>
        </w:rPr>
        <w:t>q</w:t>
      </w:r>
      <w:r>
        <w:rPr>
          <w:rFonts w:ascii="Arial"/>
          <w:b/>
          <w:i/>
          <w:color w:val="010101"/>
          <w:spacing w:val="6"/>
          <w:sz w:val="11"/>
        </w:rPr>
        <w:t>(k) </w:t>
      </w:r>
      <w:r>
        <w:rPr>
          <w:rFonts w:ascii="Arial"/>
          <w:b/>
          <w:i/>
          <w:color w:val="010101"/>
          <w:spacing w:val="18"/>
          <w:sz w:val="11"/>
        </w:rPr>
        <w:t> </w:t>
      </w:r>
      <w:r>
        <w:rPr>
          <w:b/>
          <w:i/>
          <w:color w:val="010101"/>
          <w:sz w:val="55"/>
        </w:rPr>
        <w:t>-</w:t>
      </w:r>
      <w:r>
        <w:rPr>
          <w:b/>
          <w:i/>
          <w:color w:val="010101"/>
          <w:spacing w:val="-65"/>
          <w:sz w:val="55"/>
        </w:rPr>
        <w:t> </w:t>
      </w:r>
      <w:r>
        <w:rPr>
          <w:b/>
          <w:i/>
          <w:color w:val="010101"/>
          <w:sz w:val="55"/>
        </w:rPr>
        <w:t>1</w:t>
        <w:tab/>
      </w:r>
      <w:r>
        <w:rPr>
          <w:rFonts w:ascii="Arial"/>
          <w:b/>
          <w:i/>
          <w:color w:val="010101"/>
          <w:sz w:val="11"/>
        </w:rPr>
        <w:t>( </w:t>
      </w:r>
      <w:r>
        <w:rPr>
          <w:rFonts w:ascii="Arial"/>
          <w:b/>
          <w:i/>
          <w:color w:val="010101"/>
          <w:w w:val="120"/>
          <w:sz w:val="11"/>
        </w:rPr>
        <w:t>T\    </w:t>
      </w:r>
      <w:r>
        <w:rPr>
          <w:rFonts w:ascii="Arial"/>
          <w:b/>
          <w:color w:val="010101"/>
          <w:w w:val="120"/>
          <w:sz w:val="10"/>
        </w:rPr>
        <w:t>(k)  </w:t>
      </w:r>
      <w:r>
        <w:rPr>
          <w:rFonts w:ascii="Arial"/>
          <w:b/>
          <w:color w:val="010101"/>
          <w:spacing w:val="7"/>
          <w:w w:val="120"/>
          <w:sz w:val="10"/>
        </w:rPr>
        <w:t> </w:t>
      </w:r>
      <w:r>
        <w:rPr>
          <w:b/>
          <w:i/>
          <w:color w:val="010101"/>
          <w:sz w:val="20"/>
        </w:rPr>
        <w:t>dt</w:t>
      </w:r>
    </w:p>
    <w:p>
      <w:pPr>
        <w:spacing w:line="161" w:lineRule="exact" w:before="0"/>
        <w:ind w:left="0" w:right="423" w:firstLine="0"/>
        <w:jc w:val="center"/>
        <w:rPr>
          <w:b/>
          <w:sz w:val="17"/>
        </w:rPr>
      </w:pPr>
      <w:r>
        <w:rPr>
          <w:b/>
          <w:color w:val="010101"/>
          <w:w w:val="82"/>
          <w:sz w:val="17"/>
        </w:rPr>
        <w:t>o</w:t>
      </w:r>
    </w:p>
    <w:p>
      <w:pPr>
        <w:spacing w:before="16"/>
        <w:ind w:left="119" w:right="0" w:firstLine="0"/>
        <w:jc w:val="both"/>
        <w:rPr>
          <w:sz w:val="21"/>
        </w:rPr>
      </w:pPr>
      <w:r>
        <w:rPr>
          <w:color w:val="010101"/>
          <w:sz w:val="21"/>
        </w:rPr>
        <w:t>and substituting for </w:t>
      </w:r>
      <w:r>
        <w:rPr>
          <w:rFonts w:ascii="Arial"/>
          <w:i/>
          <w:color w:val="010101"/>
          <w:w w:val="85"/>
          <w:sz w:val="30"/>
        </w:rPr>
        <w:t>,p;</w:t>
      </w:r>
      <w:r>
        <w:rPr>
          <w:rFonts w:ascii="Arial"/>
          <w:i/>
          <w:color w:val="010101"/>
          <w:spacing w:val="-50"/>
          <w:w w:val="85"/>
          <w:sz w:val="30"/>
        </w:rPr>
        <w:t> </w:t>
      </w:r>
      <w:r>
        <w:rPr>
          <w:rFonts w:ascii="Arial"/>
          <w:i/>
          <w:color w:val="010101"/>
          <w:w w:val="85"/>
          <w:sz w:val="19"/>
        </w:rPr>
        <w:t>T&gt; </w:t>
      </w:r>
      <w:r>
        <w:rPr>
          <w:color w:val="010101"/>
          <w:sz w:val="21"/>
        </w:rPr>
        <w:t>from (14.20) :</w:t>
      </w:r>
    </w:p>
    <w:p>
      <w:pPr>
        <w:tabs>
          <w:tab w:pos="2948" w:val="left" w:leader="none"/>
        </w:tabs>
        <w:spacing w:line="95" w:lineRule="exact" w:before="104"/>
        <w:ind w:left="2537" w:right="0" w:firstLine="0"/>
        <w:jc w:val="left"/>
        <w:rPr>
          <w:b/>
          <w:i/>
          <w:sz w:val="11"/>
        </w:rPr>
      </w:pPr>
      <w:r>
        <w:rPr/>
        <w:pict>
          <v:shape style="position:absolute;margin-left:151.475403pt;margin-top:5.717884pt;width:9pt;height:26pt;mso-position-horizontal-relative:page;mso-position-vertical-relative:paragraph;z-index:-713848" type="#_x0000_t202" filled="false" stroked="false">
            <v:textbox inset="0,0,0,0">
              <w:txbxContent>
                <w:p>
                  <w:pPr>
                    <w:spacing w:line="520" w:lineRule="exact" w:before="0"/>
                    <w:ind w:left="0" w:right="0" w:firstLine="0"/>
                    <w:jc w:val="left"/>
                    <w:rPr>
                      <w:rFonts w:ascii="Arial"/>
                      <w:b/>
                      <w:sz w:val="52"/>
                    </w:rPr>
                  </w:pPr>
                  <w:r>
                    <w:rPr>
                      <w:rFonts w:ascii="Arial"/>
                      <w:b/>
                      <w:color w:val="010101"/>
                      <w:spacing w:val="-70"/>
                      <w:w w:val="85"/>
                      <w:sz w:val="52"/>
                    </w:rPr>
                    <w:t>1</w:t>
                  </w:r>
                </w:p>
              </w:txbxContent>
            </v:textbox>
            <w10:wrap type="none"/>
          </v:shape>
        </w:pict>
      </w:r>
      <w:r>
        <w:rPr>
          <w:b/>
          <w:color w:val="010101"/>
          <w:w w:val="105"/>
          <w:sz w:val="12"/>
        </w:rPr>
        <w:t>1</w:t>
        <w:tab/>
      </w:r>
      <w:r>
        <w:rPr>
          <w:b/>
          <w:i/>
          <w:color w:val="010101"/>
          <w:w w:val="105"/>
          <w:sz w:val="11"/>
        </w:rPr>
        <w:t>t</w:t>
      </w:r>
    </w:p>
    <w:p>
      <w:pPr>
        <w:tabs>
          <w:tab w:pos="876" w:val="left" w:leader="none"/>
        </w:tabs>
        <w:spacing w:line="239" w:lineRule="exact" w:before="0"/>
        <w:ind w:left="0" w:right="135" w:firstLine="0"/>
        <w:jc w:val="center"/>
        <w:rPr>
          <w:i/>
          <w:sz w:val="21"/>
        </w:rPr>
      </w:pPr>
      <w:r>
        <w:rPr/>
        <w:pict>
          <v:shape style="position:absolute;margin-left:125.901604pt;margin-top:5.672328pt;width:115.95pt;height:8pt;mso-position-horizontal-relative:page;mso-position-vertical-relative:paragraph;z-index:-713824" type="#_x0000_t202" filled="false" stroked="false">
            <v:textbox inset="0,0,0,0">
              <w:txbxContent>
                <w:p>
                  <w:pPr>
                    <w:tabs>
                      <w:tab w:pos="286" w:val="left" w:leader="none"/>
                      <w:tab w:pos="1688" w:val="left" w:leader="none"/>
                      <w:tab w:pos="2249" w:val="left" w:leader="none"/>
                    </w:tabs>
                    <w:spacing w:line="160" w:lineRule="exact" w:before="0"/>
                    <w:ind w:left="0" w:right="0" w:firstLine="0"/>
                    <w:jc w:val="left"/>
                    <w:rPr>
                      <w:rFonts w:ascii="Arial" w:hAnsi="Arial"/>
                      <w:sz w:val="16"/>
                    </w:rPr>
                  </w:pPr>
                  <w:r>
                    <w:rPr>
                      <w:color w:val="010101"/>
                      <w:w w:val="105"/>
                      <w:sz w:val="8"/>
                    </w:rPr>
                    <w:t>%</w:t>
                    <w:tab/>
                  </w:r>
                  <w:r>
                    <w:rPr>
                      <w:color w:val="010101"/>
                      <w:w w:val="580"/>
                      <w:sz w:val="8"/>
                    </w:rPr>
                    <w:t>-</w:t>
                    <w:tab/>
                  </w:r>
                  <w:r>
                    <w:rPr>
                      <w:rFonts w:ascii="Arial" w:hAnsi="Arial"/>
                      <w:i/>
                      <w:color w:val="010101"/>
                      <w:w w:val="105"/>
                      <w:sz w:val="16"/>
                    </w:rPr>
                    <w:t>µz+</w:t>
                  </w:r>
                  <w:r>
                    <w:rPr>
                      <w:rFonts w:ascii="Arial" w:hAnsi="Arial"/>
                      <w:i/>
                      <w:color w:val="010101"/>
                      <w:spacing w:val="-21"/>
                      <w:w w:val="105"/>
                      <w:sz w:val="16"/>
                    </w:rPr>
                    <w:t> </w:t>
                  </w:r>
                  <w:r>
                    <w:rPr>
                      <w:rFonts w:ascii="Arial" w:hAnsi="Arial"/>
                      <w:i/>
                      <w:color w:val="010101"/>
                      <w:w w:val="165"/>
                      <w:sz w:val="16"/>
                    </w:rPr>
                    <w:t>,</w:t>
                    <w:tab/>
                  </w:r>
                  <w:r>
                    <w:rPr>
                      <w:rFonts w:ascii="Arial" w:hAnsi="Arial"/>
                      <w:color w:val="010101"/>
                      <w:w w:val="155"/>
                      <w:sz w:val="16"/>
                    </w:rPr>
                    <w:t>.</w:t>
                  </w:r>
                </w:p>
              </w:txbxContent>
            </v:textbox>
            <w10:wrap type="none"/>
          </v:shape>
        </w:pict>
      </w:r>
      <w:r>
        <w:rPr>
          <w:b/>
          <w:i/>
          <w:color w:val="010101"/>
          <w:spacing w:val="7"/>
          <w:w w:val="95"/>
          <w:position w:val="-7"/>
          <w:sz w:val="20"/>
        </w:rPr>
        <w:t>q</w:t>
      </w:r>
      <w:r>
        <w:rPr>
          <w:rFonts w:ascii="Arial"/>
          <w:b/>
          <w:i/>
          <w:color w:val="010101"/>
          <w:spacing w:val="7"/>
          <w:w w:val="95"/>
          <w:sz w:val="10"/>
        </w:rPr>
        <w:t>(</w:t>
      </w:r>
      <w:r>
        <w:rPr>
          <w:rFonts w:ascii="Arial"/>
          <w:b/>
          <w:i/>
          <w:color w:val="010101"/>
          <w:spacing w:val="-18"/>
          <w:w w:val="95"/>
          <w:sz w:val="10"/>
        </w:rPr>
        <w:t> </w:t>
      </w:r>
      <w:r>
        <w:rPr>
          <w:rFonts w:ascii="Arial"/>
          <w:b/>
          <w:i/>
          <w:color w:val="010101"/>
          <w:w w:val="95"/>
          <w:sz w:val="10"/>
        </w:rPr>
        <w:t>k )   </w:t>
      </w:r>
      <w:r>
        <w:rPr>
          <w:rFonts w:ascii="Arial"/>
          <w:b/>
          <w:i/>
          <w:color w:val="010101"/>
          <w:spacing w:val="12"/>
          <w:w w:val="95"/>
          <w:sz w:val="10"/>
        </w:rPr>
        <w:t> </w:t>
      </w:r>
      <w:r>
        <w:rPr>
          <w:rFonts w:ascii="Arial"/>
          <w:color w:val="010101"/>
          <w:w w:val="445"/>
          <w:sz w:val="10"/>
        </w:rPr>
        <w:t>-</w:t>
        <w:tab/>
      </w:r>
      <w:r>
        <w:rPr>
          <w:i/>
          <w:color w:val="010101"/>
          <w:w w:val="95"/>
          <w:sz w:val="21"/>
        </w:rPr>
        <w:t>e-fo </w:t>
      </w:r>
      <w:r>
        <w:rPr>
          <w:color w:val="010101"/>
          <w:w w:val="95"/>
          <w:sz w:val="20"/>
        </w:rPr>
        <w:t>.uU:l </w:t>
      </w:r>
      <w:r>
        <w:rPr>
          <w:b/>
          <w:color w:val="010101"/>
          <w:w w:val="95"/>
          <w:sz w:val="12"/>
        </w:rPr>
        <w:t>da     </w:t>
      </w:r>
      <w:r>
        <w:rPr>
          <w:b/>
          <w:color w:val="010101"/>
          <w:w w:val="130"/>
          <w:sz w:val="12"/>
        </w:rPr>
        <w:t>(k)</w:t>
      </w:r>
      <w:r>
        <w:rPr>
          <w:b/>
          <w:color w:val="010101"/>
          <w:spacing w:val="-2"/>
          <w:w w:val="130"/>
          <w:sz w:val="12"/>
        </w:rPr>
        <w:t> </w:t>
      </w:r>
      <w:r>
        <w:rPr>
          <w:i/>
          <w:color w:val="010101"/>
          <w:w w:val="95"/>
          <w:sz w:val="21"/>
        </w:rPr>
        <w:t>dt</w:t>
      </w:r>
    </w:p>
    <w:p>
      <w:pPr>
        <w:spacing w:line="169" w:lineRule="exact" w:before="0"/>
        <w:ind w:left="0" w:right="1020" w:firstLine="0"/>
        <w:jc w:val="center"/>
        <w:rPr>
          <w:b/>
          <w:i/>
          <w:sz w:val="18"/>
        </w:rPr>
      </w:pPr>
      <w:r>
        <w:rPr>
          <w:b/>
          <w:i/>
          <w:color w:val="010101"/>
          <w:w w:val="74"/>
          <w:sz w:val="18"/>
        </w:rPr>
        <w:t>o</w:t>
      </w:r>
    </w:p>
    <w:p>
      <w:pPr>
        <w:spacing w:before="106"/>
        <w:ind w:left="112" w:right="205" w:firstLine="3"/>
        <w:jc w:val="both"/>
        <w:rPr>
          <w:sz w:val="21"/>
        </w:rPr>
      </w:pPr>
      <w:r>
        <w:rPr>
          <w:color w:val="010101"/>
          <w:sz w:val="21"/>
        </w:rPr>
        <w:t>In this form, it is clear that the probability of decrement for any individual cause </w:t>
      </w:r>
      <w:r>
        <w:rPr>
          <w:rFonts w:ascii="Arial"/>
          <w:i/>
          <w:color w:val="010101"/>
          <w:sz w:val="19"/>
        </w:rPr>
        <w:t>(k ) </w:t>
      </w:r>
      <w:r>
        <w:rPr>
          <w:color w:val="010101"/>
          <w:sz w:val="21"/>
        </w:rPr>
        <w:t>depends upon the forces of decrement for </w:t>
      </w:r>
      <w:r>
        <w:rPr>
          <w:rFonts w:ascii="Arial"/>
          <w:i/>
          <w:color w:val="010101"/>
          <w:sz w:val="19"/>
        </w:rPr>
        <w:t>aU </w:t>
      </w:r>
      <w:r>
        <w:rPr>
          <w:color w:val="010101"/>
          <w:sz w:val="21"/>
        </w:rPr>
        <w:t>the causes.</w:t>
      </w:r>
    </w:p>
    <w:p>
      <w:pPr>
        <w:spacing w:line="240" w:lineRule="auto" w:before="0"/>
        <w:ind w:left="101" w:right="206" w:firstLine="196"/>
        <w:jc w:val="both"/>
        <w:rPr>
          <w:sz w:val="21"/>
        </w:rPr>
      </w:pPr>
      <w:r>
        <w:rPr>
          <w:color w:val="010101"/>
          <w:sz w:val="21"/>
        </w:rPr>
        <w:t>On the other hand, the function  </w:t>
      </w:r>
      <w:r>
        <w:rPr>
          <w:b/>
          <w:color w:val="010101"/>
          <w:w w:val="85"/>
          <w:sz w:val="19"/>
        </w:rPr>
        <w:t>k&gt; </w:t>
      </w:r>
      <w:r>
        <w:rPr>
          <w:b/>
          <w:color w:val="010101"/>
          <w:sz w:val="19"/>
        </w:rPr>
        <w:t>, </w:t>
      </w:r>
      <w:r>
        <w:rPr>
          <w:color w:val="010101"/>
          <w:sz w:val="21"/>
        </w:rPr>
        <w:t>being an instantaneous rate  of decrement, is not based upon any time </w:t>
      </w:r>
      <w:r>
        <w:rPr>
          <w:i/>
          <w:color w:val="010101"/>
          <w:sz w:val="20"/>
        </w:rPr>
        <w:t>interval, </w:t>
      </w:r>
      <w:r>
        <w:rPr>
          <w:color w:val="010101"/>
          <w:sz w:val="21"/>
        </w:rPr>
        <w:t>and is not af­ fected by the operation of competing causes. The forces of    decre-</w:t>
      </w:r>
    </w:p>
    <w:p>
      <w:pPr>
        <w:spacing w:after="0" w:line="240" w:lineRule="auto"/>
        <w:jc w:val="both"/>
        <w:rPr>
          <w:sz w:val="21"/>
        </w:rPr>
        <w:sectPr>
          <w:pgSz w:w="7200" w:h="11340"/>
          <w:pgMar w:top="520" w:bottom="280" w:left="660" w:right="540"/>
        </w:sectPr>
      </w:pPr>
    </w:p>
    <w:p>
      <w:pPr>
        <w:tabs>
          <w:tab w:pos="5844" w:val="right" w:leader="none"/>
        </w:tabs>
        <w:spacing w:before="60"/>
        <w:ind w:left="128" w:right="0" w:firstLine="0"/>
        <w:jc w:val="both"/>
        <w:rPr>
          <w:sz w:val="20"/>
        </w:rPr>
      </w:pPr>
      <w:r>
        <w:rPr>
          <w:b/>
          <w:sz w:val="15"/>
        </w:rPr>
        <w:t>SEC.   </w:t>
      </w:r>
      <w:r>
        <w:rPr>
          <w:rFonts w:ascii="Arial"/>
          <w:b/>
          <w:sz w:val="19"/>
        </w:rPr>
        <w:t>5)      </w:t>
      </w:r>
      <w:r>
        <w:rPr>
          <w:b/>
          <w:position w:val="1"/>
          <w:sz w:val="15"/>
        </w:rPr>
        <w:t>THE   ASSOCIATED  </w:t>
      </w:r>
      <w:r>
        <w:rPr>
          <w:b/>
          <w:spacing w:val="14"/>
          <w:position w:val="1"/>
          <w:sz w:val="15"/>
        </w:rPr>
        <w:t> </w:t>
      </w:r>
      <w:r>
        <w:rPr>
          <w:b/>
          <w:position w:val="1"/>
          <w:sz w:val="15"/>
        </w:rPr>
        <w:t>SINGLE-DECREMENT  </w:t>
      </w:r>
      <w:r>
        <w:rPr>
          <w:b/>
          <w:spacing w:val="11"/>
          <w:position w:val="1"/>
          <w:sz w:val="15"/>
        </w:rPr>
        <w:t> </w:t>
      </w:r>
      <w:r>
        <w:rPr>
          <w:b/>
          <w:position w:val="1"/>
          <w:sz w:val="15"/>
        </w:rPr>
        <w:t>TABLES</w:t>
      </w:r>
      <w:r>
        <w:rPr>
          <w:sz w:val="20"/>
        </w:rPr>
        <w:tab/>
        <w:t>277</w:t>
      </w:r>
    </w:p>
    <w:p>
      <w:pPr>
        <w:pStyle w:val="BodyText"/>
        <w:spacing w:before="3"/>
        <w:rPr>
          <w:sz w:val="21"/>
        </w:rPr>
      </w:pPr>
    </w:p>
    <w:p>
      <w:pPr>
        <w:pStyle w:val="BodyText"/>
        <w:spacing w:line="252" w:lineRule="auto"/>
        <w:ind w:left="124" w:right="121" w:firstLine="7"/>
        <w:jc w:val="both"/>
      </w:pPr>
      <w:r>
        <w:rPr>
          <w:w w:val="105"/>
        </w:rPr>
        <w:t>ment for the various causes are thercfore independent functious, in contrast to the probabilities of decrement, which are  dependent upon  one another.</w:t>
      </w:r>
    </w:p>
    <w:p>
      <w:pPr>
        <w:pStyle w:val="BodyText"/>
        <w:spacing w:line="239" w:lineRule="exact"/>
        <w:ind w:left="132" w:firstLine="187"/>
      </w:pPr>
      <w:r>
        <w:rPr/>
        <w:t>When numerical  values of  </w:t>
      </w:r>
      <w:r>
        <w:rPr>
          <w:sz w:val="26"/>
        </w:rPr>
        <w:t>µ!") </w:t>
      </w:r>
      <w:r>
        <w:rPr/>
        <w:t>are needed,  they can be  estimated</w:t>
      </w:r>
    </w:p>
    <w:p>
      <w:pPr>
        <w:pStyle w:val="BodyText"/>
        <w:spacing w:line="252" w:lineRule="auto"/>
        <w:ind w:left="121" w:right="110" w:firstLine="10"/>
        <w:jc w:val="both"/>
        <w:rPr>
          <w:sz w:val="16"/>
        </w:rPr>
      </w:pPr>
      <w:r>
        <w:rPr>
          <w:w w:val="105"/>
        </w:rPr>
        <w:t>from the multiple-decrement table by means of an approximate formula. The following three formulas may be derived under the same assumptions as formulas (1.20), (1.21), and (1.22 ) for the force of mortality </w:t>
      </w:r>
      <w:r>
        <w:rPr>
          <w:i/>
          <w:w w:val="105"/>
          <w:sz w:val="16"/>
        </w:rPr>
        <w:t>µ.z  </w:t>
      </w:r>
      <w:r>
        <w:rPr>
          <w:w w:val="135"/>
          <w:sz w:val="16"/>
        </w:rPr>
        <w:t>:</w:t>
      </w:r>
    </w:p>
    <w:p>
      <w:pPr>
        <w:spacing w:line="263" w:lineRule="exact" w:before="4"/>
        <w:ind w:left="1424" w:right="739" w:firstLine="0"/>
        <w:jc w:val="left"/>
        <w:rPr>
          <w:rFonts w:ascii="Arial"/>
          <w:i/>
          <w:sz w:val="20"/>
        </w:rPr>
      </w:pPr>
      <w:r>
        <w:rPr>
          <w:w w:val="175"/>
          <w:sz w:val="9"/>
        </w:rPr>
        <w:t>!.- </w:t>
      </w:r>
      <w:r>
        <w:rPr>
          <w:rFonts w:ascii="Arial"/>
          <w:i/>
          <w:spacing w:val="-4"/>
          <w:sz w:val="28"/>
          <w:u w:val="thick"/>
        </w:rPr>
        <w:t>d;!i </w:t>
      </w:r>
      <w:r>
        <w:rPr>
          <w:rFonts w:ascii="Arial"/>
          <w:w w:val="120"/>
          <w:sz w:val="31"/>
        </w:rPr>
        <w:t>+</w:t>
      </w:r>
      <w:r>
        <w:rPr>
          <w:rFonts w:ascii="Arial"/>
          <w:spacing w:val="-78"/>
          <w:w w:val="120"/>
          <w:sz w:val="31"/>
        </w:rPr>
        <w:t> </w:t>
      </w:r>
      <w:r>
        <w:rPr>
          <w:rFonts w:ascii="Arial"/>
          <w:i/>
          <w:spacing w:val="3"/>
          <w:sz w:val="20"/>
        </w:rPr>
        <w:t>d;k)</w:t>
      </w:r>
    </w:p>
    <w:p>
      <w:pPr>
        <w:spacing w:after="0" w:line="263" w:lineRule="exact"/>
        <w:jc w:val="left"/>
        <w:rPr>
          <w:rFonts w:ascii="Arial"/>
          <w:sz w:val="20"/>
        </w:rPr>
        <w:sectPr>
          <w:pgSz w:w="7200" w:h="11340"/>
          <w:pgMar w:top="480" w:bottom="280" w:left="660" w:right="560"/>
        </w:sectPr>
      </w:pPr>
    </w:p>
    <w:p>
      <w:pPr>
        <w:tabs>
          <w:tab w:pos="1939" w:val="left" w:leader="none"/>
        </w:tabs>
        <w:spacing w:before="17"/>
        <w:ind w:left="1424" w:right="30" w:firstLine="0"/>
        <w:jc w:val="left"/>
        <w:rPr>
          <w:rFonts w:ascii="Arial"/>
          <w:sz w:val="28"/>
        </w:rPr>
      </w:pPr>
      <w:r>
        <w:rPr>
          <w:rFonts w:ascii="Arial"/>
          <w:w w:val="75"/>
          <w:sz w:val="28"/>
        </w:rPr>
        <w:t>--:</w:t>
        <w:tab/>
        <w:t>2z?l</w:t>
      </w:r>
    </w:p>
    <w:p>
      <w:pPr>
        <w:spacing w:line="354" w:lineRule="exact" w:before="56"/>
        <w:ind w:left="1424" w:right="-13" w:firstLine="0"/>
        <w:jc w:val="left"/>
        <w:rPr>
          <w:sz w:val="21"/>
        </w:rPr>
      </w:pPr>
      <w:r>
        <w:rPr>
          <w:rFonts w:ascii="Arial"/>
          <w:w w:val="88"/>
          <w:sz w:val="20"/>
        </w:rPr>
        <w:t>=; </w:t>
      </w:r>
      <w:r>
        <w:rPr>
          <w:w w:val="105"/>
          <w:sz w:val="21"/>
        </w:rPr>
        <w:t>7(d </w:t>
      </w:r>
      <w:r>
        <w:rPr>
          <w:w w:val="62"/>
          <w:sz w:val="21"/>
        </w:rPr>
        <w:t>'::.1  </w:t>
      </w:r>
      <w:r>
        <w:rPr>
          <w:rFonts w:ascii="Arial"/>
          <w:w w:val="103"/>
          <w:sz w:val="31"/>
        </w:rPr>
        <w:t>+ </w:t>
      </w:r>
      <w:r>
        <w:rPr>
          <w:rFonts w:ascii="Arial"/>
          <w:i/>
          <w:w w:val="109"/>
          <w:sz w:val="18"/>
        </w:rPr>
        <w:t>d?) </w:t>
      </w:r>
      <w:r>
        <w:rPr>
          <w:rFonts w:ascii="Arial"/>
          <w:i/>
          <w:w w:val="76"/>
          <w:sz w:val="18"/>
        </w:rPr>
        <w:t>)   </w:t>
      </w:r>
      <w:r>
        <w:rPr>
          <w:rFonts w:ascii="Arial"/>
          <w:w w:val="284"/>
          <w:sz w:val="18"/>
        </w:rPr>
        <w:t>- </w:t>
      </w:r>
      <w:r>
        <w:rPr>
          <w:w w:val="80"/>
          <w:sz w:val="21"/>
        </w:rPr>
        <w:t>( </w:t>
      </w:r>
      <w:r>
        <w:rPr>
          <w:w w:val="68"/>
          <w:sz w:val="21"/>
        </w:rPr>
        <w:t>d;'::.2  </w:t>
      </w:r>
      <w:r>
        <w:rPr>
          <w:rFonts w:ascii="Arial"/>
          <w:w w:val="103"/>
          <w:sz w:val="31"/>
        </w:rPr>
        <w:t>+ </w:t>
      </w:r>
      <w:r>
        <w:rPr>
          <w:w w:val="105"/>
          <w:sz w:val="21"/>
        </w:rPr>
        <w:t>d; </w:t>
      </w:r>
      <w:r>
        <w:rPr>
          <w:w w:val="139"/>
          <w:sz w:val="21"/>
          <w:u w:val="thick"/>
        </w:rPr>
        <w:t>\ </w:t>
      </w:r>
      <w:r>
        <w:rPr>
          <w:w w:val="90"/>
          <w:sz w:val="21"/>
        </w:rPr>
        <w:t>)</w:t>
      </w:r>
    </w:p>
    <w:p>
      <w:pPr>
        <w:pStyle w:val="BodyText"/>
        <w:spacing w:line="228" w:lineRule="exact"/>
        <w:ind w:left="2828" w:right="30"/>
      </w:pPr>
      <w:r>
        <w:rPr/>
        <w:t>12l;T)</w:t>
      </w:r>
    </w:p>
    <w:p>
      <w:pPr>
        <w:pStyle w:val="BodyText"/>
        <w:spacing w:line="204" w:lineRule="exact"/>
        <w:ind w:left="784"/>
      </w:pPr>
      <w:r>
        <w:rPr/>
        <w:br w:type="column"/>
      </w:r>
      <w:r>
        <w:rPr/>
        <w:t>(14.26)</w:t>
      </w:r>
    </w:p>
    <w:p>
      <w:pPr>
        <w:pStyle w:val="BodyText"/>
      </w:pPr>
    </w:p>
    <w:p>
      <w:pPr>
        <w:pStyle w:val="BodyText"/>
        <w:rPr>
          <w:sz w:val="16"/>
        </w:rPr>
      </w:pPr>
    </w:p>
    <w:p>
      <w:pPr>
        <w:pStyle w:val="BodyText"/>
        <w:ind w:left="781"/>
      </w:pPr>
      <w:r>
        <w:rPr/>
        <w:t>(14.27 )</w:t>
      </w:r>
    </w:p>
    <w:p>
      <w:pPr>
        <w:spacing w:after="0"/>
        <w:sectPr>
          <w:type w:val="continuous"/>
          <w:pgSz w:w="7200" w:h="11340"/>
          <w:pgMar w:top="1100" w:bottom="0" w:left="660" w:right="560"/>
          <w:cols w:num="2" w:equalWidth="0">
            <w:col w:w="4420" w:space="40"/>
            <w:col w:w="1520"/>
          </w:cols>
        </w:sectPr>
      </w:pPr>
    </w:p>
    <w:p>
      <w:pPr>
        <w:pStyle w:val="BodyText"/>
        <w:spacing w:before="2"/>
        <w:rPr>
          <w:sz w:val="9"/>
        </w:rPr>
      </w:pPr>
    </w:p>
    <w:p>
      <w:pPr>
        <w:tabs>
          <w:tab w:pos="5243" w:val="left" w:leader="none"/>
        </w:tabs>
        <w:spacing w:before="61"/>
        <w:ind w:left="117" w:right="0" w:firstLine="921"/>
        <w:jc w:val="left"/>
        <w:rPr>
          <w:sz w:val="20"/>
        </w:rPr>
      </w:pPr>
      <w:r>
        <w:rPr>
          <w:rFonts w:ascii="Arial" w:hAnsi="Arial"/>
          <w:i/>
          <w:w w:val="103"/>
          <w:sz w:val="15"/>
        </w:rPr>
        <w:t>µ;k</w:t>
      </w:r>
      <w:r>
        <w:rPr>
          <w:rFonts w:ascii="Arial" w:hAnsi="Arial"/>
          <w:i/>
          <w:spacing w:val="-8"/>
          <w:sz w:val="15"/>
        </w:rPr>
        <w:t> </w:t>
      </w:r>
      <w:r>
        <w:rPr>
          <w:rFonts w:ascii="Arial" w:hAnsi="Arial"/>
          <w:i/>
          <w:w w:val="63"/>
          <w:sz w:val="15"/>
        </w:rPr>
        <w:t>)</w:t>
      </w:r>
      <w:r>
        <w:rPr>
          <w:rFonts w:ascii="Arial" w:hAnsi="Arial"/>
          <w:i/>
          <w:sz w:val="15"/>
        </w:rPr>
        <w:t>  </w:t>
      </w:r>
      <w:r>
        <w:rPr>
          <w:rFonts w:ascii="Arial" w:hAnsi="Arial"/>
          <w:i/>
          <w:spacing w:val="-13"/>
          <w:sz w:val="15"/>
        </w:rPr>
        <w:t> </w:t>
      </w:r>
      <w:r>
        <w:rPr>
          <w:rFonts w:ascii="Arial" w:hAnsi="Arial"/>
          <w:w w:val="93"/>
          <w:sz w:val="20"/>
        </w:rPr>
        <w:t>=;</w:t>
      </w:r>
      <w:r>
        <w:rPr>
          <w:rFonts w:ascii="Arial" w:hAnsi="Arial"/>
          <w:spacing w:val="13"/>
          <w:sz w:val="20"/>
        </w:rPr>
        <w:t> </w:t>
      </w:r>
      <w:r>
        <w:rPr>
          <w:w w:val="80"/>
          <w:sz w:val="30"/>
        </w:rPr>
        <w:t>z</w:t>
      </w:r>
      <w:r>
        <w:rPr>
          <w:spacing w:val="-35"/>
          <w:w w:val="80"/>
          <w:sz w:val="30"/>
        </w:rPr>
        <w:t>l</w:t>
      </w:r>
      <w:r>
        <w:rPr>
          <w:w w:val="42"/>
          <w:sz w:val="30"/>
        </w:rPr>
        <w:t>T</w:t>
      </w:r>
      <w:r>
        <w:rPr>
          <w:w w:val="42"/>
          <w:sz w:val="30"/>
        </w:rPr>
        <w:t>)</w:t>
      </w:r>
      <w:r>
        <w:rPr>
          <w:spacing w:val="19"/>
          <w:sz w:val="30"/>
        </w:rPr>
        <w:t> </w:t>
      </w:r>
      <w:r>
        <w:rPr>
          <w:rFonts w:ascii="Arial" w:hAnsi="Arial"/>
          <w:i/>
          <w:w w:val="74"/>
          <w:sz w:val="20"/>
        </w:rPr>
        <w:t>(</w:t>
      </w:r>
      <w:r>
        <w:rPr>
          <w:rFonts w:ascii="Arial" w:hAnsi="Arial"/>
          <w:i/>
          <w:spacing w:val="-27"/>
          <w:sz w:val="20"/>
        </w:rPr>
        <w:t> </w:t>
      </w:r>
      <w:r>
        <w:rPr>
          <w:rFonts w:ascii="Arial" w:hAnsi="Arial"/>
          <w:i/>
          <w:w w:val="89"/>
          <w:sz w:val="20"/>
        </w:rPr>
        <w:t>d;"</w:t>
      </w:r>
      <w:r>
        <w:rPr>
          <w:rFonts w:ascii="Arial" w:hAnsi="Arial"/>
          <w:i/>
          <w:spacing w:val="-36"/>
          <w:sz w:val="20"/>
        </w:rPr>
        <w:t> </w:t>
      </w:r>
      <w:r>
        <w:rPr>
          <w:rFonts w:ascii="Arial" w:hAnsi="Arial"/>
          <w:i/>
          <w:w w:val="46"/>
          <w:sz w:val="20"/>
        </w:rPr>
        <w:t>)</w:t>
      </w:r>
      <w:r>
        <w:rPr>
          <w:rFonts w:ascii="Arial" w:hAnsi="Arial"/>
          <w:i/>
          <w:sz w:val="20"/>
        </w:rPr>
        <w:t> </w:t>
      </w:r>
      <w:r>
        <w:rPr>
          <w:rFonts w:ascii="Arial" w:hAnsi="Arial"/>
          <w:i/>
          <w:spacing w:val="5"/>
          <w:sz w:val="20"/>
        </w:rPr>
        <w:t> </w:t>
      </w:r>
      <w:r>
        <w:rPr>
          <w:rFonts w:ascii="Arial" w:hAnsi="Arial"/>
          <w:w w:val="255"/>
          <w:sz w:val="20"/>
        </w:rPr>
        <w:t>-</w:t>
      </w:r>
      <w:r>
        <w:rPr>
          <w:rFonts w:ascii="Arial" w:hAnsi="Arial"/>
          <w:spacing w:val="22"/>
          <w:sz w:val="20"/>
        </w:rPr>
        <w:t> </w:t>
      </w:r>
      <w:r>
        <w:rPr>
          <w:rFonts w:ascii="Arial" w:hAnsi="Arial"/>
          <w:i/>
          <w:spacing w:val="-44"/>
          <w:w w:val="460"/>
          <w:sz w:val="20"/>
        </w:rPr>
        <w:t>!</w:t>
      </w:r>
      <w:r>
        <w:rPr>
          <w:rFonts w:ascii="Arial" w:hAnsi="Arial"/>
          <w:i/>
          <w:w w:val="79"/>
          <w:sz w:val="20"/>
        </w:rPr>
        <w:t>d;k</w:t>
      </w:r>
      <w:r>
        <w:rPr>
          <w:rFonts w:ascii="Arial" w:hAnsi="Arial"/>
          <w:i/>
          <w:spacing w:val="-35"/>
          <w:sz w:val="20"/>
        </w:rPr>
        <w:t> </w:t>
      </w:r>
      <w:r>
        <w:rPr>
          <w:rFonts w:ascii="Arial" w:hAnsi="Arial"/>
          <w:i/>
          <w:w w:val="46"/>
          <w:sz w:val="20"/>
        </w:rPr>
        <w:t>)</w:t>
      </w:r>
      <w:r>
        <w:rPr>
          <w:rFonts w:ascii="Arial" w:hAnsi="Arial"/>
          <w:i/>
          <w:sz w:val="20"/>
        </w:rPr>
        <w:t> </w:t>
      </w:r>
      <w:r>
        <w:rPr>
          <w:rFonts w:ascii="Arial" w:hAnsi="Arial"/>
          <w:i/>
          <w:spacing w:val="-3"/>
          <w:sz w:val="20"/>
        </w:rPr>
        <w:t> </w:t>
      </w:r>
      <w:r>
        <w:rPr>
          <w:rFonts w:ascii="Arial" w:hAnsi="Arial"/>
          <w:w w:val="105"/>
          <w:sz w:val="31"/>
        </w:rPr>
        <w:t>+</w:t>
      </w:r>
      <w:r>
        <w:rPr>
          <w:rFonts w:ascii="Arial" w:hAnsi="Arial"/>
          <w:spacing w:val="-30"/>
          <w:sz w:val="31"/>
        </w:rPr>
        <w:t> </w:t>
      </w:r>
      <w:r>
        <w:rPr>
          <w:i/>
          <w:spacing w:val="-22"/>
          <w:w w:val="157"/>
          <w:sz w:val="26"/>
        </w:rPr>
        <w:t>%</w:t>
      </w:r>
      <w:r>
        <w:rPr>
          <w:rFonts w:ascii="Arial" w:hAnsi="Arial"/>
          <w:i/>
          <w:spacing w:val="-1"/>
          <w:w w:val="64"/>
          <w:position w:val="9"/>
          <w:sz w:val="15"/>
        </w:rPr>
        <w:t>2</w:t>
      </w:r>
      <w:r>
        <w:rPr>
          <w:rFonts w:ascii="Arial" w:hAnsi="Arial"/>
          <w:i/>
          <w:w w:val="81"/>
          <w:sz w:val="20"/>
        </w:rPr>
        <w:t>d;k</w:t>
      </w:r>
      <w:r>
        <w:rPr>
          <w:rFonts w:ascii="Arial" w:hAnsi="Arial"/>
          <w:i/>
          <w:spacing w:val="-37"/>
          <w:sz w:val="20"/>
        </w:rPr>
        <w:t> </w:t>
      </w:r>
      <w:r>
        <w:rPr>
          <w:rFonts w:ascii="Arial" w:hAnsi="Arial"/>
          <w:i/>
          <w:w w:val="46"/>
          <w:sz w:val="20"/>
        </w:rPr>
        <w:t>)</w:t>
      </w:r>
      <w:r>
        <w:rPr>
          <w:rFonts w:ascii="Arial" w:hAnsi="Arial"/>
          <w:i/>
          <w:sz w:val="20"/>
        </w:rPr>
        <w:t> </w:t>
      </w:r>
      <w:r>
        <w:rPr>
          <w:rFonts w:ascii="Arial" w:hAnsi="Arial"/>
          <w:i/>
          <w:spacing w:val="5"/>
          <w:sz w:val="20"/>
        </w:rPr>
        <w:t> </w:t>
      </w:r>
      <w:r>
        <w:rPr>
          <w:rFonts w:ascii="Arial" w:hAnsi="Arial"/>
          <w:w w:val="255"/>
          <w:sz w:val="20"/>
        </w:rPr>
        <w:t>-</w:t>
      </w:r>
      <w:r>
        <w:rPr>
          <w:rFonts w:ascii="Arial" w:hAnsi="Arial"/>
          <w:sz w:val="20"/>
        </w:rPr>
        <w:t> </w:t>
      </w:r>
      <w:r>
        <w:rPr>
          <w:rFonts w:ascii="Arial" w:hAnsi="Arial"/>
          <w:spacing w:val="-12"/>
          <w:sz w:val="20"/>
        </w:rPr>
        <w:t> </w:t>
      </w:r>
      <w:r>
        <w:rPr>
          <w:rFonts w:ascii="Arial" w:hAnsi="Arial"/>
          <w:w w:val="48"/>
          <w:sz w:val="20"/>
        </w:rPr>
        <w:t>•</w:t>
      </w:r>
      <w:r>
        <w:rPr>
          <w:rFonts w:ascii="Arial" w:hAnsi="Arial"/>
          <w:spacing w:val="7"/>
          <w:sz w:val="20"/>
        </w:rPr>
        <w:t> </w:t>
      </w:r>
      <w:r>
        <w:rPr>
          <w:rFonts w:ascii="Arial" w:hAnsi="Arial"/>
          <w:w w:val="48"/>
          <w:sz w:val="20"/>
        </w:rPr>
        <w:t>•</w:t>
      </w:r>
      <w:r>
        <w:rPr>
          <w:rFonts w:ascii="Arial" w:hAnsi="Arial"/>
          <w:spacing w:val="10"/>
          <w:sz w:val="20"/>
        </w:rPr>
        <w:t> </w:t>
      </w:r>
      <w:r>
        <w:rPr>
          <w:rFonts w:ascii="Arial" w:hAnsi="Arial"/>
          <w:w w:val="48"/>
          <w:sz w:val="20"/>
        </w:rPr>
        <w:t>•</w:t>
      </w:r>
      <w:r>
        <w:rPr>
          <w:rFonts w:ascii="Arial" w:hAnsi="Arial"/>
          <w:sz w:val="20"/>
        </w:rPr>
        <w:t> </w:t>
      </w:r>
      <w:r>
        <w:rPr>
          <w:rFonts w:ascii="Arial" w:hAnsi="Arial"/>
          <w:w w:val="96"/>
          <w:sz w:val="20"/>
        </w:rPr>
        <w:t>)</w:t>
      </w:r>
      <w:r>
        <w:rPr>
          <w:rFonts w:ascii="Arial" w:hAnsi="Arial"/>
          <w:sz w:val="20"/>
        </w:rPr>
        <w:tab/>
      </w:r>
      <w:r>
        <w:rPr>
          <w:w w:val="102"/>
          <w:sz w:val="20"/>
        </w:rPr>
        <w:t>(14.28)</w:t>
      </w:r>
    </w:p>
    <w:p>
      <w:pPr>
        <w:pStyle w:val="BodyText"/>
        <w:spacing w:before="187"/>
        <w:ind w:left="121" w:right="115" w:hanging="4"/>
      </w:pPr>
      <w:r>
        <w:rPr/>
        <w:t>The formulas are given in terms of </w:t>
      </w:r>
      <w:r>
        <w:rPr>
          <w:i/>
        </w:rPr>
        <w:t>d?i </w:t>
      </w:r>
      <w:r>
        <w:rPr/>
        <w:t>instead of </w:t>
      </w:r>
      <w:r>
        <w:rPr>
          <w:rFonts w:ascii="Arial"/>
          <w:i/>
          <w:w w:val="95"/>
          <w:sz w:val="26"/>
        </w:rPr>
        <w:t>z?&gt; </w:t>
      </w:r>
      <w:r>
        <w:rPr/>
        <w:t>since  the  values of  </w:t>
      </w:r>
      <w:r>
        <w:rPr>
          <w:rFonts w:ascii="Arial"/>
          <w:i/>
          <w:w w:val="95"/>
        </w:rPr>
        <w:t>l!k&gt;  </w:t>
      </w:r>
      <w:r>
        <w:rPr/>
        <w:t>are not usually  shown  in the multiple-decrement</w:t>
      </w:r>
      <w:r>
        <w:rPr>
          <w:spacing w:val="41"/>
        </w:rPr>
        <w:t> </w:t>
      </w:r>
      <w:r>
        <w:rPr/>
        <w:t>table.</w:t>
      </w:r>
    </w:p>
    <w:p>
      <w:pPr>
        <w:pStyle w:val="BodyText"/>
        <w:spacing w:before="2"/>
        <w:rPr>
          <w:sz w:val="16"/>
        </w:rPr>
      </w:pPr>
    </w:p>
    <w:p>
      <w:pPr>
        <w:pStyle w:val="ListParagraph"/>
        <w:numPr>
          <w:ilvl w:val="0"/>
          <w:numId w:val="128"/>
        </w:numPr>
        <w:tabs>
          <w:tab w:pos="359" w:val="left" w:leader="none"/>
        </w:tabs>
        <w:spacing w:line="240" w:lineRule="auto" w:before="0" w:after="0"/>
        <w:ind w:left="358" w:right="0" w:hanging="237"/>
        <w:jc w:val="left"/>
        <w:rPr>
          <w:b/>
          <w:sz w:val="19"/>
        </w:rPr>
      </w:pPr>
      <w:r>
        <w:rPr>
          <w:b/>
          <w:w w:val="120"/>
          <w:sz w:val="19"/>
        </w:rPr>
        <w:t>The  associated  single-decrement</w:t>
      </w:r>
      <w:r>
        <w:rPr>
          <w:b/>
          <w:spacing w:val="5"/>
          <w:w w:val="120"/>
          <w:sz w:val="19"/>
        </w:rPr>
        <w:t> </w:t>
      </w:r>
      <w:r>
        <w:rPr>
          <w:b/>
          <w:w w:val="120"/>
          <w:sz w:val="19"/>
        </w:rPr>
        <w:t>tables</w:t>
      </w:r>
    </w:p>
    <w:p>
      <w:pPr>
        <w:pStyle w:val="BodyText"/>
        <w:spacing w:line="249" w:lineRule="auto" w:before="89"/>
        <w:ind w:left="117" w:right="105" w:firstLine="205"/>
        <w:jc w:val="both"/>
      </w:pPr>
      <w:r>
        <w:rPr>
          <w:w w:val="105"/>
        </w:rPr>
        <w:t>For</w:t>
      </w:r>
      <w:r>
        <w:rPr>
          <w:spacing w:val="-13"/>
          <w:w w:val="105"/>
        </w:rPr>
        <w:t> </w:t>
      </w:r>
      <w:r>
        <w:rPr>
          <w:w w:val="105"/>
        </w:rPr>
        <w:t>each</w:t>
      </w:r>
      <w:r>
        <w:rPr>
          <w:spacing w:val="-11"/>
          <w:w w:val="105"/>
        </w:rPr>
        <w:t> </w:t>
      </w:r>
      <w:r>
        <w:rPr>
          <w:w w:val="105"/>
        </w:rPr>
        <w:t>of</w:t>
      </w:r>
      <w:r>
        <w:rPr>
          <w:spacing w:val="-4"/>
          <w:w w:val="105"/>
        </w:rPr>
        <w:t> </w:t>
      </w:r>
      <w:r>
        <w:rPr>
          <w:w w:val="105"/>
        </w:rPr>
        <w:t>the</w:t>
      </w:r>
      <w:r>
        <w:rPr>
          <w:spacing w:val="-16"/>
          <w:w w:val="105"/>
        </w:rPr>
        <w:t> </w:t>
      </w:r>
      <w:r>
        <w:rPr>
          <w:w w:val="105"/>
        </w:rPr>
        <w:t>cam;;es</w:t>
      </w:r>
      <w:r>
        <w:rPr>
          <w:spacing w:val="-10"/>
          <w:w w:val="105"/>
        </w:rPr>
        <w:t> </w:t>
      </w:r>
      <w:r>
        <w:rPr>
          <w:w w:val="105"/>
        </w:rPr>
        <w:t>in</w:t>
      </w:r>
      <w:r>
        <w:rPr>
          <w:spacing w:val="-9"/>
          <w:w w:val="105"/>
        </w:rPr>
        <w:t> </w:t>
      </w:r>
      <w:r>
        <w:rPr>
          <w:w w:val="105"/>
        </w:rPr>
        <w:t>a</w:t>
      </w:r>
      <w:r>
        <w:rPr>
          <w:spacing w:val="-23"/>
          <w:w w:val="105"/>
        </w:rPr>
        <w:t> </w:t>
      </w:r>
      <w:r>
        <w:rPr>
          <w:w w:val="105"/>
        </w:rPr>
        <w:t>multiple-decrement</w:t>
      </w:r>
      <w:r>
        <w:rPr>
          <w:spacing w:val="9"/>
          <w:w w:val="105"/>
        </w:rPr>
        <w:t> </w:t>
      </w:r>
      <w:r>
        <w:rPr>
          <w:w w:val="105"/>
        </w:rPr>
        <w:t>table,</w:t>
      </w:r>
      <w:r>
        <w:rPr>
          <w:spacing w:val="-5"/>
          <w:w w:val="105"/>
        </w:rPr>
        <w:t> </w:t>
      </w:r>
      <w:r>
        <w:rPr>
          <w:w w:val="105"/>
        </w:rPr>
        <w:t>it</w:t>
      </w:r>
      <w:r>
        <w:rPr>
          <w:spacing w:val="-13"/>
          <w:w w:val="105"/>
        </w:rPr>
        <w:t> </w:t>
      </w:r>
      <w:r>
        <w:rPr>
          <w:w w:val="105"/>
        </w:rPr>
        <w:t>is</w:t>
      </w:r>
      <w:r>
        <w:rPr>
          <w:spacing w:val="-18"/>
          <w:w w:val="105"/>
        </w:rPr>
        <w:t> </w:t>
      </w:r>
      <w:r>
        <w:rPr>
          <w:w w:val="105"/>
        </w:rPr>
        <w:t>possible to define a single-decrement table which exhibits the properties of the</w:t>
      </w:r>
      <w:r>
        <w:rPr>
          <w:spacing w:val="-12"/>
          <w:w w:val="105"/>
        </w:rPr>
        <w:t> </w:t>
      </w:r>
      <w:r>
        <w:rPr>
          <w:w w:val="105"/>
        </w:rPr>
        <w:t>cause</w:t>
      </w:r>
      <w:r>
        <w:rPr>
          <w:spacing w:val="-9"/>
          <w:w w:val="105"/>
        </w:rPr>
        <w:t> </w:t>
      </w:r>
      <w:r>
        <w:rPr>
          <w:w w:val="105"/>
        </w:rPr>
        <w:t>in</w:t>
      </w:r>
      <w:r>
        <w:rPr>
          <w:spacing w:val="-9"/>
          <w:w w:val="105"/>
        </w:rPr>
        <w:t> </w:t>
      </w:r>
      <w:r>
        <w:rPr>
          <w:w w:val="105"/>
        </w:rPr>
        <w:t>an</w:t>
      </w:r>
      <w:r>
        <w:rPr>
          <w:spacing w:val="-7"/>
          <w:w w:val="105"/>
        </w:rPr>
        <w:t> </w:t>
      </w:r>
      <w:r>
        <w:rPr>
          <w:w w:val="105"/>
        </w:rPr>
        <w:t>independent</w:t>
      </w:r>
      <w:r>
        <w:rPr>
          <w:spacing w:val="6"/>
          <w:w w:val="105"/>
        </w:rPr>
        <w:t> </w:t>
      </w:r>
      <w:r>
        <w:rPr>
          <w:w w:val="105"/>
        </w:rPr>
        <w:t>form.</w:t>
      </w:r>
      <w:r>
        <w:rPr>
          <w:spacing w:val="-6"/>
          <w:w w:val="105"/>
        </w:rPr>
        <w:t> </w:t>
      </w:r>
      <w:r>
        <w:rPr>
          <w:w w:val="105"/>
        </w:rPr>
        <w:t>If</w:t>
      </w:r>
      <w:r>
        <w:rPr>
          <w:spacing w:val="9"/>
          <w:w w:val="105"/>
        </w:rPr>
        <w:t> </w:t>
      </w:r>
      <w:r>
        <w:rPr>
          <w:w w:val="105"/>
        </w:rPr>
        <w:t>we</w:t>
      </w:r>
      <w:r>
        <w:rPr>
          <w:spacing w:val="-10"/>
          <w:w w:val="105"/>
        </w:rPr>
        <w:t> </w:t>
      </w:r>
      <w:r>
        <w:rPr>
          <w:w w:val="105"/>
        </w:rPr>
        <w:t>have,</w:t>
      </w:r>
      <w:r>
        <w:rPr>
          <w:spacing w:val="2"/>
          <w:w w:val="105"/>
        </w:rPr>
        <w:t> </w:t>
      </w:r>
      <w:r>
        <w:rPr>
          <w:w w:val="105"/>
        </w:rPr>
        <w:t>for</w:t>
      </w:r>
      <w:r>
        <w:rPr>
          <w:spacing w:val="-10"/>
          <w:w w:val="105"/>
        </w:rPr>
        <w:t> </w:t>
      </w:r>
      <w:r>
        <w:rPr>
          <w:w w:val="105"/>
        </w:rPr>
        <w:t>example,</w:t>
      </w:r>
      <w:r>
        <w:rPr>
          <w:spacing w:val="2"/>
          <w:w w:val="105"/>
        </w:rPr>
        <w:t> </w:t>
      </w:r>
      <w:r>
        <w:rPr>
          <w:w w:val="105"/>
        </w:rPr>
        <w:t>a</w:t>
      </w:r>
      <w:r>
        <w:rPr>
          <w:spacing w:val="-10"/>
          <w:w w:val="105"/>
        </w:rPr>
        <w:t> </w:t>
      </w:r>
      <w:r>
        <w:rPr>
          <w:w w:val="105"/>
        </w:rPr>
        <w:t>double­ decrement table for mortality and disability, we can obtain a single­ decrement table for mortality and one for  disability.  Each  table will</w:t>
      </w:r>
      <w:r>
        <w:rPr>
          <w:spacing w:val="-6"/>
          <w:w w:val="105"/>
        </w:rPr>
        <w:t> </w:t>
      </w:r>
      <w:r>
        <w:rPr>
          <w:w w:val="105"/>
        </w:rPr>
        <w:t>be</w:t>
      </w:r>
      <w:r>
        <w:rPr>
          <w:spacing w:val="-7"/>
          <w:w w:val="105"/>
        </w:rPr>
        <w:t> </w:t>
      </w:r>
      <w:r>
        <w:rPr>
          <w:w w:val="105"/>
        </w:rPr>
        <w:t>based</w:t>
      </w:r>
      <w:r>
        <w:rPr>
          <w:spacing w:val="-1"/>
          <w:w w:val="105"/>
        </w:rPr>
        <w:t> </w:t>
      </w:r>
      <w:r>
        <w:rPr>
          <w:w w:val="105"/>
        </w:rPr>
        <w:t>upon</w:t>
      </w:r>
      <w:r>
        <w:rPr>
          <w:spacing w:val="4"/>
          <w:w w:val="105"/>
        </w:rPr>
        <w:t> </w:t>
      </w:r>
      <w:r>
        <w:rPr>
          <w:w w:val="105"/>
        </w:rPr>
        <w:t>its</w:t>
      </w:r>
      <w:r>
        <w:rPr>
          <w:spacing w:val="-19"/>
          <w:w w:val="105"/>
        </w:rPr>
        <w:t> </w:t>
      </w:r>
      <w:r>
        <w:rPr>
          <w:w w:val="105"/>
        </w:rPr>
        <w:t>own</w:t>
      </w:r>
      <w:r>
        <w:rPr>
          <w:spacing w:val="-6"/>
          <w:w w:val="105"/>
        </w:rPr>
        <w:t> </w:t>
      </w:r>
      <w:r>
        <w:rPr>
          <w:w w:val="105"/>
        </w:rPr>
        <w:t>force</w:t>
      </w:r>
      <w:r>
        <w:rPr>
          <w:spacing w:val="-9"/>
          <w:w w:val="105"/>
        </w:rPr>
        <w:t> </w:t>
      </w:r>
      <w:r>
        <w:rPr>
          <w:w w:val="105"/>
        </w:rPr>
        <w:t>of</w:t>
      </w:r>
      <w:r>
        <w:rPr>
          <w:spacing w:val="6"/>
          <w:w w:val="105"/>
        </w:rPr>
        <w:t> </w:t>
      </w:r>
      <w:r>
        <w:rPr>
          <w:w w:val="105"/>
        </w:rPr>
        <w:t>decrement,</w:t>
      </w:r>
      <w:r>
        <w:rPr>
          <w:spacing w:val="-1"/>
          <w:w w:val="105"/>
        </w:rPr>
        <w:t> </w:t>
      </w:r>
      <w:r>
        <w:rPr>
          <w:w w:val="105"/>
        </w:rPr>
        <w:t>which</w:t>
      </w:r>
      <w:r>
        <w:rPr>
          <w:spacing w:val="2"/>
          <w:w w:val="105"/>
        </w:rPr>
        <w:t> </w:t>
      </w:r>
      <w:r>
        <w:rPr>
          <w:w w:val="105"/>
        </w:rPr>
        <w:t>is</w:t>
      </w:r>
      <w:r>
        <w:rPr>
          <w:spacing w:val="-12"/>
          <w:w w:val="105"/>
        </w:rPr>
        <w:t> </w:t>
      </w:r>
      <w:r>
        <w:rPr>
          <w:w w:val="105"/>
        </w:rPr>
        <w:t>independent of the operation of the other cause. </w:t>
      </w:r>
      <w:r>
        <w:rPr>
          <w:w w:val="105"/>
          <w:sz w:val="21"/>
        </w:rPr>
        <w:t>In </w:t>
      </w:r>
      <w:r>
        <w:rPr>
          <w:w w:val="105"/>
        </w:rPr>
        <w:t>general, for each cause (k ), </w:t>
      </w:r>
      <w:r>
        <w:rPr>
          <w:w w:val="97"/>
        </w:rPr>
        <w:t>we </w:t>
      </w:r>
      <w:r>
        <w:rPr>
          <w:w w:val="111"/>
        </w:rPr>
        <w:t>take </w:t>
      </w:r>
      <w:r>
        <w:rPr>
          <w:rFonts w:ascii="Arial" w:hAnsi="Arial"/>
          <w:i/>
          <w:spacing w:val="5"/>
          <w:w w:val="68"/>
          <w:sz w:val="19"/>
        </w:rPr>
        <w:t>z&lt;"&gt;</w:t>
      </w:r>
      <w:r>
        <w:rPr>
          <w:rFonts w:ascii="Arial" w:hAnsi="Arial"/>
          <w:i/>
          <w:spacing w:val="36"/>
          <w:w w:val="68"/>
          <w:sz w:val="19"/>
        </w:rPr>
        <w:t> </w:t>
      </w:r>
      <w:r>
        <w:rPr>
          <w:w w:val="110"/>
        </w:rPr>
        <w:t>as </w:t>
      </w:r>
      <w:r>
        <w:rPr>
          <w:w w:val="110"/>
        </w:rPr>
        <w:t>the </w:t>
      </w:r>
      <w:r>
        <w:rPr>
          <w:w w:val="103"/>
        </w:rPr>
        <w:t>radix </w:t>
      </w:r>
      <w:r>
        <w:rPr>
          <w:w w:val="87"/>
        </w:rPr>
        <w:t>of </w:t>
      </w:r>
      <w:r>
        <w:rPr>
          <w:w w:val="109"/>
        </w:rPr>
        <w:t>an </w:t>
      </w:r>
      <w:r>
        <w:rPr>
          <w:w w:val="103"/>
        </w:rPr>
        <w:t>associated </w:t>
      </w:r>
      <w:r>
        <w:rPr>
          <w:w w:val="102"/>
        </w:rPr>
        <w:t>single-decrement  </w:t>
      </w:r>
      <w:r>
        <w:rPr>
          <w:w w:val="109"/>
        </w:rPr>
        <w:t>table </w:t>
      </w:r>
      <w:r>
        <w:rPr>
          <w:w w:val="105"/>
        </w:rPr>
        <w:t>and define the  functions</w:t>
      </w:r>
    </w:p>
    <w:p>
      <w:pPr>
        <w:spacing w:after="0" w:line="249" w:lineRule="auto"/>
        <w:jc w:val="both"/>
        <w:sectPr>
          <w:type w:val="continuous"/>
          <w:pgSz w:w="7200" w:h="11340"/>
          <w:pgMar w:top="1100" w:bottom="0" w:left="660" w:right="560"/>
        </w:sectPr>
      </w:pPr>
    </w:p>
    <w:p>
      <w:pPr>
        <w:pStyle w:val="BodyText"/>
        <w:spacing w:before="2"/>
        <w:rPr>
          <w:sz w:val="17"/>
        </w:rPr>
      </w:pPr>
    </w:p>
    <w:p>
      <w:pPr>
        <w:spacing w:line="10" w:lineRule="exact" w:before="0"/>
        <w:ind w:left="0" w:right="0" w:firstLine="0"/>
        <w:jc w:val="right"/>
        <w:rPr>
          <w:rFonts w:ascii="Arial"/>
          <w:i/>
          <w:sz w:val="19"/>
        </w:rPr>
      </w:pPr>
      <w:r>
        <w:rPr>
          <w:rFonts w:ascii="Arial"/>
          <w:i/>
          <w:w w:val="60"/>
          <w:sz w:val="19"/>
        </w:rPr>
        <w:t>z;&lt;k )</w:t>
      </w:r>
    </w:p>
    <w:p>
      <w:pPr>
        <w:spacing w:line="172" w:lineRule="exact" w:before="36"/>
        <w:ind w:left="342" w:right="0" w:firstLine="0"/>
        <w:jc w:val="left"/>
        <w:rPr>
          <w:rFonts w:ascii="Arial"/>
          <w:b/>
          <w:i/>
          <w:sz w:val="32"/>
        </w:rPr>
      </w:pPr>
      <w:r>
        <w:rPr/>
        <w:br w:type="column"/>
      </w:r>
      <w:r>
        <w:rPr>
          <w:w w:val="130"/>
          <w:position w:val="-9"/>
          <w:sz w:val="20"/>
        </w:rPr>
        <w:t>l</w:t>
      </w:r>
      <w:r>
        <w:rPr>
          <w:rFonts w:ascii="Arial"/>
          <w:w w:val="130"/>
          <w:sz w:val="10"/>
        </w:rPr>
        <w:t>'(k)   </w:t>
      </w:r>
      <w:r>
        <w:rPr>
          <w:rFonts w:ascii="Arial"/>
          <w:b/>
          <w:i/>
          <w:w w:val="105"/>
          <w:sz w:val="32"/>
        </w:rPr>
        <w:t>-f</w:t>
      </w:r>
    </w:p>
    <w:p>
      <w:pPr>
        <w:spacing w:line="126" w:lineRule="exact" w:before="82"/>
        <w:ind w:left="-1" w:right="-8" w:firstLine="0"/>
        <w:jc w:val="left"/>
        <w:rPr>
          <w:b/>
          <w:sz w:val="9"/>
        </w:rPr>
      </w:pPr>
      <w:r>
        <w:rPr/>
        <w:br w:type="column"/>
      </w:r>
      <w:r>
        <w:rPr>
          <w:rFonts w:ascii="Arial"/>
          <w:b/>
          <w:i/>
          <w:w w:val="115"/>
          <w:sz w:val="11"/>
        </w:rPr>
        <w:t>z  </w:t>
      </w:r>
      <w:r>
        <w:rPr>
          <w:b/>
          <w:w w:val="115"/>
          <w:sz w:val="9"/>
        </w:rPr>
        <w:t>(1: )</w:t>
      </w:r>
    </w:p>
    <w:p>
      <w:pPr>
        <w:pStyle w:val="BodyText"/>
        <w:rPr>
          <w:b/>
          <w:sz w:val="12"/>
        </w:rPr>
      </w:pPr>
      <w:r>
        <w:rPr/>
        <w:br w:type="column"/>
      </w:r>
      <w:r>
        <w:rPr>
          <w:b/>
          <w:sz w:val="12"/>
        </w:rPr>
      </w:r>
    </w:p>
    <w:p>
      <w:pPr>
        <w:spacing w:line="16" w:lineRule="exact" w:before="70"/>
        <w:ind w:left="-39" w:right="-17" w:firstLine="0"/>
        <w:jc w:val="left"/>
        <w:rPr>
          <w:rFonts w:ascii="Arial"/>
          <w:b/>
          <w:i/>
          <w:sz w:val="12"/>
        </w:rPr>
      </w:pPr>
      <w:r>
        <w:rPr>
          <w:rFonts w:ascii="Arial"/>
          <w:b/>
          <w:i/>
          <w:w w:val="80"/>
          <w:sz w:val="12"/>
        </w:rPr>
        <w:t>d11</w:t>
      </w:r>
    </w:p>
    <w:p>
      <w:pPr>
        <w:spacing w:after="0" w:line="16" w:lineRule="exact"/>
        <w:jc w:val="left"/>
        <w:rPr>
          <w:rFonts w:ascii="Arial"/>
          <w:sz w:val="12"/>
        </w:rPr>
        <w:sectPr>
          <w:type w:val="continuous"/>
          <w:pgSz w:w="7200" w:h="11340"/>
          <w:pgMar w:top="1100" w:bottom="0" w:left="660" w:right="560"/>
          <w:cols w:num="4" w:equalWidth="0">
            <w:col w:w="2338" w:space="40"/>
            <w:col w:w="969" w:space="40"/>
            <w:col w:w="326" w:space="40"/>
            <w:col w:w="2227"/>
          </w:cols>
        </w:sectPr>
      </w:pPr>
    </w:p>
    <w:p>
      <w:pPr>
        <w:pStyle w:val="BodyText"/>
        <w:rPr>
          <w:rFonts w:ascii="Arial"/>
          <w:b/>
          <w:i/>
        </w:rPr>
      </w:pPr>
    </w:p>
    <w:p>
      <w:pPr>
        <w:pStyle w:val="BodyText"/>
        <w:spacing w:before="3"/>
        <w:rPr>
          <w:rFonts w:ascii="Arial"/>
          <w:b/>
          <w:i/>
          <w:sz w:val="23"/>
        </w:rPr>
      </w:pPr>
    </w:p>
    <w:p>
      <w:pPr>
        <w:pStyle w:val="BodyText"/>
        <w:ind w:left="124" w:right="-11"/>
      </w:pPr>
      <w:r>
        <w:rPr>
          <w:w w:val="105"/>
        </w:rPr>
        <w:t>and</w:t>
      </w:r>
    </w:p>
    <w:p>
      <w:pPr>
        <w:pStyle w:val="BodyText"/>
        <w:rPr>
          <w:sz w:val="24"/>
        </w:rPr>
      </w:pPr>
      <w:r>
        <w:rPr/>
        <w:br w:type="column"/>
      </w:r>
      <w:r>
        <w:rPr>
          <w:sz w:val="24"/>
        </w:rPr>
      </w:r>
    </w:p>
    <w:p>
      <w:pPr>
        <w:spacing w:before="197"/>
        <w:ind w:left="124" w:right="-18" w:firstLine="0"/>
        <w:jc w:val="left"/>
        <w:rPr>
          <w:sz w:val="24"/>
        </w:rPr>
      </w:pPr>
      <w:r>
        <w:rPr>
          <w:rFonts w:ascii="Arial"/>
          <w:b/>
          <w:i/>
          <w:w w:val="74"/>
          <w:position w:val="-10"/>
          <w:sz w:val="18"/>
        </w:rPr>
        <w:t>q</w:t>
      </w:r>
      <w:r>
        <w:rPr>
          <w:rFonts w:ascii="Arial"/>
          <w:b/>
          <w:i/>
          <w:spacing w:val="-50"/>
          <w:w w:val="75"/>
          <w:position w:val="-10"/>
          <w:sz w:val="18"/>
        </w:rPr>
        <w:t>z</w:t>
      </w:r>
      <w:r>
        <w:rPr>
          <w:w w:val="106"/>
          <w:sz w:val="12"/>
        </w:rPr>
        <w:t>'Ck</w:t>
      </w:r>
      <w:r>
        <w:rPr>
          <w:w w:val="106"/>
          <w:sz w:val="12"/>
        </w:rPr>
        <w:t>)</w:t>
      </w:r>
      <w:r>
        <w:rPr>
          <w:sz w:val="12"/>
        </w:rPr>
        <w:t>   </w:t>
      </w:r>
      <w:r>
        <w:rPr>
          <w:w w:val="94"/>
          <w:position w:val="-10"/>
          <w:sz w:val="24"/>
        </w:rPr>
        <w:t>=</w:t>
      </w:r>
    </w:p>
    <w:p>
      <w:pPr>
        <w:spacing w:line="103" w:lineRule="exact" w:before="0"/>
        <w:ind w:left="0" w:right="236" w:firstLine="0"/>
        <w:jc w:val="right"/>
        <w:rPr>
          <w:b/>
          <w:i/>
          <w:sz w:val="13"/>
        </w:rPr>
      </w:pPr>
      <w:r>
        <w:rPr/>
        <w:br w:type="column"/>
      </w:r>
      <w:r>
        <w:rPr>
          <w:b/>
          <w:i/>
          <w:w w:val="55"/>
          <w:sz w:val="13"/>
        </w:rPr>
        <w:t>"'11</w:t>
      </w:r>
    </w:p>
    <w:p>
      <w:pPr>
        <w:tabs>
          <w:tab w:pos="785" w:val="left" w:leader="none"/>
        </w:tabs>
        <w:spacing w:line="156" w:lineRule="exact" w:before="0"/>
        <w:ind w:left="162" w:right="0" w:firstLine="0"/>
        <w:jc w:val="left"/>
        <w:rPr>
          <w:rFonts w:ascii="Arial"/>
          <w:sz w:val="15"/>
        </w:rPr>
      </w:pPr>
      <w:r>
        <w:rPr/>
        <w:pict>
          <v:shape style="position:absolute;margin-left:187.740005pt;margin-top:-2.892284pt;width:3.9pt;height:10pt;mso-position-horizontal-relative:page;mso-position-vertical-relative:paragraph;z-index:-713776" type="#_x0000_t202" filled="false" stroked="false">
            <v:textbox inset="0,0,0,0">
              <w:txbxContent>
                <w:p>
                  <w:pPr>
                    <w:spacing w:line="200" w:lineRule="exact" w:before="0"/>
                    <w:ind w:left="0" w:right="0" w:firstLine="0"/>
                    <w:jc w:val="left"/>
                    <w:rPr>
                      <w:i/>
                      <w:sz w:val="20"/>
                    </w:rPr>
                  </w:pPr>
                  <w:r>
                    <w:rPr>
                      <w:i/>
                      <w:w w:val="87"/>
                      <w:sz w:val="20"/>
                    </w:rPr>
                    <w:t>e</w:t>
                  </w:r>
                </w:p>
              </w:txbxContent>
            </v:textbox>
            <w10:wrap type="none"/>
          </v:shape>
        </w:pict>
      </w:r>
      <w:r>
        <w:rPr>
          <w:rFonts w:ascii="Arial"/>
          <w:position w:val="-2"/>
          <w:sz w:val="11"/>
        </w:rPr>
        <w:t>0</w:t>
        <w:tab/>
      </w:r>
      <w:r>
        <w:rPr>
          <w:rFonts w:ascii="Arial"/>
          <w:sz w:val="15"/>
        </w:rPr>
        <w:t>o</w:t>
      </w:r>
    </w:p>
    <w:p>
      <w:pPr>
        <w:spacing w:line="105" w:lineRule="exact" w:before="79"/>
        <w:ind w:left="0" w:right="172" w:firstLine="0"/>
        <w:jc w:val="right"/>
        <w:rPr>
          <w:rFonts w:ascii="Arial"/>
          <w:b/>
          <w:i/>
          <w:sz w:val="10"/>
        </w:rPr>
      </w:pPr>
      <w:r>
        <w:rPr/>
        <w:pict>
          <v:shape style="position:absolute;margin-left:189.360001pt;margin-top:3.114452pt;width:9.25pt;height:16.5pt;mso-position-horizontal-relative:page;mso-position-vertical-relative:paragraph;z-index:-713752" type="#_x0000_t202" filled="false" stroked="false">
            <v:textbox inset="0,0,0,0">
              <w:txbxContent>
                <w:p>
                  <w:pPr>
                    <w:spacing w:line="330" w:lineRule="exact" w:before="0"/>
                    <w:ind w:left="0" w:right="-14" w:firstLine="0"/>
                    <w:jc w:val="left"/>
                    <w:rPr>
                      <w:b/>
                      <w:i/>
                      <w:sz w:val="33"/>
                    </w:rPr>
                  </w:pPr>
                  <w:r>
                    <w:rPr>
                      <w:b/>
                      <w:i/>
                      <w:w w:val="65"/>
                      <w:sz w:val="33"/>
                    </w:rPr>
                    <w:t>-J</w:t>
                  </w:r>
                </w:p>
              </w:txbxContent>
            </v:textbox>
            <w10:wrap type="none"/>
          </v:shape>
        </w:pict>
      </w:r>
      <w:r>
        <w:rPr>
          <w:b/>
          <w:w w:val="105"/>
          <w:sz w:val="12"/>
        </w:rPr>
        <w:t>1   </w:t>
      </w:r>
      <w:r>
        <w:rPr>
          <w:rFonts w:ascii="Arial"/>
          <w:b/>
          <w:i/>
          <w:w w:val="105"/>
          <w:sz w:val="10"/>
        </w:rPr>
        <w:t>(k )</w:t>
      </w:r>
    </w:p>
    <w:p>
      <w:pPr>
        <w:tabs>
          <w:tab w:pos="738" w:val="left" w:leader="none"/>
        </w:tabs>
        <w:spacing w:line="306" w:lineRule="exact" w:before="0"/>
        <w:ind w:left="62" w:right="0" w:firstLine="0"/>
        <w:jc w:val="left"/>
        <w:rPr>
          <w:b/>
          <w:i/>
          <w:sz w:val="12"/>
        </w:rPr>
      </w:pPr>
      <w:r>
        <w:rPr>
          <w:b/>
          <w:sz w:val="19"/>
        </w:rPr>
        <w:t>1</w:t>
      </w:r>
      <w:r>
        <w:rPr>
          <w:b/>
          <w:spacing w:val="24"/>
          <w:sz w:val="19"/>
        </w:rPr>
        <w:t> </w:t>
      </w:r>
      <w:r>
        <w:rPr>
          <w:w w:val="190"/>
          <w:position w:val="-10"/>
          <w:sz w:val="24"/>
        </w:rPr>
        <w:t>-</w:t>
      </w:r>
      <w:r>
        <w:rPr>
          <w:spacing w:val="-74"/>
          <w:w w:val="190"/>
          <w:position w:val="-10"/>
          <w:sz w:val="24"/>
        </w:rPr>
        <w:t> </w:t>
      </w:r>
      <w:r>
        <w:rPr>
          <w:i/>
          <w:position w:val="-10"/>
          <w:sz w:val="21"/>
        </w:rPr>
        <w:t>e</w:t>
        <w:tab/>
      </w:r>
      <w:r>
        <w:rPr>
          <w:rFonts w:ascii="Arial"/>
          <w:w w:val="115"/>
          <w:position w:val="-10"/>
          <w:sz w:val="15"/>
        </w:rPr>
        <w:t>o</w:t>
      </w:r>
      <w:r>
        <w:rPr>
          <w:b/>
          <w:i/>
          <w:w w:val="115"/>
          <w:sz w:val="12"/>
        </w:rPr>
        <w:t>l'z+id</w:t>
      </w:r>
      <w:r>
        <w:rPr>
          <w:b/>
          <w:i/>
          <w:spacing w:val="-1"/>
          <w:w w:val="115"/>
          <w:sz w:val="12"/>
        </w:rPr>
        <w:t> </w:t>
      </w:r>
      <w:r>
        <w:rPr>
          <w:b/>
          <w:i/>
          <w:sz w:val="12"/>
        </w:rPr>
        <w:t>t</w:t>
      </w:r>
    </w:p>
    <w:p>
      <w:pPr>
        <w:pStyle w:val="BodyText"/>
        <w:spacing w:line="188" w:lineRule="exact"/>
        <w:ind w:left="128"/>
      </w:pPr>
      <w:r>
        <w:rPr/>
        <w:br w:type="column"/>
      </w:r>
      <w:r>
        <w:rPr/>
        <w:t>(14.29)</w:t>
      </w:r>
    </w:p>
    <w:p>
      <w:pPr>
        <w:pStyle w:val="BodyText"/>
        <w:spacing w:before="7"/>
        <w:rPr>
          <w:sz w:val="21"/>
        </w:rPr>
      </w:pPr>
    </w:p>
    <w:p>
      <w:pPr>
        <w:pStyle w:val="BodyText"/>
        <w:ind w:left="124"/>
      </w:pPr>
      <w:r>
        <w:rPr/>
        <w:t>(14.30)</w:t>
      </w:r>
    </w:p>
    <w:p>
      <w:pPr>
        <w:spacing w:after="0"/>
        <w:sectPr>
          <w:type w:val="continuous"/>
          <w:pgSz w:w="7200" w:h="11340"/>
          <w:pgMar w:top="1100" w:bottom="0" w:left="660" w:right="560"/>
          <w:cols w:num="4" w:equalWidth="0">
            <w:col w:w="437" w:space="1475"/>
            <w:col w:w="660" w:space="40"/>
            <w:col w:w="1220" w:space="1306"/>
            <w:col w:w="842"/>
          </w:cols>
        </w:sectPr>
      </w:pPr>
    </w:p>
    <w:p>
      <w:pPr>
        <w:pStyle w:val="BodyText"/>
        <w:spacing w:line="249" w:lineRule="auto" w:before="105"/>
        <w:ind w:left="117" w:right="118" w:firstLine="3"/>
        <w:jc w:val="both"/>
      </w:pPr>
      <w:r>
        <w:rPr/>
        <w:t>These exprcssiorn; will be recognized as the standard relations which hold in any single-decrcment table. When the single cauHe of decre­ ment is death, for example, the functions </w:t>
      </w:r>
      <w:r>
        <w:rPr>
          <w:sz w:val="19"/>
        </w:rPr>
        <w:t>z; </w:t>
      </w:r>
      <w:r>
        <w:rPr>
          <w:w w:val="95"/>
          <w:sz w:val="19"/>
        </w:rPr>
        <w:t>ckJ  </w:t>
      </w:r>
      <w:r>
        <w:rPr/>
        <w:t>and </w:t>
      </w:r>
      <w:r>
        <w:rPr>
          <w:sz w:val="19"/>
        </w:rPr>
        <w:t>q;(kJ  </w:t>
      </w:r>
      <w:r>
        <w:rPr/>
        <w:t>are merely the  familiar  </w:t>
      </w:r>
      <w:r>
        <w:rPr>
          <w:i/>
          <w:sz w:val="19"/>
        </w:rPr>
        <w:t>lz  </w:t>
      </w:r>
      <w:r>
        <w:rPr/>
        <w:t>and  </w:t>
      </w:r>
      <w:r>
        <w:rPr>
          <w:i/>
          <w:sz w:val="19"/>
        </w:rPr>
        <w:t>qz  </w:t>
      </w:r>
      <w:r>
        <w:rPr/>
        <w:t>of  the mortality</w:t>
      </w:r>
      <w:r>
        <w:rPr>
          <w:spacing w:val="13"/>
        </w:rPr>
        <w:t> </w:t>
      </w:r>
      <w:r>
        <w:rPr/>
        <w:t>table.</w:t>
      </w:r>
    </w:p>
    <w:p>
      <w:pPr>
        <w:pStyle w:val="BodyText"/>
        <w:spacing w:line="224" w:lineRule="exact"/>
        <w:ind w:left="319"/>
      </w:pPr>
      <w:r>
        <w:rPr>
          <w:sz w:val="21"/>
        </w:rPr>
        <w:t>In </w:t>
      </w:r>
      <w:r>
        <w:rPr/>
        <w:t>the single-decrement  table, the function  </w:t>
      </w:r>
      <w:r>
        <w:rPr>
          <w:rFonts w:ascii="Arial"/>
          <w:i/>
          <w:sz w:val="19"/>
        </w:rPr>
        <w:t>q;&lt;k&gt;  </w:t>
      </w:r>
      <w:r>
        <w:rPr/>
        <w:t>is both  an annual</w:t>
      </w:r>
    </w:p>
    <w:p>
      <w:pPr>
        <w:spacing w:after="0" w:line="224" w:lineRule="exact"/>
        <w:sectPr>
          <w:type w:val="continuous"/>
          <w:pgSz w:w="7200" w:h="11340"/>
          <w:pgMar w:top="1100" w:bottom="0" w:left="660" w:right="560"/>
        </w:sectPr>
      </w:pPr>
    </w:p>
    <w:p>
      <w:pPr>
        <w:tabs>
          <w:tab w:pos="1680" w:val="left" w:leader="none"/>
          <w:tab w:pos="5215" w:val="left" w:leader="none"/>
        </w:tabs>
        <w:spacing w:before="57"/>
        <w:ind w:left="122" w:right="0" w:hanging="4"/>
        <w:jc w:val="both"/>
        <w:rPr>
          <w:rFonts w:ascii="Arial"/>
          <w:b/>
          <w:sz w:val="19"/>
        </w:rPr>
      </w:pPr>
      <w:r>
        <w:rPr>
          <w:b/>
          <w:color w:val="010101"/>
          <w:sz w:val="19"/>
        </w:rPr>
        <w:t>278</w:t>
        <w:tab/>
      </w:r>
      <w:r>
        <w:rPr>
          <w:b/>
          <w:color w:val="010101"/>
          <w:sz w:val="15"/>
        </w:rPr>
        <w:t>MULTIPLE-DECREMENT    TABLES</w:t>
        <w:tab/>
      </w:r>
      <w:r>
        <w:rPr>
          <w:b/>
          <w:color w:val="010101"/>
          <w:w w:val="95"/>
          <w:sz w:val="19"/>
        </w:rPr>
        <w:t>[CH.</w:t>
      </w:r>
      <w:r>
        <w:rPr>
          <w:b/>
          <w:color w:val="010101"/>
          <w:spacing w:val="-6"/>
          <w:w w:val="95"/>
          <w:sz w:val="19"/>
        </w:rPr>
        <w:t> </w:t>
      </w:r>
      <w:r>
        <w:rPr>
          <w:rFonts w:ascii="Arial"/>
          <w:b/>
          <w:color w:val="010101"/>
          <w:w w:val="95"/>
          <w:sz w:val="19"/>
        </w:rPr>
        <w:t>14</w:t>
      </w:r>
    </w:p>
    <w:p>
      <w:pPr>
        <w:pStyle w:val="BodyText"/>
        <w:spacing w:before="5"/>
        <w:rPr>
          <w:rFonts w:ascii="Arial"/>
          <w:b/>
        </w:rPr>
      </w:pPr>
    </w:p>
    <w:p>
      <w:pPr>
        <w:pStyle w:val="BodyText"/>
        <w:spacing w:line="244" w:lineRule="auto"/>
        <w:ind w:left="111" w:right="107" w:firstLine="10"/>
        <w:jc w:val="both"/>
      </w:pPr>
      <w:r>
        <w:rPr>
          <w:color w:val="010101"/>
        </w:rPr>
        <w:t>rate and a probability of decrement. </w:t>
      </w:r>
      <w:r>
        <w:rPr>
          <w:rFonts w:ascii="Arial" w:hAnsi="Arial"/>
          <w:color w:val="010101"/>
          <w:spacing w:val="5"/>
        </w:rPr>
        <w:t>In</w:t>
      </w:r>
      <w:r>
        <w:rPr>
          <w:color w:val="010101"/>
          <w:spacing w:val="5"/>
        </w:rPr>
        <w:t>the </w:t>
      </w:r>
      <w:r>
        <w:rPr>
          <w:color w:val="010101"/>
        </w:rPr>
        <w:t>context of the multiple­ decrement table, however, </w:t>
      </w:r>
      <w:r>
        <w:rPr>
          <w:rFonts w:ascii="Arial" w:hAnsi="Arial"/>
          <w:i/>
          <w:color w:val="010101"/>
          <w:w w:val="75"/>
          <w:sz w:val="19"/>
        </w:rPr>
        <w:t>q;&lt;k&gt; </w:t>
      </w:r>
      <w:r>
        <w:rPr>
          <w:color w:val="010101"/>
        </w:rPr>
        <w:t>is solely a  rate  of  decrement  and must be distinguished from the probability </w:t>
      </w:r>
      <w:r>
        <w:rPr>
          <w:rFonts w:ascii="Arial" w:hAnsi="Arial"/>
          <w:i/>
          <w:color w:val="010101"/>
          <w:w w:val="75"/>
          <w:sz w:val="19"/>
        </w:rPr>
        <w:t>q;k&gt; </w:t>
      </w:r>
      <w:r>
        <w:rPr>
          <w:rFonts w:ascii="Arial" w:hAnsi="Arial"/>
          <w:i/>
          <w:color w:val="010101"/>
          <w:w w:val="110"/>
          <w:sz w:val="19"/>
        </w:rPr>
        <w:t>. </w:t>
      </w:r>
      <w:r>
        <w:rPr>
          <w:color w:val="010101"/>
        </w:rPr>
        <w:t>When several decrements are  operating  simultaneously,  we  shall  scc that  the  ratc of decrement for a given cause is greater than the corresponding probability of decrement. In this book, the </w:t>
      </w:r>
      <w:r>
        <w:rPr>
          <w:color w:val="5B5B5B"/>
          <w:w w:val="75"/>
        </w:rPr>
        <w:t>· </w:t>
      </w:r>
      <w:r>
        <w:rPr>
          <w:color w:val="010101"/>
        </w:rPr>
        <w:t>expression </w:t>
      </w:r>
      <w:r>
        <w:rPr>
          <w:i/>
          <w:color w:val="010101"/>
          <w:sz w:val="21"/>
        </w:rPr>
        <w:t>raú of decre­ </w:t>
      </w:r>
      <w:r>
        <w:rPr>
          <w:i/>
          <w:color w:val="010101"/>
          <w:sz w:val="21"/>
        </w:rPr>
        <w:t>ment </w:t>
      </w:r>
      <w:r>
        <w:rPr>
          <w:color w:val="010101"/>
        </w:rPr>
        <w:t>will always ref er to the function </w:t>
      </w:r>
      <w:r>
        <w:rPr>
          <w:rFonts w:ascii="Arial" w:hAnsi="Arial"/>
          <w:i/>
          <w:color w:val="010101"/>
          <w:w w:val="75"/>
          <w:sz w:val="19"/>
        </w:rPr>
        <w:t>q;oi:&gt;  </w:t>
      </w:r>
      <w:r>
        <w:rPr>
          <w:color w:val="010101"/>
        </w:rPr>
        <w:t>and will  not be used  as  an abbreviation for </w:t>
      </w:r>
      <w:r>
        <w:rPr>
          <w:i/>
          <w:color w:val="010101"/>
          <w:sz w:val="21"/>
        </w:rPr>
        <w:t>central rate of decrement. </w:t>
      </w:r>
      <w:r>
        <w:rPr>
          <w:color w:val="010101"/>
        </w:rPr>
        <w:t>The function </w:t>
      </w:r>
      <w:r>
        <w:rPr>
          <w:rFonts w:ascii="Arial" w:hAnsi="Arial"/>
          <w:b/>
          <w:i/>
          <w:color w:val="010101"/>
          <w:w w:val="75"/>
          <w:sz w:val="19"/>
        </w:rPr>
        <w:t>q;&lt;k&gt; </w:t>
      </w:r>
      <w:r>
        <w:rPr>
          <w:color w:val="010101"/>
        </w:rPr>
        <w:t>has often been called the </w:t>
      </w:r>
      <w:r>
        <w:rPr>
          <w:i/>
          <w:color w:val="010101"/>
          <w:sz w:val="21"/>
        </w:rPr>
        <w:t>absolute </w:t>
      </w:r>
      <w:r>
        <w:rPr>
          <w:color w:val="010101"/>
        </w:rPr>
        <w:t>rate of decrement in other actuaria! literature.</w:t>
      </w:r>
    </w:p>
    <w:p>
      <w:pPr>
        <w:pStyle w:val="BodyText"/>
        <w:spacing w:line="252" w:lineRule="auto" w:before="3"/>
        <w:ind w:left="108" w:right="127" w:firstLine="201"/>
        <w:jc w:val="both"/>
      </w:pPr>
      <w:r>
        <w:rPr>
          <w:color w:val="010101"/>
          <w:w w:val="105"/>
        </w:rPr>
        <w:t>Since formulas (14.29) and (14.30) cannot normally be applied directly, the values of the rate of decrement </w:t>
      </w:r>
      <w:r>
        <w:rPr>
          <w:rFonts w:ascii="Arial" w:hAnsi="Arial"/>
          <w:i/>
          <w:color w:val="010101"/>
          <w:sz w:val="19"/>
        </w:rPr>
        <w:t>q;&lt;k&gt; </w:t>
      </w:r>
      <w:r>
        <w:rPr>
          <w:color w:val="010101"/>
          <w:w w:val="105"/>
        </w:rPr>
        <w:t>are usually deter­ mined by approximation methods from the data given in the mul­ tiple-decrement table.</w:t>
      </w:r>
    </w:p>
    <w:p>
      <w:pPr>
        <w:pStyle w:val="BodyText"/>
        <w:spacing w:line="242" w:lineRule="auto"/>
        <w:ind w:left="104" w:right="114" w:firstLine="197"/>
        <w:jc w:val="both"/>
      </w:pPr>
      <w:r>
        <w:rPr>
          <w:color w:val="010101"/>
          <w:w w:val="105"/>
        </w:rPr>
        <w:t>The traditional formula may be obtained from the following general argument. In a single-decrement table, when the rate of decrement for a given age is multipled by the number of lives attaining that age, the result is the number of lives  which  </w:t>
      </w:r>
      <w:r>
        <w:rPr>
          <w:color w:val="010101"/>
          <w:w w:val="105"/>
          <w:sz w:val="19"/>
        </w:rPr>
        <w:t>fail  </w:t>
      </w:r>
      <w:r>
        <w:rPr>
          <w:color w:val="010101"/>
          <w:w w:val="105"/>
        </w:rPr>
        <w:t>during the year as shown in the table; e.g., </w:t>
      </w:r>
      <w:r>
        <w:rPr>
          <w:i/>
          <w:color w:val="010101"/>
          <w:w w:val="105"/>
        </w:rPr>
        <w:t>qz· lz </w:t>
      </w:r>
      <w:r>
        <w:rPr>
          <w:color w:val="010101"/>
          <w:w w:val="105"/>
          <w:sz w:val="23"/>
        </w:rPr>
        <w:t>= </w:t>
      </w:r>
      <w:r>
        <w:rPr>
          <w:i/>
          <w:color w:val="010101"/>
          <w:w w:val="105"/>
        </w:rPr>
        <w:t>dz . </w:t>
      </w:r>
      <w:r>
        <w:rPr>
          <w:rFonts w:ascii="Arial" w:hAnsi="Arial"/>
          <w:color w:val="010101"/>
          <w:w w:val="105"/>
        </w:rPr>
        <w:t>In </w:t>
      </w:r>
      <w:r>
        <w:rPr>
          <w:color w:val="010101"/>
          <w:w w:val="105"/>
        </w:rPr>
        <w:t>a mul­ tiple-decrement  table,  however,  </w:t>
      </w:r>
      <w:r>
        <w:rPr>
          <w:color w:val="010101"/>
        </w:rPr>
        <w:t>if  </w:t>
      </w:r>
      <w:r>
        <w:rPr>
          <w:color w:val="010101"/>
          <w:w w:val="105"/>
        </w:rPr>
        <w:t>the rate of  decrement  </w:t>
      </w:r>
      <w:r>
        <w:rPr>
          <w:rFonts w:ascii="Arial" w:hAnsi="Arial"/>
          <w:i/>
          <w:color w:val="010101"/>
          <w:sz w:val="19"/>
        </w:rPr>
        <w:t>q;&lt;k&gt;</w:t>
      </w:r>
      <w:r>
        <w:rPr>
          <w:rFonts w:ascii="Arial" w:hAnsi="Arial"/>
          <w:i/>
          <w:color w:val="010101"/>
          <w:spacing w:val="29"/>
          <w:sz w:val="19"/>
        </w:rPr>
        <w:t> </w:t>
      </w:r>
      <w:r>
        <w:rPr>
          <w:color w:val="010101"/>
          <w:w w:val="105"/>
        </w:rPr>
        <w:t>is</w:t>
      </w:r>
    </w:p>
    <w:p>
      <w:pPr>
        <w:pStyle w:val="BodyText"/>
        <w:spacing w:line="175" w:lineRule="auto" w:before="3"/>
        <w:ind w:left="104" w:right="126"/>
        <w:jc w:val="both"/>
      </w:pPr>
      <w:r>
        <w:rPr>
          <w:color w:val="010101"/>
        </w:rPr>
        <w:t>multiplied by </w:t>
      </w:r>
      <w:r>
        <w:rPr>
          <w:rFonts w:ascii="Arial"/>
          <w:i/>
          <w:color w:val="010101"/>
          <w:sz w:val="28"/>
        </w:rPr>
        <w:t>l! </w:t>
      </w:r>
      <w:r>
        <w:rPr>
          <w:rFonts w:ascii="Arial"/>
          <w:i/>
          <w:color w:val="010101"/>
          <w:w w:val="90"/>
          <w:sz w:val="19"/>
        </w:rPr>
        <w:t>T&gt; </w:t>
      </w:r>
      <w:r>
        <w:rPr>
          <w:rFonts w:ascii="Arial"/>
          <w:i/>
          <w:color w:val="010101"/>
          <w:sz w:val="19"/>
        </w:rPr>
        <w:t>, </w:t>
      </w:r>
      <w:r>
        <w:rPr>
          <w:color w:val="010101"/>
        </w:rPr>
        <w:t>the resulting number of lives exooeds the value </w:t>
      </w:r>
      <w:r>
        <w:rPr>
          <w:color w:val="010101"/>
          <w:w w:val="87"/>
        </w:rPr>
        <w:t>of </w:t>
      </w:r>
      <w:r>
        <w:rPr>
          <w:rFonts w:ascii="Arial"/>
          <w:color w:val="010101"/>
          <w:spacing w:val="-59"/>
          <w:w w:val="144"/>
          <w:sz w:val="29"/>
        </w:rPr>
        <w:t>d!</w:t>
      </w:r>
      <w:r>
        <w:rPr>
          <w:color w:val="010101"/>
          <w:spacing w:val="-59"/>
          <w:w w:val="144"/>
          <w:position w:val="9"/>
          <w:sz w:val="12"/>
        </w:rPr>
        <w:t>11</w:t>
      </w:r>
      <w:r>
        <w:rPr>
          <w:color w:val="010101"/>
          <w:w w:val="144"/>
          <w:position w:val="9"/>
          <w:sz w:val="12"/>
        </w:rPr>
        <w:t> </w:t>
      </w:r>
      <w:r>
        <w:rPr>
          <w:color w:val="010101"/>
          <w:w w:val="100"/>
        </w:rPr>
        <w:t>shown </w:t>
      </w:r>
      <w:r>
        <w:rPr>
          <w:color w:val="010101"/>
          <w:w w:val="101"/>
        </w:rPr>
        <w:t>in </w:t>
      </w:r>
      <w:r>
        <w:rPr>
          <w:color w:val="010101"/>
          <w:w w:val="109"/>
        </w:rPr>
        <w:t>the </w:t>
      </w:r>
      <w:r>
        <w:rPr>
          <w:color w:val="010101"/>
          <w:w w:val="107"/>
        </w:rPr>
        <w:t>table, </w:t>
      </w:r>
      <w:r>
        <w:rPr>
          <w:color w:val="010101"/>
          <w:w w:val="101"/>
        </w:rPr>
        <w:t>since </w:t>
      </w:r>
      <w:r>
        <w:rPr>
          <w:color w:val="010101"/>
          <w:w w:val="98"/>
        </w:rPr>
        <w:t>sorne </w:t>
      </w:r>
      <w:r>
        <w:rPr>
          <w:color w:val="010101"/>
          <w:w w:val="85"/>
        </w:rPr>
        <w:t>of </w:t>
      </w:r>
      <w:r>
        <w:rPr>
          <w:color w:val="010101"/>
          <w:w w:val="108"/>
        </w:rPr>
        <w:t>the </w:t>
      </w:r>
      <w:r>
        <w:rPr>
          <w:rFonts w:ascii="Arial"/>
          <w:i/>
          <w:color w:val="010101"/>
          <w:w w:val="77"/>
          <w:sz w:val="28"/>
        </w:rPr>
        <w:t>l! </w:t>
      </w:r>
      <w:r>
        <w:rPr>
          <w:rFonts w:ascii="Arial"/>
          <w:i/>
          <w:color w:val="010101"/>
          <w:w w:val="53"/>
          <w:sz w:val="19"/>
        </w:rPr>
        <w:t>T&gt; </w:t>
      </w:r>
      <w:r>
        <w:rPr>
          <w:color w:val="010101"/>
          <w:w w:val="101"/>
        </w:rPr>
        <w:t>lives </w:t>
      </w:r>
      <w:r>
        <w:rPr>
          <w:color w:val="010101"/>
          <w:w w:val="109"/>
        </w:rPr>
        <w:t>are </w:t>
      </w:r>
      <w:r>
        <w:rPr>
          <w:color w:val="010101"/>
          <w:w w:val="107"/>
        </w:rPr>
        <w:t>not </w:t>
      </w:r>
      <w:r>
        <w:rPr>
          <w:color w:val="010101"/>
          <w:w w:val="98"/>
        </w:rPr>
        <w:t>exposed</w:t>
      </w:r>
    </w:p>
    <w:p>
      <w:pPr>
        <w:pStyle w:val="BodyText"/>
        <w:spacing w:before="9"/>
        <w:ind w:left="108" w:firstLine="3"/>
        <w:jc w:val="both"/>
      </w:pPr>
      <w:r>
        <w:rPr>
          <w:color w:val="010101"/>
          <w:w w:val="105"/>
        </w:rPr>
        <w:t>to cause  </w:t>
      </w:r>
      <w:r>
        <w:rPr>
          <w:rFonts w:ascii="Arial"/>
          <w:i/>
          <w:color w:val="010101"/>
          <w:w w:val="105"/>
          <w:sz w:val="19"/>
        </w:rPr>
        <w:t>(k) </w:t>
      </w:r>
      <w:r>
        <w:rPr>
          <w:color w:val="010101"/>
          <w:w w:val="105"/>
        </w:rPr>
        <w:t>for a </w:t>
      </w:r>
      <w:r>
        <w:rPr>
          <w:rFonts w:ascii="Arial"/>
          <w:color w:val="010101"/>
          <w:w w:val="105"/>
          <w:sz w:val="18"/>
        </w:rPr>
        <w:t>f</w:t>
      </w:r>
      <w:r>
        <w:rPr>
          <w:color w:val="010101"/>
          <w:w w:val="105"/>
        </w:rPr>
        <w:t>ull year due to their removal by one of the  other</w:t>
      </w:r>
    </w:p>
    <w:p>
      <w:pPr>
        <w:pStyle w:val="BodyText"/>
        <w:spacing w:line="165" w:lineRule="auto" w:before="68"/>
        <w:ind w:left="108" w:right="110" w:firstLine="3"/>
        <w:jc w:val="both"/>
      </w:pPr>
      <w:r>
        <w:rPr>
          <w:color w:val="010101"/>
          <w:w w:val="105"/>
        </w:rPr>
        <w:t>causes. The number of lives which are removed during the year from other causes is </w:t>
      </w:r>
      <w:r>
        <w:rPr>
          <w:rFonts w:ascii="Arial"/>
          <w:i/>
          <w:color w:val="010101"/>
          <w:w w:val="105"/>
          <w:sz w:val="19"/>
        </w:rPr>
        <w:t>d! </w:t>
      </w:r>
      <w:r>
        <w:rPr>
          <w:rFonts w:ascii="Arial"/>
          <w:i/>
          <w:color w:val="010101"/>
          <w:w w:val="85"/>
          <w:sz w:val="19"/>
        </w:rPr>
        <w:t>T&gt; </w:t>
      </w:r>
      <w:r>
        <w:rPr>
          <w:rFonts w:ascii="Arial"/>
          <w:color w:val="010101"/>
          <w:w w:val="235"/>
          <w:sz w:val="19"/>
        </w:rPr>
        <w:t>- </w:t>
      </w:r>
      <w:r>
        <w:rPr>
          <w:rFonts w:ascii="Arial"/>
          <w:i/>
          <w:color w:val="010101"/>
          <w:w w:val="85"/>
          <w:sz w:val="28"/>
        </w:rPr>
        <w:t>a?&gt;, </w:t>
      </w:r>
      <w:r>
        <w:rPr>
          <w:color w:val="010101"/>
          <w:w w:val="105"/>
        </w:rPr>
        <w:t>which we denote by </w:t>
      </w:r>
      <w:r>
        <w:rPr>
          <w:rFonts w:ascii="Arial"/>
          <w:i/>
          <w:color w:val="010101"/>
          <w:w w:val="105"/>
          <w:sz w:val="19"/>
        </w:rPr>
        <w:t>dtk&gt;. </w:t>
      </w:r>
      <w:r>
        <w:rPr>
          <w:color w:val="010101"/>
          <w:w w:val="105"/>
        </w:rPr>
        <w:t>lf it is</w:t>
      </w:r>
    </w:p>
    <w:p>
      <w:pPr>
        <w:pStyle w:val="BodyText"/>
        <w:spacing w:line="249" w:lineRule="auto" w:before="20"/>
        <w:ind w:left="108" w:right="121"/>
        <w:jc w:val="both"/>
      </w:pPr>
      <w:r>
        <w:rPr>
          <w:color w:val="010101"/>
        </w:rPr>
        <w:t>assumed that these lives are exposed to cause  </w:t>
      </w:r>
      <w:r>
        <w:rPr>
          <w:rFonts w:ascii="Arial"/>
          <w:i/>
          <w:color w:val="010101"/>
          <w:sz w:val="19"/>
        </w:rPr>
        <w:t>( k )  </w:t>
      </w:r>
      <w:r>
        <w:rPr>
          <w:color w:val="010101"/>
        </w:rPr>
        <w:t>for one-half  year on the average before exit, the loss in exposure is the equivalent of  </w:t>
      </w:r>
      <w:r>
        <w:rPr>
          <w:rFonts w:ascii="Arial"/>
          <w:i/>
          <w:color w:val="010101"/>
          <w:sz w:val="19"/>
        </w:rPr>
        <w:t>dtk&gt; </w:t>
      </w:r>
      <w:r>
        <w:rPr>
          <w:color w:val="010101"/>
        </w:rPr>
        <w:t>lives. Hence, in  order  to obtain  the decrement  a;"&gt;  shown  in the  multiple-decrement   table,  the  rate  </w:t>
      </w:r>
      <w:r>
        <w:rPr>
          <w:rFonts w:ascii="Arial"/>
          <w:i/>
          <w:color w:val="010101"/>
          <w:sz w:val="19"/>
        </w:rPr>
        <w:t>q;&lt;k&gt;  </w:t>
      </w:r>
      <w:r>
        <w:rPr>
          <w:color w:val="010101"/>
        </w:rPr>
        <w:t>should  be</w:t>
      </w:r>
      <w:r>
        <w:rPr>
          <w:color w:val="010101"/>
          <w:spacing w:val="19"/>
        </w:rPr>
        <w:t> </w:t>
      </w:r>
      <w:r>
        <w:rPr>
          <w:color w:val="010101"/>
        </w:rPr>
        <w:t>multiplie&lt;l</w:t>
      </w:r>
    </w:p>
    <w:p>
      <w:pPr>
        <w:spacing w:line="258" w:lineRule="exact" w:before="0"/>
        <w:ind w:left="115" w:right="0" w:firstLine="0"/>
        <w:jc w:val="both"/>
        <w:rPr>
          <w:sz w:val="20"/>
        </w:rPr>
      </w:pPr>
      <w:r>
        <w:rPr>
          <w:color w:val="010101"/>
          <w:w w:val="110"/>
          <w:sz w:val="20"/>
        </w:rPr>
        <w:t>by </w:t>
      </w:r>
      <w:r>
        <w:rPr>
          <w:i/>
          <w:color w:val="010101"/>
          <w:w w:val="80"/>
          <w:sz w:val="32"/>
        </w:rPr>
        <w:t>zi </w:t>
      </w:r>
      <w:r>
        <w:rPr>
          <w:rFonts w:ascii="Arial"/>
          <w:i/>
          <w:color w:val="010101"/>
          <w:w w:val="80"/>
          <w:sz w:val="19"/>
        </w:rPr>
        <w:t>T&gt; </w:t>
      </w:r>
      <w:r>
        <w:rPr>
          <w:rFonts w:ascii="Arial"/>
          <w:color w:val="010101"/>
          <w:w w:val="225"/>
          <w:sz w:val="19"/>
        </w:rPr>
        <w:t>-</w:t>
      </w:r>
      <w:r>
        <w:rPr>
          <w:rFonts w:ascii="Arial"/>
          <w:color w:val="010101"/>
          <w:spacing w:val="-73"/>
          <w:w w:val="225"/>
          <w:sz w:val="19"/>
        </w:rPr>
        <w:t> </w:t>
      </w:r>
      <w:r>
        <w:rPr>
          <w:rFonts w:ascii="Arial"/>
          <w:i/>
          <w:color w:val="010101"/>
          <w:w w:val="110"/>
          <w:sz w:val="19"/>
        </w:rPr>
        <w:t>!dtk&gt;, </w:t>
      </w:r>
      <w:r>
        <w:rPr>
          <w:color w:val="010101"/>
          <w:w w:val="110"/>
          <w:sz w:val="20"/>
        </w:rPr>
        <w:t>which is the average exposure. </w:t>
      </w:r>
      <w:r>
        <w:rPr>
          <w:color w:val="010101"/>
          <w:spacing w:val="5"/>
          <w:w w:val="110"/>
          <w:sz w:val="20"/>
        </w:rPr>
        <w:t>We </w:t>
      </w:r>
      <w:r>
        <w:rPr>
          <w:color w:val="010101"/>
          <w:w w:val="110"/>
          <w:sz w:val="20"/>
        </w:rPr>
        <w:t>thus have</w:t>
      </w:r>
    </w:p>
    <w:p>
      <w:pPr>
        <w:spacing w:before="40"/>
        <w:ind w:left="1992" w:right="0" w:firstLine="0"/>
        <w:jc w:val="left"/>
        <w:rPr>
          <w:rFonts w:ascii="Arial"/>
          <w:i/>
          <w:sz w:val="24"/>
        </w:rPr>
      </w:pPr>
      <w:r>
        <w:rPr>
          <w:rFonts w:ascii="Arial"/>
          <w:i/>
          <w:color w:val="010101"/>
          <w:w w:val="82"/>
          <w:sz w:val="19"/>
        </w:rPr>
        <w:t>q;</w:t>
      </w:r>
      <w:r>
        <w:rPr>
          <w:rFonts w:ascii="Arial"/>
          <w:i/>
          <w:color w:val="010101"/>
          <w:w w:val="82"/>
          <w:sz w:val="19"/>
        </w:rPr>
        <w:t>(k</w:t>
      </w:r>
      <w:r>
        <w:rPr>
          <w:rFonts w:ascii="Arial"/>
          <w:i/>
          <w:color w:val="010101"/>
          <w:spacing w:val="-36"/>
          <w:sz w:val="19"/>
        </w:rPr>
        <w:t> </w:t>
      </w:r>
      <w:r>
        <w:rPr>
          <w:rFonts w:ascii="Arial"/>
          <w:i/>
          <w:color w:val="010101"/>
          <w:w w:val="49"/>
          <w:sz w:val="19"/>
        </w:rPr>
        <w:t>)</w:t>
      </w:r>
      <w:r>
        <w:rPr>
          <w:rFonts w:ascii="Arial"/>
          <w:i/>
          <w:color w:val="010101"/>
          <w:sz w:val="19"/>
        </w:rPr>
        <w:t> </w:t>
      </w:r>
      <w:r>
        <w:rPr>
          <w:rFonts w:ascii="Arial"/>
          <w:i/>
          <w:color w:val="010101"/>
          <w:spacing w:val="-8"/>
          <w:sz w:val="19"/>
        </w:rPr>
        <w:t> </w:t>
      </w:r>
      <w:r>
        <w:rPr>
          <w:color w:val="010101"/>
          <w:w w:val="86"/>
          <w:sz w:val="20"/>
        </w:rPr>
        <w:t>[l;T</w:t>
      </w:r>
      <w:r>
        <w:rPr>
          <w:color w:val="010101"/>
          <w:w w:val="86"/>
          <w:sz w:val="20"/>
        </w:rPr>
        <w:t>)</w:t>
      </w:r>
      <w:r>
        <w:rPr>
          <w:color w:val="010101"/>
          <w:sz w:val="20"/>
        </w:rPr>
        <w:t>  </w:t>
      </w:r>
      <w:r>
        <w:rPr>
          <w:color w:val="010101"/>
          <w:spacing w:val="-20"/>
          <w:sz w:val="20"/>
        </w:rPr>
        <w:t> </w:t>
      </w:r>
      <w:r>
        <w:rPr>
          <w:color w:val="010101"/>
          <w:spacing w:val="-20"/>
          <w:w w:val="267"/>
          <w:sz w:val="20"/>
        </w:rPr>
        <w:t>-</w:t>
      </w:r>
      <w:r>
        <w:rPr>
          <w:rFonts w:ascii="Arial"/>
          <w:color w:val="010101"/>
          <w:spacing w:val="-189"/>
          <w:w w:val="384"/>
          <w:sz w:val="20"/>
        </w:rPr>
        <w:t>i</w:t>
      </w:r>
      <w:r>
        <w:rPr>
          <w:rFonts w:ascii="Arial"/>
          <w:color w:val="010101"/>
          <w:w w:val="108"/>
          <w:sz w:val="20"/>
        </w:rPr>
        <w:t>dtk</w:t>
      </w:r>
      <w:r>
        <w:rPr>
          <w:rFonts w:ascii="Arial"/>
          <w:color w:val="010101"/>
          <w:w w:val="108"/>
          <w:sz w:val="20"/>
        </w:rPr>
        <w:t>)</w:t>
      </w:r>
      <w:r>
        <w:rPr>
          <w:rFonts w:ascii="Arial"/>
          <w:color w:val="010101"/>
          <w:spacing w:val="-35"/>
          <w:sz w:val="20"/>
        </w:rPr>
        <w:t> </w:t>
      </w:r>
      <w:r>
        <w:rPr>
          <w:rFonts w:ascii="Arial"/>
          <w:color w:val="010101"/>
          <w:w w:val="90"/>
          <w:sz w:val="20"/>
        </w:rPr>
        <w:t>]</w:t>
      </w:r>
      <w:r>
        <w:rPr>
          <w:rFonts w:ascii="Arial"/>
          <w:color w:val="010101"/>
          <w:sz w:val="20"/>
        </w:rPr>
        <w:t> </w:t>
      </w:r>
      <w:r>
        <w:rPr>
          <w:rFonts w:ascii="Arial"/>
          <w:color w:val="010101"/>
          <w:spacing w:val="17"/>
          <w:sz w:val="20"/>
        </w:rPr>
        <w:t> </w:t>
      </w:r>
      <w:r>
        <w:rPr>
          <w:rFonts w:ascii="Arial"/>
          <w:color w:val="010101"/>
          <w:w w:val="83"/>
          <w:sz w:val="21"/>
        </w:rPr>
        <w:t>=;</w:t>
      </w:r>
      <w:r>
        <w:rPr>
          <w:rFonts w:ascii="Arial"/>
          <w:color w:val="010101"/>
          <w:sz w:val="21"/>
        </w:rPr>
        <w:t> </w:t>
      </w:r>
      <w:r>
        <w:rPr>
          <w:rFonts w:ascii="Arial"/>
          <w:color w:val="010101"/>
          <w:spacing w:val="-7"/>
          <w:sz w:val="21"/>
        </w:rPr>
        <w:t> </w:t>
      </w:r>
      <w:r>
        <w:rPr>
          <w:rFonts w:ascii="Arial"/>
          <w:i/>
          <w:color w:val="010101"/>
          <w:w w:val="65"/>
          <w:sz w:val="24"/>
        </w:rPr>
        <w:t>d!k</w:t>
      </w:r>
      <w:r>
        <w:rPr>
          <w:rFonts w:ascii="Arial"/>
          <w:i/>
          <w:color w:val="010101"/>
          <w:spacing w:val="-41"/>
          <w:sz w:val="24"/>
        </w:rPr>
        <w:t> </w:t>
      </w:r>
      <w:r>
        <w:rPr>
          <w:rFonts w:ascii="Arial"/>
          <w:i/>
          <w:color w:val="010101"/>
          <w:w w:val="55"/>
          <w:sz w:val="24"/>
        </w:rPr>
        <w:t>)</w:t>
      </w:r>
      <w:r>
        <w:rPr>
          <w:rFonts w:ascii="Arial"/>
          <w:i/>
          <w:color w:val="010101"/>
          <w:w w:val="55"/>
          <w:sz w:val="24"/>
        </w:rPr>
        <w:t>'</w:t>
      </w:r>
    </w:p>
    <w:p>
      <w:pPr>
        <w:pStyle w:val="BodyText"/>
        <w:spacing w:before="9"/>
        <w:rPr>
          <w:rFonts w:ascii="Arial"/>
          <w:i/>
          <w:sz w:val="8"/>
        </w:rPr>
      </w:pPr>
    </w:p>
    <w:p>
      <w:pPr>
        <w:spacing w:after="0"/>
        <w:rPr>
          <w:rFonts w:ascii="Arial"/>
          <w:sz w:val="8"/>
        </w:rPr>
        <w:sectPr>
          <w:pgSz w:w="7200" w:h="11340"/>
          <w:pgMar w:top="520" w:bottom="280" w:left="660" w:right="580"/>
        </w:sectPr>
      </w:pPr>
    </w:p>
    <w:p>
      <w:pPr>
        <w:tabs>
          <w:tab w:pos="951" w:val="left" w:leader="none"/>
        </w:tabs>
        <w:spacing w:line="167" w:lineRule="exact" w:before="76"/>
        <w:ind w:left="0" w:right="393" w:firstLine="0"/>
        <w:jc w:val="right"/>
        <w:rPr>
          <w:rFonts w:ascii="Arial" w:hAnsi="Arial"/>
          <w:i/>
          <w:sz w:val="19"/>
        </w:rPr>
      </w:pPr>
      <w:r>
        <w:rPr/>
        <w:pict>
          <v:shape style="position:absolute;margin-left:38.404781pt;margin-top:10.416853pt;width:30.55pt;height:10pt;mso-position-horizontal-relative:page;mso-position-vertical-relative:paragraph;z-index:22384" type="#_x0000_t202" filled="false" stroked="false">
            <v:textbox inset="0,0,0,0">
              <w:txbxContent>
                <w:p>
                  <w:pPr>
                    <w:pStyle w:val="BodyText"/>
                    <w:spacing w:line="200" w:lineRule="exact"/>
                  </w:pPr>
                  <w:r>
                    <w:rPr>
                      <w:color w:val="010101"/>
                      <w:w w:val="95"/>
                    </w:rPr>
                    <w:t>whence</w:t>
                  </w:r>
                </w:p>
              </w:txbxContent>
            </v:textbox>
            <w10:wrap type="none"/>
          </v:shape>
        </w:pict>
      </w:r>
      <w:r>
        <w:rPr>
          <w:b/>
          <w:color w:val="010101"/>
          <w:w w:val="120"/>
          <w:sz w:val="11"/>
        </w:rPr>
        <w:t>'(k)  </w:t>
      </w:r>
      <w:r>
        <w:rPr>
          <w:b/>
          <w:color w:val="010101"/>
          <w:spacing w:val="9"/>
          <w:w w:val="120"/>
          <w:sz w:val="11"/>
        </w:rPr>
        <w:t> </w:t>
      </w:r>
      <w:r>
        <w:rPr>
          <w:color w:val="010101"/>
          <w:w w:val="120"/>
          <w:sz w:val="11"/>
        </w:rPr>
        <w:t>•</w:t>
        <w:tab/>
      </w:r>
      <w:r>
        <w:rPr>
          <w:rFonts w:ascii="Arial" w:hAnsi="Arial"/>
          <w:i/>
          <w:color w:val="010101"/>
          <w:w w:val="85"/>
          <w:sz w:val="19"/>
        </w:rPr>
        <w:t>d?&gt;</w:t>
      </w:r>
    </w:p>
    <w:p>
      <w:pPr>
        <w:spacing w:line="270" w:lineRule="exact" w:before="0"/>
        <w:ind w:left="2096" w:right="-17" w:firstLine="0"/>
        <w:jc w:val="left"/>
        <w:rPr>
          <w:rFonts w:ascii="Arial"/>
          <w:i/>
          <w:sz w:val="25"/>
        </w:rPr>
      </w:pPr>
      <w:r>
        <w:rPr/>
        <w:pict>
          <v:line style="position:absolute;mso-position-horizontal-relative:page;mso-position-vertical-relative:paragraph;z-index:-713704" from="195.613205pt,1.034267pt" to="198.843505pt,1.034267pt" stroked="true" strokeweight=".897308pt" strokecolor="#000000">
            <w10:wrap type="none"/>
          </v:line>
        </w:pict>
      </w:r>
      <w:r>
        <w:rPr>
          <w:rFonts w:ascii="Arial"/>
          <w:i/>
          <w:color w:val="010101"/>
          <w:w w:val="80"/>
          <w:sz w:val="18"/>
        </w:rPr>
        <w:t>q%   </w:t>
      </w:r>
      <w:r>
        <w:rPr>
          <w:rFonts w:ascii="Arial"/>
          <w:color w:val="181818"/>
          <w:w w:val="80"/>
          <w:sz w:val="18"/>
        </w:rPr>
        <w:t>. </w:t>
      </w:r>
      <w:r>
        <w:rPr>
          <w:color w:val="010101"/>
          <w:w w:val="90"/>
          <w:sz w:val="16"/>
        </w:rPr>
        <w:t>=;  </w:t>
      </w:r>
      <w:r>
        <w:rPr>
          <w:i/>
          <w:color w:val="010101"/>
          <w:w w:val="80"/>
          <w:sz w:val="28"/>
        </w:rPr>
        <w:t>zir&gt; </w:t>
      </w:r>
      <w:r>
        <w:rPr>
          <w:color w:val="010101"/>
          <w:w w:val="80"/>
          <w:sz w:val="28"/>
        </w:rPr>
        <w:t>._</w:t>
      </w:r>
      <w:r>
        <w:rPr>
          <w:color w:val="010101"/>
          <w:spacing w:val="-24"/>
          <w:w w:val="80"/>
          <w:sz w:val="28"/>
        </w:rPr>
        <w:t> </w:t>
      </w:r>
      <w:r>
        <w:rPr>
          <w:rFonts w:ascii="Arial"/>
          <w:i/>
          <w:color w:val="010101"/>
          <w:w w:val="80"/>
          <w:sz w:val="25"/>
        </w:rPr>
        <w:t>idi-k&gt;</w:t>
      </w:r>
    </w:p>
    <w:p>
      <w:pPr>
        <w:spacing w:before="35"/>
        <w:ind w:left="0" w:right="415" w:firstLine="0"/>
        <w:jc w:val="right"/>
        <w:rPr>
          <w:sz w:val="29"/>
        </w:rPr>
      </w:pPr>
      <w:r>
        <w:rPr/>
        <w:pict>
          <v:group style="position:absolute;margin-left:170.831406pt;margin-top:20.395159pt;width:54.55pt;height:12.1pt;mso-position-horizontal-relative:page;mso-position-vertical-relative:paragraph;z-index:22336" coordorigin="3417,408" coordsize="1091,242">
            <v:shape style="position:absolute;left:3470;top:433;width:1037;height:216" type="#_x0000_t75" stroked="false">
              <v:imagedata r:id="rId343" o:title=""/>
            </v:shape>
            <v:line style="position:absolute" from="3424,415" to="4375,415" stroked="true" strokeweight=".717846pt" strokecolor="#000000"/>
            <w10:wrap type="none"/>
          </v:group>
        </w:pict>
      </w:r>
      <w:r>
        <w:rPr>
          <w:color w:val="010101"/>
          <w:spacing w:val="-63"/>
          <w:w w:val="62"/>
          <w:sz w:val="29"/>
        </w:rPr>
        <w:t>q</w:t>
      </w:r>
      <w:r>
        <w:rPr>
          <w:color w:val="010101"/>
          <w:spacing w:val="-185"/>
          <w:w w:val="200"/>
          <w:sz w:val="29"/>
        </w:rPr>
        <w:t>!</w:t>
      </w:r>
      <w:r>
        <w:rPr>
          <w:color w:val="010101"/>
          <w:w w:val="54"/>
          <w:sz w:val="29"/>
        </w:rPr>
        <w:t>"</w:t>
      </w:r>
      <w:r>
        <w:rPr>
          <w:color w:val="010101"/>
          <w:w w:val="54"/>
          <w:sz w:val="29"/>
        </w:rPr>
        <w:t>)</w:t>
      </w:r>
    </w:p>
    <w:p>
      <w:pPr>
        <w:pStyle w:val="BodyText"/>
        <w:spacing w:before="172"/>
        <w:ind w:left="108"/>
      </w:pPr>
      <w:r>
        <w:rPr/>
        <w:br w:type="column"/>
      </w:r>
      <w:r>
        <w:rPr>
          <w:color w:val="010101"/>
        </w:rPr>
        <w:t>( 14.31a)</w:t>
      </w:r>
    </w:p>
    <w:p>
      <w:pPr>
        <w:pStyle w:val="BodyText"/>
      </w:pPr>
    </w:p>
    <w:p>
      <w:pPr>
        <w:pStyle w:val="BodyText"/>
        <w:spacing w:before="144"/>
        <w:ind w:left="108"/>
      </w:pPr>
      <w:r>
        <w:rPr>
          <w:color w:val="010101"/>
        </w:rPr>
        <w:t>( 14.31b)</w:t>
      </w:r>
    </w:p>
    <w:p>
      <w:pPr>
        <w:spacing w:after="0"/>
        <w:sectPr>
          <w:type w:val="continuous"/>
          <w:pgSz w:w="7200" w:h="11340"/>
          <w:pgMar w:top="1100" w:bottom="0" w:left="660" w:right="580"/>
          <w:cols w:num="2" w:equalWidth="0">
            <w:col w:w="3828" w:space="1179"/>
            <w:col w:w="953"/>
          </w:cols>
        </w:sectPr>
      </w:pPr>
    </w:p>
    <w:p>
      <w:pPr>
        <w:spacing w:before="160"/>
        <w:ind w:left="2764" w:right="0" w:firstLine="0"/>
        <w:jc w:val="left"/>
        <w:rPr>
          <w:sz w:val="29"/>
        </w:rPr>
      </w:pPr>
      <w:r>
        <w:rPr>
          <w:color w:val="010101"/>
          <w:w w:val="101"/>
          <w:sz w:val="20"/>
        </w:rPr>
        <w:t>where</w:t>
      </w:r>
      <w:r>
        <w:rPr>
          <w:color w:val="010101"/>
          <w:spacing w:val="15"/>
          <w:sz w:val="20"/>
        </w:rPr>
        <w:t> </w:t>
      </w:r>
      <w:r>
        <w:rPr>
          <w:color w:val="010101"/>
          <w:w w:val="97"/>
          <w:sz w:val="20"/>
        </w:rPr>
        <w:t>we</w:t>
      </w:r>
      <w:r>
        <w:rPr>
          <w:color w:val="010101"/>
          <w:spacing w:val="19"/>
          <w:sz w:val="20"/>
        </w:rPr>
        <w:t> </w:t>
      </w:r>
      <w:r>
        <w:rPr>
          <w:color w:val="010101"/>
          <w:w w:val="99"/>
          <w:sz w:val="20"/>
        </w:rPr>
        <w:t>define</w:t>
      </w:r>
      <w:r>
        <w:rPr>
          <w:color w:val="010101"/>
          <w:spacing w:val="14"/>
          <w:sz w:val="20"/>
        </w:rPr>
        <w:t> </w:t>
      </w:r>
      <w:r>
        <w:rPr>
          <w:i/>
          <w:color w:val="010101"/>
          <w:spacing w:val="-11"/>
          <w:w w:val="89"/>
          <w:sz w:val="21"/>
        </w:rPr>
        <w:t>q</w:t>
      </w:r>
      <w:r>
        <w:rPr>
          <w:i/>
          <w:color w:val="010101"/>
          <w:w w:val="59"/>
          <w:sz w:val="21"/>
        </w:rPr>
        <w:t>!-1c&gt;</w:t>
      </w:r>
      <w:r>
        <w:rPr>
          <w:i/>
          <w:color w:val="010101"/>
          <w:sz w:val="21"/>
        </w:rPr>
        <w:t> </w:t>
      </w:r>
      <w:r>
        <w:rPr>
          <w:i/>
          <w:color w:val="010101"/>
          <w:spacing w:val="-6"/>
          <w:sz w:val="21"/>
        </w:rPr>
        <w:t> </w:t>
      </w:r>
      <w:r>
        <w:rPr>
          <w:color w:val="010101"/>
          <w:w w:val="104"/>
          <w:sz w:val="23"/>
        </w:rPr>
        <w:t>=</w:t>
      </w:r>
      <w:r>
        <w:rPr>
          <w:color w:val="010101"/>
          <w:sz w:val="23"/>
        </w:rPr>
        <w:t> </w:t>
      </w:r>
      <w:r>
        <w:rPr>
          <w:color w:val="010101"/>
          <w:spacing w:val="-18"/>
          <w:sz w:val="23"/>
        </w:rPr>
        <w:t> </w:t>
      </w:r>
      <w:r>
        <w:rPr>
          <w:i/>
          <w:color w:val="010101"/>
          <w:w w:val="87"/>
          <w:sz w:val="21"/>
        </w:rPr>
        <w:t>q!</w:t>
      </w:r>
      <w:r>
        <w:rPr>
          <w:i/>
          <w:color w:val="010101"/>
          <w:spacing w:val="-20"/>
          <w:sz w:val="21"/>
        </w:rPr>
        <w:t> </w:t>
      </w:r>
      <w:r>
        <w:rPr>
          <w:rFonts w:ascii="Arial"/>
          <w:i/>
          <w:color w:val="010101"/>
          <w:w w:val="51"/>
          <w:sz w:val="19"/>
        </w:rPr>
        <w:t>T&gt;</w:t>
      </w:r>
      <w:r>
        <w:rPr>
          <w:rFonts w:ascii="Arial"/>
          <w:i/>
          <w:color w:val="010101"/>
          <w:sz w:val="19"/>
        </w:rPr>
        <w:t> </w:t>
      </w:r>
      <w:r>
        <w:rPr>
          <w:rFonts w:ascii="Arial"/>
          <w:i/>
          <w:color w:val="010101"/>
          <w:spacing w:val="-9"/>
          <w:sz w:val="19"/>
        </w:rPr>
        <w:t> </w:t>
      </w:r>
      <w:r>
        <w:rPr>
          <w:rFonts w:ascii="Arial"/>
          <w:color w:val="010101"/>
          <w:w w:val="254"/>
          <w:sz w:val="19"/>
        </w:rPr>
        <w:t>-</w:t>
      </w:r>
      <w:r>
        <w:rPr>
          <w:rFonts w:ascii="Arial"/>
          <w:color w:val="010101"/>
          <w:spacing w:val="19"/>
          <w:sz w:val="19"/>
        </w:rPr>
        <w:t> </w:t>
      </w:r>
      <w:r>
        <w:rPr>
          <w:color w:val="010101"/>
          <w:spacing w:val="-30"/>
          <w:w w:val="59"/>
          <w:sz w:val="29"/>
        </w:rPr>
        <w:t>q</w:t>
      </w:r>
      <w:r>
        <w:rPr>
          <w:color w:val="010101"/>
          <w:spacing w:val="-138"/>
          <w:w w:val="188"/>
          <w:sz w:val="29"/>
        </w:rPr>
        <w:t>!</w:t>
      </w:r>
      <w:r>
        <w:rPr>
          <w:color w:val="010101"/>
          <w:w w:val="46"/>
          <w:sz w:val="29"/>
        </w:rPr>
        <w:t>"&gt;.</w:t>
      </w:r>
    </w:p>
    <w:p>
      <w:pPr>
        <w:pStyle w:val="BodyText"/>
        <w:spacing w:before="6"/>
        <w:ind w:left="323"/>
      </w:pPr>
      <w:r>
        <w:rPr>
          <w:color w:val="010101"/>
          <w:w w:val="105"/>
        </w:rPr>
        <w:t>For the special case of two decrements, the formulas are</w:t>
      </w:r>
    </w:p>
    <w:p>
      <w:pPr>
        <w:spacing w:after="0"/>
        <w:sectPr>
          <w:type w:val="continuous"/>
          <w:pgSz w:w="7200" w:h="11340"/>
          <w:pgMar w:top="1100" w:bottom="0" w:left="660" w:right="580"/>
        </w:sectPr>
      </w:pPr>
    </w:p>
    <w:p>
      <w:pPr>
        <w:tabs>
          <w:tab w:pos="1042" w:val="left" w:leader="none"/>
          <w:tab w:pos="5831" w:val="right" w:leader="none"/>
        </w:tabs>
        <w:spacing w:before="50"/>
        <w:ind w:left="116" w:right="0" w:firstLine="0"/>
        <w:jc w:val="left"/>
        <w:rPr>
          <w:sz w:val="20"/>
        </w:rPr>
      </w:pPr>
      <w:r>
        <w:rPr>
          <w:b/>
          <w:color w:val="030303"/>
          <w:sz w:val="15"/>
        </w:rPr>
        <w:t>SEC. </w:t>
      </w:r>
      <w:r>
        <w:rPr>
          <w:b/>
          <w:color w:val="030303"/>
          <w:spacing w:val="26"/>
          <w:sz w:val="15"/>
        </w:rPr>
        <w:t> </w:t>
      </w:r>
      <w:r>
        <w:rPr>
          <w:rFonts w:ascii="Arial"/>
          <w:b/>
          <w:color w:val="030303"/>
          <w:sz w:val="19"/>
        </w:rPr>
        <w:t>5)</w:t>
        <w:tab/>
      </w:r>
      <w:r>
        <w:rPr>
          <w:b/>
          <w:color w:val="030303"/>
          <w:position w:val="1"/>
          <w:sz w:val="15"/>
        </w:rPr>
        <w:t>THE   ASSOCIATED  </w:t>
      </w:r>
      <w:r>
        <w:rPr>
          <w:b/>
          <w:color w:val="030303"/>
          <w:spacing w:val="1"/>
          <w:position w:val="1"/>
          <w:sz w:val="15"/>
        </w:rPr>
        <w:t> </w:t>
      </w:r>
      <w:r>
        <w:rPr>
          <w:b/>
          <w:color w:val="030303"/>
          <w:position w:val="1"/>
          <w:sz w:val="15"/>
        </w:rPr>
        <w:t>SINGLE-DECRE:\1EXT  </w:t>
      </w:r>
      <w:r>
        <w:rPr>
          <w:b/>
          <w:color w:val="030303"/>
          <w:spacing w:val="8"/>
          <w:position w:val="1"/>
          <w:sz w:val="15"/>
        </w:rPr>
        <w:t> </w:t>
      </w:r>
      <w:r>
        <w:rPr>
          <w:b/>
          <w:color w:val="030303"/>
          <w:position w:val="1"/>
          <w:sz w:val="15"/>
        </w:rPr>
        <w:t>TABLES</w:t>
      </w:r>
      <w:r>
        <w:rPr>
          <w:color w:val="030303"/>
          <w:sz w:val="20"/>
        </w:rPr>
        <w:tab/>
        <w:t>279</w:t>
      </w:r>
    </w:p>
    <w:p>
      <w:pPr>
        <w:spacing w:after="0"/>
        <w:jc w:val="left"/>
        <w:rPr>
          <w:sz w:val="20"/>
        </w:rPr>
        <w:sectPr>
          <w:pgSz w:w="7200" w:h="11340"/>
          <w:pgMar w:top="500" w:bottom="280" w:left="680" w:right="560"/>
        </w:sectPr>
      </w:pPr>
    </w:p>
    <w:p>
      <w:pPr>
        <w:pStyle w:val="BodyText"/>
        <w:spacing w:before="363"/>
        <w:jc w:val="right"/>
      </w:pPr>
      <w:r>
        <w:rPr/>
        <w:drawing>
          <wp:anchor distT="0" distB="0" distL="0" distR="0" allowOverlap="1" layoutInCell="1" locked="0" behindDoc="0" simplePos="0" relativeHeight="22408">
            <wp:simplePos x="0" y="0"/>
            <wp:positionH relativeFrom="page">
              <wp:posOffset>1124711</wp:posOffset>
            </wp:positionH>
            <wp:positionV relativeFrom="paragraph">
              <wp:posOffset>144404</wp:posOffset>
            </wp:positionV>
            <wp:extent cx="932688" cy="320040"/>
            <wp:effectExtent l="0" t="0" r="0" b="0"/>
            <wp:wrapNone/>
            <wp:docPr id="667" name="image340.png" descr=""/>
            <wp:cNvGraphicFramePr>
              <a:graphicFrameLocks noChangeAspect="1"/>
            </wp:cNvGraphicFramePr>
            <a:graphic>
              <a:graphicData uri="http://schemas.openxmlformats.org/drawingml/2006/picture">
                <pic:pic>
                  <pic:nvPicPr>
                    <pic:cNvPr id="668" name="image340.png"/>
                    <pic:cNvPicPr/>
                  </pic:nvPicPr>
                  <pic:blipFill>
                    <a:blip r:embed="rId344" cstate="print"/>
                    <a:stretch>
                      <a:fillRect/>
                    </a:stretch>
                  </pic:blipFill>
                  <pic:spPr>
                    <a:xfrm>
                      <a:off x="0" y="0"/>
                      <a:ext cx="932688" cy="320040"/>
                    </a:xfrm>
                    <a:prstGeom prst="rect">
                      <a:avLst/>
                    </a:prstGeom>
                  </pic:spPr>
                </pic:pic>
              </a:graphicData>
            </a:graphic>
          </wp:anchor>
        </w:drawing>
      </w:r>
      <w:r>
        <w:rPr>
          <w:color w:val="030303"/>
          <w:w w:val="105"/>
        </w:rPr>
        <w:t>and</w:t>
      </w:r>
    </w:p>
    <w:p>
      <w:pPr>
        <w:tabs>
          <w:tab w:pos="1101" w:val="left" w:leader="none"/>
        </w:tabs>
        <w:spacing w:line="182" w:lineRule="exact" w:before="234"/>
        <w:ind w:left="272" w:right="0" w:firstLine="0"/>
        <w:jc w:val="left"/>
        <w:rPr>
          <w:sz w:val="20"/>
        </w:rPr>
      </w:pPr>
      <w:r>
        <w:rPr/>
        <w:br w:type="column"/>
      </w:r>
      <w:r>
        <w:rPr>
          <w:color w:val="030303"/>
          <w:sz w:val="9"/>
        </w:rPr>
        <w:t>1</w:t>
      </w:r>
      <w:r>
        <w:rPr>
          <w:rFonts w:ascii="Arial" w:hAnsi="Arial"/>
          <w:color w:val="262626"/>
          <w:sz w:val="10"/>
        </w:rPr>
        <w:t>t</w:t>
      </w:r>
      <w:r>
        <w:rPr>
          <w:rFonts w:ascii="Arial" w:hAnsi="Arial"/>
          <w:color w:val="262626"/>
          <w:spacing w:val="-12"/>
          <w:sz w:val="10"/>
        </w:rPr>
        <w:t> </w:t>
      </w:r>
      <w:r>
        <w:rPr>
          <w:rFonts w:ascii="Arial" w:hAnsi="Arial"/>
          <w:color w:val="030303"/>
          <w:sz w:val="10"/>
        </w:rPr>
        <w:t>Z)   </w:t>
      </w:r>
      <w:r>
        <w:rPr>
          <w:rFonts w:ascii="Arial" w:hAnsi="Arial"/>
          <w:color w:val="030303"/>
          <w:spacing w:val="20"/>
          <w:sz w:val="10"/>
        </w:rPr>
        <w:t> </w:t>
      </w:r>
      <w:r>
        <w:rPr>
          <w:rFonts w:ascii="Arial" w:hAnsi="Arial"/>
          <w:color w:val="030303"/>
          <w:sz w:val="10"/>
        </w:rPr>
        <w:t>•</w:t>
        <w:tab/>
      </w:r>
      <w:r>
        <w:rPr>
          <w:color w:val="030303"/>
          <w:sz w:val="20"/>
        </w:rPr>
        <w:t>q;2)</w:t>
      </w:r>
    </w:p>
    <w:p>
      <w:pPr>
        <w:tabs>
          <w:tab w:pos="591" w:val="left" w:leader="none"/>
          <w:tab w:pos="2102" w:val="left" w:leader="none"/>
        </w:tabs>
        <w:spacing w:line="266" w:lineRule="exact" w:before="0"/>
        <w:ind w:left="164" w:right="0" w:firstLine="0"/>
        <w:jc w:val="left"/>
        <w:rPr>
          <w:sz w:val="19"/>
        </w:rPr>
      </w:pPr>
      <w:r>
        <w:rPr/>
        <w:pict>
          <v:line style="position:absolute;mso-position-horizontal-relative:page;mso-position-vertical-relative:paragraph;z-index:-713608" from="231.505493pt,12.633776pt" to="269.371893pt,12.633776pt" stroked="true" strokeweight="4.307079pt" strokecolor="#000000">
            <w10:wrap type="none"/>
          </v:line>
        </w:pict>
      </w:r>
      <w:r>
        <w:rPr>
          <w:i/>
          <w:color w:val="030303"/>
          <w:w w:val="71"/>
          <w:sz w:val="20"/>
        </w:rPr>
        <w:t>q,:</w:t>
      </w:r>
      <w:r>
        <w:rPr>
          <w:i/>
          <w:color w:val="030303"/>
          <w:sz w:val="20"/>
        </w:rPr>
        <w:tab/>
      </w:r>
      <w:r>
        <w:rPr>
          <w:rFonts w:ascii="Arial" w:hAnsi="Arial"/>
          <w:color w:val="030303"/>
          <w:w w:val="126"/>
          <w:sz w:val="14"/>
        </w:rPr>
        <w:t>=;</w:t>
      </w:r>
      <w:r>
        <w:rPr>
          <w:rFonts w:ascii="Arial" w:hAnsi="Arial"/>
          <w:color w:val="030303"/>
          <w:sz w:val="14"/>
        </w:rPr>
        <w:t> </w:t>
      </w:r>
      <w:r>
        <w:rPr>
          <w:rFonts w:ascii="Arial" w:hAnsi="Arial"/>
          <w:color w:val="030303"/>
          <w:spacing w:val="9"/>
          <w:sz w:val="14"/>
        </w:rPr>
        <w:t> </w:t>
      </w:r>
      <w:r>
        <w:rPr>
          <w:color w:val="030303"/>
          <w:w w:val="120"/>
          <w:sz w:val="26"/>
        </w:rPr>
        <w:t>i</w:t>
      </w:r>
      <w:r>
        <w:rPr>
          <w:color w:val="030303"/>
          <w:sz w:val="26"/>
        </w:rPr>
        <w:t> </w:t>
      </w:r>
      <w:r>
        <w:rPr>
          <w:color w:val="030303"/>
          <w:spacing w:val="-31"/>
          <w:sz w:val="26"/>
        </w:rPr>
        <w:t> </w:t>
      </w:r>
      <w:r>
        <w:rPr>
          <w:color w:val="030303"/>
          <w:w w:val="210"/>
          <w:sz w:val="26"/>
        </w:rPr>
        <w:t>-</w:t>
      </w:r>
      <w:r>
        <w:rPr>
          <w:color w:val="030303"/>
          <w:spacing w:val="7"/>
          <w:sz w:val="26"/>
        </w:rPr>
        <w:t> </w:t>
      </w:r>
      <w:r>
        <w:rPr>
          <w:color w:val="030303"/>
          <w:spacing w:val="-41"/>
          <w:w w:val="150"/>
          <w:sz w:val="19"/>
        </w:rPr>
        <w:t>}</w:t>
      </w:r>
      <w:r>
        <w:rPr>
          <w:color w:val="030303"/>
          <w:w w:val="107"/>
          <w:sz w:val="19"/>
        </w:rPr>
        <w:t>q</w:t>
      </w:r>
      <w:r>
        <w:rPr>
          <w:color w:val="030303"/>
          <w:spacing w:val="5"/>
          <w:w w:val="107"/>
          <w:sz w:val="19"/>
        </w:rPr>
        <w:t>i</w:t>
      </w:r>
      <w:r>
        <w:rPr>
          <w:color w:val="030303"/>
          <w:spacing w:val="-7"/>
          <w:w w:val="110"/>
          <w:sz w:val="11"/>
        </w:rPr>
        <w:t>1</w:t>
      </w:r>
      <w:r>
        <w:rPr>
          <w:rFonts w:ascii="Arial" w:hAnsi="Arial"/>
          <w:color w:val="030303"/>
          <w:w w:val="52"/>
          <w:sz w:val="11"/>
        </w:rPr>
        <w:t>&gt;</w:t>
      </w:r>
      <w:r>
        <w:rPr>
          <w:rFonts w:ascii="Arial" w:hAnsi="Arial"/>
          <w:color w:val="030303"/>
          <w:sz w:val="11"/>
        </w:rPr>
        <w:t> </w:t>
      </w:r>
      <w:r>
        <w:rPr>
          <w:rFonts w:ascii="Arial" w:hAnsi="Arial"/>
          <w:color w:val="030303"/>
          <w:spacing w:val="12"/>
          <w:sz w:val="11"/>
        </w:rPr>
        <w:t> </w:t>
      </w:r>
      <w:r>
        <w:rPr>
          <w:rFonts w:ascii="Arial" w:hAnsi="Arial"/>
          <w:color w:val="030303"/>
          <w:w w:val="102"/>
          <w:sz w:val="11"/>
        </w:rPr>
        <w:t>•</w:t>
      </w:r>
      <w:r>
        <w:rPr>
          <w:rFonts w:ascii="Arial" w:hAnsi="Arial"/>
          <w:color w:val="030303"/>
          <w:sz w:val="11"/>
        </w:rPr>
        <w:tab/>
      </w:r>
      <w:r>
        <w:rPr>
          <w:color w:val="030303"/>
          <w:w w:val="81"/>
          <w:position w:val="8"/>
          <w:sz w:val="19"/>
        </w:rPr>
        <w:t>(</w:t>
      </w:r>
      <w:r>
        <w:rPr>
          <w:color w:val="030303"/>
          <w:spacing w:val="1"/>
          <w:position w:val="8"/>
          <w:sz w:val="19"/>
        </w:rPr>
        <w:t> </w:t>
      </w:r>
      <w:r>
        <w:rPr>
          <w:color w:val="030303"/>
          <w:w w:val="101"/>
          <w:position w:val="8"/>
          <w:sz w:val="19"/>
        </w:rPr>
        <w:t>14.3</w:t>
      </w:r>
      <w:r>
        <w:rPr>
          <w:color w:val="030303"/>
          <w:spacing w:val="13"/>
          <w:w w:val="101"/>
          <w:position w:val="8"/>
          <w:sz w:val="19"/>
        </w:rPr>
        <w:t>2</w:t>
      </w:r>
      <w:r>
        <w:rPr>
          <w:color w:val="030303"/>
          <w:w w:val="88"/>
          <w:position w:val="8"/>
          <w:sz w:val="19"/>
        </w:rPr>
        <w:t>)</w:t>
      </w:r>
    </w:p>
    <w:p>
      <w:pPr>
        <w:spacing w:after="0" w:line="266" w:lineRule="exact"/>
        <w:jc w:val="left"/>
        <w:rPr>
          <w:sz w:val="19"/>
        </w:rPr>
        <w:sectPr>
          <w:type w:val="continuous"/>
          <w:pgSz w:w="7200" w:h="11340"/>
          <w:pgMar w:top="1100" w:bottom="0" w:left="680" w:right="560"/>
          <w:cols w:num="2" w:equalWidth="0">
            <w:col w:w="3068" w:space="40"/>
            <w:col w:w="2852"/>
          </w:cols>
        </w:sectPr>
      </w:pPr>
    </w:p>
    <w:p>
      <w:pPr>
        <w:pStyle w:val="BodyText"/>
        <w:spacing w:line="242" w:lineRule="auto" w:before="163"/>
        <w:ind w:left="109" w:right="125" w:firstLine="201"/>
        <w:jc w:val="both"/>
      </w:pPr>
      <w:r>
        <w:rPr>
          <w:color w:val="030303"/>
        </w:rPr>
        <w:t>Other formulas can be obtained on thc basis of more formal mathematical  assumptions.  </w:t>
      </w:r>
      <w:r>
        <w:rPr>
          <w:color w:val="030303"/>
          <w:sz w:val="21"/>
        </w:rPr>
        <w:t>If  </w:t>
      </w:r>
      <w:r>
        <w:rPr>
          <w:color w:val="030303"/>
        </w:rPr>
        <w:t>we   assume   that   each   derremeut </w:t>
      </w:r>
      <w:r>
        <w:rPr>
          <w:rFonts w:ascii="Arial"/>
          <w:i/>
          <w:color w:val="030303"/>
        </w:rPr>
        <w:t>d;k&gt;  </w:t>
      </w:r>
      <w:r>
        <w:rPr>
          <w:color w:val="030303"/>
        </w:rPr>
        <w:t>is uniformly  distrihuted  over the year of  age, we have</w:t>
      </w:r>
    </w:p>
    <w:p>
      <w:pPr>
        <w:tabs>
          <w:tab w:pos="2973" w:val="left" w:leader="none"/>
        </w:tabs>
        <w:spacing w:before="85"/>
        <w:ind w:left="2299" w:right="0" w:firstLine="0"/>
        <w:jc w:val="left"/>
        <w:rPr>
          <w:rFonts w:ascii="Arial"/>
          <w:i/>
          <w:sz w:val="20"/>
        </w:rPr>
      </w:pPr>
      <w:r>
        <w:rPr>
          <w:i/>
          <w:color w:val="030303"/>
          <w:w w:val="231"/>
          <w:sz w:val="20"/>
        </w:rPr>
        <w:t>l</w:t>
      </w:r>
      <w:r>
        <w:rPr>
          <w:i/>
          <w:color w:val="030303"/>
          <w:sz w:val="20"/>
        </w:rPr>
        <w:t> </w:t>
      </w:r>
      <w:r>
        <w:rPr>
          <w:i/>
          <w:color w:val="030303"/>
          <w:spacing w:val="8"/>
          <w:sz w:val="20"/>
        </w:rPr>
        <w:t> </w:t>
      </w:r>
      <w:r>
        <w:rPr>
          <w:i/>
          <w:color w:val="030303"/>
          <w:w w:val="60"/>
          <w:sz w:val="20"/>
        </w:rPr>
        <w:t>t</w:t>
      </w:r>
      <w:r>
        <w:rPr>
          <w:i/>
          <w:color w:val="030303"/>
          <w:sz w:val="20"/>
        </w:rPr>
        <w:tab/>
      </w:r>
      <w:r>
        <w:rPr>
          <w:color w:val="030303"/>
          <w:spacing w:val="-15"/>
          <w:w w:val="87"/>
          <w:sz w:val="28"/>
        </w:rPr>
        <w:t>l</w:t>
      </w:r>
      <w:r>
        <w:rPr>
          <w:color w:val="030303"/>
          <w:spacing w:val="-36"/>
          <w:w w:val="137"/>
          <w:sz w:val="28"/>
        </w:rPr>
        <w:t>;</w:t>
      </w:r>
      <w:r>
        <w:rPr>
          <w:color w:val="030303"/>
          <w:spacing w:val="-30"/>
          <w:w w:val="101"/>
          <w:sz w:val="28"/>
        </w:rPr>
        <w:t>'</w:t>
      </w:r>
      <w:r>
        <w:rPr>
          <w:color w:val="030303"/>
          <w:w w:val="35"/>
          <w:sz w:val="28"/>
        </w:rPr>
        <w:t>c</w:t>
      </w:r>
      <w:r>
        <w:rPr>
          <w:color w:val="030303"/>
          <w:w w:val="35"/>
          <w:sz w:val="28"/>
        </w:rPr>
        <w:t>)</w:t>
      </w:r>
      <w:r>
        <w:rPr>
          <w:color w:val="030303"/>
          <w:sz w:val="28"/>
        </w:rPr>
        <w:t> </w:t>
      </w:r>
      <w:r>
        <w:rPr>
          <w:color w:val="030303"/>
          <w:spacing w:val="4"/>
          <w:sz w:val="28"/>
        </w:rPr>
        <w:t> </w:t>
      </w:r>
      <w:r>
        <w:rPr>
          <w:color w:val="030303"/>
          <w:w w:val="184"/>
          <w:sz w:val="28"/>
        </w:rPr>
        <w:t>-</w:t>
      </w:r>
      <w:r>
        <w:rPr>
          <w:color w:val="030303"/>
          <w:spacing w:val="26"/>
          <w:sz w:val="28"/>
        </w:rPr>
        <w:t> </w:t>
      </w:r>
      <w:r>
        <w:rPr>
          <w:i/>
          <w:color w:val="030303"/>
          <w:w w:val="88"/>
          <w:sz w:val="20"/>
        </w:rPr>
        <w:t>t</w:t>
      </w:r>
      <w:r>
        <w:rPr>
          <w:i/>
          <w:color w:val="030303"/>
          <w:spacing w:val="-10"/>
          <w:sz w:val="20"/>
        </w:rPr>
        <w:t> </w:t>
      </w:r>
      <w:r>
        <w:rPr>
          <w:i/>
          <w:color w:val="030303"/>
          <w:spacing w:val="11"/>
          <w:w w:val="107"/>
          <w:sz w:val="20"/>
        </w:rPr>
        <w:t>.</w:t>
      </w:r>
      <w:r>
        <w:rPr>
          <w:rFonts w:ascii="Arial"/>
          <w:i/>
          <w:color w:val="030303"/>
          <w:w w:val="75"/>
          <w:sz w:val="20"/>
        </w:rPr>
        <w:t>d;"&gt;</w:t>
      </w:r>
    </w:p>
    <w:p>
      <w:pPr>
        <w:spacing w:before="87"/>
        <w:ind w:left="3300" w:right="0" w:firstLine="0"/>
        <w:jc w:val="left"/>
        <w:rPr>
          <w:sz w:val="19"/>
        </w:rPr>
      </w:pPr>
      <w:r>
        <w:rPr>
          <w:color w:val="030303"/>
          <w:sz w:val="20"/>
        </w:rPr>
        <w:t>for integral </w:t>
      </w:r>
      <w:r>
        <w:rPr>
          <w:rFonts w:ascii="Arial"/>
          <w:i/>
          <w:color w:val="030303"/>
          <w:sz w:val="16"/>
        </w:rPr>
        <w:t>x  </w:t>
      </w:r>
      <w:r>
        <w:rPr>
          <w:color w:val="030303"/>
          <w:sz w:val="20"/>
        </w:rPr>
        <w:t>and </w:t>
      </w:r>
      <w:r>
        <w:rPr>
          <w:rFonts w:ascii="Arial"/>
          <w:color w:val="030303"/>
          <w:sz w:val="19"/>
        </w:rPr>
        <w:t>O  </w:t>
      </w:r>
      <w:r>
        <w:rPr>
          <w:color w:val="030303"/>
          <w:sz w:val="25"/>
        </w:rPr>
        <w:t>&lt; /  &lt;   </w:t>
      </w:r>
      <w:r>
        <w:rPr>
          <w:color w:val="030303"/>
          <w:w w:val="120"/>
          <w:sz w:val="19"/>
        </w:rPr>
        <w:t>l.</w:t>
      </w:r>
    </w:p>
    <w:p>
      <w:pPr>
        <w:pStyle w:val="BodyText"/>
        <w:spacing w:line="229" w:lineRule="exact"/>
        <w:ind w:left="120"/>
      </w:pPr>
      <w:r>
        <w:rPr/>
        <w:drawing>
          <wp:anchor distT="0" distB="0" distL="0" distR="0" allowOverlap="1" layoutInCell="1" locked="0" behindDoc="0" simplePos="0" relativeHeight="22432">
            <wp:simplePos x="0" y="0"/>
            <wp:positionH relativeFrom="page">
              <wp:posOffset>1737360</wp:posOffset>
            </wp:positionH>
            <wp:positionV relativeFrom="paragraph">
              <wp:posOffset>224163</wp:posOffset>
            </wp:positionV>
            <wp:extent cx="1161288" cy="146303"/>
            <wp:effectExtent l="0" t="0" r="0" b="0"/>
            <wp:wrapNone/>
            <wp:docPr id="669" name="image341.png" descr=""/>
            <wp:cNvGraphicFramePr>
              <a:graphicFrameLocks noChangeAspect="1"/>
            </wp:cNvGraphicFramePr>
            <a:graphic>
              <a:graphicData uri="http://schemas.openxmlformats.org/drawingml/2006/picture">
                <pic:pic>
                  <pic:nvPicPr>
                    <pic:cNvPr id="670" name="image341.png"/>
                    <pic:cNvPicPr/>
                  </pic:nvPicPr>
                  <pic:blipFill>
                    <a:blip r:embed="rId345" cstate="print"/>
                    <a:stretch>
                      <a:fillRect/>
                    </a:stretch>
                  </pic:blipFill>
                  <pic:spPr>
                    <a:xfrm>
                      <a:off x="0" y="0"/>
                      <a:ext cx="1161288" cy="146303"/>
                    </a:xfrm>
                    <a:prstGeom prst="rect">
                      <a:avLst/>
                    </a:prstGeom>
                  </pic:spPr>
                </pic:pic>
              </a:graphicData>
            </a:graphic>
          </wp:anchor>
        </w:drawing>
      </w:r>
      <w:r>
        <w:rPr>
          <w:color w:val="030303"/>
          <w:w w:val="110"/>
          <w:sz w:val="21"/>
        </w:rPr>
        <w:t>It </w:t>
      </w:r>
      <w:r>
        <w:rPr>
          <w:color w:val="030303"/>
          <w:w w:val="110"/>
        </w:rPr>
        <w:t>follows that</w:t>
      </w:r>
    </w:p>
    <w:p>
      <w:pPr>
        <w:spacing w:after="0" w:line="229" w:lineRule="exact"/>
        <w:sectPr>
          <w:type w:val="continuous"/>
          <w:pgSz w:w="7200" w:h="11340"/>
          <w:pgMar w:top="1100" w:bottom="0" w:left="680" w:right="560"/>
        </w:sectPr>
      </w:pPr>
    </w:p>
    <w:p>
      <w:pPr>
        <w:pStyle w:val="BodyText"/>
      </w:pPr>
    </w:p>
    <w:p>
      <w:pPr>
        <w:pStyle w:val="BodyText"/>
      </w:pPr>
    </w:p>
    <w:p>
      <w:pPr>
        <w:pStyle w:val="BodyText"/>
        <w:spacing w:before="160"/>
        <w:ind w:left="109" w:right="-8"/>
      </w:pPr>
      <w:r>
        <w:rPr>
          <w:color w:val="030303"/>
          <w:w w:val="105"/>
        </w:rPr>
        <w:t>and</w:t>
      </w:r>
    </w:p>
    <w:p>
      <w:pPr>
        <w:pStyle w:val="BodyText"/>
        <w:rPr>
          <w:sz w:val="22"/>
        </w:rPr>
      </w:pPr>
      <w:r>
        <w:rPr/>
        <w:br w:type="column"/>
      </w:r>
      <w:r>
        <w:rPr>
          <w:sz w:val="22"/>
        </w:rPr>
      </w:r>
    </w:p>
    <w:p>
      <w:pPr>
        <w:pStyle w:val="BodyText"/>
        <w:spacing w:before="11"/>
        <w:rPr>
          <w:sz w:val="19"/>
        </w:rPr>
      </w:pPr>
    </w:p>
    <w:p>
      <w:pPr>
        <w:spacing w:line="173" w:lineRule="exact" w:before="0"/>
        <w:ind w:left="109" w:right="-7" w:firstLine="0"/>
        <w:jc w:val="left"/>
        <w:rPr>
          <w:rFonts w:ascii="Arial"/>
          <w:i/>
          <w:sz w:val="10"/>
        </w:rPr>
      </w:pPr>
      <w:r>
        <w:rPr>
          <w:rFonts w:ascii="Arial"/>
          <w:i/>
          <w:color w:val="030303"/>
          <w:w w:val="105"/>
          <w:position w:val="-9"/>
          <w:sz w:val="20"/>
        </w:rPr>
        <w:t>dl </w:t>
      </w:r>
      <w:r>
        <w:rPr>
          <w:rFonts w:ascii="Arial"/>
          <w:i/>
          <w:color w:val="030303"/>
          <w:w w:val="115"/>
          <w:sz w:val="10"/>
        </w:rPr>
        <w:t>(k </w:t>
      </w:r>
      <w:r>
        <w:rPr>
          <w:rFonts w:ascii="Arial"/>
          <w:i/>
          <w:color w:val="030303"/>
          <w:w w:val="105"/>
          <w:sz w:val="10"/>
        </w:rPr>
        <w:t>)</w:t>
      </w:r>
    </w:p>
    <w:p>
      <w:pPr>
        <w:spacing w:line="241" w:lineRule="exact" w:before="0"/>
        <w:ind w:left="109" w:right="-7" w:firstLine="0"/>
        <w:jc w:val="left"/>
        <w:rPr>
          <w:rFonts w:ascii="Arial"/>
          <w:sz w:val="25"/>
        </w:rPr>
      </w:pPr>
      <w:r>
        <w:rPr>
          <w:rFonts w:ascii="Arial"/>
          <w:i/>
          <w:color w:val="030303"/>
          <w:spacing w:val="-91"/>
          <w:w w:val="175"/>
          <w:position w:val="-12"/>
          <w:sz w:val="25"/>
        </w:rPr>
        <w:t>d</w:t>
      </w:r>
      <w:r>
        <w:rPr>
          <w:i/>
          <w:color w:val="030303"/>
          <w:w w:val="118"/>
          <w:sz w:val="13"/>
        </w:rPr>
        <w:t>z</w:t>
      </w:r>
      <w:r>
        <w:rPr>
          <w:i/>
          <w:color w:val="030303"/>
          <w:spacing w:val="-75"/>
          <w:w w:val="118"/>
          <w:sz w:val="13"/>
        </w:rPr>
        <w:t>+</w:t>
      </w:r>
      <w:r>
        <w:rPr>
          <w:rFonts w:ascii="Arial"/>
          <w:i/>
          <w:color w:val="030303"/>
          <w:spacing w:val="-48"/>
          <w:w w:val="175"/>
          <w:position w:val="-12"/>
          <w:sz w:val="25"/>
        </w:rPr>
        <w:t>t</w:t>
      </w:r>
      <w:r>
        <w:rPr>
          <w:i/>
          <w:color w:val="030303"/>
          <w:w w:val="118"/>
          <w:sz w:val="13"/>
        </w:rPr>
        <w:t>t</w:t>
      </w:r>
      <w:r>
        <w:rPr>
          <w:i/>
          <w:color w:val="030303"/>
          <w:sz w:val="13"/>
        </w:rPr>
        <w:t>  </w:t>
      </w:r>
      <w:r>
        <w:rPr>
          <w:i/>
          <w:color w:val="030303"/>
          <w:spacing w:val="7"/>
          <w:sz w:val="13"/>
        </w:rPr>
        <w:t> </w:t>
      </w:r>
      <w:r>
        <w:rPr>
          <w:color w:val="030303"/>
          <w:spacing w:val="-67"/>
          <w:w w:val="135"/>
          <w:sz w:val="13"/>
        </w:rPr>
        <w:t>:</w:t>
      </w:r>
      <w:r>
        <w:rPr>
          <w:rFonts w:ascii="Arial"/>
          <w:color w:val="030303"/>
          <w:spacing w:val="-35"/>
          <w:w w:val="99"/>
          <w:position w:val="-12"/>
          <w:sz w:val="25"/>
        </w:rPr>
        <w:t>-</w:t>
      </w:r>
      <w:r>
        <w:rPr>
          <w:color w:val="030303"/>
          <w:spacing w:val="-55"/>
          <w:w w:val="136"/>
          <w:sz w:val="13"/>
        </w:rPr>
        <w:t>_</w:t>
      </w:r>
      <w:r>
        <w:rPr>
          <w:rFonts w:ascii="Arial"/>
          <w:color w:val="030303"/>
          <w:w w:val="99"/>
          <w:position w:val="-12"/>
          <w:sz w:val="25"/>
        </w:rPr>
        <w:t>;</w:t>
      </w:r>
    </w:p>
    <w:p>
      <w:pPr>
        <w:pStyle w:val="BodyText"/>
        <w:rPr>
          <w:rFonts w:ascii="Arial"/>
          <w:sz w:val="18"/>
        </w:rPr>
      </w:pPr>
      <w:r>
        <w:rPr/>
        <w:br w:type="column"/>
      </w:r>
      <w:r>
        <w:rPr>
          <w:rFonts w:ascii="Arial"/>
          <w:sz w:val="18"/>
        </w:rPr>
      </w:r>
    </w:p>
    <w:p>
      <w:pPr>
        <w:pStyle w:val="BodyText"/>
        <w:rPr>
          <w:rFonts w:ascii="Arial"/>
          <w:sz w:val="18"/>
        </w:rPr>
      </w:pPr>
    </w:p>
    <w:p>
      <w:pPr>
        <w:spacing w:line="172" w:lineRule="exact" w:before="121"/>
        <w:ind w:left="196" w:right="0" w:firstLine="0"/>
        <w:jc w:val="center"/>
        <w:rPr>
          <w:rFonts w:ascii="Arial" w:hAnsi="Arial"/>
          <w:i/>
          <w:sz w:val="19"/>
        </w:rPr>
      </w:pPr>
      <w:r>
        <w:rPr>
          <w:rFonts w:ascii="Arial" w:hAnsi="Arial"/>
          <w:i/>
          <w:color w:val="030303"/>
          <w:w w:val="60"/>
          <w:sz w:val="19"/>
        </w:rPr>
        <w:t>¡&lt;k )</w:t>
      </w:r>
    </w:p>
    <w:p>
      <w:pPr>
        <w:spacing w:line="183" w:lineRule="exact" w:before="0"/>
        <w:ind w:left="65" w:right="0" w:firstLine="0"/>
        <w:jc w:val="center"/>
        <w:rPr>
          <w:sz w:val="20"/>
        </w:rPr>
      </w:pPr>
      <w:r>
        <w:rPr>
          <w:i/>
          <w:color w:val="030303"/>
          <w:w w:val="149"/>
          <w:sz w:val="20"/>
        </w:rPr>
        <w:t>-</w:t>
      </w:r>
      <w:r>
        <w:rPr>
          <w:i/>
          <w:color w:val="030303"/>
          <w:spacing w:val="32"/>
          <w:w w:val="149"/>
          <w:sz w:val="20"/>
        </w:rPr>
        <w:t>c</w:t>
      </w:r>
      <w:r>
        <w:rPr>
          <w:i/>
          <w:color w:val="030303"/>
          <w:w w:val="69"/>
          <w:sz w:val="20"/>
        </w:rPr>
        <w:t>z</w:t>
      </w:r>
      <w:r>
        <w:rPr>
          <w:i/>
          <w:color w:val="030303"/>
          <w:sz w:val="20"/>
        </w:rPr>
        <w:t>  </w:t>
      </w:r>
      <w:r>
        <w:rPr>
          <w:i/>
          <w:color w:val="030303"/>
          <w:spacing w:val="-8"/>
          <w:sz w:val="20"/>
        </w:rPr>
        <w:t> </w:t>
      </w:r>
      <w:r>
        <w:rPr>
          <w:color w:val="030303"/>
          <w:w w:val="142"/>
          <w:sz w:val="20"/>
        </w:rPr>
        <w:t>'</w:t>
      </w:r>
    </w:p>
    <w:p>
      <w:pPr>
        <w:spacing w:before="156"/>
        <w:ind w:left="109" w:right="0" w:firstLine="0"/>
        <w:jc w:val="left"/>
        <w:rPr>
          <w:rFonts w:ascii="Arial"/>
          <w:sz w:val="18"/>
        </w:rPr>
      </w:pPr>
      <w:r>
        <w:rPr/>
        <w:br w:type="column"/>
      </w:r>
      <w:r>
        <w:rPr>
          <w:rFonts w:ascii="Arial"/>
          <w:color w:val="030303"/>
          <w:w w:val="105"/>
          <w:sz w:val="18"/>
        </w:rPr>
        <w:t>(14.33)</w:t>
      </w:r>
    </w:p>
    <w:p>
      <w:pPr>
        <w:spacing w:after="0"/>
        <w:jc w:val="left"/>
        <w:rPr>
          <w:rFonts w:ascii="Arial"/>
          <w:sz w:val="18"/>
        </w:rPr>
        <w:sectPr>
          <w:type w:val="continuous"/>
          <w:pgSz w:w="7200" w:h="11340"/>
          <w:pgMar w:top="1100" w:bottom="0" w:left="680" w:right="560"/>
          <w:cols w:num="4" w:equalWidth="0">
            <w:col w:w="425" w:space="1822"/>
            <w:col w:w="747" w:space="40"/>
            <w:col w:w="581" w:space="1518"/>
            <w:col w:w="827"/>
          </w:cols>
        </w:sectPr>
      </w:pPr>
    </w:p>
    <w:p>
      <w:pPr>
        <w:pStyle w:val="BodyText"/>
        <w:spacing w:before="9"/>
        <w:rPr>
          <w:rFonts w:ascii="Arial"/>
          <w:sz w:val="28"/>
        </w:rPr>
      </w:pPr>
    </w:p>
    <w:p>
      <w:pPr>
        <w:pStyle w:val="BodyText"/>
        <w:ind w:left="116"/>
      </w:pPr>
      <w:r>
        <w:rPr>
          <w:color w:val="030303"/>
          <w:w w:val="105"/>
        </w:rPr>
        <w:t>and therefore</w:t>
      </w:r>
    </w:p>
    <w:p>
      <w:pPr>
        <w:tabs>
          <w:tab w:pos="1022" w:val="left" w:leader="none"/>
        </w:tabs>
        <w:spacing w:line="235" w:lineRule="exact" w:before="145"/>
        <w:ind w:left="114" w:right="0" w:firstLine="0"/>
        <w:jc w:val="center"/>
        <w:rPr>
          <w:rFonts w:ascii="Arial"/>
          <w:sz w:val="18"/>
        </w:rPr>
      </w:pPr>
      <w:r>
        <w:rPr/>
        <w:br w:type="column"/>
      </w:r>
      <w:r>
        <w:rPr>
          <w:color w:val="030303"/>
          <w:w w:val="120"/>
          <w:sz w:val="11"/>
        </w:rPr>
        <w:t>(le)</w:t>
        <w:tab/>
      </w:r>
      <w:r>
        <w:rPr>
          <w:rFonts w:ascii="Arial"/>
          <w:color w:val="030303"/>
          <w:w w:val="120"/>
          <w:sz w:val="18"/>
        </w:rPr>
        <w:t>1  </w:t>
      </w:r>
      <w:r>
        <w:rPr>
          <w:rFonts w:ascii="Arial"/>
          <w:i/>
          <w:color w:val="030303"/>
          <w:spacing w:val="-3"/>
          <w:w w:val="120"/>
          <w:sz w:val="26"/>
        </w:rPr>
        <w:t>dl;\ </w:t>
      </w:r>
      <w:r>
        <w:rPr>
          <w:rFonts w:ascii="Arial"/>
          <w:color w:val="030303"/>
          <w:w w:val="120"/>
          <w:sz w:val="26"/>
        </w:rPr>
        <w:t>.</w:t>
      </w:r>
      <w:r>
        <w:rPr>
          <w:rFonts w:ascii="Arial"/>
          <w:color w:val="030303"/>
          <w:spacing w:val="10"/>
          <w:w w:val="120"/>
          <w:sz w:val="26"/>
        </w:rPr>
        <w:t> </w:t>
      </w:r>
      <w:r>
        <w:rPr>
          <w:rFonts w:ascii="Arial"/>
          <w:color w:val="030303"/>
          <w:w w:val="120"/>
          <w:sz w:val="18"/>
        </w:rPr>
        <w:t>d?)</w:t>
      </w:r>
    </w:p>
    <w:p>
      <w:pPr>
        <w:tabs>
          <w:tab w:pos="1853" w:val="left" w:leader="none"/>
        </w:tabs>
        <w:spacing w:line="216" w:lineRule="exact" w:before="0"/>
        <w:ind w:left="116" w:right="0" w:firstLine="0"/>
        <w:jc w:val="center"/>
        <w:rPr>
          <w:sz w:val="14"/>
        </w:rPr>
      </w:pPr>
      <w:r>
        <w:rPr>
          <w:b/>
          <w:i/>
          <w:color w:val="030303"/>
          <w:w w:val="120"/>
          <w:sz w:val="13"/>
        </w:rPr>
        <w:t>µx+ </w:t>
      </w:r>
      <w:r>
        <w:rPr>
          <w:b/>
          <w:i/>
          <w:color w:val="030303"/>
          <w:sz w:val="13"/>
        </w:rPr>
        <w:t>t   </w:t>
      </w:r>
      <w:r>
        <w:rPr>
          <w:color w:val="030303"/>
          <w:sz w:val="26"/>
        </w:rPr>
        <w:t>= </w:t>
      </w:r>
      <w:r>
        <w:rPr>
          <w:color w:val="030303"/>
          <w:w w:val="190"/>
          <w:sz w:val="26"/>
        </w:rPr>
        <w:t>- </w:t>
      </w:r>
      <w:r>
        <w:rPr>
          <w:b/>
          <w:color w:val="030303"/>
          <w:w w:val="120"/>
          <w:sz w:val="14"/>
        </w:rPr>
        <w:t>l(</w:t>
      </w:r>
      <w:r>
        <w:rPr>
          <w:b/>
          <w:color w:val="030303"/>
          <w:spacing w:val="-26"/>
          <w:w w:val="120"/>
          <w:sz w:val="14"/>
        </w:rPr>
        <w:t> </w:t>
      </w:r>
      <w:r>
        <w:rPr>
          <w:b/>
          <w:color w:val="030303"/>
          <w:sz w:val="14"/>
        </w:rPr>
        <w:t>T)   </w:t>
      </w:r>
      <w:r>
        <w:rPr>
          <w:b/>
          <w:color w:val="030303"/>
          <w:spacing w:val="34"/>
          <w:sz w:val="14"/>
        </w:rPr>
        <w:t> </w:t>
      </w:r>
      <w:r>
        <w:rPr>
          <w:b/>
          <w:i/>
          <w:color w:val="030303"/>
          <w:sz w:val="21"/>
        </w:rPr>
        <w:t>dt</w:t>
        <w:tab/>
      </w:r>
      <w:r>
        <w:rPr>
          <w:rFonts w:ascii="Arial" w:hAnsi="Arial"/>
          <w:color w:val="030303"/>
          <w:w w:val="120"/>
          <w:sz w:val="14"/>
        </w:rPr>
        <w:t>=;  </w:t>
      </w:r>
      <w:r>
        <w:rPr>
          <w:b/>
          <w:i/>
          <w:color w:val="030303"/>
          <w:spacing w:val="-13"/>
          <w:w w:val="120"/>
          <w:sz w:val="14"/>
        </w:rPr>
        <w:t>l-(T) </w:t>
      </w:r>
      <w:r>
        <w:rPr>
          <w:b/>
          <w:i/>
          <w:color w:val="030303"/>
          <w:spacing w:val="12"/>
          <w:w w:val="120"/>
          <w:sz w:val="14"/>
        </w:rPr>
        <w:t> </w:t>
      </w:r>
      <w:r>
        <w:rPr>
          <w:color w:val="030303"/>
          <w:sz w:val="14"/>
        </w:rPr>
        <w:t>•</w:t>
      </w:r>
    </w:p>
    <w:p>
      <w:pPr>
        <w:tabs>
          <w:tab w:pos="2141" w:val="left" w:leader="none"/>
        </w:tabs>
        <w:spacing w:line="131" w:lineRule="exact" w:before="0"/>
        <w:ind w:left="1035" w:right="0" w:firstLine="0"/>
        <w:jc w:val="left"/>
        <w:rPr>
          <w:b/>
          <w:i/>
          <w:sz w:val="13"/>
        </w:rPr>
      </w:pPr>
      <w:r>
        <w:rPr>
          <w:b/>
          <w:i/>
          <w:color w:val="030303"/>
          <w:sz w:val="13"/>
          <w:shd w:fill="000000" w:color="auto" w:val="clear"/>
        </w:rPr>
        <w:t> </w:t>
      </w:r>
      <w:r>
        <w:rPr>
          <w:b/>
          <w:i/>
          <w:color w:val="030303"/>
          <w:spacing w:val="9"/>
          <w:sz w:val="13"/>
          <w:shd w:fill="000000" w:color="auto" w:val="clear"/>
        </w:rPr>
        <w:t> </w:t>
      </w:r>
      <w:r>
        <w:rPr>
          <w:b/>
          <w:i/>
          <w:color w:val="030303"/>
          <w:w w:val="110"/>
          <w:sz w:val="13"/>
          <w:shd w:fill="000000" w:color="auto" w:val="clear"/>
        </w:rPr>
        <w:t>x+t</w:t>
      </w:r>
      <w:r>
        <w:rPr>
          <w:b/>
          <w:i/>
          <w:color w:val="030303"/>
          <w:w w:val="110"/>
          <w:sz w:val="13"/>
        </w:rPr>
        <w:tab/>
        <w:t>z+</w:t>
      </w:r>
      <w:r>
        <w:rPr>
          <w:b/>
          <w:i/>
          <w:color w:val="030303"/>
          <w:spacing w:val="6"/>
          <w:w w:val="110"/>
          <w:sz w:val="13"/>
        </w:rPr>
        <w:t> </w:t>
      </w:r>
      <w:r>
        <w:rPr>
          <w:b/>
          <w:i/>
          <w:color w:val="030303"/>
          <w:w w:val="110"/>
          <w:sz w:val="13"/>
        </w:rPr>
        <w:t>t</w:t>
      </w:r>
    </w:p>
    <w:p>
      <w:pPr>
        <w:pStyle w:val="BodyText"/>
        <w:rPr>
          <w:b/>
          <w:i/>
          <w:sz w:val="18"/>
        </w:rPr>
      </w:pPr>
      <w:r>
        <w:rPr/>
        <w:br w:type="column"/>
      </w:r>
      <w:r>
        <w:rPr>
          <w:b/>
          <w:i/>
          <w:sz w:val="18"/>
        </w:rPr>
      </w:r>
    </w:p>
    <w:p>
      <w:pPr>
        <w:spacing w:before="130"/>
        <w:ind w:left="116" w:right="0" w:firstLine="0"/>
        <w:jc w:val="left"/>
        <w:rPr>
          <w:sz w:val="19"/>
        </w:rPr>
      </w:pPr>
      <w:r>
        <w:rPr>
          <w:color w:val="030303"/>
          <w:sz w:val="19"/>
        </w:rPr>
        <w:t>( 14.34)</w:t>
      </w:r>
    </w:p>
    <w:p>
      <w:pPr>
        <w:spacing w:after="0"/>
        <w:jc w:val="left"/>
        <w:rPr>
          <w:sz w:val="19"/>
        </w:rPr>
        <w:sectPr>
          <w:type w:val="continuous"/>
          <w:pgSz w:w="7200" w:h="11340"/>
          <w:pgMar w:top="1100" w:bottom="0" w:left="680" w:right="560"/>
          <w:cols w:num="3" w:equalWidth="0">
            <w:col w:w="1258" w:space="432"/>
            <w:col w:w="2483" w:space="941"/>
            <w:col w:w="846"/>
          </w:cols>
        </w:sectPr>
      </w:pPr>
    </w:p>
    <w:p>
      <w:pPr>
        <w:spacing w:line="252" w:lineRule="auto" w:before="106"/>
        <w:ind w:left="109" w:right="110" w:firstLine="201"/>
        <w:jc w:val="left"/>
        <w:rPr>
          <w:sz w:val="20"/>
        </w:rPr>
      </w:pPr>
      <w:r>
        <w:rPr>
          <w:color w:val="030303"/>
          <w:w w:val="92"/>
          <w:sz w:val="21"/>
        </w:rPr>
        <w:t>An </w:t>
      </w:r>
      <w:r>
        <w:rPr>
          <w:color w:val="030303"/>
          <w:w w:val="105"/>
          <w:sz w:val="20"/>
        </w:rPr>
        <w:t>approximate </w:t>
      </w:r>
      <w:r>
        <w:rPr>
          <w:color w:val="030303"/>
          <w:w w:val="102"/>
          <w:sz w:val="20"/>
        </w:rPr>
        <w:t>formula </w:t>
      </w:r>
      <w:r>
        <w:rPr>
          <w:color w:val="030303"/>
          <w:w w:val="100"/>
          <w:sz w:val="20"/>
        </w:rPr>
        <w:t>for </w:t>
      </w:r>
      <w:r>
        <w:rPr>
          <w:rFonts w:ascii="Arial" w:hAnsi="Arial"/>
          <w:i/>
          <w:color w:val="030303"/>
          <w:w w:val="73"/>
          <w:sz w:val="18"/>
        </w:rPr>
        <w:t>q;o.-¡ </w:t>
      </w:r>
      <w:r>
        <w:rPr>
          <w:color w:val="030303"/>
          <w:w w:val="104"/>
          <w:sz w:val="20"/>
        </w:rPr>
        <w:t>can  </w:t>
      </w:r>
      <w:r>
        <w:rPr>
          <w:color w:val="030303"/>
          <w:w w:val="97"/>
          <w:sz w:val="20"/>
        </w:rPr>
        <w:t>now  </w:t>
      </w:r>
      <w:r>
        <w:rPr>
          <w:color w:val="030303"/>
          <w:w w:val="101"/>
          <w:sz w:val="20"/>
        </w:rPr>
        <w:t>be  </w:t>
      </w:r>
      <w:r>
        <w:rPr>
          <w:color w:val="030303"/>
          <w:w w:val="102"/>
          <w:sz w:val="20"/>
        </w:rPr>
        <w:t>dcrived  </w:t>
      </w:r>
      <w:r>
        <w:rPr>
          <w:color w:val="030303"/>
          <w:w w:val="99"/>
          <w:sz w:val="20"/>
        </w:rPr>
        <w:t>by  </w:t>
      </w:r>
      <w:r>
        <w:rPr>
          <w:color w:val="030303"/>
          <w:w w:val="99"/>
          <w:sz w:val="20"/>
        </w:rPr>
        <w:t>using </w:t>
      </w:r>
      <w:r>
        <w:rPr>
          <w:color w:val="030303"/>
          <w:sz w:val="20"/>
        </w:rPr>
        <w:t>this assumption  in  formula   </w:t>
      </w:r>
      <w:r>
        <w:rPr>
          <w:rFonts w:ascii="Arial" w:hAnsi="Arial"/>
          <w:color w:val="030303"/>
          <w:sz w:val="18"/>
        </w:rPr>
        <w:t>(14.30).  </w:t>
      </w:r>
      <w:r>
        <w:rPr>
          <w:color w:val="030303"/>
          <w:sz w:val="20"/>
        </w:rPr>
        <w:t>From   </w:t>
      </w:r>
      <w:r>
        <w:rPr>
          <w:color w:val="030303"/>
          <w:sz w:val="19"/>
        </w:rPr>
        <w:t>(14.3a )  </w:t>
      </w:r>
      <w:r>
        <w:rPr>
          <w:color w:val="030303"/>
          <w:sz w:val="20"/>
        </w:rPr>
        <w:t>and   </w:t>
      </w:r>
      <w:r>
        <w:rPr>
          <w:rFonts w:ascii="Arial" w:hAnsi="Arial"/>
          <w:color w:val="030303"/>
          <w:sz w:val="18"/>
        </w:rPr>
        <w:t>(14.34)  </w:t>
      </w:r>
      <w:r>
        <w:rPr>
          <w:color w:val="030303"/>
          <w:sz w:val="20"/>
        </w:rPr>
        <w:t>we</w:t>
      </w:r>
    </w:p>
    <w:p>
      <w:pPr>
        <w:pStyle w:val="BodyText"/>
        <w:spacing w:line="47" w:lineRule="exact" w:before="10"/>
        <w:ind w:left="109"/>
      </w:pPr>
      <w:r>
        <w:rPr/>
        <w:pict>
          <v:shape style="position:absolute;margin-left:90.089729pt;margin-top:2.864982pt;width:8.950pt;height:37pt;mso-position-horizontal-relative:page;mso-position-vertical-relative:paragraph;z-index:-713560" type="#_x0000_t202" filled="false" stroked="false">
            <v:textbox inset="0,0,0,0">
              <w:txbxContent>
                <w:p>
                  <w:pPr>
                    <w:spacing w:line="740" w:lineRule="exact" w:before="0"/>
                    <w:ind w:left="0" w:right="0" w:firstLine="0"/>
                    <w:jc w:val="left"/>
                    <w:rPr>
                      <w:rFonts w:ascii="Arial"/>
                      <w:b/>
                      <w:i/>
                      <w:sz w:val="74"/>
                    </w:rPr>
                  </w:pPr>
                  <w:r>
                    <w:rPr>
                      <w:rFonts w:ascii="Arial"/>
                      <w:b/>
                      <w:i/>
                      <w:color w:val="030303"/>
                      <w:w w:val="61"/>
                      <w:sz w:val="74"/>
                    </w:rPr>
                    <w:t>r</w:t>
                  </w:r>
                </w:p>
              </w:txbxContent>
            </v:textbox>
            <w10:wrap type="none"/>
          </v:shape>
        </w:pict>
      </w:r>
      <w:r>
        <w:rPr>
          <w:color w:val="030303"/>
          <w:w w:val="105"/>
        </w:rPr>
        <w:t>have</w:t>
      </w:r>
    </w:p>
    <w:p>
      <w:pPr>
        <w:tabs>
          <w:tab w:pos="2035" w:val="left" w:leader="none"/>
        </w:tabs>
        <w:spacing w:line="485" w:lineRule="exact" w:before="158"/>
        <w:ind w:left="0" w:right="731" w:firstLine="0"/>
        <w:jc w:val="center"/>
        <w:rPr>
          <w:b/>
          <w:i/>
          <w:sz w:val="21"/>
        </w:rPr>
      </w:pPr>
      <w:r>
        <w:rPr/>
        <w:pict>
          <v:line style="position:absolute;mso-position-horizontal-relative:page;mso-position-vertical-relative:paragraph;z-index:-713584" from="192.382904pt,32.45953pt" to="214.456604pt,32.45953pt" stroked="true" strokeweight="5.024925pt" strokecolor="#000000">
            <w10:wrap type="none"/>
          </v:line>
        </w:pict>
      </w:r>
      <w:r>
        <w:rPr>
          <w:rFonts w:ascii="Arial" w:hAnsi="Arial"/>
          <w:b/>
          <w:i/>
          <w:color w:val="030303"/>
          <w:w w:val="67"/>
          <w:sz w:val="29"/>
        </w:rPr>
        <w:t>µ;t</w:t>
      </w:r>
      <w:r>
        <w:rPr>
          <w:rFonts w:ascii="Arial" w:hAnsi="Arial"/>
          <w:b/>
          <w:i/>
          <w:color w:val="030303"/>
          <w:w w:val="67"/>
          <w:sz w:val="29"/>
        </w:rPr>
        <w:t>\</w:t>
      </w:r>
      <w:r>
        <w:rPr>
          <w:rFonts w:ascii="Arial" w:hAnsi="Arial"/>
          <w:b/>
          <w:i/>
          <w:color w:val="030303"/>
          <w:spacing w:val="21"/>
          <w:sz w:val="29"/>
        </w:rPr>
        <w:t> </w:t>
      </w:r>
      <w:r>
        <w:rPr>
          <w:b/>
          <w:i/>
          <w:color w:val="030303"/>
          <w:w w:val="88"/>
          <w:sz w:val="21"/>
        </w:rPr>
        <w:t>dt</w:t>
      </w:r>
      <w:r>
        <w:rPr>
          <w:b/>
          <w:i/>
          <w:color w:val="030303"/>
          <w:sz w:val="21"/>
        </w:rPr>
        <w:t> </w:t>
      </w:r>
      <w:r>
        <w:rPr>
          <w:b/>
          <w:i/>
          <w:color w:val="030303"/>
          <w:spacing w:val="1"/>
          <w:sz w:val="21"/>
        </w:rPr>
        <w:t> </w:t>
      </w:r>
      <w:r>
        <w:rPr>
          <w:rFonts w:ascii="Arial" w:hAnsi="Arial"/>
          <w:color w:val="030303"/>
          <w:w w:val="90"/>
          <w:sz w:val="20"/>
        </w:rPr>
        <w:t>=;</w:t>
      </w:r>
      <w:r>
        <w:rPr>
          <w:rFonts w:ascii="Arial" w:hAnsi="Arial"/>
          <w:color w:val="030303"/>
          <w:spacing w:val="17"/>
          <w:sz w:val="20"/>
        </w:rPr>
        <w:t> </w:t>
      </w:r>
      <w:r>
        <w:rPr>
          <w:rFonts w:ascii="Arial" w:hAnsi="Arial"/>
          <w:b/>
          <w:color w:val="030303"/>
          <w:spacing w:val="-60"/>
          <w:w w:val="89"/>
          <w:sz w:val="47"/>
        </w:rPr>
        <w:t>1</w:t>
      </w:r>
      <w:r>
        <w:rPr>
          <w:rFonts w:ascii="Arial" w:hAnsi="Arial"/>
          <w:b/>
          <w:color w:val="030303"/>
          <w:w w:val="26"/>
          <w:sz w:val="47"/>
        </w:rPr>
        <w:t>1</w:t>
      </w:r>
      <w:r>
        <w:rPr>
          <w:rFonts w:ascii="Arial" w:hAnsi="Arial"/>
          <w:b/>
          <w:color w:val="030303"/>
          <w:spacing w:val="-26"/>
          <w:sz w:val="47"/>
        </w:rPr>
        <w:t> </w:t>
      </w:r>
      <w:r>
        <w:rPr>
          <w:color w:val="030303"/>
          <w:w w:val="118"/>
          <w:sz w:val="11"/>
        </w:rPr>
        <w:t>(</w:t>
      </w:r>
      <w:r>
        <w:rPr>
          <w:color w:val="030303"/>
          <w:sz w:val="11"/>
        </w:rPr>
        <w:t> </w:t>
      </w:r>
      <w:r>
        <w:rPr>
          <w:color w:val="030303"/>
          <w:w w:val="117"/>
          <w:sz w:val="11"/>
        </w:rPr>
        <w:t>T</w:t>
      </w:r>
      <w:r>
        <w:rPr>
          <w:color w:val="030303"/>
          <w:w w:val="117"/>
          <w:sz w:val="11"/>
        </w:rPr>
        <w:t>)</w:t>
      </w:r>
      <w:r>
        <w:rPr>
          <w:color w:val="030303"/>
          <w:sz w:val="11"/>
        </w:rPr>
        <w:t>    </w:t>
      </w:r>
      <w:r>
        <w:rPr>
          <w:color w:val="030303"/>
          <w:spacing w:val="-9"/>
          <w:sz w:val="11"/>
        </w:rPr>
        <w:t> </w:t>
      </w:r>
      <w:r>
        <w:rPr>
          <w:b/>
          <w:i/>
          <w:color w:val="030303"/>
          <w:w w:val="78"/>
          <w:sz w:val="20"/>
        </w:rPr>
        <w:t>d;k</w:t>
      </w:r>
      <w:r>
        <w:rPr>
          <w:b/>
          <w:i/>
          <w:color w:val="030303"/>
          <w:spacing w:val="-28"/>
          <w:sz w:val="20"/>
        </w:rPr>
        <w:t> </w:t>
      </w:r>
      <w:r>
        <w:rPr>
          <w:b/>
          <w:i/>
          <w:color w:val="030303"/>
          <w:w w:val="34"/>
          <w:sz w:val="20"/>
        </w:rPr>
        <w:t>)</w:t>
      </w:r>
      <w:r>
        <w:rPr>
          <w:b/>
          <w:i/>
          <w:color w:val="030303"/>
          <w:sz w:val="20"/>
        </w:rPr>
        <w:tab/>
      </w:r>
      <w:r>
        <w:rPr>
          <w:b/>
          <w:color w:val="030303"/>
          <w:w w:val="112"/>
          <w:sz w:val="10"/>
        </w:rPr>
        <w:t>(</w:t>
      </w:r>
      <w:r>
        <w:rPr>
          <w:b/>
          <w:color w:val="030303"/>
          <w:spacing w:val="5"/>
          <w:sz w:val="10"/>
        </w:rPr>
        <w:t> </w:t>
      </w:r>
      <w:r>
        <w:rPr>
          <w:b/>
          <w:color w:val="030303"/>
          <w:w w:val="118"/>
          <w:sz w:val="10"/>
        </w:rPr>
        <w:t>T</w:t>
      </w:r>
      <w:r>
        <w:rPr>
          <w:b/>
          <w:color w:val="030303"/>
          <w:w w:val="118"/>
          <w:sz w:val="10"/>
        </w:rPr>
        <w:t>)</w:t>
      </w:r>
      <w:r>
        <w:rPr>
          <w:b/>
          <w:color w:val="030303"/>
          <w:sz w:val="10"/>
        </w:rPr>
        <w:t>  </w:t>
      </w:r>
      <w:r>
        <w:rPr>
          <w:b/>
          <w:color w:val="030303"/>
          <w:spacing w:val="-4"/>
          <w:sz w:val="10"/>
        </w:rPr>
        <w:t> </w:t>
      </w:r>
      <w:r>
        <w:rPr>
          <w:b/>
          <w:i/>
          <w:color w:val="030303"/>
          <w:w w:val="83"/>
          <w:sz w:val="21"/>
        </w:rPr>
        <w:t>dt</w:t>
      </w:r>
    </w:p>
    <w:p>
      <w:pPr>
        <w:tabs>
          <w:tab w:pos="2370" w:val="left" w:leader="none"/>
          <w:tab w:pos="2927" w:val="left" w:leader="none"/>
        </w:tabs>
        <w:spacing w:line="152" w:lineRule="exact" w:before="0"/>
        <w:ind w:left="1207" w:right="0" w:firstLine="0"/>
        <w:jc w:val="left"/>
        <w:rPr>
          <w:b/>
          <w:i/>
          <w:sz w:val="20"/>
        </w:rPr>
      </w:pPr>
      <w:r>
        <w:rPr>
          <w:rFonts w:ascii="Arial" w:hAnsi="Arial"/>
          <w:b/>
          <w:color w:val="030303"/>
          <w:w w:val="85"/>
          <w:sz w:val="11"/>
        </w:rPr>
        <w:t>O</w:t>
        <w:tab/>
        <w:t>O  </w:t>
      </w:r>
      <w:r>
        <w:rPr>
          <w:rFonts w:ascii="Arial" w:hAnsi="Arial"/>
          <w:b/>
          <w:color w:val="030303"/>
          <w:spacing w:val="23"/>
          <w:w w:val="85"/>
          <w:sz w:val="11"/>
        </w:rPr>
        <w:t> </w:t>
      </w:r>
      <w:r>
        <w:rPr>
          <w:b/>
          <w:i/>
          <w:color w:val="030303"/>
          <w:spacing w:val="6"/>
          <w:w w:val="85"/>
          <w:sz w:val="20"/>
        </w:rPr>
        <w:t>lx</w:t>
        <w:tab/>
      </w:r>
      <w:r>
        <w:rPr>
          <w:color w:val="030303"/>
          <w:w w:val="255"/>
          <w:sz w:val="20"/>
        </w:rPr>
        <w:t>-</w:t>
      </w:r>
      <w:r>
        <w:rPr>
          <w:color w:val="030303"/>
          <w:spacing w:val="-87"/>
          <w:w w:val="255"/>
          <w:sz w:val="20"/>
        </w:rPr>
        <w:t> </w:t>
      </w:r>
      <w:r>
        <w:rPr>
          <w:rFonts w:ascii="Arial" w:hAnsi="Arial"/>
          <w:b/>
          <w:i/>
          <w:color w:val="030303"/>
          <w:sz w:val="18"/>
        </w:rPr>
        <w:t>l</w:t>
      </w:r>
      <w:r>
        <w:rPr>
          <w:rFonts w:ascii="Arial" w:hAnsi="Arial"/>
          <w:b/>
          <w:i/>
          <w:color w:val="030303"/>
          <w:spacing w:val="-12"/>
          <w:sz w:val="18"/>
        </w:rPr>
        <w:t> </w:t>
      </w:r>
      <w:r>
        <w:rPr>
          <w:b/>
          <w:i/>
          <w:color w:val="030303"/>
          <w:w w:val="85"/>
          <w:sz w:val="20"/>
        </w:rPr>
        <w:t>·</w:t>
      </w:r>
      <w:r>
        <w:rPr>
          <w:b/>
          <w:i/>
          <w:color w:val="030303"/>
          <w:spacing w:val="-20"/>
          <w:w w:val="85"/>
          <w:sz w:val="20"/>
        </w:rPr>
        <w:t> </w:t>
      </w:r>
      <w:r>
        <w:rPr>
          <w:b/>
          <w:i/>
          <w:color w:val="030303"/>
          <w:sz w:val="20"/>
        </w:rPr>
        <w:t>dz</w:t>
      </w:r>
    </w:p>
    <w:p>
      <w:pPr>
        <w:spacing w:line="609" w:lineRule="exact" w:before="0"/>
        <w:ind w:left="2291" w:right="0" w:firstLine="0"/>
        <w:jc w:val="left"/>
        <w:rPr>
          <w:sz w:val="55"/>
        </w:rPr>
      </w:pPr>
      <w:r>
        <w:rPr>
          <w:rFonts w:ascii="Arial" w:hAnsi="Arial"/>
          <w:color w:val="030303"/>
          <w:spacing w:val="2"/>
          <w:w w:val="107"/>
          <w:sz w:val="47"/>
        </w:rPr>
        <w:t>[</w:t>
      </w:r>
      <w:r>
        <w:rPr>
          <w:rFonts w:ascii="Arial" w:hAnsi="Arial"/>
          <w:color w:val="030303"/>
          <w:w w:val="104"/>
          <w:sz w:val="47"/>
        </w:rPr>
        <w:t>-</w:t>
      </w:r>
      <w:r>
        <w:rPr>
          <w:rFonts w:ascii="Arial" w:hAnsi="Arial"/>
          <w:color w:val="030303"/>
          <w:spacing w:val="-66"/>
          <w:sz w:val="47"/>
        </w:rPr>
        <w:t> </w:t>
      </w:r>
      <w:r>
        <w:rPr>
          <w:rFonts w:ascii="Arial" w:hAnsi="Arial"/>
          <w:i/>
          <w:color w:val="030303"/>
          <w:spacing w:val="-67"/>
          <w:w w:val="122"/>
          <w:sz w:val="47"/>
        </w:rPr>
        <w:t>:</w:t>
      </w:r>
      <w:r>
        <w:rPr>
          <w:rFonts w:ascii="Arial" w:hAnsi="Arial"/>
          <w:i/>
          <w:color w:val="030303"/>
          <w:spacing w:val="6"/>
          <w:w w:val="37"/>
          <w:sz w:val="47"/>
        </w:rPr>
        <w:t>J</w:t>
      </w:r>
      <w:r>
        <w:rPr>
          <w:rFonts w:ascii="Arial" w:hAnsi="Arial"/>
          <w:color w:val="030303"/>
          <w:spacing w:val="-111"/>
          <w:w w:val="150"/>
          <w:sz w:val="47"/>
        </w:rPr>
        <w:t>:</w:t>
      </w:r>
      <w:r>
        <w:rPr>
          <w:rFonts w:ascii="Arial" w:hAnsi="Arial"/>
          <w:color w:val="030303"/>
          <w:spacing w:val="-18"/>
          <w:w w:val="73"/>
          <w:sz w:val="47"/>
        </w:rPr>
        <w:t>:</w:t>
      </w:r>
      <w:r>
        <w:rPr>
          <w:rFonts w:ascii="Arial" w:hAnsi="Arial"/>
          <w:color w:val="030303"/>
          <w:spacing w:val="-21"/>
          <w:w w:val="58"/>
          <w:sz w:val="47"/>
        </w:rPr>
        <w:t>·</w:t>
      </w:r>
      <w:r>
        <w:rPr>
          <w:color w:val="030303"/>
          <w:w w:val="105"/>
          <w:sz w:val="19"/>
        </w:rPr>
        <w:t>log</w:t>
      </w:r>
      <w:r>
        <w:rPr>
          <w:color w:val="030303"/>
          <w:sz w:val="19"/>
        </w:rPr>
        <w:t> </w:t>
      </w:r>
      <w:r>
        <w:rPr>
          <w:color w:val="030303"/>
          <w:spacing w:val="-15"/>
          <w:sz w:val="19"/>
        </w:rPr>
        <w:t> </w:t>
      </w:r>
      <w:r>
        <w:rPr>
          <w:color w:val="030303"/>
          <w:spacing w:val="22"/>
          <w:w w:val="39"/>
          <w:sz w:val="32"/>
        </w:rPr>
        <w:t>c</w:t>
      </w:r>
      <w:r>
        <w:rPr>
          <w:color w:val="030303"/>
          <w:w w:val="49"/>
          <w:sz w:val="32"/>
        </w:rPr>
        <w:t>z;T</w:t>
      </w:r>
      <w:r>
        <w:rPr>
          <w:color w:val="030303"/>
          <w:w w:val="49"/>
          <w:sz w:val="32"/>
        </w:rPr>
        <w:t>)</w:t>
      </w:r>
      <w:r>
        <w:rPr>
          <w:color w:val="030303"/>
          <w:spacing w:val="27"/>
          <w:sz w:val="32"/>
        </w:rPr>
        <w:t> </w:t>
      </w:r>
      <w:r>
        <w:rPr>
          <w:color w:val="030303"/>
          <w:w w:val="165"/>
          <w:sz w:val="32"/>
        </w:rPr>
        <w:t>-</w:t>
      </w:r>
      <w:r>
        <w:rPr>
          <w:color w:val="030303"/>
          <w:spacing w:val="-28"/>
          <w:sz w:val="32"/>
        </w:rPr>
        <w:t> </w:t>
      </w:r>
      <w:r>
        <w:rPr>
          <w:i/>
          <w:color w:val="030303"/>
          <w:w w:val="89"/>
          <w:sz w:val="23"/>
        </w:rPr>
        <w:t>t·d;T'</w:t>
      </w:r>
      <w:r>
        <w:rPr>
          <w:i/>
          <w:color w:val="030303"/>
          <w:spacing w:val="-3"/>
          <w:sz w:val="23"/>
        </w:rPr>
        <w:t> </w:t>
      </w:r>
      <w:r>
        <w:rPr>
          <w:i/>
          <w:color w:val="030303"/>
          <w:w w:val="64"/>
          <w:sz w:val="23"/>
        </w:rPr>
        <w:t>)</w:t>
      </w:r>
      <w:r>
        <w:rPr>
          <w:i/>
          <w:color w:val="030303"/>
          <w:spacing w:val="-29"/>
          <w:sz w:val="23"/>
        </w:rPr>
        <w:t> </w:t>
      </w:r>
      <w:r>
        <w:rPr>
          <w:color w:val="030303"/>
          <w:spacing w:val="3"/>
          <w:w w:val="51"/>
          <w:sz w:val="55"/>
        </w:rPr>
        <w:t>J</w:t>
      </w:r>
      <w:r>
        <w:rPr>
          <w:color w:val="030303"/>
          <w:w w:val="81"/>
          <w:sz w:val="55"/>
        </w:rPr>
        <w:t>:</w:t>
      </w:r>
    </w:p>
    <w:p>
      <w:pPr>
        <w:tabs>
          <w:tab w:pos="991" w:val="left" w:leader="none"/>
        </w:tabs>
        <w:spacing w:line="196" w:lineRule="exact" w:before="161"/>
        <w:ind w:left="154" w:right="0" w:firstLine="0"/>
        <w:jc w:val="center"/>
        <w:rPr>
          <w:rFonts w:ascii="Arial"/>
          <w:sz w:val="10"/>
        </w:rPr>
      </w:pPr>
      <w:r>
        <w:rPr>
          <w:rFonts w:ascii="Arial"/>
          <w:i/>
          <w:color w:val="030303"/>
          <w:w w:val="90"/>
          <w:sz w:val="20"/>
        </w:rPr>
        <w:t>d;k</w:t>
      </w:r>
      <w:r>
        <w:rPr>
          <w:rFonts w:ascii="Arial"/>
          <w:i/>
          <w:color w:val="030303"/>
          <w:spacing w:val="-32"/>
          <w:w w:val="90"/>
          <w:sz w:val="20"/>
        </w:rPr>
        <w:t> </w:t>
      </w:r>
      <w:r>
        <w:rPr>
          <w:rFonts w:ascii="Arial"/>
          <w:i/>
          <w:color w:val="030303"/>
          <w:w w:val="90"/>
          <w:sz w:val="20"/>
        </w:rPr>
        <w:t>)</w:t>
        <w:tab/>
      </w:r>
      <w:r>
        <w:rPr>
          <w:rFonts w:ascii="Arial"/>
          <w:color w:val="030303"/>
          <w:w w:val="110"/>
          <w:sz w:val="10"/>
        </w:rPr>
        <w:t>(</w:t>
      </w:r>
      <w:r>
        <w:rPr>
          <w:rFonts w:ascii="Arial"/>
          <w:color w:val="030303"/>
          <w:spacing w:val="13"/>
          <w:w w:val="110"/>
          <w:sz w:val="10"/>
        </w:rPr>
        <w:t> </w:t>
      </w:r>
      <w:r>
        <w:rPr>
          <w:rFonts w:ascii="Arial"/>
          <w:color w:val="030303"/>
          <w:w w:val="110"/>
          <w:sz w:val="10"/>
        </w:rPr>
        <w:t>T)</w:t>
      </w:r>
    </w:p>
    <w:p>
      <w:pPr>
        <w:spacing w:line="157" w:lineRule="exact" w:before="0"/>
        <w:ind w:left="136" w:right="131" w:firstLine="0"/>
        <w:jc w:val="center"/>
        <w:rPr>
          <w:sz w:val="19"/>
        </w:rPr>
      </w:pPr>
      <w:r>
        <w:rPr>
          <w:color w:val="030303"/>
          <w:w w:val="370"/>
          <w:sz w:val="14"/>
        </w:rPr>
        <w:t>- </w:t>
      </w:r>
      <w:r>
        <w:rPr>
          <w:color w:val="030303"/>
          <w:w w:val="175"/>
          <w:sz w:val="14"/>
        </w:rPr>
        <w:t>(T) </w:t>
      </w:r>
      <w:r>
        <w:rPr>
          <w:color w:val="030303"/>
          <w:w w:val="105"/>
          <w:sz w:val="20"/>
        </w:rPr>
        <w:t>log </w:t>
      </w:r>
      <w:r>
        <w:rPr>
          <w:i/>
          <w:color w:val="030303"/>
          <w:w w:val="105"/>
          <w:sz w:val="19"/>
        </w:rPr>
        <w:t>Pz </w:t>
      </w:r>
      <w:r>
        <w:rPr>
          <w:color w:val="030303"/>
          <w:w w:val="140"/>
          <w:sz w:val="19"/>
        </w:rPr>
        <w:t>.</w:t>
      </w:r>
    </w:p>
    <w:p>
      <w:pPr>
        <w:spacing w:line="190" w:lineRule="exact" w:before="0"/>
        <w:ind w:left="260" w:right="960" w:firstLine="0"/>
        <w:jc w:val="center"/>
        <w:rPr>
          <w:b/>
          <w:i/>
          <w:sz w:val="20"/>
        </w:rPr>
      </w:pPr>
      <w:r>
        <w:rPr>
          <w:b/>
          <w:i/>
          <w:color w:val="030303"/>
          <w:sz w:val="20"/>
        </w:rPr>
        <w:t>dz</w:t>
      </w:r>
    </w:p>
    <w:p>
      <w:pPr>
        <w:spacing w:before="122"/>
        <w:ind w:left="120" w:right="0" w:firstLine="0"/>
        <w:jc w:val="left"/>
        <w:rPr>
          <w:sz w:val="20"/>
        </w:rPr>
      </w:pPr>
      <w:r>
        <w:rPr>
          <w:color w:val="030303"/>
          <w:w w:val="110"/>
          <w:sz w:val="20"/>
        </w:rPr>
        <w:t>Substituting this result in  </w:t>
      </w:r>
      <w:r>
        <w:rPr>
          <w:color w:val="030303"/>
          <w:w w:val="110"/>
          <w:sz w:val="19"/>
        </w:rPr>
        <w:t>(14.30), </w:t>
      </w:r>
      <w:r>
        <w:rPr>
          <w:rFonts w:ascii="Arial"/>
          <w:color w:val="030303"/>
          <w:w w:val="110"/>
          <w:sz w:val="17"/>
        </w:rPr>
        <w:t>wc </w:t>
      </w:r>
      <w:r>
        <w:rPr>
          <w:color w:val="030303"/>
          <w:w w:val="110"/>
          <w:sz w:val="20"/>
        </w:rPr>
        <w:t>obtain</w:t>
      </w:r>
    </w:p>
    <w:p>
      <w:pPr>
        <w:spacing w:line="276" w:lineRule="exact" w:before="57"/>
        <w:ind w:left="1621" w:right="131" w:firstLine="0"/>
        <w:jc w:val="center"/>
        <w:rPr>
          <w:i/>
          <w:sz w:val="25"/>
        </w:rPr>
      </w:pPr>
      <w:r>
        <w:rPr>
          <w:i/>
          <w:color w:val="030303"/>
          <w:w w:val="85"/>
          <w:sz w:val="25"/>
        </w:rPr>
        <w:t>d?'</w:t>
      </w:r>
    </w:p>
    <w:p>
      <w:pPr>
        <w:spacing w:after="0" w:line="276" w:lineRule="exact"/>
        <w:jc w:val="center"/>
        <w:rPr>
          <w:sz w:val="25"/>
        </w:rPr>
        <w:sectPr>
          <w:type w:val="continuous"/>
          <w:pgSz w:w="7200" w:h="11340"/>
          <w:pgMar w:top="1100" w:bottom="0" w:left="680" w:right="560"/>
        </w:sectPr>
      </w:pPr>
    </w:p>
    <w:p>
      <w:pPr>
        <w:spacing w:line="336" w:lineRule="exact" w:before="0"/>
        <w:ind w:left="0" w:right="0" w:firstLine="0"/>
        <w:jc w:val="right"/>
        <w:rPr>
          <w:sz w:val="19"/>
        </w:rPr>
      </w:pPr>
      <w:r>
        <w:rPr/>
        <w:pict>
          <v:shape style="position:absolute;margin-left:139.262207pt;margin-top:3.046644pt;width:4.1pt;height:4.5pt;mso-position-horizontal-relative:page;mso-position-vertical-relative:paragraph;z-index:-713536" type="#_x0000_t202" filled="false" stroked="false">
            <v:textbox inset="0,0,0,0">
              <w:txbxContent>
                <w:p>
                  <w:pPr>
                    <w:spacing w:line="90" w:lineRule="exact" w:before="0"/>
                    <w:ind w:left="0" w:right="0" w:firstLine="0"/>
                    <w:jc w:val="left"/>
                    <w:rPr>
                      <w:sz w:val="9"/>
                    </w:rPr>
                  </w:pPr>
                  <w:r>
                    <w:rPr>
                      <w:color w:val="030303"/>
                      <w:w w:val="181"/>
                      <w:sz w:val="9"/>
                    </w:rPr>
                    <w:t>1</w:t>
                  </w:r>
                </w:p>
              </w:txbxContent>
            </v:textbox>
            <w10:wrap type="none"/>
          </v:shape>
        </w:pict>
      </w:r>
      <w:r>
        <w:rPr>
          <w:i/>
          <w:color w:val="030303"/>
          <w:w w:val="95"/>
          <w:position w:val="-9"/>
          <w:sz w:val="19"/>
        </w:rPr>
        <w:t>qz </w:t>
      </w:r>
      <w:r>
        <w:rPr>
          <w:color w:val="030303"/>
          <w:w w:val="95"/>
          <w:sz w:val="10"/>
        </w:rPr>
        <w:t>(k)  </w:t>
      </w:r>
      <w:r>
        <w:rPr>
          <w:rFonts w:ascii="Arial" w:hAnsi="Arial"/>
          <w:color w:val="030303"/>
          <w:w w:val="80"/>
          <w:sz w:val="24"/>
        </w:rPr>
        <w:t>==</w:t>
      </w:r>
      <w:r>
        <w:rPr>
          <w:color w:val="030303"/>
          <w:w w:val="80"/>
          <w:position w:val="-9"/>
          <w:sz w:val="19"/>
        </w:rPr>
        <w:t>•</w:t>
      </w:r>
    </w:p>
    <w:p>
      <w:pPr>
        <w:spacing w:line="160" w:lineRule="exact" w:before="17"/>
        <w:ind w:left="70" w:right="0" w:firstLine="0"/>
        <w:jc w:val="left"/>
        <w:rPr>
          <w:rFonts w:ascii="Arial"/>
          <w:sz w:val="18"/>
        </w:rPr>
      </w:pPr>
      <w:r>
        <w:rPr/>
        <w:br w:type="column"/>
      </w:r>
      <w:r>
        <w:rPr>
          <w:color w:val="030303"/>
          <w:w w:val="138"/>
          <w:sz w:val="19"/>
        </w:rPr>
        <w:t>l</w:t>
      </w:r>
      <w:r>
        <w:rPr>
          <w:color w:val="030303"/>
          <w:sz w:val="19"/>
        </w:rPr>
        <w:t> </w:t>
      </w:r>
      <w:r>
        <w:rPr>
          <w:color w:val="030303"/>
          <w:spacing w:val="4"/>
          <w:sz w:val="19"/>
        </w:rPr>
        <w:t> </w:t>
      </w:r>
      <w:r>
        <w:rPr>
          <w:color w:val="030303"/>
          <w:w w:val="102"/>
          <w:sz w:val="19"/>
        </w:rPr>
        <w:t>:_</w:t>
      </w:r>
      <w:r>
        <w:rPr>
          <w:color w:val="030303"/>
          <w:sz w:val="19"/>
        </w:rPr>
        <w:t> </w:t>
      </w:r>
      <w:r>
        <w:rPr>
          <w:color w:val="030303"/>
          <w:spacing w:val="7"/>
          <w:sz w:val="19"/>
        </w:rPr>
        <w:t> </w:t>
      </w:r>
      <w:r>
        <w:rPr>
          <w:color w:val="030303"/>
          <w:w w:val="95"/>
          <w:sz w:val="19"/>
        </w:rPr>
        <w:t>(</w:t>
      </w:r>
      <w:r>
        <w:rPr>
          <w:color w:val="030303"/>
          <w:sz w:val="19"/>
        </w:rPr>
        <w:t>  </w:t>
      </w:r>
      <w:r>
        <w:rPr>
          <w:color w:val="030303"/>
          <w:spacing w:val="4"/>
          <w:sz w:val="19"/>
        </w:rPr>
        <w:t> </w:t>
      </w:r>
      <w:r>
        <w:rPr>
          <w:rFonts w:ascii="Arial"/>
          <w:color w:val="030303"/>
          <w:w w:val="73"/>
          <w:sz w:val="18"/>
        </w:rPr>
        <w:t>(</w:t>
      </w:r>
      <w:r>
        <w:rPr>
          <w:rFonts w:ascii="Arial"/>
          <w:color w:val="030303"/>
          <w:spacing w:val="-23"/>
          <w:sz w:val="18"/>
        </w:rPr>
        <w:t> </w:t>
      </w:r>
      <w:r>
        <w:rPr>
          <w:rFonts w:ascii="Arial"/>
          <w:color w:val="030303"/>
          <w:spacing w:val="7"/>
          <w:w w:val="64"/>
          <w:sz w:val="18"/>
        </w:rPr>
        <w:t>T</w:t>
      </w:r>
      <w:r>
        <w:rPr>
          <w:rFonts w:ascii="Arial"/>
          <w:color w:val="262626"/>
          <w:w w:val="56"/>
          <w:sz w:val="18"/>
        </w:rPr>
        <w:t>)</w:t>
      </w:r>
      <w:r>
        <w:rPr>
          <w:rFonts w:ascii="Arial"/>
          <w:color w:val="262626"/>
          <w:spacing w:val="-13"/>
          <w:sz w:val="18"/>
        </w:rPr>
        <w:t> </w:t>
      </w:r>
      <w:r>
        <w:rPr>
          <w:rFonts w:ascii="Arial"/>
          <w:color w:val="030303"/>
          <w:w w:val="81"/>
          <w:sz w:val="18"/>
        </w:rPr>
        <w:t>)</w:t>
      </w:r>
      <w:r>
        <w:rPr>
          <w:rFonts w:ascii="Arial"/>
          <w:color w:val="030303"/>
          <w:w w:val="81"/>
          <w:sz w:val="18"/>
        </w:rPr>
        <w:t>d</w:t>
      </w:r>
      <w:r>
        <w:rPr>
          <w:rFonts w:ascii="Arial"/>
          <w:color w:val="030303"/>
          <w:spacing w:val="-22"/>
          <w:w w:val="81"/>
          <w:sz w:val="18"/>
        </w:rPr>
        <w:t>,</w:t>
      </w:r>
      <w:r>
        <w:rPr>
          <w:rFonts w:ascii="Arial"/>
          <w:color w:val="030303"/>
          <w:w w:val="166"/>
          <w:sz w:val="18"/>
        </w:rPr>
        <w:t>F'</w:t>
      </w:r>
    </w:p>
    <w:p>
      <w:pPr>
        <w:tabs>
          <w:tab w:pos="1312" w:val="left" w:leader="none"/>
        </w:tabs>
        <w:spacing w:line="160" w:lineRule="exact" w:before="0"/>
        <w:ind w:left="569" w:right="0" w:firstLine="0"/>
        <w:jc w:val="left"/>
        <w:rPr>
          <w:sz w:val="19"/>
        </w:rPr>
      </w:pPr>
      <w:r>
        <w:rPr/>
        <w:pict>
          <v:shape style="position:absolute;margin-left:295.393799pt;margin-top:-3.518192pt;width:29.95pt;height:9.5pt;mso-position-horizontal-relative:page;mso-position-vertical-relative:paragraph;z-index:22552" type="#_x0000_t202" filled="false" stroked="false">
            <v:textbox inset="0,0,0,0">
              <w:txbxContent>
                <w:p>
                  <w:pPr>
                    <w:spacing w:line="190" w:lineRule="exact" w:before="0"/>
                    <w:ind w:left="0" w:right="-3" w:firstLine="0"/>
                    <w:jc w:val="left"/>
                    <w:rPr>
                      <w:sz w:val="19"/>
                    </w:rPr>
                  </w:pPr>
                  <w:r>
                    <w:rPr>
                      <w:color w:val="030303"/>
                      <w:w w:val="105"/>
                      <w:sz w:val="19"/>
                    </w:rPr>
                    <w:t>(14.35)</w:t>
                  </w:r>
                </w:p>
              </w:txbxContent>
            </v:textbox>
            <w10:wrap type="none"/>
          </v:shape>
        </w:pict>
      </w:r>
      <w:r>
        <w:rPr>
          <w:i/>
          <w:color w:val="030303"/>
          <w:sz w:val="19"/>
        </w:rPr>
        <w:t>Px</w:t>
        <w:tab/>
      </w:r>
      <w:r>
        <w:rPr>
          <w:color w:val="030303"/>
          <w:sz w:val="19"/>
        </w:rPr>
        <w:t>·</w:t>
      </w:r>
    </w:p>
    <w:p>
      <w:pPr>
        <w:spacing w:after="0" w:line="160" w:lineRule="exact"/>
        <w:jc w:val="left"/>
        <w:rPr>
          <w:sz w:val="19"/>
        </w:rPr>
        <w:sectPr>
          <w:type w:val="continuous"/>
          <w:pgSz w:w="7200" w:h="11340"/>
          <w:pgMar w:top="1100" w:bottom="0" w:left="680" w:right="560"/>
          <w:cols w:num="2" w:equalWidth="0">
            <w:col w:w="2573" w:space="40"/>
            <w:col w:w="3347"/>
          </w:cols>
        </w:sectPr>
      </w:pPr>
    </w:p>
    <w:p>
      <w:pPr>
        <w:pStyle w:val="BodyText"/>
        <w:spacing w:line="256" w:lineRule="auto" w:before="90"/>
        <w:ind w:left="120" w:right="136"/>
      </w:pPr>
      <w:r>
        <w:rPr>
          <w:color w:val="030303"/>
          <w:w w:val="105"/>
          <w:sz w:val="19"/>
        </w:rPr>
        <w:t>To </w:t>
      </w:r>
      <w:r>
        <w:rPr>
          <w:color w:val="030303"/>
          <w:w w:val="105"/>
        </w:rPr>
        <w:t>obtain </w:t>
      </w:r>
      <w:r>
        <w:rPr>
          <w:color w:val="030303"/>
          <w:w w:val="105"/>
          <w:sz w:val="19"/>
        </w:rPr>
        <w:t>a </w:t>
      </w:r>
      <w:r>
        <w:rPr>
          <w:color w:val="030303"/>
          <w:w w:val="105"/>
        </w:rPr>
        <w:t>formula for practical </w:t>
      </w:r>
      <w:r>
        <w:rPr>
          <w:color w:val="030303"/>
          <w:spacing w:val="-8"/>
          <w:w w:val="105"/>
          <w:sz w:val="21"/>
        </w:rPr>
        <w:t>.use, </w:t>
      </w:r>
      <w:r>
        <w:rPr>
          <w:color w:val="030303"/>
          <w:w w:val="105"/>
          <w:sz w:val="19"/>
        </w:rPr>
        <w:t>we </w:t>
      </w:r>
      <w:r>
        <w:rPr>
          <w:color w:val="030303"/>
          <w:w w:val="105"/>
        </w:rPr>
        <w:t>write the right-hand side as</w:t>
      </w:r>
    </w:p>
    <w:p>
      <w:pPr>
        <w:spacing w:after="0" w:line="256" w:lineRule="auto"/>
        <w:sectPr>
          <w:type w:val="continuous"/>
          <w:pgSz w:w="7200" w:h="11340"/>
          <w:pgMar w:top="1100" w:bottom="0" w:left="680" w:right="560"/>
        </w:sectPr>
      </w:pPr>
    </w:p>
    <w:p>
      <w:pPr>
        <w:pStyle w:val="BodyText"/>
        <w:spacing w:before="5"/>
        <w:rPr>
          <w:sz w:val="26"/>
        </w:rPr>
      </w:pPr>
    </w:p>
    <w:p>
      <w:pPr>
        <w:spacing w:before="0"/>
        <w:ind w:left="0" w:right="0" w:firstLine="0"/>
        <w:jc w:val="right"/>
        <w:rPr>
          <w:b/>
          <w:sz w:val="20"/>
        </w:rPr>
      </w:pPr>
      <w:r>
        <w:rPr>
          <w:color w:val="030303"/>
          <w:w w:val="115"/>
          <w:position w:val="-7"/>
          <w:sz w:val="19"/>
        </w:rPr>
        <w:t>1 </w:t>
      </w:r>
      <w:r>
        <w:rPr>
          <w:color w:val="030303"/>
          <w:w w:val="125"/>
          <w:sz w:val="19"/>
        </w:rPr>
        <w:t>_  </w:t>
      </w:r>
      <w:r>
        <w:rPr>
          <w:color w:val="030303"/>
          <w:w w:val="115"/>
          <w:sz w:val="19"/>
        </w:rPr>
        <w:t>( </w:t>
      </w:r>
      <w:r>
        <w:rPr>
          <w:b/>
          <w:color w:val="030303"/>
          <w:w w:val="115"/>
          <w:sz w:val="20"/>
        </w:rPr>
        <w:t>l</w:t>
      </w:r>
    </w:p>
    <w:p>
      <w:pPr>
        <w:pStyle w:val="BodyText"/>
        <w:spacing w:before="131"/>
        <w:ind w:left="123" w:right="-15"/>
      </w:pPr>
      <w:r>
        <w:rPr>
          <w:color w:val="030303"/>
          <w:w w:val="105"/>
        </w:rPr>
        <w:t>and expan&lt;l the binomial:</w:t>
      </w:r>
    </w:p>
    <w:p>
      <w:pPr>
        <w:pStyle w:val="BodyText"/>
        <w:spacing w:before="8"/>
        <w:rPr>
          <w:sz w:val="9"/>
        </w:rPr>
      </w:pPr>
      <w:r>
        <w:rPr/>
        <w:br w:type="column"/>
      </w:r>
      <w:r>
        <w:rPr>
          <w:sz w:val="9"/>
        </w:rPr>
      </w:r>
    </w:p>
    <w:p>
      <w:pPr>
        <w:spacing w:before="0"/>
        <w:ind w:left="696" w:right="0" w:firstLine="0"/>
        <w:jc w:val="left"/>
        <w:rPr>
          <w:b/>
          <w:sz w:val="11"/>
        </w:rPr>
      </w:pPr>
      <w:r>
        <w:rPr>
          <w:b/>
          <w:color w:val="030303"/>
          <w:spacing w:val="-4"/>
          <w:w w:val="205"/>
          <w:sz w:val="11"/>
        </w:rPr>
        <w:t>d</w:t>
      </w:r>
      <w:r>
        <w:rPr>
          <w:b/>
          <w:color w:val="030303"/>
          <w:w w:val="55"/>
          <w:sz w:val="11"/>
        </w:rPr>
        <w:t>A:)</w:t>
      </w:r>
    </w:p>
    <w:p>
      <w:pPr>
        <w:spacing w:before="66"/>
        <w:ind w:left="61" w:right="0" w:firstLine="0"/>
        <w:jc w:val="left"/>
        <w:rPr>
          <w:rFonts w:ascii="Arial"/>
          <w:sz w:val="18"/>
        </w:rPr>
      </w:pPr>
      <w:r>
        <w:rPr/>
        <w:pict>
          <v:shape style="position:absolute;margin-left:188.614197pt;margin-top:10.196932pt;width:7.4pt;height:9pt;mso-position-horizontal-relative:page;mso-position-vertical-relative:paragraph;z-index:-713488" type="#_x0000_t202" filled="false" stroked="false">
            <v:textbox inset="0,0,0,0">
              <w:txbxContent>
                <w:p>
                  <w:pPr>
                    <w:spacing w:line="180" w:lineRule="exact" w:before="0"/>
                    <w:ind w:left="0" w:right="-12" w:firstLine="0"/>
                    <w:jc w:val="left"/>
                    <w:rPr>
                      <w:rFonts w:ascii="Arial"/>
                      <w:b/>
                      <w:i/>
                      <w:sz w:val="18"/>
                    </w:rPr>
                  </w:pPr>
                  <w:r>
                    <w:rPr>
                      <w:rFonts w:ascii="Arial"/>
                      <w:b/>
                      <w:i/>
                      <w:color w:val="030303"/>
                      <w:w w:val="70"/>
                      <w:sz w:val="18"/>
                    </w:rPr>
                    <w:t>qz</w:t>
                  </w:r>
                </w:p>
              </w:txbxContent>
            </v:textbox>
            <w10:wrap type="none"/>
          </v:shape>
        </w:pict>
      </w:r>
      <w:r>
        <w:rPr>
          <w:rFonts w:ascii="Arial"/>
          <w:color w:val="030303"/>
          <w:w w:val="265"/>
          <w:position w:val="-9"/>
          <w:sz w:val="18"/>
        </w:rPr>
        <w:t>-</w:t>
      </w:r>
      <w:r>
        <w:rPr>
          <w:rFonts w:ascii="Arial"/>
          <w:color w:val="030303"/>
          <w:spacing w:val="-77"/>
          <w:w w:val="265"/>
          <w:position w:val="-9"/>
          <w:sz w:val="18"/>
        </w:rPr>
        <w:t> </w:t>
      </w:r>
      <w:r>
        <w:rPr>
          <w:color w:val="030303"/>
          <w:w w:val="90"/>
          <w:sz w:val="20"/>
        </w:rPr>
        <w:t>( </w:t>
      </w:r>
      <w:r>
        <w:rPr>
          <w:b/>
          <w:i/>
          <w:color w:val="030303"/>
          <w:spacing w:val="6"/>
          <w:w w:val="90"/>
          <w:sz w:val="10"/>
        </w:rPr>
        <w:t>T)  </w:t>
      </w:r>
      <w:r>
        <w:rPr>
          <w:color w:val="030303"/>
          <w:w w:val="155"/>
          <w:sz w:val="10"/>
        </w:rPr>
        <w:t>) </w:t>
      </w:r>
      <w:r>
        <w:rPr>
          <w:b/>
          <w:i/>
          <w:color w:val="030303"/>
          <w:w w:val="125"/>
          <w:sz w:val="10"/>
        </w:rPr>
        <w:t>d </w:t>
      </w:r>
      <w:r>
        <w:rPr>
          <w:rFonts w:ascii="Arial"/>
          <w:color w:val="030303"/>
          <w:spacing w:val="-12"/>
          <w:w w:val="90"/>
          <w:position w:val="-9"/>
          <w:sz w:val="18"/>
        </w:rPr>
        <w:t>.</w:t>
      </w:r>
      <w:r>
        <w:rPr>
          <w:color w:val="030303"/>
          <w:spacing w:val="-12"/>
          <w:w w:val="90"/>
          <w:sz w:val="10"/>
        </w:rPr>
        <w:t>(</w:t>
      </w:r>
      <w:r>
        <w:rPr>
          <w:rFonts w:ascii="Arial"/>
          <w:color w:val="030303"/>
          <w:spacing w:val="-12"/>
          <w:w w:val="90"/>
          <w:position w:val="-9"/>
          <w:sz w:val="18"/>
        </w:rPr>
        <w:t>, </w:t>
      </w:r>
      <w:r>
        <w:rPr>
          <w:color w:val="030303"/>
          <w:w w:val="125"/>
          <w:sz w:val="12"/>
        </w:rPr>
        <w:t>Tl </w:t>
      </w:r>
      <w:r>
        <w:rPr>
          <w:rFonts w:ascii="Arial"/>
          <w:color w:val="030303"/>
          <w:w w:val="155"/>
          <w:position w:val="-9"/>
          <w:sz w:val="18"/>
        </w:rPr>
        <w:t>'</w:t>
      </w:r>
    </w:p>
    <w:p>
      <w:pPr>
        <w:spacing w:after="0"/>
        <w:jc w:val="left"/>
        <w:rPr>
          <w:rFonts w:ascii="Arial"/>
          <w:sz w:val="18"/>
        </w:rPr>
        <w:sectPr>
          <w:type w:val="continuous"/>
          <w:pgSz w:w="7200" w:h="11340"/>
          <w:pgMar w:top="1100" w:bottom="0" w:left="680" w:right="560"/>
          <w:cols w:num="2" w:equalWidth="0">
            <w:col w:w="2755" w:space="40"/>
            <w:col w:w="3165"/>
          </w:cols>
        </w:sectPr>
      </w:pPr>
    </w:p>
    <w:p>
      <w:pPr>
        <w:tabs>
          <w:tab w:pos="1715" w:val="left" w:leader="none"/>
          <w:tab w:pos="5272" w:val="left" w:leader="none"/>
        </w:tabs>
        <w:spacing w:before="68"/>
        <w:ind w:left="153" w:right="0" w:firstLine="0"/>
        <w:jc w:val="left"/>
        <w:rPr>
          <w:rFonts w:ascii="Arial"/>
          <w:b/>
          <w:sz w:val="19"/>
        </w:rPr>
      </w:pPr>
      <w:r>
        <w:rPr>
          <w:w w:val="105"/>
          <w:position w:val="1"/>
          <w:sz w:val="19"/>
        </w:rPr>
        <w:t>280</w:t>
        <w:tab/>
      </w:r>
      <w:r>
        <w:rPr>
          <w:rFonts w:ascii="Arial"/>
          <w:b/>
          <w:w w:val="105"/>
          <w:position w:val="1"/>
          <w:sz w:val="14"/>
        </w:rPr>
        <w:t>MULTIPLE-DECREMENT   </w:t>
      </w:r>
      <w:r>
        <w:rPr>
          <w:rFonts w:ascii="Arial"/>
          <w:b/>
          <w:spacing w:val="37"/>
          <w:w w:val="105"/>
          <w:position w:val="1"/>
          <w:sz w:val="14"/>
        </w:rPr>
        <w:t> </w:t>
      </w:r>
      <w:r>
        <w:rPr>
          <w:rFonts w:ascii="Arial"/>
          <w:b/>
          <w:w w:val="105"/>
          <w:position w:val="1"/>
          <w:sz w:val="14"/>
        </w:rPr>
        <w:t>TABLES</w:t>
        <w:tab/>
      </w:r>
      <w:r>
        <w:rPr>
          <w:b/>
          <w:sz w:val="17"/>
        </w:rPr>
        <w:t>[CH.</w:t>
      </w:r>
      <w:r>
        <w:rPr>
          <w:b/>
          <w:spacing w:val="21"/>
          <w:sz w:val="17"/>
        </w:rPr>
        <w:t> </w:t>
      </w:r>
      <w:r>
        <w:rPr>
          <w:rFonts w:ascii="Arial"/>
          <w:b/>
          <w:sz w:val="19"/>
        </w:rPr>
        <w:t>14</w:t>
      </w:r>
    </w:p>
    <w:p>
      <w:pPr>
        <w:pStyle w:val="BodyText"/>
        <w:rPr>
          <w:rFonts w:ascii="Arial"/>
          <w:b/>
          <w:sz w:val="11"/>
        </w:rPr>
      </w:pPr>
    </w:p>
    <w:p>
      <w:pPr>
        <w:spacing w:after="0"/>
        <w:rPr>
          <w:rFonts w:ascii="Arial"/>
          <w:sz w:val="11"/>
        </w:rPr>
        <w:sectPr>
          <w:pgSz w:w="7200" w:h="11340"/>
          <w:pgMar w:top="500" w:bottom="280" w:left="660" w:right="520"/>
        </w:sectPr>
      </w:pPr>
    </w:p>
    <w:p>
      <w:pPr>
        <w:tabs>
          <w:tab w:pos="1039" w:val="left" w:leader="none"/>
          <w:tab w:pos="1478" w:val="left" w:leader="none"/>
        </w:tabs>
        <w:spacing w:line="81" w:lineRule="exact" w:before="108"/>
        <w:ind w:left="517" w:right="0" w:firstLine="0"/>
        <w:jc w:val="left"/>
        <w:rPr>
          <w:rFonts w:ascii="Arial"/>
          <w:i/>
          <w:sz w:val="10"/>
        </w:rPr>
      </w:pPr>
      <w:r>
        <w:rPr>
          <w:rFonts w:ascii="Arial"/>
          <w:b/>
          <w:position w:val="-8"/>
          <w:sz w:val="19"/>
        </w:rPr>
        <w:t>J</w:t>
        <w:tab/>
      </w:r>
      <w:r>
        <w:rPr>
          <w:rFonts w:ascii="Arial"/>
          <w:w w:val="105"/>
          <w:position w:val="-8"/>
          <w:sz w:val="19"/>
        </w:rPr>
        <w:t>}</w:t>
        <w:tab/>
      </w:r>
      <w:r>
        <w:rPr>
          <w:i/>
          <w:position w:val="-2"/>
          <w:sz w:val="20"/>
        </w:rPr>
        <w:t>d</w:t>
      </w:r>
      <w:r>
        <w:rPr>
          <w:i/>
          <w:spacing w:val="-13"/>
          <w:position w:val="-2"/>
          <w:sz w:val="20"/>
        </w:rPr>
        <w:t> </w:t>
      </w:r>
      <w:r>
        <w:rPr>
          <w:rFonts w:ascii="Arial"/>
          <w:i/>
          <w:spacing w:val="4"/>
          <w:w w:val="105"/>
          <w:sz w:val="10"/>
        </w:rPr>
        <w:t>(k)</w:t>
      </w:r>
    </w:p>
    <w:p>
      <w:pPr>
        <w:spacing w:line="129" w:lineRule="exact" w:before="61"/>
        <w:ind w:left="179" w:right="-17" w:firstLine="0"/>
        <w:jc w:val="left"/>
        <w:rPr>
          <w:b/>
          <w:sz w:val="12"/>
        </w:rPr>
      </w:pPr>
      <w:r>
        <w:rPr/>
        <w:br w:type="column"/>
      </w:r>
      <w:r>
        <w:rPr>
          <w:w w:val="110"/>
          <w:sz w:val="13"/>
        </w:rPr>
        <w:t>( </w:t>
      </w:r>
      <w:r>
        <w:rPr>
          <w:rFonts w:ascii="Arial"/>
          <w:i/>
          <w:spacing w:val="4"/>
          <w:w w:val="110"/>
          <w:sz w:val="10"/>
        </w:rPr>
        <w:t>T)   </w:t>
      </w:r>
      <w:r>
        <w:rPr>
          <w:rFonts w:ascii="Arial"/>
          <w:w w:val="110"/>
          <w:sz w:val="31"/>
        </w:rPr>
        <w:t>+</w:t>
      </w:r>
      <w:r>
        <w:rPr>
          <w:rFonts w:ascii="Arial"/>
          <w:spacing w:val="-28"/>
          <w:w w:val="110"/>
          <w:sz w:val="31"/>
        </w:rPr>
        <w:t> </w:t>
      </w:r>
      <w:r>
        <w:rPr>
          <w:b/>
          <w:w w:val="110"/>
          <w:sz w:val="12"/>
        </w:rPr>
        <w:t>1</w:t>
      </w:r>
    </w:p>
    <w:p>
      <w:pPr>
        <w:pStyle w:val="BodyText"/>
        <w:spacing w:line="111" w:lineRule="exact" w:before="78"/>
        <w:ind w:left="65" w:right="-19"/>
      </w:pPr>
      <w:r>
        <w:rPr/>
        <w:br w:type="column"/>
      </w:r>
      <w:r>
        <w:rPr>
          <w:w w:val="80"/>
        </w:rPr>
        <w:t>d(A:) (d(1:)</w:t>
      </w:r>
    </w:p>
    <w:p>
      <w:pPr>
        <w:tabs>
          <w:tab w:pos="1824" w:val="left" w:leader="none"/>
        </w:tabs>
        <w:spacing w:line="115" w:lineRule="exact" w:before="75"/>
        <w:ind w:left="345" w:right="0" w:firstLine="0"/>
        <w:jc w:val="left"/>
        <w:rPr>
          <w:sz w:val="20"/>
        </w:rPr>
      </w:pPr>
      <w:r>
        <w:rPr/>
        <w:br w:type="column"/>
      </w:r>
      <w:r>
        <w:rPr>
          <w:rFonts w:ascii="Arial"/>
          <w:b/>
          <w:spacing w:val="6"/>
          <w:w w:val="71"/>
          <w:sz w:val="19"/>
        </w:rPr>
        <w:t>J</w:t>
      </w:r>
      <w:r>
        <w:rPr>
          <w:w w:val="197"/>
          <w:position w:val="9"/>
          <w:sz w:val="20"/>
        </w:rPr>
        <w:t>)</w:t>
      </w:r>
      <w:r>
        <w:rPr>
          <w:spacing w:val="19"/>
          <w:position w:val="9"/>
          <w:sz w:val="20"/>
        </w:rPr>
        <w:t> </w:t>
      </w:r>
      <w:r>
        <w:rPr>
          <w:rFonts w:ascii="Arial"/>
          <w:w w:val="125"/>
          <w:sz w:val="19"/>
        </w:rPr>
        <w:t>(</w:t>
      </w:r>
      <w:r>
        <w:rPr>
          <w:rFonts w:ascii="Arial"/>
          <w:sz w:val="19"/>
        </w:rPr>
        <w:t> </w:t>
      </w:r>
      <w:r>
        <w:rPr>
          <w:rFonts w:ascii="Arial"/>
          <w:spacing w:val="12"/>
          <w:sz w:val="19"/>
        </w:rPr>
        <w:t> </w:t>
      </w:r>
      <w:r>
        <w:rPr>
          <w:rFonts w:ascii="Arial"/>
          <w:w w:val="85"/>
          <w:sz w:val="19"/>
        </w:rPr>
        <w:t>(</w:t>
      </w:r>
      <w:r>
        <w:rPr>
          <w:rFonts w:ascii="Arial"/>
          <w:spacing w:val="-36"/>
          <w:sz w:val="19"/>
        </w:rPr>
        <w:t> </w:t>
      </w:r>
      <w:r>
        <w:rPr>
          <w:rFonts w:ascii="Arial"/>
          <w:w w:val="123"/>
          <w:sz w:val="10"/>
        </w:rPr>
        <w:t>T</w:t>
      </w:r>
      <w:r>
        <w:rPr>
          <w:rFonts w:ascii="Arial"/>
          <w:w w:val="123"/>
          <w:sz w:val="10"/>
        </w:rPr>
        <w:t>)</w:t>
      </w:r>
      <w:r>
        <w:rPr>
          <w:rFonts w:ascii="Arial"/>
          <w:spacing w:val="6"/>
          <w:sz w:val="10"/>
        </w:rPr>
        <w:t> </w:t>
      </w:r>
      <w:r>
        <w:rPr>
          <w:rFonts w:ascii="Arial"/>
          <w:spacing w:val="-2"/>
          <w:w w:val="241"/>
          <w:sz w:val="10"/>
        </w:rPr>
        <w:t>)</w:t>
      </w:r>
      <w:r>
        <w:rPr>
          <w:b/>
          <w:w w:val="110"/>
          <w:sz w:val="12"/>
        </w:rPr>
        <w:t>2</w:t>
      </w:r>
      <w:r>
        <w:rPr>
          <w:b/>
          <w:sz w:val="12"/>
        </w:rPr>
        <w:tab/>
      </w:r>
      <w:r>
        <w:rPr>
          <w:w w:val="143"/>
          <w:position w:val="9"/>
          <w:sz w:val="20"/>
        </w:rPr>
        <w:t>}</w:t>
      </w:r>
    </w:p>
    <w:p>
      <w:pPr>
        <w:spacing w:after="0" w:line="115" w:lineRule="exact"/>
        <w:jc w:val="left"/>
        <w:rPr>
          <w:sz w:val="20"/>
        </w:rPr>
        <w:sectPr>
          <w:type w:val="continuous"/>
          <w:pgSz w:w="7200" w:h="11340"/>
          <w:pgMar w:top="1100" w:bottom="0" w:left="660" w:right="520"/>
          <w:cols w:num="4" w:equalWidth="0">
            <w:col w:w="1752" w:space="40"/>
            <w:col w:w="813" w:space="40"/>
            <w:col w:w="844" w:space="40"/>
            <w:col w:w="2491"/>
          </w:cols>
        </w:sectPr>
      </w:pPr>
    </w:p>
    <w:p>
      <w:pPr>
        <w:tabs>
          <w:tab w:pos="2515" w:val="left" w:leader="none"/>
          <w:tab w:pos="3209" w:val="left" w:leader="none"/>
          <w:tab w:pos="4243" w:val="left" w:leader="none"/>
          <w:tab w:pos="4804" w:val="left" w:leader="none"/>
        </w:tabs>
        <w:spacing w:line="57" w:lineRule="exact" w:before="0"/>
        <w:ind w:left="693" w:right="0" w:firstLine="0"/>
        <w:jc w:val="left"/>
        <w:rPr>
          <w:rFonts w:ascii="Arial" w:hAnsi="Arial"/>
          <w:sz w:val="18"/>
        </w:rPr>
      </w:pPr>
      <w:r>
        <w:rPr>
          <w:w w:val="140"/>
          <w:sz w:val="34"/>
        </w:rPr>
        <w:t>- </w:t>
      </w:r>
      <w:r>
        <w:rPr>
          <w:w w:val="140"/>
          <w:position w:val="-1"/>
          <w:sz w:val="20"/>
        </w:rPr>
        <w:t>{ </w:t>
      </w:r>
      <w:r>
        <w:rPr>
          <w:w w:val="140"/>
          <w:sz w:val="34"/>
        </w:rPr>
        <w:t>-</w:t>
      </w:r>
      <w:r>
        <w:rPr>
          <w:spacing w:val="-91"/>
          <w:w w:val="140"/>
          <w:sz w:val="34"/>
        </w:rPr>
        <w:t> </w:t>
      </w:r>
      <w:r>
        <w:rPr>
          <w:i/>
          <w:w w:val="70"/>
          <w:sz w:val="34"/>
        </w:rPr>
        <w:t>aIT)</w:t>
      </w:r>
      <w:r>
        <w:rPr>
          <w:i/>
          <w:spacing w:val="-20"/>
          <w:w w:val="70"/>
          <w:sz w:val="34"/>
        </w:rPr>
        <w:t> </w:t>
      </w:r>
      <w:r>
        <w:rPr>
          <w:rFonts w:ascii="Arial" w:hAnsi="Arial"/>
          <w:b/>
          <w:i/>
          <w:w w:val="95"/>
          <w:sz w:val="18"/>
        </w:rPr>
        <w:t>·qz</w:t>
        <w:tab/>
      </w:r>
      <w:r>
        <w:rPr>
          <w:b/>
          <w:w w:val="125"/>
          <w:sz w:val="12"/>
        </w:rPr>
        <w:t>"j°</w:t>
      </w:r>
      <w:r>
        <w:rPr>
          <w:b/>
          <w:spacing w:val="-14"/>
          <w:w w:val="125"/>
          <w:sz w:val="12"/>
        </w:rPr>
        <w:t> </w:t>
      </w:r>
      <w:r>
        <w:rPr>
          <w:rFonts w:ascii="Arial" w:hAnsi="Arial"/>
          <w:i/>
          <w:w w:val="285"/>
          <w:sz w:val="10"/>
        </w:rPr>
        <w:t>d</w:t>
      </w:r>
      <w:r>
        <w:rPr>
          <w:rFonts w:ascii="Arial" w:hAnsi="Arial"/>
          <w:i/>
          <w:spacing w:val="-68"/>
          <w:w w:val="285"/>
          <w:sz w:val="10"/>
        </w:rPr>
        <w:t> </w:t>
      </w:r>
      <w:r>
        <w:rPr>
          <w:rFonts w:ascii="Arial" w:hAnsi="Arial"/>
          <w:i/>
          <w:spacing w:val="2"/>
          <w:w w:val="125"/>
          <w:sz w:val="10"/>
        </w:rPr>
        <w:t>T)</w:t>
        <w:tab/>
      </w:r>
      <w:r>
        <w:rPr>
          <w:rFonts w:ascii="Arial" w:hAnsi="Arial"/>
          <w:i/>
          <w:w w:val="95"/>
          <w:sz w:val="19"/>
        </w:rPr>
        <w:t>rJ;T</w:t>
      </w:r>
      <w:r>
        <w:rPr>
          <w:rFonts w:ascii="Arial" w:hAnsi="Arial"/>
          <w:i/>
          <w:spacing w:val="-30"/>
          <w:w w:val="95"/>
          <w:sz w:val="19"/>
        </w:rPr>
        <w:t> </w:t>
      </w:r>
      <w:r>
        <w:rPr>
          <w:rFonts w:ascii="Arial" w:hAnsi="Arial"/>
          <w:i/>
          <w:w w:val="70"/>
          <w:sz w:val="19"/>
        </w:rPr>
        <w:t>) </w:t>
      </w:r>
      <w:r>
        <w:rPr>
          <w:rFonts w:ascii="Arial" w:hAnsi="Arial"/>
          <w:i/>
          <w:spacing w:val="5"/>
          <w:w w:val="70"/>
          <w:sz w:val="19"/>
        </w:rPr>
        <w:t> </w:t>
      </w:r>
      <w:r>
        <w:rPr>
          <w:rFonts w:ascii="Arial" w:hAnsi="Arial"/>
          <w:w w:val="285"/>
          <w:sz w:val="19"/>
        </w:rPr>
        <w:t>-</w:t>
        <w:tab/>
      </w:r>
      <w:r>
        <w:rPr>
          <w:rFonts w:ascii="Arial" w:hAnsi="Arial"/>
          <w:b/>
          <w:i/>
          <w:w w:val="70"/>
          <w:sz w:val="18"/>
        </w:rPr>
        <w:t>qz</w:t>
        <w:tab/>
      </w:r>
      <w:r>
        <w:rPr>
          <w:rFonts w:ascii="Arial" w:hAnsi="Arial"/>
          <w:w w:val="285"/>
          <w:sz w:val="18"/>
        </w:rPr>
        <w:t>- </w:t>
      </w:r>
      <w:r>
        <w:rPr>
          <w:rFonts w:ascii="Arial" w:hAnsi="Arial"/>
          <w:w w:val="70"/>
          <w:sz w:val="18"/>
        </w:rPr>
        <w:t>•</w:t>
      </w:r>
      <w:r>
        <w:rPr>
          <w:rFonts w:ascii="Arial" w:hAnsi="Arial"/>
          <w:spacing w:val="35"/>
          <w:w w:val="70"/>
          <w:sz w:val="18"/>
        </w:rPr>
        <w:t> </w:t>
      </w:r>
      <w:r>
        <w:rPr>
          <w:rFonts w:ascii="Arial" w:hAnsi="Arial"/>
          <w:w w:val="70"/>
          <w:sz w:val="18"/>
        </w:rPr>
        <w:t>• •  </w:t>
      </w:r>
      <w:r>
        <w:rPr>
          <w:rFonts w:ascii="Arial" w:hAnsi="Arial"/>
          <w:spacing w:val="31"/>
          <w:w w:val="70"/>
          <w:sz w:val="18"/>
        </w:rPr>
        <w:t> </w:t>
      </w:r>
      <w:r>
        <w:rPr>
          <w:rFonts w:ascii="Arial" w:hAnsi="Arial"/>
          <w:w w:val="70"/>
          <w:sz w:val="18"/>
        </w:rPr>
        <w:t>•</w:t>
      </w:r>
    </w:p>
    <w:p>
      <w:pPr>
        <w:tabs>
          <w:tab w:pos="2803" w:val="left" w:leader="none"/>
          <w:tab w:pos="3299" w:val="left" w:leader="none"/>
        </w:tabs>
        <w:spacing w:line="133" w:lineRule="exact" w:before="0"/>
        <w:ind w:left="1572" w:right="0" w:firstLine="0"/>
        <w:jc w:val="left"/>
        <w:rPr>
          <w:i/>
          <w:sz w:val="13"/>
        </w:rPr>
      </w:pPr>
      <w:r>
        <w:rPr/>
        <w:pict>
          <v:line style="position:absolute;mso-position-horizontal-relative:page;mso-position-vertical-relative:paragraph;z-index:22600;mso-wrap-distance-left:0;mso-wrap-distance-right:0" from="168.479996pt,14.230379pt" to="208.079996pt,14.230379pt" stroked="true" strokeweight="6.84pt" strokecolor="#000000">
            <w10:wrap type="topAndBottom"/>
          </v:line>
        </w:pict>
      </w:r>
      <w:r>
        <w:rPr>
          <w:i/>
          <w:w w:val="115"/>
          <w:sz w:val="13"/>
        </w:rPr>
        <w:t>z</w:t>
        <w:tab/>
      </w:r>
      <w:r>
        <w:rPr>
          <w:rFonts w:ascii="Arial"/>
          <w:b/>
          <w:i/>
          <w:w w:val="115"/>
          <w:sz w:val="11"/>
        </w:rPr>
        <w:t>z</w:t>
        <w:tab/>
      </w:r>
      <w:r>
        <w:rPr>
          <w:i/>
          <w:w w:val="115"/>
          <w:sz w:val="13"/>
        </w:rPr>
        <w:t>z</w:t>
      </w:r>
    </w:p>
    <w:p>
      <w:pPr>
        <w:tabs>
          <w:tab w:pos="2273" w:val="left" w:leader="none"/>
        </w:tabs>
        <w:spacing w:line="332" w:lineRule="exact" w:before="33"/>
        <w:ind w:left="1546" w:right="636" w:hanging="1401"/>
        <w:jc w:val="left"/>
        <w:rPr>
          <w:sz w:val="20"/>
        </w:rPr>
      </w:pPr>
      <w:r>
        <w:rPr>
          <w:sz w:val="20"/>
        </w:rPr>
        <w:t>Retaining only thc tcrms in&lt;licated and simplifying, we have </w:t>
      </w:r>
      <w:r>
        <w:rPr>
          <w:spacing w:val="-1"/>
          <w:w w:val="78"/>
          <w:sz w:val="20"/>
        </w:rPr>
        <w:t>q;(/í)</w:t>
        <w:tab/>
      </w:r>
      <w:r>
        <w:rPr>
          <w:rFonts w:ascii="Arial" w:hAnsi="Arial"/>
          <w:w w:val="94"/>
          <w:sz w:val="19"/>
        </w:rPr>
        <w:t>q </w:t>
      </w:r>
      <w:r>
        <w:rPr>
          <w:rFonts w:ascii="Arial" w:hAnsi="Arial"/>
          <w:w w:val="66"/>
          <w:sz w:val="19"/>
        </w:rPr>
        <w:t>A:)[1 </w:t>
      </w:r>
      <w:r>
        <w:rPr>
          <w:rFonts w:ascii="Arial" w:hAnsi="Arial"/>
          <w:spacing w:val="35"/>
          <w:w w:val="66"/>
          <w:sz w:val="19"/>
        </w:rPr>
        <w:t> </w:t>
      </w:r>
      <w:r>
        <w:rPr>
          <w:rFonts w:ascii="Arial" w:hAnsi="Arial"/>
          <w:w w:val="105"/>
          <w:sz w:val="31"/>
        </w:rPr>
        <w:t>+ </w:t>
      </w:r>
      <w:r>
        <w:rPr>
          <w:i/>
          <w:spacing w:val="2"/>
          <w:w w:val="66"/>
          <w:sz w:val="27"/>
        </w:rPr>
        <w:t>Hq!T)</w:t>
      </w:r>
      <w:r>
        <w:rPr>
          <w:i/>
          <w:w w:val="66"/>
          <w:sz w:val="27"/>
        </w:rPr>
        <w:t>   </w:t>
      </w:r>
      <w:r>
        <w:rPr>
          <w:w w:val="203"/>
          <w:sz w:val="27"/>
        </w:rPr>
        <w:t>- </w:t>
      </w:r>
      <w:r>
        <w:rPr>
          <w:w w:val="95"/>
          <w:sz w:val="20"/>
        </w:rPr>
        <w:t>q</w:t>
      </w:r>
      <w:r>
        <w:rPr>
          <w:spacing w:val="26"/>
          <w:w w:val="95"/>
          <w:sz w:val="20"/>
        </w:rPr>
        <w:t> </w:t>
      </w:r>
      <w:r>
        <w:rPr>
          <w:w w:val="90"/>
          <w:sz w:val="20"/>
        </w:rPr>
        <w:t>1:')]</w:t>
      </w:r>
    </w:p>
    <w:p>
      <w:pPr>
        <w:spacing w:before="128"/>
        <w:ind w:left="0" w:right="149" w:firstLine="0"/>
        <w:jc w:val="right"/>
        <w:rPr>
          <w:b/>
          <w:sz w:val="20"/>
        </w:rPr>
      </w:pPr>
      <w:r>
        <w:rPr>
          <w:position w:val="-4"/>
        </w:rPr>
        <w:drawing>
          <wp:inline distT="0" distB="0" distL="0" distR="0">
            <wp:extent cx="950976" cy="164591"/>
            <wp:effectExtent l="0" t="0" r="0" b="0"/>
            <wp:docPr id="671" name="image342.png" descr=""/>
            <wp:cNvGraphicFramePr>
              <a:graphicFrameLocks noChangeAspect="1"/>
            </wp:cNvGraphicFramePr>
            <a:graphic>
              <a:graphicData uri="http://schemas.openxmlformats.org/drawingml/2006/picture">
                <pic:pic>
                  <pic:nvPicPr>
                    <pic:cNvPr id="672" name="image342.png"/>
                    <pic:cNvPicPr/>
                  </pic:nvPicPr>
                  <pic:blipFill>
                    <a:blip r:embed="rId346" cstate="print"/>
                    <a:stretch>
                      <a:fillRect/>
                    </a:stretch>
                  </pic:blipFill>
                  <pic:spPr>
                    <a:xfrm>
                      <a:off x="0" y="0"/>
                      <a:ext cx="950976" cy="164591"/>
                    </a:xfrm>
                    <a:prstGeom prst="rect">
                      <a:avLst/>
                    </a:prstGeom>
                  </pic:spPr>
                </pic:pic>
              </a:graphicData>
            </a:graphic>
          </wp:inline>
        </w:drawing>
      </w:r>
      <w:r>
        <w:rPr>
          <w:position w:val="-4"/>
        </w:rPr>
      </w:r>
      <w:r>
        <w:rPr>
          <w:sz w:val="20"/>
        </w:rPr>
        <w:t>                             </w:t>
      </w:r>
      <w:r>
        <w:rPr>
          <w:b/>
          <w:sz w:val="20"/>
        </w:rPr>
        <w:t>(14.36</w:t>
      </w:r>
      <w:r>
        <w:rPr>
          <w:b/>
          <w:spacing w:val="-35"/>
          <w:sz w:val="20"/>
        </w:rPr>
        <w:t> </w:t>
      </w:r>
      <w:r>
        <w:rPr>
          <w:b/>
          <w:sz w:val="20"/>
        </w:rPr>
        <w:t>)</w:t>
      </w:r>
    </w:p>
    <w:p>
      <w:pPr>
        <w:spacing w:line="247" w:lineRule="auto" w:before="115"/>
        <w:ind w:left="135" w:right="229" w:firstLine="201"/>
        <w:jc w:val="left"/>
        <w:rPr>
          <w:sz w:val="20"/>
        </w:rPr>
      </w:pPr>
      <w:r>
        <w:rPr>
          <w:w w:val="105"/>
          <w:sz w:val="20"/>
        </w:rPr>
        <w:t>FormulaH </w:t>
      </w:r>
      <w:r>
        <w:rPr>
          <w:w w:val="105"/>
          <w:sz w:val="19"/>
        </w:rPr>
        <w:t>(14.:Hb) </w:t>
      </w:r>
      <w:r>
        <w:rPr>
          <w:w w:val="105"/>
          <w:sz w:val="20"/>
        </w:rPr>
        <w:t>and </w:t>
      </w:r>
      <w:r>
        <w:rPr>
          <w:w w:val="105"/>
          <w:sz w:val="19"/>
        </w:rPr>
        <w:t>(14.:Ui ) </w:t>
      </w:r>
      <w:r>
        <w:rPr>
          <w:w w:val="105"/>
          <w:sz w:val="20"/>
        </w:rPr>
        <w:t>are easily </w:t>
      </w:r>
      <w:r>
        <w:rPr>
          <w:rFonts w:ascii="Arial" w:hAnsi="Arial"/>
          <w:w w:val="105"/>
          <w:sz w:val="17"/>
        </w:rPr>
        <w:t>sc&lt;'n to </w:t>
      </w:r>
      <w:r>
        <w:rPr>
          <w:w w:val="105"/>
          <w:sz w:val="19"/>
        </w:rPr>
        <w:t>he </w:t>
      </w:r>
      <w:r>
        <w:rPr>
          <w:w w:val="105"/>
          <w:sz w:val="20"/>
        </w:rPr>
        <w:t>suhstan­ tin.lly equivalen t. Writing (14.:H b) as</w:t>
      </w:r>
    </w:p>
    <w:p>
      <w:pPr>
        <w:spacing w:before="39"/>
        <w:ind w:left="1568" w:right="0" w:firstLine="0"/>
        <w:jc w:val="left"/>
        <w:rPr>
          <w:rFonts w:ascii="Arial"/>
          <w:sz w:val="19"/>
        </w:rPr>
      </w:pPr>
      <w:r>
        <w:rPr>
          <w:w w:val="105"/>
          <w:sz w:val="20"/>
        </w:rPr>
        <w:t>q;(l)  </w:t>
      </w:r>
      <w:r>
        <w:rPr>
          <w:rFonts w:ascii="Arial"/>
          <w:sz w:val="25"/>
        </w:rPr>
        <w:t>=: </w:t>
      </w:r>
      <w:r>
        <w:rPr>
          <w:w w:val="105"/>
          <w:sz w:val="20"/>
        </w:rPr>
        <w:t>q?)  </w:t>
      </w:r>
      <w:r>
        <w:rPr>
          <w:w w:val="105"/>
          <w:sz w:val="19"/>
        </w:rPr>
        <w:t>(1  </w:t>
      </w:r>
      <w:r>
        <w:rPr>
          <w:w w:val="255"/>
          <w:sz w:val="19"/>
        </w:rPr>
        <w:t>-</w:t>
      </w:r>
      <w:r>
        <w:rPr>
          <w:spacing w:val="79"/>
          <w:w w:val="255"/>
          <w:sz w:val="19"/>
        </w:rPr>
        <w:t> </w:t>
      </w:r>
      <w:r>
        <w:rPr>
          <w:w w:val="105"/>
          <w:sz w:val="20"/>
        </w:rPr>
        <w:t>qt1:) </w:t>
      </w:r>
      <w:r>
        <w:rPr>
          <w:rFonts w:ascii="Arial"/>
          <w:w w:val="105"/>
          <w:sz w:val="19"/>
        </w:rPr>
        <w:t>)-1</w:t>
      </w:r>
    </w:p>
    <w:p>
      <w:pPr>
        <w:spacing w:before="38"/>
        <w:ind w:left="1339" w:right="894" w:firstLine="0"/>
        <w:jc w:val="center"/>
        <w:rPr>
          <w:rFonts w:ascii="Arial"/>
          <w:sz w:val="31"/>
        </w:rPr>
      </w:pPr>
      <w:r>
        <w:rPr>
          <w:w w:val="104"/>
          <w:sz w:val="23"/>
        </w:rPr>
        <w:t>=</w:t>
      </w:r>
      <w:r>
        <w:rPr>
          <w:sz w:val="23"/>
        </w:rPr>
        <w:t> </w:t>
      </w:r>
      <w:r>
        <w:rPr>
          <w:spacing w:val="19"/>
          <w:sz w:val="23"/>
        </w:rPr>
        <w:t> </w:t>
      </w:r>
      <w:r>
        <w:rPr>
          <w:rFonts w:ascii="Arial"/>
          <w:spacing w:val="-22"/>
          <w:w w:val="74"/>
          <w:sz w:val="25"/>
        </w:rPr>
        <w:t>q</w:t>
      </w:r>
      <w:r>
        <w:rPr>
          <w:rFonts w:ascii="Arial"/>
          <w:spacing w:val="-17"/>
          <w:w w:val="109"/>
          <w:sz w:val="25"/>
        </w:rPr>
        <w:t>?</w:t>
      </w:r>
      <w:r>
        <w:rPr>
          <w:rFonts w:ascii="Arial"/>
          <w:w w:val="58"/>
          <w:sz w:val="25"/>
        </w:rPr>
        <w:t>)</w:t>
      </w:r>
      <w:r>
        <w:rPr>
          <w:rFonts w:ascii="Arial"/>
          <w:sz w:val="25"/>
        </w:rPr>
        <w:t> </w:t>
      </w:r>
      <w:r>
        <w:rPr>
          <w:rFonts w:ascii="Arial"/>
          <w:spacing w:val="-30"/>
          <w:sz w:val="25"/>
        </w:rPr>
        <w:t> </w:t>
      </w:r>
      <w:r>
        <w:rPr>
          <w:rFonts w:ascii="Arial"/>
          <w:w w:val="109"/>
          <w:sz w:val="19"/>
        </w:rPr>
        <w:t>(</w:t>
      </w:r>
      <w:r>
        <w:rPr>
          <w:rFonts w:ascii="Arial"/>
          <w:w w:val="109"/>
          <w:sz w:val="19"/>
        </w:rPr>
        <w:t>1</w:t>
      </w:r>
      <w:r>
        <w:rPr>
          <w:rFonts w:ascii="Arial"/>
          <w:spacing w:val="2"/>
          <w:sz w:val="19"/>
        </w:rPr>
        <w:t> </w:t>
      </w:r>
      <w:r>
        <w:rPr>
          <w:rFonts w:ascii="Arial"/>
          <w:w w:val="103"/>
          <w:sz w:val="31"/>
        </w:rPr>
        <w:t>+</w:t>
      </w:r>
      <w:r>
        <w:rPr>
          <w:rFonts w:ascii="Arial"/>
          <w:spacing w:val="-32"/>
          <w:sz w:val="31"/>
        </w:rPr>
        <w:t> </w:t>
      </w:r>
      <w:r>
        <w:rPr>
          <w:rFonts w:ascii="Arial"/>
          <w:spacing w:val="-84"/>
          <w:w w:val="235"/>
          <w:sz w:val="25"/>
        </w:rPr>
        <w:t>!</w:t>
      </w:r>
      <w:r>
        <w:rPr>
          <w:rFonts w:ascii="Arial"/>
          <w:spacing w:val="-22"/>
          <w:w w:val="74"/>
          <w:sz w:val="25"/>
        </w:rPr>
        <w:t>q</w:t>
      </w:r>
      <w:r>
        <w:rPr>
          <w:rFonts w:ascii="Arial"/>
          <w:w w:val="130"/>
          <w:sz w:val="25"/>
        </w:rPr>
        <w:t>;</w:t>
      </w:r>
      <w:r>
        <w:rPr>
          <w:rFonts w:ascii="Arial"/>
          <w:spacing w:val="-31"/>
          <w:w w:val="130"/>
          <w:sz w:val="25"/>
        </w:rPr>
        <w:t>-</w:t>
      </w:r>
      <w:r>
        <w:rPr>
          <w:rFonts w:ascii="Arial"/>
          <w:w w:val="38"/>
          <w:sz w:val="25"/>
        </w:rPr>
        <w:t>1:</w:t>
      </w:r>
      <w:r>
        <w:rPr>
          <w:rFonts w:ascii="Arial"/>
          <w:w w:val="38"/>
          <w:sz w:val="25"/>
        </w:rPr>
        <w:t>)</w:t>
      </w:r>
      <w:r>
        <w:rPr>
          <w:rFonts w:ascii="Arial"/>
          <w:sz w:val="25"/>
        </w:rPr>
        <w:t> </w:t>
      </w:r>
      <w:r>
        <w:rPr>
          <w:rFonts w:ascii="Arial"/>
          <w:spacing w:val="-19"/>
          <w:sz w:val="25"/>
        </w:rPr>
        <w:t> </w:t>
      </w:r>
      <w:r>
        <w:rPr>
          <w:rFonts w:ascii="Arial"/>
          <w:w w:val="105"/>
          <w:sz w:val="31"/>
        </w:rPr>
        <w:t>+</w:t>
      </w:r>
      <w:r>
        <w:rPr>
          <w:rFonts w:ascii="Arial"/>
          <w:spacing w:val="35"/>
          <w:sz w:val="31"/>
        </w:rPr>
        <w:t> </w:t>
      </w:r>
      <w:r>
        <w:rPr>
          <w:rFonts w:ascii="Arial"/>
          <w:w w:val="78"/>
          <w:sz w:val="31"/>
        </w:rPr>
        <w:t>.</w:t>
      </w:r>
      <w:r>
        <w:rPr>
          <w:rFonts w:ascii="Arial"/>
          <w:spacing w:val="-54"/>
          <w:sz w:val="31"/>
        </w:rPr>
        <w:t> </w:t>
      </w:r>
      <w:r>
        <w:rPr>
          <w:rFonts w:ascii="Arial"/>
          <w:w w:val="78"/>
          <w:sz w:val="31"/>
        </w:rPr>
        <w:t>.</w:t>
      </w:r>
      <w:r>
        <w:rPr>
          <w:rFonts w:ascii="Arial"/>
          <w:spacing w:val="-54"/>
          <w:sz w:val="31"/>
        </w:rPr>
        <w:t> </w:t>
      </w:r>
      <w:r>
        <w:rPr>
          <w:rFonts w:ascii="Arial"/>
          <w:spacing w:val="18"/>
          <w:w w:val="78"/>
          <w:sz w:val="31"/>
        </w:rPr>
        <w:t>.</w:t>
      </w:r>
      <w:r>
        <w:rPr>
          <w:rFonts w:ascii="Arial"/>
          <w:w w:val="80"/>
          <w:sz w:val="31"/>
        </w:rPr>
        <w:t>)</w:t>
      </w:r>
      <w:r>
        <w:rPr>
          <w:rFonts w:ascii="Arial"/>
          <w:w w:val="80"/>
          <w:sz w:val="31"/>
        </w:rPr>
        <w:t>,</w:t>
      </w:r>
    </w:p>
    <w:p>
      <w:pPr>
        <w:pStyle w:val="BodyText"/>
        <w:spacing w:before="129"/>
        <w:ind w:left="132"/>
      </w:pPr>
      <w:r>
        <w:rPr>
          <w:w w:val="105"/>
        </w:rPr>
        <w:t>we obtain  (14.36 ) by  truncating the binomial</w:t>
      </w:r>
      <w:r>
        <w:rPr>
          <w:spacing w:val="51"/>
          <w:w w:val="105"/>
        </w:rPr>
        <w:t> </w:t>
      </w:r>
      <w:r>
        <w:rPr>
          <w:w w:val="105"/>
        </w:rPr>
        <w:t>expansion.</w:t>
      </w:r>
    </w:p>
    <w:p>
      <w:pPr>
        <w:pStyle w:val="BodyText"/>
        <w:spacing w:before="5"/>
        <w:rPr>
          <w:sz w:val="16"/>
        </w:rPr>
      </w:pPr>
    </w:p>
    <w:p>
      <w:pPr>
        <w:pStyle w:val="ListParagraph"/>
        <w:numPr>
          <w:ilvl w:val="0"/>
          <w:numId w:val="128"/>
        </w:numPr>
        <w:tabs>
          <w:tab w:pos="356" w:val="left" w:leader="none"/>
        </w:tabs>
        <w:spacing w:line="264" w:lineRule="auto" w:before="0" w:after="0"/>
        <w:ind w:left="351" w:right="155" w:hanging="223"/>
        <w:jc w:val="left"/>
        <w:rPr>
          <w:b/>
          <w:sz w:val="19"/>
        </w:rPr>
      </w:pPr>
      <w:r>
        <w:rPr>
          <w:b/>
          <w:w w:val="120"/>
          <w:sz w:val="19"/>
        </w:rPr>
        <w:t>Construction of a multiple-decrement table from the as• sociated singlc-decrement</w:t>
      </w:r>
      <w:r>
        <w:rPr>
          <w:b/>
          <w:spacing w:val="28"/>
          <w:w w:val="120"/>
          <w:sz w:val="19"/>
        </w:rPr>
        <w:t> </w:t>
      </w:r>
      <w:r>
        <w:rPr>
          <w:b/>
          <w:w w:val="120"/>
          <w:sz w:val="19"/>
        </w:rPr>
        <w:t>tables</w:t>
      </w:r>
    </w:p>
    <w:p>
      <w:pPr>
        <w:pStyle w:val="BodyText"/>
        <w:spacing w:line="252" w:lineRule="auto" w:before="68"/>
        <w:ind w:left="124" w:right="146" w:firstLine="208"/>
        <w:jc w:val="right"/>
      </w:pPr>
      <w:r>
        <w:rPr>
          <w:w w:val="105"/>
        </w:rPr>
        <w:t>We have seen that </w:t>
      </w:r>
      <w:r>
        <w:rPr>
          <w:rFonts w:ascii="Arial" w:hAnsi="Arial"/>
          <w:w w:val="105"/>
          <w:sz w:val="17"/>
        </w:rPr>
        <w:t>a </w:t>
      </w:r>
      <w:r>
        <w:rPr>
          <w:w w:val="105"/>
        </w:rPr>
        <w:t>givcn multiple-decrement table may </w:t>
      </w:r>
      <w:r>
        <w:rPr>
          <w:w w:val="105"/>
          <w:sz w:val="19"/>
        </w:rPr>
        <w:t>be</w:t>
      </w:r>
      <w:r>
        <w:rPr>
          <w:w w:val="104"/>
          <w:sz w:val="19"/>
        </w:rPr>
        <w:t> </w:t>
      </w:r>
      <w:r>
        <w:rPr>
          <w:w w:val="105"/>
        </w:rPr>
        <w:t>resolved into a family of asso&lt;'iated single-decrement tables. We</w:t>
      </w:r>
      <w:r>
        <w:rPr>
          <w:w w:val="102"/>
        </w:rPr>
        <w:t> </w:t>
      </w:r>
      <w:r>
        <w:rPr>
          <w:w w:val="105"/>
        </w:rPr>
        <w:t>now eonsider the inversc problcm of constructing </w:t>
      </w:r>
      <w:r>
        <w:rPr>
          <w:rFonts w:ascii="Arial" w:hAnsi="Arial"/>
          <w:w w:val="105"/>
          <w:sz w:val="17"/>
        </w:rPr>
        <w:t>a </w:t>
      </w:r>
      <w:r>
        <w:rPr>
          <w:w w:val="105"/>
        </w:rPr>
        <w:t>mult iple­</w:t>
      </w:r>
      <w:r>
        <w:rPr>
          <w:w w:val="96"/>
        </w:rPr>
        <w:t> </w:t>
      </w:r>
      <w:r>
        <w:rPr>
          <w:w w:val="105"/>
        </w:rPr>
        <w:t>decrement table based on </w:t>
      </w:r>
      <w:r>
        <w:rPr>
          <w:rFonts w:ascii="Arial" w:hAnsi="Arial"/>
          <w:w w:val="105"/>
          <w:sz w:val="17"/>
        </w:rPr>
        <w:t>a </w:t>
      </w:r>
      <w:r>
        <w:rPr>
          <w:w w:val="105"/>
        </w:rPr>
        <w:t>given farnily of single-decremcnt tables.</w:t>
      </w:r>
      <w:r>
        <w:rPr>
          <w:w w:val="104"/>
        </w:rPr>
        <w:t> </w:t>
      </w:r>
      <w:r>
        <w:rPr>
          <w:w w:val="105"/>
        </w:rPr>
        <w:t>Let us assume that </w:t>
      </w:r>
      <w:r>
        <w:rPr>
          <w:rFonts w:ascii="Arial" w:hAnsi="Arial"/>
          <w:i/>
          <w:w w:val="105"/>
          <w:sz w:val="17"/>
        </w:rPr>
        <w:t>m </w:t>
      </w:r>
      <w:r>
        <w:rPr>
          <w:w w:val="105"/>
        </w:rPr>
        <w:t>::;inglc-decrem.cnt tables are given, each</w:t>
      </w:r>
      <w:r>
        <w:rPr>
          <w:w w:val="101"/>
        </w:rPr>
        <w:t> </w:t>
      </w:r>
      <w:r>
        <w:rPr>
          <w:w w:val="105"/>
        </w:rPr>
        <w:t>representing a different cause of decrement, and that we wish to</w:t>
      </w:r>
      <w:r>
        <w:rPr>
          <w:w w:val="105"/>
        </w:rPr>
        <w:t> </w:t>
      </w:r>
      <w:r>
        <w:rPr>
          <w:w w:val="105"/>
        </w:rPr>
        <w:t>obtain a multiple-decrcment table embodying these </w:t>
      </w:r>
      <w:r>
        <w:rPr>
          <w:rFonts w:ascii="Arial" w:hAnsi="Arial"/>
          <w:i/>
          <w:w w:val="105"/>
          <w:sz w:val="17"/>
        </w:rPr>
        <w:t>m </w:t>
      </w:r>
      <w:r>
        <w:rPr>
          <w:w w:val="105"/>
        </w:rPr>
        <w:t>causes of</w:t>
      </w:r>
      <w:r>
        <w:rPr>
          <w:w w:val="85"/>
        </w:rPr>
        <w:t> </w:t>
      </w:r>
      <w:r>
        <w:rPr>
          <w:w w:val="105"/>
        </w:rPr>
        <w:t>decrement.  The  following  relation  holds  bctween   the   required</w:t>
      </w:r>
    </w:p>
    <w:p>
      <w:pPr>
        <w:pStyle w:val="BodyText"/>
        <w:spacing w:line="201" w:lineRule="exact"/>
        <w:ind w:left="128"/>
      </w:pPr>
      <w:r>
        <w:rPr>
          <w:w w:val="105"/>
        </w:rPr>
        <w:t>parent  table and the given  family of  tables:</w:t>
      </w:r>
    </w:p>
    <w:p>
      <w:pPr>
        <w:tabs>
          <w:tab w:pos="2349" w:val="left" w:leader="none"/>
        </w:tabs>
        <w:spacing w:line="388" w:lineRule="exact" w:before="0"/>
        <w:ind w:left="1633" w:right="0" w:firstLine="0"/>
        <w:jc w:val="left"/>
        <w:rPr>
          <w:rFonts w:ascii="Arial" w:hAnsi="Arial"/>
          <w:sz w:val="10"/>
        </w:rPr>
      </w:pPr>
      <w:r>
        <w:rPr>
          <w:i/>
          <w:w w:val="75"/>
          <w:sz w:val="36"/>
        </w:rPr>
        <w:t>µ;</w:t>
      </w:r>
      <w:r>
        <w:rPr>
          <w:i/>
          <w:spacing w:val="-52"/>
          <w:w w:val="75"/>
          <w:sz w:val="36"/>
        </w:rPr>
        <w:t> </w:t>
      </w:r>
      <w:r>
        <w:rPr>
          <w:rFonts w:ascii="Arial" w:hAnsi="Arial"/>
          <w:i/>
          <w:w w:val="75"/>
          <w:sz w:val="18"/>
        </w:rPr>
        <w:t>TJ</w:t>
        <w:tab/>
      </w:r>
      <w:r>
        <w:rPr>
          <w:w w:val="75"/>
          <w:sz w:val="31"/>
        </w:rPr>
        <w:t>µ;I)  </w:t>
      </w:r>
      <w:r>
        <w:rPr>
          <w:rFonts w:ascii="Arial" w:hAnsi="Arial"/>
          <w:sz w:val="31"/>
        </w:rPr>
        <w:t>+ </w:t>
      </w:r>
      <w:r>
        <w:rPr>
          <w:spacing w:val="-3"/>
          <w:sz w:val="16"/>
        </w:rPr>
        <w:t>µ;2)   </w:t>
      </w:r>
      <w:r>
        <w:rPr>
          <w:sz w:val="28"/>
        </w:rPr>
        <w:t>+  . . . + </w:t>
      </w:r>
      <w:r>
        <w:rPr>
          <w:rFonts w:ascii="Arial" w:hAnsi="Arial"/>
          <w:i/>
          <w:w w:val="240"/>
          <w:sz w:val="10"/>
        </w:rPr>
        <w:t>µ </w:t>
      </w:r>
      <w:r>
        <w:rPr>
          <w:rFonts w:ascii="Arial" w:hAnsi="Arial"/>
          <w:i/>
          <w:sz w:val="10"/>
        </w:rPr>
        <w:t>m)</w:t>
      </w:r>
      <w:r>
        <w:rPr>
          <w:rFonts w:ascii="Arial" w:hAnsi="Arial"/>
          <w:i/>
          <w:spacing w:val="-20"/>
          <w:sz w:val="10"/>
        </w:rPr>
        <w:t> </w:t>
      </w:r>
      <w:r>
        <w:rPr>
          <w:rFonts w:ascii="Arial" w:hAnsi="Arial"/>
          <w:sz w:val="10"/>
        </w:rPr>
        <w:t>•</w:t>
      </w:r>
    </w:p>
    <w:p>
      <w:pPr>
        <w:spacing w:before="36"/>
        <w:ind w:left="117" w:right="0" w:firstLine="0"/>
        <w:jc w:val="left"/>
        <w:rPr>
          <w:sz w:val="19"/>
        </w:rPr>
      </w:pPr>
      <w:r>
        <w:rPr/>
        <w:pict>
          <v:shape style="position:absolute;margin-left:176.039993pt;margin-top:14.665803pt;width:19.2pt;height:6pt;mso-position-horizontal-relative:page;mso-position-vertical-relative:paragraph;z-index:-713368" type="#_x0000_t202" filled="false" stroked="false">
            <v:textbox inset="0,0,0,0">
              <w:txbxContent>
                <w:p>
                  <w:pPr>
                    <w:spacing w:line="120" w:lineRule="exact" w:before="0"/>
                    <w:ind w:left="0" w:right="-1" w:firstLine="0"/>
                    <w:jc w:val="left"/>
                    <w:rPr>
                      <w:b/>
                      <w:i/>
                      <w:sz w:val="12"/>
                    </w:rPr>
                  </w:pPr>
                  <w:r>
                    <w:rPr>
                      <w:b/>
                      <w:i/>
                      <w:sz w:val="12"/>
                    </w:rPr>
                    <w:t>o µz + ,</w:t>
                  </w:r>
                </w:p>
              </w:txbxContent>
            </v:textbox>
            <w10:wrap type="none"/>
          </v:shape>
        </w:pict>
      </w:r>
      <w:r>
        <w:rPr>
          <w:w w:val="95"/>
          <w:sz w:val="20"/>
        </w:rPr>
        <w:t>Since,.</w:t>
      </w:r>
      <w:r>
        <w:rPr>
          <w:sz w:val="20"/>
        </w:rPr>
        <w:t> </w:t>
      </w:r>
      <w:r>
        <w:rPr>
          <w:w w:val="100"/>
          <w:sz w:val="20"/>
        </w:rPr>
        <w:t>from</w:t>
      </w:r>
      <w:r>
        <w:rPr>
          <w:sz w:val="20"/>
        </w:rPr>
        <w:t> </w:t>
      </w:r>
      <w:r>
        <w:rPr>
          <w:spacing w:val="11"/>
          <w:sz w:val="20"/>
        </w:rPr>
        <w:t> </w:t>
      </w:r>
      <w:r>
        <w:rPr>
          <w:w w:val="108"/>
          <w:sz w:val="19"/>
        </w:rPr>
        <w:t>(14.20),</w:t>
      </w:r>
      <w:r>
        <w:rPr>
          <w:sz w:val="19"/>
        </w:rPr>
        <w:t> </w:t>
      </w:r>
      <w:r>
        <w:rPr>
          <w:spacing w:val="-24"/>
          <w:sz w:val="19"/>
        </w:rPr>
        <w:t> </w:t>
      </w:r>
      <w:r>
        <w:rPr>
          <w:rFonts w:ascii="Arial"/>
          <w:i/>
          <w:w w:val="84"/>
          <w:sz w:val="18"/>
        </w:rPr>
        <w:t>p;TJ</w:t>
      </w:r>
      <w:r>
        <w:rPr>
          <w:rFonts w:ascii="Arial"/>
          <w:i/>
          <w:sz w:val="18"/>
        </w:rPr>
        <w:t>  </w:t>
      </w:r>
      <w:r>
        <w:rPr>
          <w:rFonts w:ascii="Arial"/>
          <w:i/>
          <w:spacing w:val="-23"/>
          <w:sz w:val="18"/>
        </w:rPr>
        <w:t> </w:t>
      </w:r>
      <w:r>
        <w:rPr>
          <w:w w:val="101"/>
          <w:sz w:val="23"/>
        </w:rPr>
        <w:t>=</w:t>
      </w:r>
      <w:r>
        <w:rPr>
          <w:sz w:val="23"/>
        </w:rPr>
        <w:t> </w:t>
      </w:r>
      <w:r>
        <w:rPr>
          <w:spacing w:val="-17"/>
          <w:sz w:val="23"/>
        </w:rPr>
        <w:t> </w:t>
      </w:r>
      <w:r>
        <w:rPr>
          <w:i/>
          <w:spacing w:val="4"/>
          <w:w w:val="83"/>
          <w:sz w:val="21"/>
        </w:rPr>
        <w:t>e</w:t>
      </w:r>
      <w:r>
        <w:rPr>
          <w:rFonts w:ascii="Arial"/>
          <w:b/>
          <w:w w:val="112"/>
          <w:position w:val="11"/>
          <w:sz w:val="26"/>
        </w:rPr>
        <w:t>-fl</w:t>
      </w:r>
      <w:r>
        <w:rPr>
          <w:rFonts w:ascii="Arial"/>
          <w:b/>
          <w:spacing w:val="28"/>
          <w:position w:val="11"/>
          <w:sz w:val="26"/>
        </w:rPr>
        <w:t> </w:t>
      </w:r>
      <w:r>
        <w:rPr>
          <w:b/>
          <w:i/>
          <w:w w:val="38"/>
          <w:position w:val="11"/>
          <w:sz w:val="12"/>
        </w:rPr>
        <w:t>C</w:t>
      </w:r>
      <w:r>
        <w:rPr>
          <w:b/>
          <w:i/>
          <w:spacing w:val="10"/>
          <w:position w:val="11"/>
          <w:sz w:val="12"/>
        </w:rPr>
        <w:t> </w:t>
      </w:r>
      <w:r>
        <w:rPr>
          <w:b/>
          <w:i/>
          <w:w w:val="95"/>
          <w:position w:val="11"/>
          <w:sz w:val="12"/>
        </w:rPr>
        <w:t>T</w:t>
      </w:r>
      <w:r>
        <w:rPr>
          <w:b/>
          <w:i/>
          <w:spacing w:val="-7"/>
          <w:position w:val="11"/>
          <w:sz w:val="12"/>
        </w:rPr>
        <w:t> </w:t>
      </w:r>
      <w:r>
        <w:rPr>
          <w:b/>
          <w:i/>
          <w:w w:val="67"/>
          <w:position w:val="11"/>
          <w:sz w:val="12"/>
        </w:rPr>
        <w:t>)</w:t>
      </w:r>
      <w:r>
        <w:rPr>
          <w:b/>
          <w:i/>
          <w:position w:val="11"/>
          <w:sz w:val="12"/>
        </w:rPr>
        <w:t> </w:t>
      </w:r>
      <w:r>
        <w:rPr>
          <w:b/>
          <w:i/>
          <w:spacing w:val="-5"/>
          <w:position w:val="11"/>
          <w:sz w:val="12"/>
        </w:rPr>
        <w:t> </w:t>
      </w:r>
      <w:r>
        <w:rPr>
          <w:b/>
          <w:i/>
          <w:w w:val="94"/>
          <w:position w:val="11"/>
          <w:sz w:val="12"/>
        </w:rPr>
        <w:t>d</w:t>
      </w:r>
      <w:r>
        <w:rPr>
          <w:b/>
          <w:i/>
          <w:position w:val="11"/>
          <w:sz w:val="12"/>
        </w:rPr>
        <w:t> </w:t>
      </w:r>
      <w:r>
        <w:rPr>
          <w:b/>
          <w:i/>
          <w:w w:val="79"/>
          <w:position w:val="11"/>
          <w:sz w:val="12"/>
        </w:rPr>
        <w:t>t</w:t>
      </w:r>
      <w:r>
        <w:rPr>
          <w:b/>
          <w:i/>
          <w:spacing w:val="4"/>
          <w:position w:val="11"/>
          <w:sz w:val="12"/>
        </w:rPr>
        <w:t> </w:t>
      </w:r>
      <w:r>
        <w:rPr>
          <w:w w:val="162"/>
          <w:sz w:val="12"/>
        </w:rPr>
        <w:t>,</w:t>
      </w:r>
      <w:r>
        <w:rPr>
          <w:sz w:val="12"/>
        </w:rPr>
        <w:t> </w:t>
      </w:r>
      <w:r>
        <w:rPr>
          <w:spacing w:val="10"/>
          <w:sz w:val="12"/>
        </w:rPr>
        <w:t> </w:t>
      </w:r>
      <w:r>
        <w:rPr>
          <w:spacing w:val="-78"/>
          <w:w w:val="85"/>
          <w:sz w:val="20"/>
        </w:rPr>
        <w:t>1</w:t>
      </w:r>
      <w:r>
        <w:rPr>
          <w:w w:val="165"/>
          <w:position w:val="11"/>
          <w:sz w:val="12"/>
        </w:rPr>
        <w:t>.</w:t>
      </w:r>
      <w:r>
        <w:rPr>
          <w:spacing w:val="-2"/>
          <w:position w:val="11"/>
          <w:sz w:val="12"/>
        </w:rPr>
        <w:t> </w:t>
      </w:r>
      <w:r>
        <w:rPr>
          <w:w w:val="84"/>
          <w:sz w:val="20"/>
        </w:rPr>
        <w:t>t</w:t>
      </w:r>
      <w:r>
        <w:rPr>
          <w:spacing w:val="8"/>
          <w:sz w:val="20"/>
        </w:rPr>
        <w:t> </w:t>
      </w:r>
      <w:r>
        <w:rPr>
          <w:w w:val="97"/>
          <w:sz w:val="20"/>
        </w:rPr>
        <w:t>follows</w:t>
      </w:r>
      <w:r>
        <w:rPr>
          <w:spacing w:val="21"/>
          <w:sz w:val="20"/>
        </w:rPr>
        <w:t> </w:t>
      </w:r>
      <w:r>
        <w:rPr>
          <w:w w:val="117"/>
          <w:sz w:val="19"/>
        </w:rPr>
        <w:t>that</w:t>
      </w:r>
    </w:p>
    <w:p>
      <w:pPr>
        <w:spacing w:line="95" w:lineRule="exact" w:before="211"/>
        <w:ind w:left="823" w:right="0" w:firstLine="0"/>
        <w:jc w:val="left"/>
        <w:rPr>
          <w:sz w:val="11"/>
        </w:rPr>
      </w:pPr>
      <w:r>
        <w:rPr/>
        <w:drawing>
          <wp:anchor distT="0" distB="0" distL="0" distR="0" allowOverlap="1" layoutInCell="1" locked="0" behindDoc="0" simplePos="0" relativeHeight="22672">
            <wp:simplePos x="0" y="0"/>
            <wp:positionH relativeFrom="page">
              <wp:posOffset>1316736</wp:posOffset>
            </wp:positionH>
            <wp:positionV relativeFrom="paragraph">
              <wp:posOffset>78038</wp:posOffset>
            </wp:positionV>
            <wp:extent cx="1344168" cy="475488"/>
            <wp:effectExtent l="0" t="0" r="0" b="0"/>
            <wp:wrapNone/>
            <wp:docPr id="673" name="image343.png" descr=""/>
            <wp:cNvGraphicFramePr>
              <a:graphicFrameLocks noChangeAspect="1"/>
            </wp:cNvGraphicFramePr>
            <a:graphic>
              <a:graphicData uri="http://schemas.openxmlformats.org/drawingml/2006/picture">
                <pic:pic>
                  <pic:nvPicPr>
                    <pic:cNvPr id="674" name="image343.png"/>
                    <pic:cNvPicPr/>
                  </pic:nvPicPr>
                  <pic:blipFill>
                    <a:blip r:embed="rId347" cstate="print"/>
                    <a:stretch>
                      <a:fillRect/>
                    </a:stretch>
                  </pic:blipFill>
                  <pic:spPr>
                    <a:xfrm>
                      <a:off x="0" y="0"/>
                      <a:ext cx="1344168" cy="475488"/>
                    </a:xfrm>
                    <a:prstGeom prst="rect">
                      <a:avLst/>
                    </a:prstGeom>
                  </pic:spPr>
                </pic:pic>
              </a:graphicData>
            </a:graphic>
          </wp:anchor>
        </w:drawing>
      </w:r>
      <w:r>
        <w:rPr>
          <w:w w:val="110"/>
          <w:sz w:val="11"/>
        </w:rPr>
        <w:t>( TJ</w:t>
      </w:r>
    </w:p>
    <w:p>
      <w:pPr>
        <w:spacing w:line="175" w:lineRule="exact" w:before="0"/>
        <w:ind w:left="700" w:right="0" w:firstLine="0"/>
        <w:jc w:val="left"/>
        <w:rPr>
          <w:rFonts w:ascii="Arial"/>
          <w:b/>
          <w:i/>
          <w:sz w:val="18"/>
        </w:rPr>
      </w:pPr>
      <w:r>
        <w:rPr/>
        <w:drawing>
          <wp:anchor distT="0" distB="0" distL="0" distR="0" allowOverlap="1" layoutInCell="1" locked="0" behindDoc="0" simplePos="0" relativeHeight="22624">
            <wp:simplePos x="0" y="0"/>
            <wp:positionH relativeFrom="page">
              <wp:posOffset>2798064</wp:posOffset>
            </wp:positionH>
            <wp:positionV relativeFrom="paragraph">
              <wp:posOffset>167209</wp:posOffset>
            </wp:positionV>
            <wp:extent cx="576072" cy="192024"/>
            <wp:effectExtent l="0" t="0" r="0" b="0"/>
            <wp:wrapTopAndBottom/>
            <wp:docPr id="675" name="image344.png" descr=""/>
            <wp:cNvGraphicFramePr>
              <a:graphicFrameLocks noChangeAspect="1"/>
            </wp:cNvGraphicFramePr>
            <a:graphic>
              <a:graphicData uri="http://schemas.openxmlformats.org/drawingml/2006/picture">
                <pic:pic>
                  <pic:nvPicPr>
                    <pic:cNvPr id="676" name="image344.png"/>
                    <pic:cNvPicPr/>
                  </pic:nvPicPr>
                  <pic:blipFill>
                    <a:blip r:embed="rId348" cstate="print"/>
                    <a:stretch>
                      <a:fillRect/>
                    </a:stretch>
                  </pic:blipFill>
                  <pic:spPr>
                    <a:xfrm>
                      <a:off x="0" y="0"/>
                      <a:ext cx="576072" cy="192024"/>
                    </a:xfrm>
                    <a:prstGeom prst="rect">
                      <a:avLst/>
                    </a:prstGeom>
                  </pic:spPr>
                </pic:pic>
              </a:graphicData>
            </a:graphic>
          </wp:anchor>
        </w:drawing>
      </w:r>
      <w:r>
        <w:rPr>
          <w:rFonts w:ascii="Arial"/>
          <w:b/>
          <w:i/>
          <w:w w:val="90"/>
          <w:sz w:val="18"/>
        </w:rPr>
        <w:t>Pz</w:t>
      </w:r>
    </w:p>
    <w:p>
      <w:pPr>
        <w:tabs>
          <w:tab w:pos="1975" w:val="left" w:leader="none"/>
          <w:tab w:pos="2918" w:val="left" w:leader="none"/>
        </w:tabs>
        <w:spacing w:line="108" w:lineRule="exact" w:before="98"/>
        <w:ind w:left="1539" w:right="0" w:firstLine="0"/>
        <w:jc w:val="left"/>
        <w:rPr>
          <w:b/>
          <w:i/>
          <w:sz w:val="10"/>
        </w:rPr>
      </w:pPr>
      <w:r>
        <w:rPr>
          <w:spacing w:val="-3"/>
          <w:w w:val="125"/>
          <w:position w:val="3"/>
          <w:sz w:val="9"/>
        </w:rPr>
        <w:t>1</w:t>
      </w:r>
      <w:r>
        <w:rPr>
          <w:spacing w:val="-3"/>
          <w:w w:val="125"/>
          <w:sz w:val="10"/>
        </w:rPr>
        <w:t>(1)</w:t>
        <w:tab/>
      </w:r>
      <w:r>
        <w:rPr>
          <w:b/>
          <w:w w:val="125"/>
          <w:sz w:val="11"/>
        </w:rPr>
        <w:t>'(2)</w:t>
        <w:tab/>
      </w:r>
      <w:r>
        <w:rPr>
          <w:b/>
          <w:i/>
          <w:w w:val="125"/>
          <w:sz w:val="10"/>
        </w:rPr>
        <w:t>l </w:t>
      </w:r>
      <w:r>
        <w:rPr>
          <w:b/>
          <w:i/>
          <w:w w:val="110"/>
          <w:sz w:val="10"/>
        </w:rPr>
        <w:t>(</w:t>
      </w:r>
      <w:r>
        <w:rPr>
          <w:b/>
          <w:i/>
          <w:spacing w:val="-8"/>
          <w:w w:val="110"/>
          <w:sz w:val="10"/>
        </w:rPr>
        <w:t> </w:t>
      </w:r>
      <w:r>
        <w:rPr>
          <w:b/>
          <w:i/>
          <w:w w:val="125"/>
          <w:sz w:val="10"/>
        </w:rPr>
        <w:t>m)</w:t>
      </w:r>
    </w:p>
    <w:p>
      <w:pPr>
        <w:tabs>
          <w:tab w:pos="370" w:val="left" w:leader="none"/>
          <w:tab w:pos="1789" w:val="left" w:leader="none"/>
        </w:tabs>
        <w:spacing w:line="177" w:lineRule="exact" w:before="0"/>
        <w:ind w:left="0" w:right="1310" w:firstLine="0"/>
        <w:jc w:val="center"/>
        <w:rPr>
          <w:rFonts w:ascii="Arial" w:hAnsi="Arial"/>
          <w:sz w:val="18"/>
        </w:rPr>
      </w:pPr>
      <w:r>
        <w:rPr/>
        <w:drawing>
          <wp:anchor distT="0" distB="0" distL="0" distR="0" allowOverlap="1" layoutInCell="1" locked="0" behindDoc="0" simplePos="0" relativeHeight="22648">
            <wp:simplePos x="0" y="0"/>
            <wp:positionH relativeFrom="page">
              <wp:posOffset>2615183</wp:posOffset>
            </wp:positionH>
            <wp:positionV relativeFrom="paragraph">
              <wp:posOffset>170638</wp:posOffset>
            </wp:positionV>
            <wp:extent cx="1271015" cy="164592"/>
            <wp:effectExtent l="0" t="0" r="0" b="0"/>
            <wp:wrapTopAndBottom/>
            <wp:docPr id="677" name="image345.png" descr=""/>
            <wp:cNvGraphicFramePr>
              <a:graphicFrameLocks noChangeAspect="1"/>
            </wp:cNvGraphicFramePr>
            <a:graphic>
              <a:graphicData uri="http://schemas.openxmlformats.org/drawingml/2006/picture">
                <pic:pic>
                  <pic:nvPicPr>
                    <pic:cNvPr id="678" name="image345.png"/>
                    <pic:cNvPicPr/>
                  </pic:nvPicPr>
                  <pic:blipFill>
                    <a:blip r:embed="rId349" cstate="print"/>
                    <a:stretch>
                      <a:fillRect/>
                    </a:stretch>
                  </pic:blipFill>
                  <pic:spPr>
                    <a:xfrm>
                      <a:off x="0" y="0"/>
                      <a:ext cx="1271015" cy="164592"/>
                    </a:xfrm>
                    <a:prstGeom prst="rect">
                      <a:avLst/>
                    </a:prstGeom>
                  </pic:spPr>
                </pic:pic>
              </a:graphicData>
            </a:graphic>
          </wp:anchor>
        </w:drawing>
      </w:r>
      <w:r>
        <w:rPr/>
        <w:pict>
          <v:shape style="position:absolute;margin-left:289.980011pt;margin-top:-2.710639pt;width:34.9pt;height:10pt;mso-position-horizontal-relative:page;mso-position-vertical-relative:paragraph;z-index:22720" type="#_x0000_t202" filled="false" stroked="false">
            <v:textbox inset="0,0,0,0">
              <w:txbxContent>
                <w:p>
                  <w:pPr>
                    <w:pStyle w:val="BodyText"/>
                    <w:spacing w:line="200" w:lineRule="exact"/>
                    <w:ind w:right="-2"/>
                  </w:pPr>
                  <w:r>
                    <w:rPr>
                      <w:spacing w:val="-10"/>
                      <w:w w:val="105"/>
                    </w:rPr>
                    <w:t>(l4.:17a </w:t>
                  </w:r>
                  <w:r>
                    <w:rPr>
                      <w:w w:val="105"/>
                    </w:rPr>
                    <w:t>)</w:t>
                  </w:r>
                </w:p>
              </w:txbxContent>
            </v:textbox>
            <w10:wrap type="none"/>
          </v:shape>
        </w:pict>
      </w:r>
      <w:r>
        <w:rPr>
          <w:rFonts w:ascii="Arial" w:hAnsi="Arial"/>
          <w:b/>
          <w:i/>
          <w:sz w:val="18"/>
        </w:rPr>
        <w:t>Pz</w:t>
        <w:tab/>
      </w:r>
      <w:r>
        <w:rPr>
          <w:rFonts w:ascii="Arial" w:hAnsi="Arial"/>
          <w:b/>
          <w:i/>
          <w:spacing w:val="4"/>
          <w:sz w:val="18"/>
        </w:rPr>
        <w:t>·Pz   </w:t>
      </w:r>
      <w:r>
        <w:rPr>
          <w:rFonts w:ascii="Arial" w:hAnsi="Arial"/>
          <w:w w:val="150"/>
          <w:sz w:val="18"/>
        </w:rPr>
        <w:t>· </w:t>
      </w:r>
      <w:r>
        <w:rPr>
          <w:rFonts w:ascii="Arial" w:hAnsi="Arial"/>
          <w:spacing w:val="2"/>
          <w:w w:val="150"/>
          <w:sz w:val="18"/>
        </w:rPr>
        <w:t>···</w:t>
      </w:r>
      <w:r>
        <w:rPr>
          <w:rFonts w:ascii="Arial" w:hAnsi="Arial"/>
          <w:spacing w:val="-51"/>
          <w:w w:val="150"/>
          <w:sz w:val="18"/>
        </w:rPr>
        <w:t> </w:t>
      </w:r>
      <w:r>
        <w:rPr>
          <w:rFonts w:ascii="Arial" w:hAnsi="Arial"/>
          <w:b/>
          <w:i/>
          <w:sz w:val="18"/>
        </w:rPr>
        <w:t>·</w:t>
      </w:r>
      <w:r>
        <w:rPr>
          <w:rFonts w:ascii="Arial" w:hAnsi="Arial"/>
          <w:b/>
          <w:i/>
          <w:spacing w:val="-38"/>
          <w:sz w:val="18"/>
        </w:rPr>
        <w:t> </w:t>
      </w:r>
      <w:r>
        <w:rPr>
          <w:rFonts w:ascii="Arial" w:hAnsi="Arial"/>
          <w:b/>
          <w:i/>
          <w:sz w:val="18"/>
        </w:rPr>
        <w:t>Pz</w:t>
        <w:tab/>
      </w:r>
      <w:r>
        <w:rPr>
          <w:rFonts w:ascii="Arial" w:hAnsi="Arial"/>
          <w:w w:val="150"/>
          <w:sz w:val="18"/>
        </w:rPr>
        <w:t>,</w:t>
      </w:r>
    </w:p>
    <w:p>
      <w:pPr>
        <w:spacing w:after="0" w:line="177" w:lineRule="exact"/>
        <w:jc w:val="center"/>
        <w:rPr>
          <w:rFonts w:ascii="Arial" w:hAnsi="Arial"/>
          <w:sz w:val="18"/>
        </w:rPr>
        <w:sectPr>
          <w:type w:val="continuous"/>
          <w:pgSz w:w="7200" w:h="11340"/>
          <w:pgMar w:top="1100" w:bottom="0" w:left="660" w:right="520"/>
        </w:sectPr>
      </w:pPr>
    </w:p>
    <w:p>
      <w:pPr>
        <w:pStyle w:val="BodyText"/>
        <w:spacing w:before="11"/>
        <w:ind w:left="124"/>
      </w:pPr>
      <w:r>
        <w:rPr/>
        <w:t>Hence,</w:t>
      </w:r>
    </w:p>
    <w:p>
      <w:pPr>
        <w:pStyle w:val="BodyText"/>
        <w:spacing w:before="6"/>
        <w:rPr>
          <w:sz w:val="6"/>
        </w:rPr>
      </w:pPr>
    </w:p>
    <w:p>
      <w:pPr>
        <w:pStyle w:val="BodyText"/>
        <w:ind w:left="1744" w:right="-40"/>
      </w:pPr>
      <w:r>
        <w:rPr/>
        <w:drawing>
          <wp:inline distT="0" distB="0" distL="0" distR="0">
            <wp:extent cx="1545336" cy="155448"/>
            <wp:effectExtent l="0" t="0" r="0" b="0"/>
            <wp:docPr id="679" name="image346.png" descr=""/>
            <wp:cNvGraphicFramePr>
              <a:graphicFrameLocks noChangeAspect="1"/>
            </wp:cNvGraphicFramePr>
            <a:graphic>
              <a:graphicData uri="http://schemas.openxmlformats.org/drawingml/2006/picture">
                <pic:pic>
                  <pic:nvPicPr>
                    <pic:cNvPr id="680" name="image346.png"/>
                    <pic:cNvPicPr/>
                  </pic:nvPicPr>
                  <pic:blipFill>
                    <a:blip r:embed="rId350" cstate="print"/>
                    <a:stretch>
                      <a:fillRect/>
                    </a:stretch>
                  </pic:blipFill>
                  <pic:spPr>
                    <a:xfrm>
                      <a:off x="0" y="0"/>
                      <a:ext cx="1545336" cy="155448"/>
                    </a:xfrm>
                    <a:prstGeom prst="rect">
                      <a:avLst/>
                    </a:prstGeom>
                  </pic:spPr>
                </pic:pic>
              </a:graphicData>
            </a:graphic>
          </wp:inline>
        </w:drawing>
      </w:r>
      <w:r>
        <w:rPr/>
      </w:r>
    </w:p>
    <w:p>
      <w:pPr>
        <w:pStyle w:val="BodyText"/>
        <w:spacing w:before="130"/>
        <w:ind w:left="121"/>
      </w:pPr>
      <w:r>
        <w:rPr/>
        <w:t>where  </w:t>
      </w:r>
      <w:r>
        <w:rPr>
          <w:i/>
        </w:rPr>
        <w:t>k  </w:t>
      </w:r>
      <w:r>
        <w:rPr/>
        <w:t>is a  constant  of proportionality.</w:t>
      </w:r>
    </w:p>
    <w:p>
      <w:pPr>
        <w:pStyle w:val="BodyText"/>
        <w:spacing w:before="5"/>
        <w:rPr>
          <w:sz w:val="28"/>
        </w:rPr>
      </w:pPr>
      <w:r>
        <w:rPr/>
        <w:br w:type="column"/>
      </w:r>
      <w:r>
        <w:rPr>
          <w:sz w:val="28"/>
        </w:rPr>
      </w:r>
    </w:p>
    <w:p>
      <w:pPr>
        <w:pStyle w:val="BodyText"/>
        <w:spacing w:before="1"/>
        <w:ind w:left="121"/>
      </w:pPr>
      <w:r>
        <w:rPr/>
        <w:t>(14.37b)</w:t>
      </w:r>
    </w:p>
    <w:p>
      <w:pPr>
        <w:spacing w:after="0"/>
        <w:sectPr>
          <w:type w:val="continuous"/>
          <w:pgSz w:w="7200" w:h="11340"/>
          <w:pgMar w:top="1100" w:bottom="0" w:left="660" w:right="520"/>
          <w:cols w:num="2" w:equalWidth="0">
            <w:col w:w="4179" w:space="836"/>
            <w:col w:w="1005"/>
          </w:cols>
        </w:sectPr>
      </w:pPr>
    </w:p>
    <w:p>
      <w:pPr>
        <w:tabs>
          <w:tab w:pos="827" w:val="left" w:leader="none"/>
          <w:tab w:pos="5457" w:val="left" w:leader="none"/>
        </w:tabs>
        <w:spacing w:before="56"/>
        <w:ind w:left="13" w:right="0" w:firstLine="0"/>
        <w:jc w:val="center"/>
        <w:rPr>
          <w:rFonts w:ascii="Arial"/>
          <w:b/>
          <w:sz w:val="19"/>
        </w:rPr>
      </w:pPr>
      <w:r>
        <w:rPr>
          <w:b/>
          <w:w w:val="105"/>
          <w:sz w:val="14"/>
        </w:rPr>
        <w:t>SEC. </w:t>
      </w:r>
      <w:r>
        <w:rPr>
          <w:b/>
          <w:spacing w:val="34"/>
          <w:w w:val="105"/>
          <w:sz w:val="14"/>
        </w:rPr>
        <w:t> </w:t>
      </w:r>
      <w:r>
        <w:rPr>
          <w:rFonts w:ascii="Arial"/>
          <w:b/>
          <w:w w:val="105"/>
          <w:sz w:val="19"/>
        </w:rPr>
        <w:t>6)</w:t>
        <w:tab/>
      </w:r>
      <w:r>
        <w:rPr>
          <w:b/>
          <w:w w:val="105"/>
          <w:sz w:val="14"/>
        </w:rPr>
        <w:t>COKSTRUCTION     OF    A     l\IULTIPLE-DECREME</w:t>
      </w:r>
      <w:r>
        <w:rPr>
          <w:b/>
          <w:spacing w:val="3"/>
          <w:w w:val="105"/>
          <w:sz w:val="14"/>
        </w:rPr>
        <w:t> </w:t>
      </w:r>
      <w:r>
        <w:rPr>
          <w:b/>
          <w:w w:val="105"/>
          <w:sz w:val="14"/>
        </w:rPr>
        <w:t>T  </w:t>
      </w:r>
      <w:r>
        <w:rPr>
          <w:b/>
          <w:spacing w:val="27"/>
          <w:w w:val="105"/>
          <w:sz w:val="14"/>
        </w:rPr>
        <w:t> </w:t>
      </w:r>
      <w:r>
        <w:rPr>
          <w:b/>
          <w:w w:val="105"/>
          <w:sz w:val="14"/>
        </w:rPr>
        <w:t>TABLE</w:t>
        <w:tab/>
      </w:r>
      <w:r>
        <w:rPr>
          <w:rFonts w:ascii="Arial"/>
          <w:b/>
          <w:w w:val="105"/>
          <w:sz w:val="19"/>
        </w:rPr>
        <w:t>281</w:t>
      </w:r>
    </w:p>
    <w:p>
      <w:pPr>
        <w:spacing w:before="153"/>
        <w:ind w:left="130" w:right="105" w:firstLine="190"/>
        <w:jc w:val="both"/>
        <w:rPr>
          <w:sz w:val="19"/>
        </w:rPr>
      </w:pPr>
      <w:r>
        <w:rPr/>
        <w:pict>
          <v:shape style="position:absolute;margin-left:138.600006pt;margin-top:32.351284pt;width:42.35pt;height:27.55pt;mso-position-horizontal-relative:page;mso-position-vertical-relative:paragraph;z-index:-713248" type="#_x0000_t202" filled="false" stroked="false">
            <v:textbox inset="0,0,0,0">
              <w:txbxContent>
                <w:p>
                  <w:pPr>
                    <w:tabs>
                      <w:tab w:pos="388" w:val="left" w:leader="none"/>
                    </w:tabs>
                    <w:spacing w:line="550" w:lineRule="exact" w:before="0"/>
                    <w:ind w:left="0" w:right="0" w:firstLine="0"/>
                    <w:jc w:val="left"/>
                    <w:rPr>
                      <w:b/>
                      <w:sz w:val="55"/>
                    </w:rPr>
                  </w:pPr>
                  <w:r>
                    <w:rPr>
                      <w:b/>
                      <w:i/>
                      <w:w w:val="75"/>
                      <w:position w:val="-6"/>
                      <w:sz w:val="20"/>
                    </w:rPr>
                    <w:t>d</w:t>
                    <w:tab/>
                  </w:r>
                  <w:r>
                    <w:rPr>
                      <w:b/>
                      <w:w w:val="55"/>
                      <w:sz w:val="55"/>
                    </w:rPr>
                    <w:t>-</w:t>
                  </w:r>
                  <w:r>
                    <w:rPr>
                      <w:b/>
                      <w:spacing w:val="-22"/>
                      <w:w w:val="55"/>
                      <w:sz w:val="55"/>
                    </w:rPr>
                    <w:t> </w:t>
                  </w:r>
                  <w:r>
                    <w:rPr>
                      <w:b/>
                      <w:w w:val="55"/>
                      <w:sz w:val="55"/>
                    </w:rPr>
                    <w:t>11</w:t>
                  </w:r>
                </w:p>
              </w:txbxContent>
            </v:textbox>
            <w10:wrap type="none"/>
          </v:shape>
        </w:pict>
      </w:r>
      <w:r>
        <w:rPr>
          <w:w w:val="105"/>
          <w:sz w:val="19"/>
        </w:rPr>
        <w:t>Although (14.37b) providcs un exaet basiR  for constructing </w:t>
      </w:r>
      <w:r>
        <w:rPr>
          <w:rFonts w:ascii="Arial"/>
          <w:i/>
          <w:w w:val="105"/>
          <w:sz w:val="30"/>
        </w:rPr>
        <w:t>l; </w:t>
      </w:r>
      <w:r>
        <w:rPr>
          <w:w w:val="110"/>
          <w:sz w:val="19"/>
        </w:rPr>
        <w:t>n,  </w:t>
      </w:r>
      <w:r>
        <w:rPr>
          <w:w w:val="105"/>
          <w:sz w:val="19"/>
        </w:rPr>
        <w:t>thc  individual  decrements  </w:t>
      </w:r>
      <w:r>
        <w:rPr>
          <w:w w:val="110"/>
          <w:sz w:val="19"/>
        </w:rPr>
        <w:t>at  </w:t>
      </w:r>
      <w:r>
        <w:rPr>
          <w:w w:val="105"/>
          <w:sz w:val="19"/>
        </w:rPr>
        <w:t>each </w:t>
      </w:r>
      <w:r>
        <w:rPr>
          <w:spacing w:val="32"/>
          <w:w w:val="105"/>
          <w:sz w:val="19"/>
        </w:rPr>
        <w:t> </w:t>
      </w:r>
      <w:r>
        <w:rPr>
          <w:w w:val="105"/>
          <w:sz w:val="19"/>
        </w:rPr>
        <w:t>agc,</w:t>
      </w:r>
    </w:p>
    <w:p>
      <w:pPr>
        <w:pStyle w:val="BodyText"/>
        <w:spacing w:before="2"/>
        <w:rPr>
          <w:sz w:val="16"/>
        </w:rPr>
      </w:pPr>
    </w:p>
    <w:p>
      <w:pPr>
        <w:tabs>
          <w:tab w:pos="832" w:val="left" w:leader="none"/>
        </w:tabs>
        <w:spacing w:line="193" w:lineRule="exact" w:before="0"/>
        <w:ind w:left="51" w:right="0" w:firstLine="0"/>
        <w:jc w:val="center"/>
        <w:rPr>
          <w:b/>
          <w:i/>
          <w:sz w:val="20"/>
        </w:rPr>
      </w:pPr>
      <w:r>
        <w:rPr>
          <w:rFonts w:ascii="Arial"/>
          <w:b/>
          <w:i/>
          <w:sz w:val="10"/>
        </w:rPr>
        <w:t>(</w:t>
      </w:r>
      <w:r>
        <w:rPr>
          <w:rFonts w:ascii="Arial"/>
          <w:b/>
          <w:i/>
          <w:spacing w:val="-10"/>
          <w:sz w:val="10"/>
        </w:rPr>
        <w:t> </w:t>
      </w:r>
      <w:r>
        <w:rPr>
          <w:rFonts w:ascii="Arial"/>
          <w:b/>
          <w:i/>
          <w:sz w:val="10"/>
        </w:rPr>
        <w:t>k</w:t>
      </w:r>
      <w:r>
        <w:rPr>
          <w:rFonts w:ascii="Arial"/>
          <w:b/>
          <w:i/>
          <w:spacing w:val="-13"/>
          <w:sz w:val="10"/>
        </w:rPr>
        <w:t> </w:t>
      </w:r>
      <w:r>
        <w:rPr>
          <w:rFonts w:ascii="Arial"/>
          <w:b/>
          <w:i/>
          <w:sz w:val="10"/>
        </w:rPr>
        <w:t>)</w:t>
        <w:tab/>
      </w:r>
      <w:r>
        <w:rPr>
          <w:b/>
          <w:i/>
          <w:w w:val="125"/>
          <w:sz w:val="11"/>
        </w:rPr>
        <w:t>l </w:t>
      </w:r>
      <w:r>
        <w:rPr>
          <w:b/>
          <w:i/>
          <w:sz w:val="11"/>
        </w:rPr>
        <w:t>( T )     </w:t>
      </w:r>
      <w:r>
        <w:rPr>
          <w:rFonts w:ascii="Arial"/>
          <w:b/>
          <w:w w:val="125"/>
          <w:sz w:val="10"/>
        </w:rPr>
        <w:t>(k)  </w:t>
      </w:r>
      <w:r>
        <w:rPr>
          <w:rFonts w:ascii="Arial"/>
          <w:b/>
          <w:spacing w:val="8"/>
          <w:w w:val="125"/>
          <w:sz w:val="10"/>
        </w:rPr>
        <w:t> </w:t>
      </w:r>
      <w:r>
        <w:rPr>
          <w:b/>
          <w:i/>
          <w:sz w:val="20"/>
        </w:rPr>
        <w:t>dt</w:t>
      </w:r>
    </w:p>
    <w:p>
      <w:pPr>
        <w:tabs>
          <w:tab w:pos="388" w:val="left" w:leader="none"/>
          <w:tab w:pos="950" w:val="left" w:leader="none"/>
          <w:tab w:pos="1752" w:val="left" w:leader="none"/>
        </w:tabs>
        <w:spacing w:line="89" w:lineRule="exact" w:before="0"/>
        <w:ind w:left="96" w:right="0" w:firstLine="0"/>
        <w:jc w:val="center"/>
        <w:rPr>
          <w:sz w:val="13"/>
        </w:rPr>
      </w:pPr>
      <w:r>
        <w:rPr>
          <w:b/>
          <w:i/>
          <w:w w:val="95"/>
          <w:sz w:val="13"/>
        </w:rPr>
        <w:t>x</w:t>
        <w:tab/>
      </w:r>
      <w:r>
        <w:rPr>
          <w:w w:val="335"/>
          <w:sz w:val="13"/>
        </w:rPr>
        <w:t>-</w:t>
        <w:tab/>
      </w:r>
      <w:r>
        <w:rPr>
          <w:b/>
          <w:i/>
          <w:w w:val="125"/>
          <w:sz w:val="13"/>
        </w:rPr>
        <w:t>x+</w:t>
      </w:r>
      <w:r>
        <w:rPr>
          <w:b/>
          <w:i/>
          <w:spacing w:val="-31"/>
          <w:w w:val="125"/>
          <w:sz w:val="13"/>
        </w:rPr>
        <w:t> </w:t>
      </w:r>
      <w:r>
        <w:rPr>
          <w:b/>
          <w:i/>
          <w:w w:val="95"/>
          <w:sz w:val="13"/>
        </w:rPr>
        <w:t>t </w:t>
      </w:r>
      <w:r>
        <w:rPr>
          <w:b/>
          <w:i/>
          <w:w w:val="125"/>
          <w:sz w:val="13"/>
        </w:rPr>
        <w:t>µx+</w:t>
      </w:r>
      <w:r>
        <w:rPr>
          <w:b/>
          <w:i/>
          <w:spacing w:val="-14"/>
          <w:w w:val="125"/>
          <w:sz w:val="13"/>
        </w:rPr>
        <w:t> </w:t>
      </w:r>
      <w:r>
        <w:rPr>
          <w:b/>
          <w:i/>
          <w:w w:val="95"/>
          <w:sz w:val="13"/>
        </w:rPr>
        <w:t>t</w:t>
        <w:tab/>
      </w:r>
      <w:r>
        <w:rPr>
          <w:w w:val="125"/>
          <w:sz w:val="13"/>
        </w:rPr>
        <w:t>,</w:t>
      </w:r>
    </w:p>
    <w:p>
      <w:pPr>
        <w:spacing w:line="149" w:lineRule="exact" w:before="0"/>
        <w:ind w:left="0" w:right="322" w:firstLine="0"/>
        <w:jc w:val="center"/>
        <w:rPr>
          <w:rFonts w:ascii="Arial"/>
          <w:sz w:val="15"/>
        </w:rPr>
      </w:pPr>
      <w:r>
        <w:rPr>
          <w:rFonts w:ascii="Arial"/>
          <w:w w:val="71"/>
          <w:sz w:val="15"/>
        </w:rPr>
        <w:t>o</w:t>
      </w:r>
    </w:p>
    <w:p>
      <w:pPr>
        <w:spacing w:before="125"/>
        <w:ind w:left="126" w:right="133" w:firstLine="0"/>
        <w:jc w:val="left"/>
        <w:rPr>
          <w:sz w:val="19"/>
        </w:rPr>
      </w:pPr>
      <w:r>
        <w:rPr>
          <w:w w:val="110"/>
          <w:sz w:val="19"/>
        </w:rPr>
        <w:t>must  normally  be computed  by  a method  of approximation.</w:t>
      </w:r>
    </w:p>
    <w:p>
      <w:pPr>
        <w:spacing w:line="240" w:lineRule="auto" w:before="22"/>
        <w:ind w:left="119" w:right="113" w:firstLine="198"/>
        <w:jc w:val="both"/>
        <w:rPr>
          <w:sz w:val="19"/>
        </w:rPr>
      </w:pPr>
      <w:r>
        <w:rPr>
          <w:rFonts w:ascii="Arial" w:hAnsi="Arial"/>
          <w:b/>
          <w:w w:val="105"/>
          <w:sz w:val="19"/>
        </w:rPr>
        <w:t>A </w:t>
      </w:r>
      <w:r>
        <w:rPr>
          <w:w w:val="105"/>
          <w:sz w:val="19"/>
        </w:rPr>
        <w:t>&lt;leviee which is particularly eonvenient for thc special casé of  two decrcmcnts is based on (14.32 ). </w:t>
      </w:r>
      <w:r>
        <w:rPr>
          <w:w w:val="105"/>
          <w:sz w:val="21"/>
        </w:rPr>
        <w:t>In </w:t>
      </w:r>
      <w:r>
        <w:rPr>
          <w:w w:val="105"/>
          <w:sz w:val="19"/>
        </w:rPr>
        <w:t>the preseHt  instancc,  the values  of  the rates  </w:t>
      </w:r>
      <w:r>
        <w:rPr>
          <w:i/>
          <w:sz w:val="21"/>
        </w:rPr>
        <w:t>q;(I)  </w:t>
      </w:r>
      <w:r>
        <w:rPr>
          <w:w w:val="105"/>
          <w:sz w:val="19"/>
        </w:rPr>
        <w:t>and  </w:t>
      </w:r>
      <w:r>
        <w:rPr>
          <w:i/>
          <w:sz w:val="21"/>
        </w:rPr>
        <w:t>q;(2) </w:t>
      </w:r>
      <w:r>
        <w:rPr>
          <w:w w:val="105"/>
          <w:sz w:val="19"/>
        </w:rPr>
        <w:t>are knmm  from the given </w:t>
      </w:r>
      <w:r>
        <w:rPr>
          <w:spacing w:val="23"/>
          <w:w w:val="105"/>
          <w:sz w:val="19"/>
        </w:rPr>
        <w:t> </w:t>
      </w:r>
      <w:r>
        <w:rPr>
          <w:w w:val="105"/>
          <w:sz w:val="19"/>
        </w:rPr>
        <w:t>single­</w:t>
      </w:r>
    </w:p>
    <w:p>
      <w:pPr>
        <w:spacing w:line="96" w:lineRule="auto" w:before="128"/>
        <w:ind w:left="122" w:right="113" w:hanging="11"/>
        <w:jc w:val="center"/>
        <w:rPr>
          <w:sz w:val="19"/>
        </w:rPr>
      </w:pPr>
      <w:r>
        <w:rPr>
          <w:w w:val="110"/>
          <w:sz w:val="19"/>
        </w:rPr>
        <w:t>decrement tables, and wc dcsire to find the values of the córrcspond­ </w:t>
      </w:r>
      <w:r>
        <w:rPr>
          <w:w w:val="107"/>
          <w:sz w:val="19"/>
        </w:rPr>
        <w:t>ing </w:t>
      </w:r>
      <w:r>
        <w:rPr>
          <w:w w:val="109"/>
          <w:sz w:val="19"/>
        </w:rPr>
        <w:t>probabilities  </w:t>
      </w:r>
      <w:r>
        <w:rPr>
          <w:i/>
          <w:w w:val="78"/>
          <w:sz w:val="35"/>
        </w:rPr>
        <w:t>q;</w:t>
      </w:r>
      <w:r>
        <w:rPr>
          <w:rFonts w:ascii="Arial" w:hAnsi="Arial"/>
          <w:i/>
          <w:w w:val="78"/>
          <w:position w:val="8"/>
          <w:sz w:val="12"/>
        </w:rPr>
        <w:t>0   </w:t>
      </w:r>
      <w:r>
        <w:rPr>
          <w:w w:val="112"/>
          <w:sz w:val="19"/>
        </w:rPr>
        <w:t>and </w:t>
      </w:r>
      <w:r>
        <w:rPr>
          <w:w w:val="71"/>
          <w:sz w:val="32"/>
        </w:rPr>
        <w:t>q;</w:t>
      </w:r>
      <w:r>
        <w:rPr>
          <w:rFonts w:ascii="Arial" w:hAnsi="Arial"/>
          <w:w w:val="71"/>
          <w:position w:val="9"/>
          <w:sz w:val="11"/>
        </w:rPr>
        <w:t>2 </w:t>
      </w:r>
      <w:r>
        <w:rPr>
          <w:rFonts w:ascii="Arial" w:hAnsi="Arial"/>
          <w:w w:val="80"/>
          <w:sz w:val="11"/>
        </w:rPr>
        <w:t>) </w:t>
      </w:r>
      <w:r>
        <w:rPr>
          <w:rFonts w:ascii="Arial" w:hAnsi="Arial"/>
          <w:w w:val="226"/>
          <w:sz w:val="11"/>
        </w:rPr>
        <w:t>. </w:t>
      </w:r>
      <w:r>
        <w:rPr>
          <w:w w:val="114"/>
          <w:sz w:val="19"/>
        </w:rPr>
        <w:t>The </w:t>
      </w:r>
      <w:r>
        <w:rPr>
          <w:w w:val="110"/>
          <w:sz w:val="19"/>
        </w:rPr>
        <w:t>relations  </w:t>
      </w:r>
      <w:r>
        <w:rPr>
          <w:w w:val="102"/>
          <w:sz w:val="19"/>
        </w:rPr>
        <w:t>in  </w:t>
      </w:r>
      <w:r>
        <w:rPr>
          <w:w w:val="102"/>
          <w:sz w:val="19"/>
        </w:rPr>
        <w:t>(14.32 </w:t>
      </w:r>
      <w:r>
        <w:rPr>
          <w:w w:val="95"/>
          <w:sz w:val="19"/>
        </w:rPr>
        <w:t>)  </w:t>
      </w:r>
      <w:r>
        <w:rPr>
          <w:w w:val="107"/>
          <w:sz w:val="19"/>
        </w:rPr>
        <w:t>lead  </w:t>
      </w:r>
      <w:r>
        <w:rPr>
          <w:w w:val="113"/>
          <w:sz w:val="19"/>
        </w:rPr>
        <w:t>to </w:t>
      </w:r>
      <w:r>
        <w:rPr>
          <w:w w:val="114"/>
          <w:sz w:val="19"/>
        </w:rPr>
        <w:t>thc</w:t>
      </w:r>
    </w:p>
    <w:p>
      <w:pPr>
        <w:spacing w:line="267" w:lineRule="exact" w:before="0"/>
        <w:ind w:left="119" w:right="133" w:firstLine="0"/>
        <w:jc w:val="left"/>
        <w:rPr>
          <w:rFonts w:ascii="Arial"/>
          <w:sz w:val="13"/>
        </w:rPr>
      </w:pPr>
      <w:r>
        <w:rPr/>
        <w:pict>
          <v:shape style="position:absolute;margin-left:280.799988pt;margin-top:6.089108pt;width:1.7pt;height:5.5pt;mso-position-horizontal-relative:page;mso-position-vertical-relative:paragraph;z-index:-713224" type="#_x0000_t202" filled="false" stroked="false">
            <v:textbox inset="0,0,0,0">
              <w:txbxContent>
                <w:p>
                  <w:pPr>
                    <w:spacing w:line="110" w:lineRule="exact" w:before="0"/>
                    <w:ind w:left="0" w:right="0" w:firstLine="0"/>
                    <w:jc w:val="left"/>
                    <w:rPr>
                      <w:rFonts w:ascii="Arial"/>
                      <w:i/>
                      <w:sz w:val="11"/>
                    </w:rPr>
                  </w:pPr>
                  <w:r>
                    <w:rPr>
                      <w:rFonts w:ascii="Arial"/>
                      <w:i/>
                      <w:w w:val="52"/>
                      <w:sz w:val="11"/>
                    </w:rPr>
                    <w:t>&gt;</w:t>
                  </w:r>
                </w:p>
              </w:txbxContent>
            </v:textbox>
            <w10:wrap type="none"/>
          </v:shape>
        </w:pict>
      </w:r>
      <w:r>
        <w:rPr>
          <w:w w:val="103"/>
          <w:sz w:val="19"/>
        </w:rPr>
        <w:t>following</w:t>
      </w:r>
      <w:r>
        <w:rPr>
          <w:sz w:val="19"/>
        </w:rPr>
        <w:t> </w:t>
      </w:r>
      <w:r>
        <w:rPr>
          <w:spacing w:val="-21"/>
          <w:sz w:val="19"/>
        </w:rPr>
        <w:t> </w:t>
      </w:r>
      <w:r>
        <w:rPr>
          <w:w w:val="111"/>
          <w:sz w:val="19"/>
        </w:rPr>
        <w:t>system</w:t>
      </w:r>
      <w:r>
        <w:rPr>
          <w:sz w:val="19"/>
        </w:rPr>
        <w:t> </w:t>
      </w:r>
      <w:r>
        <w:rPr>
          <w:spacing w:val="-20"/>
          <w:sz w:val="19"/>
        </w:rPr>
        <w:t> </w:t>
      </w:r>
      <w:r>
        <w:rPr>
          <w:w w:val="92"/>
          <w:sz w:val="19"/>
        </w:rPr>
        <w:t>of</w:t>
      </w:r>
      <w:r>
        <w:rPr>
          <w:sz w:val="19"/>
        </w:rPr>
        <w:t> </w:t>
      </w:r>
      <w:r>
        <w:rPr>
          <w:spacing w:val="-9"/>
          <w:sz w:val="19"/>
        </w:rPr>
        <w:t> </w:t>
      </w:r>
      <w:r>
        <w:rPr>
          <w:w w:val="110"/>
          <w:sz w:val="19"/>
        </w:rPr>
        <w:t>simultaneous</w:t>
      </w:r>
      <w:r>
        <w:rPr>
          <w:sz w:val="19"/>
        </w:rPr>
        <w:t> </w:t>
      </w:r>
      <w:r>
        <w:rPr>
          <w:spacing w:val="-19"/>
          <w:sz w:val="19"/>
        </w:rPr>
        <w:t> </w:t>
      </w:r>
      <w:r>
        <w:rPr>
          <w:w w:val="109"/>
          <w:sz w:val="19"/>
        </w:rPr>
        <w:t>linear</w:t>
      </w:r>
      <w:r>
        <w:rPr>
          <w:sz w:val="19"/>
        </w:rPr>
        <w:t> </w:t>
      </w:r>
      <w:r>
        <w:rPr>
          <w:spacing w:val="-20"/>
          <w:sz w:val="19"/>
        </w:rPr>
        <w:t> </w:t>
      </w:r>
      <w:r>
        <w:rPr>
          <w:w w:val="111"/>
          <w:sz w:val="19"/>
        </w:rPr>
        <w:t>equations</w:t>
      </w:r>
      <w:r>
        <w:rPr>
          <w:sz w:val="19"/>
        </w:rPr>
        <w:t> </w:t>
      </w:r>
      <w:r>
        <w:rPr>
          <w:spacing w:val="-10"/>
          <w:sz w:val="19"/>
        </w:rPr>
        <w:t> </w:t>
      </w:r>
      <w:r>
        <w:rPr>
          <w:w w:val="97"/>
          <w:sz w:val="19"/>
        </w:rPr>
        <w:t>in</w:t>
      </w:r>
      <w:r>
        <w:rPr>
          <w:sz w:val="19"/>
        </w:rPr>
        <w:t> </w:t>
      </w:r>
      <w:r>
        <w:rPr>
          <w:spacing w:val="-17"/>
          <w:sz w:val="19"/>
        </w:rPr>
        <w:t> </w:t>
      </w:r>
      <w:r>
        <w:rPr>
          <w:i/>
          <w:w w:val="54"/>
          <w:sz w:val="35"/>
        </w:rPr>
        <w:t>q</w:t>
      </w:r>
      <w:r>
        <w:rPr>
          <w:i/>
          <w:spacing w:val="5"/>
          <w:w w:val="54"/>
          <w:sz w:val="35"/>
        </w:rPr>
        <w:t>;</w:t>
      </w:r>
      <w:r>
        <w:rPr>
          <w:rFonts w:ascii="Arial"/>
          <w:i/>
          <w:w w:val="84"/>
          <w:position w:val="9"/>
          <w:sz w:val="10"/>
        </w:rPr>
        <w:t>1</w:t>
      </w:r>
      <w:r>
        <w:rPr>
          <w:rFonts w:ascii="Arial"/>
          <w:i/>
          <w:position w:val="9"/>
          <w:sz w:val="10"/>
        </w:rPr>
        <w:t>   </w:t>
      </w:r>
      <w:r>
        <w:rPr>
          <w:rFonts w:ascii="Arial"/>
          <w:i/>
          <w:spacing w:val="10"/>
          <w:position w:val="9"/>
          <w:sz w:val="10"/>
        </w:rPr>
        <w:t> </w:t>
      </w:r>
      <w:r>
        <w:rPr>
          <w:w w:val="111"/>
          <w:sz w:val="19"/>
        </w:rPr>
        <w:t>and</w:t>
      </w:r>
      <w:r>
        <w:rPr>
          <w:sz w:val="19"/>
        </w:rPr>
        <w:t> </w:t>
      </w:r>
      <w:r>
        <w:rPr>
          <w:spacing w:val="-21"/>
          <w:sz w:val="19"/>
        </w:rPr>
        <w:t> </w:t>
      </w:r>
      <w:r>
        <w:rPr>
          <w:w w:val="63"/>
          <w:sz w:val="32"/>
        </w:rPr>
        <w:t>q</w:t>
      </w:r>
      <w:r>
        <w:rPr>
          <w:spacing w:val="-5"/>
          <w:w w:val="63"/>
          <w:sz w:val="32"/>
        </w:rPr>
        <w:t>;</w:t>
      </w:r>
      <w:r>
        <w:rPr>
          <w:rFonts w:ascii="Arial"/>
          <w:spacing w:val="3"/>
          <w:w w:val="87"/>
          <w:position w:val="9"/>
          <w:sz w:val="11"/>
        </w:rPr>
        <w:t>2</w:t>
      </w:r>
      <w:r>
        <w:rPr>
          <w:rFonts w:ascii="Arial"/>
          <w:w w:val="228"/>
          <w:sz w:val="13"/>
        </w:rPr>
        <w:t>l:</w:t>
      </w:r>
    </w:p>
    <w:p>
      <w:pPr>
        <w:spacing w:after="0" w:line="267" w:lineRule="exact"/>
        <w:jc w:val="left"/>
        <w:rPr>
          <w:rFonts w:ascii="Arial"/>
          <w:sz w:val="13"/>
        </w:rPr>
        <w:sectPr>
          <w:pgSz w:w="7200" w:h="11340"/>
          <w:pgMar w:top="500" w:bottom="280" w:left="680" w:right="540"/>
        </w:sect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3"/>
        <w:rPr>
          <w:rFonts w:ascii="Arial"/>
        </w:rPr>
      </w:pPr>
    </w:p>
    <w:p>
      <w:pPr>
        <w:spacing w:before="0"/>
        <w:ind w:left="122" w:right="-13" w:firstLine="0"/>
        <w:jc w:val="left"/>
        <w:rPr>
          <w:sz w:val="19"/>
        </w:rPr>
      </w:pPr>
      <w:r>
        <w:rPr/>
        <w:drawing>
          <wp:anchor distT="0" distB="0" distL="0" distR="0" allowOverlap="1" layoutInCell="1" locked="0" behindDoc="0" simplePos="0" relativeHeight="22792">
            <wp:simplePos x="0" y="0"/>
            <wp:positionH relativeFrom="page">
              <wp:posOffset>1655064</wp:posOffset>
            </wp:positionH>
            <wp:positionV relativeFrom="paragraph">
              <wp:posOffset>210935</wp:posOffset>
            </wp:positionV>
            <wp:extent cx="1325880" cy="749807"/>
            <wp:effectExtent l="0" t="0" r="0" b="0"/>
            <wp:wrapNone/>
            <wp:docPr id="681" name="image347.png" descr=""/>
            <wp:cNvGraphicFramePr>
              <a:graphicFrameLocks noChangeAspect="1"/>
            </wp:cNvGraphicFramePr>
            <a:graphic>
              <a:graphicData uri="http://schemas.openxmlformats.org/drawingml/2006/picture">
                <pic:pic>
                  <pic:nvPicPr>
                    <pic:cNvPr id="682" name="image347.png"/>
                    <pic:cNvPicPr/>
                  </pic:nvPicPr>
                  <pic:blipFill>
                    <a:blip r:embed="rId351" cstate="print"/>
                    <a:stretch>
                      <a:fillRect/>
                    </a:stretch>
                  </pic:blipFill>
                  <pic:spPr>
                    <a:xfrm>
                      <a:off x="0" y="0"/>
                      <a:ext cx="1325880" cy="749807"/>
                    </a:xfrm>
                    <a:prstGeom prst="rect">
                      <a:avLst/>
                    </a:prstGeom>
                  </pic:spPr>
                </pic:pic>
              </a:graphicData>
            </a:graphic>
          </wp:anchor>
        </w:drawing>
      </w:r>
      <w:r>
        <w:rPr>
          <w:w w:val="105"/>
          <w:sz w:val="19"/>
        </w:rPr>
        <w:t>8olving,  we find</w:t>
      </w:r>
    </w:p>
    <w:p>
      <w:pPr>
        <w:spacing w:line="282" w:lineRule="exact" w:before="0"/>
        <w:ind w:left="230" w:right="0" w:firstLine="0"/>
        <w:jc w:val="left"/>
        <w:rPr>
          <w:sz w:val="19"/>
        </w:rPr>
      </w:pPr>
      <w:r>
        <w:rPr/>
        <w:br w:type="column"/>
      </w:r>
      <w:r>
        <w:rPr>
          <w:w w:val="135"/>
          <w:sz w:val="11"/>
        </w:rPr>
        <w:t>(l)    </w:t>
      </w:r>
      <w:r>
        <w:rPr>
          <w:rFonts w:ascii="Arial"/>
          <w:w w:val="105"/>
          <w:sz w:val="30"/>
        </w:rPr>
        <w:t>+ </w:t>
      </w:r>
      <w:r>
        <w:rPr>
          <w:w w:val="105"/>
          <w:sz w:val="19"/>
        </w:rPr>
        <w:t>lq'CI) , </w:t>
      </w:r>
      <w:r>
        <w:rPr>
          <w:w w:val="135"/>
          <w:sz w:val="11"/>
        </w:rPr>
        <w:t>q(2)   </w:t>
      </w:r>
      <w:r>
        <w:rPr>
          <w:w w:val="170"/>
          <w:sz w:val="9"/>
        </w:rPr>
        <w:t>!.-  </w:t>
      </w:r>
      <w:r>
        <w:rPr>
          <w:w w:val="105"/>
          <w:sz w:val="19"/>
        </w:rPr>
        <w:t>q'O)</w:t>
      </w:r>
    </w:p>
    <w:p>
      <w:pPr>
        <w:tabs>
          <w:tab w:pos="864" w:val="left" w:leader="none"/>
          <w:tab w:pos="1447" w:val="left" w:leader="none"/>
          <w:tab w:pos="1757" w:val="left" w:leader="none"/>
          <w:tab w:pos="2106" w:val="left" w:leader="none"/>
        </w:tabs>
        <w:spacing w:line="68" w:lineRule="exact" w:before="0"/>
        <w:ind w:left="209" w:right="0" w:firstLine="0"/>
        <w:jc w:val="left"/>
        <w:rPr>
          <w:rFonts w:ascii="Arial"/>
          <w:i/>
          <w:sz w:val="8"/>
        </w:rPr>
      </w:pPr>
      <w:r>
        <w:rPr/>
        <w:drawing>
          <wp:anchor distT="0" distB="0" distL="0" distR="0" allowOverlap="1" layoutInCell="1" locked="0" behindDoc="0" simplePos="0" relativeHeight="22768">
            <wp:simplePos x="0" y="0"/>
            <wp:positionH relativeFrom="page">
              <wp:posOffset>1636776</wp:posOffset>
            </wp:positionH>
            <wp:positionV relativeFrom="paragraph">
              <wp:posOffset>116797</wp:posOffset>
            </wp:positionV>
            <wp:extent cx="1399032" cy="164591"/>
            <wp:effectExtent l="0" t="0" r="0" b="0"/>
            <wp:wrapNone/>
            <wp:docPr id="683" name="image348.png" descr=""/>
            <wp:cNvGraphicFramePr>
              <a:graphicFrameLocks noChangeAspect="1"/>
            </wp:cNvGraphicFramePr>
            <a:graphic>
              <a:graphicData uri="http://schemas.openxmlformats.org/drawingml/2006/picture">
                <pic:pic>
                  <pic:nvPicPr>
                    <pic:cNvPr id="684" name="image348.png"/>
                    <pic:cNvPicPr/>
                  </pic:nvPicPr>
                  <pic:blipFill>
                    <a:blip r:embed="rId352" cstate="print"/>
                    <a:stretch>
                      <a:fillRect/>
                    </a:stretch>
                  </pic:blipFill>
                  <pic:spPr>
                    <a:xfrm>
                      <a:off x="0" y="0"/>
                      <a:ext cx="1399032" cy="164591"/>
                    </a:xfrm>
                    <a:prstGeom prst="rect">
                      <a:avLst/>
                    </a:prstGeom>
                  </pic:spPr>
                </pic:pic>
              </a:graphicData>
            </a:graphic>
          </wp:anchor>
        </w:drawing>
      </w:r>
      <w:r>
        <w:rPr/>
        <w:pict>
          <v:shape style="position:absolute;margin-left:128.160004pt;margin-top:-6.007781pt;width:4.6pt;height:9.5pt;mso-position-horizontal-relative:page;mso-position-vertical-relative:paragraph;z-index:-713200" type="#_x0000_t202" filled="false" stroked="false">
            <v:textbox inset="0,0,0,0">
              <w:txbxContent>
                <w:p>
                  <w:pPr>
                    <w:spacing w:line="190" w:lineRule="exact" w:before="0"/>
                    <w:ind w:left="0" w:right="0" w:firstLine="0"/>
                    <w:jc w:val="left"/>
                    <w:rPr>
                      <w:sz w:val="19"/>
                    </w:rPr>
                  </w:pPr>
                  <w:r>
                    <w:rPr>
                      <w:w w:val="96"/>
                      <w:sz w:val="19"/>
                    </w:rPr>
                    <w:t>q</w:t>
                  </w:r>
                </w:p>
              </w:txbxContent>
            </v:textbox>
            <w10:wrap type="none"/>
          </v:shape>
        </w:pict>
      </w:r>
      <w:r>
        <w:rPr>
          <w:rFonts w:ascii="Arial"/>
          <w:i/>
          <w:w w:val="135"/>
          <w:sz w:val="8"/>
        </w:rPr>
        <w:t>Z</w:t>
        <w:tab/>
        <w:t>2  </w:t>
      </w:r>
      <w:r>
        <w:rPr>
          <w:rFonts w:ascii="Arial"/>
          <w:i/>
          <w:spacing w:val="5"/>
          <w:w w:val="135"/>
          <w:sz w:val="8"/>
        </w:rPr>
        <w:t> </w:t>
      </w:r>
      <w:r>
        <w:rPr>
          <w:rFonts w:ascii="Arial"/>
          <w:i/>
          <w:w w:val="115"/>
          <w:sz w:val="8"/>
        </w:rPr>
        <w:t>X</w:t>
        <w:tab/>
      </w:r>
      <w:r>
        <w:rPr>
          <w:rFonts w:ascii="Arial"/>
          <w:i/>
          <w:w w:val="135"/>
          <w:sz w:val="8"/>
        </w:rPr>
        <w:t>Z</w:t>
        <w:tab/>
      </w:r>
      <w:r>
        <w:rPr>
          <w:rFonts w:ascii="Arial"/>
          <w:w w:val="175"/>
          <w:sz w:val="8"/>
        </w:rPr>
        <w:t>--;</w:t>
        <w:tab/>
      </w:r>
      <w:r>
        <w:rPr>
          <w:rFonts w:ascii="Arial"/>
          <w:i/>
          <w:w w:val="135"/>
          <w:sz w:val="8"/>
        </w:rPr>
        <w:t>Z</w:t>
      </w:r>
    </w:p>
    <w:p>
      <w:pPr>
        <w:pStyle w:val="BodyText"/>
        <w:rPr>
          <w:rFonts w:ascii="Arial"/>
          <w:i/>
          <w:sz w:val="18"/>
        </w:rPr>
      </w:pPr>
      <w:r>
        <w:rPr/>
        <w:br w:type="column"/>
      </w:r>
      <w:r>
        <w:rPr>
          <w:rFonts w:ascii="Arial"/>
          <w:i/>
          <w:sz w:val="18"/>
        </w:rPr>
      </w: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6"/>
        <w:rPr>
          <w:rFonts w:ascii="Arial"/>
          <w:i/>
        </w:rPr>
      </w:pPr>
    </w:p>
    <w:p>
      <w:pPr>
        <w:spacing w:before="1"/>
        <w:ind w:left="122" w:right="0" w:firstLine="0"/>
        <w:jc w:val="left"/>
        <w:rPr>
          <w:sz w:val="19"/>
        </w:rPr>
      </w:pPr>
      <w:r>
        <w:rPr>
          <w:w w:val="105"/>
          <w:sz w:val="19"/>
        </w:rPr>
        <w:t>(14.38)</w:t>
      </w:r>
    </w:p>
    <w:p>
      <w:pPr>
        <w:spacing w:after="0"/>
        <w:jc w:val="left"/>
        <w:rPr>
          <w:sz w:val="19"/>
        </w:rPr>
        <w:sectPr>
          <w:type w:val="continuous"/>
          <w:pgSz w:w="7200" w:h="11340"/>
          <w:pgMar w:top="1100" w:bottom="0" w:left="680" w:right="540"/>
          <w:cols w:num="3" w:equalWidth="0">
            <w:col w:w="1493" w:space="267"/>
            <w:col w:w="2341" w:space="1018"/>
            <w:col w:w="861"/>
          </w:cols>
        </w:sectPr>
      </w:pPr>
    </w:p>
    <w:p>
      <w:pPr>
        <w:pStyle w:val="BodyText"/>
      </w:pPr>
    </w:p>
    <w:p>
      <w:pPr>
        <w:pStyle w:val="BodyText"/>
        <w:spacing w:before="9"/>
        <w:rPr>
          <w:sz w:val="16"/>
        </w:rPr>
      </w:pPr>
    </w:p>
    <w:p>
      <w:pPr>
        <w:spacing w:after="0"/>
        <w:rPr>
          <w:sz w:val="16"/>
        </w:rPr>
        <w:sectPr>
          <w:type w:val="continuous"/>
          <w:pgSz w:w="7200" w:h="11340"/>
          <w:pgMar w:top="1100" w:bottom="0" w:left="680" w:right="540"/>
        </w:sectPr>
      </w:pPr>
    </w:p>
    <w:p>
      <w:pPr>
        <w:spacing w:line="201" w:lineRule="exact" w:before="190"/>
        <w:ind w:left="320" w:right="-15" w:firstLine="0"/>
        <w:jc w:val="left"/>
        <w:rPr>
          <w:sz w:val="12"/>
        </w:rPr>
      </w:pPr>
      <w:r>
        <w:rPr/>
        <w:pict>
          <v:shape style="position:absolute;margin-left:73.440002pt;margin-top:15.049985pt;width:1.5pt;height:5pt;mso-position-horizontal-relative:page;mso-position-vertical-relative:paragraph;z-index:-713176" type="#_x0000_t202" filled="false" stroked="false">
            <v:textbox inset="0,0,0,0">
              <w:txbxContent>
                <w:p>
                  <w:pPr>
                    <w:spacing w:line="100" w:lineRule="exact" w:before="0"/>
                    <w:ind w:left="0" w:right="0" w:firstLine="0"/>
                    <w:jc w:val="left"/>
                    <w:rPr>
                      <w:rFonts w:ascii="Arial"/>
                      <w:sz w:val="10"/>
                    </w:rPr>
                  </w:pPr>
                  <w:r>
                    <w:rPr>
                      <w:rFonts w:ascii="Arial"/>
                      <w:w w:val="50"/>
                      <w:sz w:val="10"/>
                    </w:rPr>
                    <w:t>&gt;</w:t>
                  </w:r>
                </w:p>
              </w:txbxContent>
            </v:textbox>
            <w10:wrap type="none"/>
          </v:shape>
        </w:pict>
      </w:r>
      <w:r>
        <w:rPr>
          <w:w w:val="110"/>
          <w:sz w:val="19"/>
        </w:rPr>
        <w:t>lf  d;</w:t>
      </w:r>
      <w:r>
        <w:rPr>
          <w:w w:val="110"/>
          <w:position w:val="8"/>
          <w:sz w:val="12"/>
        </w:rPr>
        <w:t>1</w:t>
      </w:r>
    </w:p>
    <w:p>
      <w:pPr>
        <w:spacing w:line="336" w:lineRule="exact" w:before="55"/>
        <w:ind w:left="74" w:right="0" w:firstLine="0"/>
        <w:jc w:val="left"/>
        <w:rPr>
          <w:sz w:val="19"/>
        </w:rPr>
      </w:pPr>
      <w:r>
        <w:rPr/>
        <w:br w:type="column"/>
      </w:r>
      <w:r>
        <w:rPr>
          <w:w w:val="111"/>
          <w:sz w:val="19"/>
        </w:rPr>
        <w:t>and</w:t>
      </w:r>
      <w:r>
        <w:rPr>
          <w:sz w:val="19"/>
        </w:rPr>
        <w:t> </w:t>
      </w:r>
      <w:r>
        <w:rPr>
          <w:spacing w:val="8"/>
          <w:sz w:val="19"/>
        </w:rPr>
        <w:t> </w:t>
      </w:r>
      <w:r>
        <w:rPr>
          <w:rFonts w:ascii="Arial" w:hAnsi="Arial"/>
          <w:i/>
          <w:w w:val="79"/>
          <w:sz w:val="19"/>
        </w:rPr>
        <w:t>d?&gt;</w:t>
      </w:r>
      <w:r>
        <w:rPr>
          <w:rFonts w:ascii="Arial" w:hAnsi="Arial"/>
          <w:i/>
          <w:sz w:val="19"/>
        </w:rPr>
        <w:t> </w:t>
      </w:r>
      <w:r>
        <w:rPr>
          <w:rFonts w:ascii="Arial" w:hAnsi="Arial"/>
          <w:i/>
          <w:spacing w:val="7"/>
          <w:sz w:val="19"/>
        </w:rPr>
        <w:t> </w:t>
      </w:r>
      <w:r>
        <w:rPr>
          <w:w w:val="113"/>
          <w:sz w:val="19"/>
        </w:rPr>
        <w:t>are</w:t>
      </w:r>
      <w:r>
        <w:rPr>
          <w:sz w:val="19"/>
        </w:rPr>
        <w:t> </w:t>
      </w:r>
      <w:r>
        <w:rPr>
          <w:spacing w:val="-7"/>
          <w:sz w:val="19"/>
        </w:rPr>
        <w:t> </w:t>
      </w:r>
      <w:r>
        <w:rPr>
          <w:w w:val="104"/>
          <w:sz w:val="19"/>
        </w:rPr>
        <w:t>now</w:t>
      </w:r>
      <w:r>
        <w:rPr>
          <w:sz w:val="19"/>
        </w:rPr>
        <w:t> </w:t>
      </w:r>
      <w:r>
        <w:rPr>
          <w:spacing w:val="11"/>
          <w:sz w:val="19"/>
        </w:rPr>
        <w:t> </w:t>
      </w:r>
      <w:r>
        <w:rPr>
          <w:w w:val="109"/>
          <w:sz w:val="19"/>
        </w:rPr>
        <w:t>eomputed</w:t>
      </w:r>
      <w:r>
        <w:rPr>
          <w:sz w:val="19"/>
        </w:rPr>
        <w:t> </w:t>
      </w:r>
      <w:r>
        <w:rPr>
          <w:spacing w:val="-1"/>
          <w:sz w:val="19"/>
        </w:rPr>
        <w:t> </w:t>
      </w:r>
      <w:r>
        <w:rPr>
          <w:w w:val="114"/>
          <w:sz w:val="19"/>
        </w:rPr>
        <w:t>as</w:t>
      </w:r>
      <w:r>
        <w:rPr>
          <w:spacing w:val="19"/>
          <w:sz w:val="19"/>
        </w:rPr>
        <w:t> </w:t>
      </w:r>
      <w:r>
        <w:rPr>
          <w:i/>
          <w:w w:val="52"/>
          <w:sz w:val="35"/>
        </w:rPr>
        <w:t>q</w:t>
      </w:r>
      <w:r>
        <w:rPr>
          <w:i/>
          <w:spacing w:val="11"/>
          <w:w w:val="52"/>
          <w:sz w:val="35"/>
        </w:rPr>
        <w:t>;</w:t>
      </w:r>
      <w:r>
        <w:rPr>
          <w:rFonts w:ascii="Arial" w:hAnsi="Arial"/>
          <w:i/>
          <w:w w:val="120"/>
          <w:position w:val="7"/>
          <w:sz w:val="13"/>
        </w:rPr>
        <w:t>0</w:t>
      </w:r>
      <w:r>
        <w:rPr>
          <w:rFonts w:ascii="Arial" w:hAnsi="Arial"/>
          <w:i/>
          <w:spacing w:val="9"/>
          <w:position w:val="7"/>
          <w:sz w:val="13"/>
        </w:rPr>
        <w:t> </w:t>
      </w:r>
      <w:r>
        <w:rPr>
          <w:rFonts w:ascii="Arial" w:hAnsi="Arial"/>
          <w:spacing w:val="-15"/>
          <w:w w:val="191"/>
          <w:sz w:val="13"/>
        </w:rPr>
        <w:t>·</w:t>
      </w:r>
      <w:r>
        <w:rPr>
          <w:rFonts w:ascii="Arial" w:hAnsi="Arial"/>
          <w:i/>
          <w:w w:val="76"/>
          <w:sz w:val="30"/>
        </w:rPr>
        <w:t>l;</w:t>
      </w:r>
      <w:r>
        <w:rPr>
          <w:rFonts w:ascii="Arial" w:hAnsi="Arial"/>
          <w:i/>
          <w:spacing w:val="-48"/>
          <w:sz w:val="30"/>
        </w:rPr>
        <w:t> </w:t>
      </w:r>
      <w:r>
        <w:rPr>
          <w:rFonts w:ascii="Arial" w:hAnsi="Arial"/>
          <w:i/>
          <w:w w:val="48"/>
          <w:sz w:val="19"/>
        </w:rPr>
        <w:t>T&gt;</w:t>
      </w:r>
      <w:r>
        <w:rPr>
          <w:rFonts w:ascii="Arial" w:hAnsi="Arial"/>
          <w:i/>
          <w:sz w:val="19"/>
        </w:rPr>
        <w:t> </w:t>
      </w:r>
      <w:r>
        <w:rPr>
          <w:rFonts w:ascii="Arial" w:hAnsi="Arial"/>
          <w:i/>
          <w:spacing w:val="6"/>
          <w:sz w:val="19"/>
        </w:rPr>
        <w:t> </w:t>
      </w:r>
      <w:r>
        <w:rPr>
          <w:w w:val="107"/>
          <w:sz w:val="19"/>
        </w:rPr>
        <w:t>and</w:t>
      </w:r>
      <w:r>
        <w:rPr>
          <w:sz w:val="19"/>
        </w:rPr>
        <w:t> </w:t>
      </w:r>
      <w:r>
        <w:rPr>
          <w:spacing w:val="-6"/>
          <w:sz w:val="19"/>
        </w:rPr>
        <w:t> </w:t>
      </w:r>
      <w:r>
        <w:rPr>
          <w:i/>
          <w:w w:val="52"/>
          <w:sz w:val="35"/>
        </w:rPr>
        <w:t>q;</w:t>
      </w:r>
      <w:r>
        <w:rPr>
          <w:i/>
          <w:w w:val="77"/>
          <w:position w:val="8"/>
          <w:sz w:val="12"/>
        </w:rPr>
        <w:t>2</w:t>
      </w:r>
      <w:r>
        <w:rPr>
          <w:i/>
          <w:spacing w:val="-19"/>
          <w:position w:val="8"/>
          <w:sz w:val="12"/>
        </w:rPr>
        <w:t> </w:t>
      </w:r>
      <w:r>
        <w:rPr>
          <w:rFonts w:ascii="Arial" w:hAnsi="Arial"/>
          <w:i/>
          <w:w w:val="48"/>
          <w:sz w:val="12"/>
        </w:rPr>
        <w:t>&gt;</w:t>
      </w:r>
      <w:r>
        <w:rPr>
          <w:rFonts w:ascii="Arial" w:hAnsi="Arial"/>
          <w:i/>
          <w:spacing w:val="15"/>
          <w:sz w:val="12"/>
        </w:rPr>
        <w:t> </w:t>
      </w:r>
      <w:r>
        <w:rPr>
          <w:rFonts w:ascii="Arial" w:hAnsi="Arial"/>
          <w:w w:val="82"/>
          <w:sz w:val="12"/>
        </w:rPr>
        <w:t>•</w:t>
      </w:r>
      <w:r>
        <w:rPr>
          <w:rFonts w:ascii="Arial" w:hAnsi="Arial"/>
          <w:spacing w:val="-4"/>
          <w:sz w:val="12"/>
        </w:rPr>
        <w:t> </w:t>
      </w:r>
      <w:r>
        <w:rPr>
          <w:rFonts w:ascii="Arial" w:hAnsi="Arial"/>
          <w:i/>
          <w:w w:val="81"/>
          <w:sz w:val="30"/>
        </w:rPr>
        <w:t>l;</w:t>
      </w:r>
      <w:r>
        <w:rPr>
          <w:rFonts w:ascii="Arial" w:hAnsi="Arial"/>
          <w:i/>
          <w:spacing w:val="-55"/>
          <w:sz w:val="30"/>
        </w:rPr>
        <w:t> </w:t>
      </w:r>
      <w:r>
        <w:rPr>
          <w:w w:val="112"/>
          <w:sz w:val="12"/>
        </w:rPr>
        <w:t>TJ,</w:t>
      </w:r>
      <w:r>
        <w:rPr>
          <w:sz w:val="12"/>
        </w:rPr>
        <w:t>  </w:t>
      </w:r>
      <w:r>
        <w:rPr>
          <w:spacing w:val="7"/>
          <w:sz w:val="12"/>
        </w:rPr>
        <w:t> </w:t>
      </w:r>
      <w:r>
        <w:rPr>
          <w:w w:val="111"/>
          <w:sz w:val="19"/>
        </w:rPr>
        <w:t>the</w:t>
      </w:r>
    </w:p>
    <w:p>
      <w:pPr>
        <w:spacing w:after="0" w:line="336" w:lineRule="exact"/>
        <w:jc w:val="left"/>
        <w:rPr>
          <w:sz w:val="19"/>
        </w:rPr>
        <w:sectPr>
          <w:type w:val="continuous"/>
          <w:pgSz w:w="7200" w:h="11340"/>
          <w:pgMar w:top="1100" w:bottom="0" w:left="680" w:right="540"/>
          <w:cols w:num="2" w:equalWidth="0">
            <w:col w:w="819" w:space="40"/>
            <w:col w:w="5121"/>
          </w:cols>
        </w:sectPr>
      </w:pPr>
    </w:p>
    <w:p>
      <w:pPr>
        <w:spacing w:line="257" w:lineRule="exact" w:before="0"/>
        <w:ind w:left="126" w:right="0" w:firstLine="0"/>
        <w:jc w:val="both"/>
        <w:rPr>
          <w:sz w:val="19"/>
        </w:rPr>
      </w:pPr>
      <w:r>
        <w:rPr>
          <w:sz w:val="19"/>
        </w:rPr>
        <w:t>total  </w:t>
      </w:r>
      <w:r>
        <w:rPr>
          <w:rFonts w:ascii="Arial" w:hAnsi="Arial"/>
          <w:i/>
          <w:w w:val="90"/>
          <w:sz w:val="26"/>
        </w:rPr>
        <w:t>d;º  </w:t>
      </w:r>
      <w:r>
        <w:rPr>
          <w:rFonts w:ascii="Arial" w:hAnsi="Arial"/>
          <w:sz w:val="30"/>
        </w:rPr>
        <w:t>+ </w:t>
      </w:r>
      <w:r>
        <w:rPr>
          <w:rFonts w:ascii="Arial" w:hAnsi="Arial"/>
          <w:i/>
          <w:w w:val="90"/>
          <w:sz w:val="19"/>
        </w:rPr>
        <w:t>d?&gt;  </w:t>
      </w:r>
      <w:r>
        <w:rPr>
          <w:sz w:val="19"/>
        </w:rPr>
        <w:t>will  not  always  agrec  with  the value </w:t>
      </w:r>
      <w:r>
        <w:rPr>
          <w:rFonts w:ascii="Arial" w:hAnsi="Arial"/>
          <w:i/>
          <w:sz w:val="19"/>
        </w:rPr>
        <w:t>d; </w:t>
      </w:r>
      <w:r>
        <w:rPr>
          <w:rFonts w:ascii="Arial" w:hAnsi="Arial"/>
          <w:i/>
          <w:w w:val="90"/>
          <w:sz w:val="19"/>
        </w:rPr>
        <w:t>T&gt;  </w:t>
      </w:r>
      <w:r>
        <w:rPr>
          <w:sz w:val="19"/>
        </w:rPr>
        <w:t>given by</w:t>
      </w:r>
    </w:p>
    <w:p>
      <w:pPr>
        <w:spacing w:line="283" w:lineRule="exact" w:before="0"/>
        <w:ind w:left="119" w:right="0" w:hanging="4"/>
        <w:jc w:val="both"/>
        <w:rPr>
          <w:sz w:val="19"/>
        </w:rPr>
      </w:pPr>
      <w:r>
        <w:rPr>
          <w:rFonts w:ascii="Arial" w:hAnsi="Arial"/>
          <w:i/>
          <w:w w:val="95"/>
          <w:sz w:val="28"/>
        </w:rPr>
        <w:t>l; </w:t>
      </w:r>
      <w:r>
        <w:rPr>
          <w:w w:val="115"/>
          <w:sz w:val="13"/>
        </w:rPr>
        <w:t>Tl   </w:t>
      </w:r>
      <w:r>
        <w:rPr>
          <w:w w:val="395"/>
          <w:sz w:val="13"/>
        </w:rPr>
        <w:t>- </w:t>
      </w:r>
      <w:r>
        <w:rPr>
          <w:i/>
          <w:w w:val="95"/>
          <w:sz w:val="29"/>
        </w:rPr>
        <w:t>z;¡l, </w:t>
      </w:r>
      <w:r>
        <w:rPr>
          <w:w w:val="115"/>
          <w:sz w:val="19"/>
        </w:rPr>
        <w:t>where</w:t>
      </w:r>
      <w:r>
        <w:rPr>
          <w:spacing w:val="54"/>
          <w:w w:val="115"/>
          <w:sz w:val="19"/>
        </w:rPr>
        <w:t> </w:t>
      </w:r>
      <w:r>
        <w:rPr>
          <w:rFonts w:ascii="Arial" w:hAnsi="Arial"/>
          <w:i/>
          <w:w w:val="75"/>
          <w:sz w:val="28"/>
        </w:rPr>
        <w:t>Z; </w:t>
      </w:r>
      <w:r>
        <w:rPr>
          <w:rFonts w:ascii="Arial" w:hAnsi="Arial"/>
          <w:i/>
          <w:w w:val="75"/>
          <w:sz w:val="18"/>
        </w:rPr>
        <w:t>T&gt;   </w:t>
      </w:r>
      <w:r>
        <w:rPr>
          <w:w w:val="115"/>
          <w:sz w:val="19"/>
        </w:rPr>
        <w:t>has  been  found  from  the exact  for­</w:t>
      </w:r>
    </w:p>
    <w:p>
      <w:pPr>
        <w:spacing w:line="163" w:lineRule="auto" w:before="61"/>
        <w:ind w:left="112" w:right="124" w:firstLine="7"/>
        <w:jc w:val="both"/>
        <w:rPr>
          <w:sz w:val="19"/>
        </w:rPr>
      </w:pPr>
      <w:r>
        <w:rPr>
          <w:w w:val="105"/>
          <w:sz w:val="19"/>
        </w:rPr>
        <w:t>mula (14.37b). Hence it is bctter to compute d n and </w:t>
      </w:r>
      <w:r>
        <w:rPr>
          <w:rFonts w:ascii="Arial" w:hAnsi="Arial"/>
          <w:i/>
          <w:w w:val="105"/>
          <w:sz w:val="19"/>
        </w:rPr>
        <w:t>d;i&gt; </w:t>
      </w:r>
      <w:r>
        <w:rPr>
          <w:w w:val="105"/>
          <w:sz w:val="19"/>
        </w:rPr>
        <w:t>by dis­ tributing the exact value of </w:t>
      </w:r>
      <w:r>
        <w:rPr>
          <w:rFonts w:ascii="Arial" w:hAnsi="Arial"/>
          <w:i/>
          <w:w w:val="95"/>
          <w:sz w:val="30"/>
        </w:rPr>
        <w:t>d; </w:t>
      </w:r>
      <w:r>
        <w:rPr>
          <w:i/>
          <w:w w:val="95"/>
          <w:sz w:val="19"/>
        </w:rPr>
        <w:t>r&gt; </w:t>
      </w:r>
      <w:r>
        <w:rPr>
          <w:w w:val="105"/>
          <w:sz w:val="19"/>
        </w:rPr>
        <w:t>in proportion to the approximate </w:t>
      </w:r>
      <w:r>
        <w:rPr>
          <w:w w:val="126"/>
          <w:sz w:val="19"/>
        </w:rPr>
        <w:t>value </w:t>
      </w:r>
      <w:r>
        <w:rPr>
          <w:w w:val="90"/>
          <w:sz w:val="19"/>
        </w:rPr>
        <w:t>of  </w:t>
      </w:r>
      <w:r>
        <w:rPr>
          <w:i/>
          <w:w w:val="81"/>
          <w:sz w:val="29"/>
        </w:rPr>
        <w:t>q;</w:t>
      </w:r>
      <w:r>
        <w:rPr>
          <w:rFonts w:ascii="Arial" w:hAnsi="Arial"/>
          <w:i/>
          <w:w w:val="81"/>
          <w:position w:val="8"/>
          <w:sz w:val="13"/>
        </w:rPr>
        <w:t>0   </w:t>
      </w:r>
      <w:r>
        <w:rPr>
          <w:w w:val="111"/>
          <w:sz w:val="19"/>
        </w:rPr>
        <w:t>and </w:t>
      </w:r>
      <w:r>
        <w:rPr>
          <w:i/>
          <w:w w:val="63"/>
          <w:sz w:val="29"/>
        </w:rPr>
        <w:t>q?&gt;  </w:t>
      </w:r>
      <w:r>
        <w:rPr>
          <w:w w:val="107"/>
          <w:sz w:val="19"/>
        </w:rPr>
        <w:t>from  </w:t>
      </w:r>
      <w:r>
        <w:rPr>
          <w:rFonts w:ascii="Arial" w:hAnsi="Arial"/>
          <w:w w:val="92"/>
          <w:sz w:val="19"/>
        </w:rPr>
        <w:t>(14.: </w:t>
      </w:r>
      <w:r>
        <w:rPr>
          <w:rFonts w:ascii="Arial" w:hAnsi="Arial"/>
          <w:w w:val="111"/>
          <w:sz w:val="19"/>
        </w:rPr>
        <w:t>8) </w:t>
      </w:r>
      <w:r>
        <w:rPr>
          <w:rFonts w:ascii="Arial" w:hAnsi="Arial"/>
          <w:w w:val="122"/>
          <w:sz w:val="19"/>
        </w:rPr>
        <w:t>; </w:t>
      </w:r>
      <w:r>
        <w:rPr>
          <w:w w:val="122"/>
          <w:sz w:val="19"/>
        </w:rPr>
        <w:t>that </w:t>
      </w:r>
      <w:r>
        <w:rPr>
          <w:w w:val="99"/>
          <w:sz w:val="19"/>
        </w:rPr>
        <w:t>is,  </w:t>
      </w:r>
      <w:r>
        <w:rPr>
          <w:w w:val="106"/>
          <w:sz w:val="19"/>
        </w:rPr>
        <w:t>by </w:t>
      </w:r>
      <w:r>
        <w:rPr>
          <w:w w:val="106"/>
          <w:sz w:val="19"/>
        </w:rPr>
        <w:t>using</w:t>
      </w:r>
    </w:p>
    <w:p>
      <w:pPr>
        <w:spacing w:after="0" w:line="163" w:lineRule="auto"/>
        <w:jc w:val="both"/>
        <w:rPr>
          <w:sz w:val="19"/>
        </w:rPr>
        <w:sectPr>
          <w:type w:val="continuous"/>
          <w:pgSz w:w="7200" w:h="11340"/>
          <w:pgMar w:top="1100" w:bottom="0" w:left="680" w:right="540"/>
        </w:sectPr>
      </w:pPr>
    </w:p>
    <w:p>
      <w:pPr>
        <w:pStyle w:val="BodyText"/>
        <w:spacing w:before="9"/>
        <w:rPr>
          <w:sz w:val="13"/>
        </w:rPr>
      </w:pPr>
    </w:p>
    <w:p>
      <w:pPr>
        <w:spacing w:line="83" w:lineRule="exact" w:before="0"/>
        <w:ind w:left="0" w:right="785" w:firstLine="0"/>
        <w:jc w:val="right"/>
        <w:rPr>
          <w:sz w:val="10"/>
        </w:rPr>
      </w:pPr>
      <w:r>
        <w:rPr>
          <w:sz w:val="10"/>
        </w:rPr>
        <w:t>(l.:)</w:t>
      </w:r>
    </w:p>
    <w:p>
      <w:pPr>
        <w:tabs>
          <w:tab w:pos="2263" w:val="left" w:leader="none"/>
          <w:tab w:pos="2944" w:val="left" w:leader="none"/>
        </w:tabs>
        <w:spacing w:line="165" w:lineRule="exact" w:before="0"/>
        <w:ind w:left="1356" w:right="0" w:firstLine="0"/>
        <w:jc w:val="center"/>
        <w:rPr>
          <w:rFonts w:ascii="Arial"/>
          <w:i/>
          <w:sz w:val="10"/>
        </w:rPr>
      </w:pPr>
      <w:r>
        <w:rPr/>
        <w:pict>
          <v:shape style="position:absolute;margin-left:110.160004pt;margin-top:4.053449pt;width:92.95pt;height:11.5pt;mso-position-horizontal-relative:page;mso-position-vertical-relative:paragraph;z-index:-713152" type="#_x0000_t202" filled="false" stroked="false">
            <v:textbox inset="0,0,0,0">
              <w:txbxContent>
                <w:p>
                  <w:pPr>
                    <w:tabs>
                      <w:tab w:pos="291" w:val="left" w:leader="none"/>
                      <w:tab w:pos="1227" w:val="left" w:leader="none"/>
                    </w:tabs>
                    <w:spacing w:line="230" w:lineRule="exact" w:before="0"/>
                    <w:ind w:left="0" w:right="0" w:firstLine="0"/>
                    <w:jc w:val="left"/>
                    <w:rPr>
                      <w:rFonts w:ascii="Arial" w:hAnsi="Arial"/>
                      <w:sz w:val="8"/>
                    </w:rPr>
                  </w:pPr>
                  <w:r>
                    <w:rPr>
                      <w:rFonts w:ascii="Arial" w:hAnsi="Arial"/>
                      <w:i/>
                      <w:w w:val="115"/>
                      <w:sz w:val="8"/>
                    </w:rPr>
                    <w:t>X</w:t>
                    <w:tab/>
                  </w:r>
                  <w:r>
                    <w:rPr>
                      <w:w w:val="115"/>
                      <w:sz w:val="23"/>
                    </w:rPr>
                    <w:t>=</w:t>
                  </w:r>
                  <w:r>
                    <w:rPr>
                      <w:spacing w:val="50"/>
                      <w:w w:val="115"/>
                      <w:sz w:val="23"/>
                    </w:rPr>
                    <w:t> </w:t>
                  </w:r>
                  <w:r>
                    <w:rPr>
                      <w:rFonts w:ascii="Arial" w:hAnsi="Arial"/>
                      <w:b/>
                      <w:w w:val="115"/>
                      <w:sz w:val="10"/>
                    </w:rPr>
                    <w:t>--(1)</w:t>
                    <w:tab/>
                  </w:r>
                  <w:r>
                    <w:rPr>
                      <w:w w:val="115"/>
                      <w:sz w:val="10"/>
                    </w:rPr>
                    <w:t>(2)  </w:t>
                  </w:r>
                  <w:r>
                    <w:rPr>
                      <w:w w:val="110"/>
                      <w:sz w:val="10"/>
                    </w:rPr>
                    <w:t>•     </w:t>
                  </w:r>
                  <w:r>
                    <w:rPr>
                      <w:rFonts w:ascii="Arial" w:hAnsi="Arial"/>
                      <w:i/>
                      <w:w w:val="110"/>
                      <w:sz w:val="8"/>
                    </w:rPr>
                    <w:t>X     </w:t>
                  </w:r>
                  <w:r>
                    <w:rPr>
                      <w:rFonts w:ascii="Arial" w:hAnsi="Arial"/>
                      <w:i/>
                      <w:spacing w:val="24"/>
                      <w:w w:val="110"/>
                      <w:sz w:val="8"/>
                    </w:rPr>
                    <w:t> </w:t>
                  </w:r>
                  <w:r>
                    <w:rPr>
                      <w:rFonts w:ascii="Arial" w:hAnsi="Arial"/>
                      <w:w w:val="120"/>
                      <w:sz w:val="8"/>
                    </w:rPr>
                    <w:t>)</w:t>
                  </w:r>
                </w:p>
              </w:txbxContent>
            </v:textbox>
            <w10:wrap type="none"/>
          </v:shape>
        </w:pict>
      </w:r>
      <w:r>
        <w:rPr>
          <w:rFonts w:ascii="Arial"/>
          <w:i/>
          <w:w w:val="150"/>
          <w:sz w:val="10"/>
        </w:rPr>
        <w:t>d</w:t>
      </w:r>
      <w:r>
        <w:rPr>
          <w:rFonts w:ascii="Arial"/>
          <w:i/>
          <w:spacing w:val="-23"/>
          <w:w w:val="150"/>
          <w:sz w:val="10"/>
        </w:rPr>
        <w:t> </w:t>
      </w:r>
      <w:r>
        <w:rPr>
          <w:rFonts w:ascii="Arial"/>
          <w:i/>
          <w:sz w:val="10"/>
        </w:rPr>
        <w:t>( k</w:t>
      </w:r>
      <w:r>
        <w:rPr>
          <w:rFonts w:ascii="Arial"/>
          <w:i/>
          <w:spacing w:val="-11"/>
          <w:sz w:val="10"/>
        </w:rPr>
        <w:t> </w:t>
      </w:r>
      <w:r>
        <w:rPr>
          <w:rFonts w:ascii="Arial"/>
          <w:i/>
          <w:sz w:val="10"/>
        </w:rPr>
        <w:t>)</w:t>
        <w:tab/>
      </w:r>
      <w:r>
        <w:rPr>
          <w:i/>
          <w:sz w:val="20"/>
          <w:u w:val="single"/>
        </w:rPr>
        <w:t>qx</w:t>
      </w:r>
      <w:r>
        <w:rPr>
          <w:i/>
          <w:sz w:val="20"/>
        </w:rPr>
        <w:tab/>
      </w:r>
      <w:r>
        <w:rPr>
          <w:rFonts w:ascii="Arial"/>
          <w:i/>
          <w:w w:val="150"/>
          <w:sz w:val="10"/>
        </w:rPr>
        <w:t>d(</w:t>
      </w:r>
      <w:r>
        <w:rPr>
          <w:rFonts w:ascii="Arial"/>
          <w:i/>
          <w:spacing w:val="15"/>
          <w:w w:val="150"/>
          <w:sz w:val="10"/>
        </w:rPr>
        <w:t> </w:t>
      </w:r>
      <w:r>
        <w:rPr>
          <w:rFonts w:ascii="Arial"/>
          <w:i/>
          <w:spacing w:val="6"/>
          <w:sz w:val="10"/>
        </w:rPr>
        <w:t>T)</w:t>
      </w:r>
    </w:p>
    <w:p>
      <w:pPr>
        <w:tabs>
          <w:tab w:pos="1790" w:val="left" w:leader="none"/>
        </w:tabs>
        <w:spacing w:line="312" w:lineRule="exact" w:before="0"/>
        <w:ind w:left="1437" w:right="0" w:firstLine="0"/>
        <w:jc w:val="center"/>
        <w:rPr>
          <w:b/>
          <w:i/>
          <w:sz w:val="19"/>
        </w:rPr>
      </w:pPr>
      <w:r>
        <w:rPr>
          <w:b/>
          <w:i/>
          <w:w w:val="95"/>
          <w:sz w:val="19"/>
        </w:rPr>
        <w:t>qz</w:t>
        <w:tab/>
      </w:r>
      <w:r>
        <w:rPr>
          <w:rFonts w:ascii="Arial"/>
          <w:w w:val="95"/>
          <w:sz w:val="30"/>
        </w:rPr>
        <w:t>+</w:t>
      </w:r>
      <w:r>
        <w:rPr>
          <w:rFonts w:ascii="Arial"/>
          <w:spacing w:val="-44"/>
          <w:w w:val="95"/>
          <w:sz w:val="30"/>
        </w:rPr>
        <w:t> </w:t>
      </w:r>
      <w:r>
        <w:rPr>
          <w:b/>
          <w:i/>
          <w:w w:val="95"/>
          <w:sz w:val="19"/>
        </w:rPr>
        <w:t>qx</w:t>
      </w:r>
    </w:p>
    <w:p>
      <w:pPr>
        <w:pStyle w:val="BodyText"/>
        <w:spacing w:before="9"/>
        <w:rPr>
          <w:b/>
          <w:i/>
          <w:sz w:val="22"/>
        </w:rPr>
      </w:pPr>
      <w:r>
        <w:rPr/>
        <w:br w:type="column"/>
      </w:r>
      <w:r>
        <w:rPr>
          <w:b/>
          <w:i/>
          <w:sz w:val="22"/>
        </w:rPr>
      </w:r>
    </w:p>
    <w:p>
      <w:pPr>
        <w:spacing w:before="0"/>
        <w:ind w:left="355" w:right="0" w:firstLine="0"/>
        <w:jc w:val="left"/>
        <w:rPr>
          <w:sz w:val="19"/>
        </w:rPr>
      </w:pPr>
      <w:r>
        <w:rPr>
          <w:i/>
          <w:sz w:val="20"/>
        </w:rPr>
        <w:t>k  </w:t>
      </w:r>
      <w:r>
        <w:rPr>
          <w:sz w:val="24"/>
        </w:rPr>
        <w:t>=  </w:t>
      </w:r>
      <w:r>
        <w:rPr>
          <w:sz w:val="19"/>
        </w:rPr>
        <w:t>1, 2.</w:t>
      </w:r>
    </w:p>
    <w:p>
      <w:pPr>
        <w:spacing w:after="0"/>
        <w:jc w:val="left"/>
        <w:rPr>
          <w:sz w:val="19"/>
        </w:rPr>
        <w:sectPr>
          <w:type w:val="continuous"/>
          <w:pgSz w:w="7200" w:h="11340"/>
          <w:pgMar w:top="1100" w:bottom="0" w:left="680" w:right="540"/>
          <w:cols w:num="2" w:equalWidth="0">
            <w:col w:w="3382" w:space="40"/>
            <w:col w:w="2558"/>
          </w:cols>
        </w:sectPr>
      </w:pPr>
    </w:p>
    <w:p>
      <w:pPr>
        <w:spacing w:line="264" w:lineRule="auto" w:before="140"/>
        <w:ind w:left="115" w:right="129" w:firstLine="0"/>
        <w:jc w:val="both"/>
        <w:rPr>
          <w:sz w:val="19"/>
        </w:rPr>
      </w:pPr>
      <w:r>
        <w:rPr>
          <w:w w:val="110"/>
          <w:sz w:val="19"/>
        </w:rPr>
        <w:t>The extension of this mcthod to the cases of three or more decre­ ments is inconvenient since it requires thc solution of larger systems of linear equations.</w:t>
      </w:r>
    </w:p>
    <w:p>
      <w:pPr>
        <w:spacing w:line="261" w:lineRule="auto" w:before="0"/>
        <w:ind w:left="108" w:right="136" w:firstLine="205"/>
        <w:jc w:val="both"/>
        <w:rPr>
          <w:sz w:val="19"/>
        </w:rPr>
      </w:pPr>
      <w:r>
        <w:rPr>
          <w:w w:val="110"/>
          <w:sz w:val="19"/>
        </w:rPr>
        <w:t>Another method, which is easily applied for any number of decrements, is to translate the rates of dccrement into central rates. The central rates can be readily  estimated.  Since</w:t>
      </w:r>
    </w:p>
    <w:p>
      <w:pPr>
        <w:pStyle w:val="BodyText"/>
        <w:spacing w:before="2"/>
        <w:rPr>
          <w:sz w:val="9"/>
        </w:rPr>
      </w:pPr>
      <w:r>
        <w:rPr/>
        <w:drawing>
          <wp:anchor distT="0" distB="0" distL="0" distR="0" allowOverlap="1" layoutInCell="1" locked="0" behindDoc="0" simplePos="0" relativeHeight="22744">
            <wp:simplePos x="0" y="0"/>
            <wp:positionH relativeFrom="page">
              <wp:posOffset>1728216</wp:posOffset>
            </wp:positionH>
            <wp:positionV relativeFrom="paragraph">
              <wp:posOffset>92179</wp:posOffset>
            </wp:positionV>
            <wp:extent cx="1197863" cy="146303"/>
            <wp:effectExtent l="0" t="0" r="0" b="0"/>
            <wp:wrapTopAndBottom/>
            <wp:docPr id="685" name="image349.png" descr=""/>
            <wp:cNvGraphicFramePr>
              <a:graphicFrameLocks noChangeAspect="1"/>
            </wp:cNvGraphicFramePr>
            <a:graphic>
              <a:graphicData uri="http://schemas.openxmlformats.org/drawingml/2006/picture">
                <pic:pic>
                  <pic:nvPicPr>
                    <pic:cNvPr id="686" name="image349.png"/>
                    <pic:cNvPicPr/>
                  </pic:nvPicPr>
                  <pic:blipFill>
                    <a:blip r:embed="rId353" cstate="print"/>
                    <a:stretch>
                      <a:fillRect/>
                    </a:stretch>
                  </pic:blipFill>
                  <pic:spPr>
                    <a:xfrm>
                      <a:off x="0" y="0"/>
                      <a:ext cx="1197863" cy="146303"/>
                    </a:xfrm>
                    <a:prstGeom prst="rect">
                      <a:avLst/>
                    </a:prstGeom>
                  </pic:spPr>
                </pic:pic>
              </a:graphicData>
            </a:graphic>
          </wp:anchor>
        </w:drawing>
      </w:r>
    </w:p>
    <w:p>
      <w:pPr>
        <w:spacing w:after="0"/>
        <w:rPr>
          <w:sz w:val="9"/>
        </w:rPr>
        <w:sectPr>
          <w:type w:val="continuous"/>
          <w:pgSz w:w="7200" w:h="11340"/>
          <w:pgMar w:top="1100" w:bottom="0" w:left="680" w:right="540"/>
        </w:sectPr>
      </w:pPr>
    </w:p>
    <w:p>
      <w:pPr>
        <w:tabs>
          <w:tab w:pos="1692" w:val="left" w:leader="none"/>
          <w:tab w:pos="5231" w:val="left" w:leader="none"/>
        </w:tabs>
        <w:spacing w:before="54"/>
        <w:ind w:left="134" w:right="0" w:firstLine="0"/>
        <w:jc w:val="left"/>
        <w:rPr>
          <w:rFonts w:ascii="Arial"/>
          <w:b/>
          <w:sz w:val="18"/>
        </w:rPr>
      </w:pPr>
      <w:r>
        <w:rPr>
          <w:rFonts w:ascii="Arial"/>
          <w:color w:val="010101"/>
          <w:w w:val="105"/>
          <w:position w:val="3"/>
          <w:sz w:val="19"/>
        </w:rPr>
        <w:t>282</w:t>
        <w:tab/>
      </w:r>
      <w:r>
        <w:rPr>
          <w:b/>
          <w:color w:val="010101"/>
          <w:w w:val="105"/>
          <w:position w:val="1"/>
          <w:sz w:val="14"/>
        </w:rPr>
        <w:t>M'ULTIPLE-DECREME</w:t>
      </w:r>
      <w:r>
        <w:rPr>
          <w:b/>
          <w:color w:val="010101"/>
          <w:spacing w:val="22"/>
          <w:w w:val="105"/>
          <w:position w:val="1"/>
          <w:sz w:val="14"/>
        </w:rPr>
        <w:t> </w:t>
      </w:r>
      <w:r>
        <w:rPr>
          <w:b/>
          <w:color w:val="010101"/>
          <w:w w:val="105"/>
          <w:position w:val="1"/>
          <w:sz w:val="14"/>
        </w:rPr>
        <w:t>T  </w:t>
      </w:r>
      <w:r>
        <w:rPr>
          <w:b/>
          <w:color w:val="010101"/>
          <w:spacing w:val="33"/>
          <w:w w:val="105"/>
          <w:position w:val="1"/>
          <w:sz w:val="14"/>
        </w:rPr>
        <w:t> </w:t>
      </w:r>
      <w:r>
        <w:rPr>
          <w:b/>
          <w:color w:val="010101"/>
          <w:w w:val="105"/>
          <w:position w:val="1"/>
          <w:sz w:val="14"/>
        </w:rPr>
        <w:t>TABLES</w:t>
        <w:tab/>
      </w:r>
      <w:r>
        <w:rPr>
          <w:b/>
          <w:color w:val="010101"/>
          <w:w w:val="105"/>
          <w:sz w:val="14"/>
        </w:rPr>
        <w:t>[CH. </w:t>
      </w:r>
      <w:r>
        <w:rPr>
          <w:b/>
          <w:color w:val="010101"/>
          <w:spacing w:val="33"/>
          <w:w w:val="105"/>
          <w:sz w:val="14"/>
        </w:rPr>
        <w:t> </w:t>
      </w:r>
      <w:r>
        <w:rPr>
          <w:rFonts w:ascii="Arial"/>
          <w:b/>
          <w:color w:val="010101"/>
          <w:w w:val="105"/>
          <w:sz w:val="18"/>
        </w:rPr>
        <w:t>14</w:t>
      </w:r>
    </w:p>
    <w:p>
      <w:pPr>
        <w:pStyle w:val="BodyText"/>
        <w:spacing w:before="8"/>
        <w:rPr>
          <w:rFonts w:ascii="Arial"/>
          <w:b/>
          <w:sz w:val="13"/>
        </w:rPr>
      </w:pPr>
    </w:p>
    <w:p>
      <w:pPr>
        <w:spacing w:after="0"/>
        <w:rPr>
          <w:rFonts w:ascii="Arial"/>
          <w:sz w:val="13"/>
        </w:rPr>
        <w:sectPr>
          <w:pgSz w:w="7200" w:h="11340"/>
          <w:pgMar w:top="500" w:bottom="280" w:left="680" w:right="560"/>
        </w:sectPr>
      </w:pPr>
    </w:p>
    <w:p>
      <w:pPr>
        <w:pStyle w:val="BodyText"/>
        <w:spacing w:before="74"/>
        <w:ind w:left="138"/>
      </w:pPr>
      <w:r>
        <w:rPr/>
        <w:drawing>
          <wp:anchor distT="0" distB="0" distL="0" distR="0" allowOverlap="1" layoutInCell="1" locked="0" behindDoc="0" simplePos="0" relativeHeight="23008">
            <wp:simplePos x="0" y="0"/>
            <wp:positionH relativeFrom="page">
              <wp:posOffset>2706623</wp:posOffset>
            </wp:positionH>
            <wp:positionV relativeFrom="paragraph">
              <wp:posOffset>278553</wp:posOffset>
            </wp:positionV>
            <wp:extent cx="539495" cy="329184"/>
            <wp:effectExtent l="0" t="0" r="0" b="0"/>
            <wp:wrapNone/>
            <wp:docPr id="687" name="image350.png" descr=""/>
            <wp:cNvGraphicFramePr>
              <a:graphicFrameLocks noChangeAspect="1"/>
            </wp:cNvGraphicFramePr>
            <a:graphic>
              <a:graphicData uri="http://schemas.openxmlformats.org/drawingml/2006/picture">
                <pic:pic>
                  <pic:nvPicPr>
                    <pic:cNvPr id="688" name="image350.png"/>
                    <pic:cNvPicPr/>
                  </pic:nvPicPr>
                  <pic:blipFill>
                    <a:blip r:embed="rId354" cstate="print"/>
                    <a:stretch>
                      <a:fillRect/>
                    </a:stretch>
                  </pic:blipFill>
                  <pic:spPr>
                    <a:xfrm>
                      <a:off x="0" y="0"/>
                      <a:ext cx="539495" cy="329184"/>
                    </a:xfrm>
                    <a:prstGeom prst="rect">
                      <a:avLst/>
                    </a:prstGeom>
                  </pic:spPr>
                </pic:pic>
              </a:graphicData>
            </a:graphic>
          </wp:anchor>
        </w:drawing>
      </w:r>
      <w:r>
        <w:rPr>
          <w:color w:val="010101"/>
          <w:w w:val="105"/>
        </w:rPr>
        <w:t>formula  (14.31a ) may  </w:t>
      </w:r>
      <w:r>
        <w:rPr>
          <w:color w:val="010101"/>
          <w:w w:val="105"/>
          <w:sz w:val="19"/>
        </w:rPr>
        <w:t>be </w:t>
      </w:r>
      <w:r>
        <w:rPr>
          <w:color w:val="010101"/>
          <w:w w:val="105"/>
        </w:rPr>
        <w:t>written as</w:t>
      </w:r>
    </w:p>
    <w:p>
      <w:pPr>
        <w:pStyle w:val="BodyText"/>
        <w:spacing w:before="8"/>
        <w:rPr>
          <w:sz w:val="29"/>
        </w:rPr>
      </w:pPr>
    </w:p>
    <w:p>
      <w:pPr>
        <w:tabs>
          <w:tab w:pos="1658" w:val="left" w:leader="none"/>
        </w:tabs>
        <w:spacing w:line="199" w:lineRule="exact" w:before="0"/>
        <w:ind w:left="757" w:right="0" w:firstLine="0"/>
        <w:jc w:val="center"/>
        <w:rPr>
          <w:rFonts w:ascii="Arial"/>
          <w:i/>
          <w:sz w:val="11"/>
        </w:rPr>
      </w:pPr>
      <w:r>
        <w:rPr/>
        <w:pict>
          <v:line style="position:absolute;mso-position-horizontal-relative:page;mso-position-vertical-relative:paragraph;z-index:-713032" from="144.107697pt,2.774281pt" to="195.792597pt,2.774281pt" stroked="true" strokeweight=".717846pt" strokecolor="#000000">
            <w10:wrap type="none"/>
          </v:line>
        </w:pict>
      </w:r>
      <w:r>
        <w:rPr/>
        <w:pict>
          <v:shape style="position:absolute;margin-left:164.925201pt;margin-top:-3.223946pt;width:9.35pt;height:15.5pt;mso-position-horizontal-relative:page;mso-position-vertical-relative:paragraph;z-index:-713008" type="#_x0000_t202" filled="false" stroked="false">
            <v:textbox inset="0,0,0,0">
              <w:txbxContent>
                <w:p>
                  <w:pPr>
                    <w:spacing w:line="310" w:lineRule="exact" w:before="0"/>
                    <w:ind w:left="0" w:right="0" w:firstLine="0"/>
                    <w:jc w:val="left"/>
                    <w:rPr>
                      <w:rFonts w:ascii="Arial"/>
                      <w:sz w:val="31"/>
                    </w:rPr>
                  </w:pPr>
                  <w:r>
                    <w:rPr>
                      <w:rFonts w:ascii="Arial"/>
                      <w:color w:val="010101"/>
                      <w:w w:val="102"/>
                      <w:sz w:val="31"/>
                    </w:rPr>
                    <w:t>+</w:t>
                  </w:r>
                </w:p>
              </w:txbxContent>
            </v:textbox>
            <w10:wrap type="none"/>
          </v:shape>
        </w:pict>
      </w:r>
      <w:r>
        <w:rPr>
          <w:color w:val="010101"/>
          <w:sz w:val="20"/>
        </w:rPr>
        <w:t>--: </w:t>
      </w:r>
      <w:r>
        <w:rPr>
          <w:b/>
          <w:i/>
          <w:color w:val="010101"/>
          <w:sz w:val="20"/>
        </w:rPr>
        <w:t>1</w:t>
      </w:r>
      <w:r>
        <w:rPr>
          <w:b/>
          <w:i/>
          <w:color w:val="010101"/>
          <w:spacing w:val="-2"/>
          <w:sz w:val="20"/>
        </w:rPr>
        <w:t> </w:t>
      </w:r>
      <w:r>
        <w:rPr>
          <w:color w:val="010101"/>
          <w:w w:val="95"/>
          <w:sz w:val="20"/>
        </w:rPr>
        <w:t>(</w:t>
      </w:r>
      <w:r>
        <w:rPr>
          <w:color w:val="010101"/>
          <w:spacing w:val="-26"/>
          <w:w w:val="95"/>
          <w:sz w:val="20"/>
        </w:rPr>
        <w:t> </w:t>
      </w:r>
      <w:r>
        <w:rPr>
          <w:rFonts w:ascii="Arial"/>
          <w:color w:val="010101"/>
          <w:w w:val="130"/>
          <w:sz w:val="9"/>
        </w:rPr>
        <w:t>T)</w:t>
        <w:tab/>
      </w:r>
      <w:r>
        <w:rPr>
          <w:rFonts w:ascii="Arial"/>
          <w:i/>
          <w:color w:val="010101"/>
          <w:w w:val="130"/>
          <w:sz w:val="11"/>
        </w:rPr>
        <w:t>.!d(k</w:t>
      </w:r>
      <w:r>
        <w:rPr>
          <w:rFonts w:ascii="Arial"/>
          <w:i/>
          <w:color w:val="010101"/>
          <w:spacing w:val="10"/>
          <w:w w:val="130"/>
          <w:sz w:val="11"/>
        </w:rPr>
        <w:t> </w:t>
      </w:r>
      <w:r>
        <w:rPr>
          <w:rFonts w:ascii="Arial"/>
          <w:i/>
          <w:color w:val="010101"/>
          <w:sz w:val="11"/>
        </w:rPr>
        <w:t>)</w:t>
      </w:r>
    </w:p>
    <w:p>
      <w:pPr>
        <w:tabs>
          <w:tab w:pos="1563" w:val="left" w:leader="none"/>
        </w:tabs>
        <w:spacing w:line="107" w:lineRule="exact" w:before="0"/>
        <w:ind w:left="931" w:right="0" w:firstLine="0"/>
        <w:jc w:val="center"/>
        <w:rPr>
          <w:sz w:val="12"/>
        </w:rPr>
      </w:pPr>
      <w:r>
        <w:rPr>
          <w:color w:val="010101"/>
          <w:w w:val="130"/>
          <w:sz w:val="12"/>
        </w:rPr>
        <w:t>Jz</w:t>
        <w:tab/>
      </w:r>
      <w:r>
        <w:rPr>
          <w:rFonts w:ascii="Arial"/>
          <w:color w:val="010101"/>
          <w:w w:val="130"/>
          <w:sz w:val="11"/>
        </w:rPr>
        <w:t>2 </w:t>
      </w:r>
      <w:r>
        <w:rPr>
          <w:rFonts w:ascii="Arial"/>
          <w:color w:val="010101"/>
          <w:spacing w:val="19"/>
          <w:w w:val="130"/>
          <w:sz w:val="11"/>
        </w:rPr>
        <w:t> </w:t>
      </w:r>
      <w:r>
        <w:rPr>
          <w:color w:val="010101"/>
          <w:w w:val="130"/>
          <w:sz w:val="12"/>
        </w:rPr>
        <w:t>z</w:t>
      </w:r>
    </w:p>
    <w:p>
      <w:pPr>
        <w:pStyle w:val="BodyText"/>
      </w:pPr>
      <w:r>
        <w:rPr/>
        <w:br w:type="column"/>
      </w:r>
      <w:r>
        <w:rPr/>
      </w:r>
    </w:p>
    <w:p>
      <w:pPr>
        <w:pStyle w:val="BodyText"/>
        <w:spacing w:before="3"/>
        <w:rPr>
          <w:sz w:val="29"/>
        </w:rPr>
      </w:pPr>
    </w:p>
    <w:p>
      <w:pPr>
        <w:pStyle w:val="BodyText"/>
        <w:ind w:left="138"/>
      </w:pPr>
      <w:r>
        <w:rPr>
          <w:color w:val="010101"/>
          <w:w w:val="105"/>
        </w:rPr>
        <w:t>(14.39)</w:t>
      </w:r>
    </w:p>
    <w:p>
      <w:pPr>
        <w:spacing w:after="0"/>
        <w:sectPr>
          <w:type w:val="continuous"/>
          <w:pgSz w:w="7200" w:h="11340"/>
          <w:pgMar w:top="1100" w:bottom="0" w:left="680" w:right="560"/>
          <w:cols w:num="2" w:equalWidth="0">
            <w:col w:w="4432" w:space="668"/>
            <w:col w:w="860"/>
          </w:cols>
        </w:sectPr>
      </w:pPr>
    </w:p>
    <w:p>
      <w:pPr>
        <w:pStyle w:val="BodyText"/>
        <w:spacing w:before="103"/>
        <w:ind w:left="127"/>
      </w:pPr>
      <w:r>
        <w:rPr>
          <w:color w:val="010101"/>
          <w:w w:val="105"/>
        </w:rPr>
        <w:t>and</w:t>
      </w:r>
      <w:r>
        <w:rPr>
          <w:color w:val="010101"/>
          <w:spacing w:val="24"/>
        </w:rPr>
        <w:t> </w:t>
      </w:r>
      <w:r>
        <w:rPr>
          <w:color w:val="010101"/>
          <w:w w:val="101"/>
        </w:rPr>
        <w:t>solving</w:t>
      </w:r>
      <w:r>
        <w:rPr>
          <w:color w:val="010101"/>
          <w:spacing w:val="20"/>
        </w:rPr>
        <w:t> </w:t>
      </w:r>
      <w:r>
        <w:rPr>
          <w:color w:val="010101"/>
          <w:w w:val="100"/>
        </w:rPr>
        <w:t>for</w:t>
      </w:r>
      <w:r>
        <w:rPr>
          <w:color w:val="010101"/>
          <w:spacing w:val="12"/>
        </w:rPr>
        <w:t> </w:t>
      </w:r>
      <w:r>
        <w:rPr>
          <w:color w:val="010101"/>
          <w:w w:val="105"/>
        </w:rPr>
        <w:t>m</w:t>
      </w:r>
      <w:r>
        <w:rPr>
          <w:color w:val="010101"/>
          <w:spacing w:val="2"/>
          <w:w w:val="105"/>
        </w:rPr>
        <w:t>;</w:t>
      </w:r>
      <w:r>
        <w:rPr>
          <w:color w:val="010101"/>
          <w:w w:val="29"/>
        </w:rPr>
        <w:t>A:&gt;</w:t>
      </w:r>
      <w:r>
        <w:rPr>
          <w:color w:val="010101"/>
          <w:spacing w:val="-15"/>
        </w:rPr>
        <w:t> </w:t>
      </w:r>
      <w:r>
        <w:rPr>
          <w:color w:val="010101"/>
          <w:w w:val="96"/>
        </w:rPr>
        <w:t>,</w:t>
      </w:r>
    </w:p>
    <w:p>
      <w:pPr>
        <w:spacing w:after="0"/>
        <w:sectPr>
          <w:type w:val="continuous"/>
          <w:pgSz w:w="7200" w:h="11340"/>
          <w:pgMar w:top="1100" w:bottom="0" w:left="680" w:right="560"/>
        </w:sectPr>
      </w:pPr>
    </w:p>
    <w:p>
      <w:pPr>
        <w:pStyle w:val="BodyText"/>
        <w:rPr>
          <w:sz w:val="11"/>
        </w:rPr>
      </w:pPr>
    </w:p>
    <w:p>
      <w:pPr>
        <w:spacing w:line="95" w:lineRule="exact" w:before="1"/>
        <w:ind w:left="0" w:right="376" w:firstLine="0"/>
        <w:jc w:val="right"/>
        <w:rPr>
          <w:b/>
          <w:sz w:val="11"/>
        </w:rPr>
      </w:pPr>
      <w:r>
        <w:rPr/>
        <w:pict>
          <v:shape style="position:absolute;margin-left:163.848495pt;margin-top:2.426418pt;width:26.45pt;height:12.5pt;mso-position-horizontal-relative:page;mso-position-vertical-relative:paragraph;z-index:-712960" type="#_x0000_t202" filled="false" stroked="false">
            <v:textbox inset="0,0,0,0">
              <w:txbxContent>
                <w:p>
                  <w:pPr>
                    <w:tabs>
                      <w:tab w:pos="528" w:val="left" w:leader="none"/>
                    </w:tabs>
                    <w:spacing w:line="250" w:lineRule="exact" w:before="0"/>
                    <w:ind w:left="0" w:right="0" w:firstLine="0"/>
                    <w:jc w:val="left"/>
                    <w:rPr>
                      <w:rFonts w:ascii="Arial"/>
                      <w:sz w:val="25"/>
                    </w:rPr>
                  </w:pPr>
                  <w:r>
                    <w:rPr>
                      <w:rFonts w:ascii="Arial"/>
                      <w:color w:val="010101"/>
                      <w:w w:val="80"/>
                      <w:sz w:val="25"/>
                    </w:rPr>
                    <w:t>=:</w:t>
                  </w:r>
                  <w:r>
                    <w:rPr>
                      <w:rFonts w:ascii="Arial"/>
                      <w:color w:val="010101"/>
                      <w:spacing w:val="9"/>
                      <w:sz w:val="25"/>
                    </w:rPr>
                    <w:t> </w:t>
                  </w:r>
                  <w:r>
                    <w:rPr>
                      <w:rFonts w:ascii="Arial"/>
                      <w:color w:val="010101"/>
                      <w:w w:val="99"/>
                      <w:sz w:val="25"/>
                      <w:u w:val="single" w:color="000000"/>
                    </w:rPr>
                    <w:t> </w:t>
                  </w:r>
                  <w:r>
                    <w:rPr>
                      <w:rFonts w:ascii="Arial"/>
                      <w:color w:val="010101"/>
                      <w:sz w:val="25"/>
                      <w:u w:val="single" w:color="000000"/>
                    </w:rPr>
                    <w:tab/>
                  </w:r>
                </w:p>
              </w:txbxContent>
            </v:textbox>
            <w10:wrap type="none"/>
          </v:shape>
        </w:pict>
      </w:r>
      <w:r>
        <w:rPr>
          <w:b/>
          <w:color w:val="010101"/>
          <w:w w:val="95"/>
          <w:sz w:val="11"/>
        </w:rPr>
        <w:t>'(A:)</w:t>
      </w:r>
    </w:p>
    <w:p>
      <w:pPr>
        <w:tabs>
          <w:tab w:pos="3088" w:val="left" w:leader="none"/>
        </w:tabs>
        <w:spacing w:line="189" w:lineRule="exact" w:before="0"/>
        <w:ind w:left="2159" w:right="0" w:firstLine="0"/>
        <w:jc w:val="left"/>
        <w:rPr>
          <w:i/>
          <w:sz w:val="20"/>
        </w:rPr>
      </w:pPr>
      <w:r>
        <w:rPr>
          <w:color w:val="010101"/>
          <w:w w:val="107"/>
          <w:sz w:val="20"/>
        </w:rPr>
        <w:t>m</w:t>
      </w:r>
      <w:r>
        <w:rPr>
          <w:color w:val="010101"/>
          <w:spacing w:val="-6"/>
          <w:w w:val="107"/>
          <w:sz w:val="20"/>
        </w:rPr>
        <w:t>;</w:t>
      </w:r>
      <w:r>
        <w:rPr>
          <w:color w:val="010101"/>
          <w:w w:val="36"/>
          <w:sz w:val="20"/>
        </w:rPr>
        <w:t>A:</w:t>
      </w:r>
      <w:r>
        <w:rPr>
          <w:color w:val="010101"/>
          <w:w w:val="36"/>
          <w:sz w:val="20"/>
        </w:rPr>
        <w:t>)</w:t>
      </w:r>
      <w:r>
        <w:rPr>
          <w:color w:val="010101"/>
          <w:sz w:val="20"/>
        </w:rPr>
        <w:tab/>
      </w:r>
      <w:r>
        <w:rPr>
          <w:i/>
          <w:color w:val="010101"/>
          <w:w w:val="82"/>
          <w:sz w:val="20"/>
        </w:rPr>
        <w:t>q</w:t>
      </w:r>
      <w:r>
        <w:rPr>
          <w:i/>
          <w:color w:val="010101"/>
          <w:spacing w:val="-57"/>
          <w:w w:val="81"/>
          <w:sz w:val="20"/>
        </w:rPr>
        <w:t>z</w:t>
      </w:r>
      <w:r>
        <w:rPr>
          <w:i/>
          <w:color w:val="010101"/>
          <w:w w:val="94"/>
          <w:sz w:val="20"/>
        </w:rPr>
        <w:t>_....,..-</w:t>
      </w:r>
    </w:p>
    <w:p>
      <w:pPr>
        <w:spacing w:line="108" w:lineRule="exact" w:before="0"/>
        <w:ind w:left="0" w:right="0" w:firstLine="0"/>
        <w:jc w:val="right"/>
        <w:rPr>
          <w:sz w:val="12"/>
        </w:rPr>
      </w:pPr>
      <w:r>
        <w:rPr/>
        <w:pict>
          <v:shape style="position:absolute;margin-left:176.051804pt;margin-top:2.121763pt;width:18.45pt;height:10.15pt;mso-position-horizontal-relative:page;mso-position-vertical-relative:paragraph;z-index:23080" type="#_x0000_t202" filled="false" stroked="false">
            <v:textbox inset="0,0,0,0">
              <w:txbxContent>
                <w:p>
                  <w:pPr>
                    <w:spacing w:line="203" w:lineRule="exact" w:before="0"/>
                    <w:ind w:left="0" w:right="-19" w:firstLine="0"/>
                    <w:jc w:val="left"/>
                    <w:rPr>
                      <w:sz w:val="14"/>
                    </w:rPr>
                  </w:pPr>
                  <w:r>
                    <w:rPr>
                      <w:color w:val="010101"/>
                      <w:w w:val="140"/>
                      <w:position w:val="1"/>
                      <w:sz w:val="20"/>
                    </w:rPr>
                    <w:t>1</w:t>
                  </w:r>
                  <w:r>
                    <w:rPr>
                      <w:color w:val="010101"/>
                      <w:spacing w:val="-27"/>
                      <w:w w:val="140"/>
                      <w:position w:val="1"/>
                      <w:sz w:val="20"/>
                    </w:rPr>
                    <w:t> </w:t>
                  </w:r>
                  <w:r>
                    <w:rPr>
                      <w:color w:val="010101"/>
                      <w:w w:val="395"/>
                      <w:sz w:val="14"/>
                    </w:rPr>
                    <w:t>-</w:t>
                  </w:r>
                </w:p>
              </w:txbxContent>
            </v:textbox>
            <w10:wrap type="none"/>
          </v:shape>
        </w:pict>
      </w:r>
      <w:r>
        <w:rPr>
          <w:b/>
          <w:color w:val="010101"/>
          <w:sz w:val="11"/>
        </w:rPr>
        <w:t>1   </w:t>
      </w:r>
      <w:r>
        <w:rPr>
          <w:b/>
          <w:color w:val="010101"/>
          <w:sz w:val="12"/>
        </w:rPr>
        <w:t>'&lt;A:)  </w:t>
      </w:r>
      <w:r>
        <w:rPr>
          <w:color w:val="010101"/>
          <w:sz w:val="12"/>
        </w:rPr>
        <w:t>•</w:t>
      </w:r>
    </w:p>
    <w:p>
      <w:pPr>
        <w:spacing w:line="140" w:lineRule="exact" w:before="0"/>
        <w:ind w:left="0" w:right="260" w:firstLine="0"/>
        <w:jc w:val="right"/>
        <w:rPr>
          <w:b/>
          <w:i/>
          <w:sz w:val="14"/>
        </w:rPr>
      </w:pPr>
      <w:r>
        <w:rPr>
          <w:b/>
          <w:i/>
          <w:color w:val="010101"/>
          <w:w w:val="125"/>
          <w:sz w:val="14"/>
        </w:rPr>
        <w:t>'Iqz</w:t>
      </w:r>
    </w:p>
    <w:p>
      <w:pPr>
        <w:pStyle w:val="BodyText"/>
        <w:spacing w:before="8"/>
        <w:rPr>
          <w:b/>
          <w:i/>
          <w:sz w:val="23"/>
        </w:rPr>
      </w:pPr>
      <w:r>
        <w:rPr/>
        <w:br w:type="column"/>
      </w:r>
      <w:r>
        <w:rPr>
          <w:b/>
          <w:i/>
          <w:sz w:val="23"/>
        </w:rPr>
      </w:r>
    </w:p>
    <w:p>
      <w:pPr>
        <w:spacing w:before="1"/>
        <w:ind w:left="1405" w:right="0" w:firstLine="0"/>
        <w:jc w:val="left"/>
        <w:rPr>
          <w:b/>
          <w:sz w:val="20"/>
        </w:rPr>
      </w:pPr>
      <w:r>
        <w:rPr>
          <w:b/>
          <w:color w:val="010101"/>
          <w:sz w:val="20"/>
        </w:rPr>
        <w:t>(14.40)</w:t>
      </w:r>
    </w:p>
    <w:p>
      <w:pPr>
        <w:spacing w:after="0"/>
        <w:jc w:val="left"/>
        <w:rPr>
          <w:sz w:val="20"/>
        </w:rPr>
        <w:sectPr>
          <w:type w:val="continuous"/>
          <w:pgSz w:w="7200" w:h="11340"/>
          <w:pgMar w:top="1100" w:bottom="0" w:left="680" w:right="560"/>
          <w:cols w:num="2" w:equalWidth="0">
            <w:col w:w="3786" w:space="40"/>
            <w:col w:w="2134"/>
          </w:cols>
        </w:sectPr>
      </w:pPr>
    </w:p>
    <w:p>
      <w:pPr>
        <w:pStyle w:val="BodyText"/>
        <w:spacing w:line="232" w:lineRule="auto" w:before="38"/>
        <w:ind w:left="120"/>
      </w:pPr>
      <w:r>
        <w:rPr>
          <w:color w:val="010101"/>
        </w:rPr>
        <w:t>The exact value of </w:t>
      </w:r>
      <w:r>
        <w:rPr>
          <w:rFonts w:ascii="Arial"/>
          <w:i/>
          <w:color w:val="010101"/>
          <w:sz w:val="30"/>
        </w:rPr>
        <w:t>d; </w:t>
      </w:r>
      <w:r>
        <w:rPr>
          <w:color w:val="010101"/>
          <w:sz w:val="18"/>
        </w:rPr>
        <w:t>r&gt; </w:t>
      </w:r>
      <w:r>
        <w:rPr>
          <w:color w:val="010101"/>
        </w:rPr>
        <w:t>can then be distributed in proportion to the central   rates.</w:t>
      </w:r>
    </w:p>
    <w:p>
      <w:pPr>
        <w:pStyle w:val="BodyText"/>
        <w:spacing w:line="252" w:lineRule="auto" w:before="16"/>
        <w:ind w:left="109" w:right="115" w:firstLine="211"/>
        <w:jc w:val="both"/>
      </w:pPr>
      <w:r>
        <w:rPr>
          <w:color w:val="010101"/>
          <w:spacing w:val="3"/>
          <w:w w:val="105"/>
        </w:rPr>
        <w:t>It </w:t>
      </w:r>
      <w:r>
        <w:rPr>
          <w:color w:val="010101"/>
          <w:w w:val="105"/>
        </w:rPr>
        <w:t>will be noted that sorne type of approximation is almost always necessary in carrying out the methods described  in this chapter.  For convenient reference, the basic formulas are collected in Table 9.</w:t>
      </w:r>
    </w:p>
    <w:p>
      <w:pPr>
        <w:pStyle w:val="BodyText"/>
        <w:spacing w:before="8"/>
        <w:rPr>
          <w:sz w:val="11"/>
        </w:rPr>
      </w:pPr>
    </w:p>
    <w:p>
      <w:pPr>
        <w:pStyle w:val="ListParagraph"/>
        <w:numPr>
          <w:ilvl w:val="0"/>
          <w:numId w:val="128"/>
        </w:numPr>
        <w:tabs>
          <w:tab w:pos="340" w:val="left" w:leader="none"/>
        </w:tabs>
        <w:spacing w:line="240" w:lineRule="auto" w:before="76" w:after="0"/>
        <w:ind w:left="339" w:right="0" w:hanging="226"/>
        <w:jc w:val="both"/>
        <w:rPr>
          <w:b/>
          <w:color w:val="010101"/>
          <w:sz w:val="19"/>
        </w:rPr>
      </w:pPr>
      <w:r>
        <w:rPr>
          <w:b/>
          <w:color w:val="010101"/>
          <w:w w:val="120"/>
          <w:sz w:val="19"/>
        </w:rPr>
        <w:t>The analogy with joint-life </w:t>
      </w:r>
      <w:r>
        <w:rPr>
          <w:b/>
          <w:color w:val="010101"/>
          <w:spacing w:val="27"/>
          <w:w w:val="120"/>
          <w:sz w:val="19"/>
        </w:rPr>
        <w:t> </w:t>
      </w:r>
      <w:r>
        <w:rPr>
          <w:b/>
          <w:color w:val="010101"/>
          <w:w w:val="120"/>
          <w:sz w:val="19"/>
        </w:rPr>
        <w:t>functions</w:t>
      </w:r>
    </w:p>
    <w:p>
      <w:pPr>
        <w:pStyle w:val="BodyText"/>
        <w:spacing w:before="92"/>
        <w:ind w:left="116" w:firstLine="193"/>
      </w:pPr>
      <w:r>
        <w:rPr>
          <w:color w:val="010101"/>
          <w:w w:val="105"/>
        </w:rPr>
        <w:t>The  student  should  realize  that  he  has  already  encountered a</w:t>
      </w:r>
    </w:p>
    <w:p>
      <w:pPr>
        <w:pStyle w:val="BodyText"/>
        <w:spacing w:line="148" w:lineRule="auto" w:before="82"/>
        <w:ind w:left="120" w:right="124" w:hanging="4"/>
        <w:jc w:val="both"/>
      </w:pPr>
      <w:r>
        <w:rPr>
          <w:color w:val="010101"/>
        </w:rPr>
        <w:t>m.athematical model of  the  same  type  as  a  multiple-decrement  table  in  his  study  of  joint-life  functions.  Just  as  </w:t>
      </w:r>
      <w:r>
        <w:rPr>
          <w:rFonts w:ascii="Arial"/>
          <w:i/>
          <w:color w:val="010101"/>
          <w:sz w:val="30"/>
        </w:rPr>
        <w:t>l; </w:t>
      </w:r>
      <w:r>
        <w:rPr>
          <w:color w:val="010101"/>
          <w:sz w:val="18"/>
        </w:rPr>
        <w:t>r&gt;  </w:t>
      </w:r>
      <w:r>
        <w:rPr>
          <w:color w:val="010101"/>
        </w:rPr>
        <w:t>represents</w:t>
      </w:r>
      <w:r>
        <w:rPr>
          <w:color w:val="010101"/>
          <w:spacing w:val="24"/>
        </w:rPr>
        <w:t> </w:t>
      </w:r>
      <w:r>
        <w:rPr>
          <w:color w:val="010101"/>
        </w:rPr>
        <w:t>a</w:t>
      </w:r>
    </w:p>
    <w:p>
      <w:pPr>
        <w:pStyle w:val="BodyText"/>
        <w:spacing w:line="244" w:lineRule="auto" w:before="22"/>
        <w:ind w:left="109" w:right="127" w:firstLine="10"/>
        <w:jc w:val="both"/>
        <w:rPr>
          <w:rFonts w:ascii="Arial" w:hAnsi="Arial"/>
          <w:b/>
          <w:i/>
          <w:sz w:val="19"/>
        </w:rPr>
      </w:pPr>
      <w:r>
        <w:rPr>
          <w:color w:val="010101"/>
        </w:rPr>
        <w:t>number of lives subject to </w:t>
      </w:r>
      <w:r>
        <w:rPr>
          <w:rFonts w:ascii="Arial" w:hAnsi="Arial"/>
          <w:i/>
          <w:color w:val="010101"/>
          <w:sz w:val="18"/>
        </w:rPr>
        <w:t>m </w:t>
      </w:r>
      <w:r>
        <w:rPr>
          <w:color w:val="010101"/>
        </w:rPr>
        <w:t>causes of decrement, so the joint-life function </w:t>
      </w:r>
      <w:r>
        <w:rPr>
          <w:color w:val="010101"/>
          <w:sz w:val="16"/>
        </w:rPr>
        <w:t>lz</w:t>
      </w:r>
      <w:r>
        <w:rPr>
          <w:color w:val="010101"/>
          <w:position w:val="-3"/>
          <w:sz w:val="10"/>
        </w:rPr>
        <w:t>1</w:t>
      </w:r>
      <w:r>
        <w:rPr>
          <w:color w:val="010101"/>
          <w:sz w:val="16"/>
        </w:rPr>
        <w:t>:rz···zm </w:t>
      </w:r>
      <w:r>
        <w:rPr>
          <w:color w:val="010101"/>
        </w:rPr>
        <w:t>may be interpreted as a  number  of  life-groups,  each containing </w:t>
      </w:r>
      <w:r>
        <w:rPr>
          <w:i/>
          <w:color w:val="010101"/>
        </w:rPr>
        <w:t>m </w:t>
      </w:r>
      <w:r>
        <w:rPr>
          <w:color w:val="010101"/>
        </w:rPr>
        <w:t>lives, and, since the death of  any  one of  the  </w:t>
      </w:r>
      <w:r>
        <w:rPr>
          <w:i/>
          <w:color w:val="010101"/>
        </w:rPr>
        <w:t>m </w:t>
      </w:r>
      <w:r>
        <w:rPr>
          <w:color w:val="010101"/>
        </w:rPr>
        <w:t>lives in a group is sufficient to cause the  failure  of  the  group,  we may say that the function </w:t>
      </w:r>
      <w:r>
        <w:rPr>
          <w:rFonts w:ascii="Arial" w:hAnsi="Arial"/>
          <w:color w:val="010101"/>
          <w:sz w:val="21"/>
        </w:rPr>
        <w:t>is </w:t>
      </w:r>
      <w:r>
        <w:rPr>
          <w:color w:val="010101"/>
        </w:rPr>
        <w:t>subject to </w:t>
      </w:r>
      <w:r>
        <w:rPr>
          <w:rFonts w:ascii="Arial" w:hAnsi="Arial"/>
          <w:i/>
          <w:color w:val="010101"/>
          <w:sz w:val="18"/>
        </w:rPr>
        <w:t>m  </w:t>
      </w:r>
      <w:r>
        <w:rPr>
          <w:color w:val="010101"/>
        </w:rPr>
        <w:t>causes  of  decrement,  namely the death of  </w:t>
      </w:r>
      <w:r>
        <w:rPr>
          <w:color w:val="010101"/>
          <w:sz w:val="19"/>
        </w:rPr>
        <w:t>(x1), </w:t>
      </w:r>
      <w:r>
        <w:rPr>
          <w:color w:val="010101"/>
        </w:rPr>
        <w:t>the death of  </w:t>
      </w:r>
      <w:r>
        <w:rPr>
          <w:color w:val="010101"/>
          <w:sz w:val="19"/>
        </w:rPr>
        <w:t>(x2 ),  </w:t>
      </w:r>
      <w:r>
        <w:rPr>
          <w:color w:val="010101"/>
          <w:spacing w:val="4"/>
          <w:w w:val="115"/>
          <w:sz w:val="19"/>
        </w:rPr>
        <w:t>··· </w:t>
      </w:r>
      <w:r>
        <w:rPr>
          <w:color w:val="010101"/>
          <w:sz w:val="19"/>
        </w:rPr>
        <w:t>, </w:t>
      </w:r>
      <w:r>
        <w:rPr>
          <w:color w:val="010101"/>
        </w:rPr>
        <w:t>the death of  </w:t>
      </w:r>
      <w:r>
        <w:rPr>
          <w:rFonts w:ascii="Arial" w:hAnsi="Arial"/>
          <w:b/>
          <w:i/>
          <w:color w:val="010101"/>
          <w:spacing w:val="3"/>
          <w:sz w:val="19"/>
        </w:rPr>
        <w:t>(xm </w:t>
      </w:r>
      <w:r>
        <w:rPr>
          <w:rFonts w:ascii="Arial" w:hAnsi="Arial"/>
          <w:b/>
          <w:i/>
          <w:color w:val="010101"/>
          <w:spacing w:val="31"/>
          <w:sz w:val="19"/>
        </w:rPr>
        <w:t> </w:t>
      </w:r>
      <w:r>
        <w:rPr>
          <w:rFonts w:ascii="Arial" w:hAnsi="Arial"/>
          <w:b/>
          <w:i/>
          <w:color w:val="010101"/>
          <w:sz w:val="19"/>
        </w:rPr>
        <w:t>).</w:t>
      </w:r>
    </w:p>
    <w:p>
      <w:pPr>
        <w:spacing w:line="202" w:lineRule="exact" w:before="10"/>
        <w:ind w:left="109" w:right="0" w:firstLine="0"/>
        <w:jc w:val="both"/>
        <w:rPr>
          <w:sz w:val="16"/>
        </w:rPr>
      </w:pPr>
      <w:r>
        <w:rPr>
          <w:color w:val="010101"/>
          <w:w w:val="105"/>
          <w:sz w:val="20"/>
        </w:rPr>
        <w:t>The  number  of  failures  during  the  year,  denoted  by  </w:t>
      </w:r>
      <w:r>
        <w:rPr>
          <w:color w:val="010101"/>
          <w:w w:val="105"/>
          <w:sz w:val="16"/>
        </w:rPr>
        <w:t>d:r </w:t>
      </w:r>
      <w:r>
        <w:rPr>
          <w:color w:val="010101"/>
          <w:w w:val="105"/>
          <w:position w:val="-4"/>
          <w:sz w:val="10"/>
        </w:rPr>
        <w:t>1</w:t>
      </w:r>
      <w:r>
        <w:rPr>
          <w:color w:val="010101"/>
          <w:w w:val="105"/>
          <w:sz w:val="16"/>
        </w:rPr>
        <w:t>:rz···z"' ,</w:t>
      </w:r>
    </w:p>
    <w:p>
      <w:pPr>
        <w:pStyle w:val="BodyText"/>
        <w:spacing w:line="275" w:lineRule="exact"/>
        <w:ind w:left="116"/>
        <w:jc w:val="both"/>
        <w:rPr>
          <w:sz w:val="18"/>
        </w:rPr>
      </w:pPr>
      <w:r>
        <w:rPr>
          <w:color w:val="010101"/>
        </w:rPr>
        <w:t>corresponds  to the total  decrement  function  </w:t>
      </w:r>
      <w:r>
        <w:rPr>
          <w:i/>
          <w:color w:val="010101"/>
          <w:sz w:val="29"/>
        </w:rPr>
        <w:t>d! </w:t>
      </w:r>
      <w:r>
        <w:rPr>
          <w:color w:val="010101"/>
          <w:sz w:val="18"/>
        </w:rPr>
        <w:t>r&gt;.</w:t>
      </w:r>
    </w:p>
    <w:p>
      <w:pPr>
        <w:pStyle w:val="BodyText"/>
        <w:spacing w:line="252" w:lineRule="auto"/>
        <w:ind w:left="106" w:right="131" w:firstLine="208"/>
      </w:pPr>
      <w:r>
        <w:rPr>
          <w:color w:val="010101"/>
          <w:w w:val="105"/>
        </w:rPr>
        <w:t>In constructing a joint-life mortality table, we begin with a single-life  table  and use the relation</w:t>
      </w:r>
    </w:p>
    <w:p>
      <w:pPr>
        <w:pStyle w:val="BodyText"/>
        <w:spacing w:before="7"/>
        <w:rPr>
          <w:sz w:val="14"/>
        </w:rPr>
      </w:pPr>
      <w:r>
        <w:rPr/>
        <w:drawing>
          <wp:anchor distT="0" distB="0" distL="0" distR="0" allowOverlap="1" layoutInCell="1" locked="0" behindDoc="0" simplePos="0" relativeHeight="22936">
            <wp:simplePos x="0" y="0"/>
            <wp:positionH relativeFrom="page">
              <wp:posOffset>1609344</wp:posOffset>
            </wp:positionH>
            <wp:positionV relativeFrom="paragraph">
              <wp:posOffset>132027</wp:posOffset>
            </wp:positionV>
            <wp:extent cx="1435607" cy="128016"/>
            <wp:effectExtent l="0" t="0" r="0" b="0"/>
            <wp:wrapTopAndBottom/>
            <wp:docPr id="689" name="image351.png" descr=""/>
            <wp:cNvGraphicFramePr>
              <a:graphicFrameLocks noChangeAspect="1"/>
            </wp:cNvGraphicFramePr>
            <a:graphic>
              <a:graphicData uri="http://schemas.openxmlformats.org/drawingml/2006/picture">
                <pic:pic>
                  <pic:nvPicPr>
                    <pic:cNvPr id="690" name="image351.png"/>
                    <pic:cNvPicPr/>
                  </pic:nvPicPr>
                  <pic:blipFill>
                    <a:blip r:embed="rId355" cstate="print"/>
                    <a:stretch>
                      <a:fillRect/>
                    </a:stretch>
                  </pic:blipFill>
                  <pic:spPr>
                    <a:xfrm>
                      <a:off x="0" y="0"/>
                      <a:ext cx="1435607" cy="128016"/>
                    </a:xfrm>
                    <a:prstGeom prst="rect">
                      <a:avLst/>
                    </a:prstGeom>
                  </pic:spPr>
                </pic:pic>
              </a:graphicData>
            </a:graphic>
          </wp:anchor>
        </w:drawing>
      </w:r>
    </w:p>
    <w:p>
      <w:pPr>
        <w:pStyle w:val="BodyText"/>
        <w:spacing w:line="252" w:lineRule="auto" w:before="122"/>
        <w:ind w:left="109" w:right="147"/>
        <w:jc w:val="both"/>
      </w:pPr>
      <w:r>
        <w:rPr>
          <w:color w:val="010101"/>
          <w:w w:val="105"/>
        </w:rPr>
        <w:t>Similarly, the multiple-decrement table may be ·constructed from the associated single-decrement tables by using the   relation</w:t>
      </w:r>
    </w:p>
    <w:p>
      <w:pPr>
        <w:pStyle w:val="BodyText"/>
        <w:spacing w:before="1"/>
        <w:rPr>
          <w:sz w:val="9"/>
        </w:rPr>
      </w:pPr>
      <w:r>
        <w:rPr/>
        <w:drawing>
          <wp:anchor distT="0" distB="0" distL="0" distR="0" allowOverlap="1" layoutInCell="1" locked="0" behindDoc="0" simplePos="0" relativeHeight="22960">
            <wp:simplePos x="0" y="0"/>
            <wp:positionH relativeFrom="page">
              <wp:posOffset>1645920</wp:posOffset>
            </wp:positionH>
            <wp:positionV relativeFrom="paragraph">
              <wp:posOffset>91720</wp:posOffset>
            </wp:positionV>
            <wp:extent cx="1371600" cy="155447"/>
            <wp:effectExtent l="0" t="0" r="0" b="0"/>
            <wp:wrapTopAndBottom/>
            <wp:docPr id="691" name="image352.png" descr=""/>
            <wp:cNvGraphicFramePr>
              <a:graphicFrameLocks noChangeAspect="1"/>
            </wp:cNvGraphicFramePr>
            <a:graphic>
              <a:graphicData uri="http://schemas.openxmlformats.org/drawingml/2006/picture">
                <pic:pic>
                  <pic:nvPicPr>
                    <pic:cNvPr id="692" name="image352.png"/>
                    <pic:cNvPicPr/>
                  </pic:nvPicPr>
                  <pic:blipFill>
                    <a:blip r:embed="rId356" cstate="print"/>
                    <a:stretch>
                      <a:fillRect/>
                    </a:stretch>
                  </pic:blipFill>
                  <pic:spPr>
                    <a:xfrm>
                      <a:off x="0" y="0"/>
                      <a:ext cx="1371600" cy="155447"/>
                    </a:xfrm>
                    <a:prstGeom prst="rect">
                      <a:avLst/>
                    </a:prstGeom>
                  </pic:spPr>
                </pic:pic>
              </a:graphicData>
            </a:graphic>
          </wp:anchor>
        </w:drawing>
      </w:r>
    </w:p>
    <w:p>
      <w:pPr>
        <w:pStyle w:val="BodyText"/>
        <w:spacing w:before="146"/>
        <w:ind w:left="109"/>
        <w:jc w:val="both"/>
      </w:pPr>
      <w:r>
        <w:rPr>
          <w:color w:val="010101"/>
          <w:w w:val="105"/>
        </w:rPr>
        <w:t>Also, corresponding to the joint-life</w:t>
      </w:r>
      <w:r>
        <w:rPr>
          <w:color w:val="010101"/>
          <w:spacing w:val="52"/>
          <w:w w:val="105"/>
        </w:rPr>
        <w:t> </w:t>
      </w:r>
      <w:r>
        <w:rPr>
          <w:color w:val="010101"/>
          <w:w w:val="105"/>
        </w:rPr>
        <w:t>formula</w:t>
      </w:r>
    </w:p>
    <w:p>
      <w:pPr>
        <w:pStyle w:val="BodyText"/>
        <w:spacing w:before="5"/>
        <w:rPr>
          <w:sz w:val="16"/>
        </w:rPr>
      </w:pPr>
      <w:r>
        <w:rPr/>
        <w:drawing>
          <wp:anchor distT="0" distB="0" distL="0" distR="0" allowOverlap="1" layoutInCell="1" locked="0" behindDoc="0" simplePos="0" relativeHeight="22984">
            <wp:simplePos x="0" y="0"/>
            <wp:positionH relativeFrom="page">
              <wp:posOffset>1243583</wp:posOffset>
            </wp:positionH>
            <wp:positionV relativeFrom="paragraph">
              <wp:posOffset>145122</wp:posOffset>
            </wp:positionV>
            <wp:extent cx="2167128" cy="128015"/>
            <wp:effectExtent l="0" t="0" r="0" b="0"/>
            <wp:wrapTopAndBottom/>
            <wp:docPr id="693" name="image353.png" descr=""/>
            <wp:cNvGraphicFramePr>
              <a:graphicFrameLocks noChangeAspect="1"/>
            </wp:cNvGraphicFramePr>
            <a:graphic>
              <a:graphicData uri="http://schemas.openxmlformats.org/drawingml/2006/picture">
                <pic:pic>
                  <pic:nvPicPr>
                    <pic:cNvPr id="694" name="image353.png"/>
                    <pic:cNvPicPr/>
                  </pic:nvPicPr>
                  <pic:blipFill>
                    <a:blip r:embed="rId357" cstate="print"/>
                    <a:stretch>
                      <a:fillRect/>
                    </a:stretch>
                  </pic:blipFill>
                  <pic:spPr>
                    <a:xfrm>
                      <a:off x="0" y="0"/>
                      <a:ext cx="2167128" cy="128015"/>
                    </a:xfrm>
                    <a:prstGeom prst="rect">
                      <a:avLst/>
                    </a:prstGeom>
                  </pic:spPr>
                </pic:pic>
              </a:graphicData>
            </a:graphic>
          </wp:anchor>
        </w:drawing>
      </w:r>
    </w:p>
    <w:p>
      <w:pPr>
        <w:spacing w:after="0"/>
        <w:rPr>
          <w:sz w:val="16"/>
        </w:rPr>
        <w:sectPr>
          <w:type w:val="continuous"/>
          <w:pgSz w:w="7200" w:h="11340"/>
          <w:pgMar w:top="1100" w:bottom="0" w:left="680" w:right="560"/>
        </w:sectPr>
      </w:pPr>
    </w:p>
    <w:p>
      <w:pPr>
        <w:pStyle w:val="BodyText"/>
      </w:pPr>
    </w:p>
    <w:p>
      <w:pPr>
        <w:pStyle w:val="BodyText"/>
      </w:pPr>
    </w:p>
    <w:p>
      <w:pPr>
        <w:pStyle w:val="BodyText"/>
        <w:spacing w:before="11"/>
        <w:rPr>
          <w:sz w:val="17"/>
        </w:rPr>
      </w:pPr>
    </w:p>
    <w:p>
      <w:pPr>
        <w:spacing w:before="78"/>
        <w:ind w:left="4379" w:right="4946" w:firstLine="0"/>
        <w:jc w:val="center"/>
        <w:rPr>
          <w:sz w:val="17"/>
        </w:rPr>
      </w:pPr>
      <w:r>
        <w:rPr>
          <w:color w:val="010101"/>
          <w:w w:val="105"/>
          <w:sz w:val="17"/>
        </w:rPr>
        <w:t>TABLE  9</w:t>
      </w:r>
    </w:p>
    <w:p>
      <w:pPr>
        <w:spacing w:after="0"/>
        <w:jc w:val="center"/>
        <w:rPr>
          <w:sz w:val="17"/>
        </w:rPr>
        <w:sectPr>
          <w:pgSz w:w="11340" w:h="7200" w:orient="landscape"/>
          <w:pgMar w:top="640" w:bottom="280" w:left="720" w:right="500"/>
        </w:sectPr>
      </w:pPr>
    </w:p>
    <w:p>
      <w:pPr>
        <w:pStyle w:val="BodyText"/>
        <w:spacing w:before="4"/>
        <w:rPr>
          <w:sz w:val="8"/>
        </w:rPr>
      </w:pPr>
    </w:p>
    <w:p>
      <w:pPr>
        <w:spacing w:before="1"/>
        <w:ind w:left="3087" w:right="0" w:firstLine="0"/>
        <w:jc w:val="left"/>
        <w:rPr>
          <w:rFonts w:ascii="Arial"/>
          <w:sz w:val="11"/>
        </w:rPr>
      </w:pPr>
      <w:r>
        <w:rPr>
          <w:rFonts w:ascii="Arial"/>
          <w:color w:val="010101"/>
          <w:w w:val="130"/>
          <w:sz w:val="11"/>
        </w:rPr>
        <w:t>THE  STANDARD   APPROXI MATION FORMULAS</w:t>
      </w:r>
    </w:p>
    <w:p>
      <w:pPr>
        <w:pStyle w:val="BodyText"/>
        <w:spacing w:before="7"/>
        <w:rPr>
          <w:rFonts w:ascii="Arial"/>
          <w:sz w:val="21"/>
        </w:rPr>
      </w:pPr>
      <w:r>
        <w:rPr/>
        <w:br w:type="column"/>
      </w:r>
      <w:r>
        <w:rPr>
          <w:rFonts w:ascii="Arial"/>
          <w:sz w:val="21"/>
        </w:rPr>
      </w:r>
    </w:p>
    <w:p>
      <w:pPr>
        <w:pStyle w:val="BodyText"/>
        <w:spacing w:line="203" w:lineRule="exact" w:before="1"/>
        <w:ind w:right="137"/>
        <w:jc w:val="right"/>
        <w:rPr>
          <w:rFonts w:ascii="Arial"/>
        </w:rPr>
      </w:pPr>
      <w:r>
        <w:rPr/>
        <w:pict>
          <v:shape style="position:absolute;margin-left:41.436474pt;margin-top:2.520184pt;width:467.35pt;height:195.75pt;mso-position-horizontal-relative:page;mso-position-vertical-relative:paragraph;z-index:23176" type="#_x0000_t202" filled="false" stroked="false">
            <v:textbox inset="0,0,0,0">
              <w:txbxContent>
                <w:tbl>
                  <w:tblPr>
                    <w:tblW w:w="0" w:type="auto"/>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3"/>
                    <w:gridCol w:w="2436"/>
                    <w:gridCol w:w="2448"/>
                    <w:gridCol w:w="892"/>
                    <w:gridCol w:w="1532"/>
                  </w:tblGrid>
                  <w:tr>
                    <w:trPr>
                      <w:trHeight w:val="637" w:hRule="exact"/>
                    </w:trPr>
                    <w:tc>
                      <w:tcPr>
                        <w:tcW w:w="2033" w:type="dxa"/>
                        <w:tcBorders>
                          <w:left w:val="nil"/>
                        </w:tcBorders>
                      </w:tcPr>
                      <w:p>
                        <w:pPr>
                          <w:pStyle w:val="TableParagraph"/>
                          <w:rPr>
                            <w:rFonts w:ascii="Arial"/>
                            <w:sz w:val="12"/>
                          </w:rPr>
                        </w:pPr>
                      </w:p>
                      <w:p>
                        <w:pPr>
                          <w:pStyle w:val="TableParagraph"/>
                          <w:spacing w:before="87"/>
                          <w:ind w:left="647"/>
                          <w:rPr>
                            <w:rFonts w:ascii="Times New Roman"/>
                            <w:sz w:val="13"/>
                          </w:rPr>
                        </w:pPr>
                        <w:r>
                          <w:rPr>
                            <w:rFonts w:ascii="Times New Roman"/>
                            <w:color w:val="010101"/>
                            <w:w w:val="110"/>
                            <w:sz w:val="13"/>
                          </w:rPr>
                          <w:t>Formula for</w:t>
                        </w:r>
                      </w:p>
                    </w:tc>
                    <w:tc>
                      <w:tcPr>
                        <w:tcW w:w="2436" w:type="dxa"/>
                      </w:tcPr>
                      <w:p>
                        <w:pPr>
                          <w:pStyle w:val="TableParagraph"/>
                          <w:spacing w:before="100"/>
                          <w:ind w:left="869" w:right="883"/>
                          <w:jc w:val="center"/>
                          <w:rPr>
                            <w:rFonts w:ascii="Times New Roman"/>
                            <w:sz w:val="13"/>
                          </w:rPr>
                        </w:pPr>
                        <w:r>
                          <w:rPr>
                            <w:rFonts w:ascii="Times New Roman"/>
                            <w:color w:val="010101"/>
                            <w:w w:val="105"/>
                            <w:sz w:val="14"/>
                          </w:rPr>
                          <w:t>In  </w:t>
                        </w:r>
                        <w:r>
                          <w:rPr>
                            <w:rFonts w:ascii="Times New Roman"/>
                            <w:color w:val="010101"/>
                            <w:w w:val="105"/>
                            <w:sz w:val="13"/>
                          </w:rPr>
                          <w:t>tenns of</w:t>
                        </w:r>
                      </w:p>
                      <w:p>
                        <w:pPr>
                          <w:pStyle w:val="TableParagraph"/>
                          <w:spacing w:before="31"/>
                          <w:ind w:left="792" w:right="883"/>
                          <w:jc w:val="center"/>
                          <w:rPr>
                            <w:rFonts w:ascii="Arial"/>
                            <w:i/>
                            <w:sz w:val="11"/>
                          </w:rPr>
                        </w:pPr>
                        <w:r>
                          <w:rPr>
                            <w:rFonts w:ascii="Arial"/>
                            <w:i/>
                            <w:color w:val="010101"/>
                            <w:spacing w:val="-29"/>
                            <w:w w:val="211"/>
                            <w:sz w:val="11"/>
                          </w:rPr>
                          <w:t>q</w:t>
                        </w:r>
                        <w:r>
                          <w:rPr>
                            <w:rFonts w:ascii="Arial"/>
                            <w:i/>
                            <w:color w:val="010101"/>
                            <w:w w:val="71"/>
                            <w:sz w:val="11"/>
                          </w:rPr>
                          <w:t>/c</w:t>
                        </w:r>
                        <w:r>
                          <w:rPr>
                            <w:rFonts w:ascii="Arial"/>
                            <w:i/>
                            <w:color w:val="010101"/>
                            <w:w w:val="71"/>
                            <w:sz w:val="11"/>
                          </w:rPr>
                          <w:t>)</w:t>
                        </w:r>
                      </w:p>
                    </w:tc>
                    <w:tc>
                      <w:tcPr>
                        <w:tcW w:w="2448" w:type="dxa"/>
                      </w:tcPr>
                      <w:p>
                        <w:pPr>
                          <w:pStyle w:val="TableParagraph"/>
                          <w:spacing w:before="6"/>
                          <w:rPr>
                            <w:rFonts w:ascii="Arial"/>
                            <w:sz w:val="9"/>
                          </w:rPr>
                        </w:pPr>
                      </w:p>
                      <w:p>
                        <w:pPr>
                          <w:pStyle w:val="TableParagraph"/>
                          <w:spacing w:line="142" w:lineRule="exact"/>
                          <w:ind w:left="530" w:right="531"/>
                          <w:jc w:val="center"/>
                          <w:rPr>
                            <w:rFonts w:ascii="Times New Roman"/>
                            <w:sz w:val="13"/>
                          </w:rPr>
                        </w:pPr>
                        <w:r>
                          <w:rPr>
                            <w:rFonts w:ascii="Times New Roman"/>
                            <w:color w:val="010101"/>
                            <w:w w:val="110"/>
                            <w:sz w:val="13"/>
                          </w:rPr>
                          <w:t>In  tenns of</w:t>
                        </w:r>
                      </w:p>
                      <w:p>
                        <w:pPr>
                          <w:pStyle w:val="TableParagraph"/>
                          <w:spacing w:line="129" w:lineRule="exact"/>
                          <w:ind w:left="563" w:right="531"/>
                          <w:jc w:val="center"/>
                          <w:rPr>
                            <w:rFonts w:ascii="Times New Roman"/>
                            <w:sz w:val="14"/>
                          </w:rPr>
                        </w:pPr>
                        <w:r>
                          <w:rPr>
                            <w:rFonts w:ascii="Times New Roman"/>
                            <w:color w:val="010101"/>
                            <w:w w:val="90"/>
                            <w:sz w:val="14"/>
                          </w:rPr>
                          <w:t>,,,et&gt;</w:t>
                        </w:r>
                      </w:p>
                      <w:p>
                        <w:pPr>
                          <w:pStyle w:val="TableParagraph"/>
                          <w:tabs>
                            <w:tab w:pos="2435" w:val="left" w:leader="none"/>
                          </w:tabs>
                          <w:spacing w:line="91" w:lineRule="exact"/>
                          <w:ind w:left="1220" w:right="-28"/>
                          <w:rPr>
                            <w:rFonts w:ascii="Arial"/>
                            <w:sz w:val="10"/>
                          </w:rPr>
                        </w:pPr>
                        <w:r>
                          <w:rPr>
                            <w:rFonts w:ascii="Times New Roman"/>
                            <w:color w:val="010101"/>
                            <w:w w:val="90"/>
                            <w:position w:val="1"/>
                            <w:sz w:val="7"/>
                          </w:rPr>
                          <w:t>%</w:t>
                          <w:tab/>
                        </w:r>
                        <w:r>
                          <w:rPr>
                            <w:rFonts w:ascii="Arial"/>
                            <w:color w:val="010101"/>
                            <w:w w:val="50"/>
                            <w:sz w:val="10"/>
                          </w:rPr>
                          <w:t>1</w:t>
                        </w:r>
                      </w:p>
                    </w:tc>
                    <w:tc>
                      <w:tcPr>
                        <w:tcW w:w="892" w:type="dxa"/>
                        <w:tcBorders>
                          <w:right w:val="nil"/>
                        </w:tcBorders>
                      </w:tcPr>
                      <w:p>
                        <w:pPr/>
                      </w:p>
                    </w:tc>
                    <w:tc>
                      <w:tcPr>
                        <w:tcW w:w="1532" w:type="dxa"/>
                        <w:tcBorders>
                          <w:top w:val="nil"/>
                          <w:left w:val="nil"/>
                          <w:right w:val="nil"/>
                        </w:tcBorders>
                      </w:tcPr>
                      <w:p>
                        <w:pPr>
                          <w:pStyle w:val="TableParagraph"/>
                          <w:spacing w:before="8"/>
                          <w:rPr>
                            <w:rFonts w:ascii="Arial"/>
                            <w:sz w:val="9"/>
                          </w:rPr>
                        </w:pPr>
                      </w:p>
                      <w:p>
                        <w:pPr>
                          <w:pStyle w:val="TableParagraph"/>
                          <w:ind w:right="856"/>
                          <w:jc w:val="center"/>
                          <w:rPr>
                            <w:rFonts w:ascii="Times New Roman"/>
                            <w:sz w:val="13"/>
                          </w:rPr>
                        </w:pPr>
                        <w:r>
                          <w:rPr>
                            <w:rFonts w:ascii="Times New Roman"/>
                            <w:color w:val="010101"/>
                            <w:w w:val="110"/>
                            <w:sz w:val="13"/>
                          </w:rPr>
                          <w:t>In  tenns of</w:t>
                        </w:r>
                      </w:p>
                      <w:p>
                        <w:pPr>
                          <w:pStyle w:val="TableParagraph"/>
                          <w:spacing w:before="7"/>
                          <w:ind w:right="688"/>
                          <w:jc w:val="center"/>
                          <w:rPr>
                            <w:rFonts w:ascii="Times New Roman"/>
                            <w:sz w:val="10"/>
                          </w:rPr>
                        </w:pPr>
                        <w:r>
                          <w:rPr>
                            <w:rFonts w:ascii="Times New Roman"/>
                            <w:i/>
                            <w:color w:val="010101"/>
                            <w:spacing w:val="-1"/>
                            <w:w w:val="106"/>
                            <w:position w:val="-5"/>
                            <w:sz w:val="13"/>
                          </w:rPr>
                          <w:t>q</w:t>
                        </w:r>
                        <w:r>
                          <w:rPr>
                            <w:rFonts w:ascii="Times New Roman"/>
                            <w:i/>
                            <w:color w:val="010101"/>
                            <w:spacing w:val="-51"/>
                            <w:w w:val="105"/>
                            <w:position w:val="-5"/>
                            <w:sz w:val="13"/>
                          </w:rPr>
                          <w:t>z</w:t>
                        </w:r>
                        <w:r>
                          <w:rPr>
                            <w:rFonts w:ascii="Times New Roman"/>
                            <w:color w:val="010101"/>
                            <w:w w:val="134"/>
                            <w:sz w:val="10"/>
                          </w:rPr>
                          <w:t>'</w:t>
                        </w:r>
                        <w:r>
                          <w:rPr>
                            <w:rFonts w:ascii="Times New Roman"/>
                            <w:color w:val="010101"/>
                            <w:w w:val="134"/>
                            <w:sz w:val="10"/>
                          </w:rPr>
                          <w:t>(</w:t>
                        </w:r>
                        <w:r>
                          <w:rPr>
                            <w:rFonts w:ascii="Times New Roman"/>
                            <w:color w:val="010101"/>
                            <w:w w:val="134"/>
                            <w:sz w:val="10"/>
                          </w:rPr>
                          <w:t>.I:</w:t>
                        </w:r>
                        <w:r>
                          <w:rPr>
                            <w:rFonts w:ascii="Times New Roman"/>
                            <w:color w:val="010101"/>
                            <w:w w:val="134"/>
                            <w:sz w:val="10"/>
                          </w:rPr>
                          <w:t>)</w:t>
                        </w:r>
                      </w:p>
                    </w:tc>
                  </w:tr>
                  <w:tr>
                    <w:trPr>
                      <w:trHeight w:val="3272" w:hRule="exact"/>
                    </w:trPr>
                    <w:tc>
                      <w:tcPr>
                        <w:tcW w:w="2033" w:type="dxa"/>
                        <w:tcBorders>
                          <w:left w:val="nil"/>
                          <w:bottom w:val="nil"/>
                        </w:tcBorders>
                      </w:tcPr>
                      <w:p>
                        <w:pPr>
                          <w:pStyle w:val="TableParagraph"/>
                          <w:rPr>
                            <w:rFonts w:ascii="Arial"/>
                            <w:sz w:val="16"/>
                          </w:rPr>
                        </w:pPr>
                      </w:p>
                      <w:p>
                        <w:pPr>
                          <w:pStyle w:val="TableParagraph"/>
                          <w:rPr>
                            <w:rFonts w:ascii="Arial"/>
                            <w:sz w:val="16"/>
                          </w:rPr>
                        </w:pPr>
                      </w:p>
                      <w:p>
                        <w:pPr>
                          <w:pStyle w:val="TableParagraph"/>
                          <w:spacing w:before="2"/>
                          <w:rPr>
                            <w:rFonts w:ascii="Arial"/>
                            <w:sz w:val="13"/>
                          </w:rPr>
                        </w:pPr>
                      </w:p>
                      <w:p>
                        <w:pPr>
                          <w:pStyle w:val="TableParagraph"/>
                          <w:ind w:firstLine="3"/>
                          <w:rPr>
                            <w:rFonts w:ascii="Times New Roman"/>
                            <w:i/>
                            <w:sz w:val="17"/>
                          </w:rPr>
                        </w:pPr>
                        <w:r>
                          <w:rPr>
                            <w:rFonts w:ascii="Times New Roman"/>
                            <w:color w:val="010101"/>
                            <w:w w:val="111"/>
                            <w:sz w:val="17"/>
                          </w:rPr>
                          <w:t>Probability</w:t>
                        </w:r>
                        <w:r>
                          <w:rPr>
                            <w:rFonts w:ascii="Times New Roman"/>
                            <w:color w:val="010101"/>
                            <w:sz w:val="17"/>
                          </w:rPr>
                          <w:t> </w:t>
                        </w:r>
                        <w:r>
                          <w:rPr>
                            <w:rFonts w:ascii="Times New Roman"/>
                            <w:color w:val="010101"/>
                            <w:spacing w:val="11"/>
                            <w:sz w:val="17"/>
                          </w:rPr>
                          <w:t> </w:t>
                        </w:r>
                        <w:r>
                          <w:rPr>
                            <w:rFonts w:ascii="Times New Roman"/>
                            <w:i/>
                            <w:color w:val="010101"/>
                            <w:spacing w:val="-4"/>
                            <w:w w:val="148"/>
                            <w:sz w:val="17"/>
                          </w:rPr>
                          <w:t>q</w:t>
                        </w:r>
                        <w:r>
                          <w:rPr>
                            <w:rFonts w:ascii="Times New Roman"/>
                            <w:i/>
                            <w:color w:val="010101"/>
                            <w:w w:val="57"/>
                            <w:sz w:val="17"/>
                          </w:rPr>
                          <w:t>"&gt;</w:t>
                        </w:r>
                      </w:p>
                      <w:p>
                        <w:pPr>
                          <w:pStyle w:val="TableParagraph"/>
                          <w:rPr>
                            <w:rFonts w:ascii="Arial"/>
                            <w:sz w:val="16"/>
                          </w:rPr>
                        </w:pPr>
                      </w:p>
                      <w:p>
                        <w:pPr>
                          <w:pStyle w:val="TableParagraph"/>
                          <w:rPr>
                            <w:rFonts w:ascii="Arial"/>
                            <w:sz w:val="16"/>
                          </w:rPr>
                        </w:pPr>
                      </w:p>
                      <w:p>
                        <w:pPr>
                          <w:pStyle w:val="TableParagraph"/>
                          <w:rPr>
                            <w:rFonts w:ascii="Arial"/>
                            <w:sz w:val="16"/>
                          </w:rPr>
                        </w:pPr>
                      </w:p>
                      <w:p>
                        <w:pPr>
                          <w:pStyle w:val="TableParagraph"/>
                          <w:spacing w:before="4"/>
                          <w:rPr>
                            <w:rFonts w:ascii="Arial"/>
                            <w:sz w:val="23"/>
                          </w:rPr>
                        </w:pPr>
                      </w:p>
                      <w:p>
                        <w:pPr>
                          <w:pStyle w:val="TableParagraph"/>
                          <w:rPr>
                            <w:rFonts w:ascii="Arial"/>
                            <w:i/>
                            <w:sz w:val="18"/>
                          </w:rPr>
                        </w:pPr>
                        <w:r>
                          <w:rPr>
                            <w:rFonts w:ascii="Times New Roman"/>
                            <w:color w:val="010101"/>
                            <w:w w:val="111"/>
                            <w:sz w:val="17"/>
                          </w:rPr>
                          <w:t>Central</w:t>
                        </w:r>
                        <w:r>
                          <w:rPr>
                            <w:rFonts w:ascii="Times New Roman"/>
                            <w:color w:val="010101"/>
                            <w:sz w:val="17"/>
                          </w:rPr>
                          <w:t> </w:t>
                        </w:r>
                        <w:r>
                          <w:rPr>
                            <w:rFonts w:ascii="Times New Roman"/>
                            <w:color w:val="010101"/>
                            <w:spacing w:val="-12"/>
                            <w:sz w:val="17"/>
                          </w:rPr>
                          <w:t> </w:t>
                        </w:r>
                        <w:r>
                          <w:rPr>
                            <w:rFonts w:ascii="Times New Roman"/>
                            <w:color w:val="010101"/>
                            <w:w w:val="114"/>
                            <w:sz w:val="17"/>
                          </w:rPr>
                          <w:t>rate</w:t>
                        </w:r>
                        <w:r>
                          <w:rPr>
                            <w:rFonts w:ascii="Times New Roman"/>
                            <w:color w:val="010101"/>
                            <w:sz w:val="17"/>
                          </w:rPr>
                          <w:t> </w:t>
                        </w:r>
                        <w:r>
                          <w:rPr>
                            <w:rFonts w:ascii="Times New Roman"/>
                            <w:color w:val="010101"/>
                            <w:spacing w:val="-15"/>
                            <w:sz w:val="17"/>
                          </w:rPr>
                          <w:t> </w:t>
                        </w:r>
                        <w:r>
                          <w:rPr>
                            <w:rFonts w:ascii="Arial"/>
                            <w:i/>
                            <w:color w:val="010101"/>
                            <w:spacing w:val="-9"/>
                            <w:w w:val="122"/>
                            <w:sz w:val="18"/>
                          </w:rPr>
                          <w:t>m</w:t>
                        </w:r>
                        <w:r>
                          <w:rPr>
                            <w:rFonts w:ascii="Arial"/>
                            <w:i/>
                            <w:color w:val="010101"/>
                            <w:w w:val="71"/>
                            <w:sz w:val="18"/>
                          </w:rPr>
                          <w:t>,</w:t>
                        </w:r>
                        <w:r>
                          <w:rPr>
                            <w:rFonts w:ascii="Arial"/>
                            <w:i/>
                            <w:color w:val="010101"/>
                            <w:spacing w:val="-11"/>
                            <w:w w:val="71"/>
                            <w:sz w:val="18"/>
                          </w:rPr>
                          <w:t>.</w:t>
                        </w:r>
                        <w:r>
                          <w:rPr>
                            <w:rFonts w:ascii="Arial"/>
                            <w:i/>
                            <w:color w:val="010101"/>
                            <w:w w:val="35"/>
                            <w:sz w:val="18"/>
                          </w:rPr>
                          <w:t>&gt;</w:t>
                        </w: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1"/>
                          </w:rPr>
                        </w:pPr>
                      </w:p>
                      <w:p>
                        <w:pPr>
                          <w:pStyle w:val="TableParagraph"/>
                          <w:ind w:left="3"/>
                          <w:rPr>
                            <w:rFonts w:ascii="Times New Roman"/>
                            <w:sz w:val="10"/>
                          </w:rPr>
                        </w:pPr>
                        <w:r>
                          <w:rPr>
                            <w:rFonts w:ascii="Times New Roman"/>
                            <w:color w:val="010101"/>
                            <w:w w:val="110"/>
                            <w:sz w:val="17"/>
                          </w:rPr>
                          <w:t>Rate </w:t>
                        </w:r>
                        <w:r>
                          <w:rPr>
                            <w:rFonts w:ascii="Times New Roman"/>
                            <w:i/>
                            <w:color w:val="010101"/>
                            <w:w w:val="110"/>
                            <w:sz w:val="16"/>
                          </w:rPr>
                          <w:t>q,</w:t>
                        </w:r>
                        <w:r>
                          <w:rPr>
                            <w:rFonts w:ascii="Times New Roman"/>
                            <w:color w:val="010101"/>
                            <w:w w:val="110"/>
                            <w:position w:val="9"/>
                            <w:sz w:val="10"/>
                          </w:rPr>
                          <w:t>f</w:t>
                        </w:r>
                        <w:r>
                          <w:rPr>
                            <w:rFonts w:ascii="Times New Roman"/>
                            <w:i/>
                            <w:color w:val="010101"/>
                            <w:w w:val="110"/>
                            <w:sz w:val="16"/>
                          </w:rPr>
                          <w:t>.</w:t>
                        </w:r>
                        <w:r>
                          <w:rPr>
                            <w:rFonts w:ascii="Times New Roman"/>
                            <w:color w:val="010101"/>
                            <w:w w:val="110"/>
                            <w:position w:val="9"/>
                            <w:sz w:val="10"/>
                          </w:rPr>
                          <w:t>(i)</w:t>
                        </w:r>
                      </w:p>
                    </w:tc>
                    <w:tc>
                      <w:tcPr>
                        <w:tcW w:w="2436" w:type="dxa"/>
                        <w:tcBorders>
                          <w:bottom w:val="nil"/>
                        </w:tcBorders>
                      </w:tcPr>
                      <w:p>
                        <w:pPr>
                          <w:pStyle w:val="TableParagraph"/>
                          <w:rPr>
                            <w:rFonts w:ascii="Arial"/>
                            <w:sz w:val="10"/>
                          </w:rPr>
                        </w:pPr>
                      </w:p>
                      <w:p>
                        <w:pPr>
                          <w:pStyle w:val="TableParagraph"/>
                          <w:rPr>
                            <w:rFonts w:ascii="Arial"/>
                            <w:sz w:val="10"/>
                          </w:rPr>
                        </w:pPr>
                      </w:p>
                      <w:p>
                        <w:pPr>
                          <w:pStyle w:val="TableParagraph"/>
                          <w:rPr>
                            <w:rFonts w:ascii="Arial"/>
                            <w:sz w:val="10"/>
                          </w:rPr>
                        </w:pPr>
                      </w:p>
                      <w:p>
                        <w:pPr>
                          <w:pStyle w:val="TableParagraph"/>
                          <w:rPr>
                            <w:rFonts w:ascii="Arial"/>
                            <w:sz w:val="14"/>
                          </w:rPr>
                        </w:pPr>
                      </w:p>
                      <w:p>
                        <w:pPr>
                          <w:pStyle w:val="TableParagraph"/>
                          <w:spacing w:line="93" w:lineRule="exact"/>
                          <w:ind w:left="869" w:right="785"/>
                          <w:jc w:val="center"/>
                          <w:rPr>
                            <w:rFonts w:ascii="Times New Roman"/>
                            <w:sz w:val="10"/>
                          </w:rPr>
                        </w:pPr>
                        <w:r>
                          <w:rPr>
                            <w:rFonts w:ascii="Times New Roman"/>
                            <w:color w:val="010101"/>
                            <w:w w:val="155"/>
                            <w:sz w:val="10"/>
                          </w:rPr>
                          <w:t>(i)</w:t>
                        </w:r>
                      </w:p>
                      <w:p>
                        <w:pPr>
                          <w:pStyle w:val="TableParagraph"/>
                          <w:spacing w:line="116" w:lineRule="exact"/>
                          <w:ind w:left="800" w:right="883"/>
                          <w:jc w:val="center"/>
                          <w:rPr>
                            <w:rFonts w:ascii="Times New Roman"/>
                            <w:i/>
                            <w:sz w:val="12"/>
                          </w:rPr>
                        </w:pPr>
                        <w:r>
                          <w:rPr>
                            <w:rFonts w:ascii="Times New Roman"/>
                            <w:i/>
                            <w:color w:val="010101"/>
                            <w:w w:val="75"/>
                            <w:sz w:val="12"/>
                          </w:rPr>
                          <w:t>Q:,;</w:t>
                        </w:r>
                      </w:p>
                      <w:p>
                        <w:pPr>
                          <w:pStyle w:val="TableParagraph"/>
                          <w:rPr>
                            <w:rFonts w:ascii="Arial"/>
                            <w:sz w:val="12"/>
                          </w:rPr>
                        </w:pPr>
                      </w:p>
                      <w:p>
                        <w:pPr>
                          <w:pStyle w:val="TableParagraph"/>
                          <w:rPr>
                            <w:rFonts w:ascii="Arial"/>
                            <w:sz w:val="12"/>
                          </w:rPr>
                        </w:pPr>
                      </w:p>
                      <w:p>
                        <w:pPr>
                          <w:pStyle w:val="TableParagraph"/>
                          <w:rPr>
                            <w:rFonts w:ascii="Arial"/>
                            <w:sz w:val="12"/>
                          </w:rPr>
                        </w:pPr>
                      </w:p>
                      <w:p>
                        <w:pPr>
                          <w:pStyle w:val="TableParagraph"/>
                          <w:rPr>
                            <w:rFonts w:ascii="Arial"/>
                            <w:sz w:val="12"/>
                          </w:rPr>
                        </w:pPr>
                      </w:p>
                      <w:p>
                        <w:pPr>
                          <w:pStyle w:val="TableParagraph"/>
                          <w:rPr>
                            <w:rFonts w:ascii="Arial"/>
                            <w:sz w:val="12"/>
                          </w:rPr>
                        </w:pPr>
                      </w:p>
                      <w:p>
                        <w:pPr>
                          <w:pStyle w:val="TableParagraph"/>
                          <w:tabs>
                            <w:tab w:pos="1391" w:val="left" w:leader="none"/>
                          </w:tabs>
                          <w:spacing w:line="119" w:lineRule="exact" w:before="92"/>
                          <w:ind w:left="693"/>
                          <w:rPr>
                            <w:rFonts w:ascii="Arial" w:hAnsi="Arial"/>
                            <w:i/>
                            <w:sz w:val="11"/>
                          </w:rPr>
                        </w:pPr>
                        <w:r>
                          <w:rPr>
                            <w:rFonts w:ascii="Times New Roman" w:hAnsi="Times New Roman"/>
                            <w:color w:val="010101"/>
                            <w:w w:val="115"/>
                            <w:sz w:val="10"/>
                          </w:rPr>
                          <w:t>(k)   •</w:t>
                          <w:tab/>
                        </w:r>
                        <w:r>
                          <w:rPr>
                            <w:rFonts w:ascii="Arial" w:hAnsi="Arial"/>
                            <w:i/>
                            <w:color w:val="010101"/>
                            <w:w w:val="135"/>
                            <w:sz w:val="11"/>
                          </w:rPr>
                          <w:t>qk)</w:t>
                        </w:r>
                      </w:p>
                      <w:p>
                        <w:pPr>
                          <w:pStyle w:val="TableParagraph"/>
                          <w:tabs>
                            <w:tab w:pos="582" w:val="left" w:leader="none"/>
                          </w:tabs>
                          <w:spacing w:line="234" w:lineRule="exact"/>
                          <w:ind w:left="10"/>
                          <w:jc w:val="center"/>
                          <w:rPr>
                            <w:rFonts w:ascii="Arial"/>
                            <w:sz w:val="21"/>
                          </w:rPr>
                        </w:pPr>
                        <w:r>
                          <w:rPr>
                            <w:rFonts w:ascii="Arial"/>
                            <w:i/>
                            <w:color w:val="010101"/>
                            <w:w w:val="105"/>
                            <w:sz w:val="13"/>
                          </w:rPr>
                          <w:t>m,.</w:t>
                          <w:tab/>
                        </w:r>
                        <w:r>
                          <w:rPr>
                            <w:rFonts w:ascii="Times New Roman"/>
                            <w:color w:val="010101"/>
                            <w:w w:val="150"/>
                            <w:sz w:val="16"/>
                          </w:rPr>
                          <w:t>1 </w:t>
                        </w:r>
                        <w:r>
                          <w:rPr>
                            <w:rFonts w:ascii="Times New Roman"/>
                            <w:color w:val="010101"/>
                            <w:w w:val="265"/>
                            <w:sz w:val="16"/>
                            <w:u w:val="thick" w:color="000000"/>
                          </w:rPr>
                          <w:t>-</w:t>
                        </w:r>
                        <w:r>
                          <w:rPr>
                            <w:rFonts w:ascii="Times New Roman"/>
                            <w:color w:val="010101"/>
                            <w:spacing w:val="19"/>
                            <w:w w:val="265"/>
                            <w:sz w:val="16"/>
                            <w:u w:val="thick" w:color="000000"/>
                          </w:rPr>
                          <w:t> </w:t>
                        </w:r>
                        <w:r>
                          <w:rPr>
                            <w:rFonts w:ascii="Arial"/>
                            <w:color w:val="010101"/>
                            <w:spacing w:val="-5"/>
                            <w:w w:val="105"/>
                            <w:sz w:val="21"/>
                            <w:u w:val="thick" w:color="000000"/>
                          </w:rPr>
                          <w:t>tqF</w:t>
                        </w:r>
                        <w:r>
                          <w:rPr>
                            <w:rFonts w:ascii="Arial"/>
                            <w:color w:val="010101"/>
                            <w:spacing w:val="-5"/>
                            <w:w w:val="105"/>
                            <w:sz w:val="21"/>
                          </w:rPr>
                          <w:t>&gt;</w:t>
                        </w:r>
                      </w:p>
                      <w:p>
                        <w:pPr>
                          <w:pStyle w:val="TableParagraph"/>
                          <w:spacing w:before="71"/>
                          <w:ind w:right="21"/>
                          <w:jc w:val="right"/>
                          <w:rPr>
                            <w:rFonts w:ascii="Times New Roman"/>
                            <w:sz w:val="16"/>
                          </w:rPr>
                        </w:pPr>
                        <w:r>
                          <w:rPr>
                            <w:rFonts w:ascii="Times New Roman"/>
                            <w:color w:val="010101"/>
                            <w:w w:val="95"/>
                            <w:sz w:val="16"/>
                          </w:rPr>
                          <w:t>(14.15)</w:t>
                        </w:r>
                      </w:p>
                      <w:p>
                        <w:pPr>
                          <w:pStyle w:val="TableParagraph"/>
                          <w:rPr>
                            <w:rFonts w:ascii="Arial"/>
                            <w:sz w:val="16"/>
                          </w:rPr>
                        </w:pPr>
                      </w:p>
                      <w:p>
                        <w:pPr>
                          <w:pStyle w:val="TableParagraph"/>
                          <w:spacing w:before="5"/>
                          <w:rPr>
                            <w:rFonts w:ascii="Arial"/>
                            <w:sz w:val="18"/>
                          </w:rPr>
                        </w:pPr>
                      </w:p>
                      <w:p>
                        <w:pPr>
                          <w:pStyle w:val="TableParagraph"/>
                          <w:spacing w:line="99" w:lineRule="exact"/>
                          <w:ind w:left="1499"/>
                          <w:rPr>
                            <w:rFonts w:ascii="Times New Roman"/>
                            <w:sz w:val="10"/>
                          </w:rPr>
                        </w:pPr>
                        <w:r>
                          <w:rPr>
                            <w:rFonts w:ascii="Times New Roman"/>
                            <w:color w:val="010101"/>
                            <w:w w:val="155"/>
                            <w:sz w:val="10"/>
                          </w:rPr>
                          <w:t>(i)</w:t>
                        </w:r>
                      </w:p>
                      <w:p>
                        <w:pPr>
                          <w:pStyle w:val="TableParagraph"/>
                          <w:tabs>
                            <w:tab w:pos="805" w:val="left" w:leader="none"/>
                            <w:tab w:pos="1176" w:val="left" w:leader="none"/>
                          </w:tabs>
                          <w:spacing w:line="112" w:lineRule="exact"/>
                          <w:ind w:right="16"/>
                          <w:jc w:val="center"/>
                          <w:rPr>
                            <w:rFonts w:ascii="Times New Roman" w:hAnsi="Times New Roman"/>
                            <w:i/>
                            <w:sz w:val="13"/>
                          </w:rPr>
                        </w:pPr>
                        <w:r>
                          <w:rPr>
                            <w:rFonts w:ascii="Times New Roman" w:hAnsi="Times New Roman"/>
                            <w:color w:val="010101"/>
                            <w:w w:val="95"/>
                            <w:sz w:val="9"/>
                          </w:rPr>
                          <w:t>f</w:t>
                        </w:r>
                        <w:r>
                          <w:rPr>
                            <w:rFonts w:ascii="Times New Roman" w:hAnsi="Times New Roman"/>
                            <w:color w:val="010101"/>
                            <w:spacing w:val="4"/>
                            <w:w w:val="95"/>
                            <w:sz w:val="9"/>
                          </w:rPr>
                          <w:t> </w:t>
                        </w:r>
                        <w:r>
                          <w:rPr>
                            <w:rFonts w:ascii="Times New Roman" w:hAnsi="Times New Roman"/>
                            <w:color w:val="010101"/>
                            <w:w w:val="115"/>
                            <w:sz w:val="9"/>
                          </w:rPr>
                          <w:t>(k)  </w:t>
                        </w:r>
                        <w:r>
                          <w:rPr>
                            <w:rFonts w:ascii="Times New Roman" w:hAnsi="Times New Roman"/>
                            <w:color w:val="010101"/>
                            <w:spacing w:val="20"/>
                            <w:w w:val="115"/>
                            <w:sz w:val="9"/>
                          </w:rPr>
                          <w:t> </w:t>
                        </w:r>
                        <w:r>
                          <w:rPr>
                            <w:rFonts w:ascii="Times New Roman" w:hAnsi="Times New Roman"/>
                            <w:color w:val="010101"/>
                            <w:w w:val="95"/>
                            <w:sz w:val="9"/>
                          </w:rPr>
                          <w:t>•</w:t>
                        </w:r>
                        <w:r>
                          <w:rPr>
                            <w:rFonts w:ascii="Times New Roman" w:hAnsi="Times New Roman"/>
                            <w:i/>
                            <w:color w:val="010101"/>
                            <w:w w:val="95"/>
                            <w:sz w:val="13"/>
                            <w:u w:val="single" w:color="000000"/>
                          </w:rPr>
                          <w:t> </w:t>
                          <w:tab/>
                          <w:t>Q:r</w:t>
                        </w:r>
                        <w:r>
                          <w:rPr>
                            <w:rFonts w:ascii="Times New Roman" w:hAnsi="Times New Roman"/>
                            <w:i/>
                            <w:color w:val="010101"/>
                            <w:sz w:val="13"/>
                            <w:u w:val="single" w:color="000000"/>
                          </w:rPr>
                          <w:tab/>
                        </w:r>
                      </w:p>
                      <w:p>
                        <w:pPr>
                          <w:pStyle w:val="TableParagraph"/>
                          <w:tabs>
                            <w:tab w:pos="397" w:val="left" w:leader="none"/>
                          </w:tabs>
                          <w:spacing w:line="208" w:lineRule="exact"/>
                          <w:ind w:left="19"/>
                          <w:jc w:val="center"/>
                          <w:rPr>
                            <w:rFonts w:ascii="Arial"/>
                            <w:sz w:val="20"/>
                          </w:rPr>
                        </w:pPr>
                        <w:r>
                          <w:rPr>
                            <w:rFonts w:ascii="Times New Roman"/>
                            <w:i/>
                            <w:color w:val="010101"/>
                            <w:w w:val="66"/>
                            <w:sz w:val="12"/>
                          </w:rPr>
                          <w:t>Q:,;</w:t>
                        </w:r>
                        <w:r>
                          <w:rPr>
                            <w:rFonts w:ascii="Times New Roman"/>
                            <w:i/>
                            <w:color w:val="010101"/>
                            <w:sz w:val="12"/>
                          </w:rPr>
                          <w:tab/>
                        </w:r>
                        <w:r>
                          <w:rPr>
                            <w:rFonts w:ascii="Arial"/>
                            <w:color w:val="010101"/>
                            <w:w w:val="108"/>
                            <w:sz w:val="14"/>
                          </w:rPr>
                          <w:t>=:</w:t>
                        </w:r>
                        <w:r>
                          <w:rPr>
                            <w:rFonts w:ascii="Arial"/>
                            <w:color w:val="010101"/>
                            <w:sz w:val="14"/>
                          </w:rPr>
                          <w:t> </w:t>
                        </w:r>
                        <w:r>
                          <w:rPr>
                            <w:rFonts w:ascii="Arial"/>
                            <w:color w:val="010101"/>
                            <w:spacing w:val="13"/>
                            <w:sz w:val="14"/>
                          </w:rPr>
                          <w:t> </w:t>
                        </w:r>
                        <w:r>
                          <w:rPr>
                            <w:rFonts w:ascii="Times New Roman"/>
                            <w:color w:val="010101"/>
                            <w:w w:val="135"/>
                            <w:sz w:val="16"/>
                          </w:rPr>
                          <w:t>1</w:t>
                        </w:r>
                        <w:r>
                          <w:rPr>
                            <w:rFonts w:ascii="Times New Roman"/>
                            <w:color w:val="010101"/>
                            <w:spacing w:val="6"/>
                            <w:sz w:val="16"/>
                          </w:rPr>
                          <w:t> </w:t>
                        </w:r>
                        <w:r>
                          <w:rPr>
                            <w:rFonts w:ascii="Times New Roman"/>
                            <w:color w:val="010101"/>
                            <w:w w:val="281"/>
                            <w:sz w:val="16"/>
                          </w:rPr>
                          <w:t>-</w:t>
                        </w:r>
                        <w:r>
                          <w:rPr>
                            <w:rFonts w:ascii="Arial"/>
                            <w:color w:val="010101"/>
                            <w:spacing w:val="-130"/>
                            <w:w w:val="277"/>
                            <w:sz w:val="20"/>
                          </w:rPr>
                          <w:t>!</w:t>
                        </w:r>
                        <w:r>
                          <w:rPr>
                            <w:rFonts w:ascii="Arial"/>
                            <w:color w:val="010101"/>
                            <w:w w:val="77"/>
                            <w:sz w:val="20"/>
                          </w:rPr>
                          <w:t>q</w:t>
                        </w:r>
                        <w:r>
                          <w:rPr>
                            <w:rFonts w:ascii="Arial"/>
                            <w:color w:val="010101"/>
                            <w:spacing w:val="-10"/>
                            <w:sz w:val="20"/>
                          </w:rPr>
                          <w:t> </w:t>
                        </w:r>
                        <w:r>
                          <w:rPr>
                            <w:rFonts w:ascii="Arial"/>
                            <w:color w:val="010101"/>
                            <w:w w:val="59"/>
                            <w:sz w:val="20"/>
                          </w:rPr>
                          <w:t>-A:&gt;</w:t>
                        </w:r>
                      </w:p>
                      <w:p>
                        <w:pPr>
                          <w:pStyle w:val="TableParagraph"/>
                          <w:spacing w:before="81"/>
                          <w:ind w:right="31"/>
                          <w:jc w:val="right"/>
                          <w:rPr>
                            <w:rFonts w:ascii="Times New Roman"/>
                            <w:sz w:val="16"/>
                          </w:rPr>
                        </w:pPr>
                        <w:r>
                          <w:rPr>
                            <w:rFonts w:ascii="Times New Roman"/>
                            <w:color w:val="010101"/>
                            <w:sz w:val="16"/>
                          </w:rPr>
                          <w:t>(14.31b)</w:t>
                        </w:r>
                      </w:p>
                    </w:tc>
                    <w:tc>
                      <w:tcPr>
                        <w:tcW w:w="2448" w:type="dxa"/>
                        <w:tcBorders>
                          <w:bottom w:val="nil"/>
                        </w:tcBorders>
                      </w:tcPr>
                      <w:p>
                        <w:pPr>
                          <w:pStyle w:val="TableParagraph"/>
                          <w:rPr>
                            <w:rFonts w:ascii="Arial"/>
                            <w:sz w:val="10"/>
                          </w:rPr>
                        </w:pPr>
                      </w:p>
                      <w:p>
                        <w:pPr>
                          <w:pStyle w:val="TableParagraph"/>
                          <w:rPr>
                            <w:rFonts w:ascii="Arial"/>
                            <w:sz w:val="10"/>
                          </w:rPr>
                        </w:pPr>
                      </w:p>
                      <w:p>
                        <w:pPr>
                          <w:pStyle w:val="TableParagraph"/>
                          <w:spacing w:before="3"/>
                          <w:rPr>
                            <w:rFonts w:ascii="Arial"/>
                            <w:sz w:val="10"/>
                          </w:rPr>
                        </w:pPr>
                      </w:p>
                      <w:p>
                        <w:pPr>
                          <w:pStyle w:val="TableParagraph"/>
                          <w:spacing w:line="101" w:lineRule="exact"/>
                          <w:ind w:left="874" w:right="235"/>
                          <w:jc w:val="center"/>
                          <w:rPr>
                            <w:rFonts w:ascii="Times New Roman"/>
                            <w:b/>
                            <w:sz w:val="10"/>
                          </w:rPr>
                        </w:pPr>
                        <w:r>
                          <w:rPr>
                            <w:rFonts w:ascii="Times New Roman"/>
                            <w:b/>
                            <w:color w:val="010101"/>
                            <w:w w:val="120"/>
                            <w:sz w:val="10"/>
                          </w:rPr>
                          <w:t>(.t)</w:t>
                        </w:r>
                      </w:p>
                      <w:p>
                        <w:pPr>
                          <w:pStyle w:val="TableParagraph"/>
                          <w:tabs>
                            <w:tab w:pos="786" w:val="left" w:leader="none"/>
                            <w:tab w:pos="1354" w:val="left" w:leader="none"/>
                          </w:tabs>
                          <w:spacing w:line="87" w:lineRule="exact"/>
                          <w:ind w:left="110"/>
                          <w:jc w:val="center"/>
                          <w:rPr>
                            <w:rFonts w:ascii="Times New Roman"/>
                            <w:i/>
                            <w:sz w:val="13"/>
                          </w:rPr>
                        </w:pPr>
                        <w:r>
                          <w:rPr>
                            <w:rFonts w:ascii="Times New Roman"/>
                            <w:b/>
                            <w:color w:val="010101"/>
                            <w:w w:val="120"/>
                            <w:sz w:val="10"/>
                          </w:rPr>
                          <w:t>(.t) </w:t>
                        </w:r>
                        <w:r>
                          <w:rPr>
                            <w:rFonts w:ascii="Times New Roman"/>
                            <w:b/>
                            <w:color w:val="010101"/>
                            <w:spacing w:val="25"/>
                            <w:w w:val="120"/>
                            <w:sz w:val="10"/>
                          </w:rPr>
                          <w:t> </w:t>
                        </w:r>
                        <w:r>
                          <w:rPr>
                            <w:rFonts w:ascii="Times New Roman"/>
                            <w:b/>
                            <w:color w:val="010101"/>
                            <w:w w:val="120"/>
                            <w:sz w:val="10"/>
                          </w:rPr>
                          <w:t>.</w:t>
                        </w:r>
                        <w:r>
                          <w:rPr>
                            <w:rFonts w:ascii="Times New Roman"/>
                            <w:i/>
                            <w:color w:val="010101"/>
                            <w:w w:val="120"/>
                            <w:sz w:val="13"/>
                            <w:u w:val="single" w:color="000000"/>
                          </w:rPr>
                          <w:t> </w:t>
                          <w:tab/>
                          <w:t>mz</w:t>
                        </w:r>
                        <w:r>
                          <w:rPr>
                            <w:rFonts w:ascii="Times New Roman"/>
                            <w:i/>
                            <w:color w:val="010101"/>
                            <w:sz w:val="13"/>
                            <w:u w:val="single" w:color="000000"/>
                          </w:rPr>
                          <w:tab/>
                        </w:r>
                      </w:p>
                      <w:p>
                        <w:pPr>
                          <w:pStyle w:val="TableParagraph"/>
                          <w:spacing w:line="251" w:lineRule="exact"/>
                          <w:ind w:left="110" w:right="108"/>
                          <w:jc w:val="center"/>
                          <w:rPr>
                            <w:rFonts w:ascii="Times New Roman"/>
                            <w:sz w:val="17"/>
                          </w:rPr>
                        </w:pPr>
                        <w:r>
                          <w:rPr>
                            <w:rFonts w:ascii="Times New Roman"/>
                            <w:i/>
                            <w:color w:val="010101"/>
                            <w:sz w:val="13"/>
                          </w:rPr>
                          <w:t>qz     </w:t>
                        </w:r>
                        <w:r>
                          <w:rPr>
                            <w:rFonts w:ascii="Times New Roman"/>
                            <w:color w:val="010101"/>
                            <w:sz w:val="13"/>
                          </w:rPr>
                          <w:t>-";  </w:t>
                        </w:r>
                        <w:r>
                          <w:rPr>
                            <w:rFonts w:ascii="Times New Roman"/>
                            <w:color w:val="010101"/>
                            <w:w w:val="125"/>
                            <w:sz w:val="16"/>
                          </w:rPr>
                          <w:t>1 </w:t>
                        </w:r>
                        <w:r>
                          <w:rPr>
                            <w:rFonts w:ascii="Arial"/>
                            <w:color w:val="010101"/>
                            <w:sz w:val="26"/>
                          </w:rPr>
                          <w:t>+  </w:t>
                        </w:r>
                        <w:r>
                          <w:rPr>
                            <w:rFonts w:ascii="Times New Roman"/>
                            <w:color w:val="010101"/>
                            <w:w w:val="125"/>
                            <w:sz w:val="17"/>
                          </w:rPr>
                          <w:t>m </w:t>
                        </w:r>
                        <w:r>
                          <w:rPr>
                            <w:rFonts w:ascii="Times New Roman"/>
                            <w:color w:val="010101"/>
                            <w:w w:val="95"/>
                            <w:sz w:val="17"/>
                          </w:rPr>
                          <w:t>T )</w:t>
                        </w:r>
                      </w:p>
                      <w:p>
                        <w:pPr>
                          <w:pStyle w:val="TableParagraph"/>
                          <w:spacing w:before="64"/>
                          <w:ind w:right="20"/>
                          <w:jc w:val="right"/>
                          <w:rPr>
                            <w:rFonts w:ascii="Times New Roman"/>
                            <w:sz w:val="16"/>
                          </w:rPr>
                        </w:pPr>
                        <w:r>
                          <w:rPr>
                            <w:rFonts w:ascii="Times New Roman"/>
                            <w:color w:val="010101"/>
                            <w:w w:val="95"/>
                            <w:sz w:val="16"/>
                          </w:rPr>
                          <w:t>(14.16)</w:t>
                        </w:r>
                      </w:p>
                      <w:p>
                        <w:pPr>
                          <w:pStyle w:val="TableParagraph"/>
                          <w:rPr>
                            <w:rFonts w:ascii="Arial"/>
                            <w:sz w:val="16"/>
                          </w:rPr>
                        </w:pPr>
                      </w:p>
                      <w:p>
                        <w:pPr>
                          <w:pStyle w:val="TableParagraph"/>
                          <w:rPr>
                            <w:rFonts w:ascii="Arial"/>
                            <w:sz w:val="16"/>
                          </w:rPr>
                        </w:pPr>
                      </w:p>
                      <w:p>
                        <w:pPr>
                          <w:pStyle w:val="TableParagraph"/>
                          <w:spacing w:before="10"/>
                          <w:rPr>
                            <w:rFonts w:ascii="Arial"/>
                            <w:sz w:val="12"/>
                          </w:rPr>
                        </w:pPr>
                      </w:p>
                      <w:p>
                        <w:pPr>
                          <w:pStyle w:val="TableParagraph"/>
                          <w:spacing w:line="158" w:lineRule="exact"/>
                          <w:ind w:left="538" w:right="531"/>
                          <w:jc w:val="center"/>
                          <w:rPr>
                            <w:rFonts w:ascii="Arial"/>
                            <w:b/>
                            <w:sz w:val="9"/>
                          </w:rPr>
                        </w:pPr>
                        <w:r>
                          <w:rPr>
                            <w:rFonts w:ascii="Arial"/>
                            <w:i/>
                            <w:color w:val="010101"/>
                            <w:w w:val="115"/>
                            <w:position w:val="-8"/>
                            <w:sz w:val="15"/>
                          </w:rPr>
                          <w:t>m,</w:t>
                        </w:r>
                        <w:r>
                          <w:rPr>
                            <w:rFonts w:ascii="Arial"/>
                            <w:b/>
                            <w:color w:val="010101"/>
                            <w:w w:val="115"/>
                            <w:sz w:val="9"/>
                          </w:rPr>
                          <w:t>(</w:t>
                        </w:r>
                        <w:r>
                          <w:rPr>
                            <w:rFonts w:ascii="Arial"/>
                            <w:i/>
                            <w:color w:val="010101"/>
                            <w:w w:val="115"/>
                            <w:position w:val="-8"/>
                            <w:sz w:val="15"/>
                          </w:rPr>
                          <w:t>.</w:t>
                        </w:r>
                        <w:r>
                          <w:rPr>
                            <w:rFonts w:ascii="Arial"/>
                            <w:b/>
                            <w:color w:val="010101"/>
                            <w:w w:val="115"/>
                            <w:sz w:val="9"/>
                          </w:rPr>
                          <w:t>k)</w:t>
                        </w:r>
                      </w:p>
                      <w:p>
                        <w:pPr>
                          <w:pStyle w:val="TableParagraph"/>
                          <w:spacing w:line="66" w:lineRule="exact"/>
                          <w:ind w:right="-28"/>
                          <w:jc w:val="right"/>
                          <w:rPr>
                            <w:rFonts w:ascii="Arial"/>
                            <w:sz w:val="10"/>
                          </w:rPr>
                        </w:pPr>
                        <w:r>
                          <w:rPr>
                            <w:rFonts w:ascii="Arial"/>
                            <w:color w:val="010101"/>
                            <w:w w:val="65"/>
                            <w:sz w:val="10"/>
                          </w:rPr>
                          <w:t>1</w:t>
                        </w:r>
                      </w:p>
                      <w:p>
                        <w:pPr>
                          <w:pStyle w:val="TableParagraph"/>
                          <w:rPr>
                            <w:rFonts w:ascii="Arial"/>
                            <w:sz w:val="10"/>
                          </w:rPr>
                        </w:pPr>
                      </w:p>
                      <w:p>
                        <w:pPr>
                          <w:pStyle w:val="TableParagraph"/>
                          <w:rPr>
                            <w:rFonts w:ascii="Arial"/>
                            <w:sz w:val="10"/>
                          </w:rPr>
                        </w:pPr>
                      </w:p>
                      <w:p>
                        <w:pPr>
                          <w:pStyle w:val="TableParagraph"/>
                          <w:rPr>
                            <w:rFonts w:ascii="Arial"/>
                            <w:sz w:val="10"/>
                          </w:rPr>
                        </w:pPr>
                      </w:p>
                      <w:p>
                        <w:pPr>
                          <w:pStyle w:val="TableParagraph"/>
                          <w:rPr>
                            <w:rFonts w:ascii="Arial"/>
                            <w:sz w:val="10"/>
                          </w:rPr>
                        </w:pPr>
                      </w:p>
                      <w:p>
                        <w:pPr>
                          <w:pStyle w:val="TableParagraph"/>
                          <w:rPr>
                            <w:rFonts w:ascii="Arial"/>
                            <w:sz w:val="10"/>
                          </w:rPr>
                        </w:pPr>
                      </w:p>
                      <w:p>
                        <w:pPr>
                          <w:pStyle w:val="TableParagraph"/>
                          <w:spacing w:before="4"/>
                          <w:rPr>
                            <w:rFonts w:ascii="Arial"/>
                            <w:sz w:val="13"/>
                          </w:rPr>
                        </w:pPr>
                      </w:p>
                      <w:p>
                        <w:pPr>
                          <w:pStyle w:val="TableParagraph"/>
                          <w:spacing w:line="82" w:lineRule="exact"/>
                          <w:ind w:left="874" w:right="151"/>
                          <w:jc w:val="center"/>
                          <w:rPr>
                            <w:rFonts w:ascii="Times New Roman"/>
                            <w:sz w:val="10"/>
                          </w:rPr>
                        </w:pPr>
                        <w:r>
                          <w:rPr>
                            <w:rFonts w:ascii="Times New Roman"/>
                            <w:color w:val="010101"/>
                            <w:w w:val="155"/>
                            <w:sz w:val="10"/>
                          </w:rPr>
                          <w:t>(i)</w:t>
                        </w:r>
                      </w:p>
                      <w:p>
                        <w:pPr>
                          <w:pStyle w:val="TableParagraph"/>
                          <w:tabs>
                            <w:tab w:pos="918" w:val="left" w:leader="none"/>
                            <w:tab w:pos="1364" w:val="left" w:leader="none"/>
                            <w:tab w:pos="1896" w:val="left" w:leader="none"/>
                          </w:tabs>
                          <w:spacing w:line="108" w:lineRule="auto" w:before="54"/>
                          <w:ind w:left="544" w:right="522" w:firstLine="93"/>
                          <w:jc w:val="center"/>
                          <w:rPr>
                            <w:rFonts w:ascii="Times New Roman"/>
                            <w:sz w:val="17"/>
                          </w:rPr>
                        </w:pPr>
                        <w:r>
                          <w:rPr>
                            <w:rFonts w:ascii="Times New Roman"/>
                            <w:color w:val="010101"/>
                            <w:w w:val="90"/>
                            <w:sz w:val="17"/>
                          </w:rPr>
                          <w:t>,c.t&gt;</w:t>
                        </w:r>
                        <w:r>
                          <w:rPr>
                            <w:rFonts w:ascii="Times New Roman"/>
                            <w:color w:val="010101"/>
                            <w:spacing w:val="11"/>
                            <w:w w:val="90"/>
                            <w:sz w:val="17"/>
                          </w:rPr>
                          <w:t> </w:t>
                        </w:r>
                        <w:r>
                          <w:rPr>
                            <w:rFonts w:ascii="Times New Roman"/>
                            <w:color w:val="010101"/>
                            <w:sz w:val="17"/>
                          </w:rPr>
                          <w:t>.</w:t>
                        </w:r>
                        <w:r>
                          <w:rPr>
                            <w:rFonts w:ascii="Times New Roman"/>
                            <w:i/>
                            <w:color w:val="010101"/>
                            <w:sz w:val="16"/>
                            <w:u w:val="single" w:color="000000"/>
                          </w:rPr>
                          <w:t> </w:t>
                          <w:tab/>
                          <w:t>m.,</w:t>
                          <w:tab/>
                        </w:r>
                        <w:r>
                          <w:rPr>
                            <w:rFonts w:ascii="Times New Roman"/>
                            <w:i/>
                            <w:color w:val="010101"/>
                            <w:sz w:val="16"/>
                          </w:rPr>
                          <w:t> </w:t>
                        </w:r>
                        <w:r>
                          <w:rPr>
                            <w:rFonts w:ascii="Times New Roman"/>
                            <w:i/>
                            <w:color w:val="010101"/>
                            <w:w w:val="87"/>
                            <w:sz w:val="16"/>
                          </w:rPr>
                          <w:t>qz</w:t>
                          <w:tab/>
                        </w:r>
                        <w:r>
                          <w:rPr>
                            <w:rFonts w:ascii="Arial"/>
                            <w:color w:val="010101"/>
                            <w:w w:val="101"/>
                            <w:sz w:val="15"/>
                          </w:rPr>
                          <w:t>=:   </w:t>
                        </w:r>
                        <w:r>
                          <w:rPr>
                            <w:rFonts w:ascii="Times New Roman"/>
                            <w:color w:val="010101"/>
                            <w:w w:val="144"/>
                            <w:sz w:val="16"/>
                          </w:rPr>
                          <w:t>1 </w:t>
                        </w:r>
                        <w:r>
                          <w:rPr>
                            <w:rFonts w:ascii="Arial"/>
                            <w:color w:val="010101"/>
                            <w:w w:val="102"/>
                            <w:sz w:val="26"/>
                          </w:rPr>
                          <w:t>+</w:t>
                        </w:r>
                        <w:r>
                          <w:rPr>
                            <w:rFonts w:ascii="Arial"/>
                            <w:color w:val="010101"/>
                            <w:spacing w:val="47"/>
                            <w:w w:val="102"/>
                            <w:sz w:val="26"/>
                          </w:rPr>
                          <w:t> </w:t>
                        </w:r>
                        <w:r>
                          <w:rPr>
                            <w:rFonts w:ascii="Times New Roman"/>
                            <w:color w:val="010101"/>
                            <w:spacing w:val="6"/>
                            <w:w w:val="86"/>
                            <w:sz w:val="17"/>
                          </w:rPr>
                          <w:t>m.t)</w:t>
                        </w:r>
                      </w:p>
                      <w:p>
                        <w:pPr>
                          <w:pStyle w:val="TableParagraph"/>
                          <w:spacing w:line="98" w:lineRule="exact" w:before="17"/>
                          <w:ind w:right="-28"/>
                          <w:jc w:val="right"/>
                          <w:rPr>
                            <w:rFonts w:ascii="Arial"/>
                            <w:sz w:val="10"/>
                          </w:rPr>
                        </w:pPr>
                        <w:r>
                          <w:rPr>
                            <w:rFonts w:ascii="Arial"/>
                            <w:color w:val="010101"/>
                            <w:w w:val="51"/>
                            <w:sz w:val="10"/>
                          </w:rPr>
                          <w:t>1</w:t>
                        </w:r>
                      </w:p>
                      <w:p>
                        <w:pPr>
                          <w:pStyle w:val="TableParagraph"/>
                          <w:spacing w:line="167" w:lineRule="exact"/>
                          <w:ind w:right="17"/>
                          <w:jc w:val="right"/>
                          <w:rPr>
                            <w:rFonts w:ascii="Times New Roman"/>
                            <w:sz w:val="16"/>
                          </w:rPr>
                        </w:pPr>
                        <w:r>
                          <w:rPr>
                            <w:rFonts w:ascii="Times New Roman"/>
                            <w:color w:val="010101"/>
                            <w:sz w:val="16"/>
                          </w:rPr>
                          <w:t>(14.39)</w:t>
                        </w:r>
                      </w:p>
                    </w:tc>
                    <w:tc>
                      <w:tcPr>
                        <w:tcW w:w="2423" w:type="dxa"/>
                        <w:gridSpan w:val="2"/>
                        <w:tcBorders>
                          <w:bottom w:val="nil"/>
                          <w:right w:val="nil"/>
                        </w:tcBorders>
                      </w:tcPr>
                      <w:p>
                        <w:pPr>
                          <w:pStyle w:val="TableParagraph"/>
                          <w:spacing w:before="89"/>
                          <w:ind w:left="23"/>
                          <w:rPr>
                            <w:rFonts w:ascii="Times New Roman"/>
                            <w:sz w:val="17"/>
                          </w:rPr>
                        </w:pPr>
                        <w:r>
                          <w:rPr>
                            <w:rFonts w:ascii="Times New Roman"/>
                            <w:color w:val="010101"/>
                            <w:w w:val="110"/>
                            <w:sz w:val="17"/>
                          </w:rPr>
                          <w:t>For  two decrementa only:</w:t>
                        </w:r>
                      </w:p>
                      <w:p>
                        <w:pPr>
                          <w:pStyle w:val="TableParagraph"/>
                          <w:spacing w:before="63"/>
                          <w:ind w:left="162"/>
                          <w:jc w:val="center"/>
                          <w:rPr>
                            <w:rFonts w:ascii="Arial" w:hAnsi="Arial"/>
                            <w:sz w:val="14"/>
                          </w:rPr>
                        </w:pPr>
                        <w:r>
                          <w:rPr>
                            <w:rFonts w:ascii="Times New Roman" w:hAnsi="Times New Roman"/>
                            <w:color w:val="010101"/>
                            <w:w w:val="116"/>
                            <w:sz w:val="10"/>
                          </w:rPr>
                          <w:t>(k)</w:t>
                        </w:r>
                        <w:r>
                          <w:rPr>
                            <w:rFonts w:ascii="Times New Roman" w:hAnsi="Times New Roman"/>
                            <w:color w:val="010101"/>
                            <w:sz w:val="10"/>
                          </w:rPr>
                          <w:t>   </w:t>
                        </w:r>
                        <w:r>
                          <w:rPr>
                            <w:rFonts w:ascii="Times New Roman" w:hAnsi="Times New Roman"/>
                            <w:color w:val="010101"/>
                            <w:spacing w:val="-10"/>
                            <w:sz w:val="10"/>
                          </w:rPr>
                          <w:t> </w:t>
                        </w:r>
                        <w:r>
                          <w:rPr>
                            <w:rFonts w:ascii="Times New Roman" w:hAnsi="Times New Roman"/>
                            <w:color w:val="010101"/>
                            <w:w w:val="85"/>
                            <w:sz w:val="10"/>
                          </w:rPr>
                          <w:t>•</w:t>
                        </w:r>
                        <w:r>
                          <w:rPr>
                            <w:rFonts w:ascii="Times New Roman" w:hAnsi="Times New Roman"/>
                            <w:color w:val="010101"/>
                            <w:sz w:val="10"/>
                          </w:rPr>
                          <w:t>      </w:t>
                        </w:r>
                        <w:r>
                          <w:rPr>
                            <w:rFonts w:ascii="Times New Roman" w:hAnsi="Times New Roman"/>
                            <w:color w:val="010101"/>
                            <w:spacing w:val="3"/>
                            <w:sz w:val="10"/>
                          </w:rPr>
                          <w:t> </w:t>
                        </w:r>
                        <w:r>
                          <w:rPr>
                            <w:rFonts w:ascii="Times New Roman" w:hAnsi="Times New Roman"/>
                            <w:i/>
                            <w:color w:val="010101"/>
                            <w:spacing w:val="-1"/>
                            <w:position w:val="-4"/>
                            <w:sz w:val="13"/>
                            <w:u w:val="single" w:color="000000"/>
                          </w:rPr>
                          <w:t> </w:t>
                        </w:r>
                        <w:r>
                          <w:rPr>
                            <w:rFonts w:ascii="Arial" w:hAnsi="Arial"/>
                            <w:i/>
                            <w:color w:val="010101"/>
                            <w:spacing w:val="2"/>
                            <w:w w:val="246"/>
                            <w:sz w:val="10"/>
                          </w:rPr>
                          <w:t>q</w:t>
                        </w:r>
                        <w:r>
                          <w:rPr>
                            <w:rFonts w:ascii="Arial" w:hAnsi="Arial"/>
                            <w:i/>
                            <w:color w:val="010101"/>
                            <w:w w:val="102"/>
                            <w:sz w:val="10"/>
                          </w:rPr>
                          <w:t>(</w:t>
                        </w:r>
                        <w:r>
                          <w:rPr>
                            <w:rFonts w:ascii="Arial" w:hAnsi="Arial"/>
                            <w:i/>
                            <w:color w:val="010101"/>
                            <w:w w:val="102"/>
                            <w:sz w:val="10"/>
                          </w:rPr>
                          <w:t>J,</w:t>
                        </w:r>
                        <w:r>
                          <w:rPr>
                            <w:rFonts w:ascii="Arial" w:hAnsi="Arial"/>
                            <w:i/>
                            <w:color w:val="010101"/>
                            <w:w w:val="102"/>
                            <w:sz w:val="10"/>
                          </w:rPr>
                          <w:t>)</w:t>
                        </w:r>
                        <w:r>
                          <w:rPr>
                            <w:rFonts w:ascii="Arial" w:hAnsi="Arial"/>
                            <w:i/>
                            <w:color w:val="010101"/>
                            <w:spacing w:val="-15"/>
                            <w:sz w:val="10"/>
                          </w:rPr>
                          <w:t> </w:t>
                        </w:r>
                        <w:r>
                          <w:rPr>
                            <w:rFonts w:ascii="Times New Roman" w:hAnsi="Times New Roman"/>
                            <w:color w:val="010101"/>
                            <w:w w:val="98"/>
                            <w:sz w:val="17"/>
                          </w:rPr>
                          <w:t>(1</w:t>
                        </w:r>
                        <w:r>
                          <w:rPr>
                            <w:rFonts w:ascii="Times New Roman" w:hAnsi="Times New Roman"/>
                            <w:color w:val="010101"/>
                            <w:sz w:val="17"/>
                          </w:rPr>
                          <w:t> </w:t>
                        </w:r>
                        <w:r>
                          <w:rPr>
                            <w:rFonts w:ascii="Times New Roman" w:hAnsi="Times New Roman"/>
                            <w:color w:val="010101"/>
                            <w:spacing w:val="-10"/>
                            <w:sz w:val="17"/>
                          </w:rPr>
                          <w:t> </w:t>
                        </w:r>
                        <w:r>
                          <w:rPr>
                            <w:rFonts w:ascii="Times New Roman" w:hAnsi="Times New Roman"/>
                            <w:color w:val="010101"/>
                            <w:w w:val="265"/>
                            <w:sz w:val="17"/>
                          </w:rPr>
                          <w:t>-</w:t>
                        </w:r>
                        <w:r>
                          <w:rPr>
                            <w:rFonts w:ascii="Times New Roman" w:hAnsi="Times New Roman"/>
                            <w:color w:val="010101"/>
                            <w:spacing w:val="11"/>
                            <w:sz w:val="17"/>
                          </w:rPr>
                          <w:t> </w:t>
                        </w:r>
                        <w:r>
                          <w:rPr>
                            <w:rFonts w:ascii="Arial" w:hAnsi="Arial"/>
                            <w:color w:val="010101"/>
                            <w:w w:val="139"/>
                            <w:sz w:val="14"/>
                          </w:rPr>
                          <w:t>J</w:t>
                        </w:r>
                        <w:r>
                          <w:rPr>
                            <w:rFonts w:ascii="Arial" w:hAnsi="Arial"/>
                            <w:color w:val="010101"/>
                            <w:spacing w:val="12"/>
                            <w:w w:val="139"/>
                            <w:sz w:val="14"/>
                          </w:rPr>
                          <w:t>q</w:t>
                        </w:r>
                        <w:r>
                          <w:rPr>
                            <w:rFonts w:ascii="Arial" w:hAnsi="Arial"/>
                            <w:color w:val="010101"/>
                            <w:w w:val="99"/>
                            <w:sz w:val="14"/>
                          </w:rPr>
                          <w:t>(</w:t>
                        </w:r>
                        <w:r>
                          <w:rPr>
                            <w:rFonts w:ascii="Arial" w:hAnsi="Arial"/>
                            <w:color w:val="010101"/>
                            <w:w w:val="99"/>
                            <w:sz w:val="14"/>
                          </w:rPr>
                          <w:t>-4:</w:t>
                        </w:r>
                        <w:r>
                          <w:rPr>
                            <w:rFonts w:ascii="Arial" w:hAnsi="Arial"/>
                            <w:color w:val="010101"/>
                            <w:w w:val="99"/>
                            <w:sz w:val="14"/>
                          </w:rPr>
                          <w:t>))</w:t>
                        </w:r>
                      </w:p>
                      <w:p>
                        <w:pPr>
                          <w:pStyle w:val="TableParagraph"/>
                          <w:spacing w:line="149" w:lineRule="exact" w:before="7"/>
                          <w:jc w:val="center"/>
                          <w:rPr>
                            <w:rFonts w:ascii="Arial"/>
                            <w:sz w:val="11"/>
                          </w:rPr>
                        </w:pPr>
                        <w:r>
                          <w:rPr>
                            <w:rFonts w:ascii="Times New Roman"/>
                            <w:i/>
                            <w:color w:val="010101"/>
                            <w:w w:val="85"/>
                            <w:sz w:val="13"/>
                          </w:rPr>
                          <w:t>q:r      </w:t>
                        </w:r>
                        <w:r>
                          <w:rPr>
                            <w:rFonts w:ascii="Arial"/>
                            <w:color w:val="010101"/>
                            <w:w w:val="85"/>
                            <w:sz w:val="15"/>
                          </w:rPr>
                          <w:t>==:   </w:t>
                        </w:r>
                        <w:r>
                          <w:rPr>
                            <w:rFonts w:ascii="Times New Roman"/>
                            <w:color w:val="010101"/>
                            <w:w w:val="145"/>
                            <w:sz w:val="16"/>
                          </w:rPr>
                          <w:t>1 </w:t>
                        </w:r>
                        <w:r>
                          <w:rPr>
                            <w:rFonts w:ascii="Times New Roman"/>
                            <w:color w:val="010101"/>
                            <w:w w:val="255"/>
                            <w:sz w:val="16"/>
                          </w:rPr>
                          <w:t>- </w:t>
                        </w:r>
                        <w:r>
                          <w:rPr>
                            <w:rFonts w:ascii="Arial"/>
                            <w:color w:val="010101"/>
                            <w:w w:val="200"/>
                            <w:sz w:val="11"/>
                          </w:rPr>
                          <w:t>1 </w:t>
                        </w:r>
                        <w:r>
                          <w:rPr>
                            <w:rFonts w:ascii="Arial"/>
                            <w:color w:val="010101"/>
                            <w:w w:val="145"/>
                            <w:sz w:val="9"/>
                          </w:rPr>
                          <w:t>r(/,)  </w:t>
                        </w:r>
                        <w:r>
                          <w:rPr>
                            <w:rFonts w:ascii="Arial"/>
                            <w:color w:val="010101"/>
                            <w:w w:val="160"/>
                            <w:sz w:val="11"/>
                          </w:rPr>
                          <w:t>'(-k)</w:t>
                        </w:r>
                      </w:p>
                      <w:p>
                        <w:pPr>
                          <w:pStyle w:val="TableParagraph"/>
                          <w:tabs>
                            <w:tab w:pos="1065" w:val="left" w:leader="none"/>
                          </w:tabs>
                          <w:spacing w:line="115" w:lineRule="exact"/>
                          <w:ind w:left="630"/>
                          <w:jc w:val="center"/>
                          <w:rPr>
                            <w:rFonts w:ascii="Times New Roman" w:hAnsi="Times New Roman"/>
                            <w:i/>
                            <w:sz w:val="13"/>
                          </w:rPr>
                        </w:pPr>
                        <w:r>
                          <w:rPr>
                            <w:rFonts w:ascii="Times New Roman" w:hAnsi="Times New Roman"/>
                            <w:i/>
                            <w:color w:val="010101"/>
                            <w:w w:val="105"/>
                            <w:sz w:val="13"/>
                          </w:rPr>
                          <w:t>•Qz</w:t>
                          <w:tab/>
                          <w:t>Qz</w:t>
                        </w:r>
                      </w:p>
                      <w:p>
                        <w:pPr>
                          <w:pStyle w:val="TableParagraph"/>
                          <w:spacing w:before="38"/>
                          <w:ind w:right="5"/>
                          <w:jc w:val="right"/>
                          <w:rPr>
                            <w:rFonts w:ascii="Times New Roman"/>
                            <w:sz w:val="16"/>
                          </w:rPr>
                        </w:pPr>
                        <w:r>
                          <w:rPr>
                            <w:rFonts w:ascii="Times New Roman"/>
                            <w:color w:val="010101"/>
                            <w:w w:val="95"/>
                            <w:sz w:val="16"/>
                          </w:rPr>
                          <w:t>(14.38)</w:t>
                        </w:r>
                      </w:p>
                      <w:p>
                        <w:pPr>
                          <w:pStyle w:val="TableParagraph"/>
                          <w:rPr>
                            <w:rFonts w:ascii="Arial"/>
                            <w:sz w:val="16"/>
                          </w:rPr>
                        </w:pPr>
                      </w:p>
                      <w:p>
                        <w:pPr>
                          <w:pStyle w:val="TableParagraph"/>
                          <w:spacing w:before="8"/>
                          <w:rPr>
                            <w:rFonts w:ascii="Arial"/>
                            <w:sz w:val="17"/>
                          </w:rPr>
                        </w:pPr>
                      </w:p>
                      <w:p>
                        <w:pPr>
                          <w:pStyle w:val="TableParagraph"/>
                          <w:ind w:left="711"/>
                          <w:jc w:val="center"/>
                          <w:rPr>
                            <w:rFonts w:ascii="Times New Roman"/>
                            <w:sz w:val="9"/>
                          </w:rPr>
                        </w:pPr>
                        <w:r>
                          <w:rPr>
                            <w:rFonts w:ascii="Times New Roman"/>
                            <w:color w:val="010101"/>
                            <w:w w:val="120"/>
                            <w:sz w:val="9"/>
                          </w:rPr>
                          <w:t>f(I,)</w:t>
                        </w:r>
                      </w:p>
                      <w:p>
                        <w:pPr>
                          <w:pStyle w:val="TableParagraph"/>
                          <w:tabs>
                            <w:tab w:pos="1385" w:val="left" w:leader="none"/>
                          </w:tabs>
                          <w:spacing w:line="96" w:lineRule="exact" w:before="5"/>
                          <w:ind w:left="695"/>
                          <w:rPr>
                            <w:rFonts w:ascii="Arial"/>
                            <w:i/>
                            <w:sz w:val="10"/>
                          </w:rPr>
                        </w:pPr>
                        <w:r>
                          <w:rPr>
                            <w:rFonts w:ascii="Arial"/>
                            <w:b/>
                            <w:color w:val="010101"/>
                            <w:w w:val="135"/>
                            <w:sz w:val="9"/>
                          </w:rPr>
                          <w:t>(k) </w:t>
                        </w:r>
                        <w:r>
                          <w:rPr>
                            <w:rFonts w:ascii="Arial"/>
                            <w:b/>
                            <w:color w:val="010101"/>
                            <w:spacing w:val="21"/>
                            <w:w w:val="135"/>
                            <w:sz w:val="9"/>
                          </w:rPr>
                          <w:t> </w:t>
                        </w:r>
                        <w:r>
                          <w:rPr>
                            <w:rFonts w:ascii="Arial"/>
                            <w:color w:val="010101"/>
                            <w:w w:val="210"/>
                            <w:sz w:val="9"/>
                          </w:rPr>
                          <w:t>.</w:t>
                          <w:tab/>
                        </w:r>
                        <w:r>
                          <w:rPr>
                            <w:rFonts w:ascii="Arial"/>
                            <w:i/>
                            <w:color w:val="010101"/>
                            <w:w w:val="135"/>
                            <w:sz w:val="10"/>
                          </w:rPr>
                          <w:t>qz</w:t>
                        </w:r>
                      </w:p>
                      <w:p>
                        <w:pPr>
                          <w:pStyle w:val="TableParagraph"/>
                          <w:tabs>
                            <w:tab w:pos="1151" w:val="left" w:leader="none"/>
                          </w:tabs>
                          <w:spacing w:line="168" w:lineRule="exact"/>
                          <w:ind w:left="29"/>
                          <w:jc w:val="center"/>
                          <w:rPr>
                            <w:rFonts w:ascii="Arial"/>
                            <w:i/>
                            <w:sz w:val="17"/>
                          </w:rPr>
                        </w:pPr>
                        <w:r>
                          <w:rPr>
                            <w:rFonts w:ascii="Arial"/>
                            <w:i/>
                            <w:color w:val="010101"/>
                            <w:w w:val="115"/>
                            <w:sz w:val="14"/>
                          </w:rPr>
                          <w:t>m,.    </w:t>
                        </w:r>
                        <w:r>
                          <w:rPr>
                            <w:rFonts w:ascii="Arial"/>
                            <w:color w:val="010101"/>
                            <w:w w:val="115"/>
                            <w:sz w:val="14"/>
                          </w:rPr>
                          <w:t>=:</w:t>
                        </w:r>
                        <w:r>
                          <w:rPr>
                            <w:rFonts w:ascii="Arial"/>
                            <w:color w:val="010101"/>
                            <w:spacing w:val="31"/>
                            <w:w w:val="115"/>
                            <w:sz w:val="14"/>
                          </w:rPr>
                          <w:t> </w:t>
                        </w:r>
                        <w:r>
                          <w:rPr>
                            <w:rFonts w:ascii="Times New Roman"/>
                            <w:b/>
                            <w:color w:val="010101"/>
                            <w:w w:val="115"/>
                            <w:position w:val="-7"/>
                            <w:sz w:val="15"/>
                          </w:rPr>
                          <w:t>1</w:t>
                        </w:r>
                        <w:r>
                          <w:rPr>
                            <w:rFonts w:ascii="Times New Roman"/>
                            <w:b/>
                            <w:color w:val="010101"/>
                            <w:spacing w:val="27"/>
                            <w:w w:val="115"/>
                            <w:position w:val="-7"/>
                            <w:sz w:val="15"/>
                          </w:rPr>
                          <w:t> </w:t>
                        </w:r>
                        <w:r>
                          <w:rPr>
                            <w:rFonts w:ascii="Times New Roman"/>
                            <w:color w:val="010101"/>
                            <w:w w:val="280"/>
                            <w:position w:val="-7"/>
                            <w:sz w:val="15"/>
                          </w:rPr>
                          <w:t>-</w:t>
                          <w:tab/>
                        </w:r>
                        <w:r>
                          <w:rPr>
                            <w:rFonts w:ascii="Arial"/>
                            <w:i/>
                            <w:color w:val="010101"/>
                            <w:w w:val="85"/>
                            <w:sz w:val="17"/>
                          </w:rPr>
                          <w:t>'&lt;k&gt;</w:t>
                        </w:r>
                      </w:p>
                      <w:p>
                        <w:pPr>
                          <w:pStyle w:val="TableParagraph"/>
                          <w:spacing w:line="76" w:lineRule="exact"/>
                          <w:ind w:left="791"/>
                          <w:jc w:val="center"/>
                          <w:rPr>
                            <w:rFonts w:ascii="Times New Roman"/>
                            <w:i/>
                            <w:sz w:val="13"/>
                          </w:rPr>
                        </w:pPr>
                        <w:r>
                          <w:rPr>
                            <w:rFonts w:ascii="Times New Roman"/>
                            <w:i/>
                            <w:color w:val="010101"/>
                            <w:w w:val="115"/>
                            <w:sz w:val="13"/>
                          </w:rPr>
                          <w:t>}qz</w:t>
                        </w:r>
                      </w:p>
                      <w:p>
                        <w:pPr>
                          <w:pStyle w:val="TableParagraph"/>
                          <w:spacing w:before="68"/>
                          <w:jc w:val="right"/>
                          <w:rPr>
                            <w:rFonts w:ascii="Times New Roman"/>
                            <w:sz w:val="15"/>
                          </w:rPr>
                        </w:pPr>
                        <w:r>
                          <w:rPr>
                            <w:rFonts w:ascii="Times New Roman"/>
                            <w:color w:val="010101"/>
                            <w:w w:val="105"/>
                            <w:sz w:val="15"/>
                          </w:rPr>
                          <w:t>(14.40)</w:t>
                        </w:r>
                      </w:p>
                      <w:p>
                        <w:pPr>
                          <w:pStyle w:val="TableParagraph"/>
                          <w:rPr>
                            <w:rFonts w:ascii="Arial"/>
                            <w:sz w:val="14"/>
                          </w:rPr>
                        </w:pPr>
                      </w:p>
                      <w:p>
                        <w:pPr>
                          <w:pStyle w:val="TableParagraph"/>
                          <w:rPr>
                            <w:rFonts w:ascii="Arial"/>
                            <w:sz w:val="14"/>
                          </w:rPr>
                        </w:pPr>
                      </w:p>
                      <w:p>
                        <w:pPr>
                          <w:pStyle w:val="TableParagraph"/>
                          <w:spacing w:before="5"/>
                          <w:rPr>
                            <w:rFonts w:ascii="Arial"/>
                            <w:sz w:val="16"/>
                          </w:rPr>
                        </w:pPr>
                      </w:p>
                      <w:p>
                        <w:pPr>
                          <w:pStyle w:val="TableParagraph"/>
                          <w:spacing w:line="68" w:lineRule="exact"/>
                          <w:ind w:left="95"/>
                          <w:jc w:val="center"/>
                          <w:rPr>
                            <w:rFonts w:ascii="Times New Roman"/>
                            <w:sz w:val="9"/>
                          </w:rPr>
                        </w:pPr>
                        <w:r>
                          <w:rPr>
                            <w:rFonts w:ascii="Times New Roman"/>
                            <w:color w:val="010101"/>
                            <w:w w:val="140"/>
                            <w:sz w:val="9"/>
                          </w:rPr>
                          <w:t>f(k)</w:t>
                        </w:r>
                      </w:p>
                      <w:p>
                        <w:pPr>
                          <w:pStyle w:val="TableParagraph"/>
                          <w:spacing w:line="148" w:lineRule="exact"/>
                          <w:ind w:left="309" w:right="460"/>
                          <w:jc w:val="center"/>
                          <w:rPr>
                            <w:rFonts w:ascii="Times New Roman"/>
                            <w:i/>
                            <w:sz w:val="16"/>
                          </w:rPr>
                        </w:pPr>
                        <w:r>
                          <w:rPr>
                            <w:rFonts w:ascii="Times New Roman"/>
                            <w:i/>
                            <w:color w:val="010101"/>
                            <w:sz w:val="16"/>
                          </w:rPr>
                          <w:t>qz</w:t>
                        </w:r>
                      </w:p>
                    </w:tc>
                  </w:tr>
                </w:tbl>
                <w:p>
                  <w:pPr>
                    <w:pStyle w:val="BodyText"/>
                  </w:pPr>
                </w:p>
              </w:txbxContent>
            </v:textbox>
            <w10:wrap type="none"/>
          </v:shape>
        </w:pict>
      </w:r>
      <w:r>
        <w:rPr>
          <w:rFonts w:ascii="Arial"/>
          <w:color w:val="010101"/>
          <w:w w:val="50"/>
        </w:rPr>
        <w:t>e::</w:t>
      </w:r>
    </w:p>
    <w:p>
      <w:pPr>
        <w:spacing w:line="123" w:lineRule="exact" w:before="0"/>
        <w:ind w:left="0" w:right="141" w:firstLine="0"/>
        <w:jc w:val="right"/>
        <w:rPr>
          <w:rFonts w:ascii="Arial"/>
          <w:sz w:val="13"/>
        </w:rPr>
      </w:pPr>
      <w:r>
        <w:rPr>
          <w:rFonts w:ascii="Arial"/>
          <w:color w:val="010101"/>
          <w:w w:val="60"/>
          <w:sz w:val="13"/>
        </w:rPr>
        <w:t>t:r.l</w:t>
      </w:r>
    </w:p>
    <w:p>
      <w:pPr>
        <w:spacing w:before="56"/>
        <w:ind w:left="0" w:right="152" w:firstLine="0"/>
        <w:jc w:val="right"/>
        <w:rPr>
          <w:rFonts w:ascii="Arial"/>
          <w:i/>
          <w:sz w:val="11"/>
        </w:rPr>
      </w:pPr>
      <w:r>
        <w:rPr>
          <w:rFonts w:ascii="Arial"/>
          <w:i/>
          <w:color w:val="010101"/>
          <w:w w:val="55"/>
          <w:sz w:val="11"/>
        </w:rPr>
        <w:t>r.JJ</w:t>
      </w:r>
    </w:p>
    <w:p>
      <w:pPr>
        <w:pStyle w:val="BodyText"/>
        <w:spacing w:before="2"/>
        <w:rPr>
          <w:rFonts w:ascii="Arial"/>
          <w:i/>
          <w:sz w:val="8"/>
        </w:rPr>
      </w:pPr>
    </w:p>
    <w:p>
      <w:pPr>
        <w:spacing w:line="219" w:lineRule="exact" w:before="0"/>
        <w:ind w:left="0" w:right="142" w:firstLine="0"/>
        <w:jc w:val="right"/>
        <w:rPr>
          <w:sz w:val="22"/>
        </w:rPr>
      </w:pPr>
      <w:r>
        <w:rPr>
          <w:color w:val="010101"/>
          <w:w w:val="109"/>
          <w:sz w:val="22"/>
        </w:rPr>
        <w:t>z</w:t>
      </w:r>
    </w:p>
    <w:p>
      <w:pPr>
        <w:spacing w:line="83" w:lineRule="exact" w:before="0"/>
        <w:ind w:left="0" w:right="133" w:firstLine="0"/>
        <w:jc w:val="right"/>
        <w:rPr>
          <w:rFonts w:ascii="Arial"/>
          <w:sz w:val="14"/>
        </w:rPr>
      </w:pPr>
      <w:r>
        <w:rPr>
          <w:rFonts w:ascii="Arial"/>
          <w:color w:val="010101"/>
          <w:w w:val="170"/>
          <w:sz w:val="14"/>
        </w:rPr>
        <w:t>ti</w:t>
      </w:r>
    </w:p>
    <w:p>
      <w:pPr>
        <w:pStyle w:val="BodyText"/>
        <w:spacing w:line="186" w:lineRule="exact"/>
        <w:ind w:right="247"/>
        <w:jc w:val="right"/>
        <w:rPr>
          <w:rFonts w:ascii="Arial"/>
        </w:rPr>
      </w:pPr>
      <w:r>
        <w:rPr/>
        <w:pict>
          <v:shape style="position:absolute;margin-left:529.606628pt;margin-top:1.884143pt;width:6.3pt;height:16.5pt;mso-position-horizontal-relative:page;mso-position-vertical-relative:paragraph;z-index:-712912" type="#_x0000_t202" filled="false" stroked="false">
            <v:textbox inset="0,0,0,0">
              <w:txbxContent>
                <w:p>
                  <w:pPr>
                    <w:spacing w:line="330" w:lineRule="exact" w:before="0"/>
                    <w:ind w:left="0" w:right="0" w:firstLine="0"/>
                    <w:jc w:val="left"/>
                    <w:rPr>
                      <w:rFonts w:ascii="Arial"/>
                      <w:sz w:val="33"/>
                    </w:rPr>
                  </w:pPr>
                  <w:r>
                    <w:rPr>
                      <w:rFonts w:ascii="Arial"/>
                      <w:color w:val="010101"/>
                      <w:w w:val="64"/>
                      <w:sz w:val="33"/>
                    </w:rPr>
                    <w:t>=</w:t>
                  </w:r>
                </w:p>
              </w:txbxContent>
            </v:textbox>
            <w10:wrap type="none"/>
          </v:shape>
        </w:pict>
      </w:r>
      <w:r>
        <w:rPr>
          <w:rFonts w:ascii="Arial"/>
          <w:color w:val="010101"/>
          <w:spacing w:val="-116"/>
          <w:w w:val="100"/>
        </w:rPr>
        <w:t>&gt;</w:t>
      </w:r>
    </w:p>
    <w:p>
      <w:pPr>
        <w:spacing w:before="27"/>
        <w:ind w:left="0" w:right="134" w:firstLine="0"/>
        <w:jc w:val="right"/>
        <w:rPr>
          <w:rFonts w:ascii="Arial"/>
          <w:sz w:val="14"/>
        </w:rPr>
      </w:pPr>
      <w:r>
        <w:rPr>
          <w:rFonts w:ascii="Arial"/>
          <w:color w:val="010101"/>
          <w:w w:val="160"/>
          <w:sz w:val="14"/>
        </w:rPr>
        <w:t>ti</w:t>
      </w:r>
    </w:p>
    <w:p>
      <w:pPr>
        <w:pStyle w:val="BodyText"/>
        <w:spacing w:line="191" w:lineRule="exact" w:before="5"/>
        <w:ind w:right="127"/>
        <w:jc w:val="right"/>
        <w:rPr>
          <w:rFonts w:ascii="Arial"/>
        </w:rPr>
      </w:pPr>
      <w:r>
        <w:rPr>
          <w:rFonts w:ascii="Arial"/>
          <w:color w:val="010101"/>
          <w:w w:val="104"/>
        </w:rPr>
        <w:t>&gt;</w:t>
      </w:r>
    </w:p>
    <w:p>
      <w:pPr>
        <w:spacing w:line="86" w:lineRule="exact" w:before="0"/>
        <w:ind w:left="0" w:right="122" w:firstLine="0"/>
        <w:jc w:val="right"/>
        <w:rPr>
          <w:sz w:val="13"/>
        </w:rPr>
      </w:pPr>
      <w:r>
        <w:rPr>
          <w:color w:val="010101"/>
          <w:w w:val="125"/>
          <w:sz w:val="13"/>
        </w:rPr>
        <w:t>'t!</w:t>
      </w:r>
    </w:p>
    <w:p>
      <w:pPr>
        <w:spacing w:line="89" w:lineRule="exact" w:before="0"/>
        <w:ind w:left="0" w:right="127" w:firstLine="0"/>
        <w:jc w:val="right"/>
        <w:rPr>
          <w:sz w:val="13"/>
        </w:rPr>
      </w:pPr>
      <w:r>
        <w:rPr>
          <w:color w:val="010101"/>
          <w:w w:val="115"/>
          <w:sz w:val="13"/>
        </w:rPr>
        <w:t>'t!</w:t>
      </w:r>
    </w:p>
    <w:p>
      <w:pPr>
        <w:spacing w:line="81" w:lineRule="exact" w:before="0"/>
        <w:ind w:left="0" w:right="142" w:firstLine="0"/>
        <w:jc w:val="right"/>
        <w:rPr>
          <w:sz w:val="14"/>
        </w:rPr>
      </w:pPr>
      <w:r>
        <w:rPr>
          <w:color w:val="010101"/>
          <w:w w:val="45"/>
          <w:sz w:val="14"/>
        </w:rPr>
        <w:t>::z:,</w:t>
      </w:r>
    </w:p>
    <w:p>
      <w:pPr>
        <w:pStyle w:val="BodyText"/>
        <w:spacing w:line="149" w:lineRule="exact"/>
        <w:ind w:right="130"/>
        <w:jc w:val="right"/>
      </w:pPr>
      <w:r>
        <w:rPr>
          <w:color w:val="010101"/>
          <w:w w:val="123"/>
        </w:rPr>
        <w:t>o</w:t>
      </w:r>
    </w:p>
    <w:p>
      <w:pPr>
        <w:spacing w:line="110" w:lineRule="exact" w:before="0"/>
        <w:ind w:left="0" w:right="128" w:firstLine="0"/>
        <w:jc w:val="right"/>
        <w:rPr>
          <w:rFonts w:ascii="Arial"/>
          <w:sz w:val="16"/>
        </w:rPr>
      </w:pPr>
      <w:r>
        <w:rPr>
          <w:rFonts w:ascii="Arial"/>
          <w:color w:val="010101"/>
          <w:w w:val="90"/>
          <w:sz w:val="16"/>
        </w:rPr>
        <w:t>&gt;I</w:t>
      </w:r>
    </w:p>
    <w:p>
      <w:pPr>
        <w:spacing w:line="198" w:lineRule="exact" w:before="0"/>
        <w:ind w:left="0" w:right="129" w:firstLine="0"/>
        <w:jc w:val="right"/>
        <w:rPr>
          <w:sz w:val="25"/>
        </w:rPr>
      </w:pPr>
      <w:r>
        <w:rPr>
          <w:color w:val="010101"/>
          <w:w w:val="177"/>
          <w:sz w:val="25"/>
        </w:rPr>
        <w:t>i</w:t>
      </w:r>
    </w:p>
    <w:p>
      <w:pPr>
        <w:pStyle w:val="BodyText"/>
        <w:spacing w:line="134" w:lineRule="exact"/>
        <w:ind w:right="127"/>
        <w:jc w:val="right"/>
        <w:rPr>
          <w:rFonts w:ascii="Arial"/>
        </w:rPr>
      </w:pPr>
      <w:r>
        <w:rPr>
          <w:rFonts w:ascii="Arial"/>
          <w:color w:val="010101"/>
          <w:w w:val="104"/>
        </w:rPr>
        <w:t>&gt;</w:t>
      </w:r>
    </w:p>
    <w:p>
      <w:pPr>
        <w:spacing w:line="103" w:lineRule="exact" w:before="0"/>
        <w:ind w:left="0" w:right="145" w:firstLine="0"/>
        <w:jc w:val="right"/>
        <w:rPr>
          <w:sz w:val="16"/>
        </w:rPr>
      </w:pPr>
      <w:r>
        <w:rPr>
          <w:color w:val="010101"/>
          <w:w w:val="237"/>
          <w:sz w:val="16"/>
        </w:rPr>
        <w:t>j</w:t>
      </w:r>
    </w:p>
    <w:p>
      <w:pPr>
        <w:spacing w:line="319" w:lineRule="exact" w:before="0"/>
        <w:ind w:left="0" w:right="133" w:firstLine="0"/>
        <w:jc w:val="right"/>
        <w:rPr>
          <w:sz w:val="23"/>
        </w:rPr>
      </w:pPr>
      <w:r>
        <w:rPr>
          <w:color w:val="010101"/>
          <w:spacing w:val="-134"/>
          <w:w w:val="119"/>
          <w:sz w:val="20"/>
        </w:rPr>
        <w:t>o</w:t>
      </w:r>
      <w:r>
        <w:rPr>
          <w:color w:val="010101"/>
          <w:w w:val="108"/>
          <w:position w:val="-11"/>
          <w:sz w:val="23"/>
        </w:rPr>
        <w:t>z</w:t>
      </w:r>
    </w:p>
    <w:p>
      <w:pPr>
        <w:spacing w:line="223" w:lineRule="exact" w:before="35"/>
        <w:ind w:left="0" w:right="133" w:firstLine="0"/>
        <w:jc w:val="right"/>
        <w:rPr>
          <w:rFonts w:ascii="Arial"/>
          <w:b/>
          <w:sz w:val="13"/>
        </w:rPr>
      </w:pPr>
      <w:r>
        <w:rPr>
          <w:color w:val="010101"/>
          <w:spacing w:val="-127"/>
          <w:w w:val="123"/>
          <w:position w:val="-9"/>
          <w:sz w:val="20"/>
        </w:rPr>
        <w:t>o</w:t>
      </w:r>
      <w:r>
        <w:rPr>
          <w:rFonts w:ascii="Arial"/>
          <w:b/>
          <w:color w:val="010101"/>
          <w:w w:val="65"/>
          <w:sz w:val="13"/>
        </w:rPr>
        <w:t>'</w:t>
      </w:r>
      <w:r>
        <w:rPr>
          <w:rFonts w:ascii="Arial"/>
          <w:b/>
          <w:color w:val="010101"/>
          <w:w w:val="65"/>
          <w:sz w:val="13"/>
        </w:rPr>
        <w:t>llJ</w:t>
      </w:r>
    </w:p>
    <w:p>
      <w:pPr>
        <w:spacing w:line="111" w:lineRule="exact" w:before="0"/>
        <w:ind w:left="0" w:right="134" w:firstLine="0"/>
        <w:jc w:val="right"/>
        <w:rPr>
          <w:sz w:val="14"/>
        </w:rPr>
      </w:pPr>
      <w:r>
        <w:rPr>
          <w:color w:val="010101"/>
          <w:w w:val="50"/>
          <w:sz w:val="14"/>
        </w:rPr>
        <w:t>::z:,</w:t>
      </w:r>
    </w:p>
    <w:p>
      <w:pPr>
        <w:spacing w:line="267" w:lineRule="exact" w:before="0"/>
        <w:ind w:left="0" w:right="139" w:firstLine="0"/>
        <w:jc w:val="right"/>
        <w:rPr>
          <w:rFonts w:ascii="Arial"/>
          <w:sz w:val="15"/>
        </w:rPr>
      </w:pPr>
      <w:r>
        <w:rPr>
          <w:color w:val="010101"/>
          <w:spacing w:val="-121"/>
          <w:w w:val="111"/>
          <w:position w:val="-11"/>
          <w:sz w:val="22"/>
        </w:rPr>
        <w:t>o</w:t>
      </w:r>
      <w:r>
        <w:rPr>
          <w:rFonts w:ascii="Arial"/>
          <w:color w:val="010101"/>
          <w:w w:val="50"/>
          <w:sz w:val="15"/>
        </w:rPr>
        <w:t>a:::</w:t>
      </w:r>
    </w:p>
    <w:p>
      <w:pPr>
        <w:spacing w:line="81" w:lineRule="exact" w:before="0"/>
        <w:ind w:left="0" w:right="140" w:firstLine="0"/>
        <w:jc w:val="right"/>
        <w:rPr>
          <w:sz w:val="13"/>
        </w:rPr>
      </w:pPr>
      <w:r>
        <w:rPr>
          <w:color w:val="010101"/>
          <w:sz w:val="13"/>
        </w:rPr>
        <w:t>t4</w:t>
      </w:r>
    </w:p>
    <w:p>
      <w:pPr>
        <w:spacing w:line="137" w:lineRule="exact" w:before="0"/>
        <w:ind w:left="0" w:right="143" w:firstLine="0"/>
        <w:jc w:val="right"/>
        <w:rPr>
          <w:sz w:val="18"/>
        </w:rPr>
      </w:pPr>
      <w:r>
        <w:rPr>
          <w:color w:val="010101"/>
          <w:w w:val="107"/>
          <w:sz w:val="18"/>
        </w:rPr>
        <w:t>&gt;</w:t>
      </w:r>
    </w:p>
    <w:p>
      <w:pPr>
        <w:spacing w:line="92" w:lineRule="exact" w:before="0"/>
        <w:ind w:left="0" w:right="142" w:firstLine="0"/>
        <w:jc w:val="right"/>
        <w:rPr>
          <w:sz w:val="11"/>
        </w:rPr>
      </w:pPr>
      <w:r>
        <w:rPr>
          <w:color w:val="010101"/>
          <w:w w:val="95"/>
          <w:sz w:val="11"/>
        </w:rPr>
        <w:t>i./l</w:t>
      </w:r>
    </w:p>
    <w:p>
      <w:pPr>
        <w:spacing w:after="0" w:line="92" w:lineRule="exact"/>
        <w:jc w:val="right"/>
        <w:rPr>
          <w:sz w:val="11"/>
        </w:rPr>
        <w:sectPr>
          <w:type w:val="continuous"/>
          <w:pgSz w:w="11340" w:h="7200" w:orient="landscape"/>
          <w:pgMar w:top="1100" w:bottom="0" w:left="720" w:right="500"/>
          <w:cols w:num="2" w:equalWidth="0">
            <w:col w:w="6466" w:space="311"/>
            <w:col w:w="3343"/>
          </w:cols>
        </w:sectPr>
      </w:pPr>
    </w:p>
    <w:p>
      <w:pPr>
        <w:pStyle w:val="BodyText"/>
        <w:spacing w:before="4"/>
        <w:rPr>
          <w:sz w:val="28"/>
        </w:rPr>
      </w:pPr>
    </w:p>
    <w:p>
      <w:pPr>
        <w:pStyle w:val="BodyText"/>
        <w:spacing w:line="20" w:lineRule="exact"/>
        <w:ind w:left="187"/>
        <w:rPr>
          <w:sz w:val="2"/>
        </w:rPr>
      </w:pPr>
      <w:r>
        <w:rPr>
          <w:sz w:val="2"/>
        </w:rPr>
        <w:pict>
          <v:group style="width:460.95pt;height:.550pt;mso-position-horizontal-relative:char;mso-position-vertical-relative:line" coordorigin="0,0" coordsize="9219,11">
            <v:line style="position:absolute" from="6,6" to="9213,6" stroked="true" strokeweight=".539315pt" strokecolor="#000000"/>
          </v:group>
        </w:pict>
      </w:r>
      <w:r>
        <w:rPr>
          <w:sz w:val="2"/>
        </w:rPr>
      </w:r>
    </w:p>
    <w:p>
      <w:pPr>
        <w:pStyle w:val="BodyText"/>
        <w:spacing w:before="11"/>
        <w:rPr>
          <w:sz w:val="29"/>
        </w:rPr>
      </w:pPr>
    </w:p>
    <w:p>
      <w:pPr>
        <w:spacing w:before="85"/>
        <w:ind w:left="0" w:right="99" w:firstLine="0"/>
        <w:jc w:val="right"/>
        <w:rPr>
          <w:rFonts w:ascii="Arial"/>
          <w:sz w:val="12"/>
        </w:rPr>
      </w:pPr>
      <w:r>
        <w:rPr>
          <w:rFonts w:ascii="Arial"/>
          <w:color w:val="010101"/>
          <w:w w:val="115"/>
          <w:sz w:val="12"/>
        </w:rPr>
        <w:t>00</w:t>
      </w:r>
    </w:p>
    <w:p>
      <w:pPr>
        <w:spacing w:after="0"/>
        <w:jc w:val="right"/>
        <w:rPr>
          <w:rFonts w:ascii="Arial"/>
          <w:sz w:val="12"/>
        </w:rPr>
        <w:sectPr>
          <w:type w:val="continuous"/>
          <w:pgSz w:w="11340" w:h="7200" w:orient="landscape"/>
          <w:pgMar w:top="1100" w:bottom="0" w:left="720" w:right="500"/>
        </w:sectPr>
      </w:pPr>
    </w:p>
    <w:p>
      <w:pPr>
        <w:tabs>
          <w:tab w:pos="1690" w:val="left" w:leader="none"/>
          <w:tab w:pos="5247" w:val="left" w:leader="none"/>
        </w:tabs>
        <w:spacing w:before="52"/>
        <w:ind w:left="128" w:right="0" w:firstLine="0"/>
        <w:jc w:val="left"/>
        <w:rPr>
          <w:b/>
          <w:sz w:val="19"/>
        </w:rPr>
      </w:pPr>
      <w:r>
        <w:rPr>
          <w:b/>
          <w:sz w:val="19"/>
        </w:rPr>
        <w:t>284</w:t>
        <w:tab/>
      </w:r>
      <w:r>
        <w:rPr>
          <w:b/>
          <w:sz w:val="15"/>
        </w:rPr>
        <w:t>MULTIPLE-DECREME</w:t>
      </w:r>
      <w:r>
        <w:rPr>
          <w:b/>
          <w:spacing w:val="15"/>
          <w:sz w:val="15"/>
        </w:rPr>
        <w:t> </w:t>
      </w:r>
      <w:r>
        <w:rPr>
          <w:b/>
          <w:sz w:val="15"/>
        </w:rPr>
        <w:t>T   </w:t>
      </w:r>
      <w:r>
        <w:rPr>
          <w:b/>
          <w:spacing w:val="9"/>
          <w:sz w:val="15"/>
        </w:rPr>
        <w:t> </w:t>
      </w:r>
      <w:r>
        <w:rPr>
          <w:b/>
          <w:sz w:val="15"/>
        </w:rPr>
        <w:t>TABLES</w:t>
        <w:tab/>
      </w:r>
      <w:r>
        <w:rPr>
          <w:rFonts w:ascii="Arial"/>
          <w:b/>
          <w:sz w:val="19"/>
        </w:rPr>
        <w:t>[CH.</w:t>
      </w:r>
      <w:r>
        <w:rPr>
          <w:rFonts w:ascii="Arial"/>
          <w:b/>
          <w:spacing w:val="-8"/>
          <w:sz w:val="19"/>
        </w:rPr>
        <w:t> </w:t>
      </w:r>
      <w:r>
        <w:rPr>
          <w:b/>
          <w:sz w:val="19"/>
        </w:rPr>
        <w:t>14</w:t>
      </w:r>
    </w:p>
    <w:p>
      <w:pPr>
        <w:pStyle w:val="BodyText"/>
        <w:spacing w:before="10"/>
        <w:rPr>
          <w:b/>
        </w:rPr>
      </w:pPr>
    </w:p>
    <w:p>
      <w:pPr>
        <w:pStyle w:val="BodyText"/>
        <w:spacing w:line="224" w:lineRule="exact"/>
        <w:ind w:left="135"/>
      </w:pPr>
      <w:r>
        <w:rPr>
          <w:w w:val="105"/>
        </w:rPr>
        <w:t>we have the multiple-decremcnt  relation</w:t>
      </w:r>
    </w:p>
    <w:p>
      <w:pPr>
        <w:spacing w:line="362" w:lineRule="exact" w:before="0"/>
        <w:ind w:left="50" w:right="87" w:firstLine="0"/>
        <w:jc w:val="center"/>
        <w:rPr>
          <w:b/>
          <w:sz w:val="15"/>
        </w:rPr>
      </w:pPr>
      <w:r>
        <w:rPr>
          <w:rFonts w:ascii="Arial" w:hAnsi="Arial"/>
          <w:i/>
          <w:w w:val="150"/>
          <w:sz w:val="14"/>
        </w:rPr>
        <w:t>µ </w:t>
      </w:r>
      <w:r>
        <w:rPr>
          <w:rFonts w:ascii="Arial" w:hAnsi="Arial"/>
          <w:i/>
          <w:sz w:val="14"/>
        </w:rPr>
        <w:t>T)  </w:t>
      </w:r>
      <w:r>
        <w:rPr>
          <w:sz w:val="24"/>
        </w:rPr>
        <w:t>=  </w:t>
      </w:r>
      <w:r>
        <w:rPr>
          <w:rFonts w:ascii="Arial" w:hAnsi="Arial"/>
          <w:w w:val="80"/>
          <w:sz w:val="28"/>
        </w:rPr>
        <w:t>µ.;I) </w:t>
      </w:r>
      <w:r>
        <w:rPr>
          <w:rFonts w:ascii="Arial" w:hAnsi="Arial"/>
          <w:sz w:val="32"/>
        </w:rPr>
        <w:t>+ </w:t>
      </w:r>
      <w:r>
        <w:rPr>
          <w:rFonts w:ascii="Arial" w:hAnsi="Arial"/>
          <w:w w:val="80"/>
          <w:sz w:val="27"/>
        </w:rPr>
        <w:t>µ?) </w:t>
      </w:r>
      <w:r>
        <w:rPr>
          <w:rFonts w:ascii="Arial" w:hAnsi="Arial"/>
          <w:sz w:val="32"/>
        </w:rPr>
        <w:t>+ </w:t>
      </w:r>
      <w:r>
        <w:rPr>
          <w:rFonts w:ascii="Arial" w:hAnsi="Arial"/>
          <w:w w:val="80"/>
          <w:sz w:val="32"/>
        </w:rPr>
        <w:t>' . . </w:t>
      </w:r>
      <w:r>
        <w:rPr>
          <w:rFonts w:ascii="Arial" w:hAnsi="Arial"/>
          <w:sz w:val="32"/>
        </w:rPr>
        <w:t>+</w:t>
      </w:r>
      <w:r>
        <w:rPr>
          <w:rFonts w:ascii="Arial" w:hAnsi="Arial"/>
          <w:spacing w:val="73"/>
          <w:sz w:val="32"/>
        </w:rPr>
        <w:t> </w:t>
      </w:r>
      <w:r>
        <w:rPr>
          <w:b/>
          <w:spacing w:val="-3"/>
          <w:sz w:val="15"/>
        </w:rPr>
        <w:t>µ;m).</w:t>
      </w:r>
    </w:p>
    <w:p>
      <w:pPr>
        <w:pStyle w:val="BodyText"/>
        <w:spacing w:line="247" w:lineRule="auto" w:before="117"/>
        <w:ind w:left="132" w:right="136" w:firstLine="205"/>
        <w:jc w:val="both"/>
      </w:pPr>
      <w:r>
        <w:rPr/>
        <w:drawing>
          <wp:anchor distT="0" distB="0" distL="0" distR="0" allowOverlap="1" layoutInCell="1" locked="0" behindDoc="0" simplePos="0" relativeHeight="23200">
            <wp:simplePos x="0" y="0"/>
            <wp:positionH relativeFrom="page">
              <wp:posOffset>1280160</wp:posOffset>
            </wp:positionH>
            <wp:positionV relativeFrom="paragraph">
              <wp:posOffset>758859</wp:posOffset>
            </wp:positionV>
            <wp:extent cx="2075687" cy="292608"/>
            <wp:effectExtent l="0" t="0" r="0" b="0"/>
            <wp:wrapTopAndBottom/>
            <wp:docPr id="695" name="image354.png" descr=""/>
            <wp:cNvGraphicFramePr>
              <a:graphicFrameLocks noChangeAspect="1"/>
            </wp:cNvGraphicFramePr>
            <a:graphic>
              <a:graphicData uri="http://schemas.openxmlformats.org/drawingml/2006/picture">
                <pic:pic>
                  <pic:nvPicPr>
                    <pic:cNvPr id="696" name="image354.png"/>
                    <pic:cNvPicPr/>
                  </pic:nvPicPr>
                  <pic:blipFill>
                    <a:blip r:embed="rId358" cstate="print"/>
                    <a:stretch>
                      <a:fillRect/>
                    </a:stretch>
                  </pic:blipFill>
                  <pic:spPr>
                    <a:xfrm>
                      <a:off x="0" y="0"/>
                      <a:ext cx="2075687" cy="292608"/>
                    </a:xfrm>
                    <a:prstGeom prst="rect">
                      <a:avLst/>
                    </a:prstGeom>
                  </pic:spPr>
                </pic:pic>
              </a:graphicData>
            </a:graphic>
          </wp:anchor>
        </w:drawing>
      </w:r>
      <w:r>
        <w:rPr>
          <w:w w:val="105"/>
          <w:sz w:val="21"/>
        </w:rPr>
        <w:t>In </w:t>
      </w:r>
      <w:r>
        <w:rPr>
          <w:w w:val="105"/>
        </w:rPr>
        <w:t>the joint-life mortality table, it is not  customary  to tabulate thc numbcr of failures due to the death of a specified life. However, if it wcrc desirc&lt;l to exprcss the number of failures in a year due to the dcath of  </w:t>
      </w:r>
      <w:r>
        <w:rPr>
          <w:w w:val="105"/>
          <w:sz w:val="19"/>
        </w:rPr>
        <w:t>(xi ), </w:t>
      </w:r>
      <w:r>
        <w:rPr>
          <w:w w:val="105"/>
        </w:rPr>
        <w:t>the formula would </w:t>
      </w:r>
      <w:r>
        <w:rPr>
          <w:spacing w:val="52"/>
          <w:w w:val="105"/>
        </w:rPr>
        <w:t> </w:t>
      </w:r>
      <w:r>
        <w:rPr>
          <w:w w:val="105"/>
        </w:rPr>
        <w:t>be</w:t>
      </w:r>
    </w:p>
    <w:p>
      <w:pPr>
        <w:pStyle w:val="BodyText"/>
        <w:spacing w:before="115"/>
        <w:ind w:left="124"/>
      </w:pPr>
      <w:r>
        <w:rPr>
          <w:w w:val="105"/>
        </w:rPr>
        <w:t>just  ns thc rrumber of dccrements due to cause  </w:t>
      </w:r>
      <w:r>
        <w:rPr>
          <w:w w:val="105"/>
          <w:sz w:val="19"/>
        </w:rPr>
        <w:t>(1) </w:t>
      </w:r>
      <w:r>
        <w:rPr>
          <w:w w:val="105"/>
        </w:rPr>
        <w:t>is givcn  by</w:t>
      </w:r>
    </w:p>
    <w:p>
      <w:pPr>
        <w:spacing w:line="42" w:lineRule="exact" w:before="111"/>
        <w:ind w:left="0" w:right="178" w:firstLine="0"/>
        <w:jc w:val="center"/>
        <w:rPr>
          <w:rFonts w:ascii="Courier New"/>
          <w:sz w:val="13"/>
        </w:rPr>
      </w:pPr>
      <w:r>
        <w:rPr/>
        <w:pict>
          <v:shape style="position:absolute;margin-left:168.839996pt;margin-top:7.668654pt;width:42.65pt;height:24.5pt;mso-position-horizontal-relative:page;mso-position-vertical-relative:paragraph;z-index:-712792" type="#_x0000_t202" filled="false" stroked="false">
            <v:textbox inset="0,0,0,0">
              <w:txbxContent>
                <w:p>
                  <w:pPr>
                    <w:spacing w:line="490" w:lineRule="exact" w:before="0"/>
                    <w:ind w:left="0" w:right="-18" w:firstLine="0"/>
                    <w:jc w:val="left"/>
                    <w:rPr>
                      <w:b/>
                      <w:sz w:val="11"/>
                    </w:rPr>
                  </w:pPr>
                  <w:r>
                    <w:rPr>
                      <w:rFonts w:ascii="Arial"/>
                      <w:w w:val="125"/>
                      <w:position w:val="-21"/>
                      <w:sz w:val="49"/>
                    </w:rPr>
                    <w:t>1</w:t>
                  </w:r>
                  <w:r>
                    <w:rPr>
                      <w:rFonts w:ascii="Arial"/>
                      <w:spacing w:val="-115"/>
                      <w:w w:val="125"/>
                      <w:position w:val="-21"/>
                      <w:sz w:val="49"/>
                    </w:rPr>
                    <w:t> </w:t>
                  </w:r>
                  <w:r>
                    <w:rPr>
                      <w:b/>
                      <w:w w:val="125"/>
                      <w:sz w:val="11"/>
                    </w:rPr>
                    <w:t>{T)   (1)</w:t>
                  </w:r>
                </w:p>
              </w:txbxContent>
            </v:textbox>
            <w10:wrap type="none"/>
          </v:shape>
        </w:pict>
      </w:r>
      <w:r>
        <w:rPr>
          <w:rFonts w:ascii="Courier New"/>
          <w:w w:val="78"/>
          <w:sz w:val="13"/>
        </w:rPr>
        <w:t>1</w:t>
      </w:r>
    </w:p>
    <w:p>
      <w:pPr>
        <w:spacing w:after="0" w:line="42" w:lineRule="exact"/>
        <w:jc w:val="center"/>
        <w:rPr>
          <w:rFonts w:ascii="Courier New"/>
          <w:sz w:val="13"/>
        </w:rPr>
        <w:sectPr>
          <w:pgSz w:w="7200" w:h="11340"/>
          <w:pgMar w:top="500" w:bottom="280" w:left="660" w:right="540"/>
        </w:sectPr>
      </w:pPr>
    </w:p>
    <w:p>
      <w:pPr>
        <w:spacing w:line="89" w:lineRule="exact" w:before="87"/>
        <w:ind w:left="0" w:right="239" w:firstLine="0"/>
        <w:jc w:val="right"/>
        <w:rPr>
          <w:rFonts w:ascii="Arial"/>
          <w:b/>
          <w:sz w:val="10"/>
        </w:rPr>
      </w:pPr>
      <w:r>
        <w:rPr/>
        <w:pict>
          <v:shape style="position:absolute;margin-left:157.139999pt;margin-top:6.530875pt;width:6.3pt;height:10.5pt;mso-position-horizontal-relative:page;mso-position-vertical-relative:paragraph;z-index:23248" type="#_x0000_t202" filled="false" stroked="false">
            <v:textbox inset="0,0,0,0">
              <w:txbxContent>
                <w:p>
                  <w:pPr>
                    <w:spacing w:line="210" w:lineRule="exact" w:before="0"/>
                    <w:ind w:left="0" w:right="0" w:firstLine="0"/>
                    <w:jc w:val="left"/>
                    <w:rPr>
                      <w:sz w:val="21"/>
                    </w:rPr>
                  </w:pPr>
                  <w:r>
                    <w:rPr>
                      <w:w w:val="105"/>
                      <w:sz w:val="21"/>
                    </w:rPr>
                    <w:t>=</w:t>
                  </w:r>
                </w:p>
              </w:txbxContent>
            </v:textbox>
            <w10:wrap type="none"/>
          </v:shape>
        </w:pict>
      </w:r>
      <w:r>
        <w:rPr>
          <w:rFonts w:ascii="Arial"/>
          <w:b/>
          <w:w w:val="115"/>
          <w:sz w:val="10"/>
        </w:rPr>
        <w:t>(1)</w:t>
      </w:r>
    </w:p>
    <w:p>
      <w:pPr>
        <w:spacing w:line="158" w:lineRule="exact" w:before="0"/>
        <w:ind w:left="0" w:right="347" w:firstLine="0"/>
        <w:jc w:val="right"/>
        <w:rPr>
          <w:b/>
          <w:i/>
          <w:sz w:val="16"/>
        </w:rPr>
      </w:pPr>
      <w:r>
        <w:rPr>
          <w:b/>
          <w:i/>
          <w:w w:val="90"/>
          <w:sz w:val="16"/>
        </w:rPr>
        <w:t>dx</w:t>
      </w:r>
    </w:p>
    <w:p>
      <w:pPr>
        <w:spacing w:line="222" w:lineRule="exact" w:before="113"/>
        <w:ind w:left="342" w:right="0" w:firstLine="0"/>
        <w:jc w:val="left"/>
        <w:rPr>
          <w:b/>
          <w:i/>
          <w:sz w:val="20"/>
        </w:rPr>
      </w:pPr>
      <w:r>
        <w:rPr/>
        <w:br w:type="column"/>
      </w:r>
      <w:r>
        <w:rPr>
          <w:b/>
          <w:i/>
          <w:w w:val="85"/>
          <w:sz w:val="16"/>
        </w:rPr>
        <w:t>l.:,+ t µx+ t  </w:t>
      </w:r>
      <w:r>
        <w:rPr>
          <w:b/>
          <w:i/>
          <w:w w:val="85"/>
          <w:sz w:val="20"/>
        </w:rPr>
        <w:t>dt .</w:t>
      </w:r>
    </w:p>
    <w:p>
      <w:pPr>
        <w:spacing w:line="118" w:lineRule="exact" w:before="0"/>
        <w:ind w:left="147" w:right="0" w:firstLine="0"/>
        <w:jc w:val="left"/>
        <w:rPr>
          <w:rFonts w:ascii="Arial"/>
          <w:sz w:val="11"/>
        </w:rPr>
      </w:pPr>
      <w:r>
        <w:rPr>
          <w:rFonts w:ascii="Arial"/>
          <w:w w:val="109"/>
          <w:sz w:val="11"/>
        </w:rPr>
        <w:t>0</w:t>
      </w:r>
    </w:p>
    <w:p>
      <w:pPr>
        <w:spacing w:after="0" w:line="118" w:lineRule="exact"/>
        <w:jc w:val="left"/>
        <w:rPr>
          <w:rFonts w:ascii="Arial"/>
          <w:sz w:val="11"/>
        </w:rPr>
        <w:sectPr>
          <w:type w:val="continuous"/>
          <w:pgSz w:w="7200" w:h="11340"/>
          <w:pgMar w:top="1100" w:bottom="0" w:left="660" w:right="540"/>
          <w:cols w:num="2" w:equalWidth="0">
            <w:col w:w="2609" w:space="40"/>
            <w:col w:w="3351"/>
          </w:cols>
        </w:sectPr>
      </w:pPr>
    </w:p>
    <w:p>
      <w:pPr>
        <w:pStyle w:val="BodyText"/>
        <w:spacing w:before="132"/>
        <w:ind w:left="121"/>
      </w:pPr>
      <w:r>
        <w:rPr/>
        <w:drawing>
          <wp:anchor distT="0" distB="0" distL="0" distR="0" allowOverlap="1" layoutInCell="1" locked="0" behindDoc="0" simplePos="0" relativeHeight="23224">
            <wp:simplePos x="0" y="0"/>
            <wp:positionH relativeFrom="page">
              <wp:posOffset>1444752</wp:posOffset>
            </wp:positionH>
            <wp:positionV relativeFrom="paragraph">
              <wp:posOffset>309828</wp:posOffset>
            </wp:positionV>
            <wp:extent cx="1728215" cy="292608"/>
            <wp:effectExtent l="0" t="0" r="0" b="0"/>
            <wp:wrapTopAndBottom/>
            <wp:docPr id="697" name="image355.png" descr=""/>
            <wp:cNvGraphicFramePr>
              <a:graphicFrameLocks noChangeAspect="1"/>
            </wp:cNvGraphicFramePr>
            <a:graphic>
              <a:graphicData uri="http://schemas.openxmlformats.org/drawingml/2006/picture">
                <pic:pic>
                  <pic:nvPicPr>
                    <pic:cNvPr id="698" name="image355.png"/>
                    <pic:cNvPicPr/>
                  </pic:nvPicPr>
                  <pic:blipFill>
                    <a:blip r:embed="rId359" cstate="print"/>
                    <a:stretch>
                      <a:fillRect/>
                    </a:stretch>
                  </pic:blipFill>
                  <pic:spPr>
                    <a:xfrm>
                      <a:off x="0" y="0"/>
                      <a:ext cx="1728215" cy="292608"/>
                    </a:xfrm>
                    <a:prstGeom prst="rect">
                      <a:avLst/>
                    </a:prstGeom>
                  </pic:spPr>
                </pic:pic>
              </a:graphicData>
            </a:graphic>
          </wp:anchor>
        </w:drawing>
      </w:r>
      <w:r>
        <w:rPr>
          <w:w w:val="105"/>
        </w:rPr>
        <w:t>Also, the contingent  probability</w:t>
      </w:r>
    </w:p>
    <w:p>
      <w:pPr>
        <w:pStyle w:val="BodyText"/>
        <w:spacing w:before="119"/>
        <w:ind w:left="124"/>
      </w:pPr>
      <w:r>
        <w:rPr>
          <w:w w:val="105"/>
        </w:rPr>
        <w:t>is analogous to the multiple-decremcnt  probability</w:t>
      </w:r>
    </w:p>
    <w:p>
      <w:pPr>
        <w:tabs>
          <w:tab w:pos="497" w:val="left" w:leader="none"/>
          <w:tab w:pos="961" w:val="left" w:leader="none"/>
        </w:tabs>
        <w:spacing w:line="237" w:lineRule="exact" w:before="30"/>
        <w:ind w:left="11" w:right="0" w:firstLine="0"/>
        <w:jc w:val="center"/>
        <w:rPr>
          <w:b/>
          <w:i/>
          <w:sz w:val="20"/>
        </w:rPr>
      </w:pPr>
      <w:r>
        <w:rPr>
          <w:w w:val="120"/>
          <w:sz w:val="10"/>
        </w:rPr>
        <w:t>(1)</w:t>
      </w:r>
      <w:r>
        <w:rPr>
          <w:sz w:val="10"/>
        </w:rPr>
        <w:tab/>
      </w:r>
      <w:r>
        <w:rPr>
          <w:b/>
          <w:spacing w:val="-23"/>
          <w:w w:val="114"/>
          <w:sz w:val="33"/>
        </w:rPr>
        <w:t>1</w:t>
      </w:r>
      <w:r>
        <w:rPr>
          <w:b/>
          <w:w w:val="35"/>
          <w:sz w:val="33"/>
        </w:rPr>
        <w:t>1</w:t>
      </w:r>
      <w:r>
        <w:rPr>
          <w:b/>
          <w:sz w:val="33"/>
        </w:rPr>
        <w:tab/>
      </w:r>
      <w:r>
        <w:rPr>
          <w:b/>
          <w:w w:val="101"/>
          <w:sz w:val="11"/>
        </w:rPr>
        <w:t>(</w:t>
      </w:r>
      <w:r>
        <w:rPr>
          <w:b/>
          <w:spacing w:val="3"/>
          <w:sz w:val="11"/>
        </w:rPr>
        <w:t> </w:t>
      </w:r>
      <w:r>
        <w:rPr>
          <w:b/>
          <w:w w:val="103"/>
          <w:sz w:val="11"/>
        </w:rPr>
        <w:t>T</w:t>
      </w:r>
      <w:r>
        <w:rPr>
          <w:b/>
          <w:w w:val="103"/>
          <w:sz w:val="11"/>
        </w:rPr>
        <w:t>)</w:t>
      </w:r>
      <w:r>
        <w:rPr>
          <w:b/>
          <w:sz w:val="11"/>
        </w:rPr>
        <w:t>    </w:t>
      </w:r>
      <w:r>
        <w:rPr>
          <w:b/>
          <w:spacing w:val="-4"/>
          <w:sz w:val="11"/>
        </w:rPr>
        <w:t> </w:t>
      </w:r>
      <w:r>
        <w:rPr>
          <w:b/>
          <w:w w:val="42"/>
          <w:sz w:val="33"/>
        </w:rPr>
        <w:t>(1)</w:t>
      </w:r>
      <w:r>
        <w:rPr>
          <w:b/>
          <w:spacing w:val="32"/>
          <w:sz w:val="33"/>
        </w:rPr>
        <w:t> </w:t>
      </w:r>
      <w:r>
        <w:rPr>
          <w:b/>
          <w:i/>
          <w:w w:val="88"/>
          <w:sz w:val="20"/>
        </w:rPr>
        <w:t>dt</w:t>
      </w:r>
    </w:p>
    <w:p>
      <w:pPr>
        <w:spacing w:after="0" w:line="237" w:lineRule="exact"/>
        <w:jc w:val="center"/>
        <w:rPr>
          <w:sz w:val="20"/>
        </w:rPr>
        <w:sectPr>
          <w:type w:val="continuous"/>
          <w:pgSz w:w="7200" w:h="11340"/>
          <w:pgMar w:top="1100" w:bottom="0" w:left="660" w:right="540"/>
        </w:sectPr>
      </w:pPr>
    </w:p>
    <w:p>
      <w:pPr>
        <w:tabs>
          <w:tab w:pos="367" w:val="left" w:leader="none"/>
        </w:tabs>
        <w:spacing w:line="245" w:lineRule="exact" w:before="0"/>
        <w:ind w:left="0" w:right="0" w:firstLine="0"/>
        <w:jc w:val="right"/>
        <w:rPr>
          <w:sz w:val="24"/>
        </w:rPr>
      </w:pPr>
      <w:r>
        <w:rPr>
          <w:b/>
          <w:i/>
          <w:sz w:val="16"/>
        </w:rPr>
        <w:t>qx</w:t>
        <w:tab/>
      </w:r>
      <w:r>
        <w:rPr>
          <w:spacing w:val="-1"/>
          <w:w w:val="95"/>
          <w:sz w:val="24"/>
        </w:rPr>
        <w:t>=</w:t>
      </w:r>
    </w:p>
    <w:p>
      <w:pPr>
        <w:pStyle w:val="BodyText"/>
        <w:spacing w:before="5"/>
      </w:pPr>
    </w:p>
    <w:p>
      <w:pPr>
        <w:pStyle w:val="ListParagraph"/>
        <w:numPr>
          <w:ilvl w:val="0"/>
          <w:numId w:val="128"/>
        </w:numPr>
        <w:tabs>
          <w:tab w:pos="348" w:val="left" w:leader="none"/>
        </w:tabs>
        <w:spacing w:line="240" w:lineRule="auto" w:before="0" w:after="0"/>
        <w:ind w:left="348" w:right="21" w:hanging="238"/>
        <w:jc w:val="right"/>
        <w:rPr>
          <w:b/>
          <w:sz w:val="19"/>
        </w:rPr>
      </w:pPr>
      <w:r>
        <w:rPr>
          <w:b/>
          <w:w w:val="115"/>
          <w:sz w:val="19"/>
        </w:rPr>
        <w:t>Monetary </w:t>
      </w:r>
      <w:r>
        <w:rPr>
          <w:b/>
          <w:spacing w:val="13"/>
          <w:w w:val="115"/>
          <w:sz w:val="19"/>
        </w:rPr>
        <w:t> </w:t>
      </w:r>
      <w:r>
        <w:rPr>
          <w:b/>
          <w:w w:val="115"/>
          <w:sz w:val="19"/>
        </w:rPr>
        <w:t>applications</w:t>
      </w:r>
    </w:p>
    <w:p>
      <w:pPr>
        <w:tabs>
          <w:tab w:pos="1244" w:val="left" w:leader="none"/>
        </w:tabs>
        <w:spacing w:line="176" w:lineRule="exact" w:before="43"/>
        <w:ind w:left="304" w:right="0" w:firstLine="0"/>
        <w:jc w:val="left"/>
        <w:rPr>
          <w:sz w:val="16"/>
        </w:rPr>
      </w:pPr>
      <w:r>
        <w:rPr/>
        <w:br w:type="column"/>
      </w:r>
      <w:r>
        <w:rPr>
          <w:b/>
          <w:i/>
          <w:w w:val="90"/>
          <w:sz w:val="16"/>
        </w:rPr>
        <w:t>tPx   </w:t>
      </w:r>
      <w:r>
        <w:rPr>
          <w:b/>
          <w:i/>
          <w:spacing w:val="30"/>
          <w:w w:val="90"/>
          <w:sz w:val="16"/>
        </w:rPr>
        <w:t> </w:t>
      </w:r>
      <w:r>
        <w:rPr>
          <w:b/>
          <w:i/>
          <w:w w:val="90"/>
          <w:sz w:val="16"/>
        </w:rPr>
        <w:t>µx+</w:t>
      </w:r>
      <w:r>
        <w:rPr>
          <w:b/>
          <w:i/>
          <w:spacing w:val="5"/>
          <w:w w:val="90"/>
          <w:sz w:val="16"/>
        </w:rPr>
        <w:t> </w:t>
      </w:r>
      <w:r>
        <w:rPr>
          <w:b/>
          <w:i/>
          <w:w w:val="90"/>
          <w:sz w:val="16"/>
        </w:rPr>
        <w:t>t</w:t>
        <w:tab/>
      </w:r>
      <w:r>
        <w:rPr>
          <w:w w:val="90"/>
          <w:sz w:val="16"/>
        </w:rPr>
        <w:t>•</w:t>
      </w:r>
    </w:p>
    <w:p>
      <w:pPr>
        <w:spacing w:line="119" w:lineRule="exact" w:before="0"/>
        <w:ind w:left="110" w:right="0" w:firstLine="0"/>
        <w:jc w:val="left"/>
        <w:rPr>
          <w:rFonts w:ascii="Arial"/>
          <w:sz w:val="11"/>
        </w:rPr>
      </w:pPr>
      <w:r>
        <w:rPr>
          <w:rFonts w:ascii="Arial"/>
          <w:w w:val="102"/>
          <w:sz w:val="11"/>
        </w:rPr>
        <w:t>0</w:t>
      </w:r>
    </w:p>
    <w:p>
      <w:pPr>
        <w:spacing w:after="0" w:line="119" w:lineRule="exact"/>
        <w:jc w:val="left"/>
        <w:rPr>
          <w:rFonts w:ascii="Arial"/>
          <w:sz w:val="11"/>
        </w:rPr>
        <w:sectPr>
          <w:type w:val="continuous"/>
          <w:pgSz w:w="7200" w:h="11340"/>
          <w:pgMar w:top="1100" w:bottom="0" w:left="660" w:right="540"/>
          <w:cols w:num="2" w:equalWidth="0">
            <w:col w:w="2547" w:space="78"/>
            <w:col w:w="3375"/>
          </w:cols>
        </w:sectPr>
      </w:pPr>
    </w:p>
    <w:p>
      <w:pPr>
        <w:pStyle w:val="BodyText"/>
        <w:spacing w:line="252" w:lineRule="auto" w:before="85"/>
        <w:ind w:left="110" w:right="127" w:firstLine="201"/>
        <w:jc w:val="both"/>
      </w:pPr>
      <w:r>
        <w:rPr>
          <w:w w:val="105"/>
        </w:rPr>
        <w:t>The probabilities of the multiple-decrement table may be com­ bined with compound interest functions to  produce  monetary values in accordance with the usual principles. The process 1s facilitated  by the definition  of special commutation functions.</w:t>
      </w:r>
    </w:p>
    <w:p>
      <w:pPr>
        <w:spacing w:after="0" w:line="252" w:lineRule="auto"/>
        <w:jc w:val="both"/>
        <w:sectPr>
          <w:type w:val="continuous"/>
          <w:pgSz w:w="7200" w:h="11340"/>
          <w:pgMar w:top="1100" w:bottom="0" w:left="660" w:right="540"/>
        </w:sectPr>
      </w:pPr>
    </w:p>
    <w:p>
      <w:pPr>
        <w:tabs>
          <w:tab w:pos="2803" w:val="left" w:leader="none"/>
        </w:tabs>
        <w:spacing w:before="141"/>
        <w:ind w:left="859" w:right="0" w:firstLine="0"/>
        <w:jc w:val="left"/>
        <w:rPr>
          <w:sz w:val="20"/>
        </w:rPr>
      </w:pPr>
      <w:r>
        <w:rPr>
          <w:w w:val="105"/>
          <w:sz w:val="20"/>
        </w:rPr>
        <w:t>Let </w:t>
      </w:r>
      <w:r>
        <w:rPr>
          <w:i/>
          <w:w w:val="105"/>
          <w:sz w:val="21"/>
        </w:rPr>
        <w:t>vrl; </w:t>
      </w:r>
      <w:r>
        <w:rPr>
          <w:w w:val="105"/>
          <w:sz w:val="11"/>
        </w:rPr>
        <w:t>T)    </w:t>
      </w:r>
      <w:r>
        <w:rPr>
          <w:w w:val="105"/>
          <w:sz w:val="23"/>
        </w:rPr>
        <w:t>=  </w:t>
      </w:r>
      <w:r>
        <w:rPr>
          <w:i/>
          <w:w w:val="105"/>
          <w:sz w:val="21"/>
        </w:rPr>
        <w:t>D;</w:t>
      </w:r>
      <w:r>
        <w:rPr>
          <w:i/>
          <w:spacing w:val="-37"/>
          <w:w w:val="105"/>
          <w:sz w:val="21"/>
        </w:rPr>
        <w:t> </w:t>
      </w:r>
      <w:r>
        <w:rPr>
          <w:w w:val="105"/>
          <w:sz w:val="11"/>
        </w:rPr>
        <w:t>Tl </w:t>
      </w:r>
      <w:r>
        <w:rPr>
          <w:spacing w:val="19"/>
          <w:w w:val="105"/>
          <w:sz w:val="11"/>
        </w:rPr>
        <w:t> </w:t>
      </w:r>
      <w:r>
        <w:rPr>
          <w:w w:val="105"/>
          <w:sz w:val="11"/>
        </w:rPr>
        <w:t>·</w:t>
        <w:tab/>
      </w:r>
      <w:r>
        <w:rPr>
          <w:w w:val="105"/>
          <w:sz w:val="20"/>
        </w:rPr>
        <w:t>and</w:t>
      </w:r>
    </w:p>
    <w:p>
      <w:pPr>
        <w:pStyle w:val="BodyText"/>
        <w:spacing w:before="7"/>
        <w:rPr>
          <w:sz w:val="7"/>
        </w:rPr>
      </w:pPr>
      <w:r>
        <w:rPr/>
        <w:br w:type="column"/>
      </w:r>
      <w:r>
        <w:rPr>
          <w:sz w:val="7"/>
        </w:rPr>
      </w:r>
    </w:p>
    <w:p>
      <w:pPr>
        <w:spacing w:before="0"/>
        <w:ind w:left="496" w:right="0" w:firstLine="0"/>
        <w:jc w:val="left"/>
        <w:rPr>
          <w:b/>
          <w:sz w:val="6"/>
        </w:rPr>
      </w:pPr>
      <w:r>
        <w:rPr>
          <w:b/>
          <w:w w:val="105"/>
          <w:sz w:val="6"/>
        </w:rPr>
        <w:t>O()</w:t>
      </w:r>
    </w:p>
    <w:p>
      <w:pPr>
        <w:pStyle w:val="BodyText"/>
        <w:spacing w:before="2"/>
        <w:rPr>
          <w:b/>
          <w:sz w:val="5"/>
        </w:rPr>
      </w:pPr>
    </w:p>
    <w:p>
      <w:pPr>
        <w:spacing w:line="104" w:lineRule="exact" w:before="0"/>
        <w:ind w:left="395" w:right="0" w:firstLine="0"/>
        <w:jc w:val="left"/>
        <w:rPr>
          <w:rFonts w:ascii="Arial"/>
          <w:i/>
          <w:sz w:val="11"/>
        </w:rPr>
      </w:pPr>
      <w:r>
        <w:rPr/>
        <w:pict>
          <v:shape style="position:absolute;margin-left:231.839996pt;margin-top:3.221548pt;width:26.8pt;height:8pt;mso-position-horizontal-relative:page;mso-position-vertical-relative:paragraph;z-index:-712768" type="#_x0000_t202" filled="false" stroked="false">
            <v:textbox inset="0,0,0,0">
              <w:txbxContent>
                <w:p>
                  <w:pPr>
                    <w:spacing w:line="160" w:lineRule="exact" w:before="0"/>
                    <w:ind w:left="0" w:right="-15" w:firstLine="0"/>
                    <w:jc w:val="left"/>
                    <w:rPr>
                      <w:sz w:val="16"/>
                    </w:rPr>
                  </w:pPr>
                  <w:r>
                    <w:rPr>
                      <w:b/>
                      <w:i/>
                      <w:sz w:val="16"/>
                    </w:rPr>
                    <w:t>x+ t   </w:t>
                  </w:r>
                  <w:r>
                    <w:rPr>
                      <w:w w:val="290"/>
                      <w:sz w:val="16"/>
                    </w:rPr>
                    <w:t>-</w:t>
                  </w:r>
                </w:p>
              </w:txbxContent>
            </v:textbox>
            <w10:wrap type="none"/>
          </v:shape>
        </w:pict>
      </w:r>
      <w:r>
        <w:rPr>
          <w:rFonts w:ascii="Arial"/>
          <w:i/>
          <w:w w:val="580"/>
          <w:sz w:val="11"/>
        </w:rPr>
        <w:t>"</w:t>
      </w:r>
      <w:r>
        <w:rPr>
          <w:rFonts w:ascii="Arial"/>
          <w:i/>
          <w:spacing w:val="-154"/>
          <w:w w:val="580"/>
          <w:sz w:val="11"/>
        </w:rPr>
        <w:t> </w:t>
      </w:r>
      <w:r>
        <w:rPr>
          <w:rFonts w:ascii="Arial"/>
          <w:i/>
          <w:w w:val="185"/>
          <w:sz w:val="11"/>
        </w:rPr>
        <w:t>D( </w:t>
      </w:r>
      <w:r>
        <w:rPr>
          <w:rFonts w:ascii="Arial"/>
          <w:i/>
          <w:w w:val="135"/>
          <w:sz w:val="11"/>
        </w:rPr>
        <w:t>T </w:t>
      </w:r>
      <w:r>
        <w:rPr>
          <w:rFonts w:ascii="Arial"/>
          <w:i/>
          <w:w w:val="105"/>
          <w:sz w:val="11"/>
        </w:rPr>
        <w:t>)    </w:t>
      </w:r>
      <w:r>
        <w:rPr>
          <w:rFonts w:ascii="Arial"/>
          <w:w w:val="390"/>
          <w:sz w:val="11"/>
        </w:rPr>
        <w:t>- </w:t>
      </w:r>
      <w:r>
        <w:rPr>
          <w:rFonts w:ascii="Arial"/>
          <w:i/>
          <w:w w:val="185"/>
          <w:sz w:val="11"/>
        </w:rPr>
        <w:t>N( </w:t>
      </w:r>
      <w:r>
        <w:rPr>
          <w:rFonts w:ascii="Arial"/>
          <w:i/>
          <w:spacing w:val="4"/>
          <w:w w:val="105"/>
          <w:sz w:val="11"/>
        </w:rPr>
        <w:t>T)</w:t>
      </w:r>
    </w:p>
    <w:p>
      <w:pPr>
        <w:tabs>
          <w:tab w:pos="1623" w:val="left" w:leader="none"/>
        </w:tabs>
        <w:spacing w:line="108" w:lineRule="exact" w:before="0"/>
        <w:ind w:left="395" w:right="0" w:firstLine="0"/>
        <w:jc w:val="left"/>
        <w:rPr>
          <w:rFonts w:ascii="Arial" w:hAnsi="Arial"/>
          <w:sz w:val="7"/>
        </w:rPr>
      </w:pPr>
      <w:r>
        <w:rPr>
          <w:rFonts w:ascii="Arial" w:hAnsi="Arial"/>
          <w:b/>
          <w:i/>
          <w:w w:val="115"/>
          <w:sz w:val="12"/>
        </w:rPr>
        <w:t>L,_¡</w:t>
        <w:tab/>
      </w:r>
      <w:r>
        <w:rPr>
          <w:rFonts w:ascii="Arial" w:hAnsi="Arial"/>
          <w:b/>
          <w:i/>
          <w:w w:val="115"/>
          <w:sz w:val="7"/>
        </w:rPr>
        <w:t>X       </w:t>
      </w:r>
      <w:r>
        <w:rPr>
          <w:rFonts w:ascii="Arial" w:hAnsi="Arial"/>
          <w:b/>
          <w:i/>
          <w:spacing w:val="15"/>
          <w:w w:val="115"/>
          <w:sz w:val="7"/>
        </w:rPr>
        <w:t> </w:t>
      </w:r>
      <w:r>
        <w:rPr>
          <w:rFonts w:ascii="Arial" w:hAnsi="Arial"/>
          <w:w w:val="330"/>
          <w:sz w:val="7"/>
        </w:rPr>
        <w:t>'</w:t>
      </w:r>
    </w:p>
    <w:p>
      <w:pPr>
        <w:spacing w:line="130" w:lineRule="exact" w:before="0"/>
        <w:ind w:left="410" w:right="0" w:firstLine="0"/>
        <w:jc w:val="left"/>
        <w:rPr>
          <w:b/>
          <w:i/>
          <w:sz w:val="12"/>
        </w:rPr>
      </w:pPr>
      <w:r>
        <w:rPr>
          <w:b/>
          <w:i/>
          <w:w w:val="125"/>
          <w:sz w:val="12"/>
        </w:rPr>
        <w:t>t </w:t>
      </w:r>
      <w:r>
        <w:rPr>
          <w:b/>
          <w:i/>
          <w:w w:val="135"/>
          <w:sz w:val="12"/>
        </w:rPr>
        <w:t>-0</w:t>
      </w:r>
    </w:p>
    <w:p>
      <w:pPr>
        <w:spacing w:after="0" w:line="130" w:lineRule="exact"/>
        <w:jc w:val="left"/>
        <w:rPr>
          <w:sz w:val="12"/>
        </w:rPr>
        <w:sectPr>
          <w:type w:val="continuous"/>
          <w:pgSz w:w="7200" w:h="11340"/>
          <w:pgMar w:top="1100" w:bottom="0" w:left="660" w:right="540"/>
          <w:cols w:num="2" w:equalWidth="0">
            <w:col w:w="3110" w:space="40"/>
            <w:col w:w="2850"/>
          </w:cols>
        </w:sectPr>
      </w:pPr>
    </w:p>
    <w:p>
      <w:pPr>
        <w:pStyle w:val="BodyText"/>
        <w:spacing w:line="252" w:lineRule="auto" w:before="79"/>
        <w:ind w:left="110" w:right="116"/>
        <w:jc w:val="both"/>
      </w:pPr>
      <w:r>
        <w:rPr>
          <w:w w:val="105"/>
        </w:rPr>
        <w:t>Then the present value at age </w:t>
      </w:r>
      <w:r>
        <w:rPr>
          <w:i/>
          <w:w w:val="105"/>
        </w:rPr>
        <w:t>x </w:t>
      </w:r>
      <w:r>
        <w:rPr>
          <w:w w:val="105"/>
        </w:rPr>
        <w:t>of a series of annual payments of 1 continuing as long as (x ) remains in the body of lives defined by  the multiple-decrement  table may  be expressed </w:t>
      </w:r>
      <w:r>
        <w:rPr>
          <w:spacing w:val="3"/>
          <w:w w:val="105"/>
        </w:rPr>
        <w:t> </w:t>
      </w:r>
      <w:r>
        <w:rPr>
          <w:w w:val="105"/>
        </w:rPr>
        <w:t>as</w:t>
      </w:r>
    </w:p>
    <w:p>
      <w:pPr>
        <w:spacing w:before="26"/>
        <w:ind w:left="546" w:right="87" w:firstLine="0"/>
        <w:jc w:val="center"/>
        <w:rPr>
          <w:rFonts w:ascii="Arial"/>
          <w:i/>
          <w:sz w:val="21"/>
        </w:rPr>
      </w:pPr>
      <w:r>
        <w:rPr>
          <w:rFonts w:ascii="Arial"/>
          <w:i/>
          <w:w w:val="90"/>
          <w:sz w:val="21"/>
        </w:rPr>
        <w:t>N;T&gt;</w:t>
      </w:r>
    </w:p>
    <w:p>
      <w:pPr>
        <w:spacing w:line="120" w:lineRule="exact" w:before="15"/>
        <w:ind w:left="3073" w:right="0" w:firstLine="0"/>
        <w:jc w:val="left"/>
        <w:rPr>
          <w:sz w:val="14"/>
        </w:rPr>
      </w:pPr>
      <w:r>
        <w:rPr>
          <w:w w:val="185"/>
          <w:sz w:val="14"/>
        </w:rPr>
        <w:t>(T) .</w:t>
      </w:r>
    </w:p>
    <w:p>
      <w:pPr>
        <w:spacing w:line="200" w:lineRule="exact" w:before="0"/>
        <w:ind w:left="407" w:right="87" w:firstLine="0"/>
        <w:jc w:val="center"/>
        <w:rPr>
          <w:b/>
          <w:i/>
          <w:sz w:val="21"/>
        </w:rPr>
      </w:pPr>
      <w:r>
        <w:rPr>
          <w:b/>
          <w:i/>
          <w:w w:val="90"/>
          <w:sz w:val="21"/>
        </w:rPr>
        <w:t>Dx</w:t>
      </w:r>
    </w:p>
    <w:p>
      <w:pPr>
        <w:spacing w:before="11"/>
        <w:ind w:left="233" w:right="87" w:firstLine="0"/>
        <w:jc w:val="center"/>
        <w:rPr>
          <w:sz w:val="20"/>
        </w:rPr>
      </w:pPr>
      <w:r>
        <w:rPr/>
        <w:pict>
          <v:shape style="position:absolute;margin-left:170.279999pt;margin-top:4.359838pt;width:4.650pt;height:4pt;mso-position-horizontal-relative:page;mso-position-vertical-relative:paragraph;z-index:-712744" type="#_x0000_t202" filled="false" stroked="false">
            <v:textbox inset="0,0,0,0">
              <w:txbxContent>
                <w:p>
                  <w:pPr>
                    <w:spacing w:line="80" w:lineRule="exact" w:before="0"/>
                    <w:ind w:left="0" w:right="-16" w:firstLine="0"/>
                    <w:jc w:val="left"/>
                    <w:rPr>
                      <w:rFonts w:ascii="Arial"/>
                      <w:sz w:val="8"/>
                    </w:rPr>
                  </w:pPr>
                  <w:r>
                    <w:rPr>
                      <w:rFonts w:ascii="Arial"/>
                      <w:sz w:val="8"/>
                    </w:rPr>
                    <w:t>00</w:t>
                  </w:r>
                </w:p>
              </w:txbxContent>
            </v:textbox>
            <w10:wrap type="none"/>
          </v:shape>
        </w:pict>
      </w:r>
      <w:r>
        <w:rPr>
          <w:sz w:val="20"/>
        </w:rPr>
        <w:t>Let  </w:t>
      </w:r>
      <w:r>
        <w:rPr>
          <w:rFonts w:ascii="Arial"/>
          <w:i/>
          <w:sz w:val="18"/>
        </w:rPr>
        <w:t>v:r+</w:t>
      </w:r>
      <w:r>
        <w:rPr>
          <w:rFonts w:ascii="Arial"/>
          <w:i/>
          <w:position w:val="8"/>
          <w:sz w:val="10"/>
        </w:rPr>
        <w:t>1</w:t>
      </w:r>
      <w:r>
        <w:rPr>
          <w:rFonts w:ascii="Arial"/>
          <w:i/>
          <w:sz w:val="19"/>
        </w:rPr>
        <w:t>d?)  </w:t>
      </w:r>
      <w:r>
        <w:rPr>
          <w:sz w:val="24"/>
        </w:rPr>
        <w:t>=  </w:t>
      </w:r>
      <w:r>
        <w:rPr>
          <w:rFonts w:ascii="Arial"/>
          <w:i/>
          <w:sz w:val="19"/>
        </w:rPr>
        <w:t>C;k </w:t>
      </w:r>
      <w:r>
        <w:rPr>
          <w:rFonts w:ascii="Arial"/>
          <w:i/>
          <w:w w:val="75"/>
          <w:sz w:val="19"/>
        </w:rPr>
        <w:t>)   </w:t>
      </w:r>
      <w:r>
        <w:rPr>
          <w:sz w:val="20"/>
        </w:rPr>
        <w:t>and  </w:t>
      </w:r>
      <w:r>
        <w:rPr>
          <w:sz w:val="34"/>
        </w:rPr>
        <w:t>I:</w:t>
      </w:r>
      <w:r>
        <w:rPr>
          <w:b/>
          <w:position w:val="-10"/>
          <w:sz w:val="22"/>
        </w:rPr>
        <w:t>,-o  </w:t>
      </w:r>
      <w:r>
        <w:rPr>
          <w:sz w:val="31"/>
        </w:rPr>
        <w:t>C;t\  </w:t>
      </w:r>
      <w:r>
        <w:rPr>
          <w:sz w:val="24"/>
        </w:rPr>
        <w:t>=  </w:t>
      </w:r>
      <w:r>
        <w:rPr>
          <w:rFonts w:ascii="Arial"/>
          <w:i/>
          <w:sz w:val="19"/>
        </w:rPr>
        <w:t>M?). </w:t>
      </w:r>
      <w:r>
        <w:rPr>
          <w:sz w:val="20"/>
        </w:rPr>
        <w:t>Then  the present</w:t>
      </w:r>
    </w:p>
    <w:p>
      <w:pPr>
        <w:pStyle w:val="BodyText"/>
        <w:spacing w:line="213" w:lineRule="exact"/>
        <w:ind w:left="114"/>
      </w:pPr>
      <w:r>
        <w:rPr>
          <w:w w:val="105"/>
        </w:rPr>
        <w:t>value at age </w:t>
      </w:r>
      <w:r>
        <w:rPr>
          <w:rFonts w:ascii="Arial"/>
          <w:i/>
          <w:w w:val="105"/>
          <w:sz w:val="18"/>
        </w:rPr>
        <w:t>x </w:t>
      </w:r>
      <w:r>
        <w:rPr>
          <w:w w:val="105"/>
        </w:rPr>
        <w:t>of a payment  of  </w:t>
      </w:r>
      <w:r>
        <w:rPr>
          <w:rFonts w:ascii="Arial"/>
          <w:b/>
          <w:w w:val="105"/>
          <w:sz w:val="18"/>
        </w:rPr>
        <w:t>1 </w:t>
      </w:r>
      <w:r>
        <w:rPr>
          <w:w w:val="105"/>
        </w:rPr>
        <w:t>to be made 3t the end of the   year</w:t>
      </w:r>
    </w:p>
    <w:p>
      <w:pPr>
        <w:spacing w:after="0" w:line="213" w:lineRule="exact"/>
        <w:sectPr>
          <w:type w:val="continuous"/>
          <w:pgSz w:w="7200" w:h="11340"/>
          <w:pgMar w:top="1100" w:bottom="0" w:left="660" w:right="540"/>
        </w:sectPr>
      </w:pPr>
    </w:p>
    <w:p>
      <w:pPr>
        <w:tabs>
          <w:tab w:pos="1916" w:val="left" w:leader="none"/>
          <w:tab w:pos="5893" w:val="right" w:leader="none"/>
        </w:tabs>
        <w:spacing w:before="61"/>
        <w:ind w:left="143" w:right="0" w:firstLine="0"/>
        <w:jc w:val="left"/>
        <w:rPr>
          <w:rFonts w:ascii="Courier New"/>
          <w:sz w:val="22"/>
        </w:rPr>
      </w:pPr>
      <w:r>
        <w:rPr>
          <w:b/>
          <w:color w:val="030303"/>
          <w:sz w:val="15"/>
        </w:rPr>
        <w:t>SEC. </w:t>
      </w:r>
      <w:r>
        <w:rPr>
          <w:b/>
          <w:color w:val="030303"/>
          <w:spacing w:val="32"/>
          <w:sz w:val="15"/>
        </w:rPr>
        <w:t> </w:t>
      </w:r>
      <w:r>
        <w:rPr>
          <w:b/>
          <w:color w:val="030303"/>
          <w:sz w:val="20"/>
        </w:rPr>
        <w:t>8]</w:t>
        <w:tab/>
      </w:r>
      <w:r>
        <w:rPr>
          <w:b/>
          <w:color w:val="030303"/>
          <w:sz w:val="15"/>
        </w:rPr>
        <w:t>MONETARY </w:t>
      </w:r>
      <w:r>
        <w:rPr>
          <w:b/>
          <w:color w:val="030303"/>
          <w:spacing w:val="37"/>
          <w:sz w:val="15"/>
        </w:rPr>
        <w:t> </w:t>
      </w:r>
      <w:r>
        <w:rPr>
          <w:b/>
          <w:color w:val="030303"/>
          <w:sz w:val="15"/>
        </w:rPr>
        <w:t>APPLICATIONS</w:t>
      </w:r>
      <w:r>
        <w:rPr>
          <w:rFonts w:ascii="Courier New"/>
          <w:color w:val="030303"/>
          <w:sz w:val="22"/>
        </w:rPr>
        <w:tab/>
      </w:r>
      <w:r>
        <w:rPr>
          <w:rFonts w:ascii="Courier New"/>
          <w:color w:val="030303"/>
          <w:spacing w:val="-27"/>
          <w:sz w:val="22"/>
        </w:rPr>
        <w:t>285</w:t>
      </w:r>
    </w:p>
    <w:p>
      <w:pPr>
        <w:pStyle w:val="BodyText"/>
        <w:spacing w:before="209"/>
        <w:ind w:left="143" w:right="241" w:firstLine="7"/>
      </w:pPr>
      <w:r>
        <w:rPr>
          <w:color w:val="030303"/>
          <w:sz w:val="21"/>
        </w:rPr>
        <w:t>in </w:t>
      </w:r>
      <w:r>
        <w:rPr>
          <w:color w:val="030303"/>
        </w:rPr>
        <w:t>which </w:t>
      </w:r>
      <w:r>
        <w:rPr>
          <w:rFonts w:ascii="Arial"/>
          <w:i/>
          <w:color w:val="030303"/>
          <w:spacing w:val="3"/>
          <w:sz w:val="19"/>
        </w:rPr>
        <w:t>(x </w:t>
      </w:r>
      <w:r>
        <w:rPr>
          <w:rFonts w:ascii="Arial"/>
          <w:i/>
          <w:color w:val="030303"/>
          <w:sz w:val="19"/>
        </w:rPr>
        <w:t>) </w:t>
      </w:r>
      <w:r>
        <w:rPr>
          <w:color w:val="030303"/>
        </w:rPr>
        <w:t>leaves the body of lives as a result of  cause  </w:t>
      </w:r>
      <w:r>
        <w:rPr>
          <w:rFonts w:ascii="Arial"/>
          <w:i/>
          <w:color w:val="030303"/>
          <w:sz w:val="19"/>
        </w:rPr>
        <w:t>( k )  </w:t>
      </w:r>
      <w:r>
        <w:rPr>
          <w:color w:val="030303"/>
        </w:rPr>
        <w:t>is  given</w:t>
      </w:r>
      <w:r>
        <w:rPr>
          <w:color w:val="030303"/>
          <w:spacing w:val="37"/>
        </w:rPr>
        <w:t> </w:t>
      </w:r>
      <w:r>
        <w:rPr>
          <w:color w:val="030303"/>
        </w:rPr>
        <w:t>by</w:t>
      </w:r>
    </w:p>
    <w:p>
      <w:pPr>
        <w:spacing w:after="0"/>
        <w:sectPr>
          <w:pgSz w:w="7200" w:h="11340"/>
          <w:pgMar w:top="500" w:bottom="280" w:left="660" w:right="540"/>
        </w:sectPr>
      </w:pPr>
    </w:p>
    <w:p>
      <w:pPr>
        <w:spacing w:line="211" w:lineRule="exact" w:before="177"/>
        <w:ind w:left="0" w:right="0" w:firstLine="0"/>
        <w:jc w:val="right"/>
        <w:rPr>
          <w:sz w:val="23"/>
        </w:rPr>
      </w:pPr>
      <w:r>
        <w:rPr>
          <w:rFonts w:ascii="Arial"/>
          <w:b/>
          <w:i/>
          <w:color w:val="030303"/>
          <w:w w:val="95"/>
          <w:sz w:val="19"/>
        </w:rPr>
        <w:t>A&lt;t&gt; </w:t>
      </w:r>
      <w:r>
        <w:rPr>
          <w:color w:val="030303"/>
          <w:w w:val="95"/>
          <w:sz w:val="23"/>
        </w:rPr>
        <w:t>=</w:t>
      </w:r>
    </w:p>
    <w:p>
      <w:pPr>
        <w:spacing w:before="110"/>
        <w:ind w:left="67" w:right="2329" w:firstLine="0"/>
        <w:jc w:val="center"/>
        <w:rPr>
          <w:b/>
          <w:sz w:val="12"/>
        </w:rPr>
      </w:pPr>
      <w:r>
        <w:rPr/>
        <w:br w:type="column"/>
      </w:r>
      <w:r>
        <w:rPr>
          <w:b/>
          <w:color w:val="030303"/>
          <w:w w:val="85"/>
          <w:sz w:val="12"/>
        </w:rPr>
        <w:t>(A:)</w:t>
      </w:r>
    </w:p>
    <w:p>
      <w:pPr>
        <w:spacing w:line="99" w:lineRule="exact" w:before="40"/>
        <w:ind w:left="67" w:right="2500" w:firstLine="0"/>
        <w:jc w:val="center"/>
        <w:rPr>
          <w:b/>
          <w:i/>
          <w:sz w:val="11"/>
        </w:rPr>
      </w:pPr>
      <w:r>
        <w:rPr/>
        <w:pict>
          <v:shape style="position:absolute;margin-left:187.716797pt;margin-top:-5.175170pt;width:9.550pt;height:11.5pt;mso-position-horizontal-relative:page;mso-position-vertical-relative:paragraph;z-index:-712696" type="#_x0000_t202" filled="false" stroked="false">
            <v:textbox inset="0,0,0,0">
              <w:txbxContent>
                <w:p>
                  <w:pPr>
                    <w:spacing w:line="230" w:lineRule="exact" w:before="0"/>
                    <w:ind w:left="0" w:right="0" w:firstLine="0"/>
                    <w:jc w:val="left"/>
                    <w:rPr>
                      <w:b/>
                      <w:sz w:val="23"/>
                    </w:rPr>
                  </w:pPr>
                  <w:r>
                    <w:rPr>
                      <w:b/>
                      <w:color w:val="030303"/>
                      <w:w w:val="87"/>
                      <w:sz w:val="23"/>
                    </w:rPr>
                    <w:t>M</w:t>
                  </w:r>
                </w:p>
              </w:txbxContent>
            </v:textbox>
            <w10:wrap type="none"/>
          </v:shape>
        </w:pict>
      </w:r>
      <w:r>
        <w:rPr>
          <w:b/>
          <w:i/>
          <w:color w:val="030303"/>
          <w:spacing w:val="-55"/>
          <w:w w:val="400"/>
          <w:sz w:val="11"/>
        </w:rPr>
        <w:t>_</w:t>
      </w:r>
      <w:r>
        <w:rPr>
          <w:b/>
          <w:i/>
          <w:color w:val="030303"/>
          <w:w w:val="197"/>
          <w:sz w:val="11"/>
        </w:rPr>
        <w:t>z_</w:t>
      </w:r>
    </w:p>
    <w:p>
      <w:pPr>
        <w:spacing w:after="0" w:line="99" w:lineRule="exact"/>
        <w:jc w:val="center"/>
        <w:rPr>
          <w:sz w:val="11"/>
        </w:rPr>
        <w:sectPr>
          <w:type w:val="continuous"/>
          <w:pgSz w:w="7200" w:h="11340"/>
          <w:pgMar w:top="1100" w:bottom="0" w:left="660" w:right="540"/>
          <w:cols w:num="2" w:equalWidth="0">
            <w:col w:w="2994" w:space="40"/>
            <w:col w:w="2966"/>
          </w:cols>
        </w:sectPr>
      </w:pPr>
    </w:p>
    <w:p>
      <w:pPr>
        <w:tabs>
          <w:tab w:pos="712" w:val="left" w:leader="none"/>
        </w:tabs>
        <w:spacing w:line="174" w:lineRule="exact" w:before="0"/>
        <w:ind w:left="174" w:right="0" w:firstLine="0"/>
        <w:jc w:val="center"/>
        <w:rPr>
          <w:i/>
          <w:sz w:val="17"/>
        </w:rPr>
      </w:pPr>
      <w:r>
        <w:rPr>
          <w:i/>
          <w:color w:val="030303"/>
          <w:w w:val="130"/>
          <w:sz w:val="14"/>
        </w:rPr>
        <w:t>z</w:t>
        <w:tab/>
      </w:r>
      <w:r>
        <w:rPr>
          <w:i/>
          <w:color w:val="030303"/>
          <w:w w:val="150"/>
          <w:sz w:val="17"/>
        </w:rPr>
        <w:t>D </w:t>
      </w:r>
      <w:r>
        <w:rPr>
          <w:i/>
          <w:color w:val="030303"/>
          <w:spacing w:val="4"/>
          <w:w w:val="90"/>
          <w:sz w:val="17"/>
        </w:rPr>
        <w:t>T)</w:t>
      </w:r>
      <w:r>
        <w:rPr>
          <w:i/>
          <w:color w:val="030303"/>
          <w:spacing w:val="14"/>
          <w:w w:val="90"/>
          <w:sz w:val="17"/>
        </w:rPr>
        <w:t> </w:t>
      </w:r>
      <w:r>
        <w:rPr>
          <w:i/>
          <w:color w:val="030303"/>
          <w:w w:val="150"/>
          <w:sz w:val="17"/>
        </w:rPr>
        <w:t>.</w:t>
      </w:r>
    </w:p>
    <w:p>
      <w:pPr>
        <w:pStyle w:val="BodyText"/>
        <w:spacing w:before="2"/>
        <w:rPr>
          <w:i/>
          <w:sz w:val="18"/>
        </w:rPr>
      </w:pPr>
    </w:p>
    <w:p>
      <w:pPr>
        <w:pStyle w:val="BodyText"/>
        <w:ind w:left="133" w:right="241" w:firstLine="10"/>
      </w:pPr>
      <w:r>
        <w:rPr>
          <w:color w:val="030303"/>
          <w:w w:val="105"/>
          <w:sz w:val="21"/>
        </w:rPr>
        <w:t>If </w:t>
      </w:r>
      <w:r>
        <w:rPr>
          <w:color w:val="030303"/>
          <w:w w:val="105"/>
        </w:rPr>
        <w:t>this benefit is payable immediately instead of at the end of the year, we have</w:t>
      </w:r>
    </w:p>
    <w:p>
      <w:pPr>
        <w:spacing w:line="80" w:lineRule="exact" w:before="129"/>
        <w:ind w:left="834" w:right="87" w:firstLine="0"/>
        <w:jc w:val="center"/>
        <w:rPr>
          <w:rFonts w:ascii="Arial"/>
          <w:sz w:val="10"/>
        </w:rPr>
      </w:pPr>
      <w:r>
        <w:rPr>
          <w:rFonts w:ascii="Arial"/>
          <w:color w:val="030303"/>
          <w:w w:val="215"/>
          <w:sz w:val="10"/>
        </w:rPr>
        <w:t>- </w:t>
      </w:r>
      <w:r>
        <w:rPr>
          <w:rFonts w:ascii="Arial"/>
          <w:color w:val="030303"/>
          <w:w w:val="160"/>
          <w:sz w:val="10"/>
        </w:rPr>
        <w:t>(k}</w:t>
      </w:r>
    </w:p>
    <w:p>
      <w:pPr>
        <w:spacing w:line="184" w:lineRule="exact" w:before="0"/>
        <w:ind w:left="98" w:right="236" w:firstLine="0"/>
        <w:jc w:val="center"/>
        <w:rPr>
          <w:i/>
          <w:sz w:val="21"/>
        </w:rPr>
      </w:pPr>
      <w:r>
        <w:rPr>
          <w:rFonts w:ascii="Arial"/>
          <w:i/>
          <w:color w:val="030303"/>
          <w:w w:val="80"/>
          <w:sz w:val="21"/>
        </w:rPr>
        <w:t>.J &lt;k&gt; </w:t>
      </w:r>
      <w:r>
        <w:rPr>
          <w:color w:val="030303"/>
          <w:w w:val="90"/>
          <w:sz w:val="23"/>
        </w:rPr>
        <w:t>= </w:t>
      </w:r>
      <w:r>
        <w:rPr>
          <w:i/>
          <w:color w:val="030303"/>
          <w:w w:val="90"/>
          <w:sz w:val="21"/>
          <w:u w:val="single" w:color="000000"/>
        </w:rPr>
        <w:t>M </w:t>
      </w:r>
      <w:r>
        <w:rPr>
          <w:i/>
          <w:color w:val="030303"/>
          <w:w w:val="80"/>
          <w:sz w:val="21"/>
          <w:u w:val="single" w:color="000000"/>
        </w:rPr>
        <w:t>z</w:t>
      </w:r>
    </w:p>
    <w:p>
      <w:pPr>
        <w:tabs>
          <w:tab w:pos="665" w:val="left" w:leader="none"/>
        </w:tabs>
        <w:spacing w:line="185" w:lineRule="exact" w:before="0"/>
        <w:ind w:left="123" w:right="0" w:firstLine="0"/>
        <w:jc w:val="center"/>
        <w:rPr>
          <w:rFonts w:ascii="Arial"/>
          <w:i/>
          <w:sz w:val="20"/>
        </w:rPr>
      </w:pPr>
      <w:r>
        <w:rPr>
          <w:rFonts w:ascii="Arial"/>
          <w:color w:val="030303"/>
          <w:w w:val="90"/>
          <w:sz w:val="8"/>
        </w:rPr>
        <w:t>%</w:t>
        <w:tab/>
      </w:r>
      <w:r>
        <w:rPr>
          <w:rFonts w:ascii="Arial"/>
          <w:i/>
          <w:color w:val="030303"/>
          <w:w w:val="85"/>
          <w:sz w:val="20"/>
        </w:rPr>
        <w:t>D;T</w:t>
      </w:r>
      <w:r>
        <w:rPr>
          <w:rFonts w:ascii="Arial"/>
          <w:i/>
          <w:color w:val="030303"/>
          <w:spacing w:val="-27"/>
          <w:w w:val="85"/>
          <w:sz w:val="20"/>
        </w:rPr>
        <w:t> </w:t>
      </w:r>
      <w:r>
        <w:rPr>
          <w:rFonts w:ascii="Arial"/>
          <w:i/>
          <w:color w:val="030303"/>
          <w:w w:val="80"/>
          <w:sz w:val="20"/>
        </w:rPr>
        <w:t>)</w:t>
      </w:r>
    </w:p>
    <w:p>
      <w:pPr>
        <w:pStyle w:val="BodyText"/>
        <w:spacing w:before="3"/>
        <w:rPr>
          <w:rFonts w:ascii="Arial"/>
          <w:i/>
          <w:sz w:val="22"/>
        </w:rPr>
      </w:pPr>
    </w:p>
    <w:p>
      <w:pPr>
        <w:tabs>
          <w:tab w:pos="3611" w:val="left" w:leader="none"/>
        </w:tabs>
        <w:spacing w:line="256" w:lineRule="exact" w:before="0"/>
        <w:ind w:left="133" w:right="0" w:firstLine="0"/>
        <w:jc w:val="left"/>
        <w:rPr>
          <w:i/>
          <w:sz w:val="22"/>
        </w:rPr>
      </w:pPr>
      <w:r>
        <w:rPr>
          <w:color w:val="030303"/>
          <w:sz w:val="20"/>
        </w:rPr>
        <w:t>with the usual approximation </w:t>
      </w:r>
      <w:r>
        <w:rPr>
          <w:color w:val="030303"/>
          <w:spacing w:val="45"/>
          <w:sz w:val="20"/>
        </w:rPr>
        <w:t> </w:t>
      </w:r>
      <w:r>
        <w:rPr>
          <w:i/>
          <w:color w:val="030303"/>
          <w:sz w:val="22"/>
        </w:rPr>
        <w:t>M;kl </w:t>
      </w:r>
      <w:r>
        <w:rPr>
          <w:i/>
          <w:color w:val="030303"/>
          <w:spacing w:val="13"/>
          <w:sz w:val="22"/>
        </w:rPr>
        <w:t> </w:t>
      </w:r>
      <w:r>
        <w:rPr>
          <w:rFonts w:ascii="Arial"/>
          <w:color w:val="030303"/>
          <w:w w:val="95"/>
          <w:sz w:val="26"/>
        </w:rPr>
        <w:t>=:</w:t>
        <w:tab/>
      </w:r>
      <w:r>
        <w:rPr>
          <w:i/>
          <w:color w:val="030303"/>
          <w:sz w:val="22"/>
        </w:rPr>
        <w:t>M </w:t>
      </w:r>
      <w:r>
        <w:rPr>
          <w:i/>
          <w:color w:val="030303"/>
          <w:w w:val="95"/>
          <w:sz w:val="22"/>
        </w:rPr>
        <w:t>kl</w:t>
      </w:r>
      <w:r>
        <w:rPr>
          <w:i/>
          <w:color w:val="030303"/>
          <w:spacing w:val="-41"/>
          <w:w w:val="95"/>
          <w:sz w:val="22"/>
        </w:rPr>
        <w:t> </w:t>
      </w:r>
      <w:r>
        <w:rPr>
          <w:i/>
          <w:color w:val="030303"/>
          <w:sz w:val="22"/>
        </w:rPr>
        <w:t>.</w:t>
      </w:r>
    </w:p>
    <w:p>
      <w:pPr>
        <w:spacing w:line="173" w:lineRule="exact" w:before="0"/>
        <w:ind w:left="994" w:right="0" w:firstLine="0"/>
        <w:jc w:val="center"/>
        <w:rPr>
          <w:i/>
          <w:sz w:val="19"/>
        </w:rPr>
      </w:pPr>
      <w:r>
        <w:rPr>
          <w:i/>
          <w:color w:val="030303"/>
          <w:w w:val="85"/>
          <w:sz w:val="19"/>
        </w:rPr>
        <w:t>ó</w:t>
      </w:r>
    </w:p>
    <w:p>
      <w:pPr>
        <w:pStyle w:val="BodyText"/>
        <w:spacing w:line="244" w:lineRule="auto"/>
        <w:ind w:left="129" w:right="146" w:firstLine="201"/>
        <w:jc w:val="both"/>
      </w:pPr>
      <w:r>
        <w:rPr/>
        <w:drawing>
          <wp:anchor distT="0" distB="0" distL="0" distR="0" allowOverlap="1" layoutInCell="1" locked="0" behindDoc="0" simplePos="0" relativeHeight="23344">
            <wp:simplePos x="0" y="0"/>
            <wp:positionH relativeFrom="page">
              <wp:posOffset>1856232</wp:posOffset>
            </wp:positionH>
            <wp:positionV relativeFrom="paragraph">
              <wp:posOffset>842033</wp:posOffset>
            </wp:positionV>
            <wp:extent cx="832104" cy="146303"/>
            <wp:effectExtent l="0" t="0" r="0" b="0"/>
            <wp:wrapTopAndBottom/>
            <wp:docPr id="699" name="image356.png" descr=""/>
            <wp:cNvGraphicFramePr>
              <a:graphicFrameLocks noChangeAspect="1"/>
            </wp:cNvGraphicFramePr>
            <a:graphic>
              <a:graphicData uri="http://schemas.openxmlformats.org/drawingml/2006/picture">
                <pic:pic>
                  <pic:nvPicPr>
                    <pic:cNvPr id="700" name="image356.png"/>
                    <pic:cNvPicPr/>
                  </pic:nvPicPr>
                  <pic:blipFill>
                    <a:blip r:embed="rId360" cstate="print"/>
                    <a:stretch>
                      <a:fillRect/>
                    </a:stretch>
                  </pic:blipFill>
                  <pic:spPr>
                    <a:xfrm>
                      <a:off x="0" y="0"/>
                      <a:ext cx="832104" cy="146303"/>
                    </a:xfrm>
                    <a:prstGeom prst="rect">
                      <a:avLst/>
                    </a:prstGeom>
                  </pic:spPr>
                </pic:pic>
              </a:graphicData>
            </a:graphic>
          </wp:anchor>
        </w:drawing>
      </w:r>
      <w:r>
        <w:rPr>
          <w:color w:val="030303"/>
        </w:rPr>
        <w:t>Life insurance policies of ten include a provision for an additional payment </w:t>
      </w:r>
      <w:r>
        <w:rPr>
          <w:color w:val="4D4D4D"/>
          <w:w w:val="90"/>
        </w:rPr>
        <w:t>· </w:t>
      </w:r>
      <w:r>
        <w:rPr>
          <w:color w:val="030303"/>
        </w:rPr>
        <w:t>in the event of  accidental  death.  The  theoretical  model  for evaluating this  supplementary  benefit  is  a  double-decrement table showing the number of  accidental  deaths </w:t>
      </w:r>
      <w:r>
        <w:rPr>
          <w:i/>
          <w:color w:val="030303"/>
          <w:w w:val="90"/>
          <w:sz w:val="22"/>
        </w:rPr>
        <w:t>cl;d  </w:t>
      </w:r>
      <w:r>
        <w:rPr>
          <w:color w:val="030303"/>
        </w:rPr>
        <w:t>and  the number of  deaths from all other causes </w:t>
      </w:r>
      <w:r>
        <w:rPr>
          <w:i/>
          <w:color w:val="030303"/>
        </w:rPr>
        <w:t>á;ad. </w:t>
      </w:r>
      <w:r>
        <w:rPr>
          <w:color w:val="030303"/>
        </w:rPr>
        <w:t>We </w:t>
      </w:r>
      <w:r>
        <w:rPr>
          <w:color w:val="030303"/>
          <w:spacing w:val="46"/>
        </w:rPr>
        <w:t> </w:t>
      </w:r>
      <w:r>
        <w:rPr>
          <w:color w:val="030303"/>
        </w:rPr>
        <w:t>define</w:t>
      </w:r>
    </w:p>
    <w:p>
      <w:pPr>
        <w:pStyle w:val="BodyText"/>
        <w:spacing w:before="97"/>
        <w:ind w:left="126"/>
      </w:pPr>
      <w:r>
        <w:rPr>
          <w:color w:val="030303"/>
          <w:w w:val="105"/>
        </w:rPr>
        <w:t>and</w:t>
      </w:r>
    </w:p>
    <w:p>
      <w:pPr>
        <w:spacing w:line="78" w:lineRule="exact" w:before="137"/>
        <w:ind w:left="266" w:right="87" w:firstLine="0"/>
        <w:jc w:val="center"/>
        <w:rPr>
          <w:rFonts w:ascii="Arial"/>
          <w:b/>
          <w:sz w:val="8"/>
        </w:rPr>
      </w:pPr>
      <w:r>
        <w:rPr/>
        <w:pict>
          <v:shape style="position:absolute;margin-left:181.256195pt;margin-top:8.607706pt;width:10.6pt;height:17pt;mso-position-horizontal-relative:page;mso-position-vertical-relative:paragraph;z-index:-712672" type="#_x0000_t202" filled="false" stroked="false">
            <v:textbox inset="0,0,0,0">
              <w:txbxContent>
                <w:p>
                  <w:pPr>
                    <w:spacing w:line="340" w:lineRule="exact" w:before="0"/>
                    <w:ind w:left="0" w:right="0" w:firstLine="0"/>
                    <w:jc w:val="left"/>
                    <w:rPr>
                      <w:i/>
                      <w:sz w:val="34"/>
                    </w:rPr>
                  </w:pPr>
                  <w:r>
                    <w:rPr>
                      <w:i/>
                      <w:color w:val="030303"/>
                      <w:w w:val="111"/>
                      <w:sz w:val="34"/>
                    </w:rPr>
                    <w:t>L</w:t>
                  </w:r>
                </w:p>
              </w:txbxContent>
            </v:textbox>
            <w10:wrap type="none"/>
          </v:shape>
        </w:pict>
      </w:r>
      <w:r>
        <w:rPr>
          <w:rFonts w:ascii="Arial"/>
          <w:b/>
          <w:color w:val="030303"/>
          <w:w w:val="105"/>
          <w:sz w:val="8"/>
        </w:rPr>
        <w:t>00</w:t>
      </w:r>
    </w:p>
    <w:p>
      <w:pPr>
        <w:tabs>
          <w:tab w:pos="1076" w:val="left" w:leader="none"/>
        </w:tabs>
        <w:spacing w:line="274" w:lineRule="exact" w:before="0"/>
        <w:ind w:left="0" w:right="11" w:firstLine="0"/>
        <w:jc w:val="center"/>
        <w:rPr>
          <w:rFonts w:ascii="Arial"/>
          <w:i/>
          <w:sz w:val="26"/>
        </w:rPr>
      </w:pPr>
      <w:r>
        <w:rPr>
          <w:i/>
          <w:color w:val="030303"/>
          <w:sz w:val="21"/>
        </w:rPr>
        <w:t>M!d </w:t>
      </w:r>
      <w:r>
        <w:rPr>
          <w:i/>
          <w:color w:val="030303"/>
          <w:spacing w:val="24"/>
          <w:sz w:val="21"/>
        </w:rPr>
        <w:t> </w:t>
      </w:r>
      <w:r>
        <w:rPr>
          <w:color w:val="030303"/>
          <w:sz w:val="23"/>
        </w:rPr>
        <w:t>=</w:t>
        <w:tab/>
      </w:r>
      <w:r>
        <w:rPr>
          <w:rFonts w:ascii="Arial"/>
          <w:i/>
          <w:color w:val="030303"/>
          <w:sz w:val="26"/>
        </w:rPr>
        <w:t>c:!</w:t>
      </w:r>
      <w:r>
        <w:rPr>
          <w:rFonts w:ascii="Arial"/>
          <w:i/>
          <w:color w:val="030303"/>
          <w:spacing w:val="-64"/>
          <w:sz w:val="26"/>
        </w:rPr>
        <w:t> </w:t>
      </w:r>
      <w:r>
        <w:rPr>
          <w:rFonts w:ascii="Arial"/>
          <w:i/>
          <w:color w:val="030303"/>
          <w:w w:val="95"/>
          <w:sz w:val="26"/>
        </w:rPr>
        <w:t>i </w:t>
      </w:r>
      <w:r>
        <w:rPr>
          <w:rFonts w:ascii="Arial"/>
          <w:i/>
          <w:color w:val="030303"/>
          <w:sz w:val="26"/>
        </w:rPr>
        <w:t>.</w:t>
      </w:r>
    </w:p>
    <w:p>
      <w:pPr>
        <w:spacing w:line="126" w:lineRule="exact" w:before="0"/>
        <w:ind w:left="261" w:right="87" w:firstLine="0"/>
        <w:jc w:val="center"/>
        <w:rPr>
          <w:b/>
          <w:sz w:val="12"/>
        </w:rPr>
      </w:pPr>
      <w:r>
        <w:rPr>
          <w:b/>
          <w:color w:val="030303"/>
          <w:w w:val="155"/>
          <w:sz w:val="12"/>
        </w:rPr>
        <w:t>t-0</w:t>
      </w:r>
    </w:p>
    <w:p>
      <w:pPr>
        <w:pStyle w:val="BodyText"/>
        <w:spacing w:before="3"/>
        <w:rPr>
          <w:b/>
          <w:sz w:val="10"/>
        </w:rPr>
      </w:pPr>
    </w:p>
    <w:p>
      <w:pPr>
        <w:pStyle w:val="BodyText"/>
        <w:spacing w:line="252" w:lineRule="auto"/>
        <w:ind w:left="118" w:right="241" w:firstLine="3"/>
      </w:pPr>
      <w:r>
        <w:rPr>
          <w:color w:val="030303"/>
          <w:w w:val="105"/>
        </w:rPr>
        <w:t>Then the present value at age </w:t>
      </w:r>
      <w:r>
        <w:rPr>
          <w:rFonts w:ascii="Arial"/>
          <w:i/>
          <w:color w:val="030303"/>
          <w:w w:val="105"/>
          <w:sz w:val="16"/>
        </w:rPr>
        <w:t>x </w:t>
      </w:r>
      <w:r>
        <w:rPr>
          <w:color w:val="030303"/>
          <w:w w:val="105"/>
        </w:rPr>
        <w:t>of a payment of 1 at the end of the year in which accidental  death occurs  is</w:t>
      </w:r>
    </w:p>
    <w:p>
      <w:pPr>
        <w:pStyle w:val="BodyText"/>
        <w:spacing w:before="2"/>
        <w:rPr>
          <w:sz w:val="21"/>
        </w:rPr>
      </w:pPr>
    </w:p>
    <w:p>
      <w:pPr>
        <w:spacing w:line="203" w:lineRule="exact" w:before="0"/>
        <w:ind w:left="98" w:right="80" w:firstLine="0"/>
        <w:jc w:val="center"/>
        <w:rPr>
          <w:sz w:val="22"/>
        </w:rPr>
      </w:pPr>
      <w:r>
        <w:rPr>
          <w:i/>
          <w:color w:val="030303"/>
          <w:w w:val="197"/>
          <w:sz w:val="21"/>
        </w:rPr>
        <w:t>A</w:t>
      </w:r>
      <w:r>
        <w:rPr>
          <w:i/>
          <w:color w:val="030303"/>
          <w:sz w:val="21"/>
        </w:rPr>
        <w:t> </w:t>
      </w:r>
      <w:r>
        <w:rPr>
          <w:i/>
          <w:color w:val="030303"/>
          <w:spacing w:val="25"/>
          <w:sz w:val="21"/>
        </w:rPr>
        <w:t> </w:t>
      </w:r>
      <w:r>
        <w:rPr>
          <w:i/>
          <w:color w:val="030303"/>
          <w:w w:val="104"/>
          <w:sz w:val="21"/>
        </w:rPr>
        <w:t>=</w:t>
      </w:r>
      <w:r>
        <w:rPr>
          <w:i/>
          <w:color w:val="030303"/>
          <w:sz w:val="21"/>
        </w:rPr>
        <w:t> </w:t>
      </w:r>
      <w:r>
        <w:rPr>
          <w:i/>
          <w:color w:val="030303"/>
          <w:spacing w:val="-24"/>
          <w:sz w:val="21"/>
        </w:rPr>
        <w:t> </w:t>
      </w:r>
      <w:r>
        <w:rPr>
          <w:color w:val="030303"/>
          <w:spacing w:val="-21"/>
          <w:w w:val="94"/>
          <w:sz w:val="22"/>
          <w:u w:val="thick" w:color="000000"/>
        </w:rPr>
        <w:t>M</w:t>
      </w:r>
      <w:r>
        <w:rPr>
          <w:color w:val="030303"/>
          <w:w w:val="206"/>
          <w:sz w:val="22"/>
          <w:u w:val="thick" w:color="000000"/>
        </w:rPr>
        <w:t>e</w:t>
      </w:r>
      <w:r>
        <w:rPr>
          <w:color w:val="030303"/>
          <w:spacing w:val="1"/>
          <w:sz w:val="22"/>
        </w:rPr>
        <w:t> </w:t>
      </w:r>
      <w:r>
        <w:rPr>
          <w:color w:val="030303"/>
          <w:w w:val="124"/>
          <w:sz w:val="22"/>
        </w:rPr>
        <w:t>·</w:t>
      </w:r>
    </w:p>
    <w:p>
      <w:pPr>
        <w:spacing w:line="192" w:lineRule="exact" w:before="0"/>
        <w:ind w:left="387" w:right="87" w:firstLine="0"/>
        <w:jc w:val="center"/>
        <w:rPr>
          <w:b/>
          <w:i/>
          <w:sz w:val="21"/>
        </w:rPr>
      </w:pPr>
      <w:r>
        <w:rPr>
          <w:b/>
          <w:i/>
          <w:color w:val="030303"/>
          <w:w w:val="95"/>
          <w:sz w:val="21"/>
        </w:rPr>
        <w:t>Dz</w:t>
      </w:r>
    </w:p>
    <w:p>
      <w:pPr>
        <w:pStyle w:val="BodyText"/>
        <w:spacing w:before="120"/>
        <w:ind w:left="122" w:right="241" w:hanging="8"/>
      </w:pPr>
      <w:r>
        <w:rPr>
          <w:color w:val="030303"/>
          <w:w w:val="105"/>
        </w:rPr>
        <w:t>The net annual premium payable for </w:t>
      </w:r>
      <w:r>
        <w:rPr>
          <w:rFonts w:ascii="Arial"/>
          <w:i/>
          <w:color w:val="030303"/>
          <w:w w:val="105"/>
          <w:sz w:val="18"/>
        </w:rPr>
        <w:t>m </w:t>
      </w:r>
      <w:r>
        <w:rPr>
          <w:color w:val="030303"/>
          <w:w w:val="105"/>
        </w:rPr>
        <w:t>years for an  accidental death benefit  providing coverage for </w:t>
      </w:r>
      <w:r>
        <w:rPr>
          <w:i/>
          <w:color w:val="030303"/>
          <w:w w:val="105"/>
          <w:sz w:val="21"/>
        </w:rPr>
        <w:t>n </w:t>
      </w:r>
      <w:r>
        <w:rPr>
          <w:color w:val="030303"/>
          <w:w w:val="105"/>
        </w:rPr>
        <w:t>years  is</w:t>
      </w:r>
    </w:p>
    <w:p>
      <w:pPr>
        <w:tabs>
          <w:tab w:pos="714" w:val="left" w:leader="none"/>
        </w:tabs>
        <w:spacing w:line="240" w:lineRule="exact" w:before="106"/>
        <w:ind w:left="0" w:right="87" w:firstLine="0"/>
        <w:jc w:val="center"/>
        <w:rPr>
          <w:rFonts w:ascii="Arial"/>
          <w:i/>
          <w:sz w:val="26"/>
        </w:rPr>
      </w:pPr>
      <w:r>
        <w:rPr>
          <w:rFonts w:ascii="Arial"/>
          <w:color w:val="030303"/>
          <w:w w:val="135"/>
          <w:sz w:val="20"/>
        </w:rPr>
        <w:t>pi</w:t>
      </w:r>
      <w:r>
        <w:rPr>
          <w:rFonts w:ascii="Arial"/>
          <w:color w:val="030303"/>
          <w:spacing w:val="-43"/>
          <w:w w:val="135"/>
          <w:sz w:val="20"/>
        </w:rPr>
        <w:t> </w:t>
      </w:r>
      <w:r>
        <w:rPr>
          <w:i/>
          <w:color w:val="030303"/>
          <w:w w:val="105"/>
          <w:sz w:val="12"/>
        </w:rPr>
        <w:t>ad</w:t>
        <w:tab/>
      </w:r>
      <w:r>
        <w:rPr>
          <w:rFonts w:ascii="Arial"/>
          <w:i/>
          <w:color w:val="030303"/>
          <w:w w:val="135"/>
          <w:sz w:val="26"/>
          <w:u w:val="single" w:color="000000"/>
        </w:rPr>
        <w:t>M </w:t>
      </w:r>
      <w:r>
        <w:rPr>
          <w:rFonts w:ascii="Arial"/>
          <w:color w:val="030303"/>
          <w:w w:val="170"/>
          <w:sz w:val="26"/>
          <w:u w:val="single" w:color="000000"/>
        </w:rPr>
        <w:t>-</w:t>
      </w:r>
      <w:r>
        <w:rPr>
          <w:rFonts w:ascii="Arial"/>
          <w:color w:val="030303"/>
          <w:spacing w:val="-73"/>
          <w:w w:val="170"/>
          <w:sz w:val="26"/>
          <w:u w:val="single" w:color="000000"/>
        </w:rPr>
        <w:t> </w:t>
      </w:r>
      <w:r>
        <w:rPr>
          <w:rFonts w:ascii="Arial"/>
          <w:i/>
          <w:color w:val="030303"/>
          <w:w w:val="105"/>
          <w:sz w:val="26"/>
          <w:u w:val="single" w:color="000000"/>
        </w:rPr>
        <w:t>M:!"</w:t>
      </w:r>
    </w:p>
    <w:p>
      <w:pPr>
        <w:spacing w:line="184" w:lineRule="exact" w:before="0"/>
        <w:ind w:left="29" w:right="87" w:firstLine="0"/>
        <w:jc w:val="center"/>
        <w:rPr>
          <w:sz w:val="12"/>
        </w:rPr>
      </w:pPr>
      <w:r>
        <w:rPr>
          <w:rFonts w:ascii="Arial" w:hAnsi="Arial"/>
          <w:b/>
          <w:i/>
          <w:color w:val="030303"/>
          <w:w w:val="115"/>
          <w:sz w:val="11"/>
        </w:rPr>
        <w:t>m    z</w:t>
      </w:r>
      <w:r>
        <w:rPr>
          <w:rFonts w:ascii="Arial" w:hAnsi="Arial"/>
          <w:b/>
          <w:i/>
          <w:color w:val="2F2F2F"/>
          <w:w w:val="115"/>
          <w:sz w:val="11"/>
        </w:rPr>
        <w:t>: </w:t>
      </w:r>
      <w:r>
        <w:rPr>
          <w:rFonts w:ascii="Arial" w:hAnsi="Arial"/>
          <w:b/>
          <w:i/>
          <w:color w:val="030303"/>
          <w:w w:val="115"/>
          <w:sz w:val="11"/>
        </w:rPr>
        <w:t>ñl   </w:t>
      </w:r>
      <w:r>
        <w:rPr>
          <w:color w:val="030303"/>
          <w:w w:val="115"/>
          <w:sz w:val="23"/>
        </w:rPr>
        <w:t>= </w:t>
      </w:r>
      <w:r>
        <w:rPr>
          <w:b/>
          <w:i/>
          <w:color w:val="030303"/>
          <w:w w:val="160"/>
          <w:sz w:val="11"/>
        </w:rPr>
        <w:t>N </w:t>
      </w:r>
      <w:r>
        <w:rPr>
          <w:b/>
          <w:i/>
          <w:color w:val="030303"/>
          <w:w w:val="105"/>
          <w:sz w:val="11"/>
        </w:rPr>
        <w:t>( T)   </w:t>
      </w:r>
      <w:r>
        <w:rPr>
          <w:color w:val="030303"/>
          <w:w w:val="225"/>
          <w:sz w:val="11"/>
        </w:rPr>
        <w:t>_ </w:t>
      </w:r>
      <w:r>
        <w:rPr>
          <w:b/>
          <w:color w:val="030303"/>
          <w:w w:val="160"/>
          <w:sz w:val="12"/>
        </w:rPr>
        <w:t>N( </w:t>
      </w:r>
      <w:r>
        <w:rPr>
          <w:b/>
          <w:color w:val="030303"/>
          <w:w w:val="115"/>
          <w:sz w:val="12"/>
        </w:rPr>
        <w:t>T)    </w:t>
      </w:r>
      <w:r>
        <w:rPr>
          <w:color w:val="030303"/>
          <w:w w:val="115"/>
          <w:sz w:val="12"/>
        </w:rPr>
        <w:t>•</w:t>
      </w:r>
    </w:p>
    <w:p>
      <w:pPr>
        <w:tabs>
          <w:tab w:pos="1515" w:val="left" w:leader="none"/>
        </w:tabs>
        <w:spacing w:line="116" w:lineRule="exact" w:before="0"/>
        <w:ind w:left="812" w:right="0" w:firstLine="0"/>
        <w:jc w:val="center"/>
        <w:rPr>
          <w:b/>
          <w:i/>
          <w:sz w:val="12"/>
        </w:rPr>
      </w:pPr>
      <w:r>
        <w:rPr>
          <w:b/>
          <w:i/>
          <w:color w:val="030303"/>
          <w:w w:val="130"/>
          <w:sz w:val="12"/>
        </w:rPr>
        <w:t>z</w:t>
        <w:tab/>
        <w:t>z+m</w:t>
      </w:r>
    </w:p>
    <w:p>
      <w:pPr>
        <w:pStyle w:val="BodyText"/>
        <w:spacing w:before="9"/>
        <w:rPr>
          <w:b/>
          <w:i/>
          <w:sz w:val="9"/>
        </w:rPr>
      </w:pPr>
    </w:p>
    <w:p>
      <w:pPr>
        <w:pStyle w:val="BodyText"/>
        <w:spacing w:line="235" w:lineRule="auto"/>
        <w:ind w:left="122" w:right="154" w:firstLine="197"/>
        <w:jc w:val="both"/>
      </w:pPr>
      <w:r>
        <w:rPr>
          <w:color w:val="030303"/>
          <w:sz w:val="21"/>
        </w:rPr>
        <w:t>In </w:t>
      </w:r>
      <w:r>
        <w:rPr>
          <w:color w:val="030303"/>
        </w:rPr>
        <w:t>practice, a special kind of approximation is often used  in obtaining net premiums for  the  accidental  death  benefit.  </w:t>
      </w:r>
      <w:r>
        <w:rPr>
          <w:color w:val="030303"/>
          <w:sz w:val="21"/>
        </w:rPr>
        <w:t>If  </w:t>
      </w:r>
      <w:r>
        <w:rPr>
          <w:color w:val="030303"/>
        </w:rPr>
        <w:t>the values of the probability of accidental dcath, </w:t>
      </w:r>
      <w:r>
        <w:rPr>
          <w:i/>
          <w:color w:val="030303"/>
          <w:sz w:val="21"/>
        </w:rPr>
        <w:t>q!d , </w:t>
      </w:r>
      <w:r>
        <w:rPr>
          <w:color w:val="030303"/>
        </w:rPr>
        <w:t>are available, the construction of the &lt;lou blc-decrcment table can be avoidcd. </w:t>
      </w:r>
      <w:r>
        <w:rPr>
          <w:color w:val="030303"/>
          <w:sz w:val="21"/>
        </w:rPr>
        <w:t>In </w:t>
      </w:r>
      <w:r>
        <w:rPr>
          <w:color w:val="030303"/>
          <w:w w:val="99"/>
        </w:rPr>
        <w:t>place  </w:t>
      </w:r>
      <w:r>
        <w:rPr>
          <w:color w:val="030303"/>
          <w:w w:val="83"/>
        </w:rPr>
        <w:t>of  </w:t>
      </w:r>
      <w:r>
        <w:rPr>
          <w:i/>
          <w:color w:val="030303"/>
          <w:w w:val="95"/>
          <w:sz w:val="21"/>
        </w:rPr>
        <w:t>D; </w:t>
      </w:r>
      <w:r>
        <w:rPr>
          <w:rFonts w:ascii="Arial"/>
          <w:i/>
          <w:color w:val="030303"/>
          <w:w w:val="63"/>
          <w:sz w:val="16"/>
        </w:rPr>
        <w:t>T&gt;   </w:t>
      </w:r>
      <w:r>
        <w:rPr>
          <w:color w:val="030303"/>
          <w:w w:val="104"/>
        </w:rPr>
        <w:t>and  </w:t>
      </w:r>
      <w:r>
        <w:rPr>
          <w:i/>
          <w:color w:val="030303"/>
          <w:w w:val="84"/>
          <w:sz w:val="21"/>
        </w:rPr>
        <w:t>N </w:t>
      </w:r>
      <w:r>
        <w:rPr>
          <w:i/>
          <w:color w:val="030303"/>
          <w:spacing w:val="5"/>
          <w:w w:val="99"/>
          <w:sz w:val="21"/>
        </w:rPr>
        <w:t>;</w:t>
      </w:r>
      <w:r>
        <w:rPr>
          <w:rFonts w:ascii="Arial"/>
          <w:i/>
          <w:color w:val="030303"/>
          <w:spacing w:val="5"/>
          <w:w w:val="99"/>
          <w:sz w:val="16"/>
        </w:rPr>
        <w:t>T&gt;,</w:t>
      </w:r>
      <w:r>
        <w:rPr>
          <w:rFonts w:ascii="Arial"/>
          <w:i/>
          <w:color w:val="030303"/>
          <w:w w:val="99"/>
          <w:sz w:val="16"/>
        </w:rPr>
        <w:t> </w:t>
      </w:r>
      <w:r>
        <w:rPr>
          <w:color w:val="030303"/>
          <w:w w:val="106"/>
        </w:rPr>
        <w:t>the </w:t>
      </w:r>
      <w:r>
        <w:rPr>
          <w:color w:val="030303"/>
          <w:w w:val="103"/>
        </w:rPr>
        <w:t>functions </w:t>
      </w:r>
      <w:r>
        <w:rPr>
          <w:i/>
          <w:color w:val="030303"/>
          <w:w w:val="85"/>
          <w:sz w:val="21"/>
        </w:rPr>
        <w:t>Dx  </w:t>
      </w:r>
      <w:r>
        <w:rPr>
          <w:color w:val="030303"/>
          <w:w w:val="106"/>
        </w:rPr>
        <w:t>and </w:t>
      </w:r>
      <w:r>
        <w:rPr>
          <w:i/>
          <w:color w:val="030303"/>
          <w:w w:val="88"/>
          <w:sz w:val="21"/>
        </w:rPr>
        <w:t>N </w:t>
      </w:r>
      <w:r>
        <w:rPr>
          <w:i/>
          <w:color w:val="030303"/>
          <w:w w:val="66"/>
          <w:sz w:val="21"/>
        </w:rPr>
        <w:t>z  </w:t>
      </w:r>
      <w:r>
        <w:rPr>
          <w:color w:val="030303"/>
          <w:w w:val="99"/>
        </w:rPr>
        <w:t>from  </w:t>
      </w:r>
      <w:r>
        <w:rPr>
          <w:color w:val="030303"/>
          <w:w w:val="107"/>
        </w:rPr>
        <w:t>a </w:t>
      </w:r>
      <w:r>
        <w:rPr>
          <w:color w:val="030303"/>
          <w:spacing w:val="3"/>
          <w:w w:val="107"/>
        </w:rPr>
        <w:t> </w:t>
      </w:r>
      <w:r>
        <w:rPr>
          <w:color w:val="030303"/>
          <w:w w:val="109"/>
        </w:rPr>
        <w:t>standard</w:t>
      </w:r>
    </w:p>
    <w:p>
      <w:pPr>
        <w:spacing w:after="0" w:line="235" w:lineRule="auto"/>
        <w:jc w:val="both"/>
        <w:sectPr>
          <w:type w:val="continuous"/>
          <w:pgSz w:w="7200" w:h="11340"/>
          <w:pgMar w:top="1100" w:bottom="0" w:left="660" w:right="540"/>
        </w:sectPr>
      </w:pPr>
    </w:p>
    <w:p>
      <w:pPr>
        <w:tabs>
          <w:tab w:pos="5247" w:val="left" w:leader="none"/>
        </w:tabs>
        <w:spacing w:before="57"/>
        <w:ind w:left="128" w:right="0" w:firstLine="3"/>
        <w:jc w:val="both"/>
        <w:rPr>
          <w:b/>
          <w:sz w:val="19"/>
        </w:rPr>
      </w:pPr>
      <w:r>
        <w:rPr>
          <w:rFonts w:ascii="Courier New"/>
          <w:b/>
          <w:spacing w:val="-16"/>
          <w:sz w:val="22"/>
        </w:rPr>
        <w:t>286         </w:t>
      </w:r>
      <w:r>
        <w:rPr>
          <w:rFonts w:ascii="Courier New"/>
          <w:b/>
          <w:spacing w:val="88"/>
          <w:sz w:val="22"/>
        </w:rPr>
        <w:t> </w:t>
      </w:r>
      <w:r>
        <w:rPr>
          <w:b/>
          <w:sz w:val="15"/>
        </w:rPr>
        <w:t>MULTIPLE-DECREMENT  </w:t>
      </w:r>
      <w:r>
        <w:rPr>
          <w:b/>
          <w:spacing w:val="17"/>
          <w:sz w:val="15"/>
        </w:rPr>
        <w:t> </w:t>
      </w:r>
      <w:r>
        <w:rPr>
          <w:b/>
          <w:sz w:val="15"/>
        </w:rPr>
        <w:t>TABLES</w:t>
        <w:tab/>
      </w:r>
      <w:r>
        <w:rPr>
          <w:b/>
          <w:sz w:val="19"/>
        </w:rPr>
        <w:t>[CH.</w:t>
      </w:r>
      <w:r>
        <w:rPr>
          <w:b/>
          <w:spacing w:val="-1"/>
          <w:sz w:val="19"/>
        </w:rPr>
        <w:t> </w:t>
      </w:r>
      <w:r>
        <w:rPr>
          <w:b/>
          <w:sz w:val="19"/>
        </w:rPr>
        <w:t>14</w:t>
      </w:r>
    </w:p>
    <w:p>
      <w:pPr>
        <w:pStyle w:val="BodyText"/>
        <w:spacing w:before="4"/>
        <w:rPr>
          <w:b/>
          <w:sz w:val="18"/>
        </w:rPr>
      </w:pPr>
    </w:p>
    <w:p>
      <w:pPr>
        <w:spacing w:line="242" w:lineRule="exact" w:before="1"/>
        <w:ind w:left="132" w:right="146" w:hanging="4"/>
        <w:jc w:val="both"/>
        <w:rPr>
          <w:sz w:val="21"/>
        </w:rPr>
      </w:pPr>
      <w:r>
        <w:rPr/>
        <w:drawing>
          <wp:anchor distT="0" distB="0" distL="0" distR="0" allowOverlap="1" layoutInCell="1" locked="0" behindDoc="0" simplePos="0" relativeHeight="23416">
            <wp:simplePos x="0" y="0"/>
            <wp:positionH relativeFrom="page">
              <wp:posOffset>1874520</wp:posOffset>
            </wp:positionH>
            <wp:positionV relativeFrom="paragraph">
              <wp:posOffset>381889</wp:posOffset>
            </wp:positionV>
            <wp:extent cx="886968" cy="164591"/>
            <wp:effectExtent l="0" t="0" r="0" b="0"/>
            <wp:wrapTopAndBottom/>
            <wp:docPr id="701" name="image357.png" descr=""/>
            <wp:cNvGraphicFramePr>
              <a:graphicFrameLocks noChangeAspect="1"/>
            </wp:cNvGraphicFramePr>
            <a:graphic>
              <a:graphicData uri="http://schemas.openxmlformats.org/drawingml/2006/picture">
                <pic:pic>
                  <pic:nvPicPr>
                    <pic:cNvPr id="702" name="image357.png"/>
                    <pic:cNvPicPr/>
                  </pic:nvPicPr>
                  <pic:blipFill>
                    <a:blip r:embed="rId361" cstate="print"/>
                    <a:stretch>
                      <a:fillRect/>
                    </a:stretch>
                  </pic:blipFill>
                  <pic:spPr>
                    <a:xfrm>
                      <a:off x="0" y="0"/>
                      <a:ext cx="886968" cy="164591"/>
                    </a:xfrm>
                    <a:prstGeom prst="rect">
                      <a:avLst/>
                    </a:prstGeom>
                  </pic:spPr>
                </pic:pic>
              </a:graphicData>
            </a:graphic>
          </wp:anchor>
        </w:drawing>
      </w:r>
      <w:r>
        <w:rPr>
          <w:sz w:val="21"/>
        </w:rPr>
        <w:t>mortality table are used. The values </w:t>
      </w:r>
      <w:r>
        <w:rPr>
          <w:b/>
          <w:sz w:val="21"/>
        </w:rPr>
        <w:t>of </w:t>
      </w:r>
      <w:r>
        <w:rPr>
          <w:b/>
          <w:i/>
          <w:w w:val="85"/>
          <w:sz w:val="26"/>
        </w:rPr>
        <w:t>C:c1 </w:t>
      </w:r>
      <w:r>
        <w:rPr>
          <w:sz w:val="21"/>
        </w:rPr>
        <w:t>are then obtained from the formula</w:t>
      </w:r>
    </w:p>
    <w:p>
      <w:pPr>
        <w:spacing w:before="66"/>
        <w:ind w:left="128" w:right="128" w:firstLine="0"/>
        <w:jc w:val="both"/>
        <w:rPr>
          <w:sz w:val="21"/>
        </w:rPr>
      </w:pPr>
      <w:r>
        <w:rPr>
          <w:sz w:val="21"/>
        </w:rPr>
        <w:t>Functions computed in this way are said to be based upon the accidental death table  combined  with  the  standard  mortality table.</w:t>
      </w:r>
    </w:p>
    <w:p>
      <w:pPr>
        <w:spacing w:line="240" w:lineRule="auto" w:before="0"/>
        <w:ind w:left="121" w:right="137" w:firstLine="205"/>
        <w:jc w:val="both"/>
        <w:rPr>
          <w:sz w:val="21"/>
        </w:rPr>
      </w:pPr>
      <w:r>
        <w:rPr>
          <w:sz w:val="21"/>
        </w:rPr>
        <w:t>Special methods have been developed in two other important fields of application, pension plans and disability benefits.  They will  be taken  up  in Chapter 16.</w:t>
      </w:r>
    </w:p>
    <w:p>
      <w:pPr>
        <w:pStyle w:val="ListParagraph"/>
        <w:numPr>
          <w:ilvl w:val="0"/>
          <w:numId w:val="128"/>
        </w:numPr>
        <w:tabs>
          <w:tab w:pos="356" w:val="left" w:leader="none"/>
        </w:tabs>
        <w:spacing w:line="240" w:lineRule="auto" w:before="148" w:after="0"/>
        <w:ind w:left="355" w:right="0" w:hanging="238"/>
        <w:jc w:val="both"/>
        <w:rPr>
          <w:b/>
          <w:sz w:val="19"/>
        </w:rPr>
      </w:pPr>
      <w:r>
        <w:rPr>
          <w:b/>
          <w:w w:val="120"/>
          <w:sz w:val="19"/>
        </w:rPr>
        <w:t>Notation</w:t>
      </w:r>
    </w:p>
    <w:p>
      <w:pPr>
        <w:spacing w:before="76"/>
        <w:ind w:left="124" w:right="135" w:firstLine="198"/>
        <w:jc w:val="both"/>
        <w:rPr>
          <w:sz w:val="21"/>
        </w:rPr>
      </w:pPr>
      <w:r>
        <w:rPr>
          <w:sz w:val="21"/>
        </w:rPr>
        <w:t>At the present time there is no generally accepted standard notation for multiple-decrement functions. The usual practice is to assign symbols according to the nature of  the problem  under   con­</w:t>
      </w:r>
    </w:p>
    <w:p>
      <w:pPr>
        <w:spacing w:line="141" w:lineRule="auto" w:before="80"/>
        <w:ind w:left="128" w:right="143" w:firstLine="0"/>
        <w:jc w:val="both"/>
        <w:rPr>
          <w:sz w:val="21"/>
        </w:rPr>
      </w:pPr>
      <w:r>
        <w:rPr>
          <w:sz w:val="21"/>
        </w:rPr>
        <w:t>sideration. </w:t>
      </w:r>
      <w:r>
        <w:rPr>
          <w:sz w:val="19"/>
        </w:rPr>
        <w:t>If </w:t>
      </w:r>
      <w:r>
        <w:rPr>
          <w:sz w:val="21"/>
        </w:rPr>
        <w:t>the cause of decrement is withdrawal, for example, </w:t>
      </w:r>
      <w:r>
        <w:rPr>
          <w:w w:val="104"/>
          <w:sz w:val="21"/>
        </w:rPr>
        <w:t>the </w:t>
      </w:r>
      <w:r>
        <w:rPr>
          <w:w w:val="98"/>
          <w:sz w:val="21"/>
        </w:rPr>
        <w:t>symbol </w:t>
      </w:r>
      <w:r>
        <w:rPr>
          <w:i/>
          <w:w w:val="104"/>
          <w:sz w:val="14"/>
        </w:rPr>
        <w:t>Wz  </w:t>
      </w:r>
      <w:r>
        <w:rPr>
          <w:w w:val="100"/>
          <w:sz w:val="21"/>
        </w:rPr>
        <w:t>may </w:t>
      </w:r>
      <w:r>
        <w:rPr>
          <w:w w:val="94"/>
          <w:sz w:val="21"/>
        </w:rPr>
        <w:t>be </w:t>
      </w:r>
      <w:r>
        <w:rPr>
          <w:w w:val="93"/>
          <w:sz w:val="21"/>
        </w:rPr>
        <w:t>used  </w:t>
      </w:r>
      <w:r>
        <w:rPr>
          <w:w w:val="94"/>
          <w:sz w:val="21"/>
        </w:rPr>
        <w:t>in </w:t>
      </w:r>
      <w:r>
        <w:rPr>
          <w:w w:val="95"/>
          <w:sz w:val="21"/>
        </w:rPr>
        <w:t>place </w:t>
      </w:r>
      <w:r>
        <w:rPr>
          <w:w w:val="83"/>
          <w:sz w:val="21"/>
        </w:rPr>
        <w:t>of  </w:t>
      </w:r>
      <w:r>
        <w:rPr>
          <w:rFonts w:ascii="Arial"/>
          <w:i/>
          <w:w w:val="75"/>
          <w:sz w:val="31"/>
        </w:rPr>
        <w:t>d;</w:t>
      </w:r>
      <w:r>
        <w:rPr>
          <w:i/>
          <w:w w:val="75"/>
          <w:position w:val="10"/>
          <w:sz w:val="8"/>
        </w:rPr>
        <w:t>10</w:t>
      </w:r>
      <w:r>
        <w:rPr>
          <w:rFonts w:ascii="Arial"/>
          <w:i/>
          <w:w w:val="75"/>
          <w:sz w:val="20"/>
        </w:rPr>
        <w:t>&gt; </w:t>
      </w:r>
      <w:r>
        <w:rPr>
          <w:rFonts w:ascii="Arial"/>
          <w:i/>
          <w:w w:val="101"/>
          <w:sz w:val="20"/>
        </w:rPr>
        <w:t>. </w:t>
      </w:r>
      <w:r>
        <w:rPr>
          <w:w w:val="103"/>
          <w:sz w:val="21"/>
        </w:rPr>
        <w:t>Mortality  </w:t>
      </w:r>
      <w:r>
        <w:rPr>
          <w:w w:val="94"/>
          <w:sz w:val="21"/>
        </w:rPr>
        <w:t>is  </w:t>
      </w:r>
      <w:r>
        <w:rPr>
          <w:w w:val="98"/>
          <w:sz w:val="21"/>
        </w:rPr>
        <w:t>normally</w:t>
      </w:r>
    </w:p>
    <w:p>
      <w:pPr>
        <w:spacing w:line="234" w:lineRule="exact" w:before="19"/>
        <w:ind w:left="124" w:right="137" w:firstLine="3"/>
        <w:jc w:val="both"/>
        <w:rPr>
          <w:sz w:val="21"/>
        </w:rPr>
      </w:pPr>
      <w:r>
        <w:rPr>
          <w:sz w:val="21"/>
        </w:rPr>
        <w:t>one of the decrements considered, and the symbol </w:t>
      </w:r>
      <w:r>
        <w:rPr>
          <w:i/>
          <w:spacing w:val="7"/>
          <w:sz w:val="20"/>
        </w:rPr>
        <w:t>dz </w:t>
      </w:r>
      <w:r>
        <w:rPr>
          <w:sz w:val="21"/>
        </w:rPr>
        <w:t>is of ten used for</w:t>
      </w:r>
      <w:r>
        <w:rPr>
          <w:spacing w:val="-16"/>
          <w:sz w:val="21"/>
        </w:rPr>
        <w:t> </w:t>
      </w:r>
      <w:r>
        <w:rPr>
          <w:rFonts w:ascii="Arial"/>
          <w:i/>
          <w:sz w:val="20"/>
        </w:rPr>
        <w:t>d;d&gt;</w:t>
      </w:r>
      <w:r>
        <w:rPr>
          <w:rFonts w:ascii="Arial"/>
          <w:i/>
          <w:spacing w:val="-34"/>
          <w:sz w:val="20"/>
        </w:rPr>
        <w:t> </w:t>
      </w:r>
      <w:r>
        <w:rPr>
          <w:rFonts w:ascii="Arial"/>
          <w:i/>
          <w:sz w:val="20"/>
        </w:rPr>
        <w:t>.</w:t>
      </w:r>
      <w:r>
        <w:rPr>
          <w:rFonts w:ascii="Arial"/>
          <w:i/>
          <w:spacing w:val="-36"/>
          <w:sz w:val="20"/>
        </w:rPr>
        <w:t> </w:t>
      </w:r>
      <w:r>
        <w:rPr>
          <w:sz w:val="21"/>
        </w:rPr>
        <w:t>When</w:t>
      </w:r>
      <w:r>
        <w:rPr>
          <w:spacing w:val="-6"/>
          <w:sz w:val="21"/>
        </w:rPr>
        <w:t> </w:t>
      </w:r>
      <w:r>
        <w:rPr>
          <w:sz w:val="21"/>
        </w:rPr>
        <w:t>no</w:t>
      </w:r>
      <w:r>
        <w:rPr>
          <w:spacing w:val="-12"/>
          <w:sz w:val="21"/>
        </w:rPr>
        <w:t> </w:t>
      </w:r>
      <w:r>
        <w:rPr>
          <w:sz w:val="21"/>
        </w:rPr>
        <w:t>confusion</w:t>
      </w:r>
      <w:r>
        <w:rPr>
          <w:spacing w:val="-10"/>
          <w:sz w:val="21"/>
        </w:rPr>
        <w:t> </w:t>
      </w:r>
      <w:r>
        <w:rPr>
          <w:sz w:val="21"/>
        </w:rPr>
        <w:t>will</w:t>
      </w:r>
      <w:r>
        <w:rPr>
          <w:spacing w:val="-5"/>
          <w:sz w:val="21"/>
        </w:rPr>
        <w:t> </w:t>
      </w:r>
      <w:r>
        <w:rPr>
          <w:sz w:val="21"/>
        </w:rPr>
        <w:t>arise,</w:t>
      </w:r>
      <w:r>
        <w:rPr>
          <w:spacing w:val="-13"/>
          <w:sz w:val="21"/>
        </w:rPr>
        <w:t> </w:t>
      </w:r>
      <w:r>
        <w:rPr>
          <w:sz w:val="21"/>
        </w:rPr>
        <w:t>the</w:t>
      </w:r>
      <w:r>
        <w:rPr>
          <w:spacing w:val="-3"/>
          <w:sz w:val="21"/>
        </w:rPr>
        <w:t> </w:t>
      </w:r>
      <w:r>
        <w:rPr>
          <w:sz w:val="21"/>
        </w:rPr>
        <w:t>superscribed</w:t>
      </w:r>
      <w:r>
        <w:rPr>
          <w:spacing w:val="12"/>
          <w:sz w:val="21"/>
        </w:rPr>
        <w:t> </w:t>
      </w:r>
      <w:r>
        <w:rPr>
          <w:sz w:val="21"/>
        </w:rPr>
        <w:t>parentheses</w:t>
      </w:r>
    </w:p>
    <w:p>
      <w:pPr>
        <w:spacing w:line="250" w:lineRule="exact" w:before="0"/>
        <w:ind w:left="128" w:right="0" w:hanging="4"/>
        <w:jc w:val="both"/>
        <w:rPr>
          <w:sz w:val="21"/>
        </w:rPr>
      </w:pPr>
      <w:r>
        <w:rPr>
          <w:sz w:val="21"/>
        </w:rPr>
        <w:t>are often omitted, and symbols like  Z;  and  </w:t>
      </w:r>
      <w:r>
        <w:rPr>
          <w:rFonts w:ascii="Arial" w:hAnsi="Arial"/>
          <w:i/>
          <w:w w:val="90"/>
          <w:sz w:val="28"/>
        </w:rPr>
        <w:t>el! </w:t>
      </w:r>
      <w:r>
        <w:rPr>
          <w:sz w:val="21"/>
        </w:rPr>
        <w:t>are  commonly en­</w:t>
      </w:r>
    </w:p>
    <w:p>
      <w:pPr>
        <w:spacing w:line="240" w:lineRule="auto" w:before="0"/>
        <w:ind w:left="121" w:right="140" w:firstLine="7"/>
        <w:jc w:val="both"/>
        <w:rPr>
          <w:sz w:val="21"/>
        </w:rPr>
      </w:pPr>
      <w:r>
        <w:rPr>
          <w:sz w:val="21"/>
        </w:rPr>
        <w:t>countered. In order to accustom the student to this notational flexibility, we shall frequently use alternative symbols in the fol­ lowing chapters. A few notations involving different symbols have already appeared, and others will be encountered in the exercises that follow.</w:t>
      </w:r>
    </w:p>
    <w:p>
      <w:pPr>
        <w:pStyle w:val="BodyText"/>
        <w:spacing w:before="3"/>
        <w:rPr>
          <w:sz w:val="16"/>
        </w:rPr>
      </w:pPr>
    </w:p>
    <w:p>
      <w:pPr>
        <w:spacing w:before="0"/>
        <w:ind w:left="121" w:right="0" w:firstLine="0"/>
        <w:jc w:val="both"/>
        <w:rPr>
          <w:b/>
          <w:sz w:val="19"/>
        </w:rPr>
      </w:pPr>
      <w:r>
        <w:rPr>
          <w:b/>
          <w:w w:val="115"/>
          <w:sz w:val="19"/>
        </w:rPr>
        <w:t>References</w:t>
      </w:r>
    </w:p>
    <w:p>
      <w:pPr>
        <w:spacing w:line="240" w:lineRule="auto" w:before="79"/>
        <w:ind w:left="124" w:right="146" w:firstLine="198"/>
        <w:jc w:val="both"/>
        <w:rPr>
          <w:sz w:val="21"/>
        </w:rPr>
      </w:pPr>
      <w:r>
        <w:rPr>
          <w:sz w:val="21"/>
        </w:rPr>
        <w:t>A general treatment of multiple-decrement theory is given by Bailey and Haycocks (1946) and by Hooker and Longley-Cook (1957 ). apers which discuss the subject from a special  point  of view are Nesbitt and Van Eenam (1948), Bicknell and  Nesbitt (1956 ), and Hickman (1964).</w:t>
      </w:r>
    </w:p>
    <w:p>
      <w:pPr>
        <w:spacing w:line="240" w:lineRule="auto" w:before="0"/>
        <w:ind w:left="124" w:right="145" w:firstLine="201"/>
        <w:jc w:val="both"/>
        <w:rPr>
          <w:sz w:val="21"/>
        </w:rPr>
      </w:pPr>
      <w:r>
        <w:rPr>
          <w:sz w:val="21"/>
        </w:rPr>
        <w:t>Greville (1948, 1954) has discussed a special type of multiple­ decrement table in which the decrements are deaths arising from different causes.</w:t>
      </w:r>
    </w:p>
    <w:p>
      <w:pPr>
        <w:spacing w:line="238" w:lineRule="exact" w:before="5"/>
        <w:ind w:left="132" w:right="150" w:firstLine="194"/>
        <w:jc w:val="both"/>
        <w:rPr>
          <w:sz w:val="21"/>
        </w:rPr>
      </w:pPr>
      <w:r>
        <w:rPr>
          <w:rFonts w:ascii="Arial"/>
          <w:b/>
          <w:sz w:val="19"/>
        </w:rPr>
        <w:t>4. </w:t>
      </w:r>
      <w:r>
        <w:rPr>
          <w:sz w:val="21"/>
        </w:rPr>
        <w:t>Methods of approximating the forces of decrement are givcn  by Menge  (1932).</w:t>
      </w:r>
    </w:p>
    <w:p>
      <w:pPr>
        <w:spacing w:line="238" w:lineRule="exact" w:before="3"/>
        <w:ind w:left="164" w:right="150" w:firstLine="162"/>
        <w:jc w:val="both"/>
        <w:rPr>
          <w:sz w:val="21"/>
        </w:rPr>
      </w:pPr>
      <w:r>
        <w:rPr>
          <w:rFonts w:ascii="Arial"/>
          <w:b/>
          <w:sz w:val="19"/>
        </w:rPr>
        <w:t>6. </w:t>
      </w:r>
      <w:r>
        <w:rPr>
          <w:sz w:val="21"/>
        </w:rPr>
        <w:t>The problem of this section  is  discussed  by  Gershenson </w:t>
      </w:r>
      <w:r>
        <w:rPr>
          <w:w w:val="95"/>
          <w:sz w:val="21"/>
        </w:rPr>
        <w:t>(1957 ).</w:t>
      </w:r>
    </w:p>
    <w:p>
      <w:pPr>
        <w:spacing w:line="253" w:lineRule="exact" w:before="0"/>
        <w:ind w:left="322" w:right="0" w:firstLine="0"/>
        <w:jc w:val="left"/>
        <w:rPr>
          <w:sz w:val="21"/>
        </w:rPr>
      </w:pPr>
      <w:r>
        <w:rPr>
          <w:rFonts w:ascii="Arial"/>
          <w:b/>
          <w:w w:val="102"/>
          <w:sz w:val="19"/>
        </w:rPr>
        <w:t>8.</w:t>
      </w:r>
      <w:r>
        <w:rPr>
          <w:rFonts w:ascii="Arial"/>
          <w:b/>
          <w:sz w:val="19"/>
        </w:rPr>
        <w:t> </w:t>
      </w:r>
      <w:r>
        <w:rPr>
          <w:rFonts w:ascii="Arial"/>
          <w:b/>
          <w:spacing w:val="-17"/>
          <w:sz w:val="19"/>
        </w:rPr>
        <w:t> </w:t>
      </w:r>
      <w:r>
        <w:rPr>
          <w:w w:val="97"/>
          <w:sz w:val="21"/>
        </w:rPr>
        <w:t>Values</w:t>
      </w:r>
      <w:r>
        <w:rPr>
          <w:sz w:val="21"/>
        </w:rPr>
        <w:t> </w:t>
      </w:r>
      <w:r>
        <w:rPr>
          <w:spacing w:val="-14"/>
          <w:sz w:val="21"/>
        </w:rPr>
        <w:t> </w:t>
      </w:r>
      <w:r>
        <w:rPr>
          <w:w w:val="81"/>
          <w:sz w:val="21"/>
        </w:rPr>
        <w:t>of</w:t>
      </w:r>
      <w:r>
        <w:rPr>
          <w:sz w:val="21"/>
        </w:rPr>
        <w:t> </w:t>
      </w:r>
      <w:r>
        <w:rPr>
          <w:spacing w:val="-1"/>
          <w:sz w:val="21"/>
        </w:rPr>
        <w:t> </w:t>
      </w:r>
      <w:r>
        <w:rPr>
          <w:w w:val="107"/>
          <w:sz w:val="21"/>
        </w:rPr>
        <w:t>the</w:t>
      </w:r>
      <w:r>
        <w:rPr>
          <w:sz w:val="21"/>
        </w:rPr>
        <w:t> </w:t>
      </w:r>
      <w:r>
        <w:rPr>
          <w:spacing w:val="-19"/>
          <w:sz w:val="21"/>
        </w:rPr>
        <w:t> </w:t>
      </w:r>
      <w:r>
        <w:rPr>
          <w:w w:val="100"/>
          <w:sz w:val="21"/>
        </w:rPr>
        <w:t>accidental</w:t>
      </w:r>
      <w:r>
        <w:rPr>
          <w:sz w:val="21"/>
        </w:rPr>
        <w:t> </w:t>
      </w:r>
      <w:r>
        <w:rPr>
          <w:spacing w:val="-6"/>
          <w:sz w:val="21"/>
        </w:rPr>
        <w:t> </w:t>
      </w:r>
      <w:r>
        <w:rPr>
          <w:w w:val="104"/>
          <w:sz w:val="21"/>
        </w:rPr>
        <w:t>death</w:t>
      </w:r>
      <w:r>
        <w:rPr>
          <w:sz w:val="21"/>
        </w:rPr>
        <w:t> </w:t>
      </w:r>
      <w:r>
        <w:rPr>
          <w:spacing w:val="-14"/>
          <w:sz w:val="21"/>
        </w:rPr>
        <w:t> </w:t>
      </w:r>
      <w:r>
        <w:rPr>
          <w:w w:val="99"/>
          <w:sz w:val="21"/>
        </w:rPr>
        <w:t>functions</w:t>
      </w:r>
      <w:r>
        <w:rPr>
          <w:sz w:val="21"/>
        </w:rPr>
        <w:t> </w:t>
      </w:r>
      <w:r>
        <w:rPr>
          <w:spacing w:val="-12"/>
          <w:sz w:val="21"/>
        </w:rPr>
        <w:t> </w:t>
      </w:r>
      <w:r>
        <w:rPr>
          <w:i/>
          <w:w w:val="96"/>
          <w:sz w:val="20"/>
        </w:rPr>
        <w:t>q</w:t>
      </w:r>
      <w:r>
        <w:rPr>
          <w:i/>
          <w:spacing w:val="-7"/>
          <w:w w:val="96"/>
          <w:sz w:val="20"/>
        </w:rPr>
        <w:t>:</w:t>
      </w:r>
      <w:r>
        <w:rPr>
          <w:i/>
          <w:w w:val="36"/>
          <w:sz w:val="20"/>
        </w:rPr>
        <w:t>c1</w:t>
      </w:r>
      <w:r>
        <w:rPr>
          <w:i/>
          <w:sz w:val="20"/>
        </w:rPr>
        <w:t> </w:t>
      </w:r>
      <w:r>
        <w:rPr>
          <w:i/>
          <w:spacing w:val="-15"/>
          <w:sz w:val="20"/>
        </w:rPr>
        <w:t> </w:t>
      </w:r>
      <w:r>
        <w:rPr>
          <w:w w:val="104"/>
          <w:sz w:val="21"/>
        </w:rPr>
        <w:t>and</w:t>
      </w:r>
      <w:r>
        <w:rPr>
          <w:sz w:val="21"/>
        </w:rPr>
        <w:t> </w:t>
      </w:r>
      <w:r>
        <w:rPr>
          <w:spacing w:val="-10"/>
          <w:sz w:val="21"/>
        </w:rPr>
        <w:t> </w:t>
      </w:r>
      <w:r>
        <w:rPr>
          <w:rFonts w:ascii="Arial"/>
          <w:w w:val="88"/>
          <w:sz w:val="28"/>
        </w:rPr>
        <w:t>e:',</w:t>
      </w:r>
      <w:r>
        <w:rPr>
          <w:rFonts w:ascii="Arial"/>
          <w:spacing w:val="5"/>
          <w:sz w:val="28"/>
        </w:rPr>
        <w:t> </w:t>
      </w:r>
      <w:r>
        <w:rPr>
          <w:w w:val="96"/>
          <w:sz w:val="21"/>
        </w:rPr>
        <w:t>based</w:t>
      </w:r>
    </w:p>
    <w:p>
      <w:pPr>
        <w:spacing w:after="0" w:line="253" w:lineRule="exact"/>
        <w:jc w:val="left"/>
        <w:rPr>
          <w:sz w:val="21"/>
        </w:rPr>
        <w:sectPr>
          <w:pgSz w:w="7200" w:h="11340"/>
          <w:pgMar w:top="480" w:bottom="280" w:left="660" w:right="540"/>
        </w:sectPr>
      </w:pPr>
    </w:p>
    <w:p>
      <w:pPr>
        <w:tabs>
          <w:tab w:pos="5865" w:val="right" w:leader="none"/>
        </w:tabs>
        <w:spacing w:before="50"/>
        <w:ind w:left="2562" w:right="0" w:firstLine="0"/>
        <w:jc w:val="left"/>
        <w:rPr>
          <w:rFonts w:ascii="Arial"/>
          <w:sz w:val="20"/>
        </w:rPr>
      </w:pPr>
      <w:r>
        <w:rPr>
          <w:sz w:val="15"/>
        </w:rPr>
        <w:t>EXERCISES</w:t>
      </w:r>
      <w:r>
        <w:rPr>
          <w:rFonts w:ascii="Arial"/>
          <w:sz w:val="20"/>
        </w:rPr>
        <w:tab/>
        <w:t>287</w:t>
      </w:r>
    </w:p>
    <w:p>
      <w:pPr>
        <w:pStyle w:val="BodyText"/>
        <w:spacing w:before="1"/>
        <w:rPr>
          <w:rFonts w:ascii="Arial"/>
          <w:sz w:val="21"/>
        </w:rPr>
      </w:pPr>
    </w:p>
    <w:p>
      <w:pPr>
        <w:pStyle w:val="BodyText"/>
        <w:spacing w:line="252" w:lineRule="auto"/>
        <w:ind w:left="135" w:right="133" w:firstLine="14"/>
      </w:pPr>
      <w:r>
        <w:rPr>
          <w:w w:val="105"/>
        </w:rPr>
        <w:t>upon recent insurance experience, have been tabulatcd by Brodie and Kovember  (1959).</w:t>
      </w:r>
    </w:p>
    <w:p>
      <w:pPr>
        <w:spacing w:before="152"/>
        <w:ind w:left="74" w:right="53" w:firstLine="0"/>
        <w:jc w:val="center"/>
        <w:rPr>
          <w:sz w:val="18"/>
        </w:rPr>
      </w:pPr>
      <w:r>
        <w:rPr>
          <w:w w:val="105"/>
          <w:sz w:val="18"/>
        </w:rPr>
        <w:t>EXERCISES</w:t>
      </w:r>
    </w:p>
    <w:p>
      <w:pPr>
        <w:pStyle w:val="ListParagraph"/>
        <w:numPr>
          <w:ilvl w:val="0"/>
          <w:numId w:val="129"/>
        </w:numPr>
        <w:tabs>
          <w:tab w:pos="316" w:val="left" w:leader="none"/>
        </w:tabs>
        <w:spacing w:line="240" w:lineRule="auto" w:before="157" w:after="0"/>
        <w:ind w:left="315" w:right="0" w:hanging="173"/>
        <w:jc w:val="left"/>
        <w:rPr>
          <w:b/>
          <w:sz w:val="16"/>
        </w:rPr>
      </w:pPr>
      <w:r>
        <w:rPr>
          <w:b/>
          <w:w w:val="125"/>
          <w:sz w:val="16"/>
        </w:rPr>
        <w:t>Introduction; 2. Probabilities of</w:t>
      </w:r>
      <w:r>
        <w:rPr>
          <w:b/>
          <w:spacing w:val="29"/>
          <w:w w:val="125"/>
          <w:sz w:val="16"/>
        </w:rPr>
        <w:t> </w:t>
      </w:r>
      <w:r>
        <w:rPr>
          <w:b/>
          <w:w w:val="125"/>
          <w:sz w:val="16"/>
        </w:rPr>
        <w:t>decrement</w:t>
      </w:r>
    </w:p>
    <w:p>
      <w:pPr>
        <w:pStyle w:val="ListParagraph"/>
        <w:numPr>
          <w:ilvl w:val="1"/>
          <w:numId w:val="129"/>
        </w:numPr>
        <w:tabs>
          <w:tab w:pos="510" w:val="left" w:leader="none"/>
        </w:tabs>
        <w:spacing w:line="240" w:lineRule="auto" w:before="87" w:after="0"/>
        <w:ind w:left="510" w:right="0" w:hanging="202"/>
        <w:jc w:val="left"/>
        <w:rPr>
          <w:sz w:val="17"/>
        </w:rPr>
      </w:pPr>
      <w:r>
        <w:rPr>
          <w:w w:val="110"/>
          <w:sz w:val="17"/>
        </w:rPr>
        <w:t>Compute from  Table</w:t>
      </w:r>
      <w:r>
        <w:rPr>
          <w:spacing w:val="15"/>
          <w:w w:val="110"/>
          <w:sz w:val="17"/>
        </w:rPr>
        <w:t> </w:t>
      </w:r>
      <w:r>
        <w:rPr>
          <w:w w:val="110"/>
          <w:sz w:val="17"/>
        </w:rPr>
        <w:t>8</w:t>
      </w:r>
    </w:p>
    <w:p>
      <w:pPr>
        <w:pStyle w:val="ListParagraph"/>
        <w:numPr>
          <w:ilvl w:val="2"/>
          <w:numId w:val="129"/>
        </w:numPr>
        <w:tabs>
          <w:tab w:pos="762" w:val="left" w:leader="none"/>
        </w:tabs>
        <w:spacing w:line="247" w:lineRule="auto" w:before="6" w:after="0"/>
        <w:ind w:left="762" w:right="138" w:hanging="288"/>
        <w:jc w:val="both"/>
        <w:rPr>
          <w:sz w:val="17"/>
        </w:rPr>
      </w:pPr>
      <w:r>
        <w:rPr>
          <w:w w:val="105"/>
          <w:sz w:val="17"/>
        </w:rPr>
        <w:t>the probability that (26) will leave the body of lives as a result of  cause  (1)  at  age  29  last</w:t>
      </w:r>
      <w:r>
        <w:rPr>
          <w:spacing w:val="40"/>
          <w:w w:val="105"/>
          <w:sz w:val="17"/>
        </w:rPr>
        <w:t> </w:t>
      </w:r>
      <w:r>
        <w:rPr>
          <w:w w:val="105"/>
          <w:sz w:val="17"/>
        </w:rPr>
        <w:t>birthday;</w:t>
      </w:r>
    </w:p>
    <w:p>
      <w:pPr>
        <w:pStyle w:val="ListParagraph"/>
        <w:numPr>
          <w:ilvl w:val="2"/>
          <w:numId w:val="129"/>
        </w:numPr>
        <w:tabs>
          <w:tab w:pos="759" w:val="left" w:leader="none"/>
        </w:tabs>
        <w:spacing w:line="235" w:lineRule="auto" w:before="3" w:after="0"/>
        <w:ind w:left="754" w:right="105" w:hanging="284"/>
        <w:jc w:val="both"/>
        <w:rPr>
          <w:sz w:val="17"/>
        </w:rPr>
      </w:pPr>
      <w:r>
        <w:rPr>
          <w:w w:val="110"/>
          <w:sz w:val="17"/>
        </w:rPr>
        <w:t>the probability that (24) will attain age 26 in the body oí lives and </w:t>
      </w:r>
      <w:r>
        <w:rPr>
          <w:w w:val="110"/>
          <w:sz w:val="19"/>
        </w:rPr>
        <w:t>will </w:t>
      </w:r>
      <w:r>
        <w:rPr>
          <w:w w:val="110"/>
          <w:sz w:val="17"/>
        </w:rPr>
        <w:t>then lea.ve as a result of cause (2) within the succeeding 2 years.</w:t>
      </w:r>
    </w:p>
    <w:p>
      <w:pPr>
        <w:pStyle w:val="ListParagraph"/>
        <w:numPr>
          <w:ilvl w:val="0"/>
          <w:numId w:val="130"/>
        </w:numPr>
        <w:tabs>
          <w:tab w:pos="496" w:val="left" w:leader="none"/>
        </w:tabs>
        <w:spacing w:line="247" w:lineRule="auto" w:before="3" w:after="0"/>
        <w:ind w:left="139" w:right="115" w:firstLine="151"/>
        <w:jc w:val="left"/>
        <w:rPr>
          <w:sz w:val="17"/>
        </w:rPr>
      </w:pPr>
      <w:r>
        <w:rPr>
          <w:w w:val="110"/>
          <w:sz w:val="17"/>
        </w:rPr>
        <w:t>A two-year junior college expects t hat its students will leave in ac­ cordance  with  the following</w:t>
      </w:r>
      <w:r>
        <w:rPr>
          <w:spacing w:val="3"/>
          <w:w w:val="110"/>
          <w:sz w:val="17"/>
        </w:rPr>
        <w:t> </w:t>
      </w:r>
      <w:r>
        <w:rPr>
          <w:w w:val="110"/>
          <w:sz w:val="17"/>
        </w:rPr>
        <w:t>probabilities:</w:t>
      </w:r>
    </w:p>
    <w:p>
      <w:pPr>
        <w:pStyle w:val="BodyText"/>
        <w:spacing w:before="10"/>
        <w:rPr>
          <w:sz w:val="14"/>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7"/>
        <w:gridCol w:w="1714"/>
        <w:gridCol w:w="1687"/>
      </w:tblGrid>
      <w:tr>
        <w:trPr>
          <w:trHeight w:val="405" w:hRule="exact"/>
        </w:trPr>
        <w:tc>
          <w:tcPr>
            <w:tcW w:w="2317" w:type="dxa"/>
            <w:vMerge w:val="restart"/>
            <w:tcBorders>
              <w:left w:val="nil"/>
              <w:right w:val="single" w:sz="3" w:space="0" w:color="000000"/>
            </w:tcBorders>
          </w:tcPr>
          <w:p>
            <w:pPr>
              <w:pStyle w:val="TableParagraph"/>
              <w:rPr>
                <w:rFonts w:ascii="Times New Roman"/>
                <w:sz w:val="14"/>
              </w:rPr>
            </w:pPr>
          </w:p>
          <w:p>
            <w:pPr>
              <w:pStyle w:val="TableParagraph"/>
              <w:spacing w:before="124"/>
              <w:ind w:left="969" w:right="1000"/>
              <w:jc w:val="center"/>
              <w:rPr>
                <w:rFonts w:ascii="Times New Roman"/>
                <w:sz w:val="14"/>
              </w:rPr>
            </w:pPr>
            <w:r>
              <w:rPr>
                <w:rFonts w:ascii="Times New Roman"/>
                <w:sz w:val="14"/>
              </w:rPr>
              <w:t>Class</w:t>
            </w:r>
          </w:p>
        </w:tc>
        <w:tc>
          <w:tcPr>
            <w:tcW w:w="3400" w:type="dxa"/>
            <w:gridSpan w:val="2"/>
            <w:tcBorders>
              <w:left w:val="single" w:sz="3" w:space="0" w:color="000000"/>
              <w:right w:val="nil"/>
            </w:tcBorders>
          </w:tcPr>
          <w:p>
            <w:pPr>
              <w:pStyle w:val="TableParagraph"/>
              <w:spacing w:before="10"/>
              <w:rPr>
                <w:rFonts w:ascii="Times New Roman"/>
                <w:sz w:val="9"/>
              </w:rPr>
            </w:pPr>
          </w:p>
          <w:p>
            <w:pPr>
              <w:pStyle w:val="TableParagraph"/>
              <w:ind w:left="1303" w:right="1250"/>
              <w:jc w:val="center"/>
              <w:rPr>
                <w:rFonts w:ascii="Arial"/>
                <w:sz w:val="13"/>
              </w:rPr>
            </w:pPr>
            <w:r>
              <w:rPr>
                <w:rFonts w:ascii="Times New Roman"/>
                <w:b/>
                <w:sz w:val="13"/>
              </w:rPr>
              <w:t>Probability  </w:t>
            </w:r>
            <w:r>
              <w:rPr>
                <w:rFonts w:ascii="Arial"/>
                <w:sz w:val="13"/>
              </w:rPr>
              <w:t>of</w:t>
            </w:r>
          </w:p>
        </w:tc>
      </w:tr>
      <w:tr>
        <w:trPr>
          <w:trHeight w:val="362" w:hRule="exact"/>
        </w:trPr>
        <w:tc>
          <w:tcPr>
            <w:tcW w:w="2317" w:type="dxa"/>
            <w:vMerge/>
            <w:tcBorders>
              <w:left w:val="nil"/>
              <w:right w:val="single" w:sz="3" w:space="0" w:color="000000"/>
            </w:tcBorders>
          </w:tcPr>
          <w:p>
            <w:pPr/>
          </w:p>
        </w:tc>
        <w:tc>
          <w:tcPr>
            <w:tcW w:w="1714" w:type="dxa"/>
            <w:tcBorders>
              <w:left w:val="single" w:sz="3" w:space="0" w:color="000000"/>
            </w:tcBorders>
          </w:tcPr>
          <w:p>
            <w:pPr>
              <w:pStyle w:val="TableParagraph"/>
              <w:spacing w:before="81"/>
              <w:ind w:left="340"/>
              <w:rPr>
                <w:rFonts w:ascii="Times New Roman"/>
                <w:sz w:val="14"/>
              </w:rPr>
            </w:pPr>
            <w:r>
              <w:rPr>
                <w:rFonts w:ascii="Times New Roman"/>
                <w:sz w:val="14"/>
              </w:rPr>
              <w:t>Academic Failure</w:t>
            </w:r>
          </w:p>
        </w:tc>
        <w:tc>
          <w:tcPr>
            <w:tcW w:w="1687" w:type="dxa"/>
            <w:tcBorders>
              <w:right w:val="nil"/>
            </w:tcBorders>
          </w:tcPr>
          <w:p>
            <w:pPr>
              <w:pStyle w:val="TableParagraph"/>
              <w:spacing w:before="81"/>
              <w:ind w:left="21" w:right="-28"/>
              <w:rPr>
                <w:rFonts w:ascii="Times New Roman"/>
                <w:sz w:val="14"/>
              </w:rPr>
            </w:pPr>
            <w:r>
              <w:rPr>
                <w:rFonts w:ascii="Times New Roman"/>
                <w:sz w:val="14"/>
              </w:rPr>
              <w:t>Withdrawal for Other</w:t>
            </w:r>
            <w:r>
              <w:rPr>
                <w:rFonts w:ascii="Times New Roman"/>
                <w:spacing w:val="23"/>
                <w:sz w:val="14"/>
              </w:rPr>
              <w:t> </w:t>
            </w:r>
            <w:r>
              <w:rPr>
                <w:rFonts w:ascii="Times New Roman"/>
                <w:sz w:val="14"/>
              </w:rPr>
              <w:t>Causes</w:t>
            </w:r>
          </w:p>
        </w:tc>
      </w:tr>
      <w:tr>
        <w:trPr>
          <w:trHeight w:val="623" w:hRule="exact"/>
        </w:trPr>
        <w:tc>
          <w:tcPr>
            <w:tcW w:w="2317" w:type="dxa"/>
            <w:tcBorders>
              <w:left w:val="nil"/>
              <w:right w:val="single" w:sz="3" w:space="0" w:color="000000"/>
            </w:tcBorders>
          </w:tcPr>
          <w:p>
            <w:pPr>
              <w:pStyle w:val="TableParagraph"/>
              <w:spacing w:before="91"/>
              <w:ind w:left="3"/>
              <w:rPr>
                <w:rFonts w:ascii="Times New Roman"/>
                <w:sz w:val="17"/>
              </w:rPr>
            </w:pPr>
            <w:r>
              <w:rPr>
                <w:rFonts w:ascii="Times New Roman"/>
                <w:sz w:val="17"/>
              </w:rPr>
              <w:t>First year </w:t>
            </w:r>
            <w:r>
              <w:rPr>
                <w:rFonts w:ascii="Times New Roman"/>
                <w:w w:val="95"/>
                <w:sz w:val="17"/>
              </w:rPr>
              <w:t>. </w:t>
            </w:r>
            <w:r>
              <w:rPr>
                <w:rFonts w:ascii="Times New Roman"/>
                <w:sz w:val="17"/>
              </w:rPr>
              <w:t>. . . . . . </w:t>
            </w:r>
            <w:r>
              <w:rPr>
                <w:rFonts w:ascii="Times New Roman"/>
                <w:color w:val="2D2D2D"/>
                <w:sz w:val="17"/>
              </w:rPr>
              <w:t>. </w:t>
            </w:r>
            <w:r>
              <w:rPr>
                <w:rFonts w:ascii="Times New Roman"/>
                <w:sz w:val="17"/>
              </w:rPr>
              <w:t>. . . . . . </w:t>
            </w:r>
            <w:r>
              <w:rPr>
                <w:rFonts w:ascii="Times New Roman"/>
                <w:color w:val="2D2D2D"/>
                <w:sz w:val="17"/>
              </w:rPr>
              <w:t>. </w:t>
            </w:r>
            <w:r>
              <w:rPr>
                <w:rFonts w:ascii="Times New Roman"/>
                <w:sz w:val="17"/>
              </w:rPr>
              <w:t>. . . </w:t>
            </w:r>
            <w:r>
              <w:rPr>
                <w:rFonts w:ascii="Times New Roman"/>
                <w:color w:val="6D6D6D"/>
                <w:sz w:val="17"/>
              </w:rPr>
              <w:t>.</w:t>
            </w:r>
          </w:p>
          <w:p>
            <w:pPr>
              <w:pStyle w:val="TableParagraph"/>
              <w:spacing w:before="6"/>
              <w:ind w:left="-8"/>
              <w:rPr>
                <w:rFonts w:ascii="Times New Roman"/>
                <w:sz w:val="17"/>
              </w:rPr>
            </w:pPr>
            <w:r>
              <w:rPr>
                <w:rFonts w:ascii="Times New Roman"/>
                <w:sz w:val="17"/>
              </w:rPr>
              <w:t>Second year </w:t>
            </w:r>
            <w:r>
              <w:rPr>
                <w:rFonts w:ascii="Times New Roman"/>
                <w:w w:val="95"/>
                <w:sz w:val="17"/>
              </w:rPr>
              <w:t>. </w:t>
            </w:r>
            <w:r>
              <w:rPr>
                <w:rFonts w:ascii="Times New Roman"/>
                <w:sz w:val="17"/>
              </w:rPr>
              <w:t>. . . . . . . </w:t>
            </w:r>
            <w:r>
              <w:rPr>
                <w:rFonts w:ascii="Times New Roman"/>
                <w:w w:val="95"/>
                <w:sz w:val="17"/>
              </w:rPr>
              <w:t>. </w:t>
            </w:r>
            <w:r>
              <w:rPr>
                <w:rFonts w:ascii="Times New Roman"/>
                <w:sz w:val="17"/>
              </w:rPr>
              <w:t>. . . </w:t>
            </w:r>
            <w:r>
              <w:rPr>
                <w:rFonts w:ascii="Times New Roman"/>
                <w:color w:val="7E7E7E"/>
                <w:sz w:val="17"/>
              </w:rPr>
              <w:t>. </w:t>
            </w:r>
            <w:r>
              <w:rPr>
                <w:rFonts w:ascii="Times New Roman"/>
                <w:sz w:val="17"/>
              </w:rPr>
              <w:t>. . . .</w:t>
            </w:r>
          </w:p>
        </w:tc>
        <w:tc>
          <w:tcPr>
            <w:tcW w:w="1714" w:type="dxa"/>
            <w:tcBorders>
              <w:left w:val="single" w:sz="3" w:space="0" w:color="000000"/>
            </w:tcBorders>
          </w:tcPr>
          <w:p>
            <w:pPr>
              <w:pStyle w:val="TableParagraph"/>
              <w:spacing w:before="91"/>
              <w:ind w:left="729" w:right="690"/>
              <w:jc w:val="center"/>
              <w:rPr>
                <w:rFonts w:ascii="Times New Roman"/>
                <w:sz w:val="17"/>
              </w:rPr>
            </w:pPr>
            <w:r>
              <w:rPr>
                <w:rFonts w:ascii="Times New Roman"/>
                <w:w w:val="115"/>
                <w:sz w:val="17"/>
              </w:rPr>
              <w:t>.10</w:t>
            </w:r>
          </w:p>
          <w:p>
            <w:pPr>
              <w:pStyle w:val="TableParagraph"/>
              <w:spacing w:before="6"/>
              <w:ind w:left="729" w:right="689"/>
              <w:jc w:val="center"/>
              <w:rPr>
                <w:rFonts w:ascii="Times New Roman"/>
                <w:sz w:val="17"/>
              </w:rPr>
            </w:pPr>
            <w:r>
              <w:rPr>
                <w:rFonts w:ascii="Times New Roman"/>
                <w:w w:val="110"/>
                <w:sz w:val="17"/>
              </w:rPr>
              <w:t>.05</w:t>
            </w:r>
          </w:p>
        </w:tc>
        <w:tc>
          <w:tcPr>
            <w:tcW w:w="1687" w:type="dxa"/>
            <w:tcBorders>
              <w:right w:val="nil"/>
            </w:tcBorders>
          </w:tcPr>
          <w:p>
            <w:pPr>
              <w:pStyle w:val="TableParagraph"/>
              <w:spacing w:line="197" w:lineRule="exact" w:before="100"/>
              <w:ind w:left="702" w:right="614"/>
              <w:jc w:val="center"/>
              <w:rPr>
                <w:sz w:val="18"/>
              </w:rPr>
            </w:pPr>
            <w:r>
              <w:rPr>
                <w:sz w:val="18"/>
              </w:rPr>
              <w:t>.30</w:t>
            </w:r>
          </w:p>
          <w:p>
            <w:pPr>
              <w:pStyle w:val="TableParagraph"/>
              <w:spacing w:line="188" w:lineRule="exact"/>
              <w:ind w:left="667" w:right="614"/>
              <w:jc w:val="center"/>
              <w:rPr>
                <w:rFonts w:ascii="Times New Roman"/>
                <w:sz w:val="17"/>
              </w:rPr>
            </w:pPr>
            <w:r>
              <w:rPr>
                <w:rFonts w:ascii="Times New Roman"/>
                <w:w w:val="105"/>
                <w:sz w:val="17"/>
              </w:rPr>
              <w:t>.20</w:t>
            </w:r>
          </w:p>
        </w:tc>
      </w:tr>
    </w:tbl>
    <w:p>
      <w:pPr>
        <w:pStyle w:val="BodyText"/>
        <w:spacing w:before="5"/>
        <w:rPr>
          <w:sz w:val="6"/>
        </w:rPr>
      </w:pPr>
    </w:p>
    <w:p>
      <w:pPr>
        <w:pStyle w:val="ListParagraph"/>
        <w:numPr>
          <w:ilvl w:val="1"/>
          <w:numId w:val="130"/>
        </w:numPr>
        <w:tabs>
          <w:tab w:pos="744" w:val="left" w:leader="none"/>
        </w:tabs>
        <w:spacing w:line="247" w:lineRule="auto" w:before="78" w:after="0"/>
        <w:ind w:left="740" w:right="126" w:hanging="281"/>
        <w:jc w:val="both"/>
        <w:rPr>
          <w:sz w:val="17"/>
        </w:rPr>
      </w:pPr>
      <w:r>
        <w:rPr>
          <w:w w:val="105"/>
          <w:sz w:val="17"/>
        </w:rPr>
        <w:t>How many new students should be admitted  at  the  beginning  of  each school year if 180 graduates are </w:t>
      </w:r>
      <w:r>
        <w:rPr>
          <w:spacing w:val="2"/>
          <w:w w:val="105"/>
          <w:sz w:val="17"/>
        </w:rPr>
        <w:t>desired  </w:t>
      </w:r>
      <w:r>
        <w:rPr>
          <w:w w:val="105"/>
          <w:sz w:val="17"/>
        </w:rPr>
        <w:t>at  the  end  of  each year?</w:t>
      </w:r>
    </w:p>
    <w:p>
      <w:pPr>
        <w:pStyle w:val="ListParagraph"/>
        <w:numPr>
          <w:ilvl w:val="1"/>
          <w:numId w:val="130"/>
        </w:numPr>
        <w:tabs>
          <w:tab w:pos="748" w:val="left" w:leader="none"/>
        </w:tabs>
        <w:spacing w:line="247" w:lineRule="auto" w:before="0" w:after="0"/>
        <w:ind w:left="744" w:right="129" w:hanging="285"/>
        <w:jc w:val="both"/>
        <w:rPr>
          <w:sz w:val="17"/>
        </w:rPr>
      </w:pPr>
      <w:r>
        <w:rPr>
          <w:w w:val="110"/>
          <w:sz w:val="17"/>
        </w:rPr>
        <w:t>How many new students should be admitted at the beginning  of each school year if  the total enrollment  then is to be 800 </w:t>
      </w:r>
      <w:r>
        <w:rPr>
          <w:spacing w:val="15"/>
          <w:w w:val="110"/>
          <w:sz w:val="17"/>
        </w:rPr>
        <w:t> </w:t>
      </w:r>
      <w:r>
        <w:rPr>
          <w:w w:val="110"/>
          <w:sz w:val="17"/>
        </w:rPr>
        <w:t>students?</w:t>
      </w:r>
    </w:p>
    <w:p>
      <w:pPr>
        <w:pStyle w:val="BodyText"/>
        <w:spacing w:before="4"/>
        <w:rPr>
          <w:sz w:val="18"/>
        </w:rPr>
      </w:pPr>
    </w:p>
    <w:p>
      <w:pPr>
        <w:pStyle w:val="ListParagraph"/>
        <w:numPr>
          <w:ilvl w:val="0"/>
          <w:numId w:val="131"/>
        </w:numPr>
        <w:tabs>
          <w:tab w:pos="302" w:val="left" w:leader="none"/>
        </w:tabs>
        <w:spacing w:line="240" w:lineRule="auto" w:before="0" w:after="0"/>
        <w:ind w:left="288" w:right="0" w:hanging="178"/>
        <w:jc w:val="left"/>
        <w:rPr>
          <w:b/>
          <w:sz w:val="16"/>
        </w:rPr>
      </w:pPr>
      <w:r>
        <w:rPr>
          <w:b/>
          <w:w w:val="125"/>
          <w:sz w:val="16"/>
        </w:rPr>
        <w:t>Central rates of</w:t>
      </w:r>
      <w:r>
        <w:rPr>
          <w:b/>
          <w:spacing w:val="17"/>
          <w:w w:val="125"/>
          <w:sz w:val="16"/>
        </w:rPr>
        <w:t> </w:t>
      </w:r>
      <w:r>
        <w:rPr>
          <w:b/>
          <w:w w:val="125"/>
          <w:sz w:val="16"/>
        </w:rPr>
        <w:t>decrement</w:t>
      </w:r>
    </w:p>
    <w:p>
      <w:pPr>
        <w:pStyle w:val="ListParagraph"/>
        <w:numPr>
          <w:ilvl w:val="1"/>
          <w:numId w:val="131"/>
        </w:numPr>
        <w:tabs>
          <w:tab w:pos="492" w:val="left" w:leader="none"/>
        </w:tabs>
        <w:spacing w:line="200" w:lineRule="atLeast" w:before="74" w:after="0"/>
        <w:ind w:left="121" w:right="143" w:firstLine="155"/>
        <w:jc w:val="left"/>
        <w:rPr>
          <w:sz w:val="17"/>
        </w:rPr>
      </w:pPr>
      <w:r>
        <w:rPr>
          <w:w w:val="105"/>
          <w:sz w:val="18"/>
        </w:rPr>
        <w:t>In </w:t>
      </w:r>
      <w:r>
        <w:rPr>
          <w:w w:val="105"/>
          <w:sz w:val="17"/>
        </w:rPr>
        <w:t>Table 8, estimate the value of the central rate  of  decrement  </w:t>
      </w:r>
      <w:r>
        <w:rPr>
          <w:sz w:val="17"/>
        </w:rPr>
        <w:t>f </w:t>
      </w:r>
      <w:r>
        <w:rPr>
          <w:w w:val="105"/>
          <w:sz w:val="17"/>
        </w:rPr>
        <w:t>rom cause  (2)  at age</w:t>
      </w:r>
      <w:r>
        <w:rPr>
          <w:spacing w:val="24"/>
          <w:w w:val="105"/>
          <w:sz w:val="17"/>
        </w:rPr>
        <w:t> </w:t>
      </w:r>
      <w:r>
        <w:rPr>
          <w:w w:val="105"/>
          <w:sz w:val="17"/>
        </w:rPr>
        <w:t>25.</w:t>
      </w:r>
    </w:p>
    <w:p>
      <w:pPr>
        <w:pStyle w:val="ListParagraph"/>
        <w:numPr>
          <w:ilvl w:val="1"/>
          <w:numId w:val="131"/>
        </w:numPr>
        <w:tabs>
          <w:tab w:pos="489" w:val="left" w:leader="none"/>
        </w:tabs>
        <w:spacing w:line="207" w:lineRule="exact" w:before="0" w:after="0"/>
        <w:ind w:left="488" w:right="0" w:hanging="216"/>
        <w:jc w:val="left"/>
        <w:rPr>
          <w:sz w:val="17"/>
        </w:rPr>
      </w:pPr>
      <w:r>
        <w:rPr>
          <w:w w:val="105"/>
          <w:sz w:val="17"/>
        </w:rPr>
        <w:t>Extend  the  data of  Table  8 to age </w:t>
      </w:r>
      <w:r>
        <w:rPr>
          <w:spacing w:val="-11"/>
          <w:w w:val="105"/>
          <w:sz w:val="17"/>
        </w:rPr>
        <w:t>30  </w:t>
      </w:r>
      <w:r>
        <w:rPr>
          <w:w w:val="105"/>
          <w:sz w:val="17"/>
        </w:rPr>
        <w:t>being  given  that  </w:t>
      </w:r>
      <w:r>
        <w:rPr>
          <w:i/>
          <w:spacing w:val="4"/>
          <w:w w:val="95"/>
          <w:sz w:val="27"/>
        </w:rPr>
        <w:t>mW  </w:t>
      </w:r>
      <w:r>
        <w:rPr>
          <w:w w:val="105"/>
          <w:sz w:val="21"/>
        </w:rPr>
        <w:t>= </w:t>
      </w:r>
      <w:r>
        <w:rPr>
          <w:spacing w:val="51"/>
          <w:w w:val="105"/>
          <w:sz w:val="21"/>
        </w:rPr>
        <w:t> </w:t>
      </w:r>
      <w:r>
        <w:rPr>
          <w:w w:val="105"/>
          <w:sz w:val="17"/>
        </w:rPr>
        <w:t>.0008</w:t>
      </w:r>
    </w:p>
    <w:p>
      <w:pPr>
        <w:spacing w:line="195" w:lineRule="exact" w:before="0"/>
        <w:ind w:left="121" w:right="739" w:firstLine="0"/>
        <w:jc w:val="left"/>
        <w:rPr>
          <w:sz w:val="17"/>
        </w:rPr>
      </w:pPr>
      <w:r>
        <w:rPr>
          <w:w w:val="110"/>
          <w:sz w:val="17"/>
        </w:rPr>
        <w:t>and </w:t>
      </w:r>
      <w:r>
        <w:rPr>
          <w:rFonts w:ascii="Arial"/>
          <w:i/>
          <w:w w:val="110"/>
          <w:sz w:val="16"/>
        </w:rPr>
        <w:t>m </w:t>
      </w:r>
      <w:r>
        <w:rPr>
          <w:rFonts w:ascii="Arial"/>
          <w:i/>
          <w:w w:val="75"/>
          <w:sz w:val="16"/>
        </w:rPr>
        <w:t>&gt;   </w:t>
      </w:r>
      <w:r>
        <w:rPr>
          <w:w w:val="110"/>
          <w:sz w:val="18"/>
        </w:rPr>
        <w:t>=  </w:t>
      </w:r>
      <w:r>
        <w:rPr>
          <w:w w:val="110"/>
          <w:sz w:val="17"/>
        </w:rPr>
        <w:t>.1374. Use standard  approximations.</w:t>
      </w:r>
    </w:p>
    <w:p>
      <w:pPr>
        <w:pStyle w:val="ListParagraph"/>
        <w:numPr>
          <w:ilvl w:val="1"/>
          <w:numId w:val="131"/>
        </w:numPr>
        <w:tabs>
          <w:tab w:pos="482" w:val="left" w:leader="none"/>
        </w:tabs>
        <w:spacing w:line="244" w:lineRule="auto" w:before="0" w:after="0"/>
        <w:ind w:left="117" w:right="123" w:firstLine="155"/>
        <w:jc w:val="both"/>
        <w:rPr>
          <w:sz w:val="17"/>
        </w:rPr>
      </w:pPr>
      <w:r>
        <w:rPr>
          <w:w w:val="110"/>
          <w:sz w:val="17"/>
        </w:rPr>
        <w:t>Suppose that for the first year following the training period of pilots  the central death and withdrawal rates  are </w:t>
      </w:r>
      <w:r>
        <w:rPr>
          <w:i/>
          <w:w w:val="110"/>
          <w:sz w:val="17"/>
        </w:rPr>
        <w:t>a </w:t>
      </w:r>
      <w:r>
        <w:rPr>
          <w:w w:val="110"/>
          <w:sz w:val="17"/>
        </w:rPr>
        <w:t>and </w:t>
      </w:r>
      <w:r>
        <w:rPr>
          <w:i/>
          <w:w w:val="110"/>
          <w:sz w:val="17"/>
        </w:rPr>
        <w:t>b </w:t>
      </w:r>
      <w:r>
        <w:rPr>
          <w:w w:val="110"/>
          <w:sz w:val="17"/>
        </w:rPr>
        <w:t>respectively.  What  is  the probahility that a pilot who has just finished traini ng will still be active as a pilot  at the end of  the  first year?  Use standard </w:t>
      </w:r>
      <w:r>
        <w:rPr>
          <w:spacing w:val="5"/>
          <w:w w:val="110"/>
          <w:sz w:val="17"/>
        </w:rPr>
        <w:t> </w:t>
      </w:r>
      <w:r>
        <w:rPr>
          <w:w w:val="110"/>
          <w:sz w:val="17"/>
        </w:rPr>
        <w:t>approximations.</w:t>
      </w:r>
    </w:p>
    <w:p>
      <w:pPr>
        <w:pStyle w:val="BodyText"/>
        <w:spacing w:before="6"/>
        <w:rPr>
          <w:sz w:val="18"/>
        </w:rPr>
      </w:pPr>
    </w:p>
    <w:p>
      <w:pPr>
        <w:pStyle w:val="ListParagraph"/>
        <w:numPr>
          <w:ilvl w:val="0"/>
          <w:numId w:val="131"/>
        </w:numPr>
        <w:tabs>
          <w:tab w:pos="291" w:val="left" w:leader="none"/>
        </w:tabs>
        <w:spacing w:line="180" w:lineRule="exact" w:before="0" w:after="0"/>
        <w:ind w:left="290" w:right="0" w:hanging="187"/>
        <w:jc w:val="left"/>
        <w:rPr>
          <w:b/>
          <w:sz w:val="16"/>
        </w:rPr>
      </w:pPr>
      <w:r>
        <w:rPr>
          <w:b/>
          <w:w w:val="120"/>
          <w:sz w:val="16"/>
        </w:rPr>
        <w:t>Forces  of</w:t>
      </w:r>
      <w:r>
        <w:rPr>
          <w:b/>
          <w:spacing w:val="10"/>
          <w:w w:val="120"/>
          <w:sz w:val="16"/>
        </w:rPr>
        <w:t> </w:t>
      </w:r>
      <w:r>
        <w:rPr>
          <w:b/>
          <w:w w:val="120"/>
          <w:sz w:val="16"/>
        </w:rPr>
        <w:t>decrement</w:t>
      </w:r>
    </w:p>
    <w:p>
      <w:pPr>
        <w:pStyle w:val="ListParagraph"/>
        <w:numPr>
          <w:ilvl w:val="0"/>
          <w:numId w:val="132"/>
        </w:numPr>
        <w:tabs>
          <w:tab w:pos="492" w:val="left" w:leader="none"/>
        </w:tabs>
        <w:spacing w:line="258" w:lineRule="exact" w:before="0" w:after="0"/>
        <w:ind w:left="492" w:right="0" w:hanging="224"/>
        <w:jc w:val="left"/>
        <w:rPr>
          <w:rFonts w:ascii="Arial" w:hAnsi="Arial"/>
          <w:i/>
          <w:sz w:val="15"/>
        </w:rPr>
      </w:pPr>
      <w:r>
        <w:rPr>
          <w:sz w:val="17"/>
        </w:rPr>
        <w:t>In  a  double-decrement  table,  it is known  that </w:t>
      </w:r>
      <w:r>
        <w:rPr>
          <w:i/>
          <w:sz w:val="26"/>
        </w:rPr>
        <w:t>µ.R  </w:t>
      </w:r>
      <w:r>
        <w:rPr>
          <w:sz w:val="21"/>
        </w:rPr>
        <w:t>=  </w:t>
      </w:r>
      <w:r>
        <w:rPr>
          <w:i/>
          <w:sz w:val="17"/>
        </w:rPr>
        <w:t>j   </w:t>
      </w:r>
      <w:r>
        <w:rPr>
          <w:sz w:val="17"/>
        </w:rPr>
        <w:t>and  </w:t>
      </w:r>
      <w:r>
        <w:rPr>
          <w:b/>
          <w:i/>
          <w:sz w:val="20"/>
        </w:rPr>
        <w:t>µ}J.   </w:t>
      </w:r>
      <w:r>
        <w:rPr>
          <w:sz w:val="18"/>
        </w:rPr>
        <w:t>= </w:t>
      </w:r>
      <w:r>
        <w:rPr>
          <w:spacing w:val="3"/>
          <w:sz w:val="18"/>
        </w:rPr>
        <w:t> </w:t>
      </w:r>
      <w:r>
        <w:rPr>
          <w:rFonts w:ascii="Arial" w:hAnsi="Arial"/>
          <w:i/>
          <w:sz w:val="15"/>
        </w:rPr>
        <w:t>k ,</w:t>
      </w:r>
    </w:p>
    <w:p>
      <w:pPr>
        <w:spacing w:line="223" w:lineRule="exact" w:before="0"/>
        <w:ind w:left="110" w:right="133" w:firstLine="0"/>
        <w:jc w:val="left"/>
        <w:rPr>
          <w:i/>
          <w:sz w:val="15"/>
        </w:rPr>
      </w:pPr>
      <w:r>
        <w:rPr>
          <w:sz w:val="17"/>
        </w:rPr>
        <w:t>O </w:t>
      </w:r>
      <w:r>
        <w:rPr>
          <w:rFonts w:ascii="Arial"/>
          <w:w w:val="115"/>
          <w:sz w:val="22"/>
        </w:rPr>
        <w:t>&lt; </w:t>
      </w:r>
      <w:r>
        <w:rPr>
          <w:rFonts w:ascii="Arial"/>
          <w:i/>
          <w:sz w:val="14"/>
        </w:rPr>
        <w:t>t  </w:t>
      </w:r>
      <w:r>
        <w:rPr>
          <w:rFonts w:ascii="Arial"/>
          <w:w w:val="115"/>
          <w:sz w:val="23"/>
        </w:rPr>
        <w:t>&lt; </w:t>
      </w:r>
      <w:r>
        <w:rPr>
          <w:b/>
          <w:w w:val="115"/>
          <w:sz w:val="15"/>
        </w:rPr>
        <w:t>1, </w:t>
      </w:r>
      <w:r>
        <w:rPr>
          <w:w w:val="115"/>
          <w:sz w:val="17"/>
        </w:rPr>
        <w:t>where </w:t>
      </w:r>
      <w:r>
        <w:rPr>
          <w:i/>
          <w:sz w:val="17"/>
        </w:rPr>
        <w:t>j  </w:t>
      </w:r>
      <w:r>
        <w:rPr>
          <w:w w:val="115"/>
          <w:sz w:val="17"/>
        </w:rPr>
        <w:t>and </w:t>
      </w:r>
      <w:r>
        <w:rPr>
          <w:i/>
          <w:sz w:val="16"/>
        </w:rPr>
        <w:t>k  </w:t>
      </w:r>
      <w:r>
        <w:rPr>
          <w:w w:val="115"/>
          <w:sz w:val="17"/>
        </w:rPr>
        <w:t>are constants. Compute the exact value </w:t>
      </w:r>
      <w:r>
        <w:rPr>
          <w:sz w:val="17"/>
        </w:rPr>
        <w:t>of </w:t>
      </w:r>
      <w:r>
        <w:rPr>
          <w:i/>
          <w:w w:val="115"/>
          <w:sz w:val="15"/>
        </w:rPr>
        <w:t>ql).</w:t>
      </w:r>
    </w:p>
    <w:p>
      <w:pPr>
        <w:pStyle w:val="ListParagraph"/>
        <w:numPr>
          <w:ilvl w:val="0"/>
          <w:numId w:val="132"/>
        </w:numPr>
        <w:tabs>
          <w:tab w:pos="496" w:val="left" w:leader="none"/>
        </w:tabs>
        <w:spacing w:line="180" w:lineRule="exact" w:before="0" w:after="0"/>
        <w:ind w:left="495" w:right="0" w:hanging="223"/>
        <w:jc w:val="left"/>
        <w:rPr>
          <w:sz w:val="17"/>
        </w:rPr>
      </w:pPr>
      <w:r>
        <w:rPr>
          <w:w w:val="110"/>
          <w:sz w:val="17"/>
        </w:rPr>
        <w:t>In a m ultiple-decrement  table associated with a certain body  of  </w:t>
      </w:r>
      <w:r>
        <w:rPr>
          <w:spacing w:val="6"/>
          <w:w w:val="110"/>
          <w:sz w:val="17"/>
        </w:rPr>
        <w:t> </w:t>
      </w:r>
      <w:r>
        <w:rPr>
          <w:w w:val="110"/>
          <w:sz w:val="17"/>
        </w:rPr>
        <w:t>lives</w:t>
      </w:r>
    </w:p>
    <w:p>
      <w:pPr>
        <w:tabs>
          <w:tab w:pos="4189" w:val="left" w:leader="none"/>
        </w:tabs>
        <w:spacing w:line="62" w:lineRule="exact" w:before="0"/>
        <w:ind w:left="3472" w:right="739" w:firstLine="0"/>
        <w:jc w:val="left"/>
        <w:rPr>
          <w:sz w:val="10"/>
        </w:rPr>
      </w:pPr>
      <w:r>
        <w:rPr>
          <w:position w:val="1"/>
          <w:sz w:val="10"/>
        </w:rPr>
        <w:t>2</w:t>
        <w:tab/>
      </w:r>
      <w:r>
        <w:rPr>
          <w:sz w:val="10"/>
        </w:rPr>
        <w:t>3</w:t>
      </w:r>
    </w:p>
    <w:p>
      <w:pPr>
        <w:spacing w:line="143" w:lineRule="exact" w:before="0"/>
        <w:ind w:left="121" w:right="0" w:firstLine="0"/>
        <w:jc w:val="left"/>
        <w:rPr>
          <w:sz w:val="17"/>
        </w:rPr>
      </w:pPr>
      <w:r>
        <w:rPr>
          <w:sz w:val="17"/>
        </w:rPr>
        <w:t>there  are  thr&lt;'e  force¡,  of  decreme1t </w:t>
      </w:r>
      <w:r>
        <w:rPr>
          <w:w w:val="125"/>
          <w:sz w:val="17"/>
        </w:rPr>
        <w:t>t, </w:t>
      </w:r>
      <w:r>
        <w:rPr>
          <w:w w:val="125"/>
          <w:sz w:val="12"/>
        </w:rPr>
        <w:t>µ.ll , µ. </w:t>
      </w:r>
      <w:r>
        <w:rPr>
          <w:w w:val="70"/>
          <w:sz w:val="17"/>
        </w:rPr>
        <w:t>&gt; </w:t>
      </w:r>
      <w:r>
        <w:rPr>
          <w:sz w:val="17"/>
        </w:rPr>
        <w:t>,  and  </w:t>
      </w:r>
      <w:r>
        <w:rPr>
          <w:w w:val="125"/>
          <w:sz w:val="12"/>
        </w:rPr>
        <w:t>µ. </w:t>
      </w:r>
      <w:r>
        <w:rPr>
          <w:sz w:val="12"/>
        </w:rPr>
        <w:t>l </w:t>
      </w:r>
      <w:r>
        <w:rPr>
          <w:w w:val="125"/>
          <w:sz w:val="12"/>
        </w:rPr>
        <w:t>,  </w:t>
      </w:r>
      <w:r>
        <w:rPr>
          <w:sz w:val="17"/>
        </w:rPr>
        <w:t>w here  </w:t>
      </w:r>
      <w:r>
        <w:rPr>
          <w:i/>
          <w:sz w:val="16"/>
        </w:rPr>
        <w:t>µ."&gt;  </w:t>
      </w:r>
      <w:r>
        <w:rPr>
          <w:sz w:val="17"/>
        </w:rPr>
        <w:t>is equal</w:t>
      </w:r>
    </w:p>
    <w:p>
      <w:pPr>
        <w:tabs>
          <w:tab w:pos="848" w:val="left" w:leader="none"/>
          <w:tab w:pos="1481" w:val="left" w:leader="none"/>
        </w:tabs>
        <w:spacing w:line="272" w:lineRule="exact" w:before="15"/>
        <w:ind w:left="121" w:right="0" w:firstLine="0"/>
        <w:jc w:val="left"/>
        <w:rPr>
          <w:sz w:val="17"/>
        </w:rPr>
      </w:pPr>
      <w:r>
        <w:rPr>
          <w:w w:val="110"/>
          <w:sz w:val="17"/>
        </w:rPr>
        <w:t>to</w:t>
        <w:tab/>
      </w:r>
      <w:r>
        <w:rPr>
          <w:w w:val="110"/>
          <w:position w:val="11"/>
          <w:sz w:val="17"/>
        </w:rPr>
        <w:t>3</w:t>
        <w:tab/>
      </w:r>
      <w:r>
        <w:rPr>
          <w:w w:val="110"/>
          <w:sz w:val="17"/>
        </w:rPr>
        <w:t>. What  is  </w:t>
      </w:r>
      <w:r>
        <w:rPr>
          <w:w w:val="110"/>
          <w:sz w:val="15"/>
        </w:rPr>
        <w:t>thP  </w:t>
      </w:r>
      <w:r>
        <w:rPr>
          <w:w w:val="110"/>
          <w:sz w:val="17"/>
        </w:rPr>
        <w:t>probability  that  a  life aged 10 will</w:t>
      </w:r>
      <w:r>
        <w:rPr>
          <w:spacing w:val="-18"/>
          <w:w w:val="110"/>
          <w:sz w:val="17"/>
        </w:rPr>
        <w:t> </w:t>
      </w:r>
      <w:r>
        <w:rPr>
          <w:w w:val="110"/>
          <w:sz w:val="17"/>
        </w:rPr>
        <w:t>remain</w:t>
      </w:r>
    </w:p>
    <w:p>
      <w:pPr>
        <w:spacing w:line="110" w:lineRule="exact" w:before="0"/>
        <w:ind w:left="405" w:right="739" w:firstLine="0"/>
        <w:jc w:val="left"/>
        <w:rPr>
          <w:rFonts w:ascii="Arial"/>
          <w:sz w:val="14"/>
        </w:rPr>
      </w:pPr>
      <w:r>
        <w:rPr>
          <w:sz w:val="16"/>
        </w:rPr>
        <w:t>11 k (IOO  </w:t>
      </w:r>
      <w:r>
        <w:rPr>
          <w:w w:val="235"/>
          <w:sz w:val="16"/>
        </w:rPr>
        <w:t>-</w:t>
      </w:r>
      <w:r>
        <w:rPr>
          <w:spacing w:val="-74"/>
          <w:w w:val="235"/>
          <w:sz w:val="16"/>
        </w:rPr>
        <w:t> </w:t>
      </w:r>
      <w:r>
        <w:rPr>
          <w:rFonts w:ascii="Arial"/>
          <w:w w:val="135"/>
          <w:sz w:val="14"/>
        </w:rPr>
        <w:t>x)</w:t>
      </w:r>
    </w:p>
    <w:p>
      <w:pPr>
        <w:tabs>
          <w:tab w:pos="5243" w:val="left" w:leader="none"/>
        </w:tabs>
        <w:spacing w:line="259" w:lineRule="exact" w:before="0"/>
        <w:ind w:left="117" w:right="0" w:firstLine="0"/>
        <w:jc w:val="left"/>
        <w:rPr>
          <w:rFonts w:ascii="Arial"/>
          <w:i/>
          <w:sz w:val="26"/>
        </w:rPr>
      </w:pPr>
      <w:r>
        <w:rPr>
          <w:sz w:val="17"/>
        </w:rPr>
        <w:t>in  the  body  of  lives  u n til</w:t>
      </w:r>
      <w:r>
        <w:rPr>
          <w:spacing w:val="-14"/>
          <w:sz w:val="17"/>
        </w:rPr>
        <w:t> </w:t>
      </w:r>
      <w:r>
        <w:rPr>
          <w:sz w:val="17"/>
        </w:rPr>
        <w:t>age</w:t>
      </w:r>
      <w:r>
        <w:rPr>
          <w:spacing w:val="26"/>
          <w:sz w:val="17"/>
        </w:rPr>
        <w:t> </w:t>
      </w:r>
      <w:r>
        <w:rPr>
          <w:sz w:val="17"/>
        </w:rPr>
        <w:t>60?</w:t>
        <w:tab/>
        <w:t>(Ans. </w:t>
      </w:r>
      <w:r>
        <w:rPr>
          <w:spacing w:val="2"/>
          <w:sz w:val="17"/>
        </w:rPr>
        <w:t> </w:t>
      </w:r>
      <w:r>
        <w:rPr>
          <w:rFonts w:ascii="Arial"/>
          <w:i/>
          <w:sz w:val="26"/>
        </w:rPr>
        <w:t>n</w:t>
      </w:r>
    </w:p>
    <w:p>
      <w:pPr>
        <w:spacing w:after="0" w:line="259" w:lineRule="exact"/>
        <w:jc w:val="left"/>
        <w:rPr>
          <w:rFonts w:ascii="Arial"/>
          <w:sz w:val="26"/>
        </w:rPr>
        <w:sectPr>
          <w:pgSz w:w="7200" w:h="11340"/>
          <w:pgMar w:top="500" w:bottom="280" w:left="660" w:right="560"/>
        </w:sectPr>
      </w:pPr>
    </w:p>
    <w:p>
      <w:pPr>
        <w:tabs>
          <w:tab w:pos="1703" w:val="left" w:leader="none"/>
          <w:tab w:pos="5263" w:val="left" w:leader="none"/>
        </w:tabs>
        <w:spacing w:before="59"/>
        <w:ind w:left="133" w:right="0" w:firstLine="0"/>
        <w:jc w:val="left"/>
        <w:rPr>
          <w:rFonts w:ascii="Arial"/>
          <w:b/>
          <w:sz w:val="19"/>
        </w:rPr>
      </w:pPr>
      <w:r>
        <w:rPr>
          <w:rFonts w:ascii="Courier New"/>
          <w:spacing w:val="-33"/>
          <w:position w:val="1"/>
          <w:sz w:val="22"/>
        </w:rPr>
        <w:t>288</w:t>
        <w:tab/>
      </w:r>
      <w:r>
        <w:rPr>
          <w:b/>
          <w:position w:val="1"/>
          <w:sz w:val="15"/>
        </w:rPr>
        <w:t>MULTIPLE-DECREMENT   </w:t>
      </w:r>
      <w:r>
        <w:rPr>
          <w:b/>
          <w:spacing w:val="12"/>
          <w:position w:val="1"/>
          <w:sz w:val="15"/>
        </w:rPr>
        <w:t> </w:t>
      </w:r>
      <w:r>
        <w:rPr>
          <w:b/>
          <w:position w:val="1"/>
          <w:sz w:val="15"/>
        </w:rPr>
        <w:t>TABLES</w:t>
        <w:tab/>
      </w:r>
      <w:r>
        <w:rPr>
          <w:b/>
          <w:w w:val="95"/>
          <w:sz w:val="19"/>
        </w:rPr>
        <w:t>[CH.</w:t>
      </w:r>
      <w:r>
        <w:rPr>
          <w:b/>
          <w:spacing w:val="7"/>
          <w:w w:val="95"/>
          <w:sz w:val="19"/>
        </w:rPr>
        <w:t> </w:t>
      </w:r>
      <w:r>
        <w:rPr>
          <w:rFonts w:ascii="Arial"/>
          <w:b/>
          <w:w w:val="95"/>
          <w:sz w:val="19"/>
        </w:rPr>
        <w:t>14</w:t>
      </w:r>
    </w:p>
    <w:p>
      <w:pPr>
        <w:spacing w:line="235" w:lineRule="auto" w:before="129"/>
        <w:ind w:left="137" w:right="1500" w:firstLine="151"/>
        <w:jc w:val="left"/>
        <w:rPr>
          <w:rFonts w:ascii="Arial" w:hAnsi="Arial"/>
          <w:i/>
          <w:sz w:val="11"/>
        </w:rPr>
      </w:pPr>
      <w:r>
        <w:rPr/>
        <w:drawing>
          <wp:anchor distT="0" distB="0" distL="0" distR="0" allowOverlap="1" layoutInCell="1" locked="0" behindDoc="0" simplePos="0" relativeHeight="23488">
            <wp:simplePos x="0" y="0"/>
            <wp:positionH relativeFrom="page">
              <wp:posOffset>3465576</wp:posOffset>
            </wp:positionH>
            <wp:positionV relativeFrom="paragraph">
              <wp:posOffset>153669</wp:posOffset>
            </wp:positionV>
            <wp:extent cx="694944" cy="109728"/>
            <wp:effectExtent l="0" t="0" r="0" b="0"/>
            <wp:wrapNone/>
            <wp:docPr id="703" name="image358.png" descr=""/>
            <wp:cNvGraphicFramePr>
              <a:graphicFrameLocks noChangeAspect="1"/>
            </wp:cNvGraphicFramePr>
            <a:graphic>
              <a:graphicData uri="http://schemas.openxmlformats.org/drawingml/2006/picture">
                <pic:pic>
                  <pic:nvPicPr>
                    <pic:cNvPr id="704" name="image358.png"/>
                    <pic:cNvPicPr/>
                  </pic:nvPicPr>
                  <pic:blipFill>
                    <a:blip r:embed="rId362" cstate="print"/>
                    <a:stretch>
                      <a:fillRect/>
                    </a:stretch>
                  </pic:blipFill>
                  <pic:spPr>
                    <a:xfrm>
                      <a:off x="0" y="0"/>
                      <a:ext cx="694944" cy="109728"/>
                    </a:xfrm>
                    <a:prstGeom prst="rect">
                      <a:avLst/>
                    </a:prstGeom>
                  </pic:spPr>
                </pic:pic>
              </a:graphicData>
            </a:graphic>
          </wp:anchor>
        </w:drawing>
      </w:r>
      <w:r>
        <w:rPr/>
        <w:pict>
          <v:shape style="position:absolute;margin-left:191.339996pt;margin-top:13.538097pt;width:1.95pt;height:6pt;mso-position-horizontal-relative:page;mso-position-vertical-relative:paragraph;z-index:-712552" type="#_x0000_t202" filled="false" stroked="false">
            <v:textbox inset="0,0,0,0">
              <w:txbxContent>
                <w:p>
                  <w:pPr>
                    <w:spacing w:line="120" w:lineRule="exact" w:before="0"/>
                    <w:ind w:left="0" w:right="0" w:firstLine="0"/>
                    <w:jc w:val="left"/>
                    <w:rPr>
                      <w:rFonts w:ascii="Arial"/>
                      <w:i/>
                      <w:sz w:val="12"/>
                    </w:rPr>
                  </w:pPr>
                  <w:r>
                    <w:rPr>
                      <w:rFonts w:ascii="Arial"/>
                      <w:i/>
                      <w:w w:val="54"/>
                      <w:sz w:val="12"/>
                    </w:rPr>
                    <w:t>&gt;</w:t>
                  </w:r>
                </w:p>
              </w:txbxContent>
            </v:textbox>
            <w10:wrap type="none"/>
          </v:shape>
        </w:pict>
      </w:r>
      <w:r>
        <w:rPr>
          <w:b/>
          <w:w w:val="105"/>
          <w:sz w:val="17"/>
        </w:rPr>
        <w:t>8. Given </w:t>
      </w:r>
      <w:r>
        <w:rPr>
          <w:rFonts w:ascii="Arial" w:hAnsi="Arial"/>
          <w:i/>
          <w:w w:val="105"/>
          <w:sz w:val="18"/>
        </w:rPr>
        <w:t>zr&gt; </w:t>
      </w:r>
      <w:r>
        <w:rPr>
          <w:w w:val="105"/>
          <w:sz w:val="21"/>
        </w:rPr>
        <w:t>= </w:t>
      </w:r>
      <w:r>
        <w:rPr>
          <w:rFonts w:ascii="Arial" w:hAnsi="Arial"/>
          <w:b/>
          <w:i/>
          <w:w w:val="105"/>
          <w:sz w:val="14"/>
        </w:rPr>
        <w:t>(a </w:t>
      </w:r>
      <w:r>
        <w:rPr>
          <w:rFonts w:ascii="Arial" w:hAnsi="Arial"/>
          <w:w w:val="270"/>
          <w:sz w:val="14"/>
        </w:rPr>
        <w:t>- </w:t>
      </w:r>
      <w:r>
        <w:rPr>
          <w:rFonts w:ascii="Arial" w:hAnsi="Arial"/>
          <w:i/>
          <w:w w:val="105"/>
          <w:sz w:val="15"/>
        </w:rPr>
        <w:t>x </w:t>
      </w:r>
      <w:r>
        <w:rPr>
          <w:i/>
          <w:w w:val="105"/>
          <w:position w:val="3"/>
          <w:sz w:val="10"/>
        </w:rPr>
        <w:t>2 </w:t>
      </w:r>
      <w:r>
        <w:rPr>
          <w:i/>
          <w:w w:val="105"/>
          <w:sz w:val="15"/>
        </w:rPr>
        <w:t>)e-z </w:t>
      </w:r>
      <w:r>
        <w:rPr>
          <w:w w:val="105"/>
          <w:sz w:val="17"/>
        </w:rPr>
        <w:t>and </w:t>
      </w:r>
      <w:r>
        <w:rPr>
          <w:rFonts w:ascii="Arial" w:hAnsi="Arial"/>
          <w:i/>
          <w:w w:val="115"/>
          <w:sz w:val="16"/>
        </w:rPr>
        <w:t>d</w:t>
      </w:r>
      <w:r>
        <w:rPr>
          <w:i/>
          <w:w w:val="115"/>
          <w:position w:val="7"/>
          <w:sz w:val="10"/>
        </w:rPr>
        <w:t>1 </w:t>
      </w:r>
      <w:r>
        <w:rPr>
          <w:w w:val="105"/>
          <w:sz w:val="21"/>
        </w:rPr>
        <w:t>=  </w:t>
      </w:r>
      <w:r>
        <w:rPr>
          <w:b/>
          <w:w w:val="105"/>
          <w:sz w:val="17"/>
        </w:rPr>
        <w:t>2[e-•(x  </w:t>
      </w:r>
      <w:r>
        <w:rPr>
          <w:rFonts w:ascii="Arial" w:hAnsi="Arial"/>
          <w:w w:val="105"/>
          <w:sz w:val="26"/>
        </w:rPr>
        <w:t>+ </w:t>
      </w:r>
      <w:r>
        <w:rPr>
          <w:b/>
          <w:w w:val="105"/>
          <w:sz w:val="17"/>
        </w:rPr>
        <w:t>1) derive  an </w:t>
      </w:r>
      <w:r>
        <w:rPr>
          <w:w w:val="105"/>
          <w:sz w:val="17"/>
        </w:rPr>
        <w:t>exact  algebraic  expression  for </w:t>
      </w:r>
      <w:r>
        <w:rPr>
          <w:i/>
          <w:w w:val="155"/>
          <w:sz w:val="14"/>
        </w:rPr>
        <w:t>µ </w:t>
      </w:r>
      <w:r>
        <w:rPr>
          <w:rFonts w:ascii="Arial" w:hAnsi="Arial"/>
          <w:i/>
          <w:w w:val="115"/>
          <w:position w:val="6"/>
          <w:sz w:val="11"/>
        </w:rPr>
        <w:t>0 </w:t>
      </w:r>
      <w:r>
        <w:rPr>
          <w:rFonts w:ascii="Arial" w:hAnsi="Arial"/>
          <w:i/>
          <w:w w:val="105"/>
          <w:sz w:val="11"/>
        </w:rPr>
        <w:t>•</w:t>
      </w:r>
    </w:p>
    <w:p>
      <w:pPr>
        <w:pStyle w:val="BodyText"/>
        <w:spacing w:before="9"/>
        <w:rPr>
          <w:rFonts w:ascii="Arial"/>
          <w:i/>
          <w:sz w:val="13"/>
        </w:rPr>
      </w:pPr>
    </w:p>
    <w:p>
      <w:pPr>
        <w:spacing w:after="0"/>
        <w:rPr>
          <w:rFonts w:ascii="Arial"/>
          <w:sz w:val="13"/>
        </w:rPr>
        <w:sectPr>
          <w:pgSz w:w="7200" w:h="11340"/>
          <w:pgMar w:top="500" w:bottom="280" w:left="680" w:right="520"/>
        </w:sectPr>
      </w:pPr>
    </w:p>
    <w:p>
      <w:pPr>
        <w:spacing w:before="104"/>
        <w:ind w:left="284" w:right="0" w:firstLine="0"/>
        <w:jc w:val="left"/>
        <w:rPr>
          <w:sz w:val="10"/>
        </w:rPr>
      </w:pPr>
      <w:r>
        <w:rPr/>
        <w:pict>
          <v:shape style="position:absolute;margin-left:93.599998pt;margin-top:12.941639pt;width:1.95pt;height:6pt;mso-position-horizontal-relative:page;mso-position-vertical-relative:paragraph;z-index:-712528" type="#_x0000_t202" filled="false" stroked="false">
            <v:textbox inset="0,0,0,0">
              <w:txbxContent>
                <w:p>
                  <w:pPr>
                    <w:spacing w:line="120" w:lineRule="exact" w:before="0"/>
                    <w:ind w:left="0" w:right="0" w:firstLine="0"/>
                    <w:jc w:val="left"/>
                    <w:rPr>
                      <w:rFonts w:ascii="Arial"/>
                      <w:sz w:val="12"/>
                    </w:rPr>
                  </w:pPr>
                  <w:r>
                    <w:rPr>
                      <w:rFonts w:ascii="Arial"/>
                      <w:w w:val="54"/>
                      <w:sz w:val="12"/>
                    </w:rPr>
                    <w:t>&gt;</w:t>
                  </w:r>
                </w:p>
              </w:txbxContent>
            </v:textbox>
            <w10:wrap type="none"/>
          </v:shape>
        </w:pict>
      </w:r>
      <w:r>
        <w:rPr>
          <w:w w:val="111"/>
          <w:sz w:val="17"/>
        </w:rPr>
        <w:t>9.</w:t>
      </w:r>
      <w:r>
        <w:rPr>
          <w:sz w:val="17"/>
        </w:rPr>
        <w:t> </w:t>
      </w:r>
      <w:r>
        <w:rPr>
          <w:spacing w:val="-11"/>
          <w:sz w:val="17"/>
        </w:rPr>
        <w:t> </w:t>
      </w:r>
      <w:r>
        <w:rPr>
          <w:w w:val="105"/>
          <w:sz w:val="17"/>
        </w:rPr>
        <w:t>Given</w:t>
      </w:r>
      <w:r>
        <w:rPr>
          <w:spacing w:val="3"/>
          <w:sz w:val="17"/>
        </w:rPr>
        <w:t> </w:t>
      </w:r>
      <w:r>
        <w:rPr>
          <w:w w:val="72"/>
          <w:sz w:val="27"/>
        </w:rPr>
        <w:t>µ</w:t>
      </w:r>
      <w:r>
        <w:rPr>
          <w:spacing w:val="-7"/>
          <w:w w:val="72"/>
          <w:sz w:val="27"/>
        </w:rPr>
        <w:t>;</w:t>
      </w:r>
      <w:r>
        <w:rPr>
          <w:w w:val="122"/>
          <w:position w:val="9"/>
          <w:sz w:val="10"/>
        </w:rPr>
        <w:t>1</w:t>
      </w:r>
    </w:p>
    <w:p>
      <w:pPr>
        <w:tabs>
          <w:tab w:pos="720" w:val="left" w:leader="none"/>
        </w:tabs>
        <w:spacing w:line="285" w:lineRule="exact" w:before="77"/>
        <w:ind w:left="47" w:right="0" w:firstLine="0"/>
        <w:jc w:val="left"/>
        <w:rPr>
          <w:sz w:val="17"/>
        </w:rPr>
      </w:pPr>
      <w:r>
        <w:rPr/>
        <w:br w:type="column"/>
      </w:r>
      <w:r>
        <w:rPr>
          <w:w w:val="88"/>
          <w:sz w:val="21"/>
        </w:rPr>
        <w:t>=</w:t>
      </w:r>
      <w:r>
        <w:rPr>
          <w:sz w:val="21"/>
        </w:rPr>
        <w:t> </w:t>
      </w:r>
      <w:r>
        <w:rPr>
          <w:spacing w:val="-53"/>
          <w:w w:val="336"/>
          <w:sz w:val="21"/>
        </w:rPr>
        <w:t>-</w:t>
      </w:r>
      <w:r>
        <w:rPr>
          <w:w w:val="127"/>
          <w:position w:val="12"/>
          <w:sz w:val="17"/>
        </w:rPr>
        <w:t>1</w:t>
      </w:r>
      <w:r>
        <w:rPr>
          <w:position w:val="12"/>
          <w:sz w:val="17"/>
        </w:rPr>
        <w:tab/>
      </w:r>
      <w:r>
        <w:rPr>
          <w:w w:val="110"/>
          <w:sz w:val="17"/>
        </w:rPr>
        <w:t>and</w:t>
      </w:r>
      <w:r>
        <w:rPr>
          <w:spacing w:val="5"/>
          <w:sz w:val="17"/>
        </w:rPr>
        <w:t> </w:t>
      </w:r>
      <w:r>
        <w:rPr>
          <w:rFonts w:ascii="Arial" w:hAnsi="Arial"/>
          <w:i/>
          <w:w w:val="58"/>
          <w:sz w:val="19"/>
        </w:rPr>
        <w:t>µ;2&gt;</w:t>
      </w:r>
      <w:r>
        <w:rPr>
          <w:rFonts w:ascii="Arial" w:hAnsi="Arial"/>
          <w:i/>
          <w:sz w:val="19"/>
        </w:rPr>
        <w:t> </w:t>
      </w:r>
      <w:r>
        <w:rPr>
          <w:rFonts w:ascii="Arial" w:hAnsi="Arial"/>
          <w:i/>
          <w:spacing w:val="2"/>
          <w:sz w:val="19"/>
        </w:rPr>
        <w:t> </w:t>
      </w:r>
      <w:r>
        <w:rPr>
          <w:w w:val="88"/>
          <w:sz w:val="21"/>
        </w:rPr>
        <w:t>=</w:t>
      </w:r>
      <w:r>
        <w:rPr>
          <w:sz w:val="21"/>
        </w:rPr>
        <w:t> </w:t>
      </w:r>
      <w:r>
        <w:rPr>
          <w:spacing w:val="-20"/>
          <w:sz w:val="21"/>
        </w:rPr>
        <w:t> </w:t>
      </w:r>
      <w:r>
        <w:rPr>
          <w:w w:val="110"/>
          <w:sz w:val="17"/>
        </w:rPr>
        <w:t>1,</w:t>
      </w:r>
      <w:r>
        <w:rPr>
          <w:spacing w:val="-3"/>
          <w:sz w:val="17"/>
        </w:rPr>
        <w:t> </w:t>
      </w:r>
      <w:r>
        <w:rPr>
          <w:w w:val="108"/>
          <w:sz w:val="17"/>
        </w:rPr>
        <w:t>derive</w:t>
      </w:r>
      <w:r>
        <w:rPr>
          <w:spacing w:val="17"/>
          <w:sz w:val="17"/>
        </w:rPr>
        <w:t> </w:t>
      </w:r>
      <w:r>
        <w:rPr>
          <w:w w:val="109"/>
          <w:sz w:val="17"/>
        </w:rPr>
        <w:t>exact</w:t>
      </w:r>
      <w:r>
        <w:rPr>
          <w:spacing w:val="20"/>
          <w:sz w:val="17"/>
        </w:rPr>
        <w:t> </w:t>
      </w:r>
      <w:r>
        <w:rPr>
          <w:w w:val="110"/>
          <w:sz w:val="17"/>
        </w:rPr>
        <w:t>algebraíc</w:t>
      </w:r>
      <w:r>
        <w:rPr>
          <w:spacing w:val="15"/>
          <w:sz w:val="17"/>
        </w:rPr>
        <w:t> </w:t>
      </w:r>
      <w:r>
        <w:rPr>
          <w:w w:val="108"/>
          <w:sz w:val="17"/>
        </w:rPr>
        <w:t>expressions</w:t>
      </w:r>
      <w:r>
        <w:rPr>
          <w:spacing w:val="15"/>
          <w:sz w:val="17"/>
        </w:rPr>
        <w:t> </w:t>
      </w:r>
      <w:r>
        <w:rPr>
          <w:w w:val="109"/>
          <w:sz w:val="17"/>
        </w:rPr>
        <w:t>for</w:t>
      </w:r>
    </w:p>
    <w:p>
      <w:pPr>
        <w:spacing w:line="152" w:lineRule="exact" w:before="0"/>
        <w:ind w:left="231" w:right="0" w:firstLine="0"/>
        <w:jc w:val="left"/>
        <w:rPr>
          <w:rFonts w:ascii="Courier New"/>
          <w:i/>
          <w:sz w:val="19"/>
        </w:rPr>
      </w:pPr>
      <w:r>
        <w:rPr/>
        <w:pict>
          <v:shape style="position:absolute;margin-left:116.82pt;margin-top:-8.780225pt;width:16.3500pt;height:10.5pt;mso-position-horizontal-relative:page;mso-position-vertical-relative:paragraph;z-index:-712504" type="#_x0000_t202" filled="false" stroked="false">
            <v:textbox inset="0,0,0,0">
              <w:txbxContent>
                <w:p>
                  <w:pPr>
                    <w:spacing w:line="210" w:lineRule="exact" w:before="0"/>
                    <w:ind w:left="0" w:right="-19" w:firstLine="0"/>
                    <w:jc w:val="left"/>
                    <w:rPr>
                      <w:sz w:val="17"/>
                    </w:rPr>
                  </w:pPr>
                  <w:r>
                    <w:rPr>
                      <w:spacing w:val="-27"/>
                      <w:w w:val="166"/>
                      <w:sz w:val="21"/>
                    </w:rPr>
                    <w:t>-</w:t>
                  </w:r>
                  <w:r>
                    <w:rPr>
                      <w:w w:val="416"/>
                      <w:sz w:val="17"/>
                    </w:rPr>
                    <w:t>-</w:t>
                  </w:r>
                </w:p>
              </w:txbxContent>
            </v:textbox>
            <w10:wrap type="none"/>
          </v:shape>
        </w:pict>
      </w:r>
      <w:r>
        <w:rPr>
          <w:rFonts w:ascii="Courier New"/>
          <w:i/>
          <w:sz w:val="19"/>
        </w:rPr>
        <w:t>a</w:t>
      </w:r>
      <w:r>
        <w:rPr>
          <w:rFonts w:ascii="Courier New"/>
          <w:i/>
          <w:spacing w:val="-71"/>
          <w:sz w:val="19"/>
        </w:rPr>
        <w:t> </w:t>
      </w:r>
      <w:r>
        <w:rPr>
          <w:rFonts w:ascii="Courier New"/>
          <w:i/>
          <w:w w:val="115"/>
          <w:sz w:val="19"/>
        </w:rPr>
        <w:t>-</w:t>
      </w:r>
      <w:r>
        <w:rPr>
          <w:rFonts w:ascii="Courier New"/>
          <w:i/>
          <w:spacing w:val="-107"/>
          <w:w w:val="115"/>
          <w:sz w:val="19"/>
        </w:rPr>
        <w:t> </w:t>
      </w:r>
      <w:r>
        <w:rPr>
          <w:rFonts w:ascii="Courier New"/>
          <w:i/>
          <w:sz w:val="19"/>
        </w:rPr>
        <w:t>x</w:t>
      </w:r>
    </w:p>
    <w:p>
      <w:pPr>
        <w:spacing w:after="0" w:line="152" w:lineRule="exact"/>
        <w:jc w:val="left"/>
        <w:rPr>
          <w:rFonts w:ascii="Courier New"/>
          <w:sz w:val="19"/>
        </w:rPr>
        <w:sectPr>
          <w:type w:val="continuous"/>
          <w:pgSz w:w="7200" w:h="11340"/>
          <w:pgMar w:top="1100" w:bottom="0" w:left="680" w:right="520"/>
          <w:cols w:num="2" w:equalWidth="0">
            <w:col w:w="1231" w:space="40"/>
            <w:col w:w="4729"/>
          </w:cols>
        </w:sectPr>
      </w:pPr>
    </w:p>
    <w:p>
      <w:pPr>
        <w:spacing w:line="214" w:lineRule="exact" w:before="0"/>
        <w:ind w:left="126" w:right="0" w:firstLine="0"/>
        <w:jc w:val="left"/>
        <w:rPr>
          <w:i/>
          <w:sz w:val="18"/>
        </w:rPr>
      </w:pPr>
      <w:r>
        <w:rPr>
          <w:i/>
          <w:spacing w:val="5"/>
          <w:w w:val="111"/>
          <w:sz w:val="21"/>
        </w:rPr>
        <w:t>1</w:t>
      </w:r>
      <w:r>
        <w:rPr>
          <w:rFonts w:ascii="Arial"/>
          <w:i/>
          <w:spacing w:val="-12"/>
          <w:w w:val="101"/>
          <w:position w:val="7"/>
          <w:sz w:val="11"/>
        </w:rPr>
        <w:t>7</w:t>
      </w:r>
      <w:r>
        <w:rPr>
          <w:rFonts w:ascii="Arial"/>
          <w:i/>
          <w:w w:val="82"/>
          <w:sz w:val="19"/>
        </w:rPr>
        <w:t>'&gt;,</w:t>
      </w:r>
      <w:r>
        <w:rPr>
          <w:rFonts w:ascii="Arial"/>
          <w:i/>
          <w:spacing w:val="-14"/>
          <w:sz w:val="19"/>
        </w:rPr>
        <w:t> </w:t>
      </w:r>
      <w:r>
        <w:rPr>
          <w:i/>
          <w:spacing w:val="-11"/>
          <w:w w:val="123"/>
          <w:sz w:val="21"/>
        </w:rPr>
        <w:t>d</w:t>
      </w:r>
      <w:r>
        <w:rPr>
          <w:i/>
          <w:w w:val="49"/>
          <w:sz w:val="21"/>
        </w:rPr>
        <w:t>,</w:t>
      </w:r>
      <w:r>
        <w:rPr>
          <w:i/>
          <w:spacing w:val="-2"/>
          <w:w w:val="49"/>
          <w:sz w:val="21"/>
        </w:rPr>
        <w:t>1</w:t>
      </w:r>
      <w:r>
        <w:rPr>
          <w:i/>
          <w:w w:val="60"/>
          <w:sz w:val="21"/>
        </w:rPr>
        <w:t>&gt;,</w:t>
      </w:r>
      <w:r>
        <w:rPr>
          <w:i/>
          <w:spacing w:val="1"/>
          <w:sz w:val="21"/>
        </w:rPr>
        <w:t> </w:t>
      </w:r>
      <w:r>
        <w:rPr>
          <w:w w:val="111"/>
          <w:sz w:val="17"/>
        </w:rPr>
        <w:t>and</w:t>
      </w:r>
      <w:r>
        <w:rPr>
          <w:sz w:val="17"/>
        </w:rPr>
        <w:t> </w:t>
      </w:r>
      <w:r>
        <w:rPr>
          <w:spacing w:val="-18"/>
          <w:sz w:val="17"/>
        </w:rPr>
        <w:t> </w:t>
      </w:r>
      <w:r>
        <w:rPr>
          <w:i/>
          <w:w w:val="94"/>
          <w:sz w:val="21"/>
        </w:rPr>
        <w:t>d;'l,</w:t>
      </w:r>
      <w:r>
        <w:rPr>
          <w:i/>
          <w:spacing w:val="-3"/>
          <w:sz w:val="21"/>
        </w:rPr>
        <w:t> </w:t>
      </w:r>
      <w:r>
        <w:rPr>
          <w:w w:val="107"/>
          <w:sz w:val="17"/>
        </w:rPr>
        <w:t>assurning</w:t>
      </w:r>
      <w:r>
        <w:rPr>
          <w:sz w:val="17"/>
        </w:rPr>
        <w:t> </w:t>
      </w:r>
      <w:r>
        <w:rPr>
          <w:spacing w:val="-11"/>
          <w:sz w:val="17"/>
        </w:rPr>
        <w:t> </w:t>
      </w:r>
      <w:r>
        <w:rPr>
          <w:i/>
          <w:spacing w:val="5"/>
          <w:w w:val="255"/>
          <w:sz w:val="17"/>
        </w:rPr>
        <w:t>l</w:t>
      </w:r>
      <w:r>
        <w:rPr>
          <w:i/>
          <w:w w:val="70"/>
          <w:sz w:val="17"/>
        </w:rPr>
        <w:t>T</w:t>
      </w:r>
      <w:r>
        <w:rPr>
          <w:i/>
          <w:spacing w:val="-16"/>
          <w:sz w:val="17"/>
        </w:rPr>
        <w:t> </w:t>
      </w:r>
      <w:r>
        <w:rPr>
          <w:i/>
          <w:w w:val="41"/>
          <w:sz w:val="17"/>
        </w:rPr>
        <w:t>&gt;</w:t>
      </w:r>
      <w:r>
        <w:rPr>
          <w:i/>
          <w:sz w:val="17"/>
        </w:rPr>
        <w:t> </w:t>
      </w:r>
      <w:r>
        <w:rPr>
          <w:i/>
          <w:spacing w:val="3"/>
          <w:sz w:val="17"/>
        </w:rPr>
        <w:t> </w:t>
      </w:r>
      <w:r>
        <w:rPr>
          <w:w w:val="92"/>
          <w:sz w:val="21"/>
        </w:rPr>
        <w:t>=</w:t>
      </w:r>
      <w:r>
        <w:rPr>
          <w:sz w:val="21"/>
        </w:rPr>
        <w:t> </w:t>
      </w:r>
      <w:r>
        <w:rPr>
          <w:spacing w:val="-17"/>
          <w:sz w:val="21"/>
        </w:rPr>
        <w:t> </w:t>
      </w:r>
      <w:r>
        <w:rPr>
          <w:i/>
          <w:w w:val="113"/>
          <w:sz w:val="18"/>
        </w:rPr>
        <w:t>a.</w:t>
      </w:r>
    </w:p>
    <w:p>
      <w:pPr>
        <w:pStyle w:val="BodyText"/>
        <w:rPr>
          <w:i/>
        </w:rPr>
      </w:pPr>
    </w:p>
    <w:p>
      <w:pPr>
        <w:pStyle w:val="ListParagraph"/>
        <w:numPr>
          <w:ilvl w:val="0"/>
          <w:numId w:val="131"/>
        </w:numPr>
        <w:tabs>
          <w:tab w:pos="303" w:val="left" w:leader="none"/>
        </w:tabs>
        <w:spacing w:line="240" w:lineRule="auto" w:before="162" w:after="0"/>
        <w:ind w:left="302" w:right="0" w:hanging="176"/>
        <w:jc w:val="left"/>
        <w:rPr>
          <w:b/>
          <w:sz w:val="16"/>
        </w:rPr>
      </w:pPr>
      <w:r>
        <w:rPr>
          <w:b/>
          <w:w w:val="125"/>
          <w:sz w:val="16"/>
        </w:rPr>
        <w:t>The associated  single-decrement</w:t>
      </w:r>
      <w:r>
        <w:rPr>
          <w:b/>
          <w:spacing w:val="38"/>
          <w:w w:val="125"/>
          <w:sz w:val="16"/>
        </w:rPr>
        <w:t> </w:t>
      </w:r>
      <w:r>
        <w:rPr>
          <w:b/>
          <w:w w:val="125"/>
          <w:sz w:val="16"/>
        </w:rPr>
        <w:t>tables</w:t>
      </w:r>
    </w:p>
    <w:p>
      <w:pPr>
        <w:pStyle w:val="BodyText"/>
        <w:spacing w:before="5"/>
        <w:rPr>
          <w:b/>
          <w:sz w:val="14"/>
        </w:rPr>
      </w:pPr>
    </w:p>
    <w:p>
      <w:pPr>
        <w:pStyle w:val="ListParagraph"/>
        <w:numPr>
          <w:ilvl w:val="0"/>
          <w:numId w:val="133"/>
        </w:numPr>
        <w:tabs>
          <w:tab w:pos="577" w:val="left" w:leader="none"/>
        </w:tabs>
        <w:spacing w:line="139" w:lineRule="exact" w:before="0" w:after="0"/>
        <w:ind w:left="122" w:right="0" w:firstLine="173"/>
        <w:jc w:val="left"/>
        <w:rPr>
          <w:sz w:val="17"/>
        </w:rPr>
      </w:pPr>
      <w:r>
        <w:rPr>
          <w:w w:val="110"/>
          <w:sz w:val="17"/>
        </w:rPr>
        <w:t>Consider  the  associated  sing1e-decrernent  tables  corresponding  </w:t>
      </w:r>
      <w:r>
        <w:rPr>
          <w:spacing w:val="19"/>
          <w:w w:val="110"/>
          <w:sz w:val="17"/>
        </w:rPr>
        <w:t> </w:t>
      </w:r>
      <w:r>
        <w:rPr>
          <w:w w:val="110"/>
          <w:sz w:val="17"/>
        </w:rPr>
        <w:t>to</w:t>
      </w:r>
    </w:p>
    <w:p>
      <w:pPr>
        <w:spacing w:after="0" w:line="139" w:lineRule="exact"/>
        <w:jc w:val="left"/>
        <w:rPr>
          <w:sz w:val="17"/>
        </w:rPr>
        <w:sectPr>
          <w:type w:val="continuous"/>
          <w:pgSz w:w="7200" w:h="11340"/>
          <w:pgMar w:top="1100" w:bottom="0" w:left="680" w:right="520"/>
        </w:sectPr>
      </w:pPr>
    </w:p>
    <w:p>
      <w:pPr>
        <w:spacing w:line="286" w:lineRule="exact" w:before="0"/>
        <w:ind w:left="126" w:right="-16" w:firstLine="0"/>
        <w:jc w:val="left"/>
        <w:rPr>
          <w:i/>
          <w:sz w:val="10"/>
        </w:rPr>
      </w:pPr>
      <w:r>
        <w:rPr/>
        <w:pict>
          <v:shape style="position:absolute;margin-left:127.260002pt;margin-top:6.403544pt;width:1.75pt;height:6pt;mso-position-horizontal-relative:page;mso-position-vertical-relative:paragraph;z-index:-712480" type="#_x0000_t202" filled="false" stroked="false">
            <v:textbox inset="0,0,0,0">
              <w:txbxContent>
                <w:p>
                  <w:pPr>
                    <w:spacing w:line="120" w:lineRule="exact" w:before="0"/>
                    <w:ind w:left="0" w:right="0" w:firstLine="0"/>
                    <w:jc w:val="left"/>
                    <w:rPr>
                      <w:rFonts w:ascii="Arial"/>
                      <w:i/>
                      <w:sz w:val="12"/>
                    </w:rPr>
                  </w:pPr>
                  <w:r>
                    <w:rPr>
                      <w:rFonts w:ascii="Arial"/>
                      <w:i/>
                      <w:w w:val="48"/>
                      <w:sz w:val="12"/>
                    </w:rPr>
                    <w:t>&gt;</w:t>
                  </w:r>
                </w:p>
              </w:txbxContent>
            </v:textbox>
            <w10:wrap type="none"/>
          </v:shape>
        </w:pict>
      </w:r>
      <w:r>
        <w:rPr/>
        <w:pict>
          <v:shape style="position:absolute;margin-left:284.220001pt;margin-top:6.403544pt;width:1.75pt;height:6pt;mso-position-horizontal-relative:page;mso-position-vertical-relative:paragraph;z-index:-712456" type="#_x0000_t202" filled="false" stroked="false">
            <v:textbox inset="0,0,0,0">
              <w:txbxContent>
                <w:p>
                  <w:pPr>
                    <w:spacing w:line="120" w:lineRule="exact" w:before="0"/>
                    <w:ind w:left="0" w:right="0" w:firstLine="0"/>
                    <w:jc w:val="left"/>
                    <w:rPr>
                      <w:rFonts w:ascii="Arial"/>
                      <w:sz w:val="12"/>
                    </w:rPr>
                  </w:pPr>
                  <w:r>
                    <w:rPr>
                      <w:rFonts w:ascii="Arial"/>
                      <w:w w:val="48"/>
                      <w:sz w:val="12"/>
                    </w:rPr>
                    <w:t>&gt;</w:t>
                  </w:r>
                </w:p>
              </w:txbxContent>
            </v:textbox>
            <w10:wrap type="none"/>
          </v:shape>
        </w:pict>
      </w:r>
      <w:r>
        <w:rPr>
          <w:w w:val="110"/>
          <w:sz w:val="17"/>
        </w:rPr>
        <w:t>Table</w:t>
      </w:r>
      <w:r>
        <w:rPr>
          <w:sz w:val="17"/>
        </w:rPr>
        <w:t> </w:t>
      </w:r>
      <w:r>
        <w:rPr>
          <w:spacing w:val="-7"/>
          <w:sz w:val="17"/>
        </w:rPr>
        <w:t> </w:t>
      </w:r>
      <w:r>
        <w:rPr>
          <w:w w:val="107"/>
          <w:sz w:val="17"/>
        </w:rPr>
        <w:t>8.</w:t>
      </w:r>
      <w:r>
        <w:rPr>
          <w:sz w:val="17"/>
        </w:rPr>
        <w:t> </w:t>
      </w:r>
      <w:r>
        <w:rPr>
          <w:spacing w:val="-20"/>
          <w:sz w:val="17"/>
        </w:rPr>
        <w:t> </w:t>
      </w:r>
      <w:r>
        <w:rPr>
          <w:w w:val="103"/>
          <w:sz w:val="17"/>
        </w:rPr>
        <w:t>Assurning</w:t>
      </w:r>
      <w:r>
        <w:rPr>
          <w:sz w:val="17"/>
        </w:rPr>
        <w:t> </w:t>
      </w:r>
      <w:r>
        <w:rPr>
          <w:spacing w:val="1"/>
          <w:sz w:val="17"/>
        </w:rPr>
        <w:t> </w:t>
      </w:r>
      <w:r>
        <w:rPr>
          <w:i/>
          <w:spacing w:val="16"/>
          <w:w w:val="83"/>
          <w:sz w:val="28"/>
        </w:rPr>
        <w:t>z</w:t>
      </w:r>
      <w:r>
        <w:rPr>
          <w:i/>
          <w:spacing w:val="13"/>
          <w:w w:val="61"/>
          <w:sz w:val="28"/>
        </w:rPr>
        <w:t>i</w:t>
      </w:r>
      <w:r>
        <w:rPr>
          <w:i/>
          <w:w w:val="109"/>
          <w:position w:val="8"/>
          <w:sz w:val="10"/>
        </w:rPr>
        <w:t>1</w:t>
      </w:r>
    </w:p>
    <w:p>
      <w:pPr>
        <w:spacing w:line="282" w:lineRule="exact" w:before="0"/>
        <w:ind w:left="76" w:right="0" w:firstLine="0"/>
        <w:jc w:val="left"/>
        <w:rPr>
          <w:sz w:val="10"/>
        </w:rPr>
      </w:pPr>
      <w:r>
        <w:rPr/>
        <w:br w:type="column"/>
      </w:r>
      <w:r>
        <w:rPr>
          <w:rFonts w:ascii="Arial"/>
          <w:w w:val="150"/>
          <w:sz w:val="14"/>
        </w:rPr>
        <w:t>=</w:t>
      </w:r>
      <w:r>
        <w:rPr>
          <w:rFonts w:ascii="Arial"/>
          <w:sz w:val="14"/>
        </w:rPr>
        <w:t> </w:t>
      </w:r>
      <w:r>
        <w:rPr>
          <w:rFonts w:ascii="Arial"/>
          <w:spacing w:val="7"/>
          <w:sz w:val="14"/>
        </w:rPr>
        <w:t> </w:t>
      </w:r>
      <w:r>
        <w:rPr>
          <w:rFonts w:ascii="Arial"/>
          <w:i/>
          <w:w w:val="92"/>
          <w:sz w:val="16"/>
        </w:rPr>
        <w:t>l</w:t>
      </w:r>
      <w:r>
        <w:rPr>
          <w:rFonts w:ascii="Arial"/>
          <w:i/>
          <w:sz w:val="16"/>
        </w:rPr>
        <w:t>  </w:t>
      </w:r>
      <w:r>
        <w:rPr>
          <w:rFonts w:ascii="Arial"/>
          <w:i/>
          <w:spacing w:val="-5"/>
          <w:sz w:val="16"/>
        </w:rPr>
        <w:t> </w:t>
      </w:r>
      <w:r>
        <w:rPr>
          <w:i/>
          <w:spacing w:val="-1"/>
          <w:w w:val="101"/>
          <w:position w:val="8"/>
          <w:sz w:val="10"/>
        </w:rPr>
        <w:t>2</w:t>
      </w:r>
      <w:r>
        <w:rPr>
          <w:rFonts w:ascii="Arial"/>
          <w:i/>
          <w:w w:val="31"/>
          <w:sz w:val="18"/>
        </w:rPr>
        <w:t>&gt;</w:t>
      </w:r>
      <w:r>
        <w:rPr>
          <w:rFonts w:ascii="Arial"/>
          <w:i/>
          <w:sz w:val="18"/>
        </w:rPr>
        <w:t> </w:t>
      </w:r>
      <w:r>
        <w:rPr>
          <w:rFonts w:ascii="Arial"/>
          <w:i/>
          <w:spacing w:val="14"/>
          <w:sz w:val="18"/>
        </w:rPr>
        <w:t> </w:t>
      </w:r>
      <w:r>
        <w:rPr>
          <w:rFonts w:ascii="Arial"/>
          <w:w w:val="150"/>
          <w:sz w:val="14"/>
        </w:rPr>
        <w:t>=</w:t>
      </w:r>
      <w:r>
        <w:rPr>
          <w:rFonts w:ascii="Arial"/>
          <w:sz w:val="14"/>
        </w:rPr>
        <w:t> </w:t>
      </w:r>
      <w:r>
        <w:rPr>
          <w:rFonts w:ascii="Arial"/>
          <w:spacing w:val="7"/>
          <w:sz w:val="14"/>
        </w:rPr>
        <w:t> </w:t>
      </w:r>
      <w:r>
        <w:rPr>
          <w:rFonts w:ascii="Arial"/>
          <w:i/>
          <w:spacing w:val="-23"/>
          <w:w w:val="161"/>
          <w:sz w:val="18"/>
        </w:rPr>
        <w:t>z</w:t>
      </w:r>
      <w:r>
        <w:rPr>
          <w:rFonts w:ascii="Arial"/>
          <w:i/>
          <w:w w:val="71"/>
          <w:sz w:val="18"/>
        </w:rPr>
        <w:t>r&gt;</w:t>
      </w:r>
      <w:r>
        <w:rPr>
          <w:rFonts w:ascii="Arial"/>
          <w:i/>
          <w:spacing w:val="-18"/>
          <w:sz w:val="18"/>
        </w:rPr>
        <w:t> </w:t>
      </w:r>
      <w:r>
        <w:rPr>
          <w:rFonts w:ascii="Arial"/>
          <w:i/>
          <w:w w:val="89"/>
          <w:sz w:val="18"/>
        </w:rPr>
        <w:t>,</w:t>
      </w:r>
      <w:r>
        <w:rPr>
          <w:rFonts w:ascii="Arial"/>
          <w:i/>
          <w:spacing w:val="20"/>
          <w:sz w:val="18"/>
        </w:rPr>
        <w:t> </w:t>
      </w:r>
      <w:r>
        <w:rPr>
          <w:w w:val="107"/>
          <w:sz w:val="17"/>
        </w:rPr>
        <w:t>compute</w:t>
      </w:r>
      <w:r>
        <w:rPr>
          <w:sz w:val="17"/>
        </w:rPr>
        <w:t> </w:t>
      </w:r>
      <w:r>
        <w:rPr>
          <w:spacing w:val="-1"/>
          <w:sz w:val="17"/>
        </w:rPr>
        <w:t> </w:t>
      </w:r>
      <w:r>
        <w:rPr>
          <w:w w:val="109"/>
          <w:sz w:val="17"/>
        </w:rPr>
        <w:t>values</w:t>
      </w:r>
      <w:r>
        <w:rPr>
          <w:sz w:val="17"/>
        </w:rPr>
        <w:t> </w:t>
      </w:r>
      <w:r>
        <w:rPr>
          <w:spacing w:val="-1"/>
          <w:sz w:val="17"/>
        </w:rPr>
        <w:t> </w:t>
      </w:r>
      <w:r>
        <w:rPr>
          <w:w w:val="109"/>
          <w:sz w:val="17"/>
        </w:rPr>
        <w:t>for</w:t>
      </w:r>
      <w:r>
        <w:rPr>
          <w:sz w:val="17"/>
        </w:rPr>
        <w:t> </w:t>
      </w:r>
      <w:r>
        <w:rPr>
          <w:spacing w:val="-12"/>
          <w:sz w:val="17"/>
        </w:rPr>
        <w:t> </w:t>
      </w:r>
      <w:r>
        <w:rPr>
          <w:spacing w:val="-4"/>
          <w:w w:val="111"/>
          <w:sz w:val="26"/>
        </w:rPr>
        <w:t>d</w:t>
      </w:r>
      <w:r>
        <w:rPr>
          <w:spacing w:val="9"/>
          <w:w w:val="76"/>
          <w:sz w:val="26"/>
        </w:rPr>
        <w:t>l</w:t>
      </w:r>
      <w:r>
        <w:rPr>
          <w:w w:val="135"/>
          <w:position w:val="8"/>
          <w:sz w:val="10"/>
        </w:rPr>
        <w:t>1</w:t>
      </w:r>
    </w:p>
    <w:p>
      <w:pPr>
        <w:spacing w:before="52"/>
        <w:ind w:left="66" w:right="0" w:firstLine="0"/>
        <w:jc w:val="left"/>
        <w:rPr>
          <w:rFonts w:ascii="Arial"/>
          <w:i/>
          <w:sz w:val="18"/>
        </w:rPr>
      </w:pPr>
      <w:r>
        <w:rPr/>
        <w:br w:type="column"/>
      </w:r>
      <w:r>
        <w:rPr>
          <w:w w:val="113"/>
          <w:sz w:val="17"/>
        </w:rPr>
        <w:t>and</w:t>
      </w:r>
      <w:r>
        <w:rPr>
          <w:sz w:val="17"/>
        </w:rPr>
        <w:t> </w:t>
      </w:r>
      <w:r>
        <w:rPr>
          <w:spacing w:val="13"/>
          <w:sz w:val="17"/>
        </w:rPr>
        <w:t> </w:t>
      </w:r>
      <w:r>
        <w:rPr>
          <w:rFonts w:ascii="Arial"/>
          <w:i/>
          <w:w w:val="221"/>
          <w:sz w:val="16"/>
        </w:rPr>
        <w:t>d</w:t>
      </w:r>
      <w:r>
        <w:rPr>
          <w:i/>
          <w:w w:val="93"/>
          <w:position w:val="8"/>
          <w:sz w:val="10"/>
        </w:rPr>
        <w:t>2</w:t>
      </w:r>
      <w:r>
        <w:rPr>
          <w:rFonts w:ascii="Arial"/>
          <w:i/>
          <w:w w:val="31"/>
          <w:sz w:val="18"/>
        </w:rPr>
        <w:t>&gt;</w:t>
      </w:r>
      <w:r>
        <w:rPr>
          <w:rFonts w:ascii="Arial"/>
          <w:i/>
          <w:spacing w:val="-16"/>
          <w:sz w:val="18"/>
        </w:rPr>
        <w:t> </w:t>
      </w:r>
      <w:r>
        <w:rPr>
          <w:rFonts w:ascii="Arial"/>
          <w:i/>
          <w:w w:val="113"/>
          <w:sz w:val="18"/>
        </w:rPr>
        <w:t>.</w:t>
      </w:r>
    </w:p>
    <w:p>
      <w:pPr>
        <w:spacing w:after="0"/>
        <w:jc w:val="left"/>
        <w:rPr>
          <w:rFonts w:ascii="Arial"/>
          <w:sz w:val="18"/>
        </w:rPr>
        <w:sectPr>
          <w:type w:val="continuous"/>
          <w:pgSz w:w="7200" w:h="11340"/>
          <w:pgMar w:top="1100" w:bottom="0" w:left="680" w:right="520"/>
          <w:cols w:num="3" w:equalWidth="0">
            <w:col w:w="1900" w:space="40"/>
            <w:col w:w="3100" w:space="40"/>
            <w:col w:w="920"/>
          </w:cols>
        </w:sectPr>
      </w:pPr>
    </w:p>
    <w:p>
      <w:pPr>
        <w:spacing w:line="189" w:lineRule="exact" w:before="0"/>
        <w:ind w:left="137" w:right="0" w:firstLine="0"/>
        <w:jc w:val="both"/>
        <w:rPr>
          <w:sz w:val="17"/>
        </w:rPr>
      </w:pPr>
      <w:r>
        <w:rPr>
          <w:w w:val="110"/>
          <w:sz w:val="17"/>
        </w:rPr>
        <w:t>Use  standard approximations.</w:t>
      </w:r>
    </w:p>
    <w:p>
      <w:pPr>
        <w:pStyle w:val="ListParagraph"/>
        <w:numPr>
          <w:ilvl w:val="0"/>
          <w:numId w:val="133"/>
        </w:numPr>
        <w:tabs>
          <w:tab w:pos="570" w:val="left" w:leader="none"/>
        </w:tabs>
        <w:spacing w:line="247" w:lineRule="auto" w:before="17" w:after="0"/>
        <w:ind w:left="122" w:right="133" w:firstLine="166"/>
        <w:jc w:val="both"/>
        <w:rPr>
          <w:rFonts w:ascii="Arial"/>
          <w:i/>
          <w:sz w:val="17"/>
        </w:rPr>
      </w:pPr>
      <w:r>
        <w:rPr>
          <w:sz w:val="17"/>
        </w:rPr>
        <w:t>A body of lives is suhject to two causes of decrement. Using standard approximations,  express  </w:t>
      </w:r>
      <w:r>
        <w:rPr>
          <w:rFonts w:ascii="Arial"/>
          <w:i/>
          <w:sz w:val="17"/>
        </w:rPr>
        <w:t>ql)  </w:t>
      </w:r>
      <w:r>
        <w:rPr>
          <w:sz w:val="17"/>
        </w:rPr>
        <w:t>in  terms  of  </w:t>
      </w:r>
      <w:r>
        <w:rPr>
          <w:rFonts w:ascii="Arial"/>
          <w:i/>
          <w:sz w:val="17"/>
        </w:rPr>
        <w:t>q;&lt;o  </w:t>
      </w:r>
      <w:r>
        <w:rPr>
          <w:sz w:val="17"/>
        </w:rPr>
        <w:t>and  </w:t>
      </w:r>
      <w:r>
        <w:rPr>
          <w:rFonts w:ascii="Arial"/>
          <w:i/>
          <w:sz w:val="17"/>
        </w:rPr>
        <w:t>q!T&gt;</w:t>
      </w:r>
      <w:r>
        <w:rPr>
          <w:rFonts w:ascii="Arial"/>
          <w:i/>
          <w:spacing w:val="-2"/>
          <w:sz w:val="17"/>
        </w:rPr>
        <w:t> </w:t>
      </w:r>
      <w:r>
        <w:rPr>
          <w:rFonts w:ascii="Arial"/>
          <w:i/>
          <w:w w:val="110"/>
          <w:sz w:val="17"/>
        </w:rPr>
        <w:t>.</w:t>
      </w:r>
    </w:p>
    <w:p>
      <w:pPr>
        <w:pStyle w:val="ListParagraph"/>
        <w:numPr>
          <w:ilvl w:val="0"/>
          <w:numId w:val="133"/>
        </w:numPr>
        <w:tabs>
          <w:tab w:pos="577" w:val="left" w:leader="none"/>
        </w:tabs>
        <w:spacing w:line="254" w:lineRule="auto" w:before="18" w:after="0"/>
        <w:ind w:left="108" w:right="138" w:firstLine="180"/>
        <w:jc w:val="both"/>
        <w:rPr>
          <w:sz w:val="17"/>
        </w:rPr>
      </w:pPr>
      <w:r>
        <w:rPr>
          <w:w w:val="105"/>
          <w:sz w:val="17"/>
        </w:rPr>
        <w:t>In a certain double-decrernent table involving deaths </w:t>
      </w:r>
      <w:r>
        <w:rPr>
          <w:rFonts w:ascii="Arial" w:hAnsi="Arial"/>
          <w:i/>
          <w:sz w:val="16"/>
        </w:rPr>
        <w:t>d:r: </w:t>
      </w:r>
      <w:r>
        <w:rPr>
          <w:w w:val="105"/>
          <w:sz w:val="17"/>
        </w:rPr>
        <w:t>and with­ drawals </w:t>
      </w:r>
      <w:r>
        <w:rPr>
          <w:i/>
          <w:w w:val="105"/>
          <w:sz w:val="17"/>
        </w:rPr>
        <w:t>w., </w:t>
      </w:r>
      <w:r>
        <w:rPr>
          <w:w w:val="105"/>
          <w:sz w:val="17"/>
        </w:rPr>
        <w:t>, the decrements are dist rihuted t hroughout the year  of  age  </w:t>
      </w:r>
      <w:r>
        <w:rPr>
          <w:sz w:val="17"/>
        </w:rPr>
        <w:t>i </w:t>
      </w:r>
      <w:r>
        <w:rPr>
          <w:w w:val="105"/>
          <w:sz w:val="17"/>
        </w:rPr>
        <w:t>n such a way  as to produce  the  following  formulas  for  the  rates  of</w:t>
      </w:r>
      <w:r>
        <w:rPr>
          <w:spacing w:val="-9"/>
          <w:w w:val="105"/>
          <w:sz w:val="17"/>
        </w:rPr>
        <w:t> </w:t>
      </w:r>
      <w:r>
        <w:rPr>
          <w:w w:val="105"/>
          <w:sz w:val="17"/>
        </w:rPr>
        <w:t>decrement:</w:t>
      </w:r>
    </w:p>
    <w:p>
      <w:pPr>
        <w:pStyle w:val="BodyText"/>
        <w:spacing w:before="11"/>
        <w:rPr>
          <w:sz w:val="19"/>
        </w:rPr>
      </w:pPr>
      <w:r>
        <w:rPr/>
        <w:drawing>
          <wp:anchor distT="0" distB="0" distL="0" distR="0" allowOverlap="1" layoutInCell="1" locked="0" behindDoc="0" simplePos="0" relativeHeight="23440">
            <wp:simplePos x="0" y="0"/>
            <wp:positionH relativeFrom="page">
              <wp:posOffset>1627632</wp:posOffset>
            </wp:positionH>
            <wp:positionV relativeFrom="paragraph">
              <wp:posOffset>170644</wp:posOffset>
            </wp:positionV>
            <wp:extent cx="603504" cy="246887"/>
            <wp:effectExtent l="0" t="0" r="0" b="0"/>
            <wp:wrapTopAndBottom/>
            <wp:docPr id="705" name="image359.png" descr=""/>
            <wp:cNvGraphicFramePr>
              <a:graphicFrameLocks noChangeAspect="1"/>
            </wp:cNvGraphicFramePr>
            <a:graphic>
              <a:graphicData uri="http://schemas.openxmlformats.org/drawingml/2006/picture">
                <pic:pic>
                  <pic:nvPicPr>
                    <pic:cNvPr id="706" name="image359.png"/>
                    <pic:cNvPicPr/>
                  </pic:nvPicPr>
                  <pic:blipFill>
                    <a:blip r:embed="rId363" cstate="print"/>
                    <a:stretch>
                      <a:fillRect/>
                    </a:stretch>
                  </pic:blipFill>
                  <pic:spPr>
                    <a:xfrm>
                      <a:off x="0" y="0"/>
                      <a:ext cx="603504" cy="246887"/>
                    </a:xfrm>
                    <a:prstGeom prst="rect">
                      <a:avLst/>
                    </a:prstGeom>
                  </pic:spPr>
                </pic:pic>
              </a:graphicData>
            </a:graphic>
          </wp:anchor>
        </w:drawing>
      </w:r>
      <w:r>
        <w:rPr/>
        <w:drawing>
          <wp:anchor distT="0" distB="0" distL="0" distR="0" allowOverlap="1" layoutInCell="1" locked="0" behindDoc="0" simplePos="0" relativeHeight="23464">
            <wp:simplePos x="0" y="0"/>
            <wp:positionH relativeFrom="page">
              <wp:posOffset>2423160</wp:posOffset>
            </wp:positionH>
            <wp:positionV relativeFrom="paragraph">
              <wp:posOffset>198076</wp:posOffset>
            </wp:positionV>
            <wp:extent cx="987551" cy="228600"/>
            <wp:effectExtent l="0" t="0" r="0" b="0"/>
            <wp:wrapTopAndBottom/>
            <wp:docPr id="707" name="image360.png" descr=""/>
            <wp:cNvGraphicFramePr>
              <a:graphicFrameLocks noChangeAspect="1"/>
            </wp:cNvGraphicFramePr>
            <a:graphic>
              <a:graphicData uri="http://schemas.openxmlformats.org/drawingml/2006/picture">
                <pic:pic>
                  <pic:nvPicPr>
                    <pic:cNvPr id="708" name="image360.png"/>
                    <pic:cNvPicPr/>
                  </pic:nvPicPr>
                  <pic:blipFill>
                    <a:blip r:embed="rId364" cstate="print"/>
                    <a:stretch>
                      <a:fillRect/>
                    </a:stretch>
                  </pic:blipFill>
                  <pic:spPr>
                    <a:xfrm>
                      <a:off x="0" y="0"/>
                      <a:ext cx="987551" cy="228600"/>
                    </a:xfrm>
                    <a:prstGeom prst="rect">
                      <a:avLst/>
                    </a:prstGeom>
                  </pic:spPr>
                </pic:pic>
              </a:graphicData>
            </a:graphic>
          </wp:anchor>
        </w:drawing>
      </w:r>
    </w:p>
    <w:p>
      <w:pPr>
        <w:pStyle w:val="BodyText"/>
        <w:spacing w:before="4"/>
        <w:rPr>
          <w:sz w:val="16"/>
        </w:rPr>
      </w:pPr>
    </w:p>
    <w:p>
      <w:pPr>
        <w:tabs>
          <w:tab w:pos="5043" w:val="left" w:leader="none"/>
        </w:tabs>
        <w:spacing w:line="218" w:lineRule="auto" w:before="0"/>
        <w:ind w:left="115" w:right="146" w:firstLine="3"/>
        <w:jc w:val="both"/>
        <w:rPr>
          <w:sz w:val="17"/>
        </w:rPr>
      </w:pPr>
      <w:r>
        <w:rPr>
          <w:sz w:val="17"/>
        </w:rPr>
        <w:t>For a certain age </w:t>
      </w:r>
      <w:r>
        <w:rPr>
          <w:rFonts w:ascii="Arial"/>
          <w:i/>
          <w:sz w:val="17"/>
        </w:rPr>
        <w:t>x , lJT </w:t>
      </w:r>
      <w:r>
        <w:rPr>
          <w:rFonts w:ascii="Arial"/>
          <w:i/>
          <w:w w:val="75"/>
          <w:sz w:val="17"/>
        </w:rPr>
        <w:t>&gt; </w:t>
      </w:r>
      <w:r>
        <w:rPr>
          <w:sz w:val="21"/>
        </w:rPr>
        <w:t>=  </w:t>
      </w:r>
      <w:r>
        <w:rPr>
          <w:sz w:val="17"/>
        </w:rPr>
        <w:t>1000, </w:t>
      </w:r>
      <w:r>
        <w:rPr>
          <w:i/>
          <w:sz w:val="27"/>
        </w:rPr>
        <w:t>z ii </w:t>
      </w:r>
      <w:r>
        <w:rPr>
          <w:sz w:val="21"/>
        </w:rPr>
        <w:t>= </w:t>
      </w:r>
      <w:r>
        <w:rPr>
          <w:sz w:val="17"/>
        </w:rPr>
        <w:t>900, and </w:t>
      </w:r>
      <w:r>
        <w:rPr>
          <w:rFonts w:ascii="Arial"/>
          <w:i/>
          <w:w w:val="75"/>
          <w:sz w:val="17"/>
        </w:rPr>
        <w:t>q;&lt;"'&gt;  </w:t>
      </w:r>
      <w:r>
        <w:rPr>
          <w:sz w:val="21"/>
        </w:rPr>
        <w:t>=  </w:t>
      </w:r>
      <w:r>
        <w:rPr>
          <w:sz w:val="17"/>
        </w:rPr>
        <w:t>.080. Find  the value of</w:t>
      </w:r>
      <w:r>
        <w:rPr>
          <w:spacing w:val="22"/>
          <w:sz w:val="17"/>
        </w:rPr>
        <w:t> </w:t>
      </w:r>
      <w:r>
        <w:rPr>
          <w:rFonts w:ascii="Arial"/>
          <w:spacing w:val="-3"/>
          <w:w w:val="75"/>
          <w:sz w:val="18"/>
        </w:rPr>
        <w:t>q;&lt;d&gt;.</w:t>
        <w:tab/>
      </w:r>
      <w:r>
        <w:rPr>
          <w:sz w:val="17"/>
        </w:rPr>
        <w:t>(Ans .</w:t>
      </w:r>
      <w:r>
        <w:rPr>
          <w:spacing w:val="17"/>
          <w:sz w:val="17"/>
        </w:rPr>
        <w:t> </w:t>
      </w:r>
      <w:r>
        <w:rPr>
          <w:spacing w:val="-5"/>
          <w:sz w:val="17"/>
        </w:rPr>
        <w:t>.022)</w:t>
      </w:r>
    </w:p>
    <w:p>
      <w:pPr>
        <w:pStyle w:val="BodyText"/>
        <w:rPr>
          <w:sz w:val="18"/>
        </w:rPr>
      </w:pPr>
    </w:p>
    <w:p>
      <w:pPr>
        <w:pStyle w:val="BodyText"/>
        <w:spacing w:before="2"/>
        <w:rPr>
          <w:sz w:val="19"/>
        </w:rPr>
      </w:pPr>
    </w:p>
    <w:p>
      <w:pPr>
        <w:pStyle w:val="ListParagraph"/>
        <w:numPr>
          <w:ilvl w:val="0"/>
          <w:numId w:val="131"/>
        </w:numPr>
        <w:tabs>
          <w:tab w:pos="292" w:val="left" w:leader="none"/>
        </w:tabs>
        <w:spacing w:line="271" w:lineRule="auto" w:before="0" w:after="0"/>
        <w:ind w:left="288" w:right="145" w:hanging="184"/>
        <w:jc w:val="left"/>
        <w:rPr>
          <w:b/>
          <w:sz w:val="16"/>
        </w:rPr>
      </w:pPr>
      <w:r>
        <w:rPr>
          <w:b/>
          <w:w w:val="125"/>
          <w:sz w:val="16"/>
        </w:rPr>
        <w:t>Construction of a multiple-decrement table from the associated single-decrement </w:t>
      </w:r>
      <w:r>
        <w:rPr>
          <w:b/>
          <w:spacing w:val="1"/>
          <w:w w:val="125"/>
          <w:sz w:val="16"/>
        </w:rPr>
        <w:t> </w:t>
      </w:r>
      <w:r>
        <w:rPr>
          <w:b/>
          <w:w w:val="125"/>
          <w:sz w:val="16"/>
        </w:rPr>
        <w:t>tables</w:t>
      </w:r>
    </w:p>
    <w:p>
      <w:pPr>
        <w:spacing w:line="189" w:lineRule="auto" w:before="139"/>
        <w:ind w:left="108" w:right="138" w:firstLine="169"/>
        <w:jc w:val="both"/>
        <w:rPr>
          <w:i/>
          <w:sz w:val="17"/>
        </w:rPr>
      </w:pPr>
      <w:r>
        <w:rPr>
          <w:sz w:val="17"/>
        </w:rPr>
        <w:t>13. </w:t>
      </w:r>
      <w:r>
        <w:rPr>
          <w:w w:val="104"/>
          <w:sz w:val="17"/>
        </w:rPr>
        <w:t>Two </w:t>
      </w:r>
      <w:r>
        <w:rPr>
          <w:w w:val="109"/>
          <w:sz w:val="17"/>
        </w:rPr>
        <w:t>síngle-decrement </w:t>
      </w:r>
      <w:r>
        <w:rPr>
          <w:w w:val="110"/>
          <w:sz w:val="17"/>
        </w:rPr>
        <w:t>tables </w:t>
      </w:r>
      <w:r>
        <w:rPr>
          <w:w w:val="111"/>
          <w:sz w:val="17"/>
        </w:rPr>
        <w:t>are </w:t>
      </w:r>
      <w:r>
        <w:rPr>
          <w:w w:val="102"/>
          <w:sz w:val="17"/>
        </w:rPr>
        <w:t>defiued </w:t>
      </w:r>
      <w:r>
        <w:rPr>
          <w:w w:val="108"/>
          <w:sz w:val="17"/>
        </w:rPr>
        <w:t>by </w:t>
      </w:r>
      <w:r>
        <w:rPr>
          <w:i/>
          <w:w w:val="54"/>
          <w:sz w:val="27"/>
        </w:rPr>
        <w:t>z;rn </w:t>
      </w:r>
      <w:r>
        <w:rPr>
          <w:w w:val="92"/>
          <w:sz w:val="21"/>
        </w:rPr>
        <w:t>= </w:t>
      </w:r>
      <w:r>
        <w:rPr>
          <w:i/>
          <w:w w:val="96"/>
          <w:sz w:val="17"/>
        </w:rPr>
        <w:t>a </w:t>
      </w:r>
      <w:r>
        <w:rPr>
          <w:w w:val="265"/>
          <w:sz w:val="17"/>
        </w:rPr>
        <w:t>- </w:t>
      </w:r>
      <w:r>
        <w:rPr>
          <w:i/>
          <w:w w:val="109"/>
          <w:sz w:val="17"/>
        </w:rPr>
        <w:t>x </w:t>
      </w:r>
      <w:r>
        <w:rPr>
          <w:w w:val="113"/>
          <w:sz w:val="17"/>
        </w:rPr>
        <w:t>and </w:t>
      </w:r>
      <w:r>
        <w:rPr>
          <w:i/>
          <w:spacing w:val="8"/>
          <w:w w:val="62"/>
          <w:sz w:val="27"/>
        </w:rPr>
        <w:t>z&lt;</w:t>
      </w:r>
      <w:r>
        <w:rPr>
          <w:i/>
          <w:spacing w:val="8"/>
          <w:w w:val="62"/>
          <w:position w:val="8"/>
          <w:sz w:val="11"/>
        </w:rPr>
        <w:t>2</w:t>
      </w:r>
      <w:r>
        <w:rPr>
          <w:rFonts w:ascii="Arial" w:hAnsi="Arial"/>
          <w:i/>
          <w:spacing w:val="8"/>
          <w:w w:val="62"/>
          <w:sz w:val="11"/>
        </w:rPr>
        <w:t>&gt;</w:t>
      </w:r>
      <w:r>
        <w:rPr>
          <w:rFonts w:ascii="Arial" w:hAnsi="Arial"/>
          <w:i/>
          <w:w w:val="62"/>
          <w:sz w:val="11"/>
        </w:rPr>
        <w:t> </w:t>
      </w:r>
      <w:r>
        <w:rPr>
          <w:w w:val="103"/>
          <w:sz w:val="18"/>
        </w:rPr>
        <w:t>= </w:t>
      </w:r>
      <w:r>
        <w:rPr>
          <w:i/>
          <w:w w:val="101"/>
          <w:sz w:val="18"/>
        </w:rPr>
        <w:t>ce-z. </w:t>
      </w:r>
      <w:r>
        <w:rPr>
          <w:w w:val="110"/>
          <w:sz w:val="17"/>
        </w:rPr>
        <w:t>Find </w:t>
      </w:r>
      <w:r>
        <w:rPr>
          <w:w w:val="107"/>
          <w:sz w:val="17"/>
        </w:rPr>
        <w:t>expressions </w:t>
      </w:r>
      <w:r>
        <w:rPr>
          <w:w w:val="109"/>
          <w:sz w:val="17"/>
        </w:rPr>
        <w:t>for </w:t>
      </w:r>
      <w:r>
        <w:rPr>
          <w:rFonts w:ascii="Arial" w:hAnsi="Arial"/>
          <w:i/>
          <w:spacing w:val="6"/>
          <w:w w:val="93"/>
          <w:sz w:val="17"/>
        </w:rPr>
        <w:t>zr&gt;</w:t>
      </w:r>
      <w:r>
        <w:rPr>
          <w:rFonts w:ascii="Arial" w:hAnsi="Arial"/>
          <w:i/>
          <w:w w:val="93"/>
          <w:sz w:val="17"/>
        </w:rPr>
        <w:t> </w:t>
      </w:r>
      <w:r>
        <w:rPr>
          <w:rFonts w:ascii="Arial" w:hAnsi="Arial"/>
          <w:i/>
          <w:w w:val="95"/>
          <w:sz w:val="17"/>
        </w:rPr>
        <w:t>, </w:t>
      </w:r>
      <w:r>
        <w:rPr>
          <w:i/>
          <w:spacing w:val="3"/>
          <w:w w:val="78"/>
          <w:sz w:val="25"/>
        </w:rPr>
        <w:t>d</w:t>
      </w:r>
      <w:r>
        <w:rPr>
          <w:i/>
          <w:spacing w:val="3"/>
          <w:w w:val="78"/>
          <w:position w:val="8"/>
          <w:sz w:val="10"/>
        </w:rPr>
        <w:t>1</w:t>
      </w:r>
      <w:r>
        <w:rPr>
          <w:rFonts w:ascii="Arial" w:hAnsi="Arial"/>
          <w:i/>
          <w:spacing w:val="3"/>
          <w:w w:val="78"/>
          <w:sz w:val="17"/>
        </w:rPr>
        <w:t>&gt;</w:t>
      </w:r>
      <w:r>
        <w:rPr>
          <w:rFonts w:ascii="Arial" w:hAnsi="Arial"/>
          <w:i/>
          <w:w w:val="78"/>
          <w:sz w:val="17"/>
        </w:rPr>
        <w:t> </w:t>
      </w:r>
      <w:r>
        <w:rPr>
          <w:rFonts w:ascii="Arial" w:hAnsi="Arial"/>
          <w:i/>
          <w:w w:val="95"/>
          <w:sz w:val="17"/>
        </w:rPr>
        <w:t>, </w:t>
      </w:r>
      <w:r>
        <w:rPr>
          <w:w w:val="107"/>
          <w:sz w:val="17"/>
        </w:rPr>
        <w:t>and </w:t>
      </w:r>
      <w:r>
        <w:rPr>
          <w:i/>
          <w:spacing w:val="-1"/>
          <w:w w:val="80"/>
          <w:sz w:val="25"/>
        </w:rPr>
        <w:t>d?'</w:t>
      </w:r>
      <w:r>
        <w:rPr>
          <w:i/>
          <w:w w:val="80"/>
          <w:sz w:val="25"/>
        </w:rPr>
        <w:t> </w:t>
      </w:r>
      <w:r>
        <w:rPr>
          <w:i/>
          <w:w w:val="107"/>
          <w:sz w:val="18"/>
        </w:rPr>
        <w:t>in </w:t>
      </w:r>
      <w:r>
        <w:rPr>
          <w:w w:val="113"/>
          <w:sz w:val="17"/>
        </w:rPr>
        <w:t>the </w:t>
      </w:r>
      <w:r>
        <w:rPr>
          <w:w w:val="109"/>
          <w:sz w:val="17"/>
        </w:rPr>
        <w:t>corresponding </w:t>
      </w:r>
      <w:r>
        <w:rPr>
          <w:w w:val="109"/>
          <w:sz w:val="17"/>
        </w:rPr>
        <w:t>double­ </w:t>
      </w:r>
      <w:r>
        <w:rPr>
          <w:w w:val="105"/>
          <w:sz w:val="17"/>
        </w:rPr>
        <w:t>decrement  table,  assuming  </w:t>
      </w:r>
      <w:r>
        <w:rPr>
          <w:rFonts w:ascii="Arial" w:hAnsi="Arial"/>
          <w:i/>
          <w:w w:val="105"/>
          <w:sz w:val="18"/>
        </w:rPr>
        <w:t>z </w:t>
      </w:r>
      <w:r>
        <w:rPr>
          <w:rFonts w:ascii="Arial" w:hAnsi="Arial"/>
          <w:i/>
          <w:w w:val="85"/>
          <w:sz w:val="18"/>
        </w:rPr>
        <w:t>r&gt;   </w:t>
      </w:r>
      <w:r>
        <w:rPr>
          <w:w w:val="105"/>
          <w:sz w:val="21"/>
        </w:rPr>
        <w:t>=</w:t>
      </w:r>
      <w:r>
        <w:rPr>
          <w:spacing w:val="15"/>
          <w:w w:val="105"/>
          <w:sz w:val="21"/>
        </w:rPr>
        <w:t> </w:t>
      </w:r>
      <w:r>
        <w:rPr>
          <w:i/>
          <w:w w:val="105"/>
          <w:sz w:val="17"/>
        </w:rPr>
        <w:t>a.</w:t>
      </w:r>
    </w:p>
    <w:p>
      <w:pPr>
        <w:spacing w:line="170" w:lineRule="auto" w:before="41"/>
        <w:ind w:left="112" w:right="141" w:firstLine="169"/>
        <w:jc w:val="both"/>
        <w:rPr>
          <w:sz w:val="17"/>
        </w:rPr>
      </w:pPr>
      <w:r>
        <w:rPr>
          <w:w w:val="110"/>
          <w:sz w:val="17"/>
        </w:rPr>
        <w:t>14. Given </w:t>
      </w:r>
      <w:r>
        <w:rPr>
          <w:w w:val="110"/>
          <w:sz w:val="16"/>
        </w:rPr>
        <w:t>q;ll </w:t>
      </w:r>
      <w:r>
        <w:rPr>
          <w:w w:val="110"/>
          <w:sz w:val="21"/>
        </w:rPr>
        <w:t>= </w:t>
      </w:r>
      <w:r>
        <w:rPr>
          <w:w w:val="95"/>
          <w:position w:val="4"/>
          <w:sz w:val="16"/>
        </w:rPr>
        <w:t>2 </w:t>
      </w:r>
      <w:r>
        <w:rPr>
          <w:w w:val="95"/>
          <w:sz w:val="18"/>
        </w:rPr>
        <w:t>.%1, </w:t>
      </w:r>
      <w:r>
        <w:rPr>
          <w:rFonts w:ascii="Arial" w:hAnsi="Arial"/>
          <w:i/>
          <w:w w:val="135"/>
          <w:sz w:val="16"/>
        </w:rPr>
        <w:t>q </w:t>
      </w:r>
      <w:r>
        <w:rPr>
          <w:rFonts w:ascii="Arial" w:hAnsi="Arial"/>
          <w:i/>
          <w:w w:val="95"/>
          <w:sz w:val="16"/>
        </w:rPr>
        <w:t>i&gt; </w:t>
      </w:r>
      <w:r>
        <w:rPr>
          <w:w w:val="95"/>
          <w:sz w:val="21"/>
        </w:rPr>
        <w:t>= </w:t>
      </w:r>
      <w:r>
        <w:rPr>
          <w:w w:val="110"/>
          <w:sz w:val="18"/>
        </w:rPr>
        <w:t>301, </w:t>
      </w:r>
      <w:r>
        <w:rPr>
          <w:rFonts w:ascii="Arial" w:hAnsi="Arial"/>
          <w:i/>
          <w:w w:val="95"/>
          <w:sz w:val="16"/>
        </w:rPr>
        <w:t>qiª&gt; </w:t>
      </w:r>
      <w:r>
        <w:rPr>
          <w:w w:val="95"/>
          <w:sz w:val="21"/>
        </w:rPr>
        <w:t>= </w:t>
      </w:r>
      <w:r>
        <w:rPr>
          <w:w w:val="110"/>
          <w:sz w:val="18"/>
        </w:rPr>
        <w:t>03, </w:t>
      </w:r>
      <w:r>
        <w:rPr>
          <w:w w:val="110"/>
          <w:sz w:val="17"/>
        </w:rPr>
        <w:t>and </w:t>
      </w:r>
      <w:r>
        <w:rPr>
          <w:rFonts w:ascii="Arial" w:hAnsi="Arial"/>
          <w:i/>
          <w:w w:val="135"/>
          <w:sz w:val="16"/>
        </w:rPr>
        <w:t>q </w:t>
      </w:r>
      <w:r>
        <w:rPr>
          <w:rFonts w:ascii="Arial" w:hAnsi="Arial"/>
          <w:i/>
          <w:w w:val="95"/>
          <w:sz w:val="16"/>
        </w:rPr>
        <w:t>•&gt; </w:t>
      </w:r>
      <w:r>
        <w:rPr>
          <w:w w:val="95"/>
          <w:sz w:val="21"/>
        </w:rPr>
        <w:t>= </w:t>
      </w:r>
      <w:r>
        <w:rPr>
          <w:w w:val="110"/>
          <w:position w:val="4"/>
          <w:sz w:val="16"/>
        </w:rPr>
        <w:t>1</w:t>
      </w:r>
      <w:r>
        <w:rPr>
          <w:w w:val="110"/>
          <w:sz w:val="16"/>
        </w:rPr>
        <w:t>%01, </w:t>
      </w:r>
      <w:r>
        <w:rPr>
          <w:w w:val="110"/>
          <w:sz w:val="17"/>
        </w:rPr>
        <w:t>com­ </w:t>
      </w:r>
      <w:r>
        <w:rPr>
          <w:w w:val="111"/>
          <w:sz w:val="17"/>
        </w:rPr>
        <w:t>pute </w:t>
      </w:r>
      <w:r>
        <w:rPr>
          <w:w w:val="108"/>
          <w:sz w:val="17"/>
        </w:rPr>
        <w:t>values </w:t>
      </w:r>
      <w:r>
        <w:rPr>
          <w:w w:val="107"/>
          <w:sz w:val="17"/>
        </w:rPr>
        <w:t>for </w:t>
      </w:r>
      <w:r>
        <w:rPr>
          <w:rFonts w:ascii="Arial" w:hAnsi="Arial"/>
          <w:i/>
          <w:w w:val="153"/>
          <w:sz w:val="16"/>
        </w:rPr>
        <w:t>d', </w:t>
      </w:r>
      <w:r>
        <w:rPr>
          <w:w w:val="82"/>
          <w:sz w:val="25"/>
        </w:rPr>
        <w:t>di!&gt; </w:t>
      </w:r>
      <w:r>
        <w:rPr>
          <w:w w:val="67"/>
          <w:sz w:val="25"/>
        </w:rPr>
        <w:t>, </w:t>
      </w:r>
      <w:r>
        <w:rPr>
          <w:rFonts w:ascii="Arial" w:hAnsi="Arial"/>
          <w:i/>
          <w:w w:val="128"/>
          <w:sz w:val="16"/>
        </w:rPr>
        <w:t>d&gt; </w:t>
      </w:r>
      <w:r>
        <w:rPr>
          <w:rFonts w:ascii="Arial" w:hAnsi="Arial"/>
          <w:i/>
          <w:w w:val="101"/>
          <w:sz w:val="16"/>
        </w:rPr>
        <w:t>, </w:t>
      </w:r>
      <w:r>
        <w:rPr>
          <w:w w:val="111"/>
          <w:sz w:val="17"/>
        </w:rPr>
        <w:t>and </w:t>
      </w:r>
      <w:r>
        <w:rPr>
          <w:rFonts w:ascii="Arial" w:hAnsi="Arial"/>
          <w:i/>
          <w:w w:val="126"/>
          <w:sz w:val="16"/>
        </w:rPr>
        <w:t>d&gt; </w:t>
      </w:r>
      <w:r>
        <w:rPr>
          <w:rFonts w:ascii="Arial" w:hAnsi="Arial"/>
          <w:i/>
          <w:w w:val="101"/>
          <w:sz w:val="16"/>
        </w:rPr>
        <w:t>, </w:t>
      </w:r>
      <w:r>
        <w:rPr>
          <w:w w:val="107"/>
          <w:sz w:val="17"/>
        </w:rPr>
        <w:t>assuming </w:t>
      </w:r>
      <w:r>
        <w:rPr>
          <w:rFonts w:ascii="Arial" w:hAnsi="Arial"/>
          <w:i/>
          <w:w w:val="215"/>
          <w:sz w:val="16"/>
        </w:rPr>
        <w:t>l[ </w:t>
      </w:r>
      <w:r>
        <w:rPr>
          <w:rFonts w:ascii="Arial" w:hAnsi="Arial"/>
          <w:i/>
          <w:w w:val="35"/>
          <w:sz w:val="16"/>
        </w:rPr>
        <w:t>&gt;   </w:t>
      </w:r>
      <w:r>
        <w:rPr>
          <w:w w:val="88"/>
          <w:sz w:val="21"/>
        </w:rPr>
        <w:t>= </w:t>
      </w:r>
      <w:r>
        <w:rPr>
          <w:b/>
          <w:w w:val="103"/>
          <w:sz w:val="16"/>
        </w:rPr>
        <w:t>10,000. </w:t>
      </w:r>
      <w:r>
        <w:rPr>
          <w:w w:val="100"/>
          <w:sz w:val="17"/>
        </w:rPr>
        <w:t>Use </w:t>
      </w:r>
      <w:r>
        <w:rPr>
          <w:w w:val="116"/>
          <w:sz w:val="17"/>
        </w:rPr>
        <w:t>standard</w:t>
      </w:r>
    </w:p>
    <w:p>
      <w:pPr>
        <w:spacing w:before="15"/>
        <w:ind w:left="112" w:right="0" w:firstLine="0"/>
        <w:jc w:val="both"/>
        <w:rPr>
          <w:sz w:val="17"/>
        </w:rPr>
      </w:pPr>
      <w:r>
        <w:rPr>
          <w:w w:val="110"/>
          <w:sz w:val="17"/>
        </w:rPr>
        <w:t>approxima tions.</w:t>
      </w:r>
    </w:p>
    <w:p>
      <w:pPr>
        <w:pStyle w:val="ListParagraph"/>
        <w:numPr>
          <w:ilvl w:val="0"/>
          <w:numId w:val="134"/>
        </w:numPr>
        <w:tabs>
          <w:tab w:pos="559" w:val="left" w:leader="none"/>
        </w:tabs>
        <w:spacing w:line="256" w:lineRule="auto" w:before="13" w:after="0"/>
        <w:ind w:left="108" w:right="140" w:firstLine="169"/>
        <w:jc w:val="both"/>
        <w:rPr>
          <w:sz w:val="17"/>
        </w:rPr>
      </w:pPr>
      <w:r>
        <w:rPr>
          <w:w w:val="110"/>
          <w:sz w:val="17"/>
        </w:rPr>
        <w:t>A company which employs a large number of fernale office workers has just constructed a service table showing the number of females who attain age </w:t>
      </w:r>
      <w:r>
        <w:rPr>
          <w:rFonts w:ascii="Arial"/>
          <w:i/>
          <w:w w:val="110"/>
          <w:sz w:val="15"/>
        </w:rPr>
        <w:t>x </w:t>
      </w:r>
      <w:r>
        <w:rPr>
          <w:w w:val="110"/>
          <w:sz w:val="17"/>
        </w:rPr>
        <w:t>in employrnent. The workers must resign when they  marry. They  also  withdraw  for  other  rcasons.  Tbe  following  values  are </w:t>
      </w:r>
      <w:r>
        <w:rPr>
          <w:spacing w:val="17"/>
          <w:w w:val="110"/>
          <w:sz w:val="17"/>
        </w:rPr>
        <w:t> </w:t>
      </w:r>
      <w:r>
        <w:rPr>
          <w:w w:val="110"/>
          <w:sz w:val="17"/>
        </w:rPr>
        <w:t>given:</w:t>
      </w:r>
    </w:p>
    <w:p>
      <w:pPr>
        <w:spacing w:line="206" w:lineRule="exact" w:before="0"/>
        <w:ind w:left="115" w:right="0" w:hanging="4"/>
        <w:jc w:val="both"/>
        <w:rPr>
          <w:sz w:val="17"/>
        </w:rPr>
      </w:pPr>
      <w:r>
        <w:rPr>
          <w:rFonts w:ascii="Arial" w:hAnsi="Arial"/>
          <w:i/>
          <w:w w:val="135"/>
          <w:sz w:val="19"/>
        </w:rPr>
        <w:t>li&gt; </w:t>
      </w:r>
      <w:r>
        <w:rPr>
          <w:w w:val="110"/>
          <w:sz w:val="21"/>
        </w:rPr>
        <w:t>=  </w:t>
      </w:r>
      <w:r>
        <w:rPr>
          <w:w w:val="110"/>
          <w:sz w:val="17"/>
        </w:rPr>
        <w:t>10,000, </w:t>
      </w:r>
      <w:r>
        <w:rPr>
          <w:rFonts w:ascii="Arial" w:hAnsi="Arial"/>
          <w:i/>
          <w:w w:val="135"/>
          <w:sz w:val="19"/>
        </w:rPr>
        <w:t>l['  </w:t>
      </w:r>
      <w:r>
        <w:rPr>
          <w:rFonts w:ascii="Arial" w:hAnsi="Arial"/>
          <w:w w:val="135"/>
          <w:sz w:val="14"/>
        </w:rPr>
        <w:t>= </w:t>
      </w:r>
      <w:r>
        <w:rPr>
          <w:w w:val="110"/>
          <w:sz w:val="17"/>
        </w:rPr>
        <w:t>8600, </w:t>
      </w:r>
      <w:r>
        <w:rPr>
          <w:i/>
          <w:w w:val="135"/>
          <w:sz w:val="22"/>
        </w:rPr>
        <w:t>ll' </w:t>
      </w:r>
      <w:r>
        <w:rPr>
          <w:rFonts w:ascii="Arial" w:hAnsi="Arial"/>
          <w:w w:val="135"/>
          <w:sz w:val="14"/>
        </w:rPr>
        <w:t>= </w:t>
      </w:r>
      <w:r>
        <w:rPr>
          <w:w w:val="110"/>
          <w:sz w:val="17"/>
        </w:rPr>
        <w:t>7400.  If  the rate </w:t>
      </w:r>
      <w:r>
        <w:rPr>
          <w:i/>
          <w:w w:val="110"/>
          <w:sz w:val="17"/>
        </w:rPr>
        <w:t>o{ </w:t>
      </w:r>
      <w:r>
        <w:rPr>
          <w:w w:val="110"/>
          <w:sz w:val="17"/>
        </w:rPr>
        <w:t>marríage  for each of</w:t>
      </w:r>
    </w:p>
    <w:p>
      <w:pPr>
        <w:spacing w:line="259" w:lineRule="auto" w:before="2"/>
        <w:ind w:left="122" w:right="132" w:hanging="8"/>
        <w:jc w:val="both"/>
        <w:rPr>
          <w:sz w:val="17"/>
        </w:rPr>
      </w:pPr>
      <w:r>
        <w:rPr>
          <w:w w:val="110"/>
          <w:sz w:val="17"/>
        </w:rPr>
        <w:t>these ages is 10% and if the central rate of mortality for each age is 1%, calculate (using standard approximations) the number of deaths,  mar­  riages, and  other withdrawals  for ages 20 and</w:t>
      </w:r>
      <w:r>
        <w:rPr>
          <w:spacing w:val="38"/>
          <w:w w:val="110"/>
          <w:sz w:val="17"/>
        </w:rPr>
        <w:t> </w:t>
      </w:r>
      <w:r>
        <w:rPr>
          <w:w w:val="110"/>
          <w:sz w:val="17"/>
        </w:rPr>
        <w:t>21.</w:t>
      </w:r>
    </w:p>
    <w:p>
      <w:pPr>
        <w:pStyle w:val="ListParagraph"/>
        <w:numPr>
          <w:ilvl w:val="0"/>
          <w:numId w:val="134"/>
        </w:numPr>
        <w:tabs>
          <w:tab w:pos="573" w:val="left" w:leader="none"/>
        </w:tabs>
        <w:spacing w:line="199" w:lineRule="exact" w:before="0" w:after="0"/>
        <w:ind w:left="572" w:right="0" w:hanging="291"/>
        <w:jc w:val="left"/>
        <w:rPr>
          <w:sz w:val="17"/>
        </w:rPr>
      </w:pPr>
      <w:r>
        <w:rPr/>
        <w:pict>
          <v:shape style="position:absolute;margin-left:144pt;margin-top:2.806442pt;width:1.75pt;height:6pt;mso-position-horizontal-relative:page;mso-position-vertical-relative:paragraph;z-index:-712432" type="#_x0000_t202" filled="false" stroked="false">
            <v:textbox inset="0,0,0,0">
              <w:txbxContent>
                <w:p>
                  <w:pPr>
                    <w:spacing w:line="120" w:lineRule="exact" w:before="0"/>
                    <w:ind w:left="0" w:right="0" w:firstLine="0"/>
                    <w:jc w:val="left"/>
                    <w:rPr>
                      <w:rFonts w:ascii="Arial"/>
                      <w:sz w:val="12"/>
                    </w:rPr>
                  </w:pPr>
                  <w:r>
                    <w:rPr>
                      <w:rFonts w:ascii="Arial"/>
                      <w:w w:val="48"/>
                      <w:sz w:val="12"/>
                    </w:rPr>
                    <w:t>&gt;</w:t>
                  </w:r>
                </w:p>
              </w:txbxContent>
            </v:textbox>
            <w10:wrap type="none"/>
          </v:shape>
        </w:pict>
      </w:r>
      <w:r>
        <w:rPr/>
        <w:pict>
          <v:shape style="position:absolute;margin-left:177.660004pt;margin-top:4.021914pt;width:1.5pt;height:4.5pt;mso-position-horizontal-relative:page;mso-position-vertical-relative:paragraph;z-index:-712408" type="#_x0000_t202" filled="false" stroked="false">
            <v:textbox inset="0,0,0,0">
              <w:txbxContent>
                <w:p>
                  <w:pPr>
                    <w:spacing w:line="90" w:lineRule="exact" w:before="0"/>
                    <w:ind w:left="0" w:right="0" w:firstLine="0"/>
                    <w:jc w:val="left"/>
                    <w:rPr>
                      <w:rFonts w:ascii="Arial"/>
                      <w:sz w:val="9"/>
                    </w:rPr>
                  </w:pPr>
                  <w:r>
                    <w:rPr>
                      <w:rFonts w:ascii="Arial"/>
                      <w:w w:val="56"/>
                      <w:sz w:val="9"/>
                    </w:rPr>
                    <w:t>&gt;</w:t>
                  </w:r>
                </w:p>
              </w:txbxContent>
            </v:textbox>
            <w10:wrap type="none"/>
          </v:shape>
        </w:pict>
      </w:r>
      <w:r>
        <w:rPr>
          <w:w w:val="105"/>
          <w:sz w:val="17"/>
        </w:rPr>
        <w:t>If  q;cl)  </w:t>
      </w:r>
      <w:r>
        <w:rPr>
          <w:w w:val="105"/>
          <w:sz w:val="21"/>
        </w:rPr>
        <w:t>=  </w:t>
      </w:r>
      <w:r>
        <w:rPr>
          <w:w w:val="105"/>
          <w:sz w:val="17"/>
        </w:rPr>
        <w:t>.080 and m</w:t>
      </w:r>
      <w:r>
        <w:rPr>
          <w:w w:val="105"/>
          <w:position w:val="8"/>
          <w:sz w:val="10"/>
        </w:rPr>
        <w:t>2     </w:t>
      </w:r>
      <w:r>
        <w:rPr>
          <w:w w:val="105"/>
          <w:sz w:val="21"/>
        </w:rPr>
        <w:t>= </w:t>
      </w:r>
      <w:r>
        <w:rPr>
          <w:w w:val="105"/>
          <w:sz w:val="17"/>
        </w:rPr>
        <w:t>3 </w:t>
      </w:r>
      <w:r>
        <w:rPr>
          <w:spacing w:val="5"/>
          <w:w w:val="105"/>
          <w:sz w:val="17"/>
        </w:rPr>
        <w:t>m</w:t>
      </w:r>
      <w:r>
        <w:rPr>
          <w:spacing w:val="5"/>
          <w:w w:val="105"/>
          <w:position w:val="8"/>
          <w:sz w:val="10"/>
        </w:rPr>
        <w:t>1   </w:t>
      </w:r>
      <w:r>
        <w:rPr>
          <w:w w:val="105"/>
          <w:sz w:val="17"/>
        </w:rPr>
        <w:t>in a double-decrement  table, </w:t>
      </w:r>
      <w:r>
        <w:rPr>
          <w:spacing w:val="27"/>
          <w:w w:val="105"/>
          <w:sz w:val="17"/>
        </w:rPr>
        <w:t> </w:t>
      </w:r>
      <w:r>
        <w:rPr>
          <w:w w:val="105"/>
          <w:sz w:val="17"/>
        </w:rPr>
        <w:t>compute</w:t>
      </w:r>
    </w:p>
    <w:p>
      <w:pPr>
        <w:tabs>
          <w:tab w:pos="5029" w:val="left" w:leader="none"/>
        </w:tabs>
        <w:spacing w:before="4"/>
        <w:ind w:left="126" w:right="0" w:firstLine="0"/>
        <w:jc w:val="left"/>
        <w:rPr>
          <w:sz w:val="17"/>
        </w:rPr>
      </w:pPr>
      <w:r>
        <w:rPr>
          <w:w w:val="105"/>
          <w:sz w:val="17"/>
        </w:rPr>
        <w:t>the  value  of  </w:t>
      </w:r>
      <w:r>
        <w:rPr>
          <w:rFonts w:ascii="Arial"/>
          <w:i/>
          <w:spacing w:val="4"/>
          <w:w w:val="105"/>
          <w:sz w:val="17"/>
        </w:rPr>
        <w:t>qr&gt;  </w:t>
      </w:r>
      <w:r>
        <w:rPr>
          <w:w w:val="105"/>
          <w:sz w:val="17"/>
        </w:rPr>
        <w:t>using </w:t>
      </w:r>
      <w:r>
        <w:rPr>
          <w:spacing w:val="2"/>
          <w:w w:val="105"/>
          <w:sz w:val="17"/>
        </w:rPr>
        <w:t> </w:t>
      </w:r>
      <w:r>
        <w:rPr>
          <w:w w:val="105"/>
          <w:sz w:val="17"/>
        </w:rPr>
        <w:t>standard </w:t>
      </w:r>
      <w:r>
        <w:rPr>
          <w:spacing w:val="1"/>
          <w:w w:val="105"/>
          <w:sz w:val="17"/>
        </w:rPr>
        <w:t> </w:t>
      </w:r>
      <w:r>
        <w:rPr>
          <w:w w:val="105"/>
          <w:sz w:val="17"/>
        </w:rPr>
        <w:t>approximations.</w:t>
        <w:tab/>
        <w:t>(Ans</w:t>
      </w:r>
      <w:r>
        <w:rPr>
          <w:spacing w:val="-34"/>
          <w:w w:val="105"/>
          <w:sz w:val="17"/>
        </w:rPr>
        <w:t> </w:t>
      </w:r>
      <w:r>
        <w:rPr>
          <w:w w:val="105"/>
          <w:sz w:val="17"/>
        </w:rPr>
        <w:t>.</w:t>
      </w:r>
      <w:r>
        <w:rPr>
          <w:spacing w:val="-17"/>
          <w:w w:val="105"/>
          <w:sz w:val="17"/>
        </w:rPr>
        <w:t> </w:t>
      </w:r>
      <w:r>
        <w:rPr>
          <w:w w:val="105"/>
          <w:sz w:val="17"/>
        </w:rPr>
        <w:t>.286)</w:t>
      </w:r>
    </w:p>
    <w:p>
      <w:pPr>
        <w:spacing w:after="0"/>
        <w:jc w:val="left"/>
        <w:rPr>
          <w:sz w:val="17"/>
        </w:rPr>
        <w:sectPr>
          <w:type w:val="continuous"/>
          <w:pgSz w:w="7200" w:h="11340"/>
          <w:pgMar w:top="1100" w:bottom="0" w:left="680" w:right="520"/>
        </w:sectPr>
      </w:pPr>
    </w:p>
    <w:p>
      <w:pPr>
        <w:tabs>
          <w:tab w:pos="5885" w:val="right" w:leader="none"/>
        </w:tabs>
        <w:spacing w:before="48"/>
        <w:ind w:left="2562" w:right="0" w:firstLine="0"/>
        <w:jc w:val="left"/>
        <w:rPr>
          <w:b/>
          <w:sz w:val="19"/>
        </w:rPr>
      </w:pPr>
      <w:r>
        <w:rPr>
          <w:w w:val="110"/>
          <w:position w:val="1"/>
          <w:sz w:val="15"/>
        </w:rPr>
        <w:t>EXERCISES</w:t>
      </w:r>
      <w:r>
        <w:rPr>
          <w:b/>
          <w:w w:val="110"/>
          <w:sz w:val="19"/>
        </w:rPr>
        <w:tab/>
        <w:t>289</w:t>
      </w:r>
    </w:p>
    <w:p>
      <w:pPr>
        <w:pStyle w:val="BodyText"/>
        <w:spacing w:before="7"/>
        <w:rPr>
          <w:b/>
          <w:sz w:val="21"/>
        </w:rPr>
      </w:pPr>
    </w:p>
    <w:p>
      <w:pPr>
        <w:pStyle w:val="ListParagraph"/>
        <w:numPr>
          <w:ilvl w:val="0"/>
          <w:numId w:val="131"/>
        </w:numPr>
        <w:tabs>
          <w:tab w:pos="312" w:val="left" w:leader="none"/>
        </w:tabs>
        <w:spacing w:line="240" w:lineRule="auto" w:before="0" w:after="0"/>
        <w:ind w:left="312" w:right="0" w:hanging="184"/>
        <w:jc w:val="left"/>
        <w:rPr>
          <w:b/>
          <w:sz w:val="16"/>
        </w:rPr>
      </w:pPr>
      <w:r>
        <w:rPr>
          <w:b/>
          <w:w w:val="130"/>
          <w:sz w:val="16"/>
        </w:rPr>
        <w:t>The analogy with joint-life</w:t>
      </w:r>
      <w:r>
        <w:rPr>
          <w:b/>
          <w:spacing w:val="6"/>
          <w:w w:val="130"/>
          <w:sz w:val="16"/>
        </w:rPr>
        <w:t> </w:t>
      </w:r>
      <w:r>
        <w:rPr>
          <w:b/>
          <w:w w:val="130"/>
          <w:sz w:val="16"/>
        </w:rPr>
        <w:t>functions</w:t>
      </w:r>
    </w:p>
    <w:p>
      <w:pPr>
        <w:spacing w:line="224" w:lineRule="exact" w:before="110"/>
        <w:ind w:left="891" w:right="0" w:hanging="594"/>
        <w:jc w:val="left"/>
        <w:rPr>
          <w:sz w:val="17"/>
        </w:rPr>
      </w:pPr>
      <w:r>
        <w:rPr>
          <w:w w:val="105"/>
          <w:sz w:val="17"/>
        </w:rPr>
        <w:t>17. (a) What is the multiple-decrement analogue of the joint-life rela­ </w:t>
      </w:r>
      <w:r>
        <w:rPr>
          <w:w w:val="110"/>
          <w:sz w:val="17"/>
        </w:rPr>
        <w:t>tion </w:t>
      </w:r>
      <w:r>
        <w:rPr>
          <w:w w:val="97"/>
          <w:sz w:val="12"/>
        </w:rPr>
        <w:t>Pr1%•··.%tia   </w:t>
      </w:r>
      <w:r>
        <w:rPr>
          <w:w w:val="88"/>
          <w:sz w:val="21"/>
        </w:rPr>
        <w:t>=  </w:t>
      </w:r>
      <w:r>
        <w:rPr>
          <w:w w:val="90"/>
          <w:sz w:val="12"/>
        </w:rPr>
        <w:t>P%1 </w:t>
      </w:r>
      <w:r>
        <w:rPr>
          <w:w w:val="127"/>
          <w:sz w:val="12"/>
        </w:rPr>
        <w:t>·Pz1 </w:t>
      </w:r>
      <w:r>
        <w:rPr>
          <w:w w:val="83"/>
          <w:sz w:val="12"/>
        </w:rPr>
        <w:t>• </w:t>
      </w:r>
      <w:r>
        <w:rPr>
          <w:w w:val="95"/>
          <w:sz w:val="12"/>
        </w:rPr>
        <w:t>•  </w:t>
      </w:r>
      <w:r>
        <w:rPr>
          <w:w w:val="83"/>
          <w:sz w:val="12"/>
        </w:rPr>
        <w:t>•   </w:t>
      </w:r>
      <w:r>
        <w:rPr>
          <w:i/>
          <w:w w:val="85"/>
          <w:sz w:val="16"/>
        </w:rPr>
        <w:t>Prm  </w:t>
      </w:r>
      <w:r>
        <w:rPr>
          <w:w w:val="86"/>
          <w:sz w:val="17"/>
        </w:rPr>
        <w:t>?</w:t>
      </w:r>
    </w:p>
    <w:p>
      <w:pPr>
        <w:spacing w:line="170" w:lineRule="exact" w:before="0"/>
        <w:ind w:left="592" w:right="0" w:firstLine="0"/>
        <w:jc w:val="left"/>
        <w:rPr>
          <w:sz w:val="17"/>
        </w:rPr>
      </w:pPr>
      <w:r>
        <w:rPr>
          <w:w w:val="110"/>
          <w:sz w:val="17"/>
        </w:rPr>
        <w:t>(b) What  </w:t>
      </w:r>
      <w:r>
        <w:rPr>
          <w:rFonts w:ascii="Arial"/>
          <w:w w:val="110"/>
          <w:sz w:val="17"/>
        </w:rPr>
        <w:t>is  </w:t>
      </w:r>
      <w:r>
        <w:rPr>
          <w:w w:val="110"/>
          <w:sz w:val="17"/>
        </w:rPr>
        <w:t>the  joint-life  analogue  of  the  multiple-decrement  for-</w:t>
      </w:r>
    </w:p>
    <w:p>
      <w:pPr>
        <w:tabs>
          <w:tab w:pos="1935" w:val="left" w:leader="none"/>
        </w:tabs>
        <w:spacing w:line="153" w:lineRule="exact" w:before="0"/>
        <w:ind w:left="1467" w:right="0" w:firstLine="0"/>
        <w:jc w:val="left"/>
        <w:rPr>
          <w:rFonts w:ascii="Arial"/>
          <w:sz w:val="16"/>
        </w:rPr>
      </w:pPr>
      <w:r>
        <w:rPr>
          <w:w w:val="75"/>
          <w:sz w:val="18"/>
        </w:rPr>
        <w:t>c1&gt;</w:t>
        <w:tab/>
      </w:r>
      <w:r>
        <w:rPr>
          <w:rFonts w:ascii="Arial"/>
          <w:sz w:val="16"/>
        </w:rPr>
        <w:t>d</w:t>
      </w:r>
      <w:r>
        <w:rPr>
          <w:rFonts w:ascii="Arial"/>
          <w:spacing w:val="27"/>
          <w:sz w:val="16"/>
        </w:rPr>
        <w:t> </w:t>
      </w:r>
      <w:r>
        <w:rPr>
          <w:rFonts w:ascii="Arial"/>
          <w:sz w:val="16"/>
        </w:rPr>
        <w:t>l)</w:t>
      </w:r>
    </w:p>
    <w:p>
      <w:pPr>
        <w:spacing w:line="140" w:lineRule="exact" w:before="0"/>
        <w:ind w:left="884" w:right="0" w:firstLine="0"/>
        <w:jc w:val="left"/>
        <w:rPr>
          <w:sz w:val="15"/>
        </w:rPr>
      </w:pPr>
      <w:r>
        <w:rPr>
          <w:w w:val="115"/>
          <w:sz w:val="17"/>
        </w:rPr>
        <w:t>mula </w:t>
      </w:r>
      <w:r>
        <w:rPr>
          <w:i/>
          <w:w w:val="125"/>
          <w:sz w:val="18"/>
        </w:rPr>
        <w:t>m   </w:t>
      </w:r>
      <w:r>
        <w:rPr>
          <w:w w:val="115"/>
          <w:sz w:val="21"/>
        </w:rPr>
        <w:t>= </w:t>
      </w:r>
      <w:r>
        <w:rPr>
          <w:rFonts w:ascii="Arial"/>
          <w:w w:val="115"/>
          <w:sz w:val="17"/>
        </w:rPr>
        <w:t>&lt;T&gt; </w:t>
      </w:r>
      <w:r>
        <w:rPr>
          <w:w w:val="115"/>
          <w:sz w:val="15"/>
        </w:rPr>
        <w:t>?</w:t>
      </w:r>
    </w:p>
    <w:p>
      <w:pPr>
        <w:spacing w:line="158" w:lineRule="exact" w:before="0"/>
        <w:ind w:left="1896" w:right="0" w:firstLine="0"/>
        <w:jc w:val="left"/>
        <w:rPr>
          <w:i/>
          <w:sz w:val="18"/>
        </w:rPr>
      </w:pPr>
      <w:r>
        <w:rPr>
          <w:i/>
          <w:w w:val="95"/>
          <w:sz w:val="18"/>
        </w:rPr>
        <w:t>L$</w:t>
      </w:r>
    </w:p>
    <w:p>
      <w:pPr>
        <w:pStyle w:val="BodyText"/>
        <w:spacing w:before="2"/>
        <w:rPr>
          <w:i/>
          <w:sz w:val="21"/>
        </w:rPr>
      </w:pPr>
    </w:p>
    <w:p>
      <w:pPr>
        <w:pStyle w:val="ListParagraph"/>
        <w:numPr>
          <w:ilvl w:val="0"/>
          <w:numId w:val="131"/>
        </w:numPr>
        <w:tabs>
          <w:tab w:pos="309" w:val="left" w:leader="none"/>
        </w:tabs>
        <w:spacing w:line="240" w:lineRule="auto" w:before="0" w:after="0"/>
        <w:ind w:left="308" w:right="0" w:hanging="187"/>
        <w:jc w:val="left"/>
        <w:rPr>
          <w:b/>
          <w:sz w:val="16"/>
        </w:rPr>
      </w:pPr>
      <w:r>
        <w:rPr>
          <w:b/>
          <w:w w:val="125"/>
          <w:sz w:val="16"/>
        </w:rPr>
        <w:t>Monetary</w:t>
      </w:r>
      <w:r>
        <w:rPr>
          <w:b/>
          <w:spacing w:val="-5"/>
          <w:w w:val="125"/>
          <w:sz w:val="16"/>
        </w:rPr>
        <w:t> </w:t>
      </w:r>
      <w:r>
        <w:rPr>
          <w:b/>
          <w:w w:val="125"/>
          <w:sz w:val="16"/>
        </w:rPr>
        <w:t>applications</w:t>
      </w:r>
    </w:p>
    <w:p>
      <w:pPr>
        <w:pStyle w:val="ListParagraph"/>
        <w:numPr>
          <w:ilvl w:val="0"/>
          <w:numId w:val="135"/>
        </w:numPr>
        <w:tabs>
          <w:tab w:pos="572" w:val="left" w:leader="none"/>
        </w:tabs>
        <w:spacing w:line="242" w:lineRule="auto" w:before="121" w:after="0"/>
        <w:ind w:left="128" w:right="116" w:firstLine="162"/>
        <w:jc w:val="both"/>
        <w:rPr>
          <w:sz w:val="17"/>
        </w:rPr>
      </w:pPr>
      <w:r>
        <w:rPr>
          <w:w w:val="107"/>
          <w:sz w:val="17"/>
        </w:rPr>
        <w:t>Given </w:t>
      </w:r>
      <w:r>
        <w:rPr>
          <w:w w:val="111"/>
          <w:sz w:val="17"/>
        </w:rPr>
        <w:t>a </w:t>
      </w:r>
      <w:r>
        <w:rPr>
          <w:w w:val="107"/>
          <w:sz w:val="17"/>
        </w:rPr>
        <w:t>double-decrement </w:t>
      </w:r>
      <w:r>
        <w:rPr>
          <w:w w:val="112"/>
          <w:sz w:val="17"/>
        </w:rPr>
        <w:t>table </w:t>
      </w:r>
      <w:r>
        <w:rPr>
          <w:w w:val="105"/>
          <w:sz w:val="17"/>
        </w:rPr>
        <w:t>showing </w:t>
      </w:r>
      <w:r>
        <w:rPr>
          <w:w w:val="110"/>
          <w:sz w:val="17"/>
        </w:rPr>
        <w:t>decrements </w:t>
      </w:r>
      <w:r>
        <w:rPr>
          <w:w w:val="106"/>
          <w:sz w:val="17"/>
        </w:rPr>
        <w:t>by </w:t>
      </w:r>
      <w:r>
        <w:rPr>
          <w:w w:val="116"/>
          <w:sz w:val="17"/>
        </w:rPr>
        <w:t>death </w:t>
      </w:r>
      <w:r>
        <w:rPr>
          <w:i/>
          <w:spacing w:val="-6"/>
          <w:w w:val="73"/>
          <w:sz w:val="18"/>
        </w:rPr>
        <w:t>d¡a&gt;</w:t>
      </w:r>
      <w:r>
        <w:rPr>
          <w:i/>
          <w:w w:val="73"/>
          <w:sz w:val="18"/>
        </w:rPr>
        <w:t> </w:t>
      </w:r>
      <w:r>
        <w:rPr>
          <w:w w:val="110"/>
          <w:sz w:val="17"/>
        </w:rPr>
        <w:t>and </w:t>
      </w:r>
      <w:r>
        <w:rPr>
          <w:w w:val="104"/>
          <w:sz w:val="17"/>
        </w:rPr>
        <w:t>by </w:t>
      </w:r>
      <w:r>
        <w:rPr>
          <w:w w:val="113"/>
          <w:sz w:val="17"/>
        </w:rPr>
        <w:t>disability </w:t>
      </w:r>
      <w:r>
        <w:rPr>
          <w:rFonts w:ascii="Arial" w:hAnsi="Arial"/>
          <w:i/>
          <w:spacing w:val="-4"/>
          <w:w w:val="86"/>
          <w:sz w:val="18"/>
        </w:rPr>
        <w:t>d•&gt;</w:t>
      </w:r>
      <w:r>
        <w:rPr>
          <w:rFonts w:ascii="Arial" w:hAnsi="Arial"/>
          <w:i/>
          <w:w w:val="86"/>
          <w:sz w:val="18"/>
        </w:rPr>
        <w:t> </w:t>
      </w:r>
      <w:r>
        <w:rPr>
          <w:rFonts w:ascii="Arial" w:hAnsi="Arial"/>
          <w:i/>
          <w:w w:val="113"/>
          <w:sz w:val="18"/>
        </w:rPr>
        <w:t>. </w:t>
      </w:r>
      <w:r>
        <w:rPr>
          <w:w w:val="110"/>
          <w:sz w:val="17"/>
        </w:rPr>
        <w:t>The </w:t>
      </w:r>
      <w:r>
        <w:rPr>
          <w:w w:val="112"/>
          <w:sz w:val="17"/>
        </w:rPr>
        <w:t>net </w:t>
      </w:r>
      <w:r>
        <w:rPr>
          <w:w w:val="111"/>
          <w:sz w:val="17"/>
        </w:rPr>
        <w:t>annual </w:t>
      </w:r>
      <w:r>
        <w:rPr>
          <w:w w:val="105"/>
          <w:sz w:val="17"/>
        </w:rPr>
        <w:t>premium </w:t>
      </w:r>
      <w:r>
        <w:rPr>
          <w:w w:val="129"/>
          <w:sz w:val="17"/>
        </w:rPr>
        <w:t>at </w:t>
      </w:r>
      <w:r>
        <w:rPr>
          <w:w w:val="106"/>
          <w:sz w:val="17"/>
        </w:rPr>
        <w:t>age </w:t>
      </w:r>
      <w:r>
        <w:rPr>
          <w:rFonts w:ascii="Arial" w:hAnsi="Arial"/>
          <w:w w:val="103"/>
          <w:sz w:val="15"/>
        </w:rPr>
        <w:t>52 </w:t>
      </w:r>
      <w:r>
        <w:rPr>
          <w:w w:val="110"/>
          <w:sz w:val="17"/>
        </w:rPr>
        <w:t>is </w:t>
      </w:r>
      <w:r>
        <w:rPr>
          <w:w w:val="109"/>
          <w:sz w:val="17"/>
        </w:rPr>
        <w:t>required </w:t>
      </w:r>
      <w:r>
        <w:rPr>
          <w:w w:val="113"/>
          <w:sz w:val="17"/>
        </w:rPr>
        <w:t>for </w:t>
      </w:r>
      <w:r>
        <w:rPr>
          <w:rFonts w:ascii="Arial" w:hAnsi="Arial"/>
          <w:w w:val="112"/>
          <w:sz w:val="15"/>
        </w:rPr>
        <w:t>a </w:t>
      </w:r>
      <w:r>
        <w:rPr>
          <w:w w:val="110"/>
          <w:sz w:val="17"/>
        </w:rPr>
        <w:t>disa.bility benefit of </w:t>
      </w:r>
      <w:r>
        <w:rPr>
          <w:b/>
          <w:w w:val="110"/>
          <w:sz w:val="17"/>
        </w:rPr>
        <w:t>1 </w:t>
      </w:r>
      <w:r>
        <w:rPr>
          <w:w w:val="110"/>
          <w:sz w:val="17"/>
        </w:rPr>
        <w:t>which is payable at the end of the year of disability provided  that  disability occurs prior  to age </w:t>
      </w:r>
      <w:r>
        <w:rPr>
          <w:spacing w:val="23"/>
          <w:w w:val="110"/>
          <w:sz w:val="17"/>
        </w:rPr>
        <w:t> </w:t>
      </w:r>
      <w:r>
        <w:rPr>
          <w:w w:val="110"/>
          <w:sz w:val="16"/>
        </w:rPr>
        <w:t>55.</w:t>
      </w:r>
    </w:p>
    <w:p>
      <w:pPr>
        <w:pStyle w:val="ListParagraph"/>
        <w:numPr>
          <w:ilvl w:val="1"/>
          <w:numId w:val="135"/>
        </w:numPr>
        <w:tabs>
          <w:tab w:pos="752" w:val="left" w:leader="none"/>
        </w:tabs>
        <w:spacing w:line="247" w:lineRule="auto" w:before="4" w:after="0"/>
        <w:ind w:left="754" w:right="132" w:hanging="288"/>
        <w:jc w:val="left"/>
        <w:rPr>
          <w:sz w:val="17"/>
        </w:rPr>
      </w:pPr>
      <w:r>
        <w:rPr>
          <w:w w:val="105"/>
          <w:sz w:val="17"/>
        </w:rPr>
        <w:t>Express this premium in terms of the given double-decrement f unc­ tions   and   interest </w:t>
      </w:r>
      <w:r>
        <w:rPr>
          <w:spacing w:val="4"/>
          <w:w w:val="105"/>
          <w:sz w:val="17"/>
        </w:rPr>
        <w:t> </w:t>
      </w:r>
      <w:r>
        <w:rPr>
          <w:w w:val="105"/>
          <w:sz w:val="17"/>
        </w:rPr>
        <w:t>functions.</w:t>
      </w:r>
    </w:p>
    <w:p>
      <w:pPr>
        <w:pStyle w:val="ListParagraph"/>
        <w:numPr>
          <w:ilvl w:val="1"/>
          <w:numId w:val="135"/>
        </w:numPr>
        <w:tabs>
          <w:tab w:pos="759" w:val="left" w:leader="none"/>
        </w:tabs>
        <w:spacing w:line="242" w:lineRule="auto" w:before="0" w:after="0"/>
        <w:ind w:left="758" w:right="118" w:hanging="292"/>
        <w:jc w:val="left"/>
        <w:rPr>
          <w:sz w:val="17"/>
        </w:rPr>
      </w:pPr>
      <w:r>
        <w:rPr>
          <w:w w:val="110"/>
          <w:sz w:val="17"/>
        </w:rPr>
        <w:t>Express the premium in terms of appropriate commutation func­ tions.</w:t>
      </w:r>
    </w:p>
    <w:p>
      <w:pPr>
        <w:pStyle w:val="ListParagraph"/>
        <w:numPr>
          <w:ilvl w:val="0"/>
          <w:numId w:val="135"/>
        </w:numPr>
        <w:tabs>
          <w:tab w:pos="568" w:val="left" w:leader="none"/>
        </w:tabs>
        <w:spacing w:line="247" w:lineRule="auto" w:before="8" w:after="0"/>
        <w:ind w:left="114" w:right="128" w:firstLine="176"/>
        <w:jc w:val="both"/>
        <w:rPr>
          <w:sz w:val="17"/>
        </w:rPr>
      </w:pPr>
      <w:r>
        <w:rPr>
          <w:w w:val="110"/>
          <w:sz w:val="17"/>
        </w:rPr>
        <w:t>An analysis of the mortality among civilians in a war combat area shows that at a certain age the rate of death resulting from war is  </w:t>
      </w:r>
      <w:r>
        <w:rPr>
          <w:w w:val="110"/>
          <w:sz w:val="16"/>
        </w:rPr>
        <w:t>.05 </w:t>
      </w:r>
      <w:r>
        <w:rPr>
          <w:w w:val="110"/>
          <w:sz w:val="17"/>
        </w:rPr>
        <w:t>and  that the central rate of death resulting from war </w:t>
      </w:r>
      <w:r>
        <w:rPr>
          <w:rFonts w:ascii="Arial"/>
          <w:w w:val="110"/>
          <w:sz w:val="17"/>
        </w:rPr>
        <w:t>is </w:t>
      </w:r>
      <w:r>
        <w:rPr>
          <w:w w:val="110"/>
          <w:sz w:val="17"/>
        </w:rPr>
        <w:t>ten times that  of  death not resulting from war. Compute the net premium for </w:t>
      </w:r>
      <w:r>
        <w:rPr>
          <w:rFonts w:ascii="Arial"/>
          <w:w w:val="110"/>
          <w:sz w:val="14"/>
        </w:rPr>
        <w:t>a  </w:t>
      </w:r>
      <w:r>
        <w:rPr>
          <w:spacing w:val="-5"/>
          <w:w w:val="110"/>
          <w:sz w:val="17"/>
        </w:rPr>
        <w:t>$1000  </w:t>
      </w:r>
      <w:r>
        <w:rPr>
          <w:w w:val="110"/>
          <w:sz w:val="17"/>
        </w:rPr>
        <w:t>one-year  term policy which would give full coverage at this age irrespective of whether  death  resulted  from war  or  not.  Interest  is at 3 per</w:t>
      </w:r>
      <w:r>
        <w:rPr>
          <w:spacing w:val="37"/>
          <w:w w:val="110"/>
          <w:sz w:val="17"/>
        </w:rPr>
        <w:t> </w:t>
      </w:r>
      <w:r>
        <w:rPr>
          <w:w w:val="110"/>
          <w:sz w:val="17"/>
        </w:rPr>
        <w:t>cent.</w:t>
      </w:r>
    </w:p>
    <w:p>
      <w:pPr>
        <w:pStyle w:val="ListParagraph"/>
        <w:numPr>
          <w:ilvl w:val="0"/>
          <w:numId w:val="135"/>
        </w:numPr>
        <w:tabs>
          <w:tab w:pos="572" w:val="left" w:leader="none"/>
        </w:tabs>
        <w:spacing w:line="242" w:lineRule="auto" w:before="0" w:after="0"/>
        <w:ind w:left="124" w:right="137" w:firstLine="155"/>
        <w:jc w:val="both"/>
        <w:rPr>
          <w:sz w:val="16"/>
        </w:rPr>
      </w:pPr>
      <w:r>
        <w:rPr>
          <w:w w:val="105"/>
          <w:sz w:val="16"/>
        </w:rPr>
        <w:t>A </w:t>
      </w:r>
      <w:r>
        <w:rPr>
          <w:w w:val="105"/>
          <w:sz w:val="17"/>
        </w:rPr>
        <w:t>mutual benefit society is being formed to offer the following  bene­ fits:</w:t>
      </w:r>
    </w:p>
    <w:p>
      <w:pPr>
        <w:pStyle w:val="ListParagraph"/>
        <w:numPr>
          <w:ilvl w:val="0"/>
          <w:numId w:val="136"/>
        </w:numPr>
        <w:tabs>
          <w:tab w:pos="816" w:val="left" w:leader="none"/>
        </w:tabs>
        <w:spacing w:line="240" w:lineRule="auto" w:before="4" w:after="0"/>
        <w:ind w:left="816" w:right="0" w:hanging="252"/>
        <w:jc w:val="left"/>
        <w:rPr>
          <w:sz w:val="17"/>
        </w:rPr>
      </w:pPr>
      <w:r>
        <w:rPr>
          <w:w w:val="110"/>
          <w:sz w:val="17"/>
        </w:rPr>
        <w:t>On  withdrawal,  return  of  premiums  without</w:t>
      </w:r>
      <w:r>
        <w:rPr>
          <w:spacing w:val="-17"/>
          <w:w w:val="110"/>
          <w:sz w:val="17"/>
        </w:rPr>
        <w:t> </w:t>
      </w:r>
      <w:r>
        <w:rPr>
          <w:w w:val="110"/>
          <w:sz w:val="17"/>
        </w:rPr>
        <w:t>interest.</w:t>
      </w:r>
    </w:p>
    <w:p>
      <w:pPr>
        <w:pStyle w:val="ListParagraph"/>
        <w:numPr>
          <w:ilvl w:val="0"/>
          <w:numId w:val="136"/>
        </w:numPr>
        <w:tabs>
          <w:tab w:pos="820" w:val="left" w:leader="none"/>
        </w:tabs>
        <w:spacing w:line="240" w:lineRule="auto" w:before="2" w:after="0"/>
        <w:ind w:left="819" w:right="0" w:hanging="306"/>
        <w:jc w:val="left"/>
        <w:rPr>
          <w:sz w:val="17"/>
        </w:rPr>
      </w:pPr>
      <w:r>
        <w:rPr>
          <w:w w:val="105"/>
          <w:sz w:val="17"/>
        </w:rPr>
        <w:t>On  death, $1000 if  before  retirement,  none  if  af ter</w:t>
      </w:r>
      <w:r>
        <w:rPr>
          <w:spacing w:val="2"/>
          <w:w w:val="105"/>
          <w:sz w:val="17"/>
        </w:rPr>
        <w:t> </w:t>
      </w:r>
      <w:r>
        <w:rPr>
          <w:w w:val="105"/>
          <w:sz w:val="17"/>
        </w:rPr>
        <w:t>retirement.</w:t>
      </w:r>
    </w:p>
    <w:p>
      <w:pPr>
        <w:pStyle w:val="ListParagraph"/>
        <w:numPr>
          <w:ilvl w:val="0"/>
          <w:numId w:val="136"/>
        </w:numPr>
        <w:tabs>
          <w:tab w:pos="813" w:val="left" w:leader="none"/>
        </w:tabs>
        <w:spacing w:line="247" w:lineRule="auto" w:before="6" w:after="0"/>
        <w:ind w:left="816" w:right="154" w:hanging="360"/>
        <w:jc w:val="left"/>
        <w:rPr>
          <w:sz w:val="17"/>
        </w:rPr>
      </w:pPr>
      <w:r>
        <w:rPr>
          <w:w w:val="110"/>
          <w:sz w:val="17"/>
        </w:rPr>
        <w:t>On retirement at age </w:t>
      </w:r>
      <w:r>
        <w:rPr>
          <w:w w:val="110"/>
          <w:sz w:val="16"/>
        </w:rPr>
        <w:t>65, </w:t>
      </w:r>
      <w:r>
        <w:rPr>
          <w:w w:val="110"/>
          <w:sz w:val="17"/>
        </w:rPr>
        <w:t>a lump sum of </w:t>
      </w:r>
      <w:r>
        <w:rPr>
          <w:w w:val="110"/>
          <w:sz w:val="16"/>
        </w:rPr>
        <w:t>$500 </w:t>
      </w:r>
      <w:r>
        <w:rPr>
          <w:w w:val="110"/>
          <w:sz w:val="17"/>
        </w:rPr>
        <w:t>times the number of years  the member  has paid</w:t>
      </w:r>
      <w:r>
        <w:rPr>
          <w:spacing w:val="15"/>
          <w:w w:val="110"/>
          <w:sz w:val="17"/>
        </w:rPr>
        <w:t> </w:t>
      </w:r>
      <w:r>
        <w:rPr>
          <w:w w:val="110"/>
          <w:sz w:val="17"/>
        </w:rPr>
        <w:t>premiums.</w:t>
      </w:r>
    </w:p>
    <w:p>
      <w:pPr>
        <w:spacing w:line="244" w:lineRule="auto" w:before="0"/>
        <w:ind w:left="117" w:right="132" w:firstLine="3"/>
        <w:jc w:val="both"/>
        <w:rPr>
          <w:sz w:val="17"/>
        </w:rPr>
      </w:pPr>
      <w:r>
        <w:rPr>
          <w:w w:val="115"/>
          <w:sz w:val="17"/>
        </w:rPr>
        <w:t>Assuming that the necessary service table is available, show what com­ mutation columns you would set up to facilitate arriving at the annual premiums</w:t>
      </w:r>
      <w:r>
        <w:rPr>
          <w:spacing w:val="2"/>
          <w:w w:val="115"/>
          <w:sz w:val="17"/>
        </w:rPr>
        <w:t> </w:t>
      </w:r>
      <w:r>
        <w:rPr>
          <w:w w:val="115"/>
          <w:sz w:val="17"/>
        </w:rPr>
        <w:t>for</w:t>
      </w:r>
      <w:r>
        <w:rPr>
          <w:spacing w:val="-7"/>
          <w:w w:val="115"/>
          <w:sz w:val="17"/>
        </w:rPr>
        <w:t> </w:t>
      </w:r>
      <w:r>
        <w:rPr>
          <w:w w:val="115"/>
          <w:sz w:val="17"/>
        </w:rPr>
        <w:t>the</w:t>
      </w:r>
      <w:r>
        <w:rPr>
          <w:spacing w:val="-7"/>
          <w:w w:val="115"/>
          <w:sz w:val="17"/>
        </w:rPr>
        <w:t> </w:t>
      </w:r>
      <w:r>
        <w:rPr>
          <w:w w:val="115"/>
          <w:sz w:val="17"/>
        </w:rPr>
        <w:t>above</w:t>
      </w:r>
      <w:r>
        <w:rPr>
          <w:spacing w:val="-8"/>
          <w:w w:val="115"/>
          <w:sz w:val="17"/>
        </w:rPr>
        <w:t> </w:t>
      </w:r>
      <w:r>
        <w:rPr>
          <w:w w:val="115"/>
          <w:sz w:val="17"/>
        </w:rPr>
        <w:t>benefits.</w:t>
      </w:r>
      <w:r>
        <w:rPr>
          <w:spacing w:val="-4"/>
          <w:w w:val="115"/>
          <w:sz w:val="17"/>
        </w:rPr>
        <w:t> </w:t>
      </w:r>
      <w:r>
        <w:rPr>
          <w:w w:val="115"/>
          <w:sz w:val="17"/>
        </w:rPr>
        <w:t>Give</w:t>
      </w:r>
      <w:r>
        <w:rPr>
          <w:spacing w:val="-6"/>
          <w:w w:val="115"/>
          <w:sz w:val="17"/>
        </w:rPr>
        <w:t> </w:t>
      </w:r>
      <w:r>
        <w:rPr>
          <w:w w:val="115"/>
          <w:sz w:val="17"/>
        </w:rPr>
        <w:t>the</w:t>
      </w:r>
      <w:r>
        <w:rPr>
          <w:spacing w:val="-6"/>
          <w:w w:val="115"/>
          <w:sz w:val="17"/>
        </w:rPr>
        <w:t> </w:t>
      </w:r>
      <w:r>
        <w:rPr>
          <w:w w:val="115"/>
          <w:sz w:val="17"/>
        </w:rPr>
        <w:t>formula</w:t>
      </w:r>
      <w:r>
        <w:rPr>
          <w:spacing w:val="-7"/>
          <w:w w:val="115"/>
          <w:sz w:val="17"/>
        </w:rPr>
        <w:t> </w:t>
      </w:r>
      <w:r>
        <w:rPr>
          <w:w w:val="115"/>
          <w:sz w:val="17"/>
        </w:rPr>
        <w:t>for</w:t>
      </w:r>
      <w:r>
        <w:rPr>
          <w:spacing w:val="-7"/>
          <w:w w:val="115"/>
          <w:sz w:val="17"/>
        </w:rPr>
        <w:t> </w:t>
      </w:r>
      <w:r>
        <w:rPr>
          <w:w w:val="115"/>
          <w:sz w:val="17"/>
        </w:rPr>
        <w:t>the</w:t>
      </w:r>
      <w:r>
        <w:rPr>
          <w:spacing w:val="-3"/>
          <w:w w:val="115"/>
          <w:sz w:val="17"/>
        </w:rPr>
        <w:t> </w:t>
      </w:r>
      <w:r>
        <w:rPr>
          <w:w w:val="115"/>
          <w:sz w:val="17"/>
        </w:rPr>
        <w:t>total</w:t>
      </w:r>
      <w:r>
        <w:rPr>
          <w:spacing w:val="-5"/>
          <w:w w:val="115"/>
          <w:sz w:val="17"/>
        </w:rPr>
        <w:t> </w:t>
      </w:r>
      <w:r>
        <w:rPr>
          <w:w w:val="115"/>
          <w:sz w:val="17"/>
        </w:rPr>
        <w:t>annual</w:t>
      </w:r>
      <w:r>
        <w:rPr>
          <w:spacing w:val="-3"/>
          <w:w w:val="115"/>
          <w:sz w:val="17"/>
        </w:rPr>
        <w:t> </w:t>
      </w:r>
      <w:r>
        <w:rPr>
          <w:w w:val="115"/>
          <w:sz w:val="17"/>
        </w:rPr>
        <w:t>net</w:t>
      </w:r>
    </w:p>
    <w:p>
      <w:pPr>
        <w:spacing w:line="208" w:lineRule="exact" w:before="0"/>
        <w:ind w:left="121" w:right="0" w:firstLine="0"/>
        <w:jc w:val="both"/>
        <w:rPr>
          <w:sz w:val="16"/>
        </w:rPr>
      </w:pPr>
      <w:r>
        <w:rPr>
          <w:w w:val="110"/>
          <w:sz w:val="17"/>
        </w:rPr>
        <w:t>premium </w:t>
      </w:r>
      <w:r>
        <w:rPr>
          <w:rFonts w:ascii="Arial"/>
          <w:i/>
          <w:w w:val="110"/>
          <w:sz w:val="17"/>
        </w:rPr>
        <w:t>P </w:t>
      </w:r>
      <w:r>
        <w:rPr>
          <w:w w:val="110"/>
          <w:sz w:val="17"/>
        </w:rPr>
        <w:t>at age </w:t>
      </w:r>
      <w:r>
        <w:rPr>
          <w:i/>
          <w:w w:val="110"/>
          <w:sz w:val="18"/>
        </w:rPr>
        <w:t>x </w:t>
      </w:r>
      <w:r>
        <w:rPr>
          <w:w w:val="110"/>
          <w:sz w:val="17"/>
        </w:rPr>
        <w:t>assuming </w:t>
      </w:r>
      <w:r>
        <w:rPr>
          <w:rFonts w:ascii="Arial"/>
          <w:i/>
          <w:w w:val="110"/>
          <w:sz w:val="17"/>
        </w:rPr>
        <w:t>P'  </w:t>
      </w:r>
      <w:r>
        <w:rPr>
          <w:w w:val="110"/>
          <w:sz w:val="17"/>
        </w:rPr>
        <w:t>(gross premium)  </w:t>
      </w:r>
      <w:r>
        <w:rPr>
          <w:w w:val="110"/>
          <w:sz w:val="23"/>
        </w:rPr>
        <w:t>= </w:t>
      </w:r>
      <w:r>
        <w:rPr>
          <w:rFonts w:ascii="Arial"/>
          <w:i/>
          <w:w w:val="110"/>
          <w:sz w:val="17"/>
        </w:rPr>
        <w:t>(P </w:t>
      </w:r>
      <w:r>
        <w:rPr>
          <w:rFonts w:ascii="Arial"/>
          <w:w w:val="110"/>
          <w:sz w:val="26"/>
        </w:rPr>
        <w:t>+ </w:t>
      </w:r>
      <w:r>
        <w:rPr>
          <w:w w:val="110"/>
          <w:sz w:val="16"/>
        </w:rPr>
        <w:t>c) (l </w:t>
      </w:r>
      <w:r>
        <w:rPr>
          <w:rFonts w:ascii="Arial"/>
          <w:w w:val="110"/>
          <w:sz w:val="26"/>
        </w:rPr>
        <w:t>+</w:t>
      </w:r>
      <w:r>
        <w:rPr>
          <w:rFonts w:ascii="Arial"/>
          <w:spacing w:val="78"/>
          <w:w w:val="110"/>
          <w:sz w:val="26"/>
        </w:rPr>
        <w:t> </w:t>
      </w:r>
      <w:r>
        <w:rPr>
          <w:w w:val="110"/>
          <w:sz w:val="16"/>
        </w:rPr>
        <w:t>k ).</w:t>
      </w:r>
    </w:p>
    <w:p>
      <w:pPr>
        <w:spacing w:line="189" w:lineRule="auto" w:before="25"/>
        <w:ind w:left="114" w:right="141" w:firstLine="169"/>
        <w:jc w:val="both"/>
        <w:rPr>
          <w:sz w:val="17"/>
        </w:rPr>
      </w:pPr>
      <w:r>
        <w:rPr>
          <w:rFonts w:ascii="Arial" w:hAnsi="Arial"/>
          <w:w w:val="110"/>
          <w:sz w:val="16"/>
        </w:rPr>
        <w:t>21. </w:t>
      </w:r>
      <w:r>
        <w:rPr>
          <w:w w:val="110"/>
          <w:sz w:val="17"/>
        </w:rPr>
        <w:t>When an accidental death table is combined with a standard mor- </w:t>
      </w:r>
      <w:r>
        <w:rPr>
          <w:w w:val="117"/>
          <w:position w:val="1"/>
          <w:sz w:val="17"/>
        </w:rPr>
        <w:t>tality </w:t>
      </w:r>
      <w:r>
        <w:rPr>
          <w:w w:val="112"/>
          <w:position w:val="1"/>
          <w:sz w:val="17"/>
        </w:rPr>
        <w:t>table, </w:t>
      </w:r>
      <w:r>
        <w:rPr>
          <w:w w:val="103"/>
          <w:position w:val="1"/>
          <w:sz w:val="17"/>
        </w:rPr>
        <w:t>show </w:t>
      </w:r>
      <w:r>
        <w:rPr>
          <w:w w:val="121"/>
          <w:position w:val="1"/>
          <w:sz w:val="17"/>
        </w:rPr>
        <w:t>that </w:t>
      </w:r>
      <w:r>
        <w:rPr>
          <w:w w:val="113"/>
          <w:position w:val="1"/>
          <w:sz w:val="17"/>
        </w:rPr>
        <w:t>the </w:t>
      </w:r>
      <w:r>
        <w:rPr>
          <w:w w:val="109"/>
          <w:position w:val="1"/>
          <w:sz w:val="17"/>
        </w:rPr>
        <w:t>terminal </w:t>
      </w:r>
      <w:r>
        <w:rPr>
          <w:w w:val="107"/>
          <w:position w:val="1"/>
          <w:sz w:val="17"/>
        </w:rPr>
        <w:t>reserve </w:t>
      </w:r>
      <w:r>
        <w:rPr>
          <w:rFonts w:ascii="Arial" w:hAnsi="Arial"/>
          <w:spacing w:val="-60"/>
          <w:w w:val="111"/>
          <w:position w:val="1"/>
          <w:sz w:val="22"/>
        </w:rPr>
        <w:t>7V!</w:t>
      </w:r>
      <w:r>
        <w:rPr>
          <w:rFonts w:ascii="Arial" w:hAnsi="Arial"/>
          <w:spacing w:val="-60"/>
          <w:w w:val="111"/>
          <w:sz w:val="30"/>
        </w:rPr>
        <w:t>"</w:t>
      </w:r>
      <w:r>
        <w:rPr>
          <w:rFonts w:ascii="Arial" w:hAnsi="Arial"/>
          <w:spacing w:val="-60"/>
          <w:w w:val="111"/>
          <w:position w:val="1"/>
          <w:sz w:val="22"/>
        </w:rPr>
        <w:t>:ñ]</w:t>
      </w:r>
      <w:r>
        <w:rPr>
          <w:rFonts w:ascii="Arial" w:hAnsi="Arial"/>
          <w:w w:val="111"/>
          <w:position w:val="1"/>
          <w:sz w:val="22"/>
        </w:rPr>
        <w:t> </w:t>
      </w:r>
      <w:r>
        <w:rPr>
          <w:rFonts w:ascii="Arial" w:hAnsi="Arial"/>
          <w:i/>
          <w:w w:val="106"/>
          <w:position w:val="1"/>
          <w:sz w:val="15"/>
        </w:rPr>
        <w:t>(t  </w:t>
      </w:r>
      <w:r>
        <w:rPr>
          <w:rFonts w:ascii="Arial" w:hAnsi="Arial"/>
          <w:w w:val="104"/>
          <w:position w:val="1"/>
          <w:sz w:val="22"/>
        </w:rPr>
        <w:t>&lt; </w:t>
      </w:r>
      <w:r>
        <w:rPr>
          <w:rFonts w:ascii="Arial" w:hAnsi="Arial"/>
          <w:w w:val="111"/>
          <w:position w:val="1"/>
          <w:sz w:val="16"/>
        </w:rPr>
        <w:t>m) </w:t>
      </w:r>
      <w:r>
        <w:rPr>
          <w:w w:val="109"/>
          <w:position w:val="1"/>
          <w:sz w:val="17"/>
        </w:rPr>
        <w:t>can </w:t>
      </w:r>
      <w:r>
        <w:rPr>
          <w:w w:val="101"/>
          <w:position w:val="1"/>
          <w:sz w:val="17"/>
        </w:rPr>
        <w:t>be  </w:t>
      </w:r>
      <w:r>
        <w:rPr>
          <w:w w:val="107"/>
          <w:position w:val="1"/>
          <w:sz w:val="17"/>
        </w:rPr>
        <w:t>expressed </w:t>
      </w:r>
      <w:r>
        <w:rPr>
          <w:w w:val="110"/>
          <w:sz w:val="17"/>
        </w:rPr>
        <w:t>as</w:t>
      </w:r>
    </w:p>
    <w:p>
      <w:pPr>
        <w:pStyle w:val="BodyText"/>
        <w:spacing w:before="2"/>
        <w:rPr>
          <w:sz w:val="13"/>
        </w:rPr>
      </w:pPr>
      <w:r>
        <w:rPr/>
        <w:drawing>
          <wp:anchor distT="0" distB="0" distL="0" distR="0" allowOverlap="1" layoutInCell="1" locked="0" behindDoc="0" simplePos="0" relativeHeight="23680">
            <wp:simplePos x="0" y="0"/>
            <wp:positionH relativeFrom="page">
              <wp:posOffset>1545336</wp:posOffset>
            </wp:positionH>
            <wp:positionV relativeFrom="paragraph">
              <wp:posOffset>120999</wp:posOffset>
            </wp:positionV>
            <wp:extent cx="1554480" cy="173736"/>
            <wp:effectExtent l="0" t="0" r="0" b="0"/>
            <wp:wrapTopAndBottom/>
            <wp:docPr id="709" name="image361.png" descr=""/>
            <wp:cNvGraphicFramePr>
              <a:graphicFrameLocks noChangeAspect="1"/>
            </wp:cNvGraphicFramePr>
            <a:graphic>
              <a:graphicData uri="http://schemas.openxmlformats.org/drawingml/2006/picture">
                <pic:pic>
                  <pic:nvPicPr>
                    <pic:cNvPr id="710" name="image361.png"/>
                    <pic:cNvPicPr/>
                  </pic:nvPicPr>
                  <pic:blipFill>
                    <a:blip r:embed="rId365" cstate="print"/>
                    <a:stretch>
                      <a:fillRect/>
                    </a:stretch>
                  </pic:blipFill>
                  <pic:spPr>
                    <a:xfrm>
                      <a:off x="0" y="0"/>
                      <a:ext cx="1554480" cy="173736"/>
                    </a:xfrm>
                    <a:prstGeom prst="rect">
                      <a:avLst/>
                    </a:prstGeom>
                  </pic:spPr>
                </pic:pic>
              </a:graphicData>
            </a:graphic>
          </wp:anchor>
        </w:drawing>
      </w:r>
    </w:p>
    <w:p>
      <w:pPr>
        <w:pStyle w:val="BodyText"/>
        <w:spacing w:before="2"/>
        <w:rPr>
          <w:sz w:val="14"/>
        </w:rPr>
      </w:pPr>
    </w:p>
    <w:p>
      <w:pPr>
        <w:spacing w:before="0"/>
        <w:ind w:left="114" w:right="0" w:firstLine="0"/>
        <w:jc w:val="both"/>
        <w:rPr>
          <w:b/>
          <w:sz w:val="16"/>
        </w:rPr>
      </w:pPr>
      <w:r>
        <w:rPr/>
        <w:pict>
          <v:shape style="position:absolute;margin-left:103.32pt;margin-top:-2.218475pt;width:17.350pt;height:31.5pt;mso-position-horizontal-relative:page;mso-position-vertical-relative:paragraph;z-index:-712360" type="#_x0000_t202" filled="false" stroked="false">
            <v:textbox inset="0,0,0,0">
              <w:txbxContent>
                <w:p>
                  <w:pPr>
                    <w:spacing w:line="630" w:lineRule="exact" w:before="0"/>
                    <w:ind w:left="0" w:right="-19" w:firstLine="0"/>
                    <w:jc w:val="left"/>
                    <w:rPr>
                      <w:i/>
                      <w:sz w:val="63"/>
                    </w:rPr>
                  </w:pPr>
                  <w:r>
                    <w:rPr>
                      <w:i/>
                      <w:w w:val="55"/>
                      <w:sz w:val="63"/>
                    </w:rPr>
                    <w:t>µ</w:t>
                  </w:r>
                  <w:r>
                    <w:rPr>
                      <w:i/>
                      <w:spacing w:val="-27"/>
                      <w:w w:val="55"/>
                      <w:sz w:val="63"/>
                    </w:rPr>
                    <w:t> </w:t>
                  </w:r>
                  <w:r>
                    <w:rPr>
                      <w:i/>
                      <w:w w:val="55"/>
                      <w:sz w:val="63"/>
                    </w:rPr>
                    <w:t>.</w:t>
                  </w:r>
                </w:p>
              </w:txbxContent>
            </v:textbox>
            <w10:wrap type="none"/>
          </v:shape>
        </w:pict>
      </w:r>
      <w:r>
        <w:rPr>
          <w:b/>
          <w:w w:val="120"/>
          <w:sz w:val="16"/>
        </w:rPr>
        <w:t>Miscellaneous  problems</w:t>
      </w:r>
    </w:p>
    <w:p>
      <w:pPr>
        <w:pStyle w:val="ListParagraph"/>
        <w:numPr>
          <w:ilvl w:val="0"/>
          <w:numId w:val="137"/>
        </w:numPr>
        <w:tabs>
          <w:tab w:pos="557" w:val="left" w:leader="none"/>
          <w:tab w:pos="1777" w:val="left" w:leader="none"/>
        </w:tabs>
        <w:spacing w:line="240" w:lineRule="auto" w:before="119" w:after="0"/>
        <w:ind w:left="117" w:right="0" w:firstLine="151"/>
        <w:jc w:val="left"/>
        <w:rPr>
          <w:sz w:val="17"/>
        </w:rPr>
      </w:pPr>
      <w:r>
        <w:rPr>
          <w:w w:val="102"/>
          <w:sz w:val="17"/>
        </w:rPr>
        <w:t>Show</w:t>
      </w:r>
      <w:r>
        <w:rPr>
          <w:sz w:val="17"/>
        </w:rPr>
        <w:t> </w:t>
      </w:r>
      <w:r>
        <w:rPr>
          <w:spacing w:val="-9"/>
          <w:sz w:val="17"/>
        </w:rPr>
        <w:t> </w:t>
      </w:r>
      <w:r>
        <w:rPr>
          <w:w w:val="119"/>
          <w:sz w:val="17"/>
        </w:rPr>
        <w:t>that</w:t>
      </w:r>
      <w:r>
        <w:rPr>
          <w:sz w:val="17"/>
        </w:rPr>
        <w:tab/>
      </w:r>
      <w:r>
        <w:rPr>
          <w:rFonts w:ascii="Arial" w:hAnsi="Arial"/>
          <w:w w:val="103"/>
          <w:sz w:val="17"/>
        </w:rPr>
        <w:t>is</w:t>
      </w:r>
      <w:r>
        <w:rPr>
          <w:rFonts w:ascii="Arial" w:hAnsi="Arial"/>
          <w:spacing w:val="8"/>
          <w:sz w:val="17"/>
        </w:rPr>
        <w:t> </w:t>
      </w:r>
      <w:r>
        <w:rPr>
          <w:w w:val="109"/>
          <w:sz w:val="17"/>
        </w:rPr>
        <w:t>equal</w:t>
      </w:r>
      <w:r>
        <w:rPr>
          <w:sz w:val="17"/>
        </w:rPr>
        <w:t> </w:t>
      </w:r>
      <w:r>
        <w:rPr>
          <w:spacing w:val="-4"/>
          <w:sz w:val="17"/>
        </w:rPr>
        <w:t> </w:t>
      </w:r>
      <w:r>
        <w:rPr>
          <w:w w:val="112"/>
          <w:sz w:val="17"/>
        </w:rPr>
        <w:t>to</w:t>
      </w:r>
      <w:r>
        <w:rPr>
          <w:spacing w:val="20"/>
          <w:sz w:val="17"/>
        </w:rPr>
        <w:t> </w:t>
      </w:r>
      <w:r>
        <w:rPr>
          <w:spacing w:val="-3"/>
          <w:w w:val="143"/>
          <w:sz w:val="17"/>
        </w:rPr>
        <w:t>m</w:t>
      </w:r>
      <w:r>
        <w:rPr>
          <w:w w:val="57"/>
          <w:sz w:val="17"/>
        </w:rPr>
        <w:t>"&gt;</w:t>
      </w:r>
      <w:r>
        <w:rPr>
          <w:sz w:val="17"/>
        </w:rPr>
        <w:t> </w:t>
      </w:r>
      <w:r>
        <w:rPr>
          <w:spacing w:val="-5"/>
          <w:sz w:val="17"/>
        </w:rPr>
        <w:t> </w:t>
      </w:r>
      <w:r>
        <w:rPr>
          <w:w w:val="102"/>
          <w:sz w:val="17"/>
        </w:rPr>
        <w:t>on</w:t>
      </w:r>
      <w:r>
        <w:rPr>
          <w:sz w:val="17"/>
        </w:rPr>
        <w:t> </w:t>
      </w:r>
      <w:r>
        <w:rPr>
          <w:spacing w:val="-7"/>
          <w:sz w:val="17"/>
        </w:rPr>
        <w:t> </w:t>
      </w:r>
      <w:r>
        <w:rPr>
          <w:w w:val="112"/>
          <w:sz w:val="17"/>
        </w:rPr>
        <w:t>the</w:t>
      </w:r>
      <w:r>
        <w:rPr>
          <w:sz w:val="17"/>
        </w:rPr>
        <w:t> </w:t>
      </w:r>
      <w:r>
        <w:rPr>
          <w:spacing w:val="-10"/>
          <w:sz w:val="17"/>
        </w:rPr>
        <w:t> </w:t>
      </w:r>
      <w:r>
        <w:rPr>
          <w:w w:val="110"/>
          <w:sz w:val="17"/>
        </w:rPr>
        <w:t>assumption</w:t>
      </w:r>
      <w:r>
        <w:rPr>
          <w:sz w:val="17"/>
        </w:rPr>
        <w:t> </w:t>
      </w:r>
      <w:r>
        <w:rPr>
          <w:spacing w:val="-1"/>
          <w:sz w:val="17"/>
        </w:rPr>
        <w:t> </w:t>
      </w:r>
      <w:r>
        <w:rPr>
          <w:w w:val="89"/>
          <w:sz w:val="17"/>
        </w:rPr>
        <w:t>of</w:t>
      </w:r>
      <w:r>
        <w:rPr>
          <w:sz w:val="17"/>
        </w:rPr>
        <w:t> </w:t>
      </w:r>
      <w:r>
        <w:rPr>
          <w:spacing w:val="3"/>
          <w:sz w:val="17"/>
        </w:rPr>
        <w:t> </w:t>
      </w:r>
      <w:r>
        <w:rPr>
          <w:w w:val="111"/>
          <w:sz w:val="17"/>
        </w:rPr>
        <w:t>a</w:t>
      </w:r>
      <w:r>
        <w:rPr>
          <w:sz w:val="17"/>
        </w:rPr>
        <w:t> </w:t>
      </w:r>
      <w:r>
        <w:rPr>
          <w:spacing w:val="-15"/>
          <w:sz w:val="17"/>
        </w:rPr>
        <w:t> </w:t>
      </w:r>
      <w:r>
        <w:rPr>
          <w:w w:val="106"/>
          <w:sz w:val="17"/>
        </w:rPr>
        <w:t>uniform</w:t>
      </w:r>
      <w:r>
        <w:rPr>
          <w:sz w:val="17"/>
        </w:rPr>
        <w:t> </w:t>
      </w:r>
      <w:r>
        <w:rPr>
          <w:spacing w:val="-2"/>
          <w:sz w:val="17"/>
        </w:rPr>
        <w:t> </w:t>
      </w:r>
      <w:r>
        <w:rPr>
          <w:w w:val="110"/>
          <w:sz w:val="17"/>
        </w:rPr>
        <w:t>dis­</w:t>
      </w:r>
    </w:p>
    <w:p>
      <w:pPr>
        <w:spacing w:before="6"/>
        <w:ind w:left="121" w:right="0" w:firstLine="0"/>
        <w:jc w:val="left"/>
        <w:rPr>
          <w:sz w:val="17"/>
        </w:rPr>
      </w:pPr>
      <w:r>
        <w:rPr>
          <w:w w:val="105"/>
          <w:sz w:val="17"/>
        </w:rPr>
        <w:t>tribution   of  decrements.</w:t>
      </w:r>
    </w:p>
    <w:p>
      <w:pPr>
        <w:pStyle w:val="ListParagraph"/>
        <w:numPr>
          <w:ilvl w:val="0"/>
          <w:numId w:val="137"/>
        </w:numPr>
        <w:tabs>
          <w:tab w:pos="561" w:val="left" w:leader="none"/>
        </w:tabs>
        <w:spacing w:line="242" w:lineRule="auto" w:before="2" w:after="0"/>
        <w:ind w:left="117" w:right="147" w:firstLine="155"/>
        <w:jc w:val="both"/>
        <w:rPr>
          <w:sz w:val="17"/>
        </w:rPr>
      </w:pPr>
      <w:r>
        <w:rPr>
          <w:w w:val="110"/>
          <w:sz w:val="17"/>
        </w:rPr>
        <w:t>Given the probability of death, the rate  of  retirement,  and  the  central  ra.te of  withdrawal,  find approximate formulas for the probability  of withdrawal and the probability of retirement in terms of the given func­ tions.</w:t>
      </w:r>
    </w:p>
    <w:p>
      <w:pPr>
        <w:spacing w:after="0" w:line="242" w:lineRule="auto"/>
        <w:jc w:val="both"/>
        <w:rPr>
          <w:sz w:val="17"/>
        </w:rPr>
        <w:sectPr>
          <w:pgSz w:w="7200" w:h="11340"/>
          <w:pgMar w:top="520" w:bottom="280" w:left="660" w:right="540"/>
        </w:sectPr>
      </w:pPr>
    </w:p>
    <w:p>
      <w:pPr>
        <w:tabs>
          <w:tab w:pos="1690" w:val="left" w:leader="none"/>
          <w:tab w:pos="5247" w:val="left" w:leader="none"/>
        </w:tabs>
        <w:spacing w:before="43"/>
        <w:ind w:left="128" w:right="0" w:firstLine="0"/>
        <w:jc w:val="left"/>
        <w:rPr>
          <w:rFonts w:ascii="Arial"/>
          <w:b/>
          <w:sz w:val="18"/>
        </w:rPr>
      </w:pPr>
      <w:r>
        <w:rPr>
          <w:sz w:val="23"/>
        </w:rPr>
        <w:t>290</w:t>
        <w:tab/>
      </w:r>
      <w:r>
        <w:rPr>
          <w:b/>
          <w:position w:val="1"/>
          <w:sz w:val="15"/>
        </w:rPr>
        <w:t>MULTIPLE-DECREMENT   </w:t>
      </w:r>
      <w:r>
        <w:rPr>
          <w:b/>
          <w:spacing w:val="4"/>
          <w:position w:val="1"/>
          <w:sz w:val="15"/>
        </w:rPr>
        <w:t> </w:t>
      </w:r>
      <w:r>
        <w:rPr>
          <w:b/>
          <w:position w:val="1"/>
          <w:sz w:val="15"/>
        </w:rPr>
        <w:t>TABLES</w:t>
        <w:tab/>
        <w:t>[CH. </w:t>
      </w:r>
      <w:r>
        <w:rPr>
          <w:b/>
          <w:spacing w:val="33"/>
          <w:position w:val="1"/>
          <w:sz w:val="15"/>
        </w:rPr>
        <w:t> </w:t>
      </w:r>
      <w:r>
        <w:rPr>
          <w:rFonts w:ascii="Arial"/>
          <w:b/>
          <w:position w:val="1"/>
          <w:sz w:val="18"/>
        </w:rPr>
        <w:t>14</w:t>
      </w:r>
    </w:p>
    <w:p>
      <w:pPr>
        <w:pStyle w:val="BodyText"/>
        <w:spacing w:before="8"/>
        <w:rPr>
          <w:rFonts w:ascii="Arial"/>
          <w:b/>
          <w:sz w:val="19"/>
        </w:rPr>
      </w:pPr>
    </w:p>
    <w:p>
      <w:pPr>
        <w:pStyle w:val="ListParagraph"/>
        <w:numPr>
          <w:ilvl w:val="0"/>
          <w:numId w:val="137"/>
        </w:numPr>
        <w:tabs>
          <w:tab w:pos="586" w:val="left" w:leader="none"/>
        </w:tabs>
        <w:spacing w:line="247" w:lineRule="auto" w:before="0" w:after="0"/>
        <w:ind w:left="142" w:right="122" w:firstLine="155"/>
        <w:jc w:val="left"/>
        <w:rPr>
          <w:sz w:val="17"/>
        </w:rPr>
      </w:pPr>
      <w:r>
        <w:rPr>
          <w:w w:val="110"/>
          <w:sz w:val="17"/>
        </w:rPr>
        <w:t>The following is an incomplete extract f rom an employees' service table involving two causes of  decrement-·death and </w:t>
      </w:r>
      <w:r>
        <w:rPr>
          <w:spacing w:val="11"/>
          <w:w w:val="110"/>
          <w:sz w:val="17"/>
        </w:rPr>
        <w:t> </w:t>
      </w:r>
      <w:r>
        <w:rPr>
          <w:w w:val="110"/>
          <w:sz w:val="17"/>
        </w:rPr>
        <w:t>withdrawal:</w:t>
      </w:r>
    </w:p>
    <w:p>
      <w:pPr>
        <w:pStyle w:val="BodyText"/>
        <w:spacing w:before="7"/>
        <w:rPr>
          <w:sz w:val="11"/>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
        <w:gridCol w:w="922"/>
        <w:gridCol w:w="1156"/>
        <w:gridCol w:w="1154"/>
        <w:gridCol w:w="1157"/>
        <w:gridCol w:w="1134"/>
      </w:tblGrid>
      <w:tr>
        <w:trPr>
          <w:trHeight w:val="478" w:hRule="exact"/>
        </w:trPr>
        <w:tc>
          <w:tcPr>
            <w:tcW w:w="209" w:type="dxa"/>
            <w:vMerge w:val="restart"/>
            <w:tcBorders>
              <w:left w:val="nil"/>
              <w:right w:val="nil"/>
            </w:tcBorders>
          </w:tcPr>
          <w:p>
            <w:pPr/>
          </w:p>
        </w:tc>
        <w:tc>
          <w:tcPr>
            <w:tcW w:w="922" w:type="dxa"/>
            <w:tcBorders>
              <w:left w:val="nil"/>
            </w:tcBorders>
          </w:tcPr>
          <w:p>
            <w:pPr>
              <w:pStyle w:val="TableParagraph"/>
              <w:rPr>
                <w:rFonts w:ascii="Times New Roman"/>
                <w:sz w:val="8"/>
              </w:rPr>
            </w:pPr>
          </w:p>
          <w:p>
            <w:pPr>
              <w:pStyle w:val="TableParagraph"/>
              <w:spacing w:before="10"/>
              <w:rPr>
                <w:rFonts w:ascii="Times New Roman"/>
                <w:sz w:val="8"/>
              </w:rPr>
            </w:pPr>
          </w:p>
          <w:p>
            <w:pPr>
              <w:pStyle w:val="TableParagraph"/>
              <w:spacing w:before="1"/>
              <w:ind w:right="185"/>
              <w:jc w:val="center"/>
              <w:rPr>
                <w:rFonts w:ascii="Arial"/>
                <w:sz w:val="8"/>
              </w:rPr>
            </w:pPr>
            <w:r>
              <w:rPr>
                <w:rFonts w:ascii="Arial"/>
                <w:w w:val="102"/>
                <w:sz w:val="8"/>
              </w:rPr>
              <w:t>%</w:t>
            </w:r>
          </w:p>
        </w:tc>
        <w:tc>
          <w:tcPr>
            <w:tcW w:w="1156" w:type="dxa"/>
          </w:tcPr>
          <w:p>
            <w:pPr>
              <w:pStyle w:val="TableParagraph"/>
              <w:spacing w:before="56"/>
              <w:ind w:left="401" w:right="408"/>
              <w:jc w:val="center"/>
              <w:rPr>
                <w:rFonts w:ascii="Times New Roman"/>
                <w:sz w:val="21"/>
              </w:rPr>
            </w:pPr>
            <w:r>
              <w:rPr>
                <w:rFonts w:ascii="Times New Roman"/>
                <w:w w:val="85"/>
                <w:sz w:val="21"/>
              </w:rPr>
              <w:t>,1r&gt;</w:t>
            </w:r>
          </w:p>
        </w:tc>
        <w:tc>
          <w:tcPr>
            <w:tcW w:w="1154" w:type="dxa"/>
          </w:tcPr>
          <w:p>
            <w:pPr>
              <w:pStyle w:val="TableParagraph"/>
              <w:spacing w:before="3"/>
              <w:rPr>
                <w:rFonts w:ascii="Times New Roman"/>
                <w:sz w:val="12"/>
              </w:rPr>
            </w:pPr>
          </w:p>
          <w:p>
            <w:pPr>
              <w:pStyle w:val="TableParagraph"/>
              <w:ind w:left="417" w:right="455"/>
              <w:jc w:val="center"/>
              <w:rPr>
                <w:rFonts w:ascii="Times New Roman"/>
                <w:sz w:val="13"/>
              </w:rPr>
            </w:pPr>
            <w:r>
              <w:rPr>
                <w:rFonts w:ascii="Times New Roman"/>
                <w:w w:val="125"/>
                <w:sz w:val="13"/>
              </w:rPr>
              <w:t>d"')</w:t>
            </w:r>
          </w:p>
        </w:tc>
        <w:tc>
          <w:tcPr>
            <w:tcW w:w="1157" w:type="dxa"/>
          </w:tcPr>
          <w:p>
            <w:pPr>
              <w:pStyle w:val="TableParagraph"/>
              <w:spacing w:before="102"/>
              <w:ind w:left="363" w:right="433"/>
              <w:jc w:val="center"/>
              <w:rPr>
                <w:rFonts w:ascii="Arial"/>
                <w:sz w:val="16"/>
              </w:rPr>
            </w:pPr>
            <w:r>
              <w:rPr>
                <w:rFonts w:ascii="Arial"/>
                <w:w w:val="75"/>
                <w:sz w:val="16"/>
              </w:rPr>
              <w:t>d d&gt;</w:t>
            </w:r>
          </w:p>
        </w:tc>
        <w:tc>
          <w:tcPr>
            <w:tcW w:w="1134" w:type="dxa"/>
            <w:tcBorders>
              <w:right w:val="nil"/>
            </w:tcBorders>
          </w:tcPr>
          <w:p>
            <w:pPr>
              <w:pStyle w:val="TableParagraph"/>
              <w:spacing w:before="7"/>
              <w:rPr>
                <w:rFonts w:ascii="Times New Roman"/>
                <w:sz w:val="10"/>
              </w:rPr>
            </w:pPr>
          </w:p>
          <w:p>
            <w:pPr>
              <w:pStyle w:val="TableParagraph"/>
              <w:spacing w:line="86" w:lineRule="exact"/>
              <w:ind w:left="356" w:right="311"/>
              <w:jc w:val="center"/>
              <w:rPr>
                <w:rFonts w:ascii="Times New Roman"/>
                <w:b/>
                <w:sz w:val="10"/>
              </w:rPr>
            </w:pPr>
            <w:r>
              <w:rPr>
                <w:rFonts w:ascii="Times New Roman"/>
                <w:b/>
                <w:w w:val="135"/>
                <w:sz w:val="10"/>
              </w:rPr>
              <w:t>' (d)</w:t>
            </w:r>
          </w:p>
          <w:p>
            <w:pPr>
              <w:pStyle w:val="TableParagraph"/>
              <w:spacing w:line="109" w:lineRule="exact"/>
              <w:ind w:left="124" w:right="311"/>
              <w:jc w:val="center"/>
              <w:rPr>
                <w:rFonts w:ascii="Arial"/>
                <w:b/>
                <w:i/>
                <w:sz w:val="12"/>
              </w:rPr>
            </w:pPr>
            <w:r>
              <w:rPr>
                <w:rFonts w:ascii="Arial"/>
                <w:b/>
                <w:i/>
                <w:sz w:val="12"/>
              </w:rPr>
              <w:t>t/s</w:t>
            </w:r>
          </w:p>
        </w:tc>
      </w:tr>
      <w:tr>
        <w:trPr>
          <w:trHeight w:val="816" w:hRule="exact"/>
        </w:trPr>
        <w:tc>
          <w:tcPr>
            <w:tcW w:w="209" w:type="dxa"/>
            <w:vMerge/>
            <w:tcBorders>
              <w:left w:val="nil"/>
              <w:right w:val="nil"/>
            </w:tcBorders>
          </w:tcPr>
          <w:p>
            <w:pPr/>
          </w:p>
        </w:tc>
        <w:tc>
          <w:tcPr>
            <w:tcW w:w="922" w:type="dxa"/>
            <w:tcBorders>
              <w:left w:val="nil"/>
            </w:tcBorders>
          </w:tcPr>
          <w:p>
            <w:pPr>
              <w:pStyle w:val="TableParagraph"/>
              <w:spacing w:before="90"/>
              <w:ind w:left="277"/>
              <w:rPr>
                <w:rFonts w:ascii="Times New Roman"/>
                <w:sz w:val="17"/>
              </w:rPr>
            </w:pPr>
            <w:r>
              <w:rPr>
                <w:rFonts w:ascii="Times New Roman"/>
                <w:sz w:val="17"/>
              </w:rPr>
              <w:t>20</w:t>
            </w:r>
          </w:p>
          <w:p>
            <w:pPr>
              <w:pStyle w:val="TableParagraph"/>
              <w:spacing w:before="11"/>
              <w:ind w:left="277"/>
              <w:rPr>
                <w:rFonts w:ascii="Arial"/>
                <w:sz w:val="16"/>
              </w:rPr>
            </w:pPr>
            <w:r>
              <w:rPr>
                <w:rFonts w:ascii="Arial"/>
                <w:w w:val="110"/>
                <w:sz w:val="16"/>
              </w:rPr>
              <w:t>21</w:t>
            </w:r>
          </w:p>
          <w:p>
            <w:pPr>
              <w:pStyle w:val="TableParagraph"/>
              <w:spacing w:before="14"/>
              <w:ind w:left="273"/>
              <w:rPr>
                <w:rFonts w:ascii="Times New Roman"/>
                <w:sz w:val="16"/>
              </w:rPr>
            </w:pPr>
            <w:r>
              <w:rPr>
                <w:rFonts w:ascii="Times New Roman"/>
                <w:w w:val="105"/>
                <w:sz w:val="16"/>
              </w:rPr>
              <w:t>22</w:t>
            </w:r>
          </w:p>
        </w:tc>
        <w:tc>
          <w:tcPr>
            <w:tcW w:w="1156" w:type="dxa"/>
          </w:tcPr>
          <w:p>
            <w:pPr>
              <w:pStyle w:val="TableParagraph"/>
              <w:spacing w:before="90"/>
              <w:ind w:left="343"/>
              <w:rPr>
                <w:rFonts w:ascii="Times New Roman"/>
                <w:sz w:val="17"/>
              </w:rPr>
            </w:pPr>
            <w:r>
              <w:rPr>
                <w:rFonts w:ascii="Times New Roman"/>
                <w:w w:val="110"/>
                <w:sz w:val="17"/>
              </w:rPr>
              <w:t>10,000</w:t>
            </w:r>
          </w:p>
          <w:p>
            <w:pPr>
              <w:pStyle w:val="TableParagraph"/>
              <w:spacing w:before="2"/>
              <w:ind w:left="412"/>
              <w:rPr>
                <w:rFonts w:ascii="Times New Roman"/>
                <w:sz w:val="17"/>
              </w:rPr>
            </w:pPr>
            <w:r>
              <w:rPr>
                <w:rFonts w:ascii="Times New Roman"/>
                <w:w w:val="105"/>
                <w:sz w:val="17"/>
              </w:rPr>
              <w:t>9,100</w:t>
            </w:r>
          </w:p>
          <w:p>
            <w:pPr>
              <w:pStyle w:val="TableParagraph"/>
              <w:spacing w:before="15"/>
              <w:ind w:left="412"/>
              <w:rPr>
                <w:sz w:val="18"/>
              </w:rPr>
            </w:pPr>
            <w:r>
              <w:rPr>
                <w:sz w:val="18"/>
              </w:rPr>
              <w:t>8,328</w:t>
            </w:r>
          </w:p>
        </w:tc>
        <w:tc>
          <w:tcPr>
            <w:tcW w:w="1154" w:type="dxa"/>
          </w:tcPr>
          <w:p>
            <w:pPr>
              <w:pStyle w:val="TableParagraph"/>
              <w:spacing w:before="74"/>
              <w:ind w:left="49"/>
              <w:jc w:val="center"/>
              <w:rPr>
                <w:rFonts w:ascii="Times New Roman"/>
                <w:sz w:val="18"/>
              </w:rPr>
            </w:pPr>
            <w:r>
              <w:rPr>
                <w:rFonts w:ascii="Times New Roman"/>
                <w:w w:val="337"/>
                <w:sz w:val="18"/>
              </w:rPr>
              <w:t>-</w:t>
            </w:r>
          </w:p>
          <w:p>
            <w:pPr>
              <w:pStyle w:val="TableParagraph"/>
              <w:spacing w:before="21"/>
              <w:ind w:left="42"/>
              <w:jc w:val="center"/>
              <w:rPr>
                <w:rFonts w:ascii="Times New Roman"/>
                <w:sz w:val="14"/>
              </w:rPr>
            </w:pPr>
            <w:r>
              <w:rPr>
                <w:rFonts w:ascii="Times New Roman"/>
                <w:w w:val="434"/>
                <w:sz w:val="14"/>
              </w:rPr>
              <w:t>-</w:t>
            </w:r>
          </w:p>
          <w:p>
            <w:pPr>
              <w:pStyle w:val="TableParagraph"/>
              <w:spacing w:before="10"/>
              <w:ind w:left="39"/>
              <w:jc w:val="center"/>
              <w:rPr>
                <w:rFonts w:ascii="Times New Roman"/>
                <w:sz w:val="18"/>
              </w:rPr>
            </w:pPr>
            <w:r>
              <w:rPr>
                <w:rFonts w:ascii="Times New Roman"/>
                <w:w w:val="345"/>
                <w:sz w:val="18"/>
              </w:rPr>
              <w:t>-</w:t>
            </w:r>
          </w:p>
        </w:tc>
        <w:tc>
          <w:tcPr>
            <w:tcW w:w="1157" w:type="dxa"/>
          </w:tcPr>
          <w:p>
            <w:pPr>
              <w:pStyle w:val="TableParagraph"/>
              <w:spacing w:line="190" w:lineRule="exact" w:before="99"/>
              <w:ind w:left="399" w:right="376"/>
              <w:jc w:val="center"/>
              <w:rPr>
                <w:sz w:val="18"/>
              </w:rPr>
            </w:pPr>
            <w:r>
              <w:rPr>
                <w:sz w:val="18"/>
              </w:rPr>
              <w:t>41</w:t>
            </w:r>
          </w:p>
          <w:p>
            <w:pPr>
              <w:pStyle w:val="TableParagraph"/>
              <w:spacing w:line="173" w:lineRule="exact"/>
              <w:ind w:left="42"/>
              <w:jc w:val="center"/>
              <w:rPr>
                <w:rFonts w:ascii="Times New Roman"/>
                <w:sz w:val="18"/>
              </w:rPr>
            </w:pPr>
            <w:r>
              <w:rPr>
                <w:rFonts w:ascii="Times New Roman"/>
                <w:w w:val="337"/>
                <w:sz w:val="18"/>
              </w:rPr>
              <w:t>-</w:t>
            </w:r>
          </w:p>
          <w:p>
            <w:pPr>
              <w:pStyle w:val="TableParagraph"/>
              <w:spacing w:line="244" w:lineRule="exact"/>
              <w:ind w:left="32"/>
              <w:jc w:val="center"/>
              <w:rPr>
                <w:rFonts w:ascii="Times New Roman"/>
                <w:sz w:val="23"/>
              </w:rPr>
            </w:pPr>
            <w:r>
              <w:rPr>
                <w:rFonts w:ascii="Times New Roman"/>
                <w:w w:val="269"/>
                <w:sz w:val="23"/>
              </w:rPr>
              <w:t>-</w:t>
            </w:r>
          </w:p>
        </w:tc>
        <w:tc>
          <w:tcPr>
            <w:tcW w:w="1134" w:type="dxa"/>
            <w:tcBorders>
              <w:right w:val="nil"/>
            </w:tcBorders>
          </w:tcPr>
          <w:p>
            <w:pPr>
              <w:pStyle w:val="TableParagraph"/>
              <w:spacing w:line="260" w:lineRule="exact" w:before="41"/>
              <w:ind w:left="79"/>
              <w:jc w:val="center"/>
              <w:rPr>
                <w:rFonts w:ascii="Times New Roman"/>
                <w:sz w:val="23"/>
              </w:rPr>
            </w:pPr>
            <w:r>
              <w:rPr>
                <w:rFonts w:ascii="Times New Roman"/>
                <w:w w:val="275"/>
                <w:sz w:val="23"/>
              </w:rPr>
              <w:t>-</w:t>
            </w:r>
          </w:p>
          <w:p>
            <w:pPr>
              <w:pStyle w:val="TableParagraph"/>
              <w:spacing w:line="176" w:lineRule="exact"/>
              <w:ind w:left="380" w:right="310"/>
              <w:jc w:val="center"/>
              <w:rPr>
                <w:rFonts w:ascii="Times New Roman"/>
                <w:sz w:val="16"/>
              </w:rPr>
            </w:pPr>
            <w:r>
              <w:rPr>
                <w:rFonts w:ascii="Times New Roman"/>
                <w:w w:val="110"/>
                <w:sz w:val="16"/>
              </w:rPr>
              <w:t>.0046</w:t>
            </w:r>
          </w:p>
          <w:p>
            <w:pPr>
              <w:pStyle w:val="TableParagraph"/>
              <w:spacing w:line="203" w:lineRule="exact"/>
              <w:ind w:left="63"/>
              <w:jc w:val="center"/>
              <w:rPr>
                <w:rFonts w:ascii="Times New Roman"/>
                <w:sz w:val="18"/>
              </w:rPr>
            </w:pPr>
            <w:r>
              <w:rPr>
                <w:rFonts w:ascii="Times New Roman"/>
                <w:w w:val="337"/>
                <w:sz w:val="18"/>
              </w:rPr>
              <w:t>-</w:t>
            </w:r>
          </w:p>
        </w:tc>
      </w:tr>
    </w:tbl>
    <w:p>
      <w:pPr>
        <w:spacing w:line="157" w:lineRule="exact" w:before="131"/>
        <w:ind w:left="74" w:right="1862" w:firstLine="0"/>
        <w:jc w:val="center"/>
        <w:rPr>
          <w:sz w:val="17"/>
        </w:rPr>
      </w:pPr>
      <w:r>
        <w:rPr>
          <w:w w:val="110"/>
          <w:sz w:val="17"/>
        </w:rPr>
        <w:t>Using standard  approximations  (where necessary):</w:t>
      </w:r>
    </w:p>
    <w:p>
      <w:pPr>
        <w:pStyle w:val="ListParagraph"/>
        <w:numPr>
          <w:ilvl w:val="1"/>
          <w:numId w:val="137"/>
        </w:numPr>
        <w:tabs>
          <w:tab w:pos="759" w:val="left" w:leader="none"/>
        </w:tabs>
        <w:spacing w:line="259" w:lineRule="exact" w:before="0" w:after="0"/>
        <w:ind w:left="758" w:right="0" w:hanging="284"/>
        <w:jc w:val="left"/>
        <w:rPr>
          <w:rFonts w:ascii="Arial"/>
          <w:i/>
          <w:sz w:val="23"/>
        </w:rPr>
      </w:pPr>
      <w:r>
        <w:rPr>
          <w:sz w:val="17"/>
        </w:rPr>
        <w:t>find the values for </w:t>
      </w:r>
      <w:r>
        <w:rPr>
          <w:rFonts w:ascii="Arial"/>
          <w:i/>
          <w:w w:val="90"/>
          <w:sz w:val="23"/>
        </w:rPr>
        <w:t>di:&gt;' </w:t>
      </w:r>
      <w:r>
        <w:rPr>
          <w:rFonts w:ascii="Arial"/>
          <w:spacing w:val="3"/>
          <w:w w:val="90"/>
          <w:sz w:val="27"/>
        </w:rPr>
        <w:t>en&gt;'</w:t>
      </w:r>
      <w:r>
        <w:rPr>
          <w:rFonts w:ascii="Arial"/>
          <w:spacing w:val="-45"/>
          <w:w w:val="90"/>
          <w:sz w:val="27"/>
        </w:rPr>
        <w:t> </w:t>
      </w:r>
      <w:r>
        <w:rPr>
          <w:sz w:val="17"/>
        </w:rPr>
        <w:t>and </w:t>
      </w:r>
      <w:r>
        <w:rPr>
          <w:rFonts w:ascii="Arial"/>
          <w:i/>
          <w:w w:val="90"/>
          <w:sz w:val="23"/>
        </w:rPr>
        <w:t>di':' ;</w:t>
      </w:r>
    </w:p>
    <w:p>
      <w:pPr>
        <w:spacing w:line="183" w:lineRule="exact" w:before="0"/>
        <w:ind w:left="474" w:right="133" w:firstLine="0"/>
        <w:jc w:val="left"/>
        <w:rPr>
          <w:sz w:val="17"/>
        </w:rPr>
      </w:pPr>
      <w:r>
        <w:rPr>
          <w:w w:val="105"/>
          <w:sz w:val="17"/>
        </w:rPr>
        <w:t>(b)  find   the   probability   t hat   an   individual   aged   20  </w:t>
      </w:r>
      <w:r>
        <w:rPr>
          <w:w w:val="105"/>
          <w:sz w:val="16"/>
        </w:rPr>
        <w:t>will </w:t>
      </w:r>
      <w:r>
        <w:rPr>
          <w:w w:val="105"/>
          <w:sz w:val="17"/>
        </w:rPr>
        <w:t>withdraw</w:t>
      </w:r>
    </w:p>
    <w:p>
      <w:pPr>
        <w:spacing w:before="6"/>
        <w:ind w:left="758" w:right="739" w:firstLine="0"/>
        <w:jc w:val="left"/>
        <w:rPr>
          <w:sz w:val="17"/>
        </w:rPr>
      </w:pPr>
      <w:r>
        <w:rPr>
          <w:w w:val="110"/>
          <w:sz w:val="17"/>
        </w:rPr>
        <w:t>within  2 years;</w:t>
      </w:r>
    </w:p>
    <w:p>
      <w:pPr>
        <w:spacing w:before="2"/>
        <w:ind w:left="474" w:right="739" w:firstLine="0"/>
        <w:jc w:val="left"/>
        <w:rPr>
          <w:sz w:val="17"/>
        </w:rPr>
      </w:pPr>
      <w:r>
        <w:rPr>
          <w:w w:val="110"/>
          <w:sz w:val="15"/>
        </w:rPr>
        <w:t>(e)  </w:t>
      </w:r>
      <w:r>
        <w:rPr>
          <w:w w:val="110"/>
          <w:sz w:val="17"/>
        </w:rPr>
        <w:t>find  the  central  death  rate at age 21;</w:t>
      </w:r>
    </w:p>
    <w:p>
      <w:pPr>
        <w:spacing w:line="181" w:lineRule="exact" w:before="6"/>
        <w:ind w:left="474" w:right="739" w:firstLine="0"/>
        <w:jc w:val="left"/>
        <w:rPr>
          <w:sz w:val="17"/>
        </w:rPr>
      </w:pPr>
      <w:r>
        <w:rPr>
          <w:rFonts w:ascii="Arial" w:hAnsi="Arial"/>
          <w:w w:val="110"/>
          <w:sz w:val="14"/>
        </w:rPr>
        <w:t>(&lt;l)  </w:t>
      </w:r>
      <w:r>
        <w:rPr>
          <w:w w:val="110"/>
          <w:sz w:val="17"/>
        </w:rPr>
        <w:t>find  the  rate oí withdrawal  at age Zl;</w:t>
      </w:r>
    </w:p>
    <w:p>
      <w:pPr>
        <w:spacing w:line="273" w:lineRule="exact" w:before="0"/>
        <w:ind w:left="466" w:right="123" w:firstLine="0"/>
        <w:jc w:val="left"/>
        <w:rPr>
          <w:sz w:val="25"/>
        </w:rPr>
      </w:pPr>
      <w:r>
        <w:rPr>
          <w:sz w:val="17"/>
        </w:rPr>
        <w:t>(e)   find  the  complete  two-year  work-life  expectancy  at  age  20,  </w:t>
      </w:r>
      <w:r>
        <w:rPr>
          <w:i/>
          <w:w w:val="85"/>
          <w:sz w:val="25"/>
        </w:rPr>
        <w:t>e![-iJ </w:t>
      </w:r>
      <w:r>
        <w:rPr>
          <w:sz w:val="25"/>
        </w:rPr>
        <w:t>.</w:t>
      </w:r>
    </w:p>
    <w:p>
      <w:pPr>
        <w:spacing w:after="0" w:line="273" w:lineRule="exact"/>
        <w:jc w:val="left"/>
        <w:rPr>
          <w:sz w:val="25"/>
        </w:rPr>
        <w:sectPr>
          <w:pgSz w:w="7200" w:h="11340"/>
          <w:pgMar w:top="480" w:bottom="280" w:left="660" w:right="560"/>
        </w:sectPr>
      </w:pPr>
    </w:p>
    <w:p>
      <w:pPr>
        <w:pStyle w:val="BodyText"/>
        <w:spacing w:before="6"/>
        <w:rPr>
          <w:sz w:val="25"/>
        </w:rPr>
      </w:pPr>
    </w:p>
    <w:p>
      <w:pPr>
        <w:spacing w:before="74"/>
        <w:ind w:left="69" w:right="87" w:firstLine="0"/>
        <w:jc w:val="center"/>
        <w:rPr>
          <w:sz w:val="20"/>
        </w:rPr>
      </w:pPr>
      <w:bookmarkStart w:name="15. Tables with Secondary Decrements" w:id="22"/>
      <w:bookmarkEnd w:id="22"/>
      <w:r>
        <w:rPr/>
      </w:r>
      <w:r>
        <w:rPr>
          <w:color w:val="010101"/>
          <w:w w:val="115"/>
          <w:sz w:val="16"/>
        </w:rPr>
        <w:t>CHAPTER </w:t>
      </w:r>
      <w:r>
        <w:rPr>
          <w:color w:val="010101"/>
          <w:w w:val="115"/>
          <w:sz w:val="20"/>
        </w:rPr>
        <w:t>15</w:t>
      </w:r>
    </w:p>
    <w:p>
      <w:pPr>
        <w:pStyle w:val="BodyText"/>
        <w:spacing w:before="129"/>
        <w:ind w:left="37" w:right="87"/>
        <w:jc w:val="center"/>
      </w:pPr>
      <w:r>
        <w:rPr>
          <w:color w:val="010101"/>
          <w:w w:val="110"/>
        </w:rPr>
        <w:t>TABLES  WITH  SECONDARY DECREMENTS</w:t>
      </w:r>
    </w:p>
    <w:p>
      <w:pPr>
        <w:pStyle w:val="BodyText"/>
        <w:spacing w:before="4"/>
        <w:rPr>
          <w:sz w:val="21"/>
        </w:rPr>
      </w:pPr>
    </w:p>
    <w:p>
      <w:pPr>
        <w:spacing w:before="0"/>
        <w:ind w:left="129" w:right="0" w:firstLine="0"/>
        <w:jc w:val="both"/>
        <w:rPr>
          <w:b/>
          <w:sz w:val="19"/>
        </w:rPr>
      </w:pPr>
      <w:r>
        <w:rPr>
          <w:b/>
          <w:color w:val="010101"/>
          <w:w w:val="120"/>
          <w:sz w:val="21"/>
        </w:rPr>
        <w:t>l. </w:t>
      </w:r>
      <w:r>
        <w:rPr>
          <w:b/>
          <w:color w:val="010101"/>
          <w:w w:val="120"/>
          <w:sz w:val="19"/>
        </w:rPr>
        <w:t>Primary and secondary decrements</w:t>
      </w:r>
    </w:p>
    <w:p>
      <w:pPr>
        <w:pStyle w:val="BodyText"/>
        <w:spacing w:line="249" w:lineRule="auto" w:before="88"/>
        <w:ind w:left="111" w:right="140" w:firstLine="211"/>
        <w:jc w:val="both"/>
      </w:pPr>
      <w:r>
        <w:rPr>
          <w:color w:val="010101"/>
          <w:w w:val="105"/>
        </w:rPr>
        <w:t>In the multiple-decrement tables discussed thus far, each life is observed only until it is removed by the operation of one of the causes of decrement. The model &lt;loes not include the subsequent history of those lives that are removed by causes other than death.  In calculating the values of certain benefits, the actuary must sometimes make assumptions about the subsequent survival of  these lives. An example is the calculation of the value of a disa­ bility benefit which provides an income to the insured in the event  of disability. A possible model for this situation is a double­ decrement table for mortality and disability  with  additional columns showing the eff ects of mortality and recovery on the lives that become disabled. </w:t>
      </w:r>
      <w:r>
        <w:rPr>
          <w:color w:val="010101"/>
          <w:w w:val="105"/>
          <w:sz w:val="22"/>
        </w:rPr>
        <w:t>In </w:t>
      </w:r>
      <w:r>
        <w:rPr>
          <w:color w:val="010101"/>
          <w:w w:val="105"/>
        </w:rPr>
        <w:t>this particular table, the original body of lives is said to be subject to two </w:t>
      </w:r>
      <w:r>
        <w:rPr>
          <w:i/>
          <w:color w:val="010101"/>
          <w:w w:val="105"/>
        </w:rPr>
        <w:t>primar y </w:t>
      </w:r>
      <w:r>
        <w:rPr>
          <w:color w:val="010101"/>
          <w:w w:val="105"/>
        </w:rPr>
        <w:t>decrements,  mortality  and disability, and the disabled lives are subject to two </w:t>
      </w:r>
      <w:r>
        <w:rPr>
          <w:i/>
          <w:color w:val="010101"/>
          <w:w w:val="105"/>
        </w:rPr>
        <w:t>secondar y </w:t>
      </w:r>
      <w:r>
        <w:rPr>
          <w:color w:val="010101"/>
          <w:w w:val="105"/>
        </w:rPr>
        <w:t>decrements, mortality and recovery. The student will readily visualize  other situations which  require  a model  of  this</w:t>
      </w:r>
      <w:r>
        <w:rPr>
          <w:color w:val="010101"/>
          <w:spacing w:val="7"/>
          <w:w w:val="105"/>
        </w:rPr>
        <w:t> </w:t>
      </w:r>
      <w:r>
        <w:rPr>
          <w:color w:val="010101"/>
          <w:w w:val="105"/>
        </w:rPr>
        <w:t>type.</w:t>
      </w:r>
    </w:p>
    <w:p>
      <w:pPr>
        <w:pStyle w:val="BodyText"/>
        <w:spacing w:line="249" w:lineRule="auto" w:before="2"/>
        <w:ind w:left="111" w:right="135" w:firstLine="197"/>
        <w:jc w:val="both"/>
      </w:pPr>
      <w:r>
        <w:rPr>
          <w:color w:val="010101"/>
          <w:w w:val="105"/>
        </w:rPr>
        <w:t>The simplest form for such a model comprises two primary decrements and a single secondary decrement, as illustrated in  Table 10. The primary decrements are death </w:t>
      </w:r>
      <w:r>
        <w:rPr>
          <w:rFonts w:ascii="Arial" w:hAnsi="Arial"/>
          <w:i/>
          <w:color w:val="010101"/>
          <w:w w:val="105"/>
          <w:sz w:val="19"/>
        </w:rPr>
        <w:t>(d ) </w:t>
      </w:r>
      <w:r>
        <w:rPr>
          <w:color w:val="010101"/>
          <w:w w:val="105"/>
        </w:rPr>
        <w:t>and an unspeci­ fied cause </w:t>
      </w:r>
      <w:r>
        <w:rPr>
          <w:rFonts w:ascii="Arial" w:hAnsi="Arial"/>
          <w:i/>
          <w:color w:val="010101"/>
          <w:spacing w:val="4"/>
          <w:w w:val="105"/>
          <w:sz w:val="18"/>
        </w:rPr>
        <w:t>(h), </w:t>
      </w:r>
      <w:r>
        <w:rPr>
          <w:color w:val="010101"/>
          <w:w w:val="105"/>
        </w:rPr>
        <w:t>and the first three columns  thus  constitute  the  usual  double-decrement  table.  Columns  (4)  and  (5)  show  the  eff ects of mortality af ter the operation of cause (h ), the function  </w:t>
      </w:r>
      <w:r>
        <w:rPr>
          <w:rFonts w:ascii="Arial" w:hAnsi="Arial"/>
          <w:i/>
          <w:color w:val="010101"/>
          <w:w w:val="105"/>
        </w:rPr>
        <w:t>(hl </w:t>
      </w:r>
      <w:r>
        <w:rPr>
          <w:color w:val="010101"/>
          <w:w w:val="105"/>
        </w:rPr>
        <w:t>)z being defined as the number of lives attaining age </w:t>
      </w:r>
      <w:r>
        <w:rPr>
          <w:rFonts w:ascii="Arial" w:hAnsi="Arial"/>
          <w:i/>
          <w:color w:val="010101"/>
          <w:w w:val="105"/>
          <w:sz w:val="18"/>
        </w:rPr>
        <w:t>x </w:t>
      </w:r>
      <w:r>
        <w:rPr>
          <w:color w:val="010101"/>
          <w:w w:val="105"/>
        </w:rPr>
        <w:t>af ter leaving  the  original  body  of  lives  as  a  result  of  cause  </w:t>
      </w:r>
      <w:r>
        <w:rPr>
          <w:rFonts w:ascii="Arial" w:hAnsi="Arial"/>
          <w:i/>
          <w:color w:val="010101"/>
          <w:spacing w:val="3"/>
          <w:w w:val="105"/>
          <w:sz w:val="18"/>
        </w:rPr>
        <w:t>(h</w:t>
      </w:r>
      <w:r>
        <w:rPr>
          <w:rFonts w:ascii="Arial" w:hAnsi="Arial"/>
          <w:color w:val="010101"/>
          <w:spacing w:val="3"/>
          <w:w w:val="105"/>
          <w:sz w:val="18"/>
        </w:rPr>
        <w:t>),</w:t>
      </w:r>
      <w:r>
        <w:rPr>
          <w:rFonts w:ascii="Arial" w:hAnsi="Arial"/>
          <w:color w:val="010101"/>
          <w:spacing w:val="37"/>
          <w:w w:val="105"/>
          <w:sz w:val="18"/>
        </w:rPr>
        <w:t> </w:t>
      </w:r>
      <w:r>
        <w:rPr>
          <w:color w:val="010101"/>
          <w:w w:val="105"/>
        </w:rPr>
        <w:t>and</w:t>
      </w:r>
    </w:p>
    <w:p>
      <w:pPr>
        <w:pStyle w:val="BodyText"/>
        <w:spacing w:line="144" w:lineRule="auto" w:before="73"/>
        <w:ind w:left="111" w:right="130" w:firstLine="7"/>
        <w:jc w:val="both"/>
      </w:pPr>
      <w:r>
        <w:rPr>
          <w:color w:val="010101"/>
        </w:rPr>
        <w:t>the  secondary   decrement   </w:t>
      </w:r>
      <w:r>
        <w:rPr>
          <w:i/>
          <w:color w:val="010101"/>
        </w:rPr>
        <w:t>( hd )z   </w:t>
      </w:r>
      <w:r>
        <w:rPr>
          <w:color w:val="010101"/>
        </w:rPr>
        <w:t>being   defined   as   the   number of  lives  dying  between   ages  </w:t>
      </w:r>
      <w:r>
        <w:rPr>
          <w:i/>
          <w:color w:val="010101"/>
        </w:rPr>
        <w:t>x  </w:t>
      </w:r>
      <w:r>
        <w:rPr>
          <w:color w:val="010101"/>
        </w:rPr>
        <w:t>and  </w:t>
      </w:r>
      <w:r>
        <w:rPr>
          <w:i/>
          <w:color w:val="010101"/>
        </w:rPr>
        <w:t>x   </w:t>
      </w:r>
      <w:r>
        <w:rPr>
          <w:rFonts w:ascii="Arial"/>
          <w:color w:val="010101"/>
          <w:sz w:val="31"/>
        </w:rPr>
        <w:t>+ </w:t>
      </w:r>
      <w:r>
        <w:rPr>
          <w:color w:val="010101"/>
          <w:sz w:val="19"/>
        </w:rPr>
        <w:t>1 </w:t>
      </w:r>
      <w:r>
        <w:rPr>
          <w:color w:val="010101"/>
        </w:rPr>
        <w:t>af ter  the  operation  of</w:t>
      </w:r>
    </w:p>
    <w:p>
      <w:pPr>
        <w:pStyle w:val="BodyText"/>
        <w:spacing w:line="242" w:lineRule="auto" w:before="11"/>
        <w:ind w:left="111" w:right="114"/>
        <w:jc w:val="both"/>
      </w:pPr>
      <w:r>
        <w:rPr>
          <w:color w:val="010101"/>
          <w:w w:val="105"/>
        </w:rPr>
        <w:t>cause </w:t>
      </w:r>
      <w:r>
        <w:rPr>
          <w:rFonts w:ascii="Arial"/>
          <w:i/>
          <w:color w:val="010101"/>
          <w:spacing w:val="3"/>
          <w:w w:val="105"/>
          <w:sz w:val="18"/>
        </w:rPr>
        <w:t>(h). </w:t>
      </w:r>
      <w:r>
        <w:rPr>
          <w:color w:val="010101"/>
          <w:w w:val="115"/>
        </w:rPr>
        <w:t>lt </w:t>
      </w:r>
      <w:r>
        <w:rPr>
          <w:color w:val="010101"/>
          <w:w w:val="105"/>
        </w:rPr>
        <w:t>should not be thought that these two columns form a single-decrement table, for the </w:t>
      </w:r>
      <w:r>
        <w:rPr>
          <w:color w:val="010101"/>
          <w:spacing w:val="2"/>
          <w:w w:val="105"/>
        </w:rPr>
        <w:t>function </w:t>
      </w:r>
      <w:r>
        <w:rPr>
          <w:i/>
          <w:color w:val="010101"/>
          <w:w w:val="95"/>
        </w:rPr>
        <w:t>( </w:t>
      </w:r>
      <w:r>
        <w:rPr>
          <w:i/>
          <w:color w:val="010101"/>
          <w:w w:val="105"/>
        </w:rPr>
        <w:t>hl </w:t>
      </w:r>
      <w:r>
        <w:rPr>
          <w:i/>
          <w:color w:val="010101"/>
          <w:w w:val="95"/>
        </w:rPr>
        <w:t>)z </w:t>
      </w:r>
      <w:r>
        <w:rPr>
          <w:color w:val="010101"/>
          <w:w w:val="105"/>
        </w:rPr>
        <w:t>is subject to the increment </w:t>
      </w:r>
      <w:r>
        <w:rPr>
          <w:i/>
          <w:color w:val="010101"/>
          <w:w w:val="95"/>
        </w:rPr>
        <w:t>d;A&gt; </w:t>
      </w:r>
      <w:r>
        <w:rPr>
          <w:color w:val="010101"/>
          <w:w w:val="105"/>
        </w:rPr>
        <w:t>as well as to the decrement </w:t>
      </w:r>
      <w:r>
        <w:rPr>
          <w:i/>
          <w:color w:val="010101"/>
          <w:w w:val="95"/>
        </w:rPr>
        <w:t>( </w:t>
      </w:r>
      <w:r>
        <w:rPr>
          <w:i/>
          <w:color w:val="010101"/>
          <w:w w:val="105"/>
        </w:rPr>
        <w:t>hd </w:t>
      </w:r>
      <w:r>
        <w:rPr>
          <w:i/>
          <w:color w:val="010101"/>
          <w:w w:val="95"/>
        </w:rPr>
        <w:t>)z </w:t>
      </w:r>
      <w:r>
        <w:rPr>
          <w:color w:val="010101"/>
          <w:w w:val="105"/>
        </w:rPr>
        <w:t>. Thus the two sections of the combined table are linked by the  function  </w:t>
      </w:r>
      <w:r>
        <w:rPr>
          <w:rFonts w:ascii="Arial"/>
          <w:i/>
          <w:color w:val="010101"/>
          <w:w w:val="105"/>
          <w:sz w:val="22"/>
        </w:rPr>
        <w:t>d;"\ </w:t>
      </w:r>
      <w:r>
        <w:rPr>
          <w:color w:val="010101"/>
          <w:w w:val="105"/>
        </w:rPr>
        <w:t>which forms a decrement from </w:t>
      </w:r>
      <w:r>
        <w:rPr>
          <w:rFonts w:ascii="Arial"/>
          <w:i/>
          <w:color w:val="010101"/>
          <w:w w:val="95"/>
        </w:rPr>
        <w:t>l;T&gt; </w:t>
      </w:r>
      <w:r>
        <w:rPr>
          <w:color w:val="010101"/>
          <w:w w:val="105"/>
        </w:rPr>
        <w:t>and an increment  to  </w:t>
      </w:r>
      <w:r>
        <w:rPr>
          <w:i/>
          <w:color w:val="010101"/>
          <w:w w:val="95"/>
        </w:rPr>
        <w:t>( </w:t>
      </w:r>
      <w:r>
        <w:rPr>
          <w:i/>
          <w:color w:val="010101"/>
          <w:w w:val="105"/>
        </w:rPr>
        <w:t>hl </w:t>
      </w:r>
      <w:r>
        <w:rPr>
          <w:i/>
          <w:color w:val="010101"/>
          <w:w w:val="95"/>
        </w:rPr>
        <w:t>)z </w:t>
      </w:r>
      <w:r>
        <w:rPr>
          <w:i/>
          <w:color w:val="010101"/>
          <w:w w:val="105"/>
        </w:rPr>
        <w:t>. </w:t>
      </w:r>
      <w:r>
        <w:rPr>
          <w:color w:val="010101"/>
          <w:w w:val="105"/>
        </w:rPr>
        <w:t>The  relations  among  these  functions</w:t>
      </w:r>
      <w:r>
        <w:rPr>
          <w:color w:val="010101"/>
          <w:spacing w:val="9"/>
          <w:w w:val="105"/>
        </w:rPr>
        <w:t> </w:t>
      </w:r>
      <w:r>
        <w:rPr>
          <w:color w:val="010101"/>
          <w:w w:val="105"/>
        </w:rPr>
        <w:t>are</w:t>
      </w:r>
    </w:p>
    <w:p>
      <w:pPr>
        <w:spacing w:after="0" w:line="242" w:lineRule="auto"/>
        <w:jc w:val="both"/>
        <w:sectPr>
          <w:pgSz w:w="7200" w:h="11340"/>
          <w:pgMar w:top="1060" w:bottom="280" w:left="660" w:right="540"/>
        </w:sectPr>
      </w:pPr>
    </w:p>
    <w:p>
      <w:pPr>
        <w:spacing w:before="61"/>
        <w:ind w:left="1940" w:right="0" w:firstLine="0"/>
        <w:jc w:val="center"/>
        <w:rPr>
          <w:rFonts w:ascii="Arial"/>
          <w:i/>
          <w:sz w:val="19"/>
        </w:rPr>
      </w:pPr>
      <w:r>
        <w:rPr>
          <w:rFonts w:ascii="Arial"/>
          <w:i/>
          <w:color w:val="010101"/>
          <w:spacing w:val="-3"/>
          <w:w w:val="327"/>
          <w:sz w:val="19"/>
        </w:rPr>
        <w:t>l</w:t>
      </w:r>
      <w:r>
        <w:rPr>
          <w:rFonts w:ascii="Arial"/>
          <w:i/>
          <w:color w:val="010101"/>
          <w:w w:val="52"/>
          <w:sz w:val="19"/>
        </w:rPr>
        <w:t>2'</w:t>
      </w:r>
      <w:r>
        <w:rPr>
          <w:rFonts w:ascii="Arial"/>
          <w:i/>
          <w:color w:val="010101"/>
          <w:spacing w:val="-35"/>
          <w:sz w:val="19"/>
        </w:rPr>
        <w:t> </w:t>
      </w:r>
      <w:r>
        <w:rPr>
          <w:rFonts w:ascii="Arial"/>
          <w:i/>
          <w:color w:val="010101"/>
          <w:w w:val="60"/>
          <w:sz w:val="19"/>
        </w:rPr>
        <w:t>)</w:t>
      </w:r>
      <w:r>
        <w:rPr>
          <w:rFonts w:ascii="Arial"/>
          <w:i/>
          <w:color w:val="010101"/>
          <w:sz w:val="19"/>
        </w:rPr>
        <w:t> </w:t>
      </w:r>
      <w:r>
        <w:rPr>
          <w:rFonts w:ascii="Arial"/>
          <w:i/>
          <w:color w:val="010101"/>
          <w:spacing w:val="2"/>
          <w:sz w:val="19"/>
        </w:rPr>
        <w:t> </w:t>
      </w:r>
      <w:r>
        <w:rPr>
          <w:rFonts w:ascii="Arial"/>
          <w:color w:val="010101"/>
          <w:w w:val="261"/>
          <w:sz w:val="19"/>
        </w:rPr>
        <w:t>-</w:t>
      </w:r>
      <w:r>
        <w:rPr>
          <w:rFonts w:ascii="Arial"/>
          <w:color w:val="010101"/>
          <w:spacing w:val="14"/>
          <w:sz w:val="19"/>
        </w:rPr>
        <w:t> </w:t>
      </w:r>
      <w:r>
        <w:rPr>
          <w:rFonts w:ascii="Arial"/>
          <w:i/>
          <w:color w:val="010101"/>
          <w:spacing w:val="-20"/>
          <w:w w:val="170"/>
          <w:sz w:val="19"/>
        </w:rPr>
        <w:t>d</w:t>
      </w:r>
      <w:r>
        <w:rPr>
          <w:rFonts w:ascii="Arial"/>
          <w:i/>
          <w:color w:val="010101"/>
          <w:w w:val="48"/>
          <w:sz w:val="19"/>
        </w:rPr>
        <w:t>c</w:t>
      </w:r>
      <w:r>
        <w:rPr>
          <w:rFonts w:ascii="Arial"/>
          <w:i/>
          <w:color w:val="010101"/>
          <w:spacing w:val="15"/>
          <w:w w:val="48"/>
          <w:sz w:val="19"/>
        </w:rPr>
        <w:t>l</w:t>
      </w:r>
      <w:r>
        <w:rPr>
          <w:rFonts w:ascii="Arial"/>
          <w:i/>
          <w:color w:val="010101"/>
          <w:w w:val="54"/>
          <w:sz w:val="19"/>
        </w:rPr>
        <w:t>)</w:t>
      </w:r>
      <w:r>
        <w:rPr>
          <w:rFonts w:ascii="Arial"/>
          <w:i/>
          <w:color w:val="010101"/>
          <w:sz w:val="19"/>
        </w:rPr>
        <w:t> </w:t>
      </w:r>
      <w:r>
        <w:rPr>
          <w:rFonts w:ascii="Arial"/>
          <w:i/>
          <w:color w:val="010101"/>
          <w:spacing w:val="10"/>
          <w:sz w:val="19"/>
        </w:rPr>
        <w:t> </w:t>
      </w:r>
      <w:r>
        <w:rPr>
          <w:rFonts w:ascii="Arial"/>
          <w:color w:val="010101"/>
          <w:w w:val="268"/>
          <w:sz w:val="19"/>
        </w:rPr>
        <w:t>-</w:t>
      </w:r>
      <w:r>
        <w:rPr>
          <w:rFonts w:ascii="Arial"/>
          <w:color w:val="010101"/>
          <w:spacing w:val="13"/>
          <w:sz w:val="19"/>
        </w:rPr>
        <w:t> </w:t>
      </w:r>
      <w:r>
        <w:rPr>
          <w:rFonts w:ascii="Arial"/>
          <w:i/>
          <w:color w:val="010101"/>
          <w:spacing w:val="-12"/>
          <w:w w:val="166"/>
          <w:sz w:val="19"/>
        </w:rPr>
        <w:t>d</w:t>
      </w:r>
      <w:r>
        <w:rPr>
          <w:rFonts w:ascii="Arial"/>
          <w:i/>
          <w:color w:val="010101"/>
          <w:spacing w:val="7"/>
          <w:w w:val="100"/>
          <w:sz w:val="19"/>
        </w:rPr>
        <w:t>"</w:t>
      </w:r>
      <w:r>
        <w:rPr>
          <w:rFonts w:ascii="Arial"/>
          <w:i/>
          <w:color w:val="010101"/>
          <w:w w:val="54"/>
          <w:sz w:val="19"/>
        </w:rPr>
        <w:t>)</w:t>
      </w:r>
      <w:r>
        <w:rPr>
          <w:rFonts w:ascii="Arial"/>
          <w:i/>
          <w:color w:val="010101"/>
          <w:sz w:val="19"/>
        </w:rPr>
        <w:t> </w:t>
      </w:r>
      <w:r>
        <w:rPr>
          <w:rFonts w:ascii="Arial"/>
          <w:i/>
          <w:color w:val="010101"/>
          <w:spacing w:val="10"/>
          <w:sz w:val="19"/>
        </w:rPr>
        <w:t> </w:t>
      </w:r>
      <w:r>
        <w:rPr>
          <w:color w:val="010101"/>
          <w:w w:val="102"/>
          <w:sz w:val="24"/>
        </w:rPr>
        <w:t>=</w:t>
      </w:r>
      <w:r>
        <w:rPr>
          <w:color w:val="010101"/>
          <w:sz w:val="24"/>
        </w:rPr>
        <w:t> </w:t>
      </w:r>
      <w:r>
        <w:rPr>
          <w:color w:val="010101"/>
          <w:spacing w:val="-26"/>
          <w:sz w:val="24"/>
        </w:rPr>
        <w:t> </w:t>
      </w:r>
      <w:r>
        <w:rPr>
          <w:rFonts w:ascii="Arial"/>
          <w:i/>
          <w:color w:val="010101"/>
          <w:spacing w:val="-17"/>
          <w:w w:val="599"/>
          <w:sz w:val="19"/>
        </w:rPr>
        <w:t>l</w:t>
      </w:r>
      <w:r>
        <w:rPr>
          <w:rFonts w:ascii="Arial"/>
          <w:i/>
          <w:color w:val="010101"/>
          <w:w w:val="97"/>
          <w:sz w:val="19"/>
        </w:rPr>
        <w:t>t</w:t>
      </w:r>
    </w:p>
    <w:p>
      <w:pPr>
        <w:spacing w:before="119"/>
        <w:ind w:left="0" w:right="987" w:firstLine="0"/>
        <w:jc w:val="right"/>
        <w:rPr>
          <w:b/>
          <w:sz w:val="16"/>
        </w:rPr>
      </w:pPr>
      <w:r>
        <w:rPr>
          <w:b/>
          <w:color w:val="010101"/>
          <w:sz w:val="16"/>
        </w:rPr>
        <w:t>291</w:t>
      </w:r>
    </w:p>
    <w:p>
      <w:pPr>
        <w:spacing w:before="119"/>
        <w:ind w:left="1207" w:right="0" w:firstLine="0"/>
        <w:jc w:val="left"/>
        <w:rPr>
          <w:sz w:val="19"/>
        </w:rPr>
      </w:pPr>
      <w:r>
        <w:rPr/>
        <w:br w:type="column"/>
      </w:r>
      <w:r>
        <w:rPr>
          <w:color w:val="010101"/>
          <w:w w:val="110"/>
          <w:sz w:val="19"/>
        </w:rPr>
        <w:t>(15.1)</w:t>
      </w:r>
    </w:p>
    <w:p>
      <w:pPr>
        <w:spacing w:after="0"/>
        <w:jc w:val="left"/>
        <w:rPr>
          <w:sz w:val="19"/>
        </w:rPr>
        <w:sectPr>
          <w:type w:val="continuous"/>
          <w:pgSz w:w="7200" w:h="11340"/>
          <w:pgMar w:top="1100" w:bottom="0" w:left="660" w:right="540"/>
          <w:cols w:num="2" w:equalWidth="0">
            <w:col w:w="4095" w:space="40"/>
            <w:col w:w="1865"/>
          </w:cols>
        </w:sectPr>
      </w:pPr>
    </w:p>
    <w:p>
      <w:pPr>
        <w:tabs>
          <w:tab w:pos="1274" w:val="left" w:leader="none"/>
        </w:tabs>
        <w:spacing w:before="47"/>
        <w:ind w:left="104" w:right="0" w:firstLine="0"/>
        <w:jc w:val="left"/>
        <w:rPr>
          <w:rFonts w:ascii="Courier New"/>
          <w:b/>
          <w:sz w:val="16"/>
        </w:rPr>
      </w:pPr>
      <w:r>
        <w:rPr>
          <w:rFonts w:ascii="Courier New"/>
          <w:spacing w:val="-28"/>
          <w:w w:val="110"/>
          <w:sz w:val="24"/>
        </w:rPr>
        <w:t>292</w:t>
        <w:tab/>
      </w:r>
      <w:r>
        <w:rPr>
          <w:rFonts w:ascii="Courier New"/>
          <w:b/>
          <w:w w:val="110"/>
          <w:sz w:val="16"/>
        </w:rPr>
        <w:t>TABLES WITH SECONDARY</w:t>
      </w:r>
      <w:r>
        <w:rPr>
          <w:rFonts w:ascii="Courier New"/>
          <w:b/>
          <w:spacing w:val="28"/>
          <w:w w:val="110"/>
          <w:sz w:val="16"/>
        </w:rPr>
        <w:t> </w:t>
      </w:r>
      <w:r>
        <w:rPr>
          <w:rFonts w:ascii="Courier New"/>
          <w:b/>
          <w:w w:val="110"/>
          <w:sz w:val="16"/>
        </w:rPr>
        <w:t>DECREMENTS</w:t>
      </w:r>
    </w:p>
    <w:p>
      <w:pPr>
        <w:spacing w:before="108"/>
        <w:ind w:left="1588" w:right="0" w:firstLine="0"/>
        <w:jc w:val="left"/>
        <w:rPr>
          <w:sz w:val="20"/>
        </w:rPr>
      </w:pPr>
      <w:r>
        <w:rPr>
          <w:b/>
          <w:sz w:val="20"/>
        </w:rPr>
        <w:t>(ht)z </w:t>
      </w:r>
      <w:r>
        <w:rPr>
          <w:rFonts w:ascii="Arial" w:hAnsi="Arial"/>
          <w:sz w:val="31"/>
        </w:rPr>
        <w:t>+ </w:t>
      </w:r>
      <w:r>
        <w:rPr>
          <w:b/>
          <w:sz w:val="20"/>
        </w:rPr>
        <w:t>d!A) </w:t>
      </w:r>
      <w:r>
        <w:rPr>
          <w:w w:val="245"/>
          <w:sz w:val="20"/>
        </w:rPr>
        <w:t>- </w:t>
      </w:r>
      <w:r>
        <w:rPr>
          <w:rFonts w:ascii="Arial" w:hAnsi="Arial"/>
          <w:b/>
          <w:i/>
          <w:sz w:val="19"/>
        </w:rPr>
        <w:t>(hd </w:t>
      </w:r>
      <w:r>
        <w:rPr>
          <w:rFonts w:ascii="Arial" w:hAnsi="Arial"/>
          <w:b/>
          <w:i/>
          <w:w w:val="90"/>
          <w:sz w:val="19"/>
        </w:rPr>
        <w:t>):i </w:t>
      </w:r>
      <w:r>
        <w:rPr>
          <w:sz w:val="24"/>
        </w:rPr>
        <w:t>= </w:t>
      </w:r>
      <w:r>
        <w:rPr>
          <w:b/>
          <w:sz w:val="20"/>
        </w:rPr>
        <w:t>(hl)z+l </w:t>
      </w:r>
      <w:r>
        <w:rPr>
          <w:w w:val="90"/>
          <w:sz w:val="20"/>
        </w:rPr>
        <w:t>•</w:t>
      </w:r>
    </w:p>
    <w:p>
      <w:pPr>
        <w:spacing w:before="69"/>
        <w:ind w:left="72" w:right="79" w:firstLine="0"/>
        <w:jc w:val="center"/>
        <w:rPr>
          <w:rFonts w:ascii="Arial"/>
          <w:b/>
          <w:sz w:val="19"/>
        </w:rPr>
      </w:pPr>
      <w:r>
        <w:rPr/>
        <w:br w:type="column"/>
      </w:r>
      <w:r>
        <w:rPr>
          <w:rFonts w:ascii="Arial"/>
          <w:b/>
          <w:sz w:val="19"/>
        </w:rPr>
        <w:t>[CH. 15</w:t>
      </w:r>
    </w:p>
    <w:p>
      <w:pPr>
        <w:pStyle w:val="BodyText"/>
        <w:spacing w:before="8"/>
        <w:rPr>
          <w:rFonts w:ascii="Arial"/>
          <w:b/>
          <w:sz w:val="21"/>
        </w:rPr>
      </w:pPr>
    </w:p>
    <w:p>
      <w:pPr>
        <w:spacing w:before="1"/>
        <w:ind w:left="158" w:right="79" w:firstLine="0"/>
        <w:jc w:val="center"/>
        <w:rPr>
          <w:sz w:val="19"/>
        </w:rPr>
      </w:pPr>
      <w:r>
        <w:rPr>
          <w:w w:val="115"/>
          <w:sz w:val="19"/>
        </w:rPr>
        <w:t>(15.2)</w:t>
      </w:r>
    </w:p>
    <w:p>
      <w:pPr>
        <w:spacing w:after="0"/>
        <w:jc w:val="center"/>
        <w:rPr>
          <w:sz w:val="19"/>
        </w:rPr>
        <w:sectPr>
          <w:pgSz w:w="7200" w:h="11340"/>
          <w:pgMar w:top="480" w:bottom="280" w:left="680" w:right="540"/>
          <w:cols w:num="2" w:equalWidth="0">
            <w:col w:w="4686" w:space="448"/>
            <w:col w:w="846"/>
          </w:cols>
        </w:sectPr>
      </w:pPr>
    </w:p>
    <w:p>
      <w:pPr>
        <w:spacing w:line="259" w:lineRule="auto" w:before="91"/>
        <w:ind w:left="104" w:right="125" w:firstLine="0"/>
        <w:jc w:val="both"/>
        <w:rPr>
          <w:sz w:val="19"/>
        </w:rPr>
      </w:pPr>
      <w:r>
        <w:rPr>
          <w:w w:val="115"/>
          <w:sz w:val="21"/>
        </w:rPr>
        <w:t>It</w:t>
      </w:r>
      <w:r>
        <w:rPr>
          <w:spacing w:val="-13"/>
          <w:w w:val="115"/>
          <w:sz w:val="21"/>
        </w:rPr>
        <w:t> </w:t>
      </w:r>
      <w:r>
        <w:rPr>
          <w:w w:val="115"/>
          <w:sz w:val="19"/>
        </w:rPr>
        <w:t>is</w:t>
      </w:r>
      <w:r>
        <w:rPr>
          <w:spacing w:val="-13"/>
          <w:w w:val="115"/>
          <w:sz w:val="19"/>
        </w:rPr>
        <w:t> </w:t>
      </w:r>
      <w:r>
        <w:rPr>
          <w:w w:val="115"/>
          <w:sz w:val="19"/>
        </w:rPr>
        <w:t>instructive</w:t>
      </w:r>
      <w:r>
        <w:rPr>
          <w:spacing w:val="-4"/>
          <w:w w:val="115"/>
          <w:sz w:val="19"/>
        </w:rPr>
        <w:t> </w:t>
      </w:r>
      <w:r>
        <w:rPr>
          <w:w w:val="115"/>
          <w:sz w:val="19"/>
        </w:rPr>
        <w:t>to</w:t>
      </w:r>
      <w:r>
        <w:rPr>
          <w:spacing w:val="-13"/>
          <w:w w:val="115"/>
          <w:sz w:val="19"/>
        </w:rPr>
        <w:t> </w:t>
      </w:r>
      <w:r>
        <w:rPr>
          <w:w w:val="115"/>
          <w:sz w:val="19"/>
        </w:rPr>
        <w:t>verify</w:t>
      </w:r>
      <w:r>
        <w:rPr>
          <w:spacing w:val="7"/>
          <w:w w:val="115"/>
          <w:sz w:val="19"/>
        </w:rPr>
        <w:t> </w:t>
      </w:r>
      <w:r>
        <w:rPr>
          <w:w w:val="115"/>
          <w:sz w:val="19"/>
        </w:rPr>
        <w:t>these</w:t>
      </w:r>
      <w:r>
        <w:rPr>
          <w:spacing w:val="-11"/>
          <w:w w:val="115"/>
          <w:sz w:val="19"/>
        </w:rPr>
        <w:t> </w:t>
      </w:r>
      <w:r>
        <w:rPr>
          <w:w w:val="115"/>
          <w:sz w:val="19"/>
        </w:rPr>
        <w:t>relations</w:t>
      </w:r>
      <w:r>
        <w:rPr>
          <w:spacing w:val="3"/>
          <w:w w:val="115"/>
          <w:sz w:val="19"/>
        </w:rPr>
        <w:t> </w:t>
      </w:r>
      <w:r>
        <w:rPr>
          <w:w w:val="115"/>
          <w:sz w:val="19"/>
        </w:rPr>
        <w:t>for</w:t>
      </w:r>
      <w:r>
        <w:rPr>
          <w:spacing w:val="-9"/>
          <w:w w:val="115"/>
          <w:sz w:val="19"/>
        </w:rPr>
        <w:t> </w:t>
      </w:r>
      <w:r>
        <w:rPr>
          <w:w w:val="115"/>
          <w:sz w:val="19"/>
        </w:rPr>
        <w:t>the</w:t>
      </w:r>
      <w:r>
        <w:rPr>
          <w:spacing w:val="-8"/>
          <w:w w:val="115"/>
          <w:sz w:val="19"/>
        </w:rPr>
        <w:t> </w:t>
      </w:r>
      <w:r>
        <w:rPr>
          <w:w w:val="115"/>
          <w:sz w:val="19"/>
        </w:rPr>
        <w:t>illustrative</w:t>
      </w:r>
      <w:r>
        <w:rPr>
          <w:spacing w:val="-8"/>
          <w:w w:val="115"/>
          <w:sz w:val="19"/>
        </w:rPr>
        <w:t> </w:t>
      </w:r>
      <w:r>
        <w:rPr>
          <w:w w:val="115"/>
          <w:sz w:val="19"/>
        </w:rPr>
        <w:t>numeri­ cal values that have been entered in Table</w:t>
      </w:r>
      <w:r>
        <w:rPr>
          <w:spacing w:val="44"/>
          <w:w w:val="115"/>
          <w:sz w:val="19"/>
        </w:rPr>
        <w:t> </w:t>
      </w:r>
      <w:r>
        <w:rPr>
          <w:w w:val="115"/>
          <w:sz w:val="19"/>
        </w:rPr>
        <w:t>10.</w:t>
      </w:r>
    </w:p>
    <w:p>
      <w:pPr>
        <w:spacing w:line="230" w:lineRule="auto" w:before="0"/>
        <w:ind w:left="104" w:right="111" w:firstLine="205"/>
        <w:jc w:val="both"/>
        <w:rPr>
          <w:sz w:val="19"/>
        </w:rPr>
      </w:pPr>
      <w:r>
        <w:rPr>
          <w:w w:val="105"/>
          <w:sz w:val="21"/>
        </w:rPr>
        <w:t>In </w:t>
      </w:r>
      <w:r>
        <w:rPr>
          <w:w w:val="105"/>
          <w:sz w:val="19"/>
        </w:rPr>
        <w:t>discussing this model, </w:t>
      </w:r>
      <w:r>
        <w:rPr>
          <w:w w:val="105"/>
          <w:sz w:val="21"/>
        </w:rPr>
        <w:t>it </w:t>
      </w:r>
      <w:r>
        <w:rPr>
          <w:w w:val="105"/>
          <w:sz w:val="19"/>
        </w:rPr>
        <w:t>is convenient to adopt </w:t>
      </w:r>
      <w:r>
        <w:rPr>
          <w:rFonts w:ascii="Arial"/>
          <w:w w:val="105"/>
          <w:sz w:val="18"/>
        </w:rPr>
        <w:t>a </w:t>
      </w:r>
      <w:r>
        <w:rPr>
          <w:w w:val="105"/>
          <w:sz w:val="19"/>
        </w:rPr>
        <w:t>special </w:t>
      </w:r>
      <w:r>
        <w:rPr>
          <w:w w:val="109"/>
          <w:sz w:val="19"/>
        </w:rPr>
        <w:t>terminology. </w:t>
      </w:r>
      <w:r>
        <w:rPr>
          <w:rFonts w:ascii="Arial"/>
          <w:spacing w:val="6"/>
          <w:w w:val="100"/>
          <w:sz w:val="19"/>
        </w:rPr>
        <w:t>W</w:t>
      </w:r>
      <w:r>
        <w:rPr>
          <w:rFonts w:ascii="Arial"/>
          <w:spacing w:val="6"/>
          <w:w w:val="100"/>
          <w:sz w:val="18"/>
        </w:rPr>
        <w:t>e</w:t>
      </w:r>
      <w:r>
        <w:rPr>
          <w:rFonts w:ascii="Arial"/>
          <w:w w:val="100"/>
          <w:sz w:val="18"/>
        </w:rPr>
        <w:t> </w:t>
      </w:r>
      <w:r>
        <w:rPr>
          <w:w w:val="111"/>
          <w:sz w:val="19"/>
        </w:rPr>
        <w:t>shall </w:t>
      </w:r>
      <w:r>
        <w:rPr>
          <w:w w:val="95"/>
          <w:sz w:val="19"/>
        </w:rPr>
        <w:t>ref </w:t>
      </w:r>
      <w:r>
        <w:rPr>
          <w:w w:val="111"/>
          <w:sz w:val="19"/>
        </w:rPr>
        <w:t>er </w:t>
      </w:r>
      <w:r>
        <w:rPr>
          <w:w w:val="118"/>
          <w:sz w:val="19"/>
        </w:rPr>
        <w:t>to </w:t>
      </w:r>
      <w:r>
        <w:rPr>
          <w:w w:val="119"/>
          <w:sz w:val="19"/>
        </w:rPr>
        <w:t>the </w:t>
      </w:r>
      <w:r>
        <w:rPr>
          <w:w w:val="107"/>
          <w:sz w:val="19"/>
        </w:rPr>
        <w:t>lives  </w:t>
      </w:r>
      <w:r>
        <w:rPr>
          <w:w w:val="111"/>
          <w:sz w:val="19"/>
        </w:rPr>
        <w:t>denoted  </w:t>
      </w:r>
      <w:r>
        <w:rPr>
          <w:w w:val="110"/>
          <w:sz w:val="19"/>
        </w:rPr>
        <w:t>by  </w:t>
      </w:r>
      <w:r>
        <w:rPr>
          <w:i/>
          <w:w w:val="120"/>
          <w:sz w:val="20"/>
        </w:rPr>
        <w:t>l</w:t>
      </w:r>
      <w:r>
        <w:rPr>
          <w:rFonts w:ascii="Arial"/>
          <w:i/>
          <w:w w:val="120"/>
          <w:sz w:val="20"/>
        </w:rPr>
        <w:t>T&gt; </w:t>
      </w:r>
      <w:r>
        <w:rPr>
          <w:i/>
          <w:w w:val="87"/>
          <w:sz w:val="22"/>
        </w:rPr>
        <w:t>as </w:t>
      </w:r>
      <w:r>
        <w:rPr>
          <w:w w:val="106"/>
          <w:sz w:val="19"/>
        </w:rPr>
        <w:t>being </w:t>
      </w:r>
      <w:r>
        <w:rPr>
          <w:w w:val="105"/>
          <w:sz w:val="19"/>
        </w:rPr>
        <w:t>in state </w:t>
      </w:r>
      <w:r>
        <w:rPr>
          <w:rFonts w:ascii="Arial"/>
          <w:i/>
          <w:w w:val="105"/>
          <w:sz w:val="19"/>
        </w:rPr>
        <w:t>(T )  </w:t>
      </w:r>
      <w:r>
        <w:rPr>
          <w:w w:val="105"/>
          <w:sz w:val="19"/>
        </w:rPr>
        <w:t>and  to the  </w:t>
      </w:r>
      <w:r>
        <w:rPr>
          <w:rFonts w:ascii="Arial"/>
          <w:i/>
          <w:w w:val="105"/>
          <w:sz w:val="19"/>
        </w:rPr>
        <w:t>(hl )z  </w:t>
      </w:r>
      <w:r>
        <w:rPr>
          <w:w w:val="105"/>
          <w:sz w:val="19"/>
        </w:rPr>
        <w:t>lives </w:t>
      </w:r>
      <w:r>
        <w:rPr>
          <w:w w:val="105"/>
          <w:sz w:val="21"/>
        </w:rPr>
        <w:t>as </w:t>
      </w:r>
      <w:r>
        <w:rPr>
          <w:w w:val="105"/>
          <w:sz w:val="19"/>
        </w:rPr>
        <w:t>being  in  state  (h ). The lives  in   state   </w:t>
      </w:r>
      <w:r>
        <w:rPr>
          <w:rFonts w:ascii="Arial"/>
          <w:i/>
          <w:w w:val="105"/>
          <w:sz w:val="18"/>
        </w:rPr>
        <w:t>(T )   </w:t>
      </w:r>
      <w:r>
        <w:rPr>
          <w:w w:val="105"/>
          <w:sz w:val="19"/>
        </w:rPr>
        <w:t>are  subject  to  the  risk   of   death  and  </w:t>
      </w:r>
      <w:r>
        <w:rPr>
          <w:w w:val="105"/>
          <w:sz w:val="22"/>
        </w:rPr>
        <w:t>to  </w:t>
      </w:r>
      <w:r>
        <w:rPr>
          <w:w w:val="105"/>
          <w:sz w:val="19"/>
        </w:rPr>
        <w:t>the  risk</w:t>
      </w:r>
      <w:r>
        <w:rPr>
          <w:spacing w:val="3"/>
          <w:w w:val="105"/>
          <w:sz w:val="19"/>
        </w:rPr>
        <w:t> </w:t>
      </w:r>
      <w:r>
        <w:rPr>
          <w:w w:val="105"/>
          <w:sz w:val="19"/>
        </w:rPr>
        <w:t>of</w:t>
      </w:r>
    </w:p>
    <w:p>
      <w:pPr>
        <w:spacing w:line="249" w:lineRule="auto" w:before="17"/>
        <w:ind w:left="104" w:right="125" w:firstLine="3"/>
        <w:jc w:val="both"/>
        <w:rPr>
          <w:sz w:val="19"/>
        </w:rPr>
      </w:pPr>
      <w:r>
        <w:rPr>
          <w:w w:val="110"/>
          <w:sz w:val="19"/>
        </w:rPr>
        <w:t>transfer to state  </w:t>
      </w:r>
      <w:r>
        <w:rPr>
          <w:rFonts w:ascii="Arial"/>
          <w:i/>
          <w:w w:val="110"/>
          <w:sz w:val="19"/>
        </w:rPr>
        <w:t>(h </w:t>
      </w:r>
      <w:r>
        <w:rPr>
          <w:rFonts w:ascii="Arial"/>
          <w:w w:val="110"/>
          <w:sz w:val="19"/>
        </w:rPr>
        <w:t>), </w:t>
      </w:r>
      <w:r>
        <w:rPr>
          <w:w w:val="110"/>
          <w:sz w:val="19"/>
        </w:rPr>
        <w:t>and  the  lives  in  state  </w:t>
      </w:r>
      <w:r>
        <w:rPr>
          <w:rFonts w:ascii="Arial"/>
          <w:i/>
          <w:w w:val="110"/>
          <w:sz w:val="19"/>
        </w:rPr>
        <w:t>(h)  </w:t>
      </w:r>
      <w:r>
        <w:rPr>
          <w:w w:val="110"/>
          <w:sz w:val="19"/>
        </w:rPr>
        <w:t>are subject  only to the risk </w:t>
      </w:r>
      <w:r>
        <w:rPr>
          <w:rFonts w:ascii="Arial"/>
          <w:w w:val="110"/>
          <w:sz w:val="20"/>
        </w:rPr>
        <w:t>of </w:t>
      </w:r>
      <w:r>
        <w:rPr>
          <w:w w:val="110"/>
          <w:sz w:val="19"/>
        </w:rPr>
        <w:t>death. </w:t>
      </w:r>
      <w:r>
        <w:rPr>
          <w:w w:val="110"/>
          <w:sz w:val="21"/>
        </w:rPr>
        <w:t>lt </w:t>
      </w:r>
      <w:r>
        <w:rPr>
          <w:w w:val="110"/>
          <w:sz w:val="19"/>
        </w:rPr>
        <w:t>is assumed in this particular model that re-entry  to state  </w:t>
      </w:r>
      <w:r>
        <w:rPr>
          <w:rFonts w:ascii="Arial"/>
          <w:i/>
          <w:w w:val="110"/>
          <w:sz w:val="18"/>
        </w:rPr>
        <w:t>(T )  </w:t>
      </w:r>
      <w:r>
        <w:rPr>
          <w:w w:val="110"/>
          <w:sz w:val="19"/>
        </w:rPr>
        <w:t>from state  (h ) is impossible.</w:t>
      </w:r>
    </w:p>
    <w:p>
      <w:pPr>
        <w:pStyle w:val="BodyText"/>
        <w:spacing w:before="5"/>
        <w:rPr>
          <w:sz w:val="21"/>
        </w:rPr>
      </w:pPr>
    </w:p>
    <w:p>
      <w:pPr>
        <w:spacing w:before="0" w:after="50"/>
        <w:ind w:left="74" w:right="53" w:firstLine="0"/>
        <w:jc w:val="center"/>
        <w:rPr>
          <w:rFonts w:ascii="Courier New"/>
          <w:sz w:val="18"/>
        </w:rPr>
      </w:pPr>
      <w:r>
        <w:rPr>
          <w:rFonts w:ascii="Courier New"/>
          <w:w w:val="105"/>
          <w:sz w:val="18"/>
        </w:rPr>
        <w:t>TABLE 10</w:t>
      </w:r>
    </w:p>
    <w:tbl>
      <w:tblPr>
        <w:tblW w:w="0" w:type="auto"/>
        <w:jc w:val="left"/>
        <w:tblInd w:w="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6"/>
        <w:gridCol w:w="994"/>
        <w:gridCol w:w="1082"/>
        <w:gridCol w:w="1073"/>
        <w:gridCol w:w="1001"/>
        <w:gridCol w:w="866"/>
        <w:gridCol w:w="180"/>
      </w:tblGrid>
      <w:tr>
        <w:trPr>
          <w:trHeight w:val="317" w:hRule="exact"/>
        </w:trPr>
        <w:tc>
          <w:tcPr>
            <w:tcW w:w="536" w:type="dxa"/>
            <w:vMerge w:val="restart"/>
            <w:tcBorders>
              <w:left w:val="nil"/>
            </w:tcBorders>
          </w:tcPr>
          <w:p>
            <w:pPr>
              <w:pStyle w:val="TableParagraph"/>
              <w:rPr>
                <w:sz w:val="12"/>
              </w:rPr>
            </w:pPr>
          </w:p>
          <w:p>
            <w:pPr>
              <w:pStyle w:val="TableParagraph"/>
              <w:rPr>
                <w:sz w:val="12"/>
              </w:rPr>
            </w:pPr>
          </w:p>
          <w:p>
            <w:pPr>
              <w:pStyle w:val="TableParagraph"/>
              <w:spacing w:before="83"/>
              <w:ind w:left="90"/>
              <w:rPr>
                <w:rFonts w:ascii="Arial"/>
                <w:b/>
                <w:sz w:val="12"/>
              </w:rPr>
            </w:pPr>
            <w:r>
              <w:rPr>
                <w:rFonts w:ascii="Arial"/>
                <w:b/>
                <w:sz w:val="12"/>
              </w:rPr>
              <w:t>Age s</w:t>
            </w:r>
          </w:p>
        </w:tc>
        <w:tc>
          <w:tcPr>
            <w:tcW w:w="994" w:type="dxa"/>
            <w:tcBorders>
              <w:bottom w:val="single" w:sz="1" w:space="0" w:color="000000"/>
              <w:right w:val="single" w:sz="4" w:space="0" w:color="000000"/>
            </w:tcBorders>
          </w:tcPr>
          <w:p>
            <w:pPr>
              <w:pStyle w:val="TableParagraph"/>
              <w:spacing w:before="107"/>
              <w:ind w:left="344" w:right="320"/>
              <w:jc w:val="center"/>
              <w:rPr>
                <w:rFonts w:ascii="Times New Roman"/>
                <w:sz w:val="12"/>
              </w:rPr>
            </w:pPr>
            <w:r>
              <w:rPr>
                <w:rFonts w:ascii="Times New Roman"/>
                <w:w w:val="105"/>
                <w:sz w:val="12"/>
              </w:rPr>
              <w:t>(1)</w:t>
            </w:r>
          </w:p>
        </w:tc>
        <w:tc>
          <w:tcPr>
            <w:tcW w:w="1082" w:type="dxa"/>
            <w:tcBorders>
              <w:left w:val="single" w:sz="4" w:space="0" w:color="000000"/>
              <w:bottom w:val="single" w:sz="1" w:space="0" w:color="000000"/>
              <w:right w:val="single" w:sz="4" w:space="0" w:color="000000"/>
            </w:tcBorders>
          </w:tcPr>
          <w:p>
            <w:pPr>
              <w:pStyle w:val="TableParagraph"/>
              <w:spacing w:before="107"/>
              <w:ind w:left="341" w:right="325"/>
              <w:jc w:val="center"/>
              <w:rPr>
                <w:rFonts w:ascii="Times New Roman"/>
                <w:sz w:val="12"/>
              </w:rPr>
            </w:pPr>
            <w:r>
              <w:rPr>
                <w:rFonts w:ascii="Times New Roman"/>
                <w:w w:val="105"/>
                <w:sz w:val="12"/>
              </w:rPr>
              <w:t>(2)</w:t>
            </w:r>
          </w:p>
        </w:tc>
        <w:tc>
          <w:tcPr>
            <w:tcW w:w="1073" w:type="dxa"/>
            <w:tcBorders>
              <w:left w:val="single" w:sz="4" w:space="0" w:color="000000"/>
              <w:bottom w:val="single" w:sz="1" w:space="0" w:color="000000"/>
            </w:tcBorders>
          </w:tcPr>
          <w:p>
            <w:pPr>
              <w:pStyle w:val="TableParagraph"/>
              <w:spacing w:before="107"/>
              <w:ind w:left="464"/>
              <w:rPr>
                <w:rFonts w:ascii="Times New Roman"/>
                <w:sz w:val="12"/>
              </w:rPr>
            </w:pPr>
            <w:r>
              <w:rPr>
                <w:rFonts w:ascii="Times New Roman"/>
                <w:w w:val="110"/>
                <w:sz w:val="12"/>
              </w:rPr>
              <w:t>(3)</w:t>
            </w:r>
          </w:p>
        </w:tc>
        <w:tc>
          <w:tcPr>
            <w:tcW w:w="1001" w:type="dxa"/>
            <w:tcBorders>
              <w:bottom w:val="single" w:sz="1" w:space="0" w:color="000000"/>
            </w:tcBorders>
          </w:tcPr>
          <w:p>
            <w:pPr>
              <w:pStyle w:val="TableParagraph"/>
              <w:spacing w:before="102"/>
              <w:ind w:left="325" w:right="300"/>
              <w:jc w:val="center"/>
              <w:rPr>
                <w:rFonts w:ascii="Times New Roman"/>
                <w:b/>
                <w:sz w:val="13"/>
              </w:rPr>
            </w:pPr>
            <w:r>
              <w:rPr>
                <w:rFonts w:ascii="Times New Roman"/>
                <w:b/>
                <w:sz w:val="13"/>
              </w:rPr>
              <w:t>(4)</w:t>
            </w:r>
          </w:p>
        </w:tc>
        <w:tc>
          <w:tcPr>
            <w:tcW w:w="866" w:type="dxa"/>
            <w:tcBorders>
              <w:bottom w:val="single" w:sz="1" w:space="0" w:color="000000"/>
              <w:right w:val="nil"/>
            </w:tcBorders>
          </w:tcPr>
          <w:p>
            <w:pPr>
              <w:pStyle w:val="TableParagraph"/>
              <w:spacing w:before="107"/>
              <w:ind w:left="458"/>
              <w:rPr>
                <w:rFonts w:ascii="Times New Roman"/>
                <w:sz w:val="12"/>
              </w:rPr>
            </w:pPr>
            <w:r>
              <w:rPr>
                <w:rFonts w:ascii="Times New Roman"/>
                <w:w w:val="115"/>
                <w:sz w:val="12"/>
              </w:rPr>
              <w:t>(5)</w:t>
            </w:r>
          </w:p>
        </w:tc>
        <w:tc>
          <w:tcPr>
            <w:tcW w:w="180" w:type="dxa"/>
            <w:vMerge w:val="restart"/>
            <w:tcBorders>
              <w:left w:val="nil"/>
              <w:right w:val="nil"/>
            </w:tcBorders>
          </w:tcPr>
          <w:p>
            <w:pPr/>
          </w:p>
        </w:tc>
      </w:tr>
      <w:tr>
        <w:trPr>
          <w:trHeight w:val="560" w:hRule="exact"/>
        </w:trPr>
        <w:tc>
          <w:tcPr>
            <w:tcW w:w="536" w:type="dxa"/>
            <w:vMerge/>
            <w:tcBorders>
              <w:left w:val="nil"/>
            </w:tcBorders>
          </w:tcPr>
          <w:p>
            <w:pPr/>
          </w:p>
        </w:tc>
        <w:tc>
          <w:tcPr>
            <w:tcW w:w="994" w:type="dxa"/>
            <w:tcBorders>
              <w:top w:val="single" w:sz="1" w:space="0" w:color="000000"/>
              <w:right w:val="single" w:sz="4" w:space="0" w:color="000000"/>
            </w:tcBorders>
          </w:tcPr>
          <w:p>
            <w:pPr>
              <w:pStyle w:val="TableParagraph"/>
              <w:spacing w:before="147"/>
              <w:ind w:left="344" w:right="337"/>
              <w:jc w:val="center"/>
              <w:rPr>
                <w:rFonts w:ascii="Times New Roman"/>
                <w:i/>
                <w:sz w:val="21"/>
              </w:rPr>
            </w:pPr>
            <w:r>
              <w:rPr>
                <w:rFonts w:ascii="Times New Roman"/>
                <w:i/>
                <w:w w:val="65"/>
                <w:sz w:val="21"/>
              </w:rPr>
              <w:t>ziT&gt;</w:t>
            </w:r>
          </w:p>
        </w:tc>
        <w:tc>
          <w:tcPr>
            <w:tcW w:w="1082" w:type="dxa"/>
            <w:tcBorders>
              <w:top w:val="single" w:sz="1" w:space="0" w:color="000000"/>
              <w:left w:val="single" w:sz="4" w:space="0" w:color="000000"/>
              <w:right w:val="single" w:sz="4" w:space="0" w:color="000000"/>
            </w:tcBorders>
          </w:tcPr>
          <w:p>
            <w:pPr>
              <w:pStyle w:val="TableParagraph"/>
              <w:rPr>
                <w:sz w:val="12"/>
              </w:rPr>
            </w:pPr>
          </w:p>
          <w:p>
            <w:pPr>
              <w:pStyle w:val="TableParagraph"/>
              <w:spacing w:before="83"/>
              <w:ind w:left="328" w:right="325"/>
              <w:jc w:val="center"/>
              <w:rPr>
                <w:rFonts w:ascii="Times New Roman"/>
                <w:i/>
                <w:sz w:val="13"/>
              </w:rPr>
            </w:pPr>
            <w:r>
              <w:rPr>
                <w:rFonts w:ascii="Times New Roman"/>
                <w:i/>
                <w:spacing w:val="-26"/>
                <w:w w:val="200"/>
                <w:sz w:val="13"/>
              </w:rPr>
              <w:t>d</w:t>
            </w:r>
            <w:r>
              <w:rPr>
                <w:rFonts w:ascii="Times New Roman"/>
                <w:i/>
                <w:w w:val="95"/>
                <w:sz w:val="13"/>
              </w:rPr>
              <w:t>d)</w:t>
            </w:r>
          </w:p>
        </w:tc>
        <w:tc>
          <w:tcPr>
            <w:tcW w:w="1073" w:type="dxa"/>
            <w:tcBorders>
              <w:top w:val="single" w:sz="1" w:space="0" w:color="000000"/>
              <w:left w:val="single" w:sz="4" w:space="0" w:color="000000"/>
            </w:tcBorders>
          </w:tcPr>
          <w:p>
            <w:pPr>
              <w:pStyle w:val="TableParagraph"/>
              <w:rPr>
                <w:sz w:val="12"/>
              </w:rPr>
            </w:pPr>
          </w:p>
          <w:p>
            <w:pPr>
              <w:pStyle w:val="TableParagraph"/>
              <w:spacing w:before="83"/>
              <w:ind w:left="439"/>
              <w:rPr>
                <w:rFonts w:ascii="Times New Roman"/>
                <w:i/>
                <w:sz w:val="13"/>
              </w:rPr>
            </w:pPr>
            <w:r>
              <w:rPr>
                <w:rFonts w:ascii="Times New Roman"/>
                <w:i/>
                <w:spacing w:val="-19"/>
                <w:w w:val="200"/>
                <w:sz w:val="13"/>
              </w:rPr>
              <w:t>d</w:t>
            </w:r>
            <w:r>
              <w:rPr>
                <w:rFonts w:ascii="Times New Roman"/>
                <w:i/>
                <w:w w:val="78"/>
                <w:sz w:val="13"/>
              </w:rPr>
              <w:t>A</w:t>
            </w:r>
            <w:r>
              <w:rPr>
                <w:rFonts w:ascii="Times New Roman"/>
                <w:i/>
                <w:w w:val="78"/>
                <w:sz w:val="13"/>
              </w:rPr>
              <w:t>)</w:t>
            </w:r>
          </w:p>
        </w:tc>
        <w:tc>
          <w:tcPr>
            <w:tcW w:w="1001" w:type="dxa"/>
            <w:tcBorders>
              <w:top w:val="single" w:sz="1" w:space="0" w:color="000000"/>
            </w:tcBorders>
          </w:tcPr>
          <w:p>
            <w:pPr>
              <w:pStyle w:val="TableParagraph"/>
              <w:rPr>
                <w:sz w:val="12"/>
              </w:rPr>
            </w:pPr>
          </w:p>
          <w:p>
            <w:pPr>
              <w:pStyle w:val="TableParagraph"/>
              <w:spacing w:before="101"/>
              <w:ind w:left="325" w:right="344"/>
              <w:jc w:val="center"/>
              <w:rPr>
                <w:rFonts w:ascii="Times New Roman"/>
                <w:b/>
                <w:sz w:val="13"/>
              </w:rPr>
            </w:pPr>
            <w:r>
              <w:rPr>
                <w:rFonts w:ascii="Times New Roman"/>
                <w:b/>
                <w:w w:val="90"/>
                <w:sz w:val="13"/>
              </w:rPr>
              <w:t>(.W)z</w:t>
            </w:r>
          </w:p>
        </w:tc>
        <w:tc>
          <w:tcPr>
            <w:tcW w:w="866" w:type="dxa"/>
            <w:tcBorders>
              <w:top w:val="single" w:sz="1" w:space="0" w:color="000000"/>
              <w:right w:val="nil"/>
            </w:tcBorders>
          </w:tcPr>
          <w:p>
            <w:pPr>
              <w:pStyle w:val="TableParagraph"/>
              <w:rPr>
                <w:sz w:val="12"/>
              </w:rPr>
            </w:pPr>
          </w:p>
          <w:p>
            <w:pPr>
              <w:pStyle w:val="TableParagraph"/>
              <w:spacing w:before="7"/>
              <w:rPr>
                <w:sz w:val="9"/>
              </w:rPr>
            </w:pPr>
          </w:p>
          <w:p>
            <w:pPr>
              <w:pStyle w:val="TableParagraph"/>
              <w:ind w:left="405"/>
              <w:rPr>
                <w:rFonts w:ascii="Arial"/>
                <w:b/>
                <w:sz w:val="12"/>
              </w:rPr>
            </w:pPr>
            <w:r>
              <w:rPr>
                <w:rFonts w:ascii="Arial"/>
                <w:b/>
                <w:sz w:val="12"/>
              </w:rPr>
              <w:t>(ltd)s</w:t>
            </w:r>
          </w:p>
        </w:tc>
        <w:tc>
          <w:tcPr>
            <w:tcW w:w="180" w:type="dxa"/>
            <w:vMerge/>
            <w:tcBorders>
              <w:left w:val="nil"/>
              <w:right w:val="nil"/>
            </w:tcBorders>
          </w:tcPr>
          <w:p>
            <w:pPr/>
          </w:p>
        </w:tc>
      </w:tr>
      <w:tr>
        <w:trPr>
          <w:trHeight w:val="623" w:hRule="exact"/>
        </w:trPr>
        <w:tc>
          <w:tcPr>
            <w:tcW w:w="536" w:type="dxa"/>
            <w:tcBorders>
              <w:left w:val="nil"/>
              <w:bottom w:val="single" w:sz="4" w:space="0" w:color="000000"/>
            </w:tcBorders>
          </w:tcPr>
          <w:p>
            <w:pPr>
              <w:pStyle w:val="TableParagraph"/>
              <w:spacing w:before="104"/>
              <w:ind w:left="142" w:right="143"/>
              <w:jc w:val="center"/>
              <w:rPr>
                <w:rFonts w:ascii="Times New Roman"/>
                <w:sz w:val="16"/>
              </w:rPr>
            </w:pPr>
            <w:r>
              <w:rPr>
                <w:rFonts w:ascii="Times New Roman"/>
                <w:w w:val="105"/>
                <w:sz w:val="16"/>
              </w:rPr>
              <w:t>30</w:t>
            </w:r>
          </w:p>
          <w:p>
            <w:pPr>
              <w:pStyle w:val="TableParagraph"/>
              <w:spacing w:before="4"/>
              <w:ind w:left="158" w:right="143"/>
              <w:jc w:val="center"/>
              <w:rPr>
                <w:rFonts w:ascii="Times New Roman"/>
                <w:sz w:val="17"/>
              </w:rPr>
            </w:pPr>
            <w:r>
              <w:rPr>
                <w:rFonts w:ascii="Times New Roman"/>
                <w:w w:val="110"/>
                <w:sz w:val="17"/>
              </w:rPr>
              <w:t>31</w:t>
            </w:r>
          </w:p>
        </w:tc>
        <w:tc>
          <w:tcPr>
            <w:tcW w:w="994" w:type="dxa"/>
            <w:tcBorders>
              <w:bottom w:val="single" w:sz="4" w:space="0" w:color="000000"/>
              <w:right w:val="single" w:sz="4" w:space="0" w:color="000000"/>
            </w:tcBorders>
          </w:tcPr>
          <w:p>
            <w:pPr>
              <w:pStyle w:val="TableParagraph"/>
              <w:spacing w:before="91"/>
              <w:ind w:left="251"/>
              <w:rPr>
                <w:rFonts w:ascii="Times New Roman"/>
                <w:sz w:val="17"/>
              </w:rPr>
            </w:pPr>
            <w:r>
              <w:rPr>
                <w:rFonts w:ascii="Times New Roman"/>
                <w:sz w:val="17"/>
              </w:rPr>
              <w:t>32,176</w:t>
            </w:r>
          </w:p>
          <w:p>
            <w:pPr>
              <w:pStyle w:val="TableParagraph"/>
              <w:spacing w:before="18"/>
              <w:ind w:left="259"/>
              <w:rPr>
                <w:sz w:val="18"/>
              </w:rPr>
            </w:pPr>
            <w:r>
              <w:rPr>
                <w:sz w:val="18"/>
              </w:rPr>
              <w:t>29,467</w:t>
            </w:r>
          </w:p>
        </w:tc>
        <w:tc>
          <w:tcPr>
            <w:tcW w:w="1082" w:type="dxa"/>
            <w:tcBorders>
              <w:left w:val="single" w:sz="4" w:space="0" w:color="000000"/>
              <w:bottom w:val="single" w:sz="4" w:space="0" w:color="000000"/>
              <w:right w:val="single" w:sz="4" w:space="0" w:color="000000"/>
            </w:tcBorders>
          </w:tcPr>
          <w:p>
            <w:pPr>
              <w:pStyle w:val="TableParagraph"/>
              <w:spacing w:before="85"/>
              <w:ind w:left="336" w:right="325"/>
              <w:jc w:val="center"/>
              <w:rPr>
                <w:rFonts w:ascii="Times New Roman"/>
                <w:sz w:val="18"/>
              </w:rPr>
            </w:pPr>
            <w:r>
              <w:rPr>
                <w:rFonts w:ascii="Times New Roman"/>
                <w:sz w:val="18"/>
              </w:rPr>
              <w:t>506</w:t>
            </w:r>
          </w:p>
          <w:p>
            <w:pPr>
              <w:pStyle w:val="TableParagraph"/>
              <w:spacing w:before="5"/>
              <w:ind w:left="364" w:right="325"/>
              <w:jc w:val="center"/>
              <w:rPr>
                <w:sz w:val="18"/>
              </w:rPr>
            </w:pPr>
            <w:r>
              <w:rPr>
                <w:w w:val="105"/>
                <w:sz w:val="18"/>
              </w:rPr>
              <w:t>494</w:t>
            </w:r>
          </w:p>
        </w:tc>
        <w:tc>
          <w:tcPr>
            <w:tcW w:w="1073" w:type="dxa"/>
            <w:tcBorders>
              <w:left w:val="single" w:sz="4" w:space="0" w:color="000000"/>
              <w:bottom w:val="single" w:sz="4" w:space="0" w:color="000000"/>
            </w:tcBorders>
          </w:tcPr>
          <w:p>
            <w:pPr>
              <w:pStyle w:val="TableParagraph"/>
              <w:spacing w:before="108"/>
              <w:ind w:left="338"/>
              <w:rPr>
                <w:sz w:val="17"/>
              </w:rPr>
            </w:pPr>
            <w:r>
              <w:rPr>
                <w:w w:val="110"/>
                <w:sz w:val="17"/>
              </w:rPr>
              <w:t>2,W3</w:t>
            </w:r>
          </w:p>
          <w:p>
            <w:pPr>
              <w:pStyle w:val="TableParagraph"/>
              <w:ind w:left="334"/>
              <w:rPr>
                <w:sz w:val="18"/>
              </w:rPr>
            </w:pPr>
            <w:r>
              <w:rPr>
                <w:sz w:val="18"/>
              </w:rPr>
              <w:t>2,014</w:t>
            </w:r>
          </w:p>
        </w:tc>
        <w:tc>
          <w:tcPr>
            <w:tcW w:w="1001" w:type="dxa"/>
            <w:tcBorders>
              <w:bottom w:val="single" w:sz="4" w:space="0" w:color="000000"/>
            </w:tcBorders>
          </w:tcPr>
          <w:p>
            <w:pPr>
              <w:pStyle w:val="TableParagraph"/>
              <w:spacing w:before="91"/>
              <w:ind w:left="250"/>
              <w:rPr>
                <w:rFonts w:ascii="Times New Roman"/>
                <w:sz w:val="17"/>
              </w:rPr>
            </w:pPr>
            <w:r>
              <w:rPr>
                <w:rFonts w:ascii="Times New Roman"/>
                <w:w w:val="105"/>
                <w:sz w:val="17"/>
              </w:rPr>
              <w:t>52,066</w:t>
            </w:r>
          </w:p>
          <w:p>
            <w:pPr>
              <w:pStyle w:val="TableParagraph"/>
              <w:spacing w:before="6"/>
              <w:ind w:left="253"/>
              <w:rPr>
                <w:rFonts w:ascii="Times New Roman"/>
                <w:sz w:val="17"/>
              </w:rPr>
            </w:pPr>
            <w:r>
              <w:rPr>
                <w:rFonts w:ascii="Times New Roman"/>
                <w:w w:val="105"/>
                <w:sz w:val="17"/>
              </w:rPr>
              <w:t>53,780</w:t>
            </w:r>
          </w:p>
        </w:tc>
        <w:tc>
          <w:tcPr>
            <w:tcW w:w="1046" w:type="dxa"/>
            <w:gridSpan w:val="2"/>
            <w:tcBorders>
              <w:bottom w:val="single" w:sz="4" w:space="0" w:color="000000"/>
              <w:right w:val="nil"/>
            </w:tcBorders>
          </w:tcPr>
          <w:p>
            <w:pPr>
              <w:pStyle w:val="TableParagraph"/>
              <w:spacing w:line="199" w:lineRule="exact" w:before="104"/>
              <w:ind w:left="336" w:right="273"/>
              <w:jc w:val="center"/>
              <w:rPr>
                <w:sz w:val="18"/>
              </w:rPr>
            </w:pPr>
            <w:r>
              <w:rPr>
                <w:w w:val="120"/>
                <w:sz w:val="18"/>
              </w:rPr>
              <w:t>489</w:t>
            </w:r>
          </w:p>
          <w:p>
            <w:pPr>
              <w:pStyle w:val="TableParagraph"/>
              <w:spacing w:line="210" w:lineRule="exact"/>
              <w:ind w:left="311" w:right="273"/>
              <w:jc w:val="center"/>
              <w:rPr>
                <w:i/>
                <w:sz w:val="19"/>
              </w:rPr>
            </w:pPr>
            <w:r>
              <w:rPr>
                <w:i/>
                <w:w w:val="85"/>
                <w:sz w:val="19"/>
              </w:rPr>
              <w:t>5Z1</w:t>
            </w:r>
          </w:p>
        </w:tc>
      </w:tr>
    </w:tbl>
    <w:p>
      <w:pPr>
        <w:pStyle w:val="BodyText"/>
        <w:spacing w:before="9"/>
        <w:rPr>
          <w:rFonts w:ascii="Courier New"/>
          <w:sz w:val="15"/>
        </w:rPr>
      </w:pPr>
    </w:p>
    <w:p>
      <w:pPr>
        <w:spacing w:before="75"/>
        <w:ind w:left="313" w:right="0" w:firstLine="0"/>
        <w:jc w:val="left"/>
        <w:rPr>
          <w:sz w:val="19"/>
        </w:rPr>
      </w:pPr>
      <w:r>
        <w:rPr>
          <w:w w:val="110"/>
          <w:sz w:val="19"/>
        </w:rPr>
        <w:t>The probabilities  for the primary  decrements take the usual form:</w:t>
      </w:r>
    </w:p>
    <w:p>
      <w:pPr>
        <w:tabs>
          <w:tab w:pos="3135" w:val="left" w:leader="none"/>
        </w:tabs>
        <w:spacing w:line="242" w:lineRule="exact" w:before="86"/>
        <w:ind w:left="2628" w:right="739" w:firstLine="0"/>
        <w:jc w:val="left"/>
        <w:rPr>
          <w:rFonts w:ascii="Arial"/>
          <w:i/>
          <w:sz w:val="29"/>
        </w:rPr>
      </w:pPr>
      <w:r>
        <w:rPr>
          <w:w w:val="115"/>
          <w:sz w:val="11"/>
        </w:rPr>
        <w:t>(d)</w:t>
        <w:tab/>
      </w:r>
      <w:r>
        <w:rPr>
          <w:rFonts w:ascii="Arial"/>
          <w:i/>
          <w:w w:val="90"/>
          <w:sz w:val="29"/>
        </w:rPr>
        <w:t>d;"&gt;</w:t>
      </w:r>
    </w:p>
    <w:p>
      <w:pPr>
        <w:spacing w:after="0" w:line="242" w:lineRule="exact"/>
        <w:jc w:val="left"/>
        <w:rPr>
          <w:rFonts w:ascii="Arial"/>
          <w:sz w:val="29"/>
        </w:rPr>
        <w:sectPr>
          <w:type w:val="continuous"/>
          <w:pgSz w:w="7200" w:h="11340"/>
          <w:pgMar w:top="1100" w:bottom="0" w:left="680" w:right="540"/>
        </w:sectPr>
      </w:pPr>
    </w:p>
    <w:p>
      <w:pPr>
        <w:tabs>
          <w:tab w:pos="2898" w:val="left" w:leader="none"/>
        </w:tabs>
        <w:spacing w:line="270" w:lineRule="exact" w:before="0"/>
        <w:ind w:left="2509" w:right="0" w:firstLine="0"/>
        <w:jc w:val="left"/>
        <w:rPr>
          <w:sz w:val="21"/>
        </w:rPr>
      </w:pPr>
      <w:r>
        <w:rPr/>
        <w:pict>
          <v:line style="position:absolute;mso-position-horizontal-relative:page;mso-position-vertical-relative:paragraph;z-index:23752" from="190.440002pt,13.7644pt" to="203.580002pt,13.7644pt" stroked="true" strokeweight="5.76pt" strokecolor="#000000">
            <w10:wrap type="none"/>
          </v:line>
        </w:pict>
      </w:r>
      <w:r>
        <w:rPr>
          <w:i/>
          <w:sz w:val="20"/>
        </w:rPr>
        <w:t>qz</w:t>
        <w:tab/>
      </w:r>
      <w:r>
        <w:rPr>
          <w:sz w:val="24"/>
        </w:rPr>
        <w:t>= </w:t>
      </w:r>
      <w:r>
        <w:rPr>
          <w:sz w:val="21"/>
        </w:rPr>
        <w:t>l</w:t>
      </w:r>
      <w:r>
        <w:rPr>
          <w:spacing w:val="-6"/>
          <w:sz w:val="21"/>
        </w:rPr>
        <w:t> </w:t>
      </w:r>
      <w:r>
        <w:rPr>
          <w:w w:val="95"/>
          <w:sz w:val="21"/>
        </w:rPr>
        <w:t>T}</w:t>
      </w:r>
    </w:p>
    <w:p>
      <w:pPr>
        <w:pStyle w:val="BodyText"/>
        <w:spacing w:before="7"/>
      </w:pPr>
    </w:p>
    <w:p>
      <w:pPr>
        <w:tabs>
          <w:tab w:pos="514" w:val="left" w:leader="none"/>
        </w:tabs>
        <w:spacing w:line="189" w:lineRule="exact" w:before="1"/>
        <w:ind w:left="0" w:right="476" w:firstLine="0"/>
        <w:jc w:val="right"/>
        <w:rPr>
          <w:rFonts w:ascii="Arial"/>
          <w:sz w:val="19"/>
        </w:rPr>
      </w:pPr>
      <w:r>
        <w:rPr>
          <w:w w:val="105"/>
          <w:sz w:val="11"/>
        </w:rPr>
        <w:t>(1')</w:t>
        <w:tab/>
      </w:r>
      <w:r>
        <w:rPr>
          <w:rFonts w:ascii="Arial"/>
          <w:sz w:val="19"/>
        </w:rPr>
        <w:t>d</w:t>
      </w:r>
      <w:r>
        <w:rPr>
          <w:rFonts w:ascii="Arial"/>
          <w:spacing w:val="-33"/>
          <w:sz w:val="19"/>
        </w:rPr>
        <w:t> </w:t>
      </w:r>
      <w:r>
        <w:rPr>
          <w:rFonts w:ascii="Arial"/>
          <w:sz w:val="19"/>
        </w:rPr>
        <w:t>h)</w:t>
      </w:r>
    </w:p>
    <w:p>
      <w:pPr>
        <w:tabs>
          <w:tab w:pos="2901" w:val="left" w:leader="none"/>
        </w:tabs>
        <w:spacing w:line="246" w:lineRule="exact" w:before="0"/>
        <w:ind w:left="2509" w:right="0" w:firstLine="0"/>
        <w:jc w:val="left"/>
        <w:rPr>
          <w:sz w:val="11"/>
        </w:rPr>
      </w:pPr>
      <w:r>
        <w:rPr/>
        <w:pict>
          <v:line style="position:absolute;mso-position-horizontal-relative:page;mso-position-vertical-relative:paragraph;z-index:23776" from="190.619995pt,12.874966pt" to="203.939995pt,12.874966pt" stroked="true" strokeweight="6.3pt" strokecolor="#000000">
            <w10:wrap type="none"/>
          </v:line>
        </w:pict>
      </w:r>
      <w:r>
        <w:rPr>
          <w:i/>
          <w:w w:val="105"/>
          <w:sz w:val="20"/>
        </w:rPr>
        <w:t>qz</w:t>
        <w:tab/>
      </w:r>
      <w:r>
        <w:rPr>
          <w:w w:val="105"/>
          <w:sz w:val="24"/>
        </w:rPr>
        <w:t>= </w:t>
      </w:r>
      <w:r>
        <w:rPr>
          <w:i/>
          <w:w w:val="270"/>
          <w:sz w:val="11"/>
        </w:rPr>
        <w:t>[ </w:t>
      </w:r>
      <w:r>
        <w:rPr>
          <w:i/>
          <w:w w:val="135"/>
          <w:sz w:val="11"/>
        </w:rPr>
        <w:t>T </w:t>
      </w:r>
      <w:r>
        <w:rPr>
          <w:i/>
          <w:w w:val="105"/>
          <w:sz w:val="11"/>
        </w:rPr>
        <w:t>)</w:t>
      </w:r>
      <w:r>
        <w:rPr>
          <w:i/>
          <w:spacing w:val="17"/>
          <w:w w:val="105"/>
          <w:sz w:val="11"/>
        </w:rPr>
        <w:t> </w:t>
      </w:r>
      <w:r>
        <w:rPr>
          <w:w w:val="105"/>
          <w:sz w:val="11"/>
        </w:rPr>
        <w:t>•</w:t>
      </w:r>
    </w:p>
    <w:p>
      <w:pPr>
        <w:pStyle w:val="BodyText"/>
        <w:spacing w:before="10"/>
        <w:rPr>
          <w:sz w:val="23"/>
        </w:rPr>
      </w:pPr>
    </w:p>
    <w:p>
      <w:pPr>
        <w:spacing w:before="0"/>
        <w:ind w:left="0" w:right="237" w:firstLine="0"/>
        <w:jc w:val="right"/>
        <w:rPr>
          <w:sz w:val="19"/>
        </w:rPr>
      </w:pPr>
      <w:r>
        <w:rPr>
          <w:w w:val="110"/>
          <w:sz w:val="19"/>
        </w:rPr>
        <w:t>The rates  of  decrement,  by  (14.31a), are</w:t>
      </w:r>
    </w:p>
    <w:p>
      <w:pPr>
        <w:pStyle w:val="BodyText"/>
        <w:spacing w:before="8"/>
      </w:pPr>
    </w:p>
    <w:p>
      <w:pPr>
        <w:tabs>
          <w:tab w:pos="914" w:val="left" w:leader="none"/>
        </w:tabs>
        <w:spacing w:before="0"/>
        <w:ind w:left="0" w:right="470" w:firstLine="0"/>
        <w:jc w:val="right"/>
        <w:rPr>
          <w:rFonts w:ascii="Arial" w:hAnsi="Arial"/>
          <w:i/>
          <w:sz w:val="12"/>
        </w:rPr>
      </w:pPr>
      <w:r>
        <w:rPr>
          <w:rFonts w:ascii="Arial" w:hAnsi="Arial"/>
          <w:w w:val="153"/>
          <w:sz w:val="11"/>
        </w:rPr>
        <w:t>'</w:t>
      </w:r>
      <w:r>
        <w:rPr>
          <w:rFonts w:ascii="Arial" w:hAnsi="Arial"/>
          <w:w w:val="153"/>
          <w:sz w:val="11"/>
        </w:rPr>
        <w:t>(</w:t>
      </w:r>
      <w:r>
        <w:rPr>
          <w:rFonts w:ascii="Arial" w:hAnsi="Arial"/>
          <w:w w:val="153"/>
          <w:sz w:val="11"/>
        </w:rPr>
        <w:t>fl}</w:t>
      </w:r>
      <w:r>
        <w:rPr>
          <w:rFonts w:ascii="Arial" w:hAnsi="Arial"/>
          <w:sz w:val="11"/>
        </w:rPr>
        <w:t>  </w:t>
      </w:r>
      <w:r>
        <w:rPr>
          <w:rFonts w:ascii="Arial" w:hAnsi="Arial"/>
          <w:spacing w:val="6"/>
          <w:sz w:val="11"/>
        </w:rPr>
        <w:t> </w:t>
      </w:r>
      <w:r>
        <w:rPr>
          <w:rFonts w:ascii="Arial" w:hAnsi="Arial"/>
          <w:w w:val="116"/>
          <w:sz w:val="11"/>
        </w:rPr>
        <w:t>•</w:t>
      </w:r>
      <w:r>
        <w:rPr>
          <w:rFonts w:ascii="Arial" w:hAnsi="Arial"/>
          <w:sz w:val="11"/>
        </w:rPr>
        <w:tab/>
      </w:r>
      <w:r>
        <w:rPr>
          <w:rFonts w:ascii="Arial" w:hAnsi="Arial"/>
          <w:i/>
          <w:spacing w:val="-24"/>
          <w:w w:val="283"/>
          <w:sz w:val="12"/>
          <w:u w:val="thick"/>
        </w:rPr>
        <w:t>d</w:t>
      </w:r>
      <w:r>
        <w:rPr>
          <w:rFonts w:ascii="Arial" w:hAnsi="Arial"/>
          <w:i/>
          <w:spacing w:val="14"/>
          <w:w w:val="102"/>
          <w:sz w:val="12"/>
        </w:rPr>
        <w:t>d</w:t>
      </w:r>
      <w:r>
        <w:rPr>
          <w:rFonts w:ascii="Arial" w:hAnsi="Arial"/>
          <w:i/>
          <w:w w:val="97"/>
          <w:sz w:val="12"/>
        </w:rPr>
        <w:t>)</w:t>
      </w:r>
    </w:p>
    <w:p>
      <w:pPr>
        <w:tabs>
          <w:tab w:pos="2480" w:val="left" w:leader="none"/>
        </w:tabs>
        <w:spacing w:line="198" w:lineRule="exact" w:before="1"/>
        <w:ind w:left="2045" w:right="0" w:firstLine="0"/>
        <w:jc w:val="center"/>
        <w:rPr>
          <w:sz w:val="14"/>
        </w:rPr>
      </w:pPr>
      <w:r>
        <w:rPr>
          <w:rFonts w:ascii="Arial" w:hAnsi="Arial"/>
          <w:b/>
          <w:i/>
          <w:sz w:val="19"/>
        </w:rPr>
        <w:t>qz</w:t>
        <w:tab/>
      </w:r>
      <w:r>
        <w:rPr>
          <w:rFonts w:ascii="Arial" w:hAnsi="Arial"/>
          <w:sz w:val="13"/>
        </w:rPr>
        <w:t>::::¡ </w:t>
      </w:r>
      <w:r>
        <w:rPr>
          <w:w w:val="185"/>
          <w:sz w:val="11"/>
        </w:rPr>
        <w:t>l( </w:t>
      </w:r>
      <w:r>
        <w:rPr>
          <w:w w:val="135"/>
          <w:sz w:val="11"/>
        </w:rPr>
        <w:t>T)  </w:t>
      </w:r>
      <w:r>
        <w:rPr>
          <w:w w:val="475"/>
          <w:sz w:val="11"/>
        </w:rPr>
        <w:t>-</w:t>
      </w:r>
      <w:r>
        <w:rPr>
          <w:spacing w:val="-89"/>
          <w:w w:val="475"/>
          <w:sz w:val="11"/>
        </w:rPr>
        <w:t> </w:t>
      </w:r>
      <w:r>
        <w:rPr>
          <w:w w:val="135"/>
          <w:sz w:val="14"/>
        </w:rPr>
        <w:t>1.d(•)</w:t>
      </w:r>
    </w:p>
    <w:p>
      <w:pPr>
        <w:tabs>
          <w:tab w:pos="579" w:val="left" w:leader="none"/>
        </w:tabs>
        <w:spacing w:line="118" w:lineRule="exact" w:before="0"/>
        <w:ind w:left="0" w:right="222" w:firstLine="0"/>
        <w:jc w:val="right"/>
        <w:rPr>
          <w:b/>
          <w:sz w:val="12"/>
        </w:rPr>
      </w:pPr>
      <w:r>
        <w:rPr/>
        <w:drawing>
          <wp:anchor distT="0" distB="0" distL="0" distR="0" allowOverlap="1" layoutInCell="1" locked="0" behindDoc="0" simplePos="0" relativeHeight="23728">
            <wp:simplePos x="0" y="0"/>
            <wp:positionH relativeFrom="page">
              <wp:posOffset>1773935</wp:posOffset>
            </wp:positionH>
            <wp:positionV relativeFrom="paragraph">
              <wp:posOffset>170233</wp:posOffset>
            </wp:positionV>
            <wp:extent cx="1143000" cy="338328"/>
            <wp:effectExtent l="0" t="0" r="0" b="0"/>
            <wp:wrapNone/>
            <wp:docPr id="711" name="image362.png" descr=""/>
            <wp:cNvGraphicFramePr>
              <a:graphicFrameLocks noChangeAspect="1"/>
            </wp:cNvGraphicFramePr>
            <a:graphic>
              <a:graphicData uri="http://schemas.openxmlformats.org/drawingml/2006/picture">
                <pic:pic>
                  <pic:nvPicPr>
                    <pic:cNvPr id="712" name="image362.png"/>
                    <pic:cNvPicPr/>
                  </pic:nvPicPr>
                  <pic:blipFill>
                    <a:blip r:embed="rId366" cstate="print"/>
                    <a:stretch>
                      <a:fillRect/>
                    </a:stretch>
                  </pic:blipFill>
                  <pic:spPr>
                    <a:xfrm>
                      <a:off x="0" y="0"/>
                      <a:ext cx="1143000" cy="338328"/>
                    </a:xfrm>
                    <a:prstGeom prst="rect">
                      <a:avLst/>
                    </a:prstGeom>
                  </pic:spPr>
                </pic:pic>
              </a:graphicData>
            </a:graphic>
          </wp:anchor>
        </w:drawing>
      </w:r>
      <w:r>
        <w:rPr>
          <w:w w:val="125"/>
          <w:sz w:val="12"/>
        </w:rPr>
        <w:t>z</w:t>
        <w:tab/>
      </w:r>
      <w:r>
        <w:rPr>
          <w:rFonts w:ascii="Arial"/>
          <w:b/>
          <w:w w:val="125"/>
          <w:sz w:val="11"/>
        </w:rPr>
        <w:t>2 </w:t>
      </w:r>
      <w:r>
        <w:rPr>
          <w:rFonts w:ascii="Arial"/>
          <w:b/>
          <w:spacing w:val="35"/>
          <w:w w:val="125"/>
          <w:sz w:val="11"/>
        </w:rPr>
        <w:t> </w:t>
      </w:r>
      <w:r>
        <w:rPr>
          <w:b/>
          <w:w w:val="125"/>
          <w:sz w:val="12"/>
        </w:rPr>
        <w:t>z</w:t>
      </w:r>
    </w:p>
    <w:p>
      <w:pPr>
        <w:spacing w:line="194" w:lineRule="exact" w:before="0"/>
        <w:ind w:left="126" w:right="0" w:firstLine="0"/>
        <w:jc w:val="left"/>
        <w:rPr>
          <w:sz w:val="19"/>
        </w:rPr>
      </w:pPr>
      <w:r>
        <w:rPr/>
        <w:br w:type="column"/>
      </w:r>
      <w:r>
        <w:rPr>
          <w:w w:val="120"/>
          <w:sz w:val="19"/>
        </w:rPr>
        <w:t>( 15.3a)</w:t>
      </w:r>
    </w:p>
    <w:p>
      <w:pPr>
        <w:pStyle w:val="BodyText"/>
        <w:rPr>
          <w:sz w:val="18"/>
        </w:rPr>
      </w:pPr>
    </w:p>
    <w:p>
      <w:pPr>
        <w:pStyle w:val="BodyText"/>
        <w:spacing w:before="1"/>
        <w:rPr>
          <w:sz w:val="22"/>
        </w:rPr>
      </w:pPr>
    </w:p>
    <w:p>
      <w:pPr>
        <w:spacing w:before="1"/>
        <w:ind w:left="112" w:right="0" w:firstLine="0"/>
        <w:jc w:val="left"/>
        <w:rPr>
          <w:sz w:val="19"/>
        </w:rPr>
      </w:pPr>
      <w:r>
        <w:rPr>
          <w:w w:val="115"/>
          <w:sz w:val="19"/>
        </w:rPr>
        <w:t>(15.3b)</w:t>
      </w:r>
    </w:p>
    <w:p>
      <w:pPr>
        <w:pStyle w:val="BodyText"/>
        <w:rPr>
          <w:sz w:val="18"/>
        </w:rPr>
      </w:pPr>
    </w:p>
    <w:p>
      <w:pPr>
        <w:pStyle w:val="BodyText"/>
        <w:rPr>
          <w:sz w:val="18"/>
        </w:rPr>
      </w:pPr>
    </w:p>
    <w:p>
      <w:pPr>
        <w:pStyle w:val="BodyText"/>
        <w:rPr>
          <w:sz w:val="18"/>
        </w:rPr>
      </w:pPr>
    </w:p>
    <w:p>
      <w:pPr>
        <w:pStyle w:val="BodyText"/>
        <w:spacing w:before="9"/>
        <w:rPr>
          <w:sz w:val="21"/>
        </w:rPr>
      </w:pPr>
    </w:p>
    <w:p>
      <w:pPr>
        <w:spacing w:before="1"/>
        <w:ind w:left="126" w:right="0" w:firstLine="0"/>
        <w:jc w:val="left"/>
        <w:rPr>
          <w:sz w:val="19"/>
        </w:rPr>
      </w:pPr>
      <w:r>
        <w:rPr>
          <w:w w:val="110"/>
          <w:sz w:val="19"/>
        </w:rPr>
        <w:t>( 15.4a)</w:t>
      </w:r>
    </w:p>
    <w:p>
      <w:pPr>
        <w:pStyle w:val="BodyText"/>
        <w:rPr>
          <w:sz w:val="18"/>
        </w:rPr>
      </w:pPr>
    </w:p>
    <w:p>
      <w:pPr>
        <w:pStyle w:val="BodyText"/>
        <w:spacing w:before="4"/>
        <w:rPr>
          <w:sz w:val="21"/>
        </w:rPr>
      </w:pPr>
    </w:p>
    <w:p>
      <w:pPr>
        <w:spacing w:before="0"/>
        <w:ind w:left="119" w:right="0" w:firstLine="0"/>
        <w:jc w:val="left"/>
        <w:rPr>
          <w:b/>
          <w:sz w:val="20"/>
        </w:rPr>
      </w:pPr>
      <w:r>
        <w:rPr>
          <w:b/>
          <w:sz w:val="20"/>
        </w:rPr>
        <w:t>( 15.4b)</w:t>
      </w:r>
    </w:p>
    <w:p>
      <w:pPr>
        <w:spacing w:after="0"/>
        <w:jc w:val="left"/>
        <w:rPr>
          <w:sz w:val="20"/>
        </w:rPr>
        <w:sectPr>
          <w:type w:val="continuous"/>
          <w:pgSz w:w="7200" w:h="11340"/>
          <w:pgMar w:top="1100" w:bottom="0" w:left="680" w:right="540"/>
          <w:cols w:num="2" w:equalWidth="0">
            <w:col w:w="3914" w:space="1187"/>
            <w:col w:w="879"/>
          </w:cols>
        </w:sectPr>
      </w:pPr>
    </w:p>
    <w:p>
      <w:pPr>
        <w:pStyle w:val="BodyText"/>
        <w:spacing w:before="5"/>
        <w:rPr>
          <w:b/>
          <w:sz w:val="22"/>
        </w:rPr>
      </w:pPr>
    </w:p>
    <w:p>
      <w:pPr>
        <w:spacing w:line="261" w:lineRule="auto" w:before="75"/>
        <w:ind w:left="115" w:right="114" w:firstLine="205"/>
        <w:jc w:val="both"/>
        <w:rPr>
          <w:sz w:val="19"/>
        </w:rPr>
      </w:pPr>
      <w:r>
        <w:rPr>
          <w:w w:val="110"/>
          <w:sz w:val="19"/>
        </w:rPr>
        <w:t>In obtaining the rate of mortality" for lives in  state  (h ), which  we denote by </w:t>
      </w:r>
      <w:r>
        <w:rPr>
          <w:rFonts w:ascii="Arial" w:hAnsi="Arial"/>
          <w:i/>
          <w:w w:val="110"/>
          <w:sz w:val="17"/>
        </w:rPr>
        <w:t>(hq </w:t>
      </w:r>
      <w:r>
        <w:rPr>
          <w:w w:val="110"/>
          <w:sz w:val="19"/>
        </w:rPr>
        <w:t>)z , it must be remembered that </w:t>
      </w:r>
      <w:r>
        <w:rPr>
          <w:rFonts w:ascii="Arial" w:hAnsi="Arial"/>
          <w:i/>
          <w:w w:val="110"/>
          <w:sz w:val="17"/>
        </w:rPr>
        <w:t>(hl </w:t>
      </w:r>
      <w:r>
        <w:rPr>
          <w:w w:val="110"/>
          <w:sz w:val="19"/>
        </w:rPr>
        <w:t>)z is subject both to the decrement </w:t>
      </w:r>
      <w:r>
        <w:rPr>
          <w:rFonts w:ascii="Arial" w:hAnsi="Arial"/>
          <w:i/>
          <w:w w:val="110"/>
          <w:sz w:val="19"/>
        </w:rPr>
        <w:t>(hd </w:t>
      </w:r>
      <w:r>
        <w:rPr>
          <w:rFonts w:ascii="Arial" w:hAnsi="Arial"/>
          <w:i/>
          <w:sz w:val="19"/>
        </w:rPr>
        <w:t>):i: </w:t>
      </w:r>
      <w:r>
        <w:rPr>
          <w:w w:val="110"/>
          <w:sz w:val="19"/>
        </w:rPr>
        <w:t>and to the increment </w:t>
      </w:r>
      <w:r>
        <w:rPr>
          <w:rFonts w:ascii="Arial" w:hAnsi="Arial"/>
          <w:i/>
          <w:w w:val="110"/>
          <w:sz w:val="19"/>
        </w:rPr>
        <w:t>d;"&gt;</w:t>
      </w:r>
      <w:r>
        <w:rPr>
          <w:rFonts w:ascii="Arial" w:hAnsi="Arial"/>
          <w:i/>
          <w:spacing w:val="-49"/>
          <w:w w:val="110"/>
          <w:sz w:val="19"/>
        </w:rPr>
        <w:t> </w:t>
      </w:r>
      <w:r>
        <w:rPr>
          <w:rFonts w:ascii="Arial" w:hAnsi="Arial"/>
          <w:i/>
          <w:w w:val="110"/>
          <w:sz w:val="19"/>
        </w:rPr>
        <w:t>. </w:t>
      </w:r>
      <w:r>
        <w:rPr>
          <w:w w:val="110"/>
          <w:sz w:val="19"/>
        </w:rPr>
        <w:t>A multiple­ </w:t>
      </w:r>
      <w:r>
        <w:rPr>
          <w:w w:val="109"/>
          <w:sz w:val="19"/>
        </w:rPr>
        <w:t>decrement </w:t>
      </w:r>
      <w:r>
        <w:rPr>
          <w:w w:val="107"/>
          <w:sz w:val="19"/>
        </w:rPr>
        <w:t>formula </w:t>
      </w:r>
      <w:r>
        <w:rPr>
          <w:w w:val="110"/>
          <w:sz w:val="19"/>
        </w:rPr>
        <w:t>must </w:t>
      </w:r>
      <w:r>
        <w:rPr>
          <w:w w:val="109"/>
          <w:sz w:val="19"/>
        </w:rPr>
        <w:t>therefore </w:t>
      </w:r>
      <w:r>
        <w:rPr>
          <w:w w:val="106"/>
          <w:sz w:val="19"/>
        </w:rPr>
        <w:t>be </w:t>
      </w:r>
      <w:r>
        <w:rPr>
          <w:rFonts w:ascii="Arial" w:hAnsi="Arial"/>
          <w:w w:val="100"/>
          <w:sz w:val="16"/>
        </w:rPr>
        <w:t>usc&lt;l </w:t>
      </w:r>
      <w:r>
        <w:rPr>
          <w:w w:val="110"/>
          <w:sz w:val="19"/>
        </w:rPr>
        <w:t>with </w:t>
      </w:r>
      <w:r>
        <w:rPr>
          <w:rFonts w:ascii="Arial" w:hAnsi="Arial"/>
          <w:i/>
          <w:spacing w:val="-3"/>
          <w:w w:val="90"/>
          <w:sz w:val="19"/>
        </w:rPr>
        <w:t>dh&gt;</w:t>
      </w:r>
      <w:r>
        <w:rPr>
          <w:rFonts w:ascii="Arial" w:hAnsi="Arial"/>
          <w:i/>
          <w:w w:val="90"/>
          <w:sz w:val="19"/>
        </w:rPr>
        <w:t> </w:t>
      </w:r>
      <w:r>
        <w:rPr>
          <w:w w:val="113"/>
          <w:sz w:val="19"/>
        </w:rPr>
        <w:t>taken </w:t>
      </w:r>
      <w:r>
        <w:rPr>
          <w:rFonts w:ascii="Arial" w:hAnsi="Arial"/>
          <w:w w:val="105"/>
          <w:sz w:val="16"/>
        </w:rPr>
        <w:t>as </w:t>
      </w:r>
      <w:r>
        <w:rPr>
          <w:rFonts w:ascii="Arial" w:hAnsi="Arial"/>
          <w:w w:val="115"/>
          <w:sz w:val="16"/>
        </w:rPr>
        <w:t>a </w:t>
      </w:r>
      <w:r>
        <w:rPr>
          <w:w w:val="110"/>
          <w:sz w:val="19"/>
        </w:rPr>
        <w:t>negative decrement.  With  this adjustment,  formula  (14.31a )</w:t>
      </w:r>
      <w:r>
        <w:rPr>
          <w:spacing w:val="-22"/>
          <w:w w:val="110"/>
          <w:sz w:val="19"/>
        </w:rPr>
        <w:t> </w:t>
      </w:r>
      <w:r>
        <w:rPr>
          <w:w w:val="110"/>
          <w:sz w:val="19"/>
        </w:rPr>
        <w:t>gives</w:t>
      </w:r>
    </w:p>
    <w:p>
      <w:pPr>
        <w:spacing w:after="0" w:line="261" w:lineRule="auto"/>
        <w:jc w:val="both"/>
        <w:rPr>
          <w:sz w:val="19"/>
        </w:rPr>
        <w:sectPr>
          <w:type w:val="continuous"/>
          <w:pgSz w:w="7200" w:h="11340"/>
          <w:pgMar w:top="1100" w:bottom="0" w:left="680" w:right="540"/>
        </w:sectPr>
      </w:pPr>
    </w:p>
    <w:p>
      <w:pPr>
        <w:tabs>
          <w:tab w:pos="1287" w:val="left" w:leader="none"/>
          <w:tab w:pos="5866" w:val="right" w:leader="none"/>
        </w:tabs>
        <w:spacing w:before="59"/>
        <w:ind w:left="128" w:right="0" w:firstLine="0"/>
        <w:jc w:val="left"/>
        <w:rPr>
          <w:rFonts w:ascii="Arial"/>
          <w:sz w:val="19"/>
        </w:rPr>
      </w:pPr>
      <w:r>
        <w:rPr>
          <w:b/>
          <w:sz w:val="15"/>
        </w:rPr>
        <w:t>SEC.  </w:t>
      </w:r>
      <w:r>
        <w:rPr>
          <w:b/>
          <w:spacing w:val="5"/>
          <w:sz w:val="15"/>
        </w:rPr>
        <w:t> </w:t>
      </w:r>
      <w:r>
        <w:rPr>
          <w:rFonts w:ascii="Arial"/>
          <w:b/>
          <w:sz w:val="19"/>
        </w:rPr>
        <w:t>1]</w:t>
        <w:tab/>
      </w:r>
      <w:r>
        <w:rPr>
          <w:b/>
          <w:sz w:val="15"/>
        </w:rPr>
        <w:t>PRIMARY   AND </w:t>
      </w:r>
      <w:r>
        <w:rPr>
          <w:b/>
          <w:spacing w:val="31"/>
          <w:sz w:val="15"/>
        </w:rPr>
        <w:t> </w:t>
      </w:r>
      <w:r>
        <w:rPr>
          <w:b/>
          <w:sz w:val="15"/>
        </w:rPr>
        <w:t>SECONDARY  </w:t>
      </w:r>
      <w:r>
        <w:rPr>
          <w:b/>
          <w:spacing w:val="1"/>
          <w:sz w:val="15"/>
        </w:rPr>
        <w:t> </w:t>
      </w:r>
      <w:r>
        <w:rPr>
          <w:b/>
          <w:sz w:val="15"/>
        </w:rPr>
        <w:t>DECREMENTS</w:t>
      </w:r>
      <w:r>
        <w:rPr>
          <w:rFonts w:ascii="Arial"/>
          <w:sz w:val="19"/>
        </w:rPr>
        <w:tab/>
        <w:t>293</w:t>
      </w:r>
    </w:p>
    <w:p>
      <w:pPr>
        <w:spacing w:after="0"/>
        <w:jc w:val="left"/>
        <w:rPr>
          <w:rFonts w:ascii="Arial"/>
          <w:sz w:val="19"/>
        </w:rPr>
        <w:sectPr>
          <w:pgSz w:w="7200" w:h="11340"/>
          <w:pgMar w:top="500" w:bottom="280" w:left="660" w:right="540"/>
        </w:sectPr>
      </w:pPr>
    </w:p>
    <w:p>
      <w:pPr>
        <w:spacing w:line="163" w:lineRule="exact" w:before="228"/>
        <w:ind w:left="0" w:right="482" w:firstLine="0"/>
        <w:jc w:val="right"/>
        <w:rPr>
          <w:i/>
          <w:sz w:val="8"/>
        </w:rPr>
      </w:pPr>
      <w:r>
        <w:rPr>
          <w:rFonts w:ascii="Arial"/>
          <w:b/>
          <w:i/>
          <w:w w:val="90"/>
          <w:sz w:val="19"/>
        </w:rPr>
        <w:t>(hd) </w:t>
      </w:r>
      <w:r>
        <w:rPr>
          <w:i/>
          <w:w w:val="90"/>
          <w:sz w:val="8"/>
        </w:rPr>
        <w:t>X</w:t>
      </w:r>
    </w:p>
    <w:p>
      <w:pPr>
        <w:spacing w:line="301" w:lineRule="exact" w:before="0"/>
        <w:ind w:left="1989" w:right="-14" w:firstLine="0"/>
        <w:jc w:val="left"/>
        <w:rPr>
          <w:sz w:val="26"/>
        </w:rPr>
      </w:pPr>
      <w:r>
        <w:rPr/>
        <w:pict>
          <v:line style="position:absolute;mso-position-horizontal-relative:page;mso-position-vertical-relative:paragraph;z-index:-712216" from="170.279999pt,4.102811pt" to="224.999999pt,4.102811pt" stroked="true" strokeweight=".72pt" strokecolor="#000000">
            <w10:wrap type="none"/>
          </v:line>
        </w:pict>
      </w:r>
      <w:r>
        <w:rPr>
          <w:rFonts w:ascii="Arial"/>
          <w:b/>
          <w:i/>
          <w:w w:val="70"/>
          <w:sz w:val="20"/>
        </w:rPr>
        <w:t>(</w:t>
      </w:r>
      <w:r>
        <w:rPr>
          <w:rFonts w:ascii="Arial"/>
          <w:b/>
          <w:i/>
          <w:spacing w:val="-24"/>
          <w:sz w:val="20"/>
        </w:rPr>
        <w:t> </w:t>
      </w:r>
      <w:r>
        <w:rPr>
          <w:rFonts w:ascii="Arial"/>
          <w:b/>
          <w:i/>
          <w:w w:val="75"/>
          <w:sz w:val="20"/>
        </w:rPr>
        <w:t>hq</w:t>
      </w:r>
      <w:r>
        <w:rPr>
          <w:rFonts w:ascii="Arial"/>
          <w:b/>
          <w:i/>
          <w:spacing w:val="-29"/>
          <w:sz w:val="20"/>
        </w:rPr>
        <w:t> </w:t>
      </w:r>
      <w:r>
        <w:rPr>
          <w:b/>
          <w:i/>
          <w:w w:val="71"/>
          <w:sz w:val="20"/>
        </w:rPr>
        <w:t>)x</w:t>
      </w:r>
      <w:r>
        <w:rPr>
          <w:b/>
          <w:i/>
          <w:sz w:val="20"/>
        </w:rPr>
        <w:t> </w:t>
      </w:r>
      <w:r>
        <w:rPr>
          <w:b/>
          <w:i/>
          <w:spacing w:val="14"/>
          <w:sz w:val="20"/>
        </w:rPr>
        <w:t> </w:t>
      </w:r>
      <w:r>
        <w:rPr>
          <w:rFonts w:ascii="Arial"/>
          <w:w w:val="70"/>
          <w:sz w:val="26"/>
        </w:rPr>
        <w:t>=:</w:t>
      </w:r>
      <w:r>
        <w:rPr>
          <w:rFonts w:ascii="Arial"/>
          <w:spacing w:val="17"/>
          <w:sz w:val="26"/>
        </w:rPr>
        <w:t> </w:t>
      </w:r>
      <w:r>
        <w:rPr>
          <w:b/>
          <w:i/>
          <w:w w:val="67"/>
          <w:sz w:val="20"/>
        </w:rPr>
        <w:t>(</w:t>
      </w:r>
      <w:r>
        <w:rPr>
          <w:b/>
          <w:i/>
          <w:spacing w:val="-13"/>
          <w:sz w:val="20"/>
        </w:rPr>
        <w:t> </w:t>
      </w:r>
      <w:r>
        <w:rPr>
          <w:b/>
          <w:i/>
          <w:w w:val="92"/>
          <w:sz w:val="20"/>
        </w:rPr>
        <w:t>hl</w:t>
      </w:r>
      <w:r>
        <w:rPr>
          <w:b/>
          <w:i/>
          <w:w w:val="92"/>
          <w:sz w:val="20"/>
        </w:rPr>
        <w:t>)x</w:t>
      </w:r>
      <w:r>
        <w:rPr>
          <w:b/>
          <w:i/>
          <w:sz w:val="20"/>
        </w:rPr>
        <w:t> </w:t>
      </w:r>
      <w:r>
        <w:rPr>
          <w:b/>
          <w:i/>
          <w:spacing w:val="-11"/>
          <w:sz w:val="20"/>
        </w:rPr>
        <w:t> </w:t>
      </w:r>
      <w:r>
        <w:rPr>
          <w:rFonts w:ascii="Arial"/>
          <w:w w:val="105"/>
          <w:sz w:val="31"/>
        </w:rPr>
        <w:t>+</w:t>
      </w:r>
      <w:r>
        <w:rPr>
          <w:rFonts w:ascii="Arial"/>
          <w:spacing w:val="-23"/>
          <w:sz w:val="31"/>
        </w:rPr>
        <w:t> </w:t>
      </w:r>
      <w:r>
        <w:rPr>
          <w:b/>
          <w:i/>
          <w:w w:val="78"/>
          <w:sz w:val="26"/>
        </w:rPr>
        <w:t>!</w:t>
      </w:r>
      <w:r>
        <w:rPr>
          <w:b/>
          <w:i/>
          <w:spacing w:val="15"/>
          <w:w w:val="78"/>
          <w:sz w:val="26"/>
        </w:rPr>
        <w:t>d</w:t>
      </w:r>
      <w:r>
        <w:rPr>
          <w:b/>
          <w:i/>
          <w:w w:val="55"/>
          <w:sz w:val="26"/>
        </w:rPr>
        <w:t>;</w:t>
      </w:r>
      <w:r>
        <w:rPr>
          <w:b/>
          <w:i/>
          <w:spacing w:val="10"/>
          <w:w w:val="55"/>
          <w:sz w:val="26"/>
        </w:rPr>
        <w:t>h</w:t>
      </w:r>
      <w:r>
        <w:rPr>
          <w:b/>
          <w:i/>
          <w:w w:val="37"/>
          <w:sz w:val="26"/>
        </w:rPr>
        <w:t>)</w:t>
      </w:r>
      <w:r>
        <w:rPr>
          <w:b/>
          <w:i/>
          <w:spacing w:val="17"/>
          <w:sz w:val="26"/>
        </w:rPr>
        <w:t> </w:t>
      </w:r>
      <w:r>
        <w:rPr>
          <w:w w:val="123"/>
          <w:sz w:val="26"/>
        </w:rPr>
        <w:t>'</w:t>
      </w:r>
    </w:p>
    <w:p>
      <w:pPr>
        <w:pStyle w:val="BodyText"/>
        <w:spacing w:before="363"/>
        <w:ind w:left="1295"/>
      </w:pPr>
      <w:r>
        <w:rPr/>
        <w:br w:type="column"/>
      </w:r>
      <w:r>
        <w:rPr>
          <w:w w:val="105"/>
        </w:rPr>
        <w:t>( 15.5)</w:t>
      </w:r>
    </w:p>
    <w:p>
      <w:pPr>
        <w:spacing w:after="0"/>
        <w:sectPr>
          <w:type w:val="continuous"/>
          <w:pgSz w:w="7200" w:h="11340"/>
          <w:pgMar w:top="1100" w:bottom="0" w:left="660" w:right="540"/>
          <w:cols w:num="2" w:equalWidth="0">
            <w:col w:w="4014" w:space="40"/>
            <w:col w:w="1946"/>
          </w:cols>
        </w:sectPr>
      </w:pPr>
    </w:p>
    <w:p>
      <w:pPr>
        <w:pStyle w:val="BodyText"/>
        <w:spacing w:line="252" w:lineRule="auto" w:before="154"/>
        <w:ind w:left="124" w:right="131"/>
        <w:jc w:val="both"/>
      </w:pPr>
      <w:r>
        <w:rPr/>
        <w:t>This result is clearly a reasonable one, for the </w:t>
      </w:r>
      <w:r>
        <w:rPr>
          <w:i/>
        </w:rPr>
        <w:t>( hl )x  </w:t>
      </w:r>
      <w:r>
        <w:rPr/>
        <w:t>lives are exposed to the risk of death for a full year and the </w:t>
      </w:r>
      <w:r>
        <w:rPr>
          <w:rFonts w:ascii="Arial"/>
          <w:i/>
          <w:sz w:val="19"/>
        </w:rPr>
        <w:t>d;h&gt; </w:t>
      </w:r>
      <w:r>
        <w:rPr/>
        <w:t>lives are expose&lt;l in state   </w:t>
      </w:r>
      <w:r>
        <w:rPr>
          <w:rFonts w:ascii="Arial"/>
          <w:i/>
          <w:sz w:val="19"/>
        </w:rPr>
        <w:t>(h)  </w:t>
      </w:r>
      <w:r>
        <w:rPr/>
        <w:t>for  about  one-half   year  on  the average.</w:t>
      </w:r>
    </w:p>
    <w:p>
      <w:pPr>
        <w:pStyle w:val="BodyText"/>
        <w:spacing w:line="185" w:lineRule="exact"/>
        <w:ind w:left="270" w:right="87"/>
        <w:jc w:val="center"/>
        <w:rPr>
          <w:sz w:val="19"/>
        </w:rPr>
      </w:pPr>
      <w:r>
        <w:rPr>
          <w:w w:val="105"/>
        </w:rPr>
        <w:t>Consider  the  probability   that  a  life  aged  </w:t>
      </w:r>
      <w:r>
        <w:rPr>
          <w:rFonts w:ascii="Arial"/>
          <w:i/>
          <w:w w:val="105"/>
          <w:sz w:val="18"/>
        </w:rPr>
        <w:t>x  </w:t>
      </w:r>
      <w:r>
        <w:rPr>
          <w:w w:val="105"/>
        </w:rPr>
        <w:t>in  state  (</w:t>
      </w:r>
      <w:r>
        <w:rPr>
          <w:rFonts w:ascii="Arial"/>
          <w:i/>
          <w:w w:val="105"/>
          <w:sz w:val="18"/>
        </w:rPr>
        <w:t>T )  </w:t>
      </w:r>
      <w:r>
        <w:rPr>
          <w:w w:val="105"/>
          <w:sz w:val="19"/>
        </w:rPr>
        <w:t>will</w:t>
      </w:r>
    </w:p>
    <w:p>
      <w:pPr>
        <w:pStyle w:val="BodyText"/>
        <w:spacing w:line="303" w:lineRule="exact"/>
        <w:ind w:left="121"/>
        <w:jc w:val="both"/>
        <w:rPr>
          <w:sz w:val="19"/>
        </w:rPr>
      </w:pPr>
      <w:r>
        <w:rPr>
          <w:w w:val="110"/>
        </w:rPr>
        <w:t>transfer to state  (h ) and die before attaining age </w:t>
      </w:r>
      <w:r>
        <w:rPr>
          <w:rFonts w:ascii="Arial"/>
          <w:i/>
          <w:w w:val="110"/>
          <w:sz w:val="18"/>
        </w:rPr>
        <w:t>x  </w:t>
      </w:r>
      <w:r>
        <w:rPr>
          <w:rFonts w:ascii="Arial"/>
          <w:w w:val="110"/>
          <w:sz w:val="31"/>
        </w:rPr>
        <w:t>+ </w:t>
      </w:r>
      <w:r>
        <w:rPr>
          <w:w w:val="125"/>
          <w:sz w:val="19"/>
        </w:rPr>
        <w:t>l. </w:t>
      </w:r>
      <w:r>
        <w:rPr>
          <w:w w:val="110"/>
        </w:rPr>
        <w:t>We </w:t>
      </w:r>
      <w:r>
        <w:rPr>
          <w:w w:val="110"/>
          <w:sz w:val="19"/>
        </w:rPr>
        <w:t>will</w:t>
      </w:r>
    </w:p>
    <w:p>
      <w:pPr>
        <w:pStyle w:val="BodyText"/>
        <w:spacing w:line="221" w:lineRule="exact"/>
        <w:ind w:left="117" w:firstLine="3"/>
        <w:jc w:val="both"/>
      </w:pPr>
      <w:r>
        <w:rPr>
          <w:w w:val="105"/>
        </w:rPr>
        <w:t>denote</w:t>
      </w:r>
      <w:r>
        <w:rPr>
          <w:spacing w:val="19"/>
        </w:rPr>
        <w:t> </w:t>
      </w:r>
      <w:r>
        <w:rPr>
          <w:w w:val="108"/>
        </w:rPr>
        <w:t>this</w:t>
      </w:r>
      <w:r>
        <w:rPr>
          <w:spacing w:val="20"/>
        </w:rPr>
        <w:t> </w:t>
      </w:r>
      <w:r>
        <w:rPr>
          <w:w w:val="105"/>
        </w:rPr>
        <w:t>function</w:t>
      </w:r>
      <w:r>
        <w:rPr/>
        <w:t> </w:t>
      </w:r>
      <w:r>
        <w:rPr>
          <w:spacing w:val="-18"/>
        </w:rPr>
        <w:t> </w:t>
      </w:r>
      <w:r>
        <w:rPr>
          <w:w w:val="103"/>
        </w:rPr>
        <w:t>by</w:t>
      </w:r>
      <w:r>
        <w:rPr/>
        <w:t> </w:t>
      </w:r>
      <w:r>
        <w:rPr>
          <w:spacing w:val="-18"/>
        </w:rPr>
        <w:t> </w:t>
      </w:r>
      <w:r>
        <w:rPr>
          <w:rFonts w:ascii="Arial"/>
          <w:i/>
          <w:spacing w:val="7"/>
          <w:w w:val="241"/>
          <w:sz w:val="12"/>
        </w:rPr>
        <w:t>q</w:t>
      </w:r>
      <w:r>
        <w:rPr>
          <w:rFonts w:ascii="Arial"/>
          <w:i/>
          <w:w w:val="120"/>
          <w:sz w:val="12"/>
        </w:rPr>
        <w:t>Th</w:t>
      </w:r>
      <w:r>
        <w:rPr>
          <w:rFonts w:ascii="Arial"/>
          <w:i/>
          <w:spacing w:val="12"/>
          <w:w w:val="120"/>
          <w:sz w:val="12"/>
        </w:rPr>
        <w:t>)</w:t>
      </w:r>
      <w:r>
        <w:rPr>
          <w:rFonts w:ascii="Arial"/>
          <w:i/>
          <w:w w:val="171"/>
          <w:sz w:val="12"/>
        </w:rPr>
        <w:t>.</w:t>
      </w:r>
      <w:r>
        <w:rPr>
          <w:rFonts w:ascii="Arial"/>
          <w:i/>
          <w:sz w:val="12"/>
        </w:rPr>
        <w:t> </w:t>
      </w:r>
      <w:r>
        <w:rPr>
          <w:rFonts w:ascii="Arial"/>
          <w:i/>
          <w:spacing w:val="-13"/>
          <w:sz w:val="12"/>
        </w:rPr>
        <w:t> </w:t>
      </w:r>
      <w:r>
        <w:rPr>
          <w:w w:val="105"/>
        </w:rPr>
        <w:t>Here</w:t>
      </w:r>
      <w:r>
        <w:rPr>
          <w:spacing w:val="20"/>
        </w:rPr>
        <w:t> </w:t>
      </w:r>
      <w:r>
        <w:rPr>
          <w:w w:val="99"/>
        </w:rPr>
        <w:t>we</w:t>
      </w:r>
      <w:r>
        <w:rPr>
          <w:spacing w:val="15"/>
        </w:rPr>
        <w:t> </w:t>
      </w:r>
      <w:r>
        <w:rPr>
          <w:w w:val="100"/>
        </w:rPr>
        <w:t>wish</w:t>
      </w:r>
      <w:r>
        <w:rPr/>
        <w:t> </w:t>
      </w:r>
      <w:r>
        <w:rPr>
          <w:spacing w:val="-17"/>
        </w:rPr>
        <w:t> </w:t>
      </w:r>
      <w:r>
        <w:rPr>
          <w:w w:val="112"/>
        </w:rPr>
        <w:t>to</w:t>
      </w:r>
      <w:r>
        <w:rPr>
          <w:spacing w:val="19"/>
        </w:rPr>
        <w:t> </w:t>
      </w:r>
      <w:r>
        <w:rPr>
          <w:w w:val="100"/>
        </w:rPr>
        <w:t>know</w:t>
      </w:r>
      <w:r>
        <w:rPr/>
        <w:t> </w:t>
      </w:r>
      <w:r>
        <w:rPr>
          <w:spacing w:val="-24"/>
        </w:rPr>
        <w:t> </w:t>
      </w:r>
      <w:r>
        <w:rPr/>
        <w:t>how </w:t>
      </w:r>
      <w:r>
        <w:rPr>
          <w:spacing w:val="-16"/>
        </w:rPr>
        <w:t> </w:t>
      </w:r>
      <w:r>
        <w:rPr>
          <w:w w:val="104"/>
        </w:rPr>
        <w:t>ma</w:t>
      </w:r>
      <w:r>
        <w:rPr>
          <w:spacing w:val="9"/>
          <w:w w:val="104"/>
        </w:rPr>
        <w:t>n</w:t>
      </w:r>
      <w:r>
        <w:rPr>
          <w:w w:val="105"/>
        </w:rPr>
        <w:t>y</w:t>
      </w:r>
      <w:r>
        <w:rPr>
          <w:spacing w:val="10"/>
        </w:rPr>
        <w:t> </w:t>
      </w:r>
      <w:r>
        <w:rPr>
          <w:w w:val="83"/>
        </w:rPr>
        <w:t>of</w:t>
      </w:r>
    </w:p>
    <w:p>
      <w:pPr>
        <w:pStyle w:val="BodyText"/>
        <w:spacing w:line="184" w:lineRule="exact" w:before="18"/>
        <w:ind w:left="117"/>
        <w:jc w:val="both"/>
      </w:pPr>
      <w:r>
        <w:rPr>
          <w:w w:val="105"/>
        </w:rPr>
        <w:t>the lives shown  in  the table  as  dying  in  state  </w:t>
      </w:r>
      <w:r>
        <w:rPr>
          <w:rFonts w:ascii="Arial"/>
          <w:i/>
          <w:w w:val="105"/>
          <w:sz w:val="19"/>
        </w:rPr>
        <w:t>(h)  </w:t>
      </w:r>
      <w:r>
        <w:rPr>
          <w:w w:val="105"/>
        </w:rPr>
        <w:t>between   ages</w:t>
      </w:r>
    </w:p>
    <w:p>
      <w:pPr>
        <w:spacing w:line="304" w:lineRule="exact" w:before="0"/>
        <w:ind w:left="114" w:right="0" w:hanging="4"/>
        <w:jc w:val="both"/>
        <w:rPr>
          <w:sz w:val="20"/>
        </w:rPr>
      </w:pPr>
      <w:r>
        <w:rPr>
          <w:i/>
          <w:sz w:val="19"/>
        </w:rPr>
        <w:t>x  </w:t>
      </w:r>
      <w:r>
        <w:rPr>
          <w:sz w:val="20"/>
        </w:rPr>
        <w:t>and  </w:t>
      </w:r>
      <w:r>
        <w:rPr>
          <w:i/>
          <w:sz w:val="19"/>
        </w:rPr>
        <w:t>x   </w:t>
      </w:r>
      <w:r>
        <w:rPr>
          <w:rFonts w:ascii="Arial"/>
          <w:sz w:val="31"/>
        </w:rPr>
        <w:t>+ </w:t>
      </w:r>
      <w:r>
        <w:rPr>
          <w:sz w:val="20"/>
        </w:rPr>
        <w:t>1 were  in  state   </w:t>
      </w:r>
      <w:r>
        <w:rPr>
          <w:rFonts w:ascii="Arial"/>
          <w:i/>
          <w:sz w:val="19"/>
        </w:rPr>
        <w:t>(T )   </w:t>
      </w:r>
      <w:r>
        <w:rPr>
          <w:sz w:val="20"/>
        </w:rPr>
        <w:t>at  the  beginning   of  that  year of</w:t>
      </w:r>
    </w:p>
    <w:p>
      <w:pPr>
        <w:pStyle w:val="BodyText"/>
        <w:spacing w:line="247" w:lineRule="auto"/>
        <w:ind w:left="110" w:right="113" w:firstLine="3"/>
        <w:jc w:val="both"/>
      </w:pPr>
      <w:r>
        <w:rPr/>
        <w:t>age.  The  total  number   of   lives  dying  in  state   (h )   at  that  age  is </w:t>
      </w:r>
      <w:r>
        <w:rPr>
          <w:i/>
        </w:rPr>
        <w:t>( hd )x , </w:t>
      </w:r>
      <w:r>
        <w:rPr/>
        <w:t>and this is made up of  deaths among the  </w:t>
      </w:r>
      <w:r>
        <w:rPr>
          <w:i/>
        </w:rPr>
        <w:t>( hl )x  </w:t>
      </w:r>
      <w:r>
        <w:rPr/>
        <w:t>lives </w:t>
      </w:r>
      <w:r>
        <w:rPr>
          <w:spacing w:val="3"/>
        </w:rPr>
        <w:t>attain­ </w:t>
      </w:r>
      <w:r>
        <w:rPr/>
        <w:t>ing age </w:t>
      </w:r>
      <w:r>
        <w:rPr>
          <w:rFonts w:ascii="Arial" w:hAnsi="Arial"/>
          <w:i/>
          <w:sz w:val="16"/>
        </w:rPr>
        <w:t>x </w:t>
      </w:r>
      <w:r>
        <w:rPr/>
        <w:t>together with the deaths occurring among the  </w:t>
      </w:r>
      <w:r>
        <w:rPr>
          <w:rFonts w:ascii="Arial" w:hAnsi="Arial"/>
          <w:i/>
          <w:sz w:val="19"/>
        </w:rPr>
        <w:t>d;hl  </w:t>
      </w:r>
      <w:r>
        <w:rPr/>
        <w:t>Jives which transferred to state (h ) during the yeB.r.  </w:t>
      </w:r>
      <w:r>
        <w:rPr>
          <w:sz w:val="21"/>
        </w:rPr>
        <w:t>It  </w:t>
      </w:r>
      <w:r>
        <w:rPr/>
        <w:t>is  these  latter  deaths to which  the  probability  </w:t>
      </w:r>
      <w:r>
        <w:rPr>
          <w:rFonts w:ascii="Arial" w:hAnsi="Arial"/>
          <w:i/>
          <w:w w:val="115"/>
          <w:sz w:val="12"/>
        </w:rPr>
        <w:t>q;Th)  </w:t>
      </w:r>
      <w:r>
        <w:rPr/>
        <w:t>refers.  The  rate  </w:t>
      </w:r>
      <w:r>
        <w:rPr>
          <w:rFonts w:ascii="Arial" w:hAnsi="Arial"/>
          <w:i/>
          <w:sz w:val="19"/>
        </w:rPr>
        <w:t>9f  </w:t>
      </w:r>
      <w:r>
        <w:rPr/>
        <w:t>mortalit y for lives in state (h )  is  </w:t>
      </w:r>
      <w:r>
        <w:rPr>
          <w:sz w:val="18"/>
        </w:rPr>
        <w:t>(hq )z  ,  </w:t>
      </w:r>
      <w:r>
        <w:rPr/>
        <w:t>and  the  number  of  &lt;lca ths  during the year among the </w:t>
      </w:r>
      <w:r>
        <w:rPr>
          <w:i/>
        </w:rPr>
        <w:t>( hl)x </w:t>
      </w:r>
      <w:r>
        <w:rPr/>
        <w:t>lives is given by </w:t>
      </w:r>
      <w:r>
        <w:rPr>
          <w:i/>
        </w:rPr>
        <w:t>( hl )x </w:t>
      </w:r>
      <w:r>
        <w:rPr/>
        <w:t>· </w:t>
      </w:r>
      <w:r>
        <w:rPr>
          <w:i/>
        </w:rPr>
        <w:t>( hq )x . </w:t>
      </w:r>
      <w:r>
        <w:rPr>
          <w:sz w:val="21"/>
        </w:rPr>
        <w:t>It </w:t>
      </w:r>
      <w:r>
        <w:rPr/>
        <w:t>follows that  the  number  of  deaths  among  thc  </w:t>
      </w:r>
      <w:r>
        <w:rPr>
          <w:rFonts w:ascii="Arial" w:hAnsi="Arial"/>
          <w:i/>
          <w:sz w:val="19"/>
        </w:rPr>
        <w:t>d;hl  </w:t>
      </w:r>
      <w:r>
        <w:rPr/>
        <w:t>lives</w:t>
      </w:r>
      <w:r>
        <w:rPr>
          <w:spacing w:val="-19"/>
        </w:rPr>
        <w:t> </w:t>
      </w:r>
      <w:r>
        <w:rPr/>
        <w:t>is</w:t>
      </w:r>
    </w:p>
    <w:p>
      <w:pPr>
        <w:pStyle w:val="BodyText"/>
        <w:spacing w:before="9"/>
        <w:rPr>
          <w:sz w:val="9"/>
        </w:rPr>
      </w:pPr>
      <w:r>
        <w:rPr/>
        <w:drawing>
          <wp:anchor distT="0" distB="0" distL="0" distR="0" allowOverlap="1" layoutInCell="1" locked="0" behindDoc="0" simplePos="0" relativeHeight="23800">
            <wp:simplePos x="0" y="0"/>
            <wp:positionH relativeFrom="page">
              <wp:posOffset>1737360</wp:posOffset>
            </wp:positionH>
            <wp:positionV relativeFrom="paragraph">
              <wp:posOffset>96325</wp:posOffset>
            </wp:positionV>
            <wp:extent cx="1170431" cy="137160"/>
            <wp:effectExtent l="0" t="0" r="0" b="0"/>
            <wp:wrapTopAndBottom/>
            <wp:docPr id="713" name="image363.png" descr=""/>
            <wp:cNvGraphicFramePr>
              <a:graphicFrameLocks noChangeAspect="1"/>
            </wp:cNvGraphicFramePr>
            <a:graphic>
              <a:graphicData uri="http://schemas.openxmlformats.org/drawingml/2006/picture">
                <pic:pic>
                  <pic:nvPicPr>
                    <pic:cNvPr id="714" name="image363.png"/>
                    <pic:cNvPicPr/>
                  </pic:nvPicPr>
                  <pic:blipFill>
                    <a:blip r:embed="rId367" cstate="print"/>
                    <a:stretch>
                      <a:fillRect/>
                    </a:stretch>
                  </pic:blipFill>
                  <pic:spPr>
                    <a:xfrm>
                      <a:off x="0" y="0"/>
                      <a:ext cx="1170431" cy="137160"/>
                    </a:xfrm>
                    <a:prstGeom prst="rect">
                      <a:avLst/>
                    </a:prstGeom>
                  </pic:spPr>
                </pic:pic>
              </a:graphicData>
            </a:graphic>
          </wp:anchor>
        </w:drawing>
      </w:r>
    </w:p>
    <w:p>
      <w:pPr>
        <w:pStyle w:val="BodyText"/>
        <w:spacing w:before="90"/>
        <w:ind w:left="110"/>
        <w:jc w:val="both"/>
      </w:pPr>
      <w:r>
        <w:rPr>
          <w:w w:val="105"/>
        </w:rPr>
        <w:t>and  the  required  probability  is therefore</w:t>
      </w:r>
    </w:p>
    <w:p>
      <w:pPr>
        <w:tabs>
          <w:tab w:pos="659" w:val="left" w:leader="none"/>
        </w:tabs>
        <w:spacing w:line="178" w:lineRule="exact" w:before="115"/>
        <w:ind w:left="7" w:right="0" w:firstLine="0"/>
        <w:jc w:val="center"/>
        <w:rPr>
          <w:i/>
          <w:sz w:val="20"/>
        </w:rPr>
      </w:pPr>
      <w:r>
        <w:rPr/>
        <w:pict>
          <v:shape style="position:absolute;margin-left:191.699997pt;margin-top:7.609964pt;width:59.45pt;height:19pt;mso-position-horizontal-relative:page;mso-position-vertical-relative:paragraph;z-index:-712192" type="#_x0000_t202" filled="false" stroked="false">
            <v:textbox inset="0,0,0,0">
              <w:txbxContent>
                <w:p>
                  <w:pPr>
                    <w:tabs>
                      <w:tab w:pos="1101" w:val="left" w:leader="none"/>
                    </w:tabs>
                    <w:spacing w:line="380" w:lineRule="exact" w:before="0"/>
                    <w:ind w:left="0" w:right="0" w:firstLine="0"/>
                    <w:jc w:val="left"/>
                    <w:rPr>
                      <w:rFonts w:ascii="Arial"/>
                      <w:sz w:val="38"/>
                    </w:rPr>
                  </w:pPr>
                  <w:r>
                    <w:rPr>
                      <w:rFonts w:ascii="Arial"/>
                      <w:w w:val="85"/>
                      <w:sz w:val="38"/>
                    </w:rPr>
                    <w:t>w)</w:t>
                    <w:tab/>
                  </w:r>
                  <w:r>
                    <w:rPr>
                      <w:rFonts w:ascii="Arial"/>
                      <w:w w:val="80"/>
                      <w:sz w:val="38"/>
                    </w:rPr>
                    <w:t>.</w:t>
                  </w:r>
                </w:p>
              </w:txbxContent>
            </v:textbox>
            <w10:wrap type="none"/>
          </v:shape>
        </w:pict>
      </w:r>
      <w:r>
        <w:rPr>
          <w:b/>
          <w:i/>
          <w:w w:val="90"/>
          <w:sz w:val="11"/>
        </w:rPr>
        <w:t>(</w:t>
      </w:r>
      <w:r>
        <w:rPr>
          <w:b/>
          <w:i/>
          <w:spacing w:val="18"/>
          <w:w w:val="90"/>
          <w:sz w:val="11"/>
        </w:rPr>
        <w:t> </w:t>
      </w:r>
      <w:r>
        <w:rPr>
          <w:b/>
          <w:i/>
          <w:sz w:val="11"/>
        </w:rPr>
        <w:t>Th)</w:t>
        <w:tab/>
      </w:r>
      <w:r>
        <w:rPr>
          <w:i/>
          <w:w w:val="90"/>
          <w:sz w:val="20"/>
        </w:rPr>
        <w:t>(</w:t>
      </w:r>
      <w:r>
        <w:rPr>
          <w:i/>
          <w:spacing w:val="-31"/>
          <w:w w:val="90"/>
          <w:sz w:val="20"/>
        </w:rPr>
        <w:t> </w:t>
      </w:r>
      <w:r>
        <w:rPr>
          <w:i/>
          <w:w w:val="90"/>
          <w:sz w:val="20"/>
        </w:rPr>
        <w:t>hd</w:t>
      </w:r>
      <w:r>
        <w:rPr>
          <w:i/>
          <w:spacing w:val="-27"/>
          <w:w w:val="90"/>
          <w:sz w:val="20"/>
        </w:rPr>
        <w:t> </w:t>
      </w:r>
      <w:r>
        <w:rPr>
          <w:i/>
          <w:w w:val="90"/>
          <w:sz w:val="20"/>
        </w:rPr>
        <w:t>)</w:t>
      </w:r>
      <w:r>
        <w:rPr>
          <w:i/>
          <w:spacing w:val="-7"/>
          <w:w w:val="90"/>
          <w:sz w:val="20"/>
        </w:rPr>
        <w:t> </w:t>
      </w:r>
      <w:r>
        <w:rPr>
          <w:i/>
          <w:w w:val="90"/>
          <w:sz w:val="20"/>
        </w:rPr>
        <w:t>x</w:t>
      </w:r>
      <w:r>
        <w:rPr>
          <w:i/>
          <w:spacing w:val="31"/>
          <w:w w:val="90"/>
          <w:sz w:val="20"/>
        </w:rPr>
        <w:t> </w:t>
      </w:r>
      <w:r>
        <w:rPr>
          <w:w w:val="255"/>
          <w:sz w:val="20"/>
        </w:rPr>
        <w:t>-</w:t>
      </w:r>
      <w:r>
        <w:rPr>
          <w:spacing w:val="-58"/>
          <w:w w:val="255"/>
          <w:sz w:val="20"/>
        </w:rPr>
        <w:t> </w:t>
      </w:r>
      <w:r>
        <w:rPr>
          <w:i/>
          <w:w w:val="90"/>
          <w:sz w:val="20"/>
        </w:rPr>
        <w:t>(</w:t>
      </w:r>
      <w:r>
        <w:rPr>
          <w:i/>
          <w:spacing w:val="-31"/>
          <w:w w:val="90"/>
          <w:sz w:val="20"/>
        </w:rPr>
        <w:t> </w:t>
      </w:r>
      <w:r>
        <w:rPr>
          <w:i/>
          <w:w w:val="90"/>
          <w:sz w:val="20"/>
        </w:rPr>
        <w:t>hl</w:t>
      </w:r>
      <w:r>
        <w:rPr>
          <w:i/>
          <w:spacing w:val="-31"/>
          <w:w w:val="90"/>
          <w:sz w:val="20"/>
        </w:rPr>
        <w:t> </w:t>
      </w:r>
      <w:r>
        <w:rPr>
          <w:i/>
          <w:w w:val="90"/>
          <w:sz w:val="20"/>
        </w:rPr>
        <w:t>)</w:t>
      </w:r>
      <w:r>
        <w:rPr>
          <w:i/>
          <w:spacing w:val="-4"/>
          <w:w w:val="90"/>
          <w:sz w:val="20"/>
        </w:rPr>
        <w:t> </w:t>
      </w:r>
      <w:r>
        <w:rPr>
          <w:i/>
          <w:w w:val="90"/>
          <w:sz w:val="20"/>
        </w:rPr>
        <w:t>x·</w:t>
      </w:r>
      <w:r>
        <w:rPr>
          <w:i/>
          <w:spacing w:val="17"/>
          <w:w w:val="90"/>
          <w:sz w:val="20"/>
        </w:rPr>
        <w:t> </w:t>
      </w:r>
      <w:r>
        <w:rPr>
          <w:i/>
          <w:w w:val="90"/>
          <w:sz w:val="20"/>
        </w:rPr>
        <w:t>(</w:t>
      </w:r>
      <w:r>
        <w:rPr>
          <w:i/>
          <w:spacing w:val="-31"/>
          <w:w w:val="90"/>
          <w:sz w:val="20"/>
        </w:rPr>
        <w:t> </w:t>
      </w:r>
      <w:r>
        <w:rPr>
          <w:i/>
          <w:spacing w:val="3"/>
          <w:w w:val="90"/>
          <w:sz w:val="20"/>
        </w:rPr>
        <w:t>h</w:t>
      </w:r>
      <w:r>
        <w:rPr>
          <w:i/>
          <w:spacing w:val="3"/>
          <w:w w:val="90"/>
          <w:sz w:val="20"/>
          <w:u w:val="thick"/>
        </w:rPr>
        <w:t>q</w:t>
      </w:r>
      <w:r>
        <w:rPr>
          <w:i/>
          <w:spacing w:val="3"/>
          <w:w w:val="90"/>
          <w:sz w:val="20"/>
        </w:rPr>
        <w:t>)</w:t>
      </w:r>
      <w:r>
        <w:rPr>
          <w:i/>
          <w:spacing w:val="-6"/>
          <w:w w:val="90"/>
          <w:sz w:val="20"/>
        </w:rPr>
        <w:t> </w:t>
      </w:r>
      <w:r>
        <w:rPr>
          <w:i/>
          <w:w w:val="90"/>
          <w:sz w:val="20"/>
        </w:rPr>
        <w:t>x</w:t>
      </w:r>
    </w:p>
    <w:p>
      <w:pPr>
        <w:tabs>
          <w:tab w:pos="2194" w:val="left" w:leader="none"/>
          <w:tab w:pos="5344" w:val="left" w:leader="none"/>
        </w:tabs>
        <w:spacing w:line="224" w:lineRule="exact" w:before="0"/>
        <w:ind w:left="1694" w:right="0" w:firstLine="0"/>
        <w:jc w:val="left"/>
        <w:rPr>
          <w:rFonts w:ascii="Arial"/>
          <w:sz w:val="18"/>
        </w:rPr>
      </w:pPr>
      <w:r>
        <w:rPr>
          <w:i/>
          <w:w w:val="80"/>
          <w:position w:val="-2"/>
          <w:sz w:val="20"/>
        </w:rPr>
        <w:t>q:z;</w:t>
        <w:tab/>
      </w:r>
      <w:r>
        <w:rPr>
          <w:position w:val="-2"/>
          <w:sz w:val="24"/>
        </w:rPr>
        <w:t>=</w:t>
        <w:tab/>
      </w:r>
      <w:r>
        <w:rPr>
          <w:rFonts w:ascii="Arial"/>
          <w:sz w:val="18"/>
        </w:rPr>
        <w:t>(</w:t>
      </w:r>
      <w:r>
        <w:rPr>
          <w:rFonts w:ascii="Arial"/>
          <w:spacing w:val="-35"/>
          <w:sz w:val="18"/>
        </w:rPr>
        <w:t> </w:t>
      </w:r>
      <w:r>
        <w:rPr>
          <w:rFonts w:ascii="Arial"/>
          <w:spacing w:val="-12"/>
          <w:sz w:val="18"/>
        </w:rPr>
        <w:t>15.G </w:t>
      </w:r>
      <w:r>
        <w:rPr>
          <w:rFonts w:ascii="Arial"/>
          <w:sz w:val="18"/>
        </w:rPr>
        <w:t>)</w:t>
      </w:r>
    </w:p>
    <w:p>
      <w:pPr>
        <w:pStyle w:val="BodyText"/>
        <w:spacing w:line="244" w:lineRule="auto" w:before="79"/>
        <w:ind w:left="114" w:right="118" w:firstLine="190"/>
        <w:jc w:val="both"/>
      </w:pPr>
      <w:r>
        <w:rPr>
          <w:w w:val="107"/>
        </w:rPr>
        <w:t>There </w:t>
      </w:r>
      <w:r>
        <w:rPr>
          <w:w w:val="93"/>
        </w:rPr>
        <w:t>is </w:t>
      </w:r>
      <w:r>
        <w:rPr>
          <w:w w:val="107"/>
        </w:rPr>
        <w:t>an </w:t>
      </w:r>
      <w:r>
        <w:rPr>
          <w:w w:val="109"/>
        </w:rPr>
        <w:t>alternative </w:t>
      </w:r>
      <w:r>
        <w:rPr>
          <w:w w:val="104"/>
        </w:rPr>
        <w:t>approach </w:t>
      </w:r>
      <w:r>
        <w:rPr>
          <w:w w:val="107"/>
        </w:rPr>
        <w:t>to </w:t>
      </w:r>
      <w:r>
        <w:rPr>
          <w:w w:val="110"/>
        </w:rPr>
        <w:t>the </w:t>
      </w:r>
      <w:r>
        <w:rPr>
          <w:spacing w:val="7"/>
          <w:w w:val="100"/>
        </w:rPr>
        <w:t>value</w:t>
      </w:r>
      <w:r>
        <w:rPr>
          <w:w w:val="100"/>
        </w:rPr>
        <w:t> </w:t>
      </w:r>
      <w:r>
        <w:rPr>
          <w:w w:val="85"/>
        </w:rPr>
        <w:t>of </w:t>
      </w:r>
      <w:r>
        <w:rPr>
          <w:i/>
          <w:spacing w:val="2"/>
          <w:w w:val="86"/>
          <w:sz w:val="34"/>
        </w:rPr>
        <w:t>q;</w:t>
      </w:r>
      <w:r>
        <w:rPr>
          <w:rFonts w:ascii="Arial" w:hAnsi="Arial"/>
          <w:i/>
          <w:spacing w:val="2"/>
          <w:w w:val="86"/>
          <w:sz w:val="11"/>
        </w:rPr>
        <w:t>ThJ</w:t>
      </w:r>
      <w:r>
        <w:rPr>
          <w:rFonts w:ascii="Arial" w:hAnsi="Arial"/>
          <w:i/>
          <w:w w:val="86"/>
          <w:sz w:val="11"/>
        </w:rPr>
        <w:t> </w:t>
      </w:r>
      <w:r>
        <w:rPr>
          <w:rFonts w:ascii="Arial" w:hAnsi="Arial"/>
          <w:i/>
          <w:w w:val="186"/>
          <w:sz w:val="11"/>
        </w:rPr>
        <w:t>. </w:t>
      </w:r>
      <w:r>
        <w:rPr>
          <w:w w:val="107"/>
          <w:sz w:val="19"/>
        </w:rPr>
        <w:t>ThP </w:t>
      </w:r>
      <w:r>
        <w:rPr>
          <w:w w:val="105"/>
        </w:rPr>
        <w:t>probability  that a life aged  (x )  in state  </w:t>
      </w:r>
      <w:r>
        <w:rPr>
          <w:rFonts w:ascii="Arial" w:hAnsi="Arial"/>
          <w:i/>
          <w:w w:val="105"/>
          <w:sz w:val="18"/>
        </w:rPr>
        <w:t>(T </w:t>
      </w:r>
      <w:r>
        <w:rPr>
          <w:rFonts w:ascii="Arial" w:hAnsi="Arial"/>
          <w:i/>
          <w:sz w:val="18"/>
        </w:rPr>
        <w:t>)  </w:t>
      </w:r>
      <w:r>
        <w:rPr>
          <w:w w:val="105"/>
        </w:rPr>
        <w:t>will tramiÍer  to   ta te </w:t>
      </w:r>
      <w:r>
        <w:rPr>
          <w:rFonts w:ascii="Arial" w:hAnsi="Arial"/>
          <w:i/>
          <w:sz w:val="19"/>
        </w:rPr>
        <w:t>( </w:t>
      </w:r>
      <w:r>
        <w:rPr>
          <w:rFonts w:ascii="Arial" w:hAnsi="Arial"/>
          <w:i/>
          <w:w w:val="105"/>
          <w:sz w:val="19"/>
        </w:rPr>
        <w:t>h </w:t>
      </w:r>
      <w:r>
        <w:rPr>
          <w:rFonts w:ascii="Arial" w:hAnsi="Arial"/>
          <w:i/>
          <w:sz w:val="19"/>
        </w:rPr>
        <w:t>) </w:t>
      </w:r>
      <w:r>
        <w:rPr>
          <w:w w:val="105"/>
        </w:rPr>
        <w:t>within one year and then die beforc the end of  that year may  be expresscd</w:t>
      </w:r>
      <w:r>
        <w:rPr>
          <w:spacing w:val="15"/>
          <w:w w:val="105"/>
        </w:rPr>
        <w:t> </w:t>
      </w:r>
      <w:r>
        <w:rPr>
          <w:w w:val="105"/>
        </w:rPr>
        <w:t>as</w:t>
      </w:r>
    </w:p>
    <w:p>
      <w:pPr>
        <w:tabs>
          <w:tab w:pos="2259" w:val="left" w:leader="none"/>
          <w:tab w:pos="2720" w:val="left" w:leader="none"/>
          <w:tab w:pos="3598" w:val="left" w:leader="none"/>
          <w:tab w:pos="4271" w:val="left" w:leader="none"/>
        </w:tabs>
        <w:spacing w:line="264" w:lineRule="exact" w:before="0"/>
        <w:ind w:left="1636" w:right="0" w:firstLine="0"/>
        <w:jc w:val="left"/>
        <w:rPr>
          <w:b/>
          <w:i/>
          <w:sz w:val="21"/>
        </w:rPr>
      </w:pPr>
      <w:r>
        <w:rPr>
          <w:b/>
          <w:i/>
          <w:w w:val="91"/>
          <w:sz w:val="11"/>
        </w:rPr>
        <w:t>(</w:t>
      </w:r>
      <w:r>
        <w:rPr>
          <w:b/>
          <w:i/>
          <w:spacing w:val="3"/>
          <w:sz w:val="11"/>
        </w:rPr>
        <w:t> </w:t>
      </w:r>
      <w:r>
        <w:rPr>
          <w:b/>
          <w:i/>
          <w:w w:val="124"/>
          <w:sz w:val="11"/>
        </w:rPr>
        <w:t>T</w:t>
      </w:r>
      <w:r>
        <w:rPr>
          <w:b/>
          <w:i/>
          <w:spacing w:val="5"/>
          <w:w w:val="124"/>
          <w:sz w:val="11"/>
        </w:rPr>
        <w:t>h</w:t>
      </w:r>
      <w:r>
        <w:rPr>
          <w:b/>
          <w:i/>
          <w:w w:val="82"/>
          <w:sz w:val="11"/>
        </w:rPr>
        <w:t>)</w:t>
      </w:r>
      <w:r>
        <w:rPr>
          <w:b/>
          <w:i/>
          <w:sz w:val="11"/>
        </w:rPr>
        <w:tab/>
      </w:r>
      <w:r>
        <w:rPr>
          <w:rFonts w:ascii="Arial"/>
          <w:b/>
          <w:spacing w:val="-87"/>
          <w:w w:val="99"/>
          <w:sz w:val="44"/>
        </w:rPr>
        <w:t>1</w:t>
      </w:r>
      <w:r>
        <w:rPr>
          <w:rFonts w:ascii="Arial"/>
          <w:b/>
          <w:w w:val="28"/>
          <w:sz w:val="44"/>
        </w:rPr>
        <w:t>1</w:t>
      </w:r>
      <w:r>
        <w:rPr>
          <w:rFonts w:ascii="Arial"/>
          <w:b/>
          <w:sz w:val="44"/>
        </w:rPr>
        <w:tab/>
      </w:r>
      <w:r>
        <w:rPr>
          <w:b/>
          <w:i/>
          <w:w w:val="82"/>
          <w:sz w:val="11"/>
        </w:rPr>
        <w:t>(</w:t>
      </w:r>
      <w:r>
        <w:rPr>
          <w:b/>
          <w:i/>
          <w:spacing w:val="3"/>
          <w:sz w:val="11"/>
        </w:rPr>
        <w:t> </w:t>
      </w:r>
      <w:r>
        <w:rPr>
          <w:b/>
          <w:i/>
          <w:w w:val="114"/>
          <w:sz w:val="11"/>
        </w:rPr>
        <w:t>T</w:t>
      </w:r>
      <w:r>
        <w:rPr>
          <w:b/>
          <w:i/>
          <w:spacing w:val="-4"/>
          <w:sz w:val="11"/>
        </w:rPr>
        <w:t> </w:t>
      </w:r>
      <w:r>
        <w:rPr>
          <w:b/>
          <w:i/>
          <w:w w:val="74"/>
          <w:sz w:val="11"/>
        </w:rPr>
        <w:t>)</w:t>
      </w:r>
      <w:r>
        <w:rPr>
          <w:b/>
          <w:i/>
          <w:sz w:val="11"/>
        </w:rPr>
        <w:t>    </w:t>
      </w:r>
      <w:r>
        <w:rPr>
          <w:b/>
          <w:i/>
          <w:spacing w:val="4"/>
          <w:sz w:val="11"/>
        </w:rPr>
        <w:t> </w:t>
      </w:r>
      <w:r>
        <w:rPr>
          <w:b/>
          <w:w w:val="120"/>
          <w:sz w:val="12"/>
        </w:rPr>
        <w:t>(</w:t>
      </w:r>
      <w:r>
        <w:rPr>
          <w:b/>
          <w:w w:val="120"/>
          <w:sz w:val="12"/>
        </w:rPr>
        <w:t>h</w:t>
      </w:r>
      <w:r>
        <w:rPr>
          <w:b/>
          <w:w w:val="120"/>
          <w:sz w:val="12"/>
        </w:rPr>
        <w:t>)</w:t>
      </w:r>
      <w:r>
        <w:rPr>
          <w:b/>
          <w:sz w:val="12"/>
        </w:rPr>
        <w:tab/>
      </w:r>
      <w:r>
        <w:rPr>
          <w:b/>
          <w:i/>
          <w:w w:val="60"/>
          <w:sz w:val="21"/>
        </w:rPr>
        <w:t>(</w:t>
      </w:r>
      <w:r>
        <w:rPr>
          <w:b/>
          <w:i/>
          <w:spacing w:val="-16"/>
          <w:sz w:val="21"/>
        </w:rPr>
        <w:t> </w:t>
      </w:r>
      <w:r>
        <w:rPr>
          <w:b/>
          <w:i/>
          <w:w w:val="87"/>
          <w:sz w:val="21"/>
        </w:rPr>
        <w:t>h</w:t>
      </w:r>
      <w:r>
        <w:rPr>
          <w:b/>
          <w:i/>
          <w:sz w:val="21"/>
        </w:rPr>
        <w:t> </w:t>
      </w:r>
      <w:r>
        <w:rPr>
          <w:b/>
          <w:i/>
          <w:spacing w:val="11"/>
          <w:sz w:val="21"/>
        </w:rPr>
        <w:t> </w:t>
      </w:r>
      <w:r>
        <w:rPr>
          <w:w w:val="86"/>
          <w:sz w:val="21"/>
        </w:rPr>
        <w:t>)</w:t>
      </w:r>
      <w:r>
        <w:rPr>
          <w:sz w:val="21"/>
        </w:rPr>
        <w:tab/>
      </w:r>
      <w:r>
        <w:rPr>
          <w:b/>
          <w:i/>
          <w:w w:val="88"/>
          <w:sz w:val="21"/>
        </w:rPr>
        <w:t>dt</w:t>
      </w:r>
    </w:p>
    <w:p>
      <w:pPr>
        <w:spacing w:after="0" w:line="264" w:lineRule="exact"/>
        <w:jc w:val="left"/>
        <w:rPr>
          <w:sz w:val="21"/>
        </w:rPr>
        <w:sectPr>
          <w:type w:val="continuous"/>
          <w:pgSz w:w="7200" w:h="11340"/>
          <w:pgMar w:top="1100" w:bottom="0" w:left="660" w:right="540"/>
        </w:sectPr>
      </w:pPr>
    </w:p>
    <w:p>
      <w:pPr>
        <w:tabs>
          <w:tab w:pos="496" w:val="left" w:leader="none"/>
        </w:tabs>
        <w:spacing w:line="235" w:lineRule="exact" w:before="0"/>
        <w:ind w:left="0" w:right="0" w:firstLine="0"/>
        <w:jc w:val="right"/>
        <w:rPr>
          <w:sz w:val="23"/>
        </w:rPr>
      </w:pPr>
      <w:r>
        <w:rPr>
          <w:rFonts w:ascii="Arial"/>
          <w:b/>
          <w:i/>
          <w:w w:val="85"/>
          <w:sz w:val="18"/>
        </w:rPr>
        <w:t>q:,;</w:t>
        <w:tab/>
      </w:r>
      <w:r>
        <w:rPr>
          <w:spacing w:val="-1"/>
          <w:w w:val="90"/>
          <w:sz w:val="23"/>
        </w:rPr>
        <w:t>=</w:t>
      </w:r>
    </w:p>
    <w:p>
      <w:pPr>
        <w:tabs>
          <w:tab w:pos="1581" w:val="left" w:leader="none"/>
          <w:tab w:pos="2243" w:val="left" w:leader="none"/>
        </w:tabs>
        <w:spacing w:line="220" w:lineRule="exact" w:before="0"/>
        <w:ind w:left="349" w:right="0" w:firstLine="0"/>
        <w:jc w:val="left"/>
        <w:rPr>
          <w:sz w:val="13"/>
        </w:rPr>
      </w:pPr>
      <w:r>
        <w:rPr/>
        <w:br w:type="column"/>
      </w:r>
      <w:r>
        <w:rPr>
          <w:b/>
          <w:i/>
          <w:w w:val="95"/>
          <w:sz w:val="20"/>
        </w:rPr>
        <w:t>i Px   </w:t>
      </w:r>
      <w:r>
        <w:rPr>
          <w:b/>
          <w:i/>
          <w:w w:val="110"/>
          <w:sz w:val="13"/>
        </w:rPr>
        <w:t>µz+ </w:t>
      </w:r>
      <w:r>
        <w:rPr>
          <w:b/>
          <w:i/>
          <w:w w:val="95"/>
          <w:sz w:val="13"/>
        </w:rPr>
        <w:t>t</w:t>
      </w:r>
      <w:r>
        <w:rPr>
          <w:b/>
          <w:i/>
          <w:spacing w:val="9"/>
          <w:w w:val="95"/>
          <w:sz w:val="13"/>
        </w:rPr>
        <w:t> </w:t>
      </w:r>
      <w:r>
        <w:rPr>
          <w:b/>
          <w:i/>
          <w:w w:val="145"/>
          <w:sz w:val="13"/>
        </w:rPr>
        <w:t>'</w:t>
      </w:r>
      <w:r>
        <w:rPr>
          <w:b/>
          <w:i/>
          <w:spacing w:val="-27"/>
          <w:w w:val="145"/>
          <w:sz w:val="13"/>
        </w:rPr>
        <w:t> </w:t>
      </w:r>
      <w:r>
        <w:rPr>
          <w:b/>
          <w:i/>
          <w:w w:val="145"/>
          <w:sz w:val="13"/>
        </w:rPr>
        <w:t>l-t</w:t>
        <w:tab/>
      </w:r>
      <w:r>
        <w:rPr>
          <w:rFonts w:ascii="Arial" w:hAnsi="Arial"/>
          <w:b/>
          <w:i/>
          <w:w w:val="95"/>
          <w:sz w:val="18"/>
        </w:rPr>
        <w:t>q </w:t>
      </w:r>
      <w:r>
        <w:rPr>
          <w:rFonts w:ascii="Arial" w:hAnsi="Arial"/>
          <w:b/>
          <w:i/>
          <w:spacing w:val="3"/>
          <w:w w:val="95"/>
          <w:sz w:val="18"/>
        </w:rPr>
        <w:t> </w:t>
      </w:r>
      <w:r>
        <w:rPr>
          <w:b/>
          <w:i/>
          <w:w w:val="110"/>
          <w:sz w:val="13"/>
        </w:rPr>
        <w:t>x</w:t>
      </w:r>
      <w:r>
        <w:rPr>
          <w:b/>
          <w:i/>
          <w:spacing w:val="-13"/>
          <w:w w:val="110"/>
          <w:sz w:val="13"/>
        </w:rPr>
        <w:t> </w:t>
      </w:r>
      <w:r>
        <w:rPr>
          <w:b/>
          <w:i/>
          <w:w w:val="110"/>
          <w:sz w:val="13"/>
        </w:rPr>
        <w:t>H</w:t>
        <w:tab/>
      </w:r>
      <w:r>
        <w:rPr>
          <w:w w:val="145"/>
          <w:sz w:val="13"/>
        </w:rPr>
        <w:t>,</w:t>
      </w:r>
    </w:p>
    <w:p>
      <w:pPr>
        <w:spacing w:line="118" w:lineRule="exact" w:before="0"/>
        <w:ind w:left="151" w:right="0" w:firstLine="0"/>
        <w:jc w:val="left"/>
        <w:rPr>
          <w:rFonts w:ascii="Arial"/>
          <w:sz w:val="11"/>
        </w:rPr>
      </w:pPr>
      <w:r>
        <w:rPr>
          <w:rFonts w:ascii="Arial"/>
          <w:w w:val="109"/>
          <w:sz w:val="11"/>
        </w:rPr>
        <w:t>0</w:t>
      </w:r>
    </w:p>
    <w:p>
      <w:pPr>
        <w:spacing w:after="0" w:line="118" w:lineRule="exact"/>
        <w:jc w:val="left"/>
        <w:rPr>
          <w:rFonts w:ascii="Arial"/>
          <w:sz w:val="11"/>
        </w:rPr>
        <w:sectPr>
          <w:type w:val="continuous"/>
          <w:pgSz w:w="7200" w:h="11340"/>
          <w:pgMar w:top="1100" w:bottom="0" w:left="660" w:right="540"/>
          <w:cols w:num="2" w:equalWidth="0">
            <w:col w:w="2155" w:space="40"/>
            <w:col w:w="3805"/>
          </w:cols>
        </w:sectPr>
      </w:pPr>
    </w:p>
    <w:p>
      <w:pPr>
        <w:pStyle w:val="BodyText"/>
        <w:spacing w:line="254" w:lineRule="auto" w:before="114"/>
        <w:ind w:left="110" w:right="241"/>
      </w:pPr>
      <w:r>
        <w:rPr>
          <w:w w:val="102"/>
        </w:rPr>
        <w:t>where </w:t>
      </w:r>
      <w:r>
        <w:rPr>
          <w:i/>
          <w:w w:val="86"/>
          <w:sz w:val="16"/>
        </w:rPr>
        <w:t>µ</w:t>
      </w:r>
      <w:r>
        <w:rPr>
          <w:rFonts w:ascii="Arial" w:hAnsi="Arial"/>
          <w:i/>
          <w:w w:val="86"/>
          <w:position w:val="9"/>
          <w:sz w:val="11"/>
        </w:rPr>
        <w:t>11</w:t>
      </w:r>
      <w:r>
        <w:rPr>
          <w:rFonts w:ascii="Arial" w:hAnsi="Arial"/>
          <w:i/>
          <w:w w:val="86"/>
          <w:sz w:val="14"/>
        </w:rPr>
        <w:t>&gt; </w:t>
      </w:r>
      <w:r>
        <w:rPr>
          <w:w w:val="99"/>
        </w:rPr>
        <w:t>is </w:t>
      </w:r>
      <w:r>
        <w:rPr>
          <w:w w:val="111"/>
        </w:rPr>
        <w:t>the </w:t>
      </w:r>
      <w:r>
        <w:rPr>
          <w:w w:val="101"/>
        </w:rPr>
        <w:t>force </w:t>
      </w:r>
      <w:r>
        <w:rPr>
          <w:w w:val="89"/>
        </w:rPr>
        <w:t>of </w:t>
      </w:r>
      <w:r>
        <w:rPr>
          <w:w w:val="104"/>
        </w:rPr>
        <w:t>decrement </w:t>
      </w:r>
      <w:r>
        <w:rPr>
          <w:w w:val="100"/>
        </w:rPr>
        <w:t>for </w:t>
      </w:r>
      <w:r>
        <w:rPr>
          <w:w w:val="103"/>
        </w:rPr>
        <w:t>cause </w:t>
      </w:r>
      <w:r>
        <w:rPr>
          <w:w w:val="91"/>
        </w:rPr>
        <w:t>(h </w:t>
      </w:r>
      <w:r>
        <w:rPr>
          <w:w w:val="111"/>
        </w:rPr>
        <w:t>). </w:t>
      </w:r>
      <w:r>
        <w:rPr>
          <w:w w:val="99"/>
        </w:rPr>
        <w:t>Using </w:t>
      </w:r>
      <w:r>
        <w:rPr>
          <w:w w:val="107"/>
        </w:rPr>
        <w:t>the </w:t>
      </w:r>
      <w:r>
        <w:rPr>
          <w:w w:val="103"/>
        </w:rPr>
        <w:t>Bal­ </w:t>
      </w:r>
      <w:r>
        <w:rPr>
          <w:w w:val="105"/>
        </w:rPr>
        <w:t>ducci hypothcsis,</w:t>
      </w:r>
    </w:p>
    <w:p>
      <w:pPr>
        <w:spacing w:before="78"/>
        <w:ind w:left="80" w:right="87" w:firstLine="0"/>
        <w:jc w:val="center"/>
        <w:rPr>
          <w:i/>
          <w:sz w:val="20"/>
        </w:rPr>
      </w:pPr>
      <w:r>
        <w:rPr>
          <w:b/>
          <w:i/>
          <w:w w:val="90"/>
          <w:sz w:val="20"/>
        </w:rPr>
        <w:t>1-t </w:t>
      </w:r>
      <w:r>
        <w:rPr>
          <w:b/>
          <w:i/>
          <w:w w:val="85"/>
          <w:sz w:val="20"/>
        </w:rPr>
        <w:t>( </w:t>
      </w:r>
      <w:r>
        <w:rPr>
          <w:b/>
          <w:i/>
          <w:w w:val="90"/>
          <w:sz w:val="20"/>
        </w:rPr>
        <w:t>hq )x+ </w:t>
      </w:r>
      <w:r>
        <w:rPr>
          <w:b/>
          <w:i/>
          <w:w w:val="85"/>
          <w:sz w:val="20"/>
        </w:rPr>
        <w:t>t  </w:t>
      </w:r>
      <w:r>
        <w:rPr>
          <w:rFonts w:ascii="Arial" w:hAnsi="Arial"/>
          <w:w w:val="90"/>
          <w:sz w:val="24"/>
        </w:rPr>
        <w:t>=: </w:t>
      </w:r>
      <w:r>
        <w:rPr>
          <w:rFonts w:ascii="Arial" w:hAnsi="Arial"/>
          <w:b/>
          <w:sz w:val="19"/>
        </w:rPr>
        <w:t>(1 </w:t>
      </w:r>
      <w:r>
        <w:rPr>
          <w:rFonts w:ascii="Arial" w:hAnsi="Arial"/>
          <w:w w:val="235"/>
          <w:sz w:val="19"/>
        </w:rPr>
        <w:t>-</w:t>
      </w:r>
      <w:r>
        <w:rPr>
          <w:rFonts w:ascii="Arial" w:hAnsi="Arial"/>
          <w:spacing w:val="-64"/>
          <w:w w:val="235"/>
          <w:sz w:val="19"/>
        </w:rPr>
        <w:t> </w:t>
      </w:r>
      <w:r>
        <w:rPr>
          <w:b/>
          <w:i/>
          <w:w w:val="90"/>
          <w:sz w:val="20"/>
        </w:rPr>
        <w:t>l </w:t>
      </w:r>
      <w:r>
        <w:rPr>
          <w:b/>
          <w:i/>
          <w:w w:val="85"/>
          <w:sz w:val="20"/>
        </w:rPr>
        <w:t>) </w:t>
      </w:r>
      <w:r>
        <w:rPr>
          <w:sz w:val="20"/>
        </w:rPr>
        <w:t>· </w:t>
      </w:r>
      <w:r>
        <w:rPr>
          <w:i/>
          <w:w w:val="90"/>
          <w:sz w:val="20"/>
        </w:rPr>
        <w:t>( hq )x </w:t>
      </w:r>
      <w:r>
        <w:rPr>
          <w:i/>
          <w:sz w:val="20"/>
        </w:rPr>
        <w:t>,</w:t>
      </w:r>
    </w:p>
    <w:p>
      <w:pPr>
        <w:pStyle w:val="BodyText"/>
        <w:spacing w:before="111"/>
        <w:ind w:right="26"/>
        <w:jc w:val="center"/>
      </w:pPr>
      <w:r>
        <w:rPr/>
        <w:t>and assuming a uniforrn  distribution  of  primary  dccremcn ts ¡.;o th nt</w:t>
      </w:r>
    </w:p>
    <w:p>
      <w:pPr>
        <w:pStyle w:val="BodyText"/>
        <w:spacing w:before="6"/>
        <w:rPr>
          <w:sz w:val="17"/>
        </w:rPr>
      </w:pPr>
      <w:r>
        <w:rPr/>
        <w:drawing>
          <wp:anchor distT="0" distB="0" distL="0" distR="0" allowOverlap="1" layoutInCell="1" locked="0" behindDoc="0" simplePos="0" relativeHeight="23824">
            <wp:simplePos x="0" y="0"/>
            <wp:positionH relativeFrom="page">
              <wp:posOffset>1847088</wp:posOffset>
            </wp:positionH>
            <wp:positionV relativeFrom="paragraph">
              <wp:posOffset>153122</wp:posOffset>
            </wp:positionV>
            <wp:extent cx="902588" cy="306705"/>
            <wp:effectExtent l="0" t="0" r="0" b="0"/>
            <wp:wrapTopAndBottom/>
            <wp:docPr id="715" name="image364.png" descr=""/>
            <wp:cNvGraphicFramePr>
              <a:graphicFrameLocks noChangeAspect="1"/>
            </wp:cNvGraphicFramePr>
            <a:graphic>
              <a:graphicData uri="http://schemas.openxmlformats.org/drawingml/2006/picture">
                <pic:pic>
                  <pic:nvPicPr>
                    <pic:cNvPr id="716" name="image364.png"/>
                    <pic:cNvPicPr/>
                  </pic:nvPicPr>
                  <pic:blipFill>
                    <a:blip r:embed="rId368" cstate="print"/>
                    <a:stretch>
                      <a:fillRect/>
                    </a:stretch>
                  </pic:blipFill>
                  <pic:spPr>
                    <a:xfrm>
                      <a:off x="0" y="0"/>
                      <a:ext cx="902588" cy="306705"/>
                    </a:xfrm>
                    <a:prstGeom prst="rect">
                      <a:avLst/>
                    </a:prstGeom>
                  </pic:spPr>
                </pic:pic>
              </a:graphicData>
            </a:graphic>
          </wp:anchor>
        </w:drawing>
      </w:r>
    </w:p>
    <w:p>
      <w:pPr>
        <w:spacing w:after="0"/>
        <w:rPr>
          <w:sz w:val="17"/>
        </w:rPr>
        <w:sectPr>
          <w:type w:val="continuous"/>
          <w:pgSz w:w="7200" w:h="11340"/>
          <w:pgMar w:top="1100" w:bottom="0" w:left="660" w:right="540"/>
        </w:sectPr>
      </w:pPr>
    </w:p>
    <w:p>
      <w:pPr>
        <w:tabs>
          <w:tab w:pos="1314" w:val="left" w:leader="none"/>
          <w:tab w:pos="5271" w:val="left" w:leader="none"/>
        </w:tabs>
        <w:spacing w:before="47"/>
        <w:ind w:left="144" w:right="0" w:firstLine="0"/>
        <w:jc w:val="left"/>
        <w:rPr>
          <w:sz w:val="20"/>
        </w:rPr>
      </w:pPr>
      <w:r>
        <w:rPr>
          <w:rFonts w:ascii="Courier New"/>
          <w:spacing w:val="-40"/>
          <w:w w:val="105"/>
          <w:sz w:val="22"/>
        </w:rPr>
        <w:t>2</w:t>
      </w:r>
      <w:r>
        <w:rPr>
          <w:rFonts w:ascii="Courier New"/>
          <w:spacing w:val="-50"/>
          <w:w w:val="110"/>
          <w:sz w:val="22"/>
        </w:rPr>
        <w:t>9</w:t>
      </w:r>
      <w:r>
        <w:rPr>
          <w:rFonts w:ascii="Courier New"/>
          <w:w w:val="110"/>
          <w:sz w:val="22"/>
        </w:rPr>
        <w:t>4</w:t>
      </w:r>
      <w:r>
        <w:rPr>
          <w:rFonts w:ascii="Courier New"/>
          <w:sz w:val="22"/>
        </w:rPr>
        <w:tab/>
      </w:r>
      <w:r>
        <w:rPr>
          <w:rFonts w:ascii="Courier New"/>
          <w:w w:val="105"/>
          <w:sz w:val="17"/>
        </w:rPr>
        <w:t>TABL</w:t>
      </w:r>
      <w:r>
        <w:rPr>
          <w:rFonts w:ascii="Courier New"/>
          <w:spacing w:val="-12"/>
          <w:w w:val="105"/>
          <w:sz w:val="17"/>
        </w:rPr>
        <w:t>E</w:t>
      </w:r>
      <w:r>
        <w:rPr>
          <w:rFonts w:ascii="Courier New"/>
          <w:w w:val="108"/>
          <w:sz w:val="17"/>
        </w:rPr>
        <w:t>S</w:t>
      </w:r>
      <w:r>
        <w:rPr>
          <w:rFonts w:ascii="Courier New"/>
          <w:spacing w:val="-26"/>
          <w:sz w:val="17"/>
        </w:rPr>
        <w:t> </w:t>
      </w:r>
      <w:r>
        <w:rPr>
          <w:rFonts w:ascii="Courier New"/>
          <w:w w:val="106"/>
          <w:sz w:val="17"/>
        </w:rPr>
        <w:t>WITH</w:t>
      </w:r>
      <w:r>
        <w:rPr>
          <w:rFonts w:ascii="Courier New"/>
          <w:spacing w:val="1"/>
          <w:sz w:val="17"/>
        </w:rPr>
        <w:t> </w:t>
      </w:r>
      <w:r>
        <w:rPr>
          <w:rFonts w:ascii="Courier New"/>
          <w:w w:val="105"/>
          <w:sz w:val="17"/>
        </w:rPr>
        <w:t>SECONDARY</w:t>
      </w:r>
      <w:r>
        <w:rPr>
          <w:rFonts w:ascii="Courier New"/>
          <w:spacing w:val="-14"/>
          <w:sz w:val="17"/>
        </w:rPr>
        <w:t> </w:t>
      </w:r>
      <w:r>
        <w:rPr>
          <w:rFonts w:ascii="Courier New"/>
          <w:w w:val="110"/>
          <w:sz w:val="17"/>
        </w:rPr>
        <w:t>DECREMEN</w:t>
      </w:r>
      <w:r>
        <w:rPr>
          <w:rFonts w:ascii="Courier New"/>
          <w:spacing w:val="-8"/>
          <w:w w:val="110"/>
          <w:sz w:val="17"/>
        </w:rPr>
        <w:t>T</w:t>
      </w:r>
      <w:r>
        <w:rPr>
          <w:rFonts w:ascii="Courier New"/>
          <w:w w:val="113"/>
          <w:sz w:val="17"/>
        </w:rPr>
        <w:t>S</w:t>
      </w:r>
      <w:r>
        <w:rPr>
          <w:rFonts w:ascii="Courier New"/>
          <w:sz w:val="17"/>
        </w:rPr>
        <w:tab/>
      </w:r>
      <w:r>
        <w:rPr>
          <w:rFonts w:ascii="Courier New"/>
          <w:spacing w:val="-90"/>
          <w:w w:val="136"/>
          <w:sz w:val="17"/>
        </w:rPr>
        <w:t>[</w:t>
      </w:r>
      <w:r>
        <w:rPr>
          <w:rFonts w:ascii="Courier New"/>
          <w:w w:val="111"/>
          <w:sz w:val="17"/>
        </w:rPr>
        <w:t>C</w:t>
      </w:r>
      <w:r>
        <w:rPr>
          <w:rFonts w:ascii="Courier New"/>
          <w:spacing w:val="-2"/>
          <w:w w:val="111"/>
          <w:sz w:val="17"/>
        </w:rPr>
        <w:t>H</w:t>
      </w:r>
      <w:r>
        <w:rPr>
          <w:rFonts w:ascii="Courier New"/>
          <w:w w:val="124"/>
          <w:sz w:val="17"/>
        </w:rPr>
        <w:t>.</w:t>
      </w:r>
      <w:r>
        <w:rPr>
          <w:rFonts w:ascii="Courier New"/>
          <w:spacing w:val="-72"/>
          <w:sz w:val="17"/>
        </w:rPr>
        <w:t> </w:t>
      </w:r>
      <w:r>
        <w:rPr>
          <w:spacing w:val="-36"/>
          <w:w w:val="122"/>
          <w:sz w:val="20"/>
        </w:rPr>
        <w:t>1</w:t>
      </w:r>
      <w:r>
        <w:rPr>
          <w:w w:val="105"/>
          <w:sz w:val="20"/>
        </w:rPr>
        <w:t>5</w:t>
      </w:r>
    </w:p>
    <w:p>
      <w:pPr>
        <w:pStyle w:val="BodyText"/>
        <w:spacing w:before="6"/>
        <w:rPr>
          <w:sz w:val="18"/>
        </w:rPr>
      </w:pPr>
    </w:p>
    <w:p>
      <w:pPr>
        <w:spacing w:before="0"/>
        <w:ind w:left="141" w:right="0" w:firstLine="0"/>
        <w:jc w:val="left"/>
        <w:rPr>
          <w:sz w:val="21"/>
        </w:rPr>
      </w:pPr>
      <w:r>
        <w:rPr>
          <w:sz w:val="21"/>
        </w:rPr>
        <w:t>we have</w:t>
      </w:r>
    </w:p>
    <w:p>
      <w:pPr>
        <w:spacing w:after="0"/>
        <w:jc w:val="left"/>
        <w:rPr>
          <w:sz w:val="21"/>
        </w:rPr>
        <w:sectPr>
          <w:pgSz w:w="7200" w:h="11340"/>
          <w:pgMar w:top="500" w:bottom="280" w:left="640" w:right="560"/>
        </w:sectPr>
      </w:pPr>
    </w:p>
    <w:p>
      <w:pPr>
        <w:spacing w:line="237" w:lineRule="exact" w:before="189"/>
        <w:ind w:left="1559" w:right="-18" w:firstLine="0"/>
        <w:jc w:val="left"/>
        <w:rPr>
          <w:i/>
          <w:sz w:val="12"/>
        </w:rPr>
      </w:pPr>
      <w:r>
        <w:rPr>
          <w:rFonts w:ascii="Arial"/>
          <w:i/>
          <w:spacing w:val="2"/>
          <w:sz w:val="18"/>
        </w:rPr>
        <w:t>q;2'h) </w:t>
      </w:r>
      <w:r>
        <w:rPr>
          <w:rFonts w:ascii="Arial"/>
          <w:sz w:val="26"/>
        </w:rPr>
        <w:t>=:</w:t>
      </w:r>
      <w:r>
        <w:rPr>
          <w:rFonts w:ascii="Arial"/>
          <w:spacing w:val="-58"/>
          <w:sz w:val="26"/>
        </w:rPr>
        <w:t> </w:t>
      </w:r>
      <w:r>
        <w:rPr>
          <w:i/>
          <w:w w:val="235"/>
          <w:position w:val="-2"/>
          <w:sz w:val="12"/>
        </w:rPr>
        <w:t>[</w:t>
      </w:r>
    </w:p>
    <w:p>
      <w:pPr>
        <w:pStyle w:val="BodyText"/>
        <w:spacing w:before="7"/>
        <w:rPr>
          <w:i/>
          <w:sz w:val="10"/>
        </w:rPr>
      </w:pPr>
      <w:r>
        <w:rPr/>
        <w:br w:type="column"/>
      </w:r>
      <w:r>
        <w:rPr>
          <w:i/>
          <w:sz w:val="10"/>
        </w:rPr>
      </w:r>
    </w:p>
    <w:p>
      <w:pPr>
        <w:spacing w:line="103" w:lineRule="exact" w:before="1"/>
        <w:ind w:left="1" w:right="0" w:firstLine="0"/>
        <w:jc w:val="left"/>
        <w:rPr>
          <w:rFonts w:ascii="Arial"/>
          <w:i/>
          <w:sz w:val="12"/>
        </w:rPr>
      </w:pPr>
      <w:r>
        <w:rPr>
          <w:i/>
          <w:w w:val="110"/>
          <w:sz w:val="12"/>
        </w:rPr>
        <w:t>1  </w:t>
      </w:r>
      <w:r>
        <w:rPr>
          <w:rFonts w:ascii="Arial"/>
          <w:i/>
          <w:w w:val="110"/>
          <w:sz w:val="12"/>
        </w:rPr>
        <w:t>d(h)</w:t>
      </w:r>
    </w:p>
    <w:p>
      <w:pPr>
        <w:spacing w:line="201" w:lineRule="exact" w:before="0"/>
        <w:ind w:left="189" w:right="0" w:firstLine="0"/>
        <w:jc w:val="left"/>
        <w:rPr>
          <w:rFonts w:ascii="Arial" w:hAnsi="Arial"/>
          <w:i/>
          <w:sz w:val="18"/>
        </w:rPr>
      </w:pPr>
      <w:r>
        <w:rPr>
          <w:rFonts w:ascii="Arial" w:hAnsi="Arial"/>
          <w:spacing w:val="-7"/>
          <w:w w:val="190"/>
          <w:sz w:val="26"/>
        </w:rPr>
        <w:t>(</w:t>
      </w:r>
      <w:r>
        <w:rPr>
          <w:rFonts w:ascii="Arial" w:hAnsi="Arial"/>
          <w:w w:val="56"/>
          <w:sz w:val="26"/>
        </w:rPr>
        <w:t>)</w:t>
      </w:r>
      <w:r>
        <w:rPr>
          <w:rFonts w:ascii="Arial" w:hAnsi="Arial"/>
          <w:spacing w:val="-14"/>
          <w:sz w:val="26"/>
        </w:rPr>
        <w:t> </w:t>
      </w:r>
      <w:r>
        <w:rPr>
          <w:rFonts w:ascii="Arial" w:hAnsi="Arial"/>
          <w:w w:val="130"/>
          <w:sz w:val="19"/>
        </w:rPr>
        <w:t>'</w:t>
      </w:r>
      <w:r>
        <w:rPr>
          <w:rFonts w:ascii="Arial" w:hAnsi="Arial"/>
          <w:spacing w:val="-18"/>
          <w:sz w:val="19"/>
        </w:rPr>
        <w:t> </w:t>
      </w:r>
      <w:r>
        <w:rPr>
          <w:rFonts w:ascii="Arial" w:hAnsi="Arial"/>
          <w:w w:val="129"/>
          <w:sz w:val="19"/>
        </w:rPr>
        <w:t>(</w:t>
      </w:r>
      <w:r>
        <w:rPr>
          <w:rFonts w:ascii="Arial" w:hAnsi="Arial"/>
          <w:w w:val="129"/>
          <w:sz w:val="19"/>
        </w:rPr>
        <w:t>1</w:t>
      </w:r>
      <w:r>
        <w:rPr>
          <w:rFonts w:ascii="Arial" w:hAnsi="Arial"/>
          <w:spacing w:val="1"/>
          <w:sz w:val="19"/>
        </w:rPr>
        <w:t> </w:t>
      </w:r>
      <w:r>
        <w:rPr>
          <w:rFonts w:ascii="Arial" w:hAnsi="Arial"/>
          <w:w w:val="269"/>
          <w:sz w:val="19"/>
        </w:rPr>
        <w:t>-</w:t>
      </w:r>
      <w:r>
        <w:rPr>
          <w:rFonts w:ascii="Arial" w:hAnsi="Arial"/>
          <w:spacing w:val="14"/>
          <w:sz w:val="19"/>
        </w:rPr>
        <w:t> </w:t>
      </w:r>
      <w:r>
        <w:rPr>
          <w:rFonts w:ascii="Arial" w:hAnsi="Arial"/>
          <w:i/>
          <w:w w:val="110"/>
          <w:sz w:val="18"/>
        </w:rPr>
        <w:t>t</w:t>
      </w:r>
      <w:r>
        <w:rPr>
          <w:rFonts w:ascii="Arial" w:hAnsi="Arial"/>
          <w:i/>
          <w:spacing w:val="-30"/>
          <w:sz w:val="18"/>
        </w:rPr>
        <w:t> </w:t>
      </w:r>
      <w:r>
        <w:rPr>
          <w:rFonts w:ascii="Arial" w:hAnsi="Arial"/>
          <w:i/>
          <w:w w:val="82"/>
          <w:sz w:val="18"/>
        </w:rPr>
        <w:t>)</w:t>
      </w:r>
      <w:r>
        <w:rPr>
          <w:rFonts w:ascii="Arial" w:hAnsi="Arial"/>
          <w:i/>
          <w:spacing w:val="8"/>
          <w:sz w:val="18"/>
        </w:rPr>
        <w:t> </w:t>
      </w:r>
      <w:r>
        <w:rPr>
          <w:rFonts w:ascii="Arial" w:hAnsi="Arial"/>
          <w:w w:val="62"/>
          <w:sz w:val="18"/>
        </w:rPr>
        <w:t>•</w:t>
      </w:r>
      <w:r>
        <w:rPr>
          <w:rFonts w:ascii="Arial" w:hAnsi="Arial"/>
          <w:spacing w:val="-4"/>
          <w:sz w:val="18"/>
        </w:rPr>
        <w:t> </w:t>
      </w:r>
      <w:r>
        <w:rPr>
          <w:rFonts w:ascii="Arial" w:hAnsi="Arial"/>
          <w:b/>
          <w:i/>
          <w:w w:val="69"/>
          <w:sz w:val="19"/>
        </w:rPr>
        <w:t>(</w:t>
      </w:r>
      <w:r>
        <w:rPr>
          <w:rFonts w:ascii="Arial" w:hAnsi="Arial"/>
          <w:b/>
          <w:i/>
          <w:spacing w:val="-18"/>
          <w:sz w:val="19"/>
        </w:rPr>
        <w:t> </w:t>
      </w:r>
      <w:r>
        <w:rPr>
          <w:rFonts w:ascii="Arial" w:hAnsi="Arial"/>
          <w:b/>
          <w:i/>
          <w:w w:val="79"/>
          <w:sz w:val="19"/>
        </w:rPr>
        <w:t>hq</w:t>
      </w:r>
      <w:r>
        <w:rPr>
          <w:rFonts w:ascii="Arial" w:hAnsi="Arial"/>
          <w:b/>
          <w:i/>
          <w:spacing w:val="-19"/>
          <w:sz w:val="19"/>
        </w:rPr>
        <w:t> </w:t>
      </w:r>
      <w:r>
        <w:rPr>
          <w:b/>
          <w:w w:val="104"/>
          <w:sz w:val="19"/>
        </w:rPr>
        <w:t>)</w:t>
      </w:r>
      <w:r>
        <w:rPr>
          <w:b/>
          <w:w w:val="104"/>
          <w:sz w:val="19"/>
        </w:rPr>
        <w:t>s</w:t>
      </w:r>
      <w:r>
        <w:rPr>
          <w:b/>
          <w:spacing w:val="10"/>
          <w:sz w:val="19"/>
        </w:rPr>
        <w:t> </w:t>
      </w:r>
      <w:r>
        <w:rPr>
          <w:rFonts w:ascii="Arial" w:hAnsi="Arial"/>
          <w:i/>
          <w:w w:val="109"/>
          <w:sz w:val="18"/>
        </w:rPr>
        <w:t>dt</w:t>
      </w:r>
    </w:p>
    <w:p>
      <w:pPr>
        <w:spacing w:after="0" w:line="201" w:lineRule="exact"/>
        <w:jc w:val="left"/>
        <w:rPr>
          <w:rFonts w:ascii="Arial" w:hAnsi="Arial"/>
          <w:sz w:val="18"/>
        </w:rPr>
        <w:sectPr>
          <w:type w:val="continuous"/>
          <w:pgSz w:w="7200" w:h="11340"/>
          <w:pgMar w:top="1100" w:bottom="0" w:left="640" w:right="560"/>
          <w:cols w:num="2" w:equalWidth="0">
            <w:col w:w="2418" w:space="40"/>
            <w:col w:w="3542"/>
          </w:cols>
        </w:sectPr>
      </w:pPr>
    </w:p>
    <w:p>
      <w:pPr>
        <w:spacing w:line="214" w:lineRule="exact" w:before="0"/>
        <w:ind w:left="2380" w:right="0" w:firstLine="0"/>
        <w:jc w:val="left"/>
        <w:rPr>
          <w:b/>
          <w:i/>
          <w:sz w:val="21"/>
        </w:rPr>
      </w:pPr>
      <w:r>
        <w:rPr>
          <w:rFonts w:ascii="Arial"/>
          <w:b/>
          <w:w w:val="90"/>
          <w:sz w:val="11"/>
        </w:rPr>
        <w:t>O   </w:t>
      </w:r>
      <w:r>
        <w:rPr>
          <w:b/>
          <w:i/>
          <w:w w:val="90"/>
          <w:sz w:val="21"/>
        </w:rPr>
        <w:t>lz</w:t>
      </w:r>
    </w:p>
    <w:p>
      <w:pPr>
        <w:spacing w:line="98" w:lineRule="exact" w:before="161"/>
        <w:ind w:left="98" w:right="780" w:firstLine="0"/>
        <w:jc w:val="center"/>
        <w:rPr>
          <w:rFonts w:ascii="Arial"/>
          <w:i/>
          <w:sz w:val="11"/>
        </w:rPr>
      </w:pPr>
      <w:r>
        <w:rPr>
          <w:rFonts w:ascii="Arial"/>
          <w:i/>
          <w:spacing w:val="-13"/>
          <w:w w:val="290"/>
          <w:sz w:val="11"/>
        </w:rPr>
        <w:t>d</w:t>
      </w:r>
      <w:r>
        <w:rPr>
          <w:rFonts w:ascii="Arial"/>
          <w:i/>
          <w:spacing w:val="14"/>
          <w:w w:val="110"/>
          <w:sz w:val="11"/>
        </w:rPr>
        <w:t>h</w:t>
      </w:r>
      <w:r>
        <w:rPr>
          <w:rFonts w:ascii="Arial"/>
          <w:i/>
          <w:w w:val="87"/>
          <w:sz w:val="11"/>
        </w:rPr>
        <w:t>)</w:t>
      </w:r>
    </w:p>
    <w:p>
      <w:pPr>
        <w:spacing w:line="248" w:lineRule="exact" w:before="0"/>
        <w:ind w:left="98" w:right="644" w:firstLine="0"/>
        <w:jc w:val="center"/>
        <w:rPr>
          <w:sz w:val="19"/>
        </w:rPr>
      </w:pPr>
      <w:r>
        <w:rPr/>
        <w:pict>
          <v:line style="position:absolute;mso-position-horizontal-relative:page;mso-position-vertical-relative:paragraph;z-index:23896" from="148.679993pt,13.685162pt" to="171.179993pt,13.685162pt" stroked="true" strokeweight="7.74pt" strokecolor="#000000">
            <w10:wrap type="none"/>
          </v:line>
        </w:pict>
      </w:r>
      <w:r>
        <w:rPr>
          <w:w w:val="100"/>
          <w:sz w:val="24"/>
        </w:rPr>
        <w:t>=</w:t>
      </w:r>
      <w:r>
        <w:rPr>
          <w:spacing w:val="-5"/>
          <w:sz w:val="24"/>
        </w:rPr>
        <w:t> </w:t>
      </w:r>
      <w:r>
        <w:rPr>
          <w:rFonts w:ascii="Arial" w:hAnsi="Arial"/>
          <w:spacing w:val="-137"/>
          <w:w w:val="314"/>
          <w:sz w:val="24"/>
        </w:rPr>
        <w:t>!</w:t>
      </w:r>
      <w:r>
        <w:rPr>
          <w:rFonts w:ascii="Arial" w:hAnsi="Arial"/>
          <w:w w:val="111"/>
          <w:sz w:val="24"/>
        </w:rPr>
        <w:t>·w</w:t>
      </w:r>
      <w:r>
        <w:rPr>
          <w:rFonts w:ascii="Arial" w:hAnsi="Arial"/>
          <w:w w:val="111"/>
          <w:sz w:val="24"/>
        </w:rPr>
        <w:t>)</w:t>
      </w:r>
      <w:r>
        <w:rPr>
          <w:rFonts w:ascii="Arial" w:hAnsi="Arial"/>
          <w:spacing w:val="-30"/>
          <w:sz w:val="24"/>
        </w:rPr>
        <w:t> </w:t>
      </w:r>
      <w:r>
        <w:rPr>
          <w:rFonts w:ascii="Arial" w:hAnsi="Arial"/>
          <w:spacing w:val="14"/>
          <w:w w:val="102"/>
          <w:sz w:val="24"/>
        </w:rPr>
        <w:t>.</w:t>
      </w:r>
      <w:r>
        <w:rPr>
          <w:w w:val="95"/>
          <w:sz w:val="19"/>
        </w:rPr>
        <w:t>(</w:t>
      </w:r>
      <w:r>
        <w:rPr>
          <w:spacing w:val="-30"/>
          <w:sz w:val="19"/>
        </w:rPr>
        <w:t> </w:t>
      </w:r>
      <w:r>
        <w:rPr>
          <w:w w:val="95"/>
          <w:sz w:val="19"/>
        </w:rPr>
        <w:t>hq</w:t>
      </w:r>
      <w:r>
        <w:rPr>
          <w:spacing w:val="-9"/>
          <w:sz w:val="19"/>
        </w:rPr>
        <w:t> </w:t>
      </w:r>
      <w:r>
        <w:rPr>
          <w:w w:val="94"/>
          <w:sz w:val="19"/>
        </w:rPr>
        <w:t>)</w:t>
      </w:r>
      <w:r>
        <w:rPr>
          <w:w w:val="94"/>
          <w:sz w:val="19"/>
        </w:rPr>
        <w:t>z</w:t>
      </w:r>
    </w:p>
    <w:p>
      <w:pPr>
        <w:tabs>
          <w:tab w:pos="5379" w:val="left" w:leader="none"/>
        </w:tabs>
        <w:spacing w:before="207"/>
        <w:ind w:left="2067" w:right="0" w:firstLine="0"/>
        <w:jc w:val="left"/>
        <w:rPr>
          <w:sz w:val="20"/>
        </w:rPr>
      </w:pPr>
      <w:r>
        <w:rPr>
          <w:w w:val="100"/>
          <w:position w:val="1"/>
          <w:sz w:val="24"/>
        </w:rPr>
        <w:t>=</w:t>
      </w:r>
      <w:r>
        <w:rPr>
          <w:position w:val="1"/>
          <w:sz w:val="24"/>
        </w:rPr>
        <w:t> </w:t>
      </w:r>
      <w:r>
        <w:rPr>
          <w:spacing w:val="-19"/>
          <w:position w:val="1"/>
          <w:sz w:val="24"/>
        </w:rPr>
        <w:t> </w:t>
      </w:r>
      <w:r>
        <w:rPr>
          <w:rFonts w:ascii="Arial" w:hAnsi="Arial"/>
          <w:b/>
          <w:i/>
          <w:w w:val="150"/>
          <w:position w:val="1"/>
          <w:sz w:val="18"/>
        </w:rPr>
        <w:t>!</w:t>
      </w:r>
      <w:r>
        <w:rPr>
          <w:rFonts w:ascii="Arial" w:hAnsi="Arial"/>
          <w:b/>
          <w:i/>
          <w:spacing w:val="17"/>
          <w:w w:val="150"/>
          <w:position w:val="1"/>
          <w:sz w:val="18"/>
        </w:rPr>
        <w:t>·</w:t>
      </w:r>
      <w:r>
        <w:rPr>
          <w:rFonts w:ascii="Arial" w:hAnsi="Arial"/>
          <w:b/>
          <w:i/>
          <w:spacing w:val="-15"/>
          <w:w w:val="150"/>
          <w:position w:val="1"/>
          <w:sz w:val="18"/>
        </w:rPr>
        <w:t>q</w:t>
      </w:r>
      <w:r>
        <w:rPr>
          <w:rFonts w:ascii="Arial" w:hAnsi="Arial"/>
          <w:b/>
          <w:i/>
          <w:spacing w:val="16"/>
          <w:w w:val="59"/>
          <w:position w:val="1"/>
          <w:sz w:val="18"/>
        </w:rPr>
        <w:t>h</w:t>
      </w:r>
      <w:r>
        <w:rPr>
          <w:rFonts w:ascii="Arial" w:hAnsi="Arial"/>
          <w:b/>
          <w:i/>
          <w:w w:val="46"/>
          <w:position w:val="1"/>
          <w:sz w:val="18"/>
        </w:rPr>
        <w:t>)</w:t>
      </w:r>
      <w:r>
        <w:rPr>
          <w:rFonts w:ascii="Arial" w:hAnsi="Arial"/>
          <w:b/>
          <w:i/>
          <w:spacing w:val="11"/>
          <w:position w:val="1"/>
          <w:sz w:val="18"/>
        </w:rPr>
        <w:t> </w:t>
      </w:r>
      <w:r>
        <w:rPr>
          <w:rFonts w:ascii="Arial" w:hAnsi="Arial"/>
          <w:b/>
          <w:i/>
          <w:w w:val="81"/>
          <w:position w:val="1"/>
          <w:sz w:val="18"/>
        </w:rPr>
        <w:t>·</w:t>
      </w:r>
      <w:r>
        <w:rPr>
          <w:rFonts w:ascii="Arial" w:hAnsi="Arial"/>
          <w:b/>
          <w:i/>
          <w:spacing w:val="1"/>
          <w:position w:val="1"/>
          <w:sz w:val="18"/>
        </w:rPr>
        <w:t> </w:t>
      </w:r>
      <w:r>
        <w:rPr>
          <w:rFonts w:ascii="Arial" w:hAnsi="Arial"/>
          <w:b/>
          <w:i/>
          <w:w w:val="87"/>
          <w:position w:val="1"/>
          <w:sz w:val="18"/>
        </w:rPr>
        <w:t>(</w:t>
      </w:r>
      <w:r>
        <w:rPr>
          <w:rFonts w:ascii="Arial" w:hAnsi="Arial"/>
          <w:b/>
          <w:i/>
          <w:w w:val="87"/>
          <w:position w:val="1"/>
          <w:sz w:val="18"/>
        </w:rPr>
        <w:t>hq</w:t>
      </w:r>
      <w:r>
        <w:rPr>
          <w:rFonts w:ascii="Arial" w:hAnsi="Arial"/>
          <w:b/>
          <w:i/>
          <w:spacing w:val="-23"/>
          <w:position w:val="1"/>
          <w:sz w:val="18"/>
        </w:rPr>
        <w:t> </w:t>
      </w:r>
      <w:r>
        <w:rPr>
          <w:rFonts w:ascii="Arial" w:hAnsi="Arial"/>
          <w:b/>
          <w:i/>
          <w:w w:val="77"/>
          <w:position w:val="1"/>
          <w:sz w:val="18"/>
        </w:rPr>
        <w:t>)z</w:t>
      </w:r>
      <w:r>
        <w:rPr>
          <w:rFonts w:ascii="Arial" w:hAnsi="Arial"/>
          <w:b/>
          <w:i/>
          <w:position w:val="1"/>
          <w:sz w:val="18"/>
        </w:rPr>
        <w:t> </w:t>
      </w:r>
      <w:r>
        <w:rPr>
          <w:rFonts w:ascii="Arial" w:hAnsi="Arial"/>
          <w:b/>
          <w:i/>
          <w:spacing w:val="-16"/>
          <w:position w:val="1"/>
          <w:sz w:val="18"/>
        </w:rPr>
        <w:t> </w:t>
      </w:r>
      <w:r>
        <w:rPr>
          <w:rFonts w:ascii="Arial" w:hAnsi="Arial"/>
          <w:b/>
          <w:i/>
          <w:w w:val="76"/>
          <w:position w:val="1"/>
          <w:sz w:val="18"/>
        </w:rPr>
        <w:t>,</w:t>
      </w:r>
      <w:r>
        <w:rPr>
          <w:rFonts w:ascii="Arial" w:hAnsi="Arial"/>
          <w:b/>
          <w:i/>
          <w:position w:val="1"/>
          <w:sz w:val="18"/>
        </w:rPr>
        <w:tab/>
      </w:r>
      <w:r>
        <w:rPr>
          <w:w w:val="102"/>
          <w:sz w:val="20"/>
        </w:rPr>
        <w:t>(</w:t>
      </w:r>
      <w:r>
        <w:rPr>
          <w:spacing w:val="-10"/>
          <w:w w:val="102"/>
          <w:sz w:val="20"/>
        </w:rPr>
        <w:t>1</w:t>
      </w:r>
      <w:r>
        <w:rPr>
          <w:w w:val="101"/>
          <w:sz w:val="20"/>
        </w:rPr>
        <w:t>5.7</w:t>
      </w:r>
      <w:r>
        <w:rPr>
          <w:spacing w:val="-26"/>
          <w:sz w:val="20"/>
        </w:rPr>
        <w:t> </w:t>
      </w:r>
      <w:r>
        <w:rPr>
          <w:w w:val="90"/>
          <w:sz w:val="20"/>
        </w:rPr>
        <w:t>)</w:t>
      </w:r>
    </w:p>
    <w:p>
      <w:pPr>
        <w:pStyle w:val="BodyText"/>
        <w:spacing w:line="254" w:lineRule="auto" w:before="126"/>
        <w:ind w:left="130" w:right="114"/>
      </w:pPr>
      <w:r>
        <w:rPr>
          <w:w w:val="110"/>
        </w:rPr>
        <w:t>The </w:t>
      </w:r>
      <w:r>
        <w:rPr>
          <w:w w:val="104"/>
        </w:rPr>
        <w:t>result </w:t>
      </w:r>
      <w:r>
        <w:rPr>
          <w:w w:val="106"/>
        </w:rPr>
        <w:t>appears </w:t>
      </w:r>
      <w:r>
        <w:rPr>
          <w:w w:val="103"/>
        </w:rPr>
        <w:t>reasonable, </w:t>
      </w:r>
      <w:r>
        <w:rPr>
          <w:w w:val="101"/>
        </w:rPr>
        <w:t>since </w:t>
      </w:r>
      <w:r>
        <w:rPr>
          <w:i/>
          <w:spacing w:val="-1"/>
          <w:w w:val="90"/>
        </w:rPr>
        <w:t>q"&gt;</w:t>
      </w:r>
      <w:r>
        <w:rPr>
          <w:i/>
          <w:w w:val="90"/>
        </w:rPr>
        <w:t> </w:t>
      </w:r>
      <w:r>
        <w:rPr>
          <w:w w:val="99"/>
        </w:rPr>
        <w:t>is </w:t>
      </w:r>
      <w:r>
        <w:rPr>
          <w:w w:val="108"/>
        </w:rPr>
        <w:t>the </w:t>
      </w:r>
      <w:r>
        <w:rPr>
          <w:w w:val="105"/>
        </w:rPr>
        <w:t>probability  </w:t>
      </w:r>
      <w:r>
        <w:rPr>
          <w:w w:val="87"/>
        </w:rPr>
        <w:t>of </w:t>
      </w:r>
      <w:r>
        <w:rPr>
          <w:w w:val="105"/>
        </w:rPr>
        <w:t>transfer  to  state   </w:t>
      </w:r>
      <w:r>
        <w:rPr>
          <w:rFonts w:ascii="Arial"/>
          <w:i/>
          <w:spacing w:val="3"/>
          <w:w w:val="105"/>
          <w:sz w:val="19"/>
        </w:rPr>
        <w:t>(h),  </w:t>
      </w:r>
      <w:r>
        <w:rPr>
          <w:w w:val="105"/>
        </w:rPr>
        <w:t>and  the  lives  entering  state   </w:t>
      </w:r>
      <w:r>
        <w:rPr>
          <w:rFonts w:ascii="Arial"/>
          <w:i/>
          <w:spacing w:val="6"/>
          <w:w w:val="105"/>
          <w:sz w:val="19"/>
        </w:rPr>
        <w:t>(h)  </w:t>
      </w:r>
      <w:r>
        <w:rPr>
          <w:w w:val="105"/>
        </w:rPr>
        <w:t>are </w:t>
      </w:r>
      <w:r>
        <w:rPr>
          <w:spacing w:val="37"/>
          <w:w w:val="105"/>
        </w:rPr>
        <w:t> </w:t>
      </w:r>
      <w:r>
        <w:rPr>
          <w:w w:val="105"/>
        </w:rPr>
        <w:t>then</w:t>
      </w:r>
    </w:p>
    <w:p>
      <w:pPr>
        <w:pStyle w:val="BodyText"/>
        <w:spacing w:line="156" w:lineRule="auto" w:before="59"/>
        <w:ind w:left="130"/>
      </w:pPr>
      <w:r>
        <w:rPr>
          <w:w w:val="105"/>
        </w:rPr>
        <w:t>subject to the risk of death for approximately half a year on the average  before  attaining  age </w:t>
      </w:r>
      <w:r>
        <w:rPr>
          <w:rFonts w:ascii="Arial"/>
          <w:i/>
          <w:w w:val="105"/>
          <w:sz w:val="16"/>
        </w:rPr>
        <w:t>x  </w:t>
      </w:r>
      <w:r>
        <w:rPr>
          <w:rFonts w:ascii="Arial"/>
          <w:w w:val="105"/>
          <w:sz w:val="30"/>
        </w:rPr>
        <w:t>+ </w:t>
      </w:r>
      <w:r>
        <w:rPr>
          <w:w w:val="105"/>
        </w:rPr>
        <w:t>1.</w:t>
      </w:r>
    </w:p>
    <w:p>
      <w:pPr>
        <w:pStyle w:val="BodyText"/>
        <w:spacing w:line="252" w:lineRule="auto" w:before="9"/>
        <w:ind w:left="123" w:right="126" w:firstLine="208"/>
        <w:jc w:val="both"/>
      </w:pPr>
      <w:r>
        <w:rPr/>
        <w:t>Although (15.6) is an exact  formula  and  (15.7 )  an  approxi­ mation if </w:t>
      </w:r>
      <w:r>
        <w:rPr>
          <w:rFonts w:ascii="Arial" w:hAnsi="Arial"/>
          <w:i/>
          <w:sz w:val="19"/>
        </w:rPr>
        <w:t>(hq </w:t>
      </w:r>
      <w:r>
        <w:rPr>
          <w:sz w:val="19"/>
        </w:rPr>
        <w:t>)z </w:t>
      </w:r>
      <w:r>
        <w:rPr>
          <w:w w:val="90"/>
          <w:sz w:val="10"/>
        </w:rPr>
        <w:t>I </w:t>
      </w:r>
      <w:r>
        <w:rPr/>
        <w:t>is known, in  practice  </w:t>
      </w:r>
      <w:r>
        <w:rPr>
          <w:rFonts w:ascii="Arial" w:hAnsi="Arial"/>
          <w:i/>
        </w:rPr>
        <w:t>(hq </w:t>
      </w:r>
      <w:r>
        <w:rPr>
          <w:w w:val="90"/>
          <w:sz w:val="19"/>
        </w:rPr>
        <w:t>):z:  </w:t>
      </w:r>
      <w:r>
        <w:rPr/>
        <w:t>must  be  estimated from  (15.5 ),  so  that  both   formulas   produce   an   approximate resul t. </w:t>
      </w:r>
      <w:r>
        <w:rPr>
          <w:w w:val="115"/>
        </w:rPr>
        <w:t>lt  </w:t>
      </w:r>
      <w:r>
        <w:rPr/>
        <w:t>can  easily  be  demonstrated  that  the  substitution  of  (15.5) for </w:t>
      </w:r>
      <w:r>
        <w:rPr>
          <w:rFonts w:ascii="Arial" w:hAnsi="Arial"/>
          <w:i/>
          <w:sz w:val="19"/>
        </w:rPr>
        <w:t>(hq </w:t>
      </w:r>
      <w:r>
        <w:rPr>
          <w:sz w:val="19"/>
        </w:rPr>
        <w:t>)z </w:t>
      </w:r>
      <w:r>
        <w:rPr/>
        <w:t>leads  to  the  same algebraic  result  in  both  (15.6 ) and   (15.7</w:t>
      </w:r>
      <w:r>
        <w:rPr>
          <w:spacing w:val="-18"/>
        </w:rPr>
        <w:t> </w:t>
      </w:r>
      <w:r>
        <w:rPr/>
        <w:t>).</w:t>
      </w:r>
    </w:p>
    <w:p>
      <w:pPr>
        <w:spacing w:line="163" w:lineRule="auto" w:before="52"/>
        <w:ind w:left="115" w:right="115" w:firstLine="198"/>
        <w:jc w:val="both"/>
        <w:rPr>
          <w:sz w:val="20"/>
        </w:rPr>
      </w:pPr>
      <w:r>
        <w:rPr>
          <w:sz w:val="20"/>
        </w:rPr>
        <w:t>Consider next the  probability  </w:t>
      </w:r>
      <w:r>
        <w:rPr>
          <w:i/>
          <w:sz w:val="20"/>
        </w:rPr>
        <w:t>p;T </w:t>
      </w:r>
      <w:r>
        <w:rPr>
          <w:i/>
          <w:w w:val="85"/>
          <w:sz w:val="20"/>
        </w:rPr>
        <w:t>h&gt;  </w:t>
      </w:r>
      <w:r>
        <w:rPr>
          <w:sz w:val="20"/>
        </w:rPr>
        <w:t>that  a  life  aged  </w:t>
      </w:r>
      <w:r>
        <w:rPr>
          <w:rFonts w:ascii="Arial" w:hAnsi="Arial"/>
          <w:i/>
          <w:sz w:val="18"/>
        </w:rPr>
        <w:t>x  </w:t>
      </w:r>
      <w:r>
        <w:rPr>
          <w:sz w:val="20"/>
        </w:rPr>
        <w:t>in  state  </w:t>
      </w:r>
      <w:r>
        <w:rPr>
          <w:rFonts w:ascii="Arial" w:hAnsi="Arial"/>
          <w:i/>
          <w:sz w:val="19"/>
        </w:rPr>
        <w:t>(T ) </w:t>
      </w:r>
      <w:r>
        <w:rPr>
          <w:sz w:val="20"/>
        </w:rPr>
        <w:t>will be in state (h ) upon attaining age </w:t>
      </w:r>
      <w:r>
        <w:rPr>
          <w:i/>
          <w:sz w:val="19"/>
        </w:rPr>
        <w:t>x </w:t>
      </w:r>
      <w:r>
        <w:rPr>
          <w:rFonts w:ascii="Arial" w:hAnsi="Arial"/>
          <w:sz w:val="30"/>
        </w:rPr>
        <w:t>+ </w:t>
      </w:r>
      <w:r>
        <w:rPr>
          <w:w w:val="115"/>
          <w:sz w:val="19"/>
        </w:rPr>
        <w:t>l. </w:t>
      </w:r>
      <w:r>
        <w:rPr>
          <w:sz w:val="20"/>
        </w:rPr>
        <w:t>Of the </w:t>
      </w:r>
      <w:r>
        <w:rPr>
          <w:rFonts w:ascii="Arial" w:hAnsi="Arial"/>
          <w:i/>
          <w:sz w:val="19"/>
        </w:rPr>
        <w:t>(hl ) </w:t>
      </w:r>
      <w:r>
        <w:rPr>
          <w:rFonts w:ascii="Arial" w:hAnsi="Arial"/>
          <w:i/>
          <w:w w:val="115"/>
          <w:position w:val="-2"/>
          <w:sz w:val="8"/>
        </w:rPr>
        <w:t>2 </w:t>
      </w:r>
      <w:r>
        <w:rPr>
          <w:rFonts w:ascii="Arial" w:hAnsi="Arial"/>
          <w:i/>
          <w:spacing w:val="-6"/>
          <w:sz w:val="17"/>
        </w:rPr>
        <w:t>+</w:t>
      </w:r>
      <w:r>
        <w:rPr>
          <w:i/>
          <w:spacing w:val="-6"/>
          <w:position w:val="-2"/>
          <w:sz w:val="12"/>
        </w:rPr>
        <w:t>1 </w:t>
      </w:r>
      <w:r>
        <w:rPr>
          <w:w w:val="102"/>
          <w:sz w:val="20"/>
        </w:rPr>
        <w:t>lives  </w:t>
      </w:r>
      <w:r>
        <w:rPr>
          <w:w w:val="101"/>
          <w:sz w:val="20"/>
        </w:rPr>
        <w:t>in  </w:t>
      </w:r>
      <w:r>
        <w:rPr>
          <w:w w:val="114"/>
          <w:sz w:val="20"/>
        </w:rPr>
        <w:t>state  </w:t>
      </w:r>
      <w:r>
        <w:rPr>
          <w:w w:val="91"/>
          <w:sz w:val="20"/>
        </w:rPr>
        <w:t>(h </w:t>
      </w:r>
      <w:r>
        <w:rPr>
          <w:w w:val="84"/>
          <w:sz w:val="20"/>
        </w:rPr>
        <w:t>)   </w:t>
      </w:r>
      <w:r>
        <w:rPr>
          <w:w w:val="115"/>
          <w:sz w:val="20"/>
        </w:rPr>
        <w:t>at  </w:t>
      </w:r>
      <w:r>
        <w:rPr>
          <w:w w:val="102"/>
          <w:sz w:val="20"/>
        </w:rPr>
        <w:t>age  </w:t>
      </w:r>
      <w:r>
        <w:rPr>
          <w:rFonts w:ascii="Arial" w:hAnsi="Arial"/>
          <w:i/>
          <w:w w:val="104"/>
          <w:sz w:val="17"/>
        </w:rPr>
        <w:t>x  </w:t>
      </w:r>
      <w:r>
        <w:rPr>
          <w:rFonts w:ascii="Arial" w:hAnsi="Arial"/>
          <w:w w:val="109"/>
          <w:sz w:val="30"/>
        </w:rPr>
        <w:t>+ </w:t>
      </w:r>
      <w:r>
        <w:rPr>
          <w:w w:val="103"/>
          <w:sz w:val="20"/>
        </w:rPr>
        <w:t>1,  </w:t>
      </w:r>
      <w:r>
        <w:rPr>
          <w:rFonts w:ascii="Arial" w:hAnsi="Arial"/>
          <w:i/>
          <w:w w:val="98"/>
          <w:sz w:val="19"/>
        </w:rPr>
        <w:t>(hl </w:t>
      </w:r>
      <w:r>
        <w:rPr>
          <w:rFonts w:ascii="Arial" w:hAnsi="Arial"/>
          <w:i/>
          <w:w w:val="78"/>
          <w:sz w:val="19"/>
        </w:rPr>
        <w:t>) </w:t>
      </w:r>
      <w:r>
        <w:rPr>
          <w:rFonts w:ascii="Arial" w:hAnsi="Arial"/>
          <w:i/>
          <w:w w:val="140"/>
          <w:position w:val="-1"/>
          <w:sz w:val="8"/>
        </w:rPr>
        <w:t>2 </w:t>
      </w:r>
      <w:r>
        <w:rPr>
          <w:rFonts w:ascii="Arial" w:hAnsi="Arial"/>
          <w:w w:val="124"/>
          <w:sz w:val="8"/>
        </w:rPr>
        <w:t>•  </w:t>
      </w:r>
      <w:r>
        <w:rPr>
          <w:rFonts w:ascii="Arial" w:hAnsi="Arial"/>
          <w:i/>
          <w:w w:val="100"/>
          <w:sz w:val="19"/>
        </w:rPr>
        <w:t>(hp </w:t>
      </w:r>
      <w:r>
        <w:rPr>
          <w:rFonts w:ascii="Arial" w:hAnsi="Arial"/>
          <w:spacing w:val="3"/>
          <w:w w:val="125"/>
          <w:sz w:val="19"/>
        </w:rPr>
        <w:t>)</w:t>
      </w:r>
      <w:r>
        <w:rPr>
          <w:rFonts w:ascii="Arial" w:hAnsi="Arial"/>
          <w:spacing w:val="3"/>
          <w:w w:val="125"/>
          <w:position w:val="-1"/>
          <w:sz w:val="8"/>
        </w:rPr>
        <w:t>2</w:t>
      </w:r>
      <w:r>
        <w:rPr>
          <w:rFonts w:ascii="Arial" w:hAnsi="Arial"/>
          <w:w w:val="125"/>
          <w:position w:val="-1"/>
          <w:sz w:val="8"/>
        </w:rPr>
        <w:t>   </w:t>
      </w:r>
      <w:r>
        <w:rPr>
          <w:w w:val="107"/>
          <w:sz w:val="20"/>
        </w:rPr>
        <w:t>have  </w:t>
      </w:r>
      <w:r>
        <w:rPr>
          <w:w w:val="98"/>
          <w:sz w:val="20"/>
        </w:rPr>
        <w:t>been  </w:t>
      </w:r>
      <w:r>
        <w:rPr>
          <w:w w:val="101"/>
          <w:sz w:val="20"/>
        </w:rPr>
        <w:t>in</w:t>
      </w:r>
      <w:r>
        <w:rPr>
          <w:spacing w:val="22"/>
          <w:w w:val="101"/>
          <w:sz w:val="20"/>
        </w:rPr>
        <w:t> </w:t>
      </w:r>
      <w:r>
        <w:rPr>
          <w:w w:val="117"/>
          <w:sz w:val="20"/>
        </w:rPr>
        <w:t>that</w:t>
      </w:r>
    </w:p>
    <w:p>
      <w:pPr>
        <w:spacing w:line="242" w:lineRule="exact" w:before="4"/>
        <w:ind w:left="115" w:right="0" w:firstLine="3"/>
        <w:jc w:val="left"/>
        <w:rPr>
          <w:sz w:val="20"/>
        </w:rPr>
      </w:pPr>
      <w:r>
        <w:rPr>
          <w:w w:val="105"/>
          <w:sz w:val="20"/>
        </w:rPr>
        <w:t>state for the entire past year, where </w:t>
      </w:r>
      <w:r>
        <w:rPr>
          <w:rFonts w:ascii="Arial" w:hAnsi="Arial"/>
          <w:i/>
          <w:w w:val="95"/>
          <w:sz w:val="19"/>
        </w:rPr>
        <w:t>( </w:t>
      </w:r>
      <w:r>
        <w:rPr>
          <w:rFonts w:ascii="Arial" w:hAnsi="Arial"/>
          <w:i/>
          <w:w w:val="105"/>
          <w:sz w:val="19"/>
        </w:rPr>
        <w:t>hp </w:t>
      </w:r>
      <w:r>
        <w:rPr>
          <w:w w:val="105"/>
          <w:sz w:val="19"/>
        </w:rPr>
        <w:t>)z </w:t>
      </w:r>
      <w:r>
        <w:rPr>
          <w:w w:val="105"/>
          <w:sz w:val="23"/>
        </w:rPr>
        <w:t>= </w:t>
      </w:r>
      <w:r>
        <w:rPr>
          <w:w w:val="105"/>
          <w:sz w:val="20"/>
        </w:rPr>
        <w:t>1 </w:t>
      </w:r>
      <w:r>
        <w:rPr>
          <w:w w:val="235"/>
          <w:sz w:val="20"/>
        </w:rPr>
        <w:t>- </w:t>
      </w:r>
      <w:r>
        <w:rPr>
          <w:rFonts w:ascii="Arial" w:hAnsi="Arial"/>
          <w:i/>
          <w:w w:val="105"/>
          <w:sz w:val="19"/>
        </w:rPr>
        <w:t>(hq)z . </w:t>
      </w:r>
      <w:r>
        <w:rPr>
          <w:w w:val="105"/>
          <w:sz w:val="20"/>
        </w:rPr>
        <w:t>The remaining lives,  </w:t>
      </w:r>
      <w:r>
        <w:rPr>
          <w:rFonts w:ascii="Arial" w:hAnsi="Arial"/>
          <w:i/>
          <w:w w:val="105"/>
          <w:sz w:val="19"/>
        </w:rPr>
        <w:t>(hl </w:t>
      </w:r>
      <w:r>
        <w:rPr>
          <w:rFonts w:ascii="Arial" w:hAnsi="Arial"/>
          <w:i/>
          <w:w w:val="95"/>
          <w:sz w:val="19"/>
        </w:rPr>
        <w:t>):i:+ 1  </w:t>
      </w:r>
      <w:r>
        <w:rPr>
          <w:rFonts w:ascii="Arial" w:hAnsi="Arial"/>
          <w:w w:val="235"/>
          <w:sz w:val="19"/>
        </w:rPr>
        <w:t>- </w:t>
      </w:r>
      <w:r>
        <w:rPr>
          <w:w w:val="105"/>
          <w:sz w:val="19"/>
        </w:rPr>
        <w:t>(hl)z· </w:t>
      </w:r>
      <w:r>
        <w:rPr>
          <w:rFonts w:ascii="Arial" w:hAnsi="Arial"/>
          <w:i/>
          <w:w w:val="95"/>
          <w:sz w:val="19"/>
        </w:rPr>
        <w:t>( </w:t>
      </w:r>
      <w:r>
        <w:rPr>
          <w:rFonts w:ascii="Arial" w:hAnsi="Arial"/>
          <w:i/>
          <w:w w:val="105"/>
          <w:sz w:val="19"/>
        </w:rPr>
        <w:t>hp </w:t>
      </w:r>
      <w:r>
        <w:rPr>
          <w:w w:val="105"/>
          <w:sz w:val="19"/>
        </w:rPr>
        <w:t>)z , </w:t>
      </w:r>
      <w:r>
        <w:rPr>
          <w:w w:val="105"/>
          <w:sz w:val="20"/>
        </w:rPr>
        <w:t>must have attained  age</w:t>
      </w:r>
    </w:p>
    <w:p>
      <w:pPr>
        <w:spacing w:line="248" w:lineRule="exact" w:before="0"/>
        <w:ind w:left="115" w:right="0" w:firstLine="0"/>
        <w:jc w:val="left"/>
        <w:rPr>
          <w:sz w:val="20"/>
        </w:rPr>
      </w:pPr>
      <w:r>
        <w:rPr>
          <w:rFonts w:ascii="Arial"/>
          <w:i/>
          <w:sz w:val="16"/>
        </w:rPr>
        <w:t>x   </w:t>
      </w:r>
      <w:r>
        <w:rPr>
          <w:rFonts w:ascii="Arial"/>
          <w:sz w:val="30"/>
        </w:rPr>
        <w:t>+ </w:t>
      </w:r>
      <w:r>
        <w:rPr>
          <w:sz w:val="20"/>
        </w:rPr>
        <w:t>1 in  statc  (h )  af ter  having  been  i n  state  </w:t>
      </w:r>
      <w:r>
        <w:rPr>
          <w:rFonts w:ascii="Arial"/>
          <w:i/>
          <w:sz w:val="18"/>
        </w:rPr>
        <w:t>(T )  </w:t>
      </w:r>
      <w:r>
        <w:rPr>
          <w:sz w:val="20"/>
        </w:rPr>
        <w:t>at  age  </w:t>
      </w:r>
      <w:r>
        <w:rPr>
          <w:rFonts w:ascii="Arial"/>
          <w:i/>
          <w:sz w:val="16"/>
        </w:rPr>
        <w:t>:r ,  </w:t>
      </w:r>
      <w:r>
        <w:rPr>
          <w:sz w:val="20"/>
        </w:rPr>
        <w:t>and</w:t>
      </w:r>
    </w:p>
    <w:p>
      <w:pPr>
        <w:pStyle w:val="BodyText"/>
        <w:spacing w:line="225" w:lineRule="exact"/>
        <w:ind w:left="123"/>
      </w:pPr>
      <w:r>
        <w:rPr>
          <w:w w:val="105"/>
        </w:rPr>
        <w:t>it follows that  the requircd  probability  is</w:t>
      </w:r>
    </w:p>
    <w:p>
      <w:pPr>
        <w:tabs>
          <w:tab w:pos="647" w:val="left" w:leader="none"/>
        </w:tabs>
        <w:spacing w:line="166" w:lineRule="exact" w:before="120"/>
        <w:ind w:left="0" w:right="9" w:firstLine="0"/>
        <w:jc w:val="center"/>
        <w:rPr>
          <w:rFonts w:ascii="Arial" w:hAnsi="Arial"/>
          <w:i/>
          <w:sz w:val="19"/>
        </w:rPr>
      </w:pPr>
      <w:r>
        <w:rPr>
          <w:b/>
          <w:i/>
          <w:sz w:val="11"/>
        </w:rPr>
        <w:t>(</w:t>
      </w:r>
      <w:r>
        <w:rPr>
          <w:b/>
          <w:i/>
          <w:spacing w:val="15"/>
          <w:sz w:val="11"/>
        </w:rPr>
        <w:t> </w:t>
      </w:r>
      <w:r>
        <w:rPr>
          <w:b/>
          <w:i/>
          <w:sz w:val="11"/>
        </w:rPr>
        <w:t>Th)</w:t>
        <w:tab/>
      </w:r>
      <w:r>
        <w:rPr>
          <w:i/>
          <w:w w:val="95"/>
          <w:sz w:val="19"/>
        </w:rPr>
        <w:t>(</w:t>
      </w:r>
      <w:r>
        <w:rPr>
          <w:i/>
          <w:spacing w:val="-33"/>
          <w:w w:val="95"/>
          <w:sz w:val="19"/>
        </w:rPr>
        <w:t> </w:t>
      </w:r>
      <w:r>
        <w:rPr>
          <w:i/>
          <w:spacing w:val="5"/>
          <w:sz w:val="19"/>
        </w:rPr>
        <w:t>hl)</w:t>
      </w:r>
      <w:r>
        <w:rPr>
          <w:i/>
          <w:spacing w:val="-15"/>
          <w:sz w:val="19"/>
        </w:rPr>
        <w:t> </w:t>
      </w:r>
      <w:r>
        <w:rPr>
          <w:i/>
          <w:w w:val="95"/>
          <w:sz w:val="19"/>
        </w:rPr>
        <w:t>x+t</w:t>
      </w:r>
      <w:r>
        <w:rPr>
          <w:i/>
          <w:spacing w:val="24"/>
          <w:w w:val="95"/>
          <w:sz w:val="19"/>
        </w:rPr>
        <w:t> </w:t>
      </w:r>
      <w:r>
        <w:rPr>
          <w:w w:val="260"/>
          <w:sz w:val="19"/>
        </w:rPr>
        <w:t>-</w:t>
      </w:r>
      <w:r>
        <w:rPr>
          <w:spacing w:val="-66"/>
          <w:w w:val="260"/>
          <w:sz w:val="19"/>
        </w:rPr>
        <w:t> </w:t>
      </w:r>
      <w:r>
        <w:rPr>
          <w:i/>
          <w:w w:val="95"/>
          <w:sz w:val="19"/>
        </w:rPr>
        <w:t>(</w:t>
      </w:r>
      <w:r>
        <w:rPr>
          <w:i/>
          <w:spacing w:val="-33"/>
          <w:w w:val="95"/>
          <w:sz w:val="19"/>
        </w:rPr>
        <w:t> </w:t>
      </w:r>
      <w:r>
        <w:rPr>
          <w:i/>
          <w:spacing w:val="6"/>
          <w:sz w:val="19"/>
        </w:rPr>
        <w:t>hl)</w:t>
      </w:r>
      <w:r>
        <w:rPr>
          <w:i/>
          <w:spacing w:val="-16"/>
          <w:sz w:val="19"/>
        </w:rPr>
        <w:t> </w:t>
      </w:r>
      <w:r>
        <w:rPr>
          <w:i/>
          <w:sz w:val="19"/>
        </w:rPr>
        <w:t>x·</w:t>
      </w:r>
      <w:r>
        <w:rPr>
          <w:i/>
          <w:spacing w:val="-1"/>
          <w:sz w:val="19"/>
        </w:rPr>
        <w:t> </w:t>
      </w:r>
      <w:r>
        <w:rPr>
          <w:rFonts w:ascii="Arial" w:hAnsi="Arial"/>
          <w:i/>
          <w:w w:val="95"/>
          <w:sz w:val="19"/>
        </w:rPr>
        <w:t>(</w:t>
      </w:r>
      <w:r>
        <w:rPr>
          <w:rFonts w:ascii="Arial" w:hAnsi="Arial"/>
          <w:i/>
          <w:spacing w:val="-40"/>
          <w:w w:val="95"/>
          <w:sz w:val="19"/>
        </w:rPr>
        <w:t> </w:t>
      </w:r>
      <w:r>
        <w:rPr>
          <w:rFonts w:ascii="Arial" w:hAnsi="Arial"/>
          <w:i/>
          <w:sz w:val="19"/>
        </w:rPr>
        <w:t>hp)</w:t>
      </w:r>
      <w:r>
        <w:rPr>
          <w:rFonts w:ascii="Arial" w:hAnsi="Arial"/>
          <w:i/>
          <w:spacing w:val="-33"/>
          <w:sz w:val="19"/>
        </w:rPr>
        <w:t> </w:t>
      </w:r>
      <w:r>
        <w:rPr>
          <w:rFonts w:ascii="Arial" w:hAnsi="Arial"/>
          <w:i/>
          <w:w w:val="65"/>
          <w:sz w:val="19"/>
        </w:rPr>
        <w:t>;r;</w:t>
      </w:r>
    </w:p>
    <w:p>
      <w:pPr>
        <w:tabs>
          <w:tab w:pos="2121" w:val="left" w:leader="none"/>
          <w:tab w:pos="3165" w:val="left" w:leader="none"/>
          <w:tab w:pos="5353" w:val="left" w:leader="none"/>
        </w:tabs>
        <w:spacing w:line="269" w:lineRule="exact" w:before="0"/>
        <w:ind w:left="1610" w:right="0" w:firstLine="0"/>
        <w:jc w:val="left"/>
        <w:rPr>
          <w:sz w:val="20"/>
        </w:rPr>
      </w:pPr>
      <w:r>
        <w:rPr/>
        <w:pict>
          <v:line style="position:absolute;mso-position-horizontal-relative:page;mso-position-vertical-relative:paragraph;z-index:-712144" from="241.740005pt,1.158452pt" to="244.260005pt,1.158452pt" stroked="true" strokeweight="1.08pt" strokecolor="#000000">
            <w10:wrap type="none"/>
          </v:line>
        </w:pict>
      </w:r>
      <w:r>
        <w:rPr>
          <w:i/>
          <w:position w:val="-5"/>
          <w:sz w:val="20"/>
        </w:rPr>
        <w:t>Pz</w:t>
        <w:tab/>
      </w:r>
      <w:r>
        <w:rPr>
          <w:position w:val="-5"/>
          <w:sz w:val="22"/>
        </w:rPr>
        <w:t>=</w:t>
        <w:tab/>
      </w:r>
      <w:r>
        <w:rPr>
          <w:rFonts w:ascii="Arial"/>
          <w:w w:val="85"/>
          <w:position w:val="-5"/>
          <w:sz w:val="28"/>
        </w:rPr>
        <w:t>W&gt;</w:t>
        <w:tab/>
      </w:r>
      <w:r>
        <w:rPr>
          <w:sz w:val="20"/>
        </w:rPr>
        <w:t>(</w:t>
      </w:r>
      <w:r>
        <w:rPr>
          <w:spacing w:val="-13"/>
          <w:sz w:val="20"/>
        </w:rPr>
        <w:t> </w:t>
      </w:r>
      <w:r>
        <w:rPr>
          <w:sz w:val="20"/>
        </w:rPr>
        <w:t>15.8)</w:t>
      </w:r>
    </w:p>
    <w:p>
      <w:pPr>
        <w:pStyle w:val="BodyText"/>
        <w:spacing w:before="183"/>
        <w:ind w:left="112"/>
      </w:pPr>
      <w:r>
        <w:rPr>
          <w:w w:val="105"/>
        </w:rPr>
        <w:t>Thc formula may also be &lt;lerivcd by noting   that</w:t>
      </w:r>
    </w:p>
    <w:p>
      <w:pPr>
        <w:tabs>
          <w:tab w:pos="796" w:val="left" w:leader="none"/>
          <w:tab w:pos="1419" w:val="left" w:leader="none"/>
        </w:tabs>
        <w:spacing w:line="90" w:lineRule="exact" w:before="117"/>
        <w:ind w:left="83" w:right="0" w:firstLine="0"/>
        <w:jc w:val="center"/>
        <w:rPr>
          <w:b/>
          <w:i/>
          <w:sz w:val="11"/>
        </w:rPr>
      </w:pPr>
      <w:r>
        <w:rPr/>
        <w:pict>
          <v:shape style="position:absolute;margin-left:138.240005pt;margin-top:7.671024pt;width:187.2pt;height:11.5pt;mso-position-horizontal-relative:page;mso-position-vertical-relative:paragraph;z-index:-712120" type="#_x0000_t202" filled="false" stroked="false">
            <v:textbox inset="0,0,0,0">
              <w:txbxContent>
                <w:p>
                  <w:pPr>
                    <w:tabs>
                      <w:tab w:pos="503" w:val="left" w:leader="none"/>
                      <w:tab w:pos="3247" w:val="left" w:leader="none"/>
                    </w:tabs>
                    <w:spacing w:line="230" w:lineRule="exact" w:before="0"/>
                    <w:ind w:left="0" w:right="0" w:firstLine="0"/>
                    <w:jc w:val="left"/>
                    <w:rPr>
                      <w:sz w:val="20"/>
                    </w:rPr>
                  </w:pPr>
                  <w:r>
                    <w:rPr>
                      <w:b/>
                      <w:sz w:val="19"/>
                    </w:rPr>
                    <w:t>Pz</w:t>
                    <w:tab/>
                  </w:r>
                  <w:r>
                    <w:rPr>
                      <w:sz w:val="23"/>
                    </w:rPr>
                    <w:t>=</w:t>
                    <w:tab/>
                  </w:r>
                  <w:r>
                    <w:rPr>
                      <w:w w:val="90"/>
                      <w:position w:val="2"/>
                      <w:sz w:val="20"/>
                    </w:rPr>
                    <w:t>(15.U</w:t>
                  </w:r>
                  <w:r>
                    <w:rPr>
                      <w:spacing w:val="-25"/>
                      <w:w w:val="90"/>
                      <w:position w:val="2"/>
                      <w:sz w:val="20"/>
                    </w:rPr>
                    <w:t> </w:t>
                  </w:r>
                  <w:r>
                    <w:rPr>
                      <w:w w:val="90"/>
                      <w:position w:val="2"/>
                      <w:sz w:val="20"/>
                    </w:rPr>
                    <w:t>)</w:t>
                  </w:r>
                </w:p>
              </w:txbxContent>
            </v:textbox>
            <w10:wrap type="none"/>
          </v:shape>
        </w:pict>
      </w:r>
      <w:r>
        <w:rPr>
          <w:w w:val="115"/>
          <w:sz w:val="11"/>
        </w:rPr>
        <w:t>(</w:t>
      </w:r>
      <w:r>
        <w:rPr>
          <w:spacing w:val="-11"/>
          <w:w w:val="115"/>
          <w:sz w:val="11"/>
        </w:rPr>
        <w:t> </w:t>
      </w:r>
      <w:r>
        <w:rPr>
          <w:b/>
          <w:i/>
          <w:w w:val="115"/>
          <w:sz w:val="11"/>
        </w:rPr>
        <w:t>Th)</w:t>
        <w:tab/>
      </w:r>
      <w:r>
        <w:rPr>
          <w:rFonts w:ascii="Arial"/>
          <w:b/>
          <w:w w:val="130"/>
          <w:sz w:val="10"/>
        </w:rPr>
        <w:t>(h)</w:t>
        <w:tab/>
      </w:r>
      <w:r>
        <w:rPr>
          <w:rFonts w:ascii="Arial"/>
          <w:w w:val="110"/>
          <w:sz w:val="10"/>
        </w:rPr>
        <w:t>(</w:t>
      </w:r>
      <w:r>
        <w:rPr>
          <w:rFonts w:ascii="Arial"/>
          <w:spacing w:val="-24"/>
          <w:w w:val="110"/>
          <w:sz w:val="10"/>
        </w:rPr>
        <w:t> </w:t>
      </w:r>
      <w:r>
        <w:rPr>
          <w:b/>
          <w:i/>
          <w:spacing w:val="9"/>
          <w:w w:val="110"/>
          <w:sz w:val="11"/>
        </w:rPr>
        <w:t>Th)</w:t>
      </w:r>
    </w:p>
    <w:p>
      <w:pPr>
        <w:tabs>
          <w:tab w:pos="876" w:val="left" w:leader="none"/>
        </w:tabs>
        <w:spacing w:line="170" w:lineRule="exact" w:before="0"/>
        <w:ind w:left="495" w:right="0" w:firstLine="0"/>
        <w:jc w:val="center"/>
        <w:rPr>
          <w:rFonts w:ascii="Arial"/>
          <w:b/>
          <w:i/>
          <w:sz w:val="18"/>
        </w:rPr>
      </w:pPr>
      <w:r>
        <w:rPr>
          <w:rFonts w:ascii="Arial"/>
          <w:b/>
          <w:i/>
          <w:sz w:val="18"/>
        </w:rPr>
        <w:t>qz</w:t>
        <w:tab/>
      </w:r>
      <w:r>
        <w:rPr>
          <w:rFonts w:ascii="Arial"/>
          <w:w w:val="245"/>
          <w:sz w:val="18"/>
        </w:rPr>
        <w:t>-</w:t>
      </w:r>
      <w:r>
        <w:rPr>
          <w:rFonts w:ascii="Arial"/>
          <w:spacing w:val="-82"/>
          <w:w w:val="245"/>
          <w:sz w:val="18"/>
        </w:rPr>
        <w:t> </w:t>
      </w:r>
      <w:r>
        <w:rPr>
          <w:rFonts w:ascii="Arial"/>
          <w:b/>
          <w:i/>
          <w:sz w:val="18"/>
        </w:rPr>
        <w:t>qz</w:t>
      </w:r>
    </w:p>
    <w:p>
      <w:pPr>
        <w:pStyle w:val="BodyText"/>
        <w:spacing w:before="113"/>
        <w:ind w:left="115"/>
        <w:rPr>
          <w:rFonts w:ascii="Arial"/>
          <w:i/>
          <w:sz w:val="18"/>
        </w:rPr>
      </w:pPr>
      <w:r>
        <w:rPr>
          <w:w w:val="108"/>
        </w:rPr>
        <w:t>and</w:t>
      </w:r>
      <w:r>
        <w:rPr/>
        <w:t> </w:t>
      </w:r>
      <w:r>
        <w:rPr>
          <w:spacing w:val="-5"/>
        </w:rPr>
        <w:t> </w:t>
      </w:r>
      <w:r>
        <w:rPr>
          <w:w w:val="108"/>
        </w:rPr>
        <w:t>substituting</w:t>
      </w:r>
      <w:r>
        <w:rPr/>
        <w:t> </w:t>
      </w:r>
      <w:r>
        <w:rPr>
          <w:spacing w:val="3"/>
        </w:rPr>
        <w:t> </w:t>
      </w:r>
      <w:r>
        <w:rPr>
          <w:w w:val="102"/>
        </w:rPr>
        <w:t>for</w:t>
      </w:r>
      <w:r>
        <w:rPr/>
        <w:t> </w:t>
      </w:r>
      <w:r>
        <w:rPr>
          <w:spacing w:val="-13"/>
        </w:rPr>
        <w:t> </w:t>
      </w:r>
      <w:r>
        <w:rPr>
          <w:rFonts w:ascii="Arial"/>
          <w:i/>
          <w:spacing w:val="8"/>
          <w:w w:val="163"/>
          <w:sz w:val="18"/>
        </w:rPr>
        <w:t>q</w:t>
      </w:r>
      <w:r>
        <w:rPr>
          <w:rFonts w:ascii="Arial"/>
          <w:i/>
          <w:w w:val="64"/>
          <w:sz w:val="18"/>
        </w:rPr>
        <w:t>Th&gt;</w:t>
      </w:r>
      <w:r>
        <w:rPr>
          <w:rFonts w:ascii="Arial"/>
          <w:i/>
          <w:sz w:val="18"/>
        </w:rPr>
        <w:t> </w:t>
      </w:r>
      <w:r>
        <w:rPr>
          <w:rFonts w:ascii="Arial"/>
          <w:i/>
          <w:spacing w:val="8"/>
          <w:sz w:val="18"/>
        </w:rPr>
        <w:t> </w:t>
      </w:r>
      <w:r>
        <w:rPr>
          <w:w w:val="101"/>
        </w:rPr>
        <w:t>from</w:t>
      </w:r>
      <w:r>
        <w:rPr/>
        <w:t>  </w:t>
      </w:r>
      <w:r>
        <w:rPr>
          <w:spacing w:val="-18"/>
        </w:rPr>
        <w:t> </w:t>
      </w:r>
      <w:r>
        <w:rPr>
          <w:w w:val="104"/>
        </w:rPr>
        <w:t>(15.6).</w:t>
      </w:r>
      <w:r>
        <w:rPr/>
        <w:t> </w:t>
      </w:r>
      <w:r>
        <w:rPr>
          <w:spacing w:val="2"/>
        </w:rPr>
        <w:t> </w:t>
      </w:r>
      <w:r>
        <w:rPr>
          <w:sz w:val="19"/>
        </w:rPr>
        <w:t>If </w:t>
      </w:r>
      <w:r>
        <w:rPr>
          <w:spacing w:val="8"/>
          <w:sz w:val="19"/>
        </w:rPr>
        <w:t> </w:t>
      </w:r>
      <w:r>
        <w:rPr>
          <w:w w:val="99"/>
        </w:rPr>
        <w:t>we</w:t>
      </w:r>
      <w:r>
        <w:rPr/>
        <w:t> </w:t>
      </w:r>
      <w:r>
        <w:rPr>
          <w:spacing w:val="-6"/>
        </w:rPr>
        <w:t> </w:t>
      </w:r>
      <w:r>
        <w:rPr>
          <w:w w:val="111"/>
        </w:rPr>
        <w:t>substitute</w:t>
      </w:r>
      <w:r>
        <w:rPr/>
        <w:t> </w:t>
      </w:r>
      <w:r>
        <w:rPr>
          <w:spacing w:val="-8"/>
        </w:rPr>
        <w:t> </w:t>
      </w:r>
      <w:r>
        <w:rPr>
          <w:w w:val="102"/>
        </w:rPr>
        <w:t>for</w:t>
      </w:r>
      <w:r>
        <w:rPr/>
        <w:t> </w:t>
      </w:r>
      <w:r>
        <w:rPr>
          <w:spacing w:val="-13"/>
        </w:rPr>
        <w:t> </w:t>
      </w:r>
      <w:r>
        <w:rPr>
          <w:rFonts w:ascii="Arial"/>
          <w:i/>
          <w:w w:val="78"/>
          <w:sz w:val="18"/>
        </w:rPr>
        <w:t>q;Th&gt;</w:t>
      </w:r>
    </w:p>
    <w:p>
      <w:pPr>
        <w:pStyle w:val="BodyText"/>
        <w:spacing w:before="22"/>
        <w:ind w:left="115"/>
      </w:pPr>
      <w:r>
        <w:rPr>
          <w:w w:val="110"/>
        </w:rPr>
        <w:t>from (15.7 ), the alternative formula</w:t>
      </w:r>
    </w:p>
    <w:p>
      <w:pPr>
        <w:spacing w:after="0"/>
        <w:sectPr>
          <w:type w:val="continuous"/>
          <w:pgSz w:w="7200" w:h="11340"/>
          <w:pgMar w:top="1100" w:bottom="0" w:left="640" w:right="560"/>
        </w:sectPr>
      </w:pPr>
    </w:p>
    <w:p>
      <w:pPr>
        <w:pStyle w:val="BodyText"/>
      </w:pPr>
    </w:p>
    <w:p>
      <w:pPr>
        <w:pStyle w:val="BodyText"/>
        <w:spacing w:before="2"/>
        <w:rPr>
          <w:sz w:val="23"/>
        </w:rPr>
      </w:pPr>
    </w:p>
    <w:p>
      <w:pPr>
        <w:pStyle w:val="BodyText"/>
        <w:ind w:left="123"/>
      </w:pPr>
      <w:r>
        <w:rPr>
          <w:w w:val="105"/>
        </w:rPr>
        <w:t>is obtained.</w:t>
      </w:r>
    </w:p>
    <w:p>
      <w:pPr>
        <w:spacing w:before="69"/>
        <w:ind w:left="123" w:right="0" w:firstLine="0"/>
        <w:jc w:val="left"/>
        <w:rPr>
          <w:sz w:val="20"/>
        </w:rPr>
      </w:pPr>
      <w:r>
        <w:rPr/>
        <w:br w:type="column"/>
      </w:r>
      <w:r>
        <w:rPr>
          <w:rFonts w:ascii="Arial"/>
          <w:b/>
          <w:i/>
          <w:w w:val="83"/>
          <w:position w:val="-7"/>
          <w:sz w:val="18"/>
        </w:rPr>
        <w:t>P</w:t>
      </w:r>
      <w:r>
        <w:rPr>
          <w:rFonts w:ascii="Arial"/>
          <w:b/>
          <w:i/>
          <w:spacing w:val="-47"/>
          <w:w w:val="84"/>
          <w:position w:val="-7"/>
          <w:sz w:val="18"/>
        </w:rPr>
        <w:t>z</w:t>
      </w:r>
      <w:r>
        <w:rPr>
          <w:b/>
          <w:i/>
          <w:w w:val="74"/>
          <w:sz w:val="11"/>
        </w:rPr>
        <w:t>(</w:t>
      </w:r>
      <w:r>
        <w:rPr>
          <w:b/>
          <w:i/>
          <w:spacing w:val="9"/>
          <w:sz w:val="11"/>
        </w:rPr>
        <w:t> </w:t>
      </w:r>
      <w:r>
        <w:rPr>
          <w:b/>
          <w:i/>
          <w:w w:val="120"/>
          <w:sz w:val="11"/>
        </w:rPr>
        <w:t>T</w:t>
      </w:r>
      <w:r>
        <w:rPr>
          <w:b/>
          <w:i/>
          <w:spacing w:val="3"/>
          <w:w w:val="120"/>
          <w:sz w:val="11"/>
        </w:rPr>
        <w:t>h</w:t>
      </w:r>
      <w:r>
        <w:rPr>
          <w:b/>
          <w:i/>
          <w:w w:val="82"/>
          <w:sz w:val="11"/>
        </w:rPr>
        <w:t>)</w:t>
      </w:r>
      <w:r>
        <w:rPr>
          <w:b/>
          <w:i/>
          <w:sz w:val="11"/>
        </w:rPr>
        <w:t>   </w:t>
      </w:r>
      <w:r>
        <w:rPr>
          <w:b/>
          <w:i/>
          <w:spacing w:val="-12"/>
          <w:sz w:val="11"/>
        </w:rPr>
        <w:t> </w:t>
      </w:r>
      <w:r>
        <w:rPr>
          <w:spacing w:val="-84"/>
          <w:w w:val="165"/>
          <w:sz w:val="11"/>
        </w:rPr>
        <w:t>:</w:t>
      </w:r>
      <w:r>
        <w:rPr>
          <w:rFonts w:ascii="Arial"/>
          <w:w w:val="84"/>
          <w:position w:val="-7"/>
          <w:sz w:val="18"/>
        </w:rPr>
        <w:t>-</w:t>
      </w:r>
      <w:r>
        <w:rPr>
          <w:rFonts w:ascii="Arial"/>
          <w:w w:val="84"/>
          <w:position w:val="-7"/>
          <w:sz w:val="18"/>
        </w:rPr>
        <w:t>-:</w:t>
      </w:r>
      <w:r>
        <w:rPr>
          <w:rFonts w:ascii="Arial"/>
          <w:position w:val="-7"/>
          <w:sz w:val="18"/>
        </w:rPr>
        <w:t> </w:t>
      </w:r>
      <w:r>
        <w:rPr>
          <w:rFonts w:ascii="Arial"/>
          <w:spacing w:val="-14"/>
          <w:position w:val="-7"/>
          <w:sz w:val="18"/>
        </w:rPr>
        <w:t> </w:t>
      </w:r>
      <w:r>
        <w:rPr>
          <w:rFonts w:ascii="Arial"/>
          <w:b/>
          <w:i/>
          <w:w w:val="76"/>
          <w:position w:val="-7"/>
          <w:sz w:val="18"/>
        </w:rPr>
        <w:t>q</w:t>
      </w:r>
      <w:r>
        <w:rPr>
          <w:rFonts w:ascii="Arial"/>
          <w:b/>
          <w:i/>
          <w:spacing w:val="-50"/>
          <w:w w:val="77"/>
          <w:position w:val="-7"/>
          <w:sz w:val="18"/>
        </w:rPr>
        <w:t>z</w:t>
      </w:r>
      <w:r>
        <w:rPr>
          <w:b/>
          <w:w w:val="90"/>
          <w:sz w:val="19"/>
        </w:rPr>
        <w:t>(</w:t>
      </w:r>
      <w:r>
        <w:rPr>
          <w:b/>
          <w:w w:val="90"/>
          <w:sz w:val="19"/>
        </w:rPr>
        <w:t>h</w:t>
      </w:r>
      <w:r>
        <w:rPr>
          <w:b/>
          <w:w w:val="90"/>
          <w:sz w:val="19"/>
        </w:rPr>
        <w:t>)</w:t>
      </w:r>
      <w:r>
        <w:rPr>
          <w:b/>
          <w:w w:val="90"/>
          <w:sz w:val="19"/>
        </w:rPr>
        <w:t>[l</w:t>
      </w:r>
      <w:r>
        <w:rPr>
          <w:b/>
          <w:sz w:val="19"/>
        </w:rPr>
        <w:t> </w:t>
      </w:r>
      <w:r>
        <w:rPr>
          <w:b/>
          <w:spacing w:val="20"/>
          <w:sz w:val="19"/>
        </w:rPr>
        <w:t> </w:t>
      </w:r>
      <w:r>
        <w:rPr>
          <w:w w:val="134"/>
          <w:sz w:val="19"/>
        </w:rPr>
        <w:t>_</w:t>
      </w:r>
      <w:r>
        <w:rPr>
          <w:spacing w:val="-3"/>
          <w:sz w:val="19"/>
        </w:rPr>
        <w:t> </w:t>
      </w:r>
      <w:r>
        <w:rPr>
          <w:spacing w:val="-250"/>
          <w:w w:val="418"/>
          <w:sz w:val="14"/>
        </w:rPr>
        <w:t>!</w:t>
      </w:r>
      <w:r>
        <w:rPr>
          <w:rFonts w:ascii="Arial"/>
          <w:b/>
          <w:w w:val="106"/>
          <w:position w:val="-7"/>
          <w:sz w:val="11"/>
        </w:rPr>
        <w:t>2</w:t>
      </w:r>
      <w:r>
        <w:rPr>
          <w:rFonts w:ascii="Arial"/>
          <w:b/>
          <w:position w:val="-7"/>
          <w:sz w:val="11"/>
        </w:rPr>
        <w:t> </w:t>
      </w:r>
      <w:r>
        <w:rPr>
          <w:rFonts w:ascii="Arial"/>
          <w:b/>
          <w:spacing w:val="-5"/>
          <w:position w:val="-7"/>
          <w:sz w:val="11"/>
        </w:rPr>
        <w:t> </w:t>
      </w:r>
      <w:r>
        <w:rPr>
          <w:b/>
          <w:w w:val="84"/>
          <w:sz w:val="20"/>
        </w:rPr>
        <w:t>(</w:t>
      </w:r>
      <w:r>
        <w:rPr>
          <w:b/>
          <w:w w:val="84"/>
          <w:sz w:val="20"/>
        </w:rPr>
        <w:t>hq</w:t>
      </w:r>
      <w:r>
        <w:rPr>
          <w:b/>
          <w:spacing w:val="-26"/>
          <w:sz w:val="20"/>
        </w:rPr>
        <w:t> </w:t>
      </w:r>
      <w:r>
        <w:rPr>
          <w:b/>
          <w:spacing w:val="13"/>
          <w:w w:val="93"/>
          <w:sz w:val="20"/>
        </w:rPr>
        <w:t>)</w:t>
      </w:r>
      <w:r>
        <w:rPr>
          <w:spacing w:val="6"/>
          <w:w w:val="115"/>
          <w:position w:val="-7"/>
          <w:sz w:val="12"/>
        </w:rPr>
        <w:t>z</w:t>
      </w:r>
      <w:r>
        <w:rPr>
          <w:w w:val="81"/>
          <w:sz w:val="20"/>
        </w:rPr>
        <w:t>]</w:t>
      </w:r>
    </w:p>
    <w:p>
      <w:pPr>
        <w:pStyle w:val="BodyText"/>
        <w:spacing w:before="126"/>
        <w:ind w:left="123" w:right="-18"/>
      </w:pPr>
      <w:r>
        <w:rPr/>
        <w:br w:type="column"/>
      </w:r>
      <w:r>
        <w:rPr/>
        <w:t>(15.10 )</w:t>
      </w:r>
    </w:p>
    <w:p>
      <w:pPr>
        <w:spacing w:after="0"/>
        <w:sectPr>
          <w:type w:val="continuous"/>
          <w:pgSz w:w="7200" w:h="11340"/>
          <w:pgMar w:top="1100" w:bottom="0" w:left="640" w:right="560"/>
          <w:cols w:num="3" w:equalWidth="0">
            <w:col w:w="1115" w:space="696"/>
            <w:col w:w="2245" w:space="1089"/>
            <w:col w:w="855"/>
          </w:cols>
        </w:sectPr>
      </w:pPr>
    </w:p>
    <w:p>
      <w:pPr>
        <w:pStyle w:val="BodyText"/>
        <w:spacing w:line="190" w:lineRule="exact" w:before="4"/>
        <w:ind w:left="324"/>
      </w:pPr>
      <w:r>
        <w:rPr/>
        <w:t>The  probability   that   a  life   (x )   in   state   </w:t>
      </w:r>
      <w:r>
        <w:rPr>
          <w:rFonts w:ascii="Arial"/>
          <w:i/>
          <w:sz w:val="19"/>
        </w:rPr>
        <w:t>(1' )   </w:t>
      </w:r>
      <w:r>
        <w:rPr>
          <w:sz w:val="19"/>
        </w:rPr>
        <w:t>will   </w:t>
      </w:r>
      <w:r>
        <w:rPr/>
        <w:t>attain   age</w:t>
      </w:r>
    </w:p>
    <w:p>
      <w:pPr>
        <w:pStyle w:val="BodyText"/>
        <w:spacing w:line="305" w:lineRule="exact"/>
        <w:ind w:left="112"/>
      </w:pPr>
      <w:r>
        <w:rPr>
          <w:i/>
        </w:rPr>
        <w:t>x  </w:t>
      </w:r>
      <w:r>
        <w:rPr>
          <w:rFonts w:ascii="Arial"/>
          <w:sz w:val="30"/>
        </w:rPr>
        <w:t>+ </w:t>
      </w:r>
      <w:r>
        <w:rPr>
          <w:i/>
        </w:rPr>
        <w:t>n </w:t>
      </w:r>
      <w:r>
        <w:rPr/>
        <w:t>in  statc  (h ) may  be expressed as</w:t>
      </w:r>
    </w:p>
    <w:p>
      <w:pPr>
        <w:spacing w:after="0" w:line="305" w:lineRule="exact"/>
        <w:sectPr>
          <w:type w:val="continuous"/>
          <w:pgSz w:w="7200" w:h="11340"/>
          <w:pgMar w:top="1100" w:bottom="0" w:left="640" w:right="560"/>
        </w:sectPr>
      </w:pPr>
    </w:p>
    <w:p>
      <w:pPr>
        <w:tabs>
          <w:tab w:pos="1787" w:val="left" w:leader="none"/>
          <w:tab w:pos="5557" w:val="left" w:leader="none"/>
        </w:tabs>
        <w:spacing w:before="60"/>
        <w:ind w:left="117" w:right="0" w:firstLine="0"/>
        <w:jc w:val="left"/>
        <w:rPr>
          <w:sz w:val="19"/>
        </w:rPr>
      </w:pPr>
      <w:r>
        <w:rPr>
          <w:w w:val="110"/>
          <w:sz w:val="14"/>
        </w:rPr>
        <w:t>SEC. </w:t>
      </w:r>
      <w:r>
        <w:rPr>
          <w:spacing w:val="29"/>
          <w:w w:val="110"/>
          <w:sz w:val="14"/>
        </w:rPr>
        <w:t> </w:t>
      </w:r>
      <w:r>
        <w:rPr>
          <w:rFonts w:ascii="Arial"/>
          <w:w w:val="110"/>
          <w:sz w:val="18"/>
        </w:rPr>
        <w:t>2]</w:t>
        <w:tab/>
      </w:r>
      <w:r>
        <w:rPr>
          <w:w w:val="110"/>
          <w:sz w:val="14"/>
        </w:rPr>
        <w:t>DISABILITY  </w:t>
      </w:r>
      <w:r>
        <w:rPr>
          <w:spacing w:val="14"/>
          <w:w w:val="110"/>
          <w:sz w:val="14"/>
        </w:rPr>
        <w:t> </w:t>
      </w:r>
      <w:r>
        <w:rPr>
          <w:w w:val="110"/>
          <w:sz w:val="14"/>
        </w:rPr>
        <w:t>AND  </w:t>
      </w:r>
      <w:r>
        <w:rPr>
          <w:spacing w:val="8"/>
          <w:w w:val="110"/>
          <w:sz w:val="14"/>
        </w:rPr>
        <w:t> </w:t>
      </w:r>
      <w:r>
        <w:rPr>
          <w:w w:val="110"/>
          <w:sz w:val="14"/>
        </w:rPr>
        <w:t>MORTALITY</w:t>
        <w:tab/>
      </w:r>
      <w:r>
        <w:rPr>
          <w:w w:val="110"/>
          <w:sz w:val="19"/>
        </w:rPr>
        <w:t>29.</w:t>
      </w:r>
    </w:p>
    <w:p>
      <w:pPr>
        <w:pStyle w:val="BodyText"/>
        <w:spacing w:before="3"/>
      </w:pPr>
    </w:p>
    <w:p>
      <w:pPr>
        <w:tabs>
          <w:tab w:pos="799" w:val="left" w:leader="none"/>
        </w:tabs>
        <w:spacing w:line="183" w:lineRule="exact" w:before="0"/>
        <w:ind w:left="151" w:right="0" w:firstLine="0"/>
        <w:jc w:val="center"/>
        <w:rPr>
          <w:i/>
          <w:sz w:val="19"/>
        </w:rPr>
      </w:pPr>
      <w:r>
        <w:rPr>
          <w:rFonts w:ascii="Arial" w:hAnsi="Arial"/>
          <w:b/>
          <w:w w:val="135"/>
          <w:sz w:val="10"/>
        </w:rPr>
        <w:t>(Th)</w:t>
        <w:tab/>
      </w:r>
      <w:r>
        <w:rPr>
          <w:b/>
          <w:i/>
          <w:w w:val="90"/>
          <w:sz w:val="20"/>
        </w:rPr>
        <w:t>(</w:t>
      </w:r>
      <w:r>
        <w:rPr>
          <w:b/>
          <w:i/>
          <w:spacing w:val="-32"/>
          <w:w w:val="90"/>
          <w:sz w:val="20"/>
        </w:rPr>
        <w:t> </w:t>
      </w:r>
      <w:r>
        <w:rPr>
          <w:b/>
          <w:i/>
          <w:sz w:val="20"/>
        </w:rPr>
        <w:t>hl</w:t>
      </w:r>
      <w:r>
        <w:rPr>
          <w:b/>
          <w:i/>
          <w:spacing w:val="-33"/>
          <w:sz w:val="20"/>
        </w:rPr>
        <w:t> </w:t>
      </w:r>
      <w:r>
        <w:rPr>
          <w:b/>
          <w:i/>
          <w:w w:val="90"/>
          <w:sz w:val="20"/>
        </w:rPr>
        <w:t>)</w:t>
      </w:r>
      <w:r>
        <w:rPr>
          <w:b/>
          <w:i/>
          <w:spacing w:val="-10"/>
          <w:w w:val="90"/>
          <w:sz w:val="20"/>
        </w:rPr>
        <w:t> </w:t>
      </w:r>
      <w:r>
        <w:rPr>
          <w:b/>
          <w:i/>
          <w:w w:val="90"/>
          <w:sz w:val="20"/>
        </w:rPr>
        <w:t>x+n</w:t>
      </w:r>
      <w:r>
        <w:rPr>
          <w:b/>
          <w:i/>
          <w:spacing w:val="35"/>
          <w:w w:val="90"/>
          <w:sz w:val="20"/>
        </w:rPr>
        <w:t> </w:t>
      </w:r>
      <w:r>
        <w:rPr>
          <w:w w:val="255"/>
          <w:sz w:val="20"/>
        </w:rPr>
        <w:t>-</w:t>
      </w:r>
      <w:r>
        <w:rPr>
          <w:spacing w:val="-61"/>
          <w:w w:val="255"/>
          <w:sz w:val="20"/>
        </w:rPr>
        <w:t> </w:t>
      </w:r>
      <w:r>
        <w:rPr>
          <w:i/>
          <w:w w:val="90"/>
          <w:sz w:val="19"/>
        </w:rPr>
        <w:t>(</w:t>
      </w:r>
      <w:r>
        <w:rPr>
          <w:i/>
          <w:spacing w:val="-31"/>
          <w:w w:val="90"/>
          <w:sz w:val="19"/>
        </w:rPr>
        <w:t> </w:t>
      </w:r>
      <w:r>
        <w:rPr>
          <w:i/>
          <w:sz w:val="19"/>
        </w:rPr>
        <w:t>hl</w:t>
      </w:r>
      <w:r>
        <w:rPr>
          <w:i/>
          <w:spacing w:val="-35"/>
          <w:sz w:val="19"/>
        </w:rPr>
        <w:t> </w:t>
      </w:r>
      <w:r>
        <w:rPr>
          <w:i/>
          <w:w w:val="90"/>
          <w:sz w:val="19"/>
        </w:rPr>
        <w:t>)</w:t>
      </w:r>
      <w:r>
        <w:rPr>
          <w:i/>
          <w:spacing w:val="-5"/>
          <w:w w:val="90"/>
          <w:sz w:val="19"/>
        </w:rPr>
        <w:t> </w:t>
      </w:r>
      <w:r>
        <w:rPr>
          <w:i/>
          <w:sz w:val="19"/>
        </w:rPr>
        <w:t>x·n</w:t>
      </w:r>
      <w:r>
        <w:rPr>
          <w:i/>
          <w:spacing w:val="-12"/>
          <w:sz w:val="19"/>
        </w:rPr>
        <w:t> </w:t>
      </w:r>
      <w:r>
        <w:rPr>
          <w:i/>
          <w:w w:val="90"/>
          <w:sz w:val="19"/>
        </w:rPr>
        <w:t>(</w:t>
      </w:r>
      <w:r>
        <w:rPr>
          <w:i/>
          <w:spacing w:val="-29"/>
          <w:w w:val="90"/>
          <w:sz w:val="19"/>
        </w:rPr>
        <w:t> </w:t>
      </w:r>
      <w:r>
        <w:rPr>
          <w:i/>
          <w:sz w:val="19"/>
        </w:rPr>
        <w:t>hp)</w:t>
      </w:r>
      <w:r>
        <w:rPr>
          <w:i/>
          <w:spacing w:val="-24"/>
          <w:sz w:val="19"/>
        </w:rPr>
        <w:t> </w:t>
      </w:r>
      <w:r>
        <w:rPr>
          <w:i/>
          <w:w w:val="90"/>
          <w:sz w:val="19"/>
        </w:rPr>
        <w:t>x</w:t>
      </w:r>
    </w:p>
    <w:p>
      <w:pPr>
        <w:tabs>
          <w:tab w:pos="590" w:val="left" w:leader="none"/>
          <w:tab w:pos="1666" w:val="left" w:leader="none"/>
          <w:tab w:pos="3679" w:val="left" w:leader="none"/>
        </w:tabs>
        <w:spacing w:line="236" w:lineRule="exact" w:before="0"/>
        <w:ind w:left="0" w:right="152" w:firstLine="0"/>
        <w:jc w:val="right"/>
        <w:rPr>
          <w:sz w:val="20"/>
        </w:rPr>
      </w:pPr>
      <w:r>
        <w:rPr/>
        <w:pict>
          <v:line style="position:absolute;mso-position-horizontal-relative:page;mso-position-vertical-relative:paragraph;z-index:-712096" from="178.559998pt,.706425pt" to="181.439998pt,.706425pt" stroked="true" strokeweight="1.08pt" strokecolor="#000000">
            <w10:wrap type="none"/>
          </v:line>
        </w:pict>
      </w:r>
      <w:r>
        <w:rPr>
          <w:i/>
          <w:w w:val="70"/>
          <w:position w:val="-4"/>
          <w:sz w:val="19"/>
        </w:rPr>
        <w:t>n</w:t>
      </w:r>
      <w:r>
        <w:rPr>
          <w:i/>
          <w:spacing w:val="-32"/>
          <w:position w:val="-4"/>
          <w:sz w:val="19"/>
        </w:rPr>
        <w:t> </w:t>
      </w:r>
      <w:r>
        <w:rPr>
          <w:i/>
          <w:w w:val="85"/>
          <w:position w:val="-4"/>
          <w:sz w:val="19"/>
        </w:rPr>
        <w:t>Pz</w:t>
      </w:r>
      <w:r>
        <w:rPr>
          <w:i/>
          <w:position w:val="-4"/>
          <w:sz w:val="19"/>
        </w:rPr>
        <w:tab/>
      </w:r>
      <w:r>
        <w:rPr>
          <w:w w:val="111"/>
          <w:position w:val="-4"/>
          <w:sz w:val="21"/>
        </w:rPr>
        <w:t>=</w:t>
      </w:r>
      <w:r>
        <w:rPr>
          <w:position w:val="-4"/>
          <w:sz w:val="21"/>
        </w:rPr>
        <w:tab/>
      </w:r>
      <w:r>
        <w:rPr>
          <w:i/>
          <w:spacing w:val="2"/>
          <w:w w:val="412"/>
          <w:position w:val="-4"/>
          <w:sz w:val="12"/>
        </w:rPr>
        <w:t>l</w:t>
      </w:r>
      <w:r>
        <w:rPr>
          <w:i/>
          <w:w w:val="101"/>
          <w:position w:val="-4"/>
          <w:sz w:val="12"/>
        </w:rPr>
        <w:t>T</w:t>
      </w:r>
      <w:r>
        <w:rPr>
          <w:i/>
          <w:spacing w:val="-5"/>
          <w:position w:val="-4"/>
          <w:sz w:val="12"/>
        </w:rPr>
        <w:t> </w:t>
      </w:r>
      <w:r>
        <w:rPr>
          <w:i/>
          <w:w w:val="77"/>
          <w:position w:val="-4"/>
          <w:sz w:val="12"/>
        </w:rPr>
        <w:t>)</w:t>
      </w:r>
      <w:r>
        <w:rPr>
          <w:i/>
          <w:position w:val="-4"/>
          <w:sz w:val="12"/>
        </w:rPr>
        <w:tab/>
      </w:r>
      <w:r>
        <w:rPr>
          <w:w w:val="115"/>
          <w:sz w:val="20"/>
        </w:rPr>
        <w:t>(</w:t>
      </w:r>
      <w:r>
        <w:rPr>
          <w:spacing w:val="-14"/>
          <w:w w:val="115"/>
          <w:sz w:val="20"/>
        </w:rPr>
        <w:t>1</w:t>
      </w:r>
      <w:r>
        <w:rPr>
          <w:w w:val="103"/>
          <w:sz w:val="20"/>
        </w:rPr>
        <w:t>5.11)</w:t>
      </w:r>
    </w:p>
    <w:p>
      <w:pPr>
        <w:pStyle w:val="BodyText"/>
        <w:spacing w:before="196"/>
        <w:ind w:left="117"/>
      </w:pPr>
      <w:r>
        <w:rPr>
          <w:w w:val="105"/>
        </w:rPr>
        <w:t>by  an  obvious  extension  of   formula   (15.8).  Here  thc  function</w:t>
      </w:r>
    </w:p>
    <w:p>
      <w:pPr>
        <w:spacing w:before="11"/>
        <w:ind w:left="114" w:right="0" w:firstLine="0"/>
        <w:jc w:val="left"/>
        <w:rPr>
          <w:sz w:val="20"/>
        </w:rPr>
      </w:pPr>
      <w:r>
        <w:rPr>
          <w:i/>
          <w:sz w:val="19"/>
        </w:rPr>
        <w:t>n ( hp </w:t>
      </w:r>
      <w:r>
        <w:rPr>
          <w:sz w:val="20"/>
        </w:rPr>
        <w:t>)z is given by</w:t>
      </w:r>
    </w:p>
    <w:p>
      <w:pPr>
        <w:spacing w:before="116"/>
        <w:ind w:left="210" w:right="87" w:firstLine="0"/>
        <w:jc w:val="center"/>
        <w:rPr>
          <w:b/>
          <w:sz w:val="20"/>
        </w:rPr>
      </w:pPr>
      <w:r>
        <w:rPr>
          <w:b/>
          <w:w w:val="70"/>
          <w:sz w:val="20"/>
        </w:rPr>
        <w:t>n </w:t>
      </w:r>
      <w:r>
        <w:rPr>
          <w:rFonts w:ascii="Arial" w:hAnsi="Arial"/>
          <w:b/>
          <w:i/>
          <w:w w:val="95"/>
          <w:sz w:val="19"/>
        </w:rPr>
        <w:t>(hp </w:t>
      </w:r>
      <w:r>
        <w:rPr>
          <w:b/>
          <w:w w:val="95"/>
          <w:sz w:val="20"/>
        </w:rPr>
        <w:t>)x </w:t>
      </w:r>
      <w:r>
        <w:rPr>
          <w:w w:val="95"/>
          <w:sz w:val="23"/>
        </w:rPr>
        <w:t>= </w:t>
      </w:r>
      <w:r>
        <w:rPr>
          <w:rFonts w:ascii="Arial" w:hAnsi="Arial"/>
          <w:b/>
          <w:i/>
          <w:w w:val="95"/>
          <w:sz w:val="19"/>
        </w:rPr>
        <w:t>( hp </w:t>
      </w:r>
      <w:r>
        <w:rPr>
          <w:b/>
          <w:w w:val="95"/>
          <w:sz w:val="20"/>
        </w:rPr>
        <w:t>)x </w:t>
      </w:r>
      <w:r>
        <w:rPr>
          <w:sz w:val="20"/>
        </w:rPr>
        <w:t>· </w:t>
      </w:r>
      <w:r>
        <w:rPr>
          <w:rFonts w:ascii="Arial" w:hAnsi="Arial"/>
          <w:b/>
          <w:i/>
          <w:w w:val="95"/>
          <w:sz w:val="19"/>
        </w:rPr>
        <w:t>( hp </w:t>
      </w:r>
      <w:r>
        <w:rPr>
          <w:b/>
          <w:w w:val="95"/>
          <w:sz w:val="20"/>
        </w:rPr>
        <w:t>)z+l </w:t>
      </w:r>
      <w:r>
        <w:rPr>
          <w:b/>
          <w:w w:val="70"/>
          <w:sz w:val="20"/>
        </w:rPr>
        <w:t>"  </w:t>
      </w:r>
      <w:r>
        <w:rPr>
          <w:sz w:val="20"/>
        </w:rPr>
        <w:t>· </w:t>
      </w:r>
      <w:r>
        <w:rPr>
          <w:w w:val="95"/>
          <w:sz w:val="20"/>
        </w:rPr>
        <w:t>' </w:t>
      </w:r>
      <w:r>
        <w:rPr>
          <w:sz w:val="20"/>
        </w:rPr>
        <w:t>' </w:t>
      </w:r>
      <w:r>
        <w:rPr>
          <w:w w:val="70"/>
          <w:sz w:val="20"/>
        </w:rPr>
        <w:t>• </w:t>
      </w:r>
      <w:r>
        <w:rPr>
          <w:rFonts w:ascii="Arial" w:hAnsi="Arial"/>
          <w:b/>
          <w:i/>
          <w:w w:val="95"/>
          <w:sz w:val="19"/>
        </w:rPr>
        <w:t>(hp </w:t>
      </w:r>
      <w:r>
        <w:rPr>
          <w:b/>
          <w:w w:val="95"/>
          <w:sz w:val="20"/>
        </w:rPr>
        <w:t>)z+n-1</w:t>
      </w:r>
    </w:p>
    <w:p>
      <w:pPr>
        <w:spacing w:before="127"/>
        <w:ind w:left="2205" w:right="0" w:firstLine="0"/>
        <w:jc w:val="left"/>
        <w:rPr>
          <w:sz w:val="20"/>
        </w:rPr>
      </w:pPr>
      <w:r>
        <w:rPr>
          <w:b/>
          <w:w w:val="95"/>
          <w:sz w:val="20"/>
        </w:rPr>
        <w:t>[1 </w:t>
      </w:r>
      <w:r>
        <w:rPr>
          <w:w w:val="240"/>
          <w:sz w:val="20"/>
        </w:rPr>
        <w:t>- </w:t>
      </w:r>
      <w:r>
        <w:rPr>
          <w:b/>
          <w:i/>
          <w:w w:val="95"/>
          <w:sz w:val="20"/>
        </w:rPr>
        <w:t>( hq </w:t>
      </w:r>
      <w:r>
        <w:rPr>
          <w:b/>
          <w:w w:val="95"/>
          <w:sz w:val="20"/>
        </w:rPr>
        <w:t>)x][l  </w:t>
      </w:r>
      <w:r>
        <w:rPr>
          <w:w w:val="240"/>
          <w:sz w:val="20"/>
        </w:rPr>
        <w:t>- </w:t>
      </w:r>
      <w:r>
        <w:rPr>
          <w:b/>
          <w:i/>
          <w:w w:val="95"/>
          <w:sz w:val="20"/>
        </w:rPr>
        <w:t>( hq </w:t>
      </w:r>
      <w:r>
        <w:rPr>
          <w:b/>
          <w:w w:val="95"/>
          <w:sz w:val="20"/>
        </w:rPr>
        <w:t>)x+d  </w:t>
      </w:r>
      <w:r>
        <w:rPr>
          <w:w w:val="125"/>
          <w:sz w:val="20"/>
        </w:rPr>
        <w:t>···</w:t>
      </w:r>
    </w:p>
    <w:p>
      <w:pPr>
        <w:tabs>
          <w:tab w:pos="5254" w:val="left" w:leader="none"/>
        </w:tabs>
        <w:spacing w:line="392" w:lineRule="exact" w:before="14"/>
        <w:ind w:left="110" w:right="125" w:firstLine="3326"/>
        <w:jc w:val="right"/>
        <w:rPr>
          <w:sz w:val="14"/>
        </w:rPr>
      </w:pPr>
      <w:r>
        <w:rPr>
          <w:rFonts w:ascii="Arial" w:hAnsi="Arial"/>
          <w:b/>
          <w:sz w:val="19"/>
        </w:rPr>
        <w:t>[1 </w:t>
      </w:r>
      <w:r>
        <w:rPr>
          <w:rFonts w:ascii="Arial" w:hAnsi="Arial"/>
          <w:w w:val="225"/>
          <w:sz w:val="19"/>
        </w:rPr>
        <w:t>- </w:t>
      </w:r>
      <w:r>
        <w:rPr>
          <w:rFonts w:ascii="Arial" w:hAnsi="Arial"/>
          <w:b/>
          <w:i/>
          <w:w w:val="80"/>
          <w:sz w:val="19"/>
        </w:rPr>
        <w:t>( </w:t>
      </w:r>
      <w:r>
        <w:rPr>
          <w:rFonts w:ascii="Arial" w:hAnsi="Arial"/>
          <w:b/>
          <w:i/>
          <w:sz w:val="19"/>
        </w:rPr>
        <w:t>hq</w:t>
      </w:r>
      <w:r>
        <w:rPr>
          <w:rFonts w:ascii="Arial" w:hAnsi="Arial"/>
          <w:b/>
          <w:i/>
          <w:spacing w:val="-41"/>
          <w:sz w:val="19"/>
        </w:rPr>
        <w:t> </w:t>
      </w:r>
      <w:r>
        <w:rPr>
          <w:b/>
          <w:i/>
          <w:w w:val="80"/>
          <w:sz w:val="20"/>
        </w:rPr>
        <w:t>)x+n-d</w:t>
      </w:r>
      <w:r>
        <w:rPr>
          <w:b/>
          <w:i/>
          <w:spacing w:val="17"/>
          <w:w w:val="80"/>
          <w:sz w:val="20"/>
        </w:rPr>
        <w:t> </w:t>
      </w:r>
      <w:r>
        <w:rPr>
          <w:b/>
          <w:i/>
          <w:w w:val="80"/>
          <w:sz w:val="20"/>
        </w:rPr>
        <w:t>•</w:t>
        <w:tab/>
      </w:r>
      <w:r>
        <w:rPr>
          <w:position w:val="1"/>
          <w:sz w:val="20"/>
        </w:rPr>
        <w:t>(15.12</w:t>
      </w:r>
      <w:r>
        <w:rPr>
          <w:spacing w:val="-34"/>
          <w:position w:val="1"/>
          <w:sz w:val="20"/>
        </w:rPr>
        <w:t> </w:t>
      </w:r>
      <w:r>
        <w:rPr>
          <w:position w:val="1"/>
          <w:sz w:val="20"/>
        </w:rPr>
        <w:t>)</w:t>
      </w:r>
      <w:r>
        <w:rPr>
          <w:w w:val="90"/>
          <w:position w:val="1"/>
          <w:sz w:val="20"/>
        </w:rPr>
        <w:t> </w:t>
      </w:r>
      <w:r>
        <w:rPr>
          <w:sz w:val="20"/>
        </w:rPr>
        <w:t>A  number  of  other  functions  can  be  similarly  expressed.  For</w:t>
      </w:r>
      <w:r>
        <w:rPr>
          <w:spacing w:val="17"/>
          <w:sz w:val="20"/>
        </w:rPr>
        <w:t> </w:t>
      </w:r>
      <w:r>
        <w:rPr>
          <w:sz w:val="14"/>
        </w:rPr>
        <w:t>('X­</w:t>
      </w:r>
    </w:p>
    <w:p>
      <w:pPr>
        <w:spacing w:line="187" w:lineRule="auto" w:before="13"/>
        <w:ind w:left="114" w:right="114" w:hanging="4"/>
        <w:jc w:val="left"/>
        <w:rPr>
          <w:sz w:val="20"/>
        </w:rPr>
      </w:pPr>
      <w:r>
        <w:rPr/>
        <w:pict>
          <v:shape style="position:absolute;margin-left:125.459999pt;margin-top:6.850771pt;width:1.2pt;height:4pt;mso-position-horizontal-relative:page;mso-position-vertical-relative:paragraph;z-index:-712048" type="#_x0000_t202" filled="false" stroked="false">
            <v:textbox inset="0,0,0,0">
              <w:txbxContent>
                <w:p>
                  <w:pPr>
                    <w:spacing w:line="80" w:lineRule="exact" w:before="0"/>
                    <w:ind w:left="0" w:right="0" w:firstLine="0"/>
                    <w:jc w:val="left"/>
                    <w:rPr>
                      <w:rFonts w:ascii="Arial"/>
                      <w:i/>
                      <w:sz w:val="8"/>
                    </w:rPr>
                  </w:pPr>
                  <w:r>
                    <w:rPr>
                      <w:rFonts w:ascii="Arial"/>
                      <w:i/>
                      <w:w w:val="51"/>
                      <w:sz w:val="8"/>
                    </w:rPr>
                    <w:t>1</w:t>
                  </w:r>
                </w:p>
              </w:txbxContent>
            </v:textbox>
            <w10:wrap type="none"/>
          </v:shape>
        </w:pict>
      </w:r>
      <w:r>
        <w:rPr>
          <w:w w:val="103"/>
          <w:sz w:val="20"/>
        </w:rPr>
        <w:t>ample, </w:t>
      </w:r>
      <w:r>
        <w:rPr>
          <w:w w:val="110"/>
          <w:sz w:val="20"/>
        </w:rPr>
        <w:t>the </w:t>
      </w:r>
      <w:r>
        <w:rPr>
          <w:w w:val="102"/>
          <w:sz w:val="20"/>
        </w:rPr>
        <w:t>symbol </w:t>
      </w:r>
      <w:r>
        <w:rPr>
          <w:i/>
          <w:w w:val="112"/>
          <w:sz w:val="12"/>
        </w:rPr>
        <w:t>n </w:t>
      </w:r>
      <w:r>
        <w:rPr>
          <w:i/>
          <w:spacing w:val="-3"/>
          <w:w w:val="89"/>
          <w:sz w:val="20"/>
        </w:rPr>
        <w:t>q?h&gt;</w:t>
      </w:r>
      <w:r>
        <w:rPr>
          <w:i/>
          <w:w w:val="89"/>
          <w:sz w:val="20"/>
        </w:rPr>
        <w:t> </w:t>
      </w:r>
      <w:r>
        <w:rPr>
          <w:w w:val="104"/>
          <w:sz w:val="20"/>
        </w:rPr>
        <w:t>denotes </w:t>
      </w:r>
      <w:r>
        <w:rPr>
          <w:w w:val="108"/>
          <w:sz w:val="20"/>
        </w:rPr>
        <w:t>the </w:t>
      </w:r>
      <w:r>
        <w:rPr>
          <w:w w:val="105"/>
          <w:sz w:val="20"/>
        </w:rPr>
        <w:t>probability  </w:t>
      </w:r>
      <w:r>
        <w:rPr>
          <w:w w:val="113"/>
          <w:sz w:val="20"/>
        </w:rPr>
        <w:t>that </w:t>
      </w:r>
      <w:r>
        <w:rPr>
          <w:w w:val="103"/>
          <w:sz w:val="20"/>
        </w:rPr>
        <w:t>a </w:t>
      </w:r>
      <w:r>
        <w:rPr>
          <w:w w:val="98"/>
          <w:sz w:val="20"/>
        </w:rPr>
        <w:t>life </w:t>
      </w:r>
      <w:r>
        <w:rPr>
          <w:w w:val="100"/>
          <w:sz w:val="20"/>
        </w:rPr>
        <w:t>aged </w:t>
      </w:r>
      <w:r>
        <w:rPr>
          <w:w w:val="87"/>
          <w:sz w:val="20"/>
        </w:rPr>
        <w:t>.r  </w:t>
      </w:r>
      <w:r>
        <w:rPr>
          <w:sz w:val="20"/>
        </w:rPr>
        <w:t>in state </w:t>
      </w:r>
      <w:r>
        <w:rPr>
          <w:rFonts w:ascii="Arial"/>
          <w:i/>
          <w:sz w:val="19"/>
        </w:rPr>
        <w:t>(T )  </w:t>
      </w:r>
      <w:r>
        <w:rPr>
          <w:sz w:val="19"/>
        </w:rPr>
        <w:t>will </w:t>
      </w:r>
      <w:r>
        <w:rPr>
          <w:sz w:val="20"/>
        </w:rPr>
        <w:t>die in state </w:t>
      </w:r>
      <w:r>
        <w:rPr>
          <w:rFonts w:ascii="Arial"/>
          <w:i/>
          <w:sz w:val="19"/>
        </w:rPr>
        <w:t>( h )  </w:t>
      </w:r>
      <w:r>
        <w:rPr>
          <w:sz w:val="20"/>
        </w:rPr>
        <w:t>between ages x  </w:t>
      </w:r>
      <w:r>
        <w:rPr>
          <w:sz w:val="27"/>
        </w:rPr>
        <w:t>+ </w:t>
      </w:r>
      <w:r>
        <w:rPr>
          <w:i/>
          <w:sz w:val="20"/>
        </w:rPr>
        <w:t>n  </w:t>
      </w:r>
      <w:r>
        <w:rPr>
          <w:sz w:val="20"/>
        </w:rPr>
        <w:t>and </w:t>
      </w:r>
      <w:r>
        <w:rPr>
          <w:i/>
          <w:sz w:val="20"/>
        </w:rPr>
        <w:t>x  </w:t>
      </w:r>
      <w:r>
        <w:rPr>
          <w:sz w:val="27"/>
        </w:rPr>
        <w:t>+ </w:t>
      </w:r>
      <w:r>
        <w:rPr>
          <w:i/>
          <w:sz w:val="20"/>
        </w:rPr>
        <w:t>n  </w:t>
      </w:r>
      <w:r>
        <w:rPr>
          <w:sz w:val="27"/>
        </w:rPr>
        <w:t>+</w:t>
      </w:r>
      <w:r>
        <w:rPr>
          <w:spacing w:val="-24"/>
          <w:sz w:val="27"/>
        </w:rPr>
        <w:t> </w:t>
      </w:r>
      <w:r>
        <w:rPr>
          <w:sz w:val="20"/>
        </w:rPr>
        <w:t>1,</w:t>
      </w:r>
    </w:p>
    <w:p>
      <w:pPr>
        <w:pStyle w:val="BodyText"/>
        <w:spacing w:before="9"/>
        <w:ind w:left="114"/>
      </w:pPr>
      <w:r>
        <w:rPr>
          <w:w w:val="110"/>
        </w:rPr>
        <w:t>and</w:t>
      </w:r>
    </w:p>
    <w:p>
      <w:pPr>
        <w:tabs>
          <w:tab w:pos="2403" w:val="left" w:leader="none"/>
        </w:tabs>
        <w:spacing w:line="173" w:lineRule="exact" w:before="125"/>
        <w:ind w:left="1752" w:right="0" w:firstLine="0"/>
        <w:jc w:val="left"/>
        <w:rPr>
          <w:i/>
          <w:sz w:val="19"/>
        </w:rPr>
      </w:pPr>
      <w:r>
        <w:rPr/>
        <w:pict>
          <v:shape style="position:absolute;margin-left:196.919998pt;margin-top:8.003174pt;width:13.75pt;height:19pt;mso-position-horizontal-relative:page;mso-position-vertical-relative:paragraph;z-index:-712024" type="#_x0000_t202" filled="false" stroked="false">
            <v:textbox inset="0,0,0,0">
              <w:txbxContent>
                <w:p>
                  <w:pPr>
                    <w:spacing w:line="380" w:lineRule="exact" w:before="0"/>
                    <w:ind w:left="0" w:right="-20" w:firstLine="0"/>
                    <w:jc w:val="left"/>
                    <w:rPr>
                      <w:rFonts w:ascii="Arial"/>
                      <w:b/>
                      <w:sz w:val="38"/>
                    </w:rPr>
                  </w:pPr>
                  <w:r>
                    <w:rPr>
                      <w:rFonts w:ascii="Arial"/>
                      <w:b/>
                      <w:w w:val="65"/>
                      <w:sz w:val="38"/>
                    </w:rPr>
                    <w:t>w)</w:t>
                  </w:r>
                </w:p>
              </w:txbxContent>
            </v:textbox>
            <w10:wrap type="none"/>
          </v:shape>
        </w:pict>
      </w:r>
      <w:r>
        <w:rPr>
          <w:rFonts w:ascii="Arial" w:hAnsi="Arial"/>
          <w:b/>
          <w:i/>
          <w:w w:val="95"/>
          <w:sz w:val="10"/>
        </w:rPr>
        <w:t>(</w:t>
      </w:r>
      <w:r>
        <w:rPr>
          <w:rFonts w:ascii="Arial" w:hAnsi="Arial"/>
          <w:b/>
          <w:i/>
          <w:spacing w:val="21"/>
          <w:w w:val="95"/>
          <w:sz w:val="10"/>
        </w:rPr>
        <w:t> </w:t>
      </w:r>
      <w:r>
        <w:rPr>
          <w:rFonts w:ascii="Arial" w:hAnsi="Arial"/>
          <w:b/>
          <w:i/>
          <w:w w:val="105"/>
          <w:sz w:val="10"/>
        </w:rPr>
        <w:t>Th)</w:t>
        <w:tab/>
      </w:r>
      <w:r>
        <w:rPr>
          <w:i/>
          <w:spacing w:val="2"/>
          <w:w w:val="95"/>
          <w:sz w:val="19"/>
        </w:rPr>
        <w:t>(hd)</w:t>
      </w:r>
      <w:r>
        <w:rPr>
          <w:i/>
          <w:spacing w:val="-9"/>
          <w:w w:val="95"/>
          <w:sz w:val="19"/>
        </w:rPr>
        <w:t> </w:t>
      </w:r>
      <w:r>
        <w:rPr>
          <w:i/>
          <w:w w:val="95"/>
          <w:sz w:val="19"/>
        </w:rPr>
        <w:t>x+n</w:t>
      </w:r>
      <w:r>
        <w:rPr>
          <w:i/>
          <w:spacing w:val="32"/>
          <w:w w:val="95"/>
          <w:sz w:val="19"/>
        </w:rPr>
        <w:t> </w:t>
      </w:r>
      <w:r>
        <w:rPr>
          <w:w w:val="260"/>
          <w:sz w:val="19"/>
        </w:rPr>
        <w:t>-</w:t>
      </w:r>
      <w:r>
        <w:rPr>
          <w:spacing w:val="-60"/>
          <w:w w:val="260"/>
          <w:sz w:val="19"/>
        </w:rPr>
        <w:t> </w:t>
      </w:r>
      <w:r>
        <w:rPr>
          <w:i/>
          <w:w w:val="95"/>
          <w:sz w:val="19"/>
        </w:rPr>
        <w:t>(</w:t>
      </w:r>
      <w:r>
        <w:rPr>
          <w:i/>
          <w:spacing w:val="-32"/>
          <w:w w:val="95"/>
          <w:sz w:val="19"/>
        </w:rPr>
        <w:t> </w:t>
      </w:r>
      <w:r>
        <w:rPr>
          <w:i/>
          <w:spacing w:val="5"/>
          <w:w w:val="95"/>
          <w:sz w:val="19"/>
        </w:rPr>
        <w:t>hl)</w:t>
      </w:r>
      <w:r>
        <w:rPr>
          <w:i/>
          <w:spacing w:val="-7"/>
          <w:w w:val="95"/>
          <w:sz w:val="19"/>
        </w:rPr>
        <w:t> </w:t>
      </w:r>
      <w:r>
        <w:rPr>
          <w:i/>
          <w:w w:val="95"/>
          <w:sz w:val="19"/>
        </w:rPr>
        <w:t>x·</w:t>
      </w:r>
      <w:r>
        <w:rPr>
          <w:i/>
          <w:spacing w:val="-13"/>
          <w:w w:val="95"/>
          <w:sz w:val="19"/>
        </w:rPr>
        <w:t> </w:t>
      </w:r>
      <w:r>
        <w:rPr>
          <w:i/>
          <w:w w:val="95"/>
          <w:sz w:val="19"/>
        </w:rPr>
        <w:t>n¡</w:t>
      </w:r>
      <w:r>
        <w:rPr>
          <w:i/>
          <w:spacing w:val="-4"/>
          <w:w w:val="95"/>
          <w:sz w:val="19"/>
        </w:rPr>
        <w:t> </w:t>
      </w:r>
      <w:r>
        <w:rPr>
          <w:i/>
          <w:w w:val="95"/>
          <w:sz w:val="19"/>
        </w:rPr>
        <w:t>(</w:t>
      </w:r>
      <w:r>
        <w:rPr>
          <w:i/>
          <w:spacing w:val="-34"/>
          <w:w w:val="95"/>
          <w:sz w:val="19"/>
        </w:rPr>
        <w:t> </w:t>
      </w:r>
      <w:r>
        <w:rPr>
          <w:i/>
          <w:spacing w:val="2"/>
          <w:w w:val="95"/>
          <w:sz w:val="19"/>
        </w:rPr>
        <w:t>hq)x</w:t>
      </w:r>
    </w:p>
    <w:p>
      <w:pPr>
        <w:tabs>
          <w:tab w:pos="2137" w:val="left" w:leader="none"/>
          <w:tab w:pos="5247" w:val="left" w:leader="none"/>
        </w:tabs>
        <w:spacing w:line="219" w:lineRule="exact" w:before="0"/>
        <w:ind w:left="1507" w:right="0" w:firstLine="0"/>
        <w:jc w:val="left"/>
        <w:rPr>
          <w:sz w:val="20"/>
        </w:rPr>
      </w:pPr>
      <w:r>
        <w:rPr/>
        <w:pict>
          <v:line style="position:absolute;mso-position-horizontal-relative:page;mso-position-vertical-relative:paragraph;z-index:-712072" from="179.820007pt,.510704pt" to="182.520007pt,.510704pt" stroked="true" strokeweight=".54pt" strokecolor="#000000">
            <w10:wrap type="none"/>
          </v:line>
        </w:pict>
      </w:r>
      <w:r>
        <w:rPr>
          <w:b/>
          <w:i/>
          <w:position w:val="-1"/>
          <w:sz w:val="14"/>
        </w:rPr>
        <w:t>n</w:t>
      </w:r>
      <w:r>
        <w:rPr>
          <w:b/>
          <w:i/>
          <w:spacing w:val="-6"/>
          <w:position w:val="-1"/>
          <w:sz w:val="14"/>
        </w:rPr>
        <w:t> </w:t>
      </w:r>
      <w:r>
        <w:rPr>
          <w:b/>
          <w:i/>
          <w:w w:val="65"/>
          <w:position w:val="-1"/>
          <w:sz w:val="14"/>
        </w:rPr>
        <w:t>i </w:t>
      </w:r>
      <w:r>
        <w:rPr>
          <w:b/>
          <w:i/>
          <w:position w:val="-1"/>
          <w:sz w:val="14"/>
        </w:rPr>
        <w:t>qx</w:t>
        <w:tab/>
      </w:r>
      <w:r>
        <w:rPr>
          <w:position w:val="-1"/>
          <w:sz w:val="23"/>
        </w:rPr>
        <w:t>=</w:t>
        <w:tab/>
      </w:r>
      <w:r>
        <w:rPr>
          <w:w w:val="95"/>
          <w:sz w:val="20"/>
        </w:rPr>
        <w:t>(</w:t>
      </w:r>
      <w:r>
        <w:rPr>
          <w:spacing w:val="-16"/>
          <w:w w:val="95"/>
          <w:sz w:val="20"/>
        </w:rPr>
        <w:t> </w:t>
      </w:r>
      <w:r>
        <w:rPr>
          <w:spacing w:val="2"/>
          <w:w w:val="95"/>
          <w:sz w:val="20"/>
        </w:rPr>
        <w:t>15.13)</w:t>
      </w:r>
    </w:p>
    <w:p>
      <w:pPr>
        <w:pStyle w:val="BodyText"/>
        <w:spacing w:before="5"/>
        <w:rPr>
          <w:sz w:val="11"/>
        </w:rPr>
      </w:pPr>
    </w:p>
    <w:p>
      <w:pPr>
        <w:spacing w:after="0"/>
        <w:rPr>
          <w:sz w:val="11"/>
        </w:rPr>
        <w:sectPr>
          <w:pgSz w:w="7200" w:h="11340"/>
          <w:pgMar w:top="500" w:bottom="280" w:left="660" w:right="540"/>
        </w:sectPr>
      </w:pPr>
    </w:p>
    <w:p>
      <w:pPr>
        <w:spacing w:before="72"/>
        <w:ind w:left="121" w:right="-11" w:firstLine="0"/>
        <w:jc w:val="left"/>
        <w:rPr>
          <w:sz w:val="19"/>
        </w:rPr>
      </w:pPr>
      <w:r>
        <w:rPr>
          <w:sz w:val="20"/>
        </w:rPr>
        <w:t>wherc </w:t>
      </w:r>
      <w:r>
        <w:rPr>
          <w:spacing w:val="-7"/>
          <w:sz w:val="20"/>
        </w:rPr>
        <w:t>,., </w:t>
      </w:r>
      <w:r>
        <w:rPr>
          <w:i/>
          <w:w w:val="95"/>
          <w:sz w:val="19"/>
        </w:rPr>
        <w:t>( </w:t>
      </w:r>
      <w:r>
        <w:rPr>
          <w:i/>
          <w:sz w:val="19"/>
        </w:rPr>
        <w:t>hq </w:t>
      </w:r>
      <w:r>
        <w:rPr>
          <w:sz w:val="14"/>
        </w:rPr>
        <w:t>)x  </w:t>
      </w:r>
      <w:r>
        <w:rPr>
          <w:sz w:val="22"/>
        </w:rPr>
        <w:t>= </w:t>
      </w:r>
      <w:r>
        <w:rPr>
          <w:w w:val="95"/>
          <w:sz w:val="22"/>
        </w:rPr>
        <w:t>,, </w:t>
      </w:r>
      <w:r>
        <w:rPr>
          <w:i/>
          <w:w w:val="95"/>
          <w:sz w:val="19"/>
        </w:rPr>
        <w:t>( </w:t>
      </w:r>
      <w:r>
        <w:rPr>
          <w:i/>
          <w:spacing w:val="5"/>
          <w:sz w:val="19"/>
        </w:rPr>
        <w:t>hp </w:t>
      </w:r>
      <w:r>
        <w:rPr>
          <w:i/>
          <w:w w:val="95"/>
          <w:sz w:val="19"/>
        </w:rPr>
        <w:t>)x  </w:t>
      </w:r>
      <w:r>
        <w:rPr>
          <w:w w:val="255"/>
          <w:sz w:val="19"/>
        </w:rPr>
        <w:t>-</w:t>
      </w:r>
      <w:r>
        <w:rPr>
          <w:spacing w:val="-77"/>
          <w:w w:val="255"/>
          <w:sz w:val="19"/>
        </w:rPr>
        <w:t> </w:t>
      </w:r>
      <w:r>
        <w:rPr>
          <w:w w:val="95"/>
          <w:sz w:val="14"/>
        </w:rPr>
        <w:t>n </w:t>
      </w:r>
      <w:r>
        <w:rPr>
          <w:sz w:val="14"/>
        </w:rPr>
        <w:t>+l </w:t>
      </w:r>
      <w:r>
        <w:rPr>
          <w:i/>
          <w:w w:val="95"/>
          <w:sz w:val="19"/>
        </w:rPr>
        <w:t>( </w:t>
      </w:r>
      <w:r>
        <w:rPr>
          <w:i/>
          <w:sz w:val="19"/>
        </w:rPr>
        <w:t>hp </w:t>
      </w:r>
      <w:r>
        <w:rPr>
          <w:i/>
          <w:w w:val="95"/>
          <w:sz w:val="19"/>
        </w:rPr>
        <w:t>)x </w:t>
      </w:r>
      <w:r>
        <w:rPr>
          <w:sz w:val="19"/>
        </w:rPr>
        <w:t>.</w:t>
      </w:r>
    </w:p>
    <w:p>
      <w:pPr>
        <w:pStyle w:val="BodyText"/>
        <w:spacing w:before="94"/>
        <w:ind w:left="121"/>
      </w:pPr>
      <w:r>
        <w:rPr/>
        <w:br w:type="column"/>
      </w:r>
      <w:r>
        <w:rPr/>
        <w:t>( I.1.14 )</w:t>
      </w:r>
    </w:p>
    <w:p>
      <w:pPr>
        <w:spacing w:after="0"/>
        <w:sectPr>
          <w:type w:val="continuous"/>
          <w:pgSz w:w="7200" w:h="11340"/>
          <w:pgMar w:top="1100" w:bottom="0" w:left="660" w:right="540"/>
          <w:cols w:num="2" w:equalWidth="0">
            <w:col w:w="3328" w:space="1813"/>
            <w:col w:w="859"/>
          </w:cols>
        </w:sectPr>
      </w:pPr>
    </w:p>
    <w:p>
      <w:pPr>
        <w:pStyle w:val="BodyText"/>
        <w:spacing w:line="249" w:lineRule="auto" w:before="120"/>
        <w:ind w:left="110" w:right="129" w:firstLine="208"/>
        <w:jc w:val="both"/>
      </w:pPr>
      <w:r>
        <w:rPr>
          <w:sz w:val="21"/>
        </w:rPr>
        <w:t>In </w:t>
      </w:r>
      <w:r>
        <w:rPr/>
        <w:t>the sections that follow, we shall consi&lt;ler two spccific real iza­ tions of the model of Table 10. Each of these  will  be  discused  in terms of its  own  characteristic  notation.  </w:t>
      </w:r>
      <w:r>
        <w:rPr>
          <w:sz w:val="21"/>
        </w:rPr>
        <w:t>It  </w:t>
      </w:r>
      <w:r>
        <w:rPr/>
        <w:t>is  thercfore  importan t for the student to understand the sense  of  each  of  the  basic  formu­ las derived abovc  without  regard  to  thc  particular  symbols  i n which  it  happens  to  be </w:t>
      </w:r>
      <w:r>
        <w:rPr>
          <w:spacing w:val="25"/>
        </w:rPr>
        <w:t> </w:t>
      </w:r>
      <w:r>
        <w:rPr/>
        <w:t>cxpressed.</w:t>
      </w:r>
    </w:p>
    <w:p>
      <w:pPr>
        <w:pStyle w:val="ListParagraph"/>
        <w:numPr>
          <w:ilvl w:val="0"/>
          <w:numId w:val="138"/>
        </w:numPr>
        <w:tabs>
          <w:tab w:pos="334" w:val="left" w:leader="none"/>
        </w:tabs>
        <w:spacing w:line="240" w:lineRule="auto" w:before="177" w:after="0"/>
        <w:ind w:left="333" w:right="0" w:hanging="219"/>
        <w:jc w:val="left"/>
        <w:rPr>
          <w:b/>
          <w:sz w:val="19"/>
        </w:rPr>
      </w:pPr>
      <w:r>
        <w:rPr>
          <w:b/>
          <w:w w:val="120"/>
          <w:sz w:val="19"/>
        </w:rPr>
        <w:t>Disability and</w:t>
      </w:r>
      <w:r>
        <w:rPr>
          <w:b/>
          <w:spacing w:val="23"/>
          <w:w w:val="120"/>
          <w:sz w:val="19"/>
        </w:rPr>
        <w:t> </w:t>
      </w:r>
      <w:r>
        <w:rPr>
          <w:b/>
          <w:w w:val="120"/>
          <w:sz w:val="19"/>
        </w:rPr>
        <w:t>mortality</w:t>
      </w:r>
    </w:p>
    <w:p>
      <w:pPr>
        <w:pStyle w:val="BodyText"/>
        <w:spacing w:line="249" w:lineRule="auto" w:before="79"/>
        <w:ind w:left="114" w:right="125" w:firstLine="208"/>
        <w:jc w:val="both"/>
      </w:pPr>
      <w:r>
        <w:rPr>
          <w:w w:val="105"/>
          <w:sz w:val="21"/>
        </w:rPr>
        <w:t>In </w:t>
      </w:r>
      <w:r>
        <w:rPr>
          <w:w w:val="105"/>
        </w:rPr>
        <w:t>Table 11, the two primary decremcnts are disabili ty and mortality,  and  the  secondary  decrcment   is   mortality   among  the disabled lives. This table, known  as  a  eombined  disability  and mortality table, is the model that was  used  in  the  calcula­ tions for the older forms of disability benefits included in life insurance policies. Payments were made only for disability which was </w:t>
      </w:r>
      <w:r>
        <w:rPr>
          <w:rFonts w:ascii="Arial" w:hAnsi="Arial"/>
          <w:i/>
          <w:w w:val="105"/>
          <w:sz w:val="17"/>
        </w:rPr>
        <w:t>permanent </w:t>
      </w:r>
      <w:r>
        <w:rPr>
          <w:w w:val="105"/>
        </w:rPr>
        <w:t>as wcll as total, so that no recoveries were assumed to occur. More recent practice involves a differcnt  model,  which  we shall discuss  in the next </w:t>
      </w:r>
      <w:r>
        <w:rPr>
          <w:spacing w:val="42"/>
          <w:w w:val="105"/>
        </w:rPr>
        <w:t> </w:t>
      </w:r>
      <w:r>
        <w:rPr>
          <w:w w:val="105"/>
        </w:rPr>
        <w:t>chapter.</w:t>
      </w:r>
    </w:p>
    <w:p>
      <w:pPr>
        <w:pStyle w:val="BodyText"/>
        <w:spacing w:line="211" w:lineRule="auto" w:before="21"/>
        <w:ind w:left="117" w:right="129" w:firstLine="201"/>
        <w:jc w:val="both"/>
      </w:pPr>
      <w:r>
        <w:rPr/>
        <w:t>In  the  combincd   disability   and   mortality   table,   the   symbol  </w:t>
      </w:r>
      <w:r>
        <w:rPr>
          <w:rFonts w:ascii="Arial" w:hAnsi="Arial"/>
          <w:i/>
          <w:sz w:val="24"/>
        </w:rPr>
        <w:t>l':' </w:t>
      </w:r>
      <w:r>
        <w:rPr/>
        <w:t>is used for the original body of lives, the active livcs. The dec­ rements  from  death  and  from  disabi]ity  are  denoted  by  </w:t>
      </w:r>
      <w:r>
        <w:rPr>
          <w:rFonts w:ascii="Arial" w:hAnsi="Arial"/>
          <w:i/>
          <w:w w:val="90"/>
          <w:sz w:val="23"/>
        </w:rPr>
        <w:t>&lt;1:1 </w:t>
      </w:r>
      <w:r>
        <w:rPr>
          <w:rFonts w:ascii="Arial" w:hAnsi="Arial"/>
          <w:i/>
          <w:spacing w:val="53"/>
          <w:w w:val="90"/>
          <w:sz w:val="23"/>
        </w:rPr>
        <w:t> </w:t>
      </w:r>
      <w:r>
        <w:rPr/>
        <w:t>and</w:t>
      </w:r>
    </w:p>
    <w:p>
      <w:pPr>
        <w:spacing w:after="0" w:line="211" w:lineRule="auto"/>
        <w:jc w:val="both"/>
        <w:sectPr>
          <w:type w:val="continuous"/>
          <w:pgSz w:w="7200" w:h="11340"/>
          <w:pgMar w:top="1100" w:bottom="0" w:left="660" w:right="540"/>
        </w:sectPr>
      </w:pPr>
    </w:p>
    <w:p>
      <w:pPr>
        <w:tabs>
          <w:tab w:pos="1323" w:val="left" w:leader="none"/>
          <w:tab w:pos="5295" w:val="left" w:leader="none"/>
        </w:tabs>
        <w:spacing w:before="59"/>
        <w:ind w:left="114" w:right="0" w:firstLine="10"/>
        <w:jc w:val="left"/>
        <w:rPr>
          <w:b/>
          <w:sz w:val="21"/>
        </w:rPr>
      </w:pPr>
      <w:r>
        <w:rPr>
          <w:color w:val="030303"/>
          <w:w w:val="103"/>
          <w:position w:val="1"/>
          <w:sz w:val="19"/>
        </w:rPr>
        <w:t>296</w:t>
      </w:r>
      <w:r>
        <w:rPr>
          <w:color w:val="030303"/>
          <w:position w:val="1"/>
          <w:sz w:val="19"/>
        </w:rPr>
        <w:tab/>
      </w:r>
      <w:r>
        <w:rPr>
          <w:rFonts w:ascii="Courier New"/>
          <w:b/>
          <w:color w:val="030303"/>
          <w:w w:val="107"/>
          <w:position w:val="1"/>
          <w:sz w:val="16"/>
        </w:rPr>
        <w:t>TA</w:t>
      </w:r>
      <w:r>
        <w:rPr>
          <w:rFonts w:ascii="Courier New"/>
          <w:b/>
          <w:color w:val="030303"/>
          <w:spacing w:val="-74"/>
          <w:position w:val="1"/>
          <w:sz w:val="16"/>
        </w:rPr>
        <w:t> </w:t>
      </w:r>
      <w:r>
        <w:rPr>
          <w:rFonts w:ascii="Courier New"/>
          <w:b/>
          <w:color w:val="030303"/>
          <w:w w:val="109"/>
          <w:position w:val="1"/>
          <w:sz w:val="16"/>
        </w:rPr>
        <w:t>BLES</w:t>
      </w:r>
      <w:r>
        <w:rPr>
          <w:rFonts w:ascii="Courier New"/>
          <w:b/>
          <w:color w:val="030303"/>
          <w:spacing w:val="-60"/>
          <w:position w:val="1"/>
          <w:sz w:val="16"/>
        </w:rPr>
        <w:t> </w:t>
      </w:r>
      <w:r>
        <w:rPr>
          <w:rFonts w:ascii="Courier New"/>
          <w:b/>
          <w:color w:val="030303"/>
          <w:spacing w:val="-190"/>
          <w:w w:val="192"/>
          <w:position w:val="1"/>
          <w:sz w:val="16"/>
        </w:rPr>
        <w:t>,</w:t>
      </w:r>
      <w:r>
        <w:rPr>
          <w:rFonts w:ascii="Courier New"/>
          <w:b/>
          <w:color w:val="030303"/>
          <w:w w:val="96"/>
          <w:position w:val="1"/>
          <w:sz w:val="16"/>
        </w:rPr>
        <w:t>v1TH</w:t>
      </w:r>
      <w:r>
        <w:rPr>
          <w:rFonts w:ascii="Courier New"/>
          <w:b/>
          <w:color w:val="030303"/>
          <w:spacing w:val="12"/>
          <w:position w:val="1"/>
          <w:sz w:val="16"/>
        </w:rPr>
        <w:t> </w:t>
      </w:r>
      <w:r>
        <w:rPr>
          <w:rFonts w:ascii="Courier New"/>
          <w:b/>
          <w:color w:val="030303"/>
          <w:w w:val="109"/>
          <w:position w:val="1"/>
          <w:sz w:val="16"/>
        </w:rPr>
        <w:t>SECONDARY</w:t>
      </w:r>
      <w:r>
        <w:rPr>
          <w:rFonts w:ascii="Courier New"/>
          <w:b/>
          <w:color w:val="030303"/>
          <w:spacing w:val="15"/>
          <w:position w:val="1"/>
          <w:sz w:val="16"/>
        </w:rPr>
        <w:t> </w:t>
      </w:r>
      <w:r>
        <w:rPr>
          <w:rFonts w:ascii="Courier New"/>
          <w:b/>
          <w:color w:val="030303"/>
          <w:w w:val="111"/>
          <w:position w:val="1"/>
          <w:sz w:val="16"/>
        </w:rPr>
        <w:t>DECREMENTS</w:t>
      </w:r>
      <w:r>
        <w:rPr>
          <w:rFonts w:ascii="Courier New"/>
          <w:b/>
          <w:color w:val="030303"/>
          <w:position w:val="1"/>
          <w:sz w:val="16"/>
        </w:rPr>
        <w:tab/>
      </w:r>
      <w:r>
        <w:rPr>
          <w:b/>
          <w:color w:val="030303"/>
          <w:w w:val="81"/>
          <w:sz w:val="19"/>
        </w:rPr>
        <w:t>[CH.</w:t>
      </w:r>
      <w:r>
        <w:rPr>
          <w:b/>
          <w:color w:val="030303"/>
          <w:sz w:val="19"/>
        </w:rPr>
        <w:t> </w:t>
      </w:r>
      <w:r>
        <w:rPr>
          <w:b/>
          <w:color w:val="030303"/>
          <w:spacing w:val="11"/>
          <w:sz w:val="19"/>
        </w:rPr>
        <w:t> </w:t>
      </w:r>
      <w:r>
        <w:rPr>
          <w:b/>
          <w:color w:val="030303"/>
          <w:w w:val="90"/>
          <w:sz w:val="21"/>
        </w:rPr>
        <w:t>15</w:t>
      </w:r>
    </w:p>
    <w:p>
      <w:pPr>
        <w:pStyle w:val="BodyText"/>
        <w:spacing w:before="5"/>
        <w:rPr>
          <w:b/>
          <w:sz w:val="25"/>
        </w:rPr>
      </w:pPr>
    </w:p>
    <w:p>
      <w:pPr>
        <w:spacing w:line="160" w:lineRule="auto" w:before="1"/>
        <w:ind w:left="111" w:right="0" w:firstLine="3"/>
        <w:jc w:val="left"/>
        <w:rPr>
          <w:sz w:val="19"/>
        </w:rPr>
      </w:pPr>
      <w:r>
        <w:rPr>
          <w:color w:val="030303"/>
          <w:w w:val="105"/>
          <w:sz w:val="19"/>
        </w:rPr>
        <w:t>by </w:t>
      </w:r>
      <w:r>
        <w:rPr>
          <w:color w:val="030303"/>
          <w:w w:val="105"/>
          <w:sz w:val="20"/>
        </w:rPr>
        <w:t>iz </w:t>
      </w:r>
      <w:r>
        <w:rPr>
          <w:color w:val="030303"/>
          <w:w w:val="105"/>
          <w:sz w:val="19"/>
        </w:rPr>
        <w:t>respectively. The disabled lives attaining age </w:t>
      </w:r>
      <w:r>
        <w:rPr>
          <w:rFonts w:ascii="Arial"/>
          <w:i/>
          <w:color w:val="030303"/>
          <w:w w:val="105"/>
          <w:sz w:val="16"/>
        </w:rPr>
        <w:t>x </w:t>
      </w:r>
      <w:r>
        <w:rPr>
          <w:color w:val="030303"/>
          <w:w w:val="105"/>
          <w:sz w:val="19"/>
        </w:rPr>
        <w:t>are denoted </w:t>
      </w:r>
      <w:r>
        <w:rPr>
          <w:color w:val="030303"/>
          <w:w w:val="106"/>
          <w:sz w:val="19"/>
        </w:rPr>
        <w:t>by </w:t>
      </w:r>
      <w:r>
        <w:rPr>
          <w:color w:val="030303"/>
          <w:w w:val="89"/>
          <w:sz w:val="29"/>
        </w:rPr>
        <w:t>z!i </w:t>
      </w:r>
      <w:r>
        <w:rPr>
          <w:color w:val="030303"/>
          <w:w w:val="108"/>
          <w:sz w:val="19"/>
        </w:rPr>
        <w:t>and </w:t>
      </w:r>
      <w:r>
        <w:rPr>
          <w:color w:val="030303"/>
          <w:w w:val="124"/>
          <w:sz w:val="19"/>
        </w:rPr>
        <w:t>th </w:t>
      </w:r>
      <w:r>
        <w:rPr>
          <w:color w:val="030303"/>
          <w:w w:val="107"/>
          <w:sz w:val="19"/>
        </w:rPr>
        <w:t>e </w:t>
      </w:r>
      <w:r>
        <w:rPr>
          <w:color w:val="030303"/>
          <w:w w:val="91"/>
          <w:sz w:val="19"/>
        </w:rPr>
        <w:t>death:-:; </w:t>
      </w:r>
      <w:r>
        <w:rPr>
          <w:color w:val="1A1A1A"/>
          <w:w w:val="107"/>
          <w:sz w:val="19"/>
        </w:rPr>
        <w:t>among </w:t>
      </w:r>
      <w:r>
        <w:rPr>
          <w:color w:val="030303"/>
          <w:w w:val="112"/>
          <w:sz w:val="19"/>
        </w:rPr>
        <w:t>the </w:t>
      </w:r>
      <w:r>
        <w:rPr>
          <w:color w:val="030303"/>
          <w:w w:val="106"/>
          <w:sz w:val="19"/>
        </w:rPr>
        <w:t>disabled </w:t>
      </w:r>
      <w:r>
        <w:rPr>
          <w:color w:val="030303"/>
          <w:w w:val="104"/>
          <w:sz w:val="19"/>
        </w:rPr>
        <w:t>lives </w:t>
      </w:r>
      <w:r>
        <w:rPr>
          <w:color w:val="030303"/>
          <w:w w:val="106"/>
          <w:sz w:val="19"/>
        </w:rPr>
        <w:t>by </w:t>
      </w:r>
      <w:r>
        <w:rPr>
          <w:i/>
          <w:color w:val="030303"/>
          <w:w w:val="67"/>
          <w:sz w:val="28"/>
        </w:rPr>
        <w:t>d!i </w:t>
      </w:r>
      <w:r>
        <w:rPr>
          <w:i/>
          <w:color w:val="030303"/>
          <w:w w:val="76"/>
          <w:sz w:val="28"/>
        </w:rPr>
        <w:t>. </w:t>
      </w:r>
      <w:r>
        <w:rPr>
          <w:color w:val="030303"/>
          <w:w w:val="121"/>
          <w:sz w:val="19"/>
        </w:rPr>
        <w:t>\Ve </w:t>
      </w:r>
      <w:r>
        <w:rPr>
          <w:color w:val="030303"/>
          <w:w w:val="115"/>
          <w:sz w:val="19"/>
        </w:rPr>
        <w:t>thus </w:t>
      </w:r>
      <w:r>
        <w:rPr>
          <w:color w:val="030303"/>
          <w:w w:val="110"/>
          <w:sz w:val="19"/>
        </w:rPr>
        <w:t>have</w:t>
      </w:r>
    </w:p>
    <w:p>
      <w:pPr>
        <w:spacing w:after="0" w:line="160" w:lineRule="auto"/>
        <w:jc w:val="left"/>
        <w:rPr>
          <w:sz w:val="19"/>
        </w:rPr>
        <w:sectPr>
          <w:pgSz w:w="7200" w:h="11340"/>
          <w:pgMar w:top="500" w:bottom="280" w:left="660" w:right="520"/>
        </w:sectPr>
      </w:pPr>
    </w:p>
    <w:p>
      <w:pPr>
        <w:tabs>
          <w:tab w:pos="2905" w:val="left" w:leader="none"/>
        </w:tabs>
        <w:spacing w:line="355" w:lineRule="exact" w:before="32"/>
        <w:ind w:left="2066" w:right="0" w:firstLine="0"/>
        <w:jc w:val="left"/>
        <w:rPr>
          <w:rFonts w:ascii="Arial" w:hAnsi="Arial"/>
          <w:b/>
          <w:i/>
          <w:sz w:val="19"/>
        </w:rPr>
      </w:pPr>
      <w:r>
        <w:rPr>
          <w:rFonts w:ascii="Arial" w:hAnsi="Arial"/>
          <w:b/>
          <w:i/>
          <w:color w:val="030303"/>
          <w:w w:val="82"/>
          <w:sz w:val="32"/>
        </w:rPr>
        <w:t>r:</w:t>
      </w:r>
      <w:r>
        <w:rPr>
          <w:rFonts w:ascii="Arial" w:hAnsi="Arial"/>
          <w:b/>
          <w:i/>
          <w:color w:val="030303"/>
          <w:spacing w:val="-1"/>
          <w:sz w:val="32"/>
        </w:rPr>
        <w:t> </w:t>
      </w:r>
      <w:r>
        <w:rPr>
          <w:rFonts w:ascii="Arial" w:hAnsi="Arial"/>
          <w:color w:val="030303"/>
          <w:w w:val="154"/>
          <w:sz w:val="32"/>
        </w:rPr>
        <w:t>-</w:t>
      </w:r>
      <w:r>
        <w:rPr>
          <w:rFonts w:ascii="Arial" w:hAnsi="Arial"/>
          <w:color w:val="030303"/>
          <w:sz w:val="32"/>
        </w:rPr>
        <w:tab/>
      </w:r>
      <w:r>
        <w:rPr>
          <w:rFonts w:ascii="Arial" w:hAnsi="Arial"/>
          <w:color w:val="030303"/>
          <w:w w:val="154"/>
          <w:sz w:val="32"/>
        </w:rPr>
        <w:t>-</w:t>
      </w:r>
      <w:r>
        <w:rPr>
          <w:rFonts w:ascii="Arial" w:hAnsi="Arial"/>
          <w:color w:val="030303"/>
          <w:spacing w:val="-14"/>
          <w:sz w:val="32"/>
        </w:rPr>
        <w:t> </w:t>
      </w:r>
      <w:r>
        <w:rPr>
          <w:b/>
          <w:color w:val="030303"/>
          <w:w w:val="106"/>
          <w:sz w:val="14"/>
        </w:rPr>
        <w:t>Íz</w:t>
      </w:r>
      <w:r>
        <w:rPr>
          <w:b/>
          <w:color w:val="030303"/>
          <w:sz w:val="14"/>
        </w:rPr>
        <w:t>  </w:t>
      </w:r>
      <w:r>
        <w:rPr>
          <w:b/>
          <w:color w:val="030303"/>
          <w:spacing w:val="-8"/>
          <w:sz w:val="14"/>
        </w:rPr>
        <w:t> </w:t>
      </w:r>
      <w:r>
        <w:rPr>
          <w:color w:val="030303"/>
          <w:w w:val="101"/>
          <w:sz w:val="23"/>
        </w:rPr>
        <w:t>=</w:t>
      </w:r>
      <w:r>
        <w:rPr>
          <w:color w:val="030303"/>
          <w:sz w:val="23"/>
        </w:rPr>
        <w:t> </w:t>
      </w:r>
      <w:r>
        <w:rPr>
          <w:color w:val="030303"/>
          <w:spacing w:val="-14"/>
          <w:sz w:val="23"/>
        </w:rPr>
        <w:t> </w:t>
      </w:r>
      <w:r>
        <w:rPr>
          <w:rFonts w:ascii="Arial" w:hAnsi="Arial"/>
          <w:b/>
          <w:i/>
          <w:color w:val="030303"/>
          <w:spacing w:val="-11"/>
          <w:w w:val="448"/>
          <w:sz w:val="19"/>
        </w:rPr>
        <w:t>l</w:t>
      </w:r>
      <w:r>
        <w:rPr>
          <w:rFonts w:ascii="Arial" w:hAnsi="Arial"/>
          <w:b/>
          <w:i/>
          <w:color w:val="030303"/>
          <w:w w:val="62"/>
          <w:sz w:val="19"/>
        </w:rPr>
        <w:t>i</w:t>
      </w:r>
    </w:p>
    <w:p>
      <w:pPr>
        <w:spacing w:line="355" w:lineRule="exact" w:before="0"/>
        <w:ind w:left="2062" w:right="-15" w:firstLine="0"/>
        <w:jc w:val="left"/>
        <w:rPr>
          <w:sz w:val="21"/>
        </w:rPr>
      </w:pPr>
      <w:r>
        <w:rPr>
          <w:i/>
          <w:color w:val="030303"/>
          <w:w w:val="80"/>
          <w:sz w:val="28"/>
        </w:rPr>
        <w:t>z!i </w:t>
      </w:r>
      <w:r>
        <w:rPr>
          <w:rFonts w:ascii="Arial" w:hAnsi="Arial"/>
          <w:color w:val="030303"/>
          <w:sz w:val="32"/>
        </w:rPr>
        <w:t>+ </w:t>
      </w:r>
      <w:r>
        <w:rPr>
          <w:color w:val="030303"/>
          <w:sz w:val="20"/>
        </w:rPr>
        <w:t>iz </w:t>
      </w:r>
      <w:r>
        <w:rPr>
          <w:color w:val="030303"/>
          <w:w w:val="245"/>
          <w:sz w:val="20"/>
        </w:rPr>
        <w:t>-</w:t>
      </w:r>
      <w:r>
        <w:rPr>
          <w:color w:val="030303"/>
          <w:spacing w:val="-75"/>
          <w:w w:val="245"/>
          <w:sz w:val="20"/>
        </w:rPr>
        <w:t> </w:t>
      </w:r>
      <w:r>
        <w:rPr>
          <w:i/>
          <w:color w:val="030303"/>
          <w:w w:val="80"/>
          <w:sz w:val="28"/>
        </w:rPr>
        <w:t>d!i </w:t>
      </w:r>
      <w:r>
        <w:rPr>
          <w:color w:val="030303"/>
          <w:sz w:val="23"/>
        </w:rPr>
        <w:t>= </w:t>
      </w:r>
      <w:r>
        <w:rPr>
          <w:color w:val="030303"/>
          <w:w w:val="80"/>
          <w:sz w:val="21"/>
        </w:rPr>
        <w:t>l!_!.1 •</w:t>
      </w:r>
    </w:p>
    <w:p>
      <w:pPr>
        <w:spacing w:before="144"/>
        <w:ind w:left="1272" w:right="0" w:firstLine="0"/>
        <w:jc w:val="left"/>
        <w:rPr>
          <w:sz w:val="19"/>
        </w:rPr>
      </w:pPr>
      <w:r>
        <w:rPr/>
        <w:br w:type="column"/>
      </w:r>
      <w:r>
        <w:rPr>
          <w:color w:val="030303"/>
          <w:w w:val="110"/>
          <w:sz w:val="19"/>
        </w:rPr>
        <w:t>(15.15)</w:t>
      </w:r>
    </w:p>
    <w:p>
      <w:pPr>
        <w:spacing w:before="137"/>
        <w:ind w:left="1276" w:right="0" w:firstLine="0"/>
        <w:jc w:val="left"/>
        <w:rPr>
          <w:sz w:val="19"/>
        </w:rPr>
      </w:pPr>
      <w:r>
        <w:rPr>
          <w:color w:val="030303"/>
          <w:w w:val="105"/>
          <w:sz w:val="19"/>
        </w:rPr>
        <w:t>(15.16)</w:t>
      </w:r>
    </w:p>
    <w:p>
      <w:pPr>
        <w:spacing w:after="0"/>
        <w:jc w:val="left"/>
        <w:rPr>
          <w:sz w:val="19"/>
        </w:rPr>
        <w:sectPr>
          <w:type w:val="continuous"/>
          <w:pgSz w:w="7200" w:h="11340"/>
          <w:pgMar w:top="1100" w:bottom="0" w:left="660" w:right="520"/>
          <w:cols w:num="2" w:equalWidth="0">
            <w:col w:w="3990" w:space="40"/>
            <w:col w:w="1990"/>
          </w:cols>
        </w:sectPr>
      </w:pPr>
    </w:p>
    <w:p>
      <w:pPr>
        <w:spacing w:line="240" w:lineRule="auto" w:before="95"/>
        <w:ind w:left="107" w:right="110" w:firstLine="197"/>
        <w:jc w:val="both"/>
        <w:rPr>
          <w:sz w:val="19"/>
        </w:rPr>
      </w:pPr>
      <w:r>
        <w:rPr>
          <w:color w:val="030303"/>
          <w:w w:val="115"/>
          <w:sz w:val="19"/>
        </w:rPr>
        <w:t>The letters </w:t>
      </w:r>
      <w:r>
        <w:rPr>
          <w:i/>
          <w:color w:val="030303"/>
          <w:sz w:val="21"/>
        </w:rPr>
        <w:t>a </w:t>
      </w:r>
      <w:r>
        <w:rPr>
          <w:color w:val="030303"/>
          <w:w w:val="115"/>
          <w:sz w:val="19"/>
        </w:rPr>
        <w:t>and </w:t>
      </w:r>
      <w:r>
        <w:rPr>
          <w:color w:val="030303"/>
          <w:w w:val="115"/>
          <w:sz w:val="20"/>
        </w:rPr>
        <w:t>i </w:t>
      </w:r>
      <w:r>
        <w:rPr>
          <w:color w:val="030303"/>
          <w:w w:val="115"/>
          <w:sz w:val="19"/>
        </w:rPr>
        <w:t>uscd </w:t>
      </w:r>
      <w:r>
        <w:rPr>
          <w:color w:val="030303"/>
          <w:sz w:val="19"/>
        </w:rPr>
        <w:t>a::; </w:t>
      </w:r>
      <w:r>
        <w:rPr>
          <w:color w:val="030303"/>
          <w:w w:val="115"/>
          <w:sz w:val="19"/>
        </w:rPr>
        <w:t>superscripts in these symbols are suggested </w:t>
      </w:r>
      <w:r>
        <w:rPr>
          <w:color w:val="030303"/>
          <w:w w:val="115"/>
          <w:sz w:val="20"/>
        </w:rPr>
        <w:t>by </w:t>
      </w:r>
      <w:r>
        <w:rPr>
          <w:color w:val="030303"/>
          <w:w w:val="115"/>
          <w:sz w:val="19"/>
        </w:rPr>
        <w:t>the terms </w:t>
      </w:r>
      <w:r>
        <w:rPr>
          <w:i/>
          <w:color w:val="030303"/>
          <w:sz w:val="19"/>
        </w:rPr>
        <w:t>active </w:t>
      </w:r>
      <w:r>
        <w:rPr>
          <w:color w:val="030303"/>
          <w:w w:val="115"/>
          <w:sz w:val="19"/>
        </w:rPr>
        <w:t>and </w:t>
      </w:r>
      <w:r>
        <w:rPr>
          <w:i/>
          <w:color w:val="030303"/>
          <w:w w:val="115"/>
          <w:sz w:val="19"/>
        </w:rPr>
        <w:t>invalid. </w:t>
      </w:r>
      <w:r>
        <w:rPr>
          <w:color w:val="030303"/>
          <w:w w:val="115"/>
          <w:sz w:val="19"/>
        </w:rPr>
        <w:t>When used to distin­ guish the </w:t>
      </w:r>
      <w:r>
        <w:rPr>
          <w:i/>
          <w:color w:val="030303"/>
          <w:sz w:val="23"/>
        </w:rPr>
        <w:t>l:¡; </w:t>
      </w:r>
      <w:r>
        <w:rPr>
          <w:color w:val="030303"/>
          <w:w w:val="115"/>
          <w:sz w:val="19"/>
        </w:rPr>
        <w:t>and </w:t>
      </w:r>
      <w:r>
        <w:rPr>
          <w:rFonts w:ascii="Arial" w:hAnsi="Arial"/>
          <w:i/>
          <w:color w:val="030303"/>
          <w:sz w:val="20"/>
        </w:rPr>
        <w:t>d:i: </w:t>
      </w:r>
      <w:r>
        <w:rPr>
          <w:color w:val="030303"/>
          <w:w w:val="115"/>
          <w:sz w:val="19"/>
        </w:rPr>
        <w:t>functions </w:t>
      </w:r>
      <w:r>
        <w:rPr>
          <w:color w:val="030303"/>
          <w:sz w:val="19"/>
        </w:rPr>
        <w:t>of </w:t>
      </w:r>
      <w:r>
        <w:rPr>
          <w:color w:val="030303"/>
          <w:w w:val="115"/>
          <w:sz w:val="19"/>
        </w:rPr>
        <w:t>the combined disability and mortality </w:t>
      </w:r>
      <w:r>
        <w:rPr>
          <w:color w:val="030303"/>
          <w:sz w:val="21"/>
        </w:rPr>
        <w:t>ta</w:t>
      </w:r>
      <w:r>
        <w:rPr>
          <w:color w:val="030303"/>
          <w:sz w:val="19"/>
        </w:rPr>
        <w:t>l&gt;le, </w:t>
      </w:r>
      <w:r>
        <w:rPr>
          <w:color w:val="030303"/>
          <w:w w:val="115"/>
          <w:sz w:val="19"/>
        </w:rPr>
        <w:t>as above, these letters  are  always  repeated-aa and </w:t>
      </w:r>
      <w:r>
        <w:rPr>
          <w:i/>
          <w:color w:val="030303"/>
          <w:w w:val="115"/>
          <w:sz w:val="21"/>
        </w:rPr>
        <w:t>ii. </w:t>
      </w:r>
      <w:r>
        <w:rPr>
          <w:color w:val="030303"/>
          <w:w w:val="115"/>
          <w:sz w:val="19"/>
        </w:rPr>
        <w:t>When they are used as a superscript with probability, annuity,  and  insurance  functions,  a  special  convention  is   ob-</w:t>
      </w:r>
    </w:p>
    <w:p>
      <w:pPr>
        <w:pStyle w:val="BodyText"/>
        <w:spacing w:before="4"/>
        <w:rPr>
          <w:sz w:val="21"/>
        </w:rPr>
      </w:pPr>
    </w:p>
    <w:p>
      <w:pPr>
        <w:spacing w:before="0" w:after="36"/>
        <w:ind w:left="293" w:right="257" w:firstLine="0"/>
        <w:jc w:val="center"/>
        <w:rPr>
          <w:b/>
          <w:sz w:val="17"/>
        </w:rPr>
      </w:pPr>
      <w:r>
        <w:rPr>
          <w:b/>
          <w:color w:val="030303"/>
          <w:sz w:val="17"/>
        </w:rPr>
        <w:t>TABLE  11</w:t>
      </w:r>
    </w:p>
    <w:tbl>
      <w:tblPr>
        <w:tblW w:w="0" w:type="auto"/>
        <w:jc w:val="left"/>
        <w:tblInd w:w="563"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818"/>
        <w:gridCol w:w="22"/>
        <w:gridCol w:w="986"/>
        <w:gridCol w:w="29"/>
        <w:gridCol w:w="893"/>
        <w:gridCol w:w="832"/>
        <w:gridCol w:w="913"/>
        <w:gridCol w:w="572"/>
      </w:tblGrid>
      <w:tr>
        <w:trPr>
          <w:trHeight w:val="413" w:hRule="exact"/>
        </w:trPr>
        <w:tc>
          <w:tcPr>
            <w:tcW w:w="5065" w:type="dxa"/>
            <w:gridSpan w:val="8"/>
          </w:tcPr>
          <w:p>
            <w:pPr>
              <w:pStyle w:val="TableParagraph"/>
              <w:spacing w:before="55"/>
              <w:ind w:left="100"/>
              <w:rPr>
                <w:rFonts w:ascii="Times New Roman"/>
                <w:b/>
                <w:sz w:val="12"/>
              </w:rPr>
            </w:pPr>
            <w:r>
              <w:rPr>
                <w:rFonts w:ascii="Times New Roman"/>
                <w:b/>
                <w:color w:val="030303"/>
                <w:w w:val="115"/>
                <w:sz w:val="12"/>
              </w:rPr>
              <w:t>SECTION   OF  COMBI NED   DISABILITY   A NO   MORTALITY TABLE</w:t>
            </w:r>
          </w:p>
        </w:tc>
      </w:tr>
      <w:tr>
        <w:trPr>
          <w:trHeight w:val="120" w:hRule="exact"/>
        </w:trPr>
        <w:tc>
          <w:tcPr>
            <w:tcW w:w="2748" w:type="dxa"/>
            <w:gridSpan w:val="5"/>
          </w:tcPr>
          <w:p>
            <w:pPr/>
          </w:p>
        </w:tc>
        <w:tc>
          <w:tcPr>
            <w:tcW w:w="832" w:type="dxa"/>
          </w:tcPr>
          <w:p>
            <w:pPr>
              <w:pStyle w:val="TableParagraph"/>
              <w:spacing w:line="120" w:lineRule="exact"/>
              <w:ind w:left="311" w:right="283"/>
              <w:jc w:val="center"/>
              <w:rPr>
                <w:rFonts w:ascii="Times New Roman"/>
                <w:sz w:val="11"/>
              </w:rPr>
            </w:pPr>
            <w:r>
              <w:rPr>
                <w:rFonts w:ascii="Times New Roman"/>
                <w:color w:val="030303"/>
                <w:w w:val="110"/>
                <w:sz w:val="11"/>
              </w:rPr>
              <w:t>(3)</w:t>
            </w:r>
          </w:p>
        </w:tc>
        <w:tc>
          <w:tcPr>
            <w:tcW w:w="913" w:type="dxa"/>
          </w:tcPr>
          <w:p>
            <w:pPr>
              <w:pStyle w:val="TableParagraph"/>
              <w:spacing w:line="120" w:lineRule="exact"/>
              <w:ind w:left="306" w:right="276"/>
              <w:jc w:val="center"/>
              <w:rPr>
                <w:rFonts w:ascii="Times New Roman"/>
                <w:sz w:val="11"/>
              </w:rPr>
            </w:pPr>
            <w:r>
              <w:rPr>
                <w:rFonts w:ascii="Times New Roman"/>
                <w:color w:val="030303"/>
                <w:w w:val="115"/>
                <w:sz w:val="11"/>
              </w:rPr>
              <w:t>(4)</w:t>
            </w:r>
          </w:p>
        </w:tc>
        <w:tc>
          <w:tcPr>
            <w:tcW w:w="572" w:type="dxa"/>
          </w:tcPr>
          <w:p>
            <w:pPr>
              <w:pStyle w:val="TableParagraph"/>
              <w:spacing w:line="123" w:lineRule="exact"/>
              <w:ind w:right="68"/>
              <w:jc w:val="right"/>
              <w:rPr>
                <w:rFonts w:ascii="Times New Roman"/>
                <w:sz w:val="12"/>
              </w:rPr>
            </w:pPr>
            <w:r>
              <w:rPr>
                <w:rFonts w:ascii="Times New Roman"/>
                <w:color w:val="030303"/>
                <w:w w:val="110"/>
                <w:sz w:val="12"/>
              </w:rPr>
              <w:t>(5)</w:t>
            </w:r>
          </w:p>
        </w:tc>
      </w:tr>
      <w:tr>
        <w:trPr>
          <w:trHeight w:val="192" w:hRule="exact"/>
        </w:trPr>
        <w:tc>
          <w:tcPr>
            <w:tcW w:w="5065" w:type="dxa"/>
            <w:gridSpan w:val="8"/>
          </w:tcPr>
          <w:p>
            <w:pPr>
              <w:pStyle w:val="TableParagraph"/>
              <w:tabs>
                <w:tab w:pos="1262" w:val="left" w:leader="none"/>
                <w:tab w:pos="1833" w:val="left" w:leader="none"/>
                <w:tab w:pos="2224" w:val="left" w:leader="none"/>
              </w:tabs>
              <w:spacing w:line="174" w:lineRule="exact"/>
              <w:ind w:left="817"/>
              <w:rPr>
                <w:rFonts w:ascii="Times New Roman"/>
                <w:sz w:val="11"/>
              </w:rPr>
            </w:pPr>
            <w:r>
              <w:rPr>
                <w:rFonts w:ascii="Arial"/>
                <w:color w:val="030303"/>
                <w:w w:val="85"/>
                <w:sz w:val="10"/>
              </w:rPr>
              <w:t>1</w:t>
              <w:tab/>
            </w:r>
            <w:r>
              <w:rPr>
                <w:rFonts w:ascii="Arial"/>
                <w:color w:val="030303"/>
                <w:w w:val="110"/>
                <w:position w:val="2"/>
                <w:sz w:val="11"/>
              </w:rPr>
              <w:t>(1)</w:t>
              <w:tab/>
            </w:r>
            <w:r>
              <w:rPr>
                <w:rFonts w:ascii="Arial"/>
                <w:color w:val="030303"/>
                <w:w w:val="85"/>
                <w:position w:val="-12"/>
                <w:sz w:val="25"/>
              </w:rPr>
              <w:t>!</w:t>
              <w:tab/>
            </w:r>
            <w:r>
              <w:rPr>
                <w:rFonts w:ascii="Times New Roman"/>
                <w:color w:val="030303"/>
                <w:w w:val="110"/>
                <w:position w:val="2"/>
                <w:sz w:val="11"/>
              </w:rPr>
              <w:t>(2)</w:t>
            </w:r>
          </w:p>
        </w:tc>
      </w:tr>
      <w:tr>
        <w:trPr>
          <w:trHeight w:val="378" w:hRule="exact"/>
        </w:trPr>
        <w:tc>
          <w:tcPr>
            <w:tcW w:w="818" w:type="dxa"/>
          </w:tcPr>
          <w:p>
            <w:pPr>
              <w:pStyle w:val="TableParagraph"/>
              <w:spacing w:before="4"/>
              <w:rPr>
                <w:rFonts w:ascii="Times New Roman"/>
                <w:b/>
                <w:sz w:val="8"/>
              </w:rPr>
            </w:pPr>
          </w:p>
          <w:p>
            <w:pPr>
              <w:pStyle w:val="TableParagraph"/>
              <w:ind w:right="-26"/>
              <w:jc w:val="right"/>
              <w:rPr>
                <w:rFonts w:ascii="Arial"/>
                <w:sz w:val="10"/>
              </w:rPr>
            </w:pPr>
            <w:r>
              <w:rPr>
                <w:rFonts w:ascii="Arial"/>
                <w:color w:val="1A1A1A"/>
                <w:w w:val="51"/>
                <w:sz w:val="10"/>
              </w:rPr>
              <w:t>1</w:t>
            </w:r>
          </w:p>
        </w:tc>
        <w:tc>
          <w:tcPr>
            <w:tcW w:w="22" w:type="dxa"/>
          </w:tcPr>
          <w:p>
            <w:pPr/>
          </w:p>
        </w:tc>
        <w:tc>
          <w:tcPr>
            <w:tcW w:w="986" w:type="dxa"/>
          </w:tcPr>
          <w:p>
            <w:pPr>
              <w:pStyle w:val="TableParagraph"/>
              <w:spacing w:before="104"/>
              <w:ind w:left="176" w:right="169"/>
              <w:jc w:val="center"/>
              <w:rPr>
                <w:rFonts w:ascii="Arial" w:hAnsi="Arial"/>
                <w:sz w:val="13"/>
              </w:rPr>
            </w:pPr>
            <w:r>
              <w:rPr>
                <w:rFonts w:ascii="Arial" w:hAnsi="Arial"/>
                <w:color w:val="030303"/>
                <w:spacing w:val="-22"/>
                <w:w w:val="139"/>
                <w:sz w:val="13"/>
              </w:rPr>
              <w:t>/</w:t>
            </w:r>
            <w:r>
              <w:rPr>
                <w:rFonts w:ascii="Arial" w:hAnsi="Arial"/>
                <w:color w:val="030303"/>
                <w:spacing w:val="-85"/>
                <w:w w:val="139"/>
                <w:sz w:val="13"/>
              </w:rPr>
              <w:t>º</w:t>
            </w:r>
            <w:r>
              <w:rPr>
                <w:rFonts w:ascii="Times New Roman" w:hAnsi="Times New Roman"/>
                <w:b/>
                <w:color w:val="030303"/>
                <w:spacing w:val="-9"/>
                <w:w w:val="146"/>
                <w:position w:val="-2"/>
                <w:sz w:val="11"/>
              </w:rPr>
              <w:t>z</w:t>
            </w:r>
            <w:r>
              <w:rPr>
                <w:rFonts w:ascii="Arial" w:hAnsi="Arial"/>
                <w:color w:val="030303"/>
                <w:w w:val="139"/>
                <w:sz w:val="13"/>
              </w:rPr>
              <w:t>ª</w:t>
            </w:r>
          </w:p>
        </w:tc>
        <w:tc>
          <w:tcPr>
            <w:tcW w:w="29" w:type="dxa"/>
          </w:tcPr>
          <w:p>
            <w:pPr/>
          </w:p>
        </w:tc>
        <w:tc>
          <w:tcPr>
            <w:tcW w:w="893" w:type="dxa"/>
          </w:tcPr>
          <w:p>
            <w:pPr>
              <w:pStyle w:val="TableParagraph"/>
              <w:spacing w:before="45"/>
              <w:ind w:left="344"/>
              <w:rPr>
                <w:rFonts w:ascii="Times New Roman"/>
                <w:b/>
                <w:sz w:val="19"/>
              </w:rPr>
            </w:pPr>
            <w:r>
              <w:rPr>
                <w:rFonts w:ascii="Times New Roman"/>
                <w:b/>
                <w:color w:val="030303"/>
                <w:w w:val="90"/>
                <w:sz w:val="19"/>
              </w:rPr>
              <w:t>a:a</w:t>
            </w:r>
          </w:p>
        </w:tc>
        <w:tc>
          <w:tcPr>
            <w:tcW w:w="832" w:type="dxa"/>
          </w:tcPr>
          <w:p>
            <w:pPr>
              <w:pStyle w:val="TableParagraph"/>
              <w:spacing w:before="9"/>
              <w:rPr>
                <w:rFonts w:ascii="Times New Roman"/>
                <w:b/>
                <w:sz w:val="11"/>
              </w:rPr>
            </w:pPr>
          </w:p>
          <w:p>
            <w:pPr>
              <w:pStyle w:val="TableParagraph"/>
              <w:ind w:left="311" w:right="300"/>
              <w:jc w:val="center"/>
              <w:rPr>
                <w:rFonts w:ascii="Arial" w:hAnsi="Arial"/>
                <w:b/>
                <w:i/>
                <w:sz w:val="10"/>
              </w:rPr>
            </w:pPr>
            <w:r>
              <w:rPr>
                <w:rFonts w:ascii="Arial" w:hAnsi="Arial"/>
                <w:b/>
                <w:i/>
                <w:color w:val="030303"/>
                <w:w w:val="110"/>
                <w:sz w:val="10"/>
              </w:rPr>
              <w:t>Í,:</w:t>
            </w:r>
          </w:p>
        </w:tc>
        <w:tc>
          <w:tcPr>
            <w:tcW w:w="913" w:type="dxa"/>
          </w:tcPr>
          <w:p>
            <w:pPr>
              <w:pStyle w:val="TableParagraph"/>
              <w:spacing w:before="72"/>
              <w:ind w:left="306" w:right="228"/>
              <w:jc w:val="center"/>
              <w:rPr>
                <w:rFonts w:ascii="Times New Roman" w:hAnsi="Times New Roman"/>
                <w:i/>
                <w:sz w:val="13"/>
              </w:rPr>
            </w:pPr>
            <w:r>
              <w:rPr>
                <w:rFonts w:ascii="Times New Roman" w:hAnsi="Times New Roman"/>
                <w:i/>
                <w:color w:val="030303"/>
                <w:w w:val="110"/>
                <w:sz w:val="13"/>
              </w:rPr>
              <w:t>¡ii</w:t>
            </w:r>
          </w:p>
        </w:tc>
        <w:tc>
          <w:tcPr>
            <w:tcW w:w="572" w:type="dxa"/>
          </w:tcPr>
          <w:p>
            <w:pPr>
              <w:pStyle w:val="TableParagraph"/>
              <w:spacing w:before="60"/>
              <w:ind w:right="62"/>
              <w:jc w:val="right"/>
              <w:rPr>
                <w:rFonts w:ascii="Times New Roman"/>
                <w:sz w:val="22"/>
              </w:rPr>
            </w:pPr>
            <w:r>
              <w:rPr>
                <w:rFonts w:ascii="Times New Roman"/>
                <w:color w:val="030303"/>
                <w:w w:val="140"/>
                <w:sz w:val="22"/>
              </w:rPr>
              <w:t>4'</w:t>
            </w:r>
          </w:p>
        </w:tc>
      </w:tr>
      <w:tr>
        <w:trPr>
          <w:trHeight w:val="150" w:hRule="exact"/>
        </w:trPr>
        <w:tc>
          <w:tcPr>
            <w:tcW w:w="818" w:type="dxa"/>
          </w:tcPr>
          <w:p>
            <w:pPr/>
          </w:p>
        </w:tc>
        <w:tc>
          <w:tcPr>
            <w:tcW w:w="22" w:type="dxa"/>
          </w:tcPr>
          <w:p>
            <w:pPr/>
          </w:p>
        </w:tc>
        <w:tc>
          <w:tcPr>
            <w:tcW w:w="986" w:type="dxa"/>
          </w:tcPr>
          <w:p>
            <w:pPr/>
          </w:p>
        </w:tc>
        <w:tc>
          <w:tcPr>
            <w:tcW w:w="29" w:type="dxa"/>
          </w:tcPr>
          <w:p>
            <w:pPr/>
          </w:p>
        </w:tc>
        <w:tc>
          <w:tcPr>
            <w:tcW w:w="893" w:type="dxa"/>
          </w:tcPr>
          <w:p>
            <w:pPr/>
          </w:p>
        </w:tc>
        <w:tc>
          <w:tcPr>
            <w:tcW w:w="832" w:type="dxa"/>
          </w:tcPr>
          <w:p>
            <w:pPr/>
          </w:p>
        </w:tc>
        <w:tc>
          <w:tcPr>
            <w:tcW w:w="913" w:type="dxa"/>
          </w:tcPr>
          <w:p>
            <w:pPr/>
          </w:p>
        </w:tc>
        <w:tc>
          <w:tcPr>
            <w:tcW w:w="572" w:type="dxa"/>
          </w:tcPr>
          <w:p>
            <w:pPr/>
          </w:p>
        </w:tc>
      </w:tr>
      <w:tr>
        <w:trPr>
          <w:trHeight w:val="218" w:hRule="exact"/>
        </w:trPr>
        <w:tc>
          <w:tcPr>
            <w:tcW w:w="818" w:type="dxa"/>
          </w:tcPr>
          <w:p>
            <w:pPr>
              <w:pStyle w:val="TableParagraph"/>
              <w:spacing w:before="8"/>
              <w:ind w:left="96"/>
              <w:rPr>
                <w:sz w:val="18"/>
              </w:rPr>
            </w:pPr>
            <w:r>
              <w:rPr>
                <w:color w:val="030303"/>
                <w:w w:val="105"/>
                <w:sz w:val="18"/>
              </w:rPr>
              <w:t>20</w:t>
            </w:r>
          </w:p>
        </w:tc>
        <w:tc>
          <w:tcPr>
            <w:tcW w:w="22" w:type="dxa"/>
          </w:tcPr>
          <w:p>
            <w:pPr/>
          </w:p>
        </w:tc>
        <w:tc>
          <w:tcPr>
            <w:tcW w:w="986" w:type="dxa"/>
          </w:tcPr>
          <w:p>
            <w:pPr>
              <w:pStyle w:val="TableParagraph"/>
              <w:spacing w:before="13"/>
              <w:ind w:left="194" w:right="169"/>
              <w:jc w:val="center"/>
              <w:rPr>
                <w:b/>
                <w:sz w:val="17"/>
              </w:rPr>
            </w:pPr>
            <w:r>
              <w:rPr>
                <w:b/>
                <w:color w:val="030303"/>
                <w:w w:val="95"/>
                <w:sz w:val="17"/>
              </w:rPr>
              <w:t>92,483</w:t>
            </w:r>
          </w:p>
        </w:tc>
        <w:tc>
          <w:tcPr>
            <w:tcW w:w="29" w:type="dxa"/>
          </w:tcPr>
          <w:p>
            <w:pPr/>
          </w:p>
        </w:tc>
        <w:tc>
          <w:tcPr>
            <w:tcW w:w="893" w:type="dxa"/>
          </w:tcPr>
          <w:p>
            <w:pPr>
              <w:pStyle w:val="TableParagraph"/>
              <w:spacing w:line="195" w:lineRule="exact"/>
              <w:ind w:left="322"/>
              <w:rPr>
                <w:rFonts w:ascii="Times New Roman"/>
                <w:sz w:val="17"/>
              </w:rPr>
            </w:pPr>
            <w:r>
              <w:rPr>
                <w:rFonts w:ascii="Times New Roman"/>
                <w:color w:val="030303"/>
                <w:sz w:val="17"/>
              </w:rPr>
              <w:t>686</w:t>
            </w:r>
          </w:p>
        </w:tc>
        <w:tc>
          <w:tcPr>
            <w:tcW w:w="832" w:type="dxa"/>
          </w:tcPr>
          <w:p>
            <w:pPr>
              <w:pStyle w:val="TableParagraph"/>
              <w:spacing w:before="18"/>
              <w:ind w:left="311" w:right="293"/>
              <w:jc w:val="center"/>
              <w:rPr>
                <w:rFonts w:ascii="Times New Roman"/>
                <w:sz w:val="15"/>
              </w:rPr>
            </w:pPr>
            <w:r>
              <w:rPr>
                <w:rFonts w:ascii="Times New Roman"/>
                <w:color w:val="030303"/>
                <w:w w:val="110"/>
                <w:sz w:val="15"/>
              </w:rPr>
              <w:t>53</w:t>
            </w:r>
          </w:p>
        </w:tc>
        <w:tc>
          <w:tcPr>
            <w:tcW w:w="913" w:type="dxa"/>
          </w:tcPr>
          <w:p>
            <w:pPr>
              <w:pStyle w:val="TableParagraph"/>
              <w:spacing w:before="8"/>
              <w:ind w:left="306" w:right="282"/>
              <w:jc w:val="center"/>
              <w:rPr>
                <w:rFonts w:ascii="Arial"/>
                <w:b/>
                <w:sz w:val="16"/>
              </w:rPr>
            </w:pPr>
            <w:r>
              <w:rPr>
                <w:rFonts w:ascii="Arial"/>
                <w:b/>
                <w:color w:val="030303"/>
                <w:w w:val="95"/>
                <w:sz w:val="16"/>
              </w:rPr>
              <w:t>154</w:t>
            </w:r>
          </w:p>
        </w:tc>
        <w:tc>
          <w:tcPr>
            <w:tcW w:w="572" w:type="dxa"/>
          </w:tcPr>
          <w:p>
            <w:pPr>
              <w:pStyle w:val="TableParagraph"/>
              <w:spacing w:before="18"/>
              <w:ind w:right="65"/>
              <w:jc w:val="right"/>
              <w:rPr>
                <w:rFonts w:ascii="Times New Roman"/>
                <w:sz w:val="15"/>
              </w:rPr>
            </w:pPr>
            <w:r>
              <w:rPr>
                <w:rFonts w:ascii="Times New Roman"/>
                <w:color w:val="030303"/>
                <w:w w:val="105"/>
                <w:sz w:val="15"/>
              </w:rPr>
              <w:t>37</w:t>
            </w:r>
          </w:p>
        </w:tc>
      </w:tr>
      <w:tr>
        <w:trPr>
          <w:trHeight w:val="195" w:hRule="exact"/>
        </w:trPr>
        <w:tc>
          <w:tcPr>
            <w:tcW w:w="818" w:type="dxa"/>
          </w:tcPr>
          <w:p>
            <w:pPr>
              <w:pStyle w:val="TableParagraph"/>
              <w:ind w:left="96"/>
              <w:rPr>
                <w:b/>
                <w:sz w:val="17"/>
              </w:rPr>
            </w:pPr>
            <w:r>
              <w:rPr>
                <w:b/>
                <w:color w:val="030303"/>
                <w:w w:val="80"/>
                <w:sz w:val="17"/>
              </w:rPr>
              <w:t>21</w:t>
            </w:r>
          </w:p>
        </w:tc>
        <w:tc>
          <w:tcPr>
            <w:tcW w:w="22" w:type="dxa"/>
          </w:tcPr>
          <w:p>
            <w:pPr/>
          </w:p>
        </w:tc>
        <w:tc>
          <w:tcPr>
            <w:tcW w:w="986" w:type="dxa"/>
          </w:tcPr>
          <w:p>
            <w:pPr>
              <w:pStyle w:val="TableParagraph"/>
              <w:spacing w:line="189" w:lineRule="exact"/>
              <w:ind w:left="172" w:right="169"/>
              <w:jc w:val="center"/>
              <w:rPr>
                <w:b/>
                <w:sz w:val="17"/>
              </w:rPr>
            </w:pPr>
            <w:r>
              <w:rPr>
                <w:b/>
                <w:color w:val="030303"/>
                <w:w w:val="90"/>
                <w:sz w:val="17"/>
              </w:rPr>
              <w:t>91,744</w:t>
            </w:r>
          </w:p>
        </w:tc>
        <w:tc>
          <w:tcPr>
            <w:tcW w:w="29" w:type="dxa"/>
          </w:tcPr>
          <w:p>
            <w:pPr/>
          </w:p>
        </w:tc>
        <w:tc>
          <w:tcPr>
            <w:tcW w:w="893" w:type="dxa"/>
          </w:tcPr>
          <w:p>
            <w:pPr>
              <w:pStyle w:val="TableParagraph"/>
              <w:spacing w:before="1"/>
              <w:ind w:left="319"/>
              <w:rPr>
                <w:rFonts w:ascii="Times New Roman"/>
                <w:sz w:val="15"/>
              </w:rPr>
            </w:pPr>
            <w:r>
              <w:rPr>
                <w:rFonts w:ascii="Times New Roman"/>
                <w:color w:val="030303"/>
                <w:w w:val="105"/>
                <w:sz w:val="15"/>
              </w:rPr>
              <w:t>684</w:t>
            </w:r>
          </w:p>
        </w:tc>
        <w:tc>
          <w:tcPr>
            <w:tcW w:w="832" w:type="dxa"/>
          </w:tcPr>
          <w:p>
            <w:pPr>
              <w:pStyle w:val="TableParagraph"/>
              <w:spacing w:line="171" w:lineRule="exact"/>
              <w:ind w:left="311" w:right="296"/>
              <w:jc w:val="center"/>
              <w:rPr>
                <w:rFonts w:ascii="Times New Roman"/>
                <w:sz w:val="15"/>
              </w:rPr>
            </w:pPr>
            <w:r>
              <w:rPr>
                <w:rFonts w:ascii="Times New Roman"/>
                <w:color w:val="030303"/>
                <w:w w:val="110"/>
                <w:sz w:val="15"/>
              </w:rPr>
              <w:t>52</w:t>
            </w:r>
          </w:p>
        </w:tc>
        <w:tc>
          <w:tcPr>
            <w:tcW w:w="913" w:type="dxa"/>
          </w:tcPr>
          <w:p>
            <w:pPr>
              <w:pStyle w:val="TableParagraph"/>
              <w:spacing w:line="176" w:lineRule="exact"/>
              <w:ind w:left="306" w:right="276"/>
              <w:jc w:val="center"/>
              <w:rPr>
                <w:rFonts w:ascii="Arial"/>
                <w:b/>
                <w:sz w:val="16"/>
              </w:rPr>
            </w:pPr>
            <w:r>
              <w:rPr>
                <w:rFonts w:ascii="Arial"/>
                <w:b/>
                <w:color w:val="030303"/>
                <w:sz w:val="16"/>
              </w:rPr>
              <w:t>170</w:t>
            </w:r>
          </w:p>
        </w:tc>
        <w:tc>
          <w:tcPr>
            <w:tcW w:w="572" w:type="dxa"/>
          </w:tcPr>
          <w:p>
            <w:pPr>
              <w:pStyle w:val="TableParagraph"/>
              <w:ind w:right="55"/>
              <w:jc w:val="right"/>
              <w:rPr>
                <w:b/>
                <w:sz w:val="17"/>
              </w:rPr>
            </w:pPr>
            <w:r>
              <w:rPr>
                <w:b/>
                <w:color w:val="030303"/>
                <w:w w:val="85"/>
                <w:sz w:val="17"/>
              </w:rPr>
              <w:t>38</w:t>
            </w:r>
          </w:p>
        </w:tc>
      </w:tr>
      <w:tr>
        <w:trPr>
          <w:trHeight w:val="201" w:hRule="exact"/>
        </w:trPr>
        <w:tc>
          <w:tcPr>
            <w:tcW w:w="818" w:type="dxa"/>
          </w:tcPr>
          <w:p>
            <w:pPr>
              <w:pStyle w:val="TableParagraph"/>
              <w:spacing w:before="7"/>
              <w:ind w:left="100"/>
              <w:rPr>
                <w:b/>
                <w:sz w:val="17"/>
              </w:rPr>
            </w:pPr>
            <w:r>
              <w:rPr>
                <w:b/>
                <w:color w:val="030303"/>
                <w:w w:val="90"/>
                <w:sz w:val="17"/>
              </w:rPr>
              <w:t>22</w:t>
            </w:r>
          </w:p>
        </w:tc>
        <w:tc>
          <w:tcPr>
            <w:tcW w:w="22" w:type="dxa"/>
          </w:tcPr>
          <w:p>
            <w:pPr/>
          </w:p>
        </w:tc>
        <w:tc>
          <w:tcPr>
            <w:tcW w:w="986" w:type="dxa"/>
          </w:tcPr>
          <w:p>
            <w:pPr>
              <w:pStyle w:val="TableParagraph"/>
              <w:spacing w:line="182" w:lineRule="exact"/>
              <w:ind w:left="183" w:right="169"/>
              <w:jc w:val="center"/>
              <w:rPr>
                <w:rFonts w:ascii="Times New Roman"/>
                <w:sz w:val="17"/>
              </w:rPr>
            </w:pPr>
            <w:r>
              <w:rPr>
                <w:rFonts w:ascii="Times New Roman"/>
                <w:color w:val="030303"/>
                <w:sz w:val="17"/>
              </w:rPr>
              <w:t>91, 008</w:t>
            </w:r>
          </w:p>
        </w:tc>
        <w:tc>
          <w:tcPr>
            <w:tcW w:w="29" w:type="dxa"/>
          </w:tcPr>
          <w:p>
            <w:pPr/>
          </w:p>
        </w:tc>
        <w:tc>
          <w:tcPr>
            <w:tcW w:w="893" w:type="dxa"/>
          </w:tcPr>
          <w:p>
            <w:pPr>
              <w:pStyle w:val="TableParagraph"/>
              <w:spacing w:line="182" w:lineRule="exact"/>
              <w:ind w:left="322"/>
              <w:rPr>
                <w:rFonts w:ascii="Arial"/>
                <w:sz w:val="16"/>
              </w:rPr>
            </w:pPr>
            <w:r>
              <w:rPr>
                <w:rFonts w:ascii="Arial"/>
                <w:color w:val="030303"/>
                <w:sz w:val="16"/>
              </w:rPr>
              <w:t>683</w:t>
            </w:r>
          </w:p>
        </w:tc>
        <w:tc>
          <w:tcPr>
            <w:tcW w:w="832" w:type="dxa"/>
          </w:tcPr>
          <w:p>
            <w:pPr>
              <w:pStyle w:val="TableParagraph"/>
              <w:spacing w:line="179" w:lineRule="exact"/>
              <w:ind w:left="311" w:right="297"/>
              <w:jc w:val="center"/>
              <w:rPr>
                <w:rFonts w:ascii="Arial"/>
                <w:sz w:val="16"/>
              </w:rPr>
            </w:pPr>
            <w:r>
              <w:rPr>
                <w:rFonts w:ascii="Arial"/>
                <w:color w:val="030303"/>
                <w:sz w:val="16"/>
              </w:rPr>
              <w:t>52</w:t>
            </w:r>
          </w:p>
        </w:tc>
        <w:tc>
          <w:tcPr>
            <w:tcW w:w="913" w:type="dxa"/>
          </w:tcPr>
          <w:p>
            <w:pPr>
              <w:pStyle w:val="TableParagraph"/>
              <w:spacing w:before="7"/>
              <w:ind w:left="306" w:right="281"/>
              <w:jc w:val="center"/>
              <w:rPr>
                <w:b/>
                <w:sz w:val="17"/>
              </w:rPr>
            </w:pPr>
            <w:r>
              <w:rPr>
                <w:b/>
                <w:color w:val="030303"/>
                <w:w w:val="85"/>
                <w:sz w:val="17"/>
              </w:rPr>
              <w:t>184</w:t>
            </w:r>
          </w:p>
        </w:tc>
        <w:tc>
          <w:tcPr>
            <w:tcW w:w="572" w:type="dxa"/>
          </w:tcPr>
          <w:p>
            <w:pPr>
              <w:pStyle w:val="TableParagraph"/>
              <w:spacing w:before="7"/>
              <w:ind w:right="55"/>
              <w:jc w:val="right"/>
              <w:rPr>
                <w:b/>
                <w:sz w:val="17"/>
              </w:rPr>
            </w:pPr>
            <w:r>
              <w:rPr>
                <w:b/>
                <w:color w:val="030303"/>
                <w:w w:val="85"/>
                <w:sz w:val="17"/>
              </w:rPr>
              <w:t>38</w:t>
            </w:r>
          </w:p>
        </w:tc>
      </w:tr>
      <w:tr>
        <w:trPr>
          <w:trHeight w:val="200" w:hRule="exact"/>
        </w:trPr>
        <w:tc>
          <w:tcPr>
            <w:tcW w:w="818" w:type="dxa"/>
          </w:tcPr>
          <w:p>
            <w:pPr>
              <w:pStyle w:val="TableParagraph"/>
              <w:spacing w:line="199" w:lineRule="exact"/>
              <w:ind w:left="96"/>
              <w:rPr>
                <w:sz w:val="18"/>
              </w:rPr>
            </w:pPr>
            <w:r>
              <w:rPr>
                <w:color w:val="030303"/>
                <w:sz w:val="18"/>
              </w:rPr>
              <w:t>23</w:t>
            </w:r>
          </w:p>
        </w:tc>
        <w:tc>
          <w:tcPr>
            <w:tcW w:w="22" w:type="dxa"/>
          </w:tcPr>
          <w:p>
            <w:pPr/>
          </w:p>
        </w:tc>
        <w:tc>
          <w:tcPr>
            <w:tcW w:w="986" w:type="dxa"/>
          </w:tcPr>
          <w:p>
            <w:pPr>
              <w:pStyle w:val="TableParagraph"/>
              <w:spacing w:line="182" w:lineRule="exact"/>
              <w:ind w:left="170" w:right="169"/>
              <w:jc w:val="center"/>
              <w:rPr>
                <w:rFonts w:ascii="Times New Roman"/>
                <w:b/>
                <w:sz w:val="17"/>
              </w:rPr>
            </w:pPr>
            <w:r>
              <w:rPr>
                <w:rFonts w:ascii="Times New Roman"/>
                <w:b/>
                <w:color w:val="030303"/>
                <w:sz w:val="17"/>
              </w:rPr>
              <w:t>90, 273</w:t>
            </w:r>
          </w:p>
        </w:tc>
        <w:tc>
          <w:tcPr>
            <w:tcW w:w="29" w:type="dxa"/>
          </w:tcPr>
          <w:p>
            <w:pPr/>
          </w:p>
        </w:tc>
        <w:tc>
          <w:tcPr>
            <w:tcW w:w="893" w:type="dxa"/>
          </w:tcPr>
          <w:p>
            <w:pPr>
              <w:pStyle w:val="TableParagraph"/>
              <w:spacing w:before="3"/>
              <w:ind w:left="319"/>
              <w:rPr>
                <w:b/>
                <w:sz w:val="17"/>
              </w:rPr>
            </w:pPr>
            <w:r>
              <w:rPr>
                <w:b/>
                <w:color w:val="030303"/>
                <w:w w:val="95"/>
                <w:sz w:val="17"/>
              </w:rPr>
              <w:t>682</w:t>
            </w:r>
          </w:p>
        </w:tc>
        <w:tc>
          <w:tcPr>
            <w:tcW w:w="832" w:type="dxa"/>
          </w:tcPr>
          <w:p>
            <w:pPr>
              <w:pStyle w:val="TableParagraph"/>
              <w:spacing w:line="179" w:lineRule="exact"/>
              <w:ind w:left="309" w:right="300"/>
              <w:jc w:val="center"/>
              <w:rPr>
                <w:rFonts w:ascii="Arial"/>
                <w:sz w:val="16"/>
              </w:rPr>
            </w:pPr>
            <w:r>
              <w:rPr>
                <w:rFonts w:ascii="Arial"/>
                <w:color w:val="030303"/>
                <w:sz w:val="16"/>
              </w:rPr>
              <w:t>51</w:t>
            </w:r>
          </w:p>
        </w:tc>
        <w:tc>
          <w:tcPr>
            <w:tcW w:w="913" w:type="dxa"/>
          </w:tcPr>
          <w:p>
            <w:pPr>
              <w:pStyle w:val="TableParagraph"/>
              <w:spacing w:before="7"/>
              <w:ind w:left="306" w:right="282"/>
              <w:jc w:val="center"/>
              <w:rPr>
                <w:b/>
                <w:sz w:val="17"/>
              </w:rPr>
            </w:pPr>
            <w:r>
              <w:rPr>
                <w:b/>
                <w:color w:val="030303"/>
                <w:w w:val="90"/>
                <w:sz w:val="17"/>
              </w:rPr>
              <w:t>198</w:t>
            </w:r>
          </w:p>
        </w:tc>
        <w:tc>
          <w:tcPr>
            <w:tcW w:w="572" w:type="dxa"/>
          </w:tcPr>
          <w:p>
            <w:pPr>
              <w:pStyle w:val="TableParagraph"/>
              <w:spacing w:line="182" w:lineRule="exact"/>
              <w:ind w:right="59"/>
              <w:jc w:val="right"/>
              <w:rPr>
                <w:rFonts w:ascii="Times New Roman"/>
                <w:sz w:val="17"/>
              </w:rPr>
            </w:pPr>
            <w:r>
              <w:rPr>
                <w:rFonts w:ascii="Times New Roman"/>
                <w:color w:val="030303"/>
                <w:sz w:val="17"/>
              </w:rPr>
              <w:t>38</w:t>
            </w:r>
          </w:p>
        </w:tc>
      </w:tr>
      <w:tr>
        <w:trPr>
          <w:trHeight w:val="198" w:hRule="exact"/>
        </w:trPr>
        <w:tc>
          <w:tcPr>
            <w:tcW w:w="818" w:type="dxa"/>
          </w:tcPr>
          <w:p>
            <w:pPr>
              <w:pStyle w:val="TableParagraph"/>
              <w:spacing w:line="180" w:lineRule="exact"/>
              <w:ind w:left="93"/>
              <w:rPr>
                <w:rFonts w:ascii="Times New Roman"/>
                <w:b/>
                <w:sz w:val="17"/>
              </w:rPr>
            </w:pPr>
            <w:r>
              <w:rPr>
                <w:rFonts w:ascii="Times New Roman"/>
                <w:b/>
                <w:color w:val="030303"/>
                <w:sz w:val="17"/>
              </w:rPr>
              <w:t>24</w:t>
            </w:r>
          </w:p>
        </w:tc>
        <w:tc>
          <w:tcPr>
            <w:tcW w:w="22" w:type="dxa"/>
          </w:tcPr>
          <w:p>
            <w:pPr/>
          </w:p>
        </w:tc>
        <w:tc>
          <w:tcPr>
            <w:tcW w:w="986" w:type="dxa"/>
          </w:tcPr>
          <w:p>
            <w:pPr>
              <w:pStyle w:val="TableParagraph"/>
              <w:spacing w:line="180" w:lineRule="exact"/>
              <w:ind w:left="174" w:right="169"/>
              <w:jc w:val="center"/>
              <w:rPr>
                <w:rFonts w:ascii="Times New Roman"/>
                <w:sz w:val="17"/>
              </w:rPr>
            </w:pPr>
            <w:r>
              <w:rPr>
                <w:rFonts w:ascii="Times New Roman"/>
                <w:color w:val="030303"/>
                <w:sz w:val="17"/>
              </w:rPr>
              <w:t>89, 540</w:t>
            </w:r>
          </w:p>
        </w:tc>
        <w:tc>
          <w:tcPr>
            <w:tcW w:w="29" w:type="dxa"/>
          </w:tcPr>
          <w:p>
            <w:pPr/>
          </w:p>
        </w:tc>
        <w:tc>
          <w:tcPr>
            <w:tcW w:w="893" w:type="dxa"/>
          </w:tcPr>
          <w:p>
            <w:pPr>
              <w:pStyle w:val="TableParagraph"/>
              <w:spacing w:before="15"/>
              <w:ind w:left="315"/>
              <w:rPr>
                <w:rFonts w:ascii="Arial"/>
                <w:b/>
                <w:sz w:val="14"/>
              </w:rPr>
            </w:pPr>
            <w:r>
              <w:rPr>
                <w:rFonts w:ascii="Arial"/>
                <w:b/>
                <w:color w:val="030303"/>
                <w:w w:val="105"/>
                <w:sz w:val="14"/>
              </w:rPr>
              <w:t>681</w:t>
            </w:r>
          </w:p>
        </w:tc>
        <w:tc>
          <w:tcPr>
            <w:tcW w:w="832" w:type="dxa"/>
          </w:tcPr>
          <w:p>
            <w:pPr>
              <w:pStyle w:val="TableParagraph"/>
              <w:spacing w:before="15"/>
              <w:ind w:left="310" w:right="300"/>
              <w:jc w:val="center"/>
              <w:rPr>
                <w:rFonts w:ascii="Arial"/>
                <w:b/>
                <w:sz w:val="14"/>
              </w:rPr>
            </w:pPr>
            <w:r>
              <w:rPr>
                <w:rFonts w:ascii="Arial"/>
                <w:b/>
                <w:color w:val="030303"/>
                <w:w w:val="110"/>
                <w:sz w:val="14"/>
              </w:rPr>
              <w:t>51</w:t>
            </w:r>
          </w:p>
        </w:tc>
        <w:tc>
          <w:tcPr>
            <w:tcW w:w="913" w:type="dxa"/>
          </w:tcPr>
          <w:p>
            <w:pPr>
              <w:pStyle w:val="TableParagraph"/>
              <w:spacing w:line="180" w:lineRule="exact"/>
              <w:ind w:left="292" w:right="286"/>
              <w:jc w:val="center"/>
              <w:rPr>
                <w:rFonts w:ascii="Arial"/>
                <w:b/>
                <w:sz w:val="16"/>
              </w:rPr>
            </w:pPr>
            <w:r>
              <w:rPr>
                <w:rFonts w:ascii="Arial"/>
                <w:b/>
                <w:color w:val="030303"/>
                <w:sz w:val="16"/>
              </w:rPr>
              <w:t>211</w:t>
            </w:r>
          </w:p>
        </w:tc>
        <w:tc>
          <w:tcPr>
            <w:tcW w:w="572" w:type="dxa"/>
          </w:tcPr>
          <w:p>
            <w:pPr>
              <w:pStyle w:val="TableParagraph"/>
              <w:spacing w:line="201" w:lineRule="exact"/>
              <w:ind w:right="33"/>
              <w:jc w:val="right"/>
              <w:rPr>
                <w:sz w:val="18"/>
              </w:rPr>
            </w:pPr>
            <w:r>
              <w:rPr>
                <w:color w:val="030303"/>
                <w:w w:val="105"/>
                <w:sz w:val="18"/>
              </w:rPr>
              <w:t>38</w:t>
            </w:r>
          </w:p>
        </w:tc>
      </w:tr>
      <w:tr>
        <w:trPr>
          <w:trHeight w:val="116" w:hRule="exact"/>
        </w:trPr>
        <w:tc>
          <w:tcPr>
            <w:tcW w:w="818" w:type="dxa"/>
          </w:tcPr>
          <w:p>
            <w:pPr/>
          </w:p>
        </w:tc>
        <w:tc>
          <w:tcPr>
            <w:tcW w:w="22" w:type="dxa"/>
          </w:tcPr>
          <w:p>
            <w:pPr/>
          </w:p>
        </w:tc>
        <w:tc>
          <w:tcPr>
            <w:tcW w:w="986" w:type="dxa"/>
          </w:tcPr>
          <w:p>
            <w:pPr/>
          </w:p>
        </w:tc>
        <w:tc>
          <w:tcPr>
            <w:tcW w:w="29" w:type="dxa"/>
          </w:tcPr>
          <w:p>
            <w:pPr/>
          </w:p>
        </w:tc>
        <w:tc>
          <w:tcPr>
            <w:tcW w:w="893" w:type="dxa"/>
          </w:tcPr>
          <w:p>
            <w:pPr/>
          </w:p>
        </w:tc>
        <w:tc>
          <w:tcPr>
            <w:tcW w:w="832" w:type="dxa"/>
          </w:tcPr>
          <w:p>
            <w:pPr/>
          </w:p>
        </w:tc>
        <w:tc>
          <w:tcPr>
            <w:tcW w:w="913" w:type="dxa"/>
          </w:tcPr>
          <w:p>
            <w:pPr/>
          </w:p>
        </w:tc>
        <w:tc>
          <w:tcPr>
            <w:tcW w:w="572" w:type="dxa"/>
          </w:tcPr>
          <w:p>
            <w:pPr/>
          </w:p>
        </w:tc>
      </w:tr>
    </w:tbl>
    <w:p>
      <w:pPr>
        <w:pStyle w:val="BodyText"/>
        <w:spacing w:before="7"/>
        <w:rPr>
          <w:b/>
          <w:sz w:val="14"/>
        </w:rPr>
      </w:pPr>
    </w:p>
    <w:p>
      <w:pPr>
        <w:spacing w:line="240" w:lineRule="exact" w:before="77"/>
        <w:ind w:left="114" w:right="141" w:firstLine="3"/>
        <w:jc w:val="both"/>
        <w:rPr>
          <w:sz w:val="19"/>
        </w:rPr>
      </w:pPr>
      <w:r>
        <w:rPr/>
        <w:pict>
          <v:group style="position:absolute;margin-left:38.828140pt;margin-top:-113.784103pt;width:288.1pt;height:105.95pt;mso-position-horizontal-relative:page;mso-position-vertical-relative:paragraph;z-index:-711880" coordorigin="777,-2276" coordsize="5762,2119">
            <v:line style="position:absolute" from="782,-2270" to="6533,-2270" stroked="true" strokeweight=".538117pt" strokecolor="#000000"/>
            <v:line style="position:absolute" from="2077,-1875" to="2210,-1875" stroked="true" strokeweight=".358744pt" strokecolor="#000000"/>
            <v:shape style="position:absolute;left:2077;top:-1788;width:4452;height:1702" coordorigin="2077,-1788" coordsize="4452,1702" path="m2077,-1875l3064,-1875m3092,-1869l6529,-1869m3973,-1184l3973,-2177m3060,-475l3060,-1925e" filled="false" stroked="true" strokeweight=".538117pt" strokecolor="#000000">
              <v:path arrowok="t"/>
            </v:shape>
            <v:line style="position:absolute" from="997,-1296" to="6371,-1296" stroked="true" strokeweight=".179372pt" strokecolor="#000000"/>
            <v:shape style="position:absolute;left:2045;top:-2047;width:3674;height:1108" coordorigin="2045,-2047" coordsize="3674,1108" path="m2045,-1058l2045,-1324m5718,-217l5718,-918e" filled="false" stroked="true" strokeweight=".358744pt" strokecolor="#000000">
              <v:path arrowok="t"/>
            </v:shape>
            <v:shape style="position:absolute;left:782;top:-2101;width:5618;height:2065" coordorigin="782,-2101" coordsize="5618,2065" path="m2043,-224l2043,-1321m782,-168l6400,-168m3971,-166l3971,-2227m4804,-163l4804,-2223m5717,-217l5717,-2223e" filled="false" stroked="true" strokeweight=".538117pt" strokecolor="#000000">
              <v:path arrowok="t"/>
            </v:shape>
            <v:shape style="position:absolute;left:5715;top:-2182;width:37;height:100" type="#_x0000_t202" filled="false" stroked="false">
              <v:textbox inset="0,0,0,0">
                <w:txbxContent>
                  <w:p>
                    <w:pPr>
                      <w:spacing w:line="100" w:lineRule="exact" w:before="0"/>
                      <w:ind w:left="0" w:right="0" w:firstLine="0"/>
                      <w:jc w:val="left"/>
                      <w:rPr>
                        <w:rFonts w:ascii="Arial"/>
                        <w:sz w:val="10"/>
                      </w:rPr>
                    </w:pPr>
                    <w:r>
                      <w:rPr>
                        <w:rFonts w:ascii="Arial"/>
                        <w:color w:val="030303"/>
                        <w:w w:val="65"/>
                        <w:sz w:val="10"/>
                      </w:rPr>
                      <w:t>1</w:t>
                    </w:r>
                  </w:p>
                </w:txbxContent>
              </v:textbox>
              <w10:wrap type="none"/>
            </v:shape>
            <v:shape style="position:absolute;left:1223;top:-1892;width:326;height:120" type="#_x0000_t202" filled="false" stroked="false">
              <v:textbox inset="0,0,0,0">
                <w:txbxContent>
                  <w:p>
                    <w:pPr>
                      <w:spacing w:line="120" w:lineRule="exact" w:before="0"/>
                      <w:ind w:left="0" w:right="-10" w:firstLine="0"/>
                      <w:jc w:val="left"/>
                      <w:rPr>
                        <w:rFonts w:ascii="Arial"/>
                        <w:sz w:val="11"/>
                      </w:rPr>
                    </w:pPr>
                    <w:r>
                      <w:rPr>
                        <w:color w:val="030303"/>
                        <w:sz w:val="12"/>
                      </w:rPr>
                      <w:t>Age </w:t>
                    </w:r>
                    <w:r>
                      <w:rPr>
                        <w:rFonts w:ascii="Arial"/>
                        <w:color w:val="030303"/>
                        <w:sz w:val="11"/>
                      </w:rPr>
                      <w:t>.x</w:t>
                    </w:r>
                  </w:p>
                </w:txbxContent>
              </v:textbox>
              <w10:wrap type="none"/>
            </v:shape>
            <v:shape style="position:absolute;left:5281;top:-1650;width:57;height:110" type="#_x0000_t202" filled="false" stroked="false">
              <v:textbox inset="0,0,0,0">
                <w:txbxContent>
                  <w:p>
                    <w:pPr>
                      <w:spacing w:line="110" w:lineRule="exact" w:before="0"/>
                      <w:ind w:left="0" w:right="0" w:firstLine="0"/>
                      <w:jc w:val="left"/>
                      <w:rPr>
                        <w:b/>
                        <w:sz w:val="11"/>
                      </w:rPr>
                    </w:pPr>
                    <w:r>
                      <w:rPr>
                        <w:b/>
                        <w:color w:val="030303"/>
                        <w:w w:val="114"/>
                        <w:sz w:val="11"/>
                      </w:rPr>
                      <w:t>z</w:t>
                    </w:r>
                  </w:p>
                </w:txbxContent>
              </v:textbox>
              <w10:wrap type="none"/>
            </v:shape>
            <v:shape style="position:absolute;left:2041;top:-1376;width:22;height:60" type="#_x0000_t202" filled="false" stroked="false">
              <v:textbox inset="0,0,0,0">
                <w:txbxContent>
                  <w:p>
                    <w:pPr>
                      <w:spacing w:line="60" w:lineRule="exact" w:before="0"/>
                      <w:ind w:left="0" w:right="0" w:firstLine="0"/>
                      <w:jc w:val="left"/>
                      <w:rPr>
                        <w:rFonts w:ascii="Arial"/>
                        <w:sz w:val="6"/>
                      </w:rPr>
                    </w:pPr>
                    <w:r>
                      <w:rPr>
                        <w:rFonts w:ascii="Arial"/>
                        <w:color w:val="030303"/>
                        <w:w w:val="65"/>
                        <w:sz w:val="6"/>
                      </w:rPr>
                      <w:t>1</w:t>
                    </w:r>
                  </w:p>
                </w:txbxContent>
              </v:textbox>
              <w10:wrap type="none"/>
            </v:shape>
            <v:shape style="position:absolute;left:3049;top:-280;width:29;height:100" type="#_x0000_t202" filled="false" stroked="false">
              <v:textbox inset="0,0,0,0">
                <w:txbxContent>
                  <w:p>
                    <w:pPr>
                      <w:spacing w:line="100" w:lineRule="exact" w:before="0"/>
                      <w:ind w:left="0" w:right="0" w:firstLine="0"/>
                      <w:jc w:val="left"/>
                      <w:rPr>
                        <w:rFonts w:ascii="Arial"/>
                        <w:sz w:val="10"/>
                      </w:rPr>
                    </w:pPr>
                    <w:r>
                      <w:rPr>
                        <w:rFonts w:ascii="Arial"/>
                        <w:color w:val="030303"/>
                        <w:w w:val="51"/>
                        <w:sz w:val="10"/>
                      </w:rPr>
                      <w:t>1</w:t>
                    </w:r>
                  </w:p>
                </w:txbxContent>
              </v:textbox>
              <w10:wrap type="none"/>
            </v:shape>
            <w10:wrap type="none"/>
          </v:group>
        </w:pict>
      </w:r>
      <w:r>
        <w:rPr>
          <w:color w:val="030303"/>
          <w:w w:val="115"/>
          <w:sz w:val="19"/>
        </w:rPr>
        <w:t>scrved. </w:t>
      </w:r>
      <w:r>
        <w:rPr>
          <w:color w:val="030303"/>
          <w:w w:val="115"/>
          <w:sz w:val="21"/>
        </w:rPr>
        <w:t>In </w:t>
      </w:r>
      <w:r>
        <w:rPr>
          <w:color w:val="030303"/>
          <w:w w:val="115"/>
          <w:sz w:val="19"/>
        </w:rPr>
        <w:t>such cases, when there is a double superscript,  as in  </w:t>
      </w:r>
      <w:r>
        <w:rPr>
          <w:rFonts w:ascii="Arial" w:hAnsi="Arial"/>
          <w:i/>
          <w:color w:val="030303"/>
          <w:spacing w:val="3"/>
          <w:w w:val="115"/>
          <w:sz w:val="16"/>
        </w:rPr>
        <w:t>pª </w:t>
      </w:r>
      <w:r>
        <w:rPr>
          <w:color w:val="030303"/>
          <w:w w:val="115"/>
          <w:sz w:val="19"/>
        </w:rPr>
        <w:t>and </w:t>
      </w:r>
      <w:r>
        <w:rPr>
          <w:color w:val="030303"/>
          <w:spacing w:val="-3"/>
          <w:w w:val="115"/>
          <w:sz w:val="21"/>
        </w:rPr>
        <w:t>a:i, </w:t>
      </w:r>
      <w:r>
        <w:rPr>
          <w:color w:val="030303"/>
          <w:w w:val="115"/>
          <w:sz w:val="19"/>
        </w:rPr>
        <w:t>the first letter indicates </w:t>
      </w:r>
      <w:r>
        <w:rPr>
          <w:color w:val="030303"/>
          <w:w w:val="115"/>
          <w:sz w:val="21"/>
        </w:rPr>
        <w:t>the </w:t>
      </w:r>
      <w:r>
        <w:rPr>
          <w:color w:val="030303"/>
          <w:w w:val="115"/>
          <w:sz w:val="19"/>
        </w:rPr>
        <w:t>present tate and the</w:t>
      </w:r>
      <w:r>
        <w:rPr>
          <w:color w:val="030303"/>
          <w:spacing w:val="-31"/>
          <w:w w:val="115"/>
          <w:sz w:val="19"/>
        </w:rPr>
        <w:t> </w:t>
      </w:r>
      <w:r>
        <w:rPr>
          <w:color w:val="030303"/>
          <w:w w:val="115"/>
          <w:sz w:val="19"/>
        </w:rPr>
        <w:t>sccond lettcr</w:t>
      </w:r>
      <w:r>
        <w:rPr>
          <w:color w:val="030303"/>
          <w:spacing w:val="-14"/>
          <w:w w:val="115"/>
          <w:sz w:val="19"/>
        </w:rPr>
        <w:t> </w:t>
      </w:r>
      <w:r>
        <w:rPr>
          <w:color w:val="030303"/>
          <w:w w:val="115"/>
          <w:sz w:val="19"/>
        </w:rPr>
        <w:t>specifies</w:t>
      </w:r>
      <w:r>
        <w:rPr>
          <w:color w:val="030303"/>
          <w:spacing w:val="-12"/>
          <w:w w:val="115"/>
          <w:sz w:val="19"/>
        </w:rPr>
        <w:t> </w:t>
      </w:r>
      <w:r>
        <w:rPr>
          <w:color w:val="030303"/>
          <w:w w:val="115"/>
          <w:sz w:val="19"/>
        </w:rPr>
        <w:t>a</w:t>
      </w:r>
      <w:r>
        <w:rPr>
          <w:color w:val="030303"/>
          <w:spacing w:val="-11"/>
          <w:w w:val="115"/>
          <w:sz w:val="19"/>
        </w:rPr>
        <w:t> </w:t>
      </w:r>
      <w:r>
        <w:rPr>
          <w:color w:val="030303"/>
          <w:sz w:val="19"/>
        </w:rPr>
        <w:t>f</w:t>
      </w:r>
      <w:r>
        <w:rPr>
          <w:color w:val="030303"/>
          <w:spacing w:val="-36"/>
          <w:sz w:val="19"/>
        </w:rPr>
        <w:t> </w:t>
      </w:r>
      <w:r>
        <w:rPr>
          <w:color w:val="030303"/>
          <w:w w:val="115"/>
          <w:sz w:val="19"/>
        </w:rPr>
        <w:t>utu</w:t>
      </w:r>
      <w:r>
        <w:rPr>
          <w:color w:val="030303"/>
          <w:spacing w:val="-37"/>
          <w:w w:val="115"/>
          <w:sz w:val="19"/>
        </w:rPr>
        <w:t> </w:t>
      </w:r>
      <w:r>
        <w:rPr>
          <w:color w:val="030303"/>
          <w:w w:val="115"/>
          <w:sz w:val="19"/>
        </w:rPr>
        <w:t>rc</w:t>
      </w:r>
      <w:r>
        <w:rPr>
          <w:color w:val="030303"/>
          <w:spacing w:val="-14"/>
          <w:w w:val="115"/>
          <w:sz w:val="19"/>
        </w:rPr>
        <w:t> </w:t>
      </w:r>
      <w:r>
        <w:rPr>
          <w:color w:val="030303"/>
          <w:w w:val="115"/>
          <w:sz w:val="19"/>
        </w:rPr>
        <w:t>state.</w:t>
      </w:r>
      <w:r>
        <w:rPr>
          <w:color w:val="030303"/>
          <w:spacing w:val="-18"/>
          <w:w w:val="115"/>
          <w:sz w:val="19"/>
        </w:rPr>
        <w:t> </w:t>
      </w:r>
      <w:r>
        <w:rPr>
          <w:color w:val="030303"/>
          <w:w w:val="115"/>
          <w:sz w:val="19"/>
        </w:rPr>
        <w:t>For</w:t>
      </w:r>
      <w:r>
        <w:rPr>
          <w:color w:val="030303"/>
          <w:spacing w:val="-13"/>
          <w:w w:val="115"/>
          <w:sz w:val="19"/>
        </w:rPr>
        <w:t> </w:t>
      </w:r>
      <w:r>
        <w:rPr>
          <w:color w:val="030303"/>
          <w:w w:val="115"/>
          <w:sz w:val="19"/>
        </w:rPr>
        <w:t>example,</w:t>
      </w:r>
      <w:r>
        <w:rPr>
          <w:color w:val="030303"/>
          <w:spacing w:val="-10"/>
          <w:w w:val="115"/>
          <w:sz w:val="19"/>
        </w:rPr>
        <w:t> </w:t>
      </w:r>
      <w:r>
        <w:rPr>
          <w:i/>
          <w:color w:val="030303"/>
          <w:spacing w:val="6"/>
          <w:sz w:val="25"/>
        </w:rPr>
        <w:t>p°:</w:t>
      </w:r>
      <w:r>
        <w:rPr>
          <w:i/>
          <w:color w:val="030303"/>
          <w:spacing w:val="-47"/>
          <w:sz w:val="25"/>
        </w:rPr>
        <w:t> </w:t>
      </w:r>
      <w:r>
        <w:rPr>
          <w:color w:val="030303"/>
          <w:w w:val="115"/>
          <w:sz w:val="19"/>
        </w:rPr>
        <w:t>represcnts</w:t>
      </w:r>
      <w:r>
        <w:rPr>
          <w:color w:val="030303"/>
          <w:spacing w:val="-15"/>
          <w:w w:val="115"/>
          <w:sz w:val="19"/>
        </w:rPr>
        <w:t> </w:t>
      </w:r>
      <w:r>
        <w:rPr>
          <w:color w:val="030303"/>
          <w:w w:val="115"/>
          <w:sz w:val="19"/>
        </w:rPr>
        <w:t>the</w:t>
      </w:r>
      <w:r>
        <w:rPr>
          <w:color w:val="030303"/>
          <w:spacing w:val="-19"/>
          <w:w w:val="115"/>
          <w:sz w:val="19"/>
        </w:rPr>
        <w:t> </w:t>
      </w:r>
      <w:r>
        <w:rPr>
          <w:color w:val="030303"/>
          <w:w w:val="115"/>
          <w:sz w:val="19"/>
        </w:rPr>
        <w:t>proh­</w:t>
      </w:r>
    </w:p>
    <w:p>
      <w:pPr>
        <w:spacing w:line="168" w:lineRule="auto" w:before="69"/>
        <w:ind w:left="118" w:right="141" w:firstLine="0"/>
        <w:jc w:val="both"/>
        <w:rPr>
          <w:sz w:val="19"/>
        </w:rPr>
      </w:pPr>
      <w:r>
        <w:rPr>
          <w:color w:val="030303"/>
          <w:w w:val="110"/>
          <w:sz w:val="19"/>
        </w:rPr>
        <w:t>ability that a life now active will be alive and active one year later; and </w:t>
      </w:r>
      <w:r>
        <w:rPr>
          <w:i/>
          <w:color w:val="030303"/>
          <w:sz w:val="28"/>
        </w:rPr>
        <w:t>a:i </w:t>
      </w:r>
      <w:r>
        <w:rPr>
          <w:color w:val="030303"/>
          <w:w w:val="110"/>
          <w:sz w:val="19"/>
        </w:rPr>
        <w:t>is thc prcscnt  vulue of  an annuity which  is payable </w:t>
      </w:r>
      <w:r>
        <w:rPr>
          <w:color w:val="030303"/>
          <w:spacing w:val="50"/>
          <w:w w:val="110"/>
          <w:sz w:val="19"/>
        </w:rPr>
        <w:t> </w:t>
      </w:r>
      <w:r>
        <w:rPr>
          <w:color w:val="030303"/>
          <w:w w:val="110"/>
          <w:sz w:val="19"/>
        </w:rPr>
        <w:t>whcn</w:t>
      </w:r>
    </w:p>
    <w:p>
      <w:pPr>
        <w:spacing w:line="91" w:lineRule="auto" w:before="134"/>
        <w:ind w:left="118" w:right="145" w:firstLine="0"/>
        <w:jc w:val="both"/>
        <w:rPr>
          <w:sz w:val="19"/>
        </w:rPr>
      </w:pPr>
      <w:r>
        <w:rPr>
          <w:color w:val="030303"/>
          <w:w w:val="105"/>
          <w:sz w:val="19"/>
        </w:rPr>
        <w:t>a life now active becomcs disabled. When there is a single  super­ script,  thc   </w:t>
      </w:r>
      <w:r>
        <w:rPr>
          <w:color w:val="030303"/>
          <w:sz w:val="19"/>
        </w:rPr>
        <w:t>f </w:t>
      </w:r>
      <w:r>
        <w:rPr>
          <w:color w:val="030303"/>
          <w:w w:val="105"/>
          <w:sz w:val="19"/>
        </w:rPr>
        <w:t>uturc   </w:t>
      </w:r>
      <w:r>
        <w:rPr>
          <w:color w:val="1A1A1A"/>
          <w:w w:val="105"/>
          <w:sz w:val="19"/>
        </w:rPr>
        <w:t>statc  </w:t>
      </w:r>
      <w:r>
        <w:rPr>
          <w:color w:val="030303"/>
          <w:w w:val="105"/>
          <w:sz w:val="19"/>
        </w:rPr>
        <w:t>is  not   specificd.  Thus,  </w:t>
      </w:r>
      <w:r>
        <w:rPr>
          <w:i/>
          <w:color w:val="030303"/>
          <w:sz w:val="36"/>
        </w:rPr>
        <w:t>q: </w:t>
      </w:r>
      <w:r>
        <w:rPr>
          <w:color w:val="030303"/>
          <w:w w:val="105"/>
          <w:sz w:val="19"/>
        </w:rPr>
        <w:t>represents  the</w:t>
      </w:r>
    </w:p>
    <w:p>
      <w:pPr>
        <w:spacing w:line="264" w:lineRule="auto" w:before="34"/>
        <w:ind w:left="125" w:right="161" w:hanging="4"/>
        <w:jc w:val="both"/>
        <w:rPr>
          <w:sz w:val="19"/>
        </w:rPr>
      </w:pPr>
      <w:r>
        <w:rPr>
          <w:color w:val="030303"/>
          <w:w w:val="110"/>
          <w:sz w:val="19"/>
        </w:rPr>
        <w:t>probabili ty that a life now active will die within one year, whether active or  disabled.</w:t>
      </w:r>
    </w:p>
    <w:p>
      <w:pPr>
        <w:spacing w:line="232" w:lineRule="exact" w:before="0"/>
        <w:ind w:left="118" w:right="0" w:firstLine="204"/>
        <w:jc w:val="left"/>
        <w:rPr>
          <w:sz w:val="19"/>
        </w:rPr>
      </w:pPr>
      <w:r>
        <w:rPr>
          <w:color w:val="030303"/>
          <w:w w:val="103"/>
          <w:sz w:val="21"/>
        </w:rPr>
        <w:t>In</w:t>
      </w:r>
      <w:r>
        <w:rPr>
          <w:color w:val="030303"/>
          <w:spacing w:val="16"/>
          <w:sz w:val="21"/>
        </w:rPr>
        <w:t> </w:t>
      </w:r>
      <w:r>
        <w:rPr>
          <w:color w:val="030303"/>
          <w:w w:val="114"/>
          <w:sz w:val="19"/>
        </w:rPr>
        <w:t>the</w:t>
      </w:r>
      <w:r>
        <w:rPr>
          <w:color w:val="030303"/>
          <w:spacing w:val="15"/>
          <w:sz w:val="19"/>
        </w:rPr>
        <w:t> </w:t>
      </w:r>
      <w:r>
        <w:rPr>
          <w:color w:val="030303"/>
          <w:w w:val="110"/>
          <w:sz w:val="19"/>
        </w:rPr>
        <w:t>case</w:t>
      </w:r>
      <w:r>
        <w:rPr>
          <w:color w:val="030303"/>
          <w:spacing w:val="9"/>
          <w:sz w:val="19"/>
        </w:rPr>
        <w:t> </w:t>
      </w:r>
      <w:r>
        <w:rPr>
          <w:color w:val="030303"/>
          <w:w w:val="91"/>
          <w:sz w:val="19"/>
        </w:rPr>
        <w:t>of</w:t>
      </w:r>
      <w:r>
        <w:rPr>
          <w:color w:val="030303"/>
          <w:sz w:val="19"/>
        </w:rPr>
        <w:t> </w:t>
      </w:r>
      <w:r>
        <w:rPr>
          <w:color w:val="030303"/>
          <w:spacing w:val="-15"/>
          <w:sz w:val="19"/>
        </w:rPr>
        <w:t> </w:t>
      </w:r>
      <w:r>
        <w:rPr>
          <w:rFonts w:ascii="Arial"/>
          <w:color w:val="030303"/>
          <w:spacing w:val="-10"/>
          <w:w w:val="65"/>
          <w:sz w:val="27"/>
        </w:rPr>
        <w:t>q</w:t>
      </w:r>
      <w:r>
        <w:rPr>
          <w:rFonts w:ascii="Arial"/>
          <w:color w:val="030303"/>
          <w:w w:val="144"/>
          <w:sz w:val="27"/>
        </w:rPr>
        <w:t>!</w:t>
      </w:r>
      <w:r>
        <w:rPr>
          <w:rFonts w:ascii="Arial"/>
          <w:color w:val="030303"/>
          <w:spacing w:val="16"/>
          <w:w w:val="144"/>
          <w:sz w:val="27"/>
        </w:rPr>
        <w:t>,</w:t>
      </w:r>
      <w:r>
        <w:rPr>
          <w:color w:val="030303"/>
          <w:w w:val="116"/>
          <w:sz w:val="19"/>
        </w:rPr>
        <w:t>there</w:t>
      </w:r>
      <w:r>
        <w:rPr>
          <w:color w:val="030303"/>
          <w:spacing w:val="18"/>
          <w:sz w:val="19"/>
        </w:rPr>
        <w:t> </w:t>
      </w:r>
      <w:r>
        <w:rPr>
          <w:color w:val="030303"/>
          <w:w w:val="101"/>
          <w:sz w:val="19"/>
        </w:rPr>
        <w:t>is</w:t>
      </w:r>
      <w:r>
        <w:rPr>
          <w:color w:val="030303"/>
          <w:spacing w:val="9"/>
          <w:sz w:val="19"/>
        </w:rPr>
        <w:t> </w:t>
      </w:r>
      <w:r>
        <w:rPr>
          <w:color w:val="030303"/>
          <w:w w:val="107"/>
          <w:sz w:val="19"/>
        </w:rPr>
        <w:t>only</w:t>
      </w:r>
      <w:r>
        <w:rPr>
          <w:color w:val="030303"/>
          <w:spacing w:val="18"/>
          <w:sz w:val="19"/>
        </w:rPr>
        <w:t> </w:t>
      </w:r>
      <w:r>
        <w:rPr>
          <w:color w:val="030303"/>
          <w:w w:val="106"/>
          <w:sz w:val="19"/>
        </w:rPr>
        <w:t>one</w:t>
      </w:r>
      <w:r>
        <w:rPr>
          <w:color w:val="030303"/>
          <w:spacing w:val="14"/>
          <w:sz w:val="19"/>
        </w:rPr>
        <w:t> </w:t>
      </w:r>
      <w:r>
        <w:rPr>
          <w:color w:val="030303"/>
          <w:w w:val="109"/>
          <w:sz w:val="19"/>
        </w:rPr>
        <w:t>decrement</w:t>
      </w:r>
      <w:r>
        <w:rPr>
          <w:color w:val="030303"/>
          <w:sz w:val="19"/>
        </w:rPr>
        <w:t> </w:t>
      </w:r>
      <w:r>
        <w:rPr>
          <w:color w:val="030303"/>
          <w:spacing w:val="-21"/>
          <w:sz w:val="19"/>
        </w:rPr>
        <w:t> </w:t>
      </w:r>
      <w:r>
        <w:rPr>
          <w:color w:val="030303"/>
          <w:w w:val="110"/>
          <w:sz w:val="19"/>
        </w:rPr>
        <w:t>operating,</w:t>
      </w:r>
      <w:r>
        <w:rPr>
          <w:color w:val="030303"/>
          <w:sz w:val="19"/>
        </w:rPr>
        <w:t> </w:t>
      </w:r>
      <w:r>
        <w:rPr>
          <w:color w:val="030303"/>
          <w:spacing w:val="-15"/>
          <w:sz w:val="19"/>
        </w:rPr>
        <w:t> </w:t>
      </w:r>
      <w:r>
        <w:rPr>
          <w:color w:val="030303"/>
          <w:w w:val="112"/>
          <w:sz w:val="19"/>
        </w:rPr>
        <w:t>and</w:t>
      </w:r>
      <w:r>
        <w:rPr>
          <w:color w:val="030303"/>
          <w:spacing w:val="19"/>
          <w:sz w:val="19"/>
        </w:rPr>
        <w:t> </w:t>
      </w:r>
      <w:r>
        <w:rPr>
          <w:color w:val="030303"/>
          <w:w w:val="114"/>
          <w:sz w:val="19"/>
        </w:rPr>
        <w:t>the</w:t>
      </w:r>
    </w:p>
    <w:p>
      <w:pPr>
        <w:spacing w:line="100" w:lineRule="auto" w:before="109"/>
        <w:ind w:left="125" w:right="155" w:hanging="8"/>
        <w:jc w:val="both"/>
        <w:rPr>
          <w:sz w:val="19"/>
        </w:rPr>
      </w:pPr>
      <w:r>
        <w:rPr>
          <w:color w:val="030303"/>
          <w:w w:val="110"/>
          <w:sz w:val="19"/>
        </w:rPr>
        <w:t>symbol represents both the probability and the rate of mortality among   the   disahkd   lives.  The  function   </w:t>
      </w:r>
      <w:r>
        <w:rPr>
          <w:i/>
          <w:color w:val="030303"/>
          <w:w w:val="90"/>
          <w:sz w:val="35"/>
        </w:rPr>
        <w:t>q;  </w:t>
      </w:r>
      <w:r>
        <w:rPr>
          <w:color w:val="030303"/>
          <w:w w:val="110"/>
          <w:sz w:val="19"/>
        </w:rPr>
        <w:t>is  the counterpart</w:t>
      </w:r>
    </w:p>
    <w:p>
      <w:pPr>
        <w:spacing w:before="31"/>
        <w:ind w:left="125" w:right="0" w:firstLine="0"/>
        <w:jc w:val="both"/>
        <w:rPr>
          <w:sz w:val="19"/>
        </w:rPr>
      </w:pPr>
      <w:r>
        <w:rPr>
          <w:rFonts w:ascii="Arial"/>
          <w:color w:val="030303"/>
          <w:w w:val="110"/>
          <w:sz w:val="18"/>
        </w:rPr>
        <w:t>of </w:t>
      </w:r>
      <w:r>
        <w:rPr>
          <w:color w:val="030303"/>
          <w:w w:val="110"/>
          <w:sz w:val="19"/>
        </w:rPr>
        <w:t>the rate  </w:t>
      </w:r>
      <w:r>
        <w:rPr>
          <w:rFonts w:ascii="Arial"/>
          <w:i/>
          <w:color w:val="030303"/>
          <w:w w:val="110"/>
          <w:sz w:val="18"/>
        </w:rPr>
        <w:t>( hq </w:t>
      </w:r>
      <w:r>
        <w:rPr>
          <w:rFonts w:ascii="Arial"/>
          <w:color w:val="030303"/>
          <w:w w:val="110"/>
          <w:sz w:val="19"/>
        </w:rPr>
        <w:t>)x </w:t>
      </w:r>
      <w:r>
        <w:rPr>
          <w:color w:val="030303"/>
          <w:w w:val="110"/>
          <w:sz w:val="19"/>
        </w:rPr>
        <w:t>in the general model of Section  </w:t>
      </w:r>
      <w:r>
        <w:rPr>
          <w:color w:val="030303"/>
          <w:w w:val="125"/>
          <w:sz w:val="19"/>
        </w:rPr>
        <w:t>l.</w:t>
      </w:r>
    </w:p>
    <w:p>
      <w:pPr>
        <w:spacing w:line="261" w:lineRule="auto" w:before="19"/>
        <w:ind w:left="125" w:right="146" w:firstLine="200"/>
        <w:jc w:val="left"/>
        <w:rPr>
          <w:sz w:val="19"/>
        </w:rPr>
      </w:pPr>
      <w:r>
        <w:rPr>
          <w:color w:val="030303"/>
          <w:w w:val="105"/>
          <w:sz w:val="19"/>
        </w:rPr>
        <w:t>Formulas for  thc</w:t>
      </w:r>
      <w:r>
        <w:rPr>
          <w:color w:val="030303"/>
          <w:spacing w:val="49"/>
          <w:w w:val="105"/>
          <w:sz w:val="19"/>
        </w:rPr>
        <w:t> </w:t>
      </w:r>
      <w:r>
        <w:rPr>
          <w:color w:val="030303"/>
          <w:w w:val="105"/>
          <w:sz w:val="19"/>
        </w:rPr>
        <w:t>basic  proba bil itics  may  be  w ritten.  in  terms  of   the   comhined   disubility   an&lt;l   mortality   functions.   Each  </w:t>
      </w:r>
      <w:r>
        <w:rPr>
          <w:color w:val="030303"/>
          <w:spacing w:val="28"/>
          <w:w w:val="105"/>
          <w:sz w:val="19"/>
        </w:rPr>
        <w:t> </w:t>
      </w:r>
      <w:r>
        <w:rPr>
          <w:color w:val="030303"/>
          <w:w w:val="105"/>
          <w:sz w:val="19"/>
        </w:rPr>
        <w:t>one</w:t>
      </w:r>
    </w:p>
    <w:p>
      <w:pPr>
        <w:spacing w:after="0" w:line="261" w:lineRule="auto"/>
        <w:jc w:val="left"/>
        <w:rPr>
          <w:sz w:val="19"/>
        </w:rPr>
        <w:sectPr>
          <w:type w:val="continuous"/>
          <w:pgSz w:w="7200" w:h="11340"/>
          <w:pgMar w:top="1100" w:bottom="0" w:left="660" w:right="520"/>
        </w:sectPr>
      </w:pPr>
    </w:p>
    <w:p>
      <w:pPr>
        <w:tabs>
          <w:tab w:pos="1795" w:val="left" w:leader="none"/>
          <w:tab w:pos="5835" w:val="right" w:leader="none"/>
        </w:tabs>
        <w:spacing w:before="52"/>
        <w:ind w:left="137" w:right="0" w:firstLine="0"/>
        <w:jc w:val="left"/>
        <w:rPr>
          <w:b/>
          <w:sz w:val="19"/>
        </w:rPr>
      </w:pPr>
      <w:r>
        <w:rPr>
          <w:color w:val="030303"/>
          <w:sz w:val="15"/>
        </w:rPr>
        <w:t>SEC. </w:t>
      </w:r>
      <w:r>
        <w:rPr>
          <w:color w:val="030303"/>
          <w:spacing w:val="24"/>
          <w:sz w:val="15"/>
        </w:rPr>
        <w:t> </w:t>
      </w:r>
      <w:r>
        <w:rPr>
          <w:rFonts w:ascii="Arial"/>
          <w:color w:val="030303"/>
          <w:sz w:val="19"/>
        </w:rPr>
        <w:t>2)</w:t>
        <w:tab/>
      </w:r>
      <w:r>
        <w:rPr>
          <w:b/>
          <w:color w:val="030303"/>
          <w:position w:val="1"/>
          <w:sz w:val="15"/>
        </w:rPr>
        <w:t>DISABILITY  </w:t>
      </w:r>
      <w:r>
        <w:rPr>
          <w:b/>
          <w:color w:val="030303"/>
          <w:spacing w:val="10"/>
          <w:position w:val="1"/>
          <w:sz w:val="15"/>
        </w:rPr>
        <w:t> </w:t>
      </w:r>
      <w:r>
        <w:rPr>
          <w:b/>
          <w:color w:val="030303"/>
          <w:position w:val="1"/>
          <w:sz w:val="15"/>
        </w:rPr>
        <w:t>AND </w:t>
      </w:r>
      <w:r>
        <w:rPr>
          <w:b/>
          <w:color w:val="030303"/>
          <w:spacing w:val="30"/>
          <w:position w:val="1"/>
          <w:sz w:val="15"/>
        </w:rPr>
        <w:t> </w:t>
      </w:r>
      <w:r>
        <w:rPr>
          <w:b/>
          <w:color w:val="030303"/>
          <w:position w:val="1"/>
          <w:sz w:val="15"/>
        </w:rPr>
        <w:t>l\lORTALITY</w:t>
      </w:r>
      <w:r>
        <w:rPr>
          <w:b/>
          <w:color w:val="030303"/>
          <w:sz w:val="19"/>
        </w:rPr>
        <w:tab/>
        <w:t>297</w:t>
      </w:r>
    </w:p>
    <w:p>
      <w:pPr>
        <w:pStyle w:val="BodyText"/>
        <w:spacing w:before="1"/>
        <w:rPr>
          <w:b/>
          <w:sz w:val="21"/>
        </w:rPr>
      </w:pPr>
    </w:p>
    <w:p>
      <w:pPr>
        <w:pStyle w:val="BodyText"/>
        <w:spacing w:line="252" w:lineRule="auto" w:before="1"/>
        <w:ind w:left="123" w:right="118" w:firstLine="3"/>
        <w:jc w:val="both"/>
      </w:pPr>
      <w:r>
        <w:rPr>
          <w:color w:val="030303"/>
          <w:w w:val="105"/>
        </w:rPr>
        <w:t>listed below corresponds to a formula derived in the preceding section. Instead  of  repeating  the derivation  in each case, we shall</w:t>
      </w:r>
      <w:r>
        <w:rPr>
          <w:color w:val="030303"/>
          <w:spacing w:val="52"/>
          <w:w w:val="105"/>
        </w:rPr>
        <w:t> </w:t>
      </w:r>
      <w:r>
        <w:rPr>
          <w:color w:val="030303"/>
        </w:rPr>
        <w:t>i </w:t>
      </w:r>
      <w:r>
        <w:rPr>
          <w:color w:val="030303"/>
          <w:w w:val="105"/>
        </w:rPr>
        <w:t>ndica.te at the lef t the number of the analogous general</w:t>
      </w:r>
      <w:r>
        <w:rPr>
          <w:color w:val="030303"/>
          <w:spacing w:val="46"/>
          <w:w w:val="105"/>
        </w:rPr>
        <w:t> </w:t>
      </w:r>
      <w:r>
        <w:rPr>
          <w:color w:val="030303"/>
          <w:w w:val="105"/>
        </w:rPr>
        <w:t>fornrnla.</w:t>
      </w:r>
    </w:p>
    <w:p>
      <w:pPr>
        <w:pStyle w:val="BodyText"/>
        <w:spacing w:line="247" w:lineRule="auto"/>
        <w:ind w:left="120" w:firstLine="190"/>
      </w:pPr>
      <w:r>
        <w:rPr>
          <w:color w:val="030303"/>
          <w:w w:val="105"/>
        </w:rPr>
        <w:t>The probability that an active life aged </w:t>
      </w:r>
      <w:r>
        <w:rPr>
          <w:rFonts w:ascii="Arial"/>
          <w:i/>
          <w:color w:val="030303"/>
          <w:w w:val="105"/>
          <w:sz w:val="18"/>
        </w:rPr>
        <w:t>x </w:t>
      </w:r>
      <w:r>
        <w:rPr>
          <w:color w:val="030303"/>
          <w:w w:val="105"/>
        </w:rPr>
        <w:t>will die while active within  a year is</w:t>
      </w:r>
    </w:p>
    <w:p>
      <w:pPr>
        <w:pStyle w:val="BodyText"/>
        <w:tabs>
          <w:tab w:pos="2545" w:val="left" w:leader="none"/>
        </w:tabs>
        <w:spacing w:before="107"/>
        <w:ind w:left="134"/>
        <w:jc w:val="both"/>
      </w:pPr>
      <w:r>
        <w:rPr>
          <w:color w:val="030303"/>
        </w:rPr>
        <w:t>(</w:t>
      </w:r>
      <w:r>
        <w:rPr>
          <w:color w:val="030303"/>
          <w:spacing w:val="-13"/>
        </w:rPr>
        <w:t> </w:t>
      </w:r>
      <w:r>
        <w:rPr>
          <w:color w:val="030303"/>
        </w:rPr>
        <w:t>15.3a)</w:t>
        <w:tab/>
      </w:r>
      <w:r>
        <w:rPr>
          <w:color w:val="030303"/>
          <w:position w:val="-18"/>
        </w:rPr>
        <w:drawing>
          <wp:inline distT="0" distB="0" distL="0" distR="0">
            <wp:extent cx="502919" cy="301751"/>
            <wp:effectExtent l="0" t="0" r="0" b="0"/>
            <wp:docPr id="717" name="image365.png" descr=""/>
            <wp:cNvGraphicFramePr>
              <a:graphicFrameLocks noChangeAspect="1"/>
            </wp:cNvGraphicFramePr>
            <a:graphic>
              <a:graphicData uri="http://schemas.openxmlformats.org/drawingml/2006/picture">
                <pic:pic>
                  <pic:nvPicPr>
                    <pic:cNvPr id="718" name="image365.png"/>
                    <pic:cNvPicPr/>
                  </pic:nvPicPr>
                  <pic:blipFill>
                    <a:blip r:embed="rId369" cstate="print"/>
                    <a:stretch>
                      <a:fillRect/>
                    </a:stretch>
                  </pic:blipFill>
                  <pic:spPr>
                    <a:xfrm>
                      <a:off x="0" y="0"/>
                      <a:ext cx="502919" cy="301751"/>
                    </a:xfrm>
                    <a:prstGeom prst="rect">
                      <a:avLst/>
                    </a:prstGeom>
                  </pic:spPr>
                </pic:pic>
              </a:graphicData>
            </a:graphic>
          </wp:inline>
        </w:drawing>
      </w:r>
      <w:r>
        <w:rPr>
          <w:color w:val="030303"/>
          <w:position w:val="-18"/>
        </w:rPr>
      </w:r>
      <w:r>
        <w:rPr>
          <w:color w:val="030303"/>
        </w:rPr>
        <w:t>                                     (</w:t>
      </w:r>
      <w:r>
        <w:rPr>
          <w:color w:val="030303"/>
          <w:spacing w:val="20"/>
        </w:rPr>
        <w:t> </w:t>
      </w:r>
      <w:r>
        <w:rPr>
          <w:color w:val="030303"/>
          <w:spacing w:val="-7"/>
        </w:rPr>
        <w:t>15.17)</w:t>
      </w:r>
    </w:p>
    <w:p>
      <w:pPr>
        <w:pStyle w:val="BodyText"/>
        <w:spacing w:line="254" w:lineRule="auto" w:before="145"/>
        <w:ind w:left="109" w:right="126" w:hanging="4"/>
        <w:jc w:val="both"/>
      </w:pPr>
      <w:r>
        <w:rPr>
          <w:color w:val="030303"/>
          <w:w w:val="105"/>
        </w:rPr>
        <w:t>The probability that an active life aged </w:t>
      </w:r>
      <w:r>
        <w:rPr>
          <w:rFonts w:ascii="Arial"/>
          <w:i/>
          <w:color w:val="030303"/>
          <w:w w:val="105"/>
          <w:sz w:val="18"/>
        </w:rPr>
        <w:t>x </w:t>
      </w:r>
      <w:r>
        <w:rPr>
          <w:color w:val="030303"/>
          <w:w w:val="105"/>
        </w:rPr>
        <w:t>will her.orne disabled within  a year is</w:t>
      </w:r>
    </w:p>
    <w:p>
      <w:pPr>
        <w:pStyle w:val="BodyText"/>
        <w:tabs>
          <w:tab w:pos="2617" w:val="left" w:leader="none"/>
        </w:tabs>
        <w:spacing w:before="87"/>
        <w:ind w:left="130"/>
        <w:jc w:val="both"/>
      </w:pPr>
      <w:r>
        <w:rPr>
          <w:color w:val="030303"/>
          <w:w w:val="105"/>
        </w:rPr>
        <w:t>(</w:t>
      </w:r>
      <w:r>
        <w:rPr>
          <w:color w:val="030303"/>
          <w:spacing w:val="-30"/>
          <w:w w:val="105"/>
        </w:rPr>
        <w:t> </w:t>
      </w:r>
      <w:r>
        <w:rPr>
          <w:color w:val="030303"/>
          <w:spacing w:val="-8"/>
          <w:w w:val="105"/>
        </w:rPr>
        <w:t>15.3b</w:t>
      </w:r>
      <w:r>
        <w:rPr>
          <w:color w:val="030303"/>
          <w:spacing w:val="-36"/>
          <w:w w:val="105"/>
        </w:rPr>
        <w:t> </w:t>
      </w:r>
      <w:r>
        <w:rPr>
          <w:color w:val="030303"/>
          <w:w w:val="105"/>
        </w:rPr>
        <w:t>)</w:t>
        <w:tab/>
      </w:r>
      <w:r>
        <w:rPr>
          <w:color w:val="030303"/>
          <w:position w:val="-14"/>
        </w:rPr>
        <w:drawing>
          <wp:inline distT="0" distB="0" distL="0" distR="0">
            <wp:extent cx="484631" cy="283463"/>
            <wp:effectExtent l="0" t="0" r="0" b="0"/>
            <wp:docPr id="719" name="image366.png" descr=""/>
            <wp:cNvGraphicFramePr>
              <a:graphicFrameLocks noChangeAspect="1"/>
            </wp:cNvGraphicFramePr>
            <a:graphic>
              <a:graphicData uri="http://schemas.openxmlformats.org/drawingml/2006/picture">
                <pic:pic>
                  <pic:nvPicPr>
                    <pic:cNvPr id="720" name="image366.png"/>
                    <pic:cNvPicPr/>
                  </pic:nvPicPr>
                  <pic:blipFill>
                    <a:blip r:embed="rId370" cstate="print"/>
                    <a:stretch>
                      <a:fillRect/>
                    </a:stretch>
                  </pic:blipFill>
                  <pic:spPr>
                    <a:xfrm>
                      <a:off x="0" y="0"/>
                      <a:ext cx="484631" cy="283463"/>
                    </a:xfrm>
                    <a:prstGeom prst="rect">
                      <a:avLst/>
                    </a:prstGeom>
                  </pic:spPr>
                </pic:pic>
              </a:graphicData>
            </a:graphic>
          </wp:inline>
        </w:drawing>
      </w:r>
      <w:r>
        <w:rPr>
          <w:color w:val="030303"/>
          <w:position w:val="-14"/>
        </w:rPr>
      </w:r>
      <w:r>
        <w:rPr>
          <w:color w:val="030303"/>
        </w:rPr>
        <w:t>                                    </w:t>
      </w:r>
      <w:r>
        <w:rPr>
          <w:color w:val="030303"/>
          <w:w w:val="105"/>
        </w:rPr>
        <w:t>(15.18)</w:t>
      </w:r>
    </w:p>
    <w:p>
      <w:pPr>
        <w:pStyle w:val="BodyText"/>
        <w:spacing w:line="254" w:lineRule="auto" w:before="147"/>
        <w:ind w:left="105" w:right="115" w:firstLine="7"/>
        <w:jc w:val="both"/>
      </w:pPr>
      <w:r>
        <w:rPr/>
        <w:pict>
          <v:shape style="position:absolute;margin-left:241.2556pt;margin-top:24.509647pt;width:7.55pt;height:20pt;mso-position-horizontal-relative:page;mso-position-vertical-relative:paragraph;z-index:-711808" type="#_x0000_t202" filled="false" stroked="false">
            <v:textbox inset="0,0,0,0">
              <w:txbxContent>
                <w:p>
                  <w:pPr>
                    <w:spacing w:line="400" w:lineRule="exact" w:before="0"/>
                    <w:ind w:left="0" w:right="-14" w:firstLine="0"/>
                    <w:jc w:val="left"/>
                    <w:rPr>
                      <w:i/>
                      <w:sz w:val="40"/>
                    </w:rPr>
                  </w:pPr>
                  <w:r>
                    <w:rPr>
                      <w:i/>
                      <w:color w:val="030303"/>
                      <w:w w:val="50"/>
                      <w:sz w:val="40"/>
                    </w:rPr>
                    <w:t>r:</w:t>
                  </w:r>
                </w:p>
              </w:txbxContent>
            </v:textbox>
            <w10:wrap type="none"/>
          </v:shape>
        </w:pict>
      </w:r>
      <w:r>
        <w:rPr>
          <w:color w:val="030303"/>
          <w:w w:val="105"/>
        </w:rPr>
        <w:t>Note the use of the special symbol </w:t>
      </w:r>
      <w:r>
        <w:rPr>
          <w:i/>
          <w:color w:val="030303"/>
          <w:w w:val="105"/>
        </w:rPr>
        <w:t>"r" </w:t>
      </w:r>
      <w:r>
        <w:rPr>
          <w:color w:val="030303"/>
          <w:w w:val="105"/>
        </w:rPr>
        <w:t>for the probability of dis­ ability.</w:t>
      </w:r>
    </w:p>
    <w:p>
      <w:pPr>
        <w:pStyle w:val="BodyText"/>
        <w:tabs>
          <w:tab w:pos="4345" w:val="left" w:leader="none"/>
        </w:tabs>
        <w:spacing w:line="220" w:lineRule="exact"/>
        <w:ind w:left="292"/>
      </w:pPr>
      <w:r>
        <w:rPr>
          <w:color w:val="030303"/>
        </w:rPr>
        <w:t>The rate of  disability  for age </w:t>
      </w:r>
      <w:r>
        <w:rPr>
          <w:rFonts w:ascii="Arial"/>
          <w:i/>
          <w:color w:val="030303"/>
          <w:sz w:val="12"/>
        </w:rPr>
        <w:t>:i:  </w:t>
      </w:r>
      <w:r>
        <w:rPr>
          <w:color w:val="030303"/>
        </w:rPr>
        <w:t>is </w:t>
      </w:r>
      <w:r>
        <w:rPr>
          <w:color w:val="030303"/>
          <w:spacing w:val="4"/>
        </w:rPr>
        <w:t> </w:t>
      </w:r>
      <w:r>
        <w:rPr>
          <w:color w:val="030303"/>
        </w:rPr>
        <w:t>dcnoted</w:t>
      </w:r>
      <w:r>
        <w:rPr>
          <w:color w:val="030303"/>
          <w:spacing w:val="44"/>
        </w:rPr>
        <w:t> </w:t>
      </w:r>
      <w:r>
        <w:rPr>
          <w:color w:val="030303"/>
        </w:rPr>
        <w:t>by</w:t>
        <w:tab/>
        <w:t>and</w:t>
      </w:r>
    </w:p>
    <w:p>
      <w:pPr>
        <w:pStyle w:val="BodyText"/>
        <w:spacing w:before="6"/>
        <w:rPr>
          <w:sz w:val="12"/>
        </w:rPr>
      </w:pPr>
    </w:p>
    <w:p>
      <w:pPr>
        <w:spacing w:after="0"/>
        <w:rPr>
          <w:sz w:val="12"/>
        </w:rPr>
        <w:sectPr>
          <w:pgSz w:w="7200" w:h="11340"/>
          <w:pgMar w:top="500" w:bottom="280" w:left="680" w:right="560"/>
        </w:sectPr>
      </w:pPr>
    </w:p>
    <w:p>
      <w:pPr>
        <w:tabs>
          <w:tab w:pos="1469" w:val="left" w:leader="none"/>
        </w:tabs>
        <w:spacing w:line="103" w:lineRule="exact" w:before="85"/>
        <w:ind w:left="734" w:right="0" w:firstLine="0"/>
        <w:jc w:val="center"/>
        <w:rPr>
          <w:rFonts w:ascii="Arial"/>
          <w:sz w:val="12"/>
        </w:rPr>
      </w:pPr>
      <w:r>
        <w:rPr/>
        <w:pict>
          <v:shape style="position:absolute;margin-left:39.820629pt;margin-top:7.046203pt;width:31.05pt;height:10pt;mso-position-horizontal-relative:page;mso-position-vertical-relative:paragraph;z-index:24280" type="#_x0000_t202" filled="false" stroked="false">
            <v:textbox inset="0,0,0,0">
              <w:txbxContent>
                <w:p>
                  <w:pPr>
                    <w:pStyle w:val="BodyText"/>
                    <w:spacing w:line="200" w:lineRule="exact"/>
                    <w:ind w:right="-17"/>
                  </w:pPr>
                  <w:r>
                    <w:rPr>
                      <w:color w:val="030303"/>
                    </w:rPr>
                    <w:t>( </w:t>
                  </w:r>
                  <w:r>
                    <w:rPr>
                      <w:color w:val="030303"/>
                      <w:spacing w:val="-8"/>
                    </w:rPr>
                    <w:t>15.4b</w:t>
                  </w:r>
                  <w:r>
                    <w:rPr>
                      <w:color w:val="030303"/>
                      <w:spacing w:val="-26"/>
                    </w:rPr>
                    <w:t> </w:t>
                  </w:r>
                  <w:r>
                    <w:rPr>
                      <w:color w:val="030303"/>
                    </w:rPr>
                    <w:t>)</w:t>
                  </w:r>
                </w:p>
              </w:txbxContent>
            </v:textbox>
            <w10:wrap type="none"/>
          </v:shape>
        </w:pict>
      </w:r>
      <w:r>
        <w:rPr>
          <w:rFonts w:ascii="Arial"/>
          <w:color w:val="030303"/>
          <w:w w:val="305"/>
          <w:sz w:val="12"/>
        </w:rPr>
        <w:t>'</w:t>
        <w:tab/>
      </w:r>
      <w:r>
        <w:rPr>
          <w:rFonts w:ascii="Arial"/>
          <w:color w:val="030303"/>
          <w:w w:val="105"/>
          <w:sz w:val="12"/>
          <w:u w:val="single" w:color="000000"/>
        </w:rPr>
        <w:t>2:i</w:t>
      </w:r>
      <w:r>
        <w:rPr>
          <w:rFonts w:ascii="Arial"/>
          <w:color w:val="030303"/>
          <w:w w:val="105"/>
          <w:sz w:val="12"/>
        </w:rPr>
        <w:t>;</w:t>
      </w:r>
    </w:p>
    <w:p>
      <w:pPr>
        <w:spacing w:line="174" w:lineRule="exact" w:before="0"/>
        <w:ind w:left="2265" w:right="0" w:firstLine="0"/>
        <w:jc w:val="left"/>
        <w:rPr>
          <w:rFonts w:ascii="Arial" w:hAnsi="Arial"/>
          <w:i/>
          <w:sz w:val="15"/>
        </w:rPr>
      </w:pPr>
      <w:r>
        <w:rPr>
          <w:i/>
          <w:color w:val="030303"/>
          <w:w w:val="130"/>
          <w:sz w:val="21"/>
        </w:rPr>
        <w:t>r. </w:t>
      </w:r>
      <w:r>
        <w:rPr>
          <w:rFonts w:ascii="Arial" w:hAnsi="Arial"/>
          <w:color w:val="030303"/>
          <w:w w:val="105"/>
          <w:sz w:val="20"/>
        </w:rPr>
        <w:t>=; </w:t>
      </w:r>
      <w:r>
        <w:rPr>
          <w:rFonts w:ascii="Arial" w:hAnsi="Arial"/>
          <w:i/>
          <w:color w:val="030303"/>
          <w:w w:val="130"/>
          <w:sz w:val="15"/>
        </w:rPr>
        <w:t>lªª  </w:t>
      </w:r>
      <w:r>
        <w:rPr>
          <w:rFonts w:ascii="Arial" w:hAnsi="Arial"/>
          <w:color w:val="030303"/>
          <w:w w:val="320"/>
          <w:sz w:val="15"/>
        </w:rPr>
        <w:t>-</w:t>
      </w:r>
      <w:r>
        <w:rPr>
          <w:rFonts w:ascii="Arial" w:hAnsi="Arial"/>
          <w:color w:val="030303"/>
          <w:spacing w:val="-93"/>
          <w:w w:val="320"/>
          <w:sz w:val="15"/>
        </w:rPr>
        <w:t> </w:t>
      </w:r>
      <w:r>
        <w:rPr>
          <w:rFonts w:ascii="Arial" w:hAnsi="Arial"/>
          <w:i/>
          <w:color w:val="030303"/>
          <w:w w:val="105"/>
          <w:sz w:val="15"/>
        </w:rPr>
        <w:t>.! </w:t>
      </w:r>
      <w:r>
        <w:rPr>
          <w:rFonts w:ascii="Arial" w:hAnsi="Arial"/>
          <w:i/>
          <w:color w:val="030303"/>
          <w:w w:val="130"/>
          <w:sz w:val="15"/>
        </w:rPr>
        <w:t>.flª .</w:t>
      </w:r>
    </w:p>
    <w:p>
      <w:pPr>
        <w:tabs>
          <w:tab w:pos="3276" w:val="left" w:leader="none"/>
        </w:tabs>
        <w:spacing w:line="94" w:lineRule="exact" w:before="0"/>
        <w:ind w:left="2796" w:right="0" w:firstLine="0"/>
        <w:jc w:val="left"/>
        <w:rPr>
          <w:b/>
          <w:sz w:val="11"/>
        </w:rPr>
      </w:pPr>
      <w:r>
        <w:rPr>
          <w:color w:val="030303"/>
          <w:w w:val="120"/>
          <w:sz w:val="8"/>
        </w:rPr>
        <w:t>:i:</w:t>
        <w:tab/>
      </w:r>
      <w:r>
        <w:rPr>
          <w:b/>
          <w:color w:val="030303"/>
          <w:w w:val="120"/>
          <w:sz w:val="11"/>
        </w:rPr>
        <w:t>2ti2:</w:t>
      </w:r>
    </w:p>
    <w:p>
      <w:pPr>
        <w:pStyle w:val="BodyText"/>
        <w:rPr>
          <w:b/>
          <w:sz w:val="12"/>
        </w:rPr>
      </w:pPr>
    </w:p>
    <w:p>
      <w:pPr>
        <w:pStyle w:val="BodyText"/>
        <w:ind w:left="105" w:right="-7"/>
      </w:pPr>
      <w:r>
        <w:rPr>
          <w:color w:val="030303"/>
        </w:rPr>
        <w:t>For  the rate of  mortality  arnong  disabled  lives,  we have</w:t>
      </w:r>
    </w:p>
    <w:p>
      <w:pPr>
        <w:pStyle w:val="BodyText"/>
        <w:spacing w:before="111"/>
        <w:ind w:left="105"/>
      </w:pPr>
      <w:r>
        <w:rPr/>
        <w:br w:type="column"/>
      </w:r>
      <w:r>
        <w:rPr>
          <w:color w:val="030303"/>
        </w:rPr>
        <w:t>( 15.19)</w:t>
      </w:r>
    </w:p>
    <w:p>
      <w:pPr>
        <w:spacing w:after="0"/>
        <w:sectPr>
          <w:type w:val="continuous"/>
          <w:pgSz w:w="7200" w:h="11340"/>
          <w:pgMar w:top="1100" w:bottom="0" w:left="680" w:right="560"/>
          <w:cols w:num="2" w:equalWidth="0">
            <w:col w:w="4851" w:space="258"/>
            <w:col w:w="851"/>
          </w:cols>
        </w:sectPr>
      </w:pPr>
    </w:p>
    <w:p>
      <w:pPr>
        <w:pStyle w:val="BodyText"/>
        <w:spacing w:before="9"/>
        <w:rPr>
          <w:sz w:val="14"/>
        </w:rPr>
      </w:pPr>
    </w:p>
    <w:p>
      <w:pPr>
        <w:pStyle w:val="BodyText"/>
        <w:tabs>
          <w:tab w:pos="5214" w:val="left" w:leader="none"/>
        </w:tabs>
        <w:spacing w:before="72"/>
        <w:ind w:left="123"/>
      </w:pPr>
      <w:r>
        <w:rPr/>
        <w:drawing>
          <wp:anchor distT="0" distB="0" distL="0" distR="0" allowOverlap="1" layoutInCell="1" locked="0" behindDoc="1" simplePos="0" relativeHeight="267723599">
            <wp:simplePos x="0" y="0"/>
            <wp:positionH relativeFrom="page">
              <wp:posOffset>1892807</wp:posOffset>
            </wp:positionH>
            <wp:positionV relativeFrom="paragraph">
              <wp:posOffset>-31340</wp:posOffset>
            </wp:positionV>
            <wp:extent cx="859536" cy="338328"/>
            <wp:effectExtent l="0" t="0" r="0" b="0"/>
            <wp:wrapNone/>
            <wp:docPr id="721" name="image367.png" descr=""/>
            <wp:cNvGraphicFramePr>
              <a:graphicFrameLocks noChangeAspect="1"/>
            </wp:cNvGraphicFramePr>
            <a:graphic>
              <a:graphicData uri="http://schemas.openxmlformats.org/drawingml/2006/picture">
                <pic:pic>
                  <pic:nvPicPr>
                    <pic:cNvPr id="722" name="image367.png"/>
                    <pic:cNvPicPr/>
                  </pic:nvPicPr>
                  <pic:blipFill>
                    <a:blip r:embed="rId371" cstate="print"/>
                    <a:stretch>
                      <a:fillRect/>
                    </a:stretch>
                  </pic:blipFill>
                  <pic:spPr>
                    <a:xfrm>
                      <a:off x="0" y="0"/>
                      <a:ext cx="859536" cy="338328"/>
                    </a:xfrm>
                    <a:prstGeom prst="rect">
                      <a:avLst/>
                    </a:prstGeom>
                  </pic:spPr>
                </pic:pic>
              </a:graphicData>
            </a:graphic>
          </wp:anchor>
        </w:drawing>
      </w:r>
      <w:r>
        <w:rPr>
          <w:color w:val="030303"/>
        </w:rPr>
        <w:t>(</w:t>
      </w:r>
      <w:r>
        <w:rPr>
          <w:color w:val="030303"/>
          <w:spacing w:val="-6"/>
        </w:rPr>
        <w:t> </w:t>
      </w:r>
      <w:r>
        <w:rPr>
          <w:color w:val="030303"/>
          <w:spacing w:val="-7"/>
        </w:rPr>
        <w:t>15.5)</w:t>
        <w:tab/>
      </w:r>
      <w:r>
        <w:rPr>
          <w:color w:val="030303"/>
          <w:position w:val="1"/>
        </w:rPr>
        <w:t>(</w:t>
      </w:r>
      <w:r>
        <w:rPr>
          <w:color w:val="030303"/>
          <w:spacing w:val="-31"/>
          <w:position w:val="1"/>
        </w:rPr>
        <w:t> </w:t>
      </w:r>
      <w:r>
        <w:rPr>
          <w:color w:val="030303"/>
          <w:position w:val="1"/>
        </w:rPr>
        <w:t>15.20</w:t>
      </w:r>
      <w:r>
        <w:rPr>
          <w:color w:val="030303"/>
          <w:spacing w:val="-40"/>
          <w:position w:val="1"/>
        </w:rPr>
        <w:t> </w:t>
      </w:r>
      <w:r>
        <w:rPr>
          <w:color w:val="030303"/>
          <w:position w:val="1"/>
        </w:rPr>
        <w:t>)</w:t>
      </w:r>
    </w:p>
    <w:p>
      <w:pPr>
        <w:pStyle w:val="BodyText"/>
        <w:spacing w:before="4"/>
        <w:rPr>
          <w:sz w:val="25"/>
        </w:rPr>
      </w:pPr>
    </w:p>
    <w:p>
      <w:pPr>
        <w:pStyle w:val="BodyText"/>
        <w:spacing w:line="254" w:lineRule="auto"/>
        <w:ind w:left="112" w:firstLine="186"/>
      </w:pPr>
      <w:r>
        <w:rPr/>
        <w:drawing>
          <wp:anchor distT="0" distB="0" distL="0" distR="0" allowOverlap="1" layoutInCell="1" locked="0" behindDoc="1" simplePos="0" relativeHeight="267723623">
            <wp:simplePos x="0" y="0"/>
            <wp:positionH relativeFrom="page">
              <wp:posOffset>1819655</wp:posOffset>
            </wp:positionH>
            <wp:positionV relativeFrom="paragraph">
              <wp:posOffset>380962</wp:posOffset>
            </wp:positionV>
            <wp:extent cx="996695" cy="320039"/>
            <wp:effectExtent l="0" t="0" r="0" b="0"/>
            <wp:wrapNone/>
            <wp:docPr id="723" name="image368.png" descr=""/>
            <wp:cNvGraphicFramePr>
              <a:graphicFrameLocks noChangeAspect="1"/>
            </wp:cNvGraphicFramePr>
            <a:graphic>
              <a:graphicData uri="http://schemas.openxmlformats.org/drawingml/2006/picture">
                <pic:pic>
                  <pic:nvPicPr>
                    <pic:cNvPr id="724" name="image368.png"/>
                    <pic:cNvPicPr/>
                  </pic:nvPicPr>
                  <pic:blipFill>
                    <a:blip r:embed="rId372" cstate="print"/>
                    <a:stretch>
                      <a:fillRect/>
                    </a:stretch>
                  </pic:blipFill>
                  <pic:spPr>
                    <a:xfrm>
                      <a:off x="0" y="0"/>
                      <a:ext cx="996695" cy="320039"/>
                    </a:xfrm>
                    <a:prstGeom prst="rect">
                      <a:avLst/>
                    </a:prstGeom>
                  </pic:spPr>
                </pic:pic>
              </a:graphicData>
            </a:graphic>
          </wp:anchor>
        </w:drawing>
      </w:r>
      <w:r>
        <w:rPr>
          <w:color w:val="030303"/>
          <w:w w:val="105"/>
        </w:rPr>
        <w:t>The probability that </w:t>
      </w:r>
      <w:r>
        <w:rPr>
          <w:rFonts w:ascii="Arial"/>
          <w:color w:val="030303"/>
          <w:w w:val="105"/>
          <w:sz w:val="19"/>
        </w:rPr>
        <w:t>an </w:t>
      </w:r>
      <w:r>
        <w:rPr>
          <w:color w:val="030303"/>
          <w:w w:val="105"/>
        </w:rPr>
        <w:t>active life aged </w:t>
      </w:r>
      <w:r>
        <w:rPr>
          <w:rFonts w:ascii="Arial"/>
          <w:i/>
          <w:color w:val="030303"/>
          <w:w w:val="105"/>
          <w:sz w:val="18"/>
        </w:rPr>
        <w:t>x </w:t>
      </w:r>
      <w:r>
        <w:rPr>
          <w:color w:val="030303"/>
          <w:w w:val="105"/>
        </w:rPr>
        <w:t>will die disabled within one year is</w:t>
      </w:r>
    </w:p>
    <w:p>
      <w:pPr>
        <w:pStyle w:val="BodyText"/>
        <w:spacing w:before="5"/>
      </w:pPr>
    </w:p>
    <w:p>
      <w:pPr>
        <w:pStyle w:val="BodyText"/>
        <w:tabs>
          <w:tab w:pos="5224" w:val="left" w:leader="none"/>
        </w:tabs>
        <w:ind w:left="123"/>
      </w:pPr>
      <w:r>
        <w:rPr>
          <w:color w:val="030303"/>
        </w:rPr>
        <w:t>(</w:t>
      </w:r>
      <w:r>
        <w:rPr>
          <w:color w:val="030303"/>
          <w:spacing w:val="-15"/>
        </w:rPr>
        <w:t> </w:t>
      </w:r>
      <w:r>
        <w:rPr>
          <w:color w:val="030303"/>
          <w:spacing w:val="-13"/>
        </w:rPr>
        <w:t>15.6</w:t>
      </w:r>
      <w:r>
        <w:rPr>
          <w:color w:val="030303"/>
          <w:spacing w:val="-27"/>
        </w:rPr>
        <w:t> </w:t>
      </w:r>
      <w:r>
        <w:rPr>
          <w:color w:val="030303"/>
        </w:rPr>
        <w:t>)</w:t>
        <w:tab/>
        <w:t>(</w:t>
      </w:r>
      <w:r>
        <w:rPr>
          <w:color w:val="030303"/>
          <w:spacing w:val="6"/>
        </w:rPr>
        <w:t> </w:t>
      </w:r>
      <w:r>
        <w:rPr>
          <w:color w:val="030303"/>
          <w:spacing w:val="-6"/>
        </w:rPr>
        <w:t>15.21)</w:t>
      </w:r>
    </w:p>
    <w:p>
      <w:pPr>
        <w:pStyle w:val="BodyText"/>
        <w:spacing w:before="8"/>
        <w:rPr>
          <w:sz w:val="14"/>
        </w:rPr>
      </w:pPr>
    </w:p>
    <w:p>
      <w:pPr>
        <w:spacing w:after="0"/>
        <w:rPr>
          <w:sz w:val="14"/>
        </w:rPr>
        <w:sectPr>
          <w:type w:val="continuous"/>
          <w:pgSz w:w="7200" w:h="11340"/>
          <w:pgMar w:top="1100" w:bottom="0" w:left="680" w:right="560"/>
        </w:sectPr>
      </w:pPr>
    </w:p>
    <w:p>
      <w:pPr>
        <w:spacing w:before="73"/>
        <w:ind w:left="112" w:right="-15" w:firstLine="0"/>
        <w:jc w:val="left"/>
        <w:rPr>
          <w:b/>
          <w:sz w:val="21"/>
        </w:rPr>
      </w:pPr>
      <w:r>
        <w:rPr>
          <w:b/>
          <w:color w:val="030303"/>
          <w:sz w:val="21"/>
        </w:rPr>
        <w:t>or</w:t>
      </w:r>
    </w:p>
    <w:p>
      <w:pPr>
        <w:pStyle w:val="BodyText"/>
        <w:rPr>
          <w:b/>
        </w:rPr>
      </w:pPr>
    </w:p>
    <w:p>
      <w:pPr>
        <w:pStyle w:val="BodyText"/>
        <w:rPr>
          <w:b/>
        </w:rPr>
      </w:pPr>
    </w:p>
    <w:p>
      <w:pPr>
        <w:pStyle w:val="BodyText"/>
        <w:spacing w:before="10"/>
        <w:rPr>
          <w:b/>
          <w:sz w:val="18"/>
        </w:rPr>
      </w:pPr>
    </w:p>
    <w:p>
      <w:pPr>
        <w:pStyle w:val="BodyText"/>
        <w:spacing w:before="1"/>
        <w:ind w:left="127" w:right="-19"/>
      </w:pPr>
      <w:r>
        <w:rPr>
          <w:color w:val="030303"/>
          <w:spacing w:val="-3"/>
        </w:rPr>
        <w:t>(15.7</w:t>
      </w:r>
      <w:r>
        <w:rPr>
          <w:color w:val="030303"/>
          <w:spacing w:val="-19"/>
        </w:rPr>
        <w:t> </w:t>
      </w:r>
      <w:r>
        <w:rPr>
          <w:color w:val="030303"/>
        </w:rPr>
        <w:t>)</w:t>
      </w:r>
    </w:p>
    <w:p>
      <w:pPr>
        <w:pStyle w:val="BodyText"/>
        <w:rPr>
          <w:sz w:val="12"/>
        </w:rPr>
      </w:pPr>
      <w:r>
        <w:rPr/>
        <w:br w:type="column"/>
      </w:r>
      <w:r>
        <w:rPr>
          <w:sz w:val="12"/>
        </w:rPr>
      </w:r>
    </w:p>
    <w:p>
      <w:pPr>
        <w:pStyle w:val="BodyText"/>
        <w:rPr>
          <w:sz w:val="12"/>
        </w:rPr>
      </w:pPr>
    </w:p>
    <w:p>
      <w:pPr>
        <w:pStyle w:val="BodyText"/>
        <w:rPr>
          <w:sz w:val="12"/>
        </w:rPr>
      </w:pPr>
    </w:p>
    <w:p>
      <w:pPr>
        <w:tabs>
          <w:tab w:pos="1250" w:val="left" w:leader="none"/>
        </w:tabs>
        <w:spacing w:line="107" w:lineRule="exact" w:before="76"/>
        <w:ind w:left="206" w:right="0" w:firstLine="0"/>
        <w:jc w:val="left"/>
        <w:rPr>
          <w:i/>
          <w:sz w:val="13"/>
        </w:rPr>
      </w:pPr>
      <w:r>
        <w:rPr>
          <w:b/>
          <w:color w:val="030303"/>
          <w:w w:val="135"/>
          <w:sz w:val="12"/>
        </w:rPr>
        <w:t>ai </w:t>
      </w:r>
      <w:r>
        <w:rPr>
          <w:b/>
          <w:color w:val="030303"/>
          <w:spacing w:val="5"/>
          <w:w w:val="135"/>
          <w:sz w:val="12"/>
        </w:rPr>
        <w:t> </w:t>
      </w:r>
      <w:r>
        <w:rPr>
          <w:color w:val="030303"/>
          <w:w w:val="195"/>
          <w:sz w:val="12"/>
        </w:rPr>
        <w:t>.  </w:t>
      </w:r>
      <w:r>
        <w:rPr>
          <w:color w:val="030303"/>
          <w:spacing w:val="18"/>
          <w:w w:val="195"/>
          <w:sz w:val="12"/>
        </w:rPr>
        <w:t> </w:t>
      </w:r>
      <w:r>
        <w:rPr>
          <w:b/>
          <w:color w:val="030303"/>
          <w:w w:val="135"/>
          <w:sz w:val="11"/>
        </w:rPr>
        <w:t>1</w:t>
      </w:r>
      <w:r>
        <w:rPr>
          <w:i/>
          <w:color w:val="030303"/>
          <w:w w:val="135"/>
          <w:sz w:val="13"/>
        </w:rPr>
        <w:tab/>
        <w:t>i</w:t>
      </w:r>
    </w:p>
    <w:p>
      <w:pPr>
        <w:tabs>
          <w:tab w:pos="1143" w:val="left" w:leader="none"/>
        </w:tabs>
        <w:spacing w:line="187" w:lineRule="exact" w:before="0"/>
        <w:ind w:left="113" w:right="0" w:firstLine="0"/>
        <w:jc w:val="left"/>
        <w:rPr>
          <w:i/>
          <w:sz w:val="20"/>
        </w:rPr>
      </w:pPr>
      <w:r>
        <w:rPr/>
        <w:pict>
          <v:shape style="position:absolute;margin-left:180.627808pt;margin-top:-6.0752pt;width:13.95pt;height:16.5pt;mso-position-horizontal-relative:page;mso-position-vertical-relative:paragraph;z-index:-711760" type="#_x0000_t202" filled="false" stroked="false">
            <v:textbox inset="0,0,0,0">
              <w:txbxContent>
                <w:p>
                  <w:pPr>
                    <w:spacing w:line="330" w:lineRule="exact" w:before="0"/>
                    <w:ind w:left="0" w:right="-19" w:firstLine="0"/>
                    <w:jc w:val="left"/>
                    <w:rPr>
                      <w:i/>
                      <w:sz w:val="33"/>
                    </w:rPr>
                  </w:pPr>
                  <w:r>
                    <w:rPr>
                      <w:i/>
                      <w:color w:val="030303"/>
                      <w:w w:val="60"/>
                      <w:sz w:val="33"/>
                    </w:rPr>
                    <w:t>z:ª</w:t>
                  </w:r>
                  <w:r>
                    <w:rPr>
                      <w:i/>
                      <w:color w:val="030303"/>
                      <w:spacing w:val="-19"/>
                      <w:w w:val="60"/>
                      <w:sz w:val="33"/>
                    </w:rPr>
                    <w:t> </w:t>
                  </w:r>
                  <w:r>
                    <w:rPr>
                      <w:i/>
                      <w:color w:val="030303"/>
                      <w:w w:val="60"/>
                      <w:sz w:val="33"/>
                    </w:rPr>
                    <w:t>.</w:t>
                  </w:r>
                </w:p>
              </w:txbxContent>
            </v:textbox>
            <w10:wrap type="none"/>
          </v:shape>
        </w:pict>
      </w:r>
      <w:r>
        <w:rPr>
          <w:i/>
          <w:color w:val="030303"/>
          <w:w w:val="80"/>
          <w:sz w:val="20"/>
        </w:rPr>
        <w:t>q;c   </w:t>
      </w:r>
      <w:r>
        <w:rPr>
          <w:rFonts w:ascii="Arial" w:hAnsi="Arial"/>
          <w:color w:val="030303"/>
          <w:w w:val="80"/>
          <w:sz w:val="14"/>
        </w:rPr>
        <w:t>:::=; </w:t>
      </w:r>
      <w:r>
        <w:rPr>
          <w:rFonts w:ascii="Arial" w:hAnsi="Arial"/>
          <w:color w:val="030303"/>
          <w:spacing w:val="27"/>
          <w:w w:val="80"/>
          <w:sz w:val="14"/>
        </w:rPr>
        <w:t> </w:t>
      </w:r>
      <w:r>
        <w:rPr>
          <w:rFonts w:ascii="Arial" w:hAnsi="Arial"/>
          <w:color w:val="030303"/>
          <w:sz w:val="14"/>
        </w:rPr>
        <w:t>2</w:t>
      </w:r>
      <w:r>
        <w:rPr>
          <w:rFonts w:ascii="Arial" w:hAnsi="Arial"/>
          <w:color w:val="030303"/>
          <w:spacing w:val="-8"/>
          <w:sz w:val="14"/>
        </w:rPr>
        <w:t> </w:t>
      </w:r>
      <w:r>
        <w:rPr>
          <w:rFonts w:ascii="Arial" w:hAnsi="Arial"/>
          <w:color w:val="030303"/>
          <w:w w:val="150"/>
          <w:sz w:val="14"/>
        </w:rPr>
        <w:t>·</w:t>
        <w:tab/>
      </w:r>
      <w:r>
        <w:rPr>
          <w:i/>
          <w:color w:val="030303"/>
          <w:w w:val="80"/>
          <w:sz w:val="20"/>
        </w:rPr>
        <w:t>q%</w:t>
      </w:r>
    </w:p>
    <w:p>
      <w:pPr>
        <w:pStyle w:val="BodyText"/>
        <w:spacing w:before="9"/>
        <w:rPr>
          <w:i/>
          <w:sz w:val="15"/>
        </w:rPr>
      </w:pPr>
    </w:p>
    <w:p>
      <w:pPr>
        <w:tabs>
          <w:tab w:pos="3152" w:val="left" w:leader="none"/>
        </w:tabs>
        <w:spacing w:before="0"/>
        <w:ind w:left="425" w:right="0" w:firstLine="0"/>
        <w:jc w:val="left"/>
        <w:rPr>
          <w:sz w:val="20"/>
        </w:rPr>
      </w:pPr>
      <w:r>
        <w:rPr>
          <w:color w:val="030303"/>
          <w:sz w:val="24"/>
        </w:rPr>
        <w:t>= </w:t>
      </w:r>
      <w:r>
        <w:rPr>
          <w:b/>
          <w:i/>
          <w:color w:val="030303"/>
          <w:sz w:val="21"/>
        </w:rPr>
        <w:t>}rx·</w:t>
      </w:r>
      <w:r>
        <w:rPr>
          <w:b/>
          <w:i/>
          <w:color w:val="030303"/>
          <w:spacing w:val="19"/>
          <w:sz w:val="21"/>
        </w:rPr>
        <w:t> </w:t>
      </w:r>
      <w:r>
        <w:rPr>
          <w:b/>
          <w:i/>
          <w:color w:val="030303"/>
          <w:sz w:val="21"/>
        </w:rPr>
        <w:t>q!</w:t>
      </w:r>
      <w:r>
        <w:rPr>
          <w:b/>
          <w:i/>
          <w:color w:val="030303"/>
          <w:spacing w:val="-3"/>
          <w:sz w:val="21"/>
        </w:rPr>
        <w:t> </w:t>
      </w:r>
      <w:r>
        <w:rPr>
          <w:b/>
          <w:i/>
          <w:color w:val="030303"/>
          <w:sz w:val="21"/>
        </w:rPr>
        <w:t>.</w:t>
        <w:tab/>
      </w:r>
      <w:r>
        <w:rPr>
          <w:color w:val="030303"/>
          <w:position w:val="1"/>
          <w:sz w:val="20"/>
        </w:rPr>
        <w:t>(</w:t>
      </w:r>
      <w:r>
        <w:rPr>
          <w:color w:val="030303"/>
          <w:spacing w:val="-20"/>
          <w:position w:val="1"/>
          <w:sz w:val="20"/>
        </w:rPr>
        <w:t> </w:t>
      </w:r>
      <w:r>
        <w:rPr>
          <w:color w:val="030303"/>
          <w:spacing w:val="-7"/>
          <w:position w:val="1"/>
          <w:sz w:val="20"/>
        </w:rPr>
        <w:t>15.22</w:t>
      </w:r>
      <w:r>
        <w:rPr>
          <w:color w:val="030303"/>
          <w:spacing w:val="-29"/>
          <w:position w:val="1"/>
          <w:sz w:val="20"/>
        </w:rPr>
        <w:t> </w:t>
      </w:r>
      <w:r>
        <w:rPr>
          <w:color w:val="030303"/>
          <w:position w:val="1"/>
          <w:sz w:val="20"/>
        </w:rPr>
        <w:t>)</w:t>
      </w:r>
    </w:p>
    <w:p>
      <w:pPr>
        <w:spacing w:after="0"/>
        <w:jc w:val="left"/>
        <w:rPr>
          <w:sz w:val="20"/>
        </w:rPr>
        <w:sectPr>
          <w:type w:val="continuous"/>
          <w:pgSz w:w="7200" w:h="11340"/>
          <w:pgMar w:top="1100" w:bottom="0" w:left="680" w:right="560"/>
          <w:cols w:num="2" w:equalWidth="0">
            <w:col w:w="628" w:space="1444"/>
            <w:col w:w="3888"/>
          </w:cols>
        </w:sectPr>
      </w:pPr>
    </w:p>
    <w:p>
      <w:pPr>
        <w:pStyle w:val="BodyText"/>
        <w:spacing w:line="193" w:lineRule="exact" w:before="101"/>
        <w:ind w:left="102"/>
      </w:pPr>
      <w:r>
        <w:rPr>
          <w:color w:val="030303"/>
          <w:w w:val="105"/>
        </w:rPr>
        <w:t>The probability  that an active </w:t>
      </w:r>
      <w:r>
        <w:rPr>
          <w:color w:val="030303"/>
          <w:w w:val="105"/>
          <w:sz w:val="21"/>
        </w:rPr>
        <w:t>lif </w:t>
      </w:r>
      <w:r>
        <w:rPr>
          <w:color w:val="030303"/>
          <w:w w:val="105"/>
        </w:rPr>
        <w:t>e aged </w:t>
      </w:r>
      <w:r>
        <w:rPr>
          <w:rFonts w:ascii="Arial"/>
          <w:i/>
          <w:color w:val="030303"/>
          <w:w w:val="105"/>
          <w:sz w:val="16"/>
        </w:rPr>
        <w:t>x </w:t>
      </w:r>
      <w:r>
        <w:rPr>
          <w:color w:val="030303"/>
          <w:w w:val="105"/>
        </w:rPr>
        <w:t>will be alive and disabled</w:t>
      </w:r>
    </w:p>
    <w:p>
      <w:pPr>
        <w:spacing w:line="319" w:lineRule="exact" w:before="0"/>
        <w:ind w:left="116" w:right="0" w:firstLine="0"/>
        <w:jc w:val="left"/>
        <w:rPr>
          <w:sz w:val="20"/>
        </w:rPr>
      </w:pPr>
      <w:r>
        <w:rPr>
          <w:color w:val="030303"/>
          <w:w w:val="105"/>
          <w:sz w:val="21"/>
        </w:rPr>
        <w:t>at </w:t>
      </w:r>
      <w:r>
        <w:rPr>
          <w:color w:val="030303"/>
          <w:w w:val="105"/>
          <w:sz w:val="20"/>
        </w:rPr>
        <w:t>age </w:t>
      </w:r>
      <w:r>
        <w:rPr>
          <w:rFonts w:ascii="Arial"/>
          <w:i/>
          <w:color w:val="030303"/>
          <w:w w:val="105"/>
          <w:sz w:val="18"/>
        </w:rPr>
        <w:t>x  </w:t>
      </w:r>
      <w:r>
        <w:rPr>
          <w:rFonts w:ascii="Arial"/>
          <w:color w:val="030303"/>
          <w:w w:val="105"/>
          <w:sz w:val="32"/>
        </w:rPr>
        <w:t>+ </w:t>
      </w:r>
      <w:r>
        <w:rPr>
          <w:color w:val="030303"/>
          <w:w w:val="105"/>
          <w:sz w:val="20"/>
        </w:rPr>
        <w:t>1 is</w:t>
      </w:r>
    </w:p>
    <w:p>
      <w:pPr>
        <w:pStyle w:val="BodyText"/>
        <w:tabs>
          <w:tab w:pos="2185" w:val="left" w:leader="none"/>
        </w:tabs>
        <w:spacing w:before="85"/>
        <w:ind w:left="130"/>
      </w:pPr>
      <w:r>
        <w:rPr>
          <w:color w:val="030303"/>
        </w:rPr>
        <w:t>(</w:t>
      </w:r>
      <w:r>
        <w:rPr>
          <w:color w:val="030303"/>
          <w:spacing w:val="-13"/>
        </w:rPr>
        <w:t> </w:t>
      </w:r>
      <w:r>
        <w:rPr>
          <w:color w:val="030303"/>
        </w:rPr>
        <w:t>15.8)</w:t>
        <w:tab/>
      </w:r>
      <w:r>
        <w:rPr>
          <w:color w:val="030303"/>
          <w:position w:val="-18"/>
        </w:rPr>
        <w:drawing>
          <wp:inline distT="0" distB="0" distL="0" distR="0">
            <wp:extent cx="1042416" cy="320040"/>
            <wp:effectExtent l="0" t="0" r="0" b="0"/>
            <wp:docPr id="725" name="image369.png" descr=""/>
            <wp:cNvGraphicFramePr>
              <a:graphicFrameLocks noChangeAspect="1"/>
            </wp:cNvGraphicFramePr>
            <a:graphic>
              <a:graphicData uri="http://schemas.openxmlformats.org/drawingml/2006/picture">
                <pic:pic>
                  <pic:nvPicPr>
                    <pic:cNvPr id="726" name="image369.png"/>
                    <pic:cNvPicPr/>
                  </pic:nvPicPr>
                  <pic:blipFill>
                    <a:blip r:embed="rId373" cstate="print"/>
                    <a:stretch>
                      <a:fillRect/>
                    </a:stretch>
                  </pic:blipFill>
                  <pic:spPr>
                    <a:xfrm>
                      <a:off x="0" y="0"/>
                      <a:ext cx="1042416" cy="320040"/>
                    </a:xfrm>
                    <a:prstGeom prst="rect">
                      <a:avLst/>
                    </a:prstGeom>
                  </pic:spPr>
                </pic:pic>
              </a:graphicData>
            </a:graphic>
          </wp:inline>
        </w:drawing>
      </w:r>
      <w:r>
        <w:rPr>
          <w:color w:val="030303"/>
          <w:position w:val="-18"/>
        </w:rPr>
      </w:r>
      <w:r>
        <w:rPr>
          <w:color w:val="030303"/>
        </w:rPr>
        <w:t>                           (15.23)</w:t>
      </w:r>
    </w:p>
    <w:p>
      <w:pPr>
        <w:pStyle w:val="BodyText"/>
        <w:spacing w:before="95"/>
        <w:ind w:left="112"/>
      </w:pPr>
      <w:r>
        <w:rPr>
          <w:color w:val="030303"/>
          <w:w w:val="105"/>
        </w:rPr>
        <w:t>or</w:t>
      </w:r>
    </w:p>
    <w:p>
      <w:pPr>
        <w:spacing w:after="0"/>
        <w:sectPr>
          <w:type w:val="continuous"/>
          <w:pgSz w:w="7200" w:h="11340"/>
          <w:pgMar w:top="1100" w:bottom="0" w:left="680" w:right="560"/>
        </w:sectPr>
      </w:pPr>
    </w:p>
    <w:p>
      <w:pPr>
        <w:tabs>
          <w:tab w:pos="1275" w:val="left" w:leader="none"/>
          <w:tab w:pos="5271" w:val="left" w:leader="none"/>
        </w:tabs>
        <w:spacing w:before="58"/>
        <w:ind w:left="123" w:right="0" w:hanging="15"/>
        <w:jc w:val="left"/>
        <w:rPr>
          <w:sz w:val="19"/>
        </w:rPr>
      </w:pPr>
      <w:r>
        <w:rPr>
          <w:rFonts w:ascii="Arial"/>
          <w:w w:val="105"/>
          <w:sz w:val="19"/>
        </w:rPr>
        <w:t>298</w:t>
        <w:tab/>
      </w:r>
      <w:r>
        <w:rPr>
          <w:b/>
          <w:w w:val="105"/>
          <w:position w:val="1"/>
          <w:sz w:val="14"/>
        </w:rPr>
        <w:t>TABLES    WITH  </w:t>
      </w:r>
      <w:r>
        <w:rPr>
          <w:b/>
          <w:spacing w:val="36"/>
          <w:w w:val="105"/>
          <w:position w:val="1"/>
          <w:sz w:val="14"/>
        </w:rPr>
        <w:t> </w:t>
      </w:r>
      <w:r>
        <w:rPr>
          <w:b/>
          <w:w w:val="105"/>
          <w:position w:val="1"/>
          <w:sz w:val="14"/>
        </w:rPr>
        <w:t>SECONDARY  </w:t>
      </w:r>
      <w:r>
        <w:rPr>
          <w:b/>
          <w:spacing w:val="31"/>
          <w:w w:val="105"/>
          <w:position w:val="1"/>
          <w:sz w:val="14"/>
        </w:rPr>
        <w:t> </w:t>
      </w:r>
      <w:r>
        <w:rPr>
          <w:b/>
          <w:w w:val="105"/>
          <w:position w:val="1"/>
          <w:sz w:val="14"/>
        </w:rPr>
        <w:t>DECREMENTS</w:t>
        <w:tab/>
      </w:r>
      <w:r>
        <w:rPr>
          <w:position w:val="2"/>
          <w:sz w:val="20"/>
        </w:rPr>
        <w:t>[CH.</w:t>
      </w:r>
      <w:r>
        <w:rPr>
          <w:spacing w:val="4"/>
          <w:position w:val="2"/>
          <w:sz w:val="20"/>
        </w:rPr>
        <w:t> </w:t>
      </w:r>
      <w:r>
        <w:rPr>
          <w:position w:val="2"/>
          <w:sz w:val="19"/>
        </w:rPr>
        <w:t>15</w:t>
      </w:r>
    </w:p>
    <w:p>
      <w:pPr>
        <w:pStyle w:val="BodyText"/>
        <w:spacing w:before="6"/>
      </w:pPr>
    </w:p>
    <w:p>
      <w:pPr>
        <w:pStyle w:val="BodyText"/>
        <w:tabs>
          <w:tab w:pos="2110" w:val="left" w:leader="none"/>
        </w:tabs>
        <w:spacing w:before="1"/>
        <w:ind w:left="123"/>
      </w:pPr>
      <w:r>
        <w:rPr/>
        <w:t>(15.10)</w:t>
        <w:tab/>
      </w:r>
      <w:r>
        <w:rPr>
          <w:position w:val="-13"/>
        </w:rPr>
        <w:drawing>
          <wp:inline distT="0" distB="0" distL="0" distR="0">
            <wp:extent cx="1115568" cy="283463"/>
            <wp:effectExtent l="0" t="0" r="0" b="0"/>
            <wp:docPr id="727" name="image370.png" descr=""/>
            <wp:cNvGraphicFramePr>
              <a:graphicFrameLocks noChangeAspect="1"/>
            </wp:cNvGraphicFramePr>
            <a:graphic>
              <a:graphicData uri="http://schemas.openxmlformats.org/drawingml/2006/picture">
                <pic:pic>
                  <pic:nvPicPr>
                    <pic:cNvPr id="728" name="image370.png"/>
                    <pic:cNvPicPr/>
                  </pic:nvPicPr>
                  <pic:blipFill>
                    <a:blip r:embed="rId374" cstate="print"/>
                    <a:stretch>
                      <a:fillRect/>
                    </a:stretch>
                  </pic:blipFill>
                  <pic:spPr>
                    <a:xfrm>
                      <a:off x="0" y="0"/>
                      <a:ext cx="1115568" cy="283463"/>
                    </a:xfrm>
                    <a:prstGeom prst="rect">
                      <a:avLst/>
                    </a:prstGeom>
                  </pic:spPr>
                </pic:pic>
              </a:graphicData>
            </a:graphic>
          </wp:inline>
        </w:drawing>
      </w:r>
      <w:r>
        <w:rPr>
          <w:position w:val="-13"/>
        </w:rPr>
      </w:r>
      <w:r>
        <w:rPr>
          <w:position w:val="1"/>
        </w:rPr>
        <w:t>                           (</w:t>
      </w:r>
      <w:r>
        <w:rPr>
          <w:spacing w:val="-17"/>
          <w:position w:val="1"/>
        </w:rPr>
        <w:t> </w:t>
      </w:r>
      <w:r>
        <w:rPr>
          <w:position w:val="1"/>
        </w:rPr>
        <w:t>15.24)</w:t>
      </w:r>
    </w:p>
    <w:p>
      <w:pPr>
        <w:pStyle w:val="BodyText"/>
        <w:spacing w:line="160" w:lineRule="auto" w:before="209"/>
        <w:ind w:left="108" w:right="229" w:firstLine="190"/>
      </w:pPr>
      <w:r>
        <w:rPr>
          <w:w w:val="105"/>
        </w:rPr>
        <w:t>The probability that an active life agcd </w:t>
      </w:r>
      <w:r>
        <w:rPr>
          <w:rFonts w:ascii="Arial"/>
          <w:i/>
          <w:w w:val="105"/>
          <w:sz w:val="18"/>
        </w:rPr>
        <w:t>x </w:t>
      </w:r>
      <w:r>
        <w:rPr>
          <w:w w:val="105"/>
        </w:rPr>
        <w:t>will be alive  and  disabled  at age </w:t>
      </w:r>
      <w:r>
        <w:rPr>
          <w:i/>
          <w:w w:val="105"/>
        </w:rPr>
        <w:t>x  </w:t>
      </w:r>
      <w:r>
        <w:rPr>
          <w:rFonts w:ascii="Arial"/>
          <w:w w:val="105"/>
          <w:sz w:val="30"/>
        </w:rPr>
        <w:t>+ </w:t>
      </w:r>
      <w:r>
        <w:rPr>
          <w:i/>
          <w:w w:val="105"/>
        </w:rPr>
        <w:t>n </w:t>
      </w:r>
      <w:r>
        <w:rPr>
          <w:w w:val="105"/>
        </w:rPr>
        <w:t>is</w:t>
      </w:r>
    </w:p>
    <w:p>
      <w:pPr>
        <w:spacing w:after="0" w:line="160" w:lineRule="auto"/>
        <w:sectPr>
          <w:pgSz w:w="7200" w:h="11340"/>
          <w:pgMar w:top="480" w:bottom="280" w:left="640" w:right="540"/>
        </w:sectPr>
      </w:pPr>
    </w:p>
    <w:p>
      <w:pPr>
        <w:pStyle w:val="BodyText"/>
        <w:spacing w:before="5"/>
        <w:rPr>
          <w:sz w:val="19"/>
        </w:rPr>
      </w:pPr>
    </w:p>
    <w:p>
      <w:pPr>
        <w:pStyle w:val="BodyText"/>
        <w:tabs>
          <w:tab w:pos="2200" w:val="left" w:leader="none"/>
        </w:tabs>
        <w:ind w:left="126"/>
        <w:rPr>
          <w:b/>
          <w:sz w:val="12"/>
        </w:rPr>
      </w:pPr>
      <w:r>
        <w:rPr/>
        <w:pict>
          <v:shape style="position:absolute;margin-left:132.839996pt;margin-top:4.037154pt;width:12.35pt;height:9.5pt;mso-position-horizontal-relative:page;mso-position-vertical-relative:paragraph;z-index:-711688" type="#_x0000_t202" filled="false" stroked="false">
            <v:textbox inset="0,0,0,0">
              <w:txbxContent>
                <w:p>
                  <w:pPr>
                    <w:spacing w:line="190" w:lineRule="exact" w:before="0"/>
                    <w:ind w:left="0" w:right="-11" w:firstLine="0"/>
                    <w:jc w:val="left"/>
                    <w:rPr>
                      <w:b/>
                      <w:i/>
                      <w:sz w:val="19"/>
                    </w:rPr>
                  </w:pPr>
                  <w:r>
                    <w:rPr>
                      <w:b/>
                      <w:i/>
                      <w:w w:val="75"/>
                      <w:sz w:val="19"/>
                    </w:rPr>
                    <w:t>nPx</w:t>
                  </w:r>
                </w:p>
              </w:txbxContent>
            </v:textbox>
            <w10:wrap type="none"/>
          </v:shape>
        </w:pict>
      </w:r>
      <w:r>
        <w:rPr>
          <w:w w:val="115"/>
        </w:rPr>
        <w:t>(15.11)</w:t>
        <w:tab/>
      </w:r>
      <w:r>
        <w:rPr>
          <w:b/>
          <w:w w:val="120"/>
          <w:position w:val="10"/>
          <w:sz w:val="12"/>
        </w:rPr>
        <w:t>ai</w:t>
      </w:r>
    </w:p>
    <w:p>
      <w:pPr>
        <w:tabs>
          <w:tab w:pos="2743" w:val="left" w:leader="none"/>
        </w:tabs>
        <w:spacing w:line="351" w:lineRule="exact" w:before="78"/>
        <w:ind w:left="126" w:right="0" w:firstLine="0"/>
        <w:jc w:val="left"/>
        <w:rPr>
          <w:sz w:val="20"/>
        </w:rPr>
      </w:pPr>
      <w:r>
        <w:rPr/>
        <w:br w:type="column"/>
      </w:r>
      <w:r>
        <w:rPr>
          <w:b/>
          <w:w w:val="107"/>
          <w:sz w:val="22"/>
        </w:rPr>
        <w:t>l!</w:t>
      </w:r>
      <w:r>
        <w:rPr>
          <w:b/>
          <w:sz w:val="22"/>
        </w:rPr>
        <w:t> </w:t>
      </w:r>
      <w:r>
        <w:rPr>
          <w:b/>
          <w:spacing w:val="-18"/>
          <w:sz w:val="22"/>
        </w:rPr>
        <w:t> </w:t>
      </w:r>
      <w:r>
        <w:rPr>
          <w:b/>
          <w:w w:val="57"/>
          <w:sz w:val="22"/>
        </w:rPr>
        <w:t>n</w:t>
      </w:r>
      <w:r>
        <w:rPr>
          <w:b/>
          <w:sz w:val="22"/>
        </w:rPr>
        <w:t> </w:t>
      </w:r>
      <w:r>
        <w:rPr>
          <w:b/>
          <w:spacing w:val="-1"/>
          <w:sz w:val="22"/>
        </w:rPr>
        <w:t> </w:t>
      </w:r>
      <w:r>
        <w:rPr>
          <w:w w:val="262"/>
          <w:sz w:val="22"/>
        </w:rPr>
        <w:t>-</w:t>
      </w:r>
      <w:r>
        <w:rPr>
          <w:spacing w:val="-3"/>
          <w:sz w:val="22"/>
        </w:rPr>
        <w:t> </w:t>
      </w:r>
      <w:r>
        <w:rPr>
          <w:b/>
          <w:i/>
          <w:w w:val="74"/>
          <w:sz w:val="26"/>
        </w:rPr>
        <w:t>l</w:t>
      </w:r>
      <w:r>
        <w:rPr>
          <w:b/>
          <w:i/>
          <w:spacing w:val="6"/>
          <w:w w:val="74"/>
          <w:sz w:val="26"/>
        </w:rPr>
        <w:t>!</w:t>
      </w:r>
      <w:r>
        <w:rPr>
          <w:b/>
          <w:i/>
          <w:w w:val="109"/>
          <w:sz w:val="26"/>
        </w:rPr>
        <w:t>'</w:t>
      </w:r>
      <w:r>
        <w:rPr>
          <w:b/>
          <w:i/>
          <w:spacing w:val="-11"/>
          <w:w w:val="109"/>
          <w:sz w:val="26"/>
        </w:rPr>
        <w:t>·</w:t>
      </w:r>
      <w:r>
        <w:rPr>
          <w:b/>
          <w:i/>
          <w:spacing w:val="15"/>
          <w:w w:val="43"/>
          <w:sz w:val="26"/>
        </w:rPr>
        <w:t>n</w:t>
      </w:r>
      <w:r>
        <w:rPr>
          <w:b/>
          <w:i/>
          <w:w w:val="65"/>
          <w:sz w:val="26"/>
        </w:rPr>
        <w:t>p!</w:t>
      </w:r>
      <w:r>
        <w:rPr>
          <w:b/>
          <w:i/>
          <w:sz w:val="26"/>
        </w:rPr>
        <w:tab/>
      </w:r>
      <w:r>
        <w:rPr>
          <w:w w:val="103"/>
          <w:position w:val="-9"/>
          <w:sz w:val="20"/>
        </w:rPr>
        <w:t>(15.25)</w:t>
      </w:r>
    </w:p>
    <w:p>
      <w:pPr>
        <w:spacing w:line="207" w:lineRule="exact" w:before="0"/>
        <w:ind w:left="630" w:right="0" w:firstLine="0"/>
        <w:jc w:val="left"/>
        <w:rPr>
          <w:b/>
          <w:i/>
          <w:sz w:val="21"/>
        </w:rPr>
      </w:pPr>
      <w:r>
        <w:rPr/>
        <w:pict>
          <v:line style="position:absolute;mso-position-horizontal-relative:page;mso-position-vertical-relative:paragraph;z-index:-711712" from="176.580002pt,-5.160174pt" to="179.460002pt,-5.160174pt" stroked="true" strokeweight=".54pt" strokecolor="#000000">
            <w10:wrap type="none"/>
          </v:line>
        </w:pict>
      </w:r>
      <w:r>
        <w:rPr>
          <w:b/>
          <w:i/>
          <w:sz w:val="21"/>
        </w:rPr>
        <w:t>l!ª</w:t>
      </w:r>
    </w:p>
    <w:p>
      <w:pPr>
        <w:spacing w:after="0" w:line="207" w:lineRule="exact"/>
        <w:jc w:val="left"/>
        <w:rPr>
          <w:sz w:val="21"/>
        </w:rPr>
        <w:sectPr>
          <w:type w:val="continuous"/>
          <w:pgSz w:w="7200" w:h="11340"/>
          <w:pgMar w:top="1100" w:bottom="0" w:left="640" w:right="540"/>
          <w:cols w:num="2" w:equalWidth="0">
            <w:col w:w="2331" w:space="193"/>
            <w:col w:w="3496"/>
          </w:cols>
        </w:sectPr>
      </w:pPr>
    </w:p>
    <w:p>
      <w:pPr>
        <w:pStyle w:val="BodyText"/>
        <w:spacing w:line="160" w:lineRule="auto" w:before="177"/>
        <w:ind w:left="108" w:right="123" w:hanging="8"/>
        <w:jc w:val="both"/>
      </w:pPr>
      <w:r>
        <w:rPr>
          <w:w w:val="105"/>
        </w:rPr>
        <w:t>The probability that an active life now aged </w:t>
      </w:r>
      <w:r>
        <w:rPr>
          <w:i/>
          <w:w w:val="105"/>
          <w:sz w:val="22"/>
        </w:rPr>
        <w:t>x </w:t>
      </w:r>
      <w:r>
        <w:rPr>
          <w:w w:val="105"/>
        </w:rPr>
        <w:t>will die &lt;lisabled in thc  (n </w:t>
      </w:r>
      <w:r>
        <w:rPr>
          <w:rFonts w:ascii="Arial"/>
          <w:w w:val="105"/>
          <w:sz w:val="30"/>
        </w:rPr>
        <w:t>+ </w:t>
      </w:r>
      <w:r>
        <w:rPr>
          <w:rFonts w:ascii="Arial"/>
          <w:b/>
          <w:w w:val="105"/>
          <w:sz w:val="18"/>
        </w:rPr>
        <w:t>1</w:t>
      </w:r>
      <w:r>
        <w:rPr>
          <w:w w:val="105"/>
        </w:rPr>
        <w:t>)-th year from now   is</w:t>
      </w:r>
    </w:p>
    <w:p>
      <w:pPr>
        <w:pStyle w:val="BodyText"/>
        <w:tabs>
          <w:tab w:pos="1951" w:val="left" w:leader="none"/>
        </w:tabs>
        <w:spacing w:before="108"/>
        <w:ind w:left="123"/>
        <w:jc w:val="both"/>
      </w:pPr>
      <w:r>
        <w:rPr>
          <w:spacing w:val="-2"/>
        </w:rPr>
        <w:t>(15.13)</w:t>
        <w:tab/>
      </w:r>
      <w:r>
        <w:rPr>
          <w:position w:val="-16"/>
        </w:rPr>
        <w:drawing>
          <wp:inline distT="0" distB="0" distL="0" distR="0">
            <wp:extent cx="1234440" cy="320039"/>
            <wp:effectExtent l="0" t="0" r="0" b="0"/>
            <wp:docPr id="729" name="image371.png" descr=""/>
            <wp:cNvGraphicFramePr>
              <a:graphicFrameLocks noChangeAspect="1"/>
            </wp:cNvGraphicFramePr>
            <a:graphic>
              <a:graphicData uri="http://schemas.openxmlformats.org/drawingml/2006/picture">
                <pic:pic>
                  <pic:nvPicPr>
                    <pic:cNvPr id="730" name="image371.png"/>
                    <pic:cNvPicPr/>
                  </pic:nvPicPr>
                  <pic:blipFill>
                    <a:blip r:embed="rId375" cstate="print"/>
                    <a:stretch>
                      <a:fillRect/>
                    </a:stretch>
                  </pic:blipFill>
                  <pic:spPr>
                    <a:xfrm>
                      <a:off x="0" y="0"/>
                      <a:ext cx="1234440" cy="320039"/>
                    </a:xfrm>
                    <a:prstGeom prst="rect">
                      <a:avLst/>
                    </a:prstGeom>
                  </pic:spPr>
                </pic:pic>
              </a:graphicData>
            </a:graphic>
          </wp:inline>
        </w:drawing>
      </w:r>
      <w:r>
        <w:rPr>
          <w:position w:val="-16"/>
        </w:rPr>
      </w:r>
      <w:r>
        <w:rPr>
          <w:position w:val="1"/>
        </w:rPr>
        <w:t>                          (15.26</w:t>
      </w:r>
      <w:r>
        <w:rPr>
          <w:spacing w:val="-25"/>
          <w:position w:val="1"/>
        </w:rPr>
        <w:t> </w:t>
      </w:r>
      <w:r>
        <w:rPr>
          <w:position w:val="1"/>
        </w:rPr>
        <w:t>)</w:t>
      </w:r>
    </w:p>
    <w:p>
      <w:pPr>
        <w:pStyle w:val="BodyText"/>
        <w:spacing w:line="252" w:lineRule="auto" w:before="159"/>
        <w:ind w:left="105" w:right="128" w:firstLine="205"/>
        <w:jc w:val="both"/>
      </w:pPr>
      <w:r>
        <w:rPr>
          <w:w w:val="105"/>
        </w:rPr>
        <w:t>:Many other probabilities may be formulated in terms of those listed  above.  For  example,  lct  us  obtain  the  probability  that </w:t>
      </w:r>
      <w:r>
        <w:rPr>
          <w:spacing w:val="52"/>
          <w:w w:val="105"/>
        </w:rPr>
        <w:t> </w:t>
      </w:r>
      <w:r>
        <w:rPr>
          <w:w w:val="105"/>
        </w:rPr>
        <w:t>an</w:t>
      </w:r>
    </w:p>
    <w:p>
      <w:pPr>
        <w:pStyle w:val="BodyText"/>
        <w:spacing w:line="203" w:lineRule="exact"/>
        <w:ind w:left="112" w:hanging="4"/>
        <w:jc w:val="both"/>
        <w:rPr>
          <w:sz w:val="19"/>
        </w:rPr>
      </w:pPr>
      <w:r>
        <w:rPr>
          <w:w w:val="110"/>
        </w:rPr>
        <w:t>active </w:t>
      </w:r>
      <w:r>
        <w:rPr>
          <w:w w:val="110"/>
          <w:sz w:val="18"/>
        </w:rPr>
        <w:t>lifc </w:t>
      </w:r>
      <w:r>
        <w:rPr>
          <w:w w:val="110"/>
        </w:rPr>
        <w:t>agcd </w:t>
      </w:r>
      <w:r>
        <w:rPr>
          <w:i/>
          <w:w w:val="110"/>
          <w:sz w:val="19"/>
        </w:rPr>
        <w:t>x </w:t>
      </w:r>
      <w:r>
        <w:rPr>
          <w:w w:val="110"/>
        </w:rPr>
        <w:t>will becomc disabled bcfore attaining agc </w:t>
      </w:r>
      <w:r>
        <w:rPr>
          <w:i/>
          <w:w w:val="110"/>
          <w:sz w:val="19"/>
        </w:rPr>
        <w:t>x </w:t>
      </w:r>
      <w:r>
        <w:rPr>
          <w:rFonts w:ascii="Arial"/>
          <w:w w:val="110"/>
          <w:sz w:val="30"/>
        </w:rPr>
        <w:t>+ </w:t>
      </w:r>
      <w:r>
        <w:rPr>
          <w:w w:val="110"/>
          <w:sz w:val="19"/>
        </w:rPr>
        <w:t>l</w:t>
      </w:r>
    </w:p>
    <w:p>
      <w:pPr>
        <w:spacing w:line="175" w:lineRule="auto" w:before="26"/>
        <w:ind w:left="101" w:right="118" w:firstLine="10"/>
        <w:jc w:val="both"/>
        <w:rPr>
          <w:sz w:val="18"/>
        </w:rPr>
      </w:pPr>
      <w:r>
        <w:rPr>
          <w:sz w:val="20"/>
        </w:rPr>
        <w:t>and will die beforc attaining agc </w:t>
      </w:r>
      <w:r>
        <w:rPr>
          <w:rFonts w:ascii="Arial" w:hAnsi="Arial"/>
          <w:w w:val="95"/>
          <w:sz w:val="17"/>
        </w:rPr>
        <w:t>.-r </w:t>
      </w:r>
      <w:r>
        <w:rPr>
          <w:rFonts w:ascii="Arial" w:hAnsi="Arial"/>
          <w:sz w:val="29"/>
        </w:rPr>
        <w:t>+ </w:t>
      </w:r>
      <w:r>
        <w:rPr>
          <w:sz w:val="20"/>
        </w:rPr>
        <w:t>2. </w:t>
      </w:r>
      <w:r>
        <w:rPr>
          <w:sz w:val="19"/>
        </w:rPr>
        <w:t>TlH'Sc  </w:t>
      </w:r>
      <w:r>
        <w:rPr>
          <w:sz w:val="20"/>
        </w:rPr>
        <w:t>ronditiorn;  are satisficd if the </w:t>
      </w:r>
      <w:r>
        <w:rPr>
          <w:sz w:val="18"/>
        </w:rPr>
        <w:t>life </w:t>
      </w:r>
      <w:r>
        <w:rPr>
          <w:sz w:val="20"/>
        </w:rPr>
        <w:t>bc&lt;'omes disabled </w:t>
      </w:r>
      <w:r>
        <w:rPr>
          <w:w w:val="95"/>
          <w:sz w:val="20"/>
        </w:rPr>
        <w:t>an&lt;l </w:t>
      </w:r>
      <w:r>
        <w:rPr>
          <w:w w:val="120"/>
          <w:sz w:val="20"/>
        </w:rPr>
        <w:t>die </w:t>
      </w:r>
      <w:r>
        <w:rPr>
          <w:sz w:val="20"/>
        </w:rPr>
        <w:t>bPforc </w:t>
      </w:r>
      <w:r>
        <w:rPr>
          <w:rFonts w:ascii="Arial" w:hAnsi="Arial"/>
          <w:sz w:val="17"/>
        </w:rPr>
        <w:t>ugc </w:t>
      </w:r>
      <w:r>
        <w:rPr>
          <w:rFonts w:ascii="Arial" w:hAnsi="Arial"/>
          <w:i/>
          <w:sz w:val="19"/>
        </w:rPr>
        <w:t>x </w:t>
      </w:r>
      <w:r>
        <w:rPr>
          <w:rFonts w:ascii="Arial" w:hAnsi="Arial"/>
          <w:sz w:val="30"/>
        </w:rPr>
        <w:t>+ </w:t>
      </w:r>
      <w:r>
        <w:rPr>
          <w:rFonts w:ascii="Arial" w:hAnsi="Arial"/>
          <w:b/>
          <w:sz w:val="18"/>
        </w:rPr>
        <w:t>1, </w:t>
      </w:r>
      <w:r>
        <w:rPr>
          <w:w w:val="112"/>
          <w:sz w:val="20"/>
        </w:rPr>
        <w:t>thc </w:t>
      </w:r>
      <w:r>
        <w:rPr>
          <w:w w:val="103"/>
          <w:sz w:val="20"/>
        </w:rPr>
        <w:t>chance </w:t>
      </w:r>
      <w:r>
        <w:rPr>
          <w:w w:val="83"/>
          <w:sz w:val="20"/>
        </w:rPr>
        <w:t>of </w:t>
      </w:r>
      <w:r>
        <w:rPr>
          <w:w w:val="104"/>
          <w:sz w:val="20"/>
        </w:rPr>
        <w:t>whirh </w:t>
      </w:r>
      <w:r>
        <w:rPr>
          <w:w w:val="99"/>
          <w:sz w:val="20"/>
        </w:rPr>
        <w:t>is </w:t>
      </w:r>
      <w:r>
        <w:rPr>
          <w:i/>
          <w:spacing w:val="1"/>
          <w:w w:val="135"/>
          <w:sz w:val="29"/>
        </w:rPr>
        <w:t>q\</w:t>
      </w:r>
      <w:r>
        <w:rPr>
          <w:spacing w:val="1"/>
          <w:w w:val="135"/>
          <w:sz w:val="20"/>
        </w:rPr>
        <w:t>or</w:t>
      </w:r>
      <w:r>
        <w:rPr>
          <w:w w:val="135"/>
          <w:sz w:val="20"/>
        </w:rPr>
        <w:t> </w:t>
      </w:r>
      <w:r>
        <w:rPr>
          <w:w w:val="76"/>
          <w:sz w:val="20"/>
        </w:rPr>
        <w:t>if </w:t>
      </w:r>
      <w:r>
        <w:rPr>
          <w:w w:val="110"/>
          <w:sz w:val="20"/>
        </w:rPr>
        <w:t>thc </w:t>
      </w:r>
      <w:r>
        <w:rPr>
          <w:w w:val="99"/>
          <w:sz w:val="20"/>
        </w:rPr>
        <w:t>lifc </w:t>
      </w:r>
      <w:r>
        <w:rPr>
          <w:w w:val="101"/>
          <w:sz w:val="20"/>
        </w:rPr>
        <w:t>bceomes </w:t>
      </w:r>
      <w:r>
        <w:rPr>
          <w:w w:val="103"/>
          <w:sz w:val="20"/>
        </w:rPr>
        <w:t>disabled </w:t>
      </w:r>
      <w:r>
        <w:rPr>
          <w:w w:val="103"/>
          <w:sz w:val="20"/>
        </w:rPr>
        <w:t>and </w:t>
      </w:r>
      <w:r>
        <w:rPr>
          <w:w w:val="106"/>
          <w:sz w:val="20"/>
        </w:rPr>
        <w:t>sur­ </w:t>
      </w:r>
      <w:r>
        <w:rPr>
          <w:sz w:val="20"/>
        </w:rPr>
        <w:t>vives  to  agc </w:t>
      </w:r>
      <w:r>
        <w:rPr>
          <w:rFonts w:ascii="Arial" w:hAnsi="Arial"/>
          <w:i/>
          <w:sz w:val="18"/>
        </w:rPr>
        <w:t>x  </w:t>
      </w:r>
      <w:r>
        <w:rPr>
          <w:sz w:val="28"/>
        </w:rPr>
        <w:t>+  </w:t>
      </w:r>
      <w:r>
        <w:rPr>
          <w:sz w:val="18"/>
        </w:rPr>
        <w:t>1 </w:t>
      </w:r>
      <w:r>
        <w:rPr>
          <w:w w:val="95"/>
          <w:sz w:val="20"/>
        </w:rPr>
        <w:t>an&lt;l  </w:t>
      </w:r>
      <w:r>
        <w:rPr>
          <w:sz w:val="20"/>
        </w:rPr>
        <w:t>thcn  </w:t>
      </w:r>
      <w:r>
        <w:rPr>
          <w:w w:val="95"/>
          <w:sz w:val="20"/>
        </w:rPr>
        <w:t>&lt;líes  </w:t>
      </w:r>
      <w:r>
        <w:rPr>
          <w:sz w:val="20"/>
        </w:rPr>
        <w:t>beforc  age </w:t>
      </w:r>
      <w:r>
        <w:rPr>
          <w:rFonts w:ascii="Arial" w:hAnsi="Arial"/>
          <w:i/>
          <w:sz w:val="18"/>
        </w:rPr>
        <w:t>:r   </w:t>
      </w:r>
      <w:r>
        <w:rPr>
          <w:sz w:val="28"/>
        </w:rPr>
        <w:t>+ </w:t>
      </w:r>
      <w:r>
        <w:rPr>
          <w:sz w:val="18"/>
        </w:rPr>
        <w:t>2,  </w:t>
      </w:r>
      <w:r>
        <w:rPr>
          <w:sz w:val="20"/>
        </w:rPr>
        <w:t>the  </w:t>
      </w:r>
      <w:r>
        <w:rPr>
          <w:sz w:val="18"/>
        </w:rPr>
        <w:t>chance</w:t>
      </w:r>
      <w:r>
        <w:rPr>
          <w:spacing w:val="2"/>
          <w:sz w:val="18"/>
        </w:rPr>
        <w:t> </w:t>
      </w:r>
      <w:r>
        <w:rPr>
          <w:sz w:val="18"/>
        </w:rPr>
        <w:t>of</w:t>
      </w:r>
    </w:p>
    <w:p>
      <w:pPr>
        <w:pStyle w:val="BodyText"/>
        <w:spacing w:before="6"/>
        <w:ind w:left="105"/>
        <w:jc w:val="both"/>
      </w:pPr>
      <w:r>
        <w:rPr/>
        <w:drawing>
          <wp:anchor distT="0" distB="0" distL="0" distR="0" allowOverlap="1" layoutInCell="1" locked="0" behindDoc="0" simplePos="0" relativeHeight="24328">
            <wp:simplePos x="0" y="0"/>
            <wp:positionH relativeFrom="page">
              <wp:posOffset>1883664</wp:posOffset>
            </wp:positionH>
            <wp:positionV relativeFrom="paragraph">
              <wp:posOffset>250392</wp:posOffset>
            </wp:positionV>
            <wp:extent cx="832103" cy="155448"/>
            <wp:effectExtent l="0" t="0" r="0" b="0"/>
            <wp:wrapTopAndBottom/>
            <wp:docPr id="731" name="image372.png" descr=""/>
            <wp:cNvGraphicFramePr>
              <a:graphicFrameLocks noChangeAspect="1"/>
            </wp:cNvGraphicFramePr>
            <a:graphic>
              <a:graphicData uri="http://schemas.openxmlformats.org/drawingml/2006/picture">
                <pic:pic>
                  <pic:nvPicPr>
                    <pic:cNvPr id="732" name="image372.png"/>
                    <pic:cNvPicPr/>
                  </pic:nvPicPr>
                  <pic:blipFill>
                    <a:blip r:embed="rId376" cstate="print"/>
                    <a:stretch>
                      <a:fillRect/>
                    </a:stretch>
                  </pic:blipFill>
                  <pic:spPr>
                    <a:xfrm>
                      <a:off x="0" y="0"/>
                      <a:ext cx="832103" cy="155448"/>
                    </a:xfrm>
                    <a:prstGeom prst="rect">
                      <a:avLst/>
                    </a:prstGeom>
                  </pic:spPr>
                </pic:pic>
              </a:graphicData>
            </a:graphic>
          </wp:anchor>
        </w:drawing>
      </w:r>
      <w:r>
        <w:rPr>
          <w:w w:val="99"/>
        </w:rPr>
        <w:t>which</w:t>
      </w:r>
      <w:r>
        <w:rPr/>
        <w:t> </w:t>
      </w:r>
      <w:r>
        <w:rPr>
          <w:spacing w:val="-13"/>
        </w:rPr>
        <w:t> </w:t>
      </w:r>
      <w:r>
        <w:rPr>
          <w:w w:val="96"/>
        </w:rPr>
        <w:t>i</w:t>
      </w:r>
      <w:r>
        <w:rPr>
          <w:w w:val="96"/>
        </w:rPr>
        <w:t>s</w:t>
      </w:r>
      <w:r>
        <w:rPr>
          <w:spacing w:val="11"/>
        </w:rPr>
        <w:t> </w:t>
      </w:r>
      <w:r>
        <w:rPr>
          <w:rFonts w:ascii="Arial" w:hAnsi="Arial"/>
          <w:w w:val="113"/>
          <w:sz w:val="18"/>
        </w:rPr>
        <w:t>p</w:t>
      </w:r>
      <w:r>
        <w:rPr>
          <w:rFonts w:ascii="Arial" w:hAnsi="Arial"/>
          <w:spacing w:val="19"/>
          <w:sz w:val="18"/>
        </w:rPr>
        <w:t> </w:t>
      </w:r>
      <w:r>
        <w:rPr>
          <w:rFonts w:ascii="Arial" w:hAnsi="Arial"/>
          <w:spacing w:val="-15"/>
          <w:w w:val="224"/>
          <w:sz w:val="18"/>
        </w:rPr>
        <w:t>i</w:t>
      </w:r>
      <w:r>
        <w:rPr>
          <w:rFonts w:ascii="Arial" w:hAnsi="Arial"/>
          <w:spacing w:val="-6"/>
          <w:w w:val="117"/>
          <w:sz w:val="18"/>
        </w:rPr>
        <w:t>·</w:t>
      </w:r>
      <w:r>
        <w:rPr>
          <w:rFonts w:ascii="Arial" w:hAnsi="Arial"/>
          <w:w w:val="109"/>
          <w:sz w:val="18"/>
        </w:rPr>
        <w:t>q</w:t>
      </w:r>
      <w:r>
        <w:rPr>
          <w:rFonts w:ascii="Arial" w:hAnsi="Arial"/>
          <w:spacing w:val="4"/>
          <w:w w:val="109"/>
          <w:sz w:val="18"/>
        </w:rPr>
        <w:t>!</w:t>
      </w:r>
      <w:r>
        <w:rPr>
          <w:rFonts w:ascii="Arial" w:hAnsi="Arial"/>
          <w:spacing w:val="-7"/>
          <w:w w:val="94"/>
          <w:sz w:val="18"/>
        </w:rPr>
        <w:t>+</w:t>
      </w:r>
      <w:r>
        <w:rPr>
          <w:rFonts w:ascii="Arial" w:hAnsi="Arial"/>
          <w:w w:val="88"/>
          <w:position w:val="-2"/>
          <w:sz w:val="18"/>
        </w:rPr>
        <w:t>1</w:t>
      </w:r>
      <w:r>
        <w:rPr>
          <w:rFonts w:ascii="Arial" w:hAnsi="Arial"/>
          <w:spacing w:val="-21"/>
          <w:position w:val="-2"/>
          <w:sz w:val="18"/>
        </w:rPr>
        <w:t> </w:t>
      </w:r>
      <w:r>
        <w:rPr>
          <w:rFonts w:ascii="Arial" w:hAnsi="Arial"/>
          <w:w w:val="137"/>
          <w:sz w:val="18"/>
        </w:rPr>
        <w:t>.</w:t>
      </w:r>
      <w:r>
        <w:rPr>
          <w:rFonts w:ascii="Arial" w:hAnsi="Arial"/>
          <w:spacing w:val="-15"/>
          <w:sz w:val="18"/>
        </w:rPr>
        <w:t> </w:t>
      </w:r>
      <w:r>
        <w:rPr>
          <w:w w:val="110"/>
        </w:rPr>
        <w:t>The</w:t>
      </w:r>
      <w:r>
        <w:rPr>
          <w:spacing w:val="15"/>
        </w:rPr>
        <w:t> </w:t>
      </w:r>
      <w:r>
        <w:rPr>
          <w:w w:val="103"/>
        </w:rPr>
        <w:t>required</w:t>
      </w:r>
      <w:r>
        <w:rPr/>
        <w:t> </w:t>
      </w:r>
      <w:r>
        <w:rPr>
          <w:spacing w:val="-15"/>
        </w:rPr>
        <w:t> </w:t>
      </w:r>
      <w:r>
        <w:rPr>
          <w:w w:val="105"/>
        </w:rPr>
        <w:t>probability</w:t>
      </w:r>
      <w:r>
        <w:rPr/>
        <w:t> </w:t>
      </w:r>
      <w:r>
        <w:rPr>
          <w:spacing w:val="-4"/>
        </w:rPr>
        <w:t> </w:t>
      </w:r>
      <w:r>
        <w:rPr>
          <w:w w:val="96"/>
        </w:rPr>
        <w:t>is</w:t>
      </w:r>
      <w:r>
        <w:rPr>
          <w:spacing w:val="15"/>
        </w:rPr>
        <w:t> </w:t>
      </w:r>
      <w:r>
        <w:rPr>
          <w:w w:val="116"/>
        </w:rPr>
        <w:t>thus</w:t>
      </w:r>
      <w:r>
        <w:rPr>
          <w:spacing w:val="17"/>
        </w:rPr>
        <w:t> </w:t>
      </w:r>
      <w:r>
        <w:rPr>
          <w:w w:val="102"/>
        </w:rPr>
        <w:t>given</w:t>
      </w:r>
      <w:r>
        <w:rPr/>
        <w:t> </w:t>
      </w:r>
      <w:r>
        <w:rPr>
          <w:spacing w:val="-25"/>
        </w:rPr>
        <w:t> </w:t>
      </w:r>
      <w:r>
        <w:rPr>
          <w:w w:val="101"/>
        </w:rPr>
        <w:t>by</w:t>
      </w:r>
    </w:p>
    <w:p>
      <w:pPr>
        <w:pStyle w:val="BodyText"/>
        <w:spacing w:line="163" w:lineRule="auto" w:before="197"/>
        <w:ind w:left="108" w:right="113"/>
        <w:jc w:val="both"/>
      </w:pPr>
      <w:r>
        <w:rPr/>
        <w:t>This probability may also be cxpressc&lt;l </w:t>
      </w:r>
      <w:r>
        <w:rPr>
          <w:rFonts w:ascii="Arial" w:hAnsi="Arial"/>
          <w:w w:val="160"/>
          <w:sz w:val="12"/>
        </w:rPr>
        <w:t>füi </w:t>
      </w:r>
      <w:r>
        <w:rPr/>
        <w:t>thc probability of  bc­ coming disabled bcforc </w:t>
      </w:r>
      <w:r>
        <w:rPr>
          <w:sz w:val="19"/>
        </w:rPr>
        <w:t>agc </w:t>
      </w:r>
      <w:r>
        <w:rPr>
          <w:i/>
        </w:rPr>
        <w:t>x </w:t>
      </w:r>
      <w:r>
        <w:rPr>
          <w:rFonts w:ascii="Arial" w:hAnsi="Arial"/>
          <w:sz w:val="30"/>
        </w:rPr>
        <w:t>+ </w:t>
      </w:r>
      <w:r>
        <w:rPr>
          <w:sz w:val="19"/>
        </w:rPr>
        <w:t>1, </w:t>
      </w:r>
      <w:r>
        <w:rPr/>
        <w:t>which is </w:t>
      </w:r>
      <w:r>
        <w:rPr>
          <w:i/>
        </w:rPr>
        <w:t>rx  </w:t>
      </w:r>
      <w:r>
        <w:rPr/>
        <w:t>,  minus  thc  </w:t>
      </w:r>
      <w:r>
        <w:rPr>
          <w:sz w:val="19"/>
        </w:rPr>
        <w:t>prob­ </w:t>
      </w:r>
      <w:r>
        <w:rPr/>
        <w:t>ability of bccoming disahled bcfore agc </w:t>
      </w:r>
      <w:r>
        <w:rPr>
          <w:rFonts w:ascii="Arial" w:hAnsi="Arial"/>
          <w:i/>
          <w:sz w:val="18"/>
        </w:rPr>
        <w:t>x </w:t>
      </w:r>
      <w:r>
        <w:rPr>
          <w:rFonts w:ascii="Arial" w:hAnsi="Arial"/>
          <w:sz w:val="31"/>
        </w:rPr>
        <w:t>+ </w:t>
      </w:r>
      <w:r>
        <w:rPr>
          <w:w w:val="120"/>
        </w:rPr>
        <w:t>l </w:t>
      </w:r>
      <w:r>
        <w:rPr/>
        <w:t>and thcn survivi11g </w:t>
      </w:r>
      <w:r>
        <w:rPr>
          <w:w w:val="112"/>
        </w:rPr>
        <w:t>to </w:t>
      </w:r>
      <w:r>
        <w:rPr>
          <w:w w:val="103"/>
        </w:rPr>
        <w:t>agc </w:t>
      </w:r>
      <w:r>
        <w:rPr>
          <w:rFonts w:ascii="Arial" w:hAnsi="Arial"/>
          <w:i/>
          <w:w w:val="91"/>
          <w:sz w:val="18"/>
        </w:rPr>
        <w:t>x  </w:t>
      </w:r>
      <w:r>
        <w:rPr>
          <w:rFonts w:ascii="Arial" w:hAnsi="Arial"/>
          <w:w w:val="105"/>
          <w:sz w:val="29"/>
        </w:rPr>
        <w:t>+ </w:t>
      </w:r>
      <w:r>
        <w:rPr>
          <w:w w:val="107"/>
          <w:sz w:val="19"/>
        </w:rPr>
        <w:t>2, </w:t>
      </w:r>
      <w:r>
        <w:rPr>
          <w:w w:val="98"/>
        </w:rPr>
        <w:t>which </w:t>
      </w:r>
      <w:r>
        <w:rPr>
          <w:w w:val="102"/>
        </w:rPr>
        <w:t>is </w:t>
      </w:r>
      <w:r>
        <w:rPr>
          <w:rFonts w:ascii="Arial" w:hAnsi="Arial"/>
          <w:w w:val="133"/>
          <w:sz w:val="18"/>
        </w:rPr>
        <w:t>p:¡·p!+1 </w:t>
      </w:r>
      <w:r>
        <w:rPr>
          <w:rFonts w:ascii="Arial" w:hAnsi="Arial"/>
          <w:w w:val="137"/>
          <w:sz w:val="18"/>
        </w:rPr>
        <w:t>. </w:t>
      </w:r>
      <w:r>
        <w:rPr>
          <w:w w:val="111"/>
        </w:rPr>
        <w:t>Thus </w:t>
      </w:r>
      <w:r>
        <w:rPr>
          <w:w w:val="107"/>
        </w:rPr>
        <w:t>an </w:t>
      </w:r>
      <w:r>
        <w:rPr>
          <w:w w:val="111"/>
        </w:rPr>
        <w:t>alternative </w:t>
      </w:r>
      <w:r>
        <w:rPr>
          <w:w w:val="104"/>
        </w:rPr>
        <w:t>formulation </w:t>
      </w:r>
      <w:r>
        <w:rPr>
          <w:w w:val="99"/>
        </w:rPr>
        <w:t>is</w:t>
      </w:r>
    </w:p>
    <w:p>
      <w:pPr>
        <w:tabs>
          <w:tab w:pos="606" w:val="left" w:leader="none"/>
        </w:tabs>
        <w:spacing w:line="112" w:lineRule="exact" w:before="141"/>
        <w:ind w:left="246" w:right="0" w:firstLine="0"/>
        <w:jc w:val="center"/>
        <w:rPr>
          <w:sz w:val="12"/>
        </w:rPr>
      </w:pPr>
      <w:r>
        <w:rPr>
          <w:i/>
          <w:w w:val="140"/>
          <w:sz w:val="12"/>
        </w:rPr>
        <w:t>ai</w:t>
        <w:tab/>
      </w:r>
      <w:r>
        <w:rPr>
          <w:w w:val="140"/>
          <w:sz w:val="12"/>
        </w:rPr>
        <w:t>i</w:t>
      </w:r>
    </w:p>
    <w:p>
      <w:pPr>
        <w:spacing w:line="158" w:lineRule="exact" w:before="0"/>
        <w:ind w:left="293" w:right="340" w:firstLine="0"/>
        <w:jc w:val="center"/>
        <w:rPr>
          <w:sz w:val="16"/>
        </w:rPr>
      </w:pPr>
      <w:r>
        <w:rPr>
          <w:b/>
          <w:i/>
          <w:spacing w:val="6"/>
          <w:sz w:val="14"/>
        </w:rPr>
        <w:t>Tx  </w:t>
      </w:r>
      <w:r>
        <w:rPr>
          <w:w w:val="335"/>
          <w:sz w:val="14"/>
        </w:rPr>
        <w:t>-</w:t>
      </w:r>
      <w:r>
        <w:rPr>
          <w:spacing w:val="-67"/>
          <w:w w:val="335"/>
          <w:sz w:val="14"/>
        </w:rPr>
        <w:t> </w:t>
      </w:r>
      <w:r>
        <w:rPr>
          <w:b/>
          <w:i/>
          <w:w w:val="110"/>
          <w:sz w:val="14"/>
        </w:rPr>
        <w:t>P </w:t>
      </w:r>
      <w:r>
        <w:rPr>
          <w:b/>
          <w:i/>
          <w:sz w:val="14"/>
        </w:rPr>
        <w:t>x  </w:t>
      </w:r>
      <w:r>
        <w:rPr>
          <w:b/>
          <w:w w:val="110"/>
          <w:sz w:val="16"/>
        </w:rPr>
        <w:t>' Pz+l </w:t>
      </w:r>
      <w:r>
        <w:rPr>
          <w:sz w:val="16"/>
        </w:rPr>
        <w:t>•</w:t>
      </w:r>
    </w:p>
    <w:p>
      <w:pPr>
        <w:spacing w:before="60"/>
        <w:ind w:left="108" w:right="0" w:firstLine="0"/>
        <w:jc w:val="both"/>
        <w:rPr>
          <w:sz w:val="20"/>
        </w:rPr>
      </w:pPr>
      <w:r>
        <w:rPr>
          <w:sz w:val="20"/>
        </w:rPr>
        <w:t>The two  expressions  are clearly  equivalent  sincc </w:t>
      </w:r>
      <w:r>
        <w:rPr>
          <w:i/>
          <w:sz w:val="20"/>
        </w:rPr>
        <w:t>p:i  </w:t>
      </w:r>
      <w:r>
        <w:rPr>
          <w:rFonts w:ascii="Arial"/>
          <w:sz w:val="31"/>
        </w:rPr>
        <w:t>+ </w:t>
      </w:r>
      <w:r>
        <w:rPr>
          <w:i/>
          <w:sz w:val="20"/>
        </w:rPr>
        <w:t>q:i  </w:t>
      </w:r>
      <w:r>
        <w:rPr>
          <w:sz w:val="24"/>
        </w:rPr>
        <w:t>=  </w:t>
      </w:r>
      <w:r>
        <w:rPr>
          <w:i/>
          <w:sz w:val="20"/>
        </w:rPr>
        <w:t>rx </w:t>
      </w:r>
      <w:r>
        <w:rPr>
          <w:sz w:val="20"/>
        </w:rPr>
        <w:t>.</w:t>
      </w:r>
    </w:p>
    <w:p>
      <w:pPr>
        <w:pStyle w:val="ListParagraph"/>
        <w:numPr>
          <w:ilvl w:val="0"/>
          <w:numId w:val="138"/>
        </w:numPr>
        <w:tabs>
          <w:tab w:pos="336" w:val="left" w:leader="none"/>
        </w:tabs>
        <w:spacing w:line="240" w:lineRule="auto" w:before="176" w:after="0"/>
        <w:ind w:left="335" w:right="0" w:hanging="223"/>
        <w:jc w:val="both"/>
        <w:rPr>
          <w:b/>
          <w:sz w:val="18"/>
        </w:rPr>
      </w:pPr>
      <w:r>
        <w:rPr>
          <w:b/>
          <w:w w:val="120"/>
          <w:sz w:val="18"/>
        </w:rPr>
        <w:t>Marriage  and</w:t>
      </w:r>
      <w:r>
        <w:rPr>
          <w:b/>
          <w:spacing w:val="6"/>
          <w:w w:val="120"/>
          <w:sz w:val="18"/>
        </w:rPr>
        <w:t> </w:t>
      </w:r>
      <w:r>
        <w:rPr>
          <w:b/>
          <w:w w:val="120"/>
          <w:sz w:val="18"/>
        </w:rPr>
        <w:t>Ínortality</w:t>
      </w:r>
    </w:p>
    <w:p>
      <w:pPr>
        <w:pStyle w:val="BodyText"/>
        <w:spacing w:line="252" w:lineRule="auto" w:before="87"/>
        <w:ind w:left="115" w:right="123" w:firstLine="201"/>
        <w:jc w:val="both"/>
      </w:pPr>
      <w:r>
        <w:rPr>
          <w:w w:val="96"/>
        </w:rPr>
        <w:t>As </w:t>
      </w:r>
      <w:r>
        <w:rPr>
          <w:w w:val="108"/>
        </w:rPr>
        <w:t>a </w:t>
      </w:r>
      <w:r>
        <w:rPr>
          <w:w w:val="100"/>
        </w:rPr>
        <w:t>second </w:t>
      </w:r>
      <w:r>
        <w:rPr>
          <w:w w:val="105"/>
        </w:rPr>
        <w:t>application, </w:t>
      </w:r>
      <w:r>
        <w:rPr>
          <w:spacing w:val="-18"/>
          <w:w w:val="129"/>
        </w:rPr>
        <w:t>,ve</w:t>
      </w:r>
      <w:r>
        <w:rPr>
          <w:w w:val="129"/>
        </w:rPr>
        <w:t> </w:t>
      </w:r>
      <w:r>
        <w:rPr>
          <w:w w:val="105"/>
        </w:rPr>
        <w:t>shall </w:t>
      </w:r>
      <w:r>
        <w:rPr>
          <w:w w:val="94"/>
        </w:rPr>
        <w:t>ronsi&lt;lcr </w:t>
      </w:r>
      <w:r>
        <w:rPr>
          <w:w w:val="108"/>
        </w:rPr>
        <w:t>a </w:t>
      </w:r>
      <w:r>
        <w:rPr>
          <w:rFonts w:ascii="Arial"/>
          <w:w w:val="99"/>
          <w:sz w:val="19"/>
        </w:rPr>
        <w:t>fcw </w:t>
      </w:r>
      <w:r>
        <w:rPr>
          <w:w w:val="105"/>
        </w:rPr>
        <w:t>probabilities</w:t>
      </w:r>
      <w:r>
        <w:rPr>
          <w:spacing w:val="52"/>
          <w:w w:val="105"/>
        </w:rPr>
        <w:t> </w:t>
      </w:r>
      <w:r>
        <w:rPr>
          <w:w w:val="105"/>
        </w:rPr>
        <w:t>from a combined marriagc  and  mortality  table,  a typical  scction  </w:t>
      </w:r>
      <w:r>
        <w:rPr>
          <w:w w:val="105"/>
          <w:sz w:val="18"/>
        </w:rPr>
        <w:t>of </w:t>
      </w:r>
      <w:r>
        <w:rPr>
          <w:w w:val="105"/>
        </w:rPr>
        <w:t>which is shown </w:t>
      </w:r>
      <w:r>
        <w:rPr>
          <w:w w:val="105"/>
          <w:sz w:val="18"/>
        </w:rPr>
        <w:t>in </w:t>
      </w:r>
      <w:r>
        <w:rPr>
          <w:w w:val="105"/>
        </w:rPr>
        <w:t>Table 12. </w:t>
      </w:r>
      <w:r>
        <w:rPr>
          <w:w w:val="105"/>
          <w:sz w:val="18"/>
        </w:rPr>
        <w:t>Thc </w:t>
      </w:r>
      <w:r>
        <w:rPr>
          <w:w w:val="105"/>
        </w:rPr>
        <w:t>&lt;lcfinitions  </w:t>
      </w:r>
      <w:r>
        <w:rPr>
          <w:w w:val="105"/>
          <w:sz w:val="18"/>
        </w:rPr>
        <w:t>of  </w:t>
      </w:r>
      <w:r>
        <w:rPr>
          <w:w w:val="105"/>
        </w:rPr>
        <w:t>the  8ymbols  uscd will be obvious from the </w:t>
      </w:r>
      <w:r>
        <w:rPr>
          <w:spacing w:val="3"/>
          <w:w w:val="105"/>
        </w:rPr>
        <w:t>column </w:t>
      </w:r>
      <w:r>
        <w:rPr>
          <w:w w:val="105"/>
        </w:rPr>
        <w:t>hcadings of the  </w:t>
      </w:r>
      <w:r>
        <w:rPr>
          <w:spacing w:val="4"/>
          <w:w w:val="105"/>
        </w:rPr>
        <w:t> </w:t>
      </w:r>
      <w:r>
        <w:rPr>
          <w:w w:val="105"/>
        </w:rPr>
        <w:t>table.</w:t>
      </w:r>
    </w:p>
    <w:p>
      <w:pPr>
        <w:pStyle w:val="BodyText"/>
        <w:spacing w:line="259" w:lineRule="auto"/>
        <w:ind w:left="130" w:right="139" w:firstLine="201"/>
        <w:jc w:val="both"/>
      </w:pPr>
      <w:r>
        <w:rPr>
          <w:w w:val="105"/>
        </w:rPr>
        <w:t>For a married man, the ratc of mortality,  </w:t>
      </w:r>
      <w:r>
        <w:rPr>
          <w:rFonts w:ascii="Arial"/>
          <w:i/>
          <w:spacing w:val="4"/>
          <w:w w:val="105"/>
          <w:sz w:val="18"/>
        </w:rPr>
        <w:t>(mq):i </w:t>
      </w:r>
      <w:r>
        <w:rPr>
          <w:rFonts w:ascii="Arial"/>
          <w:i/>
          <w:w w:val="105"/>
          <w:sz w:val="18"/>
        </w:rPr>
        <w:t>, </w:t>
      </w:r>
      <w:r>
        <w:rPr>
          <w:w w:val="105"/>
        </w:rPr>
        <w:t>is </w:t>
      </w:r>
      <w:r>
        <w:rPr>
          <w:spacing w:val="2"/>
          <w:w w:val="105"/>
        </w:rPr>
        <w:t>ohtained  </w:t>
      </w:r>
      <w:r>
        <w:rPr>
          <w:w w:val="105"/>
        </w:rPr>
        <w:t>from</w:t>
      </w:r>
    </w:p>
    <w:p>
      <w:pPr>
        <w:spacing w:after="0" w:line="259" w:lineRule="auto"/>
        <w:jc w:val="both"/>
        <w:sectPr>
          <w:type w:val="continuous"/>
          <w:pgSz w:w="7200" w:h="11340"/>
          <w:pgMar w:top="1100" w:bottom="0" w:left="640" w:right="540"/>
        </w:sectPr>
      </w:pPr>
    </w:p>
    <w:p>
      <w:pPr>
        <w:tabs>
          <w:tab w:pos="1753" w:val="left" w:leader="none"/>
          <w:tab w:pos="5903" w:val="right" w:leader="none"/>
        </w:tabs>
        <w:spacing w:before="55"/>
        <w:ind w:left="162" w:right="0" w:firstLine="0"/>
        <w:jc w:val="left"/>
        <w:rPr>
          <w:rFonts w:ascii="Courier New"/>
          <w:b/>
          <w:sz w:val="22"/>
        </w:rPr>
      </w:pPr>
      <w:r>
        <w:rPr>
          <w:b/>
          <w:w w:val="105"/>
          <w:sz w:val="15"/>
        </w:rPr>
        <w:t>SEC. </w:t>
      </w:r>
      <w:r>
        <w:rPr>
          <w:b/>
          <w:spacing w:val="7"/>
          <w:w w:val="105"/>
          <w:sz w:val="15"/>
        </w:rPr>
        <w:t> </w:t>
      </w:r>
      <w:r>
        <w:rPr>
          <w:rFonts w:ascii="Arial"/>
          <w:b/>
          <w:w w:val="105"/>
          <w:sz w:val="19"/>
        </w:rPr>
        <w:t>3)</w:t>
        <w:tab/>
      </w:r>
      <w:r>
        <w:rPr>
          <w:b/>
          <w:w w:val="105"/>
          <w:sz w:val="14"/>
        </w:rPr>
        <w:t>l\IARRIAGE   AND </w:t>
      </w:r>
      <w:r>
        <w:rPr>
          <w:b/>
          <w:spacing w:val="29"/>
          <w:w w:val="105"/>
          <w:sz w:val="14"/>
        </w:rPr>
        <w:t> </w:t>
      </w:r>
      <w:r>
        <w:rPr>
          <w:b/>
          <w:w w:val="105"/>
          <w:sz w:val="14"/>
        </w:rPr>
        <w:t>MORTALITY</w:t>
      </w:r>
      <w:r>
        <w:rPr>
          <w:rFonts w:ascii="Courier New"/>
          <w:b/>
          <w:w w:val="105"/>
          <w:sz w:val="22"/>
        </w:rPr>
        <w:tab/>
      </w:r>
      <w:r>
        <w:rPr>
          <w:rFonts w:ascii="Courier New"/>
          <w:b/>
          <w:spacing w:val="-16"/>
          <w:w w:val="105"/>
          <w:sz w:val="22"/>
        </w:rPr>
        <w:t>299</w:t>
      </w:r>
    </w:p>
    <w:p>
      <w:pPr>
        <w:spacing w:before="197"/>
        <w:ind w:left="1602" w:right="894" w:firstLine="0"/>
        <w:jc w:val="center"/>
        <w:rPr>
          <w:b/>
          <w:sz w:val="20"/>
        </w:rPr>
      </w:pPr>
      <w:r>
        <w:rPr/>
        <w:pict>
          <v:group style="position:absolute;margin-left:123.120003pt;margin-top:18.105944pt;width:116.65pt;height:16.6pt;mso-position-horizontal-relative:page;mso-position-vertical-relative:paragraph;z-index:-711664" coordorigin="2462,362" coordsize="2333,332">
            <v:shape style="position:absolute;left:2462;top:362;width:2333;height:331" type="#_x0000_t75" stroked="false">
              <v:imagedata r:id="rId377" o:title=""/>
            </v:shape>
            <v:line style="position:absolute" from="3290,445" to="4680,445" stroked="true" strokeweight=".72pt" strokecolor="#000000"/>
            <w10:wrap type="none"/>
          </v:group>
        </w:pict>
      </w:r>
      <w:r>
        <w:rPr>
          <w:b/>
          <w:w w:val="90"/>
          <w:sz w:val="20"/>
        </w:rPr>
        <w:t>(md) z</w:t>
      </w:r>
    </w:p>
    <w:p>
      <w:pPr>
        <w:pStyle w:val="BodyText"/>
        <w:rPr>
          <w:b/>
        </w:rPr>
      </w:pPr>
    </w:p>
    <w:p>
      <w:pPr>
        <w:pStyle w:val="BodyText"/>
        <w:spacing w:line="252" w:lineRule="auto" w:before="166"/>
        <w:ind w:left="119" w:right="139" w:firstLine="212"/>
        <w:jc w:val="both"/>
      </w:pPr>
      <w:r>
        <w:rPr>
          <w:w w:val="105"/>
        </w:rPr>
        <w:t>Let us use Table 12 to evaluate the probability that a bachelor aged 33 will attain age 34 as a bachelor  and  then  die a married man  before  attaining  age 35. The probability  of  attaining  age </w:t>
      </w:r>
      <w:r>
        <w:rPr>
          <w:spacing w:val="15"/>
          <w:w w:val="105"/>
        </w:rPr>
        <w:t> </w:t>
      </w:r>
      <w:r>
        <w:rPr>
          <w:w w:val="105"/>
        </w:rPr>
        <w:t>34</w:t>
      </w:r>
    </w:p>
    <w:p>
      <w:pPr>
        <w:pStyle w:val="BodyText"/>
        <w:spacing w:line="438" w:lineRule="exact"/>
        <w:ind w:right="37"/>
        <w:jc w:val="center"/>
      </w:pPr>
      <w:r>
        <w:rPr>
          <w:w w:val="110"/>
        </w:rPr>
        <w:t>as</w:t>
      </w:r>
      <w:r>
        <w:rPr>
          <w:spacing w:val="-1"/>
        </w:rPr>
        <w:t> </w:t>
      </w:r>
      <w:r>
        <w:rPr>
          <w:w w:val="108"/>
        </w:rPr>
        <w:t>a</w:t>
      </w:r>
      <w:r>
        <w:rPr>
          <w:spacing w:val="4"/>
        </w:rPr>
        <w:t> </w:t>
      </w:r>
      <w:r>
        <w:rPr>
          <w:w w:val="101"/>
        </w:rPr>
        <w:t>bachelor</w:t>
      </w:r>
      <w:r>
        <w:rPr/>
        <w:t> </w:t>
      </w:r>
      <w:r>
        <w:rPr>
          <w:spacing w:val="-24"/>
        </w:rPr>
        <w:t> </w:t>
      </w:r>
      <w:r>
        <w:rPr>
          <w:w w:val="96"/>
        </w:rPr>
        <w:t>is</w:t>
      </w:r>
      <w:r>
        <w:rPr>
          <w:spacing w:val="-3"/>
        </w:rPr>
        <w:t> </w:t>
      </w:r>
      <w:r>
        <w:rPr>
          <w:w w:val="102"/>
        </w:rPr>
        <w:t>given</w:t>
      </w:r>
      <w:r>
        <w:rPr>
          <w:spacing w:val="14"/>
        </w:rPr>
        <w:t> </w:t>
      </w:r>
      <w:r>
        <w:rPr>
          <w:w w:val="105"/>
        </w:rPr>
        <w:t>by</w:t>
      </w:r>
      <w:r>
        <w:rPr/>
        <w:t> </w:t>
      </w:r>
      <w:r>
        <w:rPr>
          <w:spacing w:val="-22"/>
        </w:rPr>
        <w:t> </w:t>
      </w:r>
      <w:r>
        <w:rPr>
          <w:rFonts w:ascii="Arial"/>
          <w:spacing w:val="-22"/>
          <w:w w:val="69"/>
          <w:sz w:val="54"/>
        </w:rPr>
        <w:t>[</w:t>
      </w:r>
      <w:r>
        <w:rPr>
          <w:rFonts w:ascii="Arial"/>
          <w:spacing w:val="-131"/>
          <w:w w:val="144"/>
          <w:sz w:val="54"/>
        </w:rPr>
        <w:t>:</w:t>
      </w:r>
      <w:r>
        <w:rPr>
          <w:rFonts w:ascii="Arial"/>
          <w:spacing w:val="-42"/>
          <w:w w:val="77"/>
          <w:sz w:val="54"/>
        </w:rPr>
        <w:t>!</w:t>
      </w:r>
      <w:r>
        <w:rPr>
          <w:rFonts w:ascii="Arial"/>
          <w:spacing w:val="25"/>
          <w:w w:val="35"/>
          <w:sz w:val="54"/>
        </w:rPr>
        <w:t>/</w:t>
      </w:r>
      <w:r>
        <w:rPr>
          <w:rFonts w:ascii="Arial"/>
          <w:imprint/>
          <w:spacing w:val="36"/>
          <w:w w:val="90"/>
          <w:sz w:val="54"/>
        </w:rPr>
        <w:t>:</w:t>
      </w:r>
      <w:r>
        <w:rPr>
          <w:rFonts w:ascii="Arial"/>
          <w:shadow w:val="0"/>
          <w:spacing w:val="32"/>
          <w:w w:val="47"/>
          <w:sz w:val="54"/>
        </w:rPr>
        <w:t>,</w:t>
      </w:r>
      <w:r>
        <w:rPr>
          <w:shadow w:val="0"/>
          <w:w w:val="107"/>
        </w:rPr>
        <w:t>and</w:t>
      </w:r>
      <w:r>
        <w:rPr>
          <w:shadow w:val="0"/>
          <w:spacing w:val="9"/>
        </w:rPr>
        <w:t> </w:t>
      </w:r>
      <w:r>
        <w:rPr>
          <w:shadow w:val="0"/>
          <w:w w:val="110"/>
        </w:rPr>
        <w:t>the</w:t>
      </w:r>
      <w:r>
        <w:rPr>
          <w:shadow w:val="0"/>
          <w:spacing w:val="10"/>
        </w:rPr>
        <w:t> </w:t>
      </w:r>
      <w:r>
        <w:rPr>
          <w:shadow w:val="0"/>
          <w:w w:val="105"/>
        </w:rPr>
        <w:t>probability</w:t>
      </w:r>
      <w:r>
        <w:rPr>
          <w:shadow w:val="0"/>
        </w:rPr>
        <w:t> </w:t>
      </w:r>
      <w:r>
        <w:rPr>
          <w:shadow w:val="0"/>
          <w:spacing w:val="-18"/>
        </w:rPr>
        <w:t> </w:t>
      </w:r>
      <w:r>
        <w:rPr>
          <w:shadow w:val="0"/>
          <w:w w:val="117"/>
        </w:rPr>
        <w:t>that</w:t>
      </w:r>
      <w:r>
        <w:rPr>
          <w:shadow w:val="0"/>
          <w:spacing w:val="14"/>
        </w:rPr>
        <w:t> </w:t>
      </w:r>
      <w:r>
        <w:rPr>
          <w:shadow w:val="0"/>
          <w:w w:val="108"/>
        </w:rPr>
        <w:t>a</w:t>
      </w:r>
      <w:r>
        <w:rPr>
          <w:shadow w:val="0"/>
          <w:spacing w:val="4"/>
        </w:rPr>
        <w:t> </w:t>
      </w:r>
      <w:r>
        <w:rPr>
          <w:shadow w:val="0"/>
          <w:w w:val="102"/>
        </w:rPr>
        <w:t>bachelor</w:t>
      </w:r>
    </w:p>
    <w:p>
      <w:pPr>
        <w:pStyle w:val="BodyText"/>
        <w:spacing w:before="48"/>
        <w:ind w:right="41"/>
        <w:jc w:val="center"/>
      </w:pPr>
      <w:r>
        <w:rPr>
          <w:w w:val="105"/>
        </w:rPr>
        <w:t>aged  34 will  die  a  married  man  before  age  35  is approximately</w:t>
      </w:r>
    </w:p>
    <w:p>
      <w:pPr>
        <w:pStyle w:val="BodyText"/>
        <w:spacing w:before="1"/>
        <w:rPr>
          <w:sz w:val="22"/>
        </w:rPr>
      </w:pPr>
    </w:p>
    <w:p>
      <w:pPr>
        <w:spacing w:before="0"/>
        <w:ind w:left="293" w:right="308" w:firstLine="0"/>
        <w:jc w:val="center"/>
        <w:rPr>
          <w:rFonts w:ascii="Courier New"/>
          <w:sz w:val="18"/>
        </w:rPr>
      </w:pPr>
      <w:r>
        <w:rPr>
          <w:rFonts w:ascii="Arial"/>
          <w:b/>
          <w:sz w:val="17"/>
        </w:rPr>
        <w:t>TABLE </w:t>
      </w:r>
      <w:r>
        <w:rPr>
          <w:rFonts w:ascii="Courier New"/>
          <w:sz w:val="18"/>
        </w:rPr>
        <w:t>12</w:t>
      </w:r>
    </w:p>
    <w:p>
      <w:pPr>
        <w:spacing w:line="324" w:lineRule="auto" w:before="65" w:after="20"/>
        <w:ind w:left="702" w:right="764" w:firstLine="0"/>
        <w:jc w:val="center"/>
        <w:rPr>
          <w:b/>
          <w:sz w:val="13"/>
        </w:rPr>
      </w:pPr>
      <w:r>
        <w:rPr>
          <w:b/>
          <w:w w:val="105"/>
          <w:sz w:val="13"/>
        </w:rPr>
        <w:t>ExTRACT FROM CoMBINED  MARRIAGE  AND  MORTALITY  TABLE FOR   MALE   LIVES</w:t>
      </w:r>
    </w:p>
    <w:tbl>
      <w:tblPr>
        <w:tblW w:w="0" w:type="auto"/>
        <w:jc w:val="left"/>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
        <w:gridCol w:w="365"/>
        <w:gridCol w:w="997"/>
        <w:gridCol w:w="1075"/>
        <w:gridCol w:w="943"/>
        <w:gridCol w:w="1134"/>
        <w:gridCol w:w="222"/>
        <w:gridCol w:w="829"/>
      </w:tblGrid>
      <w:tr>
        <w:trPr>
          <w:trHeight w:val="602" w:hRule="exact"/>
        </w:trPr>
        <w:tc>
          <w:tcPr>
            <w:tcW w:w="169" w:type="dxa"/>
            <w:vMerge w:val="restart"/>
            <w:tcBorders>
              <w:left w:val="nil"/>
              <w:right w:val="nil"/>
            </w:tcBorders>
          </w:tcPr>
          <w:p>
            <w:pPr/>
          </w:p>
        </w:tc>
        <w:tc>
          <w:tcPr>
            <w:tcW w:w="365" w:type="dxa"/>
            <w:tcBorders>
              <w:left w:val="nil"/>
              <w:bottom w:val="single" w:sz="4" w:space="0" w:color="000000"/>
              <w:right w:val="single" w:sz="3" w:space="0" w:color="000000"/>
            </w:tcBorders>
          </w:tcPr>
          <w:p>
            <w:pPr>
              <w:pStyle w:val="TableParagraph"/>
              <w:rPr>
                <w:rFonts w:ascii="Times New Roman"/>
                <w:b/>
                <w:sz w:val="13"/>
              </w:rPr>
            </w:pPr>
          </w:p>
          <w:p>
            <w:pPr>
              <w:pStyle w:val="TableParagraph"/>
              <w:spacing w:line="135" w:lineRule="exact"/>
              <w:ind w:left="-11"/>
              <w:rPr>
                <w:rFonts w:ascii="Times New Roman"/>
                <w:b/>
                <w:sz w:val="13"/>
              </w:rPr>
            </w:pPr>
            <w:r>
              <w:rPr>
                <w:rFonts w:ascii="Arial"/>
                <w:b/>
                <w:sz w:val="13"/>
              </w:rPr>
              <w:t>Ag</w:t>
            </w:r>
            <w:r>
              <w:rPr>
                <w:rFonts w:ascii="Times New Roman"/>
                <w:b/>
                <w:sz w:val="13"/>
              </w:rPr>
              <w:t>e</w:t>
            </w:r>
          </w:p>
          <w:p>
            <w:pPr>
              <w:pStyle w:val="TableParagraph"/>
              <w:spacing w:line="134" w:lineRule="exact"/>
              <w:ind w:left="68"/>
              <w:rPr>
                <w:rFonts w:ascii="Times New Roman"/>
                <w:sz w:val="13"/>
              </w:rPr>
            </w:pPr>
            <w:r>
              <w:rPr>
                <w:rFonts w:ascii="Times New Roman"/>
                <w:w w:val="112"/>
                <w:sz w:val="13"/>
              </w:rPr>
              <w:t>z</w:t>
            </w:r>
          </w:p>
        </w:tc>
        <w:tc>
          <w:tcPr>
            <w:tcW w:w="997" w:type="dxa"/>
            <w:tcBorders>
              <w:left w:val="single" w:sz="3" w:space="0" w:color="000000"/>
              <w:bottom w:val="single" w:sz="4" w:space="0" w:color="000000"/>
              <w:right w:val="single" w:sz="3" w:space="0" w:color="000000"/>
            </w:tcBorders>
          </w:tcPr>
          <w:p>
            <w:pPr>
              <w:pStyle w:val="TableParagraph"/>
              <w:spacing w:line="199" w:lineRule="auto" w:before="106"/>
              <w:ind w:left="336" w:right="214" w:hanging="126"/>
              <w:rPr>
                <w:rFonts w:ascii="Times New Roman"/>
                <w:i/>
                <w:sz w:val="12"/>
              </w:rPr>
            </w:pPr>
            <w:r>
              <w:rPr>
                <w:rFonts w:ascii="Times New Roman"/>
                <w:w w:val="105"/>
                <w:sz w:val="13"/>
              </w:rPr>
              <w:t>Bachelors </w:t>
            </w:r>
            <w:r>
              <w:rPr>
                <w:rFonts w:ascii="Times New Roman"/>
                <w:b/>
                <w:w w:val="110"/>
                <w:sz w:val="13"/>
              </w:rPr>
              <w:t>living </w:t>
            </w:r>
            <w:r>
              <w:rPr>
                <w:rFonts w:ascii="Times New Roman"/>
                <w:i/>
                <w:w w:val="110"/>
                <w:sz w:val="12"/>
              </w:rPr>
              <w:t>(bl).,</w:t>
            </w:r>
          </w:p>
        </w:tc>
        <w:tc>
          <w:tcPr>
            <w:tcW w:w="1075" w:type="dxa"/>
            <w:tcBorders>
              <w:left w:val="single" w:sz="3" w:space="0" w:color="000000"/>
              <w:bottom w:val="single" w:sz="4" w:space="0" w:color="000000"/>
              <w:right w:val="single" w:sz="4" w:space="0" w:color="000000"/>
            </w:tcBorders>
          </w:tcPr>
          <w:p>
            <w:pPr>
              <w:pStyle w:val="TableParagraph"/>
              <w:spacing w:before="5"/>
              <w:rPr>
                <w:rFonts w:ascii="Times New Roman"/>
                <w:b/>
                <w:sz w:val="9"/>
              </w:rPr>
            </w:pPr>
          </w:p>
          <w:p>
            <w:pPr>
              <w:pStyle w:val="TableParagraph"/>
              <w:spacing w:line="201" w:lineRule="auto"/>
              <w:ind w:left="365" w:right="239" w:hanging="108"/>
              <w:rPr>
                <w:rFonts w:ascii="Times New Roman"/>
                <w:i/>
                <w:sz w:val="12"/>
              </w:rPr>
            </w:pPr>
            <w:r>
              <w:rPr>
                <w:rFonts w:ascii="Times New Roman"/>
                <w:b/>
                <w:sz w:val="13"/>
              </w:rPr>
              <w:t>Bachelors dying </w:t>
            </w:r>
            <w:r>
              <w:rPr>
                <w:rFonts w:ascii="Times New Roman"/>
                <w:i/>
                <w:sz w:val="12"/>
              </w:rPr>
              <w:t>(bd)z</w:t>
            </w:r>
          </w:p>
        </w:tc>
        <w:tc>
          <w:tcPr>
            <w:tcW w:w="943" w:type="dxa"/>
            <w:tcBorders>
              <w:left w:val="single" w:sz="4" w:space="0" w:color="000000"/>
              <w:bottom w:val="single" w:sz="4" w:space="0" w:color="000000"/>
              <w:right w:val="nil"/>
            </w:tcBorders>
          </w:tcPr>
          <w:p>
            <w:pPr>
              <w:pStyle w:val="TableParagraph"/>
              <w:spacing w:before="2"/>
              <w:rPr>
                <w:rFonts w:ascii="Times New Roman"/>
                <w:b/>
                <w:sz w:val="9"/>
              </w:rPr>
            </w:pPr>
          </w:p>
          <w:p>
            <w:pPr>
              <w:pStyle w:val="TableParagraph"/>
              <w:spacing w:line="206" w:lineRule="auto"/>
              <w:ind w:left="253" w:right="122"/>
              <w:jc w:val="center"/>
              <w:rPr>
                <w:rFonts w:ascii="Arial"/>
                <w:i/>
                <w:sz w:val="11"/>
              </w:rPr>
            </w:pPr>
            <w:r>
              <w:rPr>
                <w:rFonts w:ascii="Times New Roman"/>
                <w:b/>
                <w:sz w:val="13"/>
              </w:rPr>
              <w:t>Bachelors marrying </w:t>
            </w:r>
            <w:r>
              <w:rPr>
                <w:rFonts w:ascii="Arial"/>
                <w:i/>
                <w:sz w:val="11"/>
              </w:rPr>
              <w:t>(bm)z</w:t>
            </w:r>
          </w:p>
        </w:tc>
        <w:tc>
          <w:tcPr>
            <w:tcW w:w="1134" w:type="dxa"/>
            <w:tcBorders>
              <w:left w:val="nil"/>
              <w:bottom w:val="single" w:sz="4" w:space="0" w:color="000000"/>
              <w:right w:val="nil"/>
            </w:tcBorders>
          </w:tcPr>
          <w:p>
            <w:pPr>
              <w:pStyle w:val="TableParagraph"/>
              <w:spacing w:line="227" w:lineRule="exact" w:before="119"/>
              <w:ind w:left="100" w:right="101"/>
              <w:jc w:val="center"/>
              <w:rPr>
                <w:rFonts w:ascii="Times New Roman"/>
                <w:sz w:val="16"/>
              </w:rPr>
            </w:pPr>
            <w:r>
              <w:rPr>
                <w:rFonts w:ascii="Arial"/>
                <w:w w:val="60"/>
                <w:sz w:val="13"/>
              </w:rPr>
              <w:t>1</w:t>
            </w:r>
            <w:r>
              <w:rPr>
                <w:rFonts w:ascii="Arial"/>
                <w:sz w:val="13"/>
              </w:rPr>
              <w:t> </w:t>
            </w:r>
            <w:r>
              <w:rPr>
                <w:rFonts w:ascii="Arial"/>
                <w:spacing w:val="6"/>
                <w:sz w:val="13"/>
              </w:rPr>
              <w:t> </w:t>
            </w:r>
            <w:r>
              <w:rPr>
                <w:rFonts w:ascii="Times New Roman"/>
                <w:spacing w:val="11"/>
                <w:w w:val="93"/>
                <w:sz w:val="15"/>
              </w:rPr>
              <w:t>M</w:t>
            </w:r>
            <w:r>
              <w:rPr>
                <w:rFonts w:ascii="Times New Roman"/>
                <w:w w:val="158"/>
                <w:sz w:val="12"/>
              </w:rPr>
              <w:t>,</w:t>
            </w:r>
            <w:r>
              <w:rPr>
                <w:rFonts w:ascii="Times New Roman"/>
                <w:spacing w:val="-42"/>
                <w:w w:val="158"/>
                <w:sz w:val="12"/>
              </w:rPr>
              <w:t>n</w:t>
            </w:r>
            <w:r>
              <w:rPr>
                <w:rFonts w:ascii="Times New Roman"/>
                <w:b/>
                <w:w w:val="105"/>
                <w:position w:val="-5"/>
                <w:sz w:val="13"/>
              </w:rPr>
              <w:t>l</w:t>
            </w:r>
            <w:r>
              <w:rPr>
                <w:rFonts w:ascii="Times New Roman"/>
                <w:b/>
                <w:spacing w:val="-35"/>
                <w:w w:val="105"/>
                <w:position w:val="-5"/>
                <w:sz w:val="13"/>
              </w:rPr>
              <w:t>i</w:t>
            </w:r>
            <w:r>
              <w:rPr>
                <w:rFonts w:ascii="Times New Roman"/>
                <w:spacing w:val="-18"/>
                <w:w w:val="157"/>
                <w:sz w:val="12"/>
              </w:rPr>
              <w:t>;</w:t>
            </w:r>
            <w:r>
              <w:rPr>
                <w:rFonts w:ascii="Times New Roman"/>
                <w:b/>
                <w:spacing w:val="-52"/>
                <w:w w:val="106"/>
                <w:position w:val="-5"/>
                <w:sz w:val="13"/>
              </w:rPr>
              <w:t>v</w:t>
            </w:r>
            <w:r>
              <w:rPr>
                <w:rFonts w:ascii="Times New Roman"/>
                <w:spacing w:val="3"/>
                <w:w w:val="158"/>
                <w:sz w:val="12"/>
              </w:rPr>
              <w:t>,</w:t>
            </w:r>
            <w:r>
              <w:rPr>
                <w:rFonts w:ascii="Times New Roman"/>
                <w:b/>
                <w:w w:val="105"/>
                <w:position w:val="-5"/>
                <w:sz w:val="13"/>
              </w:rPr>
              <w:t>in</w:t>
            </w:r>
            <w:r>
              <w:rPr>
                <w:rFonts w:ascii="Times New Roman"/>
                <w:b/>
                <w:spacing w:val="-41"/>
                <w:w w:val="106"/>
                <w:position w:val="-5"/>
                <w:sz w:val="13"/>
              </w:rPr>
              <w:t>g</w:t>
            </w:r>
            <w:r>
              <w:rPr>
                <w:rFonts w:ascii="Times New Roman"/>
                <w:w w:val="112"/>
                <w:sz w:val="16"/>
              </w:rPr>
              <w:t>m'"</w:t>
            </w:r>
          </w:p>
          <w:p>
            <w:pPr>
              <w:pStyle w:val="TableParagraph"/>
              <w:spacing w:line="128" w:lineRule="exact"/>
              <w:ind w:left="242" w:right="101"/>
              <w:jc w:val="center"/>
              <w:rPr>
                <w:rFonts w:ascii="Times New Roman"/>
                <w:sz w:val="12"/>
              </w:rPr>
            </w:pPr>
            <w:r>
              <w:rPr>
                <w:rFonts w:ascii="Times New Roman"/>
                <w:sz w:val="12"/>
              </w:rPr>
              <w:t>(ml):r</w:t>
            </w:r>
          </w:p>
        </w:tc>
        <w:tc>
          <w:tcPr>
            <w:tcW w:w="1051" w:type="dxa"/>
            <w:gridSpan w:val="2"/>
            <w:tcBorders>
              <w:left w:val="single" w:sz="4" w:space="0" w:color="000000"/>
              <w:bottom w:val="single" w:sz="4" w:space="0" w:color="000000"/>
              <w:right w:val="nil"/>
            </w:tcBorders>
          </w:tcPr>
          <w:p>
            <w:pPr>
              <w:pStyle w:val="TableParagraph"/>
              <w:spacing w:before="5"/>
              <w:rPr>
                <w:rFonts w:ascii="Times New Roman"/>
                <w:b/>
                <w:sz w:val="9"/>
              </w:rPr>
            </w:pPr>
          </w:p>
          <w:p>
            <w:pPr>
              <w:pStyle w:val="TableParagraph"/>
              <w:spacing w:line="201" w:lineRule="auto"/>
              <w:ind w:left="372" w:right="144" w:hanging="231"/>
              <w:rPr>
                <w:rFonts w:ascii="Times New Roman"/>
                <w:sz w:val="12"/>
              </w:rPr>
            </w:pPr>
            <w:r>
              <w:rPr>
                <w:rFonts w:ascii="Times New Roman"/>
                <w:b/>
                <w:sz w:val="13"/>
              </w:rPr>
              <w:t>Married men dying </w:t>
            </w:r>
            <w:r>
              <w:rPr>
                <w:rFonts w:ascii="Times New Roman"/>
                <w:sz w:val="12"/>
              </w:rPr>
              <w:t>(md):r</w:t>
            </w:r>
          </w:p>
        </w:tc>
      </w:tr>
      <w:tr>
        <w:trPr>
          <w:trHeight w:val="313" w:hRule="exact"/>
        </w:trPr>
        <w:tc>
          <w:tcPr>
            <w:tcW w:w="169" w:type="dxa"/>
            <w:vMerge/>
            <w:tcBorders>
              <w:left w:val="nil"/>
              <w:right w:val="nil"/>
            </w:tcBorders>
          </w:tcPr>
          <w:p>
            <w:pPr/>
          </w:p>
        </w:tc>
        <w:tc>
          <w:tcPr>
            <w:tcW w:w="365" w:type="dxa"/>
            <w:tcBorders>
              <w:top w:val="single" w:sz="4" w:space="0" w:color="000000"/>
              <w:left w:val="nil"/>
              <w:bottom w:val="nil"/>
              <w:right w:val="single" w:sz="3" w:space="0" w:color="000000"/>
            </w:tcBorders>
          </w:tcPr>
          <w:p>
            <w:pPr>
              <w:pStyle w:val="TableParagraph"/>
              <w:spacing w:before="101"/>
              <w:ind w:left="7"/>
              <w:rPr>
                <w:sz w:val="18"/>
              </w:rPr>
            </w:pPr>
            <w:r>
              <w:rPr>
                <w:w w:val="90"/>
                <w:sz w:val="18"/>
              </w:rPr>
              <w:t>33</w:t>
            </w:r>
          </w:p>
        </w:tc>
        <w:tc>
          <w:tcPr>
            <w:tcW w:w="997" w:type="dxa"/>
            <w:tcBorders>
              <w:top w:val="single" w:sz="4" w:space="0" w:color="000000"/>
              <w:left w:val="single" w:sz="3" w:space="0" w:color="000000"/>
              <w:bottom w:val="nil"/>
              <w:right w:val="single" w:sz="3" w:space="0" w:color="000000"/>
            </w:tcBorders>
          </w:tcPr>
          <w:p>
            <w:pPr>
              <w:pStyle w:val="TableParagraph"/>
              <w:spacing w:before="97"/>
              <w:ind w:left="257" w:right="-1"/>
              <w:rPr>
                <w:sz w:val="18"/>
              </w:rPr>
            </w:pPr>
            <w:r>
              <w:rPr>
                <w:w w:val="90"/>
                <w:sz w:val="18"/>
              </w:rPr>
              <w:t>51,002</w:t>
            </w:r>
          </w:p>
        </w:tc>
        <w:tc>
          <w:tcPr>
            <w:tcW w:w="1075" w:type="dxa"/>
            <w:tcBorders>
              <w:top w:val="single" w:sz="4" w:space="0" w:color="000000"/>
              <w:left w:val="single" w:sz="3" w:space="0" w:color="000000"/>
              <w:bottom w:val="nil"/>
              <w:right w:val="single" w:sz="4" w:space="0" w:color="000000"/>
            </w:tcBorders>
          </w:tcPr>
          <w:p>
            <w:pPr>
              <w:pStyle w:val="TableParagraph"/>
              <w:spacing w:before="101"/>
              <w:ind w:left="371" w:right="326"/>
              <w:jc w:val="center"/>
              <w:rPr>
                <w:sz w:val="18"/>
              </w:rPr>
            </w:pPr>
            <w:r>
              <w:rPr>
                <w:sz w:val="18"/>
              </w:rPr>
              <w:t>376</w:t>
            </w:r>
          </w:p>
        </w:tc>
        <w:tc>
          <w:tcPr>
            <w:tcW w:w="943" w:type="dxa"/>
            <w:tcBorders>
              <w:top w:val="single" w:sz="4" w:space="0" w:color="000000"/>
              <w:left w:val="single" w:sz="4" w:space="0" w:color="000000"/>
              <w:bottom w:val="nil"/>
              <w:right w:val="single" w:sz="3" w:space="0" w:color="000000"/>
            </w:tcBorders>
          </w:tcPr>
          <w:p>
            <w:pPr>
              <w:pStyle w:val="TableParagraph"/>
              <w:spacing w:before="101"/>
              <w:ind w:left="257" w:right="97"/>
              <w:jc w:val="center"/>
              <w:rPr>
                <w:sz w:val="18"/>
              </w:rPr>
            </w:pPr>
            <w:r>
              <w:rPr>
                <w:sz w:val="18"/>
              </w:rPr>
              <w:t>4,335</w:t>
            </w:r>
          </w:p>
        </w:tc>
        <w:tc>
          <w:tcPr>
            <w:tcW w:w="1134" w:type="dxa"/>
            <w:tcBorders>
              <w:top w:val="single" w:sz="4" w:space="0" w:color="000000"/>
              <w:left w:val="single" w:sz="3" w:space="0" w:color="000000"/>
              <w:bottom w:val="nil"/>
              <w:right w:val="single" w:sz="4" w:space="0" w:color="000000"/>
            </w:tcBorders>
          </w:tcPr>
          <w:p>
            <w:pPr>
              <w:pStyle w:val="TableParagraph"/>
              <w:spacing w:before="101"/>
              <w:ind w:right="250"/>
              <w:jc w:val="right"/>
              <w:rPr>
                <w:sz w:val="18"/>
              </w:rPr>
            </w:pPr>
            <w:r>
              <w:rPr>
                <w:w w:val="70"/>
                <w:sz w:val="18"/>
              </w:rPr>
              <w:t>29,711</w:t>
            </w:r>
          </w:p>
        </w:tc>
        <w:tc>
          <w:tcPr>
            <w:tcW w:w="1051" w:type="dxa"/>
            <w:gridSpan w:val="2"/>
            <w:tcBorders>
              <w:top w:val="single" w:sz="4" w:space="0" w:color="000000"/>
              <w:left w:val="single" w:sz="4" w:space="0" w:color="000000"/>
              <w:bottom w:val="nil"/>
              <w:right w:val="nil"/>
            </w:tcBorders>
          </w:tcPr>
          <w:p>
            <w:pPr>
              <w:pStyle w:val="TableParagraph"/>
              <w:spacing w:before="101"/>
              <w:ind w:left="354" w:right="303"/>
              <w:jc w:val="center"/>
              <w:rPr>
                <w:sz w:val="18"/>
              </w:rPr>
            </w:pPr>
            <w:r>
              <w:rPr>
                <w:sz w:val="18"/>
              </w:rPr>
              <w:t>207</w:t>
            </w:r>
          </w:p>
        </w:tc>
      </w:tr>
      <w:tr>
        <w:trPr>
          <w:trHeight w:val="199" w:hRule="exact"/>
        </w:trPr>
        <w:tc>
          <w:tcPr>
            <w:tcW w:w="169" w:type="dxa"/>
            <w:vMerge/>
            <w:tcBorders>
              <w:left w:val="nil"/>
              <w:right w:val="nil"/>
            </w:tcBorders>
          </w:tcPr>
          <w:p>
            <w:pPr/>
          </w:p>
        </w:tc>
        <w:tc>
          <w:tcPr>
            <w:tcW w:w="365" w:type="dxa"/>
            <w:tcBorders>
              <w:top w:val="nil"/>
              <w:left w:val="nil"/>
              <w:bottom w:val="nil"/>
              <w:right w:val="single" w:sz="3" w:space="0" w:color="000000"/>
            </w:tcBorders>
          </w:tcPr>
          <w:p>
            <w:pPr>
              <w:pStyle w:val="TableParagraph"/>
              <w:spacing w:line="195" w:lineRule="exact"/>
              <w:ind w:left="7"/>
              <w:rPr>
                <w:sz w:val="18"/>
              </w:rPr>
            </w:pPr>
            <w:r>
              <w:rPr>
                <w:sz w:val="18"/>
              </w:rPr>
              <w:t>34</w:t>
            </w:r>
          </w:p>
        </w:tc>
        <w:tc>
          <w:tcPr>
            <w:tcW w:w="997" w:type="dxa"/>
            <w:tcBorders>
              <w:top w:val="nil"/>
              <w:left w:val="single" w:sz="3" w:space="0" w:color="000000"/>
              <w:bottom w:val="nil"/>
              <w:right w:val="single" w:sz="3" w:space="0" w:color="000000"/>
            </w:tcBorders>
          </w:tcPr>
          <w:p>
            <w:pPr>
              <w:pStyle w:val="TableParagraph"/>
              <w:spacing w:line="195" w:lineRule="exact"/>
              <w:ind w:left="253" w:right="-1"/>
              <w:rPr>
                <w:sz w:val="18"/>
              </w:rPr>
            </w:pPr>
            <w:r>
              <w:rPr>
                <w:w w:val="90"/>
                <w:sz w:val="18"/>
              </w:rPr>
              <w:t>46,291</w:t>
            </w:r>
          </w:p>
        </w:tc>
        <w:tc>
          <w:tcPr>
            <w:tcW w:w="1075" w:type="dxa"/>
            <w:tcBorders>
              <w:top w:val="nil"/>
              <w:left w:val="single" w:sz="3" w:space="0" w:color="000000"/>
              <w:bottom w:val="nil"/>
              <w:right w:val="single" w:sz="4" w:space="0" w:color="000000"/>
            </w:tcBorders>
          </w:tcPr>
          <w:p>
            <w:pPr>
              <w:pStyle w:val="TableParagraph"/>
              <w:spacing w:line="195" w:lineRule="exact"/>
              <w:ind w:left="369" w:right="328"/>
              <w:jc w:val="center"/>
              <w:rPr>
                <w:sz w:val="18"/>
              </w:rPr>
            </w:pPr>
            <w:r>
              <w:rPr>
                <w:sz w:val="18"/>
              </w:rPr>
              <w:t>345</w:t>
            </w:r>
          </w:p>
        </w:tc>
        <w:tc>
          <w:tcPr>
            <w:tcW w:w="943" w:type="dxa"/>
            <w:tcBorders>
              <w:top w:val="nil"/>
              <w:left w:val="single" w:sz="4" w:space="0" w:color="000000"/>
              <w:bottom w:val="nil"/>
              <w:right w:val="single" w:sz="3" w:space="0" w:color="000000"/>
            </w:tcBorders>
          </w:tcPr>
          <w:p>
            <w:pPr>
              <w:pStyle w:val="TableParagraph"/>
              <w:spacing w:line="199" w:lineRule="exact"/>
              <w:ind w:left="250" w:right="97"/>
              <w:jc w:val="center"/>
              <w:rPr>
                <w:sz w:val="18"/>
              </w:rPr>
            </w:pPr>
            <w:r>
              <w:rPr>
                <w:w w:val="95"/>
                <w:sz w:val="18"/>
              </w:rPr>
              <w:t>4,027</w:t>
            </w:r>
          </w:p>
        </w:tc>
        <w:tc>
          <w:tcPr>
            <w:tcW w:w="1134" w:type="dxa"/>
            <w:tcBorders>
              <w:top w:val="nil"/>
              <w:left w:val="single" w:sz="3" w:space="0" w:color="000000"/>
              <w:bottom w:val="nil"/>
              <w:right w:val="single" w:sz="4" w:space="0" w:color="000000"/>
            </w:tcBorders>
          </w:tcPr>
          <w:p>
            <w:pPr>
              <w:pStyle w:val="TableParagraph"/>
              <w:spacing w:line="199" w:lineRule="exact"/>
              <w:ind w:right="215"/>
              <w:jc w:val="right"/>
              <w:rPr>
                <w:sz w:val="18"/>
              </w:rPr>
            </w:pPr>
            <w:r>
              <w:rPr>
                <w:w w:val="85"/>
                <w:sz w:val="18"/>
              </w:rPr>
              <w:t>33,839</w:t>
            </w:r>
          </w:p>
        </w:tc>
        <w:tc>
          <w:tcPr>
            <w:tcW w:w="1051" w:type="dxa"/>
            <w:gridSpan w:val="2"/>
            <w:tcBorders>
              <w:top w:val="nil"/>
              <w:left w:val="single" w:sz="4" w:space="0" w:color="000000"/>
              <w:bottom w:val="nil"/>
              <w:right w:val="nil"/>
            </w:tcBorders>
          </w:tcPr>
          <w:p>
            <w:pPr>
              <w:pStyle w:val="TableParagraph"/>
              <w:spacing w:line="195" w:lineRule="exact"/>
              <w:ind w:left="362" w:right="303"/>
              <w:jc w:val="center"/>
              <w:rPr>
                <w:sz w:val="18"/>
              </w:rPr>
            </w:pPr>
            <w:r>
              <w:rPr>
                <w:w w:val="105"/>
                <w:sz w:val="18"/>
              </w:rPr>
              <w:t>240</w:t>
            </w:r>
          </w:p>
        </w:tc>
      </w:tr>
      <w:tr>
        <w:trPr>
          <w:trHeight w:val="176" w:hRule="exact"/>
        </w:trPr>
        <w:tc>
          <w:tcPr>
            <w:tcW w:w="169" w:type="dxa"/>
            <w:vMerge/>
            <w:tcBorders>
              <w:left w:val="nil"/>
              <w:right w:val="nil"/>
            </w:tcBorders>
          </w:tcPr>
          <w:p>
            <w:pPr/>
          </w:p>
        </w:tc>
        <w:tc>
          <w:tcPr>
            <w:tcW w:w="365" w:type="dxa"/>
            <w:vMerge w:val="restart"/>
            <w:tcBorders>
              <w:top w:val="nil"/>
              <w:left w:val="nil"/>
              <w:right w:val="single" w:sz="3" w:space="0" w:color="000000"/>
            </w:tcBorders>
          </w:tcPr>
          <w:p>
            <w:pPr>
              <w:pStyle w:val="TableParagraph"/>
              <w:spacing w:line="180" w:lineRule="exact"/>
              <w:ind w:left="7"/>
              <w:rPr>
                <w:rFonts w:ascii="Times New Roman"/>
                <w:sz w:val="17"/>
              </w:rPr>
            </w:pPr>
            <w:r>
              <w:rPr>
                <w:rFonts w:ascii="Times New Roman"/>
                <w:sz w:val="17"/>
              </w:rPr>
              <w:t>35</w:t>
            </w:r>
          </w:p>
          <w:p>
            <w:pPr>
              <w:pStyle w:val="TableParagraph"/>
              <w:spacing w:before="15"/>
              <w:ind w:left="3"/>
              <w:rPr>
                <w:sz w:val="18"/>
              </w:rPr>
            </w:pPr>
            <w:r>
              <w:rPr>
                <w:sz w:val="18"/>
              </w:rPr>
              <w:t>36</w:t>
            </w:r>
          </w:p>
        </w:tc>
        <w:tc>
          <w:tcPr>
            <w:tcW w:w="997" w:type="dxa"/>
            <w:vMerge w:val="restart"/>
            <w:tcBorders>
              <w:top w:val="nil"/>
              <w:left w:val="single" w:sz="3" w:space="0" w:color="000000"/>
              <w:right w:val="single" w:sz="3" w:space="0" w:color="000000"/>
            </w:tcBorders>
          </w:tcPr>
          <w:p>
            <w:pPr>
              <w:pStyle w:val="TableParagraph"/>
              <w:spacing w:line="198" w:lineRule="exact"/>
              <w:ind w:left="257" w:right="-1"/>
              <w:rPr>
                <w:sz w:val="18"/>
              </w:rPr>
            </w:pPr>
            <w:r>
              <w:rPr>
                <w:w w:val="90"/>
                <w:sz w:val="18"/>
              </w:rPr>
              <w:t>41,919</w:t>
            </w:r>
          </w:p>
          <w:p>
            <w:pPr>
              <w:pStyle w:val="TableParagraph"/>
              <w:spacing w:before="1"/>
              <w:ind w:left="253" w:right="-1"/>
              <w:rPr>
                <w:sz w:val="18"/>
              </w:rPr>
            </w:pPr>
            <w:r>
              <w:rPr>
                <w:sz w:val="18"/>
              </w:rPr>
              <w:t>37,826</w:t>
            </w:r>
          </w:p>
        </w:tc>
        <w:tc>
          <w:tcPr>
            <w:tcW w:w="1075" w:type="dxa"/>
            <w:vMerge w:val="restart"/>
            <w:tcBorders>
              <w:top w:val="nil"/>
              <w:left w:val="single" w:sz="3" w:space="0" w:color="000000"/>
              <w:right w:val="single" w:sz="4" w:space="0" w:color="000000"/>
            </w:tcBorders>
          </w:tcPr>
          <w:p>
            <w:pPr>
              <w:pStyle w:val="TableParagraph"/>
              <w:spacing w:line="166" w:lineRule="exact"/>
              <w:ind w:left="360" w:right="328"/>
              <w:jc w:val="center"/>
              <w:rPr>
                <w:sz w:val="18"/>
              </w:rPr>
            </w:pPr>
            <w:r>
              <w:rPr>
                <w:w w:val="90"/>
                <w:sz w:val="18"/>
              </w:rPr>
              <w:t>320</w:t>
            </w:r>
          </w:p>
          <w:p>
            <w:pPr>
              <w:pStyle w:val="TableParagraph"/>
              <w:spacing w:line="233" w:lineRule="exact"/>
              <w:ind w:left="66"/>
              <w:jc w:val="center"/>
              <w:rPr>
                <w:rFonts w:ascii="Times New Roman"/>
                <w:sz w:val="23"/>
              </w:rPr>
            </w:pPr>
            <w:r>
              <w:rPr>
                <w:rFonts w:ascii="Times New Roman"/>
                <w:w w:val="269"/>
                <w:sz w:val="23"/>
              </w:rPr>
              <w:t>-</w:t>
            </w:r>
          </w:p>
        </w:tc>
        <w:tc>
          <w:tcPr>
            <w:tcW w:w="943" w:type="dxa"/>
            <w:tcBorders>
              <w:top w:val="nil"/>
              <w:left w:val="single" w:sz="4" w:space="0" w:color="000000"/>
              <w:bottom w:val="nil"/>
              <w:right w:val="single" w:sz="3" w:space="0" w:color="000000"/>
            </w:tcBorders>
          </w:tcPr>
          <w:p>
            <w:pPr>
              <w:pStyle w:val="TableParagraph"/>
              <w:spacing w:line="184" w:lineRule="exact"/>
              <w:ind w:left="241" w:right="97"/>
              <w:jc w:val="center"/>
              <w:rPr>
                <w:rFonts w:ascii="Times New Roman"/>
                <w:sz w:val="17"/>
              </w:rPr>
            </w:pPr>
            <w:r>
              <w:rPr>
                <w:rFonts w:ascii="Times New Roman"/>
                <w:w w:val="105"/>
                <w:sz w:val="17"/>
              </w:rPr>
              <w:t>3,773</w:t>
            </w:r>
          </w:p>
        </w:tc>
        <w:tc>
          <w:tcPr>
            <w:tcW w:w="1134" w:type="dxa"/>
            <w:tcBorders>
              <w:top w:val="nil"/>
              <w:left w:val="single" w:sz="3" w:space="0" w:color="000000"/>
              <w:bottom w:val="nil"/>
              <w:right w:val="single" w:sz="4" w:space="0" w:color="000000"/>
            </w:tcBorders>
          </w:tcPr>
          <w:p>
            <w:pPr>
              <w:pStyle w:val="TableParagraph"/>
              <w:spacing w:line="201" w:lineRule="exact"/>
              <w:ind w:right="221"/>
              <w:jc w:val="right"/>
              <w:rPr>
                <w:sz w:val="18"/>
              </w:rPr>
            </w:pPr>
            <w:r>
              <w:rPr>
                <w:w w:val="85"/>
                <w:sz w:val="18"/>
              </w:rPr>
              <w:t>37,626</w:t>
            </w:r>
          </w:p>
        </w:tc>
        <w:tc>
          <w:tcPr>
            <w:tcW w:w="1051" w:type="dxa"/>
            <w:gridSpan w:val="2"/>
            <w:tcBorders>
              <w:top w:val="nil"/>
              <w:left w:val="single" w:sz="4" w:space="0" w:color="000000"/>
              <w:bottom w:val="nil"/>
              <w:right w:val="nil"/>
            </w:tcBorders>
          </w:tcPr>
          <w:p>
            <w:pPr>
              <w:pStyle w:val="TableParagraph"/>
              <w:spacing w:line="198" w:lineRule="exact"/>
              <w:ind w:left="331" w:right="303"/>
              <w:jc w:val="center"/>
              <w:rPr>
                <w:sz w:val="18"/>
              </w:rPr>
            </w:pPr>
            <w:r>
              <w:rPr>
                <w:w w:val="85"/>
                <w:sz w:val="18"/>
              </w:rPr>
              <w:t>273</w:t>
            </w:r>
          </w:p>
        </w:tc>
      </w:tr>
      <w:tr>
        <w:trPr>
          <w:trHeight w:val="337" w:hRule="exact"/>
        </w:trPr>
        <w:tc>
          <w:tcPr>
            <w:tcW w:w="169" w:type="dxa"/>
            <w:vMerge/>
            <w:tcBorders>
              <w:left w:val="nil"/>
              <w:bottom w:val="single" w:sz="4" w:space="0" w:color="000000"/>
              <w:right w:val="nil"/>
            </w:tcBorders>
          </w:tcPr>
          <w:p>
            <w:pPr/>
          </w:p>
        </w:tc>
        <w:tc>
          <w:tcPr>
            <w:tcW w:w="365" w:type="dxa"/>
            <w:vMerge/>
            <w:tcBorders>
              <w:left w:val="nil"/>
              <w:bottom w:val="single" w:sz="4" w:space="0" w:color="000000"/>
              <w:right w:val="single" w:sz="3" w:space="0" w:color="000000"/>
            </w:tcBorders>
          </w:tcPr>
          <w:p>
            <w:pPr/>
          </w:p>
        </w:tc>
        <w:tc>
          <w:tcPr>
            <w:tcW w:w="997" w:type="dxa"/>
            <w:vMerge/>
            <w:tcBorders>
              <w:left w:val="single" w:sz="3" w:space="0" w:color="000000"/>
              <w:bottom w:val="single" w:sz="4" w:space="0" w:color="000000"/>
              <w:right w:val="single" w:sz="3" w:space="0" w:color="000000"/>
            </w:tcBorders>
          </w:tcPr>
          <w:p>
            <w:pPr/>
          </w:p>
        </w:tc>
        <w:tc>
          <w:tcPr>
            <w:tcW w:w="1075" w:type="dxa"/>
            <w:vMerge/>
            <w:tcBorders>
              <w:left w:val="single" w:sz="3" w:space="0" w:color="000000"/>
              <w:bottom w:val="single" w:sz="4" w:space="0" w:color="000000"/>
              <w:right w:val="single" w:sz="4" w:space="0" w:color="000000"/>
            </w:tcBorders>
          </w:tcPr>
          <w:p>
            <w:pPr/>
          </w:p>
        </w:tc>
        <w:tc>
          <w:tcPr>
            <w:tcW w:w="943" w:type="dxa"/>
            <w:tcBorders>
              <w:top w:val="nil"/>
              <w:left w:val="single" w:sz="4" w:space="0" w:color="000000"/>
              <w:bottom w:val="single" w:sz="4" w:space="0" w:color="000000"/>
              <w:right w:val="nil"/>
            </w:tcBorders>
          </w:tcPr>
          <w:p>
            <w:pPr>
              <w:pStyle w:val="TableParagraph"/>
              <w:spacing w:line="226" w:lineRule="exact"/>
              <w:ind w:left="182"/>
              <w:jc w:val="center"/>
              <w:rPr>
                <w:rFonts w:ascii="Times New Roman"/>
                <w:sz w:val="23"/>
              </w:rPr>
            </w:pPr>
            <w:r>
              <w:rPr>
                <w:rFonts w:ascii="Times New Roman"/>
                <w:w w:val="263"/>
                <w:sz w:val="23"/>
              </w:rPr>
              <w:t>-</w:t>
            </w:r>
          </w:p>
        </w:tc>
        <w:tc>
          <w:tcPr>
            <w:tcW w:w="1134" w:type="dxa"/>
            <w:tcBorders>
              <w:top w:val="nil"/>
              <w:left w:val="nil"/>
              <w:bottom w:val="single" w:sz="4" w:space="0" w:color="000000"/>
              <w:right w:val="nil"/>
            </w:tcBorders>
          </w:tcPr>
          <w:p>
            <w:pPr>
              <w:pStyle w:val="TableParagraph"/>
              <w:spacing w:line="184" w:lineRule="exact" w:before="19"/>
              <w:ind w:left="269" w:right="101"/>
              <w:jc w:val="center"/>
              <w:rPr>
                <w:sz w:val="18"/>
              </w:rPr>
            </w:pPr>
            <w:r>
              <w:rPr>
                <w:w w:val="95"/>
                <w:sz w:val="18"/>
              </w:rPr>
              <w:t>41,126</w:t>
            </w:r>
          </w:p>
          <w:p>
            <w:pPr>
              <w:pStyle w:val="TableParagraph"/>
              <w:tabs>
                <w:tab w:pos="1126" w:val="left" w:leader="none"/>
              </w:tabs>
              <w:spacing w:line="95" w:lineRule="exact"/>
              <w:ind w:left="125" w:right="-23"/>
              <w:jc w:val="center"/>
              <w:rPr>
                <w:rFonts w:ascii="Arial"/>
                <w:sz w:val="10"/>
              </w:rPr>
            </w:pPr>
            <w:r>
              <w:rPr>
                <w:rFonts w:ascii="Arial"/>
                <w:w w:val="65"/>
                <w:sz w:val="10"/>
              </w:rPr>
              <w:t>1</w:t>
              <w:tab/>
            </w:r>
            <w:r>
              <w:rPr>
                <w:rFonts w:ascii="Arial"/>
                <w:w w:val="50"/>
                <w:sz w:val="10"/>
              </w:rPr>
              <w:t>1</w:t>
            </w:r>
          </w:p>
        </w:tc>
        <w:tc>
          <w:tcPr>
            <w:tcW w:w="222" w:type="dxa"/>
            <w:tcBorders>
              <w:top w:val="nil"/>
              <w:left w:val="nil"/>
              <w:bottom w:val="single" w:sz="4" w:space="0" w:color="000000"/>
              <w:right w:val="nil"/>
            </w:tcBorders>
          </w:tcPr>
          <w:p>
            <w:pPr/>
          </w:p>
        </w:tc>
        <w:tc>
          <w:tcPr>
            <w:tcW w:w="829" w:type="dxa"/>
            <w:tcBorders>
              <w:top w:val="nil"/>
              <w:left w:val="nil"/>
              <w:bottom w:val="single" w:sz="4" w:space="0" w:color="000000"/>
              <w:right w:val="nil"/>
            </w:tcBorders>
          </w:tcPr>
          <w:p>
            <w:pPr>
              <w:pStyle w:val="TableParagraph"/>
              <w:spacing w:line="223" w:lineRule="exact"/>
              <w:ind w:left="239"/>
              <w:rPr>
                <w:rFonts w:ascii="Times New Roman"/>
                <w:sz w:val="23"/>
              </w:rPr>
            </w:pPr>
            <w:r>
              <w:rPr>
                <w:rFonts w:ascii="Times New Roman"/>
                <w:w w:val="269"/>
                <w:sz w:val="23"/>
              </w:rPr>
              <w:t>-</w:t>
            </w:r>
          </w:p>
        </w:tc>
      </w:tr>
    </w:tbl>
    <w:p>
      <w:pPr>
        <w:pStyle w:val="BodyText"/>
        <w:spacing w:before="1"/>
        <w:rPr>
          <w:b/>
          <w:sz w:val="13"/>
        </w:rPr>
      </w:pPr>
    </w:p>
    <w:p>
      <w:pPr>
        <w:pStyle w:val="BodyText"/>
        <w:spacing w:line="295" w:lineRule="auto" w:before="53"/>
        <w:ind w:left="123" w:right="229" w:hanging="4"/>
      </w:pPr>
      <w:r>
        <w:rPr/>
        <w:pict>
          <v:line style="position:absolute;mso-position-horizontal-relative:page;mso-position-vertical-relative:paragraph;z-index:-711640" from="59.939999pt,23.872791pt" to="81.539999pt,23.872791pt" stroked="true" strokeweight="7.74pt" strokecolor="#000000">
            <w10:wrap type="none"/>
          </v:line>
        </w:pict>
      </w:r>
      <w:r>
        <w:rPr>
          <w:i/>
          <w:w w:val="107"/>
        </w:rPr>
        <w:t>H </w:t>
      </w:r>
      <w:r>
        <w:rPr>
          <w:i/>
          <w:spacing w:val="-2"/>
          <w:w w:val="83"/>
        </w:rPr>
        <w:t>bm</w:t>
      </w:r>
      <w:r>
        <w:rPr>
          <w:rFonts w:ascii="Arial" w:hAnsi="Arial"/>
          <w:i/>
          <w:spacing w:val="-2"/>
          <w:w w:val="83"/>
          <w:sz w:val="37"/>
        </w:rPr>
        <w:t>{</w:t>
      </w:r>
      <w:r>
        <w:rPr>
          <w:rFonts w:ascii="Arial" w:hAnsi="Arial"/>
          <w:i/>
          <w:w w:val="83"/>
          <w:sz w:val="37"/>
        </w:rPr>
        <w:t> </w:t>
      </w:r>
      <w:r>
        <w:rPr>
          <w:rFonts w:ascii="Arial" w:hAnsi="Arial"/>
          <w:i/>
          <w:w w:val="58"/>
          <w:sz w:val="37"/>
        </w:rPr>
        <w:t>)rru¡ </w:t>
      </w:r>
      <w:r>
        <w:rPr>
          <w:w w:val="74"/>
          <w:sz w:val="25"/>
        </w:rPr>
        <w:t>h4. </w:t>
      </w:r>
      <w:r>
        <w:rPr>
          <w:w w:val="110"/>
        </w:rPr>
        <w:t>The </w:t>
      </w:r>
      <w:r>
        <w:rPr>
          <w:w w:val="103"/>
        </w:rPr>
        <w:t>required </w:t>
      </w:r>
      <w:r>
        <w:rPr>
          <w:w w:val="105"/>
        </w:rPr>
        <w:t>probability </w:t>
      </w:r>
      <w:r>
        <w:rPr>
          <w:w w:val="102"/>
        </w:rPr>
        <w:t>is </w:t>
      </w:r>
      <w:r>
        <w:rPr>
          <w:w w:val="108"/>
        </w:rPr>
        <w:t>then </w:t>
      </w:r>
      <w:r>
        <w:rPr>
          <w:w w:val="110"/>
        </w:rPr>
        <w:t>the </w:t>
      </w:r>
      <w:r>
        <w:rPr>
          <w:w w:val="105"/>
        </w:rPr>
        <w:t>product </w:t>
      </w:r>
      <w:r>
        <w:rPr>
          <w:w w:val="87"/>
        </w:rPr>
        <w:t>of  </w:t>
      </w:r>
      <w:r>
        <w:rPr/>
        <w:t>these  two  expressions,</w:t>
      </w:r>
      <w:r>
        <w:rPr>
          <w:spacing w:val="29"/>
        </w:rPr>
        <w:t> </w:t>
      </w:r>
      <w:r>
        <w:rPr/>
        <w:t>or</w:t>
      </w:r>
    </w:p>
    <w:p>
      <w:pPr>
        <w:spacing w:before="30"/>
        <w:ind w:left="293" w:right="423" w:firstLine="0"/>
        <w:jc w:val="center"/>
        <w:rPr>
          <w:sz w:val="11"/>
        </w:rPr>
      </w:pPr>
      <w:r>
        <w:rPr>
          <w:spacing w:val="5"/>
          <w:w w:val="105"/>
          <w:sz w:val="26"/>
        </w:rPr>
        <w:t>i(</w:t>
      </w:r>
      <w:r>
        <w:rPr>
          <w:spacing w:val="-57"/>
          <w:w w:val="105"/>
          <w:sz w:val="26"/>
        </w:rPr>
        <w:t> </w:t>
      </w:r>
      <w:r>
        <w:rPr>
          <w:i/>
          <w:spacing w:val="5"/>
          <w:w w:val="95"/>
          <w:sz w:val="20"/>
        </w:rPr>
        <w:t>bm) </w:t>
      </w:r>
      <w:r>
        <w:rPr>
          <w:w w:val="105"/>
          <w:sz w:val="11"/>
        </w:rPr>
        <w:t>M </w:t>
      </w:r>
      <w:r>
        <w:rPr>
          <w:w w:val="95"/>
          <w:sz w:val="11"/>
        </w:rPr>
        <w:t>• </w:t>
      </w:r>
      <w:r>
        <w:rPr>
          <w:w w:val="150"/>
          <w:sz w:val="11"/>
        </w:rPr>
        <w:t>( </w:t>
      </w:r>
      <w:r>
        <w:rPr>
          <w:i/>
          <w:w w:val="95"/>
          <w:sz w:val="20"/>
        </w:rPr>
        <w:t>m&lt;</w:t>
      </w:r>
      <w:r>
        <w:rPr>
          <w:i/>
          <w:w w:val="95"/>
          <w:sz w:val="20"/>
          <w:u w:val="thick"/>
        </w:rPr>
        <w:t>j ) </w:t>
      </w:r>
      <w:r>
        <w:rPr>
          <w:w w:val="105"/>
          <w:sz w:val="11"/>
          <w:u w:val="thick"/>
        </w:rPr>
        <w:t>34</w:t>
      </w:r>
    </w:p>
    <w:p>
      <w:pPr>
        <w:spacing w:before="9"/>
        <w:ind w:left="293" w:right="438" w:firstLine="0"/>
        <w:jc w:val="center"/>
        <w:rPr>
          <w:i/>
          <w:sz w:val="20"/>
        </w:rPr>
      </w:pPr>
      <w:r>
        <w:rPr>
          <w:i/>
          <w:w w:val="80"/>
          <w:sz w:val="20"/>
        </w:rPr>
        <w:t>( bl )aa</w:t>
      </w:r>
    </w:p>
    <w:p>
      <w:pPr>
        <w:pStyle w:val="BodyText"/>
        <w:spacing w:before="102"/>
        <w:ind w:left="126"/>
      </w:pPr>
      <w:r>
        <w:rPr>
          <w:w w:val="105"/>
          <w:sz w:val="21"/>
        </w:rPr>
        <w:t>In </w:t>
      </w:r>
      <w:r>
        <w:rPr>
          <w:w w:val="105"/>
        </w:rPr>
        <w:t>cvaluating this expression, we first   compute</w:t>
      </w:r>
    </w:p>
    <w:p>
      <w:pPr>
        <w:spacing w:line="170" w:lineRule="exact" w:before="112"/>
        <w:ind w:left="293" w:right="280" w:firstLine="0"/>
        <w:jc w:val="center"/>
        <w:rPr>
          <w:sz w:val="19"/>
        </w:rPr>
      </w:pPr>
      <w:r>
        <w:rPr>
          <w:w w:val="105"/>
          <w:sz w:val="19"/>
        </w:rPr>
        <w:t>240</w:t>
      </w:r>
    </w:p>
    <w:p>
      <w:pPr>
        <w:spacing w:line="308" w:lineRule="exact" w:before="0"/>
        <w:ind w:left="293" w:right="281" w:firstLine="0"/>
        <w:jc w:val="center"/>
        <w:rPr>
          <w:sz w:val="20"/>
        </w:rPr>
      </w:pPr>
      <w:r>
        <w:rPr>
          <w:sz w:val="20"/>
        </w:rPr>
        <w:t>( mq )a</w:t>
      </w:r>
      <w:r>
        <w:rPr>
          <w:position w:val="6"/>
          <w:sz w:val="11"/>
        </w:rPr>
        <w:t>4   </w:t>
      </w:r>
      <w:r>
        <w:rPr>
          <w:rFonts w:ascii="Arial" w:hAnsi="Arial"/>
          <w:sz w:val="26"/>
        </w:rPr>
        <w:t>=: </w:t>
      </w:r>
      <w:r>
        <w:rPr>
          <w:sz w:val="20"/>
        </w:rPr>
        <w:t>33,839 </w:t>
      </w:r>
      <w:r>
        <w:rPr>
          <w:rFonts w:ascii="Arial" w:hAnsi="Arial"/>
          <w:sz w:val="31"/>
        </w:rPr>
        <w:t>+ </w:t>
      </w:r>
      <w:r>
        <w:rPr>
          <w:sz w:val="20"/>
        </w:rPr>
        <w:t>!(4,027)  </w:t>
      </w:r>
      <w:r>
        <w:rPr>
          <w:sz w:val="23"/>
        </w:rPr>
        <w:t>= ·</w:t>
      </w:r>
      <w:r>
        <w:rPr>
          <w:position w:val="8"/>
          <w:sz w:val="20"/>
        </w:rPr>
        <w:t>0067</w:t>
      </w:r>
      <w:r>
        <w:rPr>
          <w:sz w:val="20"/>
        </w:rPr>
        <w:t>·</w:t>
      </w:r>
    </w:p>
    <w:p>
      <w:pPr>
        <w:pStyle w:val="BodyText"/>
        <w:spacing w:before="140"/>
        <w:ind w:left="119"/>
      </w:pPr>
      <w:r>
        <w:rPr>
          <w:w w:val="105"/>
        </w:rPr>
        <w:t>Then  thc requircd  probability is</w:t>
      </w:r>
    </w:p>
    <w:p>
      <w:pPr>
        <w:pStyle w:val="BodyText"/>
        <w:spacing w:line="242" w:lineRule="exact" w:before="127"/>
        <w:ind w:left="293" w:right="368"/>
        <w:jc w:val="center"/>
      </w:pPr>
      <w:r>
        <w:rPr/>
        <w:pict>
          <v:line style="position:absolute;mso-position-horizontal-relative:page;mso-position-vertical-relative:paragraph;z-index:-711616" from="127.620003pt,17.536331pt" to="130.140003pt,17.536331pt" stroked="true" strokeweight=".9pt" strokecolor="#000000">
            <w10:wrap type="none"/>
          </v:line>
        </w:pict>
      </w:r>
      <w:r>
        <w:rPr>
          <w:w w:val="105"/>
        </w:rPr>
        <w:t>!(4,027)(.0067)  </w:t>
      </w:r>
      <w:r>
        <w:rPr>
          <w:w w:val="105"/>
          <w:sz w:val="23"/>
        </w:rPr>
        <w:t>=   </w:t>
      </w:r>
      <w:r>
        <w:rPr>
          <w:w w:val="105"/>
        </w:rPr>
        <w:t>0003</w:t>
      </w:r>
    </w:p>
    <w:p>
      <w:pPr>
        <w:pStyle w:val="BodyText"/>
        <w:tabs>
          <w:tab w:pos="3604" w:val="left" w:leader="none"/>
          <w:tab w:pos="4047" w:val="left" w:leader="none"/>
        </w:tabs>
        <w:spacing w:line="207" w:lineRule="exact"/>
        <w:ind w:left="2304"/>
      </w:pPr>
      <w:r>
        <w:rPr>
          <w:w w:val="110"/>
        </w:rPr>
        <w:t>51,002</w:t>
        <w:tab/>
      </w:r>
      <w:r>
        <w:rPr>
          <w:w w:val="115"/>
        </w:rPr>
        <w:t>.</w:t>
        <w:tab/>
        <w:t>.</w:t>
      </w:r>
    </w:p>
    <w:p>
      <w:pPr>
        <w:pStyle w:val="BodyText"/>
        <w:spacing w:line="252" w:lineRule="auto" w:before="155"/>
        <w:ind w:left="119" w:right="229" w:hanging="4"/>
      </w:pPr>
      <w:r>
        <w:rPr>
          <w:w w:val="105"/>
        </w:rPr>
        <w:t>The student may show that this probability can also be computed from the expression</w:t>
      </w:r>
    </w:p>
    <w:p>
      <w:pPr>
        <w:spacing w:before="124"/>
        <w:ind w:left="293" w:right="410" w:firstLine="0"/>
        <w:jc w:val="center"/>
        <w:rPr>
          <w:sz w:val="19"/>
        </w:rPr>
      </w:pPr>
      <w:r>
        <w:rPr>
          <w:w w:val="105"/>
          <w:sz w:val="19"/>
        </w:rPr>
        <w:t>( md )at </w:t>
      </w:r>
      <w:r>
        <w:rPr>
          <w:w w:val="270"/>
          <w:sz w:val="19"/>
        </w:rPr>
        <w:t>-</w:t>
      </w:r>
      <w:r>
        <w:rPr>
          <w:spacing w:val="-83"/>
          <w:w w:val="270"/>
          <w:sz w:val="19"/>
        </w:rPr>
        <w:t> </w:t>
      </w:r>
      <w:r>
        <w:rPr>
          <w:w w:val="105"/>
          <w:sz w:val="19"/>
        </w:rPr>
        <w:t>( </w:t>
      </w:r>
      <w:r>
        <w:rPr>
          <w:w w:val="125"/>
          <w:sz w:val="19"/>
        </w:rPr>
        <w:t>m</w:t>
      </w:r>
      <w:r>
        <w:rPr>
          <w:w w:val="125"/>
          <w:sz w:val="19"/>
          <w:u w:val="thick"/>
        </w:rPr>
        <w:t>l)w </w:t>
      </w:r>
      <w:r>
        <w:rPr>
          <w:w w:val="105"/>
          <w:sz w:val="19"/>
        </w:rPr>
        <w:t>( rru¡)a,</w:t>
      </w:r>
    </w:p>
    <w:p>
      <w:pPr>
        <w:spacing w:before="33"/>
        <w:ind w:left="293" w:right="434" w:firstLine="0"/>
        <w:jc w:val="center"/>
        <w:rPr>
          <w:i/>
          <w:sz w:val="19"/>
        </w:rPr>
      </w:pPr>
      <w:r>
        <w:rPr>
          <w:i/>
          <w:w w:val="85"/>
          <w:sz w:val="19"/>
        </w:rPr>
        <w:t>( bl )aa</w:t>
      </w:r>
    </w:p>
    <w:p>
      <w:pPr>
        <w:spacing w:after="0"/>
        <w:jc w:val="center"/>
        <w:rPr>
          <w:sz w:val="19"/>
        </w:rPr>
        <w:sectPr>
          <w:pgSz w:w="7200" w:h="11340"/>
          <w:pgMar w:top="500" w:bottom="280" w:left="640" w:right="540"/>
        </w:sectPr>
      </w:pPr>
    </w:p>
    <w:p>
      <w:pPr>
        <w:tabs>
          <w:tab w:pos="1307" w:val="left" w:leader="none"/>
          <w:tab w:pos="5263" w:val="left" w:leader="none"/>
        </w:tabs>
        <w:spacing w:before="66"/>
        <w:ind w:left="332" w:right="0" w:hanging="198"/>
        <w:jc w:val="left"/>
        <w:rPr>
          <w:rFonts w:ascii="Arial"/>
          <w:b/>
          <w:sz w:val="19"/>
        </w:rPr>
      </w:pPr>
      <w:r>
        <w:rPr>
          <w:rFonts w:ascii="Courier New"/>
          <w:b/>
          <w:sz w:val="21"/>
        </w:rPr>
        <w:t>300</w:t>
        <w:tab/>
      </w:r>
      <w:r>
        <w:rPr>
          <w:b/>
          <w:position w:val="1"/>
          <w:sz w:val="15"/>
        </w:rPr>
        <w:t>TABLES   WITH  </w:t>
      </w:r>
      <w:r>
        <w:rPr>
          <w:b/>
          <w:spacing w:val="8"/>
          <w:position w:val="1"/>
          <w:sz w:val="15"/>
        </w:rPr>
        <w:t> </w:t>
      </w:r>
      <w:r>
        <w:rPr>
          <w:b/>
          <w:position w:val="1"/>
          <w:sz w:val="15"/>
        </w:rPr>
        <w:t>SECONDARY  </w:t>
      </w:r>
      <w:r>
        <w:rPr>
          <w:b/>
          <w:spacing w:val="15"/>
          <w:position w:val="1"/>
          <w:sz w:val="15"/>
        </w:rPr>
        <w:t> </w:t>
      </w:r>
      <w:r>
        <w:rPr>
          <w:b/>
          <w:position w:val="1"/>
          <w:sz w:val="15"/>
        </w:rPr>
        <w:t>DECREMENTS</w:t>
        <w:tab/>
      </w:r>
      <w:r>
        <w:rPr>
          <w:b/>
          <w:position w:val="1"/>
          <w:sz w:val="18"/>
        </w:rPr>
        <w:t>{CH.</w:t>
      </w:r>
      <w:r>
        <w:rPr>
          <w:b/>
          <w:spacing w:val="12"/>
          <w:position w:val="1"/>
          <w:sz w:val="18"/>
        </w:rPr>
        <w:t> </w:t>
      </w:r>
      <w:r>
        <w:rPr>
          <w:rFonts w:ascii="Arial"/>
          <w:b/>
          <w:spacing w:val="-16"/>
          <w:position w:val="1"/>
          <w:sz w:val="19"/>
        </w:rPr>
        <w:t>15</w:t>
      </w:r>
    </w:p>
    <w:p>
      <w:pPr>
        <w:pStyle w:val="BodyText"/>
        <w:spacing w:before="10"/>
        <w:rPr>
          <w:rFonts w:ascii="Arial"/>
          <w:b/>
          <w:sz w:val="18"/>
        </w:rPr>
      </w:pPr>
    </w:p>
    <w:p>
      <w:pPr>
        <w:spacing w:line="225" w:lineRule="auto" w:before="0"/>
        <w:ind w:left="130" w:right="115" w:firstLine="201"/>
        <w:jc w:val="both"/>
        <w:rPr>
          <w:sz w:val="21"/>
        </w:rPr>
      </w:pPr>
      <w:r>
        <w:rPr>
          <w:sz w:val="21"/>
        </w:rPr>
        <w:t>As a second example, let us find the probability that a bachelor aged 34 will be alive and married </w:t>
      </w:r>
      <w:r>
        <w:rPr>
          <w:sz w:val="22"/>
        </w:rPr>
        <w:t>at </w:t>
      </w:r>
      <w:r>
        <w:rPr>
          <w:sz w:val="21"/>
        </w:rPr>
        <w:t>age 36. This will be recognized </w:t>
      </w:r>
      <w:r>
        <w:rPr>
          <w:rFonts w:ascii="Arial"/>
          <w:w w:val="103"/>
          <w:sz w:val="17"/>
        </w:rPr>
        <w:t>as </w:t>
      </w:r>
      <w:r>
        <w:rPr>
          <w:w w:val="98"/>
          <w:sz w:val="21"/>
        </w:rPr>
        <w:t>analogous </w:t>
      </w:r>
      <w:r>
        <w:rPr>
          <w:w w:val="104"/>
          <w:sz w:val="21"/>
        </w:rPr>
        <w:t>to </w:t>
      </w:r>
      <w:r>
        <w:rPr>
          <w:w w:val="106"/>
          <w:sz w:val="21"/>
        </w:rPr>
        <w:t>the </w:t>
      </w:r>
      <w:r>
        <w:rPr>
          <w:w w:val="101"/>
          <w:sz w:val="21"/>
        </w:rPr>
        <w:t>probability </w:t>
      </w:r>
      <w:r>
        <w:rPr>
          <w:rFonts w:ascii="Arial"/>
          <w:w w:val="118"/>
          <w:position w:val="-2"/>
          <w:sz w:val="19"/>
        </w:rPr>
        <w:t>2</w:t>
      </w:r>
      <w:r>
        <w:rPr>
          <w:rFonts w:ascii="Arial"/>
          <w:w w:val="118"/>
          <w:sz w:val="19"/>
        </w:rPr>
        <w:t>p!"M </w:t>
      </w:r>
      <w:r>
        <w:rPr>
          <w:w w:val="85"/>
          <w:sz w:val="21"/>
        </w:rPr>
        <w:t>of </w:t>
      </w:r>
      <w:r>
        <w:rPr>
          <w:w w:val="99"/>
          <w:sz w:val="21"/>
        </w:rPr>
        <w:t>Section </w:t>
      </w:r>
      <w:r>
        <w:rPr>
          <w:w w:val="125"/>
          <w:sz w:val="20"/>
        </w:rPr>
        <w:t>1, </w:t>
      </w:r>
      <w:r>
        <w:rPr>
          <w:w w:val="104"/>
          <w:sz w:val="21"/>
        </w:rPr>
        <w:t>and, </w:t>
      </w:r>
      <w:r>
        <w:rPr>
          <w:w w:val="97"/>
          <w:sz w:val="21"/>
        </w:rPr>
        <w:t>recalling </w:t>
      </w:r>
      <w:r>
        <w:rPr>
          <w:sz w:val="21"/>
        </w:rPr>
        <w:t>the reasoning  which  underlies formula  (15.11), we may  write</w:t>
      </w:r>
    </w:p>
    <w:p>
      <w:pPr>
        <w:spacing w:before="136"/>
        <w:ind w:left="28" w:right="87" w:firstLine="0"/>
        <w:jc w:val="center"/>
        <w:rPr>
          <w:b/>
          <w:sz w:val="19"/>
        </w:rPr>
      </w:pPr>
      <w:r>
        <w:rPr>
          <w:b/>
          <w:w w:val="115"/>
          <w:sz w:val="19"/>
        </w:rPr>
        <w:t>(ml)as </w:t>
      </w:r>
      <w:r>
        <w:rPr>
          <w:w w:val="115"/>
          <w:sz w:val="19"/>
        </w:rPr>
        <w:t>- </w:t>
      </w:r>
      <w:r>
        <w:rPr>
          <w:b/>
          <w:w w:val="115"/>
          <w:sz w:val="19"/>
        </w:rPr>
        <w:t>(ml}an(m</w:t>
      </w:r>
      <w:r>
        <w:rPr>
          <w:b/>
          <w:w w:val="115"/>
          <w:sz w:val="19"/>
          <w:u w:val="thick"/>
        </w:rPr>
        <w:t>p)N</w:t>
      </w:r>
    </w:p>
    <w:p>
      <w:pPr>
        <w:spacing w:before="17"/>
        <w:ind w:left="44" w:right="87" w:firstLine="0"/>
        <w:jc w:val="center"/>
        <w:rPr>
          <w:i/>
          <w:sz w:val="20"/>
        </w:rPr>
      </w:pPr>
      <w:r>
        <w:rPr>
          <w:i/>
          <w:w w:val="90"/>
          <w:sz w:val="20"/>
        </w:rPr>
        <w:t>( bl )a,</w:t>
      </w:r>
    </w:p>
    <w:p>
      <w:pPr>
        <w:spacing w:before="67"/>
        <w:ind w:left="130" w:right="0" w:firstLine="0"/>
        <w:jc w:val="left"/>
        <w:rPr>
          <w:sz w:val="19"/>
        </w:rPr>
      </w:pPr>
      <w:r>
        <w:rPr>
          <w:w w:val="110"/>
          <w:sz w:val="21"/>
        </w:rPr>
        <w:t>where </w:t>
      </w:r>
      <w:r>
        <w:rPr>
          <w:sz w:val="19"/>
        </w:rPr>
        <w:t>2 </w:t>
      </w:r>
      <w:r>
        <w:rPr>
          <w:w w:val="110"/>
          <w:sz w:val="19"/>
        </w:rPr>
        <w:t>(mp)a. </w:t>
      </w:r>
      <w:r>
        <w:rPr>
          <w:w w:val="110"/>
          <w:sz w:val="26"/>
        </w:rPr>
        <w:t>= </w:t>
      </w:r>
      <w:r>
        <w:rPr>
          <w:w w:val="110"/>
          <w:sz w:val="19"/>
        </w:rPr>
        <w:t>[1 </w:t>
      </w:r>
      <w:r>
        <w:rPr>
          <w:w w:val="260"/>
          <w:sz w:val="19"/>
        </w:rPr>
        <w:t>-</w:t>
      </w:r>
      <w:r>
        <w:rPr>
          <w:spacing w:val="-60"/>
          <w:w w:val="260"/>
          <w:sz w:val="19"/>
        </w:rPr>
        <w:t> </w:t>
      </w:r>
      <w:r>
        <w:rPr>
          <w:w w:val="110"/>
          <w:sz w:val="19"/>
        </w:rPr>
        <w:t>(mq)a.Hl </w:t>
      </w:r>
      <w:r>
        <w:rPr>
          <w:w w:val="260"/>
          <w:sz w:val="19"/>
        </w:rPr>
        <w:t>-</w:t>
      </w:r>
      <w:r>
        <w:rPr>
          <w:spacing w:val="-60"/>
          <w:w w:val="260"/>
          <w:sz w:val="19"/>
        </w:rPr>
        <w:t> </w:t>
      </w:r>
      <w:r>
        <w:rPr>
          <w:spacing w:val="-3"/>
          <w:w w:val="110"/>
          <w:sz w:val="19"/>
        </w:rPr>
        <w:t>(mq)a¡).</w:t>
      </w:r>
    </w:p>
    <w:p>
      <w:pPr>
        <w:pStyle w:val="ListParagraph"/>
        <w:numPr>
          <w:ilvl w:val="0"/>
          <w:numId w:val="138"/>
        </w:numPr>
        <w:tabs>
          <w:tab w:pos="358" w:val="left" w:leader="none"/>
        </w:tabs>
        <w:spacing w:line="240" w:lineRule="auto" w:before="205" w:after="0"/>
        <w:ind w:left="357" w:right="0" w:hanging="231"/>
        <w:jc w:val="left"/>
        <w:rPr>
          <w:b/>
          <w:sz w:val="19"/>
        </w:rPr>
      </w:pPr>
      <w:r>
        <w:rPr>
          <w:b/>
          <w:w w:val="120"/>
          <w:sz w:val="19"/>
        </w:rPr>
        <w:t>Monetary</w:t>
      </w:r>
      <w:r>
        <w:rPr>
          <w:b/>
          <w:spacing w:val="-12"/>
          <w:w w:val="120"/>
          <w:sz w:val="19"/>
        </w:rPr>
        <w:t> </w:t>
      </w:r>
      <w:r>
        <w:rPr>
          <w:b/>
          <w:w w:val="120"/>
          <w:sz w:val="19"/>
        </w:rPr>
        <w:t>applications</w:t>
      </w:r>
    </w:p>
    <w:p>
      <w:pPr>
        <w:spacing w:line="240" w:lineRule="auto" w:before="119"/>
        <w:ind w:left="119" w:right="107" w:firstLine="201"/>
        <w:jc w:val="both"/>
        <w:rPr>
          <w:sz w:val="21"/>
        </w:rPr>
      </w:pPr>
      <w:r>
        <w:rPr>
          <w:sz w:val="21"/>
        </w:rPr>
        <w:t>The combined disability and mortality table can </w:t>
      </w:r>
      <w:r>
        <w:rPr>
          <w:sz w:val="19"/>
        </w:rPr>
        <w:t>be </w:t>
      </w:r>
      <w:r>
        <w:rPr>
          <w:sz w:val="21"/>
        </w:rPr>
        <w:t>used to evaluate benefits payable in the event of total and pennanent disability. As an example, suppose that we require  the  present  value of an annuity benefit which is to become payable to an ac­  tive life now aged </w:t>
      </w:r>
      <w:r>
        <w:rPr>
          <w:i/>
          <w:sz w:val="20"/>
        </w:rPr>
        <w:t>x </w:t>
      </w:r>
      <w:r>
        <w:rPr>
          <w:sz w:val="21"/>
        </w:rPr>
        <w:t>in the event of disability. Let  the  benefit consist of a payment of </w:t>
      </w:r>
      <w:r>
        <w:rPr>
          <w:sz w:val="20"/>
        </w:rPr>
        <w:t>1 </w:t>
      </w:r>
      <w:r>
        <w:rPr>
          <w:sz w:val="21"/>
        </w:rPr>
        <w:t>at the end of each year if the insured is then surviving and disabled. The present  value may  be  expressed as</w:t>
      </w:r>
    </w:p>
    <w:p>
      <w:pPr>
        <w:spacing w:after="0" w:line="240" w:lineRule="auto"/>
        <w:jc w:val="both"/>
        <w:rPr>
          <w:sz w:val="21"/>
        </w:rPr>
        <w:sectPr>
          <w:pgSz w:w="7200" w:h="11340"/>
          <w:pgMar w:top="480" w:bottom="280" w:left="640" w:right="560"/>
        </w:sectPr>
      </w:pPr>
    </w:p>
    <w:p>
      <w:pPr>
        <w:pStyle w:val="BodyText"/>
        <w:spacing w:before="2"/>
        <w:rPr>
          <w:sz w:val="10"/>
        </w:rPr>
      </w:pPr>
    </w:p>
    <w:p>
      <w:pPr>
        <w:spacing w:before="0"/>
        <w:ind w:left="1722" w:right="968" w:firstLine="0"/>
        <w:jc w:val="center"/>
        <w:rPr>
          <w:rFonts w:ascii="Arial"/>
          <w:b/>
          <w:sz w:val="8"/>
        </w:rPr>
      </w:pPr>
      <w:r>
        <w:rPr>
          <w:rFonts w:ascii="Arial"/>
          <w:b/>
          <w:w w:val="85"/>
          <w:sz w:val="8"/>
        </w:rPr>
        <w:t>GO</w:t>
      </w:r>
    </w:p>
    <w:p>
      <w:pPr>
        <w:spacing w:line="250" w:lineRule="exact" w:before="20"/>
        <w:ind w:left="1722" w:right="1000" w:firstLine="0"/>
        <w:jc w:val="center"/>
        <w:rPr>
          <w:sz w:val="13"/>
        </w:rPr>
      </w:pPr>
      <w:r>
        <w:rPr>
          <w:b/>
          <w:spacing w:val="-8"/>
          <w:w w:val="106"/>
          <w:sz w:val="19"/>
        </w:rPr>
        <w:t>a</w:t>
      </w:r>
      <w:r>
        <w:rPr>
          <w:b/>
          <w:i/>
          <w:spacing w:val="-94"/>
          <w:w w:val="107"/>
          <w:position w:val="9"/>
          <w:sz w:val="12"/>
        </w:rPr>
        <w:t>G</w:t>
      </w:r>
      <w:r>
        <w:rPr>
          <w:b/>
          <w:spacing w:val="11"/>
          <w:w w:val="105"/>
          <w:sz w:val="19"/>
        </w:rPr>
        <w:t>s</w:t>
      </w:r>
      <w:r>
        <w:rPr>
          <w:b/>
          <w:i/>
          <w:w w:val="107"/>
          <w:position w:val="9"/>
          <w:sz w:val="12"/>
        </w:rPr>
        <w:t>i</w:t>
      </w:r>
      <w:r>
        <w:rPr>
          <w:b/>
          <w:i/>
          <w:position w:val="9"/>
          <w:sz w:val="12"/>
        </w:rPr>
        <w:t>  </w:t>
      </w:r>
      <w:r>
        <w:rPr>
          <w:b/>
          <w:i/>
          <w:spacing w:val="3"/>
          <w:position w:val="9"/>
          <w:sz w:val="12"/>
        </w:rPr>
        <w:t> </w:t>
      </w:r>
      <w:r>
        <w:rPr>
          <w:w w:val="109"/>
          <w:sz w:val="22"/>
        </w:rPr>
        <w:t>=</w:t>
      </w:r>
      <w:r>
        <w:rPr>
          <w:sz w:val="22"/>
        </w:rPr>
        <w:t> </w:t>
      </w:r>
      <w:r>
        <w:rPr>
          <w:spacing w:val="-2"/>
          <w:sz w:val="22"/>
        </w:rPr>
        <w:t> </w:t>
      </w:r>
      <w:r>
        <w:rPr>
          <w:rFonts w:ascii="Arial" w:hAnsi="Arial"/>
          <w:b/>
          <w:i/>
          <w:w w:val="119"/>
          <w:sz w:val="15"/>
        </w:rPr>
        <w:t>LJ</w:t>
      </w:r>
      <w:r>
        <w:rPr>
          <w:rFonts w:ascii="Arial" w:hAnsi="Arial"/>
          <w:b/>
          <w:i/>
          <w:sz w:val="15"/>
        </w:rPr>
        <w:t> </w:t>
      </w:r>
      <w:r>
        <w:rPr>
          <w:rFonts w:ascii="Arial" w:hAnsi="Arial"/>
          <w:b/>
          <w:i/>
          <w:spacing w:val="1"/>
          <w:sz w:val="15"/>
        </w:rPr>
        <w:t> </w:t>
      </w:r>
      <w:r>
        <w:rPr>
          <w:rFonts w:ascii="Arial" w:hAnsi="Arial"/>
          <w:b/>
          <w:i/>
          <w:w w:val="75"/>
          <w:sz w:val="15"/>
        </w:rPr>
        <w:t>V</w:t>
      </w:r>
      <w:r>
        <w:rPr>
          <w:rFonts w:ascii="Arial" w:hAnsi="Arial"/>
          <w:b/>
          <w:i/>
          <w:spacing w:val="-28"/>
          <w:sz w:val="15"/>
        </w:rPr>
        <w:t> </w:t>
      </w:r>
      <w:r>
        <w:rPr>
          <w:b/>
          <w:i/>
          <w:w w:val="91"/>
          <w:position w:val="9"/>
          <w:sz w:val="13"/>
        </w:rPr>
        <w:t>t</w:t>
      </w:r>
      <w:r>
        <w:rPr>
          <w:b/>
          <w:i/>
          <w:spacing w:val="-12"/>
          <w:position w:val="9"/>
          <w:sz w:val="13"/>
        </w:rPr>
        <w:t> </w:t>
      </w:r>
      <w:r>
        <w:rPr>
          <w:b/>
          <w:w w:val="94"/>
          <w:sz w:val="20"/>
        </w:rPr>
        <w:t>,</w:t>
      </w:r>
      <w:r>
        <w:rPr>
          <w:b/>
          <w:spacing w:val="-43"/>
          <w:w w:val="93"/>
          <w:sz w:val="20"/>
        </w:rPr>
        <w:t>P</w:t>
      </w:r>
      <w:r>
        <w:rPr>
          <w:spacing w:val="-98"/>
          <w:w w:val="165"/>
          <w:position w:val="9"/>
          <w:sz w:val="13"/>
        </w:rPr>
        <w:t>•</w:t>
      </w:r>
      <w:r>
        <w:rPr>
          <w:b/>
          <w:spacing w:val="-9"/>
          <w:w w:val="93"/>
          <w:sz w:val="20"/>
        </w:rPr>
        <w:t>s</w:t>
      </w:r>
      <w:r>
        <w:rPr>
          <w:w w:val="165"/>
          <w:position w:val="9"/>
          <w:sz w:val="13"/>
        </w:rPr>
        <w:t>•</w:t>
      </w:r>
    </w:p>
    <w:p>
      <w:pPr>
        <w:spacing w:line="127" w:lineRule="exact" w:before="0"/>
        <w:ind w:left="1722" w:right="940" w:firstLine="0"/>
        <w:jc w:val="center"/>
        <w:rPr>
          <w:rFonts w:ascii="Courier New"/>
          <w:b/>
          <w:sz w:val="12"/>
        </w:rPr>
      </w:pPr>
      <w:r>
        <w:rPr>
          <w:rFonts w:ascii="Courier New"/>
          <w:b/>
          <w:w w:val="115"/>
          <w:sz w:val="12"/>
        </w:rPr>
        <w:t>1-0</w:t>
      </w:r>
    </w:p>
    <w:p>
      <w:pPr>
        <w:spacing w:line="234" w:lineRule="exact" w:before="84"/>
        <w:ind w:left="2643" w:right="0" w:firstLine="0"/>
        <w:jc w:val="left"/>
        <w:rPr>
          <w:rFonts w:ascii="Arial" w:hAnsi="Arial"/>
          <w:sz w:val="24"/>
        </w:rPr>
      </w:pPr>
      <w:r>
        <w:rPr/>
        <w:pict>
          <v:shape style="position:absolute;margin-left:148.860001pt;margin-top:3.754599pt;width:78.55pt;height:4pt;mso-position-horizontal-relative:page;mso-position-vertical-relative:paragraph;z-index:-711568" type="#_x0000_t202" filled="false" stroked="false">
            <v:textbox inset="0,0,0,0">
              <w:txbxContent>
                <w:p>
                  <w:pPr>
                    <w:tabs>
                      <w:tab w:pos="539" w:val="left" w:leader="none"/>
                      <w:tab w:pos="1155" w:val="left" w:leader="none"/>
                      <w:tab w:pos="1540" w:val="left" w:leader="none"/>
                    </w:tabs>
                    <w:spacing w:line="80" w:lineRule="exact" w:before="0"/>
                    <w:ind w:left="0" w:right="0" w:firstLine="0"/>
                    <w:jc w:val="left"/>
                    <w:rPr>
                      <w:rFonts w:ascii="Arial" w:hAnsi="Arial"/>
                      <w:sz w:val="8"/>
                    </w:rPr>
                  </w:pPr>
                  <w:r>
                    <w:rPr>
                      <w:rFonts w:ascii="Arial" w:hAnsi="Arial"/>
                      <w:b/>
                      <w:w w:val="110"/>
                      <w:sz w:val="8"/>
                    </w:rPr>
                    <w:t>00</w:t>
                    <w:tab/>
                  </w:r>
                  <w:r>
                    <w:rPr>
                      <w:rFonts w:ascii="Arial" w:hAnsi="Arial"/>
                      <w:w w:val="110"/>
                      <w:sz w:val="8"/>
                    </w:rPr>
                    <w:t>•</w:t>
                  </w:r>
                  <w:r>
                    <w:rPr>
                      <w:rFonts w:ascii="Arial" w:hAnsi="Arial"/>
                      <w:spacing w:val="16"/>
                      <w:w w:val="110"/>
                      <w:sz w:val="8"/>
                    </w:rPr>
                    <w:t> </w:t>
                  </w:r>
                  <w:r>
                    <w:rPr>
                      <w:rFonts w:ascii="Arial" w:hAnsi="Arial"/>
                      <w:w w:val="110"/>
                      <w:sz w:val="8"/>
                    </w:rPr>
                    <w:t>•</w:t>
                    <w:tab/>
                    <w:t>•</w:t>
                  </w:r>
                  <w:r>
                    <w:rPr>
                      <w:rFonts w:ascii="Arial" w:hAnsi="Arial"/>
                      <w:spacing w:val="13"/>
                      <w:w w:val="110"/>
                      <w:sz w:val="8"/>
                    </w:rPr>
                    <w:t> </w:t>
                  </w:r>
                  <w:r>
                    <w:rPr>
                      <w:rFonts w:ascii="Arial" w:hAnsi="Arial"/>
                      <w:w w:val="110"/>
                      <w:sz w:val="8"/>
                    </w:rPr>
                    <w:t>•</w:t>
                    <w:tab/>
                  </w:r>
                  <w:r>
                    <w:rPr>
                      <w:rFonts w:ascii="Arial" w:hAnsi="Arial"/>
                      <w:w w:val="105"/>
                      <w:sz w:val="8"/>
                    </w:rPr>
                    <w:t>•</w:t>
                  </w:r>
                </w:p>
              </w:txbxContent>
            </v:textbox>
            <w10:wrap type="none"/>
          </v:shape>
        </w:pict>
      </w:r>
      <w:r>
        <w:rPr>
          <w:i/>
          <w:w w:val="114"/>
          <w:sz w:val="12"/>
        </w:rPr>
        <w:t>t</w:t>
      </w:r>
      <w:r>
        <w:rPr>
          <w:i/>
          <w:sz w:val="12"/>
        </w:rPr>
        <w:t>   </w:t>
      </w:r>
      <w:r>
        <w:rPr>
          <w:i/>
          <w:spacing w:val="-11"/>
          <w:sz w:val="12"/>
        </w:rPr>
        <w:t> </w:t>
      </w:r>
      <w:r>
        <w:rPr>
          <w:rFonts w:ascii="Arial" w:hAnsi="Arial"/>
          <w:i/>
          <w:spacing w:val="-12"/>
          <w:w w:val="517"/>
          <w:sz w:val="21"/>
        </w:rPr>
        <w:t>l</w:t>
      </w:r>
      <w:r>
        <w:rPr>
          <w:rFonts w:ascii="Arial" w:hAnsi="Arial"/>
          <w:i/>
          <w:w w:val="133"/>
          <w:sz w:val="21"/>
        </w:rPr>
        <w:t>,</w:t>
      </w:r>
      <w:r>
        <w:rPr>
          <w:rFonts w:ascii="Arial" w:hAnsi="Arial"/>
          <w:i/>
          <w:spacing w:val="7"/>
          <w:sz w:val="21"/>
        </w:rPr>
        <w:t> </w:t>
      </w:r>
      <w:r>
        <w:rPr>
          <w:rFonts w:ascii="Arial" w:hAnsi="Arial"/>
          <w:w w:val="249"/>
          <w:sz w:val="21"/>
        </w:rPr>
        <w:t>-</w:t>
      </w:r>
      <w:r>
        <w:rPr>
          <w:rFonts w:ascii="Arial" w:hAnsi="Arial"/>
          <w:spacing w:val="-29"/>
          <w:sz w:val="21"/>
        </w:rPr>
        <w:t> </w:t>
      </w:r>
      <w:r>
        <w:rPr>
          <w:rFonts w:ascii="Arial" w:hAnsi="Arial"/>
          <w:spacing w:val="-134"/>
          <w:w w:val="236"/>
          <w:sz w:val="24"/>
        </w:rPr>
        <w:t>l</w:t>
      </w:r>
      <w:r>
        <w:rPr>
          <w:rFonts w:ascii="Arial" w:hAnsi="Arial"/>
          <w:spacing w:val="-107"/>
          <w:w w:val="231"/>
          <w:sz w:val="24"/>
        </w:rPr>
        <w:t>!</w:t>
      </w:r>
      <w:r>
        <w:rPr>
          <w:rFonts w:ascii="Arial" w:hAnsi="Arial"/>
          <w:spacing w:val="-6"/>
          <w:w w:val="177"/>
          <w:sz w:val="24"/>
        </w:rPr>
        <w:t>'</w:t>
      </w:r>
      <w:r>
        <w:rPr>
          <w:rFonts w:ascii="Arial" w:hAnsi="Arial"/>
          <w:w w:val="108"/>
          <w:sz w:val="24"/>
        </w:rPr>
        <w:t>·</w:t>
      </w:r>
      <w:r>
        <w:rPr>
          <w:rFonts w:ascii="Arial" w:hAnsi="Arial"/>
          <w:spacing w:val="-38"/>
          <w:w w:val="108"/>
          <w:sz w:val="24"/>
        </w:rPr>
        <w:t>,</w:t>
      </w:r>
      <w:r>
        <w:rPr>
          <w:rFonts w:ascii="Arial" w:hAnsi="Arial"/>
          <w:spacing w:val="-20"/>
          <w:w w:val="97"/>
          <w:sz w:val="24"/>
        </w:rPr>
        <w:t>p</w:t>
      </w:r>
      <w:r>
        <w:rPr>
          <w:rFonts w:ascii="Arial" w:hAnsi="Arial"/>
          <w:w w:val="245"/>
          <w:sz w:val="24"/>
        </w:rPr>
        <w:t>!</w:t>
      </w:r>
    </w:p>
    <w:p>
      <w:pPr>
        <w:spacing w:line="84" w:lineRule="exact" w:before="0"/>
        <w:ind w:left="2276" w:right="0" w:firstLine="0"/>
        <w:jc w:val="left"/>
        <w:rPr>
          <w:rFonts w:ascii="Arial" w:hAnsi="Arial"/>
          <w:b/>
          <w:i/>
          <w:sz w:val="15"/>
        </w:rPr>
      </w:pPr>
      <w:r>
        <w:rPr>
          <w:rFonts w:ascii="Arial" w:hAnsi="Arial"/>
          <w:b/>
          <w:i/>
          <w:w w:val="119"/>
          <w:sz w:val="15"/>
        </w:rPr>
        <w:t>LJ</w:t>
      </w:r>
      <w:r>
        <w:rPr>
          <w:rFonts w:ascii="Arial" w:hAnsi="Arial"/>
          <w:b/>
          <w:i/>
          <w:sz w:val="15"/>
        </w:rPr>
        <w:t> </w:t>
      </w:r>
      <w:r>
        <w:rPr>
          <w:rFonts w:ascii="Arial" w:hAnsi="Arial"/>
          <w:b/>
          <w:i/>
          <w:spacing w:val="-13"/>
          <w:sz w:val="15"/>
        </w:rPr>
        <w:t> </w:t>
      </w:r>
      <w:r>
        <w:rPr>
          <w:rFonts w:ascii="Arial" w:hAnsi="Arial"/>
          <w:b/>
          <w:i/>
          <w:w w:val="71"/>
          <w:sz w:val="15"/>
        </w:rPr>
        <w:t>V</w:t>
      </w:r>
      <w:r>
        <w:rPr>
          <w:rFonts w:ascii="Arial" w:hAnsi="Arial"/>
          <w:b/>
          <w:i/>
          <w:sz w:val="15"/>
        </w:rPr>
        <w:t> </w:t>
      </w:r>
      <w:r>
        <w:rPr>
          <w:rFonts w:ascii="Arial" w:hAnsi="Arial"/>
          <w:b/>
          <w:i/>
          <w:spacing w:val="13"/>
          <w:sz w:val="15"/>
        </w:rPr>
        <w:t> </w:t>
      </w:r>
      <w:r>
        <w:rPr>
          <w:rFonts w:ascii="Arial" w:hAnsi="Arial"/>
          <w:b/>
          <w:i/>
          <w:spacing w:val="11"/>
          <w:w w:val="112"/>
          <w:sz w:val="15"/>
        </w:rPr>
        <w:t>·</w:t>
      </w:r>
      <w:r>
        <w:rPr>
          <w:rFonts w:ascii="Arial" w:hAnsi="Arial"/>
          <w:b/>
          <w:i/>
          <w:spacing w:val="-27"/>
          <w:w w:val="527"/>
          <w:sz w:val="15"/>
        </w:rPr>
        <w:t>-</w:t>
      </w:r>
      <w:r>
        <w:rPr>
          <w:rFonts w:ascii="Arial" w:hAnsi="Arial"/>
          <w:b/>
          <w:i/>
          <w:spacing w:val="-27"/>
          <w:w w:val="543"/>
          <w:sz w:val="15"/>
        </w:rPr>
        <w:t>---</w:t>
      </w:r>
      <w:r>
        <w:rPr>
          <w:rFonts w:ascii="Arial" w:hAnsi="Arial"/>
          <w:b/>
          <w:i/>
          <w:w w:val="278"/>
          <w:sz w:val="15"/>
        </w:rPr>
        <w:t>-</w:t>
      </w:r>
    </w:p>
    <w:p>
      <w:pPr>
        <w:tabs>
          <w:tab w:pos="3247" w:val="left" w:leader="none"/>
        </w:tabs>
        <w:spacing w:line="218" w:lineRule="exact" w:before="0"/>
        <w:ind w:left="2279" w:right="0" w:firstLine="0"/>
        <w:jc w:val="left"/>
        <w:rPr>
          <w:rFonts w:ascii="Arial"/>
          <w:b/>
          <w:sz w:val="23"/>
        </w:rPr>
      </w:pPr>
      <w:r>
        <w:rPr>
          <w:rFonts w:ascii="Arial"/>
          <w:b/>
          <w:w w:val="125"/>
          <w:sz w:val="11"/>
        </w:rPr>
        <w:t>1-0</w:t>
        <w:tab/>
      </w:r>
      <w:r>
        <w:rPr>
          <w:rFonts w:ascii="Arial"/>
          <w:b/>
          <w:w w:val="120"/>
          <w:sz w:val="23"/>
        </w:rPr>
        <w:t>r.</w:t>
      </w:r>
    </w:p>
    <w:p>
      <w:pPr>
        <w:pStyle w:val="BodyText"/>
        <w:rPr>
          <w:rFonts w:ascii="Arial"/>
          <w:b/>
        </w:rPr>
      </w:pPr>
      <w:r>
        <w:rPr/>
        <w:br w:type="column"/>
      </w:r>
      <w:r>
        <w:rPr>
          <w:rFonts w:ascii="Arial"/>
          <w:b/>
        </w:rPr>
      </w:r>
    </w:p>
    <w:p>
      <w:pPr>
        <w:pStyle w:val="BodyText"/>
        <w:rPr>
          <w:rFonts w:ascii="Arial"/>
          <w:b/>
        </w:rPr>
      </w:pPr>
    </w:p>
    <w:p>
      <w:pPr>
        <w:pStyle w:val="BodyText"/>
        <w:rPr>
          <w:rFonts w:ascii="Arial"/>
          <w:b/>
        </w:rPr>
      </w:pPr>
    </w:p>
    <w:p>
      <w:pPr>
        <w:spacing w:before="141"/>
        <w:ind w:left="743" w:right="-16" w:firstLine="0"/>
        <w:jc w:val="left"/>
        <w:rPr>
          <w:sz w:val="21"/>
        </w:rPr>
      </w:pPr>
      <w:r>
        <w:rPr>
          <w:sz w:val="21"/>
        </w:rPr>
        <w:t>from (15.25)</w:t>
      </w:r>
    </w:p>
    <w:p>
      <w:pPr>
        <w:spacing w:after="0"/>
        <w:jc w:val="left"/>
        <w:rPr>
          <w:sz w:val="21"/>
        </w:rPr>
        <w:sectPr>
          <w:type w:val="continuous"/>
          <w:pgSz w:w="7200" w:h="11340"/>
          <w:pgMar w:top="1100" w:bottom="0" w:left="640" w:right="560"/>
          <w:cols w:num="2" w:equalWidth="0">
            <w:col w:w="4013" w:space="40"/>
            <w:col w:w="1947"/>
          </w:cols>
        </w:sectPr>
      </w:pPr>
    </w:p>
    <w:p>
      <w:pPr>
        <w:pStyle w:val="BodyText"/>
        <w:spacing w:before="5"/>
        <w:rPr>
          <w:sz w:val="10"/>
        </w:rPr>
      </w:pPr>
    </w:p>
    <w:p>
      <w:pPr>
        <w:pStyle w:val="BodyText"/>
        <w:ind w:left="2268"/>
      </w:pPr>
      <w:r>
        <w:rPr/>
        <w:drawing>
          <wp:inline distT="0" distB="0" distL="0" distR="0">
            <wp:extent cx="1280160" cy="320039"/>
            <wp:effectExtent l="0" t="0" r="0" b="0"/>
            <wp:docPr id="733" name="image374.png" descr=""/>
            <wp:cNvGraphicFramePr>
              <a:graphicFrameLocks noChangeAspect="1"/>
            </wp:cNvGraphicFramePr>
            <a:graphic>
              <a:graphicData uri="http://schemas.openxmlformats.org/drawingml/2006/picture">
                <pic:pic>
                  <pic:nvPicPr>
                    <pic:cNvPr id="734" name="image374.png"/>
                    <pic:cNvPicPr/>
                  </pic:nvPicPr>
                  <pic:blipFill>
                    <a:blip r:embed="rId378" cstate="print"/>
                    <a:stretch>
                      <a:fillRect/>
                    </a:stretch>
                  </pic:blipFill>
                  <pic:spPr>
                    <a:xfrm>
                      <a:off x="0" y="0"/>
                      <a:ext cx="1280160" cy="320039"/>
                    </a:xfrm>
                    <a:prstGeom prst="rect">
                      <a:avLst/>
                    </a:prstGeom>
                  </pic:spPr>
                </pic:pic>
              </a:graphicData>
            </a:graphic>
          </wp:inline>
        </w:drawing>
      </w:r>
      <w:r>
        <w:rPr/>
      </w:r>
    </w:p>
    <w:p>
      <w:pPr>
        <w:spacing w:after="0"/>
        <w:sectPr>
          <w:type w:val="continuous"/>
          <w:pgSz w:w="7200" w:h="11340"/>
          <w:pgMar w:top="1100" w:bottom="0" w:left="640" w:right="560"/>
        </w:sectPr>
      </w:pPr>
    </w:p>
    <w:p>
      <w:pPr>
        <w:pStyle w:val="BodyText"/>
      </w:pPr>
    </w:p>
    <w:p>
      <w:pPr>
        <w:pStyle w:val="BodyText"/>
      </w:pPr>
    </w:p>
    <w:p>
      <w:pPr>
        <w:pStyle w:val="BodyText"/>
        <w:spacing w:before="9"/>
        <w:rPr>
          <w:sz w:val="27"/>
        </w:rPr>
      </w:pPr>
    </w:p>
    <w:p>
      <w:pPr>
        <w:spacing w:before="0"/>
        <w:ind w:left="119" w:right="-10" w:firstLine="0"/>
        <w:jc w:val="left"/>
        <w:rPr>
          <w:sz w:val="21"/>
        </w:rPr>
      </w:pPr>
      <w:r>
        <w:rPr>
          <w:w w:val="95"/>
          <w:sz w:val="21"/>
        </w:rPr>
        <w:t>where</w:t>
      </w:r>
    </w:p>
    <w:p>
      <w:pPr>
        <w:spacing w:before="67"/>
        <w:ind w:left="707" w:right="906" w:firstLine="0"/>
        <w:jc w:val="center"/>
        <w:rPr>
          <w:i/>
          <w:sz w:val="29"/>
        </w:rPr>
      </w:pPr>
      <w:r>
        <w:rPr/>
        <w:br w:type="column"/>
      </w:r>
      <w:r>
        <w:rPr>
          <w:rFonts w:ascii="Arial" w:hAnsi="Arial"/>
          <w:i/>
          <w:w w:val="105"/>
          <w:sz w:val="28"/>
        </w:rPr>
        <w:t>N!·</w:t>
      </w:r>
      <w:r>
        <w:rPr>
          <w:rFonts w:ascii="Arial" w:hAnsi="Arial"/>
          <w:i/>
          <w:spacing w:val="-57"/>
          <w:w w:val="105"/>
          <w:sz w:val="28"/>
        </w:rPr>
        <w:t> </w:t>
      </w:r>
      <w:r>
        <w:rPr>
          <w:rFonts w:ascii="Arial" w:hAnsi="Arial"/>
          <w:w w:val="115"/>
          <w:sz w:val="28"/>
        </w:rPr>
        <w:t>-</w:t>
      </w:r>
      <w:r>
        <w:rPr>
          <w:rFonts w:ascii="Arial" w:hAnsi="Arial"/>
          <w:spacing w:val="-71"/>
          <w:w w:val="115"/>
          <w:sz w:val="28"/>
        </w:rPr>
        <w:t> </w:t>
      </w:r>
      <w:r>
        <w:rPr>
          <w:i/>
          <w:spacing w:val="-4"/>
          <w:w w:val="105"/>
          <w:sz w:val="29"/>
        </w:rPr>
        <w:t>n!··a!</w:t>
      </w:r>
    </w:p>
    <w:p>
      <w:pPr>
        <w:spacing w:before="5"/>
        <w:ind w:left="707" w:right="880" w:firstLine="0"/>
        <w:jc w:val="center"/>
        <w:rPr>
          <w:i/>
          <w:sz w:val="22"/>
        </w:rPr>
      </w:pPr>
      <w:r>
        <w:rPr/>
        <w:pict>
          <v:line style="position:absolute;mso-position-horizontal-relative:page;mso-position-vertical-relative:paragraph;z-index:-711592" from="183.960007pt,-2.800464pt" to="187.200007pt,-2.800464pt" stroked="true" strokeweight=".72pt" strokecolor="#000000">
            <w10:wrap type="none"/>
          </v:line>
        </w:pict>
      </w:r>
      <w:r>
        <w:rPr>
          <w:i/>
          <w:w w:val="105"/>
          <w:sz w:val="22"/>
        </w:rPr>
        <w:t>D";</w:t>
      </w:r>
    </w:p>
    <w:p>
      <w:pPr>
        <w:tabs>
          <w:tab w:pos="1289" w:val="left" w:leader="none"/>
        </w:tabs>
        <w:spacing w:before="62"/>
        <w:ind w:left="119" w:right="0" w:firstLine="0"/>
        <w:jc w:val="left"/>
        <w:rPr>
          <w:sz w:val="22"/>
        </w:rPr>
      </w:pPr>
      <w:r>
        <w:rPr>
          <w:i/>
          <w:w w:val="91"/>
          <w:sz w:val="22"/>
        </w:rPr>
        <w:t>D!i</w:t>
      </w:r>
      <w:r>
        <w:rPr>
          <w:i/>
          <w:sz w:val="22"/>
        </w:rPr>
        <w:t>  </w:t>
      </w:r>
      <w:r>
        <w:rPr>
          <w:i/>
          <w:spacing w:val="-25"/>
          <w:sz w:val="22"/>
        </w:rPr>
        <w:t> </w:t>
      </w:r>
      <w:r>
        <w:rPr>
          <w:w w:val="94"/>
          <w:sz w:val="26"/>
        </w:rPr>
        <w:t>=</w:t>
      </w:r>
      <w:r>
        <w:rPr>
          <w:sz w:val="26"/>
        </w:rPr>
        <w:t> </w:t>
      </w:r>
      <w:r>
        <w:rPr>
          <w:spacing w:val="-32"/>
          <w:sz w:val="26"/>
        </w:rPr>
        <w:t> </w:t>
      </w:r>
      <w:r>
        <w:rPr>
          <w:i/>
          <w:w w:val="69"/>
          <w:sz w:val="22"/>
        </w:rPr>
        <w:t>v:rl!i</w:t>
      </w:r>
      <w:r>
        <w:rPr>
          <w:i/>
          <w:sz w:val="22"/>
        </w:rPr>
        <w:tab/>
      </w:r>
      <w:r>
        <w:rPr>
          <w:w w:val="105"/>
          <w:sz w:val="21"/>
        </w:rPr>
        <w:t>and</w:t>
      </w:r>
      <w:r>
        <w:rPr>
          <w:sz w:val="21"/>
        </w:rPr>
        <w:t>   </w:t>
      </w:r>
      <w:r>
        <w:rPr>
          <w:spacing w:val="-20"/>
          <w:sz w:val="21"/>
        </w:rPr>
        <w:t> </w:t>
      </w:r>
      <w:r>
        <w:rPr>
          <w:i/>
          <w:w w:val="98"/>
          <w:sz w:val="22"/>
        </w:rPr>
        <w:t>D:</w:t>
      </w:r>
      <w:r>
        <w:rPr>
          <w:rFonts w:ascii="Arial"/>
          <w:i/>
          <w:w w:val="159"/>
          <w:position w:val="9"/>
          <w:sz w:val="8"/>
        </w:rPr>
        <w:t>4</w:t>
      </w:r>
      <w:r>
        <w:rPr>
          <w:rFonts w:ascii="Arial"/>
          <w:i/>
          <w:position w:val="9"/>
          <w:sz w:val="8"/>
        </w:rPr>
        <w:t>   </w:t>
      </w:r>
      <w:r>
        <w:rPr>
          <w:rFonts w:ascii="Arial"/>
          <w:i/>
          <w:spacing w:val="-6"/>
          <w:position w:val="9"/>
          <w:sz w:val="8"/>
        </w:rPr>
        <w:t> </w:t>
      </w:r>
      <w:r>
        <w:rPr>
          <w:w w:val="94"/>
          <w:sz w:val="26"/>
        </w:rPr>
        <w:t>=</w:t>
      </w:r>
      <w:r>
        <w:rPr>
          <w:spacing w:val="29"/>
          <w:sz w:val="26"/>
        </w:rPr>
        <w:t> </w:t>
      </w:r>
      <w:r>
        <w:rPr>
          <w:w w:val="84"/>
          <w:sz w:val="22"/>
        </w:rPr>
        <w:t>vsz</w:t>
      </w:r>
      <w:r>
        <w:rPr>
          <w:spacing w:val="-10"/>
          <w:w w:val="84"/>
          <w:sz w:val="22"/>
        </w:rPr>
        <w:t>:</w:t>
      </w:r>
      <w:r>
        <w:rPr>
          <w:w w:val="72"/>
          <w:sz w:val="22"/>
        </w:rPr>
        <w:t>4,</w:t>
      </w:r>
    </w:p>
    <w:p>
      <w:pPr>
        <w:pStyle w:val="BodyText"/>
        <w:spacing w:before="4"/>
        <w:rPr>
          <w:sz w:val="22"/>
        </w:rPr>
      </w:pPr>
      <w:r>
        <w:rPr/>
        <w:br w:type="column"/>
      </w:r>
      <w:r>
        <w:rPr>
          <w:sz w:val="22"/>
        </w:rPr>
      </w:r>
    </w:p>
    <w:p>
      <w:pPr>
        <w:spacing w:before="0"/>
        <w:ind w:left="119" w:right="0" w:firstLine="0"/>
        <w:jc w:val="left"/>
        <w:rPr>
          <w:sz w:val="21"/>
        </w:rPr>
      </w:pPr>
      <w:r>
        <w:rPr>
          <w:sz w:val="21"/>
        </w:rPr>
        <w:t>( 15.27)</w:t>
      </w:r>
    </w:p>
    <w:p>
      <w:pPr>
        <w:spacing w:after="0"/>
        <w:jc w:val="left"/>
        <w:rPr>
          <w:sz w:val="21"/>
        </w:rPr>
        <w:sectPr>
          <w:type w:val="continuous"/>
          <w:pgSz w:w="7200" w:h="11340"/>
          <w:pgMar w:top="1100" w:bottom="0" w:left="640" w:right="560"/>
          <w:cols w:num="3" w:equalWidth="0">
            <w:col w:w="617" w:space="923"/>
            <w:col w:w="2831" w:space="758"/>
            <w:col w:w="871"/>
          </w:cols>
        </w:sectPr>
      </w:pPr>
    </w:p>
    <w:p>
      <w:pPr>
        <w:pStyle w:val="BodyText"/>
        <w:spacing w:before="5"/>
        <w:rPr>
          <w:sz w:val="11"/>
        </w:rPr>
      </w:pPr>
    </w:p>
    <w:p>
      <w:pPr>
        <w:spacing w:line="51" w:lineRule="exact" w:before="0"/>
        <w:ind w:left="98" w:right="1174" w:firstLine="0"/>
        <w:jc w:val="center"/>
        <w:rPr>
          <w:rFonts w:ascii="Arial"/>
          <w:b/>
          <w:sz w:val="8"/>
        </w:rPr>
      </w:pPr>
      <w:r>
        <w:rPr>
          <w:rFonts w:ascii="Arial"/>
          <w:b/>
          <w:w w:val="110"/>
          <w:sz w:val="8"/>
        </w:rPr>
        <w:t>00</w:t>
      </w:r>
    </w:p>
    <w:p>
      <w:pPr>
        <w:tabs>
          <w:tab w:pos="656" w:val="left" w:leader="none"/>
        </w:tabs>
        <w:spacing w:line="444" w:lineRule="exact" w:before="0"/>
        <w:ind w:left="0" w:right="1245" w:firstLine="0"/>
        <w:jc w:val="center"/>
        <w:rPr>
          <w:rFonts w:ascii="Arial"/>
          <w:i/>
          <w:sz w:val="28"/>
        </w:rPr>
      </w:pPr>
      <w:r>
        <w:rPr>
          <w:rFonts w:ascii="Arial"/>
          <w:i/>
          <w:w w:val="81"/>
          <w:sz w:val="28"/>
        </w:rPr>
        <w:t>N!i</w:t>
      </w:r>
      <w:r>
        <w:rPr>
          <w:rFonts w:ascii="Arial"/>
          <w:i/>
          <w:sz w:val="28"/>
        </w:rPr>
        <w:tab/>
      </w:r>
      <w:r>
        <w:rPr>
          <w:i/>
          <w:spacing w:val="-200"/>
          <w:w w:val="113"/>
          <w:sz w:val="34"/>
        </w:rPr>
        <w:t>L</w:t>
      </w:r>
      <w:r>
        <w:rPr>
          <w:b/>
          <w:w w:val="94"/>
          <w:position w:val="-11"/>
          <w:sz w:val="22"/>
        </w:rPr>
        <w:t>,-o</w:t>
      </w:r>
      <w:r>
        <w:rPr>
          <w:b/>
          <w:spacing w:val="-23"/>
          <w:position w:val="-11"/>
          <w:sz w:val="22"/>
        </w:rPr>
        <w:t> </w:t>
      </w:r>
      <w:r>
        <w:rPr>
          <w:rFonts w:ascii="Arial"/>
          <w:i/>
          <w:w w:val="71"/>
          <w:sz w:val="28"/>
        </w:rPr>
        <w:t>D!.t</w:t>
      </w:r>
      <w:r>
        <w:rPr>
          <w:rFonts w:ascii="Arial"/>
          <w:i/>
          <w:spacing w:val="-46"/>
          <w:sz w:val="28"/>
        </w:rPr>
        <w:t> </w:t>
      </w:r>
      <w:r>
        <w:rPr>
          <w:rFonts w:ascii="Arial"/>
          <w:i/>
          <w:w w:val="92"/>
          <w:sz w:val="28"/>
        </w:rPr>
        <w:t>,'</w:t>
      </w:r>
    </w:p>
    <w:p>
      <w:pPr>
        <w:spacing w:before="69"/>
        <w:ind w:left="98" w:right="1192" w:firstLine="0"/>
        <w:jc w:val="center"/>
        <w:rPr>
          <w:b/>
          <w:sz w:val="12"/>
        </w:rPr>
      </w:pPr>
      <w:r>
        <w:rPr>
          <w:b/>
          <w:w w:val="95"/>
          <w:sz w:val="12"/>
        </w:rPr>
        <w:t>ao</w:t>
      </w:r>
    </w:p>
    <w:p>
      <w:pPr>
        <w:tabs>
          <w:tab w:pos="2344" w:val="left" w:leader="none"/>
        </w:tabs>
        <w:spacing w:line="121" w:lineRule="exact" w:before="0"/>
        <w:ind w:left="115" w:right="0" w:firstLine="0"/>
        <w:jc w:val="left"/>
        <w:rPr>
          <w:rFonts w:ascii="Arial"/>
          <w:b/>
          <w:sz w:val="10"/>
        </w:rPr>
      </w:pPr>
      <w:r>
        <w:rPr>
          <w:w w:val="110"/>
          <w:sz w:val="21"/>
        </w:rPr>
        <w:t>and</w:t>
        <w:tab/>
      </w:r>
      <w:r>
        <w:rPr>
          <w:b/>
          <w:i/>
          <w:w w:val="110"/>
          <w:position w:val="-2"/>
          <w:sz w:val="16"/>
        </w:rPr>
        <w:t>LJ    </w:t>
      </w:r>
      <w:r>
        <w:rPr>
          <w:rFonts w:ascii="Arial"/>
          <w:b/>
          <w:w w:val="110"/>
          <w:position w:val="12"/>
          <w:sz w:val="10"/>
        </w:rPr>
        <w:t>1     </w:t>
      </w:r>
      <w:r>
        <w:rPr>
          <w:rFonts w:ascii="Arial"/>
          <w:b/>
          <w:spacing w:val="3"/>
          <w:w w:val="110"/>
          <w:position w:val="12"/>
          <w:sz w:val="10"/>
        </w:rPr>
        <w:t> </w:t>
      </w:r>
      <w:r>
        <w:rPr>
          <w:rFonts w:ascii="Arial"/>
          <w:b/>
          <w:w w:val="110"/>
          <w:position w:val="12"/>
          <w:sz w:val="10"/>
        </w:rPr>
        <w:t>.</w:t>
      </w:r>
    </w:p>
    <w:p>
      <w:pPr>
        <w:spacing w:line="266" w:lineRule="exact" w:before="0"/>
        <w:ind w:left="98" w:right="648" w:firstLine="0"/>
        <w:jc w:val="center"/>
        <w:rPr>
          <w:sz w:val="14"/>
        </w:rPr>
      </w:pPr>
      <w:r>
        <w:rPr>
          <w:b/>
          <w:position w:val="-10"/>
          <w:sz w:val="20"/>
        </w:rPr>
        <w:t>,-o </w:t>
      </w:r>
      <w:r>
        <w:rPr>
          <w:b/>
          <w:i/>
          <w:sz w:val="14"/>
        </w:rPr>
        <w:t>V  </w:t>
      </w:r>
      <w:r>
        <w:rPr>
          <w:b/>
          <w:i/>
          <w:w w:val="120"/>
          <w:sz w:val="14"/>
        </w:rPr>
        <w:t>1P  </w:t>
      </w:r>
      <w:r>
        <w:rPr>
          <w:sz w:val="14"/>
        </w:rPr>
        <w:t>•</w:t>
      </w:r>
    </w:p>
    <w:p>
      <w:pPr>
        <w:spacing w:line="228" w:lineRule="auto" w:before="46"/>
        <w:ind w:left="115" w:right="241" w:firstLine="3"/>
        <w:jc w:val="left"/>
        <w:rPr>
          <w:i/>
          <w:sz w:val="20"/>
        </w:rPr>
      </w:pPr>
      <w:r>
        <w:rPr>
          <w:sz w:val="21"/>
        </w:rPr>
        <w:t>It will be scen that </w:t>
      </w:r>
      <w:r>
        <w:rPr>
          <w:sz w:val="29"/>
        </w:rPr>
        <w:t>a! </w:t>
      </w:r>
      <w:r>
        <w:rPr>
          <w:sz w:val="21"/>
        </w:rPr>
        <w:t>represents thc present value of an annuity­ due payable to a disable&lt;l life aged </w:t>
      </w:r>
      <w:r>
        <w:rPr>
          <w:i/>
          <w:sz w:val="20"/>
        </w:rPr>
        <w:t>x.</w:t>
      </w:r>
    </w:p>
    <w:p>
      <w:pPr>
        <w:spacing w:before="0"/>
        <w:ind w:left="119" w:right="119" w:firstLine="205"/>
        <w:jc w:val="left"/>
        <w:rPr>
          <w:sz w:val="21"/>
        </w:rPr>
      </w:pPr>
      <w:r>
        <w:rPr>
          <w:sz w:val="19"/>
        </w:rPr>
        <w:t>If  </w:t>
      </w:r>
      <w:r>
        <w:rPr>
          <w:sz w:val="21"/>
        </w:rPr>
        <w:t>a  net  </w:t>
      </w:r>
      <w:r>
        <w:rPr>
          <w:i/>
          <w:sz w:val="20"/>
        </w:rPr>
        <w:t>annual   </w:t>
      </w:r>
      <w:r>
        <w:rPr>
          <w:sz w:val="21"/>
        </w:rPr>
        <w:t>prcmium   is  required   for  thc  abovc  benefit, it will  </w:t>
      </w:r>
      <w:r>
        <w:rPr>
          <w:sz w:val="19"/>
        </w:rPr>
        <w:t>be  </w:t>
      </w:r>
      <w:r>
        <w:rPr>
          <w:sz w:val="21"/>
        </w:rPr>
        <w:t>payable  only  while  the  insured  remains  an  active life.</w:t>
      </w:r>
    </w:p>
    <w:p>
      <w:pPr>
        <w:spacing w:after="0"/>
        <w:jc w:val="left"/>
        <w:rPr>
          <w:sz w:val="21"/>
        </w:rPr>
        <w:sectPr>
          <w:type w:val="continuous"/>
          <w:pgSz w:w="7200" w:h="11340"/>
          <w:pgMar w:top="1100" w:bottom="0" w:left="640" w:right="560"/>
        </w:sectPr>
      </w:pPr>
    </w:p>
    <w:p>
      <w:pPr>
        <w:tabs>
          <w:tab w:pos="1908" w:val="left" w:leader="none"/>
          <w:tab w:pos="5873" w:val="right" w:leader="none"/>
        </w:tabs>
        <w:spacing w:before="66"/>
        <w:ind w:left="124" w:right="0" w:firstLine="0"/>
        <w:jc w:val="left"/>
        <w:rPr>
          <w:sz w:val="19"/>
        </w:rPr>
      </w:pPr>
      <w:r>
        <w:rPr>
          <w:color w:val="010101"/>
          <w:w w:val="105"/>
          <w:sz w:val="15"/>
        </w:rPr>
        <w:t>SEC. </w:t>
      </w:r>
      <w:r>
        <w:rPr>
          <w:color w:val="010101"/>
          <w:spacing w:val="26"/>
          <w:w w:val="105"/>
          <w:sz w:val="15"/>
        </w:rPr>
        <w:t> </w:t>
      </w:r>
      <w:r>
        <w:rPr>
          <w:color w:val="010101"/>
          <w:w w:val="105"/>
          <w:sz w:val="19"/>
        </w:rPr>
        <w:t>4]</w:t>
        <w:tab/>
      </w:r>
      <w:r>
        <w:rPr>
          <w:color w:val="010101"/>
          <w:w w:val="105"/>
          <w:position w:val="1"/>
          <w:sz w:val="15"/>
        </w:rPr>
        <w:t>1\IONETARY </w:t>
      </w:r>
      <w:r>
        <w:rPr>
          <w:color w:val="010101"/>
          <w:spacing w:val="14"/>
          <w:w w:val="105"/>
          <w:position w:val="1"/>
          <w:sz w:val="15"/>
        </w:rPr>
        <w:t> </w:t>
      </w:r>
      <w:r>
        <w:rPr>
          <w:color w:val="010101"/>
          <w:w w:val="105"/>
          <w:position w:val="1"/>
          <w:sz w:val="15"/>
        </w:rPr>
        <w:t>APPLJCATIO!'\S</w:t>
      </w:r>
      <w:r>
        <w:rPr>
          <w:color w:val="010101"/>
          <w:w w:val="105"/>
          <w:position w:val="1"/>
          <w:sz w:val="19"/>
        </w:rPr>
        <w:tab/>
        <w:t>301</w:t>
      </w:r>
    </w:p>
    <w:p>
      <w:pPr>
        <w:spacing w:before="232"/>
        <w:ind w:left="120" w:right="0" w:firstLine="0"/>
        <w:jc w:val="left"/>
        <w:rPr>
          <w:sz w:val="19"/>
        </w:rPr>
      </w:pPr>
      <w:r>
        <w:rPr>
          <w:color w:val="010101"/>
          <w:w w:val="110"/>
          <w:sz w:val="19"/>
        </w:rPr>
        <w:t>The present  value of  an annuity of  </w:t>
      </w:r>
      <w:r>
        <w:rPr>
          <w:color w:val="010101"/>
          <w:w w:val="110"/>
          <w:sz w:val="20"/>
        </w:rPr>
        <w:t>1 </w:t>
      </w:r>
      <w:r>
        <w:rPr>
          <w:color w:val="010101"/>
          <w:w w:val="110"/>
          <w:sz w:val="19"/>
        </w:rPr>
        <w:t>payable to  (x ) while active is</w:t>
      </w:r>
    </w:p>
    <w:p>
      <w:pPr>
        <w:spacing w:after="0"/>
        <w:jc w:val="left"/>
        <w:rPr>
          <w:sz w:val="19"/>
        </w:rPr>
        <w:sectPr>
          <w:pgSz w:w="7200" w:h="11340"/>
          <w:pgMar w:top="480" w:bottom="280" w:left="640" w:right="560"/>
        </w:sectPr>
      </w:pPr>
    </w:p>
    <w:p>
      <w:pPr>
        <w:spacing w:line="108" w:lineRule="exact" w:before="239"/>
        <w:ind w:left="0" w:right="0" w:firstLine="0"/>
        <w:jc w:val="right"/>
        <w:rPr>
          <w:sz w:val="24"/>
        </w:rPr>
      </w:pPr>
      <w:r>
        <w:rPr>
          <w:b/>
          <w:i/>
          <w:color w:val="010101"/>
          <w:spacing w:val="-51"/>
          <w:w w:val="90"/>
          <w:position w:val="-9"/>
          <w:sz w:val="20"/>
        </w:rPr>
        <w:t>a</w:t>
      </w:r>
      <w:r>
        <w:rPr>
          <w:color w:val="1D1D1D"/>
          <w:w w:val="130"/>
          <w:sz w:val="8"/>
        </w:rPr>
        <w:t>•</w:t>
      </w:r>
      <w:r>
        <w:rPr>
          <w:color w:val="1D1D1D"/>
          <w:spacing w:val="-13"/>
          <w:w w:val="131"/>
          <w:sz w:val="8"/>
        </w:rPr>
        <w:t>.</w:t>
      </w:r>
      <w:r>
        <w:rPr>
          <w:b/>
          <w:i/>
          <w:color w:val="010101"/>
          <w:spacing w:val="-64"/>
          <w:w w:val="89"/>
          <w:position w:val="-9"/>
          <w:sz w:val="20"/>
        </w:rPr>
        <w:t>z</w:t>
      </w:r>
      <w:r>
        <w:rPr>
          <w:color w:val="010101"/>
          <w:w w:val="168"/>
          <w:sz w:val="8"/>
        </w:rPr>
        <w:t>40</w:t>
      </w:r>
      <w:r>
        <w:rPr>
          <w:color w:val="010101"/>
          <w:sz w:val="8"/>
        </w:rPr>
        <w:t>    </w:t>
      </w:r>
      <w:r>
        <w:rPr>
          <w:color w:val="010101"/>
          <w:spacing w:val="-5"/>
          <w:sz w:val="8"/>
        </w:rPr>
        <w:t> </w:t>
      </w:r>
      <w:r>
        <w:rPr>
          <w:color w:val="010101"/>
          <w:w w:val="99"/>
          <w:position w:val="-9"/>
          <w:sz w:val="24"/>
        </w:rPr>
        <w:t>=</w:t>
      </w:r>
    </w:p>
    <w:p>
      <w:pPr>
        <w:spacing w:before="137"/>
        <w:ind w:left="162" w:right="-15" w:firstLine="0"/>
        <w:jc w:val="left"/>
        <w:rPr>
          <w:rFonts w:ascii="Arial"/>
          <w:b/>
          <w:sz w:val="8"/>
        </w:rPr>
      </w:pPr>
      <w:r>
        <w:rPr/>
        <w:br w:type="column"/>
      </w:r>
      <w:r>
        <w:rPr>
          <w:rFonts w:ascii="Arial"/>
          <w:b/>
          <w:color w:val="010101"/>
          <w:w w:val="110"/>
          <w:sz w:val="8"/>
        </w:rPr>
        <w:t>00</w:t>
      </w:r>
    </w:p>
    <w:p>
      <w:pPr>
        <w:spacing w:line="46" w:lineRule="exact" w:before="72"/>
        <w:ind w:left="94" w:right="-15" w:firstLine="0"/>
        <w:jc w:val="left"/>
        <w:rPr>
          <w:i/>
          <w:sz w:val="14"/>
        </w:rPr>
      </w:pPr>
      <w:r>
        <w:rPr/>
        <w:pict>
          <v:shape style="position:absolute;margin-left:177.128601pt;margin-top:-8.204812pt;width:38.950pt;height:18.5pt;mso-position-horizontal-relative:page;mso-position-vertical-relative:paragraph;z-index:-711376" type="#_x0000_t202" filled="false" stroked="false">
            <v:textbox inset="0,0,0,0">
              <w:txbxContent>
                <w:p>
                  <w:pPr>
                    <w:tabs>
                      <w:tab w:pos="642" w:val="left" w:leader="none"/>
                    </w:tabs>
                    <w:spacing w:line="370" w:lineRule="exact" w:before="0"/>
                    <w:ind w:left="0" w:right="0" w:firstLine="0"/>
                    <w:jc w:val="left"/>
                    <w:rPr>
                      <w:b/>
                      <w:i/>
                      <w:sz w:val="12"/>
                    </w:rPr>
                  </w:pPr>
                  <w:r>
                    <w:rPr>
                      <w:color w:val="010101"/>
                      <w:w w:val="80"/>
                      <w:sz w:val="37"/>
                    </w:rPr>
                    <w:t>"'°'</w:t>
                  </w:r>
                  <w:r>
                    <w:rPr>
                      <w:color w:val="010101"/>
                      <w:spacing w:val="28"/>
                      <w:w w:val="80"/>
                      <w:sz w:val="37"/>
                    </w:rPr>
                    <w:t> </w:t>
                  </w:r>
                  <w:r>
                    <w:rPr>
                      <w:i/>
                      <w:color w:val="010101"/>
                      <w:sz w:val="13"/>
                    </w:rPr>
                    <w:t>t</w:t>
                    <w:tab/>
                  </w:r>
                  <w:r>
                    <w:rPr>
                      <w:b/>
                      <w:i/>
                      <w:color w:val="010101"/>
                      <w:sz w:val="12"/>
                    </w:rPr>
                    <w:t>aa</w:t>
                  </w:r>
                </w:p>
              </w:txbxContent>
            </v:textbox>
            <w10:wrap type="none"/>
          </v:shape>
        </w:pict>
      </w:r>
      <w:r>
        <w:rPr>
          <w:b/>
          <w:i/>
          <w:color w:val="010101"/>
          <w:sz w:val="17"/>
        </w:rPr>
        <w:t>LJ </w:t>
      </w:r>
      <w:r>
        <w:rPr>
          <w:i/>
          <w:color w:val="010101"/>
          <w:sz w:val="14"/>
        </w:rPr>
        <w:t>V</w:t>
      </w:r>
    </w:p>
    <w:p>
      <w:pPr>
        <w:spacing w:after="0" w:line="46" w:lineRule="exact"/>
        <w:jc w:val="left"/>
        <w:rPr>
          <w:sz w:val="14"/>
        </w:rPr>
        <w:sectPr>
          <w:type w:val="continuous"/>
          <w:pgSz w:w="7200" w:h="11340"/>
          <w:pgMar w:top="1100" w:bottom="0" w:left="640" w:right="560"/>
          <w:cols w:num="2" w:equalWidth="0">
            <w:col w:w="2769" w:space="40"/>
            <w:col w:w="3191"/>
          </w:cols>
        </w:sectPr>
      </w:pPr>
    </w:p>
    <w:p>
      <w:pPr>
        <w:spacing w:before="16"/>
        <w:ind w:left="0" w:right="0" w:firstLine="0"/>
        <w:jc w:val="right"/>
        <w:rPr>
          <w:b/>
          <w:sz w:val="23"/>
        </w:rPr>
      </w:pPr>
      <w:r>
        <w:rPr/>
        <w:drawing>
          <wp:anchor distT="0" distB="0" distL="0" distR="0" allowOverlap="1" layoutInCell="1" locked="0" behindDoc="0" simplePos="0" relativeHeight="24568">
            <wp:simplePos x="0" y="0"/>
            <wp:positionH relativeFrom="page">
              <wp:posOffset>2066544</wp:posOffset>
            </wp:positionH>
            <wp:positionV relativeFrom="paragraph">
              <wp:posOffset>246273</wp:posOffset>
            </wp:positionV>
            <wp:extent cx="713232" cy="320039"/>
            <wp:effectExtent l="0" t="0" r="0" b="0"/>
            <wp:wrapNone/>
            <wp:docPr id="735" name="image375.png" descr=""/>
            <wp:cNvGraphicFramePr>
              <a:graphicFrameLocks noChangeAspect="1"/>
            </wp:cNvGraphicFramePr>
            <a:graphic>
              <a:graphicData uri="http://schemas.openxmlformats.org/drawingml/2006/picture">
                <pic:pic>
                  <pic:nvPicPr>
                    <pic:cNvPr id="736" name="image375.png"/>
                    <pic:cNvPicPr/>
                  </pic:nvPicPr>
                  <pic:blipFill>
                    <a:blip r:embed="rId379" cstate="print"/>
                    <a:stretch>
                      <a:fillRect/>
                    </a:stretch>
                  </pic:blipFill>
                  <pic:spPr>
                    <a:xfrm>
                      <a:off x="0" y="0"/>
                      <a:ext cx="713232" cy="320039"/>
                    </a:xfrm>
                    <a:prstGeom prst="rect">
                      <a:avLst/>
                    </a:prstGeom>
                  </pic:spPr>
                </pic:pic>
              </a:graphicData>
            </a:graphic>
          </wp:anchor>
        </w:drawing>
      </w:r>
      <w:r>
        <w:rPr>
          <w:b/>
          <w:color w:val="010101"/>
          <w:w w:val="85"/>
          <w:sz w:val="23"/>
        </w:rPr>
        <w:t>,-o</w:t>
      </w:r>
    </w:p>
    <w:p>
      <w:pPr>
        <w:spacing w:line="143" w:lineRule="exact" w:before="0"/>
        <w:ind w:left="251" w:right="0" w:firstLine="0"/>
        <w:jc w:val="left"/>
        <w:rPr>
          <w:i/>
          <w:sz w:val="14"/>
        </w:rPr>
      </w:pPr>
      <w:r>
        <w:rPr/>
        <w:br w:type="column"/>
      </w:r>
      <w:r>
        <w:rPr>
          <w:i/>
          <w:color w:val="010101"/>
          <w:w w:val="120"/>
          <w:sz w:val="14"/>
        </w:rPr>
        <w:t>tPz</w:t>
      </w:r>
    </w:p>
    <w:p>
      <w:pPr>
        <w:spacing w:after="0" w:line="143" w:lineRule="exact"/>
        <w:jc w:val="left"/>
        <w:rPr>
          <w:sz w:val="14"/>
        </w:rPr>
        <w:sectPr>
          <w:type w:val="continuous"/>
          <w:pgSz w:w="7200" w:h="11340"/>
          <w:pgMar w:top="1100" w:bottom="0" w:left="640" w:right="560"/>
          <w:cols w:num="2" w:equalWidth="0">
            <w:col w:w="3107" w:space="40"/>
            <w:col w:w="2853"/>
          </w:cols>
        </w:sectPr>
      </w:pPr>
    </w:p>
    <w:p>
      <w:pPr>
        <w:spacing w:before="873"/>
        <w:ind w:left="0" w:right="137" w:firstLine="0"/>
        <w:jc w:val="right"/>
        <w:rPr>
          <w:sz w:val="19"/>
        </w:rPr>
      </w:pPr>
      <w:r>
        <w:rPr/>
        <w:drawing>
          <wp:anchor distT="0" distB="0" distL="0" distR="0" allowOverlap="1" layoutInCell="1" locked="0" behindDoc="0" simplePos="0" relativeHeight="24592">
            <wp:simplePos x="0" y="0"/>
            <wp:positionH relativeFrom="page">
              <wp:posOffset>2057400</wp:posOffset>
            </wp:positionH>
            <wp:positionV relativeFrom="paragraph">
              <wp:posOffset>488749</wp:posOffset>
            </wp:positionV>
            <wp:extent cx="411480" cy="301751"/>
            <wp:effectExtent l="0" t="0" r="0" b="0"/>
            <wp:wrapNone/>
            <wp:docPr id="737" name="image376.png" descr=""/>
            <wp:cNvGraphicFramePr>
              <a:graphicFrameLocks noChangeAspect="1"/>
            </wp:cNvGraphicFramePr>
            <a:graphic>
              <a:graphicData uri="http://schemas.openxmlformats.org/drawingml/2006/picture">
                <pic:pic>
                  <pic:nvPicPr>
                    <pic:cNvPr id="738" name="image376.png"/>
                    <pic:cNvPicPr/>
                  </pic:nvPicPr>
                  <pic:blipFill>
                    <a:blip r:embed="rId380" cstate="print"/>
                    <a:stretch>
                      <a:fillRect/>
                    </a:stretch>
                  </pic:blipFill>
                  <pic:spPr>
                    <a:xfrm>
                      <a:off x="0" y="0"/>
                      <a:ext cx="411480" cy="301751"/>
                    </a:xfrm>
                    <a:prstGeom prst="rect">
                      <a:avLst/>
                    </a:prstGeom>
                  </pic:spPr>
                </pic:pic>
              </a:graphicData>
            </a:graphic>
          </wp:anchor>
        </w:drawing>
      </w:r>
      <w:r>
        <w:rPr>
          <w:color w:val="010101"/>
          <w:w w:val="115"/>
          <w:sz w:val="19"/>
        </w:rPr>
        <w:t>( 15.28)</w:t>
      </w:r>
    </w:p>
    <w:p>
      <w:pPr>
        <w:pStyle w:val="BodyText"/>
        <w:spacing w:before="11"/>
        <w:rPr>
          <w:sz w:val="24"/>
        </w:rPr>
      </w:pPr>
      <w:r>
        <w:rPr/>
        <w:drawing>
          <wp:anchor distT="0" distB="0" distL="0" distR="0" allowOverlap="1" layoutInCell="1" locked="0" behindDoc="0" simplePos="0" relativeHeight="24520">
            <wp:simplePos x="0" y="0"/>
            <wp:positionH relativeFrom="page">
              <wp:posOffset>1463039</wp:posOffset>
            </wp:positionH>
            <wp:positionV relativeFrom="paragraph">
              <wp:posOffset>207139</wp:posOffset>
            </wp:positionV>
            <wp:extent cx="987552" cy="128015"/>
            <wp:effectExtent l="0" t="0" r="0" b="0"/>
            <wp:wrapTopAndBottom/>
            <wp:docPr id="739" name="image377.png" descr=""/>
            <wp:cNvGraphicFramePr>
              <a:graphicFrameLocks noChangeAspect="1"/>
            </wp:cNvGraphicFramePr>
            <a:graphic>
              <a:graphicData uri="http://schemas.openxmlformats.org/drawingml/2006/picture">
                <pic:pic>
                  <pic:nvPicPr>
                    <pic:cNvPr id="740" name="image377.png"/>
                    <pic:cNvPicPr/>
                  </pic:nvPicPr>
                  <pic:blipFill>
                    <a:blip r:embed="rId381" cstate="print"/>
                    <a:stretch>
                      <a:fillRect/>
                    </a:stretch>
                  </pic:blipFill>
                  <pic:spPr>
                    <a:xfrm>
                      <a:off x="0" y="0"/>
                      <a:ext cx="987552" cy="128015"/>
                    </a:xfrm>
                    <a:prstGeom prst="rect">
                      <a:avLst/>
                    </a:prstGeom>
                  </pic:spPr>
                </pic:pic>
              </a:graphicData>
            </a:graphic>
          </wp:anchor>
        </w:drawing>
      </w:r>
    </w:p>
    <w:p>
      <w:pPr>
        <w:pStyle w:val="BodyText"/>
        <w:rPr>
          <w:sz w:val="9"/>
        </w:rPr>
      </w:pPr>
    </w:p>
    <w:p>
      <w:pPr>
        <w:spacing w:line="83" w:lineRule="exact" w:before="0"/>
        <w:ind w:left="98" w:right="86" w:firstLine="0"/>
        <w:jc w:val="center"/>
        <w:rPr>
          <w:rFonts w:ascii="Arial"/>
          <w:b/>
          <w:sz w:val="8"/>
        </w:rPr>
      </w:pPr>
      <w:r>
        <w:rPr/>
        <w:pict>
          <v:shape style="position:absolute;margin-left:176.769699pt;margin-top:2.117311pt;width:10.9pt;height:17pt;mso-position-horizontal-relative:page;mso-position-vertical-relative:paragraph;z-index:-711352" type="#_x0000_t202" filled="false" stroked="false">
            <v:textbox inset="0,0,0,0">
              <w:txbxContent>
                <w:p>
                  <w:pPr>
                    <w:spacing w:line="340" w:lineRule="exact" w:before="0"/>
                    <w:ind w:left="0" w:right="0" w:firstLine="0"/>
                    <w:jc w:val="left"/>
                    <w:rPr>
                      <w:b/>
                      <w:i/>
                      <w:sz w:val="34"/>
                    </w:rPr>
                  </w:pPr>
                  <w:r>
                    <w:rPr>
                      <w:b/>
                      <w:i/>
                      <w:color w:val="010101"/>
                      <w:w w:val="104"/>
                      <w:sz w:val="34"/>
                    </w:rPr>
                    <w:t>L</w:t>
                  </w:r>
                </w:p>
              </w:txbxContent>
            </v:textbox>
            <w10:wrap type="none"/>
          </v:shape>
        </w:pict>
      </w:r>
      <w:r>
        <w:rPr>
          <w:rFonts w:ascii="Arial"/>
          <w:b/>
          <w:color w:val="010101"/>
          <w:w w:val="110"/>
          <w:sz w:val="8"/>
        </w:rPr>
        <w:t>00</w:t>
      </w:r>
    </w:p>
    <w:p>
      <w:pPr>
        <w:tabs>
          <w:tab w:pos="3178" w:val="left" w:leader="none"/>
        </w:tabs>
        <w:spacing w:line="246" w:lineRule="exact" w:before="0"/>
        <w:ind w:left="1854" w:right="0" w:firstLine="0"/>
        <w:jc w:val="left"/>
        <w:rPr>
          <w:sz w:val="22"/>
        </w:rPr>
      </w:pPr>
      <w:r>
        <w:rPr>
          <w:color w:val="010101"/>
          <w:sz w:val="19"/>
        </w:rPr>
        <w:t>and</w:t>
      </w:r>
      <w:r>
        <w:rPr>
          <w:color w:val="010101"/>
          <w:spacing w:val="2"/>
          <w:sz w:val="19"/>
        </w:rPr>
        <w:t> </w:t>
      </w:r>
      <w:r>
        <w:rPr>
          <w:i/>
          <w:color w:val="010101"/>
          <w:sz w:val="22"/>
        </w:rPr>
        <w:t>Na;'</w:t>
      </w:r>
      <w:r>
        <w:rPr>
          <w:i/>
          <w:color w:val="010101"/>
          <w:spacing w:val="39"/>
          <w:sz w:val="22"/>
        </w:rPr>
        <w:t> </w:t>
      </w:r>
      <w:r>
        <w:rPr>
          <w:color w:val="010101"/>
          <w:sz w:val="26"/>
        </w:rPr>
        <w:t>=</w:t>
        <w:tab/>
      </w:r>
      <w:r>
        <w:rPr>
          <w:i/>
          <w:color w:val="010101"/>
          <w:w w:val="90"/>
          <w:sz w:val="22"/>
        </w:rPr>
        <w:t>D:+,</w:t>
      </w:r>
      <w:r>
        <w:rPr>
          <w:i/>
          <w:color w:val="010101"/>
          <w:spacing w:val="-3"/>
          <w:w w:val="90"/>
          <w:sz w:val="22"/>
        </w:rPr>
        <w:t> </w:t>
      </w:r>
      <w:r>
        <w:rPr>
          <w:color w:val="010101"/>
          <w:w w:val="90"/>
          <w:sz w:val="22"/>
        </w:rPr>
        <w:t>•</w:t>
      </w:r>
    </w:p>
    <w:p>
      <w:pPr>
        <w:spacing w:line="163" w:lineRule="exact" w:before="0"/>
        <w:ind w:left="98" w:right="62" w:firstLine="0"/>
        <w:jc w:val="center"/>
        <w:rPr>
          <w:i/>
          <w:sz w:val="18"/>
        </w:rPr>
      </w:pPr>
      <w:r>
        <w:rPr>
          <w:i/>
          <w:color w:val="010101"/>
          <w:w w:val="110"/>
          <w:sz w:val="18"/>
        </w:rPr>
        <w:t>t-o</w:t>
      </w:r>
    </w:p>
    <w:p>
      <w:pPr>
        <w:spacing w:line="247" w:lineRule="auto" w:before="118"/>
        <w:ind w:left="124" w:right="0" w:hanging="8"/>
        <w:jc w:val="left"/>
        <w:rPr>
          <w:sz w:val="19"/>
        </w:rPr>
      </w:pPr>
      <w:r>
        <w:rPr>
          <w:color w:val="010101"/>
          <w:w w:val="115"/>
          <w:sz w:val="19"/>
        </w:rPr>
        <w:t>Then the net annual premium corresponding to the net single </w:t>
      </w:r>
      <w:r>
        <w:rPr>
          <w:color w:val="010101"/>
          <w:w w:val="124"/>
          <w:sz w:val="19"/>
        </w:rPr>
        <w:t>premm</w:t>
      </w:r>
      <w:r>
        <w:rPr>
          <w:color w:val="010101"/>
          <w:w w:val="124"/>
          <w:position w:val="8"/>
          <w:sz w:val="12"/>
        </w:rPr>
        <w:t>· </w:t>
      </w:r>
      <w:r>
        <w:rPr>
          <w:color w:val="010101"/>
          <w:w w:val="108"/>
          <w:sz w:val="19"/>
        </w:rPr>
        <w:t>m </w:t>
      </w:r>
      <w:r>
        <w:rPr>
          <w:i/>
          <w:color w:val="010101"/>
          <w:w w:val="107"/>
          <w:sz w:val="21"/>
        </w:rPr>
        <w:t>az</w:t>
      </w:r>
      <w:r>
        <w:rPr>
          <w:b/>
          <w:i/>
          <w:color w:val="010101"/>
          <w:w w:val="107"/>
          <w:position w:val="8"/>
          <w:sz w:val="12"/>
        </w:rPr>
        <w:t>ai </w:t>
      </w:r>
      <w:r>
        <w:rPr>
          <w:color w:val="010101"/>
          <w:w w:val="126"/>
          <w:sz w:val="19"/>
        </w:rPr>
        <w:t>1</w:t>
      </w:r>
      <w:r>
        <w:rPr>
          <w:color w:val="010101"/>
          <w:w w:val="126"/>
          <w:position w:val="8"/>
          <w:sz w:val="12"/>
        </w:rPr>
        <w:t>·</w:t>
      </w:r>
      <w:r>
        <w:rPr>
          <w:color w:val="010101"/>
          <w:w w:val="126"/>
          <w:sz w:val="19"/>
        </w:rPr>
        <w:t>s</w:t>
      </w:r>
    </w:p>
    <w:p>
      <w:pPr>
        <w:spacing w:line="333" w:lineRule="exact" w:before="33"/>
        <w:ind w:left="98" w:right="197" w:firstLine="0"/>
        <w:jc w:val="center"/>
        <w:rPr>
          <w:i/>
          <w:sz w:val="29"/>
        </w:rPr>
      </w:pPr>
      <w:r>
        <w:rPr>
          <w:i/>
          <w:color w:val="010101"/>
          <w:sz w:val="20"/>
          <w:u w:val="thick" w:color="000000"/>
        </w:rPr>
        <w:t>a:</w:t>
      </w:r>
      <w:r>
        <w:rPr>
          <w:i/>
          <w:color w:val="010101"/>
          <w:sz w:val="20"/>
        </w:rPr>
        <w:t>i </w:t>
      </w:r>
      <w:r>
        <w:rPr>
          <w:color w:val="010101"/>
          <w:sz w:val="26"/>
        </w:rPr>
        <w:t>= </w:t>
      </w:r>
      <w:r>
        <w:rPr>
          <w:b/>
          <w:i/>
          <w:color w:val="010101"/>
          <w:sz w:val="22"/>
        </w:rPr>
        <w:t>N!i </w:t>
      </w:r>
      <w:r>
        <w:rPr>
          <w:color w:val="010101"/>
          <w:w w:val="225"/>
          <w:sz w:val="22"/>
        </w:rPr>
        <w:t>- </w:t>
      </w:r>
      <w:r>
        <w:rPr>
          <w:i/>
          <w:color w:val="010101"/>
          <w:sz w:val="21"/>
        </w:rPr>
        <w:t>D!i </w:t>
      </w:r>
      <w:r>
        <w:rPr>
          <w:i/>
          <w:color w:val="010101"/>
          <w:w w:val="95"/>
          <w:sz w:val="29"/>
        </w:rPr>
        <w:t>·</w:t>
      </w:r>
      <w:r>
        <w:rPr>
          <w:i/>
          <w:color w:val="010101"/>
          <w:w w:val="95"/>
          <w:sz w:val="29"/>
          <w:u w:val="thick" w:color="000000"/>
        </w:rPr>
        <w:t>a!</w:t>
      </w:r>
    </w:p>
    <w:p>
      <w:pPr>
        <w:tabs>
          <w:tab w:pos="1008" w:val="left" w:leader="none"/>
        </w:tabs>
        <w:spacing w:line="287" w:lineRule="exact" w:before="0"/>
        <w:ind w:left="0" w:right="552" w:firstLine="0"/>
        <w:jc w:val="center"/>
        <w:rPr>
          <w:rFonts w:ascii="Arial" w:hAnsi="Arial"/>
          <w:i/>
          <w:sz w:val="24"/>
        </w:rPr>
      </w:pPr>
      <w:r>
        <w:rPr>
          <w:i/>
          <w:color w:val="010101"/>
          <w:sz w:val="25"/>
        </w:rPr>
        <w:t>a°:</w:t>
        <w:tab/>
      </w:r>
      <w:r>
        <w:rPr>
          <w:rFonts w:ascii="Arial" w:hAnsi="Arial"/>
          <w:i/>
          <w:color w:val="010101"/>
          <w:sz w:val="24"/>
        </w:rPr>
        <w:t>N':</w:t>
      </w:r>
    </w:p>
    <w:p>
      <w:pPr>
        <w:spacing w:line="259" w:lineRule="auto" w:before="116"/>
        <w:ind w:left="120" w:right="121" w:firstLine="201"/>
        <w:jc w:val="both"/>
        <w:rPr>
          <w:sz w:val="19"/>
        </w:rPr>
      </w:pPr>
      <w:r>
        <w:rPr>
          <w:rFonts w:ascii="Arial" w:hAnsi="Arial"/>
          <w:b/>
          <w:color w:val="010101"/>
          <w:spacing w:val="4"/>
          <w:w w:val="110"/>
          <w:sz w:val="19"/>
        </w:rPr>
        <w:t>W</w:t>
      </w:r>
      <w:r>
        <w:rPr>
          <w:color w:val="010101"/>
          <w:spacing w:val="4"/>
          <w:w w:val="110"/>
          <w:sz w:val="19"/>
        </w:rPr>
        <w:t>e </w:t>
      </w:r>
      <w:r>
        <w:rPr>
          <w:color w:val="010101"/>
          <w:w w:val="110"/>
          <w:sz w:val="19"/>
        </w:rPr>
        <w:t>consider next an example  using  the  combined</w:t>
      </w:r>
      <w:r>
        <w:rPr>
          <w:color w:val="010101"/>
          <w:spacing w:val="52"/>
          <w:w w:val="110"/>
          <w:sz w:val="19"/>
        </w:rPr>
        <w:t> </w:t>
      </w:r>
      <w:r>
        <w:rPr>
          <w:color w:val="010101"/>
          <w:w w:val="110"/>
          <w:sz w:val="19"/>
        </w:rPr>
        <w:t>marriage  and mortality table. Let us determine  the  net  single premium  for an insurance of </w:t>
      </w:r>
      <w:r>
        <w:rPr>
          <w:color w:val="010101"/>
          <w:w w:val="110"/>
          <w:sz w:val="20"/>
        </w:rPr>
        <w:t>1 </w:t>
      </w:r>
      <w:r>
        <w:rPr>
          <w:color w:val="010101"/>
          <w:w w:val="110"/>
          <w:sz w:val="19"/>
        </w:rPr>
        <w:t>for a bachelor aged </w:t>
      </w:r>
      <w:r>
        <w:rPr>
          <w:i/>
          <w:color w:val="010101"/>
          <w:w w:val="110"/>
          <w:sz w:val="20"/>
        </w:rPr>
        <w:t>x , </w:t>
      </w:r>
      <w:r>
        <w:rPr>
          <w:color w:val="010101"/>
          <w:w w:val="110"/>
          <w:sz w:val="19"/>
        </w:rPr>
        <w:t>the insurance to be pay­ able at the end of  the  year  of  death  provided</w:t>
      </w:r>
      <w:r>
        <w:rPr>
          <w:color w:val="010101"/>
          <w:spacing w:val="52"/>
          <w:w w:val="110"/>
          <w:sz w:val="19"/>
        </w:rPr>
        <w:t> </w:t>
      </w:r>
      <w:r>
        <w:rPr>
          <w:color w:val="010101"/>
          <w:w w:val="110"/>
          <w:sz w:val="19"/>
        </w:rPr>
        <w:t>that  the  insured dies a married  man.  </w:t>
      </w:r>
      <w:r>
        <w:rPr>
          <w:color w:val="010101"/>
          <w:spacing w:val="2"/>
          <w:w w:val="110"/>
          <w:sz w:val="19"/>
        </w:rPr>
        <w:t>We </w:t>
      </w:r>
      <w:r>
        <w:rPr>
          <w:color w:val="010101"/>
          <w:w w:val="110"/>
          <w:sz w:val="19"/>
        </w:rPr>
        <w:t>first  require  an  expression  for the</w:t>
      </w:r>
      <w:r>
        <w:rPr>
          <w:color w:val="010101"/>
          <w:spacing w:val="-5"/>
          <w:w w:val="110"/>
          <w:sz w:val="19"/>
        </w:rPr>
        <w:t> </w:t>
      </w:r>
      <w:r>
        <w:rPr>
          <w:color w:val="010101"/>
          <w:w w:val="110"/>
          <w:sz w:val="19"/>
        </w:rPr>
        <w:t>proba­</w:t>
      </w:r>
    </w:p>
    <w:p>
      <w:pPr>
        <w:spacing w:line="234" w:lineRule="exact" w:before="0"/>
        <w:ind w:left="83" w:right="87" w:firstLine="0"/>
        <w:jc w:val="center"/>
        <w:rPr>
          <w:sz w:val="19"/>
        </w:rPr>
      </w:pPr>
      <w:r>
        <w:rPr>
          <w:color w:val="010101"/>
          <w:w w:val="110"/>
          <w:sz w:val="19"/>
        </w:rPr>
        <w:t>bility that a bachelor aged </w:t>
      </w:r>
      <w:r>
        <w:rPr>
          <w:rFonts w:ascii="Arial"/>
          <w:i/>
          <w:color w:val="010101"/>
          <w:w w:val="110"/>
          <w:sz w:val="18"/>
        </w:rPr>
        <w:t>x </w:t>
      </w:r>
      <w:r>
        <w:rPr>
          <w:color w:val="010101"/>
          <w:w w:val="110"/>
          <w:sz w:val="19"/>
        </w:rPr>
        <w:t>will die a married man in the  </w:t>
      </w:r>
      <w:r>
        <w:rPr>
          <w:rFonts w:ascii="Arial"/>
          <w:i/>
          <w:color w:val="010101"/>
          <w:w w:val="110"/>
          <w:sz w:val="19"/>
        </w:rPr>
        <w:t>(t </w:t>
      </w:r>
      <w:r>
        <w:rPr>
          <w:color w:val="010101"/>
          <w:w w:val="110"/>
          <w:sz w:val="29"/>
        </w:rPr>
        <w:t>+ </w:t>
      </w:r>
      <w:r>
        <w:rPr>
          <w:color w:val="010101"/>
          <w:w w:val="110"/>
          <w:sz w:val="20"/>
        </w:rPr>
        <w:t>1</w:t>
      </w:r>
      <w:r>
        <w:rPr>
          <w:color w:val="010101"/>
          <w:w w:val="110"/>
          <w:sz w:val="19"/>
        </w:rPr>
        <w:t>)-th</w:t>
      </w:r>
    </w:p>
    <w:p>
      <w:pPr>
        <w:spacing w:line="230" w:lineRule="exact" w:before="0"/>
        <w:ind w:left="74" w:right="87" w:firstLine="0"/>
        <w:jc w:val="center"/>
        <w:rPr>
          <w:sz w:val="19"/>
        </w:rPr>
      </w:pPr>
      <w:r>
        <w:rPr/>
        <w:pict>
          <v:shape style="position:absolute;margin-left:290.907288pt;margin-top:9.599916pt;width:.9pt;height:2.5pt;mso-position-horizontal-relative:page;mso-position-vertical-relative:paragraph;z-index:-711328" type="#_x0000_t202" filled="false" stroked="false">
            <v:textbox inset="0,0,0,0">
              <w:txbxContent>
                <w:p>
                  <w:pPr>
                    <w:spacing w:line="50" w:lineRule="exact" w:before="0"/>
                    <w:ind w:left="0" w:right="0" w:firstLine="0"/>
                    <w:jc w:val="left"/>
                    <w:rPr>
                      <w:rFonts w:ascii="Arial"/>
                      <w:i/>
                      <w:sz w:val="5"/>
                    </w:rPr>
                  </w:pPr>
                  <w:r>
                    <w:rPr>
                      <w:rFonts w:ascii="Arial"/>
                      <w:i/>
                      <w:color w:val="010101"/>
                      <w:w w:val="62"/>
                      <w:sz w:val="5"/>
                    </w:rPr>
                    <w:t>1</w:t>
                  </w:r>
                </w:p>
              </w:txbxContent>
            </v:textbox>
            <w10:wrap type="none"/>
          </v:shape>
        </w:pict>
      </w:r>
      <w:r>
        <w:rPr>
          <w:color w:val="010101"/>
          <w:w w:val="105"/>
          <w:sz w:val="19"/>
        </w:rPr>
        <w:t>year   from  now.  This  is  analogous   to  the  probability   </w:t>
      </w:r>
      <w:r>
        <w:rPr>
          <w:i/>
          <w:color w:val="010101"/>
          <w:w w:val="105"/>
          <w:sz w:val="12"/>
        </w:rPr>
        <w:t>n  </w:t>
      </w:r>
      <w:r>
        <w:rPr>
          <w:rFonts w:ascii="Arial"/>
          <w:i/>
          <w:color w:val="010101"/>
          <w:w w:val="85"/>
          <w:sz w:val="21"/>
        </w:rPr>
        <w:t>q;T h&gt;   </w:t>
      </w:r>
      <w:r>
        <w:rPr>
          <w:color w:val="010101"/>
          <w:w w:val="105"/>
          <w:sz w:val="19"/>
        </w:rPr>
        <w:t>of</w:t>
      </w:r>
    </w:p>
    <w:p>
      <w:pPr>
        <w:spacing w:before="22"/>
        <w:ind w:left="124" w:right="0" w:firstLine="0"/>
        <w:jc w:val="left"/>
        <w:rPr>
          <w:sz w:val="19"/>
        </w:rPr>
      </w:pPr>
      <w:r>
        <w:rPr>
          <w:color w:val="010101"/>
          <w:w w:val="110"/>
          <w:sz w:val="19"/>
        </w:rPr>
        <w:t>Section  1, and recalling formula  (15.13 ), we write</w:t>
      </w:r>
    </w:p>
    <w:p>
      <w:pPr>
        <w:tabs>
          <w:tab w:pos="2202" w:val="left" w:leader="none"/>
        </w:tabs>
        <w:spacing w:line="277" w:lineRule="exact" w:before="49"/>
        <w:ind w:left="1700" w:right="0" w:firstLine="0"/>
        <w:jc w:val="left"/>
        <w:rPr>
          <w:sz w:val="30"/>
        </w:rPr>
      </w:pPr>
      <w:r>
        <w:rPr>
          <w:i/>
          <w:color w:val="010101"/>
          <w:sz w:val="12"/>
        </w:rPr>
        <w:t>bm</w:t>
        <w:tab/>
      </w:r>
      <w:r>
        <w:rPr>
          <w:i/>
          <w:color w:val="010101"/>
          <w:sz w:val="19"/>
        </w:rPr>
        <w:t>(</w:t>
      </w:r>
      <w:r>
        <w:rPr>
          <w:i/>
          <w:color w:val="010101"/>
          <w:spacing w:val="-22"/>
          <w:sz w:val="19"/>
        </w:rPr>
        <w:t> </w:t>
      </w:r>
      <w:r>
        <w:rPr>
          <w:i/>
          <w:color w:val="010101"/>
          <w:sz w:val="19"/>
        </w:rPr>
        <w:t>md</w:t>
      </w:r>
      <w:r>
        <w:rPr>
          <w:i/>
          <w:color w:val="010101"/>
          <w:spacing w:val="-14"/>
          <w:sz w:val="19"/>
        </w:rPr>
        <w:t> </w:t>
      </w:r>
      <w:r>
        <w:rPr>
          <w:i/>
          <w:color w:val="010101"/>
          <w:sz w:val="19"/>
        </w:rPr>
        <w:t>)z+t </w:t>
      </w:r>
      <w:r>
        <w:rPr>
          <w:i/>
          <w:color w:val="010101"/>
          <w:spacing w:val="14"/>
          <w:sz w:val="19"/>
        </w:rPr>
        <w:t> </w:t>
      </w:r>
      <w:r>
        <w:rPr>
          <w:color w:val="010101"/>
          <w:w w:val="270"/>
          <w:sz w:val="19"/>
        </w:rPr>
        <w:t>-</w:t>
      </w:r>
      <w:r>
        <w:rPr>
          <w:color w:val="010101"/>
          <w:spacing w:val="-75"/>
          <w:w w:val="270"/>
          <w:sz w:val="19"/>
        </w:rPr>
        <w:t> </w:t>
      </w:r>
      <w:r>
        <w:rPr>
          <w:color w:val="010101"/>
          <w:w w:val="70"/>
          <w:sz w:val="20"/>
        </w:rPr>
        <w:t>C</w:t>
      </w:r>
      <w:r>
        <w:rPr>
          <w:color w:val="010101"/>
          <w:spacing w:val="-18"/>
          <w:w w:val="70"/>
          <w:sz w:val="20"/>
        </w:rPr>
        <w:t> </w:t>
      </w:r>
      <w:r>
        <w:rPr>
          <w:color w:val="010101"/>
          <w:sz w:val="20"/>
        </w:rPr>
        <w:t>mOz·</w:t>
      </w:r>
      <w:r>
        <w:rPr>
          <w:color w:val="010101"/>
          <w:spacing w:val="-28"/>
          <w:sz w:val="20"/>
        </w:rPr>
        <w:t> </w:t>
      </w:r>
      <w:r>
        <w:rPr>
          <w:color w:val="010101"/>
          <w:sz w:val="17"/>
        </w:rPr>
        <w:t>,1</w:t>
      </w:r>
      <w:r>
        <w:rPr>
          <w:color w:val="010101"/>
          <w:spacing w:val="-29"/>
          <w:sz w:val="17"/>
        </w:rPr>
        <w:t> </w:t>
      </w:r>
      <w:r>
        <w:rPr>
          <w:color w:val="010101"/>
          <w:w w:val="115"/>
          <w:sz w:val="17"/>
        </w:rPr>
        <w:t>(</w:t>
      </w:r>
      <w:r>
        <w:rPr>
          <w:color w:val="010101"/>
          <w:spacing w:val="-33"/>
          <w:w w:val="115"/>
          <w:sz w:val="17"/>
        </w:rPr>
        <w:t> </w:t>
      </w:r>
      <w:r>
        <w:rPr>
          <w:color w:val="010101"/>
          <w:sz w:val="17"/>
        </w:rPr>
        <w:t>mq</w:t>
      </w:r>
      <w:r>
        <w:rPr>
          <w:color w:val="010101"/>
          <w:spacing w:val="-17"/>
          <w:sz w:val="17"/>
        </w:rPr>
        <w:t> </w:t>
      </w:r>
      <w:r>
        <w:rPr>
          <w:color w:val="010101"/>
          <w:w w:val="150"/>
          <w:sz w:val="30"/>
        </w:rPr>
        <w:t>t</w:t>
      </w:r>
    </w:p>
    <w:p>
      <w:pPr>
        <w:tabs>
          <w:tab w:pos="483" w:val="left" w:leader="none"/>
          <w:tab w:pos="1643" w:val="left" w:leader="none"/>
          <w:tab w:pos="2985" w:val="left" w:leader="none"/>
        </w:tabs>
        <w:spacing w:line="231" w:lineRule="exact" w:before="0"/>
        <w:ind w:left="21" w:right="0" w:firstLine="0"/>
        <w:jc w:val="center"/>
        <w:rPr>
          <w:rFonts w:ascii="Arial"/>
          <w:sz w:val="8"/>
        </w:rPr>
      </w:pPr>
      <w:r>
        <w:rPr/>
        <w:pict>
          <v:line style="position:absolute;mso-position-horizontal-relative:page;mso-position-vertical-relative:paragraph;z-index:-711448" from="221.455597pt,.491093pt" to="225.224297pt,.491093pt" stroked="true" strokeweight=".717846pt" strokecolor="#000000">
            <w10:wrap type="none"/>
          </v:line>
        </w:pict>
      </w:r>
      <w:r>
        <w:rPr>
          <w:i/>
          <w:color w:val="010101"/>
          <w:sz w:val="14"/>
        </w:rPr>
        <w:t>t</w:t>
      </w:r>
      <w:r>
        <w:rPr>
          <w:i/>
          <w:color w:val="010101"/>
          <w:spacing w:val="-8"/>
          <w:sz w:val="14"/>
        </w:rPr>
        <w:t> </w:t>
      </w:r>
      <w:r>
        <w:rPr>
          <w:i/>
          <w:color w:val="010101"/>
          <w:sz w:val="14"/>
        </w:rPr>
        <w:t>jqz</w:t>
        <w:tab/>
      </w:r>
      <w:r>
        <w:rPr>
          <w:color w:val="010101"/>
          <w:sz w:val="26"/>
        </w:rPr>
        <w:t>=</w:t>
        <w:tab/>
      </w:r>
      <w:r>
        <w:rPr>
          <w:i/>
          <w:color w:val="010101"/>
          <w:sz w:val="20"/>
        </w:rPr>
        <w:t>(</w:t>
      </w:r>
      <w:r>
        <w:rPr>
          <w:i/>
          <w:color w:val="010101"/>
          <w:spacing w:val="-36"/>
          <w:sz w:val="20"/>
        </w:rPr>
        <w:t> </w:t>
      </w:r>
      <w:r>
        <w:rPr>
          <w:i/>
          <w:color w:val="010101"/>
          <w:sz w:val="20"/>
        </w:rPr>
        <w:t>bl)</w:t>
      </w:r>
      <w:r>
        <w:rPr>
          <w:i/>
          <w:color w:val="010101"/>
          <w:spacing w:val="-26"/>
          <w:sz w:val="20"/>
        </w:rPr>
        <w:t> </w:t>
      </w:r>
      <w:r>
        <w:rPr>
          <w:rFonts w:ascii="Arial"/>
          <w:i/>
          <w:color w:val="010101"/>
          <w:sz w:val="8"/>
        </w:rPr>
        <w:t>X</w:t>
        <w:tab/>
      </w:r>
      <w:r>
        <w:rPr>
          <w:rFonts w:ascii="Arial"/>
          <w:color w:val="010101"/>
          <w:w w:val="265"/>
          <w:sz w:val="8"/>
        </w:rPr>
        <w:t>,</w:t>
      </w:r>
    </w:p>
    <w:p>
      <w:pPr>
        <w:spacing w:before="132"/>
        <w:ind w:left="82" w:right="192" w:firstLine="0"/>
        <w:jc w:val="center"/>
        <w:rPr>
          <w:sz w:val="19"/>
        </w:rPr>
      </w:pPr>
      <w:r>
        <w:rPr/>
        <w:drawing>
          <wp:anchor distT="0" distB="0" distL="0" distR="0" allowOverlap="1" layoutInCell="1" locked="0" behindDoc="0" simplePos="0" relativeHeight="24544">
            <wp:simplePos x="0" y="0"/>
            <wp:positionH relativeFrom="page">
              <wp:posOffset>1005839</wp:posOffset>
            </wp:positionH>
            <wp:positionV relativeFrom="paragraph">
              <wp:posOffset>322606</wp:posOffset>
            </wp:positionV>
            <wp:extent cx="1042415" cy="292607"/>
            <wp:effectExtent l="0" t="0" r="0" b="0"/>
            <wp:wrapTopAndBottom/>
            <wp:docPr id="741" name="image378.png" descr=""/>
            <wp:cNvGraphicFramePr>
              <a:graphicFrameLocks noChangeAspect="1"/>
            </wp:cNvGraphicFramePr>
            <a:graphic>
              <a:graphicData uri="http://schemas.openxmlformats.org/drawingml/2006/picture">
                <pic:pic>
                  <pic:nvPicPr>
                    <pic:cNvPr id="742" name="image378.png"/>
                    <pic:cNvPicPr/>
                  </pic:nvPicPr>
                  <pic:blipFill>
                    <a:blip r:embed="rId382" cstate="print"/>
                    <a:stretch>
                      <a:fillRect/>
                    </a:stretch>
                  </pic:blipFill>
                  <pic:spPr>
                    <a:xfrm>
                      <a:off x="0" y="0"/>
                      <a:ext cx="1042415" cy="292607"/>
                    </a:xfrm>
                    <a:prstGeom prst="rect">
                      <a:avLst/>
                    </a:prstGeom>
                  </pic:spPr>
                </pic:pic>
              </a:graphicData>
            </a:graphic>
          </wp:anchor>
        </w:drawing>
      </w:r>
      <w:r>
        <w:rPr>
          <w:color w:val="010101"/>
          <w:w w:val="105"/>
          <w:sz w:val="19"/>
        </w:rPr>
        <w:t>Denoting  the  required  net  single  premium  by  </w:t>
      </w:r>
      <w:r>
        <w:rPr>
          <w:rFonts w:ascii="Arial"/>
          <w:i/>
          <w:color w:val="010101"/>
          <w:w w:val="105"/>
          <w:sz w:val="24"/>
        </w:rPr>
        <w:t>A!"'</w:t>
      </w:r>
      <w:r>
        <w:rPr>
          <w:rFonts w:ascii="Arial"/>
          <w:i/>
          <w:color w:val="1D1D1D"/>
          <w:w w:val="105"/>
          <w:sz w:val="24"/>
        </w:rPr>
        <w:t>, </w:t>
      </w:r>
      <w:r>
        <w:rPr>
          <w:color w:val="010101"/>
          <w:w w:val="105"/>
          <w:sz w:val="19"/>
        </w:rPr>
        <w:t>we  now have</w:t>
      </w:r>
    </w:p>
    <w:p>
      <w:pPr>
        <w:spacing w:line="280" w:lineRule="exact" w:before="0"/>
        <w:ind w:left="43" w:right="192" w:firstLine="0"/>
        <w:jc w:val="center"/>
        <w:rPr>
          <w:sz w:val="20"/>
        </w:rPr>
      </w:pPr>
      <w:r>
        <w:rPr>
          <w:color w:val="010101"/>
          <w:sz w:val="26"/>
        </w:rPr>
        <w:t>= </w:t>
      </w:r>
      <w:r>
        <w:rPr>
          <w:color w:val="010101"/>
          <w:w w:val="85"/>
          <w:sz w:val="39"/>
        </w:rPr>
        <w:t>'E,</w:t>
      </w:r>
      <w:r>
        <w:rPr>
          <w:color w:val="010101"/>
          <w:spacing w:val="-57"/>
          <w:w w:val="85"/>
          <w:sz w:val="39"/>
        </w:rPr>
        <w:t> </w:t>
      </w:r>
      <w:r>
        <w:rPr>
          <w:i/>
          <w:color w:val="010101"/>
          <w:sz w:val="19"/>
        </w:rPr>
        <w:t>vt+l </w:t>
      </w:r>
      <w:r>
        <w:rPr>
          <w:i/>
          <w:color w:val="010101"/>
          <w:w w:val="85"/>
          <w:sz w:val="19"/>
        </w:rPr>
        <w:t>( </w:t>
      </w:r>
      <w:r>
        <w:rPr>
          <w:i/>
          <w:color w:val="010101"/>
          <w:sz w:val="19"/>
        </w:rPr>
        <w:t>md )z+t </w:t>
      </w:r>
      <w:r>
        <w:rPr>
          <w:color w:val="010101"/>
          <w:w w:val="260"/>
          <w:sz w:val="19"/>
        </w:rPr>
        <w:t>-</w:t>
      </w:r>
      <w:r>
        <w:rPr>
          <w:color w:val="010101"/>
          <w:spacing w:val="-89"/>
          <w:w w:val="260"/>
          <w:sz w:val="19"/>
        </w:rPr>
        <w:t> </w:t>
      </w:r>
      <w:r>
        <w:rPr>
          <w:color w:val="010101"/>
          <w:sz w:val="20"/>
        </w:rPr>
        <w:t>(mO:r ·,1( mq )z</w:t>
      </w:r>
    </w:p>
    <w:p>
      <w:pPr>
        <w:tabs>
          <w:tab w:pos="1568" w:val="left" w:leader="none"/>
        </w:tabs>
        <w:spacing w:line="248" w:lineRule="exact" w:before="0"/>
        <w:ind w:left="0" w:right="820" w:firstLine="0"/>
        <w:jc w:val="center"/>
        <w:rPr>
          <w:sz w:val="8"/>
        </w:rPr>
      </w:pPr>
      <w:r>
        <w:rPr/>
        <w:pict>
          <v:line style="position:absolute;mso-position-horizontal-relative:page;mso-position-vertical-relative:paragraph;z-index:-711424" from="243.529404pt,-.913404pt" to="246.221304pt,-.913404pt" stroked="true" strokeweight=".717846pt" strokecolor="#000000">
            <w10:wrap type="none"/>
          </v:line>
        </w:pict>
      </w:r>
      <w:r>
        <w:rPr>
          <w:color w:val="010101"/>
          <w:w w:val="95"/>
          <w:sz w:val="29"/>
        </w:rPr>
        <w:t>,-o</w:t>
        <w:tab/>
      </w:r>
      <w:r>
        <w:rPr>
          <w:rFonts w:ascii="Arial"/>
          <w:i/>
          <w:color w:val="010101"/>
          <w:w w:val="95"/>
          <w:sz w:val="19"/>
        </w:rPr>
        <w:t>(bl)</w:t>
      </w:r>
      <w:r>
        <w:rPr>
          <w:rFonts w:ascii="Arial"/>
          <w:i/>
          <w:color w:val="010101"/>
          <w:spacing w:val="-9"/>
          <w:w w:val="95"/>
          <w:sz w:val="19"/>
        </w:rPr>
        <w:t> </w:t>
      </w:r>
      <w:r>
        <w:rPr>
          <w:color w:val="010101"/>
          <w:w w:val="95"/>
          <w:sz w:val="8"/>
        </w:rPr>
        <w:t>%</w:t>
      </w:r>
    </w:p>
    <w:p>
      <w:pPr>
        <w:spacing w:line="310" w:lineRule="exact" w:before="0"/>
        <w:ind w:left="1377" w:right="0" w:firstLine="0"/>
        <w:jc w:val="left"/>
        <w:rPr>
          <w:sz w:val="8"/>
        </w:rPr>
      </w:pPr>
      <w:r>
        <w:rPr>
          <w:color w:val="010101"/>
          <w:w w:val="99"/>
          <w:position w:val="-7"/>
          <w:sz w:val="24"/>
        </w:rPr>
        <w:t>=</w:t>
      </w:r>
      <w:r>
        <w:rPr>
          <w:color w:val="010101"/>
          <w:position w:val="-7"/>
          <w:sz w:val="24"/>
        </w:rPr>
        <w:t> </w:t>
      </w:r>
      <w:r>
        <w:rPr>
          <w:color w:val="010101"/>
          <w:spacing w:val="-19"/>
          <w:position w:val="-7"/>
          <w:sz w:val="24"/>
        </w:rPr>
        <w:t> </w:t>
      </w:r>
      <w:r>
        <w:rPr>
          <w:b/>
          <w:i/>
          <w:color w:val="010101"/>
          <w:spacing w:val="-87"/>
          <w:w w:val="74"/>
          <w:position w:val="-7"/>
          <w:sz w:val="33"/>
        </w:rPr>
        <w:t>L</w:t>
      </w:r>
      <w:r>
        <w:rPr>
          <w:b/>
          <w:color w:val="010101"/>
          <w:w w:val="82"/>
          <w:sz w:val="12"/>
        </w:rPr>
        <w:t>o</w:t>
      </w:r>
      <w:r>
        <w:rPr>
          <w:b/>
          <w:color w:val="010101"/>
          <w:spacing w:val="-13"/>
          <w:w w:val="82"/>
          <w:sz w:val="12"/>
        </w:rPr>
        <w:t>o</w:t>
      </w:r>
      <w:r>
        <w:rPr>
          <w:b/>
          <w:i/>
          <w:color w:val="010101"/>
          <w:w w:val="74"/>
          <w:position w:val="-7"/>
          <w:sz w:val="33"/>
        </w:rPr>
        <w:t>V</w:t>
      </w:r>
      <w:r>
        <w:rPr>
          <w:b/>
          <w:i/>
          <w:color w:val="010101"/>
          <w:spacing w:val="-33"/>
          <w:position w:val="-7"/>
          <w:sz w:val="33"/>
        </w:rPr>
        <w:t> </w:t>
      </w:r>
      <w:r>
        <w:rPr>
          <w:b/>
          <w:i/>
          <w:color w:val="010101"/>
          <w:w w:val="106"/>
          <w:sz w:val="16"/>
        </w:rPr>
        <w:t>z+t+l</w:t>
      </w:r>
      <w:r>
        <w:rPr>
          <w:b/>
          <w:i/>
          <w:color w:val="010101"/>
          <w:spacing w:val="2"/>
          <w:sz w:val="16"/>
        </w:rPr>
        <w:t> </w:t>
      </w:r>
      <w:r>
        <w:rPr>
          <w:b/>
          <w:i/>
          <w:color w:val="010101"/>
          <w:w w:val="79"/>
          <w:sz w:val="16"/>
        </w:rPr>
        <w:t>(</w:t>
      </w:r>
      <w:r>
        <w:rPr>
          <w:b/>
          <w:i/>
          <w:color w:val="010101"/>
          <w:spacing w:val="-8"/>
          <w:sz w:val="16"/>
        </w:rPr>
        <w:t> </w:t>
      </w:r>
      <w:r>
        <w:rPr>
          <w:b/>
          <w:i/>
          <w:color w:val="010101"/>
          <w:spacing w:val="5"/>
          <w:w w:val="105"/>
          <w:position w:val="-7"/>
          <w:sz w:val="19"/>
        </w:rPr>
        <w:t>m</w:t>
      </w:r>
      <w:r>
        <w:rPr>
          <w:b/>
          <w:i/>
          <w:color w:val="010101"/>
          <w:w w:val="85"/>
          <w:sz w:val="20"/>
        </w:rPr>
        <w:t>d</w:t>
      </w:r>
      <w:r>
        <w:rPr>
          <w:b/>
          <w:i/>
          <w:color w:val="010101"/>
          <w:spacing w:val="-17"/>
          <w:sz w:val="20"/>
        </w:rPr>
        <w:t> </w:t>
      </w:r>
      <w:r>
        <w:rPr>
          <w:b/>
          <w:i/>
          <w:color w:val="010101"/>
          <w:w w:val="67"/>
          <w:sz w:val="20"/>
        </w:rPr>
        <w:t>)</w:t>
      </w:r>
      <w:r>
        <w:rPr>
          <w:b/>
          <w:i/>
          <w:color w:val="010101"/>
          <w:spacing w:val="-17"/>
          <w:sz w:val="20"/>
        </w:rPr>
        <w:t> </w:t>
      </w:r>
      <w:r>
        <w:rPr>
          <w:i/>
          <w:color w:val="010101"/>
          <w:w w:val="79"/>
          <w:position w:val="-7"/>
          <w:sz w:val="19"/>
        </w:rPr>
        <w:t>z+t</w:t>
      </w:r>
      <w:r>
        <w:rPr>
          <w:i/>
          <w:color w:val="010101"/>
          <w:position w:val="-7"/>
          <w:sz w:val="19"/>
        </w:rPr>
        <w:t>  </w:t>
      </w:r>
      <w:r>
        <w:rPr>
          <w:i/>
          <w:color w:val="010101"/>
          <w:spacing w:val="-24"/>
          <w:position w:val="-7"/>
          <w:sz w:val="19"/>
        </w:rPr>
        <w:t> </w:t>
      </w:r>
      <w:r>
        <w:rPr>
          <w:color w:val="010101"/>
          <w:w w:val="296"/>
          <w:position w:val="-7"/>
          <w:sz w:val="19"/>
        </w:rPr>
        <w:t>-</w:t>
      </w:r>
      <w:r>
        <w:rPr>
          <w:color w:val="010101"/>
          <w:spacing w:val="-3"/>
          <w:position w:val="-7"/>
          <w:sz w:val="19"/>
        </w:rPr>
        <w:t> </w:t>
      </w:r>
      <w:r>
        <w:rPr>
          <w:rFonts w:ascii="Arial"/>
          <w:b/>
          <w:i/>
          <w:color w:val="010101"/>
          <w:w w:val="82"/>
          <w:position w:val="-7"/>
          <w:sz w:val="13"/>
        </w:rPr>
        <w:t>V</w:t>
      </w:r>
      <w:r>
        <w:rPr>
          <w:rFonts w:ascii="Arial"/>
          <w:b/>
          <w:i/>
          <w:color w:val="010101"/>
          <w:spacing w:val="-22"/>
          <w:position w:val="-7"/>
          <w:sz w:val="13"/>
        </w:rPr>
        <w:t> </w:t>
      </w:r>
      <w:r>
        <w:rPr>
          <w:color w:val="010101"/>
          <w:w w:val="51"/>
          <w:sz w:val="20"/>
        </w:rPr>
        <w:t>:r</w:t>
      </w:r>
      <w:r>
        <w:rPr>
          <w:color w:val="010101"/>
          <w:spacing w:val="-31"/>
          <w:sz w:val="20"/>
        </w:rPr>
        <w:t> </w:t>
      </w:r>
      <w:r>
        <w:rPr>
          <w:color w:val="010101"/>
          <w:w w:val="90"/>
          <w:sz w:val="20"/>
        </w:rPr>
        <w:t>(</w:t>
      </w:r>
      <w:r>
        <w:rPr>
          <w:color w:val="010101"/>
          <w:spacing w:val="-32"/>
          <w:sz w:val="20"/>
        </w:rPr>
        <w:t> </w:t>
      </w:r>
      <w:r>
        <w:rPr>
          <w:b/>
          <w:i/>
          <w:color w:val="010101"/>
          <w:w w:val="103"/>
          <w:position w:val="-7"/>
          <w:sz w:val="19"/>
        </w:rPr>
        <w:t>m</w:t>
      </w:r>
      <w:r>
        <w:rPr>
          <w:b/>
          <w:i/>
          <w:color w:val="010101"/>
          <w:w w:val="84"/>
          <w:sz w:val="20"/>
        </w:rPr>
        <w:t>l</w:t>
      </w:r>
      <w:r>
        <w:rPr>
          <w:b/>
          <w:i/>
          <w:color w:val="010101"/>
          <w:spacing w:val="-15"/>
          <w:sz w:val="20"/>
        </w:rPr>
        <w:t> </w:t>
      </w:r>
      <w:r>
        <w:rPr>
          <w:b/>
          <w:i/>
          <w:color w:val="010101"/>
          <w:w w:val="62"/>
          <w:sz w:val="20"/>
        </w:rPr>
        <w:t>)</w:t>
      </w:r>
      <w:r>
        <w:rPr>
          <w:b/>
          <w:i/>
          <w:color w:val="010101"/>
          <w:spacing w:val="-13"/>
          <w:sz w:val="20"/>
        </w:rPr>
        <w:t> </w:t>
      </w:r>
      <w:r>
        <w:rPr>
          <w:rFonts w:ascii="Arial"/>
          <w:i/>
          <w:color w:val="010101"/>
          <w:w w:val="66"/>
          <w:position w:val="-7"/>
          <w:sz w:val="13"/>
        </w:rPr>
        <w:t>:r</w:t>
      </w:r>
      <w:r>
        <w:rPr>
          <w:rFonts w:ascii="Arial"/>
          <w:i/>
          <w:color w:val="010101"/>
          <w:spacing w:val="7"/>
          <w:position w:val="-7"/>
          <w:sz w:val="13"/>
        </w:rPr>
        <w:t> </w:t>
      </w:r>
      <w:r>
        <w:rPr>
          <w:rFonts w:ascii="Arial"/>
          <w:i/>
          <w:color w:val="010101"/>
          <w:w w:val="143"/>
          <w:position w:val="-7"/>
          <w:sz w:val="13"/>
        </w:rPr>
        <w:t>'</w:t>
      </w:r>
      <w:r>
        <w:rPr>
          <w:rFonts w:ascii="Arial"/>
          <w:i/>
          <w:color w:val="010101"/>
          <w:spacing w:val="-11"/>
          <w:position w:val="-7"/>
          <w:sz w:val="13"/>
        </w:rPr>
        <w:t> </w:t>
      </w:r>
      <w:r>
        <w:rPr>
          <w:rFonts w:ascii="Arial"/>
          <w:i/>
          <w:color w:val="010101"/>
          <w:w w:val="89"/>
          <w:position w:val="-7"/>
          <w:sz w:val="13"/>
        </w:rPr>
        <w:t>V</w:t>
      </w:r>
      <w:r>
        <w:rPr>
          <w:rFonts w:ascii="Arial"/>
          <w:i/>
          <w:color w:val="010101"/>
          <w:spacing w:val="-25"/>
          <w:position w:val="-7"/>
          <w:sz w:val="13"/>
        </w:rPr>
        <w:t> </w:t>
      </w:r>
      <w:r>
        <w:rPr>
          <w:color w:val="010101"/>
          <w:w w:val="143"/>
          <w:sz w:val="12"/>
        </w:rPr>
        <w:t>t+l</w:t>
      </w:r>
      <w:r>
        <w:rPr>
          <w:color w:val="010101"/>
          <w:spacing w:val="-15"/>
          <w:sz w:val="12"/>
        </w:rPr>
        <w:t> </w:t>
      </w:r>
      <w:r>
        <w:rPr>
          <w:rFonts w:ascii="Arial"/>
          <w:b/>
          <w:color w:val="010101"/>
          <w:w w:val="97"/>
          <w:position w:val="-7"/>
          <w:sz w:val="15"/>
        </w:rPr>
        <w:t>ti</w:t>
      </w:r>
      <w:r>
        <w:rPr>
          <w:rFonts w:ascii="Arial"/>
          <w:b/>
          <w:color w:val="010101"/>
          <w:spacing w:val="-6"/>
          <w:position w:val="-7"/>
          <w:sz w:val="15"/>
        </w:rPr>
        <w:t> </w:t>
      </w:r>
      <w:r>
        <w:rPr>
          <w:color w:val="010101"/>
          <w:w w:val="141"/>
          <w:sz w:val="12"/>
        </w:rPr>
        <w:t>(</w:t>
      </w:r>
      <w:r>
        <w:rPr>
          <w:color w:val="010101"/>
          <w:spacing w:val="-8"/>
          <w:sz w:val="12"/>
        </w:rPr>
        <w:t> </w:t>
      </w:r>
      <w:r>
        <w:rPr>
          <w:b/>
          <w:i/>
          <w:color w:val="010101"/>
          <w:w w:val="97"/>
          <w:position w:val="-7"/>
          <w:sz w:val="19"/>
        </w:rPr>
        <w:t>mq</w:t>
      </w:r>
      <w:r>
        <w:rPr>
          <w:b/>
          <w:i/>
          <w:color w:val="010101"/>
          <w:spacing w:val="-17"/>
          <w:position w:val="-7"/>
          <w:sz w:val="19"/>
        </w:rPr>
        <w:t> </w:t>
      </w:r>
      <w:r>
        <w:rPr>
          <w:color w:val="010101"/>
          <w:spacing w:val="14"/>
          <w:w w:val="152"/>
          <w:sz w:val="12"/>
        </w:rPr>
        <w:t>)</w:t>
      </w:r>
      <w:r>
        <w:rPr>
          <w:color w:val="010101"/>
          <w:w w:val="97"/>
          <w:position w:val="-7"/>
          <w:sz w:val="8"/>
        </w:rPr>
        <w:t>%</w:t>
      </w:r>
    </w:p>
    <w:p>
      <w:pPr>
        <w:tabs>
          <w:tab w:pos="1550" w:val="left" w:leader="none"/>
        </w:tabs>
        <w:spacing w:line="257" w:lineRule="exact" w:before="0"/>
        <w:ind w:left="0" w:right="661" w:firstLine="0"/>
        <w:jc w:val="center"/>
        <w:rPr>
          <w:i/>
          <w:sz w:val="11"/>
        </w:rPr>
      </w:pPr>
      <w:r>
        <w:rPr/>
        <w:pict>
          <v:line style="position:absolute;mso-position-horizontal-relative:page;mso-position-vertical-relative:paragraph;z-index:-711400" from="127.0588pt,1.295094pt" to="281.7547pt,1.295094pt" stroked="true" strokeweight=".897308pt" strokecolor="#000000">
            <w10:wrap type="none"/>
          </v:line>
        </w:pict>
      </w:r>
      <w:r>
        <w:rPr>
          <w:color w:val="010101"/>
          <w:sz w:val="26"/>
        </w:rPr>
        <w:t>,-o</w:t>
        <w:tab/>
      </w:r>
      <w:r>
        <w:rPr>
          <w:i/>
          <w:color w:val="010101"/>
          <w:sz w:val="19"/>
        </w:rPr>
        <w:t>vz(</w:t>
      </w:r>
      <w:r>
        <w:rPr>
          <w:i/>
          <w:color w:val="010101"/>
          <w:spacing w:val="-20"/>
          <w:sz w:val="19"/>
        </w:rPr>
        <w:t> </w:t>
      </w:r>
      <w:r>
        <w:rPr>
          <w:rFonts w:ascii="Arial"/>
          <w:i/>
          <w:color w:val="010101"/>
          <w:sz w:val="19"/>
        </w:rPr>
        <w:t>bl</w:t>
      </w:r>
      <w:r>
        <w:rPr>
          <w:rFonts w:ascii="Arial"/>
          <w:i/>
          <w:color w:val="010101"/>
          <w:spacing w:val="-42"/>
          <w:sz w:val="19"/>
        </w:rPr>
        <w:t> </w:t>
      </w:r>
      <w:r>
        <w:rPr>
          <w:rFonts w:ascii="Arial"/>
          <w:i/>
          <w:color w:val="010101"/>
          <w:sz w:val="19"/>
        </w:rPr>
        <w:t>)</w:t>
      </w:r>
      <w:r>
        <w:rPr>
          <w:rFonts w:ascii="Arial"/>
          <w:i/>
          <w:color w:val="010101"/>
          <w:spacing w:val="-25"/>
          <w:sz w:val="19"/>
        </w:rPr>
        <w:t> </w:t>
      </w:r>
      <w:r>
        <w:rPr>
          <w:i/>
          <w:color w:val="010101"/>
          <w:sz w:val="11"/>
        </w:rPr>
        <w:t>z</w:t>
      </w:r>
    </w:p>
    <w:p>
      <w:pPr>
        <w:spacing w:before="73"/>
        <w:ind w:left="98" w:right="760" w:firstLine="0"/>
        <w:jc w:val="center"/>
        <w:rPr>
          <w:sz w:val="12"/>
        </w:rPr>
      </w:pPr>
      <w:r>
        <w:rPr>
          <w:rFonts w:ascii="Arial" w:hAnsi="Arial"/>
          <w:color w:val="010101"/>
          <w:spacing w:val="4"/>
          <w:w w:val="120"/>
          <w:sz w:val="18"/>
          <w:u w:val="thick" w:color="000000"/>
        </w:rPr>
        <w:t>(</w:t>
      </w:r>
      <w:r>
        <w:rPr>
          <w:rFonts w:ascii="Arial" w:hAnsi="Arial"/>
          <w:i/>
          <w:color w:val="010101"/>
          <w:spacing w:val="4"/>
          <w:w w:val="120"/>
          <w:sz w:val="18"/>
          <w:u w:val="thick" w:color="000000"/>
        </w:rPr>
        <w:t>m</w:t>
      </w:r>
      <w:r>
        <w:rPr>
          <w:rFonts w:ascii="Arial" w:hAnsi="Arial"/>
          <w:i/>
          <w:color w:val="010101"/>
          <w:spacing w:val="4"/>
          <w:w w:val="120"/>
          <w:sz w:val="18"/>
        </w:rPr>
        <w:t>M </w:t>
      </w:r>
      <w:r>
        <w:rPr>
          <w:rFonts w:ascii="Arial" w:hAnsi="Arial"/>
          <w:i/>
          <w:color w:val="010101"/>
          <w:w w:val="105"/>
          <w:sz w:val="18"/>
        </w:rPr>
        <w:t>) </w:t>
      </w:r>
      <w:r>
        <w:rPr>
          <w:i/>
          <w:color w:val="010101"/>
          <w:w w:val="120"/>
          <w:sz w:val="14"/>
        </w:rPr>
        <w:t>z </w:t>
      </w:r>
      <w:r>
        <w:rPr>
          <w:color w:val="010101"/>
          <w:w w:val="390"/>
          <w:sz w:val="14"/>
        </w:rPr>
        <w:t>-</w:t>
      </w:r>
      <w:r>
        <w:rPr>
          <w:color w:val="010101"/>
          <w:spacing w:val="-90"/>
          <w:w w:val="390"/>
          <w:sz w:val="14"/>
        </w:rPr>
        <w:t> </w:t>
      </w:r>
      <w:r>
        <w:rPr>
          <w:color w:val="010101"/>
          <w:w w:val="120"/>
          <w:sz w:val="14"/>
        </w:rPr>
        <w:t>( </w:t>
      </w:r>
      <w:r>
        <w:rPr>
          <w:rFonts w:ascii="Arial" w:hAnsi="Arial"/>
          <w:i/>
          <w:color w:val="010101"/>
          <w:w w:val="120"/>
          <w:sz w:val="18"/>
        </w:rPr>
        <w:t>mD </w:t>
      </w:r>
      <w:r>
        <w:rPr>
          <w:rFonts w:ascii="Arial" w:hAnsi="Arial"/>
          <w:i/>
          <w:color w:val="010101"/>
          <w:w w:val="105"/>
          <w:sz w:val="18"/>
        </w:rPr>
        <w:t>) </w:t>
      </w:r>
      <w:r>
        <w:rPr>
          <w:i/>
          <w:color w:val="010101"/>
          <w:w w:val="120"/>
          <w:sz w:val="14"/>
        </w:rPr>
        <w:t>z </w:t>
      </w:r>
      <w:r>
        <w:rPr>
          <w:color w:val="010101"/>
          <w:w w:val="105"/>
          <w:sz w:val="14"/>
        </w:rPr>
        <w:t>• </w:t>
      </w:r>
      <w:r>
        <w:rPr>
          <w:color w:val="010101"/>
          <w:spacing w:val="4"/>
          <w:w w:val="120"/>
          <w:sz w:val="14"/>
        </w:rPr>
        <w:t>(</w:t>
      </w:r>
      <w:r>
        <w:rPr>
          <w:rFonts w:ascii="Arial" w:hAnsi="Arial"/>
          <w:i/>
          <w:color w:val="010101"/>
          <w:spacing w:val="4"/>
          <w:w w:val="120"/>
          <w:sz w:val="18"/>
        </w:rPr>
        <w:t>mA </w:t>
      </w:r>
      <w:r>
        <w:rPr>
          <w:rFonts w:ascii="Arial" w:hAnsi="Arial"/>
          <w:i/>
          <w:color w:val="010101"/>
          <w:w w:val="105"/>
          <w:sz w:val="18"/>
        </w:rPr>
        <w:t>) </w:t>
      </w:r>
      <w:r>
        <w:rPr>
          <w:color w:val="010101"/>
          <w:w w:val="120"/>
          <w:sz w:val="12"/>
        </w:rPr>
        <w:t>z</w:t>
      </w:r>
    </w:p>
    <w:p>
      <w:pPr>
        <w:spacing w:before="36"/>
        <w:ind w:left="98" w:right="774" w:firstLine="0"/>
        <w:jc w:val="center"/>
        <w:rPr>
          <w:i/>
          <w:sz w:val="19"/>
        </w:rPr>
      </w:pPr>
      <w:r>
        <w:rPr>
          <w:i/>
          <w:color w:val="010101"/>
          <w:w w:val="90"/>
          <w:sz w:val="19"/>
        </w:rPr>
        <w:t>( bD) z</w:t>
      </w:r>
    </w:p>
    <w:p>
      <w:pPr>
        <w:spacing w:after="0"/>
        <w:jc w:val="center"/>
        <w:rPr>
          <w:sz w:val="19"/>
        </w:rPr>
        <w:sectPr>
          <w:type w:val="continuous"/>
          <w:pgSz w:w="7200" w:h="11340"/>
          <w:pgMar w:top="1100" w:bottom="0" w:left="640" w:right="560"/>
        </w:sectPr>
      </w:pPr>
    </w:p>
    <w:p>
      <w:pPr>
        <w:tabs>
          <w:tab w:pos="1266" w:val="left" w:leader="none"/>
          <w:tab w:pos="5188" w:val="left" w:leader="none"/>
        </w:tabs>
        <w:spacing w:before="57"/>
        <w:ind w:left="110" w:right="0" w:firstLine="0"/>
        <w:jc w:val="left"/>
        <w:rPr>
          <w:rFonts w:ascii="Arial"/>
          <w:sz w:val="19"/>
        </w:rPr>
      </w:pPr>
      <w:r>
        <w:rPr>
          <w:color w:val="010101"/>
          <w:spacing w:val="-10"/>
          <w:w w:val="105"/>
          <w:sz w:val="20"/>
        </w:rPr>
        <w:t>302</w:t>
        <w:tab/>
      </w:r>
      <w:r>
        <w:rPr>
          <w:rFonts w:ascii="Courier New"/>
          <w:color w:val="010101"/>
          <w:spacing w:val="-6"/>
          <w:w w:val="105"/>
          <w:position w:val="1"/>
          <w:sz w:val="17"/>
        </w:rPr>
        <w:t>TABLES </w:t>
      </w:r>
      <w:r>
        <w:rPr>
          <w:rFonts w:ascii="Courier New"/>
          <w:color w:val="010101"/>
          <w:spacing w:val="-3"/>
          <w:w w:val="105"/>
          <w:position w:val="1"/>
          <w:sz w:val="17"/>
        </w:rPr>
        <w:t>WITH</w:t>
      </w:r>
      <w:r>
        <w:rPr>
          <w:rFonts w:ascii="Courier New"/>
          <w:color w:val="010101"/>
          <w:spacing w:val="11"/>
          <w:w w:val="105"/>
          <w:position w:val="1"/>
          <w:sz w:val="17"/>
        </w:rPr>
        <w:t> </w:t>
      </w:r>
      <w:r>
        <w:rPr>
          <w:rFonts w:ascii="Courier New"/>
          <w:color w:val="010101"/>
          <w:spacing w:val="-6"/>
          <w:w w:val="105"/>
          <w:position w:val="1"/>
          <w:sz w:val="17"/>
        </w:rPr>
        <w:t>SECONDARY</w:t>
      </w:r>
      <w:r>
        <w:rPr>
          <w:rFonts w:ascii="Courier New"/>
          <w:color w:val="010101"/>
          <w:spacing w:val="17"/>
          <w:w w:val="105"/>
          <w:position w:val="1"/>
          <w:sz w:val="17"/>
        </w:rPr>
        <w:t> </w:t>
      </w:r>
      <w:r>
        <w:rPr>
          <w:rFonts w:ascii="Courier New"/>
          <w:color w:val="010101"/>
          <w:w w:val="105"/>
          <w:position w:val="1"/>
          <w:sz w:val="17"/>
        </w:rPr>
        <w:t>DECREMENTS</w:t>
        <w:tab/>
      </w:r>
      <w:r>
        <w:rPr>
          <w:color w:val="010101"/>
          <w:position w:val="1"/>
          <w:sz w:val="21"/>
        </w:rPr>
        <w:t>[CH.</w:t>
      </w:r>
      <w:r>
        <w:rPr>
          <w:color w:val="010101"/>
          <w:spacing w:val="4"/>
          <w:position w:val="1"/>
          <w:sz w:val="21"/>
        </w:rPr>
        <w:t> </w:t>
      </w:r>
      <w:r>
        <w:rPr>
          <w:rFonts w:ascii="Arial"/>
          <w:color w:val="010101"/>
          <w:spacing w:val="-22"/>
          <w:position w:val="1"/>
          <w:sz w:val="19"/>
        </w:rPr>
        <w:t>15</w:t>
      </w:r>
    </w:p>
    <w:p>
      <w:pPr>
        <w:pStyle w:val="BodyText"/>
        <w:spacing w:before="9"/>
        <w:rPr>
          <w:rFonts w:ascii="Arial"/>
          <w:sz w:val="19"/>
        </w:rPr>
      </w:pPr>
    </w:p>
    <w:p>
      <w:pPr>
        <w:tabs>
          <w:tab w:pos="855" w:val="left" w:leader="none"/>
        </w:tabs>
        <w:spacing w:line="373" w:lineRule="exact" w:before="0"/>
        <w:ind w:left="114" w:right="0" w:firstLine="0"/>
        <w:jc w:val="left"/>
        <w:rPr>
          <w:rFonts w:ascii="Arial"/>
          <w:sz w:val="19"/>
        </w:rPr>
      </w:pPr>
      <w:r>
        <w:rPr/>
        <w:pict>
          <v:shape style="position:absolute;margin-left:125.6064pt;margin-top:-2.650292pt;width:6.5pt;height:12pt;mso-position-horizontal-relative:page;mso-position-vertical-relative:paragraph;z-index:-711304" type="#_x0000_t202" filled="false" stroked="false">
            <v:textbox inset="0,0,0,0">
              <w:txbxContent>
                <w:p>
                  <w:pPr>
                    <w:spacing w:line="240" w:lineRule="exact" w:before="0"/>
                    <w:ind w:left="0" w:right="0" w:firstLine="0"/>
                    <w:jc w:val="left"/>
                    <w:rPr>
                      <w:rFonts w:ascii="Arial" w:hAnsi="Arial"/>
                      <w:sz w:val="24"/>
                    </w:rPr>
                  </w:pPr>
                  <w:r>
                    <w:rPr>
                      <w:rFonts w:ascii="Arial" w:hAnsi="Arial"/>
                      <w:color w:val="010101"/>
                      <w:w w:val="153"/>
                      <w:sz w:val="24"/>
                    </w:rPr>
                    <w:t>•</w:t>
                  </w:r>
                </w:p>
              </w:txbxContent>
            </v:textbox>
            <w10:wrap type="none"/>
          </v:shape>
        </w:pict>
      </w:r>
      <w:r>
        <w:rPr>
          <w:color w:val="010101"/>
          <w:w w:val="110"/>
          <w:sz w:val="20"/>
        </w:rPr>
        <w:t>where</w:t>
        <w:tab/>
        <w:t>(mM</w:t>
      </w:r>
      <w:r>
        <w:rPr>
          <w:color w:val="010101"/>
          <w:spacing w:val="-44"/>
          <w:w w:val="110"/>
          <w:sz w:val="20"/>
        </w:rPr>
        <w:t> </w:t>
      </w:r>
      <w:r>
        <w:rPr>
          <w:color w:val="010101"/>
          <w:w w:val="110"/>
          <w:sz w:val="20"/>
        </w:rPr>
        <w:t>)s</w:t>
      </w:r>
      <w:r>
        <w:rPr>
          <w:color w:val="010101"/>
          <w:spacing w:val="-24"/>
          <w:w w:val="110"/>
          <w:sz w:val="20"/>
        </w:rPr>
        <w:t> </w:t>
      </w:r>
      <w:r>
        <w:rPr>
          <w:color w:val="010101"/>
          <w:w w:val="110"/>
          <w:sz w:val="28"/>
        </w:rPr>
        <w:t>=</w:t>
      </w:r>
      <w:r>
        <w:rPr>
          <w:color w:val="010101"/>
          <w:spacing w:val="-27"/>
          <w:w w:val="110"/>
          <w:sz w:val="28"/>
        </w:rPr>
        <w:t> </w:t>
      </w:r>
      <w:r>
        <w:rPr>
          <w:i/>
          <w:color w:val="010101"/>
          <w:w w:val="110"/>
          <w:sz w:val="34"/>
        </w:rPr>
        <w:t>L</w:t>
      </w:r>
      <w:r>
        <w:rPr>
          <w:i/>
          <w:color w:val="010101"/>
          <w:spacing w:val="-65"/>
          <w:w w:val="110"/>
          <w:sz w:val="34"/>
        </w:rPr>
        <w:t> </w:t>
      </w:r>
      <w:r>
        <w:rPr>
          <w:color w:val="010101"/>
          <w:w w:val="110"/>
          <w:sz w:val="21"/>
        </w:rPr>
        <w:t>v"-t+</w:t>
      </w:r>
      <w:r>
        <w:rPr>
          <w:color w:val="010101"/>
          <w:w w:val="110"/>
          <w:position w:val="10"/>
          <w:sz w:val="13"/>
        </w:rPr>
        <w:t>1</w:t>
      </w:r>
      <w:r>
        <w:rPr>
          <w:rFonts w:ascii="Arial"/>
          <w:color w:val="010101"/>
          <w:w w:val="110"/>
          <w:sz w:val="19"/>
        </w:rPr>
        <w:t>(md):i:+i</w:t>
      </w:r>
      <w:r>
        <w:rPr>
          <w:rFonts w:ascii="Arial"/>
          <w:color w:val="010101"/>
          <w:spacing w:val="-41"/>
          <w:w w:val="110"/>
          <w:sz w:val="19"/>
        </w:rPr>
        <w:t> </w:t>
      </w:r>
      <w:r>
        <w:rPr>
          <w:rFonts w:ascii="Arial"/>
          <w:color w:val="010101"/>
          <w:w w:val="130"/>
          <w:sz w:val="19"/>
        </w:rPr>
        <w:t>,</w:t>
      </w:r>
    </w:p>
    <w:p>
      <w:pPr>
        <w:spacing w:line="108" w:lineRule="exact" w:before="0"/>
        <w:ind w:left="1799" w:right="0" w:firstLine="0"/>
        <w:jc w:val="left"/>
        <w:rPr>
          <w:rFonts w:ascii="Arial"/>
          <w:b/>
          <w:sz w:val="11"/>
        </w:rPr>
      </w:pPr>
      <w:r>
        <w:rPr>
          <w:rFonts w:ascii="Arial"/>
          <w:b/>
          <w:color w:val="010101"/>
          <w:w w:val="125"/>
          <w:sz w:val="11"/>
        </w:rPr>
        <w:t>C-0</w:t>
      </w:r>
    </w:p>
    <w:p>
      <w:pPr>
        <w:tabs>
          <w:tab w:pos="3524" w:val="left" w:leader="none"/>
        </w:tabs>
        <w:spacing w:before="129"/>
        <w:ind w:left="904" w:right="0" w:firstLine="0"/>
        <w:jc w:val="left"/>
        <w:rPr>
          <w:b/>
          <w:sz w:val="19"/>
        </w:rPr>
      </w:pPr>
      <w:r>
        <w:rPr>
          <w:position w:val="-4"/>
        </w:rPr>
        <w:drawing>
          <wp:inline distT="0" distB="0" distL="0" distR="0">
            <wp:extent cx="950975" cy="137160"/>
            <wp:effectExtent l="0" t="0" r="0" b="0"/>
            <wp:docPr id="743" name="image379.png" descr=""/>
            <wp:cNvGraphicFramePr>
              <a:graphicFrameLocks noChangeAspect="1"/>
            </wp:cNvGraphicFramePr>
            <a:graphic>
              <a:graphicData uri="http://schemas.openxmlformats.org/drawingml/2006/picture">
                <pic:pic>
                  <pic:nvPicPr>
                    <pic:cNvPr id="744" name="image379.png"/>
                    <pic:cNvPicPr/>
                  </pic:nvPicPr>
                  <pic:blipFill>
                    <a:blip r:embed="rId383" cstate="print"/>
                    <a:stretch>
                      <a:fillRect/>
                    </a:stretch>
                  </pic:blipFill>
                  <pic:spPr>
                    <a:xfrm>
                      <a:off x="0" y="0"/>
                      <a:ext cx="950975" cy="137160"/>
                    </a:xfrm>
                    <a:prstGeom prst="rect">
                      <a:avLst/>
                    </a:prstGeom>
                  </pic:spPr>
                </pic:pic>
              </a:graphicData>
            </a:graphic>
          </wp:inline>
        </w:drawing>
      </w:r>
      <w:r>
        <w:rPr>
          <w:position w:val="-4"/>
        </w:rPr>
      </w:r>
      <w:r>
        <w:rPr>
          <w:sz w:val="20"/>
        </w:rPr>
        <w:t>      </w:t>
      </w:r>
      <w:r>
        <w:rPr>
          <w:b/>
          <w:color w:val="010101"/>
          <w:sz w:val="19"/>
        </w:rPr>
        <w:t>and</w:t>
        <w:tab/>
      </w:r>
      <w:r>
        <w:rPr>
          <w:b/>
          <w:color w:val="010101"/>
          <w:position w:val="-4"/>
          <w:sz w:val="19"/>
        </w:rPr>
        <w:drawing>
          <wp:inline distT="0" distB="0" distL="0" distR="0">
            <wp:extent cx="941831" cy="137160"/>
            <wp:effectExtent l="0" t="0" r="0" b="0"/>
            <wp:docPr id="745" name="image380.png" descr=""/>
            <wp:cNvGraphicFramePr>
              <a:graphicFrameLocks noChangeAspect="1"/>
            </wp:cNvGraphicFramePr>
            <a:graphic>
              <a:graphicData uri="http://schemas.openxmlformats.org/drawingml/2006/picture">
                <pic:pic>
                  <pic:nvPicPr>
                    <pic:cNvPr id="746" name="image380.png"/>
                    <pic:cNvPicPr/>
                  </pic:nvPicPr>
                  <pic:blipFill>
                    <a:blip r:embed="rId384" cstate="print"/>
                    <a:stretch>
                      <a:fillRect/>
                    </a:stretch>
                  </pic:blipFill>
                  <pic:spPr>
                    <a:xfrm>
                      <a:off x="0" y="0"/>
                      <a:ext cx="941831" cy="137160"/>
                    </a:xfrm>
                    <a:prstGeom prst="rect">
                      <a:avLst/>
                    </a:prstGeom>
                  </pic:spPr>
                </pic:pic>
              </a:graphicData>
            </a:graphic>
          </wp:inline>
        </w:drawing>
      </w:r>
      <w:r>
        <w:rPr>
          <w:b/>
          <w:color w:val="010101"/>
          <w:position w:val="-4"/>
          <w:sz w:val="19"/>
        </w:rPr>
      </w:r>
    </w:p>
    <w:p>
      <w:pPr>
        <w:spacing w:line="68" w:lineRule="exact" w:before="80"/>
        <w:ind w:left="1832" w:right="0" w:firstLine="0"/>
        <w:jc w:val="left"/>
        <w:rPr>
          <w:b/>
          <w:sz w:val="12"/>
        </w:rPr>
      </w:pPr>
      <w:r>
        <w:rPr>
          <w:b/>
          <w:color w:val="010101"/>
          <w:w w:val="90"/>
          <w:sz w:val="12"/>
        </w:rPr>
        <w:t>ao</w:t>
      </w:r>
    </w:p>
    <w:p>
      <w:pPr>
        <w:spacing w:line="283" w:lineRule="exact" w:before="0"/>
        <w:ind w:left="121" w:right="0" w:firstLine="0"/>
        <w:jc w:val="both"/>
        <w:rPr>
          <w:b/>
          <w:sz w:val="20"/>
        </w:rPr>
      </w:pPr>
      <w:r>
        <w:rPr>
          <w:b/>
          <w:color w:val="010101"/>
          <w:sz w:val="19"/>
        </w:rPr>
        <w:t>and         </w:t>
      </w:r>
      <w:r>
        <w:rPr>
          <w:b/>
          <w:i/>
          <w:color w:val="010101"/>
          <w:sz w:val="20"/>
        </w:rPr>
        <w:t>( mA </w:t>
      </w:r>
      <w:r>
        <w:rPr>
          <w:b/>
          <w:color w:val="010101"/>
          <w:sz w:val="20"/>
        </w:rPr>
        <w:t>)s </w:t>
      </w:r>
      <w:r>
        <w:rPr>
          <w:color w:val="010101"/>
          <w:sz w:val="28"/>
        </w:rPr>
        <w:t>= </w:t>
      </w:r>
      <w:r>
        <w:rPr>
          <w:b/>
          <w:i/>
          <w:color w:val="010101"/>
          <w:sz w:val="34"/>
        </w:rPr>
        <w:t>L </w:t>
      </w:r>
      <w:r>
        <w:rPr>
          <w:b/>
          <w:color w:val="010101"/>
          <w:sz w:val="14"/>
        </w:rPr>
        <w:t>VH</w:t>
      </w:r>
      <w:r>
        <w:rPr>
          <w:b/>
          <w:color w:val="010101"/>
          <w:position w:val="10"/>
          <w:sz w:val="12"/>
        </w:rPr>
        <w:t>1</w:t>
      </w:r>
      <w:r>
        <w:rPr>
          <w:color w:val="010101"/>
          <w:sz w:val="16"/>
        </w:rPr>
        <w:t>,1 </w:t>
      </w:r>
      <w:r>
        <w:rPr>
          <w:b/>
          <w:i/>
          <w:color w:val="010101"/>
          <w:sz w:val="20"/>
        </w:rPr>
        <w:t>( mq </w:t>
      </w:r>
      <w:r>
        <w:rPr>
          <w:b/>
          <w:color w:val="010101"/>
          <w:sz w:val="20"/>
        </w:rPr>
        <w:t>)s </w:t>
      </w:r>
      <w:r>
        <w:rPr>
          <w:b/>
          <w:color w:val="010101"/>
          <w:w w:val="110"/>
          <w:sz w:val="20"/>
        </w:rPr>
        <w:t>.</w:t>
      </w:r>
    </w:p>
    <w:p>
      <w:pPr>
        <w:spacing w:line="166" w:lineRule="exact" w:before="0"/>
        <w:ind w:left="1799" w:right="0" w:firstLine="0"/>
        <w:jc w:val="left"/>
        <w:rPr>
          <w:b/>
          <w:sz w:val="20"/>
        </w:rPr>
      </w:pPr>
      <w:r>
        <w:rPr>
          <w:b/>
          <w:color w:val="010101"/>
          <w:w w:val="105"/>
          <w:sz w:val="20"/>
        </w:rPr>
        <w:t>,-o</w:t>
      </w:r>
    </w:p>
    <w:p>
      <w:pPr>
        <w:pStyle w:val="BodyText"/>
        <w:spacing w:line="247" w:lineRule="auto" w:before="107"/>
        <w:ind w:left="118" w:right="132" w:hanging="4"/>
        <w:jc w:val="both"/>
      </w:pPr>
      <w:r>
        <w:rPr>
          <w:color w:val="010101"/>
        </w:rPr>
        <w:t>The function </w:t>
      </w:r>
      <w:r>
        <w:rPr>
          <w:rFonts w:ascii="Arial"/>
          <w:i/>
          <w:color w:val="010101"/>
          <w:sz w:val="18"/>
        </w:rPr>
        <w:t>(mA </w:t>
      </w:r>
      <w:r>
        <w:rPr>
          <w:rFonts w:ascii="Arial"/>
          <w:color w:val="010101"/>
          <w:sz w:val="19"/>
        </w:rPr>
        <w:t>).i: </w:t>
      </w:r>
      <w:r>
        <w:rPr>
          <w:color w:val="010101"/>
          <w:sz w:val="19"/>
        </w:rPr>
        <w:t>will </w:t>
      </w:r>
      <w:r>
        <w:rPr>
          <w:color w:val="010101"/>
        </w:rPr>
        <w:t>be recognized  as the  net  single  premium </w:t>
      </w:r>
      <w:r>
        <w:rPr>
          <w:b/>
          <w:color w:val="010101"/>
          <w:sz w:val="19"/>
        </w:rPr>
        <w:t>for a </w:t>
      </w:r>
      <w:r>
        <w:rPr>
          <w:color w:val="010101"/>
        </w:rPr>
        <w:t>whole </w:t>
      </w:r>
      <w:r>
        <w:rPr>
          <w:color w:val="010101"/>
          <w:sz w:val="21"/>
        </w:rPr>
        <w:t>lif </w:t>
      </w:r>
      <w:r>
        <w:rPr>
          <w:color w:val="010101"/>
        </w:rPr>
        <w:t>e insurance for a married man aged </w:t>
      </w:r>
      <w:r>
        <w:rPr>
          <w:i/>
          <w:color w:val="010101"/>
          <w:sz w:val="21"/>
        </w:rPr>
        <w:t>x. </w:t>
      </w:r>
      <w:r>
        <w:rPr>
          <w:color w:val="010101"/>
        </w:rPr>
        <w:t>As before, the formulation of the  benefit  has  been  simplified  by  the  introduction of  special  commutation  functions.</w:t>
      </w:r>
    </w:p>
    <w:p>
      <w:pPr>
        <w:pStyle w:val="BodyText"/>
        <w:spacing w:line="247" w:lineRule="auto"/>
        <w:ind w:left="121" w:right="118" w:firstLine="207"/>
        <w:jc w:val="both"/>
      </w:pPr>
      <w:r>
        <w:rPr>
          <w:color w:val="010101"/>
          <w:w w:val="105"/>
          <w:sz w:val="21"/>
        </w:rPr>
        <w:t>It </w:t>
      </w:r>
      <w:r>
        <w:rPr>
          <w:color w:val="010101"/>
          <w:w w:val="105"/>
        </w:rPr>
        <w:t>can </w:t>
      </w:r>
      <w:r>
        <w:rPr>
          <w:color w:val="010101"/>
          <w:w w:val="105"/>
          <w:sz w:val="19"/>
        </w:rPr>
        <w:t>be </w:t>
      </w:r>
      <w:r>
        <w:rPr>
          <w:color w:val="010101"/>
          <w:w w:val="105"/>
        </w:rPr>
        <w:t>seen from the simple  examples  above  that  a  table with secondary decrements is not a particularly convenient model for computation. The construction of such a table requires the careful compilation of extensive data, and the evaluation of in­ surance and annuity functions depends upon the availability of various special commutation functions. In the case of benefits  </w:t>
      </w:r>
      <w:r>
        <w:rPr>
          <w:b/>
          <w:color w:val="010101"/>
          <w:w w:val="105"/>
          <w:sz w:val="21"/>
        </w:rPr>
        <w:t>which</w:t>
      </w:r>
      <w:r>
        <w:rPr>
          <w:b/>
          <w:color w:val="010101"/>
          <w:spacing w:val="1"/>
          <w:w w:val="105"/>
          <w:sz w:val="21"/>
        </w:rPr>
        <w:t> </w:t>
      </w:r>
      <w:r>
        <w:rPr>
          <w:color w:val="010101"/>
          <w:w w:val="105"/>
        </w:rPr>
        <w:t>are</w:t>
      </w:r>
      <w:r>
        <w:rPr>
          <w:color w:val="010101"/>
          <w:spacing w:val="-13"/>
          <w:w w:val="105"/>
        </w:rPr>
        <w:t> </w:t>
      </w:r>
      <w:r>
        <w:rPr>
          <w:color w:val="010101"/>
          <w:w w:val="105"/>
        </w:rPr>
        <w:t>based</w:t>
      </w:r>
      <w:r>
        <w:rPr>
          <w:color w:val="010101"/>
          <w:spacing w:val="5"/>
          <w:w w:val="105"/>
        </w:rPr>
        <w:t> </w:t>
      </w:r>
      <w:r>
        <w:rPr>
          <w:color w:val="010101"/>
          <w:w w:val="105"/>
        </w:rPr>
        <w:t>on</w:t>
      </w:r>
      <w:r>
        <w:rPr>
          <w:color w:val="010101"/>
          <w:spacing w:val="-12"/>
          <w:w w:val="105"/>
        </w:rPr>
        <w:t> </w:t>
      </w:r>
      <w:r>
        <w:rPr>
          <w:color w:val="010101"/>
          <w:w w:val="105"/>
        </w:rPr>
        <w:t>more</w:t>
      </w:r>
      <w:r>
        <w:rPr>
          <w:color w:val="010101"/>
          <w:spacing w:val="-7"/>
          <w:w w:val="105"/>
        </w:rPr>
        <w:t> </w:t>
      </w:r>
      <w:r>
        <w:rPr>
          <w:color w:val="010101"/>
          <w:w w:val="105"/>
        </w:rPr>
        <w:t>than</w:t>
      </w:r>
      <w:r>
        <w:rPr>
          <w:color w:val="010101"/>
          <w:spacing w:val="1"/>
          <w:w w:val="105"/>
        </w:rPr>
        <w:t> </w:t>
      </w:r>
      <w:r>
        <w:rPr>
          <w:color w:val="010101"/>
          <w:w w:val="105"/>
        </w:rPr>
        <w:t>one</w:t>
      </w:r>
      <w:r>
        <w:rPr>
          <w:color w:val="010101"/>
          <w:spacing w:val="-13"/>
          <w:w w:val="105"/>
        </w:rPr>
        <w:t> </w:t>
      </w:r>
      <w:r>
        <w:rPr>
          <w:color w:val="010101"/>
          <w:w w:val="105"/>
        </w:rPr>
        <w:t>secondary</w:t>
      </w:r>
      <w:r>
        <w:rPr>
          <w:color w:val="010101"/>
          <w:spacing w:val="-4"/>
          <w:w w:val="105"/>
        </w:rPr>
        <w:t> </w:t>
      </w:r>
      <w:r>
        <w:rPr>
          <w:color w:val="010101"/>
          <w:w w:val="105"/>
        </w:rPr>
        <w:t>decrement, the</w:t>
      </w:r>
      <w:r>
        <w:rPr>
          <w:color w:val="010101"/>
          <w:spacing w:val="-17"/>
          <w:w w:val="105"/>
        </w:rPr>
        <w:t> </w:t>
      </w:r>
      <w:r>
        <w:rPr>
          <w:color w:val="010101"/>
          <w:w w:val="105"/>
        </w:rPr>
        <w:t>mathe­ matical analysis becomes even more complex. </w:t>
      </w:r>
      <w:r>
        <w:rPr>
          <w:color w:val="010101"/>
          <w:w w:val="105"/>
          <w:sz w:val="22"/>
        </w:rPr>
        <w:t>In </w:t>
      </w:r>
      <w:r>
        <w:rPr>
          <w:color w:val="010101"/>
          <w:w w:val="105"/>
        </w:rPr>
        <w:t>the next chapter, we shall examine an altemative model which has proved more con­ venient  in certain</w:t>
      </w:r>
      <w:r>
        <w:rPr>
          <w:color w:val="010101"/>
          <w:spacing w:val="37"/>
          <w:w w:val="105"/>
        </w:rPr>
        <w:t> </w:t>
      </w:r>
      <w:r>
        <w:rPr>
          <w:color w:val="010101"/>
          <w:w w:val="105"/>
        </w:rPr>
        <w:t>applications.</w:t>
      </w:r>
    </w:p>
    <w:p>
      <w:pPr>
        <w:spacing w:before="178"/>
        <w:ind w:left="132" w:right="0" w:firstLine="0"/>
        <w:jc w:val="both"/>
        <w:rPr>
          <w:b/>
          <w:sz w:val="19"/>
        </w:rPr>
      </w:pPr>
      <w:r>
        <w:rPr>
          <w:b/>
          <w:color w:val="010101"/>
          <w:w w:val="115"/>
          <w:sz w:val="19"/>
        </w:rPr>
        <w:t>References</w:t>
      </w:r>
    </w:p>
    <w:p>
      <w:pPr>
        <w:pStyle w:val="BodyText"/>
        <w:spacing w:line="252" w:lineRule="auto" w:before="88"/>
        <w:ind w:left="132" w:right="119" w:firstLine="200"/>
        <w:jc w:val="both"/>
      </w:pPr>
      <w:r>
        <w:rPr>
          <w:color w:val="010101"/>
          <w:w w:val="105"/>
        </w:rPr>
        <w:t>2. Hunter and Phillips (1932) discuss the methods of ron­ structing  a combined  disability  and  mortality table.</w:t>
      </w:r>
    </w:p>
    <w:p>
      <w:pPr>
        <w:pStyle w:val="BodyText"/>
        <w:spacing w:line="252" w:lineRule="auto"/>
        <w:ind w:left="143" w:right="127" w:firstLine="189"/>
        <w:jc w:val="both"/>
      </w:pPr>
      <w:r>
        <w:rPr>
          <w:b/>
          <w:color w:val="010101"/>
        </w:rPr>
        <w:t>3.  </w:t>
      </w:r>
      <w:r>
        <w:rPr>
          <w:color w:val="010101"/>
        </w:rPr>
        <w:t>The  combined  marriage  and  mortality  table   is   treated briefly by Spurgeon (1932)  and  by  Hooker  and  Longley-Cook (1957</w:t>
      </w:r>
      <w:r>
        <w:rPr>
          <w:color w:val="010101"/>
          <w:spacing w:val="-25"/>
        </w:rPr>
        <w:t> </w:t>
      </w:r>
      <w:r>
        <w:rPr>
          <w:color w:val="010101"/>
        </w:rPr>
        <w:t>).</w:t>
      </w:r>
    </w:p>
    <w:p>
      <w:pPr>
        <w:pStyle w:val="BodyText"/>
        <w:spacing w:before="4"/>
        <w:rPr>
          <w:sz w:val="17"/>
        </w:rPr>
      </w:pPr>
    </w:p>
    <w:p>
      <w:pPr>
        <w:spacing w:before="0"/>
        <w:ind w:left="173" w:right="131" w:firstLine="0"/>
        <w:jc w:val="center"/>
        <w:rPr>
          <w:sz w:val="17"/>
        </w:rPr>
      </w:pPr>
      <w:r>
        <w:rPr>
          <w:color w:val="010101"/>
          <w:w w:val="110"/>
          <w:sz w:val="17"/>
        </w:rPr>
        <w:t>EXERCISES</w:t>
      </w:r>
    </w:p>
    <w:p>
      <w:pPr>
        <w:spacing w:before="84"/>
        <w:ind w:left="207" w:right="131" w:firstLine="0"/>
        <w:jc w:val="center"/>
        <w:rPr>
          <w:sz w:val="17"/>
        </w:rPr>
      </w:pPr>
      <w:r>
        <w:rPr>
          <w:color w:val="010101"/>
          <w:w w:val="110"/>
          <w:sz w:val="17"/>
        </w:rPr>
        <w:t>(Use standard approximations where  necessary.)</w:t>
      </w:r>
    </w:p>
    <w:p>
      <w:pPr>
        <w:pStyle w:val="BodyText"/>
        <w:rPr>
          <w:sz w:val="15"/>
        </w:rPr>
      </w:pPr>
    </w:p>
    <w:p>
      <w:pPr>
        <w:spacing w:before="0"/>
        <w:ind w:left="150" w:right="0" w:firstLine="0"/>
        <w:jc w:val="both"/>
        <w:rPr>
          <w:b/>
          <w:sz w:val="16"/>
        </w:rPr>
      </w:pPr>
      <w:r>
        <w:rPr>
          <w:b/>
          <w:color w:val="010101"/>
          <w:w w:val="125"/>
          <w:sz w:val="16"/>
        </w:rPr>
        <w:t>l. Primary and secondary decrements</w:t>
      </w:r>
    </w:p>
    <w:p>
      <w:pPr>
        <w:spacing w:line="228" w:lineRule="exact" w:before="55"/>
        <w:ind w:left="325" w:right="0" w:firstLine="0"/>
        <w:jc w:val="left"/>
        <w:rPr>
          <w:sz w:val="17"/>
        </w:rPr>
      </w:pPr>
      <w:r>
        <w:rPr>
          <w:color w:val="010101"/>
          <w:w w:val="125"/>
          <w:sz w:val="16"/>
        </w:rPr>
        <w:t>l. </w:t>
      </w:r>
      <w:r>
        <w:rPr>
          <w:color w:val="010101"/>
          <w:w w:val="105"/>
          <w:sz w:val="17"/>
        </w:rPr>
        <w:t>Evaluate  </w:t>
      </w:r>
      <w:r>
        <w:rPr>
          <w:i/>
          <w:color w:val="010101"/>
          <w:w w:val="105"/>
          <w:sz w:val="20"/>
        </w:rPr>
        <w:t>q["&gt; </w:t>
      </w:r>
      <w:r>
        <w:rPr>
          <w:color w:val="010101"/>
          <w:w w:val="105"/>
          <w:sz w:val="17"/>
        </w:rPr>
        <w:t>from Table  10</w:t>
      </w:r>
    </w:p>
    <w:p>
      <w:pPr>
        <w:tabs>
          <w:tab w:pos="2443" w:val="left" w:leader="none"/>
        </w:tabs>
        <w:spacing w:line="193" w:lineRule="exact" w:before="0"/>
        <w:ind w:left="504" w:right="0" w:firstLine="0"/>
        <w:jc w:val="left"/>
        <w:rPr>
          <w:sz w:val="17"/>
        </w:rPr>
      </w:pPr>
      <w:r>
        <w:rPr>
          <w:color w:val="010101"/>
          <w:w w:val="110"/>
          <w:sz w:val="17"/>
        </w:rPr>
        <w:t>(a)</w:t>
      </w:r>
      <w:r>
        <w:rPr>
          <w:color w:val="010101"/>
          <w:spacing w:val="16"/>
          <w:w w:val="110"/>
          <w:sz w:val="17"/>
        </w:rPr>
        <w:t> </w:t>
      </w:r>
      <w:r>
        <w:rPr>
          <w:color w:val="010101"/>
          <w:w w:val="110"/>
          <w:sz w:val="17"/>
        </w:rPr>
        <w:t>using</w:t>
      </w:r>
      <w:r>
        <w:rPr>
          <w:color w:val="010101"/>
          <w:spacing w:val="20"/>
          <w:w w:val="110"/>
          <w:sz w:val="17"/>
        </w:rPr>
        <w:t> </w:t>
      </w:r>
      <w:r>
        <w:rPr>
          <w:color w:val="010101"/>
          <w:w w:val="110"/>
          <w:sz w:val="17"/>
        </w:rPr>
        <w:t>(15.6),</w:t>
        <w:tab/>
      </w:r>
      <w:r>
        <w:rPr>
          <w:color w:val="1C1C1C"/>
          <w:w w:val="110"/>
          <w:sz w:val="17"/>
        </w:rPr>
        <w:t>·</w:t>
      </w:r>
    </w:p>
    <w:p>
      <w:pPr>
        <w:spacing w:before="5"/>
        <w:ind w:left="504" w:right="0" w:firstLine="0"/>
        <w:jc w:val="left"/>
        <w:rPr>
          <w:sz w:val="17"/>
        </w:rPr>
      </w:pPr>
      <w:r>
        <w:rPr>
          <w:color w:val="010101"/>
          <w:w w:val="110"/>
          <w:sz w:val="16"/>
        </w:rPr>
        <w:t>(b) </w:t>
      </w:r>
      <w:r>
        <w:rPr>
          <w:color w:val="010101"/>
          <w:w w:val="110"/>
          <w:sz w:val="17"/>
        </w:rPr>
        <w:t>using (15.7).</w:t>
      </w:r>
    </w:p>
    <w:p>
      <w:pPr>
        <w:pStyle w:val="ListParagraph"/>
        <w:numPr>
          <w:ilvl w:val="0"/>
          <w:numId w:val="139"/>
        </w:numPr>
        <w:tabs>
          <w:tab w:pos="526" w:val="left" w:leader="none"/>
        </w:tabs>
        <w:spacing w:line="247" w:lineRule="auto" w:before="5" w:after="0"/>
        <w:ind w:left="160" w:right="110" w:firstLine="158"/>
        <w:jc w:val="both"/>
        <w:rPr>
          <w:sz w:val="17"/>
        </w:rPr>
      </w:pPr>
      <w:r>
        <w:rPr>
          <w:color w:val="010101"/>
          <w:w w:val="110"/>
          <w:sz w:val="17"/>
        </w:rPr>
        <w:t>Give an expression for the probability that a life aged 30 in state (T) will attain age 31 in state (h) and will then die before attaining  </w:t>
      </w:r>
      <w:r>
        <w:rPr>
          <w:color w:val="010101"/>
          <w:spacing w:val="34"/>
          <w:w w:val="110"/>
          <w:sz w:val="17"/>
        </w:rPr>
        <w:t> </w:t>
      </w:r>
      <w:r>
        <w:rPr>
          <w:color w:val="010101"/>
          <w:w w:val="110"/>
          <w:sz w:val="17"/>
        </w:rPr>
        <w:t>age 32.</w:t>
      </w:r>
    </w:p>
    <w:p>
      <w:pPr>
        <w:pStyle w:val="ListParagraph"/>
        <w:numPr>
          <w:ilvl w:val="0"/>
          <w:numId w:val="139"/>
        </w:numPr>
        <w:tabs>
          <w:tab w:pos="534" w:val="left" w:leader="none"/>
        </w:tabs>
        <w:spacing w:line="159" w:lineRule="exact" w:before="0" w:after="0"/>
        <w:ind w:left="533" w:right="0" w:hanging="211"/>
        <w:jc w:val="left"/>
        <w:rPr>
          <w:sz w:val="17"/>
        </w:rPr>
      </w:pPr>
      <w:r>
        <w:rPr>
          <w:color w:val="010101"/>
          <w:w w:val="108"/>
          <w:sz w:val="17"/>
        </w:rPr>
        <w:t>Compute</w:t>
      </w:r>
      <w:r>
        <w:rPr>
          <w:color w:val="010101"/>
          <w:spacing w:val="15"/>
          <w:sz w:val="17"/>
        </w:rPr>
        <w:t> </w:t>
      </w:r>
      <w:r>
        <w:rPr>
          <w:color w:val="010101"/>
          <w:w w:val="113"/>
          <w:sz w:val="17"/>
        </w:rPr>
        <w:t>the</w:t>
      </w:r>
      <w:r>
        <w:rPr>
          <w:color w:val="010101"/>
          <w:spacing w:val="10"/>
          <w:sz w:val="17"/>
        </w:rPr>
        <w:t> </w:t>
      </w:r>
      <w:r>
        <w:rPr>
          <w:color w:val="010101"/>
          <w:w w:val="113"/>
          <w:sz w:val="17"/>
        </w:rPr>
        <w:t>entries</w:t>
      </w:r>
      <w:r>
        <w:rPr>
          <w:color w:val="010101"/>
          <w:spacing w:val="10"/>
          <w:sz w:val="17"/>
        </w:rPr>
        <w:t> </w:t>
      </w:r>
      <w:r>
        <w:rPr>
          <w:color w:val="010101"/>
          <w:w w:val="105"/>
          <w:sz w:val="17"/>
        </w:rPr>
        <w:t>for</w:t>
      </w:r>
      <w:r>
        <w:rPr>
          <w:color w:val="010101"/>
          <w:spacing w:val="19"/>
          <w:sz w:val="17"/>
        </w:rPr>
        <w:t> </w:t>
      </w:r>
      <w:r>
        <w:rPr>
          <w:color w:val="010101"/>
          <w:w w:val="104"/>
          <w:sz w:val="17"/>
        </w:rPr>
        <w:t>age</w:t>
      </w:r>
      <w:r>
        <w:rPr>
          <w:color w:val="010101"/>
          <w:spacing w:val="10"/>
          <w:sz w:val="17"/>
        </w:rPr>
        <w:t> </w:t>
      </w:r>
      <w:r>
        <w:rPr>
          <w:color w:val="010101"/>
          <w:w w:val="97"/>
          <w:sz w:val="17"/>
        </w:rPr>
        <w:t>32</w:t>
      </w:r>
      <w:r>
        <w:rPr>
          <w:color w:val="010101"/>
          <w:sz w:val="17"/>
        </w:rPr>
        <w:t> </w:t>
      </w:r>
      <w:r>
        <w:rPr>
          <w:color w:val="010101"/>
          <w:w w:val="108"/>
          <w:sz w:val="17"/>
        </w:rPr>
        <w:t>in</w:t>
      </w:r>
      <w:r>
        <w:rPr>
          <w:color w:val="010101"/>
          <w:spacing w:val="10"/>
          <w:sz w:val="17"/>
        </w:rPr>
        <w:t> </w:t>
      </w:r>
      <w:r>
        <w:rPr>
          <w:color w:val="010101"/>
          <w:w w:val="110"/>
          <w:sz w:val="17"/>
        </w:rPr>
        <w:t>Table</w:t>
      </w:r>
      <w:r>
        <w:rPr>
          <w:color w:val="010101"/>
          <w:sz w:val="17"/>
        </w:rPr>
        <w:t> </w:t>
      </w:r>
      <w:r>
        <w:rPr>
          <w:color w:val="010101"/>
          <w:spacing w:val="-21"/>
          <w:sz w:val="17"/>
        </w:rPr>
        <w:t> </w:t>
      </w:r>
      <w:r>
        <w:rPr>
          <w:color w:val="010101"/>
          <w:sz w:val="17"/>
        </w:rPr>
        <w:t>10</w:t>
      </w:r>
      <w:r>
        <w:rPr>
          <w:color w:val="010101"/>
          <w:spacing w:val="-16"/>
          <w:sz w:val="17"/>
        </w:rPr>
        <w:t> </w:t>
      </w:r>
      <w:r>
        <w:rPr>
          <w:color w:val="010101"/>
          <w:w w:val="107"/>
          <w:sz w:val="17"/>
        </w:rPr>
        <w:t>being</w:t>
      </w:r>
      <w:r>
        <w:rPr>
          <w:color w:val="010101"/>
          <w:spacing w:val="11"/>
          <w:sz w:val="17"/>
        </w:rPr>
        <w:t> </w:t>
      </w:r>
      <w:r>
        <w:rPr>
          <w:color w:val="010101"/>
          <w:w w:val="105"/>
          <w:sz w:val="17"/>
        </w:rPr>
        <w:t>given</w:t>
      </w:r>
      <w:r>
        <w:rPr>
          <w:color w:val="010101"/>
          <w:sz w:val="17"/>
        </w:rPr>
        <w:t> </w:t>
      </w:r>
      <w:r>
        <w:rPr>
          <w:color w:val="010101"/>
          <w:spacing w:val="-20"/>
          <w:sz w:val="17"/>
        </w:rPr>
        <w:t> </w:t>
      </w:r>
      <w:r>
        <w:rPr>
          <w:i/>
          <w:color w:val="010101"/>
          <w:spacing w:val="-5"/>
          <w:w w:val="148"/>
          <w:sz w:val="18"/>
        </w:rPr>
        <w:t>q</w:t>
      </w:r>
      <w:r>
        <w:rPr>
          <w:i/>
          <w:color w:val="010101"/>
          <w:w w:val="71"/>
          <w:sz w:val="18"/>
        </w:rPr>
        <w:t>f</w:t>
      </w:r>
      <w:r>
        <w:rPr>
          <w:i/>
          <w:color w:val="010101"/>
          <w:sz w:val="18"/>
        </w:rPr>
        <w:t>  </w:t>
      </w:r>
      <w:r>
        <w:rPr>
          <w:i/>
          <w:color w:val="010101"/>
          <w:spacing w:val="15"/>
          <w:sz w:val="18"/>
        </w:rPr>
        <w:t> </w:t>
      </w:r>
      <w:r>
        <w:rPr>
          <w:color w:val="010101"/>
          <w:w w:val="84"/>
          <w:sz w:val="21"/>
        </w:rPr>
        <w:t>=</w:t>
      </w:r>
      <w:r>
        <w:rPr>
          <w:color w:val="010101"/>
          <w:sz w:val="21"/>
        </w:rPr>
        <w:t> </w:t>
      </w:r>
      <w:r>
        <w:rPr>
          <w:color w:val="010101"/>
          <w:spacing w:val="-13"/>
          <w:sz w:val="21"/>
        </w:rPr>
        <w:t> </w:t>
      </w:r>
      <w:r>
        <w:rPr>
          <w:color w:val="1C1C1C"/>
          <w:spacing w:val="-18"/>
          <w:w w:val="134"/>
          <w:sz w:val="17"/>
        </w:rPr>
        <w:t>.</w:t>
      </w:r>
      <w:r>
        <w:rPr>
          <w:color w:val="010101"/>
          <w:w w:val="95"/>
          <w:sz w:val="17"/>
        </w:rPr>
        <w:t>020</w:t>
      </w:r>
      <w:r>
        <w:rPr>
          <w:color w:val="010101"/>
          <w:sz w:val="17"/>
        </w:rPr>
        <w:t> </w:t>
      </w:r>
      <w:r>
        <w:rPr>
          <w:color w:val="010101"/>
          <w:spacing w:val="-13"/>
          <w:sz w:val="17"/>
        </w:rPr>
        <w:t> </w:t>
      </w:r>
      <w:r>
        <w:rPr>
          <w:color w:val="010101"/>
          <w:w w:val="107"/>
          <w:sz w:val="17"/>
        </w:rPr>
        <w:t>and</w:t>
      </w:r>
    </w:p>
    <w:p>
      <w:pPr>
        <w:spacing w:line="247" w:lineRule="exact" w:before="0"/>
        <w:ind w:left="164" w:right="0" w:firstLine="0"/>
        <w:jc w:val="both"/>
        <w:rPr>
          <w:sz w:val="17"/>
        </w:rPr>
      </w:pPr>
      <w:r>
        <w:rPr>
          <w:b/>
          <w:i/>
          <w:color w:val="010101"/>
          <w:sz w:val="26"/>
        </w:rPr>
        <w:t>qW  </w:t>
      </w:r>
      <w:r>
        <w:rPr>
          <w:color w:val="010101"/>
          <w:w w:val="105"/>
          <w:sz w:val="21"/>
        </w:rPr>
        <w:t>=  </w:t>
      </w:r>
      <w:r>
        <w:rPr>
          <w:color w:val="010101"/>
          <w:w w:val="105"/>
          <w:sz w:val="17"/>
        </w:rPr>
        <w:t>.060, and  being  also given  that  the  rate  oí mortality  at  age 32 for</w:t>
      </w:r>
    </w:p>
    <w:p>
      <w:pPr>
        <w:spacing w:line="189" w:lineRule="exact" w:before="0"/>
        <w:ind w:left="153" w:right="0" w:firstLine="0"/>
        <w:jc w:val="both"/>
        <w:rPr>
          <w:sz w:val="17"/>
        </w:rPr>
      </w:pPr>
      <w:r>
        <w:rPr>
          <w:color w:val="010101"/>
          <w:w w:val="115"/>
          <w:sz w:val="17"/>
        </w:rPr>
        <w:t>lives in state </w:t>
      </w:r>
      <w:r>
        <w:rPr>
          <w:rFonts w:ascii="Arial"/>
          <w:b/>
          <w:color w:val="010101"/>
          <w:w w:val="115"/>
          <w:sz w:val="15"/>
        </w:rPr>
        <w:t>(h) </w:t>
      </w:r>
      <w:r>
        <w:rPr>
          <w:color w:val="010101"/>
          <w:w w:val="115"/>
          <w:sz w:val="17"/>
        </w:rPr>
        <w:t>is the same as for lives at that age in state (T).</w:t>
      </w:r>
    </w:p>
    <w:p>
      <w:pPr>
        <w:spacing w:after="0" w:line="189" w:lineRule="exact"/>
        <w:jc w:val="both"/>
        <w:rPr>
          <w:sz w:val="17"/>
        </w:rPr>
        <w:sectPr>
          <w:pgSz w:w="7200" w:h="11340"/>
          <w:pgMar w:top="480" w:bottom="280" w:left="680" w:right="560"/>
        </w:sectPr>
      </w:pPr>
    </w:p>
    <w:p>
      <w:pPr>
        <w:tabs>
          <w:tab w:pos="5873" w:val="right" w:leader="none"/>
        </w:tabs>
        <w:spacing w:before="61"/>
        <w:ind w:left="2555" w:right="0" w:firstLine="0"/>
        <w:jc w:val="left"/>
        <w:rPr>
          <w:sz w:val="20"/>
        </w:rPr>
      </w:pPr>
      <w:r>
        <w:rPr>
          <w:color w:val="010101"/>
          <w:w w:val="110"/>
          <w:sz w:val="15"/>
        </w:rPr>
        <w:t>EXERCISES</w:t>
      </w:r>
      <w:r>
        <w:rPr>
          <w:color w:val="010101"/>
          <w:w w:val="110"/>
          <w:sz w:val="20"/>
        </w:rPr>
        <w:tab/>
        <w:t>303</w:t>
      </w:r>
    </w:p>
    <w:p>
      <w:pPr>
        <w:pStyle w:val="BodyText"/>
        <w:spacing w:before="6"/>
        <w:rPr>
          <w:sz w:val="17"/>
        </w:rPr>
      </w:pPr>
    </w:p>
    <w:p>
      <w:pPr>
        <w:spacing w:before="0"/>
        <w:ind w:left="0" w:right="75" w:firstLine="0"/>
        <w:jc w:val="center"/>
        <w:rPr>
          <w:sz w:val="13"/>
        </w:rPr>
      </w:pPr>
      <w:r>
        <w:rPr/>
        <w:pict>
          <v:shape style="position:absolute;margin-left:169.770706pt;margin-top:-4.573009pt;width:14.9pt;height:26pt;mso-position-horizontal-relative:page;mso-position-vertical-relative:paragraph;z-index:-711232" type="#_x0000_t202" filled="false" stroked="false">
            <v:textbox inset="0,0,0,0">
              <w:txbxContent>
                <w:p>
                  <w:pPr>
                    <w:spacing w:line="520" w:lineRule="exact" w:before="0"/>
                    <w:ind w:left="0" w:right="0" w:firstLine="0"/>
                    <w:jc w:val="left"/>
                    <w:rPr>
                      <w:rFonts w:ascii="Arial"/>
                      <w:sz w:val="52"/>
                    </w:rPr>
                  </w:pPr>
                  <w:r>
                    <w:rPr>
                      <w:rFonts w:ascii="Arial"/>
                      <w:color w:val="010101"/>
                      <w:w w:val="102"/>
                      <w:sz w:val="52"/>
                    </w:rPr>
                    <w:t>1</w:t>
                  </w:r>
                </w:p>
              </w:txbxContent>
            </v:textbox>
            <w10:wrap type="none"/>
          </v:shape>
        </w:pict>
      </w:r>
      <w:r>
        <w:rPr>
          <w:color w:val="010101"/>
          <w:w w:val="156"/>
          <w:sz w:val="13"/>
        </w:rPr>
        <w:t>1</w:t>
      </w:r>
    </w:p>
    <w:p>
      <w:pPr>
        <w:pStyle w:val="ListParagraph"/>
        <w:numPr>
          <w:ilvl w:val="0"/>
          <w:numId w:val="139"/>
        </w:numPr>
        <w:tabs>
          <w:tab w:pos="511" w:val="left" w:leader="none"/>
          <w:tab w:pos="3022" w:val="left" w:leader="none"/>
        </w:tabs>
        <w:spacing w:line="410" w:lineRule="auto" w:before="21" w:after="0"/>
        <w:ind w:left="151" w:right="116" w:firstLine="147"/>
        <w:jc w:val="left"/>
        <w:rPr>
          <w:sz w:val="17"/>
        </w:rPr>
      </w:pPr>
      <w:r>
        <w:rPr>
          <w:color w:val="010101"/>
          <w:w w:val="105"/>
          <w:sz w:val="17"/>
        </w:rPr>
        <w:t>Find  an  exact</w:t>
      </w:r>
      <w:r>
        <w:rPr>
          <w:color w:val="010101"/>
          <w:spacing w:val="-3"/>
          <w:w w:val="105"/>
          <w:sz w:val="17"/>
        </w:rPr>
        <w:t> </w:t>
      </w:r>
      <w:r>
        <w:rPr>
          <w:color w:val="010101"/>
          <w:w w:val="105"/>
          <w:sz w:val="17"/>
        </w:rPr>
        <w:t>expression</w:t>
      </w:r>
      <w:r>
        <w:rPr>
          <w:color w:val="010101"/>
          <w:spacing w:val="41"/>
          <w:w w:val="105"/>
          <w:sz w:val="17"/>
        </w:rPr>
        <w:t> </w:t>
      </w:r>
      <w:r>
        <w:rPr>
          <w:color w:val="010101"/>
          <w:w w:val="105"/>
          <w:sz w:val="17"/>
        </w:rPr>
        <w:t>for</w:t>
        <w:tab/>
      </w:r>
      <w:r>
        <w:rPr>
          <w:i/>
          <w:color w:val="010101"/>
          <w:w w:val="105"/>
          <w:sz w:val="17"/>
        </w:rPr>
        <w:t>,p!r&gt;µ;</w:t>
      </w:r>
      <w:r>
        <w:rPr>
          <w:i/>
          <w:color w:val="010101"/>
          <w:spacing w:val="-39"/>
          <w:w w:val="105"/>
          <w:sz w:val="17"/>
        </w:rPr>
        <w:t> </w:t>
      </w:r>
      <w:r>
        <w:rPr>
          <w:i/>
          <w:color w:val="010101"/>
          <w:w w:val="105"/>
          <w:sz w:val="17"/>
        </w:rPr>
        <w:t>t·</w:t>
      </w:r>
      <w:r>
        <w:rPr>
          <w:i/>
          <w:color w:val="010101"/>
          <w:spacing w:val="-33"/>
          <w:w w:val="105"/>
          <w:sz w:val="17"/>
        </w:rPr>
        <w:t> </w:t>
      </w:r>
      <w:r>
        <w:rPr>
          <w:i/>
          <w:color w:val="010101"/>
          <w:w w:val="105"/>
          <w:sz w:val="17"/>
        </w:rPr>
        <w:t>1-1(hp),.+t</w:t>
      </w:r>
      <w:r>
        <w:rPr>
          <w:i/>
          <w:color w:val="010101"/>
          <w:spacing w:val="-12"/>
          <w:w w:val="105"/>
          <w:sz w:val="17"/>
        </w:rPr>
        <w:t> </w:t>
      </w:r>
      <w:r>
        <w:rPr>
          <w:i/>
          <w:color w:val="010101"/>
          <w:w w:val="105"/>
          <w:sz w:val="16"/>
        </w:rPr>
        <w:t>dt</w:t>
      </w:r>
      <w:r>
        <w:rPr>
          <w:i/>
          <w:color w:val="010101"/>
          <w:spacing w:val="-19"/>
          <w:w w:val="105"/>
          <w:sz w:val="16"/>
        </w:rPr>
        <w:t> </w:t>
      </w:r>
      <w:r>
        <w:rPr>
          <w:color w:val="010101"/>
          <w:w w:val="105"/>
          <w:sz w:val="17"/>
        </w:rPr>
        <w:t>in</w:t>
      </w:r>
      <w:r>
        <w:rPr>
          <w:color w:val="010101"/>
          <w:spacing w:val="-27"/>
          <w:w w:val="105"/>
          <w:sz w:val="17"/>
        </w:rPr>
        <w:t> </w:t>
      </w:r>
      <w:r>
        <w:rPr>
          <w:color w:val="010101"/>
          <w:w w:val="105"/>
          <w:sz w:val="17"/>
        </w:rPr>
        <w:t>terll'lS</w:t>
      </w:r>
      <w:r>
        <w:rPr>
          <w:color w:val="010101"/>
          <w:spacing w:val="-28"/>
          <w:w w:val="105"/>
          <w:sz w:val="17"/>
        </w:rPr>
        <w:t> </w:t>
      </w:r>
      <w:r>
        <w:rPr>
          <w:color w:val="010101"/>
          <w:w w:val="105"/>
          <w:sz w:val="17"/>
        </w:rPr>
        <w:t>of</w:t>
      </w:r>
      <w:r>
        <w:rPr>
          <w:color w:val="010101"/>
          <w:spacing w:val="-19"/>
          <w:w w:val="105"/>
          <w:sz w:val="17"/>
        </w:rPr>
        <w:t> </w:t>
      </w:r>
      <w:r>
        <w:rPr>
          <w:color w:val="010101"/>
          <w:w w:val="105"/>
          <w:sz w:val="17"/>
        </w:rPr>
        <w:t>func­</w:t>
      </w:r>
      <w:r>
        <w:rPr>
          <w:color w:val="010101"/>
          <w:w w:val="105"/>
          <w:sz w:val="17"/>
        </w:rPr>
        <w:t> </w:t>
      </w:r>
      <w:r>
        <w:rPr>
          <w:color w:val="010101"/>
          <w:w w:val="105"/>
          <w:sz w:val="17"/>
        </w:rPr>
        <w:t>tions  based  on  the  model  oí Table</w:t>
      </w:r>
      <w:r>
        <w:rPr>
          <w:color w:val="010101"/>
          <w:spacing w:val="15"/>
          <w:w w:val="105"/>
          <w:sz w:val="17"/>
        </w:rPr>
        <w:t> </w:t>
      </w:r>
      <w:r>
        <w:rPr>
          <w:color w:val="010101"/>
          <w:w w:val="105"/>
          <w:sz w:val="17"/>
        </w:rPr>
        <w:t>10.</w:t>
      </w:r>
    </w:p>
    <w:p>
      <w:pPr>
        <w:pStyle w:val="ListParagraph"/>
        <w:numPr>
          <w:ilvl w:val="0"/>
          <w:numId w:val="140"/>
        </w:numPr>
        <w:tabs>
          <w:tab w:pos="313" w:val="left" w:leader="none"/>
        </w:tabs>
        <w:spacing w:line="240" w:lineRule="auto" w:before="43" w:after="0"/>
        <w:ind w:left="312" w:right="0" w:hanging="183"/>
        <w:jc w:val="left"/>
        <w:rPr>
          <w:b/>
          <w:sz w:val="16"/>
        </w:rPr>
      </w:pPr>
      <w:r>
        <w:rPr>
          <w:b/>
          <w:color w:val="010101"/>
          <w:w w:val="125"/>
          <w:sz w:val="16"/>
        </w:rPr>
        <w:t>Disability and mortali</w:t>
      </w:r>
      <w:r>
        <w:rPr>
          <w:b/>
          <w:color w:val="010101"/>
          <w:spacing w:val="-8"/>
          <w:w w:val="125"/>
          <w:sz w:val="16"/>
        </w:rPr>
        <w:t> </w:t>
      </w:r>
      <w:r>
        <w:rPr>
          <w:b/>
          <w:color w:val="010101"/>
          <w:w w:val="125"/>
          <w:sz w:val="16"/>
        </w:rPr>
        <w:t>ty</w:t>
      </w:r>
    </w:p>
    <w:p>
      <w:pPr>
        <w:pStyle w:val="ListParagraph"/>
        <w:numPr>
          <w:ilvl w:val="1"/>
          <w:numId w:val="140"/>
        </w:numPr>
        <w:tabs>
          <w:tab w:pos="500" w:val="left" w:leader="none"/>
        </w:tabs>
        <w:spacing w:line="203" w:lineRule="exact" w:before="24" w:after="0"/>
        <w:ind w:left="133" w:right="0" w:firstLine="158"/>
        <w:jc w:val="left"/>
        <w:rPr>
          <w:sz w:val="23"/>
        </w:rPr>
      </w:pPr>
      <w:r>
        <w:rPr>
          <w:color w:val="010101"/>
          <w:w w:val="101"/>
          <w:sz w:val="17"/>
        </w:rPr>
        <w:t>Show</w:t>
      </w:r>
      <w:r>
        <w:rPr>
          <w:color w:val="010101"/>
          <w:sz w:val="17"/>
        </w:rPr>
        <w:t> </w:t>
      </w:r>
      <w:r>
        <w:rPr>
          <w:color w:val="010101"/>
          <w:spacing w:val="-14"/>
          <w:sz w:val="17"/>
        </w:rPr>
        <w:t> </w:t>
      </w:r>
      <w:r>
        <w:rPr>
          <w:color w:val="010101"/>
          <w:w w:val="122"/>
          <w:sz w:val="17"/>
        </w:rPr>
        <w:t>tha</w:t>
      </w:r>
      <w:r>
        <w:rPr>
          <w:color w:val="010101"/>
          <w:w w:val="122"/>
          <w:sz w:val="17"/>
        </w:rPr>
        <w:t>t</w:t>
      </w:r>
      <w:r>
        <w:rPr>
          <w:color w:val="010101"/>
          <w:sz w:val="17"/>
        </w:rPr>
        <w:t> </w:t>
      </w:r>
      <w:r>
        <w:rPr>
          <w:color w:val="010101"/>
          <w:spacing w:val="-14"/>
          <w:sz w:val="17"/>
        </w:rPr>
        <w:t> </w:t>
      </w:r>
      <w:r>
        <w:rPr>
          <w:color w:val="010101"/>
          <w:w w:val="106"/>
          <w:sz w:val="17"/>
        </w:rPr>
        <w:t>p</w:t>
      </w:r>
      <w:r>
        <w:rPr>
          <w:color w:val="010101"/>
          <w:sz w:val="17"/>
        </w:rPr>
        <w:t> </w:t>
      </w:r>
      <w:r>
        <w:rPr>
          <w:color w:val="010101"/>
          <w:spacing w:val="-21"/>
          <w:sz w:val="17"/>
        </w:rPr>
        <w:t> </w:t>
      </w:r>
      <w:r>
        <w:rPr>
          <w:color w:val="010101"/>
          <w:spacing w:val="18"/>
          <w:w w:val="208"/>
          <w:sz w:val="17"/>
        </w:rPr>
        <w:t>¡</w:t>
      </w:r>
      <w:r>
        <w:rPr>
          <w:rFonts w:ascii="Arial" w:hAnsi="Arial"/>
          <w:color w:val="010101"/>
          <w:w w:val="101"/>
          <w:sz w:val="22"/>
        </w:rPr>
        <w:t>&lt;</w:t>
      </w:r>
      <w:r>
        <w:rPr>
          <w:rFonts w:ascii="Arial" w:hAnsi="Arial"/>
          <w:color w:val="010101"/>
          <w:spacing w:val="1"/>
          <w:sz w:val="22"/>
        </w:rPr>
        <w:t> </w:t>
      </w:r>
      <w:r>
        <w:rPr>
          <w:i/>
          <w:color w:val="010101"/>
          <w:w w:val="68"/>
          <w:sz w:val="23"/>
        </w:rPr>
        <w:t>r,.</w:t>
      </w:r>
      <w:r>
        <w:rPr>
          <w:i/>
          <w:color w:val="010101"/>
          <w:spacing w:val="20"/>
          <w:sz w:val="23"/>
        </w:rPr>
        <w:t> </w:t>
      </w:r>
      <w:r>
        <w:rPr>
          <w:rFonts w:ascii="Arial" w:hAnsi="Arial"/>
          <w:color w:val="010101"/>
          <w:w w:val="101"/>
          <w:sz w:val="22"/>
        </w:rPr>
        <w:t>&lt;</w:t>
      </w:r>
      <w:r>
        <w:rPr>
          <w:rFonts w:ascii="Arial" w:hAnsi="Arial"/>
          <w:color w:val="010101"/>
          <w:spacing w:val="-2"/>
          <w:sz w:val="22"/>
        </w:rPr>
        <w:t> </w:t>
      </w:r>
      <w:r>
        <w:rPr>
          <w:i/>
          <w:color w:val="010101"/>
          <w:w w:val="78"/>
          <w:sz w:val="23"/>
        </w:rPr>
        <w:t>r;</w:t>
      </w:r>
      <w:r>
        <w:rPr>
          <w:i/>
          <w:color w:val="010101"/>
          <w:spacing w:val="1"/>
          <w:sz w:val="23"/>
        </w:rPr>
        <w:t> </w:t>
      </w:r>
      <w:r>
        <w:rPr>
          <w:color w:val="010101"/>
          <w:w w:val="99"/>
          <w:sz w:val="23"/>
        </w:rPr>
        <w:t>.</w:t>
      </w:r>
    </w:p>
    <w:p>
      <w:pPr>
        <w:pStyle w:val="ListParagraph"/>
        <w:numPr>
          <w:ilvl w:val="1"/>
          <w:numId w:val="140"/>
        </w:numPr>
        <w:tabs>
          <w:tab w:pos="500" w:val="left" w:leader="none"/>
        </w:tabs>
        <w:spacing w:line="271" w:lineRule="exact" w:before="0" w:after="0"/>
        <w:ind w:left="499" w:right="0" w:hanging="212"/>
        <w:jc w:val="left"/>
        <w:rPr>
          <w:sz w:val="17"/>
        </w:rPr>
      </w:pPr>
      <w:r>
        <w:rPr>
          <w:color w:val="010101"/>
          <w:w w:val="105"/>
          <w:sz w:val="17"/>
        </w:rPr>
        <w:t>Obtain  a formula  for  evaluating  </w:t>
      </w:r>
      <w:r>
        <w:rPr>
          <w:rFonts w:ascii="Arial"/>
          <w:i/>
          <w:color w:val="010101"/>
          <w:w w:val="95"/>
          <w:sz w:val="30"/>
        </w:rPr>
        <w:t>p: </w:t>
      </w:r>
      <w:r>
        <w:rPr>
          <w:color w:val="010101"/>
          <w:w w:val="105"/>
          <w:sz w:val="17"/>
        </w:rPr>
        <w:t>from  the  combined  disability</w:t>
      </w:r>
      <w:r>
        <w:rPr>
          <w:color w:val="010101"/>
          <w:spacing w:val="37"/>
          <w:w w:val="105"/>
          <w:sz w:val="17"/>
        </w:rPr>
        <w:t> </w:t>
      </w:r>
      <w:r>
        <w:rPr>
          <w:color w:val="010101"/>
          <w:w w:val="105"/>
          <w:sz w:val="17"/>
        </w:rPr>
        <w:t>and</w:t>
      </w:r>
    </w:p>
    <w:p>
      <w:pPr>
        <w:spacing w:line="141" w:lineRule="exact" w:before="0"/>
        <w:ind w:left="133" w:right="739" w:firstLine="0"/>
        <w:jc w:val="left"/>
        <w:rPr>
          <w:sz w:val="17"/>
        </w:rPr>
      </w:pPr>
      <w:r>
        <w:rPr>
          <w:color w:val="010101"/>
          <w:w w:val="115"/>
          <w:sz w:val="17"/>
        </w:rPr>
        <w:t>mortality table.</w:t>
      </w:r>
    </w:p>
    <w:p>
      <w:pPr>
        <w:pStyle w:val="ListParagraph"/>
        <w:numPr>
          <w:ilvl w:val="1"/>
          <w:numId w:val="140"/>
        </w:numPr>
        <w:tabs>
          <w:tab w:pos="500" w:val="left" w:leader="none"/>
        </w:tabs>
        <w:spacing w:line="269" w:lineRule="exact" w:before="0" w:after="0"/>
        <w:ind w:left="499" w:right="0" w:hanging="212"/>
        <w:jc w:val="left"/>
        <w:rPr>
          <w:sz w:val="17"/>
        </w:rPr>
      </w:pPr>
      <w:r>
        <w:rPr>
          <w:color w:val="010101"/>
          <w:sz w:val="17"/>
        </w:rPr>
        <w:t>From the given data find </w:t>
      </w:r>
      <w:r>
        <w:rPr>
          <w:i/>
          <w:color w:val="010101"/>
          <w:w w:val="95"/>
          <w:sz w:val="27"/>
        </w:rPr>
        <w:t>tt:: , </w:t>
      </w:r>
      <w:r>
        <w:rPr>
          <w:rFonts w:ascii="Arial"/>
          <w:i/>
          <w:color w:val="010101"/>
          <w:w w:val="95"/>
          <w:sz w:val="24"/>
        </w:rPr>
        <w:t>d!! </w:t>
      </w:r>
      <w:r>
        <w:rPr>
          <w:rFonts w:ascii="Arial"/>
          <w:color w:val="010101"/>
          <w:spacing w:val="4"/>
          <w:sz w:val="24"/>
        </w:rPr>
        <w:t>,</w:t>
      </w:r>
      <w:r>
        <w:rPr>
          <w:color w:val="010101"/>
          <w:spacing w:val="4"/>
          <w:sz w:val="17"/>
        </w:rPr>
        <w:t>and </w:t>
      </w:r>
      <w:r>
        <w:rPr>
          <w:rFonts w:ascii="Arial"/>
          <w:i/>
          <w:color w:val="010101"/>
          <w:w w:val="95"/>
          <w:sz w:val="24"/>
        </w:rPr>
        <w:t>lf ; , </w:t>
      </w:r>
      <w:r>
        <w:rPr>
          <w:color w:val="010101"/>
          <w:sz w:val="17"/>
        </w:rPr>
        <w:t>assuming </w:t>
      </w:r>
      <w:r>
        <w:rPr>
          <w:rFonts w:ascii="Arial"/>
          <w:i/>
          <w:color w:val="010101"/>
          <w:w w:val="95"/>
          <w:sz w:val="24"/>
        </w:rPr>
        <w:t>lf! </w:t>
      </w:r>
      <w:r>
        <w:rPr>
          <w:color w:val="010101"/>
          <w:sz w:val="21"/>
        </w:rPr>
        <w:t>=</w:t>
      </w:r>
      <w:r>
        <w:rPr>
          <w:color w:val="010101"/>
          <w:spacing w:val="-16"/>
          <w:sz w:val="21"/>
        </w:rPr>
        <w:t> </w:t>
      </w:r>
      <w:r>
        <w:rPr>
          <w:color w:val="010101"/>
          <w:w w:val="95"/>
          <w:sz w:val="17"/>
        </w:rPr>
        <w:t>O.</w:t>
      </w:r>
    </w:p>
    <w:p>
      <w:pPr>
        <w:pStyle w:val="BodyText"/>
        <w:rPr>
          <w:sz w:val="17"/>
        </w:rPr>
      </w:pPr>
      <w:r>
        <w:rPr/>
        <w:pict>
          <v:line style="position:absolute;mso-position-horizontal-relative:page;mso-position-vertical-relative:paragraph;z-index:24784;mso-wrap-distance-left:0;mso-wrap-distance-right:0" from="39.48156pt,12.000819pt" to="324.8255pt,12.000819pt" stroked="true" strokeweight=".538385pt" strokecolor="#000000">
            <w10:wrap type="topAndBottom"/>
          </v:line>
        </w:pict>
      </w:r>
    </w:p>
    <w:tbl>
      <w:tblPr>
        <w:tblW w:w="0" w:type="auto"/>
        <w:jc w:val="left"/>
        <w:tblInd w:w="117"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335"/>
        <w:gridCol w:w="1472"/>
        <w:gridCol w:w="1472"/>
        <w:gridCol w:w="1425"/>
      </w:tblGrid>
      <w:tr>
        <w:trPr>
          <w:trHeight w:val="435" w:hRule="exact"/>
        </w:trPr>
        <w:tc>
          <w:tcPr>
            <w:tcW w:w="1335" w:type="dxa"/>
            <w:vMerge w:val="restart"/>
            <w:tcBorders>
              <w:right w:val="single" w:sz="6" w:space="0" w:color="000000"/>
            </w:tcBorders>
          </w:tcPr>
          <w:p>
            <w:pPr>
              <w:pStyle w:val="TableParagraph"/>
              <w:spacing w:before="107"/>
              <w:ind w:left="72"/>
              <w:jc w:val="center"/>
              <w:rPr>
                <w:rFonts w:ascii="Times New Roman"/>
                <w:sz w:val="22"/>
              </w:rPr>
            </w:pPr>
            <w:r>
              <w:rPr>
                <w:rFonts w:ascii="Times New Roman"/>
                <w:color w:val="010101"/>
                <w:w w:val="96"/>
                <w:sz w:val="22"/>
              </w:rPr>
              <w:t>"</w:t>
            </w:r>
          </w:p>
          <w:p>
            <w:pPr>
              <w:pStyle w:val="TableParagraph"/>
              <w:spacing w:line="175" w:lineRule="exact" w:before="177"/>
              <w:ind w:left="492" w:right="467"/>
              <w:jc w:val="center"/>
              <w:rPr>
                <w:rFonts w:ascii="Times New Roman"/>
                <w:sz w:val="16"/>
              </w:rPr>
            </w:pPr>
            <w:r>
              <w:rPr>
                <w:rFonts w:ascii="Times New Roman"/>
                <w:color w:val="010101"/>
                <w:w w:val="125"/>
                <w:sz w:val="16"/>
              </w:rPr>
              <w:t>15</w:t>
            </w:r>
          </w:p>
          <w:p>
            <w:pPr>
              <w:pStyle w:val="TableParagraph"/>
              <w:spacing w:line="175" w:lineRule="exact"/>
              <w:ind w:left="446" w:right="531"/>
              <w:jc w:val="center"/>
              <w:rPr>
                <w:rFonts w:ascii="Times New Roman"/>
                <w:sz w:val="16"/>
              </w:rPr>
            </w:pPr>
            <w:r>
              <w:rPr>
                <w:rFonts w:ascii="Times New Roman"/>
                <w:color w:val="161616"/>
                <w:w w:val="105"/>
                <w:sz w:val="16"/>
              </w:rPr>
              <w:t>. </w:t>
            </w:r>
            <w:r>
              <w:rPr>
                <w:rFonts w:ascii="Times New Roman"/>
                <w:color w:val="010101"/>
                <w:spacing w:val="-17"/>
                <w:w w:val="105"/>
                <w:sz w:val="16"/>
              </w:rPr>
              <w:t>16</w:t>
            </w:r>
          </w:p>
        </w:tc>
        <w:tc>
          <w:tcPr>
            <w:tcW w:w="1472" w:type="dxa"/>
            <w:vMerge w:val="restart"/>
            <w:tcBorders>
              <w:left w:val="single" w:sz="6" w:space="0" w:color="000000"/>
              <w:right w:val="single" w:sz="4" w:space="0" w:color="000000"/>
            </w:tcBorders>
          </w:tcPr>
          <w:p>
            <w:pPr>
              <w:pStyle w:val="TableParagraph"/>
              <w:rPr>
                <w:rFonts w:ascii="Times New Roman"/>
                <w:sz w:val="16"/>
              </w:rPr>
            </w:pPr>
          </w:p>
          <w:p>
            <w:pPr>
              <w:pStyle w:val="TableParagraph"/>
              <w:rPr>
                <w:rFonts w:ascii="Times New Roman"/>
                <w:sz w:val="16"/>
              </w:rPr>
            </w:pPr>
          </w:p>
          <w:p>
            <w:pPr>
              <w:pStyle w:val="TableParagraph"/>
              <w:rPr>
                <w:rFonts w:ascii="Times New Roman"/>
                <w:sz w:val="15"/>
              </w:rPr>
            </w:pPr>
          </w:p>
          <w:p>
            <w:pPr>
              <w:pStyle w:val="TableParagraph"/>
              <w:ind w:left="469" w:right="465"/>
              <w:jc w:val="center"/>
              <w:rPr>
                <w:rFonts w:ascii="Times New Roman"/>
                <w:sz w:val="16"/>
              </w:rPr>
            </w:pPr>
            <w:r>
              <w:rPr>
                <w:rFonts w:ascii="Times New Roman"/>
                <w:color w:val="010101"/>
                <w:w w:val="110"/>
                <w:sz w:val="16"/>
              </w:rPr>
              <w:t>96,285</w:t>
            </w:r>
          </w:p>
          <w:p>
            <w:pPr>
              <w:pStyle w:val="TableParagraph"/>
              <w:spacing w:before="8"/>
              <w:ind w:left="466" w:right="465"/>
              <w:jc w:val="center"/>
              <w:rPr>
                <w:rFonts w:ascii="Times New Roman"/>
                <w:sz w:val="17"/>
              </w:rPr>
            </w:pPr>
            <w:r>
              <w:rPr>
                <w:rFonts w:ascii="Times New Roman"/>
                <w:color w:val="010101"/>
                <w:sz w:val="17"/>
              </w:rPr>
              <w:t>95,550</w:t>
            </w:r>
          </w:p>
        </w:tc>
        <w:tc>
          <w:tcPr>
            <w:tcW w:w="1472" w:type="dxa"/>
            <w:tcBorders>
              <w:left w:val="single" w:sz="4" w:space="0" w:color="000000"/>
              <w:bottom w:val="single" w:sz="4" w:space="0" w:color="000000"/>
              <w:right w:val="single" w:sz="4" w:space="0" w:color="000000"/>
            </w:tcBorders>
          </w:tcPr>
          <w:p>
            <w:pPr/>
          </w:p>
        </w:tc>
        <w:tc>
          <w:tcPr>
            <w:tcW w:w="1425" w:type="dxa"/>
            <w:tcBorders>
              <w:left w:val="single" w:sz="4" w:space="0" w:color="000000"/>
              <w:bottom w:val="single" w:sz="4" w:space="0" w:color="000000"/>
            </w:tcBorders>
          </w:tcPr>
          <w:p>
            <w:pPr/>
          </w:p>
        </w:tc>
      </w:tr>
      <w:tr>
        <w:trPr>
          <w:trHeight w:val="622" w:hRule="exact"/>
        </w:trPr>
        <w:tc>
          <w:tcPr>
            <w:tcW w:w="1335" w:type="dxa"/>
            <w:vMerge/>
            <w:tcBorders>
              <w:bottom w:val="single" w:sz="4" w:space="0" w:color="000000"/>
              <w:right w:val="single" w:sz="6" w:space="0" w:color="000000"/>
            </w:tcBorders>
          </w:tcPr>
          <w:p>
            <w:pPr/>
          </w:p>
        </w:tc>
        <w:tc>
          <w:tcPr>
            <w:tcW w:w="1472" w:type="dxa"/>
            <w:vMerge/>
            <w:tcBorders>
              <w:left w:val="single" w:sz="6" w:space="0" w:color="000000"/>
              <w:bottom w:val="single" w:sz="4" w:space="0" w:color="000000"/>
              <w:right w:val="single" w:sz="4" w:space="0" w:color="000000"/>
            </w:tcBorders>
          </w:tcPr>
          <w:p>
            <w:pPr/>
          </w:p>
        </w:tc>
        <w:tc>
          <w:tcPr>
            <w:tcW w:w="1472" w:type="dxa"/>
            <w:tcBorders>
              <w:top w:val="single" w:sz="4" w:space="0" w:color="000000"/>
              <w:left w:val="single" w:sz="4" w:space="0" w:color="000000"/>
              <w:bottom w:val="single" w:sz="4" w:space="0" w:color="000000"/>
              <w:right w:val="single" w:sz="4" w:space="0" w:color="000000"/>
            </w:tcBorders>
          </w:tcPr>
          <w:p>
            <w:pPr>
              <w:pStyle w:val="TableParagraph"/>
              <w:spacing w:before="91"/>
              <w:ind w:left="627" w:right="622"/>
              <w:jc w:val="center"/>
              <w:rPr>
                <w:rFonts w:ascii="Times New Roman"/>
                <w:sz w:val="17"/>
              </w:rPr>
            </w:pPr>
            <w:r>
              <w:rPr>
                <w:rFonts w:ascii="Times New Roman"/>
                <w:color w:val="010101"/>
                <w:sz w:val="17"/>
              </w:rPr>
              <w:t>57</w:t>
            </w:r>
          </w:p>
          <w:p>
            <w:pPr>
              <w:pStyle w:val="TableParagraph"/>
              <w:spacing w:before="18"/>
              <w:ind w:left="627" w:right="619"/>
              <w:jc w:val="center"/>
              <w:rPr>
                <w:rFonts w:ascii="Times New Roman"/>
                <w:sz w:val="16"/>
              </w:rPr>
            </w:pPr>
            <w:r>
              <w:rPr>
                <w:rFonts w:ascii="Times New Roman"/>
                <w:color w:val="010101"/>
                <w:w w:val="105"/>
                <w:sz w:val="16"/>
              </w:rPr>
              <w:t>56</w:t>
            </w:r>
          </w:p>
        </w:tc>
        <w:tc>
          <w:tcPr>
            <w:tcW w:w="1425" w:type="dxa"/>
            <w:tcBorders>
              <w:top w:val="single" w:sz="4" w:space="0" w:color="000000"/>
              <w:left w:val="single" w:sz="4" w:space="0" w:color="000000"/>
              <w:bottom w:val="single" w:sz="4" w:space="0" w:color="000000"/>
            </w:tcBorders>
          </w:tcPr>
          <w:p>
            <w:pPr>
              <w:pStyle w:val="TableParagraph"/>
              <w:spacing w:before="89"/>
              <w:ind w:left="562" w:right="501"/>
              <w:jc w:val="center"/>
              <w:rPr>
                <w:rFonts w:ascii="Times New Roman"/>
                <w:sz w:val="18"/>
              </w:rPr>
            </w:pPr>
            <w:r>
              <w:rPr>
                <w:rFonts w:ascii="Times New Roman"/>
                <w:color w:val="010101"/>
                <w:sz w:val="18"/>
              </w:rPr>
              <w:t>.267</w:t>
            </w:r>
          </w:p>
          <w:p>
            <w:pPr>
              <w:pStyle w:val="TableParagraph"/>
              <w:spacing w:before="9"/>
              <w:ind w:left="562" w:right="497"/>
              <w:jc w:val="center"/>
              <w:rPr>
                <w:rFonts w:ascii="Times New Roman"/>
                <w:sz w:val="16"/>
              </w:rPr>
            </w:pPr>
            <w:r>
              <w:rPr>
                <w:rFonts w:ascii="Times New Roman"/>
                <w:color w:val="010101"/>
                <w:w w:val="105"/>
                <w:sz w:val="16"/>
              </w:rPr>
              <w:t>.254</w:t>
            </w:r>
          </w:p>
        </w:tc>
      </w:tr>
    </w:tbl>
    <w:p>
      <w:pPr>
        <w:pStyle w:val="BodyText"/>
        <w:spacing w:before="9"/>
        <w:rPr>
          <w:sz w:val="15"/>
        </w:rPr>
      </w:pPr>
    </w:p>
    <w:p>
      <w:pPr>
        <w:pStyle w:val="ListParagraph"/>
        <w:numPr>
          <w:ilvl w:val="1"/>
          <w:numId w:val="140"/>
        </w:numPr>
        <w:tabs>
          <w:tab w:pos="493" w:val="left" w:leader="none"/>
        </w:tabs>
        <w:spacing w:line="247" w:lineRule="auto" w:before="78" w:after="0"/>
        <w:ind w:left="133" w:right="150" w:firstLine="154"/>
        <w:jc w:val="both"/>
        <w:rPr>
          <w:sz w:val="17"/>
        </w:rPr>
      </w:pPr>
      <w:r>
        <w:rPr>
          <w:color w:val="010101"/>
          <w:w w:val="105"/>
          <w:sz w:val="17"/>
        </w:rPr>
        <w:t>Which of the following expressions are  exactly  equivalent  to  each other?</w:t>
      </w:r>
    </w:p>
    <w:p>
      <w:pPr>
        <w:spacing w:before="12"/>
        <w:ind w:left="463" w:right="739" w:firstLine="0"/>
        <w:jc w:val="left"/>
        <w:rPr>
          <w:sz w:val="16"/>
        </w:rPr>
      </w:pPr>
      <w:r>
        <w:rPr>
          <w:color w:val="010101"/>
          <w:w w:val="115"/>
          <w:sz w:val="16"/>
        </w:rPr>
        <w:t>(</w:t>
      </w:r>
      <w:r>
        <w:rPr>
          <w:color w:val="010101"/>
          <w:w w:val="115"/>
          <w:sz w:val="16"/>
        </w:rPr>
        <w:t>a</w:t>
      </w:r>
      <w:r>
        <w:rPr>
          <w:color w:val="010101"/>
          <w:w w:val="115"/>
          <w:sz w:val="16"/>
        </w:rPr>
        <w:t>)</w:t>
      </w:r>
      <w:r>
        <w:rPr>
          <w:color w:val="010101"/>
          <w:sz w:val="16"/>
        </w:rPr>
        <w:t> </w:t>
      </w:r>
      <w:r>
        <w:rPr>
          <w:color w:val="010101"/>
          <w:spacing w:val="1"/>
          <w:sz w:val="16"/>
        </w:rPr>
        <w:t> </w:t>
      </w:r>
      <w:r>
        <w:rPr>
          <w:color w:val="010101"/>
          <w:w w:val="119"/>
          <w:sz w:val="16"/>
        </w:rPr>
        <w:t>q</w:t>
      </w:r>
      <w:r>
        <w:rPr>
          <w:color w:val="010101"/>
          <w:spacing w:val="-10"/>
          <w:w w:val="119"/>
          <w:sz w:val="16"/>
        </w:rPr>
        <w:t>;</w:t>
      </w:r>
      <w:r>
        <w:rPr>
          <w:color w:val="010101"/>
          <w:spacing w:val="-19"/>
          <w:w w:val="242"/>
          <w:sz w:val="16"/>
        </w:rPr>
        <w:t>¡</w:t>
      </w:r>
      <w:r>
        <w:rPr>
          <w:rFonts w:ascii="Arial" w:hAnsi="Arial"/>
          <w:color w:val="010101"/>
          <w:w w:val="105"/>
          <w:sz w:val="26"/>
        </w:rPr>
        <w:t>+</w:t>
      </w:r>
      <w:r>
        <w:rPr>
          <w:rFonts w:ascii="Arial" w:hAnsi="Arial"/>
          <w:color w:val="010101"/>
          <w:spacing w:val="-22"/>
          <w:sz w:val="26"/>
        </w:rPr>
        <w:t> </w:t>
      </w:r>
      <w:r>
        <w:rPr>
          <w:i/>
          <w:color w:val="010101"/>
          <w:spacing w:val="11"/>
          <w:w w:val="51"/>
          <w:sz w:val="28"/>
        </w:rPr>
        <w:t>p</w:t>
      </w:r>
      <w:r>
        <w:rPr>
          <w:i/>
          <w:color w:val="010101"/>
          <w:spacing w:val="-14"/>
          <w:w w:val="91"/>
          <w:sz w:val="28"/>
        </w:rPr>
        <w:t>;</w:t>
      </w:r>
      <w:r>
        <w:rPr>
          <w:i/>
          <w:color w:val="010101"/>
          <w:spacing w:val="-1"/>
          <w:w w:val="115"/>
          <w:sz w:val="28"/>
        </w:rPr>
        <w:t>'</w:t>
      </w:r>
      <w:r>
        <w:rPr>
          <w:color w:val="010101"/>
          <w:spacing w:val="-19"/>
          <w:w w:val="84"/>
          <w:sz w:val="28"/>
        </w:rPr>
        <w:t>·</w:t>
      </w:r>
      <w:r>
        <w:rPr>
          <w:color w:val="010101"/>
          <w:w w:val="99"/>
          <w:sz w:val="16"/>
        </w:rPr>
        <w:t>q</w:t>
      </w:r>
      <w:r>
        <w:rPr>
          <w:color w:val="010101"/>
          <w:spacing w:val="13"/>
          <w:sz w:val="16"/>
        </w:rPr>
        <w:t> </w:t>
      </w:r>
      <w:r>
        <w:rPr>
          <w:color w:val="010101"/>
          <w:w w:val="84"/>
          <w:sz w:val="16"/>
        </w:rPr>
        <w:t>+1</w:t>
      </w:r>
    </w:p>
    <w:p>
      <w:pPr>
        <w:spacing w:before="41"/>
        <w:ind w:left="456" w:right="739" w:firstLine="0"/>
        <w:jc w:val="left"/>
        <w:rPr>
          <w:rFonts w:ascii="Arial" w:hAnsi="Arial"/>
          <w:i/>
          <w:sz w:val="24"/>
        </w:rPr>
      </w:pPr>
      <w:r>
        <w:rPr>
          <w:rFonts w:ascii="Arial" w:hAnsi="Arial"/>
          <w:color w:val="010101"/>
          <w:w w:val="109"/>
          <w:sz w:val="16"/>
        </w:rPr>
        <w:t>(</w:t>
      </w:r>
      <w:r>
        <w:rPr>
          <w:rFonts w:ascii="Arial" w:hAnsi="Arial"/>
          <w:color w:val="010101"/>
          <w:w w:val="109"/>
          <w:sz w:val="16"/>
        </w:rPr>
        <w:t>b</w:t>
      </w:r>
      <w:r>
        <w:rPr>
          <w:rFonts w:ascii="Arial" w:hAnsi="Arial"/>
          <w:color w:val="010101"/>
          <w:w w:val="109"/>
          <w:sz w:val="16"/>
        </w:rPr>
        <w:t>)</w:t>
      </w:r>
      <w:r>
        <w:rPr>
          <w:rFonts w:ascii="Arial" w:hAnsi="Arial"/>
          <w:color w:val="010101"/>
          <w:sz w:val="16"/>
        </w:rPr>
        <w:t> </w:t>
      </w:r>
      <w:r>
        <w:rPr>
          <w:rFonts w:ascii="Arial" w:hAnsi="Arial"/>
          <w:color w:val="010101"/>
          <w:spacing w:val="-14"/>
          <w:sz w:val="16"/>
        </w:rPr>
        <w:t> </w:t>
      </w:r>
      <w:r>
        <w:rPr>
          <w:i/>
          <w:color w:val="010101"/>
          <w:w w:val="95"/>
          <w:sz w:val="17"/>
        </w:rPr>
        <w:t>r,.</w:t>
      </w:r>
      <w:r>
        <w:rPr>
          <w:i/>
          <w:color w:val="010101"/>
          <w:spacing w:val="20"/>
          <w:sz w:val="17"/>
        </w:rPr>
        <w:t> </w:t>
      </w:r>
      <w:r>
        <w:rPr>
          <w:color w:val="010101"/>
          <w:w w:val="281"/>
          <w:sz w:val="17"/>
        </w:rPr>
        <w:t>-</w:t>
      </w:r>
      <w:r>
        <w:rPr>
          <w:color w:val="010101"/>
          <w:spacing w:val="2"/>
          <w:sz w:val="17"/>
        </w:rPr>
        <w:t> </w:t>
      </w:r>
      <w:r>
        <w:rPr>
          <w:color w:val="010101"/>
          <w:w w:val="81"/>
          <w:sz w:val="23"/>
        </w:rPr>
        <w:t>p</w:t>
      </w:r>
      <w:r>
        <w:rPr>
          <w:color w:val="010101"/>
          <w:spacing w:val="-4"/>
          <w:sz w:val="23"/>
        </w:rPr>
        <w:t> </w:t>
      </w:r>
      <w:r>
        <w:rPr>
          <w:color w:val="010101"/>
          <w:spacing w:val="-13"/>
          <w:w w:val="202"/>
          <w:sz w:val="23"/>
        </w:rPr>
        <w:t>'</w:t>
      </w:r>
      <w:r>
        <w:rPr>
          <w:rFonts w:ascii="Arial" w:hAnsi="Arial"/>
          <w:i/>
          <w:color w:val="010101"/>
          <w:w w:val="68"/>
          <w:sz w:val="24"/>
        </w:rPr>
        <w:t>·P!+i</w:t>
      </w:r>
    </w:p>
    <w:p>
      <w:pPr>
        <w:spacing w:line="239" w:lineRule="exact" w:before="49"/>
        <w:ind w:left="74" w:right="3880" w:firstLine="0"/>
        <w:jc w:val="center"/>
        <w:rPr>
          <w:rFonts w:ascii="Arial"/>
          <w:sz w:val="25"/>
        </w:rPr>
      </w:pPr>
      <w:r>
        <w:rPr>
          <w:color w:val="010101"/>
          <w:w w:val="80"/>
          <w:sz w:val="25"/>
        </w:rPr>
        <w:t>el!' + </w:t>
      </w:r>
      <w:r>
        <w:rPr>
          <w:rFonts w:ascii="Arial"/>
          <w:color w:val="010101"/>
          <w:w w:val="80"/>
          <w:sz w:val="25"/>
        </w:rPr>
        <w:t>d!t1</w:t>
      </w:r>
    </w:p>
    <w:p>
      <w:pPr>
        <w:tabs>
          <w:tab w:pos="998" w:val="left" w:leader="none"/>
        </w:tabs>
        <w:spacing w:line="191" w:lineRule="exact" w:before="0"/>
        <w:ind w:left="445" w:right="739" w:firstLine="0"/>
        <w:jc w:val="left"/>
        <w:rPr>
          <w:rFonts w:ascii="Arial" w:hAnsi="Arial"/>
          <w:i/>
          <w:sz w:val="21"/>
        </w:rPr>
      </w:pPr>
      <w:r>
        <w:rPr>
          <w:color w:val="010101"/>
          <w:sz w:val="16"/>
        </w:rPr>
        <w:t>(e)</w:t>
        <w:tab/>
      </w:r>
      <w:r>
        <w:rPr>
          <w:rFonts w:ascii="Arial" w:hAnsi="Arial"/>
          <w:i/>
          <w:color w:val="010101"/>
          <w:sz w:val="21"/>
        </w:rPr>
        <w:t>l:°</w:t>
      </w:r>
    </w:p>
    <w:p>
      <w:pPr>
        <w:pStyle w:val="BodyText"/>
        <w:spacing w:line="51" w:lineRule="exact"/>
        <w:ind w:left="972"/>
        <w:rPr>
          <w:rFonts w:ascii="Arial"/>
          <w:sz w:val="5"/>
        </w:rPr>
      </w:pPr>
      <w:r>
        <w:rPr>
          <w:rFonts w:ascii="Arial"/>
          <w:position w:val="0"/>
          <w:sz w:val="5"/>
        </w:rPr>
        <w:pict>
          <v:group style="width:7.6pt;height:2.550pt;mso-position-horizontal-relative:char;mso-position-vertical-relative:line" coordorigin="0,0" coordsize="152,51">
            <v:line style="position:absolute" from="25,25" to="126,25" stroked="true" strokeweight="2.512463pt" strokecolor="#000000"/>
          </v:group>
        </w:pict>
      </w:r>
      <w:r>
        <w:rPr>
          <w:rFonts w:ascii="Arial"/>
          <w:position w:val="0"/>
          <w:sz w:val="5"/>
        </w:rPr>
      </w:r>
    </w:p>
    <w:p>
      <w:pPr>
        <w:spacing w:before="147"/>
        <w:ind w:left="445" w:right="739" w:firstLine="0"/>
        <w:jc w:val="left"/>
        <w:rPr>
          <w:i/>
          <w:sz w:val="18"/>
        </w:rPr>
      </w:pPr>
      <w:r>
        <w:rPr/>
        <w:pict>
          <v:shape style="position:absolute;margin-left:76.450638pt;margin-top:8.506496pt;width:3.25pt;height:6pt;mso-position-horizontal-relative:page;mso-position-vertical-relative:paragraph;z-index:-711208" type="#_x0000_t202" filled="false" stroked="false">
            <v:textbox inset="0,0,0,0">
              <w:txbxContent>
                <w:p>
                  <w:pPr>
                    <w:spacing w:line="120" w:lineRule="exact" w:before="0"/>
                    <w:ind w:left="0" w:right="0" w:firstLine="0"/>
                    <w:jc w:val="left"/>
                    <w:rPr>
                      <w:rFonts w:ascii="Arial"/>
                      <w:b/>
                      <w:sz w:val="12"/>
                    </w:rPr>
                  </w:pPr>
                  <w:r>
                    <w:rPr>
                      <w:rFonts w:ascii="Arial"/>
                      <w:b/>
                      <w:color w:val="010101"/>
                      <w:w w:val="96"/>
                      <w:sz w:val="12"/>
                    </w:rPr>
                    <w:t>2</w:t>
                  </w:r>
                </w:p>
              </w:txbxContent>
            </v:textbox>
            <w10:wrap type="none"/>
          </v:shape>
        </w:pict>
      </w:r>
      <w:r>
        <w:rPr>
          <w:color w:val="010101"/>
          <w:sz w:val="17"/>
        </w:rPr>
        <w:t>(d) </w:t>
      </w:r>
      <w:r>
        <w:rPr>
          <w:b/>
          <w:color w:val="010101"/>
          <w:w w:val="80"/>
          <w:sz w:val="36"/>
        </w:rPr>
        <w:t>fo </w:t>
      </w:r>
      <w:r>
        <w:rPr>
          <w:rFonts w:ascii="Arial" w:hAnsi="Arial"/>
          <w:i/>
          <w:color w:val="010101"/>
          <w:w w:val="80"/>
          <w:sz w:val="30"/>
        </w:rPr>
        <w:t>,p:'</w:t>
      </w:r>
      <w:r>
        <w:rPr>
          <w:rFonts w:ascii="Arial" w:hAnsi="Arial"/>
          <w:color w:val="010101"/>
          <w:w w:val="80"/>
          <w:sz w:val="30"/>
        </w:rPr>
        <w:t>· </w:t>
      </w:r>
      <w:r>
        <w:rPr>
          <w:rFonts w:ascii="Arial" w:hAnsi="Arial"/>
          <w:color w:val="010101"/>
          <w:sz w:val="16"/>
        </w:rPr>
        <w:t>+' </w:t>
      </w:r>
      <w:r>
        <w:rPr>
          <w:i/>
          <w:color w:val="010101"/>
          <w:w w:val="80"/>
          <w:sz w:val="18"/>
        </w:rPr>
        <w:t>d </w:t>
      </w:r>
      <w:r>
        <w:rPr>
          <w:i/>
          <w:color w:val="010101"/>
          <w:sz w:val="18"/>
        </w:rPr>
        <w:t>t,</w:t>
      </w:r>
    </w:p>
    <w:p>
      <w:pPr>
        <w:spacing w:before="149"/>
        <w:ind w:left="122" w:right="739" w:firstLine="0"/>
        <w:jc w:val="left"/>
        <w:rPr>
          <w:sz w:val="17"/>
        </w:rPr>
      </w:pPr>
      <w:r>
        <w:rPr>
          <w:color w:val="010101"/>
          <w:w w:val="103"/>
          <w:sz w:val="17"/>
        </w:rPr>
        <w:t>where</w:t>
      </w:r>
      <w:r>
        <w:rPr>
          <w:color w:val="010101"/>
          <w:spacing w:val="3"/>
          <w:sz w:val="17"/>
        </w:rPr>
        <w:t> </w:t>
      </w:r>
      <w:r>
        <w:rPr>
          <w:color w:val="010101"/>
          <w:w w:val="49"/>
          <w:sz w:val="25"/>
        </w:rPr>
        <w:t>,,</w:t>
      </w:r>
      <w:r>
        <w:rPr>
          <w:color w:val="010101"/>
          <w:spacing w:val="-10"/>
          <w:w w:val="49"/>
          <w:sz w:val="25"/>
        </w:rPr>
        <w:t>.</w:t>
      </w:r>
      <w:r>
        <w:rPr>
          <w:color w:val="010101"/>
          <w:spacing w:val="-69"/>
          <w:w w:val="206"/>
          <w:sz w:val="25"/>
        </w:rPr>
        <w:t>!</w:t>
      </w:r>
      <w:r>
        <w:rPr>
          <w:color w:val="010101"/>
          <w:w w:val="106"/>
          <w:sz w:val="17"/>
        </w:rPr>
        <w:t>is</w:t>
      </w:r>
      <w:r>
        <w:rPr>
          <w:color w:val="010101"/>
          <w:spacing w:val="-3"/>
          <w:sz w:val="17"/>
        </w:rPr>
        <w:t> </w:t>
      </w:r>
      <w:r>
        <w:rPr>
          <w:color w:val="010101"/>
          <w:w w:val="117"/>
          <w:sz w:val="17"/>
        </w:rPr>
        <w:t>the</w:t>
      </w:r>
      <w:r>
        <w:rPr>
          <w:color w:val="010101"/>
          <w:spacing w:val="3"/>
          <w:sz w:val="17"/>
        </w:rPr>
        <w:t> </w:t>
      </w:r>
      <w:r>
        <w:rPr>
          <w:color w:val="010101"/>
          <w:w w:val="105"/>
          <w:sz w:val="17"/>
        </w:rPr>
        <w:t>force</w:t>
      </w:r>
      <w:r>
        <w:rPr>
          <w:color w:val="010101"/>
          <w:spacing w:val="7"/>
          <w:sz w:val="17"/>
        </w:rPr>
        <w:t> </w:t>
      </w:r>
      <w:r>
        <w:rPr>
          <w:color w:val="010101"/>
          <w:w w:val="91"/>
          <w:sz w:val="17"/>
        </w:rPr>
        <w:t>of</w:t>
      </w:r>
      <w:r>
        <w:rPr>
          <w:color w:val="010101"/>
          <w:spacing w:val="17"/>
          <w:sz w:val="17"/>
        </w:rPr>
        <w:t> </w:t>
      </w:r>
      <w:r>
        <w:rPr>
          <w:color w:val="010101"/>
          <w:w w:val="105"/>
          <w:sz w:val="17"/>
        </w:rPr>
        <w:t>morta.lity</w:t>
      </w:r>
      <w:r>
        <w:rPr>
          <w:color w:val="010101"/>
          <w:sz w:val="17"/>
        </w:rPr>
        <w:t> </w:t>
      </w:r>
      <w:r>
        <w:rPr>
          <w:color w:val="010101"/>
          <w:spacing w:val="-15"/>
          <w:sz w:val="17"/>
        </w:rPr>
        <w:t> </w:t>
      </w:r>
      <w:r>
        <w:rPr>
          <w:color w:val="010101"/>
          <w:w w:val="95"/>
          <w:sz w:val="17"/>
        </w:rPr>
        <w:t>a.mong</w:t>
      </w:r>
      <w:r>
        <w:rPr>
          <w:color w:val="010101"/>
          <w:spacing w:val="11"/>
          <w:sz w:val="17"/>
        </w:rPr>
        <w:t> </w:t>
      </w:r>
      <w:r>
        <w:rPr>
          <w:color w:val="010101"/>
          <w:w w:val="106"/>
          <w:sz w:val="17"/>
        </w:rPr>
        <w:t>disabled</w:t>
      </w:r>
      <w:r>
        <w:rPr>
          <w:color w:val="010101"/>
          <w:spacing w:val="15"/>
          <w:sz w:val="17"/>
        </w:rPr>
        <w:t> </w:t>
      </w:r>
      <w:r>
        <w:rPr>
          <w:color w:val="010101"/>
          <w:w w:val="106"/>
          <w:sz w:val="17"/>
        </w:rPr>
        <w:t>Iives.</w:t>
      </w:r>
    </w:p>
    <w:p>
      <w:pPr>
        <w:pStyle w:val="ListParagraph"/>
        <w:numPr>
          <w:ilvl w:val="0"/>
          <w:numId w:val="141"/>
        </w:numPr>
        <w:tabs>
          <w:tab w:pos="292" w:val="left" w:leader="none"/>
        </w:tabs>
        <w:spacing w:line="240" w:lineRule="auto" w:before="159" w:after="0"/>
        <w:ind w:left="291" w:right="0" w:hanging="173"/>
        <w:jc w:val="left"/>
        <w:rPr>
          <w:b/>
          <w:sz w:val="16"/>
        </w:rPr>
      </w:pPr>
      <w:r>
        <w:rPr>
          <w:b/>
          <w:color w:val="010101"/>
          <w:w w:val="125"/>
          <w:sz w:val="16"/>
        </w:rPr>
        <w:t>Marriage and</w:t>
      </w:r>
      <w:r>
        <w:rPr>
          <w:b/>
          <w:color w:val="010101"/>
          <w:spacing w:val="-26"/>
          <w:w w:val="125"/>
          <w:sz w:val="16"/>
        </w:rPr>
        <w:t> </w:t>
      </w:r>
      <w:r>
        <w:rPr>
          <w:b/>
          <w:color w:val="010101"/>
          <w:w w:val="125"/>
          <w:sz w:val="16"/>
        </w:rPr>
        <w:t>mortality</w:t>
      </w:r>
    </w:p>
    <w:p>
      <w:pPr>
        <w:pStyle w:val="ListParagraph"/>
        <w:numPr>
          <w:ilvl w:val="1"/>
          <w:numId w:val="141"/>
        </w:numPr>
        <w:tabs>
          <w:tab w:pos="485" w:val="left" w:leader="none"/>
        </w:tabs>
        <w:spacing w:line="240" w:lineRule="auto" w:before="83" w:after="0"/>
        <w:ind w:left="118" w:right="0" w:firstLine="155"/>
        <w:jc w:val="left"/>
        <w:rPr>
          <w:sz w:val="17"/>
        </w:rPr>
      </w:pPr>
      <w:r>
        <w:rPr>
          <w:color w:val="010101"/>
          <w:w w:val="105"/>
          <w:sz w:val="17"/>
        </w:rPr>
        <w:t>Using Ta.ble  12, find  numerical  values  for the</w:t>
      </w:r>
      <w:r>
        <w:rPr>
          <w:color w:val="010101"/>
          <w:spacing w:val="-15"/>
          <w:w w:val="105"/>
          <w:sz w:val="17"/>
        </w:rPr>
        <w:t> </w:t>
      </w:r>
      <w:r>
        <w:rPr>
          <w:color w:val="010101"/>
          <w:w w:val="105"/>
          <w:sz w:val="17"/>
        </w:rPr>
        <w:t>following:</w:t>
      </w:r>
    </w:p>
    <w:p>
      <w:pPr>
        <w:pStyle w:val="ListParagraph"/>
        <w:numPr>
          <w:ilvl w:val="2"/>
          <w:numId w:val="141"/>
        </w:numPr>
        <w:tabs>
          <w:tab w:pos="740" w:val="left" w:leader="none"/>
        </w:tabs>
        <w:spacing w:line="240" w:lineRule="auto" w:before="2" w:after="0"/>
        <w:ind w:left="750" w:right="0" w:hanging="298"/>
        <w:jc w:val="left"/>
        <w:rPr>
          <w:sz w:val="17"/>
        </w:rPr>
      </w:pPr>
      <w:r>
        <w:rPr>
          <w:color w:val="010101"/>
          <w:w w:val="110"/>
          <w:sz w:val="17"/>
        </w:rPr>
        <w:t>the rate of mortality for married men aged </w:t>
      </w:r>
      <w:r>
        <w:rPr>
          <w:color w:val="010101"/>
          <w:spacing w:val="24"/>
          <w:w w:val="110"/>
          <w:sz w:val="17"/>
        </w:rPr>
        <w:t> </w:t>
      </w:r>
      <w:r>
        <w:rPr>
          <w:color w:val="010101"/>
          <w:w w:val="110"/>
          <w:sz w:val="17"/>
        </w:rPr>
        <w:t>33;</w:t>
      </w:r>
    </w:p>
    <w:p>
      <w:pPr>
        <w:pStyle w:val="ListParagraph"/>
        <w:numPr>
          <w:ilvl w:val="2"/>
          <w:numId w:val="141"/>
        </w:numPr>
        <w:tabs>
          <w:tab w:pos="740" w:val="left" w:leader="none"/>
        </w:tabs>
        <w:spacing w:line="242" w:lineRule="auto" w:before="6" w:after="0"/>
        <w:ind w:left="750" w:right="147" w:hanging="294"/>
        <w:jc w:val="left"/>
        <w:rPr>
          <w:sz w:val="17"/>
        </w:rPr>
      </w:pPr>
      <w:r>
        <w:rPr>
          <w:color w:val="010101"/>
          <w:w w:val="110"/>
          <w:sz w:val="17"/>
        </w:rPr>
        <w:t>the probability that a man, who at age 33 is married, will  be alive  at age</w:t>
      </w:r>
      <w:r>
        <w:rPr>
          <w:color w:val="010101"/>
          <w:spacing w:val="31"/>
          <w:w w:val="110"/>
          <w:sz w:val="17"/>
        </w:rPr>
        <w:t> </w:t>
      </w:r>
      <w:r>
        <w:rPr>
          <w:color w:val="010101"/>
          <w:w w:val="110"/>
          <w:sz w:val="17"/>
        </w:rPr>
        <w:t>34;</w:t>
      </w:r>
    </w:p>
    <w:p>
      <w:pPr>
        <w:pStyle w:val="ListParagraph"/>
        <w:numPr>
          <w:ilvl w:val="2"/>
          <w:numId w:val="141"/>
        </w:numPr>
        <w:tabs>
          <w:tab w:pos="740" w:val="left" w:leader="none"/>
        </w:tabs>
        <w:spacing w:line="242" w:lineRule="auto" w:before="4" w:after="0"/>
        <w:ind w:left="743" w:right="148" w:hanging="287"/>
        <w:jc w:val="left"/>
        <w:rPr>
          <w:sz w:val="17"/>
        </w:rPr>
      </w:pPr>
      <w:r>
        <w:rPr>
          <w:color w:val="010101"/>
          <w:w w:val="105"/>
          <w:sz w:val="17"/>
        </w:rPr>
        <w:t>the probability that a. man, who is a bachelor  at age 33, will  be alive at a.ge</w:t>
      </w:r>
      <w:r>
        <w:rPr>
          <w:color w:val="010101"/>
          <w:spacing w:val="10"/>
          <w:w w:val="105"/>
          <w:sz w:val="17"/>
        </w:rPr>
        <w:t> </w:t>
      </w:r>
      <w:r>
        <w:rPr>
          <w:color w:val="010101"/>
          <w:w w:val="105"/>
          <w:sz w:val="17"/>
        </w:rPr>
        <w:t>34.</w:t>
      </w:r>
    </w:p>
    <w:p>
      <w:pPr>
        <w:pStyle w:val="ListParagraph"/>
        <w:numPr>
          <w:ilvl w:val="1"/>
          <w:numId w:val="141"/>
        </w:numPr>
        <w:tabs>
          <w:tab w:pos="564" w:val="left" w:leader="none"/>
        </w:tabs>
        <w:spacing w:line="244" w:lineRule="auto" w:before="4" w:after="0"/>
        <w:ind w:left="118" w:right="144" w:firstLine="165"/>
        <w:jc w:val="both"/>
        <w:rPr>
          <w:sz w:val="17"/>
        </w:rPr>
      </w:pPr>
      <w:r>
        <w:rPr>
          <w:color w:val="010101"/>
          <w:w w:val="110"/>
          <w:sz w:val="17"/>
        </w:rPr>
        <w:t>For the model of Table 12, let the forces </w:t>
      </w:r>
      <w:r>
        <w:rPr>
          <w:color w:val="010101"/>
          <w:sz w:val="17"/>
        </w:rPr>
        <w:t>of </w:t>
      </w:r>
      <w:r>
        <w:rPr>
          <w:color w:val="010101"/>
          <w:w w:val="110"/>
          <w:sz w:val="17"/>
        </w:rPr>
        <w:t>mortality and marriage among bachelors be denoted by </w:t>
      </w:r>
      <w:r>
        <w:rPr>
          <w:rFonts w:ascii="Arial" w:hAnsi="Arial"/>
          <w:i/>
          <w:color w:val="010101"/>
          <w:sz w:val="12"/>
        </w:rPr>
        <w:t>µCM&gt; </w:t>
      </w:r>
      <w:r>
        <w:rPr>
          <w:color w:val="010101"/>
          <w:w w:val="110"/>
          <w:sz w:val="17"/>
        </w:rPr>
        <w:t>and </w:t>
      </w:r>
      <w:r>
        <w:rPr>
          <w:rFonts w:ascii="Arial" w:hAnsi="Arial"/>
          <w:i/>
          <w:color w:val="010101"/>
          <w:sz w:val="12"/>
        </w:rPr>
        <w:t>µ.&lt;bm&gt; </w:t>
      </w:r>
      <w:r>
        <w:rPr>
          <w:color w:val="010101"/>
          <w:w w:val="110"/>
          <w:sz w:val="17"/>
        </w:rPr>
        <w:t>respectively and the rate oí death among married men by </w:t>
      </w:r>
      <w:r>
        <w:rPr>
          <w:color w:val="010101"/>
          <w:sz w:val="17"/>
        </w:rPr>
        <w:t>qC"'&gt;. </w:t>
      </w:r>
      <w:r>
        <w:rPr>
          <w:color w:val="010101"/>
          <w:w w:val="110"/>
          <w:sz w:val="17"/>
        </w:rPr>
        <w:t>Write a definite integral for the prob­ ability that a man who is now a baehelor aged 34 </w:t>
      </w:r>
      <w:r>
        <w:rPr>
          <w:color w:val="010101"/>
          <w:w w:val="110"/>
          <w:sz w:val="16"/>
        </w:rPr>
        <w:t>will </w:t>
      </w:r>
      <w:r>
        <w:rPr>
          <w:color w:val="010101"/>
          <w:w w:val="110"/>
          <w:sz w:val="17"/>
        </w:rPr>
        <w:t>die within  </w:t>
      </w:r>
      <w:r>
        <w:rPr>
          <w:color w:val="010101"/>
          <w:spacing w:val="28"/>
          <w:w w:val="110"/>
          <w:sz w:val="17"/>
        </w:rPr>
        <w:t> </w:t>
      </w:r>
      <w:r>
        <w:rPr>
          <w:color w:val="010101"/>
          <w:w w:val="110"/>
          <w:sz w:val="17"/>
        </w:rPr>
        <w:t>2 years.</w:t>
      </w:r>
    </w:p>
    <w:p>
      <w:pPr>
        <w:pStyle w:val="ListParagraph"/>
        <w:numPr>
          <w:ilvl w:val="1"/>
          <w:numId w:val="141"/>
        </w:numPr>
        <w:tabs>
          <w:tab w:pos="564" w:val="left" w:leader="none"/>
        </w:tabs>
        <w:spacing w:line="242" w:lineRule="auto" w:before="2" w:after="0"/>
        <w:ind w:left="438" w:right="840" w:hanging="147"/>
        <w:jc w:val="left"/>
        <w:rPr>
          <w:sz w:val="17"/>
        </w:rPr>
      </w:pPr>
      <w:r>
        <w:rPr>
          <w:color w:val="010101"/>
          <w:w w:val="105"/>
          <w:sz w:val="17"/>
        </w:rPr>
        <w:t>Given the following data for each of a.ges 57 to 59 inclusive: the  rate  of  marriage  for </w:t>
      </w:r>
      <w:r>
        <w:rPr>
          <w:color w:val="010101"/>
          <w:spacing w:val="37"/>
          <w:w w:val="105"/>
          <w:sz w:val="17"/>
        </w:rPr>
        <w:t> </w:t>
      </w:r>
      <w:r>
        <w:rPr>
          <w:color w:val="010101"/>
          <w:w w:val="105"/>
          <w:sz w:val="17"/>
        </w:rPr>
        <w:t>spinsters,</w:t>
      </w:r>
    </w:p>
    <w:p>
      <w:pPr>
        <w:spacing w:line="242" w:lineRule="auto" w:before="0"/>
        <w:ind w:left="441" w:right="2552" w:hanging="8"/>
        <w:jc w:val="left"/>
        <w:rPr>
          <w:sz w:val="17"/>
        </w:rPr>
      </w:pPr>
      <w:r>
        <w:rPr>
          <w:color w:val="010101"/>
          <w:w w:val="110"/>
          <w:sz w:val="17"/>
        </w:rPr>
        <w:t>the rate of death for married women,  the  central  rate  oí death  for</w:t>
      </w:r>
      <w:r>
        <w:rPr>
          <w:color w:val="010101"/>
          <w:spacing w:val="25"/>
          <w:w w:val="110"/>
          <w:sz w:val="17"/>
        </w:rPr>
        <w:t> </w:t>
      </w:r>
      <w:r>
        <w:rPr>
          <w:color w:val="010101"/>
          <w:w w:val="110"/>
          <w:sz w:val="17"/>
        </w:rPr>
        <w:t>spinsters.</w:t>
      </w:r>
    </w:p>
    <w:p>
      <w:pPr>
        <w:spacing w:after="0" w:line="242" w:lineRule="auto"/>
        <w:jc w:val="left"/>
        <w:rPr>
          <w:sz w:val="17"/>
        </w:rPr>
        <w:sectPr>
          <w:pgSz w:w="7200" w:h="11340"/>
          <w:pgMar w:top="500" w:bottom="280" w:left="660" w:right="560"/>
        </w:sectPr>
      </w:pPr>
    </w:p>
    <w:p>
      <w:pPr>
        <w:tabs>
          <w:tab w:pos="1302" w:val="left" w:leader="none"/>
          <w:tab w:pos="5226" w:val="left" w:leader="none"/>
        </w:tabs>
        <w:spacing w:before="50"/>
        <w:ind w:left="129" w:right="0" w:firstLine="10"/>
        <w:jc w:val="left"/>
        <w:rPr>
          <w:sz w:val="20"/>
        </w:rPr>
      </w:pPr>
      <w:r>
        <w:rPr>
          <w:rFonts w:ascii="Arial"/>
          <w:color w:val="010101"/>
          <w:sz w:val="19"/>
        </w:rPr>
        <w:t>304</w:t>
        <w:tab/>
      </w:r>
      <w:r>
        <w:rPr>
          <w:rFonts w:ascii="Courier New"/>
          <w:color w:val="010101"/>
          <w:sz w:val="17"/>
        </w:rPr>
        <w:t>TABLES </w:t>
      </w:r>
      <w:r>
        <w:rPr>
          <w:rFonts w:ascii="Courier New"/>
          <w:color w:val="010101"/>
          <w:spacing w:val="-3"/>
          <w:sz w:val="17"/>
        </w:rPr>
        <w:t>WITH</w:t>
      </w:r>
      <w:r>
        <w:rPr>
          <w:rFonts w:ascii="Courier New"/>
          <w:color w:val="010101"/>
          <w:spacing w:val="63"/>
          <w:sz w:val="17"/>
        </w:rPr>
        <w:t> </w:t>
      </w:r>
      <w:r>
        <w:rPr>
          <w:rFonts w:ascii="Courier New"/>
          <w:color w:val="010101"/>
          <w:spacing w:val="-4"/>
          <w:sz w:val="17"/>
        </w:rPr>
        <w:t>SECONDARY</w:t>
      </w:r>
      <w:r>
        <w:rPr>
          <w:rFonts w:ascii="Courier New"/>
          <w:color w:val="010101"/>
          <w:spacing w:val="50"/>
          <w:sz w:val="17"/>
        </w:rPr>
        <w:t> </w:t>
      </w:r>
      <w:r>
        <w:rPr>
          <w:rFonts w:ascii="Courier New"/>
          <w:color w:val="010101"/>
          <w:sz w:val="17"/>
        </w:rPr>
        <w:t>DECREMENTS</w:t>
        <w:tab/>
      </w:r>
      <w:r>
        <w:rPr>
          <w:color w:val="010101"/>
          <w:sz w:val="20"/>
        </w:rPr>
        <w:t>[CH.</w:t>
      </w:r>
      <w:r>
        <w:rPr>
          <w:color w:val="010101"/>
          <w:spacing w:val="-2"/>
          <w:sz w:val="20"/>
        </w:rPr>
        <w:t> </w:t>
      </w:r>
      <w:r>
        <w:rPr>
          <w:color w:val="010101"/>
          <w:sz w:val="20"/>
        </w:rPr>
        <w:t>15</w:t>
      </w:r>
    </w:p>
    <w:p>
      <w:pPr>
        <w:pStyle w:val="BodyText"/>
        <w:spacing w:before="6"/>
        <w:rPr>
          <w:sz w:val="19"/>
        </w:rPr>
      </w:pPr>
    </w:p>
    <w:p>
      <w:pPr>
        <w:spacing w:line="247" w:lineRule="auto" w:before="1"/>
        <w:ind w:left="147" w:right="133" w:hanging="18"/>
        <w:jc w:val="left"/>
        <w:rPr>
          <w:sz w:val="17"/>
        </w:rPr>
      </w:pPr>
      <w:r>
        <w:rPr>
          <w:color w:val="010101"/>
          <w:w w:val="110"/>
          <w:sz w:val="17"/>
        </w:rPr>
        <w:t>Taking (ml) n to be O, describe how the combined marriage and mortality table may be completed  for ages 57 to  59.</w:t>
      </w:r>
    </w:p>
    <w:p>
      <w:pPr>
        <w:spacing w:after="0" w:line="247" w:lineRule="auto"/>
        <w:jc w:val="left"/>
        <w:rPr>
          <w:sz w:val="17"/>
        </w:rPr>
        <w:sectPr>
          <w:pgSz w:w="7200" w:h="11340"/>
          <w:pgMar w:top="500" w:bottom="280" w:left="660" w:right="560"/>
        </w:sectPr>
      </w:pPr>
    </w:p>
    <w:p>
      <w:pPr>
        <w:pStyle w:val="BodyText"/>
        <w:spacing w:before="10"/>
        <w:rPr>
          <w:sz w:val="14"/>
        </w:rPr>
      </w:pPr>
    </w:p>
    <w:p>
      <w:pPr>
        <w:spacing w:before="0"/>
        <w:ind w:left="118" w:right="0" w:firstLine="0"/>
        <w:jc w:val="left"/>
        <w:rPr>
          <w:b/>
          <w:sz w:val="16"/>
        </w:rPr>
      </w:pPr>
      <w:r>
        <w:rPr>
          <w:color w:val="010101"/>
          <w:w w:val="120"/>
          <w:sz w:val="16"/>
        </w:rPr>
        <w:t>-'· </w:t>
      </w:r>
      <w:r>
        <w:rPr>
          <w:b/>
          <w:color w:val="010101"/>
          <w:w w:val="120"/>
          <w:sz w:val="16"/>
        </w:rPr>
        <w:t>Monetary applications</w:t>
      </w:r>
    </w:p>
    <w:p>
      <w:pPr>
        <w:pStyle w:val="BodyText"/>
        <w:spacing w:before="9"/>
        <w:rPr>
          <w:b/>
          <w:sz w:val="31"/>
        </w:rPr>
      </w:pPr>
      <w:r>
        <w:rPr/>
        <w:br w:type="column"/>
      </w:r>
      <w:r>
        <w:rPr>
          <w:b/>
          <w:sz w:val="31"/>
        </w:rPr>
      </w:r>
    </w:p>
    <w:p>
      <w:pPr>
        <w:tabs>
          <w:tab w:pos="416" w:val="left" w:leader="none"/>
        </w:tabs>
        <w:spacing w:line="162" w:lineRule="exact" w:before="0"/>
        <w:ind w:left="118" w:right="0" w:firstLine="0"/>
        <w:jc w:val="left"/>
        <w:rPr>
          <w:i/>
          <w:sz w:val="26"/>
        </w:rPr>
      </w:pPr>
      <w:r>
        <w:rPr>
          <w:color w:val="010101"/>
          <w:sz w:val="25"/>
        </w:rPr>
        <w:t>·</w:t>
        <w:tab/>
      </w:r>
      <w:r>
        <w:rPr>
          <w:color w:val="010101"/>
          <w:spacing w:val="-5"/>
          <w:w w:val="95"/>
          <w:sz w:val="25"/>
        </w:rPr>
        <w:t>JI!• </w:t>
      </w:r>
      <w:r>
        <w:rPr>
          <w:color w:val="010101"/>
          <w:w w:val="95"/>
          <w:sz w:val="25"/>
        </w:rPr>
        <w:t>-</w:t>
      </w:r>
      <w:r>
        <w:rPr>
          <w:color w:val="010101"/>
          <w:spacing w:val="-31"/>
          <w:w w:val="95"/>
          <w:sz w:val="25"/>
        </w:rPr>
        <w:t> </w:t>
      </w:r>
      <w:r>
        <w:rPr>
          <w:i/>
          <w:color w:val="010101"/>
          <w:spacing w:val="-3"/>
          <w:w w:val="95"/>
          <w:sz w:val="26"/>
        </w:rPr>
        <w:t>D!'·A!</w:t>
      </w:r>
    </w:p>
    <w:p>
      <w:pPr>
        <w:spacing w:after="0" w:line="162" w:lineRule="exact"/>
        <w:jc w:val="left"/>
        <w:rPr>
          <w:sz w:val="26"/>
        </w:rPr>
        <w:sectPr>
          <w:type w:val="continuous"/>
          <w:pgSz w:w="7200" w:h="11340"/>
          <w:pgMar w:top="1100" w:bottom="0" w:left="660" w:right="560"/>
          <w:cols w:num="2" w:equalWidth="0">
            <w:col w:w="2219" w:space="1103"/>
            <w:col w:w="2658"/>
          </w:cols>
        </w:sectPr>
      </w:pPr>
    </w:p>
    <w:p>
      <w:pPr>
        <w:pStyle w:val="ListParagraph"/>
        <w:numPr>
          <w:ilvl w:val="1"/>
          <w:numId w:val="141"/>
        </w:numPr>
        <w:tabs>
          <w:tab w:pos="578" w:val="left" w:leader="none"/>
          <w:tab w:pos="3953" w:val="left" w:leader="none"/>
          <w:tab w:pos="4113" w:val="left" w:leader="none"/>
        </w:tabs>
        <w:spacing w:line="189" w:lineRule="exact" w:before="0" w:after="0"/>
        <w:ind w:left="577" w:right="1566" w:hanging="280"/>
        <w:jc w:val="right"/>
        <w:rPr>
          <w:sz w:val="23"/>
        </w:rPr>
      </w:pPr>
      <w:r>
        <w:rPr>
          <w:color w:val="010101"/>
          <w:w w:val="105"/>
          <w:sz w:val="17"/>
        </w:rPr>
        <w:t>Define t.he symbols and show that </w:t>
      </w:r>
      <w:r>
        <w:rPr>
          <w:rFonts w:ascii="Arial"/>
          <w:i/>
          <w:color w:val="010101"/>
          <w:spacing w:val="3"/>
          <w:w w:val="105"/>
          <w:sz w:val="21"/>
        </w:rPr>
        <w:t>A:' </w:t>
      </w:r>
      <w:r>
        <w:rPr>
          <w:rFonts w:ascii="Arial"/>
          <w:i/>
          <w:color w:val="010101"/>
          <w:spacing w:val="36"/>
          <w:w w:val="105"/>
          <w:sz w:val="21"/>
        </w:rPr>
        <w:t> </w:t>
      </w:r>
      <w:r>
        <w:rPr>
          <w:color w:val="010101"/>
          <w:w w:val="105"/>
          <w:sz w:val="23"/>
        </w:rPr>
        <w:t>=</w:t>
      </w:r>
      <w:r>
        <w:rPr>
          <w:color w:val="010101"/>
          <w:sz w:val="23"/>
        </w:rPr>
        <w:tab/>
      </w:r>
      <w:r>
        <w:rPr>
          <w:color w:val="010101"/>
          <w:sz w:val="23"/>
          <w:u w:val="thick" w:color="000000"/>
        </w:rPr>
        <w:t> </w:t>
        <w:tab/>
      </w:r>
    </w:p>
    <w:p>
      <w:pPr>
        <w:spacing w:line="161" w:lineRule="exact" w:before="0"/>
        <w:ind w:left="0" w:right="1603" w:firstLine="0"/>
        <w:jc w:val="right"/>
        <w:rPr>
          <w:rFonts w:ascii="Arial"/>
          <w:i/>
          <w:sz w:val="8"/>
        </w:rPr>
      </w:pPr>
      <w:r>
        <w:rPr>
          <w:i/>
          <w:color w:val="010101"/>
          <w:w w:val="88"/>
          <w:sz w:val="18"/>
        </w:rPr>
        <w:t>D</w:t>
      </w:r>
      <w:r>
        <w:rPr>
          <w:i/>
          <w:color w:val="010101"/>
          <w:spacing w:val="-27"/>
          <w:w w:val="89"/>
          <w:sz w:val="18"/>
        </w:rPr>
        <w:t>,</w:t>
      </w:r>
      <w:r>
        <w:rPr>
          <w:rFonts w:ascii="Arial"/>
          <w:i/>
          <w:color w:val="010101"/>
          <w:spacing w:val="-36"/>
          <w:w w:val="138"/>
          <w:position w:val="8"/>
          <w:sz w:val="8"/>
        </w:rPr>
        <w:t>0</w:t>
      </w:r>
      <w:r>
        <w:rPr>
          <w:i/>
          <w:color w:val="010101"/>
          <w:spacing w:val="-5"/>
          <w:w w:val="89"/>
          <w:sz w:val="18"/>
        </w:rPr>
        <w:t>,</w:t>
      </w:r>
      <w:r>
        <w:rPr>
          <w:rFonts w:ascii="Arial"/>
          <w:i/>
          <w:color w:val="010101"/>
          <w:w w:val="138"/>
          <w:position w:val="8"/>
          <w:sz w:val="8"/>
        </w:rPr>
        <w:t>0</w:t>
      </w:r>
    </w:p>
    <w:p>
      <w:pPr>
        <w:pStyle w:val="ListParagraph"/>
        <w:numPr>
          <w:ilvl w:val="1"/>
          <w:numId w:val="141"/>
        </w:numPr>
        <w:tabs>
          <w:tab w:pos="575" w:val="left" w:leader="none"/>
        </w:tabs>
        <w:spacing w:line="249" w:lineRule="auto" w:before="32" w:after="0"/>
        <w:ind w:left="129" w:right="121" w:firstLine="165"/>
        <w:jc w:val="both"/>
        <w:rPr>
          <w:sz w:val="17"/>
        </w:rPr>
      </w:pPr>
      <w:r>
        <w:rPr>
          <w:color w:val="010101"/>
          <w:w w:val="105"/>
          <w:sz w:val="17"/>
        </w:rPr>
        <w:t>Find an expression for evaluating </w:t>
      </w:r>
      <w:r>
        <w:rPr>
          <w:color w:val="010101"/>
          <w:spacing w:val="-3"/>
          <w:w w:val="105"/>
          <w:sz w:val="17"/>
        </w:rPr>
        <w:t>a:cc:.J&gt; </w:t>
      </w:r>
      <w:r>
        <w:rPr>
          <w:color w:val="010101"/>
          <w:w w:val="105"/>
          <w:sz w:val="17"/>
        </w:rPr>
        <w:t>, the present  value  to  an  active life (x) of a disability income of 1 per annum  for  life  if  disability occurs  within  </w:t>
      </w:r>
      <w:r>
        <w:rPr>
          <w:i/>
          <w:color w:val="010101"/>
          <w:w w:val="105"/>
          <w:sz w:val="17"/>
        </w:rPr>
        <w:t>n </w:t>
      </w:r>
      <w:r>
        <w:rPr>
          <w:i/>
          <w:color w:val="010101"/>
          <w:spacing w:val="3"/>
          <w:w w:val="105"/>
          <w:sz w:val="17"/>
        </w:rPr>
        <w:t> </w:t>
      </w:r>
      <w:r>
        <w:rPr>
          <w:color w:val="010101"/>
          <w:w w:val="105"/>
          <w:sz w:val="17"/>
        </w:rPr>
        <w:t>years.</w:t>
      </w:r>
    </w:p>
    <w:p>
      <w:pPr>
        <w:pStyle w:val="ListParagraph"/>
        <w:numPr>
          <w:ilvl w:val="1"/>
          <w:numId w:val="141"/>
        </w:numPr>
        <w:tabs>
          <w:tab w:pos="575" w:val="left" w:leader="none"/>
        </w:tabs>
        <w:spacing w:line="136" w:lineRule="auto" w:before="59" w:after="0"/>
        <w:ind w:left="129" w:right="133" w:firstLine="165"/>
        <w:jc w:val="both"/>
        <w:rPr>
          <w:sz w:val="17"/>
        </w:rPr>
      </w:pPr>
      <w:r>
        <w:rPr>
          <w:color w:val="010101"/>
          <w:w w:val="110"/>
          <w:sz w:val="17"/>
        </w:rPr>
        <w:t>Assume that the combined marriage and mortality table of  Exercise 11</w:t>
      </w:r>
      <w:r>
        <w:rPr>
          <w:color w:val="010101"/>
          <w:spacing w:val="-26"/>
          <w:w w:val="110"/>
          <w:sz w:val="17"/>
        </w:rPr>
        <w:t> </w:t>
      </w:r>
      <w:r>
        <w:rPr>
          <w:color w:val="010101"/>
          <w:w w:val="110"/>
          <w:sz w:val="17"/>
        </w:rPr>
        <w:t>is</w:t>
      </w:r>
      <w:r>
        <w:rPr>
          <w:color w:val="010101"/>
          <w:spacing w:val="-7"/>
          <w:w w:val="110"/>
          <w:sz w:val="17"/>
        </w:rPr>
        <w:t> </w:t>
      </w:r>
      <w:r>
        <w:rPr>
          <w:color w:val="010101"/>
          <w:w w:val="110"/>
          <w:sz w:val="17"/>
        </w:rPr>
        <w:t>available.</w:t>
      </w:r>
      <w:r>
        <w:rPr>
          <w:color w:val="010101"/>
          <w:spacing w:val="-5"/>
          <w:w w:val="110"/>
          <w:sz w:val="17"/>
        </w:rPr>
        <w:t> </w:t>
      </w:r>
      <w:r>
        <w:rPr>
          <w:color w:val="010101"/>
          <w:w w:val="110"/>
          <w:sz w:val="17"/>
        </w:rPr>
        <w:t>Given</w:t>
      </w:r>
      <w:r>
        <w:rPr>
          <w:color w:val="010101"/>
          <w:spacing w:val="-5"/>
          <w:w w:val="110"/>
          <w:sz w:val="17"/>
        </w:rPr>
        <w:t> </w:t>
      </w:r>
      <w:r>
        <w:rPr>
          <w:color w:val="010101"/>
          <w:w w:val="110"/>
          <w:sz w:val="17"/>
        </w:rPr>
        <w:t>the</w:t>
      </w:r>
      <w:r>
        <w:rPr>
          <w:color w:val="010101"/>
          <w:spacing w:val="-3"/>
          <w:w w:val="110"/>
          <w:sz w:val="17"/>
        </w:rPr>
        <w:t> </w:t>
      </w:r>
      <w:r>
        <w:rPr>
          <w:color w:val="010101"/>
          <w:w w:val="110"/>
          <w:sz w:val="17"/>
        </w:rPr>
        <w:t>value</w:t>
      </w:r>
      <w:r>
        <w:rPr>
          <w:color w:val="010101"/>
          <w:spacing w:val="-2"/>
          <w:w w:val="110"/>
          <w:sz w:val="17"/>
        </w:rPr>
        <w:t> </w:t>
      </w:r>
      <w:r>
        <w:rPr>
          <w:color w:val="010101"/>
          <w:w w:val="110"/>
          <w:sz w:val="17"/>
        </w:rPr>
        <w:t>of</w:t>
      </w:r>
      <w:r>
        <w:rPr>
          <w:color w:val="010101"/>
          <w:spacing w:val="3"/>
          <w:w w:val="110"/>
          <w:sz w:val="17"/>
        </w:rPr>
        <w:t> </w:t>
      </w:r>
      <w:r>
        <w:rPr>
          <w:rFonts w:ascii="Arial" w:hAnsi="Arial"/>
          <w:i/>
          <w:color w:val="010101"/>
          <w:w w:val="110"/>
          <w:sz w:val="27"/>
        </w:rPr>
        <w:t>ª'°</w:t>
      </w:r>
      <w:r>
        <w:rPr>
          <w:rFonts w:ascii="Arial" w:hAnsi="Arial"/>
          <w:i/>
          <w:color w:val="010101"/>
          <w:spacing w:val="-57"/>
          <w:w w:val="110"/>
          <w:sz w:val="27"/>
        </w:rPr>
        <w:t> </w:t>
      </w:r>
      <w:r>
        <w:rPr>
          <w:color w:val="010101"/>
          <w:w w:val="110"/>
          <w:sz w:val="17"/>
        </w:rPr>
        <w:t>and</w:t>
      </w:r>
      <w:r>
        <w:rPr>
          <w:color w:val="010101"/>
          <w:spacing w:val="-10"/>
          <w:w w:val="110"/>
          <w:sz w:val="17"/>
        </w:rPr>
        <w:t> </w:t>
      </w:r>
      <w:r>
        <w:rPr>
          <w:color w:val="010101"/>
          <w:w w:val="110"/>
          <w:sz w:val="17"/>
        </w:rPr>
        <w:t>the</w:t>
      </w:r>
      <w:r>
        <w:rPr>
          <w:color w:val="010101"/>
          <w:spacing w:val="-9"/>
          <w:w w:val="110"/>
          <w:sz w:val="17"/>
        </w:rPr>
        <w:t> </w:t>
      </w:r>
      <w:r>
        <w:rPr>
          <w:color w:val="010101"/>
          <w:w w:val="110"/>
          <w:sz w:val="17"/>
        </w:rPr>
        <w:t>rate</w:t>
      </w:r>
      <w:r>
        <w:rPr>
          <w:color w:val="010101"/>
          <w:spacing w:val="-8"/>
          <w:w w:val="110"/>
          <w:sz w:val="17"/>
        </w:rPr>
        <w:t> </w:t>
      </w:r>
      <w:r>
        <w:rPr>
          <w:color w:val="010101"/>
          <w:w w:val="110"/>
          <w:sz w:val="17"/>
        </w:rPr>
        <w:t>of</w:t>
      </w:r>
      <w:r>
        <w:rPr>
          <w:color w:val="010101"/>
          <w:spacing w:val="7"/>
          <w:w w:val="110"/>
          <w:sz w:val="17"/>
        </w:rPr>
        <w:t> </w:t>
      </w:r>
      <w:r>
        <w:rPr>
          <w:color w:val="010101"/>
          <w:w w:val="110"/>
          <w:sz w:val="17"/>
        </w:rPr>
        <w:t>interest</w:t>
      </w:r>
      <w:r>
        <w:rPr>
          <w:color w:val="010101"/>
          <w:spacing w:val="-3"/>
          <w:w w:val="110"/>
          <w:sz w:val="17"/>
        </w:rPr>
        <w:t> </w:t>
      </w:r>
      <w:r>
        <w:rPr>
          <w:i/>
          <w:color w:val="010101"/>
          <w:w w:val="110"/>
          <w:sz w:val="18"/>
        </w:rPr>
        <w:t>i,</w:t>
      </w:r>
      <w:r>
        <w:rPr>
          <w:color w:val="010101"/>
          <w:w w:val="110"/>
          <w:sz w:val="17"/>
        </w:rPr>
        <w:t>and</w:t>
      </w:r>
      <w:r>
        <w:rPr>
          <w:color w:val="010101"/>
          <w:spacing w:val="-5"/>
          <w:w w:val="110"/>
          <w:sz w:val="17"/>
        </w:rPr>
        <w:t> </w:t>
      </w:r>
      <w:r>
        <w:rPr>
          <w:color w:val="010101"/>
          <w:w w:val="110"/>
          <w:sz w:val="17"/>
        </w:rPr>
        <w:t>assuming</w:t>
      </w:r>
    </w:p>
    <w:p>
      <w:pPr>
        <w:spacing w:line="247" w:lineRule="auto" w:before="6"/>
        <w:ind w:left="125" w:right="129" w:firstLine="3"/>
        <w:jc w:val="both"/>
        <w:rPr>
          <w:sz w:val="17"/>
        </w:rPr>
      </w:pPr>
      <w:r>
        <w:rPr>
          <w:color w:val="010101"/>
          <w:w w:val="110"/>
          <w:sz w:val="17"/>
        </w:rPr>
        <w:t>that no spinsters marry </w:t>
      </w:r>
      <w:r>
        <w:rPr>
          <w:color w:val="010101"/>
          <w:sz w:val="17"/>
        </w:rPr>
        <w:t>af </w:t>
      </w:r>
      <w:r>
        <w:rPr>
          <w:color w:val="010101"/>
          <w:w w:val="110"/>
          <w:sz w:val="17"/>
        </w:rPr>
        <w:t>ter agc 60 and that after age 60 spinsters experi­ ence the same mortality as married women, develop an expression for the net annual premium, payable to age 60 or to prior  marriage  or death, for  an insurance </w:t>
      </w:r>
      <w:r>
        <w:rPr>
          <w:color w:val="010101"/>
          <w:sz w:val="17"/>
        </w:rPr>
        <w:t>of </w:t>
      </w:r>
      <w:r>
        <w:rPr>
          <w:color w:val="010101"/>
          <w:spacing w:val="2"/>
          <w:w w:val="110"/>
          <w:sz w:val="17"/>
        </w:rPr>
        <w:t>1payable </w:t>
      </w:r>
      <w:r>
        <w:rPr>
          <w:color w:val="010101"/>
          <w:w w:val="110"/>
          <w:sz w:val="17"/>
        </w:rPr>
        <w:t>upon </w:t>
      </w:r>
      <w:r>
        <w:rPr>
          <w:color w:val="010101"/>
          <w:sz w:val="17"/>
        </w:rPr>
        <w:t>marri1:1,ge </w:t>
      </w:r>
      <w:r>
        <w:rPr>
          <w:color w:val="010101"/>
          <w:w w:val="110"/>
          <w:sz w:val="17"/>
        </w:rPr>
        <w:t>a.id also upon death (either mar­ ried or a spinster) </w:t>
      </w:r>
      <w:r>
        <w:rPr>
          <w:color w:val="010101"/>
          <w:sz w:val="17"/>
        </w:rPr>
        <w:t>of </w:t>
      </w:r>
      <w:r>
        <w:rPr>
          <w:color w:val="010101"/>
          <w:w w:val="110"/>
          <w:sz w:val="17"/>
        </w:rPr>
        <w:t>a spinster now aged 57, with the proviso that the in­ surance will be doubled </w:t>
      </w:r>
      <w:r>
        <w:rPr>
          <w:color w:val="010101"/>
          <w:sz w:val="17"/>
        </w:rPr>
        <w:t>if  </w:t>
      </w:r>
      <w:r>
        <w:rPr>
          <w:color w:val="010101"/>
          <w:w w:val="110"/>
          <w:sz w:val="17"/>
        </w:rPr>
        <w:t>death occurs while a </w:t>
      </w:r>
      <w:r>
        <w:rPr>
          <w:color w:val="010101"/>
          <w:spacing w:val="12"/>
          <w:w w:val="110"/>
          <w:sz w:val="17"/>
        </w:rPr>
        <w:t> </w:t>
      </w:r>
      <w:r>
        <w:rPr>
          <w:color w:val="010101"/>
          <w:w w:val="110"/>
          <w:sz w:val="17"/>
        </w:rPr>
        <w:t>spinster.</w:t>
      </w:r>
    </w:p>
    <w:p>
      <w:pPr>
        <w:pStyle w:val="BodyText"/>
        <w:spacing w:before="2"/>
        <w:rPr>
          <w:sz w:val="15"/>
        </w:rPr>
      </w:pPr>
    </w:p>
    <w:p>
      <w:pPr>
        <w:spacing w:before="0"/>
        <w:ind w:left="118" w:right="0" w:firstLine="0"/>
        <w:jc w:val="both"/>
        <w:rPr>
          <w:b/>
          <w:sz w:val="16"/>
        </w:rPr>
      </w:pPr>
      <w:r>
        <w:rPr>
          <w:b/>
          <w:color w:val="010101"/>
          <w:w w:val="120"/>
          <w:sz w:val="16"/>
        </w:rPr>
        <w:t>Miscellaneous  prohlems</w:t>
      </w:r>
    </w:p>
    <w:p>
      <w:pPr>
        <w:pStyle w:val="ListParagraph"/>
        <w:numPr>
          <w:ilvl w:val="1"/>
          <w:numId w:val="141"/>
        </w:numPr>
        <w:tabs>
          <w:tab w:pos="567" w:val="left" w:leader="none"/>
        </w:tabs>
        <w:spacing w:line="247" w:lineRule="auto" w:before="83" w:after="0"/>
        <w:ind w:left="125" w:right="136" w:firstLine="162"/>
        <w:jc w:val="both"/>
        <w:rPr>
          <w:sz w:val="17"/>
        </w:rPr>
      </w:pPr>
      <w:r>
        <w:rPr>
          <w:color w:val="010101"/>
          <w:w w:val="110"/>
          <w:sz w:val="17"/>
        </w:rPr>
        <w:t>Find the probability that an employee now aged 40 of the company whose experience is shown in the follow ing table will die between the ages of 41 and 42, upon the assumption that the rate of mortality is the same among lives that have withdrawn as among those still in service. Indicate but do not perf orm the numerical</w:t>
      </w:r>
      <w:r>
        <w:rPr>
          <w:color w:val="010101"/>
          <w:spacing w:val="3"/>
          <w:w w:val="110"/>
          <w:sz w:val="17"/>
        </w:rPr>
        <w:t> </w:t>
      </w:r>
      <w:r>
        <w:rPr>
          <w:color w:val="010101"/>
          <w:w w:val="110"/>
          <w:sz w:val="17"/>
        </w:rPr>
        <w:t>work.</w:t>
      </w:r>
    </w:p>
    <w:p>
      <w:pPr>
        <w:pStyle w:val="BodyText"/>
        <w:spacing w:before="7"/>
        <w:rPr>
          <w:sz w:val="21"/>
        </w:rPr>
      </w:pPr>
    </w:p>
    <w:tbl>
      <w:tblPr>
        <w:tblW w:w="0" w:type="auto"/>
        <w:jc w:val="left"/>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3"/>
        <w:gridCol w:w="1474"/>
        <w:gridCol w:w="1469"/>
        <w:gridCol w:w="1403"/>
        <w:gridCol w:w="273"/>
      </w:tblGrid>
      <w:tr>
        <w:trPr>
          <w:trHeight w:val="523" w:hRule="exact"/>
        </w:trPr>
        <w:tc>
          <w:tcPr>
            <w:tcW w:w="1083" w:type="dxa"/>
            <w:tcBorders>
              <w:left w:val="nil"/>
              <w:bottom w:val="single" w:sz="4" w:space="0" w:color="000000"/>
            </w:tcBorders>
          </w:tcPr>
          <w:p>
            <w:pPr>
              <w:pStyle w:val="TableParagraph"/>
              <w:spacing w:before="6"/>
              <w:rPr>
                <w:rFonts w:ascii="Times New Roman"/>
                <w:sz w:val="11"/>
              </w:rPr>
            </w:pPr>
          </w:p>
          <w:p>
            <w:pPr>
              <w:pStyle w:val="TableParagraph"/>
              <w:spacing w:line="126" w:lineRule="exact"/>
              <w:ind w:left="423" w:right="439"/>
              <w:jc w:val="center"/>
              <w:rPr>
                <w:rFonts w:ascii="Arial"/>
                <w:b/>
                <w:sz w:val="12"/>
              </w:rPr>
            </w:pPr>
            <w:r>
              <w:rPr>
                <w:rFonts w:ascii="Arial"/>
                <w:b/>
                <w:color w:val="010101"/>
                <w:w w:val="90"/>
                <w:sz w:val="12"/>
              </w:rPr>
              <w:t>Age </w:t>
            </w:r>
            <w:r>
              <w:rPr>
                <w:rFonts w:ascii="Arial"/>
                <w:b/>
                <w:color w:val="010101"/>
                <w:sz w:val="12"/>
              </w:rPr>
              <w:t>s</w:t>
            </w:r>
          </w:p>
        </w:tc>
        <w:tc>
          <w:tcPr>
            <w:tcW w:w="1474" w:type="dxa"/>
            <w:tcBorders>
              <w:bottom w:val="single" w:sz="4" w:space="0" w:color="000000"/>
            </w:tcBorders>
          </w:tcPr>
          <w:p>
            <w:pPr>
              <w:pStyle w:val="TableParagraph"/>
              <w:spacing w:before="76"/>
              <w:ind w:left="654" w:right="572"/>
              <w:jc w:val="center"/>
              <w:rPr>
                <w:rFonts w:ascii="Arial" w:hAnsi="Arial"/>
                <w:i/>
                <w:sz w:val="21"/>
              </w:rPr>
            </w:pPr>
            <w:r>
              <w:rPr>
                <w:rFonts w:ascii="Arial" w:hAnsi="Arial"/>
                <w:i/>
                <w:color w:val="010101"/>
                <w:w w:val="150"/>
                <w:sz w:val="21"/>
              </w:rPr>
              <w:t>,¡</w:t>
            </w:r>
          </w:p>
        </w:tc>
        <w:tc>
          <w:tcPr>
            <w:tcW w:w="1469" w:type="dxa"/>
            <w:tcBorders>
              <w:bottom w:val="single" w:sz="4" w:space="0" w:color="000000"/>
              <w:right w:val="single" w:sz="7" w:space="0" w:color="000000"/>
            </w:tcBorders>
          </w:tcPr>
          <w:p>
            <w:pPr>
              <w:pStyle w:val="TableParagraph"/>
              <w:spacing w:line="358" w:lineRule="exact"/>
              <w:ind w:left="621" w:right="541"/>
              <w:jc w:val="center"/>
              <w:rPr>
                <w:rFonts w:ascii="Arial"/>
                <w:sz w:val="40"/>
              </w:rPr>
            </w:pPr>
            <w:r>
              <w:rPr>
                <w:rFonts w:ascii="Arial"/>
                <w:color w:val="010101"/>
                <w:spacing w:val="-55"/>
                <w:w w:val="155"/>
                <w:sz w:val="40"/>
              </w:rPr>
              <w:t>,.</w:t>
            </w:r>
          </w:p>
        </w:tc>
        <w:tc>
          <w:tcPr>
            <w:tcW w:w="1675" w:type="dxa"/>
            <w:gridSpan w:val="2"/>
            <w:tcBorders>
              <w:left w:val="single" w:sz="7" w:space="0" w:color="000000"/>
              <w:right w:val="nil"/>
            </w:tcBorders>
          </w:tcPr>
          <w:p>
            <w:pPr>
              <w:pStyle w:val="TableParagraph"/>
              <w:spacing w:before="127"/>
              <w:ind w:left="742" w:right="661"/>
              <w:jc w:val="center"/>
              <w:rPr>
                <w:sz w:val="27"/>
              </w:rPr>
            </w:pPr>
            <w:r>
              <w:rPr>
                <w:color w:val="010101"/>
                <w:spacing w:val="-126"/>
                <w:w w:val="134"/>
                <w:sz w:val="27"/>
              </w:rPr>
              <w:t>•</w:t>
            </w:r>
            <w:r>
              <w:rPr>
                <w:color w:val="010101"/>
                <w:w w:val="79"/>
                <w:sz w:val="27"/>
              </w:rPr>
              <w:t>•</w:t>
            </w:r>
          </w:p>
        </w:tc>
      </w:tr>
      <w:tr>
        <w:trPr>
          <w:trHeight w:val="624" w:hRule="exact"/>
        </w:trPr>
        <w:tc>
          <w:tcPr>
            <w:tcW w:w="1083" w:type="dxa"/>
            <w:tcBorders>
              <w:top w:val="single" w:sz="4" w:space="0" w:color="000000"/>
              <w:left w:val="nil"/>
            </w:tcBorders>
          </w:tcPr>
          <w:p>
            <w:pPr>
              <w:pStyle w:val="TableParagraph"/>
              <w:spacing w:line="208" w:lineRule="exact" w:before="97"/>
              <w:ind w:left="408" w:right="365"/>
              <w:jc w:val="center"/>
              <w:rPr>
                <w:sz w:val="19"/>
              </w:rPr>
            </w:pPr>
            <w:r>
              <w:rPr>
                <w:color w:val="010101"/>
                <w:w w:val="115"/>
                <w:sz w:val="19"/>
              </w:rPr>
              <w:t>40</w:t>
            </w:r>
          </w:p>
          <w:p>
            <w:pPr>
              <w:pStyle w:val="TableParagraph"/>
              <w:spacing w:line="188" w:lineRule="exact"/>
              <w:ind w:left="368" w:right="365"/>
              <w:jc w:val="center"/>
              <w:rPr>
                <w:rFonts w:ascii="Times New Roman"/>
                <w:sz w:val="17"/>
              </w:rPr>
            </w:pPr>
            <w:r>
              <w:rPr>
                <w:rFonts w:ascii="Times New Roman"/>
                <w:color w:val="010101"/>
                <w:w w:val="105"/>
                <w:sz w:val="17"/>
              </w:rPr>
              <w:t>41</w:t>
            </w:r>
          </w:p>
        </w:tc>
        <w:tc>
          <w:tcPr>
            <w:tcW w:w="1474" w:type="dxa"/>
            <w:tcBorders>
              <w:top w:val="single" w:sz="4" w:space="0" w:color="000000"/>
            </w:tcBorders>
          </w:tcPr>
          <w:p>
            <w:pPr>
              <w:pStyle w:val="TableParagraph"/>
              <w:spacing w:before="93"/>
              <w:ind w:left="503"/>
              <w:rPr>
                <w:rFonts w:ascii="Times New Roman"/>
                <w:sz w:val="17"/>
              </w:rPr>
            </w:pPr>
            <w:r>
              <w:rPr>
                <w:rFonts w:ascii="Times New Roman"/>
                <w:color w:val="010101"/>
                <w:w w:val="105"/>
                <w:sz w:val="17"/>
              </w:rPr>
              <w:t>10,000</w:t>
            </w:r>
          </w:p>
          <w:p>
            <w:pPr>
              <w:pStyle w:val="TableParagraph"/>
              <w:spacing w:before="6"/>
              <w:ind w:left="571"/>
              <w:rPr>
                <w:rFonts w:ascii="Times New Roman"/>
                <w:sz w:val="17"/>
              </w:rPr>
            </w:pPr>
            <w:r>
              <w:rPr>
                <w:rFonts w:ascii="Times New Roman"/>
                <w:color w:val="010101"/>
                <w:w w:val="105"/>
                <w:sz w:val="17"/>
              </w:rPr>
              <w:t>8,634</w:t>
            </w:r>
          </w:p>
        </w:tc>
        <w:tc>
          <w:tcPr>
            <w:tcW w:w="1469" w:type="dxa"/>
            <w:tcBorders>
              <w:top w:val="single" w:sz="4" w:space="0" w:color="000000"/>
              <w:right w:val="single" w:sz="7" w:space="0" w:color="000000"/>
            </w:tcBorders>
          </w:tcPr>
          <w:p>
            <w:pPr>
              <w:pStyle w:val="TableParagraph"/>
              <w:spacing w:before="93"/>
              <w:ind w:left="550" w:right="549"/>
              <w:jc w:val="center"/>
              <w:rPr>
                <w:rFonts w:ascii="Times New Roman"/>
                <w:sz w:val="17"/>
              </w:rPr>
            </w:pPr>
            <w:r>
              <w:rPr>
                <w:rFonts w:ascii="Times New Roman"/>
                <w:color w:val="010101"/>
                <w:sz w:val="17"/>
              </w:rPr>
              <w:t>76</w:t>
            </w:r>
          </w:p>
          <w:p>
            <w:pPr>
              <w:pStyle w:val="TableParagraph"/>
              <w:spacing w:before="15"/>
              <w:ind w:left="559" w:right="549"/>
              <w:jc w:val="center"/>
              <w:rPr>
                <w:rFonts w:ascii="Times New Roman"/>
                <w:sz w:val="16"/>
              </w:rPr>
            </w:pPr>
            <w:r>
              <w:rPr>
                <w:rFonts w:ascii="Times New Roman"/>
                <w:color w:val="010101"/>
                <w:w w:val="105"/>
                <w:sz w:val="16"/>
              </w:rPr>
              <w:t>80</w:t>
            </w:r>
          </w:p>
        </w:tc>
        <w:tc>
          <w:tcPr>
            <w:tcW w:w="1403" w:type="dxa"/>
            <w:tcBorders>
              <w:left w:val="single" w:sz="7" w:space="0" w:color="000000"/>
              <w:right w:val="nil"/>
            </w:tcBorders>
          </w:tcPr>
          <w:p>
            <w:pPr>
              <w:pStyle w:val="TableParagraph"/>
              <w:spacing w:before="91"/>
              <w:ind w:left="665"/>
              <w:rPr>
                <w:rFonts w:ascii="Times New Roman"/>
                <w:sz w:val="17"/>
              </w:rPr>
            </w:pPr>
            <w:r>
              <w:rPr>
                <w:rFonts w:ascii="Times New Roman"/>
                <w:color w:val="010101"/>
                <w:w w:val="110"/>
                <w:sz w:val="17"/>
              </w:rPr>
              <w:t>1,290</w:t>
            </w:r>
          </w:p>
          <w:p>
            <w:pPr>
              <w:pStyle w:val="TableParagraph"/>
              <w:spacing w:before="2"/>
              <w:ind w:left="665"/>
              <w:rPr>
                <w:rFonts w:ascii="Times New Roman"/>
                <w:sz w:val="17"/>
              </w:rPr>
            </w:pPr>
            <w:r>
              <w:rPr>
                <w:rFonts w:ascii="Times New Roman"/>
                <w:color w:val="010101"/>
                <w:w w:val="110"/>
                <w:sz w:val="17"/>
              </w:rPr>
              <w:t>1,268</w:t>
            </w:r>
          </w:p>
        </w:tc>
        <w:tc>
          <w:tcPr>
            <w:tcW w:w="273" w:type="dxa"/>
            <w:tcBorders>
              <w:left w:val="nil"/>
              <w:bottom w:val="nil"/>
              <w:right w:val="nil"/>
            </w:tcBorders>
          </w:tcPr>
          <w:p>
            <w:pPr/>
          </w:p>
        </w:tc>
      </w:tr>
    </w:tbl>
    <w:p>
      <w:pPr>
        <w:pStyle w:val="BodyText"/>
        <w:spacing w:before="5"/>
        <w:rPr>
          <w:sz w:val="14"/>
        </w:rPr>
      </w:pPr>
    </w:p>
    <w:p>
      <w:pPr>
        <w:pStyle w:val="ListParagraph"/>
        <w:numPr>
          <w:ilvl w:val="1"/>
          <w:numId w:val="141"/>
        </w:numPr>
        <w:tabs>
          <w:tab w:pos="585" w:val="left" w:leader="none"/>
        </w:tabs>
        <w:spacing w:line="249" w:lineRule="auto" w:before="78" w:after="0"/>
        <w:ind w:left="114" w:right="137" w:firstLine="165"/>
        <w:jc w:val="both"/>
        <w:rPr>
          <w:sz w:val="17"/>
        </w:rPr>
      </w:pPr>
      <w:r>
        <w:rPr>
          <w:color w:val="010101"/>
          <w:w w:val="110"/>
          <w:sz w:val="17"/>
        </w:rPr>
        <w:t>(a) Given the rates oí death  and  disability  among active lives  and the rates of death among disabled lives, explain how you would construct a combined disability and mortality table, assuming no recoveries from dis­ ability.</w:t>
      </w:r>
    </w:p>
    <w:p>
      <w:pPr>
        <w:spacing w:line="183" w:lineRule="exact" w:before="0"/>
        <w:ind w:left="114" w:right="133" w:firstLine="337"/>
        <w:jc w:val="left"/>
        <w:rPr>
          <w:sz w:val="17"/>
        </w:rPr>
      </w:pPr>
      <w:r>
        <w:rPr>
          <w:color w:val="010101"/>
          <w:w w:val="110"/>
          <w:sz w:val="17"/>
        </w:rPr>
        <w:t>(b)  Develop  a formula,  based  on the  table  in  (a), for the  net annual</w:t>
      </w:r>
    </w:p>
    <w:p>
      <w:pPr>
        <w:spacing w:line="247" w:lineRule="auto" w:before="6"/>
        <w:ind w:left="114" w:right="141" w:firstLine="0"/>
        <w:jc w:val="both"/>
        <w:rPr>
          <w:sz w:val="17"/>
        </w:rPr>
      </w:pPr>
      <w:r>
        <w:rPr>
          <w:color w:val="010101"/>
          <w:sz w:val="17"/>
        </w:rPr>
        <w:t>premium payable by a. lif e aged </w:t>
      </w:r>
      <w:r>
        <w:rPr>
          <w:rFonts w:ascii="Arial" w:hAnsi="Arial"/>
          <w:i/>
          <w:color w:val="010101"/>
          <w:sz w:val="15"/>
        </w:rPr>
        <w:t>x </w:t>
      </w:r>
      <w:r>
        <w:rPr>
          <w:color w:val="010101"/>
          <w:sz w:val="17"/>
        </w:rPr>
        <w:t>while active  for  a policy  providing  a pay­ ment of $10 upon death while  .active,  $5  upon  becoming  disabled,  $1 at  the end of each yea.r after becoming disable&lt;l, and </w:t>
      </w:r>
      <w:r>
        <w:rPr>
          <w:rFonts w:ascii="Arial" w:hAnsi="Arial"/>
          <w:b/>
          <w:color w:val="010101"/>
          <w:sz w:val="16"/>
        </w:rPr>
        <w:t>$5 </w:t>
      </w:r>
      <w:r>
        <w:rPr>
          <w:color w:val="010101"/>
          <w:sz w:val="17"/>
        </w:rPr>
        <w:t>upon death while disabled. Assume ali claim payments are made a.t  the  end  of  the  policy  year.  Express your   answer  in  terms  of   suitably  defined   cornrnutation  </w:t>
      </w:r>
      <w:r>
        <w:rPr>
          <w:color w:val="010101"/>
          <w:spacing w:val="34"/>
          <w:sz w:val="17"/>
        </w:rPr>
        <w:t> </w:t>
      </w:r>
      <w:r>
        <w:rPr>
          <w:color w:val="010101"/>
          <w:sz w:val="17"/>
        </w:rPr>
        <w:t>columna.</w:t>
      </w:r>
    </w:p>
    <w:p>
      <w:pPr>
        <w:spacing w:after="0" w:line="247" w:lineRule="auto"/>
        <w:jc w:val="both"/>
        <w:rPr>
          <w:sz w:val="17"/>
        </w:rPr>
        <w:sectPr>
          <w:type w:val="continuous"/>
          <w:pgSz w:w="7200" w:h="11340"/>
          <w:pgMar w:top="1100" w:bottom="0" w:left="660" w:right="560"/>
        </w:sectPr>
      </w:pPr>
    </w:p>
    <w:p>
      <w:pPr>
        <w:pStyle w:val="BodyText"/>
      </w:pPr>
    </w:p>
    <w:p>
      <w:pPr>
        <w:pStyle w:val="BodyText"/>
      </w:pPr>
    </w:p>
    <w:p>
      <w:pPr>
        <w:pStyle w:val="BodyText"/>
        <w:spacing w:before="3"/>
        <w:rPr>
          <w:sz w:val="19"/>
        </w:rPr>
      </w:pPr>
    </w:p>
    <w:p>
      <w:pPr>
        <w:spacing w:before="74"/>
        <w:ind w:left="74" w:right="88" w:firstLine="0"/>
        <w:jc w:val="center"/>
        <w:rPr>
          <w:sz w:val="20"/>
        </w:rPr>
      </w:pPr>
      <w:bookmarkStart w:name="16. A Generalized Model" w:id="23"/>
      <w:bookmarkEnd w:id="23"/>
      <w:r>
        <w:rPr/>
      </w:r>
      <w:r>
        <w:rPr>
          <w:rFonts w:ascii="Arial"/>
          <w:color w:val="010101"/>
          <w:w w:val="115"/>
          <w:sz w:val="15"/>
        </w:rPr>
        <w:t>CHAPrER  </w:t>
      </w:r>
      <w:r>
        <w:rPr>
          <w:color w:val="010101"/>
          <w:w w:val="115"/>
          <w:sz w:val="20"/>
        </w:rPr>
        <w:t>16</w:t>
      </w:r>
    </w:p>
    <w:p>
      <w:pPr>
        <w:pStyle w:val="BodyText"/>
        <w:spacing w:before="7"/>
        <w:rPr>
          <w:sz w:val="17"/>
        </w:rPr>
      </w:pPr>
    </w:p>
    <w:p>
      <w:pPr>
        <w:spacing w:before="0"/>
        <w:ind w:left="74" w:right="110" w:firstLine="0"/>
        <w:jc w:val="center"/>
        <w:rPr>
          <w:sz w:val="21"/>
        </w:rPr>
      </w:pPr>
      <w:r>
        <w:rPr>
          <w:color w:val="010101"/>
          <w:sz w:val="21"/>
        </w:rPr>
        <w:t>A   GENERALIZED  MODEL</w:t>
      </w:r>
    </w:p>
    <w:p>
      <w:pPr>
        <w:pStyle w:val="BodyText"/>
        <w:spacing w:before="11"/>
        <w:rPr>
          <w:sz w:val="26"/>
        </w:rPr>
      </w:pPr>
    </w:p>
    <w:p>
      <w:pPr>
        <w:spacing w:before="0"/>
        <w:ind w:left="133" w:right="0" w:firstLine="0"/>
        <w:jc w:val="both"/>
        <w:rPr>
          <w:b/>
          <w:sz w:val="20"/>
        </w:rPr>
      </w:pPr>
      <w:r>
        <w:rPr>
          <w:b/>
          <w:color w:val="010101"/>
          <w:w w:val="115"/>
          <w:sz w:val="22"/>
        </w:rPr>
        <w:t>l. </w:t>
      </w:r>
      <w:r>
        <w:rPr>
          <w:b/>
          <w:color w:val="010101"/>
          <w:w w:val="115"/>
          <w:sz w:val="20"/>
        </w:rPr>
        <w:t>Description of the model</w:t>
      </w:r>
    </w:p>
    <w:p>
      <w:pPr>
        <w:pStyle w:val="BodyText"/>
        <w:spacing w:line="252" w:lineRule="auto" w:before="168"/>
        <w:ind w:left="118" w:right="135" w:firstLine="201"/>
        <w:jc w:val="both"/>
      </w:pPr>
      <w:r>
        <w:rPr>
          <w:color w:val="010101"/>
          <w:w w:val="105"/>
        </w:rPr>
        <w:t>We consider further the problem of  calculating  the  present value of benefits which become payable when an individual life, subject to several causes of decrement, is transferred, through the operation of one of  these  causes,  to a specified  state </w:t>
      </w:r>
      <w:r>
        <w:rPr>
          <w:rFonts w:ascii="Arial"/>
          <w:i/>
          <w:color w:val="010101"/>
          <w:w w:val="105"/>
          <w:sz w:val="18"/>
        </w:rPr>
        <w:t>g. </w:t>
      </w:r>
      <w:r>
        <w:rPr>
          <w:color w:val="010101"/>
          <w:w w:val="105"/>
        </w:rPr>
        <w:t>We  shall of ten  be  concemed  with  benefits  which  consist  either  partly or</w:t>
      </w:r>
    </w:p>
    <w:p>
      <w:pPr>
        <w:pStyle w:val="BodyText"/>
        <w:spacing w:line="252" w:lineRule="auto"/>
        <w:ind w:left="129" w:right="139" w:hanging="11"/>
        <w:jc w:val="both"/>
      </w:pPr>
      <w:r>
        <w:rPr>
          <w:color w:val="242424"/>
          <w:spacing w:val="-5"/>
          <w:w w:val="105"/>
        </w:rPr>
        <w:t>·</w:t>
      </w:r>
      <w:r>
        <w:rPr>
          <w:color w:val="010101"/>
          <w:spacing w:val="-5"/>
          <w:w w:val="105"/>
        </w:rPr>
        <w:t>wholly </w:t>
      </w:r>
      <w:r>
        <w:rPr>
          <w:color w:val="010101"/>
          <w:w w:val="105"/>
        </w:rPr>
        <w:t>of annuity payments to be made while the insured is in  state </w:t>
      </w:r>
      <w:r>
        <w:rPr>
          <w:rFonts w:ascii="Arial" w:hAnsi="Arial"/>
          <w:i/>
          <w:color w:val="010101"/>
          <w:w w:val="105"/>
          <w:sz w:val="18"/>
        </w:rPr>
        <w:t>g. </w:t>
      </w:r>
      <w:r>
        <w:rPr>
          <w:color w:val="010101"/>
          <w:w w:val="105"/>
        </w:rPr>
        <w:t>As we have seen in Chapter 15, the required value can be obtained if the multiple-decrement table is extended in a natural way to show the secondary decrements from state </w:t>
      </w:r>
      <w:r>
        <w:rPr>
          <w:rFonts w:ascii="Arial" w:hAnsi="Arial"/>
          <w:i/>
          <w:color w:val="010101"/>
          <w:w w:val="105"/>
          <w:sz w:val="17"/>
        </w:rPr>
        <w:t>g. </w:t>
      </w:r>
      <w:r>
        <w:rPr>
          <w:color w:val="010101"/>
          <w:w w:val="105"/>
        </w:rPr>
        <w:t>We now develop an altemative model, somewhat simpler in conception, which  is often more convenient to use in </w:t>
      </w:r>
      <w:r>
        <w:rPr>
          <w:color w:val="010101"/>
          <w:spacing w:val="18"/>
          <w:w w:val="105"/>
        </w:rPr>
        <w:t> </w:t>
      </w:r>
      <w:r>
        <w:rPr>
          <w:color w:val="010101"/>
          <w:w w:val="105"/>
        </w:rPr>
        <w:t>practice.</w:t>
      </w:r>
    </w:p>
    <w:p>
      <w:pPr>
        <w:pStyle w:val="BodyText"/>
        <w:ind w:left="323" w:right="739"/>
      </w:pPr>
      <w:r>
        <w:rPr>
          <w:color w:val="010101"/>
          <w:w w:val="105"/>
        </w:rPr>
        <w:t>The model  requires  the following  basic elements:</w:t>
      </w:r>
    </w:p>
    <w:p>
      <w:pPr>
        <w:pStyle w:val="BodyText"/>
        <w:spacing w:line="165" w:lineRule="auto" w:before="65"/>
        <w:ind w:left="133" w:right="135" w:firstLine="204"/>
        <w:jc w:val="both"/>
      </w:pPr>
      <w:r>
        <w:rPr>
          <w:color w:val="010101"/>
          <w:w w:val="130"/>
          <w:sz w:val="19"/>
        </w:rPr>
        <w:t>l. </w:t>
      </w:r>
      <w:r>
        <w:rPr>
          <w:rFonts w:ascii="Arial"/>
          <w:color w:val="010101"/>
          <w:w w:val="110"/>
          <w:sz w:val="19"/>
        </w:rPr>
        <w:t>A </w:t>
      </w:r>
      <w:r>
        <w:rPr>
          <w:color w:val="010101"/>
          <w:w w:val="110"/>
        </w:rPr>
        <w:t>multiple-decrement table which measures the risk of </w:t>
      </w:r>
      <w:r>
        <w:rPr>
          <w:color w:val="010101"/>
          <w:w w:val="105"/>
        </w:rPr>
        <w:t>transfer  </w:t>
      </w:r>
      <w:r>
        <w:rPr>
          <w:color w:val="010101"/>
          <w:w w:val="114"/>
        </w:rPr>
        <w:t>to </w:t>
      </w:r>
      <w:r>
        <w:rPr>
          <w:color w:val="010101"/>
          <w:w w:val="114"/>
        </w:rPr>
        <w:t>state </w:t>
      </w:r>
      <w:r>
        <w:rPr>
          <w:rFonts w:ascii="Arial"/>
          <w:i/>
          <w:color w:val="010101"/>
          <w:w w:val="95"/>
          <w:sz w:val="18"/>
        </w:rPr>
        <w:t>g.  </w:t>
      </w:r>
      <w:r>
        <w:rPr>
          <w:color w:val="010101"/>
          <w:w w:val="113"/>
        </w:rPr>
        <w:t>In  </w:t>
      </w:r>
      <w:r>
        <w:rPr>
          <w:color w:val="010101"/>
          <w:w w:val="110"/>
        </w:rPr>
        <w:t>this  </w:t>
      </w:r>
      <w:r>
        <w:rPr>
          <w:color w:val="010101"/>
          <w:w w:val="107"/>
        </w:rPr>
        <w:t>table, </w:t>
      </w:r>
      <w:r>
        <w:rPr>
          <w:color w:val="010101"/>
          <w:w w:val="99"/>
        </w:rPr>
        <w:t>we  </w:t>
      </w:r>
      <w:r>
        <w:rPr>
          <w:color w:val="010101"/>
          <w:w w:val="105"/>
        </w:rPr>
        <w:t>shall  </w:t>
      </w:r>
      <w:r>
        <w:rPr>
          <w:color w:val="010101"/>
          <w:w w:val="100"/>
        </w:rPr>
        <w:t>use  </w:t>
      </w:r>
      <w:r>
        <w:rPr>
          <w:rFonts w:ascii="Arial"/>
          <w:color w:val="010101"/>
          <w:spacing w:val="-16"/>
          <w:w w:val="154"/>
          <w:sz w:val="29"/>
        </w:rPr>
        <w:t>f;</w:t>
      </w:r>
      <w:r>
        <w:rPr>
          <w:color w:val="010101"/>
          <w:spacing w:val="-16"/>
          <w:w w:val="154"/>
        </w:rPr>
        <w:t>to </w:t>
      </w:r>
      <w:r>
        <w:rPr>
          <w:color w:val="010101"/>
          <w:spacing w:val="-16"/>
          <w:w w:val="101"/>
        </w:rPr>
        <w:t>refer  </w:t>
      </w:r>
      <w:r>
        <w:rPr>
          <w:color w:val="010101"/>
          <w:spacing w:val="-16"/>
          <w:w w:val="101"/>
          <w:sz w:val="22"/>
        </w:rPr>
        <w:t>to</w:t>
      </w:r>
      <w:r>
        <w:rPr>
          <w:color w:val="010101"/>
          <w:w w:val="101"/>
          <w:sz w:val="22"/>
        </w:rPr>
        <w:t> </w:t>
      </w:r>
      <w:r>
        <w:rPr>
          <w:color w:val="010101"/>
          <w:w w:val="109"/>
        </w:rPr>
        <w:t>the</w:t>
      </w:r>
    </w:p>
    <w:p>
      <w:pPr>
        <w:pStyle w:val="BodyText"/>
        <w:spacing w:line="229" w:lineRule="exact" w:before="11"/>
        <w:ind w:left="133"/>
        <w:jc w:val="both"/>
        <w:rPr>
          <w:i/>
        </w:rPr>
      </w:pPr>
      <w:r>
        <w:rPr>
          <w:color w:val="010101"/>
          <w:w w:val="105"/>
        </w:rPr>
        <w:t>original body  of lives and </w:t>
      </w:r>
      <w:r>
        <w:rPr>
          <w:i/>
          <w:color w:val="010101"/>
          <w:w w:val="105"/>
        </w:rPr>
        <w:t>gs </w:t>
      </w:r>
      <w:r>
        <w:rPr>
          <w:color w:val="010101"/>
          <w:w w:val="105"/>
        </w:rPr>
        <w:t>to denote the transfers to state  </w:t>
      </w:r>
      <w:r>
        <w:rPr>
          <w:i/>
          <w:color w:val="010101"/>
          <w:w w:val="105"/>
        </w:rPr>
        <w:t>g.</w:t>
      </w:r>
    </w:p>
    <w:p>
      <w:pPr>
        <w:pStyle w:val="ListParagraph"/>
        <w:numPr>
          <w:ilvl w:val="0"/>
          <w:numId w:val="142"/>
        </w:numPr>
        <w:tabs>
          <w:tab w:pos="575" w:val="left" w:leader="none"/>
        </w:tabs>
        <w:spacing w:line="240" w:lineRule="exact" w:before="0" w:after="0"/>
        <w:ind w:left="129" w:right="0" w:firstLine="198"/>
        <w:jc w:val="left"/>
        <w:rPr>
          <w:sz w:val="20"/>
        </w:rPr>
      </w:pPr>
      <w:r>
        <w:rPr>
          <w:color w:val="010101"/>
          <w:w w:val="110"/>
          <w:sz w:val="20"/>
        </w:rPr>
        <w:t>A</w:t>
      </w:r>
      <w:r>
        <w:rPr>
          <w:color w:val="010101"/>
          <w:spacing w:val="-12"/>
          <w:w w:val="110"/>
          <w:sz w:val="20"/>
        </w:rPr>
        <w:t> </w:t>
      </w:r>
      <w:r>
        <w:rPr>
          <w:color w:val="010101"/>
          <w:w w:val="110"/>
          <w:sz w:val="20"/>
        </w:rPr>
        <w:t>rate</w:t>
      </w:r>
      <w:r>
        <w:rPr>
          <w:color w:val="010101"/>
          <w:spacing w:val="-11"/>
          <w:w w:val="110"/>
          <w:sz w:val="20"/>
        </w:rPr>
        <w:t> </w:t>
      </w:r>
      <w:r>
        <w:rPr>
          <w:color w:val="010101"/>
          <w:w w:val="110"/>
          <w:sz w:val="20"/>
        </w:rPr>
        <w:t>of</w:t>
      </w:r>
      <w:r>
        <w:rPr>
          <w:color w:val="010101"/>
          <w:spacing w:val="2"/>
          <w:w w:val="110"/>
          <w:sz w:val="20"/>
        </w:rPr>
        <w:t> </w:t>
      </w:r>
      <w:r>
        <w:rPr>
          <w:color w:val="010101"/>
          <w:w w:val="110"/>
          <w:sz w:val="20"/>
        </w:rPr>
        <w:t>interest</w:t>
      </w:r>
      <w:r>
        <w:rPr>
          <w:color w:val="010101"/>
          <w:spacing w:val="-7"/>
          <w:w w:val="110"/>
          <w:sz w:val="20"/>
        </w:rPr>
        <w:t> </w:t>
      </w:r>
      <w:r>
        <w:rPr>
          <w:color w:val="010101"/>
          <w:w w:val="115"/>
          <w:sz w:val="21"/>
        </w:rPr>
        <w:t>i</w:t>
      </w:r>
      <w:r>
        <w:rPr>
          <w:color w:val="010101"/>
          <w:spacing w:val="-31"/>
          <w:w w:val="115"/>
          <w:sz w:val="21"/>
        </w:rPr>
        <w:t> </w:t>
      </w:r>
      <w:r>
        <w:rPr>
          <w:color w:val="010101"/>
          <w:w w:val="110"/>
          <w:sz w:val="20"/>
        </w:rPr>
        <w:t>for</w:t>
      </w:r>
      <w:r>
        <w:rPr>
          <w:color w:val="010101"/>
          <w:spacing w:val="-16"/>
          <w:w w:val="110"/>
          <w:sz w:val="20"/>
        </w:rPr>
        <w:t> </w:t>
      </w:r>
      <w:r>
        <w:rPr>
          <w:color w:val="010101"/>
          <w:w w:val="110"/>
          <w:sz w:val="20"/>
        </w:rPr>
        <w:t>use</w:t>
      </w:r>
      <w:r>
        <w:rPr>
          <w:color w:val="010101"/>
          <w:spacing w:val="-14"/>
          <w:w w:val="110"/>
          <w:sz w:val="20"/>
        </w:rPr>
        <w:t> </w:t>
      </w:r>
      <w:r>
        <w:rPr>
          <w:color w:val="010101"/>
          <w:w w:val="110"/>
          <w:sz w:val="20"/>
        </w:rPr>
        <w:t>with</w:t>
      </w:r>
      <w:r>
        <w:rPr>
          <w:color w:val="010101"/>
          <w:spacing w:val="-6"/>
          <w:w w:val="110"/>
          <w:sz w:val="20"/>
        </w:rPr>
        <w:t> </w:t>
      </w:r>
      <w:r>
        <w:rPr>
          <w:color w:val="010101"/>
          <w:w w:val="110"/>
          <w:sz w:val="20"/>
        </w:rPr>
        <w:t>the</w:t>
      </w:r>
      <w:r>
        <w:rPr>
          <w:color w:val="010101"/>
          <w:spacing w:val="-15"/>
          <w:w w:val="110"/>
          <w:sz w:val="20"/>
        </w:rPr>
        <w:t> </w:t>
      </w:r>
      <w:r>
        <w:rPr>
          <w:color w:val="010101"/>
          <w:w w:val="110"/>
          <w:sz w:val="20"/>
        </w:rPr>
        <w:t>multiple-decrement</w:t>
      </w:r>
      <w:r>
        <w:rPr>
          <w:color w:val="010101"/>
          <w:spacing w:val="5"/>
          <w:w w:val="110"/>
          <w:sz w:val="20"/>
        </w:rPr>
        <w:t> </w:t>
      </w:r>
      <w:r>
        <w:rPr>
          <w:color w:val="010101"/>
          <w:w w:val="110"/>
          <w:sz w:val="20"/>
        </w:rPr>
        <w:t>table.</w:t>
      </w:r>
    </w:p>
    <w:p>
      <w:pPr>
        <w:pStyle w:val="ListParagraph"/>
        <w:numPr>
          <w:ilvl w:val="0"/>
          <w:numId w:val="142"/>
        </w:numPr>
        <w:tabs>
          <w:tab w:pos="572" w:val="left" w:leader="none"/>
        </w:tabs>
        <w:spacing w:line="249" w:lineRule="auto" w:before="12" w:after="0"/>
        <w:ind w:left="129" w:right="117" w:firstLine="198"/>
        <w:jc w:val="both"/>
        <w:rPr>
          <w:sz w:val="20"/>
        </w:rPr>
      </w:pPr>
      <w:r>
        <w:rPr>
          <w:color w:val="010101"/>
          <w:w w:val="105"/>
          <w:sz w:val="20"/>
        </w:rPr>
        <w:t>A table of present values of annuities for lives in state </w:t>
      </w:r>
      <w:r>
        <w:rPr>
          <w:rFonts w:ascii="Arial" w:hAnsi="Arial"/>
          <w:i/>
          <w:color w:val="010101"/>
          <w:w w:val="105"/>
          <w:sz w:val="18"/>
        </w:rPr>
        <w:t>g, </w:t>
      </w:r>
      <w:r>
        <w:rPr>
          <w:color w:val="010101"/>
          <w:w w:val="105"/>
          <w:sz w:val="20"/>
        </w:rPr>
        <w:t>computed at an appropriate rate of interest, which is not neces­ sarily the  same  as i. These  values  are based  on  the  probabilities of continuance in state </w:t>
      </w:r>
      <w:r>
        <w:rPr>
          <w:rFonts w:ascii="Arial" w:hAnsi="Arial"/>
          <w:i/>
          <w:color w:val="010101"/>
          <w:w w:val="105"/>
          <w:sz w:val="17"/>
        </w:rPr>
        <w:t>g, </w:t>
      </w:r>
      <w:r>
        <w:rPr>
          <w:color w:val="010101"/>
          <w:w w:val="105"/>
          <w:sz w:val="20"/>
        </w:rPr>
        <w:t>where continuance may depend on survival only, or on sorne  additional  condition  as well,  such  as the continuation of disability. The form of  annuity  is determincd by   the  particular   application,   and  standard   notational </w:t>
      </w:r>
      <w:r>
        <w:rPr>
          <w:color w:val="010101"/>
          <w:spacing w:val="18"/>
          <w:w w:val="105"/>
          <w:sz w:val="20"/>
        </w:rPr>
        <w:t> </w:t>
      </w:r>
      <w:r>
        <w:rPr>
          <w:color w:val="010101"/>
          <w:w w:val="105"/>
          <w:sz w:val="20"/>
        </w:rPr>
        <w:t>devices</w:t>
      </w:r>
    </w:p>
    <w:p>
      <w:pPr>
        <w:pStyle w:val="BodyText"/>
        <w:spacing w:line="221" w:lineRule="exact"/>
        <w:ind w:left="133"/>
        <w:jc w:val="both"/>
        <w:rPr>
          <w:i/>
          <w:sz w:val="26"/>
        </w:rPr>
      </w:pPr>
      <w:r>
        <w:rPr>
          <w:color w:val="010101"/>
          <w:w w:val="105"/>
        </w:rPr>
        <w:t>are  used  to  distinguish  the  different  types,  as,  for  example,  </w:t>
      </w:r>
      <w:r>
        <w:rPr>
          <w:i/>
          <w:color w:val="010101"/>
          <w:w w:val="105"/>
          <w:sz w:val="26"/>
        </w:rPr>
        <w:t>a!</w:t>
      </w:r>
    </w:p>
    <w:p>
      <w:pPr>
        <w:spacing w:line="260" w:lineRule="exact" w:before="0"/>
        <w:ind w:left="133" w:right="0" w:firstLine="0"/>
        <w:jc w:val="both"/>
        <w:rPr>
          <w:sz w:val="25"/>
        </w:rPr>
      </w:pPr>
      <w:r>
        <w:rPr>
          <w:color w:val="010101"/>
          <w:sz w:val="20"/>
        </w:rPr>
        <w:t>and </w:t>
      </w:r>
      <w:r>
        <w:rPr>
          <w:color w:val="010101"/>
          <w:w w:val="95"/>
          <w:sz w:val="25"/>
        </w:rPr>
        <w:t>ci! </w:t>
      </w:r>
      <w:r>
        <w:rPr>
          <w:color w:val="010101"/>
          <w:sz w:val="25"/>
        </w:rPr>
        <w:t>.</w:t>
      </w:r>
    </w:p>
    <w:p>
      <w:pPr>
        <w:pStyle w:val="BodyText"/>
        <w:spacing w:line="247" w:lineRule="auto"/>
        <w:ind w:left="129" w:right="135" w:firstLine="197"/>
        <w:jc w:val="both"/>
      </w:pPr>
      <w:r>
        <w:rPr>
          <w:color w:val="010101"/>
          <w:w w:val="105"/>
        </w:rPr>
        <w:t>Using these three elements, it is easy to express thc net single premium for annuity payments to be received in state </w:t>
      </w:r>
      <w:r>
        <w:rPr>
          <w:rFonts w:ascii="Arial"/>
          <w:i/>
          <w:color w:val="010101"/>
          <w:w w:val="105"/>
          <w:sz w:val="17"/>
        </w:rPr>
        <w:t>g. </w:t>
      </w:r>
      <w:r>
        <w:rPr>
          <w:color w:val="010101"/>
          <w:w w:val="105"/>
        </w:rPr>
        <w:t>Suppose that a continuous life annuity  of  1 per  annum  is  payable  while  (x ) is in state </w:t>
      </w:r>
      <w:r>
        <w:rPr>
          <w:rFonts w:ascii="Arial"/>
          <w:i/>
          <w:color w:val="010101"/>
          <w:w w:val="105"/>
          <w:sz w:val="17"/>
        </w:rPr>
        <w:t>g, </w:t>
      </w:r>
      <w:r>
        <w:rPr>
          <w:color w:val="010101"/>
          <w:w w:val="105"/>
        </w:rPr>
        <w:t>provided that entrance into state </w:t>
      </w:r>
      <w:r>
        <w:rPr>
          <w:rFonts w:ascii="Arial"/>
          <w:i/>
          <w:color w:val="010101"/>
          <w:w w:val="105"/>
          <w:sz w:val="17"/>
        </w:rPr>
        <w:t>g  </w:t>
      </w:r>
      <w:r>
        <w:rPr>
          <w:color w:val="010101"/>
          <w:w w:val="105"/>
        </w:rPr>
        <w:t>occurs before age </w:t>
      </w:r>
      <w:r>
        <w:rPr>
          <w:rFonts w:ascii="Arial"/>
          <w:i/>
          <w:color w:val="010101"/>
          <w:w w:val="105"/>
          <w:sz w:val="16"/>
        </w:rPr>
        <w:t>y . </w:t>
      </w:r>
      <w:r>
        <w:rPr>
          <w:color w:val="010101"/>
          <w:w w:val="105"/>
        </w:rPr>
        <w:t>Assuming that the annuity becomes payable at the moment  of  entrance to statc </w:t>
      </w:r>
      <w:r>
        <w:rPr>
          <w:rFonts w:ascii="Arial"/>
          <w:i/>
          <w:color w:val="010101"/>
          <w:w w:val="105"/>
          <w:sz w:val="16"/>
        </w:rPr>
        <w:t>g, </w:t>
      </w:r>
      <w:r>
        <w:rPr>
          <w:color w:val="010101"/>
          <w:w w:val="105"/>
        </w:rPr>
        <w:t>we can write the net  single premium   </w:t>
      </w:r>
      <w:r>
        <w:rPr>
          <w:color w:val="010101"/>
          <w:spacing w:val="30"/>
          <w:w w:val="105"/>
        </w:rPr>
        <w:t> </w:t>
      </w:r>
      <w:r>
        <w:rPr>
          <w:color w:val="010101"/>
          <w:w w:val="105"/>
        </w:rPr>
        <w:t>as</w:t>
      </w:r>
    </w:p>
    <w:p>
      <w:pPr>
        <w:spacing w:before="93"/>
        <w:ind w:left="74" w:right="84" w:firstLine="0"/>
        <w:jc w:val="center"/>
        <w:rPr>
          <w:sz w:val="17"/>
        </w:rPr>
      </w:pPr>
      <w:r>
        <w:rPr>
          <w:color w:val="010101"/>
          <w:sz w:val="17"/>
        </w:rPr>
        <w:t>305</w:t>
      </w:r>
    </w:p>
    <w:p>
      <w:pPr>
        <w:spacing w:after="0"/>
        <w:jc w:val="center"/>
        <w:rPr>
          <w:sz w:val="17"/>
        </w:rPr>
        <w:sectPr>
          <w:pgSz w:w="7200" w:h="11340"/>
          <w:pgMar w:top="1060" w:bottom="280" w:left="660" w:right="560"/>
        </w:sectPr>
      </w:pPr>
    </w:p>
    <w:p>
      <w:pPr>
        <w:tabs>
          <w:tab w:pos="1955" w:val="left" w:leader="none"/>
          <w:tab w:pos="5214" w:val="left" w:leader="none"/>
        </w:tabs>
        <w:spacing w:before="53"/>
        <w:ind w:left="121" w:right="19" w:firstLine="0"/>
        <w:jc w:val="left"/>
        <w:rPr>
          <w:rFonts w:ascii="Arial"/>
          <w:b/>
          <w:sz w:val="19"/>
        </w:rPr>
      </w:pPr>
      <w:r>
        <w:rPr>
          <w:rFonts w:ascii="Arial"/>
          <w:color w:val="010101"/>
          <w:position w:val="1"/>
          <w:sz w:val="19"/>
        </w:rPr>
        <w:t>306</w:t>
        <w:tab/>
      </w:r>
      <w:r>
        <w:rPr>
          <w:b/>
          <w:color w:val="010101"/>
          <w:position w:val="1"/>
          <w:sz w:val="15"/>
        </w:rPr>
        <w:t>A </w:t>
      </w:r>
      <w:r>
        <w:rPr>
          <w:b/>
          <w:color w:val="010101"/>
          <w:spacing w:val="31"/>
          <w:position w:val="1"/>
          <w:sz w:val="15"/>
        </w:rPr>
        <w:t> </w:t>
      </w:r>
      <w:r>
        <w:rPr>
          <w:b/>
          <w:color w:val="010101"/>
          <w:position w:val="1"/>
          <w:sz w:val="15"/>
        </w:rPr>
        <w:t>GENERALIZED </w:t>
      </w:r>
      <w:r>
        <w:rPr>
          <w:b/>
          <w:color w:val="010101"/>
          <w:spacing w:val="36"/>
          <w:position w:val="1"/>
          <w:sz w:val="15"/>
        </w:rPr>
        <w:t> </w:t>
      </w:r>
      <w:r>
        <w:rPr>
          <w:b/>
          <w:color w:val="010101"/>
          <w:position w:val="1"/>
          <w:sz w:val="15"/>
        </w:rPr>
        <w:t>MODEL</w:t>
        <w:tab/>
      </w:r>
      <w:r>
        <w:rPr>
          <w:b/>
          <w:color w:val="010101"/>
          <w:sz w:val="17"/>
        </w:rPr>
        <w:t>[CH.</w:t>
      </w:r>
      <w:r>
        <w:rPr>
          <w:b/>
          <w:color w:val="010101"/>
          <w:spacing w:val="12"/>
          <w:sz w:val="17"/>
        </w:rPr>
        <w:t> </w:t>
      </w:r>
      <w:r>
        <w:rPr>
          <w:rFonts w:ascii="Arial"/>
          <w:b/>
          <w:color w:val="010101"/>
          <w:sz w:val="19"/>
        </w:rPr>
        <w:t>16</w:t>
      </w:r>
    </w:p>
    <w:p>
      <w:pPr>
        <w:pStyle w:val="BodyText"/>
        <w:rPr>
          <w:rFonts w:ascii="Arial"/>
          <w:b/>
          <w:sz w:val="17"/>
        </w:rPr>
      </w:pPr>
      <w:r>
        <w:rPr/>
        <w:drawing>
          <wp:anchor distT="0" distB="0" distL="0" distR="0" allowOverlap="1" layoutInCell="1" locked="0" behindDoc="0" simplePos="0" relativeHeight="24880">
            <wp:simplePos x="0" y="0"/>
            <wp:positionH relativeFrom="page">
              <wp:posOffset>1115567</wp:posOffset>
            </wp:positionH>
            <wp:positionV relativeFrom="paragraph">
              <wp:posOffset>149243</wp:posOffset>
            </wp:positionV>
            <wp:extent cx="2432304" cy="292608"/>
            <wp:effectExtent l="0" t="0" r="0" b="0"/>
            <wp:wrapTopAndBottom/>
            <wp:docPr id="747" name="image381.png" descr=""/>
            <wp:cNvGraphicFramePr>
              <a:graphicFrameLocks noChangeAspect="1"/>
            </wp:cNvGraphicFramePr>
            <a:graphic>
              <a:graphicData uri="http://schemas.openxmlformats.org/drawingml/2006/picture">
                <pic:pic>
                  <pic:nvPicPr>
                    <pic:cNvPr id="748" name="image381.png"/>
                    <pic:cNvPicPr/>
                  </pic:nvPicPr>
                  <pic:blipFill>
                    <a:blip r:embed="rId385" cstate="print"/>
                    <a:stretch>
                      <a:fillRect/>
                    </a:stretch>
                  </pic:blipFill>
                  <pic:spPr>
                    <a:xfrm>
                      <a:off x="0" y="0"/>
                      <a:ext cx="2432304" cy="292608"/>
                    </a:xfrm>
                    <a:prstGeom prst="rect">
                      <a:avLst/>
                    </a:prstGeom>
                  </pic:spPr>
                </pic:pic>
              </a:graphicData>
            </a:graphic>
          </wp:anchor>
        </w:drawing>
      </w:r>
    </w:p>
    <w:p>
      <w:pPr>
        <w:pStyle w:val="BodyText"/>
        <w:spacing w:before="3"/>
        <w:rPr>
          <w:rFonts w:ascii="Arial"/>
          <w:b/>
          <w:sz w:val="6"/>
        </w:rPr>
      </w:pPr>
    </w:p>
    <w:p>
      <w:pPr>
        <w:spacing w:after="0"/>
        <w:rPr>
          <w:rFonts w:ascii="Arial"/>
          <w:sz w:val="6"/>
        </w:rPr>
        <w:sectPr>
          <w:pgSz w:w="7200" w:h="11340"/>
          <w:pgMar w:top="520" w:bottom="280" w:left="680" w:right="580"/>
        </w:sectPr>
      </w:pPr>
    </w:p>
    <w:p>
      <w:pPr>
        <w:tabs>
          <w:tab w:pos="3880" w:val="left" w:leader="none"/>
          <w:tab w:pos="4760" w:val="left" w:leader="none"/>
        </w:tabs>
        <w:spacing w:line="142" w:lineRule="exact" w:before="76"/>
        <w:ind w:left="2864" w:right="0" w:firstLine="0"/>
        <w:jc w:val="left"/>
        <w:rPr>
          <w:rFonts w:ascii="Arial" w:hAnsi="Arial"/>
          <w:sz w:val="19"/>
        </w:rPr>
      </w:pPr>
      <w:r>
        <w:rPr>
          <w:color w:val="010101"/>
          <w:w w:val="125"/>
          <w:position w:val="-12"/>
          <w:sz w:val="23"/>
        </w:rPr>
        <w:t>=</w:t>
      </w:r>
      <w:r>
        <w:rPr>
          <w:color w:val="010101"/>
          <w:spacing w:val="31"/>
          <w:w w:val="125"/>
          <w:position w:val="-12"/>
          <w:sz w:val="23"/>
        </w:rPr>
        <w:t> </w:t>
      </w:r>
      <w:r>
        <w:rPr>
          <w:rFonts w:ascii="Arial" w:hAnsi="Arial"/>
          <w:color w:val="010101"/>
          <w:spacing w:val="-44"/>
          <w:w w:val="125"/>
          <w:sz w:val="19"/>
        </w:rPr>
        <w:t>_1_</w:t>
        <w:tab/>
      </w:r>
      <w:r>
        <w:rPr>
          <w:color w:val="010101"/>
          <w:w w:val="125"/>
          <w:sz w:val="17"/>
        </w:rPr>
        <w:t>•+!</w:t>
      </w:r>
      <w:r>
        <w:rPr>
          <w:color w:val="010101"/>
          <w:spacing w:val="-18"/>
          <w:w w:val="125"/>
          <w:sz w:val="17"/>
        </w:rPr>
        <w:t> </w:t>
      </w:r>
      <w:r>
        <w:rPr>
          <w:b/>
          <w:i/>
          <w:color w:val="010101"/>
          <w:w w:val="125"/>
          <w:position w:val="-12"/>
          <w:sz w:val="18"/>
        </w:rPr>
        <w:t>g.</w:t>
      </w:r>
      <w:r>
        <w:rPr>
          <w:b/>
          <w:i/>
          <w:color w:val="010101"/>
          <w:spacing w:val="28"/>
          <w:w w:val="125"/>
          <w:position w:val="-12"/>
          <w:sz w:val="18"/>
        </w:rPr>
        <w:t> </w:t>
      </w:r>
      <w:r>
        <w:rPr>
          <w:rFonts w:ascii="Arial" w:hAnsi="Arial"/>
          <w:i/>
          <w:color w:val="010101"/>
          <w:w w:val="125"/>
          <w:sz w:val="10"/>
        </w:rPr>
        <w:t>-ti</w:t>
        <w:tab/>
      </w:r>
      <w:r>
        <w:rPr>
          <w:rFonts w:ascii="Arial" w:hAnsi="Arial"/>
          <w:color w:val="010101"/>
          <w:w w:val="125"/>
          <w:position w:val="-12"/>
          <w:sz w:val="19"/>
        </w:rPr>
        <w:t>.</w:t>
      </w:r>
    </w:p>
    <w:p>
      <w:pPr>
        <w:pStyle w:val="BodyText"/>
        <w:spacing w:before="9"/>
        <w:rPr>
          <w:rFonts w:ascii="Arial"/>
          <w:sz w:val="14"/>
        </w:rPr>
      </w:pPr>
      <w:r>
        <w:rPr/>
        <w:br w:type="column"/>
      </w:r>
      <w:r>
        <w:rPr>
          <w:rFonts w:ascii="Arial"/>
          <w:sz w:val="14"/>
        </w:rPr>
      </w:r>
    </w:p>
    <w:p>
      <w:pPr>
        <w:spacing w:line="48" w:lineRule="exact" w:before="1"/>
        <w:ind w:left="435" w:right="0" w:firstLine="0"/>
        <w:jc w:val="left"/>
        <w:rPr>
          <w:sz w:val="19"/>
        </w:rPr>
      </w:pPr>
      <w:r>
        <w:rPr>
          <w:color w:val="010101"/>
          <w:w w:val="115"/>
          <w:sz w:val="19"/>
        </w:rPr>
        <w:t>(16.1)</w:t>
      </w:r>
    </w:p>
    <w:p>
      <w:pPr>
        <w:spacing w:after="0" w:line="48" w:lineRule="exact"/>
        <w:jc w:val="left"/>
        <w:rPr>
          <w:sz w:val="19"/>
        </w:rPr>
        <w:sectPr>
          <w:type w:val="continuous"/>
          <w:pgSz w:w="7200" w:h="11340"/>
          <w:pgMar w:top="1100" w:bottom="0" w:left="680" w:right="580"/>
          <w:cols w:num="2" w:equalWidth="0">
            <w:col w:w="4829" w:space="40"/>
            <w:col w:w="1071"/>
          </w:cols>
        </w:sectPr>
      </w:pPr>
    </w:p>
    <w:p>
      <w:pPr>
        <w:spacing w:line="180" w:lineRule="exact" w:before="0"/>
        <w:ind w:left="0" w:right="0" w:firstLine="0"/>
        <w:jc w:val="right"/>
        <w:rPr>
          <w:rFonts w:ascii="Arial"/>
          <w:b/>
          <w:i/>
          <w:sz w:val="14"/>
        </w:rPr>
      </w:pPr>
      <w:r>
        <w:rPr>
          <w:b/>
          <w:i/>
          <w:color w:val="010101"/>
          <w:w w:val="95"/>
          <w:sz w:val="12"/>
        </w:rPr>
        <w:t>:r  </w:t>
      </w:r>
      <w:r>
        <w:rPr>
          <w:b/>
          <w:i/>
          <w:color w:val="010101"/>
          <w:w w:val="95"/>
          <w:sz w:val="21"/>
        </w:rPr>
        <w:t>l" </w:t>
      </w:r>
      <w:r>
        <w:rPr>
          <w:rFonts w:ascii="Arial"/>
          <w:b/>
          <w:i/>
          <w:color w:val="010101"/>
          <w:w w:val="95"/>
          <w:sz w:val="13"/>
        </w:rPr>
        <w:t>L..., </w:t>
      </w:r>
      <w:r>
        <w:rPr>
          <w:rFonts w:ascii="Arial"/>
          <w:b/>
          <w:i/>
          <w:color w:val="010101"/>
          <w:w w:val="95"/>
          <w:sz w:val="14"/>
        </w:rPr>
        <w:t>V</w:t>
      </w:r>
    </w:p>
    <w:p>
      <w:pPr>
        <w:spacing w:line="126" w:lineRule="exact" w:before="0"/>
        <w:ind w:left="0" w:right="124" w:firstLine="0"/>
        <w:jc w:val="right"/>
        <w:rPr>
          <w:b/>
          <w:i/>
          <w:sz w:val="13"/>
        </w:rPr>
      </w:pPr>
      <w:r>
        <w:rPr>
          <w:rFonts w:ascii="Arial" w:hAnsi="Arial"/>
          <w:b/>
          <w:i/>
          <w:color w:val="010101"/>
          <w:sz w:val="14"/>
        </w:rPr>
        <w:t>V     </w:t>
      </w:r>
      <w:r>
        <w:rPr>
          <w:b/>
          <w:i/>
          <w:color w:val="010101"/>
          <w:sz w:val="12"/>
        </w:rPr>
        <w:t>:r   </w:t>
      </w:r>
      <w:r>
        <w:rPr>
          <w:b/>
          <w:i/>
          <w:color w:val="010101"/>
          <w:w w:val="105"/>
          <w:sz w:val="13"/>
        </w:rPr>
        <w:t>•-:r</w:t>
      </w:r>
    </w:p>
    <w:p>
      <w:pPr>
        <w:spacing w:line="209" w:lineRule="exact" w:before="0"/>
        <w:ind w:left="456" w:right="0" w:firstLine="0"/>
        <w:jc w:val="left"/>
        <w:rPr>
          <w:rFonts w:ascii="Arial" w:hAnsi="Arial"/>
          <w:b/>
          <w:i/>
          <w:sz w:val="19"/>
        </w:rPr>
      </w:pPr>
      <w:r>
        <w:rPr/>
        <w:br w:type="column"/>
      </w:r>
      <w:r>
        <w:rPr>
          <w:rFonts w:ascii="Arial" w:hAnsi="Arial"/>
          <w:b/>
          <w:i/>
          <w:color w:val="010101"/>
          <w:w w:val="110"/>
          <w:sz w:val="19"/>
        </w:rPr>
        <w:t>ª•+l</w:t>
      </w:r>
    </w:p>
    <w:p>
      <w:pPr>
        <w:spacing w:after="0" w:line="209" w:lineRule="exact"/>
        <w:jc w:val="left"/>
        <w:rPr>
          <w:rFonts w:ascii="Arial" w:hAnsi="Arial"/>
          <w:sz w:val="19"/>
        </w:rPr>
        <w:sectPr>
          <w:type w:val="continuous"/>
          <w:pgSz w:w="7200" w:h="11340"/>
          <w:pgMar w:top="1100" w:bottom="0" w:left="680" w:right="580"/>
          <w:cols w:num="2" w:equalWidth="0">
            <w:col w:w="3871" w:space="40"/>
            <w:col w:w="2029"/>
          </w:cols>
        </w:sectPr>
      </w:pPr>
    </w:p>
    <w:p>
      <w:pPr>
        <w:pStyle w:val="BodyText"/>
        <w:spacing w:line="247" w:lineRule="auto" w:before="107"/>
        <w:ind w:left="124" w:right="19"/>
      </w:pPr>
      <w:r>
        <w:rPr>
          <w:color w:val="010101"/>
          <w:w w:val="105"/>
        </w:rPr>
        <w:t>The only functions required for the evaluation of (16.1) are those given by the three elements described  above.</w:t>
      </w:r>
    </w:p>
    <w:p>
      <w:pPr>
        <w:pStyle w:val="BodyText"/>
        <w:spacing w:line="249" w:lineRule="auto" w:before="4"/>
        <w:ind w:left="121" w:right="128" w:firstLine="196"/>
        <w:jc w:val="both"/>
      </w:pPr>
      <w:r>
        <w:rPr>
          <w:color w:val="010101"/>
          <w:w w:val="105"/>
        </w:rPr>
        <w:t>As usual, the calculation  of  the value  of  the benefits  is easier  if commutation functions are available. We shall use the following basic functions, derived from the given multiple-decrement   </w:t>
      </w:r>
      <w:r>
        <w:rPr>
          <w:color w:val="010101"/>
          <w:spacing w:val="21"/>
          <w:w w:val="105"/>
        </w:rPr>
        <w:t> </w:t>
      </w:r>
      <w:r>
        <w:rPr>
          <w:color w:val="010101"/>
          <w:w w:val="105"/>
        </w:rPr>
        <w:t>table:</w:t>
      </w:r>
    </w:p>
    <w:p>
      <w:pPr>
        <w:spacing w:after="0" w:line="249" w:lineRule="auto"/>
        <w:jc w:val="both"/>
        <w:sectPr>
          <w:type w:val="continuous"/>
          <w:pgSz w:w="7200" w:h="11340"/>
          <w:pgMar w:top="1100" w:bottom="0" w:left="680" w:right="580"/>
        </w:sectPr>
      </w:pPr>
    </w:p>
    <w:p>
      <w:pPr>
        <w:spacing w:line="340" w:lineRule="exact" w:before="33"/>
        <w:ind w:left="1136" w:right="0" w:firstLine="0"/>
        <w:jc w:val="center"/>
        <w:rPr>
          <w:rFonts w:ascii="Arial"/>
          <w:sz w:val="20"/>
        </w:rPr>
      </w:pPr>
      <w:r>
        <w:rPr>
          <w:rFonts w:ascii="Arial"/>
          <w:i/>
          <w:color w:val="010101"/>
          <w:w w:val="110"/>
          <w:sz w:val="20"/>
        </w:rPr>
        <w:t>D; </w:t>
      </w:r>
      <w:r>
        <w:rPr>
          <w:color w:val="010101"/>
          <w:w w:val="110"/>
          <w:sz w:val="23"/>
        </w:rPr>
        <w:t>=  </w:t>
      </w:r>
      <w:r>
        <w:rPr>
          <w:i/>
          <w:color w:val="010101"/>
          <w:sz w:val="21"/>
        </w:rPr>
        <w:t>vx </w:t>
      </w:r>
      <w:r>
        <w:rPr>
          <w:rFonts w:ascii="Arial"/>
          <w:i/>
          <w:color w:val="010101"/>
          <w:w w:val="135"/>
          <w:sz w:val="20"/>
        </w:rPr>
        <w:t>l;   </w:t>
      </w:r>
      <w:r>
        <w:rPr>
          <w:color w:val="010101"/>
          <w:w w:val="110"/>
          <w:sz w:val="20"/>
        </w:rPr>
        <w:t>and   </w:t>
      </w:r>
      <w:r>
        <w:rPr>
          <w:rFonts w:ascii="Arial"/>
          <w:i/>
          <w:color w:val="010101"/>
          <w:sz w:val="29"/>
        </w:rPr>
        <w:t>D; </w:t>
      </w:r>
      <w:r>
        <w:rPr>
          <w:color w:val="010101"/>
          <w:w w:val="110"/>
          <w:sz w:val="23"/>
        </w:rPr>
        <w:t>=  </w:t>
      </w:r>
      <w:r>
        <w:rPr>
          <w:rFonts w:ascii="Arial"/>
          <w:i/>
          <w:color w:val="010101"/>
          <w:w w:val="110"/>
          <w:sz w:val="23"/>
        </w:rPr>
        <w:t>% </w:t>
      </w:r>
      <w:r>
        <w:rPr>
          <w:rFonts w:ascii="Arial"/>
          <w:i/>
          <w:color w:val="010101"/>
          <w:w w:val="110"/>
          <w:sz w:val="20"/>
        </w:rPr>
        <w:t>(D; </w:t>
      </w:r>
      <w:r>
        <w:rPr>
          <w:rFonts w:ascii="Arial"/>
          <w:color w:val="010101"/>
          <w:w w:val="110"/>
          <w:sz w:val="30"/>
        </w:rPr>
        <w:t>+ </w:t>
      </w:r>
      <w:r>
        <w:rPr>
          <w:rFonts w:ascii="Arial"/>
          <w:color w:val="010101"/>
          <w:w w:val="110"/>
          <w:sz w:val="20"/>
        </w:rPr>
        <w:t>D</w:t>
      </w:r>
      <w:r>
        <w:rPr>
          <w:rFonts w:ascii="Arial"/>
          <w:color w:val="010101"/>
          <w:spacing w:val="-41"/>
          <w:w w:val="110"/>
          <w:sz w:val="20"/>
        </w:rPr>
        <w:t> </w:t>
      </w:r>
      <w:r>
        <w:rPr>
          <w:rFonts w:ascii="Arial"/>
          <w:color w:val="010101"/>
          <w:w w:val="110"/>
          <w:sz w:val="20"/>
        </w:rPr>
        <w:t>+i)</w:t>
      </w:r>
    </w:p>
    <w:p>
      <w:pPr>
        <w:tabs>
          <w:tab w:pos="2903" w:val="left" w:leader="none"/>
        </w:tabs>
        <w:spacing w:line="352" w:lineRule="exact" w:before="0"/>
        <w:ind w:left="1147" w:right="0" w:firstLine="0"/>
        <w:jc w:val="center"/>
        <w:rPr>
          <w:sz w:val="26"/>
        </w:rPr>
      </w:pPr>
      <w:r>
        <w:rPr>
          <w:color w:val="010101"/>
          <w:spacing w:val="-3"/>
          <w:w w:val="73"/>
          <w:sz w:val="26"/>
        </w:rPr>
        <w:t>C</w:t>
      </w:r>
      <w:r>
        <w:rPr>
          <w:color w:val="010101"/>
          <w:spacing w:val="-22"/>
          <w:w w:val="210"/>
          <w:sz w:val="26"/>
        </w:rPr>
        <w:t>!</w:t>
      </w:r>
      <w:r>
        <w:rPr>
          <w:color w:val="010101"/>
          <w:w w:val="103"/>
          <w:sz w:val="23"/>
        </w:rPr>
        <w:t>=</w:t>
      </w:r>
      <w:r>
        <w:rPr>
          <w:color w:val="010101"/>
          <w:sz w:val="23"/>
        </w:rPr>
        <w:t> </w:t>
      </w:r>
      <w:r>
        <w:rPr>
          <w:color w:val="010101"/>
          <w:spacing w:val="-18"/>
          <w:sz w:val="23"/>
        </w:rPr>
        <w:t> </w:t>
      </w:r>
      <w:r>
        <w:rPr>
          <w:color w:val="010101"/>
          <w:w w:val="103"/>
          <w:sz w:val="16"/>
        </w:rPr>
        <w:t>vz+i</w:t>
      </w:r>
      <w:r>
        <w:rPr>
          <w:color w:val="010101"/>
          <w:sz w:val="16"/>
        </w:rPr>
        <w:t> </w:t>
      </w:r>
      <w:r>
        <w:rPr>
          <w:color w:val="010101"/>
          <w:spacing w:val="-9"/>
          <w:sz w:val="16"/>
        </w:rPr>
        <w:t> </w:t>
      </w:r>
      <w:r>
        <w:rPr>
          <w:i/>
          <w:color w:val="010101"/>
          <w:spacing w:val="16"/>
          <w:w w:val="68"/>
          <w:sz w:val="20"/>
        </w:rPr>
        <w:t>Y</w:t>
      </w:r>
      <w:r>
        <w:rPr>
          <w:i/>
          <w:color w:val="010101"/>
          <w:w w:val="61"/>
          <w:sz w:val="20"/>
        </w:rPr>
        <w:t>x</w:t>
      </w:r>
      <w:r>
        <w:rPr>
          <w:i/>
          <w:color w:val="010101"/>
          <w:sz w:val="20"/>
        </w:rPr>
        <w:t> </w:t>
      </w:r>
      <w:r>
        <w:rPr>
          <w:i/>
          <w:color w:val="010101"/>
          <w:spacing w:val="2"/>
          <w:sz w:val="20"/>
        </w:rPr>
        <w:t> </w:t>
      </w:r>
      <w:r>
        <w:rPr>
          <w:color w:val="4B4B4B"/>
          <w:w w:val="81"/>
          <w:sz w:val="20"/>
        </w:rPr>
        <w:t>.</w:t>
      </w:r>
      <w:r>
        <w:rPr>
          <w:color w:val="4B4B4B"/>
          <w:spacing w:val="16"/>
          <w:sz w:val="20"/>
        </w:rPr>
        <w:t> </w:t>
      </w:r>
      <w:r>
        <w:rPr>
          <w:color w:val="010101"/>
          <w:w w:val="106"/>
          <w:sz w:val="20"/>
        </w:rPr>
        <w:t>and</w:t>
      </w:r>
      <w:r>
        <w:rPr>
          <w:color w:val="010101"/>
          <w:sz w:val="20"/>
        </w:rPr>
        <w:tab/>
      </w:r>
      <w:r>
        <w:rPr>
          <w:i/>
          <w:color w:val="010101"/>
          <w:w w:val="75"/>
          <w:sz w:val="26"/>
        </w:rPr>
        <w:t>C!</w:t>
      </w:r>
      <w:r>
        <w:rPr>
          <w:i/>
          <w:color w:val="010101"/>
          <w:spacing w:val="27"/>
          <w:sz w:val="26"/>
        </w:rPr>
        <w:t> </w:t>
      </w:r>
      <w:r>
        <w:rPr>
          <w:color w:val="010101"/>
          <w:w w:val="100"/>
          <w:sz w:val="23"/>
        </w:rPr>
        <w:t>=</w:t>
      </w:r>
      <w:r>
        <w:rPr>
          <w:color w:val="010101"/>
          <w:sz w:val="23"/>
        </w:rPr>
        <w:t> </w:t>
      </w:r>
      <w:r>
        <w:rPr>
          <w:color w:val="010101"/>
          <w:spacing w:val="22"/>
          <w:sz w:val="23"/>
        </w:rPr>
        <w:t> </w:t>
      </w:r>
      <w:r>
        <w:rPr>
          <w:color w:val="010101"/>
          <w:w w:val="107"/>
          <w:sz w:val="18"/>
        </w:rPr>
        <w:t>(1</w:t>
      </w:r>
      <w:r>
        <w:rPr>
          <w:color w:val="010101"/>
          <w:sz w:val="18"/>
        </w:rPr>
        <w:t> </w:t>
      </w:r>
      <w:r>
        <w:rPr>
          <w:color w:val="010101"/>
          <w:spacing w:val="-13"/>
          <w:sz w:val="18"/>
        </w:rPr>
        <w:t> </w:t>
      </w:r>
      <w:r>
        <w:rPr>
          <w:rFonts w:ascii="Arial"/>
          <w:color w:val="010101"/>
          <w:w w:val="102"/>
          <w:sz w:val="31"/>
        </w:rPr>
        <w:t>+</w:t>
      </w:r>
      <w:r>
        <w:rPr>
          <w:rFonts w:ascii="Arial"/>
          <w:color w:val="010101"/>
          <w:spacing w:val="-26"/>
          <w:sz w:val="31"/>
        </w:rPr>
        <w:t> </w:t>
      </w:r>
      <w:r>
        <w:rPr>
          <w:color w:val="010101"/>
          <w:w w:val="133"/>
          <w:sz w:val="19"/>
        </w:rPr>
        <w:t>i</w:t>
      </w:r>
      <w:r>
        <w:rPr>
          <w:color w:val="010101"/>
          <w:spacing w:val="5"/>
          <w:w w:val="133"/>
          <w:sz w:val="19"/>
        </w:rPr>
        <w:t>)</w:t>
      </w:r>
      <w:r>
        <w:rPr>
          <w:color w:val="010101"/>
          <w:position w:val="7"/>
          <w:sz w:val="16"/>
        </w:rPr>
        <w:t>1</w:t>
      </w:r>
      <w:r>
        <w:rPr>
          <w:color w:val="010101"/>
          <w:spacing w:val="1"/>
          <w:position w:val="7"/>
          <w:sz w:val="16"/>
        </w:rPr>
        <w:t> </w:t>
      </w:r>
      <w:r>
        <w:rPr>
          <w:color w:val="010101"/>
          <w:spacing w:val="-12"/>
          <w:w w:val="76"/>
          <w:sz w:val="26"/>
        </w:rPr>
        <w:t>C</w:t>
      </w:r>
      <w:r>
        <w:rPr>
          <w:color w:val="010101"/>
          <w:spacing w:val="-65"/>
          <w:w w:val="235"/>
          <w:sz w:val="26"/>
        </w:rPr>
        <w:t>!</w:t>
      </w:r>
      <w:r>
        <w:rPr>
          <w:color w:val="010101"/>
          <w:sz w:val="26"/>
        </w:rPr>
        <w:t>.</w:t>
      </w:r>
    </w:p>
    <w:p>
      <w:pPr>
        <w:spacing w:before="137"/>
        <w:ind w:left="480" w:right="0" w:firstLine="0"/>
        <w:jc w:val="left"/>
        <w:rPr>
          <w:sz w:val="19"/>
        </w:rPr>
      </w:pPr>
      <w:r>
        <w:rPr/>
        <w:br w:type="column"/>
      </w:r>
      <w:r>
        <w:rPr>
          <w:color w:val="010101"/>
          <w:w w:val="110"/>
          <w:sz w:val="19"/>
        </w:rPr>
        <w:t>(16.2)</w:t>
      </w:r>
    </w:p>
    <w:p>
      <w:pPr>
        <w:spacing w:before="137"/>
        <w:ind w:left="488" w:right="0" w:firstLine="0"/>
        <w:jc w:val="left"/>
        <w:rPr>
          <w:sz w:val="19"/>
        </w:rPr>
      </w:pPr>
      <w:r>
        <w:rPr>
          <w:color w:val="010101"/>
          <w:w w:val="105"/>
          <w:sz w:val="19"/>
        </w:rPr>
        <w:t>(16.3)</w:t>
      </w:r>
    </w:p>
    <w:p>
      <w:pPr>
        <w:spacing w:after="0"/>
        <w:jc w:val="left"/>
        <w:rPr>
          <w:sz w:val="19"/>
        </w:rPr>
        <w:sectPr>
          <w:type w:val="continuous"/>
          <w:pgSz w:w="7200" w:h="11340"/>
          <w:pgMar w:top="1100" w:bottom="0" w:left="680" w:right="580"/>
          <w:cols w:num="2" w:equalWidth="0">
            <w:col w:w="4780" w:space="40"/>
            <w:col w:w="1120"/>
          </w:cols>
        </w:sectPr>
      </w:pPr>
    </w:p>
    <w:p>
      <w:pPr>
        <w:pStyle w:val="BodyText"/>
        <w:spacing w:line="322" w:lineRule="exact" w:before="36"/>
        <w:ind w:left="117" w:right="19"/>
        <w:rPr>
          <w:sz w:val="19"/>
        </w:rPr>
      </w:pPr>
      <w:r>
        <w:rPr>
          <w:color w:val="010101"/>
          <w:w w:val="105"/>
        </w:rPr>
        <w:t>Note that </w:t>
      </w:r>
      <w:r>
        <w:rPr>
          <w:rFonts w:ascii="Arial"/>
          <w:i/>
          <w:color w:val="010101"/>
          <w:w w:val="105"/>
          <w:sz w:val="29"/>
        </w:rPr>
        <w:t>b; </w:t>
      </w:r>
      <w:r>
        <w:rPr>
          <w:color w:val="010101"/>
          <w:w w:val="105"/>
        </w:rPr>
        <w:t>and </w:t>
      </w:r>
      <w:r>
        <w:rPr>
          <w:rFonts w:ascii="Arial"/>
          <w:i/>
          <w:color w:val="010101"/>
          <w:w w:val="105"/>
          <w:sz w:val="27"/>
        </w:rPr>
        <w:t>C: </w:t>
      </w:r>
      <w:r>
        <w:rPr>
          <w:rFonts w:ascii="Arial"/>
          <w:color w:val="010101"/>
          <w:w w:val="105"/>
          <w:sz w:val="27"/>
        </w:rPr>
        <w:t>, </w:t>
      </w:r>
      <w:r>
        <w:rPr>
          <w:color w:val="010101"/>
          <w:w w:val="105"/>
        </w:rPr>
        <w:t>as defined above, are approximations </w:t>
      </w:r>
      <w:r>
        <w:rPr>
          <w:color w:val="010101"/>
          <w:w w:val="105"/>
          <w:sz w:val="19"/>
        </w:rPr>
        <w:t>for</w:t>
      </w:r>
    </w:p>
    <w:p>
      <w:pPr>
        <w:spacing w:after="0" w:line="322" w:lineRule="exact"/>
        <w:rPr>
          <w:sz w:val="19"/>
        </w:rPr>
        <w:sectPr>
          <w:type w:val="continuous"/>
          <w:pgSz w:w="7200" w:h="11340"/>
          <w:pgMar w:top="1100" w:bottom="0" w:left="680" w:right="580"/>
        </w:sectPr>
      </w:pPr>
    </w:p>
    <w:p>
      <w:pPr>
        <w:tabs>
          <w:tab w:pos="2664" w:val="left" w:leader="none"/>
        </w:tabs>
        <w:spacing w:line="440" w:lineRule="exact" w:before="50"/>
        <w:ind w:left="1541" w:right="0" w:firstLine="0"/>
        <w:jc w:val="left"/>
        <w:rPr>
          <w:sz w:val="20"/>
        </w:rPr>
      </w:pPr>
      <w:r>
        <w:rPr>
          <w:rFonts w:ascii="Arial"/>
          <w:b/>
          <w:i/>
          <w:color w:val="010101"/>
          <w:spacing w:val="12"/>
          <w:w w:val="87"/>
          <w:position w:val="-10"/>
          <w:sz w:val="52"/>
        </w:rPr>
        <w:t>l</w:t>
      </w:r>
      <w:r>
        <w:rPr>
          <w:b/>
          <w:i/>
          <w:color w:val="010101"/>
          <w:w w:val="145"/>
          <w:position w:val="15"/>
          <w:sz w:val="12"/>
        </w:rPr>
        <w:t>z+l</w:t>
      </w:r>
      <w:r>
        <w:rPr>
          <w:b/>
          <w:i/>
          <w:color w:val="010101"/>
          <w:position w:val="15"/>
          <w:sz w:val="12"/>
        </w:rPr>
        <w:t>  </w:t>
      </w:r>
      <w:r>
        <w:rPr>
          <w:b/>
          <w:i/>
          <w:color w:val="010101"/>
          <w:spacing w:val="-14"/>
          <w:position w:val="15"/>
          <w:sz w:val="12"/>
        </w:rPr>
        <w:t> </w:t>
      </w:r>
      <w:r>
        <w:rPr>
          <w:rFonts w:ascii="Arial"/>
          <w:i/>
          <w:color w:val="010101"/>
          <w:w w:val="126"/>
          <w:sz w:val="20"/>
        </w:rPr>
        <w:t>D;</w:t>
      </w:r>
      <w:r>
        <w:rPr>
          <w:rFonts w:ascii="Arial"/>
          <w:i/>
          <w:color w:val="010101"/>
          <w:spacing w:val="9"/>
          <w:sz w:val="20"/>
        </w:rPr>
        <w:t> </w:t>
      </w:r>
      <w:r>
        <w:rPr>
          <w:i/>
          <w:color w:val="010101"/>
          <w:w w:val="100"/>
          <w:sz w:val="19"/>
        </w:rPr>
        <w:t>dz</w:t>
      </w:r>
      <w:r>
        <w:rPr>
          <w:i/>
          <w:color w:val="010101"/>
          <w:sz w:val="19"/>
        </w:rPr>
        <w:tab/>
      </w:r>
      <w:r>
        <w:rPr>
          <w:color w:val="010101"/>
          <w:w w:val="109"/>
          <w:sz w:val="20"/>
        </w:rPr>
        <w:t>and</w:t>
      </w:r>
    </w:p>
    <w:p>
      <w:pPr>
        <w:spacing w:line="285" w:lineRule="exact" w:before="0"/>
        <w:ind w:left="168" w:right="0" w:firstLine="0"/>
        <w:jc w:val="left"/>
        <w:rPr>
          <w:b/>
          <w:sz w:val="34"/>
        </w:rPr>
      </w:pPr>
      <w:r>
        <w:rPr/>
        <w:br w:type="column"/>
      </w:r>
      <w:r>
        <w:rPr>
          <w:b/>
          <w:color w:val="010101"/>
          <w:spacing w:val="-50"/>
          <w:w w:val="113"/>
          <w:sz w:val="34"/>
        </w:rPr>
        <w:t>1</w:t>
      </w:r>
      <w:r>
        <w:rPr>
          <w:b/>
          <w:color w:val="010101"/>
          <w:w w:val="35"/>
          <w:sz w:val="34"/>
        </w:rPr>
        <w:t>:r</w:t>
      </w:r>
      <w:r>
        <w:rPr>
          <w:b/>
          <w:color w:val="010101"/>
          <w:spacing w:val="10"/>
          <w:w w:val="35"/>
          <w:sz w:val="34"/>
        </w:rPr>
        <w:t>+</w:t>
      </w:r>
      <w:r>
        <w:rPr>
          <w:b/>
          <w:color w:val="010101"/>
          <w:w w:val="56"/>
          <w:sz w:val="34"/>
        </w:rPr>
        <w:t>l</w:t>
      </w:r>
    </w:p>
    <w:p>
      <w:pPr>
        <w:tabs>
          <w:tab w:pos="1198" w:val="left" w:leader="none"/>
        </w:tabs>
        <w:spacing w:line="191" w:lineRule="exact" w:before="0"/>
        <w:ind w:left="601" w:right="0" w:firstLine="0"/>
        <w:jc w:val="left"/>
        <w:rPr>
          <w:rFonts w:ascii="Arial" w:hAnsi="Arial"/>
          <w:i/>
          <w:sz w:val="20"/>
        </w:rPr>
      </w:pPr>
      <w:r>
        <w:rPr/>
        <w:pict>
          <v:shape style="position:absolute;margin-left:233.561798pt;margin-top:-7.022966pt;width:10.6pt;height:17.5pt;mso-position-horizontal-relative:page;mso-position-vertical-relative:paragraph;z-index:-711160" type="#_x0000_t202" filled="false" stroked="false">
            <v:textbox inset="0,0,0,0">
              <w:txbxContent>
                <w:p>
                  <w:pPr>
                    <w:spacing w:line="350" w:lineRule="exact" w:before="0"/>
                    <w:ind w:left="0" w:right="-20" w:firstLine="0"/>
                    <w:jc w:val="left"/>
                    <w:rPr>
                      <w:rFonts w:ascii="Arial" w:hAnsi="Arial"/>
                      <w:sz w:val="35"/>
                    </w:rPr>
                  </w:pPr>
                  <w:r>
                    <w:rPr>
                      <w:rFonts w:ascii="Arial" w:hAnsi="Arial"/>
                      <w:color w:val="010101"/>
                      <w:spacing w:val="-19"/>
                      <w:w w:val="58"/>
                      <w:sz w:val="35"/>
                    </w:rPr>
                    <w:t>µ</w:t>
                  </w:r>
                  <w:r>
                    <w:rPr>
                      <w:rFonts w:ascii="Arial" w:hAnsi="Arial"/>
                      <w:color w:val="010101"/>
                      <w:spacing w:val="-46"/>
                      <w:w w:val="161"/>
                      <w:sz w:val="35"/>
                    </w:rPr>
                    <w:t>:</w:t>
                  </w:r>
                </w:p>
              </w:txbxContent>
            </v:textbox>
            <w10:wrap type="none"/>
          </v:shape>
        </w:pict>
      </w:r>
      <w:r>
        <w:rPr>
          <w:i/>
          <w:color w:val="010101"/>
          <w:sz w:val="22"/>
        </w:rPr>
        <w:t>v•</w:t>
      </w:r>
      <w:r>
        <w:rPr>
          <w:i/>
          <w:color w:val="010101"/>
          <w:spacing w:val="4"/>
          <w:sz w:val="22"/>
        </w:rPr>
        <w:t> </w:t>
      </w:r>
      <w:r>
        <w:rPr>
          <w:rFonts w:ascii="Arial" w:hAnsi="Arial"/>
          <w:i/>
          <w:color w:val="010101"/>
          <w:w w:val="145"/>
          <w:sz w:val="20"/>
        </w:rPr>
        <w:t>l;</w:t>
        <w:tab/>
      </w:r>
      <w:r>
        <w:rPr>
          <w:rFonts w:ascii="Arial" w:hAnsi="Arial"/>
          <w:i/>
          <w:color w:val="010101"/>
          <w:sz w:val="20"/>
        </w:rPr>
        <w:t>dz</w:t>
      </w:r>
    </w:p>
    <w:p>
      <w:pPr>
        <w:spacing w:after="0" w:line="191" w:lineRule="exact"/>
        <w:jc w:val="left"/>
        <w:rPr>
          <w:rFonts w:ascii="Arial" w:hAnsi="Arial"/>
          <w:sz w:val="20"/>
        </w:rPr>
        <w:sectPr>
          <w:type w:val="continuous"/>
          <w:pgSz w:w="7200" w:h="11340"/>
          <w:pgMar w:top="1100" w:bottom="0" w:left="680" w:right="580"/>
          <w:cols w:num="2" w:equalWidth="0">
            <w:col w:w="2982" w:space="40"/>
            <w:col w:w="2918"/>
          </w:cols>
        </w:sectPr>
      </w:pPr>
    </w:p>
    <w:p>
      <w:pPr>
        <w:tabs>
          <w:tab w:pos="3261" w:val="left" w:leader="none"/>
        </w:tabs>
        <w:spacing w:line="124" w:lineRule="exact" w:before="0"/>
        <w:ind w:left="1612" w:right="19" w:firstLine="0"/>
        <w:jc w:val="left"/>
        <w:rPr>
          <w:rFonts w:ascii="Courier New"/>
          <w:b/>
          <w:i/>
          <w:sz w:val="12"/>
        </w:rPr>
      </w:pPr>
      <w:r>
        <w:rPr>
          <w:color w:val="010101"/>
          <w:w w:val="110"/>
          <w:sz w:val="8"/>
        </w:rPr>
        <w:t>%</w:t>
        <w:tab/>
      </w:r>
      <w:r>
        <w:rPr>
          <w:rFonts w:ascii="Courier New"/>
          <w:b/>
          <w:i/>
          <w:color w:val="010101"/>
          <w:w w:val="110"/>
          <w:sz w:val="12"/>
        </w:rPr>
        <w:t>z</w:t>
      </w:r>
    </w:p>
    <w:p>
      <w:pPr>
        <w:pStyle w:val="BodyText"/>
        <w:spacing w:before="1"/>
        <w:rPr>
          <w:rFonts w:ascii="Courier New"/>
          <w:b/>
          <w:i/>
          <w:sz w:val="10"/>
        </w:rPr>
      </w:pPr>
    </w:p>
    <w:p>
      <w:pPr>
        <w:pStyle w:val="BodyText"/>
        <w:ind w:left="114" w:right="19"/>
      </w:pPr>
      <w:r>
        <w:rPr>
          <w:color w:val="010101"/>
          <w:w w:val="105"/>
        </w:rPr>
        <w:t>respectively.</w:t>
      </w:r>
    </w:p>
    <w:p>
      <w:pPr>
        <w:pStyle w:val="BodyText"/>
        <w:spacing w:line="224" w:lineRule="exact" w:before="10"/>
        <w:ind w:left="310" w:right="19"/>
      </w:pPr>
      <w:r>
        <w:rPr>
          <w:color w:val="010101"/>
        </w:rPr>
        <w:t>A  special  feature  of  this  model  is the use  of  weighted  values of</w:t>
      </w:r>
    </w:p>
    <w:p>
      <w:pPr>
        <w:pStyle w:val="BodyText"/>
        <w:spacing w:line="247" w:lineRule="exact"/>
        <w:ind w:left="110" w:right="19"/>
      </w:pPr>
      <w:r>
        <w:rPr>
          <w:i/>
          <w:color w:val="010101"/>
          <w:w w:val="105"/>
          <w:sz w:val="22"/>
        </w:rPr>
        <w:t>C </w:t>
      </w:r>
      <w:r>
        <w:rPr>
          <w:color w:val="010101"/>
          <w:w w:val="105"/>
        </w:rPr>
        <w:t>and </w:t>
      </w:r>
      <w:r>
        <w:rPr>
          <w:i/>
          <w:color w:val="010101"/>
          <w:w w:val="105"/>
          <w:sz w:val="22"/>
        </w:rPr>
        <w:t>D, </w:t>
      </w:r>
      <w:r>
        <w:rPr>
          <w:color w:val="010101"/>
          <w:w w:val="105"/>
        </w:rPr>
        <w:t>distinguished by a prefixed  superscript:</w:t>
      </w:r>
    </w:p>
    <w:p>
      <w:pPr>
        <w:spacing w:after="0" w:line="247" w:lineRule="exact"/>
        <w:sectPr>
          <w:type w:val="continuous"/>
          <w:pgSz w:w="7200" w:h="11340"/>
          <w:pgMar w:top="1100" w:bottom="0" w:left="680" w:right="580"/>
        </w:sectPr>
      </w:pPr>
    </w:p>
    <w:p>
      <w:pPr>
        <w:tabs>
          <w:tab w:pos="2796" w:val="left" w:leader="none"/>
          <w:tab w:pos="3311" w:val="left" w:leader="none"/>
        </w:tabs>
        <w:spacing w:before="79"/>
        <w:ind w:left="1387" w:right="0" w:firstLine="0"/>
        <w:jc w:val="left"/>
        <w:rPr>
          <w:i/>
          <w:sz w:val="26"/>
        </w:rPr>
      </w:pPr>
      <w:r>
        <w:rPr>
          <w:i/>
          <w:color w:val="010101"/>
          <w:sz w:val="26"/>
        </w:rPr>
        <w:t>'D; </w:t>
      </w:r>
      <w:r>
        <w:rPr>
          <w:color w:val="010101"/>
          <w:sz w:val="23"/>
        </w:rPr>
        <w:t>= </w:t>
      </w:r>
      <w:r>
        <w:rPr>
          <w:i/>
          <w:color w:val="010101"/>
          <w:w w:val="95"/>
          <w:sz w:val="26"/>
        </w:rPr>
        <w:t>F</w:t>
      </w:r>
      <w:r>
        <w:rPr>
          <w:i/>
          <w:color w:val="010101"/>
          <w:spacing w:val="-41"/>
          <w:w w:val="95"/>
          <w:sz w:val="26"/>
        </w:rPr>
        <w:t> </w:t>
      </w:r>
      <w:r>
        <w:rPr>
          <w:i/>
          <w:color w:val="010101"/>
          <w:w w:val="95"/>
          <w:sz w:val="26"/>
        </w:rPr>
        <w:t>x·</w:t>
      </w:r>
      <w:r>
        <w:rPr>
          <w:i/>
          <w:color w:val="010101"/>
          <w:spacing w:val="-32"/>
          <w:w w:val="95"/>
          <w:sz w:val="26"/>
        </w:rPr>
        <w:t> </w:t>
      </w:r>
      <w:r>
        <w:rPr>
          <w:i/>
          <w:color w:val="010101"/>
          <w:sz w:val="26"/>
        </w:rPr>
        <w:t>D;</w:t>
        <w:tab/>
      </w:r>
      <w:r>
        <w:rPr>
          <w:color w:val="010101"/>
          <w:sz w:val="20"/>
        </w:rPr>
        <w:t>and</w:t>
        <w:tab/>
      </w:r>
      <w:r>
        <w:rPr>
          <w:i/>
          <w:color w:val="010101"/>
          <w:spacing w:val="-16"/>
          <w:w w:val="150"/>
          <w:sz w:val="20"/>
        </w:rPr>
        <w:t>'[);</w:t>
      </w:r>
      <w:r>
        <w:rPr>
          <w:i/>
          <w:color w:val="010101"/>
          <w:spacing w:val="-40"/>
          <w:w w:val="150"/>
          <w:sz w:val="20"/>
        </w:rPr>
        <w:t> </w:t>
      </w:r>
      <w:r>
        <w:rPr>
          <w:color w:val="010101"/>
          <w:sz w:val="26"/>
        </w:rPr>
        <w:t>=</w:t>
      </w:r>
      <w:r>
        <w:rPr>
          <w:color w:val="010101"/>
          <w:spacing w:val="-12"/>
          <w:sz w:val="26"/>
        </w:rPr>
        <w:t> </w:t>
      </w:r>
      <w:r>
        <w:rPr>
          <w:i/>
          <w:color w:val="010101"/>
          <w:w w:val="95"/>
          <w:sz w:val="26"/>
        </w:rPr>
        <w:t>Fx·</w:t>
      </w:r>
      <w:r>
        <w:rPr>
          <w:i/>
          <w:color w:val="010101"/>
          <w:spacing w:val="-37"/>
          <w:w w:val="95"/>
          <w:sz w:val="26"/>
        </w:rPr>
        <w:t> </w:t>
      </w:r>
      <w:r>
        <w:rPr>
          <w:i/>
          <w:color w:val="010101"/>
          <w:w w:val="95"/>
          <w:sz w:val="26"/>
        </w:rPr>
        <w:t>D'I</w:t>
      </w:r>
    </w:p>
    <w:p>
      <w:pPr>
        <w:spacing w:before="15"/>
        <w:ind w:left="1444" w:right="0" w:firstLine="0"/>
        <w:jc w:val="left"/>
        <w:rPr>
          <w:i/>
          <w:sz w:val="21"/>
        </w:rPr>
      </w:pPr>
      <w:r>
        <w:rPr>
          <w:i/>
          <w:color w:val="010101"/>
          <w:w w:val="102"/>
          <w:sz w:val="32"/>
        </w:rPr>
        <w:t>'e:</w:t>
      </w:r>
      <w:r>
        <w:rPr>
          <w:i/>
          <w:color w:val="010101"/>
          <w:spacing w:val="-42"/>
          <w:sz w:val="32"/>
        </w:rPr>
        <w:t> </w:t>
      </w:r>
      <w:r>
        <w:rPr>
          <w:color w:val="010101"/>
          <w:w w:val="103"/>
          <w:sz w:val="23"/>
        </w:rPr>
        <w:t>=</w:t>
      </w:r>
      <w:r>
        <w:rPr>
          <w:color w:val="010101"/>
          <w:sz w:val="23"/>
        </w:rPr>
        <w:t> </w:t>
      </w:r>
      <w:r>
        <w:rPr>
          <w:color w:val="010101"/>
          <w:spacing w:val="-18"/>
          <w:sz w:val="23"/>
        </w:rPr>
        <w:t> </w:t>
      </w:r>
      <w:r>
        <w:rPr>
          <w:i/>
          <w:color w:val="010101"/>
          <w:w w:val="65"/>
          <w:sz w:val="21"/>
        </w:rPr>
        <w:t>F:r</w:t>
      </w:r>
      <w:r>
        <w:rPr>
          <w:i/>
          <w:color w:val="010101"/>
          <w:spacing w:val="-5"/>
          <w:sz w:val="21"/>
        </w:rPr>
        <w:t> </w:t>
      </w:r>
      <w:r>
        <w:rPr>
          <w:i/>
          <w:color w:val="010101"/>
          <w:w w:val="106"/>
          <w:sz w:val="21"/>
        </w:rPr>
        <w:t>·C!</w:t>
      </w:r>
      <w:r>
        <w:rPr>
          <w:i/>
          <w:color w:val="010101"/>
          <w:sz w:val="21"/>
        </w:rPr>
        <w:t>   </w:t>
      </w:r>
      <w:r>
        <w:rPr>
          <w:i/>
          <w:color w:val="010101"/>
          <w:spacing w:val="-26"/>
          <w:sz w:val="21"/>
        </w:rPr>
        <w:t> </w:t>
      </w:r>
      <w:r>
        <w:rPr>
          <w:color w:val="010101"/>
          <w:w w:val="109"/>
          <w:sz w:val="20"/>
        </w:rPr>
        <w:t>and</w:t>
      </w:r>
      <w:r>
        <w:rPr>
          <w:color w:val="010101"/>
          <w:sz w:val="20"/>
        </w:rPr>
        <w:t>   </w:t>
      </w:r>
      <w:r>
        <w:rPr>
          <w:color w:val="010101"/>
          <w:spacing w:val="-24"/>
          <w:sz w:val="20"/>
        </w:rPr>
        <w:t> </w:t>
      </w:r>
      <w:r>
        <w:rPr>
          <w:color w:val="010101"/>
          <w:spacing w:val="-78"/>
          <w:w w:val="300"/>
          <w:sz w:val="25"/>
        </w:rPr>
        <w:t>'</w:t>
      </w:r>
      <w:r>
        <w:rPr>
          <w:color w:val="010101"/>
          <w:spacing w:val="-12"/>
          <w:w w:val="79"/>
          <w:sz w:val="25"/>
        </w:rPr>
        <w:t>C</w:t>
      </w:r>
      <w:r>
        <w:rPr>
          <w:color w:val="010101"/>
          <w:spacing w:val="-29"/>
          <w:w w:val="231"/>
          <w:sz w:val="25"/>
        </w:rPr>
        <w:t>!</w:t>
      </w:r>
      <w:r>
        <w:rPr>
          <w:color w:val="010101"/>
          <w:w w:val="91"/>
          <w:sz w:val="26"/>
        </w:rPr>
        <w:t>=</w:t>
      </w:r>
      <w:r>
        <w:rPr>
          <w:color w:val="010101"/>
          <w:sz w:val="26"/>
        </w:rPr>
        <w:t> </w:t>
      </w:r>
      <w:r>
        <w:rPr>
          <w:color w:val="010101"/>
          <w:spacing w:val="-29"/>
          <w:sz w:val="26"/>
        </w:rPr>
        <w:t> </w:t>
      </w:r>
      <w:r>
        <w:rPr>
          <w:i/>
          <w:color w:val="010101"/>
          <w:w w:val="89"/>
          <w:sz w:val="21"/>
        </w:rPr>
        <w:t>F:r·C:</w:t>
      </w:r>
      <w:r>
        <w:rPr>
          <w:i/>
          <w:color w:val="010101"/>
          <w:spacing w:val="17"/>
          <w:sz w:val="21"/>
        </w:rPr>
        <w:t> </w:t>
      </w:r>
      <w:r>
        <w:rPr>
          <w:i/>
          <w:color w:val="010101"/>
          <w:w w:val="105"/>
          <w:sz w:val="21"/>
        </w:rPr>
        <w:t>,</w:t>
      </w:r>
    </w:p>
    <w:p>
      <w:pPr>
        <w:pStyle w:val="BodyText"/>
        <w:spacing w:before="132"/>
        <w:ind w:left="730"/>
      </w:pPr>
      <w:r>
        <w:rPr/>
        <w:br w:type="column"/>
      </w:r>
      <w:r>
        <w:rPr>
          <w:color w:val="010101"/>
        </w:rPr>
        <w:t>(16.4)</w:t>
      </w:r>
    </w:p>
    <w:p>
      <w:pPr>
        <w:pStyle w:val="BodyText"/>
        <w:spacing w:before="133"/>
        <w:ind w:left="726"/>
      </w:pPr>
      <w:r>
        <w:rPr>
          <w:color w:val="010101"/>
          <w:w w:val="110"/>
        </w:rPr>
        <w:t>(16.5)</w:t>
      </w:r>
    </w:p>
    <w:p>
      <w:pPr>
        <w:spacing w:after="0"/>
        <w:sectPr>
          <w:type w:val="continuous"/>
          <w:pgSz w:w="7200" w:h="11340"/>
          <w:pgMar w:top="1100" w:bottom="0" w:left="680" w:right="580"/>
          <w:cols w:num="2" w:equalWidth="0">
            <w:col w:w="4527" w:space="40"/>
            <w:col w:w="1373"/>
          </w:cols>
        </w:sectPr>
      </w:pPr>
    </w:p>
    <w:p>
      <w:pPr>
        <w:spacing w:line="189" w:lineRule="auto" w:before="135"/>
        <w:ind w:left="106" w:right="126" w:firstLine="0"/>
        <w:jc w:val="both"/>
        <w:rPr>
          <w:sz w:val="20"/>
        </w:rPr>
      </w:pPr>
      <w:r>
        <w:rPr>
          <w:color w:val="010101"/>
          <w:w w:val="105"/>
          <w:sz w:val="20"/>
        </w:rPr>
        <w:t>where </w:t>
      </w:r>
      <w:r>
        <w:rPr>
          <w:rFonts w:ascii="Arial" w:hAnsi="Arial"/>
          <w:i/>
          <w:color w:val="010101"/>
          <w:spacing w:val="3"/>
          <w:w w:val="105"/>
          <w:sz w:val="19"/>
        </w:rPr>
        <w:t>F</w:t>
      </w:r>
      <w:r>
        <w:rPr>
          <w:rFonts w:ascii="Arial" w:hAnsi="Arial"/>
          <w:i/>
          <w:color w:val="010101"/>
          <w:spacing w:val="3"/>
          <w:w w:val="105"/>
          <w:sz w:val="10"/>
        </w:rPr>
        <w:t>x </w:t>
      </w:r>
      <w:r>
        <w:rPr>
          <w:color w:val="010101"/>
          <w:w w:val="105"/>
          <w:sz w:val="20"/>
        </w:rPr>
        <w:t>is </w:t>
      </w:r>
      <w:r>
        <w:rPr>
          <w:rFonts w:ascii="Arial" w:hAnsi="Arial"/>
          <w:color w:val="010101"/>
          <w:w w:val="105"/>
          <w:sz w:val="18"/>
        </w:rPr>
        <w:t>a </w:t>
      </w:r>
      <w:r>
        <w:rPr>
          <w:color w:val="010101"/>
          <w:w w:val="105"/>
          <w:sz w:val="20"/>
        </w:rPr>
        <w:t>function </w:t>
      </w:r>
      <w:r>
        <w:rPr>
          <w:rFonts w:ascii="Arial" w:hAnsi="Arial"/>
          <w:color w:val="010101"/>
          <w:w w:val="105"/>
          <w:sz w:val="18"/>
        </w:rPr>
        <w:t>of </w:t>
      </w:r>
      <w:r>
        <w:rPr>
          <w:rFonts w:ascii="Arial" w:hAnsi="Arial"/>
          <w:i/>
          <w:color w:val="010101"/>
          <w:w w:val="105"/>
          <w:sz w:val="18"/>
        </w:rPr>
        <w:t>x </w:t>
      </w:r>
      <w:r>
        <w:rPr>
          <w:color w:val="010101"/>
          <w:w w:val="105"/>
          <w:sz w:val="20"/>
        </w:rPr>
        <w:t>on which the required monetary values </w:t>
      </w:r>
      <w:r>
        <w:rPr>
          <w:color w:val="010101"/>
          <w:w w:val="103"/>
          <w:sz w:val="20"/>
        </w:rPr>
        <w:t>depend. </w:t>
      </w:r>
      <w:r>
        <w:rPr>
          <w:color w:val="010101"/>
          <w:w w:val="106"/>
          <w:sz w:val="20"/>
        </w:rPr>
        <w:t>For </w:t>
      </w:r>
      <w:r>
        <w:rPr>
          <w:color w:val="010101"/>
          <w:w w:val="101"/>
          <w:sz w:val="20"/>
        </w:rPr>
        <w:t>example, </w:t>
      </w:r>
      <w:r>
        <w:rPr>
          <w:color w:val="010101"/>
          <w:w w:val="81"/>
          <w:sz w:val="20"/>
        </w:rPr>
        <w:t>if </w:t>
      </w:r>
      <w:r>
        <w:rPr>
          <w:i/>
          <w:color w:val="010101"/>
          <w:w w:val="87"/>
          <w:sz w:val="21"/>
        </w:rPr>
        <w:t>Fs </w:t>
      </w:r>
      <w:r>
        <w:rPr>
          <w:color w:val="010101"/>
          <w:w w:val="85"/>
          <w:sz w:val="27"/>
        </w:rPr>
        <w:t>= </w:t>
      </w:r>
      <w:r>
        <w:rPr>
          <w:color w:val="010101"/>
          <w:spacing w:val="-51"/>
          <w:w w:val="109"/>
          <w:sz w:val="26"/>
        </w:rPr>
        <w:t>a!+1 </w:t>
      </w:r>
      <w:r>
        <w:rPr>
          <w:color w:val="010101"/>
          <w:w w:val="83"/>
          <w:sz w:val="26"/>
        </w:rPr>
        <w:t>, </w:t>
      </w:r>
      <w:r>
        <w:rPr>
          <w:color w:val="010101"/>
          <w:w w:val="110"/>
          <w:sz w:val="20"/>
        </w:rPr>
        <w:t>the </w:t>
      </w:r>
      <w:r>
        <w:rPr>
          <w:color w:val="010101"/>
          <w:w w:val="103"/>
          <w:sz w:val="20"/>
        </w:rPr>
        <w:t>function </w:t>
      </w:r>
      <w:r>
        <w:rPr>
          <w:color w:val="010101"/>
          <w:spacing w:val="-38"/>
          <w:w w:val="173"/>
          <w:sz w:val="26"/>
        </w:rPr>
        <w:t>'C!</w:t>
      </w:r>
      <w:r>
        <w:rPr>
          <w:color w:val="010101"/>
          <w:spacing w:val="-38"/>
          <w:w w:val="173"/>
          <w:sz w:val="27"/>
        </w:rPr>
        <w:t>= </w:t>
      </w:r>
      <w:r>
        <w:rPr>
          <w:color w:val="010101"/>
          <w:spacing w:val="-24"/>
          <w:w w:val="98"/>
          <w:sz w:val="26"/>
        </w:rPr>
        <w:t>C!·0:+1 </w:t>
      </w:r>
      <w:r>
        <w:rPr>
          <w:color w:val="010101"/>
          <w:w w:val="98"/>
          <w:sz w:val="20"/>
        </w:rPr>
        <w:t>is</w:t>
      </w:r>
    </w:p>
    <w:p>
      <w:pPr>
        <w:pStyle w:val="BodyText"/>
        <w:spacing w:line="247" w:lineRule="auto"/>
        <w:ind w:left="106" w:right="130" w:firstLine="3"/>
        <w:jc w:val="both"/>
        <w:rPr>
          <w:rFonts w:ascii="Arial"/>
          <w:i/>
          <w:sz w:val="17"/>
        </w:rPr>
      </w:pPr>
      <w:r>
        <w:rPr>
          <w:color w:val="010101"/>
          <w:w w:val="105"/>
        </w:rPr>
        <w:t>a natural one.to use in finding the present value of a life annuity with first annual payment at the end of  the year  of  transfer  </w:t>
      </w:r>
      <w:r>
        <w:rPr>
          <w:color w:val="010101"/>
          <w:w w:val="105"/>
          <w:sz w:val="21"/>
        </w:rPr>
        <w:t>to </w:t>
      </w:r>
      <w:r>
        <w:rPr>
          <w:color w:val="010101"/>
          <w:w w:val="105"/>
        </w:rPr>
        <w:t>state </w:t>
      </w:r>
      <w:r>
        <w:rPr>
          <w:rFonts w:ascii="Arial"/>
          <w:i/>
          <w:color w:val="010101"/>
          <w:w w:val="105"/>
          <w:sz w:val="17"/>
        </w:rPr>
        <w:t>g.</w:t>
      </w:r>
    </w:p>
    <w:p>
      <w:pPr>
        <w:pStyle w:val="BodyText"/>
        <w:spacing w:line="244" w:lineRule="auto"/>
        <w:ind w:left="106" w:right="134" w:firstLine="200"/>
        <w:jc w:val="both"/>
      </w:pPr>
      <w:r>
        <w:rPr>
          <w:color w:val="010101"/>
          <w:w w:val="105"/>
        </w:rPr>
        <w:t>The weight function </w:t>
      </w:r>
      <w:r>
        <w:rPr>
          <w:i/>
          <w:color w:val="010101"/>
          <w:w w:val="105"/>
          <w:sz w:val="21"/>
        </w:rPr>
        <w:t>Fs </w:t>
      </w:r>
      <w:r>
        <w:rPr>
          <w:color w:val="010101"/>
          <w:w w:val="105"/>
        </w:rPr>
        <w:t>takes on many different forms in the applications, and  we  shall  usually  replace  the  superscript  </w:t>
      </w:r>
      <w:r>
        <w:rPr>
          <w:i/>
          <w:color w:val="010101"/>
          <w:w w:val="105"/>
          <w:sz w:val="21"/>
        </w:rPr>
        <w:t>F  </w:t>
      </w:r>
      <w:r>
        <w:rPr>
          <w:color w:val="010101"/>
          <w:w w:val="105"/>
        </w:rPr>
        <w:t>by a symbol which  will  suggest the nature  of  the particular function</w:t>
      </w:r>
    </w:p>
    <w:p>
      <w:pPr>
        <w:pStyle w:val="BodyText"/>
        <w:spacing w:line="240" w:lineRule="exact" w:before="1"/>
        <w:ind w:left="106" w:right="146" w:firstLine="3"/>
        <w:jc w:val="both"/>
        <w:rPr>
          <w:sz w:val="26"/>
        </w:rPr>
      </w:pPr>
      <w:r>
        <w:rPr>
          <w:color w:val="010101"/>
          <w:w w:val="105"/>
        </w:rPr>
        <w:t>being</w:t>
      </w:r>
      <w:r>
        <w:rPr>
          <w:color w:val="010101"/>
          <w:spacing w:val="-10"/>
          <w:w w:val="105"/>
        </w:rPr>
        <w:t> </w:t>
      </w:r>
      <w:r>
        <w:rPr>
          <w:color w:val="010101"/>
          <w:w w:val="105"/>
        </w:rPr>
        <w:t>used.</w:t>
      </w:r>
      <w:r>
        <w:rPr>
          <w:color w:val="010101"/>
          <w:spacing w:val="-3"/>
          <w:w w:val="105"/>
        </w:rPr>
        <w:t> </w:t>
      </w:r>
      <w:r>
        <w:rPr>
          <w:color w:val="010101"/>
          <w:w w:val="105"/>
        </w:rPr>
        <w:t>For</w:t>
      </w:r>
      <w:r>
        <w:rPr>
          <w:color w:val="010101"/>
          <w:spacing w:val="-7"/>
          <w:w w:val="105"/>
        </w:rPr>
        <w:t> </w:t>
      </w:r>
      <w:r>
        <w:rPr>
          <w:color w:val="010101"/>
          <w:w w:val="105"/>
        </w:rPr>
        <w:t>example,</w:t>
      </w:r>
      <w:r>
        <w:rPr>
          <w:color w:val="010101"/>
          <w:spacing w:val="-1"/>
          <w:w w:val="105"/>
        </w:rPr>
        <w:t> </w:t>
      </w:r>
      <w:r>
        <w:rPr>
          <w:color w:val="010101"/>
          <w:w w:val="105"/>
        </w:rPr>
        <w:t>when</w:t>
      </w:r>
      <w:r>
        <w:rPr>
          <w:color w:val="010101"/>
          <w:spacing w:val="-5"/>
          <w:w w:val="105"/>
        </w:rPr>
        <w:t> </w:t>
      </w:r>
      <w:r>
        <w:rPr>
          <w:rFonts w:ascii="Arial" w:hAnsi="Arial"/>
          <w:b/>
          <w:i/>
          <w:color w:val="010101"/>
          <w:w w:val="105"/>
          <w:sz w:val="19"/>
        </w:rPr>
        <w:t>F</w:t>
      </w:r>
      <w:r>
        <w:rPr>
          <w:rFonts w:ascii="Arial" w:hAnsi="Arial"/>
          <w:b/>
          <w:i/>
          <w:color w:val="010101"/>
          <w:spacing w:val="-42"/>
          <w:w w:val="105"/>
          <w:sz w:val="19"/>
        </w:rPr>
        <w:t> </w:t>
      </w:r>
      <w:r>
        <w:rPr>
          <w:b/>
          <w:color w:val="010101"/>
          <w:w w:val="105"/>
          <w:sz w:val="12"/>
        </w:rPr>
        <w:t>z</w:t>
      </w:r>
      <w:r>
        <w:rPr>
          <w:b/>
          <w:color w:val="010101"/>
          <w:spacing w:val="12"/>
          <w:w w:val="105"/>
          <w:sz w:val="12"/>
        </w:rPr>
        <w:t> </w:t>
      </w:r>
      <w:r>
        <w:rPr>
          <w:color w:val="010101"/>
          <w:w w:val="105"/>
        </w:rPr>
        <w:t>is</w:t>
      </w:r>
      <w:r>
        <w:rPr>
          <w:color w:val="010101"/>
          <w:spacing w:val="-21"/>
          <w:w w:val="105"/>
        </w:rPr>
        <w:t> </w:t>
      </w:r>
      <w:r>
        <w:rPr>
          <w:color w:val="010101"/>
          <w:w w:val="105"/>
        </w:rPr>
        <w:t>sorne</w:t>
      </w:r>
      <w:r>
        <w:rPr>
          <w:color w:val="010101"/>
          <w:spacing w:val="-12"/>
          <w:w w:val="105"/>
        </w:rPr>
        <w:t> </w:t>
      </w:r>
      <w:r>
        <w:rPr>
          <w:color w:val="010101"/>
          <w:w w:val="105"/>
        </w:rPr>
        <w:t>form</w:t>
      </w:r>
      <w:r>
        <w:rPr>
          <w:color w:val="010101"/>
          <w:spacing w:val="-5"/>
          <w:w w:val="105"/>
        </w:rPr>
        <w:t> </w:t>
      </w:r>
      <w:r>
        <w:rPr>
          <w:color w:val="010101"/>
          <w:w w:val="105"/>
        </w:rPr>
        <w:t>of</w:t>
      </w:r>
      <w:r>
        <w:rPr>
          <w:color w:val="010101"/>
          <w:spacing w:val="4"/>
          <w:w w:val="105"/>
        </w:rPr>
        <w:t> </w:t>
      </w:r>
      <w:r>
        <w:rPr>
          <w:color w:val="010101"/>
          <w:w w:val="105"/>
        </w:rPr>
        <w:t>annuity</w:t>
      </w:r>
      <w:r>
        <w:rPr>
          <w:color w:val="010101"/>
          <w:spacing w:val="-2"/>
          <w:w w:val="105"/>
        </w:rPr>
        <w:t> </w:t>
      </w:r>
      <w:r>
        <w:rPr>
          <w:color w:val="010101"/>
          <w:w w:val="105"/>
        </w:rPr>
        <w:t>function, </w:t>
      </w:r>
      <w:r>
        <w:rPr>
          <w:color w:val="010101"/>
          <w:w w:val="110"/>
        </w:rPr>
        <w:t>the </w:t>
      </w:r>
      <w:r>
        <w:rPr>
          <w:color w:val="010101"/>
          <w:w w:val="102"/>
        </w:rPr>
        <w:t>symbol </w:t>
      </w:r>
      <w:r>
        <w:rPr>
          <w:i/>
          <w:color w:val="010101"/>
          <w:w w:val="102"/>
          <w:sz w:val="21"/>
        </w:rPr>
        <w:t>ªC! </w:t>
      </w:r>
      <w:r>
        <w:rPr>
          <w:color w:val="010101"/>
          <w:w w:val="106"/>
        </w:rPr>
        <w:t>may </w:t>
      </w:r>
      <w:r>
        <w:rPr>
          <w:color w:val="010101"/>
          <w:w w:val="102"/>
        </w:rPr>
        <w:t>be </w:t>
      </w:r>
      <w:r>
        <w:rPr>
          <w:color w:val="010101"/>
          <w:w w:val="100"/>
        </w:rPr>
        <w:t>used  </w:t>
      </w:r>
      <w:r>
        <w:rPr>
          <w:color w:val="010101"/>
          <w:w w:val="103"/>
        </w:rPr>
        <w:t>in </w:t>
      </w:r>
      <w:r>
        <w:rPr>
          <w:color w:val="010101"/>
          <w:w w:val="100"/>
        </w:rPr>
        <w:t>place </w:t>
      </w:r>
      <w:r>
        <w:rPr>
          <w:color w:val="010101"/>
          <w:w w:val="86"/>
        </w:rPr>
        <w:t>of </w:t>
      </w:r>
      <w:r>
        <w:rPr>
          <w:color w:val="010101"/>
          <w:spacing w:val="30"/>
          <w:w w:val="86"/>
        </w:rPr>
        <w:t> </w:t>
      </w:r>
      <w:r>
        <w:rPr>
          <w:color w:val="010101"/>
          <w:spacing w:val="-42"/>
          <w:w w:val="172"/>
          <w:sz w:val="26"/>
        </w:rPr>
        <w:t>'C!.</w:t>
      </w:r>
    </w:p>
    <w:p>
      <w:pPr>
        <w:pStyle w:val="BodyText"/>
        <w:spacing w:line="247" w:lineRule="exact"/>
        <w:ind w:left="114" w:firstLine="193"/>
        <w:jc w:val="both"/>
        <w:rPr>
          <w:sz w:val="27"/>
        </w:rPr>
      </w:pPr>
      <w:r>
        <w:rPr>
          <w:color w:val="010101"/>
          <w:w w:val="110"/>
        </w:rPr>
        <w:t>It should </w:t>
      </w:r>
      <w:r>
        <w:rPr>
          <w:color w:val="010101"/>
          <w:w w:val="160"/>
        </w:rPr>
        <w:t>b </w:t>
      </w:r>
      <w:r>
        <w:rPr>
          <w:color w:val="010101"/>
          <w:w w:val="110"/>
        </w:rPr>
        <w:t>noted  that the exact form </w:t>
      </w:r>
      <w:r>
        <w:rPr>
          <w:color w:val="010101"/>
        </w:rPr>
        <w:t>of  </w:t>
      </w:r>
      <w:r>
        <w:rPr>
          <w:color w:val="010101"/>
          <w:w w:val="110"/>
        </w:rPr>
        <w:t>annuity used  in  </w:t>
      </w:r>
      <w:r>
        <w:rPr>
          <w:color w:val="010101"/>
          <w:sz w:val="27"/>
        </w:rPr>
        <w:t>ªC:</w:t>
      </w:r>
    </w:p>
    <w:p>
      <w:pPr>
        <w:pStyle w:val="BodyText"/>
        <w:spacing w:line="252" w:lineRule="auto"/>
        <w:ind w:left="106" w:right="129" w:firstLine="7"/>
        <w:jc w:val="both"/>
      </w:pPr>
      <w:r>
        <w:rPr>
          <w:color w:val="010101"/>
          <w:w w:val="105"/>
        </w:rPr>
        <w:t>depends on the application involved, and this symbol, like  all  other symbols involving weight functions, must always </w:t>
      </w:r>
      <w:r>
        <w:rPr>
          <w:rFonts w:ascii="Arial"/>
          <w:color w:val="010101"/>
          <w:w w:val="105"/>
          <w:sz w:val="18"/>
        </w:rPr>
        <w:t>be </w:t>
      </w:r>
      <w:r>
        <w:rPr>
          <w:color w:val="010101"/>
          <w:w w:val="105"/>
        </w:rPr>
        <w:t>defined specifirally.</w:t>
      </w:r>
    </w:p>
    <w:p>
      <w:pPr>
        <w:spacing w:after="0" w:line="252" w:lineRule="auto"/>
        <w:jc w:val="both"/>
        <w:sectPr>
          <w:type w:val="continuous"/>
          <w:pgSz w:w="7200" w:h="11340"/>
          <w:pgMar w:top="1100" w:bottom="0" w:left="680" w:right="580"/>
        </w:sectPr>
      </w:pPr>
    </w:p>
    <w:p>
      <w:pPr>
        <w:tabs>
          <w:tab w:pos="1721" w:val="left" w:leader="none"/>
          <w:tab w:pos="5822" w:val="right" w:leader="none"/>
        </w:tabs>
        <w:spacing w:before="51"/>
        <w:ind w:left="102" w:right="0" w:firstLine="0"/>
        <w:jc w:val="left"/>
        <w:rPr>
          <w:sz w:val="19"/>
        </w:rPr>
      </w:pPr>
      <w:r>
        <w:rPr>
          <w:color w:val="010101"/>
          <w:sz w:val="15"/>
        </w:rPr>
        <w:t>SEC.  </w:t>
      </w:r>
      <w:r>
        <w:rPr>
          <w:color w:val="010101"/>
          <w:spacing w:val="6"/>
          <w:sz w:val="15"/>
        </w:rPr>
        <w:t> </w:t>
      </w:r>
      <w:r>
        <w:rPr>
          <w:rFonts w:ascii="Arial"/>
          <w:b/>
          <w:color w:val="010101"/>
          <w:sz w:val="19"/>
        </w:rPr>
        <w:t>1]</w:t>
        <w:tab/>
      </w:r>
      <w:r>
        <w:rPr>
          <w:b/>
          <w:color w:val="010101"/>
          <w:position w:val="1"/>
          <w:sz w:val="15"/>
        </w:rPr>
        <w:t>DESCRIPTION   OF </w:t>
      </w:r>
      <w:r>
        <w:rPr>
          <w:b/>
          <w:color w:val="010101"/>
          <w:spacing w:val="19"/>
          <w:position w:val="1"/>
          <w:sz w:val="15"/>
        </w:rPr>
        <w:t> </w:t>
      </w:r>
      <w:r>
        <w:rPr>
          <w:b/>
          <w:color w:val="010101"/>
          <w:position w:val="1"/>
          <w:sz w:val="15"/>
        </w:rPr>
        <w:t>THE </w:t>
      </w:r>
      <w:r>
        <w:rPr>
          <w:b/>
          <w:color w:val="010101"/>
          <w:spacing w:val="23"/>
          <w:position w:val="1"/>
          <w:sz w:val="15"/>
        </w:rPr>
        <w:t> </w:t>
      </w:r>
      <w:r>
        <w:rPr>
          <w:b/>
          <w:color w:val="010101"/>
          <w:position w:val="1"/>
          <w:sz w:val="15"/>
        </w:rPr>
        <w:t>MODEL</w:t>
      </w:r>
      <w:r>
        <w:rPr>
          <w:color w:val="010101"/>
          <w:position w:val="1"/>
          <w:sz w:val="19"/>
        </w:rPr>
        <w:tab/>
      </w:r>
      <w:r>
        <w:rPr>
          <w:color w:val="010101"/>
          <w:spacing w:val="-9"/>
          <w:position w:val="1"/>
          <w:sz w:val="19"/>
        </w:rPr>
        <w:t>307</w:t>
      </w:r>
    </w:p>
    <w:p>
      <w:pPr>
        <w:pStyle w:val="BodyText"/>
        <w:spacing w:before="11"/>
        <w:rPr>
          <w:sz w:val="29"/>
        </w:rPr>
      </w:pPr>
    </w:p>
    <w:p>
      <w:pPr>
        <w:spacing w:line="110" w:lineRule="auto" w:before="0"/>
        <w:ind w:left="102" w:right="111" w:firstLine="167"/>
        <w:jc w:val="center"/>
        <w:rPr>
          <w:sz w:val="34"/>
        </w:rPr>
      </w:pPr>
      <w:r>
        <w:rPr>
          <w:color w:val="010101"/>
          <w:sz w:val="20"/>
        </w:rPr>
        <w:t>Other commutation functions are defined in the usual way by summation.</w:t>
      </w:r>
      <w:r>
        <w:rPr>
          <w:color w:val="010101"/>
          <w:spacing w:val="30"/>
          <w:sz w:val="20"/>
        </w:rPr>
        <w:t> </w:t>
      </w:r>
      <w:r>
        <w:rPr>
          <w:color w:val="010101"/>
          <w:sz w:val="20"/>
        </w:rPr>
        <w:t>From</w:t>
      </w:r>
      <w:r>
        <w:rPr>
          <w:color w:val="010101"/>
          <w:spacing w:val="28"/>
          <w:sz w:val="20"/>
        </w:rPr>
        <w:t> </w:t>
      </w:r>
      <w:r>
        <w:rPr>
          <w:rFonts w:ascii="Arial" w:hAnsi="Arial"/>
          <w:i/>
          <w:color w:val="010101"/>
          <w:sz w:val="30"/>
        </w:rPr>
        <w:t>D;</w:t>
      </w:r>
      <w:r>
        <w:rPr>
          <w:rFonts w:ascii="Arial" w:hAnsi="Arial"/>
          <w:i/>
          <w:color w:val="010101"/>
          <w:spacing w:val="-10"/>
          <w:sz w:val="30"/>
        </w:rPr>
        <w:t> </w:t>
      </w:r>
      <w:r>
        <w:rPr>
          <w:color w:val="010101"/>
          <w:sz w:val="20"/>
        </w:rPr>
        <w:t>and</w:t>
      </w:r>
      <w:r>
        <w:rPr>
          <w:color w:val="010101"/>
          <w:spacing w:val="14"/>
          <w:sz w:val="20"/>
        </w:rPr>
        <w:t> </w:t>
      </w:r>
      <w:r>
        <w:rPr>
          <w:rFonts w:ascii="Arial" w:hAnsi="Arial"/>
          <w:i/>
          <w:color w:val="010101"/>
          <w:sz w:val="30"/>
        </w:rPr>
        <w:t>ñ;</w:t>
      </w:r>
      <w:r>
        <w:rPr>
          <w:rFonts w:ascii="Arial" w:hAnsi="Arial"/>
          <w:i/>
          <w:color w:val="010101"/>
          <w:spacing w:val="-27"/>
          <w:sz w:val="30"/>
        </w:rPr>
        <w:t> </w:t>
      </w:r>
      <w:r>
        <w:rPr>
          <w:rFonts w:ascii="Arial" w:hAnsi="Arial"/>
          <w:color w:val="010101"/>
          <w:sz w:val="30"/>
        </w:rPr>
        <w:t>,</w:t>
      </w:r>
      <w:r>
        <w:rPr>
          <w:rFonts w:ascii="Arial" w:hAnsi="Arial"/>
          <w:color w:val="010101"/>
          <w:spacing w:val="-53"/>
          <w:sz w:val="30"/>
        </w:rPr>
        <w:t> </w:t>
      </w:r>
      <w:r>
        <w:rPr>
          <w:color w:val="010101"/>
          <w:sz w:val="20"/>
        </w:rPr>
        <w:t>we</w:t>
      </w:r>
      <w:r>
        <w:rPr>
          <w:color w:val="010101"/>
          <w:spacing w:val="24"/>
          <w:sz w:val="20"/>
        </w:rPr>
        <w:t> </w:t>
      </w:r>
      <w:r>
        <w:rPr>
          <w:color w:val="010101"/>
          <w:sz w:val="20"/>
        </w:rPr>
        <w:t>obtain</w:t>
      </w:r>
      <w:r>
        <w:rPr>
          <w:color w:val="010101"/>
          <w:spacing w:val="18"/>
          <w:sz w:val="20"/>
        </w:rPr>
        <w:t> </w:t>
      </w:r>
      <w:r>
        <w:rPr>
          <w:rFonts w:ascii="Arial" w:hAnsi="Arial"/>
          <w:i/>
          <w:color w:val="010101"/>
          <w:sz w:val="30"/>
        </w:rPr>
        <w:t>N;</w:t>
      </w:r>
      <w:r>
        <w:rPr>
          <w:rFonts w:ascii="Arial" w:hAnsi="Arial"/>
          <w:i/>
          <w:color w:val="010101"/>
          <w:spacing w:val="-27"/>
          <w:sz w:val="30"/>
        </w:rPr>
        <w:t> </w:t>
      </w:r>
      <w:r>
        <w:rPr>
          <w:rFonts w:ascii="Arial" w:hAnsi="Arial"/>
          <w:color w:val="010101"/>
          <w:spacing w:val="8"/>
          <w:sz w:val="30"/>
        </w:rPr>
        <w:t>,</w:t>
      </w:r>
      <w:r>
        <w:rPr>
          <w:rFonts w:ascii="Arial" w:hAnsi="Arial"/>
          <w:i/>
          <w:color w:val="010101"/>
          <w:spacing w:val="8"/>
          <w:sz w:val="27"/>
        </w:rPr>
        <w:t>Ñ;</w:t>
      </w:r>
      <w:r>
        <w:rPr>
          <w:rFonts w:ascii="Arial" w:hAnsi="Arial"/>
          <w:i/>
          <w:color w:val="010101"/>
          <w:spacing w:val="-18"/>
          <w:sz w:val="27"/>
        </w:rPr>
        <w:t> </w:t>
      </w:r>
      <w:r>
        <w:rPr>
          <w:rFonts w:ascii="Arial" w:hAnsi="Arial"/>
          <w:color w:val="010101"/>
          <w:sz w:val="27"/>
        </w:rPr>
        <w:t>,</w:t>
      </w:r>
      <w:r>
        <w:rPr>
          <w:rFonts w:ascii="Arial" w:hAnsi="Arial"/>
          <w:color w:val="010101"/>
          <w:spacing w:val="-34"/>
          <w:sz w:val="27"/>
        </w:rPr>
        <w:t> </w:t>
      </w:r>
      <w:r>
        <w:rPr>
          <w:rFonts w:ascii="Arial" w:hAnsi="Arial"/>
          <w:i/>
          <w:color w:val="010101"/>
          <w:sz w:val="30"/>
        </w:rPr>
        <w:t>S;</w:t>
      </w:r>
      <w:r>
        <w:rPr>
          <w:rFonts w:ascii="Arial" w:hAnsi="Arial"/>
          <w:i/>
          <w:color w:val="010101"/>
          <w:spacing w:val="-33"/>
          <w:sz w:val="30"/>
        </w:rPr>
        <w:t> </w:t>
      </w:r>
      <w:r>
        <w:rPr>
          <w:rFonts w:ascii="Arial" w:hAnsi="Arial"/>
          <w:color w:val="010101"/>
          <w:sz w:val="30"/>
        </w:rPr>
        <w:t>,</w:t>
      </w:r>
      <w:r>
        <w:rPr>
          <w:rFonts w:ascii="Arial" w:hAnsi="Arial"/>
          <w:color w:val="010101"/>
          <w:spacing w:val="-49"/>
          <w:sz w:val="30"/>
        </w:rPr>
        <w:t> </w:t>
      </w:r>
      <w:r>
        <w:rPr>
          <w:color w:val="010101"/>
          <w:sz w:val="20"/>
        </w:rPr>
        <w:t>and</w:t>
      </w:r>
      <w:r>
        <w:rPr>
          <w:color w:val="010101"/>
          <w:spacing w:val="32"/>
          <w:sz w:val="20"/>
        </w:rPr>
        <w:t> </w:t>
      </w:r>
      <w:r>
        <w:rPr>
          <w:i/>
          <w:color w:val="010101"/>
          <w:sz w:val="34"/>
        </w:rPr>
        <w:t>S;</w:t>
      </w:r>
      <w:r>
        <w:rPr>
          <w:i/>
          <w:color w:val="010101"/>
          <w:spacing w:val="-15"/>
          <w:sz w:val="34"/>
        </w:rPr>
        <w:t> </w:t>
      </w:r>
      <w:r>
        <w:rPr>
          <w:color w:val="010101"/>
          <w:sz w:val="34"/>
        </w:rPr>
        <w:t>;</w:t>
      </w:r>
    </w:p>
    <w:p>
      <w:pPr>
        <w:spacing w:line="268" w:lineRule="exact" w:before="0"/>
        <w:ind w:left="102" w:right="0" w:firstLine="3"/>
        <w:jc w:val="left"/>
        <w:rPr>
          <w:sz w:val="20"/>
        </w:rPr>
      </w:pPr>
      <w:r>
        <w:rPr>
          <w:color w:val="010101"/>
          <w:w w:val="108"/>
          <w:sz w:val="20"/>
        </w:rPr>
        <w:t>and</w:t>
      </w:r>
      <w:r>
        <w:rPr>
          <w:color w:val="010101"/>
          <w:spacing w:val="19"/>
          <w:sz w:val="20"/>
        </w:rPr>
        <w:t> </w:t>
      </w:r>
      <w:r>
        <w:rPr>
          <w:color w:val="010101"/>
          <w:w w:val="101"/>
          <w:sz w:val="20"/>
        </w:rPr>
        <w:t>from</w:t>
      </w:r>
      <w:r>
        <w:rPr>
          <w:color w:val="010101"/>
          <w:spacing w:val="20"/>
          <w:sz w:val="20"/>
        </w:rPr>
        <w:t> </w:t>
      </w:r>
      <w:r>
        <w:rPr>
          <w:color w:val="010101"/>
          <w:spacing w:val="-13"/>
          <w:w w:val="100"/>
          <w:sz w:val="20"/>
        </w:rPr>
        <w:t>C</w:t>
      </w:r>
      <w:r>
        <w:rPr>
          <w:color w:val="010101"/>
          <w:spacing w:val="-62"/>
          <w:w w:val="307"/>
          <w:sz w:val="20"/>
        </w:rPr>
        <w:t>!</w:t>
      </w:r>
      <w:r>
        <w:rPr>
          <w:color w:val="010101"/>
          <w:w w:val="108"/>
          <w:sz w:val="20"/>
        </w:rPr>
        <w:t>and</w:t>
      </w:r>
      <w:r>
        <w:rPr>
          <w:color w:val="010101"/>
          <w:spacing w:val="23"/>
          <w:sz w:val="20"/>
        </w:rPr>
        <w:t> </w:t>
      </w:r>
      <w:r>
        <w:rPr>
          <w:rFonts w:ascii="Arial" w:hAnsi="Arial"/>
          <w:i/>
          <w:color w:val="010101"/>
          <w:w w:val="74"/>
          <w:sz w:val="27"/>
        </w:rPr>
        <w:t>C:</w:t>
      </w:r>
      <w:r>
        <w:rPr>
          <w:rFonts w:ascii="Arial" w:hAnsi="Arial"/>
          <w:i/>
          <w:color w:val="010101"/>
          <w:spacing w:val="-19"/>
          <w:sz w:val="27"/>
        </w:rPr>
        <w:t> </w:t>
      </w:r>
      <w:r>
        <w:rPr>
          <w:rFonts w:ascii="Arial" w:hAnsi="Arial"/>
          <w:color w:val="010101"/>
          <w:w w:val="97"/>
          <w:sz w:val="27"/>
        </w:rPr>
        <w:t>,</w:t>
      </w:r>
      <w:r>
        <w:rPr>
          <w:rFonts w:ascii="Arial" w:hAnsi="Arial"/>
          <w:color w:val="010101"/>
          <w:spacing w:val="-41"/>
          <w:sz w:val="27"/>
        </w:rPr>
        <w:t> </w:t>
      </w:r>
      <w:r>
        <w:rPr>
          <w:color w:val="010101"/>
          <w:w w:val="99"/>
          <w:sz w:val="20"/>
        </w:rPr>
        <w:t>we</w:t>
      </w:r>
      <w:r>
        <w:rPr>
          <w:color w:val="010101"/>
          <w:spacing w:val="18"/>
          <w:sz w:val="20"/>
        </w:rPr>
        <w:t> </w:t>
      </w:r>
      <w:r>
        <w:rPr>
          <w:color w:val="010101"/>
          <w:w w:val="107"/>
          <w:sz w:val="20"/>
        </w:rPr>
        <w:t>obtain</w:t>
      </w:r>
      <w:r>
        <w:rPr>
          <w:color w:val="010101"/>
          <w:spacing w:val="20"/>
          <w:sz w:val="20"/>
        </w:rPr>
        <w:t> </w:t>
      </w:r>
      <w:r>
        <w:rPr>
          <w:rFonts w:ascii="Arial" w:hAnsi="Arial"/>
          <w:i/>
          <w:color w:val="010101"/>
          <w:w w:val="92"/>
          <w:sz w:val="25"/>
        </w:rPr>
        <w:t>M!</w:t>
      </w:r>
      <w:r>
        <w:rPr>
          <w:rFonts w:ascii="Arial" w:hAnsi="Arial"/>
          <w:i/>
          <w:color w:val="010101"/>
          <w:spacing w:val="-1"/>
          <w:sz w:val="25"/>
        </w:rPr>
        <w:t> </w:t>
      </w:r>
      <w:r>
        <w:rPr>
          <w:rFonts w:ascii="Arial" w:hAnsi="Arial"/>
          <w:color w:val="010101"/>
          <w:w w:val="105"/>
          <w:sz w:val="25"/>
        </w:rPr>
        <w:t>,</w:t>
      </w:r>
      <w:r>
        <w:rPr>
          <w:rFonts w:ascii="Arial" w:hAnsi="Arial"/>
          <w:color w:val="010101"/>
          <w:spacing w:val="-36"/>
          <w:sz w:val="25"/>
        </w:rPr>
        <w:t> </w:t>
      </w:r>
      <w:r>
        <w:rPr>
          <w:rFonts w:ascii="Arial" w:hAnsi="Arial"/>
          <w:i/>
          <w:color w:val="010101"/>
          <w:w w:val="92"/>
          <w:sz w:val="25"/>
        </w:rPr>
        <w:t>M!</w:t>
      </w:r>
      <w:r>
        <w:rPr>
          <w:rFonts w:ascii="Arial" w:hAnsi="Arial"/>
          <w:i/>
          <w:color w:val="010101"/>
          <w:spacing w:val="-1"/>
          <w:sz w:val="25"/>
        </w:rPr>
        <w:t> </w:t>
      </w:r>
      <w:r>
        <w:rPr>
          <w:rFonts w:ascii="Arial" w:hAnsi="Arial"/>
          <w:color w:val="010101"/>
          <w:w w:val="119"/>
          <w:sz w:val="25"/>
        </w:rPr>
        <w:t>,</w:t>
      </w:r>
      <w:r>
        <w:rPr>
          <w:rFonts w:ascii="Arial" w:hAnsi="Arial"/>
          <w:color w:val="010101"/>
          <w:spacing w:val="-42"/>
          <w:sz w:val="25"/>
        </w:rPr>
        <w:t> </w:t>
      </w:r>
      <w:r>
        <w:rPr>
          <w:rFonts w:ascii="Arial" w:hAnsi="Arial"/>
          <w:i/>
          <w:color w:val="010101"/>
          <w:w w:val="81"/>
          <w:sz w:val="25"/>
        </w:rPr>
        <w:t>R!</w:t>
      </w:r>
      <w:r>
        <w:rPr>
          <w:rFonts w:ascii="Arial" w:hAnsi="Arial"/>
          <w:i/>
          <w:color w:val="010101"/>
          <w:spacing w:val="-2"/>
          <w:sz w:val="25"/>
        </w:rPr>
        <w:t> </w:t>
      </w:r>
      <w:r>
        <w:rPr>
          <w:rFonts w:ascii="Arial" w:hAnsi="Arial"/>
          <w:color w:val="010101"/>
          <w:w w:val="119"/>
          <w:sz w:val="25"/>
        </w:rPr>
        <w:t>,</w:t>
      </w:r>
      <w:r>
        <w:rPr>
          <w:rFonts w:ascii="Arial" w:hAnsi="Arial"/>
          <w:color w:val="010101"/>
          <w:spacing w:val="-35"/>
          <w:sz w:val="25"/>
        </w:rPr>
        <w:t> </w:t>
      </w:r>
      <w:r>
        <w:rPr>
          <w:color w:val="010101"/>
          <w:w w:val="109"/>
          <w:sz w:val="20"/>
        </w:rPr>
        <w:t>and</w:t>
      </w:r>
      <w:r>
        <w:rPr>
          <w:color w:val="010101"/>
          <w:spacing w:val="20"/>
          <w:sz w:val="20"/>
        </w:rPr>
        <w:t> </w:t>
      </w:r>
      <w:r>
        <w:rPr>
          <w:rFonts w:ascii="Arial" w:hAnsi="Arial"/>
          <w:color w:val="010101"/>
          <w:w w:val="105"/>
          <w:sz w:val="27"/>
        </w:rPr>
        <w:t>fl:</w:t>
      </w:r>
      <w:r>
        <w:rPr>
          <w:rFonts w:ascii="Arial" w:hAnsi="Arial"/>
          <w:color w:val="010101"/>
          <w:spacing w:val="-25"/>
          <w:sz w:val="27"/>
        </w:rPr>
        <w:t> </w:t>
      </w:r>
      <w:r>
        <w:rPr>
          <w:rFonts w:ascii="Arial" w:hAnsi="Arial"/>
          <w:color w:val="010101"/>
          <w:w w:val="103"/>
          <w:sz w:val="27"/>
        </w:rPr>
        <w:t>.</w:t>
      </w:r>
      <w:r>
        <w:rPr>
          <w:rFonts w:ascii="Arial" w:hAnsi="Arial"/>
          <w:color w:val="010101"/>
          <w:spacing w:val="-42"/>
          <w:sz w:val="27"/>
        </w:rPr>
        <w:t> </w:t>
      </w:r>
      <w:r>
        <w:rPr>
          <w:color w:val="010101"/>
          <w:w w:val="109"/>
          <w:sz w:val="20"/>
        </w:rPr>
        <w:t>The</w:t>
      </w:r>
      <w:r>
        <w:rPr>
          <w:color w:val="010101"/>
          <w:spacing w:val="17"/>
          <w:sz w:val="20"/>
        </w:rPr>
        <w:t> </w:t>
      </w:r>
      <w:r>
        <w:rPr>
          <w:color w:val="010101"/>
          <w:w w:val="100"/>
          <w:sz w:val="20"/>
        </w:rPr>
        <w:t>corre­</w:t>
      </w:r>
    </w:p>
    <w:p>
      <w:pPr>
        <w:pStyle w:val="BodyText"/>
        <w:spacing w:line="252" w:lineRule="auto"/>
        <w:ind w:left="102"/>
      </w:pPr>
      <w:r>
        <w:rPr>
          <w:color w:val="010101"/>
          <w:w w:val="105"/>
        </w:rPr>
        <w:t>sponding weighted functions are defined in the same </w:t>
      </w:r>
      <w:r>
        <w:rPr>
          <w:rFonts w:ascii="Arial"/>
          <w:b/>
          <w:color w:val="010101"/>
          <w:w w:val="105"/>
          <w:sz w:val="19"/>
        </w:rPr>
        <w:t>way; </w:t>
      </w:r>
      <w:r>
        <w:rPr>
          <w:color w:val="010101"/>
          <w:w w:val="105"/>
        </w:rPr>
        <w:t>for example,</w:t>
      </w:r>
    </w:p>
    <w:p>
      <w:pPr>
        <w:tabs>
          <w:tab w:pos="2062" w:val="left" w:leader="none"/>
        </w:tabs>
        <w:spacing w:line="52" w:lineRule="exact" w:before="115"/>
        <w:ind w:left="134" w:right="0" w:firstLine="0"/>
        <w:jc w:val="center"/>
        <w:rPr>
          <w:rFonts w:ascii="Arial"/>
          <w:b/>
          <w:sz w:val="8"/>
        </w:rPr>
      </w:pPr>
      <w:r>
        <w:rPr/>
        <w:pict>
          <v:shape style="position:absolute;margin-left:229.172501pt;margin-top:8.18397pt;width:11.25pt;height:17.5pt;mso-position-horizontal-relative:page;mso-position-vertical-relative:paragraph;z-index:-711064" type="#_x0000_t202" filled="false" stroked="false">
            <v:textbox inset="0,0,0,0">
              <w:txbxContent>
                <w:p>
                  <w:pPr>
                    <w:spacing w:line="350" w:lineRule="exact" w:before="0"/>
                    <w:ind w:left="0" w:right="0" w:firstLine="0"/>
                    <w:jc w:val="left"/>
                    <w:rPr>
                      <w:b/>
                      <w:i/>
                      <w:sz w:val="35"/>
                    </w:rPr>
                  </w:pPr>
                  <w:r>
                    <w:rPr>
                      <w:b/>
                      <w:i/>
                      <w:color w:val="010101"/>
                      <w:w w:val="104"/>
                      <w:sz w:val="35"/>
                    </w:rPr>
                    <w:t>L</w:t>
                  </w:r>
                </w:p>
              </w:txbxContent>
            </v:textbox>
            <w10:wrap type="none"/>
          </v:shape>
        </w:pict>
      </w:r>
      <w:r>
        <w:rPr>
          <w:rFonts w:ascii="Arial"/>
          <w:b/>
          <w:color w:val="010101"/>
          <w:w w:val="80"/>
          <w:sz w:val="8"/>
        </w:rPr>
        <w:t>CIO</w:t>
        <w:tab/>
        <w:t>CID</w:t>
      </w:r>
    </w:p>
    <w:p>
      <w:pPr>
        <w:tabs>
          <w:tab w:pos="1977" w:val="left" w:leader="none"/>
          <w:tab w:pos="2917" w:val="left" w:leader="none"/>
        </w:tabs>
        <w:spacing w:line="351" w:lineRule="exact" w:before="0"/>
        <w:ind w:left="0" w:right="33" w:firstLine="0"/>
        <w:jc w:val="center"/>
        <w:rPr>
          <w:rFonts w:ascii="Arial"/>
          <w:b/>
          <w:i/>
          <w:sz w:val="24"/>
        </w:rPr>
      </w:pPr>
      <w:r>
        <w:rPr>
          <w:rFonts w:ascii="Arial"/>
          <w:b/>
          <w:i/>
          <w:color w:val="010101"/>
          <w:w w:val="92"/>
          <w:sz w:val="28"/>
        </w:rPr>
        <w:t>'M!</w:t>
      </w:r>
      <w:r>
        <w:rPr>
          <w:rFonts w:ascii="Arial"/>
          <w:b/>
          <w:i/>
          <w:color w:val="010101"/>
          <w:spacing w:val="-9"/>
          <w:sz w:val="28"/>
        </w:rPr>
        <w:t> </w:t>
      </w:r>
      <w:r>
        <w:rPr>
          <w:color w:val="010101"/>
          <w:w w:val="87"/>
          <w:sz w:val="28"/>
        </w:rPr>
        <w:t>=</w:t>
      </w:r>
      <w:r>
        <w:rPr>
          <w:color w:val="010101"/>
          <w:sz w:val="28"/>
        </w:rPr>
        <w:t> </w:t>
      </w:r>
      <w:r>
        <w:rPr>
          <w:color w:val="010101"/>
          <w:spacing w:val="-21"/>
          <w:sz w:val="28"/>
        </w:rPr>
        <w:t> </w:t>
      </w:r>
      <w:r>
        <w:rPr>
          <w:color w:val="010101"/>
          <w:w w:val="127"/>
          <w:sz w:val="34"/>
        </w:rPr>
        <w:t>I</w:t>
      </w:r>
      <w:r>
        <w:rPr>
          <w:color w:val="010101"/>
          <w:spacing w:val="21"/>
          <w:w w:val="127"/>
          <w:sz w:val="34"/>
        </w:rPr>
        <w:t>:</w:t>
      </w:r>
      <w:r>
        <w:rPr>
          <w:color w:val="010101"/>
          <w:spacing w:val="-58"/>
          <w:w w:val="260"/>
          <w:sz w:val="29"/>
        </w:rPr>
        <w:t>'</w:t>
      </w:r>
      <w:r>
        <w:rPr>
          <w:color w:val="010101"/>
          <w:w w:val="75"/>
          <w:sz w:val="29"/>
        </w:rPr>
        <w:t>C:</w:t>
      </w:r>
      <w:r>
        <w:rPr>
          <w:color w:val="010101"/>
          <w:sz w:val="29"/>
        </w:rPr>
        <w:t>  </w:t>
      </w:r>
      <w:r>
        <w:rPr>
          <w:color w:val="010101"/>
          <w:spacing w:val="-35"/>
          <w:sz w:val="29"/>
        </w:rPr>
        <w:t> </w:t>
      </w:r>
      <w:r>
        <w:rPr>
          <w:color w:val="010101"/>
          <w:w w:val="109"/>
          <w:sz w:val="20"/>
        </w:rPr>
        <w:t>and</w:t>
      </w:r>
      <w:r>
        <w:rPr>
          <w:color w:val="010101"/>
          <w:sz w:val="20"/>
        </w:rPr>
        <w:tab/>
      </w:r>
      <w:r>
        <w:rPr>
          <w:i/>
          <w:color w:val="010101"/>
          <w:w w:val="120"/>
          <w:sz w:val="27"/>
        </w:rPr>
        <w:t>'</w:t>
      </w:r>
      <w:r>
        <w:rPr>
          <w:i/>
          <w:color w:val="010101"/>
          <w:spacing w:val="-50"/>
          <w:w w:val="120"/>
          <w:sz w:val="27"/>
        </w:rPr>
        <w:t>R</w:t>
      </w:r>
      <w:r>
        <w:rPr>
          <w:i/>
          <w:color w:val="010101"/>
          <w:w w:val="96"/>
          <w:sz w:val="27"/>
        </w:rPr>
        <w:t>!</w:t>
      </w:r>
      <w:r>
        <w:rPr>
          <w:i/>
          <w:color w:val="010101"/>
          <w:spacing w:val="14"/>
          <w:sz w:val="27"/>
        </w:rPr>
        <w:t> </w:t>
      </w:r>
      <w:r>
        <w:rPr>
          <w:color w:val="010101"/>
          <w:w w:val="85"/>
          <w:sz w:val="28"/>
        </w:rPr>
        <w:t>=</w:t>
      </w:r>
      <w:r>
        <w:rPr>
          <w:color w:val="010101"/>
          <w:sz w:val="28"/>
        </w:rPr>
        <w:tab/>
      </w:r>
      <w:r>
        <w:rPr>
          <w:rFonts w:ascii="Arial"/>
          <w:b/>
          <w:i/>
          <w:color w:val="010101"/>
          <w:w w:val="107"/>
          <w:sz w:val="24"/>
        </w:rPr>
        <w:t>'M!</w:t>
      </w:r>
      <w:r>
        <w:rPr>
          <w:rFonts w:ascii="Arial"/>
          <w:b/>
          <w:i/>
          <w:color w:val="010101"/>
          <w:spacing w:val="-22"/>
          <w:sz w:val="24"/>
        </w:rPr>
        <w:t> </w:t>
      </w:r>
      <w:r>
        <w:rPr>
          <w:rFonts w:ascii="Arial"/>
          <w:b/>
          <w:i/>
          <w:color w:val="010101"/>
          <w:w w:val="69"/>
          <w:sz w:val="24"/>
        </w:rPr>
        <w:t>.</w:t>
      </w:r>
    </w:p>
    <w:p>
      <w:pPr>
        <w:pStyle w:val="BodyText"/>
        <w:spacing w:line="252" w:lineRule="auto" w:before="194"/>
        <w:ind w:left="109" w:firstLine="193"/>
      </w:pPr>
      <w:r>
        <w:rPr>
          <w:color w:val="010101"/>
          <w:w w:val="105"/>
        </w:rPr>
        <w:t>Returning </w:t>
      </w:r>
      <w:r>
        <w:rPr>
          <w:color w:val="010101"/>
          <w:w w:val="105"/>
          <w:sz w:val="21"/>
        </w:rPr>
        <w:t>to </w:t>
      </w:r>
      <w:r>
        <w:rPr>
          <w:color w:val="010101"/>
          <w:w w:val="105"/>
        </w:rPr>
        <w:t>the net premium expression in </w:t>
      </w:r>
      <w:r>
        <w:rPr>
          <w:color w:val="010101"/>
          <w:w w:val="105"/>
          <w:sz w:val="19"/>
        </w:rPr>
        <w:t>(16.1 ), </w:t>
      </w:r>
      <w:r>
        <w:rPr>
          <w:color w:val="010101"/>
          <w:w w:val="105"/>
        </w:rPr>
        <w:t>we can introduce commutation  functions as follows:</w:t>
      </w:r>
    </w:p>
    <w:p>
      <w:pPr>
        <w:spacing w:line="209" w:lineRule="exact" w:before="88"/>
        <w:ind w:left="220" w:right="0" w:firstLine="0"/>
        <w:jc w:val="left"/>
        <w:rPr>
          <w:b/>
          <w:sz w:val="12"/>
        </w:rPr>
      </w:pPr>
      <w:r>
        <w:rPr>
          <w:b/>
          <w:color w:val="010101"/>
          <w:w w:val="120"/>
          <w:sz w:val="19"/>
        </w:rPr>
        <w:t>1  </w:t>
      </w:r>
      <w:r>
        <w:rPr>
          <w:b/>
          <w:color w:val="010101"/>
          <w:w w:val="120"/>
          <w:sz w:val="12"/>
        </w:rPr>
        <w:t>a,-1</w:t>
      </w:r>
    </w:p>
    <w:p>
      <w:pPr>
        <w:tabs>
          <w:tab w:pos="1293" w:val="left" w:leader="none"/>
        </w:tabs>
        <w:spacing w:line="122" w:lineRule="exact" w:before="0"/>
        <w:ind w:left="106" w:right="0" w:firstLine="0"/>
        <w:jc w:val="left"/>
        <w:rPr>
          <w:sz w:val="15"/>
        </w:rPr>
      </w:pPr>
      <w:r>
        <w:rPr/>
        <w:pict>
          <v:shape style="position:absolute;margin-left:57.78664pt;margin-top:2.204086pt;width:56.4pt;height:10.5pt;mso-position-horizontal-relative:page;mso-position-vertical-relative:paragraph;z-index:-711040" type="#_x0000_t202" filled="false" stroked="false">
            <v:textbox inset="0,0,0,0">
              <w:txbxContent>
                <w:p>
                  <w:pPr>
                    <w:tabs>
                      <w:tab w:pos="563" w:val="left" w:leader="none"/>
                    </w:tabs>
                    <w:spacing w:line="210" w:lineRule="exact" w:before="0"/>
                    <w:ind w:left="0" w:right="0" w:firstLine="0"/>
                    <w:jc w:val="left"/>
                    <w:rPr>
                      <w:rFonts w:ascii="Arial" w:hAnsi="Arial"/>
                      <w:sz w:val="19"/>
                    </w:rPr>
                  </w:pPr>
                  <w:r>
                    <w:rPr>
                      <w:b/>
                      <w:i/>
                      <w:color w:val="010101"/>
                      <w:w w:val="105"/>
                      <w:sz w:val="16"/>
                    </w:rPr>
                    <w:t>LJ</w:t>
                    <w:tab/>
                  </w:r>
                  <w:r>
                    <w:rPr>
                      <w:b/>
                      <w:i/>
                      <w:color w:val="010101"/>
                      <w:w w:val="105"/>
                      <w:sz w:val="21"/>
                    </w:rPr>
                    <w:t>g,</w:t>
                  </w:r>
                  <w:r>
                    <w:rPr>
                      <w:b/>
                      <w:i/>
                      <w:color w:val="010101"/>
                      <w:spacing w:val="38"/>
                      <w:w w:val="105"/>
                      <w:sz w:val="21"/>
                    </w:rPr>
                    <w:t> </w:t>
                  </w:r>
                  <w:r>
                    <w:rPr>
                      <w:rFonts w:ascii="Arial" w:hAnsi="Arial"/>
                      <w:color w:val="010101"/>
                      <w:w w:val="105"/>
                      <w:sz w:val="19"/>
                    </w:rPr>
                    <w:t>ª•+i</w:t>
                  </w:r>
                </w:p>
              </w:txbxContent>
            </v:textbox>
            <w10:wrap type="none"/>
          </v:shape>
        </w:pict>
      </w:r>
      <w:r>
        <w:rPr>
          <w:color w:val="010101"/>
          <w:spacing w:val="15"/>
          <w:w w:val="600"/>
          <w:sz w:val="15"/>
        </w:rPr>
        <w:t>-</w:t>
      </w:r>
      <w:r>
        <w:rPr>
          <w:color w:val="010101"/>
          <w:w w:val="153"/>
          <w:sz w:val="15"/>
        </w:rPr>
        <w:t>""'</w:t>
      </w:r>
      <w:r>
        <w:rPr>
          <w:color w:val="010101"/>
          <w:sz w:val="15"/>
        </w:rPr>
        <w:t>  </w:t>
      </w:r>
      <w:r>
        <w:rPr>
          <w:color w:val="010101"/>
          <w:spacing w:val="12"/>
          <w:sz w:val="15"/>
        </w:rPr>
        <w:t> </w:t>
      </w:r>
      <w:r>
        <w:rPr>
          <w:b/>
          <w:color w:val="010101"/>
          <w:w w:val="106"/>
          <w:sz w:val="15"/>
        </w:rPr>
        <w:t>•+I</w:t>
      </w:r>
      <w:r>
        <w:rPr>
          <w:b/>
          <w:color w:val="010101"/>
          <w:sz w:val="15"/>
        </w:rPr>
        <w:tab/>
      </w:r>
      <w:r>
        <w:rPr>
          <w:color w:val="010101"/>
          <w:w w:val="120"/>
          <w:sz w:val="15"/>
        </w:rPr>
        <w:t>,,,</w:t>
      </w:r>
    </w:p>
    <w:p>
      <w:pPr>
        <w:tabs>
          <w:tab w:pos="752" w:val="left" w:leader="none"/>
        </w:tabs>
        <w:spacing w:line="91" w:lineRule="exact" w:before="0"/>
        <w:ind w:left="185" w:right="0" w:firstLine="0"/>
        <w:jc w:val="left"/>
        <w:rPr>
          <w:rFonts w:ascii="Arial"/>
          <w:b/>
          <w:i/>
          <w:sz w:val="14"/>
        </w:rPr>
      </w:pPr>
      <w:r>
        <w:rPr>
          <w:rFonts w:ascii="Arial"/>
          <w:b/>
          <w:i/>
          <w:color w:val="010101"/>
          <w:sz w:val="14"/>
        </w:rPr>
        <w:t>zlf'</w:t>
        <w:tab/>
        <w:t>V</w:t>
      </w:r>
    </w:p>
    <w:p>
      <w:pPr>
        <w:spacing w:line="121" w:lineRule="exact" w:before="0"/>
        <w:ind w:left="106" w:right="0" w:firstLine="0"/>
        <w:jc w:val="left"/>
        <w:rPr>
          <w:b/>
          <w:sz w:val="13"/>
        </w:rPr>
      </w:pPr>
      <w:r>
        <w:rPr/>
        <w:drawing>
          <wp:anchor distT="0" distB="0" distL="0" distR="0" allowOverlap="1" layoutInCell="1" locked="0" behindDoc="1" simplePos="0" relativeHeight="267724319">
            <wp:simplePos x="0" y="0"/>
            <wp:positionH relativeFrom="page">
              <wp:posOffset>1371600</wp:posOffset>
            </wp:positionH>
            <wp:positionV relativeFrom="paragraph">
              <wp:posOffset>187979</wp:posOffset>
            </wp:positionV>
            <wp:extent cx="539495" cy="859536"/>
            <wp:effectExtent l="0" t="0" r="0" b="0"/>
            <wp:wrapNone/>
            <wp:docPr id="749" name="image382.png" descr=""/>
            <wp:cNvGraphicFramePr>
              <a:graphicFrameLocks noChangeAspect="1"/>
            </wp:cNvGraphicFramePr>
            <a:graphic>
              <a:graphicData uri="http://schemas.openxmlformats.org/drawingml/2006/picture">
                <pic:pic>
                  <pic:nvPicPr>
                    <pic:cNvPr id="750" name="image382.png"/>
                    <pic:cNvPicPr/>
                  </pic:nvPicPr>
                  <pic:blipFill>
                    <a:blip r:embed="rId386" cstate="print"/>
                    <a:stretch>
                      <a:fillRect/>
                    </a:stretch>
                  </pic:blipFill>
                  <pic:spPr>
                    <a:xfrm>
                      <a:off x="0" y="0"/>
                      <a:ext cx="539495" cy="859536"/>
                    </a:xfrm>
                    <a:prstGeom prst="rect">
                      <a:avLst/>
                    </a:prstGeom>
                  </pic:spPr>
                </pic:pic>
              </a:graphicData>
            </a:graphic>
          </wp:anchor>
        </w:drawing>
      </w:r>
      <w:r>
        <w:rPr>
          <w:rFonts w:ascii="Arial"/>
          <w:b/>
          <w:i/>
          <w:color w:val="010101"/>
          <w:w w:val="110"/>
          <w:sz w:val="13"/>
        </w:rPr>
        <w:t>V   </w:t>
      </w:r>
      <w:r>
        <w:rPr>
          <w:rFonts w:ascii="Arial"/>
          <w:b/>
          <w:i/>
          <w:color w:val="010101"/>
          <w:w w:val="120"/>
          <w:sz w:val="11"/>
        </w:rPr>
        <w:t>z   </w:t>
      </w:r>
      <w:r>
        <w:rPr>
          <w:b/>
          <w:color w:val="010101"/>
          <w:w w:val="120"/>
          <w:sz w:val="13"/>
        </w:rPr>
        <w:t>e-z</w:t>
      </w:r>
    </w:p>
    <w:p>
      <w:pPr>
        <w:pStyle w:val="BodyText"/>
        <w:rPr>
          <w:b/>
        </w:rPr>
      </w:pPr>
    </w:p>
    <w:p>
      <w:pPr>
        <w:pStyle w:val="BodyText"/>
        <w:rPr>
          <w:b/>
        </w:rPr>
      </w:pPr>
    </w:p>
    <w:p>
      <w:pPr>
        <w:pStyle w:val="BodyText"/>
        <w:rPr>
          <w:b/>
        </w:rPr>
      </w:pPr>
    </w:p>
    <w:p>
      <w:pPr>
        <w:pStyle w:val="BodyText"/>
        <w:rPr>
          <w:b/>
        </w:rPr>
      </w:pPr>
    </w:p>
    <w:p>
      <w:pPr>
        <w:pStyle w:val="BodyText"/>
        <w:spacing w:before="5"/>
        <w:rPr>
          <w:b/>
          <w:sz w:val="26"/>
        </w:rPr>
      </w:pPr>
    </w:p>
    <w:p>
      <w:pPr>
        <w:spacing w:after="0"/>
        <w:rPr>
          <w:sz w:val="26"/>
        </w:rPr>
        <w:sectPr>
          <w:pgSz w:w="7200" w:h="11340"/>
          <w:pgMar w:top="520" w:bottom="280" w:left="680" w:right="560"/>
        </w:sectPr>
      </w:pPr>
    </w:p>
    <w:p>
      <w:pPr>
        <w:spacing w:before="179"/>
        <w:ind w:left="1265" w:right="-19" w:firstLine="0"/>
        <w:jc w:val="left"/>
        <w:rPr>
          <w:rFonts w:ascii="Courier New"/>
          <w:i/>
          <w:sz w:val="38"/>
        </w:rPr>
      </w:pPr>
      <w:r>
        <w:rPr>
          <w:rFonts w:ascii="Courier New"/>
          <w:color w:val="010101"/>
          <w:w w:val="85"/>
          <w:sz w:val="38"/>
        </w:rPr>
        <w:t>-</w:t>
      </w:r>
      <w:r>
        <w:rPr>
          <w:rFonts w:ascii="Courier New"/>
          <w:color w:val="010101"/>
          <w:spacing w:val="-60"/>
          <w:w w:val="85"/>
          <w:sz w:val="38"/>
        </w:rPr>
        <w:t> </w:t>
      </w:r>
      <w:r>
        <w:rPr>
          <w:rFonts w:ascii="Courier New"/>
          <w:i/>
          <w:color w:val="010101"/>
          <w:w w:val="85"/>
          <w:sz w:val="38"/>
          <w:u w:val="thick" w:color="000000"/>
        </w:rPr>
        <w:t>D;</w:t>
      </w:r>
    </w:p>
    <w:p>
      <w:pPr>
        <w:pStyle w:val="BodyText"/>
        <w:spacing w:before="75"/>
        <w:ind w:left="431"/>
      </w:pPr>
      <w:r>
        <w:rPr/>
        <w:br w:type="column"/>
      </w:r>
      <w:r>
        <w:rPr>
          <w:color w:val="010101"/>
          <w:w w:val="105"/>
        </w:rPr>
        <w:t>where</w:t>
      </w:r>
    </w:p>
    <w:p>
      <w:pPr>
        <w:spacing w:after="0"/>
        <w:sectPr>
          <w:type w:val="continuous"/>
          <w:pgSz w:w="7200" w:h="11340"/>
          <w:pgMar w:top="1100" w:bottom="0" w:left="680" w:right="560"/>
          <w:cols w:num="2" w:equalWidth="0">
            <w:col w:w="1982" w:space="40"/>
            <w:col w:w="3938"/>
          </w:cols>
        </w:sectPr>
      </w:pPr>
    </w:p>
    <w:p>
      <w:pPr>
        <w:spacing w:line="238" w:lineRule="exact" w:before="58"/>
        <w:ind w:left="1495" w:right="0" w:firstLine="0"/>
        <w:jc w:val="left"/>
        <w:rPr>
          <w:i/>
          <w:sz w:val="27"/>
        </w:rPr>
      </w:pPr>
      <w:r>
        <w:rPr/>
        <w:drawing>
          <wp:anchor distT="0" distB="0" distL="0" distR="0" allowOverlap="1" layoutInCell="1" locked="0" behindDoc="0" simplePos="0" relativeHeight="24952">
            <wp:simplePos x="0" y="0"/>
            <wp:positionH relativeFrom="page">
              <wp:posOffset>2569464</wp:posOffset>
            </wp:positionH>
            <wp:positionV relativeFrom="paragraph">
              <wp:posOffset>-339863</wp:posOffset>
            </wp:positionV>
            <wp:extent cx="795527" cy="155448"/>
            <wp:effectExtent l="0" t="0" r="0" b="0"/>
            <wp:wrapNone/>
            <wp:docPr id="751" name="image383.png" descr=""/>
            <wp:cNvGraphicFramePr>
              <a:graphicFrameLocks noChangeAspect="1"/>
            </wp:cNvGraphicFramePr>
            <a:graphic>
              <a:graphicData uri="http://schemas.openxmlformats.org/drawingml/2006/picture">
                <pic:pic>
                  <pic:nvPicPr>
                    <pic:cNvPr id="752" name="image383.png"/>
                    <pic:cNvPicPr/>
                  </pic:nvPicPr>
                  <pic:blipFill>
                    <a:blip r:embed="rId387" cstate="print"/>
                    <a:stretch>
                      <a:fillRect/>
                    </a:stretch>
                  </pic:blipFill>
                  <pic:spPr>
                    <a:xfrm>
                      <a:off x="0" y="0"/>
                      <a:ext cx="795527" cy="155448"/>
                    </a:xfrm>
                    <a:prstGeom prst="rect">
                      <a:avLst/>
                    </a:prstGeom>
                  </pic:spPr>
                </pic:pic>
              </a:graphicData>
            </a:graphic>
          </wp:anchor>
        </w:drawing>
      </w:r>
      <w:r>
        <w:rPr>
          <w:rFonts w:ascii="Arial" w:hAnsi="Arial"/>
          <w:color w:val="010101"/>
          <w:w w:val="90"/>
          <w:sz w:val="25"/>
        </w:rPr>
        <w:t>ª..M! </w:t>
      </w:r>
      <w:r>
        <w:rPr>
          <w:rFonts w:ascii="Arial" w:hAnsi="Arial"/>
          <w:color w:val="010101"/>
          <w:w w:val="175"/>
          <w:sz w:val="25"/>
        </w:rPr>
        <w:t>-</w:t>
      </w:r>
      <w:r>
        <w:rPr>
          <w:rFonts w:ascii="Arial" w:hAnsi="Arial"/>
          <w:color w:val="010101"/>
          <w:spacing w:val="-100"/>
          <w:w w:val="175"/>
          <w:sz w:val="25"/>
        </w:rPr>
        <w:t> </w:t>
      </w:r>
      <w:r>
        <w:rPr>
          <w:i/>
          <w:color w:val="010101"/>
          <w:spacing w:val="2"/>
          <w:w w:val="90"/>
          <w:sz w:val="27"/>
        </w:rPr>
        <w:t>ªM:</w:t>
      </w:r>
    </w:p>
    <w:p>
      <w:pPr>
        <w:tabs>
          <w:tab w:pos="5303" w:val="left" w:leader="none"/>
        </w:tabs>
        <w:spacing w:line="389" w:lineRule="exact" w:before="0"/>
        <w:ind w:left="1861" w:right="0" w:firstLine="0"/>
        <w:jc w:val="left"/>
        <w:rPr>
          <w:sz w:val="20"/>
        </w:rPr>
      </w:pPr>
      <w:r>
        <w:rPr/>
        <w:pict>
          <v:line style="position:absolute;mso-position-horizontal-relative:page;mso-position-vertical-relative:paragraph;z-index:24976" from="122.213402pt,1.140483pt" to="124.905302pt,1.140483pt" stroked="true" strokeweight=".897308pt" strokecolor="#000000">
            <w10:wrap type="none"/>
          </v:line>
        </w:pict>
      </w:r>
      <w:r>
        <w:rPr>
          <w:rFonts w:ascii="Courier New"/>
          <w:i/>
          <w:color w:val="010101"/>
          <w:position w:val="-15"/>
          <w:sz w:val="38"/>
        </w:rPr>
        <w:t>D;</w:t>
        <w:tab/>
      </w:r>
      <w:r>
        <w:rPr>
          <w:color w:val="010101"/>
          <w:sz w:val="20"/>
        </w:rPr>
        <w:t>(</w:t>
      </w:r>
      <w:r>
        <w:rPr>
          <w:color w:val="010101"/>
          <w:spacing w:val="30"/>
          <w:sz w:val="20"/>
        </w:rPr>
        <w:t> </w:t>
      </w:r>
      <w:r>
        <w:rPr>
          <w:color w:val="010101"/>
          <w:spacing w:val="-10"/>
          <w:sz w:val="20"/>
        </w:rPr>
        <w:t>16.6)</w:t>
      </w:r>
    </w:p>
    <w:p>
      <w:pPr>
        <w:pStyle w:val="BodyText"/>
        <w:spacing w:line="240" w:lineRule="exact" w:before="59"/>
        <w:ind w:left="120" w:right="106" w:firstLine="201"/>
        <w:jc w:val="both"/>
      </w:pPr>
      <w:r>
        <w:rPr>
          <w:color w:val="010101"/>
          <w:w w:val="105"/>
          <w:sz w:val="22"/>
        </w:rPr>
        <w:t>In </w:t>
      </w:r>
      <w:r>
        <w:rPr>
          <w:color w:val="010101"/>
          <w:w w:val="105"/>
        </w:rPr>
        <w:t>certain applications, such as the one just described, the  benefits are payable only if transfer </w:t>
      </w:r>
      <w:r>
        <w:rPr>
          <w:color w:val="010101"/>
          <w:w w:val="105"/>
          <w:sz w:val="21"/>
        </w:rPr>
        <w:t>to </w:t>
      </w:r>
      <w:r>
        <w:rPr>
          <w:color w:val="010101"/>
          <w:w w:val="105"/>
        </w:rPr>
        <w:t>state </w:t>
      </w:r>
      <w:r>
        <w:rPr>
          <w:rFonts w:ascii="Arial"/>
          <w:i/>
          <w:color w:val="010101"/>
          <w:w w:val="105"/>
          <w:sz w:val="18"/>
        </w:rPr>
        <w:t>g </w:t>
      </w:r>
      <w:r>
        <w:rPr>
          <w:color w:val="010101"/>
          <w:w w:val="105"/>
        </w:rPr>
        <w:t>occurs prior </w:t>
      </w:r>
      <w:r>
        <w:rPr>
          <w:color w:val="010101"/>
          <w:w w:val="105"/>
          <w:sz w:val="21"/>
        </w:rPr>
        <w:t>to </w:t>
      </w:r>
      <w:r>
        <w:rPr>
          <w:color w:val="010101"/>
          <w:w w:val="105"/>
        </w:rPr>
        <w:t>a specified age </w:t>
      </w:r>
      <w:r>
        <w:rPr>
          <w:i/>
          <w:color w:val="010101"/>
          <w:w w:val="105"/>
        </w:rPr>
        <w:t>y. </w:t>
      </w:r>
      <w:r>
        <w:rPr>
          <w:color w:val="010101"/>
          <w:w w:val="105"/>
          <w:sz w:val="22"/>
        </w:rPr>
        <w:t>It </w:t>
      </w:r>
      <w:r>
        <w:rPr>
          <w:color w:val="010101"/>
          <w:w w:val="105"/>
        </w:rPr>
        <w:t>is then convenient </w:t>
      </w:r>
      <w:r>
        <w:rPr>
          <w:color w:val="010101"/>
          <w:w w:val="105"/>
          <w:sz w:val="21"/>
        </w:rPr>
        <w:t>to </w:t>
      </w:r>
      <w:r>
        <w:rPr>
          <w:color w:val="010101"/>
          <w:w w:val="105"/>
        </w:rPr>
        <w:t>tabulate the values of the summation of the </w:t>
      </w:r>
      <w:r>
        <w:rPr>
          <w:i/>
          <w:color w:val="010101"/>
          <w:w w:val="105"/>
          <w:sz w:val="21"/>
        </w:rPr>
        <w:t>C' </w:t>
      </w:r>
      <w:r>
        <w:rPr>
          <w:color w:val="010101"/>
          <w:w w:val="105"/>
        </w:rPr>
        <w:t>functions up </w:t>
      </w:r>
      <w:r>
        <w:rPr>
          <w:color w:val="010101"/>
          <w:w w:val="105"/>
          <w:sz w:val="21"/>
        </w:rPr>
        <w:t>to </w:t>
      </w:r>
      <w:r>
        <w:rPr>
          <w:color w:val="010101"/>
          <w:w w:val="105"/>
        </w:rPr>
        <w:t>age </w:t>
      </w:r>
      <w:r>
        <w:rPr>
          <w:rFonts w:ascii="Arial"/>
          <w:i/>
          <w:color w:val="010101"/>
          <w:w w:val="105"/>
          <w:sz w:val="16"/>
        </w:rPr>
        <w:t>y  </w:t>
      </w:r>
      <w:r>
        <w:rPr>
          <w:rFonts w:ascii="Arial"/>
          <w:i/>
          <w:color w:val="010101"/>
          <w:spacing w:val="44"/>
          <w:w w:val="105"/>
          <w:sz w:val="16"/>
        </w:rPr>
        <w:t> </w:t>
      </w:r>
      <w:r>
        <w:rPr>
          <w:color w:val="010101"/>
          <w:w w:val="105"/>
        </w:rPr>
        <w:t>only,</w:t>
      </w:r>
    </w:p>
    <w:p>
      <w:pPr>
        <w:spacing w:before="170"/>
        <w:ind w:left="204" w:right="131" w:firstLine="0"/>
        <w:jc w:val="center"/>
        <w:rPr>
          <w:sz w:val="34"/>
        </w:rPr>
      </w:pPr>
      <w:r>
        <w:rPr/>
        <w:pict>
          <v:shape style="position:absolute;margin-left:166.899307pt;margin-top:7.635318pt;width:11.85pt;height:6.5pt;mso-position-horizontal-relative:page;mso-position-vertical-relative:paragraph;z-index:-711016" type="#_x0000_t202" filled="false" stroked="false">
            <v:textbox inset="0,0,0,0">
              <w:txbxContent>
                <w:p>
                  <w:pPr>
                    <w:spacing w:line="130" w:lineRule="exact" w:before="0"/>
                    <w:ind w:left="0" w:right="-14" w:firstLine="0"/>
                    <w:jc w:val="left"/>
                    <w:rPr>
                      <w:b/>
                      <w:sz w:val="13"/>
                    </w:rPr>
                  </w:pPr>
                  <w:r>
                    <w:rPr>
                      <w:b/>
                      <w:color w:val="010101"/>
                      <w:w w:val="110"/>
                      <w:sz w:val="13"/>
                    </w:rPr>
                    <w:t>11-l</w:t>
                  </w:r>
                </w:p>
              </w:txbxContent>
            </v:textbox>
            <w10:wrap type="none"/>
          </v:shape>
        </w:pict>
      </w:r>
      <w:r>
        <w:rPr>
          <w:color w:val="010101"/>
          <w:sz w:val="34"/>
        </w:rPr>
        <w:t>:Ec:.</w:t>
      </w:r>
    </w:p>
    <w:p>
      <w:pPr>
        <w:pStyle w:val="BodyText"/>
        <w:spacing w:line="238" w:lineRule="exact" w:before="239"/>
        <w:ind w:left="134" w:right="122"/>
      </w:pPr>
      <w:r>
        <w:rPr>
          <w:color w:val="010101"/>
          <w:w w:val="105"/>
        </w:rPr>
        <w:t>When this is done, the resulting values are distinguished by a prefixed  suhscript  with  the </w:t>
      </w:r>
      <w:r>
        <w:rPr>
          <w:rFonts w:ascii="Arial"/>
          <w:i/>
          <w:color w:val="010101"/>
          <w:w w:val="105"/>
          <w:sz w:val="21"/>
        </w:rPr>
        <w:t>M' </w:t>
      </w:r>
      <w:r>
        <w:rPr>
          <w:color w:val="010101"/>
          <w:w w:val="105"/>
        </w:rPr>
        <w:t>function:</w:t>
      </w:r>
    </w:p>
    <w:p>
      <w:pPr>
        <w:spacing w:after="0" w:line="238" w:lineRule="exact"/>
        <w:sectPr>
          <w:type w:val="continuous"/>
          <w:pgSz w:w="7200" w:h="11340"/>
          <w:pgMar w:top="1100" w:bottom="0" w:left="680" w:right="560"/>
        </w:sectPr>
      </w:pPr>
    </w:p>
    <w:p>
      <w:pPr>
        <w:pStyle w:val="BodyText"/>
        <w:spacing w:before="3"/>
        <w:rPr>
          <w:sz w:val="12"/>
        </w:rPr>
      </w:pPr>
    </w:p>
    <w:p>
      <w:pPr>
        <w:spacing w:line="91" w:lineRule="exact" w:before="1"/>
        <w:ind w:left="2387" w:right="1518" w:firstLine="0"/>
        <w:jc w:val="center"/>
        <w:rPr>
          <w:rFonts w:ascii="Arial"/>
          <w:b/>
          <w:sz w:val="12"/>
        </w:rPr>
      </w:pPr>
      <w:r>
        <w:rPr/>
        <w:pict>
          <v:shape style="position:absolute;margin-left:171.206406pt;margin-top:1.937275pt;width:13.65pt;height:18.5pt;mso-position-horizontal-relative:page;mso-position-vertical-relative:paragraph;z-index:-710992" type="#_x0000_t202" filled="false" stroked="false">
            <v:textbox inset="0,0,0,0">
              <w:txbxContent>
                <w:p>
                  <w:pPr>
                    <w:spacing w:line="370" w:lineRule="exact" w:before="0"/>
                    <w:ind w:left="0" w:right="-13" w:firstLine="0"/>
                    <w:jc w:val="left"/>
                    <w:rPr>
                      <w:sz w:val="37"/>
                    </w:rPr>
                  </w:pPr>
                  <w:r>
                    <w:rPr>
                      <w:color w:val="010101"/>
                      <w:spacing w:val="-14"/>
                      <w:w w:val="110"/>
                      <w:sz w:val="37"/>
                    </w:rPr>
                    <w:t>e:</w:t>
                  </w:r>
                </w:p>
              </w:txbxContent>
            </v:textbox>
            <w10:wrap type="none"/>
          </v:shape>
        </w:pict>
      </w:r>
      <w:r>
        <w:rPr>
          <w:rFonts w:ascii="Arial"/>
          <w:b/>
          <w:color w:val="010101"/>
          <w:w w:val="105"/>
          <w:sz w:val="12"/>
        </w:rPr>
        <w:t>11-1</w:t>
      </w:r>
    </w:p>
    <w:p>
      <w:pPr>
        <w:tabs>
          <w:tab w:pos="3034" w:val="left" w:leader="none"/>
        </w:tabs>
        <w:spacing w:line="276" w:lineRule="exact" w:before="0"/>
        <w:ind w:left="1767" w:right="0" w:firstLine="0"/>
        <w:jc w:val="left"/>
        <w:rPr>
          <w:rFonts w:ascii="Arial" w:hAnsi="Arial"/>
          <w:sz w:val="25"/>
        </w:rPr>
      </w:pPr>
      <w:r>
        <w:rPr>
          <w:rFonts w:ascii="Arial" w:hAnsi="Arial"/>
          <w:i/>
          <w:color w:val="010101"/>
          <w:sz w:val="25"/>
        </w:rPr>
        <w:t>,,M!</w:t>
      </w:r>
      <w:r>
        <w:rPr>
          <w:rFonts w:ascii="Arial" w:hAnsi="Arial"/>
          <w:i/>
          <w:color w:val="010101"/>
          <w:spacing w:val="21"/>
          <w:sz w:val="25"/>
        </w:rPr>
        <w:t> </w:t>
      </w:r>
      <w:r>
        <w:rPr>
          <w:color w:val="010101"/>
          <w:sz w:val="28"/>
        </w:rPr>
        <w:t>=</w:t>
      </w:r>
      <w:r>
        <w:rPr>
          <w:color w:val="010101"/>
          <w:spacing w:val="28"/>
          <w:sz w:val="28"/>
        </w:rPr>
        <w:t> </w:t>
      </w:r>
      <w:r>
        <w:rPr>
          <w:rFonts w:ascii="Arial" w:hAnsi="Arial"/>
          <w:color w:val="010101"/>
          <w:w w:val="135"/>
          <w:sz w:val="31"/>
        </w:rPr>
        <w:t>¿</w:t>
        <w:tab/>
      </w:r>
      <w:r>
        <w:rPr>
          <w:color w:val="010101"/>
          <w:sz w:val="25"/>
        </w:rPr>
        <w:t>= </w:t>
      </w:r>
      <w:r>
        <w:rPr>
          <w:rFonts w:ascii="Arial" w:hAnsi="Arial"/>
          <w:i/>
          <w:color w:val="010101"/>
          <w:sz w:val="25"/>
        </w:rPr>
        <w:t>M! </w:t>
      </w:r>
      <w:r>
        <w:rPr>
          <w:rFonts w:ascii="Arial" w:hAnsi="Arial"/>
          <w:color w:val="010101"/>
          <w:w w:val="180"/>
          <w:sz w:val="25"/>
        </w:rPr>
        <w:t>- </w:t>
      </w:r>
      <w:r>
        <w:rPr>
          <w:rFonts w:ascii="Arial" w:hAnsi="Arial"/>
          <w:i/>
          <w:color w:val="010101"/>
          <w:sz w:val="25"/>
        </w:rPr>
        <w:t>M!</w:t>
      </w:r>
      <w:r>
        <w:rPr>
          <w:rFonts w:ascii="Arial" w:hAnsi="Arial"/>
          <w:i/>
          <w:color w:val="010101"/>
          <w:spacing w:val="-15"/>
          <w:sz w:val="25"/>
        </w:rPr>
        <w:t> </w:t>
      </w:r>
      <w:r>
        <w:rPr>
          <w:rFonts w:ascii="Arial" w:hAnsi="Arial"/>
          <w:color w:val="010101"/>
          <w:w w:val="115"/>
          <w:sz w:val="25"/>
        </w:rPr>
        <w:t>.</w:t>
      </w:r>
    </w:p>
    <w:p>
      <w:pPr>
        <w:spacing w:line="170" w:lineRule="exact" w:before="0"/>
        <w:ind w:left="2387" w:right="1522" w:firstLine="0"/>
        <w:jc w:val="center"/>
        <w:rPr>
          <w:rFonts w:ascii="Courier New" w:hAnsi="Courier New"/>
          <w:b/>
          <w:i/>
          <w:sz w:val="18"/>
        </w:rPr>
      </w:pPr>
      <w:r>
        <w:rPr>
          <w:rFonts w:ascii="Courier New" w:hAnsi="Courier New"/>
          <w:b/>
          <w:i/>
          <w:color w:val="010101"/>
          <w:sz w:val="18"/>
        </w:rPr>
        <w:t>•-z</w:t>
      </w:r>
    </w:p>
    <w:p>
      <w:pPr>
        <w:pStyle w:val="BodyText"/>
        <w:spacing w:before="4"/>
        <w:rPr>
          <w:rFonts w:ascii="Courier New"/>
          <w:b/>
          <w:i/>
          <w:sz w:val="24"/>
        </w:rPr>
      </w:pPr>
      <w:r>
        <w:rPr/>
        <w:br w:type="column"/>
      </w:r>
      <w:r>
        <w:rPr>
          <w:rFonts w:ascii="Courier New"/>
          <w:b/>
          <w:i/>
          <w:sz w:val="24"/>
        </w:rPr>
      </w:r>
    </w:p>
    <w:p>
      <w:pPr>
        <w:pStyle w:val="BodyText"/>
        <w:ind w:left="1017"/>
      </w:pPr>
      <w:r>
        <w:rPr>
          <w:color w:val="010101"/>
          <w:w w:val="105"/>
        </w:rPr>
        <w:t>(16.7)</w:t>
      </w:r>
    </w:p>
    <w:p>
      <w:pPr>
        <w:spacing w:after="0"/>
        <w:sectPr>
          <w:type w:val="continuous"/>
          <w:pgSz w:w="7200" w:h="11340"/>
          <w:pgMar w:top="1100" w:bottom="0" w:left="680" w:right="560"/>
          <w:cols w:num="2" w:equalWidth="0">
            <w:col w:w="4275" w:space="40"/>
            <w:col w:w="1645"/>
          </w:cols>
        </w:sectPr>
      </w:pPr>
    </w:p>
    <w:p>
      <w:pPr>
        <w:pStyle w:val="BodyText"/>
        <w:spacing w:before="105"/>
        <w:ind w:left="138"/>
        <w:rPr>
          <w:rFonts w:ascii="Arial"/>
          <w:i/>
          <w:sz w:val="21"/>
        </w:rPr>
      </w:pPr>
      <w:r>
        <w:rPr>
          <w:color w:val="010101"/>
          <w:w w:val="105"/>
        </w:rPr>
        <w:t>This convention  may  </w:t>
      </w:r>
      <w:r>
        <w:rPr>
          <w:color w:val="010101"/>
          <w:w w:val="105"/>
          <w:sz w:val="19"/>
        </w:rPr>
        <w:t>be  </w:t>
      </w:r>
      <w:r>
        <w:rPr>
          <w:color w:val="010101"/>
          <w:w w:val="105"/>
        </w:rPr>
        <w:t>used  with  any  of  the  fortfls  of  the </w:t>
      </w:r>
      <w:r>
        <w:rPr>
          <w:rFonts w:ascii="Arial"/>
          <w:i/>
          <w:color w:val="010101"/>
          <w:w w:val="105"/>
          <w:sz w:val="21"/>
        </w:rPr>
        <w:t>M'</w:t>
      </w:r>
    </w:p>
    <w:p>
      <w:pPr>
        <w:pStyle w:val="BodyText"/>
        <w:spacing w:before="6"/>
        <w:ind w:left="145"/>
      </w:pPr>
      <w:r>
        <w:rPr>
          <w:color w:val="010101"/>
          <w:w w:val="105"/>
        </w:rPr>
        <w:t>function. The premium in  (16.6), for example, can be expressed  as</w:t>
      </w:r>
    </w:p>
    <w:p>
      <w:pPr>
        <w:spacing w:after="0"/>
        <w:sectPr>
          <w:type w:val="continuous"/>
          <w:pgSz w:w="7200" w:h="11340"/>
          <w:pgMar w:top="1100" w:bottom="0" w:left="680" w:right="560"/>
        </w:sectPr>
      </w:pPr>
    </w:p>
    <w:p>
      <w:pPr>
        <w:tabs>
          <w:tab w:pos="1969" w:val="left" w:leader="none"/>
          <w:tab w:pos="5234" w:val="left" w:leader="none"/>
        </w:tabs>
        <w:spacing w:before="45"/>
        <w:ind w:left="112" w:right="0" w:firstLine="0"/>
        <w:jc w:val="left"/>
        <w:rPr>
          <w:rFonts w:ascii="Arial"/>
          <w:b/>
          <w:sz w:val="19"/>
        </w:rPr>
      </w:pPr>
      <w:r>
        <w:rPr>
          <w:sz w:val="21"/>
        </w:rPr>
        <w:t>308</w:t>
        <w:tab/>
      </w:r>
      <w:r>
        <w:rPr>
          <w:b/>
          <w:sz w:val="14"/>
        </w:rPr>
        <w:t>A   </w:t>
      </w:r>
      <w:r>
        <w:rPr>
          <w:b/>
          <w:spacing w:val="6"/>
          <w:sz w:val="14"/>
        </w:rPr>
        <w:t> </w:t>
      </w:r>
      <w:r>
        <w:rPr>
          <w:b/>
          <w:sz w:val="14"/>
        </w:rPr>
        <w:t>GEXERALJZED   </w:t>
      </w:r>
      <w:r>
        <w:rPr>
          <w:b/>
          <w:spacing w:val="8"/>
          <w:sz w:val="14"/>
        </w:rPr>
        <w:t> </w:t>
      </w:r>
      <w:r>
        <w:rPr>
          <w:b/>
          <w:sz w:val="14"/>
        </w:rPr>
        <w:t>MODEL</w:t>
        <w:tab/>
      </w:r>
      <w:r>
        <w:rPr>
          <w:rFonts w:ascii="Arial"/>
          <w:b/>
          <w:sz w:val="19"/>
        </w:rPr>
        <w:t>[CH.</w:t>
      </w:r>
      <w:r>
        <w:rPr>
          <w:rFonts w:ascii="Arial"/>
          <w:b/>
          <w:spacing w:val="1"/>
          <w:sz w:val="19"/>
        </w:rPr>
        <w:t> </w:t>
      </w:r>
      <w:r>
        <w:rPr>
          <w:rFonts w:ascii="Arial"/>
          <w:b/>
          <w:spacing w:val="-16"/>
          <w:sz w:val="19"/>
        </w:rPr>
        <w:t>16</w:t>
      </w: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sz w:val="26"/>
        </w:rPr>
      </w:pPr>
    </w:p>
    <w:p>
      <w:pPr>
        <w:pStyle w:val="ListParagraph"/>
        <w:numPr>
          <w:ilvl w:val="0"/>
          <w:numId w:val="143"/>
        </w:numPr>
        <w:tabs>
          <w:tab w:pos="339" w:val="left" w:leader="none"/>
        </w:tabs>
        <w:spacing w:line="240" w:lineRule="auto" w:before="0" w:after="0"/>
        <w:ind w:left="338" w:right="0" w:hanging="230"/>
        <w:jc w:val="left"/>
        <w:rPr>
          <w:b/>
          <w:sz w:val="19"/>
        </w:rPr>
      </w:pPr>
      <w:r>
        <w:rPr>
          <w:b/>
          <w:w w:val="120"/>
          <w:sz w:val="19"/>
        </w:rPr>
        <w:t>Pension</w:t>
      </w:r>
      <w:r>
        <w:rPr>
          <w:b/>
          <w:spacing w:val="2"/>
          <w:w w:val="120"/>
          <w:sz w:val="19"/>
        </w:rPr>
        <w:t> </w:t>
      </w:r>
      <w:r>
        <w:rPr>
          <w:b/>
          <w:w w:val="120"/>
          <w:sz w:val="19"/>
        </w:rPr>
        <w:t>plans</w:t>
      </w:r>
    </w:p>
    <w:p>
      <w:pPr>
        <w:pStyle w:val="BodyText"/>
        <w:spacing w:line="249" w:lineRule="auto" w:before="125"/>
        <w:ind w:left="108" w:right="118" w:firstLine="201"/>
        <w:jc w:val="both"/>
      </w:pPr>
      <w:r>
        <w:rPr>
          <w:w w:val="105"/>
        </w:rPr>
        <w:t>As a first application of the general model described above, we consider the methods used in calculating  the  values  of  benefits and contributions for the participants in </w:t>
      </w:r>
      <w:r>
        <w:rPr>
          <w:rFonts w:ascii="Arial" w:hAnsi="Arial"/>
          <w:w w:val="105"/>
          <w:sz w:val="17"/>
        </w:rPr>
        <w:t>a </w:t>
      </w:r>
      <w:r>
        <w:rPr>
          <w:w w:val="105"/>
        </w:rPr>
        <w:t>pension plan. The participants in such </w:t>
      </w:r>
      <w:r>
        <w:rPr>
          <w:rFonts w:ascii="Arial" w:hAnsi="Arial"/>
          <w:w w:val="105"/>
          <w:sz w:val="18"/>
        </w:rPr>
        <w:t>a </w:t>
      </w:r>
      <w:r>
        <w:rPr>
          <w:w w:val="105"/>
        </w:rPr>
        <w:t>plan are usually employees who share a common status,  either  in  the  service  of  a  particular  crnployer  or industry, or as members of a union organization. The plan may provide benefits upon dísability, withdrawal, and death,  in addi­ tion </w:t>
      </w:r>
      <w:r>
        <w:rPr>
          <w:w w:val="105"/>
          <w:sz w:val="21"/>
        </w:rPr>
        <w:t>to </w:t>
      </w:r>
      <w:r>
        <w:rPr>
          <w:w w:val="105"/>
        </w:rPr>
        <w:t>the pcnsion benefits at retirement. The  cost  of  the  plan may be sharcd by the participants and the employer (or other sponsor ), or it may be borne entirely by the sponsor without contributions  from  the</w:t>
      </w:r>
      <w:r>
        <w:rPr>
          <w:spacing w:val="7"/>
          <w:w w:val="105"/>
        </w:rPr>
        <w:t> </w:t>
      </w:r>
      <w:r>
        <w:rPr>
          <w:w w:val="105"/>
        </w:rPr>
        <w:t>participants.</w:t>
      </w:r>
    </w:p>
    <w:p>
      <w:pPr>
        <w:pStyle w:val="BodyText"/>
        <w:spacing w:line="252" w:lineRule="auto"/>
        <w:ind w:left="108" w:right="130" w:firstLine="198"/>
        <w:jc w:val="both"/>
      </w:pPr>
      <w:r>
        <w:rPr>
          <w:w w:val="105"/>
        </w:rPr>
        <w:t>The methods to be discussed here can be used in making periodic estimates, in the aggregate, of the  value  of  the  future  benefits and contributions for all participants  in  the  plan.  These  figures are used in estimating the aggregate costs and for other purposes. Although the values of the contributions and the benefits of thc  plan as a whole are the sum of these values for each individual participant,  the  individual  results  are  normally  not  of   intercst in</w:t>
      </w:r>
      <w:r>
        <w:rPr>
          <w:spacing w:val="-10"/>
          <w:w w:val="105"/>
        </w:rPr>
        <w:t> </w:t>
      </w:r>
      <w:r>
        <w:rPr>
          <w:w w:val="105"/>
        </w:rPr>
        <w:t>themselves.</w:t>
      </w:r>
    </w:p>
    <w:p>
      <w:pPr>
        <w:pStyle w:val="BodyText"/>
        <w:spacing w:line="247" w:lineRule="auto"/>
        <w:ind w:left="108" w:right="137" w:firstLine="194"/>
        <w:jc w:val="both"/>
      </w:pPr>
      <w:r>
        <w:rPr>
          <w:w w:val="105"/>
        </w:rPr>
        <w:t>There are wide variations in the provisions of pension plans currently in force, and we shall develop formulas for only a few typicl situations. </w:t>
      </w:r>
      <w:r>
        <w:rPr>
          <w:w w:val="105"/>
          <w:sz w:val="21"/>
        </w:rPr>
        <w:t>In </w:t>
      </w:r>
      <w:r>
        <w:rPr>
          <w:w w:val="105"/>
        </w:rPr>
        <w:t>practice, these formulas will often be modified because  of  special features  in  a particular plan.</w:t>
      </w:r>
    </w:p>
    <w:p>
      <w:pPr>
        <w:pStyle w:val="BodyText"/>
        <w:spacing w:line="254" w:lineRule="auto" w:before="1"/>
        <w:ind w:left="112" w:right="134" w:firstLine="190"/>
        <w:jc w:val="both"/>
      </w:pPr>
      <w:r>
        <w:rPr>
          <w:w w:val="105"/>
        </w:rPr>
        <w:t>A common type of multiple-decrement table used  in  pension plan calculations incJudes four modes of decrement: mortality, disability, withdrawal,  retirement.  The  following  notation  will  </w:t>
      </w:r>
      <w:r>
        <w:rPr>
          <w:rFonts w:ascii="Arial"/>
          <w:w w:val="105"/>
          <w:sz w:val="18"/>
        </w:rPr>
        <w:t>be</w:t>
      </w:r>
      <w:r>
        <w:rPr>
          <w:rFonts w:ascii="Arial"/>
          <w:spacing w:val="8"/>
          <w:w w:val="105"/>
          <w:sz w:val="18"/>
        </w:rPr>
        <w:t> </w:t>
      </w:r>
      <w:r>
        <w:rPr>
          <w:w w:val="105"/>
        </w:rPr>
        <w:t>used:</w:t>
      </w:r>
    </w:p>
    <w:p>
      <w:pPr>
        <w:spacing w:line="253" w:lineRule="exact" w:before="0"/>
        <w:ind w:left="108" w:right="0" w:firstLine="0"/>
        <w:jc w:val="left"/>
        <w:rPr>
          <w:sz w:val="20"/>
        </w:rPr>
      </w:pPr>
      <w:r>
        <w:rPr>
          <w:rFonts w:ascii="Arial"/>
          <w:i/>
          <w:w w:val="105"/>
          <w:sz w:val="29"/>
        </w:rPr>
        <w:t>l;  </w:t>
      </w:r>
      <w:r>
        <w:rPr>
          <w:w w:val="105"/>
          <w:sz w:val="20"/>
        </w:rPr>
        <w:t>is the number  </w:t>
      </w:r>
      <w:r>
        <w:rPr>
          <w:w w:val="105"/>
          <w:sz w:val="19"/>
        </w:rPr>
        <w:t>of  </w:t>
      </w:r>
      <w:r>
        <w:rPr>
          <w:w w:val="105"/>
          <w:sz w:val="20"/>
        </w:rPr>
        <w:t>lives attaining  </w:t>
      </w:r>
      <w:r>
        <w:rPr>
          <w:w w:val="105"/>
          <w:sz w:val="19"/>
        </w:rPr>
        <w:t>age </w:t>
      </w:r>
      <w:r>
        <w:rPr>
          <w:rFonts w:ascii="Arial"/>
          <w:i/>
          <w:w w:val="105"/>
          <w:sz w:val="17"/>
        </w:rPr>
        <w:t>x  </w:t>
      </w:r>
      <w:r>
        <w:rPr>
          <w:w w:val="105"/>
          <w:sz w:val="20"/>
        </w:rPr>
        <w:t>in service;</w:t>
      </w:r>
    </w:p>
    <w:p>
      <w:pPr>
        <w:pStyle w:val="BodyText"/>
        <w:spacing w:line="254" w:lineRule="auto"/>
        <w:ind w:left="400" w:right="218" w:hanging="292"/>
        <w:rPr>
          <w:rFonts w:ascii="Arial" w:hAnsi="Arial"/>
          <w:i/>
          <w:sz w:val="18"/>
        </w:rPr>
      </w:pPr>
      <w:r>
        <w:rPr>
          <w:i/>
        </w:rPr>
        <w:t>d z </w:t>
      </w:r>
      <w:r>
        <w:rPr/>
        <w:t>is the number dying in  service  in  the  year  following  attain­  ment  </w:t>
      </w:r>
      <w:r>
        <w:rPr>
          <w:rFonts w:ascii="Arial" w:hAnsi="Arial"/>
          <w:sz w:val="17"/>
        </w:rPr>
        <w:t>of  age </w:t>
      </w:r>
      <w:r>
        <w:rPr>
          <w:rFonts w:ascii="Arial" w:hAnsi="Arial"/>
          <w:i/>
          <w:sz w:val="18"/>
        </w:rPr>
        <w:t>x</w:t>
      </w:r>
      <w:r>
        <w:rPr>
          <w:rFonts w:ascii="Arial" w:hAnsi="Arial"/>
          <w:i/>
          <w:spacing w:val="-14"/>
          <w:sz w:val="18"/>
        </w:rPr>
        <w:t> </w:t>
      </w:r>
      <w:r>
        <w:rPr>
          <w:rFonts w:ascii="Arial" w:hAnsi="Arial"/>
          <w:i/>
          <w:sz w:val="18"/>
        </w:rPr>
        <w:t>;</w:t>
      </w:r>
    </w:p>
    <w:p>
      <w:pPr>
        <w:spacing w:line="235" w:lineRule="exact" w:before="0"/>
        <w:ind w:left="112" w:right="0" w:firstLine="0"/>
        <w:jc w:val="left"/>
        <w:rPr>
          <w:sz w:val="19"/>
        </w:rPr>
      </w:pPr>
      <w:r>
        <w:rPr>
          <w:rFonts w:ascii="Arial" w:hAnsi="Arial"/>
          <w:i/>
          <w:w w:val="105"/>
          <w:sz w:val="22"/>
        </w:rPr>
        <w:t>i:  </w:t>
      </w:r>
      <w:r>
        <w:rPr>
          <w:w w:val="105"/>
          <w:sz w:val="19"/>
        </w:rPr>
        <w:t>is </w:t>
      </w:r>
      <w:r>
        <w:rPr>
          <w:w w:val="105"/>
          <w:sz w:val="20"/>
        </w:rPr>
        <w:t>the numbcr  becoming  disabled  </w:t>
      </w:r>
      <w:r>
        <w:rPr>
          <w:w w:val="105"/>
          <w:sz w:val="19"/>
        </w:rPr>
        <w:t>in  </w:t>
      </w:r>
      <w:r>
        <w:rPr>
          <w:w w:val="105"/>
          <w:sz w:val="20"/>
        </w:rPr>
        <w:t>service in the year  </w:t>
      </w:r>
      <w:r>
        <w:rPr>
          <w:w w:val="105"/>
          <w:sz w:val="19"/>
        </w:rPr>
        <w:t>follow­</w:t>
      </w:r>
    </w:p>
    <w:p>
      <w:pPr>
        <w:spacing w:before="8"/>
        <w:ind w:left="410" w:right="0" w:firstLine="0"/>
        <w:jc w:val="left"/>
        <w:rPr>
          <w:rFonts w:ascii="Arial"/>
          <w:i/>
          <w:sz w:val="18"/>
        </w:rPr>
      </w:pPr>
      <w:r>
        <w:rPr>
          <w:sz w:val="20"/>
        </w:rPr>
        <w:t>ing attainmcnt  </w:t>
      </w:r>
      <w:r>
        <w:rPr>
          <w:rFonts w:ascii="Arial"/>
          <w:sz w:val="18"/>
        </w:rPr>
        <w:t>of  </w:t>
      </w:r>
      <w:r>
        <w:rPr>
          <w:sz w:val="20"/>
        </w:rPr>
        <w:t>age </w:t>
      </w:r>
      <w:r>
        <w:rPr>
          <w:rFonts w:ascii="Arial"/>
          <w:i/>
          <w:sz w:val="18"/>
        </w:rPr>
        <w:t>x  ;</w:t>
      </w:r>
    </w:p>
    <w:p>
      <w:pPr>
        <w:pStyle w:val="BodyText"/>
        <w:spacing w:line="254" w:lineRule="auto" w:before="18"/>
        <w:ind w:left="407" w:hanging="299"/>
        <w:rPr>
          <w:rFonts w:ascii="Arial"/>
          <w:i/>
          <w:sz w:val="18"/>
        </w:rPr>
      </w:pPr>
      <w:r>
        <w:rPr>
          <w:i/>
        </w:rPr>
        <w:t>wz </w:t>
      </w:r>
      <w:r>
        <w:rPr/>
        <w:t>is the number withdrawing from servic&gt;e in the year following attainment  of  age  </w:t>
      </w:r>
      <w:r>
        <w:rPr>
          <w:rFonts w:ascii="Arial"/>
          <w:i/>
          <w:sz w:val="18"/>
        </w:rPr>
        <w:t>x ;</w:t>
      </w:r>
    </w:p>
    <w:p>
      <w:pPr>
        <w:spacing w:after="0" w:line="254" w:lineRule="auto"/>
        <w:rPr>
          <w:rFonts w:ascii="Arial"/>
          <w:sz w:val="18"/>
        </w:rPr>
        <w:sectPr>
          <w:pgSz w:w="7200" w:h="11340"/>
          <w:pgMar w:top="500" w:bottom="280" w:left="680" w:right="560"/>
        </w:sectPr>
      </w:pPr>
    </w:p>
    <w:p>
      <w:pPr>
        <w:tabs>
          <w:tab w:pos="2307" w:val="left" w:leader="none"/>
          <w:tab w:pos="5835" w:val="right" w:leader="none"/>
        </w:tabs>
        <w:spacing w:before="50"/>
        <w:ind w:left="104" w:right="0" w:firstLine="0"/>
        <w:jc w:val="both"/>
        <w:rPr>
          <w:sz w:val="19"/>
        </w:rPr>
      </w:pPr>
      <w:r>
        <w:rPr>
          <w:b/>
          <w:w w:val="105"/>
          <w:sz w:val="15"/>
        </w:rPr>
        <w:t>SEC. </w:t>
      </w:r>
      <w:r>
        <w:rPr>
          <w:b/>
          <w:spacing w:val="12"/>
          <w:w w:val="105"/>
          <w:sz w:val="15"/>
        </w:rPr>
        <w:t> </w:t>
      </w:r>
      <w:r>
        <w:rPr>
          <w:b/>
          <w:w w:val="105"/>
          <w:sz w:val="20"/>
        </w:rPr>
        <w:t>2}</w:t>
        <w:tab/>
      </w:r>
      <w:r>
        <w:rPr>
          <w:b/>
          <w:w w:val="105"/>
          <w:position w:val="1"/>
          <w:sz w:val="15"/>
        </w:rPr>
        <w:t>PENSION </w:t>
      </w:r>
      <w:r>
        <w:rPr>
          <w:b/>
          <w:spacing w:val="36"/>
          <w:w w:val="105"/>
          <w:position w:val="1"/>
          <w:sz w:val="15"/>
        </w:rPr>
        <w:t> </w:t>
      </w:r>
      <w:r>
        <w:rPr>
          <w:b/>
          <w:w w:val="105"/>
          <w:position w:val="1"/>
          <w:sz w:val="15"/>
        </w:rPr>
        <w:t>PLANS</w:t>
      </w:r>
      <w:r>
        <w:rPr>
          <w:w w:val="105"/>
          <w:position w:val="1"/>
          <w:sz w:val="19"/>
        </w:rPr>
        <w:tab/>
        <w:t>309</w:t>
      </w:r>
    </w:p>
    <w:p>
      <w:pPr>
        <w:pStyle w:val="BodyText"/>
        <w:spacing w:before="4"/>
      </w:pPr>
    </w:p>
    <w:p>
      <w:pPr>
        <w:spacing w:line="242" w:lineRule="exact" w:before="0"/>
        <w:ind w:left="410" w:right="0" w:hanging="306"/>
        <w:jc w:val="left"/>
        <w:rPr>
          <w:sz w:val="12"/>
        </w:rPr>
      </w:pPr>
      <w:r>
        <w:rPr/>
        <w:pict>
          <v:shape style="position:absolute;margin-left:117.18pt;margin-top:16.911947pt;width:1.8pt;height:6pt;mso-position-horizontal-relative:page;mso-position-vertical-relative:paragraph;z-index:-710896" type="#_x0000_t202" filled="false" stroked="false">
            <v:textbox inset="0,0,0,0">
              <w:txbxContent>
                <w:p>
                  <w:pPr>
                    <w:spacing w:line="120" w:lineRule="exact" w:before="0"/>
                    <w:ind w:left="0" w:right="0" w:firstLine="0"/>
                    <w:jc w:val="left"/>
                    <w:rPr>
                      <w:sz w:val="12"/>
                    </w:rPr>
                  </w:pPr>
                  <w:r>
                    <w:rPr>
                      <w:w w:val="83"/>
                      <w:sz w:val="12"/>
                    </w:rPr>
                    <w:t>•</w:t>
                  </w:r>
                </w:p>
              </w:txbxContent>
            </v:textbox>
            <w10:wrap type="none"/>
          </v:shape>
        </w:pict>
      </w:r>
      <w:r>
        <w:rPr>
          <w:sz w:val="20"/>
        </w:rPr>
        <w:t>rz </w:t>
      </w:r>
      <w:r>
        <w:rPr>
          <w:sz w:val="21"/>
        </w:rPr>
        <w:t>is the number retiring from service in the year following attain­ ment of age x</w:t>
      </w:r>
      <w:r>
        <w:rPr>
          <w:position w:val="10"/>
          <w:sz w:val="12"/>
        </w:rPr>
        <w:t>1</w:t>
      </w:r>
    </w:p>
    <w:p>
      <w:pPr>
        <w:tabs>
          <w:tab w:pos="1573" w:val="left" w:leader="none"/>
        </w:tabs>
        <w:spacing w:line="259" w:lineRule="exact" w:before="107"/>
        <w:ind w:left="108" w:right="0" w:firstLine="0"/>
        <w:jc w:val="both"/>
        <w:rPr>
          <w:sz w:val="16"/>
        </w:rPr>
      </w:pPr>
      <w:r>
        <w:rPr>
          <w:w w:val="115"/>
          <w:sz w:val="21"/>
        </w:rPr>
        <w:t>Then</w:t>
        <w:tab/>
      </w:r>
      <w:r>
        <w:rPr>
          <w:rFonts w:ascii="Arial" w:hAnsi="Arial"/>
          <w:i/>
          <w:spacing w:val="-9"/>
          <w:w w:val="115"/>
          <w:sz w:val="20"/>
        </w:rPr>
        <w:t>l;+l</w:t>
      </w:r>
      <w:r>
        <w:rPr>
          <w:rFonts w:ascii="Arial" w:hAnsi="Arial"/>
          <w:i/>
          <w:spacing w:val="21"/>
          <w:w w:val="115"/>
          <w:sz w:val="20"/>
        </w:rPr>
        <w:t> </w:t>
      </w:r>
      <w:r>
        <w:rPr>
          <w:w w:val="115"/>
          <w:sz w:val="23"/>
        </w:rPr>
        <w:t>=</w:t>
      </w:r>
      <w:r>
        <w:rPr>
          <w:spacing w:val="22"/>
          <w:w w:val="115"/>
          <w:sz w:val="23"/>
        </w:rPr>
        <w:t> </w:t>
      </w:r>
      <w:r>
        <w:rPr>
          <w:rFonts w:ascii="Arial" w:hAnsi="Arial"/>
          <w:i/>
          <w:w w:val="175"/>
          <w:sz w:val="20"/>
        </w:rPr>
        <w:t>l;</w:t>
      </w:r>
      <w:r>
        <w:rPr>
          <w:rFonts w:ascii="Arial" w:hAnsi="Arial"/>
          <w:i/>
          <w:spacing w:val="-17"/>
          <w:w w:val="175"/>
          <w:sz w:val="20"/>
        </w:rPr>
        <w:t> </w:t>
      </w:r>
      <w:r>
        <w:rPr>
          <w:rFonts w:ascii="Arial" w:hAnsi="Arial"/>
          <w:w w:val="235"/>
          <w:sz w:val="20"/>
        </w:rPr>
        <w:t>-</w:t>
      </w:r>
      <w:r>
        <w:rPr>
          <w:rFonts w:ascii="Arial" w:hAnsi="Arial"/>
          <w:spacing w:val="-71"/>
          <w:w w:val="235"/>
          <w:sz w:val="20"/>
        </w:rPr>
        <w:t> </w:t>
      </w:r>
      <w:r>
        <w:rPr>
          <w:rFonts w:ascii="Arial" w:hAnsi="Arial"/>
          <w:i/>
          <w:w w:val="90"/>
          <w:sz w:val="20"/>
        </w:rPr>
        <w:t>d:z</w:t>
      </w:r>
      <w:r>
        <w:rPr>
          <w:rFonts w:ascii="Arial" w:hAnsi="Arial"/>
          <w:i/>
          <w:spacing w:val="33"/>
          <w:w w:val="90"/>
          <w:sz w:val="20"/>
        </w:rPr>
        <w:t> </w:t>
      </w:r>
      <w:r>
        <w:rPr>
          <w:rFonts w:ascii="Arial" w:hAnsi="Arial"/>
          <w:w w:val="235"/>
          <w:sz w:val="20"/>
        </w:rPr>
        <w:t>-</w:t>
      </w:r>
      <w:r>
        <w:rPr>
          <w:rFonts w:ascii="Arial" w:hAnsi="Arial"/>
          <w:spacing w:val="-66"/>
          <w:w w:val="235"/>
          <w:sz w:val="20"/>
        </w:rPr>
        <w:t> </w:t>
      </w:r>
      <w:r>
        <w:rPr>
          <w:w w:val="115"/>
          <w:sz w:val="16"/>
        </w:rPr>
        <w:t>Íz</w:t>
      </w:r>
      <w:r>
        <w:rPr>
          <w:spacing w:val="34"/>
          <w:w w:val="115"/>
          <w:sz w:val="16"/>
        </w:rPr>
        <w:t> </w:t>
      </w:r>
      <w:r>
        <w:rPr>
          <w:w w:val="305"/>
          <w:sz w:val="16"/>
        </w:rPr>
        <w:t>-</w:t>
      </w:r>
      <w:r>
        <w:rPr>
          <w:spacing w:val="-72"/>
          <w:w w:val="305"/>
          <w:sz w:val="16"/>
        </w:rPr>
        <w:t> </w:t>
      </w:r>
      <w:r>
        <w:rPr>
          <w:i/>
          <w:spacing w:val="5"/>
          <w:w w:val="115"/>
          <w:sz w:val="14"/>
        </w:rPr>
        <w:t>Wz</w:t>
      </w:r>
      <w:r>
        <w:rPr>
          <w:i/>
          <w:spacing w:val="49"/>
          <w:w w:val="115"/>
          <w:sz w:val="14"/>
        </w:rPr>
        <w:t> </w:t>
      </w:r>
      <w:r>
        <w:rPr>
          <w:w w:val="355"/>
          <w:sz w:val="14"/>
        </w:rPr>
        <w:t>-</w:t>
      </w:r>
      <w:r>
        <w:rPr>
          <w:spacing w:val="-76"/>
          <w:w w:val="355"/>
          <w:sz w:val="14"/>
        </w:rPr>
        <w:t> </w:t>
      </w:r>
      <w:r>
        <w:rPr>
          <w:w w:val="115"/>
          <w:sz w:val="16"/>
        </w:rPr>
        <w:t>rz</w:t>
      </w:r>
      <w:r>
        <w:rPr>
          <w:spacing w:val="14"/>
          <w:w w:val="115"/>
          <w:sz w:val="16"/>
        </w:rPr>
        <w:t> </w:t>
      </w:r>
      <w:r>
        <w:rPr>
          <w:w w:val="175"/>
          <w:sz w:val="16"/>
        </w:rPr>
        <w:t>.</w:t>
      </w:r>
    </w:p>
    <w:p>
      <w:pPr>
        <w:spacing w:line="237" w:lineRule="auto" w:before="0"/>
        <w:ind w:left="108" w:right="125" w:firstLine="198"/>
        <w:jc w:val="both"/>
        <w:rPr>
          <w:sz w:val="21"/>
        </w:rPr>
      </w:pPr>
      <w:r>
        <w:rPr>
          <w:sz w:val="21"/>
        </w:rPr>
        <w:t>Since</w:t>
      </w:r>
      <w:r>
        <w:rPr>
          <w:spacing w:val="-17"/>
          <w:sz w:val="21"/>
        </w:rPr>
        <w:t> </w:t>
      </w:r>
      <w:r>
        <w:rPr>
          <w:sz w:val="21"/>
        </w:rPr>
        <w:t>sorne</w:t>
      </w:r>
      <w:r>
        <w:rPr>
          <w:spacing w:val="-12"/>
          <w:sz w:val="21"/>
        </w:rPr>
        <w:t> </w:t>
      </w:r>
      <w:r>
        <w:rPr>
          <w:sz w:val="21"/>
        </w:rPr>
        <w:t>of</w:t>
      </w:r>
      <w:r>
        <w:rPr>
          <w:spacing w:val="-1"/>
          <w:sz w:val="21"/>
        </w:rPr>
        <w:t> </w:t>
      </w:r>
      <w:r>
        <w:rPr>
          <w:sz w:val="21"/>
        </w:rPr>
        <w:t>the</w:t>
      </w:r>
      <w:r>
        <w:rPr>
          <w:spacing w:val="-11"/>
          <w:sz w:val="21"/>
        </w:rPr>
        <w:t> </w:t>
      </w:r>
      <w:r>
        <w:rPr>
          <w:sz w:val="21"/>
        </w:rPr>
        <w:t>decrements,</w:t>
      </w:r>
      <w:r>
        <w:rPr>
          <w:spacing w:val="-2"/>
          <w:sz w:val="21"/>
        </w:rPr>
        <w:t> </w:t>
      </w:r>
      <w:r>
        <w:rPr>
          <w:sz w:val="21"/>
        </w:rPr>
        <w:t>especially</w:t>
      </w:r>
      <w:r>
        <w:rPr>
          <w:spacing w:val="-4"/>
          <w:sz w:val="21"/>
        </w:rPr>
        <w:t> </w:t>
      </w:r>
      <w:r>
        <w:rPr>
          <w:sz w:val="21"/>
        </w:rPr>
        <w:t>withdrawal, may</w:t>
      </w:r>
      <w:r>
        <w:rPr>
          <w:spacing w:val="-6"/>
          <w:sz w:val="21"/>
        </w:rPr>
        <w:t> </w:t>
      </w:r>
      <w:r>
        <w:rPr>
          <w:sz w:val="21"/>
        </w:rPr>
        <w:t>change rapidly as length of  service  increases,  it  is sometimes  advisable to use a select service table, but this is normally justifiable only when the number of participants is large. The development of formulas on a select basis  presents  no  addjtional  difficulties  in the theory  </w:t>
      </w:r>
      <w:r>
        <w:rPr>
          <w:b/>
          <w:sz w:val="19"/>
        </w:rPr>
        <w:t>and </w:t>
      </w:r>
      <w:r>
        <w:rPr>
          <w:b/>
          <w:sz w:val="22"/>
        </w:rPr>
        <w:t>will </w:t>
      </w:r>
      <w:r>
        <w:rPr>
          <w:sz w:val="21"/>
        </w:rPr>
        <w:t>not be considered </w:t>
      </w:r>
      <w:r>
        <w:rPr>
          <w:spacing w:val="14"/>
          <w:sz w:val="21"/>
        </w:rPr>
        <w:t> </w:t>
      </w:r>
      <w:r>
        <w:rPr>
          <w:sz w:val="21"/>
        </w:rPr>
        <w:t>here.</w:t>
      </w:r>
    </w:p>
    <w:p>
      <w:pPr>
        <w:spacing w:line="237" w:lineRule="auto" w:before="0"/>
        <w:ind w:left="112" w:right="133" w:firstLine="208"/>
        <w:jc w:val="both"/>
        <w:rPr>
          <w:sz w:val="21"/>
        </w:rPr>
      </w:pPr>
      <w:r>
        <w:rPr>
          <w:sz w:val="22"/>
        </w:rPr>
        <w:t>In </w:t>
      </w:r>
      <w:r>
        <w:rPr>
          <w:sz w:val="21"/>
        </w:rPr>
        <w:t>writing the formulas for  retirement  benefits,  we  shall  use the general  notation  of  Section  1 with  the unspecified decrement</w:t>
      </w:r>
    </w:p>
    <w:p>
      <w:pPr>
        <w:spacing w:line="242" w:lineRule="auto" w:before="0"/>
        <w:ind w:left="115" w:right="115" w:hanging="4"/>
        <w:jc w:val="both"/>
        <w:rPr>
          <w:sz w:val="21"/>
        </w:rPr>
      </w:pPr>
      <w:r>
        <w:rPr/>
        <w:drawing>
          <wp:anchor distT="0" distB="0" distL="0" distR="0" allowOverlap="1" layoutInCell="1" locked="0" behindDoc="0" simplePos="0" relativeHeight="25096">
            <wp:simplePos x="0" y="0"/>
            <wp:positionH relativeFrom="page">
              <wp:posOffset>1490472</wp:posOffset>
            </wp:positionH>
            <wp:positionV relativeFrom="paragraph">
              <wp:posOffset>547404</wp:posOffset>
            </wp:positionV>
            <wp:extent cx="1682495" cy="466344"/>
            <wp:effectExtent l="0" t="0" r="0" b="0"/>
            <wp:wrapNone/>
            <wp:docPr id="753" name="image384.png" descr=""/>
            <wp:cNvGraphicFramePr>
              <a:graphicFrameLocks noChangeAspect="1"/>
            </wp:cNvGraphicFramePr>
            <a:graphic>
              <a:graphicData uri="http://schemas.openxmlformats.org/drawingml/2006/picture">
                <pic:pic>
                  <pic:nvPicPr>
                    <pic:cNvPr id="754" name="image384.png"/>
                    <pic:cNvPicPr/>
                  </pic:nvPicPr>
                  <pic:blipFill>
                    <a:blip r:embed="rId388" cstate="print"/>
                    <a:stretch>
                      <a:fillRect/>
                    </a:stretch>
                  </pic:blipFill>
                  <pic:spPr>
                    <a:xfrm>
                      <a:off x="0" y="0"/>
                      <a:ext cx="1682495" cy="466344"/>
                    </a:xfrm>
                    <a:prstGeom prst="rect">
                      <a:avLst/>
                    </a:prstGeom>
                  </pic:spPr>
                </pic:pic>
              </a:graphicData>
            </a:graphic>
          </wp:anchor>
        </w:drawing>
      </w:r>
      <w:r>
        <w:rPr>
          <w:rFonts w:ascii="Arial"/>
          <w:i/>
          <w:sz w:val="18"/>
        </w:rPr>
        <w:t>g </w:t>
      </w:r>
      <w:r>
        <w:rPr>
          <w:sz w:val="21"/>
        </w:rPr>
        <w:t>replaced by the retirement decrement </w:t>
      </w:r>
      <w:r>
        <w:rPr>
          <w:rFonts w:ascii="Arial"/>
          <w:i/>
          <w:sz w:val="17"/>
        </w:rPr>
        <w:t>r . </w:t>
      </w:r>
      <w:r>
        <w:rPr>
          <w:sz w:val="21"/>
        </w:rPr>
        <w:t>For example, the present value at age </w:t>
      </w:r>
      <w:r>
        <w:rPr>
          <w:rFonts w:ascii="Arial"/>
          <w:i/>
          <w:sz w:val="17"/>
        </w:rPr>
        <w:t>x </w:t>
      </w:r>
      <w:r>
        <w:rPr>
          <w:sz w:val="21"/>
        </w:rPr>
        <w:t>of a payment of 1 at the moment of retirement is evaluated  as</w:t>
      </w:r>
    </w:p>
    <w:p>
      <w:pPr>
        <w:pStyle w:val="BodyText"/>
      </w:pPr>
    </w:p>
    <w:p>
      <w:pPr>
        <w:spacing w:before="134"/>
        <w:ind w:left="0" w:right="128" w:firstLine="0"/>
        <w:jc w:val="right"/>
        <w:rPr>
          <w:sz w:val="21"/>
        </w:rPr>
      </w:pPr>
      <w:r>
        <w:rPr>
          <w:w w:val="90"/>
          <w:sz w:val="21"/>
        </w:rPr>
        <w:t>(16.8)</w:t>
      </w:r>
    </w:p>
    <w:p>
      <w:pPr>
        <w:pStyle w:val="BodyText"/>
      </w:pPr>
    </w:p>
    <w:p>
      <w:pPr>
        <w:spacing w:line="242" w:lineRule="auto" w:before="158"/>
        <w:ind w:left="112" w:right="136" w:firstLine="7"/>
        <w:jc w:val="both"/>
        <w:rPr>
          <w:sz w:val="21"/>
        </w:rPr>
      </w:pPr>
      <w:r>
        <w:rPr>
          <w:sz w:val="21"/>
        </w:rPr>
        <w:t>The present value at age </w:t>
      </w:r>
      <w:r>
        <w:rPr>
          <w:rFonts w:ascii="Arial" w:hAnsi="Arial"/>
          <w:i/>
          <w:sz w:val="16"/>
        </w:rPr>
        <w:t>x </w:t>
      </w:r>
      <w:r>
        <w:rPr>
          <w:sz w:val="21"/>
        </w:rPr>
        <w:t>of a payment at the moment of retire­ ment of 1for each completed year of service from age </w:t>
      </w:r>
      <w:r>
        <w:rPr>
          <w:rFonts w:ascii="Arial" w:hAnsi="Arial"/>
          <w:i/>
          <w:sz w:val="18"/>
        </w:rPr>
        <w:t>x </w:t>
      </w:r>
      <w:r>
        <w:rPr>
          <w:sz w:val="21"/>
        </w:rPr>
        <w:t>to retire­ ment  is evaluated as</w:t>
      </w:r>
    </w:p>
    <w:p>
      <w:pPr>
        <w:pStyle w:val="BodyText"/>
        <w:spacing w:before="9"/>
        <w:rPr>
          <w:sz w:val="23"/>
        </w:rPr>
      </w:pPr>
    </w:p>
    <w:p>
      <w:pPr>
        <w:spacing w:line="207" w:lineRule="exact" w:before="73"/>
        <w:ind w:left="0" w:right="118" w:firstLine="0"/>
        <w:jc w:val="right"/>
        <w:rPr>
          <w:sz w:val="21"/>
        </w:rPr>
      </w:pPr>
      <w:r>
        <w:rPr/>
        <w:pict>
          <v:group style="position:absolute;margin-left:118.800003pt;margin-top:-7.067261pt;width:36.050pt;height:25.15pt;mso-position-horizontal-relative:page;mso-position-vertical-relative:paragraph;z-index:-710944" coordorigin="2376,-141" coordsize="721,503">
            <v:shape style="position:absolute;left:2376;top:-141;width:720;height:446" type="#_x0000_t75" stroked="false">
              <v:imagedata r:id="rId389" o:title=""/>
            </v:shape>
            <v:line style="position:absolute" from="2401,354" to="3089,354" stroked="true" strokeweight=".72pt" strokecolor="#000000"/>
            <w10:wrap type="none"/>
          </v:group>
        </w:pict>
      </w:r>
      <w:r>
        <w:rPr/>
        <w:drawing>
          <wp:anchor distT="0" distB="0" distL="0" distR="0" allowOverlap="1" layoutInCell="1" locked="0" behindDoc="0" simplePos="0" relativeHeight="25144">
            <wp:simplePos x="0" y="0"/>
            <wp:positionH relativeFrom="page">
              <wp:posOffset>2167127</wp:posOffset>
            </wp:positionH>
            <wp:positionV relativeFrom="paragraph">
              <wp:posOffset>-89754</wp:posOffset>
            </wp:positionV>
            <wp:extent cx="969263" cy="466344"/>
            <wp:effectExtent l="0" t="0" r="0" b="0"/>
            <wp:wrapNone/>
            <wp:docPr id="755" name="image386.png" descr=""/>
            <wp:cNvGraphicFramePr>
              <a:graphicFrameLocks noChangeAspect="1"/>
            </wp:cNvGraphicFramePr>
            <a:graphic>
              <a:graphicData uri="http://schemas.openxmlformats.org/drawingml/2006/picture">
                <pic:pic>
                  <pic:nvPicPr>
                    <pic:cNvPr id="756" name="image386.png"/>
                    <pic:cNvPicPr/>
                  </pic:nvPicPr>
                  <pic:blipFill>
                    <a:blip r:embed="rId390" cstate="print"/>
                    <a:stretch>
                      <a:fillRect/>
                    </a:stretch>
                  </pic:blipFill>
                  <pic:spPr>
                    <a:xfrm>
                      <a:off x="0" y="0"/>
                      <a:ext cx="969263" cy="466344"/>
                    </a:xfrm>
                    <a:prstGeom prst="rect">
                      <a:avLst/>
                    </a:prstGeom>
                  </pic:spPr>
                </pic:pic>
              </a:graphicData>
            </a:graphic>
          </wp:anchor>
        </w:drawing>
      </w:r>
      <w:r>
        <w:rPr>
          <w:sz w:val="21"/>
        </w:rPr>
        <w:t>( 16.9)</w:t>
      </w:r>
    </w:p>
    <w:p>
      <w:pPr>
        <w:spacing w:line="385" w:lineRule="exact" w:before="0"/>
        <w:ind w:left="1930" w:right="0" w:firstLine="0"/>
        <w:jc w:val="left"/>
        <w:rPr>
          <w:rFonts w:ascii="Courier New"/>
          <w:i/>
          <w:sz w:val="37"/>
        </w:rPr>
      </w:pPr>
      <w:r>
        <w:rPr>
          <w:rFonts w:ascii="Courier New"/>
          <w:i/>
          <w:w w:val="85"/>
          <w:sz w:val="37"/>
        </w:rPr>
        <w:t>D;</w:t>
      </w:r>
    </w:p>
    <w:p>
      <w:pPr>
        <w:spacing w:before="60"/>
        <w:ind w:left="115" w:right="121" w:firstLine="198"/>
        <w:jc w:val="both"/>
        <w:rPr>
          <w:sz w:val="21"/>
        </w:rPr>
      </w:pPr>
      <w:r>
        <w:rPr>
          <w:rFonts w:ascii="Arial" w:hAnsi="Arial"/>
          <w:w w:val="145"/>
          <w:sz w:val="20"/>
        </w:rPr>
        <w:t>It </w:t>
      </w:r>
      <w:r>
        <w:rPr>
          <w:w w:val="105"/>
          <w:sz w:val="21"/>
        </w:rPr>
        <w:t>should be remembered that retirements will generally occur only</w:t>
      </w:r>
      <w:r>
        <w:rPr>
          <w:spacing w:val="-16"/>
          <w:w w:val="105"/>
          <w:sz w:val="21"/>
        </w:rPr>
        <w:t> </w:t>
      </w:r>
      <w:r>
        <w:rPr>
          <w:w w:val="105"/>
          <w:sz w:val="21"/>
        </w:rPr>
        <w:t>within</w:t>
      </w:r>
      <w:r>
        <w:rPr>
          <w:spacing w:val="-5"/>
          <w:w w:val="105"/>
          <w:sz w:val="21"/>
        </w:rPr>
        <w:t> </w:t>
      </w:r>
      <w:r>
        <w:rPr>
          <w:w w:val="105"/>
          <w:sz w:val="21"/>
        </w:rPr>
        <w:t>a</w:t>
      </w:r>
      <w:r>
        <w:rPr>
          <w:spacing w:val="-17"/>
          <w:w w:val="105"/>
          <w:sz w:val="21"/>
        </w:rPr>
        <w:t> </w:t>
      </w:r>
      <w:r>
        <w:rPr>
          <w:w w:val="105"/>
          <w:sz w:val="21"/>
        </w:rPr>
        <w:t>certain</w:t>
      </w:r>
      <w:r>
        <w:rPr>
          <w:spacing w:val="-7"/>
          <w:w w:val="105"/>
          <w:sz w:val="21"/>
        </w:rPr>
        <w:t> </w:t>
      </w:r>
      <w:r>
        <w:rPr>
          <w:w w:val="105"/>
          <w:sz w:val="21"/>
        </w:rPr>
        <w:t>range</w:t>
      </w:r>
      <w:r>
        <w:rPr>
          <w:spacing w:val="-11"/>
          <w:w w:val="105"/>
          <w:sz w:val="21"/>
        </w:rPr>
        <w:t> </w:t>
      </w:r>
      <w:r>
        <w:rPr>
          <w:w w:val="105"/>
          <w:sz w:val="21"/>
        </w:rPr>
        <w:t>of</w:t>
      </w:r>
      <w:r>
        <w:rPr>
          <w:spacing w:val="-2"/>
          <w:w w:val="105"/>
          <w:sz w:val="21"/>
        </w:rPr>
        <w:t> </w:t>
      </w:r>
      <w:r>
        <w:rPr>
          <w:w w:val="105"/>
          <w:sz w:val="21"/>
        </w:rPr>
        <w:t>ages.</w:t>
      </w:r>
      <w:r>
        <w:rPr>
          <w:spacing w:val="-11"/>
          <w:w w:val="105"/>
          <w:sz w:val="21"/>
        </w:rPr>
        <w:t> </w:t>
      </w:r>
      <w:r>
        <w:rPr>
          <w:w w:val="105"/>
          <w:sz w:val="19"/>
        </w:rPr>
        <w:t>lf</w:t>
      </w:r>
      <w:r>
        <w:rPr>
          <w:spacing w:val="5"/>
          <w:w w:val="105"/>
          <w:sz w:val="19"/>
        </w:rPr>
        <w:t> </w:t>
      </w:r>
      <w:r>
        <w:rPr>
          <w:w w:val="105"/>
          <w:sz w:val="21"/>
        </w:rPr>
        <w:t>the</w:t>
      </w:r>
      <w:r>
        <w:rPr>
          <w:spacing w:val="-15"/>
          <w:w w:val="105"/>
          <w:sz w:val="21"/>
        </w:rPr>
        <w:t> </w:t>
      </w:r>
      <w:r>
        <w:rPr>
          <w:w w:val="105"/>
          <w:sz w:val="21"/>
        </w:rPr>
        <w:t>service</w:t>
      </w:r>
      <w:r>
        <w:rPr>
          <w:spacing w:val="-16"/>
          <w:w w:val="105"/>
          <w:sz w:val="21"/>
        </w:rPr>
        <w:t> </w:t>
      </w:r>
      <w:r>
        <w:rPr>
          <w:w w:val="105"/>
          <w:sz w:val="21"/>
        </w:rPr>
        <w:t>table</w:t>
      </w:r>
      <w:r>
        <w:rPr>
          <w:spacing w:val="-11"/>
          <w:w w:val="105"/>
          <w:sz w:val="21"/>
        </w:rPr>
        <w:t> </w:t>
      </w:r>
      <w:r>
        <w:rPr>
          <w:w w:val="105"/>
          <w:sz w:val="21"/>
        </w:rPr>
        <w:t>shows</w:t>
      </w:r>
      <w:r>
        <w:rPr>
          <w:spacing w:val="-18"/>
          <w:w w:val="105"/>
          <w:sz w:val="21"/>
        </w:rPr>
        <w:t> </w:t>
      </w:r>
      <w:r>
        <w:rPr>
          <w:w w:val="105"/>
          <w:sz w:val="21"/>
        </w:rPr>
        <w:t>non­</w:t>
      </w:r>
    </w:p>
    <w:p>
      <w:pPr>
        <w:tabs>
          <w:tab w:pos="2808" w:val="left" w:leader="none"/>
          <w:tab w:pos="3261" w:val="left" w:leader="none"/>
        </w:tabs>
        <w:spacing w:line="228" w:lineRule="exact" w:before="0"/>
        <w:ind w:left="115" w:right="0" w:firstLine="3"/>
        <w:jc w:val="left"/>
        <w:rPr>
          <w:i/>
          <w:sz w:val="20"/>
        </w:rPr>
      </w:pPr>
      <w:r>
        <w:rPr>
          <w:sz w:val="21"/>
        </w:rPr>
        <w:t>zero </w:t>
      </w:r>
      <w:r>
        <w:rPr>
          <w:spacing w:val="3"/>
          <w:sz w:val="21"/>
        </w:rPr>
        <w:t>values </w:t>
      </w:r>
      <w:r>
        <w:rPr>
          <w:sz w:val="21"/>
        </w:rPr>
        <w:t>of </w:t>
      </w:r>
      <w:r>
        <w:rPr>
          <w:i/>
          <w:sz w:val="22"/>
        </w:rPr>
        <w:t>r</w:t>
      </w:r>
      <w:r>
        <w:rPr>
          <w:sz w:val="14"/>
        </w:rPr>
        <w:t>z  </w:t>
      </w:r>
      <w:r>
        <w:rPr>
          <w:sz w:val="21"/>
        </w:rPr>
        <w:t>only</w:t>
      </w:r>
      <w:r>
        <w:rPr>
          <w:spacing w:val="38"/>
          <w:sz w:val="21"/>
        </w:rPr>
        <w:t> </w:t>
      </w:r>
      <w:r>
        <w:rPr>
          <w:sz w:val="21"/>
        </w:rPr>
        <w:t>for</w:t>
      </w:r>
      <w:r>
        <w:rPr>
          <w:spacing w:val="15"/>
          <w:sz w:val="21"/>
        </w:rPr>
        <w:t> </w:t>
      </w:r>
      <w:r>
        <w:rPr>
          <w:i/>
          <w:sz w:val="20"/>
        </w:rPr>
        <w:t>y</w:t>
        <w:tab/>
      </w:r>
      <w:r>
        <w:rPr>
          <w:i/>
          <w:sz w:val="22"/>
        </w:rPr>
        <w:t>x</w:t>
        <w:tab/>
        <w:t>z, </w:t>
      </w:r>
      <w:r>
        <w:rPr>
          <w:sz w:val="21"/>
        </w:rPr>
        <w:t>then </w:t>
      </w:r>
      <w:r>
        <w:rPr>
          <w:rFonts w:ascii="Arial"/>
          <w:i/>
          <w:sz w:val="29"/>
        </w:rPr>
        <w:t>e; </w:t>
      </w:r>
      <w:r>
        <w:rPr>
          <w:sz w:val="26"/>
        </w:rPr>
        <w:t>= </w:t>
      </w:r>
      <w:r>
        <w:rPr>
          <w:sz w:val="21"/>
        </w:rPr>
        <w:t>O for all </w:t>
      </w:r>
      <w:r>
        <w:rPr>
          <w:i/>
          <w:sz w:val="22"/>
        </w:rPr>
        <w:t>x  </w:t>
      </w:r>
      <w:r>
        <w:rPr>
          <w:rFonts w:ascii="Arial"/>
          <w:sz w:val="26"/>
        </w:rPr>
        <w:t>&lt; </w:t>
      </w:r>
      <w:r>
        <w:rPr>
          <w:rFonts w:ascii="Arial"/>
          <w:spacing w:val="51"/>
          <w:sz w:val="26"/>
        </w:rPr>
        <w:t> </w:t>
      </w:r>
      <w:r>
        <w:rPr>
          <w:i/>
          <w:sz w:val="20"/>
        </w:rPr>
        <w:t>y</w:t>
      </w:r>
    </w:p>
    <w:p>
      <w:pPr>
        <w:spacing w:line="242" w:lineRule="exact" w:before="16"/>
        <w:ind w:left="112" w:right="218" w:firstLine="3"/>
        <w:jc w:val="left"/>
        <w:rPr>
          <w:sz w:val="21"/>
        </w:rPr>
      </w:pPr>
      <w:r>
        <w:rPr>
          <w:sz w:val="21"/>
        </w:rPr>
        <w:t>and all </w:t>
      </w:r>
      <w:r>
        <w:rPr>
          <w:i/>
          <w:sz w:val="20"/>
        </w:rPr>
        <w:t>x </w:t>
      </w:r>
      <w:r>
        <w:rPr>
          <w:sz w:val="26"/>
        </w:rPr>
        <w:t>&gt; </w:t>
      </w:r>
      <w:r>
        <w:rPr>
          <w:i/>
          <w:sz w:val="20"/>
        </w:rPr>
        <w:t>z. </w:t>
      </w:r>
      <w:r>
        <w:rPr>
          <w:sz w:val="21"/>
        </w:rPr>
        <w:t>The summations in formulas like </w:t>
      </w:r>
      <w:r>
        <w:rPr>
          <w:spacing w:val="-4"/>
          <w:sz w:val="21"/>
        </w:rPr>
        <w:t>(16.8) </w:t>
      </w:r>
      <w:r>
        <w:rPr>
          <w:sz w:val="21"/>
        </w:rPr>
        <w:t>and </w:t>
      </w:r>
      <w:r>
        <w:rPr>
          <w:spacing w:val="-3"/>
          <w:sz w:val="21"/>
        </w:rPr>
        <w:t>(16.9)  </w:t>
      </w:r>
      <w:r>
        <w:rPr>
          <w:sz w:val="21"/>
        </w:rPr>
        <w:t>will not necessarily include a very large number of </w:t>
      </w:r>
      <w:r>
        <w:rPr>
          <w:spacing w:val="27"/>
          <w:sz w:val="21"/>
        </w:rPr>
        <w:t> </w:t>
      </w:r>
      <w:r>
        <w:rPr>
          <w:sz w:val="21"/>
        </w:rPr>
        <w:t>terms.</w:t>
      </w:r>
    </w:p>
    <w:p>
      <w:pPr>
        <w:spacing w:line="237" w:lineRule="auto" w:before="0"/>
        <w:ind w:left="112" w:right="112" w:firstLine="205"/>
        <w:jc w:val="both"/>
        <w:rPr>
          <w:sz w:val="21"/>
        </w:rPr>
      </w:pPr>
      <w:r>
        <w:rPr>
          <w:w w:val="105"/>
          <w:sz w:val="21"/>
        </w:rPr>
        <w:t>In sorne plans, it may not be realistic to assume that the retire­ </w:t>
      </w:r>
      <w:r>
        <w:rPr>
          <w:w w:val="102"/>
          <w:sz w:val="21"/>
        </w:rPr>
        <w:t>ments </w:t>
      </w:r>
      <w:r>
        <w:rPr>
          <w:spacing w:val="2"/>
          <w:w w:val="90"/>
          <w:sz w:val="21"/>
        </w:rPr>
        <w:t>·are</w:t>
      </w:r>
      <w:r>
        <w:rPr>
          <w:w w:val="90"/>
          <w:sz w:val="21"/>
        </w:rPr>
        <w:t> </w:t>
      </w:r>
      <w:r>
        <w:rPr>
          <w:w w:val="100"/>
          <w:sz w:val="21"/>
        </w:rPr>
        <w:t>spread </w:t>
      </w:r>
      <w:r>
        <w:rPr>
          <w:w w:val="98"/>
          <w:sz w:val="21"/>
        </w:rPr>
        <w:t>uniformly </w:t>
      </w:r>
      <w:r>
        <w:rPr>
          <w:w w:val="97"/>
          <w:sz w:val="21"/>
        </w:rPr>
        <w:t>over </w:t>
      </w:r>
      <w:r>
        <w:rPr>
          <w:w w:val="106"/>
          <w:sz w:val="21"/>
        </w:rPr>
        <w:t>the </w:t>
      </w:r>
      <w:r>
        <w:rPr>
          <w:w w:val="102"/>
          <w:sz w:val="21"/>
        </w:rPr>
        <w:t>year. </w:t>
      </w:r>
      <w:r>
        <w:rPr>
          <w:rFonts w:ascii="Arial" w:hAnsi="Arial"/>
          <w:w w:val="168"/>
          <w:sz w:val="20"/>
        </w:rPr>
        <w:t>It </w:t>
      </w:r>
      <w:r>
        <w:rPr>
          <w:w w:val="103"/>
          <w:sz w:val="21"/>
        </w:rPr>
        <w:t>may </w:t>
      </w:r>
      <w:r>
        <w:rPr>
          <w:w w:val="96"/>
          <w:sz w:val="21"/>
        </w:rPr>
        <w:t>be  </w:t>
      </w:r>
      <w:r>
        <w:rPr>
          <w:w w:val="98"/>
          <w:sz w:val="21"/>
        </w:rPr>
        <w:t>provided,  </w:t>
      </w:r>
      <w:r>
        <w:rPr>
          <w:w w:val="105"/>
          <w:sz w:val="21"/>
        </w:rPr>
        <w:t>for  example,  that  all retirements  at age 65 occur  at  either </w:t>
      </w:r>
      <w:r>
        <w:rPr>
          <w:spacing w:val="19"/>
          <w:w w:val="105"/>
          <w:sz w:val="21"/>
        </w:rPr>
        <w:t> </w:t>
      </w:r>
      <w:r>
        <w:rPr>
          <w:w w:val="105"/>
          <w:sz w:val="21"/>
        </w:rPr>
        <w:t>the</w:t>
      </w:r>
    </w:p>
    <w:p>
      <w:pPr>
        <w:spacing w:line="274" w:lineRule="exact" w:before="0"/>
        <w:ind w:left="320" w:right="0" w:hanging="202"/>
        <w:jc w:val="left"/>
        <w:rPr>
          <w:sz w:val="21"/>
        </w:rPr>
      </w:pPr>
      <w:r>
        <w:rPr>
          <w:sz w:val="21"/>
        </w:rPr>
        <w:t>begin</w:t>
      </w:r>
      <w:r>
        <w:rPr>
          <w:sz w:val="21"/>
          <w:u w:val="thick"/>
        </w:rPr>
        <w:t>ning  </w:t>
      </w:r>
      <w:r>
        <w:rPr>
          <w:sz w:val="21"/>
        </w:rPr>
        <w:t>or the end of  the year of  age. Then </w:t>
      </w:r>
      <w:r>
        <w:rPr>
          <w:i/>
          <w:sz w:val="36"/>
        </w:rPr>
        <w:t>v' </w:t>
      </w:r>
      <w:r>
        <w:rPr>
          <w:sz w:val="21"/>
        </w:rPr>
        <w:t>would not be   a</w:t>
      </w:r>
    </w:p>
    <w:p>
      <w:pPr>
        <w:spacing w:line="198" w:lineRule="exact" w:before="91"/>
        <w:ind w:left="112" w:right="129" w:firstLine="208"/>
        <w:jc w:val="both"/>
        <w:rPr>
          <w:sz w:val="18"/>
        </w:rPr>
      </w:pPr>
      <w:r>
        <w:rPr>
          <w:w w:val="105"/>
          <w:sz w:val="11"/>
        </w:rPr>
        <w:t>1 </w:t>
      </w:r>
      <w:r>
        <w:rPr>
          <w:sz w:val="18"/>
        </w:rPr>
        <w:t>The symbol </w:t>
      </w:r>
      <w:r>
        <w:rPr>
          <w:i/>
          <w:w w:val="95"/>
          <w:sz w:val="18"/>
        </w:rPr>
        <w:t>r% </w:t>
      </w:r>
      <w:r>
        <w:rPr>
          <w:sz w:val="18"/>
        </w:rPr>
        <w:t>has been  used  in Cha.pter  </w:t>
      </w:r>
      <w:r>
        <w:rPr>
          <w:spacing w:val="-18"/>
          <w:sz w:val="18"/>
        </w:rPr>
        <w:t>15  </w:t>
      </w:r>
      <w:r>
        <w:rPr>
          <w:sz w:val="18"/>
        </w:rPr>
        <w:t>to denote  the  proba.bility of  disability. In the present  cha.pter,  it will  a.lwa.ys be used  in the sense  </w:t>
      </w:r>
      <w:r>
        <w:rPr>
          <w:spacing w:val="8"/>
          <w:sz w:val="18"/>
        </w:rPr>
        <w:t> </w:t>
      </w:r>
      <w:r>
        <w:rPr>
          <w:sz w:val="18"/>
        </w:rPr>
        <w:t>of</w:t>
      </w:r>
    </w:p>
    <w:p>
      <w:pPr>
        <w:spacing w:line="205" w:lineRule="exact" w:before="0"/>
        <w:ind w:left="115" w:right="0" w:firstLine="0"/>
        <w:jc w:val="left"/>
        <w:rPr>
          <w:sz w:val="18"/>
        </w:rPr>
      </w:pPr>
      <w:r>
        <w:rPr>
          <w:sz w:val="18"/>
        </w:rPr>
        <w:t>the definition a.hove. ·we sha.11 use </w:t>
      </w:r>
      <w:r>
        <w:rPr>
          <w:i/>
          <w:sz w:val="26"/>
        </w:rPr>
        <w:t>r; </w:t>
      </w:r>
      <w:r>
        <w:rPr>
          <w:sz w:val="18"/>
        </w:rPr>
        <w:t>in Section 9 as the </w:t>
      </w:r>
      <w:r>
        <w:rPr>
          <w:rFonts w:ascii="Arial" w:hAnsi="Arial"/>
          <w:sz w:val="15"/>
        </w:rPr>
        <w:t>ra.te </w:t>
      </w:r>
      <w:r>
        <w:rPr>
          <w:sz w:val="18"/>
        </w:rPr>
        <w:t>of   disa.bility,</w:t>
      </w:r>
    </w:p>
    <w:p>
      <w:pPr>
        <w:spacing w:line="197" w:lineRule="exact" w:before="0"/>
        <w:ind w:left="112" w:right="0" w:firstLine="0"/>
        <w:jc w:val="left"/>
        <w:rPr>
          <w:sz w:val="18"/>
        </w:rPr>
      </w:pPr>
      <w:r>
        <w:rPr>
          <w:sz w:val="18"/>
        </w:rPr>
        <w:t>but  this should  ca.use no  conf usion.</w:t>
      </w:r>
    </w:p>
    <w:p>
      <w:pPr>
        <w:spacing w:after="0" w:line="197" w:lineRule="exact"/>
        <w:jc w:val="left"/>
        <w:rPr>
          <w:sz w:val="18"/>
        </w:rPr>
        <w:sectPr>
          <w:pgSz w:w="7200" w:h="11340"/>
          <w:pgMar w:top="500" w:bottom="280" w:left="680" w:right="560"/>
        </w:sectPr>
      </w:pPr>
    </w:p>
    <w:p>
      <w:pPr>
        <w:tabs>
          <w:tab w:pos="1953" w:val="left" w:leader="none"/>
          <w:tab w:pos="5199" w:val="left" w:leader="none"/>
        </w:tabs>
        <w:spacing w:before="56"/>
        <w:ind w:left="114" w:right="0" w:firstLine="3"/>
        <w:jc w:val="left"/>
        <w:rPr>
          <w:rFonts w:ascii="Arial"/>
          <w:b/>
          <w:sz w:val="19"/>
        </w:rPr>
      </w:pPr>
      <w:r>
        <w:rPr>
          <w:color w:val="010101"/>
          <w:position w:val="1"/>
          <w:sz w:val="19"/>
        </w:rPr>
        <w:t>310</w:t>
        <w:tab/>
      </w:r>
      <w:r>
        <w:rPr>
          <w:b/>
          <w:color w:val="010101"/>
          <w:position w:val="1"/>
          <w:sz w:val="15"/>
        </w:rPr>
        <w:t>A </w:t>
      </w:r>
      <w:r>
        <w:rPr>
          <w:b/>
          <w:color w:val="010101"/>
          <w:spacing w:val="29"/>
          <w:position w:val="1"/>
          <w:sz w:val="15"/>
        </w:rPr>
        <w:t> </w:t>
      </w:r>
      <w:r>
        <w:rPr>
          <w:b/>
          <w:color w:val="010101"/>
          <w:position w:val="1"/>
          <w:sz w:val="15"/>
        </w:rPr>
        <w:t>GENERALIZED </w:t>
      </w:r>
      <w:r>
        <w:rPr>
          <w:b/>
          <w:color w:val="010101"/>
          <w:spacing w:val="35"/>
          <w:position w:val="1"/>
          <w:sz w:val="15"/>
        </w:rPr>
        <w:t> </w:t>
      </w:r>
      <w:r>
        <w:rPr>
          <w:b/>
          <w:color w:val="010101"/>
          <w:position w:val="1"/>
          <w:sz w:val="15"/>
        </w:rPr>
        <w:t>MODEL</w:t>
        <w:tab/>
      </w:r>
      <w:r>
        <w:rPr>
          <w:b/>
          <w:color w:val="010101"/>
          <w:sz w:val="16"/>
        </w:rPr>
        <w:t>[CH.</w:t>
      </w:r>
      <w:r>
        <w:rPr>
          <w:b/>
          <w:color w:val="010101"/>
          <w:spacing w:val="39"/>
          <w:sz w:val="16"/>
        </w:rPr>
        <w:t> </w:t>
      </w:r>
      <w:r>
        <w:rPr>
          <w:rFonts w:ascii="Arial"/>
          <w:b/>
          <w:color w:val="010101"/>
          <w:sz w:val="19"/>
        </w:rPr>
        <w:t>16</w:t>
      </w:r>
    </w:p>
    <w:p>
      <w:pPr>
        <w:pStyle w:val="BodyText"/>
        <w:spacing w:before="6"/>
        <w:rPr>
          <w:rFonts w:ascii="Arial"/>
          <w:b/>
        </w:rPr>
      </w:pPr>
    </w:p>
    <w:p>
      <w:pPr>
        <w:pStyle w:val="BodyText"/>
        <w:ind w:left="114" w:right="218"/>
      </w:pPr>
      <w:r>
        <w:rPr>
          <w:color w:val="010101"/>
          <w:w w:val="105"/>
        </w:rPr>
        <w:t>suitable factor for age 65, and an appropriate modification should be introduced.</w:t>
      </w:r>
    </w:p>
    <w:p>
      <w:pPr>
        <w:pStyle w:val="BodyText"/>
        <w:spacing w:line="244" w:lineRule="auto" w:before="14"/>
        <w:ind w:left="110" w:right="151" w:firstLine="207"/>
        <w:jc w:val="both"/>
      </w:pPr>
      <w:r>
        <w:rPr>
          <w:color w:val="010101"/>
          <w:w w:val="105"/>
        </w:rPr>
        <w:t>Retirement benefits are generally in the form of  life annuities.  In evaluating such benefits, it is convenient to use the annuity  value for retired lives as a weight function. </w:t>
      </w:r>
      <w:r>
        <w:rPr>
          <w:color w:val="010101"/>
          <w:w w:val="105"/>
          <w:sz w:val="21"/>
        </w:rPr>
        <w:t>If </w:t>
      </w:r>
      <w:r>
        <w:rPr>
          <w:color w:val="010101"/>
          <w:w w:val="105"/>
        </w:rPr>
        <w:t>we</w:t>
      </w:r>
      <w:r>
        <w:rPr>
          <w:color w:val="010101"/>
          <w:spacing w:val="29"/>
          <w:w w:val="105"/>
        </w:rPr>
        <w:t> </w:t>
      </w:r>
      <w:r>
        <w:rPr>
          <w:color w:val="010101"/>
          <w:w w:val="105"/>
        </w:rPr>
        <w:t>define</w:t>
      </w:r>
    </w:p>
    <w:p>
      <w:pPr>
        <w:pStyle w:val="BodyText"/>
        <w:spacing w:before="118"/>
        <w:ind w:left="2257"/>
      </w:pPr>
      <w:r>
        <w:rPr>
          <w:position w:val="-5"/>
        </w:rPr>
        <w:drawing>
          <wp:inline distT="0" distB="0" distL="0" distR="0">
            <wp:extent cx="859536" cy="155448"/>
            <wp:effectExtent l="0" t="0" r="0" b="0"/>
            <wp:docPr id="757" name="image387.png" descr=""/>
            <wp:cNvGraphicFramePr>
              <a:graphicFrameLocks noChangeAspect="1"/>
            </wp:cNvGraphicFramePr>
            <a:graphic>
              <a:graphicData uri="http://schemas.openxmlformats.org/drawingml/2006/picture">
                <pic:pic>
                  <pic:nvPicPr>
                    <pic:cNvPr id="758" name="image387.png"/>
                    <pic:cNvPicPr/>
                  </pic:nvPicPr>
                  <pic:blipFill>
                    <a:blip r:embed="rId391" cstate="print"/>
                    <a:stretch>
                      <a:fillRect/>
                    </a:stretch>
                  </pic:blipFill>
                  <pic:spPr>
                    <a:xfrm>
                      <a:off x="0" y="0"/>
                      <a:ext cx="859536" cy="155448"/>
                    </a:xfrm>
                    <a:prstGeom prst="rect">
                      <a:avLst/>
                    </a:prstGeom>
                  </pic:spPr>
                </pic:pic>
              </a:graphicData>
            </a:graphic>
          </wp:inline>
        </w:drawing>
      </w:r>
      <w:r>
        <w:rPr>
          <w:position w:val="-5"/>
        </w:rPr>
      </w:r>
      <w:r>
        <w:rPr/>
        <w:t>                               </w:t>
      </w:r>
      <w:r>
        <w:rPr>
          <w:color w:val="010101"/>
          <w:w w:val="105"/>
        </w:rPr>
        <w:t>(16.10)</w:t>
      </w:r>
    </w:p>
    <w:p>
      <w:pPr>
        <w:pStyle w:val="BodyText"/>
        <w:spacing w:line="247" w:lineRule="auto" w:before="112"/>
        <w:ind w:left="118" w:right="159" w:hanging="8"/>
        <w:jc w:val="both"/>
      </w:pPr>
      <w:r>
        <w:rPr>
          <w:color w:val="010101"/>
          <w:w w:val="105"/>
        </w:rPr>
        <w:t>the present value at age </w:t>
      </w:r>
      <w:r>
        <w:rPr>
          <w:rFonts w:ascii="Arial"/>
          <w:i/>
          <w:color w:val="010101"/>
          <w:w w:val="105"/>
          <w:sz w:val="16"/>
        </w:rPr>
        <w:t>x </w:t>
      </w:r>
      <w:r>
        <w:rPr>
          <w:color w:val="010101"/>
          <w:w w:val="105"/>
        </w:rPr>
        <w:t>of a continuous annuity of 1 commencing at retirement  may  be  evaluated as</w:t>
      </w:r>
    </w:p>
    <w:p>
      <w:pPr>
        <w:pStyle w:val="BodyText"/>
        <w:rPr>
          <w:sz w:val="12"/>
        </w:rPr>
      </w:pPr>
      <w:r>
        <w:rPr/>
        <w:drawing>
          <wp:anchor distT="0" distB="0" distL="0" distR="0" allowOverlap="1" layoutInCell="1" locked="0" behindDoc="0" simplePos="0" relativeHeight="25192">
            <wp:simplePos x="0" y="0"/>
            <wp:positionH relativeFrom="page">
              <wp:posOffset>1353311</wp:posOffset>
            </wp:positionH>
            <wp:positionV relativeFrom="paragraph">
              <wp:posOffset>112775</wp:posOffset>
            </wp:positionV>
            <wp:extent cx="1947672" cy="475488"/>
            <wp:effectExtent l="0" t="0" r="0" b="0"/>
            <wp:wrapTopAndBottom/>
            <wp:docPr id="759" name="image388.png" descr=""/>
            <wp:cNvGraphicFramePr>
              <a:graphicFrameLocks noChangeAspect="1"/>
            </wp:cNvGraphicFramePr>
            <a:graphic>
              <a:graphicData uri="http://schemas.openxmlformats.org/drawingml/2006/picture">
                <pic:pic>
                  <pic:nvPicPr>
                    <pic:cNvPr id="760" name="image388.png"/>
                    <pic:cNvPicPr/>
                  </pic:nvPicPr>
                  <pic:blipFill>
                    <a:blip r:embed="rId392" cstate="print"/>
                    <a:stretch>
                      <a:fillRect/>
                    </a:stretch>
                  </pic:blipFill>
                  <pic:spPr>
                    <a:xfrm>
                      <a:off x="0" y="0"/>
                      <a:ext cx="1947672" cy="475488"/>
                    </a:xfrm>
                    <a:prstGeom prst="rect">
                      <a:avLst/>
                    </a:prstGeom>
                  </pic:spPr>
                </pic:pic>
              </a:graphicData>
            </a:graphic>
          </wp:anchor>
        </w:drawing>
      </w:r>
    </w:p>
    <w:p>
      <w:pPr>
        <w:pStyle w:val="BodyText"/>
        <w:spacing w:line="242" w:lineRule="auto" w:before="93"/>
        <w:ind w:left="110" w:right="140" w:firstLine="3"/>
        <w:jc w:val="both"/>
      </w:pPr>
      <w:r>
        <w:rPr>
          <w:color w:val="010101"/>
          <w:w w:val="105"/>
        </w:rPr>
        <w:t>Other kinds of annuities may be used as weights in </w:t>
      </w:r>
      <w:r>
        <w:rPr>
          <w:color w:val="010101"/>
          <w:spacing w:val="-5"/>
          <w:w w:val="105"/>
        </w:rPr>
        <w:t>(16.10), </w:t>
      </w:r>
      <w:r>
        <w:rPr>
          <w:color w:val="010101"/>
          <w:w w:val="105"/>
        </w:rPr>
        <w:t>de­ pending on the nature of the benefit. For example, if the life  annuity payments were guaranteed for five years, it would be appropriate </w:t>
      </w:r>
      <w:r>
        <w:rPr>
          <w:color w:val="010101"/>
          <w:w w:val="105"/>
          <w:sz w:val="22"/>
        </w:rPr>
        <w:t>to </w:t>
      </w:r>
      <w:r>
        <w:rPr>
          <w:color w:val="010101"/>
          <w:w w:val="105"/>
        </w:rPr>
        <w:t>define </w:t>
      </w:r>
      <w:r>
        <w:rPr>
          <w:color w:val="010101"/>
          <w:w w:val="445"/>
        </w:rPr>
        <w:t>ª</w:t>
      </w:r>
      <w:r>
        <w:rPr>
          <w:color w:val="010101"/>
          <w:spacing w:val="-94"/>
          <w:w w:val="445"/>
        </w:rPr>
        <w:t> </w:t>
      </w:r>
      <w:r>
        <w:rPr>
          <w:color w:val="010101"/>
          <w:w w:val="105"/>
        </w:rPr>
        <w:t>as</w:t>
      </w:r>
    </w:p>
    <w:p>
      <w:pPr>
        <w:spacing w:before="139"/>
        <w:ind w:left="117" w:right="131" w:firstLine="0"/>
        <w:jc w:val="center"/>
        <w:rPr>
          <w:sz w:val="27"/>
        </w:rPr>
      </w:pPr>
      <w:r>
        <w:rPr>
          <w:rFonts w:ascii="Arial" w:hAnsi="Arial"/>
          <w:i/>
          <w:color w:val="010101"/>
          <w:w w:val="102"/>
          <w:sz w:val="24"/>
        </w:rPr>
        <w:t>é;</w:t>
      </w:r>
      <w:r>
        <w:rPr>
          <w:rFonts w:ascii="Arial" w:hAnsi="Arial"/>
          <w:i/>
          <w:color w:val="010101"/>
          <w:spacing w:val="-44"/>
          <w:sz w:val="24"/>
        </w:rPr>
        <w:t> </w:t>
      </w:r>
      <w:r>
        <w:rPr>
          <w:rFonts w:ascii="Arial" w:hAnsi="Arial"/>
          <w:color w:val="010101"/>
          <w:spacing w:val="-38"/>
          <w:w w:val="131"/>
          <w:sz w:val="24"/>
        </w:rPr>
        <w:t>·</w:t>
      </w:r>
      <w:r>
        <w:rPr>
          <w:color w:val="010101"/>
          <w:spacing w:val="-64"/>
          <w:w w:val="85"/>
          <w:sz w:val="27"/>
        </w:rPr>
        <w:t>a</w:t>
      </w:r>
      <w:r>
        <w:rPr>
          <w:color w:val="010101"/>
          <w:spacing w:val="-229"/>
          <w:w w:val="228"/>
          <w:sz w:val="27"/>
        </w:rPr>
        <w:t>:</w:t>
      </w:r>
      <w:r>
        <w:rPr>
          <w:color w:val="010101"/>
          <w:spacing w:val="4"/>
          <w:sz w:val="27"/>
          <w:u w:val="thick" w:color="000000"/>
        </w:rPr>
        <w:t> </w:t>
      </w:r>
      <w:r>
        <w:rPr>
          <w:color w:val="010101"/>
          <w:w w:val="67"/>
          <w:sz w:val="27"/>
          <w:u w:val="thick" w:color="000000"/>
        </w:rPr>
        <w:t>+t:il</w:t>
      </w:r>
      <w:r>
        <w:rPr>
          <w:color w:val="010101"/>
          <w:spacing w:val="8"/>
          <w:sz w:val="27"/>
        </w:rPr>
        <w:t> </w:t>
      </w:r>
      <w:r>
        <w:rPr>
          <w:color w:val="010101"/>
          <w:w w:val="84"/>
          <w:sz w:val="27"/>
        </w:rPr>
        <w:t>.</w:t>
      </w:r>
    </w:p>
    <w:p>
      <w:pPr>
        <w:pStyle w:val="BodyText"/>
        <w:spacing w:line="252" w:lineRule="auto" w:before="114"/>
        <w:ind w:left="110" w:right="148" w:firstLine="193"/>
        <w:jc w:val="both"/>
      </w:pPr>
      <w:r>
        <w:rPr>
          <w:color w:val="010101"/>
          <w:w w:val="105"/>
        </w:rPr>
        <w:t>Pension plans may also provide  annuity  payments  </w:t>
      </w:r>
      <w:r>
        <w:rPr>
          <w:color w:val="010101"/>
          <w:w w:val="105"/>
          <w:sz w:val="19"/>
        </w:rPr>
        <w:t>in </w:t>
      </w:r>
      <w:r>
        <w:rPr>
          <w:color w:val="010101"/>
          <w:w w:val="105"/>
        </w:rPr>
        <w:t>the event of disability. These benefits may  be  evaluated  in  the same way  by</w:t>
      </w:r>
      <w:r>
        <w:rPr>
          <w:color w:val="010101"/>
          <w:spacing w:val="-4"/>
          <w:w w:val="105"/>
        </w:rPr>
        <w:t> </w:t>
      </w:r>
      <w:r>
        <w:rPr>
          <w:color w:val="010101"/>
          <w:w w:val="105"/>
        </w:rPr>
        <w:t>defining</w:t>
      </w:r>
    </w:p>
    <w:p>
      <w:pPr>
        <w:spacing w:after="0" w:line="252" w:lineRule="auto"/>
        <w:jc w:val="both"/>
        <w:sectPr>
          <w:pgSz w:w="7200" w:h="11340"/>
          <w:pgMar w:top="500" w:bottom="280" w:left="680" w:right="560"/>
        </w:sectPr>
      </w:pPr>
    </w:p>
    <w:p>
      <w:pPr>
        <w:pStyle w:val="BodyText"/>
      </w:pPr>
    </w:p>
    <w:p>
      <w:pPr>
        <w:pStyle w:val="BodyText"/>
        <w:spacing w:before="11"/>
        <w:rPr>
          <w:sz w:val="28"/>
        </w:rPr>
      </w:pPr>
    </w:p>
    <w:p>
      <w:pPr>
        <w:pStyle w:val="BodyText"/>
        <w:ind w:left="114" w:right="-11"/>
      </w:pPr>
      <w:r>
        <w:rPr>
          <w:color w:val="010101"/>
          <w:w w:val="105"/>
        </w:rPr>
        <w:t>and</w:t>
      </w:r>
    </w:p>
    <w:p>
      <w:pPr>
        <w:pStyle w:val="BodyText"/>
        <w:spacing w:before="139"/>
        <w:ind w:right="110"/>
        <w:jc w:val="right"/>
      </w:pPr>
      <w:r>
        <w:rPr/>
        <w:br w:type="column"/>
      </w:r>
      <w:r>
        <w:rPr>
          <w:position w:val="-6"/>
        </w:rPr>
        <w:drawing>
          <wp:inline distT="0" distB="0" distL="0" distR="0">
            <wp:extent cx="658368" cy="155448"/>
            <wp:effectExtent l="0" t="0" r="0" b="0"/>
            <wp:docPr id="761" name="image389.png" descr=""/>
            <wp:cNvGraphicFramePr>
              <a:graphicFrameLocks noChangeAspect="1"/>
            </wp:cNvGraphicFramePr>
            <a:graphic>
              <a:graphicData uri="http://schemas.openxmlformats.org/drawingml/2006/picture">
                <pic:pic>
                  <pic:nvPicPr>
                    <pic:cNvPr id="762" name="image389.png"/>
                    <pic:cNvPicPr/>
                  </pic:nvPicPr>
                  <pic:blipFill>
                    <a:blip r:embed="rId393" cstate="print"/>
                    <a:stretch>
                      <a:fillRect/>
                    </a:stretch>
                  </pic:blipFill>
                  <pic:spPr>
                    <a:xfrm>
                      <a:off x="0" y="0"/>
                      <a:ext cx="658368" cy="155448"/>
                    </a:xfrm>
                    <a:prstGeom prst="rect">
                      <a:avLst/>
                    </a:prstGeom>
                  </pic:spPr>
                </pic:pic>
              </a:graphicData>
            </a:graphic>
          </wp:inline>
        </w:drawing>
      </w:r>
      <w:r>
        <w:rPr>
          <w:position w:val="-6"/>
        </w:rPr>
      </w:r>
      <w:r>
        <w:rPr/>
        <w:t>                                   </w:t>
      </w:r>
      <w:r>
        <w:rPr>
          <w:color w:val="010101"/>
        </w:rPr>
        <w:t>(16.11)</w:t>
      </w:r>
      <w:r>
        <w:rPr>
          <w:color w:val="1C1C1C"/>
        </w:rPr>
        <w:t>.</w:t>
      </w:r>
    </w:p>
    <w:p>
      <w:pPr>
        <w:pStyle w:val="BodyText"/>
        <w:spacing w:before="140"/>
        <w:ind w:right="168"/>
        <w:jc w:val="right"/>
      </w:pPr>
      <w:r>
        <w:rPr/>
        <w:drawing>
          <wp:anchor distT="0" distB="0" distL="0" distR="0" allowOverlap="1" layoutInCell="1" locked="0" behindDoc="0" simplePos="0" relativeHeight="25216">
            <wp:simplePos x="0" y="0"/>
            <wp:positionH relativeFrom="page">
              <wp:posOffset>1892807</wp:posOffset>
            </wp:positionH>
            <wp:positionV relativeFrom="paragraph">
              <wp:posOffset>109320</wp:posOffset>
            </wp:positionV>
            <wp:extent cx="850392" cy="155448"/>
            <wp:effectExtent l="0" t="0" r="0" b="0"/>
            <wp:wrapNone/>
            <wp:docPr id="763" name="image390.png" descr=""/>
            <wp:cNvGraphicFramePr>
              <a:graphicFrameLocks noChangeAspect="1"/>
            </wp:cNvGraphicFramePr>
            <a:graphic>
              <a:graphicData uri="http://schemas.openxmlformats.org/drawingml/2006/picture">
                <pic:pic>
                  <pic:nvPicPr>
                    <pic:cNvPr id="764" name="image390.png"/>
                    <pic:cNvPicPr/>
                  </pic:nvPicPr>
                  <pic:blipFill>
                    <a:blip r:embed="rId394" cstate="print"/>
                    <a:stretch>
                      <a:fillRect/>
                    </a:stretch>
                  </pic:blipFill>
                  <pic:spPr>
                    <a:xfrm>
                      <a:off x="0" y="0"/>
                      <a:ext cx="850392" cy="155448"/>
                    </a:xfrm>
                    <a:prstGeom prst="rect">
                      <a:avLst/>
                    </a:prstGeom>
                  </pic:spPr>
                </pic:pic>
              </a:graphicData>
            </a:graphic>
          </wp:anchor>
        </w:drawing>
      </w:r>
      <w:r>
        <w:rPr>
          <w:color w:val="010101"/>
        </w:rPr>
        <w:t>(16.12)</w:t>
      </w:r>
    </w:p>
    <w:p>
      <w:pPr>
        <w:spacing w:after="0"/>
        <w:jc w:val="right"/>
        <w:sectPr>
          <w:type w:val="continuous"/>
          <w:pgSz w:w="7200" w:h="11340"/>
          <w:pgMar w:top="1100" w:bottom="0" w:left="680" w:right="560"/>
          <w:cols w:num="2" w:equalWidth="0">
            <w:col w:w="427" w:space="1760"/>
            <w:col w:w="3773"/>
          </w:cols>
        </w:sectPr>
      </w:pPr>
    </w:p>
    <w:p>
      <w:pPr>
        <w:pStyle w:val="BodyText"/>
        <w:spacing w:before="1"/>
        <w:rPr>
          <w:sz w:val="9"/>
        </w:rPr>
      </w:pPr>
    </w:p>
    <w:p>
      <w:pPr>
        <w:numPr>
          <w:ilvl w:val="0"/>
          <w:numId w:val="143"/>
        </w:numPr>
        <w:tabs>
          <w:tab w:pos="337" w:val="left" w:leader="none"/>
        </w:tabs>
        <w:spacing w:before="75"/>
        <w:ind w:left="336" w:right="0" w:hanging="226"/>
        <w:jc w:val="left"/>
        <w:rPr>
          <w:b/>
          <w:color w:val="010101"/>
          <w:sz w:val="20"/>
        </w:rPr>
      </w:pPr>
      <w:r>
        <w:rPr>
          <w:b/>
          <w:color w:val="010101"/>
          <w:w w:val="110"/>
          <w:sz w:val="20"/>
        </w:rPr>
        <w:t>Pension  benefits based  on</w:t>
      </w:r>
      <w:r>
        <w:rPr>
          <w:b/>
          <w:color w:val="010101"/>
          <w:spacing w:val="-10"/>
          <w:w w:val="110"/>
          <w:sz w:val="20"/>
        </w:rPr>
        <w:t> </w:t>
      </w:r>
      <w:r>
        <w:rPr>
          <w:b/>
          <w:color w:val="010101"/>
          <w:w w:val="110"/>
          <w:sz w:val="20"/>
        </w:rPr>
        <w:t>salary</w:t>
      </w:r>
    </w:p>
    <w:p>
      <w:pPr>
        <w:pStyle w:val="BodyText"/>
        <w:spacing w:line="247" w:lineRule="auto" w:before="86"/>
        <w:ind w:left="114" w:right="142" w:firstLine="193"/>
        <w:jc w:val="both"/>
      </w:pPr>
      <w:r>
        <w:rPr>
          <w:color w:val="010101"/>
          <w:w w:val="105"/>
        </w:rPr>
        <w:t>The amount of the pension benefit to be received by a partici­ pant often depends on his compensation, and it is important  </w:t>
      </w:r>
      <w:r>
        <w:rPr>
          <w:color w:val="010101"/>
          <w:w w:val="105"/>
          <w:sz w:val="22"/>
        </w:rPr>
        <w:t>to </w:t>
      </w:r>
      <w:r>
        <w:rPr>
          <w:color w:val="010101"/>
          <w:w w:val="105"/>
        </w:rPr>
        <w:t>have a means of estimating future changes in  compensation.  This is provided by a salary scale function, either continuous or discrete, depending on whether salary changes are recognized immediately or on sorne fixed date ee.ch year. For simplicity, the definitions below assume a discrete salary scale </w:t>
      </w:r>
      <w:r>
        <w:rPr>
          <w:color w:val="010101"/>
          <w:spacing w:val="8"/>
          <w:w w:val="105"/>
        </w:rPr>
        <w:t> </w:t>
      </w:r>
      <w:r>
        <w:rPr>
          <w:color w:val="010101"/>
          <w:w w:val="105"/>
        </w:rPr>
        <w:t>function.</w:t>
      </w:r>
    </w:p>
    <w:p>
      <w:pPr>
        <w:pStyle w:val="BodyText"/>
        <w:spacing w:line="252" w:lineRule="auto"/>
        <w:ind w:left="135" w:right="148" w:firstLine="178"/>
        <w:jc w:val="both"/>
      </w:pPr>
      <w:r>
        <w:rPr>
          <w:color w:val="010101"/>
          <w:w w:val="105"/>
        </w:rPr>
        <w:t>We shall use the following salary functions, defined for integral ve.lues of </w:t>
      </w:r>
      <w:r>
        <w:rPr>
          <w:rFonts w:ascii="Arial"/>
          <w:i/>
          <w:color w:val="010101"/>
          <w:w w:val="105"/>
          <w:sz w:val="16"/>
        </w:rPr>
        <w:t>x </w:t>
      </w:r>
      <w:r>
        <w:rPr>
          <w:color w:val="010101"/>
          <w:w w:val="105"/>
        </w:rPr>
        <w:t>and y:</w:t>
      </w:r>
    </w:p>
    <w:p>
      <w:pPr>
        <w:pStyle w:val="BodyText"/>
        <w:spacing w:line="259" w:lineRule="auto"/>
        <w:ind w:left="865" w:right="218" w:hanging="709"/>
      </w:pPr>
      <w:r>
        <w:rPr>
          <w:rFonts w:ascii="Arial"/>
          <w:i/>
          <w:color w:val="010101"/>
          <w:w w:val="105"/>
          <w:sz w:val="19"/>
        </w:rPr>
        <w:t>(TPS):i </w:t>
      </w:r>
      <w:r>
        <w:rPr>
          <w:color w:val="010101"/>
          <w:w w:val="105"/>
        </w:rPr>
        <w:t>is total actual salary for service prior  to atte.inment  of  age</w:t>
      </w:r>
      <w:r>
        <w:rPr>
          <w:color w:val="010101"/>
          <w:spacing w:val="11"/>
          <w:w w:val="105"/>
        </w:rPr>
        <w:t> </w:t>
      </w:r>
      <w:r>
        <w:rPr>
          <w:color w:val="010101"/>
          <w:w w:val="105"/>
        </w:rPr>
        <w:t>x;</w:t>
      </w:r>
    </w:p>
    <w:p>
      <w:pPr>
        <w:spacing w:after="0" w:line="259" w:lineRule="auto"/>
        <w:sectPr>
          <w:type w:val="continuous"/>
          <w:pgSz w:w="7200" w:h="11340"/>
          <w:pgMar w:top="1100" w:bottom="0" w:left="680" w:right="560"/>
        </w:sectPr>
      </w:pPr>
    </w:p>
    <w:p>
      <w:pPr>
        <w:tabs>
          <w:tab w:pos="1329" w:val="left" w:leader="none"/>
          <w:tab w:pos="5853" w:val="right" w:leader="none"/>
        </w:tabs>
        <w:spacing w:before="60"/>
        <w:ind w:left="102" w:right="0" w:firstLine="0"/>
        <w:jc w:val="left"/>
        <w:rPr>
          <w:rFonts w:ascii="Arial"/>
          <w:sz w:val="19"/>
        </w:rPr>
      </w:pPr>
      <w:r>
        <w:rPr>
          <w:b/>
          <w:color w:val="010101"/>
          <w:sz w:val="15"/>
        </w:rPr>
        <w:t>SEC. </w:t>
      </w:r>
      <w:r>
        <w:rPr>
          <w:b/>
          <w:color w:val="010101"/>
          <w:spacing w:val="26"/>
          <w:sz w:val="15"/>
        </w:rPr>
        <w:t> </w:t>
      </w:r>
      <w:r>
        <w:rPr>
          <w:rFonts w:ascii="Arial"/>
          <w:b/>
          <w:color w:val="010101"/>
          <w:sz w:val="20"/>
        </w:rPr>
        <w:t>3]</w:t>
        <w:tab/>
      </w:r>
      <w:r>
        <w:rPr>
          <w:b/>
          <w:color w:val="010101"/>
          <w:sz w:val="15"/>
        </w:rPr>
        <w:t>PENSION   BENEFITS   BASED  </w:t>
      </w:r>
      <w:r>
        <w:rPr>
          <w:b/>
          <w:color w:val="010101"/>
          <w:spacing w:val="21"/>
          <w:sz w:val="15"/>
        </w:rPr>
        <w:t> </w:t>
      </w:r>
      <w:r>
        <w:rPr>
          <w:b/>
          <w:color w:val="010101"/>
          <w:sz w:val="15"/>
        </w:rPr>
        <w:t>ON' </w:t>
      </w:r>
      <w:r>
        <w:rPr>
          <w:b/>
          <w:color w:val="010101"/>
          <w:spacing w:val="23"/>
          <w:sz w:val="15"/>
        </w:rPr>
        <w:t> </w:t>
      </w:r>
      <w:r>
        <w:rPr>
          <w:b/>
          <w:color w:val="010101"/>
          <w:sz w:val="15"/>
        </w:rPr>
        <w:t>SALARY</w:t>
      </w:r>
      <w:r>
        <w:rPr>
          <w:rFonts w:ascii="Arial"/>
          <w:color w:val="010101"/>
          <w:sz w:val="19"/>
        </w:rPr>
        <w:tab/>
        <w:t>311</w:t>
      </w:r>
    </w:p>
    <w:p>
      <w:pPr>
        <w:pStyle w:val="BodyText"/>
        <w:spacing w:before="7"/>
        <w:rPr>
          <w:rFonts w:ascii="Arial"/>
          <w:sz w:val="21"/>
        </w:rPr>
      </w:pPr>
    </w:p>
    <w:p>
      <w:pPr>
        <w:pStyle w:val="BodyText"/>
        <w:spacing w:line="252" w:lineRule="auto"/>
        <w:ind w:left="863" w:right="218" w:hanging="715"/>
        <w:rPr>
          <w:rFonts w:ascii="Arial"/>
          <w:i/>
          <w:sz w:val="18"/>
        </w:rPr>
      </w:pPr>
      <w:r>
        <w:rPr>
          <w:rFonts w:ascii="Arial"/>
          <w:b/>
          <w:i/>
          <w:color w:val="010101"/>
          <w:spacing w:val="5"/>
          <w:sz w:val="19"/>
        </w:rPr>
        <w:t>(A </w:t>
      </w:r>
      <w:r>
        <w:rPr>
          <w:b/>
          <w:color w:val="010101"/>
        </w:rPr>
        <w:t>S).s </w:t>
      </w:r>
      <w:r>
        <w:rPr>
          <w:color w:val="010101"/>
        </w:rPr>
        <w:t>is actual salary for service during the year following  attainment  of  age </w:t>
      </w:r>
      <w:r>
        <w:rPr>
          <w:rFonts w:ascii="Arial"/>
          <w:i/>
          <w:color w:val="010101"/>
          <w:sz w:val="18"/>
        </w:rPr>
        <w:t>x</w:t>
      </w:r>
      <w:r>
        <w:rPr>
          <w:rFonts w:ascii="Arial"/>
          <w:i/>
          <w:color w:val="010101"/>
          <w:spacing w:val="33"/>
          <w:sz w:val="18"/>
        </w:rPr>
        <w:t> </w:t>
      </w:r>
      <w:r>
        <w:rPr>
          <w:rFonts w:ascii="Arial"/>
          <w:i/>
          <w:color w:val="010101"/>
          <w:sz w:val="18"/>
        </w:rPr>
        <w:t>;</w:t>
      </w:r>
    </w:p>
    <w:p>
      <w:pPr>
        <w:pStyle w:val="BodyText"/>
        <w:spacing w:line="230" w:lineRule="auto" w:before="7"/>
        <w:ind w:left="863" w:hanging="708"/>
        <w:rPr>
          <w:rFonts w:ascii="Arial"/>
          <w:i/>
          <w:sz w:val="18"/>
        </w:rPr>
      </w:pPr>
      <w:r>
        <w:rPr>
          <w:rFonts w:ascii="Arial"/>
          <w:i/>
          <w:color w:val="010101"/>
          <w:sz w:val="19"/>
        </w:rPr>
        <w:t>(ES) </w:t>
      </w:r>
      <w:r>
        <w:rPr>
          <w:rFonts w:ascii="Arial"/>
          <w:i/>
          <w:color w:val="010101"/>
          <w:position w:val="-3"/>
          <w:sz w:val="11"/>
        </w:rPr>
        <w:t>11 </w:t>
      </w:r>
      <w:r>
        <w:rPr>
          <w:color w:val="010101"/>
        </w:rPr>
        <w:t>is estimated salary for service during the year following attainment  </w:t>
      </w:r>
      <w:r>
        <w:rPr>
          <w:rFonts w:ascii="Arial"/>
          <w:color w:val="010101"/>
          <w:sz w:val="19"/>
        </w:rPr>
        <w:t>of  </w:t>
      </w:r>
      <w:r>
        <w:rPr>
          <w:color w:val="010101"/>
        </w:rPr>
        <w:t>age  </w:t>
      </w:r>
      <w:r>
        <w:rPr>
          <w:rFonts w:ascii="Arial"/>
          <w:i/>
          <w:color w:val="010101"/>
          <w:sz w:val="18"/>
        </w:rPr>
        <w:t>y ;</w:t>
      </w:r>
    </w:p>
    <w:p>
      <w:pPr>
        <w:pStyle w:val="BodyText"/>
        <w:tabs>
          <w:tab w:pos="859" w:val="left" w:leader="none"/>
        </w:tabs>
        <w:spacing w:before="11"/>
        <w:ind w:left="123"/>
      </w:pPr>
      <w:r>
        <w:rPr>
          <w:rFonts w:ascii="Arial"/>
          <w:i/>
          <w:color w:val="010101"/>
          <w:spacing w:val="-5"/>
          <w:w w:val="105"/>
        </w:rPr>
        <w:t>8</w:t>
      </w:r>
      <w:r>
        <w:rPr>
          <w:i/>
          <w:color w:val="010101"/>
          <w:spacing w:val="-5"/>
          <w:w w:val="105"/>
          <w:position w:val="-3"/>
          <w:sz w:val="11"/>
        </w:rPr>
        <w:t>11</w:t>
        <w:tab/>
      </w:r>
      <w:r>
        <w:rPr>
          <w:color w:val="010101"/>
          <w:w w:val="105"/>
        </w:rPr>
        <w:t>is a salary scale function  such </w:t>
      </w:r>
      <w:r>
        <w:rPr>
          <w:color w:val="010101"/>
          <w:spacing w:val="28"/>
          <w:w w:val="105"/>
        </w:rPr>
        <w:t> </w:t>
      </w:r>
      <w:r>
        <w:rPr>
          <w:color w:val="010101"/>
          <w:w w:val="105"/>
        </w:rPr>
        <w:t>that</w:t>
      </w:r>
    </w:p>
    <w:p>
      <w:pPr>
        <w:tabs>
          <w:tab w:pos="965" w:val="left" w:leader="none"/>
          <w:tab w:pos="2078" w:val="left" w:leader="none"/>
        </w:tabs>
        <w:spacing w:before="189"/>
        <w:ind w:left="0" w:right="60" w:firstLine="0"/>
        <w:jc w:val="center"/>
        <w:rPr>
          <w:rFonts w:ascii="Arial"/>
          <w:i/>
          <w:sz w:val="18"/>
        </w:rPr>
      </w:pPr>
      <w:r>
        <w:rPr>
          <w:rFonts w:ascii="Arial"/>
          <w:i/>
          <w:color w:val="010101"/>
          <w:w w:val="79"/>
          <w:position w:val="1"/>
          <w:sz w:val="20"/>
        </w:rPr>
        <w:t>(</w:t>
      </w:r>
      <w:r>
        <w:rPr>
          <w:rFonts w:ascii="Arial"/>
          <w:i/>
          <w:color w:val="010101"/>
          <w:spacing w:val="-27"/>
          <w:position w:val="1"/>
          <w:sz w:val="20"/>
        </w:rPr>
        <w:t> </w:t>
      </w:r>
      <w:r>
        <w:rPr>
          <w:rFonts w:ascii="Arial"/>
          <w:i/>
          <w:color w:val="010101"/>
          <w:w w:val="97"/>
          <w:position w:val="1"/>
          <w:sz w:val="20"/>
        </w:rPr>
        <w:t>ES</w:t>
      </w:r>
      <w:r>
        <w:rPr>
          <w:rFonts w:ascii="Arial"/>
          <w:i/>
          <w:color w:val="010101"/>
          <w:spacing w:val="-26"/>
          <w:position w:val="1"/>
          <w:sz w:val="20"/>
        </w:rPr>
        <w:t> </w:t>
      </w:r>
      <w:r>
        <w:rPr>
          <w:rFonts w:ascii="Arial"/>
          <w:i/>
          <w:color w:val="010101"/>
          <w:w w:val="68"/>
          <w:position w:val="1"/>
          <w:sz w:val="20"/>
        </w:rPr>
        <w:t>)</w:t>
      </w:r>
      <w:r>
        <w:rPr>
          <w:rFonts w:ascii="Arial"/>
          <w:i/>
          <w:color w:val="010101"/>
          <w:spacing w:val="-34"/>
          <w:position w:val="1"/>
          <w:sz w:val="20"/>
        </w:rPr>
        <w:t> </w:t>
      </w:r>
      <w:r>
        <w:rPr>
          <w:rFonts w:ascii="Arial"/>
          <w:i/>
          <w:color w:val="010101"/>
          <w:w w:val="63"/>
          <w:sz w:val="11"/>
        </w:rPr>
        <w:t>11</w:t>
      </w:r>
      <w:r>
        <w:rPr>
          <w:rFonts w:ascii="Arial"/>
          <w:i/>
          <w:color w:val="010101"/>
          <w:sz w:val="11"/>
        </w:rPr>
        <w:t>  </w:t>
      </w:r>
      <w:r>
        <w:rPr>
          <w:rFonts w:ascii="Arial"/>
          <w:i/>
          <w:color w:val="010101"/>
          <w:spacing w:val="9"/>
          <w:sz w:val="11"/>
        </w:rPr>
        <w:t> </w:t>
      </w:r>
      <w:r>
        <w:rPr>
          <w:color w:val="010101"/>
          <w:w w:val="104"/>
          <w:position w:val="1"/>
          <w:sz w:val="23"/>
        </w:rPr>
        <w:t>=</w:t>
      </w:r>
      <w:r>
        <w:rPr>
          <w:color w:val="010101"/>
          <w:position w:val="1"/>
          <w:sz w:val="23"/>
        </w:rPr>
        <w:tab/>
      </w:r>
      <w:r>
        <w:rPr>
          <w:color w:val="010101"/>
          <w:spacing w:val="-22"/>
          <w:w w:val="269"/>
          <w:position w:val="1"/>
          <w:sz w:val="23"/>
        </w:rPr>
        <w:t>:</w:t>
      </w:r>
      <w:r>
        <w:rPr>
          <w:rFonts w:ascii="Arial"/>
          <w:i/>
          <w:color w:val="010101"/>
          <w:w w:val="79"/>
          <w:position w:val="1"/>
          <w:sz w:val="20"/>
        </w:rPr>
        <w:t>(</w:t>
      </w:r>
      <w:r>
        <w:rPr>
          <w:rFonts w:ascii="Arial"/>
          <w:i/>
          <w:color w:val="010101"/>
          <w:spacing w:val="-27"/>
          <w:position w:val="1"/>
          <w:sz w:val="20"/>
        </w:rPr>
        <w:t> </w:t>
      </w:r>
      <w:r>
        <w:rPr>
          <w:rFonts w:ascii="Arial"/>
          <w:i/>
          <w:color w:val="010101"/>
          <w:w w:val="97"/>
          <w:position w:val="1"/>
          <w:sz w:val="20"/>
        </w:rPr>
        <w:t>AS</w:t>
      </w:r>
      <w:r>
        <w:rPr>
          <w:rFonts w:ascii="Arial"/>
          <w:i/>
          <w:color w:val="010101"/>
          <w:spacing w:val="-23"/>
          <w:position w:val="1"/>
          <w:sz w:val="20"/>
        </w:rPr>
        <w:t> </w:t>
      </w:r>
      <w:r>
        <w:rPr>
          <w:rFonts w:ascii="Arial"/>
          <w:i/>
          <w:color w:val="010101"/>
          <w:w w:val="58"/>
          <w:position w:val="1"/>
          <w:sz w:val="20"/>
        </w:rPr>
        <w:t>)</w:t>
      </w:r>
      <w:r>
        <w:rPr>
          <w:rFonts w:ascii="Arial"/>
          <w:i/>
          <w:color w:val="010101"/>
          <w:w w:val="58"/>
          <w:position w:val="1"/>
          <w:sz w:val="20"/>
        </w:rPr>
        <w:t>:r</w:t>
      </w:r>
      <w:r>
        <w:rPr>
          <w:rFonts w:ascii="Arial"/>
          <w:i/>
          <w:color w:val="010101"/>
          <w:spacing w:val="-17"/>
          <w:position w:val="1"/>
          <w:sz w:val="20"/>
        </w:rPr>
        <w:t> </w:t>
      </w:r>
      <w:r>
        <w:rPr>
          <w:rFonts w:ascii="Arial"/>
          <w:i/>
          <w:color w:val="010101"/>
          <w:w w:val="92"/>
          <w:position w:val="1"/>
          <w:sz w:val="20"/>
        </w:rPr>
        <w:t>,</w:t>
      </w:r>
      <w:r>
        <w:rPr>
          <w:rFonts w:ascii="Arial"/>
          <w:i/>
          <w:color w:val="010101"/>
          <w:position w:val="1"/>
          <w:sz w:val="20"/>
        </w:rPr>
        <w:tab/>
      </w:r>
      <w:r>
        <w:rPr>
          <w:i/>
          <w:color w:val="010101"/>
          <w:w w:val="57"/>
          <w:position w:val="2"/>
          <w:sz w:val="27"/>
        </w:rPr>
        <w:t>Y</w:t>
      </w:r>
      <w:r>
        <w:rPr>
          <w:i/>
          <w:color w:val="010101"/>
          <w:position w:val="2"/>
          <w:sz w:val="27"/>
        </w:rPr>
        <w:t> </w:t>
      </w:r>
      <w:r>
        <w:rPr>
          <w:i/>
          <w:color w:val="010101"/>
          <w:spacing w:val="-32"/>
          <w:position w:val="2"/>
          <w:sz w:val="27"/>
        </w:rPr>
        <w:t> </w:t>
      </w:r>
      <w:r>
        <w:rPr>
          <w:i/>
          <w:color w:val="010101"/>
          <w:w w:val="93"/>
          <w:position w:val="2"/>
          <w:sz w:val="27"/>
        </w:rPr>
        <w:t>&gt;</w:t>
      </w:r>
      <w:r>
        <w:rPr>
          <w:i/>
          <w:color w:val="010101"/>
          <w:spacing w:val="-6"/>
          <w:position w:val="2"/>
          <w:sz w:val="27"/>
        </w:rPr>
        <w:t> </w:t>
      </w:r>
      <w:r>
        <w:rPr>
          <w:rFonts w:ascii="Arial"/>
          <w:i/>
          <w:color w:val="010101"/>
          <w:w w:val="102"/>
          <w:position w:val="2"/>
          <w:sz w:val="18"/>
        </w:rPr>
        <w:t>x</w:t>
      </w:r>
      <w:r>
        <w:rPr>
          <w:rFonts w:ascii="Arial"/>
          <w:i/>
          <w:color w:val="010101"/>
          <w:spacing w:val="-20"/>
          <w:position w:val="2"/>
          <w:sz w:val="18"/>
        </w:rPr>
        <w:t> </w:t>
      </w:r>
      <w:r>
        <w:rPr>
          <w:rFonts w:ascii="Arial"/>
          <w:i/>
          <w:color w:val="010101"/>
          <w:w w:val="64"/>
          <w:position w:val="2"/>
          <w:sz w:val="18"/>
        </w:rPr>
        <w:t>;</w:t>
      </w:r>
    </w:p>
    <w:p>
      <w:pPr>
        <w:pStyle w:val="BodyText"/>
        <w:spacing w:line="244" w:lineRule="auto" w:before="215"/>
        <w:ind w:left="935" w:right="117" w:hanging="783"/>
        <w:jc w:val="both"/>
      </w:pPr>
      <w:r>
        <w:rPr>
          <w:rFonts w:ascii="Arial" w:hAnsi="Arial"/>
          <w:color w:val="010101"/>
          <w:sz w:val="19"/>
        </w:rPr>
        <w:t>(ES)</w:t>
      </w:r>
      <w:r>
        <w:rPr>
          <w:rFonts w:ascii="Arial" w:hAnsi="Arial"/>
          <w:color w:val="010101"/>
          <w:position w:val="-3"/>
          <w:sz w:val="11"/>
        </w:rPr>
        <w:t>11 </w:t>
      </w:r>
      <w:r>
        <w:rPr>
          <w:color w:val="010101"/>
          <w:w w:val="90"/>
          <w:sz w:val="19"/>
        </w:rPr>
        <w:t>:;;;J  </w:t>
      </w:r>
      <w:r>
        <w:rPr>
          <w:color w:val="010101"/>
        </w:rPr>
        <w:t>is  estimated  average  annual  salary </w:t>
      </w:r>
      <w:r>
        <w:rPr>
          <w:color w:val="494949"/>
          <w:w w:val="90"/>
        </w:rPr>
        <w:t>. </w:t>
      </w:r>
      <w:r>
        <w:rPr>
          <w:color w:val="010101"/>
        </w:rPr>
        <w:t>for  service   during the </w:t>
      </w:r>
      <w:r>
        <w:rPr>
          <w:rFonts w:ascii="Arial" w:hAnsi="Arial"/>
          <w:i/>
          <w:color w:val="010101"/>
          <w:sz w:val="18"/>
        </w:rPr>
        <w:t>m </w:t>
      </w:r>
      <w:r>
        <w:rPr>
          <w:color w:val="010101"/>
        </w:rPr>
        <w:t>years preceding the occurrence, in  the year  follow­ ing attainment of age </w:t>
      </w:r>
      <w:r>
        <w:rPr>
          <w:i/>
          <w:color w:val="010101"/>
        </w:rPr>
        <w:t>y, </w:t>
      </w:r>
      <w:r>
        <w:rPr>
          <w:color w:val="010101"/>
        </w:rPr>
        <w:t>of a decrementa}  event  (retire­ ment,   disability,   etc.) ;</w:t>
      </w:r>
    </w:p>
    <w:p>
      <w:pPr>
        <w:pStyle w:val="BodyText"/>
        <w:tabs>
          <w:tab w:pos="942" w:val="left" w:leader="none"/>
        </w:tabs>
        <w:spacing w:line="212" w:lineRule="exact"/>
        <w:ind w:left="113"/>
      </w:pPr>
      <w:r>
        <w:rPr>
          <w:i/>
          <w:color w:val="010101"/>
          <w:w w:val="95"/>
          <w:sz w:val="22"/>
        </w:rPr>
        <w:t>mZ</w:t>
      </w:r>
      <w:r>
        <w:rPr>
          <w:i/>
          <w:color w:val="010101"/>
          <w:spacing w:val="-46"/>
          <w:w w:val="95"/>
          <w:sz w:val="22"/>
        </w:rPr>
        <w:t> </w:t>
      </w:r>
      <w:r>
        <w:rPr>
          <w:i/>
          <w:color w:val="010101"/>
          <w:w w:val="95"/>
          <w:position w:val="-3"/>
          <w:sz w:val="11"/>
        </w:rPr>
        <w:t>11</w:t>
        <w:tab/>
      </w:r>
      <w:r>
        <w:rPr>
          <w:color w:val="010101"/>
        </w:rPr>
        <w:t>is  a  salary  scale  function  such</w:t>
      </w:r>
      <w:r>
        <w:rPr>
          <w:color w:val="010101"/>
          <w:spacing w:val="9"/>
        </w:rPr>
        <w:t> </w:t>
      </w:r>
      <w:r>
        <w:rPr>
          <w:color w:val="010101"/>
        </w:rPr>
        <w:t>that</w:t>
      </w:r>
    </w:p>
    <w:p>
      <w:pPr>
        <w:tabs>
          <w:tab w:pos="2383" w:val="left" w:leader="none"/>
          <w:tab w:pos="2813" w:val="left" w:leader="none"/>
        </w:tabs>
        <w:spacing w:line="596" w:lineRule="exact" w:before="0"/>
        <w:ind w:left="0" w:right="38" w:firstLine="0"/>
        <w:jc w:val="center"/>
        <w:rPr>
          <w:i/>
          <w:sz w:val="21"/>
        </w:rPr>
      </w:pPr>
      <w:r>
        <w:rPr>
          <w:rFonts w:ascii="Arial" w:hAnsi="Arial"/>
          <w:i/>
          <w:color w:val="010101"/>
          <w:w w:val="73"/>
          <w:sz w:val="20"/>
        </w:rPr>
        <w:t>(</w:t>
      </w:r>
      <w:r>
        <w:rPr>
          <w:rFonts w:ascii="Arial" w:hAnsi="Arial"/>
          <w:i/>
          <w:color w:val="010101"/>
          <w:spacing w:val="-19"/>
          <w:sz w:val="20"/>
        </w:rPr>
        <w:t> </w:t>
      </w:r>
      <w:r>
        <w:rPr>
          <w:rFonts w:ascii="Arial" w:hAnsi="Arial"/>
          <w:i/>
          <w:color w:val="010101"/>
          <w:w w:val="95"/>
          <w:sz w:val="20"/>
        </w:rPr>
        <w:t>ES</w:t>
      </w:r>
      <w:r>
        <w:rPr>
          <w:rFonts w:ascii="Arial" w:hAnsi="Arial"/>
          <w:i/>
          <w:color w:val="010101"/>
          <w:spacing w:val="-28"/>
          <w:sz w:val="20"/>
        </w:rPr>
        <w:t> </w:t>
      </w:r>
      <w:r>
        <w:rPr>
          <w:rFonts w:ascii="Arial" w:hAnsi="Arial"/>
          <w:i/>
          <w:color w:val="010101"/>
          <w:w w:val="60"/>
          <w:sz w:val="20"/>
        </w:rPr>
        <w:t>)</w:t>
      </w:r>
      <w:r>
        <w:rPr>
          <w:rFonts w:ascii="Arial" w:hAnsi="Arial"/>
          <w:i/>
          <w:color w:val="010101"/>
          <w:w w:val="60"/>
          <w:sz w:val="20"/>
        </w:rPr>
        <w:t>,.,:;;;¡</w:t>
      </w:r>
      <w:r>
        <w:rPr>
          <w:rFonts w:ascii="Arial" w:hAnsi="Arial"/>
          <w:i/>
          <w:color w:val="010101"/>
          <w:sz w:val="20"/>
        </w:rPr>
        <w:t> </w:t>
      </w:r>
      <w:r>
        <w:rPr>
          <w:rFonts w:ascii="Arial" w:hAnsi="Arial"/>
          <w:i/>
          <w:color w:val="010101"/>
          <w:spacing w:val="8"/>
          <w:sz w:val="20"/>
        </w:rPr>
        <w:t> </w:t>
      </w:r>
      <w:r>
        <w:rPr>
          <w:color w:val="010101"/>
          <w:w w:val="101"/>
          <w:sz w:val="23"/>
        </w:rPr>
        <w:t>=</w:t>
      </w:r>
      <w:r>
        <w:rPr>
          <w:color w:val="010101"/>
          <w:sz w:val="23"/>
        </w:rPr>
        <w:t> </w:t>
      </w:r>
      <w:r>
        <w:rPr>
          <w:color w:val="010101"/>
          <w:spacing w:val="-21"/>
          <w:sz w:val="23"/>
        </w:rPr>
        <w:t> </w:t>
      </w:r>
      <w:r>
        <w:rPr>
          <w:rFonts w:ascii="Arial" w:hAnsi="Arial"/>
          <w:i/>
          <w:color w:val="010101"/>
          <w:spacing w:val="49"/>
          <w:w w:val="115"/>
          <w:sz w:val="56"/>
        </w:rPr>
        <w:t>f</w:t>
      </w:r>
      <w:r>
        <w:rPr>
          <w:rFonts w:ascii="Arial" w:hAnsi="Arial"/>
          <w:i/>
          <w:color w:val="010101"/>
          <w:w w:val="70"/>
          <w:position w:val="10"/>
          <w:sz w:val="10"/>
        </w:rPr>
        <w:t>11</w:t>
      </w:r>
      <w:r>
        <w:rPr>
          <w:rFonts w:ascii="Arial" w:hAnsi="Arial"/>
          <w:i/>
          <w:color w:val="010101"/>
          <w:position w:val="10"/>
          <w:sz w:val="10"/>
        </w:rPr>
        <w:t>  </w:t>
      </w:r>
      <w:r>
        <w:rPr>
          <w:rFonts w:ascii="Arial" w:hAnsi="Arial"/>
          <w:i/>
          <w:color w:val="010101"/>
          <w:spacing w:val="-12"/>
          <w:position w:val="10"/>
          <w:sz w:val="10"/>
        </w:rPr>
        <w:t> </w:t>
      </w:r>
      <w:r>
        <w:rPr>
          <w:rFonts w:ascii="Arial" w:hAnsi="Arial"/>
          <w:color w:val="010101"/>
          <w:spacing w:val="16"/>
          <w:w w:val="115"/>
          <w:sz w:val="18"/>
        </w:rPr>
        <w:t>(</w:t>
      </w:r>
      <w:r>
        <w:rPr>
          <w:rFonts w:ascii="Arial" w:hAnsi="Arial"/>
          <w:color w:val="010101"/>
          <w:w w:val="105"/>
          <w:sz w:val="18"/>
        </w:rPr>
        <w:t>AS</w:t>
      </w:r>
      <w:r>
        <w:rPr>
          <w:rFonts w:ascii="Arial" w:hAnsi="Arial"/>
          <w:color w:val="010101"/>
          <w:w w:val="105"/>
          <w:sz w:val="18"/>
        </w:rPr>
        <w:t>)</w:t>
      </w:r>
      <w:r>
        <w:rPr>
          <w:rFonts w:ascii="Arial" w:hAnsi="Arial"/>
          <w:color w:val="010101"/>
          <w:w w:val="105"/>
          <w:sz w:val="18"/>
        </w:rPr>
        <w:t>:r,</w:t>
      </w:r>
      <w:r>
        <w:rPr>
          <w:rFonts w:ascii="Arial" w:hAnsi="Arial"/>
          <w:color w:val="010101"/>
          <w:sz w:val="18"/>
        </w:rPr>
        <w:tab/>
      </w:r>
      <w:r>
        <w:rPr>
          <w:i/>
          <w:color w:val="010101"/>
          <w:w w:val="79"/>
          <w:sz w:val="21"/>
        </w:rPr>
        <w:t>y</w:t>
      </w:r>
      <w:r>
        <w:rPr>
          <w:i/>
          <w:color w:val="010101"/>
          <w:sz w:val="21"/>
        </w:rPr>
        <w:tab/>
      </w:r>
      <w:r>
        <w:rPr>
          <w:i/>
          <w:color w:val="010101"/>
          <w:w w:val="95"/>
          <w:sz w:val="21"/>
        </w:rPr>
        <w:t>x</w:t>
      </w:r>
      <w:r>
        <w:rPr>
          <w:i/>
          <w:color w:val="010101"/>
          <w:sz w:val="21"/>
        </w:rPr>
        <w:t> </w:t>
      </w:r>
      <w:r>
        <w:rPr>
          <w:i/>
          <w:color w:val="010101"/>
          <w:spacing w:val="-8"/>
          <w:sz w:val="21"/>
        </w:rPr>
        <w:t> </w:t>
      </w:r>
      <w:r>
        <w:rPr>
          <w:i/>
          <w:color w:val="010101"/>
          <w:w w:val="136"/>
          <w:sz w:val="21"/>
        </w:rPr>
        <w:t>+</w:t>
      </w:r>
      <w:r>
        <w:rPr>
          <w:i/>
          <w:color w:val="010101"/>
          <w:spacing w:val="-3"/>
          <w:sz w:val="21"/>
        </w:rPr>
        <w:t> </w:t>
      </w:r>
      <w:r>
        <w:rPr>
          <w:i/>
          <w:color w:val="010101"/>
          <w:w w:val="105"/>
          <w:sz w:val="21"/>
        </w:rPr>
        <w:t>m.</w:t>
      </w:r>
    </w:p>
    <w:p>
      <w:pPr>
        <w:pStyle w:val="BodyText"/>
        <w:spacing w:before="162"/>
        <w:ind w:left="116"/>
      </w:pPr>
      <w:r>
        <w:rPr>
          <w:color w:val="010101"/>
          <w:w w:val="105"/>
        </w:rPr>
        <w:t>Then</w:t>
      </w:r>
    </w:p>
    <w:p>
      <w:pPr>
        <w:pStyle w:val="BodyText"/>
        <w:spacing w:before="6"/>
        <w:rPr>
          <w:sz w:val="11"/>
        </w:rPr>
      </w:pPr>
      <w:r>
        <w:rPr/>
        <w:drawing>
          <wp:anchor distT="0" distB="0" distL="0" distR="0" allowOverlap="1" layoutInCell="1" locked="0" behindDoc="0" simplePos="0" relativeHeight="25240">
            <wp:simplePos x="0" y="0"/>
            <wp:positionH relativeFrom="page">
              <wp:posOffset>676655</wp:posOffset>
            </wp:positionH>
            <wp:positionV relativeFrom="paragraph">
              <wp:posOffset>109216</wp:posOffset>
            </wp:positionV>
            <wp:extent cx="3300984" cy="265175"/>
            <wp:effectExtent l="0" t="0" r="0" b="0"/>
            <wp:wrapTopAndBottom/>
            <wp:docPr id="765" name="image391.png" descr=""/>
            <wp:cNvGraphicFramePr>
              <a:graphicFrameLocks noChangeAspect="1"/>
            </wp:cNvGraphicFramePr>
            <a:graphic>
              <a:graphicData uri="http://schemas.openxmlformats.org/drawingml/2006/picture">
                <pic:pic>
                  <pic:nvPicPr>
                    <pic:cNvPr id="766" name="image391.png"/>
                    <pic:cNvPicPr/>
                  </pic:nvPicPr>
                  <pic:blipFill>
                    <a:blip r:embed="rId395" cstate="print"/>
                    <a:stretch>
                      <a:fillRect/>
                    </a:stretch>
                  </pic:blipFill>
                  <pic:spPr>
                    <a:xfrm>
                      <a:off x="0" y="0"/>
                      <a:ext cx="3300984" cy="265175"/>
                    </a:xfrm>
                    <a:prstGeom prst="rect">
                      <a:avLst/>
                    </a:prstGeom>
                  </pic:spPr>
                </pic:pic>
              </a:graphicData>
            </a:graphic>
          </wp:anchor>
        </w:drawing>
      </w:r>
    </w:p>
    <w:p>
      <w:pPr>
        <w:pStyle w:val="BodyText"/>
        <w:spacing w:line="226" w:lineRule="exact" w:before="115"/>
        <w:ind w:left="109"/>
      </w:pPr>
      <w:r>
        <w:rPr>
          <w:color w:val="010101"/>
          <w:w w:val="105"/>
        </w:rPr>
        <w:t>Since  </w:t>
      </w:r>
      <w:r>
        <w:rPr>
          <w:rFonts w:ascii="Arial"/>
          <w:i/>
          <w:color w:val="010101"/>
          <w:w w:val="105"/>
          <w:sz w:val="18"/>
        </w:rPr>
        <w:t>m  </w:t>
      </w:r>
      <w:r>
        <w:rPr>
          <w:color w:val="010101"/>
          <w:w w:val="105"/>
        </w:rPr>
        <w:t>is  generally  a  constant  for  any  one  plan,  the subscript</w:t>
      </w:r>
    </w:p>
    <w:p>
      <w:pPr>
        <w:spacing w:line="258" w:lineRule="exact" w:before="0"/>
        <w:ind w:left="123" w:right="0" w:firstLine="0"/>
        <w:jc w:val="left"/>
        <w:rPr>
          <w:sz w:val="20"/>
        </w:rPr>
      </w:pPr>
      <w:r>
        <w:rPr>
          <w:rFonts w:ascii="Arial"/>
          <w:i/>
          <w:color w:val="010101"/>
          <w:sz w:val="17"/>
        </w:rPr>
        <w:t>m </w:t>
      </w:r>
      <w:r>
        <w:rPr>
          <w:color w:val="010101"/>
          <w:sz w:val="20"/>
        </w:rPr>
        <w:t>in </w:t>
      </w:r>
      <w:r>
        <w:rPr>
          <w:i/>
          <w:color w:val="010101"/>
          <w:sz w:val="22"/>
        </w:rPr>
        <w:t>mZ</w:t>
      </w:r>
      <w:r>
        <w:rPr>
          <w:i/>
          <w:color w:val="010101"/>
          <w:position w:val="-3"/>
          <w:sz w:val="11"/>
        </w:rPr>
        <w:t>11  </w:t>
      </w:r>
      <w:r>
        <w:rPr>
          <w:color w:val="010101"/>
          <w:sz w:val="20"/>
        </w:rPr>
        <w:t>is of tan suppressed.</w:t>
      </w:r>
    </w:p>
    <w:p>
      <w:pPr>
        <w:pStyle w:val="BodyText"/>
        <w:spacing w:line="242" w:lineRule="auto"/>
        <w:ind w:left="116" w:right="98" w:firstLine="193"/>
        <w:jc w:val="both"/>
      </w:pPr>
      <w:r>
        <w:rPr>
          <w:color w:val="010101"/>
          <w:w w:val="110"/>
        </w:rPr>
        <w:t>The magnitude </w:t>
      </w:r>
      <w:r>
        <w:rPr>
          <w:color w:val="010101"/>
          <w:w w:val="95"/>
        </w:rPr>
        <w:t>of </w:t>
      </w:r>
      <w:r>
        <w:rPr>
          <w:color w:val="010101"/>
          <w:w w:val="110"/>
        </w:rPr>
        <w:t>a particular value </w:t>
      </w:r>
      <w:r>
        <w:rPr>
          <w:color w:val="010101"/>
          <w:w w:val="95"/>
        </w:rPr>
        <w:t>of </w:t>
      </w:r>
      <w:r>
        <w:rPr>
          <w:rFonts w:ascii="Arial"/>
          <w:i/>
          <w:color w:val="010101"/>
          <w:w w:val="95"/>
        </w:rPr>
        <w:t>8</w:t>
      </w:r>
      <w:r>
        <w:rPr>
          <w:rFonts w:ascii="Arial"/>
          <w:i/>
          <w:color w:val="010101"/>
          <w:w w:val="95"/>
          <w:position w:val="-3"/>
          <w:sz w:val="10"/>
        </w:rPr>
        <w:t>11 </w:t>
      </w:r>
      <w:r>
        <w:rPr>
          <w:rFonts w:ascii="Arial"/>
          <w:color w:val="010101"/>
          <w:w w:val="275"/>
          <w:sz w:val="10"/>
        </w:rPr>
        <w:t>, </w:t>
      </w:r>
      <w:r>
        <w:rPr>
          <w:color w:val="010101"/>
          <w:w w:val="110"/>
        </w:rPr>
        <w:t>or </w:t>
      </w:r>
      <w:r>
        <w:rPr>
          <w:color w:val="010101"/>
          <w:w w:val="95"/>
        </w:rPr>
        <w:t>of </w:t>
      </w:r>
      <w:r>
        <w:rPr>
          <w:rFonts w:ascii="Arial"/>
          <w:i/>
          <w:color w:val="010101"/>
          <w:w w:val="95"/>
        </w:rPr>
        <w:t>Z</w:t>
      </w:r>
      <w:r>
        <w:rPr>
          <w:rFonts w:ascii="Arial"/>
          <w:i/>
          <w:color w:val="010101"/>
          <w:w w:val="95"/>
          <w:position w:val="-3"/>
          <w:sz w:val="10"/>
        </w:rPr>
        <w:t>11 </w:t>
      </w:r>
      <w:r>
        <w:rPr>
          <w:rFonts w:ascii="Arial"/>
          <w:color w:val="010101"/>
          <w:w w:val="275"/>
          <w:sz w:val="10"/>
        </w:rPr>
        <w:t>, </w:t>
      </w:r>
      <w:r>
        <w:rPr>
          <w:color w:val="010101"/>
          <w:w w:val="110"/>
        </w:rPr>
        <w:t>is not in itself significant, any more than is a value of </w:t>
      </w:r>
      <w:r>
        <w:rPr>
          <w:rFonts w:ascii="Arial"/>
          <w:i/>
          <w:color w:val="010101"/>
          <w:w w:val="95"/>
        </w:rPr>
        <w:t>l:r </w:t>
      </w:r>
      <w:r>
        <w:rPr>
          <w:color w:val="010101"/>
          <w:w w:val="110"/>
        </w:rPr>
        <w:t>without reference to the radix </w:t>
      </w:r>
      <w:r>
        <w:rPr>
          <w:color w:val="010101"/>
          <w:w w:val="95"/>
        </w:rPr>
        <w:t>of </w:t>
      </w:r>
      <w:r>
        <w:rPr>
          <w:color w:val="010101"/>
          <w:w w:val="110"/>
        </w:rPr>
        <w:t>the table. </w:t>
      </w:r>
      <w:r>
        <w:rPr>
          <w:color w:val="010101"/>
          <w:w w:val="110"/>
          <w:sz w:val="21"/>
        </w:rPr>
        <w:t>It </w:t>
      </w:r>
      <w:r>
        <w:rPr>
          <w:color w:val="010101"/>
          <w:w w:val="110"/>
        </w:rPr>
        <w:t>is the ratio of these values that is important, as</w:t>
      </w:r>
    </w:p>
    <w:p>
      <w:pPr>
        <w:tabs>
          <w:tab w:pos="3504" w:val="left" w:leader="none"/>
          <w:tab w:pos="4244" w:val="left" w:leader="none"/>
        </w:tabs>
        <w:spacing w:before="160"/>
        <w:ind w:left="1520" w:right="0" w:firstLine="0"/>
        <w:jc w:val="left"/>
        <w:rPr>
          <w:i/>
          <w:sz w:val="21"/>
        </w:rPr>
      </w:pPr>
      <w:r>
        <w:rPr>
          <w:color w:val="010101"/>
          <w:sz w:val="20"/>
        </w:rPr>
        <w:t>for    </w:t>
      </w:r>
      <w:r>
        <w:rPr>
          <w:i/>
          <w:color w:val="010101"/>
          <w:sz w:val="20"/>
        </w:rPr>
        <w:t>y  </w:t>
      </w:r>
      <w:r>
        <w:rPr>
          <w:rFonts w:ascii="Arial"/>
          <w:color w:val="010101"/>
          <w:sz w:val="27"/>
        </w:rPr>
        <w:t>&gt;</w:t>
      </w:r>
      <w:r>
        <w:rPr>
          <w:rFonts w:ascii="Arial"/>
          <w:color w:val="010101"/>
          <w:spacing w:val="25"/>
          <w:sz w:val="27"/>
        </w:rPr>
        <w:t> </w:t>
      </w:r>
      <w:r>
        <w:rPr>
          <w:i/>
          <w:color w:val="010101"/>
          <w:sz w:val="21"/>
        </w:rPr>
        <w:t>x,  </w:t>
      </w:r>
      <w:r>
        <w:rPr>
          <w:i/>
          <w:color w:val="010101"/>
          <w:spacing w:val="33"/>
          <w:sz w:val="21"/>
        </w:rPr>
        <w:t> </w:t>
      </w:r>
      <w:r>
        <w:rPr>
          <w:color w:val="010101"/>
          <w:sz w:val="20"/>
        </w:rPr>
        <w:t>or</w:t>
        <w:tab/>
        <w:t>for</w:t>
      </w:r>
      <w:r>
        <w:rPr>
          <w:color w:val="010101"/>
          <w:spacing w:val="16"/>
          <w:sz w:val="20"/>
        </w:rPr>
        <w:t> </w:t>
      </w:r>
      <w:r>
        <w:rPr>
          <w:i/>
          <w:color w:val="010101"/>
          <w:sz w:val="20"/>
        </w:rPr>
        <w:t>y</w:t>
        <w:tab/>
      </w:r>
      <w:r>
        <w:rPr>
          <w:i/>
          <w:color w:val="010101"/>
          <w:sz w:val="21"/>
        </w:rPr>
        <w:t>x  </w:t>
      </w:r>
      <w:r>
        <w:rPr>
          <w:rFonts w:ascii="Arial"/>
          <w:color w:val="010101"/>
          <w:sz w:val="31"/>
        </w:rPr>
        <w:t>+</w:t>
      </w:r>
      <w:r>
        <w:rPr>
          <w:rFonts w:ascii="Arial"/>
          <w:color w:val="010101"/>
          <w:spacing w:val="-13"/>
          <w:sz w:val="31"/>
        </w:rPr>
        <w:t> </w:t>
      </w:r>
      <w:r>
        <w:rPr>
          <w:i/>
          <w:color w:val="010101"/>
          <w:sz w:val="21"/>
        </w:rPr>
        <w:t>m.</w:t>
      </w:r>
    </w:p>
    <w:p>
      <w:pPr>
        <w:pStyle w:val="BodyText"/>
        <w:spacing w:line="244" w:lineRule="auto" w:before="208"/>
        <w:ind w:left="113" w:right="116" w:firstLine="201"/>
        <w:jc w:val="both"/>
      </w:pPr>
      <w:r>
        <w:rPr>
          <w:color w:val="010101"/>
          <w:w w:val="105"/>
        </w:rPr>
        <w:t>In practice, separate salary  scale  functions  may  be  required  for the male and the female  participants,  or for the salaried  and  the  hourly-rated  participants.  The  tenn   "salary  scale  function" is a general one and is used for ali types of compensation. </w:t>
      </w:r>
      <w:r>
        <w:rPr>
          <w:color w:val="010101"/>
          <w:w w:val="105"/>
          <w:sz w:val="22"/>
        </w:rPr>
        <w:t>In </w:t>
      </w:r>
      <w:r>
        <w:rPr>
          <w:color w:val="010101"/>
          <w:w w:val="105"/>
        </w:rPr>
        <w:t>what follows, we shall confine ourselves to a discussion of salary only, but it is to </w:t>
      </w:r>
      <w:r>
        <w:rPr>
          <w:rFonts w:ascii="Arial"/>
          <w:color w:val="010101"/>
          <w:w w:val="105"/>
          <w:sz w:val="18"/>
        </w:rPr>
        <w:t>be </w:t>
      </w:r>
      <w:r>
        <w:rPr>
          <w:color w:val="010101"/>
          <w:w w:val="105"/>
        </w:rPr>
        <w:t>understood  that  the same methods  can  be  applied  to other fonns of </w:t>
      </w:r>
      <w:r>
        <w:rPr>
          <w:color w:val="010101"/>
          <w:spacing w:val="26"/>
          <w:w w:val="105"/>
        </w:rPr>
        <w:t> </w:t>
      </w:r>
      <w:r>
        <w:rPr>
          <w:color w:val="010101"/>
          <w:w w:val="105"/>
        </w:rPr>
        <w:t>compensation.</w:t>
      </w:r>
    </w:p>
    <w:p>
      <w:pPr>
        <w:pStyle w:val="BodyText"/>
        <w:spacing w:line="249" w:lineRule="auto"/>
        <w:ind w:left="113" w:right="118" w:firstLine="201"/>
        <w:jc w:val="both"/>
        <w:rPr>
          <w:b/>
        </w:rPr>
      </w:pPr>
      <w:r>
        <w:rPr>
          <w:color w:val="010101"/>
          <w:w w:val="105"/>
        </w:rPr>
        <w:t>In evaluating pension benefits based  on  salary,  we  shall  use the salary scale functions as weights in computing commutation </w:t>
      </w:r>
      <w:r>
        <w:rPr>
          <w:b/>
          <w:color w:val="010101"/>
          <w:w w:val="105"/>
        </w:rPr>
        <w:t>functions:</w:t>
      </w:r>
    </w:p>
    <w:p>
      <w:pPr>
        <w:spacing w:after="0" w:line="249" w:lineRule="auto"/>
        <w:jc w:val="both"/>
        <w:sectPr>
          <w:pgSz w:w="7200" w:h="11340"/>
          <w:pgMar w:top="500" w:bottom="280" w:left="680" w:right="560"/>
        </w:sectPr>
      </w:pPr>
    </w:p>
    <w:p>
      <w:pPr>
        <w:tabs>
          <w:tab w:pos="1978" w:val="left" w:leader="none"/>
          <w:tab w:pos="5243" w:val="left" w:leader="none"/>
        </w:tabs>
        <w:spacing w:before="61"/>
        <w:ind w:left="128" w:right="0" w:firstLine="0"/>
        <w:jc w:val="left"/>
        <w:rPr>
          <w:rFonts w:ascii="Arial"/>
          <w:b/>
          <w:sz w:val="19"/>
        </w:rPr>
      </w:pPr>
      <w:r>
        <w:rPr>
          <w:sz w:val="19"/>
        </w:rPr>
        <w:t>312</w:t>
        <w:tab/>
      </w:r>
      <w:r>
        <w:rPr>
          <w:b/>
          <w:sz w:val="15"/>
        </w:rPr>
        <w:t>A </w:t>
      </w:r>
      <w:r>
        <w:rPr>
          <w:b/>
          <w:spacing w:val="33"/>
          <w:sz w:val="15"/>
        </w:rPr>
        <w:t> </w:t>
      </w:r>
      <w:r>
        <w:rPr>
          <w:b/>
          <w:sz w:val="15"/>
        </w:rPr>
        <w:t>GENERALIZED  </w:t>
      </w:r>
      <w:r>
        <w:rPr>
          <w:b/>
          <w:spacing w:val="5"/>
          <w:sz w:val="15"/>
        </w:rPr>
        <w:t> </w:t>
      </w:r>
      <w:r>
        <w:rPr>
          <w:b/>
          <w:sz w:val="15"/>
        </w:rPr>
        <w:t>MODEL</w:t>
        <w:tab/>
      </w:r>
      <w:r>
        <w:rPr>
          <w:b/>
          <w:sz w:val="17"/>
        </w:rPr>
        <w:t>(CH.</w:t>
      </w:r>
      <w:r>
        <w:rPr>
          <w:b/>
          <w:spacing w:val="24"/>
          <w:sz w:val="17"/>
        </w:rPr>
        <w:t> </w:t>
      </w:r>
      <w:r>
        <w:rPr>
          <w:rFonts w:ascii="Arial"/>
          <w:b/>
          <w:sz w:val="19"/>
        </w:rPr>
        <w:t>16</w:t>
      </w:r>
    </w:p>
    <w:p>
      <w:pPr>
        <w:pStyle w:val="BodyText"/>
        <w:spacing w:before="2"/>
        <w:rPr>
          <w:rFonts w:ascii="Arial"/>
          <w:b/>
          <w:sz w:val="10"/>
        </w:rPr>
      </w:pPr>
    </w:p>
    <w:p>
      <w:pPr>
        <w:spacing w:after="0"/>
        <w:rPr>
          <w:rFonts w:ascii="Arial"/>
          <w:sz w:val="10"/>
        </w:rPr>
        <w:sectPr>
          <w:pgSz w:w="7200" w:h="11340"/>
          <w:pgMar w:top="480" w:bottom="280" w:left="660" w:right="560"/>
        </w:sectPr>
      </w:pPr>
    </w:p>
    <w:p>
      <w:pPr>
        <w:spacing w:before="67"/>
        <w:ind w:left="1629" w:right="1399" w:firstLine="0"/>
        <w:jc w:val="center"/>
        <w:rPr>
          <w:rFonts w:ascii="Arial"/>
          <w:i/>
          <w:sz w:val="20"/>
        </w:rPr>
      </w:pPr>
      <w:r>
        <w:rPr>
          <w:rFonts w:ascii="Arial"/>
          <w:i/>
          <w:w w:val="115"/>
          <w:position w:val="10"/>
          <w:sz w:val="11"/>
        </w:rPr>
        <w:t>8</w:t>
      </w:r>
      <w:r>
        <w:rPr>
          <w:rFonts w:ascii="Arial"/>
          <w:i/>
          <w:w w:val="115"/>
          <w:sz w:val="20"/>
        </w:rPr>
        <w:t>D;  </w:t>
      </w:r>
      <w:r>
        <w:rPr>
          <w:sz w:val="26"/>
        </w:rPr>
        <w:t>=  </w:t>
      </w:r>
      <w:r>
        <w:rPr>
          <w:rFonts w:ascii="Arial"/>
          <w:i/>
          <w:sz w:val="20"/>
        </w:rPr>
        <w:t>Sz </w:t>
      </w:r>
      <w:r>
        <w:rPr>
          <w:rFonts w:ascii="Arial"/>
          <w:i/>
          <w:w w:val="115"/>
          <w:sz w:val="20"/>
        </w:rPr>
        <w:t>D;</w:t>
      </w:r>
    </w:p>
    <w:p>
      <w:pPr>
        <w:spacing w:before="56"/>
        <w:ind w:left="1629" w:right="1394" w:firstLine="0"/>
        <w:jc w:val="center"/>
        <w:rPr>
          <w:rFonts w:ascii="Arial"/>
          <w:i/>
          <w:sz w:val="22"/>
        </w:rPr>
      </w:pPr>
      <w:r>
        <w:rPr>
          <w:rFonts w:ascii="Arial"/>
          <w:i/>
          <w:spacing w:val="3"/>
          <w:w w:val="117"/>
          <w:position w:val="10"/>
          <w:sz w:val="11"/>
        </w:rPr>
        <w:t>8</w:t>
      </w:r>
      <w:r>
        <w:rPr>
          <w:rFonts w:ascii="Arial"/>
          <w:i/>
          <w:w w:val="78"/>
          <w:sz w:val="26"/>
        </w:rPr>
        <w:t>C;</w:t>
      </w:r>
      <w:r>
        <w:rPr>
          <w:rFonts w:ascii="Arial"/>
          <w:i/>
          <w:spacing w:val="10"/>
          <w:sz w:val="26"/>
        </w:rPr>
        <w:t> </w:t>
      </w:r>
      <w:r>
        <w:rPr>
          <w:w w:val="92"/>
          <w:sz w:val="26"/>
        </w:rPr>
        <w:t>=</w:t>
      </w:r>
      <w:r>
        <w:rPr>
          <w:sz w:val="26"/>
        </w:rPr>
        <w:t> </w:t>
      </w:r>
      <w:r>
        <w:rPr>
          <w:spacing w:val="-22"/>
          <w:sz w:val="26"/>
        </w:rPr>
        <w:t> </w:t>
      </w:r>
      <w:r>
        <w:rPr>
          <w:rFonts w:ascii="Arial"/>
          <w:i/>
          <w:w w:val="65"/>
          <w:sz w:val="20"/>
        </w:rPr>
        <w:t>S:i:</w:t>
      </w:r>
      <w:r>
        <w:rPr>
          <w:rFonts w:ascii="Arial"/>
          <w:i/>
          <w:spacing w:val="13"/>
          <w:sz w:val="20"/>
        </w:rPr>
        <w:t> </w:t>
      </w:r>
      <w:r>
        <w:rPr>
          <w:rFonts w:ascii="Arial"/>
          <w:i/>
          <w:w w:val="85"/>
          <w:sz w:val="22"/>
        </w:rPr>
        <w:t>G;</w:t>
      </w:r>
    </w:p>
    <w:p>
      <w:pPr>
        <w:spacing w:before="18"/>
        <w:ind w:left="1716" w:right="-13" w:firstLine="0"/>
        <w:jc w:val="left"/>
        <w:rPr>
          <w:sz w:val="19"/>
        </w:rPr>
      </w:pPr>
      <w:r>
        <w:rPr>
          <w:i/>
          <w:w w:val="86"/>
          <w:position w:val="11"/>
          <w:sz w:val="11"/>
        </w:rPr>
        <w:t>81</w:t>
      </w:r>
      <w:r>
        <w:rPr>
          <w:i/>
          <w:spacing w:val="-2"/>
          <w:w w:val="86"/>
          <w:position w:val="11"/>
          <w:sz w:val="11"/>
        </w:rPr>
        <w:t>1</w:t>
      </w:r>
      <w:r>
        <w:rPr>
          <w:i/>
          <w:w w:val="80"/>
          <w:sz w:val="26"/>
        </w:rPr>
        <w:t>C;</w:t>
      </w:r>
      <w:r>
        <w:rPr>
          <w:i/>
          <w:spacing w:val="9"/>
          <w:sz w:val="26"/>
        </w:rPr>
        <w:t> </w:t>
      </w:r>
      <w:r>
        <w:rPr>
          <w:w w:val="87"/>
          <w:sz w:val="28"/>
        </w:rPr>
        <w:t>=</w:t>
      </w:r>
      <w:r>
        <w:rPr>
          <w:sz w:val="28"/>
        </w:rPr>
        <w:t> </w:t>
      </w:r>
      <w:r>
        <w:rPr>
          <w:spacing w:val="-31"/>
          <w:sz w:val="28"/>
        </w:rPr>
        <w:t> </w:t>
      </w:r>
      <w:r>
        <w:rPr>
          <w:i/>
          <w:w w:val="96"/>
          <w:sz w:val="21"/>
        </w:rPr>
        <w:t>Sz</w:t>
      </w:r>
      <w:r>
        <w:rPr>
          <w:i/>
          <w:spacing w:val="-14"/>
          <w:sz w:val="21"/>
        </w:rPr>
        <w:t> </w:t>
      </w:r>
      <w:r>
        <w:rPr>
          <w:i/>
          <w:spacing w:val="-11"/>
          <w:w w:val="137"/>
          <w:sz w:val="21"/>
        </w:rPr>
        <w:t>.</w:t>
      </w:r>
      <w:r>
        <w:rPr>
          <w:i/>
          <w:w w:val="87"/>
          <w:sz w:val="26"/>
        </w:rPr>
        <w:t>ªC;</w:t>
      </w:r>
      <w:r>
        <w:rPr>
          <w:i/>
          <w:spacing w:val="3"/>
          <w:sz w:val="26"/>
        </w:rPr>
        <w:t> </w:t>
      </w:r>
      <w:r>
        <w:rPr>
          <w:w w:val="104"/>
          <w:sz w:val="23"/>
        </w:rPr>
        <w:t>=</w:t>
      </w:r>
      <w:r>
        <w:rPr>
          <w:sz w:val="23"/>
        </w:rPr>
        <w:t> </w:t>
      </w:r>
      <w:r>
        <w:rPr>
          <w:spacing w:val="-7"/>
          <w:sz w:val="23"/>
        </w:rPr>
        <w:t> </w:t>
      </w:r>
      <w:r>
        <w:rPr>
          <w:i/>
          <w:w w:val="90"/>
          <w:sz w:val="31"/>
        </w:rPr>
        <w:t>e;</w:t>
      </w:r>
      <w:r>
        <w:rPr>
          <w:i/>
          <w:spacing w:val="9"/>
          <w:w w:val="90"/>
          <w:sz w:val="31"/>
        </w:rPr>
        <w:t>.</w:t>
      </w:r>
      <w:r>
        <w:rPr>
          <w:i/>
          <w:w w:val="62"/>
          <w:sz w:val="21"/>
        </w:rPr>
        <w:t>S:,;</w:t>
      </w:r>
      <w:r>
        <w:rPr>
          <w:i/>
          <w:spacing w:val="12"/>
          <w:sz w:val="21"/>
        </w:rPr>
        <w:t> </w:t>
      </w:r>
      <w:r>
        <w:rPr>
          <w:spacing w:val="-47"/>
          <w:w w:val="296"/>
          <w:sz w:val="19"/>
        </w:rPr>
        <w:t>"</w:t>
      </w:r>
      <w:r>
        <w:rPr>
          <w:w w:val="91"/>
          <w:sz w:val="19"/>
        </w:rPr>
        <w:t>+t</w:t>
      </w:r>
    </w:p>
    <w:p>
      <w:pPr>
        <w:spacing w:before="34"/>
        <w:ind w:left="1712" w:right="-13" w:firstLine="0"/>
        <w:jc w:val="left"/>
        <w:rPr>
          <w:rFonts w:ascii="Arial" w:hAnsi="Arial"/>
          <w:i/>
          <w:sz w:val="26"/>
        </w:rPr>
      </w:pPr>
      <w:r>
        <w:rPr>
          <w:rFonts w:ascii="Arial" w:hAnsi="Arial"/>
          <w:i/>
          <w:w w:val="95"/>
          <w:sz w:val="26"/>
        </w:rPr>
        <w:t>Zac;</w:t>
      </w:r>
      <w:r>
        <w:rPr>
          <w:rFonts w:ascii="Arial" w:hAnsi="Arial"/>
          <w:i/>
          <w:spacing w:val="-32"/>
          <w:w w:val="95"/>
          <w:sz w:val="26"/>
        </w:rPr>
        <w:t> </w:t>
      </w:r>
      <w:r>
        <w:rPr>
          <w:w w:val="95"/>
          <w:sz w:val="26"/>
        </w:rPr>
        <w:t>=</w:t>
      </w:r>
      <w:r>
        <w:rPr>
          <w:spacing w:val="-28"/>
          <w:w w:val="95"/>
          <w:sz w:val="26"/>
        </w:rPr>
        <w:t> </w:t>
      </w:r>
      <w:r>
        <w:rPr>
          <w:rFonts w:ascii="Arial" w:hAnsi="Arial"/>
          <w:i/>
          <w:w w:val="95"/>
          <w:sz w:val="20"/>
        </w:rPr>
        <w:t>Z:i:··é;</w:t>
      </w:r>
      <w:r>
        <w:rPr>
          <w:rFonts w:ascii="Arial" w:hAnsi="Arial"/>
          <w:i/>
          <w:spacing w:val="-22"/>
          <w:w w:val="95"/>
          <w:sz w:val="20"/>
        </w:rPr>
        <w:t> </w:t>
      </w:r>
      <w:r>
        <w:rPr>
          <w:w w:val="95"/>
          <w:sz w:val="24"/>
        </w:rPr>
        <w:t>=</w:t>
      </w:r>
      <w:r>
        <w:rPr>
          <w:spacing w:val="-21"/>
          <w:w w:val="95"/>
          <w:sz w:val="24"/>
        </w:rPr>
        <w:t> </w:t>
      </w:r>
      <w:r>
        <w:rPr>
          <w:rFonts w:ascii="Arial" w:hAnsi="Arial"/>
          <w:i/>
          <w:w w:val="95"/>
          <w:sz w:val="26"/>
        </w:rPr>
        <w:t>c;</w:t>
      </w:r>
      <w:r>
        <w:rPr>
          <w:rFonts w:ascii="Arial" w:hAnsi="Arial"/>
          <w:i/>
          <w:spacing w:val="-59"/>
          <w:w w:val="95"/>
          <w:sz w:val="26"/>
        </w:rPr>
        <w:t> </w:t>
      </w:r>
      <w:r>
        <w:rPr>
          <w:rFonts w:ascii="Arial" w:hAnsi="Arial"/>
          <w:i/>
          <w:w w:val="95"/>
          <w:sz w:val="26"/>
        </w:rPr>
        <w:t>.z:,:</w:t>
      </w:r>
      <w:r>
        <w:rPr>
          <w:rFonts w:ascii="Arial" w:hAnsi="Arial"/>
          <w:i/>
          <w:spacing w:val="-47"/>
          <w:w w:val="95"/>
          <w:sz w:val="26"/>
        </w:rPr>
        <w:t> </w:t>
      </w:r>
      <w:r>
        <w:rPr>
          <w:rFonts w:ascii="Arial" w:hAnsi="Arial"/>
          <w:i/>
          <w:w w:val="95"/>
          <w:sz w:val="26"/>
        </w:rPr>
        <w:t>a;+i</w:t>
      </w:r>
      <w:r>
        <w:rPr>
          <w:rFonts w:ascii="Arial" w:hAnsi="Arial"/>
          <w:i/>
          <w:spacing w:val="-38"/>
          <w:w w:val="95"/>
          <w:sz w:val="26"/>
        </w:rPr>
        <w:t> </w:t>
      </w:r>
      <w:r>
        <w:rPr>
          <w:rFonts w:ascii="Arial" w:hAnsi="Arial"/>
          <w:i/>
          <w:w w:val="95"/>
          <w:sz w:val="26"/>
        </w:rPr>
        <w:t>·</w:t>
      </w:r>
    </w:p>
    <w:p>
      <w:pPr>
        <w:pStyle w:val="BodyText"/>
        <w:spacing w:before="112"/>
        <w:ind w:left="817"/>
      </w:pPr>
      <w:r>
        <w:rPr/>
        <w:br w:type="column"/>
      </w:r>
      <w:r>
        <w:rPr/>
        <w:t>(16.13a)</w:t>
      </w:r>
    </w:p>
    <w:p>
      <w:pPr>
        <w:pStyle w:val="BodyText"/>
        <w:spacing w:before="123"/>
        <w:ind w:left="786" w:right="117"/>
        <w:jc w:val="center"/>
      </w:pPr>
      <w:r>
        <w:rPr>
          <w:w w:val="110"/>
        </w:rPr>
        <w:t>(lü.13b)</w:t>
      </w:r>
    </w:p>
    <w:p>
      <w:pPr>
        <w:spacing w:before="139"/>
        <w:ind w:left="786" w:right="11" w:firstLine="0"/>
        <w:jc w:val="center"/>
        <w:rPr>
          <w:sz w:val="19"/>
        </w:rPr>
      </w:pPr>
      <w:r>
        <w:rPr>
          <w:w w:val="105"/>
          <w:sz w:val="19"/>
        </w:rPr>
        <w:t>(16.14)</w:t>
      </w:r>
    </w:p>
    <w:p>
      <w:pPr>
        <w:spacing w:before="141"/>
        <w:ind w:left="786" w:right="11" w:firstLine="0"/>
        <w:jc w:val="center"/>
        <w:rPr>
          <w:sz w:val="19"/>
        </w:rPr>
      </w:pPr>
      <w:r>
        <w:rPr>
          <w:w w:val="105"/>
          <w:sz w:val="19"/>
        </w:rPr>
        <w:t>(16.15)</w:t>
      </w:r>
    </w:p>
    <w:p>
      <w:pPr>
        <w:spacing w:after="0"/>
        <w:jc w:val="center"/>
        <w:rPr>
          <w:sz w:val="19"/>
        </w:rPr>
        <w:sectPr>
          <w:type w:val="continuous"/>
          <w:pgSz w:w="7200" w:h="11340"/>
          <w:pgMar w:top="1100" w:bottom="0" w:left="660" w:right="560"/>
          <w:cols w:num="2" w:equalWidth="0">
            <w:col w:w="4293" w:space="40"/>
            <w:col w:w="1647"/>
          </w:cols>
        </w:sectPr>
      </w:pPr>
    </w:p>
    <w:p>
      <w:pPr>
        <w:spacing w:line="235" w:lineRule="auto" w:before="37"/>
        <w:ind w:left="132" w:right="124" w:firstLine="0"/>
        <w:jc w:val="both"/>
        <w:rPr>
          <w:sz w:val="21"/>
        </w:rPr>
      </w:pPr>
      <w:r>
        <w:rPr>
          <w:sz w:val="21"/>
        </w:rPr>
        <w:t>The weighting of the function </w:t>
      </w:r>
      <w:r>
        <w:rPr>
          <w:rFonts w:ascii="Arial"/>
          <w:i/>
          <w:sz w:val="29"/>
        </w:rPr>
        <w:t>e; </w:t>
      </w:r>
      <w:r>
        <w:rPr>
          <w:sz w:val="21"/>
        </w:rPr>
        <w:t>by the product of  two functions of </w:t>
      </w:r>
      <w:r>
        <w:rPr>
          <w:rFonts w:ascii="Arial"/>
          <w:i/>
          <w:sz w:val="17"/>
        </w:rPr>
        <w:t>x </w:t>
      </w:r>
      <w:r>
        <w:rPr>
          <w:sz w:val="21"/>
        </w:rPr>
        <w:t>is indicated here by a prefixed superscript consisting of two letters.</w:t>
      </w:r>
    </w:p>
    <w:p>
      <w:pPr>
        <w:spacing w:line="242" w:lineRule="auto" w:before="0"/>
        <w:ind w:left="132" w:right="137" w:firstLine="198"/>
        <w:jc w:val="both"/>
        <w:rPr>
          <w:sz w:val="21"/>
        </w:rPr>
      </w:pPr>
      <w:r>
        <w:rPr>
          <w:sz w:val="21"/>
        </w:rPr>
        <w:t>Consider  a  plan  providing  an  annual  retirement   pension   of </w:t>
      </w:r>
      <w:r>
        <w:rPr>
          <w:i/>
          <w:sz w:val="20"/>
        </w:rPr>
        <w:t>k </w:t>
      </w:r>
      <w:r>
        <w:rPr>
          <w:rFonts w:ascii="Arial"/>
          <w:sz w:val="18"/>
        </w:rPr>
        <w:t>% </w:t>
      </w:r>
      <w:r>
        <w:rPr>
          <w:sz w:val="21"/>
        </w:rPr>
        <w:t>of one year's salary at the rate of pay in the year of retirement The present  value at age </w:t>
      </w:r>
      <w:r>
        <w:rPr>
          <w:rFonts w:ascii="Arial"/>
          <w:i/>
          <w:sz w:val="18"/>
        </w:rPr>
        <w:t>x </w:t>
      </w:r>
      <w:r>
        <w:rPr>
          <w:rFonts w:ascii="Arial"/>
          <w:i/>
          <w:spacing w:val="38"/>
          <w:sz w:val="18"/>
        </w:rPr>
        <w:t> </w:t>
      </w:r>
      <w:r>
        <w:rPr>
          <w:sz w:val="21"/>
        </w:rPr>
        <w:t>is</w:t>
      </w:r>
    </w:p>
    <w:p>
      <w:pPr>
        <w:spacing w:line="57" w:lineRule="exact" w:before="161"/>
        <w:ind w:left="74" w:right="464" w:firstLine="0"/>
        <w:jc w:val="center"/>
        <w:rPr>
          <w:rFonts w:ascii="Arial"/>
          <w:b/>
          <w:sz w:val="8"/>
        </w:rPr>
      </w:pPr>
      <w:r>
        <w:rPr>
          <w:rFonts w:ascii="Arial"/>
          <w:b/>
          <w:w w:val="80"/>
          <w:sz w:val="8"/>
        </w:rPr>
        <w:t>CID</w:t>
      </w:r>
    </w:p>
    <w:p>
      <w:pPr>
        <w:spacing w:line="306" w:lineRule="exact" w:before="0"/>
        <w:ind w:left="1485" w:right="471" w:firstLine="0"/>
        <w:jc w:val="center"/>
        <w:rPr>
          <w:rFonts w:ascii="Arial"/>
          <w:i/>
          <w:sz w:val="20"/>
        </w:rPr>
      </w:pPr>
      <w:r>
        <w:rPr>
          <w:spacing w:val="3"/>
          <w:w w:val="95"/>
          <w:sz w:val="33"/>
        </w:rPr>
        <w:t>I:</w:t>
      </w:r>
      <w:r>
        <w:rPr>
          <w:rFonts w:ascii="Arial"/>
          <w:i/>
          <w:spacing w:val="3"/>
          <w:w w:val="95"/>
          <w:sz w:val="20"/>
        </w:rPr>
        <w:t>s:i:+t </w:t>
      </w:r>
      <w:r>
        <w:rPr>
          <w:rFonts w:ascii="Arial"/>
          <w:i/>
          <w:w w:val="95"/>
          <w:sz w:val="28"/>
        </w:rPr>
        <w:t>e;+,</w:t>
      </w:r>
      <w:r>
        <w:rPr>
          <w:rFonts w:ascii="Arial"/>
          <w:i/>
          <w:spacing w:val="-55"/>
          <w:w w:val="95"/>
          <w:sz w:val="28"/>
        </w:rPr>
        <w:t> </w:t>
      </w:r>
      <w:r>
        <w:rPr>
          <w:rFonts w:ascii="Arial"/>
          <w:i/>
          <w:w w:val="95"/>
          <w:sz w:val="20"/>
        </w:rPr>
        <w:t>a;+t+i</w:t>
      </w:r>
    </w:p>
    <w:p>
      <w:pPr>
        <w:spacing w:line="180" w:lineRule="exact" w:before="0"/>
        <w:ind w:left="1669" w:right="739" w:firstLine="0"/>
        <w:jc w:val="left"/>
        <w:rPr>
          <w:b/>
          <w:sz w:val="17"/>
        </w:rPr>
      </w:pPr>
      <w:r>
        <w:rPr>
          <w:rFonts w:ascii="Arial" w:hAnsi="Arial"/>
          <w:b/>
          <w:w w:val="99"/>
          <w:sz w:val="18"/>
        </w:rPr>
        <w:t>.01</w:t>
      </w:r>
      <w:r>
        <w:rPr>
          <w:rFonts w:ascii="Arial" w:hAnsi="Arial"/>
          <w:b/>
          <w:spacing w:val="9"/>
          <w:sz w:val="18"/>
        </w:rPr>
        <w:t> </w:t>
      </w:r>
      <w:r>
        <w:rPr>
          <w:b/>
          <w:i/>
          <w:w w:val="85"/>
          <w:sz w:val="21"/>
        </w:rPr>
        <w:t>k(</w:t>
      </w:r>
      <w:r>
        <w:rPr>
          <w:b/>
          <w:i/>
          <w:spacing w:val="-7"/>
          <w:sz w:val="21"/>
        </w:rPr>
        <w:t> </w:t>
      </w:r>
      <w:r>
        <w:rPr>
          <w:b/>
          <w:i/>
          <w:w w:val="98"/>
          <w:sz w:val="21"/>
        </w:rPr>
        <w:t>AS</w:t>
      </w:r>
      <w:r>
        <w:rPr>
          <w:b/>
          <w:i/>
          <w:spacing w:val="-8"/>
          <w:sz w:val="21"/>
        </w:rPr>
        <w:t> </w:t>
      </w:r>
      <w:r>
        <w:rPr>
          <w:b/>
          <w:i/>
          <w:w w:val="78"/>
          <w:sz w:val="21"/>
        </w:rPr>
        <w:t>)</w:t>
      </w:r>
      <w:r>
        <w:rPr>
          <w:b/>
          <w:i/>
          <w:w w:val="78"/>
          <w:sz w:val="21"/>
        </w:rPr>
        <w:t>z</w:t>
      </w:r>
      <w:r>
        <w:rPr>
          <w:b/>
          <w:i/>
          <w:spacing w:val="-11"/>
          <w:sz w:val="21"/>
        </w:rPr>
        <w:t> </w:t>
      </w:r>
      <w:r>
        <w:rPr>
          <w:b/>
          <w:spacing w:val="-163"/>
          <w:w w:val="153"/>
          <w:sz w:val="17"/>
        </w:rPr>
        <w:t>_</w:t>
      </w:r>
      <w:r>
        <w:rPr>
          <w:b/>
          <w:w w:val="159"/>
          <w:sz w:val="17"/>
        </w:rPr>
        <w:t>,</w:t>
      </w:r>
      <w:r>
        <w:rPr>
          <w:b/>
          <w:spacing w:val="-66"/>
          <w:w w:val="159"/>
          <w:sz w:val="17"/>
        </w:rPr>
        <w:t>-</w:t>
      </w:r>
      <w:r>
        <w:rPr>
          <w:b/>
          <w:spacing w:val="-136"/>
          <w:w w:val="153"/>
          <w:sz w:val="17"/>
        </w:rPr>
        <w:t>_</w:t>
      </w:r>
      <w:r>
        <w:rPr>
          <w:b/>
          <w:w w:val="77"/>
          <w:sz w:val="17"/>
        </w:rPr>
        <w:t>o</w:t>
      </w:r>
      <w:r>
        <w:rPr>
          <w:b/>
          <w:spacing w:val="3"/>
          <w:sz w:val="17"/>
        </w:rPr>
        <w:t> </w:t>
      </w:r>
      <w:r>
        <w:rPr>
          <w:b/>
          <w:spacing w:val="-46"/>
          <w:w w:val="562"/>
          <w:sz w:val="17"/>
        </w:rPr>
        <w:t>--</w:t>
      </w:r>
      <w:r>
        <w:rPr>
          <w:b/>
          <w:w w:val="209"/>
          <w:sz w:val="17"/>
        </w:rPr>
        <w:t>--=</w:t>
      </w:r>
      <w:r>
        <w:rPr>
          <w:b/>
          <w:spacing w:val="-13"/>
          <w:w w:val="209"/>
          <w:sz w:val="17"/>
        </w:rPr>
        <w:t>-</w:t>
      </w:r>
      <w:r>
        <w:rPr>
          <w:b/>
          <w:w w:val="547"/>
          <w:sz w:val="17"/>
        </w:rPr>
        <w:t>­</w:t>
      </w:r>
    </w:p>
    <w:p>
      <w:pPr>
        <w:spacing w:line="207" w:lineRule="exact" w:before="0"/>
        <w:ind w:left="1485" w:right="426" w:firstLine="0"/>
        <w:jc w:val="center"/>
        <w:rPr>
          <w:rFonts w:ascii="Arial"/>
          <w:i/>
          <w:sz w:val="20"/>
        </w:rPr>
      </w:pPr>
      <w:r>
        <w:rPr>
          <w:rFonts w:ascii="Arial"/>
          <w:i/>
          <w:w w:val="105"/>
          <w:sz w:val="20"/>
        </w:rPr>
        <w:t>Ss </w:t>
      </w:r>
      <w:r>
        <w:rPr>
          <w:rFonts w:ascii="Arial"/>
          <w:i/>
          <w:w w:val="115"/>
          <w:sz w:val="20"/>
        </w:rPr>
        <w:t>D';</w:t>
      </w:r>
    </w:p>
    <w:p>
      <w:pPr>
        <w:spacing w:after="0" w:line="207" w:lineRule="exact"/>
        <w:jc w:val="center"/>
        <w:rPr>
          <w:rFonts w:ascii="Arial"/>
          <w:sz w:val="20"/>
        </w:rPr>
        <w:sectPr>
          <w:type w:val="continuous"/>
          <w:pgSz w:w="7200" w:h="11340"/>
          <w:pgMar w:top="1100" w:bottom="0" w:left="660" w:right="560"/>
        </w:sectPr>
      </w:pPr>
    </w:p>
    <w:p>
      <w:pPr>
        <w:spacing w:line="366" w:lineRule="exact" w:before="106"/>
        <w:ind w:left="856" w:right="0" w:firstLine="0"/>
        <w:jc w:val="center"/>
        <w:rPr>
          <w:i/>
          <w:sz w:val="33"/>
        </w:rPr>
      </w:pPr>
      <w:r>
        <w:rPr/>
        <w:pict>
          <v:shape style="position:absolute;margin-left:149.220001pt;margin-top:5.436265pt;width:5pt;height:6pt;mso-position-horizontal-relative:page;mso-position-vertical-relative:paragraph;z-index:-710728" type="#_x0000_t202" filled="false" stroked="false">
            <v:textbox inset="0,0,0,0">
              <w:txbxContent>
                <w:p>
                  <w:pPr>
                    <w:spacing w:line="120" w:lineRule="exact" w:before="0"/>
                    <w:ind w:left="0" w:right="-16" w:firstLine="0"/>
                    <w:jc w:val="left"/>
                    <w:rPr>
                      <w:b/>
                      <w:sz w:val="12"/>
                    </w:rPr>
                  </w:pPr>
                  <w:r>
                    <w:rPr>
                      <w:b/>
                      <w:w w:val="80"/>
                      <w:sz w:val="12"/>
                    </w:rPr>
                    <w:t>ao</w:t>
                  </w:r>
                </w:p>
              </w:txbxContent>
            </v:textbox>
            <w10:wrap type="none"/>
          </v:shape>
        </w:pict>
      </w:r>
      <w:r>
        <w:rPr>
          <w:i/>
          <w:w w:val="80"/>
          <w:sz w:val="33"/>
        </w:rPr>
        <w:t>I: s"cr</w:t>
      </w:r>
    </w:p>
    <w:p>
      <w:pPr>
        <w:spacing w:line="212" w:lineRule="exact" w:before="0"/>
        <w:ind w:left="1028" w:right="0" w:firstLine="0"/>
        <w:jc w:val="center"/>
        <w:rPr>
          <w:b/>
          <w:i/>
          <w:sz w:val="21"/>
        </w:rPr>
      </w:pPr>
      <w:r>
        <w:rPr>
          <w:rFonts w:ascii="Arial"/>
          <w:w w:val="150"/>
          <w:sz w:val="16"/>
        </w:rPr>
        <w:t>= </w:t>
      </w:r>
      <w:r>
        <w:rPr>
          <w:rFonts w:ascii="Arial"/>
          <w:b/>
          <w:spacing w:val="-10"/>
          <w:w w:val="105"/>
          <w:sz w:val="18"/>
        </w:rPr>
        <w:t>.01 </w:t>
      </w:r>
      <w:r>
        <w:rPr>
          <w:b/>
          <w:i/>
          <w:w w:val="105"/>
          <w:sz w:val="21"/>
        </w:rPr>
        <w:t>k( AS </w:t>
      </w:r>
      <w:r>
        <w:rPr>
          <w:b/>
          <w:i/>
          <w:w w:val="75"/>
          <w:sz w:val="21"/>
        </w:rPr>
        <w:t>):z: </w:t>
      </w:r>
      <w:r>
        <w:rPr>
          <w:w w:val="150"/>
          <w:sz w:val="21"/>
        </w:rPr>
        <w:t>,-</w:t>
      </w:r>
      <w:r>
        <w:rPr>
          <w:w w:val="150"/>
          <w:sz w:val="21"/>
          <w:u w:val="thick"/>
        </w:rPr>
        <w:t>\ </w:t>
      </w:r>
      <w:r>
        <w:rPr>
          <w:b/>
          <w:i/>
          <w:spacing w:val="8"/>
          <w:w w:val="105"/>
          <w:sz w:val="12"/>
          <w:u w:val="thick"/>
        </w:rPr>
        <w:t>T</w:t>
      </w:r>
      <w:r>
        <w:rPr>
          <w:b/>
          <w:i/>
          <w:spacing w:val="8"/>
          <w:w w:val="105"/>
          <w:sz w:val="12"/>
        </w:rPr>
        <w:t>z </w:t>
      </w:r>
      <w:r>
        <w:rPr>
          <w:b/>
          <w:i/>
          <w:w w:val="115"/>
          <w:sz w:val="12"/>
        </w:rPr>
        <w:t>+t  </w:t>
      </w:r>
      <w:r>
        <w:rPr>
          <w:rFonts w:ascii="Arial"/>
          <w:w w:val="150"/>
          <w:sz w:val="16"/>
        </w:rPr>
        <w:t>= </w:t>
      </w:r>
      <w:r>
        <w:rPr>
          <w:rFonts w:ascii="Arial"/>
          <w:b/>
          <w:w w:val="105"/>
          <w:sz w:val="18"/>
        </w:rPr>
        <w:t>.01 </w:t>
      </w:r>
      <w:r>
        <w:rPr>
          <w:b/>
          <w:i/>
          <w:w w:val="105"/>
          <w:sz w:val="21"/>
        </w:rPr>
        <w:t>k( A8</w:t>
      </w:r>
      <w:r>
        <w:rPr>
          <w:b/>
          <w:i/>
          <w:spacing w:val="-32"/>
          <w:w w:val="105"/>
          <w:sz w:val="21"/>
        </w:rPr>
        <w:t> </w:t>
      </w:r>
      <w:r>
        <w:rPr>
          <w:b/>
          <w:i/>
          <w:w w:val="75"/>
          <w:sz w:val="21"/>
        </w:rPr>
        <w:t>):z:</w:t>
      </w:r>
    </w:p>
    <w:p>
      <w:pPr>
        <w:pStyle w:val="BodyText"/>
        <w:rPr>
          <w:b/>
          <w:i/>
          <w:sz w:val="12"/>
        </w:rPr>
      </w:pPr>
      <w:r>
        <w:rPr/>
        <w:br w:type="column"/>
      </w:r>
      <w:r>
        <w:rPr>
          <w:b/>
          <w:i/>
          <w:sz w:val="12"/>
        </w:rPr>
      </w:r>
    </w:p>
    <w:p>
      <w:pPr>
        <w:pStyle w:val="BodyText"/>
        <w:rPr>
          <w:b/>
          <w:i/>
          <w:sz w:val="12"/>
        </w:rPr>
      </w:pPr>
    </w:p>
    <w:p>
      <w:pPr>
        <w:spacing w:line="138" w:lineRule="exact" w:before="73"/>
        <w:ind w:left="47" w:right="0" w:firstLine="0"/>
        <w:jc w:val="left"/>
        <w:rPr>
          <w:b/>
          <w:i/>
          <w:sz w:val="12"/>
        </w:rPr>
      </w:pPr>
      <w:r>
        <w:rPr>
          <w:b/>
          <w:i/>
          <w:spacing w:val="-44"/>
          <w:w w:val="124"/>
          <w:sz w:val="12"/>
        </w:rPr>
        <w:t>8</w:t>
      </w:r>
    </w:p>
    <w:p>
      <w:pPr>
        <w:spacing w:line="197" w:lineRule="exact" w:before="0"/>
        <w:ind w:left="879" w:right="0" w:firstLine="0"/>
        <w:jc w:val="left"/>
        <w:rPr>
          <w:rFonts w:ascii="Arial"/>
          <w:b/>
          <w:sz w:val="18"/>
        </w:rPr>
      </w:pPr>
      <w:r>
        <w:rPr/>
        <w:pict>
          <v:line style="position:absolute;mso-position-horizontal-relative:page;mso-position-vertical-relative:paragraph;z-index:-710752" from="255.240005pt,10.502034pt" to="278.280005pt,10.502034pt" stroked="true" strokeweight="4.140pt" strokecolor="#000000">
            <w10:wrap type="none"/>
          </v:line>
        </w:pict>
      </w:r>
      <w:r>
        <w:rPr/>
        <w:pict>
          <v:shape style="position:absolute;margin-left:255.240005pt;margin-top:-9.394889pt;width:23.8pt;height:22pt;mso-position-horizontal-relative:page;mso-position-vertical-relative:paragraph;z-index:-710704" type="#_x0000_t202" filled="false" stroked="false">
            <v:textbox inset="0,0,0,0">
              <w:txbxContent>
                <w:p>
                  <w:pPr>
                    <w:spacing w:line="440" w:lineRule="exact" w:before="0"/>
                    <w:ind w:left="0" w:right="0" w:firstLine="0"/>
                    <w:jc w:val="left"/>
                    <w:rPr>
                      <w:rFonts w:ascii="Arial"/>
                      <w:b/>
                      <w:i/>
                      <w:sz w:val="44"/>
                    </w:rPr>
                  </w:pPr>
                  <w:r>
                    <w:rPr>
                      <w:rFonts w:ascii="Arial"/>
                      <w:b/>
                      <w:i/>
                      <w:spacing w:val="-13"/>
                      <w:w w:val="50"/>
                      <w:sz w:val="44"/>
                    </w:rPr>
                    <w:t>:M.f </w:t>
                  </w:r>
                  <w:r>
                    <w:rPr>
                      <w:rFonts w:ascii="Arial"/>
                      <w:b/>
                      <w:i/>
                      <w:w w:val="50"/>
                      <w:sz w:val="44"/>
                    </w:rPr>
                    <w:t>.</w:t>
                  </w:r>
                </w:p>
              </w:txbxContent>
            </v:textbox>
            <w10:wrap type="none"/>
          </v:shape>
        </w:pict>
      </w:r>
      <w:r>
        <w:rPr>
          <w:rFonts w:ascii="Arial"/>
          <w:b/>
          <w:w w:val="105"/>
          <w:sz w:val="18"/>
        </w:rPr>
        <w:t>(16.16 )</w:t>
      </w:r>
    </w:p>
    <w:p>
      <w:pPr>
        <w:spacing w:after="0" w:line="197" w:lineRule="exact"/>
        <w:jc w:val="left"/>
        <w:rPr>
          <w:rFonts w:ascii="Arial"/>
          <w:sz w:val="18"/>
        </w:rPr>
        <w:sectPr>
          <w:type w:val="continuous"/>
          <w:pgSz w:w="7200" w:h="11340"/>
          <w:pgMar w:top="1100" w:bottom="0" w:left="660" w:right="560"/>
          <w:cols w:num="2" w:equalWidth="0">
            <w:col w:w="4318" w:space="40"/>
            <w:col w:w="1622"/>
          </w:cols>
        </w:sectPr>
      </w:pPr>
    </w:p>
    <w:p>
      <w:pPr>
        <w:tabs>
          <w:tab w:pos="4520" w:val="left" w:leader="none"/>
        </w:tabs>
        <w:spacing w:line="204" w:lineRule="exact" w:before="0"/>
        <w:ind w:left="2565" w:right="739" w:firstLine="0"/>
        <w:jc w:val="left"/>
        <w:rPr>
          <w:rFonts w:ascii="Arial"/>
          <w:i/>
          <w:sz w:val="20"/>
        </w:rPr>
      </w:pPr>
      <w:r>
        <w:rPr>
          <w:rFonts w:ascii="Arial"/>
          <w:i/>
          <w:w w:val="90"/>
          <w:sz w:val="20"/>
        </w:rPr>
        <w:t>D:i:</w:t>
        <w:tab/>
        <w:t>Ds</w:t>
      </w:r>
    </w:p>
    <w:p>
      <w:pPr>
        <w:spacing w:before="110"/>
        <w:ind w:left="128" w:right="133" w:firstLine="194"/>
        <w:jc w:val="left"/>
        <w:rPr>
          <w:sz w:val="21"/>
        </w:rPr>
      </w:pPr>
      <w:r>
        <w:rPr/>
        <w:drawing>
          <wp:anchor distT="0" distB="0" distL="0" distR="0" allowOverlap="1" layoutInCell="1" locked="0" behindDoc="0" simplePos="0" relativeHeight="25264">
            <wp:simplePos x="0" y="0"/>
            <wp:positionH relativeFrom="page">
              <wp:posOffset>484631</wp:posOffset>
            </wp:positionH>
            <wp:positionV relativeFrom="paragraph">
              <wp:posOffset>459520</wp:posOffset>
            </wp:positionV>
            <wp:extent cx="1792224" cy="466344"/>
            <wp:effectExtent l="0" t="0" r="0" b="0"/>
            <wp:wrapTopAndBottom/>
            <wp:docPr id="767" name="image392.png" descr=""/>
            <wp:cNvGraphicFramePr>
              <a:graphicFrameLocks noChangeAspect="1"/>
            </wp:cNvGraphicFramePr>
            <a:graphic>
              <a:graphicData uri="http://schemas.openxmlformats.org/drawingml/2006/picture">
                <pic:pic>
                  <pic:nvPicPr>
                    <pic:cNvPr id="768" name="image392.png"/>
                    <pic:cNvPicPr/>
                  </pic:nvPicPr>
                  <pic:blipFill>
                    <a:blip r:embed="rId396" cstate="print"/>
                    <a:stretch>
                      <a:fillRect/>
                    </a:stretch>
                  </pic:blipFill>
                  <pic:spPr>
                    <a:xfrm>
                      <a:off x="0" y="0"/>
                      <a:ext cx="1792224" cy="466344"/>
                    </a:xfrm>
                    <a:prstGeom prst="rect">
                      <a:avLst/>
                    </a:prstGeom>
                  </pic:spPr>
                </pic:pic>
              </a:graphicData>
            </a:graphic>
          </wp:anchor>
        </w:drawing>
      </w:r>
      <w:r>
        <w:rPr>
          <w:sz w:val="21"/>
        </w:rPr>
        <w:t>If the pension </w:t>
      </w:r>
      <w:r>
        <w:rPr>
          <w:rFonts w:ascii="Arial"/>
          <w:sz w:val="20"/>
        </w:rPr>
        <w:t>is </w:t>
      </w:r>
      <w:r>
        <w:rPr>
          <w:sz w:val="21"/>
        </w:rPr>
        <w:t>based on the m-year final average salary, the present value is</w:t>
      </w:r>
    </w:p>
    <w:p>
      <w:pPr>
        <w:spacing w:after="0"/>
        <w:jc w:val="left"/>
        <w:rPr>
          <w:sz w:val="21"/>
        </w:rPr>
        <w:sectPr>
          <w:type w:val="continuous"/>
          <w:pgSz w:w="7200" w:h="11340"/>
          <w:pgMar w:top="1100" w:bottom="0" w:left="660" w:right="560"/>
        </w:sectPr>
      </w:pPr>
    </w:p>
    <w:p>
      <w:pPr>
        <w:pStyle w:val="BodyText"/>
        <w:spacing w:before="4"/>
        <w:rPr>
          <w:sz w:val="10"/>
        </w:rPr>
      </w:pPr>
    </w:p>
    <w:p>
      <w:pPr>
        <w:spacing w:before="0"/>
        <w:ind w:left="0" w:right="0" w:firstLine="0"/>
        <w:jc w:val="right"/>
        <w:rPr>
          <w:rFonts w:ascii="Arial"/>
          <w:b/>
          <w:sz w:val="8"/>
        </w:rPr>
      </w:pPr>
      <w:r>
        <w:rPr>
          <w:rFonts w:ascii="Arial"/>
          <w:b/>
          <w:w w:val="65"/>
          <w:sz w:val="8"/>
        </w:rPr>
        <w:t>CID</w:t>
      </w:r>
    </w:p>
    <w:p>
      <w:pPr>
        <w:spacing w:line="196" w:lineRule="exact" w:before="153"/>
        <w:ind w:left="94" w:right="0" w:firstLine="0"/>
        <w:jc w:val="left"/>
        <w:rPr>
          <w:b/>
          <w:i/>
          <w:sz w:val="21"/>
        </w:rPr>
      </w:pPr>
      <w:r>
        <w:rPr/>
        <w:br w:type="column"/>
      </w:r>
      <w:r>
        <w:rPr>
          <w:b/>
          <w:i/>
          <w:sz w:val="21"/>
        </w:rPr>
        <w:t>Z•c-r</w:t>
      </w:r>
    </w:p>
    <w:p>
      <w:pPr>
        <w:spacing w:after="0" w:line="196" w:lineRule="exact"/>
        <w:jc w:val="left"/>
        <w:rPr>
          <w:sz w:val="21"/>
        </w:rPr>
        <w:sectPr>
          <w:type w:val="continuous"/>
          <w:pgSz w:w="7200" w:h="11340"/>
          <w:pgMar w:top="1100" w:bottom="0" w:left="660" w:right="560"/>
          <w:cols w:num="2" w:equalWidth="0">
            <w:col w:w="2504" w:space="40"/>
            <w:col w:w="3436"/>
          </w:cols>
        </w:sectPr>
      </w:pPr>
    </w:p>
    <w:p>
      <w:pPr>
        <w:tabs>
          <w:tab w:pos="565" w:val="left" w:leader="none"/>
        </w:tabs>
        <w:spacing w:line="127" w:lineRule="exact" w:before="0"/>
        <w:ind w:left="0" w:right="487" w:firstLine="0"/>
        <w:jc w:val="center"/>
        <w:rPr>
          <w:rFonts w:ascii="Arial" w:hAnsi="Arial"/>
          <w:b/>
          <w:sz w:val="11"/>
        </w:rPr>
      </w:pPr>
      <w:r>
        <w:rPr/>
        <w:drawing>
          <wp:anchor distT="0" distB="0" distL="0" distR="0" allowOverlap="1" layoutInCell="1" locked="0" behindDoc="0" simplePos="0" relativeHeight="25288">
            <wp:simplePos x="0" y="0"/>
            <wp:positionH relativeFrom="page">
              <wp:posOffset>2624327</wp:posOffset>
            </wp:positionH>
            <wp:positionV relativeFrom="paragraph">
              <wp:posOffset>6989</wp:posOffset>
            </wp:positionV>
            <wp:extent cx="1508760" cy="310895"/>
            <wp:effectExtent l="0" t="0" r="0" b="0"/>
            <wp:wrapNone/>
            <wp:docPr id="769" name="image393.png" descr=""/>
            <wp:cNvGraphicFramePr>
              <a:graphicFrameLocks noChangeAspect="1"/>
            </wp:cNvGraphicFramePr>
            <a:graphic>
              <a:graphicData uri="http://schemas.openxmlformats.org/drawingml/2006/picture">
                <pic:pic>
                  <pic:nvPicPr>
                    <pic:cNvPr id="770" name="image393.png"/>
                    <pic:cNvPicPr/>
                  </pic:nvPicPr>
                  <pic:blipFill>
                    <a:blip r:embed="rId397" cstate="print"/>
                    <a:stretch>
                      <a:fillRect/>
                    </a:stretch>
                  </pic:blipFill>
                  <pic:spPr>
                    <a:xfrm>
                      <a:off x="0" y="0"/>
                      <a:ext cx="1508760" cy="310895"/>
                    </a:xfrm>
                    <a:prstGeom prst="rect">
                      <a:avLst/>
                    </a:prstGeom>
                  </pic:spPr>
                </pic:pic>
              </a:graphicData>
            </a:graphic>
          </wp:anchor>
        </w:drawing>
      </w:r>
      <w:r>
        <w:rPr/>
        <w:pict>
          <v:shape style="position:absolute;margin-left:150.839996pt;margin-top:1.810926pt;width:20.3pt;height:17pt;mso-position-horizontal-relative:page;mso-position-vertical-relative:paragraph;z-index:-710680" type="#_x0000_t202" filled="false" stroked="false">
            <v:textbox inset="0,0,0,0">
              <w:txbxContent>
                <w:p>
                  <w:pPr>
                    <w:tabs>
                      <w:tab w:pos="405" w:val="left" w:leader="none"/>
                    </w:tabs>
                    <w:spacing w:line="340" w:lineRule="exact" w:before="0"/>
                    <w:ind w:left="0" w:right="0" w:firstLine="0"/>
                    <w:jc w:val="left"/>
                    <w:rPr>
                      <w:i/>
                      <w:sz w:val="34"/>
                    </w:rPr>
                  </w:pPr>
                  <w:r>
                    <w:rPr>
                      <w:i/>
                      <w:spacing w:val="-6"/>
                      <w:w w:val="80"/>
                      <w:sz w:val="34"/>
                    </w:rPr>
                    <w:t>,-°</w:t>
                  </w:r>
                  <w:r>
                    <w:rPr>
                      <w:i/>
                      <w:spacing w:val="-6"/>
                      <w:w w:val="80"/>
                      <w:sz w:val="34"/>
                      <w:u w:val="thick"/>
                    </w:rPr>
                    <w:t>s</w:t>
                  </w:r>
                  <w:r>
                    <w:rPr>
                      <w:i/>
                      <w:spacing w:val="-6"/>
                      <w:sz w:val="34"/>
                      <w:u w:val="thick"/>
                    </w:rPr>
                    <w:tab/>
                  </w:r>
                </w:p>
              </w:txbxContent>
            </v:textbox>
            <w10:wrap type="none"/>
          </v:shape>
        </w:pict>
      </w:r>
      <w:r>
        <w:rPr>
          <w:b/>
          <w:i/>
          <w:w w:val="115"/>
          <w:sz w:val="13"/>
        </w:rPr>
        <w:t>L.,¡</w:t>
        <w:tab/>
      </w:r>
      <w:r>
        <w:rPr>
          <w:rFonts w:ascii="Arial" w:hAnsi="Arial"/>
          <w:b/>
          <w:w w:val="115"/>
          <w:sz w:val="11"/>
        </w:rPr>
        <w:t>z+&amp;</w:t>
      </w:r>
    </w:p>
    <w:p>
      <w:pPr>
        <w:tabs>
          <w:tab w:pos="2821" w:val="left" w:leader="none"/>
        </w:tabs>
        <w:spacing w:line="188" w:lineRule="exact" w:before="0"/>
        <w:ind w:left="1323" w:right="739" w:firstLine="0"/>
        <w:jc w:val="left"/>
        <w:rPr>
          <w:rFonts w:ascii="Arial"/>
          <w:b/>
          <w:i/>
          <w:sz w:val="11"/>
        </w:rPr>
      </w:pPr>
      <w:r>
        <w:rPr>
          <w:spacing w:val="-10"/>
          <w:sz w:val="19"/>
        </w:rPr>
        <w:t>.01 </w:t>
      </w:r>
      <w:r>
        <w:rPr>
          <w:rFonts w:ascii="Arial"/>
          <w:i/>
          <w:sz w:val="20"/>
        </w:rPr>
        <w:t>k</w:t>
      </w:r>
      <w:r>
        <w:rPr>
          <w:rFonts w:ascii="Arial"/>
          <w:i/>
          <w:spacing w:val="-44"/>
          <w:sz w:val="20"/>
        </w:rPr>
        <w:t> </w:t>
      </w:r>
      <w:r>
        <w:rPr>
          <w:rFonts w:ascii="Arial"/>
          <w:i/>
          <w:w w:val="90"/>
          <w:sz w:val="20"/>
        </w:rPr>
        <w:t>( </w:t>
      </w:r>
      <w:r>
        <w:rPr>
          <w:rFonts w:ascii="Arial"/>
          <w:i/>
          <w:sz w:val="20"/>
        </w:rPr>
        <w:t>AS</w:t>
      </w:r>
      <w:r>
        <w:rPr>
          <w:rFonts w:ascii="Arial"/>
          <w:i/>
          <w:spacing w:val="-28"/>
          <w:sz w:val="20"/>
        </w:rPr>
        <w:t> </w:t>
      </w:r>
      <w:r>
        <w:rPr>
          <w:rFonts w:ascii="Arial"/>
          <w:i/>
          <w:w w:val="90"/>
          <w:sz w:val="20"/>
        </w:rPr>
        <w:t>):i:</w:t>
        <w:tab/>
      </w:r>
      <w:r>
        <w:rPr>
          <w:rFonts w:ascii="Arial"/>
          <w:b/>
          <w:i/>
          <w:sz w:val="11"/>
          <w:u w:val="thick"/>
        </w:rPr>
        <w:t>'I</w:t>
      </w:r>
      <w:r>
        <w:rPr>
          <w:rFonts w:ascii="Arial"/>
          <w:b/>
          <w:i/>
          <w:sz w:val="11"/>
        </w:rPr>
        <w:t>'</w:t>
      </w:r>
    </w:p>
    <w:p>
      <w:pPr>
        <w:spacing w:line="228" w:lineRule="exact" w:before="0"/>
        <w:ind w:left="74" w:right="518" w:firstLine="0"/>
        <w:jc w:val="center"/>
        <w:rPr>
          <w:sz w:val="23"/>
        </w:rPr>
      </w:pPr>
      <w:r>
        <w:rPr>
          <w:w w:val="95"/>
          <w:sz w:val="23"/>
        </w:rPr>
        <w:t>Ds</w:t>
      </w:r>
    </w:p>
    <w:p>
      <w:pPr>
        <w:spacing w:line="223" w:lineRule="auto" w:before="153"/>
        <w:ind w:left="121" w:right="113" w:firstLine="7"/>
        <w:jc w:val="both"/>
        <w:rPr>
          <w:sz w:val="21"/>
        </w:rPr>
      </w:pPr>
      <w:r>
        <w:rPr>
          <w:w w:val="105"/>
          <w:sz w:val="21"/>
        </w:rPr>
        <w:t>Note that this formula cannot, as it stands, be applied to lives within </w:t>
      </w:r>
      <w:r>
        <w:rPr>
          <w:rFonts w:ascii="Arial"/>
          <w:i/>
          <w:w w:val="105"/>
          <w:sz w:val="18"/>
        </w:rPr>
        <w:t>m </w:t>
      </w:r>
      <w:r>
        <w:rPr>
          <w:w w:val="105"/>
          <w:sz w:val="21"/>
        </w:rPr>
        <w:t>years of the earliest possible retirement age, since </w:t>
      </w:r>
      <w:r>
        <w:rPr>
          <w:b/>
          <w:i/>
          <w:w w:val="105"/>
          <w:sz w:val="17"/>
        </w:rPr>
        <w:t>.Zs+i </w:t>
      </w:r>
      <w:r>
        <w:rPr>
          <w:w w:val="105"/>
          <w:sz w:val="21"/>
        </w:rPr>
        <w:t>has not been defined for </w:t>
      </w:r>
      <w:r>
        <w:rPr>
          <w:i/>
          <w:w w:val="105"/>
          <w:sz w:val="22"/>
        </w:rPr>
        <w:t>t </w:t>
      </w:r>
      <w:r>
        <w:rPr>
          <w:w w:val="105"/>
          <w:sz w:val="25"/>
        </w:rPr>
        <w:t>&lt; </w:t>
      </w:r>
      <w:r>
        <w:rPr>
          <w:i/>
          <w:w w:val="105"/>
          <w:sz w:val="22"/>
        </w:rPr>
        <w:t>m. </w:t>
      </w:r>
      <w:r>
        <w:rPr>
          <w:w w:val="105"/>
          <w:sz w:val="21"/>
        </w:rPr>
        <w:t>An appropriate definition can </w:t>
      </w:r>
      <w:r>
        <w:rPr>
          <w:rFonts w:ascii="Arial"/>
          <w:w w:val="105"/>
          <w:sz w:val="18"/>
        </w:rPr>
        <w:t>be </w:t>
      </w:r>
      <w:r>
        <w:rPr>
          <w:w w:val="105"/>
          <w:sz w:val="21"/>
        </w:rPr>
        <w:t>made in any specific case; this would take account not only of</w:t>
      </w:r>
    </w:p>
    <w:p>
      <w:pPr>
        <w:spacing w:line="146" w:lineRule="auto" w:before="79"/>
        <w:ind w:left="124" w:right="122" w:firstLine="3"/>
        <w:jc w:val="both"/>
        <w:rPr>
          <w:sz w:val="21"/>
        </w:rPr>
      </w:pPr>
      <w:r>
        <w:rPr>
          <w:sz w:val="21"/>
        </w:rPr>
        <w:t>any actual salary paid before attainment of age </w:t>
      </w:r>
      <w:r>
        <w:rPr>
          <w:rFonts w:ascii="Arial"/>
          <w:i/>
          <w:sz w:val="17"/>
        </w:rPr>
        <w:t>x  </w:t>
      </w:r>
      <w:r>
        <w:rPr>
          <w:sz w:val="21"/>
        </w:rPr>
        <w:t>but  also of  the fact that  for     tirements before age </w:t>
      </w:r>
      <w:r>
        <w:rPr>
          <w:rFonts w:ascii="Arial"/>
          <w:i/>
          <w:sz w:val="18"/>
        </w:rPr>
        <w:t>x  </w:t>
      </w:r>
      <w:r>
        <w:rPr>
          <w:rFonts w:ascii="Arial"/>
          <w:sz w:val="31"/>
        </w:rPr>
        <w:t>+ </w:t>
      </w:r>
      <w:r>
        <w:rPr>
          <w:rFonts w:ascii="Arial"/>
          <w:i/>
          <w:sz w:val="18"/>
        </w:rPr>
        <w:t>m </w:t>
      </w:r>
      <w:r>
        <w:rPr>
          <w:sz w:val="21"/>
        </w:rPr>
        <w:t>there may be less   than</w:t>
      </w:r>
    </w:p>
    <w:p>
      <w:pPr>
        <w:spacing w:line="240" w:lineRule="exact" w:before="5"/>
        <w:ind w:left="124" w:right="0" w:firstLine="0"/>
        <w:jc w:val="both"/>
        <w:rPr>
          <w:sz w:val="21"/>
        </w:rPr>
      </w:pPr>
      <w:r>
        <w:rPr>
          <w:rFonts w:ascii="Arial"/>
          <w:i/>
          <w:sz w:val="18"/>
        </w:rPr>
        <w:t>m </w:t>
      </w:r>
      <w:r>
        <w:rPr>
          <w:sz w:val="21"/>
        </w:rPr>
        <w:t>years of  salary to average.</w:t>
      </w:r>
    </w:p>
    <w:p>
      <w:pPr>
        <w:spacing w:line="238" w:lineRule="exact" w:before="3"/>
        <w:ind w:left="164" w:right="130" w:firstLine="158"/>
        <w:jc w:val="left"/>
        <w:rPr>
          <w:sz w:val="21"/>
        </w:rPr>
      </w:pPr>
      <w:r>
        <w:rPr>
          <w:sz w:val="21"/>
        </w:rPr>
        <w:t>Most pension plans give sorne recognition to length oí service (or,  alternatively,  length  of  participation  in  the  plan )  in </w:t>
      </w:r>
      <w:r>
        <w:rPr>
          <w:spacing w:val="11"/>
          <w:sz w:val="21"/>
        </w:rPr>
        <w:t> </w:t>
      </w:r>
      <w:r>
        <w:rPr>
          <w:sz w:val="21"/>
        </w:rPr>
        <w:t>deter-</w:t>
      </w:r>
    </w:p>
    <w:p>
      <w:pPr>
        <w:spacing w:after="0" w:line="238" w:lineRule="exact"/>
        <w:jc w:val="left"/>
        <w:rPr>
          <w:sz w:val="21"/>
        </w:rPr>
        <w:sectPr>
          <w:type w:val="continuous"/>
          <w:pgSz w:w="7200" w:h="11340"/>
          <w:pgMar w:top="1100" w:bottom="0" w:left="660" w:right="560"/>
        </w:sectPr>
      </w:pPr>
    </w:p>
    <w:p>
      <w:pPr>
        <w:tabs>
          <w:tab w:pos="1332" w:val="left" w:leader="none"/>
          <w:tab w:pos="5856" w:val="right" w:leader="none"/>
        </w:tabs>
        <w:spacing w:before="57"/>
        <w:ind w:left="104" w:right="0" w:firstLine="0"/>
        <w:jc w:val="left"/>
        <w:rPr>
          <w:sz w:val="20"/>
        </w:rPr>
      </w:pPr>
      <w:r>
        <w:rPr>
          <w:b/>
          <w:w w:val="105"/>
          <w:sz w:val="15"/>
        </w:rPr>
        <w:t>SEC. </w:t>
      </w:r>
      <w:r>
        <w:rPr>
          <w:b/>
          <w:spacing w:val="19"/>
          <w:w w:val="105"/>
          <w:sz w:val="15"/>
        </w:rPr>
        <w:t> </w:t>
      </w:r>
      <w:r>
        <w:rPr>
          <w:b/>
          <w:w w:val="105"/>
          <w:sz w:val="19"/>
        </w:rPr>
        <w:t>3]</w:t>
        <w:tab/>
      </w:r>
      <w:r>
        <w:rPr>
          <w:b/>
          <w:w w:val="105"/>
          <w:sz w:val="15"/>
        </w:rPr>
        <w:t>PENSION   BENEFITS   BASED </w:t>
      </w:r>
      <w:r>
        <w:rPr>
          <w:b/>
          <w:spacing w:val="11"/>
          <w:w w:val="105"/>
          <w:sz w:val="15"/>
        </w:rPr>
        <w:t> </w:t>
      </w:r>
      <w:r>
        <w:rPr>
          <w:b/>
          <w:w w:val="105"/>
          <w:sz w:val="15"/>
        </w:rPr>
        <w:t>ON </w:t>
      </w:r>
      <w:r>
        <w:rPr>
          <w:b/>
          <w:spacing w:val="21"/>
          <w:w w:val="105"/>
          <w:sz w:val="15"/>
        </w:rPr>
        <w:t> </w:t>
      </w:r>
      <w:r>
        <w:rPr>
          <w:b/>
          <w:w w:val="105"/>
          <w:sz w:val="15"/>
        </w:rPr>
        <w:t>SALARY</w:t>
      </w:r>
      <w:r>
        <w:rPr>
          <w:w w:val="105"/>
          <w:sz w:val="20"/>
        </w:rPr>
        <w:tab/>
        <w:t>313</w:t>
      </w:r>
    </w:p>
    <w:p>
      <w:pPr>
        <w:spacing w:line="237" w:lineRule="auto" w:before="238"/>
        <w:ind w:left="108" w:right="110" w:hanging="4"/>
        <w:jc w:val="both"/>
        <w:rPr>
          <w:sz w:val="21"/>
        </w:rPr>
      </w:pPr>
      <w:r>
        <w:rPr>
          <w:sz w:val="21"/>
        </w:rPr>
        <w:t>mining the pension benefit. Consider a plan providing,  for each year  of  service  at  retirement,  an  annual  retirement  pension  of  </w:t>
      </w:r>
      <w:r>
        <w:rPr>
          <w:i/>
          <w:sz w:val="20"/>
        </w:rPr>
        <w:t>k </w:t>
      </w:r>
      <w:r>
        <w:rPr>
          <w:rFonts w:ascii="Arial"/>
          <w:sz w:val="19"/>
        </w:rPr>
        <w:t>% </w:t>
      </w:r>
      <w:r>
        <w:rPr>
          <w:sz w:val="21"/>
        </w:rPr>
        <w:t>of annual salary at the rate of pay applicable in the year of retirement. If an  employee  at  age </w:t>
      </w:r>
      <w:r>
        <w:rPr>
          <w:i/>
          <w:sz w:val="22"/>
        </w:rPr>
        <w:t>x  </w:t>
      </w:r>
      <w:r>
        <w:rPr>
          <w:sz w:val="21"/>
        </w:rPr>
        <w:t>has  </w:t>
      </w:r>
      <w:r>
        <w:rPr>
          <w:i/>
          <w:sz w:val="22"/>
        </w:rPr>
        <w:t>n </w:t>
      </w:r>
      <w:r>
        <w:rPr>
          <w:sz w:val="21"/>
        </w:rPr>
        <w:t>years  of  past  service </w:t>
      </w:r>
      <w:r>
        <w:rPr>
          <w:rFonts w:ascii="Arial"/>
          <w:i/>
          <w:sz w:val="19"/>
        </w:rPr>
        <w:t>(n </w:t>
      </w:r>
      <w:r>
        <w:rPr>
          <w:sz w:val="21"/>
        </w:rPr>
        <w:t>is not necessarily an integer here), the present value of  the portion  of the benefit  arising from past service</w:t>
      </w:r>
      <w:r>
        <w:rPr>
          <w:spacing w:val="32"/>
          <w:sz w:val="21"/>
        </w:rPr>
        <w:t> </w:t>
      </w:r>
      <w:r>
        <w:rPr>
          <w:sz w:val="21"/>
        </w:rPr>
        <w:t>is</w:t>
      </w:r>
    </w:p>
    <w:p>
      <w:pPr>
        <w:spacing w:after="0" w:line="237" w:lineRule="auto"/>
        <w:jc w:val="both"/>
        <w:rPr>
          <w:sz w:val="21"/>
        </w:rPr>
        <w:sectPr>
          <w:pgSz w:w="7200" w:h="11340"/>
          <w:pgMar w:top="480" w:bottom="280" w:left="680" w:right="560"/>
        </w:sectPr>
      </w:pPr>
    </w:p>
    <w:p>
      <w:pPr>
        <w:spacing w:line="194" w:lineRule="exact" w:before="246"/>
        <w:ind w:left="2124" w:right="-31" w:firstLine="0"/>
        <w:jc w:val="left"/>
        <w:rPr>
          <w:rFonts w:ascii="Arial" w:hAnsi="Arial"/>
          <w:sz w:val="20"/>
        </w:rPr>
      </w:pPr>
      <w:r>
        <w:rPr>
          <w:rFonts w:ascii="Arial" w:hAnsi="Arial"/>
          <w:b/>
          <w:spacing w:val="-29"/>
          <w:w w:val="115"/>
          <w:sz w:val="20"/>
        </w:rPr>
        <w:t>.</w:t>
      </w:r>
      <w:r>
        <w:rPr>
          <w:rFonts w:ascii="Arial" w:hAnsi="Arial"/>
          <w:b/>
          <w:w w:val="100"/>
          <w:sz w:val="20"/>
        </w:rPr>
        <w:t>01</w:t>
      </w:r>
      <w:r>
        <w:rPr>
          <w:rFonts w:ascii="Arial" w:hAnsi="Arial"/>
          <w:b/>
          <w:spacing w:val="-14"/>
          <w:sz w:val="20"/>
        </w:rPr>
        <w:t> </w:t>
      </w:r>
      <w:r>
        <w:rPr>
          <w:rFonts w:ascii="Arial" w:hAnsi="Arial"/>
          <w:i/>
          <w:spacing w:val="-2"/>
          <w:w w:val="104"/>
          <w:sz w:val="20"/>
        </w:rPr>
        <w:t>k·</w:t>
      </w:r>
      <w:r>
        <w:rPr>
          <w:rFonts w:ascii="Arial" w:hAnsi="Arial"/>
          <w:i/>
          <w:w w:val="103"/>
          <w:sz w:val="20"/>
        </w:rPr>
        <w:t>n</w:t>
      </w:r>
      <w:r>
        <w:rPr>
          <w:rFonts w:ascii="Arial" w:hAnsi="Arial"/>
          <w:i/>
          <w:w w:val="103"/>
          <w:sz w:val="20"/>
        </w:rPr>
        <w:t>(</w:t>
      </w:r>
      <w:r>
        <w:rPr>
          <w:rFonts w:ascii="Arial" w:hAnsi="Arial"/>
          <w:i/>
          <w:spacing w:val="-4"/>
          <w:sz w:val="20"/>
        </w:rPr>
        <w:t> </w:t>
      </w:r>
      <w:r>
        <w:rPr>
          <w:rFonts w:ascii="Arial" w:hAnsi="Arial"/>
          <w:i/>
          <w:w w:val="95"/>
          <w:sz w:val="20"/>
        </w:rPr>
        <w:t>AS</w:t>
      </w:r>
      <w:r>
        <w:rPr>
          <w:rFonts w:ascii="Arial" w:hAnsi="Arial"/>
          <w:i/>
          <w:spacing w:val="-17"/>
          <w:sz w:val="20"/>
        </w:rPr>
        <w:t> </w:t>
      </w:r>
      <w:r>
        <w:rPr>
          <w:rFonts w:ascii="Arial" w:hAnsi="Arial"/>
          <w:i/>
          <w:w w:val="75"/>
          <w:sz w:val="20"/>
        </w:rPr>
        <w:t>)z</w:t>
      </w:r>
      <w:r>
        <w:rPr>
          <w:rFonts w:ascii="Arial" w:hAnsi="Arial"/>
          <w:i/>
          <w:sz w:val="20"/>
        </w:rPr>
        <w:t> </w:t>
      </w:r>
      <w:r>
        <w:rPr>
          <w:rFonts w:ascii="Arial" w:hAnsi="Arial"/>
          <w:i/>
          <w:spacing w:val="-4"/>
          <w:sz w:val="20"/>
        </w:rPr>
        <w:t> </w:t>
      </w:r>
      <w:r>
        <w:rPr>
          <w:rFonts w:ascii="Arial" w:hAnsi="Arial"/>
          <w:spacing w:val="-13"/>
          <w:w w:val="99"/>
          <w:sz w:val="20"/>
          <w:u w:val="thick"/>
        </w:rPr>
        <w:t> </w:t>
      </w:r>
      <w:r>
        <w:rPr>
          <w:rFonts w:ascii="Arial" w:hAnsi="Arial"/>
          <w:spacing w:val="-56"/>
          <w:w w:val="452"/>
          <w:sz w:val="20"/>
          <w:u w:val="thick"/>
        </w:rPr>
        <w:t>"</w:t>
      </w:r>
      <w:r>
        <w:rPr>
          <w:rFonts w:ascii="Arial" w:hAnsi="Arial"/>
          <w:spacing w:val="-36"/>
          <w:w w:val="303"/>
          <w:sz w:val="20"/>
          <w:u w:val="thick"/>
        </w:rPr>
        <w:t>;</w:t>
      </w:r>
      <w:r>
        <w:rPr>
          <w:rFonts w:ascii="Arial" w:hAnsi="Arial"/>
          <w:w w:val="184"/>
          <w:sz w:val="20"/>
        </w:rPr>
        <w:t>,</w:t>
      </w:r>
    </w:p>
    <w:p>
      <w:pPr>
        <w:spacing w:line="217" w:lineRule="exact" w:before="0"/>
        <w:ind w:left="0" w:right="259" w:firstLine="0"/>
        <w:jc w:val="right"/>
        <w:rPr>
          <w:i/>
          <w:sz w:val="22"/>
        </w:rPr>
      </w:pPr>
      <w:r>
        <w:rPr>
          <w:i/>
          <w:w w:val="85"/>
          <w:sz w:val="22"/>
        </w:rPr>
        <w:t>Dz</w:t>
      </w:r>
    </w:p>
    <w:p>
      <w:pPr>
        <w:pStyle w:val="BodyText"/>
        <w:spacing w:before="240"/>
        <w:ind w:left="1272"/>
      </w:pPr>
      <w:r>
        <w:rPr/>
        <w:br w:type="column"/>
      </w:r>
      <w:r>
        <w:rPr>
          <w:w w:val="105"/>
        </w:rPr>
        <w:t>(16.18)</w:t>
      </w:r>
    </w:p>
    <w:p>
      <w:pPr>
        <w:spacing w:after="0"/>
        <w:sectPr>
          <w:type w:val="continuous"/>
          <w:pgSz w:w="7200" w:h="11340"/>
          <w:pgMar w:top="1100" w:bottom="0" w:left="680" w:right="560"/>
          <w:cols w:num="2" w:equalWidth="0">
            <w:col w:w="3912" w:space="40"/>
            <w:col w:w="2008"/>
          </w:cols>
        </w:sectPr>
      </w:pPr>
    </w:p>
    <w:p>
      <w:pPr>
        <w:spacing w:line="238" w:lineRule="exact" w:before="107"/>
        <w:ind w:left="147" w:right="0" w:hanging="29"/>
        <w:jc w:val="left"/>
        <w:rPr>
          <w:sz w:val="21"/>
        </w:rPr>
      </w:pPr>
      <w:r>
        <w:rPr/>
        <w:drawing>
          <wp:anchor distT="0" distB="0" distL="0" distR="0" allowOverlap="1" layoutInCell="1" locked="0" behindDoc="0" simplePos="0" relativeHeight="25408">
            <wp:simplePos x="0" y="0"/>
            <wp:positionH relativeFrom="page">
              <wp:posOffset>502919</wp:posOffset>
            </wp:positionH>
            <wp:positionV relativeFrom="paragraph">
              <wp:posOffset>449452</wp:posOffset>
            </wp:positionV>
            <wp:extent cx="2505456" cy="731520"/>
            <wp:effectExtent l="0" t="0" r="0" b="0"/>
            <wp:wrapNone/>
            <wp:docPr id="771" name="image394.png" descr=""/>
            <wp:cNvGraphicFramePr>
              <a:graphicFrameLocks noChangeAspect="1"/>
            </wp:cNvGraphicFramePr>
            <a:graphic>
              <a:graphicData uri="http://schemas.openxmlformats.org/drawingml/2006/picture">
                <pic:pic>
                  <pic:nvPicPr>
                    <pic:cNvPr id="772" name="image394.png"/>
                    <pic:cNvPicPr/>
                  </pic:nvPicPr>
                  <pic:blipFill>
                    <a:blip r:embed="rId398" cstate="print"/>
                    <a:stretch>
                      <a:fillRect/>
                    </a:stretch>
                  </pic:blipFill>
                  <pic:spPr>
                    <a:xfrm>
                      <a:off x="0" y="0"/>
                      <a:ext cx="2505456" cy="731520"/>
                    </a:xfrm>
                    <a:prstGeom prst="rect">
                      <a:avLst/>
                    </a:prstGeom>
                  </pic:spPr>
                </pic:pic>
              </a:graphicData>
            </a:graphic>
          </wp:anchor>
        </w:drawing>
      </w:r>
      <w:r>
        <w:rPr>
          <w:sz w:val="21"/>
        </w:rPr>
        <w:t>and the present value of the portion arising from future servicP. (assuming credit only for completed years of future service)  is</w:t>
      </w:r>
    </w:p>
    <w:p>
      <w:pPr>
        <w:spacing w:after="0" w:line="238" w:lineRule="exact"/>
        <w:jc w:val="left"/>
        <w:rPr>
          <w:sz w:val="21"/>
        </w:rPr>
        <w:sectPr>
          <w:type w:val="continuous"/>
          <w:pgSz w:w="7200" w:h="11340"/>
          <w:pgMar w:top="1100" w:bottom="0" w:left="680" w:right="56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34"/>
        </w:rPr>
      </w:pPr>
    </w:p>
    <w:p>
      <w:pPr>
        <w:spacing w:before="0"/>
        <w:ind w:left="1940" w:right="-15" w:firstLine="0"/>
        <w:jc w:val="left"/>
        <w:rPr>
          <w:b/>
          <w:i/>
          <w:sz w:val="21"/>
        </w:rPr>
      </w:pPr>
      <w:r>
        <w:rPr>
          <w:sz w:val="24"/>
        </w:rPr>
        <w:t>=</w:t>
      </w:r>
      <w:r>
        <w:rPr>
          <w:spacing w:val="1"/>
          <w:sz w:val="24"/>
        </w:rPr>
        <w:t> </w:t>
      </w:r>
      <w:r>
        <w:rPr>
          <w:rFonts w:ascii="Arial"/>
          <w:b/>
          <w:sz w:val="20"/>
        </w:rPr>
        <w:t>.01</w:t>
      </w:r>
      <w:r>
        <w:rPr>
          <w:rFonts w:ascii="Arial"/>
          <w:b/>
          <w:spacing w:val="-34"/>
          <w:sz w:val="20"/>
        </w:rPr>
        <w:t> </w:t>
      </w:r>
      <w:r>
        <w:rPr>
          <w:b/>
          <w:i/>
          <w:sz w:val="21"/>
        </w:rPr>
        <w:t>k(</w:t>
      </w:r>
      <w:r>
        <w:rPr>
          <w:b/>
          <w:i/>
          <w:spacing w:val="-25"/>
          <w:sz w:val="21"/>
        </w:rPr>
        <w:t> </w:t>
      </w:r>
      <w:r>
        <w:rPr>
          <w:b/>
          <w:i/>
          <w:sz w:val="21"/>
        </w:rPr>
        <w:t>AS</w:t>
      </w:r>
      <w:r>
        <w:rPr>
          <w:b/>
          <w:i/>
          <w:spacing w:val="-25"/>
          <w:sz w:val="21"/>
        </w:rPr>
        <w:t> </w:t>
      </w:r>
      <w:r>
        <w:rPr>
          <w:b/>
          <w:i/>
          <w:sz w:val="21"/>
        </w:rPr>
        <w:t>)z</w:t>
      </w:r>
    </w:p>
    <w:p>
      <w:pPr>
        <w:pStyle w:val="BodyText"/>
        <w:rPr>
          <w:b/>
          <w:i/>
          <w:sz w:val="38"/>
        </w:rPr>
      </w:pPr>
      <w:r>
        <w:rPr/>
        <w:br w:type="column"/>
      </w:r>
      <w:r>
        <w:rPr>
          <w:b/>
          <w:i/>
          <w:sz w:val="38"/>
        </w:rPr>
      </w:r>
    </w:p>
    <w:p>
      <w:pPr>
        <w:pStyle w:val="BodyText"/>
        <w:rPr>
          <w:b/>
          <w:i/>
          <w:sz w:val="38"/>
        </w:rPr>
      </w:pPr>
    </w:p>
    <w:p>
      <w:pPr>
        <w:pStyle w:val="BodyText"/>
        <w:spacing w:before="10"/>
        <w:rPr>
          <w:b/>
          <w:i/>
          <w:sz w:val="42"/>
        </w:rPr>
      </w:pPr>
    </w:p>
    <w:p>
      <w:pPr>
        <w:spacing w:line="375" w:lineRule="exact" w:before="0"/>
        <w:ind w:left="48" w:right="0" w:firstLine="0"/>
        <w:jc w:val="center"/>
        <w:rPr>
          <w:rFonts w:ascii="Arial"/>
          <w:b/>
          <w:i/>
          <w:sz w:val="38"/>
        </w:rPr>
      </w:pPr>
      <w:r>
        <w:rPr>
          <w:rFonts w:ascii="Arial"/>
          <w:b/>
          <w:i/>
          <w:spacing w:val="4"/>
          <w:w w:val="115"/>
          <w:position w:val="22"/>
          <w:sz w:val="11"/>
        </w:rPr>
        <w:t>8</w:t>
      </w:r>
      <w:r>
        <w:rPr>
          <w:rFonts w:ascii="Arial"/>
          <w:b/>
          <w:i/>
          <w:spacing w:val="-51"/>
          <w:w w:val="90"/>
          <w:sz w:val="38"/>
          <w:u w:val="thick"/>
        </w:rPr>
        <w:t>:</w:t>
      </w:r>
      <w:r>
        <w:rPr>
          <w:rFonts w:ascii="Arial"/>
          <w:b/>
          <w:i/>
          <w:w w:val="43"/>
          <w:sz w:val="38"/>
          <w:u w:val="thick"/>
        </w:rPr>
        <w:t>R=:</w:t>
      </w:r>
      <w:r>
        <w:rPr>
          <w:rFonts w:ascii="Arial"/>
          <w:b/>
          <w:i/>
          <w:w w:val="43"/>
          <w:sz w:val="38"/>
        </w:rPr>
        <w:t>1</w:t>
      </w:r>
      <w:r>
        <w:rPr>
          <w:rFonts w:ascii="Arial"/>
          <w:b/>
          <w:i/>
          <w:spacing w:val="-37"/>
          <w:sz w:val="38"/>
        </w:rPr>
        <w:t> </w:t>
      </w:r>
      <w:r>
        <w:rPr>
          <w:rFonts w:ascii="Arial"/>
          <w:b/>
          <w:i/>
          <w:w w:val="48"/>
          <w:sz w:val="38"/>
        </w:rPr>
        <w:t>.</w:t>
      </w:r>
    </w:p>
    <w:p>
      <w:pPr>
        <w:spacing w:line="191" w:lineRule="exact" w:before="0"/>
        <w:ind w:left="48" w:right="83" w:firstLine="0"/>
        <w:jc w:val="center"/>
        <w:rPr>
          <w:b/>
          <w:i/>
          <w:sz w:val="22"/>
        </w:rPr>
      </w:pPr>
      <w:r>
        <w:rPr>
          <w:b/>
          <w:i/>
          <w:w w:val="95"/>
          <w:sz w:val="22"/>
        </w:rPr>
        <w:t>Dz</w:t>
      </w:r>
    </w:p>
    <w:p>
      <w:pPr>
        <w:pStyle w:val="BodyText"/>
        <w:rPr>
          <w:b/>
          <w:i/>
        </w:rPr>
      </w:pPr>
      <w:r>
        <w:rPr/>
        <w:br w:type="column"/>
      </w:r>
      <w:r>
        <w:rPr>
          <w:b/>
          <w:i/>
        </w:rPr>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157"/>
        <w:ind w:left="1395"/>
      </w:pPr>
      <w:r>
        <w:rPr>
          <w:w w:val="110"/>
        </w:rPr>
        <w:t>(16.19)</w:t>
      </w:r>
    </w:p>
    <w:p>
      <w:pPr>
        <w:spacing w:after="0"/>
        <w:sectPr>
          <w:type w:val="continuous"/>
          <w:pgSz w:w="7200" w:h="11340"/>
          <w:pgMar w:top="1100" w:bottom="0" w:left="680" w:right="560"/>
          <w:cols w:num="3" w:equalWidth="0">
            <w:col w:w="3080" w:space="40"/>
            <w:col w:w="677" w:space="40"/>
            <w:col w:w="2123"/>
          </w:cols>
        </w:sectPr>
      </w:pPr>
    </w:p>
    <w:p>
      <w:pPr>
        <w:spacing w:line="240" w:lineRule="auto" w:before="116"/>
        <w:ind w:left="122" w:right="105" w:firstLine="205"/>
        <w:jc w:val="both"/>
        <w:rPr>
          <w:sz w:val="21"/>
        </w:rPr>
      </w:pPr>
      <w:r>
        <w:rPr>
          <w:sz w:val="19"/>
        </w:rPr>
        <w:t>If, </w:t>
      </w:r>
      <w:r>
        <w:rPr>
          <w:sz w:val="21"/>
        </w:rPr>
        <w:t>instead of </w:t>
      </w:r>
      <w:r>
        <w:rPr>
          <w:b/>
          <w:sz w:val="20"/>
        </w:rPr>
        <w:t>giving </w:t>
      </w:r>
      <w:r>
        <w:rPr>
          <w:sz w:val="21"/>
        </w:rPr>
        <w:t>credit only for completed years of future service, the plan provides that fractional portions of a year are counted as well, there will be, on the average, an additional half­ year's credit at retirement. This can be taken into account by modifying  the formula for future service benefits  to</w:t>
      </w:r>
    </w:p>
    <w:p>
      <w:pPr>
        <w:tabs>
          <w:tab w:pos="3668" w:val="left" w:leader="none"/>
        </w:tabs>
        <w:spacing w:line="158" w:lineRule="exact" w:before="83"/>
        <w:ind w:left="2740" w:right="0" w:firstLine="0"/>
        <w:jc w:val="left"/>
        <w:rPr>
          <w:b/>
          <w:i/>
          <w:sz w:val="14"/>
        </w:rPr>
      </w:pPr>
      <w:r>
        <w:rPr>
          <w:b/>
          <w:i/>
          <w:w w:val="125"/>
          <w:sz w:val="14"/>
        </w:rPr>
        <w:t>¡¿sa</w:t>
      </w:r>
      <w:r>
        <w:rPr>
          <w:b/>
          <w:i/>
          <w:spacing w:val="42"/>
          <w:w w:val="125"/>
          <w:sz w:val="14"/>
        </w:rPr>
        <w:t> </w:t>
      </w:r>
      <w:r>
        <w:rPr>
          <w:b/>
          <w:i/>
          <w:w w:val="125"/>
          <w:sz w:val="14"/>
        </w:rPr>
        <w:t>-</w:t>
      </w:r>
      <w:r>
        <w:rPr>
          <w:b/>
          <w:i/>
          <w:spacing w:val="15"/>
          <w:w w:val="125"/>
          <w:sz w:val="14"/>
        </w:rPr>
        <w:t> </w:t>
      </w:r>
      <w:r>
        <w:rPr>
          <w:b/>
          <w:i/>
          <w:w w:val="120"/>
          <w:sz w:val="14"/>
        </w:rPr>
        <w:t>r</w:t>
        <w:tab/>
      </w:r>
      <w:r>
        <w:rPr>
          <w:b/>
          <w:i/>
          <w:w w:val="125"/>
          <w:sz w:val="14"/>
        </w:rPr>
        <w:t>sa</w:t>
      </w:r>
      <w:r>
        <w:rPr>
          <w:b/>
          <w:i/>
          <w:spacing w:val="12"/>
          <w:w w:val="125"/>
          <w:sz w:val="14"/>
        </w:rPr>
        <w:t> </w:t>
      </w:r>
      <w:r>
        <w:rPr>
          <w:b/>
          <w:i/>
          <w:w w:val="125"/>
          <w:sz w:val="14"/>
        </w:rPr>
        <w:t>-r</w:t>
      </w:r>
    </w:p>
    <w:p>
      <w:pPr>
        <w:spacing w:after="0" w:line="158" w:lineRule="exact"/>
        <w:jc w:val="left"/>
        <w:rPr>
          <w:sz w:val="14"/>
        </w:rPr>
        <w:sectPr>
          <w:type w:val="continuous"/>
          <w:pgSz w:w="7200" w:h="11340"/>
          <w:pgMar w:top="1100" w:bottom="0" w:left="680" w:right="560"/>
        </w:sectPr>
      </w:pPr>
    </w:p>
    <w:p>
      <w:pPr>
        <w:spacing w:line="190" w:lineRule="exact" w:before="0"/>
        <w:ind w:left="1717" w:right="0" w:firstLine="0"/>
        <w:jc w:val="left"/>
        <w:rPr>
          <w:b/>
          <w:i/>
          <w:sz w:val="21"/>
        </w:rPr>
      </w:pPr>
      <w:r>
        <w:rPr/>
        <w:pict>
          <v:line style="position:absolute;mso-position-horizontal-relative:page;mso-position-vertical-relative:paragraph;z-index:-710632" from="198.539993pt,10.982203pt" to="214.559993pt,10.982203pt" stroked="true" strokeweight="4.140pt" strokecolor="#000000">
            <w10:wrap type="none"/>
          </v:line>
        </w:pict>
      </w:r>
      <w:r>
        <w:rPr>
          <w:w w:val="110"/>
          <w:sz w:val="20"/>
        </w:rPr>
        <w:t>.01 </w:t>
      </w:r>
      <w:r>
        <w:rPr>
          <w:rFonts w:ascii="Arial"/>
          <w:i/>
          <w:w w:val="110"/>
          <w:sz w:val="20"/>
        </w:rPr>
        <w:t>k( AS </w:t>
      </w:r>
      <w:r>
        <w:rPr>
          <w:rFonts w:ascii="Arial"/>
          <w:i/>
          <w:sz w:val="20"/>
        </w:rPr>
        <w:t>):i </w:t>
      </w:r>
      <w:r>
        <w:rPr>
          <w:rFonts w:ascii="Arial"/>
          <w:w w:val="110"/>
          <w:position w:val="6"/>
          <w:sz w:val="14"/>
        </w:rPr>
        <w:t>72  </w:t>
      </w:r>
      <w:r>
        <w:rPr>
          <w:b/>
          <w:i/>
          <w:w w:val="125"/>
          <w:sz w:val="21"/>
        </w:rPr>
        <w:t>M</w:t>
      </w:r>
    </w:p>
    <w:p>
      <w:pPr>
        <w:spacing w:line="219" w:lineRule="exact" w:before="0"/>
        <w:ind w:left="0" w:right="0" w:firstLine="0"/>
        <w:jc w:val="right"/>
        <w:rPr>
          <w:b/>
          <w:i/>
          <w:sz w:val="22"/>
        </w:rPr>
      </w:pPr>
      <w:r>
        <w:rPr>
          <w:b/>
          <w:i/>
          <w:w w:val="85"/>
          <w:sz w:val="22"/>
        </w:rPr>
        <w:t>Dz</w:t>
      </w:r>
    </w:p>
    <w:p>
      <w:pPr>
        <w:spacing w:line="221" w:lineRule="exact" w:before="0"/>
        <w:ind w:left="199" w:right="-18" w:firstLine="0"/>
        <w:jc w:val="left"/>
        <w:rPr>
          <w:rFonts w:ascii="Arial"/>
          <w:i/>
          <w:sz w:val="20"/>
        </w:rPr>
      </w:pPr>
      <w:r>
        <w:rPr/>
        <w:br w:type="column"/>
      </w:r>
      <w:r>
        <w:rPr>
          <w:rFonts w:ascii="Arial"/>
          <w:i/>
          <w:sz w:val="20"/>
        </w:rPr>
        <w:t>R:i+i</w:t>
      </w:r>
      <w:r>
        <w:rPr>
          <w:rFonts w:ascii="Arial"/>
          <w:i/>
          <w:spacing w:val="-14"/>
          <w:sz w:val="20"/>
        </w:rPr>
        <w:t> </w:t>
      </w:r>
      <w:r>
        <w:rPr>
          <w:rFonts w:ascii="Arial"/>
          <w:i/>
          <w:sz w:val="20"/>
        </w:rPr>
        <w:t>.</w:t>
      </w:r>
    </w:p>
    <w:p>
      <w:pPr>
        <w:pStyle w:val="BodyText"/>
        <w:spacing w:before="9"/>
        <w:ind w:left="881"/>
      </w:pPr>
      <w:r>
        <w:rPr/>
        <w:br w:type="column"/>
      </w:r>
      <w:r>
        <w:rPr>
          <w:w w:val="110"/>
        </w:rPr>
        <w:t>(16.20)</w:t>
      </w:r>
    </w:p>
    <w:p>
      <w:pPr>
        <w:spacing w:after="0"/>
        <w:sectPr>
          <w:type w:val="continuous"/>
          <w:pgSz w:w="7200" w:h="11340"/>
          <w:pgMar w:top="1100" w:bottom="0" w:left="680" w:right="560"/>
          <w:cols w:num="3" w:equalWidth="0">
            <w:col w:w="3570" w:space="40"/>
            <w:col w:w="704" w:space="40"/>
            <w:col w:w="1606"/>
          </w:cols>
        </w:sectPr>
      </w:pPr>
    </w:p>
    <w:p>
      <w:pPr>
        <w:spacing w:line="237" w:lineRule="auto" w:before="107"/>
        <w:ind w:left="126" w:right="101" w:firstLine="3"/>
        <w:jc w:val="both"/>
        <w:rPr>
          <w:sz w:val="21"/>
        </w:rPr>
      </w:pPr>
      <w:r>
        <w:rPr>
          <w:sz w:val="21"/>
        </w:rPr>
        <w:t>It should </w:t>
      </w:r>
      <w:r>
        <w:rPr>
          <w:rFonts w:ascii="Arial" w:hAnsi="Arial"/>
          <w:sz w:val="18"/>
        </w:rPr>
        <w:t>be </w:t>
      </w:r>
      <w:r>
        <w:rPr>
          <w:sz w:val="21"/>
        </w:rPr>
        <w:t>noted that when past service is combined with future service the number of completed years of total service is not necessarily equal to the number of completed years of past service plus the number of completed years of future service. Moreover,  the addition of a half-year's credit to both past service and future service does not necessarily give the best approximation to total service with fractional years of service considered. In any calcula­ tion </w:t>
      </w:r>
      <w:r>
        <w:rPr>
          <w:sz w:val="20"/>
        </w:rPr>
        <w:t>in </w:t>
      </w:r>
      <w:r>
        <w:rPr>
          <w:sz w:val="21"/>
        </w:rPr>
        <w:t>which past service and future service are combined, care must  be taken to use appropriate  </w:t>
      </w:r>
      <w:r>
        <w:rPr>
          <w:spacing w:val="19"/>
          <w:sz w:val="21"/>
        </w:rPr>
        <w:t> </w:t>
      </w:r>
      <w:r>
        <w:rPr>
          <w:sz w:val="21"/>
        </w:rPr>
        <w:t>methods.</w:t>
      </w:r>
    </w:p>
    <w:p>
      <w:pPr>
        <w:spacing w:line="238" w:lineRule="exact" w:before="2"/>
        <w:ind w:left="126" w:right="0" w:firstLine="205"/>
        <w:jc w:val="left"/>
        <w:rPr>
          <w:sz w:val="21"/>
        </w:rPr>
      </w:pPr>
      <w:r>
        <w:rPr>
          <w:sz w:val="19"/>
        </w:rPr>
        <w:t>If </w:t>
      </w:r>
      <w:r>
        <w:rPr>
          <w:sz w:val="21"/>
        </w:rPr>
        <w:t>pension benefits are based on aggregate salary during service rather than on final salary, the nature oí the problem  of   evaluating</w:t>
      </w:r>
    </w:p>
    <w:p>
      <w:pPr>
        <w:spacing w:after="0" w:line="238" w:lineRule="exact"/>
        <w:jc w:val="left"/>
        <w:rPr>
          <w:sz w:val="21"/>
        </w:rPr>
        <w:sectPr>
          <w:type w:val="continuous"/>
          <w:pgSz w:w="7200" w:h="11340"/>
          <w:pgMar w:top="1100" w:bottom="0" w:left="680" w:right="560"/>
        </w:sectPr>
      </w:pPr>
    </w:p>
    <w:p>
      <w:pPr>
        <w:tabs>
          <w:tab w:pos="2069" w:val="left" w:leader="none"/>
          <w:tab w:pos="5338" w:val="left" w:leader="none"/>
        </w:tabs>
        <w:spacing w:before="57"/>
        <w:ind w:left="226" w:right="0" w:hanging="4"/>
        <w:jc w:val="left"/>
        <w:rPr>
          <w:b/>
          <w:sz w:val="20"/>
        </w:rPr>
      </w:pPr>
      <w:r>
        <w:rPr>
          <w:position w:val="1"/>
          <w:sz w:val="20"/>
        </w:rPr>
        <w:t>314</w:t>
        <w:tab/>
      </w:r>
      <w:r>
        <w:rPr>
          <w:b/>
          <w:position w:val="1"/>
          <w:sz w:val="15"/>
        </w:rPr>
        <w:t>A  </w:t>
      </w:r>
      <w:r>
        <w:rPr>
          <w:b/>
          <w:spacing w:val="1"/>
          <w:position w:val="1"/>
          <w:sz w:val="15"/>
        </w:rPr>
        <w:t> </w:t>
      </w:r>
      <w:r>
        <w:rPr>
          <w:b/>
          <w:position w:val="1"/>
          <w:sz w:val="15"/>
        </w:rPr>
        <w:t>GENERALIZED </w:t>
      </w:r>
      <w:r>
        <w:rPr>
          <w:b/>
          <w:spacing w:val="34"/>
          <w:position w:val="1"/>
          <w:sz w:val="15"/>
        </w:rPr>
        <w:t> </w:t>
      </w:r>
      <w:r>
        <w:rPr>
          <w:b/>
          <w:position w:val="1"/>
          <w:sz w:val="15"/>
        </w:rPr>
        <w:t>MODEL</w:t>
        <w:tab/>
      </w:r>
      <w:r>
        <w:rPr>
          <w:rFonts w:ascii="Arial"/>
          <w:b/>
          <w:sz w:val="14"/>
        </w:rPr>
        <w:t>[CH.  </w:t>
      </w:r>
      <w:r>
        <w:rPr>
          <w:rFonts w:ascii="Arial"/>
          <w:b/>
          <w:spacing w:val="22"/>
          <w:sz w:val="14"/>
        </w:rPr>
        <w:t> </w:t>
      </w:r>
      <w:r>
        <w:rPr>
          <w:b/>
          <w:sz w:val="20"/>
        </w:rPr>
        <w:t>16</w:t>
      </w:r>
    </w:p>
    <w:p>
      <w:pPr>
        <w:pStyle w:val="BodyText"/>
        <w:spacing w:before="9"/>
        <w:rPr>
          <w:b/>
          <w:sz w:val="18"/>
        </w:rPr>
      </w:pPr>
    </w:p>
    <w:p>
      <w:pPr>
        <w:pStyle w:val="BodyText"/>
        <w:spacing w:line="247" w:lineRule="auto"/>
        <w:ind w:left="222" w:firstLine="3"/>
      </w:pPr>
      <w:r>
        <w:rPr>
          <w:w w:val="105"/>
        </w:rPr>
        <w:t>pension benefits is altered considerably. A benefit based on aggrc­ gate salary is somctimes called a </w:t>
      </w:r>
      <w:r>
        <w:rPr>
          <w:i/>
          <w:w w:val="105"/>
        </w:rPr>
        <w:t>career average </w:t>
      </w:r>
      <w:r>
        <w:rPr>
          <w:w w:val="105"/>
        </w:rPr>
        <w:t>pension, since  the</w:t>
      </w:r>
    </w:p>
    <w:p>
      <w:pPr>
        <w:pStyle w:val="ListParagraph"/>
        <w:numPr>
          <w:ilvl w:val="0"/>
          <w:numId w:val="144"/>
        </w:numPr>
        <w:tabs>
          <w:tab w:pos="223" w:val="left" w:leader="none"/>
        </w:tabs>
        <w:spacing w:line="249" w:lineRule="auto" w:before="1" w:after="0"/>
        <w:ind w:left="219" w:right="134" w:hanging="105"/>
        <w:jc w:val="both"/>
        <w:rPr>
          <w:sz w:val="20"/>
        </w:rPr>
      </w:pPr>
      <w:r>
        <w:rPr>
          <w:w w:val="105"/>
          <w:sz w:val="20"/>
        </w:rPr>
        <w:t>pension formula may be expressed either as </w:t>
      </w:r>
      <w:r>
        <w:rPr>
          <w:i/>
          <w:w w:val="105"/>
          <w:sz w:val="19"/>
        </w:rPr>
        <w:t>k </w:t>
      </w:r>
      <w:r>
        <w:rPr>
          <w:rFonts w:ascii="Arial"/>
          <w:w w:val="105"/>
          <w:sz w:val="18"/>
        </w:rPr>
        <w:t>% </w:t>
      </w:r>
      <w:r>
        <w:rPr>
          <w:w w:val="105"/>
          <w:sz w:val="20"/>
        </w:rPr>
        <w:t>of aggregate</w:t>
      </w:r>
      <w:r>
        <w:rPr>
          <w:spacing w:val="-19"/>
          <w:w w:val="105"/>
          <w:sz w:val="20"/>
        </w:rPr>
        <w:t> </w:t>
      </w:r>
      <w:r>
        <w:rPr>
          <w:w w:val="105"/>
          <w:sz w:val="20"/>
        </w:rPr>
        <w:t>salary, or as </w:t>
      </w:r>
      <w:r>
        <w:rPr>
          <w:i/>
          <w:w w:val="105"/>
          <w:sz w:val="19"/>
        </w:rPr>
        <w:t>k </w:t>
      </w:r>
      <w:r>
        <w:rPr>
          <w:rFonts w:ascii="Arial"/>
          <w:w w:val="105"/>
          <w:sz w:val="19"/>
        </w:rPr>
        <w:t>% </w:t>
      </w:r>
      <w:r>
        <w:rPr>
          <w:w w:val="105"/>
          <w:sz w:val="20"/>
        </w:rPr>
        <w:t>of average annual salary  during  service  multiplied  by the number of years of </w:t>
      </w:r>
      <w:r>
        <w:rPr>
          <w:spacing w:val="11"/>
          <w:w w:val="105"/>
          <w:sz w:val="20"/>
        </w:rPr>
        <w:t> </w:t>
      </w:r>
      <w:r>
        <w:rPr>
          <w:w w:val="105"/>
          <w:sz w:val="20"/>
        </w:rPr>
        <w:t>servicc.</w:t>
      </w:r>
    </w:p>
    <w:p>
      <w:pPr>
        <w:pStyle w:val="BodyText"/>
        <w:spacing w:line="247" w:lineRule="auto"/>
        <w:ind w:left="222" w:right="158" w:firstLine="194"/>
      </w:pPr>
      <w:r>
        <w:rPr>
          <w:w w:val="105"/>
        </w:rPr>
        <w:t>For the present value at age </w:t>
      </w:r>
      <w:r>
        <w:rPr>
          <w:rFonts w:ascii="Arial"/>
          <w:i/>
          <w:w w:val="105"/>
          <w:sz w:val="18"/>
        </w:rPr>
        <w:t>x </w:t>
      </w:r>
      <w:r>
        <w:rPr>
          <w:w w:val="105"/>
        </w:rPr>
        <w:t>of the portion of  the  benefit related to past  service, we have</w:t>
      </w:r>
      <w:r>
        <w:rPr>
          <w:spacing w:val="50"/>
          <w:w w:val="105"/>
        </w:rPr>
        <w:t> </w:t>
      </w:r>
      <w:r>
        <w:rPr>
          <w:w w:val="105"/>
        </w:rPr>
        <w:t>simply</w:t>
      </w:r>
    </w:p>
    <w:p>
      <w:pPr>
        <w:pStyle w:val="BodyText"/>
        <w:spacing w:before="4"/>
        <w:rPr>
          <w:sz w:val="13"/>
        </w:rPr>
      </w:pPr>
    </w:p>
    <w:p>
      <w:pPr>
        <w:spacing w:after="0"/>
        <w:rPr>
          <w:sz w:val="13"/>
        </w:rPr>
        <w:sectPr>
          <w:pgSz w:w="7200" w:h="11340"/>
          <w:pgMar w:top="480" w:bottom="280" w:left="580" w:right="540"/>
        </w:sectPr>
      </w:pPr>
    </w:p>
    <w:p>
      <w:pPr>
        <w:spacing w:line="200" w:lineRule="exact" w:before="74"/>
        <w:ind w:left="2285" w:right="0" w:firstLine="0"/>
        <w:jc w:val="left"/>
        <w:rPr>
          <w:sz w:val="20"/>
        </w:rPr>
      </w:pPr>
      <w:r>
        <w:rPr>
          <w:sz w:val="19"/>
        </w:rPr>
        <w:t>.01 </w:t>
      </w:r>
      <w:r>
        <w:rPr>
          <w:i/>
          <w:sz w:val="20"/>
        </w:rPr>
        <w:t>k </w:t>
      </w:r>
      <w:r>
        <w:rPr>
          <w:i/>
          <w:w w:val="95"/>
          <w:sz w:val="20"/>
        </w:rPr>
        <w:t>( </w:t>
      </w:r>
      <w:r>
        <w:rPr>
          <w:i/>
          <w:spacing w:val="4"/>
          <w:sz w:val="20"/>
        </w:rPr>
        <w:t>TPS </w:t>
      </w:r>
      <w:r>
        <w:rPr>
          <w:i/>
          <w:sz w:val="20"/>
        </w:rPr>
        <w:t>)z  </w:t>
      </w:r>
      <w:r>
        <w:rPr>
          <w:spacing w:val="-151"/>
          <w:w w:val="245"/>
          <w:sz w:val="20"/>
        </w:rPr>
        <w:t>"</w:t>
      </w:r>
      <w:r>
        <w:rPr>
          <w:spacing w:val="-6"/>
          <w:w w:val="245"/>
          <w:sz w:val="20"/>
        </w:rPr>
        <w:t> </w:t>
      </w:r>
      <w:r>
        <w:rPr>
          <w:spacing w:val="-19"/>
          <w:w w:val="205"/>
          <w:sz w:val="20"/>
          <w:u w:val="thick"/>
        </w:rPr>
        <w:t>';.</w:t>
      </w:r>
    </w:p>
    <w:p>
      <w:pPr>
        <w:spacing w:line="212" w:lineRule="exact" w:before="0"/>
        <w:ind w:left="0" w:right="225" w:firstLine="0"/>
        <w:jc w:val="right"/>
        <w:rPr>
          <w:b/>
          <w:i/>
          <w:sz w:val="21"/>
        </w:rPr>
      </w:pPr>
      <w:r>
        <w:rPr>
          <w:b/>
          <w:i/>
          <w:w w:val="85"/>
          <w:sz w:val="21"/>
        </w:rPr>
        <w:t>Dz</w:t>
      </w:r>
    </w:p>
    <w:p>
      <w:pPr>
        <w:pStyle w:val="BodyText"/>
        <w:spacing w:before="88"/>
        <w:ind w:left="1392"/>
      </w:pPr>
      <w:r>
        <w:rPr/>
        <w:br w:type="column"/>
      </w:r>
      <w:r>
        <w:rPr/>
        <w:t>( 16.21)</w:t>
      </w:r>
    </w:p>
    <w:p>
      <w:pPr>
        <w:spacing w:after="0"/>
        <w:sectPr>
          <w:type w:val="continuous"/>
          <w:pgSz w:w="7200" w:h="11340"/>
          <w:pgMar w:top="1100" w:bottom="0" w:left="580" w:right="540"/>
          <w:cols w:num="2" w:equalWidth="0">
            <w:col w:w="3884" w:space="40"/>
            <w:col w:w="2156"/>
          </w:cols>
        </w:sectPr>
      </w:pPr>
    </w:p>
    <w:p>
      <w:pPr>
        <w:pStyle w:val="BodyText"/>
        <w:spacing w:line="247" w:lineRule="auto" w:before="124"/>
        <w:ind w:left="212" w:right="142" w:hanging="4"/>
        <w:jc w:val="both"/>
      </w:pPr>
      <w:r>
        <w:rPr/>
        <w:t>The present value at age </w:t>
      </w:r>
      <w:r>
        <w:rPr>
          <w:rFonts w:ascii="Arial"/>
          <w:i/>
          <w:sz w:val="17"/>
        </w:rPr>
        <w:t>x </w:t>
      </w:r>
      <w:r>
        <w:rPr/>
        <w:t>of the portion of the  benefit  related  to future  service  </w:t>
      </w:r>
      <w:r>
        <w:rPr>
          <w:sz w:val="19"/>
        </w:rPr>
        <w:t>will  </w:t>
      </w:r>
      <w:r>
        <w:rPr/>
        <w:t>be  developed  in  several steps.</w:t>
      </w:r>
    </w:p>
    <w:p>
      <w:pPr>
        <w:pStyle w:val="BodyText"/>
        <w:spacing w:before="4"/>
        <w:ind w:left="410"/>
        <w:rPr>
          <w:rFonts w:ascii="Arial"/>
          <w:i/>
          <w:sz w:val="17"/>
        </w:rPr>
      </w:pPr>
      <w:r>
        <w:rPr>
          <w:w w:val="105"/>
        </w:rPr>
        <w:t>First,  we  write  an  expression  for  the  present  value  at  agc  </w:t>
      </w:r>
      <w:r>
        <w:rPr>
          <w:rFonts w:ascii="Arial"/>
          <w:i/>
          <w:w w:val="105"/>
          <w:sz w:val="17"/>
        </w:rPr>
        <w:t>x</w:t>
      </w:r>
    </w:p>
    <w:p>
      <w:pPr>
        <w:pStyle w:val="BodyText"/>
        <w:spacing w:line="153" w:lineRule="auto" w:before="78"/>
        <w:ind w:left="204" w:right="141" w:firstLine="3"/>
        <w:jc w:val="both"/>
      </w:pPr>
      <w:r>
        <w:rPr>
          <w:w w:val="110"/>
        </w:rPr>
        <w:t>of</w:t>
      </w:r>
      <w:r>
        <w:rPr>
          <w:spacing w:val="-3"/>
          <w:w w:val="110"/>
        </w:rPr>
        <w:t> </w:t>
      </w:r>
      <w:r>
        <w:rPr>
          <w:w w:val="110"/>
        </w:rPr>
        <w:t>the</w:t>
      </w:r>
      <w:r>
        <w:rPr>
          <w:spacing w:val="-13"/>
          <w:w w:val="110"/>
        </w:rPr>
        <w:t> </w:t>
      </w:r>
      <w:r>
        <w:rPr>
          <w:w w:val="110"/>
        </w:rPr>
        <w:t>benefit</w:t>
      </w:r>
      <w:r>
        <w:rPr>
          <w:spacing w:val="-2"/>
          <w:w w:val="110"/>
        </w:rPr>
        <w:t> </w:t>
      </w:r>
      <w:r>
        <w:rPr>
          <w:w w:val="110"/>
        </w:rPr>
        <w:t>arising</w:t>
      </w:r>
      <w:r>
        <w:rPr>
          <w:spacing w:val="-9"/>
          <w:w w:val="110"/>
        </w:rPr>
        <w:t> </w:t>
      </w:r>
      <w:r>
        <w:rPr>
          <w:w w:val="110"/>
        </w:rPr>
        <w:t>from</w:t>
      </w:r>
      <w:r>
        <w:rPr>
          <w:spacing w:val="-6"/>
          <w:w w:val="110"/>
        </w:rPr>
        <w:t> </w:t>
      </w:r>
      <w:r>
        <w:rPr>
          <w:w w:val="110"/>
        </w:rPr>
        <w:t>salary</w:t>
      </w:r>
      <w:r>
        <w:rPr>
          <w:spacing w:val="-7"/>
          <w:w w:val="110"/>
        </w:rPr>
        <w:t> </w:t>
      </w:r>
      <w:r>
        <w:rPr>
          <w:w w:val="110"/>
        </w:rPr>
        <w:t>during</w:t>
      </w:r>
      <w:r>
        <w:rPr>
          <w:spacing w:val="-12"/>
          <w:w w:val="110"/>
        </w:rPr>
        <w:t> </w:t>
      </w:r>
      <w:r>
        <w:rPr>
          <w:w w:val="110"/>
        </w:rPr>
        <w:t>the</w:t>
      </w:r>
      <w:r>
        <w:rPr>
          <w:spacing w:val="-17"/>
          <w:w w:val="110"/>
        </w:rPr>
        <w:t> </w:t>
      </w:r>
      <w:r>
        <w:rPr>
          <w:w w:val="110"/>
        </w:rPr>
        <w:t>year</w:t>
      </w:r>
      <w:r>
        <w:rPr>
          <w:spacing w:val="-9"/>
          <w:w w:val="110"/>
        </w:rPr>
        <w:t> </w:t>
      </w:r>
      <w:r>
        <w:rPr>
          <w:w w:val="110"/>
        </w:rPr>
        <w:t>following</w:t>
      </w:r>
      <w:r>
        <w:rPr>
          <w:spacing w:val="-7"/>
          <w:w w:val="110"/>
        </w:rPr>
        <w:t> </w:t>
      </w:r>
      <w:r>
        <w:rPr>
          <w:w w:val="110"/>
        </w:rPr>
        <w:t>attain­ ment</w:t>
      </w:r>
      <w:r>
        <w:rPr>
          <w:spacing w:val="-7"/>
          <w:w w:val="110"/>
        </w:rPr>
        <w:t> </w:t>
      </w:r>
      <w:r>
        <w:rPr>
          <w:w w:val="110"/>
        </w:rPr>
        <w:t>of</w:t>
      </w:r>
      <w:r>
        <w:rPr>
          <w:spacing w:val="-4"/>
          <w:w w:val="110"/>
        </w:rPr>
        <w:t> </w:t>
      </w:r>
      <w:r>
        <w:rPr>
          <w:w w:val="110"/>
        </w:rPr>
        <w:t>age</w:t>
      </w:r>
      <w:r>
        <w:rPr>
          <w:spacing w:val="-24"/>
          <w:w w:val="110"/>
        </w:rPr>
        <w:t> </w:t>
      </w:r>
      <w:r>
        <w:rPr>
          <w:rFonts w:ascii="Arial" w:hAnsi="Arial"/>
          <w:i/>
          <w:w w:val="110"/>
          <w:sz w:val="16"/>
        </w:rPr>
        <w:t>x</w:t>
      </w:r>
      <w:r>
        <w:rPr>
          <w:rFonts w:ascii="Arial" w:hAnsi="Arial"/>
          <w:i/>
          <w:spacing w:val="9"/>
          <w:w w:val="110"/>
          <w:sz w:val="16"/>
        </w:rPr>
        <w:t> </w:t>
      </w:r>
      <w:r>
        <w:rPr>
          <w:rFonts w:ascii="Arial" w:hAnsi="Arial"/>
          <w:w w:val="110"/>
          <w:sz w:val="31"/>
        </w:rPr>
        <w:t>+</w:t>
      </w:r>
      <w:r>
        <w:rPr>
          <w:rFonts w:ascii="Arial" w:hAnsi="Arial"/>
          <w:spacing w:val="-63"/>
          <w:w w:val="110"/>
          <w:sz w:val="31"/>
        </w:rPr>
        <w:t> </w:t>
      </w:r>
      <w:r>
        <w:rPr>
          <w:rFonts w:ascii="Arial" w:hAnsi="Arial"/>
          <w:i/>
          <w:w w:val="110"/>
          <w:sz w:val="17"/>
        </w:rPr>
        <w:t>l,</w:t>
      </w:r>
      <w:r>
        <w:rPr>
          <w:rFonts w:ascii="Arial" w:hAnsi="Arial"/>
          <w:i/>
          <w:spacing w:val="-20"/>
          <w:w w:val="110"/>
          <w:sz w:val="17"/>
        </w:rPr>
        <w:t> </w:t>
      </w:r>
      <w:r>
        <w:rPr>
          <w:w w:val="110"/>
        </w:rPr>
        <w:t>assuming</w:t>
      </w:r>
      <w:r>
        <w:rPr>
          <w:spacing w:val="-10"/>
          <w:w w:val="110"/>
        </w:rPr>
        <w:t> </w:t>
      </w:r>
      <w:r>
        <w:rPr>
          <w:w w:val="110"/>
        </w:rPr>
        <w:t>for</w:t>
      </w:r>
      <w:r>
        <w:rPr>
          <w:spacing w:val="-16"/>
          <w:w w:val="110"/>
        </w:rPr>
        <w:t> </w:t>
      </w:r>
      <w:r>
        <w:rPr>
          <w:w w:val="110"/>
        </w:rPr>
        <w:t>the</w:t>
      </w:r>
      <w:r>
        <w:rPr>
          <w:spacing w:val="-18"/>
          <w:w w:val="110"/>
        </w:rPr>
        <w:t> </w:t>
      </w:r>
      <w:r>
        <w:rPr>
          <w:w w:val="110"/>
        </w:rPr>
        <w:t>moment</w:t>
      </w:r>
      <w:r>
        <w:rPr>
          <w:spacing w:val="-5"/>
          <w:w w:val="110"/>
        </w:rPr>
        <w:t> </w:t>
      </w:r>
      <w:r>
        <w:rPr>
          <w:w w:val="110"/>
        </w:rPr>
        <w:t>that</w:t>
      </w:r>
      <w:r>
        <w:rPr>
          <w:spacing w:val="-10"/>
          <w:w w:val="110"/>
        </w:rPr>
        <w:t> </w:t>
      </w:r>
      <w:r>
        <w:rPr>
          <w:w w:val="110"/>
        </w:rPr>
        <w:t>retirement</w:t>
      </w:r>
      <w:r>
        <w:rPr>
          <w:spacing w:val="4"/>
          <w:w w:val="110"/>
        </w:rPr>
        <w:t> </w:t>
      </w:r>
      <w:r>
        <w:rPr>
          <w:w w:val="110"/>
        </w:rPr>
        <w:t>occurs during the year following attainment of age </w:t>
      </w:r>
      <w:r>
        <w:rPr>
          <w:i/>
          <w:w w:val="110"/>
          <w:sz w:val="21"/>
        </w:rPr>
        <w:t>x </w:t>
      </w:r>
      <w:r>
        <w:rPr>
          <w:rFonts w:ascii="Arial" w:hAnsi="Arial"/>
          <w:w w:val="110"/>
          <w:sz w:val="31"/>
        </w:rPr>
        <w:t>+ </w:t>
      </w:r>
      <w:r>
        <w:rPr>
          <w:rFonts w:ascii="Arial" w:hAnsi="Arial"/>
          <w:i/>
          <w:w w:val="110"/>
          <w:sz w:val="18"/>
        </w:rPr>
        <w:t>t </w:t>
      </w:r>
      <w:r>
        <w:rPr>
          <w:rFonts w:ascii="Arial" w:hAnsi="Arial"/>
          <w:w w:val="110"/>
          <w:sz w:val="31"/>
        </w:rPr>
        <w:t>+ </w:t>
      </w:r>
      <w:r>
        <w:rPr>
          <w:i/>
          <w:w w:val="110"/>
          <w:sz w:val="21"/>
        </w:rPr>
        <w:t>n. </w:t>
      </w:r>
      <w:r>
        <w:rPr>
          <w:spacing w:val="5"/>
          <w:w w:val="110"/>
        </w:rPr>
        <w:t>We</w:t>
      </w:r>
      <w:r>
        <w:rPr>
          <w:spacing w:val="26"/>
          <w:w w:val="110"/>
        </w:rPr>
        <w:t> </w:t>
      </w:r>
      <w:r>
        <w:rPr>
          <w:w w:val="110"/>
        </w:rPr>
        <w:t>also</w:t>
      </w:r>
    </w:p>
    <w:p>
      <w:pPr>
        <w:pStyle w:val="BodyText"/>
        <w:spacing w:line="249" w:lineRule="auto" w:before="9"/>
        <w:ind w:left="204" w:right="144"/>
        <w:jc w:val="both"/>
      </w:pPr>
      <w:r>
        <w:rPr>
          <w:w w:val="105"/>
        </w:rPr>
        <w:t>assume temporarily that therc is no credit for salary during the fraction of a year immediately preceding the date of retirement. Hence the prcsent  value is</w:t>
      </w:r>
    </w:p>
    <w:p>
      <w:pPr>
        <w:spacing w:line="290" w:lineRule="exact" w:before="123"/>
        <w:ind w:left="1954" w:right="0" w:firstLine="0"/>
        <w:jc w:val="left"/>
        <w:rPr>
          <w:rFonts w:ascii="Arial" w:hAnsi="Arial"/>
          <w:i/>
          <w:sz w:val="24"/>
        </w:rPr>
      </w:pPr>
      <w:r>
        <w:rPr/>
        <w:pict>
          <v:line style="position:absolute;mso-position-horizontal-relative:page;mso-position-vertical-relative:paragraph;z-index:-710560" from="185.399994pt,19.619896pt" to="195.119994pt,19.619896pt" stroked="true" strokeweight=".18pt" strokecolor="#000000">
            <w10:wrap type="none"/>
          </v:line>
        </w:pict>
      </w:r>
      <w:r>
        <w:rPr>
          <w:rFonts w:ascii="Arial" w:hAnsi="Arial"/>
          <w:sz w:val="20"/>
        </w:rPr>
        <w:t>.01 </w:t>
      </w:r>
      <w:r>
        <w:rPr>
          <w:rFonts w:ascii="Arial" w:hAnsi="Arial"/>
          <w:i/>
          <w:sz w:val="19"/>
        </w:rPr>
        <w:t>k( AS ) </w:t>
      </w:r>
      <w:r>
        <w:rPr>
          <w:rFonts w:ascii="Arial" w:hAnsi="Arial"/>
          <w:sz w:val="19"/>
        </w:rPr>
        <w:t>·</w:t>
      </w:r>
      <w:r>
        <w:rPr>
          <w:rFonts w:ascii="Arial" w:hAnsi="Arial"/>
          <w:position w:val="8"/>
          <w:sz w:val="20"/>
        </w:rPr>
        <w:t>8</w:t>
      </w:r>
      <w:r>
        <w:rPr>
          <w:sz w:val="15"/>
        </w:rPr>
        <w:t>z+a • </w:t>
      </w:r>
      <w:r>
        <w:rPr>
          <w:rFonts w:ascii="Arial" w:hAnsi="Arial"/>
          <w:i/>
          <w:sz w:val="24"/>
          <w:u w:val="single"/>
        </w:rPr>
        <w:t>ªC;+t+</w:t>
      </w:r>
      <w:r>
        <w:rPr>
          <w:rFonts w:ascii="Arial" w:hAnsi="Arial"/>
          <w:i/>
          <w:sz w:val="24"/>
        </w:rPr>
        <w:t>•</w:t>
      </w:r>
    </w:p>
    <w:p>
      <w:pPr>
        <w:tabs>
          <w:tab w:pos="3617" w:val="left" w:leader="none"/>
          <w:tab w:pos="4117" w:val="left" w:leader="none"/>
        </w:tabs>
        <w:spacing w:line="201" w:lineRule="exact" w:before="0"/>
        <w:ind w:left="2825" w:right="0" w:firstLine="0"/>
        <w:jc w:val="left"/>
        <w:rPr>
          <w:sz w:val="20"/>
        </w:rPr>
      </w:pPr>
      <w:r>
        <w:rPr>
          <w:w w:val="120"/>
          <w:sz w:val="12"/>
        </w:rPr>
        <w:t>z   </w:t>
      </w:r>
      <w:r>
        <w:rPr>
          <w:spacing w:val="25"/>
          <w:w w:val="120"/>
          <w:sz w:val="12"/>
        </w:rPr>
        <w:t> </w:t>
      </w:r>
      <w:r>
        <w:rPr>
          <w:i/>
          <w:w w:val="120"/>
          <w:sz w:val="20"/>
        </w:rPr>
        <w:t>Sz</w:t>
        <w:tab/>
        <w:t>D;</w:t>
        <w:tab/>
      </w:r>
      <w:r>
        <w:rPr>
          <w:w w:val="175"/>
          <w:sz w:val="20"/>
        </w:rPr>
        <w:t>'</w:t>
      </w:r>
    </w:p>
    <w:p>
      <w:pPr>
        <w:pStyle w:val="BodyText"/>
        <w:spacing w:line="237" w:lineRule="auto" w:before="150"/>
        <w:ind w:left="194" w:right="151" w:firstLine="7"/>
        <w:jc w:val="both"/>
      </w:pPr>
      <w:r>
        <w:rPr>
          <w:w w:val="105"/>
        </w:rPr>
        <w:t>where the only values of </w:t>
      </w:r>
      <w:r>
        <w:rPr>
          <w:i/>
          <w:w w:val="105"/>
        </w:rPr>
        <w:t>n </w:t>
      </w:r>
      <w:r>
        <w:rPr>
          <w:w w:val="105"/>
        </w:rPr>
        <w:t>to be considered are those 1. Summing this expression from </w:t>
      </w:r>
      <w:r>
        <w:rPr>
          <w:i/>
          <w:w w:val="105"/>
          <w:sz w:val="21"/>
        </w:rPr>
        <w:t>n </w:t>
      </w:r>
      <w:r>
        <w:rPr>
          <w:w w:val="105"/>
          <w:sz w:val="23"/>
        </w:rPr>
        <w:t>= </w:t>
      </w:r>
      <w:r>
        <w:rPr>
          <w:w w:val="105"/>
        </w:rPr>
        <w:t>1 to the end of the table, we obtain the present value, without regard to date of retircmcnt, of all benefits arising  from  :salary  during  the year  following  attainment  of age</w:t>
      </w:r>
    </w:p>
    <w:p>
      <w:pPr>
        <w:spacing w:line="278" w:lineRule="exact" w:before="0"/>
        <w:ind w:left="194" w:right="0" w:firstLine="0"/>
        <w:jc w:val="both"/>
        <w:rPr>
          <w:rFonts w:ascii="Arial"/>
          <w:b/>
          <w:i/>
          <w:sz w:val="18"/>
        </w:rPr>
      </w:pPr>
      <w:r>
        <w:rPr/>
        <w:drawing>
          <wp:anchor distT="0" distB="0" distL="0" distR="0" allowOverlap="1" layoutInCell="1" locked="0" behindDoc="0" simplePos="0" relativeHeight="25456">
            <wp:simplePos x="0" y="0"/>
            <wp:positionH relativeFrom="page">
              <wp:posOffset>493776</wp:posOffset>
            </wp:positionH>
            <wp:positionV relativeFrom="paragraph">
              <wp:posOffset>240265</wp:posOffset>
            </wp:positionV>
            <wp:extent cx="1517904" cy="466344"/>
            <wp:effectExtent l="0" t="0" r="0" b="0"/>
            <wp:wrapTopAndBottom/>
            <wp:docPr id="773" name="image395.png" descr=""/>
            <wp:cNvGraphicFramePr>
              <a:graphicFrameLocks noChangeAspect="1"/>
            </wp:cNvGraphicFramePr>
            <a:graphic>
              <a:graphicData uri="http://schemas.openxmlformats.org/drawingml/2006/picture">
                <pic:pic>
                  <pic:nvPicPr>
                    <pic:cNvPr id="774" name="image395.png"/>
                    <pic:cNvPicPr/>
                  </pic:nvPicPr>
                  <pic:blipFill>
                    <a:blip r:embed="rId399" cstate="print"/>
                    <a:stretch>
                      <a:fillRect/>
                    </a:stretch>
                  </pic:blipFill>
                  <pic:spPr>
                    <a:xfrm>
                      <a:off x="0" y="0"/>
                      <a:ext cx="1517904" cy="466344"/>
                    </a:xfrm>
                    <a:prstGeom prst="rect">
                      <a:avLst/>
                    </a:prstGeom>
                  </pic:spPr>
                </pic:pic>
              </a:graphicData>
            </a:graphic>
          </wp:anchor>
        </w:drawing>
      </w:r>
      <w:r>
        <w:rPr/>
        <w:drawing>
          <wp:anchor distT="0" distB="0" distL="0" distR="0" allowOverlap="1" layoutInCell="1" locked="0" behindDoc="0" simplePos="0" relativeHeight="25480">
            <wp:simplePos x="0" y="0"/>
            <wp:positionH relativeFrom="page">
              <wp:posOffset>2157983</wp:posOffset>
            </wp:positionH>
            <wp:positionV relativeFrom="paragraph">
              <wp:posOffset>798049</wp:posOffset>
            </wp:positionV>
            <wp:extent cx="1965960" cy="310896"/>
            <wp:effectExtent l="0" t="0" r="0" b="0"/>
            <wp:wrapTopAndBottom/>
            <wp:docPr id="775" name="image396.png" descr=""/>
            <wp:cNvGraphicFramePr>
              <a:graphicFrameLocks noChangeAspect="1"/>
            </wp:cNvGraphicFramePr>
            <a:graphic>
              <a:graphicData uri="http://schemas.openxmlformats.org/drawingml/2006/picture">
                <pic:pic>
                  <pic:nvPicPr>
                    <pic:cNvPr id="776" name="image396.png"/>
                    <pic:cNvPicPr/>
                  </pic:nvPicPr>
                  <pic:blipFill>
                    <a:blip r:embed="rId400" cstate="print"/>
                    <a:stretch>
                      <a:fillRect/>
                    </a:stretch>
                  </pic:blipFill>
                  <pic:spPr>
                    <a:xfrm>
                      <a:off x="0" y="0"/>
                      <a:ext cx="1965960" cy="310896"/>
                    </a:xfrm>
                    <a:prstGeom prst="rect">
                      <a:avLst/>
                    </a:prstGeom>
                  </pic:spPr>
                </pic:pic>
              </a:graphicData>
            </a:graphic>
          </wp:anchor>
        </w:drawing>
      </w:r>
      <w:r>
        <w:rPr>
          <w:i/>
          <w:w w:val="70"/>
          <w:sz w:val="30"/>
        </w:rPr>
        <w:t>X </w:t>
      </w:r>
      <w:r>
        <w:rPr>
          <w:i/>
          <w:w w:val="95"/>
          <w:sz w:val="30"/>
        </w:rPr>
        <w:t>+</w:t>
      </w:r>
      <w:r>
        <w:rPr>
          <w:i/>
          <w:spacing w:val="-53"/>
          <w:w w:val="95"/>
          <w:sz w:val="30"/>
        </w:rPr>
        <w:t> </w:t>
      </w:r>
      <w:r>
        <w:rPr>
          <w:rFonts w:ascii="Arial"/>
          <w:b/>
          <w:i/>
          <w:w w:val="95"/>
          <w:sz w:val="18"/>
        </w:rPr>
        <w:t>t :</w:t>
      </w:r>
    </w:p>
    <w:p>
      <w:pPr>
        <w:pStyle w:val="BodyText"/>
        <w:spacing w:before="7"/>
        <w:rPr>
          <w:rFonts w:ascii="Arial"/>
          <w:b/>
          <w:i/>
          <w:sz w:val="6"/>
        </w:rPr>
      </w:pPr>
    </w:p>
    <w:p>
      <w:pPr>
        <w:spacing w:after="0"/>
        <w:rPr>
          <w:rFonts w:ascii="Arial"/>
          <w:sz w:val="6"/>
        </w:rPr>
        <w:sectPr>
          <w:type w:val="continuous"/>
          <w:pgSz w:w="7200" w:h="11340"/>
          <w:pgMar w:top="1100" w:bottom="0" w:left="580" w:right="540"/>
        </w:sectPr>
      </w:pPr>
    </w:p>
    <w:p>
      <w:pPr>
        <w:spacing w:before="122"/>
        <w:ind w:left="208" w:right="0" w:firstLine="0"/>
        <w:jc w:val="left"/>
        <w:rPr>
          <w:sz w:val="20"/>
        </w:rPr>
      </w:pPr>
      <w:r>
        <w:rPr>
          <w:sz w:val="19"/>
        </w:rPr>
        <w:t>If  </w:t>
      </w:r>
      <w:r>
        <w:rPr>
          <w:sz w:val="20"/>
        </w:rPr>
        <w:t>we define</w:t>
      </w:r>
    </w:p>
    <w:p>
      <w:pPr>
        <w:pStyle w:val="BodyText"/>
        <w:spacing w:before="7"/>
        <w:rPr>
          <w:sz w:val="10"/>
        </w:rPr>
      </w:pPr>
    </w:p>
    <w:p>
      <w:pPr>
        <w:pStyle w:val="BodyText"/>
        <w:spacing w:line="230" w:lineRule="exact"/>
        <w:ind w:left="2228" w:right="-40"/>
      </w:pPr>
      <w:r>
        <w:rPr>
          <w:position w:val="-4"/>
        </w:rPr>
        <w:drawing>
          <wp:inline distT="0" distB="0" distL="0" distR="0">
            <wp:extent cx="1033272" cy="146303"/>
            <wp:effectExtent l="0" t="0" r="0" b="0"/>
            <wp:docPr id="777" name="image397.png" descr=""/>
            <wp:cNvGraphicFramePr>
              <a:graphicFrameLocks noChangeAspect="1"/>
            </wp:cNvGraphicFramePr>
            <a:graphic>
              <a:graphicData uri="http://schemas.openxmlformats.org/drawingml/2006/picture">
                <pic:pic>
                  <pic:nvPicPr>
                    <pic:cNvPr id="778" name="image397.png"/>
                    <pic:cNvPicPr/>
                  </pic:nvPicPr>
                  <pic:blipFill>
                    <a:blip r:embed="rId401" cstate="print"/>
                    <a:stretch>
                      <a:fillRect/>
                    </a:stretch>
                  </pic:blipFill>
                  <pic:spPr>
                    <a:xfrm>
                      <a:off x="0" y="0"/>
                      <a:ext cx="1033272" cy="146303"/>
                    </a:xfrm>
                    <a:prstGeom prst="rect">
                      <a:avLst/>
                    </a:prstGeom>
                  </pic:spPr>
                </pic:pic>
              </a:graphicData>
            </a:graphic>
          </wp:inline>
        </w:drawing>
      </w:r>
      <w:r>
        <w:rPr>
          <w:position w:val="-4"/>
        </w:rPr>
      </w:r>
    </w:p>
    <w:p>
      <w:pPr>
        <w:pStyle w:val="BodyText"/>
        <w:spacing w:before="141"/>
        <w:ind w:left="208"/>
      </w:pPr>
      <w:r>
        <w:rPr>
          <w:w w:val="105"/>
        </w:rPr>
        <w:t>the formula becomes</w:t>
      </w:r>
    </w:p>
    <w:p>
      <w:pPr>
        <w:pStyle w:val="BodyText"/>
      </w:pPr>
      <w:r>
        <w:rPr/>
        <w:br w:type="column"/>
      </w:r>
      <w:r>
        <w:rPr/>
      </w:r>
    </w:p>
    <w:p>
      <w:pPr>
        <w:pStyle w:val="BodyText"/>
        <w:rPr>
          <w:sz w:val="21"/>
        </w:rPr>
      </w:pPr>
    </w:p>
    <w:p>
      <w:pPr>
        <w:pStyle w:val="BodyText"/>
        <w:ind w:left="208" w:right="-17"/>
      </w:pPr>
      <w:r>
        <w:rPr>
          <w:w w:val="105"/>
        </w:rPr>
        <w:t>(16.23)</w:t>
      </w:r>
    </w:p>
    <w:p>
      <w:pPr>
        <w:spacing w:after="0"/>
        <w:sectPr>
          <w:type w:val="continuous"/>
          <w:pgSz w:w="7200" w:h="11340"/>
          <w:pgMar w:top="1100" w:bottom="0" w:left="580" w:right="540"/>
          <w:cols w:num="2" w:equalWidth="0">
            <w:col w:w="3856" w:space="1246"/>
            <w:col w:w="978"/>
          </w:cols>
        </w:sectPr>
      </w:pPr>
    </w:p>
    <w:p>
      <w:pPr>
        <w:tabs>
          <w:tab w:pos="1339" w:val="left" w:leader="none"/>
          <w:tab w:pos="5860" w:val="right" w:leader="none"/>
        </w:tabs>
        <w:spacing w:before="46"/>
        <w:ind w:left="104" w:right="0" w:firstLine="0"/>
        <w:jc w:val="left"/>
        <w:rPr>
          <w:sz w:val="19"/>
        </w:rPr>
      </w:pPr>
      <w:r>
        <w:rPr>
          <w:b/>
          <w:w w:val="105"/>
          <w:sz w:val="15"/>
        </w:rPr>
        <w:t>SEC. </w:t>
      </w:r>
      <w:r>
        <w:rPr>
          <w:b/>
          <w:spacing w:val="18"/>
          <w:w w:val="105"/>
          <w:sz w:val="15"/>
        </w:rPr>
        <w:t> </w:t>
      </w:r>
      <w:r>
        <w:rPr>
          <w:rFonts w:ascii="Arial"/>
          <w:b/>
          <w:w w:val="105"/>
          <w:sz w:val="18"/>
        </w:rPr>
        <w:t>3)</w:t>
        <w:tab/>
      </w:r>
      <w:r>
        <w:rPr>
          <w:b/>
          <w:w w:val="105"/>
          <w:sz w:val="15"/>
        </w:rPr>
        <w:t>PENSION   BENEFITS   BASED </w:t>
      </w:r>
      <w:r>
        <w:rPr>
          <w:b/>
          <w:spacing w:val="6"/>
          <w:w w:val="105"/>
          <w:sz w:val="15"/>
        </w:rPr>
        <w:t> </w:t>
      </w:r>
      <w:r>
        <w:rPr>
          <w:b/>
          <w:w w:val="105"/>
          <w:sz w:val="15"/>
        </w:rPr>
        <w:t>ON </w:t>
      </w:r>
      <w:r>
        <w:rPr>
          <w:b/>
          <w:spacing w:val="19"/>
          <w:w w:val="105"/>
          <w:sz w:val="15"/>
        </w:rPr>
        <w:t> </w:t>
      </w:r>
      <w:r>
        <w:rPr>
          <w:b/>
          <w:w w:val="105"/>
          <w:sz w:val="15"/>
        </w:rPr>
        <w:t>SALARY</w:t>
      </w:r>
      <w:r>
        <w:rPr>
          <w:w w:val="105"/>
          <w:sz w:val="19"/>
        </w:rPr>
        <w:tab/>
        <w:t>315</w:t>
      </w:r>
    </w:p>
    <w:p>
      <w:pPr>
        <w:pStyle w:val="BodyText"/>
        <w:spacing w:before="10"/>
        <w:rPr>
          <w:sz w:val="19"/>
        </w:rPr>
      </w:pPr>
    </w:p>
    <w:p>
      <w:pPr>
        <w:spacing w:before="0"/>
        <w:ind w:left="2030" w:right="0" w:firstLine="0"/>
        <w:jc w:val="left"/>
        <w:rPr>
          <w:sz w:val="21"/>
        </w:rPr>
      </w:pPr>
      <w:r>
        <w:rPr>
          <w:spacing w:val="-14"/>
          <w:w w:val="110"/>
          <w:sz w:val="19"/>
        </w:rPr>
        <w:t>.01  </w:t>
      </w:r>
      <w:r>
        <w:rPr>
          <w:rFonts w:ascii="Arial"/>
          <w:i/>
          <w:sz w:val="19"/>
        </w:rPr>
        <w:t>k( AS )s </w:t>
      </w:r>
      <w:r>
        <w:rPr>
          <w:rFonts w:ascii="Arial"/>
          <w:i/>
          <w:spacing w:val="-25"/>
          <w:position w:val="-18"/>
          <w:sz w:val="19"/>
        </w:rPr>
        <w:drawing>
          <wp:inline distT="0" distB="0" distL="0" distR="0">
            <wp:extent cx="512063" cy="329183"/>
            <wp:effectExtent l="0" t="0" r="0" b="0"/>
            <wp:docPr id="779" name="image398.png" descr=""/>
            <wp:cNvGraphicFramePr>
              <a:graphicFrameLocks noChangeAspect="1"/>
            </wp:cNvGraphicFramePr>
            <a:graphic>
              <a:graphicData uri="http://schemas.openxmlformats.org/drawingml/2006/picture">
                <pic:pic>
                  <pic:nvPicPr>
                    <pic:cNvPr id="780" name="image398.png"/>
                    <pic:cNvPicPr/>
                  </pic:nvPicPr>
                  <pic:blipFill>
                    <a:blip r:embed="rId402" cstate="print"/>
                    <a:stretch>
                      <a:fillRect/>
                    </a:stretch>
                  </pic:blipFill>
                  <pic:spPr>
                    <a:xfrm>
                      <a:off x="0" y="0"/>
                      <a:ext cx="512063" cy="329183"/>
                    </a:xfrm>
                    <a:prstGeom prst="rect">
                      <a:avLst/>
                    </a:prstGeom>
                  </pic:spPr>
                </pic:pic>
              </a:graphicData>
            </a:graphic>
          </wp:inline>
        </w:drawing>
      </w:r>
      <w:r>
        <w:rPr>
          <w:rFonts w:ascii="Arial"/>
          <w:i/>
          <w:spacing w:val="-25"/>
          <w:position w:val="-18"/>
          <w:sz w:val="19"/>
        </w:rPr>
      </w:r>
      <w:r>
        <w:rPr>
          <w:spacing w:val="-25"/>
          <w:sz w:val="19"/>
        </w:rPr>
        <w:t>                            </w:t>
      </w:r>
      <w:r>
        <w:rPr>
          <w:w w:val="95"/>
          <w:sz w:val="21"/>
        </w:rPr>
        <w:t>(</w:t>
      </w:r>
      <w:r>
        <w:rPr>
          <w:spacing w:val="-25"/>
          <w:w w:val="95"/>
          <w:sz w:val="21"/>
        </w:rPr>
        <w:t> </w:t>
      </w:r>
      <w:r>
        <w:rPr>
          <w:w w:val="95"/>
          <w:sz w:val="21"/>
        </w:rPr>
        <w:t>16.24)</w:t>
      </w:r>
    </w:p>
    <w:p>
      <w:pPr>
        <w:spacing w:before="135"/>
        <w:ind w:left="108" w:right="133" w:firstLine="205"/>
        <w:jc w:val="both"/>
        <w:rPr>
          <w:sz w:val="21"/>
        </w:rPr>
      </w:pPr>
      <w:r>
        <w:rPr>
          <w:sz w:val="21"/>
        </w:rPr>
        <w:t>We now disregard the temporary assumption used in deriving (16.24) and make an adjustment to take account of the credit for salary during the fraction of a year immediately preceding the date of retirement. Assuming that retirement will occur, on the average, half-way  through  the year,  the  adjustment  tenn is</w:t>
      </w:r>
    </w:p>
    <w:p>
      <w:pPr>
        <w:spacing w:line="275" w:lineRule="exact" w:before="140"/>
        <w:ind w:left="61" w:right="192" w:firstLine="0"/>
        <w:jc w:val="center"/>
        <w:rPr>
          <w:i/>
          <w:sz w:val="26"/>
        </w:rPr>
      </w:pPr>
      <w:r>
        <w:rPr>
          <w:spacing w:val="-39"/>
          <w:w w:val="156"/>
          <w:sz w:val="19"/>
        </w:rPr>
        <w:t>.</w:t>
      </w:r>
      <w:r>
        <w:rPr>
          <w:w w:val="113"/>
          <w:sz w:val="19"/>
        </w:rPr>
        <w:t>01</w:t>
      </w:r>
      <w:r>
        <w:rPr>
          <w:spacing w:val="7"/>
          <w:sz w:val="19"/>
        </w:rPr>
        <w:t> </w:t>
      </w:r>
      <w:r>
        <w:rPr>
          <w:rFonts w:ascii="Arial" w:hAnsi="Arial"/>
          <w:i/>
          <w:w w:val="85"/>
          <w:sz w:val="19"/>
        </w:rPr>
        <w:t>k</w:t>
      </w:r>
      <w:r>
        <w:rPr>
          <w:rFonts w:ascii="Arial" w:hAnsi="Arial"/>
          <w:i/>
          <w:spacing w:val="-15"/>
          <w:sz w:val="19"/>
        </w:rPr>
        <w:t> </w:t>
      </w:r>
      <w:r>
        <w:rPr>
          <w:rFonts w:ascii="Arial" w:hAnsi="Arial"/>
          <w:i/>
          <w:w w:val="78"/>
          <w:sz w:val="19"/>
        </w:rPr>
        <w:t>(</w:t>
      </w:r>
      <w:r>
        <w:rPr>
          <w:rFonts w:ascii="Arial" w:hAnsi="Arial"/>
          <w:i/>
          <w:spacing w:val="-28"/>
          <w:sz w:val="19"/>
        </w:rPr>
        <w:t> </w:t>
      </w:r>
      <w:r>
        <w:rPr>
          <w:rFonts w:ascii="Arial" w:hAnsi="Arial"/>
          <w:i/>
          <w:w w:val="104"/>
          <w:sz w:val="19"/>
        </w:rPr>
        <w:t>AS</w:t>
      </w:r>
      <w:r>
        <w:rPr>
          <w:rFonts w:ascii="Arial" w:hAnsi="Arial"/>
          <w:i/>
          <w:spacing w:val="-17"/>
          <w:sz w:val="19"/>
        </w:rPr>
        <w:t> </w:t>
      </w:r>
      <w:r>
        <w:rPr>
          <w:rFonts w:ascii="Arial" w:hAnsi="Arial"/>
          <w:i/>
          <w:w w:val="78"/>
          <w:sz w:val="19"/>
        </w:rPr>
        <w:t>)</w:t>
      </w:r>
      <w:r>
        <w:rPr>
          <w:rFonts w:ascii="Arial" w:hAnsi="Arial"/>
          <w:i/>
          <w:sz w:val="19"/>
        </w:rPr>
        <w:t> </w:t>
      </w:r>
      <w:r>
        <w:rPr>
          <w:rFonts w:ascii="Arial" w:hAnsi="Arial"/>
          <w:i/>
          <w:spacing w:val="20"/>
          <w:sz w:val="19"/>
        </w:rPr>
        <w:t> </w:t>
      </w:r>
      <w:r>
        <w:rPr>
          <w:rFonts w:ascii="Arial" w:hAnsi="Arial"/>
          <w:spacing w:val="-11"/>
          <w:w w:val="130"/>
          <w:sz w:val="19"/>
        </w:rPr>
        <w:t>·</w:t>
      </w:r>
      <w:r>
        <w:rPr>
          <w:rFonts w:ascii="Arial" w:hAnsi="Arial"/>
          <w:i/>
          <w:w w:val="87"/>
          <w:sz w:val="19"/>
        </w:rPr>
        <w:t>Ss+t</w:t>
      </w:r>
      <w:r>
        <w:rPr>
          <w:rFonts w:ascii="Arial" w:hAnsi="Arial"/>
          <w:i/>
          <w:spacing w:val="-7"/>
          <w:sz w:val="19"/>
        </w:rPr>
        <w:t> </w:t>
      </w:r>
      <w:r>
        <w:rPr>
          <w:rFonts w:ascii="Arial" w:hAnsi="Arial"/>
          <w:w w:val="59"/>
          <w:sz w:val="25"/>
        </w:rPr>
        <w:t>_</w:t>
      </w:r>
      <w:r>
        <w:rPr>
          <w:rFonts w:ascii="Arial" w:hAnsi="Arial"/>
          <w:w w:val="59"/>
          <w:sz w:val="25"/>
          <w:u w:val="single"/>
        </w:rPr>
        <w:t>!Ci</w:t>
      </w:r>
      <w:r>
        <w:rPr>
          <w:rFonts w:ascii="Arial" w:hAnsi="Arial"/>
          <w:spacing w:val="-28"/>
          <w:w w:val="59"/>
          <w:sz w:val="25"/>
          <w:u w:val="single"/>
        </w:rPr>
        <w:t>é</w:t>
      </w:r>
      <w:r>
        <w:rPr>
          <w:rFonts w:ascii="Arial" w:hAnsi="Arial"/>
          <w:spacing w:val="-129"/>
          <w:w w:val="255"/>
          <w:sz w:val="25"/>
          <w:u w:val="single"/>
        </w:rPr>
        <w:t>;</w:t>
      </w:r>
      <w:r>
        <w:rPr>
          <w:rFonts w:ascii="Arial" w:hAnsi="Arial"/>
          <w:w w:val="75"/>
          <w:sz w:val="25"/>
          <w:u w:val="single"/>
        </w:rPr>
        <w:t>+</w:t>
      </w:r>
      <w:r>
        <w:rPr>
          <w:rFonts w:ascii="Arial" w:hAnsi="Arial"/>
          <w:w w:val="75"/>
          <w:sz w:val="25"/>
        </w:rPr>
        <w:t>,</w:t>
      </w:r>
      <w:r>
        <w:rPr>
          <w:rFonts w:ascii="Arial" w:hAnsi="Arial"/>
          <w:spacing w:val="4"/>
          <w:sz w:val="25"/>
        </w:rPr>
        <w:t> </w:t>
      </w:r>
      <w:r>
        <w:rPr>
          <w:w w:val="100"/>
          <w:sz w:val="24"/>
        </w:rPr>
        <w:t>=</w:t>
      </w:r>
      <w:r>
        <w:rPr>
          <w:sz w:val="24"/>
        </w:rPr>
        <w:t> </w:t>
      </w:r>
      <w:r>
        <w:rPr>
          <w:spacing w:val="-16"/>
          <w:sz w:val="24"/>
        </w:rPr>
        <w:t> </w:t>
      </w:r>
      <w:r>
        <w:rPr>
          <w:spacing w:val="-39"/>
          <w:w w:val="156"/>
          <w:sz w:val="19"/>
        </w:rPr>
        <w:t>.</w:t>
      </w:r>
      <w:r>
        <w:rPr>
          <w:w w:val="113"/>
          <w:sz w:val="19"/>
        </w:rPr>
        <w:t>01</w:t>
      </w:r>
      <w:r>
        <w:rPr>
          <w:spacing w:val="7"/>
          <w:sz w:val="19"/>
        </w:rPr>
        <w:t> </w:t>
      </w:r>
      <w:r>
        <w:rPr>
          <w:rFonts w:ascii="Arial" w:hAnsi="Arial"/>
          <w:i/>
          <w:w w:val="101"/>
          <w:sz w:val="19"/>
        </w:rPr>
        <w:t>k(</w:t>
      </w:r>
      <w:r>
        <w:rPr>
          <w:rFonts w:ascii="Arial" w:hAnsi="Arial"/>
          <w:i/>
          <w:spacing w:val="-19"/>
          <w:sz w:val="19"/>
        </w:rPr>
        <w:t> </w:t>
      </w:r>
      <w:r>
        <w:rPr>
          <w:rFonts w:ascii="Arial" w:hAnsi="Arial"/>
          <w:i/>
          <w:w w:val="106"/>
          <w:sz w:val="19"/>
        </w:rPr>
        <w:t>AS</w:t>
      </w:r>
      <w:r>
        <w:rPr>
          <w:rFonts w:ascii="Arial" w:hAnsi="Arial"/>
          <w:i/>
          <w:spacing w:val="-18"/>
          <w:sz w:val="19"/>
        </w:rPr>
        <w:t> </w:t>
      </w:r>
      <w:r>
        <w:rPr>
          <w:rFonts w:ascii="Arial" w:hAnsi="Arial"/>
          <w:i/>
          <w:w w:val="78"/>
          <w:sz w:val="19"/>
        </w:rPr>
        <w:t>)</w:t>
      </w:r>
      <w:r>
        <w:rPr>
          <w:rFonts w:ascii="Arial" w:hAnsi="Arial"/>
          <w:i/>
          <w:sz w:val="19"/>
        </w:rPr>
        <w:t> </w:t>
      </w:r>
      <w:r>
        <w:rPr>
          <w:rFonts w:ascii="Arial" w:hAnsi="Arial"/>
          <w:i/>
          <w:spacing w:val="20"/>
          <w:sz w:val="19"/>
        </w:rPr>
        <w:t> </w:t>
      </w:r>
      <w:r>
        <w:rPr>
          <w:rFonts w:ascii="Arial" w:hAnsi="Arial"/>
          <w:spacing w:val="-1"/>
          <w:w w:val="130"/>
          <w:sz w:val="19"/>
        </w:rPr>
        <w:t>.</w:t>
      </w:r>
      <w:r>
        <w:rPr>
          <w:i/>
          <w:w w:val="82"/>
          <w:sz w:val="26"/>
          <w:u w:val="single"/>
        </w:rPr>
        <w:t>!sºé;+t</w:t>
      </w:r>
    </w:p>
    <w:p>
      <w:pPr>
        <w:tabs>
          <w:tab w:pos="2556" w:val="left" w:leader="none"/>
          <w:tab w:pos="4172" w:val="left" w:leader="none"/>
          <w:tab w:pos="4475" w:val="left" w:leader="none"/>
          <w:tab w:pos="5015" w:val="left" w:leader="none"/>
        </w:tabs>
        <w:spacing w:line="195" w:lineRule="exact" w:before="0"/>
        <w:ind w:left="1807" w:right="0" w:firstLine="0"/>
        <w:jc w:val="left"/>
        <w:rPr>
          <w:rFonts w:ascii="Arial"/>
          <w:sz w:val="19"/>
        </w:rPr>
      </w:pPr>
      <w:r>
        <w:rPr>
          <w:rFonts w:ascii="Arial"/>
          <w:w w:val="125"/>
          <w:sz w:val="11"/>
        </w:rPr>
        <w:t>s  </w:t>
      </w:r>
      <w:r>
        <w:rPr>
          <w:rFonts w:ascii="Arial"/>
          <w:spacing w:val="34"/>
          <w:w w:val="125"/>
          <w:sz w:val="11"/>
        </w:rPr>
        <w:t> </w:t>
      </w:r>
      <w:r>
        <w:rPr>
          <w:rFonts w:ascii="Arial"/>
          <w:i/>
          <w:w w:val="110"/>
          <w:sz w:val="19"/>
        </w:rPr>
        <w:t>Ss</w:t>
        <w:tab/>
      </w:r>
      <w:r>
        <w:rPr>
          <w:rFonts w:ascii="Arial"/>
          <w:i/>
          <w:w w:val="125"/>
          <w:sz w:val="19"/>
        </w:rPr>
        <w:t>D;</w:t>
        <w:tab/>
      </w:r>
      <w:r>
        <w:rPr>
          <w:rFonts w:ascii="Arial"/>
          <w:w w:val="125"/>
          <w:sz w:val="11"/>
        </w:rPr>
        <w:t>z</w:t>
        <w:tab/>
      </w:r>
      <w:r>
        <w:rPr>
          <w:rFonts w:ascii="Arial"/>
          <w:i/>
          <w:w w:val="125"/>
          <w:position w:val="6"/>
          <w:sz w:val="11"/>
        </w:rPr>
        <w:t>8</w:t>
      </w:r>
      <w:r>
        <w:rPr>
          <w:rFonts w:ascii="Arial"/>
          <w:i/>
          <w:w w:val="125"/>
          <w:sz w:val="19"/>
        </w:rPr>
        <w:t>D;</w:t>
        <w:tab/>
      </w:r>
      <w:r>
        <w:rPr>
          <w:rFonts w:ascii="Arial"/>
          <w:w w:val="125"/>
          <w:sz w:val="19"/>
        </w:rPr>
        <w:t>'</w:t>
      </w:r>
    </w:p>
    <w:p>
      <w:pPr>
        <w:spacing w:before="152"/>
        <w:ind w:left="115" w:right="0" w:firstLine="0"/>
        <w:jc w:val="left"/>
        <w:rPr>
          <w:sz w:val="21"/>
        </w:rPr>
      </w:pPr>
      <w:r>
        <w:rPr>
          <w:sz w:val="21"/>
        </w:rPr>
        <w:t>and adding this expression to  (16.24) we have</w:t>
      </w:r>
    </w:p>
    <w:p>
      <w:pPr>
        <w:spacing w:after="0"/>
        <w:jc w:val="left"/>
        <w:rPr>
          <w:sz w:val="21"/>
        </w:rPr>
        <w:sectPr>
          <w:pgSz w:w="7200" w:h="11340"/>
          <w:pgMar w:top="500" w:bottom="280" w:left="680" w:right="520"/>
        </w:sectPr>
      </w:pPr>
    </w:p>
    <w:p>
      <w:pPr>
        <w:spacing w:line="327" w:lineRule="exact" w:before="99"/>
        <w:ind w:left="1505" w:right="-12" w:firstLine="0"/>
        <w:jc w:val="left"/>
        <w:rPr>
          <w:sz w:val="26"/>
        </w:rPr>
      </w:pPr>
      <w:r>
        <w:rPr>
          <w:spacing w:val="-47"/>
          <w:w w:val="173"/>
          <w:sz w:val="19"/>
        </w:rPr>
        <w:t>.</w:t>
      </w:r>
      <w:r>
        <w:rPr>
          <w:w w:val="117"/>
          <w:sz w:val="19"/>
        </w:rPr>
        <w:t>01</w:t>
      </w:r>
      <w:r>
        <w:rPr>
          <w:spacing w:val="3"/>
          <w:sz w:val="19"/>
        </w:rPr>
        <w:t> </w:t>
      </w:r>
      <w:r>
        <w:rPr>
          <w:i/>
          <w:w w:val="69"/>
          <w:sz w:val="26"/>
        </w:rPr>
        <w:t>k</w:t>
      </w:r>
      <w:r>
        <w:rPr>
          <w:i/>
          <w:sz w:val="26"/>
        </w:rPr>
        <w:t> </w:t>
      </w:r>
      <w:r>
        <w:rPr>
          <w:i/>
          <w:spacing w:val="-20"/>
          <w:sz w:val="26"/>
        </w:rPr>
        <w:t> </w:t>
      </w:r>
      <w:r>
        <w:rPr>
          <w:rFonts w:ascii="Arial" w:hAnsi="Arial"/>
          <w:i/>
          <w:w w:val="89"/>
          <w:sz w:val="19"/>
        </w:rPr>
        <w:t>(</w:t>
      </w:r>
      <w:r>
        <w:rPr>
          <w:rFonts w:ascii="Arial" w:hAnsi="Arial"/>
          <w:i/>
          <w:spacing w:val="-27"/>
          <w:sz w:val="19"/>
        </w:rPr>
        <w:t> </w:t>
      </w:r>
      <w:r>
        <w:rPr>
          <w:rFonts w:ascii="Arial" w:hAnsi="Arial"/>
          <w:i/>
          <w:w w:val="103"/>
          <w:sz w:val="19"/>
        </w:rPr>
        <w:t>AS</w:t>
      </w:r>
      <w:r>
        <w:rPr>
          <w:rFonts w:ascii="Arial" w:hAnsi="Arial"/>
          <w:i/>
          <w:spacing w:val="-21"/>
          <w:sz w:val="19"/>
        </w:rPr>
        <w:t> </w:t>
      </w:r>
      <w:r>
        <w:rPr>
          <w:rFonts w:ascii="Arial" w:hAnsi="Arial"/>
          <w:i/>
          <w:w w:val="80"/>
          <w:sz w:val="19"/>
        </w:rPr>
        <w:t>)s</w:t>
      </w:r>
      <w:r>
        <w:rPr>
          <w:rFonts w:ascii="Arial" w:hAnsi="Arial"/>
          <w:i/>
          <w:spacing w:val="20"/>
          <w:sz w:val="19"/>
        </w:rPr>
        <w:t> </w:t>
      </w:r>
      <w:r>
        <w:rPr>
          <w:i/>
          <w:w w:val="95"/>
          <w:sz w:val="26"/>
          <w:u w:val="single"/>
        </w:rPr>
        <w:t>lªªC</w:t>
      </w:r>
      <w:r>
        <w:rPr>
          <w:i/>
          <w:spacing w:val="-3"/>
          <w:w w:val="95"/>
          <w:sz w:val="26"/>
          <w:u w:val="single"/>
        </w:rPr>
        <w:t>;</w:t>
      </w:r>
      <w:r>
        <w:rPr>
          <w:i/>
          <w:w w:val="62"/>
          <w:sz w:val="26"/>
          <w:u w:val="single"/>
        </w:rPr>
        <w:t>+</w:t>
      </w:r>
      <w:r>
        <w:rPr>
          <w:i/>
          <w:w w:val="62"/>
          <w:sz w:val="26"/>
          <w:u w:val="single"/>
        </w:rPr>
        <w:t>t</w:t>
      </w:r>
      <w:r>
        <w:rPr>
          <w:i/>
          <w:spacing w:val="-25"/>
          <w:sz w:val="26"/>
          <w:u w:val="single"/>
        </w:rPr>
        <w:t> </w:t>
      </w:r>
      <w:r>
        <w:rPr>
          <w:i/>
          <w:spacing w:val="-42"/>
          <w:sz w:val="26"/>
        </w:rPr>
        <w:t> </w:t>
      </w:r>
      <w:r>
        <w:rPr>
          <w:i/>
          <w:spacing w:val="-33"/>
          <w:w w:val="61"/>
          <w:sz w:val="30"/>
          <w:u w:val="single"/>
        </w:rPr>
        <w:t>s</w:t>
      </w:r>
      <w:r>
        <w:rPr>
          <w:i/>
          <w:spacing w:val="17"/>
          <w:w w:val="97"/>
          <w:sz w:val="30"/>
          <w:u w:val="single"/>
        </w:rPr>
        <w:t>+</w:t>
      </w:r>
      <w:r>
        <w:rPr>
          <w:i/>
          <w:spacing w:val="-51"/>
          <w:w w:val="194"/>
          <w:sz w:val="26"/>
          <w:u w:val="single"/>
        </w:rPr>
        <w:t>:</w:t>
      </w:r>
      <w:r>
        <w:rPr>
          <w:i/>
          <w:w w:val="55"/>
          <w:sz w:val="26"/>
          <w:u w:val="single"/>
        </w:rPr>
        <w:t>'ca</w:t>
      </w:r>
      <w:r>
        <w:rPr>
          <w:i/>
          <w:spacing w:val="12"/>
          <w:w w:val="55"/>
          <w:sz w:val="26"/>
          <w:u w:val="single"/>
        </w:rPr>
        <w:t>M</w:t>
      </w:r>
      <w:r>
        <w:rPr>
          <w:i/>
          <w:w w:val="64"/>
          <w:sz w:val="26"/>
          <w:u w:val="single"/>
        </w:rPr>
        <w:t>;+t+l</w:t>
      </w:r>
      <w:r>
        <w:rPr>
          <w:i/>
          <w:spacing w:val="21"/>
          <w:sz w:val="26"/>
        </w:rPr>
        <w:t> </w:t>
      </w:r>
      <w:r>
        <w:rPr>
          <w:w w:val="101"/>
          <w:sz w:val="26"/>
        </w:rPr>
        <w:t>.</w:t>
      </w:r>
    </w:p>
    <w:p>
      <w:pPr>
        <w:spacing w:line="235" w:lineRule="exact" w:before="0"/>
        <w:ind w:left="0" w:right="915" w:firstLine="0"/>
        <w:jc w:val="right"/>
        <w:rPr>
          <w:i/>
          <w:sz w:val="22"/>
        </w:rPr>
      </w:pPr>
      <w:r>
        <w:rPr>
          <w:i/>
          <w:w w:val="80"/>
          <w:sz w:val="22"/>
        </w:rPr>
        <w:t>Dx</w:t>
      </w:r>
    </w:p>
    <w:p>
      <w:pPr>
        <w:pStyle w:val="BodyText"/>
        <w:spacing w:before="6"/>
        <w:rPr>
          <w:i/>
          <w:sz w:val="21"/>
        </w:rPr>
      </w:pPr>
      <w:r>
        <w:rPr/>
        <w:br w:type="column"/>
      </w:r>
      <w:r>
        <w:rPr>
          <w:i/>
          <w:sz w:val="21"/>
        </w:rPr>
      </w:r>
    </w:p>
    <w:p>
      <w:pPr>
        <w:spacing w:before="0"/>
        <w:ind w:left="743" w:right="0" w:firstLine="0"/>
        <w:jc w:val="left"/>
        <w:rPr>
          <w:sz w:val="21"/>
        </w:rPr>
      </w:pPr>
      <w:r>
        <w:rPr>
          <w:w w:val="95"/>
          <w:sz w:val="21"/>
        </w:rPr>
        <w:t>( 16.25)</w:t>
      </w:r>
    </w:p>
    <w:p>
      <w:pPr>
        <w:spacing w:after="0"/>
        <w:jc w:val="left"/>
        <w:rPr>
          <w:sz w:val="21"/>
        </w:rPr>
        <w:sectPr>
          <w:type w:val="continuous"/>
          <w:pgSz w:w="7200" w:h="11340"/>
          <w:pgMar w:top="1100" w:bottom="0" w:left="680" w:right="520"/>
          <w:cols w:num="2" w:equalWidth="0">
            <w:col w:w="4466" w:space="40"/>
            <w:col w:w="1494"/>
          </w:cols>
        </w:sectPr>
      </w:pPr>
    </w:p>
    <w:p>
      <w:pPr>
        <w:spacing w:line="146" w:lineRule="auto" w:before="182"/>
        <w:ind w:left="119" w:right="109" w:hanging="8"/>
        <w:jc w:val="right"/>
        <w:rPr>
          <w:i/>
          <w:sz w:val="20"/>
        </w:rPr>
      </w:pPr>
      <w:r>
        <w:rPr>
          <w:sz w:val="21"/>
        </w:rPr>
        <w:t>This represents the value of only that portion of the benefit arising</w:t>
      </w:r>
      <w:r>
        <w:rPr>
          <w:w w:val="99"/>
          <w:sz w:val="21"/>
        </w:rPr>
        <w:t> </w:t>
      </w:r>
      <w:r>
        <w:rPr>
          <w:sz w:val="21"/>
        </w:rPr>
        <w:t>from  salary  during  the  year  following  attainment  of  age  </w:t>
      </w:r>
      <w:r>
        <w:rPr>
          <w:rFonts w:ascii="Arial"/>
          <w:i/>
          <w:sz w:val="18"/>
        </w:rPr>
        <w:t>x  </w:t>
      </w:r>
      <w:r>
        <w:rPr>
          <w:rFonts w:ascii="Arial"/>
          <w:sz w:val="31"/>
        </w:rPr>
        <w:t>+ </w:t>
      </w:r>
      <w:r>
        <w:rPr>
          <w:i/>
          <w:sz w:val="20"/>
        </w:rPr>
        <w:t>t.</w:t>
      </w:r>
    </w:p>
    <w:p>
      <w:pPr>
        <w:spacing w:line="238" w:lineRule="exact" w:before="10"/>
        <w:ind w:left="119" w:right="241" w:firstLine="194"/>
        <w:jc w:val="left"/>
        <w:rPr>
          <w:sz w:val="21"/>
        </w:rPr>
      </w:pPr>
      <w:r>
        <w:rPr/>
        <w:drawing>
          <wp:anchor distT="0" distB="0" distL="0" distR="0" allowOverlap="1" layoutInCell="1" locked="0" behindDoc="0" simplePos="0" relativeHeight="25528">
            <wp:simplePos x="0" y="0"/>
            <wp:positionH relativeFrom="page">
              <wp:posOffset>502919</wp:posOffset>
            </wp:positionH>
            <wp:positionV relativeFrom="paragraph">
              <wp:posOffset>390143</wp:posOffset>
            </wp:positionV>
            <wp:extent cx="2075688" cy="457199"/>
            <wp:effectExtent l="0" t="0" r="0" b="0"/>
            <wp:wrapNone/>
            <wp:docPr id="781" name="image399.png" descr=""/>
            <wp:cNvGraphicFramePr>
              <a:graphicFrameLocks noChangeAspect="1"/>
            </wp:cNvGraphicFramePr>
            <a:graphic>
              <a:graphicData uri="http://schemas.openxmlformats.org/drawingml/2006/picture">
                <pic:pic>
                  <pic:nvPicPr>
                    <pic:cNvPr id="782" name="image399.png"/>
                    <pic:cNvPicPr/>
                  </pic:nvPicPr>
                  <pic:blipFill>
                    <a:blip r:embed="rId403" cstate="print"/>
                    <a:stretch>
                      <a:fillRect/>
                    </a:stretch>
                  </pic:blipFill>
                  <pic:spPr>
                    <a:xfrm>
                      <a:off x="0" y="0"/>
                      <a:ext cx="2075688" cy="457199"/>
                    </a:xfrm>
                    <a:prstGeom prst="rect">
                      <a:avLst/>
                    </a:prstGeom>
                  </pic:spPr>
                </pic:pic>
              </a:graphicData>
            </a:graphic>
          </wp:anchor>
        </w:drawing>
      </w:r>
      <w:r>
        <w:rPr>
          <w:rFonts w:ascii="Arial" w:hAnsi="Arial"/>
          <w:b/>
          <w:spacing w:val="2"/>
          <w:sz w:val="20"/>
        </w:rPr>
        <w:t>W</w:t>
      </w:r>
      <w:r>
        <w:rPr>
          <w:spacing w:val="2"/>
          <w:sz w:val="21"/>
        </w:rPr>
        <w:t>e </w:t>
      </w:r>
      <w:r>
        <w:rPr>
          <w:sz w:val="21"/>
        </w:rPr>
        <w:t>now obtain the present value of the entire benefit attribut­ able to  future service</w:t>
      </w:r>
      <w:r>
        <w:rPr>
          <w:spacing w:val="41"/>
          <w:sz w:val="21"/>
        </w:rPr>
        <w:t> </w:t>
      </w:r>
      <w:r>
        <w:rPr>
          <w:sz w:val="21"/>
        </w:rPr>
        <w:t>as</w:t>
      </w:r>
    </w:p>
    <w:p>
      <w:pPr>
        <w:pStyle w:val="BodyText"/>
      </w:pPr>
    </w:p>
    <w:p>
      <w:pPr>
        <w:pStyle w:val="BodyText"/>
      </w:pPr>
    </w:p>
    <w:p>
      <w:pPr>
        <w:spacing w:after="0"/>
        <w:sectPr>
          <w:type w:val="continuous"/>
          <w:pgSz w:w="7200" w:h="11340"/>
          <w:pgMar w:top="1100" w:bottom="0" w:left="680" w:right="520"/>
        </w:sectPr>
      </w:pPr>
    </w:p>
    <w:p>
      <w:pPr>
        <w:pStyle w:val="BodyText"/>
        <w:spacing w:before="2"/>
        <w:rPr>
          <w:sz w:val="40"/>
        </w:rPr>
      </w:pPr>
    </w:p>
    <w:p>
      <w:pPr>
        <w:spacing w:before="0"/>
        <w:ind w:left="2257" w:right="-14" w:firstLine="0"/>
        <w:jc w:val="left"/>
        <w:rPr>
          <w:rFonts w:ascii="Arial" w:hAnsi="Arial"/>
          <w:i/>
          <w:sz w:val="39"/>
        </w:rPr>
      </w:pPr>
      <w:r>
        <w:rPr/>
        <w:pict>
          <v:rect style="position:absolute;margin-left:220.139999pt;margin-top:18.470768pt;width:32.22pt;height:9.9pt;mso-position-horizontal-relative:page;mso-position-vertical-relative:paragraph;z-index:-710512" filled="true" fillcolor="#000000" stroked="false">
            <v:fill type="solid"/>
            <w10:wrap type="none"/>
          </v:rect>
        </w:pict>
      </w:r>
      <w:r>
        <w:rPr>
          <w:w w:val="85"/>
          <w:sz w:val="28"/>
        </w:rPr>
        <w:t>=</w:t>
      </w:r>
      <w:r>
        <w:rPr>
          <w:spacing w:val="32"/>
          <w:sz w:val="28"/>
        </w:rPr>
        <w:t> </w:t>
      </w:r>
      <w:r>
        <w:rPr>
          <w:spacing w:val="-30"/>
          <w:w w:val="131"/>
          <w:sz w:val="20"/>
        </w:rPr>
        <w:t>.</w:t>
      </w:r>
      <w:r>
        <w:rPr>
          <w:w w:val="109"/>
          <w:sz w:val="20"/>
        </w:rPr>
        <w:t>01</w:t>
      </w:r>
      <w:r>
        <w:rPr>
          <w:spacing w:val="-2"/>
          <w:sz w:val="20"/>
        </w:rPr>
        <w:t> </w:t>
      </w:r>
      <w:r>
        <w:rPr>
          <w:rFonts w:ascii="Arial" w:hAnsi="Arial"/>
          <w:i/>
          <w:w w:val="96"/>
          <w:sz w:val="20"/>
        </w:rPr>
        <w:t>k(</w:t>
      </w:r>
      <w:r>
        <w:rPr>
          <w:rFonts w:ascii="Arial" w:hAnsi="Arial"/>
          <w:i/>
          <w:spacing w:val="-22"/>
          <w:sz w:val="20"/>
        </w:rPr>
        <w:t> </w:t>
      </w:r>
      <w:r>
        <w:rPr>
          <w:rFonts w:ascii="Arial" w:hAnsi="Arial"/>
          <w:i/>
          <w:w w:val="100"/>
          <w:sz w:val="20"/>
        </w:rPr>
        <w:t>AS</w:t>
      </w:r>
      <w:r>
        <w:rPr>
          <w:rFonts w:ascii="Arial" w:hAnsi="Arial"/>
          <w:i/>
          <w:spacing w:val="-23"/>
          <w:sz w:val="20"/>
        </w:rPr>
        <w:t> </w:t>
      </w:r>
      <w:r>
        <w:rPr>
          <w:rFonts w:ascii="Arial" w:hAnsi="Arial"/>
          <w:i/>
          <w:w w:val="124"/>
          <w:sz w:val="20"/>
        </w:rPr>
        <w:t>)</w:t>
      </w:r>
      <w:r>
        <w:rPr>
          <w:rFonts w:ascii="Arial" w:hAnsi="Arial"/>
          <w:i/>
          <w:w w:val="124"/>
          <w:sz w:val="20"/>
        </w:rPr>
        <w:t>.</w:t>
      </w:r>
      <w:r>
        <w:rPr>
          <w:rFonts w:ascii="Arial" w:hAnsi="Arial"/>
          <w:i/>
          <w:sz w:val="20"/>
        </w:rPr>
        <w:t> </w:t>
      </w:r>
      <w:r>
        <w:rPr>
          <w:rFonts w:ascii="Arial" w:hAnsi="Arial"/>
          <w:i/>
          <w:w w:val="92"/>
          <w:sz w:val="26"/>
        </w:rPr>
        <w:t>tª"M</w:t>
      </w:r>
      <w:r>
        <w:rPr>
          <w:rFonts w:ascii="Arial" w:hAnsi="Arial"/>
          <w:i/>
          <w:spacing w:val="29"/>
          <w:w w:val="92"/>
          <w:sz w:val="26"/>
        </w:rPr>
        <w:t>;</w:t>
      </w:r>
      <w:r>
        <w:rPr>
          <w:rFonts w:ascii="Arial" w:hAnsi="Arial"/>
          <w:i/>
          <w:w w:val="150"/>
          <w:sz w:val="39"/>
        </w:rPr>
        <w:t>.</w:t>
      </w:r>
      <w:r>
        <w:rPr>
          <w:rFonts w:ascii="Arial" w:hAnsi="Arial"/>
          <w:i/>
          <w:spacing w:val="-42"/>
          <w:sz w:val="39"/>
        </w:rPr>
        <w:t> </w:t>
      </w:r>
      <w:r>
        <w:rPr>
          <w:rFonts w:ascii="Arial" w:hAnsi="Arial"/>
          <w:i/>
          <w:w w:val="82"/>
          <w:sz w:val="39"/>
        </w:rPr>
        <w:t>tR:</w:t>
      </w:r>
      <w:r>
        <w:rPr>
          <w:rFonts w:ascii="Arial" w:hAnsi="Arial"/>
          <w:i/>
          <w:spacing w:val="-5"/>
          <w:w w:val="82"/>
          <w:sz w:val="39"/>
        </w:rPr>
        <w:t>+</w:t>
      </w:r>
      <w:r>
        <w:rPr>
          <w:rFonts w:ascii="Arial" w:hAnsi="Arial"/>
          <w:i/>
          <w:w w:val="30"/>
          <w:sz w:val="39"/>
        </w:rPr>
        <w:t>1</w:t>
      </w:r>
      <w:r>
        <w:rPr>
          <w:rFonts w:ascii="Arial" w:hAnsi="Arial"/>
          <w:i/>
          <w:spacing w:val="-68"/>
          <w:sz w:val="39"/>
        </w:rPr>
        <w:t> </w:t>
      </w:r>
      <w:r>
        <w:rPr>
          <w:rFonts w:ascii="Arial" w:hAnsi="Arial"/>
          <w:i/>
          <w:w w:val="58"/>
          <w:sz w:val="39"/>
        </w:rPr>
        <w:t>.</w:t>
      </w:r>
    </w:p>
    <w:p>
      <w:pPr>
        <w:pStyle w:val="BodyText"/>
        <w:spacing w:before="7"/>
        <w:rPr>
          <w:rFonts w:ascii="Arial"/>
          <w:i/>
          <w:sz w:val="18"/>
        </w:rPr>
      </w:pPr>
      <w:r>
        <w:rPr/>
        <w:br w:type="column"/>
      </w:r>
      <w:r>
        <w:rPr>
          <w:rFonts w:ascii="Arial"/>
          <w:i/>
          <w:sz w:val="18"/>
        </w:rPr>
      </w:r>
    </w:p>
    <w:p>
      <w:pPr>
        <w:spacing w:before="0"/>
        <w:ind w:left="112" w:right="0" w:firstLine="0"/>
        <w:jc w:val="left"/>
        <w:rPr>
          <w:sz w:val="21"/>
        </w:rPr>
      </w:pPr>
      <w:r>
        <w:rPr>
          <w:sz w:val="21"/>
        </w:rPr>
        <w:t>( 16.26 )</w:t>
      </w:r>
    </w:p>
    <w:p>
      <w:pPr>
        <w:spacing w:after="0"/>
        <w:jc w:val="left"/>
        <w:rPr>
          <w:sz w:val="21"/>
        </w:rPr>
        <w:sectPr>
          <w:type w:val="continuous"/>
          <w:pgSz w:w="7200" w:h="11340"/>
          <w:pgMar w:top="1100" w:bottom="0" w:left="680" w:right="520"/>
          <w:cols w:num="2" w:equalWidth="0">
            <w:col w:w="5043" w:space="79"/>
            <w:col w:w="878"/>
          </w:cols>
        </w:sectPr>
      </w:pPr>
    </w:p>
    <w:p>
      <w:pPr>
        <w:pStyle w:val="BodyText"/>
        <w:spacing w:before="4"/>
        <w:rPr>
          <w:sz w:val="16"/>
        </w:rPr>
      </w:pPr>
    </w:p>
    <w:p>
      <w:pPr>
        <w:spacing w:before="73"/>
        <w:ind w:left="119" w:right="107" w:firstLine="205"/>
        <w:jc w:val="left"/>
        <w:rPr>
          <w:rFonts w:ascii="Arial" w:hAnsi="Arial"/>
          <w:i/>
          <w:sz w:val="21"/>
        </w:rPr>
      </w:pPr>
      <w:r>
        <w:rPr>
          <w:sz w:val="21"/>
        </w:rPr>
        <w:t>In defining commutation symbols for this benefit, we have in­ trodued the device of  a weight function applied to the values of </w:t>
      </w:r>
      <w:r>
        <w:rPr>
          <w:spacing w:val="50"/>
          <w:sz w:val="21"/>
        </w:rPr>
        <w:t> </w:t>
      </w:r>
      <w:r>
        <w:rPr>
          <w:rFonts w:ascii="Arial" w:hAnsi="Arial"/>
          <w:i/>
          <w:sz w:val="21"/>
        </w:rPr>
        <w:t>M.</w:t>
      </w:r>
    </w:p>
    <w:p>
      <w:pPr>
        <w:spacing w:line="194" w:lineRule="auto" w:before="33"/>
        <w:ind w:left="119" w:right="129" w:firstLine="3"/>
        <w:jc w:val="both"/>
        <w:rPr>
          <w:sz w:val="21"/>
        </w:rPr>
      </w:pPr>
      <w:r>
        <w:rPr>
          <w:sz w:val="21"/>
        </w:rPr>
        <w:t>When this is done, a prime is shown with the prefixed superscript. </w:t>
      </w:r>
      <w:r>
        <w:rPr>
          <w:w w:val="108"/>
          <w:sz w:val="21"/>
        </w:rPr>
        <w:t>In </w:t>
      </w:r>
      <w:r>
        <w:rPr>
          <w:w w:val="103"/>
          <w:sz w:val="21"/>
        </w:rPr>
        <w:t>the </w:t>
      </w:r>
      <w:r>
        <w:rPr>
          <w:w w:val="97"/>
          <w:sz w:val="21"/>
        </w:rPr>
        <w:t>symbol </w:t>
      </w:r>
      <w:r>
        <w:rPr>
          <w:i/>
          <w:spacing w:val="1"/>
          <w:w w:val="106"/>
          <w:sz w:val="12"/>
        </w:rPr>
        <w:t>S'a</w:t>
      </w:r>
      <w:r>
        <w:rPr>
          <w:rFonts w:ascii="Arial" w:hAnsi="Arial"/>
          <w:i/>
          <w:spacing w:val="1"/>
          <w:w w:val="106"/>
          <w:sz w:val="27"/>
        </w:rPr>
        <w:t>M;</w:t>
      </w:r>
      <w:r>
        <w:rPr>
          <w:rFonts w:ascii="Arial" w:hAnsi="Arial"/>
          <w:i/>
          <w:w w:val="106"/>
          <w:sz w:val="27"/>
        </w:rPr>
        <w:t> </w:t>
      </w:r>
      <w:r>
        <w:rPr>
          <w:rFonts w:ascii="Arial" w:hAnsi="Arial"/>
          <w:w w:val="98"/>
          <w:sz w:val="27"/>
        </w:rPr>
        <w:t>, </w:t>
      </w:r>
      <w:r>
        <w:rPr>
          <w:w w:val="108"/>
          <w:sz w:val="21"/>
        </w:rPr>
        <w:t>it </w:t>
      </w:r>
      <w:r>
        <w:rPr>
          <w:w w:val="97"/>
          <w:sz w:val="21"/>
        </w:rPr>
        <w:t>is </w:t>
      </w:r>
      <w:r>
        <w:rPr>
          <w:w w:val="109"/>
          <w:sz w:val="21"/>
        </w:rPr>
        <w:t>to </w:t>
      </w:r>
      <w:r>
        <w:rPr>
          <w:w w:val="94"/>
          <w:sz w:val="21"/>
        </w:rPr>
        <w:t>be </w:t>
      </w:r>
      <w:r>
        <w:rPr>
          <w:w w:val="99"/>
          <w:sz w:val="21"/>
        </w:rPr>
        <w:t>understood </w:t>
      </w:r>
      <w:r>
        <w:rPr>
          <w:w w:val="96"/>
          <w:sz w:val="21"/>
        </w:rPr>
        <w:t>from </w:t>
      </w:r>
      <w:r>
        <w:rPr>
          <w:w w:val="106"/>
          <w:sz w:val="21"/>
        </w:rPr>
        <w:t>the </w:t>
      </w:r>
      <w:r>
        <w:rPr>
          <w:w w:val="98"/>
          <w:sz w:val="21"/>
        </w:rPr>
        <w:t>superscribed </w:t>
      </w:r>
      <w:r>
        <w:rPr>
          <w:i/>
          <w:sz w:val="20"/>
        </w:rPr>
        <w:t>S' a </w:t>
      </w:r>
      <w:r>
        <w:rPr>
          <w:sz w:val="21"/>
        </w:rPr>
        <w:t>that </w:t>
      </w:r>
      <w:r>
        <w:rPr>
          <w:rFonts w:ascii="Arial" w:hAnsi="Arial"/>
          <w:sz w:val="24"/>
        </w:rPr>
        <w:t>á; </w:t>
      </w:r>
      <w:r>
        <w:rPr>
          <w:sz w:val="21"/>
        </w:rPr>
        <w:t>has been weighted with an annuity  function  and that the  resulting  </w:t>
      </w:r>
      <w:r>
        <w:rPr>
          <w:i/>
          <w:spacing w:val="3"/>
          <w:sz w:val="22"/>
        </w:rPr>
        <w:t>ª</w:t>
      </w:r>
      <w:r>
        <w:rPr>
          <w:rFonts w:ascii="Arial" w:hAnsi="Arial"/>
          <w:i/>
          <w:spacing w:val="3"/>
          <w:sz w:val="26"/>
        </w:rPr>
        <w:t>M; </w:t>
      </w:r>
      <w:r>
        <w:rPr>
          <w:sz w:val="21"/>
        </w:rPr>
        <w:t>has  been  weighted  with  a salary  function.</w:t>
      </w:r>
      <w:r>
        <w:rPr>
          <w:spacing w:val="-15"/>
          <w:sz w:val="21"/>
        </w:rPr>
        <w:t> </w:t>
      </w:r>
      <w:r>
        <w:rPr>
          <w:sz w:val="21"/>
        </w:rPr>
        <w:t>The</w:t>
      </w:r>
    </w:p>
    <w:p>
      <w:pPr>
        <w:spacing w:line="242" w:lineRule="exact" w:before="0"/>
        <w:ind w:left="122" w:right="142" w:firstLine="0"/>
        <w:jc w:val="both"/>
        <w:rPr>
          <w:sz w:val="21"/>
        </w:rPr>
      </w:pPr>
      <w:r>
        <w:rPr>
          <w:sz w:val="21"/>
        </w:rPr>
        <w:t>fact that the salary function has a subscript one age lower than that of  </w:t>
      </w:r>
      <w:r>
        <w:rPr>
          <w:i/>
          <w:sz w:val="22"/>
        </w:rPr>
        <w:t>ª</w:t>
      </w:r>
      <w:r>
        <w:rPr>
          <w:rFonts w:ascii="Arial" w:hAnsi="Arial"/>
          <w:i/>
          <w:sz w:val="26"/>
        </w:rPr>
        <w:t>.M; </w:t>
      </w:r>
      <w:r>
        <w:rPr>
          <w:sz w:val="21"/>
        </w:rPr>
        <w:t>is  important  in  the  application,  but  this  is  a  matter  of</w:t>
      </w:r>
    </w:p>
    <w:p>
      <w:pPr>
        <w:spacing w:line="235" w:lineRule="auto" w:before="0"/>
        <w:ind w:left="126" w:right="144" w:firstLine="0"/>
        <w:jc w:val="both"/>
        <w:rPr>
          <w:sz w:val="21"/>
        </w:rPr>
      </w:pPr>
      <w:r>
        <w:rPr>
          <w:sz w:val="21"/>
        </w:rPr>
        <w:t>definition, and the same notation could </w:t>
      </w:r>
      <w:r>
        <w:rPr>
          <w:rFonts w:ascii="Arial"/>
          <w:sz w:val="18"/>
        </w:rPr>
        <w:t>be </w:t>
      </w:r>
      <w:r>
        <w:rPr>
          <w:sz w:val="21"/>
        </w:rPr>
        <w:t>used even  if  this were not so.</w:t>
      </w:r>
    </w:p>
    <w:p>
      <w:pPr>
        <w:spacing w:line="238" w:lineRule="exact" w:before="2"/>
        <w:ind w:left="126" w:right="113" w:firstLine="205"/>
        <w:jc w:val="left"/>
        <w:rPr>
          <w:sz w:val="21"/>
        </w:rPr>
      </w:pPr>
      <w:r>
        <w:rPr>
          <w:w w:val="105"/>
          <w:sz w:val="21"/>
        </w:rPr>
        <w:t>It should </w:t>
      </w:r>
      <w:r>
        <w:rPr>
          <w:rFonts w:ascii="Arial"/>
          <w:w w:val="105"/>
          <w:sz w:val="18"/>
        </w:rPr>
        <w:t>be </w:t>
      </w:r>
      <w:r>
        <w:rPr>
          <w:w w:val="105"/>
          <w:sz w:val="21"/>
        </w:rPr>
        <w:t>kept in mind that the notation used in this chapter is</w:t>
      </w:r>
      <w:r>
        <w:rPr>
          <w:spacing w:val="-16"/>
          <w:w w:val="105"/>
          <w:sz w:val="21"/>
        </w:rPr>
        <w:t> </w:t>
      </w:r>
      <w:r>
        <w:rPr>
          <w:w w:val="105"/>
          <w:sz w:val="21"/>
        </w:rPr>
        <w:t>far</w:t>
      </w:r>
      <w:r>
        <w:rPr>
          <w:spacing w:val="-18"/>
          <w:w w:val="105"/>
          <w:sz w:val="21"/>
        </w:rPr>
        <w:t> </w:t>
      </w:r>
      <w:r>
        <w:rPr>
          <w:w w:val="105"/>
          <w:sz w:val="21"/>
        </w:rPr>
        <w:t>from</w:t>
      </w:r>
      <w:r>
        <w:rPr>
          <w:spacing w:val="-10"/>
          <w:w w:val="105"/>
          <w:sz w:val="21"/>
        </w:rPr>
        <w:t> </w:t>
      </w:r>
      <w:r>
        <w:rPr>
          <w:w w:val="105"/>
          <w:sz w:val="21"/>
        </w:rPr>
        <w:t>standardized</w:t>
      </w:r>
      <w:r>
        <w:rPr>
          <w:spacing w:val="-5"/>
          <w:w w:val="105"/>
          <w:sz w:val="21"/>
        </w:rPr>
        <w:t> </w:t>
      </w:r>
      <w:r>
        <w:rPr>
          <w:w w:val="105"/>
          <w:sz w:val="21"/>
        </w:rPr>
        <w:t>and</w:t>
      </w:r>
      <w:r>
        <w:rPr>
          <w:spacing w:val="-9"/>
          <w:w w:val="105"/>
          <w:sz w:val="21"/>
        </w:rPr>
        <w:t> </w:t>
      </w:r>
      <w:r>
        <w:rPr>
          <w:w w:val="105"/>
          <w:sz w:val="21"/>
        </w:rPr>
        <w:t>is</w:t>
      </w:r>
      <w:r>
        <w:rPr>
          <w:spacing w:val="-18"/>
          <w:w w:val="105"/>
          <w:sz w:val="21"/>
        </w:rPr>
        <w:t> </w:t>
      </w:r>
      <w:r>
        <w:rPr>
          <w:w w:val="105"/>
          <w:sz w:val="21"/>
        </w:rPr>
        <w:t>not</w:t>
      </w:r>
      <w:r>
        <w:rPr>
          <w:spacing w:val="-6"/>
          <w:w w:val="105"/>
          <w:sz w:val="21"/>
        </w:rPr>
        <w:t> </w:t>
      </w:r>
      <w:r>
        <w:rPr>
          <w:w w:val="105"/>
          <w:sz w:val="21"/>
        </w:rPr>
        <w:t>always</w:t>
      </w:r>
      <w:r>
        <w:rPr>
          <w:spacing w:val="-11"/>
          <w:w w:val="105"/>
          <w:sz w:val="21"/>
        </w:rPr>
        <w:t> </w:t>
      </w:r>
      <w:r>
        <w:rPr>
          <w:w w:val="105"/>
          <w:sz w:val="21"/>
        </w:rPr>
        <w:t>the</w:t>
      </w:r>
      <w:r>
        <w:rPr>
          <w:spacing w:val="-14"/>
          <w:w w:val="105"/>
          <w:sz w:val="21"/>
        </w:rPr>
        <w:t> </w:t>
      </w:r>
      <w:r>
        <w:rPr>
          <w:w w:val="105"/>
          <w:sz w:val="21"/>
        </w:rPr>
        <w:t>same</w:t>
      </w:r>
      <w:r>
        <w:rPr>
          <w:spacing w:val="-15"/>
          <w:w w:val="105"/>
          <w:sz w:val="21"/>
        </w:rPr>
        <w:t> </w:t>
      </w:r>
      <w:r>
        <w:rPr>
          <w:w w:val="105"/>
          <w:sz w:val="21"/>
        </w:rPr>
        <w:t>as</w:t>
      </w:r>
      <w:r>
        <w:rPr>
          <w:spacing w:val="-17"/>
          <w:w w:val="105"/>
          <w:sz w:val="21"/>
        </w:rPr>
        <w:t> </w:t>
      </w:r>
      <w:r>
        <w:rPr>
          <w:w w:val="105"/>
          <w:sz w:val="21"/>
        </w:rPr>
        <w:t>the</w:t>
      </w:r>
      <w:r>
        <w:rPr>
          <w:spacing w:val="-16"/>
          <w:w w:val="105"/>
          <w:sz w:val="21"/>
        </w:rPr>
        <w:t> </w:t>
      </w:r>
      <w:r>
        <w:rPr>
          <w:w w:val="105"/>
          <w:sz w:val="21"/>
        </w:rPr>
        <w:t>notation</w:t>
      </w:r>
    </w:p>
    <w:p>
      <w:pPr>
        <w:spacing w:after="0" w:line="238" w:lineRule="exact"/>
        <w:jc w:val="left"/>
        <w:rPr>
          <w:sz w:val="21"/>
        </w:rPr>
        <w:sectPr>
          <w:type w:val="continuous"/>
          <w:pgSz w:w="7200" w:h="11340"/>
          <w:pgMar w:top="1100" w:bottom="0" w:left="680" w:right="520"/>
        </w:sectPr>
      </w:pPr>
    </w:p>
    <w:p>
      <w:pPr>
        <w:tabs>
          <w:tab w:pos="2000" w:val="left" w:leader="none"/>
          <w:tab w:pos="5269" w:val="left" w:leader="none"/>
        </w:tabs>
        <w:spacing w:before="63"/>
        <w:ind w:left="146" w:right="0" w:firstLine="3"/>
        <w:jc w:val="left"/>
        <w:rPr>
          <w:rFonts w:ascii="Arial"/>
          <w:b/>
          <w:sz w:val="19"/>
        </w:rPr>
      </w:pPr>
      <w:r>
        <w:rPr>
          <w:sz w:val="19"/>
        </w:rPr>
        <w:t>316</w:t>
        <w:tab/>
      </w:r>
      <w:r>
        <w:rPr>
          <w:b/>
          <w:sz w:val="15"/>
        </w:rPr>
        <w:t>A </w:t>
      </w:r>
      <w:r>
        <w:rPr>
          <w:b/>
          <w:spacing w:val="34"/>
          <w:sz w:val="15"/>
        </w:rPr>
        <w:t> </w:t>
      </w:r>
      <w:r>
        <w:rPr>
          <w:b/>
          <w:sz w:val="15"/>
        </w:rPr>
        <w:t>GENERALIZED  </w:t>
      </w:r>
      <w:r>
        <w:rPr>
          <w:b/>
          <w:spacing w:val="1"/>
          <w:sz w:val="15"/>
        </w:rPr>
        <w:t> </w:t>
      </w:r>
      <w:r>
        <w:rPr>
          <w:b/>
          <w:sz w:val="15"/>
        </w:rPr>
        <w:t>MODEL</w:t>
        <w:tab/>
      </w:r>
      <w:r>
        <w:rPr>
          <w:b/>
          <w:sz w:val="17"/>
        </w:rPr>
        <w:t>[CH.</w:t>
      </w:r>
      <w:r>
        <w:rPr>
          <w:b/>
          <w:spacing w:val="40"/>
          <w:sz w:val="17"/>
        </w:rPr>
        <w:t> </w:t>
      </w:r>
      <w:r>
        <w:rPr>
          <w:rFonts w:ascii="Arial"/>
          <w:b/>
          <w:spacing w:val="-14"/>
          <w:sz w:val="19"/>
        </w:rPr>
        <w:t>16</w:t>
      </w:r>
    </w:p>
    <w:p>
      <w:pPr>
        <w:pStyle w:val="BodyText"/>
        <w:spacing w:before="4"/>
        <w:rPr>
          <w:rFonts w:ascii="Arial"/>
          <w:b/>
          <w:sz w:val="25"/>
        </w:rPr>
      </w:pPr>
    </w:p>
    <w:p>
      <w:pPr>
        <w:spacing w:line="165" w:lineRule="auto" w:before="0"/>
        <w:ind w:left="139" w:right="116" w:firstLine="7"/>
        <w:jc w:val="left"/>
        <w:rPr>
          <w:sz w:val="21"/>
        </w:rPr>
      </w:pPr>
      <w:r>
        <w:rPr>
          <w:sz w:val="21"/>
        </w:rPr>
        <w:t>used elsewhere in the literature. ·For example, sorne  authors use  the symbol  </w:t>
      </w:r>
      <w:r>
        <w:rPr>
          <w:i/>
          <w:spacing w:val="-6"/>
          <w:sz w:val="29"/>
        </w:rPr>
        <w:t>e;ª </w:t>
      </w:r>
      <w:r>
        <w:rPr>
          <w:sz w:val="21"/>
        </w:rPr>
        <w:t>where  we use </w:t>
      </w:r>
      <w:r>
        <w:rPr>
          <w:i/>
          <w:sz w:val="29"/>
        </w:rPr>
        <w:t>ªG; </w:t>
      </w:r>
      <w:r>
        <w:rPr>
          <w:sz w:val="21"/>
        </w:rPr>
        <w:t>and reserve  the use  of  the</w:t>
      </w:r>
      <w:r>
        <w:rPr>
          <w:spacing w:val="21"/>
          <w:sz w:val="21"/>
        </w:rPr>
        <w:t> </w:t>
      </w:r>
      <w:r>
        <w:rPr>
          <w:sz w:val="21"/>
        </w:rPr>
        <w:t>bar</w:t>
      </w:r>
    </w:p>
    <w:p>
      <w:pPr>
        <w:spacing w:line="240" w:lineRule="exact" w:before="0"/>
        <w:ind w:left="139" w:right="0" w:firstLine="0"/>
        <w:jc w:val="left"/>
        <w:rPr>
          <w:sz w:val="21"/>
        </w:rPr>
      </w:pPr>
      <w:r>
        <w:rPr/>
        <w:drawing>
          <wp:anchor distT="0" distB="0" distL="0" distR="0" allowOverlap="1" layoutInCell="1" locked="0" behindDoc="0" simplePos="0" relativeHeight="25576">
            <wp:simplePos x="0" y="0"/>
            <wp:positionH relativeFrom="page">
              <wp:posOffset>1572767</wp:posOffset>
            </wp:positionH>
            <wp:positionV relativeFrom="paragraph">
              <wp:posOffset>221688</wp:posOffset>
            </wp:positionV>
            <wp:extent cx="1481327" cy="155448"/>
            <wp:effectExtent l="0" t="0" r="0" b="0"/>
            <wp:wrapTopAndBottom/>
            <wp:docPr id="783" name="image400.png" descr=""/>
            <wp:cNvGraphicFramePr>
              <a:graphicFrameLocks noChangeAspect="1"/>
            </wp:cNvGraphicFramePr>
            <a:graphic>
              <a:graphicData uri="http://schemas.openxmlformats.org/drawingml/2006/picture">
                <pic:pic>
                  <pic:nvPicPr>
                    <pic:cNvPr id="784" name="image400.png"/>
                    <pic:cNvPicPr/>
                  </pic:nvPicPr>
                  <pic:blipFill>
                    <a:blip r:embed="rId404" cstate="print"/>
                    <a:stretch>
                      <a:fillRect/>
                    </a:stretch>
                  </pic:blipFill>
                  <pic:spPr>
                    <a:xfrm>
                      <a:off x="0" y="0"/>
                      <a:ext cx="1481327" cy="155448"/>
                    </a:xfrm>
                    <a:prstGeom prst="rect">
                      <a:avLst/>
                    </a:prstGeom>
                  </pic:spPr>
                </pic:pic>
              </a:graphicData>
            </a:graphic>
          </wp:anchor>
        </w:drawing>
      </w:r>
      <w:r>
        <w:rPr>
          <w:sz w:val="21"/>
        </w:rPr>
        <w:t>over a function for definitions like the following:</w:t>
      </w:r>
    </w:p>
    <w:p>
      <w:pPr>
        <w:spacing w:after="0" w:line="240" w:lineRule="exact"/>
        <w:jc w:val="left"/>
        <w:rPr>
          <w:sz w:val="21"/>
        </w:rPr>
        <w:sectPr>
          <w:pgSz w:w="7200" w:h="11340"/>
          <w:pgMar w:top="500" w:bottom="280" w:left="660" w:right="540"/>
        </w:sectPr>
      </w:pPr>
    </w:p>
    <w:p>
      <w:pPr>
        <w:pStyle w:val="BodyText"/>
        <w:spacing w:before="9"/>
        <w:rPr>
          <w:sz w:val="8"/>
        </w:rPr>
      </w:pPr>
    </w:p>
    <w:p>
      <w:pPr>
        <w:spacing w:line="88" w:lineRule="exact" w:before="0"/>
        <w:ind w:left="0" w:right="77" w:firstLine="0"/>
        <w:jc w:val="right"/>
        <w:rPr>
          <w:rFonts w:ascii="Arial"/>
          <w:b/>
          <w:sz w:val="8"/>
        </w:rPr>
      </w:pPr>
      <w:r>
        <w:rPr>
          <w:rFonts w:ascii="Arial"/>
          <w:b/>
          <w:w w:val="115"/>
          <w:sz w:val="8"/>
        </w:rPr>
        <w:t>00</w:t>
      </w:r>
    </w:p>
    <w:p>
      <w:pPr>
        <w:spacing w:line="396" w:lineRule="exact" w:before="0"/>
        <w:ind w:left="0" w:right="0" w:firstLine="0"/>
        <w:jc w:val="right"/>
        <w:rPr>
          <w:b/>
          <w:sz w:val="22"/>
        </w:rPr>
      </w:pPr>
      <w:r>
        <w:rPr>
          <w:w w:val="92"/>
          <w:sz w:val="26"/>
        </w:rPr>
        <w:t>=</w:t>
      </w:r>
      <w:r>
        <w:rPr>
          <w:sz w:val="26"/>
        </w:rPr>
        <w:t> </w:t>
      </w:r>
      <w:r>
        <w:rPr>
          <w:spacing w:val="16"/>
          <w:sz w:val="26"/>
        </w:rPr>
        <w:t> </w:t>
      </w:r>
      <w:r>
        <w:rPr>
          <w:i/>
          <w:spacing w:val="-119"/>
          <w:w w:val="111"/>
          <w:sz w:val="17"/>
        </w:rPr>
        <w:t>L</w:t>
      </w:r>
      <w:r>
        <w:rPr>
          <w:b/>
          <w:w w:val="92"/>
          <w:position w:val="-10"/>
          <w:sz w:val="22"/>
        </w:rPr>
        <w:t>,</w:t>
      </w:r>
      <w:r>
        <w:rPr>
          <w:b/>
          <w:spacing w:val="-13"/>
          <w:w w:val="92"/>
          <w:position w:val="-10"/>
          <w:sz w:val="22"/>
        </w:rPr>
        <w:t>-</w:t>
      </w:r>
      <w:r>
        <w:rPr>
          <w:i/>
          <w:spacing w:val="-73"/>
          <w:w w:val="111"/>
          <w:sz w:val="17"/>
        </w:rPr>
        <w:t>J</w:t>
      </w:r>
      <w:r>
        <w:rPr>
          <w:b/>
          <w:w w:val="92"/>
          <w:position w:val="-10"/>
          <w:sz w:val="22"/>
        </w:rPr>
        <w:t>o</w:t>
      </w:r>
    </w:p>
    <w:p>
      <w:pPr>
        <w:pStyle w:val="BodyText"/>
        <w:spacing w:before="5"/>
        <w:rPr>
          <w:b/>
          <w:sz w:val="16"/>
        </w:rPr>
      </w:pPr>
      <w:r>
        <w:rPr/>
        <w:br w:type="column"/>
      </w:r>
      <w:r>
        <w:rPr>
          <w:b/>
          <w:sz w:val="16"/>
        </w:rPr>
      </w:r>
    </w:p>
    <w:p>
      <w:pPr>
        <w:spacing w:line="120" w:lineRule="exact" w:before="0"/>
        <w:ind w:left="64" w:right="0" w:firstLine="0"/>
        <w:jc w:val="left"/>
        <w:rPr>
          <w:b/>
          <w:i/>
          <w:sz w:val="14"/>
        </w:rPr>
      </w:pPr>
      <w:r>
        <w:rPr>
          <w:b/>
          <w:i/>
          <w:w w:val="113"/>
          <w:sz w:val="14"/>
        </w:rPr>
        <w:t>B'</w:t>
      </w:r>
      <w:r>
        <w:rPr>
          <w:b/>
          <w:i/>
          <w:spacing w:val="-80"/>
          <w:w w:val="113"/>
          <w:sz w:val="14"/>
        </w:rPr>
        <w:t>M</w:t>
      </w:r>
      <w:r>
        <w:rPr>
          <w:b/>
          <w:i/>
          <w:w w:val="143"/>
          <w:sz w:val="14"/>
        </w:rPr>
        <w:t>-</w:t>
      </w:r>
      <w:r>
        <w:rPr>
          <w:b/>
          <w:i/>
          <w:spacing w:val="9"/>
          <w:sz w:val="14"/>
        </w:rPr>
        <w:t> </w:t>
      </w:r>
      <w:r>
        <w:rPr>
          <w:b/>
          <w:i/>
          <w:w w:val="102"/>
          <w:sz w:val="14"/>
        </w:rPr>
        <w:t>ra</w:t>
      </w:r>
    </w:p>
    <w:p>
      <w:pPr>
        <w:spacing w:line="155" w:lineRule="exact" w:before="0"/>
        <w:ind w:left="378" w:right="0" w:firstLine="0"/>
        <w:jc w:val="left"/>
        <w:rPr>
          <w:sz w:val="17"/>
        </w:rPr>
      </w:pPr>
      <w:r>
        <w:rPr>
          <w:w w:val="110"/>
          <w:sz w:val="17"/>
        </w:rPr>
        <w:t>z+c </w:t>
      </w:r>
      <w:r>
        <w:rPr>
          <w:w w:val="165"/>
          <w:sz w:val="17"/>
        </w:rPr>
        <w:t>.</w:t>
      </w:r>
    </w:p>
    <w:p>
      <w:pPr>
        <w:spacing w:after="0" w:line="155" w:lineRule="exact"/>
        <w:jc w:val="left"/>
        <w:rPr>
          <w:sz w:val="17"/>
        </w:rPr>
        <w:sectPr>
          <w:type w:val="continuous"/>
          <w:pgSz w:w="7200" w:h="11340"/>
          <w:pgMar w:top="1100" w:bottom="0" w:left="660" w:right="540"/>
          <w:cols w:num="2" w:equalWidth="0">
            <w:col w:w="2933" w:space="40"/>
            <w:col w:w="3027"/>
          </w:cols>
        </w:sectPr>
      </w:pPr>
    </w:p>
    <w:p>
      <w:pPr>
        <w:spacing w:before="92"/>
        <w:ind w:left="132" w:right="0" w:firstLine="3"/>
        <w:jc w:val="left"/>
        <w:rPr>
          <w:sz w:val="21"/>
        </w:rPr>
      </w:pPr>
      <w:r>
        <w:rPr>
          <w:sz w:val="21"/>
        </w:rPr>
        <w:t>These special definitions are designed to simplify the writing of expressions like  (16.25) and (16.26).</w:t>
      </w:r>
    </w:p>
    <w:p>
      <w:pPr>
        <w:numPr>
          <w:ilvl w:val="0"/>
          <w:numId w:val="143"/>
        </w:numPr>
        <w:tabs>
          <w:tab w:pos="356" w:val="left" w:leader="none"/>
        </w:tabs>
        <w:spacing w:before="167"/>
        <w:ind w:left="355" w:right="0" w:hanging="227"/>
        <w:jc w:val="left"/>
        <w:rPr>
          <w:b/>
          <w:sz w:val="20"/>
        </w:rPr>
      </w:pPr>
      <w:r>
        <w:rPr>
          <w:b/>
          <w:w w:val="115"/>
          <w:sz w:val="20"/>
        </w:rPr>
        <w:t>Participants'</w:t>
      </w:r>
      <w:r>
        <w:rPr>
          <w:b/>
          <w:spacing w:val="37"/>
          <w:w w:val="115"/>
          <w:sz w:val="20"/>
        </w:rPr>
        <w:t> </w:t>
      </w:r>
      <w:r>
        <w:rPr>
          <w:b/>
          <w:w w:val="115"/>
          <w:sz w:val="20"/>
        </w:rPr>
        <w:t>contributions</w:t>
      </w:r>
    </w:p>
    <w:p>
      <w:pPr>
        <w:spacing w:line="240" w:lineRule="auto" w:before="81"/>
        <w:ind w:left="121" w:right="127" w:firstLine="205"/>
        <w:jc w:val="both"/>
        <w:rPr>
          <w:sz w:val="21"/>
        </w:rPr>
      </w:pPr>
      <w:r>
        <w:rPr>
          <w:sz w:val="21"/>
        </w:rPr>
        <w:t>Participants' contributions  to  a pension  plan  are usually  either a flat amount per year or a percentage of compensation. The con­ tributions are usually made by payroll deduction. There are wide variations in payroll practices as to frequency of payment, and it is convenient to assume that the contributions are received con­ tinuously.</w:t>
      </w:r>
    </w:p>
    <w:p>
      <w:pPr>
        <w:spacing w:line="202" w:lineRule="exact" w:before="0"/>
        <w:ind w:left="273" w:right="87" w:firstLine="0"/>
        <w:jc w:val="center"/>
        <w:rPr>
          <w:sz w:val="19"/>
        </w:rPr>
      </w:pPr>
      <w:r>
        <w:rPr>
          <w:w w:val="105"/>
          <w:sz w:val="21"/>
        </w:rPr>
        <w:t>On this assumption,  the present value at age </w:t>
      </w:r>
      <w:r>
        <w:rPr>
          <w:i/>
          <w:w w:val="105"/>
          <w:sz w:val="20"/>
        </w:rPr>
        <w:t>x  </w:t>
      </w:r>
      <w:r>
        <w:rPr>
          <w:w w:val="105"/>
          <w:sz w:val="21"/>
        </w:rPr>
        <w:t>of a unit to   </w:t>
      </w:r>
      <w:r>
        <w:rPr>
          <w:w w:val="105"/>
          <w:sz w:val="19"/>
        </w:rPr>
        <w:t>be</w:t>
      </w:r>
    </w:p>
    <w:p>
      <w:pPr>
        <w:spacing w:line="288" w:lineRule="exact" w:before="0"/>
        <w:ind w:left="124" w:right="0" w:firstLine="0"/>
        <w:jc w:val="left"/>
        <w:rPr>
          <w:sz w:val="21"/>
        </w:rPr>
      </w:pPr>
      <w:r>
        <w:rPr>
          <w:sz w:val="21"/>
        </w:rPr>
        <w:t>contributed  during  the year  following  attainment  of  age </w:t>
      </w:r>
      <w:r>
        <w:rPr>
          <w:rFonts w:ascii="Arial"/>
          <w:i/>
          <w:sz w:val="18"/>
        </w:rPr>
        <w:t>x  </w:t>
      </w:r>
      <w:r>
        <w:rPr>
          <w:sz w:val="29"/>
        </w:rPr>
        <w:t>+ </w:t>
      </w:r>
      <w:r>
        <w:rPr>
          <w:i/>
          <w:sz w:val="22"/>
        </w:rPr>
        <w:t>t </w:t>
      </w:r>
      <w:r>
        <w:rPr>
          <w:sz w:val="21"/>
        </w:rPr>
        <w:t>is</w:t>
      </w:r>
    </w:p>
    <w:p>
      <w:pPr>
        <w:spacing w:line="100" w:lineRule="exact" w:before="0"/>
        <w:ind w:left="178" w:right="0" w:firstLine="0"/>
        <w:jc w:val="left"/>
        <w:rPr>
          <w:rFonts w:ascii="Arial"/>
          <w:b/>
          <w:sz w:val="10"/>
        </w:rPr>
      </w:pPr>
      <w:r>
        <w:rPr>
          <w:rFonts w:ascii="Arial"/>
          <w:w w:val="215"/>
          <w:sz w:val="10"/>
        </w:rPr>
        <w:t>- </w:t>
      </w:r>
      <w:r>
        <w:rPr>
          <w:rFonts w:ascii="Arial"/>
          <w:b/>
          <w:w w:val="130"/>
          <w:sz w:val="10"/>
        </w:rPr>
        <w:t>7'</w:t>
      </w:r>
    </w:p>
    <w:p>
      <w:pPr>
        <w:spacing w:line="213" w:lineRule="exact" w:before="0"/>
        <w:ind w:left="117" w:right="0" w:firstLine="0"/>
        <w:jc w:val="left"/>
        <w:rPr>
          <w:sz w:val="21"/>
        </w:rPr>
      </w:pPr>
      <w:r>
        <w:rPr>
          <w:i/>
          <w:w w:val="110"/>
          <w:sz w:val="22"/>
        </w:rPr>
        <w:t>D</w:t>
      </w:r>
      <w:r>
        <w:rPr>
          <w:i/>
          <w:w w:val="110"/>
          <w:sz w:val="22"/>
          <w:u w:val="thick"/>
        </w:rPr>
        <w:t>z</w:t>
      </w:r>
      <w:r>
        <w:rPr>
          <w:i/>
          <w:w w:val="110"/>
          <w:sz w:val="22"/>
        </w:rPr>
        <w:t>, </w:t>
      </w:r>
      <w:r>
        <w:rPr>
          <w:w w:val="110"/>
          <w:sz w:val="22"/>
        </w:rPr>
        <w:t>. </w:t>
      </w:r>
      <w:r>
        <w:rPr>
          <w:w w:val="110"/>
          <w:sz w:val="21"/>
        </w:rPr>
        <w:t>The present value of </w:t>
      </w:r>
      <w:r>
        <w:rPr>
          <w:rFonts w:ascii="Arial"/>
          <w:w w:val="110"/>
          <w:sz w:val="18"/>
        </w:rPr>
        <w:t>a </w:t>
      </w:r>
      <w:r>
        <w:rPr>
          <w:w w:val="110"/>
          <w:sz w:val="21"/>
        </w:rPr>
        <w:t>unit </w:t>
      </w:r>
      <w:r>
        <w:rPr>
          <w:w w:val="110"/>
          <w:sz w:val="22"/>
        </w:rPr>
        <w:t>to </w:t>
      </w:r>
      <w:r>
        <w:rPr>
          <w:w w:val="110"/>
          <w:sz w:val="21"/>
        </w:rPr>
        <w:t>be contributed during each</w:t>
      </w:r>
    </w:p>
    <w:p>
      <w:pPr>
        <w:spacing w:line="208" w:lineRule="exact" w:before="0"/>
        <w:ind w:left="167" w:right="0" w:firstLine="0"/>
        <w:jc w:val="left"/>
        <w:rPr>
          <w:b/>
          <w:i/>
          <w:sz w:val="22"/>
        </w:rPr>
      </w:pPr>
      <w:r>
        <w:rPr>
          <w:b/>
          <w:i/>
          <w:sz w:val="22"/>
        </w:rPr>
        <w:t>Ds</w:t>
      </w:r>
    </w:p>
    <w:p>
      <w:pPr>
        <w:spacing w:line="231" w:lineRule="exact" w:before="0"/>
        <w:ind w:left="114" w:right="0" w:firstLine="0"/>
        <w:jc w:val="left"/>
        <w:rPr>
          <w:rFonts w:ascii="Arial"/>
          <w:sz w:val="19"/>
        </w:rPr>
      </w:pPr>
      <w:r>
        <w:rPr>
          <w:sz w:val="21"/>
        </w:rPr>
        <w:t>year of future service </w:t>
      </w:r>
      <w:r>
        <w:rPr>
          <w:rFonts w:ascii="Arial"/>
          <w:sz w:val="19"/>
        </w:rPr>
        <w:t>is</w:t>
      </w:r>
    </w:p>
    <w:p>
      <w:pPr>
        <w:pStyle w:val="BodyText"/>
        <w:spacing w:before="120"/>
        <w:ind w:left="2306"/>
        <w:rPr>
          <w:sz w:val="21"/>
        </w:rPr>
      </w:pPr>
      <w:r>
        <w:rPr>
          <w:position w:val="-18"/>
        </w:rPr>
        <w:drawing>
          <wp:inline distT="0" distB="0" distL="0" distR="0">
            <wp:extent cx="868680" cy="320039"/>
            <wp:effectExtent l="0" t="0" r="0" b="0"/>
            <wp:docPr id="785" name="image401.png" descr=""/>
            <wp:cNvGraphicFramePr>
              <a:graphicFrameLocks noChangeAspect="1"/>
            </wp:cNvGraphicFramePr>
            <a:graphic>
              <a:graphicData uri="http://schemas.openxmlformats.org/drawingml/2006/picture">
                <pic:pic>
                  <pic:nvPicPr>
                    <pic:cNvPr id="786" name="image401.png"/>
                    <pic:cNvPicPr/>
                  </pic:nvPicPr>
                  <pic:blipFill>
                    <a:blip r:embed="rId405" cstate="print"/>
                    <a:stretch>
                      <a:fillRect/>
                    </a:stretch>
                  </pic:blipFill>
                  <pic:spPr>
                    <a:xfrm>
                      <a:off x="0" y="0"/>
                      <a:ext cx="868680" cy="320039"/>
                    </a:xfrm>
                    <a:prstGeom prst="rect">
                      <a:avLst/>
                    </a:prstGeom>
                  </pic:spPr>
                </pic:pic>
              </a:graphicData>
            </a:graphic>
          </wp:inline>
        </w:drawing>
      </w:r>
      <w:r>
        <w:rPr>
          <w:position w:val="-18"/>
        </w:rPr>
      </w:r>
      <w:r>
        <w:rPr/>
        <w:t>                              </w:t>
      </w:r>
      <w:r>
        <w:rPr>
          <w:spacing w:val="-6"/>
          <w:w w:val="105"/>
          <w:sz w:val="21"/>
        </w:rPr>
        <w:t>(16.27)</w:t>
      </w:r>
    </w:p>
    <w:p>
      <w:pPr>
        <w:spacing w:line="168" w:lineRule="auto" w:before="190"/>
        <w:ind w:left="117" w:right="139" w:firstLine="194"/>
        <w:jc w:val="both"/>
        <w:rPr>
          <w:sz w:val="21"/>
        </w:rPr>
      </w:pPr>
      <w:r>
        <w:rPr>
          <w:sz w:val="21"/>
        </w:rPr>
        <w:t>The present value at age </w:t>
      </w:r>
      <w:r>
        <w:rPr>
          <w:rFonts w:ascii="Arial"/>
          <w:i/>
          <w:sz w:val="17"/>
        </w:rPr>
        <w:t>x </w:t>
      </w:r>
      <w:r>
        <w:rPr>
          <w:sz w:val="21"/>
        </w:rPr>
        <w:t>of a contribution of </w:t>
      </w:r>
      <w:r>
        <w:rPr>
          <w:rFonts w:ascii="Arial"/>
          <w:i/>
          <w:sz w:val="19"/>
        </w:rPr>
        <w:t>C </w:t>
      </w:r>
      <w:r>
        <w:rPr>
          <w:rFonts w:ascii="Arial"/>
          <w:sz w:val="19"/>
        </w:rPr>
        <w:t>% </w:t>
      </w:r>
      <w:r>
        <w:rPr>
          <w:sz w:val="21"/>
        </w:rPr>
        <w:t>of salary during the year following attainment  </w:t>
      </w:r>
      <w:r>
        <w:rPr>
          <w:rFonts w:ascii="Arial"/>
          <w:sz w:val="18"/>
        </w:rPr>
        <w:t>of </w:t>
      </w:r>
      <w:r>
        <w:rPr>
          <w:sz w:val="21"/>
        </w:rPr>
        <w:t>a.ge </w:t>
      </w:r>
      <w:r>
        <w:rPr>
          <w:rFonts w:ascii="Arial"/>
          <w:i/>
          <w:sz w:val="19"/>
        </w:rPr>
        <w:t>x  </w:t>
      </w:r>
      <w:r>
        <w:rPr>
          <w:sz w:val="29"/>
        </w:rPr>
        <w:t>+ </w:t>
      </w:r>
      <w:r>
        <w:rPr>
          <w:i/>
          <w:sz w:val="22"/>
        </w:rPr>
        <w:t>t  </w:t>
      </w:r>
      <w:r>
        <w:rPr>
          <w:sz w:val="21"/>
        </w:rPr>
        <w:t>is</w:t>
      </w:r>
    </w:p>
    <w:p>
      <w:pPr>
        <w:spacing w:line="265" w:lineRule="exact" w:before="139"/>
        <w:ind w:left="68" w:right="87" w:firstLine="0"/>
        <w:jc w:val="center"/>
        <w:rPr>
          <w:rFonts w:ascii="Arial" w:hAnsi="Arial"/>
          <w:i/>
          <w:sz w:val="25"/>
        </w:rPr>
      </w:pPr>
      <w:r>
        <w:rPr/>
        <w:pict>
          <v:shape style="position:absolute;margin-left:211.320007pt;margin-top:10.692027pt;width:15.6pt;height:22pt;mso-position-horizontal-relative:page;mso-position-vertical-relative:paragraph;z-index:-710464" type="#_x0000_t202" filled="false" stroked="false">
            <v:textbox inset="0,0,0,0">
              <w:txbxContent>
                <w:p>
                  <w:pPr>
                    <w:spacing w:line="440" w:lineRule="exact" w:before="0"/>
                    <w:ind w:left="0" w:right="-17" w:firstLine="0"/>
                    <w:jc w:val="left"/>
                    <w:rPr>
                      <w:i/>
                      <w:sz w:val="44"/>
                    </w:rPr>
                  </w:pPr>
                  <w:r>
                    <w:rPr>
                      <w:i/>
                      <w:spacing w:val="-20"/>
                      <w:w w:val="95"/>
                      <w:sz w:val="44"/>
                    </w:rPr>
                    <w:t>n:</w:t>
                  </w:r>
                </w:p>
              </w:txbxContent>
            </v:textbox>
            <w10:wrap type="none"/>
          </v:shape>
        </w:pict>
      </w:r>
      <w:r>
        <w:rPr>
          <w:rFonts w:ascii="Arial" w:hAnsi="Arial"/>
          <w:spacing w:val="-50"/>
          <w:w w:val="159"/>
          <w:sz w:val="20"/>
        </w:rPr>
        <w:t>.</w:t>
      </w:r>
      <w:r>
        <w:rPr>
          <w:rFonts w:ascii="Arial" w:hAnsi="Arial"/>
          <w:w w:val="105"/>
          <w:sz w:val="20"/>
        </w:rPr>
        <w:t>OlC</w:t>
      </w:r>
      <w:r>
        <w:rPr>
          <w:rFonts w:ascii="Arial" w:hAnsi="Arial"/>
          <w:w w:val="105"/>
          <w:sz w:val="20"/>
        </w:rPr>
        <w:t>(</w:t>
      </w:r>
      <w:r>
        <w:rPr>
          <w:rFonts w:ascii="Arial" w:hAnsi="Arial"/>
          <w:w w:val="105"/>
          <w:sz w:val="20"/>
        </w:rPr>
        <w:t>AS</w:t>
      </w:r>
      <w:r>
        <w:rPr>
          <w:rFonts w:ascii="Arial" w:hAnsi="Arial"/>
          <w:w w:val="105"/>
          <w:sz w:val="20"/>
        </w:rPr>
        <w:t>)</w:t>
      </w:r>
      <w:r>
        <w:rPr>
          <w:rFonts w:ascii="Arial" w:hAnsi="Arial"/>
          <w:sz w:val="20"/>
        </w:rPr>
        <w:t>  </w:t>
      </w:r>
      <w:r>
        <w:rPr>
          <w:rFonts w:ascii="Arial" w:hAnsi="Arial"/>
          <w:spacing w:val="-20"/>
          <w:sz w:val="20"/>
        </w:rPr>
        <w:t> </w:t>
      </w:r>
      <w:r>
        <w:rPr>
          <w:i/>
          <w:w w:val="89"/>
          <w:sz w:val="20"/>
        </w:rPr>
        <w:t>Sz+t</w:t>
      </w:r>
      <w:r>
        <w:rPr>
          <w:i/>
          <w:spacing w:val="4"/>
          <w:sz w:val="20"/>
        </w:rPr>
        <w:t> </w:t>
      </w:r>
      <w:r>
        <w:rPr>
          <w:i/>
          <w:spacing w:val="-17"/>
          <w:w w:val="162"/>
          <w:sz w:val="20"/>
        </w:rPr>
        <w:t>.</w:t>
      </w:r>
      <w:r>
        <w:rPr>
          <w:rFonts w:ascii="Arial" w:hAnsi="Arial"/>
          <w:i/>
          <w:w w:val="123"/>
          <w:sz w:val="25"/>
          <w:u w:val="single"/>
        </w:rPr>
        <w:t>ñ</w:t>
      </w:r>
      <w:r>
        <w:rPr>
          <w:rFonts w:ascii="Arial" w:hAnsi="Arial"/>
          <w:i/>
          <w:spacing w:val="-39"/>
          <w:w w:val="123"/>
          <w:sz w:val="25"/>
          <w:u w:val="single"/>
        </w:rPr>
        <w:t>;</w:t>
      </w:r>
      <w:r>
        <w:rPr>
          <w:rFonts w:ascii="Arial" w:hAnsi="Arial"/>
          <w:i/>
          <w:w w:val="55"/>
          <w:sz w:val="25"/>
          <w:u w:val="single"/>
        </w:rPr>
        <w:t>+e</w:t>
      </w:r>
    </w:p>
    <w:p>
      <w:pPr>
        <w:spacing w:line="207" w:lineRule="exact" w:before="0"/>
        <w:ind w:left="291" w:right="25" w:firstLine="0"/>
        <w:jc w:val="center"/>
        <w:rPr>
          <w:i/>
          <w:sz w:val="20"/>
        </w:rPr>
      </w:pPr>
      <w:r>
        <w:rPr>
          <w:rFonts w:ascii="Arial"/>
          <w:w w:val="120"/>
          <w:sz w:val="11"/>
        </w:rPr>
        <w:t>s   </w:t>
      </w:r>
      <w:r>
        <w:rPr>
          <w:i/>
          <w:w w:val="120"/>
          <w:sz w:val="20"/>
        </w:rPr>
        <w:t>Sz</w:t>
      </w:r>
    </w:p>
    <w:p>
      <w:pPr>
        <w:spacing w:before="142"/>
        <w:ind w:left="117" w:right="0" w:firstLine="0"/>
        <w:jc w:val="left"/>
        <w:rPr>
          <w:sz w:val="21"/>
        </w:rPr>
      </w:pPr>
      <w:r>
        <w:rPr/>
        <w:pict>
          <v:shape style="position:absolute;margin-left:195.660004pt;margin-top:21.435232pt;width:26.15pt;height:23pt;mso-position-horizontal-relative:page;mso-position-vertical-relative:paragraph;z-index:-710440" type="#_x0000_t202" filled="false" stroked="false">
            <v:textbox inset="0,0,0,0">
              <w:txbxContent>
                <w:p>
                  <w:pPr>
                    <w:spacing w:line="460" w:lineRule="exact" w:before="0"/>
                    <w:ind w:left="0" w:right="-19" w:firstLine="0"/>
                    <w:jc w:val="left"/>
                    <w:rPr>
                      <w:sz w:val="46"/>
                    </w:rPr>
                  </w:pPr>
                  <w:r>
                    <w:rPr>
                      <w:spacing w:val="3"/>
                      <w:w w:val="85"/>
                      <w:sz w:val="46"/>
                      <w:u w:val="thick"/>
                    </w:rPr>
                    <w:t>fs,</w:t>
                  </w:r>
                  <w:r>
                    <w:rPr>
                      <w:spacing w:val="-63"/>
                      <w:w w:val="85"/>
                      <w:sz w:val="46"/>
                      <w:u w:val="thick"/>
                    </w:rPr>
                    <w:t> </w:t>
                  </w:r>
                  <w:r>
                    <w:rPr>
                      <w:w w:val="85"/>
                      <w:sz w:val="46"/>
                    </w:rPr>
                    <w:t>,</w:t>
                  </w:r>
                </w:p>
              </w:txbxContent>
            </v:textbox>
            <w10:wrap type="none"/>
          </v:shape>
        </w:pict>
      </w:r>
      <w:r>
        <w:rPr>
          <w:w w:val="105"/>
          <w:sz w:val="21"/>
        </w:rPr>
        <w:t>or</w:t>
      </w:r>
    </w:p>
    <w:p>
      <w:pPr>
        <w:spacing w:before="92"/>
        <w:ind w:left="798" w:right="87" w:firstLine="0"/>
        <w:jc w:val="center"/>
        <w:rPr>
          <w:rFonts w:ascii="Arial"/>
          <w:b/>
          <w:i/>
          <w:sz w:val="11"/>
        </w:rPr>
      </w:pPr>
      <w:r>
        <w:rPr>
          <w:rFonts w:ascii="Arial"/>
          <w:b/>
          <w:i/>
          <w:w w:val="120"/>
          <w:sz w:val="11"/>
        </w:rPr>
        <w:t>B </w:t>
      </w:r>
      <w:r>
        <w:rPr>
          <w:rFonts w:ascii="Arial"/>
          <w:b/>
          <w:i/>
          <w:w w:val="130"/>
          <w:sz w:val="11"/>
        </w:rPr>
        <w:t>-'I'</w:t>
      </w:r>
    </w:p>
    <w:p>
      <w:pPr>
        <w:spacing w:line="188" w:lineRule="exact" w:before="18"/>
        <w:ind w:left="98" w:right="739" w:firstLine="0"/>
        <w:jc w:val="center"/>
        <w:rPr>
          <w:rFonts w:ascii="Arial"/>
          <w:i/>
          <w:sz w:val="19"/>
        </w:rPr>
      </w:pPr>
      <w:r>
        <w:rPr>
          <w:rFonts w:ascii="Arial"/>
          <w:i/>
          <w:sz w:val="19"/>
        </w:rPr>
        <w:t>.OlC( AS )s</w:t>
      </w:r>
    </w:p>
    <w:p>
      <w:pPr>
        <w:spacing w:line="177" w:lineRule="exact" w:before="0"/>
        <w:ind w:left="1161" w:right="87" w:firstLine="0"/>
        <w:jc w:val="center"/>
        <w:rPr>
          <w:rFonts w:ascii="Courier New"/>
          <w:i/>
          <w:sz w:val="25"/>
        </w:rPr>
      </w:pPr>
      <w:r>
        <w:rPr>
          <w:rFonts w:ascii="Courier New"/>
          <w:i/>
          <w:w w:val="145"/>
          <w:sz w:val="25"/>
        </w:rPr>
        <w:t>D.</w:t>
      </w:r>
    </w:p>
    <w:p>
      <w:pPr>
        <w:spacing w:line="415" w:lineRule="exact" w:before="0"/>
        <w:ind w:left="117" w:right="0" w:firstLine="0"/>
        <w:jc w:val="left"/>
        <w:rPr>
          <w:sz w:val="21"/>
        </w:rPr>
      </w:pPr>
      <w:r>
        <w:rPr>
          <w:w w:val="97"/>
          <w:sz w:val="21"/>
        </w:rPr>
        <w:t>where</w:t>
      </w:r>
      <w:r>
        <w:rPr>
          <w:sz w:val="21"/>
        </w:rPr>
        <w:t> </w:t>
      </w:r>
      <w:r>
        <w:rPr>
          <w:spacing w:val="-25"/>
          <w:sz w:val="21"/>
        </w:rPr>
        <w:t> </w:t>
      </w:r>
      <w:r>
        <w:rPr>
          <w:i/>
          <w:spacing w:val="5"/>
          <w:w w:val="104"/>
          <w:sz w:val="11"/>
        </w:rPr>
        <w:t>B</w:t>
      </w:r>
      <w:r>
        <w:rPr>
          <w:i/>
          <w:spacing w:val="-18"/>
          <w:w w:val="75"/>
          <w:sz w:val="43"/>
        </w:rPr>
        <w:t>n</w:t>
      </w:r>
      <w:r>
        <w:rPr>
          <w:i/>
          <w:spacing w:val="25"/>
          <w:w w:val="112"/>
          <w:sz w:val="43"/>
        </w:rPr>
        <w:t>:</w:t>
      </w:r>
      <w:r>
        <w:rPr>
          <w:rFonts w:ascii="Arial"/>
          <w:w w:val="107"/>
          <w:sz w:val="19"/>
        </w:rPr>
        <w:t>is</w:t>
      </w:r>
      <w:r>
        <w:rPr>
          <w:rFonts w:ascii="Arial"/>
          <w:spacing w:val="11"/>
          <w:sz w:val="19"/>
        </w:rPr>
        <w:t> </w:t>
      </w:r>
      <w:r>
        <w:rPr>
          <w:w w:val="95"/>
          <w:sz w:val="21"/>
        </w:rPr>
        <w:t>defined</w:t>
      </w:r>
      <w:r>
        <w:rPr>
          <w:sz w:val="21"/>
        </w:rPr>
        <w:t> </w:t>
      </w:r>
      <w:r>
        <w:rPr>
          <w:spacing w:val="-25"/>
          <w:sz w:val="21"/>
        </w:rPr>
        <w:t> </w:t>
      </w:r>
      <w:r>
        <w:rPr>
          <w:w w:val="107"/>
          <w:sz w:val="21"/>
        </w:rPr>
        <w:t>as</w:t>
      </w:r>
      <w:r>
        <w:rPr>
          <w:spacing w:val="18"/>
          <w:sz w:val="21"/>
        </w:rPr>
        <w:t> </w:t>
      </w:r>
      <w:r>
        <w:rPr>
          <w:i/>
          <w:w w:val="60"/>
          <w:sz w:val="43"/>
        </w:rPr>
        <w:t>ss</w:t>
      </w:r>
      <w:r>
        <w:rPr>
          <w:i/>
          <w:spacing w:val="3"/>
          <w:w w:val="60"/>
          <w:sz w:val="43"/>
        </w:rPr>
        <w:t>n</w:t>
      </w:r>
      <w:r>
        <w:rPr>
          <w:i/>
          <w:spacing w:val="11"/>
          <w:w w:val="112"/>
          <w:sz w:val="43"/>
        </w:rPr>
        <w:t>:</w:t>
      </w:r>
      <w:r>
        <w:rPr>
          <w:w w:val="60"/>
          <w:sz w:val="43"/>
        </w:rPr>
        <w:t>.</w:t>
      </w:r>
      <w:r>
        <w:rPr>
          <w:spacing w:val="-54"/>
          <w:sz w:val="43"/>
        </w:rPr>
        <w:t> </w:t>
      </w:r>
      <w:r>
        <w:rPr>
          <w:w w:val="101"/>
          <w:sz w:val="21"/>
        </w:rPr>
        <w:t>Then</w:t>
      </w:r>
      <w:r>
        <w:rPr>
          <w:sz w:val="21"/>
        </w:rPr>
        <w:t> </w:t>
      </w:r>
      <w:r>
        <w:rPr>
          <w:spacing w:val="-23"/>
          <w:sz w:val="21"/>
        </w:rPr>
        <w:t> </w:t>
      </w:r>
      <w:r>
        <w:rPr>
          <w:w w:val="106"/>
          <w:sz w:val="21"/>
        </w:rPr>
        <w:t>the</w:t>
      </w:r>
      <w:r>
        <w:rPr>
          <w:spacing w:val="26"/>
          <w:sz w:val="21"/>
        </w:rPr>
        <w:t> </w:t>
      </w:r>
      <w:r>
        <w:rPr>
          <w:w w:val="98"/>
          <w:sz w:val="21"/>
        </w:rPr>
        <w:t>present</w:t>
      </w:r>
      <w:r>
        <w:rPr>
          <w:spacing w:val="20"/>
          <w:sz w:val="21"/>
        </w:rPr>
        <w:t> </w:t>
      </w:r>
      <w:r>
        <w:rPr>
          <w:w w:val="99"/>
          <w:sz w:val="21"/>
        </w:rPr>
        <w:t>value</w:t>
      </w:r>
      <w:r>
        <w:rPr>
          <w:spacing w:val="22"/>
          <w:sz w:val="21"/>
        </w:rPr>
        <w:t> </w:t>
      </w:r>
      <w:r>
        <w:rPr>
          <w:w w:val="81"/>
          <w:sz w:val="21"/>
        </w:rPr>
        <w:t>of</w:t>
      </w:r>
      <w:r>
        <w:rPr>
          <w:sz w:val="21"/>
        </w:rPr>
        <w:t> </w:t>
      </w:r>
      <w:r>
        <w:rPr>
          <w:spacing w:val="-22"/>
          <w:sz w:val="21"/>
        </w:rPr>
        <w:t> </w:t>
      </w:r>
      <w:r>
        <w:rPr>
          <w:w w:val="99"/>
          <w:sz w:val="21"/>
        </w:rPr>
        <w:t>all</w:t>
      </w:r>
      <w:r>
        <w:rPr>
          <w:spacing w:val="15"/>
          <w:sz w:val="21"/>
        </w:rPr>
        <w:t> </w:t>
      </w:r>
      <w:r>
        <w:rPr>
          <w:w w:val="97"/>
          <w:sz w:val="21"/>
        </w:rPr>
        <w:t>such</w:t>
      </w:r>
    </w:p>
    <w:p>
      <w:pPr>
        <w:spacing w:line="166" w:lineRule="exact" w:before="0"/>
        <w:ind w:left="121" w:right="0" w:firstLine="0"/>
        <w:jc w:val="left"/>
        <w:rPr>
          <w:sz w:val="21"/>
        </w:rPr>
      </w:pPr>
      <w:r>
        <w:rPr/>
        <w:pict>
          <v:shape style="position:absolute;margin-left:144.899994pt;margin-top:8.281768pt;width:125.6pt;height:29.5pt;mso-position-horizontal-relative:page;mso-position-vertical-relative:paragraph;z-index:-710416" type="#_x0000_t202" filled="false" stroked="false">
            <v:textbox inset="0,0,0,0">
              <w:txbxContent>
                <w:p>
                  <w:pPr>
                    <w:tabs>
                      <w:tab w:pos="2037" w:val="left" w:leader="none"/>
                    </w:tabs>
                    <w:spacing w:line="590" w:lineRule="exact" w:before="0"/>
                    <w:ind w:left="0" w:right="0" w:firstLine="0"/>
                    <w:jc w:val="left"/>
                    <w:rPr>
                      <w:rFonts w:ascii="Arial" w:hAnsi="Arial"/>
                      <w:i/>
                      <w:sz w:val="59"/>
                    </w:rPr>
                  </w:pPr>
                  <w:r>
                    <w:rPr>
                      <w:rFonts w:ascii="Arial" w:hAnsi="Arial"/>
                      <w:w w:val="75"/>
                      <w:sz w:val="53"/>
                    </w:rPr>
                    <w:t>±</w:t>
                    <w:tab/>
                  </w:r>
                  <w:r>
                    <w:rPr>
                      <w:rFonts w:ascii="Arial" w:hAnsi="Arial"/>
                      <w:i/>
                      <w:spacing w:val="-18"/>
                      <w:w w:val="55"/>
                      <w:sz w:val="59"/>
                      <w:u w:val="thick"/>
                    </w:rPr>
                    <w:t>:Ñ</w:t>
                  </w:r>
                  <w:r>
                    <w:rPr>
                      <w:rFonts w:ascii="Arial" w:hAnsi="Arial"/>
                      <w:i/>
                      <w:spacing w:val="3"/>
                      <w:w w:val="55"/>
                      <w:sz w:val="59"/>
                      <w:u w:val="thick"/>
                    </w:rPr>
                    <w:t> </w:t>
                  </w:r>
                  <w:r>
                    <w:rPr>
                      <w:rFonts w:ascii="Arial" w:hAnsi="Arial"/>
                      <w:i/>
                      <w:w w:val="55"/>
                      <w:sz w:val="59"/>
                    </w:rPr>
                    <w:t>.</w:t>
                  </w:r>
                </w:p>
              </w:txbxContent>
            </v:textbox>
            <w10:wrap type="none"/>
          </v:shape>
        </w:pict>
      </w:r>
      <w:r>
        <w:rPr>
          <w:sz w:val="21"/>
        </w:rPr>
        <w:t>contributions over the period  of future service is</w:t>
      </w:r>
    </w:p>
    <w:p>
      <w:pPr>
        <w:spacing w:after="0" w:line="166" w:lineRule="exact"/>
        <w:jc w:val="left"/>
        <w:rPr>
          <w:sz w:val="21"/>
        </w:rPr>
        <w:sectPr>
          <w:type w:val="continuous"/>
          <w:pgSz w:w="7200" w:h="11340"/>
          <w:pgMar w:top="1100" w:bottom="0" w:left="660" w:right="540"/>
        </w:sectPr>
      </w:pPr>
    </w:p>
    <w:p>
      <w:pPr>
        <w:tabs>
          <w:tab w:pos="2518" w:val="left" w:leader="none"/>
        </w:tabs>
        <w:spacing w:line="428" w:lineRule="exact" w:before="76"/>
        <w:ind w:left="1251" w:right="0" w:firstLine="0"/>
        <w:jc w:val="left"/>
        <w:rPr>
          <w:rFonts w:ascii="Arial"/>
          <w:i/>
          <w:sz w:val="19"/>
        </w:rPr>
      </w:pPr>
      <w:r>
        <w:rPr>
          <w:rFonts w:ascii="Arial"/>
          <w:i/>
          <w:spacing w:val="-42"/>
          <w:w w:val="154"/>
          <w:sz w:val="19"/>
        </w:rPr>
        <w:t>.</w:t>
      </w:r>
      <w:r>
        <w:rPr>
          <w:rFonts w:ascii="Arial"/>
          <w:i/>
          <w:w w:val="99"/>
          <w:sz w:val="19"/>
        </w:rPr>
        <w:t>OIC</w:t>
      </w:r>
      <w:r>
        <w:rPr>
          <w:rFonts w:ascii="Arial"/>
          <w:i/>
          <w:w w:val="99"/>
          <w:sz w:val="19"/>
        </w:rPr>
        <w:t>(</w:t>
      </w:r>
      <w:r>
        <w:rPr>
          <w:rFonts w:ascii="Arial"/>
          <w:i/>
          <w:spacing w:val="-22"/>
          <w:w w:val="99"/>
          <w:sz w:val="19"/>
        </w:rPr>
        <w:t> </w:t>
      </w:r>
      <w:r>
        <w:rPr>
          <w:rFonts w:ascii="Arial"/>
          <w:i/>
          <w:w w:val="104"/>
          <w:sz w:val="19"/>
        </w:rPr>
        <w:t>AS</w:t>
      </w:r>
      <w:r>
        <w:rPr>
          <w:rFonts w:ascii="Arial"/>
          <w:i/>
          <w:spacing w:val="-17"/>
          <w:sz w:val="19"/>
        </w:rPr>
        <w:t> </w:t>
      </w:r>
      <w:r>
        <w:rPr>
          <w:rFonts w:ascii="Arial"/>
          <w:i/>
          <w:w w:val="79"/>
          <w:sz w:val="19"/>
        </w:rPr>
        <w:t>)z</w:t>
      </w:r>
      <w:r>
        <w:rPr>
          <w:rFonts w:ascii="Arial"/>
          <w:i/>
          <w:sz w:val="19"/>
        </w:rPr>
        <w:tab/>
      </w:r>
      <w:r>
        <w:rPr>
          <w:i/>
          <w:spacing w:val="-19"/>
          <w:w w:val="40"/>
          <w:sz w:val="43"/>
        </w:rPr>
        <w:t>s</w:t>
      </w:r>
      <w:r>
        <w:rPr>
          <w:i/>
          <w:w w:val="67"/>
          <w:sz w:val="43"/>
          <w:u w:val="thick"/>
        </w:rPr>
        <w:t>p</w:t>
      </w:r>
      <w:r>
        <w:rPr>
          <w:i/>
          <w:spacing w:val="-88"/>
          <w:w w:val="108"/>
          <w:sz w:val="43"/>
          <w:u w:val="thick"/>
        </w:rPr>
        <w:t>:</w:t>
      </w:r>
      <w:r>
        <w:rPr>
          <w:i/>
          <w:w w:val="134"/>
          <w:sz w:val="43"/>
          <w:u w:val="thick"/>
        </w:rPr>
        <w:t>t</w:t>
      </w:r>
      <w:r>
        <w:rPr>
          <w:i/>
          <w:spacing w:val="-24"/>
          <w:sz w:val="43"/>
        </w:rPr>
        <w:t> </w:t>
      </w:r>
      <w:r>
        <w:rPr>
          <w:w w:val="103"/>
          <w:sz w:val="24"/>
        </w:rPr>
        <w:t>=</w:t>
      </w:r>
      <w:r>
        <w:rPr>
          <w:sz w:val="24"/>
        </w:rPr>
        <w:t> </w:t>
      </w:r>
      <w:r>
        <w:rPr>
          <w:spacing w:val="-23"/>
          <w:sz w:val="24"/>
        </w:rPr>
        <w:t> </w:t>
      </w:r>
      <w:r>
        <w:rPr>
          <w:rFonts w:ascii="Arial"/>
          <w:i/>
          <w:spacing w:val="-26"/>
          <w:w w:val="122"/>
          <w:sz w:val="19"/>
        </w:rPr>
        <w:t>.</w:t>
      </w:r>
      <w:r>
        <w:rPr>
          <w:rFonts w:ascii="Arial"/>
          <w:i/>
          <w:w w:val="99"/>
          <w:sz w:val="19"/>
        </w:rPr>
        <w:t>OIC</w:t>
      </w:r>
      <w:r>
        <w:rPr>
          <w:rFonts w:ascii="Arial"/>
          <w:i/>
          <w:w w:val="99"/>
          <w:sz w:val="19"/>
        </w:rPr>
        <w:t>(</w:t>
      </w:r>
      <w:r>
        <w:rPr>
          <w:rFonts w:ascii="Arial"/>
          <w:i/>
          <w:spacing w:val="-26"/>
          <w:w w:val="99"/>
          <w:sz w:val="19"/>
        </w:rPr>
        <w:t> </w:t>
      </w:r>
      <w:r>
        <w:rPr>
          <w:rFonts w:ascii="Arial"/>
          <w:i/>
          <w:w w:val="104"/>
          <w:sz w:val="19"/>
        </w:rPr>
        <w:t>AS</w:t>
      </w:r>
      <w:r>
        <w:rPr>
          <w:rFonts w:ascii="Arial"/>
          <w:i/>
          <w:spacing w:val="-17"/>
          <w:sz w:val="19"/>
        </w:rPr>
        <w:t> </w:t>
      </w:r>
      <w:r>
        <w:rPr>
          <w:rFonts w:ascii="Arial"/>
          <w:i/>
          <w:w w:val="124"/>
          <w:sz w:val="19"/>
        </w:rPr>
        <w:t>)</w:t>
      </w:r>
      <w:r>
        <w:rPr>
          <w:rFonts w:ascii="Arial"/>
          <w:i/>
          <w:w w:val="124"/>
          <w:sz w:val="19"/>
        </w:rPr>
        <w:t>.</w:t>
      </w:r>
    </w:p>
    <w:p>
      <w:pPr>
        <w:tabs>
          <w:tab w:pos="4361" w:val="left" w:leader="none"/>
        </w:tabs>
        <w:spacing w:line="187" w:lineRule="exact" w:before="0"/>
        <w:ind w:left="2241" w:right="0" w:firstLine="0"/>
        <w:jc w:val="left"/>
        <w:rPr>
          <w:sz w:val="22"/>
        </w:rPr>
      </w:pPr>
      <w:r>
        <w:rPr>
          <w:spacing w:val="-9"/>
          <w:w w:val="120"/>
          <w:sz w:val="18"/>
        </w:rPr>
        <w:t>,-o   </w:t>
      </w:r>
      <w:r>
        <w:rPr>
          <w:spacing w:val="3"/>
          <w:w w:val="120"/>
          <w:sz w:val="18"/>
        </w:rPr>
        <w:t> </w:t>
      </w:r>
      <w:r>
        <w:rPr>
          <w:rFonts w:ascii="Arial"/>
          <w:i/>
          <w:w w:val="120"/>
          <w:sz w:val="21"/>
        </w:rPr>
        <w:t>D.</w:t>
        <w:tab/>
      </w:r>
      <w:r>
        <w:rPr>
          <w:spacing w:val="-8"/>
          <w:w w:val="120"/>
          <w:sz w:val="22"/>
        </w:rPr>
        <w:t>Ds</w:t>
      </w:r>
    </w:p>
    <w:p>
      <w:pPr>
        <w:pStyle w:val="BodyText"/>
        <w:spacing w:before="10"/>
        <w:rPr>
          <w:sz w:val="24"/>
        </w:rPr>
      </w:pPr>
      <w:r>
        <w:rPr/>
        <w:br w:type="column"/>
      </w:r>
      <w:r>
        <w:rPr>
          <w:sz w:val="24"/>
        </w:rPr>
      </w:r>
    </w:p>
    <w:p>
      <w:pPr>
        <w:spacing w:before="0"/>
        <w:ind w:left="447" w:right="0" w:firstLine="0"/>
        <w:jc w:val="left"/>
        <w:rPr>
          <w:sz w:val="19"/>
        </w:rPr>
      </w:pPr>
      <w:r>
        <w:rPr>
          <w:w w:val="110"/>
          <w:sz w:val="19"/>
        </w:rPr>
        <w:t>(16.28)</w:t>
      </w:r>
    </w:p>
    <w:p>
      <w:pPr>
        <w:spacing w:after="0"/>
        <w:jc w:val="left"/>
        <w:rPr>
          <w:sz w:val="19"/>
        </w:rPr>
        <w:sectPr>
          <w:type w:val="continuous"/>
          <w:pgSz w:w="7200" w:h="11340"/>
          <w:pgMar w:top="1100" w:bottom="0" w:left="660" w:right="540"/>
          <w:cols w:num="2" w:equalWidth="0">
            <w:col w:w="4750" w:space="40"/>
            <w:col w:w="1210"/>
          </w:cols>
        </w:sectPr>
      </w:pPr>
    </w:p>
    <w:p>
      <w:pPr>
        <w:tabs>
          <w:tab w:pos="1683" w:val="left" w:leader="none"/>
          <w:tab w:pos="5874" w:val="right" w:leader="none"/>
        </w:tabs>
        <w:spacing w:before="47"/>
        <w:ind w:left="124" w:right="0" w:firstLine="0"/>
        <w:jc w:val="both"/>
        <w:rPr>
          <w:sz w:val="19"/>
        </w:rPr>
      </w:pPr>
      <w:r>
        <w:rPr>
          <w:b/>
          <w:w w:val="105"/>
          <w:position w:val="1"/>
          <w:sz w:val="15"/>
        </w:rPr>
        <w:t>SEC. </w:t>
      </w:r>
      <w:r>
        <w:rPr>
          <w:b/>
          <w:spacing w:val="12"/>
          <w:w w:val="105"/>
          <w:position w:val="1"/>
          <w:sz w:val="15"/>
        </w:rPr>
        <w:t> </w:t>
      </w:r>
      <w:r>
        <w:rPr>
          <w:rFonts w:ascii="Arial"/>
          <w:b/>
          <w:w w:val="105"/>
          <w:position w:val="1"/>
          <w:sz w:val="20"/>
        </w:rPr>
        <w:t>4]</w:t>
        <w:tab/>
      </w:r>
      <w:r>
        <w:rPr>
          <w:b/>
          <w:w w:val="105"/>
          <w:position w:val="1"/>
          <w:sz w:val="15"/>
        </w:rPr>
        <w:t>PARTICIPANTS' </w:t>
      </w:r>
      <w:r>
        <w:rPr>
          <w:b/>
          <w:spacing w:val="34"/>
          <w:w w:val="105"/>
          <w:position w:val="1"/>
          <w:sz w:val="15"/>
        </w:rPr>
        <w:t> </w:t>
      </w:r>
      <w:r>
        <w:rPr>
          <w:b/>
          <w:w w:val="105"/>
          <w:position w:val="1"/>
          <w:sz w:val="15"/>
        </w:rPr>
        <w:t>CONTRIBUTIONS</w:t>
      </w:r>
      <w:r>
        <w:rPr>
          <w:w w:val="105"/>
          <w:sz w:val="19"/>
        </w:rPr>
        <w:tab/>
      </w:r>
      <w:r>
        <w:rPr>
          <w:spacing w:val="-4"/>
          <w:w w:val="105"/>
          <w:sz w:val="19"/>
        </w:rPr>
        <w:t>317</w:t>
      </w:r>
    </w:p>
    <w:p>
      <w:pPr>
        <w:pStyle w:val="BodyText"/>
        <w:spacing w:before="2"/>
        <w:rPr>
          <w:sz w:val="21"/>
        </w:rPr>
      </w:pPr>
    </w:p>
    <w:p>
      <w:pPr>
        <w:pStyle w:val="BodyText"/>
        <w:spacing w:line="254" w:lineRule="auto"/>
        <w:ind w:left="135" w:right="121" w:firstLine="198"/>
        <w:jc w:val="both"/>
      </w:pPr>
      <w:r>
        <w:rPr>
          <w:w w:val="105"/>
        </w:rPr>
        <w:t>Plans requiring contributions by participants  frequently  pro­ vide, on death or withdrawal before retirement, for a refund of the participant's  contributions with  interest. Consider  a plan requiring</w:t>
      </w:r>
    </w:p>
    <w:p>
      <w:pPr>
        <w:pStyle w:val="BodyText"/>
        <w:spacing w:line="213" w:lineRule="auto" w:before="17"/>
        <w:ind w:left="135" w:right="110"/>
        <w:jc w:val="both"/>
      </w:pPr>
      <w:r>
        <w:rPr>
          <w:w w:val="105"/>
        </w:rPr>
        <w:t>contributions of </w:t>
      </w:r>
      <w:r>
        <w:rPr>
          <w:rFonts w:ascii="Arial"/>
          <w:i/>
          <w:w w:val="105"/>
        </w:rPr>
        <w:t>C </w:t>
      </w:r>
      <w:r>
        <w:rPr>
          <w:rFonts w:ascii="Arial"/>
          <w:w w:val="105"/>
          <w:sz w:val="18"/>
        </w:rPr>
        <w:t>% </w:t>
      </w:r>
      <w:r>
        <w:rPr>
          <w:w w:val="105"/>
        </w:rPr>
        <w:t>of eamings, and providing on withdrawal a refund of contributions with interest at rate </w:t>
      </w:r>
      <w:r>
        <w:rPr>
          <w:rFonts w:ascii="Arial"/>
          <w:i/>
          <w:w w:val="105"/>
          <w:sz w:val="24"/>
        </w:rPr>
        <w:t>J. </w:t>
      </w:r>
      <w:r>
        <w:rPr>
          <w:w w:val="105"/>
        </w:rPr>
        <w:t>We discuss here the case where </w:t>
      </w:r>
      <w:r>
        <w:rPr>
          <w:i/>
          <w:w w:val="105"/>
        </w:rPr>
        <w:t>j </w:t>
      </w:r>
      <w:r>
        <w:rPr>
          <w:w w:val="105"/>
        </w:rPr>
        <w:t>is different from the basic rate </w:t>
      </w:r>
      <w:r>
        <w:rPr>
          <w:w w:val="105"/>
          <w:sz w:val="19"/>
        </w:rPr>
        <w:t>i. </w:t>
      </w:r>
      <w:r>
        <w:rPr>
          <w:w w:val="105"/>
        </w:rPr>
        <w:t>The case where </w:t>
      </w:r>
      <w:r>
        <w:rPr>
          <w:i/>
          <w:w w:val="105"/>
          <w:sz w:val="21"/>
        </w:rPr>
        <w:t>j </w:t>
      </w:r>
      <w:r>
        <w:rPr>
          <w:w w:val="105"/>
          <w:sz w:val="26"/>
        </w:rPr>
        <w:t>= </w:t>
      </w:r>
      <w:r>
        <w:rPr>
          <w:w w:val="105"/>
        </w:rPr>
        <w:t>i is included </w:t>
      </w:r>
      <w:r>
        <w:rPr>
          <w:rFonts w:ascii="Arial"/>
          <w:sz w:val="17"/>
        </w:rPr>
        <w:t>ac;: </w:t>
      </w:r>
      <w:r>
        <w:rPr>
          <w:w w:val="105"/>
        </w:rPr>
        <w:t>an exercise for the</w:t>
      </w:r>
      <w:r>
        <w:rPr>
          <w:spacing w:val="3"/>
          <w:w w:val="105"/>
        </w:rPr>
        <w:t> </w:t>
      </w:r>
      <w:r>
        <w:rPr>
          <w:w w:val="105"/>
        </w:rPr>
        <w:t>student.</w:t>
      </w:r>
    </w:p>
    <w:p>
      <w:pPr>
        <w:pStyle w:val="BodyText"/>
        <w:spacing w:line="144" w:lineRule="auto" w:before="94"/>
        <w:ind w:left="132" w:right="132" w:firstLine="198"/>
        <w:jc w:val="both"/>
      </w:pPr>
      <w:r>
        <w:rPr/>
        <w:t>The pref' . nt value at age </w:t>
      </w:r>
      <w:r>
        <w:rPr>
          <w:rFonts w:ascii="Arial" w:hAnsi="Arial"/>
          <w:i/>
          <w:sz w:val="18"/>
        </w:rPr>
        <w:t>x </w:t>
      </w:r>
      <w:r>
        <w:rPr/>
        <w:t>of the benefit arising from contribu­  tions  duri   </w:t>
      </w:r>
      <w:r>
        <w:rPr>
          <w:sz w:val="18"/>
        </w:rPr>
        <w:t>g  </w:t>
      </w:r>
      <w:r>
        <w:rPr/>
        <w:t>the year  following  attainment  of  age </w:t>
      </w:r>
      <w:r>
        <w:rPr>
          <w:rFonts w:ascii="Arial" w:hAnsi="Arial"/>
          <w:i/>
          <w:sz w:val="18"/>
        </w:rPr>
        <w:t>x  </w:t>
      </w:r>
      <w:r>
        <w:rPr>
          <w:rFonts w:ascii="Arial" w:hAnsi="Arial"/>
          <w:sz w:val="31"/>
        </w:rPr>
        <w:t>+ </w:t>
      </w:r>
      <w:r>
        <w:rPr>
          <w:i/>
          <w:sz w:val="22"/>
        </w:rPr>
        <w:t>t ,</w:t>
      </w:r>
      <w:r>
        <w:rPr>
          <w:i/>
          <w:spacing w:val="-14"/>
          <w:sz w:val="22"/>
        </w:rPr>
        <w:t> </w:t>
      </w:r>
      <w:r>
        <w:rPr/>
        <w:t>assuming</w:t>
      </w:r>
    </w:p>
    <w:p>
      <w:pPr>
        <w:pStyle w:val="BodyText"/>
        <w:spacing w:line="144" w:lineRule="auto" w:before="93"/>
        <w:ind w:left="132" w:right="132"/>
        <w:jc w:val="both"/>
      </w:pPr>
      <w:r>
        <w:rPr>
          <w:w w:val="105"/>
        </w:rPr>
        <w:t>for the m&lt;•rnent that withdrawal Ol!curs during the year following attainment of  age </w:t>
      </w:r>
      <w:r>
        <w:rPr>
          <w:i/>
          <w:w w:val="105"/>
        </w:rPr>
        <w:t>x  </w:t>
      </w:r>
      <w:r>
        <w:rPr>
          <w:rFonts w:ascii="Arial" w:hAnsi="Arial"/>
          <w:w w:val="105"/>
          <w:sz w:val="31"/>
        </w:rPr>
        <w:t>+ </w:t>
      </w:r>
      <w:r>
        <w:rPr>
          <w:rFonts w:ascii="Arial" w:hAnsi="Arial"/>
          <w:i/>
          <w:w w:val="105"/>
          <w:sz w:val="18"/>
        </w:rPr>
        <w:t>t </w:t>
      </w:r>
      <w:r>
        <w:rPr>
          <w:rFonts w:ascii="Arial" w:hAnsi="Arial"/>
          <w:w w:val="105"/>
          <w:sz w:val="31"/>
        </w:rPr>
        <w:t>+ </w:t>
      </w:r>
      <w:r>
        <w:rPr>
          <w:i/>
          <w:w w:val="105"/>
        </w:rPr>
        <w:t>n  </w:t>
      </w:r>
      <w:r>
        <w:rPr>
          <w:w w:val="105"/>
        </w:rPr>
        <w:t>(n       </w:t>
      </w:r>
      <w:r>
        <w:rPr>
          <w:rFonts w:ascii="Arial" w:hAnsi="Arial"/>
          <w:w w:val="105"/>
          <w:sz w:val="18"/>
        </w:rPr>
        <w:t>1) </w:t>
      </w:r>
      <w:r>
        <w:rPr>
          <w:w w:val="105"/>
        </w:rPr>
        <w:t>is</w:t>
      </w:r>
    </w:p>
    <w:p>
      <w:pPr>
        <w:spacing w:line="312" w:lineRule="exact" w:before="62"/>
        <w:ind w:left="97" w:right="192" w:firstLine="0"/>
        <w:jc w:val="center"/>
        <w:rPr>
          <w:i/>
          <w:sz w:val="17"/>
        </w:rPr>
      </w:pPr>
      <w:r>
        <w:rPr>
          <w:rFonts w:ascii="Arial"/>
          <w:i/>
          <w:sz w:val="19"/>
        </w:rPr>
        <w:t>.OIC( AS )  </w:t>
      </w:r>
      <w:r>
        <w:rPr>
          <w:rFonts w:ascii="Arial"/>
          <w:i/>
          <w:sz w:val="19"/>
          <w:u w:val="single"/>
        </w:rPr>
        <w:t>Sx+</w:t>
      </w:r>
      <w:r>
        <w:rPr>
          <w:rFonts w:ascii="Arial"/>
          <w:i/>
          <w:sz w:val="19"/>
        </w:rPr>
        <w:t>t </w:t>
      </w:r>
      <w:r>
        <w:rPr>
          <w:rFonts w:ascii="Arial"/>
          <w:sz w:val="19"/>
        </w:rPr>
        <w:t>(1 </w:t>
      </w:r>
      <w:r>
        <w:rPr>
          <w:rFonts w:ascii="Arial"/>
          <w:sz w:val="31"/>
        </w:rPr>
        <w:t>+ </w:t>
      </w:r>
      <w:r>
        <w:rPr>
          <w:rFonts w:ascii="Arial"/>
          <w:sz w:val="18"/>
        </w:rPr>
        <w:t>')n  </w:t>
      </w:r>
      <w:r>
        <w:rPr>
          <w:i/>
          <w:sz w:val="17"/>
          <w:u w:val="single"/>
        </w:rPr>
        <w:t>C.:'+t+n</w:t>
      </w:r>
    </w:p>
    <w:p>
      <w:pPr>
        <w:tabs>
          <w:tab w:pos="3465" w:val="left" w:leader="none"/>
          <w:tab w:pos="3929" w:val="left" w:leader="none"/>
          <w:tab w:pos="4394" w:val="left" w:leader="none"/>
        </w:tabs>
        <w:spacing w:line="174" w:lineRule="exact" w:before="0"/>
        <w:ind w:left="2410" w:right="0" w:firstLine="0"/>
        <w:jc w:val="left"/>
        <w:rPr>
          <w:rFonts w:ascii="Arial"/>
          <w:sz w:val="19"/>
        </w:rPr>
      </w:pPr>
      <w:r>
        <w:rPr>
          <w:rFonts w:ascii="Arial"/>
          <w:w w:val="125"/>
          <w:sz w:val="10"/>
        </w:rPr>
        <w:t>:r  </w:t>
      </w:r>
      <w:r>
        <w:rPr>
          <w:rFonts w:ascii="Arial"/>
          <w:spacing w:val="8"/>
          <w:w w:val="125"/>
          <w:sz w:val="10"/>
        </w:rPr>
        <w:t> </w:t>
      </w:r>
      <w:r>
        <w:rPr>
          <w:rFonts w:ascii="Arial"/>
          <w:i/>
          <w:w w:val="105"/>
          <w:sz w:val="19"/>
        </w:rPr>
        <w:t>Sx</w:t>
        <w:tab/>
      </w:r>
      <w:r>
        <w:rPr>
          <w:rFonts w:ascii="Arial"/>
          <w:i/>
          <w:w w:val="105"/>
          <w:sz w:val="18"/>
        </w:rPr>
        <w:t>J</w:t>
        <w:tab/>
      </w:r>
      <w:r>
        <w:rPr>
          <w:rFonts w:ascii="Arial"/>
          <w:i/>
          <w:w w:val="125"/>
          <w:sz w:val="19"/>
        </w:rPr>
        <w:t>D;</w:t>
        <w:tab/>
      </w:r>
      <w:r>
        <w:rPr>
          <w:rFonts w:ascii="Arial"/>
          <w:w w:val="125"/>
          <w:sz w:val="19"/>
        </w:rPr>
        <w:t>.</w:t>
      </w:r>
    </w:p>
    <w:p>
      <w:pPr>
        <w:pStyle w:val="BodyText"/>
        <w:spacing w:line="244" w:lineRule="auto" w:before="39"/>
        <w:ind w:left="124" w:right="130" w:hanging="4"/>
        <w:jc w:val="both"/>
      </w:pPr>
      <w:r>
        <w:rPr>
          <w:w w:val="105"/>
        </w:rPr>
        <w:t>The factor </w:t>
      </w:r>
      <w:r>
        <w:rPr>
          <w:rFonts w:ascii="Arial"/>
          <w:w w:val="105"/>
          <w:sz w:val="19"/>
        </w:rPr>
        <w:t>(1 </w:t>
      </w:r>
      <w:r>
        <w:rPr>
          <w:rFonts w:ascii="Arial"/>
          <w:w w:val="105"/>
          <w:sz w:val="31"/>
        </w:rPr>
        <w:t>+ </w:t>
      </w:r>
      <w:r>
        <w:rPr>
          <w:w w:val="105"/>
        </w:rPr>
        <w:t>j) </w:t>
      </w:r>
      <w:r>
        <w:rPr>
          <w:i/>
          <w:w w:val="105"/>
          <w:sz w:val="13"/>
        </w:rPr>
        <w:t>n </w:t>
      </w:r>
      <w:r>
        <w:rPr>
          <w:w w:val="105"/>
        </w:rPr>
        <w:t>in this expression is appropriate under the further assumption that interest is crcdited from the moment of contribution to the moment of withdrawal. The present value can then  be written</w:t>
      </w:r>
    </w:p>
    <w:p>
      <w:pPr>
        <w:tabs>
          <w:tab w:pos="1532" w:val="left" w:leader="none"/>
        </w:tabs>
        <w:spacing w:line="265" w:lineRule="exact" w:before="0"/>
        <w:ind w:left="1118" w:right="0" w:firstLine="0"/>
        <w:jc w:val="left"/>
        <w:rPr>
          <w:rFonts w:ascii="Arial" w:hAnsi="Arial"/>
          <w:sz w:val="18"/>
        </w:rPr>
      </w:pPr>
      <w:r>
        <w:rPr/>
        <w:pict>
          <v:shape style="position:absolute;margin-left:39.060001pt;margin-top:9.537436pt;width:154.15pt;height:9.5pt;mso-position-horizontal-relative:page;mso-position-vertical-relative:paragraph;z-index:-710368" type="#_x0000_t202" filled="false" stroked="false">
            <v:textbox inset="0,0,0,0">
              <w:txbxContent>
                <w:p>
                  <w:pPr>
                    <w:tabs>
                      <w:tab w:pos="1846" w:val="left" w:leader="none"/>
                      <w:tab w:pos="2536" w:val="left" w:leader="none"/>
                    </w:tabs>
                    <w:spacing w:line="190" w:lineRule="exact" w:before="0"/>
                    <w:ind w:left="0" w:right="0" w:firstLine="0"/>
                    <w:jc w:val="left"/>
                    <w:rPr>
                      <w:i/>
                      <w:sz w:val="17"/>
                    </w:rPr>
                  </w:pPr>
                  <w:r>
                    <w:rPr>
                      <w:rFonts w:ascii="Arial"/>
                      <w:b/>
                      <w:i/>
                      <w:sz w:val="19"/>
                    </w:rPr>
                    <w:t>.OlC( AS</w:t>
                  </w:r>
                  <w:r>
                    <w:rPr>
                      <w:rFonts w:ascii="Arial"/>
                      <w:b/>
                      <w:i/>
                      <w:spacing w:val="-30"/>
                      <w:sz w:val="19"/>
                    </w:rPr>
                    <w:t> </w:t>
                  </w:r>
                  <w:r>
                    <w:rPr>
                      <w:rFonts w:ascii="Arial"/>
                      <w:b/>
                      <w:i/>
                      <w:sz w:val="19"/>
                    </w:rPr>
                    <w:t>) </w:t>
                  </w:r>
                  <w:r>
                    <w:rPr>
                      <w:rFonts w:ascii="Arial"/>
                      <w:b/>
                      <w:i/>
                      <w:spacing w:val="32"/>
                      <w:sz w:val="19"/>
                    </w:rPr>
                    <w:t> </w:t>
                  </w:r>
                  <w:r>
                    <w:rPr>
                      <w:i/>
                      <w:spacing w:val="2"/>
                      <w:sz w:val="17"/>
                      <w:u w:val="single"/>
                    </w:rPr>
                    <w:t>Oz+t</w:t>
                    <w:tab/>
                  </w:r>
                  <w:r>
                    <w:rPr>
                      <w:rFonts w:ascii="Arial"/>
                      <w:i/>
                      <w:sz w:val="18"/>
                      <w:u w:val="single"/>
                    </w:rPr>
                    <w:t>J</w:t>
                    <w:tab/>
                  </w:r>
                  <w:r>
                    <w:rPr>
                      <w:i/>
                      <w:sz w:val="17"/>
                      <w:u w:val="single"/>
                    </w:rPr>
                    <w:t>x+e+n</w:t>
                  </w:r>
                </w:p>
              </w:txbxContent>
            </v:textbox>
            <w10:wrap type="none"/>
          </v:shape>
        </w:pict>
      </w:r>
      <w:r>
        <w:rPr>
          <w:i/>
          <w:w w:val="81"/>
          <w:sz w:val="11"/>
        </w:rPr>
        <w:t>C1</w:t>
      </w:r>
      <w:r>
        <w:rPr>
          <w:i/>
          <w:sz w:val="11"/>
        </w:rPr>
        <w:tab/>
      </w:r>
      <w:r>
        <w:rPr>
          <w:rFonts w:ascii="Arial" w:hAnsi="Arial"/>
          <w:w w:val="124"/>
          <w:sz w:val="19"/>
        </w:rPr>
        <w:t>(</w:t>
      </w:r>
      <w:r>
        <w:rPr>
          <w:rFonts w:ascii="Arial" w:hAnsi="Arial"/>
          <w:w w:val="124"/>
          <w:sz w:val="19"/>
        </w:rPr>
        <w:t>1</w:t>
      </w:r>
      <w:r>
        <w:rPr>
          <w:rFonts w:ascii="Arial" w:hAnsi="Arial"/>
          <w:spacing w:val="-2"/>
          <w:sz w:val="19"/>
        </w:rPr>
        <w:t> </w:t>
      </w:r>
      <w:r>
        <w:rPr>
          <w:rFonts w:ascii="Arial" w:hAnsi="Arial"/>
          <w:w w:val="103"/>
          <w:sz w:val="31"/>
        </w:rPr>
        <w:t>+</w:t>
      </w:r>
      <w:r>
        <w:rPr>
          <w:rFonts w:ascii="Arial" w:hAnsi="Arial"/>
          <w:spacing w:val="13"/>
          <w:sz w:val="31"/>
        </w:rPr>
        <w:t> </w:t>
      </w:r>
      <w:r>
        <w:rPr>
          <w:rFonts w:ascii="Arial" w:hAnsi="Arial"/>
          <w:w w:val="94"/>
          <w:sz w:val="18"/>
        </w:rPr>
        <w:t>'</w:t>
      </w:r>
      <w:r>
        <w:rPr>
          <w:rFonts w:ascii="Arial" w:hAnsi="Arial"/>
          <w:w w:val="94"/>
          <w:sz w:val="18"/>
        </w:rPr>
        <w:t>)</w:t>
      </w:r>
      <w:r>
        <w:rPr>
          <w:rFonts w:ascii="Arial" w:hAnsi="Arial"/>
          <w:w w:val="94"/>
          <w:sz w:val="18"/>
        </w:rPr>
        <w:t>:r+t+n</w:t>
      </w:r>
      <w:r>
        <w:rPr>
          <w:rFonts w:ascii="Arial" w:hAnsi="Arial"/>
          <w:spacing w:val="15"/>
          <w:sz w:val="18"/>
        </w:rPr>
        <w:t> </w:t>
      </w:r>
      <w:r>
        <w:rPr>
          <w:rFonts w:ascii="Arial" w:hAnsi="Arial"/>
          <w:spacing w:val="-81"/>
          <w:w w:val="153"/>
          <w:sz w:val="18"/>
        </w:rPr>
        <w:t>c</w:t>
      </w:r>
      <w:r>
        <w:rPr>
          <w:rFonts w:ascii="Arial" w:hAnsi="Arial"/>
          <w:w w:val="109"/>
          <w:sz w:val="18"/>
        </w:rPr>
        <w:t>-'°</w:t>
      </w:r>
    </w:p>
    <w:p>
      <w:pPr>
        <w:tabs>
          <w:tab w:pos="1240" w:val="left" w:leader="none"/>
        </w:tabs>
        <w:spacing w:line="326" w:lineRule="exact" w:before="0"/>
        <w:ind w:left="967" w:right="0" w:firstLine="0"/>
        <w:jc w:val="left"/>
        <w:rPr>
          <w:b/>
          <w:i/>
          <w:sz w:val="20"/>
        </w:rPr>
      </w:pPr>
      <w:r>
        <w:rPr>
          <w:b/>
          <w:sz w:val="12"/>
        </w:rPr>
        <w:t>z</w:t>
        <w:tab/>
      </w:r>
      <w:r>
        <w:rPr>
          <w:b/>
          <w:i/>
          <w:w w:val="95"/>
          <w:sz w:val="20"/>
        </w:rPr>
        <w:t>S </w:t>
      </w:r>
      <w:r>
        <w:rPr>
          <w:b/>
          <w:i/>
          <w:w w:val="85"/>
          <w:sz w:val="20"/>
        </w:rPr>
        <w:t>x </w:t>
      </w:r>
      <w:r>
        <w:rPr>
          <w:b/>
          <w:w w:val="95"/>
          <w:sz w:val="18"/>
        </w:rPr>
        <w:t>( 1 </w:t>
      </w:r>
      <w:r>
        <w:rPr>
          <w:rFonts w:ascii="Arial"/>
          <w:sz w:val="31"/>
        </w:rPr>
        <w:t>+ </w:t>
      </w:r>
      <w:r>
        <w:rPr>
          <w:b/>
          <w:i/>
          <w:w w:val="95"/>
          <w:sz w:val="20"/>
        </w:rPr>
        <w:t>j )x+t</w:t>
      </w:r>
      <w:r>
        <w:rPr>
          <w:b/>
          <w:i/>
          <w:spacing w:val="21"/>
          <w:w w:val="95"/>
          <w:sz w:val="20"/>
        </w:rPr>
        <w:t> </w:t>
      </w:r>
      <w:r>
        <w:rPr>
          <w:b/>
          <w:i/>
          <w:spacing w:val="3"/>
          <w:sz w:val="20"/>
        </w:rPr>
        <w:t>D';</w:t>
      </w:r>
    </w:p>
    <w:p>
      <w:pPr>
        <w:pStyle w:val="BodyText"/>
        <w:spacing w:before="11"/>
        <w:rPr>
          <w:b/>
          <w:i/>
          <w:sz w:val="11"/>
        </w:rPr>
      </w:pPr>
    </w:p>
    <w:p>
      <w:pPr>
        <w:spacing w:after="0"/>
        <w:rPr>
          <w:sz w:val="11"/>
        </w:rPr>
        <w:sectPr>
          <w:pgSz w:w="7200" w:h="11340"/>
          <w:pgMar w:top="500" w:bottom="280" w:left="660" w:right="540"/>
        </w:sectPr>
      </w:pPr>
    </w:p>
    <w:p>
      <w:pPr>
        <w:pStyle w:val="BodyText"/>
        <w:rPr>
          <w:b/>
          <w:i/>
        </w:rPr>
      </w:pPr>
    </w:p>
    <w:p>
      <w:pPr>
        <w:pStyle w:val="BodyText"/>
        <w:rPr>
          <w:b/>
          <w:i/>
        </w:rPr>
      </w:pPr>
    </w:p>
    <w:p>
      <w:pPr>
        <w:pStyle w:val="BodyText"/>
        <w:spacing w:before="172"/>
        <w:ind w:left="114"/>
      </w:pPr>
      <w:r>
        <w:rPr/>
        <w:t>where we define</w:t>
      </w:r>
    </w:p>
    <w:p>
      <w:pPr>
        <w:tabs>
          <w:tab w:pos="1719" w:val="left" w:leader="none"/>
        </w:tabs>
        <w:spacing w:line="163" w:lineRule="exact" w:before="74"/>
        <w:ind w:left="599" w:right="0" w:firstLine="0"/>
        <w:jc w:val="center"/>
        <w:rPr>
          <w:sz w:val="20"/>
        </w:rPr>
      </w:pPr>
      <w:r>
        <w:rPr/>
        <w:br w:type="column"/>
      </w:r>
      <w:r>
        <w:rPr>
          <w:rFonts w:ascii="Arial" w:hAnsi="Arial"/>
          <w:i/>
          <w:spacing w:val="-5"/>
          <w:w w:val="105"/>
          <w:sz w:val="19"/>
        </w:rPr>
        <w:t>.OlC(</w:t>
      </w:r>
      <w:r>
        <w:rPr>
          <w:rFonts w:ascii="Arial" w:hAnsi="Arial"/>
          <w:i/>
          <w:spacing w:val="-32"/>
          <w:w w:val="105"/>
          <w:sz w:val="19"/>
        </w:rPr>
        <w:t> </w:t>
      </w:r>
      <w:r>
        <w:rPr>
          <w:rFonts w:ascii="Arial" w:hAnsi="Arial"/>
          <w:i/>
          <w:w w:val="105"/>
          <w:sz w:val="19"/>
        </w:rPr>
        <w:t>AS</w:t>
      </w:r>
      <w:r>
        <w:rPr>
          <w:rFonts w:ascii="Arial" w:hAnsi="Arial"/>
          <w:i/>
          <w:spacing w:val="-29"/>
          <w:w w:val="105"/>
          <w:sz w:val="19"/>
        </w:rPr>
        <w:t> </w:t>
      </w:r>
      <w:r>
        <w:rPr>
          <w:rFonts w:ascii="Arial" w:hAnsi="Arial"/>
          <w:i/>
          <w:sz w:val="19"/>
        </w:rPr>
        <w:t>)x</w:t>
        <w:tab/>
      </w:r>
      <w:r>
        <w:rPr>
          <w:rFonts w:ascii="Arial" w:hAnsi="Arial"/>
          <w:i/>
          <w:w w:val="105"/>
          <w:sz w:val="19"/>
          <w:u w:val="single"/>
        </w:rPr>
        <w:t>Sx+t </w:t>
      </w:r>
      <w:r>
        <w:rPr>
          <w:rFonts w:ascii="Arial" w:hAnsi="Arial"/>
          <w:i/>
          <w:spacing w:val="-3"/>
          <w:w w:val="105"/>
          <w:sz w:val="19"/>
          <w:u w:val="single"/>
        </w:rPr>
        <w:t>;é:+</w:t>
      </w:r>
      <w:r>
        <w:rPr>
          <w:rFonts w:ascii="Arial" w:hAnsi="Arial"/>
          <w:i/>
          <w:spacing w:val="-3"/>
          <w:w w:val="105"/>
          <w:sz w:val="19"/>
        </w:rPr>
        <w:t>t </w:t>
      </w:r>
      <w:r>
        <w:rPr>
          <w:rFonts w:ascii="Arial" w:hAnsi="Arial"/>
          <w:i/>
          <w:sz w:val="19"/>
        </w:rPr>
        <w:t>+n   </w:t>
      </w:r>
      <w:r>
        <w:rPr>
          <w:rFonts w:ascii="Arial" w:hAnsi="Arial"/>
          <w:w w:val="185"/>
          <w:sz w:val="19"/>
        </w:rPr>
        <w:t>, </w:t>
      </w:r>
      <w:r>
        <w:rPr>
          <w:rFonts w:ascii="Arial" w:hAnsi="Arial"/>
          <w:w w:val="105"/>
          <w:sz w:val="19"/>
        </w:rPr>
        <w:t>(</w:t>
      </w:r>
      <w:r>
        <w:rPr>
          <w:rFonts w:ascii="Arial" w:hAnsi="Arial"/>
          <w:spacing w:val="-40"/>
          <w:w w:val="105"/>
          <w:sz w:val="19"/>
        </w:rPr>
        <w:t> </w:t>
      </w:r>
      <w:r>
        <w:rPr>
          <w:w w:val="105"/>
          <w:sz w:val="20"/>
        </w:rPr>
        <w:t>16.29)</w:t>
      </w:r>
    </w:p>
    <w:p>
      <w:pPr>
        <w:spacing w:line="266" w:lineRule="exact" w:before="0"/>
        <w:ind w:left="649" w:right="0" w:firstLine="0"/>
        <w:jc w:val="center"/>
        <w:rPr>
          <w:i/>
          <w:sz w:val="17"/>
        </w:rPr>
      </w:pPr>
      <w:r>
        <w:rPr>
          <w:sz w:val="19"/>
        </w:rPr>
        <w:t>(1 </w:t>
      </w:r>
      <w:r>
        <w:rPr>
          <w:sz w:val="29"/>
        </w:rPr>
        <w:t>+ </w:t>
      </w:r>
      <w:r>
        <w:rPr>
          <w:i/>
          <w:sz w:val="17"/>
        </w:rPr>
        <w:t>jY,:+t   S </w:t>
      </w:r>
      <w:r>
        <w:rPr>
          <w:i/>
          <w:w w:val="115"/>
          <w:sz w:val="17"/>
        </w:rPr>
        <w:t>D;</w:t>
      </w:r>
    </w:p>
    <w:p>
      <w:pPr>
        <w:pStyle w:val="BodyText"/>
        <w:rPr>
          <w:i/>
          <w:sz w:val="27"/>
        </w:rPr>
      </w:pPr>
    </w:p>
    <w:p>
      <w:pPr>
        <w:spacing w:before="0"/>
        <w:ind w:left="114" w:right="0" w:firstLine="0"/>
        <w:jc w:val="left"/>
        <w:rPr>
          <w:i/>
          <w:sz w:val="39"/>
        </w:rPr>
      </w:pPr>
      <w:r>
        <w:rPr>
          <w:i/>
          <w:w w:val="80"/>
          <w:sz w:val="39"/>
        </w:rPr>
        <w:t>;e: </w:t>
      </w:r>
      <w:r>
        <w:rPr>
          <w:sz w:val="26"/>
        </w:rPr>
        <w:t>=  </w:t>
      </w:r>
      <w:r>
        <w:rPr>
          <w:w w:val="80"/>
          <w:sz w:val="33"/>
        </w:rPr>
        <w:t>c1 </w:t>
      </w:r>
      <w:r>
        <w:rPr>
          <w:sz w:val="29"/>
        </w:rPr>
        <w:t>+ </w:t>
      </w:r>
      <w:r>
        <w:rPr>
          <w:rFonts w:ascii="Arial"/>
          <w:i/>
          <w:sz w:val="25"/>
        </w:rPr>
        <w:t>j </w:t>
      </w:r>
      <w:r>
        <w:rPr>
          <w:rFonts w:ascii="Arial"/>
          <w:i/>
          <w:w w:val="170"/>
          <w:sz w:val="25"/>
        </w:rPr>
        <w:t>t </w:t>
      </w:r>
      <w:r>
        <w:rPr>
          <w:i/>
          <w:sz w:val="39"/>
        </w:rPr>
        <w:t>e:.</w:t>
      </w:r>
    </w:p>
    <w:p>
      <w:pPr>
        <w:spacing w:after="0"/>
        <w:jc w:val="left"/>
        <w:rPr>
          <w:sz w:val="39"/>
        </w:rPr>
        <w:sectPr>
          <w:type w:val="continuous"/>
          <w:pgSz w:w="7200" w:h="11340"/>
          <w:pgMar w:top="1100" w:bottom="0" w:left="660" w:right="540"/>
          <w:cols w:num="2" w:equalWidth="0">
            <w:col w:w="1480" w:space="410"/>
            <w:col w:w="4110"/>
          </w:cols>
        </w:sectPr>
      </w:pPr>
    </w:p>
    <w:p>
      <w:pPr>
        <w:pStyle w:val="BodyText"/>
        <w:spacing w:line="213" w:lineRule="auto" w:before="101"/>
        <w:ind w:left="106" w:right="147" w:firstLine="208"/>
        <w:jc w:val="both"/>
      </w:pPr>
      <w:r>
        <w:rPr>
          <w:w w:val="105"/>
          <w:sz w:val="21"/>
        </w:rPr>
        <w:t>If </w:t>
      </w:r>
      <w:r>
        <w:rPr>
          <w:w w:val="105"/>
        </w:rPr>
        <w:t>we sum (16.29) over </w:t>
      </w:r>
      <w:r>
        <w:rPr>
          <w:i/>
          <w:w w:val="105"/>
          <w:sz w:val="21"/>
        </w:rPr>
        <w:t>n </w:t>
      </w:r>
      <w:r>
        <w:rPr>
          <w:w w:val="105"/>
        </w:rPr>
        <w:t>for </w:t>
      </w:r>
      <w:r>
        <w:rPr>
          <w:i/>
          <w:w w:val="105"/>
          <w:sz w:val="21"/>
        </w:rPr>
        <w:t>n </w:t>
      </w:r>
      <w:r>
        <w:rPr>
          <w:w w:val="180"/>
          <w:sz w:val="21"/>
        </w:rPr>
        <w:t>) </w:t>
      </w:r>
      <w:r>
        <w:rPr>
          <w:w w:val="105"/>
        </w:rPr>
        <w:t>1 and add one-half the cor­ responding amount for </w:t>
      </w:r>
      <w:r>
        <w:rPr>
          <w:i/>
          <w:w w:val="105"/>
        </w:rPr>
        <w:t>n </w:t>
      </w:r>
      <w:r>
        <w:rPr>
          <w:w w:val="105"/>
          <w:sz w:val="26"/>
        </w:rPr>
        <w:t>= </w:t>
      </w:r>
      <w:r>
        <w:rPr>
          <w:rFonts w:ascii="Arial" w:hAnsi="Arial"/>
          <w:sz w:val="19"/>
        </w:rPr>
        <w:t>O </w:t>
      </w:r>
      <w:r>
        <w:rPr>
          <w:w w:val="105"/>
        </w:rPr>
        <w:t>(sinee on the average only one-half year's contributions are made in the year of withdrawal),  we  obtain</w:t>
      </w:r>
    </w:p>
    <w:p>
      <w:pPr>
        <w:pStyle w:val="BodyText"/>
        <w:spacing w:line="247" w:lineRule="auto" w:before="16"/>
        <w:ind w:left="106" w:firstLine="7"/>
      </w:pPr>
      <w:r>
        <w:rPr>
          <w:w w:val="105"/>
        </w:rPr>
        <w:t>the present value, without regard to thc date of withdrawal, of all benefits arising from contributions during the year following attain­</w:t>
      </w:r>
    </w:p>
    <w:p>
      <w:pPr>
        <w:spacing w:line="261" w:lineRule="exact" w:before="0"/>
        <w:ind w:left="106" w:right="0" w:firstLine="0"/>
        <w:jc w:val="left"/>
        <w:rPr>
          <w:rFonts w:ascii="Arial"/>
          <w:sz w:val="18"/>
        </w:rPr>
      </w:pPr>
      <w:r>
        <w:rPr/>
        <w:drawing>
          <wp:anchor distT="0" distB="0" distL="0" distR="0" allowOverlap="1" layoutInCell="1" locked="0" behindDoc="0" simplePos="0" relativeHeight="25672">
            <wp:simplePos x="0" y="0"/>
            <wp:positionH relativeFrom="page">
              <wp:posOffset>1060703</wp:posOffset>
            </wp:positionH>
            <wp:positionV relativeFrom="paragraph">
              <wp:posOffset>226627</wp:posOffset>
            </wp:positionV>
            <wp:extent cx="2432304" cy="484631"/>
            <wp:effectExtent l="0" t="0" r="0" b="0"/>
            <wp:wrapNone/>
            <wp:docPr id="787" name="image402.png" descr=""/>
            <wp:cNvGraphicFramePr>
              <a:graphicFrameLocks noChangeAspect="1"/>
            </wp:cNvGraphicFramePr>
            <a:graphic>
              <a:graphicData uri="http://schemas.openxmlformats.org/drawingml/2006/picture">
                <pic:pic>
                  <pic:nvPicPr>
                    <pic:cNvPr id="788" name="image402.png"/>
                    <pic:cNvPicPr/>
                  </pic:nvPicPr>
                  <pic:blipFill>
                    <a:blip r:embed="rId406" cstate="print"/>
                    <a:stretch>
                      <a:fillRect/>
                    </a:stretch>
                  </pic:blipFill>
                  <pic:spPr>
                    <a:xfrm>
                      <a:off x="0" y="0"/>
                      <a:ext cx="2432304" cy="484631"/>
                    </a:xfrm>
                    <a:prstGeom prst="rect">
                      <a:avLst/>
                    </a:prstGeom>
                  </pic:spPr>
                </pic:pic>
              </a:graphicData>
            </a:graphic>
          </wp:anchor>
        </w:drawing>
      </w:r>
      <w:r>
        <w:rPr>
          <w:w w:val="105"/>
          <w:sz w:val="20"/>
        </w:rPr>
        <w:t>ment of age </w:t>
      </w:r>
      <w:r>
        <w:rPr>
          <w:rFonts w:ascii="Arial"/>
          <w:i/>
          <w:w w:val="105"/>
          <w:sz w:val="18"/>
        </w:rPr>
        <w:t>x  </w:t>
      </w:r>
      <w:r>
        <w:rPr>
          <w:rFonts w:ascii="Arial"/>
          <w:w w:val="105"/>
          <w:sz w:val="31"/>
        </w:rPr>
        <w:t>+ </w:t>
      </w:r>
      <w:r>
        <w:rPr>
          <w:rFonts w:ascii="Arial"/>
          <w:w w:val="110"/>
          <w:sz w:val="18"/>
        </w:rPr>
        <w:t>t:</w:t>
      </w:r>
    </w:p>
    <w:p>
      <w:pPr>
        <w:pStyle w:val="BodyText"/>
        <w:spacing w:before="8"/>
        <w:rPr>
          <w:rFonts w:ascii="Arial"/>
          <w:sz w:val="39"/>
        </w:rPr>
      </w:pPr>
    </w:p>
    <w:p>
      <w:pPr>
        <w:pStyle w:val="BodyText"/>
        <w:ind w:right="182"/>
        <w:jc w:val="right"/>
      </w:pPr>
      <w:r>
        <w:rPr/>
        <w:t>(16.30)</w:t>
      </w:r>
    </w:p>
    <w:p>
      <w:pPr>
        <w:pStyle w:val="BodyText"/>
        <w:spacing w:before="7"/>
        <w:rPr>
          <w:sz w:val="17"/>
        </w:rPr>
      </w:pPr>
    </w:p>
    <w:p>
      <w:pPr>
        <w:spacing w:after="0"/>
        <w:rPr>
          <w:sz w:val="17"/>
        </w:rPr>
        <w:sectPr>
          <w:type w:val="continuous"/>
          <w:pgSz w:w="7200" w:h="11340"/>
          <w:pgMar w:top="1100" w:bottom="0" w:left="660" w:right="540"/>
        </w:sectPr>
      </w:pPr>
    </w:p>
    <w:p>
      <w:pPr>
        <w:pStyle w:val="BodyText"/>
        <w:spacing w:before="73"/>
        <w:ind w:left="106" w:right="-13"/>
      </w:pPr>
      <w:r>
        <w:rPr>
          <w:w w:val="105"/>
          <w:sz w:val="21"/>
        </w:rPr>
        <w:t>In </w:t>
      </w:r>
      <w:r>
        <w:rPr>
          <w:w w:val="105"/>
        </w:rPr>
        <w:t>this expression,  we note  that</w:t>
      </w:r>
    </w:p>
    <w:p>
      <w:pPr>
        <w:pStyle w:val="BodyText"/>
        <w:spacing w:before="5"/>
        <w:rPr>
          <w:sz w:val="17"/>
        </w:rPr>
      </w:pPr>
    </w:p>
    <w:p>
      <w:pPr>
        <w:spacing w:line="151" w:lineRule="exact" w:before="1"/>
        <w:ind w:left="1312" w:right="-13" w:firstLine="0"/>
        <w:jc w:val="left"/>
        <w:rPr>
          <w:i/>
          <w:sz w:val="21"/>
        </w:rPr>
      </w:pPr>
      <w:r>
        <w:rPr>
          <w:b/>
          <w:w w:val="93"/>
          <w:position w:val="-9"/>
          <w:sz w:val="20"/>
        </w:rPr>
        <w:t>(</w:t>
      </w:r>
      <w:r>
        <w:rPr>
          <w:b/>
          <w:spacing w:val="-12"/>
          <w:position w:val="-9"/>
          <w:sz w:val="20"/>
        </w:rPr>
        <w:t> </w:t>
      </w:r>
      <w:r>
        <w:rPr>
          <w:b/>
          <w:w w:val="127"/>
          <w:position w:val="-9"/>
          <w:sz w:val="20"/>
        </w:rPr>
        <w:t>l</w:t>
      </w:r>
      <w:r>
        <w:rPr>
          <w:b/>
          <w:position w:val="-9"/>
          <w:sz w:val="20"/>
        </w:rPr>
        <w:t> </w:t>
      </w:r>
      <w:r>
        <w:rPr>
          <w:b/>
          <w:spacing w:val="-6"/>
          <w:position w:val="-9"/>
          <w:sz w:val="20"/>
        </w:rPr>
        <w:t> </w:t>
      </w:r>
      <w:r>
        <w:rPr>
          <w:rFonts w:ascii="Arial" w:hAnsi="Arial"/>
          <w:spacing w:val="-174"/>
          <w:w w:val="105"/>
          <w:position w:val="-9"/>
          <w:sz w:val="31"/>
        </w:rPr>
        <w:t>+</w:t>
      </w:r>
      <w:r>
        <w:rPr>
          <w:i/>
          <w:w w:val="83"/>
          <w:sz w:val="21"/>
        </w:rPr>
        <w:t>S</w:t>
      </w:r>
      <w:r>
        <w:rPr>
          <w:i/>
          <w:w w:val="82"/>
          <w:sz w:val="21"/>
          <w:u w:val="thick"/>
        </w:rPr>
        <w:t>x+t</w:t>
      </w:r>
      <w:r>
        <w:rPr>
          <w:i/>
          <w:spacing w:val="-14"/>
          <w:sz w:val="21"/>
        </w:rPr>
        <w:t> </w:t>
      </w:r>
      <w:r>
        <w:rPr>
          <w:rFonts w:ascii="Arial" w:hAnsi="Arial"/>
          <w:b/>
          <w:i/>
          <w:w w:val="81"/>
          <w:position w:val="-9"/>
          <w:sz w:val="18"/>
        </w:rPr>
        <w:t>z+t</w:t>
      </w:r>
      <w:r>
        <w:rPr>
          <w:rFonts w:ascii="Arial" w:hAnsi="Arial"/>
          <w:b/>
          <w:i/>
          <w:position w:val="-9"/>
          <w:sz w:val="18"/>
        </w:rPr>
        <w:t> </w:t>
      </w:r>
      <w:r>
        <w:rPr>
          <w:rFonts w:ascii="Arial" w:hAnsi="Arial"/>
          <w:b/>
          <w:i/>
          <w:spacing w:val="1"/>
          <w:position w:val="-9"/>
          <w:sz w:val="18"/>
        </w:rPr>
        <w:t> </w:t>
      </w:r>
      <w:r>
        <w:rPr>
          <w:rFonts w:ascii="Arial" w:hAnsi="Arial"/>
          <w:b/>
          <w:i/>
          <w:w w:val="88"/>
          <w:position w:val="-9"/>
          <w:sz w:val="18"/>
        </w:rPr>
        <w:t>'</w:t>
      </w:r>
      <w:r>
        <w:rPr>
          <w:rFonts w:ascii="Arial" w:hAnsi="Arial"/>
          <w:b/>
          <w:i/>
          <w:spacing w:val="-9"/>
          <w:position w:val="-9"/>
          <w:sz w:val="18"/>
        </w:rPr>
        <w:t> </w:t>
      </w:r>
      <w:r>
        <w:rPr>
          <w:i/>
          <w:w w:val="81"/>
          <w:sz w:val="21"/>
        </w:rPr>
        <w:t>;</w:t>
      </w:r>
      <w:r>
        <w:rPr>
          <w:i/>
          <w:spacing w:val="-61"/>
          <w:w w:val="81"/>
          <w:sz w:val="21"/>
        </w:rPr>
        <w:t>C</w:t>
      </w:r>
      <w:r>
        <w:rPr>
          <w:i/>
          <w:w w:val="82"/>
          <w:sz w:val="21"/>
        </w:rPr>
        <w:t>-'°</w:t>
      </w:r>
    </w:p>
    <w:p>
      <w:pPr>
        <w:pStyle w:val="BodyText"/>
        <w:spacing w:before="10"/>
        <w:rPr>
          <w:i/>
          <w:sz w:val="35"/>
        </w:rPr>
      </w:pPr>
      <w:r>
        <w:rPr/>
        <w:br w:type="column"/>
      </w:r>
      <w:r>
        <w:rPr>
          <w:i/>
          <w:sz w:val="35"/>
        </w:rPr>
      </w:r>
    </w:p>
    <w:p>
      <w:pPr>
        <w:tabs>
          <w:tab w:pos="1090" w:val="left" w:leader="none"/>
        </w:tabs>
        <w:spacing w:line="254" w:lineRule="exact" w:before="0"/>
        <w:ind w:left="-19" w:right="0" w:firstLine="0"/>
        <w:jc w:val="left"/>
        <w:rPr>
          <w:rFonts w:ascii="Arial" w:hAnsi="Arial"/>
          <w:i/>
          <w:sz w:val="20"/>
        </w:rPr>
      </w:pPr>
      <w:r>
        <w:rPr>
          <w:w w:val="104"/>
          <w:position w:val="-9"/>
          <w:sz w:val="23"/>
        </w:rPr>
        <w:t>=</w:t>
      </w:r>
      <w:r>
        <w:rPr>
          <w:position w:val="-9"/>
          <w:sz w:val="23"/>
        </w:rPr>
        <w:t> </w:t>
      </w:r>
      <w:r>
        <w:rPr>
          <w:spacing w:val="-17"/>
          <w:position w:val="-9"/>
          <w:sz w:val="23"/>
        </w:rPr>
        <w:t> </w:t>
      </w:r>
      <w:r>
        <w:rPr>
          <w:i/>
          <w:w w:val="94"/>
          <w:sz w:val="32"/>
        </w:rPr>
        <w:t>s</w:t>
      </w:r>
      <w:r>
        <w:rPr>
          <w:b/>
          <w:i/>
          <w:w w:val="131"/>
          <w:position w:val="-9"/>
          <w:sz w:val="13"/>
        </w:rPr>
        <w:t>z+t</w:t>
      </w:r>
      <w:r>
        <w:rPr>
          <w:b/>
          <w:i/>
          <w:position w:val="-9"/>
          <w:sz w:val="13"/>
        </w:rPr>
        <w:t>  </w:t>
      </w:r>
      <w:r>
        <w:rPr>
          <w:b/>
          <w:i/>
          <w:spacing w:val="-8"/>
          <w:position w:val="-9"/>
          <w:sz w:val="13"/>
        </w:rPr>
        <w:t> </w:t>
      </w:r>
      <w:r>
        <w:rPr>
          <w:i/>
          <w:w w:val="83"/>
          <w:sz w:val="21"/>
        </w:rPr>
        <w:t>C'°</w:t>
      </w:r>
      <w:r>
        <w:rPr>
          <w:i/>
          <w:sz w:val="21"/>
        </w:rPr>
        <w:tab/>
      </w:r>
      <w:r>
        <w:rPr>
          <w:w w:val="101"/>
          <w:sz w:val="23"/>
        </w:rPr>
        <w:t>=</w:t>
      </w:r>
      <w:r>
        <w:rPr>
          <w:sz w:val="23"/>
        </w:rPr>
        <w:t> </w:t>
      </w:r>
      <w:r>
        <w:rPr>
          <w:spacing w:val="-17"/>
          <w:sz w:val="23"/>
        </w:rPr>
        <w:t> </w:t>
      </w:r>
      <w:r>
        <w:rPr>
          <w:rFonts w:ascii="Arial" w:hAnsi="Arial"/>
          <w:i/>
          <w:w w:val="100"/>
          <w:sz w:val="20"/>
        </w:rPr>
        <w:t>s</w:t>
      </w:r>
      <w:r>
        <w:rPr>
          <w:rFonts w:ascii="Arial" w:hAnsi="Arial"/>
          <w:i/>
          <w:spacing w:val="-1"/>
          <w:w w:val="100"/>
          <w:sz w:val="20"/>
        </w:rPr>
        <w:t>e</w:t>
      </w:r>
      <w:r>
        <w:rPr>
          <w:rFonts w:ascii="Arial" w:hAnsi="Arial"/>
          <w:i/>
          <w:spacing w:val="-8"/>
          <w:w w:val="134"/>
          <w:sz w:val="20"/>
        </w:rPr>
        <w:t>'</w:t>
      </w:r>
      <w:r>
        <w:rPr>
          <w:rFonts w:ascii="Arial" w:hAnsi="Arial"/>
          <w:i/>
          <w:spacing w:val="-70"/>
          <w:w w:val="134"/>
          <w:sz w:val="20"/>
        </w:rPr>
        <w:t>:</w:t>
      </w:r>
      <w:r>
        <w:rPr>
          <w:rFonts w:ascii="Arial" w:hAnsi="Arial"/>
          <w:i/>
          <w:w w:val="96"/>
          <w:sz w:val="20"/>
        </w:rPr>
        <w:t>+·</w:t>
      </w:r>
    </w:p>
    <w:p>
      <w:pPr>
        <w:spacing w:after="0" w:line="254" w:lineRule="exact"/>
        <w:jc w:val="left"/>
        <w:rPr>
          <w:rFonts w:ascii="Arial" w:hAnsi="Arial"/>
          <w:sz w:val="20"/>
        </w:rPr>
        <w:sectPr>
          <w:type w:val="continuous"/>
          <w:pgSz w:w="7200" w:h="11340"/>
          <w:pgMar w:top="1100" w:bottom="0" w:left="660" w:right="540"/>
          <w:cols w:num="2" w:equalWidth="0">
            <w:col w:w="2843" w:space="40"/>
            <w:col w:w="3117"/>
          </w:cols>
        </w:sectPr>
      </w:pPr>
    </w:p>
    <w:p>
      <w:pPr>
        <w:tabs>
          <w:tab w:pos="2536" w:val="left" w:leader="none"/>
        </w:tabs>
        <w:spacing w:line="184" w:lineRule="exact" w:before="0"/>
        <w:ind w:left="1802" w:right="0" w:firstLine="0"/>
        <w:jc w:val="left"/>
        <w:rPr>
          <w:b/>
          <w:sz w:val="14"/>
        </w:rPr>
      </w:pPr>
      <w:r>
        <w:rPr>
          <w:rFonts w:ascii="Arial"/>
          <w:b/>
          <w:i/>
          <w:sz w:val="18"/>
        </w:rPr>
        <w:t>j</w:t>
      </w:r>
      <w:r>
        <w:rPr>
          <w:rFonts w:ascii="Arial"/>
          <w:b/>
          <w:i/>
          <w:spacing w:val="9"/>
          <w:sz w:val="18"/>
        </w:rPr>
        <w:t> </w:t>
      </w:r>
      <w:r>
        <w:rPr>
          <w:rFonts w:ascii="Arial"/>
          <w:b/>
          <w:i/>
          <w:sz w:val="18"/>
        </w:rPr>
        <w:t>)</w:t>
        <w:tab/>
      </w:r>
      <w:r>
        <w:rPr>
          <w:b/>
          <w:sz w:val="14"/>
        </w:rPr>
        <w:t>z+t</w:t>
      </w:r>
    </w:p>
    <w:p>
      <w:pPr>
        <w:tabs>
          <w:tab w:pos="1609" w:val="left" w:leader="none"/>
        </w:tabs>
        <w:spacing w:before="24"/>
        <w:ind w:left="842" w:right="0" w:firstLine="0"/>
        <w:jc w:val="left"/>
        <w:rPr>
          <w:sz w:val="13"/>
        </w:rPr>
      </w:pPr>
      <w:r>
        <w:rPr/>
        <w:br w:type="column"/>
      </w:r>
      <w:r>
        <w:rPr>
          <w:b/>
          <w:i/>
          <w:w w:val="120"/>
          <w:sz w:val="13"/>
        </w:rPr>
        <w:t>z+t</w:t>
        <w:tab/>
      </w:r>
      <w:r>
        <w:rPr>
          <w:w w:val="155"/>
          <w:sz w:val="13"/>
        </w:rPr>
        <w:t>- </w:t>
      </w:r>
      <w:r>
        <w:rPr>
          <w:spacing w:val="10"/>
          <w:w w:val="155"/>
          <w:sz w:val="13"/>
        </w:rPr>
        <w:t> </w:t>
      </w:r>
      <w:r>
        <w:rPr>
          <w:w w:val="120"/>
          <w:sz w:val="13"/>
        </w:rPr>
        <w:t>•</w:t>
      </w:r>
    </w:p>
    <w:p>
      <w:pPr>
        <w:spacing w:after="0"/>
        <w:jc w:val="left"/>
        <w:rPr>
          <w:sz w:val="13"/>
        </w:rPr>
        <w:sectPr>
          <w:type w:val="continuous"/>
          <w:pgSz w:w="7200" w:h="11340"/>
          <w:pgMar w:top="1100" w:bottom="0" w:left="660" w:right="540"/>
          <w:cols w:num="2" w:equalWidth="0">
            <w:col w:w="2763" w:space="40"/>
            <w:col w:w="3197"/>
          </w:cols>
        </w:sectPr>
      </w:pPr>
    </w:p>
    <w:p>
      <w:pPr>
        <w:tabs>
          <w:tab w:pos="1980" w:val="left" w:leader="none"/>
          <w:tab w:pos="5252" w:val="left" w:leader="none"/>
        </w:tabs>
        <w:spacing w:before="52"/>
        <w:ind w:left="132" w:right="0" w:firstLine="0"/>
        <w:jc w:val="left"/>
        <w:rPr>
          <w:b/>
          <w:sz w:val="21"/>
        </w:rPr>
      </w:pPr>
      <w:r>
        <w:rPr>
          <w:color w:val="010101"/>
          <w:sz w:val="20"/>
        </w:rPr>
        <w:t>318</w:t>
        <w:tab/>
      </w:r>
      <w:r>
        <w:rPr>
          <w:b/>
          <w:color w:val="010101"/>
          <w:sz w:val="15"/>
        </w:rPr>
        <w:t>A </w:t>
      </w:r>
      <w:r>
        <w:rPr>
          <w:b/>
          <w:color w:val="010101"/>
          <w:spacing w:val="34"/>
          <w:sz w:val="15"/>
        </w:rPr>
        <w:t> </w:t>
      </w:r>
      <w:r>
        <w:rPr>
          <w:b/>
          <w:color w:val="010101"/>
          <w:sz w:val="15"/>
        </w:rPr>
        <w:t>GENERALIZED  </w:t>
      </w:r>
      <w:r>
        <w:rPr>
          <w:b/>
          <w:color w:val="010101"/>
          <w:spacing w:val="5"/>
          <w:sz w:val="15"/>
        </w:rPr>
        <w:t> </w:t>
      </w:r>
      <w:r>
        <w:rPr>
          <w:b/>
          <w:color w:val="010101"/>
          <w:sz w:val="15"/>
        </w:rPr>
        <w:t>MODEL</w:t>
        <w:tab/>
      </w:r>
      <w:r>
        <w:rPr>
          <w:color w:val="010101"/>
          <w:w w:val="95"/>
          <w:sz w:val="20"/>
        </w:rPr>
        <w:t>[CH.</w:t>
      </w:r>
      <w:r>
        <w:rPr>
          <w:color w:val="010101"/>
          <w:spacing w:val="6"/>
          <w:w w:val="95"/>
          <w:sz w:val="20"/>
        </w:rPr>
        <w:t> </w:t>
      </w:r>
      <w:r>
        <w:rPr>
          <w:b/>
          <w:color w:val="010101"/>
          <w:w w:val="95"/>
          <w:sz w:val="21"/>
        </w:rPr>
        <w:t>16</w:t>
      </w:r>
    </w:p>
    <w:p>
      <w:pPr>
        <w:pStyle w:val="BodyText"/>
        <w:spacing w:before="3"/>
        <w:rPr>
          <w:b/>
          <w:sz w:val="14"/>
        </w:rPr>
      </w:pPr>
    </w:p>
    <w:p>
      <w:pPr>
        <w:spacing w:after="0"/>
        <w:rPr>
          <w:sz w:val="14"/>
        </w:rPr>
        <w:sectPr>
          <w:pgSz w:w="7200" w:h="11340"/>
          <w:pgMar w:top="500" w:bottom="280" w:left="660" w:right="540"/>
        </w:sectPr>
      </w:pPr>
    </w:p>
    <w:p>
      <w:pPr>
        <w:pStyle w:val="BodyText"/>
        <w:spacing w:before="75"/>
        <w:ind w:left="136" w:right="-9"/>
      </w:pPr>
      <w:r>
        <w:rPr>
          <w:color w:val="010101"/>
          <w:w w:val="90"/>
        </w:rPr>
        <w:t>a.nd</w:t>
      </w:r>
    </w:p>
    <w:p>
      <w:pPr>
        <w:pStyle w:val="BodyText"/>
        <w:spacing w:before="8"/>
        <w:rPr>
          <w:sz w:val="32"/>
        </w:rPr>
      </w:pPr>
      <w:r>
        <w:rPr/>
        <w:br w:type="column"/>
      </w:r>
      <w:r>
        <w:rPr>
          <w:sz w:val="32"/>
        </w:rPr>
      </w:r>
    </w:p>
    <w:p>
      <w:pPr>
        <w:tabs>
          <w:tab w:pos="1198" w:val="left" w:leader="none"/>
          <w:tab w:pos="2410" w:val="left" w:leader="none"/>
          <w:tab w:pos="3149" w:val="left" w:leader="none"/>
          <w:tab w:pos="4118" w:val="left" w:leader="none"/>
        </w:tabs>
        <w:spacing w:line="202" w:lineRule="exact" w:before="0"/>
        <w:ind w:left="136" w:right="0" w:firstLine="0"/>
        <w:jc w:val="left"/>
        <w:rPr>
          <w:i/>
          <w:sz w:val="27"/>
        </w:rPr>
      </w:pPr>
      <w:r>
        <w:rPr>
          <w:i/>
          <w:color w:val="010101"/>
          <w:w w:val="90"/>
          <w:sz w:val="17"/>
          <w:u w:val="single" w:color="000000"/>
        </w:rPr>
        <w:t>S:s+:</w:t>
      </w:r>
      <w:r>
        <w:rPr>
          <w:i/>
          <w:color w:val="010101"/>
          <w:sz w:val="17"/>
        </w:rPr>
        <w:tab/>
      </w:r>
      <w:r>
        <w:rPr>
          <w:rFonts w:ascii="Arial" w:hAnsi="Arial"/>
          <w:i/>
          <w:color w:val="010101"/>
          <w:w w:val="127"/>
          <w:sz w:val="33"/>
        </w:rPr>
        <w:t>;</w:t>
      </w:r>
      <w:r>
        <w:rPr>
          <w:rFonts w:ascii="Arial" w:hAnsi="Arial"/>
          <w:i/>
          <w:color w:val="010101"/>
          <w:spacing w:val="17"/>
          <w:w w:val="127"/>
          <w:sz w:val="33"/>
        </w:rPr>
        <w:t>e</w:t>
      </w:r>
      <w:r>
        <w:rPr>
          <w:rFonts w:ascii="Arial" w:hAnsi="Arial"/>
          <w:i/>
          <w:color w:val="010101"/>
          <w:spacing w:val="-15"/>
          <w:w w:val="78"/>
          <w:sz w:val="33"/>
        </w:rPr>
        <w:t>.</w:t>
      </w:r>
      <w:r>
        <w:rPr>
          <w:rFonts w:ascii="Arial" w:hAnsi="Arial"/>
          <w:i/>
          <w:color w:val="010101"/>
          <w:w w:val="55"/>
          <w:sz w:val="33"/>
        </w:rPr>
        <w:t>+-</w:t>
      </w:r>
      <w:r>
        <w:rPr>
          <w:rFonts w:ascii="Arial" w:hAnsi="Arial"/>
          <w:i/>
          <w:color w:val="010101"/>
          <w:spacing w:val="8"/>
          <w:sz w:val="33"/>
        </w:rPr>
        <w:t> </w:t>
      </w:r>
      <w:r>
        <w:rPr>
          <w:color w:val="010101"/>
          <w:w w:val="94"/>
          <w:sz w:val="26"/>
        </w:rPr>
        <w:t>=</w:t>
      </w:r>
      <w:r>
        <w:rPr>
          <w:color w:val="010101"/>
          <w:sz w:val="26"/>
        </w:rPr>
        <w:tab/>
      </w:r>
      <w:r>
        <w:rPr>
          <w:rFonts w:ascii="Arial" w:hAnsi="Arial"/>
          <w:i/>
          <w:color w:val="010101"/>
          <w:w w:val="102"/>
          <w:sz w:val="28"/>
          <w:u w:val="single" w:color="000000"/>
        </w:rPr>
        <w:t>s</w:t>
      </w:r>
      <w:r>
        <w:rPr>
          <w:rFonts w:ascii="Arial" w:hAnsi="Arial"/>
          <w:i/>
          <w:color w:val="010101"/>
          <w:spacing w:val="-21"/>
          <w:w w:val="101"/>
          <w:sz w:val="28"/>
          <w:u w:val="single" w:color="000000"/>
        </w:rPr>
        <w:t>.</w:t>
      </w:r>
      <w:r>
        <w:rPr>
          <w:rFonts w:ascii="Arial" w:hAnsi="Arial"/>
          <w:i/>
          <w:color w:val="010101"/>
          <w:w w:val="71"/>
          <w:sz w:val="28"/>
          <w:u w:val="single" w:color="000000"/>
        </w:rPr>
        <w:t>H</w:t>
      </w:r>
      <w:r>
        <w:rPr>
          <w:rFonts w:ascii="Arial" w:hAnsi="Arial"/>
          <w:i/>
          <w:color w:val="010101"/>
          <w:sz w:val="28"/>
        </w:rPr>
        <w:tab/>
      </w:r>
      <w:r>
        <w:rPr>
          <w:rFonts w:ascii="Arial" w:hAnsi="Arial"/>
          <w:i/>
          <w:color w:val="010101"/>
          <w:spacing w:val="4"/>
          <w:w w:val="110"/>
          <w:sz w:val="20"/>
        </w:rPr>
        <w:t>i</w:t>
      </w:r>
      <w:r>
        <w:rPr>
          <w:rFonts w:ascii="Arial" w:hAnsi="Arial"/>
          <w:i/>
          <w:color w:val="010101"/>
          <w:w w:val="126"/>
          <w:sz w:val="20"/>
        </w:rPr>
        <w:t>]J•</w:t>
      </w:r>
      <w:r>
        <w:rPr>
          <w:rFonts w:ascii="Arial" w:hAnsi="Arial"/>
          <w:i/>
          <w:color w:val="010101"/>
          <w:sz w:val="20"/>
        </w:rPr>
        <w:tab/>
      </w:r>
      <w:r>
        <w:rPr>
          <w:i/>
          <w:color w:val="010101"/>
          <w:w w:val="75"/>
          <w:sz w:val="27"/>
        </w:rPr>
        <w:t>s•;M"</w:t>
      </w:r>
    </w:p>
    <w:p>
      <w:pPr>
        <w:spacing w:after="0" w:line="202" w:lineRule="exact"/>
        <w:jc w:val="left"/>
        <w:rPr>
          <w:sz w:val="27"/>
        </w:rPr>
        <w:sectPr>
          <w:type w:val="continuous"/>
          <w:pgSz w:w="7200" w:h="11340"/>
          <w:pgMar w:top="1100" w:bottom="0" w:left="660" w:right="540"/>
          <w:cols w:num="2" w:equalWidth="0">
            <w:col w:w="452" w:space="108"/>
            <w:col w:w="5440"/>
          </w:cols>
        </w:sectPr>
      </w:pPr>
    </w:p>
    <w:p>
      <w:pPr>
        <w:tabs>
          <w:tab w:pos="1940" w:val="left" w:leader="none"/>
          <w:tab w:pos="2701" w:val="left" w:leader="none"/>
          <w:tab w:pos="3964" w:val="left" w:leader="none"/>
          <w:tab w:pos="5076" w:val="left" w:leader="none"/>
        </w:tabs>
        <w:spacing w:line="324" w:lineRule="exact" w:before="0"/>
        <w:ind w:left="423" w:right="0" w:firstLine="0"/>
        <w:jc w:val="left"/>
        <w:rPr>
          <w:sz w:val="14"/>
        </w:rPr>
      </w:pPr>
      <w:r>
        <w:rPr>
          <w:color w:val="010101"/>
          <w:w w:val="124"/>
          <w:sz w:val="19"/>
        </w:rPr>
        <w:t>(1</w:t>
      </w:r>
      <w:r>
        <w:rPr>
          <w:color w:val="010101"/>
          <w:spacing w:val="20"/>
          <w:sz w:val="19"/>
        </w:rPr>
        <w:t> </w:t>
      </w:r>
      <w:r>
        <w:rPr>
          <w:color w:val="010101"/>
          <w:w w:val="100"/>
          <w:sz w:val="29"/>
        </w:rPr>
        <w:t>+</w:t>
      </w:r>
      <w:r>
        <w:rPr>
          <w:color w:val="010101"/>
          <w:spacing w:val="-19"/>
          <w:sz w:val="29"/>
        </w:rPr>
        <w:t> </w:t>
      </w:r>
      <w:r>
        <w:rPr>
          <w:color w:val="010101"/>
          <w:w w:val="114"/>
          <w:sz w:val="20"/>
        </w:rPr>
        <w:t>j</w:t>
      </w:r>
      <w:r>
        <w:rPr>
          <w:color w:val="010101"/>
          <w:w w:val="114"/>
          <w:sz w:val="20"/>
        </w:rPr>
        <w:t>)</w:t>
      </w:r>
      <w:r>
        <w:rPr>
          <w:color w:val="010101"/>
          <w:spacing w:val="3"/>
          <w:sz w:val="20"/>
        </w:rPr>
        <w:t> </w:t>
      </w:r>
      <w:r>
        <w:rPr>
          <w:i/>
          <w:color w:val="010101"/>
          <w:w w:val="92"/>
          <w:sz w:val="13"/>
        </w:rPr>
        <w:t>z:+t</w:t>
      </w:r>
      <w:r>
        <w:rPr>
          <w:i/>
          <w:color w:val="010101"/>
          <w:sz w:val="13"/>
        </w:rPr>
        <w:t>   </w:t>
      </w:r>
      <w:r>
        <w:rPr>
          <w:i/>
          <w:color w:val="010101"/>
          <w:spacing w:val="-3"/>
          <w:sz w:val="13"/>
        </w:rPr>
        <w:t> </w:t>
      </w:r>
      <w:r>
        <w:rPr>
          <w:color w:val="010101"/>
          <w:w w:val="218"/>
          <w:sz w:val="13"/>
        </w:rPr>
        <w:t>;</w:t>
      </w:r>
      <w:r>
        <w:rPr>
          <w:color w:val="010101"/>
          <w:spacing w:val="-43"/>
          <w:w w:val="218"/>
          <w:sz w:val="13"/>
        </w:rPr>
        <w:t>-</w:t>
      </w:r>
      <w:r>
        <w:rPr>
          <w:color w:val="010101"/>
          <w:spacing w:val="-98"/>
          <w:w w:val="218"/>
          <w:sz w:val="13"/>
        </w:rPr>
        <w:t>:</w:t>
      </w:r>
      <w:r>
        <w:rPr>
          <w:color w:val="010101"/>
          <w:w w:val="135"/>
          <w:position w:val="-5"/>
          <w:sz w:val="14"/>
        </w:rPr>
        <w:t>1</w:t>
      </w:r>
      <w:r>
        <w:rPr>
          <w:color w:val="010101"/>
          <w:position w:val="-5"/>
          <w:sz w:val="14"/>
        </w:rPr>
        <w:tab/>
      </w:r>
      <w:r>
        <w:rPr>
          <w:color w:val="010101"/>
          <w:w w:val="121"/>
          <w:sz w:val="14"/>
        </w:rPr>
        <w:t>•-r•</w:t>
      </w:r>
      <w:r>
        <w:rPr>
          <w:color w:val="010101"/>
          <w:sz w:val="14"/>
        </w:rPr>
        <w:t>  </w:t>
      </w:r>
      <w:r>
        <w:rPr>
          <w:color w:val="010101"/>
          <w:spacing w:val="2"/>
          <w:sz w:val="14"/>
        </w:rPr>
        <w:t> </w:t>
      </w:r>
      <w:r>
        <w:rPr>
          <w:color w:val="010101"/>
          <w:w w:val="79"/>
          <w:sz w:val="14"/>
        </w:rPr>
        <w:t>••</w:t>
      </w:r>
      <w:r>
        <w:rPr>
          <w:color w:val="010101"/>
          <w:sz w:val="14"/>
        </w:rPr>
        <w:tab/>
      </w:r>
      <w:r>
        <w:rPr>
          <w:color w:val="010101"/>
          <w:w w:val="139"/>
          <w:sz w:val="14"/>
        </w:rPr>
        <w:t>(</w:t>
      </w:r>
      <w:r>
        <w:rPr>
          <w:color w:val="010101"/>
          <w:spacing w:val="-4"/>
          <w:sz w:val="14"/>
        </w:rPr>
        <w:t> </w:t>
      </w:r>
      <w:r>
        <w:rPr>
          <w:b/>
          <w:color w:val="010101"/>
          <w:w w:val="93"/>
          <w:sz w:val="20"/>
        </w:rPr>
        <w:t>1</w:t>
      </w:r>
      <w:r>
        <w:rPr>
          <w:b/>
          <w:color w:val="010101"/>
          <w:spacing w:val="22"/>
          <w:sz w:val="20"/>
        </w:rPr>
        <w:t> </w:t>
      </w:r>
      <w:r>
        <w:rPr>
          <w:color w:val="010101"/>
          <w:w w:val="103"/>
          <w:sz w:val="29"/>
        </w:rPr>
        <w:t>+</w:t>
      </w:r>
      <w:r>
        <w:rPr>
          <w:color w:val="010101"/>
          <w:spacing w:val="-17"/>
          <w:sz w:val="29"/>
        </w:rPr>
        <w:t> </w:t>
      </w:r>
      <w:r>
        <w:rPr>
          <w:color w:val="010101"/>
          <w:w w:val="123"/>
          <w:sz w:val="20"/>
        </w:rPr>
        <w:t>j</w:t>
      </w:r>
      <w:r>
        <w:rPr>
          <w:color w:val="010101"/>
          <w:w w:val="123"/>
          <w:sz w:val="20"/>
        </w:rPr>
        <w:t>)</w:t>
      </w:r>
      <w:r>
        <w:rPr>
          <w:color w:val="010101"/>
          <w:w w:val="123"/>
          <w:sz w:val="20"/>
        </w:rPr>
        <w:t>ttC</w:t>
      </w:r>
      <w:r>
        <w:rPr>
          <w:color w:val="010101"/>
          <w:sz w:val="20"/>
        </w:rPr>
        <w:tab/>
      </w:r>
      <w:r>
        <w:rPr>
          <w:color w:val="010101"/>
          <w:w w:val="148"/>
          <w:sz w:val="14"/>
        </w:rPr>
        <w:t>•+Hl</w:t>
      </w:r>
      <w:r>
        <w:rPr>
          <w:color w:val="010101"/>
          <w:sz w:val="14"/>
        </w:rPr>
        <w:t> </w:t>
      </w:r>
      <w:r>
        <w:rPr>
          <w:color w:val="010101"/>
          <w:spacing w:val="11"/>
          <w:sz w:val="14"/>
        </w:rPr>
        <w:t> </w:t>
      </w:r>
      <w:r>
        <w:rPr>
          <w:color w:val="010101"/>
          <w:w w:val="89"/>
          <w:sz w:val="26"/>
        </w:rPr>
        <w:t>=</w:t>
      </w:r>
      <w:r>
        <w:rPr>
          <w:color w:val="010101"/>
          <w:sz w:val="26"/>
        </w:rPr>
        <w:tab/>
      </w:r>
      <w:r>
        <w:rPr>
          <w:color w:val="010101"/>
          <w:w w:val="138"/>
          <w:sz w:val="14"/>
        </w:rPr>
        <w:t>z+Hl</w:t>
      </w:r>
      <w:r>
        <w:rPr>
          <w:color w:val="010101"/>
          <w:sz w:val="14"/>
        </w:rPr>
        <w:t> </w:t>
      </w:r>
      <w:r>
        <w:rPr>
          <w:color w:val="010101"/>
          <w:spacing w:val="-5"/>
          <w:sz w:val="14"/>
        </w:rPr>
        <w:t> </w:t>
      </w:r>
      <w:r>
        <w:rPr>
          <w:color w:val="010101"/>
          <w:w w:val="156"/>
          <w:sz w:val="14"/>
        </w:rPr>
        <w:t>,</w:t>
      </w:r>
    </w:p>
    <w:p>
      <w:pPr>
        <w:pStyle w:val="BodyText"/>
        <w:spacing w:before="104"/>
        <w:ind w:left="122"/>
        <w:rPr>
          <w:sz w:val="12"/>
        </w:rPr>
      </w:pPr>
      <w:r>
        <w:rPr>
          <w:color w:val="010101"/>
        </w:rPr>
        <w:t>where we define</w:t>
      </w:r>
      <w:r>
        <w:rPr>
          <w:color w:val="010101"/>
          <w:position w:val="10"/>
          <w:sz w:val="12"/>
        </w:rPr>
        <w:t>2</w:t>
      </w:r>
    </w:p>
    <w:p>
      <w:pPr>
        <w:spacing w:after="0"/>
        <w:rPr>
          <w:sz w:val="12"/>
        </w:rPr>
        <w:sectPr>
          <w:type w:val="continuous"/>
          <w:pgSz w:w="7200" w:h="11340"/>
          <w:pgMar w:top="1100" w:bottom="0" w:left="660" w:right="540"/>
        </w:sectPr>
      </w:pPr>
    </w:p>
    <w:p>
      <w:pPr>
        <w:tabs>
          <w:tab w:pos="2970" w:val="left" w:leader="none"/>
          <w:tab w:pos="3709" w:val="left" w:leader="none"/>
        </w:tabs>
        <w:spacing w:line="218" w:lineRule="exact" w:before="120"/>
        <w:ind w:left="1851" w:right="0" w:firstLine="0"/>
        <w:jc w:val="left"/>
        <w:rPr>
          <w:rFonts w:ascii="Arial" w:hAnsi="Arial"/>
          <w:sz w:val="21"/>
        </w:rPr>
      </w:pPr>
      <w:r>
        <w:rPr>
          <w:b/>
          <w:i/>
          <w:color w:val="010101"/>
          <w:w w:val="102"/>
          <w:sz w:val="18"/>
        </w:rPr>
        <w:t>s</w:t>
      </w:r>
      <w:r>
        <w:rPr>
          <w:b/>
          <w:i/>
          <w:color w:val="010101"/>
          <w:spacing w:val="10"/>
          <w:w w:val="102"/>
          <w:sz w:val="18"/>
        </w:rPr>
        <w:t>•</w:t>
      </w:r>
      <w:r>
        <w:rPr>
          <w:b/>
          <w:i/>
          <w:color w:val="010101"/>
          <w:w w:val="84"/>
          <w:sz w:val="22"/>
        </w:rPr>
        <w:t>;</w:t>
      </w:r>
      <w:r>
        <w:rPr>
          <w:b/>
          <w:i/>
          <w:color w:val="010101"/>
          <w:spacing w:val="-85"/>
          <w:w w:val="84"/>
          <w:sz w:val="22"/>
        </w:rPr>
        <w:t>M</w:t>
      </w:r>
      <w:r>
        <w:rPr>
          <w:b/>
          <w:i/>
          <w:color w:val="010101"/>
          <w:w w:val="90"/>
          <w:sz w:val="22"/>
        </w:rPr>
        <w:t>-</w:t>
      </w:r>
      <w:r>
        <w:rPr>
          <w:b/>
          <w:i/>
          <w:color w:val="010101"/>
          <w:sz w:val="22"/>
        </w:rPr>
        <w:t> </w:t>
      </w:r>
      <w:r>
        <w:rPr>
          <w:color w:val="010101"/>
          <w:w w:val="157"/>
          <w:sz w:val="22"/>
        </w:rPr>
        <w:t>•</w:t>
      </w:r>
      <w:r>
        <w:rPr>
          <w:color w:val="010101"/>
          <w:spacing w:val="9"/>
          <w:sz w:val="22"/>
        </w:rPr>
        <w:t> </w:t>
      </w:r>
      <w:r>
        <w:rPr>
          <w:color w:val="010101"/>
          <w:w w:val="94"/>
          <w:sz w:val="26"/>
        </w:rPr>
        <w:t>=</w:t>
      </w:r>
      <w:r>
        <w:rPr>
          <w:color w:val="010101"/>
          <w:sz w:val="26"/>
        </w:rPr>
        <w:tab/>
      </w:r>
      <w:r>
        <w:rPr>
          <w:color w:val="010101"/>
          <w:spacing w:val="-25"/>
          <w:w w:val="131"/>
          <w:sz w:val="20"/>
          <w:u w:val="single" w:color="000000"/>
        </w:rPr>
        <w:t>S</w:t>
      </w:r>
      <w:r>
        <w:rPr>
          <w:color w:val="010101"/>
          <w:w w:val="124"/>
          <w:sz w:val="20"/>
          <w:u w:val="single" w:color="000000"/>
        </w:rPr>
        <w:t>s</w:t>
      </w:r>
      <w:r>
        <w:rPr>
          <w:color w:val="010101"/>
          <w:spacing w:val="-16"/>
          <w:w w:val="124"/>
          <w:sz w:val="20"/>
          <w:u w:val="single" w:color="000000"/>
        </w:rPr>
        <w:t>-</w:t>
      </w:r>
      <w:r>
        <w:rPr>
          <w:color w:val="010101"/>
          <w:w w:val="94"/>
          <w:sz w:val="20"/>
          <w:u w:val="single" w:color="000000"/>
        </w:rPr>
        <w:t>1</w:t>
      </w:r>
      <w:r>
        <w:rPr>
          <w:color w:val="010101"/>
          <w:sz w:val="20"/>
        </w:rPr>
        <w:tab/>
      </w:r>
      <w:r>
        <w:rPr>
          <w:rFonts w:ascii="Arial" w:hAnsi="Arial"/>
          <w:i/>
          <w:color w:val="010101"/>
          <w:w w:val="102"/>
          <w:sz w:val="21"/>
        </w:rPr>
        <w:t>;</w:t>
      </w:r>
      <w:r>
        <w:rPr>
          <w:rFonts w:ascii="Arial" w:hAnsi="Arial"/>
          <w:i/>
          <w:color w:val="010101"/>
          <w:spacing w:val="-97"/>
          <w:w w:val="102"/>
          <w:sz w:val="21"/>
        </w:rPr>
        <w:t>M</w:t>
      </w:r>
      <w:r>
        <w:rPr>
          <w:rFonts w:ascii="Arial" w:hAnsi="Arial"/>
          <w:i/>
          <w:color w:val="010101"/>
          <w:w w:val="104"/>
          <w:sz w:val="21"/>
        </w:rPr>
        <w:t>-</w:t>
      </w:r>
      <w:r>
        <w:rPr>
          <w:rFonts w:ascii="Arial" w:hAnsi="Arial"/>
          <w:i/>
          <w:color w:val="010101"/>
          <w:spacing w:val="-14"/>
          <w:sz w:val="21"/>
        </w:rPr>
        <w:t> </w:t>
      </w:r>
      <w:r>
        <w:rPr>
          <w:rFonts w:ascii="Arial" w:hAnsi="Arial"/>
          <w:color w:val="010101"/>
          <w:w w:val="169"/>
          <w:sz w:val="21"/>
        </w:rPr>
        <w:t>•</w:t>
      </w:r>
    </w:p>
    <w:p>
      <w:pPr>
        <w:tabs>
          <w:tab w:pos="3964" w:val="left" w:leader="none"/>
        </w:tabs>
        <w:spacing w:line="253" w:lineRule="exact" w:before="0"/>
        <w:ind w:left="2697" w:right="0" w:firstLine="0"/>
        <w:jc w:val="left"/>
        <w:rPr>
          <w:rFonts w:ascii="Arial" w:hAnsi="Arial"/>
          <w:sz w:val="20"/>
        </w:rPr>
      </w:pPr>
      <w:r>
        <w:rPr>
          <w:rFonts w:ascii="Arial" w:hAnsi="Arial"/>
          <w:color w:val="010101"/>
          <w:w w:val="125"/>
          <w:sz w:val="19"/>
        </w:rPr>
        <w:t>(1</w:t>
      </w:r>
      <w:r>
        <w:rPr>
          <w:rFonts w:ascii="Arial" w:hAnsi="Arial"/>
          <w:color w:val="010101"/>
          <w:spacing w:val="-15"/>
          <w:w w:val="125"/>
          <w:sz w:val="19"/>
        </w:rPr>
        <w:t> </w:t>
      </w:r>
      <w:r>
        <w:rPr>
          <w:color w:val="010101"/>
          <w:w w:val="125"/>
          <w:sz w:val="29"/>
        </w:rPr>
        <w:t>+</w:t>
      </w:r>
      <w:r>
        <w:rPr>
          <w:color w:val="010101"/>
          <w:spacing w:val="-36"/>
          <w:w w:val="125"/>
          <w:sz w:val="29"/>
        </w:rPr>
        <w:t> </w:t>
      </w:r>
      <w:r>
        <w:rPr>
          <w:rFonts w:ascii="Arial" w:hAnsi="Arial"/>
          <w:color w:val="010101"/>
          <w:spacing w:val="-10"/>
          <w:w w:val="175"/>
          <w:sz w:val="20"/>
        </w:rPr>
        <w:t>j)-··</w:t>
        <w:tab/>
      </w:r>
      <w:r>
        <w:rPr>
          <w:rFonts w:ascii="Arial" w:hAnsi="Arial"/>
          <w:color w:val="010101"/>
          <w:w w:val="125"/>
          <w:sz w:val="20"/>
        </w:rPr>
        <w:t>•</w:t>
      </w:r>
      <w:r>
        <w:rPr>
          <w:rFonts w:ascii="Arial" w:hAnsi="Arial"/>
          <w:color w:val="010101"/>
          <w:spacing w:val="1"/>
          <w:w w:val="125"/>
          <w:sz w:val="20"/>
        </w:rPr>
        <w:t> </w:t>
      </w:r>
      <w:r>
        <w:rPr>
          <w:rFonts w:ascii="Arial" w:hAnsi="Arial"/>
          <w:color w:val="010101"/>
          <w:w w:val="125"/>
          <w:sz w:val="20"/>
        </w:rPr>
        <w:t>.</w:t>
      </w:r>
    </w:p>
    <w:p>
      <w:pPr>
        <w:pStyle w:val="BodyText"/>
        <w:spacing w:line="160" w:lineRule="exact" w:before="135"/>
        <w:ind w:left="125"/>
      </w:pPr>
      <w:r>
        <w:rPr>
          <w:color w:val="010101"/>
          <w:w w:val="105"/>
        </w:rPr>
        <w:t>With  these substitutions,  (16.30) becomes</w:t>
      </w:r>
    </w:p>
    <w:p>
      <w:pPr>
        <w:pStyle w:val="BodyText"/>
        <w:spacing w:before="11"/>
      </w:pPr>
      <w:r>
        <w:rPr/>
        <w:br w:type="column"/>
      </w:r>
      <w:r>
        <w:rPr/>
      </w:r>
    </w:p>
    <w:p>
      <w:pPr>
        <w:pStyle w:val="BodyText"/>
        <w:ind w:left="125"/>
      </w:pPr>
      <w:r>
        <w:rPr>
          <w:color w:val="010101"/>
          <w:w w:val="110"/>
        </w:rPr>
        <w:t>(16.31)</w:t>
      </w:r>
    </w:p>
    <w:p>
      <w:pPr>
        <w:spacing w:after="0"/>
        <w:sectPr>
          <w:type w:val="continuous"/>
          <w:pgSz w:w="7200" w:h="11340"/>
          <w:pgMar w:top="1100" w:bottom="0" w:left="660" w:right="540"/>
          <w:cols w:num="2" w:equalWidth="0">
            <w:col w:w="4194" w:space="922"/>
            <w:col w:w="884"/>
          </w:cols>
        </w:sectPr>
      </w:pPr>
    </w:p>
    <w:p>
      <w:pPr>
        <w:tabs>
          <w:tab w:pos="5090" w:val="left" w:leader="none"/>
        </w:tabs>
        <w:spacing w:line="478" w:lineRule="exact" w:before="0"/>
        <w:ind w:left="1478" w:right="0" w:firstLine="0"/>
        <w:jc w:val="center"/>
        <w:rPr>
          <w:sz w:val="20"/>
        </w:rPr>
      </w:pPr>
      <w:r>
        <w:rPr>
          <w:rFonts w:ascii="Arial"/>
          <w:i/>
          <w:color w:val="010101"/>
          <w:spacing w:val="-26"/>
          <w:w w:val="130"/>
          <w:sz w:val="20"/>
        </w:rPr>
        <w:t>.</w:t>
      </w:r>
      <w:r>
        <w:rPr>
          <w:rFonts w:ascii="Arial"/>
          <w:i/>
          <w:color w:val="010101"/>
          <w:w w:val="92"/>
          <w:sz w:val="20"/>
        </w:rPr>
        <w:t>OIC</w:t>
      </w:r>
      <w:r>
        <w:rPr>
          <w:rFonts w:ascii="Arial"/>
          <w:i/>
          <w:color w:val="010101"/>
          <w:w w:val="92"/>
          <w:sz w:val="20"/>
        </w:rPr>
        <w:t>(</w:t>
      </w:r>
      <w:r>
        <w:rPr>
          <w:rFonts w:ascii="Arial"/>
          <w:i/>
          <w:color w:val="010101"/>
          <w:spacing w:val="-18"/>
          <w:sz w:val="20"/>
        </w:rPr>
        <w:t> </w:t>
      </w:r>
      <w:r>
        <w:rPr>
          <w:rFonts w:ascii="Arial"/>
          <w:i/>
          <w:color w:val="010101"/>
          <w:w w:val="96"/>
          <w:sz w:val="20"/>
        </w:rPr>
        <w:t>AS</w:t>
      </w:r>
      <w:r>
        <w:rPr>
          <w:rFonts w:ascii="Arial"/>
          <w:i/>
          <w:color w:val="010101"/>
          <w:spacing w:val="-17"/>
          <w:sz w:val="20"/>
        </w:rPr>
        <w:t> </w:t>
      </w:r>
      <w:r>
        <w:rPr>
          <w:rFonts w:ascii="Arial"/>
          <w:i/>
          <w:color w:val="010101"/>
          <w:w w:val="121"/>
          <w:sz w:val="20"/>
        </w:rPr>
        <w:t>)</w:t>
      </w:r>
      <w:r>
        <w:rPr>
          <w:rFonts w:ascii="Arial"/>
          <w:i/>
          <w:color w:val="010101"/>
          <w:w w:val="121"/>
          <w:sz w:val="20"/>
        </w:rPr>
        <w:t>.</w:t>
      </w:r>
      <w:r>
        <w:rPr>
          <w:rFonts w:ascii="Arial"/>
          <w:i/>
          <w:color w:val="010101"/>
          <w:spacing w:val="-4"/>
          <w:sz w:val="20"/>
        </w:rPr>
        <w:t> </w:t>
      </w:r>
      <w:r>
        <w:rPr>
          <w:rFonts w:ascii="Arial"/>
          <w:i/>
          <w:color w:val="010101"/>
          <w:spacing w:val="-55"/>
          <w:w w:val="169"/>
          <w:sz w:val="33"/>
          <w:u w:val="single" w:color="000000"/>
        </w:rPr>
        <w:t>,</w:t>
      </w:r>
      <w:r>
        <w:rPr>
          <w:rFonts w:ascii="Arial"/>
          <w:i/>
          <w:color w:val="010101"/>
          <w:w w:val="60"/>
          <w:sz w:val="33"/>
          <w:u w:val="single" w:color="000000"/>
        </w:rPr>
        <w:t>s</w:t>
      </w:r>
      <w:r>
        <w:rPr>
          <w:rFonts w:ascii="Arial"/>
          <w:i/>
          <w:color w:val="010101"/>
          <w:spacing w:val="-9"/>
          <w:w w:val="60"/>
          <w:sz w:val="33"/>
          <w:u w:val="single" w:color="000000"/>
        </w:rPr>
        <w:t>e</w:t>
      </w:r>
      <w:r>
        <w:rPr>
          <w:rFonts w:ascii="Arial"/>
          <w:i/>
          <w:color w:val="010101"/>
          <w:spacing w:val="-59"/>
          <w:w w:val="138"/>
          <w:sz w:val="33"/>
          <w:u w:val="single" w:color="000000"/>
        </w:rPr>
        <w:t>:</w:t>
      </w:r>
      <w:r>
        <w:rPr>
          <w:rFonts w:ascii="Arial"/>
          <w:i/>
          <w:color w:val="010101"/>
          <w:spacing w:val="5"/>
          <w:w w:val="54"/>
          <w:sz w:val="33"/>
          <w:u w:val="single" w:color="000000"/>
        </w:rPr>
        <w:t>+</w:t>
      </w:r>
      <w:r>
        <w:rPr>
          <w:rFonts w:ascii="Arial"/>
          <w:i/>
          <w:color w:val="010101"/>
          <w:w w:val="69"/>
          <w:sz w:val="33"/>
          <w:u w:val="single" w:color="000000"/>
        </w:rPr>
        <w:t>,</w:t>
      </w:r>
      <w:r>
        <w:rPr>
          <w:rFonts w:ascii="Arial"/>
          <w:i/>
          <w:color w:val="010101"/>
          <w:spacing w:val="-49"/>
          <w:sz w:val="33"/>
          <w:u w:val="single" w:color="000000"/>
        </w:rPr>
        <w:t> </w:t>
      </w:r>
      <w:r>
        <w:rPr>
          <w:color w:val="010101"/>
          <w:w w:val="112"/>
          <w:sz w:val="52"/>
          <w:u w:val="single" w:color="000000"/>
        </w:rPr>
        <w:t>t</w:t>
      </w:r>
      <w:r>
        <w:rPr>
          <w:color w:val="010101"/>
          <w:spacing w:val="-35"/>
          <w:sz w:val="52"/>
          <w:u w:val="single" w:color="000000"/>
        </w:rPr>
        <w:t> </w:t>
      </w:r>
      <w:r>
        <w:rPr>
          <w:i/>
          <w:color w:val="010101"/>
          <w:spacing w:val="-34"/>
          <w:w w:val="65"/>
          <w:sz w:val="27"/>
          <w:u w:val="single" w:color="000000"/>
        </w:rPr>
        <w:t>s</w:t>
      </w:r>
      <w:r>
        <w:rPr>
          <w:i/>
          <w:color w:val="010101"/>
          <w:w w:val="94"/>
          <w:sz w:val="27"/>
          <w:u w:val="single" w:color="000000"/>
        </w:rPr>
        <w:t>;;M</w:t>
      </w:r>
      <w:r>
        <w:rPr>
          <w:i/>
          <w:color w:val="010101"/>
          <w:spacing w:val="-40"/>
          <w:w w:val="94"/>
          <w:sz w:val="27"/>
          <w:u w:val="single" w:color="000000"/>
        </w:rPr>
        <w:t>:</w:t>
      </w:r>
      <w:r>
        <w:rPr>
          <w:i/>
          <w:color w:val="010101"/>
          <w:w w:val="62"/>
          <w:sz w:val="27"/>
          <w:u w:val="single" w:color="000000"/>
        </w:rPr>
        <w:t>+t+</w:t>
      </w:r>
      <w:r>
        <w:rPr>
          <w:i/>
          <w:color w:val="010101"/>
          <w:w w:val="62"/>
          <w:sz w:val="27"/>
        </w:rPr>
        <w:t>i</w:t>
      </w:r>
      <w:r>
        <w:rPr>
          <w:i/>
          <w:color w:val="010101"/>
          <w:spacing w:val="-15"/>
          <w:sz w:val="27"/>
        </w:rPr>
        <w:t> </w:t>
      </w:r>
      <w:r>
        <w:rPr>
          <w:i/>
          <w:color w:val="010101"/>
          <w:w w:val="119"/>
          <w:sz w:val="27"/>
        </w:rPr>
        <w:t>.</w:t>
      </w:r>
      <w:r>
        <w:rPr>
          <w:i/>
          <w:color w:val="010101"/>
          <w:sz w:val="27"/>
        </w:rPr>
        <w:tab/>
      </w:r>
      <w:r>
        <w:rPr>
          <w:color w:val="010101"/>
          <w:w w:val="103"/>
          <w:sz w:val="20"/>
        </w:rPr>
        <w:t>(16</w:t>
      </w:r>
      <w:r>
        <w:rPr>
          <w:color w:val="010101"/>
          <w:spacing w:val="-7"/>
          <w:w w:val="103"/>
          <w:sz w:val="20"/>
        </w:rPr>
        <w:t>.</w:t>
      </w:r>
      <w:r>
        <w:rPr>
          <w:color w:val="010101"/>
          <w:w w:val="107"/>
          <w:sz w:val="20"/>
        </w:rPr>
        <w:t>32)</w:t>
      </w:r>
    </w:p>
    <w:p>
      <w:pPr>
        <w:spacing w:line="242" w:lineRule="exact" w:before="0"/>
        <w:ind w:left="1166" w:right="87" w:firstLine="0"/>
        <w:jc w:val="center"/>
        <w:rPr>
          <w:rFonts w:ascii="Courier New"/>
          <w:i/>
          <w:sz w:val="26"/>
        </w:rPr>
      </w:pPr>
      <w:r>
        <w:rPr>
          <w:rFonts w:ascii="Courier New"/>
          <w:i/>
          <w:color w:val="010101"/>
          <w:w w:val="135"/>
          <w:sz w:val="26"/>
        </w:rPr>
        <w:t>D.</w:t>
      </w:r>
    </w:p>
    <w:p>
      <w:pPr>
        <w:pStyle w:val="BodyText"/>
        <w:spacing w:line="189" w:lineRule="auto" w:before="83"/>
        <w:ind w:left="122" w:right="132" w:firstLine="3"/>
        <w:rPr>
          <w:sz w:val="22"/>
        </w:rPr>
      </w:pPr>
      <w:r>
        <w:rPr>
          <w:color w:val="010101"/>
        </w:rPr>
        <w:t>Finally, we obtain the pre.sent value of the  entire  benefit  attrib­  utable  to  future  contributions  by  summing   (16.32)  from  </w:t>
      </w:r>
      <w:r>
        <w:rPr>
          <w:rFonts w:ascii="Arial" w:hAnsi="Arial"/>
          <w:i/>
          <w:color w:val="010101"/>
          <w:sz w:val="18"/>
        </w:rPr>
        <w:t>t  </w:t>
      </w:r>
      <w:r>
        <w:rPr>
          <w:color w:val="010101"/>
          <w:sz w:val="26"/>
        </w:rPr>
        <w:t>=  </w:t>
      </w:r>
      <w:r>
        <w:rPr>
          <w:color w:val="010101"/>
        </w:rPr>
        <w:t>O</w:t>
      </w:r>
      <w:r>
        <w:rPr>
          <w:color w:val="010101"/>
          <w:spacing w:val="-2"/>
        </w:rPr>
        <w:t> </w:t>
      </w:r>
      <w:r>
        <w:rPr>
          <w:color w:val="010101"/>
          <w:sz w:val="22"/>
        </w:rPr>
        <w:t>to</w:t>
      </w:r>
    </w:p>
    <w:p>
      <w:pPr>
        <w:pStyle w:val="BodyText"/>
        <w:spacing w:before="10"/>
        <w:ind w:left="122"/>
      </w:pPr>
      <w:r>
        <w:rPr>
          <w:color w:val="010101"/>
          <w:w w:val="105"/>
        </w:rPr>
        <w:t>the end of the table, obtaining</w:t>
      </w:r>
    </w:p>
    <w:p>
      <w:pPr>
        <w:tabs>
          <w:tab w:pos="5083" w:val="left" w:leader="none"/>
        </w:tabs>
        <w:spacing w:line="325" w:lineRule="exact" w:before="70"/>
        <w:ind w:left="1636" w:right="0" w:firstLine="0"/>
        <w:jc w:val="center"/>
        <w:rPr>
          <w:sz w:val="20"/>
        </w:rPr>
      </w:pPr>
      <w:r>
        <w:rPr>
          <w:rFonts w:ascii="Arial" w:hAnsi="Arial"/>
          <w:i/>
          <w:color w:val="010101"/>
          <w:spacing w:val="-30"/>
          <w:w w:val="130"/>
          <w:sz w:val="20"/>
        </w:rPr>
        <w:t>.</w:t>
      </w:r>
      <w:r>
        <w:rPr>
          <w:rFonts w:ascii="Arial" w:hAnsi="Arial"/>
          <w:i/>
          <w:color w:val="010101"/>
          <w:w w:val="95"/>
          <w:sz w:val="20"/>
        </w:rPr>
        <w:t>OlC</w:t>
      </w:r>
      <w:r>
        <w:rPr>
          <w:rFonts w:ascii="Arial" w:hAnsi="Arial"/>
          <w:i/>
          <w:color w:val="010101"/>
          <w:w w:val="95"/>
          <w:sz w:val="20"/>
        </w:rPr>
        <w:t>(</w:t>
      </w:r>
      <w:r>
        <w:rPr>
          <w:rFonts w:ascii="Arial" w:hAnsi="Arial"/>
          <w:i/>
          <w:color w:val="010101"/>
          <w:spacing w:val="-24"/>
          <w:sz w:val="20"/>
        </w:rPr>
        <w:t> </w:t>
      </w:r>
      <w:r>
        <w:rPr>
          <w:rFonts w:ascii="Arial" w:hAnsi="Arial"/>
          <w:i/>
          <w:color w:val="010101"/>
          <w:w w:val="100"/>
          <w:sz w:val="20"/>
        </w:rPr>
        <w:t>AS</w:t>
      </w:r>
      <w:r>
        <w:rPr>
          <w:rFonts w:ascii="Arial" w:hAnsi="Arial"/>
          <w:i/>
          <w:color w:val="010101"/>
          <w:spacing w:val="-24"/>
          <w:sz w:val="20"/>
        </w:rPr>
        <w:t> </w:t>
      </w:r>
      <w:r>
        <w:rPr>
          <w:rFonts w:ascii="Arial" w:hAnsi="Arial"/>
          <w:i/>
          <w:color w:val="010101"/>
          <w:w w:val="121"/>
          <w:sz w:val="20"/>
        </w:rPr>
        <w:t>)</w:t>
      </w:r>
      <w:r>
        <w:rPr>
          <w:rFonts w:ascii="Arial" w:hAnsi="Arial"/>
          <w:i/>
          <w:color w:val="010101"/>
          <w:w w:val="121"/>
          <w:sz w:val="20"/>
        </w:rPr>
        <w:t>.</w:t>
      </w:r>
      <w:r>
        <w:rPr>
          <w:rFonts w:ascii="Arial" w:hAnsi="Arial"/>
          <w:i/>
          <w:color w:val="010101"/>
          <w:sz w:val="20"/>
        </w:rPr>
        <w:t> </w:t>
      </w:r>
      <w:r>
        <w:rPr>
          <w:rFonts w:ascii="Arial" w:hAnsi="Arial"/>
          <w:i/>
          <w:color w:val="010101"/>
          <w:w w:val="108"/>
          <w:sz w:val="25"/>
        </w:rPr>
        <w:t>lªM:</w:t>
      </w:r>
      <w:r>
        <w:rPr>
          <w:rFonts w:ascii="Arial" w:hAnsi="Arial"/>
          <w:i/>
          <w:color w:val="010101"/>
          <w:spacing w:val="-21"/>
          <w:sz w:val="25"/>
        </w:rPr>
        <w:t> </w:t>
      </w:r>
      <w:r>
        <w:rPr>
          <w:i/>
          <w:color w:val="010101"/>
          <w:spacing w:val="-29"/>
          <w:w w:val="36"/>
          <w:sz w:val="30"/>
        </w:rPr>
        <w:t>B</w:t>
      </w:r>
      <w:r>
        <w:rPr>
          <w:i/>
          <w:color w:val="010101"/>
          <w:spacing w:val="6"/>
          <w:w w:val="97"/>
          <w:sz w:val="30"/>
        </w:rPr>
        <w:t>+</w:t>
      </w:r>
      <w:r>
        <w:rPr>
          <w:i/>
          <w:color w:val="010101"/>
          <w:spacing w:val="-65"/>
          <w:w w:val="173"/>
          <w:sz w:val="31"/>
        </w:rPr>
        <w:t>:</w:t>
      </w:r>
      <w:r>
        <w:rPr>
          <w:i/>
          <w:color w:val="010101"/>
          <w:spacing w:val="-18"/>
          <w:w w:val="139"/>
          <w:sz w:val="31"/>
        </w:rPr>
        <w:t>'</w:t>
      </w:r>
      <w:r>
        <w:rPr>
          <w:i/>
          <w:color w:val="010101"/>
          <w:w w:val="57"/>
          <w:sz w:val="31"/>
          <w:u w:val="single" w:color="000000"/>
        </w:rPr>
        <w:t>j</w:t>
      </w:r>
      <w:r>
        <w:rPr>
          <w:i/>
          <w:color w:val="010101"/>
          <w:w w:val="57"/>
          <w:sz w:val="31"/>
          <w:u w:val="single" w:color="000000"/>
        </w:rPr>
        <w:t>R</w:t>
      </w:r>
      <w:r>
        <w:rPr>
          <w:i/>
          <w:color w:val="010101"/>
          <w:w w:val="56"/>
          <w:sz w:val="31"/>
          <w:u w:val="single" w:color="000000"/>
        </w:rPr>
        <w:t>:+</w:t>
      </w:r>
      <w:r>
        <w:rPr>
          <w:i/>
          <w:color w:val="010101"/>
          <w:w w:val="56"/>
          <w:sz w:val="31"/>
        </w:rPr>
        <w:t>i</w:t>
      </w:r>
      <w:r>
        <w:rPr>
          <w:i/>
          <w:color w:val="010101"/>
          <w:spacing w:val="-21"/>
          <w:sz w:val="31"/>
        </w:rPr>
        <w:t> </w:t>
      </w:r>
      <w:r>
        <w:rPr>
          <w:i/>
          <w:color w:val="010101"/>
          <w:w w:val="92"/>
          <w:sz w:val="31"/>
        </w:rPr>
        <w:t>.</w:t>
      </w:r>
      <w:r>
        <w:rPr>
          <w:i/>
          <w:color w:val="010101"/>
          <w:sz w:val="31"/>
        </w:rPr>
        <w:tab/>
      </w:r>
      <w:r>
        <w:rPr>
          <w:color w:val="010101"/>
          <w:w w:val="115"/>
          <w:sz w:val="20"/>
        </w:rPr>
        <w:t>(</w:t>
      </w:r>
      <w:r>
        <w:rPr>
          <w:color w:val="010101"/>
          <w:spacing w:val="-14"/>
          <w:w w:val="115"/>
          <w:sz w:val="20"/>
        </w:rPr>
        <w:t>1</w:t>
      </w:r>
      <w:r>
        <w:rPr>
          <w:color w:val="010101"/>
          <w:w w:val="103"/>
          <w:sz w:val="20"/>
        </w:rPr>
        <w:t>6.33)</w:t>
      </w:r>
    </w:p>
    <w:p>
      <w:pPr>
        <w:spacing w:line="252" w:lineRule="exact" w:before="0"/>
        <w:ind w:left="1219" w:right="87" w:firstLine="0"/>
        <w:jc w:val="center"/>
        <w:rPr>
          <w:rFonts w:ascii="Courier New"/>
          <w:b/>
          <w:i/>
          <w:sz w:val="25"/>
        </w:rPr>
      </w:pPr>
      <w:r>
        <w:rPr>
          <w:rFonts w:ascii="Courier New"/>
          <w:b/>
          <w:i/>
          <w:color w:val="010101"/>
          <w:w w:val="135"/>
          <w:sz w:val="25"/>
        </w:rPr>
        <w:t>D.</w:t>
      </w:r>
    </w:p>
    <w:p>
      <w:pPr>
        <w:pStyle w:val="BodyText"/>
        <w:spacing w:line="249" w:lineRule="auto" w:before="47"/>
        <w:ind w:left="114" w:right="125" w:firstLine="200"/>
        <w:jc w:val="both"/>
      </w:pPr>
      <w:r>
        <w:rPr/>
        <w:drawing>
          <wp:anchor distT="0" distB="0" distL="0" distR="0" allowOverlap="1" layoutInCell="1" locked="0" behindDoc="0" simplePos="0" relativeHeight="25720">
            <wp:simplePos x="0" y="0"/>
            <wp:positionH relativeFrom="page">
              <wp:posOffset>493776</wp:posOffset>
            </wp:positionH>
            <wp:positionV relativeFrom="paragraph">
              <wp:posOffset>1152981</wp:posOffset>
            </wp:positionV>
            <wp:extent cx="3127248" cy="1014984"/>
            <wp:effectExtent l="0" t="0" r="0" b="0"/>
            <wp:wrapTopAndBottom/>
            <wp:docPr id="789" name="image403.png" descr=""/>
            <wp:cNvGraphicFramePr>
              <a:graphicFrameLocks noChangeAspect="1"/>
            </wp:cNvGraphicFramePr>
            <a:graphic>
              <a:graphicData uri="http://schemas.openxmlformats.org/drawingml/2006/picture">
                <pic:pic>
                  <pic:nvPicPr>
                    <pic:cNvPr id="790" name="image403.png"/>
                    <pic:cNvPicPr/>
                  </pic:nvPicPr>
                  <pic:blipFill>
                    <a:blip r:embed="rId407" cstate="print"/>
                    <a:stretch>
                      <a:fillRect/>
                    </a:stretch>
                  </pic:blipFill>
                  <pic:spPr>
                    <a:xfrm>
                      <a:off x="0" y="0"/>
                      <a:ext cx="3127248" cy="1014984"/>
                    </a:xfrm>
                    <a:prstGeom prst="rect">
                      <a:avLst/>
                    </a:prstGeom>
                  </pic:spPr>
                </pic:pic>
              </a:graphicData>
            </a:graphic>
          </wp:anchor>
        </w:drawing>
      </w:r>
      <w:r>
        <w:rPr>
          <w:color w:val="010101"/>
          <w:w w:val="110"/>
        </w:rPr>
        <w:t>Turning now to the present value of the benefit attributable to past contributions, we require the accumulation of such contribu­ tions with interest to age </w:t>
      </w:r>
      <w:r>
        <w:rPr>
          <w:rFonts w:ascii="Arial" w:hAnsi="Arial"/>
          <w:i/>
          <w:color w:val="010101"/>
          <w:w w:val="110"/>
          <w:sz w:val="19"/>
        </w:rPr>
        <w:t>x </w:t>
      </w:r>
      <w:r>
        <w:rPr>
          <w:color w:val="010101"/>
          <w:w w:val="110"/>
        </w:rPr>
        <w:t>at rate </w:t>
      </w:r>
      <w:r>
        <w:rPr>
          <w:rFonts w:ascii="Arial" w:hAnsi="Arial"/>
          <w:i/>
          <w:color w:val="010101"/>
          <w:w w:val="110"/>
        </w:rPr>
        <w:t>j. </w:t>
      </w:r>
      <w:r>
        <w:rPr>
          <w:color w:val="010101"/>
          <w:w w:val="110"/>
        </w:rPr>
        <w:t>We denote this accumulation </w:t>
      </w:r>
      <w:r>
        <w:rPr>
          <w:color w:val="010101"/>
          <w:w w:val="104"/>
        </w:rPr>
        <w:t>by </w:t>
      </w:r>
      <w:r>
        <w:rPr>
          <w:rFonts w:ascii="Arial" w:hAnsi="Arial"/>
          <w:i/>
          <w:color w:val="010101"/>
          <w:spacing w:val="-8"/>
          <w:w w:val="154"/>
        </w:rPr>
        <w:t>\TPC)</w:t>
      </w:r>
      <w:r>
        <w:rPr>
          <w:rFonts w:ascii="Arial" w:hAnsi="Arial"/>
          <w:i/>
          <w:color w:val="010101"/>
          <w:w w:val="154"/>
        </w:rPr>
        <w:t> </w:t>
      </w:r>
      <w:r>
        <w:rPr>
          <w:rFonts w:ascii="Arial" w:hAnsi="Arial"/>
          <w:i/>
          <w:color w:val="010101"/>
          <w:w w:val="127"/>
        </w:rPr>
        <w:t>• </w:t>
      </w:r>
      <w:r>
        <w:rPr>
          <w:rFonts w:ascii="Arial" w:hAnsi="Arial"/>
          <w:i/>
          <w:color w:val="010101"/>
          <w:w w:val="101"/>
        </w:rPr>
        <w:t>. </w:t>
      </w:r>
      <w:r>
        <w:rPr>
          <w:color w:val="010101"/>
          <w:w w:val="102"/>
        </w:rPr>
        <w:t>Such </w:t>
      </w:r>
      <w:r>
        <w:rPr>
          <w:color w:val="010101"/>
          <w:w w:val="112"/>
        </w:rPr>
        <w:t>an </w:t>
      </w:r>
      <w:r>
        <w:rPr>
          <w:color w:val="010101"/>
          <w:w w:val="105"/>
        </w:rPr>
        <w:t>accumulation </w:t>
      </w:r>
      <w:r>
        <w:rPr>
          <w:color w:val="010101"/>
          <w:w w:val="104"/>
        </w:rPr>
        <w:t>is </w:t>
      </w:r>
      <w:r>
        <w:rPr>
          <w:color w:val="010101"/>
          <w:w w:val="103"/>
        </w:rPr>
        <w:t>normally </w:t>
      </w:r>
      <w:r>
        <w:rPr>
          <w:color w:val="010101"/>
          <w:w w:val="107"/>
        </w:rPr>
        <w:t>maintained </w:t>
      </w:r>
      <w:r>
        <w:rPr>
          <w:color w:val="010101"/>
          <w:w w:val="112"/>
        </w:rPr>
        <w:t>as </w:t>
      </w:r>
      <w:r>
        <w:rPr>
          <w:color w:val="010101"/>
          <w:w w:val="116"/>
        </w:rPr>
        <w:t>a </w:t>
      </w:r>
      <w:r>
        <w:rPr>
          <w:color w:val="010101"/>
          <w:w w:val="110"/>
        </w:rPr>
        <w:t>nmning</w:t>
      </w:r>
      <w:r>
        <w:rPr>
          <w:color w:val="010101"/>
          <w:spacing w:val="-13"/>
          <w:w w:val="110"/>
        </w:rPr>
        <w:t> </w:t>
      </w:r>
      <w:r>
        <w:rPr>
          <w:color w:val="010101"/>
          <w:w w:val="110"/>
        </w:rPr>
        <w:t>total</w:t>
      </w:r>
      <w:r>
        <w:rPr>
          <w:color w:val="010101"/>
          <w:spacing w:val="-13"/>
          <w:w w:val="110"/>
        </w:rPr>
        <w:t> </w:t>
      </w:r>
      <w:r>
        <w:rPr>
          <w:color w:val="010101"/>
          <w:w w:val="110"/>
        </w:rPr>
        <w:t>in</w:t>
      </w:r>
      <w:r>
        <w:rPr>
          <w:color w:val="010101"/>
          <w:spacing w:val="-17"/>
          <w:w w:val="110"/>
        </w:rPr>
        <w:t> </w:t>
      </w:r>
      <w:r>
        <w:rPr>
          <w:color w:val="010101"/>
          <w:w w:val="110"/>
        </w:rPr>
        <w:t>the</w:t>
      </w:r>
      <w:r>
        <w:rPr>
          <w:color w:val="010101"/>
          <w:spacing w:val="-19"/>
          <w:w w:val="110"/>
        </w:rPr>
        <w:t> </w:t>
      </w:r>
      <w:r>
        <w:rPr>
          <w:color w:val="010101"/>
          <w:w w:val="110"/>
        </w:rPr>
        <w:t>administrative</w:t>
      </w:r>
      <w:r>
        <w:rPr>
          <w:color w:val="010101"/>
          <w:spacing w:val="-11"/>
          <w:w w:val="110"/>
        </w:rPr>
        <w:t> </w:t>
      </w:r>
      <w:r>
        <w:rPr>
          <w:color w:val="010101"/>
          <w:w w:val="110"/>
        </w:rPr>
        <w:t>records</w:t>
      </w:r>
      <w:r>
        <w:rPr>
          <w:color w:val="010101"/>
          <w:spacing w:val="-16"/>
          <w:w w:val="110"/>
        </w:rPr>
        <w:t> </w:t>
      </w:r>
      <w:r>
        <w:rPr>
          <w:color w:val="010101"/>
          <w:w w:val="110"/>
        </w:rPr>
        <w:t>of</w:t>
      </w:r>
      <w:r>
        <w:rPr>
          <w:color w:val="010101"/>
          <w:spacing w:val="-8"/>
          <w:w w:val="110"/>
        </w:rPr>
        <w:t> </w:t>
      </w:r>
      <w:r>
        <w:rPr>
          <w:color w:val="010101"/>
          <w:w w:val="110"/>
        </w:rPr>
        <w:t>the</w:t>
      </w:r>
      <w:r>
        <w:rPr>
          <w:color w:val="010101"/>
          <w:spacing w:val="-19"/>
          <w:w w:val="110"/>
        </w:rPr>
        <w:t> </w:t>
      </w:r>
      <w:r>
        <w:rPr>
          <w:color w:val="010101"/>
          <w:w w:val="110"/>
        </w:rPr>
        <w:t>plan.</w:t>
      </w:r>
      <w:r>
        <w:rPr>
          <w:color w:val="010101"/>
          <w:spacing w:val="-15"/>
          <w:w w:val="110"/>
        </w:rPr>
        <w:t> </w:t>
      </w:r>
      <w:r>
        <w:rPr>
          <w:color w:val="010101"/>
          <w:w w:val="110"/>
        </w:rPr>
        <w:t>The</w:t>
      </w:r>
      <w:r>
        <w:rPr>
          <w:color w:val="010101"/>
          <w:spacing w:val="-22"/>
          <w:w w:val="110"/>
        </w:rPr>
        <w:t> </w:t>
      </w:r>
      <w:r>
        <w:rPr>
          <w:color w:val="010101"/>
          <w:w w:val="110"/>
        </w:rPr>
        <w:t>pre.sent value at age </w:t>
      </w:r>
      <w:r>
        <w:rPr>
          <w:rFonts w:ascii="Arial" w:hAnsi="Arial"/>
          <w:i/>
          <w:color w:val="010101"/>
          <w:w w:val="110"/>
          <w:sz w:val="18"/>
        </w:rPr>
        <w:t>x </w:t>
      </w:r>
      <w:r>
        <w:rPr>
          <w:color w:val="010101"/>
          <w:w w:val="110"/>
        </w:rPr>
        <w:t>of the benefit attributable to past contributions </w:t>
      </w:r>
      <w:r>
        <w:rPr>
          <w:rFonts w:ascii="Arial" w:hAnsi="Arial"/>
          <w:color w:val="010101"/>
          <w:w w:val="110"/>
        </w:rPr>
        <w:t>is </w:t>
      </w:r>
      <w:r>
        <w:rPr>
          <w:color w:val="010101"/>
          <w:w w:val="110"/>
        </w:rPr>
        <w:t>then</w:t>
      </w:r>
    </w:p>
    <w:p>
      <w:pPr>
        <w:spacing w:line="306" w:lineRule="exact" w:before="10"/>
        <w:ind w:left="3598" w:right="0" w:firstLine="0"/>
        <w:jc w:val="left"/>
        <w:rPr>
          <w:i/>
          <w:sz w:val="35"/>
        </w:rPr>
      </w:pPr>
      <w:r>
        <w:rPr>
          <w:color w:val="010101"/>
          <w:w w:val="70"/>
          <w:sz w:val="33"/>
        </w:rPr>
        <w:t>I: </w:t>
      </w:r>
      <w:r>
        <w:rPr>
          <w:i/>
          <w:color w:val="010101"/>
          <w:w w:val="70"/>
          <w:sz w:val="35"/>
        </w:rPr>
        <w:t>;e:+,</w:t>
      </w:r>
    </w:p>
    <w:p>
      <w:pPr>
        <w:spacing w:line="188" w:lineRule="exact" w:before="0"/>
        <w:ind w:left="1614" w:right="0" w:firstLine="0"/>
        <w:jc w:val="left"/>
        <w:rPr>
          <w:sz w:val="18"/>
        </w:rPr>
      </w:pPr>
      <w:r>
        <w:rPr/>
        <w:pict>
          <v:shape style="position:absolute;margin-left:215.784805pt;margin-top:-14.379973pt;width:4.6pt;height:6pt;mso-position-horizontal-relative:page;mso-position-vertical-relative:paragraph;z-index:-710296" type="#_x0000_t202" filled="false" stroked="false">
            <v:textbox inset="0,0,0,0">
              <w:txbxContent>
                <w:p>
                  <w:pPr>
                    <w:spacing w:line="120" w:lineRule="exact" w:before="0"/>
                    <w:ind w:left="0" w:right="-18" w:firstLine="0"/>
                    <w:jc w:val="left"/>
                    <w:rPr>
                      <w:b/>
                      <w:sz w:val="12"/>
                    </w:rPr>
                  </w:pPr>
                  <w:r>
                    <w:rPr>
                      <w:b/>
                      <w:color w:val="010101"/>
                      <w:w w:val="75"/>
                      <w:sz w:val="12"/>
                    </w:rPr>
                    <w:t>ao</w:t>
                  </w:r>
                </w:p>
              </w:txbxContent>
            </v:textbox>
            <w10:wrap type="none"/>
          </v:shape>
        </w:pict>
      </w:r>
      <w:r>
        <w:rPr>
          <w:color w:val="010101"/>
          <w:w w:val="91"/>
          <w:sz w:val="26"/>
        </w:rPr>
        <w:t>=</w:t>
      </w:r>
      <w:r>
        <w:rPr>
          <w:color w:val="010101"/>
          <w:sz w:val="26"/>
        </w:rPr>
        <w:t> </w:t>
      </w:r>
      <w:r>
        <w:rPr>
          <w:color w:val="010101"/>
          <w:spacing w:val="-18"/>
          <w:sz w:val="26"/>
        </w:rPr>
        <w:t> </w:t>
      </w:r>
      <w:r>
        <w:rPr>
          <w:rFonts w:ascii="Arial" w:hAnsi="Arial"/>
          <w:i/>
          <w:color w:val="010101"/>
          <w:w w:val="91"/>
          <w:sz w:val="20"/>
        </w:rPr>
        <w:t>;</w:t>
      </w:r>
      <w:r>
        <w:rPr>
          <w:rFonts w:ascii="Arial" w:hAnsi="Arial"/>
          <w:i/>
          <w:color w:val="010101"/>
          <w:w w:val="91"/>
          <w:sz w:val="20"/>
        </w:rPr>
        <w:t>(</w:t>
      </w:r>
      <w:r>
        <w:rPr>
          <w:rFonts w:ascii="Arial" w:hAnsi="Arial"/>
          <w:i/>
          <w:color w:val="010101"/>
          <w:spacing w:val="-3"/>
          <w:sz w:val="20"/>
        </w:rPr>
        <w:t> </w:t>
      </w:r>
      <w:r>
        <w:rPr>
          <w:rFonts w:ascii="Arial" w:hAnsi="Arial"/>
          <w:i/>
          <w:color w:val="010101"/>
          <w:w w:val="105"/>
          <w:sz w:val="20"/>
        </w:rPr>
        <w:t>TP</w:t>
      </w:r>
      <w:r>
        <w:rPr>
          <w:rFonts w:ascii="Arial" w:hAnsi="Arial"/>
          <w:i/>
          <w:color w:val="010101"/>
          <w:spacing w:val="3"/>
          <w:w w:val="105"/>
          <w:sz w:val="20"/>
        </w:rPr>
        <w:t>C</w:t>
      </w:r>
      <w:r>
        <w:rPr>
          <w:rFonts w:ascii="Arial" w:hAnsi="Arial"/>
          <w:i/>
          <w:color w:val="010101"/>
          <w:w w:val="84"/>
          <w:sz w:val="20"/>
        </w:rPr>
        <w:t>)</w:t>
      </w:r>
      <w:r>
        <w:rPr>
          <w:rFonts w:ascii="Arial" w:hAnsi="Arial"/>
          <w:i/>
          <w:color w:val="010101"/>
          <w:sz w:val="20"/>
        </w:rPr>
        <w:t> </w:t>
      </w:r>
      <w:r>
        <w:rPr>
          <w:rFonts w:ascii="Arial" w:hAnsi="Arial"/>
          <w:i/>
          <w:color w:val="010101"/>
          <w:spacing w:val="-7"/>
          <w:sz w:val="20"/>
        </w:rPr>
        <w:t> </w:t>
      </w:r>
      <w:r>
        <w:rPr>
          <w:rFonts w:ascii="Arial" w:hAnsi="Arial"/>
          <w:color w:val="010101"/>
          <w:w w:val="122"/>
          <w:sz w:val="20"/>
        </w:rPr>
        <w:t>(</w:t>
      </w:r>
      <w:r>
        <w:rPr>
          <w:rFonts w:ascii="Arial" w:hAnsi="Arial"/>
          <w:color w:val="010101"/>
          <w:w w:val="122"/>
          <w:sz w:val="20"/>
        </w:rPr>
        <w:t>1</w:t>
      </w:r>
      <w:r>
        <w:rPr>
          <w:rFonts w:ascii="Arial" w:hAnsi="Arial"/>
          <w:color w:val="010101"/>
          <w:spacing w:val="-16"/>
          <w:sz w:val="20"/>
        </w:rPr>
        <w:t> </w:t>
      </w:r>
      <w:r>
        <w:rPr>
          <w:color w:val="010101"/>
          <w:w w:val="100"/>
          <w:sz w:val="29"/>
        </w:rPr>
        <w:t>+</w:t>
      </w:r>
      <w:r>
        <w:rPr>
          <w:color w:val="010101"/>
          <w:spacing w:val="-15"/>
          <w:sz w:val="29"/>
        </w:rPr>
        <w:t> </w:t>
      </w:r>
      <w:r>
        <w:rPr>
          <w:b/>
          <w:color w:val="010101"/>
          <w:spacing w:val="-30"/>
          <w:w w:val="171"/>
          <w:sz w:val="19"/>
        </w:rPr>
        <w:t>i</w:t>
      </w:r>
      <w:r>
        <w:rPr>
          <w:b/>
          <w:color w:val="010101"/>
          <w:w w:val="106"/>
          <w:sz w:val="19"/>
        </w:rPr>
        <w:t>·</w:t>
      </w:r>
      <w:r>
        <w:rPr>
          <w:b/>
          <w:color w:val="010101"/>
          <w:w w:val="106"/>
          <w:sz w:val="19"/>
        </w:rPr>
        <w:t>)</w:t>
      </w:r>
      <w:r>
        <w:rPr>
          <w:b/>
          <w:color w:val="010101"/>
          <w:spacing w:val="9"/>
          <w:w w:val="106"/>
          <w:sz w:val="19"/>
        </w:rPr>
        <w:t>t</w:t>
      </w:r>
      <w:r>
        <w:rPr>
          <w:color w:val="010101"/>
          <w:spacing w:val="-160"/>
          <w:w w:val="314"/>
          <w:sz w:val="18"/>
        </w:rPr>
        <w:t>_</w:t>
      </w:r>
      <w:r>
        <w:rPr>
          <w:color w:val="010101"/>
          <w:w w:val="93"/>
          <w:sz w:val="18"/>
        </w:rPr>
        <w:t>e</w:t>
      </w:r>
      <w:r>
        <w:rPr>
          <w:color w:val="010101"/>
          <w:w w:val="93"/>
          <w:sz w:val="18"/>
        </w:rPr>
        <w:t>-o</w:t>
      </w:r>
      <w:r>
        <w:rPr>
          <w:color w:val="010101"/>
          <w:sz w:val="18"/>
        </w:rPr>
        <w:t>   </w:t>
      </w:r>
      <w:r>
        <w:rPr>
          <w:color w:val="010101"/>
          <w:spacing w:val="16"/>
          <w:sz w:val="18"/>
        </w:rPr>
        <w:t> </w:t>
      </w:r>
      <w:r>
        <w:rPr>
          <w:color w:val="010101"/>
          <w:spacing w:val="14"/>
          <w:w w:val="327"/>
          <w:sz w:val="18"/>
        </w:rPr>
        <w:t>_</w:t>
      </w:r>
      <w:r>
        <w:rPr>
          <w:color w:val="010101"/>
          <w:w w:val="156"/>
          <w:sz w:val="18"/>
        </w:rPr>
        <w:t>_</w:t>
      </w:r>
    </w:p>
    <w:p>
      <w:pPr>
        <w:tabs>
          <w:tab w:pos="3415" w:val="left" w:leader="none"/>
        </w:tabs>
        <w:spacing w:line="307" w:lineRule="exact" w:before="0"/>
        <w:ind w:left="2532" w:right="0" w:firstLine="0"/>
        <w:jc w:val="left"/>
        <w:rPr>
          <w:rFonts w:ascii="Arial" w:hAnsi="Arial"/>
          <w:i/>
          <w:sz w:val="30"/>
        </w:rPr>
      </w:pPr>
      <w:r>
        <w:rPr/>
        <w:pict>
          <v:line style="position:absolute;mso-position-horizontal-relative:page;mso-position-vertical-relative:paragraph;z-index:25744;mso-wrap-distance-left:0;mso-wrap-distance-right:0" from="39.282509pt,18.358789pt" to="75.336319pt,18.358789pt" stroked="true" strokeweight=".717489pt" strokecolor="#000000">
            <w10:wrap type="topAndBottom"/>
          </v:line>
        </w:pict>
      </w:r>
      <w:r>
        <w:rPr>
          <w:color w:val="010101"/>
          <w:w w:val="115"/>
          <w:sz w:val="20"/>
        </w:rPr>
        <w:t>ª</w:t>
        <w:tab/>
        <w:t>(1 </w:t>
      </w:r>
      <w:r>
        <w:rPr>
          <w:color w:val="010101"/>
          <w:w w:val="115"/>
          <w:sz w:val="29"/>
        </w:rPr>
        <w:t>+ </w:t>
      </w:r>
      <w:r>
        <w:rPr>
          <w:color w:val="010101"/>
          <w:w w:val="115"/>
          <w:sz w:val="20"/>
        </w:rPr>
        <w:t>j)ª</w:t>
      </w:r>
      <w:r>
        <w:rPr>
          <w:color w:val="010101"/>
          <w:spacing w:val="-34"/>
          <w:w w:val="115"/>
          <w:sz w:val="20"/>
        </w:rPr>
        <w:t> </w:t>
      </w:r>
      <w:r>
        <w:rPr>
          <w:rFonts w:ascii="Arial" w:hAnsi="Arial"/>
          <w:i/>
          <w:color w:val="010101"/>
          <w:w w:val="105"/>
          <w:sz w:val="30"/>
        </w:rPr>
        <w:t>D;</w:t>
      </w:r>
    </w:p>
    <w:p>
      <w:pPr>
        <w:spacing w:before="13"/>
        <w:ind w:left="170" w:right="0" w:firstLine="0"/>
        <w:jc w:val="center"/>
        <w:rPr>
          <w:b/>
          <w:sz w:val="17"/>
        </w:rPr>
      </w:pPr>
      <w:r>
        <w:rPr>
          <w:color w:val="010101"/>
          <w:w w:val="130"/>
          <w:position w:val="4"/>
          <w:sz w:val="11"/>
        </w:rPr>
        <w:t>1 </w:t>
      </w:r>
      <w:r>
        <w:rPr>
          <w:color w:val="010101"/>
          <w:w w:val="115"/>
          <w:sz w:val="17"/>
        </w:rPr>
        <w:t>Consistency would </w:t>
      </w:r>
      <w:r>
        <w:rPr>
          <w:b/>
          <w:color w:val="010101"/>
          <w:w w:val="115"/>
          <w:sz w:val="17"/>
        </w:rPr>
        <w:t>suggest a </w:t>
      </w:r>
      <w:r>
        <w:rPr>
          <w:color w:val="010101"/>
          <w:w w:val="115"/>
          <w:sz w:val="17"/>
        </w:rPr>
        <w:t>more complicated </w:t>
      </w:r>
      <w:r>
        <w:rPr>
          <w:color w:val="010101"/>
          <w:w w:val="115"/>
          <w:sz w:val="18"/>
        </w:rPr>
        <w:t>symbol to </w:t>
      </w:r>
      <w:r>
        <w:rPr>
          <w:b/>
          <w:color w:val="010101"/>
          <w:w w:val="115"/>
          <w:sz w:val="17"/>
        </w:rPr>
        <w:t>exprese the</w:t>
      </w:r>
    </w:p>
    <w:p>
      <w:pPr>
        <w:spacing w:line="142" w:lineRule="exact" w:before="0"/>
        <w:ind w:left="129" w:right="0" w:firstLine="0"/>
        <w:jc w:val="left"/>
        <w:rPr>
          <w:b/>
          <w:sz w:val="17"/>
        </w:rPr>
      </w:pPr>
      <w:r>
        <w:rPr>
          <w:color w:val="010101"/>
          <w:w w:val="105"/>
          <w:sz w:val="17"/>
        </w:rPr>
        <w:t>function  defined  in  (16.31). For  convenience,  </w:t>
      </w:r>
      <w:r>
        <w:rPr>
          <w:b/>
          <w:color w:val="010101"/>
          <w:w w:val="105"/>
          <w:sz w:val="17"/>
        </w:rPr>
        <w:t>we  are simply using a super•</w:t>
      </w:r>
    </w:p>
    <w:p>
      <w:pPr>
        <w:spacing w:line="270" w:lineRule="exact" w:before="0"/>
        <w:ind w:left="122" w:right="0" w:firstLine="0"/>
        <w:jc w:val="left"/>
        <w:rPr>
          <w:sz w:val="17"/>
        </w:rPr>
      </w:pPr>
      <w:r>
        <w:rPr>
          <w:color w:val="010101"/>
          <w:w w:val="109"/>
          <w:sz w:val="17"/>
        </w:rPr>
        <w:t>scribed</w:t>
      </w:r>
      <w:r>
        <w:rPr>
          <w:color w:val="010101"/>
          <w:sz w:val="17"/>
        </w:rPr>
        <w:t> </w:t>
      </w:r>
      <w:r>
        <w:rPr>
          <w:color w:val="010101"/>
          <w:spacing w:val="-4"/>
          <w:sz w:val="17"/>
        </w:rPr>
        <w:t> </w:t>
      </w:r>
      <w:r>
        <w:rPr>
          <w:i/>
          <w:color w:val="010101"/>
          <w:w w:val="98"/>
          <w:sz w:val="18"/>
        </w:rPr>
        <w:t>S"</w:t>
      </w:r>
      <w:r>
        <w:rPr>
          <w:i/>
          <w:color w:val="010101"/>
          <w:sz w:val="18"/>
        </w:rPr>
        <w:t> </w:t>
      </w:r>
      <w:r>
        <w:rPr>
          <w:i/>
          <w:color w:val="010101"/>
          <w:spacing w:val="4"/>
          <w:sz w:val="18"/>
        </w:rPr>
        <w:t> </w:t>
      </w:r>
      <w:r>
        <w:rPr>
          <w:color w:val="010101"/>
          <w:w w:val="121"/>
          <w:sz w:val="17"/>
        </w:rPr>
        <w:t>to</w:t>
      </w:r>
      <w:r>
        <w:rPr>
          <w:color w:val="010101"/>
          <w:sz w:val="17"/>
        </w:rPr>
        <w:t> </w:t>
      </w:r>
      <w:r>
        <w:rPr>
          <w:color w:val="010101"/>
          <w:spacing w:val="-13"/>
          <w:sz w:val="17"/>
        </w:rPr>
        <w:t> </w:t>
      </w:r>
      <w:r>
        <w:rPr>
          <w:color w:val="010101"/>
          <w:w w:val="111"/>
          <w:sz w:val="17"/>
        </w:rPr>
        <w:t>indicate</w:t>
      </w:r>
      <w:r>
        <w:rPr>
          <w:color w:val="010101"/>
          <w:sz w:val="17"/>
        </w:rPr>
        <w:t> </w:t>
      </w:r>
      <w:r>
        <w:rPr>
          <w:color w:val="010101"/>
          <w:spacing w:val="-6"/>
          <w:sz w:val="17"/>
        </w:rPr>
        <w:t> </w:t>
      </w:r>
      <w:r>
        <w:rPr>
          <w:color w:val="010101"/>
          <w:w w:val="122"/>
          <w:sz w:val="17"/>
        </w:rPr>
        <w:t>that</w:t>
      </w:r>
      <w:r>
        <w:rPr>
          <w:color w:val="010101"/>
          <w:sz w:val="17"/>
        </w:rPr>
        <w:t>  </w:t>
      </w:r>
      <w:r>
        <w:rPr>
          <w:color w:val="010101"/>
          <w:w w:val="113"/>
          <w:sz w:val="17"/>
        </w:rPr>
        <w:t>the</w:t>
      </w:r>
      <w:r>
        <w:rPr>
          <w:color w:val="010101"/>
          <w:sz w:val="17"/>
        </w:rPr>
        <w:t> </w:t>
      </w:r>
      <w:r>
        <w:rPr>
          <w:color w:val="010101"/>
          <w:spacing w:val="-10"/>
          <w:sz w:val="17"/>
        </w:rPr>
        <w:t> </w:t>
      </w:r>
      <w:r>
        <w:rPr>
          <w:color w:val="010101"/>
          <w:w w:val="110"/>
          <w:sz w:val="17"/>
        </w:rPr>
        <w:t>function</w:t>
      </w:r>
      <w:r>
        <w:rPr>
          <w:color w:val="010101"/>
          <w:sz w:val="17"/>
        </w:rPr>
        <w:t> </w:t>
      </w:r>
      <w:r>
        <w:rPr>
          <w:color w:val="010101"/>
          <w:spacing w:val="4"/>
          <w:sz w:val="17"/>
        </w:rPr>
        <w:t> </w:t>
      </w:r>
      <w:r>
        <w:rPr>
          <w:i/>
          <w:color w:val="010101"/>
          <w:spacing w:val="-28"/>
          <w:w w:val="91"/>
          <w:position w:val="7"/>
          <w:sz w:val="14"/>
        </w:rPr>
        <w:t>1</w:t>
      </w:r>
      <w:r>
        <w:rPr>
          <w:rFonts w:ascii="Arial"/>
          <w:i/>
          <w:color w:val="010101"/>
          <w:w w:val="79"/>
          <w:sz w:val="29"/>
        </w:rPr>
        <w:t>M:</w:t>
      </w:r>
      <w:r>
        <w:rPr>
          <w:rFonts w:ascii="Arial"/>
          <w:i/>
          <w:color w:val="010101"/>
          <w:spacing w:val="-12"/>
          <w:sz w:val="29"/>
        </w:rPr>
        <w:t> </w:t>
      </w:r>
      <w:r>
        <w:rPr>
          <w:color w:val="010101"/>
          <w:w w:val="109"/>
          <w:sz w:val="17"/>
        </w:rPr>
        <w:t>is</w:t>
      </w:r>
      <w:r>
        <w:rPr>
          <w:color w:val="010101"/>
          <w:sz w:val="17"/>
        </w:rPr>
        <w:t> </w:t>
      </w:r>
      <w:r>
        <w:rPr>
          <w:color w:val="010101"/>
          <w:spacing w:val="-16"/>
          <w:sz w:val="17"/>
        </w:rPr>
        <w:t> </w:t>
      </w:r>
      <w:r>
        <w:rPr>
          <w:color w:val="010101"/>
          <w:w w:val="106"/>
          <w:sz w:val="17"/>
        </w:rPr>
        <w:t>being</w:t>
      </w:r>
      <w:r>
        <w:rPr>
          <w:color w:val="010101"/>
          <w:sz w:val="17"/>
        </w:rPr>
        <w:t> </w:t>
      </w:r>
      <w:r>
        <w:rPr>
          <w:color w:val="010101"/>
          <w:spacing w:val="-9"/>
          <w:sz w:val="17"/>
        </w:rPr>
        <w:t> </w:t>
      </w:r>
      <w:r>
        <w:rPr>
          <w:color w:val="010101"/>
          <w:w w:val="107"/>
          <w:sz w:val="17"/>
        </w:rPr>
        <w:t>weighted</w:t>
      </w:r>
      <w:r>
        <w:rPr>
          <w:color w:val="010101"/>
          <w:sz w:val="17"/>
        </w:rPr>
        <w:t> </w:t>
      </w:r>
      <w:r>
        <w:rPr>
          <w:color w:val="010101"/>
          <w:spacing w:val="6"/>
          <w:sz w:val="17"/>
        </w:rPr>
        <w:t> </w:t>
      </w:r>
      <w:r>
        <w:rPr>
          <w:color w:val="010101"/>
          <w:w w:val="107"/>
          <w:sz w:val="17"/>
        </w:rPr>
        <w:t>here</w:t>
      </w:r>
      <w:r>
        <w:rPr>
          <w:color w:val="010101"/>
          <w:sz w:val="17"/>
        </w:rPr>
        <w:t> </w:t>
      </w:r>
      <w:r>
        <w:rPr>
          <w:color w:val="010101"/>
          <w:spacing w:val="-3"/>
          <w:sz w:val="17"/>
        </w:rPr>
        <w:t> </w:t>
      </w:r>
      <w:r>
        <w:rPr>
          <w:color w:val="010101"/>
          <w:w w:val="111"/>
          <w:sz w:val="17"/>
        </w:rPr>
        <w:t>in</w:t>
      </w:r>
      <w:r>
        <w:rPr>
          <w:color w:val="010101"/>
          <w:sz w:val="17"/>
        </w:rPr>
        <w:t> </w:t>
      </w:r>
      <w:r>
        <w:rPr>
          <w:color w:val="010101"/>
          <w:spacing w:val="-15"/>
          <w:sz w:val="17"/>
        </w:rPr>
        <w:t> </w:t>
      </w:r>
      <w:r>
        <w:rPr>
          <w:color w:val="010101"/>
          <w:w w:val="121"/>
          <w:sz w:val="17"/>
        </w:rPr>
        <w:t>a</w:t>
      </w:r>
    </w:p>
    <w:p>
      <w:pPr>
        <w:spacing w:line="186" w:lineRule="exact" w:before="0"/>
        <w:ind w:left="122" w:right="0" w:firstLine="0"/>
        <w:jc w:val="left"/>
        <w:rPr>
          <w:sz w:val="17"/>
        </w:rPr>
      </w:pPr>
      <w:r>
        <w:rPr>
          <w:color w:val="010101"/>
          <w:sz w:val="17"/>
        </w:rPr>
        <w:t>specia.l  way.</w:t>
      </w:r>
    </w:p>
    <w:p>
      <w:pPr>
        <w:spacing w:after="0" w:line="186" w:lineRule="exact"/>
        <w:jc w:val="left"/>
        <w:rPr>
          <w:sz w:val="17"/>
        </w:rPr>
        <w:sectPr>
          <w:type w:val="continuous"/>
          <w:pgSz w:w="7200" w:h="11340"/>
          <w:pgMar w:top="1100" w:bottom="0" w:left="660" w:right="540"/>
        </w:sectPr>
      </w:pPr>
    </w:p>
    <w:p>
      <w:pPr>
        <w:tabs>
          <w:tab w:pos="2082" w:val="left" w:leader="none"/>
          <w:tab w:pos="5855" w:val="right" w:leader="none"/>
        </w:tabs>
        <w:spacing w:before="50"/>
        <w:ind w:left="118" w:right="0" w:firstLine="0"/>
        <w:jc w:val="left"/>
        <w:rPr>
          <w:sz w:val="20"/>
        </w:rPr>
      </w:pPr>
      <w:r>
        <w:rPr>
          <w:color w:val="010101"/>
          <w:w w:val="105"/>
          <w:sz w:val="15"/>
        </w:rPr>
        <w:t>SEC. </w:t>
      </w:r>
      <w:r>
        <w:rPr>
          <w:color w:val="010101"/>
          <w:spacing w:val="16"/>
          <w:w w:val="105"/>
          <w:sz w:val="15"/>
        </w:rPr>
        <w:t> </w:t>
      </w:r>
      <w:r>
        <w:rPr>
          <w:rFonts w:ascii="Arial"/>
          <w:color w:val="010101"/>
          <w:w w:val="105"/>
          <w:sz w:val="19"/>
        </w:rPr>
        <w:t>5)</w:t>
        <w:tab/>
      </w:r>
      <w:r>
        <w:rPr>
          <w:b/>
          <w:color w:val="010101"/>
          <w:w w:val="105"/>
          <w:position w:val="1"/>
          <w:sz w:val="15"/>
        </w:rPr>
        <w:t>DISABILITY  </w:t>
      </w:r>
      <w:r>
        <w:rPr>
          <w:b/>
          <w:color w:val="010101"/>
          <w:spacing w:val="1"/>
          <w:w w:val="105"/>
          <w:position w:val="1"/>
          <w:sz w:val="15"/>
        </w:rPr>
        <w:t> </w:t>
      </w:r>
      <w:r>
        <w:rPr>
          <w:b/>
          <w:color w:val="010101"/>
          <w:w w:val="105"/>
          <w:position w:val="1"/>
          <w:sz w:val="15"/>
        </w:rPr>
        <w:t>BENEFITS</w:t>
      </w:r>
      <w:r>
        <w:rPr>
          <w:color w:val="010101"/>
          <w:w w:val="105"/>
          <w:sz w:val="20"/>
        </w:rPr>
        <w:tab/>
        <w:t>319</w:t>
      </w:r>
    </w:p>
    <w:p>
      <w:pPr>
        <w:pStyle w:val="BodyText"/>
        <w:rPr>
          <w:sz w:val="21"/>
        </w:rPr>
      </w:pPr>
    </w:p>
    <w:p>
      <w:pPr>
        <w:pStyle w:val="BodyText"/>
        <w:ind w:left="1874" w:right="133"/>
      </w:pPr>
      <w:r>
        <w:rPr>
          <w:position w:val="-19"/>
        </w:rPr>
        <w:drawing>
          <wp:inline distT="0" distB="0" distL="0" distR="0">
            <wp:extent cx="1298447" cy="320039"/>
            <wp:effectExtent l="0" t="0" r="0" b="0"/>
            <wp:docPr id="791" name="image404.png" descr=""/>
            <wp:cNvGraphicFramePr>
              <a:graphicFrameLocks noChangeAspect="1"/>
            </wp:cNvGraphicFramePr>
            <a:graphic>
              <a:graphicData uri="http://schemas.openxmlformats.org/drawingml/2006/picture">
                <pic:pic>
                  <pic:nvPicPr>
                    <pic:cNvPr id="792" name="image404.png"/>
                    <pic:cNvPicPr/>
                  </pic:nvPicPr>
                  <pic:blipFill>
                    <a:blip r:embed="rId408" cstate="print"/>
                    <a:stretch>
                      <a:fillRect/>
                    </a:stretch>
                  </pic:blipFill>
                  <pic:spPr>
                    <a:xfrm>
                      <a:off x="0" y="0"/>
                      <a:ext cx="1298447" cy="320039"/>
                    </a:xfrm>
                    <a:prstGeom prst="rect">
                      <a:avLst/>
                    </a:prstGeom>
                  </pic:spPr>
                </pic:pic>
              </a:graphicData>
            </a:graphic>
          </wp:inline>
        </w:drawing>
      </w:r>
      <w:r>
        <w:rPr>
          <w:position w:val="-19"/>
        </w:rPr>
      </w:r>
      <w:r>
        <w:rPr/>
        <w:t>                         </w:t>
      </w:r>
      <w:r>
        <w:rPr>
          <w:color w:val="010101"/>
          <w:w w:val="105"/>
        </w:rPr>
        <w:t>(16.34)</w:t>
      </w:r>
    </w:p>
    <w:p>
      <w:pPr>
        <w:tabs>
          <w:tab w:pos="2749" w:val="left" w:leader="none"/>
          <w:tab w:pos="5247" w:val="left" w:leader="none"/>
        </w:tabs>
        <w:spacing w:before="88"/>
        <w:ind w:left="126" w:right="0" w:firstLine="0"/>
        <w:jc w:val="both"/>
        <w:rPr>
          <w:sz w:val="20"/>
        </w:rPr>
      </w:pPr>
      <w:r>
        <w:rPr>
          <w:color w:val="010101"/>
          <w:position w:val="2"/>
          <w:sz w:val="20"/>
        </w:rPr>
        <w:t>where</w:t>
        <w:tab/>
      </w:r>
      <w:r>
        <w:rPr>
          <w:rFonts w:ascii="Arial"/>
          <w:color w:val="010101"/>
          <w:sz w:val="19"/>
        </w:rPr>
        <w:t>(1  </w:t>
      </w:r>
      <w:r>
        <w:rPr>
          <w:rFonts w:ascii="Arial"/>
          <w:color w:val="010101"/>
          <w:sz w:val="31"/>
        </w:rPr>
        <w:t>+ </w:t>
      </w:r>
      <w:r>
        <w:rPr>
          <w:i/>
          <w:color w:val="010101"/>
          <w:sz w:val="26"/>
        </w:rPr>
        <w:t>iY</w:t>
      </w:r>
      <w:r>
        <w:rPr>
          <w:i/>
          <w:color w:val="010101"/>
          <w:spacing w:val="9"/>
          <w:sz w:val="26"/>
        </w:rPr>
        <w:t> </w:t>
      </w:r>
      <w:r>
        <w:rPr>
          <w:rFonts w:ascii="Arial"/>
          <w:i/>
          <w:color w:val="010101"/>
          <w:sz w:val="29"/>
        </w:rPr>
        <w:t>D;</w:t>
      </w:r>
      <w:r>
        <w:rPr>
          <w:rFonts w:ascii="Arial"/>
          <w:i/>
          <w:color w:val="010101"/>
          <w:spacing w:val="-18"/>
          <w:sz w:val="29"/>
        </w:rPr>
        <w:t> </w:t>
      </w:r>
      <w:r>
        <w:rPr>
          <w:rFonts w:ascii="Arial"/>
          <w:i/>
          <w:color w:val="010101"/>
          <w:sz w:val="29"/>
        </w:rPr>
        <w:t>.</w:t>
        <w:tab/>
      </w:r>
      <w:r>
        <w:rPr>
          <w:color w:val="010101"/>
          <w:position w:val="1"/>
          <w:sz w:val="20"/>
        </w:rPr>
        <w:t>(16.35)</w:t>
      </w:r>
    </w:p>
    <w:p>
      <w:pPr>
        <w:pStyle w:val="ListParagraph"/>
        <w:numPr>
          <w:ilvl w:val="0"/>
          <w:numId w:val="143"/>
        </w:numPr>
        <w:tabs>
          <w:tab w:pos="367" w:val="left" w:leader="none"/>
        </w:tabs>
        <w:spacing w:line="240" w:lineRule="auto" w:before="162" w:after="0"/>
        <w:ind w:left="366" w:right="0" w:hanging="233"/>
        <w:jc w:val="both"/>
        <w:rPr>
          <w:b/>
          <w:color w:val="010101"/>
          <w:sz w:val="21"/>
        </w:rPr>
      </w:pPr>
      <w:r>
        <w:rPr>
          <w:b/>
          <w:color w:val="010101"/>
          <w:w w:val="115"/>
          <w:sz w:val="21"/>
        </w:rPr>
        <w:t>Disability</w:t>
      </w:r>
      <w:r>
        <w:rPr>
          <w:b/>
          <w:color w:val="010101"/>
          <w:spacing w:val="-25"/>
          <w:w w:val="115"/>
          <w:sz w:val="21"/>
        </w:rPr>
        <w:t> </w:t>
      </w:r>
      <w:r>
        <w:rPr>
          <w:b/>
          <w:color w:val="010101"/>
          <w:w w:val="115"/>
          <w:sz w:val="19"/>
        </w:rPr>
        <w:t>benefits</w:t>
      </w:r>
    </w:p>
    <w:p>
      <w:pPr>
        <w:pStyle w:val="BodyText"/>
        <w:spacing w:line="249" w:lineRule="auto" w:before="90"/>
        <w:ind w:left="136" w:right="108" w:firstLine="197"/>
        <w:jc w:val="both"/>
      </w:pPr>
      <w:r>
        <w:rPr>
          <w:rFonts w:ascii="Arial"/>
          <w:b/>
          <w:color w:val="010101"/>
          <w:w w:val="105"/>
        </w:rPr>
        <w:t>W</w:t>
      </w:r>
      <w:r>
        <w:rPr>
          <w:color w:val="010101"/>
          <w:w w:val="105"/>
        </w:rPr>
        <w:t>e consider now a second application of the general model of Section </w:t>
      </w:r>
      <w:r>
        <w:rPr>
          <w:color w:val="010101"/>
          <w:w w:val="115"/>
        </w:rPr>
        <w:t>l. </w:t>
      </w:r>
      <w:r>
        <w:rPr>
          <w:color w:val="010101"/>
          <w:w w:val="105"/>
        </w:rPr>
        <w:t>This relates to the type of disability insurance which is offered as a supplementary benefit, of ten on an optional basis, in individual life insurance policies.</w:t>
      </w:r>
    </w:p>
    <w:p>
      <w:pPr>
        <w:pStyle w:val="BodyText"/>
        <w:spacing w:line="249" w:lineRule="auto" w:before="5"/>
        <w:ind w:left="143" w:right="116" w:firstLine="197"/>
        <w:jc w:val="both"/>
      </w:pPr>
      <w:r>
        <w:rPr>
          <w:color w:val="010101"/>
          <w:w w:val="105"/>
        </w:rPr>
        <w:t>The disability clauses in current use provide a benefit for total and permanent disability. For the purpose of defining such dis­ ability, total disability which has been continuous for a period specified in the policy is presumed to be pennanent. This period is known as the </w:t>
      </w:r>
      <w:r>
        <w:rPr>
          <w:i/>
          <w:color w:val="010101"/>
          <w:w w:val="105"/>
          <w:sz w:val="21"/>
        </w:rPr>
        <w:t>waiting period  </w:t>
      </w:r>
      <w:r>
        <w:rPr>
          <w:color w:val="010101"/>
          <w:w w:val="105"/>
        </w:rPr>
        <w:t>and is usually six</w:t>
      </w:r>
      <w:r>
        <w:rPr>
          <w:color w:val="010101"/>
          <w:spacing w:val="-28"/>
          <w:w w:val="105"/>
        </w:rPr>
        <w:t> </w:t>
      </w:r>
      <w:r>
        <w:rPr>
          <w:color w:val="010101"/>
          <w:w w:val="105"/>
        </w:rPr>
        <w:t>months.</w:t>
      </w:r>
    </w:p>
    <w:p>
      <w:pPr>
        <w:pStyle w:val="BodyText"/>
        <w:spacing w:line="247" w:lineRule="auto"/>
        <w:ind w:left="143" w:right="116" w:firstLine="197"/>
        <w:jc w:val="both"/>
      </w:pPr>
      <w:r>
        <w:rPr>
          <w:color w:val="010101"/>
          <w:w w:val="105"/>
        </w:rPr>
        <w:t>The most common benefit consists of waiver during the con­ tinuanee of disability of the premiums for the life insurance policy which contains the disability clause. Premiums are usually waived retroactively to the beginning of the waiting period.  </w:t>
      </w:r>
      <w:r>
        <w:rPr>
          <w:color w:val="010101"/>
          <w:spacing w:val="7"/>
          <w:w w:val="105"/>
        </w:rPr>
        <w:t>Ko </w:t>
      </w:r>
      <w:r>
        <w:rPr>
          <w:color w:val="010101"/>
          <w:w w:val="105"/>
        </w:rPr>
        <w:t>benefits are payable unless disability begins before sorne expiry age, usually 60 or 65. Sorne companies also offer a monthly income benefit, payable from the end of the waiting period. In the case of endow­ ment policies, the disability income is usually payable only until  the maturity date. </w:t>
      </w:r>
      <w:r>
        <w:rPr>
          <w:color w:val="010101"/>
          <w:w w:val="105"/>
          <w:sz w:val="22"/>
        </w:rPr>
        <w:t>In </w:t>
      </w:r>
      <w:r>
        <w:rPr>
          <w:color w:val="010101"/>
          <w:w w:val="105"/>
        </w:rPr>
        <w:t>other cases, it is payable during the con­ tinuance of disability, either for life or up to sorne specified </w:t>
      </w:r>
      <w:r>
        <w:rPr>
          <w:color w:val="010101"/>
          <w:spacing w:val="52"/>
          <w:w w:val="105"/>
        </w:rPr>
        <w:t> </w:t>
      </w:r>
      <w:r>
        <w:rPr>
          <w:color w:val="010101"/>
          <w:w w:val="105"/>
        </w:rPr>
        <w:t>age.</w:t>
      </w:r>
    </w:p>
    <w:p>
      <w:pPr>
        <w:pStyle w:val="BodyText"/>
        <w:spacing w:line="249" w:lineRule="auto" w:before="4"/>
        <w:ind w:left="154" w:right="115" w:firstLine="190"/>
        <w:jc w:val="both"/>
      </w:pPr>
      <w:r>
        <w:rPr>
          <w:color w:val="010101"/>
          <w:w w:val="105"/>
        </w:rPr>
        <w:t>Similar benefits are provided by individual health insurance policies, and the formulas discussed below can be adapted to this type of coverage as well.</w:t>
      </w:r>
    </w:p>
    <w:p>
      <w:pPr>
        <w:pStyle w:val="BodyText"/>
        <w:spacing w:line="248" w:lineRule="exact"/>
        <w:ind w:left="158" w:firstLine="197"/>
        <w:jc w:val="both"/>
        <w:rPr>
          <w:i/>
          <w:sz w:val="27"/>
        </w:rPr>
      </w:pPr>
      <w:r>
        <w:rPr>
          <w:color w:val="010101"/>
        </w:rPr>
        <w:t>We  shall  use  the  notation  of  Section  1 with  </w:t>
      </w:r>
      <w:r>
        <w:rPr>
          <w:color w:val="010101"/>
          <w:w w:val="90"/>
          <w:sz w:val="31"/>
        </w:rPr>
        <w:t>z; </w:t>
      </w:r>
      <w:r>
        <w:rPr>
          <w:color w:val="010101"/>
        </w:rPr>
        <w:t>replaced  by </w:t>
      </w:r>
      <w:r>
        <w:rPr>
          <w:i/>
          <w:color w:val="010101"/>
          <w:w w:val="90"/>
          <w:sz w:val="27"/>
        </w:rPr>
        <w:t>Z:ª</w:t>
      </w:r>
    </w:p>
    <w:p>
      <w:pPr>
        <w:pStyle w:val="BodyText"/>
        <w:spacing w:line="249" w:lineRule="auto"/>
        <w:ind w:left="158" w:right="126"/>
        <w:jc w:val="both"/>
      </w:pPr>
      <w:r>
        <w:rPr>
          <w:color w:val="010101"/>
          <w:w w:val="105"/>
        </w:rPr>
        <w:t>and the contingency </w:t>
      </w:r>
      <w:r>
        <w:rPr>
          <w:rFonts w:ascii="Arial"/>
          <w:i/>
          <w:color w:val="010101"/>
          <w:w w:val="105"/>
          <w:sz w:val="18"/>
        </w:rPr>
        <w:t>g </w:t>
      </w:r>
      <w:r>
        <w:rPr>
          <w:color w:val="010101"/>
          <w:w w:val="105"/>
        </w:rPr>
        <w:t>taken as the contingency </w:t>
      </w:r>
      <w:r>
        <w:rPr>
          <w:color w:val="010101"/>
          <w:w w:val="110"/>
        </w:rPr>
        <w:t>i </w:t>
      </w:r>
      <w:r>
        <w:rPr>
          <w:color w:val="010101"/>
          <w:w w:val="105"/>
        </w:rPr>
        <w:t>of total disability of at least </w:t>
      </w:r>
      <w:r>
        <w:rPr>
          <w:i/>
          <w:color w:val="010101"/>
          <w:w w:val="105"/>
        </w:rPr>
        <w:t>m </w:t>
      </w:r>
      <w:r>
        <w:rPr>
          <w:color w:val="010101"/>
          <w:w w:val="105"/>
        </w:rPr>
        <w:t>months' duration (where </w:t>
      </w:r>
      <w:r>
        <w:rPr>
          <w:i/>
          <w:color w:val="010101"/>
          <w:w w:val="105"/>
        </w:rPr>
        <w:t>m </w:t>
      </w:r>
      <w:r>
        <w:rPr>
          <w:color w:val="010101"/>
          <w:w w:val="105"/>
        </w:rPr>
        <w:t>months is the waiting period).  We  assume  that  is  represents  the  number  of  lives that</w:t>
      </w:r>
    </w:p>
    <w:p>
      <w:pPr>
        <w:pStyle w:val="BodyText"/>
        <w:spacing w:line="249" w:lineRule="exact"/>
        <w:ind w:left="158"/>
        <w:jc w:val="both"/>
      </w:pPr>
      <w:r>
        <w:rPr>
          <w:color w:val="010101"/>
          <w:w w:val="105"/>
        </w:rPr>
        <w:t>become  disabled between  ages </w:t>
      </w:r>
      <w:r>
        <w:rPr>
          <w:i/>
          <w:color w:val="010101"/>
          <w:w w:val="105"/>
          <w:sz w:val="21"/>
        </w:rPr>
        <w:t>x </w:t>
      </w:r>
      <w:r>
        <w:rPr>
          <w:color w:val="010101"/>
          <w:w w:val="105"/>
        </w:rPr>
        <w:t>and </w:t>
      </w:r>
      <w:r>
        <w:rPr>
          <w:i/>
          <w:color w:val="010101"/>
          <w:w w:val="105"/>
          <w:sz w:val="21"/>
        </w:rPr>
        <w:t>x  </w:t>
      </w:r>
      <w:r>
        <w:rPr>
          <w:rFonts w:ascii="Arial"/>
          <w:color w:val="010101"/>
          <w:w w:val="105"/>
          <w:sz w:val="31"/>
        </w:rPr>
        <w:t>+ </w:t>
      </w:r>
      <w:r>
        <w:rPr>
          <w:color w:val="010101"/>
          <w:w w:val="110"/>
        </w:rPr>
        <w:t>l </w:t>
      </w:r>
      <w:r>
        <w:rPr>
          <w:color w:val="010101"/>
          <w:w w:val="105"/>
        </w:rPr>
        <w:t>and  remain  disabled</w:t>
      </w:r>
    </w:p>
    <w:p>
      <w:pPr>
        <w:pStyle w:val="BodyText"/>
        <w:spacing w:line="224" w:lineRule="exact"/>
        <w:ind w:left="158"/>
        <w:jc w:val="both"/>
      </w:pPr>
      <w:r>
        <w:rPr>
          <w:color w:val="010101"/>
          <w:w w:val="105"/>
        </w:rPr>
        <w:t>for </w:t>
      </w:r>
      <w:r>
        <w:rPr>
          <w:rFonts w:ascii="Arial"/>
          <w:i/>
          <w:color w:val="010101"/>
          <w:w w:val="105"/>
          <w:sz w:val="18"/>
        </w:rPr>
        <w:t>m </w:t>
      </w:r>
      <w:r>
        <w:rPr>
          <w:color w:val="010101"/>
          <w:w w:val="105"/>
        </w:rPr>
        <w:t>months.</w:t>
      </w:r>
    </w:p>
    <w:p>
      <w:pPr>
        <w:pStyle w:val="BodyText"/>
        <w:spacing w:line="247" w:lineRule="auto" w:before="3"/>
        <w:ind w:left="158" w:right="116" w:firstLine="204"/>
        <w:jc w:val="both"/>
      </w:pPr>
      <w:r>
        <w:rPr>
          <w:color w:val="010101"/>
        </w:rPr>
        <w:t>In order to evaluate annuity  benefits  commencing  at the  end  of the waiting  period,  we  shall use  disabled  life annuities  of  the fonns</w:t>
      </w:r>
    </w:p>
    <w:p>
      <w:pPr>
        <w:spacing w:line="132" w:lineRule="auto" w:before="99"/>
        <w:ind w:left="158" w:right="111" w:firstLine="3"/>
        <w:jc w:val="both"/>
        <w:rPr>
          <w:sz w:val="20"/>
        </w:rPr>
      </w:pPr>
      <w:r>
        <w:rPr>
          <w:color w:val="010101"/>
          <w:w w:val="111"/>
          <w:sz w:val="16"/>
        </w:rPr>
        <w:t>áis+U </w:t>
      </w:r>
      <w:r>
        <w:rPr>
          <w:color w:val="010101"/>
          <w:w w:val="83"/>
          <w:sz w:val="16"/>
        </w:rPr>
        <w:t>+m/12 </w:t>
      </w:r>
      <w:r>
        <w:rPr>
          <w:color w:val="010101"/>
          <w:w w:val="108"/>
          <w:sz w:val="20"/>
        </w:rPr>
        <w:t>and </w:t>
      </w:r>
      <w:r>
        <w:rPr>
          <w:i/>
          <w:color w:val="010101"/>
          <w:spacing w:val="2"/>
          <w:w w:val="100"/>
          <w:sz w:val="17"/>
        </w:rPr>
        <w:t>ás+tJ</w:t>
      </w:r>
      <w:r>
        <w:rPr>
          <w:i/>
          <w:color w:val="010101"/>
          <w:w w:val="100"/>
          <w:sz w:val="17"/>
        </w:rPr>
        <w:t> </w:t>
      </w:r>
      <w:r>
        <w:rPr>
          <w:color w:val="010101"/>
          <w:spacing w:val="-3"/>
          <w:w w:val="88"/>
          <w:sz w:val="16"/>
        </w:rPr>
        <w:t>+m/12</w:t>
      </w:r>
      <w:r>
        <w:rPr>
          <w:color w:val="010101"/>
          <w:w w:val="88"/>
          <w:sz w:val="16"/>
        </w:rPr>
        <w:t> </w:t>
      </w:r>
      <w:r>
        <w:rPr>
          <w:color w:val="262626"/>
          <w:spacing w:val="-11"/>
          <w:w w:val="114"/>
          <w:sz w:val="16"/>
        </w:rPr>
        <w:t>:</w:t>
      </w:r>
      <w:r>
        <w:rPr>
          <w:color w:val="010101"/>
          <w:spacing w:val="-11"/>
          <w:w w:val="114"/>
          <w:sz w:val="16"/>
        </w:rPr>
        <w:t>ñ]</w:t>
      </w:r>
      <w:r>
        <w:rPr>
          <w:color w:val="010101"/>
          <w:w w:val="114"/>
          <w:sz w:val="16"/>
        </w:rPr>
        <w:t> </w:t>
      </w:r>
      <w:r>
        <w:rPr>
          <w:color w:val="010101"/>
          <w:w w:val="70"/>
          <w:sz w:val="16"/>
        </w:rPr>
        <w:t>• </w:t>
      </w:r>
      <w:r>
        <w:rPr>
          <w:color w:val="010101"/>
          <w:w w:val="109"/>
          <w:sz w:val="20"/>
        </w:rPr>
        <w:t>The </w:t>
      </w:r>
      <w:r>
        <w:rPr>
          <w:color w:val="010101"/>
          <w:w w:val="104"/>
          <w:sz w:val="20"/>
        </w:rPr>
        <w:t>first </w:t>
      </w:r>
      <w:r>
        <w:rPr>
          <w:color w:val="010101"/>
          <w:w w:val="91"/>
          <w:sz w:val="20"/>
        </w:rPr>
        <w:t>of </w:t>
      </w:r>
      <w:r>
        <w:rPr>
          <w:color w:val="010101"/>
          <w:w w:val="104"/>
          <w:sz w:val="20"/>
        </w:rPr>
        <w:t>these </w:t>
      </w:r>
      <w:r>
        <w:rPr>
          <w:color w:val="010101"/>
          <w:w w:val="104"/>
          <w:sz w:val="20"/>
        </w:rPr>
        <w:t>represents </w:t>
      </w:r>
      <w:r>
        <w:rPr>
          <w:color w:val="010101"/>
          <w:w w:val="112"/>
          <w:sz w:val="20"/>
        </w:rPr>
        <w:t>the </w:t>
      </w:r>
      <w:r>
        <w:rPr>
          <w:color w:val="010101"/>
          <w:w w:val="104"/>
          <w:sz w:val="20"/>
        </w:rPr>
        <w:t>present </w:t>
      </w:r>
      <w:r>
        <w:rPr>
          <w:color w:val="010101"/>
          <w:sz w:val="20"/>
        </w:rPr>
        <w:t>value  at age </w:t>
      </w:r>
      <w:r>
        <w:rPr>
          <w:rFonts w:ascii="Arial" w:hAnsi="Arial"/>
          <w:i/>
          <w:color w:val="010101"/>
          <w:sz w:val="17"/>
        </w:rPr>
        <w:t>x  </w:t>
      </w:r>
      <w:r>
        <w:rPr>
          <w:rFonts w:ascii="Arial" w:hAnsi="Arial"/>
          <w:color w:val="010101"/>
          <w:sz w:val="31"/>
        </w:rPr>
        <w:t>+     + </w:t>
      </w:r>
      <w:r>
        <w:rPr>
          <w:color w:val="010101"/>
          <w:sz w:val="20"/>
        </w:rPr>
        <w:t>m/12  of  a continuous  annuity, payable</w:t>
      </w:r>
      <w:r>
        <w:rPr>
          <w:color w:val="010101"/>
          <w:spacing w:val="-19"/>
          <w:sz w:val="20"/>
        </w:rPr>
        <w:t> </w:t>
      </w:r>
      <w:r>
        <w:rPr>
          <w:color w:val="010101"/>
          <w:sz w:val="20"/>
        </w:rPr>
        <w:t>dur­</w:t>
      </w:r>
    </w:p>
    <w:p>
      <w:pPr>
        <w:pStyle w:val="BodyText"/>
        <w:spacing w:before="11"/>
        <w:ind w:left="169"/>
        <w:jc w:val="both"/>
      </w:pPr>
      <w:r>
        <w:rPr>
          <w:color w:val="010101"/>
          <w:w w:val="110"/>
        </w:rPr>
        <w:t>ing</w:t>
      </w:r>
      <w:r>
        <w:rPr>
          <w:color w:val="010101"/>
          <w:spacing w:val="-16"/>
          <w:w w:val="110"/>
        </w:rPr>
        <w:t> </w:t>
      </w:r>
      <w:r>
        <w:rPr>
          <w:color w:val="010101"/>
          <w:w w:val="110"/>
        </w:rPr>
        <w:t>the</w:t>
      </w:r>
      <w:r>
        <w:rPr>
          <w:color w:val="010101"/>
          <w:spacing w:val="-14"/>
          <w:w w:val="110"/>
        </w:rPr>
        <w:t> </w:t>
      </w:r>
      <w:r>
        <w:rPr>
          <w:color w:val="010101"/>
          <w:w w:val="110"/>
        </w:rPr>
        <w:t>continuance</w:t>
      </w:r>
      <w:r>
        <w:rPr>
          <w:color w:val="010101"/>
          <w:spacing w:val="-9"/>
          <w:w w:val="110"/>
        </w:rPr>
        <w:t> </w:t>
      </w:r>
      <w:r>
        <w:rPr>
          <w:color w:val="010101"/>
          <w:w w:val="110"/>
        </w:rPr>
        <w:t>of</w:t>
      </w:r>
      <w:r>
        <w:rPr>
          <w:color w:val="010101"/>
          <w:spacing w:val="-5"/>
          <w:w w:val="110"/>
        </w:rPr>
        <w:t> </w:t>
      </w:r>
      <w:r>
        <w:rPr>
          <w:color w:val="010101"/>
          <w:w w:val="110"/>
        </w:rPr>
        <w:t>disability,</w:t>
      </w:r>
      <w:r>
        <w:rPr>
          <w:color w:val="010101"/>
          <w:spacing w:val="-4"/>
          <w:w w:val="110"/>
        </w:rPr>
        <w:t> </w:t>
      </w:r>
      <w:r>
        <w:rPr>
          <w:color w:val="010101"/>
          <w:w w:val="110"/>
        </w:rPr>
        <w:t>to</w:t>
      </w:r>
      <w:r>
        <w:rPr>
          <w:color w:val="010101"/>
          <w:spacing w:val="-11"/>
          <w:w w:val="110"/>
        </w:rPr>
        <w:t> </w:t>
      </w:r>
      <w:r>
        <w:rPr>
          <w:color w:val="010101"/>
          <w:w w:val="110"/>
        </w:rPr>
        <w:t>a</w:t>
      </w:r>
      <w:r>
        <w:rPr>
          <w:color w:val="010101"/>
          <w:spacing w:val="-25"/>
          <w:w w:val="110"/>
        </w:rPr>
        <w:t> </w:t>
      </w:r>
      <w:r>
        <w:rPr>
          <w:color w:val="010101"/>
          <w:w w:val="110"/>
        </w:rPr>
        <w:t>life</w:t>
      </w:r>
      <w:r>
        <w:rPr>
          <w:color w:val="010101"/>
          <w:spacing w:val="-16"/>
          <w:w w:val="110"/>
        </w:rPr>
        <w:t> </w:t>
      </w:r>
      <w:r>
        <w:rPr>
          <w:color w:val="010101"/>
          <w:w w:val="110"/>
        </w:rPr>
        <w:t>who</w:t>
      </w:r>
      <w:r>
        <w:rPr>
          <w:color w:val="010101"/>
          <w:spacing w:val="-20"/>
          <w:w w:val="110"/>
        </w:rPr>
        <w:t> </w:t>
      </w:r>
      <w:r>
        <w:rPr>
          <w:color w:val="010101"/>
          <w:w w:val="110"/>
        </w:rPr>
        <w:t>entered</w:t>
      </w:r>
      <w:r>
        <w:rPr>
          <w:color w:val="010101"/>
          <w:spacing w:val="-13"/>
          <w:w w:val="110"/>
        </w:rPr>
        <w:t> </w:t>
      </w:r>
      <w:r>
        <w:rPr>
          <w:color w:val="010101"/>
          <w:w w:val="110"/>
        </w:rPr>
        <w:t>state</w:t>
      </w:r>
      <w:r>
        <w:rPr>
          <w:color w:val="010101"/>
          <w:spacing w:val="-31"/>
          <w:w w:val="110"/>
        </w:rPr>
        <w:t> </w:t>
      </w:r>
      <w:r>
        <w:rPr>
          <w:color w:val="010101"/>
          <w:w w:val="110"/>
        </w:rPr>
        <w:t>i</w:t>
      </w:r>
      <w:r>
        <w:rPr>
          <w:color w:val="010101"/>
          <w:spacing w:val="-28"/>
          <w:w w:val="110"/>
        </w:rPr>
        <w:t> </w:t>
      </w:r>
      <w:r>
        <w:rPr>
          <w:color w:val="010101"/>
          <w:w w:val="110"/>
        </w:rPr>
        <w:t>at</w:t>
      </w:r>
      <w:r>
        <w:rPr>
          <w:color w:val="010101"/>
          <w:spacing w:val="-24"/>
          <w:w w:val="110"/>
        </w:rPr>
        <w:t> </w:t>
      </w:r>
      <w:r>
        <w:rPr>
          <w:color w:val="010101"/>
          <w:w w:val="110"/>
        </w:rPr>
        <w:t>age</w:t>
      </w:r>
    </w:p>
    <w:p>
      <w:pPr>
        <w:spacing w:after="0"/>
        <w:jc w:val="both"/>
        <w:sectPr>
          <w:pgSz w:w="7200" w:h="11340"/>
          <w:pgMar w:top="500" w:bottom="280" w:left="660" w:right="560"/>
        </w:sectPr>
      </w:pPr>
    </w:p>
    <w:p>
      <w:pPr>
        <w:tabs>
          <w:tab w:pos="1967" w:val="left" w:leader="none"/>
          <w:tab w:pos="5254" w:val="left" w:leader="none"/>
        </w:tabs>
        <w:spacing w:before="66"/>
        <w:ind w:left="114" w:right="0" w:firstLine="7"/>
        <w:jc w:val="both"/>
        <w:rPr>
          <w:rFonts w:ascii="Arial"/>
          <w:b/>
          <w:sz w:val="19"/>
        </w:rPr>
      </w:pPr>
      <w:r>
        <w:rPr>
          <w:rFonts w:ascii="Arial"/>
          <w:sz w:val="19"/>
        </w:rPr>
        <w:t>320</w:t>
        <w:tab/>
      </w:r>
      <w:r>
        <w:rPr>
          <w:b/>
          <w:position w:val="1"/>
          <w:sz w:val="15"/>
        </w:rPr>
        <w:t>A  </w:t>
      </w:r>
      <w:r>
        <w:rPr>
          <w:b/>
          <w:spacing w:val="2"/>
          <w:position w:val="1"/>
          <w:sz w:val="15"/>
        </w:rPr>
        <w:t> </w:t>
      </w:r>
      <w:r>
        <w:rPr>
          <w:b/>
          <w:position w:val="1"/>
          <w:sz w:val="15"/>
        </w:rPr>
        <w:t>GENERALIZED </w:t>
      </w:r>
      <w:r>
        <w:rPr>
          <w:b/>
          <w:spacing w:val="37"/>
          <w:position w:val="1"/>
          <w:sz w:val="15"/>
        </w:rPr>
        <w:t> </w:t>
      </w:r>
      <w:r>
        <w:rPr>
          <w:b/>
          <w:position w:val="1"/>
          <w:sz w:val="15"/>
        </w:rPr>
        <w:t>MODEL</w:t>
        <w:tab/>
      </w:r>
      <w:r>
        <w:rPr>
          <w:b/>
          <w:position w:val="1"/>
          <w:sz w:val="19"/>
        </w:rPr>
        <w:t>[CH.</w:t>
      </w:r>
      <w:r>
        <w:rPr>
          <w:b/>
          <w:spacing w:val="8"/>
          <w:position w:val="1"/>
          <w:sz w:val="19"/>
        </w:rPr>
        <w:t> </w:t>
      </w:r>
      <w:r>
        <w:rPr>
          <w:rFonts w:ascii="Arial"/>
          <w:b/>
          <w:spacing w:val="-17"/>
          <w:position w:val="1"/>
          <w:sz w:val="19"/>
        </w:rPr>
        <w:t>16</w:t>
      </w:r>
    </w:p>
    <w:p>
      <w:pPr>
        <w:spacing w:line="297" w:lineRule="exact" w:before="133"/>
        <w:ind w:left="114" w:right="0" w:firstLine="0"/>
        <w:jc w:val="both"/>
        <w:rPr>
          <w:sz w:val="19"/>
        </w:rPr>
      </w:pPr>
      <w:r>
        <w:rPr>
          <w:rFonts w:ascii="Arial" w:hAnsi="Arial"/>
          <w:i/>
          <w:sz w:val="17"/>
        </w:rPr>
        <w:t>x  </w:t>
      </w:r>
      <w:r>
        <w:rPr>
          <w:rFonts w:ascii="Arial" w:hAnsi="Arial"/>
          <w:sz w:val="31"/>
        </w:rPr>
        <w:t>+     </w:t>
      </w:r>
      <w:r>
        <w:rPr>
          <w:sz w:val="21"/>
        </w:rPr>
        <w:t>(used  as the average  age  at  disability  of  those  who  </w:t>
      </w:r>
      <w:r>
        <w:rPr>
          <w:sz w:val="19"/>
        </w:rPr>
        <w:t>be­</w:t>
      </w:r>
    </w:p>
    <w:p>
      <w:pPr>
        <w:spacing w:line="285" w:lineRule="exact" w:before="0"/>
        <w:ind w:left="114" w:right="0" w:firstLine="10"/>
        <w:jc w:val="both"/>
        <w:rPr>
          <w:sz w:val="21"/>
        </w:rPr>
      </w:pPr>
      <w:r>
        <w:rPr>
          <w:w w:val="105"/>
          <w:sz w:val="21"/>
        </w:rPr>
        <w:t>come disabled between ages </w:t>
      </w:r>
      <w:r>
        <w:rPr>
          <w:i/>
          <w:w w:val="105"/>
          <w:sz w:val="20"/>
        </w:rPr>
        <w:t>x </w:t>
      </w:r>
      <w:r>
        <w:rPr>
          <w:w w:val="105"/>
          <w:sz w:val="21"/>
        </w:rPr>
        <w:t>and </w:t>
      </w:r>
      <w:r>
        <w:rPr>
          <w:i/>
          <w:w w:val="105"/>
          <w:sz w:val="20"/>
        </w:rPr>
        <w:t>x  </w:t>
      </w:r>
      <w:r>
        <w:rPr>
          <w:rFonts w:ascii="Arial"/>
          <w:w w:val="105"/>
          <w:sz w:val="31"/>
        </w:rPr>
        <w:t>+ </w:t>
      </w:r>
      <w:r>
        <w:rPr>
          <w:w w:val="105"/>
          <w:sz w:val="21"/>
        </w:rPr>
        <w:t>1). </w:t>
      </w:r>
      <w:r>
        <w:rPr>
          <w:w w:val="105"/>
          <w:sz w:val="22"/>
        </w:rPr>
        <w:t>It </w:t>
      </w:r>
      <w:r>
        <w:rPr>
          <w:w w:val="105"/>
          <w:sz w:val="21"/>
        </w:rPr>
        <w:t>is thus the  present</w:t>
      </w:r>
    </w:p>
    <w:p>
      <w:pPr>
        <w:spacing w:line="237" w:lineRule="auto" w:before="0"/>
        <w:ind w:left="106" w:right="146" w:firstLine="7"/>
        <w:jc w:val="both"/>
        <w:rPr>
          <w:sz w:val="21"/>
        </w:rPr>
      </w:pPr>
      <w:r>
        <w:rPr>
          <w:sz w:val="21"/>
        </w:rPr>
        <w:t>value at the end of the waiting period of an annuity with payments beginning at that time. The annuity terminates at recovery or prior death. Because of the high rab: s of recovery in the early months following the end of the </w:t>
      </w:r>
      <w:r>
        <w:rPr>
          <w:rFonts w:ascii="Arial"/>
          <w:i/>
          <w:sz w:val="18"/>
        </w:rPr>
        <w:t>m </w:t>
      </w:r>
      <w:r>
        <w:rPr>
          <w:sz w:val="21"/>
        </w:rPr>
        <w:t>months waiting period, select annuity values are used.</w:t>
      </w:r>
    </w:p>
    <w:p>
      <w:pPr>
        <w:spacing w:line="238" w:lineRule="exact" w:before="0"/>
        <w:ind w:left="315" w:right="0" w:firstLine="0"/>
        <w:jc w:val="left"/>
        <w:rPr>
          <w:sz w:val="21"/>
        </w:rPr>
      </w:pPr>
      <w:r>
        <w:rPr>
          <w:w w:val="105"/>
          <w:sz w:val="21"/>
        </w:rPr>
        <w:t>It is of interest to note that the  equation</w:t>
      </w:r>
    </w:p>
    <w:p>
      <w:pPr>
        <w:pStyle w:val="BodyText"/>
        <w:spacing w:before="5"/>
        <w:rPr>
          <w:sz w:val="11"/>
        </w:rPr>
      </w:pPr>
    </w:p>
    <w:p>
      <w:pPr>
        <w:tabs>
          <w:tab w:pos="2547" w:val="left" w:leader="none"/>
          <w:tab w:pos="3289" w:val="left" w:leader="none"/>
          <w:tab w:pos="3764" w:val="left" w:leader="none"/>
        </w:tabs>
        <w:spacing w:line="123" w:lineRule="exact" w:before="0"/>
        <w:ind w:left="1730" w:right="0" w:firstLine="0"/>
        <w:jc w:val="left"/>
        <w:rPr>
          <w:sz w:val="13"/>
        </w:rPr>
      </w:pPr>
      <w:r>
        <w:rPr/>
        <w:pict>
          <v:shape style="position:absolute;margin-left:143.279999pt;margin-top:3.072281pt;width:6.85pt;height:12pt;mso-position-horizontal-relative:page;mso-position-vertical-relative:paragraph;z-index:-710200" type="#_x0000_t202" filled="false" stroked="false">
            <v:textbox inset="0,0,0,0">
              <w:txbxContent>
                <w:p>
                  <w:pPr>
                    <w:spacing w:line="240" w:lineRule="exact" w:before="0"/>
                    <w:ind w:left="0" w:right="0" w:firstLine="0"/>
                    <w:jc w:val="left"/>
                    <w:rPr>
                      <w:sz w:val="24"/>
                    </w:rPr>
                  </w:pPr>
                  <w:r>
                    <w:rPr>
                      <w:w w:val="100"/>
                      <w:sz w:val="24"/>
                    </w:rPr>
                    <w:t>=</w:t>
                  </w:r>
                </w:p>
              </w:txbxContent>
            </v:textbox>
            <w10:wrap type="none"/>
          </v:shape>
        </w:pict>
      </w:r>
      <w:r>
        <w:rPr>
          <w:i/>
          <w:w w:val="130"/>
          <w:sz w:val="13"/>
        </w:rPr>
        <w:t>i</w:t>
        <w:tab/>
      </w:r>
      <w:r>
        <w:rPr>
          <w:b/>
          <w:w w:val="125"/>
          <w:sz w:val="12"/>
        </w:rPr>
        <w:t>m/12</w:t>
        <w:tab/>
      </w:r>
      <w:r>
        <w:rPr>
          <w:i/>
          <w:w w:val="125"/>
          <w:sz w:val="13"/>
        </w:rPr>
        <w:t>i</w:t>
        <w:tab/>
      </w:r>
      <w:r>
        <w:rPr>
          <w:w w:val="125"/>
          <w:sz w:val="13"/>
        </w:rPr>
        <w:t>_¡</w:t>
      </w:r>
    </w:p>
    <w:p>
      <w:pPr>
        <w:tabs>
          <w:tab w:pos="1169" w:val="left" w:leader="none"/>
          <w:tab w:pos="1605" w:val="left" w:leader="none"/>
        </w:tabs>
        <w:spacing w:line="173" w:lineRule="exact" w:before="0"/>
        <w:ind w:left="0" w:right="24" w:firstLine="0"/>
        <w:jc w:val="center"/>
        <w:rPr>
          <w:sz w:val="17"/>
        </w:rPr>
      </w:pPr>
      <w:r>
        <w:rPr>
          <w:w w:val="90"/>
          <w:sz w:val="17"/>
        </w:rPr>
        <w:t>m/12</w:t>
      </w:r>
      <w:r>
        <w:rPr>
          <w:spacing w:val="-25"/>
          <w:w w:val="90"/>
          <w:sz w:val="17"/>
        </w:rPr>
        <w:t> </w:t>
      </w:r>
      <w:r>
        <w:rPr>
          <w:rFonts w:ascii="Arial" w:hAnsi="Arial"/>
          <w:w w:val="90"/>
          <w:position w:val="-1"/>
          <w:sz w:val="10"/>
        </w:rPr>
        <w:t>1</w:t>
      </w:r>
      <w:r>
        <w:rPr>
          <w:w w:val="90"/>
          <w:sz w:val="17"/>
        </w:rPr>
        <w:t>ácz+U</w:t>
        <w:tab/>
      </w:r>
      <w:r>
        <w:rPr>
          <w:rFonts w:ascii="Arial" w:hAnsi="Arial"/>
          <w:i/>
          <w:sz w:val="14"/>
        </w:rPr>
        <w:t>V</w:t>
        <w:tab/>
      </w:r>
      <w:r>
        <w:rPr>
          <w:w w:val="95"/>
          <w:sz w:val="17"/>
        </w:rPr>
        <w:t>m/12Pcz+!I  acz+tl +in/12</w:t>
      </w:r>
      <w:r>
        <w:rPr>
          <w:spacing w:val="-16"/>
          <w:w w:val="95"/>
          <w:sz w:val="17"/>
        </w:rPr>
        <w:t> </w:t>
      </w:r>
      <w:r>
        <w:rPr>
          <w:w w:val="95"/>
          <w:sz w:val="17"/>
        </w:rPr>
        <w:t>,</w:t>
      </w:r>
    </w:p>
    <w:p>
      <w:pPr>
        <w:pStyle w:val="BodyText"/>
        <w:spacing w:before="8"/>
        <w:rPr>
          <w:sz w:val="16"/>
        </w:rPr>
      </w:pPr>
    </w:p>
    <w:p>
      <w:pPr>
        <w:spacing w:line="172" w:lineRule="auto" w:before="0"/>
        <w:ind w:left="110" w:right="152" w:hanging="4"/>
        <w:jc w:val="left"/>
        <w:rPr>
          <w:sz w:val="21"/>
        </w:rPr>
      </w:pPr>
      <w:r>
        <w:rPr>
          <w:sz w:val="21"/>
        </w:rPr>
        <w:t>where </w:t>
      </w:r>
      <w:r>
        <w:rPr>
          <w:i/>
          <w:sz w:val="16"/>
        </w:rPr>
        <w:t>m/12Pz+U </w:t>
      </w:r>
      <w:r>
        <w:rPr>
          <w:sz w:val="21"/>
        </w:rPr>
        <w:t>represents the probability that </w:t>
      </w:r>
      <w:r>
        <w:rPr>
          <w:rFonts w:ascii="Arial"/>
          <w:sz w:val="18"/>
        </w:rPr>
        <w:t>a </w:t>
      </w:r>
      <w:r>
        <w:rPr>
          <w:sz w:val="19"/>
        </w:rPr>
        <w:t>life </w:t>
      </w:r>
      <w:r>
        <w:rPr>
          <w:sz w:val="21"/>
        </w:rPr>
        <w:t>just entering state </w:t>
      </w:r>
      <w:r>
        <w:rPr>
          <w:w w:val="115"/>
          <w:sz w:val="20"/>
        </w:rPr>
        <w:t>i </w:t>
      </w:r>
      <w:r>
        <w:rPr>
          <w:sz w:val="21"/>
        </w:rPr>
        <w:t>at age </w:t>
      </w:r>
      <w:r>
        <w:rPr>
          <w:i/>
          <w:sz w:val="20"/>
        </w:rPr>
        <w:t>x  </w:t>
      </w:r>
      <w:r>
        <w:rPr>
          <w:sz w:val="29"/>
        </w:rPr>
        <w:t>+ </w:t>
      </w:r>
      <w:r>
        <w:rPr>
          <w:sz w:val="28"/>
        </w:rPr>
        <w:t>H </w:t>
      </w:r>
      <w:r>
        <w:rPr>
          <w:sz w:val="21"/>
        </w:rPr>
        <w:t>will  remain  disabled  for </w:t>
      </w:r>
      <w:r>
        <w:rPr>
          <w:i/>
          <w:sz w:val="20"/>
        </w:rPr>
        <w:t>m  </w:t>
      </w:r>
      <w:r>
        <w:rPr>
          <w:sz w:val="21"/>
        </w:rPr>
        <w:t>months,  reduces</w:t>
      </w:r>
    </w:p>
    <w:p>
      <w:pPr>
        <w:spacing w:before="14"/>
        <w:ind w:left="110" w:right="0" w:firstLine="0"/>
        <w:jc w:val="left"/>
        <w:rPr>
          <w:sz w:val="21"/>
        </w:rPr>
      </w:pPr>
      <w:r>
        <w:rPr>
          <w:w w:val="110"/>
          <w:sz w:val="21"/>
        </w:rPr>
        <w:t>to</w:t>
      </w:r>
    </w:p>
    <w:p>
      <w:pPr>
        <w:spacing w:line="117" w:lineRule="exact" w:before="130"/>
        <w:ind w:left="617" w:right="87" w:firstLine="0"/>
        <w:jc w:val="center"/>
        <w:rPr>
          <w:sz w:val="12"/>
        </w:rPr>
      </w:pPr>
      <w:r>
        <w:rPr/>
        <w:drawing>
          <wp:anchor distT="0" distB="0" distL="0" distR="0" allowOverlap="1" layoutInCell="1" locked="0" behindDoc="0" simplePos="0" relativeHeight="25792">
            <wp:simplePos x="0" y="0"/>
            <wp:positionH relativeFrom="page">
              <wp:posOffset>1563624</wp:posOffset>
            </wp:positionH>
            <wp:positionV relativeFrom="paragraph">
              <wp:posOffset>96539</wp:posOffset>
            </wp:positionV>
            <wp:extent cx="493775" cy="155448"/>
            <wp:effectExtent l="0" t="0" r="0" b="0"/>
            <wp:wrapNone/>
            <wp:docPr id="793" name="image405.png" descr=""/>
            <wp:cNvGraphicFramePr>
              <a:graphicFrameLocks noChangeAspect="1"/>
            </wp:cNvGraphicFramePr>
            <a:graphic>
              <a:graphicData uri="http://schemas.openxmlformats.org/drawingml/2006/picture">
                <pic:pic>
                  <pic:nvPicPr>
                    <pic:cNvPr id="794" name="image405.png"/>
                    <pic:cNvPicPr/>
                  </pic:nvPicPr>
                  <pic:blipFill>
                    <a:blip r:embed="rId409" cstate="print"/>
                    <a:stretch>
                      <a:fillRect/>
                    </a:stretch>
                  </pic:blipFill>
                  <pic:spPr>
                    <a:xfrm>
                      <a:off x="0" y="0"/>
                      <a:ext cx="493775" cy="155448"/>
                    </a:xfrm>
                    <a:prstGeom prst="rect">
                      <a:avLst/>
                    </a:prstGeom>
                  </pic:spPr>
                </pic:pic>
              </a:graphicData>
            </a:graphic>
          </wp:anchor>
        </w:drawing>
      </w:r>
      <w:r>
        <w:rPr>
          <w:b/>
          <w:w w:val="115"/>
          <w:sz w:val="12"/>
        </w:rPr>
        <w:t>m/12 </w:t>
      </w:r>
      <w:r>
        <w:rPr>
          <w:w w:val="115"/>
          <w:sz w:val="12"/>
        </w:rPr>
        <w:t>_¡</w:t>
      </w:r>
    </w:p>
    <w:p>
      <w:pPr>
        <w:tabs>
          <w:tab w:pos="3325" w:val="left" w:leader="none"/>
        </w:tabs>
        <w:spacing w:line="163" w:lineRule="exact" w:before="0"/>
        <w:ind w:left="2983" w:right="0" w:firstLine="0"/>
        <w:jc w:val="left"/>
        <w:rPr>
          <w:b/>
          <w:sz w:val="16"/>
        </w:rPr>
      </w:pPr>
      <w:r>
        <w:rPr>
          <w:rFonts w:ascii="Arial"/>
          <w:b/>
          <w:i/>
          <w:sz w:val="13"/>
        </w:rPr>
        <w:t>V</w:t>
        <w:tab/>
      </w:r>
      <w:r>
        <w:rPr>
          <w:b/>
          <w:w w:val="95"/>
          <w:sz w:val="16"/>
        </w:rPr>
        <w:t>acz+tl</w:t>
      </w:r>
      <w:r>
        <w:rPr>
          <w:b/>
          <w:spacing w:val="-20"/>
          <w:w w:val="95"/>
          <w:sz w:val="16"/>
        </w:rPr>
        <w:t> </w:t>
      </w:r>
      <w:r>
        <w:rPr>
          <w:b/>
          <w:w w:val="95"/>
          <w:sz w:val="16"/>
        </w:rPr>
        <w:t>+in/12</w:t>
      </w:r>
    </w:p>
    <w:p>
      <w:pPr>
        <w:spacing w:before="143"/>
        <w:ind w:left="110" w:right="0" w:firstLine="0"/>
        <w:jc w:val="left"/>
        <w:rPr>
          <w:sz w:val="21"/>
        </w:rPr>
      </w:pPr>
      <w:r>
        <w:rPr>
          <w:sz w:val="21"/>
        </w:rPr>
        <w:t>since, by the dcfinition of the contingency i,</w:t>
      </w:r>
    </w:p>
    <w:p>
      <w:pPr>
        <w:spacing w:before="159"/>
        <w:ind w:left="46" w:right="87" w:firstLine="0"/>
        <w:jc w:val="center"/>
        <w:rPr>
          <w:sz w:val="19"/>
        </w:rPr>
      </w:pPr>
      <w:r>
        <w:rPr>
          <w:sz w:val="18"/>
        </w:rPr>
        <w:t>1n112P1z+tl </w:t>
      </w:r>
      <w:r>
        <w:rPr>
          <w:sz w:val="24"/>
        </w:rPr>
        <w:t>= </w:t>
      </w:r>
      <w:r>
        <w:rPr>
          <w:w w:val="135"/>
          <w:sz w:val="19"/>
        </w:rPr>
        <w:t>l.</w:t>
      </w:r>
    </w:p>
    <w:p>
      <w:pPr>
        <w:spacing w:line="249" w:lineRule="auto" w:before="113"/>
        <w:ind w:left="106" w:right="145" w:firstLine="208"/>
        <w:jc w:val="both"/>
        <w:rPr>
          <w:sz w:val="21"/>
        </w:rPr>
      </w:pPr>
      <w:r>
        <w:rPr>
          <w:sz w:val="22"/>
        </w:rPr>
        <w:t>In </w:t>
      </w:r>
      <w:r>
        <w:rPr>
          <w:sz w:val="21"/>
        </w:rPr>
        <w:t>the formulas that follow, we shall use </w:t>
      </w:r>
      <w:r>
        <w:rPr>
          <w:rFonts w:ascii="Arial"/>
          <w:i/>
          <w:sz w:val="18"/>
        </w:rPr>
        <w:t>y </w:t>
      </w:r>
      <w:r>
        <w:rPr>
          <w:sz w:val="21"/>
        </w:rPr>
        <w:t>to denote the age at which the disability coverage expires. It is not required that the waiting period be completed before age </w:t>
      </w:r>
      <w:r>
        <w:rPr>
          <w:i/>
          <w:sz w:val="20"/>
        </w:rPr>
        <w:t>y, </w:t>
      </w:r>
      <w:r>
        <w:rPr>
          <w:sz w:val="21"/>
        </w:rPr>
        <w:t>but only that the initial date of disability occur before age </w:t>
      </w:r>
      <w:r>
        <w:rPr>
          <w:i/>
          <w:sz w:val="20"/>
        </w:rPr>
        <w:t>y. </w:t>
      </w:r>
      <w:r>
        <w:rPr>
          <w:sz w:val="21"/>
        </w:rPr>
        <w:t>The expiry age </w:t>
      </w:r>
      <w:r>
        <w:rPr>
          <w:i/>
          <w:sz w:val="20"/>
        </w:rPr>
        <w:t>y </w:t>
      </w:r>
      <w:r>
        <w:rPr>
          <w:sz w:val="21"/>
        </w:rPr>
        <w:t>should also  be distinguished from the age at which any benefits cease, which will be denoted by u. A disability clause may provide, for</w:t>
      </w:r>
      <w:r>
        <w:rPr>
          <w:spacing w:val="48"/>
          <w:sz w:val="21"/>
        </w:rPr>
        <w:t> </w:t>
      </w:r>
      <w:r>
        <w:rPr>
          <w:spacing w:val="2"/>
          <w:sz w:val="21"/>
        </w:rPr>
        <w:t>example,</w:t>
      </w:r>
    </w:p>
    <w:p>
      <w:pPr>
        <w:spacing w:line="189" w:lineRule="auto" w:before="5"/>
        <w:ind w:left="110" w:right="241" w:firstLine="3"/>
        <w:jc w:val="left"/>
        <w:rPr>
          <w:sz w:val="21"/>
        </w:rPr>
      </w:pPr>
      <w:r>
        <w:rPr>
          <w:sz w:val="21"/>
        </w:rPr>
        <w:t>that the coverage expires at age 60 </w:t>
      </w:r>
      <w:r>
        <w:rPr>
          <w:rFonts w:ascii="Arial"/>
          <w:i/>
          <w:sz w:val="20"/>
        </w:rPr>
        <w:t>(y </w:t>
      </w:r>
      <w:r>
        <w:rPr>
          <w:sz w:val="26"/>
        </w:rPr>
        <w:t>=  </w:t>
      </w:r>
      <w:r>
        <w:rPr>
          <w:sz w:val="21"/>
        </w:rPr>
        <w:t>60)  and  the  benefits cease at age 65  (u  </w:t>
      </w:r>
      <w:r>
        <w:rPr>
          <w:sz w:val="28"/>
        </w:rPr>
        <w:t>= </w:t>
      </w:r>
      <w:r>
        <w:rPr>
          <w:sz w:val="21"/>
        </w:rPr>
        <w:t>65).</w:t>
      </w:r>
    </w:p>
    <w:p>
      <w:pPr>
        <w:spacing w:line="252" w:lineRule="auto" w:before="0"/>
        <w:ind w:left="106" w:right="151" w:firstLine="198"/>
        <w:jc w:val="both"/>
        <w:rPr>
          <w:b/>
          <w:sz w:val="20"/>
        </w:rPr>
      </w:pPr>
      <w:r>
        <w:rPr>
          <w:sz w:val="21"/>
        </w:rPr>
        <w:t>The simplest benefit </w:t>
      </w:r>
      <w:r>
        <w:rPr>
          <w:sz w:val="22"/>
        </w:rPr>
        <w:t>to </w:t>
      </w:r>
      <w:r>
        <w:rPr>
          <w:sz w:val="21"/>
        </w:rPr>
        <w:t>evaluate is a lump sum payment of </w:t>
      </w:r>
      <w:r>
        <w:rPr>
          <w:rFonts w:ascii="Arial"/>
          <w:b/>
          <w:sz w:val="18"/>
        </w:rPr>
        <w:t>1 </w:t>
      </w:r>
      <w:r>
        <w:rPr>
          <w:sz w:val="21"/>
        </w:rPr>
        <w:t>at  the end of the </w:t>
      </w:r>
      <w:r>
        <w:rPr>
          <w:rFonts w:ascii="Arial"/>
          <w:i/>
          <w:sz w:val="18"/>
        </w:rPr>
        <w:t>m </w:t>
      </w:r>
      <w:r>
        <w:rPr>
          <w:sz w:val="21"/>
        </w:rPr>
        <w:t>months waiting period. We approximate the net single premium at age </w:t>
      </w:r>
      <w:r>
        <w:rPr>
          <w:rFonts w:ascii="Arial"/>
          <w:i/>
          <w:sz w:val="18"/>
        </w:rPr>
        <w:t>x </w:t>
      </w:r>
      <w:r>
        <w:rPr>
          <w:sz w:val="21"/>
        </w:rPr>
        <w:t>on the assumption that disability occurs in the middle of the policy </w:t>
      </w:r>
      <w:r>
        <w:rPr>
          <w:spacing w:val="2"/>
          <w:sz w:val="21"/>
        </w:rPr>
        <w:t> </w:t>
      </w:r>
      <w:r>
        <w:rPr>
          <w:b/>
          <w:sz w:val="20"/>
        </w:rPr>
        <w:t>year:</w:t>
      </w:r>
    </w:p>
    <w:p>
      <w:pPr>
        <w:spacing w:line="412" w:lineRule="exact" w:before="50"/>
        <w:ind w:left="739" w:right="87" w:firstLine="0"/>
        <w:jc w:val="center"/>
        <w:rPr>
          <w:rFonts w:ascii="Arial"/>
          <w:i/>
          <w:sz w:val="40"/>
        </w:rPr>
      </w:pPr>
      <w:r>
        <w:rPr/>
        <w:drawing>
          <wp:anchor distT="0" distB="0" distL="0" distR="0" allowOverlap="1" layoutInCell="1" locked="0" behindDoc="0" simplePos="0" relativeHeight="25816">
            <wp:simplePos x="0" y="0"/>
            <wp:positionH relativeFrom="page">
              <wp:posOffset>1051560</wp:posOffset>
            </wp:positionH>
            <wp:positionV relativeFrom="paragraph">
              <wp:posOffset>274571</wp:posOffset>
            </wp:positionV>
            <wp:extent cx="1143000" cy="292608"/>
            <wp:effectExtent l="0" t="0" r="0" b="0"/>
            <wp:wrapNone/>
            <wp:docPr id="795" name="image406.png" descr=""/>
            <wp:cNvGraphicFramePr>
              <a:graphicFrameLocks noChangeAspect="1"/>
            </wp:cNvGraphicFramePr>
            <a:graphic>
              <a:graphicData uri="http://schemas.openxmlformats.org/drawingml/2006/picture">
                <pic:pic>
                  <pic:nvPicPr>
                    <pic:cNvPr id="796" name="image406.png"/>
                    <pic:cNvPicPr/>
                  </pic:nvPicPr>
                  <pic:blipFill>
                    <a:blip r:embed="rId410" cstate="print"/>
                    <a:stretch>
                      <a:fillRect/>
                    </a:stretch>
                  </pic:blipFill>
                  <pic:spPr>
                    <a:xfrm>
                      <a:off x="0" y="0"/>
                      <a:ext cx="1143000" cy="292608"/>
                    </a:xfrm>
                    <a:prstGeom prst="rect">
                      <a:avLst/>
                    </a:prstGeom>
                  </pic:spPr>
                </pic:pic>
              </a:graphicData>
            </a:graphic>
          </wp:anchor>
        </w:drawing>
      </w:r>
      <w:r>
        <w:rPr/>
        <w:drawing>
          <wp:anchor distT="0" distB="0" distL="0" distR="0" allowOverlap="1" layoutInCell="1" locked="0" behindDoc="1" simplePos="0" relativeHeight="267725231">
            <wp:simplePos x="0" y="0"/>
            <wp:positionH relativeFrom="page">
              <wp:posOffset>3008376</wp:posOffset>
            </wp:positionH>
            <wp:positionV relativeFrom="paragraph">
              <wp:posOffset>237994</wp:posOffset>
            </wp:positionV>
            <wp:extent cx="484631" cy="329184"/>
            <wp:effectExtent l="0" t="0" r="0" b="0"/>
            <wp:wrapNone/>
            <wp:docPr id="797" name="image407.png" descr=""/>
            <wp:cNvGraphicFramePr>
              <a:graphicFrameLocks noChangeAspect="1"/>
            </wp:cNvGraphicFramePr>
            <a:graphic>
              <a:graphicData uri="http://schemas.openxmlformats.org/drawingml/2006/picture">
                <pic:pic>
                  <pic:nvPicPr>
                    <pic:cNvPr id="798" name="image407.png"/>
                    <pic:cNvPicPr/>
                  </pic:nvPicPr>
                  <pic:blipFill>
                    <a:blip r:embed="rId411" cstate="print"/>
                    <a:stretch>
                      <a:fillRect/>
                    </a:stretch>
                  </pic:blipFill>
                  <pic:spPr>
                    <a:xfrm>
                      <a:off x="0" y="0"/>
                      <a:ext cx="484631" cy="329184"/>
                    </a:xfrm>
                    <a:prstGeom prst="rect">
                      <a:avLst/>
                    </a:prstGeom>
                  </pic:spPr>
                </pic:pic>
              </a:graphicData>
            </a:graphic>
          </wp:anchor>
        </w:drawing>
      </w:r>
      <w:r>
        <w:rPr/>
        <w:pict>
          <v:shape style="position:absolute;margin-left:197.100006pt;margin-top:7.397876pt;width:14.1pt;height:6pt;mso-position-horizontal-relative:page;mso-position-vertical-relative:paragraph;z-index:-710176" type="#_x0000_t202" filled="false" stroked="false">
            <v:textbox inset="0,0,0,0">
              <w:txbxContent>
                <w:p>
                  <w:pPr>
                    <w:spacing w:line="120" w:lineRule="exact" w:before="0"/>
                    <w:ind w:left="0" w:right="-19" w:firstLine="0"/>
                    <w:jc w:val="left"/>
                    <w:rPr>
                      <w:rFonts w:ascii="Arial"/>
                      <w:b/>
                      <w:sz w:val="12"/>
                    </w:rPr>
                  </w:pPr>
                  <w:r>
                    <w:rPr>
                      <w:rFonts w:ascii="Arial"/>
                      <w:b/>
                      <w:w w:val="200"/>
                      <w:sz w:val="12"/>
                    </w:rPr>
                    <w:t>.-1</w:t>
                  </w:r>
                </w:p>
              </w:txbxContent>
            </v:textbox>
            <w10:wrap type="none"/>
          </v:shape>
        </w:pict>
      </w:r>
      <w:r>
        <w:rPr>
          <w:w w:val="111"/>
          <w:sz w:val="13"/>
        </w:rPr>
        <w:t>v"'/12</w:t>
      </w:r>
      <w:r>
        <w:rPr>
          <w:sz w:val="13"/>
        </w:rPr>
        <w:t> </w:t>
      </w:r>
      <w:r>
        <w:rPr>
          <w:spacing w:val="8"/>
          <w:sz w:val="13"/>
        </w:rPr>
        <w:t> </w:t>
      </w:r>
      <w:r>
        <w:rPr>
          <w:w w:val="127"/>
          <w:sz w:val="33"/>
        </w:rPr>
        <w:t>I</w:t>
      </w:r>
      <w:r>
        <w:rPr>
          <w:spacing w:val="23"/>
          <w:w w:val="127"/>
          <w:sz w:val="33"/>
        </w:rPr>
        <w:t>:</w:t>
      </w:r>
      <w:r>
        <w:rPr>
          <w:rFonts w:ascii="Arial"/>
          <w:i/>
          <w:w w:val="58"/>
          <w:sz w:val="40"/>
        </w:rPr>
        <w:t>e:</w:t>
      </w:r>
    </w:p>
    <w:p>
      <w:pPr>
        <w:tabs>
          <w:tab w:pos="3289" w:val="left" w:leader="none"/>
          <w:tab w:pos="5218" w:val="left" w:leader="none"/>
        </w:tabs>
        <w:spacing w:line="215" w:lineRule="exact" w:before="0"/>
        <w:ind w:left="2882" w:right="0" w:firstLine="0"/>
        <w:jc w:val="left"/>
        <w:rPr>
          <w:sz w:val="21"/>
        </w:rPr>
      </w:pPr>
      <w:r>
        <w:rPr>
          <w:rFonts w:ascii="Courier New" w:hAnsi="Courier New"/>
          <w:b/>
          <w:w w:val="99"/>
          <w:sz w:val="19"/>
          <w:u w:val="single"/>
        </w:rPr>
        <w:t> </w:t>
      </w:r>
      <w:r>
        <w:rPr>
          <w:rFonts w:ascii="Courier New" w:hAnsi="Courier New"/>
          <w:b/>
          <w:sz w:val="19"/>
          <w:u w:val="single"/>
        </w:rPr>
        <w:tab/>
      </w:r>
      <w:r>
        <w:rPr>
          <w:rFonts w:ascii="Courier New" w:hAnsi="Courier New"/>
          <w:b/>
          <w:spacing w:val="-26"/>
          <w:sz w:val="19"/>
          <w:u w:val="single"/>
        </w:rPr>
        <w:t>•-z</w:t>
      </w:r>
      <w:r>
        <w:rPr>
          <w:rFonts w:ascii="Courier New" w:hAnsi="Courier New"/>
          <w:b/>
          <w:spacing w:val="-26"/>
          <w:sz w:val="19"/>
        </w:rPr>
        <w:tab/>
      </w:r>
      <w:r>
        <w:rPr>
          <w:position w:val="1"/>
          <w:sz w:val="21"/>
        </w:rPr>
        <w:t>(16.36)</w:t>
      </w:r>
    </w:p>
    <w:p>
      <w:pPr>
        <w:pStyle w:val="BodyText"/>
        <w:spacing w:before="10"/>
        <w:rPr>
          <w:sz w:val="21"/>
        </w:rPr>
      </w:pPr>
    </w:p>
    <w:p>
      <w:pPr>
        <w:spacing w:line="327" w:lineRule="exact" w:before="64"/>
        <w:ind w:left="106" w:right="0" w:firstLine="0"/>
        <w:jc w:val="left"/>
        <w:rPr>
          <w:b/>
          <w:sz w:val="20"/>
        </w:rPr>
      </w:pPr>
      <w:r>
        <w:rPr>
          <w:b/>
          <w:w w:val="95"/>
          <w:sz w:val="20"/>
        </w:rPr>
        <w:t>where</w:t>
      </w:r>
      <w:r>
        <w:rPr>
          <w:b/>
          <w:sz w:val="20"/>
        </w:rPr>
        <w:t> </w:t>
      </w:r>
      <w:r>
        <w:rPr>
          <w:b/>
          <w:spacing w:val="-21"/>
          <w:sz w:val="20"/>
        </w:rPr>
        <w:t> </w:t>
      </w:r>
      <w:r>
        <w:rPr>
          <w:b/>
          <w:w w:val="100"/>
          <w:sz w:val="20"/>
        </w:rPr>
        <w:t>we</w:t>
      </w:r>
      <w:r>
        <w:rPr>
          <w:b/>
          <w:sz w:val="20"/>
        </w:rPr>
        <w:t> </w:t>
      </w:r>
      <w:r>
        <w:rPr>
          <w:b/>
          <w:spacing w:val="-12"/>
          <w:sz w:val="20"/>
        </w:rPr>
        <w:t> </w:t>
      </w:r>
      <w:r>
        <w:rPr>
          <w:w w:val="93"/>
          <w:sz w:val="21"/>
        </w:rPr>
        <w:t>define</w:t>
      </w:r>
      <w:r>
        <w:rPr>
          <w:sz w:val="21"/>
        </w:rPr>
        <w:t> </w:t>
      </w:r>
      <w:r>
        <w:rPr>
          <w:spacing w:val="-22"/>
          <w:sz w:val="21"/>
        </w:rPr>
        <w:t> </w:t>
      </w:r>
      <w:r>
        <w:rPr>
          <w:rFonts w:ascii="Arial"/>
          <w:b/>
          <w:i/>
          <w:w w:val="65"/>
          <w:position w:val="-3"/>
          <w:sz w:val="10"/>
        </w:rPr>
        <w:t>1</w:t>
      </w:r>
      <w:r>
        <w:rPr>
          <w:rFonts w:ascii="Arial"/>
          <w:b/>
          <w:i/>
          <w:spacing w:val="-5"/>
          <w:w w:val="65"/>
          <w:position w:val="-3"/>
          <w:sz w:val="10"/>
        </w:rPr>
        <w:t>1</w:t>
      </w:r>
      <w:r>
        <w:rPr>
          <w:rFonts w:ascii="Arial"/>
          <w:b/>
          <w:i/>
          <w:w w:val="75"/>
          <w:sz w:val="29"/>
        </w:rPr>
        <w:t>M!</w:t>
      </w:r>
      <w:r>
        <w:rPr>
          <w:rFonts w:ascii="Arial"/>
          <w:b/>
          <w:i/>
          <w:spacing w:val="15"/>
          <w:sz w:val="29"/>
        </w:rPr>
        <w:t> </w:t>
      </w:r>
      <w:r>
        <w:rPr>
          <w:b/>
          <w:w w:val="106"/>
          <w:sz w:val="20"/>
        </w:rPr>
        <w:t>as</w:t>
      </w:r>
      <w:r>
        <w:rPr>
          <w:b/>
          <w:spacing w:val="22"/>
          <w:sz w:val="20"/>
        </w:rPr>
        <w:t> </w:t>
      </w:r>
      <w:r>
        <w:rPr>
          <w:w w:val="99"/>
          <w:sz w:val="21"/>
        </w:rPr>
        <w:t>in</w:t>
      </w:r>
      <w:r>
        <w:rPr>
          <w:sz w:val="21"/>
        </w:rPr>
        <w:t> </w:t>
      </w:r>
      <w:r>
        <w:rPr>
          <w:spacing w:val="12"/>
          <w:sz w:val="21"/>
        </w:rPr>
        <w:t> </w:t>
      </w:r>
      <w:r>
        <w:rPr>
          <w:b/>
          <w:w w:val="96"/>
          <w:sz w:val="20"/>
        </w:rPr>
        <w:t>(16.7</w:t>
      </w:r>
      <w:r>
        <w:rPr>
          <w:b/>
          <w:spacing w:val="-19"/>
          <w:sz w:val="20"/>
        </w:rPr>
        <w:t> </w:t>
      </w:r>
      <w:r>
        <w:rPr>
          <w:b/>
          <w:sz w:val="20"/>
        </w:rPr>
        <w:t>).</w:t>
      </w:r>
    </w:p>
    <w:p>
      <w:pPr>
        <w:spacing w:line="235" w:lineRule="exact" w:before="0"/>
        <w:ind w:left="308" w:right="0" w:firstLine="0"/>
        <w:jc w:val="left"/>
        <w:rPr>
          <w:sz w:val="21"/>
        </w:rPr>
      </w:pPr>
      <w:r>
        <w:rPr>
          <w:sz w:val="19"/>
        </w:rPr>
        <w:t>If  </w:t>
      </w:r>
      <w:r>
        <w:rPr>
          <w:sz w:val="21"/>
        </w:rPr>
        <w:t>the benefit  is a continuous </w:t>
      </w:r>
      <w:r>
        <w:rPr>
          <w:sz w:val="20"/>
        </w:rPr>
        <w:t>life </w:t>
      </w:r>
      <w:r>
        <w:rPr>
          <w:sz w:val="21"/>
        </w:rPr>
        <w:t>annuity of  1per annum payable</w:t>
      </w:r>
    </w:p>
    <w:p>
      <w:pPr>
        <w:spacing w:after="0" w:line="235" w:lineRule="exact"/>
        <w:jc w:val="left"/>
        <w:rPr>
          <w:sz w:val="21"/>
        </w:rPr>
        <w:sectPr>
          <w:pgSz w:w="7200" w:h="11340"/>
          <w:pgMar w:top="480" w:bottom="280" w:left="660" w:right="540"/>
        </w:sectPr>
      </w:pPr>
    </w:p>
    <w:p>
      <w:pPr>
        <w:tabs>
          <w:tab w:pos="1985" w:val="left" w:leader="none"/>
          <w:tab w:pos="5552" w:val="left" w:leader="none"/>
        </w:tabs>
        <w:spacing w:before="57"/>
        <w:ind w:left="118" w:right="0" w:firstLine="0"/>
        <w:jc w:val="left"/>
        <w:rPr>
          <w:sz w:val="20"/>
        </w:rPr>
      </w:pPr>
      <w:r>
        <w:rPr>
          <w:b/>
          <w:color w:val="010101"/>
          <w:w w:val="105"/>
          <w:sz w:val="15"/>
        </w:rPr>
        <w:t>SEC. </w:t>
      </w:r>
      <w:r>
        <w:rPr>
          <w:b/>
          <w:color w:val="010101"/>
          <w:spacing w:val="14"/>
          <w:w w:val="105"/>
          <w:sz w:val="15"/>
        </w:rPr>
        <w:t> </w:t>
      </w:r>
      <w:r>
        <w:rPr>
          <w:b/>
          <w:color w:val="010101"/>
          <w:w w:val="105"/>
          <w:sz w:val="20"/>
        </w:rPr>
        <w:t>5}</w:t>
        <w:tab/>
      </w:r>
      <w:r>
        <w:rPr>
          <w:b/>
          <w:color w:val="010101"/>
          <w:w w:val="105"/>
          <w:sz w:val="15"/>
        </w:rPr>
        <w:t>DISABILITY </w:t>
      </w:r>
      <w:r>
        <w:rPr>
          <w:b/>
          <w:color w:val="010101"/>
          <w:spacing w:val="33"/>
          <w:w w:val="105"/>
          <w:sz w:val="15"/>
        </w:rPr>
        <w:t> </w:t>
      </w:r>
      <w:r>
        <w:rPr>
          <w:b/>
          <w:color w:val="010101"/>
          <w:w w:val="105"/>
          <w:sz w:val="15"/>
        </w:rPr>
        <w:t>BENEFITS</w:t>
      </w:r>
      <w:r>
        <w:rPr>
          <w:color w:val="010101"/>
          <w:w w:val="105"/>
          <w:sz w:val="20"/>
        </w:rPr>
        <w:tab/>
        <w:t>321</w:t>
      </w:r>
    </w:p>
    <w:p>
      <w:pPr>
        <w:spacing w:before="235"/>
        <w:ind w:left="126" w:right="133" w:firstLine="0"/>
        <w:jc w:val="left"/>
        <w:rPr>
          <w:sz w:val="21"/>
        </w:rPr>
      </w:pPr>
      <w:r>
        <w:rPr/>
        <w:pict>
          <v:shape style="position:absolute;margin-left:207.278198pt;margin-top:20.509035pt;width:2.6pt;height:41pt;mso-position-horizontal-relative:page;mso-position-vertical-relative:paragraph;z-index:-710104" type="#_x0000_t202" filled="false" stroked="false">
            <v:textbox inset="0,0,0,0">
              <w:txbxContent>
                <w:p>
                  <w:pPr>
                    <w:spacing w:line="820" w:lineRule="exact" w:before="0"/>
                    <w:ind w:left="0" w:right="0" w:firstLine="0"/>
                    <w:jc w:val="left"/>
                    <w:rPr>
                      <w:rFonts w:ascii="Arial" w:hAnsi="Arial"/>
                      <w:sz w:val="82"/>
                    </w:rPr>
                  </w:pPr>
                  <w:r>
                    <w:rPr>
                      <w:rFonts w:ascii="Arial" w:hAnsi="Arial"/>
                      <w:color w:val="010101"/>
                      <w:spacing w:val="-89"/>
                      <w:w w:val="50"/>
                      <w:sz w:val="82"/>
                    </w:rPr>
                    <w:t>·</w:t>
                  </w:r>
                </w:p>
              </w:txbxContent>
            </v:textbox>
            <w10:wrap type="none"/>
          </v:shape>
        </w:pict>
      </w:r>
      <w:r>
        <w:rPr>
          <w:color w:val="010101"/>
          <w:sz w:val="20"/>
        </w:rPr>
        <w:t>beginning </w:t>
      </w:r>
      <w:r>
        <w:rPr>
          <w:color w:val="010101"/>
          <w:sz w:val="21"/>
        </w:rPr>
        <w:t>a.t the end of the wa.iting period and thereafter during continuance </w:t>
      </w:r>
      <w:r>
        <w:rPr>
          <w:rFonts w:ascii="Arial"/>
          <w:color w:val="010101"/>
          <w:sz w:val="19"/>
        </w:rPr>
        <w:t>of </w:t>
      </w:r>
      <w:r>
        <w:rPr>
          <w:color w:val="010101"/>
          <w:sz w:val="21"/>
        </w:rPr>
        <w:t>disability, the net single premium  is</w:t>
      </w:r>
    </w:p>
    <w:p>
      <w:pPr>
        <w:tabs>
          <w:tab w:pos="4311" w:val="left" w:leader="none"/>
        </w:tabs>
        <w:spacing w:line="122" w:lineRule="exact" w:before="214"/>
        <w:ind w:left="3668" w:right="739" w:firstLine="0"/>
        <w:jc w:val="left"/>
        <w:rPr>
          <w:i/>
          <w:sz w:val="13"/>
        </w:rPr>
      </w:pPr>
      <w:r>
        <w:rPr>
          <w:b/>
          <w:color w:val="010101"/>
          <w:w w:val="130"/>
          <w:sz w:val="12"/>
        </w:rPr>
        <w:t>,n/12</w:t>
      </w:r>
      <w:r>
        <w:rPr>
          <w:b/>
          <w:color w:val="010101"/>
          <w:spacing w:val="30"/>
          <w:w w:val="130"/>
          <w:sz w:val="12"/>
        </w:rPr>
        <w:t> </w:t>
      </w:r>
      <w:r>
        <w:rPr>
          <w:color w:val="010101"/>
          <w:w w:val="170"/>
          <w:sz w:val="13"/>
        </w:rPr>
        <w:t>-¡</w:t>
      </w:r>
      <w:r>
        <w:rPr>
          <w:i/>
          <w:color w:val="010101"/>
          <w:w w:val="170"/>
          <w:sz w:val="13"/>
        </w:rPr>
        <w:tab/>
      </w:r>
      <w:r>
        <w:rPr>
          <w:i/>
          <w:color w:val="010101"/>
          <w:w w:val="150"/>
          <w:sz w:val="13"/>
        </w:rPr>
        <w:t>i</w:t>
      </w:r>
    </w:p>
    <w:p>
      <w:pPr>
        <w:tabs>
          <w:tab w:pos="2355" w:val="left" w:leader="none"/>
          <w:tab w:pos="3008" w:val="left" w:leader="none"/>
        </w:tabs>
        <w:spacing w:line="112" w:lineRule="exact" w:before="0"/>
        <w:ind w:left="44" w:right="0" w:firstLine="0"/>
        <w:jc w:val="center"/>
        <w:rPr>
          <w:b/>
          <w:sz w:val="15"/>
        </w:rPr>
      </w:pPr>
      <w:r>
        <w:rPr>
          <w:rFonts w:ascii="Arial" w:hAnsi="Arial"/>
          <w:b/>
          <w:color w:val="010101"/>
          <w:w w:val="105"/>
          <w:sz w:val="19"/>
        </w:rPr>
        <w:t>1</w:t>
      </w:r>
      <w:r>
        <w:rPr>
          <w:rFonts w:ascii="Arial" w:hAnsi="Arial"/>
          <w:b/>
          <w:color w:val="010101"/>
          <w:spacing w:val="23"/>
          <w:w w:val="105"/>
          <w:sz w:val="19"/>
        </w:rPr>
        <w:t> </w:t>
      </w:r>
      <w:r>
        <w:rPr>
          <w:b/>
          <w:color w:val="010101"/>
          <w:w w:val="120"/>
          <w:sz w:val="15"/>
        </w:rPr>
        <w:t>•-1</w:t>
        <w:tab/>
      </w:r>
      <w:r>
        <w:rPr>
          <w:rFonts w:ascii="Arial" w:hAnsi="Arial"/>
          <w:b/>
          <w:i/>
          <w:color w:val="010101"/>
          <w:w w:val="105"/>
          <w:sz w:val="16"/>
        </w:rPr>
        <w:t>L.J</w:t>
      </w:r>
      <w:r>
        <w:rPr>
          <w:rFonts w:ascii="Arial" w:hAnsi="Arial"/>
          <w:b/>
          <w:i/>
          <w:color w:val="010101"/>
          <w:spacing w:val="-2"/>
          <w:w w:val="105"/>
          <w:sz w:val="16"/>
        </w:rPr>
        <w:t> </w:t>
      </w:r>
      <w:r>
        <w:rPr>
          <w:rFonts w:ascii="Arial" w:hAnsi="Arial"/>
          <w:b/>
          <w:i/>
          <w:color w:val="010101"/>
          <w:w w:val="105"/>
          <w:sz w:val="14"/>
        </w:rPr>
        <w:t>V</w:t>
        <w:tab/>
      </w:r>
      <w:r>
        <w:rPr>
          <w:rFonts w:ascii="Arial" w:hAnsi="Arial"/>
          <w:b/>
          <w:i/>
          <w:color w:val="010101"/>
          <w:w w:val="105"/>
          <w:sz w:val="19"/>
        </w:rPr>
        <w:t>C</w:t>
      </w:r>
      <w:r>
        <w:rPr>
          <w:rFonts w:ascii="Arial" w:hAnsi="Arial"/>
          <w:color w:val="010101"/>
          <w:w w:val="105"/>
          <w:sz w:val="19"/>
        </w:rPr>
        <w:t>•</w:t>
      </w:r>
      <w:r>
        <w:rPr>
          <w:rFonts w:ascii="Arial" w:hAnsi="Arial"/>
          <w:color w:val="010101"/>
          <w:spacing w:val="-45"/>
          <w:w w:val="105"/>
          <w:sz w:val="19"/>
        </w:rPr>
        <w:t> </w:t>
      </w:r>
      <w:r>
        <w:rPr>
          <w:b/>
          <w:color w:val="010101"/>
          <w:w w:val="105"/>
          <w:sz w:val="17"/>
        </w:rPr>
        <w:t>O[•+il</w:t>
      </w:r>
      <w:r>
        <w:rPr>
          <w:b/>
          <w:color w:val="010101"/>
          <w:spacing w:val="-27"/>
          <w:w w:val="105"/>
          <w:sz w:val="17"/>
        </w:rPr>
        <w:t> </w:t>
      </w:r>
      <w:r>
        <w:rPr>
          <w:b/>
          <w:color w:val="010101"/>
          <w:w w:val="105"/>
          <w:sz w:val="15"/>
        </w:rPr>
        <w:t>+-/12</w:t>
      </w:r>
    </w:p>
    <w:p>
      <w:pPr>
        <w:spacing w:after="0" w:line="112" w:lineRule="exact"/>
        <w:jc w:val="center"/>
        <w:rPr>
          <w:sz w:val="15"/>
        </w:rPr>
        <w:sectPr>
          <w:pgSz w:w="7200" w:h="11340"/>
          <w:pgMar w:top="500" w:bottom="280" w:left="660" w:right="560"/>
        </w:sectPr>
      </w:pPr>
    </w:p>
    <w:p>
      <w:pPr>
        <w:spacing w:line="296" w:lineRule="exact" w:before="0"/>
        <w:ind w:left="947" w:right="0" w:firstLine="0"/>
        <w:jc w:val="left"/>
        <w:rPr>
          <w:i/>
          <w:sz w:val="24"/>
        </w:rPr>
      </w:pPr>
      <w:r>
        <w:rPr/>
        <w:pict>
          <v:line style="position:absolute;mso-position-horizontal-relative:page;mso-position-vertical-relative:paragraph;z-index:-710128" from="210.200104pt,14.534591pt" to="233.990105pt,14.534591pt" stroked="true" strokeweight=".533pt" strokecolor="#000000">
            <w10:wrap type="none"/>
          </v:line>
        </w:pict>
      </w:r>
      <w:r>
        <w:rPr>
          <w:i/>
          <w:color w:val="010101"/>
          <w:w w:val="102"/>
          <w:sz w:val="20"/>
        </w:rPr>
        <w:t>1"</w:t>
      </w:r>
      <w:r>
        <w:rPr>
          <w:i/>
          <w:color w:val="010101"/>
          <w:spacing w:val="15"/>
          <w:sz w:val="20"/>
        </w:rPr>
        <w:t> </w:t>
      </w:r>
      <w:r>
        <w:rPr>
          <w:rFonts w:ascii="Arial" w:hAnsi="Arial"/>
          <w:i/>
          <w:color w:val="010101"/>
          <w:w w:val="105"/>
          <w:sz w:val="15"/>
        </w:rPr>
        <w:t>L.J</w:t>
      </w:r>
      <w:r>
        <w:rPr>
          <w:rFonts w:ascii="Arial" w:hAnsi="Arial"/>
          <w:i/>
          <w:color w:val="010101"/>
          <w:sz w:val="15"/>
        </w:rPr>
        <w:t> </w:t>
      </w:r>
      <w:r>
        <w:rPr>
          <w:rFonts w:ascii="Arial" w:hAnsi="Arial"/>
          <w:i/>
          <w:color w:val="010101"/>
          <w:spacing w:val="-19"/>
          <w:sz w:val="15"/>
        </w:rPr>
        <w:t> </w:t>
      </w:r>
      <w:r>
        <w:rPr>
          <w:rFonts w:ascii="Arial" w:hAnsi="Arial"/>
          <w:i/>
          <w:color w:val="010101"/>
          <w:spacing w:val="5"/>
          <w:w w:val="81"/>
          <w:sz w:val="19"/>
        </w:rPr>
        <w:t>v</w:t>
      </w:r>
      <w:r>
        <w:rPr>
          <w:b/>
          <w:color w:val="010101"/>
          <w:w w:val="133"/>
          <w:position w:val="5"/>
          <w:sz w:val="18"/>
        </w:rPr>
        <w:t>•-+t</w:t>
      </w:r>
      <w:r>
        <w:rPr>
          <w:b/>
          <w:color w:val="010101"/>
          <w:spacing w:val="14"/>
          <w:position w:val="5"/>
          <w:sz w:val="18"/>
        </w:rPr>
        <w:t> </w:t>
      </w:r>
      <w:r>
        <w:rPr>
          <w:color w:val="010101"/>
          <w:spacing w:val="-36"/>
          <w:w w:val="179"/>
          <w:sz w:val="15"/>
        </w:rPr>
        <w:t>i</w:t>
      </w:r>
      <w:r>
        <w:rPr>
          <w:color w:val="010101"/>
          <w:spacing w:val="-5"/>
          <w:w w:val="62"/>
          <w:position w:val="5"/>
          <w:sz w:val="18"/>
        </w:rPr>
        <w:t>•</w:t>
      </w:r>
      <w:r>
        <w:rPr>
          <w:color w:val="010101"/>
          <w:spacing w:val="15"/>
          <w:w w:val="180"/>
          <w:sz w:val="15"/>
        </w:rPr>
        <w:t>,</w:t>
      </w:r>
      <w:r>
        <w:rPr>
          <w:color w:val="010101"/>
          <w:spacing w:val="-36"/>
          <w:w w:val="206"/>
          <w:sz w:val="15"/>
        </w:rPr>
        <w:t>·</w:t>
      </w:r>
      <w:r>
        <w:rPr>
          <w:rFonts w:ascii="Arial" w:hAnsi="Arial"/>
          <w:i/>
          <w:color w:val="010101"/>
          <w:spacing w:val="-32"/>
          <w:w w:val="276"/>
          <w:sz w:val="14"/>
        </w:rPr>
        <w:t>•</w:t>
      </w:r>
      <w:r>
        <w:rPr>
          <w:rFonts w:ascii="Arial" w:hAnsi="Arial"/>
          <w:i/>
          <w:color w:val="010101"/>
          <w:w w:val="110"/>
          <w:sz w:val="14"/>
        </w:rPr>
        <w:t>IH</w:t>
      </w:r>
      <w:r>
        <w:rPr>
          <w:rFonts w:ascii="Arial" w:hAnsi="Arial"/>
          <w:i/>
          <w:color w:val="010101"/>
          <w:spacing w:val="-22"/>
          <w:sz w:val="14"/>
        </w:rPr>
        <w:t> </w:t>
      </w:r>
      <w:r>
        <w:rPr>
          <w:rFonts w:ascii="Arial" w:hAnsi="Arial"/>
          <w:color w:val="010101"/>
          <w:spacing w:val="-5"/>
          <w:w w:val="55"/>
          <w:position w:val="5"/>
          <w:sz w:val="14"/>
        </w:rPr>
        <w:t>1</w:t>
      </w:r>
      <w:r>
        <w:rPr>
          <w:color w:val="010101"/>
          <w:w w:val="93"/>
          <w:sz w:val="18"/>
        </w:rPr>
        <w:t>4</w:t>
      </w:r>
      <w:r>
        <w:rPr>
          <w:color w:val="010101"/>
          <w:spacing w:val="-47"/>
          <w:w w:val="92"/>
          <w:sz w:val="18"/>
        </w:rPr>
        <w:t>c</w:t>
      </w:r>
      <w:r>
        <w:rPr>
          <w:i/>
          <w:color w:val="010101"/>
          <w:spacing w:val="-7"/>
          <w:w w:val="147"/>
          <w:position w:val="5"/>
          <w:sz w:val="13"/>
        </w:rPr>
        <w:t>i</w:t>
      </w:r>
      <w:r>
        <w:rPr>
          <w:color w:val="010101"/>
          <w:w w:val="92"/>
          <w:sz w:val="18"/>
        </w:rPr>
        <w:t>,+¡J</w:t>
      </w:r>
      <w:r>
        <w:rPr>
          <w:color w:val="010101"/>
          <w:sz w:val="18"/>
        </w:rPr>
        <w:t>  </w:t>
      </w:r>
      <w:r>
        <w:rPr>
          <w:color w:val="010101"/>
          <w:spacing w:val="-19"/>
          <w:sz w:val="18"/>
        </w:rPr>
        <w:t> </w:t>
      </w:r>
      <w:r>
        <w:rPr>
          <w:color w:val="010101"/>
          <w:spacing w:val="-96"/>
          <w:w w:val="91"/>
          <w:sz w:val="26"/>
        </w:rPr>
        <w:t>=</w:t>
      </w:r>
      <w:r>
        <w:rPr>
          <w:i/>
          <w:color w:val="010101"/>
          <w:spacing w:val="-426"/>
          <w:w w:val="183"/>
          <w:sz w:val="26"/>
        </w:rPr>
        <w:t>_</w:t>
      </w:r>
      <w:r>
        <w:rPr>
          <w:i/>
          <w:color w:val="010101"/>
          <w:w w:val="92"/>
          <w:position w:val="5"/>
          <w:sz w:val="24"/>
        </w:rPr>
        <w:t>•-</w:t>
      </w:r>
      <w:r>
        <w:rPr>
          <w:i/>
          <w:color w:val="010101"/>
          <w:spacing w:val="-5"/>
          <w:w w:val="92"/>
          <w:position w:val="5"/>
          <w:sz w:val="24"/>
        </w:rPr>
        <w:t>z</w:t>
      </w:r>
    </w:p>
    <w:p>
      <w:pPr>
        <w:tabs>
          <w:tab w:pos="1182" w:val="left" w:leader="none"/>
        </w:tabs>
        <w:spacing w:before="34"/>
        <w:ind w:left="428" w:right="0" w:firstLine="0"/>
        <w:jc w:val="left"/>
        <w:rPr>
          <w:i/>
          <w:sz w:val="22"/>
        </w:rPr>
      </w:pPr>
      <w:r>
        <w:rPr/>
        <w:br w:type="column"/>
      </w:r>
      <w:r>
        <w:rPr>
          <w:i/>
          <w:color w:val="010101"/>
          <w:spacing w:val="-128"/>
          <w:w w:val="93"/>
          <w:sz w:val="22"/>
        </w:rPr>
        <w:t>D</w:t>
      </w:r>
      <w:r>
        <w:rPr>
          <w:i/>
          <w:color w:val="010101"/>
          <w:spacing w:val="-102"/>
          <w:w w:val="213"/>
          <w:sz w:val="22"/>
        </w:rPr>
        <w:t>_</w:t>
      </w:r>
      <w:r>
        <w:rPr>
          <w:i/>
          <w:color w:val="010101"/>
          <w:sz w:val="22"/>
          <w:u w:val="single" w:color="000000"/>
        </w:rPr>
        <w:t> </w:t>
        <w:tab/>
      </w:r>
      <w:r>
        <w:rPr>
          <w:i/>
          <w:color w:val="010101"/>
          <w:w w:val="209"/>
          <w:sz w:val="22"/>
        </w:rPr>
        <w:t>_</w:t>
      </w:r>
    </w:p>
    <w:p>
      <w:pPr>
        <w:spacing w:after="0"/>
        <w:jc w:val="left"/>
        <w:rPr>
          <w:sz w:val="22"/>
        </w:rPr>
        <w:sectPr>
          <w:type w:val="continuous"/>
          <w:pgSz w:w="7200" w:h="11340"/>
          <w:pgMar w:top="1100" w:bottom="0" w:left="660" w:right="560"/>
          <w:cols w:num="2" w:equalWidth="0">
            <w:col w:w="3545" w:space="40"/>
            <w:col w:w="2395"/>
          </w:cols>
        </w:sectPr>
      </w:pPr>
    </w:p>
    <w:p>
      <w:pPr>
        <w:tabs>
          <w:tab w:pos="4167" w:val="left" w:leader="none"/>
        </w:tabs>
        <w:spacing w:before="102"/>
        <w:ind w:left="486" w:right="0" w:firstLine="0"/>
        <w:jc w:val="left"/>
        <w:rPr>
          <w:rFonts w:ascii="Courier New" w:hAnsi="Courier New"/>
          <w:b/>
          <w:i/>
          <w:sz w:val="12"/>
        </w:rPr>
      </w:pPr>
      <w:r>
        <w:rPr/>
        <w:drawing>
          <wp:anchor distT="0" distB="0" distL="0" distR="0" allowOverlap="1" layoutInCell="1" locked="0" behindDoc="0" simplePos="0" relativeHeight="25912">
            <wp:simplePos x="0" y="0"/>
            <wp:positionH relativeFrom="page">
              <wp:posOffset>2569464</wp:posOffset>
            </wp:positionH>
            <wp:positionV relativeFrom="paragraph">
              <wp:posOffset>162189</wp:posOffset>
            </wp:positionV>
            <wp:extent cx="822960" cy="484632"/>
            <wp:effectExtent l="0" t="0" r="0" b="0"/>
            <wp:wrapNone/>
            <wp:docPr id="799" name="image408.png" descr=""/>
            <wp:cNvGraphicFramePr>
              <a:graphicFrameLocks noChangeAspect="1"/>
            </wp:cNvGraphicFramePr>
            <a:graphic>
              <a:graphicData uri="http://schemas.openxmlformats.org/drawingml/2006/picture">
                <pic:pic>
                  <pic:nvPicPr>
                    <pic:cNvPr id="800" name="image408.png"/>
                    <pic:cNvPicPr/>
                  </pic:nvPicPr>
                  <pic:blipFill>
                    <a:blip r:embed="rId412" cstate="print"/>
                    <a:stretch>
                      <a:fillRect/>
                    </a:stretch>
                  </pic:blipFill>
                  <pic:spPr>
                    <a:xfrm>
                      <a:off x="0" y="0"/>
                      <a:ext cx="822960" cy="484632"/>
                    </a:xfrm>
                    <a:prstGeom prst="rect">
                      <a:avLst/>
                    </a:prstGeom>
                  </pic:spPr>
                </pic:pic>
              </a:graphicData>
            </a:graphic>
          </wp:anchor>
        </w:drawing>
      </w:r>
      <w:r>
        <w:rPr>
          <w:rFonts w:ascii="Courier New" w:hAnsi="Courier New"/>
          <w:color w:val="010101"/>
          <w:spacing w:val="-956"/>
          <w:w w:val="416"/>
          <w:sz w:val="12"/>
        </w:rPr>
        <w:t>·</w:t>
      </w:r>
      <w:r>
        <w:rPr>
          <w:rFonts w:ascii="Courier New" w:hAnsi="Courier New"/>
          <w:color w:val="010101"/>
          <w:w w:val="325"/>
          <w:sz w:val="12"/>
        </w:rPr>
        <w:t>-</w:t>
      </w:r>
      <w:r>
        <w:rPr>
          <w:rFonts w:ascii="Courier New" w:hAnsi="Courier New"/>
          <w:color w:val="010101"/>
          <w:sz w:val="12"/>
        </w:rPr>
        <w:tab/>
      </w:r>
      <w:r>
        <w:rPr>
          <w:rFonts w:ascii="Courier New" w:hAnsi="Courier New"/>
          <w:b/>
          <w:i/>
          <w:color w:val="010101"/>
          <w:w w:val="107"/>
          <w:sz w:val="12"/>
        </w:rPr>
        <w:t>z</w:t>
      </w:r>
    </w:p>
    <w:p>
      <w:pPr>
        <w:pStyle w:val="BodyText"/>
        <w:spacing w:before="630"/>
        <w:ind w:left="486"/>
      </w:pPr>
      <w:r>
        <w:rPr/>
        <w:br w:type="column"/>
      </w:r>
      <w:r>
        <w:rPr>
          <w:color w:val="010101"/>
        </w:rPr>
        <w:t>(16.37 )</w:t>
      </w:r>
    </w:p>
    <w:p>
      <w:pPr>
        <w:spacing w:after="0"/>
        <w:sectPr>
          <w:type w:val="continuous"/>
          <w:pgSz w:w="7200" w:h="11340"/>
          <w:pgMar w:top="1100" w:bottom="0" w:left="660" w:right="560"/>
          <w:cols w:num="2" w:equalWidth="0">
            <w:col w:w="4683" w:space="64"/>
            <w:col w:w="1233"/>
          </w:cols>
        </w:sectPr>
      </w:pPr>
    </w:p>
    <w:p>
      <w:pPr>
        <w:spacing w:before="289"/>
        <w:ind w:left="129" w:right="-10" w:firstLine="0"/>
        <w:jc w:val="left"/>
        <w:rPr>
          <w:sz w:val="21"/>
        </w:rPr>
      </w:pPr>
      <w:r>
        <w:rPr>
          <w:color w:val="010101"/>
          <w:w w:val="95"/>
          <w:sz w:val="21"/>
        </w:rPr>
        <w:t>where</w:t>
      </w:r>
    </w:p>
    <w:p>
      <w:pPr>
        <w:tabs>
          <w:tab w:pos="847" w:val="left" w:leader="none"/>
          <w:tab w:pos="1421" w:val="left" w:leader="none"/>
          <w:tab w:pos="3507" w:val="left" w:leader="none"/>
        </w:tabs>
        <w:spacing w:before="627"/>
        <w:ind w:left="330" w:right="0" w:firstLine="0"/>
        <w:jc w:val="left"/>
        <w:rPr>
          <w:sz w:val="20"/>
        </w:rPr>
      </w:pPr>
      <w:r>
        <w:rPr/>
        <w:br w:type="column"/>
      </w:r>
      <w:r>
        <w:rPr>
          <w:b/>
          <w:color w:val="010101"/>
          <w:w w:val="130"/>
          <w:sz w:val="14"/>
        </w:rPr>
        <w:t>s</w:t>
      </w:r>
      <w:r>
        <w:rPr>
          <w:b/>
          <w:color w:val="010101"/>
          <w:spacing w:val="32"/>
          <w:w w:val="130"/>
          <w:sz w:val="14"/>
        </w:rPr>
        <w:t> </w:t>
      </w:r>
      <w:r>
        <w:rPr>
          <w:color w:val="010101"/>
          <w:w w:val="105"/>
          <w:sz w:val="26"/>
        </w:rPr>
        <w:t>=</w:t>
        <w:tab/>
      </w:r>
      <w:r>
        <w:rPr>
          <w:b/>
          <w:color w:val="010101"/>
          <w:w w:val="130"/>
          <w:sz w:val="14"/>
        </w:rPr>
        <w:t>s</w:t>
      </w:r>
      <w:r>
        <w:rPr>
          <w:b/>
          <w:color w:val="010101"/>
          <w:spacing w:val="-24"/>
          <w:w w:val="130"/>
          <w:sz w:val="14"/>
        </w:rPr>
        <w:t> </w:t>
      </w:r>
      <w:r>
        <w:rPr>
          <w:b/>
          <w:color w:val="010101"/>
          <w:w w:val="105"/>
          <w:sz w:val="14"/>
        </w:rPr>
        <w:t>.</w:t>
      </w:r>
      <w:r>
        <w:rPr>
          <w:b/>
          <w:color w:val="010101"/>
          <w:spacing w:val="-15"/>
          <w:w w:val="105"/>
          <w:sz w:val="14"/>
        </w:rPr>
        <w:t> </w:t>
      </w:r>
      <w:r>
        <w:rPr>
          <w:rFonts w:ascii="Arial" w:hAnsi="Arial"/>
          <w:b/>
          <w:i/>
          <w:color w:val="010101"/>
          <w:w w:val="105"/>
          <w:sz w:val="13"/>
        </w:rPr>
        <w:t>V</w:t>
        <w:tab/>
      </w:r>
      <w:r>
        <w:rPr>
          <w:rFonts w:ascii="Arial" w:hAnsi="Arial"/>
          <w:i/>
          <w:color w:val="010101"/>
          <w:w w:val="105"/>
          <w:sz w:val="17"/>
        </w:rPr>
        <w:t>acs+lJ</w:t>
      </w:r>
      <w:r>
        <w:rPr>
          <w:rFonts w:ascii="Arial" w:hAnsi="Arial"/>
          <w:i/>
          <w:color w:val="010101"/>
          <w:spacing w:val="-24"/>
          <w:w w:val="105"/>
          <w:sz w:val="17"/>
        </w:rPr>
        <w:t> </w:t>
      </w:r>
      <w:r>
        <w:rPr>
          <w:b/>
          <w:color w:val="010101"/>
          <w:w w:val="105"/>
          <w:sz w:val="14"/>
        </w:rPr>
        <w:t>+"'/12 </w:t>
      </w:r>
      <w:r>
        <w:rPr>
          <w:color w:val="010101"/>
          <w:w w:val="170"/>
          <w:sz w:val="14"/>
        </w:rPr>
        <w:t>·</w:t>
        <w:tab/>
      </w:r>
      <w:r>
        <w:rPr>
          <w:color w:val="010101"/>
          <w:w w:val="105"/>
          <w:position w:val="2"/>
          <w:sz w:val="20"/>
        </w:rPr>
        <w:t>(16.38)</w:t>
      </w:r>
    </w:p>
    <w:p>
      <w:pPr>
        <w:spacing w:after="0"/>
        <w:jc w:val="left"/>
        <w:rPr>
          <w:sz w:val="20"/>
        </w:rPr>
        <w:sectPr>
          <w:type w:val="continuous"/>
          <w:pgSz w:w="7200" w:h="11340"/>
          <w:pgMar w:top="1100" w:bottom="0" w:left="660" w:right="560"/>
          <w:cols w:num="2" w:equalWidth="0">
            <w:col w:w="627" w:space="1124"/>
            <w:col w:w="4229"/>
          </w:cols>
        </w:sectPr>
      </w:pPr>
    </w:p>
    <w:p>
      <w:pPr>
        <w:spacing w:line="240" w:lineRule="exact" w:before="82"/>
        <w:ind w:left="126" w:right="116" w:firstLine="10"/>
        <w:jc w:val="both"/>
        <w:rPr>
          <w:sz w:val="21"/>
        </w:rPr>
      </w:pPr>
      <w:r>
        <w:rPr/>
        <w:pict>
          <v:shape style="position:absolute;margin-left:127.0588pt;margin-top:-20.524837pt;width:72.7pt;height:15.5pt;mso-position-horizontal-relative:page;mso-position-vertical-relative:paragraph;z-index:-710080" type="#_x0000_t202" filled="false" stroked="false">
            <v:textbox inset="0,0,0,0">
              <w:txbxContent>
                <w:p>
                  <w:pPr>
                    <w:tabs>
                      <w:tab w:pos="595" w:val="left" w:leader="none"/>
                    </w:tabs>
                    <w:spacing w:line="310" w:lineRule="exact" w:before="0"/>
                    <w:ind w:left="0" w:right="0" w:firstLine="0"/>
                    <w:jc w:val="left"/>
                    <w:rPr>
                      <w:sz w:val="12"/>
                    </w:rPr>
                  </w:pPr>
                  <w:r>
                    <w:rPr>
                      <w:b/>
                      <w:color w:val="010101"/>
                      <w:spacing w:val="-18"/>
                      <w:w w:val="85"/>
                      <w:sz w:val="29"/>
                    </w:rPr>
                    <w:t>wc-·</w:t>
                    <w:tab/>
                  </w:r>
                  <w:r>
                    <w:rPr>
                      <w:b/>
                      <w:i/>
                      <w:color w:val="010101"/>
                      <w:spacing w:val="-27"/>
                      <w:w w:val="95"/>
                      <w:sz w:val="31"/>
                    </w:rPr>
                    <w:t>e-·    </w:t>
                  </w:r>
                  <w:r>
                    <w:rPr>
                      <w:rFonts w:ascii="Arial" w:hAnsi="Arial"/>
                      <w:b/>
                      <w:color w:val="010101"/>
                      <w:w w:val="110"/>
                      <w:sz w:val="12"/>
                    </w:rPr>
                    <w:t>a/12 </w:t>
                  </w:r>
                  <w:r>
                    <w:rPr>
                      <w:rFonts w:ascii="Arial" w:hAnsi="Arial"/>
                      <w:b/>
                      <w:color w:val="010101"/>
                      <w:spacing w:val="8"/>
                      <w:w w:val="110"/>
                      <w:sz w:val="12"/>
                    </w:rPr>
                    <w:t> </w:t>
                  </w:r>
                  <w:r>
                    <w:rPr>
                      <w:color w:val="010101"/>
                      <w:w w:val="110"/>
                      <w:sz w:val="12"/>
                    </w:rPr>
                    <w:t>_¡</w:t>
                  </w:r>
                </w:p>
              </w:txbxContent>
            </v:textbox>
            <w10:wrap type="none"/>
          </v:shape>
        </w:pict>
      </w:r>
      <w:r>
        <w:rPr>
          <w:color w:val="010101"/>
          <w:sz w:val="22"/>
        </w:rPr>
        <w:t>In </w:t>
      </w:r>
      <w:r>
        <w:rPr>
          <w:color w:val="010101"/>
          <w:spacing w:val="-5"/>
          <w:sz w:val="20"/>
        </w:rPr>
        <w:t>(16.38) </w:t>
      </w:r>
      <w:r>
        <w:rPr>
          <w:color w:val="010101"/>
          <w:sz w:val="21"/>
        </w:rPr>
        <w:t>it is convenient to absorb  the  factor  </w:t>
      </w:r>
      <w:r>
        <w:rPr>
          <w:color w:val="010101"/>
          <w:spacing w:val="-4"/>
          <w:sz w:val="21"/>
        </w:rPr>
        <w:t>v"''</w:t>
      </w:r>
      <w:r>
        <w:rPr>
          <w:color w:val="010101"/>
          <w:spacing w:val="-4"/>
          <w:position w:val="10"/>
          <w:sz w:val="12"/>
        </w:rPr>
        <w:t>12  </w:t>
      </w:r>
      <w:r>
        <w:rPr>
          <w:color w:val="010101"/>
          <w:sz w:val="21"/>
        </w:rPr>
        <w:t>into  the  weight function. Hence </w:t>
      </w:r>
      <w:r>
        <w:rPr>
          <w:rFonts w:ascii="Arial"/>
          <w:i/>
          <w:color w:val="010101"/>
          <w:sz w:val="19"/>
        </w:rPr>
        <w:t>v"" </w:t>
      </w:r>
      <w:r>
        <w:rPr>
          <w:i/>
          <w:color w:val="010101"/>
          <w:position w:val="10"/>
          <w:sz w:val="12"/>
        </w:rPr>
        <w:t>112 </w:t>
      </w:r>
      <w:r>
        <w:rPr>
          <w:color w:val="010101"/>
          <w:sz w:val="21"/>
        </w:rPr>
        <w:t>does not appear explicitly </w:t>
      </w:r>
      <w:r>
        <w:rPr>
          <w:rFonts w:ascii="Arial"/>
          <w:color w:val="010101"/>
          <w:sz w:val="21"/>
        </w:rPr>
        <w:t>in </w:t>
      </w:r>
      <w:r>
        <w:rPr>
          <w:color w:val="010101"/>
          <w:sz w:val="20"/>
        </w:rPr>
        <w:t>(16.37) </w:t>
      </w:r>
      <w:r>
        <w:rPr>
          <w:color w:val="010101"/>
          <w:sz w:val="21"/>
        </w:rPr>
        <w:t>as it does in  </w:t>
      </w:r>
      <w:r>
        <w:rPr>
          <w:color w:val="010101"/>
          <w:sz w:val="20"/>
        </w:rPr>
        <w:t>(16.36), </w:t>
      </w:r>
      <w:r>
        <w:rPr>
          <w:color w:val="010101"/>
          <w:sz w:val="21"/>
        </w:rPr>
        <w:t>where no weight function is </w:t>
      </w:r>
      <w:r>
        <w:rPr>
          <w:color w:val="010101"/>
          <w:spacing w:val="13"/>
          <w:sz w:val="21"/>
        </w:rPr>
        <w:t> </w:t>
      </w:r>
      <w:r>
        <w:rPr>
          <w:color w:val="010101"/>
          <w:sz w:val="21"/>
        </w:rPr>
        <w:t>involved.</w:t>
      </w:r>
    </w:p>
    <w:p>
      <w:pPr>
        <w:spacing w:line="238" w:lineRule="exact" w:before="2"/>
        <w:ind w:left="133" w:right="117" w:firstLine="204"/>
        <w:jc w:val="right"/>
        <w:rPr>
          <w:sz w:val="21"/>
        </w:rPr>
      </w:pPr>
      <w:r>
        <w:rPr>
          <w:color w:val="010101"/>
          <w:sz w:val="20"/>
        </w:rPr>
        <w:t>lf </w:t>
      </w:r>
      <w:r>
        <w:rPr>
          <w:color w:val="010101"/>
          <w:sz w:val="21"/>
        </w:rPr>
        <w:t>the benefit is a continuous annuity of </w:t>
      </w:r>
      <w:r>
        <w:rPr>
          <w:color w:val="010101"/>
          <w:w w:val="115"/>
          <w:sz w:val="20"/>
        </w:rPr>
        <w:t>1 </w:t>
      </w:r>
      <w:r>
        <w:rPr>
          <w:color w:val="010101"/>
          <w:sz w:val="21"/>
        </w:rPr>
        <w:t>per annum payable</w:t>
      </w:r>
      <w:r>
        <w:rPr>
          <w:color w:val="010101"/>
          <w:w w:val="100"/>
          <w:sz w:val="21"/>
        </w:rPr>
        <w:t> </w:t>
      </w:r>
      <w:r>
        <w:rPr>
          <w:color w:val="010101"/>
          <w:sz w:val="21"/>
        </w:rPr>
        <w:t>beginning  at </w:t>
      </w:r>
      <w:r>
        <w:rPr>
          <w:color w:val="3B3B3B"/>
          <w:w w:val="55"/>
          <w:sz w:val="21"/>
        </w:rPr>
        <w:t>· </w:t>
      </w:r>
      <w:r>
        <w:rPr>
          <w:color w:val="010101"/>
          <w:sz w:val="21"/>
        </w:rPr>
        <w:t>the  end  of  the waiting  period  and thereafter during</w:t>
      </w:r>
    </w:p>
    <w:p>
      <w:pPr>
        <w:spacing w:line="250" w:lineRule="exact" w:before="0"/>
        <w:ind w:left="133" w:right="0" w:firstLine="0"/>
        <w:jc w:val="both"/>
        <w:rPr>
          <w:sz w:val="21"/>
        </w:rPr>
      </w:pPr>
      <w:r>
        <w:rPr>
          <w:color w:val="010101"/>
          <w:sz w:val="21"/>
        </w:rPr>
        <w:t>continuance  </w:t>
      </w:r>
      <w:r>
        <w:rPr>
          <w:rFonts w:ascii="Arial"/>
          <w:color w:val="010101"/>
          <w:sz w:val="20"/>
        </w:rPr>
        <w:t>of  </w:t>
      </w:r>
      <w:r>
        <w:rPr>
          <w:color w:val="010101"/>
          <w:sz w:val="21"/>
        </w:rPr>
        <w:t>disability,  but  not  beyond  age  </w:t>
      </w:r>
      <w:r>
        <w:rPr>
          <w:i/>
          <w:color w:val="010101"/>
          <w:sz w:val="22"/>
        </w:rPr>
        <w:t>u, u  </w:t>
      </w:r>
      <w:r>
        <w:rPr>
          <w:rFonts w:ascii="Arial"/>
          <w:color w:val="010101"/>
          <w:sz w:val="27"/>
        </w:rPr>
        <w:t>&gt; </w:t>
      </w:r>
      <w:r>
        <w:rPr>
          <w:i/>
          <w:color w:val="010101"/>
          <w:sz w:val="20"/>
        </w:rPr>
        <w:t>y,  </w:t>
      </w:r>
      <w:r>
        <w:rPr>
          <w:color w:val="010101"/>
          <w:sz w:val="21"/>
        </w:rPr>
        <w:t>the net</w:t>
      </w:r>
    </w:p>
    <w:p>
      <w:pPr>
        <w:spacing w:line="237" w:lineRule="exact" w:before="0"/>
        <w:ind w:left="129" w:right="0" w:firstLine="0"/>
        <w:jc w:val="both"/>
        <w:rPr>
          <w:sz w:val="20"/>
        </w:rPr>
      </w:pPr>
      <w:r>
        <w:rPr>
          <w:color w:val="010101"/>
          <w:sz w:val="21"/>
        </w:rPr>
        <w:t>single premium </w:t>
      </w:r>
      <w:r>
        <w:rPr>
          <w:color w:val="010101"/>
          <w:sz w:val="20"/>
        </w:rPr>
        <w:t>is</w:t>
      </w:r>
    </w:p>
    <w:p>
      <w:pPr>
        <w:pStyle w:val="BodyText"/>
        <w:spacing w:before="4"/>
        <w:rPr>
          <w:sz w:val="21"/>
        </w:rPr>
      </w:pPr>
    </w:p>
    <w:p>
      <w:pPr>
        <w:pStyle w:val="BodyText"/>
        <w:ind w:right="132"/>
        <w:jc w:val="right"/>
      </w:pPr>
      <w:r>
        <w:rPr>
          <w:color w:val="010101"/>
          <w:w w:val="105"/>
        </w:rPr>
        <w:t>( 16.39)</w:t>
      </w:r>
    </w:p>
    <w:p>
      <w:pPr>
        <w:pStyle w:val="BodyText"/>
        <w:spacing w:before="2"/>
        <w:rPr>
          <w:sz w:val="18"/>
        </w:rPr>
      </w:pPr>
    </w:p>
    <w:p>
      <w:pPr>
        <w:spacing w:after="0"/>
        <w:rPr>
          <w:sz w:val="18"/>
        </w:rPr>
        <w:sectPr>
          <w:type w:val="continuous"/>
          <w:pgSz w:w="7200" w:h="11340"/>
          <w:pgMar w:top="1100" w:bottom="0" w:left="660" w:right="560"/>
        </w:sectPr>
      </w:pPr>
    </w:p>
    <w:p>
      <w:pPr>
        <w:spacing w:before="73"/>
        <w:ind w:left="133" w:right="-18" w:firstLine="0"/>
        <w:jc w:val="left"/>
        <w:rPr>
          <w:sz w:val="21"/>
        </w:rPr>
      </w:pPr>
      <w:r>
        <w:rPr>
          <w:color w:val="010101"/>
          <w:sz w:val="21"/>
        </w:rPr>
        <w:t>where we</w:t>
      </w:r>
      <w:r>
        <w:rPr>
          <w:color w:val="010101"/>
          <w:spacing w:val="-17"/>
          <w:sz w:val="21"/>
        </w:rPr>
        <w:t> </w:t>
      </w:r>
      <w:r>
        <w:rPr>
          <w:color w:val="010101"/>
          <w:sz w:val="21"/>
        </w:rPr>
        <w:t>define</w:t>
      </w:r>
    </w:p>
    <w:p>
      <w:pPr>
        <w:pStyle w:val="BodyText"/>
        <w:spacing w:before="7"/>
        <w:rPr>
          <w:sz w:val="35"/>
        </w:rPr>
      </w:pPr>
      <w:r>
        <w:rPr/>
        <w:br w:type="column"/>
      </w:r>
      <w:r>
        <w:rPr>
          <w:sz w:val="35"/>
        </w:rPr>
      </w:r>
    </w:p>
    <w:p>
      <w:pPr>
        <w:tabs>
          <w:tab w:pos="741" w:val="left" w:leader="none"/>
          <w:tab w:pos="1319" w:val="left" w:leader="none"/>
        </w:tabs>
        <w:spacing w:line="252" w:lineRule="exact" w:before="0"/>
        <w:ind w:left="217" w:right="0" w:firstLine="0"/>
        <w:jc w:val="left"/>
        <w:rPr>
          <w:sz w:val="14"/>
        </w:rPr>
      </w:pPr>
      <w:r>
        <w:rPr/>
        <w:pict>
          <v:shape style="position:absolute;margin-left:111.0867pt;margin-top:-5.562193pt;width:142.35pt;height:16.5pt;mso-position-horizontal-relative:page;mso-position-vertical-relative:paragraph;z-index:-710056" type="#_x0000_t202" filled="false" stroked="false">
            <v:textbox inset="0,0,0,0">
              <w:txbxContent>
                <w:p>
                  <w:pPr>
                    <w:tabs>
                      <w:tab w:pos="602" w:val="left" w:leader="none"/>
                      <w:tab w:pos="2541" w:val="left" w:leader="none"/>
                    </w:tabs>
                    <w:spacing w:line="330" w:lineRule="exact" w:before="0"/>
                    <w:ind w:left="0" w:right="0" w:firstLine="0"/>
                    <w:jc w:val="left"/>
                    <w:rPr>
                      <w:rFonts w:ascii="Arial" w:hAnsi="Arial"/>
                      <w:b/>
                      <w:sz w:val="26"/>
                    </w:rPr>
                  </w:pPr>
                  <w:r>
                    <w:rPr>
                      <w:b/>
                      <w:i/>
                      <w:color w:val="010101"/>
                      <w:spacing w:val="-25"/>
                      <w:sz w:val="33"/>
                    </w:rPr>
                    <w:t>·e-·</w:t>
                    <w:tab/>
                  </w:r>
                  <w:r>
                    <w:rPr>
                      <w:rFonts w:ascii="Arial" w:hAnsi="Arial"/>
                      <w:b/>
                      <w:color w:val="010101"/>
                      <w:spacing w:val="-31"/>
                      <w:sz w:val="28"/>
                    </w:rPr>
                    <w:t>e-¡  </w:t>
                  </w:r>
                  <w:r>
                    <w:rPr>
                      <w:rFonts w:ascii="Arial" w:hAnsi="Arial"/>
                      <w:b/>
                      <w:color w:val="010101"/>
                      <w:spacing w:val="-20"/>
                      <w:sz w:val="28"/>
                    </w:rPr>
                    <w:t> </w:t>
                  </w:r>
                  <w:r>
                    <w:rPr>
                      <w:b/>
                      <w:color w:val="010101"/>
                      <w:w w:val="110"/>
                      <w:sz w:val="13"/>
                    </w:rPr>
                    <w:t>a/12</w:t>
                  </w:r>
                  <w:r>
                    <w:rPr>
                      <w:b/>
                      <w:color w:val="010101"/>
                      <w:spacing w:val="25"/>
                      <w:w w:val="110"/>
                      <w:sz w:val="13"/>
                    </w:rPr>
                    <w:t> </w:t>
                  </w:r>
                  <w:r>
                    <w:rPr>
                      <w:rFonts w:ascii="Arial" w:hAnsi="Arial"/>
                      <w:b/>
                      <w:color w:val="010101"/>
                      <w:w w:val="150"/>
                      <w:sz w:val="10"/>
                    </w:rPr>
                    <w:t>;:Í</w:t>
                    <w:tab/>
                  </w:r>
                  <w:r>
                    <w:rPr>
                      <w:rFonts w:ascii="Arial" w:hAnsi="Arial"/>
                      <w:b/>
                      <w:color w:val="010101"/>
                      <w:w w:val="50"/>
                      <w:sz w:val="26"/>
                    </w:rPr>
                    <w:t>a+ml</w:t>
                  </w:r>
                </w:p>
              </w:txbxContent>
            </v:textbox>
            <w10:wrap type="none"/>
          </v:shape>
        </w:pict>
      </w:r>
      <w:r>
        <w:rPr>
          <w:rFonts w:ascii="Arial" w:hAnsi="Arial"/>
          <w:b/>
          <w:color w:val="010101"/>
          <w:w w:val="110"/>
          <w:sz w:val="11"/>
        </w:rPr>
        <w:t>s </w:t>
      </w:r>
      <w:r>
        <w:rPr>
          <w:rFonts w:ascii="Arial" w:hAnsi="Arial"/>
          <w:b/>
          <w:color w:val="010101"/>
          <w:spacing w:val="17"/>
          <w:w w:val="110"/>
          <w:sz w:val="11"/>
        </w:rPr>
        <w:t> </w:t>
      </w:r>
      <w:r>
        <w:rPr>
          <w:color w:val="010101"/>
          <w:w w:val="110"/>
          <w:sz w:val="25"/>
        </w:rPr>
        <w:t>=</w:t>
        <w:tab/>
      </w:r>
      <w:r>
        <w:rPr>
          <w:rFonts w:ascii="Arial" w:hAnsi="Arial"/>
          <w:b/>
          <w:i/>
          <w:color w:val="010101"/>
          <w:w w:val="110"/>
          <w:sz w:val="14"/>
        </w:rPr>
        <w:t>s' </w:t>
      </w:r>
      <w:r>
        <w:rPr>
          <w:rFonts w:ascii="Arial" w:hAnsi="Arial"/>
          <w:b/>
          <w:i/>
          <w:color w:val="010101"/>
          <w:sz w:val="14"/>
        </w:rPr>
        <w:t>V</w:t>
        <w:tab/>
      </w:r>
      <w:r>
        <w:rPr>
          <w:b/>
          <w:color w:val="010101"/>
          <w:w w:val="110"/>
          <w:sz w:val="14"/>
        </w:rPr>
        <w:t>U.(s+lJ +a/12 </w:t>
      </w:r>
      <w:r>
        <w:rPr>
          <w:b/>
          <w:color w:val="1A1A1A"/>
          <w:w w:val="110"/>
          <w:sz w:val="14"/>
        </w:rPr>
        <w:t>: </w:t>
      </w:r>
      <w:r>
        <w:rPr>
          <w:b/>
          <w:color w:val="010101"/>
          <w:w w:val="205"/>
          <w:sz w:val="14"/>
        </w:rPr>
        <w:t>u-s</w:t>
      </w:r>
      <w:r>
        <w:rPr>
          <w:b/>
          <w:color w:val="010101"/>
          <w:w w:val="205"/>
          <w:sz w:val="14"/>
          <w:shd w:fill="000000" w:color="auto" w:val="clear"/>
        </w:rPr>
        <w:t>--</w:t>
      </w:r>
      <w:r>
        <w:rPr>
          <w:b/>
          <w:color w:val="010101"/>
          <w:spacing w:val="-9"/>
          <w:w w:val="205"/>
          <w:sz w:val="14"/>
          <w:shd w:fill="000000" w:color="auto" w:val="clear"/>
        </w:rPr>
        <w:t> </w:t>
      </w:r>
      <w:r>
        <w:rPr>
          <w:color w:val="010101"/>
          <w:w w:val="110"/>
          <w:sz w:val="14"/>
        </w:rPr>
        <w:t>•</w:t>
      </w:r>
    </w:p>
    <w:p>
      <w:pPr>
        <w:spacing w:line="91" w:lineRule="exact" w:before="0"/>
        <w:ind w:left="0" w:right="226" w:firstLine="0"/>
        <w:jc w:val="right"/>
        <w:rPr>
          <w:rFonts w:ascii="Arial"/>
          <w:b/>
          <w:sz w:val="11"/>
        </w:rPr>
      </w:pPr>
      <w:r>
        <w:rPr>
          <w:rFonts w:ascii="Arial"/>
          <w:b/>
          <w:color w:val="010101"/>
          <w:w w:val="105"/>
          <w:sz w:val="11"/>
        </w:rPr>
        <w:t>12</w:t>
      </w:r>
    </w:p>
    <w:p>
      <w:pPr>
        <w:pStyle w:val="BodyText"/>
        <w:rPr>
          <w:rFonts w:ascii="Arial"/>
          <w:b/>
        </w:rPr>
      </w:pPr>
      <w:r>
        <w:rPr/>
        <w:br w:type="column"/>
      </w:r>
      <w:r>
        <w:rPr>
          <w:rFonts w:ascii="Arial"/>
          <w:b/>
        </w:rPr>
      </w:r>
    </w:p>
    <w:p>
      <w:pPr>
        <w:pStyle w:val="BodyText"/>
        <w:spacing w:before="1"/>
        <w:rPr>
          <w:rFonts w:ascii="Arial"/>
          <w:b/>
          <w:sz w:val="18"/>
        </w:rPr>
      </w:pPr>
    </w:p>
    <w:p>
      <w:pPr>
        <w:pStyle w:val="BodyText"/>
        <w:ind w:left="133"/>
      </w:pPr>
      <w:r>
        <w:rPr>
          <w:color w:val="010101"/>
          <w:w w:val="105"/>
        </w:rPr>
        <w:t>(16.40)</w:t>
      </w:r>
    </w:p>
    <w:p>
      <w:pPr>
        <w:spacing w:after="0"/>
        <w:sectPr>
          <w:type w:val="continuous"/>
          <w:pgSz w:w="7200" w:h="11340"/>
          <w:pgMar w:top="1100" w:bottom="0" w:left="660" w:right="560"/>
          <w:cols w:num="3" w:equalWidth="0">
            <w:col w:w="1506" w:space="40"/>
            <w:col w:w="2994" w:space="583"/>
            <w:col w:w="857"/>
          </w:cols>
        </w:sectPr>
      </w:pPr>
    </w:p>
    <w:p>
      <w:pPr>
        <w:tabs>
          <w:tab w:pos="786" w:val="left" w:leader="none"/>
          <w:tab w:pos="2006" w:val="left" w:leader="none"/>
        </w:tabs>
        <w:spacing w:before="154"/>
        <w:ind w:left="136" w:right="739" w:firstLine="0"/>
        <w:jc w:val="left"/>
        <w:rPr>
          <w:sz w:val="21"/>
        </w:rPr>
      </w:pPr>
      <w:r>
        <w:rPr>
          <w:color w:val="010101"/>
          <w:sz w:val="21"/>
        </w:rPr>
        <w:t>If</w:t>
      </w:r>
      <w:r>
        <w:rPr>
          <w:color w:val="010101"/>
          <w:spacing w:val="23"/>
          <w:sz w:val="21"/>
        </w:rPr>
        <w:t> </w:t>
      </w:r>
      <w:r>
        <w:rPr>
          <w:color w:val="010101"/>
          <w:sz w:val="21"/>
        </w:rPr>
        <w:t>u</w:t>
        <w:tab/>
      </w:r>
      <w:r>
        <w:rPr>
          <w:i/>
          <w:color w:val="010101"/>
          <w:sz w:val="20"/>
        </w:rPr>
        <w:t>y, </w:t>
      </w:r>
      <w:r>
        <w:rPr>
          <w:i/>
          <w:color w:val="010101"/>
          <w:spacing w:val="15"/>
          <w:sz w:val="20"/>
        </w:rPr>
        <w:t> </w:t>
      </w:r>
      <w:r>
        <w:rPr>
          <w:color w:val="010101"/>
          <w:sz w:val="20"/>
        </w:rPr>
        <w:t>(16.39)</w:t>
        <w:tab/>
      </w:r>
      <w:r>
        <w:rPr>
          <w:color w:val="010101"/>
          <w:sz w:val="21"/>
        </w:rPr>
        <w:t>ornes</w:t>
      </w:r>
    </w:p>
    <w:p>
      <w:pPr>
        <w:pStyle w:val="BodyText"/>
      </w:pPr>
    </w:p>
    <w:p>
      <w:pPr>
        <w:pStyle w:val="BodyText"/>
      </w:pPr>
    </w:p>
    <w:p>
      <w:pPr>
        <w:pStyle w:val="BodyText"/>
      </w:pPr>
    </w:p>
    <w:p>
      <w:pPr>
        <w:pStyle w:val="BodyText"/>
        <w:spacing w:before="10"/>
        <w:rPr>
          <w:sz w:val="17"/>
        </w:rPr>
      </w:pPr>
    </w:p>
    <w:p>
      <w:pPr>
        <w:spacing w:line="163" w:lineRule="auto" w:before="0"/>
        <w:ind w:left="133" w:right="133" w:firstLine="0"/>
        <w:jc w:val="left"/>
        <w:rPr>
          <w:sz w:val="21"/>
        </w:rPr>
      </w:pPr>
      <w:r>
        <w:rPr>
          <w:color w:val="010101"/>
          <w:sz w:val="21"/>
        </w:rPr>
        <w:t>The symbol </w:t>
      </w:r>
      <w:r>
        <w:rPr>
          <w:rFonts w:ascii="Arial" w:hAnsi="Arial"/>
          <w:color w:val="010101"/>
          <w:sz w:val="21"/>
        </w:rPr>
        <w:t>in </w:t>
      </w:r>
      <w:r>
        <w:rPr>
          <w:color w:val="010101"/>
          <w:sz w:val="21"/>
        </w:rPr>
        <w:t>the numerator of this last expression is generally </w:t>
      </w:r>
      <w:r>
        <w:rPr>
          <w:color w:val="010101"/>
          <w:w w:val="101"/>
          <w:sz w:val="21"/>
        </w:rPr>
        <w:t>written </w:t>
      </w:r>
      <w:r>
        <w:rPr>
          <w:color w:val="010101"/>
          <w:w w:val="105"/>
          <w:sz w:val="21"/>
        </w:rPr>
        <w:t>as </w:t>
      </w:r>
      <w:r>
        <w:rPr>
          <w:color w:val="010101"/>
          <w:w w:val="116"/>
          <w:sz w:val="21"/>
        </w:rPr>
        <w:t>•</w:t>
      </w:r>
      <w:r>
        <w:rPr>
          <w:rFonts w:ascii="Arial" w:hAnsi="Arial"/>
          <w:color w:val="010101"/>
          <w:w w:val="116"/>
          <w:sz w:val="29"/>
        </w:rPr>
        <w:t>.M!;</w:t>
      </w:r>
      <w:r>
        <w:rPr>
          <w:color w:val="010101"/>
          <w:w w:val="116"/>
          <w:sz w:val="21"/>
        </w:rPr>
        <w:t>that </w:t>
      </w:r>
      <w:r>
        <w:rPr>
          <w:color w:val="010101"/>
          <w:w w:val="95"/>
          <w:sz w:val="21"/>
        </w:rPr>
        <w:t>is,</w:t>
      </w:r>
    </w:p>
    <w:p>
      <w:pPr>
        <w:spacing w:after="0" w:line="163" w:lineRule="auto"/>
        <w:jc w:val="left"/>
        <w:rPr>
          <w:sz w:val="21"/>
        </w:rPr>
        <w:sectPr>
          <w:type w:val="continuous"/>
          <w:pgSz w:w="7200" w:h="11340"/>
          <w:pgMar w:top="1100" w:bottom="0" w:left="660" w:right="560"/>
        </w:sectPr>
      </w:pPr>
    </w:p>
    <w:p>
      <w:pPr>
        <w:pStyle w:val="BodyText"/>
        <w:spacing w:before="6"/>
        <w:rPr>
          <w:sz w:val="12"/>
        </w:rPr>
      </w:pPr>
    </w:p>
    <w:p>
      <w:pPr>
        <w:spacing w:line="106" w:lineRule="exact" w:before="0"/>
        <w:ind w:left="0" w:right="417" w:firstLine="0"/>
        <w:jc w:val="right"/>
        <w:rPr>
          <w:rFonts w:ascii="Arial"/>
          <w:b/>
          <w:sz w:val="12"/>
        </w:rPr>
      </w:pPr>
      <w:r>
        <w:rPr>
          <w:rFonts w:ascii="Arial"/>
          <w:b/>
          <w:color w:val="010101"/>
          <w:w w:val="155"/>
          <w:sz w:val="12"/>
        </w:rPr>
        <w:t>u-1</w:t>
      </w:r>
    </w:p>
    <w:p>
      <w:pPr>
        <w:spacing w:line="171" w:lineRule="exact" w:before="0"/>
        <w:ind w:left="0" w:right="83" w:firstLine="0"/>
        <w:jc w:val="right"/>
        <w:rPr>
          <w:rFonts w:ascii="Arial" w:hAnsi="Arial"/>
          <w:sz w:val="15"/>
        </w:rPr>
      </w:pPr>
      <w:r>
        <w:rPr/>
        <w:pict>
          <v:shape style="position:absolute;margin-left:183.050797pt;margin-top:2.388771pt;width:12.05pt;height:28.5pt;mso-position-horizontal-relative:page;mso-position-vertical-relative:paragraph;z-index:-710032" type="#_x0000_t202" filled="false" stroked="false">
            <v:textbox inset="0,0,0,0">
              <w:txbxContent>
                <w:p>
                  <w:pPr>
                    <w:spacing w:line="570" w:lineRule="exact" w:before="0"/>
                    <w:ind w:left="0" w:right="-17" w:firstLine="0"/>
                    <w:jc w:val="left"/>
                    <w:rPr>
                      <w:i/>
                      <w:sz w:val="17"/>
                    </w:rPr>
                  </w:pPr>
                  <w:r>
                    <w:rPr>
                      <w:color w:val="010101"/>
                      <w:spacing w:val="-146"/>
                      <w:w w:val="83"/>
                      <w:position w:val="-25"/>
                      <w:sz w:val="57"/>
                    </w:rPr>
                    <w:t>·</w:t>
                  </w:r>
                  <w:r>
                    <w:rPr>
                      <w:i/>
                      <w:color w:val="010101"/>
                      <w:spacing w:val="-26"/>
                      <w:w w:val="81"/>
                      <w:sz w:val="17"/>
                    </w:rPr>
                    <w:t>¿</w:t>
                  </w:r>
                  <w:r>
                    <w:rPr>
                      <w:color w:val="010101"/>
                      <w:spacing w:val="-104"/>
                      <w:w w:val="67"/>
                      <w:position w:val="-25"/>
                      <w:sz w:val="57"/>
                    </w:rPr>
                    <w:t>-</w:t>
                  </w:r>
                  <w:r>
                    <w:rPr>
                      <w:i/>
                      <w:color w:val="010101"/>
                      <w:w w:val="81"/>
                      <w:sz w:val="17"/>
                    </w:rPr>
                    <w:t>_</w:t>
                  </w:r>
                  <w:r>
                    <w:rPr>
                      <w:i/>
                      <w:color w:val="010101"/>
                      <w:spacing w:val="-29"/>
                      <w:w w:val="81"/>
                      <w:sz w:val="17"/>
                    </w:rPr>
                    <w:t>,</w:t>
                  </w:r>
                  <w:r>
                    <w:rPr>
                      <w:color w:val="010101"/>
                      <w:spacing w:val="-188"/>
                      <w:w w:val="113"/>
                      <w:position w:val="-25"/>
                      <w:sz w:val="57"/>
                    </w:rPr>
                    <w:t>·</w:t>
                  </w:r>
                  <w:r>
                    <w:rPr>
                      <w:i/>
                      <w:color w:val="010101"/>
                      <w:w w:val="80"/>
                      <w:sz w:val="17"/>
                    </w:rPr>
                    <w:t>¡</w:t>
                  </w:r>
                </w:p>
              </w:txbxContent>
            </v:textbox>
            <w10:wrap type="none"/>
          </v:shape>
        </w:pict>
      </w:r>
      <w:r>
        <w:rPr>
          <w:rFonts w:ascii="Arial" w:hAnsi="Arial"/>
          <w:b/>
          <w:i/>
          <w:color w:val="010101"/>
          <w:spacing w:val="-53"/>
          <w:w w:val="213"/>
          <w:sz w:val="21"/>
        </w:rPr>
        <w:t>.</w:t>
      </w:r>
      <w:r>
        <w:rPr>
          <w:rFonts w:ascii="Arial" w:hAnsi="Arial"/>
          <w:b/>
          <w:i/>
          <w:color w:val="010101"/>
          <w:spacing w:val="-115"/>
          <w:w w:val="116"/>
          <w:sz w:val="21"/>
        </w:rPr>
        <w:t>M</w:t>
      </w:r>
      <w:r>
        <w:rPr>
          <w:rFonts w:ascii="Arial" w:hAnsi="Arial"/>
          <w:b/>
          <w:i/>
          <w:color w:val="010101"/>
          <w:w w:val="111"/>
          <w:sz w:val="21"/>
        </w:rPr>
        <w:t>-</w:t>
      </w:r>
      <w:r>
        <w:rPr>
          <w:rFonts w:ascii="Arial" w:hAnsi="Arial"/>
          <w:b/>
          <w:i/>
          <w:color w:val="010101"/>
          <w:spacing w:val="-15"/>
          <w:sz w:val="21"/>
        </w:rPr>
        <w:t> </w:t>
      </w:r>
      <w:r>
        <w:rPr>
          <w:rFonts w:ascii="Arial" w:hAnsi="Arial"/>
          <w:color w:val="010101"/>
          <w:spacing w:val="29"/>
          <w:w w:val="207"/>
          <w:sz w:val="21"/>
        </w:rPr>
        <w:t>,</w:t>
      </w:r>
      <w:r>
        <w:rPr>
          <w:rFonts w:ascii="Arial" w:hAnsi="Arial"/>
          <w:color w:val="010101"/>
          <w:w w:val="106"/>
          <w:sz w:val="21"/>
        </w:rPr>
        <w:t>_</w:t>
      </w:r>
      <w:r>
        <w:rPr>
          <w:rFonts w:ascii="Arial" w:hAnsi="Arial"/>
          <w:color w:val="010101"/>
          <w:sz w:val="21"/>
        </w:rPr>
        <w:t> </w:t>
      </w:r>
      <w:r>
        <w:rPr>
          <w:rFonts w:ascii="Arial" w:hAnsi="Arial"/>
          <w:color w:val="010101"/>
          <w:spacing w:val="20"/>
          <w:sz w:val="21"/>
        </w:rPr>
        <w:t> </w:t>
      </w:r>
      <w:r>
        <w:rPr>
          <w:rFonts w:ascii="Arial" w:hAnsi="Arial"/>
          <w:color w:val="010101"/>
          <w:w w:val="220"/>
          <w:sz w:val="21"/>
        </w:rPr>
        <w:t>"'</w:t>
      </w:r>
      <w:r>
        <w:rPr>
          <w:rFonts w:ascii="Arial" w:hAnsi="Arial"/>
          <w:color w:val="010101"/>
          <w:spacing w:val="-24"/>
          <w:sz w:val="21"/>
        </w:rPr>
        <w:t> </w:t>
      </w:r>
      <w:r>
        <w:rPr>
          <w:rFonts w:ascii="Arial" w:hAnsi="Arial"/>
          <w:color w:val="010101"/>
          <w:spacing w:val="-20"/>
          <w:w w:val="200"/>
          <w:sz w:val="15"/>
        </w:rPr>
        <w:t>•</w:t>
      </w:r>
      <w:r>
        <w:rPr>
          <w:rFonts w:ascii="Arial" w:hAnsi="Arial"/>
          <w:color w:val="010101"/>
          <w:w w:val="183"/>
          <w:sz w:val="15"/>
        </w:rPr>
        <w:t>ñi</w:t>
      </w:r>
    </w:p>
    <w:p>
      <w:pPr>
        <w:tabs>
          <w:tab w:pos="800" w:val="left" w:leader="none"/>
        </w:tabs>
        <w:spacing w:line="99" w:lineRule="exact" w:before="0"/>
        <w:ind w:left="0" w:right="0" w:firstLine="0"/>
        <w:jc w:val="right"/>
        <w:rPr>
          <w:sz w:val="12"/>
        </w:rPr>
      </w:pPr>
      <w:r>
        <w:rPr>
          <w:rFonts w:ascii="Arial" w:hAnsi="Arial"/>
          <w:b/>
          <w:i/>
          <w:color w:val="010101"/>
          <w:w w:val="150"/>
          <w:sz w:val="11"/>
        </w:rPr>
        <w:t>z </w:t>
      </w:r>
      <w:r>
        <w:rPr>
          <w:rFonts w:ascii="Arial" w:hAnsi="Arial"/>
          <w:b/>
          <w:i/>
          <w:color w:val="010101"/>
          <w:spacing w:val="7"/>
          <w:w w:val="150"/>
          <w:sz w:val="11"/>
        </w:rPr>
        <w:t> </w:t>
      </w:r>
      <w:r>
        <w:rPr>
          <w:rFonts w:ascii="Arial" w:hAnsi="Arial"/>
          <w:color w:val="010101"/>
          <w:w w:val="410"/>
          <w:sz w:val="11"/>
        </w:rPr>
        <w:t>-</w:t>
        <w:tab/>
      </w:r>
      <w:r>
        <w:rPr>
          <w:b/>
          <w:color w:val="010101"/>
          <w:w w:val="150"/>
          <w:sz w:val="12"/>
        </w:rPr>
        <w:t>'vs</w:t>
      </w:r>
      <w:r>
        <w:rPr>
          <w:b/>
          <w:color w:val="010101"/>
          <w:spacing w:val="-7"/>
          <w:w w:val="150"/>
          <w:sz w:val="12"/>
        </w:rPr>
        <w:t> </w:t>
      </w:r>
      <w:r>
        <w:rPr>
          <w:color w:val="010101"/>
          <w:w w:val="130"/>
          <w:sz w:val="12"/>
        </w:rPr>
        <w:t>•</w:t>
      </w:r>
    </w:p>
    <w:p>
      <w:pPr>
        <w:pStyle w:val="BodyText"/>
        <w:spacing w:before="5"/>
        <w:rPr>
          <w:sz w:val="25"/>
        </w:rPr>
      </w:pPr>
      <w:r>
        <w:rPr/>
        <w:br w:type="column"/>
      </w:r>
      <w:r>
        <w:rPr>
          <w:sz w:val="25"/>
        </w:rPr>
      </w:r>
    </w:p>
    <w:p>
      <w:pPr>
        <w:pStyle w:val="BodyText"/>
        <w:ind w:right="131"/>
        <w:jc w:val="right"/>
      </w:pPr>
      <w:r>
        <w:rPr>
          <w:color w:val="010101"/>
        </w:rPr>
        <w:t>(16.41)</w:t>
      </w:r>
    </w:p>
    <w:p>
      <w:pPr>
        <w:spacing w:after="0"/>
        <w:jc w:val="right"/>
        <w:sectPr>
          <w:type w:val="continuous"/>
          <w:pgSz w:w="7200" w:h="11340"/>
          <w:pgMar w:top="1100" w:bottom="0" w:left="660" w:right="560"/>
          <w:cols w:num="2" w:equalWidth="0">
            <w:col w:w="3689" w:space="40"/>
            <w:col w:w="2251"/>
          </w:cols>
        </w:sectPr>
      </w:pPr>
    </w:p>
    <w:p>
      <w:pPr>
        <w:pStyle w:val="BodyText"/>
        <w:spacing w:before="10"/>
        <w:rPr>
          <w:sz w:val="16"/>
        </w:rPr>
      </w:pPr>
    </w:p>
    <w:p>
      <w:pPr>
        <w:spacing w:before="73"/>
        <w:ind w:left="140" w:right="104" w:firstLine="190"/>
        <w:jc w:val="left"/>
        <w:rPr>
          <w:sz w:val="21"/>
        </w:rPr>
      </w:pPr>
      <w:r>
        <w:rPr>
          <w:color w:val="010101"/>
          <w:sz w:val="21"/>
        </w:rPr>
        <w:t>The definitions of </w:t>
      </w:r>
      <w:r>
        <w:rPr>
          <w:color w:val="010101"/>
          <w:spacing w:val="-4"/>
          <w:sz w:val="20"/>
        </w:rPr>
        <w:t>(16.38)  </w:t>
      </w:r>
      <w:r>
        <w:rPr>
          <w:color w:val="010101"/>
          <w:sz w:val="21"/>
        </w:rPr>
        <w:t>and  </w:t>
      </w:r>
      <w:r>
        <w:rPr>
          <w:color w:val="010101"/>
          <w:sz w:val="20"/>
        </w:rPr>
        <w:t>(16.40)  </w:t>
      </w:r>
      <w:r>
        <w:rPr>
          <w:color w:val="010101"/>
          <w:sz w:val="21"/>
        </w:rPr>
        <w:t>depart  somewhat  from the </w:t>
      </w:r>
      <w:r>
        <w:rPr>
          <w:b/>
          <w:color w:val="010101"/>
          <w:sz w:val="20"/>
        </w:rPr>
        <w:t>general  </w:t>
      </w:r>
      <w:r>
        <w:rPr>
          <w:color w:val="010101"/>
          <w:sz w:val="21"/>
        </w:rPr>
        <w:t>plan  described  in Section  </w:t>
      </w:r>
      <w:r>
        <w:rPr>
          <w:b/>
          <w:color w:val="010101"/>
          <w:sz w:val="20"/>
        </w:rPr>
        <w:t>1. </w:t>
      </w:r>
      <w:r>
        <w:rPr>
          <w:color w:val="010101"/>
          <w:sz w:val="21"/>
        </w:rPr>
        <w:t>Instead of  using  a</w:t>
      </w:r>
      <w:r>
        <w:rPr>
          <w:color w:val="010101"/>
          <w:spacing w:val="-23"/>
          <w:sz w:val="21"/>
        </w:rPr>
        <w:t> </w:t>
      </w:r>
      <w:r>
        <w:rPr>
          <w:color w:val="010101"/>
          <w:sz w:val="21"/>
        </w:rPr>
        <w:t>super-</w:t>
      </w:r>
    </w:p>
    <w:p>
      <w:pPr>
        <w:spacing w:after="0"/>
        <w:jc w:val="left"/>
        <w:rPr>
          <w:sz w:val="21"/>
        </w:rPr>
        <w:sectPr>
          <w:type w:val="continuous"/>
          <w:pgSz w:w="7200" w:h="11340"/>
          <w:pgMar w:top="1100" w:bottom="0" w:left="660" w:right="560"/>
        </w:sectPr>
      </w:pPr>
    </w:p>
    <w:p>
      <w:pPr>
        <w:tabs>
          <w:tab w:pos="1974" w:val="left" w:leader="none"/>
          <w:tab w:pos="5239" w:val="left" w:leader="none"/>
        </w:tabs>
        <w:spacing w:before="61"/>
        <w:ind w:left="134" w:right="0" w:hanging="4"/>
        <w:jc w:val="both"/>
        <w:rPr>
          <w:rFonts w:ascii="Arial"/>
          <w:b/>
          <w:sz w:val="20"/>
        </w:rPr>
      </w:pPr>
      <w:r>
        <w:rPr>
          <w:rFonts w:ascii="Courier New"/>
          <w:color w:val="010101"/>
          <w:spacing w:val="-25"/>
          <w:sz w:val="22"/>
        </w:rPr>
        <w:t>322</w:t>
        <w:tab/>
      </w:r>
      <w:r>
        <w:rPr>
          <w:b/>
          <w:color w:val="010101"/>
          <w:sz w:val="15"/>
        </w:rPr>
        <w:t>A </w:t>
      </w:r>
      <w:r>
        <w:rPr>
          <w:b/>
          <w:color w:val="010101"/>
          <w:spacing w:val="36"/>
          <w:sz w:val="15"/>
        </w:rPr>
        <w:t> </w:t>
      </w:r>
      <w:r>
        <w:rPr>
          <w:b/>
          <w:color w:val="010101"/>
          <w:sz w:val="15"/>
        </w:rPr>
        <w:t>GENERALIZED </w:t>
      </w:r>
      <w:r>
        <w:rPr>
          <w:b/>
          <w:color w:val="010101"/>
          <w:spacing w:val="36"/>
          <w:sz w:val="15"/>
        </w:rPr>
        <w:t> </w:t>
      </w:r>
      <w:r>
        <w:rPr>
          <w:b/>
          <w:color w:val="010101"/>
          <w:sz w:val="15"/>
        </w:rPr>
        <w:t>MODEL</w:t>
        <w:tab/>
      </w:r>
      <w:r>
        <w:rPr>
          <w:b/>
          <w:color w:val="010101"/>
          <w:w w:val="90"/>
          <w:position w:val="1"/>
          <w:sz w:val="19"/>
        </w:rPr>
        <w:t>[CH.</w:t>
      </w:r>
      <w:r>
        <w:rPr>
          <w:b/>
          <w:color w:val="010101"/>
          <w:spacing w:val="22"/>
          <w:w w:val="90"/>
          <w:position w:val="1"/>
          <w:sz w:val="19"/>
        </w:rPr>
        <w:t> </w:t>
      </w:r>
      <w:r>
        <w:rPr>
          <w:rFonts w:ascii="Arial"/>
          <w:b/>
          <w:color w:val="010101"/>
          <w:w w:val="90"/>
          <w:position w:val="1"/>
          <w:sz w:val="20"/>
        </w:rPr>
        <w:t>16</w:t>
      </w:r>
    </w:p>
    <w:p>
      <w:pPr>
        <w:pStyle w:val="BodyText"/>
        <w:spacing w:before="2"/>
        <w:rPr>
          <w:rFonts w:ascii="Arial"/>
          <w:b/>
          <w:sz w:val="17"/>
        </w:rPr>
      </w:pPr>
    </w:p>
    <w:p>
      <w:pPr>
        <w:pStyle w:val="BodyText"/>
        <w:spacing w:line="237" w:lineRule="auto"/>
        <w:ind w:left="134" w:right="136"/>
        <w:jc w:val="both"/>
      </w:pPr>
      <w:r>
        <w:rPr>
          <w:color w:val="010101"/>
          <w:w w:val="105"/>
        </w:rPr>
        <w:t>scribed </w:t>
      </w:r>
      <w:r>
        <w:rPr>
          <w:i/>
          <w:color w:val="010101"/>
          <w:w w:val="105"/>
          <w:sz w:val="22"/>
        </w:rPr>
        <w:t>a </w:t>
      </w:r>
      <w:r>
        <w:rPr>
          <w:color w:val="010101"/>
          <w:w w:val="105"/>
          <w:sz w:val="22"/>
        </w:rPr>
        <w:t>to </w:t>
      </w:r>
      <w:r>
        <w:rPr>
          <w:color w:val="010101"/>
          <w:w w:val="105"/>
        </w:rPr>
        <w:t>indicate that the weight function involves an </w:t>
      </w:r>
      <w:r>
        <w:rPr>
          <w:color w:val="3D3D3D"/>
          <w:w w:val="75"/>
        </w:rPr>
        <w:t>· </w:t>
      </w:r>
      <w:r>
        <w:rPr>
          <w:color w:val="010101"/>
          <w:w w:val="105"/>
        </w:rPr>
        <w:t>annuity, </w:t>
      </w:r>
      <w:r>
        <w:rPr>
          <w:rFonts w:ascii="Arial" w:hAnsi="Arial"/>
          <w:color w:val="010101"/>
          <w:w w:val="105"/>
          <w:sz w:val="18"/>
        </w:rPr>
        <w:t>we </w:t>
      </w:r>
      <w:r>
        <w:rPr>
          <w:color w:val="010101"/>
          <w:w w:val="105"/>
        </w:rPr>
        <w:t>use the superscript </w:t>
      </w:r>
      <w:r>
        <w:rPr>
          <w:rFonts w:ascii="Arial" w:hAnsi="Arial"/>
          <w:i/>
          <w:color w:val="010101"/>
          <w:w w:val="105"/>
          <w:sz w:val="18"/>
        </w:rPr>
        <w:t>w </w:t>
      </w:r>
      <w:r>
        <w:rPr>
          <w:color w:val="010101"/>
          <w:w w:val="105"/>
          <w:sz w:val="22"/>
        </w:rPr>
        <w:t>to </w:t>
      </w:r>
      <w:r>
        <w:rPr>
          <w:color w:val="010101"/>
          <w:w w:val="105"/>
        </w:rPr>
        <w:t>indicate that it involves a </w:t>
      </w:r>
      <w:r>
        <w:rPr>
          <w:rFonts w:ascii="Arial" w:hAnsi="Arial"/>
          <w:i/>
          <w:color w:val="010101"/>
          <w:spacing w:val="2"/>
          <w:w w:val="105"/>
        </w:rPr>
        <w:t>lif</w:t>
      </w:r>
      <w:r>
        <w:rPr>
          <w:i/>
          <w:color w:val="010101"/>
          <w:spacing w:val="2"/>
          <w:w w:val="105"/>
          <w:sz w:val="22"/>
        </w:rPr>
        <w:t>e </w:t>
      </w:r>
      <w:r>
        <w:rPr>
          <w:color w:val="010101"/>
          <w:w w:val="105"/>
        </w:rPr>
        <w:t>annuity and the superscript </w:t>
      </w:r>
      <w:r>
        <w:rPr>
          <w:rFonts w:ascii="Arial" w:hAnsi="Arial"/>
          <w:i/>
          <w:color w:val="010101"/>
          <w:w w:val="105"/>
          <w:sz w:val="18"/>
        </w:rPr>
        <w:t>u </w:t>
      </w:r>
      <w:r>
        <w:rPr>
          <w:color w:val="010101"/>
          <w:w w:val="105"/>
        </w:rPr>
        <w:t>to indicate that it involves a </w:t>
      </w:r>
      <w:r>
        <w:rPr>
          <w:rFonts w:ascii="Arial" w:hAnsi="Arial"/>
          <w:i/>
          <w:color w:val="010101"/>
          <w:w w:val="105"/>
          <w:sz w:val="18"/>
        </w:rPr>
        <w:t>temporary  </w:t>
      </w:r>
      <w:r>
        <w:rPr>
          <w:color w:val="010101"/>
          <w:w w:val="105"/>
        </w:rPr>
        <w:t>annuity ceasing </w:t>
      </w:r>
      <w:r>
        <w:rPr>
          <w:color w:val="010101"/>
          <w:w w:val="105"/>
          <w:sz w:val="22"/>
        </w:rPr>
        <w:t>at </w:t>
      </w:r>
      <w:r>
        <w:rPr>
          <w:color w:val="010101"/>
          <w:w w:val="105"/>
        </w:rPr>
        <w:t>age </w:t>
      </w:r>
      <w:r>
        <w:rPr>
          <w:i/>
          <w:color w:val="010101"/>
          <w:w w:val="105"/>
          <w:sz w:val="21"/>
        </w:rPr>
        <w:t>u. </w:t>
      </w:r>
      <w:r>
        <w:rPr>
          <w:color w:val="010101"/>
          <w:w w:val="105"/>
        </w:rPr>
        <w:t>The reason for this departure is that </w:t>
      </w:r>
      <w:r>
        <w:rPr>
          <w:color w:val="010101"/>
          <w:w w:val="104"/>
        </w:rPr>
        <w:t>disability </w:t>
      </w:r>
      <w:r>
        <w:rPr>
          <w:color w:val="010101"/>
          <w:w w:val="105"/>
        </w:rPr>
        <w:t>commutation </w:t>
      </w:r>
      <w:r>
        <w:rPr>
          <w:color w:val="010101"/>
          <w:w w:val="105"/>
        </w:rPr>
        <w:t>functions </w:t>
      </w:r>
      <w:r>
        <w:rPr>
          <w:color w:val="010101"/>
          <w:w w:val="107"/>
        </w:rPr>
        <w:t>are </w:t>
      </w:r>
      <w:r>
        <w:rPr>
          <w:color w:val="3D3D3D"/>
          <w:w w:val="94"/>
        </w:rPr>
        <w:t>-</w:t>
      </w:r>
      <w:r>
        <w:rPr>
          <w:color w:val="010101"/>
          <w:w w:val="94"/>
        </w:rPr>
        <w:t>required  </w:t>
      </w:r>
      <w:r>
        <w:rPr>
          <w:color w:val="010101"/>
          <w:w w:val="109"/>
          <w:sz w:val="19"/>
        </w:rPr>
        <w:t>for </w:t>
      </w:r>
      <w:r>
        <w:rPr>
          <w:color w:val="010101"/>
          <w:w w:val="107"/>
        </w:rPr>
        <w:t>many </w:t>
      </w:r>
      <w:r>
        <w:rPr>
          <w:color w:val="010101"/>
          <w:w w:val="104"/>
        </w:rPr>
        <w:t>values </w:t>
      </w:r>
      <w:r>
        <w:rPr>
          <w:color w:val="010101"/>
          <w:w w:val="87"/>
        </w:rPr>
        <w:t>of  </w:t>
      </w:r>
      <w:r>
        <w:rPr>
          <w:i/>
          <w:color w:val="010101"/>
          <w:w w:val="105"/>
          <w:sz w:val="22"/>
        </w:rPr>
        <w:t>u, </w:t>
      </w:r>
      <w:r>
        <w:rPr>
          <w:color w:val="010101"/>
          <w:w w:val="105"/>
        </w:rPr>
        <w:t>and it is desirable to have </w:t>
      </w:r>
      <w:r>
        <w:rPr>
          <w:rFonts w:ascii="Arial" w:hAnsi="Arial"/>
          <w:color w:val="010101"/>
          <w:w w:val="105"/>
          <w:sz w:val="18"/>
        </w:rPr>
        <w:t>a </w:t>
      </w:r>
      <w:r>
        <w:rPr>
          <w:color w:val="010101"/>
          <w:w w:val="105"/>
        </w:rPr>
        <w:t>convenient means </w:t>
      </w:r>
      <w:r>
        <w:rPr>
          <w:rFonts w:ascii="Arial" w:hAnsi="Arial"/>
          <w:color w:val="010101"/>
          <w:w w:val="105"/>
          <w:sz w:val="18"/>
        </w:rPr>
        <w:t>of </w:t>
      </w:r>
      <w:r>
        <w:rPr>
          <w:color w:val="010101"/>
          <w:w w:val="105"/>
        </w:rPr>
        <w:t>distinguishing them.</w:t>
      </w:r>
    </w:p>
    <w:p>
      <w:pPr>
        <w:pStyle w:val="ListParagraph"/>
        <w:numPr>
          <w:ilvl w:val="0"/>
          <w:numId w:val="143"/>
        </w:numPr>
        <w:tabs>
          <w:tab w:pos="364" w:val="left" w:leader="none"/>
        </w:tabs>
        <w:spacing w:line="240" w:lineRule="auto" w:before="172" w:after="0"/>
        <w:ind w:left="363" w:right="0" w:hanging="236"/>
        <w:jc w:val="both"/>
        <w:rPr>
          <w:b/>
          <w:color w:val="010101"/>
          <w:sz w:val="19"/>
        </w:rPr>
      </w:pPr>
      <w:r>
        <w:rPr>
          <w:b/>
          <w:color w:val="010101"/>
          <w:w w:val="115"/>
          <w:sz w:val="19"/>
        </w:rPr>
        <w:t>Income</w:t>
      </w:r>
      <w:r>
        <w:rPr>
          <w:b/>
          <w:color w:val="010101"/>
          <w:spacing w:val="50"/>
          <w:w w:val="115"/>
          <w:sz w:val="19"/>
        </w:rPr>
        <w:t> </w:t>
      </w:r>
      <w:r>
        <w:rPr>
          <w:b/>
          <w:color w:val="010101"/>
          <w:w w:val="115"/>
          <w:sz w:val="19"/>
        </w:rPr>
        <w:t>benefits</w:t>
      </w:r>
    </w:p>
    <w:p>
      <w:pPr>
        <w:pStyle w:val="BodyText"/>
        <w:spacing w:line="247" w:lineRule="auto" w:before="79"/>
        <w:ind w:left="130" w:right="136" w:firstLine="204"/>
        <w:jc w:val="both"/>
        <w:rPr>
          <w:sz w:val="21"/>
        </w:rPr>
      </w:pPr>
      <w:r>
        <w:rPr>
          <w:color w:val="010101"/>
        </w:rPr>
        <w:t>Life insurance </w:t>
      </w:r>
      <w:r>
        <w:rPr>
          <w:color w:val="010101"/>
          <w:sz w:val="21"/>
        </w:rPr>
        <w:t>policies </w:t>
      </w:r>
      <w:r>
        <w:rPr>
          <w:color w:val="010101"/>
        </w:rPr>
        <w:t>which off er disability income benefits usually provide payments of </w:t>
      </w:r>
      <w:r>
        <w:rPr>
          <w:color w:val="010101"/>
          <w:sz w:val="19"/>
        </w:rPr>
        <w:t>$5 </w:t>
      </w:r>
      <w:r>
        <w:rPr>
          <w:color w:val="010101"/>
        </w:rPr>
        <w:t>or </w:t>
      </w:r>
      <w:r>
        <w:rPr>
          <w:color w:val="010101"/>
          <w:sz w:val="19"/>
        </w:rPr>
        <w:t>$10 </w:t>
      </w:r>
      <w:r>
        <w:rPr>
          <w:color w:val="010101"/>
        </w:rPr>
        <w:t>per month for each thousand dollars of face amount. The net single premium for  a monthly  in­ come of </w:t>
      </w:r>
      <w:r>
        <w:rPr>
          <w:color w:val="010101"/>
          <w:sz w:val="19"/>
        </w:rPr>
        <w:t>$10 </w:t>
      </w:r>
      <w:r>
        <w:rPr>
          <w:color w:val="010101"/>
        </w:rPr>
        <w:t>commencing at the end of the  waiting  period  in  the event of disability prior to age </w:t>
      </w:r>
      <w:r>
        <w:rPr>
          <w:rFonts w:ascii="Arial" w:hAnsi="Arial"/>
          <w:i/>
          <w:color w:val="010101"/>
          <w:sz w:val="18"/>
        </w:rPr>
        <w:t>y </w:t>
      </w:r>
      <w:r>
        <w:rPr>
          <w:color w:val="010101"/>
        </w:rPr>
        <w:t>and payable </w:t>
      </w:r>
      <w:r>
        <w:rPr>
          <w:color w:val="010101"/>
          <w:sz w:val="19"/>
        </w:rPr>
        <w:t>for </w:t>
      </w:r>
      <w:r>
        <w:rPr>
          <w:color w:val="010101"/>
        </w:rPr>
        <w:t>life during con­ tinuance  </w:t>
      </w:r>
      <w:r>
        <w:rPr>
          <w:color w:val="010101"/>
          <w:sz w:val="21"/>
        </w:rPr>
        <w:t>of  </w:t>
      </w:r>
      <w:r>
        <w:rPr>
          <w:color w:val="010101"/>
        </w:rPr>
        <w:t>disability </w:t>
      </w:r>
      <w:r>
        <w:rPr>
          <w:color w:val="010101"/>
          <w:sz w:val="21"/>
        </w:rPr>
        <w:t>is</w:t>
      </w:r>
    </w:p>
    <w:p>
      <w:pPr>
        <w:spacing w:after="0" w:line="247" w:lineRule="auto"/>
        <w:jc w:val="both"/>
        <w:rPr>
          <w:sz w:val="21"/>
        </w:rPr>
        <w:sectPr>
          <w:pgSz w:w="7200" w:h="11340"/>
          <w:pgMar w:top="500" w:bottom="280" w:left="680" w:right="540"/>
        </w:sectPr>
      </w:pPr>
    </w:p>
    <w:p>
      <w:pPr>
        <w:spacing w:before="92"/>
        <w:ind w:left="3140" w:right="0" w:firstLine="0"/>
        <w:jc w:val="left"/>
        <w:rPr>
          <w:b/>
          <w:sz w:val="13"/>
        </w:rPr>
      </w:pPr>
      <w:r>
        <w:rPr/>
        <w:pict>
          <v:shape style="position:absolute;margin-left:161.614304pt;margin-top:12.208672pt;width:115.9pt;height:30.5pt;mso-position-horizontal-relative:page;mso-position-vertical-relative:paragraph;z-index:-709960" type="#_x0000_t202" filled="false" stroked="false">
            <v:textbox inset="0,0,0,0">
              <w:txbxContent>
                <w:p>
                  <w:pPr>
                    <w:tabs>
                      <w:tab w:pos="591" w:val="left" w:leader="none"/>
                      <w:tab w:pos="2317" w:val="left" w:leader="none"/>
                    </w:tabs>
                    <w:spacing w:line="610" w:lineRule="exact" w:before="0"/>
                    <w:ind w:left="0" w:right="0" w:firstLine="0"/>
                    <w:jc w:val="left"/>
                    <w:rPr>
                      <w:rFonts w:ascii="Arial" w:hAnsi="Arial"/>
                      <w:sz w:val="61"/>
                    </w:rPr>
                  </w:pPr>
                  <w:r>
                    <w:rPr>
                      <w:color w:val="010101"/>
                      <w:sz w:val="28"/>
                    </w:rPr>
                    <w:t>=</w:t>
                  </w:r>
                  <w:r>
                    <w:rPr>
                      <w:rFonts w:ascii="Arial" w:hAnsi="Arial"/>
                      <w:strike/>
                      <w:color w:val="010101"/>
                      <w:sz w:val="61"/>
                    </w:rPr>
                    <w:tab/>
                  </w:r>
                  <w:r>
                    <w:rPr>
                      <w:rFonts w:ascii="Arial" w:hAnsi="Arial"/>
                      <w:strike/>
                      <w:color w:val="010101"/>
                      <w:spacing w:val="-53"/>
                      <w:sz w:val="61"/>
                    </w:rPr>
                    <w:t>·-</w:t>
                    <w:tab/>
                  </w:r>
                </w:p>
              </w:txbxContent>
            </v:textbox>
            <w10:wrap type="none"/>
          </v:shape>
        </w:pict>
      </w:r>
      <w:r>
        <w:rPr/>
        <w:pict>
          <v:shape style="position:absolute;margin-left:173.811707pt;margin-top:4.80689pt;width:84.45pt;height:18.9pt;mso-position-horizontal-relative:page;mso-position-vertical-relative:paragraph;z-index:-709936" type="#_x0000_t202" filled="false" stroked="false">
            <v:textbox inset="0,0,0,0">
              <w:txbxContent>
                <w:p>
                  <w:pPr>
                    <w:tabs>
                      <w:tab w:pos="817" w:val="left" w:leader="none"/>
                    </w:tabs>
                    <w:spacing w:line="378" w:lineRule="exact" w:before="0"/>
                    <w:ind w:left="0" w:right="0" w:firstLine="0"/>
                    <w:jc w:val="left"/>
                    <w:rPr>
                      <w:sz w:val="13"/>
                    </w:rPr>
                  </w:pPr>
                  <w:r>
                    <w:rPr>
                      <w:color w:val="010101"/>
                      <w:w w:val="105"/>
                      <w:position w:val="-7"/>
                      <w:sz w:val="21"/>
                    </w:rPr>
                    <w:t>120</w:t>
                  </w:r>
                  <w:r>
                    <w:rPr>
                      <w:color w:val="010101"/>
                      <w:spacing w:val="2"/>
                      <w:w w:val="105"/>
                      <w:position w:val="-7"/>
                      <w:sz w:val="21"/>
                    </w:rPr>
                    <w:t> </w:t>
                  </w:r>
                  <w:r>
                    <w:rPr>
                      <w:color w:val="010101"/>
                      <w:w w:val="120"/>
                      <w:sz w:val="21"/>
                    </w:rPr>
                    <w:t>'"'</w:t>
                    <w:tab/>
                  </w:r>
                  <w:r>
                    <w:rPr>
                      <w:color w:val="010101"/>
                      <w:spacing w:val="-8"/>
                      <w:w w:val="120"/>
                      <w:sz w:val="13"/>
                    </w:rPr>
                    <w:t>,11 </w:t>
                  </w:r>
                  <w:r>
                    <w:rPr>
                      <w:color w:val="010101"/>
                      <w:spacing w:val="-31"/>
                      <w:w w:val="105"/>
                      <w:sz w:val="32"/>
                    </w:rPr>
                    <w:t>e-¡</w:t>
                  </w:r>
                  <w:r>
                    <w:rPr>
                      <w:color w:val="010101"/>
                      <w:spacing w:val="-50"/>
                      <w:w w:val="105"/>
                      <w:sz w:val="32"/>
                    </w:rPr>
                    <w:t> </w:t>
                  </w:r>
                  <w:r>
                    <w:rPr>
                      <w:color w:val="010101"/>
                      <w:w w:val="105"/>
                      <w:sz w:val="13"/>
                    </w:rPr>
                    <w:t>"i(12&gt;</w:t>
                  </w:r>
                </w:p>
              </w:txbxContent>
            </v:textbox>
            <w10:wrap type="none"/>
          </v:shape>
        </w:pict>
      </w:r>
      <w:r>
        <w:rPr>
          <w:b/>
          <w:color w:val="010101"/>
          <w:w w:val="110"/>
          <w:sz w:val="13"/>
        </w:rPr>
        <w:t>11-l</w:t>
      </w:r>
    </w:p>
    <w:p>
      <w:pPr>
        <w:tabs>
          <w:tab w:pos="3958" w:val="left" w:leader="none"/>
        </w:tabs>
        <w:spacing w:line="202" w:lineRule="exact" w:before="20"/>
        <w:ind w:left="3154" w:right="0" w:firstLine="0"/>
        <w:jc w:val="left"/>
        <w:rPr>
          <w:sz w:val="15"/>
        </w:rPr>
      </w:pPr>
      <w:r>
        <w:rPr>
          <w:rFonts w:ascii="Arial"/>
          <w:i/>
          <w:color w:val="010101"/>
          <w:sz w:val="15"/>
        </w:rPr>
        <w:t>L.J</w:t>
      </w:r>
      <w:r>
        <w:rPr>
          <w:rFonts w:ascii="Arial"/>
          <w:i/>
          <w:color w:val="010101"/>
          <w:spacing w:val="18"/>
          <w:sz w:val="15"/>
        </w:rPr>
        <w:t> </w:t>
      </w:r>
      <w:r>
        <w:rPr>
          <w:rFonts w:ascii="Arial"/>
          <w:i/>
          <w:color w:val="010101"/>
          <w:sz w:val="18"/>
        </w:rPr>
        <w:t>v</w:t>
        <w:tab/>
      </w:r>
      <w:r>
        <w:rPr>
          <w:rFonts w:ascii="Arial"/>
          <w:i/>
          <w:color w:val="010101"/>
          <w:w w:val="95"/>
          <w:sz w:val="12"/>
        </w:rPr>
        <w:t>z </w:t>
      </w:r>
      <w:r>
        <w:rPr>
          <w:color w:val="010101"/>
          <w:w w:val="95"/>
          <w:sz w:val="21"/>
        </w:rPr>
        <w:t>ac,+t1</w:t>
      </w:r>
      <w:r>
        <w:rPr>
          <w:color w:val="010101"/>
          <w:spacing w:val="-34"/>
          <w:w w:val="95"/>
          <w:sz w:val="21"/>
        </w:rPr>
        <w:t> </w:t>
      </w:r>
      <w:r>
        <w:rPr>
          <w:color w:val="010101"/>
          <w:spacing w:val="-11"/>
          <w:w w:val="95"/>
          <w:sz w:val="15"/>
        </w:rPr>
        <w:t>+m112</w:t>
      </w:r>
    </w:p>
    <w:p>
      <w:pPr>
        <w:tabs>
          <w:tab w:pos="1009" w:val="left" w:leader="none"/>
          <w:tab w:pos="2024" w:val="left" w:leader="none"/>
        </w:tabs>
        <w:spacing w:line="129" w:lineRule="exact" w:before="0"/>
        <w:ind w:left="349" w:right="0" w:hanging="51"/>
        <w:jc w:val="left"/>
        <w:rPr>
          <w:b/>
          <w:sz w:val="12"/>
        </w:rPr>
      </w:pPr>
      <w:r>
        <w:rPr>
          <w:b/>
          <w:color w:val="010101"/>
          <w:w w:val="120"/>
          <w:sz w:val="19"/>
        </w:rPr>
        <w:t>120</w:t>
        <w:tab/>
      </w:r>
      <w:r>
        <w:rPr>
          <w:b/>
          <w:color w:val="010101"/>
          <w:w w:val="120"/>
          <w:sz w:val="18"/>
        </w:rPr>
        <w:t>,-s+t</w:t>
      </w:r>
      <w:r>
        <w:rPr>
          <w:b/>
          <w:color w:val="010101"/>
          <w:spacing w:val="39"/>
          <w:w w:val="120"/>
          <w:sz w:val="18"/>
        </w:rPr>
        <w:t> </w:t>
      </w:r>
      <w:r>
        <w:rPr>
          <w:color w:val="010101"/>
          <w:w w:val="120"/>
          <w:sz w:val="18"/>
        </w:rPr>
        <w:t>.</w:t>
        <w:tab/>
      </w:r>
      <w:r>
        <w:rPr>
          <w:b/>
          <w:color w:val="131313"/>
          <w:w w:val="150"/>
          <w:sz w:val="12"/>
        </w:rPr>
        <w:t>..i(ll)</w:t>
      </w:r>
    </w:p>
    <w:p>
      <w:pPr>
        <w:tabs>
          <w:tab w:pos="1447" w:val="left" w:leader="none"/>
        </w:tabs>
        <w:spacing w:line="33" w:lineRule="exact" w:before="0"/>
        <w:ind w:left="349" w:right="0" w:firstLine="0"/>
        <w:jc w:val="left"/>
        <w:rPr>
          <w:sz w:val="21"/>
        </w:rPr>
      </w:pPr>
      <w:r>
        <w:rPr>
          <w:color w:val="010101"/>
          <w:w w:val="102"/>
          <w:sz w:val="12"/>
        </w:rPr>
        <w:t>JG•</w:t>
      </w:r>
      <w:r>
        <w:rPr>
          <w:color w:val="010101"/>
          <w:sz w:val="12"/>
        </w:rPr>
        <w:t>   </w:t>
      </w:r>
      <w:r>
        <w:rPr>
          <w:color w:val="010101"/>
          <w:spacing w:val="7"/>
          <w:sz w:val="12"/>
        </w:rPr>
        <w:t> </w:t>
      </w:r>
      <w:r>
        <w:rPr>
          <w:rFonts w:ascii="Arial" w:hAnsi="Arial"/>
          <w:i/>
          <w:color w:val="010101"/>
          <w:w w:val="102"/>
          <w:sz w:val="15"/>
        </w:rPr>
        <w:t>L.J</w:t>
      </w:r>
      <w:r>
        <w:rPr>
          <w:rFonts w:ascii="Arial" w:hAnsi="Arial"/>
          <w:i/>
          <w:color w:val="010101"/>
          <w:sz w:val="15"/>
        </w:rPr>
        <w:t> </w:t>
      </w:r>
      <w:r>
        <w:rPr>
          <w:rFonts w:ascii="Arial" w:hAnsi="Arial"/>
          <w:i/>
          <w:color w:val="010101"/>
          <w:spacing w:val="-21"/>
          <w:sz w:val="15"/>
        </w:rPr>
        <w:t> </w:t>
      </w:r>
      <w:r>
        <w:rPr>
          <w:rFonts w:ascii="Arial" w:hAnsi="Arial"/>
          <w:i/>
          <w:color w:val="010101"/>
          <w:w w:val="85"/>
          <w:sz w:val="18"/>
        </w:rPr>
        <w:t>v</w:t>
      </w:r>
      <w:r>
        <w:rPr>
          <w:rFonts w:ascii="Arial" w:hAnsi="Arial"/>
          <w:i/>
          <w:color w:val="010101"/>
          <w:sz w:val="18"/>
        </w:rPr>
        <w:tab/>
      </w:r>
      <w:r>
        <w:rPr>
          <w:color w:val="010101"/>
          <w:w w:val="176"/>
          <w:sz w:val="16"/>
        </w:rPr>
        <w:t>i</w:t>
      </w:r>
      <w:r>
        <w:rPr>
          <w:color w:val="010101"/>
          <w:spacing w:val="8"/>
          <w:w w:val="176"/>
          <w:sz w:val="16"/>
        </w:rPr>
        <w:t>.</w:t>
      </w:r>
      <w:r>
        <w:rPr>
          <w:color w:val="010101"/>
          <w:spacing w:val="-12"/>
          <w:w w:val="149"/>
          <w:sz w:val="16"/>
        </w:rPr>
        <w:t>·</w:t>
      </w:r>
      <w:r>
        <w:rPr>
          <w:color w:val="010101"/>
          <w:w w:val="98"/>
          <w:sz w:val="16"/>
        </w:rPr>
        <w:t>..</w:t>
      </w:r>
      <w:r>
        <w:rPr>
          <w:color w:val="010101"/>
          <w:spacing w:val="-10"/>
          <w:w w:val="98"/>
          <w:sz w:val="16"/>
        </w:rPr>
        <w:t>.</w:t>
      </w:r>
      <w:r>
        <w:rPr>
          <w:color w:val="010101"/>
          <w:w w:val="77"/>
          <w:sz w:val="21"/>
        </w:rPr>
        <w:t>112la1,+u</w:t>
      </w:r>
    </w:p>
    <w:p>
      <w:pPr>
        <w:pStyle w:val="BodyText"/>
      </w:pPr>
      <w:r>
        <w:rPr/>
        <w:br w:type="column"/>
      </w:r>
      <w:r>
        <w:rPr/>
      </w:r>
    </w:p>
    <w:p>
      <w:pPr>
        <w:pStyle w:val="BodyText"/>
        <w:spacing w:line="228" w:lineRule="exact" w:before="167"/>
        <w:ind w:left="268"/>
      </w:pPr>
      <w:r>
        <w:rPr>
          <w:color w:val="010101"/>
          <w:w w:val="110"/>
        </w:rPr>
        <w:t>(16.42)</w:t>
      </w:r>
    </w:p>
    <w:p>
      <w:pPr>
        <w:spacing w:after="0" w:line="228" w:lineRule="exact"/>
        <w:sectPr>
          <w:type w:val="continuous"/>
          <w:pgSz w:w="7200" w:h="11340"/>
          <w:pgMar w:top="1100" w:bottom="0" w:left="680" w:right="540"/>
          <w:cols w:num="2" w:equalWidth="0">
            <w:col w:w="4910" w:space="40"/>
            <w:col w:w="1030"/>
          </w:cols>
        </w:sectPr>
      </w:pPr>
    </w:p>
    <w:p>
      <w:pPr>
        <w:pStyle w:val="BodyText"/>
        <w:spacing w:before="9"/>
        <w:rPr>
          <w:sz w:val="9"/>
        </w:rPr>
      </w:pPr>
    </w:p>
    <w:p>
      <w:pPr>
        <w:pStyle w:val="BodyText"/>
        <w:spacing w:line="20" w:lineRule="exact"/>
        <w:ind w:left="349"/>
        <w:rPr>
          <w:sz w:val="2"/>
        </w:rPr>
      </w:pPr>
      <w:r>
        <w:rPr>
          <w:sz w:val="2"/>
        </w:rPr>
        <w:pict>
          <v:group style="width:1.85pt;height:.75pt;mso-position-horizontal-relative:char;mso-position-vertical-relative:line" coordorigin="0,0" coordsize="37,15">
            <v:line style="position:absolute" from="8,8" to="29,8" stroked="true" strokeweight=".717489pt" strokecolor="#000000"/>
          </v:group>
        </w:pict>
      </w:r>
      <w:r>
        <w:rPr>
          <w:sz w:val="2"/>
        </w:rPr>
      </w:r>
    </w:p>
    <w:p>
      <w:pPr>
        <w:spacing w:before="0"/>
        <w:ind w:left="335" w:right="-1" w:firstLine="0"/>
        <w:jc w:val="left"/>
        <w:rPr>
          <w:b/>
          <w:sz w:val="13"/>
        </w:rPr>
      </w:pPr>
      <w:r>
        <w:rPr>
          <w:b/>
          <w:color w:val="010101"/>
          <w:sz w:val="13"/>
        </w:rPr>
        <w:t>'-:r    r-:r</w:t>
      </w:r>
    </w:p>
    <w:p>
      <w:pPr>
        <w:spacing w:line="276" w:lineRule="exact" w:before="0"/>
        <w:ind w:left="335" w:right="0" w:firstLine="0"/>
        <w:jc w:val="left"/>
        <w:rPr>
          <w:i/>
          <w:sz w:val="27"/>
        </w:rPr>
      </w:pPr>
      <w:r>
        <w:rPr/>
        <w:br w:type="column"/>
      </w:r>
      <w:r>
        <w:rPr>
          <w:i/>
          <w:color w:val="010101"/>
          <w:w w:val="80"/>
          <w:sz w:val="27"/>
        </w:rPr>
        <w:t>D!"</w:t>
      </w:r>
    </w:p>
    <w:p>
      <w:pPr>
        <w:spacing w:after="0" w:line="276" w:lineRule="exact"/>
        <w:jc w:val="left"/>
        <w:rPr>
          <w:sz w:val="27"/>
        </w:rPr>
        <w:sectPr>
          <w:type w:val="continuous"/>
          <w:pgSz w:w="7200" w:h="11340"/>
          <w:pgMar w:top="1100" w:bottom="0" w:left="680" w:right="540"/>
          <w:cols w:num="2" w:equalWidth="0">
            <w:col w:w="867" w:space="2441"/>
            <w:col w:w="2672"/>
          </w:cols>
        </w:sectPr>
      </w:pPr>
    </w:p>
    <w:p>
      <w:pPr>
        <w:pStyle w:val="BodyText"/>
        <w:spacing w:line="249" w:lineRule="auto" w:before="91"/>
        <w:ind w:left="123" w:right="142" w:firstLine="7"/>
        <w:jc w:val="both"/>
      </w:pPr>
      <w:r>
        <w:rPr>
          <w:color w:val="010101"/>
          <w:w w:val="105"/>
          <w:sz w:val="21"/>
        </w:rPr>
        <w:t>We </w:t>
      </w:r>
      <w:r>
        <w:rPr>
          <w:color w:val="010101"/>
          <w:w w:val="105"/>
        </w:rPr>
        <w:t>can rewrite this expression in terms of the commutation func­ tions used in (16.36) and (16.37). Since the functions of (16.37 ) involve continuous annuities, </w:t>
      </w:r>
      <w:r>
        <w:rPr>
          <w:rFonts w:ascii="Arial" w:hAnsi="Arial"/>
          <w:color w:val="010101"/>
          <w:w w:val="105"/>
          <w:sz w:val="18"/>
        </w:rPr>
        <w:t>we </w:t>
      </w:r>
      <w:r>
        <w:rPr>
          <w:color w:val="010101"/>
          <w:w w:val="105"/>
        </w:rPr>
        <w:t>must  make  an  adjustment  for the monthly  payments specified  in  (16.42). From the  formulas</w:t>
      </w:r>
    </w:p>
    <w:p>
      <w:pPr>
        <w:spacing w:before="47"/>
        <w:ind w:left="74" w:right="106" w:firstLine="0"/>
        <w:jc w:val="center"/>
        <w:rPr>
          <w:b/>
          <w:sz w:val="16"/>
        </w:rPr>
      </w:pPr>
      <w:r>
        <w:rPr>
          <w:b/>
          <w:color w:val="010101"/>
          <w:w w:val="78"/>
          <w:sz w:val="29"/>
        </w:rPr>
        <w:t>a</w:t>
      </w:r>
      <w:r>
        <w:rPr>
          <w:b/>
          <w:color w:val="010101"/>
          <w:spacing w:val="-19"/>
          <w:w w:val="78"/>
          <w:sz w:val="29"/>
        </w:rPr>
        <w:t>!</w:t>
      </w:r>
      <w:r>
        <w:rPr>
          <w:b/>
          <w:color w:val="010101"/>
          <w:w w:val="38"/>
          <w:sz w:val="29"/>
        </w:rPr>
        <w:t>12)</w:t>
      </w:r>
      <w:r>
        <w:rPr>
          <w:b/>
          <w:color w:val="010101"/>
          <w:spacing w:val="35"/>
          <w:sz w:val="29"/>
        </w:rPr>
        <w:t> </w:t>
      </w:r>
      <w:r>
        <w:rPr>
          <w:rFonts w:ascii="Arial"/>
          <w:color w:val="010101"/>
          <w:w w:val="88"/>
          <w:sz w:val="21"/>
        </w:rPr>
        <w:t>=;</w:t>
      </w:r>
      <w:r>
        <w:rPr>
          <w:rFonts w:ascii="Arial"/>
          <w:color w:val="010101"/>
          <w:spacing w:val="17"/>
          <w:sz w:val="21"/>
        </w:rPr>
        <w:t> </w:t>
      </w:r>
      <w:r>
        <w:rPr>
          <w:rFonts w:ascii="Arial"/>
          <w:b/>
          <w:color w:val="010101"/>
          <w:w w:val="73"/>
          <w:sz w:val="17"/>
        </w:rPr>
        <w:t>Os</w:t>
      </w:r>
      <w:r>
        <w:rPr>
          <w:rFonts w:ascii="Arial"/>
          <w:b/>
          <w:color w:val="010101"/>
          <w:sz w:val="17"/>
        </w:rPr>
        <w:t> </w:t>
      </w:r>
      <w:r>
        <w:rPr>
          <w:rFonts w:ascii="Arial"/>
          <w:b/>
          <w:color w:val="010101"/>
          <w:spacing w:val="-12"/>
          <w:sz w:val="17"/>
        </w:rPr>
        <w:t> </w:t>
      </w:r>
      <w:r>
        <w:rPr>
          <w:rFonts w:ascii="Arial"/>
          <w:color w:val="010101"/>
          <w:w w:val="300"/>
          <w:sz w:val="17"/>
        </w:rPr>
        <w:t>-</w:t>
      </w:r>
      <w:r>
        <w:rPr>
          <w:rFonts w:ascii="Arial"/>
          <w:color w:val="010101"/>
          <w:sz w:val="17"/>
        </w:rPr>
        <w:t> </w:t>
      </w:r>
      <w:r>
        <w:rPr>
          <w:rFonts w:ascii="Arial"/>
          <w:color w:val="010101"/>
          <w:spacing w:val="-14"/>
          <w:sz w:val="17"/>
        </w:rPr>
        <w:t> </w:t>
      </w:r>
      <w:r>
        <w:rPr>
          <w:b/>
          <w:color w:val="010101"/>
          <w:spacing w:val="-33"/>
          <w:w w:val="391"/>
          <w:sz w:val="16"/>
        </w:rPr>
        <w:t>1</w:t>
      </w:r>
      <w:r>
        <w:rPr>
          <w:b/>
          <w:color w:val="010101"/>
          <w:w w:val="132"/>
          <w:sz w:val="16"/>
        </w:rPr>
        <w:t>4</w:t>
      </w:r>
    </w:p>
    <w:p>
      <w:pPr>
        <w:pStyle w:val="BodyText"/>
        <w:tabs>
          <w:tab w:pos="2372" w:val="left" w:leader="none"/>
        </w:tabs>
        <w:spacing w:line="204" w:lineRule="exact" w:before="128"/>
        <w:ind w:left="123" w:right="739"/>
      </w:pPr>
      <w:r>
        <w:rPr>
          <w:color w:val="010101"/>
          <w:w w:val="105"/>
        </w:rPr>
        <w:t>and</w:t>
        <w:tab/>
      </w:r>
      <w:r>
        <w:rPr>
          <w:color w:val="010101"/>
          <w:position w:val="-4"/>
        </w:rPr>
        <w:drawing>
          <wp:inline distT="0" distB="0" distL="0" distR="0">
            <wp:extent cx="731519" cy="137160"/>
            <wp:effectExtent l="0" t="0" r="0" b="0"/>
            <wp:docPr id="801" name="image409.png" descr=""/>
            <wp:cNvGraphicFramePr>
              <a:graphicFrameLocks noChangeAspect="1"/>
            </wp:cNvGraphicFramePr>
            <a:graphic>
              <a:graphicData uri="http://schemas.openxmlformats.org/drawingml/2006/picture">
                <pic:pic>
                  <pic:nvPicPr>
                    <pic:cNvPr id="802" name="image409.png"/>
                    <pic:cNvPicPr/>
                  </pic:nvPicPr>
                  <pic:blipFill>
                    <a:blip r:embed="rId413" cstate="print"/>
                    <a:stretch>
                      <a:fillRect/>
                    </a:stretch>
                  </pic:blipFill>
                  <pic:spPr>
                    <a:xfrm>
                      <a:off x="0" y="0"/>
                      <a:ext cx="731519" cy="137160"/>
                    </a:xfrm>
                    <a:prstGeom prst="rect">
                      <a:avLst/>
                    </a:prstGeom>
                  </pic:spPr>
                </pic:pic>
              </a:graphicData>
            </a:graphic>
          </wp:inline>
        </w:drawing>
      </w:r>
      <w:r>
        <w:rPr>
          <w:color w:val="010101"/>
          <w:position w:val="-4"/>
        </w:rPr>
      </w:r>
    </w:p>
    <w:p>
      <w:pPr>
        <w:tabs>
          <w:tab w:pos="2243" w:val="left" w:leader="none"/>
        </w:tabs>
        <w:spacing w:line="393" w:lineRule="exact" w:before="0"/>
        <w:ind w:left="116" w:right="739" w:firstLine="0"/>
        <w:jc w:val="left"/>
        <w:rPr>
          <w:rFonts w:ascii="Arial"/>
          <w:i/>
          <w:sz w:val="13"/>
        </w:rPr>
      </w:pPr>
      <w:r>
        <w:rPr/>
        <w:pict>
          <v:shape style="position:absolute;margin-left:165.560501pt;margin-top:8.543972pt;width:159.25pt;height:10.95pt;mso-position-horizontal-relative:page;mso-position-vertical-relative:paragraph;z-index:-709888" type="#_x0000_t202" filled="false" stroked="false">
            <v:textbox inset="0,0,0,0">
              <w:txbxContent>
                <w:p>
                  <w:pPr>
                    <w:tabs>
                      <w:tab w:pos="717" w:val="left" w:leader="none"/>
                      <w:tab w:pos="2590" w:val="left" w:leader="none"/>
                    </w:tabs>
                    <w:spacing w:line="219" w:lineRule="exact" w:before="0"/>
                    <w:ind w:left="0" w:right="0" w:firstLine="0"/>
                    <w:jc w:val="left"/>
                    <w:rPr>
                      <w:sz w:val="20"/>
                    </w:rPr>
                  </w:pPr>
                  <w:r>
                    <w:rPr>
                      <w:rFonts w:ascii="Arial"/>
                      <w:color w:val="010101"/>
                      <w:w w:val="245"/>
                      <w:sz w:val="10"/>
                    </w:rPr>
                    <w:t>-: </w:t>
                  </w:r>
                  <w:r>
                    <w:rPr>
                      <w:rFonts w:ascii="Arial"/>
                      <w:b/>
                      <w:color w:val="010101"/>
                      <w:w w:val="115"/>
                      <w:sz w:val="10"/>
                    </w:rPr>
                    <w:t>U.z</w:t>
                    <w:tab/>
                  </w:r>
                  <w:r>
                    <w:rPr>
                      <w:b/>
                      <w:color w:val="010101"/>
                      <w:w w:val="150"/>
                      <w:sz w:val="15"/>
                    </w:rPr>
                    <w:t>724,</w:t>
                    <w:tab/>
                  </w:r>
                  <w:r>
                    <w:rPr>
                      <w:color w:val="010101"/>
                      <w:position w:val="3"/>
                      <w:sz w:val="20"/>
                    </w:rPr>
                    <w:t>(16.43)</w:t>
                  </w:r>
                </w:p>
              </w:txbxContent>
            </v:textbox>
            <w10:wrap type="none"/>
          </v:shape>
        </w:pict>
      </w:r>
      <w:r>
        <w:rPr>
          <w:color w:val="010101"/>
          <w:w w:val="98"/>
          <w:position w:val="-7"/>
          <w:sz w:val="21"/>
        </w:rPr>
        <w:t>we</w:t>
      </w:r>
      <w:r>
        <w:rPr>
          <w:color w:val="010101"/>
          <w:spacing w:val="-1"/>
          <w:position w:val="-7"/>
          <w:sz w:val="21"/>
        </w:rPr>
        <w:t> </w:t>
      </w:r>
      <w:r>
        <w:rPr>
          <w:color w:val="010101"/>
          <w:w w:val="90"/>
          <w:position w:val="-7"/>
          <w:sz w:val="21"/>
        </w:rPr>
        <w:t>he.ve</w:t>
      </w:r>
      <w:r>
        <w:rPr>
          <w:color w:val="010101"/>
          <w:position w:val="-7"/>
          <w:sz w:val="21"/>
        </w:rPr>
        <w:tab/>
      </w:r>
      <w:r>
        <w:rPr>
          <w:rFonts w:ascii="Arial"/>
          <w:b/>
          <w:color w:val="131313"/>
          <w:w w:val="156"/>
          <w:sz w:val="11"/>
        </w:rPr>
        <w:t>-(</w:t>
      </w:r>
      <w:r>
        <w:rPr>
          <w:rFonts w:ascii="Arial"/>
          <w:b/>
          <w:color w:val="131313"/>
          <w:spacing w:val="-29"/>
          <w:w w:val="156"/>
          <w:sz w:val="11"/>
        </w:rPr>
        <w:t>1</w:t>
      </w:r>
      <w:r>
        <w:rPr>
          <w:rFonts w:ascii="Arial"/>
          <w:b/>
          <w:color w:val="131313"/>
          <w:w w:val="69"/>
          <w:sz w:val="11"/>
        </w:rPr>
        <w:t>%</w:t>
      </w:r>
      <w:r>
        <w:rPr>
          <w:rFonts w:ascii="Arial"/>
          <w:b/>
          <w:color w:val="131313"/>
          <w:w w:val="69"/>
          <w:sz w:val="11"/>
        </w:rPr>
        <w:t>)</w:t>
      </w:r>
      <w:r>
        <w:rPr>
          <w:rFonts w:ascii="Arial"/>
          <w:b/>
          <w:color w:val="131313"/>
          <w:sz w:val="11"/>
        </w:rPr>
        <w:t>   </w:t>
      </w:r>
      <w:r>
        <w:rPr>
          <w:rFonts w:ascii="Arial"/>
          <w:b/>
          <w:color w:val="131313"/>
          <w:spacing w:val="-12"/>
          <w:sz w:val="11"/>
        </w:rPr>
        <w:t> </w:t>
      </w:r>
      <w:r>
        <w:rPr>
          <w:rFonts w:ascii="Arial"/>
          <w:color w:val="010101"/>
          <w:w w:val="100"/>
          <w:sz w:val="11"/>
        </w:rPr>
        <w:t>:....</w:t>
      </w:r>
      <w:r>
        <w:rPr>
          <w:rFonts w:ascii="Arial"/>
          <w:color w:val="010101"/>
          <w:sz w:val="11"/>
        </w:rPr>
        <w:t>  </w:t>
      </w:r>
      <w:r>
        <w:rPr>
          <w:rFonts w:ascii="Arial"/>
          <w:color w:val="010101"/>
          <w:spacing w:val="-9"/>
          <w:sz w:val="11"/>
        </w:rPr>
        <w:t> </w:t>
      </w:r>
      <w:r>
        <w:rPr>
          <w:rFonts w:ascii="Arial"/>
          <w:i/>
          <w:color w:val="010101"/>
          <w:w w:val="161"/>
          <w:sz w:val="11"/>
        </w:rPr>
        <w:t>;:</w:t>
      </w:r>
      <w:r>
        <w:rPr>
          <w:rFonts w:ascii="Arial"/>
          <w:i/>
          <w:color w:val="010101"/>
          <w:sz w:val="11"/>
        </w:rPr>
        <w:t>    </w:t>
      </w:r>
      <w:r>
        <w:rPr>
          <w:rFonts w:ascii="Arial"/>
          <w:i/>
          <w:color w:val="010101"/>
          <w:spacing w:val="-15"/>
          <w:sz w:val="11"/>
        </w:rPr>
        <w:t> </w:t>
      </w:r>
      <w:r>
        <w:rPr>
          <w:rFonts w:ascii="Arial"/>
          <w:color w:val="010101"/>
          <w:w w:val="101"/>
          <w:sz w:val="32"/>
        </w:rPr>
        <w:t>+</w:t>
      </w:r>
      <w:r>
        <w:rPr>
          <w:rFonts w:ascii="Arial"/>
          <w:color w:val="010101"/>
          <w:spacing w:val="-25"/>
          <w:sz w:val="32"/>
        </w:rPr>
        <w:t> </w:t>
      </w:r>
      <w:r>
        <w:rPr>
          <w:rFonts w:ascii="Arial"/>
          <w:i/>
          <w:color w:val="010101"/>
          <w:w w:val="145"/>
          <w:sz w:val="13"/>
        </w:rPr>
        <w:t>1L</w:t>
      </w:r>
    </w:p>
    <w:p>
      <w:pPr>
        <w:pStyle w:val="BodyText"/>
        <w:spacing w:line="254" w:lineRule="auto" w:before="155"/>
        <w:ind w:left="127" w:right="133"/>
      </w:pPr>
      <w:r>
        <w:rPr>
          <w:color w:val="010101"/>
          <w:w w:val="110"/>
        </w:rPr>
        <w:t>and </w:t>
      </w:r>
      <w:r>
        <w:rPr>
          <w:rFonts w:ascii="Arial"/>
          <w:color w:val="010101"/>
          <w:w w:val="110"/>
          <w:sz w:val="18"/>
        </w:rPr>
        <w:t>we </w:t>
      </w:r>
      <w:r>
        <w:rPr>
          <w:color w:val="010101"/>
          <w:w w:val="110"/>
        </w:rPr>
        <w:t>can make </w:t>
      </w:r>
      <w:r>
        <w:rPr>
          <w:rFonts w:ascii="Arial"/>
          <w:color w:val="010101"/>
          <w:w w:val="110"/>
          <w:sz w:val="18"/>
        </w:rPr>
        <w:t>a </w:t>
      </w:r>
      <w:r>
        <w:rPr>
          <w:color w:val="010101"/>
          <w:w w:val="110"/>
        </w:rPr>
        <w:t>substitution in (16.42) based on this relation. </w:t>
      </w:r>
      <w:r>
        <w:rPr>
          <w:color w:val="010101"/>
          <w:w w:val="105"/>
        </w:rPr>
        <w:t>We then ha.ve</w:t>
      </w:r>
    </w:p>
    <w:p>
      <w:pPr>
        <w:spacing w:before="19"/>
        <w:ind w:left="457" w:right="739" w:firstLine="0"/>
        <w:jc w:val="left"/>
        <w:rPr>
          <w:b/>
          <w:sz w:val="20"/>
        </w:rPr>
      </w:pPr>
      <w:r>
        <w:rPr/>
        <w:pict>
          <v:shape style="position:absolute;margin-left:40.896858pt;margin-top:3.20538pt;width:139.6pt;height:20.5pt;mso-position-horizontal-relative:page;mso-position-vertical-relative:paragraph;z-index:-709912" type="#_x0000_t202" filled="false" stroked="false">
            <v:textbox inset="0,0,0,0">
              <w:txbxContent>
                <w:p>
                  <w:pPr>
                    <w:tabs>
                      <w:tab w:pos="2181" w:val="left" w:leader="none"/>
                    </w:tabs>
                    <w:spacing w:line="410" w:lineRule="exact" w:before="0"/>
                    <w:ind w:left="0" w:right="0" w:firstLine="0"/>
                    <w:jc w:val="left"/>
                    <w:rPr>
                      <w:sz w:val="13"/>
                    </w:rPr>
                  </w:pPr>
                  <w:r>
                    <w:rPr>
                      <w:rFonts w:ascii="Arial" w:hAnsi="Arial"/>
                      <w:color w:val="010101"/>
                      <w:spacing w:val="-45"/>
                      <w:w w:val="119"/>
                      <w:position w:val="-3"/>
                      <w:sz w:val="19"/>
                    </w:rPr>
                    <w:t>1</w:t>
                  </w:r>
                  <w:r>
                    <w:rPr>
                      <w:rFonts w:ascii="Arial" w:hAnsi="Arial"/>
                      <w:color w:val="010101"/>
                      <w:w w:val="97"/>
                      <w:position w:val="-3"/>
                      <w:sz w:val="19"/>
                    </w:rPr>
                    <w:t>20</w:t>
                  </w:r>
                  <w:r>
                    <w:rPr>
                      <w:rFonts w:ascii="Arial" w:hAnsi="Arial"/>
                      <w:color w:val="010101"/>
                      <w:spacing w:val="-34"/>
                      <w:position w:val="-3"/>
                      <w:sz w:val="19"/>
                    </w:rPr>
                    <w:t> </w:t>
                  </w:r>
                  <w:r>
                    <w:rPr>
                      <w:rFonts w:ascii="Arial" w:hAnsi="Arial"/>
                      <w:color w:val="595959"/>
                      <w:spacing w:val="13"/>
                      <w:w w:val="23"/>
                      <w:sz w:val="41"/>
                    </w:rPr>
                    <w:t>'</w:t>
                  </w:r>
                  <w:r>
                    <w:rPr>
                      <w:rFonts w:ascii="Arial" w:hAnsi="Arial"/>
                      <w:color w:val="010101"/>
                      <w:w w:val="69"/>
                      <w:sz w:val="41"/>
                    </w:rPr>
                    <w:t>'°'</w:t>
                  </w:r>
                  <w:r>
                    <w:rPr>
                      <w:rFonts w:ascii="Arial" w:hAnsi="Arial"/>
                      <w:color w:val="010101"/>
                      <w:spacing w:val="-15"/>
                      <w:sz w:val="41"/>
                    </w:rPr>
                    <w:t> </w:t>
                  </w:r>
                  <w:r>
                    <w:rPr>
                      <w:color w:val="010101"/>
                      <w:spacing w:val="-32"/>
                      <w:w w:val="312"/>
                      <w:sz w:val="13"/>
                    </w:rPr>
                    <w:t>•</w:t>
                  </w:r>
                  <w:r>
                    <w:rPr>
                      <w:color w:val="010101"/>
                      <w:w w:val="102"/>
                      <w:sz w:val="13"/>
                    </w:rPr>
                    <w:t>/11</w:t>
                  </w:r>
                  <w:r>
                    <w:rPr>
                      <w:color w:val="010101"/>
                      <w:spacing w:val="15"/>
                      <w:sz w:val="13"/>
                    </w:rPr>
                    <w:t> </w:t>
                  </w:r>
                  <w:r>
                    <w:rPr>
                      <w:rFonts w:ascii="Arial" w:hAnsi="Arial"/>
                      <w:color w:val="010101"/>
                      <w:spacing w:val="-96"/>
                      <w:w w:val="108"/>
                      <w:sz w:val="19"/>
                    </w:rPr>
                    <w:t>C</w:t>
                  </w:r>
                  <w:r>
                    <w:rPr>
                      <w:rFonts w:ascii="Arial" w:hAnsi="Arial"/>
                      <w:color w:val="010101"/>
                      <w:w w:val="130"/>
                      <w:sz w:val="19"/>
                    </w:rPr>
                    <w:t>-</w:t>
                  </w:r>
                  <w:r>
                    <w:rPr>
                      <w:rFonts w:ascii="Arial" w:hAnsi="Arial"/>
                      <w:color w:val="010101"/>
                      <w:spacing w:val="-1"/>
                      <w:w w:val="130"/>
                      <w:sz w:val="19"/>
                    </w:rPr>
                    <w:t>¡</w:t>
                  </w:r>
                  <w:r>
                    <w:rPr>
                      <w:rFonts w:ascii="Arial" w:hAnsi="Arial"/>
                      <w:color w:val="010101"/>
                      <w:w w:val="117"/>
                      <w:sz w:val="19"/>
                    </w:rPr>
                    <w:t>(</w:t>
                  </w:r>
                  <w:r>
                    <w:rPr>
                      <w:rFonts w:ascii="Arial" w:hAnsi="Arial"/>
                      <w:color w:val="010101"/>
                      <w:spacing w:val="-13"/>
                      <w:sz w:val="19"/>
                    </w:rPr>
                    <w:t> </w:t>
                  </w:r>
                  <w:r>
                    <w:rPr>
                      <w:rFonts w:ascii="Arial" w:hAnsi="Arial"/>
                      <w:color w:val="010101"/>
                      <w:w w:val="132"/>
                      <w:sz w:val="19"/>
                    </w:rPr>
                    <w:t>-'</w:t>
                  </w:r>
                  <w:r>
                    <w:rPr>
                      <w:rFonts w:ascii="Arial" w:hAnsi="Arial"/>
                      <w:color w:val="010101"/>
                      <w:sz w:val="19"/>
                    </w:rPr>
                    <w:tab/>
                  </w:r>
                  <w:r>
                    <w:rPr>
                      <w:rFonts w:ascii="Arial" w:hAnsi="Arial"/>
                      <w:color w:val="010101"/>
                      <w:w w:val="101"/>
                      <w:sz w:val="32"/>
                    </w:rPr>
                    <w:t>+</w:t>
                  </w:r>
                  <w:r>
                    <w:rPr>
                      <w:rFonts w:ascii="Arial" w:hAnsi="Arial"/>
                      <w:color w:val="010101"/>
                      <w:spacing w:val="-39"/>
                      <w:sz w:val="32"/>
                    </w:rPr>
                    <w:t> </w:t>
                  </w:r>
                  <w:r>
                    <w:rPr>
                      <w:color w:val="010101"/>
                      <w:spacing w:val="-2"/>
                      <w:w w:val="135"/>
                      <w:sz w:val="13"/>
                    </w:rPr>
                    <w:t>1</w:t>
                  </w:r>
                  <w:r>
                    <w:rPr>
                      <w:i/>
                      <w:color w:val="010101"/>
                      <w:w w:val="126"/>
                      <w:sz w:val="13"/>
                    </w:rPr>
                    <w:t>L</w:t>
                  </w:r>
                  <w:r>
                    <w:rPr>
                      <w:i/>
                      <w:color w:val="010101"/>
                      <w:sz w:val="13"/>
                    </w:rPr>
                    <w:t>    </w:t>
                  </w:r>
                  <w:r>
                    <w:rPr>
                      <w:color w:val="010101"/>
                      <w:w w:val="140"/>
                      <w:sz w:val="13"/>
                    </w:rPr>
                    <w:t>)</w:t>
                  </w:r>
                </w:p>
              </w:txbxContent>
            </v:textbox>
            <w10:wrap type="none"/>
          </v:shape>
        </w:pict>
      </w:r>
      <w:r>
        <w:rPr>
          <w:b/>
          <w:color w:val="010101"/>
          <w:w w:val="115"/>
          <w:sz w:val="20"/>
        </w:rPr>
        <w:t>,-1</w:t>
      </w:r>
    </w:p>
    <w:p>
      <w:pPr>
        <w:tabs>
          <w:tab w:pos="1271" w:val="left" w:leader="none"/>
          <w:tab w:pos="2552" w:val="left" w:leader="none"/>
        </w:tabs>
        <w:spacing w:before="66"/>
        <w:ind w:left="475" w:right="739" w:firstLine="0"/>
        <w:jc w:val="left"/>
        <w:rPr>
          <w:sz w:val="16"/>
        </w:rPr>
      </w:pPr>
      <w:r>
        <w:rPr>
          <w:rFonts w:ascii="Arial" w:hAnsi="Arial"/>
          <w:b/>
          <w:i/>
          <w:color w:val="010101"/>
          <w:w w:val="110"/>
          <w:sz w:val="15"/>
        </w:rPr>
        <w:t>L.J</w:t>
      </w:r>
      <w:r>
        <w:rPr>
          <w:rFonts w:ascii="Arial" w:hAnsi="Arial"/>
          <w:b/>
          <w:i/>
          <w:color w:val="010101"/>
          <w:spacing w:val="-16"/>
          <w:w w:val="110"/>
          <w:sz w:val="15"/>
        </w:rPr>
        <w:t> </w:t>
      </w:r>
      <w:r>
        <w:rPr>
          <w:rFonts w:ascii="Arial" w:hAnsi="Arial"/>
          <w:b/>
          <w:i/>
          <w:color w:val="010101"/>
          <w:w w:val="110"/>
          <w:sz w:val="15"/>
        </w:rPr>
        <w:t>v</w:t>
        <w:tab/>
      </w:r>
      <w:r>
        <w:rPr>
          <w:rFonts w:ascii="Arial" w:hAnsi="Arial"/>
          <w:color w:val="010101"/>
          <w:w w:val="110"/>
          <w:sz w:val="15"/>
        </w:rPr>
        <w:t>• </w:t>
      </w:r>
      <w:r>
        <w:rPr>
          <w:rFonts w:ascii="Arial" w:hAnsi="Arial"/>
          <w:color w:val="010101"/>
          <w:spacing w:val="5"/>
          <w:w w:val="110"/>
          <w:sz w:val="15"/>
        </w:rPr>
        <w:t> </w:t>
      </w:r>
      <w:r>
        <w:rPr>
          <w:color w:val="010101"/>
          <w:w w:val="110"/>
          <w:sz w:val="16"/>
        </w:rPr>
        <w:t>ªl•+U +-/12</w:t>
        <w:tab/>
        <w:t>724</w:t>
      </w:r>
    </w:p>
    <w:p>
      <w:pPr>
        <w:spacing w:before="83"/>
        <w:ind w:left="74" w:right="2898" w:firstLine="0"/>
        <w:jc w:val="center"/>
        <w:rPr>
          <w:i/>
          <w:sz w:val="27"/>
        </w:rPr>
      </w:pPr>
      <w:r>
        <w:rPr/>
        <w:pict>
          <v:line style="position:absolute;mso-position-horizontal-relative:page;mso-position-vertical-relative:paragraph;z-index:-709984" from="41.255611pt,5.873916pt" to="178.654701pt,5.873916pt" stroked="true" strokeweight=".717489pt" strokecolor="#000000">
            <w10:wrap type="none"/>
          </v:line>
        </w:pict>
      </w:r>
      <w:r>
        <w:rPr>
          <w:i/>
          <w:color w:val="010101"/>
          <w:w w:val="95"/>
          <w:sz w:val="27"/>
        </w:rPr>
        <w:t>D":</w:t>
      </w:r>
    </w:p>
    <w:p>
      <w:pPr>
        <w:spacing w:after="0"/>
        <w:jc w:val="center"/>
        <w:rPr>
          <w:sz w:val="27"/>
        </w:rPr>
        <w:sectPr>
          <w:type w:val="continuous"/>
          <w:pgSz w:w="7200" w:h="11340"/>
          <w:pgMar w:top="1100" w:bottom="0" w:left="680" w:right="540"/>
        </w:sectPr>
      </w:pPr>
    </w:p>
    <w:p>
      <w:pPr>
        <w:tabs>
          <w:tab w:pos="3362" w:val="left" w:leader="none"/>
        </w:tabs>
        <w:spacing w:line="306" w:lineRule="exact" w:before="0"/>
        <w:ind w:left="2688" w:right="0" w:firstLine="0"/>
        <w:jc w:val="center"/>
        <w:rPr>
          <w:rFonts w:ascii="Arial"/>
          <w:sz w:val="25"/>
        </w:rPr>
      </w:pPr>
      <w:r>
        <w:rPr>
          <w:color w:val="010101"/>
          <w:spacing w:val="-43"/>
          <w:w w:val="128"/>
          <w:sz w:val="19"/>
        </w:rPr>
        <w:t>1</w:t>
      </w:r>
      <w:r>
        <w:rPr>
          <w:color w:val="010101"/>
          <w:w w:val="109"/>
          <w:sz w:val="19"/>
        </w:rPr>
        <w:t>20(</w:t>
      </w:r>
      <w:r>
        <w:rPr>
          <w:color w:val="010101"/>
          <w:sz w:val="19"/>
        </w:rPr>
        <w:tab/>
      </w:r>
      <w:r>
        <w:rPr>
          <w:color w:val="010101"/>
          <w:spacing w:val="-69"/>
          <w:w w:val="193"/>
          <w:sz w:val="30"/>
        </w:rPr>
        <w:t>!</w:t>
      </w:r>
      <w:r>
        <w:rPr>
          <w:color w:val="010101"/>
          <w:w w:val="100"/>
          <w:sz w:val="29"/>
        </w:rPr>
        <w:t>+</w:t>
      </w:r>
      <w:r>
        <w:rPr>
          <w:color w:val="010101"/>
          <w:spacing w:val="-8"/>
          <w:sz w:val="29"/>
        </w:rPr>
        <w:t> </w:t>
      </w:r>
      <w:r>
        <w:rPr>
          <w:color w:val="010101"/>
          <w:spacing w:val="28"/>
          <w:sz w:val="26"/>
          <w:u w:val="thick" w:color="000000"/>
        </w:rPr>
        <w:t> </w:t>
      </w:r>
      <w:r>
        <w:rPr>
          <w:color w:val="010101"/>
          <w:spacing w:val="-6"/>
          <w:w w:val="151"/>
          <w:sz w:val="26"/>
          <w:u w:val="thick" w:color="000000"/>
        </w:rPr>
        <w:t>i</w:t>
      </w:r>
      <w:r>
        <w:rPr>
          <w:rFonts w:ascii="Arial"/>
          <w:color w:val="010101"/>
          <w:w w:val="122"/>
          <w:position w:val="-3"/>
          <w:sz w:val="15"/>
          <w:u w:val="thick" w:color="000000"/>
        </w:rPr>
        <w:t>4</w:t>
      </w:r>
      <w:r>
        <w:rPr>
          <w:rFonts w:ascii="Arial"/>
          <w:color w:val="010101"/>
          <w:spacing w:val="10"/>
          <w:position w:val="-3"/>
          <w:sz w:val="15"/>
        </w:rPr>
        <w:t> </w:t>
      </w:r>
      <w:r>
        <w:rPr>
          <w:i/>
          <w:color w:val="010101"/>
          <w:spacing w:val="-43"/>
          <w:w w:val="75"/>
          <w:sz w:val="36"/>
        </w:rPr>
        <w:t>,</w:t>
      </w:r>
      <w:r>
        <w:rPr>
          <w:i/>
          <w:color w:val="010101"/>
          <w:w w:val="81"/>
          <w:sz w:val="36"/>
        </w:rPr>
        <w:t>r</w:t>
      </w:r>
      <w:r>
        <w:rPr>
          <w:i/>
          <w:color w:val="010101"/>
          <w:spacing w:val="-72"/>
          <w:w w:val="81"/>
          <w:sz w:val="36"/>
        </w:rPr>
        <w:t>m</w:t>
      </w:r>
      <w:r>
        <w:rPr>
          <w:rFonts w:ascii="Arial"/>
          <w:color w:val="010101"/>
          <w:spacing w:val="-230"/>
          <w:w w:val="270"/>
          <w:sz w:val="25"/>
        </w:rPr>
        <w:t>.</w:t>
      </w:r>
      <w:r>
        <w:rPr>
          <w:rFonts w:ascii="Arial"/>
          <w:color w:val="010101"/>
          <w:spacing w:val="-30"/>
          <w:w w:val="106"/>
          <w:sz w:val="25"/>
        </w:rPr>
        <w:t>M</w:t>
      </w:r>
      <w:r>
        <w:rPr>
          <w:rFonts w:ascii="Arial"/>
          <w:color w:val="010101"/>
          <w:spacing w:val="-70"/>
          <w:w w:val="234"/>
          <w:sz w:val="25"/>
        </w:rPr>
        <w:t>!</w:t>
      </w:r>
      <w:r>
        <w:rPr>
          <w:rFonts w:ascii="Arial"/>
          <w:color w:val="010101"/>
          <w:w w:val="82"/>
          <w:sz w:val="25"/>
        </w:rPr>
        <w:t>)</w:t>
      </w:r>
    </w:p>
    <w:p>
      <w:pPr>
        <w:spacing w:line="363" w:lineRule="exact" w:before="0"/>
        <w:ind w:left="0" w:right="965" w:firstLine="0"/>
        <w:jc w:val="right"/>
        <w:rPr>
          <w:i/>
          <w:sz w:val="37"/>
        </w:rPr>
      </w:pPr>
      <w:r>
        <w:rPr>
          <w:i/>
          <w:color w:val="010101"/>
          <w:sz w:val="37"/>
        </w:rPr>
        <w:t>u:</w:t>
      </w:r>
    </w:p>
    <w:p>
      <w:pPr>
        <w:pStyle w:val="BodyText"/>
        <w:spacing w:before="6"/>
        <w:rPr>
          <w:i/>
          <w:sz w:val="21"/>
        </w:rPr>
      </w:pPr>
      <w:r>
        <w:rPr/>
        <w:br w:type="column"/>
      </w:r>
      <w:r>
        <w:rPr>
          <w:i/>
          <w:sz w:val="21"/>
        </w:rPr>
      </w:r>
    </w:p>
    <w:p>
      <w:pPr>
        <w:pStyle w:val="BodyText"/>
        <w:ind w:left="267"/>
      </w:pPr>
      <w:r>
        <w:rPr>
          <w:color w:val="010101"/>
          <w:w w:val="105"/>
        </w:rPr>
        <w:t>(16.44)</w:t>
      </w:r>
    </w:p>
    <w:p>
      <w:pPr>
        <w:spacing w:after="0"/>
        <w:sectPr>
          <w:type w:val="continuous"/>
          <w:pgSz w:w="7200" w:h="11340"/>
          <w:pgMar w:top="1100" w:bottom="0" w:left="680" w:right="540"/>
          <w:cols w:num="2" w:equalWidth="0">
            <w:col w:w="4900" w:space="40"/>
            <w:col w:w="1040"/>
          </w:cols>
        </w:sectPr>
      </w:pPr>
    </w:p>
    <w:p>
      <w:pPr>
        <w:pStyle w:val="BodyText"/>
        <w:spacing w:before="71"/>
        <w:ind w:left="328" w:right="133"/>
      </w:pPr>
      <w:r>
        <w:rPr>
          <w:color w:val="010101"/>
          <w:w w:val="105"/>
        </w:rPr>
        <w:t>The  payment  period  for  premiums  for  the  disa.bility  incomé</w:t>
      </w:r>
    </w:p>
    <w:p>
      <w:pPr>
        <w:spacing w:after="0"/>
        <w:sectPr>
          <w:type w:val="continuous"/>
          <w:pgSz w:w="7200" w:h="11340"/>
          <w:pgMar w:top="1100" w:bottom="0" w:left="680" w:right="540"/>
        </w:sectPr>
      </w:pPr>
    </w:p>
    <w:p>
      <w:pPr>
        <w:tabs>
          <w:tab w:pos="1595" w:val="left" w:leader="none"/>
        </w:tabs>
        <w:spacing w:before="63"/>
        <w:ind w:left="103" w:right="0" w:firstLine="0"/>
        <w:jc w:val="both"/>
        <w:rPr>
          <w:rFonts w:ascii="Courier New"/>
          <w:sz w:val="23"/>
        </w:rPr>
      </w:pPr>
      <w:r>
        <w:rPr>
          <w:color w:val="010101"/>
          <w:sz w:val="16"/>
        </w:rPr>
        <w:t>SEC. </w:t>
      </w:r>
      <w:r>
        <w:rPr>
          <w:color w:val="010101"/>
          <w:spacing w:val="14"/>
          <w:sz w:val="16"/>
        </w:rPr>
        <w:t> </w:t>
      </w:r>
      <w:r>
        <w:rPr>
          <w:color w:val="010101"/>
          <w:sz w:val="21"/>
        </w:rPr>
        <w:t>7]</w:t>
        <w:tab/>
      </w:r>
      <w:r>
        <w:rPr>
          <w:b/>
          <w:color w:val="010101"/>
          <w:position w:val="1"/>
          <w:sz w:val="15"/>
        </w:rPr>
        <w:t>WAIVER   OF   PREMIUM   BENEFITS                               </w:t>
      </w:r>
      <w:r>
        <w:rPr>
          <w:b/>
          <w:color w:val="010101"/>
          <w:spacing w:val="21"/>
          <w:position w:val="1"/>
          <w:sz w:val="15"/>
        </w:rPr>
        <w:t> </w:t>
      </w:r>
      <w:r>
        <w:rPr>
          <w:rFonts w:ascii="Courier New"/>
          <w:color w:val="010101"/>
          <w:spacing w:val="-21"/>
          <w:sz w:val="23"/>
        </w:rPr>
        <w:t>323</w:t>
      </w:r>
    </w:p>
    <w:p>
      <w:pPr>
        <w:pStyle w:val="BodyText"/>
        <w:spacing w:before="10"/>
        <w:rPr>
          <w:rFonts w:ascii="Courier New"/>
          <w:sz w:val="18"/>
        </w:rPr>
      </w:pPr>
    </w:p>
    <w:p>
      <w:pPr>
        <w:pStyle w:val="BodyText"/>
        <w:spacing w:line="249" w:lineRule="auto"/>
        <w:ind w:left="103" w:right="131"/>
        <w:jc w:val="both"/>
      </w:pPr>
      <w:r>
        <w:rPr>
          <w:color w:val="010101"/>
          <w:w w:val="105"/>
        </w:rPr>
        <w:t>benefit is the same as that for premiums for the basic life insurance policy, except tha.t disa.bility income premiums cease upon the occurrence of a. qua.lifying disability or upon  the  attainment  of age </w:t>
      </w:r>
      <w:r>
        <w:rPr>
          <w:rFonts w:ascii="Arial"/>
          <w:i/>
          <w:color w:val="010101"/>
          <w:w w:val="105"/>
          <w:sz w:val="18"/>
        </w:rPr>
        <w:t>y. </w:t>
      </w:r>
      <w:r>
        <w:rPr>
          <w:color w:val="010101"/>
          <w:w w:val="105"/>
        </w:rPr>
        <w:t>When the policy is an ordinary life policy, the net annual premium  for the disability income is</w:t>
      </w:r>
    </w:p>
    <w:p>
      <w:pPr>
        <w:spacing w:before="73"/>
        <w:ind w:left="421" w:right="559" w:firstLine="0"/>
        <w:jc w:val="center"/>
        <w:rPr>
          <w:rFonts w:ascii="Arial" w:hAnsi="Arial"/>
          <w:b/>
          <w:sz w:val="25"/>
        </w:rPr>
      </w:pPr>
      <w:r>
        <w:rPr/>
        <w:drawing>
          <wp:anchor distT="0" distB="0" distL="0" distR="0" allowOverlap="1" layoutInCell="1" locked="0" behindDoc="0" simplePos="0" relativeHeight="26200">
            <wp:simplePos x="0" y="0"/>
            <wp:positionH relativeFrom="page">
              <wp:posOffset>1984248</wp:posOffset>
            </wp:positionH>
            <wp:positionV relativeFrom="paragraph">
              <wp:posOffset>299175</wp:posOffset>
            </wp:positionV>
            <wp:extent cx="603503" cy="137160"/>
            <wp:effectExtent l="0" t="0" r="0" b="0"/>
            <wp:wrapTopAndBottom/>
            <wp:docPr id="803" name="image410.png" descr=""/>
            <wp:cNvGraphicFramePr>
              <a:graphicFrameLocks noChangeAspect="1"/>
            </wp:cNvGraphicFramePr>
            <a:graphic>
              <a:graphicData uri="http://schemas.openxmlformats.org/drawingml/2006/picture">
                <pic:pic>
                  <pic:nvPicPr>
                    <pic:cNvPr id="804" name="image410.png"/>
                    <pic:cNvPicPr/>
                  </pic:nvPicPr>
                  <pic:blipFill>
                    <a:blip r:embed="rId414" cstate="print"/>
                    <a:stretch>
                      <a:fillRect/>
                    </a:stretch>
                  </pic:blipFill>
                  <pic:spPr>
                    <a:xfrm>
                      <a:off x="0" y="0"/>
                      <a:ext cx="603503" cy="137160"/>
                    </a:xfrm>
                    <a:prstGeom prst="rect">
                      <a:avLst/>
                    </a:prstGeom>
                  </pic:spPr>
                </pic:pic>
              </a:graphicData>
            </a:graphic>
          </wp:anchor>
        </w:drawing>
      </w:r>
      <w:r>
        <w:rPr/>
        <w:pict>
          <v:shape style="position:absolute;margin-left:213.280304pt;margin-top:14.617579pt;width:111.1pt;height:10.6pt;mso-position-horizontal-relative:page;mso-position-vertical-relative:paragraph;z-index:-709816" type="#_x0000_t202" filled="false" stroked="false">
            <v:textbox inset="0,0,0,0">
              <w:txbxContent>
                <w:p>
                  <w:pPr>
                    <w:tabs>
                      <w:tab w:pos="1620" w:val="left" w:leader="none"/>
                    </w:tabs>
                    <w:spacing w:line="211" w:lineRule="exact" w:before="0"/>
                    <w:ind w:left="0" w:right="0" w:firstLine="0"/>
                    <w:jc w:val="left"/>
                    <w:rPr>
                      <w:sz w:val="20"/>
                    </w:rPr>
                  </w:pPr>
                  <w:r>
                    <w:rPr>
                      <w:b/>
                      <w:color w:val="010101"/>
                      <w:w w:val="95"/>
                      <w:position w:val="8"/>
                      <w:sz w:val="12"/>
                    </w:rPr>
                    <w:t>11</w:t>
                    <w:tab/>
                  </w:r>
                  <w:r>
                    <w:rPr>
                      <w:color w:val="010101"/>
                      <w:w w:val="95"/>
                      <w:sz w:val="20"/>
                    </w:rPr>
                    <w:t>(16.45)</w:t>
                  </w:r>
                </w:p>
              </w:txbxContent>
            </v:textbox>
            <w10:wrap type="none"/>
          </v:shape>
        </w:pict>
      </w:r>
      <w:r>
        <w:rPr>
          <w:rFonts w:ascii="Arial" w:hAnsi="Arial"/>
          <w:b/>
          <w:color w:val="010101"/>
          <w:w w:val="135"/>
          <w:sz w:val="18"/>
        </w:rPr>
        <w:t>120</w:t>
      </w:r>
      <w:r>
        <w:rPr>
          <w:rFonts w:ascii="Arial" w:hAnsi="Arial"/>
          <w:b/>
          <w:color w:val="010101"/>
          <w:spacing w:val="-11"/>
          <w:w w:val="135"/>
          <w:sz w:val="18"/>
        </w:rPr>
        <w:t>(</w:t>
      </w:r>
      <w:r>
        <w:rPr>
          <w:rFonts w:ascii="Arial" w:hAnsi="Arial"/>
          <w:b/>
          <w:color w:val="010101"/>
          <w:w w:val="106"/>
          <w:sz w:val="18"/>
        </w:rPr>
        <w:t>.</w:t>
      </w:r>
      <w:r>
        <w:rPr>
          <w:rFonts w:ascii="Arial" w:hAnsi="Arial"/>
          <w:b/>
          <w:color w:val="010101"/>
          <w:spacing w:val="-21"/>
          <w:w w:val="106"/>
          <w:sz w:val="18"/>
        </w:rPr>
        <w:t>M</w:t>
      </w:r>
      <w:r>
        <w:rPr>
          <w:rFonts w:ascii="Arial" w:hAnsi="Arial"/>
          <w:b/>
          <w:color w:val="010101"/>
          <w:spacing w:val="-19"/>
          <w:w w:val="239"/>
          <w:sz w:val="18"/>
        </w:rPr>
        <w:t>!</w:t>
      </w:r>
      <w:r>
        <w:rPr>
          <w:rFonts w:ascii="Arial" w:hAnsi="Arial"/>
          <w:color w:val="010101"/>
          <w:w w:val="104"/>
          <w:sz w:val="31"/>
        </w:rPr>
        <w:t>+</w:t>
      </w:r>
      <w:r>
        <w:rPr>
          <w:rFonts w:ascii="Arial" w:hAnsi="Arial"/>
          <w:color w:val="010101"/>
          <w:spacing w:val="42"/>
          <w:sz w:val="31"/>
        </w:rPr>
        <w:t> </w:t>
      </w:r>
      <w:r>
        <w:rPr>
          <w:b/>
          <w:color w:val="010101"/>
          <w:w w:val="116"/>
          <w:sz w:val="20"/>
          <w:u w:val="thick" w:color="000000"/>
        </w:rPr>
        <w:t>Í4</w:t>
      </w:r>
      <w:r>
        <w:rPr>
          <w:b/>
          <w:color w:val="010101"/>
          <w:spacing w:val="-4"/>
          <w:sz w:val="20"/>
        </w:rPr>
        <w:t> </w:t>
      </w:r>
      <w:r>
        <w:rPr>
          <w:b/>
          <w:color w:val="010101"/>
          <w:w w:val="67"/>
          <w:sz w:val="20"/>
        </w:rPr>
        <w:t>v"</w:t>
      </w:r>
      <w:r>
        <w:rPr>
          <w:b/>
          <w:color w:val="010101"/>
          <w:spacing w:val="8"/>
          <w:w w:val="67"/>
          <w:sz w:val="20"/>
        </w:rPr>
        <w:t>'</w:t>
      </w:r>
      <w:r>
        <w:rPr>
          <w:b/>
          <w:color w:val="010101"/>
          <w:w w:val="91"/>
          <w:position w:val="11"/>
          <w:sz w:val="12"/>
        </w:rPr>
        <w:t>112</w:t>
      </w:r>
      <w:r>
        <w:rPr>
          <w:b/>
          <w:color w:val="010101"/>
          <w:position w:val="11"/>
          <w:sz w:val="12"/>
        </w:rPr>
        <w:t>   </w:t>
      </w:r>
      <w:r>
        <w:rPr>
          <w:b/>
          <w:color w:val="010101"/>
          <w:spacing w:val="13"/>
          <w:position w:val="11"/>
          <w:sz w:val="12"/>
        </w:rPr>
        <w:t> </w:t>
      </w:r>
      <w:r>
        <w:rPr>
          <w:rFonts w:ascii="Arial" w:hAnsi="Arial"/>
          <w:b/>
          <w:color w:val="010101"/>
          <w:w w:val="75"/>
          <w:sz w:val="25"/>
        </w:rPr>
        <w:t>.</w:t>
      </w:r>
      <w:r>
        <w:rPr>
          <w:rFonts w:ascii="Arial" w:hAnsi="Arial"/>
          <w:b/>
          <w:color w:val="010101"/>
          <w:spacing w:val="-18"/>
          <w:w w:val="75"/>
          <w:sz w:val="25"/>
        </w:rPr>
        <w:t>M</w:t>
      </w:r>
      <w:r>
        <w:rPr>
          <w:rFonts w:ascii="Arial" w:hAnsi="Arial"/>
          <w:b/>
          <w:color w:val="010101"/>
          <w:spacing w:val="-47"/>
          <w:w w:val="171"/>
          <w:sz w:val="25"/>
        </w:rPr>
        <w:t>!</w:t>
      </w:r>
      <w:r>
        <w:rPr>
          <w:rFonts w:ascii="Arial" w:hAnsi="Arial"/>
          <w:b/>
          <w:color w:val="010101"/>
          <w:w w:val="77"/>
          <w:sz w:val="25"/>
        </w:rPr>
        <w:t>)</w:t>
      </w:r>
    </w:p>
    <w:p>
      <w:pPr>
        <w:pStyle w:val="BodyText"/>
        <w:spacing w:line="158" w:lineRule="auto" w:before="188"/>
        <w:ind w:left="118" w:right="114" w:hanging="4"/>
        <w:jc w:val="both"/>
        <w:rPr>
          <w:rFonts w:ascii="Arial" w:hAnsi="Arial"/>
          <w:i/>
          <w:sz w:val="18"/>
        </w:rPr>
      </w:pPr>
      <w:r>
        <w:rPr>
          <w:color w:val="010101"/>
        </w:rPr>
        <w:t>When the policy is an n-payment life policy,  the  net  annual  pre­ mium is the same as (16.45) if </w:t>
      </w:r>
      <w:r>
        <w:rPr>
          <w:i/>
          <w:color w:val="010101"/>
        </w:rPr>
        <w:t>x </w:t>
      </w:r>
      <w:r>
        <w:rPr>
          <w:rFonts w:ascii="Arial" w:hAnsi="Arial"/>
          <w:color w:val="010101"/>
          <w:sz w:val="31"/>
        </w:rPr>
        <w:t>+ </w:t>
      </w:r>
      <w:r>
        <w:rPr>
          <w:i/>
          <w:color w:val="010101"/>
        </w:rPr>
        <w:t>n y, </w:t>
      </w:r>
      <w:r>
        <w:rPr>
          <w:color w:val="010101"/>
        </w:rPr>
        <w:t>and the denominator is changed to </w:t>
      </w:r>
      <w:r>
        <w:rPr>
          <w:color w:val="010101"/>
          <w:sz w:val="27"/>
        </w:rPr>
        <w:t>N:ª  </w:t>
      </w:r>
      <w:r>
        <w:rPr>
          <w:color w:val="010101"/>
          <w:w w:val="170"/>
          <w:sz w:val="27"/>
        </w:rPr>
        <w:t>- </w:t>
      </w:r>
      <w:r>
        <w:rPr>
          <w:rFonts w:ascii="Arial" w:hAnsi="Arial"/>
          <w:b/>
          <w:i/>
          <w:color w:val="010101"/>
          <w:spacing w:val="2"/>
          <w:sz w:val="22"/>
        </w:rPr>
        <w:t>.N;" </w:t>
      </w:r>
      <w:r>
        <w:rPr>
          <w:color w:val="010101"/>
        </w:rPr>
        <w:t>if </w:t>
      </w:r>
      <w:r>
        <w:rPr>
          <w:i/>
          <w:color w:val="010101"/>
        </w:rPr>
        <w:t>x  </w:t>
      </w:r>
      <w:r>
        <w:rPr>
          <w:rFonts w:ascii="Arial" w:hAnsi="Arial"/>
          <w:color w:val="010101"/>
          <w:sz w:val="31"/>
        </w:rPr>
        <w:t>+ </w:t>
      </w:r>
      <w:r>
        <w:rPr>
          <w:i/>
          <w:color w:val="010101"/>
        </w:rPr>
        <w:t>n  </w:t>
      </w:r>
      <w:r>
        <w:rPr>
          <w:color w:val="010101"/>
          <w:sz w:val="26"/>
        </w:rPr>
        <w:t>&lt;</w:t>
      </w:r>
      <w:r>
        <w:rPr>
          <w:color w:val="010101"/>
          <w:spacing w:val="-13"/>
          <w:sz w:val="26"/>
        </w:rPr>
        <w:t> </w:t>
      </w:r>
      <w:r>
        <w:rPr>
          <w:rFonts w:ascii="Arial" w:hAnsi="Arial"/>
          <w:i/>
          <w:color w:val="010101"/>
          <w:sz w:val="18"/>
        </w:rPr>
        <w:t>y.</w:t>
      </w:r>
    </w:p>
    <w:p>
      <w:pPr>
        <w:pStyle w:val="BodyText"/>
        <w:spacing w:line="226" w:lineRule="exact"/>
        <w:ind w:left="318"/>
      </w:pPr>
      <w:r>
        <w:rPr>
          <w:color w:val="010101"/>
          <w:w w:val="105"/>
        </w:rPr>
        <w:t>Endowment  policies  usually  provide  that  the disability income</w:t>
      </w:r>
    </w:p>
    <w:p>
      <w:pPr>
        <w:pStyle w:val="BodyText"/>
        <w:spacing w:line="168" w:lineRule="auto" w:before="60"/>
        <w:ind w:left="121" w:right="135" w:hanging="4"/>
        <w:jc w:val="both"/>
      </w:pPr>
      <w:r>
        <w:rPr>
          <w:b/>
          <w:color w:val="010101"/>
          <w:w w:val="105"/>
          <w:sz w:val="21"/>
        </w:rPr>
        <w:t>will </w:t>
      </w:r>
      <w:r>
        <w:rPr>
          <w:color w:val="010101"/>
          <w:w w:val="105"/>
        </w:rPr>
        <w:t>cease upon maturity of the endowment. </w:t>
      </w:r>
      <w:r>
        <w:rPr>
          <w:color w:val="010101"/>
          <w:w w:val="105"/>
          <w:sz w:val="21"/>
        </w:rPr>
        <w:t>If </w:t>
      </w:r>
      <w:r>
        <w:rPr>
          <w:color w:val="010101"/>
          <w:w w:val="105"/>
        </w:rPr>
        <w:t>the endowment matures  at age </w:t>
      </w:r>
      <w:r>
        <w:rPr>
          <w:i/>
          <w:color w:val="010101"/>
          <w:w w:val="105"/>
          <w:sz w:val="21"/>
        </w:rPr>
        <w:t>x  </w:t>
      </w:r>
      <w:r>
        <w:rPr>
          <w:color w:val="010101"/>
          <w:w w:val="105"/>
          <w:sz w:val="29"/>
        </w:rPr>
        <w:t>+ </w:t>
      </w:r>
      <w:r>
        <w:rPr>
          <w:i/>
          <w:color w:val="010101"/>
          <w:w w:val="105"/>
          <w:sz w:val="21"/>
        </w:rPr>
        <w:t>n, </w:t>
      </w:r>
      <w:r>
        <w:rPr>
          <w:color w:val="010101"/>
          <w:w w:val="105"/>
        </w:rPr>
        <w:t>the corresponding  formulas  are</w:t>
      </w:r>
    </w:p>
    <w:p>
      <w:pPr>
        <w:spacing w:line="219" w:lineRule="exact" w:before="56"/>
        <w:ind w:left="848" w:right="0" w:firstLine="0"/>
        <w:jc w:val="left"/>
        <w:rPr>
          <w:rFonts w:ascii="Arial"/>
          <w:b/>
          <w:sz w:val="24"/>
        </w:rPr>
      </w:pPr>
      <w:r>
        <w:rPr>
          <w:rFonts w:ascii="Arial"/>
          <w:b/>
          <w:color w:val="010101"/>
          <w:w w:val="107"/>
          <w:sz w:val="18"/>
        </w:rPr>
        <w:t>120</w:t>
      </w:r>
      <w:r>
        <w:rPr>
          <w:rFonts w:ascii="Arial"/>
          <w:b/>
          <w:color w:val="010101"/>
          <w:w w:val="107"/>
          <w:sz w:val="18"/>
        </w:rPr>
        <w:t>(</w:t>
      </w:r>
      <w:r>
        <w:rPr>
          <w:rFonts w:ascii="Arial"/>
          <w:b/>
          <w:color w:val="010101"/>
          <w:w w:val="107"/>
          <w:sz w:val="18"/>
        </w:rPr>
        <w:t>:r</w:t>
      </w:r>
      <w:r>
        <w:rPr>
          <w:rFonts w:ascii="Arial"/>
          <w:b/>
          <w:color w:val="010101"/>
          <w:spacing w:val="5"/>
          <w:w w:val="107"/>
          <w:sz w:val="18"/>
        </w:rPr>
        <w:t>+</w:t>
      </w:r>
      <w:r>
        <w:rPr>
          <w:rFonts w:ascii="Arial"/>
          <w:b/>
          <w:color w:val="010101"/>
          <w:spacing w:val="-42"/>
          <w:w w:val="153"/>
          <w:sz w:val="18"/>
        </w:rPr>
        <w:t>M</w:t>
      </w:r>
      <w:r>
        <w:rPr>
          <w:rFonts w:ascii="Arial"/>
          <w:b/>
          <w:color w:val="010101"/>
          <w:spacing w:val="2"/>
          <w:w w:val="252"/>
          <w:sz w:val="18"/>
        </w:rPr>
        <w:t>!</w:t>
      </w:r>
      <w:r>
        <w:rPr>
          <w:rFonts w:ascii="Arial"/>
          <w:color w:val="010101"/>
          <w:w w:val="104"/>
          <w:sz w:val="31"/>
        </w:rPr>
        <w:t>+</w:t>
      </w:r>
      <w:r>
        <w:rPr>
          <w:rFonts w:ascii="Arial"/>
          <w:color w:val="010101"/>
          <w:spacing w:val="-22"/>
          <w:sz w:val="31"/>
        </w:rPr>
        <w:t> </w:t>
      </w:r>
      <w:r>
        <w:rPr>
          <w:rFonts w:ascii="Arial"/>
          <w:color w:val="010101"/>
          <w:spacing w:val="-10"/>
          <w:w w:val="100"/>
          <w:sz w:val="23"/>
        </w:rPr>
        <w:t>%</w:t>
      </w:r>
      <w:r>
        <w:rPr>
          <w:rFonts w:ascii="Arial"/>
          <w:color w:val="010101"/>
          <w:w w:val="117"/>
          <w:position w:val="-4"/>
          <w:sz w:val="15"/>
        </w:rPr>
        <w:t>4</w:t>
      </w:r>
      <w:r>
        <w:rPr>
          <w:rFonts w:ascii="Arial"/>
          <w:color w:val="010101"/>
          <w:spacing w:val="6"/>
          <w:position w:val="-4"/>
          <w:sz w:val="15"/>
        </w:rPr>
        <w:t> </w:t>
      </w:r>
      <w:r>
        <w:rPr>
          <w:color w:val="010101"/>
          <w:w w:val="80"/>
          <w:sz w:val="20"/>
        </w:rPr>
        <w:t>v"</w:t>
      </w:r>
      <w:r>
        <w:rPr>
          <w:color w:val="010101"/>
          <w:spacing w:val="9"/>
          <w:w w:val="80"/>
          <w:sz w:val="20"/>
        </w:rPr>
        <w:t>'</w:t>
      </w:r>
      <w:r>
        <w:rPr>
          <w:color w:val="010101"/>
          <w:w w:val="96"/>
          <w:position w:val="9"/>
          <w:sz w:val="12"/>
        </w:rPr>
        <w:t>112</w:t>
      </w:r>
      <w:r>
        <w:rPr>
          <w:color w:val="010101"/>
          <w:position w:val="9"/>
          <w:sz w:val="12"/>
        </w:rPr>
        <w:t> </w:t>
      </w:r>
      <w:r>
        <w:rPr>
          <w:color w:val="010101"/>
          <w:spacing w:val="-15"/>
          <w:position w:val="9"/>
          <w:sz w:val="12"/>
        </w:rPr>
        <w:t> </w:t>
      </w:r>
      <w:r>
        <w:rPr>
          <w:rFonts w:ascii="Arial"/>
          <w:b/>
          <w:color w:val="010101"/>
          <w:spacing w:val="5"/>
          <w:w w:val="99"/>
          <w:sz w:val="24"/>
          <w:u w:val="thick" w:color="000000"/>
        </w:rPr>
        <w:t> </w:t>
      </w:r>
      <w:r>
        <w:rPr>
          <w:rFonts w:ascii="Arial"/>
          <w:b/>
          <w:color w:val="010101"/>
          <w:w w:val="82"/>
          <w:sz w:val="24"/>
          <w:u w:val="thick" w:color="000000"/>
        </w:rPr>
        <w:t>.</w:t>
      </w:r>
      <w:r>
        <w:rPr>
          <w:rFonts w:ascii="Arial"/>
          <w:b/>
          <w:color w:val="010101"/>
          <w:spacing w:val="-25"/>
          <w:w w:val="82"/>
          <w:sz w:val="24"/>
          <w:u w:val="thick" w:color="000000"/>
        </w:rPr>
        <w:t>M</w:t>
      </w:r>
      <w:r>
        <w:rPr>
          <w:rFonts w:ascii="Arial"/>
          <w:b/>
          <w:color w:val="010101"/>
          <w:spacing w:val="-43"/>
          <w:w w:val="168"/>
          <w:sz w:val="24"/>
          <w:u w:val="thick" w:color="000000"/>
        </w:rPr>
        <w:t>!</w:t>
      </w:r>
      <w:r>
        <w:rPr>
          <w:rFonts w:ascii="Arial"/>
          <w:b/>
          <w:color w:val="010101"/>
          <w:w w:val="87"/>
          <w:sz w:val="24"/>
        </w:rPr>
        <w:t>)</w:t>
      </w:r>
    </w:p>
    <w:p>
      <w:pPr>
        <w:tabs>
          <w:tab w:pos="3481" w:val="left" w:leader="none"/>
          <w:tab w:pos="5117" w:val="left" w:leader="none"/>
        </w:tabs>
        <w:spacing w:line="317" w:lineRule="exact" w:before="0"/>
        <w:ind w:left="2841" w:right="0" w:firstLine="0"/>
        <w:jc w:val="left"/>
        <w:rPr>
          <w:sz w:val="20"/>
        </w:rPr>
      </w:pPr>
      <w:r>
        <w:rPr/>
        <w:drawing>
          <wp:anchor distT="0" distB="0" distL="0" distR="0" allowOverlap="1" layoutInCell="1" locked="0" behindDoc="0" simplePos="0" relativeHeight="26224">
            <wp:simplePos x="0" y="0"/>
            <wp:positionH relativeFrom="page">
              <wp:posOffset>1453896</wp:posOffset>
            </wp:positionH>
            <wp:positionV relativeFrom="paragraph">
              <wp:posOffset>121898</wp:posOffset>
            </wp:positionV>
            <wp:extent cx="603504" cy="146303"/>
            <wp:effectExtent l="0" t="0" r="0" b="0"/>
            <wp:wrapNone/>
            <wp:docPr id="805" name="image411.png" descr=""/>
            <wp:cNvGraphicFramePr>
              <a:graphicFrameLocks noChangeAspect="1"/>
            </wp:cNvGraphicFramePr>
            <a:graphic>
              <a:graphicData uri="http://schemas.openxmlformats.org/drawingml/2006/picture">
                <pic:pic>
                  <pic:nvPicPr>
                    <pic:cNvPr id="806" name="image411.png"/>
                    <pic:cNvPicPr/>
                  </pic:nvPicPr>
                  <pic:blipFill>
                    <a:blip r:embed="rId415" cstate="print"/>
                    <a:stretch>
                      <a:fillRect/>
                    </a:stretch>
                  </pic:blipFill>
                  <pic:spPr>
                    <a:xfrm>
                      <a:off x="0" y="0"/>
                      <a:ext cx="603504" cy="146303"/>
                    </a:xfrm>
                    <a:prstGeom prst="rect">
                      <a:avLst/>
                    </a:prstGeom>
                  </pic:spPr>
                </pic:pic>
              </a:graphicData>
            </a:graphic>
          </wp:anchor>
        </w:drawing>
      </w:r>
      <w:r>
        <w:rPr>
          <w:b/>
          <w:color w:val="010101"/>
          <w:position w:val="14"/>
          <w:sz w:val="12"/>
        </w:rPr>
        <w:t>11</w:t>
        <w:tab/>
      </w:r>
      <w:r>
        <w:rPr>
          <w:color w:val="010101"/>
          <w:sz w:val="20"/>
        </w:rPr>
        <w:t>for    </w:t>
      </w:r>
      <w:r>
        <w:rPr>
          <w:i/>
          <w:color w:val="010101"/>
          <w:sz w:val="21"/>
        </w:rPr>
        <w:t>x  </w:t>
      </w:r>
      <w:r>
        <w:rPr>
          <w:rFonts w:ascii="Arial"/>
          <w:color w:val="010101"/>
          <w:sz w:val="31"/>
        </w:rPr>
        <w:t>+ </w:t>
      </w:r>
      <w:r>
        <w:rPr>
          <w:i/>
          <w:color w:val="010101"/>
          <w:sz w:val="21"/>
        </w:rPr>
        <w:t>n</w:t>
      </w:r>
      <w:r>
        <w:rPr>
          <w:i/>
          <w:color w:val="010101"/>
          <w:spacing w:val="1"/>
          <w:sz w:val="21"/>
        </w:rPr>
        <w:t> </w:t>
      </w:r>
      <w:r>
        <w:rPr>
          <w:rFonts w:ascii="Arial"/>
          <w:color w:val="010101"/>
          <w:sz w:val="27"/>
        </w:rPr>
        <w:t>&gt;</w:t>
      </w:r>
      <w:r>
        <w:rPr>
          <w:rFonts w:ascii="Arial"/>
          <w:color w:val="010101"/>
          <w:spacing w:val="1"/>
          <w:sz w:val="27"/>
        </w:rPr>
        <w:t> </w:t>
      </w:r>
      <w:r>
        <w:rPr>
          <w:rFonts w:ascii="Arial"/>
          <w:i/>
          <w:color w:val="010101"/>
          <w:sz w:val="18"/>
        </w:rPr>
        <w:t>y</w:t>
        <w:tab/>
      </w:r>
      <w:r>
        <w:rPr>
          <w:color w:val="010101"/>
          <w:position w:val="2"/>
          <w:sz w:val="20"/>
        </w:rPr>
        <w:t>(</w:t>
      </w:r>
      <w:r>
        <w:rPr>
          <w:color w:val="010101"/>
          <w:spacing w:val="-9"/>
          <w:position w:val="2"/>
          <w:sz w:val="20"/>
        </w:rPr>
        <w:t> </w:t>
      </w:r>
      <w:r>
        <w:rPr>
          <w:color w:val="010101"/>
          <w:position w:val="2"/>
          <w:sz w:val="20"/>
        </w:rPr>
        <w:t>16.46a)</w:t>
      </w:r>
    </w:p>
    <w:p>
      <w:pPr>
        <w:pStyle w:val="BodyText"/>
        <w:spacing w:before="10"/>
        <w:rPr>
          <w:sz w:val="15"/>
        </w:rPr>
      </w:pPr>
    </w:p>
    <w:p>
      <w:pPr>
        <w:spacing w:after="0"/>
        <w:rPr>
          <w:sz w:val="15"/>
        </w:rPr>
        <w:sectPr>
          <w:pgSz w:w="7200" w:h="11340"/>
          <w:pgMar w:top="480" w:bottom="280" w:left="680" w:right="560"/>
        </w:sectPr>
      </w:pPr>
    </w:p>
    <w:p>
      <w:pPr>
        <w:pStyle w:val="BodyText"/>
        <w:spacing w:before="75"/>
        <w:ind w:left="132" w:right="-20"/>
      </w:pPr>
      <w:r>
        <w:rPr>
          <w:color w:val="010101"/>
          <w:w w:val="110"/>
        </w:rPr>
        <w:t>and</w:t>
      </w:r>
    </w:p>
    <w:p>
      <w:pPr>
        <w:pStyle w:val="BodyText"/>
        <w:spacing w:before="9"/>
        <w:rPr>
          <w:sz w:val="31"/>
        </w:rPr>
      </w:pPr>
      <w:r>
        <w:rPr/>
        <w:br w:type="column"/>
      </w:r>
      <w:r>
        <w:rPr>
          <w:sz w:val="31"/>
        </w:rPr>
      </w:r>
    </w:p>
    <w:p>
      <w:pPr>
        <w:spacing w:line="273" w:lineRule="exact" w:before="0"/>
        <w:ind w:left="132" w:right="0" w:firstLine="0"/>
        <w:jc w:val="left"/>
        <w:rPr>
          <w:b/>
          <w:sz w:val="21"/>
        </w:rPr>
      </w:pPr>
      <w:r>
        <w:rPr>
          <w:rFonts w:ascii="Arial"/>
          <w:b/>
          <w:color w:val="010101"/>
          <w:w w:val="87"/>
          <w:sz w:val="18"/>
        </w:rPr>
        <w:t>120</w:t>
      </w:r>
      <w:r>
        <w:rPr>
          <w:rFonts w:ascii="Arial"/>
          <w:b/>
          <w:color w:val="010101"/>
          <w:w w:val="87"/>
          <w:sz w:val="18"/>
        </w:rPr>
        <w:t>(</w:t>
      </w:r>
      <w:r>
        <w:rPr>
          <w:rFonts w:ascii="Arial"/>
          <w:b/>
          <w:color w:val="010101"/>
          <w:w w:val="87"/>
          <w:sz w:val="18"/>
        </w:rPr>
        <w:t>:r+</w:t>
      </w:r>
      <w:r>
        <w:rPr>
          <w:rFonts w:ascii="Arial"/>
          <w:b/>
          <w:color w:val="010101"/>
          <w:spacing w:val="2"/>
          <w:w w:val="87"/>
          <w:sz w:val="18"/>
        </w:rPr>
        <w:t>n</w:t>
      </w:r>
      <w:r>
        <w:rPr>
          <w:rFonts w:ascii="Arial"/>
          <w:b/>
          <w:i/>
          <w:color w:val="010101"/>
          <w:w w:val="116"/>
          <w:sz w:val="24"/>
        </w:rPr>
        <w:t>lit</w:t>
      </w:r>
      <w:r>
        <w:rPr>
          <w:rFonts w:ascii="Arial"/>
          <w:b/>
          <w:i/>
          <w:color w:val="010101"/>
          <w:spacing w:val="31"/>
          <w:sz w:val="24"/>
        </w:rPr>
        <w:t> </w:t>
      </w:r>
      <w:r>
        <w:rPr>
          <w:rFonts w:ascii="Arial"/>
          <w:color w:val="010101"/>
          <w:w w:val="104"/>
          <w:sz w:val="31"/>
        </w:rPr>
        <w:t>+</w:t>
      </w:r>
      <w:r>
        <w:rPr>
          <w:rFonts w:ascii="Arial"/>
          <w:color w:val="010101"/>
          <w:spacing w:val="-26"/>
          <w:sz w:val="31"/>
        </w:rPr>
        <w:t> </w:t>
      </w:r>
      <w:r>
        <w:rPr>
          <w:b/>
          <w:color w:val="010101"/>
          <w:w w:val="77"/>
          <w:sz w:val="26"/>
        </w:rPr>
        <w:t>%4</w:t>
      </w:r>
      <w:r>
        <w:rPr>
          <w:b/>
          <w:color w:val="010101"/>
          <w:spacing w:val="-22"/>
          <w:sz w:val="26"/>
        </w:rPr>
        <w:t> </w:t>
      </w:r>
      <w:r>
        <w:rPr>
          <w:b/>
          <w:color w:val="010101"/>
          <w:w w:val="65"/>
          <w:sz w:val="20"/>
        </w:rPr>
        <w:t>v"'</w:t>
      </w:r>
      <w:r>
        <w:rPr>
          <w:b/>
          <w:color w:val="010101"/>
          <w:spacing w:val="-37"/>
          <w:sz w:val="20"/>
        </w:rPr>
        <w:t> </w:t>
      </w:r>
      <w:r>
        <w:rPr>
          <w:b/>
          <w:color w:val="010101"/>
          <w:w w:val="88"/>
          <w:position w:val="9"/>
          <w:sz w:val="12"/>
        </w:rPr>
        <w:t>112</w:t>
      </w:r>
      <w:r>
        <w:rPr>
          <w:b/>
          <w:color w:val="010101"/>
          <w:position w:val="9"/>
          <w:sz w:val="12"/>
        </w:rPr>
        <w:t> </w:t>
      </w:r>
      <w:r>
        <w:rPr>
          <w:b/>
          <w:color w:val="010101"/>
          <w:spacing w:val="-8"/>
          <w:position w:val="9"/>
          <w:sz w:val="12"/>
        </w:rPr>
        <w:t> </w:t>
      </w:r>
      <w:r>
        <w:rPr>
          <w:b/>
          <w:color w:val="010101"/>
          <w:w w:val="42"/>
          <w:sz w:val="21"/>
        </w:rPr>
        <w:t>:</w:t>
      </w:r>
      <w:r>
        <w:rPr>
          <w:b/>
          <w:color w:val="010101"/>
          <w:spacing w:val="15"/>
          <w:w w:val="42"/>
          <w:sz w:val="21"/>
        </w:rPr>
        <w:t>r</w:t>
      </w:r>
      <w:r>
        <w:rPr>
          <w:b/>
          <w:color w:val="010101"/>
          <w:w w:val="82"/>
          <w:sz w:val="21"/>
          <w:u w:val="thick" w:color="000000"/>
        </w:rPr>
        <w:t>+nM</w:t>
      </w:r>
      <w:r>
        <w:rPr>
          <w:b/>
          <w:color w:val="010101"/>
          <w:spacing w:val="-38"/>
          <w:w w:val="185"/>
          <w:sz w:val="21"/>
          <w:u w:val="thick" w:color="000000"/>
        </w:rPr>
        <w:t>!</w:t>
      </w:r>
      <w:r>
        <w:rPr>
          <w:b/>
          <w:color w:val="010101"/>
          <w:w w:val="94"/>
          <w:sz w:val="21"/>
        </w:rPr>
        <w:t>)</w:t>
      </w:r>
    </w:p>
    <w:p>
      <w:pPr>
        <w:tabs>
          <w:tab w:pos="2919" w:val="left" w:leader="none"/>
          <w:tab w:pos="4226" w:val="left" w:leader="none"/>
          <w:tab w:pos="4587" w:val="left" w:leader="none"/>
        </w:tabs>
        <w:spacing w:line="354" w:lineRule="exact" w:before="0"/>
        <w:ind w:left="905" w:right="0" w:firstLine="0"/>
        <w:jc w:val="left"/>
        <w:rPr>
          <w:sz w:val="20"/>
        </w:rPr>
      </w:pPr>
      <w:r>
        <w:rPr>
          <w:b/>
          <w:color w:val="010101"/>
          <w:w w:val="106"/>
          <w:position w:val="-11"/>
          <w:sz w:val="22"/>
        </w:rPr>
        <w:t>N</w:t>
      </w:r>
      <w:r>
        <w:rPr>
          <w:b/>
          <w:color w:val="010101"/>
          <w:spacing w:val="-13"/>
          <w:w w:val="106"/>
          <w:position w:val="-11"/>
          <w:sz w:val="22"/>
        </w:rPr>
        <w:t>:</w:t>
      </w:r>
      <w:r>
        <w:rPr>
          <w:b/>
          <w:color w:val="010101"/>
          <w:w w:val="100"/>
          <w:position w:val="-11"/>
          <w:sz w:val="22"/>
        </w:rPr>
        <w:t>ª</w:t>
      </w:r>
      <w:r>
        <w:rPr>
          <w:b/>
          <w:color w:val="010101"/>
          <w:position w:val="-11"/>
          <w:sz w:val="22"/>
        </w:rPr>
        <w:t> </w:t>
      </w:r>
      <w:r>
        <w:rPr>
          <w:b/>
          <w:color w:val="010101"/>
          <w:spacing w:val="-19"/>
          <w:position w:val="-11"/>
          <w:sz w:val="22"/>
        </w:rPr>
        <w:t> </w:t>
      </w:r>
      <w:r>
        <w:rPr>
          <w:color w:val="010101"/>
          <w:w w:val="254"/>
          <w:position w:val="-11"/>
          <w:sz w:val="22"/>
        </w:rPr>
        <w:t>-</w:t>
      </w:r>
      <w:r>
        <w:rPr>
          <w:color w:val="010101"/>
          <w:spacing w:val="-10"/>
          <w:position w:val="-11"/>
          <w:sz w:val="22"/>
        </w:rPr>
        <w:t> </w:t>
      </w:r>
      <w:r>
        <w:rPr>
          <w:b/>
          <w:i/>
          <w:color w:val="010101"/>
          <w:spacing w:val="27"/>
          <w:w w:val="191"/>
          <w:position w:val="-11"/>
          <w:sz w:val="22"/>
        </w:rPr>
        <w:t>N</w:t>
      </w:r>
      <w:r>
        <w:rPr>
          <w:b/>
          <w:i/>
          <w:color w:val="010101"/>
          <w:w w:val="67"/>
          <w:position w:val="-11"/>
          <w:sz w:val="22"/>
        </w:rPr>
        <w:t>,.</w:t>
      </w:r>
      <w:r>
        <w:rPr>
          <w:b/>
          <w:i/>
          <w:color w:val="010101"/>
          <w:position w:val="-11"/>
          <w:sz w:val="22"/>
        </w:rPr>
        <w:tab/>
      </w:r>
      <w:r>
        <w:rPr>
          <w:color w:val="010101"/>
          <w:w w:val="103"/>
          <w:sz w:val="20"/>
        </w:rPr>
        <w:t>for</w:t>
      </w:r>
      <w:r>
        <w:rPr>
          <w:color w:val="010101"/>
          <w:sz w:val="20"/>
        </w:rPr>
        <w:t>   </w:t>
      </w:r>
      <w:r>
        <w:rPr>
          <w:color w:val="010101"/>
          <w:spacing w:val="-10"/>
          <w:sz w:val="20"/>
        </w:rPr>
        <w:t> </w:t>
      </w:r>
      <w:r>
        <w:rPr>
          <w:i/>
          <w:color w:val="010101"/>
          <w:w w:val="94"/>
          <w:sz w:val="21"/>
        </w:rPr>
        <w:t>x</w:t>
      </w:r>
      <w:r>
        <w:rPr>
          <w:i/>
          <w:color w:val="010101"/>
          <w:sz w:val="21"/>
        </w:rPr>
        <w:t> </w:t>
      </w:r>
      <w:r>
        <w:rPr>
          <w:i/>
          <w:color w:val="010101"/>
          <w:spacing w:val="-8"/>
          <w:sz w:val="21"/>
        </w:rPr>
        <w:t> </w:t>
      </w:r>
      <w:r>
        <w:rPr>
          <w:color w:val="010101"/>
          <w:w w:val="100"/>
          <w:sz w:val="29"/>
        </w:rPr>
        <w:t>+</w:t>
      </w:r>
      <w:r>
        <w:rPr>
          <w:color w:val="010101"/>
          <w:spacing w:val="5"/>
          <w:sz w:val="29"/>
        </w:rPr>
        <w:t> </w:t>
      </w:r>
      <w:r>
        <w:rPr>
          <w:i/>
          <w:color w:val="010101"/>
          <w:w w:val="117"/>
          <w:sz w:val="21"/>
        </w:rPr>
        <w:t>n</w:t>
      </w:r>
      <w:r>
        <w:rPr>
          <w:i/>
          <w:color w:val="010101"/>
          <w:sz w:val="21"/>
        </w:rPr>
        <w:tab/>
      </w:r>
      <w:r>
        <w:rPr>
          <w:i/>
          <w:color w:val="010101"/>
          <w:w w:val="101"/>
          <w:sz w:val="20"/>
        </w:rPr>
        <w:t>y.</w:t>
      </w:r>
      <w:r>
        <w:rPr>
          <w:i/>
          <w:color w:val="010101"/>
          <w:sz w:val="20"/>
        </w:rPr>
        <w:tab/>
      </w:r>
      <w:r>
        <w:rPr>
          <w:color w:val="010101"/>
          <w:w w:val="90"/>
          <w:position w:val="1"/>
          <w:sz w:val="20"/>
        </w:rPr>
        <w:t>(</w:t>
      </w:r>
      <w:r>
        <w:rPr>
          <w:color w:val="010101"/>
          <w:spacing w:val="-18"/>
          <w:position w:val="1"/>
          <w:sz w:val="20"/>
        </w:rPr>
        <w:t> </w:t>
      </w:r>
      <w:r>
        <w:rPr>
          <w:color w:val="010101"/>
          <w:w w:val="103"/>
          <w:position w:val="1"/>
          <w:sz w:val="20"/>
        </w:rPr>
        <w:t>16.46b)</w:t>
      </w:r>
    </w:p>
    <w:p>
      <w:pPr>
        <w:spacing w:after="0" w:line="354" w:lineRule="exact"/>
        <w:jc w:val="left"/>
        <w:rPr>
          <w:sz w:val="20"/>
        </w:rPr>
        <w:sectPr>
          <w:type w:val="continuous"/>
          <w:pgSz w:w="7200" w:h="11340"/>
          <w:pgMar w:top="1100" w:bottom="0" w:left="680" w:right="560"/>
          <w:cols w:num="2" w:equalWidth="0">
            <w:col w:w="450" w:space="69"/>
            <w:col w:w="5441"/>
          </w:cols>
        </w:sectPr>
      </w:pPr>
    </w:p>
    <w:p>
      <w:pPr>
        <w:pStyle w:val="BodyText"/>
        <w:spacing w:line="242" w:lineRule="auto" w:before="103"/>
        <w:ind w:left="135" w:right="115"/>
        <w:jc w:val="both"/>
      </w:pPr>
      <w:r>
        <w:rPr>
          <w:color w:val="010101"/>
          <w:w w:val="105"/>
        </w:rPr>
        <w:t>These formulas assume that the monthly </w:t>
      </w:r>
      <w:r>
        <w:rPr>
          <w:i/>
          <w:color w:val="010101"/>
          <w:w w:val="105"/>
          <w:sz w:val="21"/>
        </w:rPr>
        <w:t>temporary  </w:t>
      </w:r>
      <w:r>
        <w:rPr>
          <w:color w:val="010101"/>
          <w:w w:val="105"/>
        </w:rPr>
        <w:t>annuity  can be evaluated as a continuous temporary annuity with an additive adjustment  of    </w:t>
      </w:r>
      <w:r>
        <w:rPr>
          <w:rFonts w:ascii="Arial" w:hAnsi="Arial"/>
          <w:color w:val="010101"/>
          <w:w w:val="120"/>
          <w:position w:val="-3"/>
          <w:sz w:val="15"/>
        </w:rPr>
        <w:t>4</w:t>
      </w:r>
      <w:r>
        <w:rPr>
          <w:rFonts w:ascii="Arial" w:hAnsi="Arial"/>
          <w:color w:val="010101"/>
          <w:w w:val="120"/>
          <w:sz w:val="15"/>
        </w:rPr>
        <w:t>, </w:t>
      </w:r>
      <w:r>
        <w:rPr>
          <w:color w:val="010101"/>
          <w:w w:val="105"/>
        </w:rPr>
        <w:t>exactly as the monthly </w:t>
      </w:r>
      <w:r>
        <w:rPr>
          <w:rFonts w:ascii="Arial" w:hAnsi="Arial"/>
          <w:i/>
          <w:color w:val="010101"/>
          <w:w w:val="105"/>
          <w:sz w:val="21"/>
        </w:rPr>
        <w:t>lif</w:t>
      </w:r>
      <w:r>
        <w:rPr>
          <w:i/>
          <w:color w:val="010101"/>
          <w:w w:val="105"/>
          <w:sz w:val="21"/>
        </w:rPr>
        <w:t>e </w:t>
      </w:r>
      <w:r>
        <w:rPr>
          <w:color w:val="010101"/>
          <w:w w:val="105"/>
        </w:rPr>
        <w:t>annuity is evaluated in (16.43). The student will recognize that a further small adjust­ ment would be made if the standard approximation for a tem­ porary  annuity were used.</w:t>
      </w:r>
    </w:p>
    <w:p>
      <w:pPr>
        <w:pStyle w:val="ListParagraph"/>
        <w:numPr>
          <w:ilvl w:val="0"/>
          <w:numId w:val="143"/>
        </w:numPr>
        <w:tabs>
          <w:tab w:pos="380" w:val="left" w:leader="none"/>
        </w:tabs>
        <w:spacing w:line="240" w:lineRule="auto" w:before="175" w:after="0"/>
        <w:ind w:left="379" w:right="0" w:hanging="240"/>
        <w:jc w:val="both"/>
        <w:rPr>
          <w:b/>
          <w:color w:val="010101"/>
          <w:sz w:val="19"/>
        </w:rPr>
      </w:pPr>
      <w:r>
        <w:rPr>
          <w:b/>
          <w:color w:val="010101"/>
          <w:w w:val="115"/>
          <w:sz w:val="19"/>
        </w:rPr>
        <w:t>Waiver of premium </w:t>
      </w:r>
      <w:r>
        <w:rPr>
          <w:b/>
          <w:color w:val="010101"/>
          <w:spacing w:val="2"/>
          <w:w w:val="115"/>
          <w:sz w:val="19"/>
        </w:rPr>
        <w:t> </w:t>
      </w:r>
      <w:r>
        <w:rPr>
          <w:b/>
          <w:color w:val="010101"/>
          <w:w w:val="115"/>
          <w:sz w:val="19"/>
        </w:rPr>
        <w:t>benefits</w:t>
      </w:r>
    </w:p>
    <w:p>
      <w:pPr>
        <w:pStyle w:val="BodyText"/>
        <w:spacing w:line="242" w:lineRule="auto" w:before="84"/>
        <w:ind w:left="143" w:right="110" w:firstLine="196"/>
        <w:jc w:val="both"/>
      </w:pPr>
      <w:r>
        <w:rPr>
          <w:color w:val="010101"/>
          <w:w w:val="105"/>
        </w:rPr>
        <w:t>When a waiver of premium provision is included in a life in­ surance policy, it provides for waiving premiums for the policy </w:t>
      </w:r>
      <w:r>
        <w:rPr>
          <w:b/>
          <w:color w:val="010101"/>
          <w:w w:val="105"/>
          <w:sz w:val="21"/>
        </w:rPr>
        <w:t>during </w:t>
      </w:r>
      <w:r>
        <w:rPr>
          <w:color w:val="010101"/>
          <w:w w:val="105"/>
        </w:rPr>
        <w:t>the continuance of  disability.  The benefit  is thus similar  to a disability income benefit for the amount of premium being waived. In order to avoid consideration of the many different fractional premium arrangements which are encountered in prac­ tice, it is customary </w:t>
      </w:r>
      <w:r>
        <w:rPr>
          <w:color w:val="010101"/>
          <w:w w:val="105"/>
          <w:sz w:val="22"/>
        </w:rPr>
        <w:t>to </w:t>
      </w:r>
      <w:r>
        <w:rPr>
          <w:color w:val="010101"/>
          <w:w w:val="105"/>
        </w:rPr>
        <w:t>assume that the premiums  being  waived  are payable  continuously.  With  this  assumption,  it  is possible</w:t>
      </w:r>
      <w:r>
        <w:rPr>
          <w:color w:val="010101"/>
          <w:spacing w:val="11"/>
          <w:w w:val="105"/>
        </w:rPr>
        <w:t> </w:t>
      </w:r>
      <w:r>
        <w:rPr>
          <w:color w:val="010101"/>
          <w:w w:val="105"/>
        </w:rPr>
        <w:t>to</w:t>
      </w:r>
    </w:p>
    <w:p>
      <w:pPr>
        <w:spacing w:after="0" w:line="242" w:lineRule="auto"/>
        <w:jc w:val="both"/>
        <w:sectPr>
          <w:type w:val="continuous"/>
          <w:pgSz w:w="7200" w:h="11340"/>
          <w:pgMar w:top="1100" w:bottom="0" w:left="680" w:right="560"/>
        </w:sectPr>
      </w:pPr>
    </w:p>
    <w:p>
      <w:pPr>
        <w:tabs>
          <w:tab w:pos="2059" w:val="left" w:leader="none"/>
          <w:tab w:pos="5281" w:val="left" w:leader="none"/>
        </w:tabs>
        <w:spacing w:before="52"/>
        <w:ind w:left="159" w:right="0" w:firstLine="0"/>
        <w:jc w:val="both"/>
        <w:rPr>
          <w:rFonts w:ascii="Arial"/>
          <w:b/>
          <w:sz w:val="19"/>
        </w:rPr>
      </w:pPr>
      <w:r>
        <w:rPr>
          <w:rFonts w:ascii="Arial"/>
          <w:sz w:val="18"/>
        </w:rPr>
        <w:t>324</w:t>
        <w:tab/>
      </w:r>
      <w:r>
        <w:rPr>
          <w:b/>
          <w:sz w:val="14"/>
        </w:rPr>
        <w:t>A   </w:t>
      </w:r>
      <w:r>
        <w:rPr>
          <w:b/>
          <w:spacing w:val="34"/>
          <w:sz w:val="14"/>
        </w:rPr>
        <w:t> </w:t>
      </w:r>
      <w:r>
        <w:rPr>
          <w:b/>
          <w:sz w:val="14"/>
        </w:rPr>
        <w:t>GEERALIZED       </w:t>
      </w:r>
      <w:r>
        <w:rPr>
          <w:b/>
          <w:spacing w:val="8"/>
          <w:sz w:val="14"/>
        </w:rPr>
        <w:t> </w:t>
      </w:r>
      <w:r>
        <w:rPr>
          <w:b/>
          <w:sz w:val="14"/>
        </w:rPr>
        <w:t>IODEL</w:t>
        <w:tab/>
      </w:r>
      <w:r>
        <w:rPr>
          <w:b/>
          <w:w w:val="95"/>
          <w:sz w:val="19"/>
        </w:rPr>
        <w:t>[CH.</w:t>
      </w:r>
      <w:r>
        <w:rPr>
          <w:b/>
          <w:spacing w:val="1"/>
          <w:w w:val="95"/>
          <w:sz w:val="19"/>
        </w:rPr>
        <w:t> </w:t>
      </w:r>
      <w:r>
        <w:rPr>
          <w:rFonts w:ascii="Arial"/>
          <w:b/>
          <w:w w:val="95"/>
          <w:sz w:val="19"/>
        </w:rPr>
        <w:t>16</w:t>
      </w:r>
    </w:p>
    <w:p>
      <w:pPr>
        <w:pStyle w:val="BodyText"/>
        <w:spacing w:before="2"/>
        <w:rPr>
          <w:rFonts w:ascii="Arial"/>
          <w:b/>
          <w:sz w:val="21"/>
        </w:rPr>
      </w:pPr>
    </w:p>
    <w:p>
      <w:pPr>
        <w:pStyle w:val="BodyText"/>
        <w:spacing w:line="238" w:lineRule="exact"/>
        <w:ind w:left="155" w:right="121" w:firstLine="3"/>
        <w:jc w:val="both"/>
      </w:pPr>
      <w:r>
        <w:rPr>
          <w:w w:val="110"/>
        </w:rPr>
        <w:t>use the symbol </w:t>
      </w:r>
      <w:r>
        <w:rPr>
          <w:rFonts w:ascii="Arial" w:hAnsi="Arial"/>
          <w:i/>
          <w:w w:val="110"/>
          <w:sz w:val="24"/>
        </w:rPr>
        <w:t>"C </w:t>
      </w:r>
      <w:r>
        <w:rPr>
          <w:w w:val="110"/>
        </w:rPr>
        <w:t>without adjustment. lndeed, it is for this </w:t>
      </w:r>
      <w:r>
        <w:rPr>
          <w:w w:val="101"/>
        </w:rPr>
        <w:t>reason </w:t>
      </w:r>
      <w:r>
        <w:rPr>
          <w:w w:val="118"/>
        </w:rPr>
        <w:t>that </w:t>
      </w:r>
      <w:r>
        <w:rPr>
          <w:rFonts w:ascii="Arial" w:hAnsi="Arial"/>
          <w:w w:val="128"/>
          <w:sz w:val="25"/>
        </w:rPr>
        <w:t>"C!</w:t>
      </w:r>
      <w:r>
        <w:rPr>
          <w:w w:val="128"/>
        </w:rPr>
        <w:t>is </w:t>
      </w:r>
      <w:r>
        <w:rPr>
          <w:w w:val="100"/>
        </w:rPr>
        <w:t>defined </w:t>
      </w:r>
      <w:r>
        <w:rPr>
          <w:w w:val="104"/>
        </w:rPr>
        <w:t>in </w:t>
      </w:r>
      <w:r>
        <w:rPr>
          <w:w w:val="112"/>
        </w:rPr>
        <w:t>tenns </w:t>
      </w:r>
      <w:r>
        <w:rPr>
          <w:w w:val="85"/>
        </w:rPr>
        <w:t>of </w:t>
      </w:r>
      <w:r>
        <w:rPr>
          <w:w w:val="112"/>
        </w:rPr>
        <w:t>a </w:t>
      </w:r>
      <w:r>
        <w:rPr>
          <w:w w:val="105"/>
        </w:rPr>
        <w:t>continuous </w:t>
      </w:r>
      <w:r>
        <w:rPr>
          <w:w w:val="103"/>
        </w:rPr>
        <w:t>disabled </w:t>
      </w:r>
      <w:r>
        <w:rPr>
          <w:w w:val="100"/>
        </w:rPr>
        <w:t>life </w:t>
      </w:r>
      <w:r>
        <w:rPr>
          <w:w w:val="110"/>
        </w:rPr>
        <w:t>annuity, the waiver  benefit  being a more common  type of   dis­</w:t>
      </w:r>
    </w:p>
    <w:p>
      <w:pPr>
        <w:pStyle w:val="BodyText"/>
        <w:spacing w:before="7"/>
        <w:ind w:left="155"/>
        <w:jc w:val="both"/>
      </w:pPr>
      <w:r>
        <w:rPr>
          <w:w w:val="105"/>
        </w:rPr>
        <w:t>ability benefit than the income  benefit.</w:t>
      </w:r>
    </w:p>
    <w:p>
      <w:pPr>
        <w:pStyle w:val="BodyText"/>
        <w:spacing w:line="252" w:lineRule="auto" w:before="4"/>
        <w:ind w:left="144" w:right="147" w:firstLine="205"/>
        <w:rPr>
          <w:sz w:val="19"/>
        </w:rPr>
      </w:pPr>
      <w:r>
        <w:rPr>
          <w:w w:val="105"/>
        </w:rPr>
        <w:t>For an n-payment policy, the net  annual  premium  to  provide the waiver of a unit of premium from the end of the waiting   </w:t>
      </w:r>
      <w:r>
        <w:rPr>
          <w:w w:val="105"/>
          <w:sz w:val="19"/>
        </w:rPr>
        <w:t>period</w:t>
      </w:r>
    </w:p>
    <w:p>
      <w:pPr>
        <w:spacing w:before="67"/>
        <w:ind w:left="148" w:right="0" w:firstLine="0"/>
        <w:jc w:val="both"/>
        <w:rPr>
          <w:rFonts w:ascii="Arial"/>
          <w:b/>
          <w:sz w:val="12"/>
        </w:rPr>
      </w:pPr>
      <w:r>
        <w:rPr>
          <w:rFonts w:ascii="Arial"/>
          <w:b/>
          <w:w w:val="105"/>
          <w:sz w:val="12"/>
        </w:rPr>
        <w:t>18</w:t>
      </w:r>
    </w:p>
    <w:p>
      <w:pPr>
        <w:spacing w:after="0"/>
        <w:jc w:val="both"/>
        <w:rPr>
          <w:rFonts w:ascii="Arial"/>
          <w:sz w:val="12"/>
        </w:rPr>
        <w:sectPr>
          <w:pgSz w:w="7200" w:h="11340"/>
          <w:pgMar w:top="500" w:bottom="280" w:left="640" w:right="540"/>
        </w:sectPr>
      </w:pPr>
    </w:p>
    <w:p>
      <w:pPr>
        <w:pStyle w:val="BodyText"/>
        <w:rPr>
          <w:rFonts w:ascii="Arial"/>
          <w:b/>
        </w:rPr>
      </w:pPr>
    </w:p>
    <w:p>
      <w:pPr>
        <w:pStyle w:val="BodyText"/>
        <w:rPr>
          <w:rFonts w:ascii="Arial"/>
          <w:b/>
        </w:rPr>
      </w:pPr>
    </w:p>
    <w:p>
      <w:pPr>
        <w:pStyle w:val="BodyText"/>
        <w:spacing w:before="2"/>
        <w:rPr>
          <w:rFonts w:ascii="Arial"/>
          <w:b/>
          <w:sz w:val="24"/>
        </w:rPr>
      </w:pPr>
    </w:p>
    <w:p>
      <w:pPr>
        <w:pStyle w:val="BodyText"/>
        <w:ind w:left="141" w:right="-9"/>
      </w:pPr>
      <w:r>
        <w:rPr>
          <w:w w:val="105"/>
        </w:rPr>
        <w:t>and</w:t>
      </w:r>
    </w:p>
    <w:p>
      <w:pPr>
        <w:spacing w:line="214" w:lineRule="exact" w:before="59"/>
        <w:ind w:left="342" w:right="0" w:firstLine="0"/>
        <w:jc w:val="left"/>
        <w:rPr>
          <w:b/>
          <w:sz w:val="26"/>
        </w:rPr>
      </w:pPr>
      <w:r>
        <w:rPr/>
        <w:br w:type="column"/>
      </w:r>
      <w:r>
        <w:rPr>
          <w:b/>
          <w:w w:val="85"/>
          <w:sz w:val="26"/>
        </w:rPr>
        <w:t>s+</w:t>
      </w:r>
      <w:r>
        <w:rPr>
          <w:b/>
          <w:w w:val="85"/>
          <w:sz w:val="26"/>
          <w:u w:val="thick"/>
        </w:rPr>
        <w:t>;.i\f!</w:t>
      </w:r>
    </w:p>
    <w:p>
      <w:pPr>
        <w:tabs>
          <w:tab w:pos="1239" w:val="left" w:leader="none"/>
          <w:tab w:pos="3521" w:val="left" w:leader="none"/>
        </w:tabs>
        <w:spacing w:line="362" w:lineRule="exact" w:before="0"/>
        <w:ind w:left="141" w:right="0" w:firstLine="0"/>
        <w:jc w:val="left"/>
        <w:rPr>
          <w:sz w:val="20"/>
        </w:rPr>
      </w:pPr>
      <w:r>
        <w:rPr>
          <w:i/>
          <w:w w:val="110"/>
          <w:sz w:val="21"/>
        </w:rPr>
        <w:t>N':'</w:t>
      </w:r>
      <w:r>
        <w:rPr>
          <w:i/>
          <w:spacing w:val="-3"/>
          <w:w w:val="110"/>
          <w:sz w:val="21"/>
        </w:rPr>
        <w:t> </w:t>
      </w:r>
      <w:r>
        <w:rPr>
          <w:w w:val="240"/>
          <w:sz w:val="21"/>
        </w:rPr>
        <w:t>-</w:t>
      </w:r>
      <w:r>
        <w:rPr>
          <w:spacing w:val="-107"/>
          <w:w w:val="240"/>
          <w:sz w:val="21"/>
        </w:rPr>
        <w:t> </w:t>
      </w:r>
      <w:r>
        <w:rPr>
          <w:i/>
          <w:w w:val="95"/>
          <w:sz w:val="21"/>
        </w:rPr>
        <w:t>N':¡4</w:t>
        <w:tab/>
      </w:r>
      <w:r>
        <w:rPr>
          <w:w w:val="110"/>
          <w:position w:val="13"/>
          <w:sz w:val="20"/>
        </w:rPr>
        <w:t>for   </w:t>
      </w:r>
      <w:r>
        <w:rPr>
          <w:i/>
          <w:w w:val="110"/>
          <w:position w:val="13"/>
          <w:sz w:val="20"/>
        </w:rPr>
        <w:t>x  </w:t>
      </w:r>
      <w:r>
        <w:rPr>
          <w:w w:val="110"/>
          <w:position w:val="13"/>
          <w:sz w:val="29"/>
        </w:rPr>
        <w:t>+ </w:t>
      </w:r>
      <w:r>
        <w:rPr>
          <w:i/>
          <w:w w:val="110"/>
          <w:position w:val="13"/>
          <w:sz w:val="20"/>
        </w:rPr>
        <w:t>n</w:t>
      </w:r>
      <w:r>
        <w:rPr>
          <w:i/>
          <w:spacing w:val="16"/>
          <w:w w:val="110"/>
          <w:position w:val="13"/>
          <w:sz w:val="20"/>
        </w:rPr>
        <w:t> </w:t>
      </w:r>
      <w:r>
        <w:rPr>
          <w:rFonts w:ascii="Arial" w:hAnsi="Arial"/>
          <w:w w:val="110"/>
          <w:position w:val="13"/>
          <w:sz w:val="26"/>
        </w:rPr>
        <w:t>&gt;</w:t>
      </w:r>
      <w:r>
        <w:rPr>
          <w:rFonts w:ascii="Arial" w:hAnsi="Arial"/>
          <w:spacing w:val="-12"/>
          <w:w w:val="110"/>
          <w:position w:val="13"/>
          <w:sz w:val="26"/>
        </w:rPr>
        <w:t> </w:t>
      </w:r>
      <w:r>
        <w:rPr>
          <w:rFonts w:ascii="Arial" w:hAnsi="Arial"/>
          <w:i/>
          <w:w w:val="110"/>
          <w:position w:val="13"/>
          <w:sz w:val="18"/>
        </w:rPr>
        <w:t>y</w:t>
        <w:tab/>
      </w:r>
      <w:r>
        <w:rPr>
          <w:position w:val="15"/>
          <w:sz w:val="20"/>
        </w:rPr>
        <w:t>(</w:t>
      </w:r>
      <w:r>
        <w:rPr>
          <w:spacing w:val="-24"/>
          <w:position w:val="15"/>
          <w:sz w:val="20"/>
        </w:rPr>
        <w:t> </w:t>
      </w:r>
      <w:r>
        <w:rPr>
          <w:spacing w:val="2"/>
          <w:position w:val="15"/>
          <w:sz w:val="20"/>
        </w:rPr>
        <w:t>16.47a)</w:t>
      </w:r>
    </w:p>
    <w:p>
      <w:pPr>
        <w:spacing w:after="0" w:line="362" w:lineRule="exact"/>
        <w:jc w:val="left"/>
        <w:rPr>
          <w:sz w:val="20"/>
        </w:rPr>
        <w:sectPr>
          <w:type w:val="continuous"/>
          <w:pgSz w:w="7200" w:h="11340"/>
          <w:pgMar w:top="1100" w:bottom="0" w:left="640" w:right="540"/>
          <w:cols w:num="2" w:equalWidth="0">
            <w:col w:w="456" w:space="1171"/>
            <w:col w:w="4393"/>
          </w:cols>
        </w:sectPr>
      </w:pPr>
    </w:p>
    <w:p>
      <w:pPr>
        <w:pStyle w:val="BodyText"/>
        <w:spacing w:before="2"/>
        <w:rPr>
          <w:sz w:val="29"/>
        </w:rPr>
      </w:pPr>
    </w:p>
    <w:p>
      <w:pPr>
        <w:spacing w:before="0"/>
        <w:ind w:left="1642" w:right="-16" w:firstLine="0"/>
        <w:jc w:val="left"/>
        <w:rPr>
          <w:i/>
          <w:sz w:val="23"/>
        </w:rPr>
      </w:pPr>
      <w:r>
        <w:rPr/>
        <w:pict>
          <v:line style="position:absolute;mso-position-horizontal-relative:page;mso-position-vertical-relative:paragraph;z-index:-709768" from="114.300003pt,1.19634pt" to="165.600003pt,1.19634pt" stroked="true" strokeweight=".72pt" strokecolor="#000000">
            <w10:wrap type="none"/>
          </v:line>
        </w:pict>
      </w:r>
      <w:r>
        <w:rPr>
          <w:i/>
          <w:sz w:val="23"/>
        </w:rPr>
        <w:t>N':'</w:t>
      </w:r>
      <w:r>
        <w:rPr>
          <w:i/>
          <w:spacing w:val="-22"/>
          <w:sz w:val="23"/>
        </w:rPr>
        <w:t> </w:t>
      </w:r>
      <w:r>
        <w:rPr>
          <w:w w:val="205"/>
          <w:sz w:val="23"/>
        </w:rPr>
        <w:t>-</w:t>
      </w:r>
      <w:r>
        <w:rPr>
          <w:spacing w:val="-107"/>
          <w:w w:val="205"/>
          <w:sz w:val="23"/>
        </w:rPr>
        <w:t> </w:t>
      </w:r>
      <w:r>
        <w:rPr>
          <w:i/>
          <w:sz w:val="23"/>
        </w:rPr>
        <w:t>N:+,.</w:t>
      </w:r>
    </w:p>
    <w:p>
      <w:pPr>
        <w:tabs>
          <w:tab w:pos="1477" w:val="left" w:leader="none"/>
          <w:tab w:pos="2417" w:val="left" w:leader="none"/>
        </w:tabs>
        <w:spacing w:before="145"/>
        <w:ind w:left="163" w:right="0" w:firstLine="0"/>
        <w:jc w:val="left"/>
        <w:rPr>
          <w:sz w:val="20"/>
        </w:rPr>
      </w:pPr>
      <w:r>
        <w:rPr/>
        <w:br w:type="column"/>
      </w:r>
      <w:r>
        <w:rPr>
          <w:w w:val="105"/>
          <w:position w:val="-1"/>
          <w:sz w:val="20"/>
        </w:rPr>
        <w:t>for    </w:t>
      </w:r>
      <w:r>
        <w:rPr>
          <w:i/>
          <w:w w:val="105"/>
          <w:position w:val="-1"/>
          <w:sz w:val="20"/>
        </w:rPr>
        <w:t>x</w:t>
      </w:r>
      <w:r>
        <w:rPr>
          <w:i/>
          <w:spacing w:val="26"/>
          <w:w w:val="105"/>
          <w:position w:val="-1"/>
          <w:sz w:val="20"/>
        </w:rPr>
        <w:t> </w:t>
      </w:r>
      <w:r>
        <w:rPr>
          <w:w w:val="105"/>
          <w:position w:val="-1"/>
          <w:sz w:val="29"/>
        </w:rPr>
        <w:t>+</w:t>
      </w:r>
      <w:r>
        <w:rPr>
          <w:spacing w:val="2"/>
          <w:w w:val="105"/>
          <w:position w:val="-1"/>
          <w:sz w:val="29"/>
        </w:rPr>
        <w:t> </w:t>
      </w:r>
      <w:r>
        <w:rPr>
          <w:i/>
          <w:w w:val="105"/>
          <w:position w:val="-1"/>
          <w:sz w:val="20"/>
        </w:rPr>
        <w:t>n</w:t>
        <w:tab/>
        <w:t>Y</w:t>
      </w:r>
      <w:r>
        <w:rPr>
          <w:i/>
          <w:spacing w:val="-35"/>
          <w:w w:val="105"/>
          <w:position w:val="-1"/>
          <w:sz w:val="20"/>
        </w:rPr>
        <w:t> </w:t>
      </w:r>
      <w:r>
        <w:rPr>
          <w:i/>
          <w:w w:val="105"/>
          <w:position w:val="-1"/>
          <w:sz w:val="20"/>
        </w:rPr>
        <w:t>,</w:t>
        <w:tab/>
      </w:r>
      <w:r>
        <w:rPr>
          <w:w w:val="105"/>
          <w:sz w:val="20"/>
        </w:rPr>
        <w:t>(16.47b)</w:t>
      </w:r>
    </w:p>
    <w:p>
      <w:pPr>
        <w:spacing w:after="0"/>
        <w:jc w:val="left"/>
        <w:rPr>
          <w:sz w:val="20"/>
        </w:rPr>
        <w:sectPr>
          <w:type w:val="continuous"/>
          <w:pgSz w:w="7200" w:h="11340"/>
          <w:pgMar w:top="1100" w:bottom="0" w:left="640" w:right="540"/>
          <w:cols w:num="2" w:equalWidth="0">
            <w:col w:w="2678" w:space="40"/>
            <w:col w:w="3302"/>
          </w:cols>
        </w:sectPr>
      </w:pPr>
    </w:p>
    <w:p>
      <w:pPr>
        <w:pStyle w:val="BodyText"/>
        <w:spacing w:line="252" w:lineRule="auto" w:before="91"/>
        <w:ind w:left="137" w:right="229"/>
        <w:rPr>
          <w:i/>
          <w:sz w:val="19"/>
        </w:rPr>
      </w:pPr>
      <w:r>
        <w:rPr>
          <w:w w:val="105"/>
        </w:rPr>
        <w:t>assuming that such net annual premium ceases upon the occur­ rence of  a qualifying disability or upon the attainment  of  age  </w:t>
      </w:r>
      <w:r>
        <w:rPr>
          <w:i/>
          <w:w w:val="105"/>
          <w:sz w:val="19"/>
        </w:rPr>
        <w:t>y.</w:t>
      </w:r>
    </w:p>
    <w:p>
      <w:pPr>
        <w:pStyle w:val="BodyText"/>
        <w:spacing w:line="247" w:lineRule="auto"/>
        <w:ind w:left="126" w:right="156" w:firstLine="201"/>
        <w:jc w:val="both"/>
      </w:pPr>
      <w:r>
        <w:rPr>
          <w:w w:val="105"/>
        </w:rPr>
        <w:t>A further adjustment must  be  added when  the  waiver  benefit  is made retroactive to the beginning of the waiting period. </w:t>
      </w:r>
      <w:r>
        <w:rPr>
          <w:w w:val="105"/>
          <w:sz w:val="22"/>
        </w:rPr>
        <w:t>In </w:t>
      </w:r>
      <w:r>
        <w:rPr>
          <w:w w:val="105"/>
        </w:rPr>
        <w:t>this case, any premiums  paid  during the waiting  period  are refunded at the end of the waiting period if the insured remains disabled. Under the assumption of continuous premium payments, the retroactive feature is thus equivalent  to a lump  sum  payment  of the total premium for </w:t>
      </w:r>
      <w:r>
        <w:rPr>
          <w:rFonts w:ascii="Arial"/>
          <w:i/>
          <w:w w:val="105"/>
          <w:sz w:val="18"/>
        </w:rPr>
        <w:t>m </w:t>
      </w:r>
      <w:r>
        <w:rPr>
          <w:w w:val="105"/>
        </w:rPr>
        <w:t>months. The net annual premium for this additional benefit  (on a unit premium  basis) </w:t>
      </w:r>
      <w:r>
        <w:rPr>
          <w:spacing w:val="13"/>
          <w:w w:val="105"/>
        </w:rPr>
        <w:t> </w:t>
      </w:r>
      <w:r>
        <w:rPr>
          <w:w w:val="105"/>
        </w:rPr>
        <w:t>is</w:t>
      </w:r>
    </w:p>
    <w:p>
      <w:pPr>
        <w:spacing w:after="0" w:line="247" w:lineRule="auto"/>
        <w:jc w:val="both"/>
        <w:sectPr>
          <w:type w:val="continuous"/>
          <w:pgSz w:w="7200" w:h="11340"/>
          <w:pgMar w:top="1100" w:bottom="0" w:left="640" w:right="540"/>
        </w:sectPr>
      </w:pPr>
    </w:p>
    <w:p>
      <w:pPr>
        <w:spacing w:line="263" w:lineRule="exact" w:before="174"/>
        <w:ind w:left="0" w:right="0" w:firstLine="0"/>
        <w:jc w:val="right"/>
        <w:rPr>
          <w:sz w:val="26"/>
        </w:rPr>
      </w:pPr>
      <w:r>
        <w:rPr/>
        <w:pict>
          <v:line style="position:absolute;mso-position-horizontal-relative:page;mso-position-vertical-relative:paragraph;z-index:-709744" from="112.32pt,26.211893pt" to="120.96pt,26.211893pt" stroked="true" strokeweight="4.140pt" strokecolor="#000000">
            <w10:wrap type="none"/>
          </v:line>
        </w:pict>
      </w:r>
      <w:r>
        <w:rPr>
          <w:spacing w:val="-71"/>
          <w:w w:val="107"/>
          <w:sz w:val="26"/>
        </w:rPr>
        <w:t>l</w:t>
      </w:r>
      <w:r>
        <w:rPr>
          <w:rFonts w:ascii="Arial"/>
          <w:i/>
          <w:spacing w:val="-84"/>
          <w:w w:val="102"/>
          <w:position w:val="14"/>
          <w:sz w:val="18"/>
        </w:rPr>
        <w:t>m</w:t>
      </w:r>
      <w:r>
        <w:rPr>
          <w:w w:val="108"/>
          <w:sz w:val="26"/>
        </w:rPr>
        <w:t>2</w:t>
      </w:r>
    </w:p>
    <w:p>
      <w:pPr>
        <w:spacing w:line="275" w:lineRule="exact" w:before="99"/>
        <w:ind w:left="76" w:right="0" w:firstLine="0"/>
        <w:jc w:val="left"/>
        <w:rPr>
          <w:sz w:val="26"/>
        </w:rPr>
      </w:pPr>
      <w:r>
        <w:rPr/>
        <w:br w:type="column"/>
      </w:r>
      <w:r>
        <w:rPr>
          <w:w w:val="110"/>
          <w:sz w:val="12"/>
        </w:rPr>
        <w:t>,,.,12  </w:t>
      </w:r>
      <w:r>
        <w:rPr>
          <w:w w:val="105"/>
          <w:sz w:val="26"/>
        </w:rPr>
        <w:t>Mi</w:t>
      </w:r>
    </w:p>
    <w:p>
      <w:pPr>
        <w:tabs>
          <w:tab w:pos="414" w:val="left" w:leader="none"/>
          <w:tab w:pos="681" w:val="left" w:leader="none"/>
        </w:tabs>
        <w:spacing w:line="62" w:lineRule="exact" w:before="0"/>
        <w:ind w:left="1" w:right="0" w:firstLine="0"/>
        <w:jc w:val="left"/>
        <w:rPr>
          <w:i/>
          <w:sz w:val="14"/>
        </w:rPr>
      </w:pPr>
      <w:r>
        <w:rPr>
          <w:rFonts w:ascii="Arial"/>
          <w:i/>
          <w:sz w:val="14"/>
        </w:rPr>
        <w:t>V</w:t>
        <w:tab/>
      </w:r>
      <w:r>
        <w:rPr>
          <w:sz w:val="11"/>
        </w:rPr>
        <w:t>II</w:t>
        <w:tab/>
      </w:r>
      <w:r>
        <w:rPr>
          <w:i/>
          <w:sz w:val="14"/>
        </w:rPr>
        <w:t>z</w:t>
      </w:r>
    </w:p>
    <w:p>
      <w:pPr>
        <w:spacing w:after="0" w:line="62" w:lineRule="exact"/>
        <w:jc w:val="left"/>
        <w:rPr>
          <w:sz w:val="14"/>
        </w:rPr>
        <w:sectPr>
          <w:type w:val="continuous"/>
          <w:pgSz w:w="7200" w:h="11340"/>
          <w:pgMar w:top="1100" w:bottom="0" w:left="640" w:right="540"/>
          <w:cols w:num="2" w:equalWidth="0">
            <w:col w:w="1803" w:space="40"/>
            <w:col w:w="4177"/>
          </w:cols>
        </w:sectPr>
      </w:pPr>
    </w:p>
    <w:p>
      <w:pPr>
        <w:pStyle w:val="BodyText"/>
        <w:rPr>
          <w:i/>
        </w:rPr>
      </w:pPr>
    </w:p>
    <w:p>
      <w:pPr>
        <w:pStyle w:val="BodyText"/>
        <w:spacing w:before="2"/>
        <w:rPr>
          <w:i/>
          <w:sz w:val="22"/>
        </w:rPr>
      </w:pPr>
    </w:p>
    <w:p>
      <w:pPr>
        <w:pStyle w:val="BodyText"/>
        <w:ind w:left="126" w:right="-8"/>
      </w:pPr>
      <w:r>
        <w:rPr>
          <w:w w:val="105"/>
        </w:rPr>
        <w:t>and</w:t>
      </w:r>
    </w:p>
    <w:p>
      <w:pPr>
        <w:tabs>
          <w:tab w:pos="1376" w:val="left" w:leader="none"/>
          <w:tab w:pos="3723" w:val="left" w:leader="none"/>
        </w:tabs>
        <w:spacing w:line="423" w:lineRule="exact" w:before="0"/>
        <w:ind w:left="224" w:right="0" w:firstLine="0"/>
        <w:jc w:val="left"/>
        <w:rPr>
          <w:sz w:val="20"/>
        </w:rPr>
      </w:pPr>
      <w:r>
        <w:rPr/>
        <w:br w:type="column"/>
      </w:r>
      <w:r>
        <w:rPr>
          <w:i/>
          <w:w w:val="95"/>
          <w:sz w:val="21"/>
        </w:rPr>
        <w:t>NO:-</w:t>
      </w:r>
      <w:r>
        <w:rPr>
          <w:i/>
          <w:spacing w:val="-20"/>
          <w:w w:val="95"/>
          <w:sz w:val="21"/>
        </w:rPr>
        <w:t> </w:t>
      </w:r>
      <w:r>
        <w:rPr>
          <w:w w:val="245"/>
          <w:sz w:val="21"/>
        </w:rPr>
        <w:t>-</w:t>
      </w:r>
      <w:r>
        <w:rPr>
          <w:spacing w:val="-118"/>
          <w:w w:val="245"/>
          <w:sz w:val="21"/>
        </w:rPr>
        <w:t> </w:t>
      </w:r>
      <w:r>
        <w:rPr>
          <w:i/>
          <w:w w:val="95"/>
          <w:sz w:val="21"/>
        </w:rPr>
        <w:t>N':¡4</w:t>
        <w:tab/>
      </w:r>
      <w:r>
        <w:rPr>
          <w:w w:val="105"/>
          <w:position w:val="13"/>
          <w:sz w:val="20"/>
        </w:rPr>
        <w:t>for   </w:t>
      </w:r>
      <w:r>
        <w:rPr>
          <w:i/>
          <w:w w:val="105"/>
          <w:position w:val="13"/>
          <w:sz w:val="20"/>
        </w:rPr>
        <w:t>x  </w:t>
      </w:r>
      <w:r>
        <w:rPr>
          <w:rFonts w:ascii="Arial" w:hAnsi="Arial"/>
          <w:w w:val="105"/>
          <w:position w:val="13"/>
          <w:sz w:val="31"/>
        </w:rPr>
        <w:t>+ </w:t>
      </w:r>
      <w:r>
        <w:rPr>
          <w:i/>
          <w:w w:val="105"/>
          <w:position w:val="13"/>
          <w:sz w:val="20"/>
        </w:rPr>
        <w:t>n</w:t>
      </w:r>
      <w:r>
        <w:rPr>
          <w:i/>
          <w:spacing w:val="16"/>
          <w:w w:val="105"/>
          <w:position w:val="13"/>
          <w:sz w:val="20"/>
        </w:rPr>
        <w:t> </w:t>
      </w:r>
      <w:r>
        <w:rPr>
          <w:rFonts w:ascii="Arial" w:hAnsi="Arial"/>
          <w:w w:val="105"/>
          <w:position w:val="13"/>
          <w:sz w:val="26"/>
        </w:rPr>
        <w:t>&gt;</w:t>
      </w:r>
      <w:r>
        <w:rPr>
          <w:rFonts w:ascii="Arial" w:hAnsi="Arial"/>
          <w:spacing w:val="-2"/>
          <w:w w:val="105"/>
          <w:position w:val="13"/>
          <w:sz w:val="26"/>
        </w:rPr>
        <w:t> </w:t>
      </w:r>
      <w:r>
        <w:rPr>
          <w:rFonts w:ascii="Arial" w:hAnsi="Arial"/>
          <w:i/>
          <w:w w:val="105"/>
          <w:position w:val="13"/>
          <w:sz w:val="18"/>
        </w:rPr>
        <w:t>y</w:t>
        <w:tab/>
      </w:r>
      <w:r>
        <w:rPr>
          <w:position w:val="15"/>
          <w:sz w:val="20"/>
        </w:rPr>
        <w:t>(16.48a</w:t>
      </w:r>
      <w:r>
        <w:rPr>
          <w:spacing w:val="-22"/>
          <w:position w:val="15"/>
          <w:sz w:val="20"/>
        </w:rPr>
        <w:t> </w:t>
      </w:r>
      <w:r>
        <w:rPr>
          <w:position w:val="15"/>
          <w:sz w:val="20"/>
        </w:rPr>
        <w:t>)</w:t>
      </w:r>
    </w:p>
    <w:p>
      <w:pPr>
        <w:spacing w:line="330" w:lineRule="exact" w:before="367"/>
        <w:ind w:left="126" w:right="0" w:firstLine="0"/>
        <w:jc w:val="left"/>
        <w:rPr>
          <w:sz w:val="26"/>
        </w:rPr>
      </w:pPr>
      <w:r>
        <w:rPr/>
        <w:pict>
          <v:shape style="position:absolute;margin-left:165.240005pt;margin-top:31.556347pt;width:2.8pt;height:6.5pt;mso-position-horizontal-relative:page;mso-position-vertical-relative:paragraph;z-index:-709720" type="#_x0000_t202" filled="false" stroked="false">
            <v:textbox inset="0,0,0,0">
              <w:txbxContent>
                <w:p>
                  <w:pPr>
                    <w:spacing w:line="130" w:lineRule="exact" w:before="0"/>
                    <w:ind w:left="0" w:right="0" w:firstLine="0"/>
                    <w:jc w:val="left"/>
                    <w:rPr>
                      <w:i/>
                      <w:sz w:val="13"/>
                    </w:rPr>
                  </w:pPr>
                  <w:r>
                    <w:rPr>
                      <w:i/>
                      <w:w w:val="109"/>
                      <w:sz w:val="13"/>
                    </w:rPr>
                    <w:t>z</w:t>
                  </w:r>
                </w:p>
              </w:txbxContent>
            </v:textbox>
            <w10:wrap type="none"/>
          </v:shape>
        </w:pict>
      </w:r>
      <w:r>
        <w:rPr>
          <w:spacing w:val="-74"/>
          <w:w w:val="105"/>
          <w:position w:val="-12"/>
          <w:sz w:val="26"/>
        </w:rPr>
        <w:t>l</w:t>
      </w:r>
      <w:r>
        <w:rPr>
          <w:rFonts w:ascii="Arial"/>
          <w:i/>
          <w:spacing w:val="-87"/>
          <w:w w:val="105"/>
          <w:sz w:val="18"/>
        </w:rPr>
        <w:t>m</w:t>
      </w:r>
      <w:r>
        <w:rPr>
          <w:w w:val="105"/>
          <w:position w:val="-12"/>
          <w:sz w:val="26"/>
        </w:rPr>
        <w:t>2</w:t>
      </w:r>
      <w:r>
        <w:rPr>
          <w:spacing w:val="-20"/>
          <w:position w:val="-12"/>
          <w:sz w:val="26"/>
        </w:rPr>
        <w:t> </w:t>
      </w:r>
      <w:r>
        <w:rPr>
          <w:i/>
          <w:w w:val="87"/>
          <w:position w:val="-12"/>
          <w:sz w:val="14"/>
        </w:rPr>
        <w:t>V</w:t>
      </w:r>
      <w:r>
        <w:rPr>
          <w:w w:val="101"/>
          <w:sz w:val="12"/>
        </w:rPr>
        <w:t>,,.112</w:t>
      </w:r>
      <w:r>
        <w:rPr>
          <w:sz w:val="12"/>
        </w:rPr>
        <w:t> </w:t>
      </w:r>
      <w:r>
        <w:rPr>
          <w:spacing w:val="5"/>
          <w:sz w:val="12"/>
        </w:rPr>
        <w:t> </w:t>
      </w:r>
      <w:r>
        <w:rPr>
          <w:w w:val="122"/>
          <w:position w:val="-12"/>
          <w:sz w:val="13"/>
        </w:rPr>
        <w:t>z+</w:t>
      </w:r>
      <w:r>
        <w:rPr>
          <w:spacing w:val="11"/>
          <w:w w:val="122"/>
          <w:position w:val="-12"/>
          <w:sz w:val="13"/>
        </w:rPr>
        <w:t>n</w:t>
      </w:r>
      <w:r>
        <w:rPr>
          <w:w w:val="84"/>
          <w:sz w:val="26"/>
        </w:rPr>
        <w:t>Mi</w:t>
      </w:r>
    </w:p>
    <w:p>
      <w:pPr>
        <w:spacing w:after="0" w:line="330" w:lineRule="exact"/>
        <w:jc w:val="left"/>
        <w:rPr>
          <w:sz w:val="26"/>
        </w:rPr>
        <w:sectPr>
          <w:type w:val="continuous"/>
          <w:pgSz w:w="7200" w:h="11340"/>
          <w:pgMar w:top="1100" w:bottom="0" w:left="640" w:right="540"/>
          <w:cols w:num="2" w:equalWidth="0">
            <w:col w:w="442" w:space="972"/>
            <w:col w:w="4606"/>
          </w:cols>
        </w:sectPr>
      </w:pPr>
    </w:p>
    <w:p>
      <w:pPr>
        <w:pStyle w:val="BodyText"/>
        <w:spacing w:before="4"/>
        <w:rPr>
          <w:sz w:val="3"/>
        </w:rPr>
      </w:pPr>
    </w:p>
    <w:p>
      <w:pPr>
        <w:pStyle w:val="BodyText"/>
        <w:spacing w:line="90" w:lineRule="exact"/>
        <w:ind w:left="1518"/>
        <w:rPr>
          <w:sz w:val="9"/>
        </w:rPr>
      </w:pPr>
      <w:r>
        <w:rPr>
          <w:position w:val="-1"/>
          <w:sz w:val="9"/>
        </w:rPr>
        <w:pict>
          <v:group style="width:13.35pt;height:4.5pt;mso-position-horizontal-relative:char;mso-position-vertical-relative:line" coordorigin="0,0" coordsize="267,90">
            <v:line style="position:absolute" from="45,45" to="221,45" stroked="true" strokeweight="4.5pt" strokecolor="#000000"/>
          </v:group>
        </w:pict>
      </w:r>
      <w:r>
        <w:rPr>
          <w:position w:val="-1"/>
          <w:sz w:val="9"/>
        </w:rPr>
      </w:r>
    </w:p>
    <w:p>
      <w:pPr>
        <w:tabs>
          <w:tab w:pos="2567" w:val="left" w:leader="none"/>
        </w:tabs>
        <w:spacing w:before="60"/>
        <w:ind w:left="1613" w:right="0" w:firstLine="0"/>
        <w:jc w:val="left"/>
        <w:rPr>
          <w:rFonts w:ascii="Arial"/>
          <w:i/>
          <w:sz w:val="9"/>
        </w:rPr>
      </w:pPr>
      <w:r>
        <w:rPr>
          <w:i/>
          <w:w w:val="95"/>
          <w:sz w:val="21"/>
        </w:rPr>
        <w:t>No;'</w:t>
      </w:r>
      <w:r>
        <w:rPr>
          <w:i/>
          <w:spacing w:val="37"/>
          <w:w w:val="95"/>
          <w:sz w:val="21"/>
        </w:rPr>
        <w:t> </w:t>
      </w:r>
      <w:r>
        <w:rPr>
          <w:w w:val="240"/>
          <w:sz w:val="21"/>
        </w:rPr>
        <w:t>-</w:t>
      </w:r>
      <w:r>
        <w:rPr>
          <w:spacing w:val="-95"/>
          <w:w w:val="240"/>
          <w:sz w:val="21"/>
        </w:rPr>
        <w:t> </w:t>
      </w:r>
      <w:r>
        <w:rPr>
          <w:i/>
          <w:w w:val="95"/>
          <w:sz w:val="21"/>
        </w:rPr>
        <w:t>N</w:t>
        <w:tab/>
      </w:r>
      <w:r>
        <w:rPr>
          <w:rFonts w:ascii="Arial"/>
          <w:i/>
          <w:w w:val="85"/>
          <w:position w:val="-2"/>
          <w:sz w:val="9"/>
        </w:rPr>
        <w:t>11</w:t>
      </w:r>
    </w:p>
    <w:p>
      <w:pPr>
        <w:tabs>
          <w:tab w:pos="1549" w:val="left" w:leader="none"/>
          <w:tab w:pos="2420" w:val="left" w:leader="none"/>
        </w:tabs>
        <w:spacing w:line="317" w:lineRule="exact" w:before="0"/>
        <w:ind w:left="242" w:right="0" w:firstLine="0"/>
        <w:jc w:val="left"/>
        <w:rPr>
          <w:sz w:val="20"/>
        </w:rPr>
      </w:pPr>
      <w:r>
        <w:rPr/>
        <w:br w:type="column"/>
      </w:r>
      <w:r>
        <w:rPr>
          <w:w w:val="105"/>
          <w:sz w:val="20"/>
        </w:rPr>
        <w:t>for    </w:t>
      </w:r>
      <w:r>
        <w:rPr>
          <w:i/>
          <w:w w:val="105"/>
          <w:sz w:val="20"/>
        </w:rPr>
        <w:t>x</w:t>
      </w:r>
      <w:r>
        <w:rPr>
          <w:i/>
          <w:spacing w:val="28"/>
          <w:w w:val="105"/>
          <w:sz w:val="20"/>
        </w:rPr>
        <w:t> </w:t>
      </w:r>
      <w:r>
        <w:rPr>
          <w:rFonts w:ascii="Arial"/>
          <w:w w:val="105"/>
          <w:sz w:val="31"/>
        </w:rPr>
        <w:t>+</w:t>
      </w:r>
      <w:r>
        <w:rPr>
          <w:rFonts w:ascii="Arial"/>
          <w:spacing w:val="-37"/>
          <w:w w:val="105"/>
          <w:sz w:val="31"/>
        </w:rPr>
        <w:t> </w:t>
      </w:r>
      <w:r>
        <w:rPr>
          <w:i/>
          <w:w w:val="105"/>
          <w:sz w:val="20"/>
        </w:rPr>
        <w:t>n</w:t>
        <w:tab/>
      </w:r>
      <w:r>
        <w:rPr>
          <w:i/>
          <w:w w:val="105"/>
          <w:sz w:val="19"/>
        </w:rPr>
        <w:t>y.</w:t>
        <w:tab/>
      </w:r>
      <w:r>
        <w:rPr>
          <w:w w:val="105"/>
          <w:position w:val="2"/>
          <w:sz w:val="20"/>
        </w:rPr>
        <w:t>(16.48b)</w:t>
      </w:r>
    </w:p>
    <w:p>
      <w:pPr>
        <w:spacing w:after="0" w:line="317" w:lineRule="exact"/>
        <w:jc w:val="left"/>
        <w:rPr>
          <w:sz w:val="20"/>
        </w:rPr>
        <w:sectPr>
          <w:type w:val="continuous"/>
          <w:pgSz w:w="7200" w:h="11340"/>
          <w:pgMar w:top="1100" w:bottom="0" w:left="640" w:right="540"/>
          <w:cols w:num="2" w:equalWidth="0">
            <w:col w:w="2656" w:space="40"/>
            <w:col w:w="3324"/>
          </w:cols>
        </w:sectPr>
      </w:pPr>
    </w:p>
    <w:p>
      <w:pPr>
        <w:pStyle w:val="BodyText"/>
        <w:spacing w:before="92"/>
        <w:ind w:left="115"/>
      </w:pPr>
      <w:r>
        <w:rPr>
          <w:w w:val="105"/>
        </w:rPr>
        <w:t>These expressions are added to the corresponding (16.47 ) formulas.</w:t>
      </w:r>
    </w:p>
    <w:p>
      <w:pPr>
        <w:pStyle w:val="ListParagraph"/>
        <w:numPr>
          <w:ilvl w:val="0"/>
          <w:numId w:val="143"/>
        </w:numPr>
        <w:tabs>
          <w:tab w:pos="358" w:val="left" w:leader="none"/>
        </w:tabs>
        <w:spacing w:line="240" w:lineRule="auto" w:before="143" w:after="0"/>
        <w:ind w:left="357" w:right="0" w:hanging="241"/>
        <w:jc w:val="left"/>
        <w:rPr>
          <w:b/>
          <w:sz w:val="19"/>
        </w:rPr>
      </w:pPr>
      <w:r>
        <w:rPr>
          <w:b/>
          <w:w w:val="110"/>
          <w:sz w:val="19"/>
        </w:rPr>
        <w:t>Disability</w:t>
      </w:r>
      <w:r>
        <w:rPr>
          <w:b/>
          <w:spacing w:val="12"/>
          <w:w w:val="110"/>
          <w:sz w:val="19"/>
        </w:rPr>
        <w:t> </w:t>
      </w:r>
      <w:r>
        <w:rPr>
          <w:b/>
          <w:w w:val="110"/>
          <w:sz w:val="19"/>
        </w:rPr>
        <w:t>_reserves</w:t>
      </w:r>
    </w:p>
    <w:p>
      <w:pPr>
        <w:pStyle w:val="BodyText"/>
        <w:spacing w:line="249" w:lineRule="auto" w:before="89"/>
        <w:ind w:left="112" w:right="161" w:firstLine="205"/>
        <w:jc w:val="both"/>
      </w:pPr>
      <w:r>
        <w:rPr>
          <w:w w:val="105"/>
        </w:rPr>
        <w:t>Reserves for disability benefits are of two kinds, active life reserves and disabled life reserves. As the name implies, the active </w:t>
      </w:r>
      <w:r>
        <w:rPr>
          <w:w w:val="105"/>
          <w:sz w:val="19"/>
        </w:rPr>
        <w:t>life </w:t>
      </w:r>
      <w:r>
        <w:rPr>
          <w:w w:val="105"/>
        </w:rPr>
        <w:t>reserve is the present value  of  future disability  benefits less  the  present  value  of  future  disability  premiums,  both</w:t>
      </w:r>
      <w:r>
        <w:rPr>
          <w:spacing w:val="35"/>
          <w:w w:val="105"/>
        </w:rPr>
        <w:t> </w:t>
      </w:r>
      <w:r>
        <w:rPr>
          <w:w w:val="105"/>
        </w:rPr>
        <w:t>calculated</w:t>
      </w:r>
    </w:p>
    <w:p>
      <w:pPr>
        <w:spacing w:after="0" w:line="249" w:lineRule="auto"/>
        <w:jc w:val="both"/>
        <w:sectPr>
          <w:type w:val="continuous"/>
          <w:pgSz w:w="7200" w:h="11340"/>
          <w:pgMar w:top="1100" w:bottom="0" w:left="640" w:right="540"/>
        </w:sectPr>
      </w:pPr>
    </w:p>
    <w:p>
      <w:pPr>
        <w:tabs>
          <w:tab w:pos="2088" w:val="left" w:leader="none"/>
          <w:tab w:pos="5923" w:val="right" w:leader="none"/>
        </w:tabs>
        <w:spacing w:before="57"/>
        <w:ind w:left="148" w:right="0" w:firstLine="0"/>
        <w:jc w:val="left"/>
        <w:rPr>
          <w:rFonts w:ascii="Courier New"/>
          <w:sz w:val="22"/>
        </w:rPr>
      </w:pPr>
      <w:r>
        <w:rPr>
          <w:b/>
          <w:w w:val="105"/>
          <w:sz w:val="15"/>
        </w:rPr>
        <w:t>SEC. </w:t>
      </w:r>
      <w:r>
        <w:rPr>
          <w:b/>
          <w:spacing w:val="19"/>
          <w:w w:val="105"/>
          <w:sz w:val="15"/>
        </w:rPr>
        <w:t> </w:t>
      </w:r>
      <w:r>
        <w:rPr>
          <w:b/>
          <w:w w:val="105"/>
          <w:sz w:val="20"/>
        </w:rPr>
        <w:t>8]</w:t>
        <w:tab/>
      </w:r>
      <w:r>
        <w:rPr>
          <w:b/>
          <w:w w:val="105"/>
          <w:sz w:val="15"/>
        </w:rPr>
        <w:t>DISABILITY  </w:t>
      </w:r>
      <w:r>
        <w:rPr>
          <w:b/>
          <w:spacing w:val="2"/>
          <w:w w:val="105"/>
          <w:sz w:val="15"/>
        </w:rPr>
        <w:t> </w:t>
      </w:r>
      <w:r>
        <w:rPr>
          <w:b/>
          <w:w w:val="105"/>
          <w:sz w:val="15"/>
        </w:rPr>
        <w:t>RESERVES</w:t>
      </w:r>
      <w:r>
        <w:rPr>
          <w:rFonts w:ascii="Courier New"/>
          <w:w w:val="105"/>
          <w:sz w:val="22"/>
        </w:rPr>
        <w:tab/>
      </w:r>
      <w:r>
        <w:rPr>
          <w:rFonts w:ascii="Courier New"/>
          <w:spacing w:val="-23"/>
          <w:w w:val="105"/>
          <w:sz w:val="22"/>
        </w:rPr>
        <w:t>325</w:t>
      </w:r>
    </w:p>
    <w:p>
      <w:pPr>
        <w:pStyle w:val="BodyText"/>
        <w:rPr>
          <w:rFonts w:ascii="Courier New"/>
          <w:sz w:val="18"/>
        </w:rPr>
      </w:pPr>
    </w:p>
    <w:p>
      <w:pPr>
        <w:spacing w:line="237" w:lineRule="auto" w:before="0"/>
        <w:ind w:left="144" w:right="148" w:firstLine="3"/>
        <w:jc w:val="both"/>
        <w:rPr>
          <w:sz w:val="21"/>
        </w:rPr>
      </w:pPr>
      <w:r>
        <w:rPr>
          <w:sz w:val="21"/>
        </w:rPr>
        <w:t>on the assumption that the insured is not disabled. Similarly, the disabled life reserve is the present value of future disability bene­ fits, calculated on the assumption that the insured has already incurred  a qualifying disability.</w:t>
      </w:r>
    </w:p>
    <w:p>
      <w:pPr>
        <w:spacing w:line="235" w:lineRule="auto" w:before="7"/>
        <w:ind w:left="141" w:right="150" w:firstLine="205"/>
        <w:jc w:val="both"/>
        <w:rPr>
          <w:i/>
          <w:sz w:val="21"/>
        </w:rPr>
      </w:pPr>
      <w:r>
        <w:rPr>
          <w:w w:val="105"/>
          <w:sz w:val="21"/>
        </w:rPr>
        <w:t>To illustrate the active life reserve, we consider an n-payment life</w:t>
      </w:r>
      <w:r>
        <w:rPr>
          <w:spacing w:val="-18"/>
          <w:w w:val="105"/>
          <w:sz w:val="21"/>
        </w:rPr>
        <w:t> </w:t>
      </w:r>
      <w:r>
        <w:rPr>
          <w:w w:val="105"/>
          <w:sz w:val="21"/>
        </w:rPr>
        <w:t>policy</w:t>
      </w:r>
      <w:r>
        <w:rPr>
          <w:spacing w:val="-6"/>
          <w:w w:val="105"/>
          <w:sz w:val="21"/>
        </w:rPr>
        <w:t> </w:t>
      </w:r>
      <w:r>
        <w:rPr>
          <w:w w:val="105"/>
          <w:sz w:val="21"/>
        </w:rPr>
        <w:t>issued</w:t>
      </w:r>
      <w:r>
        <w:rPr>
          <w:spacing w:val="-13"/>
          <w:w w:val="105"/>
          <w:sz w:val="21"/>
        </w:rPr>
        <w:t> </w:t>
      </w:r>
      <w:r>
        <w:rPr>
          <w:w w:val="105"/>
          <w:sz w:val="21"/>
        </w:rPr>
        <w:t>at</w:t>
      </w:r>
      <w:r>
        <w:rPr>
          <w:spacing w:val="-16"/>
          <w:w w:val="105"/>
          <w:sz w:val="21"/>
        </w:rPr>
        <w:t> </w:t>
      </w:r>
      <w:r>
        <w:rPr>
          <w:w w:val="105"/>
          <w:sz w:val="21"/>
        </w:rPr>
        <w:t>age</w:t>
      </w:r>
      <w:r>
        <w:rPr>
          <w:spacing w:val="-22"/>
          <w:w w:val="105"/>
          <w:sz w:val="21"/>
        </w:rPr>
        <w:t> </w:t>
      </w:r>
      <w:r>
        <w:rPr>
          <w:rFonts w:ascii="Arial"/>
          <w:i/>
          <w:w w:val="105"/>
          <w:sz w:val="18"/>
        </w:rPr>
        <w:t>x</w:t>
      </w:r>
      <w:r>
        <w:rPr>
          <w:rFonts w:ascii="Arial"/>
          <w:i/>
          <w:spacing w:val="-9"/>
          <w:w w:val="105"/>
          <w:sz w:val="18"/>
        </w:rPr>
        <w:t> </w:t>
      </w:r>
      <w:r>
        <w:rPr>
          <w:w w:val="105"/>
          <w:sz w:val="21"/>
        </w:rPr>
        <w:t>with</w:t>
      </w:r>
      <w:r>
        <w:rPr>
          <w:spacing w:val="-10"/>
          <w:w w:val="105"/>
          <w:sz w:val="21"/>
        </w:rPr>
        <w:t> </w:t>
      </w:r>
      <w:r>
        <w:rPr>
          <w:w w:val="105"/>
          <w:sz w:val="21"/>
        </w:rPr>
        <w:t>a</w:t>
      </w:r>
      <w:r>
        <w:rPr>
          <w:spacing w:val="-21"/>
          <w:w w:val="105"/>
          <w:sz w:val="21"/>
        </w:rPr>
        <w:t> </w:t>
      </w:r>
      <w:r>
        <w:rPr>
          <w:w w:val="105"/>
          <w:sz w:val="21"/>
        </w:rPr>
        <w:t>disability</w:t>
      </w:r>
      <w:r>
        <w:rPr>
          <w:spacing w:val="-6"/>
          <w:w w:val="105"/>
          <w:sz w:val="21"/>
        </w:rPr>
        <w:t> </w:t>
      </w:r>
      <w:r>
        <w:rPr>
          <w:w w:val="105"/>
          <w:sz w:val="21"/>
        </w:rPr>
        <w:t>clause</w:t>
      </w:r>
      <w:r>
        <w:rPr>
          <w:spacing w:val="-16"/>
          <w:w w:val="105"/>
          <w:sz w:val="21"/>
        </w:rPr>
        <w:t> </w:t>
      </w:r>
      <w:r>
        <w:rPr>
          <w:w w:val="105"/>
          <w:sz w:val="21"/>
        </w:rPr>
        <w:t>providing</w:t>
      </w:r>
      <w:r>
        <w:rPr>
          <w:spacing w:val="-14"/>
          <w:w w:val="105"/>
          <w:sz w:val="21"/>
        </w:rPr>
        <w:t> </w:t>
      </w:r>
      <w:r>
        <w:rPr>
          <w:w w:val="105"/>
          <w:sz w:val="21"/>
        </w:rPr>
        <w:t>waiver of premium and </w:t>
      </w:r>
      <w:r>
        <w:rPr>
          <w:rFonts w:ascii="Arial"/>
          <w:w w:val="105"/>
          <w:sz w:val="18"/>
        </w:rPr>
        <w:t>a </w:t>
      </w:r>
      <w:r>
        <w:rPr>
          <w:w w:val="105"/>
          <w:sz w:val="21"/>
        </w:rPr>
        <w:t>disability income for life of </w:t>
      </w:r>
      <w:r>
        <w:rPr>
          <w:w w:val="105"/>
          <w:sz w:val="20"/>
        </w:rPr>
        <w:t>$10 </w:t>
      </w:r>
      <w:r>
        <w:rPr>
          <w:w w:val="105"/>
          <w:sz w:val="21"/>
        </w:rPr>
        <w:t>per month in the event  </w:t>
      </w:r>
      <w:r>
        <w:rPr>
          <w:rFonts w:ascii="Arial"/>
          <w:w w:val="105"/>
          <w:sz w:val="19"/>
        </w:rPr>
        <w:t>of  </w:t>
      </w:r>
      <w:r>
        <w:rPr>
          <w:w w:val="105"/>
          <w:sz w:val="21"/>
        </w:rPr>
        <w:t>disability  prior  to age </w:t>
      </w:r>
      <w:r>
        <w:rPr>
          <w:rFonts w:ascii="Arial"/>
          <w:i/>
          <w:w w:val="105"/>
          <w:sz w:val="18"/>
        </w:rPr>
        <w:t>y.  </w:t>
      </w:r>
      <w:r>
        <w:rPr>
          <w:w w:val="105"/>
          <w:sz w:val="21"/>
        </w:rPr>
        <w:t>It will  be  assumed  that </w:t>
      </w:r>
      <w:r>
        <w:rPr>
          <w:i/>
          <w:w w:val="105"/>
          <w:sz w:val="23"/>
        </w:rPr>
        <w:t>x + n is </w:t>
      </w:r>
      <w:r>
        <w:rPr>
          <w:w w:val="105"/>
          <w:sz w:val="21"/>
        </w:rPr>
        <w:t>greater than</w:t>
      </w:r>
      <w:r>
        <w:rPr>
          <w:spacing w:val="19"/>
          <w:w w:val="105"/>
          <w:sz w:val="21"/>
        </w:rPr>
        <w:t> </w:t>
      </w:r>
      <w:r>
        <w:rPr>
          <w:i/>
          <w:w w:val="105"/>
          <w:sz w:val="21"/>
        </w:rPr>
        <w:t>y.</w:t>
      </w:r>
    </w:p>
    <w:p>
      <w:pPr>
        <w:spacing w:line="240" w:lineRule="auto" w:before="0"/>
        <w:ind w:left="144" w:right="143" w:firstLine="198"/>
        <w:jc w:val="both"/>
        <w:rPr>
          <w:sz w:val="21"/>
        </w:rPr>
      </w:pPr>
      <w:r>
        <w:rPr>
          <w:b/>
          <w:sz w:val="20"/>
        </w:rPr>
        <w:t>Taking </w:t>
      </w:r>
      <w:r>
        <w:rPr>
          <w:sz w:val="21"/>
        </w:rPr>
        <w:t>first the income portion of  the benefit,  we  denote the  net annual disability premium per dollar of annual income  </w:t>
      </w:r>
      <w:r>
        <w:rPr>
          <w:spacing w:val="16"/>
          <w:sz w:val="21"/>
        </w:rPr>
        <w:t> </w:t>
      </w:r>
      <w:r>
        <w:rPr>
          <w:sz w:val="21"/>
        </w:rPr>
        <w:t>benefits</w:t>
      </w:r>
    </w:p>
    <w:p>
      <w:pPr>
        <w:spacing w:line="257" w:lineRule="exact" w:before="0"/>
        <w:ind w:left="148" w:right="0" w:firstLine="0"/>
        <w:jc w:val="both"/>
        <w:rPr>
          <w:sz w:val="21"/>
        </w:rPr>
      </w:pPr>
      <w:r>
        <w:rPr>
          <w:sz w:val="21"/>
        </w:rPr>
        <w:t>by </w:t>
      </w:r>
      <w:r>
        <w:rPr>
          <w:rFonts w:ascii="Arial"/>
          <w:i/>
          <w:sz w:val="29"/>
        </w:rPr>
        <w:t>P; </w:t>
      </w:r>
      <w:r>
        <w:rPr>
          <w:rFonts w:ascii="Arial"/>
          <w:sz w:val="29"/>
        </w:rPr>
        <w:t>. </w:t>
      </w:r>
      <w:r>
        <w:rPr>
          <w:sz w:val="21"/>
        </w:rPr>
        <w:t>The active life reserve at the end of </w:t>
      </w:r>
      <w:r>
        <w:rPr>
          <w:rFonts w:ascii="Arial"/>
          <w:i/>
          <w:sz w:val="17"/>
        </w:rPr>
        <w:t>t </w:t>
      </w:r>
      <w:r>
        <w:rPr>
          <w:sz w:val="21"/>
        </w:rPr>
        <w:t>years  </w:t>
      </w:r>
      <w:r>
        <w:rPr>
          <w:rFonts w:ascii="Arial"/>
          <w:i/>
          <w:sz w:val="19"/>
        </w:rPr>
        <w:t>(t  </w:t>
      </w:r>
      <w:r>
        <w:rPr>
          <w:rFonts w:ascii="Arial"/>
          <w:sz w:val="25"/>
        </w:rPr>
        <w:t>&lt; </w:t>
      </w:r>
      <w:r>
        <w:rPr>
          <w:rFonts w:ascii="Arial"/>
          <w:i/>
          <w:sz w:val="18"/>
        </w:rPr>
        <w:t>y  </w:t>
      </w:r>
      <w:r>
        <w:rPr>
          <w:rFonts w:ascii="Arial"/>
          <w:w w:val="250"/>
          <w:sz w:val="18"/>
        </w:rPr>
        <w:t>- </w:t>
      </w:r>
      <w:r>
        <w:rPr>
          <w:rFonts w:ascii="Arial"/>
          <w:i/>
          <w:sz w:val="19"/>
        </w:rPr>
        <w:t>x ) </w:t>
      </w:r>
      <w:r>
        <w:rPr>
          <w:sz w:val="21"/>
        </w:rPr>
        <w:t>is</w:t>
      </w:r>
    </w:p>
    <w:p>
      <w:pPr>
        <w:spacing w:after="0" w:line="257" w:lineRule="exact"/>
        <w:jc w:val="both"/>
        <w:rPr>
          <w:sz w:val="21"/>
        </w:rPr>
        <w:sectPr>
          <w:pgSz w:w="7200" w:h="11340"/>
          <w:pgMar w:top="480" w:bottom="280" w:left="640" w:right="520"/>
        </w:sectPr>
      </w:pPr>
    </w:p>
    <w:p>
      <w:pPr>
        <w:spacing w:line="409" w:lineRule="exact" w:before="93"/>
        <w:ind w:left="807" w:right="0" w:firstLine="0"/>
        <w:jc w:val="left"/>
        <w:rPr>
          <w:b/>
          <w:sz w:val="12"/>
        </w:rPr>
      </w:pPr>
      <w:r>
        <w:rPr/>
        <w:pict>
          <v:shape style="position:absolute;margin-left:167.220001pt;margin-top:10.607413pt;width:2.7pt;height:6pt;mso-position-horizontal-relative:page;mso-position-vertical-relative:paragraph;z-index:26488" type="#_x0000_t202" filled="false" stroked="false">
            <v:textbox inset="0,0,0,0">
              <w:txbxContent>
                <w:p>
                  <w:pPr>
                    <w:spacing w:line="120" w:lineRule="exact" w:before="0"/>
                    <w:ind w:left="0" w:right="0" w:firstLine="0"/>
                    <w:jc w:val="left"/>
                    <w:rPr>
                      <w:b/>
                      <w:sz w:val="12"/>
                    </w:rPr>
                  </w:pPr>
                  <w:r>
                    <w:rPr>
                      <w:b/>
                      <w:w w:val="89"/>
                      <w:sz w:val="12"/>
                    </w:rPr>
                    <w:t>2</w:t>
                  </w:r>
                </w:p>
              </w:txbxContent>
            </v:textbox>
            <w10:wrap type="none"/>
          </v:shape>
        </w:pict>
      </w:r>
      <w:r>
        <w:rPr>
          <w:b/>
          <w:sz w:val="20"/>
        </w:rPr>
        <w:t>120 </w:t>
      </w:r>
      <w:r>
        <w:rPr>
          <w:b/>
          <w:i/>
          <w:w w:val="75"/>
          <w:sz w:val="42"/>
        </w:rPr>
        <w:t>[ M!+t </w:t>
      </w:r>
      <w:r>
        <w:rPr>
          <w:sz w:val="29"/>
        </w:rPr>
        <w:t>+ </w:t>
      </w:r>
      <w:r>
        <w:rPr>
          <w:b/>
          <w:sz w:val="20"/>
        </w:rPr>
        <w:t>2 </w:t>
      </w:r>
      <w:r>
        <w:rPr>
          <w:b/>
          <w:sz w:val="12"/>
        </w:rPr>
        <w:t>Vm/l</w:t>
      </w:r>
    </w:p>
    <w:p>
      <w:pPr>
        <w:tabs>
          <w:tab w:pos="997" w:val="left" w:leader="none"/>
          <w:tab w:pos="1969" w:val="left" w:leader="none"/>
        </w:tabs>
        <w:spacing w:line="458" w:lineRule="exact" w:before="45"/>
        <w:ind w:left="18" w:right="0" w:firstLine="0"/>
        <w:jc w:val="left"/>
        <w:rPr>
          <w:b/>
          <w:sz w:val="20"/>
        </w:rPr>
      </w:pPr>
      <w:r>
        <w:rPr/>
        <w:br w:type="column"/>
      </w:r>
      <w:r>
        <w:rPr>
          <w:b/>
          <w:i/>
          <w:sz w:val="20"/>
        </w:rPr>
        <w:t>Jli\f</w:t>
      </w:r>
      <w:r>
        <w:rPr>
          <w:b/>
          <w:i/>
          <w:spacing w:val="-17"/>
          <w:sz w:val="20"/>
        </w:rPr>
        <w:t> </w:t>
      </w:r>
      <w:r>
        <w:rPr>
          <w:i/>
          <w:sz w:val="16"/>
        </w:rPr>
        <w:t>!+t</w:t>
        <w:tab/>
      </w:r>
      <w:r>
        <w:rPr>
          <w:rFonts w:ascii="Arial"/>
          <w:b/>
          <w:i/>
          <w:sz w:val="14"/>
        </w:rPr>
        <w:t>r    </w:t>
      </w:r>
      <w:r>
        <w:rPr>
          <w:rFonts w:ascii="Arial"/>
          <w:b/>
          <w:sz w:val="14"/>
        </w:rPr>
        <w:t>..</w:t>
      </w:r>
      <w:r>
        <w:rPr>
          <w:b/>
          <w:sz w:val="12"/>
        </w:rPr>
        <w:t>sa</w:t>
        <w:tab/>
      </w:r>
      <w:r>
        <w:rPr>
          <w:rFonts w:ascii="Arial"/>
          <w:b/>
          <w:w w:val="95"/>
          <w:sz w:val="47"/>
        </w:rPr>
        <w:t>J,</w:t>
      </w:r>
      <w:r>
        <w:rPr>
          <w:rFonts w:ascii="Arial"/>
          <w:b/>
          <w:spacing w:val="-99"/>
          <w:w w:val="95"/>
          <w:sz w:val="47"/>
        </w:rPr>
        <w:t> </w:t>
      </w:r>
      <w:r>
        <w:rPr>
          <w:b/>
          <w:w w:val="95"/>
          <w:sz w:val="20"/>
        </w:rPr>
        <w:t>(16.49a )</w:t>
      </w:r>
    </w:p>
    <w:p>
      <w:pPr>
        <w:spacing w:after="0" w:line="458" w:lineRule="exact"/>
        <w:jc w:val="left"/>
        <w:rPr>
          <w:sz w:val="20"/>
        </w:rPr>
        <w:sectPr>
          <w:type w:val="continuous"/>
          <w:pgSz w:w="7200" w:h="11340"/>
          <w:pgMar w:top="1100" w:bottom="0" w:left="640" w:right="520"/>
          <w:cols w:num="2" w:equalWidth="0">
            <w:col w:w="2758" w:space="40"/>
            <w:col w:w="3242"/>
          </w:cols>
        </w:sectPr>
      </w:pPr>
    </w:p>
    <w:p>
      <w:pPr>
        <w:tabs>
          <w:tab w:pos="3402" w:val="left" w:leader="none"/>
        </w:tabs>
        <w:spacing w:line="219" w:lineRule="exact" w:before="0"/>
        <w:ind w:left="2106" w:right="0" w:firstLine="0"/>
        <w:jc w:val="left"/>
        <w:rPr>
          <w:i/>
          <w:sz w:val="16"/>
        </w:rPr>
      </w:pPr>
      <w:r>
        <w:rPr/>
        <w:pict>
          <v:line style="position:absolute;mso-position-horizontal-relative:page;mso-position-vertical-relative:paragraph;z-index:-709648" from="137.339996pt,12.091411pt" to="151.559996pt,12.091411pt" stroked="true" strokeweight="6.48pt" strokecolor="#000000">
            <w10:wrap type="none"/>
          </v:line>
        </w:pict>
      </w:r>
      <w:r>
        <w:rPr/>
        <w:pict>
          <v:line style="position:absolute;mso-position-horizontal-relative:page;mso-position-vertical-relative:paragraph;z-index:-709624" from="248.759995pt,9.031411pt" to="250.199995pt,9.031411pt" stroked="true" strokeweight=".36pt" strokecolor="#000000">
            <w10:wrap type="none"/>
          </v:line>
        </w:pict>
      </w:r>
      <w:r>
        <w:rPr>
          <w:b/>
          <w:i/>
          <w:w w:val="75"/>
          <w:sz w:val="22"/>
        </w:rPr>
        <w:t>Da.o.</w:t>
        <w:tab/>
      </w:r>
      <w:r>
        <w:rPr>
          <w:w w:val="220"/>
          <w:sz w:val="22"/>
        </w:rPr>
        <w:t>-</w:t>
      </w:r>
      <w:r>
        <w:rPr>
          <w:spacing w:val="-67"/>
          <w:w w:val="220"/>
          <w:sz w:val="22"/>
        </w:rPr>
        <w:t> </w:t>
      </w:r>
      <w:r>
        <w:rPr>
          <w:i/>
          <w:w w:val="115"/>
          <w:sz w:val="16"/>
        </w:rPr>
        <w:t>Px</w:t>
      </w:r>
      <w:r>
        <w:rPr>
          <w:i/>
          <w:spacing w:val="1"/>
          <w:w w:val="115"/>
          <w:sz w:val="16"/>
        </w:rPr>
        <w:t> </w:t>
      </w:r>
      <w:r>
        <w:rPr>
          <w:i/>
          <w:w w:val="115"/>
          <w:sz w:val="16"/>
        </w:rPr>
        <w:t>·ax+t</w:t>
      </w:r>
      <w:r>
        <w:rPr>
          <w:i/>
          <w:spacing w:val="-19"/>
          <w:w w:val="115"/>
          <w:sz w:val="16"/>
        </w:rPr>
        <w:t> </w:t>
      </w:r>
      <w:r>
        <w:rPr>
          <w:i/>
          <w:w w:val="50"/>
          <w:sz w:val="16"/>
        </w:rPr>
        <w:t>=</w:t>
      </w:r>
      <w:r>
        <w:rPr>
          <w:i/>
          <w:spacing w:val="-6"/>
          <w:w w:val="50"/>
          <w:sz w:val="16"/>
        </w:rPr>
        <w:t> </w:t>
      </w:r>
      <w:r>
        <w:rPr>
          <w:i/>
          <w:w w:val="115"/>
          <w:sz w:val="16"/>
        </w:rPr>
        <w:t>u-x-t</w:t>
      </w:r>
      <w:r>
        <w:rPr>
          <w:i/>
          <w:spacing w:val="-16"/>
          <w:w w:val="115"/>
          <w:sz w:val="16"/>
        </w:rPr>
        <w:t> </w:t>
      </w:r>
      <w:r>
        <w:rPr>
          <w:i/>
          <w:w w:val="50"/>
          <w:sz w:val="16"/>
        </w:rPr>
        <w:t>l</w:t>
      </w:r>
    </w:p>
    <w:p>
      <w:pPr>
        <w:spacing w:line="144" w:lineRule="exact" w:before="0"/>
        <w:ind w:left="1189" w:right="2509" w:firstLine="0"/>
        <w:jc w:val="center"/>
        <w:rPr>
          <w:b/>
          <w:i/>
          <w:sz w:val="13"/>
        </w:rPr>
      </w:pPr>
      <w:r>
        <w:rPr>
          <w:b/>
          <w:i/>
          <w:w w:val="115"/>
          <w:sz w:val="13"/>
        </w:rPr>
        <w:t>x+t</w:t>
      </w:r>
    </w:p>
    <w:p>
      <w:pPr>
        <w:pStyle w:val="BodyText"/>
        <w:spacing w:before="10"/>
        <w:rPr>
          <w:b/>
          <w:i/>
          <w:sz w:val="9"/>
        </w:rPr>
      </w:pPr>
    </w:p>
    <w:p>
      <w:pPr>
        <w:spacing w:line="223" w:lineRule="auto" w:before="0"/>
        <w:ind w:left="134" w:right="157" w:firstLine="201"/>
        <w:jc w:val="both"/>
        <w:rPr>
          <w:sz w:val="21"/>
        </w:rPr>
      </w:pPr>
      <w:r>
        <w:rPr>
          <w:sz w:val="21"/>
        </w:rPr>
        <w:t>Turning now to the waiver benefit,  we assume that  the amount  of annual premium to be waived is </w:t>
      </w:r>
      <w:r>
        <w:rPr>
          <w:rFonts w:ascii="Arial"/>
          <w:i/>
          <w:sz w:val="20"/>
        </w:rPr>
        <w:t>P. </w:t>
      </w:r>
      <w:r>
        <w:rPr>
          <w:sz w:val="21"/>
        </w:rPr>
        <w:t>Denoting the net annual disability premium per unit  of  annual  premium  waived  by  </w:t>
      </w:r>
      <w:r>
        <w:rPr>
          <w:spacing w:val="-5"/>
          <w:sz w:val="24"/>
        </w:rPr>
        <w:t>P!, </w:t>
      </w:r>
      <w:r>
        <w:rPr>
          <w:sz w:val="21"/>
        </w:rPr>
        <w:t>we can write the active </w:t>
      </w:r>
      <w:r>
        <w:rPr>
          <w:sz w:val="20"/>
        </w:rPr>
        <w:t>life </w:t>
      </w:r>
      <w:r>
        <w:rPr>
          <w:sz w:val="21"/>
        </w:rPr>
        <w:t>reserve at the end of </w:t>
      </w:r>
      <w:r>
        <w:rPr>
          <w:rFonts w:ascii="Arial"/>
          <w:i/>
          <w:sz w:val="18"/>
        </w:rPr>
        <w:t>t </w:t>
      </w:r>
      <w:r>
        <w:rPr>
          <w:sz w:val="21"/>
        </w:rPr>
        <w:t>years </w:t>
      </w:r>
      <w:r>
        <w:rPr>
          <w:sz w:val="20"/>
        </w:rPr>
        <w:t>(t </w:t>
      </w:r>
      <w:r>
        <w:rPr>
          <w:sz w:val="24"/>
        </w:rPr>
        <w:t>&lt; </w:t>
      </w:r>
      <w:r>
        <w:rPr>
          <w:rFonts w:ascii="Arial"/>
          <w:i/>
          <w:sz w:val="18"/>
        </w:rPr>
        <w:t>y </w:t>
      </w:r>
      <w:r>
        <w:rPr>
          <w:rFonts w:ascii="Arial"/>
          <w:w w:val="250"/>
          <w:sz w:val="18"/>
        </w:rPr>
        <w:t>- </w:t>
      </w:r>
      <w:r>
        <w:rPr>
          <w:rFonts w:ascii="Arial"/>
          <w:i/>
          <w:sz w:val="19"/>
        </w:rPr>
        <w:t>x ) </w:t>
      </w:r>
      <w:r>
        <w:rPr>
          <w:sz w:val="21"/>
        </w:rPr>
        <w:t>as</w:t>
      </w:r>
    </w:p>
    <w:p>
      <w:pPr>
        <w:tabs>
          <w:tab w:pos="2081" w:val="left" w:leader="none"/>
          <w:tab w:pos="2877" w:val="left" w:leader="none"/>
          <w:tab w:pos="4745" w:val="left" w:leader="none"/>
        </w:tabs>
        <w:spacing w:line="411" w:lineRule="exact" w:before="0"/>
        <w:ind w:left="1044" w:right="0" w:firstLine="0"/>
        <w:jc w:val="left"/>
        <w:rPr>
          <w:rFonts w:ascii="Arial"/>
          <w:sz w:val="50"/>
        </w:rPr>
      </w:pPr>
      <w:r>
        <w:rPr/>
        <w:pict>
          <v:shape style="position:absolute;margin-left:122.760002pt;margin-top:14.307855pt;width:9.4pt;height:15.5pt;mso-position-horizontal-relative:page;mso-position-vertical-relative:paragraph;z-index:-709600" type="#_x0000_t202" filled="false" stroked="false">
            <v:textbox inset="0,0,0,0">
              <w:txbxContent>
                <w:p>
                  <w:pPr>
                    <w:spacing w:line="310" w:lineRule="exact" w:before="0"/>
                    <w:ind w:left="0" w:right="0" w:firstLine="0"/>
                    <w:jc w:val="left"/>
                    <w:rPr>
                      <w:rFonts w:ascii="Arial"/>
                      <w:sz w:val="31"/>
                    </w:rPr>
                  </w:pPr>
                  <w:r>
                    <w:rPr>
                      <w:rFonts w:ascii="Arial"/>
                      <w:w w:val="103"/>
                      <w:sz w:val="31"/>
                    </w:rPr>
                    <w:t>+</w:t>
                  </w:r>
                </w:p>
              </w:txbxContent>
            </v:textbox>
            <w10:wrap type="none"/>
          </v:shape>
        </w:pict>
      </w:r>
      <w:r>
        <w:rPr>
          <w:i/>
          <w:w w:val="135"/>
          <w:sz w:val="12"/>
        </w:rPr>
        <w:t>z+n </w:t>
      </w:r>
      <w:r>
        <w:rPr>
          <w:i/>
          <w:spacing w:val="26"/>
          <w:w w:val="135"/>
          <w:sz w:val="12"/>
        </w:rPr>
        <w:t> </w:t>
      </w:r>
      <w:r>
        <w:rPr>
          <w:w w:val="195"/>
          <w:sz w:val="12"/>
        </w:rPr>
        <w:t>-</w:t>
      </w:r>
      <w:r>
        <w:rPr>
          <w:spacing w:val="-23"/>
          <w:w w:val="195"/>
          <w:sz w:val="12"/>
        </w:rPr>
        <w:t> </w:t>
      </w:r>
      <w:r>
        <w:rPr>
          <w:w w:val="135"/>
          <w:sz w:val="13"/>
        </w:rPr>
        <w:t>i</w:t>
        <w:tab/>
      </w:r>
      <w:r>
        <w:rPr>
          <w:rFonts w:ascii="Arial"/>
          <w:i/>
          <w:w w:val="110"/>
          <w:sz w:val="18"/>
        </w:rPr>
        <w:t>m </w:t>
      </w:r>
      <w:r>
        <w:rPr>
          <w:rFonts w:ascii="Arial"/>
          <w:i/>
          <w:spacing w:val="26"/>
          <w:w w:val="110"/>
          <w:sz w:val="18"/>
        </w:rPr>
        <w:t> </w:t>
      </w:r>
      <w:r>
        <w:rPr>
          <w:i/>
          <w:w w:val="110"/>
          <w:sz w:val="12"/>
        </w:rPr>
        <w:t>m112</w:t>
        <w:tab/>
      </w:r>
      <w:r>
        <w:rPr>
          <w:w w:val="195"/>
          <w:sz w:val="12"/>
        </w:rPr>
        <w:t>-</w:t>
      </w:r>
      <w:r>
        <w:rPr>
          <w:spacing w:val="-17"/>
          <w:w w:val="195"/>
          <w:sz w:val="12"/>
        </w:rPr>
        <w:t> </w:t>
      </w:r>
      <w:r>
        <w:rPr>
          <w:i/>
          <w:w w:val="135"/>
          <w:sz w:val="13"/>
        </w:rPr>
        <w:t>i</w:t>
        <w:tab/>
      </w:r>
      <w:r>
        <w:rPr>
          <w:rFonts w:ascii="Arial"/>
          <w:w w:val="85"/>
          <w:sz w:val="50"/>
        </w:rPr>
        <w:t>J</w:t>
      </w:r>
    </w:p>
    <w:p>
      <w:pPr>
        <w:tabs>
          <w:tab w:pos="1239" w:val="left" w:leader="none"/>
          <w:tab w:pos="2077" w:val="left" w:leader="none"/>
          <w:tab w:pos="2718" w:val="left" w:leader="none"/>
          <w:tab w:pos="4918" w:val="left" w:leader="none"/>
        </w:tabs>
        <w:spacing w:line="110" w:lineRule="exact" w:before="0"/>
        <w:ind w:left="724" w:right="0" w:firstLine="0"/>
        <w:jc w:val="left"/>
        <w:rPr>
          <w:sz w:val="19"/>
        </w:rPr>
      </w:pPr>
      <w:r>
        <w:rPr>
          <w:b/>
          <w:i/>
          <w:w w:val="107"/>
          <w:sz w:val="21"/>
        </w:rPr>
        <w:t>p</w:t>
      </w:r>
      <w:r>
        <w:rPr>
          <w:b/>
          <w:i/>
          <w:sz w:val="21"/>
        </w:rPr>
        <w:tab/>
      </w:r>
      <w:r>
        <w:rPr>
          <w:b/>
          <w:i/>
          <w:w w:val="101"/>
          <w:sz w:val="13"/>
        </w:rPr>
        <w:t>11</w:t>
      </w:r>
      <w:r>
        <w:rPr>
          <w:b/>
          <w:i/>
          <w:spacing w:val="15"/>
          <w:w w:val="101"/>
          <w:sz w:val="13"/>
        </w:rPr>
        <w:t>M</w:t>
      </w:r>
      <w:r>
        <w:rPr>
          <w:b/>
          <w:i/>
          <w:w w:val="103"/>
          <w:sz w:val="13"/>
        </w:rPr>
        <w:t>x+1</w:t>
      </w:r>
      <w:r>
        <w:rPr>
          <w:b/>
          <w:i/>
          <w:sz w:val="13"/>
        </w:rPr>
        <w:tab/>
      </w:r>
      <w:r>
        <w:rPr>
          <w:rFonts w:ascii="Arial" w:hAnsi="Arial"/>
          <w:b/>
          <w:spacing w:val="-31"/>
          <w:w w:val="106"/>
          <w:sz w:val="19"/>
          <w:u w:val="thick"/>
        </w:rPr>
        <w:t>1</w:t>
      </w:r>
      <w:r>
        <w:rPr>
          <w:rFonts w:ascii="Arial" w:hAnsi="Arial"/>
          <w:b/>
          <w:w w:val="95"/>
          <w:sz w:val="19"/>
          <w:u w:val="thick"/>
        </w:rPr>
        <w:t>2</w:t>
      </w:r>
      <w:r>
        <w:rPr>
          <w:rFonts w:ascii="Arial" w:hAnsi="Arial"/>
          <w:b/>
          <w:spacing w:val="-3"/>
          <w:sz w:val="19"/>
        </w:rPr>
        <w:t> </w:t>
      </w:r>
      <w:r>
        <w:rPr>
          <w:rFonts w:ascii="Arial" w:hAnsi="Arial"/>
          <w:b/>
          <w:i/>
          <w:w w:val="83"/>
          <w:sz w:val="13"/>
        </w:rPr>
        <w:t>V</w:t>
      </w:r>
      <w:r>
        <w:rPr>
          <w:rFonts w:ascii="Arial" w:hAnsi="Arial"/>
          <w:b/>
          <w:i/>
          <w:sz w:val="13"/>
        </w:rPr>
        <w:tab/>
      </w:r>
      <w:r>
        <w:rPr>
          <w:b/>
          <w:i/>
          <w:w w:val="122"/>
          <w:sz w:val="13"/>
        </w:rPr>
        <w:t>r,</w:t>
      </w:r>
      <w:r>
        <w:rPr>
          <w:b/>
          <w:i/>
          <w:spacing w:val="18"/>
          <w:w w:val="122"/>
          <w:sz w:val="13"/>
        </w:rPr>
        <w:t>M</w:t>
      </w:r>
      <w:r>
        <w:rPr>
          <w:b/>
          <w:i/>
          <w:w w:val="117"/>
          <w:sz w:val="13"/>
        </w:rPr>
        <w:t>x+t</w:t>
      </w:r>
      <w:r>
        <w:rPr>
          <w:b/>
          <w:i/>
          <w:sz w:val="13"/>
        </w:rPr>
        <w:t>   </w:t>
      </w:r>
      <w:r>
        <w:rPr>
          <w:b/>
          <w:i/>
          <w:spacing w:val="-17"/>
          <w:sz w:val="13"/>
        </w:rPr>
        <w:t> </w:t>
      </w:r>
      <w:r>
        <w:rPr>
          <w:w w:val="435"/>
          <w:sz w:val="13"/>
        </w:rPr>
        <w:t>-</w:t>
      </w:r>
      <w:r>
        <w:rPr>
          <w:sz w:val="13"/>
        </w:rPr>
        <w:t> </w:t>
      </w:r>
      <w:r>
        <w:rPr>
          <w:spacing w:val="-2"/>
          <w:sz w:val="13"/>
        </w:rPr>
        <w:t> </w:t>
      </w:r>
      <w:r>
        <w:rPr>
          <w:b/>
          <w:i/>
          <w:w w:val="72"/>
          <w:sz w:val="21"/>
        </w:rPr>
        <w:t>pW</w:t>
      </w:r>
      <w:r>
        <w:rPr>
          <w:b/>
          <w:i/>
          <w:sz w:val="21"/>
        </w:rPr>
        <w:t> </w:t>
      </w:r>
      <w:r>
        <w:rPr>
          <w:b/>
          <w:i/>
          <w:spacing w:val="-12"/>
          <w:sz w:val="21"/>
        </w:rPr>
        <w:t> </w:t>
      </w:r>
      <w:r>
        <w:rPr>
          <w:b/>
          <w:i/>
          <w:w w:val="73"/>
          <w:sz w:val="21"/>
        </w:rPr>
        <w:t>.</w:t>
      </w:r>
      <w:r>
        <w:rPr>
          <w:b/>
          <w:i/>
          <w:spacing w:val="13"/>
          <w:sz w:val="21"/>
        </w:rPr>
        <w:t> </w:t>
      </w:r>
      <w:r>
        <w:rPr>
          <w:i/>
          <w:w w:val="57"/>
          <w:sz w:val="21"/>
        </w:rPr>
        <w:t>.</w:t>
      </w:r>
      <w:r>
        <w:rPr>
          <w:i/>
          <w:spacing w:val="1"/>
          <w:w w:val="57"/>
          <w:sz w:val="21"/>
        </w:rPr>
        <w:t>.</w:t>
      </w:r>
      <w:r>
        <w:rPr>
          <w:rFonts w:ascii="Arial" w:hAnsi="Arial"/>
          <w:i/>
          <w:w w:val="118"/>
          <w:sz w:val="10"/>
        </w:rPr>
        <w:t>aa</w:t>
      </w:r>
      <w:r>
        <w:rPr>
          <w:rFonts w:ascii="Arial" w:hAnsi="Arial"/>
          <w:i/>
          <w:sz w:val="10"/>
        </w:rPr>
        <w:tab/>
      </w:r>
      <w:r>
        <w:rPr>
          <w:rFonts w:ascii="Arial" w:hAnsi="Arial"/>
          <w:w w:val="142"/>
          <w:sz w:val="10"/>
        </w:rPr>
        <w:t>•</w:t>
      </w:r>
      <w:r>
        <w:rPr>
          <w:rFonts w:ascii="Arial" w:hAnsi="Arial"/>
          <w:sz w:val="10"/>
        </w:rPr>
        <w:t>     </w:t>
      </w:r>
      <w:r>
        <w:rPr>
          <w:rFonts w:ascii="Arial" w:hAnsi="Arial"/>
          <w:spacing w:val="2"/>
          <w:sz w:val="10"/>
        </w:rPr>
        <w:t> </w:t>
      </w:r>
      <w:r>
        <w:rPr>
          <w:w w:val="102"/>
          <w:sz w:val="19"/>
        </w:rPr>
        <w:t>(1G.49b)</w:t>
      </w:r>
    </w:p>
    <w:p>
      <w:pPr>
        <w:spacing w:after="0" w:line="110" w:lineRule="exact"/>
        <w:jc w:val="left"/>
        <w:rPr>
          <w:sz w:val="19"/>
        </w:rPr>
        <w:sectPr>
          <w:type w:val="continuous"/>
          <w:pgSz w:w="7200" w:h="11340"/>
          <w:pgMar w:top="1100" w:bottom="0" w:left="640" w:right="520"/>
        </w:sectPr>
      </w:pPr>
    </w:p>
    <w:p>
      <w:pPr>
        <w:tabs>
          <w:tab w:pos="1937" w:val="left" w:leader="none"/>
        </w:tabs>
        <w:spacing w:line="408" w:lineRule="exact" w:before="0"/>
        <w:ind w:left="922" w:right="0" w:firstLine="0"/>
        <w:jc w:val="left"/>
        <w:rPr>
          <w:i/>
          <w:sz w:val="40"/>
        </w:rPr>
      </w:pPr>
      <w:r>
        <w:rPr/>
        <w:pict>
          <v:shape style="position:absolute;margin-left:268.019989pt;margin-top:8.487688pt;width:.9pt;height:2.5pt;mso-position-horizontal-relative:page;mso-position-vertical-relative:paragraph;z-index:26512" type="#_x0000_t202" filled="false" stroked="false">
            <v:textbox inset="0,0,0,0">
              <w:txbxContent>
                <w:p>
                  <w:pPr>
                    <w:spacing w:line="50" w:lineRule="exact" w:before="0"/>
                    <w:ind w:left="0" w:right="0" w:firstLine="0"/>
                    <w:jc w:val="left"/>
                    <w:rPr>
                      <w:rFonts w:ascii="Arial"/>
                      <w:i/>
                      <w:sz w:val="5"/>
                    </w:rPr>
                  </w:pPr>
                  <w:r>
                    <w:rPr>
                      <w:rFonts w:ascii="Arial"/>
                      <w:i/>
                      <w:w w:val="62"/>
                      <w:sz w:val="5"/>
                    </w:rPr>
                    <w:t>1</w:t>
                  </w:r>
                </w:p>
              </w:txbxContent>
            </v:textbox>
            <w10:wrap type="none"/>
          </v:shape>
        </w:pict>
      </w:r>
      <w:r>
        <w:rPr>
          <w:i/>
          <w:w w:val="190"/>
          <w:position w:val="15"/>
          <w:sz w:val="12"/>
        </w:rPr>
        <w:t>[</w:t>
        <w:tab/>
      </w:r>
      <w:r>
        <w:rPr>
          <w:i/>
          <w:spacing w:val="-16"/>
          <w:w w:val="85"/>
          <w:sz w:val="40"/>
        </w:rPr>
        <w:t>n::,</w:t>
      </w:r>
    </w:p>
    <w:p>
      <w:pPr>
        <w:spacing w:before="66"/>
        <w:ind w:left="922" w:right="0" w:firstLine="0"/>
        <w:jc w:val="left"/>
        <w:rPr>
          <w:i/>
          <w:sz w:val="12"/>
        </w:rPr>
      </w:pPr>
      <w:r>
        <w:rPr/>
        <w:br w:type="column"/>
      </w:r>
      <w:r>
        <w:rPr>
          <w:i/>
          <w:w w:val="120"/>
          <w:sz w:val="12"/>
        </w:rPr>
        <w:t>x    U.r:+t </w:t>
      </w:r>
      <w:r>
        <w:rPr>
          <w:i/>
          <w:w w:val="145"/>
          <w:sz w:val="12"/>
        </w:rPr>
        <w:t>:y-x-t</w:t>
      </w:r>
    </w:p>
    <w:p>
      <w:pPr>
        <w:spacing w:after="0"/>
        <w:jc w:val="left"/>
        <w:rPr>
          <w:sz w:val="12"/>
        </w:rPr>
        <w:sectPr>
          <w:type w:val="continuous"/>
          <w:pgSz w:w="7200" w:h="11340"/>
          <w:pgMar w:top="1100" w:bottom="0" w:left="640" w:right="520"/>
          <w:cols w:num="2" w:equalWidth="0">
            <w:col w:w="2370" w:space="398"/>
            <w:col w:w="3272"/>
          </w:cols>
        </w:sectPr>
      </w:pPr>
    </w:p>
    <w:p>
      <w:pPr>
        <w:spacing w:line="238" w:lineRule="exact" w:before="76"/>
        <w:ind w:left="126" w:right="0" w:firstLine="194"/>
        <w:jc w:val="left"/>
        <w:rPr>
          <w:sz w:val="21"/>
        </w:rPr>
      </w:pPr>
      <w:r>
        <w:rPr>
          <w:sz w:val="21"/>
        </w:rPr>
        <w:t>Active life terminal reserves can also be obtained from </w:t>
      </w:r>
      <w:r>
        <w:rPr>
          <w:rFonts w:ascii="Arial"/>
          <w:sz w:val="17"/>
        </w:rPr>
        <w:t>a </w:t>
      </w:r>
      <w:r>
        <w:rPr>
          <w:sz w:val="21"/>
        </w:rPr>
        <w:t>formula analogous to the insurance  formula</w:t>
      </w:r>
    </w:p>
    <w:p>
      <w:pPr>
        <w:spacing w:before="92"/>
        <w:ind w:left="551" w:right="543" w:firstLine="0"/>
        <w:jc w:val="center"/>
        <w:rPr>
          <w:sz w:val="16"/>
        </w:rPr>
      </w:pPr>
      <w:r>
        <w:rPr>
          <w:b/>
          <w:i/>
          <w:sz w:val="21"/>
        </w:rPr>
        <w:t>,Vz </w:t>
      </w:r>
      <w:r>
        <w:rPr>
          <w:sz w:val="24"/>
        </w:rPr>
        <w:t>= </w:t>
      </w:r>
      <w:r>
        <w:rPr>
          <w:b/>
          <w:i/>
          <w:w w:val="90"/>
          <w:sz w:val="21"/>
        </w:rPr>
        <w:t>( </w:t>
      </w:r>
      <w:r>
        <w:rPr>
          <w:b/>
          <w:i/>
          <w:sz w:val="21"/>
        </w:rPr>
        <w:t>Pz+t </w:t>
      </w:r>
      <w:r>
        <w:rPr>
          <w:w w:val="225"/>
          <w:sz w:val="21"/>
        </w:rPr>
        <w:t>- </w:t>
      </w:r>
      <w:r>
        <w:rPr>
          <w:b/>
          <w:i/>
          <w:sz w:val="21"/>
        </w:rPr>
        <w:t>Pz </w:t>
      </w:r>
      <w:r>
        <w:rPr>
          <w:b/>
          <w:i/>
          <w:w w:val="90"/>
          <w:sz w:val="21"/>
        </w:rPr>
        <w:t>) </w:t>
      </w:r>
      <w:r>
        <w:rPr>
          <w:i/>
          <w:sz w:val="16"/>
        </w:rPr>
        <w:t>llx+t  </w:t>
      </w:r>
      <w:r>
        <w:rPr>
          <w:w w:val="90"/>
          <w:sz w:val="16"/>
        </w:rPr>
        <w:t>•</w:t>
      </w:r>
    </w:p>
    <w:p>
      <w:pPr>
        <w:spacing w:before="92"/>
        <w:ind w:left="0" w:right="174" w:firstLine="0"/>
        <w:jc w:val="right"/>
        <w:rPr>
          <w:sz w:val="21"/>
        </w:rPr>
      </w:pPr>
      <w:r>
        <w:rPr>
          <w:sz w:val="22"/>
        </w:rPr>
        <w:t>In  </w:t>
      </w:r>
      <w:r>
        <w:rPr>
          <w:sz w:val="21"/>
        </w:rPr>
        <w:t>this fonn, the active  life reserves  shown  above may  be written</w:t>
      </w:r>
    </w:p>
    <w:p>
      <w:pPr>
        <w:pStyle w:val="BodyText"/>
        <w:spacing w:before="165"/>
        <w:ind w:right="174"/>
        <w:jc w:val="right"/>
      </w:pPr>
      <w:r>
        <w:rPr/>
        <w:drawing>
          <wp:anchor distT="0" distB="0" distL="0" distR="0" allowOverlap="1" layoutInCell="1" locked="0" behindDoc="0" simplePos="0" relativeHeight="26368">
            <wp:simplePos x="0" y="0"/>
            <wp:positionH relativeFrom="page">
              <wp:posOffset>1581911</wp:posOffset>
            </wp:positionH>
            <wp:positionV relativeFrom="paragraph">
              <wp:posOffset>104469</wp:posOffset>
            </wp:positionV>
            <wp:extent cx="1490472" cy="146304"/>
            <wp:effectExtent l="0" t="0" r="0" b="0"/>
            <wp:wrapNone/>
            <wp:docPr id="807" name="image412.png" descr=""/>
            <wp:cNvGraphicFramePr>
              <a:graphicFrameLocks noChangeAspect="1"/>
            </wp:cNvGraphicFramePr>
            <a:graphic>
              <a:graphicData uri="http://schemas.openxmlformats.org/drawingml/2006/picture">
                <pic:pic>
                  <pic:nvPicPr>
                    <pic:cNvPr id="808" name="image412.png"/>
                    <pic:cNvPicPr/>
                  </pic:nvPicPr>
                  <pic:blipFill>
                    <a:blip r:embed="rId416" cstate="print"/>
                    <a:stretch>
                      <a:fillRect/>
                    </a:stretch>
                  </pic:blipFill>
                  <pic:spPr>
                    <a:xfrm>
                      <a:off x="0" y="0"/>
                      <a:ext cx="1490472" cy="146304"/>
                    </a:xfrm>
                    <a:prstGeom prst="rect">
                      <a:avLst/>
                    </a:prstGeom>
                  </pic:spPr>
                </pic:pic>
              </a:graphicData>
            </a:graphic>
          </wp:anchor>
        </w:drawing>
      </w:r>
      <w:r>
        <w:rPr/>
        <w:t>(16.50a)</w:t>
      </w:r>
    </w:p>
    <w:p>
      <w:pPr>
        <w:tabs>
          <w:tab w:pos="5148" w:val="left" w:leader="none"/>
        </w:tabs>
        <w:spacing w:before="143"/>
        <w:ind w:left="123" w:right="0" w:firstLine="0"/>
        <w:jc w:val="left"/>
        <w:rPr>
          <w:sz w:val="20"/>
        </w:rPr>
      </w:pPr>
      <w:r>
        <w:rPr/>
        <w:drawing>
          <wp:anchor distT="0" distB="0" distL="0" distR="0" allowOverlap="1" layoutInCell="1" locked="0" behindDoc="1" simplePos="0" relativeHeight="267725783">
            <wp:simplePos x="0" y="0"/>
            <wp:positionH relativeFrom="page">
              <wp:posOffset>1591055</wp:posOffset>
            </wp:positionH>
            <wp:positionV relativeFrom="paragraph">
              <wp:posOffset>100491</wp:posOffset>
            </wp:positionV>
            <wp:extent cx="1472183" cy="155447"/>
            <wp:effectExtent l="0" t="0" r="0" b="0"/>
            <wp:wrapNone/>
            <wp:docPr id="809" name="image413.png" descr=""/>
            <wp:cNvGraphicFramePr>
              <a:graphicFrameLocks noChangeAspect="1"/>
            </wp:cNvGraphicFramePr>
            <a:graphic>
              <a:graphicData uri="http://schemas.openxmlformats.org/drawingml/2006/picture">
                <pic:pic>
                  <pic:nvPicPr>
                    <pic:cNvPr id="810" name="image413.png"/>
                    <pic:cNvPicPr/>
                  </pic:nvPicPr>
                  <pic:blipFill>
                    <a:blip r:embed="rId417" cstate="print"/>
                    <a:stretch>
                      <a:fillRect/>
                    </a:stretch>
                  </pic:blipFill>
                  <pic:spPr>
                    <a:xfrm>
                      <a:off x="0" y="0"/>
                      <a:ext cx="1472183" cy="155447"/>
                    </a:xfrm>
                    <a:prstGeom prst="rect">
                      <a:avLst/>
                    </a:prstGeom>
                  </pic:spPr>
                </pic:pic>
              </a:graphicData>
            </a:graphic>
          </wp:anchor>
        </w:drawing>
      </w:r>
      <w:r>
        <w:rPr>
          <w:w w:val="105"/>
          <w:position w:val="1"/>
          <w:sz w:val="21"/>
        </w:rPr>
        <w:t>and</w:t>
        <w:tab/>
      </w:r>
      <w:r>
        <w:rPr>
          <w:w w:val="105"/>
          <w:sz w:val="20"/>
        </w:rPr>
        <w:t>(16.50b)</w:t>
      </w:r>
    </w:p>
    <w:p>
      <w:pPr>
        <w:spacing w:line="238" w:lineRule="exact" w:before="158"/>
        <w:ind w:left="115" w:right="173" w:firstLine="198"/>
        <w:jc w:val="both"/>
        <w:rPr>
          <w:sz w:val="21"/>
        </w:rPr>
      </w:pPr>
      <w:r>
        <w:rPr>
          <w:sz w:val="21"/>
        </w:rPr>
        <w:t>There are no special problems involved in obtaining the second type of disability reserve, the disabled life reserve. The amount of premium waived or income paid is multiplied by thc appropriate disabled life annuity value,  taking  acrount  of  agc at  initial  date  of  disability,  duration,  and terminal  age for the</w:t>
      </w:r>
      <w:r>
        <w:rPr>
          <w:spacing w:val="35"/>
          <w:sz w:val="21"/>
        </w:rPr>
        <w:t> </w:t>
      </w:r>
      <w:r>
        <w:rPr>
          <w:sz w:val="21"/>
        </w:rPr>
        <w:t>annuity.</w:t>
      </w:r>
    </w:p>
    <w:p>
      <w:pPr>
        <w:spacing w:after="0" w:line="238" w:lineRule="exact"/>
        <w:jc w:val="both"/>
        <w:rPr>
          <w:sz w:val="21"/>
        </w:rPr>
        <w:sectPr>
          <w:type w:val="continuous"/>
          <w:pgSz w:w="7200" w:h="11340"/>
          <w:pgMar w:top="1100" w:bottom="0" w:left="640" w:right="520"/>
        </w:sectPr>
      </w:pPr>
    </w:p>
    <w:p>
      <w:pPr>
        <w:tabs>
          <w:tab w:pos="1956" w:val="left" w:leader="none"/>
          <w:tab w:pos="5233" w:val="left" w:leader="none"/>
        </w:tabs>
        <w:spacing w:before="48"/>
        <w:ind w:left="111" w:right="0" w:firstLine="0"/>
        <w:jc w:val="both"/>
        <w:rPr>
          <w:b/>
          <w:sz w:val="20"/>
        </w:rPr>
      </w:pPr>
      <w:r>
        <w:rPr>
          <w:rFonts w:ascii="Arial"/>
          <w:color w:val="010101"/>
          <w:sz w:val="17"/>
        </w:rPr>
        <w:t>326</w:t>
        <w:tab/>
      </w:r>
      <w:r>
        <w:rPr>
          <w:b/>
          <w:color w:val="010101"/>
          <w:sz w:val="15"/>
        </w:rPr>
        <w:t>A </w:t>
      </w:r>
      <w:r>
        <w:rPr>
          <w:b/>
          <w:color w:val="010101"/>
          <w:spacing w:val="32"/>
          <w:sz w:val="15"/>
        </w:rPr>
        <w:t> </w:t>
      </w:r>
      <w:r>
        <w:rPr>
          <w:b/>
          <w:color w:val="010101"/>
          <w:sz w:val="15"/>
        </w:rPr>
        <w:t>GENERALIZED  </w:t>
      </w:r>
      <w:r>
        <w:rPr>
          <w:b/>
          <w:color w:val="010101"/>
          <w:spacing w:val="8"/>
          <w:sz w:val="15"/>
        </w:rPr>
        <w:t> </w:t>
      </w:r>
      <w:r>
        <w:rPr>
          <w:b/>
          <w:color w:val="010101"/>
          <w:sz w:val="15"/>
        </w:rPr>
        <w:t>MODEL</w:t>
        <w:tab/>
      </w:r>
      <w:r>
        <w:rPr>
          <w:b/>
          <w:color w:val="010101"/>
          <w:w w:val="95"/>
          <w:sz w:val="19"/>
        </w:rPr>
        <w:t>[CH.</w:t>
      </w:r>
      <w:r>
        <w:rPr>
          <w:b/>
          <w:color w:val="010101"/>
          <w:spacing w:val="9"/>
          <w:w w:val="95"/>
          <w:sz w:val="19"/>
        </w:rPr>
        <w:t> </w:t>
      </w:r>
      <w:r>
        <w:rPr>
          <w:b/>
          <w:color w:val="010101"/>
          <w:w w:val="95"/>
          <w:sz w:val="20"/>
        </w:rPr>
        <w:t>16</w:t>
      </w:r>
    </w:p>
    <w:p>
      <w:pPr>
        <w:pStyle w:val="BodyText"/>
        <w:spacing w:before="11"/>
        <w:rPr>
          <w:b/>
        </w:rPr>
      </w:pPr>
    </w:p>
    <w:p>
      <w:pPr>
        <w:numPr>
          <w:ilvl w:val="0"/>
          <w:numId w:val="143"/>
        </w:numPr>
        <w:tabs>
          <w:tab w:pos="353" w:val="left" w:leader="none"/>
        </w:tabs>
        <w:spacing w:before="0"/>
        <w:ind w:left="352" w:right="0" w:hanging="244"/>
        <w:jc w:val="both"/>
        <w:rPr>
          <w:b/>
          <w:color w:val="010101"/>
          <w:sz w:val="20"/>
        </w:rPr>
      </w:pPr>
      <w:r>
        <w:rPr>
          <w:b/>
          <w:color w:val="010101"/>
          <w:w w:val="115"/>
          <w:sz w:val="20"/>
        </w:rPr>
        <w:t>Special  methods used in current disability </w:t>
      </w:r>
      <w:r>
        <w:rPr>
          <w:b/>
          <w:color w:val="010101"/>
          <w:spacing w:val="34"/>
          <w:w w:val="115"/>
          <w:sz w:val="20"/>
        </w:rPr>
        <w:t> </w:t>
      </w:r>
      <w:r>
        <w:rPr>
          <w:b/>
          <w:color w:val="010101"/>
          <w:w w:val="115"/>
          <w:sz w:val="20"/>
        </w:rPr>
        <w:t>practice</w:t>
      </w:r>
    </w:p>
    <w:p>
      <w:pPr>
        <w:pStyle w:val="BodyText"/>
        <w:spacing w:before="86"/>
        <w:ind w:left="108" w:right="111" w:firstLine="197"/>
        <w:jc w:val="both"/>
        <w:rPr>
          <w:i/>
          <w:sz w:val="22"/>
        </w:rPr>
      </w:pPr>
      <w:r>
        <w:rPr>
          <w:color w:val="010101"/>
        </w:rPr>
        <w:t>The general model  on  which  the  preceding  disabi]ity  formulas are  based  requires  a  double-decrement  table  for  the  active  lives. </w:t>
      </w:r>
      <w:r>
        <w:rPr>
          <w:color w:val="010101"/>
          <w:sz w:val="22"/>
        </w:rPr>
        <w:t>In  </w:t>
      </w:r>
      <w:r>
        <w:rPr>
          <w:color w:val="010101"/>
        </w:rPr>
        <w:t>current  practice,  it  is  customary  to  use  values  of  </w:t>
      </w:r>
      <w:r>
        <w:rPr>
          <w:i/>
          <w:color w:val="010101"/>
          <w:sz w:val="22"/>
        </w:rPr>
        <w:t>D:i  </w:t>
      </w:r>
      <w:r>
        <w:rPr>
          <w:color w:val="010101"/>
        </w:rPr>
        <w:t>and </w:t>
      </w:r>
      <w:r>
        <w:rPr>
          <w:color w:val="010101"/>
          <w:spacing w:val="18"/>
        </w:rPr>
        <w:t> </w:t>
      </w:r>
      <w:r>
        <w:rPr>
          <w:i/>
          <w:color w:val="010101"/>
          <w:sz w:val="22"/>
        </w:rPr>
        <w:t>N:i</w:t>
      </w:r>
    </w:p>
    <w:p>
      <w:pPr>
        <w:pStyle w:val="BodyText"/>
        <w:spacing w:line="243" w:lineRule="exact"/>
        <w:ind w:left="104" w:firstLine="3"/>
        <w:jc w:val="both"/>
        <w:rPr>
          <w:rFonts w:ascii="Arial" w:hAnsi="Arial"/>
          <w:i/>
          <w:sz w:val="26"/>
        </w:rPr>
      </w:pPr>
      <w:r>
        <w:rPr>
          <w:color w:val="010101"/>
          <w:w w:val="102"/>
        </w:rPr>
        <w:t>from</w:t>
      </w:r>
      <w:r>
        <w:rPr>
          <w:color w:val="010101"/>
        </w:rPr>
        <w:t> </w:t>
      </w:r>
      <w:r>
        <w:rPr>
          <w:color w:val="010101"/>
          <w:spacing w:val="-23"/>
        </w:rPr>
        <w:t> </w:t>
      </w:r>
      <w:r>
        <w:rPr>
          <w:color w:val="010101"/>
          <w:w w:val="108"/>
        </w:rPr>
        <w:t>an</w:t>
      </w:r>
      <w:r>
        <w:rPr>
          <w:color w:val="010101"/>
          <w:spacing w:val="24"/>
        </w:rPr>
        <w:t> </w:t>
      </w:r>
      <w:r>
        <w:rPr>
          <w:color w:val="010101"/>
          <w:w w:val="102"/>
        </w:rPr>
        <w:t>existing</w:t>
      </w:r>
      <w:r>
        <w:rPr>
          <w:color w:val="010101"/>
        </w:rPr>
        <w:t> </w:t>
      </w:r>
      <w:r>
        <w:rPr>
          <w:color w:val="010101"/>
          <w:spacing w:val="-23"/>
        </w:rPr>
        <w:t> </w:t>
      </w:r>
      <w:r>
        <w:rPr>
          <w:color w:val="010101"/>
          <w:w w:val="110"/>
        </w:rPr>
        <w:t>standard</w:t>
      </w:r>
      <w:r>
        <w:rPr>
          <w:color w:val="010101"/>
          <w:spacing w:val="24"/>
        </w:rPr>
        <w:t> </w:t>
      </w:r>
      <w:r>
        <w:rPr>
          <w:color w:val="010101"/>
          <w:w w:val="108"/>
        </w:rPr>
        <w:t>mortality</w:t>
      </w:r>
      <w:r>
        <w:rPr>
          <w:color w:val="010101"/>
        </w:rPr>
        <w:t> </w:t>
      </w:r>
      <w:r>
        <w:rPr>
          <w:color w:val="010101"/>
          <w:spacing w:val="-8"/>
        </w:rPr>
        <w:t> </w:t>
      </w:r>
      <w:r>
        <w:rPr>
          <w:color w:val="010101"/>
          <w:w w:val="107"/>
        </w:rPr>
        <w:t>table</w:t>
      </w:r>
      <w:r>
        <w:rPr>
          <w:color w:val="010101"/>
        </w:rPr>
        <w:t> </w:t>
      </w:r>
      <w:r>
        <w:rPr>
          <w:color w:val="010101"/>
          <w:spacing w:val="-10"/>
        </w:rPr>
        <w:t> </w:t>
      </w:r>
      <w:r>
        <w:rPr>
          <w:color w:val="010101"/>
          <w:w w:val="96"/>
        </w:rPr>
        <w:t>in</w:t>
      </w:r>
      <w:r>
        <w:rPr>
          <w:color w:val="010101"/>
        </w:rPr>
        <w:t> </w:t>
      </w:r>
      <w:r>
        <w:rPr>
          <w:color w:val="010101"/>
          <w:spacing w:val="-18"/>
        </w:rPr>
        <w:t> </w:t>
      </w:r>
      <w:r>
        <w:rPr>
          <w:color w:val="010101"/>
          <w:w w:val="100"/>
        </w:rPr>
        <w:t>place</w:t>
      </w:r>
      <w:r>
        <w:rPr>
          <w:color w:val="010101"/>
        </w:rPr>
        <w:t> </w:t>
      </w:r>
      <w:r>
        <w:rPr>
          <w:color w:val="010101"/>
          <w:spacing w:val="-16"/>
        </w:rPr>
        <w:t> </w:t>
      </w:r>
      <w:r>
        <w:rPr>
          <w:color w:val="010101"/>
          <w:w w:val="87"/>
        </w:rPr>
        <w:t>of</w:t>
      </w:r>
      <w:r>
        <w:rPr>
          <w:color w:val="010101"/>
        </w:rPr>
        <w:t> </w:t>
      </w:r>
      <w:r>
        <w:rPr>
          <w:color w:val="010101"/>
          <w:spacing w:val="-21"/>
        </w:rPr>
        <w:t> </w:t>
      </w:r>
      <w:r>
        <w:rPr>
          <w:rFonts w:ascii="Arial" w:hAnsi="Arial"/>
          <w:i/>
          <w:color w:val="010101"/>
          <w:spacing w:val="-9"/>
          <w:w w:val="84"/>
          <w:sz w:val="26"/>
        </w:rPr>
        <w:t>D</w:t>
      </w:r>
      <w:r>
        <w:rPr>
          <w:rFonts w:ascii="Arial" w:hAnsi="Arial"/>
          <w:i/>
          <w:color w:val="010101"/>
          <w:w w:val="161"/>
          <w:sz w:val="26"/>
        </w:rPr>
        <w:t>'</w:t>
      </w:r>
      <w:r>
        <w:rPr>
          <w:rFonts w:ascii="Arial" w:hAnsi="Arial"/>
          <w:i/>
          <w:color w:val="010101"/>
          <w:spacing w:val="18"/>
          <w:w w:val="161"/>
          <w:sz w:val="26"/>
        </w:rPr>
        <w:t>:</w:t>
      </w:r>
      <w:r>
        <w:rPr>
          <w:color w:val="010101"/>
          <w:w w:val="108"/>
        </w:rPr>
        <w:t>and</w:t>
      </w:r>
      <w:r>
        <w:rPr>
          <w:color w:val="010101"/>
          <w:spacing w:val="23"/>
        </w:rPr>
        <w:t> </w:t>
      </w:r>
      <w:r>
        <w:rPr>
          <w:rFonts w:ascii="Arial" w:hAnsi="Arial"/>
          <w:i/>
          <w:color w:val="010101"/>
          <w:w w:val="89"/>
          <w:sz w:val="26"/>
        </w:rPr>
        <w:t>N</w:t>
      </w:r>
      <w:r>
        <w:rPr>
          <w:rFonts w:ascii="Arial" w:hAnsi="Arial"/>
          <w:i/>
          <w:color w:val="010101"/>
          <w:spacing w:val="-1"/>
          <w:w w:val="89"/>
          <w:sz w:val="26"/>
        </w:rPr>
        <w:t>:</w:t>
      </w:r>
      <w:r>
        <w:rPr>
          <w:rFonts w:ascii="Arial" w:hAnsi="Arial"/>
          <w:i/>
          <w:color w:val="010101"/>
          <w:w w:val="44"/>
          <w:sz w:val="26"/>
        </w:rPr>
        <w:t>°'</w:t>
      </w:r>
    </w:p>
    <w:p>
      <w:pPr>
        <w:pStyle w:val="BodyText"/>
        <w:spacing w:line="249" w:lineRule="auto"/>
        <w:ind w:left="100" w:right="116" w:firstLine="3"/>
        <w:jc w:val="both"/>
      </w:pPr>
      <w:r>
        <w:rPr>
          <w:color w:val="010101"/>
          <w:w w:val="105"/>
        </w:rPr>
        <w:t>wherever they occur in the formulas above. Similarly,  the active  life annuity values in these formulas are replaced by the corre­ sponding annuities based on the standard mortality table. Al­  though this may  appear  to be  a rather  crude  practica!  expedient, it has been found that only a slight distortion is produced in the resulting  monetary</w:t>
      </w:r>
      <w:r>
        <w:rPr>
          <w:color w:val="010101"/>
          <w:spacing w:val="19"/>
          <w:w w:val="105"/>
        </w:rPr>
        <w:t> </w:t>
      </w:r>
      <w:r>
        <w:rPr>
          <w:color w:val="010101"/>
          <w:w w:val="105"/>
        </w:rPr>
        <w:t>values.</w:t>
      </w:r>
    </w:p>
    <w:p>
      <w:pPr>
        <w:pStyle w:val="BodyText"/>
        <w:spacing w:line="213" w:lineRule="auto" w:before="22"/>
        <w:ind w:left="100" w:right="135" w:firstLine="204"/>
        <w:jc w:val="both"/>
      </w:pPr>
      <w:r>
        <w:rPr>
          <w:color w:val="010101"/>
          <w:w w:val="105"/>
        </w:rPr>
        <w:t>When the double-decrement table  is  eliminated  in  this  way, the function </w:t>
      </w:r>
      <w:r>
        <w:rPr>
          <w:i/>
          <w:color w:val="010101"/>
          <w:spacing w:val="-9"/>
          <w:sz w:val="22"/>
        </w:rPr>
        <w:t>i:,: </w:t>
      </w:r>
      <w:r>
        <w:rPr>
          <w:color w:val="010101"/>
          <w:w w:val="105"/>
        </w:rPr>
        <w:t>is unavailable  and special  methods must  be used  to obtain values of  </w:t>
      </w:r>
      <w:r>
        <w:rPr>
          <w:rFonts w:ascii="Arial" w:hAnsi="Arial"/>
          <w:i/>
          <w:color w:val="010101"/>
          <w:w w:val="105"/>
          <w:sz w:val="25"/>
        </w:rPr>
        <w:t>é; . </w:t>
      </w:r>
      <w:r>
        <w:rPr>
          <w:color w:val="010101"/>
          <w:w w:val="105"/>
        </w:rPr>
        <w:t>Modern  disability  investigations</w:t>
      </w:r>
      <w:r>
        <w:rPr>
          <w:color w:val="010101"/>
          <w:spacing w:val="51"/>
          <w:w w:val="105"/>
        </w:rPr>
        <w:t> </w:t>
      </w:r>
      <w:r>
        <w:rPr>
          <w:color w:val="010101"/>
          <w:w w:val="105"/>
        </w:rPr>
        <w:t>produce</w:t>
      </w:r>
    </w:p>
    <w:p>
      <w:pPr>
        <w:pStyle w:val="BodyText"/>
        <w:spacing w:line="252" w:lineRule="exact"/>
        <w:ind w:left="108" w:hanging="8"/>
        <w:jc w:val="both"/>
      </w:pPr>
      <w:r>
        <w:rPr>
          <w:color w:val="010101"/>
          <w:w w:val="104"/>
        </w:rPr>
        <w:t>values</w:t>
      </w:r>
      <w:r>
        <w:rPr>
          <w:color w:val="010101"/>
        </w:rPr>
        <w:t> </w:t>
      </w:r>
      <w:r>
        <w:rPr>
          <w:color w:val="010101"/>
          <w:spacing w:val="-12"/>
        </w:rPr>
        <w:t> </w:t>
      </w:r>
      <w:r>
        <w:rPr>
          <w:color w:val="010101"/>
          <w:w w:val="83"/>
        </w:rPr>
        <w:t>of</w:t>
      </w:r>
      <w:r>
        <w:rPr>
          <w:color w:val="010101"/>
        </w:rPr>
        <w:t>  </w:t>
      </w:r>
      <w:r>
        <w:rPr>
          <w:color w:val="010101"/>
          <w:w w:val="112"/>
        </w:rPr>
        <w:t>the</w:t>
      </w:r>
      <w:r>
        <w:rPr>
          <w:color w:val="010101"/>
        </w:rPr>
        <w:t> </w:t>
      </w:r>
      <w:r>
        <w:rPr>
          <w:color w:val="010101"/>
          <w:spacing w:val="-21"/>
        </w:rPr>
        <w:t> </w:t>
      </w:r>
      <w:r>
        <w:rPr>
          <w:color w:val="010101"/>
          <w:w w:val="112"/>
        </w:rPr>
        <w:t>rate</w:t>
      </w:r>
      <w:r>
        <w:rPr>
          <w:color w:val="010101"/>
        </w:rPr>
        <w:t> </w:t>
      </w:r>
      <w:r>
        <w:rPr>
          <w:color w:val="010101"/>
          <w:spacing w:val="-15"/>
        </w:rPr>
        <w:t> </w:t>
      </w:r>
      <w:r>
        <w:rPr>
          <w:color w:val="010101"/>
          <w:w w:val="87"/>
        </w:rPr>
        <w:t>of</w:t>
      </w:r>
      <w:r>
        <w:rPr>
          <w:color w:val="010101"/>
        </w:rPr>
        <w:t> </w:t>
      </w:r>
      <w:r>
        <w:rPr>
          <w:color w:val="010101"/>
          <w:spacing w:val="4"/>
        </w:rPr>
        <w:t> </w:t>
      </w:r>
      <w:r>
        <w:rPr>
          <w:color w:val="010101"/>
          <w:w w:val="104"/>
        </w:rPr>
        <w:t>disability</w:t>
      </w:r>
      <w:r>
        <w:rPr>
          <w:color w:val="010101"/>
        </w:rPr>
        <w:t> </w:t>
      </w:r>
      <w:r>
        <w:rPr>
          <w:color w:val="010101"/>
          <w:spacing w:val="-5"/>
        </w:rPr>
        <w:t> </w:t>
      </w:r>
      <w:r>
        <w:rPr>
          <w:i/>
          <w:color w:val="010101"/>
          <w:w w:val="187"/>
          <w:sz w:val="21"/>
        </w:rPr>
        <w:t>r</w:t>
      </w:r>
      <w:r>
        <w:rPr>
          <w:i/>
          <w:color w:val="010101"/>
          <w:spacing w:val="12"/>
          <w:sz w:val="21"/>
        </w:rPr>
        <w:t> </w:t>
      </w:r>
      <w:r>
        <w:rPr>
          <w:color w:val="010101"/>
          <w:w w:val="103"/>
          <w:sz w:val="21"/>
        </w:rPr>
        <w:t>,</w:t>
      </w:r>
      <w:r>
        <w:rPr>
          <w:color w:val="010101"/>
          <w:spacing w:val="22"/>
          <w:sz w:val="21"/>
        </w:rPr>
        <w:t> </w:t>
      </w:r>
      <w:r>
        <w:rPr>
          <w:color w:val="010101"/>
          <w:w w:val="109"/>
        </w:rPr>
        <w:t>and</w:t>
      </w:r>
      <w:r>
        <w:rPr>
          <w:color w:val="010101"/>
        </w:rPr>
        <w:t> </w:t>
      </w:r>
      <w:r>
        <w:rPr>
          <w:color w:val="010101"/>
          <w:spacing w:val="-16"/>
        </w:rPr>
        <w:t> </w:t>
      </w:r>
      <w:r>
        <w:rPr>
          <w:color w:val="010101"/>
          <w:spacing w:val="-22"/>
          <w:w w:val="108"/>
          <w:sz w:val="29"/>
        </w:rPr>
        <w:t>é</w:t>
      </w:r>
      <w:r>
        <w:rPr>
          <w:color w:val="010101"/>
          <w:spacing w:val="-44"/>
          <w:w w:val="211"/>
          <w:sz w:val="29"/>
        </w:rPr>
        <w:t>!</w:t>
      </w:r>
      <w:r>
        <w:rPr>
          <w:color w:val="010101"/>
          <w:w w:val="104"/>
        </w:rPr>
        <w:t>can</w:t>
      </w:r>
      <w:r>
        <w:rPr>
          <w:color w:val="010101"/>
        </w:rPr>
        <w:t> </w:t>
      </w:r>
      <w:r>
        <w:rPr>
          <w:color w:val="010101"/>
          <w:spacing w:val="7"/>
        </w:rPr>
        <w:t> </w:t>
      </w:r>
      <w:r>
        <w:rPr>
          <w:color w:val="010101"/>
          <w:w w:val="108"/>
        </w:rPr>
        <w:t>then</w:t>
      </w:r>
      <w:r>
        <w:rPr>
          <w:color w:val="010101"/>
        </w:rPr>
        <w:t> </w:t>
      </w:r>
      <w:r>
        <w:rPr>
          <w:color w:val="010101"/>
          <w:spacing w:val="9"/>
        </w:rPr>
        <w:t> </w:t>
      </w:r>
      <w:r>
        <w:rPr>
          <w:color w:val="010101"/>
          <w:w w:val="105"/>
        </w:rPr>
        <w:t>be</w:t>
      </w:r>
      <w:r>
        <w:rPr>
          <w:color w:val="010101"/>
        </w:rPr>
        <w:t> </w:t>
      </w:r>
      <w:r>
        <w:rPr>
          <w:color w:val="010101"/>
          <w:spacing w:val="5"/>
        </w:rPr>
        <w:t> </w:t>
      </w:r>
      <w:r>
        <w:rPr>
          <w:color w:val="010101"/>
          <w:w w:val="105"/>
        </w:rPr>
        <w:t>obtained</w:t>
      </w:r>
    </w:p>
    <w:p>
      <w:pPr>
        <w:pStyle w:val="BodyText"/>
        <w:spacing w:line="247" w:lineRule="auto"/>
        <w:ind w:left="115" w:right="117" w:hanging="8"/>
        <w:jc w:val="both"/>
      </w:pPr>
      <w:r>
        <w:rPr>
          <w:color w:val="010101"/>
          <w:w w:val="105"/>
        </w:rPr>
        <w:t>from the following development, which makes liberal use of ap­ proximations:</w:t>
      </w:r>
    </w:p>
    <w:p>
      <w:pPr>
        <w:spacing w:after="0" w:line="247" w:lineRule="auto"/>
        <w:jc w:val="both"/>
        <w:sectPr>
          <w:pgSz w:w="7200" w:h="11340"/>
          <w:pgMar w:top="520" w:bottom="280" w:left="660" w:right="580"/>
        </w:sectPr>
      </w:pPr>
    </w:p>
    <w:p>
      <w:pPr>
        <w:pStyle w:val="BodyText"/>
      </w:pPr>
    </w:p>
    <w:p>
      <w:pPr>
        <w:pStyle w:val="BodyText"/>
      </w:pPr>
    </w:p>
    <w:p>
      <w:pPr>
        <w:pStyle w:val="BodyText"/>
        <w:spacing w:before="2"/>
        <w:rPr>
          <w:sz w:val="23"/>
        </w:rPr>
      </w:pPr>
    </w:p>
    <w:p>
      <w:pPr>
        <w:pStyle w:val="BodyText"/>
        <w:ind w:left="104" w:right="-14"/>
      </w:pPr>
      <w:r>
        <w:rPr>
          <w:color w:val="010101"/>
          <w:w w:val="105"/>
        </w:rPr>
        <w:t>and hence</w:t>
      </w:r>
    </w:p>
    <w:p>
      <w:pPr>
        <w:tabs>
          <w:tab w:pos="1091" w:val="left" w:leader="none"/>
        </w:tabs>
        <w:spacing w:line="183" w:lineRule="exact" w:before="167"/>
        <w:ind w:left="337" w:right="0" w:firstLine="0"/>
        <w:jc w:val="left"/>
        <w:rPr>
          <w:b/>
          <w:i/>
          <w:sz w:val="21"/>
        </w:rPr>
      </w:pPr>
      <w:r>
        <w:rPr/>
        <w:br w:type="column"/>
      </w:r>
      <w:r>
        <w:rPr>
          <w:color w:val="010101"/>
          <w:w w:val="165"/>
          <w:sz w:val="21"/>
        </w:rPr>
        <w:t>'</w:t>
      </w:r>
      <w:r>
        <w:rPr>
          <w:color w:val="010101"/>
          <w:spacing w:val="12"/>
          <w:w w:val="165"/>
          <w:sz w:val="21"/>
        </w:rPr>
        <w:t> </w:t>
      </w:r>
      <w:r>
        <w:rPr>
          <w:color w:val="010101"/>
          <w:w w:val="165"/>
          <w:sz w:val="21"/>
        </w:rPr>
        <w:t>.</w:t>
        <w:tab/>
      </w:r>
      <w:r>
        <w:rPr>
          <w:b/>
          <w:i/>
          <w:color w:val="010101"/>
          <w:w w:val="90"/>
          <w:sz w:val="21"/>
        </w:rPr>
        <w:t>i:e</w:t>
      </w:r>
    </w:p>
    <w:p>
      <w:pPr>
        <w:spacing w:line="241" w:lineRule="exact" w:before="0"/>
        <w:ind w:left="251" w:right="0" w:firstLine="0"/>
        <w:jc w:val="left"/>
        <w:rPr>
          <w:rFonts w:ascii="Arial"/>
          <w:b/>
          <w:i/>
          <w:sz w:val="20"/>
        </w:rPr>
      </w:pPr>
      <w:r>
        <w:rPr>
          <w:rFonts w:ascii="Arial"/>
          <w:b/>
          <w:i/>
          <w:color w:val="010101"/>
          <w:w w:val="125"/>
          <w:sz w:val="13"/>
        </w:rPr>
        <w:t>Tz </w:t>
      </w:r>
      <w:r>
        <w:rPr>
          <w:rFonts w:ascii="Arial"/>
          <w:color w:val="010101"/>
          <w:w w:val="125"/>
          <w:sz w:val="17"/>
        </w:rPr>
        <w:t>=: </w:t>
      </w:r>
      <w:r>
        <w:rPr>
          <w:rFonts w:ascii="Arial"/>
          <w:b/>
          <w:i/>
          <w:color w:val="010101"/>
          <w:w w:val="95"/>
          <w:sz w:val="20"/>
        </w:rPr>
        <w:t>l':' </w:t>
      </w:r>
      <w:r>
        <w:rPr>
          <w:rFonts w:ascii="Arial"/>
          <w:color w:val="010101"/>
          <w:w w:val="225"/>
          <w:sz w:val="20"/>
        </w:rPr>
        <w:t>-</w:t>
      </w:r>
      <w:r>
        <w:rPr>
          <w:rFonts w:ascii="Arial"/>
          <w:color w:val="010101"/>
          <w:spacing w:val="-95"/>
          <w:w w:val="225"/>
          <w:sz w:val="20"/>
        </w:rPr>
        <w:t> </w:t>
      </w:r>
      <w:r>
        <w:rPr>
          <w:rFonts w:ascii="Arial"/>
          <w:b/>
          <w:color w:val="010101"/>
          <w:spacing w:val="-5"/>
          <w:w w:val="95"/>
          <w:sz w:val="26"/>
        </w:rPr>
        <w:t>1</w:t>
      </w:r>
      <w:r>
        <w:rPr>
          <w:rFonts w:ascii="Arial"/>
          <w:b/>
          <w:i/>
          <w:color w:val="010101"/>
          <w:spacing w:val="-5"/>
          <w:w w:val="95"/>
          <w:sz w:val="20"/>
        </w:rPr>
        <w:t>d';4</w:t>
      </w:r>
    </w:p>
    <w:p>
      <w:pPr>
        <w:spacing w:before="49"/>
        <w:ind w:left="87" w:right="2116" w:firstLine="0"/>
        <w:jc w:val="center"/>
        <w:rPr>
          <w:sz w:val="20"/>
        </w:rPr>
      </w:pPr>
      <w:r>
        <w:rPr>
          <w:b/>
          <w:color w:val="010101"/>
          <w:w w:val="98"/>
          <w:sz w:val="16"/>
        </w:rPr>
        <w:t>Íz</w:t>
      </w:r>
      <w:r>
        <w:rPr>
          <w:b/>
          <w:color w:val="010101"/>
          <w:sz w:val="16"/>
        </w:rPr>
        <w:t> </w:t>
      </w:r>
      <w:r>
        <w:rPr>
          <w:b/>
          <w:color w:val="010101"/>
          <w:spacing w:val="10"/>
          <w:sz w:val="16"/>
        </w:rPr>
        <w:t> </w:t>
      </w:r>
      <w:r>
        <w:rPr>
          <w:rFonts w:ascii="Arial" w:hAnsi="Arial"/>
          <w:color w:val="010101"/>
          <w:w w:val="70"/>
          <w:sz w:val="26"/>
        </w:rPr>
        <w:t>=:</w:t>
      </w:r>
      <w:r>
        <w:rPr>
          <w:rFonts w:ascii="Arial" w:hAnsi="Arial"/>
          <w:color w:val="010101"/>
          <w:spacing w:val="5"/>
          <w:sz w:val="26"/>
        </w:rPr>
        <w:t> </w:t>
      </w:r>
      <w:r>
        <w:rPr>
          <w:b/>
          <w:i/>
          <w:color w:val="010101"/>
          <w:w w:val="67"/>
          <w:sz w:val="30"/>
        </w:rPr>
        <w:t>r;</w:t>
      </w:r>
      <w:r>
        <w:rPr>
          <w:b/>
          <w:i/>
          <w:color w:val="010101"/>
          <w:spacing w:val="-40"/>
          <w:sz w:val="30"/>
        </w:rPr>
        <w:t> </w:t>
      </w:r>
      <w:r>
        <w:rPr>
          <w:b/>
          <w:i/>
          <w:color w:val="010101"/>
          <w:w w:val="64"/>
          <w:sz w:val="21"/>
        </w:rPr>
        <w:t>(</w:t>
      </w:r>
      <w:r>
        <w:rPr>
          <w:b/>
          <w:i/>
          <w:color w:val="010101"/>
          <w:spacing w:val="-37"/>
          <w:sz w:val="21"/>
        </w:rPr>
        <w:t> </w:t>
      </w:r>
      <w:r>
        <w:rPr>
          <w:b/>
          <w:i/>
          <w:color w:val="010101"/>
          <w:w w:val="63"/>
          <w:sz w:val="21"/>
        </w:rPr>
        <w:t>Z:ª</w:t>
      </w:r>
      <w:r>
        <w:rPr>
          <w:b/>
          <w:i/>
          <w:color w:val="010101"/>
          <w:sz w:val="21"/>
        </w:rPr>
        <w:t> </w:t>
      </w:r>
      <w:r>
        <w:rPr>
          <w:b/>
          <w:i/>
          <w:color w:val="010101"/>
          <w:spacing w:val="12"/>
          <w:sz w:val="21"/>
        </w:rPr>
        <w:t> </w:t>
      </w:r>
      <w:r>
        <w:rPr>
          <w:color w:val="010101"/>
          <w:w w:val="254"/>
          <w:sz w:val="21"/>
        </w:rPr>
        <w:t>-</w:t>
      </w:r>
      <w:r>
        <w:rPr>
          <w:color w:val="010101"/>
          <w:spacing w:val="6"/>
          <w:sz w:val="21"/>
        </w:rPr>
        <w:t> </w:t>
      </w:r>
      <w:r>
        <w:rPr>
          <w:color w:val="010101"/>
          <w:spacing w:val="24"/>
          <w:w w:val="356"/>
          <w:sz w:val="20"/>
        </w:rPr>
        <w:t>!</w:t>
      </w:r>
      <w:r>
        <w:rPr>
          <w:color w:val="010101"/>
          <w:w w:val="107"/>
          <w:sz w:val="20"/>
        </w:rPr>
        <w:t>ª</w:t>
      </w:r>
      <w:r>
        <w:rPr>
          <w:color w:val="010101"/>
          <w:spacing w:val="-20"/>
          <w:sz w:val="20"/>
        </w:rPr>
        <w:t> </w:t>
      </w:r>
      <w:r>
        <w:rPr>
          <w:color w:val="010101"/>
          <w:w w:val="114"/>
          <w:sz w:val="20"/>
        </w:rPr>
        <w:t>).</w:t>
      </w:r>
    </w:p>
    <w:p>
      <w:pPr>
        <w:spacing w:after="0"/>
        <w:jc w:val="center"/>
        <w:rPr>
          <w:sz w:val="20"/>
        </w:rPr>
        <w:sectPr>
          <w:type w:val="continuous"/>
          <w:pgSz w:w="7200" w:h="11340"/>
          <w:pgMar w:top="1100" w:bottom="0" w:left="660" w:right="580"/>
          <w:cols w:num="2" w:equalWidth="0">
            <w:col w:w="956" w:space="1058"/>
            <w:col w:w="3946"/>
          </w:cols>
        </w:sectPr>
      </w:pPr>
    </w:p>
    <w:p>
      <w:pPr>
        <w:pStyle w:val="BodyText"/>
        <w:spacing w:before="66"/>
        <w:ind w:left="104" w:right="122" w:firstLine="3"/>
      </w:pPr>
      <w:r>
        <w:rPr>
          <w:color w:val="010101"/>
          <w:w w:val="104"/>
        </w:rPr>
        <w:t>Consistent </w:t>
      </w:r>
      <w:r>
        <w:rPr>
          <w:color w:val="010101"/>
          <w:w w:val="105"/>
        </w:rPr>
        <w:t>with </w:t>
      </w:r>
      <w:r>
        <w:rPr>
          <w:color w:val="010101"/>
          <w:w w:val="112"/>
        </w:rPr>
        <w:t>the </w:t>
      </w:r>
      <w:r>
        <w:rPr>
          <w:color w:val="010101"/>
          <w:w w:val="106"/>
        </w:rPr>
        <w:t>assumptions </w:t>
      </w:r>
      <w:r>
        <w:rPr>
          <w:color w:val="010101"/>
          <w:w w:val="104"/>
        </w:rPr>
        <w:t>just </w:t>
      </w:r>
      <w:r>
        <w:rPr>
          <w:color w:val="010101"/>
          <w:w w:val="101"/>
        </w:rPr>
        <w:t>described  </w:t>
      </w:r>
      <w:r>
        <w:rPr>
          <w:color w:val="010101"/>
          <w:w w:val="93"/>
          <w:sz w:val="21"/>
        </w:rPr>
        <w:t>for  </w:t>
      </w:r>
      <w:r>
        <w:rPr>
          <w:rFonts w:ascii="Arial"/>
          <w:color w:val="010101"/>
          <w:spacing w:val="-69"/>
          <w:w w:val="132"/>
          <w:sz w:val="24"/>
        </w:rPr>
        <w:t>D!",</w:t>
      </w:r>
      <w:r>
        <w:rPr>
          <w:rFonts w:ascii="Arial"/>
          <w:color w:val="010101"/>
          <w:w w:val="132"/>
          <w:sz w:val="24"/>
        </w:rPr>
        <w:t> </w:t>
      </w:r>
      <w:r>
        <w:rPr>
          <w:color w:val="010101"/>
          <w:w w:val="100"/>
        </w:rPr>
        <w:t>we  </w:t>
      </w:r>
      <w:r>
        <w:rPr>
          <w:color w:val="010101"/>
          <w:w w:val="102"/>
        </w:rPr>
        <w:t>can </w:t>
      </w:r>
      <w:r>
        <w:rPr>
          <w:color w:val="010101"/>
          <w:w w:val="105"/>
        </w:rPr>
        <w:t>write</w:t>
      </w:r>
    </w:p>
    <w:p>
      <w:pPr>
        <w:pStyle w:val="BodyText"/>
        <w:spacing w:before="2"/>
        <w:rPr>
          <w:sz w:val="9"/>
        </w:rPr>
      </w:pPr>
      <w:r>
        <w:rPr/>
        <w:drawing>
          <wp:anchor distT="0" distB="0" distL="0" distR="0" allowOverlap="1" layoutInCell="1" locked="0" behindDoc="0" simplePos="0" relativeHeight="26536">
            <wp:simplePos x="0" y="0"/>
            <wp:positionH relativeFrom="page">
              <wp:posOffset>1545336</wp:posOffset>
            </wp:positionH>
            <wp:positionV relativeFrom="paragraph">
              <wp:posOffset>92227</wp:posOffset>
            </wp:positionV>
            <wp:extent cx="1572767" cy="146304"/>
            <wp:effectExtent l="0" t="0" r="0" b="0"/>
            <wp:wrapTopAndBottom/>
            <wp:docPr id="811" name="image414.png" descr=""/>
            <wp:cNvGraphicFramePr>
              <a:graphicFrameLocks noChangeAspect="1"/>
            </wp:cNvGraphicFramePr>
            <a:graphic>
              <a:graphicData uri="http://schemas.openxmlformats.org/drawingml/2006/picture">
                <pic:pic>
                  <pic:nvPicPr>
                    <pic:cNvPr id="812" name="image414.png"/>
                    <pic:cNvPicPr/>
                  </pic:nvPicPr>
                  <pic:blipFill>
                    <a:blip r:embed="rId418" cstate="print"/>
                    <a:stretch>
                      <a:fillRect/>
                    </a:stretch>
                  </pic:blipFill>
                  <pic:spPr>
                    <a:xfrm>
                      <a:off x="0" y="0"/>
                      <a:ext cx="1572767" cy="146304"/>
                    </a:xfrm>
                    <a:prstGeom prst="rect">
                      <a:avLst/>
                    </a:prstGeom>
                  </pic:spPr>
                </pic:pic>
              </a:graphicData>
            </a:graphic>
          </wp:anchor>
        </w:drawing>
      </w:r>
    </w:p>
    <w:p>
      <w:pPr>
        <w:spacing w:after="0"/>
        <w:rPr>
          <w:sz w:val="9"/>
        </w:rPr>
        <w:sectPr>
          <w:type w:val="continuous"/>
          <w:pgSz w:w="7200" w:h="11340"/>
          <w:pgMar w:top="1100" w:bottom="0" w:left="660" w:right="580"/>
        </w:sectPr>
      </w:pPr>
    </w:p>
    <w:p>
      <w:pPr>
        <w:pStyle w:val="BodyText"/>
        <w:spacing w:before="91"/>
        <w:ind w:left="111" w:right="-4"/>
      </w:pPr>
      <w:r>
        <w:rPr>
          <w:color w:val="010101"/>
        </w:rPr>
        <w:t>Hence</w:t>
      </w:r>
    </w:p>
    <w:p>
      <w:pPr>
        <w:pStyle w:val="BodyText"/>
        <w:spacing w:before="5"/>
        <w:rPr>
          <w:sz w:val="29"/>
        </w:rPr>
      </w:pPr>
      <w:r>
        <w:rPr/>
        <w:br w:type="column"/>
      </w:r>
      <w:r>
        <w:rPr>
          <w:sz w:val="29"/>
        </w:rPr>
      </w:r>
    </w:p>
    <w:p>
      <w:pPr>
        <w:spacing w:before="0"/>
        <w:ind w:left="682" w:right="0" w:firstLine="0"/>
        <w:jc w:val="left"/>
        <w:rPr>
          <w:i/>
          <w:sz w:val="22"/>
        </w:rPr>
      </w:pPr>
      <w:r>
        <w:rPr>
          <w:rFonts w:ascii="Arial"/>
          <w:i/>
          <w:color w:val="010101"/>
          <w:w w:val="90"/>
          <w:sz w:val="30"/>
        </w:rPr>
        <w:t>e; </w:t>
      </w:r>
      <w:r>
        <w:rPr>
          <w:color w:val="010101"/>
          <w:w w:val="90"/>
          <w:sz w:val="26"/>
        </w:rPr>
        <w:t>= </w:t>
      </w:r>
      <w:r>
        <w:rPr>
          <w:i/>
          <w:color w:val="010101"/>
          <w:w w:val="90"/>
          <w:sz w:val="17"/>
        </w:rPr>
        <w:t>vz+\ </w:t>
      </w:r>
      <w:r>
        <w:rPr>
          <w:i/>
          <w:color w:val="010101"/>
          <w:w w:val="90"/>
          <w:sz w:val="22"/>
        </w:rPr>
        <w:t>i:e</w:t>
      </w:r>
    </w:p>
    <w:p>
      <w:pPr>
        <w:spacing w:before="81"/>
        <w:ind w:left="962" w:right="0" w:firstLine="0"/>
        <w:jc w:val="left"/>
        <w:rPr>
          <w:rFonts w:ascii="Arial" w:hAnsi="Arial"/>
          <w:sz w:val="20"/>
        </w:rPr>
      </w:pPr>
      <w:r>
        <w:rPr>
          <w:color w:val="010101"/>
          <w:spacing w:val="-40"/>
          <w:w w:val="66"/>
          <w:position w:val="7"/>
          <w:sz w:val="17"/>
        </w:rPr>
        <w:t>•</w:t>
      </w:r>
      <w:r>
        <w:rPr>
          <w:rFonts w:ascii="Arial" w:hAnsi="Arial"/>
          <w:color w:val="010101"/>
          <w:w w:val="103"/>
          <w:sz w:val="17"/>
        </w:rPr>
        <w:t>=:</w:t>
      </w:r>
      <w:r>
        <w:rPr>
          <w:rFonts w:ascii="Arial" w:hAnsi="Arial"/>
          <w:color w:val="010101"/>
          <w:sz w:val="17"/>
        </w:rPr>
        <w:t> </w:t>
      </w:r>
      <w:r>
        <w:rPr>
          <w:rFonts w:ascii="Arial" w:hAnsi="Arial"/>
          <w:color w:val="010101"/>
          <w:spacing w:val="-17"/>
          <w:sz w:val="17"/>
        </w:rPr>
        <w:t> </w:t>
      </w:r>
      <w:r>
        <w:rPr>
          <w:rFonts w:ascii="Arial" w:hAnsi="Arial"/>
          <w:b/>
          <w:i/>
          <w:color w:val="010101"/>
          <w:spacing w:val="3"/>
          <w:w w:val="82"/>
          <w:sz w:val="13"/>
        </w:rPr>
        <w:t>V</w:t>
      </w:r>
      <w:r>
        <w:rPr>
          <w:b/>
          <w:color w:val="010101"/>
          <w:w w:val="88"/>
          <w:position w:val="7"/>
          <w:sz w:val="17"/>
        </w:rPr>
        <w:t>z+4</w:t>
      </w:r>
      <w:r>
        <w:rPr>
          <w:b/>
          <w:color w:val="010101"/>
          <w:spacing w:val="19"/>
          <w:position w:val="7"/>
          <w:sz w:val="17"/>
        </w:rPr>
        <w:t> </w:t>
      </w:r>
      <w:r>
        <w:rPr>
          <w:rFonts w:ascii="Arial" w:hAnsi="Arial"/>
          <w:b/>
          <w:i/>
          <w:color w:val="010101"/>
          <w:spacing w:val="10"/>
          <w:w w:val="84"/>
          <w:position w:val="7"/>
          <w:sz w:val="20"/>
        </w:rPr>
        <w:t>l</w:t>
      </w:r>
      <w:r>
        <w:rPr>
          <w:b/>
          <w:color w:val="010101"/>
          <w:w w:val="93"/>
          <w:sz w:val="17"/>
        </w:rPr>
        <w:t>z+t</w:t>
      </w:r>
      <w:r>
        <w:rPr>
          <w:b/>
          <w:color w:val="010101"/>
          <w:sz w:val="17"/>
        </w:rPr>
        <w:t> </w:t>
      </w:r>
      <w:r>
        <w:rPr>
          <w:b/>
          <w:color w:val="010101"/>
          <w:spacing w:val="-20"/>
          <w:sz w:val="17"/>
        </w:rPr>
        <w:t> </w:t>
      </w:r>
      <w:r>
        <w:rPr>
          <w:rFonts w:ascii="Arial" w:hAnsi="Arial"/>
          <w:b/>
          <w:i/>
          <w:color w:val="010101"/>
          <w:spacing w:val="-4"/>
          <w:w w:val="106"/>
          <w:sz w:val="13"/>
        </w:rPr>
        <w:t>T</w:t>
      </w:r>
      <w:r>
        <w:rPr>
          <w:rFonts w:ascii="Arial" w:hAnsi="Arial"/>
          <w:b/>
          <w:i/>
          <w:color w:val="010101"/>
          <w:spacing w:val="-72"/>
          <w:w w:val="107"/>
          <w:sz w:val="13"/>
        </w:rPr>
        <w:t>z</w:t>
      </w:r>
      <w:r>
        <w:rPr>
          <w:rFonts w:ascii="Arial" w:hAnsi="Arial"/>
          <w:color w:val="010101"/>
          <w:w w:val="194"/>
          <w:position w:val="7"/>
          <w:sz w:val="20"/>
        </w:rPr>
        <w:t>'</w:t>
      </w:r>
    </w:p>
    <w:p>
      <w:pPr>
        <w:spacing w:before="21"/>
        <w:ind w:left="962" w:right="0" w:firstLine="0"/>
        <w:jc w:val="left"/>
        <w:rPr>
          <w:b/>
          <w:i/>
          <w:sz w:val="30"/>
        </w:rPr>
      </w:pPr>
      <w:r>
        <w:rPr>
          <w:rFonts w:ascii="Arial"/>
          <w:color w:val="010101"/>
          <w:w w:val="80"/>
          <w:sz w:val="26"/>
        </w:rPr>
        <w:t>=: </w:t>
      </w:r>
      <w:r>
        <w:rPr>
          <w:b/>
          <w:color w:val="010101"/>
          <w:w w:val="80"/>
          <w:sz w:val="26"/>
        </w:rPr>
        <w:t>Dz </w:t>
      </w:r>
      <w:r>
        <w:rPr>
          <w:b/>
          <w:i/>
          <w:color w:val="010101"/>
          <w:w w:val="80"/>
          <w:sz w:val="30"/>
        </w:rPr>
        <w:t>r;.</w:t>
      </w:r>
    </w:p>
    <w:p>
      <w:pPr>
        <w:spacing w:after="0"/>
        <w:jc w:val="left"/>
        <w:rPr>
          <w:sz w:val="30"/>
        </w:rPr>
        <w:sectPr>
          <w:type w:val="continuous"/>
          <w:pgSz w:w="7200" w:h="11340"/>
          <w:pgMar w:top="1100" w:bottom="0" w:left="660" w:right="580"/>
          <w:cols w:num="2" w:equalWidth="0">
            <w:col w:w="638" w:space="1024"/>
            <w:col w:w="4298"/>
          </w:cols>
        </w:sectPr>
      </w:pPr>
    </w:p>
    <w:p>
      <w:pPr>
        <w:pStyle w:val="BodyText"/>
        <w:spacing w:line="232" w:lineRule="auto" w:before="36"/>
        <w:ind w:left="118" w:right="218" w:hanging="8"/>
      </w:pPr>
      <w:r>
        <w:rPr>
          <w:color w:val="010101"/>
        </w:rPr>
        <w:t>Thus we can calculate values of  </w:t>
      </w:r>
      <w:r>
        <w:rPr>
          <w:rFonts w:ascii="Arial" w:hAnsi="Arial"/>
          <w:i/>
          <w:color w:val="010101"/>
          <w:sz w:val="28"/>
        </w:rPr>
        <w:t>é! </w:t>
      </w:r>
      <w:r>
        <w:rPr>
          <w:color w:val="010101"/>
        </w:rPr>
        <w:t>using  the  function  </w:t>
      </w:r>
      <w:r>
        <w:rPr>
          <w:i/>
          <w:color w:val="010101"/>
          <w:w w:val="95"/>
          <w:sz w:val="26"/>
        </w:rPr>
        <w:t>D:i  </w:t>
      </w:r>
      <w:r>
        <w:rPr>
          <w:color w:val="010101"/>
        </w:rPr>
        <w:t>based on   the  standard  mortality </w:t>
      </w:r>
      <w:r>
        <w:rPr>
          <w:color w:val="010101"/>
          <w:spacing w:val="42"/>
        </w:rPr>
        <w:t> </w:t>
      </w:r>
      <w:r>
        <w:rPr>
          <w:color w:val="010101"/>
        </w:rPr>
        <w:t>table.</w:t>
      </w:r>
    </w:p>
    <w:p>
      <w:pPr>
        <w:pStyle w:val="BodyText"/>
        <w:spacing w:line="247" w:lineRule="auto" w:before="12"/>
        <w:ind w:left="115" w:right="120" w:firstLine="190"/>
        <w:jc w:val="both"/>
      </w:pPr>
      <w:r>
        <w:rPr>
          <w:color w:val="010101"/>
          <w:w w:val="105"/>
        </w:rPr>
        <w:t>These special methods are not fully standardized. In using published volmes of disability functions, the student should be careful to note the specifications for the functions. </w:t>
      </w:r>
      <w:r>
        <w:rPr>
          <w:color w:val="010101"/>
          <w:w w:val="105"/>
          <w:sz w:val="21"/>
        </w:rPr>
        <w:t>It </w:t>
      </w:r>
      <w:r>
        <w:rPr>
          <w:color w:val="010101"/>
          <w:w w:val="105"/>
        </w:rPr>
        <w:t>is also im­ portant to be aware of the notation being used, which may differ from that developed  in this  chapter.</w:t>
      </w:r>
    </w:p>
    <w:p>
      <w:pPr>
        <w:spacing w:after="0" w:line="247" w:lineRule="auto"/>
        <w:jc w:val="both"/>
        <w:sectPr>
          <w:type w:val="continuous"/>
          <w:pgSz w:w="7200" w:h="11340"/>
          <w:pgMar w:top="1100" w:bottom="0" w:left="660" w:right="580"/>
        </w:sectPr>
      </w:pPr>
    </w:p>
    <w:p>
      <w:pPr>
        <w:tabs>
          <w:tab w:pos="5855" w:val="right" w:leader="none"/>
        </w:tabs>
        <w:spacing w:before="51"/>
        <w:ind w:left="2451" w:right="0" w:firstLine="0"/>
        <w:jc w:val="left"/>
        <w:rPr>
          <w:rFonts w:ascii="Arial"/>
          <w:sz w:val="20"/>
        </w:rPr>
      </w:pPr>
      <w:r>
        <w:rPr>
          <w:rFonts w:ascii="Courier New"/>
          <w:b/>
          <w:color w:val="010101"/>
          <w:w w:val="105"/>
          <w:sz w:val="16"/>
        </w:rPr>
        <w:t>REFERENCES</w:t>
      </w:r>
      <w:r>
        <w:rPr>
          <w:rFonts w:ascii="Arial"/>
          <w:color w:val="010101"/>
          <w:w w:val="105"/>
          <w:sz w:val="20"/>
        </w:rPr>
        <w:tab/>
        <w:t>327</w:t>
      </w:r>
    </w:p>
    <w:p>
      <w:pPr>
        <w:pStyle w:val="BodyText"/>
        <w:spacing w:before="4"/>
        <w:rPr>
          <w:rFonts w:ascii="Arial"/>
          <w:sz w:val="21"/>
        </w:rPr>
      </w:pPr>
    </w:p>
    <w:p>
      <w:pPr>
        <w:spacing w:before="0"/>
        <w:ind w:left="116" w:right="0" w:firstLine="0"/>
        <w:jc w:val="left"/>
        <w:rPr>
          <w:b/>
          <w:sz w:val="19"/>
        </w:rPr>
      </w:pPr>
      <w:r>
        <w:rPr>
          <w:b/>
          <w:color w:val="010101"/>
          <w:w w:val="115"/>
          <w:sz w:val="19"/>
        </w:rPr>
        <w:t>References</w:t>
      </w:r>
    </w:p>
    <w:p>
      <w:pPr>
        <w:numPr>
          <w:ilvl w:val="1"/>
          <w:numId w:val="143"/>
        </w:numPr>
        <w:tabs>
          <w:tab w:pos="569" w:val="left" w:leader="none"/>
        </w:tabs>
        <w:spacing w:before="79"/>
        <w:ind w:left="123" w:right="158" w:firstLine="190"/>
        <w:jc w:val="both"/>
        <w:rPr>
          <w:sz w:val="21"/>
        </w:rPr>
      </w:pPr>
      <w:r>
        <w:rPr>
          <w:color w:val="010101"/>
          <w:sz w:val="21"/>
        </w:rPr>
        <w:t>A basic reference for the pension plan material in this chapter is the paper by Noback (1950). Note, however, that Noback's notation  differs in many  respects from that used  in this</w:t>
      </w:r>
      <w:r>
        <w:rPr>
          <w:color w:val="010101"/>
          <w:spacing w:val="45"/>
          <w:sz w:val="21"/>
        </w:rPr>
        <w:t> </w:t>
      </w:r>
      <w:r>
        <w:rPr>
          <w:color w:val="010101"/>
          <w:sz w:val="21"/>
        </w:rPr>
        <w:t>chapter.</w:t>
      </w:r>
    </w:p>
    <w:p>
      <w:pPr>
        <w:spacing w:line="240" w:lineRule="auto" w:before="0"/>
        <w:ind w:left="127" w:right="159" w:firstLine="190"/>
        <w:jc w:val="both"/>
        <w:rPr>
          <w:sz w:val="21"/>
        </w:rPr>
      </w:pPr>
      <w:r>
        <w:rPr>
          <w:color w:val="010101"/>
          <w:sz w:val="21"/>
        </w:rPr>
        <w:t>Many pension plans provide benefits to the widow of a partici­ pant. The evaluation of widows' benefits has been treated by  Niessen  (1949, 1963).</w:t>
      </w:r>
    </w:p>
    <w:p>
      <w:pPr>
        <w:pStyle w:val="ListParagraph"/>
        <w:numPr>
          <w:ilvl w:val="1"/>
          <w:numId w:val="143"/>
        </w:numPr>
        <w:tabs>
          <w:tab w:pos="565" w:val="left" w:leader="none"/>
        </w:tabs>
        <w:spacing w:line="240" w:lineRule="auto" w:before="3" w:after="0"/>
        <w:ind w:left="120" w:right="158" w:firstLine="190"/>
        <w:jc w:val="both"/>
        <w:rPr>
          <w:sz w:val="21"/>
        </w:rPr>
      </w:pPr>
      <w:r>
        <w:rPr>
          <w:color w:val="010101"/>
          <w:sz w:val="21"/>
        </w:rPr>
        <w:t>A survey of the actuaria! techniques connected with salary scale mathematics  is given by Marples  </w:t>
      </w:r>
      <w:r>
        <w:rPr>
          <w:color w:val="010101"/>
          <w:spacing w:val="-4"/>
          <w:sz w:val="21"/>
        </w:rPr>
        <w:t>(1962</w:t>
      </w:r>
      <w:r>
        <w:rPr>
          <w:color w:val="010101"/>
          <w:spacing w:val="-3"/>
          <w:sz w:val="21"/>
        </w:rPr>
        <w:t> </w:t>
      </w:r>
      <w:r>
        <w:rPr>
          <w:color w:val="010101"/>
          <w:sz w:val="21"/>
        </w:rPr>
        <w:t>).</w:t>
      </w:r>
    </w:p>
    <w:p>
      <w:pPr>
        <w:spacing w:before="3"/>
        <w:ind w:left="120" w:right="143" w:firstLine="190"/>
        <w:jc w:val="both"/>
        <w:rPr>
          <w:sz w:val="21"/>
        </w:rPr>
      </w:pPr>
      <w:r>
        <w:rPr>
          <w:b/>
          <w:color w:val="010101"/>
          <w:sz w:val="21"/>
        </w:rPr>
        <w:t>5. </w:t>
      </w:r>
      <w:r>
        <w:rPr>
          <w:color w:val="010101"/>
          <w:sz w:val="21"/>
        </w:rPr>
        <w:t>Our discussion of disability benefits relates to the type of coverage offered as a supplementary benefit with life insurance policies. The notation and the formulas used when disability  benefits are provided by individual health insurance policies are treated  in the book  by  Bartleson</w:t>
      </w:r>
      <w:r>
        <w:rPr>
          <w:color w:val="010101"/>
          <w:spacing w:val="34"/>
          <w:sz w:val="21"/>
        </w:rPr>
        <w:t> </w:t>
      </w:r>
      <w:r>
        <w:rPr>
          <w:color w:val="010101"/>
          <w:sz w:val="21"/>
        </w:rPr>
        <w:t>(1963).</w:t>
      </w:r>
    </w:p>
    <w:p>
      <w:pPr>
        <w:spacing w:before="0"/>
        <w:ind w:left="116" w:right="163" w:firstLine="200"/>
        <w:jc w:val="both"/>
        <w:rPr>
          <w:sz w:val="21"/>
        </w:rPr>
      </w:pPr>
      <w:r>
        <w:rPr>
          <w:color w:val="010101"/>
          <w:sz w:val="21"/>
        </w:rPr>
        <w:t>The details of the calculation of disabled  life  annuity  values may be seen in Cueto  (1954).</w:t>
      </w:r>
    </w:p>
    <w:p>
      <w:pPr>
        <w:spacing w:line="239" w:lineRule="exact" w:before="0"/>
        <w:ind w:left="306" w:right="0" w:firstLine="0"/>
        <w:jc w:val="left"/>
        <w:rPr>
          <w:rFonts w:ascii="Arial"/>
          <w:i/>
          <w:sz w:val="24"/>
        </w:rPr>
      </w:pPr>
      <w:r>
        <w:rPr>
          <w:b/>
          <w:color w:val="010101"/>
          <w:w w:val="105"/>
          <w:sz w:val="21"/>
        </w:rPr>
        <w:t>9. </w:t>
      </w:r>
      <w:r>
        <w:rPr>
          <w:color w:val="010101"/>
          <w:w w:val="105"/>
          <w:sz w:val="21"/>
        </w:rPr>
        <w:t>The nature of the approximation  involved  in replacing  </w:t>
      </w:r>
      <w:r>
        <w:rPr>
          <w:rFonts w:ascii="Arial"/>
          <w:i/>
          <w:color w:val="010101"/>
          <w:w w:val="115"/>
          <w:sz w:val="24"/>
        </w:rPr>
        <w:t>D':</w:t>
      </w:r>
    </w:p>
    <w:p>
      <w:pPr>
        <w:spacing w:line="244" w:lineRule="exact" w:before="0"/>
        <w:ind w:left="120" w:right="0" w:firstLine="0"/>
        <w:jc w:val="left"/>
        <w:rPr>
          <w:sz w:val="21"/>
        </w:rPr>
      </w:pPr>
      <w:r>
        <w:rPr>
          <w:color w:val="010101"/>
          <w:sz w:val="21"/>
        </w:rPr>
        <w:t>by </w:t>
      </w:r>
      <w:r>
        <w:rPr>
          <w:i/>
          <w:color w:val="010101"/>
          <w:sz w:val="22"/>
        </w:rPr>
        <w:t>Dz: </w:t>
      </w:r>
      <w:r>
        <w:rPr>
          <w:color w:val="010101"/>
          <w:sz w:val="21"/>
        </w:rPr>
        <w:t>is discussed by Phillips (1929).</w:t>
      </w:r>
    </w:p>
    <w:p>
      <w:pPr>
        <w:spacing w:line="240" w:lineRule="auto" w:before="0"/>
        <w:ind w:left="120" w:right="165" w:firstLine="193"/>
        <w:jc w:val="both"/>
        <w:rPr>
          <w:sz w:val="21"/>
        </w:rPr>
      </w:pPr>
      <w:r>
        <w:rPr>
          <w:color w:val="010101"/>
          <w:sz w:val="21"/>
        </w:rPr>
        <w:t>The methods used in  the  1952 Disability  Study  are  described in the Report of the Committee on Disability and Douhle In­ demnity, published in the Society of Actuaries' 1952 Reports of Mortality and Morbidity Experience. They are also discussed by Cueto</w:t>
      </w:r>
      <w:r>
        <w:rPr>
          <w:color w:val="010101"/>
          <w:spacing w:val="52"/>
          <w:sz w:val="21"/>
        </w:rPr>
        <w:t> </w:t>
      </w:r>
      <w:r>
        <w:rPr>
          <w:color w:val="010101"/>
          <w:sz w:val="21"/>
        </w:rPr>
        <w:t>(1954).</w:t>
      </w:r>
    </w:p>
    <w:p>
      <w:pPr>
        <w:spacing w:before="155"/>
        <w:ind w:left="15" w:right="87" w:firstLine="0"/>
        <w:jc w:val="center"/>
        <w:rPr>
          <w:sz w:val="17"/>
        </w:rPr>
      </w:pPr>
      <w:r>
        <w:rPr>
          <w:color w:val="010101"/>
          <w:w w:val="110"/>
          <w:sz w:val="17"/>
        </w:rPr>
        <w:t>EXERCISES</w:t>
      </w:r>
    </w:p>
    <w:p>
      <w:pPr>
        <w:pStyle w:val="BodyText"/>
        <w:spacing w:before="4"/>
        <w:rPr>
          <w:sz w:val="15"/>
        </w:rPr>
      </w:pPr>
    </w:p>
    <w:p>
      <w:pPr>
        <w:spacing w:before="0"/>
        <w:ind w:left="120" w:right="0" w:firstLine="0"/>
        <w:jc w:val="left"/>
        <w:rPr>
          <w:b/>
          <w:sz w:val="16"/>
        </w:rPr>
      </w:pPr>
      <w:r>
        <w:rPr>
          <w:b/>
          <w:color w:val="010101"/>
          <w:w w:val="130"/>
          <w:sz w:val="16"/>
        </w:rPr>
        <w:t>l. Description of the model</w:t>
      </w:r>
    </w:p>
    <w:p>
      <w:pPr>
        <w:spacing w:before="123"/>
        <w:ind w:left="281" w:right="0" w:firstLine="0"/>
        <w:jc w:val="left"/>
        <w:rPr>
          <w:sz w:val="17"/>
        </w:rPr>
      </w:pPr>
      <w:r>
        <w:rPr>
          <w:color w:val="010101"/>
          <w:w w:val="125"/>
          <w:sz w:val="16"/>
        </w:rPr>
        <w:t>l. </w:t>
      </w:r>
      <w:r>
        <w:rPr>
          <w:color w:val="010101"/>
          <w:w w:val="115"/>
          <w:sz w:val="17"/>
        </w:rPr>
        <w:t>Consider the example in the text, with net single premium given   by</w:t>
      </w:r>
    </w:p>
    <w:p>
      <w:pPr>
        <w:spacing w:line="157" w:lineRule="exact" w:before="26"/>
        <w:ind w:left="127" w:right="0" w:firstLine="0"/>
        <w:jc w:val="left"/>
        <w:rPr>
          <w:sz w:val="16"/>
        </w:rPr>
      </w:pPr>
      <w:r>
        <w:rPr>
          <w:color w:val="010101"/>
          <w:w w:val="105"/>
          <w:sz w:val="16"/>
        </w:rPr>
        <w:t>(16.6).</w:t>
      </w:r>
    </w:p>
    <w:p>
      <w:pPr>
        <w:spacing w:line="222" w:lineRule="exact" w:before="0"/>
        <w:ind w:left="729" w:right="0" w:hanging="284"/>
        <w:jc w:val="both"/>
        <w:rPr>
          <w:sz w:val="17"/>
        </w:rPr>
      </w:pPr>
      <w:r>
        <w:rPr>
          <w:color w:val="010101"/>
          <w:sz w:val="17"/>
        </w:rPr>
        <w:t>(a}  What  change  should  </w:t>
      </w:r>
      <w:r>
        <w:rPr>
          <w:rFonts w:ascii="Arial"/>
          <w:color w:val="010101"/>
          <w:sz w:val="15"/>
        </w:rPr>
        <w:t>be </w:t>
      </w:r>
      <w:r>
        <w:rPr>
          <w:color w:val="010101"/>
          <w:sz w:val="17"/>
        </w:rPr>
        <w:t>made  in  the  definition  of   </w:t>
      </w:r>
      <w:r>
        <w:rPr>
          <w:rFonts w:ascii="Arial"/>
          <w:i/>
          <w:color w:val="010101"/>
          <w:sz w:val="22"/>
        </w:rPr>
        <w:t>"C! </w:t>
      </w:r>
      <w:r>
        <w:rPr>
          <w:color w:val="010101"/>
          <w:sz w:val="17"/>
        </w:rPr>
        <w:t>if  the annuity</w:t>
      </w:r>
    </w:p>
    <w:p>
      <w:pPr>
        <w:spacing w:line="247" w:lineRule="auto" w:before="0"/>
        <w:ind w:left="733" w:right="0" w:hanging="4"/>
        <w:jc w:val="left"/>
        <w:rPr>
          <w:i/>
          <w:sz w:val="17"/>
        </w:rPr>
      </w:pPr>
      <w:r>
        <w:rPr>
          <w:color w:val="010101"/>
          <w:w w:val="110"/>
          <w:sz w:val="17"/>
        </w:rPr>
        <w:t>benefit </w:t>
      </w:r>
      <w:r>
        <w:rPr>
          <w:rFonts w:ascii="Arial" w:hAnsi="Arial"/>
          <w:color w:val="010101"/>
          <w:w w:val="110"/>
          <w:sz w:val="17"/>
        </w:rPr>
        <w:t>is </w:t>
      </w:r>
      <w:r>
        <w:rPr>
          <w:color w:val="010101"/>
          <w:w w:val="110"/>
          <w:sz w:val="17"/>
        </w:rPr>
        <w:t>to be payable monthly with first payment at the time oí transfer  to state </w:t>
      </w:r>
      <w:r>
        <w:rPr>
          <w:i/>
          <w:color w:val="010101"/>
          <w:w w:val="110"/>
          <w:sz w:val="17"/>
        </w:rPr>
        <w:t>g?</w:t>
      </w:r>
    </w:p>
    <w:p>
      <w:pPr>
        <w:spacing w:line="244" w:lineRule="auto" w:before="0"/>
        <w:ind w:left="729" w:right="174" w:hanging="280"/>
        <w:jc w:val="both"/>
        <w:rPr>
          <w:rFonts w:ascii="Arial" w:hAnsi="Arial"/>
          <w:i/>
          <w:sz w:val="15"/>
        </w:rPr>
      </w:pPr>
      <w:r>
        <w:rPr>
          <w:color w:val="010101"/>
          <w:w w:val="110"/>
          <w:sz w:val="17"/>
        </w:rPr>
        <w:t>(b} Define a similar commutation function for the case where the annuity is to be paya.ble  quarterly  with  first payment  at  the end oí the  policy  year  oí transfer  to state </w:t>
      </w:r>
      <w:r>
        <w:rPr>
          <w:rFonts w:ascii="Arial" w:hAnsi="Arial"/>
          <w:i/>
          <w:color w:val="010101"/>
          <w:w w:val="110"/>
          <w:sz w:val="15"/>
        </w:rPr>
        <w:t>g.</w:t>
      </w:r>
    </w:p>
    <w:p>
      <w:pPr>
        <w:spacing w:line="247" w:lineRule="auto" w:before="2"/>
        <w:ind w:left="729" w:right="180" w:hanging="284"/>
        <w:jc w:val="both"/>
        <w:rPr>
          <w:sz w:val="16"/>
        </w:rPr>
      </w:pPr>
      <w:r>
        <w:rPr>
          <w:color w:val="010101"/>
          <w:w w:val="105"/>
          <w:sz w:val="17"/>
        </w:rPr>
        <w:t>(e} Write the  net single premium  for the benefit  in  (b) using a function  of  the  type  defined  in</w:t>
      </w:r>
      <w:r>
        <w:rPr>
          <w:color w:val="010101"/>
          <w:spacing w:val="7"/>
          <w:w w:val="105"/>
          <w:sz w:val="17"/>
        </w:rPr>
        <w:t> </w:t>
      </w:r>
      <w:r>
        <w:rPr>
          <w:color w:val="010101"/>
          <w:w w:val="105"/>
          <w:sz w:val="16"/>
        </w:rPr>
        <w:t>(16.7).</w:t>
      </w:r>
    </w:p>
    <w:p>
      <w:pPr>
        <w:pStyle w:val="ListParagraph"/>
        <w:numPr>
          <w:ilvl w:val="0"/>
          <w:numId w:val="145"/>
        </w:numPr>
        <w:tabs>
          <w:tab w:pos="472" w:val="left" w:leader="none"/>
        </w:tabs>
        <w:spacing w:line="216" w:lineRule="auto" w:before="4" w:after="0"/>
        <w:ind w:left="109" w:right="167" w:firstLine="154"/>
        <w:jc w:val="both"/>
        <w:rPr>
          <w:sz w:val="17"/>
        </w:rPr>
      </w:pPr>
      <w:r>
        <w:rPr>
          <w:color w:val="010101"/>
          <w:w w:val="105"/>
          <w:sz w:val="17"/>
        </w:rPr>
        <w:t>The function </w:t>
      </w:r>
      <w:r>
        <w:rPr>
          <w:rFonts w:ascii="Arial"/>
          <w:b/>
          <w:i/>
          <w:color w:val="010101"/>
          <w:w w:val="105"/>
          <w:position w:val="-3"/>
          <w:sz w:val="9"/>
        </w:rPr>
        <w:t>11</w:t>
      </w:r>
      <w:r>
        <w:rPr>
          <w:rFonts w:ascii="Arial"/>
          <w:b/>
          <w:i/>
          <w:color w:val="010101"/>
          <w:w w:val="105"/>
          <w:sz w:val="17"/>
        </w:rPr>
        <w:t>M! </w:t>
      </w:r>
      <w:r>
        <w:rPr>
          <w:rFonts w:ascii="Arial"/>
          <w:b/>
          <w:i/>
          <w:color w:val="010101"/>
          <w:sz w:val="17"/>
        </w:rPr>
        <w:t>, </w:t>
      </w:r>
      <w:r>
        <w:rPr>
          <w:color w:val="010101"/>
          <w:w w:val="105"/>
          <w:sz w:val="17"/>
        </w:rPr>
        <w:t>where </w:t>
      </w:r>
      <w:r>
        <w:rPr>
          <w:rFonts w:ascii="Arial"/>
          <w:i/>
          <w:color w:val="010101"/>
          <w:w w:val="105"/>
          <w:sz w:val="14"/>
        </w:rPr>
        <w:t>y </w:t>
      </w:r>
      <w:r>
        <w:rPr>
          <w:color w:val="010101"/>
          <w:w w:val="105"/>
          <w:sz w:val="17"/>
        </w:rPr>
        <w:t>is fixed, is tabulated for values of </w:t>
      </w:r>
      <w:r>
        <w:rPr>
          <w:i/>
          <w:color w:val="010101"/>
          <w:w w:val="105"/>
          <w:sz w:val="18"/>
        </w:rPr>
        <w:t>x. </w:t>
      </w:r>
      <w:r>
        <w:rPr>
          <w:color w:val="010101"/>
          <w:w w:val="105"/>
          <w:sz w:val="18"/>
        </w:rPr>
        <w:t>It </w:t>
      </w:r>
      <w:r>
        <w:rPr>
          <w:color w:val="010101"/>
          <w:w w:val="105"/>
          <w:sz w:val="17"/>
        </w:rPr>
        <w:t>is desired  to obtain  values  of  </w:t>
      </w:r>
      <w:r>
        <w:rPr>
          <w:rFonts w:ascii="Arial"/>
          <w:b/>
          <w:i/>
          <w:color w:val="010101"/>
          <w:w w:val="105"/>
          <w:sz w:val="17"/>
        </w:rPr>
        <w:t>,M! </w:t>
      </w:r>
      <w:r>
        <w:rPr>
          <w:rFonts w:ascii="Arial"/>
          <w:b/>
          <w:i/>
          <w:color w:val="010101"/>
          <w:sz w:val="17"/>
        </w:rPr>
        <w:t>, </w:t>
      </w:r>
      <w:r>
        <w:rPr>
          <w:color w:val="010101"/>
          <w:w w:val="105"/>
          <w:sz w:val="17"/>
        </w:rPr>
        <w:t>where  </w:t>
      </w:r>
      <w:r>
        <w:rPr>
          <w:rFonts w:ascii="Arial"/>
          <w:i/>
          <w:color w:val="010101"/>
          <w:w w:val="105"/>
          <w:sz w:val="15"/>
        </w:rPr>
        <w:t>z  </w:t>
      </w:r>
      <w:r>
        <w:rPr>
          <w:color w:val="010101"/>
          <w:w w:val="105"/>
          <w:sz w:val="17"/>
        </w:rPr>
        <w:t>is </w:t>
      </w:r>
      <w:r>
        <w:rPr>
          <w:rFonts w:ascii="Arial"/>
          <w:color w:val="010101"/>
          <w:w w:val="105"/>
          <w:sz w:val="14"/>
        </w:rPr>
        <w:t>a  </w:t>
      </w:r>
      <w:r>
        <w:rPr>
          <w:color w:val="010101"/>
          <w:w w:val="105"/>
          <w:sz w:val="17"/>
        </w:rPr>
        <w:t>fixed  age  less  than  </w:t>
      </w:r>
      <w:r>
        <w:rPr>
          <w:rFonts w:ascii="Arial"/>
          <w:i/>
          <w:color w:val="010101"/>
          <w:w w:val="105"/>
          <w:sz w:val="14"/>
        </w:rPr>
        <w:t>y. </w:t>
      </w:r>
      <w:r>
        <w:rPr>
          <w:rFonts w:ascii="Arial"/>
          <w:i/>
          <w:color w:val="010101"/>
          <w:spacing w:val="24"/>
          <w:w w:val="105"/>
          <w:sz w:val="14"/>
        </w:rPr>
        <w:t> </w:t>
      </w:r>
      <w:r>
        <w:rPr>
          <w:color w:val="010101"/>
          <w:w w:val="105"/>
          <w:sz w:val="17"/>
        </w:rPr>
        <w:t>Show</w:t>
      </w:r>
    </w:p>
    <w:p>
      <w:pPr>
        <w:spacing w:before="24"/>
        <w:ind w:left="109" w:right="0" w:firstLine="0"/>
        <w:jc w:val="left"/>
        <w:rPr>
          <w:sz w:val="17"/>
        </w:rPr>
      </w:pPr>
      <w:r>
        <w:rPr>
          <w:color w:val="010101"/>
          <w:w w:val="120"/>
          <w:sz w:val="17"/>
        </w:rPr>
        <w:t>that</w:t>
      </w:r>
    </w:p>
    <w:p>
      <w:pPr>
        <w:spacing w:before="66"/>
        <w:ind w:left="1985" w:right="0" w:firstLine="0"/>
        <w:jc w:val="left"/>
        <w:rPr>
          <w:rFonts w:ascii="Arial"/>
          <w:i/>
          <w:sz w:val="14"/>
        </w:rPr>
      </w:pPr>
      <w:r>
        <w:rPr>
          <w:rFonts w:ascii="Arial"/>
          <w:b/>
          <w:i/>
          <w:color w:val="010101"/>
          <w:w w:val="106"/>
          <w:sz w:val="17"/>
        </w:rPr>
        <w:t>.M!</w:t>
      </w:r>
      <w:r>
        <w:rPr>
          <w:rFonts w:ascii="Arial"/>
          <w:b/>
          <w:i/>
          <w:color w:val="010101"/>
          <w:sz w:val="17"/>
        </w:rPr>
        <w:t> </w:t>
      </w:r>
      <w:r>
        <w:rPr>
          <w:rFonts w:ascii="Arial"/>
          <w:b/>
          <w:i/>
          <w:color w:val="010101"/>
          <w:spacing w:val="-9"/>
          <w:sz w:val="17"/>
        </w:rPr>
        <w:t> </w:t>
      </w:r>
      <w:r>
        <w:rPr>
          <w:color w:val="010101"/>
          <w:w w:val="88"/>
          <w:sz w:val="21"/>
        </w:rPr>
        <w:t>=</w:t>
      </w:r>
      <w:r>
        <w:rPr>
          <w:color w:val="010101"/>
          <w:sz w:val="21"/>
        </w:rPr>
        <w:t> </w:t>
      </w:r>
      <w:r>
        <w:rPr>
          <w:color w:val="010101"/>
          <w:spacing w:val="-21"/>
          <w:sz w:val="21"/>
        </w:rPr>
        <w:t> </w:t>
      </w:r>
      <w:r>
        <w:rPr>
          <w:i/>
          <w:color w:val="010101"/>
          <w:w w:val="33"/>
          <w:position w:val="-2"/>
          <w:sz w:val="18"/>
        </w:rPr>
        <w:t>1</w:t>
      </w:r>
      <w:r>
        <w:rPr>
          <w:i/>
          <w:color w:val="010101"/>
          <w:spacing w:val="8"/>
          <w:w w:val="33"/>
          <w:position w:val="-2"/>
          <w:sz w:val="18"/>
        </w:rPr>
        <w:t>1</w:t>
      </w:r>
      <w:r>
        <w:rPr>
          <w:i/>
          <w:color w:val="010101"/>
          <w:w w:val="98"/>
          <w:sz w:val="18"/>
        </w:rPr>
        <w:t>M!</w:t>
      </w:r>
      <w:r>
        <w:rPr>
          <w:i/>
          <w:color w:val="010101"/>
          <w:sz w:val="18"/>
        </w:rPr>
        <w:t> </w:t>
      </w:r>
      <w:r>
        <w:rPr>
          <w:i/>
          <w:color w:val="010101"/>
          <w:spacing w:val="-11"/>
          <w:sz w:val="18"/>
        </w:rPr>
        <w:t> </w:t>
      </w:r>
      <w:r>
        <w:rPr>
          <w:color w:val="010101"/>
          <w:w w:val="241"/>
          <w:sz w:val="18"/>
        </w:rPr>
        <w:t>-</w:t>
      </w:r>
      <w:r>
        <w:rPr>
          <w:color w:val="010101"/>
          <w:spacing w:val="10"/>
          <w:sz w:val="18"/>
        </w:rPr>
        <w:t> </w:t>
      </w:r>
      <w:r>
        <w:rPr>
          <w:i/>
          <w:color w:val="010101"/>
          <w:w w:val="69"/>
          <w:sz w:val="18"/>
        </w:rPr>
        <w:t>11M!</w:t>
      </w:r>
      <w:r>
        <w:rPr>
          <w:i/>
          <w:color w:val="010101"/>
          <w:spacing w:val="19"/>
          <w:sz w:val="18"/>
        </w:rPr>
        <w:t> </w:t>
      </w:r>
      <w:r>
        <w:rPr>
          <w:color w:val="010101"/>
          <w:w w:val="94"/>
          <w:sz w:val="18"/>
        </w:rPr>
        <w:t>,</w:t>
      </w:r>
      <w:r>
        <w:rPr>
          <w:color w:val="010101"/>
          <w:spacing w:val="9"/>
          <w:sz w:val="18"/>
        </w:rPr>
        <w:t> </w:t>
      </w:r>
      <w:r>
        <w:rPr>
          <w:rFonts w:ascii="Arial"/>
          <w:i/>
          <w:color w:val="010101"/>
          <w:w w:val="85"/>
          <w:sz w:val="15"/>
        </w:rPr>
        <w:t>z</w:t>
      </w:r>
      <w:r>
        <w:rPr>
          <w:rFonts w:ascii="Arial"/>
          <w:i/>
          <w:color w:val="010101"/>
          <w:sz w:val="15"/>
        </w:rPr>
        <w:t> </w:t>
      </w:r>
      <w:r>
        <w:rPr>
          <w:rFonts w:ascii="Arial"/>
          <w:i/>
          <w:color w:val="010101"/>
          <w:spacing w:val="7"/>
          <w:sz w:val="15"/>
        </w:rPr>
        <w:t> </w:t>
      </w:r>
      <w:r>
        <w:rPr>
          <w:rFonts w:ascii="Arial"/>
          <w:color w:val="010101"/>
          <w:w w:val="104"/>
          <w:sz w:val="22"/>
        </w:rPr>
        <w:t>&lt;</w:t>
      </w:r>
      <w:r>
        <w:rPr>
          <w:rFonts w:ascii="Arial"/>
          <w:color w:val="010101"/>
          <w:spacing w:val="1"/>
          <w:sz w:val="22"/>
        </w:rPr>
        <w:t> </w:t>
      </w:r>
      <w:r>
        <w:rPr>
          <w:rFonts w:ascii="Arial"/>
          <w:i/>
          <w:color w:val="010101"/>
          <w:w w:val="125"/>
          <w:sz w:val="14"/>
        </w:rPr>
        <w:t>y.</w:t>
      </w:r>
    </w:p>
    <w:p>
      <w:pPr>
        <w:spacing w:after="0"/>
        <w:jc w:val="left"/>
        <w:rPr>
          <w:rFonts w:ascii="Arial"/>
          <w:sz w:val="14"/>
        </w:rPr>
        <w:sectPr>
          <w:pgSz w:w="7200" w:h="11340"/>
          <w:pgMar w:top="520" w:bottom="280" w:left="680" w:right="520"/>
        </w:sectPr>
      </w:pPr>
    </w:p>
    <w:p>
      <w:pPr>
        <w:tabs>
          <w:tab w:pos="1990" w:val="left" w:leader="none"/>
          <w:tab w:pos="5267" w:val="left" w:leader="none"/>
        </w:tabs>
        <w:spacing w:before="48"/>
        <w:ind w:left="138" w:right="0" w:firstLine="0"/>
        <w:jc w:val="left"/>
        <w:rPr>
          <w:sz w:val="20"/>
        </w:rPr>
      </w:pPr>
      <w:r>
        <w:rPr>
          <w:rFonts w:ascii="Arial"/>
          <w:color w:val="010101"/>
          <w:sz w:val="21"/>
        </w:rPr>
        <w:t>328</w:t>
        <w:tab/>
      </w:r>
      <w:r>
        <w:rPr>
          <w:b/>
          <w:color w:val="010101"/>
          <w:position w:val="1"/>
          <w:sz w:val="15"/>
        </w:rPr>
        <w:t>A  </w:t>
      </w:r>
      <w:r>
        <w:rPr>
          <w:b/>
          <w:color w:val="010101"/>
          <w:spacing w:val="2"/>
          <w:position w:val="1"/>
          <w:sz w:val="15"/>
        </w:rPr>
        <w:t> </w:t>
      </w:r>
      <w:r>
        <w:rPr>
          <w:b/>
          <w:color w:val="010101"/>
          <w:position w:val="1"/>
          <w:sz w:val="15"/>
        </w:rPr>
        <w:t>GENERALIZED  </w:t>
      </w:r>
      <w:r>
        <w:rPr>
          <w:b/>
          <w:color w:val="010101"/>
          <w:spacing w:val="1"/>
          <w:position w:val="1"/>
          <w:sz w:val="15"/>
        </w:rPr>
        <w:t> </w:t>
      </w:r>
      <w:r>
        <w:rPr>
          <w:b/>
          <w:color w:val="010101"/>
          <w:position w:val="1"/>
          <w:sz w:val="15"/>
        </w:rPr>
        <w:t>MODEL</w:t>
        <w:tab/>
      </w:r>
      <w:r>
        <w:rPr>
          <w:color w:val="010101"/>
          <w:position w:val="2"/>
          <w:sz w:val="21"/>
        </w:rPr>
        <w:t>[CH.</w:t>
      </w:r>
      <w:r>
        <w:rPr>
          <w:color w:val="010101"/>
          <w:spacing w:val="13"/>
          <w:position w:val="2"/>
          <w:sz w:val="21"/>
        </w:rPr>
        <w:t> </w:t>
      </w:r>
      <w:r>
        <w:rPr>
          <w:color w:val="010101"/>
          <w:spacing w:val="-25"/>
          <w:position w:val="2"/>
          <w:sz w:val="20"/>
        </w:rPr>
        <w:t>16</w:t>
      </w:r>
    </w:p>
    <w:p>
      <w:pPr>
        <w:pStyle w:val="ListParagraph"/>
        <w:numPr>
          <w:ilvl w:val="0"/>
          <w:numId w:val="145"/>
        </w:numPr>
        <w:tabs>
          <w:tab w:pos="516" w:val="left" w:leader="none"/>
        </w:tabs>
        <w:spacing w:line="379" w:lineRule="exact" w:before="62" w:after="0"/>
        <w:ind w:left="515" w:right="0" w:hanging="219"/>
        <w:jc w:val="left"/>
        <w:rPr>
          <w:b/>
          <w:sz w:val="17"/>
        </w:rPr>
      </w:pPr>
      <w:r>
        <w:rPr>
          <w:color w:val="010101"/>
          <w:w w:val="105"/>
          <w:sz w:val="17"/>
        </w:rPr>
        <w:t>Using  </w:t>
      </w:r>
      <w:r>
        <w:rPr>
          <w:color w:val="010101"/>
          <w:sz w:val="34"/>
        </w:rPr>
        <w:t>•e: </w:t>
      </w:r>
      <w:r>
        <w:rPr>
          <w:rFonts w:ascii="Arial" w:hAnsi="Arial"/>
          <w:color w:val="010101"/>
          <w:w w:val="105"/>
          <w:sz w:val="14"/>
        </w:rPr>
        <w:t>as </w:t>
      </w:r>
      <w:r>
        <w:rPr>
          <w:color w:val="010101"/>
          <w:w w:val="105"/>
          <w:sz w:val="17"/>
        </w:rPr>
        <w:t>defined in the text, obtain an </w:t>
      </w:r>
      <w:r>
        <w:rPr>
          <w:b/>
          <w:color w:val="010101"/>
          <w:w w:val="105"/>
          <w:sz w:val="17"/>
        </w:rPr>
        <w:t>approximating </w:t>
      </w:r>
      <w:r>
        <w:rPr>
          <w:b/>
          <w:color w:val="010101"/>
          <w:spacing w:val="6"/>
          <w:w w:val="105"/>
          <w:sz w:val="17"/>
        </w:rPr>
        <w:t> </w:t>
      </w:r>
      <w:r>
        <w:rPr>
          <w:b/>
          <w:color w:val="010101"/>
          <w:w w:val="105"/>
          <w:sz w:val="17"/>
        </w:rPr>
        <w:t>expl'888ion</w:t>
      </w:r>
    </w:p>
    <w:p>
      <w:pPr>
        <w:spacing w:line="177" w:lineRule="exact" w:before="0"/>
        <w:ind w:left="142" w:right="0" w:firstLine="0"/>
        <w:jc w:val="left"/>
        <w:rPr>
          <w:sz w:val="17"/>
        </w:rPr>
      </w:pPr>
      <w:r>
        <w:rPr>
          <w:color w:val="010101"/>
          <w:w w:val="110"/>
          <w:sz w:val="17"/>
        </w:rPr>
        <w:t>for</w:t>
      </w:r>
    </w:p>
    <w:p>
      <w:pPr>
        <w:spacing w:after="0" w:line="177" w:lineRule="exact"/>
        <w:jc w:val="left"/>
        <w:rPr>
          <w:sz w:val="17"/>
        </w:rPr>
        <w:sectPr>
          <w:pgSz w:w="7200" w:h="11340"/>
          <w:pgMar w:top="480" w:bottom="280" w:left="640" w:right="560"/>
        </w:sectPr>
      </w:pPr>
    </w:p>
    <w:p>
      <w:pPr>
        <w:pStyle w:val="BodyText"/>
        <w:rPr>
          <w:sz w:val="16"/>
        </w:rPr>
      </w:pPr>
    </w:p>
    <w:p>
      <w:pPr>
        <w:pStyle w:val="BodyText"/>
        <w:rPr>
          <w:sz w:val="16"/>
        </w:rPr>
      </w:pPr>
    </w:p>
    <w:p>
      <w:pPr>
        <w:pStyle w:val="BodyText"/>
        <w:rPr>
          <w:sz w:val="16"/>
        </w:rPr>
      </w:pPr>
    </w:p>
    <w:p>
      <w:pPr>
        <w:pStyle w:val="BodyText"/>
        <w:spacing w:before="8"/>
        <w:rPr>
          <w:sz w:val="17"/>
        </w:rPr>
      </w:pPr>
    </w:p>
    <w:p>
      <w:pPr>
        <w:spacing w:before="1"/>
        <w:ind w:left="146" w:right="-19" w:firstLine="0"/>
        <w:jc w:val="left"/>
        <w:rPr>
          <w:b/>
          <w:sz w:val="16"/>
        </w:rPr>
      </w:pPr>
      <w:r>
        <w:rPr>
          <w:rFonts w:ascii="Arial"/>
          <w:b/>
          <w:color w:val="010101"/>
          <w:sz w:val="17"/>
        </w:rPr>
        <w:t>Z.  </w:t>
      </w:r>
      <w:r>
        <w:rPr>
          <w:b/>
          <w:color w:val="010101"/>
          <w:w w:val="115"/>
          <w:sz w:val="16"/>
        </w:rPr>
        <w:t>Pension  plana</w:t>
      </w:r>
    </w:p>
    <w:p>
      <w:pPr>
        <w:spacing w:line="497" w:lineRule="exact" w:before="0"/>
        <w:ind w:left="146" w:right="0" w:firstLine="0"/>
        <w:jc w:val="left"/>
        <w:rPr>
          <w:i/>
          <w:sz w:val="29"/>
        </w:rPr>
      </w:pPr>
      <w:r>
        <w:rPr/>
        <w:br w:type="column"/>
      </w:r>
      <w:r>
        <w:rPr>
          <w:rFonts w:ascii="Arial" w:hAnsi="Arial"/>
          <w:i/>
          <w:color w:val="010101"/>
          <w:spacing w:val="17"/>
          <w:w w:val="59"/>
          <w:sz w:val="50"/>
        </w:rPr>
        <w:t>J</w:t>
      </w:r>
      <w:r>
        <w:rPr>
          <w:b/>
          <w:color w:val="010101"/>
          <w:w w:val="138"/>
          <w:position w:val="22"/>
          <w:sz w:val="11"/>
        </w:rPr>
        <w:t>H</w:t>
      </w:r>
      <w:r>
        <w:rPr>
          <w:b/>
          <w:color w:val="010101"/>
          <w:position w:val="22"/>
          <w:sz w:val="11"/>
        </w:rPr>
        <w:t>  </w:t>
      </w:r>
      <w:r>
        <w:rPr>
          <w:b/>
          <w:color w:val="010101"/>
          <w:spacing w:val="-8"/>
          <w:position w:val="22"/>
          <w:sz w:val="11"/>
        </w:rPr>
        <w:t> </w:t>
      </w:r>
      <w:r>
        <w:rPr>
          <w:rFonts w:ascii="Arial" w:hAnsi="Arial"/>
          <w:i/>
          <w:color w:val="010101"/>
          <w:w w:val="23"/>
          <w:sz w:val="50"/>
        </w:rPr>
        <w:t>(</w:t>
      </w:r>
      <w:r>
        <w:rPr>
          <w:rFonts w:ascii="Arial" w:hAnsi="Arial"/>
          <w:i/>
          <w:color w:val="010101"/>
          <w:w w:val="23"/>
          <w:sz w:val="50"/>
        </w:rPr>
        <w:t>:,:</w:t>
      </w:r>
      <w:r>
        <w:rPr>
          <w:rFonts w:ascii="Arial" w:hAnsi="Arial"/>
          <w:i/>
          <w:color w:val="010101"/>
          <w:spacing w:val="-89"/>
          <w:sz w:val="50"/>
        </w:rPr>
        <w:t> </w:t>
      </w:r>
      <w:r>
        <w:rPr>
          <w:rFonts w:ascii="Arial" w:hAnsi="Arial"/>
          <w:color w:val="010101"/>
          <w:spacing w:val="23"/>
          <w:w w:val="84"/>
          <w:sz w:val="50"/>
        </w:rPr>
        <w:t>-</w:t>
      </w:r>
      <w:r>
        <w:rPr>
          <w:i/>
          <w:color w:val="010101"/>
          <w:w w:val="72"/>
          <w:sz w:val="25"/>
        </w:rPr>
        <w:t>?</w:t>
      </w:r>
      <w:r>
        <w:rPr>
          <w:i/>
          <w:color w:val="010101"/>
          <w:spacing w:val="-19"/>
          <w:w w:val="72"/>
          <w:sz w:val="25"/>
        </w:rPr>
        <w:t>n</w:t>
      </w:r>
      <w:r>
        <w:rPr>
          <w:i/>
          <w:color w:val="010101"/>
          <w:w w:val="57"/>
          <w:sz w:val="25"/>
        </w:rPr>
        <w:t>)</w:t>
      </w:r>
      <w:r>
        <w:rPr>
          <w:i/>
          <w:color w:val="010101"/>
          <w:spacing w:val="16"/>
          <w:w w:val="57"/>
          <w:sz w:val="25"/>
        </w:rPr>
        <w:t>v</w:t>
      </w:r>
      <w:r>
        <w:rPr>
          <w:i/>
          <w:color w:val="010101"/>
          <w:spacing w:val="-4"/>
          <w:w w:val="102"/>
          <w:sz w:val="25"/>
        </w:rPr>
        <w:t>•</w:t>
      </w:r>
      <w:r>
        <w:rPr>
          <w:i/>
          <w:color w:val="010101"/>
          <w:w w:val="81"/>
          <w:sz w:val="25"/>
        </w:rPr>
        <w:t>z;</w:t>
      </w:r>
      <w:r>
        <w:rPr>
          <w:i/>
          <w:color w:val="010101"/>
          <w:spacing w:val="-42"/>
          <w:sz w:val="25"/>
        </w:rPr>
        <w:t> </w:t>
      </w:r>
      <w:r>
        <w:rPr>
          <w:i/>
          <w:color w:val="010101"/>
          <w:w w:val="66"/>
          <w:sz w:val="29"/>
        </w:rPr>
        <w:t>,.:a:</w:t>
      </w:r>
    </w:p>
    <w:p>
      <w:pPr>
        <w:spacing w:line="124" w:lineRule="exact" w:before="0"/>
        <w:ind w:left="239" w:right="0" w:firstLine="0"/>
        <w:jc w:val="left"/>
        <w:rPr>
          <w:b/>
          <w:sz w:val="12"/>
        </w:rPr>
      </w:pPr>
      <w:r>
        <w:rPr/>
        <w:pict>
          <v:shape style="position:absolute;margin-left:218.4048pt;margin-top:-11.854158pt;width:11.6pt;height:9pt;mso-position-horizontal-relative:page;mso-position-vertical-relative:paragraph;z-index:26560" type="#_x0000_t202" filled="false" stroked="false">
            <v:textbox inset="0,0,0,0">
              <w:txbxContent>
                <w:p>
                  <w:pPr>
                    <w:spacing w:line="180" w:lineRule="exact" w:before="0"/>
                    <w:ind w:left="0" w:right="-14" w:firstLine="0"/>
                    <w:jc w:val="left"/>
                    <w:rPr>
                      <w:i/>
                      <w:sz w:val="18"/>
                    </w:rPr>
                  </w:pPr>
                  <w:r>
                    <w:rPr>
                      <w:i/>
                      <w:color w:val="010101"/>
                      <w:w w:val="110"/>
                      <w:sz w:val="18"/>
                    </w:rPr>
                    <w:t>dz.</w:t>
                  </w:r>
                </w:p>
              </w:txbxContent>
            </v:textbox>
            <w10:wrap type="none"/>
          </v:shape>
        </w:pict>
      </w:r>
      <w:r>
        <w:rPr>
          <w:b/>
          <w:color w:val="010101"/>
          <w:w w:val="127"/>
          <w:sz w:val="12"/>
        </w:rPr>
        <w:t>H</w:t>
      </w:r>
    </w:p>
    <w:p>
      <w:pPr>
        <w:spacing w:after="0" w:line="124" w:lineRule="exact"/>
        <w:jc w:val="left"/>
        <w:rPr>
          <w:sz w:val="12"/>
        </w:rPr>
        <w:sectPr>
          <w:type w:val="continuous"/>
          <w:pgSz w:w="7200" w:h="11340"/>
          <w:pgMar w:top="1100" w:bottom="0" w:left="640" w:right="560"/>
          <w:cols w:num="2" w:equalWidth="0">
            <w:col w:w="1538" w:space="411"/>
            <w:col w:w="4051"/>
          </w:cols>
        </w:sectPr>
      </w:pPr>
    </w:p>
    <w:p>
      <w:pPr>
        <w:pStyle w:val="ListParagraph"/>
        <w:numPr>
          <w:ilvl w:val="0"/>
          <w:numId w:val="145"/>
        </w:numPr>
        <w:tabs>
          <w:tab w:pos="502" w:val="left" w:leader="none"/>
        </w:tabs>
        <w:spacing w:line="229" w:lineRule="exact" w:before="16" w:after="0"/>
        <w:ind w:left="501" w:right="0" w:hanging="212"/>
        <w:jc w:val="left"/>
        <w:rPr>
          <w:sz w:val="24"/>
        </w:rPr>
      </w:pPr>
      <w:r>
        <w:rPr>
          <w:color w:val="010101"/>
          <w:w w:val="110"/>
          <w:sz w:val="17"/>
        </w:rPr>
        <w:t>For a given age </w:t>
      </w:r>
      <w:r>
        <w:rPr>
          <w:rFonts w:ascii="Arial"/>
          <w:i/>
          <w:color w:val="010101"/>
          <w:w w:val="110"/>
          <w:sz w:val="14"/>
        </w:rPr>
        <w:t>x  </w:t>
      </w:r>
      <w:r>
        <w:rPr>
          <w:color w:val="010101"/>
          <w:w w:val="110"/>
          <w:sz w:val="17"/>
        </w:rPr>
        <w:t>(lesa than 65), the probability of  retirement  </w:t>
      </w:r>
      <w:r>
        <w:rPr>
          <w:i/>
          <w:color w:val="010101"/>
          <w:spacing w:val="-4"/>
          <w:sz w:val="24"/>
        </w:rPr>
        <w:t>q:+, </w:t>
      </w:r>
      <w:r>
        <w:rPr>
          <w:i/>
          <w:color w:val="010101"/>
          <w:spacing w:val="-1"/>
          <w:sz w:val="24"/>
        </w:rPr>
        <w:t> </w:t>
      </w:r>
      <w:r>
        <w:rPr>
          <w:color w:val="010101"/>
          <w:w w:val="145"/>
          <w:sz w:val="24"/>
        </w:rPr>
        <w:t>-</w:t>
      </w:r>
    </w:p>
    <w:p>
      <w:pPr>
        <w:spacing w:line="252" w:lineRule="exact" w:before="0"/>
        <w:ind w:left="156" w:right="0" w:firstLine="0"/>
        <w:jc w:val="left"/>
        <w:rPr>
          <w:sz w:val="17"/>
        </w:rPr>
      </w:pPr>
      <w:r>
        <w:rPr>
          <w:color w:val="010101"/>
          <w:w w:val="110"/>
          <w:sz w:val="17"/>
        </w:rPr>
        <w:t>.002 </w:t>
      </w:r>
      <w:r>
        <w:rPr>
          <w:rFonts w:ascii="Arial"/>
          <w:i/>
          <w:color w:val="010101"/>
          <w:w w:val="110"/>
          <w:sz w:val="14"/>
        </w:rPr>
        <w:t>(t  </w:t>
      </w:r>
      <w:r>
        <w:rPr>
          <w:rFonts w:ascii="Arial"/>
          <w:color w:val="010101"/>
          <w:w w:val="110"/>
          <w:sz w:val="26"/>
        </w:rPr>
        <w:t>+ </w:t>
      </w:r>
      <w:r>
        <w:rPr>
          <w:rFonts w:ascii="Arial"/>
          <w:color w:val="010101"/>
          <w:w w:val="110"/>
          <w:sz w:val="15"/>
        </w:rPr>
        <w:t>1) </w:t>
      </w:r>
      <w:r>
        <w:rPr>
          <w:color w:val="010101"/>
          <w:w w:val="110"/>
          <w:sz w:val="17"/>
        </w:rPr>
        <w:t>for ali </w:t>
      </w:r>
      <w:r>
        <w:rPr>
          <w:i/>
          <w:color w:val="010101"/>
          <w:w w:val="110"/>
          <w:sz w:val="18"/>
        </w:rPr>
        <w:t>t . </w:t>
      </w:r>
      <w:r>
        <w:rPr>
          <w:color w:val="010101"/>
          <w:w w:val="110"/>
          <w:sz w:val="17"/>
        </w:rPr>
        <w:t>Show that</w:t>
      </w:r>
    </w:p>
    <w:p>
      <w:pPr>
        <w:spacing w:before="49"/>
        <w:ind w:left="98" w:right="59" w:firstLine="0"/>
        <w:jc w:val="center"/>
        <w:rPr>
          <w:rFonts w:ascii="Arial"/>
          <w:i/>
          <w:sz w:val="16"/>
        </w:rPr>
      </w:pPr>
      <w:r>
        <w:rPr>
          <w:rFonts w:ascii="Arial"/>
          <w:i/>
          <w:color w:val="010101"/>
          <w:spacing w:val="-24"/>
          <w:w w:val="131"/>
          <w:sz w:val="23"/>
        </w:rPr>
        <w:t>,</w:t>
      </w:r>
      <w:r>
        <w:rPr>
          <w:rFonts w:ascii="Arial"/>
          <w:i/>
          <w:color w:val="010101"/>
          <w:w w:val="118"/>
          <w:sz w:val="23"/>
        </w:rPr>
        <w:t>Ji;</w:t>
      </w:r>
      <w:r>
        <w:rPr>
          <w:rFonts w:ascii="Arial"/>
          <w:i/>
          <w:color w:val="010101"/>
          <w:spacing w:val="14"/>
          <w:sz w:val="23"/>
        </w:rPr>
        <w:t> </w:t>
      </w:r>
      <w:r>
        <w:rPr>
          <w:color w:val="010101"/>
          <w:w w:val="83"/>
          <w:sz w:val="23"/>
        </w:rPr>
        <w:t>=</w:t>
      </w:r>
      <w:r>
        <w:rPr>
          <w:color w:val="010101"/>
          <w:sz w:val="23"/>
        </w:rPr>
        <w:t> </w:t>
      </w:r>
      <w:r>
        <w:rPr>
          <w:color w:val="010101"/>
          <w:spacing w:val="-12"/>
          <w:sz w:val="23"/>
        </w:rPr>
        <w:t> </w:t>
      </w:r>
      <w:r>
        <w:rPr>
          <w:color w:val="010101"/>
          <w:spacing w:val="-29"/>
          <w:w w:val="127"/>
          <w:sz w:val="18"/>
        </w:rPr>
        <w:t>.</w:t>
      </w:r>
      <w:r>
        <w:rPr>
          <w:color w:val="010101"/>
          <w:w w:val="95"/>
          <w:sz w:val="18"/>
        </w:rPr>
        <w:t>002</w:t>
      </w:r>
      <w:r>
        <w:rPr>
          <w:color w:val="010101"/>
          <w:spacing w:val="7"/>
          <w:sz w:val="18"/>
        </w:rPr>
        <w:t> </w:t>
      </w:r>
      <w:r>
        <w:rPr>
          <w:rFonts w:ascii="Arial"/>
          <w:i/>
          <w:color w:val="010101"/>
          <w:spacing w:val="2"/>
          <w:w w:val="88"/>
          <w:sz w:val="15"/>
        </w:rPr>
        <w:t>v</w:t>
      </w:r>
      <w:r>
        <w:rPr>
          <w:i/>
          <w:color w:val="010101"/>
          <w:w w:val="91"/>
          <w:position w:val="5"/>
          <w:sz w:val="14"/>
        </w:rPr>
        <w:t>1</w:t>
      </w:r>
      <w:r>
        <w:rPr>
          <w:rFonts w:ascii="Arial"/>
          <w:i/>
          <w:color w:val="010101"/>
          <w:w w:val="122"/>
          <w:sz w:val="16"/>
        </w:rPr>
        <w:t>[S;</w:t>
      </w:r>
      <w:r>
        <w:rPr>
          <w:rFonts w:ascii="Arial"/>
          <w:i/>
          <w:color w:val="010101"/>
          <w:sz w:val="16"/>
        </w:rPr>
        <w:t> </w:t>
      </w:r>
      <w:r>
        <w:rPr>
          <w:rFonts w:ascii="Arial"/>
          <w:i/>
          <w:color w:val="010101"/>
          <w:spacing w:val="-10"/>
          <w:sz w:val="16"/>
        </w:rPr>
        <w:t> </w:t>
      </w:r>
      <w:r>
        <w:rPr>
          <w:rFonts w:ascii="Arial"/>
          <w:color w:val="010101"/>
          <w:w w:val="261"/>
          <w:sz w:val="16"/>
        </w:rPr>
        <w:t>-</w:t>
      </w:r>
      <w:r>
        <w:rPr>
          <w:rFonts w:ascii="Arial"/>
          <w:color w:val="010101"/>
          <w:spacing w:val="16"/>
          <w:sz w:val="16"/>
        </w:rPr>
        <w:t> </w:t>
      </w:r>
      <w:r>
        <w:rPr>
          <w:rFonts w:ascii="Arial"/>
          <w:i/>
          <w:color w:val="010101"/>
          <w:w w:val="109"/>
          <w:sz w:val="21"/>
        </w:rPr>
        <w:t>s[.</w:t>
      </w:r>
      <w:r>
        <w:rPr>
          <w:rFonts w:ascii="Arial"/>
          <w:i/>
          <w:color w:val="010101"/>
          <w:spacing w:val="-15"/>
          <w:sz w:val="21"/>
        </w:rPr>
        <w:t> </w:t>
      </w:r>
      <w:r>
        <w:rPr>
          <w:rFonts w:ascii="Arial"/>
          <w:color w:val="010101"/>
          <w:w w:val="204"/>
          <w:sz w:val="21"/>
        </w:rPr>
        <w:t>-</w:t>
      </w:r>
      <w:r>
        <w:rPr>
          <w:rFonts w:ascii="Arial"/>
          <w:color w:val="010101"/>
          <w:spacing w:val="20"/>
          <w:sz w:val="21"/>
        </w:rPr>
        <w:t> </w:t>
      </w:r>
      <w:r>
        <w:rPr>
          <w:color w:val="010101"/>
          <w:w w:val="90"/>
          <w:sz w:val="18"/>
        </w:rPr>
        <w:t>(65</w:t>
      </w:r>
      <w:r>
        <w:rPr>
          <w:color w:val="010101"/>
          <w:spacing w:val="20"/>
          <w:sz w:val="18"/>
        </w:rPr>
        <w:t> </w:t>
      </w:r>
      <w:r>
        <w:rPr>
          <w:color w:val="010101"/>
          <w:w w:val="257"/>
          <w:sz w:val="18"/>
        </w:rPr>
        <w:t>-</w:t>
      </w:r>
      <w:r>
        <w:rPr>
          <w:color w:val="010101"/>
          <w:spacing w:val="4"/>
          <w:sz w:val="18"/>
        </w:rPr>
        <w:t> </w:t>
      </w:r>
      <w:r>
        <w:rPr>
          <w:rFonts w:ascii="Arial"/>
          <w:color w:val="010101"/>
          <w:w w:val="119"/>
          <w:sz w:val="15"/>
        </w:rPr>
        <w:t>x)</w:t>
      </w:r>
      <w:r>
        <w:rPr>
          <w:rFonts w:ascii="Arial"/>
          <w:color w:val="010101"/>
          <w:sz w:val="15"/>
        </w:rPr>
        <w:t> </w:t>
      </w:r>
      <w:r>
        <w:rPr>
          <w:rFonts w:ascii="Arial"/>
          <w:color w:val="010101"/>
          <w:spacing w:val="-21"/>
          <w:sz w:val="15"/>
        </w:rPr>
        <w:t> </w:t>
      </w:r>
      <w:r>
        <w:rPr>
          <w:rFonts w:ascii="Arial"/>
          <w:i/>
          <w:color w:val="010101"/>
          <w:spacing w:val="-11"/>
          <w:w w:val="232"/>
          <w:sz w:val="16"/>
        </w:rPr>
        <w:t>N</w:t>
      </w:r>
      <w:r>
        <w:rPr>
          <w:rFonts w:ascii="Arial"/>
          <w:i/>
          <w:color w:val="010101"/>
          <w:w w:val="106"/>
          <w:sz w:val="16"/>
        </w:rPr>
        <w:t>].</w:t>
      </w:r>
    </w:p>
    <w:p>
      <w:pPr>
        <w:pStyle w:val="ListParagraph"/>
        <w:numPr>
          <w:ilvl w:val="0"/>
          <w:numId w:val="145"/>
        </w:numPr>
        <w:tabs>
          <w:tab w:pos="513" w:val="left" w:leader="none"/>
        </w:tabs>
        <w:spacing w:line="240" w:lineRule="auto" w:before="98" w:after="0"/>
        <w:ind w:left="124" w:right="121" w:firstLine="169"/>
        <w:jc w:val="both"/>
        <w:rPr>
          <w:sz w:val="17"/>
        </w:rPr>
      </w:pPr>
      <w:r>
        <w:rPr>
          <w:color w:val="010101"/>
          <w:w w:val="110"/>
          <w:sz w:val="17"/>
        </w:rPr>
        <w:t>lf an employee aged </w:t>
      </w:r>
      <w:r>
        <w:rPr>
          <w:i/>
          <w:color w:val="010101"/>
          <w:w w:val="110"/>
          <w:sz w:val="18"/>
        </w:rPr>
        <w:t>x </w:t>
      </w:r>
      <w:r>
        <w:rPr>
          <w:color w:val="010101"/>
          <w:w w:val="110"/>
          <w:sz w:val="17"/>
        </w:rPr>
        <w:t>retires or becomes permanently disabled within the next year, he </w:t>
      </w:r>
      <w:r>
        <w:rPr>
          <w:color w:val="010101"/>
          <w:w w:val="110"/>
          <w:sz w:val="16"/>
        </w:rPr>
        <w:t>will </w:t>
      </w:r>
      <w:r>
        <w:rPr>
          <w:color w:val="010101"/>
          <w:w w:val="110"/>
          <w:sz w:val="17"/>
        </w:rPr>
        <w:t>receive an annual life income of </w:t>
      </w:r>
      <w:r>
        <w:rPr>
          <w:color w:val="010101"/>
          <w:w w:val="110"/>
          <w:sz w:val="18"/>
        </w:rPr>
        <w:t>$4000. </w:t>
      </w:r>
      <w:r>
        <w:rPr>
          <w:color w:val="010101"/>
          <w:w w:val="110"/>
          <w:sz w:val="17"/>
        </w:rPr>
        <w:t>Find the net single premium for this one year's coverage, assuming that the income </w:t>
      </w:r>
      <w:r>
        <w:rPr>
          <w:rFonts w:ascii="Arial"/>
          <w:color w:val="010101"/>
          <w:w w:val="110"/>
          <w:sz w:val="17"/>
        </w:rPr>
        <w:t>is </w:t>
      </w:r>
      <w:r>
        <w:rPr>
          <w:color w:val="010101"/>
          <w:w w:val="110"/>
          <w:sz w:val="17"/>
        </w:rPr>
        <w:t>payable  on a continuous basis  and given  the</w:t>
      </w:r>
      <w:r>
        <w:rPr>
          <w:color w:val="010101"/>
          <w:spacing w:val="27"/>
          <w:w w:val="110"/>
          <w:sz w:val="17"/>
        </w:rPr>
        <w:t> </w:t>
      </w:r>
      <w:r>
        <w:rPr>
          <w:color w:val="010101"/>
          <w:w w:val="110"/>
          <w:sz w:val="17"/>
        </w:rPr>
        <w:t>following:</w:t>
      </w:r>
    </w:p>
    <w:p>
      <w:pPr>
        <w:tabs>
          <w:tab w:pos="1272" w:val="left" w:leader="none"/>
          <w:tab w:pos="3387" w:val="left" w:leader="none"/>
          <w:tab w:pos="4819" w:val="left" w:leader="none"/>
        </w:tabs>
        <w:spacing w:before="65"/>
        <w:ind w:left="128" w:right="0" w:firstLine="0"/>
        <w:jc w:val="left"/>
        <w:rPr>
          <w:sz w:val="17"/>
        </w:rPr>
      </w:pPr>
      <w:r>
        <w:rPr>
          <w:i/>
          <w:color w:val="010101"/>
          <w:w w:val="119"/>
          <w:sz w:val="18"/>
        </w:rPr>
        <w:t>D;</w:t>
      </w:r>
      <w:r>
        <w:rPr>
          <w:i/>
          <w:color w:val="010101"/>
          <w:sz w:val="18"/>
        </w:rPr>
        <w:t> </w:t>
      </w:r>
      <w:r>
        <w:rPr>
          <w:i/>
          <w:color w:val="010101"/>
          <w:spacing w:val="15"/>
          <w:sz w:val="18"/>
        </w:rPr>
        <w:t> </w:t>
      </w:r>
      <w:r>
        <w:rPr>
          <w:rFonts w:ascii="Arial" w:hAnsi="Arial"/>
          <w:color w:val="010101"/>
          <w:w w:val="155"/>
          <w:sz w:val="14"/>
        </w:rPr>
        <w:t>=</w:t>
      </w:r>
      <w:r>
        <w:rPr>
          <w:rFonts w:ascii="Arial" w:hAnsi="Arial"/>
          <w:color w:val="010101"/>
          <w:sz w:val="14"/>
        </w:rPr>
        <w:t>  </w:t>
      </w:r>
      <w:r>
        <w:rPr>
          <w:rFonts w:ascii="Arial" w:hAnsi="Arial"/>
          <w:color w:val="010101"/>
          <w:spacing w:val="-18"/>
          <w:sz w:val="14"/>
        </w:rPr>
        <w:t> </w:t>
      </w:r>
      <w:r>
        <w:rPr>
          <w:color w:val="010101"/>
          <w:w w:val="102"/>
          <w:sz w:val="16"/>
        </w:rPr>
        <w:t>1000,</w:t>
      </w:r>
      <w:r>
        <w:rPr>
          <w:color w:val="010101"/>
          <w:sz w:val="16"/>
        </w:rPr>
        <w:tab/>
      </w:r>
      <w:r>
        <w:rPr>
          <w:rFonts w:ascii="Arial" w:hAnsi="Arial"/>
          <w:color w:val="010101"/>
          <w:spacing w:val="-7"/>
          <w:w w:val="173"/>
          <w:position w:val="9"/>
          <w:sz w:val="7"/>
        </w:rPr>
        <w:t>0</w:t>
      </w:r>
      <w:r>
        <w:rPr>
          <w:color w:val="010101"/>
          <w:spacing w:val="-22"/>
          <w:w w:val="111"/>
          <w:sz w:val="22"/>
        </w:rPr>
        <w:t>6</w:t>
      </w:r>
      <w:r>
        <w:rPr>
          <w:color w:val="010101"/>
          <w:w w:val="176"/>
          <w:sz w:val="22"/>
        </w:rPr>
        <w:t>;</w:t>
      </w:r>
      <w:r>
        <w:rPr>
          <w:color w:val="010101"/>
          <w:spacing w:val="2"/>
          <w:sz w:val="22"/>
        </w:rPr>
        <w:t> </w:t>
      </w:r>
      <w:r>
        <w:rPr>
          <w:color w:val="010101"/>
          <w:w w:val="91"/>
          <w:sz w:val="21"/>
        </w:rPr>
        <w:t>=</w:t>
      </w:r>
      <w:r>
        <w:rPr>
          <w:color w:val="010101"/>
          <w:sz w:val="21"/>
        </w:rPr>
        <w:t> </w:t>
      </w:r>
      <w:r>
        <w:rPr>
          <w:color w:val="010101"/>
          <w:spacing w:val="12"/>
          <w:sz w:val="21"/>
        </w:rPr>
        <w:t> </w:t>
      </w:r>
      <w:r>
        <w:rPr>
          <w:color w:val="010101"/>
          <w:spacing w:val="-33"/>
          <w:w w:val="126"/>
          <w:sz w:val="16"/>
        </w:rPr>
        <w:t>1</w:t>
      </w:r>
      <w:r>
        <w:rPr>
          <w:color w:val="010101"/>
          <w:w w:val="109"/>
          <w:sz w:val="16"/>
        </w:rPr>
        <w:t>60,</w:t>
      </w:r>
      <w:r>
        <w:rPr>
          <w:color w:val="010101"/>
          <w:sz w:val="16"/>
        </w:rPr>
        <w:t>   </w:t>
      </w:r>
      <w:r>
        <w:rPr>
          <w:color w:val="010101"/>
          <w:spacing w:val="-5"/>
          <w:sz w:val="16"/>
        </w:rPr>
        <w:t> </w:t>
      </w:r>
      <w:r>
        <w:rPr>
          <w:color w:val="010101"/>
          <w:w w:val="58"/>
          <w:sz w:val="18"/>
        </w:rPr>
        <w:t>i:r:</w:t>
      </w:r>
      <w:r>
        <w:rPr>
          <w:color w:val="010101"/>
          <w:sz w:val="18"/>
        </w:rPr>
        <w:t> </w:t>
      </w:r>
      <w:r>
        <w:rPr>
          <w:color w:val="010101"/>
          <w:spacing w:val="16"/>
          <w:sz w:val="18"/>
        </w:rPr>
        <w:t> </w:t>
      </w:r>
      <w:r>
        <w:rPr>
          <w:rFonts w:ascii="Arial" w:hAnsi="Arial"/>
          <w:color w:val="010101"/>
          <w:w w:val="160"/>
          <w:sz w:val="14"/>
        </w:rPr>
        <w:t>=</w:t>
      </w:r>
      <w:r>
        <w:rPr>
          <w:rFonts w:ascii="Arial" w:hAnsi="Arial"/>
          <w:color w:val="010101"/>
          <w:sz w:val="14"/>
        </w:rPr>
        <w:t>  </w:t>
      </w:r>
      <w:r>
        <w:rPr>
          <w:rFonts w:ascii="Arial" w:hAnsi="Arial"/>
          <w:color w:val="010101"/>
          <w:spacing w:val="-19"/>
          <w:sz w:val="14"/>
        </w:rPr>
        <w:t> </w:t>
      </w:r>
      <w:r>
        <w:rPr>
          <w:i/>
          <w:color w:val="010101"/>
          <w:w w:val="67"/>
          <w:sz w:val="18"/>
        </w:rPr>
        <w:t>1.5r:r:</w:t>
      </w:r>
      <w:r>
        <w:rPr>
          <w:i/>
          <w:color w:val="010101"/>
          <w:sz w:val="18"/>
        </w:rPr>
        <w:t> </w:t>
      </w:r>
      <w:r>
        <w:rPr>
          <w:i/>
          <w:color w:val="010101"/>
          <w:spacing w:val="-22"/>
          <w:sz w:val="18"/>
        </w:rPr>
        <w:t> </w:t>
      </w:r>
      <w:r>
        <w:rPr>
          <w:i/>
          <w:color w:val="010101"/>
          <w:w w:val="110"/>
          <w:sz w:val="18"/>
        </w:rPr>
        <w:t>,</w:t>
      </w:r>
      <w:r>
        <w:rPr>
          <w:i/>
          <w:color w:val="010101"/>
          <w:sz w:val="18"/>
        </w:rPr>
        <w:tab/>
      </w:r>
      <w:r>
        <w:rPr>
          <w:rFonts w:ascii="Arial" w:hAnsi="Arial"/>
          <w:color w:val="010101"/>
          <w:w w:val="81"/>
          <w:sz w:val="24"/>
        </w:rPr>
        <w:t>á</w:t>
      </w:r>
      <w:r>
        <w:rPr>
          <w:rFonts w:ascii="Arial" w:hAnsi="Arial"/>
          <w:color w:val="010101"/>
          <w:spacing w:val="-21"/>
          <w:w w:val="81"/>
          <w:sz w:val="24"/>
        </w:rPr>
        <w:t>!</w:t>
      </w:r>
      <w:r>
        <w:rPr>
          <w:rFonts w:ascii="Arial" w:hAnsi="Arial"/>
          <w:color w:val="010101"/>
          <w:w w:val="65"/>
          <w:sz w:val="24"/>
        </w:rPr>
        <w:t>+t</w:t>
      </w:r>
      <w:r>
        <w:rPr>
          <w:rFonts w:ascii="Arial" w:hAnsi="Arial"/>
          <w:color w:val="010101"/>
          <w:spacing w:val="30"/>
          <w:sz w:val="24"/>
        </w:rPr>
        <w:t> </w:t>
      </w:r>
      <w:r>
        <w:rPr>
          <w:color w:val="010101"/>
          <w:w w:val="86"/>
          <w:sz w:val="23"/>
        </w:rPr>
        <w:t>=</w:t>
      </w:r>
      <w:r>
        <w:rPr>
          <w:color w:val="010101"/>
          <w:sz w:val="23"/>
        </w:rPr>
        <w:t> </w:t>
      </w:r>
      <w:r>
        <w:rPr>
          <w:color w:val="010101"/>
          <w:spacing w:val="5"/>
          <w:sz w:val="23"/>
        </w:rPr>
        <w:t> </w:t>
      </w:r>
      <w:r>
        <w:rPr>
          <w:color w:val="010101"/>
          <w:spacing w:val="-58"/>
          <w:w w:val="600"/>
          <w:sz w:val="16"/>
        </w:rPr>
        <w:t>-</w:t>
      </w:r>
      <w:r>
        <w:rPr>
          <w:color w:val="010101"/>
          <w:w w:val="105"/>
          <w:sz w:val="16"/>
        </w:rPr>
        <w:t>t</w:t>
      </w:r>
      <w:r>
        <w:rPr>
          <w:color w:val="010101"/>
          <w:sz w:val="16"/>
        </w:rPr>
        <w:t> </w:t>
      </w:r>
      <w:r>
        <w:rPr>
          <w:color w:val="010101"/>
          <w:spacing w:val="-9"/>
          <w:sz w:val="16"/>
        </w:rPr>
        <w:t> </w:t>
      </w:r>
      <w:r>
        <w:rPr>
          <w:color w:val="010101"/>
          <w:w w:val="123"/>
          <w:sz w:val="16"/>
        </w:rPr>
        <w:t>.</w:t>
      </w:r>
      <w:r>
        <w:rPr>
          <w:color w:val="010101"/>
          <w:sz w:val="16"/>
        </w:rPr>
        <w:tab/>
      </w:r>
      <w:r>
        <w:rPr>
          <w:color w:val="010101"/>
          <w:w w:val="103"/>
          <w:sz w:val="17"/>
        </w:rPr>
        <w:t>(</w:t>
      </w:r>
      <w:r>
        <w:rPr>
          <w:color w:val="010101"/>
          <w:w w:val="103"/>
          <w:sz w:val="17"/>
        </w:rPr>
        <w:t>Ans.</w:t>
      </w:r>
      <w:r>
        <w:rPr>
          <w:color w:val="010101"/>
          <w:spacing w:val="18"/>
          <w:sz w:val="17"/>
        </w:rPr>
        <w:t> </w:t>
      </w:r>
      <w:r>
        <w:rPr>
          <w:color w:val="010101"/>
          <w:w w:val="96"/>
          <w:sz w:val="17"/>
        </w:rPr>
        <w:t>$716.80)</w:t>
      </w:r>
    </w:p>
    <w:p>
      <w:pPr>
        <w:pStyle w:val="ListParagraph"/>
        <w:numPr>
          <w:ilvl w:val="0"/>
          <w:numId w:val="145"/>
        </w:numPr>
        <w:tabs>
          <w:tab w:pos="502" w:val="left" w:leader="none"/>
        </w:tabs>
        <w:spacing w:line="247" w:lineRule="auto" w:before="99" w:after="0"/>
        <w:ind w:left="128" w:right="135" w:firstLine="150"/>
        <w:jc w:val="both"/>
        <w:rPr>
          <w:sz w:val="17"/>
        </w:rPr>
      </w:pPr>
      <w:r>
        <w:rPr>
          <w:color w:val="010101"/>
          <w:w w:val="115"/>
          <w:sz w:val="17"/>
        </w:rPr>
        <w:t>How should </w:t>
      </w:r>
      <w:r>
        <w:rPr>
          <w:color w:val="010101"/>
          <w:spacing w:val="-4"/>
          <w:w w:val="115"/>
          <w:sz w:val="17"/>
        </w:rPr>
        <w:t>(16.8) </w:t>
      </w:r>
      <w:r>
        <w:rPr>
          <w:color w:val="010101"/>
          <w:w w:val="115"/>
          <w:sz w:val="17"/>
        </w:rPr>
        <w:t>be modified </w:t>
      </w:r>
      <w:r>
        <w:rPr>
          <w:color w:val="010101"/>
          <w:w w:val="105"/>
          <w:sz w:val="17"/>
        </w:rPr>
        <w:t>if </w:t>
      </w:r>
      <w:r>
        <w:rPr>
          <w:color w:val="010101"/>
          <w:w w:val="115"/>
          <w:sz w:val="17"/>
        </w:rPr>
        <w:t>the plan provides that participants (entering the plan at age x) who are still in service at the end </w:t>
      </w:r>
      <w:r>
        <w:rPr>
          <w:color w:val="010101"/>
          <w:w w:val="105"/>
          <w:sz w:val="17"/>
        </w:rPr>
        <w:t>of </w:t>
      </w:r>
      <w:r>
        <w:rPr>
          <w:color w:val="010101"/>
          <w:w w:val="115"/>
          <w:sz w:val="17"/>
        </w:rPr>
        <w:t>65 </w:t>
      </w:r>
      <w:r>
        <w:rPr>
          <w:color w:val="010101"/>
          <w:w w:val="245"/>
          <w:sz w:val="17"/>
        </w:rPr>
        <w:t>- </w:t>
      </w:r>
      <w:r>
        <w:rPr>
          <w:color w:val="010101"/>
          <w:w w:val="115"/>
          <w:sz w:val="17"/>
        </w:rPr>
        <w:t>z years must retire at that </w:t>
      </w:r>
      <w:r>
        <w:rPr>
          <w:color w:val="010101"/>
          <w:spacing w:val="39"/>
          <w:w w:val="115"/>
          <w:sz w:val="17"/>
        </w:rPr>
        <w:t> </w:t>
      </w:r>
      <w:r>
        <w:rPr>
          <w:color w:val="010101"/>
          <w:w w:val="115"/>
          <w:sz w:val="17"/>
        </w:rPr>
        <w:t>time?</w:t>
      </w:r>
    </w:p>
    <w:p>
      <w:pPr>
        <w:pStyle w:val="BodyText"/>
        <w:spacing w:before="10"/>
        <w:rPr>
          <w:sz w:val="14"/>
        </w:rPr>
      </w:pPr>
    </w:p>
    <w:p>
      <w:pPr>
        <w:pStyle w:val="ListParagraph"/>
        <w:numPr>
          <w:ilvl w:val="0"/>
          <w:numId w:val="146"/>
        </w:numPr>
        <w:tabs>
          <w:tab w:pos="326" w:val="left" w:leader="none"/>
        </w:tabs>
        <w:spacing w:line="183" w:lineRule="exact" w:before="0" w:after="0"/>
        <w:ind w:left="325" w:right="0" w:hanging="208"/>
        <w:jc w:val="left"/>
        <w:rPr>
          <w:b/>
          <w:color w:val="010101"/>
          <w:sz w:val="16"/>
        </w:rPr>
      </w:pPr>
      <w:r>
        <w:rPr>
          <w:b/>
          <w:color w:val="010101"/>
          <w:w w:val="125"/>
          <w:sz w:val="16"/>
        </w:rPr>
        <w:t>Pension  benefits based  on</w:t>
      </w:r>
      <w:r>
        <w:rPr>
          <w:b/>
          <w:color w:val="010101"/>
          <w:spacing w:val="26"/>
          <w:w w:val="125"/>
          <w:sz w:val="16"/>
        </w:rPr>
        <w:t> </w:t>
      </w:r>
      <w:r>
        <w:rPr>
          <w:b/>
          <w:color w:val="010101"/>
          <w:w w:val="125"/>
          <w:sz w:val="16"/>
        </w:rPr>
        <w:t>salary</w:t>
      </w:r>
    </w:p>
    <w:p>
      <w:pPr>
        <w:pStyle w:val="ListParagraph"/>
        <w:numPr>
          <w:ilvl w:val="1"/>
          <w:numId w:val="146"/>
        </w:numPr>
        <w:tabs>
          <w:tab w:pos="487" w:val="left" w:leader="none"/>
        </w:tabs>
        <w:spacing w:line="220" w:lineRule="auto" w:before="18" w:after="0"/>
        <w:ind w:left="120" w:right="143" w:firstLine="155"/>
        <w:jc w:val="both"/>
        <w:rPr>
          <w:sz w:val="17"/>
        </w:rPr>
      </w:pPr>
      <w:r>
        <w:rPr>
          <w:color w:val="010101"/>
          <w:w w:val="93"/>
          <w:sz w:val="17"/>
        </w:rPr>
        <w:t>A </w:t>
      </w:r>
      <w:r>
        <w:rPr>
          <w:color w:val="010101"/>
          <w:w w:val="114"/>
          <w:sz w:val="17"/>
        </w:rPr>
        <w:t>salary </w:t>
      </w:r>
      <w:r>
        <w:rPr>
          <w:color w:val="010101"/>
          <w:w w:val="109"/>
          <w:sz w:val="17"/>
        </w:rPr>
        <w:t>scale </w:t>
      </w:r>
      <w:r>
        <w:rPr>
          <w:color w:val="010101"/>
          <w:w w:val="77"/>
          <w:sz w:val="17"/>
        </w:rPr>
        <w:t>f </w:t>
      </w:r>
      <w:r>
        <w:rPr>
          <w:color w:val="010101"/>
          <w:w w:val="109"/>
          <w:sz w:val="17"/>
        </w:rPr>
        <w:t>unction </w:t>
      </w:r>
      <w:r>
        <w:rPr>
          <w:color w:val="010101"/>
          <w:w w:val="110"/>
          <w:sz w:val="17"/>
        </w:rPr>
        <w:t>has </w:t>
      </w:r>
      <w:r>
        <w:rPr>
          <w:color w:val="010101"/>
          <w:w w:val="111"/>
          <w:sz w:val="17"/>
        </w:rPr>
        <w:t>the </w:t>
      </w:r>
      <w:r>
        <w:rPr>
          <w:color w:val="010101"/>
          <w:w w:val="112"/>
          <w:sz w:val="17"/>
        </w:rPr>
        <w:t>property </w:t>
      </w:r>
      <w:r>
        <w:rPr>
          <w:color w:val="010101"/>
          <w:w w:val="119"/>
          <w:sz w:val="17"/>
        </w:rPr>
        <w:t>that </w:t>
      </w:r>
      <w:r>
        <w:rPr>
          <w:rFonts w:ascii="Arial"/>
          <w:i/>
          <w:color w:val="010101"/>
          <w:w w:val="93"/>
          <w:sz w:val="16"/>
        </w:rPr>
        <w:t>S,, </w:t>
      </w:r>
      <w:r>
        <w:rPr>
          <w:color w:val="010101"/>
          <w:w w:val="105"/>
          <w:sz w:val="19"/>
        </w:rPr>
        <w:t>= </w:t>
      </w:r>
      <w:r>
        <w:rPr>
          <w:color w:val="010101"/>
          <w:w w:val="98"/>
          <w:sz w:val="17"/>
        </w:rPr>
        <w:t>(1 </w:t>
      </w:r>
      <w:r>
        <w:rPr>
          <w:rFonts w:ascii="Arial"/>
          <w:color w:val="010101"/>
          <w:w w:val="105"/>
          <w:sz w:val="26"/>
        </w:rPr>
        <w:t>+ </w:t>
      </w:r>
      <w:r>
        <w:rPr>
          <w:color w:val="010101"/>
          <w:spacing w:val="-5"/>
          <w:w w:val="101"/>
          <w:sz w:val="18"/>
        </w:rPr>
        <w:t>i)":r:</w:t>
      </w:r>
      <w:r>
        <w:rPr>
          <w:color w:val="010101"/>
          <w:w w:val="101"/>
          <w:sz w:val="18"/>
        </w:rPr>
        <w:t> </w:t>
      </w:r>
      <w:r>
        <w:rPr>
          <w:rFonts w:ascii="Arial"/>
          <w:i/>
          <w:color w:val="010101"/>
          <w:w w:val="63"/>
          <w:sz w:val="16"/>
        </w:rPr>
        <w:t>S:r:</w:t>
      </w:r>
      <w:r>
        <w:rPr>
          <w:rFonts w:ascii="Arial"/>
          <w:i/>
          <w:color w:val="010101"/>
          <w:spacing w:val="28"/>
          <w:w w:val="63"/>
          <w:sz w:val="16"/>
        </w:rPr>
        <w:t> </w:t>
      </w:r>
      <w:r>
        <w:rPr>
          <w:rFonts w:ascii="Arial"/>
          <w:color w:val="010101"/>
          <w:w w:val="132"/>
          <w:sz w:val="16"/>
        </w:rPr>
        <w:t>. </w:t>
      </w:r>
      <w:r>
        <w:rPr>
          <w:color w:val="010101"/>
          <w:w w:val="112"/>
          <w:sz w:val="17"/>
        </w:rPr>
        <w:t>Find </w:t>
      </w:r>
      <w:r>
        <w:rPr>
          <w:color w:val="010101"/>
          <w:w w:val="105"/>
          <w:sz w:val="17"/>
        </w:rPr>
        <w:t>an expresaion  for  </w:t>
      </w:r>
      <w:r>
        <w:rPr>
          <w:rFonts w:ascii="Arial"/>
          <w:i/>
          <w:color w:val="010101"/>
          <w:w w:val="105"/>
          <w:sz w:val="18"/>
        </w:rPr>
        <w:t>.Z </w:t>
      </w:r>
      <w:r>
        <w:rPr>
          <w:color w:val="010101"/>
          <w:w w:val="105"/>
          <w:sz w:val="16"/>
        </w:rPr>
        <w:t>u  </w:t>
      </w:r>
      <w:r>
        <w:rPr>
          <w:color w:val="010101"/>
          <w:w w:val="105"/>
          <w:sz w:val="17"/>
        </w:rPr>
        <w:t>in  terms </w:t>
      </w:r>
      <w:r>
        <w:rPr>
          <w:color w:val="010101"/>
          <w:sz w:val="17"/>
        </w:rPr>
        <w:t>of  </w:t>
      </w:r>
      <w:r>
        <w:rPr>
          <w:rFonts w:ascii="Arial"/>
          <w:i/>
          <w:color w:val="010101"/>
          <w:sz w:val="16"/>
        </w:rPr>
        <w:t>S:r: </w:t>
      </w:r>
      <w:r>
        <w:rPr>
          <w:color w:val="010101"/>
          <w:w w:val="105"/>
          <w:sz w:val="17"/>
        </w:rPr>
        <w:t>and </w:t>
      </w:r>
      <w:r>
        <w:rPr>
          <w:color w:val="010101"/>
          <w:sz w:val="17"/>
        </w:rPr>
        <w:t>f </w:t>
      </w:r>
      <w:r>
        <w:rPr>
          <w:color w:val="010101"/>
          <w:w w:val="105"/>
          <w:sz w:val="17"/>
        </w:rPr>
        <w:t>unctions  involving interest</w:t>
      </w:r>
      <w:r>
        <w:rPr>
          <w:color w:val="010101"/>
          <w:spacing w:val="18"/>
          <w:w w:val="105"/>
          <w:sz w:val="17"/>
        </w:rPr>
        <w:t> </w:t>
      </w:r>
      <w:r>
        <w:rPr>
          <w:color w:val="010101"/>
          <w:w w:val="105"/>
          <w:sz w:val="17"/>
        </w:rPr>
        <w:t>only.</w:t>
      </w:r>
    </w:p>
    <w:p>
      <w:pPr>
        <w:pStyle w:val="ListParagraph"/>
        <w:numPr>
          <w:ilvl w:val="1"/>
          <w:numId w:val="146"/>
        </w:numPr>
        <w:tabs>
          <w:tab w:pos="491" w:val="left" w:leader="none"/>
          <w:tab w:pos="4671" w:val="left" w:leader="none"/>
        </w:tabs>
        <w:spacing w:line="244" w:lineRule="auto" w:before="7" w:after="0"/>
        <w:ind w:left="120" w:right="146" w:firstLine="158"/>
        <w:jc w:val="both"/>
        <w:rPr>
          <w:sz w:val="17"/>
        </w:rPr>
      </w:pPr>
      <w:r>
        <w:rPr>
          <w:color w:val="010101"/>
          <w:w w:val="105"/>
          <w:sz w:val="17"/>
        </w:rPr>
        <w:t>A  pension  plan  provides  a  retirement</w:t>
      </w:r>
      <w:r>
        <w:rPr>
          <w:color w:val="010101"/>
          <w:spacing w:val="31"/>
          <w:w w:val="105"/>
          <w:sz w:val="17"/>
        </w:rPr>
        <w:t> </w:t>
      </w:r>
      <w:r>
        <w:rPr>
          <w:color w:val="010101"/>
          <w:w w:val="105"/>
          <w:sz w:val="17"/>
        </w:rPr>
        <w:t>income  of</w:t>
        <w:tab/>
        <w:t>of</w:t>
      </w:r>
      <w:r>
        <w:rPr>
          <w:color w:val="010101"/>
          <w:spacing w:val="41"/>
          <w:w w:val="105"/>
          <w:sz w:val="17"/>
        </w:rPr>
        <w:t> </w:t>
      </w:r>
      <w:r>
        <w:rPr>
          <w:color w:val="010101"/>
          <w:w w:val="105"/>
          <w:sz w:val="17"/>
        </w:rPr>
        <w:t>the</w:t>
      </w:r>
      <w:r>
        <w:rPr>
          <w:color w:val="010101"/>
          <w:spacing w:val="32"/>
          <w:w w:val="105"/>
          <w:sz w:val="17"/>
        </w:rPr>
        <w:t> </w:t>
      </w:r>
      <w:r>
        <w:rPr>
          <w:color w:val="010101"/>
          <w:w w:val="105"/>
          <w:sz w:val="17"/>
        </w:rPr>
        <w:t>five-year</w:t>
      </w:r>
      <w:r>
        <w:rPr>
          <w:color w:val="010101"/>
          <w:w w:val="105"/>
          <w:sz w:val="17"/>
        </w:rPr>
        <w:t> </w:t>
      </w:r>
      <w:r>
        <w:rPr>
          <w:color w:val="010101"/>
          <w:w w:val="105"/>
          <w:sz w:val="17"/>
        </w:rPr>
        <w:t>final average salary. For an employee  now  aged  </w:t>
      </w:r>
      <w:r>
        <w:rPr>
          <w:i/>
          <w:color w:val="010101"/>
          <w:w w:val="105"/>
          <w:sz w:val="17"/>
        </w:rPr>
        <w:t>x  </w:t>
      </w:r>
      <w:r>
        <w:rPr>
          <w:color w:val="010101"/>
          <w:w w:val="105"/>
          <w:sz w:val="17"/>
        </w:rPr>
        <w:t>(where  </w:t>
      </w:r>
      <w:r>
        <w:rPr>
          <w:i/>
          <w:color w:val="010101"/>
          <w:w w:val="105"/>
          <w:sz w:val="17"/>
        </w:rPr>
        <w:t>x  </w:t>
      </w:r>
      <w:r>
        <w:rPr>
          <w:rFonts w:ascii="Arial"/>
          <w:color w:val="010101"/>
          <w:w w:val="105"/>
          <w:sz w:val="17"/>
        </w:rPr>
        <w:t>is </w:t>
      </w:r>
      <w:r>
        <w:rPr>
          <w:color w:val="010101"/>
          <w:w w:val="105"/>
          <w:sz w:val="17"/>
        </w:rPr>
        <w:t>not  within five years of the earliest retirement age) who is earning $10,000 per year, express  the present  value  of  this benefit  in terms  of  commutation</w:t>
      </w:r>
      <w:r>
        <w:rPr>
          <w:color w:val="010101"/>
          <w:spacing w:val="28"/>
          <w:w w:val="105"/>
          <w:sz w:val="17"/>
        </w:rPr>
        <w:t> </w:t>
      </w:r>
      <w:r>
        <w:rPr>
          <w:color w:val="010101"/>
          <w:w w:val="105"/>
          <w:sz w:val="17"/>
        </w:rPr>
        <w:t>functions.</w:t>
      </w:r>
    </w:p>
    <w:p>
      <w:pPr>
        <w:pStyle w:val="ListParagraph"/>
        <w:numPr>
          <w:ilvl w:val="1"/>
          <w:numId w:val="146"/>
        </w:numPr>
        <w:tabs>
          <w:tab w:pos="498" w:val="left" w:leader="none"/>
        </w:tabs>
        <w:spacing w:line="242" w:lineRule="auto" w:before="2" w:after="0"/>
        <w:ind w:left="120" w:right="146" w:firstLine="158"/>
        <w:jc w:val="both"/>
        <w:rPr>
          <w:sz w:val="17"/>
        </w:rPr>
      </w:pPr>
      <w:r>
        <w:rPr>
          <w:color w:val="010101"/>
          <w:w w:val="105"/>
          <w:sz w:val="17"/>
        </w:rPr>
        <w:t>Express in terms of commutation functions the present value of the following  benefits  for  an employee  hired  at  age x</w:t>
      </w:r>
      <w:r>
        <w:rPr>
          <w:color w:val="010101"/>
          <w:spacing w:val="-3"/>
          <w:w w:val="105"/>
          <w:sz w:val="17"/>
        </w:rPr>
        <w:t> </w:t>
      </w:r>
      <w:r>
        <w:rPr>
          <w:color w:val="010101"/>
          <w:w w:val="105"/>
          <w:sz w:val="17"/>
        </w:rPr>
        <w:t>:</w:t>
      </w:r>
    </w:p>
    <w:p>
      <w:pPr>
        <w:pStyle w:val="ListParagraph"/>
        <w:numPr>
          <w:ilvl w:val="2"/>
          <w:numId w:val="146"/>
        </w:numPr>
        <w:tabs>
          <w:tab w:pos="767" w:val="left" w:leader="none"/>
        </w:tabs>
        <w:spacing w:line="202" w:lineRule="exact" w:before="1" w:after="0"/>
        <w:ind w:left="759" w:right="133" w:hanging="244"/>
        <w:jc w:val="left"/>
        <w:rPr>
          <w:b/>
          <w:sz w:val="18"/>
        </w:rPr>
      </w:pPr>
      <w:r>
        <w:rPr>
          <w:color w:val="010101"/>
          <w:w w:val="105"/>
          <w:sz w:val="17"/>
        </w:rPr>
        <w:t>a retirement pension equal to  </w:t>
      </w:r>
      <w:r>
        <w:rPr>
          <w:rFonts w:ascii="Arial"/>
          <w:color w:val="010101"/>
          <w:w w:val="105"/>
          <w:sz w:val="20"/>
        </w:rPr>
        <w:t>2% </w:t>
      </w:r>
      <w:r>
        <w:rPr>
          <w:color w:val="010101"/>
          <w:w w:val="105"/>
          <w:sz w:val="17"/>
        </w:rPr>
        <w:t>of  annual  salary  at  the  rate  of pay  applicable  in  the  year  of  retirement  for  ea.ch  of  the  6.rst </w:t>
      </w:r>
      <w:r>
        <w:rPr>
          <w:color w:val="010101"/>
          <w:spacing w:val="37"/>
          <w:w w:val="105"/>
          <w:sz w:val="17"/>
        </w:rPr>
        <w:t> </w:t>
      </w:r>
      <w:r>
        <w:rPr>
          <w:b/>
          <w:color w:val="010101"/>
          <w:w w:val="105"/>
          <w:sz w:val="18"/>
        </w:rPr>
        <w:t>20</w:t>
      </w:r>
    </w:p>
    <w:p>
      <w:pPr>
        <w:spacing w:line="242" w:lineRule="auto" w:before="2"/>
        <w:ind w:left="759" w:right="0" w:firstLine="10"/>
        <w:jc w:val="left"/>
        <w:rPr>
          <w:sz w:val="17"/>
        </w:rPr>
      </w:pPr>
      <w:r>
        <w:rPr>
          <w:color w:val="010101"/>
          <w:w w:val="105"/>
          <w:sz w:val="17"/>
        </w:rPr>
        <w:t>completed years of service, plus 1% of such salary for each of the following  10 completed  years  of  service; and</w:t>
      </w:r>
    </w:p>
    <w:p>
      <w:pPr>
        <w:pStyle w:val="ListParagraph"/>
        <w:numPr>
          <w:ilvl w:val="2"/>
          <w:numId w:val="146"/>
        </w:numPr>
        <w:tabs>
          <w:tab w:pos="767" w:val="left" w:leader="none"/>
        </w:tabs>
        <w:spacing w:line="198" w:lineRule="exact" w:before="8" w:after="0"/>
        <w:ind w:left="763" w:right="155" w:hanging="302"/>
        <w:jc w:val="left"/>
        <w:rPr>
          <w:sz w:val="17"/>
        </w:rPr>
      </w:pPr>
      <w:r>
        <w:rPr>
          <w:color w:val="010101"/>
          <w:w w:val="110"/>
          <w:sz w:val="17"/>
        </w:rPr>
        <w:t>a disability pension equal  to $100 a year for each completed  year of service, such pension not to exceed </w:t>
      </w:r>
      <w:r>
        <w:rPr>
          <w:b/>
          <w:color w:val="010101"/>
          <w:w w:val="110"/>
          <w:sz w:val="18"/>
        </w:rPr>
        <w:t>$3,000 </w:t>
      </w:r>
      <w:r>
        <w:rPr>
          <w:color w:val="010101"/>
          <w:w w:val="110"/>
          <w:sz w:val="17"/>
        </w:rPr>
        <w:t>a </w:t>
      </w:r>
      <w:r>
        <w:rPr>
          <w:color w:val="010101"/>
          <w:spacing w:val="20"/>
          <w:w w:val="110"/>
          <w:sz w:val="17"/>
        </w:rPr>
        <w:t> </w:t>
      </w:r>
      <w:r>
        <w:rPr>
          <w:color w:val="010101"/>
          <w:w w:val="110"/>
          <w:sz w:val="17"/>
        </w:rPr>
        <w:t>year.</w:t>
      </w:r>
    </w:p>
    <w:p>
      <w:pPr>
        <w:pStyle w:val="ListParagraph"/>
        <w:numPr>
          <w:ilvl w:val="0"/>
          <w:numId w:val="146"/>
        </w:numPr>
        <w:tabs>
          <w:tab w:pos="322" w:val="left" w:leader="none"/>
        </w:tabs>
        <w:spacing w:line="240" w:lineRule="auto" w:before="156" w:after="0"/>
        <w:ind w:left="321" w:right="0" w:hanging="204"/>
        <w:jc w:val="left"/>
        <w:rPr>
          <w:b/>
          <w:color w:val="010101"/>
          <w:sz w:val="16"/>
        </w:rPr>
      </w:pPr>
      <w:r>
        <w:rPr>
          <w:b/>
          <w:color w:val="010101"/>
          <w:w w:val="130"/>
          <w:sz w:val="16"/>
        </w:rPr>
        <w:t>Participants'</w:t>
      </w:r>
      <w:r>
        <w:rPr>
          <w:b/>
          <w:color w:val="010101"/>
          <w:spacing w:val="8"/>
          <w:w w:val="130"/>
          <w:sz w:val="16"/>
        </w:rPr>
        <w:t> </w:t>
      </w:r>
      <w:r>
        <w:rPr>
          <w:b/>
          <w:color w:val="010101"/>
          <w:w w:val="130"/>
          <w:sz w:val="16"/>
        </w:rPr>
        <w:t>contributions</w:t>
      </w:r>
    </w:p>
    <w:p>
      <w:pPr>
        <w:pStyle w:val="ListParagraph"/>
        <w:numPr>
          <w:ilvl w:val="0"/>
          <w:numId w:val="147"/>
        </w:numPr>
        <w:tabs>
          <w:tab w:pos="563" w:val="left" w:leader="none"/>
        </w:tabs>
        <w:spacing w:line="244" w:lineRule="exact" w:before="24" w:after="0"/>
        <w:ind w:left="120" w:right="0" w:firstLine="162"/>
        <w:jc w:val="left"/>
        <w:rPr>
          <w:i/>
          <w:sz w:val="18"/>
        </w:rPr>
      </w:pPr>
      <w:r>
        <w:rPr>
          <w:color w:val="010101"/>
          <w:w w:val="105"/>
          <w:sz w:val="17"/>
        </w:rPr>
        <w:t>To what does </w:t>
      </w:r>
      <w:r>
        <w:rPr>
          <w:i/>
          <w:color w:val="010101"/>
          <w:w w:val="105"/>
          <w:sz w:val="18"/>
        </w:rPr>
        <w:t>s"ifl:+1 </w:t>
      </w:r>
      <w:r>
        <w:rPr>
          <w:color w:val="010101"/>
          <w:w w:val="105"/>
          <w:sz w:val="17"/>
        </w:rPr>
        <w:t>reduce if </w:t>
      </w:r>
      <w:r>
        <w:rPr>
          <w:i/>
          <w:color w:val="010101"/>
          <w:w w:val="105"/>
          <w:sz w:val="18"/>
        </w:rPr>
        <w:t>j  </w:t>
      </w:r>
      <w:r>
        <w:rPr>
          <w:color w:val="010101"/>
          <w:w w:val="105"/>
          <w:sz w:val="23"/>
        </w:rPr>
        <w:t>= </w:t>
      </w:r>
      <w:r>
        <w:rPr>
          <w:color w:val="010101"/>
          <w:spacing w:val="15"/>
          <w:w w:val="105"/>
          <w:sz w:val="23"/>
        </w:rPr>
        <w:t> </w:t>
      </w:r>
      <w:r>
        <w:rPr>
          <w:i/>
          <w:color w:val="010101"/>
          <w:w w:val="105"/>
          <w:sz w:val="18"/>
        </w:rPr>
        <w:t>i?</w:t>
      </w:r>
    </w:p>
    <w:p>
      <w:pPr>
        <w:pStyle w:val="ListParagraph"/>
        <w:numPr>
          <w:ilvl w:val="0"/>
          <w:numId w:val="147"/>
        </w:numPr>
        <w:tabs>
          <w:tab w:pos="570" w:val="left" w:leader="none"/>
        </w:tabs>
        <w:spacing w:line="220" w:lineRule="exact" w:before="0" w:after="0"/>
        <w:ind w:left="569" w:right="0" w:hanging="287"/>
        <w:jc w:val="left"/>
        <w:rPr>
          <w:i/>
          <w:sz w:val="18"/>
        </w:rPr>
      </w:pPr>
      <w:r>
        <w:rPr>
          <w:color w:val="010101"/>
          <w:sz w:val="17"/>
        </w:rPr>
        <w:t>To  what  does  (16.34)  reduce  if  </w:t>
      </w:r>
      <w:r>
        <w:rPr>
          <w:i/>
          <w:color w:val="010101"/>
          <w:sz w:val="16"/>
        </w:rPr>
        <w:t>j   </w:t>
      </w:r>
      <w:r>
        <w:rPr>
          <w:color w:val="010101"/>
          <w:sz w:val="21"/>
        </w:rPr>
        <w:t>=</w:t>
      </w:r>
      <w:r>
        <w:rPr>
          <w:color w:val="010101"/>
          <w:spacing w:val="37"/>
          <w:sz w:val="21"/>
        </w:rPr>
        <w:t> </w:t>
      </w:r>
      <w:r>
        <w:rPr>
          <w:i/>
          <w:color w:val="010101"/>
          <w:sz w:val="18"/>
        </w:rPr>
        <w:t>i?</w:t>
      </w:r>
    </w:p>
    <w:p>
      <w:pPr>
        <w:pStyle w:val="ListParagraph"/>
        <w:numPr>
          <w:ilvl w:val="0"/>
          <w:numId w:val="147"/>
        </w:numPr>
        <w:tabs>
          <w:tab w:pos="563" w:val="left" w:leader="none"/>
        </w:tabs>
        <w:spacing w:line="237" w:lineRule="auto" w:before="0" w:after="0"/>
        <w:ind w:left="120" w:right="145" w:firstLine="166"/>
        <w:jc w:val="both"/>
        <w:rPr>
          <w:sz w:val="17"/>
        </w:rPr>
      </w:pPr>
      <w:r>
        <w:rPr>
          <w:color w:val="010101"/>
          <w:w w:val="105"/>
          <w:sz w:val="17"/>
        </w:rPr>
        <w:t>A pension plan  requires  contributions  by  members  of  3%  of  </w:t>
      </w:r>
      <w:r>
        <w:rPr>
          <w:b/>
          <w:color w:val="010101"/>
          <w:w w:val="105"/>
          <w:sz w:val="17"/>
        </w:rPr>
        <w:t>salary. </w:t>
      </w:r>
      <w:r>
        <w:rPr>
          <w:color w:val="010101"/>
          <w:w w:val="110"/>
          <w:sz w:val="17"/>
        </w:rPr>
        <w:t>It </w:t>
      </w:r>
      <w:r>
        <w:rPr>
          <w:color w:val="010101"/>
          <w:w w:val="105"/>
          <w:sz w:val="17"/>
        </w:rPr>
        <w:t>provides on withdrawal a  return  of  contributions  with  interest  </w:t>
      </w:r>
      <w:r>
        <w:rPr>
          <w:b/>
          <w:color w:val="010101"/>
          <w:w w:val="105"/>
          <w:sz w:val="17"/>
        </w:rPr>
        <w:t>at rate </w:t>
      </w:r>
      <w:r>
        <w:rPr>
          <w:color w:val="010101"/>
          <w:w w:val="110"/>
          <w:sz w:val="17"/>
        </w:rPr>
        <w:t>j.  </w:t>
      </w:r>
      <w:r>
        <w:rPr>
          <w:color w:val="010101"/>
          <w:w w:val="105"/>
          <w:sz w:val="17"/>
        </w:rPr>
        <w:t>An employee now aged 40 has a monthly salary of  </w:t>
      </w:r>
      <w:r>
        <w:rPr>
          <w:b/>
          <w:color w:val="010101"/>
          <w:w w:val="105"/>
          <w:sz w:val="19"/>
        </w:rPr>
        <w:t>$500. </w:t>
      </w:r>
      <w:r>
        <w:rPr>
          <w:color w:val="010101"/>
          <w:w w:val="105"/>
          <w:sz w:val="17"/>
        </w:rPr>
        <w:t>Give an expression  in  terms  of  commutation  functions  for each of  the</w:t>
      </w:r>
      <w:r>
        <w:rPr>
          <w:color w:val="010101"/>
          <w:spacing w:val="-1"/>
          <w:w w:val="105"/>
          <w:sz w:val="17"/>
        </w:rPr>
        <w:t> </w:t>
      </w:r>
      <w:r>
        <w:rPr>
          <w:color w:val="010101"/>
          <w:w w:val="105"/>
          <w:sz w:val="17"/>
        </w:rPr>
        <w:t>following:</w:t>
      </w:r>
    </w:p>
    <w:p>
      <w:pPr>
        <w:pStyle w:val="ListParagraph"/>
        <w:numPr>
          <w:ilvl w:val="1"/>
          <w:numId w:val="147"/>
        </w:numPr>
        <w:tabs>
          <w:tab w:pos="753" w:val="left" w:leader="none"/>
        </w:tabs>
        <w:spacing w:line="242" w:lineRule="auto" w:before="2" w:after="0"/>
        <w:ind w:left="756" w:right="142" w:hanging="295"/>
        <w:jc w:val="left"/>
        <w:rPr>
          <w:sz w:val="17"/>
        </w:rPr>
      </w:pPr>
      <w:r>
        <w:rPr>
          <w:color w:val="010101"/>
          <w:w w:val="110"/>
          <w:sz w:val="17"/>
        </w:rPr>
        <w:t>the present value of the withdrawal benefit arising from contribu­ tions in the year of  age 50 to   </w:t>
      </w:r>
      <w:r>
        <w:rPr>
          <w:color w:val="010101"/>
          <w:spacing w:val="-7"/>
          <w:w w:val="110"/>
          <w:sz w:val="17"/>
        </w:rPr>
        <w:t>51;</w:t>
      </w:r>
    </w:p>
    <w:p>
      <w:pPr>
        <w:pStyle w:val="ListParagraph"/>
        <w:numPr>
          <w:ilvl w:val="1"/>
          <w:numId w:val="147"/>
        </w:numPr>
        <w:tabs>
          <w:tab w:pos="760" w:val="left" w:leader="none"/>
        </w:tabs>
        <w:spacing w:line="240" w:lineRule="auto" w:before="4" w:after="0"/>
        <w:ind w:left="759" w:right="0" w:hanging="298"/>
        <w:jc w:val="left"/>
        <w:rPr>
          <w:sz w:val="17"/>
        </w:rPr>
      </w:pPr>
      <w:r>
        <w:rPr>
          <w:color w:val="010101"/>
          <w:w w:val="110"/>
          <w:sz w:val="17"/>
        </w:rPr>
        <w:t>the total present  value of  the withdrawal </w:t>
      </w:r>
      <w:r>
        <w:rPr>
          <w:color w:val="010101"/>
          <w:spacing w:val="15"/>
          <w:w w:val="110"/>
          <w:sz w:val="17"/>
        </w:rPr>
        <w:t> </w:t>
      </w:r>
      <w:r>
        <w:rPr>
          <w:color w:val="010101"/>
          <w:w w:val="110"/>
          <w:sz w:val="17"/>
        </w:rPr>
        <w:t>benefi.t.</w:t>
      </w:r>
    </w:p>
    <w:p>
      <w:pPr>
        <w:spacing w:after="0" w:line="240" w:lineRule="auto"/>
        <w:jc w:val="left"/>
        <w:rPr>
          <w:sz w:val="17"/>
        </w:rPr>
        <w:sectPr>
          <w:type w:val="continuous"/>
          <w:pgSz w:w="7200" w:h="11340"/>
          <w:pgMar w:top="1100" w:bottom="0" w:left="640" w:right="560"/>
        </w:sectPr>
      </w:pPr>
    </w:p>
    <w:p>
      <w:pPr>
        <w:tabs>
          <w:tab w:pos="5911" w:val="right" w:leader="none"/>
        </w:tabs>
        <w:spacing w:before="68"/>
        <w:ind w:left="2548" w:right="0" w:firstLine="0"/>
        <w:jc w:val="left"/>
        <w:rPr>
          <w:rFonts w:ascii="Courier New"/>
          <w:sz w:val="22"/>
        </w:rPr>
      </w:pPr>
      <w:r>
        <w:rPr>
          <w:color w:val="010101"/>
          <w:w w:val="110"/>
          <w:sz w:val="15"/>
        </w:rPr>
        <w:t>EXERCISES</w:t>
      </w:r>
      <w:r>
        <w:rPr>
          <w:rFonts w:ascii="Courier New"/>
          <w:color w:val="010101"/>
          <w:w w:val="110"/>
          <w:sz w:val="22"/>
        </w:rPr>
        <w:tab/>
      </w:r>
      <w:r>
        <w:rPr>
          <w:rFonts w:ascii="Courier New"/>
          <w:color w:val="010101"/>
          <w:spacing w:val="-25"/>
          <w:w w:val="110"/>
          <w:sz w:val="22"/>
        </w:rPr>
        <w:t>329</w:t>
      </w:r>
    </w:p>
    <w:p>
      <w:pPr>
        <w:pStyle w:val="BodyText"/>
        <w:spacing w:before="7"/>
        <w:rPr>
          <w:rFonts w:ascii="Courier New"/>
          <w:sz w:val="18"/>
        </w:rPr>
      </w:pPr>
    </w:p>
    <w:p>
      <w:pPr>
        <w:pStyle w:val="ListParagraph"/>
        <w:numPr>
          <w:ilvl w:val="0"/>
          <w:numId w:val="146"/>
        </w:numPr>
        <w:tabs>
          <w:tab w:pos="310" w:val="left" w:leader="none"/>
        </w:tabs>
        <w:spacing w:line="240" w:lineRule="auto" w:before="1" w:after="0"/>
        <w:ind w:left="309" w:right="0" w:hanging="176"/>
        <w:jc w:val="left"/>
        <w:rPr>
          <w:b/>
          <w:color w:val="010101"/>
          <w:sz w:val="18"/>
        </w:rPr>
      </w:pPr>
      <w:r>
        <w:rPr>
          <w:b/>
          <w:color w:val="010101"/>
          <w:w w:val="125"/>
          <w:sz w:val="16"/>
        </w:rPr>
        <w:t>Disahility</w:t>
      </w:r>
      <w:r>
        <w:rPr>
          <w:b/>
          <w:color w:val="010101"/>
          <w:spacing w:val="28"/>
          <w:w w:val="125"/>
          <w:sz w:val="16"/>
        </w:rPr>
        <w:t> </w:t>
      </w:r>
      <w:r>
        <w:rPr>
          <w:b/>
          <w:color w:val="010101"/>
          <w:w w:val="125"/>
          <w:sz w:val="16"/>
        </w:rPr>
        <w:t>benefits</w:t>
      </w:r>
    </w:p>
    <w:p>
      <w:pPr>
        <w:pStyle w:val="ListParagraph"/>
        <w:numPr>
          <w:ilvl w:val="0"/>
          <w:numId w:val="148"/>
        </w:numPr>
        <w:tabs>
          <w:tab w:pos="572" w:val="left" w:leader="none"/>
        </w:tabs>
        <w:spacing w:line="247" w:lineRule="auto" w:before="72" w:after="0"/>
        <w:ind w:left="133" w:right="165" w:firstLine="161"/>
        <w:jc w:val="both"/>
        <w:rPr>
          <w:sz w:val="17"/>
        </w:rPr>
      </w:pPr>
      <w:r>
        <w:rPr>
          <w:color w:val="010101"/>
          <w:w w:val="105"/>
          <w:sz w:val="17"/>
        </w:rPr>
        <w:t>For  each  of  the  following  disability  benefits,  payable  in  the  event  oí disability prior to  a.ge 60, find  the  net single prerniurn  at age 35 in terrns  oí elernentary  f unctions  and  also in  terms  oí commutation  f</w:t>
      </w:r>
      <w:r>
        <w:rPr>
          <w:color w:val="010101"/>
          <w:spacing w:val="-6"/>
          <w:w w:val="105"/>
          <w:sz w:val="17"/>
        </w:rPr>
        <w:t> </w:t>
      </w:r>
      <w:r>
        <w:rPr>
          <w:color w:val="010101"/>
          <w:w w:val="105"/>
          <w:sz w:val="17"/>
        </w:rPr>
        <w:t>unctions:</w:t>
      </w:r>
    </w:p>
    <w:p>
      <w:pPr>
        <w:pStyle w:val="ListParagraph"/>
        <w:numPr>
          <w:ilvl w:val="1"/>
          <w:numId w:val="148"/>
        </w:numPr>
        <w:tabs>
          <w:tab w:pos="755" w:val="left" w:leader="none"/>
        </w:tabs>
        <w:spacing w:line="191" w:lineRule="exact" w:before="0" w:after="0"/>
        <w:ind w:left="754" w:right="0" w:hanging="287"/>
        <w:jc w:val="left"/>
        <w:rPr>
          <w:sz w:val="17"/>
        </w:rPr>
      </w:pPr>
      <w:r>
        <w:rPr>
          <w:b/>
          <w:color w:val="010101"/>
          <w:w w:val="105"/>
          <w:sz w:val="17"/>
        </w:rPr>
        <w:t>a </w:t>
      </w:r>
      <w:r>
        <w:rPr>
          <w:color w:val="010101"/>
          <w:w w:val="105"/>
          <w:sz w:val="17"/>
        </w:rPr>
        <w:t>payment  of  </w:t>
      </w:r>
      <w:r>
        <w:rPr>
          <w:color w:val="010101"/>
          <w:w w:val="105"/>
          <w:sz w:val="18"/>
        </w:rPr>
        <w:t>$100 </w:t>
      </w:r>
      <w:r>
        <w:rPr>
          <w:color w:val="010101"/>
          <w:w w:val="105"/>
          <w:sz w:val="17"/>
        </w:rPr>
        <w:t>at the  end  of  </w:t>
      </w:r>
      <w:r>
        <w:rPr>
          <w:rFonts w:ascii="Arial"/>
          <w:color w:val="010101"/>
          <w:w w:val="105"/>
          <w:sz w:val="15"/>
        </w:rPr>
        <w:t>a </w:t>
      </w:r>
      <w:r>
        <w:rPr>
          <w:color w:val="010101"/>
          <w:w w:val="105"/>
          <w:sz w:val="17"/>
        </w:rPr>
        <w:t>four rnonths  waiting</w:t>
      </w:r>
      <w:r>
        <w:rPr>
          <w:color w:val="010101"/>
          <w:spacing w:val="19"/>
          <w:w w:val="105"/>
          <w:sz w:val="17"/>
        </w:rPr>
        <w:t> </w:t>
      </w:r>
      <w:r>
        <w:rPr>
          <w:color w:val="010101"/>
          <w:w w:val="105"/>
          <w:sz w:val="17"/>
        </w:rPr>
        <w:t>period;</w:t>
      </w:r>
    </w:p>
    <w:p>
      <w:pPr>
        <w:spacing w:line="244" w:lineRule="auto" w:before="0"/>
        <w:ind w:left="754" w:right="172" w:hanging="291"/>
        <w:jc w:val="left"/>
        <w:rPr>
          <w:sz w:val="17"/>
        </w:rPr>
      </w:pPr>
      <w:r>
        <w:rPr>
          <w:color w:val="010101"/>
          <w:w w:val="105"/>
          <w:sz w:val="17"/>
        </w:rPr>
        <w:t>(b) a continuous  disabled  life annuity  of  </w:t>
      </w:r>
      <w:r>
        <w:rPr>
          <w:b/>
          <w:color w:val="010101"/>
          <w:w w:val="105"/>
          <w:sz w:val="18"/>
        </w:rPr>
        <w:t>$1000 </w:t>
      </w:r>
      <w:r>
        <w:rPr>
          <w:color w:val="010101"/>
          <w:w w:val="105"/>
          <w:sz w:val="17"/>
        </w:rPr>
        <w:t>per  year,  comrnencing at  the  end  of  </w:t>
      </w:r>
      <w:r>
        <w:rPr>
          <w:rFonts w:ascii="Arial"/>
          <w:color w:val="010101"/>
          <w:w w:val="105"/>
          <w:sz w:val="14"/>
        </w:rPr>
        <w:t>a  </w:t>
      </w:r>
      <w:r>
        <w:rPr>
          <w:color w:val="010101"/>
          <w:w w:val="105"/>
          <w:sz w:val="17"/>
        </w:rPr>
        <w:t>6 months  waiting  period;</w:t>
      </w:r>
    </w:p>
    <w:p>
      <w:pPr>
        <w:spacing w:line="247" w:lineRule="auto" w:before="2"/>
        <w:ind w:left="754" w:right="146" w:hanging="295"/>
        <w:jc w:val="left"/>
        <w:rPr>
          <w:sz w:val="16"/>
        </w:rPr>
      </w:pPr>
      <w:r>
        <w:rPr>
          <w:color w:val="010101"/>
          <w:w w:val="105"/>
          <w:sz w:val="17"/>
        </w:rPr>
        <w:t>{e) a continuous  disabled  life  annuity  oí  </w:t>
      </w:r>
      <w:r>
        <w:rPr>
          <w:rFonts w:ascii="Arial" w:hAnsi="Arial"/>
          <w:color w:val="010101"/>
          <w:w w:val="105"/>
          <w:sz w:val="14"/>
        </w:rPr>
        <w:t>$2000  </w:t>
      </w:r>
      <w:r>
        <w:rPr>
          <w:color w:val="010101"/>
          <w:w w:val="105"/>
          <w:sz w:val="17"/>
        </w:rPr>
        <w:t>per  year,  commencing at  the end  of  a </w:t>
      </w:r>
      <w:r>
        <w:rPr>
          <w:color w:val="010101"/>
          <w:w w:val="105"/>
          <w:sz w:val="16"/>
        </w:rPr>
        <w:t>3 </w:t>
      </w:r>
      <w:r>
        <w:rPr>
          <w:color w:val="010101"/>
          <w:w w:val="105"/>
          <w:sz w:val="17"/>
        </w:rPr>
        <w:t>rnonths  waiting  period  and  payable  up  to a.ge </w:t>
      </w:r>
      <w:r>
        <w:rPr>
          <w:color w:val="010101"/>
          <w:w w:val="105"/>
          <w:sz w:val="16"/>
        </w:rPr>
        <w:t>65.</w:t>
      </w:r>
    </w:p>
    <w:p>
      <w:pPr>
        <w:pStyle w:val="BodyText"/>
        <w:spacing w:before="6"/>
        <w:rPr>
          <w:sz w:val="14"/>
        </w:rPr>
      </w:pPr>
    </w:p>
    <w:p>
      <w:pPr>
        <w:pStyle w:val="ListParagraph"/>
        <w:numPr>
          <w:ilvl w:val="0"/>
          <w:numId w:val="146"/>
        </w:numPr>
        <w:tabs>
          <w:tab w:pos="306" w:val="left" w:leader="none"/>
        </w:tabs>
        <w:spacing w:line="240" w:lineRule="auto" w:before="0" w:after="0"/>
        <w:ind w:left="305" w:right="0" w:hanging="187"/>
        <w:jc w:val="left"/>
        <w:rPr>
          <w:b/>
          <w:color w:val="010101"/>
          <w:sz w:val="16"/>
        </w:rPr>
      </w:pPr>
      <w:r>
        <w:rPr>
          <w:b/>
          <w:color w:val="010101"/>
          <w:w w:val="125"/>
          <w:sz w:val="16"/>
        </w:rPr>
        <w:t>lncome</w:t>
      </w:r>
      <w:r>
        <w:rPr>
          <w:b/>
          <w:color w:val="010101"/>
          <w:spacing w:val="38"/>
          <w:w w:val="125"/>
          <w:sz w:val="16"/>
        </w:rPr>
        <w:t> </w:t>
      </w:r>
      <w:r>
        <w:rPr>
          <w:b/>
          <w:color w:val="010101"/>
          <w:w w:val="125"/>
          <w:sz w:val="16"/>
        </w:rPr>
        <w:t>benefits</w:t>
      </w:r>
    </w:p>
    <w:p>
      <w:pPr>
        <w:pStyle w:val="ListParagraph"/>
        <w:numPr>
          <w:ilvl w:val="0"/>
          <w:numId w:val="149"/>
        </w:numPr>
        <w:tabs>
          <w:tab w:pos="579" w:val="left" w:leader="none"/>
        </w:tabs>
        <w:spacing w:line="244" w:lineRule="auto" w:before="74" w:after="0"/>
        <w:ind w:left="136" w:right="160" w:firstLine="151"/>
        <w:jc w:val="both"/>
        <w:rPr>
          <w:sz w:val="17"/>
        </w:rPr>
      </w:pPr>
      <w:r>
        <w:rPr>
          <w:color w:val="010101"/>
          <w:w w:val="110"/>
          <w:sz w:val="18"/>
        </w:rPr>
        <w:t>In </w:t>
      </w:r>
      <w:r>
        <w:rPr>
          <w:color w:val="010101"/>
          <w:w w:val="110"/>
          <w:sz w:val="17"/>
        </w:rPr>
        <w:t>deriving formulas (16.46a) and (16.46b), the following approxima­ tion  is</w:t>
      </w:r>
      <w:r>
        <w:rPr>
          <w:color w:val="010101"/>
          <w:spacing w:val="-4"/>
          <w:w w:val="110"/>
          <w:sz w:val="17"/>
        </w:rPr>
        <w:t> </w:t>
      </w:r>
      <w:r>
        <w:rPr>
          <w:color w:val="010101"/>
          <w:w w:val="110"/>
          <w:sz w:val="17"/>
        </w:rPr>
        <w:t>used:</w:t>
      </w:r>
    </w:p>
    <w:p>
      <w:pPr>
        <w:spacing w:before="61"/>
        <w:ind w:left="538" w:right="0" w:firstLine="0"/>
        <w:jc w:val="left"/>
        <w:rPr>
          <w:b/>
          <w:sz w:val="17"/>
        </w:rPr>
      </w:pPr>
      <w:r>
        <w:rPr/>
        <w:pict>
          <v:line style="position:absolute;mso-position-horizontal-relative:page;mso-position-vertical-relative:paragraph;z-index:-709432" from="125.802597pt,21.495808pt" to="134.775697pt,21.495808pt" stroked="true" strokeweight="3.948156pt" strokecolor="#000000">
            <w10:wrap type="none"/>
          </v:line>
        </w:pict>
      </w:r>
      <w:r>
        <w:rPr/>
        <w:pict>
          <v:rect style="position:absolute;margin-left:292.5224pt;margin-top:21.499975pt;width:8.075800pt;height:4.845464pt;mso-position-horizontal-relative:page;mso-position-vertical-relative:paragraph;z-index:-709408" filled="true" fillcolor="#000000" stroked="false">
            <v:fill type="solid"/>
            <w10:wrap type="none"/>
          </v:rect>
        </w:pict>
      </w:r>
      <w:r>
        <w:rPr>
          <w:rFonts w:ascii="Arial" w:hAnsi="Arial"/>
          <w:color w:val="010101"/>
          <w:spacing w:val="-20"/>
          <w:w w:val="91"/>
          <w:sz w:val="14"/>
        </w:rPr>
        <w:t>°</w:t>
      </w:r>
      <w:r>
        <w:rPr>
          <w:color w:val="181818"/>
          <w:spacing w:val="-34"/>
          <w:w w:val="156"/>
          <w:position w:val="5"/>
          <w:sz w:val="10"/>
        </w:rPr>
        <w:t>-</w:t>
      </w:r>
      <w:r>
        <w:rPr>
          <w:rFonts w:ascii="Arial" w:hAnsi="Arial"/>
          <w:color w:val="010101"/>
          <w:w w:val="91"/>
          <w:sz w:val="14"/>
        </w:rPr>
        <w:t>'</w:t>
      </w:r>
      <w:r>
        <w:rPr>
          <w:rFonts w:ascii="Arial" w:hAnsi="Arial"/>
          <w:color w:val="010101"/>
          <w:spacing w:val="-20"/>
          <w:w w:val="91"/>
          <w:sz w:val="14"/>
        </w:rPr>
        <w:t>l</w:t>
      </w:r>
      <w:r>
        <w:rPr>
          <w:color w:val="181818"/>
          <w:spacing w:val="-24"/>
          <w:w w:val="156"/>
          <w:position w:val="5"/>
          <w:sz w:val="10"/>
        </w:rPr>
        <w:t>i</w:t>
      </w:r>
      <w:r>
        <w:rPr>
          <w:rFonts w:ascii="Arial" w:hAnsi="Arial"/>
          <w:color w:val="010101"/>
          <w:spacing w:val="-22"/>
          <w:w w:val="91"/>
          <w:sz w:val="14"/>
        </w:rPr>
        <w:t>•</w:t>
      </w:r>
      <w:r>
        <w:rPr>
          <w:color w:val="181818"/>
          <w:spacing w:val="-31"/>
          <w:w w:val="156"/>
          <w:position w:val="5"/>
          <w:sz w:val="10"/>
        </w:rPr>
        <w:t>(</w:t>
      </w:r>
      <w:r>
        <w:rPr>
          <w:rFonts w:ascii="Arial" w:hAnsi="Arial"/>
          <w:color w:val="010101"/>
          <w:spacing w:val="-45"/>
          <w:w w:val="91"/>
          <w:sz w:val="14"/>
        </w:rPr>
        <w:t>+</w:t>
      </w:r>
      <w:r>
        <w:rPr>
          <w:color w:val="181818"/>
          <w:spacing w:val="-70"/>
          <w:w w:val="156"/>
          <w:position w:val="5"/>
          <w:sz w:val="10"/>
        </w:rPr>
        <w:t>U</w:t>
      </w:r>
      <w:r>
        <w:rPr>
          <w:rFonts w:ascii="Arial" w:hAnsi="Arial"/>
          <w:color w:val="010101"/>
          <w:w w:val="91"/>
          <w:sz w:val="14"/>
        </w:rPr>
        <w:t>t</w:t>
      </w:r>
      <w:r>
        <w:rPr>
          <w:rFonts w:ascii="Arial" w:hAnsi="Arial"/>
          <w:color w:val="010101"/>
          <w:spacing w:val="-31"/>
          <w:w w:val="92"/>
          <w:sz w:val="14"/>
        </w:rPr>
        <w:t>J</w:t>
      </w:r>
      <w:r>
        <w:rPr>
          <w:color w:val="181818"/>
          <w:spacing w:val="-22"/>
          <w:w w:val="156"/>
          <w:position w:val="5"/>
          <w:sz w:val="10"/>
        </w:rPr>
        <w:t>)</w:t>
      </w:r>
      <w:r>
        <w:rPr>
          <w:rFonts w:ascii="Arial" w:hAnsi="Arial"/>
          <w:color w:val="010101"/>
          <w:w w:val="91"/>
          <w:sz w:val="14"/>
        </w:rPr>
        <w:t>+m/1</w:t>
      </w:r>
      <w:r>
        <w:rPr>
          <w:rFonts w:ascii="Arial" w:hAnsi="Arial"/>
          <w:color w:val="010101"/>
          <w:spacing w:val="-1"/>
          <w:w w:val="91"/>
          <w:sz w:val="14"/>
        </w:rPr>
        <w:t>1</w:t>
      </w:r>
      <w:r>
        <w:rPr>
          <w:rFonts w:ascii="Arial" w:hAnsi="Arial"/>
          <w:color w:val="010101"/>
          <w:w w:val="109"/>
          <w:sz w:val="14"/>
        </w:rPr>
        <w:t>::</w:t>
      </w:r>
      <w:r>
        <w:rPr>
          <w:rFonts w:ascii="Arial" w:hAnsi="Arial"/>
          <w:color w:val="010101"/>
          <w:w w:val="109"/>
          <w:sz w:val="14"/>
        </w:rPr>
        <w:t>a</w:t>
      </w:r>
      <w:r>
        <w:rPr>
          <w:rFonts w:ascii="Arial" w:hAnsi="Arial"/>
          <w:color w:val="010101"/>
          <w:w w:val="109"/>
          <w:sz w:val="14"/>
        </w:rPr>
        <w:t>:+•-</w:t>
      </w:r>
      <w:r>
        <w:rPr>
          <w:rFonts w:ascii="Arial" w:hAnsi="Arial"/>
          <w:color w:val="010101"/>
          <w:spacing w:val="-4"/>
          <w:w w:val="109"/>
          <w:sz w:val="14"/>
        </w:rPr>
        <w:t>·</w:t>
      </w:r>
      <w:r>
        <w:rPr>
          <w:rFonts w:ascii="Arial" w:hAnsi="Arial"/>
          <w:color w:val="010101"/>
          <w:w w:val="133"/>
          <w:sz w:val="14"/>
        </w:rPr>
        <w:t>--</w:t>
      </w:r>
      <w:r>
        <w:rPr>
          <w:rFonts w:ascii="Arial" w:hAnsi="Arial"/>
          <w:color w:val="010101"/>
          <w:spacing w:val="-23"/>
          <w:w w:val="133"/>
          <w:sz w:val="14"/>
        </w:rPr>
        <w:t>¡</w:t>
      </w:r>
      <w:r>
        <w:rPr>
          <w:color w:val="010101"/>
          <w:spacing w:val="-36"/>
          <w:w w:val="140"/>
          <w:position w:val="5"/>
          <w:sz w:val="10"/>
        </w:rPr>
        <w:t>"</w:t>
      </w:r>
      <w:r>
        <w:rPr>
          <w:rFonts w:ascii="Arial" w:hAnsi="Arial"/>
          <w:color w:val="010101"/>
          <w:spacing w:val="-28"/>
          <w:w w:val="133"/>
          <w:sz w:val="14"/>
        </w:rPr>
        <w:t>¡</w:t>
      </w:r>
      <w:r>
        <w:rPr>
          <w:color w:val="010101"/>
          <w:spacing w:val="-31"/>
          <w:w w:val="140"/>
          <w:position w:val="5"/>
          <w:sz w:val="10"/>
        </w:rPr>
        <w:t>"</w:t>
      </w:r>
      <w:r>
        <w:rPr>
          <w:rFonts w:ascii="Arial" w:hAnsi="Arial"/>
          <w:color w:val="010101"/>
          <w:spacing w:val="-33"/>
          <w:w w:val="133"/>
          <w:sz w:val="14"/>
        </w:rPr>
        <w:t>-</w:t>
      </w:r>
      <w:r>
        <w:rPr>
          <w:color w:val="010101"/>
          <w:w w:val="140"/>
          <w:position w:val="5"/>
          <w:sz w:val="10"/>
        </w:rPr>
        <w:t>",</w:t>
      </w:r>
      <w:r>
        <w:rPr>
          <w:color w:val="010101"/>
          <w:position w:val="5"/>
          <w:sz w:val="10"/>
        </w:rPr>
        <w:t>  </w:t>
      </w:r>
      <w:r>
        <w:rPr>
          <w:color w:val="010101"/>
          <w:spacing w:val="-7"/>
          <w:position w:val="5"/>
          <w:sz w:val="10"/>
        </w:rPr>
        <w:t> </w:t>
      </w:r>
      <w:r>
        <w:rPr>
          <w:color w:val="010101"/>
          <w:spacing w:val="-29"/>
          <w:w w:val="100"/>
          <w:position w:val="5"/>
          <w:sz w:val="10"/>
        </w:rPr>
        <w:t>•</w:t>
      </w:r>
      <w:r>
        <w:rPr>
          <w:color w:val="010101"/>
          <w:w w:val="122"/>
          <w:sz w:val="12"/>
        </w:rPr>
        <w:t>=!</w:t>
      </w:r>
      <w:r>
        <w:rPr>
          <w:color w:val="010101"/>
          <w:sz w:val="12"/>
        </w:rPr>
        <w:t>  </w:t>
      </w:r>
      <w:r>
        <w:rPr>
          <w:color w:val="010101"/>
          <w:spacing w:val="-15"/>
          <w:sz w:val="12"/>
        </w:rPr>
        <w:t> </w:t>
      </w:r>
      <w:r>
        <w:rPr>
          <w:rFonts w:ascii="Arial" w:hAnsi="Arial"/>
          <w:color w:val="010101"/>
          <w:spacing w:val="-24"/>
          <w:w w:val="93"/>
          <w:sz w:val="14"/>
        </w:rPr>
        <w:t>ª</w:t>
      </w:r>
      <w:r>
        <w:rPr>
          <w:color w:val="010101"/>
          <w:spacing w:val="-57"/>
          <w:w w:val="145"/>
          <w:position w:val="5"/>
          <w:sz w:val="10"/>
        </w:rPr>
        <w:t>_</w:t>
      </w:r>
      <w:r>
        <w:rPr>
          <w:rFonts w:ascii="Arial" w:hAnsi="Arial"/>
          <w:color w:val="010101"/>
          <w:spacing w:val="-14"/>
          <w:w w:val="94"/>
          <w:sz w:val="14"/>
        </w:rPr>
        <w:t>c</w:t>
      </w:r>
      <w:r>
        <w:rPr>
          <w:color w:val="010101"/>
          <w:spacing w:val="-23"/>
          <w:w w:val="145"/>
          <w:position w:val="5"/>
          <w:sz w:val="10"/>
        </w:rPr>
        <w:t>,</w:t>
      </w:r>
      <w:r>
        <w:rPr>
          <w:rFonts w:ascii="Arial" w:hAnsi="Arial"/>
          <w:color w:val="010101"/>
          <w:w w:val="93"/>
          <w:sz w:val="14"/>
        </w:rPr>
        <w:t>•+tl+m/12</w:t>
      </w:r>
      <w:r>
        <w:rPr>
          <w:rFonts w:ascii="Arial" w:hAnsi="Arial"/>
          <w:color w:val="010101"/>
          <w:spacing w:val="5"/>
          <w:w w:val="93"/>
          <w:sz w:val="14"/>
        </w:rPr>
        <w:t>:</w:t>
      </w:r>
      <w:r>
        <w:rPr>
          <w:rFonts w:ascii="Arial" w:hAnsi="Arial"/>
          <w:color w:val="010101"/>
          <w:w w:val="128"/>
          <w:sz w:val="14"/>
        </w:rPr>
        <w:t>:i:+n-•-</w:t>
      </w:r>
      <w:r>
        <w:rPr>
          <w:rFonts w:ascii="Arial" w:hAnsi="Arial"/>
          <w:color w:val="010101"/>
          <w:spacing w:val="-30"/>
          <w:w w:val="128"/>
          <w:sz w:val="14"/>
        </w:rPr>
        <w:t>-</w:t>
      </w:r>
      <w:r>
        <w:rPr>
          <w:rFonts w:ascii="Arial" w:hAnsi="Arial"/>
          <w:color w:val="010101"/>
          <w:spacing w:val="-52"/>
          <w:w w:val="124"/>
          <w:position w:val="5"/>
          <w:sz w:val="34"/>
        </w:rPr>
        <w:t>'</w:t>
      </w:r>
      <w:r>
        <w:rPr>
          <w:rFonts w:ascii="Arial" w:hAnsi="Arial"/>
          <w:color w:val="010101"/>
          <w:spacing w:val="-40"/>
          <w:w w:val="128"/>
          <w:sz w:val="14"/>
        </w:rPr>
        <w:t>¡</w:t>
      </w:r>
      <w:r>
        <w:rPr>
          <w:rFonts w:ascii="Arial" w:hAnsi="Arial"/>
          <w:color w:val="010101"/>
          <w:spacing w:val="-31"/>
          <w:w w:val="57"/>
          <w:position w:val="5"/>
          <w:sz w:val="34"/>
        </w:rPr>
        <w:t>"</w:t>
      </w:r>
      <w:r>
        <w:rPr>
          <w:rFonts w:ascii="Arial" w:hAnsi="Arial"/>
          <w:color w:val="010101"/>
          <w:spacing w:val="-30"/>
          <w:w w:val="128"/>
          <w:sz w:val="14"/>
        </w:rPr>
        <w:t>¡</w:t>
      </w:r>
      <w:r>
        <w:rPr>
          <w:rFonts w:ascii="Arial" w:hAnsi="Arial"/>
          <w:color w:val="010101"/>
          <w:spacing w:val="-41"/>
          <w:w w:val="57"/>
          <w:position w:val="5"/>
          <w:sz w:val="34"/>
        </w:rPr>
        <w:t>"</w:t>
      </w:r>
      <w:r>
        <w:rPr>
          <w:rFonts w:ascii="Arial" w:hAnsi="Arial"/>
          <w:color w:val="010101"/>
          <w:spacing w:val="-21"/>
          <w:w w:val="128"/>
          <w:sz w:val="14"/>
        </w:rPr>
        <w:t>-</w:t>
      </w:r>
      <w:r>
        <w:rPr>
          <w:rFonts w:ascii="Arial" w:hAnsi="Arial"/>
          <w:color w:val="010101"/>
          <w:spacing w:val="-12"/>
          <w:w w:val="57"/>
          <w:position w:val="5"/>
          <w:sz w:val="34"/>
        </w:rPr>
        <w:t>'</w:t>
      </w:r>
      <w:r>
        <w:rPr>
          <w:rFonts w:ascii="Arial" w:hAnsi="Arial"/>
          <w:color w:val="010101"/>
          <w:spacing w:val="18"/>
          <w:w w:val="97"/>
          <w:position w:val="5"/>
          <w:sz w:val="34"/>
        </w:rPr>
        <w:t>I</w:t>
      </w:r>
      <w:r>
        <w:rPr>
          <w:color w:val="010101"/>
          <w:w w:val="105"/>
          <w:position w:val="5"/>
          <w:sz w:val="24"/>
        </w:rPr>
        <w:t>+</w:t>
      </w:r>
      <w:r>
        <w:rPr>
          <w:color w:val="010101"/>
          <w:spacing w:val="1"/>
          <w:position w:val="5"/>
          <w:sz w:val="24"/>
        </w:rPr>
        <w:t> </w:t>
      </w:r>
      <w:r>
        <w:rPr>
          <w:i/>
          <w:color w:val="010101"/>
          <w:w w:val="105"/>
          <w:position w:val="5"/>
          <w:sz w:val="16"/>
        </w:rPr>
        <w:t>k</w:t>
      </w:r>
      <w:r>
        <w:rPr>
          <w:i/>
          <w:color w:val="010101"/>
          <w:spacing w:val="-26"/>
          <w:position w:val="5"/>
          <w:sz w:val="16"/>
        </w:rPr>
        <w:t> </w:t>
      </w:r>
      <w:r>
        <w:rPr>
          <w:b/>
          <w:color w:val="010101"/>
          <w:w w:val="128"/>
          <w:sz w:val="17"/>
        </w:rPr>
        <w:t>'</w:t>
      </w:r>
      <w:r>
        <w:rPr>
          <w:b/>
          <w:color w:val="010101"/>
          <w:spacing w:val="-7"/>
          <w:sz w:val="17"/>
        </w:rPr>
        <w:t> </w:t>
      </w:r>
      <w:r>
        <w:rPr>
          <w:b/>
          <w:color w:val="010101"/>
          <w:spacing w:val="3"/>
          <w:w w:val="93"/>
          <w:sz w:val="17"/>
        </w:rPr>
        <w:t>w</w:t>
      </w:r>
      <w:r>
        <w:rPr>
          <w:color w:val="010101"/>
          <w:spacing w:val="6"/>
          <w:w w:val="106"/>
          <w:position w:val="5"/>
          <w:sz w:val="17"/>
        </w:rPr>
        <w:t>h</w:t>
      </w:r>
      <w:r>
        <w:rPr>
          <w:rFonts w:ascii="Arial" w:hAnsi="Arial"/>
          <w:b/>
          <w:color w:val="010101"/>
          <w:w w:val="102"/>
          <w:sz w:val="15"/>
        </w:rPr>
        <w:t>ere</w:t>
      </w:r>
      <w:r>
        <w:rPr>
          <w:rFonts w:ascii="Arial" w:hAnsi="Arial"/>
          <w:b/>
          <w:color w:val="010101"/>
          <w:spacing w:val="17"/>
          <w:sz w:val="15"/>
        </w:rPr>
        <w:t> </w:t>
      </w:r>
      <w:r>
        <w:rPr>
          <w:i/>
          <w:color w:val="010101"/>
          <w:w w:val="105"/>
          <w:position w:val="5"/>
          <w:sz w:val="16"/>
        </w:rPr>
        <w:t>k</w:t>
      </w:r>
      <w:r>
        <w:rPr>
          <w:i/>
          <w:color w:val="010101"/>
          <w:position w:val="5"/>
          <w:sz w:val="16"/>
        </w:rPr>
        <w:t> </w:t>
      </w:r>
      <w:r>
        <w:rPr>
          <w:i/>
          <w:color w:val="010101"/>
          <w:spacing w:val="17"/>
          <w:position w:val="5"/>
          <w:sz w:val="16"/>
        </w:rPr>
        <w:t> </w:t>
      </w:r>
      <w:r>
        <w:rPr>
          <w:color w:val="010101"/>
          <w:w w:val="82"/>
          <w:sz w:val="24"/>
        </w:rPr>
        <w:t>=</w:t>
      </w:r>
      <w:r>
        <w:rPr>
          <w:color w:val="010101"/>
          <w:spacing w:val="10"/>
          <w:sz w:val="24"/>
        </w:rPr>
        <w:t> </w:t>
      </w:r>
      <w:r>
        <w:rPr>
          <w:b/>
          <w:color w:val="010101"/>
          <w:spacing w:val="-24"/>
          <w:sz w:val="17"/>
        </w:rPr>
        <w:t>2</w:t>
      </w:r>
      <w:r>
        <w:rPr>
          <w:color w:val="010101"/>
          <w:spacing w:val="-78"/>
          <w:w w:val="119"/>
          <w:position w:val="5"/>
          <w:sz w:val="17"/>
        </w:rPr>
        <w:t>1</w:t>
      </w:r>
      <w:r>
        <w:rPr>
          <w:b/>
          <w:color w:val="010101"/>
          <w:sz w:val="17"/>
        </w:rPr>
        <w:t>4</w:t>
      </w:r>
      <w:r>
        <w:rPr>
          <w:b/>
          <w:color w:val="010101"/>
          <w:spacing w:val="6"/>
          <w:sz w:val="17"/>
        </w:rPr>
        <w:t> </w:t>
      </w:r>
      <w:r>
        <w:rPr>
          <w:b/>
          <w:color w:val="010101"/>
          <w:w w:val="89"/>
          <w:sz w:val="17"/>
        </w:rPr>
        <w:t>.</w:t>
      </w:r>
    </w:p>
    <w:p>
      <w:pPr>
        <w:spacing w:line="247" w:lineRule="auto" w:before="300"/>
        <w:ind w:left="133" w:right="0" w:hanging="8"/>
        <w:jc w:val="left"/>
        <w:rPr>
          <w:sz w:val="17"/>
        </w:rPr>
      </w:pPr>
      <w:r>
        <w:rPr>
          <w:color w:val="010101"/>
          <w:w w:val="110"/>
          <w:sz w:val="17"/>
        </w:rPr>
        <w:t>What would be the expression for </w:t>
      </w:r>
      <w:r>
        <w:rPr>
          <w:i/>
          <w:color w:val="010101"/>
          <w:w w:val="110"/>
          <w:sz w:val="17"/>
        </w:rPr>
        <w:t>k </w:t>
      </w:r>
      <w:r>
        <w:rPr>
          <w:color w:val="010101"/>
          <w:w w:val="110"/>
          <w:sz w:val="17"/>
        </w:rPr>
        <w:t>on the basis of the standard approxima­ tions?</w:t>
      </w:r>
    </w:p>
    <w:p>
      <w:pPr>
        <w:pStyle w:val="ListParagraph"/>
        <w:numPr>
          <w:ilvl w:val="0"/>
          <w:numId w:val="149"/>
        </w:numPr>
        <w:tabs>
          <w:tab w:pos="575" w:val="left" w:leader="none"/>
        </w:tabs>
        <w:spacing w:line="244" w:lineRule="auto" w:before="0" w:after="0"/>
        <w:ind w:left="129" w:right="166" w:firstLine="162"/>
        <w:jc w:val="both"/>
        <w:rPr>
          <w:sz w:val="17"/>
        </w:rPr>
      </w:pPr>
      <w:r>
        <w:rPr>
          <w:color w:val="010101"/>
          <w:w w:val="110"/>
          <w:sz w:val="17"/>
        </w:rPr>
        <w:t>Find, in terms  of  comrnutation  functions,  the net annual premmm  at a.ge </w:t>
      </w:r>
      <w:r>
        <w:rPr>
          <w:color w:val="010101"/>
          <w:w w:val="110"/>
          <w:sz w:val="16"/>
        </w:rPr>
        <w:t>30 </w:t>
      </w:r>
      <w:r>
        <w:rPr>
          <w:color w:val="010101"/>
          <w:w w:val="110"/>
          <w:sz w:val="17"/>
        </w:rPr>
        <w:t>for a disability income benefit of </w:t>
      </w:r>
      <w:r>
        <w:rPr>
          <w:color w:val="010101"/>
          <w:w w:val="110"/>
          <w:sz w:val="16"/>
        </w:rPr>
        <w:t>$10 </w:t>
      </w:r>
      <w:r>
        <w:rPr>
          <w:color w:val="010101"/>
          <w:w w:val="110"/>
          <w:sz w:val="17"/>
        </w:rPr>
        <w:t>per rnonth issued </w:t>
      </w:r>
      <w:r>
        <w:rPr>
          <w:rFonts w:ascii="Arial"/>
          <w:color w:val="010101"/>
          <w:w w:val="110"/>
          <w:sz w:val="14"/>
        </w:rPr>
        <w:t>as </w:t>
      </w:r>
      <w:r>
        <w:rPr>
          <w:color w:val="010101"/>
          <w:w w:val="110"/>
          <w:sz w:val="17"/>
        </w:rPr>
        <w:t>a rider with a 20-year endowrnent policy. The waiting period is 6 months, and the disability income cea.ses upon rnaturity of  the </w:t>
      </w:r>
      <w:r>
        <w:rPr>
          <w:color w:val="010101"/>
          <w:spacing w:val="11"/>
          <w:w w:val="110"/>
          <w:sz w:val="17"/>
        </w:rPr>
        <w:t> </w:t>
      </w:r>
      <w:r>
        <w:rPr>
          <w:color w:val="010101"/>
          <w:w w:val="110"/>
          <w:sz w:val="17"/>
        </w:rPr>
        <w:t>endowrnent.</w:t>
      </w:r>
    </w:p>
    <w:p>
      <w:pPr>
        <w:pStyle w:val="ListParagraph"/>
        <w:numPr>
          <w:ilvl w:val="0"/>
          <w:numId w:val="149"/>
        </w:numPr>
        <w:tabs>
          <w:tab w:pos="582" w:val="left" w:leader="none"/>
        </w:tabs>
        <w:spacing w:line="247" w:lineRule="auto" w:before="0" w:after="0"/>
        <w:ind w:left="126" w:right="191" w:firstLine="168"/>
        <w:jc w:val="both"/>
        <w:rPr>
          <w:sz w:val="16"/>
        </w:rPr>
      </w:pPr>
      <w:r>
        <w:rPr>
          <w:color w:val="010101"/>
          <w:w w:val="105"/>
          <w:sz w:val="17"/>
        </w:rPr>
        <w:t>For the benefit described  in exercise  15, find  the net  annual  premium at  a.ge 45 if  disability  rnust  occur  before  age</w:t>
      </w:r>
      <w:r>
        <w:rPr>
          <w:color w:val="010101"/>
          <w:spacing w:val="-8"/>
          <w:w w:val="105"/>
          <w:sz w:val="17"/>
        </w:rPr>
        <w:t> </w:t>
      </w:r>
      <w:r>
        <w:rPr>
          <w:color w:val="010101"/>
          <w:w w:val="105"/>
          <w:sz w:val="16"/>
        </w:rPr>
        <w:t>60.</w:t>
      </w:r>
    </w:p>
    <w:p>
      <w:pPr>
        <w:pStyle w:val="BodyText"/>
        <w:spacing w:before="8"/>
        <w:rPr>
          <w:sz w:val="13"/>
        </w:rPr>
      </w:pPr>
    </w:p>
    <w:p>
      <w:pPr>
        <w:pStyle w:val="ListParagraph"/>
        <w:numPr>
          <w:ilvl w:val="0"/>
          <w:numId w:val="150"/>
        </w:numPr>
        <w:tabs>
          <w:tab w:pos="299" w:val="left" w:leader="none"/>
        </w:tabs>
        <w:spacing w:line="240" w:lineRule="auto" w:before="1" w:after="0"/>
        <w:ind w:left="298" w:right="0" w:hanging="180"/>
        <w:jc w:val="left"/>
        <w:rPr>
          <w:b/>
          <w:sz w:val="16"/>
        </w:rPr>
      </w:pPr>
      <w:r>
        <w:rPr>
          <w:b/>
          <w:color w:val="010101"/>
          <w:w w:val="125"/>
          <w:sz w:val="16"/>
        </w:rPr>
        <w:t>Waiver oí premium</w:t>
      </w:r>
      <w:r>
        <w:rPr>
          <w:b/>
          <w:color w:val="010101"/>
          <w:spacing w:val="-25"/>
          <w:w w:val="125"/>
          <w:sz w:val="16"/>
        </w:rPr>
        <w:t> </w:t>
      </w:r>
      <w:r>
        <w:rPr>
          <w:b/>
          <w:color w:val="010101"/>
          <w:w w:val="125"/>
          <w:sz w:val="16"/>
        </w:rPr>
        <w:t>benefits</w:t>
      </w:r>
    </w:p>
    <w:p>
      <w:pPr>
        <w:pStyle w:val="ListParagraph"/>
        <w:numPr>
          <w:ilvl w:val="1"/>
          <w:numId w:val="150"/>
        </w:numPr>
        <w:tabs>
          <w:tab w:pos="579" w:val="left" w:leader="none"/>
        </w:tabs>
        <w:spacing w:line="242" w:lineRule="auto" w:before="81" w:after="0"/>
        <w:ind w:left="126" w:right="159" w:firstLine="168"/>
        <w:jc w:val="both"/>
        <w:rPr>
          <w:sz w:val="17"/>
        </w:rPr>
      </w:pPr>
      <w:r>
        <w:rPr>
          <w:rFonts w:ascii="Arial"/>
          <w:color w:val="010101"/>
          <w:w w:val="105"/>
          <w:sz w:val="16"/>
        </w:rPr>
        <w:t>A </w:t>
      </w:r>
      <w:r>
        <w:rPr>
          <w:color w:val="010101"/>
          <w:w w:val="105"/>
          <w:sz w:val="17"/>
        </w:rPr>
        <w:t>disability waiver of premium benefi.t included in an ordinary  life policy issued  at  age  </w:t>
      </w:r>
      <w:r>
        <w:rPr>
          <w:color w:val="010101"/>
          <w:w w:val="105"/>
          <w:sz w:val="16"/>
        </w:rPr>
        <w:t>30  </w:t>
      </w:r>
      <w:r>
        <w:rPr>
          <w:color w:val="010101"/>
          <w:w w:val="105"/>
          <w:sz w:val="17"/>
        </w:rPr>
        <w:t>provides  for  waiver  of  premiums  falling  due af ter a six month waiting period and during continued disability, but only  if disability occurs before age </w:t>
      </w:r>
      <w:r>
        <w:rPr>
          <w:color w:val="010101"/>
          <w:w w:val="105"/>
          <w:sz w:val="16"/>
        </w:rPr>
        <w:t>55. </w:t>
      </w:r>
      <w:r>
        <w:rPr>
          <w:color w:val="010101"/>
          <w:w w:val="105"/>
          <w:sz w:val="17"/>
        </w:rPr>
        <w:t>Premiums falling due during  the  waiting  period are waived  retroactively.  </w:t>
      </w:r>
      <w:r>
        <w:rPr>
          <w:color w:val="010101"/>
          <w:w w:val="105"/>
          <w:sz w:val="18"/>
        </w:rPr>
        <w:t>If  </w:t>
      </w:r>
      <w:r>
        <w:rPr>
          <w:color w:val="010101"/>
          <w:w w:val="105"/>
          <w:sz w:val="17"/>
        </w:rPr>
        <w:t>the  gross  annual  prernium  to be  waived is $100, find  the  net  </w:t>
      </w:r>
      <w:r>
        <w:rPr>
          <w:color w:val="010101"/>
          <w:spacing w:val="3"/>
          <w:w w:val="105"/>
          <w:sz w:val="17"/>
        </w:rPr>
        <w:t>annual  </w:t>
      </w:r>
      <w:r>
        <w:rPr>
          <w:color w:val="010101"/>
          <w:w w:val="105"/>
          <w:sz w:val="17"/>
        </w:rPr>
        <w:t>premium  for the waiver </w:t>
      </w:r>
      <w:r>
        <w:rPr>
          <w:rFonts w:ascii="Arial"/>
          <w:color w:val="010101"/>
          <w:w w:val="105"/>
          <w:sz w:val="16"/>
        </w:rPr>
        <w:t>of  </w:t>
      </w:r>
      <w:r>
        <w:rPr>
          <w:color w:val="010101"/>
          <w:w w:val="105"/>
          <w:sz w:val="17"/>
        </w:rPr>
        <w:t>premium  </w:t>
      </w:r>
      <w:r>
        <w:rPr>
          <w:color w:val="010101"/>
          <w:spacing w:val="19"/>
          <w:w w:val="105"/>
          <w:sz w:val="17"/>
        </w:rPr>
        <w:t> </w:t>
      </w:r>
      <w:r>
        <w:rPr>
          <w:color w:val="010101"/>
          <w:w w:val="105"/>
          <w:sz w:val="17"/>
        </w:rPr>
        <w:t>benefit.</w:t>
      </w:r>
    </w:p>
    <w:p>
      <w:pPr>
        <w:pStyle w:val="ListParagraph"/>
        <w:numPr>
          <w:ilvl w:val="1"/>
          <w:numId w:val="150"/>
        </w:numPr>
        <w:tabs>
          <w:tab w:pos="575" w:val="left" w:leader="none"/>
        </w:tabs>
        <w:spacing w:line="242" w:lineRule="auto" w:before="4" w:after="0"/>
        <w:ind w:left="133" w:right="188" w:firstLine="158"/>
        <w:jc w:val="both"/>
        <w:rPr>
          <w:sz w:val="17"/>
        </w:rPr>
      </w:pPr>
      <w:r>
        <w:rPr>
          <w:color w:val="010101"/>
          <w:w w:val="110"/>
          <w:sz w:val="17"/>
        </w:rPr>
        <w:t>For the benefit described in exercise 17, find the net annual premium ií the  benefit  is</w:t>
      </w:r>
      <w:r>
        <w:rPr>
          <w:color w:val="010101"/>
          <w:spacing w:val="-10"/>
          <w:w w:val="110"/>
          <w:sz w:val="17"/>
        </w:rPr>
        <w:t> </w:t>
      </w:r>
      <w:r>
        <w:rPr>
          <w:color w:val="010101"/>
          <w:w w:val="110"/>
          <w:sz w:val="17"/>
        </w:rPr>
        <w:t>included:</w:t>
      </w:r>
    </w:p>
    <w:p>
      <w:pPr>
        <w:pStyle w:val="ListParagraph"/>
        <w:numPr>
          <w:ilvl w:val="2"/>
          <w:numId w:val="150"/>
        </w:numPr>
        <w:tabs>
          <w:tab w:pos="751" w:val="left" w:leader="none"/>
        </w:tabs>
        <w:spacing w:line="240" w:lineRule="auto" w:before="0" w:after="0"/>
        <w:ind w:left="750" w:right="0" w:hanging="291"/>
        <w:jc w:val="left"/>
        <w:rPr>
          <w:sz w:val="16"/>
        </w:rPr>
      </w:pPr>
      <w:r>
        <w:rPr>
          <w:color w:val="010101"/>
          <w:w w:val="105"/>
          <w:sz w:val="17"/>
        </w:rPr>
        <w:t>in  a  </w:t>
      </w:r>
      <w:r>
        <w:rPr>
          <w:color w:val="010101"/>
          <w:spacing w:val="-3"/>
          <w:w w:val="105"/>
          <w:sz w:val="17"/>
        </w:rPr>
        <w:t>15-pa.yment  </w:t>
      </w:r>
      <w:r>
        <w:rPr>
          <w:color w:val="010101"/>
          <w:w w:val="105"/>
          <w:sz w:val="17"/>
        </w:rPr>
        <w:t>25-year  endowment  issued  at a.ge</w:t>
      </w:r>
      <w:r>
        <w:rPr>
          <w:color w:val="010101"/>
          <w:spacing w:val="-8"/>
          <w:w w:val="105"/>
          <w:sz w:val="17"/>
        </w:rPr>
        <w:t> </w:t>
      </w:r>
      <w:r>
        <w:rPr>
          <w:color w:val="010101"/>
          <w:w w:val="105"/>
          <w:sz w:val="16"/>
        </w:rPr>
        <w:t>35;</w:t>
      </w:r>
    </w:p>
    <w:p>
      <w:pPr>
        <w:spacing w:before="2"/>
        <w:ind w:left="459" w:right="0" w:firstLine="0"/>
        <w:jc w:val="left"/>
        <w:rPr>
          <w:sz w:val="16"/>
        </w:rPr>
      </w:pPr>
      <w:r>
        <w:rPr>
          <w:color w:val="010101"/>
          <w:w w:val="110"/>
          <w:sz w:val="16"/>
        </w:rPr>
        <w:t>(b)  </w:t>
      </w:r>
      <w:r>
        <w:rPr>
          <w:color w:val="010101"/>
          <w:w w:val="110"/>
          <w:sz w:val="17"/>
        </w:rPr>
        <w:t>in a 30-payment life policy issued at a.ge  </w:t>
      </w:r>
      <w:r>
        <w:rPr>
          <w:color w:val="010101"/>
          <w:w w:val="110"/>
          <w:sz w:val="16"/>
        </w:rPr>
        <w:t>45.</w:t>
      </w:r>
    </w:p>
    <w:p>
      <w:pPr>
        <w:pStyle w:val="ListParagraph"/>
        <w:numPr>
          <w:ilvl w:val="0"/>
          <w:numId w:val="151"/>
        </w:numPr>
        <w:tabs>
          <w:tab w:pos="306" w:val="left" w:leader="none"/>
        </w:tabs>
        <w:spacing w:line="240" w:lineRule="auto" w:before="126" w:after="0"/>
        <w:ind w:left="305" w:right="0" w:hanging="183"/>
        <w:jc w:val="left"/>
        <w:rPr>
          <w:b/>
          <w:sz w:val="16"/>
        </w:rPr>
      </w:pPr>
      <w:r>
        <w:rPr>
          <w:b/>
          <w:color w:val="010101"/>
          <w:w w:val="125"/>
          <w:sz w:val="16"/>
        </w:rPr>
        <w:t>Disahility</w:t>
      </w:r>
      <w:r>
        <w:rPr>
          <w:b/>
          <w:color w:val="010101"/>
          <w:spacing w:val="7"/>
          <w:w w:val="125"/>
          <w:sz w:val="16"/>
        </w:rPr>
        <w:t> </w:t>
      </w:r>
      <w:r>
        <w:rPr>
          <w:b/>
          <w:color w:val="010101"/>
          <w:w w:val="125"/>
          <w:sz w:val="16"/>
        </w:rPr>
        <w:t>reserves</w:t>
      </w:r>
    </w:p>
    <w:p>
      <w:pPr>
        <w:pStyle w:val="BodyText"/>
        <w:spacing w:before="10"/>
        <w:rPr>
          <w:b/>
          <w:sz w:val="12"/>
        </w:rPr>
      </w:pPr>
    </w:p>
    <w:p>
      <w:pPr>
        <w:pStyle w:val="ListParagraph"/>
        <w:numPr>
          <w:ilvl w:val="1"/>
          <w:numId w:val="151"/>
        </w:numPr>
        <w:tabs>
          <w:tab w:pos="568" w:val="left" w:leader="none"/>
        </w:tabs>
        <w:spacing w:line="141" w:lineRule="auto" w:before="0" w:after="0"/>
        <w:ind w:left="122" w:right="176" w:firstLine="165"/>
        <w:jc w:val="both"/>
        <w:rPr>
          <w:i/>
          <w:color w:val="010101"/>
          <w:sz w:val="17"/>
        </w:rPr>
      </w:pPr>
      <w:r>
        <w:rPr>
          <w:color w:val="010101"/>
          <w:w w:val="110"/>
          <w:sz w:val="17"/>
        </w:rPr>
        <w:t>Write formulas for the active life reserves corresponding to (16.49a) and  (16.49b) for the case where </w:t>
      </w:r>
      <w:r>
        <w:rPr>
          <w:i/>
          <w:color w:val="010101"/>
          <w:w w:val="110"/>
          <w:sz w:val="17"/>
        </w:rPr>
        <w:t>x  </w:t>
      </w:r>
      <w:r>
        <w:rPr>
          <w:rFonts w:ascii="Arial"/>
          <w:color w:val="010101"/>
          <w:w w:val="110"/>
          <w:sz w:val="26"/>
        </w:rPr>
        <w:t>+ </w:t>
      </w:r>
      <w:r>
        <w:rPr>
          <w:i/>
          <w:color w:val="010101"/>
          <w:w w:val="110"/>
          <w:sz w:val="17"/>
        </w:rPr>
        <w:t>n  </w:t>
      </w:r>
      <w:r>
        <w:rPr>
          <w:rFonts w:ascii="Arial"/>
          <w:color w:val="010101"/>
          <w:w w:val="110"/>
          <w:sz w:val="21"/>
        </w:rPr>
        <w:t>&lt; </w:t>
      </w:r>
      <w:r>
        <w:rPr>
          <w:rFonts w:ascii="Arial"/>
          <w:i/>
          <w:color w:val="010101"/>
          <w:w w:val="110"/>
          <w:sz w:val="14"/>
        </w:rPr>
        <w:t>y  </w:t>
      </w:r>
      <w:r>
        <w:rPr>
          <w:color w:val="010101"/>
          <w:w w:val="110"/>
          <w:sz w:val="17"/>
        </w:rPr>
        <w:t>and </w:t>
      </w:r>
      <w:r>
        <w:rPr>
          <w:i/>
          <w:color w:val="010101"/>
          <w:w w:val="110"/>
          <w:sz w:val="18"/>
        </w:rPr>
        <w:t>t  </w:t>
      </w:r>
      <w:r>
        <w:rPr>
          <w:color w:val="010101"/>
          <w:w w:val="110"/>
          <w:sz w:val="21"/>
        </w:rPr>
        <w:t>&lt;</w:t>
      </w:r>
      <w:r>
        <w:rPr>
          <w:color w:val="010101"/>
          <w:spacing w:val="-7"/>
          <w:w w:val="110"/>
          <w:sz w:val="21"/>
        </w:rPr>
        <w:t> </w:t>
      </w:r>
      <w:r>
        <w:rPr>
          <w:i/>
          <w:color w:val="010101"/>
          <w:w w:val="110"/>
          <w:sz w:val="17"/>
        </w:rPr>
        <w:t>n.</w:t>
      </w:r>
    </w:p>
    <w:p>
      <w:pPr>
        <w:pStyle w:val="ListParagraph"/>
        <w:numPr>
          <w:ilvl w:val="1"/>
          <w:numId w:val="151"/>
        </w:numPr>
        <w:tabs>
          <w:tab w:pos="582" w:val="left" w:leader="none"/>
        </w:tabs>
        <w:spacing w:line="213" w:lineRule="exact" w:before="0" w:after="0"/>
        <w:ind w:left="581" w:right="0" w:hanging="294"/>
        <w:jc w:val="left"/>
        <w:rPr>
          <w:color w:val="010101"/>
          <w:sz w:val="17"/>
        </w:rPr>
      </w:pPr>
      <w:r>
        <w:rPr>
          <w:color w:val="010101"/>
          <w:w w:val="105"/>
          <w:sz w:val="16"/>
        </w:rPr>
        <w:t>If  </w:t>
      </w:r>
      <w:r>
        <w:rPr>
          <w:color w:val="010101"/>
          <w:w w:val="105"/>
          <w:sz w:val="17"/>
        </w:rPr>
        <w:t>the reserve given </w:t>
      </w:r>
      <w:r>
        <w:rPr>
          <w:color w:val="010101"/>
          <w:w w:val="105"/>
          <w:sz w:val="16"/>
        </w:rPr>
        <w:t>by  </w:t>
      </w:r>
      <w:r>
        <w:rPr>
          <w:color w:val="010101"/>
          <w:w w:val="105"/>
          <w:sz w:val="17"/>
        </w:rPr>
        <w:t>(16.49a) is denoted by 120 </w:t>
      </w:r>
      <w:r>
        <w:rPr>
          <w:i/>
          <w:color w:val="010101"/>
          <w:spacing w:val="-3"/>
          <w:sz w:val="28"/>
        </w:rPr>
        <w:t>,V! </w:t>
      </w:r>
      <w:r>
        <w:rPr>
          <w:i/>
          <w:color w:val="010101"/>
          <w:sz w:val="28"/>
        </w:rPr>
        <w:t>, </w:t>
      </w:r>
      <w:r>
        <w:rPr>
          <w:color w:val="010101"/>
          <w:w w:val="105"/>
          <w:sz w:val="17"/>
        </w:rPr>
        <w:t>show </w:t>
      </w:r>
      <w:r>
        <w:rPr>
          <w:color w:val="010101"/>
          <w:spacing w:val="8"/>
          <w:w w:val="105"/>
          <w:sz w:val="17"/>
        </w:rPr>
        <w:t> </w:t>
      </w:r>
      <w:r>
        <w:rPr>
          <w:color w:val="010101"/>
          <w:w w:val="105"/>
          <w:sz w:val="17"/>
        </w:rPr>
        <w:t>that</w:t>
      </w:r>
    </w:p>
    <w:p>
      <w:pPr>
        <w:spacing w:line="297" w:lineRule="exact" w:before="0"/>
        <w:ind w:left="293" w:right="370" w:firstLine="0"/>
        <w:jc w:val="center"/>
        <w:rPr>
          <w:rFonts w:ascii="Arial" w:hAnsi="Arial"/>
          <w:sz w:val="20"/>
        </w:rPr>
      </w:pPr>
      <w:r>
        <w:rPr>
          <w:color w:val="010101"/>
          <w:w w:val="121"/>
          <w:sz w:val="12"/>
        </w:rPr>
        <w:t>1+1V!</w:t>
      </w:r>
      <w:r>
        <w:rPr>
          <w:color w:val="010101"/>
          <w:sz w:val="12"/>
        </w:rPr>
        <w:t> </w:t>
      </w:r>
      <w:r>
        <w:rPr>
          <w:color w:val="010101"/>
          <w:spacing w:val="12"/>
          <w:sz w:val="12"/>
        </w:rPr>
        <w:t> </w:t>
      </w:r>
      <w:r>
        <w:rPr>
          <w:color w:val="010101"/>
          <w:w w:val="91"/>
          <w:sz w:val="21"/>
        </w:rPr>
        <w:t>=</w:t>
      </w:r>
      <w:r>
        <w:rPr>
          <w:color w:val="010101"/>
          <w:sz w:val="21"/>
        </w:rPr>
        <w:t> </w:t>
      </w:r>
      <w:r>
        <w:rPr>
          <w:color w:val="010101"/>
          <w:spacing w:val="1"/>
          <w:sz w:val="21"/>
        </w:rPr>
        <w:t> </w:t>
      </w:r>
      <w:r>
        <w:rPr>
          <w:color w:val="010101"/>
          <w:w w:val="84"/>
          <w:sz w:val="22"/>
        </w:rPr>
        <w:t>(,V!</w:t>
      </w:r>
      <w:r>
        <w:rPr>
          <w:color w:val="010101"/>
          <w:spacing w:val="11"/>
          <w:sz w:val="22"/>
        </w:rPr>
        <w:t> </w:t>
      </w:r>
      <w:r>
        <w:rPr>
          <w:rFonts w:ascii="Arial" w:hAnsi="Arial"/>
          <w:color w:val="010101"/>
          <w:w w:val="95"/>
          <w:sz w:val="27"/>
        </w:rPr>
        <w:t>+</w:t>
      </w:r>
      <w:r>
        <w:rPr>
          <w:rFonts w:ascii="Arial" w:hAnsi="Arial"/>
          <w:color w:val="010101"/>
          <w:spacing w:val="-11"/>
          <w:sz w:val="27"/>
        </w:rPr>
        <w:t> </w:t>
      </w:r>
      <w:r>
        <w:rPr>
          <w:i/>
          <w:color w:val="010101"/>
          <w:w w:val="101"/>
          <w:sz w:val="17"/>
        </w:rPr>
        <w:t>P!</w:t>
      </w:r>
      <w:r>
        <w:rPr>
          <w:i/>
          <w:color w:val="010101"/>
          <w:spacing w:val="-16"/>
          <w:sz w:val="17"/>
        </w:rPr>
        <w:t> </w:t>
      </w:r>
      <w:r>
        <w:rPr>
          <w:i/>
          <w:color w:val="010101"/>
          <w:w w:val="174"/>
          <w:sz w:val="17"/>
        </w:rPr>
        <w:t>)u</w:t>
      </w:r>
      <w:r>
        <w:rPr>
          <w:i/>
          <w:color w:val="010101"/>
          <w:sz w:val="17"/>
        </w:rPr>
        <w:t> </w:t>
      </w:r>
      <w:r>
        <w:rPr>
          <w:i/>
          <w:color w:val="010101"/>
          <w:spacing w:val="-21"/>
          <w:sz w:val="17"/>
        </w:rPr>
        <w:t> </w:t>
      </w:r>
      <w:r>
        <w:rPr>
          <w:i/>
          <w:color w:val="010101"/>
          <w:w w:val="116"/>
          <w:sz w:val="17"/>
        </w:rPr>
        <w:t>,</w:t>
      </w:r>
      <w:r>
        <w:rPr>
          <w:i/>
          <w:color w:val="010101"/>
          <w:sz w:val="17"/>
        </w:rPr>
        <w:t> </w:t>
      </w:r>
      <w:r>
        <w:rPr>
          <w:i/>
          <w:color w:val="010101"/>
          <w:spacing w:val="-20"/>
          <w:sz w:val="17"/>
        </w:rPr>
        <w:t> </w:t>
      </w:r>
      <w:r>
        <w:rPr>
          <w:color w:val="010101"/>
          <w:w w:val="247"/>
          <w:sz w:val="17"/>
        </w:rPr>
        <w:t>-</w:t>
      </w:r>
      <w:r>
        <w:rPr>
          <w:color w:val="010101"/>
          <w:sz w:val="17"/>
        </w:rPr>
        <w:t> </w:t>
      </w:r>
      <w:r>
        <w:rPr>
          <w:color w:val="010101"/>
          <w:spacing w:val="-7"/>
          <w:sz w:val="17"/>
        </w:rPr>
        <w:t> </w:t>
      </w:r>
      <w:r>
        <w:rPr>
          <w:rFonts w:ascii="Arial" w:hAnsi="Arial"/>
          <w:color w:val="010101"/>
          <w:w w:val="136"/>
          <w:sz w:val="20"/>
        </w:rPr>
        <w:t>tk</w:t>
      </w:r>
      <w:r>
        <w:rPr>
          <w:rFonts w:ascii="Arial" w:hAnsi="Arial"/>
          <w:color w:val="010101"/>
          <w:spacing w:val="-20"/>
          <w:w w:val="136"/>
          <w:sz w:val="20"/>
        </w:rPr>
        <w:t>!</w:t>
      </w:r>
      <w:r>
        <w:rPr>
          <w:rFonts w:ascii="Arial" w:hAnsi="Arial"/>
          <w:color w:val="010101"/>
          <w:w w:val="55"/>
          <w:sz w:val="20"/>
        </w:rPr>
        <w:t>+c</w:t>
      </w:r>
      <w:r>
        <w:rPr>
          <w:rFonts w:ascii="Arial" w:hAnsi="Arial"/>
          <w:color w:val="010101"/>
          <w:spacing w:val="27"/>
          <w:sz w:val="20"/>
        </w:rPr>
        <w:t> </w:t>
      </w:r>
      <w:r>
        <w:rPr>
          <w:rFonts w:ascii="Arial" w:hAnsi="Arial"/>
          <w:color w:val="010101"/>
          <w:w w:val="93"/>
          <w:sz w:val="27"/>
        </w:rPr>
        <w:t>+</w:t>
      </w:r>
      <w:r>
        <w:rPr>
          <w:rFonts w:ascii="Arial" w:hAnsi="Arial"/>
          <w:color w:val="010101"/>
          <w:spacing w:val="-8"/>
          <w:sz w:val="27"/>
        </w:rPr>
        <w:t> </w:t>
      </w:r>
      <w:r>
        <w:rPr>
          <w:color w:val="181818"/>
          <w:w w:val="83"/>
          <w:sz w:val="22"/>
        </w:rPr>
        <w:t>H4</w:t>
      </w:r>
      <w:r>
        <w:rPr>
          <w:color w:val="181818"/>
          <w:spacing w:val="13"/>
          <w:sz w:val="22"/>
        </w:rPr>
        <w:t> </w:t>
      </w:r>
      <w:r>
        <w:rPr>
          <w:color w:val="010101"/>
          <w:w w:val="112"/>
          <w:sz w:val="17"/>
        </w:rPr>
        <w:t>v</w:t>
      </w:r>
      <w:r>
        <w:rPr>
          <w:color w:val="010101"/>
          <w:spacing w:val="5"/>
          <w:w w:val="112"/>
          <w:sz w:val="17"/>
        </w:rPr>
        <w:t>•</w:t>
      </w:r>
      <w:r>
        <w:rPr>
          <w:color w:val="010101"/>
          <w:w w:val="72"/>
          <w:position w:val="5"/>
          <w:sz w:val="12"/>
        </w:rPr>
        <w:t>112</w:t>
      </w:r>
      <w:r>
        <w:rPr>
          <w:color w:val="010101"/>
          <w:position w:val="5"/>
          <w:sz w:val="12"/>
        </w:rPr>
        <w:t>  </w:t>
      </w:r>
      <w:r>
        <w:rPr>
          <w:rFonts w:ascii="Arial" w:hAnsi="Arial"/>
          <w:color w:val="010101"/>
          <w:w w:val="103"/>
          <w:sz w:val="20"/>
        </w:rPr>
        <w:t>k</w:t>
      </w:r>
      <w:r>
        <w:rPr>
          <w:rFonts w:ascii="Arial" w:hAnsi="Arial"/>
          <w:color w:val="010101"/>
          <w:spacing w:val="-19"/>
          <w:w w:val="103"/>
          <w:sz w:val="20"/>
        </w:rPr>
        <w:t>!</w:t>
      </w:r>
      <w:r>
        <w:rPr>
          <w:rFonts w:ascii="Arial" w:hAnsi="Arial"/>
          <w:color w:val="010101"/>
          <w:w w:val="72"/>
          <w:sz w:val="20"/>
        </w:rPr>
        <w:t>+c</w:t>
      </w:r>
      <w:r>
        <w:rPr>
          <w:rFonts w:ascii="Arial" w:hAnsi="Arial"/>
          <w:color w:val="010101"/>
          <w:w w:val="72"/>
          <w:sz w:val="20"/>
        </w:rPr>
        <w:t>)</w:t>
      </w:r>
      <w:r>
        <w:rPr>
          <w:rFonts w:ascii="Arial" w:hAnsi="Arial"/>
          <w:color w:val="010101"/>
          <w:w w:val="72"/>
          <w:sz w:val="20"/>
        </w:rPr>
        <w:t>,</w:t>
      </w:r>
    </w:p>
    <w:p>
      <w:pPr>
        <w:spacing w:before="46"/>
        <w:ind w:left="126" w:right="0" w:firstLine="0"/>
        <w:jc w:val="left"/>
        <w:rPr>
          <w:sz w:val="17"/>
        </w:rPr>
      </w:pPr>
      <w:r>
        <w:rPr/>
        <w:drawing>
          <wp:anchor distT="0" distB="0" distL="0" distR="0" allowOverlap="1" layoutInCell="1" locked="0" behindDoc="0" simplePos="0" relativeHeight="26584">
            <wp:simplePos x="0" y="0"/>
            <wp:positionH relativeFrom="page">
              <wp:posOffset>1572767</wp:posOffset>
            </wp:positionH>
            <wp:positionV relativeFrom="paragraph">
              <wp:posOffset>213544</wp:posOffset>
            </wp:positionV>
            <wp:extent cx="886968" cy="274320"/>
            <wp:effectExtent l="0" t="0" r="0" b="0"/>
            <wp:wrapNone/>
            <wp:docPr id="813" name="image415.png" descr=""/>
            <wp:cNvGraphicFramePr>
              <a:graphicFrameLocks noChangeAspect="1"/>
            </wp:cNvGraphicFramePr>
            <a:graphic>
              <a:graphicData uri="http://schemas.openxmlformats.org/drawingml/2006/picture">
                <pic:pic>
                  <pic:nvPicPr>
                    <pic:cNvPr id="814" name="image415.png"/>
                    <pic:cNvPicPr/>
                  </pic:nvPicPr>
                  <pic:blipFill>
                    <a:blip r:embed="rId419" cstate="print"/>
                    <a:stretch>
                      <a:fillRect/>
                    </a:stretch>
                  </pic:blipFill>
                  <pic:spPr>
                    <a:xfrm>
                      <a:off x="0" y="0"/>
                      <a:ext cx="886968" cy="274320"/>
                    </a:xfrm>
                    <a:prstGeom prst="rect">
                      <a:avLst/>
                    </a:prstGeom>
                  </pic:spPr>
                </pic:pic>
              </a:graphicData>
            </a:graphic>
          </wp:anchor>
        </w:drawing>
      </w:r>
      <w:r>
        <w:rPr/>
        <w:drawing>
          <wp:anchor distT="0" distB="0" distL="0" distR="0" allowOverlap="1" layoutInCell="1" locked="0" behindDoc="0" simplePos="0" relativeHeight="26608">
            <wp:simplePos x="0" y="0"/>
            <wp:positionH relativeFrom="page">
              <wp:posOffset>2825495</wp:posOffset>
            </wp:positionH>
            <wp:positionV relativeFrom="paragraph">
              <wp:posOffset>213544</wp:posOffset>
            </wp:positionV>
            <wp:extent cx="603504" cy="274320"/>
            <wp:effectExtent l="0" t="0" r="0" b="0"/>
            <wp:wrapNone/>
            <wp:docPr id="815" name="image416.png" descr=""/>
            <wp:cNvGraphicFramePr>
              <a:graphicFrameLocks noChangeAspect="1"/>
            </wp:cNvGraphicFramePr>
            <a:graphic>
              <a:graphicData uri="http://schemas.openxmlformats.org/drawingml/2006/picture">
                <pic:pic>
                  <pic:nvPicPr>
                    <pic:cNvPr id="816" name="image416.png"/>
                    <pic:cNvPicPr/>
                  </pic:nvPicPr>
                  <pic:blipFill>
                    <a:blip r:embed="rId420" cstate="print"/>
                    <a:stretch>
                      <a:fillRect/>
                    </a:stretch>
                  </pic:blipFill>
                  <pic:spPr>
                    <a:xfrm>
                      <a:off x="0" y="0"/>
                      <a:ext cx="603504" cy="274320"/>
                    </a:xfrm>
                    <a:prstGeom prst="rect">
                      <a:avLst/>
                    </a:prstGeom>
                  </pic:spPr>
                </pic:pic>
              </a:graphicData>
            </a:graphic>
          </wp:anchor>
        </w:drawing>
      </w:r>
      <w:r>
        <w:rPr>
          <w:color w:val="010101"/>
          <w:w w:val="105"/>
          <w:sz w:val="17"/>
        </w:rPr>
        <w:t>where</w:t>
      </w:r>
    </w:p>
    <w:p>
      <w:pPr>
        <w:pStyle w:val="BodyText"/>
        <w:spacing w:before="8"/>
        <w:rPr>
          <w:sz w:val="17"/>
        </w:rPr>
      </w:pPr>
    </w:p>
    <w:p>
      <w:pPr>
        <w:spacing w:before="0"/>
        <w:ind w:left="1624" w:right="662" w:firstLine="0"/>
        <w:jc w:val="center"/>
        <w:rPr>
          <w:sz w:val="17"/>
        </w:rPr>
      </w:pPr>
      <w:r>
        <w:rPr>
          <w:color w:val="181818"/>
          <w:w w:val="110"/>
          <w:sz w:val="17"/>
        </w:rPr>
        <w:t>and</w:t>
      </w:r>
    </w:p>
    <w:p>
      <w:pPr>
        <w:spacing w:after="0"/>
        <w:jc w:val="center"/>
        <w:rPr>
          <w:sz w:val="17"/>
        </w:rPr>
        <w:sectPr>
          <w:pgSz w:w="7200" w:h="11340"/>
          <w:pgMar w:top="500" w:bottom="280" w:left="660" w:right="520"/>
        </w:sectPr>
      </w:pPr>
    </w:p>
    <w:p>
      <w:pPr>
        <w:tabs>
          <w:tab w:pos="1994" w:val="left" w:leader="none"/>
          <w:tab w:pos="5249" w:val="left" w:leader="none"/>
        </w:tabs>
        <w:spacing w:before="50"/>
        <w:ind w:left="130" w:right="0" w:firstLine="0"/>
        <w:jc w:val="both"/>
        <w:rPr>
          <w:sz w:val="20"/>
        </w:rPr>
      </w:pPr>
      <w:r>
        <w:rPr>
          <w:rFonts w:ascii="Arial"/>
          <w:sz w:val="20"/>
        </w:rPr>
        <w:t>330</w:t>
        <w:tab/>
      </w:r>
      <w:r>
        <w:rPr>
          <w:position w:val="1"/>
          <w:sz w:val="15"/>
        </w:rPr>
        <w:t>A  </w:t>
      </w:r>
      <w:r>
        <w:rPr>
          <w:spacing w:val="32"/>
          <w:position w:val="1"/>
          <w:sz w:val="15"/>
        </w:rPr>
        <w:t> </w:t>
      </w:r>
      <w:r>
        <w:rPr>
          <w:position w:val="1"/>
          <w:sz w:val="15"/>
        </w:rPr>
        <w:t>GENERALIZED    MODEL</w:t>
        <w:tab/>
      </w:r>
      <w:r>
        <w:rPr>
          <w:sz w:val="19"/>
        </w:rPr>
        <w:t>[CH.</w:t>
      </w:r>
      <w:r>
        <w:rPr>
          <w:spacing w:val="45"/>
          <w:sz w:val="19"/>
        </w:rPr>
        <w:t> </w:t>
      </w:r>
      <w:r>
        <w:rPr>
          <w:spacing w:val="-18"/>
          <w:sz w:val="20"/>
        </w:rPr>
        <w:t>16</w:t>
      </w:r>
    </w:p>
    <w:p>
      <w:pPr>
        <w:pStyle w:val="BodyText"/>
        <w:spacing w:before="5"/>
        <w:rPr>
          <w:sz w:val="21"/>
        </w:rPr>
      </w:pPr>
    </w:p>
    <w:p>
      <w:pPr>
        <w:spacing w:before="0"/>
        <w:ind w:left="119" w:right="0" w:firstLine="0"/>
        <w:jc w:val="both"/>
        <w:rPr>
          <w:b/>
          <w:sz w:val="16"/>
        </w:rPr>
      </w:pPr>
      <w:r>
        <w:rPr>
          <w:b/>
          <w:w w:val="125"/>
          <w:sz w:val="16"/>
        </w:rPr>
        <w:t>Miseellaneous problems</w:t>
      </w:r>
    </w:p>
    <w:p>
      <w:pPr>
        <w:pStyle w:val="BodyText"/>
        <w:spacing w:before="7"/>
        <w:rPr>
          <w:b/>
          <w:sz w:val="12"/>
        </w:rPr>
      </w:pPr>
    </w:p>
    <w:p>
      <w:pPr>
        <w:pStyle w:val="ListParagraph"/>
        <w:numPr>
          <w:ilvl w:val="1"/>
          <w:numId w:val="151"/>
        </w:numPr>
        <w:tabs>
          <w:tab w:pos="566" w:val="left" w:leader="none"/>
          <w:tab w:pos="5717" w:val="left" w:leader="none"/>
        </w:tabs>
        <w:spacing w:line="244" w:lineRule="auto" w:before="0" w:after="0"/>
        <w:ind w:left="122" w:right="139" w:firstLine="166"/>
        <w:jc w:val="both"/>
        <w:rPr>
          <w:sz w:val="17"/>
        </w:rPr>
      </w:pPr>
      <w:r>
        <w:rPr>
          <w:w w:val="110"/>
          <w:sz w:val="17"/>
        </w:rPr>
        <w:t>A  pension  plan  provides  at retirement  an annual</w:t>
      </w:r>
      <w:r>
        <w:rPr>
          <w:spacing w:val="-12"/>
          <w:w w:val="110"/>
          <w:sz w:val="17"/>
        </w:rPr>
        <w:t> </w:t>
      </w:r>
      <w:r>
        <w:rPr>
          <w:w w:val="110"/>
          <w:sz w:val="17"/>
        </w:rPr>
        <w:t>pension</w:t>
      </w:r>
      <w:r>
        <w:rPr>
          <w:spacing w:val="33"/>
          <w:w w:val="110"/>
          <w:sz w:val="17"/>
        </w:rPr>
        <w:t> </w:t>
      </w:r>
      <w:r>
        <w:rPr>
          <w:w w:val="110"/>
          <w:sz w:val="17"/>
        </w:rPr>
        <w:t>of</w:t>
        <w:tab/>
      </w:r>
      <w:r>
        <w:rPr>
          <w:w w:val="95"/>
          <w:sz w:val="17"/>
        </w:rPr>
        <w:t>of </w:t>
      </w:r>
      <w:r>
        <w:rPr>
          <w:w w:val="110"/>
          <w:sz w:val="17"/>
        </w:rPr>
        <w:t>one year's salary at the rate of pay in the year of retirement plus, for ea.ch completed year of service at retirement, </w:t>
      </w:r>
      <w:r>
        <w:rPr>
          <w:spacing w:val="-18"/>
          <w:w w:val="110"/>
          <w:sz w:val="17"/>
        </w:rPr>
        <w:t>1% </w:t>
      </w:r>
      <w:r>
        <w:rPr>
          <w:w w:val="110"/>
          <w:sz w:val="17"/>
        </w:rPr>
        <w:t>of m-year final average salary. The pension  is paid  on a ti.ve  years  certain  and life  thereaf ter basis.</w:t>
      </w:r>
      <w:r>
        <w:rPr>
          <w:spacing w:val="25"/>
          <w:w w:val="110"/>
          <w:sz w:val="17"/>
        </w:rPr>
        <w:t> </w:t>
      </w:r>
      <w:r>
        <w:rPr>
          <w:w w:val="110"/>
          <w:sz w:val="17"/>
        </w:rPr>
        <w:t>The</w:t>
      </w:r>
    </w:p>
    <w:p>
      <w:pPr>
        <w:spacing w:line="198" w:lineRule="exact" w:before="2"/>
        <w:ind w:left="122" w:right="145" w:firstLine="0"/>
        <w:jc w:val="both"/>
        <w:rPr>
          <w:sz w:val="17"/>
        </w:rPr>
      </w:pPr>
      <w:r>
        <w:rPr>
          <w:w w:val="110"/>
          <w:sz w:val="17"/>
        </w:rPr>
        <w:t>employee contributes </w:t>
      </w:r>
      <w:r>
        <w:rPr>
          <w:w w:val="110"/>
          <w:sz w:val="21"/>
        </w:rPr>
        <w:t>2% </w:t>
      </w:r>
      <w:r>
        <w:rPr>
          <w:w w:val="110"/>
          <w:sz w:val="17"/>
        </w:rPr>
        <w:t>of each year's salary. Employee contributions cease af ter 30 years even if the employee has not retired. lf the employee terminates or dies prior to retirement, the accumulation of his contributions at  rate  of  interest </w:t>
      </w:r>
      <w:r>
        <w:rPr>
          <w:w w:val="160"/>
          <w:sz w:val="16"/>
        </w:rPr>
        <w:t>j </w:t>
      </w:r>
      <w:r>
        <w:rPr>
          <w:w w:val="110"/>
          <w:sz w:val="17"/>
        </w:rPr>
        <w:t>is  returned.  What  is  the  present  value  of  ali  future</w:t>
      </w:r>
    </w:p>
    <w:p>
      <w:pPr>
        <w:spacing w:before="3"/>
        <w:ind w:left="130" w:right="0" w:firstLine="0"/>
        <w:jc w:val="both"/>
        <w:rPr>
          <w:rFonts w:ascii="Arial"/>
          <w:b/>
          <w:sz w:val="16"/>
        </w:rPr>
      </w:pPr>
      <w:r>
        <w:rPr>
          <w:w w:val="110"/>
          <w:sz w:val="17"/>
        </w:rPr>
        <w:t>benefits for an employee hired at age </w:t>
      </w:r>
      <w:r>
        <w:rPr>
          <w:rFonts w:ascii="Arial"/>
          <w:i/>
          <w:w w:val="110"/>
          <w:sz w:val="15"/>
        </w:rPr>
        <w:t>x </w:t>
      </w:r>
      <w:r>
        <w:rPr>
          <w:w w:val="110"/>
          <w:sz w:val="17"/>
        </w:rPr>
        <w:t>at an annual salary of </w:t>
      </w:r>
      <w:r>
        <w:rPr>
          <w:rFonts w:ascii="Arial"/>
          <w:b/>
          <w:w w:val="110"/>
          <w:sz w:val="16"/>
        </w:rPr>
        <w:t>$5,000?</w:t>
      </w:r>
    </w:p>
    <w:p>
      <w:pPr>
        <w:pStyle w:val="ListParagraph"/>
        <w:numPr>
          <w:ilvl w:val="1"/>
          <w:numId w:val="151"/>
        </w:numPr>
        <w:tabs>
          <w:tab w:pos="570" w:val="left" w:leader="none"/>
        </w:tabs>
        <w:spacing w:line="247" w:lineRule="auto" w:before="2" w:after="0"/>
        <w:ind w:left="130" w:right="140" w:firstLine="154"/>
        <w:jc w:val="both"/>
        <w:rPr>
          <w:sz w:val="17"/>
        </w:rPr>
      </w:pPr>
      <w:r>
        <w:rPr>
          <w:w w:val="110"/>
          <w:sz w:val="17"/>
        </w:rPr>
        <w:t>A disability rider, attached at issue to an ordinary life policy on (x), provides the following benefits  if  </w:t>
      </w:r>
      <w:r>
        <w:rPr>
          <w:rFonts w:ascii="Arial"/>
          <w:i/>
          <w:w w:val="110"/>
          <w:sz w:val="15"/>
        </w:rPr>
        <w:t>(x)  </w:t>
      </w:r>
      <w:r>
        <w:rPr>
          <w:w w:val="110"/>
          <w:sz w:val="17"/>
        </w:rPr>
        <w:t>becomes  totally disabled before age </w:t>
      </w:r>
      <w:r>
        <w:rPr>
          <w:rFonts w:ascii="Arial"/>
          <w:i/>
          <w:w w:val="110"/>
          <w:sz w:val="14"/>
        </w:rPr>
        <w:t>y  </w:t>
      </w:r>
      <w:r>
        <w:rPr>
          <w:w w:val="110"/>
          <w:sz w:val="17"/>
        </w:rPr>
        <w:t>and remains disabled during a waiting period of </w:t>
      </w:r>
      <w:r>
        <w:rPr>
          <w:spacing w:val="39"/>
          <w:w w:val="110"/>
          <w:sz w:val="17"/>
        </w:rPr>
        <w:t> </w:t>
      </w:r>
      <w:r>
        <w:rPr>
          <w:w w:val="110"/>
          <w:sz w:val="17"/>
        </w:rPr>
        <w:t>6 months:</w:t>
      </w:r>
    </w:p>
    <w:p>
      <w:pPr>
        <w:pStyle w:val="ListParagraph"/>
        <w:numPr>
          <w:ilvl w:val="2"/>
          <w:numId w:val="151"/>
        </w:numPr>
        <w:tabs>
          <w:tab w:pos="768" w:val="left" w:leader="none"/>
        </w:tabs>
        <w:spacing w:line="247" w:lineRule="auto" w:before="0" w:after="0"/>
        <w:ind w:left="767" w:right="159" w:hanging="252"/>
        <w:jc w:val="left"/>
        <w:rPr>
          <w:sz w:val="17"/>
        </w:rPr>
      </w:pPr>
      <w:r>
        <w:rPr>
          <w:w w:val="110"/>
          <w:sz w:val="17"/>
        </w:rPr>
        <w:t>a monthly income commencing at the end of the waiting  period and  payable  for life  during  continued</w:t>
      </w:r>
      <w:r>
        <w:rPr>
          <w:spacing w:val="-5"/>
          <w:w w:val="110"/>
          <w:sz w:val="17"/>
        </w:rPr>
        <w:t> </w:t>
      </w:r>
      <w:r>
        <w:rPr>
          <w:w w:val="110"/>
          <w:sz w:val="17"/>
        </w:rPr>
        <w:t>disability;</w:t>
      </w:r>
    </w:p>
    <w:p>
      <w:pPr>
        <w:pStyle w:val="ListParagraph"/>
        <w:numPr>
          <w:ilvl w:val="2"/>
          <w:numId w:val="151"/>
        </w:numPr>
        <w:tabs>
          <w:tab w:pos="764" w:val="left" w:leader="none"/>
        </w:tabs>
        <w:spacing w:line="247" w:lineRule="auto" w:before="0" w:after="0"/>
        <w:ind w:left="767" w:right="151" w:hanging="303"/>
        <w:jc w:val="left"/>
        <w:rPr>
          <w:sz w:val="17"/>
        </w:rPr>
      </w:pPr>
      <w:r>
        <w:rPr>
          <w:w w:val="110"/>
          <w:sz w:val="17"/>
        </w:rPr>
        <w:t>waiver of the life insurance premiums f alling due on or af ter the initial  date  of  disability  and  during  continued</w:t>
      </w:r>
      <w:r>
        <w:rPr>
          <w:spacing w:val="-10"/>
          <w:w w:val="110"/>
          <w:sz w:val="17"/>
        </w:rPr>
        <w:t> </w:t>
      </w:r>
      <w:r>
        <w:rPr>
          <w:w w:val="110"/>
          <w:sz w:val="17"/>
        </w:rPr>
        <w:t>disability.</w:t>
      </w:r>
    </w:p>
    <w:p>
      <w:pPr>
        <w:spacing w:line="249" w:lineRule="auto" w:before="0"/>
        <w:ind w:left="122" w:right="152" w:firstLine="201"/>
        <w:jc w:val="both"/>
        <w:rPr>
          <w:rFonts w:ascii="Arial"/>
          <w:sz w:val="16"/>
        </w:rPr>
      </w:pPr>
      <w:r>
        <w:rPr>
          <w:w w:val="110"/>
          <w:sz w:val="17"/>
        </w:rPr>
        <w:t>Find the amount of the monthly income and the amount of the annual premium to be waived (assumed payable continuously) if the net annua) premium  for the disability  rider </w:t>
      </w:r>
      <w:r>
        <w:rPr>
          <w:rFonts w:ascii="Arial"/>
          <w:w w:val="110"/>
          <w:sz w:val="16"/>
        </w:rPr>
        <w:t>is</w:t>
      </w:r>
    </w:p>
    <w:p>
      <w:pPr>
        <w:spacing w:line="288" w:lineRule="exact" w:before="79"/>
        <w:ind w:left="60" w:right="87" w:firstLine="0"/>
        <w:jc w:val="center"/>
        <w:rPr>
          <w:rFonts w:ascii="Arial"/>
          <w:sz w:val="23"/>
        </w:rPr>
      </w:pPr>
      <w:r>
        <w:rPr/>
        <w:pict>
          <v:line style="position:absolute;mso-position-horizontal-relative:page;mso-position-vertical-relative:paragraph;z-index:-709384" from="157.5pt,16.59384pt" to="160.020pt,16.59384pt" stroked="true" strokeweight=".9pt" strokecolor="#000000">
            <w10:wrap type="none"/>
          </v:line>
        </w:pict>
      </w:r>
      <w:r>
        <w:rPr>
          <w:spacing w:val="-50"/>
          <w:w w:val="135"/>
          <w:sz w:val="17"/>
        </w:rPr>
        <w:t>1</w:t>
      </w:r>
      <w:r>
        <w:rPr>
          <w:w w:val="97"/>
          <w:sz w:val="17"/>
        </w:rPr>
        <w:t>720</w:t>
      </w:r>
      <w:r>
        <w:rPr>
          <w:sz w:val="17"/>
        </w:rPr>
        <w:t>  </w:t>
      </w:r>
      <w:r>
        <w:rPr>
          <w:spacing w:val="10"/>
          <w:sz w:val="17"/>
        </w:rPr>
        <w:t> </w:t>
      </w:r>
      <w:r>
        <w:rPr>
          <w:rFonts w:ascii="Arial"/>
          <w:spacing w:val="-28"/>
          <w:w w:val="96"/>
          <w:sz w:val="23"/>
        </w:rPr>
        <w:t>M</w:t>
      </w:r>
      <w:r>
        <w:rPr>
          <w:rFonts w:ascii="Arial"/>
          <w:spacing w:val="-41"/>
          <w:w w:val="227"/>
          <w:sz w:val="23"/>
        </w:rPr>
        <w:t>!</w:t>
      </w:r>
      <w:r>
        <w:rPr>
          <w:rFonts w:ascii="Arial"/>
          <w:w w:val="102"/>
          <w:sz w:val="26"/>
        </w:rPr>
        <w:t>+</w:t>
      </w:r>
      <w:r>
        <w:rPr>
          <w:rFonts w:ascii="Arial"/>
          <w:spacing w:val="-42"/>
          <w:sz w:val="26"/>
        </w:rPr>
        <w:t> </w:t>
      </w:r>
      <w:r>
        <w:rPr>
          <w:w w:val="95"/>
          <w:sz w:val="17"/>
        </w:rPr>
        <w:t>200</w:t>
      </w:r>
      <w:r>
        <w:rPr>
          <w:spacing w:val="17"/>
          <w:sz w:val="17"/>
        </w:rPr>
        <w:t> </w:t>
      </w:r>
      <w:r>
        <w:rPr>
          <w:rFonts w:ascii="Arial"/>
          <w:spacing w:val="-10"/>
          <w:w w:val="99"/>
          <w:sz w:val="15"/>
        </w:rPr>
        <w:t>v</w:t>
      </w:r>
      <w:r>
        <w:rPr>
          <w:spacing w:val="16"/>
          <w:w w:val="126"/>
          <w:position w:val="6"/>
          <w:sz w:val="14"/>
        </w:rPr>
        <w:t>1</w:t>
      </w:r>
      <w:r>
        <w:rPr>
          <w:w w:val="77"/>
          <w:position w:val="-2"/>
          <w:sz w:val="9"/>
        </w:rPr>
        <w:t>1</w:t>
      </w:r>
      <w:r>
        <w:rPr>
          <w:spacing w:val="-9"/>
          <w:w w:val="77"/>
          <w:position w:val="-2"/>
          <w:sz w:val="9"/>
        </w:rPr>
        <w:t>1</w:t>
      </w:r>
      <w:r>
        <w:rPr>
          <w:rFonts w:ascii="Arial"/>
          <w:spacing w:val="-18"/>
          <w:w w:val="91"/>
          <w:sz w:val="23"/>
        </w:rPr>
        <w:t>M</w:t>
      </w:r>
      <w:r>
        <w:rPr>
          <w:rFonts w:ascii="Arial"/>
          <w:w w:val="227"/>
          <w:sz w:val="23"/>
        </w:rPr>
        <w:t>!</w:t>
      </w:r>
    </w:p>
    <w:p>
      <w:pPr>
        <w:spacing w:line="231" w:lineRule="exact" w:before="0"/>
        <w:ind w:left="98" w:right="219" w:firstLine="0"/>
        <w:jc w:val="center"/>
        <w:rPr>
          <w:b/>
          <w:i/>
          <w:sz w:val="20"/>
        </w:rPr>
      </w:pPr>
      <w:r>
        <w:rPr>
          <w:rFonts w:ascii="Arial" w:hAnsi="Arial"/>
          <w:i/>
          <w:sz w:val="21"/>
        </w:rPr>
        <w:t>N!• </w:t>
      </w:r>
      <w:r>
        <w:rPr>
          <w:rFonts w:ascii="Arial" w:hAnsi="Arial"/>
          <w:w w:val="180"/>
          <w:sz w:val="21"/>
        </w:rPr>
        <w:t>-</w:t>
      </w:r>
      <w:r>
        <w:rPr>
          <w:rFonts w:ascii="Arial" w:hAnsi="Arial"/>
          <w:spacing w:val="-81"/>
          <w:w w:val="180"/>
          <w:sz w:val="21"/>
        </w:rPr>
        <w:t> </w:t>
      </w:r>
      <w:r>
        <w:rPr>
          <w:b/>
          <w:i/>
          <w:sz w:val="20"/>
        </w:rPr>
        <w:t>N;9</w:t>
      </w:r>
    </w:p>
    <w:p>
      <w:pPr>
        <w:spacing w:after="0" w:line="231" w:lineRule="exact"/>
        <w:jc w:val="center"/>
        <w:rPr>
          <w:sz w:val="20"/>
        </w:rPr>
        <w:sectPr>
          <w:pgSz w:w="7200" w:h="11340"/>
          <w:pgMar w:top="500" w:bottom="280" w:left="680" w:right="520"/>
        </w:sect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6"/>
        <w:rPr>
          <w:b/>
          <w:i/>
          <w:sz w:val="25"/>
        </w:rPr>
      </w:pPr>
    </w:p>
    <w:p>
      <w:pPr>
        <w:spacing w:before="66"/>
        <w:ind w:left="1633" w:right="0" w:firstLine="0"/>
        <w:jc w:val="left"/>
        <w:rPr>
          <w:sz w:val="26"/>
        </w:rPr>
      </w:pPr>
      <w:bookmarkStart w:name="Appendix I. Tables" w:id="24"/>
      <w:bookmarkEnd w:id="24"/>
      <w:r>
        <w:rPr/>
      </w:r>
      <w:r>
        <w:rPr>
          <w:w w:val="105"/>
          <w:sz w:val="26"/>
        </w:rPr>
        <w:t>APPENDICES</w:t>
      </w:r>
    </w:p>
    <w:p>
      <w:pPr>
        <w:spacing w:after="0"/>
        <w:jc w:val="left"/>
        <w:rPr>
          <w:sz w:val="26"/>
        </w:rPr>
        <w:sectPr>
          <w:pgSz w:w="7200" w:h="11340"/>
          <w:pgMar w:top="1060" w:bottom="280" w:left="980" w:right="980"/>
        </w:sectPr>
      </w:pPr>
    </w:p>
    <w:p>
      <w:pPr>
        <w:spacing w:before="50"/>
        <w:ind w:left="118" w:right="131" w:firstLine="0"/>
        <w:jc w:val="center"/>
        <w:rPr>
          <w:sz w:val="18"/>
        </w:rPr>
      </w:pPr>
      <w:bookmarkStart w:name="A. The Commissioners 1958 Standard Ordin" w:id="25"/>
      <w:bookmarkEnd w:id="25"/>
      <w:r>
        <w:rPr/>
      </w:r>
      <w:r>
        <w:rPr>
          <w:w w:val="105"/>
          <w:sz w:val="18"/>
        </w:rPr>
        <w:t>APPENDIX  I</w:t>
      </w:r>
    </w:p>
    <w:p>
      <w:pPr>
        <w:spacing w:before="118"/>
        <w:ind w:left="119" w:right="131" w:firstLine="0"/>
        <w:jc w:val="center"/>
        <w:rPr>
          <w:rFonts w:ascii="Arial"/>
          <w:sz w:val="17"/>
        </w:rPr>
      </w:pPr>
      <w:r>
        <w:rPr>
          <w:rFonts w:ascii="Arial"/>
          <w:w w:val="115"/>
          <w:sz w:val="17"/>
        </w:rPr>
        <w:t>TABLE A</w:t>
      </w:r>
    </w:p>
    <w:p>
      <w:pPr>
        <w:spacing w:line="190" w:lineRule="exact" w:before="60" w:after="57"/>
        <w:ind w:left="139" w:right="127" w:firstLine="0"/>
        <w:jc w:val="center"/>
        <w:rPr>
          <w:i/>
          <w:sz w:val="17"/>
        </w:rPr>
      </w:pPr>
      <w:r>
        <w:rPr>
          <w:i/>
          <w:w w:val="105"/>
          <w:sz w:val="17"/>
        </w:rPr>
        <w:t>The Commissioners 1968 Standard Ordinary (1968 CSO) M ort.ality Table </w:t>
      </w:r>
      <w:r>
        <w:rPr>
          <w:i/>
          <w:w w:val="89"/>
          <w:sz w:val="17"/>
        </w:rPr>
        <w:t>M </w:t>
      </w:r>
      <w:r>
        <w:rPr>
          <w:i/>
          <w:w w:val="100"/>
          <w:sz w:val="17"/>
        </w:rPr>
        <w:t>ale </w:t>
      </w:r>
      <w:r>
        <w:rPr>
          <w:i/>
          <w:w w:val="164"/>
          <w:sz w:val="17"/>
        </w:rPr>
        <w:t>Lis</w:t>
      </w:r>
    </w:p>
    <w:tbl>
      <w:tblPr>
        <w:tblW w:w="0" w:type="auto"/>
        <w:jc w:val="left"/>
        <w:tblInd w:w="113"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top w:w="0" w:type="dxa"/>
          <w:left w:w="0" w:type="dxa"/>
          <w:bottom w:w="0" w:type="dxa"/>
          <w:right w:w="0" w:type="dxa"/>
        </w:tblCellMar>
        <w:tblLook w:val="01E0"/>
      </w:tblPr>
      <w:tblGrid>
        <w:gridCol w:w="1163"/>
        <w:gridCol w:w="1628"/>
        <w:gridCol w:w="1464"/>
        <w:gridCol w:w="1430"/>
      </w:tblGrid>
      <w:tr>
        <w:trPr>
          <w:trHeight w:val="395" w:hRule="exact"/>
        </w:trPr>
        <w:tc>
          <w:tcPr>
            <w:tcW w:w="1163" w:type="dxa"/>
            <w:tcBorders>
              <w:left w:val="nil"/>
              <w:bottom w:val="single" w:sz="6" w:space="0" w:color="000000"/>
            </w:tcBorders>
          </w:tcPr>
          <w:p>
            <w:pPr>
              <w:pStyle w:val="TableParagraph"/>
              <w:rPr>
                <w:rFonts w:ascii="Times New Roman"/>
                <w:i/>
                <w:sz w:val="10"/>
              </w:rPr>
            </w:pPr>
          </w:p>
          <w:p>
            <w:pPr>
              <w:pStyle w:val="TableParagraph"/>
              <w:ind w:left="527"/>
              <w:rPr>
                <w:rFonts w:ascii="Arial"/>
                <w:sz w:val="12"/>
              </w:rPr>
            </w:pPr>
            <w:r>
              <w:rPr>
                <w:rFonts w:ascii="Arial"/>
                <w:w w:val="123"/>
                <w:sz w:val="12"/>
              </w:rPr>
              <w:t>s</w:t>
            </w:r>
          </w:p>
        </w:tc>
        <w:tc>
          <w:tcPr>
            <w:tcW w:w="1628" w:type="dxa"/>
            <w:tcBorders>
              <w:top w:val="single" w:sz="6" w:space="0" w:color="000000"/>
              <w:bottom w:val="single" w:sz="6" w:space="0" w:color="000000"/>
            </w:tcBorders>
          </w:tcPr>
          <w:p>
            <w:pPr>
              <w:pStyle w:val="TableParagraph"/>
              <w:spacing w:line="290" w:lineRule="exact"/>
              <w:ind w:left="315" w:right="211"/>
              <w:jc w:val="center"/>
              <w:rPr>
                <w:rFonts w:ascii="Arial"/>
                <w:sz w:val="40"/>
              </w:rPr>
            </w:pPr>
            <w:r>
              <w:rPr>
                <w:rFonts w:ascii="Arial"/>
                <w:w w:val="120"/>
                <w:sz w:val="40"/>
              </w:rPr>
              <w:t>,.</w:t>
            </w:r>
          </w:p>
        </w:tc>
        <w:tc>
          <w:tcPr>
            <w:tcW w:w="1464" w:type="dxa"/>
            <w:tcBorders>
              <w:top w:val="single" w:sz="13" w:space="0" w:color="000000"/>
              <w:bottom w:val="single" w:sz="6" w:space="0" w:color="000000"/>
            </w:tcBorders>
          </w:tcPr>
          <w:p>
            <w:pPr>
              <w:pStyle w:val="TableParagraph"/>
              <w:spacing w:line="281" w:lineRule="exact"/>
              <w:ind w:left="374" w:right="262"/>
              <w:jc w:val="center"/>
              <w:rPr>
                <w:rFonts w:ascii="Arial"/>
                <w:sz w:val="40"/>
              </w:rPr>
            </w:pPr>
            <w:r>
              <w:rPr>
                <w:rFonts w:ascii="Arial"/>
                <w:spacing w:val="-57"/>
                <w:w w:val="155"/>
                <w:sz w:val="40"/>
              </w:rPr>
              <w:t>,.</w:t>
            </w:r>
          </w:p>
        </w:tc>
        <w:tc>
          <w:tcPr>
            <w:tcW w:w="1430" w:type="dxa"/>
            <w:tcBorders>
              <w:top w:val="single" w:sz="13" w:space="0" w:color="000000"/>
              <w:bottom w:val="single" w:sz="12" w:space="0" w:color="000000"/>
              <w:right w:val="nil"/>
            </w:tcBorders>
          </w:tcPr>
          <w:p>
            <w:pPr>
              <w:pStyle w:val="TableParagraph"/>
              <w:spacing w:before="4"/>
              <w:rPr>
                <w:rFonts w:ascii="Times New Roman"/>
                <w:i/>
                <w:sz w:val="11"/>
              </w:rPr>
            </w:pPr>
          </w:p>
          <w:p>
            <w:pPr>
              <w:pStyle w:val="TableParagraph"/>
              <w:ind w:left="452" w:right="415"/>
              <w:jc w:val="center"/>
              <w:rPr>
                <w:rFonts w:ascii="Times New Roman"/>
                <w:sz w:val="12"/>
              </w:rPr>
            </w:pPr>
            <w:r>
              <w:rPr>
                <w:rFonts w:ascii="Times New Roman"/>
                <w:w w:val="105"/>
                <w:sz w:val="12"/>
              </w:rPr>
              <w:t>1000g.</w:t>
            </w:r>
          </w:p>
        </w:tc>
      </w:tr>
      <w:tr>
        <w:trPr>
          <w:trHeight w:val="518" w:hRule="exact"/>
        </w:trPr>
        <w:tc>
          <w:tcPr>
            <w:tcW w:w="1163" w:type="dxa"/>
            <w:tcBorders>
              <w:top w:val="single" w:sz="6" w:space="0" w:color="000000"/>
              <w:left w:val="nil"/>
              <w:bottom w:val="nil"/>
            </w:tcBorders>
          </w:tcPr>
          <w:p>
            <w:pPr>
              <w:pStyle w:val="TableParagraph"/>
              <w:spacing w:line="251" w:lineRule="exact" w:before="45"/>
              <w:ind w:left="69"/>
              <w:jc w:val="center"/>
              <w:rPr>
                <w:rFonts w:ascii="Arial"/>
                <w:sz w:val="22"/>
              </w:rPr>
            </w:pPr>
            <w:r>
              <w:rPr>
                <w:rFonts w:ascii="Arial"/>
                <w:w w:val="78"/>
                <w:sz w:val="22"/>
              </w:rPr>
              <w:t>o</w:t>
            </w:r>
          </w:p>
          <w:p>
            <w:pPr>
              <w:pStyle w:val="TableParagraph"/>
              <w:spacing w:line="214" w:lineRule="exact"/>
              <w:ind w:left="90"/>
              <w:jc w:val="center"/>
              <w:rPr>
                <w:sz w:val="19"/>
              </w:rPr>
            </w:pPr>
            <w:r>
              <w:rPr>
                <w:w w:val="77"/>
                <w:sz w:val="19"/>
              </w:rPr>
              <w:t>1</w:t>
            </w:r>
          </w:p>
        </w:tc>
        <w:tc>
          <w:tcPr>
            <w:tcW w:w="1628" w:type="dxa"/>
            <w:tcBorders>
              <w:top w:val="single" w:sz="6" w:space="0" w:color="000000"/>
              <w:bottom w:val="nil"/>
            </w:tcBorders>
          </w:tcPr>
          <w:p>
            <w:pPr>
              <w:pStyle w:val="TableParagraph"/>
              <w:spacing w:line="205" w:lineRule="exact" w:before="93"/>
              <w:ind w:left="418"/>
              <w:rPr>
                <w:sz w:val="19"/>
              </w:rPr>
            </w:pPr>
            <w:r>
              <w:rPr>
                <w:w w:val="85"/>
                <w:sz w:val="19"/>
              </w:rPr>
              <w:t>10,000,000</w:t>
            </w:r>
          </w:p>
          <w:p>
            <w:pPr>
              <w:pStyle w:val="TableParagraph"/>
              <w:spacing w:line="205" w:lineRule="exact"/>
              <w:ind w:left="486"/>
              <w:rPr>
                <w:sz w:val="19"/>
              </w:rPr>
            </w:pPr>
            <w:r>
              <w:rPr>
                <w:w w:val="85"/>
                <w:sz w:val="19"/>
              </w:rPr>
              <w:t>9,929,a)()</w:t>
            </w:r>
          </w:p>
        </w:tc>
        <w:tc>
          <w:tcPr>
            <w:tcW w:w="1464" w:type="dxa"/>
            <w:tcBorders>
              <w:top w:val="single" w:sz="6" w:space="0" w:color="000000"/>
              <w:bottom w:val="nil"/>
            </w:tcBorders>
          </w:tcPr>
          <w:p>
            <w:pPr>
              <w:pStyle w:val="TableParagraph"/>
              <w:spacing w:line="208" w:lineRule="exact" w:before="90"/>
              <w:ind w:left="491"/>
              <w:rPr>
                <w:sz w:val="19"/>
              </w:rPr>
            </w:pPr>
            <w:r>
              <w:rPr>
                <w:w w:val="95"/>
                <w:sz w:val="19"/>
              </w:rPr>
              <w:t>70,800</w:t>
            </w:r>
          </w:p>
          <w:p>
            <w:pPr>
              <w:pStyle w:val="TableParagraph"/>
              <w:spacing w:line="208" w:lineRule="exact"/>
              <w:ind w:left="502"/>
              <w:rPr>
                <w:sz w:val="19"/>
              </w:rPr>
            </w:pPr>
            <w:r>
              <w:rPr>
                <w:w w:val="95"/>
                <w:sz w:val="19"/>
              </w:rPr>
              <w:t>17,475</w:t>
            </w:r>
          </w:p>
        </w:tc>
        <w:tc>
          <w:tcPr>
            <w:tcW w:w="1430" w:type="dxa"/>
            <w:tcBorders>
              <w:top w:val="single" w:sz="12" w:space="0" w:color="000000"/>
              <w:bottom w:val="nil"/>
              <w:right w:val="nil"/>
            </w:tcBorders>
          </w:tcPr>
          <w:p>
            <w:pPr>
              <w:pStyle w:val="TableParagraph"/>
              <w:spacing w:line="206" w:lineRule="exact" w:before="96"/>
              <w:ind w:left="469" w:right="415"/>
              <w:jc w:val="center"/>
              <w:rPr>
                <w:sz w:val="19"/>
              </w:rPr>
            </w:pPr>
            <w:r>
              <w:rPr>
                <w:sz w:val="19"/>
              </w:rPr>
              <w:t>7.08</w:t>
            </w:r>
          </w:p>
          <w:p>
            <w:pPr>
              <w:pStyle w:val="TableParagraph"/>
              <w:spacing w:line="206" w:lineRule="exact"/>
              <w:ind w:left="489" w:right="413"/>
              <w:jc w:val="center"/>
              <w:rPr>
                <w:sz w:val="19"/>
              </w:rPr>
            </w:pPr>
            <w:r>
              <w:rPr>
                <w:w w:val="90"/>
                <w:sz w:val="19"/>
              </w:rPr>
              <w:t>1.76</w:t>
            </w:r>
          </w:p>
        </w:tc>
      </w:tr>
      <w:tr>
        <w:trPr>
          <w:trHeight w:val="196" w:hRule="exact"/>
        </w:trPr>
        <w:tc>
          <w:tcPr>
            <w:tcW w:w="1163" w:type="dxa"/>
            <w:tcBorders>
              <w:top w:val="nil"/>
              <w:left w:val="nil"/>
              <w:bottom w:val="nil"/>
            </w:tcBorders>
          </w:tcPr>
          <w:p>
            <w:pPr>
              <w:pStyle w:val="TableParagraph"/>
              <w:spacing w:line="201" w:lineRule="exact"/>
              <w:ind w:left="104"/>
              <w:jc w:val="center"/>
              <w:rPr>
                <w:sz w:val="19"/>
              </w:rPr>
            </w:pPr>
            <w:r>
              <w:rPr>
                <w:w w:val="102"/>
                <w:sz w:val="19"/>
              </w:rPr>
              <w:t>2</w:t>
            </w:r>
          </w:p>
        </w:tc>
        <w:tc>
          <w:tcPr>
            <w:tcW w:w="1628" w:type="dxa"/>
            <w:tcBorders>
              <w:top w:val="nil"/>
              <w:bottom w:val="nil"/>
            </w:tcBorders>
          </w:tcPr>
          <w:p>
            <w:pPr>
              <w:pStyle w:val="TableParagraph"/>
              <w:spacing w:line="197" w:lineRule="exact"/>
              <w:ind w:left="316" w:right="211"/>
              <w:jc w:val="center"/>
              <w:rPr>
                <w:sz w:val="19"/>
              </w:rPr>
            </w:pPr>
            <w:r>
              <w:rPr>
                <w:sz w:val="19"/>
              </w:rPr>
              <w:t>9,911,725</w:t>
            </w:r>
          </w:p>
        </w:tc>
        <w:tc>
          <w:tcPr>
            <w:tcW w:w="1464" w:type="dxa"/>
            <w:tcBorders>
              <w:top w:val="nil"/>
              <w:bottom w:val="nil"/>
            </w:tcBorders>
          </w:tcPr>
          <w:p>
            <w:pPr>
              <w:pStyle w:val="TableParagraph"/>
              <w:spacing w:line="197" w:lineRule="exact"/>
              <w:ind w:left="365" w:right="328"/>
              <w:jc w:val="center"/>
              <w:rPr>
                <w:sz w:val="19"/>
              </w:rPr>
            </w:pPr>
            <w:r>
              <w:rPr>
                <w:w w:val="85"/>
                <w:sz w:val="19"/>
              </w:rPr>
              <w:t>15,066</w:t>
            </w:r>
          </w:p>
        </w:tc>
        <w:tc>
          <w:tcPr>
            <w:tcW w:w="1430" w:type="dxa"/>
            <w:tcBorders>
              <w:top w:val="nil"/>
              <w:bottom w:val="nil"/>
              <w:right w:val="nil"/>
            </w:tcBorders>
          </w:tcPr>
          <w:p>
            <w:pPr>
              <w:pStyle w:val="TableParagraph"/>
              <w:spacing w:line="201" w:lineRule="exact"/>
              <w:ind w:left="489" w:right="415"/>
              <w:jc w:val="center"/>
              <w:rPr>
                <w:sz w:val="19"/>
              </w:rPr>
            </w:pPr>
            <w:r>
              <w:rPr>
                <w:w w:val="90"/>
                <w:sz w:val="19"/>
              </w:rPr>
              <w:t>1.52</w:t>
            </w:r>
          </w:p>
        </w:tc>
      </w:tr>
      <w:tr>
        <w:trPr>
          <w:trHeight w:val="201" w:hRule="exact"/>
        </w:trPr>
        <w:tc>
          <w:tcPr>
            <w:tcW w:w="1163" w:type="dxa"/>
            <w:tcBorders>
              <w:top w:val="nil"/>
              <w:left w:val="nil"/>
              <w:bottom w:val="nil"/>
            </w:tcBorders>
          </w:tcPr>
          <w:p>
            <w:pPr>
              <w:pStyle w:val="TableParagraph"/>
              <w:spacing w:line="206" w:lineRule="exact"/>
              <w:ind w:left="96"/>
              <w:jc w:val="center"/>
              <w:rPr>
                <w:sz w:val="19"/>
              </w:rPr>
            </w:pPr>
            <w:r>
              <w:rPr>
                <w:w w:val="95"/>
                <w:sz w:val="19"/>
              </w:rPr>
              <w:t>3</w:t>
            </w:r>
          </w:p>
        </w:tc>
        <w:tc>
          <w:tcPr>
            <w:tcW w:w="1628" w:type="dxa"/>
            <w:tcBorders>
              <w:top w:val="nil"/>
              <w:bottom w:val="nil"/>
            </w:tcBorders>
          </w:tcPr>
          <w:p>
            <w:pPr>
              <w:pStyle w:val="TableParagraph"/>
              <w:spacing w:line="202" w:lineRule="exact"/>
              <w:ind w:left="324" w:right="203"/>
              <w:jc w:val="center"/>
              <w:rPr>
                <w:sz w:val="19"/>
              </w:rPr>
            </w:pPr>
            <w:r>
              <w:rPr>
                <w:w w:val="95"/>
                <w:sz w:val="19"/>
              </w:rPr>
              <w:t>9,896,659</w:t>
            </w:r>
          </w:p>
        </w:tc>
        <w:tc>
          <w:tcPr>
            <w:tcW w:w="1464" w:type="dxa"/>
            <w:tcBorders>
              <w:top w:val="nil"/>
              <w:bottom w:val="nil"/>
            </w:tcBorders>
          </w:tcPr>
          <w:p>
            <w:pPr>
              <w:pStyle w:val="TableParagraph"/>
              <w:spacing w:line="199" w:lineRule="exact"/>
              <w:ind w:left="374" w:right="316"/>
              <w:jc w:val="center"/>
              <w:rPr>
                <w:sz w:val="19"/>
              </w:rPr>
            </w:pPr>
            <w:r>
              <w:rPr>
                <w:sz w:val="19"/>
              </w:rPr>
              <w:t>14,449</w:t>
            </w:r>
          </w:p>
        </w:tc>
        <w:tc>
          <w:tcPr>
            <w:tcW w:w="1430" w:type="dxa"/>
            <w:tcBorders>
              <w:top w:val="nil"/>
              <w:bottom w:val="nil"/>
              <w:right w:val="nil"/>
            </w:tcBorders>
          </w:tcPr>
          <w:p>
            <w:pPr>
              <w:pStyle w:val="TableParagraph"/>
              <w:spacing w:line="202" w:lineRule="exact"/>
              <w:ind w:left="482" w:right="415"/>
              <w:jc w:val="center"/>
              <w:rPr>
                <w:sz w:val="19"/>
              </w:rPr>
            </w:pPr>
            <w:r>
              <w:rPr>
                <w:w w:val="80"/>
                <w:sz w:val="19"/>
              </w:rPr>
              <w:t>1.46</w:t>
            </w:r>
          </w:p>
        </w:tc>
      </w:tr>
      <w:tr>
        <w:trPr>
          <w:trHeight w:val="298" w:hRule="exact"/>
        </w:trPr>
        <w:tc>
          <w:tcPr>
            <w:tcW w:w="1163" w:type="dxa"/>
            <w:tcBorders>
              <w:top w:val="nil"/>
              <w:left w:val="nil"/>
              <w:bottom w:val="nil"/>
            </w:tcBorders>
          </w:tcPr>
          <w:p>
            <w:pPr>
              <w:pStyle w:val="TableParagraph"/>
              <w:spacing w:line="183" w:lineRule="exact"/>
              <w:ind w:left="567"/>
              <w:rPr>
                <w:rFonts w:ascii="Arial"/>
                <w:sz w:val="16"/>
              </w:rPr>
            </w:pPr>
            <w:r>
              <w:rPr>
                <w:rFonts w:ascii="Arial"/>
                <w:w w:val="101"/>
                <w:sz w:val="16"/>
              </w:rPr>
              <w:t>4</w:t>
            </w:r>
          </w:p>
        </w:tc>
        <w:tc>
          <w:tcPr>
            <w:tcW w:w="1628" w:type="dxa"/>
            <w:tcBorders>
              <w:top w:val="nil"/>
              <w:bottom w:val="nil"/>
            </w:tcBorders>
          </w:tcPr>
          <w:p>
            <w:pPr>
              <w:pStyle w:val="TableParagraph"/>
              <w:spacing w:line="202" w:lineRule="exact"/>
              <w:ind w:left="324" w:right="196"/>
              <w:jc w:val="center"/>
              <w:rPr>
                <w:sz w:val="19"/>
              </w:rPr>
            </w:pPr>
            <w:r>
              <w:rPr>
                <w:w w:val="95"/>
                <w:sz w:val="19"/>
              </w:rPr>
              <w:t>9,882,210</w:t>
            </w:r>
          </w:p>
        </w:tc>
        <w:tc>
          <w:tcPr>
            <w:tcW w:w="1464" w:type="dxa"/>
            <w:tcBorders>
              <w:top w:val="nil"/>
              <w:bottom w:val="nil"/>
            </w:tcBorders>
          </w:tcPr>
          <w:p>
            <w:pPr>
              <w:pStyle w:val="TableParagraph"/>
              <w:spacing w:line="202" w:lineRule="exact"/>
              <w:ind w:left="374" w:right="327"/>
              <w:jc w:val="center"/>
              <w:rPr>
                <w:sz w:val="19"/>
              </w:rPr>
            </w:pPr>
            <w:r>
              <w:rPr>
                <w:w w:val="95"/>
                <w:sz w:val="19"/>
              </w:rPr>
              <w:t>13,835</w:t>
            </w:r>
          </w:p>
        </w:tc>
        <w:tc>
          <w:tcPr>
            <w:tcW w:w="1430" w:type="dxa"/>
            <w:tcBorders>
              <w:top w:val="nil"/>
              <w:bottom w:val="nil"/>
              <w:right w:val="nil"/>
            </w:tcBorders>
          </w:tcPr>
          <w:p>
            <w:pPr>
              <w:pStyle w:val="TableParagraph"/>
              <w:spacing w:line="199" w:lineRule="exact"/>
              <w:ind w:left="489" w:right="412"/>
              <w:jc w:val="center"/>
              <w:rPr>
                <w:sz w:val="19"/>
              </w:rPr>
            </w:pPr>
            <w:r>
              <w:rPr>
                <w:w w:val="80"/>
                <w:sz w:val="19"/>
              </w:rPr>
              <w:t>1.40</w:t>
            </w:r>
          </w:p>
        </w:tc>
      </w:tr>
      <w:tr>
        <w:trPr>
          <w:trHeight w:val="304" w:hRule="exact"/>
        </w:trPr>
        <w:tc>
          <w:tcPr>
            <w:tcW w:w="1163" w:type="dxa"/>
            <w:tcBorders>
              <w:top w:val="nil"/>
              <w:left w:val="nil"/>
              <w:bottom w:val="nil"/>
            </w:tcBorders>
          </w:tcPr>
          <w:p>
            <w:pPr>
              <w:pStyle w:val="TableParagraph"/>
              <w:spacing w:before="95"/>
              <w:ind w:left="102"/>
              <w:jc w:val="center"/>
              <w:rPr>
                <w:sz w:val="19"/>
              </w:rPr>
            </w:pPr>
            <w:r>
              <w:rPr>
                <w:w w:val="100"/>
                <w:sz w:val="19"/>
              </w:rPr>
              <w:t>5</w:t>
            </w:r>
          </w:p>
        </w:tc>
        <w:tc>
          <w:tcPr>
            <w:tcW w:w="1628" w:type="dxa"/>
            <w:tcBorders>
              <w:top w:val="nil"/>
              <w:bottom w:val="nil"/>
            </w:tcBorders>
          </w:tcPr>
          <w:p>
            <w:pPr>
              <w:pStyle w:val="TableParagraph"/>
              <w:spacing w:before="91"/>
              <w:ind w:left="324" w:right="204"/>
              <w:jc w:val="center"/>
              <w:rPr>
                <w:sz w:val="19"/>
              </w:rPr>
            </w:pPr>
            <w:r>
              <w:rPr>
                <w:w w:val="95"/>
                <w:sz w:val="19"/>
              </w:rPr>
              <w:t>9,868,375</w:t>
            </w:r>
          </w:p>
        </w:tc>
        <w:tc>
          <w:tcPr>
            <w:tcW w:w="1464" w:type="dxa"/>
            <w:tcBorders>
              <w:top w:val="nil"/>
              <w:bottom w:val="nil"/>
            </w:tcBorders>
          </w:tcPr>
          <w:p>
            <w:pPr>
              <w:pStyle w:val="TableParagraph"/>
              <w:spacing w:before="84"/>
              <w:ind w:left="374" w:right="325"/>
              <w:jc w:val="center"/>
              <w:rPr>
                <w:sz w:val="19"/>
              </w:rPr>
            </w:pPr>
            <w:r>
              <w:rPr>
                <w:w w:val="90"/>
                <w:sz w:val="19"/>
              </w:rPr>
              <w:t>13,322</w:t>
            </w:r>
          </w:p>
        </w:tc>
        <w:tc>
          <w:tcPr>
            <w:tcW w:w="1430" w:type="dxa"/>
            <w:tcBorders>
              <w:top w:val="nil"/>
              <w:bottom w:val="nil"/>
              <w:right w:val="nil"/>
            </w:tcBorders>
          </w:tcPr>
          <w:p>
            <w:pPr>
              <w:pStyle w:val="TableParagraph"/>
              <w:spacing w:before="84"/>
              <w:ind w:left="487" w:right="415"/>
              <w:jc w:val="center"/>
              <w:rPr>
                <w:sz w:val="19"/>
              </w:rPr>
            </w:pPr>
            <w:r>
              <w:rPr>
                <w:w w:val="80"/>
                <w:sz w:val="19"/>
              </w:rPr>
              <w:t>1.35</w:t>
            </w:r>
          </w:p>
        </w:tc>
      </w:tr>
      <w:tr>
        <w:trPr>
          <w:trHeight w:val="201" w:hRule="exact"/>
        </w:trPr>
        <w:tc>
          <w:tcPr>
            <w:tcW w:w="1163" w:type="dxa"/>
            <w:tcBorders>
              <w:top w:val="nil"/>
              <w:left w:val="nil"/>
              <w:bottom w:val="nil"/>
            </w:tcBorders>
          </w:tcPr>
          <w:p>
            <w:pPr>
              <w:pStyle w:val="TableParagraph"/>
              <w:spacing w:line="208" w:lineRule="exact"/>
              <w:ind w:left="110"/>
              <w:jc w:val="center"/>
              <w:rPr>
                <w:sz w:val="19"/>
              </w:rPr>
            </w:pPr>
            <w:r>
              <w:rPr>
                <w:w w:val="107"/>
                <w:sz w:val="19"/>
              </w:rPr>
              <w:t>6</w:t>
            </w:r>
          </w:p>
        </w:tc>
        <w:tc>
          <w:tcPr>
            <w:tcW w:w="1628" w:type="dxa"/>
            <w:tcBorders>
              <w:top w:val="nil"/>
              <w:bottom w:val="nil"/>
            </w:tcBorders>
          </w:tcPr>
          <w:p>
            <w:pPr>
              <w:pStyle w:val="TableParagraph"/>
              <w:spacing w:line="201" w:lineRule="exact"/>
              <w:ind w:left="318" w:right="211"/>
              <w:jc w:val="center"/>
              <w:rPr>
                <w:sz w:val="19"/>
              </w:rPr>
            </w:pPr>
            <w:r>
              <w:rPr>
                <w:w w:val="85"/>
                <w:sz w:val="19"/>
              </w:rPr>
              <w:t>9,855,053</w:t>
            </w:r>
          </w:p>
        </w:tc>
        <w:tc>
          <w:tcPr>
            <w:tcW w:w="1464" w:type="dxa"/>
            <w:tcBorders>
              <w:top w:val="nil"/>
              <w:bottom w:val="nil"/>
            </w:tcBorders>
          </w:tcPr>
          <w:p>
            <w:pPr>
              <w:pStyle w:val="TableParagraph"/>
              <w:spacing w:line="197" w:lineRule="exact"/>
              <w:ind w:left="374" w:right="326"/>
              <w:jc w:val="center"/>
              <w:rPr>
                <w:sz w:val="19"/>
              </w:rPr>
            </w:pPr>
            <w:r>
              <w:rPr>
                <w:w w:val="85"/>
                <w:sz w:val="19"/>
              </w:rPr>
              <w:t>12,812</w:t>
            </w:r>
          </w:p>
        </w:tc>
        <w:tc>
          <w:tcPr>
            <w:tcW w:w="1430" w:type="dxa"/>
            <w:tcBorders>
              <w:top w:val="nil"/>
              <w:bottom w:val="nil"/>
              <w:right w:val="nil"/>
            </w:tcBorders>
          </w:tcPr>
          <w:p>
            <w:pPr>
              <w:pStyle w:val="TableParagraph"/>
              <w:spacing w:line="197" w:lineRule="exact"/>
              <w:ind w:left="489" w:right="412"/>
              <w:jc w:val="center"/>
              <w:rPr>
                <w:sz w:val="19"/>
              </w:rPr>
            </w:pPr>
            <w:r>
              <w:rPr>
                <w:w w:val="80"/>
                <w:sz w:val="19"/>
              </w:rPr>
              <w:t>1.30</w:t>
            </w:r>
          </w:p>
        </w:tc>
      </w:tr>
      <w:tr>
        <w:trPr>
          <w:trHeight w:val="200" w:hRule="exact"/>
        </w:trPr>
        <w:tc>
          <w:tcPr>
            <w:tcW w:w="1163" w:type="dxa"/>
            <w:tcBorders>
              <w:top w:val="nil"/>
              <w:left w:val="nil"/>
              <w:bottom w:val="nil"/>
            </w:tcBorders>
          </w:tcPr>
          <w:p>
            <w:pPr>
              <w:pStyle w:val="TableParagraph"/>
              <w:spacing w:line="204" w:lineRule="exact"/>
              <w:ind w:left="99"/>
              <w:jc w:val="center"/>
              <w:rPr>
                <w:sz w:val="19"/>
              </w:rPr>
            </w:pPr>
            <w:r>
              <w:rPr>
                <w:w w:val="97"/>
                <w:sz w:val="19"/>
              </w:rPr>
              <w:t>7</w:t>
            </w:r>
          </w:p>
        </w:tc>
        <w:tc>
          <w:tcPr>
            <w:tcW w:w="1628" w:type="dxa"/>
            <w:tcBorders>
              <w:top w:val="nil"/>
              <w:bottom w:val="nil"/>
            </w:tcBorders>
          </w:tcPr>
          <w:p>
            <w:pPr>
              <w:pStyle w:val="TableParagraph"/>
              <w:spacing w:line="201" w:lineRule="exact"/>
              <w:ind w:left="316" w:right="211"/>
              <w:jc w:val="center"/>
              <w:rPr>
                <w:sz w:val="19"/>
              </w:rPr>
            </w:pPr>
            <w:r>
              <w:rPr>
                <w:w w:val="95"/>
                <w:sz w:val="19"/>
              </w:rPr>
              <w:t>9,842,241</w:t>
            </w:r>
          </w:p>
        </w:tc>
        <w:tc>
          <w:tcPr>
            <w:tcW w:w="1464" w:type="dxa"/>
            <w:tcBorders>
              <w:top w:val="nil"/>
              <w:bottom w:val="nil"/>
            </w:tcBorders>
          </w:tcPr>
          <w:p>
            <w:pPr>
              <w:pStyle w:val="TableParagraph"/>
              <w:spacing w:line="197" w:lineRule="exact"/>
              <w:ind w:left="370" w:right="328"/>
              <w:jc w:val="center"/>
              <w:rPr>
                <w:sz w:val="19"/>
              </w:rPr>
            </w:pPr>
            <w:r>
              <w:rPr>
                <w:w w:val="90"/>
                <w:sz w:val="19"/>
              </w:rPr>
              <w:t>12,401</w:t>
            </w:r>
          </w:p>
        </w:tc>
        <w:tc>
          <w:tcPr>
            <w:tcW w:w="1430" w:type="dxa"/>
            <w:tcBorders>
              <w:top w:val="nil"/>
              <w:bottom w:val="nil"/>
              <w:right w:val="nil"/>
            </w:tcBorders>
          </w:tcPr>
          <w:p>
            <w:pPr>
              <w:pStyle w:val="TableParagraph"/>
              <w:spacing w:line="197" w:lineRule="exact"/>
              <w:ind w:left="482" w:right="415"/>
              <w:jc w:val="center"/>
              <w:rPr>
                <w:sz w:val="19"/>
              </w:rPr>
            </w:pPr>
            <w:r>
              <w:rPr>
                <w:w w:val="80"/>
                <w:sz w:val="19"/>
              </w:rPr>
              <w:t>1.26</w:t>
            </w:r>
          </w:p>
        </w:tc>
      </w:tr>
      <w:tr>
        <w:trPr>
          <w:trHeight w:val="200" w:hRule="exact"/>
        </w:trPr>
        <w:tc>
          <w:tcPr>
            <w:tcW w:w="1163" w:type="dxa"/>
            <w:tcBorders>
              <w:top w:val="nil"/>
              <w:left w:val="nil"/>
              <w:bottom w:val="nil"/>
            </w:tcBorders>
          </w:tcPr>
          <w:p>
            <w:pPr>
              <w:pStyle w:val="TableParagraph"/>
              <w:spacing w:line="206" w:lineRule="exact"/>
              <w:ind w:left="117"/>
              <w:jc w:val="center"/>
              <w:rPr>
                <w:sz w:val="19"/>
              </w:rPr>
            </w:pPr>
            <w:r>
              <w:rPr>
                <w:w w:val="113"/>
                <w:sz w:val="19"/>
              </w:rPr>
              <w:t>8</w:t>
            </w:r>
          </w:p>
        </w:tc>
        <w:tc>
          <w:tcPr>
            <w:tcW w:w="1628" w:type="dxa"/>
            <w:tcBorders>
              <w:top w:val="nil"/>
              <w:bottom w:val="nil"/>
            </w:tcBorders>
          </w:tcPr>
          <w:p>
            <w:pPr>
              <w:pStyle w:val="TableParagraph"/>
              <w:spacing w:line="202" w:lineRule="exact"/>
              <w:ind w:left="321" w:right="211"/>
              <w:jc w:val="center"/>
              <w:rPr>
                <w:sz w:val="19"/>
              </w:rPr>
            </w:pPr>
            <w:r>
              <w:rPr>
                <w:w w:val="95"/>
                <w:sz w:val="19"/>
              </w:rPr>
              <w:t>9,829,840</w:t>
            </w:r>
          </w:p>
        </w:tc>
        <w:tc>
          <w:tcPr>
            <w:tcW w:w="1464" w:type="dxa"/>
            <w:tcBorders>
              <w:top w:val="nil"/>
              <w:bottom w:val="nil"/>
            </w:tcBorders>
          </w:tcPr>
          <w:p>
            <w:pPr>
              <w:pStyle w:val="TableParagraph"/>
              <w:spacing w:line="199" w:lineRule="exact"/>
              <w:ind w:left="361" w:right="328"/>
              <w:jc w:val="center"/>
              <w:rPr>
                <w:sz w:val="19"/>
              </w:rPr>
            </w:pPr>
            <w:r>
              <w:rPr>
                <w:w w:val="85"/>
                <w:sz w:val="19"/>
              </w:rPr>
              <w:t>12,091</w:t>
            </w:r>
          </w:p>
        </w:tc>
        <w:tc>
          <w:tcPr>
            <w:tcW w:w="1430" w:type="dxa"/>
            <w:tcBorders>
              <w:top w:val="nil"/>
              <w:bottom w:val="nil"/>
              <w:right w:val="nil"/>
            </w:tcBorders>
          </w:tcPr>
          <w:p>
            <w:pPr>
              <w:pStyle w:val="TableParagraph"/>
              <w:spacing w:line="199" w:lineRule="exact"/>
              <w:ind w:left="482" w:right="415"/>
              <w:jc w:val="center"/>
              <w:rPr>
                <w:sz w:val="19"/>
              </w:rPr>
            </w:pPr>
            <w:r>
              <w:rPr>
                <w:w w:val="80"/>
                <w:sz w:val="19"/>
              </w:rPr>
              <w:t>1.23</w:t>
            </w:r>
          </w:p>
        </w:tc>
      </w:tr>
      <w:tr>
        <w:trPr>
          <w:trHeight w:val="298" w:hRule="exact"/>
        </w:trPr>
        <w:tc>
          <w:tcPr>
            <w:tcW w:w="1163" w:type="dxa"/>
            <w:tcBorders>
              <w:top w:val="nil"/>
              <w:left w:val="nil"/>
              <w:bottom w:val="nil"/>
            </w:tcBorders>
          </w:tcPr>
          <w:p>
            <w:pPr>
              <w:pStyle w:val="TableParagraph"/>
              <w:spacing w:line="204" w:lineRule="exact"/>
              <w:ind w:left="110"/>
              <w:jc w:val="center"/>
              <w:rPr>
                <w:sz w:val="19"/>
              </w:rPr>
            </w:pPr>
            <w:r>
              <w:rPr>
                <w:w w:val="107"/>
                <w:sz w:val="19"/>
              </w:rPr>
              <w:t>9</w:t>
            </w:r>
          </w:p>
        </w:tc>
        <w:tc>
          <w:tcPr>
            <w:tcW w:w="1628" w:type="dxa"/>
            <w:tcBorders>
              <w:top w:val="nil"/>
              <w:bottom w:val="nil"/>
            </w:tcBorders>
          </w:tcPr>
          <w:p>
            <w:pPr>
              <w:pStyle w:val="TableParagraph"/>
              <w:spacing w:line="201" w:lineRule="exact"/>
              <w:ind w:left="324" w:right="205"/>
              <w:jc w:val="center"/>
              <w:rPr>
                <w:sz w:val="19"/>
              </w:rPr>
            </w:pPr>
            <w:r>
              <w:rPr>
                <w:sz w:val="19"/>
              </w:rPr>
              <w:t>9,817,749</w:t>
            </w:r>
          </w:p>
        </w:tc>
        <w:tc>
          <w:tcPr>
            <w:tcW w:w="1464" w:type="dxa"/>
            <w:tcBorders>
              <w:top w:val="nil"/>
              <w:bottom w:val="nil"/>
            </w:tcBorders>
          </w:tcPr>
          <w:p>
            <w:pPr>
              <w:pStyle w:val="TableParagraph"/>
              <w:spacing w:line="201" w:lineRule="exact"/>
              <w:ind w:left="374" w:right="312"/>
              <w:jc w:val="center"/>
              <w:rPr>
                <w:sz w:val="19"/>
              </w:rPr>
            </w:pPr>
            <w:r>
              <w:rPr>
                <w:w w:val="85"/>
                <w:sz w:val="19"/>
              </w:rPr>
              <w:t>11,879</w:t>
            </w:r>
          </w:p>
        </w:tc>
        <w:tc>
          <w:tcPr>
            <w:tcW w:w="1430" w:type="dxa"/>
            <w:tcBorders>
              <w:top w:val="nil"/>
              <w:bottom w:val="nil"/>
              <w:right w:val="nil"/>
            </w:tcBorders>
          </w:tcPr>
          <w:p>
            <w:pPr>
              <w:pStyle w:val="TableParagraph"/>
              <w:spacing w:line="197" w:lineRule="exact"/>
              <w:ind w:left="485" w:right="415"/>
              <w:jc w:val="center"/>
              <w:rPr>
                <w:sz w:val="19"/>
              </w:rPr>
            </w:pPr>
            <w:r>
              <w:rPr>
                <w:w w:val="85"/>
                <w:sz w:val="19"/>
              </w:rPr>
              <w:t>1.21</w:t>
            </w:r>
          </w:p>
        </w:tc>
      </w:tr>
      <w:tr>
        <w:trPr>
          <w:trHeight w:val="300" w:hRule="exact"/>
        </w:trPr>
        <w:tc>
          <w:tcPr>
            <w:tcW w:w="1163" w:type="dxa"/>
            <w:tcBorders>
              <w:top w:val="nil"/>
              <w:left w:val="nil"/>
              <w:bottom w:val="nil"/>
            </w:tcBorders>
          </w:tcPr>
          <w:p>
            <w:pPr>
              <w:pStyle w:val="TableParagraph"/>
              <w:spacing w:before="82"/>
              <w:ind w:left="506"/>
              <w:rPr>
                <w:sz w:val="19"/>
              </w:rPr>
            </w:pPr>
            <w:r>
              <w:rPr>
                <w:w w:val="80"/>
                <w:sz w:val="19"/>
              </w:rPr>
              <w:t>10</w:t>
            </w:r>
            <w:r>
              <w:rPr>
                <w:spacing w:val="-77"/>
                <w:w w:val="80"/>
                <w:sz w:val="19"/>
              </w:rPr>
              <w:t> </w:t>
            </w:r>
            <w:r>
              <w:rPr>
                <w:color w:val="3D3D3D"/>
                <w:w w:val="80"/>
                <w:sz w:val="19"/>
              </w:rPr>
              <w:t>·</w:t>
            </w:r>
          </w:p>
        </w:tc>
        <w:tc>
          <w:tcPr>
            <w:tcW w:w="1628" w:type="dxa"/>
            <w:tcBorders>
              <w:top w:val="nil"/>
              <w:bottom w:val="nil"/>
            </w:tcBorders>
          </w:tcPr>
          <w:p>
            <w:pPr>
              <w:pStyle w:val="TableParagraph"/>
              <w:spacing w:before="89"/>
              <w:ind w:left="324" w:right="189"/>
              <w:jc w:val="center"/>
              <w:rPr>
                <w:sz w:val="19"/>
              </w:rPr>
            </w:pPr>
            <w:r>
              <w:rPr>
                <w:w w:val="95"/>
                <w:sz w:val="19"/>
              </w:rPr>
              <w:t>9,805,870</w:t>
            </w:r>
          </w:p>
        </w:tc>
        <w:tc>
          <w:tcPr>
            <w:tcW w:w="1464" w:type="dxa"/>
            <w:tcBorders>
              <w:top w:val="nil"/>
              <w:bottom w:val="nil"/>
            </w:tcBorders>
          </w:tcPr>
          <w:p>
            <w:pPr>
              <w:pStyle w:val="TableParagraph"/>
              <w:spacing w:before="89"/>
              <w:ind w:left="374" w:right="327"/>
              <w:jc w:val="center"/>
              <w:rPr>
                <w:sz w:val="19"/>
              </w:rPr>
            </w:pPr>
            <w:r>
              <w:rPr>
                <w:w w:val="85"/>
                <w:sz w:val="19"/>
              </w:rPr>
              <w:t>11,865</w:t>
            </w:r>
          </w:p>
        </w:tc>
        <w:tc>
          <w:tcPr>
            <w:tcW w:w="1430" w:type="dxa"/>
            <w:tcBorders>
              <w:top w:val="nil"/>
              <w:bottom w:val="nil"/>
              <w:right w:val="nil"/>
            </w:tcBorders>
          </w:tcPr>
          <w:p>
            <w:pPr>
              <w:pStyle w:val="TableParagraph"/>
              <w:spacing w:before="82"/>
              <w:ind w:left="487" w:right="415"/>
              <w:jc w:val="center"/>
              <w:rPr>
                <w:sz w:val="19"/>
              </w:rPr>
            </w:pPr>
            <w:r>
              <w:rPr>
                <w:w w:val="85"/>
                <w:sz w:val="19"/>
              </w:rPr>
              <w:t>1.21</w:t>
            </w:r>
          </w:p>
        </w:tc>
      </w:tr>
      <w:tr>
        <w:trPr>
          <w:trHeight w:val="203" w:hRule="exact"/>
        </w:trPr>
        <w:tc>
          <w:tcPr>
            <w:tcW w:w="1163" w:type="dxa"/>
            <w:tcBorders>
              <w:top w:val="nil"/>
              <w:left w:val="nil"/>
              <w:bottom w:val="nil"/>
            </w:tcBorders>
          </w:tcPr>
          <w:p>
            <w:pPr>
              <w:pStyle w:val="TableParagraph"/>
              <w:spacing w:line="210" w:lineRule="exact"/>
              <w:ind w:left="506"/>
              <w:rPr>
                <w:sz w:val="19"/>
              </w:rPr>
            </w:pPr>
            <w:r>
              <w:rPr>
                <w:w w:val="85"/>
                <w:sz w:val="19"/>
              </w:rPr>
              <w:t>11</w:t>
            </w:r>
          </w:p>
        </w:tc>
        <w:tc>
          <w:tcPr>
            <w:tcW w:w="1628" w:type="dxa"/>
            <w:tcBorders>
              <w:top w:val="nil"/>
              <w:bottom w:val="nil"/>
            </w:tcBorders>
          </w:tcPr>
          <w:p>
            <w:pPr>
              <w:pStyle w:val="TableParagraph"/>
              <w:spacing w:line="206" w:lineRule="exact"/>
              <w:ind w:left="324" w:right="210"/>
              <w:jc w:val="center"/>
              <w:rPr>
                <w:sz w:val="19"/>
              </w:rPr>
            </w:pPr>
            <w:r>
              <w:rPr>
                <w:w w:val="95"/>
                <w:sz w:val="19"/>
              </w:rPr>
              <w:t>9,794,005</w:t>
            </w:r>
          </w:p>
        </w:tc>
        <w:tc>
          <w:tcPr>
            <w:tcW w:w="1464" w:type="dxa"/>
            <w:tcBorders>
              <w:top w:val="nil"/>
              <w:bottom w:val="nil"/>
            </w:tcBorders>
          </w:tcPr>
          <w:p>
            <w:pPr>
              <w:pStyle w:val="TableParagraph"/>
              <w:spacing w:line="202" w:lineRule="exact"/>
              <w:ind w:left="374" w:right="320"/>
              <w:jc w:val="center"/>
              <w:rPr>
                <w:sz w:val="19"/>
              </w:rPr>
            </w:pPr>
            <w:r>
              <w:rPr>
                <w:w w:val="95"/>
                <w:sz w:val="19"/>
              </w:rPr>
              <w:t>12,047</w:t>
            </w:r>
          </w:p>
        </w:tc>
        <w:tc>
          <w:tcPr>
            <w:tcW w:w="1430" w:type="dxa"/>
            <w:tcBorders>
              <w:top w:val="nil"/>
              <w:bottom w:val="nil"/>
              <w:right w:val="nil"/>
            </w:tcBorders>
          </w:tcPr>
          <w:p>
            <w:pPr>
              <w:pStyle w:val="TableParagraph"/>
              <w:spacing w:line="199" w:lineRule="exact"/>
              <w:ind w:left="482" w:right="415"/>
              <w:jc w:val="center"/>
              <w:rPr>
                <w:sz w:val="19"/>
              </w:rPr>
            </w:pPr>
            <w:r>
              <w:rPr>
                <w:w w:val="80"/>
                <w:sz w:val="19"/>
              </w:rPr>
              <w:t>1.23</w:t>
            </w:r>
          </w:p>
        </w:tc>
      </w:tr>
      <w:tr>
        <w:trPr>
          <w:trHeight w:val="198" w:hRule="exact"/>
        </w:trPr>
        <w:tc>
          <w:tcPr>
            <w:tcW w:w="1163" w:type="dxa"/>
            <w:tcBorders>
              <w:top w:val="nil"/>
              <w:left w:val="nil"/>
              <w:bottom w:val="nil"/>
            </w:tcBorders>
          </w:tcPr>
          <w:p>
            <w:pPr>
              <w:pStyle w:val="TableParagraph"/>
              <w:spacing w:line="201" w:lineRule="exact"/>
              <w:ind w:left="506"/>
              <w:rPr>
                <w:sz w:val="19"/>
              </w:rPr>
            </w:pPr>
            <w:r>
              <w:rPr>
                <w:w w:val="90"/>
                <w:sz w:val="19"/>
              </w:rPr>
              <w:t>12</w:t>
            </w:r>
          </w:p>
        </w:tc>
        <w:tc>
          <w:tcPr>
            <w:tcW w:w="1628" w:type="dxa"/>
            <w:tcBorders>
              <w:top w:val="nil"/>
              <w:bottom w:val="nil"/>
            </w:tcBorders>
          </w:tcPr>
          <w:p>
            <w:pPr>
              <w:pStyle w:val="TableParagraph"/>
              <w:spacing w:line="204" w:lineRule="exact"/>
              <w:ind w:left="324" w:right="211"/>
              <w:jc w:val="center"/>
              <w:rPr>
                <w:sz w:val="19"/>
              </w:rPr>
            </w:pPr>
            <w:r>
              <w:rPr>
                <w:w w:val="95"/>
                <w:sz w:val="19"/>
              </w:rPr>
              <w:t>9,781,958</w:t>
            </w:r>
          </w:p>
        </w:tc>
        <w:tc>
          <w:tcPr>
            <w:tcW w:w="1464" w:type="dxa"/>
            <w:tcBorders>
              <w:top w:val="nil"/>
              <w:bottom w:val="nil"/>
            </w:tcBorders>
          </w:tcPr>
          <w:p>
            <w:pPr>
              <w:pStyle w:val="TableParagraph"/>
              <w:spacing w:line="201" w:lineRule="exact"/>
              <w:ind w:left="368" w:right="328"/>
              <w:jc w:val="center"/>
              <w:rPr>
                <w:sz w:val="19"/>
              </w:rPr>
            </w:pPr>
            <w:r>
              <w:rPr>
                <w:w w:val="90"/>
                <w:sz w:val="19"/>
              </w:rPr>
              <w:t>12,326</w:t>
            </w:r>
          </w:p>
        </w:tc>
        <w:tc>
          <w:tcPr>
            <w:tcW w:w="1430" w:type="dxa"/>
            <w:tcBorders>
              <w:top w:val="nil"/>
              <w:bottom w:val="nil"/>
              <w:right w:val="nil"/>
            </w:tcBorders>
          </w:tcPr>
          <w:p>
            <w:pPr>
              <w:pStyle w:val="TableParagraph"/>
              <w:spacing w:line="197" w:lineRule="exact"/>
              <w:ind w:left="482" w:right="415"/>
              <w:jc w:val="center"/>
              <w:rPr>
                <w:sz w:val="19"/>
              </w:rPr>
            </w:pPr>
            <w:r>
              <w:rPr>
                <w:w w:val="80"/>
                <w:sz w:val="19"/>
              </w:rPr>
              <w:t>1.26</w:t>
            </w:r>
          </w:p>
        </w:tc>
      </w:tr>
      <w:tr>
        <w:trPr>
          <w:trHeight w:val="201" w:hRule="exact"/>
        </w:trPr>
        <w:tc>
          <w:tcPr>
            <w:tcW w:w="1163" w:type="dxa"/>
            <w:tcBorders>
              <w:top w:val="nil"/>
              <w:left w:val="nil"/>
              <w:bottom w:val="nil"/>
            </w:tcBorders>
          </w:tcPr>
          <w:p>
            <w:pPr>
              <w:pStyle w:val="TableParagraph"/>
              <w:spacing w:line="208" w:lineRule="exact"/>
              <w:ind w:left="502"/>
              <w:rPr>
                <w:sz w:val="19"/>
              </w:rPr>
            </w:pPr>
            <w:r>
              <w:rPr>
                <w:sz w:val="19"/>
              </w:rPr>
              <w:t>13</w:t>
            </w:r>
          </w:p>
        </w:tc>
        <w:tc>
          <w:tcPr>
            <w:tcW w:w="1628" w:type="dxa"/>
            <w:tcBorders>
              <w:top w:val="nil"/>
              <w:bottom w:val="nil"/>
            </w:tcBorders>
          </w:tcPr>
          <w:p>
            <w:pPr>
              <w:pStyle w:val="TableParagraph"/>
              <w:spacing w:line="208" w:lineRule="exact"/>
              <w:ind w:left="318" w:right="211"/>
              <w:jc w:val="center"/>
              <w:rPr>
                <w:sz w:val="19"/>
              </w:rPr>
            </w:pPr>
            <w:r>
              <w:rPr>
                <w:sz w:val="19"/>
              </w:rPr>
              <w:t>9,769,633</w:t>
            </w:r>
          </w:p>
        </w:tc>
        <w:tc>
          <w:tcPr>
            <w:tcW w:w="1464" w:type="dxa"/>
            <w:tcBorders>
              <w:top w:val="nil"/>
              <w:bottom w:val="nil"/>
            </w:tcBorders>
          </w:tcPr>
          <w:p>
            <w:pPr>
              <w:pStyle w:val="TableParagraph"/>
              <w:spacing w:line="201" w:lineRule="exact"/>
              <w:ind w:left="365" w:right="328"/>
              <w:jc w:val="center"/>
              <w:rPr>
                <w:sz w:val="19"/>
              </w:rPr>
            </w:pPr>
            <w:r>
              <w:rPr>
                <w:w w:val="85"/>
                <w:sz w:val="19"/>
              </w:rPr>
              <w:t>12,896</w:t>
            </w:r>
          </w:p>
        </w:tc>
        <w:tc>
          <w:tcPr>
            <w:tcW w:w="1430" w:type="dxa"/>
            <w:tcBorders>
              <w:top w:val="nil"/>
              <w:bottom w:val="nil"/>
              <w:right w:val="nil"/>
            </w:tcBorders>
          </w:tcPr>
          <w:p>
            <w:pPr>
              <w:pStyle w:val="TableParagraph"/>
              <w:spacing w:line="197" w:lineRule="exact"/>
              <w:ind w:left="489" w:right="404"/>
              <w:jc w:val="center"/>
              <w:rPr>
                <w:sz w:val="19"/>
              </w:rPr>
            </w:pPr>
            <w:r>
              <w:rPr>
                <w:w w:val="90"/>
                <w:sz w:val="19"/>
              </w:rPr>
              <w:t>1.32</w:t>
            </w:r>
          </w:p>
        </w:tc>
      </w:tr>
      <w:tr>
        <w:trPr>
          <w:trHeight w:val="298" w:hRule="exact"/>
        </w:trPr>
        <w:tc>
          <w:tcPr>
            <w:tcW w:w="1163" w:type="dxa"/>
            <w:tcBorders>
              <w:top w:val="nil"/>
              <w:left w:val="nil"/>
              <w:bottom w:val="nil"/>
            </w:tcBorders>
          </w:tcPr>
          <w:p>
            <w:pPr>
              <w:pStyle w:val="TableParagraph"/>
              <w:spacing w:line="184" w:lineRule="exact"/>
              <w:ind w:left="502"/>
              <w:rPr>
                <w:rFonts w:ascii="Times New Roman"/>
                <w:sz w:val="17"/>
              </w:rPr>
            </w:pPr>
            <w:r>
              <w:rPr>
                <w:rFonts w:ascii="Times New Roman"/>
                <w:sz w:val="17"/>
              </w:rPr>
              <w:t>14</w:t>
            </w:r>
          </w:p>
        </w:tc>
        <w:tc>
          <w:tcPr>
            <w:tcW w:w="1628" w:type="dxa"/>
            <w:tcBorders>
              <w:top w:val="nil"/>
              <w:bottom w:val="nil"/>
            </w:tcBorders>
          </w:tcPr>
          <w:p>
            <w:pPr>
              <w:pStyle w:val="TableParagraph"/>
              <w:spacing w:line="204" w:lineRule="exact"/>
              <w:ind w:left="324" w:right="202"/>
              <w:jc w:val="center"/>
              <w:rPr>
                <w:sz w:val="19"/>
              </w:rPr>
            </w:pPr>
            <w:r>
              <w:rPr>
                <w:w w:val="95"/>
                <w:sz w:val="19"/>
              </w:rPr>
              <w:t>9,756,737</w:t>
            </w:r>
          </w:p>
        </w:tc>
        <w:tc>
          <w:tcPr>
            <w:tcW w:w="1464" w:type="dxa"/>
            <w:tcBorders>
              <w:top w:val="nil"/>
              <w:bottom w:val="nil"/>
            </w:tcBorders>
          </w:tcPr>
          <w:p>
            <w:pPr>
              <w:pStyle w:val="TableParagraph"/>
              <w:spacing w:line="201" w:lineRule="exact"/>
              <w:ind w:left="374" w:right="309"/>
              <w:jc w:val="center"/>
              <w:rPr>
                <w:sz w:val="19"/>
              </w:rPr>
            </w:pPr>
            <w:r>
              <w:rPr>
                <w:sz w:val="19"/>
              </w:rPr>
              <w:t>13,562</w:t>
            </w:r>
          </w:p>
        </w:tc>
        <w:tc>
          <w:tcPr>
            <w:tcW w:w="1430" w:type="dxa"/>
            <w:tcBorders>
              <w:top w:val="nil"/>
              <w:bottom w:val="nil"/>
              <w:right w:val="nil"/>
            </w:tcBorders>
          </w:tcPr>
          <w:p>
            <w:pPr>
              <w:pStyle w:val="TableParagraph"/>
              <w:spacing w:line="197" w:lineRule="exact"/>
              <w:ind w:left="478" w:right="415"/>
              <w:jc w:val="center"/>
              <w:rPr>
                <w:sz w:val="19"/>
              </w:rPr>
            </w:pPr>
            <w:r>
              <w:rPr>
                <w:w w:val="80"/>
                <w:sz w:val="19"/>
              </w:rPr>
              <w:t>1.39</w:t>
            </w:r>
          </w:p>
        </w:tc>
      </w:tr>
      <w:tr>
        <w:trPr>
          <w:trHeight w:val="304" w:hRule="exact"/>
        </w:trPr>
        <w:tc>
          <w:tcPr>
            <w:tcW w:w="1163" w:type="dxa"/>
            <w:tcBorders>
              <w:top w:val="nil"/>
              <w:left w:val="nil"/>
              <w:bottom w:val="nil"/>
            </w:tcBorders>
          </w:tcPr>
          <w:p>
            <w:pPr>
              <w:pStyle w:val="TableParagraph"/>
              <w:spacing w:before="93"/>
              <w:ind w:left="502"/>
              <w:rPr>
                <w:sz w:val="19"/>
              </w:rPr>
            </w:pPr>
            <w:r>
              <w:rPr>
                <w:w w:val="77"/>
                <w:sz w:val="19"/>
              </w:rPr>
              <w:t>1</w:t>
            </w:r>
            <w:r>
              <w:rPr>
                <w:spacing w:val="-13"/>
                <w:w w:val="77"/>
                <w:sz w:val="19"/>
              </w:rPr>
              <w:t>5</w:t>
            </w:r>
            <w:r>
              <w:rPr>
                <w:color w:val="3D3D3D"/>
                <w:w w:val="15"/>
                <w:sz w:val="19"/>
              </w:rPr>
              <w:t>-</w:t>
            </w:r>
          </w:p>
        </w:tc>
        <w:tc>
          <w:tcPr>
            <w:tcW w:w="1628" w:type="dxa"/>
            <w:tcBorders>
              <w:top w:val="nil"/>
              <w:bottom w:val="nil"/>
            </w:tcBorders>
          </w:tcPr>
          <w:p>
            <w:pPr>
              <w:pStyle w:val="TableParagraph"/>
              <w:spacing w:before="89"/>
              <w:ind w:left="324" w:right="203"/>
              <w:jc w:val="center"/>
              <w:rPr>
                <w:sz w:val="19"/>
              </w:rPr>
            </w:pPr>
            <w:r>
              <w:rPr>
                <w:w w:val="90"/>
                <w:sz w:val="19"/>
              </w:rPr>
              <w:t>9,743,175</w:t>
            </w:r>
          </w:p>
        </w:tc>
        <w:tc>
          <w:tcPr>
            <w:tcW w:w="1464" w:type="dxa"/>
            <w:tcBorders>
              <w:top w:val="nil"/>
              <w:bottom w:val="nil"/>
            </w:tcBorders>
          </w:tcPr>
          <w:p>
            <w:pPr>
              <w:pStyle w:val="TableParagraph"/>
              <w:spacing w:before="86"/>
              <w:ind w:left="368" w:right="328"/>
              <w:jc w:val="center"/>
              <w:rPr>
                <w:sz w:val="19"/>
              </w:rPr>
            </w:pPr>
            <w:r>
              <w:rPr>
                <w:w w:val="90"/>
                <w:sz w:val="19"/>
              </w:rPr>
              <w:t>14,225</w:t>
            </w:r>
          </w:p>
        </w:tc>
        <w:tc>
          <w:tcPr>
            <w:tcW w:w="1430" w:type="dxa"/>
            <w:tcBorders>
              <w:top w:val="nil"/>
              <w:bottom w:val="nil"/>
              <w:right w:val="nil"/>
            </w:tcBorders>
          </w:tcPr>
          <w:p>
            <w:pPr>
              <w:pStyle w:val="TableParagraph"/>
              <w:spacing w:before="82"/>
              <w:ind w:left="471" w:right="415"/>
              <w:jc w:val="center"/>
              <w:rPr>
                <w:sz w:val="19"/>
              </w:rPr>
            </w:pPr>
            <w:r>
              <w:rPr>
                <w:w w:val="85"/>
                <w:sz w:val="19"/>
              </w:rPr>
              <w:t>1.46</w:t>
            </w:r>
          </w:p>
        </w:tc>
      </w:tr>
      <w:tr>
        <w:trPr>
          <w:trHeight w:val="198" w:hRule="exact"/>
        </w:trPr>
        <w:tc>
          <w:tcPr>
            <w:tcW w:w="1163" w:type="dxa"/>
            <w:tcBorders>
              <w:top w:val="nil"/>
              <w:left w:val="nil"/>
              <w:bottom w:val="nil"/>
            </w:tcBorders>
          </w:tcPr>
          <w:p>
            <w:pPr>
              <w:pStyle w:val="TableParagraph"/>
              <w:spacing w:line="206" w:lineRule="exact"/>
              <w:ind w:left="506"/>
              <w:rPr>
                <w:sz w:val="19"/>
              </w:rPr>
            </w:pPr>
            <w:r>
              <w:rPr>
                <w:sz w:val="19"/>
              </w:rPr>
              <w:t>16</w:t>
            </w:r>
          </w:p>
        </w:tc>
        <w:tc>
          <w:tcPr>
            <w:tcW w:w="1628" w:type="dxa"/>
            <w:tcBorders>
              <w:top w:val="nil"/>
              <w:bottom w:val="nil"/>
            </w:tcBorders>
          </w:tcPr>
          <w:p>
            <w:pPr>
              <w:pStyle w:val="TableParagraph"/>
              <w:spacing w:line="199" w:lineRule="exact"/>
              <w:ind w:left="324" w:right="211"/>
              <w:jc w:val="center"/>
              <w:rPr>
                <w:sz w:val="19"/>
              </w:rPr>
            </w:pPr>
            <w:r>
              <w:rPr>
                <w:w w:val="90"/>
                <w:sz w:val="19"/>
              </w:rPr>
              <w:t>9,728,950</w:t>
            </w:r>
          </w:p>
        </w:tc>
        <w:tc>
          <w:tcPr>
            <w:tcW w:w="1464" w:type="dxa"/>
            <w:tcBorders>
              <w:top w:val="nil"/>
              <w:bottom w:val="nil"/>
            </w:tcBorders>
          </w:tcPr>
          <w:p>
            <w:pPr>
              <w:pStyle w:val="TableParagraph"/>
              <w:spacing w:line="199" w:lineRule="exact"/>
              <w:ind w:left="366" w:right="328"/>
              <w:jc w:val="center"/>
              <w:rPr>
                <w:sz w:val="19"/>
              </w:rPr>
            </w:pPr>
            <w:r>
              <w:rPr>
                <w:sz w:val="19"/>
              </w:rPr>
              <w:t>14,983</w:t>
            </w:r>
          </w:p>
        </w:tc>
        <w:tc>
          <w:tcPr>
            <w:tcW w:w="1430" w:type="dxa"/>
            <w:tcBorders>
              <w:top w:val="nil"/>
              <w:bottom w:val="nil"/>
              <w:right w:val="nil"/>
            </w:tcBorders>
          </w:tcPr>
          <w:p>
            <w:pPr>
              <w:pStyle w:val="TableParagraph"/>
              <w:spacing w:line="172" w:lineRule="exact"/>
              <w:ind w:left="478" w:right="415"/>
              <w:jc w:val="center"/>
              <w:rPr>
                <w:rFonts w:ascii="Arial"/>
                <w:sz w:val="16"/>
              </w:rPr>
            </w:pPr>
            <w:r>
              <w:rPr>
                <w:rFonts w:ascii="Arial"/>
                <w:sz w:val="16"/>
              </w:rPr>
              <w:t>1.54</w:t>
            </w:r>
          </w:p>
        </w:tc>
      </w:tr>
      <w:tr>
        <w:trPr>
          <w:trHeight w:val="200" w:hRule="exact"/>
        </w:trPr>
        <w:tc>
          <w:tcPr>
            <w:tcW w:w="1163" w:type="dxa"/>
            <w:tcBorders>
              <w:top w:val="nil"/>
              <w:left w:val="nil"/>
              <w:bottom w:val="nil"/>
            </w:tcBorders>
          </w:tcPr>
          <w:p>
            <w:pPr>
              <w:pStyle w:val="TableParagraph"/>
              <w:spacing w:line="206" w:lineRule="exact"/>
              <w:ind w:left="502"/>
              <w:rPr>
                <w:sz w:val="19"/>
              </w:rPr>
            </w:pPr>
            <w:r>
              <w:rPr>
                <w:w w:val="90"/>
                <w:sz w:val="19"/>
              </w:rPr>
              <w:t>17</w:t>
            </w:r>
          </w:p>
        </w:tc>
        <w:tc>
          <w:tcPr>
            <w:tcW w:w="1628" w:type="dxa"/>
            <w:tcBorders>
              <w:top w:val="nil"/>
              <w:bottom w:val="nil"/>
            </w:tcBorders>
          </w:tcPr>
          <w:p>
            <w:pPr>
              <w:pStyle w:val="TableParagraph"/>
              <w:spacing w:line="202" w:lineRule="exact"/>
              <w:ind w:left="324" w:right="203"/>
              <w:jc w:val="center"/>
              <w:rPr>
                <w:sz w:val="19"/>
              </w:rPr>
            </w:pPr>
            <w:r>
              <w:rPr>
                <w:w w:val="95"/>
                <w:sz w:val="19"/>
              </w:rPr>
              <w:t>9,713,967</w:t>
            </w:r>
          </w:p>
        </w:tc>
        <w:tc>
          <w:tcPr>
            <w:tcW w:w="1464" w:type="dxa"/>
            <w:tcBorders>
              <w:top w:val="nil"/>
              <w:bottom w:val="nil"/>
            </w:tcBorders>
          </w:tcPr>
          <w:p>
            <w:pPr>
              <w:pStyle w:val="TableParagraph"/>
              <w:spacing w:line="199" w:lineRule="exact"/>
              <w:ind w:left="374" w:right="324"/>
              <w:jc w:val="center"/>
              <w:rPr>
                <w:sz w:val="19"/>
              </w:rPr>
            </w:pPr>
            <w:r>
              <w:rPr>
                <w:sz w:val="19"/>
              </w:rPr>
              <w:t>15,737</w:t>
            </w:r>
          </w:p>
        </w:tc>
        <w:tc>
          <w:tcPr>
            <w:tcW w:w="1430" w:type="dxa"/>
            <w:tcBorders>
              <w:top w:val="nil"/>
              <w:bottom w:val="nil"/>
              <w:right w:val="nil"/>
            </w:tcBorders>
          </w:tcPr>
          <w:p>
            <w:pPr>
              <w:pStyle w:val="TableParagraph"/>
              <w:spacing w:line="195" w:lineRule="exact"/>
              <w:ind w:left="489" w:right="404"/>
              <w:jc w:val="center"/>
              <w:rPr>
                <w:sz w:val="19"/>
              </w:rPr>
            </w:pPr>
            <w:r>
              <w:rPr>
                <w:sz w:val="19"/>
              </w:rPr>
              <w:t>1.62</w:t>
            </w:r>
          </w:p>
        </w:tc>
      </w:tr>
      <w:tr>
        <w:trPr>
          <w:trHeight w:val="201" w:hRule="exact"/>
        </w:trPr>
        <w:tc>
          <w:tcPr>
            <w:tcW w:w="1163" w:type="dxa"/>
            <w:tcBorders>
              <w:top w:val="nil"/>
              <w:left w:val="nil"/>
              <w:bottom w:val="nil"/>
            </w:tcBorders>
          </w:tcPr>
          <w:p>
            <w:pPr>
              <w:pStyle w:val="TableParagraph"/>
              <w:spacing w:line="208" w:lineRule="exact"/>
              <w:ind w:left="506"/>
              <w:rPr>
                <w:sz w:val="19"/>
              </w:rPr>
            </w:pPr>
            <w:r>
              <w:rPr>
                <w:w w:val="90"/>
                <w:sz w:val="19"/>
              </w:rPr>
              <w:t>18</w:t>
            </w:r>
          </w:p>
        </w:tc>
        <w:tc>
          <w:tcPr>
            <w:tcW w:w="1628" w:type="dxa"/>
            <w:tcBorders>
              <w:top w:val="nil"/>
              <w:bottom w:val="nil"/>
            </w:tcBorders>
          </w:tcPr>
          <w:p>
            <w:pPr>
              <w:pStyle w:val="TableParagraph"/>
              <w:spacing w:line="184" w:lineRule="exact"/>
              <w:ind w:left="302" w:right="211"/>
              <w:jc w:val="center"/>
              <w:rPr>
                <w:rFonts w:ascii="Times New Roman"/>
                <w:sz w:val="17"/>
              </w:rPr>
            </w:pPr>
            <w:r>
              <w:rPr>
                <w:rFonts w:ascii="Times New Roman"/>
                <w:w w:val="105"/>
                <w:sz w:val="17"/>
              </w:rPr>
              <w:t>9,698,230</w:t>
            </w:r>
          </w:p>
        </w:tc>
        <w:tc>
          <w:tcPr>
            <w:tcW w:w="1464" w:type="dxa"/>
            <w:tcBorders>
              <w:top w:val="nil"/>
              <w:bottom w:val="nil"/>
            </w:tcBorders>
          </w:tcPr>
          <w:p>
            <w:pPr>
              <w:pStyle w:val="TableParagraph"/>
              <w:spacing w:line="204" w:lineRule="exact"/>
              <w:ind w:left="374" w:right="315"/>
              <w:jc w:val="center"/>
              <w:rPr>
                <w:sz w:val="19"/>
              </w:rPr>
            </w:pPr>
            <w:r>
              <w:rPr>
                <w:sz w:val="19"/>
              </w:rPr>
              <w:t>16,390</w:t>
            </w:r>
          </w:p>
        </w:tc>
        <w:tc>
          <w:tcPr>
            <w:tcW w:w="1430" w:type="dxa"/>
            <w:tcBorders>
              <w:top w:val="nil"/>
              <w:bottom w:val="nil"/>
              <w:right w:val="nil"/>
            </w:tcBorders>
          </w:tcPr>
          <w:p>
            <w:pPr>
              <w:pStyle w:val="TableParagraph"/>
              <w:spacing w:line="197" w:lineRule="exact"/>
              <w:ind w:left="489" w:right="395"/>
              <w:jc w:val="center"/>
              <w:rPr>
                <w:sz w:val="19"/>
              </w:rPr>
            </w:pPr>
            <w:r>
              <w:rPr>
                <w:sz w:val="19"/>
              </w:rPr>
              <w:t>1.69</w:t>
            </w:r>
          </w:p>
        </w:tc>
      </w:tr>
      <w:tr>
        <w:trPr>
          <w:trHeight w:val="298" w:hRule="exact"/>
        </w:trPr>
        <w:tc>
          <w:tcPr>
            <w:tcW w:w="1163" w:type="dxa"/>
            <w:tcBorders>
              <w:top w:val="nil"/>
              <w:left w:val="nil"/>
              <w:bottom w:val="nil"/>
            </w:tcBorders>
          </w:tcPr>
          <w:p>
            <w:pPr>
              <w:pStyle w:val="TableParagraph"/>
              <w:spacing w:line="204" w:lineRule="exact"/>
              <w:ind w:left="509"/>
              <w:rPr>
                <w:sz w:val="19"/>
              </w:rPr>
            </w:pPr>
            <w:r>
              <w:rPr>
                <w:sz w:val="19"/>
              </w:rPr>
              <w:t>19</w:t>
            </w:r>
          </w:p>
        </w:tc>
        <w:tc>
          <w:tcPr>
            <w:tcW w:w="1628" w:type="dxa"/>
            <w:tcBorders>
              <w:top w:val="nil"/>
              <w:bottom w:val="nil"/>
            </w:tcBorders>
          </w:tcPr>
          <w:p>
            <w:pPr>
              <w:pStyle w:val="TableParagraph"/>
              <w:spacing w:line="204" w:lineRule="exact"/>
              <w:ind w:left="324" w:right="207"/>
              <w:jc w:val="center"/>
              <w:rPr>
                <w:sz w:val="19"/>
              </w:rPr>
            </w:pPr>
            <w:r>
              <w:rPr>
                <w:w w:val="90"/>
                <w:sz w:val="19"/>
              </w:rPr>
              <w:t>9,681,840</w:t>
            </w:r>
          </w:p>
        </w:tc>
        <w:tc>
          <w:tcPr>
            <w:tcW w:w="1464" w:type="dxa"/>
            <w:tcBorders>
              <w:top w:val="nil"/>
              <w:bottom w:val="nil"/>
            </w:tcBorders>
          </w:tcPr>
          <w:p>
            <w:pPr>
              <w:pStyle w:val="TableParagraph"/>
              <w:spacing w:line="201" w:lineRule="exact"/>
              <w:ind w:left="365" w:right="328"/>
              <w:jc w:val="center"/>
              <w:rPr>
                <w:sz w:val="19"/>
              </w:rPr>
            </w:pPr>
            <w:r>
              <w:rPr>
                <w:w w:val="90"/>
                <w:sz w:val="19"/>
              </w:rPr>
              <w:t>16,846</w:t>
            </w:r>
          </w:p>
        </w:tc>
        <w:tc>
          <w:tcPr>
            <w:tcW w:w="1430" w:type="dxa"/>
            <w:tcBorders>
              <w:top w:val="nil"/>
              <w:bottom w:val="nil"/>
              <w:right w:val="nil"/>
            </w:tcBorders>
          </w:tcPr>
          <w:p>
            <w:pPr>
              <w:pStyle w:val="TableParagraph"/>
              <w:spacing w:line="197" w:lineRule="exact"/>
              <w:ind w:left="489" w:right="394"/>
              <w:jc w:val="center"/>
              <w:rPr>
                <w:sz w:val="19"/>
              </w:rPr>
            </w:pPr>
            <w:r>
              <w:rPr>
                <w:w w:val="90"/>
                <w:sz w:val="19"/>
              </w:rPr>
              <w:t>1.74</w:t>
            </w:r>
          </w:p>
        </w:tc>
      </w:tr>
      <w:tr>
        <w:trPr>
          <w:trHeight w:val="300" w:hRule="exact"/>
        </w:trPr>
        <w:tc>
          <w:tcPr>
            <w:tcW w:w="1163" w:type="dxa"/>
            <w:tcBorders>
              <w:top w:val="nil"/>
              <w:left w:val="nil"/>
              <w:bottom w:val="nil"/>
            </w:tcBorders>
          </w:tcPr>
          <w:p>
            <w:pPr>
              <w:pStyle w:val="TableParagraph"/>
              <w:spacing w:before="89"/>
              <w:ind w:left="498"/>
              <w:rPr>
                <w:sz w:val="19"/>
              </w:rPr>
            </w:pPr>
            <w:r>
              <w:rPr>
                <w:w w:val="90"/>
                <w:sz w:val="19"/>
              </w:rPr>
              <w:t>20</w:t>
            </w:r>
          </w:p>
        </w:tc>
        <w:tc>
          <w:tcPr>
            <w:tcW w:w="1628" w:type="dxa"/>
            <w:tcBorders>
              <w:top w:val="nil"/>
              <w:bottom w:val="nil"/>
            </w:tcBorders>
          </w:tcPr>
          <w:p>
            <w:pPr>
              <w:pStyle w:val="TableParagraph"/>
              <w:spacing w:before="89"/>
              <w:ind w:left="324" w:right="210"/>
              <w:jc w:val="center"/>
              <w:rPr>
                <w:sz w:val="19"/>
              </w:rPr>
            </w:pPr>
            <w:r>
              <w:rPr>
                <w:w w:val="85"/>
                <w:sz w:val="19"/>
              </w:rPr>
              <w:t>9,664,994</w:t>
            </w:r>
          </w:p>
        </w:tc>
        <w:tc>
          <w:tcPr>
            <w:tcW w:w="1464" w:type="dxa"/>
            <w:tcBorders>
              <w:top w:val="nil"/>
              <w:bottom w:val="nil"/>
            </w:tcBorders>
          </w:tcPr>
          <w:p>
            <w:pPr>
              <w:pStyle w:val="TableParagraph"/>
              <w:spacing w:before="89"/>
              <w:ind w:left="372" w:right="328"/>
              <w:jc w:val="center"/>
              <w:rPr>
                <w:sz w:val="19"/>
              </w:rPr>
            </w:pPr>
            <w:r>
              <w:rPr>
                <w:w w:val="80"/>
                <w:sz w:val="19"/>
              </w:rPr>
              <w:t>17,300</w:t>
            </w:r>
          </w:p>
        </w:tc>
        <w:tc>
          <w:tcPr>
            <w:tcW w:w="1430" w:type="dxa"/>
            <w:tcBorders>
              <w:top w:val="nil"/>
              <w:bottom w:val="nil"/>
              <w:right w:val="nil"/>
            </w:tcBorders>
          </w:tcPr>
          <w:p>
            <w:pPr>
              <w:pStyle w:val="TableParagraph"/>
              <w:spacing w:before="82"/>
              <w:ind w:left="489" w:right="399"/>
              <w:jc w:val="center"/>
              <w:rPr>
                <w:sz w:val="19"/>
              </w:rPr>
            </w:pPr>
            <w:r>
              <w:rPr>
                <w:w w:val="90"/>
                <w:sz w:val="19"/>
              </w:rPr>
              <w:t>1.79</w:t>
            </w:r>
          </w:p>
        </w:tc>
      </w:tr>
      <w:tr>
        <w:trPr>
          <w:trHeight w:val="200" w:hRule="exact"/>
        </w:trPr>
        <w:tc>
          <w:tcPr>
            <w:tcW w:w="1163" w:type="dxa"/>
            <w:tcBorders>
              <w:top w:val="nil"/>
              <w:left w:val="nil"/>
              <w:bottom w:val="nil"/>
            </w:tcBorders>
          </w:tcPr>
          <w:p>
            <w:pPr>
              <w:pStyle w:val="TableParagraph"/>
              <w:spacing w:line="206" w:lineRule="exact"/>
              <w:ind w:left="498"/>
              <w:rPr>
                <w:sz w:val="19"/>
              </w:rPr>
            </w:pPr>
            <w:r>
              <w:rPr>
                <w:sz w:val="19"/>
              </w:rPr>
              <w:t>21</w:t>
            </w:r>
          </w:p>
        </w:tc>
        <w:tc>
          <w:tcPr>
            <w:tcW w:w="1628" w:type="dxa"/>
            <w:tcBorders>
              <w:top w:val="nil"/>
              <w:bottom w:val="nil"/>
            </w:tcBorders>
          </w:tcPr>
          <w:p>
            <w:pPr>
              <w:pStyle w:val="TableParagraph"/>
              <w:spacing w:line="206" w:lineRule="exact"/>
              <w:ind w:left="324" w:right="203"/>
              <w:jc w:val="center"/>
              <w:rPr>
                <w:sz w:val="19"/>
              </w:rPr>
            </w:pPr>
            <w:r>
              <w:rPr>
                <w:sz w:val="19"/>
              </w:rPr>
              <w:t>9,647,694</w:t>
            </w:r>
          </w:p>
        </w:tc>
        <w:tc>
          <w:tcPr>
            <w:tcW w:w="1464" w:type="dxa"/>
            <w:tcBorders>
              <w:top w:val="nil"/>
              <w:bottom w:val="nil"/>
            </w:tcBorders>
          </w:tcPr>
          <w:p>
            <w:pPr>
              <w:pStyle w:val="TableParagraph"/>
              <w:spacing w:line="206" w:lineRule="exact"/>
              <w:ind w:left="374" w:right="327"/>
              <w:jc w:val="center"/>
              <w:rPr>
                <w:sz w:val="19"/>
              </w:rPr>
            </w:pPr>
            <w:r>
              <w:rPr>
                <w:w w:val="85"/>
                <w:sz w:val="19"/>
              </w:rPr>
              <w:t>17,666</w:t>
            </w:r>
          </w:p>
        </w:tc>
        <w:tc>
          <w:tcPr>
            <w:tcW w:w="1430" w:type="dxa"/>
            <w:tcBorders>
              <w:top w:val="nil"/>
              <w:bottom w:val="nil"/>
              <w:right w:val="nil"/>
            </w:tcBorders>
          </w:tcPr>
          <w:p>
            <w:pPr>
              <w:pStyle w:val="TableParagraph"/>
              <w:spacing w:line="199" w:lineRule="exact"/>
              <w:ind w:left="475" w:right="415"/>
              <w:jc w:val="center"/>
              <w:rPr>
                <w:sz w:val="19"/>
              </w:rPr>
            </w:pPr>
            <w:r>
              <w:rPr>
                <w:w w:val="80"/>
                <w:sz w:val="19"/>
              </w:rPr>
              <w:t>1.83</w:t>
            </w:r>
          </w:p>
        </w:tc>
      </w:tr>
      <w:tr>
        <w:trPr>
          <w:trHeight w:val="196" w:hRule="exact"/>
        </w:trPr>
        <w:tc>
          <w:tcPr>
            <w:tcW w:w="1163" w:type="dxa"/>
            <w:tcBorders>
              <w:top w:val="nil"/>
              <w:left w:val="nil"/>
              <w:bottom w:val="nil"/>
            </w:tcBorders>
          </w:tcPr>
          <w:p>
            <w:pPr>
              <w:pStyle w:val="TableParagraph"/>
              <w:spacing w:line="184" w:lineRule="exact"/>
              <w:ind w:left="498"/>
              <w:rPr>
                <w:rFonts w:ascii="Times New Roman"/>
                <w:sz w:val="17"/>
              </w:rPr>
            </w:pPr>
            <w:r>
              <w:rPr>
                <w:rFonts w:ascii="Times New Roman"/>
                <w:sz w:val="17"/>
              </w:rPr>
              <w:t>22</w:t>
            </w:r>
          </w:p>
        </w:tc>
        <w:tc>
          <w:tcPr>
            <w:tcW w:w="1628" w:type="dxa"/>
            <w:tcBorders>
              <w:top w:val="nil"/>
              <w:bottom w:val="nil"/>
            </w:tcBorders>
          </w:tcPr>
          <w:p>
            <w:pPr>
              <w:pStyle w:val="TableParagraph"/>
              <w:spacing w:line="201" w:lineRule="exact"/>
              <w:ind w:left="319" w:right="211"/>
              <w:jc w:val="center"/>
              <w:rPr>
                <w:sz w:val="19"/>
              </w:rPr>
            </w:pPr>
            <w:r>
              <w:rPr>
                <w:w w:val="95"/>
                <w:sz w:val="19"/>
              </w:rPr>
              <w:t>9,630,039</w:t>
            </w:r>
          </w:p>
        </w:tc>
        <w:tc>
          <w:tcPr>
            <w:tcW w:w="1464" w:type="dxa"/>
            <w:tcBorders>
              <w:top w:val="nil"/>
              <w:bottom w:val="nil"/>
            </w:tcBorders>
          </w:tcPr>
          <w:p>
            <w:pPr>
              <w:pStyle w:val="TableParagraph"/>
              <w:spacing w:line="201" w:lineRule="exact"/>
              <w:ind w:left="374" w:right="322"/>
              <w:jc w:val="center"/>
              <w:rPr>
                <w:sz w:val="19"/>
              </w:rPr>
            </w:pPr>
            <w:r>
              <w:rPr>
                <w:w w:val="90"/>
                <w:sz w:val="19"/>
              </w:rPr>
              <w:t>17,912</w:t>
            </w:r>
          </w:p>
        </w:tc>
        <w:tc>
          <w:tcPr>
            <w:tcW w:w="1430" w:type="dxa"/>
            <w:tcBorders>
              <w:top w:val="nil"/>
              <w:bottom w:val="nil"/>
              <w:right w:val="nil"/>
            </w:tcBorders>
          </w:tcPr>
          <w:p>
            <w:pPr>
              <w:pStyle w:val="TableParagraph"/>
              <w:spacing w:line="197" w:lineRule="exact"/>
              <w:ind w:left="475" w:right="415"/>
              <w:jc w:val="center"/>
              <w:rPr>
                <w:sz w:val="19"/>
              </w:rPr>
            </w:pPr>
            <w:r>
              <w:rPr>
                <w:w w:val="80"/>
                <w:sz w:val="19"/>
              </w:rPr>
              <w:t>1.86</w:t>
            </w:r>
          </w:p>
        </w:tc>
      </w:tr>
      <w:tr>
        <w:trPr>
          <w:trHeight w:val="201" w:hRule="exact"/>
        </w:trPr>
        <w:tc>
          <w:tcPr>
            <w:tcW w:w="1163" w:type="dxa"/>
            <w:tcBorders>
              <w:top w:val="nil"/>
              <w:left w:val="nil"/>
              <w:bottom w:val="nil"/>
            </w:tcBorders>
          </w:tcPr>
          <w:p>
            <w:pPr>
              <w:pStyle w:val="TableParagraph"/>
              <w:spacing w:line="195" w:lineRule="exact"/>
              <w:ind w:left="498"/>
              <w:rPr>
                <w:rFonts w:ascii="Times New Roman"/>
                <w:sz w:val="18"/>
              </w:rPr>
            </w:pPr>
            <w:r>
              <w:rPr>
                <w:rFonts w:ascii="Times New Roman"/>
                <w:sz w:val="18"/>
              </w:rPr>
              <w:t>23</w:t>
            </w:r>
          </w:p>
        </w:tc>
        <w:tc>
          <w:tcPr>
            <w:tcW w:w="1628" w:type="dxa"/>
            <w:tcBorders>
              <w:top w:val="nil"/>
              <w:bottom w:val="nil"/>
            </w:tcBorders>
          </w:tcPr>
          <w:p>
            <w:pPr>
              <w:pStyle w:val="TableParagraph"/>
              <w:spacing w:line="206" w:lineRule="exact"/>
              <w:ind w:left="320" w:right="211"/>
              <w:jc w:val="center"/>
              <w:rPr>
                <w:sz w:val="19"/>
              </w:rPr>
            </w:pPr>
            <w:r>
              <w:rPr>
                <w:w w:val="90"/>
                <w:sz w:val="19"/>
              </w:rPr>
              <w:t>9,612,127</w:t>
            </w:r>
          </w:p>
        </w:tc>
        <w:tc>
          <w:tcPr>
            <w:tcW w:w="1464" w:type="dxa"/>
            <w:tcBorders>
              <w:top w:val="nil"/>
              <w:bottom w:val="nil"/>
            </w:tcBorders>
          </w:tcPr>
          <w:p>
            <w:pPr>
              <w:pStyle w:val="TableParagraph"/>
              <w:spacing w:line="202" w:lineRule="exact"/>
              <w:ind w:left="374" w:right="320"/>
              <w:jc w:val="center"/>
              <w:rPr>
                <w:sz w:val="19"/>
              </w:rPr>
            </w:pPr>
            <w:r>
              <w:rPr>
                <w:w w:val="85"/>
                <w:sz w:val="19"/>
              </w:rPr>
              <w:t>18,167</w:t>
            </w:r>
          </w:p>
        </w:tc>
        <w:tc>
          <w:tcPr>
            <w:tcW w:w="1430" w:type="dxa"/>
            <w:tcBorders>
              <w:top w:val="nil"/>
              <w:bottom w:val="nil"/>
              <w:right w:val="nil"/>
            </w:tcBorders>
          </w:tcPr>
          <w:p>
            <w:pPr>
              <w:pStyle w:val="TableParagraph"/>
              <w:spacing w:line="199" w:lineRule="exact"/>
              <w:ind w:left="480" w:right="415"/>
              <w:jc w:val="center"/>
              <w:rPr>
                <w:sz w:val="19"/>
              </w:rPr>
            </w:pPr>
            <w:r>
              <w:rPr>
                <w:w w:val="80"/>
                <w:sz w:val="19"/>
              </w:rPr>
              <w:t>1.89</w:t>
            </w:r>
          </w:p>
        </w:tc>
      </w:tr>
      <w:tr>
        <w:trPr>
          <w:trHeight w:val="285" w:hRule="exact"/>
        </w:trPr>
        <w:tc>
          <w:tcPr>
            <w:tcW w:w="1163" w:type="dxa"/>
            <w:tcBorders>
              <w:top w:val="nil"/>
              <w:left w:val="nil"/>
              <w:bottom w:val="nil"/>
            </w:tcBorders>
          </w:tcPr>
          <w:p>
            <w:pPr>
              <w:pStyle w:val="TableParagraph"/>
              <w:spacing w:line="210" w:lineRule="exact"/>
              <w:ind w:left="495"/>
              <w:rPr>
                <w:sz w:val="19"/>
              </w:rPr>
            </w:pPr>
            <w:r>
              <w:rPr>
                <w:w w:val="90"/>
                <w:sz w:val="19"/>
              </w:rPr>
              <w:t>24</w:t>
            </w:r>
          </w:p>
        </w:tc>
        <w:tc>
          <w:tcPr>
            <w:tcW w:w="1628" w:type="dxa"/>
            <w:tcBorders>
              <w:top w:val="nil"/>
              <w:bottom w:val="nil"/>
            </w:tcBorders>
          </w:tcPr>
          <w:p>
            <w:pPr>
              <w:pStyle w:val="TableParagraph"/>
              <w:spacing w:line="202" w:lineRule="exact"/>
              <w:ind w:left="321" w:right="211"/>
              <w:jc w:val="center"/>
              <w:rPr>
                <w:sz w:val="19"/>
              </w:rPr>
            </w:pPr>
            <w:r>
              <w:rPr>
                <w:w w:val="95"/>
                <w:sz w:val="19"/>
              </w:rPr>
              <w:t>9,593,960</w:t>
            </w:r>
          </w:p>
        </w:tc>
        <w:tc>
          <w:tcPr>
            <w:tcW w:w="1464" w:type="dxa"/>
            <w:tcBorders>
              <w:top w:val="nil"/>
              <w:bottom w:val="nil"/>
            </w:tcBorders>
          </w:tcPr>
          <w:p>
            <w:pPr>
              <w:pStyle w:val="TableParagraph"/>
              <w:spacing w:line="199" w:lineRule="exact"/>
              <w:ind w:left="366" w:right="328"/>
              <w:jc w:val="center"/>
              <w:rPr>
                <w:sz w:val="19"/>
              </w:rPr>
            </w:pPr>
            <w:r>
              <w:rPr>
                <w:w w:val="85"/>
                <w:sz w:val="19"/>
              </w:rPr>
              <w:t>18,324</w:t>
            </w:r>
          </w:p>
        </w:tc>
        <w:tc>
          <w:tcPr>
            <w:tcW w:w="1430" w:type="dxa"/>
            <w:tcBorders>
              <w:top w:val="nil"/>
              <w:bottom w:val="nil"/>
              <w:right w:val="nil"/>
            </w:tcBorders>
          </w:tcPr>
          <w:p>
            <w:pPr>
              <w:pStyle w:val="TableParagraph"/>
              <w:spacing w:line="199" w:lineRule="exact"/>
              <w:ind w:left="484" w:right="415"/>
              <w:jc w:val="center"/>
              <w:rPr>
                <w:sz w:val="19"/>
              </w:rPr>
            </w:pPr>
            <w:r>
              <w:rPr>
                <w:w w:val="95"/>
                <w:sz w:val="19"/>
              </w:rPr>
              <w:t>1.91</w:t>
            </w:r>
          </w:p>
        </w:tc>
      </w:tr>
      <w:tr>
        <w:trPr>
          <w:trHeight w:val="308" w:hRule="exact"/>
        </w:trPr>
        <w:tc>
          <w:tcPr>
            <w:tcW w:w="1163" w:type="dxa"/>
            <w:tcBorders>
              <w:top w:val="nil"/>
              <w:left w:val="nil"/>
              <w:bottom w:val="nil"/>
            </w:tcBorders>
          </w:tcPr>
          <w:p>
            <w:pPr>
              <w:pStyle w:val="TableParagraph"/>
              <w:spacing w:before="59"/>
              <w:ind w:left="480"/>
              <w:rPr>
                <w:rFonts w:ascii="Times New Roman"/>
                <w:sz w:val="18"/>
              </w:rPr>
            </w:pPr>
            <w:r>
              <w:rPr>
                <w:rFonts w:ascii="Times New Roman"/>
                <w:sz w:val="18"/>
              </w:rPr>
              <w:t>,gs</w:t>
            </w:r>
          </w:p>
        </w:tc>
        <w:tc>
          <w:tcPr>
            <w:tcW w:w="1628" w:type="dxa"/>
            <w:tcBorders>
              <w:top w:val="nil"/>
              <w:bottom w:val="nil"/>
            </w:tcBorders>
          </w:tcPr>
          <w:p>
            <w:pPr>
              <w:pStyle w:val="TableParagraph"/>
              <w:spacing w:before="97"/>
              <w:ind w:left="321" w:right="211"/>
              <w:jc w:val="center"/>
              <w:rPr>
                <w:sz w:val="19"/>
              </w:rPr>
            </w:pPr>
            <w:r>
              <w:rPr>
                <w:w w:val="95"/>
                <w:sz w:val="19"/>
              </w:rPr>
              <w:t>9,575,636</w:t>
            </w:r>
          </w:p>
        </w:tc>
        <w:tc>
          <w:tcPr>
            <w:tcW w:w="1464" w:type="dxa"/>
            <w:tcBorders>
              <w:top w:val="nil"/>
              <w:bottom w:val="nil"/>
            </w:tcBorders>
          </w:tcPr>
          <w:p>
            <w:pPr>
              <w:pStyle w:val="TableParagraph"/>
              <w:spacing w:before="90"/>
              <w:ind w:left="355" w:right="328"/>
              <w:jc w:val="center"/>
              <w:rPr>
                <w:sz w:val="19"/>
              </w:rPr>
            </w:pPr>
            <w:r>
              <w:rPr>
                <w:sz w:val="19"/>
              </w:rPr>
              <w:t>18,481</w:t>
            </w:r>
          </w:p>
        </w:tc>
        <w:tc>
          <w:tcPr>
            <w:tcW w:w="1430" w:type="dxa"/>
            <w:tcBorders>
              <w:top w:val="nil"/>
              <w:bottom w:val="nil"/>
              <w:right w:val="nil"/>
            </w:tcBorders>
          </w:tcPr>
          <w:p>
            <w:pPr>
              <w:pStyle w:val="TableParagraph"/>
              <w:spacing w:before="97"/>
              <w:ind w:left="475" w:right="415"/>
              <w:jc w:val="center"/>
              <w:rPr>
                <w:sz w:val="19"/>
              </w:rPr>
            </w:pPr>
            <w:r>
              <w:rPr>
                <w:w w:val="80"/>
                <w:sz w:val="19"/>
              </w:rPr>
              <w:t>1.93</w:t>
            </w:r>
          </w:p>
        </w:tc>
      </w:tr>
      <w:tr>
        <w:trPr>
          <w:trHeight w:val="200" w:hRule="exact"/>
        </w:trPr>
        <w:tc>
          <w:tcPr>
            <w:tcW w:w="1163" w:type="dxa"/>
            <w:tcBorders>
              <w:top w:val="nil"/>
              <w:left w:val="nil"/>
              <w:bottom w:val="nil"/>
            </w:tcBorders>
          </w:tcPr>
          <w:p>
            <w:pPr>
              <w:pStyle w:val="TableParagraph"/>
              <w:spacing w:line="195" w:lineRule="exact"/>
              <w:ind w:left="502"/>
              <w:rPr>
                <w:rFonts w:ascii="Times New Roman"/>
                <w:sz w:val="18"/>
              </w:rPr>
            </w:pPr>
            <w:r>
              <w:rPr>
                <w:rFonts w:ascii="Times New Roman"/>
                <w:w w:val="95"/>
                <w:sz w:val="18"/>
              </w:rPr>
              <w:t>26</w:t>
            </w:r>
          </w:p>
        </w:tc>
        <w:tc>
          <w:tcPr>
            <w:tcW w:w="1628" w:type="dxa"/>
            <w:tcBorders>
              <w:top w:val="nil"/>
              <w:bottom w:val="nil"/>
            </w:tcBorders>
          </w:tcPr>
          <w:p>
            <w:pPr>
              <w:pStyle w:val="TableParagraph"/>
              <w:spacing w:line="202" w:lineRule="exact"/>
              <w:ind w:left="320" w:right="211"/>
              <w:jc w:val="center"/>
              <w:rPr>
                <w:sz w:val="19"/>
              </w:rPr>
            </w:pPr>
            <w:r>
              <w:rPr>
                <w:w w:val="90"/>
                <w:sz w:val="19"/>
              </w:rPr>
              <w:t>9,557,155</w:t>
            </w:r>
          </w:p>
        </w:tc>
        <w:tc>
          <w:tcPr>
            <w:tcW w:w="1464" w:type="dxa"/>
            <w:tcBorders>
              <w:top w:val="nil"/>
              <w:bottom w:val="nil"/>
            </w:tcBorders>
          </w:tcPr>
          <w:p>
            <w:pPr>
              <w:pStyle w:val="TableParagraph"/>
              <w:spacing w:line="199" w:lineRule="exact"/>
              <w:ind w:left="374" w:right="324"/>
              <w:jc w:val="center"/>
              <w:rPr>
                <w:sz w:val="19"/>
              </w:rPr>
            </w:pPr>
            <w:r>
              <w:rPr>
                <w:w w:val="90"/>
                <w:sz w:val="19"/>
              </w:rPr>
              <w:t>18,732</w:t>
            </w:r>
          </w:p>
        </w:tc>
        <w:tc>
          <w:tcPr>
            <w:tcW w:w="1430" w:type="dxa"/>
            <w:tcBorders>
              <w:top w:val="nil"/>
              <w:bottom w:val="nil"/>
              <w:right w:val="nil"/>
            </w:tcBorders>
          </w:tcPr>
          <w:p>
            <w:pPr>
              <w:pStyle w:val="TableParagraph"/>
              <w:spacing w:line="199" w:lineRule="exact"/>
              <w:ind w:left="489" w:right="411"/>
              <w:jc w:val="center"/>
              <w:rPr>
                <w:sz w:val="19"/>
              </w:rPr>
            </w:pPr>
            <w:r>
              <w:rPr>
                <w:w w:val="85"/>
                <w:sz w:val="19"/>
              </w:rPr>
              <w:t>1.96</w:t>
            </w:r>
          </w:p>
        </w:tc>
      </w:tr>
      <w:tr>
        <w:trPr>
          <w:trHeight w:val="699" w:hRule="exact"/>
        </w:trPr>
        <w:tc>
          <w:tcPr>
            <w:tcW w:w="1163" w:type="dxa"/>
            <w:tcBorders>
              <w:top w:val="nil"/>
              <w:left w:val="nil"/>
              <w:bottom w:val="nil"/>
            </w:tcBorders>
          </w:tcPr>
          <w:p>
            <w:pPr>
              <w:pStyle w:val="TableParagraph"/>
              <w:spacing w:line="204" w:lineRule="exact"/>
              <w:ind w:left="464" w:right="438"/>
              <w:jc w:val="center"/>
              <w:rPr>
                <w:sz w:val="19"/>
              </w:rPr>
            </w:pPr>
            <w:r>
              <w:rPr>
                <w:w w:val="90"/>
                <w:sz w:val="19"/>
              </w:rPr>
              <w:t>27</w:t>
            </w:r>
          </w:p>
          <w:p>
            <w:pPr>
              <w:pStyle w:val="TableParagraph"/>
              <w:spacing w:line="200" w:lineRule="exact"/>
              <w:ind w:left="467" w:right="436"/>
              <w:jc w:val="center"/>
              <w:rPr>
                <w:sz w:val="19"/>
              </w:rPr>
            </w:pPr>
            <w:r>
              <w:rPr>
                <w:w w:val="90"/>
                <w:sz w:val="19"/>
              </w:rPr>
              <w:t>28</w:t>
            </w:r>
          </w:p>
          <w:p>
            <w:pPr>
              <w:pStyle w:val="TableParagraph"/>
              <w:spacing w:line="206" w:lineRule="exact"/>
              <w:ind w:left="460" w:right="438"/>
              <w:jc w:val="center"/>
              <w:rPr>
                <w:sz w:val="19"/>
              </w:rPr>
            </w:pPr>
            <w:r>
              <w:rPr>
                <w:w w:val="85"/>
                <w:sz w:val="19"/>
              </w:rPr>
              <w:t>29</w:t>
            </w:r>
          </w:p>
        </w:tc>
        <w:tc>
          <w:tcPr>
            <w:tcW w:w="1628" w:type="dxa"/>
            <w:tcBorders>
              <w:top w:val="nil"/>
              <w:bottom w:val="nil"/>
            </w:tcBorders>
          </w:tcPr>
          <w:p>
            <w:pPr>
              <w:pStyle w:val="TableParagraph"/>
              <w:spacing w:line="195" w:lineRule="exact"/>
              <w:ind w:left="489"/>
              <w:rPr>
                <w:sz w:val="19"/>
              </w:rPr>
            </w:pPr>
            <w:r>
              <w:rPr>
                <w:w w:val="90"/>
                <w:sz w:val="19"/>
              </w:rPr>
              <w:t>9,538,423</w:t>
            </w:r>
          </w:p>
          <w:p>
            <w:pPr>
              <w:pStyle w:val="TableParagraph"/>
              <w:spacing w:line="203" w:lineRule="exact"/>
              <w:ind w:left="493"/>
              <w:rPr>
                <w:sz w:val="19"/>
              </w:rPr>
            </w:pPr>
            <w:r>
              <w:rPr>
                <w:sz w:val="19"/>
              </w:rPr>
              <w:t>9,619,442</w:t>
            </w:r>
          </w:p>
          <w:p>
            <w:pPr>
              <w:pStyle w:val="TableParagraph"/>
              <w:spacing w:line="208" w:lineRule="exact"/>
              <w:ind w:left="493"/>
              <w:rPr>
                <w:sz w:val="19"/>
              </w:rPr>
            </w:pPr>
            <w:r>
              <w:rPr>
                <w:w w:val="80"/>
                <w:sz w:val="19"/>
              </w:rPr>
              <w:t>9,500,118</w:t>
            </w:r>
          </w:p>
        </w:tc>
        <w:tc>
          <w:tcPr>
            <w:tcW w:w="1464" w:type="dxa"/>
            <w:tcBorders>
              <w:top w:val="nil"/>
              <w:bottom w:val="nil"/>
            </w:tcBorders>
          </w:tcPr>
          <w:p>
            <w:pPr>
              <w:pStyle w:val="TableParagraph"/>
              <w:spacing w:line="192" w:lineRule="exact"/>
              <w:ind w:left="502"/>
              <w:rPr>
                <w:sz w:val="19"/>
              </w:rPr>
            </w:pPr>
            <w:r>
              <w:rPr>
                <w:w w:val="95"/>
                <w:sz w:val="19"/>
              </w:rPr>
              <w:t>18,981</w:t>
            </w:r>
          </w:p>
          <w:p>
            <w:pPr>
              <w:pStyle w:val="TableParagraph"/>
              <w:spacing w:line="200" w:lineRule="exact"/>
              <w:ind w:left="498"/>
              <w:rPr>
                <w:sz w:val="19"/>
              </w:rPr>
            </w:pPr>
            <w:r>
              <w:rPr>
                <w:w w:val="95"/>
                <w:sz w:val="19"/>
              </w:rPr>
              <w:t>19,324</w:t>
            </w:r>
          </w:p>
          <w:p>
            <w:pPr>
              <w:pStyle w:val="TableParagraph"/>
              <w:spacing w:line="208" w:lineRule="exact"/>
              <w:ind w:left="502"/>
              <w:rPr>
                <w:sz w:val="19"/>
              </w:rPr>
            </w:pPr>
            <w:r>
              <w:rPr>
                <w:w w:val="95"/>
                <w:sz w:val="19"/>
              </w:rPr>
              <w:t>19,760</w:t>
            </w:r>
          </w:p>
        </w:tc>
        <w:tc>
          <w:tcPr>
            <w:tcW w:w="1430" w:type="dxa"/>
            <w:tcBorders>
              <w:top w:val="nil"/>
              <w:bottom w:val="nil"/>
              <w:right w:val="nil"/>
            </w:tcBorders>
          </w:tcPr>
          <w:p>
            <w:pPr>
              <w:pStyle w:val="TableParagraph"/>
              <w:spacing w:line="190" w:lineRule="exact"/>
              <w:ind w:left="489" w:right="415"/>
              <w:jc w:val="center"/>
              <w:rPr>
                <w:sz w:val="19"/>
              </w:rPr>
            </w:pPr>
            <w:r>
              <w:rPr>
                <w:w w:val="85"/>
                <w:sz w:val="19"/>
              </w:rPr>
              <w:t>1.99</w:t>
            </w:r>
          </w:p>
          <w:p>
            <w:pPr>
              <w:pStyle w:val="TableParagraph"/>
              <w:spacing w:line="196" w:lineRule="exact"/>
              <w:ind w:left="489" w:right="415"/>
              <w:jc w:val="center"/>
              <w:rPr>
                <w:sz w:val="19"/>
              </w:rPr>
            </w:pPr>
            <w:r>
              <w:rPr>
                <w:w w:val="90"/>
                <w:sz w:val="19"/>
              </w:rPr>
              <w:t>2.03</w:t>
            </w:r>
          </w:p>
          <w:p>
            <w:pPr>
              <w:pStyle w:val="TableParagraph"/>
              <w:spacing w:line="206" w:lineRule="exact"/>
              <w:ind w:left="489" w:right="405"/>
              <w:jc w:val="center"/>
              <w:rPr>
                <w:sz w:val="19"/>
              </w:rPr>
            </w:pPr>
            <w:r>
              <w:rPr>
                <w:w w:val="90"/>
                <w:sz w:val="19"/>
              </w:rPr>
              <w:t>2.08</w:t>
            </w:r>
          </w:p>
        </w:tc>
      </w:tr>
      <w:tr>
        <w:trPr>
          <w:trHeight w:val="295" w:hRule="exact"/>
        </w:trPr>
        <w:tc>
          <w:tcPr>
            <w:tcW w:w="1163" w:type="dxa"/>
            <w:tcBorders>
              <w:top w:val="nil"/>
              <w:left w:val="nil"/>
              <w:bottom w:val="nil"/>
              <w:right w:val="single" w:sz="6" w:space="0" w:color="000000"/>
            </w:tcBorders>
          </w:tcPr>
          <w:p>
            <w:pPr>
              <w:pStyle w:val="TableParagraph"/>
              <w:spacing w:before="91"/>
              <w:ind w:left="498"/>
              <w:rPr>
                <w:rFonts w:ascii="Times New Roman"/>
                <w:sz w:val="17"/>
              </w:rPr>
            </w:pPr>
            <w:r>
              <w:rPr>
                <w:rFonts w:ascii="Times New Roman"/>
                <w:w w:val="105"/>
                <w:sz w:val="17"/>
              </w:rPr>
              <w:t>30</w:t>
            </w:r>
          </w:p>
        </w:tc>
        <w:tc>
          <w:tcPr>
            <w:tcW w:w="1628" w:type="dxa"/>
            <w:tcBorders>
              <w:top w:val="nil"/>
              <w:left w:val="single" w:sz="6" w:space="0" w:color="000000"/>
              <w:bottom w:val="nil"/>
            </w:tcBorders>
          </w:tcPr>
          <w:p>
            <w:pPr>
              <w:pStyle w:val="TableParagraph"/>
              <w:spacing w:before="84"/>
              <w:ind w:left="375" w:right="263"/>
              <w:jc w:val="center"/>
              <w:rPr>
                <w:sz w:val="19"/>
              </w:rPr>
            </w:pPr>
            <w:r>
              <w:rPr>
                <w:w w:val="90"/>
                <w:sz w:val="19"/>
              </w:rPr>
              <w:t>9,480,358</w:t>
            </w:r>
          </w:p>
        </w:tc>
        <w:tc>
          <w:tcPr>
            <w:tcW w:w="1464" w:type="dxa"/>
            <w:tcBorders>
              <w:top w:val="nil"/>
              <w:bottom w:val="nil"/>
            </w:tcBorders>
          </w:tcPr>
          <w:p>
            <w:pPr>
              <w:pStyle w:val="TableParagraph"/>
              <w:spacing w:before="84"/>
              <w:ind w:left="365" w:right="328"/>
              <w:jc w:val="center"/>
              <w:rPr>
                <w:sz w:val="19"/>
              </w:rPr>
            </w:pPr>
            <w:r>
              <w:rPr>
                <w:w w:val="85"/>
                <w:sz w:val="19"/>
              </w:rPr>
              <w:t>20,193</w:t>
            </w:r>
          </w:p>
        </w:tc>
        <w:tc>
          <w:tcPr>
            <w:tcW w:w="1430" w:type="dxa"/>
            <w:tcBorders>
              <w:top w:val="nil"/>
              <w:bottom w:val="nil"/>
              <w:right w:val="nil"/>
            </w:tcBorders>
          </w:tcPr>
          <w:p>
            <w:pPr>
              <w:pStyle w:val="TableParagraph"/>
              <w:spacing w:before="77"/>
              <w:ind w:left="488" w:right="415"/>
              <w:jc w:val="center"/>
              <w:rPr>
                <w:sz w:val="19"/>
              </w:rPr>
            </w:pPr>
            <w:r>
              <w:rPr>
                <w:w w:val="90"/>
                <w:sz w:val="19"/>
              </w:rPr>
              <w:t>2.13</w:t>
            </w:r>
          </w:p>
        </w:tc>
      </w:tr>
      <w:tr>
        <w:trPr>
          <w:trHeight w:val="198" w:hRule="exact"/>
        </w:trPr>
        <w:tc>
          <w:tcPr>
            <w:tcW w:w="1163" w:type="dxa"/>
            <w:tcBorders>
              <w:top w:val="nil"/>
              <w:left w:val="nil"/>
              <w:bottom w:val="nil"/>
              <w:right w:val="single" w:sz="6" w:space="0" w:color="000000"/>
            </w:tcBorders>
          </w:tcPr>
          <w:p>
            <w:pPr>
              <w:pStyle w:val="TableParagraph"/>
              <w:spacing w:line="195" w:lineRule="exact"/>
              <w:ind w:left="498"/>
              <w:rPr>
                <w:rFonts w:ascii="Times New Roman"/>
                <w:sz w:val="18"/>
              </w:rPr>
            </w:pPr>
            <w:r>
              <w:rPr>
                <w:rFonts w:ascii="Times New Roman"/>
                <w:w w:val="85"/>
                <w:sz w:val="18"/>
              </w:rPr>
              <w:t>31-</w:t>
            </w:r>
          </w:p>
        </w:tc>
        <w:tc>
          <w:tcPr>
            <w:tcW w:w="1628" w:type="dxa"/>
            <w:tcBorders>
              <w:top w:val="nil"/>
              <w:left w:val="single" w:sz="6" w:space="0" w:color="000000"/>
              <w:bottom w:val="nil"/>
            </w:tcBorders>
          </w:tcPr>
          <w:p>
            <w:pPr>
              <w:pStyle w:val="TableParagraph"/>
              <w:spacing w:line="206" w:lineRule="exact"/>
              <w:ind w:left="380" w:right="259"/>
              <w:jc w:val="center"/>
              <w:rPr>
                <w:sz w:val="19"/>
              </w:rPr>
            </w:pPr>
            <w:r>
              <w:rPr>
                <w:w w:val="90"/>
                <w:sz w:val="19"/>
              </w:rPr>
              <w:t>9,460,166</w:t>
            </w:r>
          </w:p>
        </w:tc>
        <w:tc>
          <w:tcPr>
            <w:tcW w:w="1464" w:type="dxa"/>
            <w:tcBorders>
              <w:top w:val="nil"/>
              <w:bottom w:val="nil"/>
            </w:tcBorders>
          </w:tcPr>
          <w:p>
            <w:pPr>
              <w:pStyle w:val="TableParagraph"/>
              <w:spacing w:line="202" w:lineRule="exact"/>
              <w:ind w:left="361" w:right="328"/>
              <w:jc w:val="center"/>
              <w:rPr>
                <w:sz w:val="19"/>
              </w:rPr>
            </w:pPr>
            <w:r>
              <w:rPr>
                <w:w w:val="90"/>
                <w:sz w:val="19"/>
              </w:rPr>
              <w:t>20,718</w:t>
            </w:r>
          </w:p>
        </w:tc>
        <w:tc>
          <w:tcPr>
            <w:tcW w:w="1430" w:type="dxa"/>
            <w:tcBorders>
              <w:top w:val="nil"/>
              <w:bottom w:val="nil"/>
              <w:right w:val="nil"/>
            </w:tcBorders>
          </w:tcPr>
          <w:p>
            <w:pPr>
              <w:pStyle w:val="TableParagraph"/>
              <w:spacing w:line="199" w:lineRule="exact"/>
              <w:ind w:left="489" w:right="415"/>
              <w:jc w:val="center"/>
              <w:rPr>
                <w:sz w:val="19"/>
              </w:rPr>
            </w:pPr>
            <w:r>
              <w:rPr>
                <w:w w:val="95"/>
                <w:sz w:val="19"/>
              </w:rPr>
              <w:t>2.19</w:t>
            </w:r>
          </w:p>
        </w:tc>
      </w:tr>
      <w:tr>
        <w:trPr>
          <w:trHeight w:val="638" w:hRule="exact"/>
        </w:trPr>
        <w:tc>
          <w:tcPr>
            <w:tcW w:w="1163" w:type="dxa"/>
            <w:tcBorders>
              <w:top w:val="nil"/>
              <w:left w:val="nil"/>
              <w:bottom w:val="nil"/>
              <w:right w:val="single" w:sz="6" w:space="0" w:color="000000"/>
            </w:tcBorders>
          </w:tcPr>
          <w:p>
            <w:pPr>
              <w:pStyle w:val="TableParagraph"/>
              <w:spacing w:line="186" w:lineRule="exact"/>
              <w:ind w:left="442" w:right="457"/>
              <w:jc w:val="center"/>
              <w:rPr>
                <w:rFonts w:ascii="Times New Roman"/>
                <w:sz w:val="17"/>
              </w:rPr>
            </w:pPr>
            <w:r>
              <w:rPr>
                <w:rFonts w:ascii="Times New Roman"/>
                <w:w w:val="95"/>
                <w:sz w:val="17"/>
              </w:rPr>
              <w:t>-32</w:t>
            </w:r>
          </w:p>
          <w:p>
            <w:pPr>
              <w:pStyle w:val="TableParagraph"/>
              <w:spacing w:before="2"/>
              <w:ind w:left="442" w:right="427"/>
              <w:jc w:val="center"/>
              <w:rPr>
                <w:rFonts w:ascii="Times New Roman"/>
                <w:sz w:val="17"/>
              </w:rPr>
            </w:pPr>
            <w:r>
              <w:rPr>
                <w:rFonts w:ascii="Times New Roman"/>
                <w:sz w:val="17"/>
              </w:rPr>
              <w:t>33</w:t>
            </w:r>
          </w:p>
          <w:p>
            <w:pPr>
              <w:pStyle w:val="TableParagraph"/>
              <w:spacing w:before="2"/>
              <w:ind w:left="442" w:right="430"/>
              <w:jc w:val="center"/>
              <w:rPr>
                <w:rFonts w:ascii="Times New Roman"/>
                <w:sz w:val="17"/>
              </w:rPr>
            </w:pPr>
            <w:r>
              <w:rPr>
                <w:rFonts w:ascii="Times New Roman"/>
                <w:sz w:val="17"/>
              </w:rPr>
              <w:t>34</w:t>
            </w:r>
          </w:p>
        </w:tc>
        <w:tc>
          <w:tcPr>
            <w:tcW w:w="1628" w:type="dxa"/>
            <w:tcBorders>
              <w:top w:val="nil"/>
              <w:left w:val="single" w:sz="6" w:space="0" w:color="000000"/>
              <w:bottom w:val="nil"/>
            </w:tcBorders>
          </w:tcPr>
          <w:p>
            <w:pPr>
              <w:pStyle w:val="TableParagraph"/>
              <w:spacing w:line="195" w:lineRule="exact"/>
              <w:ind w:left="495"/>
              <w:rPr>
                <w:sz w:val="19"/>
              </w:rPr>
            </w:pPr>
            <w:r>
              <w:rPr>
                <w:sz w:val="19"/>
              </w:rPr>
              <w:t>9,439,447</w:t>
            </w:r>
          </w:p>
          <w:p>
            <w:pPr>
              <w:pStyle w:val="TableParagraph"/>
              <w:spacing w:line="196" w:lineRule="exact"/>
              <w:ind w:left="495"/>
              <w:rPr>
                <w:sz w:val="19"/>
              </w:rPr>
            </w:pPr>
            <w:r>
              <w:rPr>
                <w:w w:val="90"/>
                <w:sz w:val="19"/>
              </w:rPr>
              <w:t>9,418,208</w:t>
            </w:r>
          </w:p>
          <w:p>
            <w:pPr>
              <w:pStyle w:val="TableParagraph"/>
              <w:spacing w:line="206" w:lineRule="exact"/>
              <w:ind w:left="498"/>
              <w:rPr>
                <w:sz w:val="19"/>
              </w:rPr>
            </w:pPr>
            <w:r>
              <w:rPr>
                <w:w w:val="85"/>
                <w:sz w:val="19"/>
              </w:rPr>
              <w:t>9,396,358</w:t>
            </w:r>
          </w:p>
        </w:tc>
        <w:tc>
          <w:tcPr>
            <w:tcW w:w="1464" w:type="dxa"/>
            <w:tcBorders>
              <w:top w:val="nil"/>
              <w:bottom w:val="nil"/>
            </w:tcBorders>
          </w:tcPr>
          <w:p>
            <w:pPr>
              <w:pStyle w:val="TableParagraph"/>
              <w:spacing w:line="190" w:lineRule="exact"/>
              <w:ind w:left="491"/>
              <w:rPr>
                <w:sz w:val="19"/>
              </w:rPr>
            </w:pPr>
            <w:r>
              <w:rPr>
                <w:w w:val="85"/>
                <w:sz w:val="19"/>
              </w:rPr>
              <w:t>21,239</w:t>
            </w:r>
          </w:p>
          <w:p>
            <w:pPr>
              <w:pStyle w:val="TableParagraph"/>
              <w:spacing w:line="197" w:lineRule="exact"/>
              <w:ind w:left="491"/>
              <w:rPr>
                <w:sz w:val="19"/>
              </w:rPr>
            </w:pPr>
            <w:r>
              <w:rPr>
                <w:w w:val="85"/>
                <w:sz w:val="19"/>
              </w:rPr>
              <w:t>21,850</w:t>
            </w:r>
          </w:p>
          <w:p>
            <w:pPr>
              <w:pStyle w:val="TableParagraph"/>
              <w:spacing w:line="186" w:lineRule="exact"/>
              <w:ind w:left="495"/>
              <w:rPr>
                <w:rFonts w:ascii="Times New Roman"/>
                <w:sz w:val="17"/>
              </w:rPr>
            </w:pPr>
            <w:r>
              <w:rPr>
                <w:rFonts w:ascii="Times New Roman"/>
                <w:sz w:val="17"/>
              </w:rPr>
              <w:t>22,551</w:t>
            </w:r>
          </w:p>
        </w:tc>
        <w:tc>
          <w:tcPr>
            <w:tcW w:w="1430" w:type="dxa"/>
            <w:tcBorders>
              <w:top w:val="nil"/>
              <w:bottom w:val="nil"/>
              <w:right w:val="nil"/>
            </w:tcBorders>
          </w:tcPr>
          <w:p>
            <w:pPr>
              <w:pStyle w:val="TableParagraph"/>
              <w:spacing w:line="181" w:lineRule="exact"/>
              <w:ind w:left="485" w:right="415"/>
              <w:jc w:val="center"/>
              <w:rPr>
                <w:sz w:val="19"/>
              </w:rPr>
            </w:pPr>
            <w:r>
              <w:rPr>
                <w:w w:val="90"/>
                <w:sz w:val="19"/>
              </w:rPr>
              <w:t>2.26</w:t>
            </w:r>
          </w:p>
          <w:p>
            <w:pPr>
              <w:pStyle w:val="TableParagraph"/>
              <w:spacing w:line="185" w:lineRule="exact"/>
              <w:ind w:left="489" w:right="415"/>
              <w:jc w:val="center"/>
              <w:rPr>
                <w:sz w:val="19"/>
              </w:rPr>
            </w:pPr>
            <w:r>
              <w:rPr>
                <w:sz w:val="19"/>
              </w:rPr>
              <w:t>2.32</w:t>
            </w:r>
          </w:p>
          <w:p>
            <w:pPr>
              <w:pStyle w:val="TableParagraph"/>
              <w:spacing w:line="199" w:lineRule="exact"/>
              <w:ind w:left="489" w:right="410"/>
              <w:jc w:val="center"/>
              <w:rPr>
                <w:sz w:val="19"/>
              </w:rPr>
            </w:pPr>
            <w:r>
              <w:rPr>
                <w:sz w:val="19"/>
              </w:rPr>
              <w:t>2.40</w:t>
            </w:r>
          </w:p>
        </w:tc>
      </w:tr>
    </w:tbl>
    <w:p>
      <w:pPr>
        <w:pStyle w:val="BodyText"/>
        <w:spacing w:before="8"/>
        <w:rPr>
          <w:i/>
          <w:sz w:val="3"/>
        </w:rPr>
      </w:pPr>
    </w:p>
    <w:p>
      <w:pPr>
        <w:pStyle w:val="BodyText"/>
        <w:spacing w:line="27" w:lineRule="exact"/>
        <w:ind w:left="131"/>
        <w:rPr>
          <w:sz w:val="2"/>
        </w:rPr>
      </w:pPr>
      <w:r>
        <w:rPr>
          <w:position w:val="0"/>
          <w:sz w:val="2"/>
        </w:rPr>
        <w:pict>
          <v:group style="width:215.3pt;height:1.4pt;mso-position-horizontal-relative:char;mso-position-vertical-relative:line" coordorigin="0,0" coordsize="4306,28">
            <v:line style="position:absolute" from="9,18" to="3699,18" stroked="true" strokeweight=".897308pt" strokecolor="#000000"/>
            <v:line style="position:absolute" from="2148,8" to="4298,8" stroked="true" strokeweight=".717846pt" strokecolor="#000000"/>
          </v:group>
        </w:pict>
      </w:r>
      <w:r>
        <w:rPr>
          <w:position w:val="0"/>
          <w:sz w:val="2"/>
        </w:rPr>
      </w:r>
    </w:p>
    <w:p>
      <w:pPr>
        <w:spacing w:before="95"/>
        <w:ind w:left="421" w:right="629" w:firstLine="0"/>
        <w:jc w:val="center"/>
        <w:rPr>
          <w:sz w:val="17"/>
        </w:rPr>
      </w:pPr>
      <w:r>
        <w:rPr>
          <w:sz w:val="17"/>
        </w:rPr>
        <w:t>333</w:t>
      </w:r>
    </w:p>
    <w:p>
      <w:pPr>
        <w:spacing w:after="0"/>
        <w:jc w:val="center"/>
        <w:rPr>
          <w:sz w:val="17"/>
        </w:rPr>
        <w:sectPr>
          <w:pgSz w:w="7200" w:h="11340"/>
          <w:pgMar w:top="720" w:bottom="280" w:left="660" w:right="580"/>
        </w:sectPr>
      </w:pPr>
    </w:p>
    <w:p>
      <w:pPr>
        <w:spacing w:before="62"/>
        <w:ind w:left="74" w:right="101" w:firstLine="0"/>
        <w:jc w:val="center"/>
        <w:rPr>
          <w:sz w:val="17"/>
        </w:rPr>
      </w:pPr>
      <w:r>
        <w:rPr>
          <w:i/>
          <w:sz w:val="18"/>
        </w:rPr>
        <w:t>1968 CBO M0:talit11 </w:t>
      </w:r>
      <w:r>
        <w:rPr>
          <w:sz w:val="17"/>
        </w:rPr>
        <w:t>Tal&gt;le--ConUnued</w:t>
      </w:r>
    </w:p>
    <w:p>
      <w:pPr>
        <w:spacing w:before="16"/>
        <w:ind w:left="74" w:right="82" w:firstLine="0"/>
        <w:jc w:val="center"/>
        <w:rPr>
          <w:i/>
          <w:sz w:val="18"/>
        </w:rPr>
      </w:pPr>
      <w:r>
        <w:rPr>
          <w:i/>
          <w:w w:val="95"/>
          <w:sz w:val="18"/>
        </w:rPr>
        <w:t>Ma.k</w:t>
      </w:r>
      <w:r>
        <w:rPr>
          <w:i/>
          <w:sz w:val="18"/>
        </w:rPr>
        <w:t> </w:t>
      </w:r>
      <w:r>
        <w:rPr>
          <w:i/>
          <w:spacing w:val="-5"/>
          <w:sz w:val="18"/>
        </w:rPr>
        <w:t> </w:t>
      </w:r>
      <w:r>
        <w:rPr>
          <w:i/>
          <w:w w:val="196"/>
          <w:sz w:val="18"/>
        </w:rPr>
        <w:t>L</w:t>
      </w:r>
      <w:r>
        <w:rPr>
          <w:i/>
          <w:spacing w:val="21"/>
          <w:w w:val="196"/>
          <w:sz w:val="18"/>
        </w:rPr>
        <w:t>i</w:t>
      </w:r>
      <w:r>
        <w:rPr>
          <w:i/>
          <w:w w:val="74"/>
          <w:sz w:val="18"/>
        </w:rPr>
        <w:t>a</w:t>
      </w:r>
    </w:p>
    <w:p>
      <w:pPr>
        <w:pStyle w:val="BodyText"/>
        <w:spacing w:before="4"/>
        <w:rPr>
          <w:i/>
          <w:sz w:val="5"/>
        </w:rPr>
      </w:pPr>
    </w:p>
    <w:tbl>
      <w:tblPr>
        <w:tblW w:w="0" w:type="auto"/>
        <w:jc w:val="left"/>
        <w:tblInd w:w="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68"/>
        <w:gridCol w:w="1636"/>
        <w:gridCol w:w="1467"/>
        <w:gridCol w:w="1463"/>
      </w:tblGrid>
      <w:tr>
        <w:trPr>
          <w:trHeight w:val="389" w:hRule="exact"/>
        </w:trPr>
        <w:tc>
          <w:tcPr>
            <w:tcW w:w="1168" w:type="dxa"/>
            <w:tcBorders>
              <w:left w:val="nil"/>
              <w:right w:val="single" w:sz="7" w:space="0" w:color="000000"/>
            </w:tcBorders>
          </w:tcPr>
          <w:p>
            <w:pPr>
              <w:pStyle w:val="TableParagraph"/>
              <w:spacing w:before="10"/>
              <w:rPr>
                <w:rFonts w:ascii="Times New Roman"/>
                <w:i/>
                <w:sz w:val="9"/>
              </w:rPr>
            </w:pPr>
          </w:p>
          <w:p>
            <w:pPr>
              <w:pStyle w:val="TableParagraph"/>
              <w:ind w:right="14"/>
              <w:jc w:val="center"/>
              <w:rPr>
                <w:rFonts w:ascii="Arial"/>
                <w:b/>
                <w:sz w:val="12"/>
              </w:rPr>
            </w:pPr>
            <w:r>
              <w:rPr>
                <w:rFonts w:ascii="Arial"/>
                <w:b/>
                <w:w w:val="115"/>
                <w:sz w:val="12"/>
              </w:rPr>
              <w:t>s</w:t>
            </w:r>
          </w:p>
        </w:tc>
        <w:tc>
          <w:tcPr>
            <w:tcW w:w="1636" w:type="dxa"/>
            <w:tcBorders>
              <w:left w:val="single" w:sz="7" w:space="0" w:color="000000"/>
              <w:right w:val="single" w:sz="7" w:space="0" w:color="000000"/>
            </w:tcBorders>
          </w:tcPr>
          <w:p>
            <w:pPr>
              <w:pStyle w:val="TableParagraph"/>
              <w:spacing w:before="110"/>
              <w:ind w:left="757" w:right="706"/>
              <w:jc w:val="center"/>
              <w:rPr>
                <w:rFonts w:ascii="Arial"/>
                <w:sz w:val="14"/>
              </w:rPr>
            </w:pPr>
            <w:r>
              <w:rPr>
                <w:rFonts w:ascii="Arial"/>
                <w:w w:val="105"/>
                <w:sz w:val="14"/>
              </w:rPr>
              <w:t>Is</w:t>
            </w:r>
          </w:p>
        </w:tc>
        <w:tc>
          <w:tcPr>
            <w:tcW w:w="1467" w:type="dxa"/>
            <w:tcBorders>
              <w:left w:val="single" w:sz="7" w:space="0" w:color="000000"/>
              <w:right w:val="single" w:sz="7" w:space="0" w:color="000000"/>
            </w:tcBorders>
          </w:tcPr>
          <w:p>
            <w:pPr>
              <w:pStyle w:val="TableParagraph"/>
              <w:spacing w:before="99"/>
              <w:ind w:left="643" w:right="640"/>
              <w:jc w:val="center"/>
              <w:rPr>
                <w:rFonts w:ascii="Times New Roman"/>
                <w:b/>
                <w:i/>
                <w:sz w:val="14"/>
              </w:rPr>
            </w:pPr>
            <w:r>
              <w:rPr>
                <w:rFonts w:ascii="Times New Roman"/>
                <w:b/>
                <w:i/>
                <w:sz w:val="14"/>
              </w:rPr>
              <w:t>4z</w:t>
            </w:r>
          </w:p>
        </w:tc>
        <w:tc>
          <w:tcPr>
            <w:tcW w:w="1463" w:type="dxa"/>
            <w:tcBorders>
              <w:left w:val="single" w:sz="7" w:space="0" w:color="000000"/>
              <w:right w:val="nil"/>
            </w:tcBorders>
          </w:tcPr>
          <w:p>
            <w:pPr>
              <w:pStyle w:val="TableParagraph"/>
              <w:spacing w:before="84"/>
              <w:ind w:left="572" w:right="-20"/>
              <w:rPr>
                <w:rFonts w:ascii="Times New Roman"/>
                <w:sz w:val="16"/>
              </w:rPr>
            </w:pPr>
            <w:r>
              <w:rPr>
                <w:rFonts w:ascii="Times New Roman"/>
                <w:w w:val="75"/>
                <w:sz w:val="16"/>
              </w:rPr>
              <w:t>lOOOfa</w:t>
            </w:r>
          </w:p>
        </w:tc>
      </w:tr>
      <w:tr>
        <w:trPr>
          <w:trHeight w:val="97" w:hRule="exact"/>
        </w:trPr>
        <w:tc>
          <w:tcPr>
            <w:tcW w:w="1168" w:type="dxa"/>
            <w:tcBorders>
              <w:left w:val="nil"/>
              <w:bottom w:val="nil"/>
              <w:right w:val="single" w:sz="7" w:space="0" w:color="000000"/>
            </w:tcBorders>
          </w:tcPr>
          <w:p>
            <w:pPr/>
          </w:p>
        </w:tc>
        <w:tc>
          <w:tcPr>
            <w:tcW w:w="1636" w:type="dxa"/>
            <w:tcBorders>
              <w:left w:val="single" w:sz="7" w:space="0" w:color="000000"/>
              <w:bottom w:val="nil"/>
              <w:right w:val="single" w:sz="7" w:space="0" w:color="000000"/>
            </w:tcBorders>
          </w:tcPr>
          <w:p>
            <w:pPr/>
          </w:p>
        </w:tc>
        <w:tc>
          <w:tcPr>
            <w:tcW w:w="1467" w:type="dxa"/>
            <w:tcBorders>
              <w:left w:val="single" w:sz="7" w:space="0" w:color="000000"/>
              <w:bottom w:val="nil"/>
              <w:right w:val="single" w:sz="7" w:space="0" w:color="000000"/>
            </w:tcBorders>
          </w:tcPr>
          <w:p>
            <w:pPr/>
          </w:p>
        </w:tc>
        <w:tc>
          <w:tcPr>
            <w:tcW w:w="1463" w:type="dxa"/>
            <w:tcBorders>
              <w:left w:val="single" w:sz="7" w:space="0" w:color="000000"/>
              <w:bottom w:val="nil"/>
              <w:right w:val="nil"/>
            </w:tcBorders>
          </w:tcPr>
          <w:p>
            <w:pPr/>
          </w:p>
        </w:tc>
      </w:tr>
      <w:tr>
        <w:trPr>
          <w:trHeight w:val="217" w:hRule="exact"/>
        </w:trPr>
        <w:tc>
          <w:tcPr>
            <w:tcW w:w="1168" w:type="dxa"/>
            <w:tcBorders>
              <w:top w:val="nil"/>
              <w:left w:val="nil"/>
              <w:bottom w:val="nil"/>
              <w:right w:val="single" w:sz="7" w:space="0" w:color="000000"/>
            </w:tcBorders>
          </w:tcPr>
          <w:p>
            <w:pPr>
              <w:pStyle w:val="TableParagraph"/>
              <w:spacing w:before="16"/>
              <w:ind w:left="392" w:right="375"/>
              <w:jc w:val="center"/>
              <w:rPr>
                <w:sz w:val="18"/>
              </w:rPr>
            </w:pPr>
            <w:r>
              <w:rPr>
                <w:sz w:val="18"/>
              </w:rPr>
              <w:t>35</w:t>
            </w:r>
          </w:p>
        </w:tc>
        <w:tc>
          <w:tcPr>
            <w:tcW w:w="1636" w:type="dxa"/>
            <w:tcBorders>
              <w:top w:val="nil"/>
              <w:left w:val="single" w:sz="7" w:space="0" w:color="000000"/>
              <w:bottom w:val="nil"/>
              <w:right w:val="single" w:sz="7" w:space="0" w:color="000000"/>
            </w:tcBorders>
          </w:tcPr>
          <w:p>
            <w:pPr>
              <w:pStyle w:val="TableParagraph"/>
              <w:spacing w:before="8"/>
              <w:ind w:left="489"/>
              <w:rPr>
                <w:sz w:val="18"/>
              </w:rPr>
            </w:pPr>
            <w:r>
              <w:rPr>
                <w:spacing w:val="-26"/>
                <w:w w:val="119"/>
                <w:sz w:val="18"/>
              </w:rPr>
              <w:t>9</w:t>
            </w:r>
            <w:r>
              <w:rPr>
                <w:spacing w:val="-43"/>
                <w:w w:val="95"/>
                <w:sz w:val="18"/>
              </w:rPr>
              <w:t>,</w:t>
            </w:r>
            <w:r>
              <w:rPr>
                <w:spacing w:val="-31"/>
                <w:w w:val="101"/>
                <w:sz w:val="18"/>
              </w:rPr>
              <w:t>3</w:t>
            </w:r>
            <w:r>
              <w:rPr>
                <w:spacing w:val="-44"/>
                <w:w w:val="109"/>
                <w:sz w:val="18"/>
              </w:rPr>
              <w:t>7</w:t>
            </w:r>
            <w:r>
              <w:rPr>
                <w:spacing w:val="-12"/>
                <w:w w:val="106"/>
                <w:sz w:val="18"/>
              </w:rPr>
              <w:t>3</w:t>
            </w:r>
            <w:r>
              <w:rPr>
                <w:spacing w:val="-69"/>
                <w:w w:val="266"/>
                <w:sz w:val="18"/>
              </w:rPr>
              <w:t>,</w:t>
            </w:r>
            <w:r>
              <w:rPr>
                <w:w w:val="109"/>
                <w:sz w:val="18"/>
              </w:rPr>
              <w:t>7</w:t>
            </w:r>
          </w:p>
        </w:tc>
        <w:tc>
          <w:tcPr>
            <w:tcW w:w="1467" w:type="dxa"/>
            <w:tcBorders>
              <w:top w:val="nil"/>
              <w:left w:val="single" w:sz="7" w:space="0" w:color="000000"/>
              <w:bottom w:val="nil"/>
              <w:right w:val="single" w:sz="7" w:space="0" w:color="000000"/>
            </w:tcBorders>
          </w:tcPr>
          <w:p>
            <w:pPr>
              <w:pStyle w:val="TableParagraph"/>
              <w:spacing w:before="8"/>
              <w:ind w:right="403"/>
              <w:jc w:val="right"/>
              <w:rPr>
                <w:sz w:val="18"/>
              </w:rPr>
            </w:pPr>
            <w:r>
              <w:rPr>
                <w:w w:val="80"/>
                <w:sz w:val="18"/>
              </w:rPr>
              <w:t>23,528</w:t>
            </w:r>
          </w:p>
        </w:tc>
        <w:tc>
          <w:tcPr>
            <w:tcW w:w="1463" w:type="dxa"/>
            <w:tcBorders>
              <w:top w:val="nil"/>
              <w:left w:val="single" w:sz="7" w:space="0" w:color="000000"/>
              <w:bottom w:val="nil"/>
              <w:right w:val="nil"/>
            </w:tcBorders>
          </w:tcPr>
          <w:p>
            <w:pPr>
              <w:pStyle w:val="TableParagraph"/>
              <w:spacing w:before="8"/>
              <w:ind w:left="558" w:right="415"/>
              <w:jc w:val="center"/>
              <w:rPr>
                <w:sz w:val="18"/>
              </w:rPr>
            </w:pPr>
            <w:r>
              <w:rPr>
                <w:sz w:val="18"/>
              </w:rPr>
              <w:t>2.51</w:t>
            </w:r>
          </w:p>
        </w:tc>
      </w:tr>
      <w:tr>
        <w:trPr>
          <w:trHeight w:val="198" w:hRule="exact"/>
        </w:trPr>
        <w:tc>
          <w:tcPr>
            <w:tcW w:w="1168" w:type="dxa"/>
            <w:tcBorders>
              <w:top w:val="nil"/>
              <w:left w:val="nil"/>
              <w:bottom w:val="nil"/>
              <w:right w:val="single" w:sz="7" w:space="0" w:color="000000"/>
            </w:tcBorders>
          </w:tcPr>
          <w:p>
            <w:pPr>
              <w:pStyle w:val="TableParagraph"/>
              <w:spacing w:line="188" w:lineRule="exact"/>
              <w:ind w:left="392" w:right="390"/>
              <w:jc w:val="center"/>
              <w:rPr>
                <w:rFonts w:ascii="Times New Roman"/>
                <w:sz w:val="17"/>
              </w:rPr>
            </w:pPr>
            <w:r>
              <w:rPr>
                <w:rFonts w:ascii="Times New Roman"/>
                <w:sz w:val="17"/>
              </w:rPr>
              <w:t>36</w:t>
            </w:r>
          </w:p>
        </w:tc>
        <w:tc>
          <w:tcPr>
            <w:tcW w:w="1636" w:type="dxa"/>
            <w:tcBorders>
              <w:top w:val="nil"/>
              <w:left w:val="single" w:sz="7" w:space="0" w:color="000000"/>
              <w:bottom w:val="nil"/>
              <w:right w:val="single" w:sz="7" w:space="0" w:color="000000"/>
            </w:tcBorders>
          </w:tcPr>
          <w:p>
            <w:pPr>
              <w:pStyle w:val="TableParagraph"/>
              <w:spacing w:line="198" w:lineRule="exact"/>
              <w:ind w:left="489"/>
              <w:rPr>
                <w:sz w:val="18"/>
              </w:rPr>
            </w:pPr>
            <w:r>
              <w:rPr>
                <w:sz w:val="18"/>
              </w:rPr>
              <w:t>9,300,279</w:t>
            </w:r>
          </w:p>
        </w:tc>
        <w:tc>
          <w:tcPr>
            <w:tcW w:w="1467" w:type="dxa"/>
            <w:tcBorders>
              <w:top w:val="nil"/>
              <w:left w:val="single" w:sz="7" w:space="0" w:color="000000"/>
              <w:bottom w:val="nil"/>
              <w:right w:val="single" w:sz="7" w:space="0" w:color="000000"/>
            </w:tcBorders>
          </w:tcPr>
          <w:p>
            <w:pPr>
              <w:pStyle w:val="TableParagraph"/>
              <w:spacing w:line="198" w:lineRule="exact"/>
              <w:ind w:right="399"/>
              <w:jc w:val="right"/>
              <w:rPr>
                <w:sz w:val="18"/>
              </w:rPr>
            </w:pPr>
            <w:r>
              <w:rPr>
                <w:w w:val="85"/>
                <w:sz w:val="18"/>
              </w:rPr>
              <w:t>24,685</w:t>
            </w:r>
          </w:p>
        </w:tc>
        <w:tc>
          <w:tcPr>
            <w:tcW w:w="1463" w:type="dxa"/>
            <w:tcBorders>
              <w:top w:val="nil"/>
              <w:left w:val="single" w:sz="7" w:space="0" w:color="000000"/>
              <w:bottom w:val="nil"/>
              <w:right w:val="nil"/>
            </w:tcBorders>
          </w:tcPr>
          <w:p>
            <w:pPr>
              <w:pStyle w:val="TableParagraph"/>
              <w:spacing w:line="177" w:lineRule="exact"/>
              <w:ind w:left="542" w:right="419"/>
              <w:jc w:val="center"/>
              <w:rPr>
                <w:rFonts w:ascii="Times New Roman"/>
                <w:sz w:val="17"/>
              </w:rPr>
            </w:pPr>
            <w:r>
              <w:rPr>
                <w:rFonts w:ascii="Times New Roman"/>
                <w:w w:val="105"/>
                <w:sz w:val="17"/>
              </w:rPr>
              <w:t>2.64</w:t>
            </w:r>
          </w:p>
        </w:tc>
      </w:tr>
      <w:tr>
        <w:trPr>
          <w:trHeight w:val="198" w:hRule="exact"/>
        </w:trPr>
        <w:tc>
          <w:tcPr>
            <w:tcW w:w="1168" w:type="dxa"/>
            <w:tcBorders>
              <w:top w:val="nil"/>
              <w:left w:val="nil"/>
              <w:bottom w:val="nil"/>
              <w:right w:val="single" w:sz="7" w:space="0" w:color="000000"/>
            </w:tcBorders>
          </w:tcPr>
          <w:p>
            <w:pPr>
              <w:pStyle w:val="TableParagraph"/>
              <w:spacing w:line="183" w:lineRule="exact"/>
              <w:ind w:left="392" w:right="388"/>
              <w:jc w:val="center"/>
              <w:rPr>
                <w:rFonts w:ascii="Times New Roman"/>
                <w:sz w:val="17"/>
              </w:rPr>
            </w:pPr>
            <w:r>
              <w:rPr>
                <w:rFonts w:ascii="Times New Roman"/>
                <w:sz w:val="17"/>
              </w:rPr>
              <w:t>37</w:t>
            </w:r>
          </w:p>
        </w:tc>
        <w:tc>
          <w:tcPr>
            <w:tcW w:w="1636" w:type="dxa"/>
            <w:tcBorders>
              <w:top w:val="nil"/>
              <w:left w:val="single" w:sz="7" w:space="0" w:color="000000"/>
              <w:bottom w:val="nil"/>
              <w:right w:val="single" w:sz="7" w:space="0" w:color="000000"/>
            </w:tcBorders>
          </w:tcPr>
          <w:p>
            <w:pPr>
              <w:pStyle w:val="TableParagraph"/>
              <w:spacing w:line="197" w:lineRule="exact"/>
              <w:ind w:left="489"/>
              <w:rPr>
                <w:sz w:val="18"/>
              </w:rPr>
            </w:pPr>
            <w:r>
              <w:rPr>
                <w:sz w:val="18"/>
              </w:rPr>
              <w:t>9,325,594</w:t>
            </w:r>
          </w:p>
        </w:tc>
        <w:tc>
          <w:tcPr>
            <w:tcW w:w="1467" w:type="dxa"/>
            <w:tcBorders>
              <w:top w:val="nil"/>
              <w:left w:val="single" w:sz="7" w:space="0" w:color="000000"/>
              <w:bottom w:val="nil"/>
              <w:right w:val="single" w:sz="7" w:space="0" w:color="000000"/>
            </w:tcBorders>
          </w:tcPr>
          <w:p>
            <w:pPr>
              <w:pStyle w:val="TableParagraph"/>
              <w:spacing w:line="197" w:lineRule="exact"/>
              <w:ind w:right="412"/>
              <w:jc w:val="right"/>
              <w:rPr>
                <w:sz w:val="18"/>
              </w:rPr>
            </w:pPr>
            <w:r>
              <w:rPr>
                <w:w w:val="75"/>
                <w:sz w:val="18"/>
              </w:rPr>
              <w:t>26,112</w:t>
            </w:r>
          </w:p>
        </w:tc>
        <w:tc>
          <w:tcPr>
            <w:tcW w:w="1463" w:type="dxa"/>
            <w:tcBorders>
              <w:top w:val="nil"/>
              <w:left w:val="single" w:sz="7" w:space="0" w:color="000000"/>
              <w:bottom w:val="nil"/>
              <w:right w:val="nil"/>
            </w:tcBorders>
          </w:tcPr>
          <w:p>
            <w:pPr>
              <w:pStyle w:val="TableParagraph"/>
              <w:spacing w:line="194" w:lineRule="exact"/>
              <w:ind w:left="630" w:right="-20"/>
              <w:rPr>
                <w:sz w:val="18"/>
              </w:rPr>
            </w:pPr>
            <w:r>
              <w:rPr>
                <w:spacing w:val="-17"/>
                <w:w w:val="108"/>
                <w:sz w:val="18"/>
              </w:rPr>
              <w:t>2</w:t>
            </w:r>
            <w:r>
              <w:rPr>
                <w:w w:val="317"/>
                <w:sz w:val="18"/>
              </w:rPr>
              <w:t>.</w:t>
            </w:r>
          </w:p>
        </w:tc>
      </w:tr>
      <w:tr>
        <w:trPr>
          <w:trHeight w:val="200" w:hRule="exact"/>
        </w:trPr>
        <w:tc>
          <w:tcPr>
            <w:tcW w:w="1168" w:type="dxa"/>
            <w:tcBorders>
              <w:top w:val="nil"/>
              <w:left w:val="nil"/>
              <w:bottom w:val="nil"/>
              <w:right w:val="single" w:sz="7" w:space="0" w:color="000000"/>
            </w:tcBorders>
          </w:tcPr>
          <w:p>
            <w:pPr>
              <w:pStyle w:val="TableParagraph"/>
              <w:spacing w:line="201" w:lineRule="exact"/>
              <w:ind w:left="392" w:right="369"/>
              <w:jc w:val="center"/>
              <w:rPr>
                <w:sz w:val="18"/>
              </w:rPr>
            </w:pPr>
            <w:r>
              <w:rPr>
                <w:sz w:val="18"/>
              </w:rPr>
              <w:t>38</w:t>
            </w:r>
          </w:p>
        </w:tc>
        <w:tc>
          <w:tcPr>
            <w:tcW w:w="1636" w:type="dxa"/>
            <w:tcBorders>
              <w:top w:val="nil"/>
              <w:left w:val="single" w:sz="7" w:space="0" w:color="000000"/>
              <w:bottom w:val="nil"/>
              <w:right w:val="single" w:sz="7" w:space="0" w:color="000000"/>
            </w:tcBorders>
          </w:tcPr>
          <w:p>
            <w:pPr>
              <w:pStyle w:val="TableParagraph"/>
              <w:spacing w:line="197" w:lineRule="exact"/>
              <w:ind w:left="489"/>
              <w:rPr>
                <w:b/>
                <w:sz w:val="18"/>
              </w:rPr>
            </w:pPr>
            <w:r>
              <w:rPr>
                <w:b/>
                <w:w w:val="90"/>
                <w:sz w:val="18"/>
              </w:rPr>
              <w:t>9,299,482</w:t>
            </w:r>
          </w:p>
        </w:tc>
        <w:tc>
          <w:tcPr>
            <w:tcW w:w="1467" w:type="dxa"/>
            <w:tcBorders>
              <w:top w:val="nil"/>
              <w:left w:val="single" w:sz="7" w:space="0" w:color="000000"/>
              <w:bottom w:val="nil"/>
              <w:right w:val="single" w:sz="7" w:space="0" w:color="000000"/>
            </w:tcBorders>
          </w:tcPr>
          <w:p>
            <w:pPr>
              <w:pStyle w:val="TableParagraph"/>
              <w:spacing w:line="197" w:lineRule="exact"/>
              <w:ind w:right="429"/>
              <w:jc w:val="right"/>
              <w:rPr>
                <w:sz w:val="18"/>
              </w:rPr>
            </w:pPr>
            <w:r>
              <w:rPr>
                <w:w w:val="70"/>
                <w:sz w:val="18"/>
              </w:rPr>
              <w:t>27,991</w:t>
            </w:r>
          </w:p>
        </w:tc>
        <w:tc>
          <w:tcPr>
            <w:tcW w:w="1463" w:type="dxa"/>
            <w:tcBorders>
              <w:top w:val="nil"/>
              <w:left w:val="single" w:sz="7" w:space="0" w:color="000000"/>
              <w:bottom w:val="nil"/>
              <w:right w:val="nil"/>
            </w:tcBorders>
          </w:tcPr>
          <w:p>
            <w:pPr>
              <w:pStyle w:val="TableParagraph"/>
              <w:spacing w:line="194" w:lineRule="exact"/>
              <w:ind w:left="626" w:right="-20"/>
              <w:rPr>
                <w:sz w:val="18"/>
              </w:rPr>
            </w:pPr>
            <w:r>
              <w:rPr>
                <w:w w:val="105"/>
                <w:sz w:val="18"/>
              </w:rPr>
              <w:t>3.01</w:t>
            </w:r>
          </w:p>
        </w:tc>
      </w:tr>
      <w:tr>
        <w:trPr>
          <w:trHeight w:val="297" w:hRule="exact"/>
        </w:trPr>
        <w:tc>
          <w:tcPr>
            <w:tcW w:w="1168" w:type="dxa"/>
            <w:tcBorders>
              <w:top w:val="nil"/>
              <w:left w:val="nil"/>
              <w:bottom w:val="nil"/>
              <w:right w:val="single" w:sz="7" w:space="0" w:color="000000"/>
            </w:tcBorders>
          </w:tcPr>
          <w:p>
            <w:pPr>
              <w:pStyle w:val="TableParagraph"/>
              <w:spacing w:line="179" w:lineRule="exact"/>
              <w:ind w:left="392" w:right="392"/>
              <w:jc w:val="center"/>
              <w:rPr>
                <w:rFonts w:ascii="Times New Roman"/>
                <w:sz w:val="16"/>
              </w:rPr>
            </w:pPr>
            <w:r>
              <w:rPr>
                <w:rFonts w:ascii="Times New Roman"/>
                <w:w w:val="110"/>
                <w:sz w:val="16"/>
              </w:rPr>
              <w:t>39</w:t>
            </w:r>
          </w:p>
        </w:tc>
        <w:tc>
          <w:tcPr>
            <w:tcW w:w="1636" w:type="dxa"/>
            <w:tcBorders>
              <w:top w:val="nil"/>
              <w:left w:val="single" w:sz="7" w:space="0" w:color="000000"/>
              <w:bottom w:val="nil"/>
              <w:right w:val="single" w:sz="7" w:space="0" w:color="000000"/>
            </w:tcBorders>
          </w:tcPr>
          <w:p>
            <w:pPr>
              <w:pStyle w:val="TableParagraph"/>
              <w:spacing w:line="195" w:lineRule="exact"/>
              <w:ind w:left="493"/>
              <w:rPr>
                <w:sz w:val="18"/>
              </w:rPr>
            </w:pPr>
            <w:r>
              <w:rPr>
                <w:sz w:val="18"/>
              </w:rPr>
              <w:t>9,271,491</w:t>
            </w:r>
          </w:p>
        </w:tc>
        <w:tc>
          <w:tcPr>
            <w:tcW w:w="1467" w:type="dxa"/>
            <w:tcBorders>
              <w:top w:val="nil"/>
              <w:left w:val="single" w:sz="7" w:space="0" w:color="000000"/>
              <w:bottom w:val="nil"/>
              <w:right w:val="single" w:sz="7" w:space="0" w:color="000000"/>
            </w:tcBorders>
          </w:tcPr>
          <w:p>
            <w:pPr>
              <w:pStyle w:val="TableParagraph"/>
              <w:spacing w:line="195" w:lineRule="exact"/>
              <w:ind w:right="393"/>
              <w:jc w:val="right"/>
              <w:rPr>
                <w:sz w:val="18"/>
              </w:rPr>
            </w:pPr>
            <w:r>
              <w:rPr>
                <w:w w:val="85"/>
                <w:sz w:val="18"/>
              </w:rPr>
              <w:t>30,132</w:t>
            </w:r>
          </w:p>
        </w:tc>
        <w:tc>
          <w:tcPr>
            <w:tcW w:w="1463" w:type="dxa"/>
            <w:tcBorders>
              <w:top w:val="nil"/>
              <w:left w:val="single" w:sz="7" w:space="0" w:color="000000"/>
              <w:bottom w:val="nil"/>
              <w:right w:val="nil"/>
            </w:tcBorders>
          </w:tcPr>
          <w:p>
            <w:pPr>
              <w:pStyle w:val="TableParagraph"/>
              <w:spacing w:line="192" w:lineRule="exact"/>
              <w:ind w:left="622" w:right="-20"/>
              <w:rPr>
                <w:sz w:val="18"/>
              </w:rPr>
            </w:pPr>
            <w:r>
              <w:rPr>
                <w:w w:val="95"/>
                <w:sz w:val="18"/>
              </w:rPr>
              <w:t>3.25</w:t>
            </w:r>
          </w:p>
        </w:tc>
      </w:tr>
      <w:tr>
        <w:trPr>
          <w:trHeight w:val="301" w:hRule="exact"/>
        </w:trPr>
        <w:tc>
          <w:tcPr>
            <w:tcW w:w="1168" w:type="dxa"/>
            <w:tcBorders>
              <w:top w:val="nil"/>
              <w:left w:val="nil"/>
              <w:bottom w:val="nil"/>
              <w:right w:val="single" w:sz="7" w:space="0" w:color="000000"/>
            </w:tcBorders>
          </w:tcPr>
          <w:p>
            <w:pPr>
              <w:pStyle w:val="TableParagraph"/>
              <w:spacing w:before="94"/>
              <w:ind w:left="392" w:right="393"/>
              <w:jc w:val="center"/>
              <w:rPr>
                <w:rFonts w:ascii="Times New Roman"/>
                <w:sz w:val="16"/>
              </w:rPr>
            </w:pPr>
            <w:r>
              <w:rPr>
                <w:rFonts w:ascii="Times New Roman"/>
                <w:w w:val="105"/>
                <w:sz w:val="16"/>
              </w:rPr>
              <w:t>40</w:t>
            </w:r>
          </w:p>
        </w:tc>
        <w:tc>
          <w:tcPr>
            <w:tcW w:w="1636" w:type="dxa"/>
            <w:tcBorders>
              <w:top w:val="nil"/>
              <w:left w:val="single" w:sz="7" w:space="0" w:color="000000"/>
              <w:bottom w:val="nil"/>
              <w:right w:val="single" w:sz="7" w:space="0" w:color="000000"/>
            </w:tcBorders>
          </w:tcPr>
          <w:p>
            <w:pPr>
              <w:pStyle w:val="TableParagraph"/>
              <w:spacing w:before="94"/>
              <w:ind w:left="493"/>
              <w:rPr>
                <w:sz w:val="18"/>
              </w:rPr>
            </w:pPr>
            <w:r>
              <w:rPr>
                <w:w w:val="95"/>
                <w:sz w:val="18"/>
              </w:rPr>
              <w:t>9,241,359</w:t>
            </w:r>
          </w:p>
        </w:tc>
        <w:tc>
          <w:tcPr>
            <w:tcW w:w="1467" w:type="dxa"/>
            <w:tcBorders>
              <w:top w:val="nil"/>
              <w:left w:val="single" w:sz="7" w:space="0" w:color="000000"/>
              <w:bottom w:val="nil"/>
              <w:right w:val="single" w:sz="7" w:space="0" w:color="000000"/>
            </w:tcBorders>
          </w:tcPr>
          <w:p>
            <w:pPr>
              <w:pStyle w:val="TableParagraph"/>
              <w:spacing w:before="90"/>
              <w:ind w:right="405"/>
              <w:jc w:val="right"/>
              <w:rPr>
                <w:sz w:val="18"/>
              </w:rPr>
            </w:pPr>
            <w:r>
              <w:rPr>
                <w:w w:val="90"/>
                <w:sz w:val="18"/>
              </w:rPr>
              <w:t>32,622</w:t>
            </w:r>
          </w:p>
        </w:tc>
        <w:tc>
          <w:tcPr>
            <w:tcW w:w="1463" w:type="dxa"/>
            <w:tcBorders>
              <w:top w:val="nil"/>
              <w:left w:val="single" w:sz="7" w:space="0" w:color="000000"/>
              <w:bottom w:val="nil"/>
              <w:right w:val="nil"/>
            </w:tcBorders>
          </w:tcPr>
          <w:p>
            <w:pPr>
              <w:pStyle w:val="TableParagraph"/>
              <w:spacing w:before="90"/>
              <w:ind w:left="553" w:right="419"/>
              <w:jc w:val="center"/>
              <w:rPr>
                <w:sz w:val="18"/>
              </w:rPr>
            </w:pPr>
            <w:r>
              <w:rPr>
                <w:sz w:val="18"/>
              </w:rPr>
              <w:t>3.53</w:t>
            </w:r>
          </w:p>
        </w:tc>
      </w:tr>
      <w:tr>
        <w:trPr>
          <w:trHeight w:val="200" w:hRule="exact"/>
        </w:trPr>
        <w:tc>
          <w:tcPr>
            <w:tcW w:w="1168" w:type="dxa"/>
            <w:tcBorders>
              <w:top w:val="nil"/>
              <w:left w:val="nil"/>
              <w:bottom w:val="nil"/>
              <w:right w:val="single" w:sz="7" w:space="0" w:color="000000"/>
            </w:tcBorders>
          </w:tcPr>
          <w:p>
            <w:pPr>
              <w:pStyle w:val="TableParagraph"/>
              <w:spacing w:line="195" w:lineRule="exact"/>
              <w:ind w:left="392" w:right="390"/>
              <w:jc w:val="center"/>
              <w:rPr>
                <w:b/>
                <w:sz w:val="18"/>
              </w:rPr>
            </w:pPr>
            <w:r>
              <w:rPr>
                <w:b/>
                <w:w w:val="90"/>
                <w:sz w:val="18"/>
              </w:rPr>
              <w:t>41</w:t>
            </w:r>
          </w:p>
        </w:tc>
        <w:tc>
          <w:tcPr>
            <w:tcW w:w="1636" w:type="dxa"/>
            <w:tcBorders>
              <w:top w:val="nil"/>
              <w:left w:val="single" w:sz="7" w:space="0" w:color="000000"/>
              <w:bottom w:val="nil"/>
              <w:right w:val="single" w:sz="7" w:space="0" w:color="000000"/>
            </w:tcBorders>
          </w:tcPr>
          <w:p>
            <w:pPr>
              <w:pStyle w:val="TableParagraph"/>
              <w:spacing w:line="195" w:lineRule="exact"/>
              <w:ind w:left="493"/>
              <w:rPr>
                <w:sz w:val="18"/>
              </w:rPr>
            </w:pPr>
            <w:r>
              <w:rPr>
                <w:sz w:val="18"/>
              </w:rPr>
              <w:t>9,208,737</w:t>
            </w:r>
          </w:p>
        </w:tc>
        <w:tc>
          <w:tcPr>
            <w:tcW w:w="1467" w:type="dxa"/>
            <w:tcBorders>
              <w:top w:val="nil"/>
              <w:left w:val="single" w:sz="7" w:space="0" w:color="000000"/>
              <w:bottom w:val="nil"/>
              <w:right w:val="single" w:sz="7" w:space="0" w:color="000000"/>
            </w:tcBorders>
          </w:tcPr>
          <w:p>
            <w:pPr>
              <w:pStyle w:val="TableParagraph"/>
              <w:spacing w:line="199" w:lineRule="exact"/>
              <w:ind w:right="417"/>
              <w:jc w:val="right"/>
              <w:rPr>
                <w:sz w:val="18"/>
              </w:rPr>
            </w:pPr>
            <w:r>
              <w:rPr>
                <w:w w:val="75"/>
                <w:sz w:val="18"/>
              </w:rPr>
              <w:t>35,362</w:t>
            </w:r>
          </w:p>
        </w:tc>
        <w:tc>
          <w:tcPr>
            <w:tcW w:w="1463" w:type="dxa"/>
            <w:tcBorders>
              <w:top w:val="nil"/>
              <w:left w:val="single" w:sz="7" w:space="0" w:color="000000"/>
              <w:bottom w:val="nil"/>
              <w:right w:val="nil"/>
            </w:tcBorders>
          </w:tcPr>
          <w:p>
            <w:pPr>
              <w:pStyle w:val="TableParagraph"/>
              <w:spacing w:line="195" w:lineRule="exact"/>
              <w:ind w:left="619" w:right="-20"/>
              <w:rPr>
                <w:sz w:val="18"/>
              </w:rPr>
            </w:pPr>
            <w:r>
              <w:rPr>
                <w:sz w:val="18"/>
              </w:rPr>
              <w:t>3.84</w:t>
            </w:r>
          </w:p>
        </w:tc>
      </w:tr>
      <w:tr>
        <w:trPr>
          <w:trHeight w:val="198" w:hRule="exact"/>
        </w:trPr>
        <w:tc>
          <w:tcPr>
            <w:tcW w:w="1168" w:type="dxa"/>
            <w:tcBorders>
              <w:top w:val="nil"/>
              <w:left w:val="nil"/>
              <w:bottom w:val="nil"/>
              <w:right w:val="single" w:sz="7" w:space="0" w:color="000000"/>
            </w:tcBorders>
          </w:tcPr>
          <w:p>
            <w:pPr>
              <w:pStyle w:val="TableParagraph"/>
              <w:spacing w:line="197" w:lineRule="exact"/>
              <w:ind w:left="392" w:right="373"/>
              <w:jc w:val="center"/>
              <w:rPr>
                <w:b/>
                <w:sz w:val="18"/>
              </w:rPr>
            </w:pPr>
            <w:r>
              <w:rPr>
                <w:b/>
                <w:sz w:val="18"/>
              </w:rPr>
              <w:t>42</w:t>
            </w:r>
          </w:p>
        </w:tc>
        <w:tc>
          <w:tcPr>
            <w:tcW w:w="1636" w:type="dxa"/>
            <w:tcBorders>
              <w:top w:val="nil"/>
              <w:left w:val="single" w:sz="7" w:space="0" w:color="000000"/>
              <w:bottom w:val="nil"/>
              <w:right w:val="single" w:sz="7" w:space="0" w:color="000000"/>
            </w:tcBorders>
          </w:tcPr>
          <w:p>
            <w:pPr>
              <w:pStyle w:val="TableParagraph"/>
              <w:spacing w:line="197" w:lineRule="exact"/>
              <w:ind w:left="493"/>
              <w:rPr>
                <w:sz w:val="18"/>
              </w:rPr>
            </w:pPr>
            <w:r>
              <w:rPr>
                <w:sz w:val="18"/>
              </w:rPr>
              <w:t>9,173,375</w:t>
            </w:r>
          </w:p>
        </w:tc>
        <w:tc>
          <w:tcPr>
            <w:tcW w:w="1467" w:type="dxa"/>
            <w:tcBorders>
              <w:top w:val="nil"/>
              <w:left w:val="single" w:sz="7" w:space="0" w:color="000000"/>
              <w:bottom w:val="nil"/>
              <w:right w:val="single" w:sz="7" w:space="0" w:color="000000"/>
            </w:tcBorders>
          </w:tcPr>
          <w:p>
            <w:pPr>
              <w:pStyle w:val="TableParagraph"/>
              <w:spacing w:line="197" w:lineRule="exact"/>
              <w:ind w:right="417"/>
              <w:jc w:val="right"/>
              <w:rPr>
                <w:sz w:val="18"/>
              </w:rPr>
            </w:pPr>
            <w:r>
              <w:rPr>
                <w:w w:val="75"/>
                <w:sz w:val="18"/>
              </w:rPr>
              <w:t>38,253</w:t>
            </w:r>
          </w:p>
        </w:tc>
        <w:tc>
          <w:tcPr>
            <w:tcW w:w="1463" w:type="dxa"/>
            <w:tcBorders>
              <w:top w:val="nil"/>
              <w:left w:val="single" w:sz="7" w:space="0" w:color="000000"/>
              <w:bottom w:val="nil"/>
              <w:right w:val="nil"/>
            </w:tcBorders>
          </w:tcPr>
          <w:p>
            <w:pPr>
              <w:pStyle w:val="TableParagraph"/>
              <w:spacing w:line="194" w:lineRule="exact"/>
              <w:ind w:left="619" w:right="-20"/>
              <w:rPr>
                <w:sz w:val="18"/>
              </w:rPr>
            </w:pPr>
            <w:r>
              <w:rPr>
                <w:w w:val="95"/>
                <w:sz w:val="18"/>
              </w:rPr>
              <w:t>4.17</w:t>
            </w:r>
          </w:p>
        </w:tc>
      </w:tr>
      <w:tr>
        <w:trPr>
          <w:trHeight w:val="198" w:hRule="exact"/>
        </w:trPr>
        <w:tc>
          <w:tcPr>
            <w:tcW w:w="1168" w:type="dxa"/>
            <w:tcBorders>
              <w:top w:val="nil"/>
              <w:left w:val="nil"/>
              <w:bottom w:val="nil"/>
              <w:right w:val="single" w:sz="7" w:space="0" w:color="000000"/>
            </w:tcBorders>
          </w:tcPr>
          <w:p>
            <w:pPr>
              <w:pStyle w:val="TableParagraph"/>
              <w:spacing w:line="184" w:lineRule="exact"/>
              <w:ind w:left="392" w:right="386"/>
              <w:jc w:val="center"/>
              <w:rPr>
                <w:rFonts w:ascii="Times New Roman"/>
                <w:sz w:val="17"/>
              </w:rPr>
            </w:pPr>
            <w:r>
              <w:rPr>
                <w:rFonts w:ascii="Times New Roman"/>
                <w:sz w:val="17"/>
              </w:rPr>
              <w:t>43</w:t>
            </w:r>
          </w:p>
        </w:tc>
        <w:tc>
          <w:tcPr>
            <w:tcW w:w="1636" w:type="dxa"/>
            <w:tcBorders>
              <w:top w:val="nil"/>
              <w:left w:val="single" w:sz="7" w:space="0" w:color="000000"/>
              <w:bottom w:val="nil"/>
              <w:right w:val="single" w:sz="7" w:space="0" w:color="000000"/>
            </w:tcBorders>
          </w:tcPr>
          <w:p>
            <w:pPr>
              <w:pStyle w:val="TableParagraph"/>
              <w:spacing w:line="198" w:lineRule="exact"/>
              <w:ind w:left="489"/>
              <w:rPr>
                <w:sz w:val="18"/>
              </w:rPr>
            </w:pPr>
            <w:r>
              <w:rPr>
                <w:sz w:val="18"/>
              </w:rPr>
              <w:t>9,135,122</w:t>
            </w:r>
          </w:p>
        </w:tc>
        <w:tc>
          <w:tcPr>
            <w:tcW w:w="1467" w:type="dxa"/>
            <w:tcBorders>
              <w:top w:val="nil"/>
              <w:left w:val="single" w:sz="7" w:space="0" w:color="000000"/>
              <w:bottom w:val="nil"/>
            </w:tcBorders>
          </w:tcPr>
          <w:p>
            <w:pPr>
              <w:pStyle w:val="TableParagraph"/>
              <w:spacing w:line="180" w:lineRule="exact"/>
              <w:ind w:right="434"/>
              <w:jc w:val="right"/>
              <w:rPr>
                <w:rFonts w:ascii="Times New Roman" w:hAnsi="Times New Roman"/>
                <w:sz w:val="17"/>
              </w:rPr>
            </w:pPr>
            <w:r>
              <w:rPr>
                <w:rFonts w:ascii="Times New Roman" w:hAnsi="Times New Roman"/>
                <w:w w:val="105"/>
                <w:sz w:val="17"/>
              </w:rPr>
              <w:t>•tl,382</w:t>
            </w:r>
          </w:p>
        </w:tc>
        <w:tc>
          <w:tcPr>
            <w:tcW w:w="1463" w:type="dxa"/>
            <w:tcBorders>
              <w:top w:val="nil"/>
              <w:bottom w:val="nil"/>
              <w:right w:val="nil"/>
            </w:tcBorders>
          </w:tcPr>
          <w:p>
            <w:pPr>
              <w:pStyle w:val="TableParagraph"/>
              <w:spacing w:line="198" w:lineRule="exact"/>
              <w:ind w:left="550" w:right="428"/>
              <w:jc w:val="center"/>
              <w:rPr>
                <w:sz w:val="18"/>
              </w:rPr>
            </w:pPr>
            <w:r>
              <w:rPr>
                <w:sz w:val="18"/>
              </w:rPr>
              <w:t>4.53</w:t>
            </w:r>
          </w:p>
        </w:tc>
      </w:tr>
      <w:tr>
        <w:trPr>
          <w:trHeight w:val="303" w:hRule="exact"/>
        </w:trPr>
        <w:tc>
          <w:tcPr>
            <w:tcW w:w="1168" w:type="dxa"/>
            <w:tcBorders>
              <w:top w:val="nil"/>
              <w:left w:val="nil"/>
              <w:bottom w:val="nil"/>
              <w:right w:val="single" w:sz="7" w:space="0" w:color="000000"/>
            </w:tcBorders>
          </w:tcPr>
          <w:p>
            <w:pPr>
              <w:pStyle w:val="TableParagraph"/>
              <w:spacing w:line="190" w:lineRule="exact"/>
              <w:ind w:left="392" w:right="391"/>
              <w:jc w:val="center"/>
              <w:rPr>
                <w:rFonts w:ascii="Times New Roman"/>
                <w:sz w:val="18"/>
              </w:rPr>
            </w:pPr>
            <w:r>
              <w:rPr>
                <w:rFonts w:ascii="Times New Roman"/>
                <w:sz w:val="18"/>
              </w:rPr>
              <w:t>44</w:t>
            </w:r>
          </w:p>
        </w:tc>
        <w:tc>
          <w:tcPr>
            <w:tcW w:w="1636" w:type="dxa"/>
            <w:tcBorders>
              <w:top w:val="nil"/>
              <w:left w:val="single" w:sz="7" w:space="0" w:color="000000"/>
              <w:bottom w:val="nil"/>
              <w:right w:val="single" w:sz="7" w:space="0" w:color="000000"/>
            </w:tcBorders>
          </w:tcPr>
          <w:p>
            <w:pPr>
              <w:pStyle w:val="TableParagraph"/>
              <w:spacing w:line="202" w:lineRule="exact"/>
              <w:ind w:left="489"/>
              <w:rPr>
                <w:sz w:val="18"/>
              </w:rPr>
            </w:pPr>
            <w:r>
              <w:rPr>
                <w:sz w:val="18"/>
              </w:rPr>
              <w:t>9,093,740</w:t>
            </w:r>
          </w:p>
        </w:tc>
        <w:tc>
          <w:tcPr>
            <w:tcW w:w="1467" w:type="dxa"/>
            <w:tcBorders>
              <w:top w:val="nil"/>
              <w:left w:val="single" w:sz="7" w:space="0" w:color="000000"/>
              <w:bottom w:val="nil"/>
            </w:tcBorders>
          </w:tcPr>
          <w:p>
            <w:pPr>
              <w:pStyle w:val="TableParagraph"/>
              <w:spacing w:line="198" w:lineRule="exact"/>
              <w:ind w:right="440"/>
              <w:jc w:val="right"/>
              <w:rPr>
                <w:b/>
                <w:sz w:val="18"/>
              </w:rPr>
            </w:pPr>
            <w:r>
              <w:rPr>
                <w:b/>
                <w:w w:val="75"/>
                <w:sz w:val="18"/>
              </w:rPr>
              <w:t>44,741</w:t>
            </w:r>
          </w:p>
        </w:tc>
        <w:tc>
          <w:tcPr>
            <w:tcW w:w="1463" w:type="dxa"/>
            <w:tcBorders>
              <w:top w:val="nil"/>
              <w:bottom w:val="nil"/>
              <w:right w:val="nil"/>
            </w:tcBorders>
          </w:tcPr>
          <w:p>
            <w:pPr>
              <w:pStyle w:val="TableParagraph"/>
              <w:spacing w:line="198" w:lineRule="exact"/>
              <w:ind w:left="550" w:right="423"/>
              <w:jc w:val="center"/>
              <w:rPr>
                <w:b/>
                <w:sz w:val="18"/>
              </w:rPr>
            </w:pPr>
            <w:r>
              <w:rPr>
                <w:b/>
                <w:w w:val="95"/>
                <w:sz w:val="18"/>
              </w:rPr>
              <w:t>4.92</w:t>
            </w:r>
          </w:p>
        </w:tc>
      </w:tr>
      <w:tr>
        <w:trPr>
          <w:trHeight w:val="300" w:hRule="exact"/>
        </w:trPr>
        <w:tc>
          <w:tcPr>
            <w:tcW w:w="1168" w:type="dxa"/>
            <w:tcBorders>
              <w:top w:val="nil"/>
              <w:left w:val="nil"/>
              <w:bottom w:val="nil"/>
              <w:right w:val="single" w:sz="7" w:space="0" w:color="000000"/>
            </w:tcBorders>
          </w:tcPr>
          <w:p>
            <w:pPr>
              <w:pStyle w:val="TableParagraph"/>
              <w:spacing w:before="94"/>
              <w:ind w:left="392" w:right="358"/>
              <w:jc w:val="center"/>
              <w:rPr>
                <w:sz w:val="18"/>
              </w:rPr>
            </w:pPr>
            <w:r>
              <w:rPr>
                <w:w w:val="110"/>
                <w:sz w:val="18"/>
              </w:rPr>
              <w:t>45</w:t>
            </w:r>
          </w:p>
        </w:tc>
        <w:tc>
          <w:tcPr>
            <w:tcW w:w="1636" w:type="dxa"/>
            <w:tcBorders>
              <w:top w:val="nil"/>
              <w:left w:val="single" w:sz="7" w:space="0" w:color="000000"/>
              <w:bottom w:val="nil"/>
              <w:right w:val="single" w:sz="7" w:space="0" w:color="000000"/>
            </w:tcBorders>
          </w:tcPr>
          <w:p>
            <w:pPr>
              <w:pStyle w:val="TableParagraph"/>
              <w:spacing w:before="94"/>
              <w:ind w:left="489"/>
              <w:rPr>
                <w:sz w:val="18"/>
              </w:rPr>
            </w:pPr>
            <w:r>
              <w:rPr>
                <w:w w:val="95"/>
                <w:sz w:val="18"/>
              </w:rPr>
              <w:t>9,048,999</w:t>
            </w:r>
          </w:p>
        </w:tc>
        <w:tc>
          <w:tcPr>
            <w:tcW w:w="1467" w:type="dxa"/>
            <w:tcBorders>
              <w:top w:val="nil"/>
              <w:left w:val="single" w:sz="7" w:space="0" w:color="000000"/>
              <w:bottom w:val="nil"/>
            </w:tcBorders>
          </w:tcPr>
          <w:p>
            <w:pPr>
              <w:pStyle w:val="TableParagraph"/>
              <w:spacing w:before="85"/>
              <w:ind w:right="439"/>
              <w:jc w:val="right"/>
              <w:rPr>
                <w:rFonts w:ascii="Times New Roman"/>
                <w:sz w:val="17"/>
              </w:rPr>
            </w:pPr>
            <w:r>
              <w:rPr>
                <w:rFonts w:ascii="Times New Roman"/>
                <w:sz w:val="17"/>
              </w:rPr>
              <w:t>48,412</w:t>
            </w:r>
          </w:p>
        </w:tc>
        <w:tc>
          <w:tcPr>
            <w:tcW w:w="1463" w:type="dxa"/>
            <w:tcBorders>
              <w:top w:val="nil"/>
              <w:bottom w:val="nil"/>
              <w:right w:val="nil"/>
            </w:tcBorders>
          </w:tcPr>
          <w:p>
            <w:pPr>
              <w:pStyle w:val="TableParagraph"/>
              <w:spacing w:before="94"/>
              <w:ind w:left="549" w:right="430"/>
              <w:jc w:val="center"/>
              <w:rPr>
                <w:sz w:val="18"/>
              </w:rPr>
            </w:pPr>
            <w:r>
              <w:rPr>
                <w:sz w:val="18"/>
              </w:rPr>
              <w:t>5.35</w:t>
            </w:r>
          </w:p>
        </w:tc>
      </w:tr>
      <w:tr>
        <w:trPr>
          <w:trHeight w:val="202" w:hRule="exact"/>
        </w:trPr>
        <w:tc>
          <w:tcPr>
            <w:tcW w:w="1168" w:type="dxa"/>
            <w:tcBorders>
              <w:top w:val="nil"/>
              <w:left w:val="nil"/>
              <w:bottom w:val="nil"/>
              <w:right w:val="single" w:sz="7" w:space="0" w:color="000000"/>
            </w:tcBorders>
          </w:tcPr>
          <w:p>
            <w:pPr/>
          </w:p>
        </w:tc>
        <w:tc>
          <w:tcPr>
            <w:tcW w:w="1636" w:type="dxa"/>
            <w:tcBorders>
              <w:top w:val="nil"/>
              <w:left w:val="single" w:sz="7" w:space="0" w:color="000000"/>
              <w:bottom w:val="nil"/>
              <w:right w:val="single" w:sz="7" w:space="0" w:color="000000"/>
            </w:tcBorders>
          </w:tcPr>
          <w:p>
            <w:pPr>
              <w:pStyle w:val="TableParagraph"/>
              <w:spacing w:line="182" w:lineRule="exact"/>
              <w:ind w:left="485"/>
              <w:rPr>
                <w:rFonts w:ascii="Arial"/>
                <w:b/>
                <w:sz w:val="17"/>
              </w:rPr>
            </w:pPr>
            <w:r>
              <w:rPr>
                <w:rFonts w:ascii="Arial"/>
                <w:b/>
                <w:sz w:val="17"/>
              </w:rPr>
              <w:t>9,000,Mrl</w:t>
            </w:r>
          </w:p>
        </w:tc>
        <w:tc>
          <w:tcPr>
            <w:tcW w:w="1467" w:type="dxa"/>
            <w:tcBorders>
              <w:top w:val="nil"/>
              <w:left w:val="single" w:sz="7" w:space="0" w:color="000000"/>
              <w:bottom w:val="nil"/>
            </w:tcBorders>
          </w:tcPr>
          <w:p>
            <w:pPr>
              <w:pStyle w:val="TableParagraph"/>
              <w:spacing w:line="196" w:lineRule="exact"/>
              <w:ind w:right="409"/>
              <w:jc w:val="right"/>
              <w:rPr>
                <w:sz w:val="18"/>
              </w:rPr>
            </w:pPr>
            <w:r>
              <w:rPr>
                <w:w w:val="105"/>
                <w:sz w:val="18"/>
              </w:rPr>
              <w:t>52,473</w:t>
            </w:r>
          </w:p>
        </w:tc>
        <w:tc>
          <w:tcPr>
            <w:tcW w:w="1463" w:type="dxa"/>
            <w:tcBorders>
              <w:top w:val="nil"/>
              <w:bottom w:val="nil"/>
              <w:right w:val="nil"/>
            </w:tcBorders>
          </w:tcPr>
          <w:p>
            <w:pPr>
              <w:pStyle w:val="TableParagraph"/>
              <w:spacing w:line="200" w:lineRule="exact"/>
              <w:ind w:left="547" w:right="430"/>
              <w:jc w:val="center"/>
              <w:rPr>
                <w:sz w:val="18"/>
              </w:rPr>
            </w:pPr>
            <w:r>
              <w:rPr>
                <w:sz w:val="18"/>
              </w:rPr>
              <w:t>5.83</w:t>
            </w:r>
          </w:p>
        </w:tc>
      </w:tr>
      <w:tr>
        <w:trPr>
          <w:trHeight w:val="199" w:hRule="exact"/>
        </w:trPr>
        <w:tc>
          <w:tcPr>
            <w:tcW w:w="1168" w:type="dxa"/>
            <w:tcBorders>
              <w:top w:val="nil"/>
              <w:left w:val="nil"/>
              <w:bottom w:val="nil"/>
              <w:right w:val="single" w:sz="7" w:space="0" w:color="000000"/>
            </w:tcBorders>
          </w:tcPr>
          <w:p>
            <w:pPr>
              <w:pStyle w:val="TableParagraph"/>
              <w:spacing w:line="199" w:lineRule="exact"/>
              <w:ind w:left="392" w:right="356"/>
              <w:jc w:val="center"/>
              <w:rPr>
                <w:sz w:val="18"/>
              </w:rPr>
            </w:pPr>
            <w:r>
              <w:rPr>
                <w:w w:val="110"/>
                <w:sz w:val="18"/>
              </w:rPr>
              <w:t>47</w:t>
            </w:r>
          </w:p>
        </w:tc>
        <w:tc>
          <w:tcPr>
            <w:tcW w:w="1636" w:type="dxa"/>
            <w:tcBorders>
              <w:top w:val="nil"/>
              <w:left w:val="single" w:sz="7" w:space="0" w:color="000000"/>
              <w:bottom w:val="nil"/>
              <w:right w:val="single" w:sz="7" w:space="0" w:color="000000"/>
            </w:tcBorders>
          </w:tcPr>
          <w:p>
            <w:pPr>
              <w:pStyle w:val="TableParagraph"/>
              <w:spacing w:line="196" w:lineRule="exact"/>
              <w:ind w:left="489"/>
              <w:rPr>
                <w:sz w:val="18"/>
              </w:rPr>
            </w:pPr>
            <w:r>
              <w:rPr>
                <w:sz w:val="18"/>
              </w:rPr>
              <w:t>8,948,114</w:t>
            </w:r>
          </w:p>
        </w:tc>
        <w:tc>
          <w:tcPr>
            <w:tcW w:w="1467" w:type="dxa"/>
            <w:tcBorders>
              <w:top w:val="nil"/>
              <w:left w:val="single" w:sz="7" w:space="0" w:color="000000"/>
              <w:bottom w:val="nil"/>
            </w:tcBorders>
          </w:tcPr>
          <w:p>
            <w:pPr>
              <w:pStyle w:val="TableParagraph"/>
              <w:spacing w:line="199" w:lineRule="exact"/>
              <w:ind w:right="392"/>
              <w:jc w:val="right"/>
              <w:rPr>
                <w:sz w:val="18"/>
              </w:rPr>
            </w:pPr>
            <w:r>
              <w:rPr>
                <w:w w:val="95"/>
                <w:sz w:val="18"/>
              </w:rPr>
              <w:t>56,910</w:t>
            </w:r>
          </w:p>
        </w:tc>
        <w:tc>
          <w:tcPr>
            <w:tcW w:w="1463" w:type="dxa"/>
            <w:tcBorders>
              <w:top w:val="nil"/>
              <w:bottom w:val="nil"/>
              <w:right w:val="nil"/>
            </w:tcBorders>
          </w:tcPr>
          <w:p>
            <w:pPr>
              <w:pStyle w:val="TableParagraph"/>
              <w:spacing w:line="182" w:lineRule="exact"/>
              <w:ind w:left="522" w:right="430"/>
              <w:jc w:val="center"/>
              <w:rPr>
                <w:rFonts w:ascii="Times New Roman"/>
                <w:sz w:val="17"/>
              </w:rPr>
            </w:pPr>
            <w:r>
              <w:rPr>
                <w:rFonts w:ascii="Times New Roman"/>
                <w:w w:val="110"/>
                <w:sz w:val="17"/>
              </w:rPr>
              <w:t>6.36</w:t>
            </w:r>
          </w:p>
        </w:tc>
      </w:tr>
      <w:tr>
        <w:trPr>
          <w:trHeight w:val="204" w:hRule="exact"/>
        </w:trPr>
        <w:tc>
          <w:tcPr>
            <w:tcW w:w="1168" w:type="dxa"/>
            <w:tcBorders>
              <w:top w:val="nil"/>
              <w:left w:val="nil"/>
              <w:bottom w:val="nil"/>
              <w:right w:val="single" w:sz="7" w:space="0" w:color="000000"/>
            </w:tcBorders>
          </w:tcPr>
          <w:p>
            <w:pPr>
              <w:pStyle w:val="TableParagraph"/>
              <w:spacing w:line="190" w:lineRule="exact"/>
              <w:ind w:left="392" w:right="387"/>
              <w:jc w:val="center"/>
              <w:rPr>
                <w:rFonts w:ascii="Times New Roman"/>
                <w:sz w:val="18"/>
              </w:rPr>
            </w:pPr>
            <w:r>
              <w:rPr>
                <w:rFonts w:ascii="Times New Roman"/>
                <w:sz w:val="18"/>
              </w:rPr>
              <w:t>48</w:t>
            </w:r>
          </w:p>
        </w:tc>
        <w:tc>
          <w:tcPr>
            <w:tcW w:w="1636" w:type="dxa"/>
            <w:tcBorders>
              <w:top w:val="nil"/>
              <w:left w:val="single" w:sz="7" w:space="0" w:color="000000"/>
              <w:bottom w:val="nil"/>
              <w:right w:val="single" w:sz="7" w:space="0" w:color="000000"/>
            </w:tcBorders>
          </w:tcPr>
          <w:p>
            <w:pPr>
              <w:pStyle w:val="TableParagraph"/>
              <w:spacing w:line="202" w:lineRule="exact"/>
              <w:ind w:left="489"/>
              <w:rPr>
                <w:sz w:val="18"/>
              </w:rPr>
            </w:pPr>
            <w:r>
              <w:rPr>
                <w:w w:val="120"/>
                <w:sz w:val="18"/>
              </w:rPr>
              <w:t>8,891,</w:t>
            </w:r>
          </w:p>
        </w:tc>
        <w:tc>
          <w:tcPr>
            <w:tcW w:w="1467" w:type="dxa"/>
            <w:tcBorders>
              <w:top w:val="nil"/>
              <w:left w:val="single" w:sz="7" w:space="0" w:color="000000"/>
              <w:bottom w:val="nil"/>
            </w:tcBorders>
          </w:tcPr>
          <w:p>
            <w:pPr>
              <w:pStyle w:val="TableParagraph"/>
              <w:spacing w:line="198" w:lineRule="exact"/>
              <w:ind w:right="408"/>
              <w:jc w:val="right"/>
              <w:rPr>
                <w:sz w:val="18"/>
              </w:rPr>
            </w:pPr>
            <w:r>
              <w:rPr>
                <w:w w:val="95"/>
                <w:sz w:val="18"/>
              </w:rPr>
              <w:t>61,794</w:t>
            </w:r>
          </w:p>
        </w:tc>
        <w:tc>
          <w:tcPr>
            <w:tcW w:w="1463" w:type="dxa"/>
            <w:tcBorders>
              <w:top w:val="nil"/>
              <w:bottom w:val="nil"/>
              <w:right w:val="nil"/>
            </w:tcBorders>
          </w:tcPr>
          <w:p>
            <w:pPr>
              <w:pStyle w:val="TableParagraph"/>
              <w:spacing w:line="202" w:lineRule="exact"/>
              <w:ind w:left="550" w:right="428"/>
              <w:jc w:val="center"/>
              <w:rPr>
                <w:sz w:val="18"/>
              </w:rPr>
            </w:pPr>
            <w:r>
              <w:rPr>
                <w:sz w:val="18"/>
              </w:rPr>
              <w:t>6.95</w:t>
            </w:r>
          </w:p>
        </w:tc>
      </w:tr>
      <w:tr>
        <w:trPr>
          <w:trHeight w:val="298" w:hRule="exact"/>
        </w:trPr>
        <w:tc>
          <w:tcPr>
            <w:tcW w:w="1168" w:type="dxa"/>
            <w:tcBorders>
              <w:top w:val="nil"/>
              <w:left w:val="nil"/>
              <w:bottom w:val="nil"/>
              <w:right w:val="single" w:sz="7" w:space="0" w:color="000000"/>
            </w:tcBorders>
          </w:tcPr>
          <w:p>
            <w:pPr>
              <w:pStyle w:val="TableParagraph"/>
              <w:spacing w:line="195" w:lineRule="exact"/>
              <w:ind w:left="392" w:right="355"/>
              <w:jc w:val="center"/>
              <w:rPr>
                <w:sz w:val="18"/>
              </w:rPr>
            </w:pPr>
            <w:r>
              <w:rPr>
                <w:w w:val="115"/>
                <w:sz w:val="18"/>
              </w:rPr>
              <w:t>49</w:t>
            </w:r>
          </w:p>
        </w:tc>
        <w:tc>
          <w:tcPr>
            <w:tcW w:w="1636" w:type="dxa"/>
            <w:tcBorders>
              <w:top w:val="nil"/>
              <w:left w:val="single" w:sz="7" w:space="0" w:color="000000"/>
              <w:bottom w:val="nil"/>
              <w:right w:val="single" w:sz="7" w:space="0" w:color="000000"/>
            </w:tcBorders>
          </w:tcPr>
          <w:p>
            <w:pPr>
              <w:pStyle w:val="TableParagraph"/>
              <w:spacing w:line="195" w:lineRule="exact"/>
              <w:ind w:left="489"/>
              <w:rPr>
                <w:sz w:val="18"/>
              </w:rPr>
            </w:pPr>
            <w:r>
              <w:rPr>
                <w:sz w:val="18"/>
              </w:rPr>
              <w:t>8,829,410</w:t>
            </w:r>
          </w:p>
        </w:tc>
        <w:tc>
          <w:tcPr>
            <w:tcW w:w="1467" w:type="dxa"/>
            <w:tcBorders>
              <w:top w:val="nil"/>
              <w:left w:val="single" w:sz="7" w:space="0" w:color="000000"/>
              <w:bottom w:val="nil"/>
            </w:tcBorders>
          </w:tcPr>
          <w:p>
            <w:pPr>
              <w:pStyle w:val="TableParagraph"/>
              <w:spacing w:line="195" w:lineRule="exact"/>
              <w:ind w:right="422"/>
              <w:jc w:val="right"/>
              <w:rPr>
                <w:sz w:val="18"/>
              </w:rPr>
            </w:pPr>
            <w:r>
              <w:rPr>
                <w:w w:val="80"/>
                <w:sz w:val="18"/>
              </w:rPr>
              <w:t>67,104</w:t>
            </w:r>
          </w:p>
        </w:tc>
        <w:tc>
          <w:tcPr>
            <w:tcW w:w="1463" w:type="dxa"/>
            <w:tcBorders>
              <w:top w:val="nil"/>
              <w:bottom w:val="nil"/>
              <w:right w:val="nil"/>
            </w:tcBorders>
          </w:tcPr>
          <w:p>
            <w:pPr>
              <w:pStyle w:val="TableParagraph"/>
              <w:spacing w:line="199" w:lineRule="exact"/>
              <w:ind w:left="617"/>
              <w:rPr>
                <w:sz w:val="18"/>
              </w:rPr>
            </w:pPr>
            <w:r>
              <w:rPr>
                <w:sz w:val="18"/>
              </w:rPr>
              <w:t>7.60</w:t>
            </w:r>
          </w:p>
        </w:tc>
      </w:tr>
      <w:tr>
        <w:trPr>
          <w:trHeight w:val="303" w:hRule="exact"/>
        </w:trPr>
        <w:tc>
          <w:tcPr>
            <w:tcW w:w="1168" w:type="dxa"/>
            <w:tcBorders>
              <w:top w:val="nil"/>
              <w:left w:val="nil"/>
              <w:bottom w:val="nil"/>
              <w:right w:val="single" w:sz="7" w:space="0" w:color="000000"/>
            </w:tcBorders>
          </w:tcPr>
          <w:p>
            <w:pPr>
              <w:pStyle w:val="TableParagraph"/>
              <w:spacing w:before="82"/>
              <w:ind w:left="392" w:right="392"/>
              <w:jc w:val="center"/>
              <w:rPr>
                <w:rFonts w:ascii="Times New Roman"/>
                <w:i/>
                <w:sz w:val="18"/>
              </w:rPr>
            </w:pPr>
            <w:r>
              <w:rPr>
                <w:rFonts w:ascii="Times New Roman"/>
                <w:i/>
                <w:sz w:val="18"/>
              </w:rPr>
              <w:t>50</w:t>
            </w:r>
          </w:p>
        </w:tc>
        <w:tc>
          <w:tcPr>
            <w:tcW w:w="1636" w:type="dxa"/>
            <w:tcBorders>
              <w:top w:val="nil"/>
              <w:left w:val="single" w:sz="7" w:space="0" w:color="000000"/>
              <w:bottom w:val="nil"/>
              <w:right w:val="single" w:sz="7" w:space="0" w:color="000000"/>
            </w:tcBorders>
          </w:tcPr>
          <w:p>
            <w:pPr>
              <w:pStyle w:val="TableParagraph"/>
              <w:spacing w:before="93"/>
              <w:ind w:left="489"/>
              <w:rPr>
                <w:sz w:val="18"/>
              </w:rPr>
            </w:pPr>
            <w:r>
              <w:rPr>
                <w:sz w:val="18"/>
              </w:rPr>
              <w:t>8,762,306</w:t>
            </w:r>
          </w:p>
        </w:tc>
        <w:tc>
          <w:tcPr>
            <w:tcW w:w="1467" w:type="dxa"/>
            <w:tcBorders>
              <w:top w:val="nil"/>
              <w:left w:val="single" w:sz="7" w:space="0" w:color="000000"/>
              <w:bottom w:val="nil"/>
            </w:tcBorders>
          </w:tcPr>
          <w:p>
            <w:pPr>
              <w:pStyle w:val="TableParagraph"/>
              <w:spacing w:before="93"/>
              <w:ind w:right="405"/>
              <w:jc w:val="right"/>
              <w:rPr>
                <w:sz w:val="18"/>
              </w:rPr>
            </w:pPr>
            <w:r>
              <w:rPr>
                <w:w w:val="95"/>
                <w:sz w:val="18"/>
              </w:rPr>
              <w:t>72,902</w:t>
            </w:r>
          </w:p>
        </w:tc>
        <w:tc>
          <w:tcPr>
            <w:tcW w:w="1463" w:type="dxa"/>
            <w:tcBorders>
              <w:top w:val="nil"/>
              <w:bottom w:val="nil"/>
              <w:right w:val="nil"/>
            </w:tcBorders>
          </w:tcPr>
          <w:p>
            <w:pPr>
              <w:pStyle w:val="TableParagraph"/>
              <w:spacing w:before="96"/>
              <w:ind w:left="550" w:right="426"/>
              <w:jc w:val="center"/>
              <w:rPr>
                <w:sz w:val="18"/>
              </w:rPr>
            </w:pPr>
            <w:r>
              <w:rPr>
                <w:sz w:val="18"/>
              </w:rPr>
              <w:t>8.32</w:t>
            </w:r>
          </w:p>
        </w:tc>
      </w:tr>
      <w:tr>
        <w:trPr>
          <w:trHeight w:val="198" w:hRule="exact"/>
        </w:trPr>
        <w:tc>
          <w:tcPr>
            <w:tcW w:w="1168" w:type="dxa"/>
            <w:tcBorders>
              <w:top w:val="nil"/>
              <w:left w:val="nil"/>
              <w:bottom w:val="nil"/>
              <w:right w:val="single" w:sz="7" w:space="0" w:color="000000"/>
            </w:tcBorders>
          </w:tcPr>
          <w:p>
            <w:pPr>
              <w:pStyle w:val="TableParagraph"/>
              <w:spacing w:line="195" w:lineRule="exact"/>
              <w:ind w:left="392" w:right="380"/>
              <w:jc w:val="center"/>
              <w:rPr>
                <w:sz w:val="18"/>
              </w:rPr>
            </w:pPr>
            <w:r>
              <w:rPr>
                <w:sz w:val="18"/>
              </w:rPr>
              <w:t>51</w:t>
            </w:r>
          </w:p>
        </w:tc>
        <w:tc>
          <w:tcPr>
            <w:tcW w:w="1636" w:type="dxa"/>
            <w:tcBorders>
              <w:top w:val="nil"/>
              <w:left w:val="single" w:sz="7" w:space="0" w:color="000000"/>
              <w:bottom w:val="nil"/>
              <w:right w:val="single" w:sz="7" w:space="0" w:color="000000"/>
            </w:tcBorders>
          </w:tcPr>
          <w:p>
            <w:pPr>
              <w:pStyle w:val="TableParagraph"/>
              <w:spacing w:line="195" w:lineRule="exact"/>
              <w:ind w:left="489"/>
              <w:rPr>
                <w:sz w:val="18"/>
              </w:rPr>
            </w:pPr>
            <w:r>
              <w:rPr>
                <w:w w:val="95"/>
                <w:sz w:val="18"/>
              </w:rPr>
              <w:t>8,689,404</w:t>
            </w:r>
          </w:p>
        </w:tc>
        <w:tc>
          <w:tcPr>
            <w:tcW w:w="1467" w:type="dxa"/>
            <w:tcBorders>
              <w:top w:val="nil"/>
              <w:left w:val="single" w:sz="7" w:space="0" w:color="000000"/>
              <w:bottom w:val="nil"/>
            </w:tcBorders>
          </w:tcPr>
          <w:p>
            <w:pPr>
              <w:pStyle w:val="TableParagraph"/>
              <w:spacing w:line="195" w:lineRule="exact"/>
              <w:ind w:right="397"/>
              <w:jc w:val="right"/>
              <w:rPr>
                <w:sz w:val="18"/>
              </w:rPr>
            </w:pPr>
            <w:r>
              <w:rPr>
                <w:w w:val="85"/>
                <w:sz w:val="18"/>
              </w:rPr>
              <w:t>79,160</w:t>
            </w:r>
          </w:p>
        </w:tc>
        <w:tc>
          <w:tcPr>
            <w:tcW w:w="1463" w:type="dxa"/>
            <w:tcBorders>
              <w:top w:val="nil"/>
              <w:bottom w:val="nil"/>
              <w:right w:val="nil"/>
            </w:tcBorders>
          </w:tcPr>
          <w:p>
            <w:pPr>
              <w:pStyle w:val="TableParagraph"/>
              <w:spacing w:line="195" w:lineRule="exact"/>
              <w:ind w:left="542" w:right="430"/>
              <w:jc w:val="center"/>
              <w:rPr>
                <w:sz w:val="18"/>
              </w:rPr>
            </w:pPr>
            <w:r>
              <w:rPr>
                <w:w w:val="90"/>
                <w:sz w:val="18"/>
              </w:rPr>
              <w:t>9.11</w:t>
            </w:r>
          </w:p>
        </w:tc>
      </w:tr>
      <w:tr>
        <w:trPr>
          <w:trHeight w:val="200" w:hRule="exact"/>
        </w:trPr>
        <w:tc>
          <w:tcPr>
            <w:tcW w:w="1168" w:type="dxa"/>
            <w:tcBorders>
              <w:top w:val="nil"/>
              <w:left w:val="nil"/>
              <w:bottom w:val="nil"/>
              <w:right w:val="single" w:sz="7" w:space="0" w:color="000000"/>
            </w:tcBorders>
          </w:tcPr>
          <w:p>
            <w:pPr>
              <w:pStyle w:val="TableParagraph"/>
              <w:spacing w:line="199" w:lineRule="exact"/>
              <w:ind w:left="392" w:right="358"/>
              <w:jc w:val="center"/>
              <w:rPr>
                <w:sz w:val="18"/>
              </w:rPr>
            </w:pPr>
            <w:r>
              <w:rPr>
                <w:w w:val="110"/>
                <w:sz w:val="18"/>
              </w:rPr>
              <w:t>52</w:t>
            </w:r>
          </w:p>
        </w:tc>
        <w:tc>
          <w:tcPr>
            <w:tcW w:w="1636" w:type="dxa"/>
            <w:tcBorders>
              <w:top w:val="nil"/>
              <w:left w:val="single" w:sz="7" w:space="0" w:color="000000"/>
              <w:bottom w:val="nil"/>
              <w:right w:val="single" w:sz="7" w:space="0" w:color="000000"/>
            </w:tcBorders>
          </w:tcPr>
          <w:p>
            <w:pPr>
              <w:pStyle w:val="TableParagraph"/>
              <w:spacing w:line="199" w:lineRule="exact"/>
              <w:ind w:left="489"/>
              <w:rPr>
                <w:sz w:val="18"/>
              </w:rPr>
            </w:pPr>
            <w:r>
              <w:rPr>
                <w:w w:val="95"/>
                <w:sz w:val="18"/>
              </w:rPr>
              <w:t>8,610,244</w:t>
            </w:r>
          </w:p>
        </w:tc>
        <w:tc>
          <w:tcPr>
            <w:tcW w:w="1467" w:type="dxa"/>
            <w:tcBorders>
              <w:top w:val="nil"/>
              <w:left w:val="single" w:sz="7" w:space="0" w:color="000000"/>
              <w:bottom w:val="nil"/>
            </w:tcBorders>
          </w:tcPr>
          <w:p>
            <w:pPr>
              <w:pStyle w:val="TableParagraph"/>
              <w:spacing w:line="199" w:lineRule="exact"/>
              <w:ind w:right="413"/>
              <w:jc w:val="right"/>
              <w:rPr>
                <w:sz w:val="18"/>
              </w:rPr>
            </w:pPr>
            <w:r>
              <w:rPr>
                <w:w w:val="80"/>
                <w:sz w:val="18"/>
              </w:rPr>
              <w:t>85,758</w:t>
            </w:r>
          </w:p>
        </w:tc>
        <w:tc>
          <w:tcPr>
            <w:tcW w:w="1463" w:type="dxa"/>
            <w:tcBorders>
              <w:top w:val="nil"/>
              <w:bottom w:val="nil"/>
              <w:right w:val="nil"/>
            </w:tcBorders>
          </w:tcPr>
          <w:p>
            <w:pPr>
              <w:pStyle w:val="TableParagraph"/>
              <w:spacing w:line="182" w:lineRule="exact"/>
              <w:ind w:left="522" w:right="430"/>
              <w:jc w:val="center"/>
              <w:rPr>
                <w:rFonts w:ascii="Times New Roman"/>
                <w:sz w:val="17"/>
              </w:rPr>
            </w:pPr>
            <w:r>
              <w:rPr>
                <w:rFonts w:ascii="Times New Roman"/>
                <w:w w:val="110"/>
                <w:sz w:val="17"/>
              </w:rPr>
              <w:t>9.96</w:t>
            </w:r>
          </w:p>
        </w:tc>
      </w:tr>
      <w:tr>
        <w:trPr>
          <w:trHeight w:val="203" w:hRule="exact"/>
        </w:trPr>
        <w:tc>
          <w:tcPr>
            <w:tcW w:w="1168" w:type="dxa"/>
            <w:tcBorders>
              <w:top w:val="nil"/>
              <w:left w:val="nil"/>
              <w:bottom w:val="nil"/>
              <w:right w:val="single" w:sz="7" w:space="0" w:color="000000"/>
            </w:tcBorders>
          </w:tcPr>
          <w:p>
            <w:pPr>
              <w:pStyle w:val="TableParagraph"/>
              <w:spacing w:before="1"/>
              <w:ind w:left="392" w:right="369"/>
              <w:jc w:val="center"/>
              <w:rPr>
                <w:sz w:val="18"/>
              </w:rPr>
            </w:pPr>
            <w:r>
              <w:rPr>
                <w:w w:val="95"/>
                <w:sz w:val="18"/>
              </w:rPr>
              <w:t>53</w:t>
            </w:r>
          </w:p>
        </w:tc>
        <w:tc>
          <w:tcPr>
            <w:tcW w:w="1636" w:type="dxa"/>
            <w:tcBorders>
              <w:top w:val="nil"/>
              <w:left w:val="single" w:sz="7" w:space="0" w:color="000000"/>
              <w:bottom w:val="nil"/>
              <w:right w:val="single" w:sz="7" w:space="0" w:color="000000"/>
            </w:tcBorders>
          </w:tcPr>
          <w:p>
            <w:pPr>
              <w:pStyle w:val="TableParagraph"/>
              <w:spacing w:line="201" w:lineRule="exact"/>
              <w:ind w:left="489"/>
              <w:rPr>
                <w:sz w:val="18"/>
              </w:rPr>
            </w:pPr>
            <w:r>
              <w:rPr>
                <w:w w:val="95"/>
                <w:sz w:val="18"/>
              </w:rPr>
              <w:t>8,524,486</w:t>
            </w:r>
          </w:p>
        </w:tc>
        <w:tc>
          <w:tcPr>
            <w:tcW w:w="1467" w:type="dxa"/>
            <w:tcBorders>
              <w:top w:val="nil"/>
              <w:left w:val="single" w:sz="7" w:space="0" w:color="000000"/>
              <w:bottom w:val="nil"/>
            </w:tcBorders>
          </w:tcPr>
          <w:p>
            <w:pPr>
              <w:pStyle w:val="TableParagraph"/>
              <w:spacing w:line="198" w:lineRule="exact"/>
              <w:ind w:right="402"/>
              <w:jc w:val="right"/>
              <w:rPr>
                <w:sz w:val="18"/>
              </w:rPr>
            </w:pPr>
            <w:r>
              <w:rPr>
                <w:w w:val="95"/>
                <w:sz w:val="18"/>
              </w:rPr>
              <w:t>92,832</w:t>
            </w:r>
          </w:p>
        </w:tc>
        <w:tc>
          <w:tcPr>
            <w:tcW w:w="1463" w:type="dxa"/>
            <w:tcBorders>
              <w:top w:val="nil"/>
              <w:bottom w:val="nil"/>
              <w:right w:val="nil"/>
            </w:tcBorders>
          </w:tcPr>
          <w:p>
            <w:pPr>
              <w:pStyle w:val="TableParagraph"/>
              <w:spacing w:line="180" w:lineRule="exact"/>
              <w:ind w:left="548"/>
              <w:rPr>
                <w:rFonts w:ascii="Times New Roman"/>
                <w:sz w:val="17"/>
              </w:rPr>
            </w:pPr>
            <w:r>
              <w:rPr>
                <w:rFonts w:ascii="Times New Roman"/>
                <w:w w:val="105"/>
                <w:sz w:val="17"/>
              </w:rPr>
              <w:t>10.89</w:t>
            </w:r>
          </w:p>
        </w:tc>
      </w:tr>
      <w:tr>
        <w:trPr>
          <w:trHeight w:val="299" w:hRule="exact"/>
        </w:trPr>
        <w:tc>
          <w:tcPr>
            <w:tcW w:w="1168" w:type="dxa"/>
            <w:tcBorders>
              <w:top w:val="nil"/>
              <w:left w:val="nil"/>
              <w:bottom w:val="nil"/>
              <w:right w:val="single" w:sz="7" w:space="0" w:color="000000"/>
            </w:tcBorders>
          </w:tcPr>
          <w:p>
            <w:pPr>
              <w:pStyle w:val="TableParagraph"/>
              <w:spacing w:line="182" w:lineRule="exact"/>
              <w:ind w:left="392" w:right="392"/>
              <w:jc w:val="center"/>
              <w:rPr>
                <w:rFonts w:ascii="Times New Roman"/>
                <w:sz w:val="17"/>
              </w:rPr>
            </w:pPr>
            <w:r>
              <w:rPr>
                <w:rFonts w:ascii="Times New Roman"/>
                <w:sz w:val="17"/>
              </w:rPr>
              <w:t>54</w:t>
            </w:r>
          </w:p>
        </w:tc>
        <w:tc>
          <w:tcPr>
            <w:tcW w:w="1636" w:type="dxa"/>
            <w:tcBorders>
              <w:top w:val="nil"/>
              <w:left w:val="single" w:sz="7" w:space="0" w:color="000000"/>
              <w:bottom w:val="nil"/>
              <w:right w:val="single" w:sz="7" w:space="0" w:color="000000"/>
            </w:tcBorders>
          </w:tcPr>
          <w:p>
            <w:pPr>
              <w:pStyle w:val="TableParagraph"/>
              <w:spacing w:line="196" w:lineRule="exact"/>
              <w:ind w:left="485"/>
              <w:rPr>
                <w:sz w:val="18"/>
              </w:rPr>
            </w:pPr>
            <w:r>
              <w:rPr>
                <w:w w:val="95"/>
                <w:sz w:val="18"/>
              </w:rPr>
              <w:t>8,431,654</w:t>
            </w:r>
          </w:p>
        </w:tc>
        <w:tc>
          <w:tcPr>
            <w:tcW w:w="1467" w:type="dxa"/>
            <w:tcBorders>
              <w:top w:val="nil"/>
              <w:left w:val="single" w:sz="7" w:space="0" w:color="000000"/>
              <w:bottom w:val="nil"/>
            </w:tcBorders>
          </w:tcPr>
          <w:p>
            <w:pPr>
              <w:pStyle w:val="TableParagraph"/>
              <w:spacing w:line="196" w:lineRule="exact"/>
              <w:ind w:right="409"/>
              <w:jc w:val="right"/>
              <w:rPr>
                <w:sz w:val="18"/>
              </w:rPr>
            </w:pPr>
            <w:r>
              <w:rPr>
                <w:w w:val="80"/>
                <w:sz w:val="18"/>
              </w:rPr>
              <w:t>100,337</w:t>
            </w:r>
          </w:p>
        </w:tc>
        <w:tc>
          <w:tcPr>
            <w:tcW w:w="1463" w:type="dxa"/>
            <w:tcBorders>
              <w:top w:val="nil"/>
              <w:bottom w:val="nil"/>
              <w:right w:val="nil"/>
            </w:tcBorders>
          </w:tcPr>
          <w:p>
            <w:pPr>
              <w:pStyle w:val="TableParagraph"/>
              <w:spacing w:line="179" w:lineRule="exact"/>
              <w:ind w:left="548"/>
              <w:rPr>
                <w:rFonts w:ascii="Times New Roman"/>
                <w:sz w:val="17"/>
              </w:rPr>
            </w:pPr>
            <w:r>
              <w:rPr>
                <w:rFonts w:ascii="Times New Roman"/>
                <w:w w:val="105"/>
                <w:sz w:val="17"/>
              </w:rPr>
              <w:t>11.90</w:t>
            </w:r>
          </w:p>
        </w:tc>
      </w:tr>
      <w:tr>
        <w:trPr>
          <w:trHeight w:val="299" w:hRule="exact"/>
        </w:trPr>
        <w:tc>
          <w:tcPr>
            <w:tcW w:w="1168" w:type="dxa"/>
            <w:tcBorders>
              <w:top w:val="nil"/>
              <w:left w:val="nil"/>
              <w:bottom w:val="nil"/>
              <w:right w:val="single" w:sz="7" w:space="0" w:color="000000"/>
            </w:tcBorders>
          </w:tcPr>
          <w:p>
            <w:pPr/>
          </w:p>
        </w:tc>
        <w:tc>
          <w:tcPr>
            <w:tcW w:w="1636" w:type="dxa"/>
            <w:tcBorders>
              <w:top w:val="nil"/>
              <w:left w:val="single" w:sz="7" w:space="0" w:color="000000"/>
              <w:bottom w:val="nil"/>
              <w:right w:val="single" w:sz="7" w:space="0" w:color="000000"/>
            </w:tcBorders>
          </w:tcPr>
          <w:p>
            <w:pPr>
              <w:pStyle w:val="TableParagraph"/>
              <w:spacing w:before="92"/>
              <w:ind w:left="489"/>
              <w:rPr>
                <w:sz w:val="18"/>
              </w:rPr>
            </w:pPr>
            <w:r>
              <w:rPr>
                <w:w w:val="90"/>
                <w:sz w:val="18"/>
              </w:rPr>
              <w:t>8,331,317</w:t>
            </w:r>
          </w:p>
        </w:tc>
        <w:tc>
          <w:tcPr>
            <w:tcW w:w="1467" w:type="dxa"/>
            <w:tcBorders>
              <w:top w:val="nil"/>
              <w:left w:val="single" w:sz="7" w:space="0" w:color="000000"/>
              <w:bottom w:val="nil"/>
            </w:tcBorders>
          </w:tcPr>
          <w:p>
            <w:pPr>
              <w:pStyle w:val="TableParagraph"/>
              <w:spacing w:before="92"/>
              <w:ind w:right="409"/>
              <w:jc w:val="right"/>
              <w:rPr>
                <w:sz w:val="18"/>
              </w:rPr>
            </w:pPr>
            <w:r>
              <w:rPr>
                <w:w w:val="80"/>
                <w:sz w:val="18"/>
              </w:rPr>
              <w:t>108,307</w:t>
            </w:r>
          </w:p>
        </w:tc>
        <w:tc>
          <w:tcPr>
            <w:tcW w:w="1463" w:type="dxa"/>
            <w:tcBorders>
              <w:top w:val="nil"/>
              <w:bottom w:val="nil"/>
              <w:right w:val="nil"/>
            </w:tcBorders>
          </w:tcPr>
          <w:p>
            <w:pPr>
              <w:pStyle w:val="TableParagraph"/>
              <w:spacing w:before="92"/>
              <w:ind w:left="548"/>
              <w:rPr>
                <w:sz w:val="18"/>
              </w:rPr>
            </w:pPr>
            <w:r>
              <w:rPr>
                <w:w w:val="85"/>
                <w:sz w:val="18"/>
              </w:rPr>
              <w:t>13.00</w:t>
            </w:r>
          </w:p>
        </w:tc>
      </w:tr>
      <w:tr>
        <w:trPr>
          <w:trHeight w:val="203" w:hRule="exact"/>
        </w:trPr>
        <w:tc>
          <w:tcPr>
            <w:tcW w:w="1168" w:type="dxa"/>
            <w:tcBorders>
              <w:top w:val="nil"/>
              <w:left w:val="nil"/>
              <w:bottom w:val="nil"/>
              <w:right w:val="single" w:sz="7" w:space="0" w:color="000000"/>
            </w:tcBorders>
          </w:tcPr>
          <w:p>
            <w:pPr>
              <w:pStyle w:val="TableParagraph"/>
              <w:spacing w:line="203" w:lineRule="exact"/>
              <w:ind w:left="392" w:right="374"/>
              <w:jc w:val="center"/>
              <w:rPr>
                <w:sz w:val="18"/>
              </w:rPr>
            </w:pPr>
            <w:r>
              <w:rPr>
                <w:w w:val="90"/>
                <w:sz w:val="18"/>
              </w:rPr>
              <w:t>56</w:t>
            </w:r>
          </w:p>
        </w:tc>
        <w:tc>
          <w:tcPr>
            <w:tcW w:w="1636" w:type="dxa"/>
            <w:tcBorders>
              <w:top w:val="nil"/>
              <w:left w:val="single" w:sz="7" w:space="0" w:color="000000"/>
              <w:bottom w:val="nil"/>
              <w:right w:val="single" w:sz="7" w:space="0" w:color="000000"/>
            </w:tcBorders>
          </w:tcPr>
          <w:p>
            <w:pPr>
              <w:pStyle w:val="TableParagraph"/>
              <w:spacing w:line="199" w:lineRule="exact"/>
              <w:ind w:left="489"/>
              <w:rPr>
                <w:sz w:val="18"/>
              </w:rPr>
            </w:pPr>
            <w:r>
              <w:rPr>
                <w:sz w:val="18"/>
              </w:rPr>
              <w:t>8,223,010</w:t>
            </w:r>
          </w:p>
        </w:tc>
        <w:tc>
          <w:tcPr>
            <w:tcW w:w="1467" w:type="dxa"/>
            <w:tcBorders>
              <w:top w:val="nil"/>
              <w:left w:val="single" w:sz="7" w:space="0" w:color="000000"/>
              <w:bottom w:val="nil"/>
            </w:tcBorders>
          </w:tcPr>
          <w:p>
            <w:pPr>
              <w:pStyle w:val="TableParagraph"/>
              <w:spacing w:line="199" w:lineRule="exact"/>
              <w:ind w:right="404"/>
              <w:jc w:val="right"/>
              <w:rPr>
                <w:sz w:val="18"/>
              </w:rPr>
            </w:pPr>
            <w:r>
              <w:rPr>
                <w:w w:val="80"/>
                <w:sz w:val="18"/>
              </w:rPr>
              <w:t>116,849</w:t>
            </w:r>
          </w:p>
        </w:tc>
        <w:tc>
          <w:tcPr>
            <w:tcW w:w="1463" w:type="dxa"/>
            <w:tcBorders>
              <w:top w:val="nil"/>
              <w:bottom w:val="nil"/>
              <w:right w:val="nil"/>
            </w:tcBorders>
          </w:tcPr>
          <w:p>
            <w:pPr>
              <w:pStyle w:val="TableParagraph"/>
              <w:spacing w:line="195" w:lineRule="exact"/>
              <w:ind w:left="548"/>
              <w:rPr>
                <w:sz w:val="18"/>
              </w:rPr>
            </w:pPr>
            <w:r>
              <w:rPr>
                <w:w w:val="90"/>
                <w:sz w:val="18"/>
              </w:rPr>
              <w:t>14.21</w:t>
            </w:r>
          </w:p>
        </w:tc>
      </w:tr>
      <w:tr>
        <w:trPr>
          <w:trHeight w:val="200" w:hRule="exact"/>
        </w:trPr>
        <w:tc>
          <w:tcPr>
            <w:tcW w:w="1168" w:type="dxa"/>
            <w:tcBorders>
              <w:top w:val="nil"/>
              <w:left w:val="nil"/>
              <w:bottom w:val="nil"/>
              <w:right w:val="single" w:sz="7" w:space="0" w:color="000000"/>
            </w:tcBorders>
          </w:tcPr>
          <w:p>
            <w:pPr>
              <w:pStyle w:val="TableParagraph"/>
              <w:spacing w:line="180" w:lineRule="exact"/>
              <w:ind w:left="392" w:right="391"/>
              <w:jc w:val="center"/>
              <w:rPr>
                <w:rFonts w:ascii="Times New Roman"/>
                <w:sz w:val="17"/>
              </w:rPr>
            </w:pPr>
            <w:r>
              <w:rPr>
                <w:rFonts w:ascii="Times New Roman"/>
                <w:w w:val="110"/>
                <w:sz w:val="17"/>
              </w:rPr>
              <w:t>57</w:t>
            </w:r>
          </w:p>
        </w:tc>
        <w:tc>
          <w:tcPr>
            <w:tcW w:w="1636" w:type="dxa"/>
            <w:tcBorders>
              <w:top w:val="nil"/>
              <w:left w:val="single" w:sz="7" w:space="0" w:color="000000"/>
              <w:bottom w:val="nil"/>
              <w:right w:val="single" w:sz="7" w:space="0" w:color="000000"/>
            </w:tcBorders>
          </w:tcPr>
          <w:p>
            <w:pPr>
              <w:pStyle w:val="TableParagraph"/>
              <w:spacing w:line="194" w:lineRule="exact"/>
              <w:ind w:left="489"/>
              <w:rPr>
                <w:sz w:val="18"/>
              </w:rPr>
            </w:pPr>
            <w:r>
              <w:rPr>
                <w:w w:val="90"/>
                <w:sz w:val="18"/>
              </w:rPr>
              <w:t>8,106,161</w:t>
            </w:r>
          </w:p>
        </w:tc>
        <w:tc>
          <w:tcPr>
            <w:tcW w:w="1467" w:type="dxa"/>
            <w:tcBorders>
              <w:top w:val="nil"/>
              <w:left w:val="single" w:sz="7" w:space="0" w:color="000000"/>
              <w:bottom w:val="nil"/>
            </w:tcBorders>
          </w:tcPr>
          <w:p>
            <w:pPr>
              <w:pStyle w:val="TableParagraph"/>
              <w:spacing w:line="198" w:lineRule="exact"/>
              <w:ind w:right="392"/>
              <w:jc w:val="right"/>
              <w:rPr>
                <w:sz w:val="18"/>
              </w:rPr>
            </w:pPr>
            <w:r>
              <w:rPr>
                <w:w w:val="85"/>
                <w:sz w:val="18"/>
              </w:rPr>
              <w:t>125,970</w:t>
            </w:r>
          </w:p>
        </w:tc>
        <w:tc>
          <w:tcPr>
            <w:tcW w:w="1463" w:type="dxa"/>
            <w:tcBorders>
              <w:top w:val="nil"/>
              <w:bottom w:val="nil"/>
              <w:right w:val="nil"/>
            </w:tcBorders>
          </w:tcPr>
          <w:p>
            <w:pPr>
              <w:pStyle w:val="TableParagraph"/>
              <w:spacing w:line="194" w:lineRule="exact"/>
              <w:ind w:left="548"/>
              <w:rPr>
                <w:sz w:val="18"/>
              </w:rPr>
            </w:pPr>
            <w:r>
              <w:rPr>
                <w:w w:val="90"/>
                <w:sz w:val="18"/>
              </w:rPr>
              <w:t>15.54</w:t>
            </w:r>
          </w:p>
        </w:tc>
      </w:tr>
      <w:tr>
        <w:trPr>
          <w:trHeight w:val="201" w:hRule="exact"/>
        </w:trPr>
        <w:tc>
          <w:tcPr>
            <w:tcW w:w="1168" w:type="dxa"/>
            <w:tcBorders>
              <w:top w:val="nil"/>
              <w:left w:val="nil"/>
              <w:bottom w:val="nil"/>
              <w:right w:val="single" w:sz="7" w:space="0" w:color="000000"/>
            </w:tcBorders>
          </w:tcPr>
          <w:p>
            <w:pPr>
              <w:pStyle w:val="TableParagraph"/>
              <w:spacing w:line="203" w:lineRule="exact"/>
              <w:ind w:left="392" w:right="363"/>
              <w:jc w:val="center"/>
              <w:rPr>
                <w:sz w:val="18"/>
              </w:rPr>
            </w:pPr>
            <w:r>
              <w:rPr>
                <w:w w:val="95"/>
                <w:sz w:val="18"/>
              </w:rPr>
              <w:t>58</w:t>
            </w:r>
          </w:p>
        </w:tc>
        <w:tc>
          <w:tcPr>
            <w:tcW w:w="1636" w:type="dxa"/>
            <w:tcBorders>
              <w:top w:val="nil"/>
              <w:left w:val="single" w:sz="7" w:space="0" w:color="000000"/>
              <w:bottom w:val="nil"/>
              <w:right w:val="single" w:sz="7" w:space="0" w:color="000000"/>
            </w:tcBorders>
          </w:tcPr>
          <w:p>
            <w:pPr>
              <w:pStyle w:val="TableParagraph"/>
              <w:spacing w:line="195" w:lineRule="exact"/>
              <w:ind w:left="493"/>
              <w:rPr>
                <w:sz w:val="18"/>
              </w:rPr>
            </w:pPr>
            <w:r>
              <w:rPr>
                <w:sz w:val="18"/>
              </w:rPr>
              <w:t>7,980,191</w:t>
            </w:r>
          </w:p>
        </w:tc>
        <w:tc>
          <w:tcPr>
            <w:tcW w:w="1467" w:type="dxa"/>
            <w:tcBorders>
              <w:top w:val="nil"/>
              <w:left w:val="single" w:sz="7" w:space="0" w:color="000000"/>
              <w:bottom w:val="nil"/>
            </w:tcBorders>
          </w:tcPr>
          <w:p>
            <w:pPr>
              <w:pStyle w:val="TableParagraph"/>
              <w:spacing w:line="199" w:lineRule="exact"/>
              <w:ind w:right="424"/>
              <w:jc w:val="right"/>
              <w:rPr>
                <w:sz w:val="18"/>
              </w:rPr>
            </w:pPr>
            <w:r>
              <w:rPr>
                <w:w w:val="75"/>
                <w:sz w:val="18"/>
              </w:rPr>
              <w:t>135,663</w:t>
            </w:r>
          </w:p>
        </w:tc>
        <w:tc>
          <w:tcPr>
            <w:tcW w:w="1463" w:type="dxa"/>
            <w:tcBorders>
              <w:top w:val="nil"/>
              <w:bottom w:val="nil"/>
              <w:right w:val="nil"/>
            </w:tcBorders>
          </w:tcPr>
          <w:p>
            <w:pPr>
              <w:pStyle w:val="TableParagraph"/>
              <w:spacing w:line="195" w:lineRule="exact"/>
              <w:ind w:left="548"/>
              <w:rPr>
                <w:sz w:val="18"/>
              </w:rPr>
            </w:pPr>
            <w:r>
              <w:rPr>
                <w:w w:val="95"/>
                <w:sz w:val="18"/>
              </w:rPr>
              <w:t>17.00</w:t>
            </w:r>
          </w:p>
        </w:tc>
      </w:tr>
      <w:tr>
        <w:trPr>
          <w:trHeight w:val="297" w:hRule="exact"/>
        </w:trPr>
        <w:tc>
          <w:tcPr>
            <w:tcW w:w="1168" w:type="dxa"/>
            <w:tcBorders>
              <w:top w:val="nil"/>
              <w:left w:val="nil"/>
              <w:bottom w:val="nil"/>
              <w:right w:val="single" w:sz="7" w:space="0" w:color="000000"/>
            </w:tcBorders>
          </w:tcPr>
          <w:p>
            <w:pPr>
              <w:pStyle w:val="TableParagraph"/>
              <w:spacing w:line="182" w:lineRule="exact"/>
              <w:ind w:left="392" w:right="380"/>
              <w:jc w:val="center"/>
              <w:rPr>
                <w:rFonts w:ascii="Times New Roman"/>
                <w:sz w:val="17"/>
              </w:rPr>
            </w:pPr>
            <w:r>
              <w:rPr>
                <w:rFonts w:ascii="Times New Roman"/>
                <w:sz w:val="17"/>
              </w:rPr>
              <w:t>59</w:t>
            </w:r>
          </w:p>
        </w:tc>
        <w:tc>
          <w:tcPr>
            <w:tcW w:w="1636" w:type="dxa"/>
            <w:tcBorders>
              <w:top w:val="nil"/>
              <w:left w:val="single" w:sz="7" w:space="0" w:color="000000"/>
              <w:bottom w:val="nil"/>
              <w:right w:val="single" w:sz="7" w:space="0" w:color="000000"/>
            </w:tcBorders>
          </w:tcPr>
          <w:p>
            <w:pPr>
              <w:pStyle w:val="TableParagraph"/>
              <w:spacing w:line="196" w:lineRule="exact"/>
              <w:ind w:left="489"/>
              <w:rPr>
                <w:sz w:val="18"/>
              </w:rPr>
            </w:pPr>
            <w:r>
              <w:rPr>
                <w:w w:val="95"/>
                <w:sz w:val="18"/>
              </w:rPr>
              <w:t>7,844,528</w:t>
            </w:r>
          </w:p>
        </w:tc>
        <w:tc>
          <w:tcPr>
            <w:tcW w:w="1467" w:type="dxa"/>
            <w:tcBorders>
              <w:top w:val="nil"/>
              <w:left w:val="single" w:sz="7" w:space="0" w:color="000000"/>
              <w:bottom w:val="nil"/>
            </w:tcBorders>
          </w:tcPr>
          <w:p>
            <w:pPr>
              <w:pStyle w:val="TableParagraph"/>
              <w:spacing w:line="196" w:lineRule="exact"/>
              <w:ind w:right="418"/>
              <w:jc w:val="right"/>
              <w:rPr>
                <w:sz w:val="18"/>
              </w:rPr>
            </w:pPr>
            <w:r>
              <w:rPr>
                <w:w w:val="85"/>
                <w:sz w:val="18"/>
              </w:rPr>
              <w:t>145,830</w:t>
            </w:r>
          </w:p>
        </w:tc>
        <w:tc>
          <w:tcPr>
            <w:tcW w:w="1463" w:type="dxa"/>
            <w:tcBorders>
              <w:top w:val="nil"/>
              <w:bottom w:val="nil"/>
              <w:right w:val="nil"/>
            </w:tcBorders>
          </w:tcPr>
          <w:p>
            <w:pPr>
              <w:pStyle w:val="TableParagraph"/>
              <w:spacing w:line="179" w:lineRule="exact"/>
              <w:ind w:left="548"/>
              <w:rPr>
                <w:rFonts w:ascii="Times New Roman"/>
                <w:sz w:val="17"/>
              </w:rPr>
            </w:pPr>
            <w:r>
              <w:rPr>
                <w:rFonts w:ascii="Times New Roman"/>
                <w:w w:val="105"/>
                <w:sz w:val="17"/>
              </w:rPr>
              <w:t>18.59</w:t>
            </w:r>
          </w:p>
        </w:tc>
      </w:tr>
      <w:tr>
        <w:trPr>
          <w:trHeight w:val="303" w:hRule="exact"/>
        </w:trPr>
        <w:tc>
          <w:tcPr>
            <w:tcW w:w="1168" w:type="dxa"/>
            <w:tcBorders>
              <w:top w:val="nil"/>
              <w:left w:val="nil"/>
              <w:bottom w:val="nil"/>
              <w:right w:val="single" w:sz="7" w:space="0" w:color="000000"/>
            </w:tcBorders>
          </w:tcPr>
          <w:p>
            <w:pPr>
              <w:pStyle w:val="TableParagraph"/>
              <w:spacing w:before="84"/>
              <w:ind w:left="392" w:right="385"/>
              <w:jc w:val="center"/>
              <w:rPr>
                <w:rFonts w:ascii="Times New Roman"/>
                <w:sz w:val="18"/>
              </w:rPr>
            </w:pPr>
            <w:r>
              <w:rPr>
                <w:rFonts w:ascii="Times New Roman"/>
                <w:sz w:val="18"/>
              </w:rPr>
              <w:t>60</w:t>
            </w:r>
          </w:p>
        </w:tc>
        <w:tc>
          <w:tcPr>
            <w:tcW w:w="1636" w:type="dxa"/>
            <w:tcBorders>
              <w:top w:val="nil"/>
              <w:left w:val="single" w:sz="7" w:space="0" w:color="000000"/>
              <w:bottom w:val="nil"/>
              <w:right w:val="single" w:sz="7" w:space="0" w:color="000000"/>
            </w:tcBorders>
          </w:tcPr>
          <w:p>
            <w:pPr>
              <w:pStyle w:val="TableParagraph"/>
              <w:spacing w:before="98"/>
              <w:ind w:left="489"/>
              <w:rPr>
                <w:sz w:val="18"/>
              </w:rPr>
            </w:pPr>
            <w:r>
              <w:rPr>
                <w:sz w:val="18"/>
              </w:rPr>
              <w:t>7,698,698</w:t>
            </w:r>
          </w:p>
        </w:tc>
        <w:tc>
          <w:tcPr>
            <w:tcW w:w="1467" w:type="dxa"/>
            <w:tcBorders>
              <w:top w:val="nil"/>
              <w:left w:val="single" w:sz="7" w:space="0" w:color="000000"/>
              <w:bottom w:val="nil"/>
            </w:tcBorders>
          </w:tcPr>
          <w:p>
            <w:pPr>
              <w:pStyle w:val="TableParagraph"/>
              <w:spacing w:before="98"/>
              <w:ind w:right="414"/>
              <w:jc w:val="right"/>
              <w:rPr>
                <w:sz w:val="18"/>
              </w:rPr>
            </w:pPr>
            <w:r>
              <w:rPr>
                <w:w w:val="85"/>
                <w:sz w:val="18"/>
              </w:rPr>
              <w:t>156,592</w:t>
            </w:r>
          </w:p>
        </w:tc>
        <w:tc>
          <w:tcPr>
            <w:tcW w:w="1463" w:type="dxa"/>
            <w:tcBorders>
              <w:top w:val="nil"/>
              <w:bottom w:val="nil"/>
              <w:right w:val="nil"/>
            </w:tcBorders>
          </w:tcPr>
          <w:p>
            <w:pPr>
              <w:pStyle w:val="TableParagraph"/>
              <w:spacing w:before="95"/>
              <w:ind w:left="534"/>
              <w:rPr>
                <w:sz w:val="18"/>
              </w:rPr>
            </w:pPr>
            <w:r>
              <w:rPr>
                <w:sz w:val="18"/>
              </w:rPr>
              <w:t>20.34</w:t>
            </w:r>
          </w:p>
        </w:tc>
      </w:tr>
      <w:tr>
        <w:trPr>
          <w:trHeight w:val="202" w:hRule="exact"/>
        </w:trPr>
        <w:tc>
          <w:tcPr>
            <w:tcW w:w="1168" w:type="dxa"/>
            <w:tcBorders>
              <w:top w:val="nil"/>
              <w:left w:val="nil"/>
              <w:bottom w:val="nil"/>
              <w:right w:val="single" w:sz="7" w:space="0" w:color="000000"/>
            </w:tcBorders>
          </w:tcPr>
          <w:p>
            <w:pPr>
              <w:pStyle w:val="TableParagraph"/>
              <w:spacing w:line="201" w:lineRule="exact"/>
              <w:ind w:left="392" w:right="371"/>
              <w:jc w:val="center"/>
              <w:rPr>
                <w:sz w:val="18"/>
              </w:rPr>
            </w:pPr>
            <w:r>
              <w:rPr>
                <w:sz w:val="18"/>
              </w:rPr>
              <w:t>61</w:t>
            </w:r>
          </w:p>
        </w:tc>
        <w:tc>
          <w:tcPr>
            <w:tcW w:w="1636" w:type="dxa"/>
            <w:tcBorders>
              <w:top w:val="nil"/>
              <w:left w:val="single" w:sz="7" w:space="0" w:color="000000"/>
              <w:bottom w:val="nil"/>
              <w:right w:val="single" w:sz="7" w:space="0" w:color="000000"/>
            </w:tcBorders>
          </w:tcPr>
          <w:p>
            <w:pPr>
              <w:pStyle w:val="TableParagraph"/>
              <w:spacing w:line="180" w:lineRule="exact"/>
              <w:ind w:left="489"/>
              <w:rPr>
                <w:rFonts w:ascii="Times New Roman"/>
                <w:sz w:val="17"/>
              </w:rPr>
            </w:pPr>
            <w:r>
              <w:rPr>
                <w:rFonts w:ascii="Times New Roman"/>
                <w:w w:val="110"/>
                <w:sz w:val="17"/>
              </w:rPr>
              <w:t>7,542,106</w:t>
            </w:r>
          </w:p>
        </w:tc>
        <w:tc>
          <w:tcPr>
            <w:tcW w:w="1467" w:type="dxa"/>
            <w:tcBorders>
              <w:top w:val="nil"/>
              <w:left w:val="single" w:sz="7" w:space="0" w:color="000000"/>
              <w:bottom w:val="nil"/>
            </w:tcBorders>
          </w:tcPr>
          <w:p>
            <w:pPr>
              <w:pStyle w:val="TableParagraph"/>
              <w:spacing w:line="198" w:lineRule="exact"/>
              <w:ind w:right="431"/>
              <w:jc w:val="right"/>
              <w:rPr>
                <w:sz w:val="18"/>
              </w:rPr>
            </w:pPr>
            <w:r>
              <w:rPr>
                <w:w w:val="85"/>
                <w:sz w:val="18"/>
              </w:rPr>
              <w:t>167,736</w:t>
            </w:r>
          </w:p>
        </w:tc>
        <w:tc>
          <w:tcPr>
            <w:tcW w:w="1463" w:type="dxa"/>
            <w:tcBorders>
              <w:top w:val="nil"/>
              <w:bottom w:val="nil"/>
              <w:right w:val="nil"/>
            </w:tcBorders>
          </w:tcPr>
          <w:p>
            <w:pPr>
              <w:pStyle w:val="TableParagraph"/>
              <w:spacing w:line="198" w:lineRule="exact"/>
              <w:ind w:left="538"/>
              <w:rPr>
                <w:sz w:val="18"/>
              </w:rPr>
            </w:pPr>
            <w:r>
              <w:rPr>
                <w:w w:val="90"/>
                <w:sz w:val="18"/>
              </w:rPr>
              <w:t>22.24</w:t>
            </w:r>
          </w:p>
        </w:tc>
      </w:tr>
      <w:tr>
        <w:trPr>
          <w:trHeight w:val="198" w:hRule="exact"/>
        </w:trPr>
        <w:tc>
          <w:tcPr>
            <w:tcW w:w="1168" w:type="dxa"/>
            <w:tcBorders>
              <w:top w:val="nil"/>
              <w:left w:val="nil"/>
              <w:bottom w:val="nil"/>
              <w:right w:val="single" w:sz="7" w:space="0" w:color="000000"/>
            </w:tcBorders>
          </w:tcPr>
          <w:p>
            <w:pPr>
              <w:pStyle w:val="TableParagraph"/>
              <w:spacing w:line="201" w:lineRule="exact"/>
              <w:ind w:right="434"/>
              <w:jc w:val="right"/>
              <w:rPr>
                <w:rFonts w:ascii="Arial"/>
                <w:sz w:val="19"/>
              </w:rPr>
            </w:pPr>
            <w:r>
              <w:rPr>
                <w:rFonts w:ascii="Arial"/>
                <w:w w:val="261"/>
                <w:sz w:val="19"/>
              </w:rPr>
              <w:t>4</w:t>
            </w:r>
          </w:p>
        </w:tc>
        <w:tc>
          <w:tcPr>
            <w:tcW w:w="1636" w:type="dxa"/>
            <w:tcBorders>
              <w:top w:val="nil"/>
              <w:left w:val="single" w:sz="7" w:space="0" w:color="000000"/>
              <w:bottom w:val="nil"/>
              <w:right w:val="single" w:sz="7" w:space="0" w:color="000000"/>
            </w:tcBorders>
          </w:tcPr>
          <w:p>
            <w:pPr>
              <w:pStyle w:val="TableParagraph"/>
              <w:spacing w:line="197" w:lineRule="exact"/>
              <w:ind w:left="489"/>
              <w:rPr>
                <w:sz w:val="18"/>
              </w:rPr>
            </w:pPr>
            <w:r>
              <w:rPr>
                <w:sz w:val="18"/>
              </w:rPr>
              <w:t>7,374,370</w:t>
            </w:r>
          </w:p>
        </w:tc>
        <w:tc>
          <w:tcPr>
            <w:tcW w:w="1467" w:type="dxa"/>
            <w:tcBorders>
              <w:top w:val="nil"/>
              <w:left w:val="single" w:sz="7" w:space="0" w:color="000000"/>
              <w:bottom w:val="nil"/>
            </w:tcBorders>
          </w:tcPr>
          <w:p>
            <w:pPr>
              <w:pStyle w:val="TableParagraph"/>
              <w:spacing w:line="197" w:lineRule="exact"/>
              <w:ind w:right="437"/>
              <w:jc w:val="right"/>
              <w:rPr>
                <w:sz w:val="18"/>
              </w:rPr>
            </w:pPr>
            <w:r>
              <w:rPr>
                <w:w w:val="80"/>
                <w:sz w:val="18"/>
              </w:rPr>
              <w:t>179,271</w:t>
            </w:r>
          </w:p>
        </w:tc>
        <w:tc>
          <w:tcPr>
            <w:tcW w:w="1463" w:type="dxa"/>
            <w:tcBorders>
              <w:top w:val="nil"/>
              <w:bottom w:val="nil"/>
              <w:right w:val="nil"/>
            </w:tcBorders>
          </w:tcPr>
          <w:p>
            <w:pPr>
              <w:pStyle w:val="TableParagraph"/>
              <w:spacing w:line="197" w:lineRule="exact"/>
              <w:ind w:left="538"/>
              <w:rPr>
                <w:sz w:val="18"/>
              </w:rPr>
            </w:pPr>
            <w:r>
              <w:rPr>
                <w:w w:val="90"/>
                <w:sz w:val="18"/>
              </w:rPr>
              <w:t>24.31</w:t>
            </w:r>
          </w:p>
        </w:tc>
      </w:tr>
      <w:tr>
        <w:trPr>
          <w:trHeight w:val="203" w:hRule="exact"/>
        </w:trPr>
        <w:tc>
          <w:tcPr>
            <w:tcW w:w="1168" w:type="dxa"/>
            <w:tcBorders>
              <w:top w:val="nil"/>
              <w:left w:val="nil"/>
              <w:bottom w:val="nil"/>
              <w:right w:val="single" w:sz="7" w:space="0" w:color="000000"/>
            </w:tcBorders>
          </w:tcPr>
          <w:p>
            <w:pPr>
              <w:pStyle w:val="TableParagraph"/>
              <w:spacing w:line="187" w:lineRule="exact"/>
              <w:ind w:right="408"/>
              <w:jc w:val="right"/>
              <w:rPr>
                <w:sz w:val="18"/>
              </w:rPr>
            </w:pPr>
            <w:r>
              <w:rPr>
                <w:w w:val="75"/>
                <w:sz w:val="18"/>
              </w:rPr>
              <w:t>63'</w:t>
            </w:r>
          </w:p>
        </w:tc>
        <w:tc>
          <w:tcPr>
            <w:tcW w:w="1636" w:type="dxa"/>
            <w:tcBorders>
              <w:top w:val="nil"/>
              <w:left w:val="single" w:sz="7" w:space="0" w:color="000000"/>
              <w:bottom w:val="nil"/>
              <w:right w:val="single" w:sz="7" w:space="0" w:color="000000"/>
            </w:tcBorders>
          </w:tcPr>
          <w:p>
            <w:pPr>
              <w:pStyle w:val="TableParagraph"/>
              <w:spacing w:line="201" w:lineRule="exact"/>
              <w:ind w:left="489"/>
              <w:rPr>
                <w:sz w:val="18"/>
              </w:rPr>
            </w:pPr>
            <w:r>
              <w:rPr>
                <w:w w:val="95"/>
                <w:sz w:val="18"/>
              </w:rPr>
              <w:t>7,195,099</w:t>
            </w:r>
          </w:p>
        </w:tc>
        <w:tc>
          <w:tcPr>
            <w:tcW w:w="1467" w:type="dxa"/>
            <w:tcBorders>
              <w:top w:val="nil"/>
              <w:left w:val="single" w:sz="7" w:space="0" w:color="000000"/>
              <w:bottom w:val="nil"/>
            </w:tcBorders>
          </w:tcPr>
          <w:p>
            <w:pPr>
              <w:pStyle w:val="TableParagraph"/>
              <w:spacing w:line="201" w:lineRule="exact"/>
              <w:ind w:right="404"/>
              <w:jc w:val="right"/>
              <w:rPr>
                <w:sz w:val="18"/>
              </w:rPr>
            </w:pPr>
            <w:r>
              <w:rPr>
                <w:w w:val="90"/>
                <w:sz w:val="18"/>
              </w:rPr>
              <w:t>191,174</w:t>
            </w:r>
          </w:p>
        </w:tc>
        <w:tc>
          <w:tcPr>
            <w:tcW w:w="1463" w:type="dxa"/>
            <w:tcBorders>
              <w:top w:val="nil"/>
              <w:bottom w:val="nil"/>
              <w:right w:val="nil"/>
            </w:tcBorders>
          </w:tcPr>
          <w:p>
            <w:pPr>
              <w:pStyle w:val="TableParagraph"/>
              <w:spacing w:line="201" w:lineRule="exact"/>
              <w:ind w:left="534"/>
              <w:rPr>
                <w:sz w:val="18"/>
              </w:rPr>
            </w:pPr>
            <w:r>
              <w:rPr>
                <w:sz w:val="18"/>
              </w:rPr>
              <w:t>26.57</w:t>
            </w:r>
          </w:p>
        </w:tc>
      </w:tr>
      <w:tr>
        <w:trPr>
          <w:trHeight w:val="292" w:hRule="exact"/>
        </w:trPr>
        <w:tc>
          <w:tcPr>
            <w:tcW w:w="1168" w:type="dxa"/>
            <w:tcBorders>
              <w:top w:val="nil"/>
              <w:left w:val="nil"/>
              <w:bottom w:val="nil"/>
              <w:right w:val="single" w:sz="7" w:space="0" w:color="000000"/>
            </w:tcBorders>
          </w:tcPr>
          <w:p>
            <w:pPr>
              <w:pStyle w:val="TableParagraph"/>
              <w:spacing w:line="182" w:lineRule="exact"/>
              <w:ind w:right="440"/>
              <w:jc w:val="right"/>
              <w:rPr>
                <w:rFonts w:ascii="Arial" w:hAnsi="Arial"/>
                <w:sz w:val="17"/>
              </w:rPr>
            </w:pPr>
            <w:r>
              <w:rPr>
                <w:rFonts w:ascii="Arial" w:hAnsi="Arial"/>
                <w:w w:val="85"/>
                <w:sz w:val="17"/>
              </w:rPr>
              <w:t>64·</w:t>
            </w:r>
          </w:p>
        </w:tc>
        <w:tc>
          <w:tcPr>
            <w:tcW w:w="1636" w:type="dxa"/>
            <w:tcBorders>
              <w:top w:val="nil"/>
              <w:left w:val="single" w:sz="7" w:space="0" w:color="000000"/>
              <w:bottom w:val="nil"/>
              <w:right w:val="single" w:sz="7" w:space="0" w:color="000000"/>
            </w:tcBorders>
          </w:tcPr>
          <w:p>
            <w:pPr>
              <w:pStyle w:val="TableParagraph"/>
              <w:spacing w:line="200" w:lineRule="exact"/>
              <w:ind w:left="489"/>
              <w:rPr>
                <w:sz w:val="18"/>
              </w:rPr>
            </w:pPr>
            <w:r>
              <w:rPr>
                <w:w w:val="95"/>
                <w:sz w:val="18"/>
              </w:rPr>
              <w:t>7,003,925</w:t>
            </w:r>
          </w:p>
        </w:tc>
        <w:tc>
          <w:tcPr>
            <w:tcW w:w="1467" w:type="dxa"/>
            <w:tcBorders>
              <w:top w:val="nil"/>
              <w:left w:val="single" w:sz="7" w:space="0" w:color="000000"/>
              <w:bottom w:val="nil"/>
            </w:tcBorders>
          </w:tcPr>
          <w:p>
            <w:pPr>
              <w:pStyle w:val="TableParagraph"/>
              <w:spacing w:line="203" w:lineRule="exact"/>
              <w:ind w:right="412"/>
              <w:jc w:val="right"/>
              <w:rPr>
                <w:sz w:val="18"/>
              </w:rPr>
            </w:pPr>
            <w:r>
              <w:rPr>
                <w:w w:val="80"/>
                <w:sz w:val="18"/>
              </w:rPr>
              <w:t>203,394</w:t>
            </w:r>
          </w:p>
        </w:tc>
        <w:tc>
          <w:tcPr>
            <w:tcW w:w="1463" w:type="dxa"/>
            <w:tcBorders>
              <w:top w:val="nil"/>
              <w:bottom w:val="nil"/>
              <w:right w:val="nil"/>
            </w:tcBorders>
          </w:tcPr>
          <w:p>
            <w:pPr>
              <w:pStyle w:val="TableParagraph"/>
              <w:spacing w:line="196" w:lineRule="exact"/>
              <w:ind w:left="534"/>
              <w:rPr>
                <w:sz w:val="18"/>
              </w:rPr>
            </w:pPr>
            <w:r>
              <w:rPr>
                <w:w w:val="95"/>
                <w:sz w:val="18"/>
              </w:rPr>
              <w:t>29.04</w:t>
            </w:r>
          </w:p>
        </w:tc>
      </w:tr>
      <w:tr>
        <w:trPr>
          <w:trHeight w:val="312" w:hRule="exact"/>
        </w:trPr>
        <w:tc>
          <w:tcPr>
            <w:tcW w:w="1168" w:type="dxa"/>
            <w:tcBorders>
              <w:top w:val="nil"/>
              <w:left w:val="nil"/>
              <w:bottom w:val="nil"/>
              <w:right w:val="single" w:sz="7" w:space="0" w:color="000000"/>
            </w:tcBorders>
          </w:tcPr>
          <w:p>
            <w:pPr>
              <w:pStyle w:val="TableParagraph"/>
              <w:spacing w:before="73"/>
              <w:ind w:left="347" w:right="412"/>
              <w:jc w:val="center"/>
              <w:rPr>
                <w:rFonts w:ascii="Times New Roman"/>
                <w:sz w:val="17"/>
              </w:rPr>
            </w:pPr>
            <w:r>
              <w:rPr>
                <w:rFonts w:ascii="Times New Roman"/>
                <w:w w:val="90"/>
                <w:sz w:val="17"/>
              </w:rPr>
              <w:t>' 65-</w:t>
            </w:r>
          </w:p>
        </w:tc>
        <w:tc>
          <w:tcPr>
            <w:tcW w:w="1636" w:type="dxa"/>
            <w:tcBorders>
              <w:top w:val="nil"/>
              <w:left w:val="single" w:sz="7" w:space="0" w:color="000000"/>
              <w:bottom w:val="nil"/>
              <w:right w:val="single" w:sz="7" w:space="0" w:color="000000"/>
            </w:tcBorders>
          </w:tcPr>
          <w:p>
            <w:pPr>
              <w:pStyle w:val="TableParagraph"/>
              <w:spacing w:before="103"/>
              <w:ind w:left="485"/>
              <w:rPr>
                <w:sz w:val="18"/>
              </w:rPr>
            </w:pPr>
            <w:r>
              <w:rPr>
                <w:w w:val="95"/>
                <w:sz w:val="18"/>
              </w:rPr>
              <w:t>6,800,531</w:t>
            </w:r>
          </w:p>
        </w:tc>
        <w:tc>
          <w:tcPr>
            <w:tcW w:w="1467" w:type="dxa"/>
            <w:tcBorders>
              <w:top w:val="nil"/>
              <w:left w:val="single" w:sz="7" w:space="0" w:color="000000"/>
              <w:bottom w:val="nil"/>
            </w:tcBorders>
          </w:tcPr>
          <w:p>
            <w:pPr>
              <w:pStyle w:val="TableParagraph"/>
              <w:spacing w:before="103"/>
              <w:ind w:right="426"/>
              <w:jc w:val="right"/>
              <w:rPr>
                <w:sz w:val="18"/>
              </w:rPr>
            </w:pPr>
            <w:r>
              <w:rPr>
                <w:w w:val="85"/>
                <w:sz w:val="18"/>
              </w:rPr>
              <w:t>215,917</w:t>
            </w:r>
          </w:p>
        </w:tc>
        <w:tc>
          <w:tcPr>
            <w:tcW w:w="1463" w:type="dxa"/>
            <w:tcBorders>
              <w:top w:val="nil"/>
              <w:bottom w:val="nil"/>
              <w:right w:val="nil"/>
            </w:tcBorders>
          </w:tcPr>
          <w:p>
            <w:pPr>
              <w:pStyle w:val="TableParagraph"/>
              <w:spacing w:before="103"/>
              <w:ind w:left="531"/>
              <w:rPr>
                <w:sz w:val="18"/>
              </w:rPr>
            </w:pPr>
            <w:r>
              <w:rPr>
                <w:sz w:val="18"/>
              </w:rPr>
              <w:t>31.75</w:t>
            </w:r>
          </w:p>
        </w:tc>
      </w:tr>
      <w:tr>
        <w:trPr>
          <w:trHeight w:val="202" w:hRule="exact"/>
        </w:trPr>
        <w:tc>
          <w:tcPr>
            <w:tcW w:w="1168" w:type="dxa"/>
            <w:tcBorders>
              <w:top w:val="nil"/>
              <w:left w:val="nil"/>
              <w:bottom w:val="nil"/>
              <w:right w:val="single" w:sz="7" w:space="0" w:color="000000"/>
            </w:tcBorders>
          </w:tcPr>
          <w:p>
            <w:pPr>
              <w:pStyle w:val="TableParagraph"/>
              <w:spacing w:line="177" w:lineRule="exact"/>
              <w:ind w:right="443"/>
              <w:jc w:val="right"/>
              <w:rPr>
                <w:rFonts w:ascii="Arial"/>
                <w:sz w:val="16"/>
              </w:rPr>
            </w:pPr>
            <w:r>
              <w:rPr>
                <w:rFonts w:ascii="Arial"/>
                <w:w w:val="95"/>
                <w:sz w:val="16"/>
              </w:rPr>
              <w:t>66.</w:t>
            </w:r>
          </w:p>
        </w:tc>
        <w:tc>
          <w:tcPr>
            <w:tcW w:w="1636" w:type="dxa"/>
            <w:tcBorders>
              <w:top w:val="nil"/>
              <w:left w:val="single" w:sz="7" w:space="0" w:color="000000"/>
              <w:bottom w:val="nil"/>
              <w:right w:val="single" w:sz="7" w:space="0" w:color="000000"/>
            </w:tcBorders>
          </w:tcPr>
          <w:p>
            <w:pPr>
              <w:pStyle w:val="TableParagraph"/>
              <w:spacing w:line="197" w:lineRule="exact"/>
              <w:ind w:left="489"/>
              <w:rPr>
                <w:sz w:val="18"/>
              </w:rPr>
            </w:pPr>
            <w:r>
              <w:rPr>
                <w:sz w:val="18"/>
              </w:rPr>
              <w:t>6,SS.,614</w:t>
            </w:r>
          </w:p>
        </w:tc>
        <w:tc>
          <w:tcPr>
            <w:tcW w:w="1467" w:type="dxa"/>
            <w:tcBorders>
              <w:top w:val="nil"/>
              <w:left w:val="single" w:sz="7" w:space="0" w:color="000000"/>
              <w:bottom w:val="nil"/>
            </w:tcBorders>
          </w:tcPr>
          <w:p>
            <w:pPr>
              <w:pStyle w:val="TableParagraph"/>
              <w:spacing w:line="201" w:lineRule="exact"/>
              <w:ind w:right="408"/>
              <w:jc w:val="right"/>
              <w:rPr>
                <w:sz w:val="18"/>
              </w:rPr>
            </w:pPr>
            <w:r>
              <w:rPr>
                <w:w w:val="90"/>
                <w:sz w:val="18"/>
              </w:rPr>
              <w:t>228,749</w:t>
            </w:r>
          </w:p>
        </w:tc>
        <w:tc>
          <w:tcPr>
            <w:tcW w:w="1463" w:type="dxa"/>
            <w:tcBorders>
              <w:top w:val="nil"/>
              <w:bottom w:val="nil"/>
              <w:right w:val="nil"/>
            </w:tcBorders>
          </w:tcPr>
          <w:p>
            <w:pPr>
              <w:pStyle w:val="TableParagraph"/>
              <w:spacing w:line="197" w:lineRule="exact"/>
              <w:ind w:left="531"/>
              <w:rPr>
                <w:sz w:val="18"/>
              </w:rPr>
            </w:pPr>
            <w:r>
              <w:rPr>
                <w:sz w:val="18"/>
              </w:rPr>
              <w:t>34.74</w:t>
            </w:r>
          </w:p>
        </w:tc>
      </w:tr>
      <w:tr>
        <w:trPr>
          <w:trHeight w:val="199" w:hRule="exact"/>
        </w:trPr>
        <w:tc>
          <w:tcPr>
            <w:tcW w:w="1168" w:type="dxa"/>
            <w:tcBorders>
              <w:top w:val="nil"/>
              <w:left w:val="nil"/>
              <w:bottom w:val="nil"/>
              <w:right w:val="single" w:sz="7" w:space="0" w:color="000000"/>
            </w:tcBorders>
          </w:tcPr>
          <w:p>
            <w:pPr>
              <w:pStyle w:val="TableParagraph"/>
              <w:spacing w:line="197" w:lineRule="exact"/>
              <w:ind w:left="392" w:right="356"/>
              <w:jc w:val="center"/>
              <w:rPr>
                <w:sz w:val="18"/>
              </w:rPr>
            </w:pPr>
            <w:r>
              <w:rPr>
                <w:w w:val="110"/>
                <w:sz w:val="18"/>
              </w:rPr>
              <w:t>67</w:t>
            </w:r>
          </w:p>
        </w:tc>
        <w:tc>
          <w:tcPr>
            <w:tcW w:w="1636" w:type="dxa"/>
            <w:tcBorders>
              <w:top w:val="nil"/>
              <w:left w:val="single" w:sz="7" w:space="0" w:color="000000"/>
              <w:bottom w:val="nil"/>
              <w:right w:val="single" w:sz="7" w:space="0" w:color="000000"/>
            </w:tcBorders>
          </w:tcPr>
          <w:p>
            <w:pPr>
              <w:pStyle w:val="TableParagraph"/>
              <w:spacing w:line="197" w:lineRule="exact"/>
              <w:ind w:left="485"/>
              <w:rPr>
                <w:sz w:val="18"/>
              </w:rPr>
            </w:pPr>
            <w:r>
              <w:rPr>
                <w:w w:val="95"/>
                <w:sz w:val="18"/>
              </w:rPr>
              <w:t>6,355,865</w:t>
            </w:r>
          </w:p>
        </w:tc>
        <w:tc>
          <w:tcPr>
            <w:tcW w:w="1467" w:type="dxa"/>
            <w:tcBorders>
              <w:top w:val="nil"/>
              <w:left w:val="single" w:sz="7" w:space="0" w:color="000000"/>
              <w:bottom w:val="nil"/>
            </w:tcBorders>
          </w:tcPr>
          <w:p>
            <w:pPr>
              <w:pStyle w:val="TableParagraph"/>
              <w:spacing w:line="197" w:lineRule="exact"/>
              <w:ind w:right="423"/>
              <w:jc w:val="right"/>
              <w:rPr>
                <w:sz w:val="18"/>
              </w:rPr>
            </w:pPr>
            <w:r>
              <w:rPr>
                <w:w w:val="80"/>
                <w:sz w:val="18"/>
              </w:rPr>
              <w:t>241,777</w:t>
            </w:r>
          </w:p>
        </w:tc>
        <w:tc>
          <w:tcPr>
            <w:tcW w:w="1463" w:type="dxa"/>
            <w:tcBorders>
              <w:top w:val="nil"/>
              <w:bottom w:val="nil"/>
              <w:right w:val="nil"/>
            </w:tcBorders>
          </w:tcPr>
          <w:p>
            <w:pPr>
              <w:pStyle w:val="TableParagraph"/>
              <w:spacing w:line="194" w:lineRule="exact"/>
              <w:ind w:left="531"/>
              <w:rPr>
                <w:sz w:val="18"/>
              </w:rPr>
            </w:pPr>
            <w:r>
              <w:rPr>
                <w:w w:val="95"/>
                <w:sz w:val="18"/>
              </w:rPr>
              <w:t>38.04</w:t>
            </w:r>
          </w:p>
        </w:tc>
      </w:tr>
      <w:tr>
        <w:trPr>
          <w:trHeight w:val="202" w:hRule="exact"/>
        </w:trPr>
        <w:tc>
          <w:tcPr>
            <w:tcW w:w="1168" w:type="dxa"/>
            <w:tcBorders>
              <w:top w:val="nil"/>
              <w:left w:val="nil"/>
              <w:bottom w:val="nil"/>
              <w:right w:val="single" w:sz="7" w:space="0" w:color="000000"/>
            </w:tcBorders>
          </w:tcPr>
          <w:p>
            <w:pPr>
              <w:pStyle w:val="TableParagraph"/>
              <w:spacing w:line="182" w:lineRule="exact"/>
              <w:ind w:left="392" w:right="374"/>
              <w:jc w:val="center"/>
              <w:rPr>
                <w:rFonts w:ascii="Times New Roman"/>
                <w:sz w:val="17"/>
              </w:rPr>
            </w:pPr>
            <w:r>
              <w:rPr>
                <w:rFonts w:ascii="Times New Roman"/>
                <w:w w:val="105"/>
                <w:sz w:val="17"/>
              </w:rPr>
              <w:t>68</w:t>
            </w:r>
          </w:p>
        </w:tc>
        <w:tc>
          <w:tcPr>
            <w:tcW w:w="1636" w:type="dxa"/>
            <w:tcBorders>
              <w:top w:val="nil"/>
              <w:left w:val="single" w:sz="7" w:space="0" w:color="000000"/>
              <w:bottom w:val="nil"/>
              <w:right w:val="single" w:sz="7" w:space="0" w:color="000000"/>
            </w:tcBorders>
          </w:tcPr>
          <w:p>
            <w:pPr>
              <w:pStyle w:val="TableParagraph"/>
              <w:spacing w:line="196" w:lineRule="exact"/>
              <w:ind w:left="485"/>
              <w:rPr>
                <w:sz w:val="18"/>
              </w:rPr>
            </w:pPr>
            <w:r>
              <w:rPr>
                <w:sz w:val="18"/>
              </w:rPr>
              <w:t>6,114,088</w:t>
            </w:r>
          </w:p>
        </w:tc>
        <w:tc>
          <w:tcPr>
            <w:tcW w:w="1467" w:type="dxa"/>
            <w:tcBorders>
              <w:top w:val="nil"/>
              <w:left w:val="single" w:sz="7" w:space="0" w:color="000000"/>
              <w:bottom w:val="nil"/>
            </w:tcBorders>
          </w:tcPr>
          <w:p>
            <w:pPr>
              <w:pStyle w:val="TableParagraph"/>
              <w:spacing w:line="199" w:lineRule="exact"/>
              <w:ind w:right="425"/>
              <w:jc w:val="right"/>
              <w:rPr>
                <w:sz w:val="18"/>
              </w:rPr>
            </w:pPr>
            <w:r>
              <w:rPr>
                <w:w w:val="75"/>
                <w:sz w:val="18"/>
              </w:rPr>
              <w:t>254,835</w:t>
            </w:r>
          </w:p>
        </w:tc>
        <w:tc>
          <w:tcPr>
            <w:tcW w:w="1463" w:type="dxa"/>
            <w:tcBorders>
              <w:top w:val="nil"/>
              <w:bottom w:val="nil"/>
              <w:right w:val="nil"/>
            </w:tcBorders>
          </w:tcPr>
          <w:p>
            <w:pPr>
              <w:pStyle w:val="TableParagraph"/>
              <w:spacing w:line="182" w:lineRule="exact"/>
              <w:ind w:left="527"/>
              <w:rPr>
                <w:rFonts w:ascii="Times New Roman"/>
                <w:sz w:val="17"/>
              </w:rPr>
            </w:pPr>
            <w:r>
              <w:rPr>
                <w:rFonts w:ascii="Times New Roman"/>
                <w:w w:val="105"/>
                <w:sz w:val="17"/>
              </w:rPr>
              <w:t>41.68</w:t>
            </w:r>
          </w:p>
        </w:tc>
      </w:tr>
      <w:tr>
        <w:trPr>
          <w:trHeight w:val="293" w:hRule="exact"/>
        </w:trPr>
        <w:tc>
          <w:tcPr>
            <w:tcW w:w="1168" w:type="dxa"/>
            <w:tcBorders>
              <w:top w:val="nil"/>
              <w:left w:val="nil"/>
              <w:bottom w:val="nil"/>
              <w:right w:val="single" w:sz="7" w:space="0" w:color="000000"/>
            </w:tcBorders>
          </w:tcPr>
          <w:p>
            <w:pPr>
              <w:pStyle w:val="TableParagraph"/>
              <w:spacing w:line="195" w:lineRule="exact"/>
              <w:ind w:left="392" w:right="347"/>
              <w:jc w:val="center"/>
              <w:rPr>
                <w:sz w:val="18"/>
              </w:rPr>
            </w:pPr>
            <w:r>
              <w:rPr>
                <w:w w:val="115"/>
                <w:sz w:val="18"/>
              </w:rPr>
              <w:t>69</w:t>
            </w:r>
          </w:p>
        </w:tc>
        <w:tc>
          <w:tcPr>
            <w:tcW w:w="1636" w:type="dxa"/>
            <w:tcBorders>
              <w:top w:val="nil"/>
              <w:left w:val="single" w:sz="7" w:space="0" w:color="000000"/>
              <w:bottom w:val="nil"/>
              <w:right w:val="single" w:sz="7" w:space="0" w:color="000000"/>
            </w:tcBorders>
          </w:tcPr>
          <w:p>
            <w:pPr>
              <w:pStyle w:val="TableParagraph"/>
              <w:spacing w:line="195" w:lineRule="exact"/>
              <w:ind w:left="489"/>
              <w:rPr>
                <w:sz w:val="18"/>
              </w:rPr>
            </w:pPr>
            <w:r>
              <w:rPr>
                <w:w w:val="90"/>
                <w:sz w:val="18"/>
              </w:rPr>
              <w:t>5,859,253</w:t>
            </w:r>
          </w:p>
        </w:tc>
        <w:tc>
          <w:tcPr>
            <w:tcW w:w="1467" w:type="dxa"/>
            <w:tcBorders>
              <w:top w:val="nil"/>
              <w:left w:val="single" w:sz="7" w:space="0" w:color="000000"/>
              <w:bottom w:val="nil"/>
            </w:tcBorders>
          </w:tcPr>
          <w:p>
            <w:pPr>
              <w:pStyle w:val="TableParagraph"/>
              <w:spacing w:line="195" w:lineRule="exact"/>
              <w:ind w:right="440"/>
              <w:jc w:val="right"/>
              <w:rPr>
                <w:sz w:val="18"/>
              </w:rPr>
            </w:pPr>
            <w:r>
              <w:rPr>
                <w:w w:val="80"/>
                <w:sz w:val="18"/>
              </w:rPr>
              <w:t>267,241</w:t>
            </w:r>
          </w:p>
        </w:tc>
        <w:tc>
          <w:tcPr>
            <w:tcW w:w="1463" w:type="dxa"/>
            <w:tcBorders>
              <w:top w:val="nil"/>
              <w:bottom w:val="nil"/>
              <w:right w:val="nil"/>
            </w:tcBorders>
          </w:tcPr>
          <w:p>
            <w:pPr>
              <w:pStyle w:val="TableParagraph"/>
              <w:spacing w:line="195" w:lineRule="exact"/>
              <w:ind w:left="531"/>
              <w:rPr>
                <w:sz w:val="18"/>
              </w:rPr>
            </w:pPr>
            <w:r>
              <w:rPr>
                <w:sz w:val="18"/>
              </w:rPr>
              <w:t>45.61</w:t>
            </w:r>
          </w:p>
        </w:tc>
      </w:tr>
      <w:tr>
        <w:trPr>
          <w:trHeight w:val="305" w:hRule="exact"/>
        </w:trPr>
        <w:tc>
          <w:tcPr>
            <w:tcW w:w="1168" w:type="dxa"/>
            <w:tcBorders>
              <w:top w:val="nil"/>
              <w:left w:val="nil"/>
              <w:bottom w:val="nil"/>
              <w:right w:val="single" w:sz="7" w:space="0" w:color="000000"/>
            </w:tcBorders>
          </w:tcPr>
          <w:p>
            <w:pPr>
              <w:pStyle w:val="TableParagraph"/>
              <w:spacing w:before="80"/>
              <w:ind w:left="392" w:right="380"/>
              <w:jc w:val="center"/>
              <w:rPr>
                <w:rFonts w:ascii="Times New Roman"/>
                <w:sz w:val="18"/>
              </w:rPr>
            </w:pPr>
            <w:r>
              <w:rPr>
                <w:rFonts w:ascii="Times New Roman"/>
                <w:sz w:val="18"/>
              </w:rPr>
              <w:t>70</w:t>
            </w:r>
          </w:p>
        </w:tc>
        <w:tc>
          <w:tcPr>
            <w:tcW w:w="1636" w:type="dxa"/>
            <w:tcBorders>
              <w:top w:val="nil"/>
              <w:left w:val="single" w:sz="7" w:space="0" w:color="000000"/>
              <w:bottom w:val="nil"/>
              <w:right w:val="single" w:sz="7" w:space="0" w:color="000000"/>
            </w:tcBorders>
          </w:tcPr>
          <w:p>
            <w:pPr>
              <w:pStyle w:val="TableParagraph"/>
              <w:spacing w:before="95"/>
              <w:ind w:left="489"/>
              <w:rPr>
                <w:sz w:val="18"/>
              </w:rPr>
            </w:pPr>
            <w:r>
              <w:rPr>
                <w:sz w:val="18"/>
              </w:rPr>
              <w:t>5,592,012'</w:t>
            </w:r>
          </w:p>
        </w:tc>
        <w:tc>
          <w:tcPr>
            <w:tcW w:w="1467" w:type="dxa"/>
            <w:tcBorders>
              <w:top w:val="nil"/>
              <w:left w:val="single" w:sz="7" w:space="0" w:color="000000"/>
              <w:bottom w:val="nil"/>
            </w:tcBorders>
          </w:tcPr>
          <w:p>
            <w:pPr>
              <w:pStyle w:val="TableParagraph"/>
              <w:spacing w:before="99"/>
              <w:ind w:right="449"/>
              <w:jc w:val="right"/>
              <w:rPr>
                <w:rFonts w:ascii="Times New Roman"/>
                <w:b/>
                <w:sz w:val="16"/>
              </w:rPr>
            </w:pPr>
            <w:r>
              <w:rPr>
                <w:rFonts w:ascii="Times New Roman"/>
                <w:b/>
                <w:w w:val="105"/>
                <w:sz w:val="16"/>
              </w:rPr>
              <w:t>278,426</w:t>
            </w:r>
          </w:p>
        </w:tc>
        <w:tc>
          <w:tcPr>
            <w:tcW w:w="1463" w:type="dxa"/>
            <w:tcBorders>
              <w:top w:val="nil"/>
              <w:bottom w:val="nil"/>
              <w:right w:val="nil"/>
            </w:tcBorders>
          </w:tcPr>
          <w:p>
            <w:pPr>
              <w:pStyle w:val="TableParagraph"/>
              <w:spacing w:before="98"/>
              <w:ind w:left="531"/>
              <w:rPr>
                <w:sz w:val="18"/>
              </w:rPr>
            </w:pPr>
            <w:r>
              <w:rPr>
                <w:w w:val="105"/>
                <w:sz w:val="18"/>
              </w:rPr>
              <w:t>49.79</w:t>
            </w:r>
          </w:p>
        </w:tc>
      </w:tr>
      <w:tr>
        <w:trPr>
          <w:trHeight w:val="202" w:hRule="exact"/>
        </w:trPr>
        <w:tc>
          <w:tcPr>
            <w:tcW w:w="1168" w:type="dxa"/>
            <w:tcBorders>
              <w:top w:val="nil"/>
              <w:left w:val="nil"/>
              <w:bottom w:val="nil"/>
              <w:right w:val="single" w:sz="7" w:space="0" w:color="000000"/>
            </w:tcBorders>
          </w:tcPr>
          <w:p>
            <w:pPr>
              <w:pStyle w:val="TableParagraph"/>
              <w:spacing w:line="179" w:lineRule="exact"/>
              <w:ind w:left="392" w:right="364"/>
              <w:jc w:val="center"/>
              <w:rPr>
                <w:rFonts w:ascii="Arial"/>
                <w:sz w:val="16"/>
              </w:rPr>
            </w:pPr>
            <w:r>
              <w:rPr>
                <w:rFonts w:ascii="Arial"/>
                <w:w w:val="105"/>
                <w:sz w:val="16"/>
              </w:rPr>
              <w:t>71</w:t>
            </w:r>
          </w:p>
        </w:tc>
        <w:tc>
          <w:tcPr>
            <w:tcW w:w="1636" w:type="dxa"/>
            <w:tcBorders>
              <w:top w:val="nil"/>
              <w:left w:val="single" w:sz="7" w:space="0" w:color="000000"/>
              <w:bottom w:val="nil"/>
              <w:right w:val="single" w:sz="7" w:space="0" w:color="000000"/>
            </w:tcBorders>
          </w:tcPr>
          <w:p>
            <w:pPr>
              <w:pStyle w:val="TableParagraph"/>
              <w:spacing w:line="199" w:lineRule="exact"/>
              <w:ind w:left="493"/>
              <w:rPr>
                <w:sz w:val="18"/>
              </w:rPr>
            </w:pPr>
            <w:r>
              <w:rPr>
                <w:w w:val="95"/>
                <w:sz w:val="18"/>
              </w:rPr>
              <w:t>5,313,586</w:t>
            </w:r>
          </w:p>
        </w:tc>
        <w:tc>
          <w:tcPr>
            <w:tcW w:w="1467" w:type="dxa"/>
            <w:tcBorders>
              <w:top w:val="nil"/>
              <w:left w:val="single" w:sz="7" w:space="0" w:color="000000"/>
              <w:bottom w:val="nil"/>
            </w:tcBorders>
          </w:tcPr>
          <w:p>
            <w:pPr>
              <w:pStyle w:val="TableParagraph"/>
              <w:spacing w:line="199" w:lineRule="exact"/>
              <w:ind w:right="423"/>
              <w:jc w:val="right"/>
              <w:rPr>
                <w:sz w:val="18"/>
              </w:rPr>
            </w:pPr>
            <w:r>
              <w:rPr>
                <w:w w:val="70"/>
                <w:sz w:val="18"/>
              </w:rPr>
              <w:t>2frl,731</w:t>
            </w:r>
          </w:p>
        </w:tc>
        <w:tc>
          <w:tcPr>
            <w:tcW w:w="1463" w:type="dxa"/>
            <w:tcBorders>
              <w:top w:val="nil"/>
              <w:bottom w:val="nil"/>
              <w:right w:val="nil"/>
            </w:tcBorders>
          </w:tcPr>
          <w:p>
            <w:pPr>
              <w:pStyle w:val="TableParagraph"/>
              <w:spacing w:line="182" w:lineRule="exact"/>
              <w:ind w:left="534"/>
              <w:rPr>
                <w:rFonts w:ascii="Times New Roman"/>
                <w:sz w:val="17"/>
              </w:rPr>
            </w:pPr>
            <w:r>
              <w:rPr>
                <w:rFonts w:ascii="Times New Roman"/>
                <w:w w:val="115"/>
                <w:sz w:val="17"/>
              </w:rPr>
              <w:t>54.15</w:t>
            </w:r>
          </w:p>
        </w:tc>
      </w:tr>
      <w:tr>
        <w:trPr>
          <w:trHeight w:val="199" w:hRule="exact"/>
        </w:trPr>
        <w:tc>
          <w:tcPr>
            <w:tcW w:w="1168" w:type="dxa"/>
            <w:tcBorders>
              <w:top w:val="nil"/>
              <w:left w:val="nil"/>
              <w:bottom w:val="nil"/>
              <w:right w:val="single" w:sz="7" w:space="0" w:color="000000"/>
            </w:tcBorders>
          </w:tcPr>
          <w:p>
            <w:pPr>
              <w:pStyle w:val="TableParagraph"/>
              <w:spacing w:line="195" w:lineRule="exact"/>
              <w:ind w:left="392" w:right="340"/>
              <w:jc w:val="center"/>
              <w:rPr>
                <w:sz w:val="18"/>
              </w:rPr>
            </w:pPr>
            <w:r>
              <w:rPr>
                <w:w w:val="105"/>
                <w:sz w:val="18"/>
              </w:rPr>
              <w:t>72</w:t>
            </w:r>
          </w:p>
        </w:tc>
        <w:tc>
          <w:tcPr>
            <w:tcW w:w="1636" w:type="dxa"/>
            <w:tcBorders>
              <w:top w:val="nil"/>
              <w:left w:val="single" w:sz="7" w:space="0" w:color="000000"/>
              <w:bottom w:val="nil"/>
              <w:right w:val="single" w:sz="7" w:space="0" w:color="000000"/>
            </w:tcBorders>
          </w:tcPr>
          <w:p>
            <w:pPr>
              <w:pStyle w:val="TableParagraph"/>
              <w:spacing w:line="195" w:lineRule="exact"/>
              <w:ind w:left="496"/>
              <w:rPr>
                <w:sz w:val="18"/>
              </w:rPr>
            </w:pPr>
            <w:r>
              <w:rPr>
                <w:sz w:val="18"/>
              </w:rPr>
              <w:t>5,025,855</w:t>
            </w:r>
          </w:p>
        </w:tc>
        <w:tc>
          <w:tcPr>
            <w:tcW w:w="1467" w:type="dxa"/>
            <w:tcBorders>
              <w:top w:val="nil"/>
              <w:left w:val="single" w:sz="7" w:space="0" w:color="000000"/>
              <w:bottom w:val="nil"/>
            </w:tcBorders>
          </w:tcPr>
          <w:p>
            <w:pPr>
              <w:pStyle w:val="TableParagraph"/>
              <w:spacing w:line="199" w:lineRule="exact"/>
              <w:ind w:right="418"/>
              <w:jc w:val="right"/>
              <w:rPr>
                <w:sz w:val="18"/>
              </w:rPr>
            </w:pPr>
            <w:r>
              <w:rPr>
                <w:w w:val="80"/>
                <w:sz w:val="18"/>
              </w:rPr>
              <w:t>294,766</w:t>
            </w:r>
          </w:p>
        </w:tc>
        <w:tc>
          <w:tcPr>
            <w:tcW w:w="1463" w:type="dxa"/>
            <w:tcBorders>
              <w:top w:val="nil"/>
              <w:bottom w:val="nil"/>
              <w:right w:val="nil"/>
            </w:tcBorders>
          </w:tcPr>
          <w:p>
            <w:pPr>
              <w:pStyle w:val="TableParagraph"/>
              <w:spacing w:line="199" w:lineRule="exact"/>
              <w:ind w:left="534"/>
              <w:rPr>
                <w:sz w:val="18"/>
              </w:rPr>
            </w:pPr>
            <w:r>
              <w:rPr>
                <w:sz w:val="18"/>
              </w:rPr>
              <w:t>58.65</w:t>
            </w:r>
          </w:p>
        </w:tc>
      </w:tr>
      <w:tr>
        <w:trPr>
          <w:trHeight w:val="198" w:hRule="exact"/>
        </w:trPr>
        <w:tc>
          <w:tcPr>
            <w:tcW w:w="1168" w:type="dxa"/>
            <w:tcBorders>
              <w:top w:val="nil"/>
              <w:left w:val="nil"/>
              <w:bottom w:val="nil"/>
              <w:right w:val="single" w:sz="7" w:space="0" w:color="000000"/>
            </w:tcBorders>
          </w:tcPr>
          <w:p>
            <w:pPr>
              <w:pStyle w:val="TableParagraph"/>
              <w:spacing w:line="180" w:lineRule="exact"/>
              <w:ind w:left="392" w:right="372"/>
              <w:jc w:val="center"/>
              <w:rPr>
                <w:rFonts w:ascii="Times New Roman"/>
                <w:sz w:val="17"/>
              </w:rPr>
            </w:pPr>
            <w:r>
              <w:rPr>
                <w:rFonts w:ascii="Times New Roman"/>
                <w:sz w:val="17"/>
              </w:rPr>
              <w:t>73</w:t>
            </w:r>
          </w:p>
        </w:tc>
        <w:tc>
          <w:tcPr>
            <w:tcW w:w="1636" w:type="dxa"/>
            <w:tcBorders>
              <w:top w:val="nil"/>
              <w:left w:val="single" w:sz="7" w:space="0" w:color="000000"/>
              <w:bottom w:val="nil"/>
              <w:right w:val="single" w:sz="7" w:space="0" w:color="000000"/>
            </w:tcBorders>
          </w:tcPr>
          <w:p>
            <w:pPr>
              <w:pStyle w:val="TableParagraph"/>
              <w:spacing w:line="194" w:lineRule="exact"/>
              <w:ind w:left="493"/>
              <w:rPr>
                <w:b/>
                <w:sz w:val="18"/>
              </w:rPr>
            </w:pPr>
            <w:r>
              <w:rPr>
                <w:b/>
                <w:w w:val="95"/>
                <w:sz w:val="18"/>
              </w:rPr>
              <w:t>4,731,089</w:t>
            </w:r>
          </w:p>
        </w:tc>
        <w:tc>
          <w:tcPr>
            <w:tcW w:w="1467" w:type="dxa"/>
            <w:tcBorders>
              <w:top w:val="nil"/>
              <w:left w:val="single" w:sz="7" w:space="0" w:color="000000"/>
              <w:bottom w:val="nil"/>
            </w:tcBorders>
          </w:tcPr>
          <w:p>
            <w:pPr>
              <w:pStyle w:val="TableParagraph"/>
              <w:spacing w:line="178" w:lineRule="exact"/>
              <w:ind w:right="447"/>
              <w:jc w:val="right"/>
              <w:rPr>
                <w:rFonts w:ascii="Times New Roman"/>
                <w:b/>
                <w:sz w:val="16"/>
              </w:rPr>
            </w:pPr>
            <w:r>
              <w:rPr>
                <w:rFonts w:ascii="Times New Roman"/>
                <w:b/>
                <w:w w:val="105"/>
                <w:sz w:val="16"/>
              </w:rPr>
              <w:t>299,289</w:t>
            </w:r>
          </w:p>
        </w:tc>
        <w:tc>
          <w:tcPr>
            <w:tcW w:w="1463" w:type="dxa"/>
            <w:tcBorders>
              <w:top w:val="nil"/>
              <w:bottom w:val="nil"/>
              <w:right w:val="nil"/>
            </w:tcBorders>
          </w:tcPr>
          <w:p>
            <w:pPr>
              <w:pStyle w:val="TableParagraph"/>
              <w:spacing w:line="198" w:lineRule="exact"/>
              <w:ind w:left="531"/>
              <w:rPr>
                <w:sz w:val="18"/>
              </w:rPr>
            </w:pPr>
            <w:r>
              <w:rPr>
                <w:w w:val="90"/>
                <w:sz w:val="18"/>
              </w:rPr>
              <w:t>63.26</w:t>
            </w:r>
          </w:p>
        </w:tc>
      </w:tr>
      <w:tr>
        <w:trPr>
          <w:trHeight w:val="303" w:hRule="exact"/>
        </w:trPr>
        <w:tc>
          <w:tcPr>
            <w:tcW w:w="1168" w:type="dxa"/>
            <w:tcBorders>
              <w:top w:val="nil"/>
              <w:left w:val="nil"/>
              <w:bottom w:val="single" w:sz="7" w:space="0" w:color="000000"/>
              <w:right w:val="single" w:sz="7" w:space="0" w:color="000000"/>
            </w:tcBorders>
          </w:tcPr>
          <w:p>
            <w:pPr>
              <w:pStyle w:val="TableParagraph"/>
              <w:spacing w:line="197" w:lineRule="exact"/>
              <w:ind w:left="392" w:right="362"/>
              <w:jc w:val="center"/>
              <w:rPr>
                <w:b/>
                <w:sz w:val="18"/>
              </w:rPr>
            </w:pPr>
            <w:r>
              <w:rPr>
                <w:b/>
                <w:sz w:val="18"/>
              </w:rPr>
              <w:t>74</w:t>
            </w:r>
          </w:p>
        </w:tc>
        <w:tc>
          <w:tcPr>
            <w:tcW w:w="1636" w:type="dxa"/>
            <w:tcBorders>
              <w:top w:val="nil"/>
              <w:left w:val="single" w:sz="7" w:space="0" w:color="000000"/>
              <w:bottom w:val="single" w:sz="7" w:space="0" w:color="000000"/>
              <w:right w:val="single" w:sz="7" w:space="0" w:color="000000"/>
            </w:tcBorders>
          </w:tcPr>
          <w:p>
            <w:pPr>
              <w:pStyle w:val="TableParagraph"/>
              <w:spacing w:line="194" w:lineRule="exact"/>
              <w:ind w:left="493"/>
              <w:rPr>
                <w:b/>
                <w:sz w:val="18"/>
              </w:rPr>
            </w:pPr>
            <w:r>
              <w:rPr>
                <w:b/>
                <w:w w:val="85"/>
                <w:sz w:val="18"/>
              </w:rPr>
              <w:t>4,431,800</w:t>
            </w:r>
          </w:p>
        </w:tc>
        <w:tc>
          <w:tcPr>
            <w:tcW w:w="1467" w:type="dxa"/>
            <w:tcBorders>
              <w:top w:val="nil"/>
              <w:left w:val="single" w:sz="7" w:space="0" w:color="000000"/>
              <w:bottom w:val="single" w:sz="7" w:space="0" w:color="000000"/>
            </w:tcBorders>
          </w:tcPr>
          <w:p>
            <w:pPr>
              <w:pStyle w:val="TableParagraph"/>
              <w:spacing w:line="178" w:lineRule="exact"/>
              <w:ind w:right="442"/>
              <w:jc w:val="right"/>
              <w:rPr>
                <w:rFonts w:ascii="Times New Roman"/>
                <w:sz w:val="16"/>
              </w:rPr>
            </w:pPr>
            <w:r>
              <w:rPr>
                <w:rFonts w:ascii="Times New Roman"/>
                <w:w w:val="105"/>
                <w:sz w:val="16"/>
              </w:rPr>
              <w:t>301,894</w:t>
            </w:r>
          </w:p>
        </w:tc>
        <w:tc>
          <w:tcPr>
            <w:tcW w:w="1463" w:type="dxa"/>
            <w:tcBorders>
              <w:top w:val="nil"/>
              <w:bottom w:val="single" w:sz="7" w:space="0" w:color="000000"/>
              <w:right w:val="nil"/>
            </w:tcBorders>
          </w:tcPr>
          <w:p>
            <w:pPr>
              <w:pStyle w:val="TableParagraph"/>
              <w:spacing w:line="194" w:lineRule="exact"/>
              <w:ind w:left="534"/>
              <w:rPr>
                <w:sz w:val="18"/>
              </w:rPr>
            </w:pPr>
            <w:r>
              <w:rPr>
                <w:w w:val="95"/>
                <w:sz w:val="18"/>
              </w:rPr>
              <w:t>68.12</w:t>
            </w:r>
          </w:p>
        </w:tc>
      </w:tr>
    </w:tbl>
    <w:p>
      <w:pPr>
        <w:spacing w:before="91"/>
        <w:ind w:left="74" w:right="82" w:firstLine="0"/>
        <w:jc w:val="center"/>
        <w:rPr>
          <w:sz w:val="18"/>
        </w:rPr>
      </w:pPr>
      <w:r>
        <w:rPr>
          <w:sz w:val="18"/>
        </w:rPr>
        <w:t>334</w:t>
      </w:r>
    </w:p>
    <w:p>
      <w:pPr>
        <w:spacing w:after="0"/>
        <w:jc w:val="center"/>
        <w:rPr>
          <w:sz w:val="18"/>
        </w:rPr>
        <w:sectPr>
          <w:pgSz w:w="7200" w:h="11340"/>
          <w:pgMar w:top="140" w:bottom="0" w:left="700" w:right="520"/>
        </w:sectPr>
      </w:pPr>
    </w:p>
    <w:p>
      <w:pPr>
        <w:tabs>
          <w:tab w:pos="5861" w:val="right" w:leader="none"/>
        </w:tabs>
        <w:spacing w:before="54"/>
        <w:ind w:left="2598" w:right="0" w:firstLine="0"/>
        <w:jc w:val="left"/>
        <w:rPr>
          <w:rFonts w:ascii="Courier New"/>
          <w:sz w:val="22"/>
        </w:rPr>
      </w:pPr>
      <w:r>
        <w:rPr>
          <w:rFonts w:ascii="Courier New"/>
          <w:spacing w:val="-7"/>
          <w:w w:val="110"/>
          <w:sz w:val="17"/>
        </w:rPr>
        <w:t>TABLE</w:t>
      </w:r>
      <w:r>
        <w:rPr>
          <w:rFonts w:ascii="Courier New"/>
          <w:spacing w:val="-27"/>
          <w:w w:val="110"/>
          <w:sz w:val="17"/>
        </w:rPr>
        <w:t> </w:t>
      </w:r>
      <w:r>
        <w:rPr>
          <w:rFonts w:ascii="Courier New"/>
          <w:w w:val="110"/>
          <w:sz w:val="17"/>
        </w:rPr>
        <w:t>A</w:t>
      </w:r>
      <w:r>
        <w:rPr>
          <w:rFonts w:ascii="Courier New"/>
          <w:w w:val="110"/>
          <w:sz w:val="22"/>
        </w:rPr>
        <w:tab/>
      </w:r>
      <w:r>
        <w:rPr>
          <w:rFonts w:ascii="Courier New"/>
          <w:spacing w:val="-24"/>
          <w:w w:val="110"/>
          <w:sz w:val="22"/>
        </w:rPr>
        <w:t>335</w:t>
      </w:r>
    </w:p>
    <w:p>
      <w:pPr>
        <w:spacing w:before="162"/>
        <w:ind w:left="74" w:right="121" w:firstLine="0"/>
        <w:jc w:val="center"/>
        <w:rPr>
          <w:sz w:val="18"/>
        </w:rPr>
      </w:pPr>
      <w:r>
        <w:rPr>
          <w:i/>
          <w:sz w:val="17"/>
        </w:rPr>
        <w:t>1968 </w:t>
      </w:r>
      <w:r>
        <w:rPr>
          <w:rFonts w:ascii="Arial"/>
          <w:i/>
          <w:sz w:val="24"/>
        </w:rPr>
        <w:t>eso </w:t>
      </w:r>
      <w:r>
        <w:rPr>
          <w:i/>
          <w:sz w:val="17"/>
        </w:rPr>
        <w:t>MOTtalit11 </w:t>
      </w:r>
      <w:r>
        <w:rPr>
          <w:sz w:val="18"/>
        </w:rPr>
        <w:t>Table-Continued</w:t>
      </w:r>
    </w:p>
    <w:p>
      <w:pPr>
        <w:spacing w:before="18" w:after="57"/>
        <w:ind w:left="74" w:right="123" w:firstLine="0"/>
        <w:jc w:val="center"/>
        <w:rPr>
          <w:i/>
          <w:sz w:val="18"/>
        </w:rPr>
      </w:pPr>
      <w:r>
        <w:rPr>
          <w:i/>
          <w:w w:val="95"/>
          <w:sz w:val="18"/>
        </w:rPr>
        <w:t>M al.e Lives</w:t>
      </w: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
        <w:gridCol w:w="976"/>
        <w:gridCol w:w="1625"/>
        <w:gridCol w:w="281"/>
        <w:gridCol w:w="1189"/>
        <w:gridCol w:w="1440"/>
      </w:tblGrid>
      <w:tr>
        <w:trPr>
          <w:trHeight w:val="398" w:hRule="exact"/>
        </w:trPr>
        <w:tc>
          <w:tcPr>
            <w:tcW w:w="183" w:type="dxa"/>
            <w:vMerge w:val="restart"/>
            <w:tcBorders>
              <w:left w:val="nil"/>
              <w:right w:val="nil"/>
            </w:tcBorders>
          </w:tcPr>
          <w:p>
            <w:pPr/>
          </w:p>
        </w:tc>
        <w:tc>
          <w:tcPr>
            <w:tcW w:w="976" w:type="dxa"/>
            <w:tcBorders>
              <w:left w:val="nil"/>
              <w:bottom w:val="single" w:sz="7" w:space="0" w:color="000000"/>
              <w:right w:val="single" w:sz="9" w:space="0" w:color="000000"/>
            </w:tcBorders>
          </w:tcPr>
          <w:p>
            <w:pPr>
              <w:pStyle w:val="TableParagraph"/>
              <w:spacing w:before="111"/>
              <w:ind w:left="337"/>
              <w:rPr>
                <w:rFonts w:ascii="Arial"/>
                <w:sz w:val="12"/>
              </w:rPr>
            </w:pPr>
            <w:r>
              <w:rPr>
                <w:rFonts w:ascii="Arial"/>
                <w:w w:val="130"/>
                <w:sz w:val="12"/>
              </w:rPr>
              <w:t>s</w:t>
            </w:r>
          </w:p>
        </w:tc>
        <w:tc>
          <w:tcPr>
            <w:tcW w:w="1625" w:type="dxa"/>
            <w:tcBorders>
              <w:left w:val="single" w:sz="9" w:space="0" w:color="000000"/>
              <w:bottom w:val="single" w:sz="7" w:space="0" w:color="000000"/>
              <w:right w:val="single" w:sz="7" w:space="0" w:color="000000"/>
            </w:tcBorders>
          </w:tcPr>
          <w:p>
            <w:pPr>
              <w:pStyle w:val="TableParagraph"/>
              <w:spacing w:line="259" w:lineRule="exact"/>
              <w:ind w:left="736" w:right="677"/>
              <w:jc w:val="center"/>
              <w:rPr>
                <w:rFonts w:ascii="Times New Roman"/>
                <w:sz w:val="43"/>
              </w:rPr>
            </w:pPr>
            <w:r>
              <w:rPr>
                <w:rFonts w:ascii="Times New Roman"/>
                <w:w w:val="70"/>
                <w:sz w:val="43"/>
              </w:rPr>
              <w:t>,.</w:t>
            </w:r>
          </w:p>
        </w:tc>
        <w:tc>
          <w:tcPr>
            <w:tcW w:w="281" w:type="dxa"/>
            <w:tcBorders>
              <w:left w:val="single" w:sz="7" w:space="0" w:color="000000"/>
              <w:right w:val="nil"/>
            </w:tcBorders>
          </w:tcPr>
          <w:p>
            <w:pPr>
              <w:pStyle w:val="TableParagraph"/>
              <w:spacing w:before="16"/>
              <w:ind w:left="62"/>
              <w:rPr>
                <w:rFonts w:ascii="Times New Roman"/>
                <w:sz w:val="8"/>
              </w:rPr>
            </w:pPr>
            <w:r>
              <w:rPr>
                <w:rFonts w:ascii="Times New Roman"/>
                <w:w w:val="135"/>
                <w:sz w:val="8"/>
              </w:rPr>
              <w:t>l</w:t>
            </w:r>
          </w:p>
        </w:tc>
        <w:tc>
          <w:tcPr>
            <w:tcW w:w="1189" w:type="dxa"/>
            <w:tcBorders>
              <w:left w:val="nil"/>
              <w:right w:val="single" w:sz="7" w:space="0" w:color="000000"/>
            </w:tcBorders>
          </w:tcPr>
          <w:p>
            <w:pPr>
              <w:pStyle w:val="TableParagraph"/>
              <w:spacing w:line="355" w:lineRule="exact" w:before="69"/>
              <w:ind w:left="385"/>
              <w:rPr>
                <w:rFonts w:ascii="Times New Roman" w:hAnsi="Times New Roman"/>
                <w:sz w:val="32"/>
              </w:rPr>
            </w:pPr>
            <w:r>
              <w:rPr>
                <w:rFonts w:ascii="Times New Roman" w:hAnsi="Times New Roman"/>
                <w:spacing w:val="-71"/>
                <w:w w:val="212"/>
                <w:sz w:val="32"/>
              </w:rPr>
              <w:t>'</w:t>
            </w:r>
            <w:r>
              <w:rPr>
                <w:rFonts w:ascii="Times New Roman" w:hAnsi="Times New Roman"/>
                <w:w w:val="62"/>
                <w:sz w:val="32"/>
              </w:rPr>
              <w:t>ª</w:t>
            </w:r>
          </w:p>
        </w:tc>
        <w:tc>
          <w:tcPr>
            <w:tcW w:w="1440" w:type="dxa"/>
            <w:tcBorders>
              <w:left w:val="single" w:sz="7" w:space="0" w:color="000000"/>
              <w:right w:val="nil"/>
            </w:tcBorders>
          </w:tcPr>
          <w:p>
            <w:pPr>
              <w:pStyle w:val="TableParagraph"/>
              <w:spacing w:before="4"/>
              <w:rPr>
                <w:rFonts w:ascii="Times New Roman"/>
                <w:i/>
                <w:sz w:val="11"/>
              </w:rPr>
            </w:pPr>
          </w:p>
          <w:p>
            <w:pPr>
              <w:pStyle w:val="TableParagraph"/>
              <w:spacing w:before="1"/>
              <w:ind w:left="521" w:right="492"/>
              <w:jc w:val="center"/>
              <w:rPr>
                <w:rFonts w:ascii="Times New Roman"/>
                <w:sz w:val="13"/>
              </w:rPr>
            </w:pPr>
            <w:r>
              <w:rPr>
                <w:rFonts w:ascii="Times New Roman"/>
                <w:w w:val="90"/>
                <w:sz w:val="13"/>
              </w:rPr>
              <w:t>lOOOfa</w:t>
            </w:r>
          </w:p>
        </w:tc>
      </w:tr>
      <w:tr>
        <w:trPr>
          <w:trHeight w:val="1212" w:hRule="exact"/>
        </w:trPr>
        <w:tc>
          <w:tcPr>
            <w:tcW w:w="183" w:type="dxa"/>
            <w:vMerge/>
            <w:tcBorders>
              <w:left w:val="nil"/>
              <w:right w:val="nil"/>
            </w:tcBorders>
          </w:tcPr>
          <w:p>
            <w:pPr/>
          </w:p>
        </w:tc>
        <w:tc>
          <w:tcPr>
            <w:tcW w:w="976" w:type="dxa"/>
            <w:tcBorders>
              <w:top w:val="single" w:sz="7" w:space="0" w:color="000000"/>
              <w:left w:val="nil"/>
              <w:bottom w:val="nil"/>
              <w:right w:val="single" w:sz="9" w:space="0" w:color="000000"/>
            </w:tcBorders>
          </w:tcPr>
          <w:p>
            <w:pPr>
              <w:pStyle w:val="TableParagraph"/>
              <w:spacing w:line="208" w:lineRule="exact" w:before="83"/>
              <w:ind w:left="308"/>
              <w:rPr>
                <w:sz w:val="19"/>
              </w:rPr>
            </w:pPr>
            <w:r>
              <w:rPr>
                <w:sz w:val="19"/>
              </w:rPr>
              <w:t>75</w:t>
            </w:r>
          </w:p>
          <w:p>
            <w:pPr>
              <w:pStyle w:val="TableParagraph"/>
              <w:spacing w:line="188" w:lineRule="exact"/>
              <w:ind w:left="276"/>
              <w:rPr>
                <w:rFonts w:ascii="Arial"/>
                <w:sz w:val="17"/>
              </w:rPr>
            </w:pPr>
            <w:r>
              <w:rPr>
                <w:rFonts w:ascii="Arial"/>
                <w:w w:val="115"/>
                <w:sz w:val="17"/>
              </w:rPr>
              <w:t>Je</w:t>
            </w:r>
          </w:p>
          <w:p>
            <w:pPr>
              <w:pStyle w:val="TableParagraph"/>
              <w:spacing w:line="210" w:lineRule="exact" w:before="3"/>
              <w:ind w:left="304"/>
              <w:rPr>
                <w:sz w:val="19"/>
              </w:rPr>
            </w:pPr>
            <w:r>
              <w:rPr>
                <w:sz w:val="19"/>
              </w:rPr>
              <w:t>77</w:t>
            </w:r>
          </w:p>
          <w:p>
            <w:pPr>
              <w:pStyle w:val="TableParagraph"/>
              <w:spacing w:line="196" w:lineRule="exact"/>
              <w:ind w:left="312"/>
              <w:rPr>
                <w:sz w:val="19"/>
              </w:rPr>
            </w:pPr>
            <w:r>
              <w:rPr>
                <w:w w:val="110"/>
                <w:sz w:val="19"/>
              </w:rPr>
              <w:t>78</w:t>
            </w:r>
          </w:p>
          <w:p>
            <w:pPr>
              <w:pStyle w:val="TableParagraph"/>
              <w:spacing w:line="193" w:lineRule="exact"/>
              <w:ind w:left="304"/>
              <w:rPr>
                <w:rFonts w:ascii="Times New Roman"/>
                <w:sz w:val="18"/>
              </w:rPr>
            </w:pPr>
            <w:r>
              <w:rPr>
                <w:rFonts w:ascii="Times New Roman"/>
                <w:sz w:val="18"/>
              </w:rPr>
              <w:t>79</w:t>
            </w:r>
          </w:p>
        </w:tc>
        <w:tc>
          <w:tcPr>
            <w:tcW w:w="1625" w:type="dxa"/>
            <w:tcBorders>
              <w:top w:val="single" w:sz="7" w:space="0" w:color="000000"/>
              <w:left w:val="single" w:sz="9" w:space="0" w:color="000000"/>
              <w:bottom w:val="nil"/>
              <w:right w:val="single" w:sz="7" w:space="0" w:color="000000"/>
            </w:tcBorders>
          </w:tcPr>
          <w:p>
            <w:pPr>
              <w:pStyle w:val="TableParagraph"/>
              <w:spacing w:line="208" w:lineRule="exact" w:before="79"/>
              <w:ind w:left="448"/>
              <w:rPr>
                <w:sz w:val="19"/>
              </w:rPr>
            </w:pPr>
            <w:r>
              <w:rPr>
                <w:w w:val="90"/>
                <w:sz w:val="19"/>
              </w:rPr>
              <w:t>4,129,906</w:t>
            </w:r>
          </w:p>
          <w:p>
            <w:pPr>
              <w:pStyle w:val="TableParagraph"/>
              <w:spacing w:line="201" w:lineRule="exact"/>
              <w:ind w:left="452"/>
              <w:rPr>
                <w:sz w:val="19"/>
              </w:rPr>
            </w:pPr>
            <w:r>
              <w:rPr>
                <w:w w:val="90"/>
                <w:sz w:val="19"/>
              </w:rPr>
              <w:t>3,826,895</w:t>
            </w:r>
          </w:p>
          <w:p>
            <w:pPr>
              <w:pStyle w:val="TableParagraph"/>
              <w:spacing w:line="196" w:lineRule="exact"/>
              <w:ind w:left="452"/>
              <w:rPr>
                <w:sz w:val="19"/>
              </w:rPr>
            </w:pPr>
            <w:r>
              <w:rPr>
                <w:w w:val="95"/>
                <w:sz w:val="19"/>
              </w:rPr>
              <w:t>3,5Z3,881</w:t>
            </w:r>
          </w:p>
          <w:p>
            <w:pPr>
              <w:pStyle w:val="TableParagraph"/>
              <w:spacing w:line="195" w:lineRule="exact"/>
              <w:ind w:left="441"/>
              <w:rPr>
                <w:rFonts w:ascii="Times New Roman"/>
                <w:sz w:val="18"/>
              </w:rPr>
            </w:pPr>
            <w:r>
              <w:rPr>
                <w:rFonts w:ascii="Times New Roman"/>
                <w:w w:val="110"/>
                <w:sz w:val="18"/>
              </w:rPr>
              <w:t>3,2'n ,8M</w:t>
            </w:r>
          </w:p>
          <w:p>
            <w:pPr>
              <w:pStyle w:val="TableParagraph"/>
              <w:ind w:left="448"/>
              <w:rPr>
                <w:rFonts w:ascii="Times New Roman"/>
                <w:sz w:val="17"/>
              </w:rPr>
            </w:pPr>
            <w:r>
              <w:rPr>
                <w:rFonts w:ascii="Times New Roman"/>
                <w:w w:val="105"/>
                <w:sz w:val="17"/>
              </w:rPr>
              <w:t>2,922,055</w:t>
            </w:r>
          </w:p>
        </w:tc>
        <w:tc>
          <w:tcPr>
            <w:tcW w:w="1469" w:type="dxa"/>
            <w:gridSpan w:val="2"/>
            <w:tcBorders>
              <w:left w:val="single" w:sz="7" w:space="0" w:color="000000"/>
              <w:bottom w:val="nil"/>
              <w:right w:val="single" w:sz="7" w:space="0" w:color="000000"/>
            </w:tcBorders>
          </w:tcPr>
          <w:p>
            <w:pPr>
              <w:pStyle w:val="TableParagraph"/>
              <w:spacing w:line="207" w:lineRule="exact" w:before="88"/>
              <w:ind w:left="453"/>
              <w:rPr>
                <w:sz w:val="19"/>
              </w:rPr>
            </w:pPr>
            <w:r>
              <w:rPr>
                <w:w w:val="95"/>
                <w:sz w:val="19"/>
              </w:rPr>
              <w:t>303,011</w:t>
            </w:r>
          </w:p>
          <w:p>
            <w:pPr>
              <w:pStyle w:val="TableParagraph"/>
              <w:spacing w:line="200" w:lineRule="exact"/>
              <w:ind w:left="453"/>
              <w:rPr>
                <w:sz w:val="19"/>
              </w:rPr>
            </w:pPr>
            <w:r>
              <w:rPr>
                <w:w w:val="95"/>
                <w:sz w:val="19"/>
              </w:rPr>
              <w:t>303,014</w:t>
            </w:r>
          </w:p>
          <w:p>
            <w:pPr>
              <w:pStyle w:val="TableParagraph"/>
              <w:spacing w:line="203" w:lineRule="exact"/>
              <w:ind w:left="453"/>
              <w:rPr>
                <w:sz w:val="19"/>
              </w:rPr>
            </w:pPr>
            <w:r>
              <w:rPr>
                <w:w w:val="90"/>
                <w:sz w:val="19"/>
              </w:rPr>
              <w:t>301,997</w:t>
            </w:r>
          </w:p>
          <w:p>
            <w:pPr>
              <w:pStyle w:val="TableParagraph"/>
              <w:spacing w:line="210" w:lineRule="exact"/>
              <w:ind w:left="450"/>
              <w:rPr>
                <w:sz w:val="19"/>
              </w:rPr>
            </w:pPr>
            <w:r>
              <w:rPr>
                <w:w w:val="90"/>
                <w:sz w:val="19"/>
              </w:rPr>
              <w:t>299,829</w:t>
            </w:r>
          </w:p>
          <w:p>
            <w:pPr>
              <w:pStyle w:val="TableParagraph"/>
              <w:spacing w:before="2"/>
              <w:ind w:left="453"/>
              <w:rPr>
                <w:rFonts w:ascii="Times New Roman"/>
                <w:sz w:val="16"/>
              </w:rPr>
            </w:pPr>
            <w:r>
              <w:rPr>
                <w:rFonts w:ascii="Times New Roman"/>
                <w:w w:val="105"/>
                <w:sz w:val="16"/>
              </w:rPr>
              <w:t>295,683 </w:t>
            </w:r>
            <w:r>
              <w:rPr>
                <w:rFonts w:ascii="Times New Roman"/>
                <w:color w:val="363636"/>
                <w:w w:val="105"/>
                <w:sz w:val="16"/>
              </w:rPr>
              <w:t>.</w:t>
            </w:r>
          </w:p>
        </w:tc>
        <w:tc>
          <w:tcPr>
            <w:tcW w:w="1440" w:type="dxa"/>
            <w:tcBorders>
              <w:left w:val="single" w:sz="7" w:space="0" w:color="000000"/>
              <w:bottom w:val="nil"/>
              <w:right w:val="nil"/>
            </w:tcBorders>
          </w:tcPr>
          <w:p>
            <w:pPr>
              <w:pStyle w:val="TableParagraph"/>
              <w:spacing w:line="207" w:lineRule="exact" w:before="102"/>
              <w:ind w:left="613"/>
              <w:rPr>
                <w:sz w:val="19"/>
              </w:rPr>
            </w:pPr>
            <w:r>
              <w:rPr>
                <w:sz w:val="19"/>
              </w:rPr>
              <w:t>73.37</w:t>
            </w:r>
          </w:p>
          <w:p>
            <w:pPr>
              <w:pStyle w:val="TableParagraph"/>
              <w:spacing w:line="198" w:lineRule="exact"/>
              <w:ind w:left="609"/>
              <w:rPr>
                <w:sz w:val="19"/>
              </w:rPr>
            </w:pPr>
            <w:r>
              <w:rPr>
                <w:sz w:val="19"/>
              </w:rPr>
              <w:t>79.18</w:t>
            </w:r>
          </w:p>
          <w:p>
            <w:pPr>
              <w:pStyle w:val="TableParagraph"/>
              <w:spacing w:line="201" w:lineRule="exact"/>
              <w:ind w:left="609"/>
              <w:rPr>
                <w:sz w:val="19"/>
              </w:rPr>
            </w:pPr>
            <w:r>
              <w:rPr>
                <w:sz w:val="19"/>
              </w:rPr>
              <w:t>85.70</w:t>
            </w:r>
          </w:p>
          <w:p>
            <w:pPr>
              <w:pStyle w:val="TableParagraph"/>
              <w:spacing w:line="198" w:lineRule="exact"/>
              <w:ind w:left="599"/>
              <w:rPr>
                <w:sz w:val="19"/>
              </w:rPr>
            </w:pPr>
            <w:r>
              <w:rPr>
                <w:sz w:val="19"/>
              </w:rPr>
              <w:t>93.06</w:t>
            </w:r>
          </w:p>
          <w:p>
            <w:pPr>
              <w:pStyle w:val="TableParagraph"/>
              <w:spacing w:line="203" w:lineRule="exact"/>
              <w:ind w:left="541"/>
              <w:rPr>
                <w:sz w:val="19"/>
              </w:rPr>
            </w:pPr>
            <w:r>
              <w:rPr>
                <w:w w:val="95"/>
                <w:sz w:val="19"/>
              </w:rPr>
              <w:t>101.19</w:t>
            </w:r>
          </w:p>
        </w:tc>
      </w:tr>
      <w:tr>
        <w:trPr>
          <w:trHeight w:val="299"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before="83"/>
              <w:ind w:left="304"/>
              <w:rPr>
                <w:rFonts w:ascii="Times New Roman"/>
                <w:sz w:val="17"/>
              </w:rPr>
            </w:pPr>
            <w:r>
              <w:rPr>
                <w:rFonts w:ascii="Times New Roman"/>
                <w:w w:val="105"/>
                <w:sz w:val="17"/>
              </w:rPr>
              <w:t>80</w:t>
            </w:r>
          </w:p>
        </w:tc>
        <w:tc>
          <w:tcPr>
            <w:tcW w:w="1625" w:type="dxa"/>
            <w:tcBorders>
              <w:top w:val="nil"/>
              <w:left w:val="single" w:sz="9" w:space="0" w:color="000000"/>
              <w:bottom w:val="nil"/>
              <w:right w:val="single" w:sz="7" w:space="0" w:color="000000"/>
            </w:tcBorders>
          </w:tcPr>
          <w:p>
            <w:pPr>
              <w:pStyle w:val="TableParagraph"/>
              <w:spacing w:before="84"/>
              <w:ind w:left="452"/>
              <w:rPr>
                <w:sz w:val="19"/>
              </w:rPr>
            </w:pPr>
            <w:r>
              <w:rPr>
                <w:w w:val="95"/>
                <w:sz w:val="19"/>
              </w:rPr>
              <w:t>2,626.,372</w:t>
            </w:r>
          </w:p>
        </w:tc>
        <w:tc>
          <w:tcPr>
            <w:tcW w:w="1469" w:type="dxa"/>
            <w:gridSpan w:val="2"/>
            <w:tcBorders>
              <w:top w:val="nil"/>
              <w:left w:val="single" w:sz="7" w:space="0" w:color="000000"/>
              <w:bottom w:val="nil"/>
              <w:right w:val="single" w:sz="7" w:space="0" w:color="000000"/>
            </w:tcBorders>
          </w:tcPr>
          <w:p>
            <w:pPr>
              <w:pStyle w:val="TableParagraph"/>
              <w:spacing w:before="88"/>
              <w:ind w:left="453"/>
              <w:rPr>
                <w:sz w:val="19"/>
              </w:rPr>
            </w:pPr>
            <w:r>
              <w:rPr>
                <w:w w:val="95"/>
                <w:sz w:val="19"/>
              </w:rPr>
              <w:t>288,848</w:t>
            </w:r>
          </w:p>
        </w:tc>
        <w:tc>
          <w:tcPr>
            <w:tcW w:w="1440" w:type="dxa"/>
            <w:tcBorders>
              <w:top w:val="nil"/>
              <w:left w:val="single" w:sz="7" w:space="0" w:color="000000"/>
              <w:bottom w:val="nil"/>
              <w:right w:val="nil"/>
            </w:tcBorders>
          </w:tcPr>
          <w:p>
            <w:pPr>
              <w:pStyle w:val="TableParagraph"/>
              <w:spacing w:before="88"/>
              <w:ind w:right="384"/>
              <w:jc w:val="right"/>
              <w:rPr>
                <w:sz w:val="19"/>
              </w:rPr>
            </w:pPr>
            <w:r>
              <w:rPr>
                <w:w w:val="85"/>
                <w:sz w:val="19"/>
              </w:rPr>
              <w:t>109.98</w:t>
            </w:r>
          </w:p>
        </w:tc>
      </w:tr>
      <w:tr>
        <w:trPr>
          <w:trHeight w:val="203"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99" w:lineRule="exact"/>
              <w:ind w:left="304"/>
              <w:rPr>
                <w:sz w:val="19"/>
              </w:rPr>
            </w:pPr>
            <w:r>
              <w:rPr>
                <w:sz w:val="19"/>
              </w:rPr>
              <w:t>81</w:t>
            </w:r>
          </w:p>
        </w:tc>
        <w:tc>
          <w:tcPr>
            <w:tcW w:w="1625" w:type="dxa"/>
            <w:tcBorders>
              <w:top w:val="nil"/>
              <w:left w:val="single" w:sz="9" w:space="0" w:color="000000"/>
              <w:bottom w:val="nil"/>
              <w:right w:val="single" w:sz="7" w:space="0" w:color="000000"/>
            </w:tcBorders>
          </w:tcPr>
          <w:p>
            <w:pPr>
              <w:pStyle w:val="TableParagraph"/>
              <w:spacing w:line="202" w:lineRule="exact"/>
              <w:ind w:left="455"/>
              <w:rPr>
                <w:sz w:val="19"/>
              </w:rPr>
            </w:pPr>
            <w:r>
              <w:rPr>
                <w:spacing w:val="-21"/>
                <w:w w:val="102"/>
                <w:sz w:val="19"/>
              </w:rPr>
              <w:t>2</w:t>
            </w:r>
            <w:r>
              <w:rPr>
                <w:spacing w:val="-46"/>
                <w:w w:val="89"/>
                <w:sz w:val="19"/>
              </w:rPr>
              <w:t>,</w:t>
            </w:r>
            <w:r>
              <w:rPr>
                <w:w w:val="73"/>
                <w:sz w:val="19"/>
              </w:rPr>
              <w:t>337</w:t>
            </w:r>
            <w:r>
              <w:rPr>
                <w:spacing w:val="-19"/>
                <w:w w:val="73"/>
                <w:sz w:val="19"/>
              </w:rPr>
              <w:t>,</w:t>
            </w:r>
            <w:r>
              <w:rPr>
                <w:spacing w:val="-38"/>
                <w:w w:val="104"/>
                <w:sz w:val="19"/>
              </w:rPr>
              <w:t>5</w:t>
            </w:r>
            <w:r>
              <w:rPr>
                <w:w w:val="51"/>
                <w:sz w:val="19"/>
              </w:rPr>
              <w:t>24:</w:t>
            </w:r>
          </w:p>
        </w:tc>
        <w:tc>
          <w:tcPr>
            <w:tcW w:w="1469" w:type="dxa"/>
            <w:gridSpan w:val="2"/>
            <w:tcBorders>
              <w:top w:val="nil"/>
              <w:left w:val="single" w:sz="7" w:space="0" w:color="000000"/>
              <w:bottom w:val="nil"/>
              <w:right w:val="single" w:sz="7" w:space="0" w:color="000000"/>
            </w:tcBorders>
          </w:tcPr>
          <w:p>
            <w:pPr>
              <w:pStyle w:val="TableParagraph"/>
              <w:spacing w:line="182" w:lineRule="exact"/>
              <w:ind w:left="453"/>
              <w:rPr>
                <w:rFonts w:ascii="Times New Roman"/>
                <w:sz w:val="17"/>
              </w:rPr>
            </w:pPr>
            <w:r>
              <w:rPr>
                <w:rFonts w:ascii="Times New Roman"/>
                <w:sz w:val="17"/>
              </w:rPr>
              <w:t>278,983</w:t>
            </w:r>
          </w:p>
        </w:tc>
        <w:tc>
          <w:tcPr>
            <w:tcW w:w="1440" w:type="dxa"/>
            <w:tcBorders>
              <w:top w:val="nil"/>
              <w:left w:val="single" w:sz="7" w:space="0" w:color="000000"/>
              <w:bottom w:val="nil"/>
              <w:right w:val="nil"/>
            </w:tcBorders>
          </w:tcPr>
          <w:p>
            <w:pPr>
              <w:pStyle w:val="TableParagraph"/>
              <w:spacing w:line="206" w:lineRule="exact"/>
              <w:ind w:right="394"/>
              <w:jc w:val="right"/>
              <w:rPr>
                <w:sz w:val="19"/>
              </w:rPr>
            </w:pPr>
            <w:r>
              <w:rPr>
                <w:w w:val="80"/>
                <w:sz w:val="19"/>
              </w:rPr>
              <w:t>119.35</w:t>
            </w:r>
          </w:p>
        </w:tc>
      </w:tr>
      <w:tr>
        <w:trPr>
          <w:trHeight w:val="200"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1" w:lineRule="exact"/>
              <w:ind w:left="308"/>
              <w:rPr>
                <w:rFonts w:ascii="Times New Roman"/>
                <w:sz w:val="17"/>
              </w:rPr>
            </w:pPr>
            <w:r>
              <w:rPr>
                <w:rFonts w:ascii="Times New Roman"/>
                <w:w w:val="105"/>
                <w:sz w:val="17"/>
              </w:rPr>
              <w:t>82</w:t>
            </w:r>
          </w:p>
        </w:tc>
        <w:tc>
          <w:tcPr>
            <w:tcW w:w="1625" w:type="dxa"/>
            <w:tcBorders>
              <w:top w:val="nil"/>
              <w:left w:val="single" w:sz="9" w:space="0" w:color="000000"/>
              <w:bottom w:val="nil"/>
              <w:right w:val="single" w:sz="7" w:space="0" w:color="000000"/>
            </w:tcBorders>
          </w:tcPr>
          <w:p>
            <w:pPr>
              <w:pStyle w:val="TableParagraph"/>
              <w:spacing w:line="177" w:lineRule="exact"/>
              <w:ind w:left="452"/>
              <w:rPr>
                <w:rFonts w:ascii="Times New Roman"/>
                <w:sz w:val="17"/>
              </w:rPr>
            </w:pPr>
            <w:r>
              <w:rPr>
                <w:rFonts w:ascii="Times New Roman"/>
                <w:w w:val="110"/>
                <w:sz w:val="17"/>
              </w:rPr>
              <w:t>2,058,SU</w:t>
            </w:r>
          </w:p>
        </w:tc>
        <w:tc>
          <w:tcPr>
            <w:tcW w:w="1469" w:type="dxa"/>
            <w:gridSpan w:val="2"/>
            <w:tcBorders>
              <w:top w:val="nil"/>
              <w:left w:val="single" w:sz="7" w:space="0" w:color="000000"/>
              <w:bottom w:val="nil"/>
              <w:right w:val="single" w:sz="7" w:space="0" w:color="000000"/>
            </w:tcBorders>
          </w:tcPr>
          <w:p>
            <w:pPr>
              <w:pStyle w:val="TableParagraph"/>
              <w:spacing w:line="179" w:lineRule="exact"/>
              <w:ind w:left="457"/>
              <w:rPr>
                <w:rFonts w:ascii="Times New Roman"/>
                <w:sz w:val="16"/>
              </w:rPr>
            </w:pPr>
            <w:r>
              <w:rPr>
                <w:rFonts w:ascii="Times New Roman"/>
                <w:w w:val="110"/>
                <w:sz w:val="16"/>
              </w:rPr>
              <w:t>265,902</w:t>
            </w:r>
          </w:p>
        </w:tc>
        <w:tc>
          <w:tcPr>
            <w:tcW w:w="1440" w:type="dxa"/>
            <w:tcBorders>
              <w:top w:val="nil"/>
              <w:left w:val="single" w:sz="7" w:space="0" w:color="000000"/>
              <w:bottom w:val="nil"/>
              <w:right w:val="nil"/>
            </w:tcBorders>
          </w:tcPr>
          <w:p>
            <w:pPr>
              <w:pStyle w:val="TableParagraph"/>
              <w:spacing w:line="205" w:lineRule="exact"/>
              <w:ind w:right="395"/>
              <w:jc w:val="right"/>
              <w:rPr>
                <w:sz w:val="19"/>
              </w:rPr>
            </w:pPr>
            <w:r>
              <w:rPr>
                <w:w w:val="75"/>
                <w:sz w:val="19"/>
              </w:rPr>
              <w:t>129.17</w:t>
            </w:r>
          </w:p>
        </w:tc>
      </w:tr>
      <w:tr>
        <w:trPr>
          <w:trHeight w:val="201"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8" w:lineRule="exact"/>
              <w:ind w:left="269"/>
              <w:rPr>
                <w:rFonts w:ascii="Times New Roman" w:hAnsi="Times New Roman"/>
                <w:sz w:val="18"/>
              </w:rPr>
            </w:pPr>
            <w:r>
              <w:rPr>
                <w:rFonts w:ascii="Times New Roman" w:hAnsi="Times New Roman"/>
                <w:color w:val="1D1D1D"/>
                <w:sz w:val="18"/>
              </w:rPr>
              <w:t>·</w:t>
            </w:r>
            <w:r>
              <w:rPr>
                <w:rFonts w:ascii="Times New Roman" w:hAnsi="Times New Roman"/>
                <w:sz w:val="18"/>
              </w:rPr>
              <w:t>83</w:t>
            </w:r>
          </w:p>
        </w:tc>
        <w:tc>
          <w:tcPr>
            <w:tcW w:w="1625" w:type="dxa"/>
            <w:tcBorders>
              <w:top w:val="nil"/>
              <w:left w:val="single" w:sz="9" w:space="0" w:color="000000"/>
              <w:bottom w:val="nil"/>
              <w:right w:val="single" w:sz="7" w:space="0" w:color="000000"/>
            </w:tcBorders>
          </w:tcPr>
          <w:p>
            <w:pPr>
              <w:pStyle w:val="TableParagraph"/>
              <w:spacing w:line="199" w:lineRule="exact"/>
              <w:ind w:left="466"/>
              <w:rPr>
                <w:sz w:val="19"/>
              </w:rPr>
            </w:pPr>
            <w:r>
              <w:rPr>
                <w:w w:val="85"/>
                <w:sz w:val="19"/>
              </w:rPr>
              <w:t>1,792,639</w:t>
            </w:r>
          </w:p>
        </w:tc>
        <w:tc>
          <w:tcPr>
            <w:tcW w:w="1469" w:type="dxa"/>
            <w:gridSpan w:val="2"/>
            <w:tcBorders>
              <w:top w:val="nil"/>
              <w:left w:val="single" w:sz="7" w:space="0" w:color="000000"/>
              <w:bottom w:val="nil"/>
              <w:right w:val="single" w:sz="7" w:space="0" w:color="000000"/>
            </w:tcBorders>
          </w:tcPr>
          <w:p>
            <w:pPr>
              <w:pStyle w:val="TableParagraph"/>
              <w:spacing w:line="176" w:lineRule="exact"/>
              <w:ind w:left="457"/>
              <w:rPr>
                <w:rFonts w:ascii="Times New Roman"/>
                <w:sz w:val="16"/>
              </w:rPr>
            </w:pPr>
            <w:r>
              <w:rPr>
                <w:rFonts w:ascii="Times New Roman"/>
                <w:w w:val="110"/>
                <w:sz w:val="16"/>
              </w:rPr>
              <w:t>249,858</w:t>
            </w:r>
          </w:p>
        </w:tc>
        <w:tc>
          <w:tcPr>
            <w:tcW w:w="1440" w:type="dxa"/>
            <w:tcBorders>
              <w:top w:val="nil"/>
              <w:left w:val="single" w:sz="7" w:space="0" w:color="000000"/>
              <w:bottom w:val="nil"/>
              <w:right w:val="nil"/>
            </w:tcBorders>
          </w:tcPr>
          <w:p>
            <w:pPr>
              <w:pStyle w:val="TableParagraph"/>
              <w:spacing w:line="206" w:lineRule="exact"/>
              <w:ind w:right="392"/>
              <w:jc w:val="right"/>
              <w:rPr>
                <w:sz w:val="19"/>
              </w:rPr>
            </w:pPr>
            <w:r>
              <w:rPr>
                <w:w w:val="90"/>
                <w:sz w:val="19"/>
              </w:rPr>
              <w:t>139.38</w:t>
            </w:r>
          </w:p>
        </w:tc>
      </w:tr>
      <w:tr>
        <w:trPr>
          <w:trHeight w:val="302"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2" w:lineRule="exact"/>
              <w:ind w:left="308"/>
              <w:rPr>
                <w:rFonts w:ascii="Times New Roman"/>
                <w:sz w:val="17"/>
              </w:rPr>
            </w:pPr>
            <w:r>
              <w:rPr>
                <w:rFonts w:ascii="Times New Roman"/>
                <w:w w:val="103"/>
                <w:sz w:val="17"/>
              </w:rPr>
              <w:t>M</w:t>
            </w:r>
          </w:p>
        </w:tc>
        <w:tc>
          <w:tcPr>
            <w:tcW w:w="1625" w:type="dxa"/>
            <w:tcBorders>
              <w:top w:val="nil"/>
              <w:left w:val="single" w:sz="9" w:space="0" w:color="000000"/>
              <w:bottom w:val="nil"/>
              <w:right w:val="single" w:sz="7" w:space="0" w:color="000000"/>
            </w:tcBorders>
          </w:tcPr>
          <w:p>
            <w:pPr>
              <w:pStyle w:val="TableParagraph"/>
              <w:spacing w:line="199" w:lineRule="exact"/>
              <w:ind w:left="466"/>
              <w:rPr>
                <w:sz w:val="19"/>
              </w:rPr>
            </w:pPr>
            <w:r>
              <w:rPr>
                <w:sz w:val="19"/>
              </w:rPr>
              <w:t>1,542,781</w:t>
            </w:r>
          </w:p>
        </w:tc>
        <w:tc>
          <w:tcPr>
            <w:tcW w:w="1469" w:type="dxa"/>
            <w:gridSpan w:val="2"/>
            <w:tcBorders>
              <w:top w:val="nil"/>
              <w:left w:val="single" w:sz="7" w:space="0" w:color="000000"/>
              <w:bottom w:val="nil"/>
              <w:right w:val="single" w:sz="7" w:space="0" w:color="000000"/>
            </w:tcBorders>
          </w:tcPr>
          <w:p>
            <w:pPr>
              <w:pStyle w:val="TableParagraph"/>
              <w:spacing w:line="199" w:lineRule="exact"/>
              <w:ind w:left="460"/>
              <w:rPr>
                <w:sz w:val="19"/>
              </w:rPr>
            </w:pPr>
            <w:r>
              <w:rPr>
                <w:w w:val="90"/>
                <w:sz w:val="19"/>
              </w:rPr>
              <w:t>ZJl,433</w:t>
            </w:r>
          </w:p>
        </w:tc>
        <w:tc>
          <w:tcPr>
            <w:tcW w:w="1440" w:type="dxa"/>
            <w:tcBorders>
              <w:top w:val="nil"/>
              <w:left w:val="single" w:sz="7" w:space="0" w:color="000000"/>
              <w:bottom w:val="nil"/>
              <w:right w:val="nil"/>
            </w:tcBorders>
          </w:tcPr>
          <w:p>
            <w:pPr>
              <w:pStyle w:val="TableParagraph"/>
              <w:spacing w:line="206" w:lineRule="exact"/>
              <w:ind w:right="402"/>
              <w:jc w:val="right"/>
              <w:rPr>
                <w:sz w:val="19"/>
              </w:rPr>
            </w:pPr>
            <w:r>
              <w:rPr>
                <w:w w:val="85"/>
                <w:sz w:val="19"/>
              </w:rPr>
              <w:t>150.01</w:t>
            </w:r>
          </w:p>
        </w:tc>
      </w:tr>
      <w:tr>
        <w:trPr>
          <w:trHeight w:val="302"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before="88"/>
              <w:ind w:left="304"/>
              <w:rPr>
                <w:sz w:val="19"/>
              </w:rPr>
            </w:pPr>
            <w:r>
              <w:rPr>
                <w:w w:val="90"/>
                <w:sz w:val="19"/>
              </w:rPr>
              <w:t>85</w:t>
            </w:r>
          </w:p>
        </w:tc>
        <w:tc>
          <w:tcPr>
            <w:tcW w:w="1625" w:type="dxa"/>
            <w:tcBorders>
              <w:top w:val="nil"/>
              <w:left w:val="single" w:sz="9" w:space="0" w:color="000000"/>
              <w:bottom w:val="nil"/>
              <w:right w:val="single" w:sz="7" w:space="0" w:color="000000"/>
            </w:tcBorders>
          </w:tcPr>
          <w:p>
            <w:pPr>
              <w:pStyle w:val="TableParagraph"/>
              <w:spacing w:before="84"/>
              <w:ind w:left="466"/>
              <w:rPr>
                <w:sz w:val="19"/>
              </w:rPr>
            </w:pPr>
            <w:r>
              <w:rPr>
                <w:w w:val="90"/>
                <w:sz w:val="19"/>
              </w:rPr>
              <w:t>1,311,348</w:t>
            </w:r>
          </w:p>
        </w:tc>
        <w:tc>
          <w:tcPr>
            <w:tcW w:w="1469" w:type="dxa"/>
            <w:gridSpan w:val="2"/>
            <w:tcBorders>
              <w:top w:val="nil"/>
              <w:left w:val="single" w:sz="7" w:space="0" w:color="000000"/>
              <w:bottom w:val="nil"/>
              <w:right w:val="single" w:sz="7" w:space="0" w:color="000000"/>
            </w:tcBorders>
          </w:tcPr>
          <w:p>
            <w:pPr>
              <w:pStyle w:val="TableParagraph"/>
              <w:spacing w:before="84"/>
              <w:ind w:left="453"/>
              <w:rPr>
                <w:sz w:val="19"/>
              </w:rPr>
            </w:pPr>
            <w:r>
              <w:rPr>
                <w:w w:val="90"/>
                <w:sz w:val="19"/>
              </w:rPr>
              <w:t>211,311</w:t>
            </w:r>
          </w:p>
        </w:tc>
        <w:tc>
          <w:tcPr>
            <w:tcW w:w="1440" w:type="dxa"/>
            <w:tcBorders>
              <w:top w:val="nil"/>
              <w:left w:val="single" w:sz="7" w:space="0" w:color="000000"/>
              <w:bottom w:val="nil"/>
              <w:right w:val="nil"/>
            </w:tcBorders>
          </w:tcPr>
          <w:p>
            <w:pPr>
              <w:pStyle w:val="TableParagraph"/>
              <w:spacing w:before="91"/>
              <w:ind w:right="407"/>
              <w:jc w:val="right"/>
              <w:rPr>
                <w:sz w:val="19"/>
              </w:rPr>
            </w:pPr>
            <w:r>
              <w:rPr>
                <w:w w:val="75"/>
                <w:sz w:val="19"/>
              </w:rPr>
              <w:t>161.14</w:t>
            </w:r>
          </w:p>
        </w:tc>
      </w:tr>
      <w:tr>
        <w:trPr>
          <w:trHeight w:val="201"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0" w:lineRule="exact"/>
              <w:ind w:left="301"/>
              <w:rPr>
                <w:rFonts w:ascii="Times New Roman"/>
                <w:sz w:val="16"/>
              </w:rPr>
            </w:pPr>
            <w:r>
              <w:rPr>
                <w:rFonts w:ascii="Times New Roman"/>
                <w:w w:val="105"/>
                <w:sz w:val="16"/>
              </w:rPr>
              <w:t>86</w:t>
            </w:r>
          </w:p>
        </w:tc>
        <w:tc>
          <w:tcPr>
            <w:tcW w:w="1625" w:type="dxa"/>
            <w:tcBorders>
              <w:top w:val="nil"/>
              <w:left w:val="single" w:sz="9" w:space="0" w:color="000000"/>
              <w:bottom w:val="nil"/>
              <w:right w:val="single" w:sz="7" w:space="0" w:color="000000"/>
            </w:tcBorders>
          </w:tcPr>
          <w:p>
            <w:pPr>
              <w:pStyle w:val="TableParagraph"/>
              <w:spacing w:line="199" w:lineRule="exact"/>
              <w:ind w:left="462"/>
              <w:rPr>
                <w:sz w:val="19"/>
              </w:rPr>
            </w:pPr>
            <w:r>
              <w:rPr>
                <w:w w:val="95"/>
                <w:sz w:val="19"/>
              </w:rPr>
              <w:t>1,100,037</w:t>
            </w:r>
          </w:p>
        </w:tc>
        <w:tc>
          <w:tcPr>
            <w:tcW w:w="1469" w:type="dxa"/>
            <w:gridSpan w:val="2"/>
            <w:tcBorders>
              <w:top w:val="nil"/>
              <w:left w:val="single" w:sz="7" w:space="0" w:color="000000"/>
              <w:bottom w:val="nil"/>
              <w:right w:val="single" w:sz="7" w:space="0" w:color="000000"/>
            </w:tcBorders>
          </w:tcPr>
          <w:p>
            <w:pPr>
              <w:pStyle w:val="TableParagraph"/>
              <w:spacing w:line="202" w:lineRule="exact"/>
              <w:ind w:left="460"/>
              <w:rPr>
                <w:sz w:val="19"/>
              </w:rPr>
            </w:pPr>
            <w:r>
              <w:rPr>
                <w:w w:val="95"/>
                <w:sz w:val="19"/>
              </w:rPr>
              <w:t>190,108</w:t>
            </w:r>
          </w:p>
        </w:tc>
        <w:tc>
          <w:tcPr>
            <w:tcW w:w="1440" w:type="dxa"/>
            <w:tcBorders>
              <w:top w:val="nil"/>
              <w:left w:val="single" w:sz="7" w:space="0" w:color="000000"/>
              <w:bottom w:val="nil"/>
              <w:right w:val="nil"/>
            </w:tcBorders>
          </w:tcPr>
          <w:p>
            <w:pPr>
              <w:pStyle w:val="TableParagraph"/>
              <w:spacing w:line="202" w:lineRule="exact"/>
              <w:ind w:right="385"/>
              <w:jc w:val="right"/>
              <w:rPr>
                <w:sz w:val="19"/>
              </w:rPr>
            </w:pPr>
            <w:r>
              <w:rPr>
                <w:w w:val="90"/>
                <w:sz w:val="19"/>
              </w:rPr>
              <w:t>172.82</w:t>
            </w:r>
          </w:p>
        </w:tc>
      </w:tr>
      <w:tr>
        <w:trPr>
          <w:trHeight w:val="198"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
        </w:tc>
        <w:tc>
          <w:tcPr>
            <w:tcW w:w="1625" w:type="dxa"/>
            <w:tcBorders>
              <w:top w:val="nil"/>
              <w:left w:val="single" w:sz="9" w:space="0" w:color="000000"/>
              <w:bottom w:val="nil"/>
              <w:right w:val="single" w:sz="7" w:space="0" w:color="000000"/>
            </w:tcBorders>
          </w:tcPr>
          <w:p>
            <w:pPr>
              <w:pStyle w:val="TableParagraph"/>
              <w:spacing w:line="176" w:lineRule="exact"/>
              <w:ind w:left="609"/>
              <w:rPr>
                <w:rFonts w:ascii="Times New Roman"/>
                <w:sz w:val="16"/>
              </w:rPr>
            </w:pPr>
            <w:r>
              <w:rPr>
                <w:rFonts w:ascii="Times New Roman"/>
                <w:w w:val="110"/>
                <w:sz w:val="16"/>
              </w:rPr>
              <w:t>909,929</w:t>
            </w:r>
          </w:p>
        </w:tc>
        <w:tc>
          <w:tcPr>
            <w:tcW w:w="1469" w:type="dxa"/>
            <w:gridSpan w:val="2"/>
            <w:tcBorders>
              <w:top w:val="nil"/>
              <w:left w:val="single" w:sz="7" w:space="0" w:color="000000"/>
              <w:bottom w:val="nil"/>
              <w:right w:val="single" w:sz="7" w:space="0" w:color="000000"/>
            </w:tcBorders>
          </w:tcPr>
          <w:p>
            <w:pPr>
              <w:pStyle w:val="TableParagraph"/>
              <w:spacing w:line="202" w:lineRule="exact"/>
              <w:ind w:left="468"/>
              <w:rPr>
                <w:sz w:val="19"/>
              </w:rPr>
            </w:pPr>
            <w:r>
              <w:rPr>
                <w:sz w:val="19"/>
              </w:rPr>
              <w:t>168,455</w:t>
            </w:r>
          </w:p>
        </w:tc>
        <w:tc>
          <w:tcPr>
            <w:tcW w:w="1440" w:type="dxa"/>
            <w:tcBorders>
              <w:top w:val="nil"/>
              <w:left w:val="single" w:sz="7" w:space="0" w:color="000000"/>
              <w:bottom w:val="nil"/>
              <w:right w:val="nil"/>
            </w:tcBorders>
          </w:tcPr>
          <w:p>
            <w:pPr>
              <w:pStyle w:val="TableParagraph"/>
              <w:spacing w:line="202" w:lineRule="exact"/>
              <w:ind w:right="395"/>
              <w:jc w:val="right"/>
              <w:rPr>
                <w:sz w:val="19"/>
              </w:rPr>
            </w:pPr>
            <w:r>
              <w:rPr>
                <w:w w:val="85"/>
                <w:sz w:val="19"/>
              </w:rPr>
              <w:t>185.13</w:t>
            </w:r>
          </w:p>
        </w:tc>
      </w:tr>
      <w:tr>
        <w:trPr>
          <w:trHeight w:val="201"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2" w:lineRule="exact"/>
              <w:ind w:left="304"/>
              <w:rPr>
                <w:rFonts w:ascii="Times New Roman"/>
                <w:sz w:val="17"/>
              </w:rPr>
            </w:pPr>
            <w:r>
              <w:rPr>
                <w:rFonts w:ascii="Times New Roman"/>
                <w:w w:val="110"/>
                <w:sz w:val="17"/>
              </w:rPr>
              <w:t>88</w:t>
            </w:r>
          </w:p>
        </w:tc>
        <w:tc>
          <w:tcPr>
            <w:tcW w:w="1625" w:type="dxa"/>
            <w:tcBorders>
              <w:top w:val="nil"/>
              <w:left w:val="single" w:sz="9" w:space="0" w:color="000000"/>
              <w:bottom w:val="nil"/>
              <w:right w:val="single" w:sz="7" w:space="0" w:color="000000"/>
            </w:tcBorders>
          </w:tcPr>
          <w:p>
            <w:pPr>
              <w:pStyle w:val="TableParagraph"/>
              <w:spacing w:line="199" w:lineRule="exact"/>
              <w:ind w:left="613"/>
              <w:rPr>
                <w:sz w:val="19"/>
              </w:rPr>
            </w:pPr>
            <w:r>
              <w:rPr>
                <w:sz w:val="19"/>
              </w:rPr>
              <w:t>741,474</w:t>
            </w:r>
          </w:p>
        </w:tc>
        <w:tc>
          <w:tcPr>
            <w:tcW w:w="1469" w:type="dxa"/>
            <w:gridSpan w:val="2"/>
            <w:tcBorders>
              <w:top w:val="nil"/>
              <w:left w:val="single" w:sz="7" w:space="0" w:color="000000"/>
              <w:bottom w:val="nil"/>
              <w:right w:val="single" w:sz="7" w:space="0" w:color="000000"/>
            </w:tcBorders>
          </w:tcPr>
          <w:p>
            <w:pPr>
              <w:pStyle w:val="TableParagraph"/>
              <w:spacing w:line="202" w:lineRule="exact"/>
              <w:ind w:left="464"/>
              <w:rPr>
                <w:sz w:val="19"/>
              </w:rPr>
            </w:pPr>
            <w:r>
              <w:rPr>
                <w:sz w:val="19"/>
              </w:rPr>
              <w:t>146,997</w:t>
            </w:r>
          </w:p>
        </w:tc>
        <w:tc>
          <w:tcPr>
            <w:tcW w:w="1440" w:type="dxa"/>
            <w:tcBorders>
              <w:top w:val="nil"/>
              <w:left w:val="single" w:sz="7" w:space="0" w:color="000000"/>
              <w:bottom w:val="nil"/>
              <w:right w:val="nil"/>
            </w:tcBorders>
          </w:tcPr>
          <w:p>
            <w:pPr>
              <w:pStyle w:val="TableParagraph"/>
              <w:spacing w:line="206" w:lineRule="exact"/>
              <w:ind w:right="392"/>
              <w:jc w:val="right"/>
              <w:rPr>
                <w:sz w:val="19"/>
              </w:rPr>
            </w:pPr>
            <w:r>
              <w:rPr>
                <w:w w:val="85"/>
                <w:sz w:val="19"/>
              </w:rPr>
              <w:t>198.25</w:t>
            </w:r>
          </w:p>
        </w:tc>
      </w:tr>
      <w:tr>
        <w:trPr>
          <w:trHeight w:val="289"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79" w:lineRule="exact"/>
              <w:ind w:left="304"/>
              <w:rPr>
                <w:rFonts w:ascii="Times New Roman"/>
                <w:sz w:val="17"/>
              </w:rPr>
            </w:pPr>
            <w:r>
              <w:rPr>
                <w:rFonts w:ascii="Times New Roman"/>
                <w:w w:val="105"/>
                <w:sz w:val="17"/>
              </w:rPr>
              <w:t>89</w:t>
            </w:r>
          </w:p>
        </w:tc>
        <w:tc>
          <w:tcPr>
            <w:tcW w:w="1625" w:type="dxa"/>
            <w:tcBorders>
              <w:top w:val="nil"/>
              <w:left w:val="single" w:sz="9" w:space="0" w:color="000000"/>
              <w:bottom w:val="nil"/>
              <w:right w:val="single" w:sz="7" w:space="0" w:color="000000"/>
            </w:tcBorders>
          </w:tcPr>
          <w:p>
            <w:pPr>
              <w:pStyle w:val="TableParagraph"/>
              <w:spacing w:line="199" w:lineRule="exact"/>
              <w:ind w:left="613"/>
              <w:rPr>
                <w:sz w:val="19"/>
              </w:rPr>
            </w:pPr>
            <w:r>
              <w:rPr>
                <w:w w:val="90"/>
                <w:sz w:val="19"/>
              </w:rPr>
              <w:t>594,477</w:t>
            </w:r>
          </w:p>
        </w:tc>
        <w:tc>
          <w:tcPr>
            <w:tcW w:w="1469" w:type="dxa"/>
            <w:gridSpan w:val="2"/>
            <w:tcBorders>
              <w:top w:val="nil"/>
              <w:left w:val="single" w:sz="7" w:space="0" w:color="000000"/>
              <w:bottom w:val="nil"/>
              <w:right w:val="single" w:sz="7" w:space="0" w:color="000000"/>
            </w:tcBorders>
          </w:tcPr>
          <w:p>
            <w:pPr>
              <w:pStyle w:val="TableParagraph"/>
              <w:spacing w:line="202" w:lineRule="exact"/>
              <w:ind w:left="468"/>
              <w:rPr>
                <w:sz w:val="19"/>
              </w:rPr>
            </w:pPr>
            <w:r>
              <w:rPr>
                <w:w w:val="85"/>
                <w:sz w:val="19"/>
              </w:rPr>
              <w:t>126,303</w:t>
            </w:r>
          </w:p>
        </w:tc>
        <w:tc>
          <w:tcPr>
            <w:tcW w:w="1440" w:type="dxa"/>
            <w:tcBorders>
              <w:top w:val="nil"/>
              <w:left w:val="single" w:sz="7" w:space="0" w:color="000000"/>
              <w:bottom w:val="nil"/>
              <w:right w:val="nil"/>
            </w:tcBorders>
          </w:tcPr>
          <w:p>
            <w:pPr>
              <w:pStyle w:val="TableParagraph"/>
              <w:spacing w:line="202" w:lineRule="exact"/>
              <w:ind w:right="395"/>
              <w:jc w:val="right"/>
              <w:rPr>
                <w:sz w:val="19"/>
              </w:rPr>
            </w:pPr>
            <w:r>
              <w:rPr>
                <w:w w:val="85"/>
                <w:sz w:val="19"/>
              </w:rPr>
              <w:t>212.46</w:t>
            </w:r>
          </w:p>
        </w:tc>
      </w:tr>
      <w:tr>
        <w:trPr>
          <w:trHeight w:val="509"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95" w:lineRule="exact" w:before="96"/>
              <w:ind w:left="304"/>
              <w:rPr>
                <w:rFonts w:ascii="Times New Roman"/>
                <w:sz w:val="17"/>
              </w:rPr>
            </w:pPr>
            <w:r>
              <w:rPr>
                <w:rFonts w:ascii="Times New Roman"/>
                <w:w w:val="105"/>
                <w:sz w:val="17"/>
              </w:rPr>
              <w:t>90</w:t>
            </w:r>
          </w:p>
          <w:p>
            <w:pPr>
              <w:pStyle w:val="TableParagraph"/>
              <w:spacing w:line="215" w:lineRule="exact"/>
              <w:ind w:left="304"/>
              <w:rPr>
                <w:sz w:val="19"/>
              </w:rPr>
            </w:pPr>
            <w:r>
              <w:rPr>
                <w:sz w:val="19"/>
              </w:rPr>
              <w:t>91</w:t>
            </w:r>
          </w:p>
        </w:tc>
        <w:tc>
          <w:tcPr>
            <w:tcW w:w="1625" w:type="dxa"/>
            <w:tcBorders>
              <w:top w:val="nil"/>
              <w:left w:val="single" w:sz="9" w:space="0" w:color="000000"/>
              <w:bottom w:val="nil"/>
              <w:right w:val="single" w:sz="7" w:space="0" w:color="000000"/>
            </w:tcBorders>
          </w:tcPr>
          <w:p>
            <w:pPr>
              <w:pStyle w:val="TableParagraph"/>
              <w:spacing w:before="71"/>
              <w:ind w:left="609"/>
              <w:rPr>
                <w:rFonts w:ascii="Times New Roman"/>
                <w:sz w:val="17"/>
              </w:rPr>
            </w:pPr>
            <w:r>
              <w:rPr>
                <w:rFonts w:ascii="Times New Roman"/>
                <w:sz w:val="17"/>
              </w:rPr>
              <w:t>{68,174   </w:t>
            </w:r>
            <w:r>
              <w:rPr>
                <w:rFonts w:ascii="Times New Roman"/>
                <w:color w:val="1D1D1D"/>
                <w:sz w:val="17"/>
              </w:rPr>
              <w:t>.</w:t>
            </w:r>
          </w:p>
          <w:p>
            <w:pPr>
              <w:pStyle w:val="TableParagraph"/>
              <w:spacing w:before="12"/>
              <w:ind w:left="609"/>
              <w:rPr>
                <w:rFonts w:ascii="Times New Roman"/>
                <w:sz w:val="19"/>
              </w:rPr>
            </w:pPr>
            <w:r>
              <w:rPr>
                <w:rFonts w:ascii="Times New Roman"/>
                <w:w w:val="85"/>
                <w:sz w:val="19"/>
              </w:rPr>
              <w:t>361,365 </w:t>
            </w:r>
            <w:r>
              <w:rPr>
                <w:rFonts w:ascii="Times New Roman"/>
                <w:color w:val="1D1D1D"/>
                <w:w w:val="65"/>
                <w:sz w:val="19"/>
              </w:rPr>
              <w:t>-</w:t>
            </w:r>
          </w:p>
        </w:tc>
        <w:tc>
          <w:tcPr>
            <w:tcW w:w="1469" w:type="dxa"/>
            <w:gridSpan w:val="2"/>
            <w:tcBorders>
              <w:top w:val="nil"/>
              <w:left w:val="single" w:sz="7" w:space="0" w:color="000000"/>
              <w:bottom w:val="nil"/>
              <w:right w:val="single" w:sz="7" w:space="0" w:color="000000"/>
            </w:tcBorders>
          </w:tcPr>
          <w:p>
            <w:pPr>
              <w:pStyle w:val="TableParagraph"/>
              <w:spacing w:line="207" w:lineRule="exact" w:before="101"/>
              <w:ind w:left="464"/>
              <w:rPr>
                <w:sz w:val="19"/>
              </w:rPr>
            </w:pPr>
            <w:r>
              <w:rPr>
                <w:w w:val="130"/>
                <w:sz w:val="19"/>
              </w:rPr>
              <w:t>106,</w:t>
            </w:r>
          </w:p>
          <w:p>
            <w:pPr>
              <w:pStyle w:val="TableParagraph"/>
              <w:spacing w:line="207" w:lineRule="exact"/>
              <w:ind w:left="532"/>
              <w:rPr>
                <w:sz w:val="19"/>
              </w:rPr>
            </w:pPr>
            <w:r>
              <w:rPr>
                <w:w w:val="95"/>
                <w:sz w:val="19"/>
              </w:rPr>
              <w:t>88,813</w:t>
            </w:r>
          </w:p>
        </w:tc>
        <w:tc>
          <w:tcPr>
            <w:tcW w:w="1440" w:type="dxa"/>
            <w:tcBorders>
              <w:top w:val="nil"/>
              <w:left w:val="single" w:sz="7" w:space="0" w:color="000000"/>
              <w:bottom w:val="nil"/>
              <w:right w:val="nil"/>
            </w:tcBorders>
          </w:tcPr>
          <w:p>
            <w:pPr>
              <w:pStyle w:val="TableParagraph"/>
              <w:spacing w:line="207" w:lineRule="exact" w:before="101"/>
              <w:ind w:left="534"/>
              <w:rPr>
                <w:sz w:val="19"/>
              </w:rPr>
            </w:pPr>
            <w:r>
              <w:rPr>
                <w:w w:val="90"/>
                <w:sz w:val="19"/>
              </w:rPr>
              <w:t>228.14</w:t>
            </w:r>
          </w:p>
          <w:p>
            <w:pPr>
              <w:pStyle w:val="TableParagraph"/>
              <w:spacing w:line="207" w:lineRule="exact"/>
              <w:ind w:left="534"/>
              <w:rPr>
                <w:sz w:val="19"/>
              </w:rPr>
            </w:pPr>
            <w:r>
              <w:rPr>
                <w:w w:val="74"/>
                <w:sz w:val="19"/>
              </w:rPr>
              <w:t>24</w:t>
            </w:r>
            <w:r>
              <w:rPr>
                <w:spacing w:val="1"/>
                <w:w w:val="74"/>
                <w:sz w:val="19"/>
              </w:rPr>
              <w:t>5</w:t>
            </w:r>
            <w:r>
              <w:rPr>
                <w:spacing w:val="-84"/>
                <w:w w:val="123"/>
                <w:sz w:val="19"/>
              </w:rPr>
              <w:t>.</w:t>
            </w:r>
            <w:r>
              <w:rPr>
                <w:w w:val="80"/>
                <w:sz w:val="19"/>
              </w:rPr>
              <w:t>77</w:t>
            </w:r>
          </w:p>
        </w:tc>
      </w:tr>
      <w:tr>
        <w:trPr>
          <w:trHeight w:val="200"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99" w:lineRule="exact"/>
              <w:ind w:left="304"/>
              <w:rPr>
                <w:sz w:val="19"/>
              </w:rPr>
            </w:pPr>
            <w:r>
              <w:rPr>
                <w:w w:val="110"/>
                <w:sz w:val="19"/>
              </w:rPr>
              <w:t>92</w:t>
            </w:r>
          </w:p>
        </w:tc>
        <w:tc>
          <w:tcPr>
            <w:tcW w:w="1625" w:type="dxa"/>
            <w:tcBorders>
              <w:top w:val="nil"/>
              <w:left w:val="single" w:sz="9" w:space="0" w:color="000000"/>
              <w:bottom w:val="nil"/>
              <w:right w:val="single" w:sz="7" w:space="0" w:color="000000"/>
            </w:tcBorders>
          </w:tcPr>
          <w:p>
            <w:pPr>
              <w:pStyle w:val="TableParagraph"/>
              <w:spacing w:line="176" w:lineRule="exact"/>
              <w:ind w:left="613"/>
              <w:rPr>
                <w:rFonts w:ascii="Times New Roman"/>
                <w:sz w:val="16"/>
              </w:rPr>
            </w:pPr>
            <w:r>
              <w:rPr>
                <w:rFonts w:ascii="Times New Roman"/>
                <w:w w:val="105"/>
                <w:sz w:val="16"/>
              </w:rPr>
              <w:t>272,562</w:t>
            </w:r>
          </w:p>
        </w:tc>
        <w:tc>
          <w:tcPr>
            <w:tcW w:w="1469" w:type="dxa"/>
            <w:gridSpan w:val="2"/>
            <w:tcBorders>
              <w:top w:val="nil"/>
              <w:left w:val="single" w:sz="7" w:space="0" w:color="000000"/>
              <w:bottom w:val="nil"/>
              <w:right w:val="single" w:sz="7" w:space="0" w:color="000000"/>
            </w:tcBorders>
          </w:tcPr>
          <w:p>
            <w:pPr>
              <w:pStyle w:val="TableParagraph"/>
              <w:spacing w:line="202" w:lineRule="exact"/>
              <w:ind w:left="536"/>
              <w:rPr>
                <w:sz w:val="19"/>
              </w:rPr>
            </w:pPr>
            <w:r>
              <w:rPr>
                <w:sz w:val="19"/>
              </w:rPr>
              <w:t>72,480</w:t>
            </w:r>
          </w:p>
        </w:tc>
        <w:tc>
          <w:tcPr>
            <w:tcW w:w="1440" w:type="dxa"/>
            <w:tcBorders>
              <w:top w:val="nil"/>
              <w:left w:val="single" w:sz="7" w:space="0" w:color="000000"/>
              <w:bottom w:val="nil"/>
              <w:right w:val="nil"/>
            </w:tcBorders>
          </w:tcPr>
          <w:p>
            <w:pPr>
              <w:pStyle w:val="TableParagraph"/>
              <w:spacing w:line="206" w:lineRule="exact"/>
              <w:ind w:right="391"/>
              <w:jc w:val="right"/>
              <w:rPr>
                <w:sz w:val="19"/>
              </w:rPr>
            </w:pPr>
            <w:r>
              <w:rPr>
                <w:w w:val="80"/>
                <w:sz w:val="19"/>
              </w:rPr>
              <w:t>265.93</w:t>
            </w:r>
          </w:p>
        </w:tc>
      </w:tr>
      <w:tr>
        <w:trPr>
          <w:trHeight w:val="198"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204" w:lineRule="exact"/>
              <w:ind w:left="304"/>
              <w:rPr>
                <w:sz w:val="19"/>
              </w:rPr>
            </w:pPr>
            <w:r>
              <w:rPr>
                <w:w w:val="90"/>
                <w:sz w:val="19"/>
              </w:rPr>
              <w:t>93</w:t>
            </w:r>
          </w:p>
        </w:tc>
        <w:tc>
          <w:tcPr>
            <w:tcW w:w="1625" w:type="dxa"/>
            <w:tcBorders>
              <w:top w:val="nil"/>
              <w:left w:val="single" w:sz="9" w:space="0" w:color="000000"/>
              <w:bottom w:val="nil"/>
              <w:right w:val="single" w:sz="7" w:space="0" w:color="000000"/>
            </w:tcBorders>
          </w:tcPr>
          <w:p>
            <w:pPr>
              <w:pStyle w:val="TableParagraph"/>
              <w:spacing w:line="197" w:lineRule="exact"/>
              <w:ind w:right="320"/>
              <w:jc w:val="right"/>
              <w:rPr>
                <w:sz w:val="19"/>
              </w:rPr>
            </w:pPr>
            <w:r>
              <w:rPr>
                <w:w w:val="55"/>
                <w:sz w:val="19"/>
              </w:rPr>
              <w:t>2AJ0</w:t>
            </w:r>
            <w:r>
              <w:rPr>
                <w:spacing w:val="-8"/>
                <w:w w:val="55"/>
                <w:sz w:val="19"/>
              </w:rPr>
              <w:t>,</w:t>
            </w:r>
            <w:r>
              <w:rPr>
                <w:spacing w:val="-50"/>
                <w:w w:val="118"/>
                <w:sz w:val="19"/>
              </w:rPr>
              <w:t>0</w:t>
            </w:r>
            <w:r>
              <w:rPr>
                <w:spacing w:val="-33"/>
                <w:w w:val="97"/>
                <w:sz w:val="19"/>
              </w:rPr>
              <w:t>7</w:t>
            </w:r>
            <w:r>
              <w:rPr>
                <w:spacing w:val="-10"/>
                <w:w w:val="102"/>
                <w:sz w:val="19"/>
              </w:rPr>
              <w:t>2</w:t>
            </w:r>
            <w:r>
              <w:rPr>
                <w:color w:val="5D5D5D"/>
                <w:w w:val="73"/>
                <w:sz w:val="19"/>
              </w:rPr>
              <w:t>·</w:t>
            </w:r>
          </w:p>
        </w:tc>
        <w:tc>
          <w:tcPr>
            <w:tcW w:w="1469" w:type="dxa"/>
            <w:gridSpan w:val="2"/>
            <w:tcBorders>
              <w:top w:val="nil"/>
              <w:left w:val="single" w:sz="7" w:space="0" w:color="000000"/>
              <w:bottom w:val="nil"/>
              <w:right w:val="single" w:sz="7" w:space="0" w:color="000000"/>
            </w:tcBorders>
          </w:tcPr>
          <w:p>
            <w:pPr>
              <w:pStyle w:val="TableParagraph"/>
              <w:spacing w:line="204" w:lineRule="exact"/>
              <w:ind w:left="529"/>
              <w:rPr>
                <w:sz w:val="19"/>
              </w:rPr>
            </w:pPr>
            <w:r>
              <w:rPr>
                <w:sz w:val="19"/>
              </w:rPr>
              <w:t>57,881</w:t>
            </w:r>
          </w:p>
        </w:tc>
        <w:tc>
          <w:tcPr>
            <w:tcW w:w="1440" w:type="dxa"/>
            <w:tcBorders>
              <w:top w:val="nil"/>
              <w:left w:val="single" w:sz="7" w:space="0" w:color="000000"/>
              <w:bottom w:val="nil"/>
              <w:right w:val="nil"/>
            </w:tcBorders>
          </w:tcPr>
          <w:p>
            <w:pPr>
              <w:pStyle w:val="TableParagraph"/>
              <w:spacing w:line="184" w:lineRule="exact"/>
              <w:ind w:right="418"/>
              <w:jc w:val="right"/>
              <w:rPr>
                <w:rFonts w:ascii="Times New Roman"/>
                <w:sz w:val="17"/>
              </w:rPr>
            </w:pPr>
            <w:r>
              <w:rPr>
                <w:rFonts w:ascii="Times New Roman"/>
                <w:sz w:val="17"/>
              </w:rPr>
              <w:t>289.30</w:t>
            </w:r>
          </w:p>
        </w:tc>
      </w:tr>
      <w:tr>
        <w:trPr>
          <w:trHeight w:val="305"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59" w:lineRule="exact"/>
              <w:ind w:left="301"/>
              <w:rPr>
                <w:rFonts w:ascii="Arial"/>
                <w:i/>
                <w:sz w:val="14"/>
              </w:rPr>
            </w:pPr>
            <w:r>
              <w:rPr>
                <w:rFonts w:ascii="Arial"/>
                <w:i/>
                <w:sz w:val="14"/>
              </w:rPr>
              <w:t>94,I</w:t>
            </w:r>
          </w:p>
        </w:tc>
        <w:tc>
          <w:tcPr>
            <w:tcW w:w="1625" w:type="dxa"/>
            <w:tcBorders>
              <w:top w:val="nil"/>
              <w:left w:val="single" w:sz="9" w:space="0" w:color="000000"/>
              <w:bottom w:val="nil"/>
              <w:right w:val="single" w:sz="7" w:space="0" w:color="000000"/>
            </w:tcBorders>
          </w:tcPr>
          <w:p>
            <w:pPr>
              <w:pStyle w:val="TableParagraph"/>
              <w:spacing w:line="197" w:lineRule="exact"/>
              <w:ind w:right="321"/>
              <w:jc w:val="right"/>
              <w:rPr>
                <w:sz w:val="19"/>
              </w:rPr>
            </w:pPr>
            <w:r>
              <w:rPr>
                <w:w w:val="74"/>
                <w:sz w:val="19"/>
              </w:rPr>
              <w:t>14</w:t>
            </w:r>
            <w:r>
              <w:rPr>
                <w:spacing w:val="-6"/>
                <w:w w:val="74"/>
                <w:sz w:val="19"/>
              </w:rPr>
              <w:t>2</w:t>
            </w:r>
            <w:r>
              <w:rPr>
                <w:w w:val="65"/>
                <w:sz w:val="19"/>
              </w:rPr>
              <w:t>,</w:t>
            </w:r>
            <w:r>
              <w:rPr>
                <w:spacing w:val="-22"/>
                <w:w w:val="65"/>
                <w:sz w:val="19"/>
              </w:rPr>
              <w:t>1</w:t>
            </w:r>
            <w:r>
              <w:rPr>
                <w:spacing w:val="-85"/>
                <w:w w:val="107"/>
                <w:sz w:val="19"/>
              </w:rPr>
              <w:t>9</w:t>
            </w:r>
            <w:r>
              <w:rPr>
                <w:spacing w:val="-197"/>
                <w:w w:val="231"/>
                <w:sz w:val="19"/>
              </w:rPr>
              <w:t>!</w:t>
            </w:r>
            <w:r>
              <w:rPr>
                <w:color w:val="363636"/>
                <w:w w:val="47"/>
                <w:sz w:val="19"/>
              </w:rPr>
              <w:t>.</w:t>
            </w:r>
          </w:p>
        </w:tc>
        <w:tc>
          <w:tcPr>
            <w:tcW w:w="1469" w:type="dxa"/>
            <w:gridSpan w:val="2"/>
            <w:tcBorders>
              <w:top w:val="nil"/>
              <w:left w:val="single" w:sz="7" w:space="0" w:color="000000"/>
              <w:bottom w:val="nil"/>
              <w:right w:val="single" w:sz="7" w:space="0" w:color="000000"/>
            </w:tcBorders>
          </w:tcPr>
          <w:p>
            <w:pPr>
              <w:pStyle w:val="TableParagraph"/>
              <w:spacing w:line="208" w:lineRule="exact"/>
              <w:ind w:left="525"/>
              <w:rPr>
                <w:sz w:val="19"/>
              </w:rPr>
            </w:pPr>
            <w:r>
              <w:rPr>
                <w:sz w:val="19"/>
              </w:rPr>
              <w:t>45,026</w:t>
            </w:r>
          </w:p>
        </w:tc>
        <w:tc>
          <w:tcPr>
            <w:tcW w:w="1440" w:type="dxa"/>
            <w:tcBorders>
              <w:top w:val="nil"/>
              <w:left w:val="single" w:sz="7" w:space="0" w:color="000000"/>
              <w:bottom w:val="nil"/>
              <w:right w:val="nil"/>
            </w:tcBorders>
          </w:tcPr>
          <w:p>
            <w:pPr>
              <w:pStyle w:val="TableParagraph"/>
              <w:spacing w:line="208" w:lineRule="exact"/>
              <w:ind w:right="397"/>
              <w:jc w:val="right"/>
              <w:rPr>
                <w:sz w:val="19"/>
              </w:rPr>
            </w:pPr>
            <w:r>
              <w:rPr>
                <w:w w:val="90"/>
                <w:sz w:val="19"/>
              </w:rPr>
              <w:t>316.66</w:t>
            </w:r>
          </w:p>
        </w:tc>
      </w:tr>
      <w:tr>
        <w:trPr>
          <w:trHeight w:val="295"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before="83"/>
              <w:ind w:left="304"/>
              <w:rPr>
                <w:rFonts w:ascii="Arial"/>
                <w:sz w:val="16"/>
              </w:rPr>
            </w:pPr>
            <w:r>
              <w:rPr>
                <w:rFonts w:ascii="Arial"/>
                <w:w w:val="105"/>
                <w:sz w:val="16"/>
              </w:rPr>
              <w:t>95'</w:t>
            </w:r>
          </w:p>
        </w:tc>
        <w:tc>
          <w:tcPr>
            <w:tcW w:w="1625" w:type="dxa"/>
            <w:tcBorders>
              <w:top w:val="nil"/>
              <w:left w:val="single" w:sz="9" w:space="0" w:color="000000"/>
              <w:bottom w:val="nil"/>
              <w:right w:val="single" w:sz="7" w:space="0" w:color="000000"/>
            </w:tcBorders>
          </w:tcPr>
          <w:p>
            <w:pPr/>
          </w:p>
        </w:tc>
        <w:tc>
          <w:tcPr>
            <w:tcW w:w="1469" w:type="dxa"/>
            <w:gridSpan w:val="2"/>
            <w:tcBorders>
              <w:top w:val="nil"/>
              <w:left w:val="single" w:sz="7" w:space="0" w:color="000000"/>
              <w:bottom w:val="nil"/>
              <w:right w:val="single" w:sz="7" w:space="0" w:color="000000"/>
            </w:tcBorders>
          </w:tcPr>
          <w:p>
            <w:pPr>
              <w:pStyle w:val="TableParagraph"/>
              <w:spacing w:before="86"/>
              <w:ind w:left="532"/>
              <w:rPr>
                <w:rFonts w:ascii="Times New Roman"/>
                <w:sz w:val="17"/>
              </w:rPr>
            </w:pPr>
            <w:r>
              <w:rPr>
                <w:rFonts w:ascii="Times New Roman"/>
                <w:w w:val="105"/>
                <w:sz w:val="17"/>
              </w:rPr>
              <w:t>34,128</w:t>
            </w:r>
          </w:p>
        </w:tc>
        <w:tc>
          <w:tcPr>
            <w:tcW w:w="1440" w:type="dxa"/>
            <w:tcBorders>
              <w:top w:val="nil"/>
              <w:left w:val="single" w:sz="7" w:space="0" w:color="000000"/>
              <w:bottom w:val="nil"/>
              <w:right w:val="nil"/>
            </w:tcBorders>
          </w:tcPr>
          <w:p>
            <w:pPr>
              <w:pStyle w:val="TableParagraph"/>
              <w:spacing w:before="90"/>
              <w:ind w:right="397"/>
              <w:jc w:val="right"/>
              <w:rPr>
                <w:sz w:val="19"/>
              </w:rPr>
            </w:pPr>
            <w:r>
              <w:rPr>
                <w:w w:val="75"/>
                <w:sz w:val="19"/>
              </w:rPr>
              <w:t>351.24</w:t>
            </w:r>
          </w:p>
        </w:tc>
      </w:tr>
      <w:tr>
        <w:trPr>
          <w:trHeight w:val="206"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90" w:lineRule="exact"/>
              <w:ind w:left="304"/>
              <w:rPr>
                <w:rFonts w:ascii="Times New Roman"/>
                <w:sz w:val="18"/>
              </w:rPr>
            </w:pPr>
            <w:r>
              <w:rPr>
                <w:rFonts w:ascii="Times New Roman"/>
                <w:sz w:val="18"/>
              </w:rPr>
              <w:t>96</w:t>
            </w:r>
          </w:p>
        </w:tc>
        <w:tc>
          <w:tcPr>
            <w:tcW w:w="1625" w:type="dxa"/>
            <w:tcBorders>
              <w:top w:val="nil"/>
              <w:left w:val="single" w:sz="9" w:space="0" w:color="000000"/>
              <w:bottom w:val="nil"/>
              <w:right w:val="single" w:sz="7" w:space="0" w:color="000000"/>
            </w:tcBorders>
          </w:tcPr>
          <w:p>
            <w:pPr/>
          </w:p>
        </w:tc>
        <w:tc>
          <w:tcPr>
            <w:tcW w:w="1469" w:type="dxa"/>
            <w:gridSpan w:val="2"/>
            <w:tcBorders>
              <w:top w:val="nil"/>
              <w:left w:val="single" w:sz="7" w:space="0" w:color="000000"/>
              <w:bottom w:val="nil"/>
              <w:right w:val="single" w:sz="7" w:space="0" w:color="000000"/>
            </w:tcBorders>
          </w:tcPr>
          <w:p>
            <w:pPr>
              <w:pStyle w:val="TableParagraph"/>
              <w:spacing w:line="209" w:lineRule="exact"/>
              <w:ind w:left="536"/>
              <w:rPr>
                <w:sz w:val="19"/>
              </w:rPr>
            </w:pPr>
            <w:r>
              <w:rPr>
                <w:w w:val="80"/>
                <w:sz w:val="19"/>
              </w:rPr>
              <w:t>25,250</w:t>
            </w:r>
          </w:p>
        </w:tc>
        <w:tc>
          <w:tcPr>
            <w:tcW w:w="1440" w:type="dxa"/>
            <w:tcBorders>
              <w:top w:val="nil"/>
              <w:left w:val="single" w:sz="7" w:space="0" w:color="000000"/>
              <w:bottom w:val="nil"/>
              <w:right w:val="nil"/>
            </w:tcBorders>
          </w:tcPr>
          <w:p>
            <w:pPr>
              <w:pStyle w:val="TableParagraph"/>
              <w:spacing w:line="180" w:lineRule="exact"/>
              <w:ind w:right="397"/>
              <w:jc w:val="right"/>
              <w:rPr>
                <w:rFonts w:ascii="Times New Roman"/>
                <w:sz w:val="18"/>
              </w:rPr>
            </w:pPr>
            <w:r>
              <w:rPr>
                <w:rFonts w:ascii="Times New Roman"/>
                <w:sz w:val="18"/>
              </w:rPr>
              <w:t>{00.56</w:t>
            </w:r>
          </w:p>
        </w:tc>
      </w:tr>
      <w:tr>
        <w:trPr>
          <w:trHeight w:val="198"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75" w:lineRule="exact"/>
              <w:ind w:left="308"/>
              <w:rPr>
                <w:rFonts w:ascii="Times New Roman"/>
                <w:sz w:val="16"/>
              </w:rPr>
            </w:pPr>
            <w:r>
              <w:rPr>
                <w:rFonts w:ascii="Times New Roman"/>
                <w:w w:val="105"/>
                <w:sz w:val="16"/>
              </w:rPr>
              <w:t>97</w:t>
            </w:r>
          </w:p>
        </w:tc>
        <w:tc>
          <w:tcPr>
            <w:tcW w:w="1625" w:type="dxa"/>
            <w:tcBorders>
              <w:top w:val="nil"/>
              <w:left w:val="single" w:sz="9" w:space="0" w:color="000000"/>
              <w:bottom w:val="nil"/>
              <w:right w:val="single" w:sz="7" w:space="0" w:color="000000"/>
            </w:tcBorders>
          </w:tcPr>
          <w:p>
            <w:pPr>
              <w:pStyle w:val="TableParagraph"/>
              <w:spacing w:line="201" w:lineRule="exact"/>
              <w:ind w:left="692"/>
              <w:rPr>
                <w:sz w:val="19"/>
              </w:rPr>
            </w:pPr>
            <w:r>
              <w:rPr>
                <w:w w:val="105"/>
                <w:sz w:val="19"/>
              </w:rPr>
              <w:t>37,7</w:t>
            </w:r>
          </w:p>
        </w:tc>
        <w:tc>
          <w:tcPr>
            <w:tcW w:w="1469" w:type="dxa"/>
            <w:gridSpan w:val="2"/>
            <w:tcBorders>
              <w:top w:val="nil"/>
              <w:left w:val="single" w:sz="7" w:space="0" w:color="000000"/>
              <w:bottom w:val="nil"/>
              <w:right w:val="single" w:sz="7" w:space="0" w:color="000000"/>
            </w:tcBorders>
          </w:tcPr>
          <w:p>
            <w:pPr>
              <w:pStyle w:val="TableParagraph"/>
              <w:spacing w:line="201" w:lineRule="exact"/>
              <w:ind w:left="543"/>
              <w:rPr>
                <w:sz w:val="19"/>
              </w:rPr>
            </w:pPr>
            <w:r>
              <w:rPr>
                <w:sz w:val="19"/>
              </w:rPr>
              <w:t>18,456</w:t>
            </w:r>
          </w:p>
        </w:tc>
        <w:tc>
          <w:tcPr>
            <w:tcW w:w="1440" w:type="dxa"/>
            <w:tcBorders>
              <w:top w:val="nil"/>
              <w:left w:val="single" w:sz="7" w:space="0" w:color="000000"/>
              <w:bottom w:val="nil"/>
              <w:right w:val="nil"/>
            </w:tcBorders>
          </w:tcPr>
          <w:p>
            <w:pPr>
              <w:pStyle w:val="TableParagraph"/>
              <w:spacing w:line="201" w:lineRule="exact"/>
              <w:ind w:right="377"/>
              <w:jc w:val="right"/>
              <w:rPr>
                <w:sz w:val="19"/>
              </w:rPr>
            </w:pPr>
            <w:r>
              <w:rPr>
                <w:w w:val="90"/>
                <w:sz w:val="19"/>
              </w:rPr>
              <w:t>488.42</w:t>
            </w:r>
          </w:p>
        </w:tc>
      </w:tr>
      <w:tr>
        <w:trPr>
          <w:trHeight w:val="201" w:hRule="exact"/>
        </w:trPr>
        <w:tc>
          <w:tcPr>
            <w:tcW w:w="183" w:type="dxa"/>
            <w:vMerge/>
            <w:tcBorders>
              <w:left w:val="nil"/>
              <w:right w:val="nil"/>
            </w:tcBorders>
          </w:tcPr>
          <w:p>
            <w:pPr/>
          </w:p>
        </w:tc>
        <w:tc>
          <w:tcPr>
            <w:tcW w:w="976" w:type="dxa"/>
            <w:tcBorders>
              <w:top w:val="nil"/>
              <w:left w:val="nil"/>
              <w:bottom w:val="nil"/>
              <w:right w:val="single" w:sz="9" w:space="0" w:color="000000"/>
            </w:tcBorders>
          </w:tcPr>
          <w:p>
            <w:pPr>
              <w:pStyle w:val="TableParagraph"/>
              <w:spacing w:line="184" w:lineRule="exact"/>
              <w:ind w:left="308"/>
              <w:rPr>
                <w:rFonts w:ascii="Times New Roman"/>
                <w:sz w:val="17"/>
              </w:rPr>
            </w:pPr>
            <w:r>
              <w:rPr>
                <w:rFonts w:ascii="Times New Roman"/>
                <w:w w:val="105"/>
                <w:sz w:val="17"/>
              </w:rPr>
              <w:t>98</w:t>
            </w:r>
          </w:p>
        </w:tc>
        <w:tc>
          <w:tcPr>
            <w:tcW w:w="1625" w:type="dxa"/>
            <w:tcBorders>
              <w:top w:val="nil"/>
              <w:left w:val="single" w:sz="9" w:space="0" w:color="000000"/>
              <w:bottom w:val="nil"/>
              <w:right w:val="single" w:sz="7" w:space="0" w:color="000000"/>
            </w:tcBorders>
          </w:tcPr>
          <w:p>
            <w:pPr/>
          </w:p>
        </w:tc>
        <w:tc>
          <w:tcPr>
            <w:tcW w:w="1469" w:type="dxa"/>
            <w:gridSpan w:val="2"/>
            <w:tcBorders>
              <w:top w:val="nil"/>
              <w:left w:val="single" w:sz="7" w:space="0" w:color="000000"/>
              <w:bottom w:val="nil"/>
              <w:right w:val="single" w:sz="7" w:space="0" w:color="000000"/>
            </w:tcBorders>
          </w:tcPr>
          <w:p>
            <w:pPr>
              <w:pStyle w:val="TableParagraph"/>
              <w:spacing w:line="204" w:lineRule="exact"/>
              <w:ind w:left="547"/>
              <w:rPr>
                <w:sz w:val="19"/>
              </w:rPr>
            </w:pPr>
            <w:r>
              <w:rPr>
                <w:w w:val="90"/>
                <w:sz w:val="19"/>
              </w:rPr>
              <w:t>12,916</w:t>
            </w:r>
          </w:p>
        </w:tc>
        <w:tc>
          <w:tcPr>
            <w:tcW w:w="1440" w:type="dxa"/>
            <w:tcBorders>
              <w:top w:val="nil"/>
              <w:left w:val="single" w:sz="7" w:space="0" w:color="000000"/>
              <w:bottom w:val="nil"/>
              <w:right w:val="nil"/>
            </w:tcBorders>
          </w:tcPr>
          <w:p>
            <w:pPr>
              <w:pStyle w:val="TableParagraph"/>
              <w:spacing w:line="201" w:lineRule="exact"/>
              <w:ind w:right="386"/>
              <w:jc w:val="right"/>
              <w:rPr>
                <w:sz w:val="19"/>
              </w:rPr>
            </w:pPr>
            <w:r>
              <w:rPr>
                <w:w w:val="75"/>
                <w:sz w:val="19"/>
              </w:rPr>
              <w:t>668.15</w:t>
            </w:r>
          </w:p>
        </w:tc>
      </w:tr>
      <w:tr>
        <w:trPr>
          <w:trHeight w:val="304" w:hRule="exact"/>
        </w:trPr>
        <w:tc>
          <w:tcPr>
            <w:tcW w:w="183" w:type="dxa"/>
            <w:vMerge/>
            <w:tcBorders>
              <w:left w:val="nil"/>
              <w:bottom w:val="nil"/>
              <w:right w:val="nil"/>
            </w:tcBorders>
          </w:tcPr>
          <w:p>
            <w:pPr/>
          </w:p>
        </w:tc>
        <w:tc>
          <w:tcPr>
            <w:tcW w:w="976" w:type="dxa"/>
            <w:tcBorders>
              <w:top w:val="nil"/>
              <w:left w:val="nil"/>
              <w:right w:val="single" w:sz="9" w:space="0" w:color="000000"/>
            </w:tcBorders>
          </w:tcPr>
          <w:p>
            <w:pPr>
              <w:pStyle w:val="TableParagraph"/>
              <w:spacing w:line="178" w:lineRule="exact"/>
              <w:ind w:left="308"/>
              <w:rPr>
                <w:rFonts w:ascii="Times New Roman"/>
                <w:sz w:val="16"/>
              </w:rPr>
            </w:pPr>
            <w:r>
              <w:rPr>
                <w:rFonts w:ascii="Times New Roman"/>
                <w:w w:val="110"/>
                <w:sz w:val="16"/>
              </w:rPr>
              <w:t>99</w:t>
            </w:r>
          </w:p>
        </w:tc>
        <w:tc>
          <w:tcPr>
            <w:tcW w:w="1625" w:type="dxa"/>
            <w:tcBorders>
              <w:top w:val="nil"/>
              <w:left w:val="single" w:sz="9" w:space="0" w:color="000000"/>
              <w:right w:val="single" w:sz="7" w:space="0" w:color="000000"/>
            </w:tcBorders>
          </w:tcPr>
          <w:p>
            <w:pPr>
              <w:pStyle w:val="TableParagraph"/>
              <w:spacing w:line="201" w:lineRule="exact"/>
              <w:ind w:left="771"/>
              <w:rPr>
                <w:sz w:val="19"/>
              </w:rPr>
            </w:pPr>
            <w:r>
              <w:rPr>
                <w:sz w:val="19"/>
              </w:rPr>
              <w:t>6,415</w:t>
            </w:r>
          </w:p>
        </w:tc>
        <w:tc>
          <w:tcPr>
            <w:tcW w:w="1469" w:type="dxa"/>
            <w:gridSpan w:val="2"/>
            <w:tcBorders>
              <w:top w:val="nil"/>
              <w:left w:val="single" w:sz="7" w:space="0" w:color="000000"/>
              <w:right w:val="single" w:sz="7" w:space="0" w:color="000000"/>
            </w:tcBorders>
          </w:tcPr>
          <w:p>
            <w:pPr>
              <w:pStyle w:val="TableParagraph"/>
              <w:spacing w:line="201" w:lineRule="exact"/>
              <w:ind w:left="611"/>
              <w:rPr>
                <w:sz w:val="19"/>
              </w:rPr>
            </w:pPr>
            <w:r>
              <w:rPr>
                <w:sz w:val="19"/>
              </w:rPr>
              <w:t>6,415</w:t>
            </w:r>
          </w:p>
        </w:tc>
        <w:tc>
          <w:tcPr>
            <w:tcW w:w="1440" w:type="dxa"/>
            <w:tcBorders>
              <w:top w:val="nil"/>
              <w:left w:val="single" w:sz="7" w:space="0" w:color="000000"/>
              <w:right w:val="nil"/>
            </w:tcBorders>
          </w:tcPr>
          <w:p>
            <w:pPr>
              <w:pStyle w:val="TableParagraph"/>
              <w:spacing w:line="175" w:lineRule="exact"/>
              <w:ind w:right="413"/>
              <w:jc w:val="right"/>
              <w:rPr>
                <w:rFonts w:ascii="Times New Roman"/>
                <w:sz w:val="16"/>
              </w:rPr>
            </w:pPr>
            <w:r>
              <w:rPr>
                <w:rFonts w:ascii="Times New Roman"/>
                <w:w w:val="115"/>
                <w:sz w:val="16"/>
              </w:rPr>
              <w:t>1000.00</w:t>
            </w:r>
          </w:p>
        </w:tc>
      </w:tr>
    </w:tbl>
    <w:p>
      <w:pPr>
        <w:spacing w:after="0" w:line="175" w:lineRule="exact"/>
        <w:jc w:val="right"/>
        <w:rPr>
          <w:rFonts w:ascii="Times New Roman"/>
          <w:sz w:val="16"/>
        </w:rPr>
        <w:sectPr>
          <w:pgSz w:w="7200" w:h="11340"/>
          <w:pgMar w:top="500" w:bottom="280" w:left="680" w:right="540"/>
        </w:sectPr>
      </w:pPr>
    </w:p>
    <w:p>
      <w:pPr>
        <w:tabs>
          <w:tab w:pos="2473" w:val="left" w:leader="none"/>
        </w:tabs>
        <w:spacing w:before="50"/>
        <w:ind w:left="108" w:right="0" w:firstLine="0"/>
        <w:jc w:val="left"/>
        <w:rPr>
          <w:sz w:val="15"/>
        </w:rPr>
      </w:pPr>
      <w:r>
        <w:rPr>
          <w:w w:val="110"/>
          <w:sz w:val="22"/>
        </w:rPr>
        <w:t>336</w:t>
        <w:tab/>
      </w:r>
      <w:r>
        <w:rPr>
          <w:b/>
          <w:w w:val="110"/>
          <w:position w:val="2"/>
          <w:sz w:val="15"/>
        </w:rPr>
        <w:t>APPENDIX </w:t>
      </w:r>
      <w:r>
        <w:rPr>
          <w:b/>
          <w:spacing w:val="15"/>
          <w:w w:val="110"/>
          <w:position w:val="2"/>
          <w:sz w:val="15"/>
        </w:rPr>
        <w:t> </w:t>
      </w:r>
      <w:r>
        <w:rPr>
          <w:w w:val="110"/>
          <w:position w:val="2"/>
          <w:sz w:val="15"/>
        </w:rPr>
        <w:t>I</w:t>
      </w:r>
    </w:p>
    <w:p>
      <w:pPr>
        <w:pStyle w:val="BodyText"/>
        <w:spacing w:before="5"/>
        <w:rPr>
          <w:sz w:val="11"/>
        </w:rPr>
      </w:pPr>
    </w:p>
    <w:p>
      <w:pPr>
        <w:spacing w:line="190" w:lineRule="exact" w:before="77"/>
        <w:ind w:left="293" w:right="356" w:firstLine="0"/>
        <w:jc w:val="center"/>
        <w:rPr>
          <w:sz w:val="18"/>
        </w:rPr>
      </w:pPr>
      <w:r>
        <w:rPr>
          <w:sz w:val="18"/>
        </w:rPr>
        <w:t>COMMUTATION  CQLUMNS</w:t>
      </w:r>
    </w:p>
    <w:p>
      <w:pPr>
        <w:spacing w:line="282" w:lineRule="exact" w:before="0"/>
        <w:ind w:left="293" w:right="339" w:firstLine="0"/>
        <w:jc w:val="center"/>
        <w:rPr>
          <w:rFonts w:ascii="Arial"/>
          <w:sz w:val="20"/>
        </w:rPr>
      </w:pPr>
      <w:r>
        <w:rPr>
          <w:sz w:val="17"/>
        </w:rPr>
        <w:t>1958  </w:t>
      </w:r>
      <w:r>
        <w:rPr>
          <w:sz w:val="26"/>
        </w:rPr>
        <w:t>eso </w:t>
      </w:r>
      <w:r>
        <w:rPr>
          <w:rFonts w:ascii="Arial"/>
          <w:sz w:val="20"/>
        </w:rPr>
        <w:t>3%</w:t>
      </w:r>
    </w:p>
    <w:p>
      <w:pPr>
        <w:spacing w:before="9"/>
        <w:ind w:left="293" w:right="365" w:firstLine="0"/>
        <w:jc w:val="center"/>
        <w:rPr>
          <w:sz w:val="18"/>
        </w:rPr>
      </w:pPr>
      <w:r>
        <w:rPr/>
        <w:pict>
          <v:shape style="position:absolute;margin-left:39.330002pt;margin-top:13.35234pt;width:286.650pt;height:439.6pt;mso-position-horizontal-relative:page;mso-position-vertical-relative:paragraph;z-index:26752" type="#_x0000_t202" filled="false" stroked="false">
            <v:textbox inset="0,0,0,0">
              <w:txbxContent>
                <w:tbl>
                  <w:tblPr>
                    <w:tblW w:w="0" w:type="auto"/>
                    <w:jc w:val="left"/>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top w:w="0" w:type="dxa"/>
                      <w:left w:w="0" w:type="dxa"/>
                      <w:bottom w:w="0" w:type="dxa"/>
                      <w:right w:w="0" w:type="dxa"/>
                    </w:tblCellMar>
                    <w:tblLook w:val="01E0"/>
                  </w:tblPr>
                  <w:tblGrid>
                    <w:gridCol w:w="486"/>
                    <w:gridCol w:w="1472"/>
                    <w:gridCol w:w="1548"/>
                    <w:gridCol w:w="1712"/>
                    <w:gridCol w:w="506"/>
                  </w:tblGrid>
                  <w:tr>
                    <w:trPr>
                      <w:trHeight w:val="297" w:hRule="exact"/>
                    </w:trPr>
                    <w:tc>
                      <w:tcPr>
                        <w:tcW w:w="486" w:type="dxa"/>
                        <w:tcBorders>
                          <w:left w:val="nil"/>
                          <w:bottom w:val="single" w:sz="1" w:space="0" w:color="000000"/>
                        </w:tcBorders>
                      </w:tcPr>
                      <w:p>
                        <w:pPr>
                          <w:pStyle w:val="TableParagraph"/>
                          <w:spacing w:line="268" w:lineRule="exact" w:before="58"/>
                          <w:ind w:left="35"/>
                          <w:jc w:val="center"/>
                          <w:rPr>
                            <w:rFonts w:ascii="Arial" w:hAnsi="Arial"/>
                            <w:sz w:val="26"/>
                          </w:rPr>
                        </w:pPr>
                        <w:r>
                          <w:rPr>
                            <w:rFonts w:ascii="Arial" w:hAnsi="Arial"/>
                            <w:w w:val="103"/>
                            <w:sz w:val="26"/>
                          </w:rPr>
                          <w:t>•</w:t>
                        </w:r>
                      </w:p>
                    </w:tc>
                    <w:tc>
                      <w:tcPr>
                        <w:tcW w:w="1472" w:type="dxa"/>
                        <w:tcBorders>
                          <w:bottom w:val="single" w:sz="1" w:space="0" w:color="000000"/>
                        </w:tcBorders>
                      </w:tcPr>
                      <w:p>
                        <w:pPr>
                          <w:pStyle w:val="TableParagraph"/>
                          <w:spacing w:before="106"/>
                          <w:ind w:left="437" w:right="419"/>
                          <w:jc w:val="center"/>
                          <w:rPr>
                            <w:rFonts w:ascii="Arial"/>
                            <w:i/>
                            <w:sz w:val="14"/>
                          </w:rPr>
                        </w:pPr>
                        <w:r>
                          <w:rPr>
                            <w:rFonts w:ascii="Arial"/>
                            <w:i/>
                            <w:w w:val="125"/>
                            <w:sz w:val="14"/>
                          </w:rPr>
                          <w:t>D.</w:t>
                        </w:r>
                      </w:p>
                    </w:tc>
                    <w:tc>
                      <w:tcPr>
                        <w:tcW w:w="1548" w:type="dxa"/>
                        <w:tcBorders>
                          <w:bottom w:val="single" w:sz="1" w:space="0" w:color="000000"/>
                        </w:tcBorders>
                      </w:tcPr>
                      <w:p>
                        <w:pPr>
                          <w:pStyle w:val="TableParagraph"/>
                          <w:spacing w:before="107"/>
                          <w:ind w:left="26" w:right="14"/>
                          <w:jc w:val="center"/>
                          <w:rPr>
                            <w:rFonts w:ascii="Times New Roman"/>
                            <w:b/>
                            <w:i/>
                            <w:sz w:val="14"/>
                          </w:rPr>
                        </w:pPr>
                        <w:r>
                          <w:rPr>
                            <w:rFonts w:ascii="Times New Roman"/>
                            <w:b/>
                            <w:i/>
                            <w:w w:val="105"/>
                            <w:sz w:val="14"/>
                          </w:rPr>
                          <w:t>Ns</w:t>
                        </w:r>
                      </w:p>
                    </w:tc>
                    <w:tc>
                      <w:tcPr>
                        <w:tcW w:w="1712" w:type="dxa"/>
                        <w:tcBorders>
                          <w:bottom w:val="single" w:sz="1" w:space="0" w:color="000000"/>
                          <w:right w:val="single" w:sz="6" w:space="0" w:color="000000"/>
                        </w:tcBorders>
                      </w:tcPr>
                      <w:p>
                        <w:pPr>
                          <w:pStyle w:val="TableParagraph"/>
                          <w:spacing w:before="65"/>
                          <w:ind w:left="33"/>
                          <w:jc w:val="center"/>
                          <w:rPr>
                            <w:rFonts w:ascii="Arial" w:hAnsi="Arial"/>
                            <w:i/>
                            <w:sz w:val="18"/>
                          </w:rPr>
                        </w:pPr>
                        <w:r>
                          <w:rPr>
                            <w:rFonts w:ascii="Arial" w:hAnsi="Arial"/>
                            <w:i/>
                            <w:w w:val="115"/>
                            <w:sz w:val="18"/>
                          </w:rPr>
                          <w:t>s•</w:t>
                        </w:r>
                      </w:p>
                    </w:tc>
                    <w:tc>
                      <w:tcPr>
                        <w:tcW w:w="506" w:type="dxa"/>
                        <w:vMerge w:val="restart"/>
                        <w:tcBorders>
                          <w:left w:val="single" w:sz="6" w:space="0" w:color="000000"/>
                          <w:right w:val="nil"/>
                        </w:tcBorders>
                      </w:tcPr>
                      <w:p>
                        <w:pPr>
                          <w:pStyle w:val="TableParagraph"/>
                          <w:spacing w:line="437" w:lineRule="exact" w:before="40"/>
                          <w:ind w:left="30"/>
                          <w:rPr>
                            <w:rFonts w:ascii="Arial" w:hAnsi="Arial"/>
                            <w:sz w:val="26"/>
                          </w:rPr>
                        </w:pPr>
                        <w:r>
                          <w:rPr>
                            <w:rFonts w:ascii="Times New Roman" w:hAnsi="Times New Roman"/>
                            <w:spacing w:val="-98"/>
                            <w:w w:val="273"/>
                            <w:position w:val="-16"/>
                            <w:sz w:val="32"/>
                          </w:rPr>
                          <w:t>-</w:t>
                        </w:r>
                        <w:r>
                          <w:rPr>
                            <w:rFonts w:ascii="Arial" w:hAnsi="Arial"/>
                            <w:spacing w:val="-69"/>
                            <w:w w:val="103"/>
                            <w:sz w:val="26"/>
                          </w:rPr>
                          <w:t>•</w:t>
                        </w:r>
                      </w:p>
                      <w:p>
                        <w:pPr>
                          <w:pStyle w:val="TableParagraph"/>
                          <w:spacing w:line="207" w:lineRule="exact"/>
                          <w:ind w:left="264"/>
                          <w:rPr>
                            <w:rFonts w:ascii="Arial"/>
                            <w:sz w:val="22"/>
                          </w:rPr>
                        </w:pPr>
                        <w:r>
                          <w:rPr>
                            <w:rFonts w:ascii="Arial"/>
                            <w:w w:val="74"/>
                            <w:sz w:val="22"/>
                          </w:rPr>
                          <w:t>o</w:t>
                        </w:r>
                      </w:p>
                    </w:tc>
                  </w:tr>
                  <w:tr>
                    <w:trPr>
                      <w:trHeight w:val="409" w:hRule="exact"/>
                    </w:trPr>
                    <w:tc>
                      <w:tcPr>
                        <w:tcW w:w="486" w:type="dxa"/>
                        <w:tcBorders>
                          <w:top w:val="single" w:sz="1" w:space="0" w:color="000000"/>
                          <w:left w:val="nil"/>
                          <w:bottom w:val="nil"/>
                        </w:tcBorders>
                      </w:tcPr>
                      <w:p>
                        <w:pPr>
                          <w:pStyle w:val="TableParagraph"/>
                          <w:spacing w:before="155"/>
                          <w:ind w:left="75"/>
                          <w:jc w:val="center"/>
                          <w:rPr>
                            <w:rFonts w:ascii="Arial"/>
                            <w:sz w:val="22"/>
                          </w:rPr>
                        </w:pPr>
                        <w:r>
                          <w:rPr>
                            <w:rFonts w:ascii="Arial"/>
                            <w:w w:val="74"/>
                            <w:sz w:val="22"/>
                          </w:rPr>
                          <w:t>o</w:t>
                        </w:r>
                      </w:p>
                    </w:tc>
                    <w:tc>
                      <w:tcPr>
                        <w:tcW w:w="1472" w:type="dxa"/>
                        <w:tcBorders>
                          <w:top w:val="single" w:sz="1" w:space="0" w:color="000000"/>
                          <w:bottom w:val="nil"/>
                        </w:tcBorders>
                      </w:tcPr>
                      <w:p>
                        <w:pPr>
                          <w:pStyle w:val="TableParagraph"/>
                          <w:rPr>
                            <w:rFonts w:ascii="Times New Roman"/>
                            <w:sz w:val="17"/>
                          </w:rPr>
                        </w:pPr>
                      </w:p>
                      <w:p>
                        <w:pPr>
                          <w:pStyle w:val="TableParagraph"/>
                          <w:spacing w:before="1"/>
                          <w:ind w:right="188"/>
                          <w:jc w:val="right"/>
                          <w:rPr>
                            <w:sz w:val="19"/>
                          </w:rPr>
                        </w:pPr>
                        <w:r>
                          <w:rPr>
                            <w:w w:val="85"/>
                            <w:sz w:val="19"/>
                          </w:rPr>
                          <w:t>10,000,000.0</w:t>
                        </w:r>
                      </w:p>
                    </w:tc>
                    <w:tc>
                      <w:tcPr>
                        <w:tcW w:w="1548" w:type="dxa"/>
                        <w:tcBorders>
                          <w:top w:val="single" w:sz="1" w:space="0" w:color="000000"/>
                          <w:bottom w:val="nil"/>
                        </w:tcBorders>
                      </w:tcPr>
                      <w:p>
                        <w:pPr>
                          <w:pStyle w:val="TableParagraph"/>
                          <w:rPr>
                            <w:rFonts w:ascii="Times New Roman"/>
                            <w:sz w:val="17"/>
                          </w:rPr>
                        </w:pPr>
                      </w:p>
                      <w:p>
                        <w:pPr>
                          <w:pStyle w:val="TableParagraph"/>
                          <w:spacing w:before="1"/>
                          <w:ind w:left="62" w:right="9"/>
                          <w:jc w:val="center"/>
                          <w:rPr>
                            <w:sz w:val="19"/>
                          </w:rPr>
                        </w:pPr>
                        <w:r>
                          <w:rPr>
                            <w:w w:val="90"/>
                            <w:sz w:val="19"/>
                          </w:rPr>
                          <w:t>288,963,016.7</w:t>
                        </w:r>
                      </w:p>
                    </w:tc>
                    <w:tc>
                      <w:tcPr>
                        <w:tcW w:w="1712" w:type="dxa"/>
                        <w:tcBorders>
                          <w:top w:val="single" w:sz="1" w:space="0" w:color="000000"/>
                          <w:bottom w:val="nil"/>
                          <w:right w:val="single" w:sz="6" w:space="0" w:color="000000"/>
                        </w:tcBorders>
                      </w:tcPr>
                      <w:p>
                        <w:pPr>
                          <w:pStyle w:val="TableParagraph"/>
                          <w:spacing w:before="8"/>
                          <w:rPr>
                            <w:rFonts w:ascii="Times New Roman"/>
                            <w:sz w:val="16"/>
                          </w:rPr>
                        </w:pPr>
                      </w:p>
                      <w:p>
                        <w:pPr>
                          <w:pStyle w:val="TableParagraph"/>
                          <w:spacing w:before="1"/>
                          <w:ind w:left="66"/>
                          <w:jc w:val="center"/>
                          <w:rPr>
                            <w:sz w:val="19"/>
                          </w:rPr>
                        </w:pPr>
                        <w:r>
                          <w:rPr>
                            <w:w w:val="95"/>
                            <w:sz w:val="19"/>
                          </w:rPr>
                          <w:t>6,979,643,888.8</w:t>
                        </w:r>
                      </w:p>
                    </w:tc>
                    <w:tc>
                      <w:tcPr>
                        <w:tcW w:w="506" w:type="dxa"/>
                        <w:vMerge/>
                        <w:tcBorders>
                          <w:left w:val="single" w:sz="6" w:space="0" w:color="000000"/>
                          <w:bottom w:val="nil"/>
                          <w:right w:val="nil"/>
                        </w:tcBorders>
                      </w:tcPr>
                      <w:p>
                        <w:pPr/>
                      </w:p>
                    </w:tc>
                  </w:tr>
                  <w:tr>
                    <w:trPr>
                      <w:trHeight w:val="202" w:hRule="exact"/>
                    </w:trPr>
                    <w:tc>
                      <w:tcPr>
                        <w:tcW w:w="486" w:type="dxa"/>
                        <w:tcBorders>
                          <w:top w:val="nil"/>
                          <w:left w:val="nil"/>
                          <w:bottom w:val="nil"/>
                        </w:tcBorders>
                      </w:tcPr>
                      <w:p>
                        <w:pPr>
                          <w:pStyle w:val="TableParagraph"/>
                          <w:spacing w:line="210" w:lineRule="exact"/>
                          <w:ind w:left="101"/>
                          <w:jc w:val="center"/>
                          <w:rPr>
                            <w:sz w:val="19"/>
                          </w:rPr>
                        </w:pPr>
                        <w:r>
                          <w:rPr>
                            <w:w w:val="77"/>
                            <w:sz w:val="19"/>
                          </w:rPr>
                          <w:t>1</w:t>
                        </w:r>
                      </w:p>
                    </w:tc>
                    <w:tc>
                      <w:tcPr>
                        <w:tcW w:w="1472" w:type="dxa"/>
                        <w:tcBorders>
                          <w:top w:val="nil"/>
                          <w:bottom w:val="nil"/>
                        </w:tcBorders>
                      </w:tcPr>
                      <w:p>
                        <w:pPr>
                          <w:pStyle w:val="TableParagraph"/>
                          <w:spacing w:line="206" w:lineRule="exact"/>
                          <w:ind w:right="191"/>
                          <w:jc w:val="right"/>
                          <w:rPr>
                            <w:sz w:val="19"/>
                          </w:rPr>
                        </w:pPr>
                        <w:r>
                          <w:rPr>
                            <w:w w:val="85"/>
                            <w:sz w:val="19"/>
                          </w:rPr>
                          <w:t>9,640,000.0</w:t>
                        </w:r>
                      </w:p>
                    </w:tc>
                    <w:tc>
                      <w:tcPr>
                        <w:tcW w:w="1548" w:type="dxa"/>
                        <w:tcBorders>
                          <w:top w:val="nil"/>
                          <w:bottom w:val="nil"/>
                        </w:tcBorders>
                      </w:tcPr>
                      <w:p>
                        <w:pPr>
                          <w:pStyle w:val="TableParagraph"/>
                          <w:spacing w:line="202" w:lineRule="exact"/>
                          <w:ind w:left="62" w:right="9"/>
                          <w:jc w:val="center"/>
                          <w:rPr>
                            <w:sz w:val="19"/>
                          </w:rPr>
                        </w:pPr>
                        <w:r>
                          <w:rPr>
                            <w:w w:val="95"/>
                            <w:sz w:val="19"/>
                          </w:rPr>
                          <w:t>278,963,016.7</w:t>
                        </w:r>
                      </w:p>
                    </w:tc>
                    <w:tc>
                      <w:tcPr>
                        <w:tcW w:w="1712" w:type="dxa"/>
                        <w:tcBorders>
                          <w:top w:val="nil"/>
                          <w:bottom w:val="nil"/>
                          <w:right w:val="single" w:sz="6" w:space="0" w:color="000000"/>
                        </w:tcBorders>
                      </w:tcPr>
                      <w:p>
                        <w:pPr>
                          <w:pStyle w:val="TableParagraph"/>
                          <w:spacing w:line="199" w:lineRule="exact"/>
                          <w:ind w:left="51"/>
                          <w:jc w:val="center"/>
                          <w:rPr>
                            <w:sz w:val="19"/>
                          </w:rPr>
                        </w:pPr>
                        <w:r>
                          <w:rPr>
                            <w:w w:val="90"/>
                            <w:sz w:val="19"/>
                          </w:rPr>
                          <w:t>6,690,680,872.1</w:t>
                        </w:r>
                      </w:p>
                    </w:tc>
                    <w:tc>
                      <w:tcPr>
                        <w:tcW w:w="506" w:type="dxa"/>
                        <w:tcBorders>
                          <w:top w:val="nil"/>
                          <w:left w:val="single" w:sz="6" w:space="0" w:color="000000"/>
                          <w:bottom w:val="nil"/>
                          <w:right w:val="nil"/>
                        </w:tcBorders>
                      </w:tcPr>
                      <w:p>
                        <w:pPr>
                          <w:pStyle w:val="TableParagraph"/>
                          <w:spacing w:line="199" w:lineRule="exact"/>
                          <w:ind w:right="137"/>
                          <w:jc w:val="right"/>
                          <w:rPr>
                            <w:sz w:val="19"/>
                          </w:rPr>
                        </w:pPr>
                        <w:r>
                          <w:rPr>
                            <w:w w:val="72"/>
                            <w:sz w:val="19"/>
                          </w:rPr>
                          <w:t>1</w:t>
                        </w:r>
                      </w:p>
                    </w:tc>
                  </w:tr>
                  <w:tr>
                    <w:trPr>
                      <w:trHeight w:val="202" w:hRule="exact"/>
                    </w:trPr>
                    <w:tc>
                      <w:tcPr>
                        <w:tcW w:w="486" w:type="dxa"/>
                        <w:tcBorders>
                          <w:top w:val="nil"/>
                          <w:left w:val="nil"/>
                          <w:bottom w:val="nil"/>
                        </w:tcBorders>
                      </w:tcPr>
                      <w:p>
                        <w:pPr>
                          <w:pStyle w:val="TableParagraph"/>
                          <w:spacing w:line="210" w:lineRule="exact"/>
                          <w:ind w:left="111"/>
                          <w:jc w:val="center"/>
                          <w:rPr>
                            <w:sz w:val="19"/>
                          </w:rPr>
                        </w:pPr>
                        <w:r>
                          <w:rPr>
                            <w:w w:val="98"/>
                            <w:sz w:val="19"/>
                          </w:rPr>
                          <w:t>2</w:t>
                        </w:r>
                      </w:p>
                    </w:tc>
                    <w:tc>
                      <w:tcPr>
                        <w:tcW w:w="1472" w:type="dxa"/>
                        <w:tcBorders>
                          <w:top w:val="nil"/>
                          <w:bottom w:val="nil"/>
                        </w:tcBorders>
                      </w:tcPr>
                      <w:p>
                        <w:pPr>
                          <w:pStyle w:val="TableParagraph"/>
                          <w:spacing w:line="202" w:lineRule="exact"/>
                          <w:ind w:right="222"/>
                          <w:jc w:val="right"/>
                          <w:rPr>
                            <w:sz w:val="19"/>
                          </w:rPr>
                        </w:pPr>
                        <w:r>
                          <w:rPr>
                            <w:w w:val="85"/>
                            <w:sz w:val="19"/>
                          </w:rPr>
                          <w:t>9,342,751.4</w:t>
                        </w:r>
                      </w:p>
                    </w:tc>
                    <w:tc>
                      <w:tcPr>
                        <w:tcW w:w="1548" w:type="dxa"/>
                        <w:tcBorders>
                          <w:top w:val="nil"/>
                          <w:bottom w:val="nil"/>
                        </w:tcBorders>
                      </w:tcPr>
                      <w:p>
                        <w:pPr>
                          <w:pStyle w:val="TableParagraph"/>
                          <w:spacing w:line="199" w:lineRule="exact"/>
                          <w:ind w:left="58" w:right="14"/>
                          <w:jc w:val="center"/>
                          <w:rPr>
                            <w:sz w:val="19"/>
                          </w:rPr>
                        </w:pPr>
                        <w:r>
                          <w:rPr>
                            <w:w w:val="95"/>
                            <w:sz w:val="19"/>
                          </w:rPr>
                          <w:t>269,323,016.7</w:t>
                        </w:r>
                      </w:p>
                    </w:tc>
                    <w:tc>
                      <w:tcPr>
                        <w:tcW w:w="1712" w:type="dxa"/>
                        <w:tcBorders>
                          <w:top w:val="nil"/>
                          <w:bottom w:val="nil"/>
                          <w:right w:val="single" w:sz="6" w:space="0" w:color="000000"/>
                        </w:tcBorders>
                      </w:tcPr>
                      <w:p>
                        <w:pPr>
                          <w:pStyle w:val="TableParagraph"/>
                          <w:spacing w:line="202" w:lineRule="exact"/>
                          <w:ind w:left="158"/>
                          <w:jc w:val="center"/>
                          <w:rPr>
                            <w:sz w:val="19"/>
                          </w:rPr>
                        </w:pPr>
                        <w:r>
                          <w:rPr>
                            <w:rFonts w:ascii="Times New Roman"/>
                            <w:b/>
                            <w:w w:val="85"/>
                            <w:sz w:val="17"/>
                          </w:rPr>
                          <w:t>,411, </w:t>
                        </w:r>
                        <w:r>
                          <w:rPr>
                            <w:w w:val="85"/>
                            <w:sz w:val="19"/>
                          </w:rPr>
                          <w:t>717,855.4</w:t>
                        </w:r>
                      </w:p>
                    </w:tc>
                    <w:tc>
                      <w:tcPr>
                        <w:tcW w:w="506" w:type="dxa"/>
                        <w:tcBorders>
                          <w:top w:val="nil"/>
                          <w:left w:val="single" w:sz="6" w:space="0" w:color="000000"/>
                          <w:bottom w:val="nil"/>
                          <w:right w:val="nil"/>
                        </w:tcBorders>
                      </w:tcPr>
                      <w:p>
                        <w:pPr>
                          <w:pStyle w:val="TableParagraph"/>
                          <w:spacing w:line="195" w:lineRule="exact"/>
                          <w:ind w:right="113"/>
                          <w:jc w:val="right"/>
                          <w:rPr>
                            <w:sz w:val="19"/>
                          </w:rPr>
                        </w:pPr>
                        <w:r>
                          <w:rPr>
                            <w:w w:val="103"/>
                            <w:sz w:val="19"/>
                          </w:rPr>
                          <w:t>2</w:t>
                        </w:r>
                      </w:p>
                    </w:tc>
                  </w:tr>
                  <w:tr>
                    <w:trPr>
                      <w:trHeight w:val="193" w:hRule="exact"/>
                    </w:trPr>
                    <w:tc>
                      <w:tcPr>
                        <w:tcW w:w="486" w:type="dxa"/>
                        <w:tcBorders>
                          <w:top w:val="nil"/>
                          <w:left w:val="nil"/>
                          <w:bottom w:val="nil"/>
                        </w:tcBorders>
                      </w:tcPr>
                      <w:p>
                        <w:pPr>
                          <w:pStyle w:val="TableParagraph"/>
                          <w:spacing w:line="189" w:lineRule="exact"/>
                          <w:ind w:left="89"/>
                          <w:jc w:val="center"/>
                          <w:rPr>
                            <w:rFonts w:ascii="Times New Roman"/>
                            <w:sz w:val="17"/>
                          </w:rPr>
                        </w:pPr>
                        <w:r>
                          <w:rPr>
                            <w:rFonts w:ascii="Times New Roman"/>
                            <w:w w:val="116"/>
                            <w:sz w:val="17"/>
                          </w:rPr>
                          <w:t>3</w:t>
                        </w:r>
                      </w:p>
                    </w:tc>
                    <w:tc>
                      <w:tcPr>
                        <w:tcW w:w="1472" w:type="dxa"/>
                        <w:tcBorders>
                          <w:top w:val="nil"/>
                          <w:bottom w:val="nil"/>
                        </w:tcBorders>
                      </w:tcPr>
                      <w:p>
                        <w:pPr>
                          <w:pStyle w:val="TableParagraph"/>
                          <w:spacing w:line="188" w:lineRule="exact"/>
                          <w:ind w:right="242"/>
                          <w:jc w:val="right"/>
                          <w:rPr>
                            <w:rFonts w:ascii="Times New Roman"/>
                            <w:sz w:val="18"/>
                          </w:rPr>
                        </w:pPr>
                        <w:r>
                          <w:rPr>
                            <w:rFonts w:ascii="Times New Roman"/>
                            <w:sz w:val="18"/>
                          </w:rPr>
                          <w:t>9,056,844.9</w:t>
                        </w:r>
                      </w:p>
                    </w:tc>
                    <w:tc>
                      <w:tcPr>
                        <w:tcW w:w="1548" w:type="dxa"/>
                        <w:tcBorders>
                          <w:top w:val="nil"/>
                          <w:bottom w:val="nil"/>
                        </w:tcBorders>
                      </w:tcPr>
                      <w:p>
                        <w:pPr>
                          <w:pStyle w:val="TableParagraph"/>
                          <w:spacing w:line="175" w:lineRule="exact"/>
                          <w:ind w:left="38" w:right="14"/>
                          <w:jc w:val="center"/>
                          <w:rPr>
                            <w:rFonts w:ascii="Times New Roman"/>
                            <w:sz w:val="17"/>
                          </w:rPr>
                        </w:pPr>
                        <w:r>
                          <w:rPr>
                            <w:rFonts w:ascii="Times New Roman"/>
                            <w:w w:val="125"/>
                            <w:sz w:val="17"/>
                          </w:rPr>
                          <w:t>259,9 ,265.3</w:t>
                        </w:r>
                      </w:p>
                    </w:tc>
                    <w:tc>
                      <w:tcPr>
                        <w:tcW w:w="1712" w:type="dxa"/>
                        <w:tcBorders>
                          <w:top w:val="nil"/>
                          <w:bottom w:val="nil"/>
                          <w:right w:val="single" w:sz="6" w:space="0" w:color="000000"/>
                        </w:tcBorders>
                      </w:tcPr>
                      <w:p>
                        <w:pPr>
                          <w:pStyle w:val="TableParagraph"/>
                          <w:spacing w:line="195" w:lineRule="exact"/>
                          <w:ind w:left="53"/>
                          <w:jc w:val="center"/>
                          <w:rPr>
                            <w:sz w:val="19"/>
                          </w:rPr>
                        </w:pPr>
                        <w:r>
                          <w:rPr>
                            <w:w w:val="90"/>
                            <w:sz w:val="19"/>
                          </w:rPr>
                          <w:t>6,142,394,838.7</w:t>
                        </w:r>
                      </w:p>
                    </w:tc>
                    <w:tc>
                      <w:tcPr>
                        <w:tcW w:w="506" w:type="dxa"/>
                        <w:tcBorders>
                          <w:top w:val="nil"/>
                          <w:left w:val="single" w:sz="6" w:space="0" w:color="000000"/>
                          <w:bottom w:val="nil"/>
                          <w:right w:val="nil"/>
                        </w:tcBorders>
                      </w:tcPr>
                      <w:p>
                        <w:pPr>
                          <w:pStyle w:val="TableParagraph"/>
                          <w:spacing w:line="195" w:lineRule="exact"/>
                          <w:ind w:right="126"/>
                          <w:jc w:val="right"/>
                          <w:rPr>
                            <w:sz w:val="19"/>
                          </w:rPr>
                        </w:pPr>
                        <w:r>
                          <w:rPr>
                            <w:w w:val="95"/>
                            <w:sz w:val="19"/>
                          </w:rPr>
                          <w:t>3</w:t>
                        </w:r>
                      </w:p>
                    </w:tc>
                  </w:tr>
                  <w:tr>
                    <w:trPr>
                      <w:trHeight w:val="304" w:hRule="exact"/>
                    </w:trPr>
                    <w:tc>
                      <w:tcPr>
                        <w:tcW w:w="486" w:type="dxa"/>
                        <w:tcBorders>
                          <w:top w:val="nil"/>
                          <w:left w:val="nil"/>
                          <w:bottom w:val="nil"/>
                        </w:tcBorders>
                      </w:tcPr>
                      <w:p>
                        <w:pPr>
                          <w:pStyle w:val="TableParagraph"/>
                          <w:spacing w:line="211" w:lineRule="exact"/>
                          <w:ind w:left="109"/>
                          <w:jc w:val="center"/>
                          <w:rPr>
                            <w:sz w:val="19"/>
                          </w:rPr>
                        </w:pPr>
                        <w:r>
                          <w:rPr>
                            <w:w w:val="103"/>
                            <w:sz w:val="19"/>
                          </w:rPr>
                          <w:t>4</w:t>
                        </w:r>
                      </w:p>
                    </w:tc>
                    <w:tc>
                      <w:tcPr>
                        <w:tcW w:w="1472" w:type="dxa"/>
                        <w:tcBorders>
                          <w:top w:val="nil"/>
                          <w:bottom w:val="nil"/>
                        </w:tcBorders>
                      </w:tcPr>
                      <w:p>
                        <w:pPr>
                          <w:pStyle w:val="TableParagraph"/>
                          <w:spacing w:line="211" w:lineRule="exact"/>
                          <w:ind w:right="206"/>
                          <w:jc w:val="right"/>
                          <w:rPr>
                            <w:sz w:val="19"/>
                          </w:rPr>
                        </w:pPr>
                        <w:r>
                          <w:rPr>
                            <w:w w:val="85"/>
                            <w:sz w:val="19"/>
                          </w:rPr>
                          <w:t>8,780,215.6</w:t>
                        </w:r>
                      </w:p>
                    </w:tc>
                    <w:tc>
                      <w:tcPr>
                        <w:tcW w:w="1548" w:type="dxa"/>
                        <w:tcBorders>
                          <w:top w:val="nil"/>
                          <w:bottom w:val="nil"/>
                        </w:tcBorders>
                      </w:tcPr>
                      <w:p>
                        <w:pPr>
                          <w:pStyle w:val="TableParagraph"/>
                          <w:spacing w:line="204" w:lineRule="exact"/>
                          <w:ind w:left="62" w:right="4"/>
                          <w:jc w:val="center"/>
                          <w:rPr>
                            <w:sz w:val="19"/>
                          </w:rPr>
                        </w:pPr>
                        <w:r>
                          <w:rPr>
                            <w:w w:val="85"/>
                            <w:sz w:val="19"/>
                          </w:rPr>
                          <w:t>250,923,420.4</w:t>
                        </w:r>
                      </w:p>
                    </w:tc>
                    <w:tc>
                      <w:tcPr>
                        <w:tcW w:w="1712" w:type="dxa"/>
                        <w:tcBorders>
                          <w:top w:val="nil"/>
                          <w:bottom w:val="nil"/>
                          <w:right w:val="single" w:sz="6" w:space="0" w:color="000000"/>
                        </w:tcBorders>
                      </w:tcPr>
                      <w:p>
                        <w:pPr>
                          <w:pStyle w:val="TableParagraph"/>
                          <w:spacing w:line="201" w:lineRule="exact"/>
                          <w:ind w:left="61"/>
                          <w:jc w:val="center"/>
                          <w:rPr>
                            <w:sz w:val="19"/>
                          </w:rPr>
                        </w:pPr>
                        <w:r>
                          <w:rPr>
                            <w:w w:val="90"/>
                            <w:sz w:val="19"/>
                          </w:rPr>
                          <w:t>5,882,414,573.4</w:t>
                        </w:r>
                      </w:p>
                    </w:tc>
                    <w:tc>
                      <w:tcPr>
                        <w:tcW w:w="506" w:type="dxa"/>
                        <w:tcBorders>
                          <w:top w:val="nil"/>
                          <w:left w:val="single" w:sz="6" w:space="0" w:color="000000"/>
                          <w:bottom w:val="nil"/>
                          <w:right w:val="nil"/>
                        </w:tcBorders>
                      </w:tcPr>
                      <w:p>
                        <w:pPr>
                          <w:pStyle w:val="TableParagraph"/>
                          <w:spacing w:line="204" w:lineRule="exact"/>
                          <w:ind w:right="122"/>
                          <w:jc w:val="right"/>
                          <w:rPr>
                            <w:sz w:val="19"/>
                          </w:rPr>
                        </w:pPr>
                        <w:r>
                          <w:rPr>
                            <w:w w:val="98"/>
                            <w:sz w:val="19"/>
                          </w:rPr>
                          <w:t>4</w:t>
                        </w:r>
                      </w:p>
                    </w:tc>
                  </w:tr>
                  <w:tr>
                    <w:trPr>
                      <w:trHeight w:val="306" w:hRule="exact"/>
                    </w:trPr>
                    <w:tc>
                      <w:tcPr>
                        <w:tcW w:w="486" w:type="dxa"/>
                        <w:tcBorders>
                          <w:top w:val="nil"/>
                          <w:left w:val="nil"/>
                          <w:bottom w:val="nil"/>
                        </w:tcBorders>
                      </w:tcPr>
                      <w:p>
                        <w:pPr>
                          <w:pStyle w:val="TableParagraph"/>
                          <w:spacing w:before="99"/>
                          <w:ind w:left="98"/>
                          <w:jc w:val="center"/>
                          <w:rPr>
                            <w:sz w:val="19"/>
                          </w:rPr>
                        </w:pPr>
                        <w:r>
                          <w:rPr>
                            <w:w w:val="100"/>
                            <w:sz w:val="19"/>
                          </w:rPr>
                          <w:t>5</w:t>
                        </w:r>
                      </w:p>
                    </w:tc>
                    <w:tc>
                      <w:tcPr>
                        <w:tcW w:w="1472" w:type="dxa"/>
                        <w:tcBorders>
                          <w:top w:val="nil"/>
                          <w:bottom w:val="nil"/>
                        </w:tcBorders>
                      </w:tcPr>
                      <w:p>
                        <w:pPr>
                          <w:pStyle w:val="TableParagraph"/>
                          <w:spacing w:before="91"/>
                          <w:ind w:right="208"/>
                          <w:jc w:val="right"/>
                          <w:rPr>
                            <w:sz w:val="19"/>
                          </w:rPr>
                        </w:pPr>
                        <w:r>
                          <w:rPr>
                            <w:w w:val="80"/>
                            <w:sz w:val="19"/>
                          </w:rPr>
                          <w:t>8,512,546.9</w:t>
                        </w:r>
                      </w:p>
                    </w:tc>
                    <w:tc>
                      <w:tcPr>
                        <w:tcW w:w="1548" w:type="dxa"/>
                        <w:tcBorders>
                          <w:top w:val="nil"/>
                          <w:bottom w:val="nil"/>
                        </w:tcBorders>
                      </w:tcPr>
                      <w:p>
                        <w:pPr>
                          <w:pStyle w:val="TableParagraph"/>
                          <w:spacing w:before="84"/>
                          <w:ind w:left="62" w:right="5"/>
                          <w:jc w:val="center"/>
                          <w:rPr>
                            <w:sz w:val="19"/>
                          </w:rPr>
                        </w:pPr>
                        <w:r>
                          <w:rPr>
                            <w:w w:val="79"/>
                            <w:sz w:val="19"/>
                          </w:rPr>
                          <w:t>2</w:t>
                        </w:r>
                        <w:r>
                          <w:rPr>
                            <w:spacing w:val="-24"/>
                            <w:w w:val="79"/>
                            <w:sz w:val="19"/>
                          </w:rPr>
                          <w:t>4</w:t>
                        </w:r>
                        <w:r>
                          <w:rPr>
                            <w:spacing w:val="-18"/>
                            <w:w w:val="103"/>
                            <w:sz w:val="19"/>
                          </w:rPr>
                          <w:t>2</w:t>
                        </w:r>
                        <w:r>
                          <w:rPr>
                            <w:w w:val="69"/>
                            <w:sz w:val="19"/>
                          </w:rPr>
                          <w:t>,1</w:t>
                        </w:r>
                        <w:r>
                          <w:rPr>
                            <w:spacing w:val="-24"/>
                            <w:w w:val="69"/>
                            <w:sz w:val="19"/>
                          </w:rPr>
                          <w:t>4</w:t>
                        </w:r>
                        <w:r>
                          <w:rPr>
                            <w:spacing w:val="-13"/>
                            <w:w w:val="95"/>
                            <w:sz w:val="19"/>
                          </w:rPr>
                          <w:t>3</w:t>
                        </w:r>
                        <w:r>
                          <w:rPr>
                            <w:spacing w:val="-65"/>
                            <w:w w:val="343"/>
                            <w:sz w:val="19"/>
                          </w:rPr>
                          <w:t>,</w:t>
                        </w:r>
                        <w:r>
                          <w:rPr>
                            <w:w w:val="78"/>
                            <w:sz w:val="19"/>
                          </w:rPr>
                          <w:t>.8</w:t>
                        </w:r>
                      </w:p>
                    </w:tc>
                    <w:tc>
                      <w:tcPr>
                        <w:tcW w:w="1712" w:type="dxa"/>
                        <w:tcBorders>
                          <w:top w:val="nil"/>
                          <w:bottom w:val="nil"/>
                          <w:right w:val="single" w:sz="6" w:space="0" w:color="000000"/>
                        </w:tcBorders>
                      </w:tcPr>
                      <w:p>
                        <w:pPr>
                          <w:pStyle w:val="TableParagraph"/>
                          <w:spacing w:before="81"/>
                          <w:ind w:left="54"/>
                          <w:jc w:val="center"/>
                          <w:rPr>
                            <w:sz w:val="19"/>
                          </w:rPr>
                        </w:pPr>
                        <w:r>
                          <w:rPr>
                            <w:w w:val="85"/>
                            <w:sz w:val="19"/>
                          </w:rPr>
                          <w:t>5,631,491,153.0</w:t>
                        </w:r>
                      </w:p>
                    </w:tc>
                    <w:tc>
                      <w:tcPr>
                        <w:tcW w:w="506" w:type="dxa"/>
                        <w:tcBorders>
                          <w:top w:val="nil"/>
                          <w:left w:val="single" w:sz="6" w:space="0" w:color="000000"/>
                          <w:bottom w:val="nil"/>
                          <w:right w:val="nil"/>
                        </w:tcBorders>
                      </w:tcPr>
                      <w:p>
                        <w:pPr>
                          <w:pStyle w:val="TableParagraph"/>
                          <w:spacing w:before="84"/>
                          <w:ind w:right="124"/>
                          <w:jc w:val="right"/>
                          <w:rPr>
                            <w:sz w:val="19"/>
                          </w:rPr>
                        </w:pPr>
                        <w:r>
                          <w:rPr>
                            <w:w w:val="100"/>
                            <w:sz w:val="19"/>
                          </w:rPr>
                          <w:t>5</w:t>
                        </w:r>
                      </w:p>
                    </w:tc>
                  </w:tr>
                  <w:tr>
                    <w:trPr>
                      <w:trHeight w:val="196" w:hRule="exact"/>
                    </w:trPr>
                    <w:tc>
                      <w:tcPr>
                        <w:tcW w:w="486" w:type="dxa"/>
                        <w:tcBorders>
                          <w:top w:val="nil"/>
                          <w:left w:val="nil"/>
                          <w:bottom w:val="nil"/>
                        </w:tcBorders>
                      </w:tcPr>
                      <w:p>
                        <w:pPr>
                          <w:pStyle w:val="TableParagraph"/>
                          <w:spacing w:line="183" w:lineRule="exact"/>
                          <w:ind w:left="78"/>
                          <w:jc w:val="center"/>
                          <w:rPr>
                            <w:rFonts w:ascii="Arial"/>
                            <w:sz w:val="16"/>
                          </w:rPr>
                        </w:pPr>
                        <w:r>
                          <w:rPr>
                            <w:rFonts w:ascii="Arial"/>
                            <w:w w:val="97"/>
                            <w:sz w:val="16"/>
                          </w:rPr>
                          <w:t>6</w:t>
                        </w:r>
                      </w:p>
                    </w:tc>
                    <w:tc>
                      <w:tcPr>
                        <w:tcW w:w="1472" w:type="dxa"/>
                        <w:tcBorders>
                          <w:top w:val="nil"/>
                          <w:bottom w:val="nil"/>
                        </w:tcBorders>
                      </w:tcPr>
                      <w:p>
                        <w:pPr>
                          <w:pStyle w:val="TableParagraph"/>
                          <w:spacing w:line="202" w:lineRule="exact"/>
                          <w:ind w:right="218"/>
                          <w:jc w:val="right"/>
                          <w:rPr>
                            <w:sz w:val="19"/>
                          </w:rPr>
                        </w:pPr>
                        <w:r>
                          <w:rPr>
                            <w:w w:val="80"/>
                            <w:sz w:val="19"/>
                          </w:rPr>
                          <w:t>8,253,451.8</w:t>
                        </w:r>
                      </w:p>
                    </w:tc>
                    <w:tc>
                      <w:tcPr>
                        <w:tcW w:w="1548" w:type="dxa"/>
                        <w:tcBorders>
                          <w:top w:val="nil"/>
                          <w:bottom w:val="nil"/>
                        </w:tcBorders>
                      </w:tcPr>
                      <w:p>
                        <w:pPr>
                          <w:pStyle w:val="TableParagraph"/>
                          <w:spacing w:line="199" w:lineRule="exact"/>
                          <w:ind w:left="62" w:right="14"/>
                          <w:jc w:val="center"/>
                          <w:rPr>
                            <w:sz w:val="19"/>
                          </w:rPr>
                        </w:pPr>
                        <w:r>
                          <w:rPr>
                            <w:w w:val="90"/>
                            <w:sz w:val="19"/>
                          </w:rPr>
                          <w:t>233,630,657.9</w:t>
                        </w:r>
                      </w:p>
                    </w:tc>
                    <w:tc>
                      <w:tcPr>
                        <w:tcW w:w="1712" w:type="dxa"/>
                        <w:tcBorders>
                          <w:top w:val="nil"/>
                          <w:bottom w:val="nil"/>
                          <w:right w:val="single" w:sz="6" w:space="0" w:color="000000"/>
                        </w:tcBorders>
                      </w:tcPr>
                      <w:p>
                        <w:pPr>
                          <w:pStyle w:val="TableParagraph"/>
                          <w:spacing w:line="195" w:lineRule="exact"/>
                          <w:ind w:left="60"/>
                          <w:jc w:val="center"/>
                          <w:rPr>
                            <w:sz w:val="19"/>
                          </w:rPr>
                        </w:pPr>
                        <w:r>
                          <w:rPr>
                            <w:w w:val="90"/>
                            <w:sz w:val="19"/>
                          </w:rPr>
                          <w:t>5,389,347,948.2</w:t>
                        </w:r>
                      </w:p>
                    </w:tc>
                    <w:tc>
                      <w:tcPr>
                        <w:tcW w:w="506" w:type="dxa"/>
                        <w:tcBorders>
                          <w:top w:val="nil"/>
                          <w:left w:val="single" w:sz="6" w:space="0" w:color="000000"/>
                          <w:bottom w:val="nil"/>
                          <w:right w:val="nil"/>
                        </w:tcBorders>
                      </w:tcPr>
                      <w:p>
                        <w:pPr>
                          <w:pStyle w:val="TableParagraph"/>
                          <w:spacing w:line="199" w:lineRule="exact"/>
                          <w:ind w:right="121"/>
                          <w:jc w:val="right"/>
                          <w:rPr>
                            <w:sz w:val="19"/>
                          </w:rPr>
                        </w:pPr>
                        <w:r>
                          <w:rPr>
                            <w:w w:val="102"/>
                            <w:sz w:val="19"/>
                          </w:rPr>
                          <w:t>6</w:t>
                        </w:r>
                      </w:p>
                    </w:tc>
                  </w:tr>
                  <w:tr>
                    <w:trPr>
                      <w:trHeight w:val="203" w:hRule="exact"/>
                    </w:trPr>
                    <w:tc>
                      <w:tcPr>
                        <w:tcW w:w="486" w:type="dxa"/>
                        <w:tcBorders>
                          <w:top w:val="nil"/>
                          <w:left w:val="nil"/>
                          <w:bottom w:val="nil"/>
                        </w:tcBorders>
                      </w:tcPr>
                      <w:p>
                        <w:pPr>
                          <w:pStyle w:val="TableParagraph"/>
                          <w:spacing w:line="211" w:lineRule="exact"/>
                          <w:ind w:left="109"/>
                          <w:jc w:val="center"/>
                          <w:rPr>
                            <w:sz w:val="19"/>
                          </w:rPr>
                        </w:pPr>
                        <w:r>
                          <w:rPr>
                            <w:w w:val="103"/>
                            <w:sz w:val="19"/>
                          </w:rPr>
                          <w:t>7</w:t>
                        </w:r>
                      </w:p>
                    </w:tc>
                    <w:tc>
                      <w:tcPr>
                        <w:tcW w:w="1472" w:type="dxa"/>
                        <w:tcBorders>
                          <w:top w:val="nil"/>
                          <w:bottom w:val="nil"/>
                        </w:tcBorders>
                      </w:tcPr>
                      <w:p>
                        <w:pPr>
                          <w:pStyle w:val="TableParagraph"/>
                          <w:spacing w:line="204" w:lineRule="exact"/>
                          <w:ind w:right="209"/>
                          <w:jc w:val="right"/>
                          <w:rPr>
                            <w:sz w:val="19"/>
                          </w:rPr>
                        </w:pPr>
                        <w:r>
                          <w:rPr>
                            <w:w w:val="90"/>
                            <w:sz w:val="19"/>
                          </w:rPr>
                          <w:t>8,002,642.6</w:t>
                        </w:r>
                      </w:p>
                    </w:tc>
                    <w:tc>
                      <w:tcPr>
                        <w:tcW w:w="1548" w:type="dxa"/>
                        <w:tcBorders>
                          <w:top w:val="nil"/>
                          <w:bottom w:val="nil"/>
                        </w:tcBorders>
                      </w:tcPr>
                      <w:p>
                        <w:pPr>
                          <w:pStyle w:val="TableParagraph"/>
                          <w:spacing w:line="201" w:lineRule="exact"/>
                          <w:ind w:left="46" w:right="14"/>
                          <w:jc w:val="center"/>
                          <w:rPr>
                            <w:sz w:val="19"/>
                          </w:rPr>
                        </w:pPr>
                        <w:r>
                          <w:rPr>
                            <w:w w:val="85"/>
                            <w:sz w:val="19"/>
                          </w:rPr>
                          <w:t>225,377,206.1</w:t>
                        </w:r>
                      </w:p>
                    </w:tc>
                    <w:tc>
                      <w:tcPr>
                        <w:tcW w:w="1712" w:type="dxa"/>
                        <w:tcBorders>
                          <w:top w:val="nil"/>
                          <w:bottom w:val="nil"/>
                          <w:right w:val="single" w:sz="6" w:space="0" w:color="000000"/>
                        </w:tcBorders>
                      </w:tcPr>
                      <w:p>
                        <w:pPr>
                          <w:pStyle w:val="TableParagraph"/>
                          <w:spacing w:line="197" w:lineRule="exact"/>
                          <w:ind w:left="43"/>
                          <w:jc w:val="center"/>
                          <w:rPr>
                            <w:sz w:val="19"/>
                          </w:rPr>
                        </w:pPr>
                        <w:r>
                          <w:rPr>
                            <w:w w:val="80"/>
                            <w:sz w:val="19"/>
                          </w:rPr>
                          <w:t>5,155,717,290.3</w:t>
                        </w:r>
                      </w:p>
                    </w:tc>
                    <w:tc>
                      <w:tcPr>
                        <w:tcW w:w="506" w:type="dxa"/>
                        <w:tcBorders>
                          <w:top w:val="nil"/>
                          <w:left w:val="single" w:sz="6" w:space="0" w:color="000000"/>
                          <w:bottom w:val="nil"/>
                          <w:right w:val="nil"/>
                        </w:tcBorders>
                      </w:tcPr>
                      <w:p>
                        <w:pPr>
                          <w:pStyle w:val="TableParagraph"/>
                          <w:spacing w:line="177" w:lineRule="exact"/>
                          <w:ind w:right="155"/>
                          <w:jc w:val="right"/>
                          <w:rPr>
                            <w:rFonts w:ascii="Times New Roman"/>
                            <w:sz w:val="17"/>
                          </w:rPr>
                        </w:pPr>
                        <w:r>
                          <w:rPr>
                            <w:rFonts w:ascii="Times New Roman"/>
                            <w:w w:val="99"/>
                            <w:sz w:val="17"/>
                          </w:rPr>
                          <w:t>7</w:t>
                        </w:r>
                      </w:p>
                    </w:tc>
                  </w:tr>
                  <w:tr>
                    <w:trPr>
                      <w:trHeight w:val="202" w:hRule="exact"/>
                    </w:trPr>
                    <w:tc>
                      <w:tcPr>
                        <w:tcW w:w="486" w:type="dxa"/>
                        <w:tcBorders>
                          <w:top w:val="nil"/>
                          <w:left w:val="nil"/>
                          <w:bottom w:val="nil"/>
                        </w:tcBorders>
                      </w:tcPr>
                      <w:p>
                        <w:pPr>
                          <w:pStyle w:val="TableParagraph"/>
                          <w:spacing w:line="210" w:lineRule="exact"/>
                          <w:ind w:left="115"/>
                          <w:jc w:val="center"/>
                          <w:rPr>
                            <w:sz w:val="19"/>
                          </w:rPr>
                        </w:pPr>
                        <w:r>
                          <w:rPr>
                            <w:w w:val="108"/>
                            <w:sz w:val="19"/>
                          </w:rPr>
                          <w:t>8</w:t>
                        </w:r>
                      </w:p>
                    </w:tc>
                    <w:tc>
                      <w:tcPr>
                        <w:tcW w:w="1472" w:type="dxa"/>
                        <w:tcBorders>
                          <w:top w:val="nil"/>
                          <w:bottom w:val="nil"/>
                        </w:tcBorders>
                      </w:tcPr>
                      <w:p>
                        <w:pPr>
                          <w:pStyle w:val="TableParagraph"/>
                          <w:spacing w:line="202" w:lineRule="exact"/>
                          <w:ind w:right="203"/>
                          <w:jc w:val="right"/>
                          <w:rPr>
                            <w:sz w:val="19"/>
                          </w:rPr>
                        </w:pPr>
                        <w:r>
                          <w:rPr>
                            <w:w w:val="90"/>
                            <w:sz w:val="19"/>
                          </w:rPr>
                          <w:t>7,759,766.4</w:t>
                        </w:r>
                      </w:p>
                    </w:tc>
                    <w:tc>
                      <w:tcPr>
                        <w:tcW w:w="1548" w:type="dxa"/>
                        <w:tcBorders>
                          <w:top w:val="nil"/>
                          <w:bottom w:val="nil"/>
                        </w:tcBorders>
                      </w:tcPr>
                      <w:p>
                        <w:pPr>
                          <w:pStyle w:val="TableParagraph"/>
                          <w:spacing w:line="199" w:lineRule="exact"/>
                          <w:ind w:left="59" w:right="14"/>
                          <w:jc w:val="center"/>
                          <w:rPr>
                            <w:sz w:val="19"/>
                          </w:rPr>
                        </w:pPr>
                        <w:r>
                          <w:rPr>
                            <w:w w:val="95"/>
                            <w:sz w:val="19"/>
                          </w:rPr>
                          <w:t>21?,374,563.5</w:t>
                        </w:r>
                      </w:p>
                    </w:tc>
                    <w:tc>
                      <w:tcPr>
                        <w:tcW w:w="1712" w:type="dxa"/>
                        <w:tcBorders>
                          <w:top w:val="nil"/>
                          <w:bottom w:val="nil"/>
                          <w:right w:val="single" w:sz="6" w:space="0" w:color="000000"/>
                        </w:tcBorders>
                      </w:tcPr>
                      <w:p>
                        <w:pPr>
                          <w:pStyle w:val="TableParagraph"/>
                          <w:spacing w:line="195" w:lineRule="exact"/>
                          <w:ind w:left="53"/>
                          <w:jc w:val="center"/>
                          <w:rPr>
                            <w:sz w:val="19"/>
                          </w:rPr>
                        </w:pPr>
                        <w:r>
                          <w:rPr>
                            <w:w w:val="85"/>
                            <w:sz w:val="19"/>
                          </w:rPr>
                          <w:t>4,930,340,084.2</w:t>
                        </w:r>
                      </w:p>
                    </w:tc>
                    <w:tc>
                      <w:tcPr>
                        <w:tcW w:w="506" w:type="dxa"/>
                        <w:tcBorders>
                          <w:top w:val="nil"/>
                          <w:left w:val="single" w:sz="6" w:space="0" w:color="000000"/>
                          <w:bottom w:val="nil"/>
                          <w:right w:val="nil"/>
                        </w:tcBorders>
                      </w:tcPr>
                      <w:p>
                        <w:pPr>
                          <w:pStyle w:val="TableParagraph"/>
                          <w:spacing w:line="195" w:lineRule="exact"/>
                          <w:ind w:right="114"/>
                          <w:jc w:val="right"/>
                          <w:rPr>
                            <w:sz w:val="19"/>
                          </w:rPr>
                        </w:pPr>
                        <w:r>
                          <w:rPr>
                            <w:w w:val="108"/>
                            <w:sz w:val="19"/>
                          </w:rPr>
                          <w:t>8</w:t>
                        </w:r>
                      </w:p>
                    </w:tc>
                  </w:tr>
                  <w:tr>
                    <w:trPr>
                      <w:trHeight w:val="301" w:hRule="exact"/>
                    </w:trPr>
                    <w:tc>
                      <w:tcPr>
                        <w:tcW w:w="486" w:type="dxa"/>
                        <w:tcBorders>
                          <w:top w:val="nil"/>
                          <w:left w:val="nil"/>
                          <w:bottom w:val="nil"/>
                        </w:tcBorders>
                      </w:tcPr>
                      <w:p>
                        <w:pPr>
                          <w:pStyle w:val="TableParagraph"/>
                          <w:spacing w:line="210" w:lineRule="exact"/>
                          <w:ind w:left="108"/>
                          <w:jc w:val="center"/>
                          <w:rPr>
                            <w:sz w:val="19"/>
                          </w:rPr>
                        </w:pPr>
                        <w:r>
                          <w:rPr>
                            <w:w w:val="108"/>
                            <w:sz w:val="19"/>
                          </w:rPr>
                          <w:t>9</w:t>
                        </w:r>
                      </w:p>
                    </w:tc>
                    <w:tc>
                      <w:tcPr>
                        <w:tcW w:w="1472" w:type="dxa"/>
                        <w:tcBorders>
                          <w:top w:val="nil"/>
                          <w:bottom w:val="nil"/>
                        </w:tcBorders>
                      </w:tcPr>
                      <w:p>
                        <w:pPr>
                          <w:pStyle w:val="TableParagraph"/>
                          <w:spacing w:line="202" w:lineRule="exact"/>
                          <w:ind w:right="214"/>
                          <w:jc w:val="right"/>
                          <w:rPr>
                            <w:sz w:val="19"/>
                          </w:rPr>
                        </w:pPr>
                        <w:r>
                          <w:rPr>
                            <w:w w:val="80"/>
                            <w:sz w:val="19"/>
                          </w:rPr>
                          <w:t>7,524,487.1</w:t>
                        </w:r>
                      </w:p>
                    </w:tc>
                    <w:tc>
                      <w:tcPr>
                        <w:tcW w:w="1548" w:type="dxa"/>
                        <w:tcBorders>
                          <w:top w:val="nil"/>
                          <w:bottom w:val="nil"/>
                        </w:tcBorders>
                      </w:tcPr>
                      <w:p>
                        <w:pPr>
                          <w:pStyle w:val="TableParagraph"/>
                          <w:spacing w:line="195" w:lineRule="exact"/>
                          <w:ind w:left="36" w:right="14"/>
                          <w:jc w:val="center"/>
                          <w:rPr>
                            <w:sz w:val="19"/>
                          </w:rPr>
                        </w:pPr>
                        <w:r>
                          <w:rPr>
                            <w:w w:val="95"/>
                            <w:sz w:val="19"/>
                          </w:rPr>
                          <w:t>209,614,797.1</w:t>
                        </w:r>
                      </w:p>
                    </w:tc>
                    <w:tc>
                      <w:tcPr>
                        <w:tcW w:w="1712" w:type="dxa"/>
                        <w:tcBorders>
                          <w:top w:val="nil"/>
                          <w:bottom w:val="nil"/>
                          <w:right w:val="single" w:sz="6" w:space="0" w:color="000000"/>
                        </w:tcBorders>
                      </w:tcPr>
                      <w:p>
                        <w:pPr>
                          <w:pStyle w:val="TableParagraph"/>
                          <w:spacing w:line="195" w:lineRule="exact"/>
                          <w:ind w:left="37"/>
                          <w:jc w:val="center"/>
                          <w:rPr>
                            <w:sz w:val="19"/>
                          </w:rPr>
                        </w:pPr>
                        <w:r>
                          <w:rPr>
                            <w:w w:val="85"/>
                            <w:sz w:val="19"/>
                          </w:rPr>
                          <w:t>4,712,965,520.7</w:t>
                        </w:r>
                      </w:p>
                    </w:tc>
                    <w:tc>
                      <w:tcPr>
                        <w:tcW w:w="506" w:type="dxa"/>
                        <w:tcBorders>
                          <w:top w:val="nil"/>
                          <w:left w:val="single" w:sz="6" w:space="0" w:color="000000"/>
                          <w:bottom w:val="nil"/>
                          <w:right w:val="nil"/>
                        </w:tcBorders>
                      </w:tcPr>
                      <w:p>
                        <w:pPr>
                          <w:pStyle w:val="TableParagraph"/>
                          <w:spacing w:line="195" w:lineRule="exact"/>
                          <w:ind w:right="124"/>
                          <w:jc w:val="right"/>
                          <w:rPr>
                            <w:sz w:val="19"/>
                          </w:rPr>
                        </w:pPr>
                        <w:r>
                          <w:rPr>
                            <w:w w:val="103"/>
                            <w:sz w:val="19"/>
                          </w:rPr>
                          <w:t>9</w:t>
                        </w:r>
                      </w:p>
                    </w:tc>
                  </w:tr>
                  <w:tr>
                    <w:trPr>
                      <w:trHeight w:val="299" w:hRule="exact"/>
                    </w:trPr>
                    <w:tc>
                      <w:tcPr>
                        <w:tcW w:w="486" w:type="dxa"/>
                        <w:tcBorders>
                          <w:top w:val="nil"/>
                          <w:left w:val="nil"/>
                          <w:bottom w:val="nil"/>
                        </w:tcBorders>
                      </w:tcPr>
                      <w:p>
                        <w:pPr>
                          <w:pStyle w:val="TableParagraph"/>
                          <w:spacing w:before="90"/>
                          <w:ind w:left="124" w:right="70"/>
                          <w:jc w:val="center"/>
                          <w:rPr>
                            <w:sz w:val="19"/>
                          </w:rPr>
                        </w:pPr>
                        <w:r>
                          <w:rPr>
                            <w:sz w:val="19"/>
                          </w:rPr>
                          <w:t>10</w:t>
                        </w:r>
                      </w:p>
                    </w:tc>
                    <w:tc>
                      <w:tcPr>
                        <w:tcW w:w="1472" w:type="dxa"/>
                        <w:tcBorders>
                          <w:top w:val="nil"/>
                          <w:bottom w:val="nil"/>
                        </w:tcBorders>
                      </w:tcPr>
                      <w:p>
                        <w:pPr>
                          <w:pStyle w:val="TableParagraph"/>
                          <w:spacing w:before="86"/>
                          <w:ind w:right="210"/>
                          <w:jc w:val="right"/>
                          <w:rPr>
                            <w:sz w:val="19"/>
                          </w:rPr>
                        </w:pPr>
                        <w:r>
                          <w:rPr>
                            <w:w w:val="75"/>
                            <w:sz w:val="19"/>
                          </w:rPr>
                          <w:t>7,296,488.1</w:t>
                        </w:r>
                      </w:p>
                    </w:tc>
                    <w:tc>
                      <w:tcPr>
                        <w:tcW w:w="1548" w:type="dxa"/>
                        <w:tcBorders>
                          <w:top w:val="nil"/>
                          <w:bottom w:val="nil"/>
                        </w:tcBorders>
                      </w:tcPr>
                      <w:p>
                        <w:pPr>
                          <w:pStyle w:val="TableParagraph"/>
                          <w:spacing w:before="82"/>
                          <w:ind w:left="62" w:right="5"/>
                          <w:jc w:val="center"/>
                          <w:rPr>
                            <w:sz w:val="19"/>
                          </w:rPr>
                        </w:pPr>
                        <w:r>
                          <w:rPr>
                            <w:w w:val="90"/>
                            <w:sz w:val="19"/>
                          </w:rPr>
                          <w:t>ro2,090,310.0</w:t>
                        </w:r>
                      </w:p>
                    </w:tc>
                    <w:tc>
                      <w:tcPr>
                        <w:tcW w:w="1712" w:type="dxa"/>
                        <w:tcBorders>
                          <w:top w:val="nil"/>
                          <w:bottom w:val="nil"/>
                          <w:right w:val="single" w:sz="6" w:space="0" w:color="000000"/>
                        </w:tcBorders>
                      </w:tcPr>
                      <w:p>
                        <w:pPr>
                          <w:pStyle w:val="TableParagraph"/>
                          <w:spacing w:before="79"/>
                          <w:ind w:left="28"/>
                          <w:jc w:val="center"/>
                          <w:rPr>
                            <w:sz w:val="19"/>
                          </w:rPr>
                        </w:pPr>
                        <w:r>
                          <w:rPr>
                            <w:w w:val="90"/>
                            <w:sz w:val="19"/>
                          </w:rPr>
                          <w:t>4,503,350,723.6</w:t>
                        </w:r>
                      </w:p>
                    </w:tc>
                    <w:tc>
                      <w:tcPr>
                        <w:tcW w:w="506" w:type="dxa"/>
                        <w:tcBorders>
                          <w:top w:val="nil"/>
                          <w:left w:val="single" w:sz="6" w:space="0" w:color="000000"/>
                          <w:bottom w:val="nil"/>
                          <w:right w:val="nil"/>
                        </w:tcBorders>
                      </w:tcPr>
                      <w:p>
                        <w:pPr>
                          <w:pStyle w:val="TableParagraph"/>
                          <w:spacing w:before="82"/>
                          <w:ind w:right="141"/>
                          <w:jc w:val="right"/>
                          <w:rPr>
                            <w:rFonts w:ascii="Times New Roman"/>
                            <w:sz w:val="17"/>
                          </w:rPr>
                        </w:pPr>
                        <w:r>
                          <w:rPr>
                            <w:rFonts w:ascii="Times New Roman"/>
                            <w:sz w:val="17"/>
                          </w:rPr>
                          <w:t>10</w:t>
                        </w:r>
                      </w:p>
                    </w:tc>
                  </w:tr>
                  <w:tr>
                    <w:trPr>
                      <w:trHeight w:val="401" w:hRule="exact"/>
                    </w:trPr>
                    <w:tc>
                      <w:tcPr>
                        <w:tcW w:w="486" w:type="dxa"/>
                        <w:tcBorders>
                          <w:top w:val="nil"/>
                          <w:left w:val="nil"/>
                          <w:bottom w:val="nil"/>
                        </w:tcBorders>
                      </w:tcPr>
                      <w:p>
                        <w:pPr>
                          <w:pStyle w:val="TableParagraph"/>
                          <w:spacing w:line="201" w:lineRule="exact"/>
                          <w:ind w:left="165"/>
                          <w:rPr>
                            <w:sz w:val="19"/>
                          </w:rPr>
                        </w:pPr>
                        <w:r>
                          <w:rPr>
                            <w:w w:val="80"/>
                            <w:sz w:val="19"/>
                          </w:rPr>
                          <w:t>11</w:t>
                        </w:r>
                      </w:p>
                      <w:p>
                        <w:pPr>
                          <w:pStyle w:val="TableParagraph"/>
                          <w:spacing w:line="205" w:lineRule="exact"/>
                          <w:ind w:left="165"/>
                          <w:rPr>
                            <w:sz w:val="19"/>
                          </w:rPr>
                        </w:pPr>
                        <w:r>
                          <w:rPr>
                            <w:w w:val="90"/>
                            <w:sz w:val="19"/>
                          </w:rPr>
                          <w:t>12</w:t>
                        </w:r>
                      </w:p>
                    </w:tc>
                    <w:tc>
                      <w:tcPr>
                        <w:tcW w:w="1472" w:type="dxa"/>
                        <w:tcBorders>
                          <w:top w:val="nil"/>
                          <w:bottom w:val="nil"/>
                        </w:tcBorders>
                      </w:tcPr>
                      <w:p>
                        <w:pPr>
                          <w:pStyle w:val="TableParagraph"/>
                          <w:spacing w:line="201" w:lineRule="exact"/>
                          <w:ind w:left="333" w:right="-20"/>
                          <w:rPr>
                            <w:sz w:val="19"/>
                          </w:rPr>
                        </w:pPr>
                        <w:r>
                          <w:rPr>
                            <w:spacing w:val="-21"/>
                            <w:sz w:val="19"/>
                          </w:rPr>
                          <w:t>7,075,397.6</w:t>
                        </w:r>
                      </w:p>
                      <w:p>
                        <w:pPr>
                          <w:pStyle w:val="TableParagraph"/>
                          <w:spacing w:line="208" w:lineRule="exact"/>
                          <w:ind w:left="329" w:right="-20"/>
                          <w:rPr>
                            <w:sz w:val="19"/>
                          </w:rPr>
                        </w:pPr>
                        <w:r>
                          <w:rPr>
                            <w:w w:val="80"/>
                            <w:sz w:val="19"/>
                          </w:rPr>
                          <w:t>6,860,868.5</w:t>
                        </w:r>
                      </w:p>
                    </w:tc>
                    <w:tc>
                      <w:tcPr>
                        <w:tcW w:w="1548" w:type="dxa"/>
                        <w:tcBorders>
                          <w:top w:val="nil"/>
                          <w:bottom w:val="nil"/>
                        </w:tcBorders>
                      </w:tcPr>
                      <w:p>
                        <w:pPr>
                          <w:pStyle w:val="TableParagraph"/>
                          <w:spacing w:line="194" w:lineRule="exact"/>
                          <w:ind w:left="261" w:right="-11"/>
                          <w:rPr>
                            <w:sz w:val="19"/>
                          </w:rPr>
                        </w:pPr>
                        <w:r>
                          <w:rPr>
                            <w:spacing w:val="-14"/>
                            <w:w w:val="90"/>
                            <w:sz w:val="19"/>
                          </w:rPr>
                          <w:t>194,793,821.9</w:t>
                        </w:r>
                      </w:p>
                      <w:p>
                        <w:pPr>
                          <w:pStyle w:val="TableParagraph"/>
                          <w:spacing w:line="208" w:lineRule="exact"/>
                          <w:ind w:left="261" w:right="-11"/>
                          <w:rPr>
                            <w:sz w:val="19"/>
                          </w:rPr>
                        </w:pPr>
                        <w:r>
                          <w:rPr>
                            <w:spacing w:val="-11"/>
                            <w:w w:val="90"/>
                            <w:sz w:val="19"/>
                          </w:rPr>
                          <w:t>187,718,424.3</w:t>
                        </w:r>
                      </w:p>
                    </w:tc>
                    <w:tc>
                      <w:tcPr>
                        <w:tcW w:w="1712" w:type="dxa"/>
                        <w:tcBorders>
                          <w:top w:val="nil"/>
                          <w:bottom w:val="nil"/>
                          <w:right w:val="single" w:sz="6" w:space="0" w:color="000000"/>
                        </w:tcBorders>
                      </w:tcPr>
                      <w:p>
                        <w:pPr>
                          <w:pStyle w:val="TableParagraph"/>
                          <w:spacing w:line="225" w:lineRule="auto"/>
                          <w:ind w:left="246" w:hanging="8"/>
                          <w:rPr>
                            <w:sz w:val="19"/>
                          </w:rPr>
                        </w:pPr>
                        <w:r>
                          <w:rPr>
                            <w:spacing w:val="-12"/>
                            <w:w w:val="77"/>
                            <w:sz w:val="19"/>
                          </w:rPr>
                          <w:t>_4,301,260,413.6</w:t>
                        </w:r>
                        <w:r>
                          <w:rPr>
                            <w:w w:val="77"/>
                            <w:sz w:val="19"/>
                          </w:rPr>
                          <w:t> </w:t>
                        </w:r>
                        <w:r>
                          <w:rPr>
                            <w:spacing w:val="-7"/>
                            <w:w w:val="75"/>
                            <w:sz w:val="19"/>
                          </w:rPr>
                          <w:t>4,106,466,591.7</w:t>
                        </w:r>
                      </w:p>
                    </w:tc>
                    <w:tc>
                      <w:tcPr>
                        <w:tcW w:w="506" w:type="dxa"/>
                        <w:tcBorders>
                          <w:top w:val="nil"/>
                          <w:left w:val="single" w:sz="6" w:space="0" w:color="000000"/>
                          <w:bottom w:val="nil"/>
                          <w:right w:val="nil"/>
                        </w:tcBorders>
                      </w:tcPr>
                      <w:p>
                        <w:pPr>
                          <w:pStyle w:val="TableParagraph"/>
                          <w:spacing w:line="188" w:lineRule="exact"/>
                          <w:ind w:left="185"/>
                          <w:rPr>
                            <w:sz w:val="19"/>
                          </w:rPr>
                        </w:pPr>
                        <w:r>
                          <w:rPr>
                            <w:w w:val="80"/>
                            <w:sz w:val="19"/>
                          </w:rPr>
                          <w:t>11</w:t>
                        </w:r>
                      </w:p>
                      <w:p>
                        <w:pPr>
                          <w:pStyle w:val="TableParagraph"/>
                          <w:spacing w:line="207" w:lineRule="exact"/>
                          <w:ind w:left="185"/>
                          <w:rPr>
                            <w:sz w:val="19"/>
                          </w:rPr>
                        </w:pPr>
                        <w:r>
                          <w:rPr>
                            <w:w w:val="85"/>
                            <w:sz w:val="19"/>
                          </w:rPr>
                          <w:t>12</w:t>
                        </w:r>
                      </w:p>
                    </w:tc>
                  </w:tr>
                  <w:tr>
                    <w:trPr>
                      <w:trHeight w:val="202" w:hRule="exact"/>
                    </w:trPr>
                    <w:tc>
                      <w:tcPr>
                        <w:tcW w:w="486" w:type="dxa"/>
                        <w:tcBorders>
                          <w:top w:val="nil"/>
                          <w:left w:val="nil"/>
                          <w:bottom w:val="nil"/>
                        </w:tcBorders>
                      </w:tcPr>
                      <w:p>
                        <w:pPr>
                          <w:pStyle w:val="TableParagraph"/>
                          <w:spacing w:line="210" w:lineRule="exact"/>
                          <w:ind w:left="102" w:right="77"/>
                          <w:jc w:val="center"/>
                          <w:rPr>
                            <w:sz w:val="19"/>
                          </w:rPr>
                        </w:pPr>
                        <w:r>
                          <w:rPr>
                            <w:w w:val="85"/>
                            <w:sz w:val="19"/>
                          </w:rPr>
                          <w:t>13</w:t>
                        </w:r>
                      </w:p>
                    </w:tc>
                    <w:tc>
                      <w:tcPr>
                        <w:tcW w:w="1472" w:type="dxa"/>
                        <w:tcBorders>
                          <w:top w:val="nil"/>
                          <w:bottom w:val="nil"/>
                        </w:tcBorders>
                      </w:tcPr>
                      <w:p>
                        <w:pPr>
                          <w:pStyle w:val="TableParagraph"/>
                          <w:spacing w:line="206" w:lineRule="exact"/>
                          <w:ind w:right="205"/>
                          <w:jc w:val="right"/>
                          <w:rPr>
                            <w:sz w:val="19"/>
                          </w:rPr>
                        </w:pPr>
                        <w:r>
                          <w:rPr>
                            <w:w w:val="90"/>
                            <w:sz w:val="19"/>
                          </w:rPr>
                          <w:t>6,652,644.7</w:t>
                        </w:r>
                      </w:p>
                    </w:tc>
                    <w:tc>
                      <w:tcPr>
                        <w:tcW w:w="1548" w:type="dxa"/>
                        <w:tcBorders>
                          <w:top w:val="nil"/>
                          <w:bottom w:val="nil"/>
                        </w:tcBorders>
                      </w:tcPr>
                      <w:p>
                        <w:pPr>
                          <w:pStyle w:val="TableParagraph"/>
                          <w:spacing w:line="202" w:lineRule="exact"/>
                          <w:ind w:left="77" w:right="14"/>
                          <w:jc w:val="center"/>
                          <w:rPr>
                            <w:sz w:val="19"/>
                          </w:rPr>
                        </w:pPr>
                        <w:r>
                          <w:rPr>
                            <w:w w:val="85"/>
                            <w:sz w:val="19"/>
                          </w:rPr>
                          <w:t>180,857,555.8</w:t>
                        </w:r>
                      </w:p>
                    </w:tc>
                    <w:tc>
                      <w:tcPr>
                        <w:tcW w:w="1712" w:type="dxa"/>
                        <w:tcBorders>
                          <w:top w:val="nil"/>
                          <w:bottom w:val="nil"/>
                          <w:right w:val="single" w:sz="6" w:space="0" w:color="000000"/>
                        </w:tcBorders>
                      </w:tcPr>
                      <w:p>
                        <w:pPr>
                          <w:pStyle w:val="TableParagraph"/>
                          <w:spacing w:line="195" w:lineRule="exact"/>
                          <w:ind w:left="50"/>
                          <w:jc w:val="center"/>
                          <w:rPr>
                            <w:sz w:val="19"/>
                          </w:rPr>
                        </w:pPr>
                        <w:r>
                          <w:rPr>
                            <w:w w:val="95"/>
                            <w:sz w:val="19"/>
                          </w:rPr>
                          <w:t>3,918,748,167.4</w:t>
                        </w:r>
                      </w:p>
                    </w:tc>
                    <w:tc>
                      <w:tcPr>
                        <w:tcW w:w="506" w:type="dxa"/>
                        <w:tcBorders>
                          <w:top w:val="nil"/>
                          <w:left w:val="single" w:sz="6" w:space="0" w:color="000000"/>
                          <w:bottom w:val="nil"/>
                          <w:right w:val="nil"/>
                        </w:tcBorders>
                      </w:tcPr>
                      <w:p>
                        <w:pPr>
                          <w:pStyle w:val="TableParagraph"/>
                          <w:spacing w:line="195" w:lineRule="exact"/>
                          <w:ind w:right="141"/>
                          <w:jc w:val="right"/>
                          <w:rPr>
                            <w:sz w:val="19"/>
                          </w:rPr>
                        </w:pPr>
                        <w:r>
                          <w:rPr>
                            <w:w w:val="70"/>
                            <w:sz w:val="19"/>
                          </w:rPr>
                          <w:t>13</w:t>
                        </w:r>
                      </w:p>
                    </w:tc>
                  </w:tr>
                  <w:tr>
                    <w:trPr>
                      <w:trHeight w:val="299" w:hRule="exact"/>
                    </w:trPr>
                    <w:tc>
                      <w:tcPr>
                        <w:tcW w:w="486" w:type="dxa"/>
                        <w:tcBorders>
                          <w:top w:val="nil"/>
                          <w:left w:val="nil"/>
                          <w:bottom w:val="nil"/>
                        </w:tcBorders>
                      </w:tcPr>
                      <w:p>
                        <w:pPr>
                          <w:pStyle w:val="TableParagraph"/>
                          <w:spacing w:line="206" w:lineRule="exact"/>
                          <w:ind w:left="120" w:right="77"/>
                          <w:jc w:val="center"/>
                          <w:rPr>
                            <w:sz w:val="19"/>
                          </w:rPr>
                        </w:pPr>
                        <w:r>
                          <w:rPr>
                            <w:sz w:val="19"/>
                          </w:rPr>
                          <w:t>14</w:t>
                        </w:r>
                      </w:p>
                    </w:tc>
                    <w:tc>
                      <w:tcPr>
                        <w:tcW w:w="1472" w:type="dxa"/>
                        <w:tcBorders>
                          <w:top w:val="nil"/>
                          <w:bottom w:val="nil"/>
                        </w:tcBorders>
                      </w:tcPr>
                      <w:p>
                        <w:pPr>
                          <w:pStyle w:val="TableParagraph"/>
                          <w:spacing w:line="206" w:lineRule="exact"/>
                          <w:ind w:right="202"/>
                          <w:jc w:val="right"/>
                          <w:rPr>
                            <w:sz w:val="19"/>
                          </w:rPr>
                        </w:pPr>
                        <w:r>
                          <w:rPr>
                            <w:w w:val="90"/>
                            <w:sz w:val="19"/>
                          </w:rPr>
                          <w:t>6,450,352.6</w:t>
                        </w:r>
                      </w:p>
                    </w:tc>
                    <w:tc>
                      <w:tcPr>
                        <w:tcW w:w="1548" w:type="dxa"/>
                        <w:tcBorders>
                          <w:top w:val="nil"/>
                          <w:bottom w:val="nil"/>
                        </w:tcBorders>
                      </w:tcPr>
                      <w:p>
                        <w:pPr>
                          <w:pStyle w:val="TableParagraph"/>
                          <w:spacing w:line="199" w:lineRule="exact"/>
                          <w:ind w:left="40" w:right="14"/>
                          <w:jc w:val="center"/>
                          <w:rPr>
                            <w:sz w:val="19"/>
                          </w:rPr>
                        </w:pPr>
                        <w:r>
                          <w:rPr>
                            <w:w w:val="73"/>
                            <w:sz w:val="19"/>
                          </w:rPr>
                          <w:t>1</w:t>
                        </w:r>
                        <w:r>
                          <w:rPr>
                            <w:spacing w:val="-25"/>
                            <w:w w:val="73"/>
                            <w:sz w:val="19"/>
                          </w:rPr>
                          <w:t>7</w:t>
                        </w:r>
                        <w:r>
                          <w:rPr>
                            <w:spacing w:val="-15"/>
                            <w:w w:val="103"/>
                            <w:sz w:val="19"/>
                          </w:rPr>
                          <w:t>4</w:t>
                        </w:r>
                        <w:r>
                          <w:rPr>
                            <w:spacing w:val="-63"/>
                            <w:w w:val="335"/>
                            <w:sz w:val="19"/>
                          </w:rPr>
                          <w:t>,</w:t>
                        </w:r>
                        <w:r>
                          <w:rPr>
                            <w:spacing w:val="-29"/>
                            <w:w w:val="71"/>
                            <w:sz w:val="19"/>
                          </w:rPr>
                          <w:t>,</w:t>
                        </w:r>
                        <w:r>
                          <w:rPr>
                            <w:spacing w:val="-31"/>
                            <w:w w:val="108"/>
                            <w:sz w:val="19"/>
                          </w:rPr>
                          <w:t>9</w:t>
                        </w:r>
                        <w:r>
                          <w:rPr>
                            <w:w w:val="69"/>
                            <w:sz w:val="19"/>
                          </w:rPr>
                          <w:t>11</w:t>
                        </w:r>
                        <w:r>
                          <w:rPr>
                            <w:spacing w:val="-2"/>
                            <w:w w:val="69"/>
                            <w:sz w:val="19"/>
                          </w:rPr>
                          <w:t>.</w:t>
                        </w:r>
                        <w:r>
                          <w:rPr>
                            <w:w w:val="70"/>
                            <w:sz w:val="19"/>
                          </w:rPr>
                          <w:t>l</w:t>
                        </w:r>
                      </w:p>
                    </w:tc>
                    <w:tc>
                      <w:tcPr>
                        <w:tcW w:w="1712" w:type="dxa"/>
                        <w:tcBorders>
                          <w:top w:val="nil"/>
                          <w:bottom w:val="nil"/>
                          <w:right w:val="single" w:sz="6" w:space="0" w:color="000000"/>
                        </w:tcBorders>
                      </w:tcPr>
                      <w:p>
                        <w:pPr>
                          <w:pStyle w:val="TableParagraph"/>
                          <w:spacing w:line="195" w:lineRule="exact"/>
                          <w:ind w:left="41"/>
                          <w:jc w:val="center"/>
                          <w:rPr>
                            <w:sz w:val="19"/>
                          </w:rPr>
                        </w:pPr>
                        <w:r>
                          <w:rPr>
                            <w:w w:val="90"/>
                            <w:sz w:val="19"/>
                          </w:rPr>
                          <w:t>3,737,890,611.6</w:t>
                        </w:r>
                      </w:p>
                    </w:tc>
                    <w:tc>
                      <w:tcPr>
                        <w:tcW w:w="506" w:type="dxa"/>
                        <w:tcBorders>
                          <w:top w:val="nil"/>
                          <w:left w:val="single" w:sz="6" w:space="0" w:color="000000"/>
                          <w:bottom w:val="nil"/>
                          <w:right w:val="nil"/>
                        </w:tcBorders>
                      </w:tcPr>
                      <w:p>
                        <w:pPr>
                          <w:pStyle w:val="TableParagraph"/>
                          <w:spacing w:line="195" w:lineRule="exact"/>
                          <w:ind w:right="138"/>
                          <w:jc w:val="right"/>
                          <w:rPr>
                            <w:sz w:val="19"/>
                          </w:rPr>
                        </w:pPr>
                        <w:r>
                          <w:rPr>
                            <w:w w:val="70"/>
                            <w:sz w:val="19"/>
                          </w:rPr>
                          <w:t>14</w:t>
                        </w:r>
                      </w:p>
                    </w:tc>
                  </w:tr>
                  <w:tr>
                    <w:trPr>
                      <w:trHeight w:val="302" w:hRule="exact"/>
                    </w:trPr>
                    <w:tc>
                      <w:tcPr>
                        <w:tcW w:w="486" w:type="dxa"/>
                        <w:tcBorders>
                          <w:top w:val="nil"/>
                          <w:left w:val="nil"/>
                          <w:bottom w:val="nil"/>
                        </w:tcBorders>
                      </w:tcPr>
                      <w:p>
                        <w:pPr>
                          <w:pStyle w:val="TableParagraph"/>
                          <w:spacing w:before="95"/>
                          <w:ind w:left="117" w:right="77"/>
                          <w:jc w:val="center"/>
                          <w:rPr>
                            <w:sz w:val="19"/>
                          </w:rPr>
                        </w:pPr>
                        <w:r>
                          <w:rPr>
                            <w:sz w:val="19"/>
                          </w:rPr>
                          <w:t>15</w:t>
                        </w:r>
                      </w:p>
                    </w:tc>
                    <w:tc>
                      <w:tcPr>
                        <w:tcW w:w="1472" w:type="dxa"/>
                        <w:tcBorders>
                          <w:top w:val="nil"/>
                          <w:bottom w:val="nil"/>
                        </w:tcBorders>
                      </w:tcPr>
                      <w:p>
                        <w:pPr>
                          <w:pStyle w:val="TableParagraph"/>
                          <w:spacing w:before="91"/>
                          <w:ind w:right="221"/>
                          <w:jc w:val="right"/>
                          <w:rPr>
                            <w:sz w:val="19"/>
                          </w:rPr>
                        </w:pPr>
                        <w:r>
                          <w:rPr>
                            <w:w w:val="85"/>
                            <w:sz w:val="19"/>
                          </w:rPr>
                          <w:t>6,253,773.3</w:t>
                        </w:r>
                      </w:p>
                    </w:tc>
                    <w:tc>
                      <w:tcPr>
                        <w:tcW w:w="1548" w:type="dxa"/>
                        <w:tcBorders>
                          <w:top w:val="nil"/>
                          <w:bottom w:val="nil"/>
                        </w:tcBorders>
                      </w:tcPr>
                      <w:p>
                        <w:pPr>
                          <w:pStyle w:val="TableParagraph"/>
                          <w:spacing w:before="88"/>
                          <w:ind w:left="47" w:right="14"/>
                          <w:jc w:val="center"/>
                          <w:rPr>
                            <w:sz w:val="19"/>
                          </w:rPr>
                        </w:pPr>
                        <w:r>
                          <w:rPr>
                            <w:w w:val="90"/>
                            <w:sz w:val="19"/>
                          </w:rPr>
                          <w:t>167,754,558.5</w:t>
                        </w:r>
                      </w:p>
                    </w:tc>
                    <w:tc>
                      <w:tcPr>
                        <w:tcW w:w="1712" w:type="dxa"/>
                        <w:tcBorders>
                          <w:top w:val="nil"/>
                          <w:bottom w:val="nil"/>
                          <w:right w:val="single" w:sz="6" w:space="0" w:color="000000"/>
                        </w:tcBorders>
                      </w:tcPr>
                      <w:p>
                        <w:pPr>
                          <w:pStyle w:val="TableParagraph"/>
                          <w:spacing w:before="81"/>
                          <w:ind w:left="40"/>
                          <w:jc w:val="center"/>
                          <w:rPr>
                            <w:sz w:val="19"/>
                          </w:rPr>
                        </w:pPr>
                        <w:r>
                          <w:rPr>
                            <w:w w:val="85"/>
                            <w:sz w:val="19"/>
                          </w:rPr>
                          <w:t>3,563,685,700.5</w:t>
                        </w:r>
                      </w:p>
                    </w:tc>
                    <w:tc>
                      <w:tcPr>
                        <w:tcW w:w="506" w:type="dxa"/>
                        <w:tcBorders>
                          <w:top w:val="nil"/>
                          <w:left w:val="single" w:sz="6" w:space="0" w:color="000000"/>
                          <w:bottom w:val="nil"/>
                          <w:right w:val="nil"/>
                        </w:tcBorders>
                      </w:tcPr>
                      <w:p>
                        <w:pPr>
                          <w:pStyle w:val="TableParagraph"/>
                          <w:spacing w:before="81"/>
                          <w:ind w:right="135"/>
                          <w:jc w:val="right"/>
                          <w:rPr>
                            <w:sz w:val="19"/>
                          </w:rPr>
                        </w:pPr>
                        <w:r>
                          <w:rPr>
                            <w:w w:val="75"/>
                            <w:sz w:val="19"/>
                          </w:rPr>
                          <w:t>15</w:t>
                        </w:r>
                      </w:p>
                    </w:tc>
                  </w:tr>
                  <w:tr>
                    <w:trPr>
                      <w:trHeight w:val="904" w:hRule="exact"/>
                    </w:trPr>
                    <w:tc>
                      <w:tcPr>
                        <w:tcW w:w="486" w:type="dxa"/>
                        <w:tcBorders>
                          <w:top w:val="nil"/>
                          <w:left w:val="nil"/>
                          <w:bottom w:val="nil"/>
                        </w:tcBorders>
                      </w:tcPr>
                      <w:p>
                        <w:pPr>
                          <w:pStyle w:val="TableParagraph"/>
                          <w:spacing w:line="203" w:lineRule="exact"/>
                          <w:ind w:left="165"/>
                          <w:rPr>
                            <w:sz w:val="19"/>
                          </w:rPr>
                        </w:pPr>
                        <w:r>
                          <w:rPr>
                            <w:sz w:val="19"/>
                          </w:rPr>
                          <w:t>16</w:t>
                        </w:r>
                      </w:p>
                      <w:p>
                        <w:pPr>
                          <w:pStyle w:val="TableParagraph"/>
                          <w:spacing w:line="200" w:lineRule="exact"/>
                          <w:ind w:left="165"/>
                          <w:rPr>
                            <w:sz w:val="19"/>
                          </w:rPr>
                        </w:pPr>
                        <w:r>
                          <w:rPr>
                            <w:w w:val="85"/>
                            <w:sz w:val="19"/>
                          </w:rPr>
                          <w:t>17</w:t>
                        </w:r>
                      </w:p>
                      <w:p>
                        <w:pPr>
                          <w:pStyle w:val="TableParagraph"/>
                          <w:spacing w:line="200" w:lineRule="exact"/>
                          <w:ind w:left="165"/>
                          <w:rPr>
                            <w:sz w:val="19"/>
                          </w:rPr>
                        </w:pPr>
                        <w:r>
                          <w:rPr>
                            <w:w w:val="90"/>
                            <w:sz w:val="19"/>
                          </w:rPr>
                          <w:t>18</w:t>
                        </w:r>
                      </w:p>
                      <w:p>
                        <w:pPr>
                          <w:pStyle w:val="TableParagraph"/>
                          <w:spacing w:line="208" w:lineRule="exact"/>
                          <w:ind w:left="165"/>
                          <w:rPr>
                            <w:sz w:val="19"/>
                          </w:rPr>
                        </w:pPr>
                        <w:r>
                          <w:rPr>
                            <w:w w:val="85"/>
                            <w:sz w:val="19"/>
                          </w:rPr>
                          <w:t>19</w:t>
                        </w:r>
                      </w:p>
                    </w:tc>
                    <w:tc>
                      <w:tcPr>
                        <w:tcW w:w="1472" w:type="dxa"/>
                        <w:tcBorders>
                          <w:top w:val="nil"/>
                          <w:bottom w:val="nil"/>
                        </w:tcBorders>
                      </w:tcPr>
                      <w:p>
                        <w:pPr>
                          <w:pStyle w:val="TableParagraph"/>
                          <w:spacing w:line="197" w:lineRule="exact"/>
                          <w:ind w:left="329" w:right="-20"/>
                          <w:rPr>
                            <w:sz w:val="19"/>
                          </w:rPr>
                        </w:pPr>
                        <w:r>
                          <w:rPr>
                            <w:spacing w:val="-15"/>
                            <w:w w:val="95"/>
                            <w:sz w:val="19"/>
                          </w:rPr>
                          <w:t>6,062,760.0</w:t>
                        </w:r>
                      </w:p>
                      <w:p>
                        <w:pPr>
                          <w:pStyle w:val="TableParagraph"/>
                          <w:spacing w:line="200" w:lineRule="exact"/>
                          <w:ind w:left="329" w:right="-20"/>
                          <w:rPr>
                            <w:sz w:val="19"/>
                          </w:rPr>
                        </w:pPr>
                        <w:r>
                          <w:rPr>
                            <w:w w:val="85"/>
                            <w:sz w:val="19"/>
                          </w:rPr>
                          <w:t>5,877,109.8</w:t>
                        </w:r>
                      </w:p>
                      <w:p>
                        <w:pPr>
                          <w:pStyle w:val="TableParagraph"/>
                          <w:spacing w:line="202" w:lineRule="exact"/>
                          <w:ind w:left="329" w:right="-20"/>
                          <w:rPr>
                            <w:sz w:val="19"/>
                          </w:rPr>
                        </w:pPr>
                        <w:r>
                          <w:rPr>
                            <w:spacing w:val="-16"/>
                            <w:w w:val="95"/>
                            <w:sz w:val="19"/>
                          </w:rPr>
                          <w:t>5,696,688.0</w:t>
                        </w:r>
                      </w:p>
                      <w:p>
                        <w:pPr>
                          <w:pStyle w:val="TableParagraph"/>
                          <w:spacing w:line="208" w:lineRule="exact"/>
                          <w:ind w:left="329" w:right="-20"/>
                          <w:rPr>
                            <w:sz w:val="19"/>
                          </w:rPr>
                        </w:pPr>
                        <w:r>
                          <w:rPr>
                            <w:spacing w:val="-13"/>
                            <w:w w:val="95"/>
                            <w:sz w:val="19"/>
                          </w:rPr>
                          <w:t>5,521,418.1</w:t>
                        </w:r>
                      </w:p>
                    </w:tc>
                    <w:tc>
                      <w:tcPr>
                        <w:tcW w:w="1548" w:type="dxa"/>
                        <w:tcBorders>
                          <w:top w:val="nil"/>
                          <w:bottom w:val="nil"/>
                        </w:tcBorders>
                      </w:tcPr>
                      <w:p>
                        <w:pPr>
                          <w:pStyle w:val="TableParagraph"/>
                          <w:spacing w:line="192" w:lineRule="exact"/>
                          <w:ind w:left="261" w:right="-11"/>
                          <w:rPr>
                            <w:sz w:val="19"/>
                          </w:rPr>
                        </w:pPr>
                        <w:r>
                          <w:rPr>
                            <w:w w:val="85"/>
                            <w:sz w:val="19"/>
                          </w:rPr>
                          <w:t>161,500,785.2</w:t>
                        </w:r>
                      </w:p>
                      <w:p>
                        <w:pPr>
                          <w:pStyle w:val="TableParagraph"/>
                          <w:spacing w:line="202" w:lineRule="exact"/>
                          <w:ind w:left="257" w:right="-7"/>
                          <w:rPr>
                            <w:sz w:val="19"/>
                          </w:rPr>
                        </w:pPr>
                        <w:r>
                          <w:rPr>
                            <w:w w:val="85"/>
                            <w:sz w:val="19"/>
                          </w:rPr>
                          <w:t>155,438,025.2</w:t>
                        </w:r>
                      </w:p>
                      <w:p>
                        <w:pPr>
                          <w:pStyle w:val="TableParagraph"/>
                          <w:spacing w:line="202" w:lineRule="exact"/>
                          <w:ind w:left="261" w:right="-11"/>
                          <w:rPr>
                            <w:sz w:val="19"/>
                          </w:rPr>
                        </w:pPr>
                        <w:r>
                          <w:rPr>
                            <w:w w:val="80"/>
                            <w:sz w:val="19"/>
                          </w:rPr>
                          <w:t>149,560,915.4</w:t>
                        </w:r>
                      </w:p>
                      <w:p>
                        <w:pPr>
                          <w:pStyle w:val="TableParagraph"/>
                          <w:spacing w:line="208" w:lineRule="exact"/>
                          <w:ind w:left="257" w:right="-11"/>
                          <w:rPr>
                            <w:sz w:val="19"/>
                          </w:rPr>
                        </w:pPr>
                        <w:r>
                          <w:rPr>
                            <w:w w:val="80"/>
                            <w:sz w:val="19"/>
                          </w:rPr>
                          <w:t>143,864,227.4</w:t>
                        </w:r>
                      </w:p>
                    </w:tc>
                    <w:tc>
                      <w:tcPr>
                        <w:tcW w:w="1712" w:type="dxa"/>
                        <w:tcBorders>
                          <w:top w:val="nil"/>
                          <w:bottom w:val="nil"/>
                          <w:right w:val="single" w:sz="6" w:space="0" w:color="000000"/>
                        </w:tcBorders>
                      </w:tcPr>
                      <w:p>
                        <w:pPr>
                          <w:pStyle w:val="TableParagraph"/>
                          <w:spacing w:line="188" w:lineRule="exact"/>
                          <w:ind w:left="250"/>
                          <w:rPr>
                            <w:sz w:val="19"/>
                          </w:rPr>
                        </w:pPr>
                        <w:r>
                          <w:rPr>
                            <w:spacing w:val="-16"/>
                            <w:w w:val="90"/>
                            <w:sz w:val="19"/>
                          </w:rPr>
                          <w:t>3,395,931,142.0</w:t>
                        </w:r>
                      </w:p>
                      <w:p>
                        <w:pPr>
                          <w:pStyle w:val="TableParagraph"/>
                          <w:spacing w:line="202" w:lineRule="exact"/>
                          <w:ind w:left="250"/>
                          <w:rPr>
                            <w:sz w:val="19"/>
                          </w:rPr>
                        </w:pPr>
                        <w:r>
                          <w:rPr>
                            <w:spacing w:val="-6"/>
                            <w:w w:val="85"/>
                            <w:sz w:val="19"/>
                          </w:rPr>
                          <w:t>3,234,430,356.8</w:t>
                        </w:r>
                      </w:p>
                      <w:p>
                        <w:pPr>
                          <w:pStyle w:val="TableParagraph"/>
                          <w:spacing w:line="200" w:lineRule="exact"/>
                          <w:ind w:left="246"/>
                          <w:rPr>
                            <w:sz w:val="19"/>
                          </w:rPr>
                        </w:pPr>
                        <w:r>
                          <w:rPr>
                            <w:spacing w:val="-14"/>
                            <w:w w:val="90"/>
                            <w:sz w:val="19"/>
                          </w:rPr>
                          <w:t>3,078,992,331.6</w:t>
                        </w:r>
                      </w:p>
                      <w:p>
                        <w:pPr>
                          <w:pStyle w:val="TableParagraph"/>
                          <w:spacing w:line="207" w:lineRule="exact"/>
                          <w:ind w:left="250"/>
                          <w:rPr>
                            <w:sz w:val="19"/>
                          </w:rPr>
                        </w:pPr>
                        <w:r>
                          <w:rPr>
                            <w:spacing w:val="-11"/>
                            <w:w w:val="90"/>
                            <w:sz w:val="19"/>
                          </w:rPr>
                          <w:t>2,929,431,416.2</w:t>
                        </w:r>
                      </w:p>
                    </w:tc>
                    <w:tc>
                      <w:tcPr>
                        <w:tcW w:w="506" w:type="dxa"/>
                        <w:tcBorders>
                          <w:top w:val="nil"/>
                          <w:left w:val="single" w:sz="6" w:space="0" w:color="000000"/>
                          <w:bottom w:val="nil"/>
                          <w:right w:val="nil"/>
                        </w:tcBorders>
                      </w:tcPr>
                      <w:p>
                        <w:pPr>
                          <w:pStyle w:val="TableParagraph"/>
                          <w:spacing w:line="187" w:lineRule="exact"/>
                          <w:ind w:left="188"/>
                          <w:rPr>
                            <w:sz w:val="19"/>
                          </w:rPr>
                        </w:pPr>
                        <w:r>
                          <w:rPr>
                            <w:w w:val="85"/>
                            <w:sz w:val="19"/>
                          </w:rPr>
                          <w:t>16</w:t>
                        </w:r>
                      </w:p>
                      <w:p>
                        <w:pPr>
                          <w:pStyle w:val="TableParagraph"/>
                          <w:spacing w:line="200" w:lineRule="exact"/>
                          <w:ind w:left="185"/>
                          <w:rPr>
                            <w:sz w:val="19"/>
                          </w:rPr>
                        </w:pPr>
                        <w:r>
                          <w:rPr>
                            <w:w w:val="85"/>
                            <w:sz w:val="19"/>
                          </w:rPr>
                          <w:t>17</w:t>
                        </w:r>
                      </w:p>
                      <w:p>
                        <w:pPr>
                          <w:pStyle w:val="TableParagraph"/>
                          <w:spacing w:line="200" w:lineRule="exact"/>
                          <w:ind w:left="185"/>
                          <w:rPr>
                            <w:sz w:val="19"/>
                          </w:rPr>
                        </w:pPr>
                        <w:r>
                          <w:rPr>
                            <w:w w:val="90"/>
                            <w:sz w:val="19"/>
                          </w:rPr>
                          <w:t>18</w:t>
                        </w:r>
                      </w:p>
                      <w:p>
                        <w:pPr>
                          <w:pStyle w:val="TableParagraph"/>
                          <w:spacing w:line="207" w:lineRule="exact"/>
                          <w:ind w:left="185"/>
                          <w:rPr>
                            <w:sz w:val="19"/>
                          </w:rPr>
                        </w:pPr>
                        <w:r>
                          <w:rPr>
                            <w:w w:val="85"/>
                            <w:sz w:val="19"/>
                          </w:rPr>
                          <w:t>19</w:t>
                        </w:r>
                      </w:p>
                    </w:tc>
                  </w:tr>
                  <w:tr>
                    <w:trPr>
                      <w:trHeight w:val="698" w:hRule="exact"/>
                    </w:trPr>
                    <w:tc>
                      <w:tcPr>
                        <w:tcW w:w="486" w:type="dxa"/>
                        <w:tcBorders>
                          <w:top w:val="nil"/>
                          <w:left w:val="nil"/>
                          <w:bottom w:val="nil"/>
                        </w:tcBorders>
                      </w:tcPr>
                      <w:p>
                        <w:pPr>
                          <w:pStyle w:val="TableParagraph"/>
                          <w:spacing w:line="207" w:lineRule="exact" w:before="91"/>
                          <w:ind w:left="158"/>
                          <w:rPr>
                            <w:sz w:val="19"/>
                          </w:rPr>
                        </w:pPr>
                        <w:r>
                          <w:rPr>
                            <w:w w:val="90"/>
                            <w:sz w:val="19"/>
                          </w:rPr>
                          <w:t>20</w:t>
                        </w:r>
                      </w:p>
                      <w:p>
                        <w:pPr>
                          <w:pStyle w:val="TableParagraph"/>
                          <w:spacing w:line="195" w:lineRule="exact"/>
                          <w:ind w:left="154"/>
                          <w:rPr>
                            <w:sz w:val="19"/>
                          </w:rPr>
                        </w:pPr>
                        <w:r>
                          <w:rPr>
                            <w:sz w:val="19"/>
                          </w:rPr>
                          <w:t>21</w:t>
                        </w:r>
                      </w:p>
                      <w:p>
                        <w:pPr>
                          <w:pStyle w:val="TableParagraph"/>
                          <w:spacing w:line="195" w:lineRule="exact"/>
                          <w:ind w:left="154"/>
                          <w:rPr>
                            <w:rFonts w:ascii="Times New Roman"/>
                            <w:sz w:val="18"/>
                          </w:rPr>
                        </w:pPr>
                        <w:r>
                          <w:rPr>
                            <w:rFonts w:ascii="Times New Roman"/>
                            <w:sz w:val="18"/>
                          </w:rPr>
                          <w:t>22</w:t>
                        </w:r>
                      </w:p>
                    </w:tc>
                    <w:tc>
                      <w:tcPr>
                        <w:tcW w:w="1472" w:type="dxa"/>
                        <w:tcBorders>
                          <w:top w:val="nil"/>
                          <w:bottom w:val="nil"/>
                        </w:tcBorders>
                      </w:tcPr>
                      <w:p>
                        <w:pPr>
                          <w:pStyle w:val="TableParagraph"/>
                          <w:spacing w:line="213" w:lineRule="auto" w:before="105"/>
                          <w:ind w:left="325" w:right="206" w:firstLine="3"/>
                          <w:jc w:val="both"/>
                          <w:rPr>
                            <w:sz w:val="19"/>
                          </w:rPr>
                        </w:pPr>
                        <w:r>
                          <w:rPr>
                            <w:spacing w:val="-11"/>
                            <w:w w:val="80"/>
                            <w:sz w:val="19"/>
                          </w:rPr>
                          <w:t>5,351,272.8 </w:t>
                        </w:r>
                        <w:r>
                          <w:rPr>
                            <w:rFonts w:ascii="Times New Roman" w:hAnsi="Times New Roman"/>
                            <w:w w:val="80"/>
                            <w:sz w:val="19"/>
                          </w:rPr>
                          <w:t>ó,</w:t>
                        </w:r>
                        <w:r>
                          <w:rPr>
                            <w:rFonts w:ascii="Times New Roman" w:hAnsi="Times New Roman"/>
                            <w:spacing w:val="-26"/>
                            <w:w w:val="80"/>
                            <w:sz w:val="19"/>
                          </w:rPr>
                          <w:t> </w:t>
                        </w:r>
                        <w:r>
                          <w:rPr>
                            <w:spacing w:val="-3"/>
                            <w:w w:val="80"/>
                            <w:sz w:val="19"/>
                          </w:rPr>
                          <w:t>186,111.0 </w:t>
                        </w:r>
                        <w:r>
                          <w:rPr>
                            <w:spacing w:val="-14"/>
                            <w:w w:val="85"/>
                            <w:sz w:val="19"/>
                          </w:rPr>
                          <w:t>5,025,845.1</w:t>
                        </w:r>
                      </w:p>
                    </w:tc>
                    <w:tc>
                      <w:tcPr>
                        <w:tcW w:w="1548" w:type="dxa"/>
                        <w:tcBorders>
                          <w:top w:val="nil"/>
                          <w:bottom w:val="nil"/>
                        </w:tcBorders>
                      </w:tcPr>
                      <w:p>
                        <w:pPr>
                          <w:pStyle w:val="TableParagraph"/>
                          <w:spacing w:line="208" w:lineRule="exact" w:before="84"/>
                          <w:ind w:left="257" w:right="-11"/>
                          <w:rPr>
                            <w:sz w:val="19"/>
                          </w:rPr>
                        </w:pPr>
                        <w:r>
                          <w:rPr>
                            <w:spacing w:val="-13"/>
                            <w:w w:val="90"/>
                            <w:sz w:val="19"/>
                          </w:rPr>
                          <w:t>138,342,809.3</w:t>
                        </w:r>
                      </w:p>
                      <w:p>
                        <w:pPr>
                          <w:pStyle w:val="TableParagraph"/>
                          <w:spacing w:line="200" w:lineRule="exact"/>
                          <w:ind w:left="257" w:right="-11"/>
                          <w:rPr>
                            <w:sz w:val="19"/>
                          </w:rPr>
                        </w:pPr>
                        <w:r>
                          <w:rPr>
                            <w:w w:val="80"/>
                            <w:sz w:val="19"/>
                          </w:rPr>
                          <w:t>132,991,536.5</w:t>
                        </w:r>
                      </w:p>
                      <w:p>
                        <w:pPr>
                          <w:pStyle w:val="TableParagraph"/>
                          <w:spacing w:line="207" w:lineRule="exact"/>
                          <w:ind w:left="257" w:right="-7"/>
                          <w:rPr>
                            <w:sz w:val="19"/>
                          </w:rPr>
                        </w:pPr>
                        <w:r>
                          <w:rPr>
                            <w:w w:val="85"/>
                            <w:sz w:val="19"/>
                          </w:rPr>
                          <w:t>127,805,425.5</w:t>
                        </w:r>
                      </w:p>
                    </w:tc>
                    <w:tc>
                      <w:tcPr>
                        <w:tcW w:w="1712" w:type="dxa"/>
                        <w:tcBorders>
                          <w:top w:val="nil"/>
                          <w:bottom w:val="nil"/>
                          <w:right w:val="single" w:sz="6" w:space="0" w:color="000000"/>
                        </w:tcBorders>
                      </w:tcPr>
                      <w:p>
                        <w:pPr>
                          <w:pStyle w:val="TableParagraph"/>
                          <w:spacing w:line="207" w:lineRule="exact" w:before="81"/>
                          <w:ind w:left="246"/>
                          <w:rPr>
                            <w:sz w:val="19"/>
                          </w:rPr>
                        </w:pPr>
                        <w:r>
                          <w:rPr>
                            <w:w w:val="80"/>
                            <w:sz w:val="19"/>
                          </w:rPr>
                          <w:t>2,785,567,188.8</w:t>
                        </w:r>
                      </w:p>
                      <w:p>
                        <w:pPr>
                          <w:pStyle w:val="TableParagraph"/>
                          <w:spacing w:line="200" w:lineRule="exact"/>
                          <w:ind w:left="250"/>
                          <w:rPr>
                            <w:sz w:val="19"/>
                          </w:rPr>
                        </w:pPr>
                        <w:r>
                          <w:rPr>
                            <w:spacing w:val="-9"/>
                            <w:w w:val="85"/>
                            <w:sz w:val="19"/>
                          </w:rPr>
                          <w:t>2,647,224,379.5</w:t>
                        </w:r>
                      </w:p>
                      <w:p>
                        <w:pPr>
                          <w:pStyle w:val="TableParagraph"/>
                          <w:spacing w:line="208" w:lineRule="exact"/>
                          <w:ind w:left="243"/>
                          <w:rPr>
                            <w:sz w:val="19"/>
                          </w:rPr>
                        </w:pPr>
                        <w:r>
                          <w:rPr>
                            <w:spacing w:val="-10"/>
                            <w:w w:val="85"/>
                            <w:sz w:val="19"/>
                          </w:rPr>
                          <w:t>2,514,232,843.0</w:t>
                        </w:r>
                      </w:p>
                    </w:tc>
                    <w:tc>
                      <w:tcPr>
                        <w:tcW w:w="506" w:type="dxa"/>
                        <w:tcBorders>
                          <w:top w:val="nil"/>
                          <w:left w:val="single" w:sz="6" w:space="0" w:color="000000"/>
                          <w:bottom w:val="nil"/>
                          <w:right w:val="nil"/>
                        </w:tcBorders>
                      </w:tcPr>
                      <w:p>
                        <w:pPr>
                          <w:pStyle w:val="TableParagraph"/>
                          <w:spacing w:line="205" w:lineRule="exact" w:before="81"/>
                          <w:ind w:left="178"/>
                          <w:rPr>
                            <w:sz w:val="19"/>
                          </w:rPr>
                        </w:pPr>
                        <w:r>
                          <w:rPr>
                            <w:w w:val="90"/>
                            <w:sz w:val="19"/>
                          </w:rPr>
                          <w:t>20</w:t>
                        </w:r>
                      </w:p>
                      <w:p>
                        <w:pPr>
                          <w:pStyle w:val="TableParagraph"/>
                          <w:spacing w:line="196" w:lineRule="exact"/>
                          <w:ind w:left="174"/>
                          <w:rPr>
                            <w:sz w:val="19"/>
                          </w:rPr>
                        </w:pPr>
                        <w:r>
                          <w:rPr>
                            <w:sz w:val="19"/>
                          </w:rPr>
                          <w:t>21</w:t>
                        </w:r>
                      </w:p>
                      <w:p>
                        <w:pPr>
                          <w:pStyle w:val="TableParagraph"/>
                          <w:spacing w:line="207" w:lineRule="exact"/>
                          <w:ind w:left="174"/>
                          <w:rPr>
                            <w:sz w:val="19"/>
                          </w:rPr>
                        </w:pPr>
                        <w:r>
                          <w:rPr>
                            <w:sz w:val="19"/>
                          </w:rPr>
                          <w:t>22</w:t>
                        </w:r>
                      </w:p>
                    </w:tc>
                  </w:tr>
                  <w:tr>
                    <w:trPr>
                      <w:trHeight w:val="501" w:hRule="exact"/>
                    </w:trPr>
                    <w:tc>
                      <w:tcPr>
                        <w:tcW w:w="486" w:type="dxa"/>
                        <w:tcBorders>
                          <w:top w:val="nil"/>
                          <w:left w:val="nil"/>
                          <w:bottom w:val="nil"/>
                        </w:tcBorders>
                      </w:tcPr>
                      <w:p>
                        <w:pPr>
                          <w:pStyle w:val="TableParagraph"/>
                          <w:spacing w:line="201" w:lineRule="exact"/>
                          <w:ind w:left="154"/>
                          <w:rPr>
                            <w:sz w:val="19"/>
                          </w:rPr>
                        </w:pPr>
                        <w:r>
                          <w:rPr>
                            <w:w w:val="85"/>
                            <w:sz w:val="19"/>
                          </w:rPr>
                          <w:t>23</w:t>
                        </w:r>
                      </w:p>
                      <w:p>
                        <w:pPr>
                          <w:pStyle w:val="TableParagraph"/>
                          <w:spacing w:line="207" w:lineRule="exact"/>
                          <w:ind w:left="154"/>
                          <w:rPr>
                            <w:sz w:val="19"/>
                          </w:rPr>
                        </w:pPr>
                        <w:r>
                          <w:rPr>
                            <w:w w:val="90"/>
                            <w:sz w:val="19"/>
                          </w:rPr>
                          <w:t>24</w:t>
                        </w:r>
                      </w:p>
                    </w:tc>
                    <w:tc>
                      <w:tcPr>
                        <w:tcW w:w="1472" w:type="dxa"/>
                        <w:tcBorders>
                          <w:top w:val="nil"/>
                          <w:bottom w:val="nil"/>
                        </w:tcBorders>
                      </w:tcPr>
                      <w:p>
                        <w:pPr>
                          <w:pStyle w:val="TableParagraph"/>
                          <w:spacing w:line="200" w:lineRule="exact"/>
                          <w:ind w:left="325" w:right="-20"/>
                          <w:rPr>
                            <w:sz w:val="19"/>
                          </w:rPr>
                        </w:pPr>
                        <w:r>
                          <w:rPr>
                            <w:spacing w:val="-13"/>
                            <w:w w:val="95"/>
                            <w:sz w:val="19"/>
                          </w:rPr>
                          <w:t>4,870,385.5</w:t>
                        </w:r>
                      </w:p>
                      <w:p>
                        <w:pPr>
                          <w:pStyle w:val="TableParagraph"/>
                          <w:spacing w:line="208" w:lineRule="exact"/>
                          <w:ind w:left="325" w:right="-20"/>
                          <w:rPr>
                            <w:sz w:val="19"/>
                          </w:rPr>
                        </w:pPr>
                        <w:r>
                          <w:rPr>
                            <w:w w:val="90"/>
                            <w:sz w:val="19"/>
                          </w:rPr>
                          <w:t>4,719,592.6</w:t>
                        </w:r>
                      </w:p>
                    </w:tc>
                    <w:tc>
                      <w:tcPr>
                        <w:tcW w:w="1548" w:type="dxa"/>
                        <w:tcBorders>
                          <w:top w:val="nil"/>
                          <w:bottom w:val="nil"/>
                        </w:tcBorders>
                      </w:tcPr>
                      <w:p>
                        <w:pPr>
                          <w:pStyle w:val="TableParagraph"/>
                          <w:spacing w:line="196" w:lineRule="exact"/>
                          <w:ind w:left="257" w:right="-11"/>
                          <w:rPr>
                            <w:sz w:val="19"/>
                          </w:rPr>
                        </w:pPr>
                        <w:r>
                          <w:rPr>
                            <w:spacing w:val="-13"/>
                            <w:w w:val="90"/>
                            <w:sz w:val="19"/>
                          </w:rPr>
                          <w:t>122,779,580.4</w:t>
                        </w:r>
                      </w:p>
                      <w:p>
                        <w:pPr>
                          <w:pStyle w:val="TableParagraph"/>
                          <w:spacing w:line="208" w:lineRule="exact"/>
                          <w:ind w:left="261" w:right="-11"/>
                          <w:rPr>
                            <w:sz w:val="19"/>
                          </w:rPr>
                        </w:pPr>
                        <w:r>
                          <w:rPr>
                            <w:w w:val="85"/>
                            <w:sz w:val="19"/>
                          </w:rPr>
                          <w:t>117,909,194.9</w:t>
                        </w:r>
                      </w:p>
                    </w:tc>
                    <w:tc>
                      <w:tcPr>
                        <w:tcW w:w="1712" w:type="dxa"/>
                        <w:tcBorders>
                          <w:top w:val="nil"/>
                          <w:bottom w:val="nil"/>
                          <w:right w:val="single" w:sz="6" w:space="0" w:color="000000"/>
                        </w:tcBorders>
                      </w:tcPr>
                      <w:p>
                        <w:pPr>
                          <w:pStyle w:val="TableParagraph"/>
                          <w:spacing w:line="192" w:lineRule="exact"/>
                          <w:ind w:left="246"/>
                          <w:rPr>
                            <w:sz w:val="19"/>
                          </w:rPr>
                        </w:pPr>
                        <w:r>
                          <w:rPr>
                            <w:spacing w:val="-12"/>
                            <w:w w:val="90"/>
                            <w:sz w:val="19"/>
                          </w:rPr>
                          <w:t>2,386,427,417.5</w:t>
                        </w:r>
                      </w:p>
                      <w:p>
                        <w:pPr>
                          <w:pStyle w:val="TableParagraph"/>
                          <w:spacing w:line="208" w:lineRule="exact"/>
                          <w:ind w:left="246"/>
                          <w:rPr>
                            <w:sz w:val="19"/>
                          </w:rPr>
                        </w:pPr>
                        <w:r>
                          <w:rPr>
                            <w:spacing w:val="-10"/>
                            <w:w w:val="85"/>
                            <w:sz w:val="19"/>
                          </w:rPr>
                          <w:t>2,263,647,837.1</w:t>
                        </w:r>
                      </w:p>
                    </w:tc>
                    <w:tc>
                      <w:tcPr>
                        <w:tcW w:w="506" w:type="dxa"/>
                        <w:tcBorders>
                          <w:top w:val="nil"/>
                          <w:left w:val="single" w:sz="6" w:space="0" w:color="000000"/>
                          <w:bottom w:val="nil"/>
                          <w:right w:val="nil"/>
                        </w:tcBorders>
                      </w:tcPr>
                      <w:p>
                        <w:pPr>
                          <w:pStyle w:val="TableParagraph"/>
                          <w:spacing w:line="172" w:lineRule="exact"/>
                          <w:ind w:left="178"/>
                          <w:rPr>
                            <w:rFonts w:ascii="Times New Roman"/>
                            <w:sz w:val="17"/>
                          </w:rPr>
                        </w:pPr>
                        <w:r>
                          <w:rPr>
                            <w:rFonts w:ascii="Times New Roman"/>
                            <w:sz w:val="17"/>
                          </w:rPr>
                          <w:t>23</w:t>
                        </w:r>
                      </w:p>
                      <w:p>
                        <w:pPr>
                          <w:pStyle w:val="TableParagraph"/>
                          <w:spacing w:line="204" w:lineRule="exact"/>
                          <w:ind w:left="174"/>
                          <w:rPr>
                            <w:rFonts w:ascii="Times New Roman"/>
                            <w:sz w:val="18"/>
                          </w:rPr>
                        </w:pPr>
                        <w:r>
                          <w:rPr>
                            <w:rFonts w:ascii="Times New Roman"/>
                            <w:sz w:val="18"/>
                          </w:rPr>
                          <w:t>24</w:t>
                        </w:r>
                      </w:p>
                    </w:tc>
                  </w:tr>
                  <w:tr>
                    <w:trPr>
                      <w:trHeight w:val="1204" w:hRule="exact"/>
                    </w:trPr>
                    <w:tc>
                      <w:tcPr>
                        <w:tcW w:w="486" w:type="dxa"/>
                        <w:tcBorders>
                          <w:top w:val="nil"/>
                          <w:left w:val="nil"/>
                          <w:bottom w:val="nil"/>
                        </w:tcBorders>
                      </w:tcPr>
                      <w:p>
                        <w:pPr>
                          <w:pStyle w:val="TableParagraph"/>
                          <w:spacing w:line="208" w:lineRule="exact" w:before="99"/>
                          <w:ind w:left="151"/>
                          <w:rPr>
                            <w:sz w:val="19"/>
                          </w:rPr>
                        </w:pPr>
                        <w:r>
                          <w:rPr>
                            <w:w w:val="90"/>
                            <w:sz w:val="19"/>
                          </w:rPr>
                          <w:t>25</w:t>
                        </w:r>
                      </w:p>
                      <w:p>
                        <w:pPr>
                          <w:pStyle w:val="TableParagraph"/>
                          <w:spacing w:line="202" w:lineRule="exact"/>
                          <w:ind w:left="158"/>
                          <w:rPr>
                            <w:sz w:val="19"/>
                          </w:rPr>
                        </w:pPr>
                        <w:r>
                          <w:rPr>
                            <w:w w:val="85"/>
                            <w:sz w:val="19"/>
                          </w:rPr>
                          <w:t>26</w:t>
                        </w:r>
                      </w:p>
                      <w:p>
                        <w:pPr>
                          <w:pStyle w:val="TableParagraph"/>
                          <w:spacing w:line="201" w:lineRule="exact"/>
                          <w:ind w:left="154"/>
                          <w:rPr>
                            <w:sz w:val="19"/>
                          </w:rPr>
                        </w:pPr>
                        <w:r>
                          <w:rPr>
                            <w:w w:val="90"/>
                            <w:sz w:val="19"/>
                          </w:rPr>
                          <w:t>27</w:t>
                        </w:r>
                      </w:p>
                      <w:p>
                        <w:pPr>
                          <w:pStyle w:val="TableParagraph"/>
                          <w:spacing w:line="188" w:lineRule="exact"/>
                          <w:ind w:left="154"/>
                          <w:rPr>
                            <w:rFonts w:ascii="Times New Roman"/>
                            <w:sz w:val="17"/>
                          </w:rPr>
                        </w:pPr>
                        <w:r>
                          <w:rPr>
                            <w:rFonts w:ascii="Times New Roman"/>
                            <w:sz w:val="17"/>
                          </w:rPr>
                          <w:t>28</w:t>
                        </w:r>
                      </w:p>
                      <w:p>
                        <w:pPr>
                          <w:pStyle w:val="TableParagraph"/>
                          <w:spacing w:before="3"/>
                          <w:ind w:left="154"/>
                          <w:rPr>
                            <w:sz w:val="19"/>
                          </w:rPr>
                        </w:pPr>
                        <w:r>
                          <w:rPr>
                            <w:w w:val="85"/>
                            <w:sz w:val="19"/>
                          </w:rPr>
                          <w:t>29</w:t>
                        </w:r>
                      </w:p>
                    </w:tc>
                    <w:tc>
                      <w:tcPr>
                        <w:tcW w:w="1472" w:type="dxa"/>
                        <w:tcBorders>
                          <w:top w:val="nil"/>
                          <w:bottom w:val="nil"/>
                        </w:tcBorders>
                      </w:tcPr>
                      <w:p>
                        <w:pPr>
                          <w:pStyle w:val="TableParagraph"/>
                          <w:spacing w:line="208" w:lineRule="exact" w:before="95"/>
                          <w:ind w:left="322" w:right="-20"/>
                          <w:rPr>
                            <w:sz w:val="19"/>
                          </w:rPr>
                        </w:pPr>
                        <w:r>
                          <w:rPr>
                            <w:spacing w:val="-22"/>
                            <w:sz w:val="19"/>
                          </w:rPr>
                          <w:t>4,573,377.1</w:t>
                        </w:r>
                      </w:p>
                      <w:p>
                        <w:pPr>
                          <w:pStyle w:val="TableParagraph"/>
                          <w:spacing w:line="202" w:lineRule="exact"/>
                          <w:ind w:left="325" w:right="-20"/>
                          <w:rPr>
                            <w:sz w:val="19"/>
                          </w:rPr>
                        </w:pPr>
                        <w:r>
                          <w:rPr>
                            <w:spacing w:val="-24"/>
                            <w:w w:val="108"/>
                            <w:sz w:val="19"/>
                          </w:rPr>
                          <w:t>4</w:t>
                        </w:r>
                        <w:r>
                          <w:rPr>
                            <w:spacing w:val="-42"/>
                            <w:w w:val="89"/>
                            <w:sz w:val="19"/>
                          </w:rPr>
                          <w:t>,</w:t>
                        </w:r>
                        <w:r>
                          <w:rPr>
                            <w:w w:val="71"/>
                            <w:sz w:val="19"/>
                          </w:rPr>
                          <w:t>431</w:t>
                        </w:r>
                        <w:r>
                          <w:rPr>
                            <w:spacing w:val="-12"/>
                            <w:w w:val="71"/>
                            <w:sz w:val="19"/>
                          </w:rPr>
                          <w:t>,</w:t>
                        </w:r>
                        <w:r>
                          <w:rPr>
                            <w:w w:val="84"/>
                            <w:sz w:val="19"/>
                          </w:rPr>
                          <w:t>6</w:t>
                        </w:r>
                        <w:r>
                          <w:rPr>
                            <w:spacing w:val="-32"/>
                            <w:w w:val="84"/>
                            <w:sz w:val="19"/>
                          </w:rPr>
                          <w:t>0</w:t>
                        </w:r>
                        <w:r>
                          <w:rPr>
                            <w:spacing w:val="-15"/>
                            <w:w w:val="103"/>
                            <w:sz w:val="19"/>
                          </w:rPr>
                          <w:t>2</w:t>
                        </w:r>
                        <w:r>
                          <w:rPr>
                            <w:w w:val="43"/>
                            <w:sz w:val="19"/>
                          </w:rPr>
                          <w:t>.-i</w:t>
                        </w:r>
                      </w:p>
                      <w:p>
                        <w:pPr>
                          <w:pStyle w:val="TableParagraph"/>
                          <w:spacing w:line="200" w:lineRule="exact"/>
                          <w:ind w:left="325" w:right="-20"/>
                          <w:rPr>
                            <w:sz w:val="19"/>
                          </w:rPr>
                        </w:pPr>
                        <w:r>
                          <w:rPr>
                            <w:w w:val="90"/>
                            <w:sz w:val="19"/>
                          </w:rPr>
                          <w:t>4,294,093.7</w:t>
                        </w:r>
                      </w:p>
                      <w:p>
                        <w:pPr>
                          <w:pStyle w:val="TableParagraph"/>
                          <w:spacing w:line="198" w:lineRule="exact"/>
                          <w:ind w:left="325" w:right="-20"/>
                          <w:rPr>
                            <w:sz w:val="19"/>
                          </w:rPr>
                        </w:pPr>
                        <w:r>
                          <w:rPr>
                            <w:w w:val="90"/>
                            <w:sz w:val="19"/>
                          </w:rPr>
                          <w:t>4,160,726.8</w:t>
                        </w:r>
                      </w:p>
                      <w:p>
                        <w:pPr>
                          <w:pStyle w:val="TableParagraph"/>
                          <w:spacing w:line="207" w:lineRule="exact"/>
                          <w:ind w:left="325" w:right="-20"/>
                          <w:rPr>
                            <w:sz w:val="19"/>
                          </w:rPr>
                        </w:pPr>
                        <w:r>
                          <w:rPr>
                            <w:w w:val="90"/>
                            <w:sz w:val="19"/>
                          </w:rPr>
                          <w:t>4,031,340.5</w:t>
                        </w:r>
                      </w:p>
                    </w:tc>
                    <w:tc>
                      <w:tcPr>
                        <w:tcW w:w="1548" w:type="dxa"/>
                        <w:tcBorders>
                          <w:top w:val="nil"/>
                          <w:bottom w:val="nil"/>
                        </w:tcBorders>
                      </w:tcPr>
                      <w:p>
                        <w:pPr>
                          <w:pStyle w:val="TableParagraph"/>
                          <w:spacing w:line="208" w:lineRule="exact" w:before="91"/>
                          <w:ind w:left="253" w:right="-11"/>
                          <w:rPr>
                            <w:sz w:val="19"/>
                          </w:rPr>
                        </w:pPr>
                        <w:r>
                          <w:rPr>
                            <w:w w:val="80"/>
                            <w:sz w:val="19"/>
                          </w:rPr>
                          <w:t>113,189,602.3</w:t>
                        </w:r>
                      </w:p>
                      <w:p>
                        <w:pPr>
                          <w:pStyle w:val="TableParagraph"/>
                          <w:spacing w:line="200" w:lineRule="exact"/>
                          <w:ind w:left="253" w:right="-3"/>
                          <w:rPr>
                            <w:sz w:val="19"/>
                          </w:rPr>
                        </w:pPr>
                        <w:r>
                          <w:rPr>
                            <w:w w:val="85"/>
                            <w:sz w:val="19"/>
                          </w:rPr>
                          <w:t>108,616,225.2</w:t>
                        </w:r>
                      </w:p>
                      <w:p>
                        <w:pPr>
                          <w:pStyle w:val="TableParagraph"/>
                          <w:spacing w:line="200" w:lineRule="exact"/>
                          <w:ind w:left="253" w:right="-3"/>
                          <w:rPr>
                            <w:sz w:val="19"/>
                          </w:rPr>
                        </w:pPr>
                        <w:r>
                          <w:rPr>
                            <w:w w:val="85"/>
                            <w:sz w:val="19"/>
                          </w:rPr>
                          <w:t>104,184,622.8</w:t>
                        </w:r>
                      </w:p>
                      <w:p>
                        <w:pPr>
                          <w:pStyle w:val="TableParagraph"/>
                          <w:spacing w:line="202" w:lineRule="exact"/>
                          <w:ind w:left="325" w:right="-11"/>
                          <w:rPr>
                            <w:sz w:val="19"/>
                          </w:rPr>
                        </w:pPr>
                        <w:r>
                          <w:rPr>
                            <w:w w:val="85"/>
                            <w:sz w:val="19"/>
                          </w:rPr>
                          <w:t>99,890,529.1</w:t>
                        </w:r>
                      </w:p>
                      <w:p>
                        <w:pPr>
                          <w:pStyle w:val="TableParagraph"/>
                          <w:spacing w:line="208" w:lineRule="exact"/>
                          <w:ind w:left="322" w:right="-11"/>
                          <w:rPr>
                            <w:sz w:val="19"/>
                          </w:rPr>
                        </w:pPr>
                        <w:r>
                          <w:rPr>
                            <w:spacing w:val="-18"/>
                            <w:w w:val="95"/>
                            <w:sz w:val="19"/>
                          </w:rPr>
                          <w:t>95,729,802.3</w:t>
                        </w:r>
                      </w:p>
                    </w:tc>
                    <w:tc>
                      <w:tcPr>
                        <w:tcW w:w="1712" w:type="dxa"/>
                        <w:tcBorders>
                          <w:top w:val="nil"/>
                          <w:bottom w:val="nil"/>
                          <w:right w:val="single" w:sz="6" w:space="0" w:color="000000"/>
                        </w:tcBorders>
                      </w:tcPr>
                      <w:p>
                        <w:pPr>
                          <w:pStyle w:val="TableParagraph"/>
                          <w:spacing w:line="208" w:lineRule="exact" w:before="84"/>
                          <w:ind w:left="246"/>
                          <w:rPr>
                            <w:sz w:val="19"/>
                          </w:rPr>
                        </w:pPr>
                        <w:r>
                          <w:rPr>
                            <w:spacing w:val="-12"/>
                            <w:w w:val="90"/>
                            <w:sz w:val="19"/>
                          </w:rPr>
                          <w:t>2,145,738,642.2</w:t>
                        </w:r>
                      </w:p>
                      <w:p>
                        <w:pPr>
                          <w:pStyle w:val="TableParagraph"/>
                          <w:spacing w:line="202" w:lineRule="exact"/>
                          <w:ind w:left="250"/>
                          <w:rPr>
                            <w:sz w:val="19"/>
                          </w:rPr>
                        </w:pPr>
                        <w:r>
                          <w:rPr>
                            <w:spacing w:val="-26"/>
                            <w:sz w:val="19"/>
                          </w:rPr>
                          <w:t>2,032,549,039.9</w:t>
                        </w:r>
                      </w:p>
                      <w:p>
                        <w:pPr>
                          <w:pStyle w:val="TableParagraph"/>
                          <w:spacing w:line="200" w:lineRule="exact"/>
                          <w:ind w:left="257"/>
                          <w:rPr>
                            <w:sz w:val="19"/>
                          </w:rPr>
                        </w:pPr>
                        <w:r>
                          <w:rPr>
                            <w:spacing w:val="-14"/>
                            <w:w w:val="90"/>
                            <w:sz w:val="19"/>
                          </w:rPr>
                          <w:t>1,923,932,814.7</w:t>
                        </w:r>
                      </w:p>
                      <w:p>
                        <w:pPr>
                          <w:pStyle w:val="TableParagraph"/>
                          <w:spacing w:line="200" w:lineRule="exact"/>
                          <w:ind w:left="253"/>
                          <w:rPr>
                            <w:sz w:val="19"/>
                          </w:rPr>
                        </w:pPr>
                        <w:r>
                          <w:rPr>
                            <w:spacing w:val="-16"/>
                            <w:w w:val="90"/>
                            <w:sz w:val="19"/>
                          </w:rPr>
                          <w:t>1,819,748,191.9</w:t>
                        </w:r>
                      </w:p>
                      <w:p>
                        <w:pPr>
                          <w:pStyle w:val="TableParagraph"/>
                          <w:spacing w:line="208" w:lineRule="exact"/>
                          <w:ind w:left="253"/>
                          <w:rPr>
                            <w:sz w:val="19"/>
                          </w:rPr>
                        </w:pPr>
                        <w:r>
                          <w:rPr>
                            <w:spacing w:val="-16"/>
                            <w:w w:val="90"/>
                            <w:sz w:val="19"/>
                          </w:rPr>
                          <w:t>1,719,857,662.8</w:t>
                        </w:r>
                      </w:p>
                    </w:tc>
                    <w:tc>
                      <w:tcPr>
                        <w:tcW w:w="506" w:type="dxa"/>
                        <w:tcBorders>
                          <w:top w:val="nil"/>
                          <w:left w:val="single" w:sz="6" w:space="0" w:color="000000"/>
                          <w:bottom w:val="nil"/>
                          <w:right w:val="nil"/>
                        </w:tcBorders>
                      </w:tcPr>
                      <w:p>
                        <w:pPr>
                          <w:pStyle w:val="TableParagraph"/>
                          <w:spacing w:line="208" w:lineRule="exact" w:before="81"/>
                          <w:ind w:left="174"/>
                          <w:rPr>
                            <w:sz w:val="19"/>
                          </w:rPr>
                        </w:pPr>
                        <w:r>
                          <w:rPr>
                            <w:w w:val="90"/>
                            <w:sz w:val="19"/>
                          </w:rPr>
                          <w:t>25</w:t>
                        </w:r>
                      </w:p>
                      <w:p>
                        <w:pPr>
                          <w:pStyle w:val="TableParagraph"/>
                          <w:spacing w:line="200" w:lineRule="exact"/>
                          <w:ind w:left="178"/>
                          <w:rPr>
                            <w:sz w:val="19"/>
                          </w:rPr>
                        </w:pPr>
                        <w:r>
                          <w:rPr>
                            <w:w w:val="85"/>
                            <w:sz w:val="19"/>
                          </w:rPr>
                          <w:t>26</w:t>
                        </w:r>
                      </w:p>
                      <w:p>
                        <w:pPr>
                          <w:pStyle w:val="TableParagraph"/>
                          <w:spacing w:line="200" w:lineRule="exact"/>
                          <w:ind w:left="178"/>
                          <w:rPr>
                            <w:sz w:val="19"/>
                          </w:rPr>
                        </w:pPr>
                        <w:r>
                          <w:rPr>
                            <w:w w:val="85"/>
                            <w:sz w:val="19"/>
                          </w:rPr>
                          <w:t>27</w:t>
                        </w:r>
                      </w:p>
                      <w:p>
                        <w:pPr>
                          <w:pStyle w:val="TableParagraph"/>
                          <w:spacing w:line="188" w:lineRule="exact"/>
                          <w:ind w:left="174"/>
                          <w:rPr>
                            <w:rFonts w:ascii="Times New Roman"/>
                            <w:sz w:val="17"/>
                          </w:rPr>
                        </w:pPr>
                        <w:r>
                          <w:rPr>
                            <w:rFonts w:ascii="Times New Roman"/>
                            <w:sz w:val="17"/>
                          </w:rPr>
                          <w:t>28</w:t>
                        </w:r>
                      </w:p>
                      <w:p>
                        <w:pPr>
                          <w:pStyle w:val="TableParagraph"/>
                          <w:spacing w:before="3"/>
                          <w:ind w:left="178"/>
                          <w:rPr>
                            <w:sz w:val="19"/>
                          </w:rPr>
                        </w:pPr>
                        <w:r>
                          <w:rPr>
                            <w:w w:val="85"/>
                            <w:sz w:val="19"/>
                          </w:rPr>
                          <w:t>29</w:t>
                        </w:r>
                      </w:p>
                    </w:tc>
                  </w:tr>
                  <w:tr>
                    <w:trPr>
                      <w:trHeight w:val="1159" w:hRule="exact"/>
                    </w:trPr>
                    <w:tc>
                      <w:tcPr>
                        <w:tcW w:w="486" w:type="dxa"/>
                        <w:tcBorders>
                          <w:top w:val="nil"/>
                          <w:left w:val="nil"/>
                          <w:bottom w:val="nil"/>
                        </w:tcBorders>
                      </w:tcPr>
                      <w:p>
                        <w:pPr>
                          <w:pStyle w:val="TableParagraph"/>
                          <w:spacing w:line="207" w:lineRule="exact" w:before="97"/>
                          <w:ind w:left="151"/>
                          <w:rPr>
                            <w:sz w:val="19"/>
                          </w:rPr>
                        </w:pPr>
                        <w:r>
                          <w:rPr>
                            <w:w w:val="95"/>
                            <w:sz w:val="19"/>
                          </w:rPr>
                          <w:t>30</w:t>
                        </w:r>
                      </w:p>
                      <w:p>
                        <w:pPr>
                          <w:pStyle w:val="TableParagraph"/>
                          <w:spacing w:line="200" w:lineRule="exact"/>
                          <w:ind w:left="151"/>
                          <w:rPr>
                            <w:sz w:val="19"/>
                          </w:rPr>
                        </w:pPr>
                        <w:r>
                          <w:rPr>
                            <w:sz w:val="19"/>
                          </w:rPr>
                          <w:t>31</w:t>
                        </w:r>
                      </w:p>
                      <w:p>
                        <w:pPr>
                          <w:pStyle w:val="TableParagraph"/>
                          <w:spacing w:line="201" w:lineRule="exact"/>
                          <w:ind w:left="151"/>
                          <w:rPr>
                            <w:sz w:val="19"/>
                          </w:rPr>
                        </w:pPr>
                        <w:r>
                          <w:rPr>
                            <w:sz w:val="19"/>
                          </w:rPr>
                          <w:t>32</w:t>
                        </w:r>
                      </w:p>
                      <w:p>
                        <w:pPr>
                          <w:pStyle w:val="TableParagraph"/>
                          <w:spacing w:line="188" w:lineRule="exact"/>
                          <w:ind w:left="154"/>
                          <w:rPr>
                            <w:rFonts w:ascii="Times New Roman"/>
                            <w:sz w:val="17"/>
                          </w:rPr>
                        </w:pPr>
                        <w:r>
                          <w:rPr>
                            <w:rFonts w:ascii="Times New Roman"/>
                            <w:w w:val="105"/>
                            <w:sz w:val="17"/>
                          </w:rPr>
                          <w:t>33</w:t>
                        </w:r>
                      </w:p>
                      <w:p>
                        <w:pPr>
                          <w:pStyle w:val="TableParagraph"/>
                          <w:spacing w:before="6"/>
                          <w:ind w:left="154"/>
                          <w:rPr>
                            <w:sz w:val="19"/>
                          </w:rPr>
                        </w:pPr>
                        <w:r>
                          <w:rPr>
                            <w:w w:val="95"/>
                            <w:sz w:val="19"/>
                          </w:rPr>
                          <w:t>34</w:t>
                        </w:r>
                      </w:p>
                    </w:tc>
                    <w:tc>
                      <w:tcPr>
                        <w:tcW w:w="1472" w:type="dxa"/>
                        <w:tcBorders>
                          <w:top w:val="nil"/>
                          <w:bottom w:val="nil"/>
                        </w:tcBorders>
                      </w:tcPr>
                      <w:p>
                        <w:pPr>
                          <w:pStyle w:val="TableParagraph"/>
                          <w:spacing w:line="208" w:lineRule="exact" w:before="93"/>
                          <w:ind w:left="329" w:right="-20"/>
                          <w:rPr>
                            <w:sz w:val="19"/>
                          </w:rPr>
                        </w:pPr>
                        <w:r>
                          <w:rPr>
                            <w:spacing w:val="-10"/>
                            <w:w w:val="90"/>
                            <w:sz w:val="19"/>
                          </w:rPr>
                          <w:t>3,905,782.0</w:t>
                        </w:r>
                      </w:p>
                      <w:p>
                        <w:pPr>
                          <w:pStyle w:val="TableParagraph"/>
                          <w:spacing w:line="202" w:lineRule="exact"/>
                          <w:ind w:left="329" w:right="-5"/>
                          <w:rPr>
                            <w:rFonts w:ascii="Arial"/>
                            <w:sz w:val="17"/>
                          </w:rPr>
                        </w:pPr>
                        <w:r>
                          <w:rPr>
                            <w:w w:val="95"/>
                            <w:sz w:val="19"/>
                          </w:rPr>
                          <w:t>3,783,944</w:t>
                        </w:r>
                        <w:r>
                          <w:rPr>
                            <w:rFonts w:ascii="Arial"/>
                            <w:w w:val="95"/>
                            <w:sz w:val="17"/>
                          </w:rPr>
                          <w:t>.4</w:t>
                        </w:r>
                      </w:p>
                      <w:p>
                        <w:pPr>
                          <w:pStyle w:val="TableParagraph"/>
                          <w:spacing w:line="200" w:lineRule="exact"/>
                          <w:ind w:left="329" w:right="-20"/>
                          <w:rPr>
                            <w:sz w:val="19"/>
                          </w:rPr>
                        </w:pPr>
                        <w:r>
                          <w:rPr>
                            <w:spacing w:val="-7"/>
                            <w:w w:val="90"/>
                            <w:sz w:val="19"/>
                          </w:rPr>
                          <w:t>3,665,686.8</w:t>
                        </w:r>
                      </w:p>
                      <w:p>
                        <w:pPr>
                          <w:pStyle w:val="TableParagraph"/>
                          <w:spacing w:line="198" w:lineRule="exact"/>
                          <w:ind w:left="333" w:right="-20"/>
                          <w:rPr>
                            <w:sz w:val="19"/>
                          </w:rPr>
                        </w:pPr>
                        <w:r>
                          <w:rPr>
                            <w:spacing w:val="-11"/>
                            <w:w w:val="90"/>
                            <w:sz w:val="19"/>
                          </w:rPr>
                          <w:t>3,550,911.6</w:t>
                        </w:r>
                      </w:p>
                      <w:p>
                        <w:pPr>
                          <w:pStyle w:val="TableParagraph"/>
                          <w:spacing w:line="187" w:lineRule="exact"/>
                          <w:ind w:left="333" w:right="-20"/>
                          <w:rPr>
                            <w:rFonts w:ascii="Times New Roman"/>
                            <w:b/>
                            <w:sz w:val="17"/>
                          </w:rPr>
                        </w:pPr>
                        <w:r>
                          <w:rPr>
                            <w:rFonts w:ascii="Times New Roman"/>
                            <w:b/>
                            <w:w w:val="105"/>
                            <w:sz w:val="17"/>
                          </w:rPr>
                          <w:t>3,439,488.9</w:t>
                        </w:r>
                      </w:p>
                    </w:tc>
                    <w:tc>
                      <w:tcPr>
                        <w:tcW w:w="1548" w:type="dxa"/>
                        <w:tcBorders>
                          <w:top w:val="nil"/>
                          <w:bottom w:val="nil"/>
                        </w:tcBorders>
                      </w:tcPr>
                      <w:p>
                        <w:pPr>
                          <w:pStyle w:val="TableParagraph"/>
                          <w:spacing w:line="207" w:lineRule="exact" w:before="90"/>
                          <w:ind w:left="325" w:right="-11"/>
                          <w:rPr>
                            <w:sz w:val="19"/>
                          </w:rPr>
                        </w:pPr>
                        <w:r>
                          <w:rPr>
                            <w:spacing w:val="-15"/>
                            <w:w w:val="95"/>
                            <w:sz w:val="19"/>
                          </w:rPr>
                          <w:t>91,698,461.8</w:t>
                        </w:r>
                      </w:p>
                      <w:p>
                        <w:pPr>
                          <w:pStyle w:val="TableParagraph"/>
                          <w:spacing w:line="202" w:lineRule="exact"/>
                          <w:ind w:left="325" w:right="-11"/>
                          <w:rPr>
                            <w:sz w:val="19"/>
                          </w:rPr>
                        </w:pPr>
                        <w:r>
                          <w:rPr>
                            <w:spacing w:val="-20"/>
                            <w:sz w:val="19"/>
                          </w:rPr>
                          <w:t>87,792,679.8</w:t>
                        </w:r>
                      </w:p>
                      <w:p>
                        <w:pPr>
                          <w:pStyle w:val="TableParagraph"/>
                          <w:spacing w:line="202" w:lineRule="exact"/>
                          <w:ind w:left="325" w:right="-11"/>
                          <w:rPr>
                            <w:sz w:val="19"/>
                          </w:rPr>
                        </w:pPr>
                        <w:r>
                          <w:rPr>
                            <w:spacing w:val="-11"/>
                            <w:w w:val="90"/>
                            <w:sz w:val="19"/>
                          </w:rPr>
                          <w:t>84,008,735.4</w:t>
                        </w:r>
                      </w:p>
                      <w:p>
                        <w:pPr>
                          <w:pStyle w:val="TableParagraph"/>
                          <w:spacing w:line="198" w:lineRule="exact"/>
                          <w:ind w:left="329" w:right="-11"/>
                          <w:rPr>
                            <w:sz w:val="19"/>
                          </w:rPr>
                        </w:pPr>
                        <w:r>
                          <w:rPr>
                            <w:spacing w:val="-14"/>
                            <w:w w:val="90"/>
                            <w:sz w:val="19"/>
                          </w:rPr>
                          <w:t>80,343,048.6</w:t>
                        </w:r>
                      </w:p>
                      <w:p>
                        <w:pPr>
                          <w:pStyle w:val="TableParagraph"/>
                          <w:spacing w:line="207" w:lineRule="exact"/>
                          <w:ind w:left="329" w:right="-11"/>
                          <w:rPr>
                            <w:sz w:val="19"/>
                          </w:rPr>
                        </w:pPr>
                        <w:r>
                          <w:rPr>
                            <w:spacing w:val="-27"/>
                            <w:sz w:val="19"/>
                          </w:rPr>
                          <w:t>76,792,137.0</w:t>
                        </w:r>
                      </w:p>
                    </w:tc>
                    <w:tc>
                      <w:tcPr>
                        <w:tcW w:w="1712" w:type="dxa"/>
                        <w:tcBorders>
                          <w:top w:val="nil"/>
                          <w:bottom w:val="nil"/>
                          <w:right w:val="single" w:sz="6" w:space="0" w:color="000000"/>
                        </w:tcBorders>
                      </w:tcPr>
                      <w:p>
                        <w:pPr>
                          <w:pStyle w:val="TableParagraph"/>
                          <w:spacing w:line="208" w:lineRule="exact" w:before="82"/>
                          <w:ind w:left="253"/>
                          <w:rPr>
                            <w:sz w:val="19"/>
                          </w:rPr>
                        </w:pPr>
                        <w:r>
                          <w:rPr>
                            <w:spacing w:val="-6"/>
                            <w:w w:val="85"/>
                            <w:sz w:val="19"/>
                          </w:rPr>
                          <w:t>1,624,127,860.5</w:t>
                        </w:r>
                      </w:p>
                      <w:p>
                        <w:pPr>
                          <w:pStyle w:val="TableParagraph"/>
                          <w:spacing w:line="202" w:lineRule="exact"/>
                          <w:ind w:left="257"/>
                          <w:rPr>
                            <w:sz w:val="19"/>
                          </w:rPr>
                        </w:pPr>
                        <w:r>
                          <w:rPr>
                            <w:spacing w:val="-12"/>
                            <w:w w:val="90"/>
                            <w:sz w:val="19"/>
                          </w:rPr>
                          <w:t>1,532,429,398.7</w:t>
                        </w:r>
                      </w:p>
                      <w:p>
                        <w:pPr>
                          <w:pStyle w:val="TableParagraph"/>
                          <w:spacing w:line="202" w:lineRule="exact"/>
                          <w:ind w:left="257"/>
                          <w:rPr>
                            <w:sz w:val="19"/>
                          </w:rPr>
                        </w:pPr>
                        <w:r>
                          <w:rPr>
                            <w:spacing w:val="-10"/>
                            <w:w w:val="85"/>
                            <w:sz w:val="19"/>
                          </w:rPr>
                          <w:t>1,444,636,718.9</w:t>
                        </w:r>
                      </w:p>
                      <w:p>
                        <w:pPr>
                          <w:pStyle w:val="TableParagraph"/>
                          <w:spacing w:line="198" w:lineRule="exact"/>
                          <w:ind w:left="253"/>
                          <w:rPr>
                            <w:sz w:val="19"/>
                          </w:rPr>
                        </w:pPr>
                        <w:r>
                          <w:rPr>
                            <w:spacing w:val="-12"/>
                            <w:w w:val="90"/>
                            <w:sz w:val="19"/>
                          </w:rPr>
                          <w:t>1,360,627,983.5</w:t>
                        </w:r>
                      </w:p>
                      <w:p>
                        <w:pPr>
                          <w:pStyle w:val="TableParagraph"/>
                          <w:spacing w:line="205" w:lineRule="exact"/>
                          <w:ind w:left="257"/>
                          <w:rPr>
                            <w:sz w:val="19"/>
                          </w:rPr>
                        </w:pPr>
                        <w:r>
                          <w:rPr>
                            <w:w w:val="80"/>
                            <w:sz w:val="19"/>
                          </w:rPr>
                          <w:t>1,280,284,934.9</w:t>
                        </w:r>
                      </w:p>
                    </w:tc>
                    <w:tc>
                      <w:tcPr>
                        <w:tcW w:w="506" w:type="dxa"/>
                        <w:tcBorders>
                          <w:top w:val="nil"/>
                          <w:left w:val="single" w:sz="6" w:space="0" w:color="000000"/>
                          <w:bottom w:val="nil"/>
                          <w:right w:val="nil"/>
                        </w:tcBorders>
                      </w:tcPr>
                      <w:p>
                        <w:pPr>
                          <w:pStyle w:val="TableParagraph"/>
                          <w:spacing w:line="205" w:lineRule="exact" w:before="75"/>
                          <w:ind w:left="174"/>
                          <w:rPr>
                            <w:sz w:val="19"/>
                          </w:rPr>
                        </w:pPr>
                        <w:r>
                          <w:rPr>
                            <w:w w:val="95"/>
                            <w:sz w:val="19"/>
                          </w:rPr>
                          <w:t>30</w:t>
                        </w:r>
                      </w:p>
                      <w:p>
                        <w:pPr>
                          <w:pStyle w:val="TableParagraph"/>
                          <w:spacing w:line="196" w:lineRule="exact"/>
                          <w:ind w:left="174"/>
                          <w:rPr>
                            <w:sz w:val="19"/>
                          </w:rPr>
                        </w:pPr>
                        <w:r>
                          <w:rPr>
                            <w:w w:val="95"/>
                            <w:sz w:val="19"/>
                          </w:rPr>
                          <w:t>31</w:t>
                        </w:r>
                      </w:p>
                      <w:p>
                        <w:pPr>
                          <w:pStyle w:val="TableParagraph"/>
                          <w:spacing w:line="200" w:lineRule="exact"/>
                          <w:ind w:left="171"/>
                          <w:rPr>
                            <w:sz w:val="19"/>
                          </w:rPr>
                        </w:pPr>
                        <w:r>
                          <w:rPr>
                            <w:sz w:val="19"/>
                          </w:rPr>
                          <w:t>32</w:t>
                        </w:r>
                      </w:p>
                      <w:p>
                        <w:pPr>
                          <w:pStyle w:val="TableParagraph"/>
                          <w:spacing w:line="188" w:lineRule="exact"/>
                          <w:ind w:left="174"/>
                          <w:rPr>
                            <w:rFonts w:ascii="Times New Roman"/>
                            <w:sz w:val="17"/>
                          </w:rPr>
                        </w:pPr>
                        <w:r>
                          <w:rPr>
                            <w:rFonts w:ascii="Times New Roman"/>
                            <w:w w:val="105"/>
                            <w:sz w:val="17"/>
                          </w:rPr>
                          <w:t>33</w:t>
                        </w:r>
                      </w:p>
                      <w:p>
                        <w:pPr>
                          <w:pStyle w:val="TableParagraph"/>
                          <w:spacing w:before="3"/>
                          <w:ind w:left="174"/>
                          <w:rPr>
                            <w:sz w:val="19"/>
                          </w:rPr>
                        </w:pPr>
                        <w:r>
                          <w:rPr>
                            <w:w w:val="95"/>
                            <w:sz w:val="19"/>
                          </w:rPr>
                          <w:t>34</w:t>
                        </w:r>
                      </w:p>
                    </w:tc>
                  </w:tr>
                </w:tbl>
                <w:p>
                  <w:pPr>
                    <w:pStyle w:val="BodyText"/>
                  </w:pPr>
                </w:p>
              </w:txbxContent>
            </v:textbox>
            <w10:wrap type="none"/>
          </v:shape>
        </w:pict>
      </w:r>
      <w:r>
        <w:rPr>
          <w:sz w:val="18"/>
        </w:rPr>
        <w:t>Male Lives</w:t>
      </w:r>
    </w:p>
    <w:p>
      <w:pPr>
        <w:pStyle w:val="BodyText"/>
        <w:spacing w:before="5"/>
        <w:rPr>
          <w:sz w:val="19"/>
        </w:rPr>
      </w:pPr>
    </w:p>
    <w:p>
      <w:pPr>
        <w:spacing w:before="0"/>
        <w:ind w:left="0" w:right="117" w:firstLine="0"/>
        <w:jc w:val="right"/>
        <w:rPr>
          <w:sz w:val="32"/>
        </w:rPr>
      </w:pPr>
      <w:r>
        <w:rPr>
          <w:w w:val="286"/>
          <w:sz w:val="3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17"/>
        </w:rPr>
      </w:pPr>
      <w:r>
        <w:rPr/>
        <w:pict>
          <v:line style="position:absolute;mso-position-horizontal-relative:page;mso-position-vertical-relative:paragraph;z-index:26728;mso-wrap-distance-left:0;mso-wrap-distance-right:0" from="39.959999pt,12.663252pt" to="283.139999pt,12.663252pt" stroked="true" strokeweight=".9pt" strokecolor="#000000">
            <w10:wrap type="topAndBottom"/>
          </v:line>
        </w:pict>
      </w:r>
    </w:p>
    <w:p>
      <w:pPr>
        <w:spacing w:after="0"/>
        <w:rPr>
          <w:sz w:val="17"/>
        </w:rPr>
        <w:sectPr>
          <w:pgSz w:w="7200" w:h="11340"/>
          <w:pgMar w:top="500" w:bottom="280" w:left="680" w:right="500"/>
        </w:sectPr>
      </w:pPr>
    </w:p>
    <w:p>
      <w:pPr>
        <w:tabs>
          <w:tab w:pos="5886" w:val="right" w:leader="none"/>
        </w:tabs>
        <w:spacing w:before="64"/>
        <w:ind w:left="1938" w:right="0" w:firstLine="0"/>
        <w:jc w:val="left"/>
        <w:rPr>
          <w:rFonts w:ascii="Courier New"/>
          <w:sz w:val="23"/>
        </w:rPr>
      </w:pPr>
      <w:r>
        <w:rPr>
          <w:b/>
          <w:sz w:val="15"/>
        </w:rPr>
        <w:t>COMMUTATION </w:t>
      </w:r>
      <w:r>
        <w:rPr>
          <w:b/>
          <w:spacing w:val="34"/>
          <w:sz w:val="15"/>
        </w:rPr>
        <w:t> </w:t>
      </w:r>
      <w:r>
        <w:rPr>
          <w:b/>
          <w:sz w:val="15"/>
        </w:rPr>
        <w:t>COLUMNS</w:t>
      </w:r>
      <w:r>
        <w:rPr>
          <w:rFonts w:ascii="Courier New"/>
          <w:position w:val="2"/>
          <w:sz w:val="23"/>
        </w:rPr>
        <w:tab/>
      </w:r>
      <w:r>
        <w:rPr>
          <w:rFonts w:ascii="Courier New"/>
          <w:spacing w:val="-20"/>
          <w:position w:val="2"/>
          <w:sz w:val="23"/>
        </w:rPr>
        <w:t>337</w:t>
      </w:r>
    </w:p>
    <w:p>
      <w:pPr>
        <w:spacing w:line="225" w:lineRule="auto" w:before="174"/>
        <w:ind w:left="2289" w:right="2326" w:firstLine="0"/>
        <w:jc w:val="center"/>
        <w:rPr>
          <w:sz w:val="17"/>
        </w:rPr>
      </w:pPr>
      <w:r>
        <w:rPr>
          <w:w w:val="105"/>
          <w:sz w:val="17"/>
        </w:rPr>
        <w:t>1958 </w:t>
      </w:r>
      <w:r>
        <w:rPr>
          <w:w w:val="105"/>
          <w:sz w:val="25"/>
        </w:rPr>
        <w:t>eso </w:t>
      </w:r>
      <w:r>
        <w:rPr>
          <w:w w:val="105"/>
          <w:sz w:val="17"/>
        </w:rPr>
        <w:t>3% Ma.Ie Lives</w:t>
      </w:r>
    </w:p>
    <w:p>
      <w:pPr>
        <w:pStyle w:val="BodyText"/>
        <w:spacing w:before="5"/>
        <w:rPr>
          <w:sz w:val="5"/>
        </w:rPr>
      </w:pPr>
    </w:p>
    <w:tbl>
      <w:tblPr>
        <w:tblW w:w="0" w:type="auto"/>
        <w:jc w:val="left"/>
        <w:tblInd w:w="1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99"/>
        <w:gridCol w:w="1474"/>
        <w:gridCol w:w="1550"/>
        <w:gridCol w:w="1709"/>
        <w:gridCol w:w="500"/>
      </w:tblGrid>
      <w:tr>
        <w:trPr>
          <w:trHeight w:val="400" w:hRule="exact"/>
        </w:trPr>
        <w:tc>
          <w:tcPr>
            <w:tcW w:w="499" w:type="dxa"/>
            <w:tcBorders>
              <w:left w:val="nil"/>
              <w:bottom w:val="single" w:sz="4" w:space="0" w:color="000000"/>
            </w:tcBorders>
          </w:tcPr>
          <w:p>
            <w:pPr>
              <w:pStyle w:val="TableParagraph"/>
              <w:spacing w:before="153"/>
              <w:ind w:right="11"/>
              <w:jc w:val="center"/>
              <w:rPr>
                <w:rFonts w:ascii="Arial"/>
                <w:i/>
                <w:sz w:val="9"/>
              </w:rPr>
            </w:pPr>
            <w:r>
              <w:rPr>
                <w:rFonts w:ascii="Arial"/>
                <w:i/>
                <w:w w:val="87"/>
                <w:sz w:val="9"/>
              </w:rPr>
              <w:t>X</w:t>
            </w:r>
          </w:p>
        </w:tc>
        <w:tc>
          <w:tcPr>
            <w:tcW w:w="1474" w:type="dxa"/>
            <w:tcBorders>
              <w:bottom w:val="single" w:sz="4" w:space="0" w:color="000000"/>
            </w:tcBorders>
          </w:tcPr>
          <w:p>
            <w:pPr>
              <w:pStyle w:val="TableParagraph"/>
              <w:spacing w:before="4"/>
              <w:rPr>
                <w:rFonts w:ascii="Times New Roman"/>
                <w:sz w:val="10"/>
              </w:rPr>
            </w:pPr>
          </w:p>
          <w:p>
            <w:pPr>
              <w:pStyle w:val="TableParagraph"/>
              <w:spacing w:before="1"/>
              <w:ind w:left="629" w:right="631"/>
              <w:jc w:val="center"/>
              <w:rPr>
                <w:rFonts w:ascii="Times New Roman"/>
                <w:b/>
                <w:sz w:val="13"/>
              </w:rPr>
            </w:pPr>
            <w:r>
              <w:rPr>
                <w:rFonts w:ascii="Times New Roman"/>
                <w:b/>
                <w:w w:val="110"/>
                <w:sz w:val="13"/>
              </w:rPr>
              <w:t>Ds</w:t>
            </w:r>
          </w:p>
        </w:tc>
        <w:tc>
          <w:tcPr>
            <w:tcW w:w="1550" w:type="dxa"/>
            <w:tcBorders>
              <w:bottom w:val="single" w:sz="4" w:space="0" w:color="000000"/>
            </w:tcBorders>
          </w:tcPr>
          <w:p>
            <w:pPr>
              <w:pStyle w:val="TableParagraph"/>
              <w:spacing w:before="107"/>
              <w:ind w:left="50" w:right="52"/>
              <w:jc w:val="center"/>
              <w:rPr>
                <w:rFonts w:ascii="Times New Roman"/>
                <w:b/>
                <w:i/>
                <w:sz w:val="14"/>
              </w:rPr>
            </w:pPr>
            <w:r>
              <w:rPr>
                <w:rFonts w:ascii="Times New Roman"/>
                <w:b/>
                <w:i/>
                <w:w w:val="105"/>
                <w:sz w:val="14"/>
              </w:rPr>
              <w:t>Ns</w:t>
            </w:r>
          </w:p>
        </w:tc>
        <w:tc>
          <w:tcPr>
            <w:tcW w:w="1709" w:type="dxa"/>
            <w:tcBorders>
              <w:bottom w:val="single" w:sz="4" w:space="0" w:color="000000"/>
            </w:tcBorders>
          </w:tcPr>
          <w:p>
            <w:pPr>
              <w:pStyle w:val="TableParagraph"/>
              <w:spacing w:before="110"/>
              <w:ind w:left="51" w:right="61"/>
              <w:jc w:val="center"/>
              <w:rPr>
                <w:rFonts w:ascii="Times New Roman"/>
                <w:b/>
                <w:i/>
                <w:sz w:val="14"/>
              </w:rPr>
            </w:pPr>
            <w:r>
              <w:rPr>
                <w:rFonts w:ascii="Times New Roman"/>
                <w:b/>
                <w:i/>
                <w:w w:val="105"/>
                <w:sz w:val="14"/>
              </w:rPr>
              <w:t>Ss</w:t>
            </w:r>
          </w:p>
        </w:tc>
        <w:tc>
          <w:tcPr>
            <w:tcW w:w="500" w:type="dxa"/>
            <w:tcBorders>
              <w:bottom w:val="single" w:sz="1" w:space="0" w:color="000000"/>
              <w:right w:val="nil"/>
            </w:tcBorders>
          </w:tcPr>
          <w:p>
            <w:pPr>
              <w:pStyle w:val="TableParagraph"/>
              <w:spacing w:before="9"/>
              <w:rPr>
                <w:rFonts w:ascii="Times New Roman"/>
                <w:sz w:val="12"/>
              </w:rPr>
            </w:pPr>
          </w:p>
          <w:p>
            <w:pPr>
              <w:pStyle w:val="TableParagraph"/>
              <w:ind w:left="18"/>
              <w:jc w:val="center"/>
              <w:rPr>
                <w:rFonts w:ascii="Arial"/>
                <w:b/>
                <w:i/>
                <w:sz w:val="10"/>
              </w:rPr>
            </w:pPr>
            <w:r>
              <w:rPr>
                <w:rFonts w:ascii="Arial"/>
                <w:b/>
                <w:i/>
                <w:w w:val="77"/>
                <w:sz w:val="10"/>
              </w:rPr>
              <w:t>X</w:t>
            </w:r>
          </w:p>
        </w:tc>
      </w:tr>
      <w:tr>
        <w:trPr>
          <w:trHeight w:val="510" w:hRule="exact"/>
        </w:trPr>
        <w:tc>
          <w:tcPr>
            <w:tcW w:w="499" w:type="dxa"/>
            <w:tcBorders>
              <w:top w:val="single" w:sz="4" w:space="0" w:color="000000"/>
              <w:left w:val="nil"/>
              <w:bottom w:val="nil"/>
            </w:tcBorders>
          </w:tcPr>
          <w:p>
            <w:pPr>
              <w:pStyle w:val="TableParagraph"/>
              <w:spacing w:line="205" w:lineRule="exact" w:before="99"/>
              <w:ind w:left="158"/>
              <w:rPr>
                <w:sz w:val="19"/>
              </w:rPr>
            </w:pPr>
            <w:r>
              <w:rPr>
                <w:w w:val="90"/>
                <w:sz w:val="19"/>
              </w:rPr>
              <w:t>35</w:t>
            </w:r>
          </w:p>
          <w:p>
            <w:pPr>
              <w:pStyle w:val="TableParagraph"/>
              <w:spacing w:line="197" w:lineRule="exact"/>
              <w:ind w:left="158"/>
              <w:rPr>
                <w:rFonts w:ascii="Times New Roman"/>
                <w:sz w:val="18"/>
              </w:rPr>
            </w:pPr>
            <w:r>
              <w:rPr>
                <w:rFonts w:ascii="Times New Roman"/>
                <w:sz w:val="18"/>
              </w:rPr>
              <w:t>36</w:t>
            </w:r>
          </w:p>
        </w:tc>
        <w:tc>
          <w:tcPr>
            <w:tcW w:w="1474" w:type="dxa"/>
            <w:tcBorders>
              <w:top w:val="single" w:sz="4" w:space="0" w:color="000000"/>
              <w:bottom w:val="nil"/>
            </w:tcBorders>
          </w:tcPr>
          <w:p>
            <w:pPr>
              <w:pStyle w:val="TableParagraph"/>
              <w:spacing w:line="207" w:lineRule="exact" w:before="95"/>
              <w:ind w:left="322" w:right="-14"/>
              <w:rPr>
                <w:sz w:val="19"/>
              </w:rPr>
            </w:pPr>
            <w:r>
              <w:rPr>
                <w:w w:val="85"/>
                <w:sz w:val="19"/>
              </w:rPr>
              <w:t>3,331,295.4</w:t>
            </w:r>
          </w:p>
          <w:p>
            <w:pPr>
              <w:pStyle w:val="TableParagraph"/>
              <w:spacing w:line="207" w:lineRule="exact"/>
              <w:ind w:left="325" w:right="-14"/>
              <w:rPr>
                <w:sz w:val="19"/>
              </w:rPr>
            </w:pPr>
            <w:r>
              <w:rPr>
                <w:w w:val="90"/>
                <w:sz w:val="19"/>
              </w:rPr>
              <w:t>3,226,149.5</w:t>
            </w:r>
          </w:p>
        </w:tc>
        <w:tc>
          <w:tcPr>
            <w:tcW w:w="1550" w:type="dxa"/>
            <w:tcBorders>
              <w:top w:val="single" w:sz="4" w:space="0" w:color="000000"/>
              <w:bottom w:val="nil"/>
            </w:tcBorders>
          </w:tcPr>
          <w:p>
            <w:pPr>
              <w:pStyle w:val="TableParagraph"/>
              <w:spacing w:line="207" w:lineRule="exact" w:before="88"/>
              <w:ind w:left="327" w:right="-7"/>
              <w:rPr>
                <w:sz w:val="19"/>
              </w:rPr>
            </w:pPr>
            <w:r>
              <w:rPr>
                <w:spacing w:val="-10"/>
                <w:w w:val="90"/>
                <w:sz w:val="19"/>
              </w:rPr>
              <w:t>73,352,648.1</w:t>
            </w:r>
          </w:p>
          <w:p>
            <w:pPr>
              <w:pStyle w:val="TableParagraph"/>
              <w:spacing w:line="207" w:lineRule="exact"/>
              <w:ind w:left="331" w:right="-7"/>
              <w:rPr>
                <w:sz w:val="19"/>
              </w:rPr>
            </w:pPr>
            <w:r>
              <w:rPr>
                <w:spacing w:val="-16"/>
                <w:w w:val="95"/>
                <w:sz w:val="19"/>
              </w:rPr>
              <w:t>70,021,352.7</w:t>
            </w:r>
          </w:p>
        </w:tc>
        <w:tc>
          <w:tcPr>
            <w:tcW w:w="1709" w:type="dxa"/>
            <w:tcBorders>
              <w:top w:val="single" w:sz="4" w:space="0" w:color="000000"/>
              <w:bottom w:val="nil"/>
            </w:tcBorders>
          </w:tcPr>
          <w:p>
            <w:pPr>
              <w:pStyle w:val="TableParagraph"/>
              <w:spacing w:line="205" w:lineRule="exact" w:before="92"/>
              <w:ind w:left="264" w:right="-1"/>
              <w:rPr>
                <w:sz w:val="19"/>
              </w:rPr>
            </w:pPr>
            <w:r>
              <w:rPr>
                <w:spacing w:val="-17"/>
                <w:w w:val="90"/>
                <w:sz w:val="19"/>
              </w:rPr>
              <w:t>1,203,492,797.9</w:t>
            </w:r>
          </w:p>
          <w:p>
            <w:pPr>
              <w:pStyle w:val="TableParagraph"/>
              <w:spacing w:line="205" w:lineRule="exact"/>
              <w:ind w:left="264" w:right="-1"/>
              <w:rPr>
                <w:sz w:val="19"/>
              </w:rPr>
            </w:pPr>
            <w:r>
              <w:rPr>
                <w:w w:val="80"/>
                <w:sz w:val="19"/>
              </w:rPr>
              <w:t>1,130,140,149.8</w:t>
            </w:r>
          </w:p>
        </w:tc>
        <w:tc>
          <w:tcPr>
            <w:tcW w:w="500" w:type="dxa"/>
            <w:tcBorders>
              <w:top w:val="single" w:sz="1" w:space="0" w:color="000000"/>
              <w:bottom w:val="nil"/>
              <w:right w:val="nil"/>
            </w:tcBorders>
          </w:tcPr>
          <w:p>
            <w:pPr>
              <w:pStyle w:val="TableParagraph"/>
              <w:spacing w:line="203" w:lineRule="exact" w:before="110"/>
              <w:ind w:left="168"/>
              <w:rPr>
                <w:sz w:val="19"/>
              </w:rPr>
            </w:pPr>
            <w:r>
              <w:rPr>
                <w:sz w:val="19"/>
              </w:rPr>
              <w:t>35</w:t>
            </w:r>
          </w:p>
          <w:p>
            <w:pPr>
              <w:pStyle w:val="TableParagraph"/>
              <w:spacing w:line="195" w:lineRule="exact"/>
              <w:ind w:left="168"/>
              <w:rPr>
                <w:rFonts w:ascii="Times New Roman"/>
                <w:sz w:val="18"/>
              </w:rPr>
            </w:pPr>
            <w:r>
              <w:rPr>
                <w:rFonts w:ascii="Times New Roman"/>
                <w:sz w:val="18"/>
              </w:rPr>
              <w:t>36</w:t>
            </w:r>
          </w:p>
        </w:tc>
      </w:tr>
      <w:tr>
        <w:trPr>
          <w:trHeight w:val="400" w:hRule="exact"/>
        </w:trPr>
        <w:tc>
          <w:tcPr>
            <w:tcW w:w="499" w:type="dxa"/>
            <w:tcBorders>
              <w:top w:val="nil"/>
              <w:left w:val="nil"/>
              <w:bottom w:val="nil"/>
            </w:tcBorders>
          </w:tcPr>
          <w:p>
            <w:pPr>
              <w:pStyle w:val="TableParagraph"/>
              <w:spacing w:line="207" w:lineRule="exact"/>
              <w:ind w:left="158"/>
              <w:rPr>
                <w:sz w:val="19"/>
              </w:rPr>
            </w:pPr>
            <w:r>
              <w:rPr>
                <w:sz w:val="19"/>
              </w:rPr>
              <w:t>37</w:t>
            </w:r>
          </w:p>
          <w:p>
            <w:pPr>
              <w:pStyle w:val="TableParagraph"/>
              <w:spacing w:line="182" w:lineRule="exact"/>
              <w:ind w:left="158"/>
              <w:rPr>
                <w:rFonts w:ascii="Times New Roman"/>
                <w:sz w:val="16"/>
              </w:rPr>
            </w:pPr>
            <w:r>
              <w:rPr>
                <w:rFonts w:ascii="Times New Roman"/>
                <w:w w:val="110"/>
                <w:sz w:val="16"/>
              </w:rPr>
              <w:t>38</w:t>
            </w:r>
          </w:p>
        </w:tc>
        <w:tc>
          <w:tcPr>
            <w:tcW w:w="1474" w:type="dxa"/>
            <w:tcBorders>
              <w:top w:val="nil"/>
              <w:bottom w:val="nil"/>
            </w:tcBorders>
          </w:tcPr>
          <w:p>
            <w:pPr>
              <w:pStyle w:val="TableParagraph"/>
              <w:spacing w:line="197" w:lineRule="exact"/>
              <w:ind w:left="325" w:right="-14"/>
              <w:rPr>
                <w:sz w:val="19"/>
              </w:rPr>
            </w:pPr>
            <w:r>
              <w:rPr>
                <w:w w:val="90"/>
                <w:sz w:val="19"/>
              </w:rPr>
              <w:t>3,123,914.9</w:t>
            </w:r>
          </w:p>
          <w:p>
            <w:pPr>
              <w:pStyle w:val="TableParagraph"/>
              <w:spacing w:line="207" w:lineRule="exact"/>
              <w:ind w:left="325" w:right="-14"/>
              <w:rPr>
                <w:sz w:val="19"/>
              </w:rPr>
            </w:pPr>
            <w:r>
              <w:rPr>
                <w:spacing w:val="-12"/>
                <w:w w:val="95"/>
                <w:sz w:val="19"/>
              </w:rPr>
              <w:t>3,024,434.7</w:t>
            </w:r>
          </w:p>
        </w:tc>
        <w:tc>
          <w:tcPr>
            <w:tcW w:w="1550" w:type="dxa"/>
            <w:tcBorders>
              <w:top w:val="nil"/>
              <w:bottom w:val="nil"/>
            </w:tcBorders>
          </w:tcPr>
          <w:p>
            <w:pPr>
              <w:pStyle w:val="TableParagraph"/>
              <w:spacing w:line="194" w:lineRule="exact"/>
              <w:ind w:left="327" w:right="-7"/>
              <w:rPr>
                <w:sz w:val="19"/>
              </w:rPr>
            </w:pPr>
            <w:r>
              <w:rPr>
                <w:w w:val="85"/>
                <w:sz w:val="19"/>
              </w:rPr>
              <w:t>66,795,203.2</w:t>
            </w:r>
          </w:p>
          <w:p>
            <w:pPr>
              <w:pStyle w:val="TableParagraph"/>
              <w:spacing w:line="210" w:lineRule="exact"/>
              <w:ind w:left="327" w:right="-7"/>
              <w:rPr>
                <w:sz w:val="19"/>
              </w:rPr>
            </w:pPr>
            <w:r>
              <w:rPr>
                <w:w w:val="80"/>
                <w:sz w:val="19"/>
              </w:rPr>
              <w:t>63,671,288.3</w:t>
            </w:r>
          </w:p>
        </w:tc>
        <w:tc>
          <w:tcPr>
            <w:tcW w:w="1709" w:type="dxa"/>
            <w:tcBorders>
              <w:top w:val="nil"/>
              <w:bottom w:val="nil"/>
            </w:tcBorders>
          </w:tcPr>
          <w:p>
            <w:pPr>
              <w:pStyle w:val="TableParagraph"/>
              <w:spacing w:line="188" w:lineRule="exact"/>
              <w:ind w:left="105" w:right="61"/>
              <w:jc w:val="center"/>
              <w:rPr>
                <w:sz w:val="19"/>
              </w:rPr>
            </w:pPr>
            <w:r>
              <w:rPr>
                <w:w w:val="75"/>
                <w:sz w:val="19"/>
              </w:rPr>
              <w:t>1,060,118</w:t>
            </w:r>
            <w:r>
              <w:rPr>
                <w:spacing w:val="-55"/>
                <w:w w:val="75"/>
                <w:sz w:val="19"/>
              </w:rPr>
              <w:t> </w:t>
            </w:r>
            <w:r>
              <w:rPr>
                <w:spacing w:val="-19"/>
                <w:w w:val="75"/>
                <w:sz w:val="19"/>
              </w:rPr>
              <w:t>,797.1</w:t>
            </w:r>
          </w:p>
          <w:p>
            <w:pPr>
              <w:pStyle w:val="TableParagraph"/>
              <w:spacing w:line="205" w:lineRule="exact"/>
              <w:ind w:left="249" w:right="51"/>
              <w:jc w:val="center"/>
              <w:rPr>
                <w:sz w:val="19"/>
              </w:rPr>
            </w:pPr>
            <w:r>
              <w:rPr>
                <w:w w:val="90"/>
                <w:sz w:val="19"/>
              </w:rPr>
              <w:t>993,323,593.9</w:t>
            </w:r>
          </w:p>
        </w:tc>
        <w:tc>
          <w:tcPr>
            <w:tcW w:w="500" w:type="dxa"/>
            <w:tcBorders>
              <w:top w:val="nil"/>
              <w:bottom w:val="nil"/>
              <w:right w:val="nil"/>
            </w:tcBorders>
          </w:tcPr>
          <w:p>
            <w:pPr>
              <w:pStyle w:val="TableParagraph"/>
              <w:spacing w:line="203" w:lineRule="exact"/>
              <w:ind w:left="171"/>
              <w:rPr>
                <w:sz w:val="19"/>
              </w:rPr>
            </w:pPr>
            <w:r>
              <w:rPr>
                <w:sz w:val="19"/>
              </w:rPr>
              <w:t>37</w:t>
            </w:r>
          </w:p>
          <w:p>
            <w:pPr>
              <w:pStyle w:val="TableParagraph"/>
              <w:spacing w:line="205" w:lineRule="exact"/>
              <w:ind w:left="171"/>
              <w:rPr>
                <w:sz w:val="19"/>
              </w:rPr>
            </w:pPr>
            <w:r>
              <w:rPr>
                <w:sz w:val="19"/>
              </w:rPr>
              <w:t>38</w:t>
            </w:r>
          </w:p>
        </w:tc>
      </w:tr>
      <w:tr>
        <w:trPr>
          <w:trHeight w:val="302" w:hRule="exact"/>
        </w:trPr>
        <w:tc>
          <w:tcPr>
            <w:tcW w:w="499" w:type="dxa"/>
            <w:tcBorders>
              <w:top w:val="nil"/>
              <w:left w:val="nil"/>
              <w:bottom w:val="nil"/>
            </w:tcBorders>
          </w:tcPr>
          <w:p>
            <w:pPr>
              <w:pStyle w:val="TableParagraph"/>
              <w:spacing w:line="213" w:lineRule="exact"/>
              <w:ind w:left="104" w:right="76"/>
              <w:jc w:val="center"/>
              <w:rPr>
                <w:sz w:val="19"/>
              </w:rPr>
            </w:pPr>
            <w:r>
              <w:rPr>
                <w:sz w:val="19"/>
              </w:rPr>
              <w:t>39</w:t>
            </w:r>
          </w:p>
        </w:tc>
        <w:tc>
          <w:tcPr>
            <w:tcW w:w="1474" w:type="dxa"/>
            <w:tcBorders>
              <w:top w:val="nil"/>
              <w:bottom w:val="nil"/>
            </w:tcBorders>
          </w:tcPr>
          <w:p>
            <w:pPr>
              <w:pStyle w:val="TableParagraph"/>
              <w:spacing w:line="206" w:lineRule="exact"/>
              <w:ind w:right="210"/>
              <w:jc w:val="right"/>
              <w:rPr>
                <w:sz w:val="19"/>
              </w:rPr>
            </w:pPr>
            <w:r>
              <w:rPr>
                <w:w w:val="80"/>
                <w:sz w:val="19"/>
              </w:rPr>
              <w:t>2,927,506.2</w:t>
            </w:r>
          </w:p>
        </w:tc>
        <w:tc>
          <w:tcPr>
            <w:tcW w:w="1550" w:type="dxa"/>
            <w:tcBorders>
              <w:top w:val="nil"/>
              <w:bottom w:val="nil"/>
            </w:tcBorders>
          </w:tcPr>
          <w:p>
            <w:pPr>
              <w:pStyle w:val="TableParagraph"/>
              <w:spacing w:line="206" w:lineRule="exact"/>
              <w:ind w:right="205"/>
              <w:jc w:val="right"/>
              <w:rPr>
                <w:sz w:val="19"/>
              </w:rPr>
            </w:pPr>
            <w:r>
              <w:rPr>
                <w:w w:val="75"/>
                <w:sz w:val="19"/>
              </w:rPr>
              <w:t>60,646,853.6</w:t>
            </w:r>
          </w:p>
        </w:tc>
        <w:tc>
          <w:tcPr>
            <w:tcW w:w="1709" w:type="dxa"/>
            <w:tcBorders>
              <w:top w:val="nil"/>
              <w:bottom w:val="nil"/>
            </w:tcBorders>
          </w:tcPr>
          <w:p>
            <w:pPr>
              <w:pStyle w:val="TableParagraph"/>
              <w:spacing w:line="195" w:lineRule="exact"/>
              <w:ind w:right="209"/>
              <w:jc w:val="right"/>
              <w:rPr>
                <w:sz w:val="19"/>
              </w:rPr>
            </w:pPr>
            <w:r>
              <w:rPr>
                <w:w w:val="90"/>
                <w:sz w:val="19"/>
              </w:rPr>
              <w:t>929,652,305.6</w:t>
            </w:r>
          </w:p>
        </w:tc>
        <w:tc>
          <w:tcPr>
            <w:tcW w:w="500" w:type="dxa"/>
            <w:tcBorders>
              <w:top w:val="nil"/>
              <w:bottom w:val="nil"/>
              <w:right w:val="nil"/>
            </w:tcBorders>
          </w:tcPr>
          <w:p>
            <w:pPr>
              <w:pStyle w:val="TableParagraph"/>
              <w:spacing w:line="184" w:lineRule="exact"/>
              <w:ind w:left="101" w:right="74"/>
              <w:jc w:val="center"/>
              <w:rPr>
                <w:rFonts w:ascii="Times New Roman"/>
                <w:sz w:val="16"/>
              </w:rPr>
            </w:pPr>
            <w:r>
              <w:rPr>
                <w:rFonts w:ascii="Times New Roman"/>
                <w:w w:val="120"/>
                <w:sz w:val="16"/>
              </w:rPr>
              <w:t>39</w:t>
            </w:r>
          </w:p>
        </w:tc>
      </w:tr>
      <w:tr>
        <w:trPr>
          <w:trHeight w:val="500" w:hRule="exact"/>
        </w:trPr>
        <w:tc>
          <w:tcPr>
            <w:tcW w:w="499" w:type="dxa"/>
            <w:tcBorders>
              <w:top w:val="nil"/>
              <w:left w:val="nil"/>
              <w:bottom w:val="nil"/>
            </w:tcBorders>
          </w:tcPr>
          <w:p>
            <w:pPr>
              <w:pStyle w:val="TableParagraph"/>
              <w:spacing w:line="207" w:lineRule="exact" w:before="95"/>
              <w:ind w:left="158"/>
              <w:rPr>
                <w:sz w:val="19"/>
              </w:rPr>
            </w:pPr>
            <w:r>
              <w:rPr>
                <w:w w:val="95"/>
                <w:sz w:val="19"/>
              </w:rPr>
              <w:t>40</w:t>
            </w:r>
          </w:p>
          <w:p>
            <w:pPr>
              <w:pStyle w:val="TableParagraph"/>
              <w:spacing w:line="207" w:lineRule="exact"/>
              <w:ind w:left="158"/>
              <w:rPr>
                <w:sz w:val="19"/>
              </w:rPr>
            </w:pPr>
            <w:r>
              <w:rPr>
                <w:sz w:val="19"/>
              </w:rPr>
              <w:t>41</w:t>
            </w:r>
          </w:p>
        </w:tc>
        <w:tc>
          <w:tcPr>
            <w:tcW w:w="1474" w:type="dxa"/>
            <w:tcBorders>
              <w:top w:val="nil"/>
              <w:bottom w:val="nil"/>
            </w:tcBorders>
          </w:tcPr>
          <w:p>
            <w:pPr>
              <w:pStyle w:val="TableParagraph"/>
              <w:spacing w:line="208" w:lineRule="exact" w:before="91"/>
              <w:ind w:left="333" w:right="-14"/>
              <w:rPr>
                <w:sz w:val="19"/>
              </w:rPr>
            </w:pPr>
            <w:r>
              <w:rPr>
                <w:spacing w:val="-10"/>
                <w:w w:val="90"/>
                <w:sz w:val="19"/>
              </w:rPr>
              <w:t>2,833,001.8</w:t>
            </w:r>
          </w:p>
          <w:p>
            <w:pPr>
              <w:pStyle w:val="TableParagraph"/>
              <w:spacing w:line="208" w:lineRule="exact"/>
              <w:ind w:left="333" w:right="-14"/>
              <w:rPr>
                <w:sz w:val="19"/>
              </w:rPr>
            </w:pPr>
            <w:r>
              <w:rPr>
                <w:spacing w:val="-18"/>
                <w:sz w:val="19"/>
              </w:rPr>
              <w:t>2,740,778.0</w:t>
            </w:r>
          </w:p>
        </w:tc>
        <w:tc>
          <w:tcPr>
            <w:tcW w:w="1550" w:type="dxa"/>
            <w:tcBorders>
              <w:top w:val="nil"/>
              <w:bottom w:val="nil"/>
            </w:tcBorders>
          </w:tcPr>
          <w:p>
            <w:pPr>
              <w:pStyle w:val="TableParagraph"/>
              <w:spacing w:line="208" w:lineRule="exact" w:before="88"/>
              <w:ind w:left="331" w:right="-7"/>
              <w:rPr>
                <w:sz w:val="19"/>
              </w:rPr>
            </w:pPr>
            <w:r>
              <w:rPr>
                <w:w w:val="85"/>
                <w:sz w:val="19"/>
              </w:rPr>
              <w:t>57,719,347.4</w:t>
            </w:r>
          </w:p>
          <w:p>
            <w:pPr>
              <w:pStyle w:val="TableParagraph"/>
              <w:spacing w:line="208" w:lineRule="exact"/>
              <w:ind w:left="331" w:right="-7"/>
              <w:rPr>
                <w:sz w:val="19"/>
              </w:rPr>
            </w:pPr>
            <w:r>
              <w:rPr>
                <w:w w:val="80"/>
                <w:sz w:val="19"/>
              </w:rPr>
              <w:t>54,886,345.6</w:t>
            </w:r>
          </w:p>
        </w:tc>
        <w:tc>
          <w:tcPr>
            <w:tcW w:w="1709" w:type="dxa"/>
            <w:tcBorders>
              <w:top w:val="nil"/>
              <w:bottom w:val="nil"/>
            </w:tcBorders>
          </w:tcPr>
          <w:p>
            <w:pPr>
              <w:pStyle w:val="TableParagraph"/>
              <w:spacing w:line="208" w:lineRule="exact" w:before="77"/>
              <w:ind w:left="415" w:right="-1"/>
              <w:rPr>
                <w:sz w:val="19"/>
              </w:rPr>
            </w:pPr>
            <w:r>
              <w:rPr>
                <w:spacing w:val="-18"/>
                <w:w w:val="95"/>
                <w:sz w:val="19"/>
              </w:rPr>
              <w:t>869,005,452.0</w:t>
            </w:r>
          </w:p>
          <w:p>
            <w:pPr>
              <w:pStyle w:val="TableParagraph"/>
              <w:spacing w:line="208" w:lineRule="exact"/>
              <w:ind w:left="415" w:right="-1"/>
              <w:rPr>
                <w:sz w:val="19"/>
              </w:rPr>
            </w:pPr>
            <w:r>
              <w:rPr>
                <w:w w:val="75"/>
                <w:sz w:val="19"/>
              </w:rPr>
              <w:t>811,286,104 .6</w:t>
            </w:r>
          </w:p>
        </w:tc>
        <w:tc>
          <w:tcPr>
            <w:tcW w:w="500" w:type="dxa"/>
            <w:tcBorders>
              <w:top w:val="nil"/>
              <w:bottom w:val="nil"/>
              <w:right w:val="nil"/>
            </w:tcBorders>
          </w:tcPr>
          <w:p>
            <w:pPr>
              <w:pStyle w:val="TableParagraph"/>
              <w:spacing w:line="205" w:lineRule="exact" w:before="84"/>
              <w:ind w:left="179"/>
              <w:rPr>
                <w:sz w:val="19"/>
              </w:rPr>
            </w:pPr>
            <w:r>
              <w:rPr>
                <w:w w:val="95"/>
                <w:sz w:val="19"/>
              </w:rPr>
              <w:t>40</w:t>
            </w:r>
          </w:p>
          <w:p>
            <w:pPr>
              <w:pStyle w:val="TableParagraph"/>
              <w:spacing w:line="205" w:lineRule="exact"/>
              <w:ind w:left="175"/>
              <w:rPr>
                <w:sz w:val="19"/>
              </w:rPr>
            </w:pPr>
            <w:r>
              <w:rPr>
                <w:w w:val="95"/>
                <w:sz w:val="19"/>
              </w:rPr>
              <w:t>41</w:t>
            </w:r>
          </w:p>
        </w:tc>
      </w:tr>
      <w:tr>
        <w:trPr>
          <w:trHeight w:val="202" w:hRule="exact"/>
        </w:trPr>
        <w:tc>
          <w:tcPr>
            <w:tcW w:w="499" w:type="dxa"/>
            <w:tcBorders>
              <w:top w:val="nil"/>
              <w:left w:val="nil"/>
              <w:bottom w:val="nil"/>
            </w:tcBorders>
          </w:tcPr>
          <w:p>
            <w:pPr>
              <w:pStyle w:val="TableParagraph"/>
              <w:spacing w:line="206" w:lineRule="exact"/>
              <w:ind w:left="94" w:right="76"/>
              <w:jc w:val="center"/>
              <w:rPr>
                <w:sz w:val="19"/>
              </w:rPr>
            </w:pPr>
            <w:r>
              <w:rPr>
                <w:sz w:val="19"/>
              </w:rPr>
              <w:t>42</w:t>
            </w:r>
          </w:p>
        </w:tc>
        <w:tc>
          <w:tcPr>
            <w:tcW w:w="1474" w:type="dxa"/>
            <w:tcBorders>
              <w:top w:val="nil"/>
              <w:bottom w:val="nil"/>
            </w:tcBorders>
          </w:tcPr>
          <w:p>
            <w:pPr>
              <w:pStyle w:val="TableParagraph"/>
              <w:spacing w:line="210" w:lineRule="exact"/>
              <w:ind w:right="223"/>
              <w:jc w:val="right"/>
              <w:rPr>
                <w:sz w:val="19"/>
              </w:rPr>
            </w:pPr>
            <w:r>
              <w:rPr>
                <w:w w:val="80"/>
                <w:sz w:val="19"/>
              </w:rPr>
              <w:t>2,650,731.3</w:t>
            </w:r>
          </w:p>
        </w:tc>
        <w:tc>
          <w:tcPr>
            <w:tcW w:w="1550" w:type="dxa"/>
            <w:tcBorders>
              <w:top w:val="nil"/>
              <w:bottom w:val="nil"/>
            </w:tcBorders>
          </w:tcPr>
          <w:p>
            <w:pPr>
              <w:pStyle w:val="TableParagraph"/>
              <w:spacing w:line="202" w:lineRule="exact"/>
              <w:ind w:right="213"/>
              <w:jc w:val="right"/>
              <w:rPr>
                <w:sz w:val="19"/>
              </w:rPr>
            </w:pPr>
            <w:r>
              <w:rPr>
                <w:w w:val="80"/>
                <w:sz w:val="19"/>
              </w:rPr>
              <w:t>52,145,567.6</w:t>
            </w:r>
          </w:p>
        </w:tc>
        <w:tc>
          <w:tcPr>
            <w:tcW w:w="1709" w:type="dxa"/>
            <w:tcBorders>
              <w:top w:val="nil"/>
              <w:bottom w:val="nil"/>
            </w:tcBorders>
          </w:tcPr>
          <w:p>
            <w:pPr>
              <w:pStyle w:val="TableParagraph"/>
              <w:spacing w:line="195" w:lineRule="exact"/>
              <w:ind w:right="192"/>
              <w:jc w:val="right"/>
              <w:rPr>
                <w:sz w:val="19"/>
              </w:rPr>
            </w:pPr>
            <w:r>
              <w:rPr>
                <w:w w:val="85"/>
                <w:sz w:val="19"/>
              </w:rPr>
              <w:t>756,399,759.0</w:t>
            </w:r>
          </w:p>
        </w:tc>
        <w:tc>
          <w:tcPr>
            <w:tcW w:w="500" w:type="dxa"/>
            <w:tcBorders>
              <w:top w:val="nil"/>
              <w:bottom w:val="nil"/>
              <w:right w:val="nil"/>
            </w:tcBorders>
          </w:tcPr>
          <w:p>
            <w:pPr>
              <w:pStyle w:val="TableParagraph"/>
              <w:spacing w:line="195" w:lineRule="exact"/>
              <w:ind w:left="136" w:right="73"/>
              <w:jc w:val="center"/>
              <w:rPr>
                <w:sz w:val="19"/>
              </w:rPr>
            </w:pPr>
            <w:r>
              <w:rPr>
                <w:w w:val="105"/>
                <w:sz w:val="19"/>
              </w:rPr>
              <w:t>42</w:t>
            </w:r>
          </w:p>
        </w:tc>
      </w:tr>
      <w:tr>
        <w:trPr>
          <w:trHeight w:val="202" w:hRule="exact"/>
        </w:trPr>
        <w:tc>
          <w:tcPr>
            <w:tcW w:w="499" w:type="dxa"/>
            <w:tcBorders>
              <w:top w:val="nil"/>
              <w:left w:val="nil"/>
              <w:bottom w:val="nil"/>
            </w:tcBorders>
          </w:tcPr>
          <w:p>
            <w:pPr>
              <w:pStyle w:val="TableParagraph"/>
              <w:spacing w:line="210" w:lineRule="exact"/>
              <w:ind w:left="89" w:right="76"/>
              <w:jc w:val="center"/>
              <w:rPr>
                <w:sz w:val="19"/>
              </w:rPr>
            </w:pPr>
            <w:r>
              <w:rPr>
                <w:sz w:val="19"/>
              </w:rPr>
              <w:t>43</w:t>
            </w:r>
          </w:p>
        </w:tc>
        <w:tc>
          <w:tcPr>
            <w:tcW w:w="1474" w:type="dxa"/>
            <w:tcBorders>
              <w:top w:val="nil"/>
              <w:bottom w:val="nil"/>
            </w:tcBorders>
          </w:tcPr>
          <w:p>
            <w:pPr>
              <w:pStyle w:val="TableParagraph"/>
              <w:spacing w:line="210" w:lineRule="exact"/>
              <w:ind w:right="206"/>
              <w:jc w:val="right"/>
              <w:rPr>
                <w:sz w:val="19"/>
              </w:rPr>
            </w:pPr>
            <w:r>
              <w:rPr>
                <w:w w:val="80"/>
                <w:sz w:val="19"/>
              </w:rPr>
              <w:t>2,562,794.0</w:t>
            </w:r>
          </w:p>
        </w:tc>
        <w:tc>
          <w:tcPr>
            <w:tcW w:w="1550" w:type="dxa"/>
            <w:tcBorders>
              <w:top w:val="nil"/>
              <w:bottom w:val="nil"/>
            </w:tcBorders>
          </w:tcPr>
          <w:p>
            <w:pPr>
              <w:pStyle w:val="TableParagraph"/>
              <w:spacing w:line="199" w:lineRule="exact"/>
              <w:ind w:right="249"/>
              <w:jc w:val="right"/>
              <w:rPr>
                <w:b/>
                <w:sz w:val="18"/>
              </w:rPr>
            </w:pPr>
            <w:r>
              <w:rPr>
                <w:b/>
                <w:w w:val="75"/>
                <w:sz w:val="18"/>
              </w:rPr>
              <w:t>49,494,836.3</w:t>
            </w:r>
          </w:p>
        </w:tc>
        <w:tc>
          <w:tcPr>
            <w:tcW w:w="1709" w:type="dxa"/>
            <w:tcBorders>
              <w:top w:val="nil"/>
              <w:bottom w:val="nil"/>
            </w:tcBorders>
          </w:tcPr>
          <w:p>
            <w:pPr>
              <w:pStyle w:val="TableParagraph"/>
              <w:spacing w:line="195" w:lineRule="exact"/>
              <w:ind w:right="227"/>
              <w:jc w:val="right"/>
              <w:rPr>
                <w:sz w:val="19"/>
              </w:rPr>
            </w:pPr>
            <w:r>
              <w:rPr>
                <w:w w:val="70"/>
                <w:sz w:val="19"/>
              </w:rPr>
              <w:t>704,254,191.4</w:t>
            </w:r>
          </w:p>
        </w:tc>
        <w:tc>
          <w:tcPr>
            <w:tcW w:w="500" w:type="dxa"/>
            <w:tcBorders>
              <w:top w:val="nil"/>
              <w:bottom w:val="nil"/>
              <w:right w:val="nil"/>
            </w:tcBorders>
          </w:tcPr>
          <w:p>
            <w:pPr>
              <w:pStyle w:val="TableParagraph"/>
              <w:spacing w:line="195" w:lineRule="exact"/>
              <w:ind w:left="124" w:right="74"/>
              <w:jc w:val="center"/>
              <w:rPr>
                <w:sz w:val="19"/>
              </w:rPr>
            </w:pPr>
            <w:r>
              <w:rPr>
                <w:sz w:val="19"/>
              </w:rPr>
              <w:t>43</w:t>
            </w:r>
          </w:p>
        </w:tc>
      </w:tr>
      <w:tr>
        <w:trPr>
          <w:trHeight w:val="301" w:hRule="exact"/>
        </w:trPr>
        <w:tc>
          <w:tcPr>
            <w:tcW w:w="499" w:type="dxa"/>
            <w:tcBorders>
              <w:top w:val="nil"/>
              <w:left w:val="nil"/>
              <w:bottom w:val="nil"/>
            </w:tcBorders>
          </w:tcPr>
          <w:p>
            <w:pPr>
              <w:pStyle w:val="TableParagraph"/>
              <w:spacing w:line="210" w:lineRule="exact"/>
              <w:ind w:left="83" w:right="76"/>
              <w:jc w:val="center"/>
              <w:rPr>
                <w:sz w:val="19"/>
              </w:rPr>
            </w:pPr>
            <w:r>
              <w:rPr>
                <w:w w:val="90"/>
                <w:sz w:val="19"/>
              </w:rPr>
              <w:t>44</w:t>
            </w:r>
          </w:p>
        </w:tc>
        <w:tc>
          <w:tcPr>
            <w:tcW w:w="1474" w:type="dxa"/>
            <w:tcBorders>
              <w:top w:val="nil"/>
              <w:bottom w:val="nil"/>
            </w:tcBorders>
          </w:tcPr>
          <w:p>
            <w:pPr>
              <w:pStyle w:val="TableParagraph"/>
              <w:spacing w:line="206" w:lineRule="exact"/>
              <w:ind w:right="214"/>
              <w:jc w:val="right"/>
              <w:rPr>
                <w:sz w:val="19"/>
              </w:rPr>
            </w:pPr>
            <w:r>
              <w:rPr>
                <w:w w:val="90"/>
                <w:sz w:val="19"/>
              </w:rPr>
              <w:t>2,476,878.2</w:t>
            </w:r>
          </w:p>
        </w:tc>
        <w:tc>
          <w:tcPr>
            <w:tcW w:w="1550" w:type="dxa"/>
            <w:tcBorders>
              <w:top w:val="nil"/>
              <w:bottom w:val="nil"/>
            </w:tcBorders>
          </w:tcPr>
          <w:p>
            <w:pPr>
              <w:pStyle w:val="TableParagraph"/>
              <w:spacing w:line="202" w:lineRule="exact"/>
              <w:ind w:right="220"/>
              <w:jc w:val="right"/>
              <w:rPr>
                <w:sz w:val="19"/>
              </w:rPr>
            </w:pPr>
            <w:r>
              <w:rPr>
                <w:w w:val="75"/>
                <w:sz w:val="19"/>
              </w:rPr>
              <w:t>46,932,042.3</w:t>
            </w:r>
          </w:p>
        </w:tc>
        <w:tc>
          <w:tcPr>
            <w:tcW w:w="1709" w:type="dxa"/>
            <w:tcBorders>
              <w:top w:val="nil"/>
              <w:bottom w:val="nil"/>
            </w:tcBorders>
          </w:tcPr>
          <w:p>
            <w:pPr>
              <w:pStyle w:val="TableParagraph"/>
              <w:spacing w:line="195" w:lineRule="exact"/>
              <w:ind w:right="218"/>
              <w:jc w:val="right"/>
              <w:rPr>
                <w:sz w:val="19"/>
              </w:rPr>
            </w:pPr>
            <w:r>
              <w:rPr>
                <w:w w:val="75"/>
                <w:sz w:val="19"/>
              </w:rPr>
              <w:t>654,759,355.1</w:t>
            </w:r>
          </w:p>
        </w:tc>
        <w:tc>
          <w:tcPr>
            <w:tcW w:w="500" w:type="dxa"/>
            <w:tcBorders>
              <w:top w:val="nil"/>
              <w:bottom w:val="nil"/>
              <w:right w:val="nil"/>
            </w:tcBorders>
          </w:tcPr>
          <w:p>
            <w:pPr>
              <w:pStyle w:val="TableParagraph"/>
              <w:spacing w:line="199" w:lineRule="exact"/>
              <w:ind w:left="121" w:right="74"/>
              <w:jc w:val="center"/>
              <w:rPr>
                <w:sz w:val="19"/>
              </w:rPr>
            </w:pPr>
            <w:r>
              <w:rPr>
                <w:w w:val="95"/>
                <w:sz w:val="19"/>
              </w:rPr>
              <w:t>44</w:t>
            </w:r>
          </w:p>
        </w:tc>
      </w:tr>
      <w:tr>
        <w:trPr>
          <w:trHeight w:val="704" w:hRule="exact"/>
        </w:trPr>
        <w:tc>
          <w:tcPr>
            <w:tcW w:w="499" w:type="dxa"/>
            <w:tcBorders>
              <w:top w:val="nil"/>
              <w:left w:val="nil"/>
              <w:bottom w:val="nil"/>
            </w:tcBorders>
          </w:tcPr>
          <w:p>
            <w:pPr>
              <w:pStyle w:val="TableParagraph"/>
              <w:spacing w:line="208" w:lineRule="exact" w:before="93"/>
              <w:ind w:left="158"/>
              <w:rPr>
                <w:sz w:val="19"/>
              </w:rPr>
            </w:pPr>
            <w:r>
              <w:rPr>
                <w:sz w:val="19"/>
              </w:rPr>
              <w:t>45</w:t>
            </w:r>
          </w:p>
          <w:p>
            <w:pPr>
              <w:pStyle w:val="TableParagraph"/>
              <w:spacing w:line="200" w:lineRule="exact"/>
              <w:ind w:left="158"/>
              <w:rPr>
                <w:sz w:val="19"/>
              </w:rPr>
            </w:pPr>
            <w:r>
              <w:rPr>
                <w:w w:val="105"/>
                <w:sz w:val="19"/>
              </w:rPr>
              <w:t>46</w:t>
            </w:r>
          </w:p>
          <w:p>
            <w:pPr>
              <w:pStyle w:val="TableParagraph"/>
              <w:spacing w:line="207" w:lineRule="exact"/>
              <w:ind w:left="162"/>
              <w:rPr>
                <w:sz w:val="19"/>
              </w:rPr>
            </w:pPr>
            <w:r>
              <w:rPr>
                <w:w w:val="105"/>
                <w:sz w:val="19"/>
              </w:rPr>
              <w:t>47</w:t>
            </w:r>
          </w:p>
        </w:tc>
        <w:tc>
          <w:tcPr>
            <w:tcW w:w="1474" w:type="dxa"/>
            <w:tcBorders>
              <w:top w:val="nil"/>
              <w:bottom w:val="nil"/>
            </w:tcBorders>
          </w:tcPr>
          <w:p>
            <w:pPr>
              <w:pStyle w:val="TableParagraph"/>
              <w:spacing w:line="208" w:lineRule="exact" w:before="90"/>
              <w:ind w:left="329" w:right="-18"/>
              <w:rPr>
                <w:sz w:val="19"/>
              </w:rPr>
            </w:pPr>
            <w:r>
              <w:rPr>
                <w:w w:val="90"/>
                <w:sz w:val="19"/>
              </w:rPr>
              <w:t>2,392,904.8</w:t>
            </w:r>
          </w:p>
          <w:p>
            <w:pPr>
              <w:pStyle w:val="TableParagraph"/>
              <w:spacing w:line="200" w:lineRule="exact"/>
              <w:ind w:left="333" w:right="-14"/>
              <w:rPr>
                <w:sz w:val="19"/>
              </w:rPr>
            </w:pPr>
            <w:r>
              <w:rPr>
                <w:spacing w:val="-15"/>
                <w:w w:val="95"/>
                <w:sz w:val="19"/>
              </w:rPr>
              <w:t>2,310,779.5</w:t>
            </w:r>
          </w:p>
          <w:p>
            <w:pPr>
              <w:pStyle w:val="TableParagraph"/>
              <w:spacing w:line="207" w:lineRule="exact"/>
              <w:ind w:left="336" w:right="-14"/>
              <w:rPr>
                <w:sz w:val="19"/>
              </w:rPr>
            </w:pPr>
            <w:r>
              <w:rPr>
                <w:spacing w:val="-22"/>
                <w:sz w:val="19"/>
              </w:rPr>
              <w:t>2,230,395.8</w:t>
            </w:r>
          </w:p>
        </w:tc>
        <w:tc>
          <w:tcPr>
            <w:tcW w:w="1550" w:type="dxa"/>
            <w:tcBorders>
              <w:top w:val="nil"/>
              <w:bottom w:val="nil"/>
            </w:tcBorders>
          </w:tcPr>
          <w:p>
            <w:pPr>
              <w:pStyle w:val="TableParagraph"/>
              <w:spacing w:line="208" w:lineRule="exact" w:before="82"/>
              <w:ind w:left="327" w:right="-7"/>
              <w:rPr>
                <w:sz w:val="19"/>
              </w:rPr>
            </w:pPr>
            <w:r>
              <w:rPr>
                <w:w w:val="85"/>
                <w:sz w:val="19"/>
              </w:rPr>
              <w:t>44,455,164.1</w:t>
            </w:r>
          </w:p>
          <w:p>
            <w:pPr>
              <w:pStyle w:val="TableParagraph"/>
              <w:spacing w:line="202" w:lineRule="exact"/>
              <w:ind w:left="327" w:right="-7"/>
              <w:rPr>
                <w:sz w:val="19"/>
              </w:rPr>
            </w:pPr>
            <w:r>
              <w:rPr>
                <w:spacing w:val="-11"/>
                <w:w w:val="90"/>
                <w:sz w:val="19"/>
              </w:rPr>
              <w:t>42,062,259.3</w:t>
            </w:r>
          </w:p>
          <w:p>
            <w:pPr>
              <w:pStyle w:val="TableParagraph"/>
              <w:spacing w:line="208" w:lineRule="exact"/>
              <w:ind w:left="331" w:right="-7"/>
              <w:rPr>
                <w:sz w:val="19"/>
              </w:rPr>
            </w:pPr>
            <w:r>
              <w:rPr>
                <w:spacing w:val="-19"/>
                <w:w w:val="95"/>
                <w:sz w:val="19"/>
              </w:rPr>
              <w:t>39,751,479.8</w:t>
            </w:r>
          </w:p>
        </w:tc>
        <w:tc>
          <w:tcPr>
            <w:tcW w:w="1709" w:type="dxa"/>
            <w:tcBorders>
              <w:top w:val="nil"/>
              <w:bottom w:val="nil"/>
            </w:tcBorders>
          </w:tcPr>
          <w:p>
            <w:pPr>
              <w:pStyle w:val="TableParagraph"/>
              <w:spacing w:line="207" w:lineRule="exact" w:before="79"/>
              <w:ind w:left="412" w:right="-1"/>
              <w:rPr>
                <w:sz w:val="19"/>
              </w:rPr>
            </w:pPr>
            <w:r>
              <w:rPr>
                <w:spacing w:val="-12"/>
                <w:w w:val="80"/>
                <w:sz w:val="19"/>
              </w:rPr>
              <w:t>607,827,312</w:t>
            </w:r>
            <w:r>
              <w:rPr>
                <w:spacing w:val="-71"/>
                <w:w w:val="80"/>
                <w:sz w:val="19"/>
              </w:rPr>
              <w:t> </w:t>
            </w:r>
            <w:r>
              <w:rPr>
                <w:w w:val="80"/>
                <w:sz w:val="19"/>
              </w:rPr>
              <w:t>.8</w:t>
            </w:r>
          </w:p>
          <w:p>
            <w:pPr>
              <w:pStyle w:val="TableParagraph"/>
              <w:spacing w:line="200" w:lineRule="exact"/>
              <w:ind w:left="412" w:right="-1"/>
              <w:rPr>
                <w:sz w:val="19"/>
              </w:rPr>
            </w:pPr>
            <w:r>
              <w:rPr>
                <w:spacing w:val="-14"/>
                <w:w w:val="90"/>
                <w:sz w:val="19"/>
              </w:rPr>
              <w:t>563,372,148.7</w:t>
            </w:r>
          </w:p>
          <w:p>
            <w:pPr>
              <w:pStyle w:val="TableParagraph"/>
              <w:spacing w:line="208" w:lineRule="exact"/>
              <w:ind w:left="415" w:right="-1"/>
              <w:rPr>
                <w:sz w:val="19"/>
              </w:rPr>
            </w:pPr>
            <w:r>
              <w:rPr>
                <w:w w:val="85"/>
                <w:sz w:val="19"/>
              </w:rPr>
              <w:t>521,309,889.4</w:t>
            </w:r>
          </w:p>
        </w:tc>
        <w:tc>
          <w:tcPr>
            <w:tcW w:w="500" w:type="dxa"/>
            <w:tcBorders>
              <w:top w:val="nil"/>
              <w:bottom w:val="nil"/>
              <w:right w:val="nil"/>
            </w:tcBorders>
          </w:tcPr>
          <w:p>
            <w:pPr>
              <w:pStyle w:val="TableParagraph"/>
              <w:spacing w:line="205" w:lineRule="exact" w:before="79"/>
              <w:ind w:left="175"/>
              <w:rPr>
                <w:sz w:val="19"/>
              </w:rPr>
            </w:pPr>
            <w:r>
              <w:rPr>
                <w:w w:val="95"/>
                <w:sz w:val="19"/>
              </w:rPr>
              <w:t>45</w:t>
            </w:r>
          </w:p>
          <w:p>
            <w:pPr>
              <w:pStyle w:val="TableParagraph"/>
              <w:spacing w:line="196" w:lineRule="exact"/>
              <w:ind w:left="175"/>
              <w:rPr>
                <w:rFonts w:ascii="Times New Roman"/>
                <w:sz w:val="18"/>
              </w:rPr>
            </w:pPr>
            <w:r>
              <w:rPr>
                <w:rFonts w:ascii="Times New Roman"/>
                <w:sz w:val="18"/>
              </w:rPr>
              <w:t>46</w:t>
            </w:r>
          </w:p>
          <w:p>
            <w:pPr>
              <w:pStyle w:val="TableParagraph"/>
              <w:spacing w:line="214" w:lineRule="exact"/>
              <w:ind w:left="175"/>
              <w:rPr>
                <w:sz w:val="19"/>
              </w:rPr>
            </w:pPr>
            <w:r>
              <w:rPr>
                <w:w w:val="105"/>
                <w:sz w:val="19"/>
              </w:rPr>
              <w:t>47</w:t>
            </w:r>
          </w:p>
        </w:tc>
      </w:tr>
      <w:tr>
        <w:trPr>
          <w:trHeight w:val="197" w:hRule="exact"/>
        </w:trPr>
        <w:tc>
          <w:tcPr>
            <w:tcW w:w="499" w:type="dxa"/>
            <w:tcBorders>
              <w:top w:val="nil"/>
              <w:left w:val="nil"/>
              <w:bottom w:val="nil"/>
            </w:tcBorders>
          </w:tcPr>
          <w:p>
            <w:pPr>
              <w:pStyle w:val="TableParagraph"/>
              <w:spacing w:line="203" w:lineRule="exact"/>
              <w:ind w:left="94" w:right="76"/>
              <w:jc w:val="center"/>
              <w:rPr>
                <w:b/>
                <w:sz w:val="18"/>
              </w:rPr>
            </w:pPr>
            <w:r>
              <w:rPr>
                <w:b/>
                <w:sz w:val="18"/>
              </w:rPr>
              <w:t>48</w:t>
            </w:r>
          </w:p>
        </w:tc>
        <w:tc>
          <w:tcPr>
            <w:tcW w:w="1474" w:type="dxa"/>
            <w:tcBorders>
              <w:top w:val="nil"/>
              <w:bottom w:val="nil"/>
            </w:tcBorders>
          </w:tcPr>
          <w:p>
            <w:pPr>
              <w:pStyle w:val="TableParagraph"/>
              <w:spacing w:line="202" w:lineRule="exact"/>
              <w:ind w:right="212"/>
              <w:jc w:val="right"/>
              <w:rPr>
                <w:sz w:val="19"/>
              </w:rPr>
            </w:pPr>
            <w:r>
              <w:rPr>
                <w:w w:val="80"/>
                <w:sz w:val="19"/>
              </w:rPr>
              <w:t>2,151,660.7</w:t>
            </w:r>
          </w:p>
        </w:tc>
        <w:tc>
          <w:tcPr>
            <w:tcW w:w="1550" w:type="dxa"/>
            <w:tcBorders>
              <w:top w:val="nil"/>
              <w:bottom w:val="nil"/>
            </w:tcBorders>
          </w:tcPr>
          <w:p>
            <w:pPr>
              <w:pStyle w:val="TableParagraph"/>
              <w:spacing w:line="199" w:lineRule="exact"/>
              <w:ind w:right="197"/>
              <w:jc w:val="right"/>
              <w:rPr>
                <w:sz w:val="19"/>
              </w:rPr>
            </w:pPr>
            <w:r>
              <w:rPr>
                <w:w w:val="85"/>
                <w:sz w:val="19"/>
              </w:rPr>
              <w:t>37,521,084.0</w:t>
            </w:r>
          </w:p>
        </w:tc>
        <w:tc>
          <w:tcPr>
            <w:tcW w:w="1709" w:type="dxa"/>
            <w:tcBorders>
              <w:top w:val="nil"/>
              <w:bottom w:val="nil"/>
            </w:tcBorders>
          </w:tcPr>
          <w:p>
            <w:pPr>
              <w:pStyle w:val="TableParagraph"/>
              <w:spacing w:line="189" w:lineRule="exact"/>
              <w:ind w:right="235"/>
              <w:jc w:val="right"/>
              <w:rPr>
                <w:b/>
                <w:sz w:val="18"/>
              </w:rPr>
            </w:pPr>
            <w:r>
              <w:rPr>
                <w:b/>
                <w:w w:val="75"/>
                <w:sz w:val="18"/>
              </w:rPr>
              <w:t>481,558,409.6</w:t>
            </w:r>
          </w:p>
        </w:tc>
        <w:tc>
          <w:tcPr>
            <w:tcW w:w="500" w:type="dxa"/>
            <w:tcBorders>
              <w:top w:val="nil"/>
              <w:bottom w:val="nil"/>
              <w:right w:val="nil"/>
            </w:tcBorders>
          </w:tcPr>
          <w:p>
            <w:pPr>
              <w:pStyle w:val="TableParagraph"/>
              <w:spacing w:line="192" w:lineRule="exact"/>
              <w:ind w:left="122" w:right="74"/>
              <w:jc w:val="center"/>
              <w:rPr>
                <w:b/>
                <w:sz w:val="18"/>
              </w:rPr>
            </w:pPr>
            <w:r>
              <w:rPr>
                <w:b/>
                <w:sz w:val="18"/>
              </w:rPr>
              <w:t>48</w:t>
            </w:r>
          </w:p>
        </w:tc>
      </w:tr>
      <w:tr>
        <w:trPr>
          <w:trHeight w:val="300" w:hRule="exact"/>
        </w:trPr>
        <w:tc>
          <w:tcPr>
            <w:tcW w:w="499" w:type="dxa"/>
            <w:tcBorders>
              <w:top w:val="nil"/>
              <w:left w:val="nil"/>
              <w:bottom w:val="nil"/>
            </w:tcBorders>
          </w:tcPr>
          <w:p>
            <w:pPr>
              <w:pStyle w:val="TableParagraph"/>
              <w:ind w:left="92" w:right="76"/>
              <w:jc w:val="center"/>
              <w:rPr>
                <w:b/>
                <w:sz w:val="18"/>
              </w:rPr>
            </w:pPr>
            <w:r>
              <w:rPr>
                <w:b/>
                <w:sz w:val="18"/>
              </w:rPr>
              <w:t>49</w:t>
            </w:r>
          </w:p>
        </w:tc>
        <w:tc>
          <w:tcPr>
            <w:tcW w:w="1474" w:type="dxa"/>
            <w:tcBorders>
              <w:top w:val="nil"/>
              <w:bottom w:val="nil"/>
            </w:tcBorders>
          </w:tcPr>
          <w:p>
            <w:pPr>
              <w:pStyle w:val="TableParagraph"/>
              <w:spacing w:line="207" w:lineRule="exact"/>
              <w:ind w:right="202"/>
              <w:jc w:val="right"/>
              <w:rPr>
                <w:sz w:val="19"/>
              </w:rPr>
            </w:pPr>
            <w:r>
              <w:rPr>
                <w:w w:val="90"/>
                <w:sz w:val="19"/>
              </w:rPr>
              <w:t>2,074,472.4</w:t>
            </w:r>
          </w:p>
        </w:tc>
        <w:tc>
          <w:tcPr>
            <w:tcW w:w="1550" w:type="dxa"/>
            <w:tcBorders>
              <w:top w:val="nil"/>
              <w:bottom w:val="nil"/>
            </w:tcBorders>
          </w:tcPr>
          <w:p>
            <w:pPr>
              <w:pStyle w:val="TableParagraph"/>
              <w:spacing w:line="204" w:lineRule="exact"/>
              <w:ind w:right="208"/>
              <w:jc w:val="right"/>
              <w:rPr>
                <w:sz w:val="19"/>
              </w:rPr>
            </w:pPr>
            <w:r>
              <w:rPr>
                <w:w w:val="70"/>
                <w:sz w:val="19"/>
              </w:rPr>
              <w:t>35,369,423.3</w:t>
            </w:r>
          </w:p>
        </w:tc>
        <w:tc>
          <w:tcPr>
            <w:tcW w:w="1709" w:type="dxa"/>
            <w:tcBorders>
              <w:top w:val="nil"/>
              <w:bottom w:val="nil"/>
            </w:tcBorders>
          </w:tcPr>
          <w:p>
            <w:pPr>
              <w:pStyle w:val="TableParagraph"/>
              <w:spacing w:line="197" w:lineRule="exact"/>
              <w:ind w:right="205"/>
              <w:jc w:val="right"/>
              <w:rPr>
                <w:sz w:val="19"/>
              </w:rPr>
            </w:pPr>
            <w:r>
              <w:rPr>
                <w:w w:val="85"/>
                <w:sz w:val="19"/>
              </w:rPr>
              <w:t>444,037,325.6</w:t>
            </w:r>
          </w:p>
        </w:tc>
        <w:tc>
          <w:tcPr>
            <w:tcW w:w="500" w:type="dxa"/>
            <w:tcBorders>
              <w:top w:val="nil"/>
              <w:bottom w:val="nil"/>
              <w:right w:val="nil"/>
            </w:tcBorders>
          </w:tcPr>
          <w:p>
            <w:pPr>
              <w:pStyle w:val="TableParagraph"/>
              <w:spacing w:line="197" w:lineRule="exact"/>
              <w:ind w:left="136" w:right="73"/>
              <w:jc w:val="center"/>
              <w:rPr>
                <w:sz w:val="19"/>
              </w:rPr>
            </w:pPr>
            <w:r>
              <w:rPr>
                <w:w w:val="105"/>
                <w:sz w:val="19"/>
              </w:rPr>
              <w:t>49</w:t>
            </w:r>
          </w:p>
        </w:tc>
      </w:tr>
      <w:tr>
        <w:trPr>
          <w:trHeight w:val="904" w:hRule="exact"/>
        </w:trPr>
        <w:tc>
          <w:tcPr>
            <w:tcW w:w="499" w:type="dxa"/>
            <w:tcBorders>
              <w:top w:val="nil"/>
              <w:left w:val="nil"/>
              <w:bottom w:val="nil"/>
            </w:tcBorders>
          </w:tcPr>
          <w:p>
            <w:pPr>
              <w:pStyle w:val="TableParagraph"/>
              <w:spacing w:before="107"/>
              <w:ind w:left="162"/>
              <w:rPr>
                <w:rFonts w:ascii="Times New Roman"/>
                <w:sz w:val="16"/>
              </w:rPr>
            </w:pPr>
            <w:r>
              <w:rPr>
                <w:rFonts w:ascii="Times New Roman"/>
                <w:w w:val="110"/>
                <w:sz w:val="16"/>
              </w:rPr>
              <w:t>50</w:t>
            </w:r>
          </w:p>
          <w:p>
            <w:pPr>
              <w:pStyle w:val="TableParagraph"/>
              <w:spacing w:line="208" w:lineRule="exact" w:before="1"/>
              <w:ind w:left="165"/>
              <w:rPr>
                <w:sz w:val="19"/>
              </w:rPr>
            </w:pPr>
            <w:r>
              <w:rPr>
                <w:w w:val="95"/>
                <w:sz w:val="19"/>
              </w:rPr>
              <w:t>51</w:t>
            </w:r>
          </w:p>
          <w:p>
            <w:pPr>
              <w:pStyle w:val="TableParagraph"/>
              <w:spacing w:line="208" w:lineRule="exact"/>
              <w:ind w:left="162"/>
              <w:rPr>
                <w:sz w:val="19"/>
              </w:rPr>
            </w:pPr>
            <w:r>
              <w:rPr>
                <w:sz w:val="19"/>
              </w:rPr>
              <w:t>52</w:t>
            </w:r>
          </w:p>
          <w:p>
            <w:pPr>
              <w:pStyle w:val="TableParagraph"/>
              <w:spacing w:line="183" w:lineRule="exact"/>
              <w:ind w:left="162"/>
              <w:rPr>
                <w:rFonts w:ascii="Times New Roman"/>
                <w:sz w:val="16"/>
              </w:rPr>
            </w:pPr>
            <w:r>
              <w:rPr>
                <w:rFonts w:ascii="Times New Roman"/>
                <w:w w:val="110"/>
                <w:sz w:val="16"/>
              </w:rPr>
              <w:t>53</w:t>
            </w:r>
          </w:p>
        </w:tc>
        <w:tc>
          <w:tcPr>
            <w:tcW w:w="1474" w:type="dxa"/>
            <w:tcBorders>
              <w:top w:val="nil"/>
              <w:bottom w:val="nil"/>
            </w:tcBorders>
          </w:tcPr>
          <w:p>
            <w:pPr>
              <w:pStyle w:val="TableParagraph"/>
              <w:spacing w:line="207" w:lineRule="exact" w:before="95"/>
              <w:ind w:left="347" w:right="-14"/>
              <w:rPr>
                <w:sz w:val="19"/>
              </w:rPr>
            </w:pPr>
            <w:r>
              <w:rPr>
                <w:spacing w:val="-9"/>
                <w:w w:val="90"/>
                <w:sz w:val="19"/>
              </w:rPr>
              <w:t>1,998,744.0</w:t>
            </w:r>
          </w:p>
          <w:p>
            <w:pPr>
              <w:pStyle w:val="TableParagraph"/>
              <w:spacing w:line="200" w:lineRule="exact"/>
              <w:ind w:left="347" w:right="-14"/>
              <w:rPr>
                <w:sz w:val="19"/>
              </w:rPr>
            </w:pPr>
            <w:r>
              <w:rPr>
                <w:w w:val="85"/>
                <w:sz w:val="19"/>
              </w:rPr>
              <w:t>1,924,383.0</w:t>
            </w:r>
          </w:p>
          <w:p>
            <w:pPr>
              <w:pStyle w:val="TableParagraph"/>
              <w:spacing w:line="200" w:lineRule="exact"/>
              <w:ind w:left="343" w:right="-14"/>
              <w:rPr>
                <w:sz w:val="19"/>
              </w:rPr>
            </w:pPr>
            <w:r>
              <w:rPr>
                <w:spacing w:val="-8"/>
                <w:w w:val="90"/>
                <w:sz w:val="19"/>
              </w:rPr>
              <w:t>1,851,312.7</w:t>
            </w:r>
          </w:p>
          <w:p>
            <w:pPr>
              <w:pStyle w:val="TableParagraph"/>
              <w:spacing w:line="207" w:lineRule="exact"/>
              <w:ind w:left="347" w:right="-14"/>
              <w:rPr>
                <w:sz w:val="19"/>
              </w:rPr>
            </w:pPr>
            <w:r>
              <w:rPr>
                <w:spacing w:val="-22"/>
                <w:sz w:val="19"/>
              </w:rPr>
              <w:t>1,779,488.9</w:t>
            </w:r>
          </w:p>
        </w:tc>
        <w:tc>
          <w:tcPr>
            <w:tcW w:w="1550" w:type="dxa"/>
            <w:tcBorders>
              <w:top w:val="nil"/>
              <w:bottom w:val="nil"/>
            </w:tcBorders>
          </w:tcPr>
          <w:p>
            <w:pPr>
              <w:pStyle w:val="TableParagraph"/>
              <w:spacing w:line="208" w:lineRule="exact" w:before="88"/>
              <w:ind w:left="334" w:right="-7"/>
              <w:rPr>
                <w:sz w:val="19"/>
              </w:rPr>
            </w:pPr>
            <w:r>
              <w:rPr>
                <w:w w:val="85"/>
                <w:sz w:val="19"/>
              </w:rPr>
              <w:t>33,294,950.9</w:t>
            </w:r>
          </w:p>
          <w:p>
            <w:pPr>
              <w:pStyle w:val="TableParagraph"/>
              <w:spacing w:line="200" w:lineRule="exact"/>
              <w:ind w:left="334" w:right="-7"/>
              <w:rPr>
                <w:sz w:val="19"/>
              </w:rPr>
            </w:pPr>
            <w:r>
              <w:rPr>
                <w:w w:val="95"/>
                <w:sz w:val="19"/>
              </w:rPr>
              <w:t>31,296,</w:t>
            </w:r>
            <w:r>
              <w:rPr>
                <w:spacing w:val="-97"/>
                <w:w w:val="95"/>
                <w:sz w:val="19"/>
              </w:rPr>
              <w:t> </w:t>
            </w:r>
            <w:r>
              <w:rPr>
                <w:w w:val="95"/>
                <w:sz w:val="19"/>
              </w:rPr>
              <w:t>.9</w:t>
            </w:r>
          </w:p>
          <w:p>
            <w:pPr>
              <w:pStyle w:val="TableParagraph"/>
              <w:spacing w:line="200" w:lineRule="exact"/>
              <w:ind w:left="334" w:right="-7"/>
              <w:rPr>
                <w:sz w:val="19"/>
              </w:rPr>
            </w:pPr>
            <w:r>
              <w:rPr>
                <w:w w:val="85"/>
                <w:sz w:val="19"/>
              </w:rPr>
              <w:t>29,371,823.9</w:t>
            </w:r>
          </w:p>
          <w:p>
            <w:pPr>
              <w:pStyle w:val="TableParagraph"/>
              <w:spacing w:line="208" w:lineRule="exact"/>
              <w:ind w:left="334" w:right="-7"/>
              <w:rPr>
                <w:sz w:val="19"/>
              </w:rPr>
            </w:pPr>
            <w:r>
              <w:rPr>
                <w:w w:val="80"/>
                <w:sz w:val="19"/>
              </w:rPr>
              <w:t>27,520,511.2</w:t>
            </w:r>
          </w:p>
        </w:tc>
        <w:tc>
          <w:tcPr>
            <w:tcW w:w="1709" w:type="dxa"/>
            <w:tcBorders>
              <w:top w:val="nil"/>
              <w:bottom w:val="nil"/>
            </w:tcBorders>
          </w:tcPr>
          <w:p>
            <w:pPr>
              <w:pStyle w:val="TableParagraph"/>
              <w:spacing w:line="207" w:lineRule="exact" w:before="81"/>
              <w:ind w:left="412" w:right="-1"/>
              <w:rPr>
                <w:sz w:val="19"/>
              </w:rPr>
            </w:pPr>
            <w:r>
              <w:rPr>
                <w:spacing w:val="-16"/>
                <w:w w:val="95"/>
                <w:sz w:val="19"/>
              </w:rPr>
              <w:t>408,667,902.3</w:t>
            </w:r>
          </w:p>
          <w:p>
            <w:pPr>
              <w:pStyle w:val="TableParagraph"/>
              <w:spacing w:line="200" w:lineRule="exact"/>
              <w:ind w:left="415" w:right="-1"/>
              <w:rPr>
                <w:sz w:val="19"/>
              </w:rPr>
            </w:pPr>
            <w:r>
              <w:rPr>
                <w:spacing w:val="-15"/>
                <w:w w:val="90"/>
                <w:sz w:val="19"/>
              </w:rPr>
              <w:t>375,372,951.4</w:t>
            </w:r>
          </w:p>
          <w:p>
            <w:pPr>
              <w:pStyle w:val="TableParagraph"/>
              <w:spacing w:line="200" w:lineRule="exact"/>
              <w:ind w:left="412" w:right="-1"/>
              <w:rPr>
                <w:sz w:val="19"/>
              </w:rPr>
            </w:pPr>
            <w:r>
              <w:rPr>
                <w:w w:val="85"/>
                <w:sz w:val="19"/>
              </w:rPr>
              <w:t>344,076,744.5</w:t>
            </w:r>
          </w:p>
          <w:p>
            <w:pPr>
              <w:pStyle w:val="TableParagraph"/>
              <w:spacing w:line="207" w:lineRule="exact"/>
              <w:ind w:left="412" w:right="-1"/>
              <w:rPr>
                <w:sz w:val="19"/>
              </w:rPr>
            </w:pPr>
            <w:r>
              <w:rPr>
                <w:spacing w:val="-13"/>
                <w:w w:val="90"/>
                <w:sz w:val="19"/>
              </w:rPr>
              <w:t>314,704,920.6</w:t>
            </w:r>
          </w:p>
        </w:tc>
        <w:tc>
          <w:tcPr>
            <w:tcW w:w="500" w:type="dxa"/>
            <w:tcBorders>
              <w:top w:val="nil"/>
              <w:bottom w:val="nil"/>
              <w:right w:val="nil"/>
            </w:tcBorders>
          </w:tcPr>
          <w:p>
            <w:pPr>
              <w:pStyle w:val="TableParagraph"/>
              <w:spacing w:before="80"/>
              <w:ind w:left="179"/>
              <w:rPr>
                <w:rFonts w:ascii="Times New Roman"/>
                <w:sz w:val="17"/>
              </w:rPr>
            </w:pPr>
            <w:r>
              <w:rPr>
                <w:rFonts w:ascii="Times New Roman"/>
                <w:sz w:val="17"/>
              </w:rPr>
              <w:t>50</w:t>
            </w:r>
          </w:p>
          <w:p>
            <w:pPr>
              <w:pStyle w:val="TableParagraph"/>
              <w:spacing w:line="197" w:lineRule="exact" w:before="11"/>
              <w:ind w:left="179"/>
              <w:rPr>
                <w:b/>
                <w:sz w:val="18"/>
              </w:rPr>
            </w:pPr>
            <w:r>
              <w:rPr>
                <w:b/>
                <w:w w:val="85"/>
                <w:sz w:val="18"/>
              </w:rPr>
              <w:t>51</w:t>
            </w:r>
          </w:p>
          <w:p>
            <w:pPr>
              <w:pStyle w:val="TableParagraph"/>
              <w:spacing w:line="208" w:lineRule="exact"/>
              <w:ind w:left="175"/>
              <w:rPr>
                <w:sz w:val="19"/>
              </w:rPr>
            </w:pPr>
            <w:r>
              <w:rPr>
                <w:sz w:val="19"/>
              </w:rPr>
              <w:t>52</w:t>
            </w:r>
          </w:p>
          <w:p>
            <w:pPr>
              <w:pStyle w:val="TableParagraph"/>
              <w:spacing w:line="183" w:lineRule="exact"/>
              <w:ind w:left="175"/>
              <w:rPr>
                <w:rFonts w:ascii="Times New Roman"/>
                <w:sz w:val="16"/>
              </w:rPr>
            </w:pPr>
            <w:r>
              <w:rPr>
                <w:rFonts w:ascii="Times New Roman"/>
                <w:w w:val="110"/>
                <w:sz w:val="16"/>
              </w:rPr>
              <w:t>53</w:t>
            </w:r>
          </w:p>
        </w:tc>
      </w:tr>
      <w:tr>
        <w:trPr>
          <w:trHeight w:val="297" w:hRule="exact"/>
        </w:trPr>
        <w:tc>
          <w:tcPr>
            <w:tcW w:w="499" w:type="dxa"/>
            <w:tcBorders>
              <w:top w:val="nil"/>
              <w:left w:val="nil"/>
              <w:bottom w:val="nil"/>
            </w:tcBorders>
          </w:tcPr>
          <w:p>
            <w:pPr>
              <w:pStyle w:val="TableParagraph"/>
              <w:spacing w:before="3"/>
              <w:ind w:left="78" w:right="76"/>
              <w:jc w:val="center"/>
              <w:rPr>
                <w:rFonts w:ascii="Times New Roman"/>
                <w:sz w:val="16"/>
              </w:rPr>
            </w:pPr>
            <w:r>
              <w:rPr>
                <w:rFonts w:ascii="Times New Roman"/>
                <w:w w:val="105"/>
                <w:sz w:val="16"/>
              </w:rPr>
              <w:t>54</w:t>
            </w:r>
          </w:p>
        </w:tc>
        <w:tc>
          <w:tcPr>
            <w:tcW w:w="1474" w:type="dxa"/>
            <w:tcBorders>
              <w:top w:val="nil"/>
              <w:bottom w:val="nil"/>
            </w:tcBorders>
          </w:tcPr>
          <w:p>
            <w:pPr>
              <w:pStyle w:val="TableParagraph"/>
              <w:spacing w:line="206" w:lineRule="exact"/>
              <w:ind w:right="204"/>
              <w:jc w:val="right"/>
              <w:rPr>
                <w:sz w:val="19"/>
              </w:rPr>
            </w:pPr>
            <w:r>
              <w:rPr>
                <w:w w:val="85"/>
                <w:sz w:val="19"/>
              </w:rPr>
              <w:t>1,708,844.9</w:t>
            </w:r>
          </w:p>
        </w:tc>
        <w:tc>
          <w:tcPr>
            <w:tcW w:w="1550" w:type="dxa"/>
            <w:tcBorders>
              <w:top w:val="nil"/>
              <w:bottom w:val="nil"/>
            </w:tcBorders>
          </w:tcPr>
          <w:p>
            <w:pPr>
              <w:pStyle w:val="TableParagraph"/>
              <w:spacing w:line="199" w:lineRule="exact"/>
              <w:ind w:right="213"/>
              <w:jc w:val="right"/>
              <w:rPr>
                <w:sz w:val="19"/>
              </w:rPr>
            </w:pPr>
            <w:r>
              <w:rPr>
                <w:w w:val="80"/>
                <w:sz w:val="19"/>
              </w:rPr>
              <w:t>25,741,022.3</w:t>
            </w:r>
          </w:p>
        </w:tc>
        <w:tc>
          <w:tcPr>
            <w:tcW w:w="1709" w:type="dxa"/>
            <w:tcBorders>
              <w:top w:val="nil"/>
              <w:bottom w:val="nil"/>
            </w:tcBorders>
          </w:tcPr>
          <w:p>
            <w:pPr>
              <w:pStyle w:val="TableParagraph"/>
              <w:spacing w:line="189" w:lineRule="exact"/>
              <w:ind w:left="415" w:right="-1"/>
              <w:rPr>
                <w:b/>
                <w:sz w:val="18"/>
              </w:rPr>
            </w:pPr>
            <w:r>
              <w:rPr>
                <w:b/>
                <w:w w:val="80"/>
                <w:sz w:val="18"/>
              </w:rPr>
              <w:t>287,184,409.4</w:t>
            </w:r>
          </w:p>
        </w:tc>
        <w:tc>
          <w:tcPr>
            <w:tcW w:w="500" w:type="dxa"/>
            <w:tcBorders>
              <w:top w:val="nil"/>
              <w:bottom w:val="nil"/>
              <w:right w:val="nil"/>
            </w:tcBorders>
          </w:tcPr>
          <w:p>
            <w:pPr>
              <w:pStyle w:val="TableParagraph"/>
              <w:spacing w:line="173" w:lineRule="exact"/>
              <w:ind w:left="98" w:right="74"/>
              <w:jc w:val="center"/>
              <w:rPr>
                <w:rFonts w:ascii="Times New Roman"/>
                <w:sz w:val="16"/>
              </w:rPr>
            </w:pPr>
            <w:r>
              <w:rPr>
                <w:rFonts w:ascii="Times New Roman"/>
                <w:w w:val="110"/>
                <w:sz w:val="16"/>
              </w:rPr>
              <w:t>54</w:t>
            </w:r>
          </w:p>
        </w:tc>
      </w:tr>
      <w:tr>
        <w:trPr>
          <w:trHeight w:val="1196" w:hRule="exact"/>
        </w:trPr>
        <w:tc>
          <w:tcPr>
            <w:tcW w:w="499" w:type="dxa"/>
            <w:tcBorders>
              <w:top w:val="nil"/>
              <w:left w:val="nil"/>
              <w:bottom w:val="nil"/>
            </w:tcBorders>
          </w:tcPr>
          <w:p>
            <w:pPr>
              <w:pStyle w:val="TableParagraph"/>
              <w:spacing w:before="109"/>
              <w:ind w:left="169"/>
              <w:rPr>
                <w:rFonts w:ascii="Times New Roman"/>
                <w:sz w:val="16"/>
              </w:rPr>
            </w:pPr>
            <w:r>
              <w:rPr>
                <w:rFonts w:ascii="Times New Roman"/>
                <w:w w:val="110"/>
                <w:sz w:val="16"/>
              </w:rPr>
              <w:t>55</w:t>
            </w:r>
          </w:p>
          <w:p>
            <w:pPr>
              <w:pStyle w:val="TableParagraph"/>
              <w:spacing w:line="208" w:lineRule="exact" w:before="5"/>
              <w:ind w:left="169"/>
              <w:rPr>
                <w:sz w:val="19"/>
              </w:rPr>
            </w:pPr>
            <w:r>
              <w:rPr>
                <w:w w:val="90"/>
                <w:sz w:val="19"/>
              </w:rPr>
              <w:t>56</w:t>
            </w:r>
          </w:p>
          <w:p>
            <w:pPr>
              <w:pStyle w:val="TableParagraph"/>
              <w:spacing w:line="206" w:lineRule="exact"/>
              <w:ind w:left="169"/>
              <w:rPr>
                <w:sz w:val="19"/>
              </w:rPr>
            </w:pPr>
            <w:r>
              <w:rPr>
                <w:sz w:val="19"/>
              </w:rPr>
              <w:t>57</w:t>
            </w:r>
          </w:p>
          <w:p>
            <w:pPr>
              <w:pStyle w:val="TableParagraph"/>
              <w:spacing w:line="182" w:lineRule="exact"/>
              <w:ind w:left="169"/>
              <w:rPr>
                <w:rFonts w:ascii="Times New Roman"/>
                <w:sz w:val="16"/>
              </w:rPr>
            </w:pPr>
            <w:r>
              <w:rPr>
                <w:rFonts w:ascii="Times New Roman"/>
                <w:w w:val="110"/>
                <w:sz w:val="16"/>
              </w:rPr>
              <w:t>58</w:t>
            </w:r>
          </w:p>
          <w:p>
            <w:pPr>
              <w:pStyle w:val="TableParagraph"/>
              <w:spacing w:before="5"/>
              <w:ind w:left="165"/>
              <w:rPr>
                <w:sz w:val="19"/>
              </w:rPr>
            </w:pPr>
            <w:r>
              <w:rPr>
                <w:w w:val="105"/>
                <w:sz w:val="19"/>
              </w:rPr>
              <w:t>59</w:t>
            </w:r>
          </w:p>
        </w:tc>
        <w:tc>
          <w:tcPr>
            <w:tcW w:w="1474" w:type="dxa"/>
            <w:tcBorders>
              <w:top w:val="nil"/>
              <w:bottom w:val="nil"/>
            </w:tcBorders>
          </w:tcPr>
          <w:p>
            <w:pPr>
              <w:pStyle w:val="TableParagraph"/>
              <w:spacing w:line="208" w:lineRule="exact" w:before="93"/>
              <w:ind w:left="347" w:right="-14"/>
              <w:rPr>
                <w:sz w:val="19"/>
              </w:rPr>
            </w:pPr>
            <w:r>
              <w:rPr>
                <w:w w:val="85"/>
                <w:sz w:val="19"/>
              </w:rPr>
              <w:t>1,639,329.7</w:t>
            </w:r>
          </w:p>
          <w:p>
            <w:pPr>
              <w:pStyle w:val="TableParagraph"/>
              <w:spacing w:line="202" w:lineRule="exact"/>
              <w:ind w:left="350" w:right="-14"/>
              <w:rPr>
                <w:sz w:val="19"/>
              </w:rPr>
            </w:pPr>
            <w:r>
              <w:rPr>
                <w:spacing w:val="-12"/>
                <w:w w:val="90"/>
                <w:sz w:val="19"/>
              </w:rPr>
              <w:t>1,570,891.7</w:t>
            </w:r>
          </w:p>
          <w:p>
            <w:pPr>
              <w:pStyle w:val="TableParagraph"/>
              <w:spacing w:line="200" w:lineRule="exact"/>
              <w:ind w:left="350" w:right="-14"/>
              <w:rPr>
                <w:sz w:val="19"/>
              </w:rPr>
            </w:pPr>
            <w:r>
              <w:rPr>
                <w:spacing w:val="-3"/>
                <w:w w:val="75"/>
                <w:sz w:val="19"/>
              </w:rPr>
              <w:t>1,503,465</w:t>
            </w:r>
            <w:r>
              <w:rPr>
                <w:spacing w:val="-59"/>
                <w:w w:val="75"/>
                <w:sz w:val="19"/>
              </w:rPr>
              <w:t> </w:t>
            </w:r>
            <w:r>
              <w:rPr>
                <w:spacing w:val="-24"/>
                <w:w w:val="75"/>
                <w:sz w:val="19"/>
              </w:rPr>
              <w:t>.3</w:t>
            </w:r>
          </w:p>
          <w:p>
            <w:pPr>
              <w:pStyle w:val="TableParagraph"/>
              <w:spacing w:line="198" w:lineRule="exact"/>
              <w:ind w:left="350" w:right="-14"/>
              <w:rPr>
                <w:sz w:val="19"/>
              </w:rPr>
            </w:pPr>
            <w:r>
              <w:rPr>
                <w:w w:val="85"/>
                <w:sz w:val="19"/>
              </w:rPr>
              <w:t>1,436,991.7</w:t>
            </w:r>
          </w:p>
          <w:p>
            <w:pPr>
              <w:pStyle w:val="TableParagraph"/>
              <w:spacing w:line="207" w:lineRule="exact"/>
              <w:ind w:left="350" w:right="-14"/>
              <w:rPr>
                <w:sz w:val="19"/>
              </w:rPr>
            </w:pPr>
            <w:r>
              <w:rPr>
                <w:w w:val="80"/>
                <w:sz w:val="19"/>
              </w:rPr>
              <w:t>1,371,420.2</w:t>
            </w:r>
          </w:p>
        </w:tc>
        <w:tc>
          <w:tcPr>
            <w:tcW w:w="1550" w:type="dxa"/>
            <w:tcBorders>
              <w:top w:val="nil"/>
              <w:bottom w:val="nil"/>
            </w:tcBorders>
          </w:tcPr>
          <w:p>
            <w:pPr>
              <w:pStyle w:val="TableParagraph"/>
              <w:spacing w:line="208" w:lineRule="exact" w:before="86"/>
              <w:ind w:left="338" w:right="-7"/>
              <w:rPr>
                <w:sz w:val="19"/>
              </w:rPr>
            </w:pPr>
            <w:r>
              <w:rPr>
                <w:spacing w:val="-12"/>
                <w:w w:val="90"/>
                <w:sz w:val="19"/>
              </w:rPr>
              <w:t>24,032,177.4</w:t>
            </w:r>
          </w:p>
          <w:p>
            <w:pPr>
              <w:pStyle w:val="TableParagraph"/>
              <w:spacing w:line="204" w:lineRule="exact"/>
              <w:ind w:left="341" w:right="-7"/>
              <w:rPr>
                <w:sz w:val="19"/>
              </w:rPr>
            </w:pPr>
            <w:r>
              <w:rPr>
                <w:spacing w:val="-13"/>
                <w:w w:val="90"/>
                <w:sz w:val="19"/>
              </w:rPr>
              <w:t>22,392,847.7</w:t>
            </w:r>
          </w:p>
          <w:p>
            <w:pPr>
              <w:pStyle w:val="TableParagraph"/>
              <w:spacing w:line="194" w:lineRule="exact"/>
              <w:ind w:left="338" w:right="-7"/>
              <w:rPr>
                <w:b/>
                <w:sz w:val="18"/>
              </w:rPr>
            </w:pPr>
            <w:r>
              <w:rPr>
                <w:b/>
                <w:w w:val="90"/>
                <w:sz w:val="18"/>
              </w:rPr>
              <w:t>20,821,956.0</w:t>
            </w:r>
          </w:p>
          <w:p>
            <w:pPr>
              <w:pStyle w:val="TableParagraph"/>
              <w:spacing w:line="201" w:lineRule="exact"/>
              <w:ind w:left="349" w:right="-7"/>
              <w:rPr>
                <w:sz w:val="19"/>
              </w:rPr>
            </w:pPr>
            <w:r>
              <w:rPr>
                <w:spacing w:val="-11"/>
                <w:w w:val="90"/>
                <w:sz w:val="19"/>
              </w:rPr>
              <w:t>19,318,490.7</w:t>
            </w:r>
          </w:p>
          <w:p>
            <w:pPr>
              <w:pStyle w:val="TableParagraph"/>
              <w:spacing w:line="207" w:lineRule="exact"/>
              <w:ind w:left="349" w:right="-7"/>
              <w:rPr>
                <w:sz w:val="19"/>
              </w:rPr>
            </w:pPr>
            <w:r>
              <w:rPr>
                <w:w w:val="85"/>
                <w:sz w:val="19"/>
              </w:rPr>
              <w:t>17,881,499.0</w:t>
            </w:r>
          </w:p>
        </w:tc>
        <w:tc>
          <w:tcPr>
            <w:tcW w:w="1709" w:type="dxa"/>
            <w:tcBorders>
              <w:top w:val="nil"/>
              <w:bottom w:val="nil"/>
            </w:tcBorders>
          </w:tcPr>
          <w:p>
            <w:pPr>
              <w:pStyle w:val="TableParagraph"/>
              <w:spacing w:line="211" w:lineRule="exact" w:before="79"/>
              <w:ind w:left="419" w:right="-1"/>
              <w:rPr>
                <w:sz w:val="19"/>
              </w:rPr>
            </w:pPr>
            <w:r>
              <w:rPr>
                <w:w w:val="80"/>
                <w:sz w:val="19"/>
              </w:rPr>
              <w:t>261,443,387.1</w:t>
            </w:r>
          </w:p>
          <w:p>
            <w:pPr>
              <w:pStyle w:val="TableParagraph"/>
              <w:spacing w:line="194" w:lineRule="exact"/>
              <w:ind w:left="422" w:right="-1"/>
              <w:rPr>
                <w:b/>
                <w:sz w:val="18"/>
              </w:rPr>
            </w:pPr>
            <w:r>
              <w:rPr>
                <w:b/>
                <w:w w:val="70"/>
                <w:sz w:val="18"/>
              </w:rPr>
              <w:t>237 ,411,209.7</w:t>
            </w:r>
          </w:p>
          <w:p>
            <w:pPr>
              <w:pStyle w:val="TableParagraph"/>
              <w:spacing w:line="201" w:lineRule="exact"/>
              <w:ind w:left="419" w:right="-1"/>
              <w:rPr>
                <w:sz w:val="19"/>
              </w:rPr>
            </w:pPr>
            <w:r>
              <w:rPr>
                <w:spacing w:val="-23"/>
                <w:sz w:val="19"/>
              </w:rPr>
              <w:t>215,018,362.0</w:t>
            </w:r>
          </w:p>
          <w:p>
            <w:pPr>
              <w:pStyle w:val="TableParagraph"/>
              <w:spacing w:line="198" w:lineRule="exact"/>
              <w:ind w:left="430" w:right="-16"/>
              <w:rPr>
                <w:sz w:val="19"/>
              </w:rPr>
            </w:pPr>
            <w:r>
              <w:rPr>
                <w:w w:val="85"/>
                <w:sz w:val="19"/>
              </w:rPr>
              <w:t>194,196,406.0</w:t>
            </w:r>
          </w:p>
          <w:p>
            <w:pPr>
              <w:pStyle w:val="TableParagraph"/>
              <w:spacing w:line="207" w:lineRule="exact"/>
              <w:ind w:left="430" w:right="-1"/>
              <w:rPr>
                <w:sz w:val="19"/>
              </w:rPr>
            </w:pPr>
            <w:r>
              <w:rPr>
                <w:spacing w:val="-21"/>
                <w:w w:val="95"/>
                <w:sz w:val="19"/>
              </w:rPr>
              <w:t>174,877,915.3</w:t>
            </w:r>
          </w:p>
        </w:tc>
        <w:tc>
          <w:tcPr>
            <w:tcW w:w="500" w:type="dxa"/>
            <w:tcBorders>
              <w:top w:val="nil"/>
              <w:bottom w:val="nil"/>
              <w:right w:val="nil"/>
            </w:tcBorders>
          </w:tcPr>
          <w:p>
            <w:pPr>
              <w:pStyle w:val="TableParagraph"/>
              <w:spacing w:line="183" w:lineRule="exact" w:before="91"/>
              <w:ind w:left="175"/>
              <w:rPr>
                <w:rFonts w:ascii="Times New Roman"/>
                <w:sz w:val="16"/>
              </w:rPr>
            </w:pPr>
            <w:r>
              <w:rPr>
                <w:rFonts w:ascii="Times New Roman"/>
                <w:w w:val="110"/>
                <w:sz w:val="16"/>
              </w:rPr>
              <w:t>55</w:t>
            </w:r>
          </w:p>
          <w:p>
            <w:pPr>
              <w:pStyle w:val="TableParagraph"/>
              <w:spacing w:line="206" w:lineRule="exact"/>
              <w:ind w:left="175"/>
              <w:rPr>
                <w:rFonts w:ascii="Times New Roman"/>
                <w:sz w:val="18"/>
              </w:rPr>
            </w:pPr>
            <w:r>
              <w:rPr>
                <w:rFonts w:ascii="Times New Roman"/>
                <w:sz w:val="18"/>
              </w:rPr>
              <w:t>56</w:t>
            </w:r>
          </w:p>
          <w:p>
            <w:pPr>
              <w:pStyle w:val="TableParagraph"/>
              <w:spacing w:line="201" w:lineRule="exact" w:before="5"/>
              <w:ind w:left="175"/>
              <w:rPr>
                <w:b/>
                <w:sz w:val="18"/>
              </w:rPr>
            </w:pPr>
            <w:r>
              <w:rPr>
                <w:b/>
                <w:sz w:val="18"/>
              </w:rPr>
              <w:t>57</w:t>
            </w:r>
          </w:p>
          <w:p>
            <w:pPr>
              <w:pStyle w:val="TableParagraph"/>
              <w:spacing w:line="181" w:lineRule="exact"/>
              <w:ind w:left="175"/>
              <w:rPr>
                <w:rFonts w:ascii="Times New Roman"/>
                <w:sz w:val="16"/>
              </w:rPr>
            </w:pPr>
            <w:r>
              <w:rPr>
                <w:rFonts w:ascii="Times New Roman"/>
                <w:w w:val="110"/>
                <w:sz w:val="16"/>
              </w:rPr>
              <w:t>58</w:t>
            </w:r>
          </w:p>
          <w:p>
            <w:pPr>
              <w:pStyle w:val="TableParagraph"/>
              <w:spacing w:before="13"/>
              <w:ind w:left="171"/>
              <w:rPr>
                <w:b/>
                <w:sz w:val="18"/>
              </w:rPr>
            </w:pPr>
            <w:r>
              <w:rPr>
                <w:b/>
                <w:sz w:val="18"/>
              </w:rPr>
              <w:t>59</w:t>
            </w:r>
          </w:p>
        </w:tc>
      </w:tr>
      <w:tr>
        <w:trPr>
          <w:trHeight w:val="1203" w:hRule="exact"/>
        </w:trPr>
        <w:tc>
          <w:tcPr>
            <w:tcW w:w="499" w:type="dxa"/>
            <w:tcBorders>
              <w:top w:val="nil"/>
              <w:left w:val="nil"/>
              <w:bottom w:val="nil"/>
            </w:tcBorders>
          </w:tcPr>
          <w:p>
            <w:pPr>
              <w:pStyle w:val="TableParagraph"/>
              <w:spacing w:before="112"/>
              <w:ind w:left="169"/>
              <w:rPr>
                <w:rFonts w:ascii="Times New Roman"/>
                <w:sz w:val="16"/>
              </w:rPr>
            </w:pPr>
            <w:r>
              <w:rPr>
                <w:rFonts w:ascii="Times New Roman"/>
                <w:w w:val="105"/>
                <w:sz w:val="16"/>
              </w:rPr>
              <w:t>60</w:t>
            </w:r>
          </w:p>
          <w:p>
            <w:pPr>
              <w:pStyle w:val="TableParagraph"/>
              <w:spacing w:line="207" w:lineRule="exact" w:before="1"/>
              <w:ind w:left="169"/>
              <w:rPr>
                <w:sz w:val="19"/>
              </w:rPr>
            </w:pPr>
            <w:r>
              <w:rPr>
                <w:sz w:val="19"/>
              </w:rPr>
              <w:t>61</w:t>
            </w:r>
          </w:p>
          <w:p>
            <w:pPr>
              <w:pStyle w:val="TableParagraph"/>
              <w:spacing w:line="203" w:lineRule="exact"/>
              <w:ind w:left="172"/>
              <w:rPr>
                <w:sz w:val="19"/>
              </w:rPr>
            </w:pPr>
            <w:r>
              <w:rPr>
                <w:sz w:val="19"/>
              </w:rPr>
              <w:t>62</w:t>
            </w:r>
          </w:p>
          <w:p>
            <w:pPr>
              <w:pStyle w:val="TableParagraph"/>
              <w:spacing w:line="205" w:lineRule="exact"/>
              <w:ind w:left="172"/>
              <w:rPr>
                <w:sz w:val="19"/>
              </w:rPr>
            </w:pPr>
            <w:r>
              <w:rPr>
                <w:w w:val="90"/>
                <w:sz w:val="19"/>
              </w:rPr>
              <w:t>63</w:t>
            </w:r>
          </w:p>
          <w:p>
            <w:pPr>
              <w:pStyle w:val="TableParagraph"/>
              <w:spacing w:line="208" w:lineRule="exact"/>
              <w:ind w:left="172"/>
              <w:rPr>
                <w:sz w:val="19"/>
              </w:rPr>
            </w:pPr>
            <w:r>
              <w:rPr>
                <w:w w:val="95"/>
                <w:sz w:val="19"/>
              </w:rPr>
              <w:t>64</w:t>
            </w:r>
          </w:p>
        </w:tc>
        <w:tc>
          <w:tcPr>
            <w:tcW w:w="1474" w:type="dxa"/>
            <w:tcBorders>
              <w:top w:val="nil"/>
              <w:bottom w:val="nil"/>
            </w:tcBorders>
          </w:tcPr>
          <w:p>
            <w:pPr>
              <w:pStyle w:val="TableParagraph"/>
              <w:spacing w:line="205" w:lineRule="exact" w:before="92"/>
              <w:ind w:left="350" w:right="-14"/>
              <w:rPr>
                <w:sz w:val="19"/>
              </w:rPr>
            </w:pPr>
            <w:r>
              <w:rPr>
                <w:w w:val="85"/>
                <w:sz w:val="19"/>
              </w:rPr>
              <w:t>1,306,723.8</w:t>
            </w:r>
          </w:p>
          <w:p>
            <w:pPr>
              <w:pStyle w:val="TableParagraph"/>
              <w:spacing w:line="198" w:lineRule="exact"/>
              <w:ind w:left="347" w:right="-14"/>
              <w:rPr>
                <w:sz w:val="19"/>
              </w:rPr>
            </w:pPr>
            <w:r>
              <w:rPr>
                <w:w w:val="85"/>
                <w:sz w:val="19"/>
              </w:rPr>
              <w:t>1,242,859.2</w:t>
            </w:r>
          </w:p>
          <w:p>
            <w:pPr>
              <w:pStyle w:val="TableParagraph"/>
              <w:spacing w:line="200" w:lineRule="exact"/>
              <w:ind w:left="354" w:right="-14"/>
              <w:rPr>
                <w:sz w:val="19"/>
              </w:rPr>
            </w:pPr>
            <w:r>
              <w:rPr>
                <w:w w:val="85"/>
                <w:sz w:val="19"/>
              </w:rPr>
              <w:t>1,179,823.4</w:t>
            </w:r>
          </w:p>
          <w:p>
            <w:pPr>
              <w:pStyle w:val="TableParagraph"/>
              <w:spacing w:line="202" w:lineRule="exact"/>
              <w:ind w:left="350" w:right="-14"/>
              <w:rPr>
                <w:sz w:val="19"/>
              </w:rPr>
            </w:pPr>
            <w:r>
              <w:rPr>
                <w:w w:val="80"/>
                <w:sz w:val="19"/>
              </w:rPr>
              <w:t>1,117,613.4</w:t>
            </w:r>
          </w:p>
          <w:p>
            <w:pPr>
              <w:pStyle w:val="TableParagraph"/>
              <w:spacing w:line="210" w:lineRule="exact"/>
              <w:ind w:left="350" w:right="-14"/>
              <w:rPr>
                <w:sz w:val="19"/>
              </w:rPr>
            </w:pPr>
            <w:r>
              <w:rPr>
                <w:w w:val="80"/>
                <w:sz w:val="19"/>
              </w:rPr>
              <w:t>1,066,231.5</w:t>
            </w:r>
          </w:p>
        </w:tc>
        <w:tc>
          <w:tcPr>
            <w:tcW w:w="1550" w:type="dxa"/>
            <w:tcBorders>
              <w:top w:val="nil"/>
              <w:bottom w:val="nil"/>
            </w:tcBorders>
          </w:tcPr>
          <w:p>
            <w:pPr>
              <w:pStyle w:val="TableParagraph"/>
              <w:spacing w:line="207" w:lineRule="exact" w:before="81"/>
              <w:ind w:left="345" w:right="-7"/>
              <w:rPr>
                <w:sz w:val="19"/>
              </w:rPr>
            </w:pPr>
            <w:r>
              <w:rPr>
                <w:w w:val="85"/>
                <w:sz w:val="19"/>
              </w:rPr>
              <w:t>16,510,078.8</w:t>
            </w:r>
          </w:p>
          <w:p>
            <w:pPr>
              <w:pStyle w:val="TableParagraph"/>
              <w:spacing w:line="202" w:lineRule="exact"/>
              <w:ind w:left="341" w:right="-7"/>
              <w:rPr>
                <w:sz w:val="19"/>
              </w:rPr>
            </w:pPr>
            <w:r>
              <w:rPr>
                <w:spacing w:val="-12"/>
                <w:w w:val="90"/>
                <w:sz w:val="19"/>
              </w:rPr>
              <w:t>15,203,355.0</w:t>
            </w:r>
          </w:p>
          <w:p>
            <w:pPr>
              <w:pStyle w:val="TableParagraph"/>
              <w:spacing w:line="192" w:lineRule="exact"/>
              <w:ind w:left="345" w:right="-7"/>
              <w:rPr>
                <w:b/>
                <w:sz w:val="18"/>
              </w:rPr>
            </w:pPr>
            <w:r>
              <w:rPr>
                <w:b/>
                <w:w w:val="85"/>
                <w:sz w:val="18"/>
              </w:rPr>
              <w:t>13,960,495.8</w:t>
            </w:r>
          </w:p>
          <w:p>
            <w:pPr>
              <w:pStyle w:val="TableParagraph"/>
              <w:spacing w:line="201" w:lineRule="exact"/>
              <w:ind w:left="349" w:right="-7"/>
              <w:rPr>
                <w:sz w:val="19"/>
              </w:rPr>
            </w:pPr>
            <w:r>
              <w:rPr>
                <w:spacing w:val="-16"/>
                <w:w w:val="95"/>
                <w:sz w:val="19"/>
              </w:rPr>
              <w:t>12,780,672.4</w:t>
            </w:r>
          </w:p>
          <w:p>
            <w:pPr>
              <w:pStyle w:val="TableParagraph"/>
              <w:spacing w:line="208" w:lineRule="exact"/>
              <w:ind w:left="345" w:right="-7"/>
              <w:rPr>
                <w:sz w:val="19"/>
              </w:rPr>
            </w:pPr>
            <w:r>
              <w:rPr>
                <w:spacing w:val="-16"/>
                <w:w w:val="95"/>
                <w:sz w:val="19"/>
              </w:rPr>
              <w:t>11,663,059.0</w:t>
            </w:r>
          </w:p>
        </w:tc>
        <w:tc>
          <w:tcPr>
            <w:tcW w:w="1709" w:type="dxa"/>
            <w:tcBorders>
              <w:top w:val="nil"/>
              <w:bottom w:val="nil"/>
            </w:tcBorders>
          </w:tcPr>
          <w:p>
            <w:pPr>
              <w:pStyle w:val="TableParagraph"/>
              <w:spacing w:line="207" w:lineRule="exact" w:before="71"/>
              <w:ind w:left="426" w:right="-1"/>
              <w:rPr>
                <w:sz w:val="19"/>
              </w:rPr>
            </w:pPr>
            <w:r>
              <w:rPr>
                <w:w w:val="80"/>
                <w:sz w:val="19"/>
              </w:rPr>
              <w:t>156,996,416.3</w:t>
            </w:r>
          </w:p>
          <w:p>
            <w:pPr>
              <w:pStyle w:val="TableParagraph"/>
              <w:spacing w:line="198" w:lineRule="exact"/>
              <w:ind w:left="426" w:right="-12"/>
              <w:rPr>
                <w:sz w:val="19"/>
              </w:rPr>
            </w:pPr>
            <w:r>
              <w:rPr>
                <w:w w:val="85"/>
                <w:sz w:val="19"/>
              </w:rPr>
              <w:t>140,486,337.5</w:t>
            </w:r>
          </w:p>
          <w:p>
            <w:pPr>
              <w:pStyle w:val="TableParagraph"/>
              <w:spacing w:line="202" w:lineRule="exact"/>
              <w:ind w:left="422" w:right="-1"/>
              <w:rPr>
                <w:sz w:val="19"/>
              </w:rPr>
            </w:pPr>
            <w:r>
              <w:rPr>
                <w:spacing w:val="-13"/>
                <w:w w:val="90"/>
                <w:sz w:val="19"/>
              </w:rPr>
              <w:t>125,282,982.5</w:t>
            </w:r>
          </w:p>
          <w:p>
            <w:pPr>
              <w:pStyle w:val="TableParagraph"/>
              <w:spacing w:line="198" w:lineRule="exact"/>
              <w:ind w:left="426" w:right="-1"/>
              <w:rPr>
                <w:b/>
                <w:sz w:val="18"/>
              </w:rPr>
            </w:pPr>
            <w:r>
              <w:rPr>
                <w:b/>
                <w:w w:val="75"/>
                <w:sz w:val="18"/>
              </w:rPr>
              <w:t>111,322</w:t>
            </w:r>
            <w:r>
              <w:rPr>
                <w:b/>
                <w:spacing w:val="-73"/>
                <w:w w:val="75"/>
                <w:sz w:val="18"/>
              </w:rPr>
              <w:t> </w:t>
            </w:r>
            <w:r>
              <w:rPr>
                <w:b/>
                <w:spacing w:val="-6"/>
                <w:w w:val="75"/>
                <w:sz w:val="18"/>
              </w:rPr>
              <w:t>,486.7</w:t>
            </w:r>
          </w:p>
          <w:p>
            <w:pPr>
              <w:pStyle w:val="TableParagraph"/>
              <w:spacing w:line="203" w:lineRule="exact"/>
              <w:ind w:left="491" w:right="-1"/>
              <w:rPr>
                <w:b/>
                <w:sz w:val="18"/>
              </w:rPr>
            </w:pPr>
            <w:r>
              <w:rPr>
                <w:b/>
                <w:w w:val="75"/>
                <w:sz w:val="18"/>
              </w:rPr>
              <w:t>98,541,814 .3</w:t>
            </w:r>
          </w:p>
        </w:tc>
        <w:tc>
          <w:tcPr>
            <w:tcW w:w="500" w:type="dxa"/>
            <w:tcBorders>
              <w:top w:val="nil"/>
              <w:bottom w:val="nil"/>
              <w:right w:val="nil"/>
            </w:tcBorders>
          </w:tcPr>
          <w:p>
            <w:pPr>
              <w:pStyle w:val="TableParagraph"/>
              <w:spacing w:before="64"/>
              <w:ind w:left="168"/>
              <w:rPr>
                <w:rFonts w:ascii="Times New Roman"/>
                <w:b/>
                <w:sz w:val="18"/>
              </w:rPr>
            </w:pPr>
            <w:r>
              <w:rPr>
                <w:rFonts w:ascii="Times New Roman"/>
                <w:b/>
                <w:sz w:val="18"/>
              </w:rPr>
              <w:t>60</w:t>
            </w:r>
          </w:p>
          <w:p>
            <w:pPr>
              <w:pStyle w:val="TableParagraph"/>
              <w:spacing w:line="199" w:lineRule="exact" w:before="5"/>
              <w:ind w:left="168"/>
              <w:rPr>
                <w:b/>
                <w:sz w:val="18"/>
              </w:rPr>
            </w:pPr>
            <w:r>
              <w:rPr>
                <w:b/>
                <w:w w:val="90"/>
                <w:sz w:val="18"/>
              </w:rPr>
              <w:t>61</w:t>
            </w:r>
          </w:p>
          <w:p>
            <w:pPr>
              <w:pStyle w:val="TableParagraph"/>
              <w:spacing w:line="205" w:lineRule="exact"/>
              <w:ind w:left="171"/>
              <w:rPr>
                <w:sz w:val="19"/>
              </w:rPr>
            </w:pPr>
            <w:r>
              <w:rPr>
                <w:w w:val="105"/>
                <w:sz w:val="19"/>
              </w:rPr>
              <w:t>62</w:t>
            </w:r>
          </w:p>
          <w:p>
            <w:pPr>
              <w:pStyle w:val="TableParagraph"/>
              <w:spacing w:line="198" w:lineRule="exact"/>
              <w:ind w:left="171"/>
              <w:rPr>
                <w:sz w:val="19"/>
              </w:rPr>
            </w:pPr>
            <w:r>
              <w:rPr>
                <w:w w:val="95"/>
                <w:sz w:val="19"/>
              </w:rPr>
              <w:t>63</w:t>
            </w:r>
          </w:p>
          <w:p>
            <w:pPr>
              <w:pStyle w:val="TableParagraph"/>
              <w:spacing w:line="195" w:lineRule="exact"/>
              <w:ind w:left="168"/>
              <w:rPr>
                <w:rFonts w:ascii="Times New Roman"/>
                <w:b/>
                <w:sz w:val="18"/>
              </w:rPr>
            </w:pPr>
            <w:r>
              <w:rPr>
                <w:rFonts w:ascii="Times New Roman"/>
                <w:b/>
                <w:sz w:val="18"/>
              </w:rPr>
              <w:t>64</w:t>
            </w:r>
          </w:p>
        </w:tc>
      </w:tr>
      <w:tr>
        <w:trPr>
          <w:trHeight w:val="889" w:hRule="exact"/>
        </w:trPr>
        <w:tc>
          <w:tcPr>
            <w:tcW w:w="499" w:type="dxa"/>
            <w:tcBorders>
              <w:top w:val="nil"/>
              <w:left w:val="nil"/>
              <w:bottom w:val="nil"/>
            </w:tcBorders>
          </w:tcPr>
          <w:p>
            <w:pPr>
              <w:pStyle w:val="TableParagraph"/>
              <w:spacing w:line="213" w:lineRule="exact" w:before="95"/>
              <w:ind w:left="172"/>
              <w:rPr>
                <w:sz w:val="19"/>
              </w:rPr>
            </w:pPr>
            <w:r>
              <w:rPr>
                <w:w w:val="95"/>
                <w:sz w:val="19"/>
              </w:rPr>
              <w:t>65</w:t>
            </w:r>
          </w:p>
          <w:p>
            <w:pPr>
              <w:pStyle w:val="TableParagraph"/>
              <w:spacing w:line="182" w:lineRule="exact"/>
              <w:ind w:left="172"/>
              <w:rPr>
                <w:rFonts w:ascii="Times New Roman"/>
                <w:sz w:val="16"/>
              </w:rPr>
            </w:pPr>
            <w:r>
              <w:rPr>
                <w:rFonts w:ascii="Times New Roman"/>
                <w:w w:val="105"/>
                <w:sz w:val="16"/>
              </w:rPr>
              <w:t>66</w:t>
            </w:r>
          </w:p>
          <w:p>
            <w:pPr>
              <w:pStyle w:val="TableParagraph"/>
              <w:spacing w:line="206" w:lineRule="exact" w:before="1"/>
              <w:ind w:left="172"/>
              <w:rPr>
                <w:sz w:val="19"/>
              </w:rPr>
            </w:pPr>
            <w:r>
              <w:rPr>
                <w:w w:val="105"/>
                <w:sz w:val="19"/>
              </w:rPr>
              <w:t>67</w:t>
            </w:r>
          </w:p>
          <w:p>
            <w:pPr>
              <w:pStyle w:val="TableParagraph"/>
              <w:spacing w:line="186" w:lineRule="exact"/>
              <w:ind w:left="176"/>
              <w:rPr>
                <w:rFonts w:ascii="Arial"/>
                <w:sz w:val="17"/>
              </w:rPr>
            </w:pPr>
            <w:r>
              <w:rPr>
                <w:rFonts w:ascii="Arial"/>
                <w:sz w:val="17"/>
              </w:rPr>
              <w:t>68</w:t>
            </w:r>
          </w:p>
        </w:tc>
        <w:tc>
          <w:tcPr>
            <w:tcW w:w="1474" w:type="dxa"/>
            <w:tcBorders>
              <w:top w:val="nil"/>
              <w:bottom w:val="nil"/>
            </w:tcBorders>
          </w:tcPr>
          <w:p>
            <w:pPr>
              <w:pStyle w:val="TableParagraph"/>
              <w:spacing w:line="192" w:lineRule="exact" w:before="96"/>
              <w:ind w:left="502" w:right="-14"/>
              <w:rPr>
                <w:b/>
                <w:sz w:val="18"/>
              </w:rPr>
            </w:pPr>
            <w:r>
              <w:rPr>
                <w:b/>
                <w:w w:val="85"/>
                <w:sz w:val="18"/>
              </w:rPr>
              <w:t>995,687.8</w:t>
            </w:r>
          </w:p>
          <w:p>
            <w:pPr>
              <w:pStyle w:val="TableParagraph"/>
              <w:spacing w:line="195" w:lineRule="exact"/>
              <w:ind w:left="505" w:right="-14"/>
              <w:rPr>
                <w:rFonts w:ascii="Times New Roman"/>
                <w:b/>
                <w:sz w:val="18"/>
              </w:rPr>
            </w:pPr>
            <w:r>
              <w:rPr>
                <w:rFonts w:ascii="Times New Roman"/>
                <w:b/>
                <w:sz w:val="18"/>
              </w:rPr>
              <w:t>935,994.9</w:t>
            </w:r>
          </w:p>
          <w:p>
            <w:pPr>
              <w:pStyle w:val="TableParagraph"/>
              <w:spacing w:line="207" w:lineRule="exact" w:before="1"/>
              <w:ind w:left="502" w:right="-14"/>
              <w:rPr>
                <w:sz w:val="19"/>
              </w:rPr>
            </w:pPr>
            <w:r>
              <w:rPr>
                <w:w w:val="90"/>
                <w:sz w:val="19"/>
              </w:rPr>
              <w:t>877,163.6</w:t>
            </w:r>
          </w:p>
          <w:p>
            <w:pPr>
              <w:pStyle w:val="TableParagraph"/>
              <w:spacing w:line="207" w:lineRule="exact"/>
              <w:ind w:left="502" w:right="-14"/>
              <w:rPr>
                <w:sz w:val="19"/>
              </w:rPr>
            </w:pPr>
            <w:r>
              <w:rPr>
                <w:spacing w:val="-12"/>
                <w:w w:val="95"/>
                <w:sz w:val="19"/>
              </w:rPr>
              <w:t>819,219.7</w:t>
            </w:r>
          </w:p>
        </w:tc>
        <w:tc>
          <w:tcPr>
            <w:tcW w:w="1550" w:type="dxa"/>
            <w:tcBorders>
              <w:top w:val="nil"/>
              <w:bottom w:val="nil"/>
            </w:tcBorders>
          </w:tcPr>
          <w:p>
            <w:pPr>
              <w:pStyle w:val="TableParagraph"/>
              <w:spacing w:line="207" w:lineRule="exact" w:before="73"/>
              <w:ind w:left="349" w:right="-7"/>
              <w:rPr>
                <w:sz w:val="19"/>
              </w:rPr>
            </w:pPr>
            <w:r>
              <w:rPr>
                <w:w w:val="85"/>
                <w:sz w:val="19"/>
              </w:rPr>
              <w:t>10,606,827.5</w:t>
            </w:r>
          </w:p>
          <w:p>
            <w:pPr>
              <w:pStyle w:val="TableParagraph"/>
              <w:spacing w:line="198" w:lineRule="exact"/>
              <w:ind w:left="417" w:right="-7"/>
              <w:rPr>
                <w:sz w:val="19"/>
              </w:rPr>
            </w:pPr>
            <w:r>
              <w:rPr>
                <w:spacing w:val="-8"/>
                <w:w w:val="90"/>
                <w:sz w:val="19"/>
              </w:rPr>
              <w:t>9,611,139.7</w:t>
            </w:r>
          </w:p>
          <w:p>
            <w:pPr>
              <w:pStyle w:val="TableParagraph"/>
              <w:spacing w:line="200" w:lineRule="exact"/>
              <w:ind w:left="421" w:right="-7"/>
              <w:rPr>
                <w:sz w:val="19"/>
              </w:rPr>
            </w:pPr>
            <w:r>
              <w:rPr>
                <w:spacing w:val="-14"/>
                <w:w w:val="85"/>
                <w:sz w:val="19"/>
              </w:rPr>
              <w:t>8,675,144</w:t>
            </w:r>
            <w:r>
              <w:rPr>
                <w:spacing w:val="-83"/>
                <w:w w:val="85"/>
                <w:sz w:val="19"/>
              </w:rPr>
              <w:t> </w:t>
            </w:r>
            <w:r>
              <w:rPr>
                <w:spacing w:val="-24"/>
                <w:w w:val="85"/>
                <w:sz w:val="19"/>
              </w:rPr>
              <w:t>.8</w:t>
            </w:r>
          </w:p>
          <w:p>
            <w:pPr>
              <w:pStyle w:val="TableParagraph"/>
              <w:spacing w:line="208" w:lineRule="exact"/>
              <w:ind w:left="421" w:right="-7"/>
              <w:rPr>
                <w:sz w:val="19"/>
              </w:rPr>
            </w:pPr>
            <w:r>
              <w:rPr>
                <w:spacing w:val="-15"/>
                <w:w w:val="95"/>
                <w:sz w:val="19"/>
              </w:rPr>
              <w:t>7,797,981.2</w:t>
            </w:r>
          </w:p>
        </w:tc>
        <w:tc>
          <w:tcPr>
            <w:tcW w:w="1709" w:type="dxa"/>
            <w:tcBorders>
              <w:top w:val="nil"/>
              <w:bottom w:val="nil"/>
            </w:tcBorders>
          </w:tcPr>
          <w:p>
            <w:pPr>
              <w:pStyle w:val="TableParagraph"/>
              <w:spacing w:line="201" w:lineRule="exact" w:before="71"/>
              <w:ind w:left="491" w:right="-1"/>
              <w:rPr>
                <w:b/>
                <w:sz w:val="18"/>
              </w:rPr>
            </w:pPr>
            <w:r>
              <w:rPr>
                <w:b/>
                <w:w w:val="90"/>
                <w:sz w:val="18"/>
              </w:rPr>
              <w:t>86,878,755.3</w:t>
            </w:r>
          </w:p>
          <w:p>
            <w:pPr>
              <w:pStyle w:val="TableParagraph"/>
              <w:spacing w:line="200" w:lineRule="exact"/>
              <w:ind w:left="494" w:right="-1"/>
              <w:rPr>
                <w:b/>
                <w:sz w:val="18"/>
              </w:rPr>
            </w:pPr>
            <w:r>
              <w:rPr>
                <w:b/>
                <w:w w:val="85"/>
                <w:sz w:val="18"/>
              </w:rPr>
              <w:t>76,271,927.8</w:t>
            </w:r>
          </w:p>
          <w:p>
            <w:pPr>
              <w:pStyle w:val="TableParagraph"/>
              <w:spacing w:line="202" w:lineRule="exact"/>
              <w:ind w:left="494" w:right="-1"/>
              <w:rPr>
                <w:b/>
                <w:sz w:val="18"/>
              </w:rPr>
            </w:pPr>
            <w:r>
              <w:rPr>
                <w:b/>
                <w:w w:val="85"/>
                <w:sz w:val="18"/>
              </w:rPr>
              <w:t>66,660,788.1</w:t>
            </w:r>
          </w:p>
          <w:p>
            <w:pPr>
              <w:pStyle w:val="TableParagraph"/>
              <w:spacing w:line="203" w:lineRule="exact"/>
              <w:ind w:left="498" w:right="-1"/>
              <w:rPr>
                <w:b/>
                <w:sz w:val="18"/>
              </w:rPr>
            </w:pPr>
            <w:r>
              <w:rPr>
                <w:b/>
                <w:w w:val="80"/>
                <w:sz w:val="18"/>
              </w:rPr>
              <w:t>57,985,643.3</w:t>
            </w:r>
          </w:p>
        </w:tc>
        <w:tc>
          <w:tcPr>
            <w:tcW w:w="500" w:type="dxa"/>
            <w:tcBorders>
              <w:top w:val="nil"/>
              <w:bottom w:val="nil"/>
              <w:right w:val="nil"/>
            </w:tcBorders>
          </w:tcPr>
          <w:p>
            <w:pPr>
              <w:pStyle w:val="TableParagraph"/>
              <w:spacing w:line="203" w:lineRule="exact" w:before="70"/>
              <w:ind w:left="171"/>
              <w:rPr>
                <w:sz w:val="19"/>
              </w:rPr>
            </w:pPr>
            <w:r>
              <w:rPr>
                <w:w w:val="95"/>
                <w:sz w:val="19"/>
              </w:rPr>
              <w:t>65</w:t>
            </w:r>
          </w:p>
          <w:p>
            <w:pPr>
              <w:pStyle w:val="TableParagraph"/>
              <w:spacing w:line="192" w:lineRule="exact"/>
              <w:ind w:left="168"/>
              <w:rPr>
                <w:rFonts w:ascii="Times New Roman"/>
                <w:b/>
                <w:sz w:val="18"/>
              </w:rPr>
            </w:pPr>
            <w:r>
              <w:rPr>
                <w:rFonts w:ascii="Times New Roman"/>
                <w:b/>
                <w:sz w:val="18"/>
              </w:rPr>
              <w:t>66</w:t>
            </w:r>
          </w:p>
          <w:p>
            <w:pPr>
              <w:pStyle w:val="TableParagraph"/>
              <w:spacing w:line="205" w:lineRule="exact"/>
              <w:ind w:left="171"/>
              <w:rPr>
                <w:sz w:val="19"/>
              </w:rPr>
            </w:pPr>
            <w:r>
              <w:rPr>
                <w:w w:val="105"/>
                <w:sz w:val="19"/>
              </w:rPr>
              <w:t>67</w:t>
            </w:r>
          </w:p>
          <w:p>
            <w:pPr>
              <w:pStyle w:val="TableParagraph"/>
              <w:spacing w:line="188" w:lineRule="exact"/>
              <w:ind w:left="171"/>
              <w:rPr>
                <w:rFonts w:ascii="Arial"/>
                <w:sz w:val="17"/>
              </w:rPr>
            </w:pPr>
            <w:r>
              <w:rPr>
                <w:rFonts w:ascii="Arial"/>
                <w:sz w:val="17"/>
              </w:rPr>
              <w:t>68</w:t>
            </w:r>
          </w:p>
        </w:tc>
      </w:tr>
      <w:tr>
        <w:trPr>
          <w:trHeight w:val="306" w:hRule="exact"/>
        </w:trPr>
        <w:tc>
          <w:tcPr>
            <w:tcW w:w="499" w:type="dxa"/>
            <w:tcBorders>
              <w:top w:val="nil"/>
              <w:left w:val="nil"/>
              <w:bottom w:val="single" w:sz="9" w:space="0" w:color="000000"/>
            </w:tcBorders>
          </w:tcPr>
          <w:p>
            <w:pPr>
              <w:pStyle w:val="TableParagraph"/>
              <w:spacing w:line="213" w:lineRule="exact"/>
              <w:ind w:left="118" w:right="59"/>
              <w:jc w:val="center"/>
              <w:rPr>
                <w:sz w:val="19"/>
              </w:rPr>
            </w:pPr>
            <w:r>
              <w:rPr>
                <w:w w:val="105"/>
                <w:sz w:val="19"/>
              </w:rPr>
              <w:t>69</w:t>
            </w:r>
          </w:p>
        </w:tc>
        <w:tc>
          <w:tcPr>
            <w:tcW w:w="1474" w:type="dxa"/>
            <w:tcBorders>
              <w:top w:val="nil"/>
              <w:bottom w:val="single" w:sz="9" w:space="0" w:color="000000"/>
            </w:tcBorders>
          </w:tcPr>
          <w:p>
            <w:pPr>
              <w:pStyle w:val="TableParagraph"/>
              <w:spacing w:line="203" w:lineRule="exact"/>
              <w:ind w:right="217"/>
              <w:jc w:val="right"/>
              <w:rPr>
                <w:b/>
                <w:sz w:val="18"/>
              </w:rPr>
            </w:pPr>
            <w:r>
              <w:rPr>
                <w:b/>
                <w:w w:val="85"/>
                <w:sz w:val="18"/>
              </w:rPr>
              <w:t>762,208.4</w:t>
            </w:r>
          </w:p>
        </w:tc>
        <w:tc>
          <w:tcPr>
            <w:tcW w:w="1550" w:type="dxa"/>
            <w:tcBorders>
              <w:top w:val="nil"/>
              <w:bottom w:val="single" w:sz="9" w:space="0" w:color="000000"/>
            </w:tcBorders>
          </w:tcPr>
          <w:p>
            <w:pPr>
              <w:pStyle w:val="TableParagraph"/>
              <w:spacing w:line="199" w:lineRule="exact"/>
              <w:ind w:right="219"/>
              <w:jc w:val="right"/>
              <w:rPr>
                <w:sz w:val="19"/>
              </w:rPr>
            </w:pPr>
            <w:r>
              <w:rPr>
                <w:w w:val="75"/>
                <w:sz w:val="19"/>
              </w:rPr>
              <w:t>6,978,761.5</w:t>
            </w:r>
          </w:p>
        </w:tc>
        <w:tc>
          <w:tcPr>
            <w:tcW w:w="1709" w:type="dxa"/>
            <w:tcBorders>
              <w:top w:val="nil"/>
              <w:bottom w:val="single" w:sz="7" w:space="0" w:color="000000"/>
            </w:tcBorders>
          </w:tcPr>
          <w:p>
            <w:pPr>
              <w:pStyle w:val="TableParagraph"/>
              <w:spacing w:line="185" w:lineRule="exact"/>
              <w:ind w:right="217"/>
              <w:jc w:val="right"/>
              <w:rPr>
                <w:b/>
                <w:sz w:val="18"/>
              </w:rPr>
            </w:pPr>
            <w:r>
              <w:rPr>
                <w:b/>
                <w:w w:val="75"/>
                <w:sz w:val="18"/>
              </w:rPr>
              <w:t>50,187,662.1</w:t>
            </w:r>
          </w:p>
        </w:tc>
        <w:tc>
          <w:tcPr>
            <w:tcW w:w="500" w:type="dxa"/>
            <w:tcBorders>
              <w:top w:val="nil"/>
              <w:bottom w:val="single" w:sz="7" w:space="0" w:color="000000"/>
              <w:right w:val="nil"/>
            </w:tcBorders>
          </w:tcPr>
          <w:p>
            <w:pPr>
              <w:pStyle w:val="TableParagraph"/>
              <w:spacing w:line="185" w:lineRule="exact"/>
              <w:ind w:left="111" w:right="74"/>
              <w:jc w:val="center"/>
              <w:rPr>
                <w:b/>
                <w:sz w:val="18"/>
              </w:rPr>
            </w:pPr>
            <w:r>
              <w:rPr>
                <w:b/>
                <w:sz w:val="18"/>
              </w:rPr>
              <w:t>69</w:t>
            </w:r>
          </w:p>
        </w:tc>
      </w:tr>
    </w:tbl>
    <w:p>
      <w:pPr>
        <w:spacing w:after="0" w:line="185" w:lineRule="exact"/>
        <w:jc w:val="center"/>
        <w:rPr>
          <w:sz w:val="18"/>
        </w:rPr>
        <w:sectPr>
          <w:pgSz w:w="7200" w:h="11340"/>
          <w:pgMar w:top="480" w:bottom="280" w:left="700" w:right="500"/>
        </w:sectPr>
      </w:pPr>
    </w:p>
    <w:p>
      <w:pPr>
        <w:tabs>
          <w:tab w:pos="2452" w:val="left" w:leader="none"/>
        </w:tabs>
        <w:spacing w:before="47"/>
        <w:ind w:left="106" w:right="0" w:firstLine="0"/>
        <w:jc w:val="left"/>
        <w:rPr>
          <w:sz w:val="15"/>
        </w:rPr>
      </w:pPr>
      <w:r>
        <w:rPr>
          <w:color w:val="010101"/>
          <w:w w:val="115"/>
          <w:sz w:val="20"/>
        </w:rPr>
        <w:t>338</w:t>
        <w:tab/>
      </w:r>
      <w:r>
        <w:rPr>
          <w:b/>
          <w:color w:val="010101"/>
          <w:w w:val="115"/>
          <w:sz w:val="15"/>
        </w:rPr>
        <w:t>APPENDIX</w:t>
      </w:r>
      <w:r>
        <w:rPr>
          <w:b/>
          <w:color w:val="010101"/>
          <w:spacing w:val="16"/>
          <w:w w:val="115"/>
          <w:sz w:val="15"/>
        </w:rPr>
        <w:t> </w:t>
      </w:r>
      <w:r>
        <w:rPr>
          <w:color w:val="010101"/>
          <w:w w:val="125"/>
          <w:sz w:val="15"/>
        </w:rPr>
        <w:t>1</w:t>
      </w:r>
    </w:p>
    <w:p>
      <w:pPr>
        <w:spacing w:before="133"/>
        <w:ind w:left="2374" w:right="2351" w:firstLine="0"/>
        <w:jc w:val="center"/>
        <w:rPr>
          <w:sz w:val="18"/>
        </w:rPr>
      </w:pPr>
      <w:r>
        <w:rPr>
          <w:color w:val="010101"/>
          <w:sz w:val="18"/>
        </w:rPr>
        <w:t>1958  </w:t>
      </w:r>
      <w:r>
        <w:rPr>
          <w:color w:val="010101"/>
          <w:sz w:val="28"/>
        </w:rPr>
        <w:t>eso </w:t>
      </w:r>
      <w:r>
        <w:rPr>
          <w:color w:val="010101"/>
          <w:sz w:val="18"/>
        </w:rPr>
        <w:t>3%</w:t>
      </w:r>
    </w:p>
    <w:p>
      <w:pPr>
        <w:spacing w:before="17"/>
        <w:ind w:left="2351" w:right="2351" w:firstLine="0"/>
        <w:jc w:val="center"/>
        <w:rPr>
          <w:sz w:val="17"/>
        </w:rPr>
      </w:pPr>
      <w:r>
        <w:rPr>
          <w:color w:val="010101"/>
          <w:w w:val="105"/>
          <w:sz w:val="17"/>
        </w:rPr>
        <w:t>MaJe Lives</w:t>
      </w:r>
    </w:p>
    <w:p>
      <w:pPr>
        <w:pStyle w:val="BodyText"/>
        <w:spacing w:before="4"/>
        <w:rPr>
          <w:sz w:val="5"/>
        </w:rPr>
      </w:pPr>
    </w:p>
    <w:tbl>
      <w:tblPr>
        <w:tblW w:w="0" w:type="auto"/>
        <w:jc w:val="left"/>
        <w:tblInd w:w="1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98"/>
        <w:gridCol w:w="1455"/>
        <w:gridCol w:w="1534"/>
        <w:gridCol w:w="1701"/>
        <w:gridCol w:w="481"/>
      </w:tblGrid>
      <w:tr>
        <w:trPr>
          <w:trHeight w:val="397" w:hRule="exact"/>
        </w:trPr>
        <w:tc>
          <w:tcPr>
            <w:tcW w:w="498" w:type="dxa"/>
            <w:tcBorders>
              <w:left w:val="nil"/>
            </w:tcBorders>
          </w:tcPr>
          <w:p>
            <w:pPr>
              <w:pStyle w:val="TableParagraph"/>
              <w:spacing w:before="6"/>
              <w:rPr>
                <w:rFonts w:ascii="Times New Roman"/>
                <w:sz w:val="10"/>
              </w:rPr>
            </w:pPr>
          </w:p>
          <w:p>
            <w:pPr>
              <w:pStyle w:val="TableParagraph"/>
              <w:ind w:left="203"/>
              <w:rPr>
                <w:rFonts w:ascii="Arial"/>
                <w:b/>
                <w:sz w:val="11"/>
              </w:rPr>
            </w:pPr>
            <w:r>
              <w:rPr>
                <w:rFonts w:ascii="Arial"/>
                <w:b/>
                <w:color w:val="010101"/>
                <w:w w:val="111"/>
                <w:sz w:val="11"/>
              </w:rPr>
              <w:t>s</w:t>
            </w:r>
          </w:p>
        </w:tc>
        <w:tc>
          <w:tcPr>
            <w:tcW w:w="1455" w:type="dxa"/>
          </w:tcPr>
          <w:p>
            <w:pPr>
              <w:pStyle w:val="TableParagraph"/>
              <w:spacing w:before="6"/>
              <w:rPr>
                <w:rFonts w:ascii="Times New Roman"/>
                <w:sz w:val="9"/>
              </w:rPr>
            </w:pPr>
          </w:p>
          <w:p>
            <w:pPr>
              <w:pStyle w:val="TableParagraph"/>
              <w:spacing w:before="1"/>
              <w:ind w:left="608" w:right="639"/>
              <w:jc w:val="center"/>
              <w:rPr>
                <w:rFonts w:ascii="Times New Roman"/>
                <w:i/>
                <w:sz w:val="13"/>
              </w:rPr>
            </w:pPr>
            <w:r>
              <w:rPr>
                <w:rFonts w:ascii="Times New Roman"/>
                <w:i/>
                <w:color w:val="010101"/>
                <w:w w:val="105"/>
                <w:sz w:val="13"/>
              </w:rPr>
              <w:t>Ds</w:t>
            </w:r>
          </w:p>
        </w:tc>
        <w:tc>
          <w:tcPr>
            <w:tcW w:w="1534" w:type="dxa"/>
          </w:tcPr>
          <w:p>
            <w:pPr>
              <w:pStyle w:val="TableParagraph"/>
              <w:spacing w:before="104"/>
              <w:ind w:left="659" w:right="657"/>
              <w:jc w:val="center"/>
              <w:rPr>
                <w:rFonts w:ascii="Times New Roman"/>
                <w:b/>
                <w:i/>
                <w:sz w:val="14"/>
              </w:rPr>
            </w:pPr>
            <w:r>
              <w:rPr>
                <w:rFonts w:ascii="Times New Roman"/>
                <w:b/>
                <w:i/>
                <w:color w:val="010101"/>
                <w:w w:val="105"/>
                <w:sz w:val="14"/>
              </w:rPr>
              <w:t>Ns</w:t>
            </w:r>
          </w:p>
        </w:tc>
        <w:tc>
          <w:tcPr>
            <w:tcW w:w="1701" w:type="dxa"/>
            <w:tcBorders>
              <w:right w:val="single" w:sz="7" w:space="0" w:color="000000"/>
            </w:tcBorders>
          </w:tcPr>
          <w:p>
            <w:pPr>
              <w:pStyle w:val="TableParagraph"/>
              <w:spacing w:before="35"/>
              <w:ind w:left="759" w:right="724"/>
              <w:jc w:val="center"/>
              <w:rPr>
                <w:rFonts w:ascii="Times New Roman"/>
                <w:i/>
                <w:sz w:val="21"/>
              </w:rPr>
            </w:pPr>
            <w:r>
              <w:rPr>
                <w:rFonts w:ascii="Times New Roman"/>
                <w:i/>
                <w:color w:val="010101"/>
                <w:w w:val="120"/>
                <w:sz w:val="21"/>
              </w:rPr>
              <w:t>s.</w:t>
            </w:r>
          </w:p>
        </w:tc>
        <w:tc>
          <w:tcPr>
            <w:tcW w:w="481" w:type="dxa"/>
            <w:tcBorders>
              <w:left w:val="single" w:sz="7" w:space="0" w:color="000000"/>
              <w:right w:val="nil"/>
            </w:tcBorders>
          </w:tcPr>
          <w:p>
            <w:pPr>
              <w:pStyle w:val="TableParagraph"/>
              <w:spacing w:before="4"/>
              <w:rPr>
                <w:rFonts w:ascii="Times New Roman"/>
                <w:sz w:val="10"/>
              </w:rPr>
            </w:pPr>
          </w:p>
          <w:p>
            <w:pPr>
              <w:pStyle w:val="TableParagraph"/>
              <w:ind w:left="33"/>
              <w:jc w:val="center"/>
              <w:rPr>
                <w:rFonts w:ascii="Arial"/>
                <w:b/>
                <w:sz w:val="12"/>
              </w:rPr>
            </w:pPr>
            <w:r>
              <w:rPr>
                <w:rFonts w:ascii="Arial"/>
                <w:b/>
                <w:color w:val="010101"/>
                <w:w w:val="114"/>
                <w:sz w:val="12"/>
              </w:rPr>
              <w:t>s</w:t>
            </w:r>
          </w:p>
        </w:tc>
      </w:tr>
      <w:tr>
        <w:trPr>
          <w:trHeight w:val="306" w:hRule="exact"/>
        </w:trPr>
        <w:tc>
          <w:tcPr>
            <w:tcW w:w="498" w:type="dxa"/>
            <w:tcBorders>
              <w:left w:val="nil"/>
              <w:bottom w:val="nil"/>
            </w:tcBorders>
          </w:tcPr>
          <w:p>
            <w:pPr>
              <w:pStyle w:val="TableParagraph"/>
              <w:spacing w:before="82"/>
              <w:ind w:left="164"/>
              <w:rPr>
                <w:sz w:val="19"/>
              </w:rPr>
            </w:pPr>
            <w:r>
              <w:rPr>
                <w:color w:val="010101"/>
                <w:w w:val="110"/>
                <w:sz w:val="19"/>
              </w:rPr>
              <w:t>70</w:t>
            </w:r>
          </w:p>
        </w:tc>
        <w:tc>
          <w:tcPr>
            <w:tcW w:w="1455" w:type="dxa"/>
            <w:tcBorders>
              <w:bottom w:val="nil"/>
            </w:tcBorders>
          </w:tcPr>
          <w:p>
            <w:pPr>
              <w:pStyle w:val="TableParagraph"/>
              <w:spacing w:before="91"/>
              <w:ind w:right="250"/>
              <w:jc w:val="right"/>
              <w:rPr>
                <w:b/>
                <w:sz w:val="18"/>
              </w:rPr>
            </w:pPr>
            <w:r>
              <w:rPr>
                <w:b/>
                <w:color w:val="010101"/>
                <w:w w:val="75"/>
                <w:sz w:val="18"/>
              </w:rPr>
              <w:t>706,256.4</w:t>
            </w:r>
          </w:p>
        </w:tc>
        <w:tc>
          <w:tcPr>
            <w:tcW w:w="1534" w:type="dxa"/>
            <w:tcBorders>
              <w:bottom w:val="nil"/>
            </w:tcBorders>
          </w:tcPr>
          <w:p>
            <w:pPr>
              <w:pStyle w:val="TableParagraph"/>
              <w:spacing w:before="86"/>
              <w:ind w:right="233"/>
              <w:jc w:val="right"/>
              <w:rPr>
                <w:sz w:val="19"/>
              </w:rPr>
            </w:pPr>
            <w:r>
              <w:rPr>
                <w:color w:val="010101"/>
                <w:w w:val="70"/>
                <w:sz w:val="19"/>
              </w:rPr>
              <w:t>6,216,553.1</w:t>
            </w:r>
          </w:p>
        </w:tc>
        <w:tc>
          <w:tcPr>
            <w:tcW w:w="1701" w:type="dxa"/>
            <w:tcBorders>
              <w:bottom w:val="nil"/>
              <w:right w:val="single" w:sz="7" w:space="0" w:color="000000"/>
            </w:tcBorders>
          </w:tcPr>
          <w:p>
            <w:pPr>
              <w:pStyle w:val="TableParagraph"/>
              <w:spacing w:before="87"/>
              <w:ind w:right="241"/>
              <w:jc w:val="right"/>
              <w:rPr>
                <w:rFonts w:ascii="Times New Roman"/>
                <w:b/>
                <w:sz w:val="16"/>
              </w:rPr>
            </w:pPr>
            <w:r>
              <w:rPr>
                <w:rFonts w:ascii="Times New Roman"/>
                <w:b/>
                <w:color w:val="010101"/>
                <w:w w:val="110"/>
                <w:sz w:val="16"/>
              </w:rPr>
              <w:t>43, 208,900.6</w:t>
            </w:r>
          </w:p>
        </w:tc>
        <w:tc>
          <w:tcPr>
            <w:tcW w:w="481" w:type="dxa"/>
            <w:tcBorders>
              <w:left w:val="single" w:sz="7" w:space="0" w:color="000000"/>
              <w:bottom w:val="nil"/>
              <w:right w:val="nil"/>
            </w:tcBorders>
          </w:tcPr>
          <w:p>
            <w:pPr>
              <w:pStyle w:val="TableParagraph"/>
              <w:spacing w:before="89"/>
              <w:ind w:left="178"/>
              <w:rPr>
                <w:sz w:val="19"/>
              </w:rPr>
            </w:pPr>
            <w:r>
              <w:rPr>
                <w:color w:val="010101"/>
                <w:w w:val="110"/>
                <w:sz w:val="19"/>
              </w:rPr>
              <w:t>70</w:t>
            </w:r>
          </w:p>
        </w:tc>
      </w:tr>
      <w:tr>
        <w:trPr>
          <w:trHeight w:val="198" w:hRule="exact"/>
        </w:trPr>
        <w:tc>
          <w:tcPr>
            <w:tcW w:w="498" w:type="dxa"/>
            <w:tcBorders>
              <w:top w:val="nil"/>
              <w:left w:val="nil"/>
              <w:bottom w:val="nil"/>
            </w:tcBorders>
          </w:tcPr>
          <w:p>
            <w:pPr>
              <w:pStyle w:val="TableParagraph"/>
              <w:spacing w:line="174" w:lineRule="exact"/>
              <w:ind w:left="160"/>
              <w:rPr>
                <w:rFonts w:ascii="Arial"/>
                <w:sz w:val="16"/>
              </w:rPr>
            </w:pPr>
            <w:r>
              <w:rPr>
                <w:rFonts w:ascii="Arial"/>
                <w:color w:val="010101"/>
                <w:sz w:val="16"/>
              </w:rPr>
              <w:t>71</w:t>
            </w:r>
          </w:p>
        </w:tc>
        <w:tc>
          <w:tcPr>
            <w:tcW w:w="1455" w:type="dxa"/>
            <w:tcBorders>
              <w:top w:val="nil"/>
              <w:bottom w:val="nil"/>
            </w:tcBorders>
          </w:tcPr>
          <w:p>
            <w:pPr>
              <w:pStyle w:val="TableParagraph"/>
              <w:spacing w:line="197" w:lineRule="exact"/>
              <w:ind w:right="209"/>
              <w:jc w:val="right"/>
              <w:rPr>
                <w:sz w:val="19"/>
              </w:rPr>
            </w:pPr>
            <w:r>
              <w:rPr>
                <w:color w:val="010101"/>
                <w:w w:val="75"/>
                <w:sz w:val="19"/>
              </w:rPr>
              <w:t>651,545.5</w:t>
            </w:r>
          </w:p>
        </w:tc>
        <w:tc>
          <w:tcPr>
            <w:tcW w:w="1534" w:type="dxa"/>
            <w:tcBorders>
              <w:top w:val="nil"/>
              <w:bottom w:val="nil"/>
            </w:tcBorders>
          </w:tcPr>
          <w:p>
            <w:pPr>
              <w:pStyle w:val="TableParagraph"/>
              <w:spacing w:line="197" w:lineRule="exact"/>
              <w:ind w:right="209"/>
              <w:jc w:val="right"/>
              <w:rPr>
                <w:sz w:val="19"/>
              </w:rPr>
            </w:pPr>
            <w:r>
              <w:rPr>
                <w:color w:val="010101"/>
                <w:w w:val="80"/>
                <w:sz w:val="19"/>
              </w:rPr>
              <w:t>5,510,296</w:t>
            </w:r>
            <w:r>
              <w:rPr>
                <w:color w:val="262626"/>
                <w:w w:val="80"/>
                <w:sz w:val="19"/>
              </w:rPr>
              <w:t>.</w:t>
            </w:r>
            <w:r>
              <w:rPr>
                <w:color w:val="010101"/>
                <w:w w:val="80"/>
                <w:sz w:val="19"/>
              </w:rPr>
              <w:t>7</w:t>
            </w:r>
          </w:p>
        </w:tc>
        <w:tc>
          <w:tcPr>
            <w:tcW w:w="1701" w:type="dxa"/>
            <w:tcBorders>
              <w:top w:val="nil"/>
              <w:bottom w:val="nil"/>
              <w:right w:val="single" w:sz="7" w:space="0" w:color="000000"/>
            </w:tcBorders>
          </w:tcPr>
          <w:p>
            <w:pPr>
              <w:pStyle w:val="TableParagraph"/>
              <w:spacing w:line="194" w:lineRule="exact"/>
              <w:ind w:right="207"/>
              <w:jc w:val="right"/>
              <w:rPr>
                <w:b/>
                <w:sz w:val="18"/>
              </w:rPr>
            </w:pPr>
            <w:r>
              <w:rPr>
                <w:b/>
                <w:color w:val="010101"/>
                <w:w w:val="75"/>
                <w:sz w:val="18"/>
              </w:rPr>
              <w:t>36,992,347.5</w:t>
            </w:r>
          </w:p>
        </w:tc>
        <w:tc>
          <w:tcPr>
            <w:tcW w:w="481" w:type="dxa"/>
            <w:tcBorders>
              <w:top w:val="nil"/>
              <w:left w:val="single" w:sz="7" w:space="0" w:color="000000"/>
              <w:bottom w:val="nil"/>
              <w:right w:val="nil"/>
            </w:tcBorders>
          </w:tcPr>
          <w:p>
            <w:pPr>
              <w:pStyle w:val="TableParagraph"/>
              <w:spacing w:line="204" w:lineRule="exact"/>
              <w:ind w:left="171"/>
              <w:rPr>
                <w:sz w:val="19"/>
              </w:rPr>
            </w:pPr>
            <w:r>
              <w:rPr>
                <w:color w:val="010101"/>
                <w:sz w:val="19"/>
              </w:rPr>
              <w:t>71</w:t>
            </w:r>
          </w:p>
        </w:tc>
      </w:tr>
      <w:tr>
        <w:trPr>
          <w:trHeight w:val="199" w:hRule="exact"/>
        </w:trPr>
        <w:tc>
          <w:tcPr>
            <w:tcW w:w="498" w:type="dxa"/>
            <w:tcBorders>
              <w:top w:val="nil"/>
              <w:left w:val="nil"/>
              <w:bottom w:val="nil"/>
            </w:tcBorders>
          </w:tcPr>
          <w:p>
            <w:pPr>
              <w:pStyle w:val="TableParagraph"/>
              <w:spacing w:line="197" w:lineRule="exact"/>
              <w:ind w:left="160"/>
              <w:rPr>
                <w:sz w:val="19"/>
              </w:rPr>
            </w:pPr>
            <w:r>
              <w:rPr>
                <w:color w:val="010101"/>
                <w:sz w:val="19"/>
              </w:rPr>
              <w:t>72</w:t>
            </w:r>
          </w:p>
        </w:tc>
        <w:tc>
          <w:tcPr>
            <w:tcW w:w="1455" w:type="dxa"/>
            <w:tcBorders>
              <w:top w:val="nil"/>
              <w:bottom w:val="nil"/>
            </w:tcBorders>
          </w:tcPr>
          <w:p>
            <w:pPr>
              <w:pStyle w:val="TableParagraph"/>
              <w:spacing w:line="197" w:lineRule="exact"/>
              <w:ind w:right="221"/>
              <w:jc w:val="right"/>
              <w:rPr>
                <w:b/>
                <w:sz w:val="18"/>
              </w:rPr>
            </w:pPr>
            <w:r>
              <w:rPr>
                <w:b/>
                <w:color w:val="010101"/>
                <w:w w:val="75"/>
                <w:sz w:val="18"/>
              </w:rPr>
              <w:t>598,314.8</w:t>
            </w:r>
          </w:p>
        </w:tc>
        <w:tc>
          <w:tcPr>
            <w:tcW w:w="1534" w:type="dxa"/>
            <w:tcBorders>
              <w:top w:val="nil"/>
              <w:bottom w:val="nil"/>
            </w:tcBorders>
          </w:tcPr>
          <w:p>
            <w:pPr>
              <w:pStyle w:val="TableParagraph"/>
              <w:spacing w:line="197" w:lineRule="exact"/>
              <w:ind w:right="217"/>
              <w:jc w:val="right"/>
              <w:rPr>
                <w:sz w:val="19"/>
              </w:rPr>
            </w:pPr>
            <w:r>
              <w:rPr>
                <w:color w:val="010101"/>
                <w:w w:val="75"/>
                <w:sz w:val="19"/>
              </w:rPr>
              <w:t>4,858,751.2</w:t>
            </w:r>
          </w:p>
        </w:tc>
        <w:tc>
          <w:tcPr>
            <w:tcW w:w="1701" w:type="dxa"/>
            <w:tcBorders>
              <w:top w:val="nil"/>
              <w:bottom w:val="nil"/>
              <w:right w:val="single" w:sz="7" w:space="0" w:color="000000"/>
            </w:tcBorders>
          </w:tcPr>
          <w:p>
            <w:pPr>
              <w:pStyle w:val="TableParagraph"/>
              <w:spacing w:line="194" w:lineRule="exact"/>
              <w:ind w:right="197"/>
              <w:jc w:val="right"/>
              <w:rPr>
                <w:b/>
                <w:sz w:val="18"/>
              </w:rPr>
            </w:pPr>
            <w:r>
              <w:rPr>
                <w:b/>
                <w:color w:val="010101"/>
                <w:w w:val="75"/>
                <w:sz w:val="18"/>
              </w:rPr>
              <w:t>31,482,050.8</w:t>
            </w:r>
          </w:p>
        </w:tc>
        <w:tc>
          <w:tcPr>
            <w:tcW w:w="481" w:type="dxa"/>
            <w:tcBorders>
              <w:top w:val="nil"/>
              <w:left w:val="single" w:sz="7" w:space="0" w:color="000000"/>
              <w:bottom w:val="nil"/>
              <w:right w:val="nil"/>
            </w:tcBorders>
          </w:tcPr>
          <w:p>
            <w:pPr>
              <w:pStyle w:val="TableParagraph"/>
              <w:spacing w:line="204" w:lineRule="exact"/>
              <w:ind w:left="178"/>
              <w:rPr>
                <w:sz w:val="19"/>
              </w:rPr>
            </w:pPr>
            <w:r>
              <w:rPr>
                <w:color w:val="010101"/>
                <w:sz w:val="19"/>
              </w:rPr>
              <w:t>72</w:t>
            </w:r>
          </w:p>
        </w:tc>
      </w:tr>
      <w:tr>
        <w:trPr>
          <w:trHeight w:val="198" w:hRule="exact"/>
        </w:trPr>
        <w:tc>
          <w:tcPr>
            <w:tcW w:w="498" w:type="dxa"/>
            <w:tcBorders>
              <w:top w:val="nil"/>
              <w:left w:val="nil"/>
              <w:bottom w:val="nil"/>
            </w:tcBorders>
          </w:tcPr>
          <w:p>
            <w:pPr>
              <w:pStyle w:val="TableParagraph"/>
              <w:spacing w:line="202" w:lineRule="exact"/>
              <w:ind w:left="160"/>
              <w:rPr>
                <w:sz w:val="19"/>
              </w:rPr>
            </w:pPr>
            <w:r>
              <w:rPr>
                <w:color w:val="010101"/>
                <w:sz w:val="19"/>
              </w:rPr>
              <w:t>73</w:t>
            </w:r>
          </w:p>
        </w:tc>
        <w:tc>
          <w:tcPr>
            <w:tcW w:w="1455" w:type="dxa"/>
            <w:tcBorders>
              <w:top w:val="nil"/>
              <w:bottom w:val="nil"/>
            </w:tcBorders>
          </w:tcPr>
          <w:p>
            <w:pPr>
              <w:pStyle w:val="TableParagraph"/>
              <w:spacing w:line="196" w:lineRule="exact"/>
              <w:ind w:right="205"/>
              <w:jc w:val="right"/>
              <w:rPr>
                <w:b/>
                <w:sz w:val="18"/>
              </w:rPr>
            </w:pPr>
            <w:r>
              <w:rPr>
                <w:b/>
                <w:color w:val="010101"/>
                <w:w w:val="75"/>
                <w:sz w:val="18"/>
              </w:rPr>
              <w:t>546,819</w:t>
            </w:r>
            <w:r>
              <w:rPr>
                <w:b/>
                <w:color w:val="010101"/>
                <w:spacing w:val="-57"/>
                <w:w w:val="75"/>
                <w:sz w:val="18"/>
              </w:rPr>
              <w:t> </w:t>
            </w:r>
            <w:r>
              <w:rPr>
                <w:b/>
                <w:color w:val="010101"/>
                <w:w w:val="75"/>
                <w:sz w:val="18"/>
              </w:rPr>
              <w:t>.2</w:t>
            </w:r>
          </w:p>
        </w:tc>
        <w:tc>
          <w:tcPr>
            <w:tcW w:w="1534" w:type="dxa"/>
            <w:tcBorders>
              <w:top w:val="nil"/>
              <w:bottom w:val="nil"/>
            </w:tcBorders>
          </w:tcPr>
          <w:p>
            <w:pPr>
              <w:pStyle w:val="TableParagraph"/>
              <w:spacing w:line="199" w:lineRule="exact"/>
              <w:ind w:right="233"/>
              <w:jc w:val="right"/>
              <w:rPr>
                <w:sz w:val="19"/>
              </w:rPr>
            </w:pPr>
            <w:r>
              <w:rPr>
                <w:color w:val="010101"/>
                <w:w w:val="70"/>
                <w:sz w:val="19"/>
              </w:rPr>
              <w:t>4,260,436.4</w:t>
            </w:r>
          </w:p>
        </w:tc>
        <w:tc>
          <w:tcPr>
            <w:tcW w:w="1701" w:type="dxa"/>
            <w:tcBorders>
              <w:top w:val="nil"/>
              <w:bottom w:val="nil"/>
              <w:right w:val="single" w:sz="7" w:space="0" w:color="000000"/>
            </w:tcBorders>
          </w:tcPr>
          <w:p>
            <w:pPr>
              <w:pStyle w:val="TableParagraph"/>
              <w:spacing w:line="176" w:lineRule="exact"/>
              <w:ind w:right="248"/>
              <w:jc w:val="right"/>
              <w:rPr>
                <w:rFonts w:ascii="Times New Roman"/>
                <w:b/>
                <w:sz w:val="16"/>
              </w:rPr>
            </w:pPr>
            <w:r>
              <w:rPr>
                <w:rFonts w:ascii="Times New Roman"/>
                <w:b/>
                <w:color w:val="010101"/>
                <w:w w:val="110"/>
                <w:sz w:val="16"/>
              </w:rPr>
              <w:t>26,623,299.6</w:t>
            </w:r>
          </w:p>
        </w:tc>
        <w:tc>
          <w:tcPr>
            <w:tcW w:w="481" w:type="dxa"/>
            <w:tcBorders>
              <w:top w:val="nil"/>
              <w:left w:val="single" w:sz="7" w:space="0" w:color="000000"/>
              <w:bottom w:val="nil"/>
              <w:right w:val="nil"/>
            </w:tcBorders>
          </w:tcPr>
          <w:p>
            <w:pPr>
              <w:pStyle w:val="TableParagraph"/>
              <w:spacing w:line="188" w:lineRule="exact"/>
              <w:ind w:left="175"/>
              <w:rPr>
                <w:rFonts w:ascii="Times New Roman"/>
                <w:sz w:val="18"/>
              </w:rPr>
            </w:pPr>
            <w:r>
              <w:rPr>
                <w:rFonts w:ascii="Times New Roman"/>
                <w:color w:val="010101"/>
                <w:sz w:val="18"/>
              </w:rPr>
              <w:t>73</w:t>
            </w:r>
          </w:p>
        </w:tc>
      </w:tr>
      <w:tr>
        <w:trPr>
          <w:trHeight w:val="300" w:hRule="exact"/>
        </w:trPr>
        <w:tc>
          <w:tcPr>
            <w:tcW w:w="498" w:type="dxa"/>
            <w:tcBorders>
              <w:top w:val="nil"/>
              <w:left w:val="nil"/>
              <w:bottom w:val="nil"/>
            </w:tcBorders>
          </w:tcPr>
          <w:p>
            <w:pPr>
              <w:pStyle w:val="TableParagraph"/>
              <w:spacing w:line="199" w:lineRule="exact"/>
              <w:ind w:left="160"/>
              <w:rPr>
                <w:sz w:val="19"/>
              </w:rPr>
            </w:pPr>
            <w:r>
              <w:rPr>
                <w:color w:val="010101"/>
                <w:sz w:val="19"/>
              </w:rPr>
              <w:t>74</w:t>
            </w:r>
          </w:p>
        </w:tc>
        <w:tc>
          <w:tcPr>
            <w:tcW w:w="1455" w:type="dxa"/>
            <w:tcBorders>
              <w:top w:val="nil"/>
              <w:bottom w:val="nil"/>
            </w:tcBorders>
          </w:tcPr>
          <w:p>
            <w:pPr>
              <w:pStyle w:val="TableParagraph"/>
              <w:spacing w:line="176" w:lineRule="exact"/>
              <w:ind w:right="241"/>
              <w:jc w:val="right"/>
              <w:rPr>
                <w:rFonts w:ascii="Arial"/>
                <w:b/>
                <w:sz w:val="16"/>
              </w:rPr>
            </w:pPr>
            <w:r>
              <w:rPr>
                <w:rFonts w:ascii="Arial"/>
                <w:b/>
                <w:color w:val="010101"/>
                <w:sz w:val="16"/>
              </w:rPr>
              <w:t>497,308.1</w:t>
            </w:r>
          </w:p>
        </w:tc>
        <w:tc>
          <w:tcPr>
            <w:tcW w:w="1534" w:type="dxa"/>
            <w:tcBorders>
              <w:top w:val="nil"/>
              <w:bottom w:val="nil"/>
            </w:tcBorders>
          </w:tcPr>
          <w:p>
            <w:pPr>
              <w:pStyle w:val="TableParagraph"/>
              <w:spacing w:line="199" w:lineRule="exact"/>
              <w:ind w:right="191"/>
              <w:jc w:val="right"/>
              <w:rPr>
                <w:sz w:val="19"/>
              </w:rPr>
            </w:pPr>
            <w:r>
              <w:rPr>
                <w:color w:val="010101"/>
                <w:w w:val="75"/>
                <w:sz w:val="19"/>
              </w:rPr>
              <w:t>3,713,617.2</w:t>
            </w:r>
          </w:p>
        </w:tc>
        <w:tc>
          <w:tcPr>
            <w:tcW w:w="1701" w:type="dxa"/>
            <w:tcBorders>
              <w:top w:val="nil"/>
              <w:bottom w:val="nil"/>
              <w:right w:val="single" w:sz="7" w:space="0" w:color="000000"/>
            </w:tcBorders>
          </w:tcPr>
          <w:p>
            <w:pPr>
              <w:pStyle w:val="TableParagraph"/>
              <w:spacing w:line="199" w:lineRule="exact"/>
              <w:ind w:right="218"/>
              <w:jc w:val="right"/>
              <w:rPr>
                <w:sz w:val="19"/>
              </w:rPr>
            </w:pPr>
            <w:r>
              <w:rPr>
                <w:color w:val="010101"/>
                <w:w w:val="70"/>
                <w:sz w:val="19"/>
              </w:rPr>
              <w:t>22,362,863.2</w:t>
            </w:r>
          </w:p>
        </w:tc>
        <w:tc>
          <w:tcPr>
            <w:tcW w:w="481" w:type="dxa"/>
            <w:tcBorders>
              <w:top w:val="nil"/>
              <w:left w:val="single" w:sz="7" w:space="0" w:color="000000"/>
              <w:bottom w:val="nil"/>
              <w:right w:val="nil"/>
            </w:tcBorders>
          </w:tcPr>
          <w:p>
            <w:pPr>
              <w:pStyle w:val="TableParagraph"/>
              <w:spacing w:line="206" w:lineRule="exact"/>
              <w:ind w:left="178"/>
              <w:rPr>
                <w:sz w:val="19"/>
              </w:rPr>
            </w:pPr>
            <w:r>
              <w:rPr>
                <w:color w:val="010101"/>
                <w:sz w:val="19"/>
              </w:rPr>
              <w:t>74</w:t>
            </w:r>
          </w:p>
        </w:tc>
      </w:tr>
      <w:tr>
        <w:trPr>
          <w:trHeight w:val="299" w:hRule="exact"/>
        </w:trPr>
        <w:tc>
          <w:tcPr>
            <w:tcW w:w="498" w:type="dxa"/>
            <w:tcBorders>
              <w:top w:val="nil"/>
              <w:left w:val="nil"/>
              <w:bottom w:val="nil"/>
            </w:tcBorders>
          </w:tcPr>
          <w:p>
            <w:pPr>
              <w:pStyle w:val="TableParagraph"/>
              <w:spacing w:before="86"/>
              <w:ind w:left="157"/>
              <w:rPr>
                <w:sz w:val="19"/>
              </w:rPr>
            </w:pPr>
            <w:r>
              <w:rPr>
                <w:color w:val="010101"/>
                <w:sz w:val="19"/>
              </w:rPr>
              <w:t>75</w:t>
            </w:r>
          </w:p>
        </w:tc>
        <w:tc>
          <w:tcPr>
            <w:tcW w:w="1455" w:type="dxa"/>
            <w:tcBorders>
              <w:top w:val="nil"/>
              <w:bottom w:val="nil"/>
            </w:tcBorders>
          </w:tcPr>
          <w:p>
            <w:pPr>
              <w:pStyle w:val="TableParagraph"/>
              <w:spacing w:before="82"/>
              <w:ind w:right="233"/>
              <w:jc w:val="right"/>
              <w:rPr>
                <w:sz w:val="19"/>
              </w:rPr>
            </w:pPr>
            <w:r>
              <w:rPr>
                <w:color w:val="010101"/>
                <w:w w:val="80"/>
                <w:sz w:val="19"/>
              </w:rPr>
              <w:t>449,933.5</w:t>
            </w:r>
          </w:p>
        </w:tc>
        <w:tc>
          <w:tcPr>
            <w:tcW w:w="1534" w:type="dxa"/>
            <w:tcBorders>
              <w:top w:val="nil"/>
              <w:bottom w:val="nil"/>
            </w:tcBorders>
          </w:tcPr>
          <w:p>
            <w:pPr>
              <w:pStyle w:val="TableParagraph"/>
              <w:spacing w:before="82"/>
              <w:ind w:right="218"/>
              <w:jc w:val="right"/>
              <w:rPr>
                <w:sz w:val="19"/>
              </w:rPr>
            </w:pPr>
            <w:r>
              <w:rPr>
                <w:color w:val="010101"/>
                <w:w w:val="75"/>
                <w:sz w:val="19"/>
              </w:rPr>
              <w:t>3,216,309.1</w:t>
            </w:r>
          </w:p>
        </w:tc>
        <w:tc>
          <w:tcPr>
            <w:tcW w:w="1701" w:type="dxa"/>
            <w:tcBorders>
              <w:top w:val="nil"/>
              <w:bottom w:val="nil"/>
              <w:right w:val="single" w:sz="7" w:space="0" w:color="000000"/>
            </w:tcBorders>
          </w:tcPr>
          <w:p>
            <w:pPr>
              <w:pStyle w:val="TableParagraph"/>
              <w:spacing w:before="82"/>
              <w:ind w:right="227"/>
              <w:jc w:val="right"/>
              <w:rPr>
                <w:sz w:val="19"/>
              </w:rPr>
            </w:pPr>
            <w:r>
              <w:rPr>
                <w:color w:val="010101"/>
                <w:w w:val="75"/>
                <w:sz w:val="19"/>
              </w:rPr>
              <w:t>18,649,246.0</w:t>
            </w:r>
          </w:p>
        </w:tc>
        <w:tc>
          <w:tcPr>
            <w:tcW w:w="481" w:type="dxa"/>
            <w:tcBorders>
              <w:top w:val="nil"/>
              <w:left w:val="single" w:sz="7" w:space="0" w:color="000000"/>
              <w:bottom w:val="nil"/>
              <w:right w:val="nil"/>
            </w:tcBorders>
          </w:tcPr>
          <w:p>
            <w:pPr>
              <w:pStyle w:val="TableParagraph"/>
              <w:spacing w:before="97"/>
              <w:ind w:left="171"/>
              <w:rPr>
                <w:b/>
                <w:sz w:val="18"/>
              </w:rPr>
            </w:pPr>
            <w:r>
              <w:rPr>
                <w:b/>
                <w:color w:val="010101"/>
                <w:w w:val="90"/>
                <w:sz w:val="18"/>
              </w:rPr>
              <w:t>75</w:t>
            </w:r>
          </w:p>
        </w:tc>
      </w:tr>
      <w:tr>
        <w:trPr>
          <w:trHeight w:val="204" w:hRule="exact"/>
        </w:trPr>
        <w:tc>
          <w:tcPr>
            <w:tcW w:w="498" w:type="dxa"/>
            <w:tcBorders>
              <w:top w:val="nil"/>
              <w:left w:val="nil"/>
              <w:bottom w:val="nil"/>
            </w:tcBorders>
          </w:tcPr>
          <w:p>
            <w:pPr>
              <w:pStyle w:val="TableParagraph"/>
              <w:spacing w:line="204" w:lineRule="exact"/>
              <w:ind w:left="157"/>
              <w:rPr>
                <w:sz w:val="19"/>
              </w:rPr>
            </w:pPr>
            <w:r>
              <w:rPr>
                <w:color w:val="010101"/>
                <w:sz w:val="19"/>
              </w:rPr>
              <w:t>76</w:t>
            </w:r>
          </w:p>
        </w:tc>
        <w:tc>
          <w:tcPr>
            <w:tcW w:w="1455" w:type="dxa"/>
            <w:tcBorders>
              <w:top w:val="nil"/>
              <w:bottom w:val="nil"/>
            </w:tcBorders>
          </w:tcPr>
          <w:p>
            <w:pPr>
              <w:pStyle w:val="TableParagraph"/>
              <w:spacing w:line="200" w:lineRule="exact"/>
              <w:ind w:right="202"/>
              <w:jc w:val="right"/>
              <w:rPr>
                <w:sz w:val="19"/>
              </w:rPr>
            </w:pPr>
            <w:r>
              <w:rPr>
                <w:color w:val="010101"/>
                <w:w w:val="80"/>
                <w:sz w:val="19"/>
              </w:rPr>
              <w:t>404,778.5</w:t>
            </w:r>
          </w:p>
        </w:tc>
        <w:tc>
          <w:tcPr>
            <w:tcW w:w="1534" w:type="dxa"/>
            <w:tcBorders>
              <w:top w:val="nil"/>
              <w:bottom w:val="nil"/>
            </w:tcBorders>
          </w:tcPr>
          <w:p>
            <w:pPr>
              <w:pStyle w:val="TableParagraph"/>
              <w:spacing w:line="200" w:lineRule="exact"/>
              <w:ind w:right="207"/>
              <w:jc w:val="right"/>
              <w:rPr>
                <w:sz w:val="19"/>
              </w:rPr>
            </w:pPr>
            <w:r>
              <w:rPr>
                <w:color w:val="010101"/>
                <w:w w:val="85"/>
                <w:sz w:val="19"/>
              </w:rPr>
              <w:t>2,766,375.6</w:t>
            </w:r>
          </w:p>
        </w:tc>
        <w:tc>
          <w:tcPr>
            <w:tcW w:w="1701" w:type="dxa"/>
            <w:tcBorders>
              <w:top w:val="nil"/>
              <w:bottom w:val="nil"/>
              <w:right w:val="single" w:sz="7" w:space="0" w:color="000000"/>
            </w:tcBorders>
          </w:tcPr>
          <w:p>
            <w:pPr>
              <w:pStyle w:val="TableParagraph"/>
              <w:spacing w:line="200" w:lineRule="exact"/>
              <w:ind w:right="203"/>
              <w:jc w:val="right"/>
              <w:rPr>
                <w:sz w:val="19"/>
              </w:rPr>
            </w:pPr>
            <w:r>
              <w:rPr>
                <w:color w:val="010101"/>
                <w:w w:val="80"/>
                <w:sz w:val="19"/>
              </w:rPr>
              <w:t>15,432,936.9</w:t>
            </w:r>
          </w:p>
        </w:tc>
        <w:tc>
          <w:tcPr>
            <w:tcW w:w="481" w:type="dxa"/>
            <w:tcBorders>
              <w:top w:val="nil"/>
              <w:left w:val="single" w:sz="7" w:space="0" w:color="000000"/>
              <w:bottom w:val="nil"/>
              <w:right w:val="nil"/>
            </w:tcBorders>
          </w:tcPr>
          <w:p>
            <w:pPr>
              <w:pStyle w:val="TableParagraph"/>
              <w:spacing w:line="211" w:lineRule="exact"/>
              <w:ind w:left="171"/>
              <w:rPr>
                <w:sz w:val="19"/>
              </w:rPr>
            </w:pPr>
            <w:r>
              <w:rPr>
                <w:color w:val="010101"/>
                <w:sz w:val="19"/>
              </w:rPr>
              <w:t>76</w:t>
            </w:r>
          </w:p>
        </w:tc>
      </w:tr>
      <w:tr>
        <w:trPr>
          <w:trHeight w:val="196" w:hRule="exact"/>
        </w:trPr>
        <w:tc>
          <w:tcPr>
            <w:tcW w:w="498" w:type="dxa"/>
            <w:tcBorders>
              <w:top w:val="nil"/>
              <w:left w:val="nil"/>
              <w:bottom w:val="nil"/>
            </w:tcBorders>
          </w:tcPr>
          <w:p>
            <w:pPr>
              <w:pStyle w:val="TableParagraph"/>
              <w:spacing w:line="200" w:lineRule="exact"/>
              <w:ind w:left="157"/>
              <w:rPr>
                <w:sz w:val="19"/>
              </w:rPr>
            </w:pPr>
            <w:r>
              <w:rPr>
                <w:color w:val="010101"/>
                <w:sz w:val="19"/>
              </w:rPr>
              <w:t>77</w:t>
            </w:r>
          </w:p>
        </w:tc>
        <w:tc>
          <w:tcPr>
            <w:tcW w:w="1455" w:type="dxa"/>
            <w:tcBorders>
              <w:top w:val="nil"/>
              <w:bottom w:val="nil"/>
            </w:tcBorders>
          </w:tcPr>
          <w:p>
            <w:pPr>
              <w:pStyle w:val="TableParagraph"/>
              <w:spacing w:line="197" w:lineRule="exact"/>
              <w:ind w:right="201"/>
              <w:jc w:val="right"/>
              <w:rPr>
                <w:sz w:val="19"/>
              </w:rPr>
            </w:pPr>
            <w:r>
              <w:rPr>
                <w:color w:val="010101"/>
                <w:w w:val="75"/>
                <w:sz w:val="19"/>
              </w:rPr>
              <w:t>361,872</w:t>
            </w:r>
            <w:r>
              <w:rPr>
                <w:color w:val="010101"/>
                <w:spacing w:val="-53"/>
                <w:w w:val="75"/>
                <w:sz w:val="19"/>
              </w:rPr>
              <w:t> </w:t>
            </w:r>
            <w:r>
              <w:rPr>
                <w:color w:val="010101"/>
                <w:spacing w:val="-24"/>
                <w:w w:val="75"/>
                <w:sz w:val="19"/>
              </w:rPr>
              <w:t>.0</w:t>
            </w:r>
          </w:p>
        </w:tc>
        <w:tc>
          <w:tcPr>
            <w:tcW w:w="1534" w:type="dxa"/>
            <w:tcBorders>
              <w:top w:val="nil"/>
              <w:bottom w:val="nil"/>
            </w:tcBorders>
          </w:tcPr>
          <w:p>
            <w:pPr>
              <w:pStyle w:val="TableParagraph"/>
              <w:spacing w:line="197" w:lineRule="exact"/>
              <w:ind w:right="217"/>
              <w:jc w:val="right"/>
              <w:rPr>
                <w:sz w:val="19"/>
              </w:rPr>
            </w:pPr>
            <w:r>
              <w:rPr>
                <w:color w:val="010101"/>
                <w:w w:val="75"/>
                <w:sz w:val="19"/>
              </w:rPr>
              <w:t>2,361,597.1</w:t>
            </w:r>
          </w:p>
        </w:tc>
        <w:tc>
          <w:tcPr>
            <w:tcW w:w="1701" w:type="dxa"/>
            <w:tcBorders>
              <w:top w:val="nil"/>
              <w:bottom w:val="nil"/>
              <w:right w:val="single" w:sz="7" w:space="0" w:color="000000"/>
            </w:tcBorders>
          </w:tcPr>
          <w:p>
            <w:pPr>
              <w:pStyle w:val="TableParagraph"/>
              <w:spacing w:line="197" w:lineRule="exact"/>
              <w:ind w:right="214"/>
              <w:jc w:val="right"/>
              <w:rPr>
                <w:sz w:val="19"/>
              </w:rPr>
            </w:pPr>
            <w:r>
              <w:rPr>
                <w:color w:val="010101"/>
                <w:w w:val="75"/>
                <w:sz w:val="19"/>
              </w:rPr>
              <w:t>12,666,561.3</w:t>
            </w:r>
          </w:p>
        </w:tc>
        <w:tc>
          <w:tcPr>
            <w:tcW w:w="481" w:type="dxa"/>
            <w:tcBorders>
              <w:top w:val="nil"/>
              <w:left w:val="single" w:sz="7" w:space="0" w:color="000000"/>
              <w:bottom w:val="nil"/>
              <w:right w:val="nil"/>
            </w:tcBorders>
          </w:tcPr>
          <w:p>
            <w:pPr>
              <w:pStyle w:val="TableParagraph"/>
              <w:spacing w:line="186" w:lineRule="exact"/>
              <w:ind w:left="168"/>
              <w:rPr>
                <w:rFonts w:ascii="Times New Roman"/>
                <w:sz w:val="18"/>
              </w:rPr>
            </w:pPr>
            <w:r>
              <w:rPr>
                <w:rFonts w:ascii="Times New Roman"/>
                <w:color w:val="010101"/>
                <w:sz w:val="18"/>
              </w:rPr>
              <w:t>77</w:t>
            </w:r>
          </w:p>
        </w:tc>
      </w:tr>
      <w:tr>
        <w:trPr>
          <w:trHeight w:val="201" w:hRule="exact"/>
        </w:trPr>
        <w:tc>
          <w:tcPr>
            <w:tcW w:w="498" w:type="dxa"/>
            <w:tcBorders>
              <w:top w:val="nil"/>
              <w:left w:val="nil"/>
              <w:bottom w:val="nil"/>
            </w:tcBorders>
          </w:tcPr>
          <w:p>
            <w:pPr>
              <w:pStyle w:val="TableParagraph"/>
              <w:spacing w:line="206" w:lineRule="exact"/>
              <w:ind w:left="160"/>
              <w:rPr>
                <w:sz w:val="19"/>
              </w:rPr>
            </w:pPr>
            <w:r>
              <w:rPr>
                <w:color w:val="010101"/>
                <w:sz w:val="19"/>
              </w:rPr>
              <w:t>78</w:t>
            </w:r>
          </w:p>
        </w:tc>
        <w:tc>
          <w:tcPr>
            <w:tcW w:w="1455" w:type="dxa"/>
            <w:tcBorders>
              <w:top w:val="nil"/>
              <w:bottom w:val="nil"/>
            </w:tcBorders>
          </w:tcPr>
          <w:p>
            <w:pPr>
              <w:pStyle w:val="TableParagraph"/>
              <w:spacing w:line="199" w:lineRule="exact"/>
              <w:ind w:right="203"/>
              <w:jc w:val="right"/>
              <w:rPr>
                <w:sz w:val="19"/>
              </w:rPr>
            </w:pPr>
            <w:r>
              <w:rPr>
                <w:color w:val="010101"/>
                <w:w w:val="80"/>
                <w:sz w:val="19"/>
              </w:rPr>
              <w:t>321,222.8</w:t>
            </w:r>
          </w:p>
        </w:tc>
        <w:tc>
          <w:tcPr>
            <w:tcW w:w="1534" w:type="dxa"/>
            <w:tcBorders>
              <w:top w:val="nil"/>
              <w:bottom w:val="nil"/>
            </w:tcBorders>
          </w:tcPr>
          <w:p>
            <w:pPr>
              <w:pStyle w:val="TableParagraph"/>
              <w:spacing w:line="199" w:lineRule="exact"/>
              <w:ind w:right="212"/>
              <w:jc w:val="right"/>
              <w:rPr>
                <w:sz w:val="19"/>
              </w:rPr>
            </w:pPr>
            <w:r>
              <w:rPr>
                <w:color w:val="010101"/>
                <w:w w:val="75"/>
                <w:sz w:val="19"/>
              </w:rPr>
              <w:t>1,999,725.1</w:t>
            </w:r>
          </w:p>
        </w:tc>
        <w:tc>
          <w:tcPr>
            <w:tcW w:w="1701" w:type="dxa"/>
            <w:tcBorders>
              <w:top w:val="nil"/>
              <w:bottom w:val="nil"/>
              <w:right w:val="single" w:sz="7" w:space="0" w:color="000000"/>
            </w:tcBorders>
          </w:tcPr>
          <w:p>
            <w:pPr>
              <w:pStyle w:val="TableParagraph"/>
              <w:spacing w:line="202" w:lineRule="exact"/>
              <w:ind w:right="216"/>
              <w:jc w:val="right"/>
              <w:rPr>
                <w:sz w:val="19"/>
              </w:rPr>
            </w:pPr>
            <w:r>
              <w:rPr>
                <w:color w:val="010101"/>
                <w:w w:val="70"/>
                <w:sz w:val="19"/>
              </w:rPr>
              <w:t>10,a&lt;K,964.2</w:t>
            </w:r>
          </w:p>
        </w:tc>
        <w:tc>
          <w:tcPr>
            <w:tcW w:w="481" w:type="dxa"/>
            <w:tcBorders>
              <w:top w:val="nil"/>
              <w:left w:val="single" w:sz="7" w:space="0" w:color="000000"/>
              <w:bottom w:val="nil"/>
              <w:right w:val="nil"/>
            </w:tcBorders>
          </w:tcPr>
          <w:p>
            <w:pPr>
              <w:pStyle w:val="TableParagraph"/>
              <w:spacing w:line="206" w:lineRule="exact"/>
              <w:ind w:left="171"/>
              <w:rPr>
                <w:sz w:val="19"/>
              </w:rPr>
            </w:pPr>
            <w:r>
              <w:rPr>
                <w:color w:val="010101"/>
                <w:w w:val="105"/>
                <w:sz w:val="19"/>
              </w:rPr>
              <w:t>78</w:t>
            </w:r>
          </w:p>
        </w:tc>
      </w:tr>
      <w:tr>
        <w:trPr>
          <w:trHeight w:val="300" w:hRule="exact"/>
        </w:trPr>
        <w:tc>
          <w:tcPr>
            <w:tcW w:w="498" w:type="dxa"/>
            <w:tcBorders>
              <w:top w:val="nil"/>
              <w:left w:val="nil"/>
              <w:bottom w:val="nil"/>
            </w:tcBorders>
          </w:tcPr>
          <w:p>
            <w:pPr>
              <w:pStyle w:val="TableParagraph"/>
              <w:spacing w:line="202" w:lineRule="exact"/>
              <w:ind w:left="160"/>
              <w:rPr>
                <w:sz w:val="19"/>
              </w:rPr>
            </w:pPr>
            <w:r>
              <w:rPr>
                <w:color w:val="010101"/>
                <w:sz w:val="19"/>
              </w:rPr>
              <w:t>79</w:t>
            </w:r>
          </w:p>
        </w:tc>
        <w:tc>
          <w:tcPr>
            <w:tcW w:w="1455" w:type="dxa"/>
            <w:tcBorders>
              <w:top w:val="nil"/>
              <w:bottom w:val="nil"/>
            </w:tcBorders>
          </w:tcPr>
          <w:p>
            <w:pPr>
              <w:pStyle w:val="TableParagraph"/>
              <w:spacing w:line="176" w:lineRule="exact"/>
              <w:ind w:left="485"/>
              <w:rPr>
                <w:rFonts w:ascii="Times New Roman"/>
                <w:b/>
                <w:sz w:val="16"/>
              </w:rPr>
            </w:pPr>
            <w:r>
              <w:rPr>
                <w:rFonts w:ascii="Times New Roman"/>
                <w:b/>
                <w:color w:val="010101"/>
                <w:w w:val="110"/>
                <w:sz w:val="16"/>
              </w:rPr>
              <w:t>282,844.4</w:t>
            </w:r>
          </w:p>
        </w:tc>
        <w:tc>
          <w:tcPr>
            <w:tcW w:w="1534" w:type="dxa"/>
            <w:tcBorders>
              <w:top w:val="nil"/>
              <w:bottom w:val="nil"/>
            </w:tcBorders>
          </w:tcPr>
          <w:p>
            <w:pPr>
              <w:pStyle w:val="TableParagraph"/>
              <w:spacing w:line="199" w:lineRule="exact"/>
              <w:ind w:right="206"/>
              <w:jc w:val="right"/>
              <w:rPr>
                <w:sz w:val="19"/>
              </w:rPr>
            </w:pPr>
            <w:r>
              <w:rPr>
                <w:color w:val="010101"/>
                <w:w w:val="80"/>
                <w:sz w:val="19"/>
              </w:rPr>
              <w:t>1,678,502.3</w:t>
            </w:r>
          </w:p>
        </w:tc>
        <w:tc>
          <w:tcPr>
            <w:tcW w:w="1701" w:type="dxa"/>
            <w:tcBorders>
              <w:top w:val="nil"/>
              <w:bottom w:val="nil"/>
              <w:right w:val="single" w:sz="7" w:space="0" w:color="000000"/>
            </w:tcBorders>
          </w:tcPr>
          <w:p>
            <w:pPr>
              <w:pStyle w:val="TableParagraph"/>
              <w:spacing w:line="202" w:lineRule="exact"/>
              <w:ind w:right="218"/>
              <w:jc w:val="right"/>
              <w:rPr>
                <w:sz w:val="19"/>
              </w:rPr>
            </w:pPr>
            <w:r>
              <w:rPr>
                <w:color w:val="010101"/>
                <w:w w:val="75"/>
                <w:sz w:val="19"/>
              </w:rPr>
              <w:t>8,305,239.1</w:t>
            </w:r>
          </w:p>
        </w:tc>
        <w:tc>
          <w:tcPr>
            <w:tcW w:w="481" w:type="dxa"/>
            <w:tcBorders>
              <w:top w:val="nil"/>
              <w:left w:val="single" w:sz="7" w:space="0" w:color="000000"/>
              <w:bottom w:val="nil"/>
              <w:right w:val="nil"/>
            </w:tcBorders>
          </w:tcPr>
          <w:p>
            <w:pPr>
              <w:pStyle w:val="TableParagraph"/>
              <w:spacing w:line="206" w:lineRule="exact"/>
              <w:ind w:left="171"/>
              <w:rPr>
                <w:sz w:val="19"/>
              </w:rPr>
            </w:pPr>
            <w:r>
              <w:rPr>
                <w:color w:val="010101"/>
                <w:w w:val="105"/>
                <w:sz w:val="19"/>
              </w:rPr>
              <w:t>79</w:t>
            </w:r>
          </w:p>
        </w:tc>
      </w:tr>
      <w:tr>
        <w:trPr>
          <w:trHeight w:val="300" w:hRule="exact"/>
        </w:trPr>
        <w:tc>
          <w:tcPr>
            <w:tcW w:w="498" w:type="dxa"/>
            <w:tcBorders>
              <w:top w:val="nil"/>
              <w:left w:val="nil"/>
              <w:bottom w:val="nil"/>
            </w:tcBorders>
          </w:tcPr>
          <w:p>
            <w:pPr>
              <w:pStyle w:val="TableParagraph"/>
              <w:spacing w:before="89"/>
              <w:ind w:left="157"/>
              <w:rPr>
                <w:rFonts w:ascii="Times New Roman"/>
                <w:sz w:val="17"/>
              </w:rPr>
            </w:pPr>
            <w:r>
              <w:rPr>
                <w:rFonts w:ascii="Times New Roman"/>
                <w:color w:val="010101"/>
                <w:sz w:val="17"/>
              </w:rPr>
              <w:t>80</w:t>
            </w:r>
          </w:p>
        </w:tc>
        <w:tc>
          <w:tcPr>
            <w:tcW w:w="1455" w:type="dxa"/>
            <w:tcBorders>
              <w:top w:val="nil"/>
              <w:bottom w:val="nil"/>
            </w:tcBorders>
          </w:tcPr>
          <w:p>
            <w:pPr>
              <w:pStyle w:val="TableParagraph"/>
              <w:spacing w:before="82"/>
              <w:ind w:right="209"/>
              <w:jc w:val="right"/>
              <w:rPr>
                <w:sz w:val="19"/>
              </w:rPr>
            </w:pPr>
            <w:r>
              <w:rPr>
                <w:color w:val="010101"/>
                <w:w w:val="85"/>
                <w:sz w:val="19"/>
              </w:rPr>
              <w:t>246,818.8</w:t>
            </w:r>
          </w:p>
        </w:tc>
        <w:tc>
          <w:tcPr>
            <w:tcW w:w="1534" w:type="dxa"/>
            <w:tcBorders>
              <w:top w:val="nil"/>
              <w:bottom w:val="nil"/>
            </w:tcBorders>
          </w:tcPr>
          <w:p>
            <w:pPr>
              <w:pStyle w:val="TableParagraph"/>
              <w:spacing w:before="82"/>
              <w:ind w:right="203"/>
              <w:jc w:val="right"/>
              <w:rPr>
                <w:sz w:val="19"/>
              </w:rPr>
            </w:pPr>
            <w:r>
              <w:rPr>
                <w:color w:val="010101"/>
                <w:w w:val="85"/>
                <w:sz w:val="19"/>
              </w:rPr>
              <w:t>1,395,657.9</w:t>
            </w:r>
          </w:p>
        </w:tc>
        <w:tc>
          <w:tcPr>
            <w:tcW w:w="1701" w:type="dxa"/>
            <w:tcBorders>
              <w:top w:val="nil"/>
              <w:bottom w:val="nil"/>
              <w:right w:val="single" w:sz="7" w:space="0" w:color="000000"/>
            </w:tcBorders>
          </w:tcPr>
          <w:p>
            <w:pPr>
              <w:pStyle w:val="TableParagraph"/>
              <w:spacing w:before="89"/>
              <w:ind w:right="203"/>
              <w:jc w:val="right"/>
              <w:rPr>
                <w:sz w:val="19"/>
              </w:rPr>
            </w:pPr>
            <w:r>
              <w:rPr>
                <w:color w:val="010101"/>
                <w:w w:val="80"/>
                <w:sz w:val="19"/>
              </w:rPr>
              <w:t>6,626,736.8</w:t>
            </w:r>
          </w:p>
        </w:tc>
        <w:tc>
          <w:tcPr>
            <w:tcW w:w="481" w:type="dxa"/>
            <w:tcBorders>
              <w:top w:val="nil"/>
              <w:left w:val="single" w:sz="7" w:space="0" w:color="000000"/>
              <w:bottom w:val="nil"/>
              <w:right w:val="nil"/>
            </w:tcBorders>
          </w:tcPr>
          <w:p>
            <w:pPr>
              <w:pStyle w:val="TableParagraph"/>
              <w:spacing w:before="92"/>
              <w:ind w:left="168"/>
              <w:rPr>
                <w:rFonts w:ascii="Times New Roman"/>
                <w:sz w:val="17"/>
              </w:rPr>
            </w:pPr>
            <w:r>
              <w:rPr>
                <w:rFonts w:ascii="Times New Roman"/>
                <w:color w:val="010101"/>
                <w:sz w:val="17"/>
              </w:rPr>
              <w:t>80</w:t>
            </w:r>
          </w:p>
        </w:tc>
      </w:tr>
      <w:tr>
        <w:trPr>
          <w:trHeight w:val="203" w:hRule="exact"/>
        </w:trPr>
        <w:tc>
          <w:tcPr>
            <w:tcW w:w="498" w:type="dxa"/>
            <w:tcBorders>
              <w:top w:val="nil"/>
              <w:left w:val="nil"/>
              <w:bottom w:val="nil"/>
            </w:tcBorders>
          </w:tcPr>
          <w:p>
            <w:pPr>
              <w:pStyle w:val="TableParagraph"/>
              <w:spacing w:line="202" w:lineRule="exact"/>
              <w:ind w:left="160"/>
              <w:rPr>
                <w:sz w:val="19"/>
              </w:rPr>
            </w:pPr>
            <w:r>
              <w:rPr>
                <w:color w:val="010101"/>
                <w:sz w:val="19"/>
              </w:rPr>
              <w:t>81</w:t>
            </w:r>
          </w:p>
        </w:tc>
        <w:tc>
          <w:tcPr>
            <w:tcW w:w="1455" w:type="dxa"/>
            <w:tcBorders>
              <w:top w:val="nil"/>
              <w:bottom w:val="nil"/>
            </w:tcBorders>
          </w:tcPr>
          <w:p>
            <w:pPr>
              <w:pStyle w:val="TableParagraph"/>
              <w:spacing w:line="199" w:lineRule="exact"/>
              <w:ind w:right="213"/>
              <w:jc w:val="right"/>
              <w:rPr>
                <w:sz w:val="19"/>
              </w:rPr>
            </w:pPr>
            <w:r>
              <w:rPr>
                <w:color w:val="010101"/>
                <w:w w:val="80"/>
                <w:sz w:val="19"/>
              </w:rPr>
              <w:t>213,275.5</w:t>
            </w:r>
          </w:p>
        </w:tc>
        <w:tc>
          <w:tcPr>
            <w:tcW w:w="1534" w:type="dxa"/>
            <w:tcBorders>
              <w:top w:val="nil"/>
              <w:bottom w:val="nil"/>
            </w:tcBorders>
          </w:tcPr>
          <w:p>
            <w:pPr>
              <w:pStyle w:val="TableParagraph"/>
              <w:spacing w:line="199" w:lineRule="exact"/>
              <w:ind w:right="217"/>
              <w:jc w:val="right"/>
              <w:rPr>
                <w:sz w:val="19"/>
              </w:rPr>
            </w:pPr>
            <w:r>
              <w:rPr>
                <w:color w:val="010101"/>
                <w:w w:val="75"/>
                <w:sz w:val="19"/>
              </w:rPr>
              <w:t>1,148,839.1</w:t>
            </w:r>
          </w:p>
        </w:tc>
        <w:tc>
          <w:tcPr>
            <w:tcW w:w="1701" w:type="dxa"/>
            <w:tcBorders>
              <w:top w:val="nil"/>
              <w:bottom w:val="nil"/>
              <w:right w:val="single" w:sz="7" w:space="0" w:color="000000"/>
            </w:tcBorders>
          </w:tcPr>
          <w:p>
            <w:pPr>
              <w:pStyle w:val="TableParagraph"/>
              <w:spacing w:line="202" w:lineRule="exact"/>
              <w:ind w:right="209"/>
              <w:jc w:val="right"/>
              <w:rPr>
                <w:sz w:val="19"/>
              </w:rPr>
            </w:pPr>
            <w:r>
              <w:rPr>
                <w:color w:val="010101"/>
                <w:w w:val="85"/>
                <w:sz w:val="19"/>
              </w:rPr>
              <w:t>5,231,078.9</w:t>
            </w:r>
          </w:p>
        </w:tc>
        <w:tc>
          <w:tcPr>
            <w:tcW w:w="481" w:type="dxa"/>
            <w:tcBorders>
              <w:top w:val="nil"/>
              <w:left w:val="single" w:sz="7" w:space="0" w:color="000000"/>
              <w:bottom w:val="nil"/>
              <w:right w:val="nil"/>
            </w:tcBorders>
          </w:tcPr>
          <w:p>
            <w:pPr>
              <w:pStyle w:val="TableParagraph"/>
              <w:spacing w:line="209" w:lineRule="exact"/>
              <w:ind w:left="171"/>
              <w:rPr>
                <w:sz w:val="19"/>
              </w:rPr>
            </w:pPr>
            <w:r>
              <w:rPr>
                <w:color w:val="010101"/>
                <w:sz w:val="19"/>
              </w:rPr>
              <w:t>81</w:t>
            </w:r>
          </w:p>
        </w:tc>
      </w:tr>
      <w:tr>
        <w:trPr>
          <w:trHeight w:val="196" w:hRule="exact"/>
        </w:trPr>
        <w:tc>
          <w:tcPr>
            <w:tcW w:w="498" w:type="dxa"/>
            <w:tcBorders>
              <w:top w:val="nil"/>
              <w:left w:val="nil"/>
              <w:bottom w:val="nil"/>
            </w:tcBorders>
          </w:tcPr>
          <w:p>
            <w:pPr>
              <w:pStyle w:val="TableParagraph"/>
              <w:spacing w:line="200" w:lineRule="exact"/>
              <w:ind w:left="160"/>
              <w:rPr>
                <w:sz w:val="19"/>
              </w:rPr>
            </w:pPr>
            <w:r>
              <w:rPr>
                <w:color w:val="010101"/>
                <w:w w:val="105"/>
                <w:sz w:val="19"/>
              </w:rPr>
              <w:t>82</w:t>
            </w:r>
          </w:p>
        </w:tc>
        <w:tc>
          <w:tcPr>
            <w:tcW w:w="1455" w:type="dxa"/>
            <w:tcBorders>
              <w:top w:val="nil"/>
              <w:bottom w:val="nil"/>
            </w:tcBorders>
          </w:tcPr>
          <w:p>
            <w:pPr>
              <w:pStyle w:val="TableParagraph"/>
              <w:spacing w:line="197" w:lineRule="exact"/>
              <w:ind w:right="210"/>
              <w:jc w:val="right"/>
              <w:rPr>
                <w:sz w:val="19"/>
              </w:rPr>
            </w:pPr>
            <w:r>
              <w:rPr>
                <w:color w:val="010101"/>
                <w:w w:val="75"/>
                <w:sz w:val="19"/>
              </w:rPr>
              <w:t>182,350.6</w:t>
            </w:r>
          </w:p>
        </w:tc>
        <w:tc>
          <w:tcPr>
            <w:tcW w:w="1534" w:type="dxa"/>
            <w:tcBorders>
              <w:top w:val="nil"/>
              <w:bottom w:val="nil"/>
            </w:tcBorders>
          </w:tcPr>
          <w:p>
            <w:pPr>
              <w:pStyle w:val="TableParagraph"/>
              <w:spacing w:line="200" w:lineRule="exact"/>
              <w:ind w:right="205"/>
              <w:jc w:val="right"/>
              <w:rPr>
                <w:sz w:val="19"/>
              </w:rPr>
            </w:pPr>
            <w:r>
              <w:rPr>
                <w:color w:val="010101"/>
                <w:w w:val="80"/>
                <w:sz w:val="19"/>
              </w:rPr>
              <w:t>935,563.6</w:t>
            </w:r>
          </w:p>
        </w:tc>
        <w:tc>
          <w:tcPr>
            <w:tcW w:w="1701" w:type="dxa"/>
            <w:tcBorders>
              <w:top w:val="nil"/>
              <w:bottom w:val="nil"/>
              <w:right w:val="single" w:sz="7" w:space="0" w:color="000000"/>
            </w:tcBorders>
          </w:tcPr>
          <w:p>
            <w:pPr>
              <w:pStyle w:val="TableParagraph"/>
              <w:spacing w:line="200" w:lineRule="exact"/>
              <w:ind w:right="198"/>
              <w:jc w:val="right"/>
              <w:rPr>
                <w:sz w:val="19"/>
              </w:rPr>
            </w:pPr>
            <w:r>
              <w:rPr>
                <w:color w:val="010101"/>
                <w:w w:val="95"/>
                <w:sz w:val="19"/>
              </w:rPr>
              <w:t>4,082,239.8</w:t>
            </w:r>
          </w:p>
        </w:tc>
        <w:tc>
          <w:tcPr>
            <w:tcW w:w="481" w:type="dxa"/>
            <w:tcBorders>
              <w:top w:val="nil"/>
              <w:left w:val="single" w:sz="7" w:space="0" w:color="000000"/>
              <w:bottom w:val="nil"/>
              <w:right w:val="nil"/>
            </w:tcBorders>
          </w:tcPr>
          <w:p>
            <w:pPr>
              <w:pStyle w:val="TableParagraph"/>
              <w:spacing w:line="190" w:lineRule="exact"/>
              <w:ind w:left="168"/>
              <w:rPr>
                <w:rFonts w:ascii="Times New Roman"/>
                <w:sz w:val="18"/>
              </w:rPr>
            </w:pPr>
            <w:r>
              <w:rPr>
                <w:rFonts w:ascii="Times New Roman"/>
                <w:color w:val="010101"/>
                <w:sz w:val="18"/>
              </w:rPr>
              <w:t>82</w:t>
            </w:r>
          </w:p>
        </w:tc>
      </w:tr>
      <w:tr>
        <w:trPr>
          <w:trHeight w:val="201" w:hRule="exact"/>
        </w:trPr>
        <w:tc>
          <w:tcPr>
            <w:tcW w:w="498" w:type="dxa"/>
            <w:tcBorders>
              <w:top w:val="nil"/>
              <w:left w:val="nil"/>
              <w:bottom w:val="nil"/>
            </w:tcBorders>
          </w:tcPr>
          <w:p>
            <w:pPr>
              <w:pStyle w:val="TableParagraph"/>
              <w:spacing w:line="186" w:lineRule="exact"/>
              <w:ind w:left="160"/>
              <w:rPr>
                <w:rFonts w:ascii="Times New Roman"/>
                <w:sz w:val="17"/>
              </w:rPr>
            </w:pPr>
            <w:r>
              <w:rPr>
                <w:rFonts w:ascii="Times New Roman"/>
                <w:color w:val="010101"/>
                <w:w w:val="105"/>
                <w:sz w:val="17"/>
              </w:rPr>
              <w:t>83</w:t>
            </w:r>
          </w:p>
        </w:tc>
        <w:tc>
          <w:tcPr>
            <w:tcW w:w="1455" w:type="dxa"/>
            <w:tcBorders>
              <w:top w:val="nil"/>
              <w:bottom w:val="nil"/>
            </w:tcBorders>
          </w:tcPr>
          <w:p>
            <w:pPr>
              <w:pStyle w:val="TableParagraph"/>
              <w:spacing w:line="199" w:lineRule="exact"/>
              <w:ind w:right="220"/>
              <w:jc w:val="right"/>
              <w:rPr>
                <w:sz w:val="19"/>
              </w:rPr>
            </w:pPr>
            <w:r>
              <w:rPr>
                <w:color w:val="010101"/>
                <w:w w:val="70"/>
                <w:sz w:val="19"/>
              </w:rPr>
              <w:t>154,171.2</w:t>
            </w:r>
          </w:p>
        </w:tc>
        <w:tc>
          <w:tcPr>
            <w:tcW w:w="1534" w:type="dxa"/>
            <w:tcBorders>
              <w:top w:val="nil"/>
              <w:bottom w:val="nil"/>
            </w:tcBorders>
          </w:tcPr>
          <w:p>
            <w:pPr>
              <w:pStyle w:val="TableParagraph"/>
              <w:spacing w:line="202" w:lineRule="exact"/>
              <w:ind w:right="198"/>
              <w:jc w:val="right"/>
              <w:rPr>
                <w:sz w:val="19"/>
              </w:rPr>
            </w:pPr>
            <w:r>
              <w:rPr>
                <w:color w:val="010101"/>
                <w:w w:val="80"/>
                <w:sz w:val="19"/>
              </w:rPr>
              <w:t>753,213.0</w:t>
            </w:r>
          </w:p>
        </w:tc>
        <w:tc>
          <w:tcPr>
            <w:tcW w:w="1701" w:type="dxa"/>
            <w:tcBorders>
              <w:top w:val="nil"/>
              <w:bottom w:val="nil"/>
              <w:right w:val="single" w:sz="7" w:space="0" w:color="000000"/>
            </w:tcBorders>
          </w:tcPr>
          <w:p>
            <w:pPr>
              <w:pStyle w:val="TableParagraph"/>
              <w:spacing w:line="206" w:lineRule="exact"/>
              <w:ind w:right="211"/>
              <w:jc w:val="right"/>
              <w:rPr>
                <w:sz w:val="19"/>
              </w:rPr>
            </w:pPr>
            <w:r>
              <w:rPr>
                <w:color w:val="010101"/>
                <w:w w:val="80"/>
                <w:sz w:val="19"/>
              </w:rPr>
              <w:t>3,146,676.2</w:t>
            </w:r>
          </w:p>
        </w:tc>
        <w:tc>
          <w:tcPr>
            <w:tcW w:w="481" w:type="dxa"/>
            <w:tcBorders>
              <w:top w:val="nil"/>
              <w:left w:val="single" w:sz="7" w:space="0" w:color="000000"/>
              <w:bottom w:val="nil"/>
              <w:right w:val="nil"/>
            </w:tcBorders>
          </w:tcPr>
          <w:p>
            <w:pPr>
              <w:pStyle w:val="TableParagraph"/>
              <w:spacing w:line="195" w:lineRule="exact"/>
              <w:ind w:left="168"/>
              <w:rPr>
                <w:rFonts w:ascii="Times New Roman"/>
                <w:sz w:val="18"/>
              </w:rPr>
            </w:pPr>
            <w:r>
              <w:rPr>
                <w:rFonts w:ascii="Times New Roman"/>
                <w:color w:val="010101"/>
                <w:sz w:val="18"/>
              </w:rPr>
              <w:t>83</w:t>
            </w:r>
          </w:p>
        </w:tc>
      </w:tr>
      <w:tr>
        <w:trPr>
          <w:trHeight w:val="298" w:hRule="exact"/>
        </w:trPr>
        <w:tc>
          <w:tcPr>
            <w:tcW w:w="498" w:type="dxa"/>
            <w:tcBorders>
              <w:top w:val="nil"/>
              <w:left w:val="nil"/>
              <w:bottom w:val="nil"/>
            </w:tcBorders>
          </w:tcPr>
          <w:p>
            <w:pPr>
              <w:pStyle w:val="TableParagraph"/>
              <w:spacing w:line="188" w:lineRule="exact"/>
              <w:ind w:left="160"/>
              <w:rPr>
                <w:rFonts w:ascii="Times New Roman"/>
                <w:sz w:val="18"/>
              </w:rPr>
            </w:pPr>
            <w:r>
              <w:rPr>
                <w:rFonts w:ascii="Times New Roman"/>
                <w:color w:val="010101"/>
                <w:sz w:val="18"/>
              </w:rPr>
              <w:t>84</w:t>
            </w:r>
          </w:p>
        </w:tc>
        <w:tc>
          <w:tcPr>
            <w:tcW w:w="1455" w:type="dxa"/>
            <w:tcBorders>
              <w:top w:val="nil"/>
              <w:bottom w:val="nil"/>
            </w:tcBorders>
          </w:tcPr>
          <w:p>
            <w:pPr>
              <w:pStyle w:val="TableParagraph"/>
              <w:spacing w:line="199" w:lineRule="exact"/>
              <w:ind w:right="205"/>
              <w:jc w:val="right"/>
              <w:rPr>
                <w:sz w:val="19"/>
              </w:rPr>
            </w:pPr>
            <w:r>
              <w:rPr>
                <w:color w:val="010101"/>
                <w:w w:val="75"/>
                <w:sz w:val="19"/>
              </w:rPr>
              <w:t>128,818.2</w:t>
            </w:r>
          </w:p>
        </w:tc>
        <w:tc>
          <w:tcPr>
            <w:tcW w:w="1534" w:type="dxa"/>
            <w:tcBorders>
              <w:top w:val="nil"/>
              <w:bottom w:val="nil"/>
            </w:tcBorders>
          </w:tcPr>
          <w:p>
            <w:pPr>
              <w:pStyle w:val="TableParagraph"/>
              <w:spacing w:line="202" w:lineRule="exact"/>
              <w:ind w:right="200"/>
              <w:jc w:val="right"/>
              <w:rPr>
                <w:sz w:val="19"/>
              </w:rPr>
            </w:pPr>
            <w:r>
              <w:rPr>
                <w:color w:val="010101"/>
                <w:w w:val="80"/>
                <w:sz w:val="19"/>
              </w:rPr>
              <w:t>599,041.8</w:t>
            </w:r>
          </w:p>
        </w:tc>
        <w:tc>
          <w:tcPr>
            <w:tcW w:w="1701" w:type="dxa"/>
            <w:tcBorders>
              <w:top w:val="nil"/>
              <w:bottom w:val="nil"/>
              <w:right w:val="single" w:sz="7" w:space="0" w:color="000000"/>
            </w:tcBorders>
          </w:tcPr>
          <w:p>
            <w:pPr>
              <w:pStyle w:val="TableParagraph"/>
              <w:spacing w:line="202" w:lineRule="exact"/>
              <w:ind w:right="211"/>
              <w:jc w:val="right"/>
              <w:rPr>
                <w:sz w:val="19"/>
              </w:rPr>
            </w:pPr>
            <w:r>
              <w:rPr>
                <w:color w:val="010101"/>
                <w:w w:val="80"/>
                <w:sz w:val="19"/>
              </w:rPr>
              <w:t>2,393,463.2</w:t>
            </w:r>
          </w:p>
        </w:tc>
        <w:tc>
          <w:tcPr>
            <w:tcW w:w="481" w:type="dxa"/>
            <w:tcBorders>
              <w:top w:val="nil"/>
              <w:left w:val="single" w:sz="7" w:space="0" w:color="000000"/>
              <w:bottom w:val="nil"/>
              <w:right w:val="nil"/>
            </w:tcBorders>
          </w:tcPr>
          <w:p>
            <w:pPr>
              <w:pStyle w:val="TableParagraph"/>
              <w:spacing w:line="191" w:lineRule="exact"/>
              <w:ind w:left="168"/>
              <w:rPr>
                <w:rFonts w:ascii="Times New Roman"/>
                <w:sz w:val="18"/>
              </w:rPr>
            </w:pPr>
            <w:r>
              <w:rPr>
                <w:rFonts w:ascii="Times New Roman"/>
                <w:color w:val="010101"/>
                <w:sz w:val="18"/>
              </w:rPr>
              <w:t>84</w:t>
            </w:r>
          </w:p>
        </w:tc>
      </w:tr>
      <w:tr>
        <w:trPr>
          <w:trHeight w:val="300" w:hRule="exact"/>
        </w:trPr>
        <w:tc>
          <w:tcPr>
            <w:tcW w:w="498" w:type="dxa"/>
            <w:tcBorders>
              <w:top w:val="nil"/>
              <w:left w:val="nil"/>
              <w:bottom w:val="nil"/>
            </w:tcBorders>
          </w:tcPr>
          <w:p>
            <w:pPr>
              <w:pStyle w:val="TableParagraph"/>
              <w:spacing w:before="81"/>
              <w:ind w:left="164"/>
              <w:rPr>
                <w:rFonts w:ascii="Times New Roman"/>
                <w:sz w:val="18"/>
              </w:rPr>
            </w:pPr>
            <w:r>
              <w:rPr>
                <w:rFonts w:ascii="Times New Roman"/>
                <w:color w:val="010101"/>
                <w:sz w:val="18"/>
              </w:rPr>
              <w:t>85</w:t>
            </w:r>
          </w:p>
        </w:tc>
        <w:tc>
          <w:tcPr>
            <w:tcW w:w="1455" w:type="dxa"/>
            <w:tcBorders>
              <w:top w:val="nil"/>
              <w:bottom w:val="nil"/>
            </w:tcBorders>
          </w:tcPr>
          <w:p>
            <w:pPr>
              <w:pStyle w:val="TableParagraph"/>
              <w:spacing w:before="87"/>
              <w:ind w:right="201"/>
              <w:jc w:val="right"/>
              <w:rPr>
                <w:sz w:val="19"/>
              </w:rPr>
            </w:pPr>
            <w:r>
              <w:rPr>
                <w:color w:val="010101"/>
                <w:w w:val="70"/>
                <w:sz w:val="19"/>
              </w:rPr>
              <w:t>106,305.0</w:t>
            </w:r>
          </w:p>
        </w:tc>
        <w:tc>
          <w:tcPr>
            <w:tcW w:w="1534" w:type="dxa"/>
            <w:tcBorders>
              <w:top w:val="nil"/>
              <w:bottom w:val="nil"/>
            </w:tcBorders>
          </w:tcPr>
          <w:p>
            <w:pPr>
              <w:pStyle w:val="TableParagraph"/>
              <w:spacing w:before="84"/>
              <w:ind w:right="230"/>
              <w:jc w:val="right"/>
              <w:rPr>
                <w:sz w:val="19"/>
              </w:rPr>
            </w:pPr>
            <w:r>
              <w:rPr>
                <w:color w:val="010101"/>
                <w:w w:val="80"/>
                <w:sz w:val="19"/>
              </w:rPr>
              <w:t>470,223.6</w:t>
            </w:r>
          </w:p>
        </w:tc>
        <w:tc>
          <w:tcPr>
            <w:tcW w:w="1701" w:type="dxa"/>
            <w:tcBorders>
              <w:top w:val="nil"/>
              <w:bottom w:val="nil"/>
              <w:right w:val="single" w:sz="7" w:space="0" w:color="000000"/>
            </w:tcBorders>
          </w:tcPr>
          <w:p>
            <w:pPr>
              <w:pStyle w:val="TableParagraph"/>
              <w:spacing w:before="84"/>
              <w:ind w:right="207"/>
              <w:jc w:val="right"/>
              <w:rPr>
                <w:sz w:val="19"/>
              </w:rPr>
            </w:pPr>
            <w:r>
              <w:rPr>
                <w:color w:val="010101"/>
                <w:w w:val="75"/>
                <w:sz w:val="19"/>
              </w:rPr>
              <w:t>1,794,421 .4</w:t>
            </w:r>
          </w:p>
        </w:tc>
        <w:tc>
          <w:tcPr>
            <w:tcW w:w="481" w:type="dxa"/>
            <w:tcBorders>
              <w:top w:val="nil"/>
              <w:left w:val="single" w:sz="7" w:space="0" w:color="000000"/>
              <w:bottom w:val="nil"/>
              <w:right w:val="nil"/>
            </w:tcBorders>
          </w:tcPr>
          <w:p>
            <w:pPr>
              <w:pStyle w:val="TableParagraph"/>
              <w:spacing w:before="85"/>
              <w:ind w:left="171"/>
              <w:rPr>
                <w:rFonts w:ascii="Times New Roman"/>
                <w:sz w:val="18"/>
              </w:rPr>
            </w:pPr>
            <w:r>
              <w:rPr>
                <w:rFonts w:ascii="Times New Roman"/>
                <w:color w:val="010101"/>
                <w:sz w:val="18"/>
              </w:rPr>
              <w:t>85</w:t>
            </w:r>
          </w:p>
        </w:tc>
      </w:tr>
      <w:tr>
        <w:trPr>
          <w:trHeight w:val="205" w:hRule="exact"/>
        </w:trPr>
        <w:tc>
          <w:tcPr>
            <w:tcW w:w="498" w:type="dxa"/>
            <w:tcBorders>
              <w:top w:val="nil"/>
              <w:left w:val="nil"/>
              <w:bottom w:val="nil"/>
            </w:tcBorders>
          </w:tcPr>
          <w:p>
            <w:pPr>
              <w:pStyle w:val="TableParagraph"/>
              <w:spacing w:line="208" w:lineRule="exact"/>
              <w:ind w:left="160"/>
              <w:rPr>
                <w:sz w:val="19"/>
              </w:rPr>
            </w:pPr>
            <w:r>
              <w:rPr>
                <w:color w:val="010101"/>
                <w:w w:val="90"/>
                <w:sz w:val="19"/>
              </w:rPr>
              <w:t>86</w:t>
            </w:r>
          </w:p>
        </w:tc>
        <w:tc>
          <w:tcPr>
            <w:tcW w:w="1455" w:type="dxa"/>
            <w:tcBorders>
              <w:top w:val="nil"/>
              <w:bottom w:val="nil"/>
            </w:tcBorders>
          </w:tcPr>
          <w:p>
            <w:pPr>
              <w:pStyle w:val="TableParagraph"/>
              <w:spacing w:line="204" w:lineRule="exact"/>
              <w:ind w:right="234"/>
              <w:jc w:val="right"/>
              <w:rPr>
                <w:sz w:val="19"/>
              </w:rPr>
            </w:pPr>
            <w:r>
              <w:rPr>
                <w:color w:val="010101"/>
                <w:w w:val="75"/>
                <w:sz w:val="19"/>
              </w:rPr>
              <w:t>86,577.7</w:t>
            </w:r>
          </w:p>
        </w:tc>
        <w:tc>
          <w:tcPr>
            <w:tcW w:w="1534" w:type="dxa"/>
            <w:tcBorders>
              <w:top w:val="nil"/>
              <w:bottom w:val="nil"/>
            </w:tcBorders>
          </w:tcPr>
          <w:p>
            <w:pPr>
              <w:pStyle w:val="TableParagraph"/>
              <w:spacing w:line="200" w:lineRule="exact"/>
              <w:ind w:right="208"/>
              <w:jc w:val="right"/>
              <w:rPr>
                <w:sz w:val="19"/>
              </w:rPr>
            </w:pPr>
            <w:r>
              <w:rPr>
                <w:color w:val="010101"/>
                <w:w w:val="75"/>
                <w:sz w:val="19"/>
              </w:rPr>
              <w:t>363,918.6</w:t>
            </w:r>
          </w:p>
        </w:tc>
        <w:tc>
          <w:tcPr>
            <w:tcW w:w="1701" w:type="dxa"/>
            <w:tcBorders>
              <w:top w:val="nil"/>
              <w:bottom w:val="nil"/>
              <w:right w:val="single" w:sz="7" w:space="0" w:color="000000"/>
            </w:tcBorders>
          </w:tcPr>
          <w:p>
            <w:pPr>
              <w:pStyle w:val="TableParagraph"/>
              <w:spacing w:line="200" w:lineRule="exact"/>
              <w:ind w:right="200"/>
              <w:jc w:val="right"/>
              <w:rPr>
                <w:sz w:val="19"/>
              </w:rPr>
            </w:pPr>
            <w:r>
              <w:rPr>
                <w:color w:val="010101"/>
                <w:w w:val="75"/>
                <w:sz w:val="19"/>
              </w:rPr>
              <w:t>1,324,197.8</w:t>
            </w:r>
          </w:p>
        </w:tc>
        <w:tc>
          <w:tcPr>
            <w:tcW w:w="481" w:type="dxa"/>
            <w:tcBorders>
              <w:top w:val="nil"/>
              <w:left w:val="single" w:sz="7" w:space="0" w:color="000000"/>
              <w:bottom w:val="nil"/>
              <w:right w:val="nil"/>
            </w:tcBorders>
          </w:tcPr>
          <w:p>
            <w:pPr>
              <w:pStyle w:val="TableParagraph"/>
              <w:spacing w:line="211" w:lineRule="exact"/>
              <w:ind w:left="175"/>
              <w:rPr>
                <w:sz w:val="19"/>
              </w:rPr>
            </w:pPr>
            <w:r>
              <w:rPr>
                <w:color w:val="010101"/>
                <w:w w:val="85"/>
                <w:sz w:val="19"/>
              </w:rPr>
              <w:t>86</w:t>
            </w:r>
          </w:p>
        </w:tc>
      </w:tr>
      <w:tr>
        <w:trPr>
          <w:trHeight w:val="198" w:hRule="exact"/>
        </w:trPr>
        <w:tc>
          <w:tcPr>
            <w:tcW w:w="498" w:type="dxa"/>
            <w:tcBorders>
              <w:top w:val="nil"/>
              <w:left w:val="nil"/>
              <w:bottom w:val="nil"/>
            </w:tcBorders>
          </w:tcPr>
          <w:p>
            <w:pPr>
              <w:pStyle w:val="TableParagraph"/>
              <w:spacing w:line="200" w:lineRule="exact"/>
              <w:ind w:left="160"/>
              <w:rPr>
                <w:sz w:val="19"/>
              </w:rPr>
            </w:pPr>
            <w:r>
              <w:rPr>
                <w:color w:val="010101"/>
                <w:sz w:val="19"/>
              </w:rPr>
              <w:t>87</w:t>
            </w:r>
          </w:p>
        </w:tc>
        <w:tc>
          <w:tcPr>
            <w:tcW w:w="1455" w:type="dxa"/>
            <w:tcBorders>
              <w:top w:val="nil"/>
              <w:bottom w:val="nil"/>
            </w:tcBorders>
          </w:tcPr>
          <w:p>
            <w:pPr>
              <w:pStyle w:val="TableParagraph"/>
              <w:spacing w:line="197" w:lineRule="exact"/>
              <w:ind w:right="239"/>
              <w:jc w:val="right"/>
              <w:rPr>
                <w:sz w:val="19"/>
              </w:rPr>
            </w:pPr>
            <w:r>
              <w:rPr>
                <w:color w:val="010101"/>
                <w:w w:val="80"/>
                <w:sz w:val="19"/>
              </w:rPr>
              <w:t>69,529.5</w:t>
            </w:r>
          </w:p>
        </w:tc>
        <w:tc>
          <w:tcPr>
            <w:tcW w:w="1534" w:type="dxa"/>
            <w:tcBorders>
              <w:top w:val="nil"/>
              <w:bottom w:val="nil"/>
            </w:tcBorders>
          </w:tcPr>
          <w:p>
            <w:pPr>
              <w:pStyle w:val="TableParagraph"/>
              <w:spacing w:line="197" w:lineRule="exact"/>
              <w:ind w:right="213"/>
              <w:jc w:val="right"/>
              <w:rPr>
                <w:sz w:val="19"/>
              </w:rPr>
            </w:pPr>
            <w:r>
              <w:rPr>
                <w:color w:val="010101"/>
                <w:w w:val="75"/>
                <w:sz w:val="19"/>
              </w:rPr>
              <w:t>277,340.9</w:t>
            </w:r>
          </w:p>
        </w:tc>
        <w:tc>
          <w:tcPr>
            <w:tcW w:w="1701" w:type="dxa"/>
            <w:tcBorders>
              <w:top w:val="nil"/>
              <w:bottom w:val="nil"/>
              <w:right w:val="single" w:sz="7" w:space="0" w:color="000000"/>
            </w:tcBorders>
          </w:tcPr>
          <w:p>
            <w:pPr>
              <w:pStyle w:val="TableParagraph"/>
              <w:spacing w:line="197" w:lineRule="exact"/>
              <w:ind w:right="201"/>
              <w:jc w:val="right"/>
              <w:rPr>
                <w:sz w:val="19"/>
              </w:rPr>
            </w:pPr>
            <w:r>
              <w:rPr>
                <w:color w:val="010101"/>
                <w:w w:val="80"/>
                <w:sz w:val="19"/>
              </w:rPr>
              <w:t>960,279.2</w:t>
            </w:r>
          </w:p>
        </w:tc>
        <w:tc>
          <w:tcPr>
            <w:tcW w:w="481" w:type="dxa"/>
            <w:tcBorders>
              <w:top w:val="nil"/>
              <w:left w:val="single" w:sz="7" w:space="0" w:color="000000"/>
              <w:bottom w:val="nil"/>
              <w:right w:val="nil"/>
            </w:tcBorders>
          </w:tcPr>
          <w:p>
            <w:pPr>
              <w:pStyle w:val="TableParagraph"/>
              <w:spacing w:line="182" w:lineRule="exact"/>
              <w:ind w:left="168"/>
              <w:rPr>
                <w:rFonts w:ascii="Times New Roman"/>
                <w:sz w:val="16"/>
              </w:rPr>
            </w:pPr>
            <w:r>
              <w:rPr>
                <w:rFonts w:ascii="Times New Roman"/>
                <w:color w:val="010101"/>
                <w:w w:val="105"/>
                <w:sz w:val="16"/>
              </w:rPr>
              <w:t>87</w:t>
            </w:r>
          </w:p>
        </w:tc>
      </w:tr>
      <w:tr>
        <w:trPr>
          <w:trHeight w:val="199" w:hRule="exact"/>
        </w:trPr>
        <w:tc>
          <w:tcPr>
            <w:tcW w:w="498" w:type="dxa"/>
            <w:tcBorders>
              <w:top w:val="nil"/>
              <w:left w:val="nil"/>
              <w:bottom w:val="nil"/>
            </w:tcBorders>
          </w:tcPr>
          <w:p>
            <w:pPr>
              <w:pStyle w:val="TableParagraph"/>
              <w:spacing w:line="204" w:lineRule="exact"/>
              <w:ind w:left="160"/>
              <w:rPr>
                <w:sz w:val="19"/>
              </w:rPr>
            </w:pPr>
            <w:r>
              <w:rPr>
                <w:color w:val="010101"/>
                <w:w w:val="95"/>
                <w:sz w:val="19"/>
              </w:rPr>
              <w:t>88</w:t>
            </w:r>
          </w:p>
        </w:tc>
        <w:tc>
          <w:tcPr>
            <w:tcW w:w="1455" w:type="dxa"/>
            <w:tcBorders>
              <w:top w:val="nil"/>
              <w:bottom w:val="nil"/>
            </w:tcBorders>
          </w:tcPr>
          <w:p>
            <w:pPr>
              <w:pStyle w:val="TableParagraph"/>
              <w:spacing w:line="200" w:lineRule="exact"/>
              <w:ind w:right="232"/>
              <w:jc w:val="right"/>
              <w:rPr>
                <w:sz w:val="19"/>
              </w:rPr>
            </w:pPr>
            <w:r>
              <w:rPr>
                <w:color w:val="010101"/>
                <w:w w:val="70"/>
                <w:sz w:val="19"/>
              </w:rPr>
              <w:t>55,007.3</w:t>
            </w:r>
          </w:p>
        </w:tc>
        <w:tc>
          <w:tcPr>
            <w:tcW w:w="1534" w:type="dxa"/>
            <w:tcBorders>
              <w:top w:val="nil"/>
              <w:bottom w:val="nil"/>
            </w:tcBorders>
          </w:tcPr>
          <w:p>
            <w:pPr>
              <w:pStyle w:val="TableParagraph"/>
              <w:spacing w:line="200" w:lineRule="exact"/>
              <w:ind w:right="228"/>
              <w:jc w:val="right"/>
              <w:rPr>
                <w:sz w:val="19"/>
              </w:rPr>
            </w:pPr>
            <w:r>
              <w:rPr>
                <w:color w:val="010101"/>
                <w:w w:val="65"/>
                <w:sz w:val="19"/>
              </w:rPr>
              <w:t>:l&gt;7,811.4</w:t>
            </w:r>
          </w:p>
        </w:tc>
        <w:tc>
          <w:tcPr>
            <w:tcW w:w="1701" w:type="dxa"/>
            <w:tcBorders>
              <w:top w:val="nil"/>
              <w:bottom w:val="nil"/>
              <w:right w:val="single" w:sz="7" w:space="0" w:color="000000"/>
            </w:tcBorders>
          </w:tcPr>
          <w:p>
            <w:pPr>
              <w:pStyle w:val="TableParagraph"/>
              <w:spacing w:line="200" w:lineRule="exact"/>
              <w:ind w:right="214"/>
              <w:jc w:val="right"/>
              <w:rPr>
                <w:sz w:val="19"/>
              </w:rPr>
            </w:pPr>
            <w:r>
              <w:rPr>
                <w:color w:val="010101"/>
                <w:w w:val="80"/>
                <w:sz w:val="19"/>
              </w:rPr>
              <w:t>682,938.3</w:t>
            </w:r>
          </w:p>
        </w:tc>
        <w:tc>
          <w:tcPr>
            <w:tcW w:w="481" w:type="dxa"/>
            <w:tcBorders>
              <w:top w:val="nil"/>
              <w:left w:val="single" w:sz="7" w:space="0" w:color="000000"/>
              <w:bottom w:val="nil"/>
              <w:right w:val="nil"/>
            </w:tcBorders>
          </w:tcPr>
          <w:p>
            <w:pPr>
              <w:pStyle w:val="TableParagraph"/>
              <w:spacing w:line="190" w:lineRule="exact"/>
              <w:ind w:left="171"/>
              <w:rPr>
                <w:rFonts w:ascii="Times New Roman"/>
                <w:sz w:val="18"/>
              </w:rPr>
            </w:pPr>
            <w:r>
              <w:rPr>
                <w:rFonts w:ascii="Times New Roman"/>
                <w:color w:val="010101"/>
                <w:sz w:val="18"/>
              </w:rPr>
              <w:t>88</w:t>
            </w:r>
          </w:p>
        </w:tc>
      </w:tr>
      <w:tr>
        <w:trPr>
          <w:trHeight w:val="300" w:hRule="exact"/>
        </w:trPr>
        <w:tc>
          <w:tcPr>
            <w:tcW w:w="498" w:type="dxa"/>
            <w:tcBorders>
              <w:top w:val="nil"/>
              <w:left w:val="nil"/>
              <w:bottom w:val="nil"/>
            </w:tcBorders>
          </w:tcPr>
          <w:p>
            <w:pPr>
              <w:pStyle w:val="TableParagraph"/>
              <w:spacing w:line="183" w:lineRule="exact"/>
              <w:ind w:left="160"/>
              <w:rPr>
                <w:rFonts w:ascii="Times New Roman"/>
                <w:sz w:val="16"/>
              </w:rPr>
            </w:pPr>
            <w:r>
              <w:rPr>
                <w:rFonts w:ascii="Times New Roman"/>
                <w:color w:val="010101"/>
                <w:w w:val="105"/>
                <w:sz w:val="16"/>
              </w:rPr>
              <w:t>89</w:t>
            </w:r>
          </w:p>
        </w:tc>
        <w:tc>
          <w:tcPr>
            <w:tcW w:w="1455" w:type="dxa"/>
            <w:tcBorders>
              <w:top w:val="nil"/>
              <w:bottom w:val="nil"/>
            </w:tcBorders>
          </w:tcPr>
          <w:p>
            <w:pPr>
              <w:pStyle w:val="TableParagraph"/>
              <w:spacing w:line="199" w:lineRule="exact"/>
              <w:ind w:right="212"/>
              <w:jc w:val="right"/>
              <w:rPr>
                <w:sz w:val="19"/>
              </w:rPr>
            </w:pPr>
            <w:r>
              <w:rPr>
                <w:color w:val="010101"/>
                <w:w w:val="80"/>
                <w:sz w:val="19"/>
              </w:rPr>
              <w:t>42,817.6</w:t>
            </w:r>
          </w:p>
        </w:tc>
        <w:tc>
          <w:tcPr>
            <w:tcW w:w="1534" w:type="dxa"/>
            <w:tcBorders>
              <w:top w:val="nil"/>
              <w:bottom w:val="nil"/>
            </w:tcBorders>
          </w:tcPr>
          <w:p>
            <w:pPr>
              <w:pStyle w:val="TableParagraph"/>
              <w:spacing w:line="199" w:lineRule="exact"/>
              <w:ind w:right="217"/>
              <w:jc w:val="right"/>
              <w:rPr>
                <w:sz w:val="19"/>
              </w:rPr>
            </w:pPr>
            <w:r>
              <w:rPr>
                <w:color w:val="010101"/>
                <w:w w:val="75"/>
                <w:sz w:val="19"/>
              </w:rPr>
              <w:t>152,804.1</w:t>
            </w:r>
          </w:p>
        </w:tc>
        <w:tc>
          <w:tcPr>
            <w:tcW w:w="1701" w:type="dxa"/>
            <w:tcBorders>
              <w:top w:val="nil"/>
              <w:bottom w:val="nil"/>
              <w:right w:val="single" w:sz="7" w:space="0" w:color="000000"/>
            </w:tcBorders>
          </w:tcPr>
          <w:p>
            <w:pPr>
              <w:pStyle w:val="TableParagraph"/>
              <w:spacing w:line="202" w:lineRule="exact"/>
              <w:ind w:right="240"/>
              <w:jc w:val="right"/>
              <w:rPr>
                <w:sz w:val="19"/>
              </w:rPr>
            </w:pPr>
            <w:r>
              <w:rPr>
                <w:color w:val="010101"/>
                <w:w w:val="75"/>
                <w:sz w:val="19"/>
              </w:rPr>
              <w:t>475,126.9</w:t>
            </w:r>
          </w:p>
        </w:tc>
        <w:tc>
          <w:tcPr>
            <w:tcW w:w="481" w:type="dxa"/>
            <w:tcBorders>
              <w:top w:val="nil"/>
              <w:left w:val="single" w:sz="7" w:space="0" w:color="000000"/>
              <w:bottom w:val="nil"/>
              <w:right w:val="nil"/>
            </w:tcBorders>
          </w:tcPr>
          <w:p>
            <w:pPr>
              <w:pStyle w:val="TableParagraph"/>
              <w:spacing w:line="183" w:lineRule="exact"/>
              <w:ind w:left="171"/>
              <w:rPr>
                <w:rFonts w:ascii="Times New Roman"/>
                <w:sz w:val="16"/>
              </w:rPr>
            </w:pPr>
            <w:r>
              <w:rPr>
                <w:rFonts w:ascii="Times New Roman"/>
                <w:color w:val="010101"/>
                <w:w w:val="105"/>
                <w:sz w:val="16"/>
              </w:rPr>
              <w:t>89</w:t>
            </w:r>
          </w:p>
        </w:tc>
      </w:tr>
      <w:tr>
        <w:trPr>
          <w:trHeight w:val="298" w:hRule="exact"/>
        </w:trPr>
        <w:tc>
          <w:tcPr>
            <w:tcW w:w="498" w:type="dxa"/>
            <w:tcBorders>
              <w:top w:val="nil"/>
              <w:left w:val="nil"/>
              <w:bottom w:val="nil"/>
            </w:tcBorders>
          </w:tcPr>
          <w:p>
            <w:pPr>
              <w:pStyle w:val="TableParagraph"/>
              <w:spacing w:before="103"/>
              <w:ind w:left="157"/>
              <w:rPr>
                <w:rFonts w:ascii="Arial"/>
                <w:sz w:val="15"/>
              </w:rPr>
            </w:pPr>
            <w:r>
              <w:rPr>
                <w:rFonts w:ascii="Arial"/>
                <w:color w:val="010101"/>
                <w:w w:val="105"/>
                <w:sz w:val="15"/>
              </w:rPr>
              <w:t>90</w:t>
            </w:r>
          </w:p>
        </w:tc>
        <w:tc>
          <w:tcPr>
            <w:tcW w:w="1455" w:type="dxa"/>
            <w:tcBorders>
              <w:top w:val="nil"/>
              <w:bottom w:val="nil"/>
            </w:tcBorders>
          </w:tcPr>
          <w:p>
            <w:pPr>
              <w:pStyle w:val="TableParagraph"/>
              <w:spacing w:before="86"/>
              <w:ind w:right="214"/>
              <w:jc w:val="right"/>
              <w:rPr>
                <w:sz w:val="19"/>
              </w:rPr>
            </w:pPr>
            <w:r>
              <w:rPr>
                <w:color w:val="010101"/>
                <w:w w:val="85"/>
                <w:sz w:val="19"/>
              </w:rPr>
              <w:t>32,738.4</w:t>
            </w:r>
          </w:p>
        </w:tc>
        <w:tc>
          <w:tcPr>
            <w:tcW w:w="1534" w:type="dxa"/>
            <w:tcBorders>
              <w:top w:val="nil"/>
              <w:bottom w:val="nil"/>
            </w:tcBorders>
          </w:tcPr>
          <w:p>
            <w:pPr>
              <w:pStyle w:val="TableParagraph"/>
              <w:spacing w:before="86"/>
              <w:ind w:right="226"/>
              <w:jc w:val="right"/>
              <w:rPr>
                <w:sz w:val="19"/>
              </w:rPr>
            </w:pPr>
            <w:r>
              <w:rPr>
                <w:color w:val="010101"/>
                <w:w w:val="75"/>
                <w:sz w:val="19"/>
              </w:rPr>
              <w:t>109,986.5</w:t>
            </w:r>
          </w:p>
        </w:tc>
        <w:tc>
          <w:tcPr>
            <w:tcW w:w="1701" w:type="dxa"/>
            <w:tcBorders>
              <w:top w:val="nil"/>
              <w:bottom w:val="nil"/>
              <w:right w:val="single" w:sz="7" w:space="0" w:color="000000"/>
            </w:tcBorders>
          </w:tcPr>
          <w:p>
            <w:pPr>
              <w:pStyle w:val="TableParagraph"/>
              <w:spacing w:before="86"/>
              <w:ind w:right="201"/>
              <w:jc w:val="right"/>
              <w:rPr>
                <w:sz w:val="19"/>
              </w:rPr>
            </w:pPr>
            <w:r>
              <w:rPr>
                <w:color w:val="010101"/>
                <w:w w:val="80"/>
                <w:sz w:val="19"/>
              </w:rPr>
              <w:t>322,322.8</w:t>
            </w:r>
          </w:p>
        </w:tc>
        <w:tc>
          <w:tcPr>
            <w:tcW w:w="481" w:type="dxa"/>
            <w:tcBorders>
              <w:top w:val="nil"/>
              <w:left w:val="single" w:sz="7" w:space="0" w:color="000000"/>
              <w:bottom w:val="nil"/>
              <w:right w:val="nil"/>
            </w:tcBorders>
          </w:tcPr>
          <w:p>
            <w:pPr>
              <w:pStyle w:val="TableParagraph"/>
              <w:spacing w:before="110"/>
              <w:ind w:left="164"/>
              <w:rPr>
                <w:rFonts w:ascii="Arial"/>
                <w:sz w:val="15"/>
              </w:rPr>
            </w:pPr>
            <w:r>
              <w:rPr>
                <w:rFonts w:ascii="Arial"/>
                <w:color w:val="010101"/>
                <w:w w:val="105"/>
                <w:sz w:val="15"/>
              </w:rPr>
              <w:t>90</w:t>
            </w:r>
          </w:p>
        </w:tc>
      </w:tr>
      <w:tr>
        <w:trPr>
          <w:trHeight w:val="203" w:hRule="exact"/>
        </w:trPr>
        <w:tc>
          <w:tcPr>
            <w:tcW w:w="498" w:type="dxa"/>
            <w:tcBorders>
              <w:top w:val="nil"/>
              <w:left w:val="nil"/>
              <w:bottom w:val="nil"/>
            </w:tcBorders>
          </w:tcPr>
          <w:p>
            <w:pPr>
              <w:pStyle w:val="TableParagraph"/>
              <w:spacing w:line="204" w:lineRule="exact"/>
              <w:ind w:left="153"/>
              <w:rPr>
                <w:sz w:val="19"/>
              </w:rPr>
            </w:pPr>
            <w:r>
              <w:rPr>
                <w:color w:val="010101"/>
                <w:sz w:val="19"/>
              </w:rPr>
              <w:t>91</w:t>
            </w:r>
          </w:p>
        </w:tc>
        <w:tc>
          <w:tcPr>
            <w:tcW w:w="1455" w:type="dxa"/>
            <w:tcBorders>
              <w:top w:val="nil"/>
              <w:bottom w:val="nil"/>
            </w:tcBorders>
          </w:tcPr>
          <w:p>
            <w:pPr>
              <w:pStyle w:val="TableParagraph"/>
              <w:spacing w:line="184" w:lineRule="exact"/>
              <w:ind w:left="560"/>
              <w:rPr>
                <w:rFonts w:ascii="Times New Roman"/>
                <w:b/>
                <w:sz w:val="17"/>
              </w:rPr>
            </w:pPr>
            <w:r>
              <w:rPr>
                <w:rFonts w:ascii="Times New Roman"/>
                <w:b/>
                <w:color w:val="010101"/>
                <w:w w:val="110"/>
                <w:sz w:val="17"/>
              </w:rPr>
              <w:t>2i,533.4</w:t>
            </w:r>
          </w:p>
        </w:tc>
        <w:tc>
          <w:tcPr>
            <w:tcW w:w="1534" w:type="dxa"/>
            <w:tcBorders>
              <w:top w:val="nil"/>
              <w:bottom w:val="nil"/>
            </w:tcBorders>
          </w:tcPr>
          <w:p>
            <w:pPr>
              <w:pStyle w:val="TableParagraph"/>
              <w:spacing w:line="200" w:lineRule="exact"/>
              <w:ind w:right="219"/>
              <w:jc w:val="right"/>
              <w:rPr>
                <w:sz w:val="19"/>
              </w:rPr>
            </w:pPr>
            <w:r>
              <w:rPr>
                <w:color w:val="010101"/>
                <w:w w:val="85"/>
                <w:sz w:val="19"/>
              </w:rPr>
              <w:t>77,248.1</w:t>
            </w:r>
          </w:p>
        </w:tc>
        <w:tc>
          <w:tcPr>
            <w:tcW w:w="1701" w:type="dxa"/>
            <w:tcBorders>
              <w:top w:val="nil"/>
              <w:bottom w:val="nil"/>
              <w:right w:val="single" w:sz="7" w:space="0" w:color="000000"/>
            </w:tcBorders>
          </w:tcPr>
          <w:p>
            <w:pPr>
              <w:pStyle w:val="TableParagraph"/>
              <w:spacing w:line="204" w:lineRule="exact"/>
              <w:ind w:right="234"/>
              <w:jc w:val="right"/>
              <w:rPr>
                <w:sz w:val="19"/>
              </w:rPr>
            </w:pPr>
            <w:r>
              <w:rPr>
                <w:color w:val="010101"/>
                <w:w w:val="75"/>
                <w:sz w:val="19"/>
              </w:rPr>
              <w:t>212,336.3</w:t>
            </w:r>
          </w:p>
        </w:tc>
        <w:tc>
          <w:tcPr>
            <w:tcW w:w="481" w:type="dxa"/>
            <w:tcBorders>
              <w:top w:val="nil"/>
              <w:left w:val="single" w:sz="7" w:space="0" w:color="000000"/>
              <w:bottom w:val="nil"/>
              <w:right w:val="nil"/>
            </w:tcBorders>
          </w:tcPr>
          <w:p>
            <w:pPr>
              <w:pStyle w:val="TableParagraph"/>
              <w:spacing w:line="208" w:lineRule="exact"/>
              <w:ind w:left="164"/>
              <w:rPr>
                <w:sz w:val="19"/>
              </w:rPr>
            </w:pPr>
            <w:r>
              <w:rPr>
                <w:color w:val="010101"/>
                <w:sz w:val="19"/>
              </w:rPr>
              <w:t>91</w:t>
            </w:r>
          </w:p>
        </w:tc>
      </w:tr>
      <w:tr>
        <w:trPr>
          <w:trHeight w:val="199" w:hRule="exact"/>
        </w:trPr>
        <w:tc>
          <w:tcPr>
            <w:tcW w:w="498" w:type="dxa"/>
            <w:tcBorders>
              <w:top w:val="nil"/>
              <w:left w:val="nil"/>
              <w:bottom w:val="nil"/>
            </w:tcBorders>
          </w:tcPr>
          <w:p>
            <w:pPr>
              <w:pStyle w:val="TableParagraph"/>
              <w:spacing w:line="199" w:lineRule="exact"/>
              <w:ind w:left="160"/>
              <w:rPr>
                <w:sz w:val="19"/>
              </w:rPr>
            </w:pPr>
            <w:r>
              <w:rPr>
                <w:color w:val="010101"/>
                <w:sz w:val="19"/>
              </w:rPr>
              <w:t>92</w:t>
            </w:r>
          </w:p>
        </w:tc>
        <w:tc>
          <w:tcPr>
            <w:tcW w:w="1455" w:type="dxa"/>
            <w:tcBorders>
              <w:top w:val="nil"/>
              <w:bottom w:val="nil"/>
            </w:tcBorders>
          </w:tcPr>
          <w:p>
            <w:pPr>
              <w:pStyle w:val="TableParagraph"/>
              <w:spacing w:line="202" w:lineRule="exact"/>
              <w:ind w:right="215"/>
              <w:jc w:val="right"/>
              <w:rPr>
                <w:sz w:val="19"/>
              </w:rPr>
            </w:pPr>
            <w:r>
              <w:rPr>
                <w:color w:val="010101"/>
                <w:w w:val="80"/>
                <w:sz w:val="19"/>
              </w:rPr>
              <w:t>17,964.9</w:t>
            </w:r>
          </w:p>
        </w:tc>
        <w:tc>
          <w:tcPr>
            <w:tcW w:w="1534" w:type="dxa"/>
            <w:tcBorders>
              <w:top w:val="nil"/>
              <w:bottom w:val="nil"/>
            </w:tcBorders>
          </w:tcPr>
          <w:p>
            <w:pPr>
              <w:pStyle w:val="TableParagraph"/>
              <w:spacing w:line="199" w:lineRule="exact"/>
              <w:ind w:right="201"/>
              <w:jc w:val="right"/>
              <w:rPr>
                <w:sz w:val="19"/>
              </w:rPr>
            </w:pPr>
            <w:r>
              <w:rPr>
                <w:color w:val="010101"/>
                <w:w w:val="80"/>
                <w:sz w:val="19"/>
              </w:rPr>
              <w:t>52,714.7</w:t>
            </w:r>
          </w:p>
        </w:tc>
        <w:tc>
          <w:tcPr>
            <w:tcW w:w="1701" w:type="dxa"/>
            <w:tcBorders>
              <w:top w:val="nil"/>
              <w:bottom w:val="nil"/>
              <w:right w:val="single" w:sz="7" w:space="0" w:color="000000"/>
            </w:tcBorders>
          </w:tcPr>
          <w:p>
            <w:pPr>
              <w:pStyle w:val="TableParagraph"/>
              <w:spacing w:line="202" w:lineRule="exact"/>
              <w:ind w:right="201"/>
              <w:jc w:val="right"/>
              <w:rPr>
                <w:sz w:val="19"/>
              </w:rPr>
            </w:pPr>
            <w:r>
              <w:rPr>
                <w:color w:val="010101"/>
                <w:w w:val="75"/>
                <w:sz w:val="19"/>
              </w:rPr>
              <w:t>135,088.2</w:t>
            </w:r>
          </w:p>
        </w:tc>
        <w:tc>
          <w:tcPr>
            <w:tcW w:w="481" w:type="dxa"/>
            <w:tcBorders>
              <w:top w:val="nil"/>
              <w:left w:val="single" w:sz="7" w:space="0" w:color="000000"/>
              <w:bottom w:val="nil"/>
              <w:right w:val="nil"/>
            </w:tcBorders>
          </w:tcPr>
          <w:p>
            <w:pPr>
              <w:pStyle w:val="TableParagraph"/>
              <w:spacing w:line="202" w:lineRule="exact"/>
              <w:ind w:left="168"/>
              <w:rPr>
                <w:sz w:val="19"/>
              </w:rPr>
            </w:pPr>
            <w:r>
              <w:rPr>
                <w:color w:val="010101"/>
                <w:w w:val="105"/>
                <w:sz w:val="19"/>
              </w:rPr>
              <w:t>92</w:t>
            </w:r>
          </w:p>
        </w:tc>
      </w:tr>
      <w:tr>
        <w:trPr>
          <w:trHeight w:val="203" w:hRule="exact"/>
        </w:trPr>
        <w:tc>
          <w:tcPr>
            <w:tcW w:w="498" w:type="dxa"/>
            <w:tcBorders>
              <w:top w:val="nil"/>
              <w:left w:val="nil"/>
              <w:bottom w:val="nil"/>
            </w:tcBorders>
          </w:tcPr>
          <w:p>
            <w:pPr>
              <w:pStyle w:val="TableParagraph"/>
              <w:spacing w:line="200" w:lineRule="exact"/>
              <w:ind w:left="157"/>
              <w:rPr>
                <w:sz w:val="19"/>
              </w:rPr>
            </w:pPr>
            <w:r>
              <w:rPr>
                <w:color w:val="010101"/>
                <w:sz w:val="19"/>
              </w:rPr>
              <w:t>93</w:t>
            </w:r>
          </w:p>
        </w:tc>
        <w:tc>
          <w:tcPr>
            <w:tcW w:w="1455" w:type="dxa"/>
            <w:tcBorders>
              <w:top w:val="nil"/>
              <w:bottom w:val="nil"/>
            </w:tcBorders>
          </w:tcPr>
          <w:p>
            <w:pPr>
              <w:pStyle w:val="TableParagraph"/>
              <w:spacing w:line="204" w:lineRule="exact"/>
              <w:ind w:right="207"/>
              <w:jc w:val="right"/>
              <w:rPr>
                <w:sz w:val="19"/>
              </w:rPr>
            </w:pPr>
            <w:r>
              <w:rPr>
                <w:color w:val="010101"/>
                <w:w w:val="70"/>
                <w:sz w:val="19"/>
              </w:rPr>
              <w:t>12,fl&gt;3 .4</w:t>
            </w:r>
          </w:p>
        </w:tc>
        <w:tc>
          <w:tcPr>
            <w:tcW w:w="1534" w:type="dxa"/>
            <w:tcBorders>
              <w:top w:val="nil"/>
              <w:bottom w:val="nil"/>
            </w:tcBorders>
          </w:tcPr>
          <w:p>
            <w:pPr>
              <w:pStyle w:val="TableParagraph"/>
              <w:spacing w:line="200" w:lineRule="exact"/>
              <w:ind w:right="202"/>
              <w:jc w:val="right"/>
              <w:rPr>
                <w:sz w:val="19"/>
              </w:rPr>
            </w:pPr>
            <w:r>
              <w:rPr>
                <w:color w:val="010101"/>
                <w:w w:val="90"/>
                <w:sz w:val="19"/>
              </w:rPr>
              <w:t>34,749</w:t>
            </w:r>
            <w:r>
              <w:rPr>
                <w:color w:val="262626"/>
                <w:w w:val="90"/>
                <w:sz w:val="19"/>
              </w:rPr>
              <w:t>.</w:t>
            </w:r>
            <w:r>
              <w:rPr>
                <w:color w:val="010101"/>
                <w:w w:val="90"/>
                <w:sz w:val="19"/>
              </w:rPr>
              <w:t>8</w:t>
            </w:r>
          </w:p>
        </w:tc>
        <w:tc>
          <w:tcPr>
            <w:tcW w:w="1701" w:type="dxa"/>
            <w:tcBorders>
              <w:top w:val="nil"/>
              <w:bottom w:val="nil"/>
              <w:right w:val="single" w:sz="7" w:space="0" w:color="000000"/>
            </w:tcBorders>
          </w:tcPr>
          <w:p>
            <w:pPr>
              <w:pStyle w:val="TableParagraph"/>
              <w:spacing w:line="204" w:lineRule="exact"/>
              <w:ind w:right="209"/>
              <w:jc w:val="right"/>
              <w:rPr>
                <w:sz w:val="19"/>
              </w:rPr>
            </w:pPr>
            <w:r>
              <w:rPr>
                <w:color w:val="010101"/>
                <w:w w:val="80"/>
                <w:sz w:val="19"/>
              </w:rPr>
              <w:t>82,373.5</w:t>
            </w:r>
          </w:p>
        </w:tc>
        <w:tc>
          <w:tcPr>
            <w:tcW w:w="481" w:type="dxa"/>
            <w:tcBorders>
              <w:top w:val="nil"/>
              <w:left w:val="single" w:sz="7" w:space="0" w:color="000000"/>
              <w:bottom w:val="nil"/>
              <w:right w:val="nil"/>
            </w:tcBorders>
          </w:tcPr>
          <w:p>
            <w:pPr>
              <w:pStyle w:val="TableParagraph"/>
              <w:spacing w:line="208" w:lineRule="exact"/>
              <w:ind w:left="168"/>
              <w:rPr>
                <w:sz w:val="19"/>
              </w:rPr>
            </w:pPr>
            <w:r>
              <w:rPr>
                <w:color w:val="010101"/>
                <w:w w:val="95"/>
                <w:sz w:val="19"/>
              </w:rPr>
              <w:t>93</w:t>
            </w:r>
          </w:p>
        </w:tc>
      </w:tr>
      <w:tr>
        <w:trPr>
          <w:trHeight w:val="298" w:hRule="exact"/>
        </w:trPr>
        <w:tc>
          <w:tcPr>
            <w:tcW w:w="498" w:type="dxa"/>
            <w:tcBorders>
              <w:top w:val="nil"/>
              <w:left w:val="nil"/>
              <w:bottom w:val="nil"/>
            </w:tcBorders>
          </w:tcPr>
          <w:p>
            <w:pPr>
              <w:pStyle w:val="TableParagraph"/>
              <w:spacing w:line="202" w:lineRule="exact"/>
              <w:ind w:left="160"/>
              <w:rPr>
                <w:sz w:val="19"/>
              </w:rPr>
            </w:pPr>
            <w:r>
              <w:rPr>
                <w:color w:val="010101"/>
                <w:w w:val="90"/>
                <w:sz w:val="19"/>
              </w:rPr>
              <w:t>94</w:t>
            </w:r>
          </w:p>
        </w:tc>
        <w:tc>
          <w:tcPr>
            <w:tcW w:w="1455" w:type="dxa"/>
            <w:tcBorders>
              <w:top w:val="nil"/>
              <w:bottom w:val="nil"/>
            </w:tcBorders>
          </w:tcPr>
          <w:p>
            <w:pPr>
              <w:pStyle w:val="TableParagraph"/>
              <w:spacing w:line="176" w:lineRule="exact"/>
              <w:ind w:right="235"/>
              <w:jc w:val="right"/>
              <w:rPr>
                <w:rFonts w:ascii="Times New Roman"/>
                <w:b/>
                <w:sz w:val="16"/>
              </w:rPr>
            </w:pPr>
            <w:r>
              <w:rPr>
                <w:rFonts w:ascii="Times New Roman"/>
                <w:b/>
                <w:color w:val="010101"/>
                <w:w w:val="110"/>
                <w:sz w:val="16"/>
              </w:rPr>
              <w:t>8,834 .3</w:t>
            </w:r>
          </w:p>
        </w:tc>
        <w:tc>
          <w:tcPr>
            <w:tcW w:w="1534" w:type="dxa"/>
            <w:tcBorders>
              <w:top w:val="nil"/>
              <w:bottom w:val="nil"/>
            </w:tcBorders>
          </w:tcPr>
          <w:p>
            <w:pPr>
              <w:pStyle w:val="TableParagraph"/>
              <w:spacing w:line="199" w:lineRule="exact"/>
              <w:ind w:right="206"/>
              <w:jc w:val="right"/>
              <w:rPr>
                <w:sz w:val="19"/>
              </w:rPr>
            </w:pPr>
            <w:r>
              <w:rPr>
                <w:color w:val="010101"/>
                <w:w w:val="80"/>
                <w:sz w:val="19"/>
              </w:rPr>
              <w:t>21,946.4</w:t>
            </w:r>
          </w:p>
        </w:tc>
        <w:tc>
          <w:tcPr>
            <w:tcW w:w="1701" w:type="dxa"/>
            <w:tcBorders>
              <w:top w:val="nil"/>
              <w:bottom w:val="nil"/>
              <w:right w:val="single" w:sz="7" w:space="0" w:color="000000"/>
            </w:tcBorders>
          </w:tcPr>
          <w:p>
            <w:pPr>
              <w:pStyle w:val="TableParagraph"/>
              <w:spacing w:line="199" w:lineRule="exact"/>
              <w:ind w:right="227"/>
              <w:jc w:val="right"/>
              <w:rPr>
                <w:sz w:val="19"/>
              </w:rPr>
            </w:pPr>
            <w:r>
              <w:rPr>
                <w:color w:val="010101"/>
                <w:w w:val="80"/>
                <w:sz w:val="19"/>
              </w:rPr>
              <w:t>47,623.7</w:t>
            </w:r>
          </w:p>
        </w:tc>
        <w:tc>
          <w:tcPr>
            <w:tcW w:w="481" w:type="dxa"/>
            <w:tcBorders>
              <w:top w:val="nil"/>
              <w:left w:val="single" w:sz="7" w:space="0" w:color="000000"/>
              <w:bottom w:val="nil"/>
              <w:right w:val="nil"/>
            </w:tcBorders>
          </w:tcPr>
          <w:p>
            <w:pPr>
              <w:pStyle w:val="TableParagraph"/>
              <w:spacing w:line="202" w:lineRule="exact"/>
              <w:ind w:left="171"/>
              <w:rPr>
                <w:sz w:val="19"/>
              </w:rPr>
            </w:pPr>
            <w:r>
              <w:rPr>
                <w:color w:val="010101"/>
                <w:w w:val="95"/>
                <w:sz w:val="19"/>
              </w:rPr>
              <w:t>94</w:t>
            </w:r>
          </w:p>
        </w:tc>
      </w:tr>
      <w:tr>
        <w:trPr>
          <w:trHeight w:val="300" w:hRule="exact"/>
        </w:trPr>
        <w:tc>
          <w:tcPr>
            <w:tcW w:w="498" w:type="dxa"/>
            <w:tcBorders>
              <w:top w:val="nil"/>
              <w:left w:val="nil"/>
              <w:bottom w:val="nil"/>
            </w:tcBorders>
          </w:tcPr>
          <w:p>
            <w:pPr>
              <w:pStyle w:val="TableParagraph"/>
              <w:spacing w:before="87"/>
              <w:ind w:left="164"/>
              <w:rPr>
                <w:sz w:val="19"/>
              </w:rPr>
            </w:pPr>
            <w:r>
              <w:rPr>
                <w:color w:val="010101"/>
                <w:sz w:val="19"/>
              </w:rPr>
              <w:t>95</w:t>
            </w:r>
          </w:p>
        </w:tc>
        <w:tc>
          <w:tcPr>
            <w:tcW w:w="1455" w:type="dxa"/>
            <w:tcBorders>
              <w:top w:val="nil"/>
              <w:bottom w:val="nil"/>
            </w:tcBorders>
          </w:tcPr>
          <w:p>
            <w:pPr>
              <w:pStyle w:val="TableParagraph"/>
              <w:spacing w:before="87"/>
              <w:ind w:right="237"/>
              <w:jc w:val="right"/>
              <w:rPr>
                <w:sz w:val="19"/>
              </w:rPr>
            </w:pPr>
            <w:r>
              <w:rPr>
                <w:color w:val="010101"/>
                <w:w w:val="65"/>
                <w:sz w:val="19"/>
              </w:rPr>
              <w:t>5,861.0</w:t>
            </w:r>
          </w:p>
        </w:tc>
        <w:tc>
          <w:tcPr>
            <w:tcW w:w="1534" w:type="dxa"/>
            <w:tcBorders>
              <w:top w:val="nil"/>
              <w:bottom w:val="nil"/>
            </w:tcBorders>
          </w:tcPr>
          <w:p>
            <w:pPr>
              <w:pStyle w:val="TableParagraph"/>
              <w:spacing w:before="84"/>
              <w:ind w:right="218"/>
              <w:jc w:val="right"/>
              <w:rPr>
                <w:sz w:val="19"/>
              </w:rPr>
            </w:pPr>
            <w:r>
              <w:rPr>
                <w:color w:val="010101"/>
                <w:w w:val="65"/>
                <w:sz w:val="19"/>
              </w:rPr>
              <w:t>13,112.1</w:t>
            </w:r>
          </w:p>
        </w:tc>
        <w:tc>
          <w:tcPr>
            <w:tcW w:w="1701" w:type="dxa"/>
            <w:tcBorders>
              <w:top w:val="nil"/>
              <w:bottom w:val="nil"/>
              <w:right w:val="single" w:sz="7" w:space="0" w:color="000000"/>
            </w:tcBorders>
          </w:tcPr>
          <w:p>
            <w:pPr>
              <w:pStyle w:val="TableParagraph"/>
              <w:spacing w:before="87"/>
              <w:ind w:right="216"/>
              <w:jc w:val="right"/>
              <w:rPr>
                <w:sz w:val="19"/>
              </w:rPr>
            </w:pPr>
            <w:r>
              <w:rPr>
                <w:color w:val="010101"/>
                <w:w w:val="75"/>
                <w:sz w:val="19"/>
              </w:rPr>
              <w:t>25,677.3</w:t>
            </w:r>
          </w:p>
        </w:tc>
        <w:tc>
          <w:tcPr>
            <w:tcW w:w="481" w:type="dxa"/>
            <w:tcBorders>
              <w:top w:val="nil"/>
              <w:left w:val="single" w:sz="7" w:space="0" w:color="000000"/>
              <w:bottom w:val="nil"/>
              <w:right w:val="nil"/>
            </w:tcBorders>
          </w:tcPr>
          <w:p>
            <w:pPr>
              <w:pStyle w:val="TableParagraph"/>
              <w:spacing w:before="99"/>
              <w:ind w:left="168"/>
              <w:rPr>
                <w:rFonts w:ascii="Arial"/>
                <w:sz w:val="16"/>
              </w:rPr>
            </w:pPr>
            <w:r>
              <w:rPr>
                <w:rFonts w:ascii="Arial"/>
                <w:color w:val="010101"/>
                <w:sz w:val="16"/>
              </w:rPr>
              <w:t>95</w:t>
            </w:r>
          </w:p>
        </w:tc>
      </w:tr>
      <w:tr>
        <w:trPr>
          <w:trHeight w:val="201" w:hRule="exact"/>
        </w:trPr>
        <w:tc>
          <w:tcPr>
            <w:tcW w:w="498" w:type="dxa"/>
            <w:tcBorders>
              <w:top w:val="nil"/>
              <w:left w:val="nil"/>
              <w:bottom w:val="nil"/>
            </w:tcBorders>
          </w:tcPr>
          <w:p>
            <w:pPr>
              <w:pStyle w:val="TableParagraph"/>
              <w:spacing w:line="182" w:lineRule="exact"/>
              <w:ind w:left="164"/>
              <w:rPr>
                <w:rFonts w:ascii="Times New Roman"/>
                <w:sz w:val="16"/>
              </w:rPr>
            </w:pPr>
            <w:r>
              <w:rPr>
                <w:rFonts w:ascii="Times New Roman"/>
                <w:color w:val="010101"/>
                <w:sz w:val="16"/>
              </w:rPr>
              <w:t>96</w:t>
            </w:r>
          </w:p>
        </w:tc>
        <w:tc>
          <w:tcPr>
            <w:tcW w:w="1455" w:type="dxa"/>
            <w:tcBorders>
              <w:top w:val="nil"/>
              <w:bottom w:val="nil"/>
            </w:tcBorders>
          </w:tcPr>
          <w:p>
            <w:pPr>
              <w:pStyle w:val="TableParagraph"/>
              <w:spacing w:line="200" w:lineRule="exact"/>
              <w:ind w:right="211"/>
              <w:jc w:val="right"/>
              <w:rPr>
                <w:sz w:val="19"/>
              </w:rPr>
            </w:pPr>
            <w:r>
              <w:rPr>
                <w:color w:val="010101"/>
                <w:w w:val="85"/>
                <w:sz w:val="19"/>
              </w:rPr>
              <w:t>3,691.7</w:t>
            </w:r>
          </w:p>
        </w:tc>
        <w:tc>
          <w:tcPr>
            <w:tcW w:w="1534" w:type="dxa"/>
            <w:tcBorders>
              <w:top w:val="nil"/>
              <w:bottom w:val="nil"/>
            </w:tcBorders>
          </w:tcPr>
          <w:p>
            <w:pPr>
              <w:pStyle w:val="TableParagraph"/>
              <w:spacing w:line="204" w:lineRule="exact"/>
              <w:ind w:right="250"/>
              <w:jc w:val="right"/>
              <w:rPr>
                <w:sz w:val="19"/>
              </w:rPr>
            </w:pPr>
            <w:r>
              <w:rPr>
                <w:color w:val="010101"/>
                <w:w w:val="65"/>
                <w:sz w:val="19"/>
              </w:rPr>
              <w:t>7,251.J</w:t>
            </w:r>
          </w:p>
        </w:tc>
        <w:tc>
          <w:tcPr>
            <w:tcW w:w="1701" w:type="dxa"/>
            <w:tcBorders>
              <w:top w:val="nil"/>
              <w:bottom w:val="nil"/>
              <w:right w:val="single" w:sz="7" w:space="0" w:color="000000"/>
            </w:tcBorders>
          </w:tcPr>
          <w:p>
            <w:pPr>
              <w:pStyle w:val="TableParagraph"/>
              <w:spacing w:line="204" w:lineRule="exact"/>
              <w:ind w:right="206"/>
              <w:jc w:val="right"/>
              <w:rPr>
                <w:sz w:val="19"/>
              </w:rPr>
            </w:pPr>
            <w:r>
              <w:rPr>
                <w:color w:val="010101"/>
                <w:w w:val="80"/>
                <w:sz w:val="19"/>
              </w:rPr>
              <w:t>12,565.2</w:t>
            </w:r>
          </w:p>
        </w:tc>
        <w:tc>
          <w:tcPr>
            <w:tcW w:w="481" w:type="dxa"/>
            <w:tcBorders>
              <w:top w:val="nil"/>
              <w:left w:val="single" w:sz="7" w:space="0" w:color="000000"/>
              <w:bottom w:val="nil"/>
              <w:right w:val="nil"/>
            </w:tcBorders>
          </w:tcPr>
          <w:p>
            <w:pPr>
              <w:pStyle w:val="TableParagraph"/>
              <w:spacing w:before="1"/>
              <w:ind w:left="168"/>
              <w:rPr>
                <w:rFonts w:ascii="Times New Roman"/>
                <w:sz w:val="16"/>
              </w:rPr>
            </w:pPr>
            <w:r>
              <w:rPr>
                <w:rFonts w:ascii="Times New Roman"/>
                <w:color w:val="010101"/>
                <w:w w:val="105"/>
                <w:sz w:val="16"/>
              </w:rPr>
              <w:t>96</w:t>
            </w:r>
          </w:p>
        </w:tc>
      </w:tr>
      <w:tr>
        <w:trPr>
          <w:trHeight w:val="199" w:hRule="exact"/>
        </w:trPr>
        <w:tc>
          <w:tcPr>
            <w:tcW w:w="498" w:type="dxa"/>
            <w:tcBorders>
              <w:top w:val="nil"/>
              <w:left w:val="nil"/>
              <w:bottom w:val="nil"/>
            </w:tcBorders>
          </w:tcPr>
          <w:p>
            <w:pPr>
              <w:pStyle w:val="TableParagraph"/>
              <w:spacing w:line="204" w:lineRule="exact"/>
              <w:ind w:left="168"/>
              <w:rPr>
                <w:sz w:val="19"/>
              </w:rPr>
            </w:pPr>
            <w:r>
              <w:rPr>
                <w:color w:val="010101"/>
                <w:w w:val="95"/>
                <w:sz w:val="19"/>
              </w:rPr>
              <w:t>97</w:t>
            </w:r>
          </w:p>
        </w:tc>
        <w:tc>
          <w:tcPr>
            <w:tcW w:w="1455" w:type="dxa"/>
            <w:tcBorders>
              <w:top w:val="nil"/>
              <w:bottom w:val="nil"/>
            </w:tcBorders>
          </w:tcPr>
          <w:p>
            <w:pPr>
              <w:pStyle w:val="TableParagraph"/>
              <w:spacing w:line="180" w:lineRule="exact"/>
              <w:ind w:right="237"/>
              <w:jc w:val="right"/>
              <w:rPr>
                <w:rFonts w:ascii="Times New Roman"/>
                <w:b/>
                <w:sz w:val="17"/>
              </w:rPr>
            </w:pPr>
            <w:r>
              <w:rPr>
                <w:rFonts w:ascii="Times New Roman"/>
                <w:b/>
                <w:color w:val="010101"/>
                <w:w w:val="105"/>
                <w:sz w:val="17"/>
              </w:rPr>
              <w:t>2,148.5</w:t>
            </w:r>
          </w:p>
        </w:tc>
        <w:tc>
          <w:tcPr>
            <w:tcW w:w="1534" w:type="dxa"/>
            <w:tcBorders>
              <w:top w:val="nil"/>
              <w:bottom w:val="nil"/>
            </w:tcBorders>
          </w:tcPr>
          <w:p>
            <w:pPr>
              <w:pStyle w:val="TableParagraph"/>
              <w:spacing w:line="200" w:lineRule="exact"/>
              <w:ind w:right="208"/>
              <w:jc w:val="right"/>
              <w:rPr>
                <w:sz w:val="19"/>
              </w:rPr>
            </w:pPr>
            <w:r>
              <w:rPr>
                <w:color w:val="010101"/>
                <w:w w:val="80"/>
                <w:sz w:val="19"/>
              </w:rPr>
              <w:t>3,559.4</w:t>
            </w:r>
          </w:p>
        </w:tc>
        <w:tc>
          <w:tcPr>
            <w:tcW w:w="1701" w:type="dxa"/>
            <w:tcBorders>
              <w:top w:val="nil"/>
              <w:bottom w:val="nil"/>
              <w:right w:val="single" w:sz="7" w:space="0" w:color="000000"/>
            </w:tcBorders>
          </w:tcPr>
          <w:p>
            <w:pPr>
              <w:pStyle w:val="TableParagraph"/>
              <w:spacing w:line="204" w:lineRule="exact"/>
              <w:ind w:right="213"/>
              <w:jc w:val="right"/>
              <w:rPr>
                <w:sz w:val="19"/>
              </w:rPr>
            </w:pPr>
            <w:r>
              <w:rPr>
                <w:color w:val="010101"/>
                <w:w w:val="70"/>
                <w:sz w:val="19"/>
              </w:rPr>
              <w:t>5,314</w:t>
            </w:r>
            <w:r>
              <w:rPr>
                <w:color w:val="010101"/>
                <w:spacing w:val="-62"/>
                <w:w w:val="70"/>
                <w:sz w:val="19"/>
              </w:rPr>
              <w:t> </w:t>
            </w:r>
            <w:r>
              <w:rPr>
                <w:color w:val="010101"/>
                <w:w w:val="70"/>
                <w:sz w:val="19"/>
              </w:rPr>
              <w:t>.1</w:t>
            </w:r>
          </w:p>
        </w:tc>
        <w:tc>
          <w:tcPr>
            <w:tcW w:w="481" w:type="dxa"/>
            <w:tcBorders>
              <w:top w:val="nil"/>
              <w:left w:val="single" w:sz="7" w:space="0" w:color="000000"/>
              <w:bottom w:val="nil"/>
              <w:right w:val="nil"/>
            </w:tcBorders>
          </w:tcPr>
          <w:p>
            <w:pPr>
              <w:pStyle w:val="TableParagraph"/>
              <w:spacing w:line="184" w:lineRule="exact"/>
              <w:ind w:left="168"/>
              <w:rPr>
                <w:rFonts w:ascii="Times New Roman"/>
                <w:sz w:val="17"/>
              </w:rPr>
            </w:pPr>
            <w:r>
              <w:rPr>
                <w:rFonts w:ascii="Times New Roman"/>
                <w:color w:val="010101"/>
                <w:sz w:val="17"/>
              </w:rPr>
              <w:t>97</w:t>
            </w:r>
          </w:p>
        </w:tc>
      </w:tr>
      <w:tr>
        <w:trPr>
          <w:trHeight w:val="197" w:hRule="exact"/>
        </w:trPr>
        <w:tc>
          <w:tcPr>
            <w:tcW w:w="498" w:type="dxa"/>
            <w:tcBorders>
              <w:top w:val="nil"/>
              <w:left w:val="nil"/>
              <w:bottom w:val="nil"/>
            </w:tcBorders>
          </w:tcPr>
          <w:p>
            <w:pPr>
              <w:pStyle w:val="TableParagraph"/>
              <w:spacing w:line="202" w:lineRule="exact"/>
              <w:ind w:left="168"/>
              <w:rPr>
                <w:sz w:val="19"/>
              </w:rPr>
            </w:pPr>
            <w:r>
              <w:rPr>
                <w:color w:val="010101"/>
                <w:w w:val="110"/>
                <w:sz w:val="19"/>
              </w:rPr>
              <w:t>98</w:t>
            </w:r>
          </w:p>
        </w:tc>
        <w:tc>
          <w:tcPr>
            <w:tcW w:w="1455" w:type="dxa"/>
            <w:tcBorders>
              <w:top w:val="nil"/>
              <w:bottom w:val="nil"/>
              <w:right w:val="single" w:sz="7" w:space="0" w:color="000000"/>
            </w:tcBorders>
          </w:tcPr>
          <w:p>
            <w:pPr>
              <w:pStyle w:val="TableParagraph"/>
              <w:spacing w:line="202" w:lineRule="exact"/>
              <w:ind w:right="216"/>
              <w:jc w:val="right"/>
              <w:rPr>
                <w:sz w:val="19"/>
              </w:rPr>
            </w:pPr>
            <w:r>
              <w:rPr>
                <w:color w:val="010101"/>
                <w:w w:val="75"/>
                <w:sz w:val="19"/>
              </w:rPr>
              <w:t>1,067.1</w:t>
            </w:r>
          </w:p>
        </w:tc>
        <w:tc>
          <w:tcPr>
            <w:tcW w:w="1534" w:type="dxa"/>
            <w:tcBorders>
              <w:top w:val="nil"/>
              <w:left w:val="single" w:sz="7" w:space="0" w:color="000000"/>
              <w:bottom w:val="nil"/>
            </w:tcBorders>
          </w:tcPr>
          <w:p>
            <w:pPr>
              <w:pStyle w:val="TableParagraph"/>
              <w:spacing w:line="199" w:lineRule="exact"/>
              <w:ind w:right="202"/>
              <w:jc w:val="right"/>
              <w:rPr>
                <w:sz w:val="19"/>
              </w:rPr>
            </w:pPr>
            <w:r>
              <w:rPr>
                <w:color w:val="010101"/>
                <w:w w:val="80"/>
                <w:sz w:val="19"/>
              </w:rPr>
              <w:t>1,410</w:t>
            </w:r>
            <w:r>
              <w:rPr>
                <w:color w:val="262626"/>
                <w:w w:val="80"/>
                <w:sz w:val="19"/>
              </w:rPr>
              <w:t>.</w:t>
            </w:r>
            <w:r>
              <w:rPr>
                <w:color w:val="010101"/>
                <w:w w:val="80"/>
                <w:sz w:val="19"/>
              </w:rPr>
              <w:t>9</w:t>
            </w:r>
          </w:p>
        </w:tc>
        <w:tc>
          <w:tcPr>
            <w:tcW w:w="1701" w:type="dxa"/>
            <w:tcBorders>
              <w:top w:val="nil"/>
              <w:bottom w:val="nil"/>
              <w:right w:val="single" w:sz="7" w:space="0" w:color="000000"/>
            </w:tcBorders>
          </w:tcPr>
          <w:p>
            <w:pPr>
              <w:pStyle w:val="TableParagraph"/>
              <w:spacing w:line="202" w:lineRule="exact"/>
              <w:ind w:right="206"/>
              <w:jc w:val="right"/>
              <w:rPr>
                <w:sz w:val="19"/>
              </w:rPr>
            </w:pPr>
            <w:r>
              <w:rPr>
                <w:color w:val="010101"/>
                <w:w w:val="75"/>
                <w:sz w:val="19"/>
              </w:rPr>
              <w:t>1,754.7</w:t>
            </w:r>
          </w:p>
        </w:tc>
        <w:tc>
          <w:tcPr>
            <w:tcW w:w="481" w:type="dxa"/>
            <w:tcBorders>
              <w:top w:val="nil"/>
              <w:left w:val="single" w:sz="7" w:space="0" w:color="000000"/>
              <w:bottom w:val="nil"/>
              <w:right w:val="nil"/>
            </w:tcBorders>
          </w:tcPr>
          <w:p>
            <w:pPr>
              <w:pStyle w:val="TableParagraph"/>
              <w:spacing w:before="4"/>
              <w:ind w:left="168"/>
              <w:rPr>
                <w:rFonts w:ascii="Arial"/>
                <w:sz w:val="15"/>
              </w:rPr>
            </w:pPr>
            <w:r>
              <w:rPr>
                <w:rFonts w:ascii="Arial"/>
                <w:color w:val="010101"/>
                <w:w w:val="105"/>
                <w:sz w:val="15"/>
              </w:rPr>
              <w:t>98</w:t>
            </w:r>
          </w:p>
        </w:tc>
      </w:tr>
      <w:tr>
        <w:trPr>
          <w:trHeight w:val="261" w:hRule="exact"/>
        </w:trPr>
        <w:tc>
          <w:tcPr>
            <w:tcW w:w="498" w:type="dxa"/>
            <w:tcBorders>
              <w:top w:val="nil"/>
              <w:left w:val="nil"/>
              <w:bottom w:val="nil"/>
            </w:tcBorders>
          </w:tcPr>
          <w:p>
            <w:pPr>
              <w:pStyle w:val="TableParagraph"/>
              <w:spacing w:line="165" w:lineRule="exact"/>
              <w:ind w:left="168"/>
              <w:rPr>
                <w:rFonts w:ascii="Arial"/>
                <w:sz w:val="16"/>
              </w:rPr>
            </w:pPr>
            <w:r>
              <w:rPr>
                <w:rFonts w:ascii="Arial"/>
                <w:color w:val="010101"/>
                <w:w w:val="95"/>
                <w:sz w:val="16"/>
              </w:rPr>
              <w:t>99 </w:t>
            </w:r>
            <w:r>
              <w:rPr>
                <w:rFonts w:ascii="Arial"/>
                <w:color w:val="262626"/>
                <w:w w:val="95"/>
                <w:sz w:val="16"/>
              </w:rPr>
              <w:t>.</w:t>
            </w:r>
          </w:p>
        </w:tc>
        <w:tc>
          <w:tcPr>
            <w:tcW w:w="1455" w:type="dxa"/>
            <w:tcBorders>
              <w:top w:val="nil"/>
              <w:bottom w:val="nil"/>
              <w:right w:val="single" w:sz="7" w:space="0" w:color="000000"/>
            </w:tcBorders>
          </w:tcPr>
          <w:p>
            <w:pPr>
              <w:pStyle w:val="TableParagraph"/>
              <w:spacing w:line="203" w:lineRule="exact"/>
              <w:ind w:right="212"/>
              <w:jc w:val="right"/>
              <w:rPr>
                <w:sz w:val="19"/>
              </w:rPr>
            </w:pPr>
            <w:r>
              <w:rPr>
                <w:color w:val="010101"/>
                <w:w w:val="75"/>
                <w:sz w:val="19"/>
              </w:rPr>
              <w:t>343.8</w:t>
            </w:r>
          </w:p>
        </w:tc>
        <w:tc>
          <w:tcPr>
            <w:tcW w:w="1534" w:type="dxa"/>
            <w:tcBorders>
              <w:top w:val="nil"/>
              <w:left w:val="single" w:sz="7" w:space="0" w:color="000000"/>
              <w:bottom w:val="nil"/>
            </w:tcBorders>
          </w:tcPr>
          <w:p>
            <w:pPr>
              <w:pStyle w:val="TableParagraph"/>
              <w:spacing w:line="203" w:lineRule="exact"/>
              <w:ind w:right="196"/>
              <w:jc w:val="right"/>
              <w:rPr>
                <w:sz w:val="19"/>
              </w:rPr>
            </w:pPr>
            <w:r>
              <w:rPr>
                <w:color w:val="010101"/>
                <w:w w:val="85"/>
                <w:sz w:val="19"/>
              </w:rPr>
              <w:t>343.8</w:t>
            </w:r>
          </w:p>
        </w:tc>
        <w:tc>
          <w:tcPr>
            <w:tcW w:w="1701" w:type="dxa"/>
            <w:tcBorders>
              <w:top w:val="nil"/>
              <w:bottom w:val="nil"/>
              <w:right w:val="single" w:sz="7" w:space="0" w:color="000000"/>
            </w:tcBorders>
          </w:tcPr>
          <w:p>
            <w:pPr>
              <w:pStyle w:val="TableParagraph"/>
              <w:spacing w:line="203" w:lineRule="exact"/>
              <w:ind w:right="200"/>
              <w:jc w:val="right"/>
              <w:rPr>
                <w:sz w:val="19"/>
              </w:rPr>
            </w:pPr>
            <w:r>
              <w:rPr>
                <w:color w:val="010101"/>
                <w:w w:val="80"/>
                <w:sz w:val="19"/>
              </w:rPr>
              <w:t>343.8</w:t>
            </w:r>
          </w:p>
        </w:tc>
        <w:tc>
          <w:tcPr>
            <w:tcW w:w="481" w:type="dxa"/>
            <w:tcBorders>
              <w:top w:val="nil"/>
              <w:left w:val="single" w:sz="7" w:space="0" w:color="000000"/>
              <w:bottom w:val="nil"/>
              <w:right w:val="nil"/>
            </w:tcBorders>
          </w:tcPr>
          <w:p>
            <w:pPr>
              <w:pStyle w:val="TableParagraph"/>
              <w:ind w:left="171"/>
              <w:rPr>
                <w:rFonts w:ascii="Times New Roman"/>
                <w:b/>
                <w:sz w:val="16"/>
              </w:rPr>
            </w:pPr>
            <w:r>
              <w:rPr>
                <w:rFonts w:ascii="Times New Roman"/>
                <w:b/>
                <w:color w:val="010101"/>
                <w:w w:val="105"/>
                <w:sz w:val="16"/>
              </w:rPr>
              <w:t>99</w:t>
            </w:r>
          </w:p>
        </w:tc>
      </w:tr>
    </w:tbl>
    <w:p>
      <w:pPr>
        <w:pStyle w:val="BodyText"/>
        <w:spacing w:before="8"/>
        <w:rPr>
          <w:sz w:val="3"/>
        </w:rPr>
      </w:pPr>
    </w:p>
    <w:p>
      <w:pPr>
        <w:pStyle w:val="BodyText"/>
        <w:spacing w:line="20" w:lineRule="exact"/>
        <w:ind w:left="116"/>
        <w:rPr>
          <w:sz w:val="2"/>
        </w:rPr>
      </w:pPr>
      <w:r>
        <w:rPr>
          <w:sz w:val="2"/>
        </w:rPr>
        <w:pict>
          <v:group style="width:283.850pt;height:.75pt;mso-position-horizontal-relative:char;mso-position-vertical-relative:line" coordorigin="0,0" coordsize="5677,15">
            <v:line style="position:absolute" from="8,8" to="5669,8" stroked="true" strokeweight=".71535pt" strokecolor="#000000"/>
          </v:group>
        </w:pict>
      </w:r>
      <w:r>
        <w:rPr>
          <w:sz w:val="2"/>
        </w:rPr>
      </w:r>
    </w:p>
    <w:p>
      <w:pPr>
        <w:spacing w:after="0" w:line="20" w:lineRule="exact"/>
        <w:rPr>
          <w:sz w:val="2"/>
        </w:rPr>
        <w:sectPr>
          <w:pgSz w:w="7200" w:h="11340"/>
          <w:pgMar w:top="520" w:bottom="280" w:left="720" w:right="580"/>
        </w:sectPr>
      </w:pPr>
    </w:p>
    <w:p>
      <w:pPr>
        <w:tabs>
          <w:tab w:pos="5844" w:val="right" w:leader="none"/>
        </w:tabs>
        <w:spacing w:before="47"/>
        <w:ind w:left="1949" w:right="0" w:firstLine="0"/>
        <w:jc w:val="left"/>
        <w:rPr>
          <w:sz w:val="20"/>
        </w:rPr>
      </w:pPr>
      <w:r>
        <w:rPr>
          <w:b/>
          <w:w w:val="105"/>
          <w:sz w:val="14"/>
        </w:rPr>
        <w:t>COMMUTATION  </w:t>
      </w:r>
      <w:r>
        <w:rPr>
          <w:b/>
          <w:spacing w:val="12"/>
          <w:w w:val="105"/>
          <w:sz w:val="14"/>
        </w:rPr>
        <w:t> </w:t>
      </w:r>
      <w:r>
        <w:rPr>
          <w:w w:val="105"/>
          <w:sz w:val="15"/>
        </w:rPr>
        <w:t>COLUMNS</w:t>
      </w:r>
      <w:r>
        <w:rPr>
          <w:w w:val="105"/>
          <w:sz w:val="20"/>
        </w:rPr>
        <w:tab/>
      </w:r>
      <w:r>
        <w:rPr>
          <w:spacing w:val="-16"/>
          <w:w w:val="105"/>
          <w:sz w:val="20"/>
        </w:rPr>
        <w:t>339</w:t>
      </w:r>
    </w:p>
    <w:p>
      <w:pPr>
        <w:spacing w:before="166"/>
        <w:ind w:left="168" w:right="131" w:firstLine="0"/>
        <w:jc w:val="center"/>
        <w:rPr>
          <w:sz w:val="17"/>
        </w:rPr>
      </w:pPr>
      <w:r>
        <w:rPr>
          <w:w w:val="105"/>
          <w:sz w:val="17"/>
        </w:rPr>
        <w:t>1958  </w:t>
      </w:r>
      <w:r>
        <w:rPr>
          <w:w w:val="105"/>
          <w:sz w:val="25"/>
        </w:rPr>
        <w:t>eso </w:t>
      </w:r>
      <w:r>
        <w:rPr>
          <w:w w:val="105"/>
          <w:sz w:val="17"/>
        </w:rPr>
        <w:t>3%</w:t>
      </w:r>
    </w:p>
    <w:p>
      <w:pPr>
        <w:spacing w:before="12"/>
        <w:ind w:left="144" w:right="131" w:firstLine="0"/>
        <w:jc w:val="center"/>
        <w:rPr>
          <w:sz w:val="18"/>
        </w:rPr>
      </w:pPr>
      <w:r>
        <w:rPr>
          <w:sz w:val="18"/>
        </w:rPr>
        <w:t>Male Lives</w:t>
      </w:r>
    </w:p>
    <w:p>
      <w:pPr>
        <w:pStyle w:val="BodyText"/>
        <w:spacing w:before="2"/>
        <w:rPr>
          <w:sz w:val="5"/>
        </w:rPr>
      </w:pPr>
    </w:p>
    <w:tbl>
      <w:tblPr>
        <w:tblW w:w="0" w:type="auto"/>
        <w:jc w:val="left"/>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8"/>
        <w:gridCol w:w="1485"/>
        <w:gridCol w:w="1550"/>
        <w:gridCol w:w="1678"/>
        <w:gridCol w:w="499"/>
      </w:tblGrid>
      <w:tr>
        <w:trPr>
          <w:trHeight w:val="403" w:hRule="exact"/>
        </w:trPr>
        <w:tc>
          <w:tcPr>
            <w:tcW w:w="488" w:type="dxa"/>
            <w:tcBorders>
              <w:left w:val="nil"/>
            </w:tcBorders>
          </w:tcPr>
          <w:p>
            <w:pPr>
              <w:pStyle w:val="TableParagraph"/>
              <w:spacing w:before="109"/>
              <w:ind w:left="1"/>
              <w:jc w:val="center"/>
              <w:rPr>
                <w:rFonts w:ascii="Arial"/>
                <w:sz w:val="25"/>
              </w:rPr>
            </w:pPr>
            <w:r>
              <w:rPr>
                <w:rFonts w:ascii="Arial"/>
                <w:w w:val="96"/>
                <w:sz w:val="25"/>
              </w:rPr>
              <w:t>"</w:t>
            </w:r>
          </w:p>
        </w:tc>
        <w:tc>
          <w:tcPr>
            <w:tcW w:w="1485" w:type="dxa"/>
          </w:tcPr>
          <w:p>
            <w:pPr>
              <w:pStyle w:val="TableParagraph"/>
              <w:spacing w:before="34"/>
              <w:ind w:left="168" w:right="140"/>
              <w:jc w:val="center"/>
              <w:rPr>
                <w:rFonts w:ascii="Times New Roman"/>
                <w:i/>
                <w:sz w:val="22"/>
              </w:rPr>
            </w:pPr>
            <w:r>
              <w:rPr>
                <w:rFonts w:ascii="Times New Roman"/>
                <w:i/>
                <w:w w:val="115"/>
                <w:sz w:val="22"/>
              </w:rPr>
              <w:t>c.</w:t>
            </w:r>
          </w:p>
        </w:tc>
        <w:tc>
          <w:tcPr>
            <w:tcW w:w="1550" w:type="dxa"/>
          </w:tcPr>
          <w:p>
            <w:pPr>
              <w:pStyle w:val="TableParagraph"/>
              <w:spacing w:before="2"/>
              <w:rPr>
                <w:rFonts w:ascii="Times New Roman"/>
                <w:sz w:val="10"/>
              </w:rPr>
            </w:pPr>
          </w:p>
          <w:p>
            <w:pPr>
              <w:pStyle w:val="TableParagraph"/>
              <w:ind w:left="75" w:right="52"/>
              <w:jc w:val="center"/>
              <w:rPr>
                <w:rFonts w:ascii="Arial"/>
                <w:b/>
                <w:i/>
                <w:sz w:val="13"/>
              </w:rPr>
            </w:pPr>
            <w:r>
              <w:rPr>
                <w:rFonts w:ascii="Arial"/>
                <w:b/>
                <w:i/>
                <w:w w:val="135"/>
                <w:sz w:val="13"/>
              </w:rPr>
              <w:t>JI.</w:t>
            </w:r>
          </w:p>
        </w:tc>
        <w:tc>
          <w:tcPr>
            <w:tcW w:w="1678" w:type="dxa"/>
          </w:tcPr>
          <w:p>
            <w:pPr>
              <w:pStyle w:val="TableParagraph"/>
              <w:spacing w:before="117"/>
              <w:ind w:left="67" w:right="61"/>
              <w:jc w:val="center"/>
              <w:rPr>
                <w:rFonts w:ascii="Times New Roman"/>
                <w:b/>
                <w:i/>
                <w:sz w:val="15"/>
              </w:rPr>
            </w:pPr>
            <w:r>
              <w:rPr>
                <w:rFonts w:ascii="Times New Roman"/>
                <w:b/>
                <w:i/>
                <w:w w:val="110"/>
                <w:sz w:val="15"/>
              </w:rPr>
              <w:t>R.</w:t>
            </w:r>
          </w:p>
        </w:tc>
        <w:tc>
          <w:tcPr>
            <w:tcW w:w="499" w:type="dxa"/>
            <w:tcBorders>
              <w:right w:val="nil"/>
            </w:tcBorders>
          </w:tcPr>
          <w:p>
            <w:pPr>
              <w:pStyle w:val="TableParagraph"/>
              <w:spacing w:before="131"/>
              <w:ind w:left="34"/>
              <w:jc w:val="center"/>
              <w:rPr>
                <w:rFonts w:ascii="Arial"/>
                <w:sz w:val="25"/>
              </w:rPr>
            </w:pPr>
            <w:r>
              <w:rPr>
                <w:rFonts w:ascii="Arial"/>
                <w:w w:val="101"/>
                <w:sz w:val="25"/>
              </w:rPr>
              <w:t>"</w:t>
            </w:r>
          </w:p>
        </w:tc>
      </w:tr>
      <w:tr>
        <w:trPr>
          <w:trHeight w:val="1217" w:hRule="exact"/>
        </w:trPr>
        <w:tc>
          <w:tcPr>
            <w:tcW w:w="488" w:type="dxa"/>
            <w:tcBorders>
              <w:left w:val="nil"/>
              <w:bottom w:val="nil"/>
            </w:tcBorders>
          </w:tcPr>
          <w:p>
            <w:pPr>
              <w:pStyle w:val="TableParagraph"/>
              <w:spacing w:line="250" w:lineRule="exact" w:before="36"/>
              <w:ind w:left="234"/>
              <w:rPr>
                <w:rFonts w:ascii="Arial"/>
                <w:sz w:val="22"/>
              </w:rPr>
            </w:pPr>
            <w:r>
              <w:rPr>
                <w:rFonts w:ascii="Arial"/>
                <w:w w:val="74"/>
                <w:sz w:val="22"/>
              </w:rPr>
              <w:t>o</w:t>
            </w:r>
          </w:p>
          <w:p>
            <w:pPr>
              <w:pStyle w:val="TableParagraph"/>
              <w:spacing w:line="203" w:lineRule="exact"/>
              <w:ind w:left="248"/>
              <w:rPr>
                <w:sz w:val="19"/>
              </w:rPr>
            </w:pPr>
            <w:r>
              <w:rPr>
                <w:w w:val="77"/>
                <w:sz w:val="19"/>
              </w:rPr>
              <w:t>1</w:t>
            </w:r>
          </w:p>
          <w:p>
            <w:pPr>
              <w:pStyle w:val="TableParagraph"/>
              <w:spacing w:line="202" w:lineRule="exact"/>
              <w:ind w:left="237"/>
              <w:rPr>
                <w:sz w:val="19"/>
              </w:rPr>
            </w:pPr>
            <w:r>
              <w:rPr>
                <w:w w:val="103"/>
                <w:sz w:val="19"/>
              </w:rPr>
              <w:t>2</w:t>
            </w:r>
          </w:p>
          <w:p>
            <w:pPr>
              <w:pStyle w:val="TableParagraph"/>
              <w:spacing w:line="203" w:lineRule="exact"/>
              <w:ind w:left="237"/>
              <w:rPr>
                <w:sz w:val="19"/>
              </w:rPr>
            </w:pPr>
            <w:r>
              <w:rPr>
                <w:w w:val="95"/>
                <w:sz w:val="19"/>
              </w:rPr>
              <w:t>3</w:t>
            </w:r>
          </w:p>
          <w:p>
            <w:pPr>
              <w:pStyle w:val="TableParagraph"/>
              <w:spacing w:line="208" w:lineRule="exact"/>
              <w:ind w:left="230"/>
              <w:rPr>
                <w:sz w:val="19"/>
              </w:rPr>
            </w:pPr>
            <w:r>
              <w:rPr>
                <w:w w:val="108"/>
                <w:sz w:val="19"/>
              </w:rPr>
              <w:t>4</w:t>
            </w:r>
          </w:p>
        </w:tc>
        <w:tc>
          <w:tcPr>
            <w:tcW w:w="1485" w:type="dxa"/>
            <w:tcBorders>
              <w:bottom w:val="nil"/>
            </w:tcBorders>
          </w:tcPr>
          <w:p>
            <w:pPr>
              <w:pStyle w:val="TableParagraph"/>
              <w:spacing w:line="207" w:lineRule="exact" w:before="88"/>
              <w:ind w:left="332"/>
              <w:rPr>
                <w:sz w:val="19"/>
              </w:rPr>
            </w:pPr>
            <w:r>
              <w:rPr>
                <w:w w:val="95"/>
                <w:sz w:val="19"/>
              </w:rPr>
              <w:t>68,737.864</w:t>
            </w:r>
          </w:p>
          <w:p>
            <w:pPr>
              <w:pStyle w:val="TableParagraph"/>
              <w:spacing w:line="198" w:lineRule="exact"/>
              <w:ind w:left="347"/>
              <w:rPr>
                <w:sz w:val="19"/>
              </w:rPr>
            </w:pPr>
            <w:r>
              <w:rPr>
                <w:w w:val="95"/>
                <w:sz w:val="19"/>
              </w:rPr>
              <w:t>16,471.864</w:t>
            </w:r>
          </w:p>
          <w:p>
            <w:pPr>
              <w:pStyle w:val="TableParagraph"/>
              <w:spacing w:line="200" w:lineRule="exact"/>
              <w:ind w:left="347"/>
              <w:rPr>
                <w:sz w:val="19"/>
              </w:rPr>
            </w:pPr>
            <w:r>
              <w:rPr>
                <w:w w:val="95"/>
                <w:sz w:val="19"/>
              </w:rPr>
              <w:t>13,787.524</w:t>
            </w:r>
          </w:p>
          <w:p>
            <w:pPr>
              <w:pStyle w:val="TableParagraph"/>
              <w:spacing w:line="200" w:lineRule="exact"/>
              <w:ind w:left="347"/>
              <w:rPr>
                <w:sz w:val="19"/>
              </w:rPr>
            </w:pPr>
            <w:r>
              <w:rPr>
                <w:spacing w:val="-21"/>
                <w:sz w:val="19"/>
              </w:rPr>
              <w:t>12,837.749</w:t>
            </w:r>
          </w:p>
          <w:p>
            <w:pPr>
              <w:pStyle w:val="TableParagraph"/>
              <w:spacing w:line="207" w:lineRule="exact"/>
              <w:ind w:left="350"/>
              <w:rPr>
                <w:sz w:val="19"/>
              </w:rPr>
            </w:pPr>
            <w:r>
              <w:rPr>
                <w:w w:val="95"/>
                <w:sz w:val="19"/>
              </w:rPr>
              <w:t>11,934.192</w:t>
            </w:r>
          </w:p>
        </w:tc>
        <w:tc>
          <w:tcPr>
            <w:tcW w:w="1550" w:type="dxa"/>
            <w:tcBorders>
              <w:bottom w:val="nil"/>
            </w:tcBorders>
          </w:tcPr>
          <w:p>
            <w:pPr>
              <w:pStyle w:val="TableParagraph"/>
              <w:spacing w:line="208" w:lineRule="exact" w:before="85"/>
              <w:ind w:left="266" w:right="-7"/>
              <w:rPr>
                <w:sz w:val="19"/>
              </w:rPr>
            </w:pPr>
            <w:r>
              <w:rPr>
                <w:w w:val="80"/>
                <w:sz w:val="19"/>
              </w:rPr>
              <w:t>1,583,601.456</w:t>
            </w:r>
          </w:p>
          <w:p>
            <w:pPr>
              <w:pStyle w:val="TableParagraph"/>
              <w:spacing w:line="202" w:lineRule="exact"/>
              <w:ind w:left="266" w:right="-7"/>
              <w:rPr>
                <w:sz w:val="19"/>
              </w:rPr>
            </w:pPr>
            <w:r>
              <w:rPr>
                <w:spacing w:val="-13"/>
                <w:w w:val="90"/>
                <w:sz w:val="19"/>
              </w:rPr>
              <w:t>1,514,863.592</w:t>
            </w:r>
          </w:p>
          <w:p>
            <w:pPr>
              <w:pStyle w:val="TableParagraph"/>
              <w:spacing w:line="202" w:lineRule="exact"/>
              <w:ind w:left="266" w:right="-7"/>
              <w:rPr>
                <w:sz w:val="19"/>
              </w:rPr>
            </w:pPr>
            <w:r>
              <w:rPr>
                <w:spacing w:val="-18"/>
                <w:w w:val="95"/>
                <w:sz w:val="19"/>
              </w:rPr>
              <w:t>1,498,391.728</w:t>
            </w:r>
          </w:p>
          <w:p>
            <w:pPr>
              <w:pStyle w:val="TableParagraph"/>
              <w:spacing w:line="202" w:lineRule="exact"/>
              <w:ind w:left="266" w:right="-7"/>
              <w:rPr>
                <w:sz w:val="19"/>
              </w:rPr>
            </w:pPr>
            <w:r>
              <w:rPr>
                <w:w w:val="80"/>
                <w:sz w:val="19"/>
              </w:rPr>
              <w:t>1,484,604.ro4</w:t>
            </w:r>
          </w:p>
          <w:p>
            <w:pPr>
              <w:pStyle w:val="TableParagraph"/>
              <w:spacing w:line="208" w:lineRule="exact"/>
              <w:ind w:left="262" w:right="-7"/>
              <w:rPr>
                <w:sz w:val="19"/>
              </w:rPr>
            </w:pPr>
            <w:r>
              <w:rPr>
                <w:w w:val="85"/>
                <w:sz w:val="19"/>
              </w:rPr>
              <w:t>1,471,766.455</w:t>
            </w:r>
          </w:p>
        </w:tc>
        <w:tc>
          <w:tcPr>
            <w:tcW w:w="1678" w:type="dxa"/>
            <w:tcBorders>
              <w:bottom w:val="nil"/>
            </w:tcBorders>
          </w:tcPr>
          <w:p>
            <w:pPr>
              <w:pStyle w:val="TableParagraph"/>
              <w:spacing w:line="210" w:lineRule="exact" w:before="99"/>
              <w:ind w:left="300" w:right="-14"/>
              <w:rPr>
                <w:sz w:val="19"/>
              </w:rPr>
            </w:pPr>
            <w:r>
              <w:rPr>
                <w:spacing w:val="-19"/>
                <w:w w:val="95"/>
                <w:sz w:val="19"/>
              </w:rPr>
              <w:t>85,672,418.432</w:t>
            </w:r>
          </w:p>
          <w:p>
            <w:pPr>
              <w:pStyle w:val="TableParagraph"/>
              <w:spacing w:line="198" w:lineRule="exact"/>
              <w:ind w:left="304" w:right="-14"/>
              <w:rPr>
                <w:sz w:val="19"/>
              </w:rPr>
            </w:pPr>
            <w:r>
              <w:rPr>
                <w:spacing w:val="-13"/>
                <w:w w:val="90"/>
                <w:sz w:val="19"/>
              </w:rPr>
              <w:t>84,088,816.976</w:t>
            </w:r>
          </w:p>
          <w:p>
            <w:pPr>
              <w:pStyle w:val="TableParagraph"/>
              <w:spacing w:line="196" w:lineRule="exact"/>
              <w:ind w:left="300" w:right="-14"/>
              <w:rPr>
                <w:sz w:val="19"/>
              </w:rPr>
            </w:pPr>
            <w:r>
              <w:rPr>
                <w:spacing w:val="-18"/>
                <w:w w:val="95"/>
                <w:sz w:val="19"/>
              </w:rPr>
              <w:t>82,573,953.384</w:t>
            </w:r>
          </w:p>
          <w:p>
            <w:pPr>
              <w:pStyle w:val="TableParagraph"/>
              <w:spacing w:line="202" w:lineRule="exact"/>
              <w:ind w:left="300" w:right="-14"/>
              <w:rPr>
                <w:sz w:val="19"/>
              </w:rPr>
            </w:pPr>
            <w:r>
              <w:rPr>
                <w:w w:val="85"/>
                <w:sz w:val="19"/>
              </w:rPr>
              <w:t>81,075,561.656</w:t>
            </w:r>
          </w:p>
          <w:p>
            <w:pPr>
              <w:pStyle w:val="TableParagraph"/>
              <w:spacing w:line="208" w:lineRule="exact"/>
              <w:ind w:left="296" w:right="-14"/>
              <w:rPr>
                <w:sz w:val="19"/>
              </w:rPr>
            </w:pPr>
            <w:r>
              <w:rPr>
                <w:spacing w:val="-16"/>
                <w:w w:val="90"/>
                <w:sz w:val="19"/>
              </w:rPr>
              <w:t>79,590,957.452</w:t>
            </w:r>
          </w:p>
        </w:tc>
        <w:tc>
          <w:tcPr>
            <w:tcW w:w="499" w:type="dxa"/>
            <w:tcBorders>
              <w:bottom w:val="nil"/>
              <w:right w:val="nil"/>
            </w:tcBorders>
          </w:tcPr>
          <w:p>
            <w:pPr>
              <w:pStyle w:val="TableParagraph"/>
              <w:spacing w:line="250" w:lineRule="exact" w:before="54"/>
              <w:ind w:left="253"/>
              <w:rPr>
                <w:rFonts w:ascii="Arial"/>
                <w:sz w:val="22"/>
              </w:rPr>
            </w:pPr>
            <w:r>
              <w:rPr>
                <w:rFonts w:ascii="Arial"/>
                <w:w w:val="78"/>
                <w:sz w:val="22"/>
              </w:rPr>
              <w:t>o</w:t>
            </w:r>
          </w:p>
          <w:p>
            <w:pPr>
              <w:pStyle w:val="TableParagraph"/>
              <w:spacing w:line="205" w:lineRule="exact"/>
              <w:ind w:left="268"/>
              <w:rPr>
                <w:sz w:val="19"/>
              </w:rPr>
            </w:pPr>
            <w:r>
              <w:rPr>
                <w:w w:val="82"/>
                <w:sz w:val="19"/>
              </w:rPr>
              <w:t>1</w:t>
            </w:r>
          </w:p>
          <w:p>
            <w:pPr>
              <w:pStyle w:val="TableParagraph"/>
              <w:spacing w:line="202" w:lineRule="exact"/>
              <w:ind w:left="257"/>
              <w:rPr>
                <w:sz w:val="19"/>
              </w:rPr>
            </w:pPr>
            <w:r>
              <w:rPr>
                <w:w w:val="103"/>
                <w:sz w:val="19"/>
              </w:rPr>
              <w:t>2</w:t>
            </w:r>
          </w:p>
          <w:p>
            <w:pPr>
              <w:pStyle w:val="TableParagraph"/>
              <w:spacing w:line="200" w:lineRule="exact"/>
              <w:ind w:left="257"/>
              <w:rPr>
                <w:sz w:val="19"/>
              </w:rPr>
            </w:pPr>
            <w:r>
              <w:rPr>
                <w:w w:val="100"/>
                <w:sz w:val="19"/>
              </w:rPr>
              <w:t>3</w:t>
            </w:r>
          </w:p>
          <w:p>
            <w:pPr>
              <w:pStyle w:val="TableParagraph"/>
              <w:spacing w:line="207" w:lineRule="exact"/>
              <w:ind w:left="253"/>
              <w:rPr>
                <w:sz w:val="19"/>
              </w:rPr>
            </w:pPr>
            <w:r>
              <w:rPr>
                <w:w w:val="108"/>
                <w:sz w:val="19"/>
              </w:rPr>
              <w:t>4</w:t>
            </w:r>
          </w:p>
        </w:tc>
      </w:tr>
      <w:tr>
        <w:trPr>
          <w:trHeight w:val="1206" w:hRule="exact"/>
        </w:trPr>
        <w:tc>
          <w:tcPr>
            <w:tcW w:w="488" w:type="dxa"/>
            <w:tcBorders>
              <w:top w:val="nil"/>
              <w:left w:val="nil"/>
              <w:bottom w:val="nil"/>
            </w:tcBorders>
          </w:tcPr>
          <w:p>
            <w:pPr>
              <w:pStyle w:val="TableParagraph"/>
              <w:spacing w:line="208" w:lineRule="exact" w:before="81"/>
              <w:ind w:left="234"/>
              <w:rPr>
                <w:sz w:val="19"/>
              </w:rPr>
            </w:pPr>
            <w:r>
              <w:rPr>
                <w:w w:val="100"/>
                <w:sz w:val="19"/>
              </w:rPr>
              <w:t>5</w:t>
            </w:r>
          </w:p>
          <w:p>
            <w:pPr>
              <w:pStyle w:val="TableParagraph"/>
              <w:spacing w:line="200" w:lineRule="exact"/>
              <w:ind w:left="234"/>
              <w:rPr>
                <w:sz w:val="19"/>
              </w:rPr>
            </w:pPr>
            <w:r>
              <w:rPr>
                <w:w w:val="107"/>
                <w:sz w:val="19"/>
              </w:rPr>
              <w:t>6</w:t>
            </w:r>
          </w:p>
          <w:p>
            <w:pPr>
              <w:pStyle w:val="TableParagraph"/>
              <w:spacing w:line="200" w:lineRule="exact"/>
              <w:ind w:left="237"/>
              <w:rPr>
                <w:sz w:val="19"/>
              </w:rPr>
            </w:pPr>
            <w:r>
              <w:rPr>
                <w:w w:val="98"/>
                <w:sz w:val="19"/>
              </w:rPr>
              <w:t>7</w:t>
            </w:r>
          </w:p>
          <w:p>
            <w:pPr>
              <w:pStyle w:val="TableParagraph"/>
              <w:spacing w:line="202" w:lineRule="exact"/>
              <w:ind w:left="234"/>
              <w:rPr>
                <w:sz w:val="19"/>
              </w:rPr>
            </w:pPr>
            <w:r>
              <w:rPr>
                <w:w w:val="118"/>
                <w:sz w:val="19"/>
              </w:rPr>
              <w:t>8</w:t>
            </w:r>
          </w:p>
          <w:p>
            <w:pPr>
              <w:pStyle w:val="TableParagraph"/>
              <w:spacing w:line="208" w:lineRule="exact"/>
              <w:ind w:left="234"/>
              <w:rPr>
                <w:sz w:val="19"/>
              </w:rPr>
            </w:pPr>
            <w:r>
              <w:rPr>
                <w:w w:val="113"/>
                <w:sz w:val="19"/>
              </w:rPr>
              <w:t>9</w:t>
            </w:r>
          </w:p>
        </w:tc>
        <w:tc>
          <w:tcPr>
            <w:tcW w:w="1485" w:type="dxa"/>
            <w:tcBorders>
              <w:top w:val="nil"/>
              <w:bottom w:val="nil"/>
            </w:tcBorders>
          </w:tcPr>
          <w:p>
            <w:pPr>
              <w:pStyle w:val="TableParagraph"/>
              <w:spacing w:line="207" w:lineRule="exact" w:before="81"/>
              <w:ind w:left="347"/>
              <w:rPr>
                <w:sz w:val="19"/>
              </w:rPr>
            </w:pPr>
            <w:r>
              <w:rPr>
                <w:w w:val="90"/>
                <w:sz w:val="19"/>
              </w:rPr>
              <w:t>11,156.965</w:t>
            </w:r>
          </w:p>
          <w:p>
            <w:pPr>
              <w:pStyle w:val="TableParagraph"/>
              <w:spacing w:line="200" w:lineRule="exact"/>
              <w:ind w:left="347"/>
              <w:rPr>
                <w:sz w:val="19"/>
              </w:rPr>
            </w:pPr>
            <w:r>
              <w:rPr>
                <w:spacing w:val="-24"/>
                <w:sz w:val="19"/>
              </w:rPr>
              <w:t>10,417.328</w:t>
            </w:r>
          </w:p>
          <w:p>
            <w:pPr>
              <w:pStyle w:val="TableParagraph"/>
              <w:spacing w:line="202" w:lineRule="exact"/>
              <w:ind w:left="415"/>
              <w:rPr>
                <w:sz w:val="19"/>
              </w:rPr>
            </w:pPr>
            <w:r>
              <w:rPr>
                <w:sz w:val="19"/>
              </w:rPr>
              <w:t>9,789.464</w:t>
            </w:r>
          </w:p>
          <w:p>
            <w:pPr>
              <w:pStyle w:val="TableParagraph"/>
              <w:spacing w:line="202" w:lineRule="exact"/>
              <w:ind w:left="419"/>
              <w:rPr>
                <w:sz w:val="19"/>
              </w:rPr>
            </w:pPr>
            <w:r>
              <w:rPr>
                <w:spacing w:val="-28"/>
                <w:w w:val="108"/>
                <w:sz w:val="19"/>
              </w:rPr>
              <w:t>9</w:t>
            </w:r>
            <w:r>
              <w:rPr>
                <w:spacing w:val="-42"/>
                <w:w w:val="89"/>
                <w:sz w:val="19"/>
              </w:rPr>
              <w:t>,</w:t>
            </w:r>
            <w:r>
              <w:rPr>
                <w:w w:val="74"/>
                <w:sz w:val="19"/>
              </w:rPr>
              <w:t>26</w:t>
            </w:r>
            <w:r>
              <w:rPr>
                <w:spacing w:val="6"/>
                <w:w w:val="74"/>
                <w:sz w:val="19"/>
              </w:rPr>
              <w:t>6</w:t>
            </w:r>
            <w:r>
              <w:rPr>
                <w:spacing w:val="-56"/>
                <w:w w:val="98"/>
                <w:sz w:val="19"/>
              </w:rPr>
              <w:t>.</w:t>
            </w:r>
            <w:r>
              <w:rPr>
                <w:spacing w:val="-49"/>
                <w:w w:val="108"/>
                <w:sz w:val="19"/>
              </w:rPr>
              <w:t>7</w:t>
            </w:r>
            <w:r>
              <w:rPr>
                <w:w w:val="52"/>
                <w:sz w:val="19"/>
              </w:rPr>
              <w:t>4.5</w:t>
            </w:r>
          </w:p>
          <w:p>
            <w:pPr>
              <w:pStyle w:val="TableParagraph"/>
              <w:spacing w:line="208" w:lineRule="exact"/>
              <w:ind w:left="419"/>
              <w:rPr>
                <w:sz w:val="19"/>
              </w:rPr>
            </w:pPr>
            <w:r>
              <w:rPr>
                <w:sz w:val="19"/>
              </w:rPr>
              <w:t>8,839.092</w:t>
            </w:r>
          </w:p>
        </w:tc>
        <w:tc>
          <w:tcPr>
            <w:tcW w:w="1550" w:type="dxa"/>
            <w:tcBorders>
              <w:top w:val="nil"/>
              <w:bottom w:val="nil"/>
            </w:tcBorders>
          </w:tcPr>
          <w:p>
            <w:pPr>
              <w:pStyle w:val="TableParagraph"/>
              <w:spacing w:line="208" w:lineRule="exact" w:before="81"/>
              <w:ind w:left="262" w:right="-7"/>
              <w:rPr>
                <w:sz w:val="19"/>
              </w:rPr>
            </w:pPr>
            <w:r>
              <w:rPr>
                <w:w w:val="85"/>
                <w:sz w:val="19"/>
              </w:rPr>
              <w:t>1,459,832.263</w:t>
            </w:r>
          </w:p>
          <w:p>
            <w:pPr>
              <w:pStyle w:val="TableParagraph"/>
              <w:spacing w:line="200" w:lineRule="exact"/>
              <w:ind w:left="262" w:right="-7"/>
              <w:rPr>
                <w:sz w:val="19"/>
              </w:rPr>
            </w:pPr>
            <w:r>
              <w:rPr>
                <w:spacing w:val="-19"/>
                <w:w w:val="95"/>
                <w:sz w:val="19"/>
              </w:rPr>
              <w:t>1,448,675.298</w:t>
            </w:r>
          </w:p>
          <w:p>
            <w:pPr>
              <w:pStyle w:val="TableParagraph"/>
              <w:spacing w:line="200" w:lineRule="exact"/>
              <w:ind w:left="266" w:right="-11"/>
              <w:rPr>
                <w:sz w:val="19"/>
              </w:rPr>
            </w:pPr>
            <w:r>
              <w:rPr>
                <w:w w:val="85"/>
                <w:sz w:val="19"/>
              </w:rPr>
              <w:t>1,438,257.970</w:t>
            </w:r>
          </w:p>
          <w:p>
            <w:pPr>
              <w:pStyle w:val="TableParagraph"/>
              <w:spacing w:line="200" w:lineRule="exact"/>
              <w:ind w:left="266" w:right="-7"/>
              <w:rPr>
                <w:sz w:val="19"/>
              </w:rPr>
            </w:pPr>
            <w:r>
              <w:rPr>
                <w:w w:val="80"/>
                <w:sz w:val="19"/>
              </w:rPr>
              <w:t>1,428,468.506</w:t>
            </w:r>
          </w:p>
          <w:p>
            <w:pPr>
              <w:pStyle w:val="TableParagraph"/>
              <w:spacing w:line="207" w:lineRule="exact"/>
              <w:ind w:left="266" w:right="-7"/>
              <w:rPr>
                <w:sz w:val="19"/>
              </w:rPr>
            </w:pPr>
            <w:r>
              <w:rPr>
                <w:w w:val="74"/>
                <w:sz w:val="19"/>
              </w:rPr>
              <w:t>1</w:t>
            </w:r>
            <w:r>
              <w:rPr>
                <w:spacing w:val="-27"/>
                <w:w w:val="74"/>
                <w:sz w:val="19"/>
              </w:rPr>
              <w:t>,</w:t>
            </w:r>
            <w:r>
              <w:rPr>
                <w:spacing w:val="-31"/>
                <w:w w:val="108"/>
                <w:sz w:val="19"/>
              </w:rPr>
              <w:t>4</w:t>
            </w:r>
            <w:r>
              <w:rPr>
                <w:spacing w:val="-21"/>
                <w:w w:val="77"/>
                <w:sz w:val="19"/>
              </w:rPr>
              <w:t>1</w:t>
            </w:r>
            <w:r>
              <w:rPr>
                <w:spacing w:val="-20"/>
                <w:w w:val="108"/>
                <w:sz w:val="19"/>
              </w:rPr>
              <w:t>9</w:t>
            </w:r>
            <w:r>
              <w:rPr>
                <w:spacing w:val="-51"/>
                <w:w w:val="189"/>
                <w:sz w:val="19"/>
              </w:rPr>
              <w:t>,</w:t>
            </w:r>
            <w:r>
              <w:rPr>
                <w:w w:val="62"/>
                <w:sz w:val="19"/>
              </w:rPr>
              <w:t>)1</w:t>
            </w:r>
            <w:r>
              <w:rPr>
                <w:spacing w:val="-11"/>
                <w:w w:val="62"/>
                <w:sz w:val="19"/>
              </w:rPr>
              <w:t>.</w:t>
            </w:r>
            <w:r>
              <w:rPr>
                <w:spacing w:val="-34"/>
                <w:w w:val="98"/>
                <w:sz w:val="19"/>
              </w:rPr>
              <w:t>7</w:t>
            </w:r>
            <w:r>
              <w:rPr>
                <w:w w:val="78"/>
                <w:sz w:val="19"/>
              </w:rPr>
              <w:t>61</w:t>
            </w:r>
          </w:p>
        </w:tc>
        <w:tc>
          <w:tcPr>
            <w:tcW w:w="1678" w:type="dxa"/>
            <w:tcBorders>
              <w:top w:val="nil"/>
              <w:bottom w:val="nil"/>
            </w:tcBorders>
          </w:tcPr>
          <w:p>
            <w:pPr>
              <w:pStyle w:val="TableParagraph"/>
              <w:spacing w:line="208" w:lineRule="exact" w:before="88"/>
              <w:ind w:left="296" w:right="-14"/>
              <w:rPr>
                <w:sz w:val="19"/>
              </w:rPr>
            </w:pPr>
            <w:r>
              <w:rPr>
                <w:spacing w:val="-15"/>
                <w:w w:val="90"/>
                <w:sz w:val="19"/>
              </w:rPr>
              <w:t>78,119,190.997</w:t>
            </w:r>
          </w:p>
          <w:p>
            <w:pPr>
              <w:pStyle w:val="TableParagraph"/>
              <w:spacing w:line="200" w:lineRule="exact"/>
              <w:ind w:left="300" w:right="-14"/>
              <w:rPr>
                <w:sz w:val="19"/>
              </w:rPr>
            </w:pPr>
            <w:r>
              <w:rPr>
                <w:w w:val="85"/>
                <w:sz w:val="19"/>
              </w:rPr>
              <w:t>76,659,358.734</w:t>
            </w:r>
          </w:p>
          <w:p>
            <w:pPr>
              <w:pStyle w:val="TableParagraph"/>
              <w:spacing w:line="200" w:lineRule="exact"/>
              <w:ind w:left="300" w:right="-14"/>
              <w:rPr>
                <w:sz w:val="19"/>
              </w:rPr>
            </w:pPr>
            <w:r>
              <w:rPr>
                <w:spacing w:val="-13"/>
                <w:w w:val="90"/>
                <w:sz w:val="19"/>
              </w:rPr>
              <w:t>75,210,683.436</w:t>
            </w:r>
          </w:p>
          <w:p>
            <w:pPr>
              <w:pStyle w:val="TableParagraph"/>
              <w:spacing w:line="202" w:lineRule="exact"/>
              <w:ind w:left="304" w:right="-14"/>
              <w:rPr>
                <w:sz w:val="19"/>
              </w:rPr>
            </w:pPr>
            <w:r>
              <w:rPr>
                <w:spacing w:val="-14"/>
                <w:w w:val="90"/>
                <w:sz w:val="19"/>
              </w:rPr>
              <w:t>73,772,425.466</w:t>
            </w:r>
          </w:p>
          <w:p>
            <w:pPr>
              <w:pStyle w:val="TableParagraph"/>
              <w:spacing w:line="208" w:lineRule="exact"/>
              <w:ind w:left="304" w:right="-14"/>
              <w:rPr>
                <w:sz w:val="19"/>
              </w:rPr>
            </w:pPr>
            <w:r>
              <w:rPr>
                <w:spacing w:val="-12"/>
                <w:w w:val="90"/>
                <w:sz w:val="19"/>
              </w:rPr>
              <w:t>72,343,956.960</w:t>
            </w:r>
          </w:p>
        </w:tc>
        <w:tc>
          <w:tcPr>
            <w:tcW w:w="499" w:type="dxa"/>
            <w:tcBorders>
              <w:top w:val="nil"/>
              <w:bottom w:val="nil"/>
              <w:right w:val="nil"/>
            </w:tcBorders>
          </w:tcPr>
          <w:p>
            <w:pPr>
              <w:pStyle w:val="TableParagraph"/>
              <w:spacing w:line="210" w:lineRule="exact" w:before="99"/>
              <w:ind w:left="253"/>
              <w:rPr>
                <w:sz w:val="19"/>
              </w:rPr>
            </w:pPr>
            <w:r>
              <w:rPr>
                <w:w w:val="100"/>
                <w:sz w:val="19"/>
              </w:rPr>
              <w:t>5</w:t>
            </w:r>
          </w:p>
          <w:p>
            <w:pPr>
              <w:pStyle w:val="TableParagraph"/>
              <w:spacing w:line="202" w:lineRule="exact"/>
              <w:ind w:left="253"/>
              <w:rPr>
                <w:sz w:val="19"/>
              </w:rPr>
            </w:pPr>
            <w:r>
              <w:rPr>
                <w:w w:val="107"/>
                <w:sz w:val="19"/>
              </w:rPr>
              <w:t>6</w:t>
            </w:r>
          </w:p>
          <w:p>
            <w:pPr>
              <w:pStyle w:val="TableParagraph"/>
              <w:spacing w:line="200" w:lineRule="exact"/>
              <w:ind w:left="250"/>
              <w:rPr>
                <w:sz w:val="19"/>
              </w:rPr>
            </w:pPr>
            <w:r>
              <w:rPr>
                <w:w w:val="103"/>
                <w:sz w:val="19"/>
              </w:rPr>
              <w:t>7</w:t>
            </w:r>
          </w:p>
          <w:p>
            <w:pPr>
              <w:pStyle w:val="TableParagraph"/>
              <w:spacing w:line="202" w:lineRule="exact"/>
              <w:ind w:left="250"/>
              <w:rPr>
                <w:sz w:val="19"/>
              </w:rPr>
            </w:pPr>
            <w:r>
              <w:rPr>
                <w:w w:val="113"/>
                <w:sz w:val="19"/>
              </w:rPr>
              <w:t>8</w:t>
            </w:r>
          </w:p>
          <w:p>
            <w:pPr>
              <w:pStyle w:val="TableParagraph"/>
              <w:spacing w:line="208" w:lineRule="exact"/>
              <w:ind w:left="250"/>
              <w:rPr>
                <w:sz w:val="19"/>
              </w:rPr>
            </w:pPr>
            <w:r>
              <w:rPr>
                <w:w w:val="103"/>
                <w:sz w:val="19"/>
              </w:rPr>
              <w:t>9</w:t>
            </w:r>
          </w:p>
        </w:tc>
      </w:tr>
      <w:tr>
        <w:trPr>
          <w:trHeight w:val="698" w:hRule="exact"/>
        </w:trPr>
        <w:tc>
          <w:tcPr>
            <w:tcW w:w="488" w:type="dxa"/>
            <w:tcBorders>
              <w:top w:val="nil"/>
              <w:left w:val="nil"/>
              <w:bottom w:val="nil"/>
            </w:tcBorders>
          </w:tcPr>
          <w:p>
            <w:pPr>
              <w:pStyle w:val="TableParagraph"/>
              <w:spacing w:line="208" w:lineRule="exact" w:before="73"/>
              <w:ind w:left="165"/>
              <w:rPr>
                <w:sz w:val="19"/>
              </w:rPr>
            </w:pPr>
            <w:r>
              <w:rPr>
                <w:sz w:val="19"/>
              </w:rPr>
              <w:t>10</w:t>
            </w:r>
          </w:p>
          <w:p>
            <w:pPr>
              <w:pStyle w:val="TableParagraph"/>
              <w:spacing w:line="200" w:lineRule="exact"/>
              <w:ind w:left="169"/>
              <w:rPr>
                <w:sz w:val="19"/>
              </w:rPr>
            </w:pPr>
            <w:r>
              <w:rPr>
                <w:w w:val="80"/>
                <w:sz w:val="19"/>
              </w:rPr>
              <w:t>11</w:t>
            </w:r>
          </w:p>
          <w:p>
            <w:pPr>
              <w:pStyle w:val="TableParagraph"/>
              <w:spacing w:line="207" w:lineRule="exact"/>
              <w:ind w:left="169"/>
              <w:rPr>
                <w:sz w:val="19"/>
              </w:rPr>
            </w:pPr>
            <w:r>
              <w:rPr>
                <w:w w:val="90"/>
                <w:sz w:val="19"/>
              </w:rPr>
              <w:t>12</w:t>
            </w:r>
          </w:p>
        </w:tc>
        <w:tc>
          <w:tcPr>
            <w:tcW w:w="1485" w:type="dxa"/>
            <w:tcBorders>
              <w:top w:val="nil"/>
              <w:bottom w:val="nil"/>
            </w:tcBorders>
          </w:tcPr>
          <w:p>
            <w:pPr>
              <w:pStyle w:val="TableParagraph"/>
              <w:spacing w:line="211" w:lineRule="exact" w:before="77"/>
              <w:ind w:left="415"/>
              <w:rPr>
                <w:sz w:val="19"/>
              </w:rPr>
            </w:pPr>
            <w:r>
              <w:rPr>
                <w:w w:val="95"/>
                <w:sz w:val="19"/>
              </w:rPr>
              <w:t>8,571.528</w:t>
            </w:r>
          </w:p>
          <w:p>
            <w:pPr>
              <w:pStyle w:val="TableParagraph"/>
              <w:spacing w:line="194" w:lineRule="exact"/>
              <w:ind w:left="419"/>
              <w:rPr>
                <w:b/>
                <w:sz w:val="18"/>
              </w:rPr>
            </w:pPr>
            <w:r>
              <w:rPr>
                <w:b/>
                <w:w w:val="90"/>
                <w:sz w:val="18"/>
              </w:rPr>
              <w:t>8,449.523</w:t>
            </w:r>
          </w:p>
          <w:p>
            <w:pPr>
              <w:pStyle w:val="TableParagraph"/>
              <w:spacing w:line="210" w:lineRule="exact"/>
              <w:ind w:left="419"/>
              <w:rPr>
                <w:sz w:val="19"/>
              </w:rPr>
            </w:pPr>
            <w:r>
              <w:rPr>
                <w:sz w:val="19"/>
              </w:rPr>
              <w:t>8,392.725</w:t>
            </w:r>
          </w:p>
        </w:tc>
        <w:tc>
          <w:tcPr>
            <w:tcW w:w="1550" w:type="dxa"/>
            <w:tcBorders>
              <w:top w:val="nil"/>
              <w:bottom w:val="nil"/>
            </w:tcBorders>
          </w:tcPr>
          <w:p>
            <w:pPr>
              <w:pStyle w:val="TableParagraph"/>
              <w:spacing w:line="208" w:lineRule="exact" w:before="77"/>
              <w:ind w:left="266" w:right="-7"/>
              <w:rPr>
                <w:sz w:val="19"/>
              </w:rPr>
            </w:pPr>
            <w:r>
              <w:rPr>
                <w:spacing w:val="-17"/>
                <w:w w:val="95"/>
                <w:sz w:val="19"/>
              </w:rPr>
              <w:t>1,410,362.669</w:t>
            </w:r>
          </w:p>
          <w:p>
            <w:pPr>
              <w:pStyle w:val="TableParagraph"/>
              <w:spacing w:line="202" w:lineRule="exact"/>
              <w:ind w:left="262" w:right="-7"/>
              <w:rPr>
                <w:sz w:val="19"/>
              </w:rPr>
            </w:pPr>
            <w:r>
              <w:rPr>
                <w:w w:val="85"/>
                <w:sz w:val="19"/>
              </w:rPr>
              <w:t>1,401,791.141</w:t>
            </w:r>
          </w:p>
          <w:p>
            <w:pPr>
              <w:pStyle w:val="TableParagraph"/>
              <w:spacing w:line="208" w:lineRule="exact"/>
              <w:ind w:left="266" w:right="-11"/>
              <w:rPr>
                <w:sz w:val="19"/>
              </w:rPr>
            </w:pPr>
            <w:r>
              <w:rPr>
                <w:w w:val="85"/>
                <w:sz w:val="19"/>
              </w:rPr>
              <w:t>1,393,341.618</w:t>
            </w:r>
          </w:p>
        </w:tc>
        <w:tc>
          <w:tcPr>
            <w:tcW w:w="1678" w:type="dxa"/>
            <w:tcBorders>
              <w:top w:val="nil"/>
              <w:bottom w:val="nil"/>
            </w:tcBorders>
          </w:tcPr>
          <w:p>
            <w:pPr>
              <w:pStyle w:val="TableParagraph"/>
              <w:spacing w:line="208" w:lineRule="exact" w:before="84"/>
              <w:ind w:left="300" w:right="-14"/>
              <w:rPr>
                <w:sz w:val="19"/>
              </w:rPr>
            </w:pPr>
            <w:r>
              <w:rPr>
                <w:w w:val="85"/>
                <w:sz w:val="19"/>
              </w:rPr>
              <w:t>70,924,755.199</w:t>
            </w:r>
          </w:p>
          <w:p>
            <w:pPr>
              <w:pStyle w:val="TableParagraph"/>
              <w:spacing w:line="200" w:lineRule="exact"/>
              <w:ind w:left="300" w:right="-14"/>
              <w:rPr>
                <w:sz w:val="19"/>
              </w:rPr>
            </w:pPr>
            <w:r>
              <w:rPr>
                <w:w w:val="85"/>
                <w:sz w:val="19"/>
              </w:rPr>
              <w:t>69,514,392.630</w:t>
            </w:r>
          </w:p>
          <w:p>
            <w:pPr>
              <w:pStyle w:val="TableParagraph"/>
              <w:spacing w:line="207" w:lineRule="exact"/>
              <w:ind w:left="300" w:right="-14"/>
              <w:rPr>
                <w:sz w:val="19"/>
              </w:rPr>
            </w:pPr>
            <w:r>
              <w:rPr>
                <w:spacing w:val="-12"/>
                <w:w w:val="90"/>
                <w:sz w:val="19"/>
              </w:rPr>
              <w:t>68,112,601.389</w:t>
            </w:r>
          </w:p>
        </w:tc>
        <w:tc>
          <w:tcPr>
            <w:tcW w:w="499" w:type="dxa"/>
            <w:tcBorders>
              <w:top w:val="nil"/>
              <w:bottom w:val="nil"/>
              <w:right w:val="nil"/>
            </w:tcBorders>
          </w:tcPr>
          <w:p>
            <w:pPr>
              <w:pStyle w:val="TableParagraph"/>
              <w:spacing w:line="207" w:lineRule="exact" w:before="95"/>
              <w:ind w:left="181"/>
              <w:rPr>
                <w:sz w:val="19"/>
              </w:rPr>
            </w:pPr>
            <w:r>
              <w:rPr>
                <w:sz w:val="19"/>
              </w:rPr>
              <w:t>10</w:t>
            </w:r>
          </w:p>
          <w:p>
            <w:pPr>
              <w:pStyle w:val="TableParagraph"/>
              <w:spacing w:line="198" w:lineRule="exact"/>
              <w:ind w:left="185"/>
              <w:rPr>
                <w:sz w:val="19"/>
              </w:rPr>
            </w:pPr>
            <w:r>
              <w:rPr>
                <w:w w:val="80"/>
                <w:sz w:val="19"/>
              </w:rPr>
              <w:t>11</w:t>
            </w:r>
          </w:p>
          <w:p>
            <w:pPr>
              <w:pStyle w:val="TableParagraph"/>
              <w:spacing w:line="207" w:lineRule="exact"/>
              <w:ind w:left="185"/>
              <w:rPr>
                <w:sz w:val="19"/>
              </w:rPr>
            </w:pPr>
            <w:r>
              <w:rPr>
                <w:w w:val="90"/>
                <w:sz w:val="19"/>
              </w:rPr>
              <w:t>12</w:t>
            </w:r>
          </w:p>
        </w:tc>
      </w:tr>
      <w:tr>
        <w:trPr>
          <w:trHeight w:val="201" w:hRule="exact"/>
        </w:trPr>
        <w:tc>
          <w:tcPr>
            <w:tcW w:w="488" w:type="dxa"/>
            <w:tcBorders>
              <w:top w:val="nil"/>
              <w:left w:val="nil"/>
              <w:bottom w:val="nil"/>
            </w:tcBorders>
          </w:tcPr>
          <w:p>
            <w:pPr>
              <w:pStyle w:val="TableParagraph"/>
              <w:spacing w:line="195" w:lineRule="exact"/>
              <w:ind w:left="127" w:right="103"/>
              <w:jc w:val="center"/>
              <w:rPr>
                <w:sz w:val="19"/>
              </w:rPr>
            </w:pPr>
            <w:r>
              <w:rPr>
                <w:w w:val="85"/>
                <w:sz w:val="19"/>
              </w:rPr>
              <w:t>13</w:t>
            </w:r>
          </w:p>
        </w:tc>
        <w:tc>
          <w:tcPr>
            <w:tcW w:w="1485" w:type="dxa"/>
            <w:tcBorders>
              <w:top w:val="nil"/>
              <w:bottom w:val="nil"/>
            </w:tcBorders>
          </w:tcPr>
          <w:p>
            <w:pPr>
              <w:pStyle w:val="TableParagraph"/>
              <w:spacing w:line="195" w:lineRule="exact"/>
              <w:ind w:left="256" w:right="140"/>
              <w:jc w:val="center"/>
              <w:rPr>
                <w:sz w:val="19"/>
              </w:rPr>
            </w:pPr>
            <w:r>
              <w:rPr>
                <w:sz w:val="19"/>
              </w:rPr>
              <w:t>8,525.775</w:t>
            </w:r>
          </w:p>
        </w:tc>
        <w:tc>
          <w:tcPr>
            <w:tcW w:w="1550" w:type="dxa"/>
            <w:tcBorders>
              <w:top w:val="nil"/>
              <w:bottom w:val="nil"/>
            </w:tcBorders>
          </w:tcPr>
          <w:p>
            <w:pPr>
              <w:pStyle w:val="TableParagraph"/>
              <w:spacing w:line="199" w:lineRule="exact"/>
              <w:ind w:left="97" w:right="51"/>
              <w:jc w:val="center"/>
              <w:rPr>
                <w:sz w:val="19"/>
              </w:rPr>
            </w:pPr>
            <w:r>
              <w:rPr>
                <w:w w:val="90"/>
                <w:sz w:val="19"/>
              </w:rPr>
              <w:t>1,384,948.893</w:t>
            </w:r>
          </w:p>
        </w:tc>
        <w:tc>
          <w:tcPr>
            <w:tcW w:w="1678" w:type="dxa"/>
            <w:tcBorders>
              <w:top w:val="nil"/>
              <w:bottom w:val="nil"/>
            </w:tcBorders>
          </w:tcPr>
          <w:p>
            <w:pPr>
              <w:pStyle w:val="TableParagraph"/>
              <w:spacing w:line="202" w:lineRule="exact"/>
              <w:ind w:left="83" w:right="61"/>
              <w:jc w:val="center"/>
              <w:rPr>
                <w:sz w:val="19"/>
              </w:rPr>
            </w:pPr>
            <w:r>
              <w:rPr>
                <w:w w:val="85"/>
                <w:sz w:val="19"/>
              </w:rPr>
              <w:t>66,719,259.771</w:t>
            </w:r>
          </w:p>
        </w:tc>
        <w:tc>
          <w:tcPr>
            <w:tcW w:w="499" w:type="dxa"/>
            <w:tcBorders>
              <w:top w:val="nil"/>
              <w:bottom w:val="nil"/>
              <w:right w:val="nil"/>
            </w:tcBorders>
          </w:tcPr>
          <w:p>
            <w:pPr>
              <w:pStyle w:val="TableParagraph"/>
              <w:spacing w:line="210" w:lineRule="exact"/>
              <w:ind w:left="185"/>
              <w:rPr>
                <w:sz w:val="19"/>
              </w:rPr>
            </w:pPr>
            <w:r>
              <w:rPr>
                <w:w w:val="85"/>
                <w:sz w:val="19"/>
              </w:rPr>
              <w:t>13</w:t>
            </w:r>
          </w:p>
        </w:tc>
      </w:tr>
      <w:tr>
        <w:trPr>
          <w:trHeight w:val="299" w:hRule="exact"/>
        </w:trPr>
        <w:tc>
          <w:tcPr>
            <w:tcW w:w="488" w:type="dxa"/>
            <w:tcBorders>
              <w:top w:val="nil"/>
              <w:left w:val="nil"/>
              <w:bottom w:val="nil"/>
            </w:tcBorders>
          </w:tcPr>
          <w:p>
            <w:pPr>
              <w:pStyle w:val="TableParagraph"/>
              <w:spacing w:line="172" w:lineRule="exact"/>
              <w:ind w:left="118" w:right="103"/>
              <w:jc w:val="center"/>
              <w:rPr>
                <w:rFonts w:ascii="Times New Roman"/>
                <w:b/>
                <w:sz w:val="17"/>
              </w:rPr>
            </w:pPr>
            <w:r>
              <w:rPr>
                <w:rFonts w:ascii="Times New Roman"/>
                <w:b/>
                <w:sz w:val="17"/>
              </w:rPr>
              <w:t>14</w:t>
            </w:r>
          </w:p>
        </w:tc>
        <w:tc>
          <w:tcPr>
            <w:tcW w:w="1485" w:type="dxa"/>
            <w:tcBorders>
              <w:top w:val="nil"/>
              <w:bottom w:val="nil"/>
            </w:tcBorders>
          </w:tcPr>
          <w:p>
            <w:pPr>
              <w:pStyle w:val="TableParagraph"/>
              <w:spacing w:line="196" w:lineRule="exact"/>
              <w:ind w:left="260" w:right="136"/>
              <w:jc w:val="center"/>
              <w:rPr>
                <w:sz w:val="19"/>
              </w:rPr>
            </w:pPr>
            <w:r>
              <w:rPr>
                <w:sz w:val="19"/>
              </w:rPr>
              <w:t>8,704.932</w:t>
            </w:r>
          </w:p>
        </w:tc>
        <w:tc>
          <w:tcPr>
            <w:tcW w:w="1550" w:type="dxa"/>
            <w:tcBorders>
              <w:top w:val="nil"/>
              <w:bottom w:val="nil"/>
            </w:tcBorders>
          </w:tcPr>
          <w:p>
            <w:pPr>
              <w:pStyle w:val="TableParagraph"/>
              <w:spacing w:line="196" w:lineRule="exact"/>
              <w:ind w:left="78" w:right="52"/>
              <w:jc w:val="center"/>
              <w:rPr>
                <w:sz w:val="19"/>
              </w:rPr>
            </w:pPr>
            <w:r>
              <w:rPr>
                <w:w w:val="85"/>
                <w:sz w:val="19"/>
              </w:rPr>
              <w:t>1,376,423.118</w:t>
            </w:r>
          </w:p>
        </w:tc>
        <w:tc>
          <w:tcPr>
            <w:tcW w:w="1678" w:type="dxa"/>
            <w:tcBorders>
              <w:top w:val="nil"/>
              <w:bottom w:val="nil"/>
            </w:tcBorders>
          </w:tcPr>
          <w:p>
            <w:pPr>
              <w:pStyle w:val="TableParagraph"/>
              <w:spacing w:line="203" w:lineRule="exact"/>
              <w:ind w:left="107" w:right="44"/>
              <w:jc w:val="center"/>
              <w:rPr>
                <w:sz w:val="19"/>
              </w:rPr>
            </w:pPr>
            <w:r>
              <w:rPr>
                <w:w w:val="90"/>
                <w:sz w:val="19"/>
              </w:rPr>
              <w:t>65,334,310.878</w:t>
            </w:r>
          </w:p>
        </w:tc>
        <w:tc>
          <w:tcPr>
            <w:tcW w:w="499" w:type="dxa"/>
            <w:tcBorders>
              <w:top w:val="nil"/>
              <w:bottom w:val="nil"/>
              <w:right w:val="nil"/>
            </w:tcBorders>
          </w:tcPr>
          <w:p>
            <w:pPr>
              <w:pStyle w:val="TableParagraph"/>
              <w:spacing w:line="210" w:lineRule="exact"/>
              <w:ind w:left="185"/>
              <w:rPr>
                <w:sz w:val="19"/>
              </w:rPr>
            </w:pPr>
            <w:r>
              <w:rPr>
                <w:sz w:val="19"/>
              </w:rPr>
              <w:t>14</w:t>
            </w:r>
          </w:p>
        </w:tc>
      </w:tr>
      <w:tr>
        <w:trPr>
          <w:trHeight w:val="1198" w:hRule="exact"/>
        </w:trPr>
        <w:tc>
          <w:tcPr>
            <w:tcW w:w="488" w:type="dxa"/>
            <w:tcBorders>
              <w:top w:val="nil"/>
              <w:left w:val="nil"/>
              <w:bottom w:val="nil"/>
            </w:tcBorders>
          </w:tcPr>
          <w:p>
            <w:pPr>
              <w:pStyle w:val="TableParagraph"/>
              <w:spacing w:line="208" w:lineRule="exact" w:before="77"/>
              <w:ind w:left="172"/>
              <w:rPr>
                <w:sz w:val="19"/>
              </w:rPr>
            </w:pPr>
            <w:r>
              <w:rPr>
                <w:sz w:val="19"/>
              </w:rPr>
              <w:t>15</w:t>
            </w:r>
          </w:p>
          <w:p>
            <w:pPr>
              <w:pStyle w:val="TableParagraph"/>
              <w:spacing w:line="200" w:lineRule="exact"/>
              <w:ind w:left="169"/>
              <w:rPr>
                <w:sz w:val="19"/>
              </w:rPr>
            </w:pPr>
            <w:r>
              <w:rPr>
                <w:w w:val="105"/>
                <w:sz w:val="19"/>
              </w:rPr>
              <w:t>16</w:t>
            </w:r>
          </w:p>
          <w:p>
            <w:pPr>
              <w:pStyle w:val="TableParagraph"/>
              <w:spacing w:line="200" w:lineRule="exact"/>
              <w:ind w:left="169"/>
              <w:rPr>
                <w:sz w:val="19"/>
              </w:rPr>
            </w:pPr>
            <w:r>
              <w:rPr>
                <w:sz w:val="19"/>
              </w:rPr>
              <w:t>17</w:t>
            </w:r>
          </w:p>
          <w:p>
            <w:pPr>
              <w:pStyle w:val="TableParagraph"/>
              <w:spacing w:line="202" w:lineRule="exact"/>
              <w:ind w:left="169"/>
              <w:rPr>
                <w:sz w:val="19"/>
              </w:rPr>
            </w:pPr>
            <w:r>
              <w:rPr>
                <w:sz w:val="19"/>
              </w:rPr>
              <w:t>18</w:t>
            </w:r>
          </w:p>
          <w:p>
            <w:pPr>
              <w:pStyle w:val="TableParagraph"/>
              <w:spacing w:line="208" w:lineRule="exact"/>
              <w:ind w:left="169"/>
              <w:rPr>
                <w:sz w:val="19"/>
              </w:rPr>
            </w:pPr>
            <w:r>
              <w:rPr>
                <w:sz w:val="19"/>
              </w:rPr>
              <w:t>19</w:t>
            </w:r>
          </w:p>
        </w:tc>
        <w:tc>
          <w:tcPr>
            <w:tcW w:w="1485" w:type="dxa"/>
            <w:tcBorders>
              <w:top w:val="nil"/>
              <w:bottom w:val="nil"/>
            </w:tcBorders>
          </w:tcPr>
          <w:p>
            <w:pPr>
              <w:pStyle w:val="TableParagraph"/>
              <w:spacing w:before="80"/>
              <w:ind w:left="419"/>
              <w:rPr>
                <w:rFonts w:ascii="Times New Roman"/>
                <w:b/>
                <w:sz w:val="17"/>
              </w:rPr>
            </w:pPr>
            <w:r>
              <w:rPr>
                <w:rFonts w:ascii="Times New Roman"/>
                <w:b/>
                <w:w w:val="105"/>
                <w:sz w:val="17"/>
              </w:rPr>
              <w:t>8,864.550</w:t>
            </w:r>
          </w:p>
          <w:p>
            <w:pPr>
              <w:pStyle w:val="TableParagraph"/>
              <w:spacing w:line="208" w:lineRule="exact" w:before="3"/>
              <w:ind w:left="415"/>
              <w:rPr>
                <w:sz w:val="19"/>
              </w:rPr>
            </w:pPr>
            <w:r>
              <w:rPr>
                <w:w w:val="95"/>
                <w:sz w:val="19"/>
              </w:rPr>
              <w:t>9,064.961</w:t>
            </w:r>
          </w:p>
          <w:p>
            <w:pPr>
              <w:pStyle w:val="TableParagraph"/>
              <w:spacing w:line="200" w:lineRule="exact"/>
              <w:ind w:left="419"/>
              <w:rPr>
                <w:sz w:val="19"/>
              </w:rPr>
            </w:pPr>
            <w:r>
              <w:rPr>
                <w:w w:val="90"/>
                <w:sz w:val="19"/>
              </w:rPr>
              <w:t>9,243.829</w:t>
            </w:r>
          </w:p>
          <w:p>
            <w:pPr>
              <w:pStyle w:val="TableParagraph"/>
              <w:spacing w:line="198" w:lineRule="exact"/>
              <w:ind w:left="419"/>
              <w:rPr>
                <w:sz w:val="19"/>
              </w:rPr>
            </w:pPr>
            <w:r>
              <w:rPr>
                <w:sz w:val="19"/>
              </w:rPr>
              <w:t>9,346.988</w:t>
            </w:r>
          </w:p>
          <w:p>
            <w:pPr>
              <w:pStyle w:val="TableParagraph"/>
              <w:spacing w:line="207" w:lineRule="exact"/>
              <w:ind w:left="419"/>
              <w:rPr>
                <w:sz w:val="19"/>
              </w:rPr>
            </w:pPr>
            <w:r>
              <w:rPr>
                <w:w w:val="85"/>
                <w:sz w:val="19"/>
              </w:rPr>
              <w:t>9,327.222</w:t>
            </w:r>
          </w:p>
        </w:tc>
        <w:tc>
          <w:tcPr>
            <w:tcW w:w="1550" w:type="dxa"/>
            <w:tcBorders>
              <w:top w:val="nil"/>
              <w:bottom w:val="nil"/>
            </w:tcBorders>
          </w:tcPr>
          <w:p>
            <w:pPr>
              <w:pStyle w:val="TableParagraph"/>
              <w:spacing w:line="208" w:lineRule="exact" w:before="81"/>
              <w:ind w:left="266" w:right="-11"/>
              <w:rPr>
                <w:sz w:val="19"/>
              </w:rPr>
            </w:pPr>
            <w:r>
              <w:rPr>
                <w:w w:val="85"/>
                <w:sz w:val="19"/>
              </w:rPr>
              <w:t>1,367,718.186</w:t>
            </w:r>
          </w:p>
          <w:p>
            <w:pPr>
              <w:pStyle w:val="TableParagraph"/>
              <w:spacing w:line="202" w:lineRule="exact"/>
              <w:ind w:left="266" w:right="-7"/>
              <w:rPr>
                <w:sz w:val="19"/>
              </w:rPr>
            </w:pPr>
            <w:r>
              <w:rPr>
                <w:w w:val="80"/>
                <w:sz w:val="19"/>
              </w:rPr>
              <w:t>1,358,853.636</w:t>
            </w:r>
          </w:p>
          <w:p>
            <w:pPr>
              <w:pStyle w:val="TableParagraph"/>
              <w:spacing w:line="200" w:lineRule="exact"/>
              <w:ind w:left="266" w:right="-7"/>
              <w:rPr>
                <w:sz w:val="19"/>
              </w:rPr>
            </w:pPr>
            <w:r>
              <w:rPr>
                <w:spacing w:val="-18"/>
                <w:w w:val="95"/>
                <w:sz w:val="19"/>
              </w:rPr>
              <w:t>1,349,788.675</w:t>
            </w:r>
          </w:p>
          <w:p>
            <w:pPr>
              <w:pStyle w:val="TableParagraph"/>
              <w:spacing w:line="187" w:lineRule="exact"/>
              <w:ind w:left="266" w:right="-7"/>
              <w:rPr>
                <w:rFonts w:ascii="Times New Roman"/>
                <w:sz w:val="17"/>
              </w:rPr>
            </w:pPr>
            <w:r>
              <w:rPr>
                <w:rFonts w:ascii="Times New Roman"/>
                <w:w w:val="105"/>
                <w:sz w:val="17"/>
              </w:rPr>
              <w:t>1,340,544.846</w:t>
            </w:r>
          </w:p>
          <w:p>
            <w:pPr>
              <w:pStyle w:val="TableParagraph"/>
              <w:spacing w:before="3"/>
              <w:ind w:left="266" w:right="-11"/>
              <w:rPr>
                <w:sz w:val="19"/>
              </w:rPr>
            </w:pPr>
            <w:r>
              <w:rPr>
                <w:w w:val="85"/>
                <w:sz w:val="19"/>
              </w:rPr>
              <w:t>1,331,197.858</w:t>
            </w:r>
          </w:p>
        </w:tc>
        <w:tc>
          <w:tcPr>
            <w:tcW w:w="1678" w:type="dxa"/>
            <w:tcBorders>
              <w:top w:val="nil"/>
              <w:bottom w:val="nil"/>
            </w:tcBorders>
          </w:tcPr>
          <w:p>
            <w:pPr>
              <w:pStyle w:val="TableParagraph"/>
              <w:spacing w:line="207" w:lineRule="exact" w:before="88"/>
              <w:ind w:left="296" w:right="-14"/>
              <w:rPr>
                <w:sz w:val="19"/>
              </w:rPr>
            </w:pPr>
            <w:r>
              <w:rPr>
                <w:spacing w:val="-21"/>
                <w:w w:val="95"/>
                <w:sz w:val="19"/>
              </w:rPr>
              <w:t>63,957,887.760</w:t>
            </w:r>
          </w:p>
          <w:p>
            <w:pPr>
              <w:pStyle w:val="TableParagraph"/>
              <w:spacing w:line="200" w:lineRule="exact"/>
              <w:ind w:left="296" w:right="-14"/>
              <w:rPr>
                <w:sz w:val="19"/>
              </w:rPr>
            </w:pPr>
            <w:r>
              <w:rPr>
                <w:spacing w:val="-19"/>
                <w:w w:val="95"/>
                <w:sz w:val="19"/>
              </w:rPr>
              <w:t>62,590,169.574</w:t>
            </w:r>
          </w:p>
          <w:p>
            <w:pPr>
              <w:pStyle w:val="TableParagraph"/>
              <w:spacing w:line="200" w:lineRule="exact"/>
              <w:ind w:left="300" w:right="-14"/>
              <w:rPr>
                <w:sz w:val="19"/>
              </w:rPr>
            </w:pPr>
            <w:r>
              <w:rPr>
                <w:spacing w:val="-21"/>
                <w:sz w:val="19"/>
              </w:rPr>
              <w:t>61,ZU,315.938</w:t>
            </w:r>
          </w:p>
          <w:p>
            <w:pPr>
              <w:pStyle w:val="TableParagraph"/>
              <w:spacing w:line="200" w:lineRule="exact"/>
              <w:ind w:left="296" w:right="-10"/>
              <w:rPr>
                <w:sz w:val="19"/>
              </w:rPr>
            </w:pPr>
            <w:r>
              <w:rPr>
                <w:w w:val="85"/>
                <w:sz w:val="19"/>
              </w:rPr>
              <w:t>59,881,527.263</w:t>
            </w:r>
          </w:p>
          <w:p>
            <w:pPr>
              <w:pStyle w:val="TableParagraph"/>
              <w:spacing w:line="208" w:lineRule="exact"/>
              <w:ind w:left="300" w:right="-14"/>
              <w:rPr>
                <w:sz w:val="19"/>
              </w:rPr>
            </w:pPr>
            <w:r>
              <w:rPr>
                <w:w w:val="85"/>
                <w:sz w:val="19"/>
              </w:rPr>
              <w:t>58,540,982.417</w:t>
            </w:r>
          </w:p>
        </w:tc>
        <w:tc>
          <w:tcPr>
            <w:tcW w:w="499" w:type="dxa"/>
            <w:tcBorders>
              <w:top w:val="nil"/>
              <w:bottom w:val="nil"/>
              <w:right w:val="nil"/>
            </w:tcBorders>
          </w:tcPr>
          <w:p>
            <w:pPr>
              <w:pStyle w:val="TableParagraph"/>
              <w:spacing w:line="208" w:lineRule="exact" w:before="95"/>
              <w:ind w:left="185"/>
              <w:rPr>
                <w:sz w:val="19"/>
              </w:rPr>
            </w:pPr>
            <w:r>
              <w:rPr>
                <w:w w:val="85"/>
                <w:sz w:val="19"/>
              </w:rPr>
              <w:t>15</w:t>
            </w:r>
          </w:p>
          <w:p>
            <w:pPr>
              <w:pStyle w:val="TableParagraph"/>
              <w:spacing w:line="200" w:lineRule="exact"/>
              <w:ind w:left="181"/>
              <w:rPr>
                <w:sz w:val="19"/>
              </w:rPr>
            </w:pPr>
            <w:r>
              <w:rPr>
                <w:sz w:val="19"/>
              </w:rPr>
              <w:t>16</w:t>
            </w:r>
          </w:p>
          <w:p>
            <w:pPr>
              <w:pStyle w:val="TableParagraph"/>
              <w:spacing w:line="200" w:lineRule="exact"/>
              <w:ind w:left="181"/>
              <w:rPr>
                <w:sz w:val="19"/>
              </w:rPr>
            </w:pPr>
            <w:r>
              <w:rPr>
                <w:w w:val="85"/>
                <w:sz w:val="19"/>
              </w:rPr>
              <w:t>17</w:t>
            </w:r>
          </w:p>
          <w:p>
            <w:pPr>
              <w:pStyle w:val="TableParagraph"/>
              <w:spacing w:line="200" w:lineRule="exact"/>
              <w:ind w:left="181"/>
              <w:rPr>
                <w:sz w:val="19"/>
              </w:rPr>
            </w:pPr>
            <w:r>
              <w:rPr>
                <w:w w:val="90"/>
                <w:sz w:val="19"/>
              </w:rPr>
              <w:t>18</w:t>
            </w:r>
          </w:p>
          <w:p>
            <w:pPr>
              <w:pStyle w:val="TableParagraph"/>
              <w:spacing w:line="207" w:lineRule="exact"/>
              <w:ind w:left="185"/>
              <w:rPr>
                <w:sz w:val="19"/>
              </w:rPr>
            </w:pPr>
            <w:r>
              <w:rPr>
                <w:sz w:val="19"/>
              </w:rPr>
              <w:t>19</w:t>
            </w:r>
          </w:p>
        </w:tc>
      </w:tr>
      <w:tr>
        <w:trPr>
          <w:trHeight w:val="298" w:hRule="exact"/>
        </w:trPr>
        <w:tc>
          <w:tcPr>
            <w:tcW w:w="488" w:type="dxa"/>
            <w:tcBorders>
              <w:top w:val="nil"/>
              <w:left w:val="nil"/>
              <w:bottom w:val="nil"/>
            </w:tcBorders>
          </w:tcPr>
          <w:p>
            <w:pPr>
              <w:pStyle w:val="TableParagraph"/>
              <w:spacing w:before="81"/>
              <w:ind w:left="131" w:right="103"/>
              <w:jc w:val="center"/>
              <w:rPr>
                <w:sz w:val="19"/>
              </w:rPr>
            </w:pPr>
            <w:r>
              <w:rPr>
                <w:w w:val="90"/>
                <w:sz w:val="19"/>
              </w:rPr>
              <w:t>20</w:t>
            </w:r>
          </w:p>
        </w:tc>
        <w:tc>
          <w:tcPr>
            <w:tcW w:w="1485" w:type="dxa"/>
            <w:tcBorders>
              <w:top w:val="nil"/>
              <w:bottom w:val="nil"/>
            </w:tcBorders>
          </w:tcPr>
          <w:p>
            <w:pPr>
              <w:pStyle w:val="TableParagraph"/>
              <w:spacing w:before="71"/>
              <w:ind w:left="235" w:right="140"/>
              <w:jc w:val="center"/>
              <w:rPr>
                <w:rFonts w:ascii="Times New Roman"/>
                <w:sz w:val="18"/>
              </w:rPr>
            </w:pPr>
            <w:r>
              <w:rPr>
                <w:rFonts w:ascii="Times New Roman"/>
                <w:sz w:val="18"/>
              </w:rPr>
              <w:t>9,299.603</w:t>
            </w:r>
          </w:p>
        </w:tc>
        <w:tc>
          <w:tcPr>
            <w:tcW w:w="1550" w:type="dxa"/>
            <w:tcBorders>
              <w:top w:val="nil"/>
              <w:bottom w:val="nil"/>
            </w:tcBorders>
          </w:tcPr>
          <w:p>
            <w:pPr>
              <w:pStyle w:val="TableParagraph"/>
              <w:spacing w:before="81"/>
              <w:ind w:left="97" w:right="52"/>
              <w:jc w:val="center"/>
              <w:rPr>
                <w:sz w:val="19"/>
              </w:rPr>
            </w:pPr>
            <w:r>
              <w:rPr>
                <w:w w:val="85"/>
                <w:sz w:val="19"/>
              </w:rPr>
              <w:t>1,321,870.636</w:t>
            </w:r>
          </w:p>
        </w:tc>
        <w:tc>
          <w:tcPr>
            <w:tcW w:w="1678" w:type="dxa"/>
            <w:tcBorders>
              <w:top w:val="nil"/>
              <w:bottom w:val="nil"/>
            </w:tcBorders>
          </w:tcPr>
          <w:p>
            <w:pPr>
              <w:pStyle w:val="TableParagraph"/>
              <w:spacing w:before="89"/>
              <w:ind w:left="107" w:right="54"/>
              <w:jc w:val="center"/>
              <w:rPr>
                <w:sz w:val="19"/>
              </w:rPr>
            </w:pPr>
            <w:r>
              <w:rPr>
                <w:spacing w:val="-31"/>
                <w:w w:val="95"/>
                <w:sz w:val="19"/>
              </w:rPr>
              <w:t>5</w:t>
            </w:r>
            <w:r>
              <w:rPr>
                <w:spacing w:val="-16"/>
                <w:w w:val="98"/>
                <w:sz w:val="19"/>
              </w:rPr>
              <w:t>7</w:t>
            </w:r>
            <w:r>
              <w:rPr>
                <w:spacing w:val="-67"/>
                <w:w w:val="310"/>
                <w:sz w:val="19"/>
              </w:rPr>
              <w:t>,</w:t>
            </w:r>
            <w:r>
              <w:rPr>
                <w:w w:val="72"/>
                <w:sz w:val="19"/>
              </w:rPr>
              <w:t>,</w:t>
            </w:r>
            <w:r>
              <w:rPr>
                <w:spacing w:val="-30"/>
                <w:w w:val="72"/>
                <w:sz w:val="19"/>
              </w:rPr>
              <w:t>7</w:t>
            </w:r>
            <w:r>
              <w:rPr>
                <w:w w:val="83"/>
                <w:sz w:val="19"/>
              </w:rPr>
              <w:t>8</w:t>
            </w:r>
            <w:r>
              <w:rPr>
                <w:spacing w:val="-8"/>
                <w:w w:val="83"/>
                <w:sz w:val="19"/>
              </w:rPr>
              <w:t>4</w:t>
            </w:r>
            <w:r>
              <w:rPr>
                <w:spacing w:val="-59"/>
                <w:w w:val="98"/>
                <w:sz w:val="19"/>
              </w:rPr>
              <w:t>.</w:t>
            </w:r>
            <w:r>
              <w:rPr>
                <w:w w:val="80"/>
                <w:sz w:val="19"/>
              </w:rPr>
              <w:t>5</w:t>
            </w:r>
            <w:r>
              <w:rPr>
                <w:spacing w:val="-27"/>
                <w:w w:val="80"/>
                <w:sz w:val="19"/>
              </w:rPr>
              <w:t>5</w:t>
            </w:r>
            <w:r>
              <w:rPr>
                <w:w w:val="103"/>
                <w:sz w:val="19"/>
              </w:rPr>
              <w:t>9</w:t>
            </w:r>
          </w:p>
        </w:tc>
        <w:tc>
          <w:tcPr>
            <w:tcW w:w="499" w:type="dxa"/>
            <w:tcBorders>
              <w:top w:val="nil"/>
              <w:bottom w:val="nil"/>
              <w:right w:val="nil"/>
            </w:tcBorders>
          </w:tcPr>
          <w:p>
            <w:pPr>
              <w:pStyle w:val="TableParagraph"/>
              <w:spacing w:before="108"/>
              <w:ind w:left="170"/>
              <w:rPr>
                <w:rFonts w:ascii="Times New Roman"/>
                <w:sz w:val="16"/>
              </w:rPr>
            </w:pPr>
            <w:r>
              <w:rPr>
                <w:rFonts w:ascii="Times New Roman"/>
                <w:w w:val="105"/>
                <w:sz w:val="16"/>
              </w:rPr>
              <w:t>20</w:t>
            </w:r>
          </w:p>
        </w:tc>
      </w:tr>
      <w:tr>
        <w:trPr>
          <w:trHeight w:val="207" w:hRule="exact"/>
        </w:trPr>
        <w:tc>
          <w:tcPr>
            <w:tcW w:w="488" w:type="dxa"/>
            <w:tcBorders>
              <w:top w:val="nil"/>
              <w:left w:val="nil"/>
              <w:bottom w:val="nil"/>
              <w:right w:val="single" w:sz="16" w:space="0" w:color="000000"/>
            </w:tcBorders>
          </w:tcPr>
          <w:p>
            <w:pPr>
              <w:pStyle w:val="TableParagraph"/>
              <w:spacing w:line="197" w:lineRule="exact"/>
              <w:ind w:left="119" w:right="81"/>
              <w:jc w:val="center"/>
              <w:rPr>
                <w:sz w:val="19"/>
              </w:rPr>
            </w:pPr>
            <w:r>
              <w:rPr>
                <w:sz w:val="19"/>
              </w:rPr>
              <w:t>21</w:t>
            </w:r>
          </w:p>
        </w:tc>
        <w:tc>
          <w:tcPr>
            <w:tcW w:w="1485" w:type="dxa"/>
            <w:tcBorders>
              <w:top w:val="nil"/>
              <w:left w:val="single" w:sz="16" w:space="0" w:color="000000"/>
              <w:bottom w:val="nil"/>
            </w:tcBorders>
          </w:tcPr>
          <w:p>
            <w:pPr>
              <w:pStyle w:val="TableParagraph"/>
              <w:spacing w:line="197" w:lineRule="exact"/>
              <w:ind w:left="242" w:right="136"/>
              <w:jc w:val="center"/>
              <w:rPr>
                <w:sz w:val="19"/>
              </w:rPr>
            </w:pPr>
            <w:r>
              <w:rPr>
                <w:w w:val="95"/>
                <w:sz w:val="19"/>
              </w:rPr>
              <w:t>9,214.012</w:t>
            </w:r>
          </w:p>
        </w:tc>
        <w:tc>
          <w:tcPr>
            <w:tcW w:w="1550" w:type="dxa"/>
            <w:tcBorders>
              <w:top w:val="nil"/>
              <w:bottom w:val="nil"/>
            </w:tcBorders>
          </w:tcPr>
          <w:p>
            <w:pPr>
              <w:pStyle w:val="TableParagraph"/>
              <w:spacing w:line="201" w:lineRule="exact"/>
              <w:ind w:left="82" w:right="52"/>
              <w:jc w:val="center"/>
              <w:rPr>
                <w:sz w:val="19"/>
              </w:rPr>
            </w:pPr>
            <w:r>
              <w:rPr>
                <w:w w:val="80"/>
                <w:sz w:val="19"/>
              </w:rPr>
              <w:t>1,312,571.033</w:t>
            </w:r>
          </w:p>
        </w:tc>
        <w:tc>
          <w:tcPr>
            <w:tcW w:w="1678" w:type="dxa"/>
            <w:tcBorders>
              <w:top w:val="nil"/>
              <w:bottom w:val="nil"/>
            </w:tcBorders>
          </w:tcPr>
          <w:p>
            <w:pPr>
              <w:pStyle w:val="TableParagraph"/>
              <w:spacing w:line="208" w:lineRule="exact"/>
              <w:ind w:left="90" w:right="61"/>
              <w:jc w:val="center"/>
              <w:rPr>
                <w:sz w:val="19"/>
              </w:rPr>
            </w:pPr>
            <w:r>
              <w:rPr>
                <w:w w:val="90"/>
                <w:sz w:val="19"/>
              </w:rPr>
              <w:t>55,887,913.923</w:t>
            </w:r>
          </w:p>
        </w:tc>
        <w:tc>
          <w:tcPr>
            <w:tcW w:w="499" w:type="dxa"/>
            <w:tcBorders>
              <w:top w:val="nil"/>
              <w:bottom w:val="nil"/>
              <w:right w:val="nil"/>
            </w:tcBorders>
          </w:tcPr>
          <w:p>
            <w:pPr>
              <w:pStyle w:val="TableParagraph"/>
              <w:ind w:left="170"/>
              <w:rPr>
                <w:sz w:val="19"/>
              </w:rPr>
            </w:pPr>
            <w:r>
              <w:rPr>
                <w:sz w:val="19"/>
              </w:rPr>
              <w:t>21</w:t>
            </w:r>
          </w:p>
        </w:tc>
      </w:tr>
      <w:tr>
        <w:trPr>
          <w:trHeight w:val="193" w:hRule="exact"/>
        </w:trPr>
        <w:tc>
          <w:tcPr>
            <w:tcW w:w="488" w:type="dxa"/>
            <w:tcBorders>
              <w:top w:val="nil"/>
              <w:left w:val="nil"/>
              <w:bottom w:val="nil"/>
              <w:right w:val="single" w:sz="16" w:space="0" w:color="000000"/>
            </w:tcBorders>
          </w:tcPr>
          <w:p>
            <w:pPr>
              <w:pStyle w:val="TableParagraph"/>
              <w:spacing w:line="169" w:lineRule="exact"/>
              <w:ind w:left="104" w:right="81"/>
              <w:jc w:val="center"/>
              <w:rPr>
                <w:rFonts w:ascii="Arial"/>
                <w:sz w:val="16"/>
              </w:rPr>
            </w:pPr>
            <w:r>
              <w:rPr>
                <w:rFonts w:ascii="Arial"/>
                <w:sz w:val="16"/>
              </w:rPr>
              <w:t>22</w:t>
            </w:r>
          </w:p>
        </w:tc>
        <w:tc>
          <w:tcPr>
            <w:tcW w:w="1485" w:type="dxa"/>
            <w:tcBorders>
              <w:top w:val="nil"/>
              <w:left w:val="single" w:sz="16" w:space="0" w:color="000000"/>
              <w:bottom w:val="nil"/>
            </w:tcBorders>
          </w:tcPr>
          <w:p>
            <w:pPr>
              <w:pStyle w:val="TableParagraph"/>
              <w:spacing w:line="195" w:lineRule="exact"/>
              <w:ind w:left="242" w:right="145"/>
              <w:jc w:val="center"/>
              <w:rPr>
                <w:sz w:val="19"/>
              </w:rPr>
            </w:pPr>
            <w:r>
              <w:rPr>
                <w:sz w:val="19"/>
              </w:rPr>
              <w:t>9,075.863</w:t>
            </w:r>
          </w:p>
        </w:tc>
        <w:tc>
          <w:tcPr>
            <w:tcW w:w="1550" w:type="dxa"/>
            <w:tcBorders>
              <w:top w:val="nil"/>
              <w:bottom w:val="nil"/>
            </w:tcBorders>
          </w:tcPr>
          <w:p>
            <w:pPr>
              <w:pStyle w:val="TableParagraph"/>
              <w:spacing w:line="195" w:lineRule="exact"/>
              <w:ind w:left="86" w:right="52"/>
              <w:jc w:val="center"/>
              <w:rPr>
                <w:sz w:val="19"/>
              </w:rPr>
            </w:pPr>
            <w:r>
              <w:rPr>
                <w:w w:val="90"/>
                <w:sz w:val="19"/>
              </w:rPr>
              <w:t>1,303,357.021</w:t>
            </w:r>
          </w:p>
        </w:tc>
        <w:tc>
          <w:tcPr>
            <w:tcW w:w="1678" w:type="dxa"/>
            <w:tcBorders>
              <w:top w:val="nil"/>
              <w:bottom w:val="nil"/>
            </w:tcBorders>
          </w:tcPr>
          <w:p>
            <w:pPr>
              <w:pStyle w:val="TableParagraph"/>
              <w:spacing w:line="176" w:lineRule="exact"/>
              <w:ind w:left="71" w:right="61"/>
              <w:jc w:val="center"/>
              <w:rPr>
                <w:rFonts w:ascii="Times New Roman"/>
                <w:b/>
                <w:sz w:val="16"/>
              </w:rPr>
            </w:pPr>
            <w:r>
              <w:rPr>
                <w:rFonts w:ascii="Times New Roman"/>
                <w:b/>
                <w:w w:val="110"/>
                <w:sz w:val="16"/>
              </w:rPr>
              <w:t>54,575,342.890</w:t>
            </w:r>
          </w:p>
        </w:tc>
        <w:tc>
          <w:tcPr>
            <w:tcW w:w="499" w:type="dxa"/>
            <w:tcBorders>
              <w:top w:val="nil"/>
              <w:bottom w:val="nil"/>
              <w:right w:val="nil"/>
            </w:tcBorders>
          </w:tcPr>
          <w:p>
            <w:pPr>
              <w:pStyle w:val="TableParagraph"/>
              <w:spacing w:before="2"/>
              <w:ind w:left="170"/>
              <w:rPr>
                <w:rFonts w:ascii="Arial"/>
                <w:sz w:val="16"/>
              </w:rPr>
            </w:pPr>
            <w:r>
              <w:rPr>
                <w:rFonts w:ascii="Arial"/>
                <w:sz w:val="16"/>
              </w:rPr>
              <w:t>22</w:t>
            </w:r>
          </w:p>
        </w:tc>
      </w:tr>
      <w:tr>
        <w:trPr>
          <w:trHeight w:val="502" w:hRule="exact"/>
        </w:trPr>
        <w:tc>
          <w:tcPr>
            <w:tcW w:w="488" w:type="dxa"/>
            <w:tcBorders>
              <w:top w:val="nil"/>
              <w:left w:val="nil"/>
              <w:bottom w:val="nil"/>
              <w:right w:val="single" w:sz="16" w:space="0" w:color="000000"/>
            </w:tcBorders>
          </w:tcPr>
          <w:p>
            <w:pPr>
              <w:pStyle w:val="TableParagraph"/>
              <w:spacing w:line="189" w:lineRule="exact"/>
              <w:ind w:left="162"/>
              <w:rPr>
                <w:sz w:val="19"/>
              </w:rPr>
            </w:pPr>
            <w:r>
              <w:rPr>
                <w:w w:val="90"/>
                <w:sz w:val="19"/>
              </w:rPr>
              <w:t>23</w:t>
            </w:r>
          </w:p>
          <w:p>
            <w:pPr>
              <w:pStyle w:val="TableParagraph"/>
              <w:spacing w:line="195" w:lineRule="exact"/>
              <w:ind w:left="162"/>
              <w:rPr>
                <w:rFonts w:ascii="Times New Roman"/>
                <w:sz w:val="18"/>
              </w:rPr>
            </w:pPr>
            <w:r>
              <w:rPr>
                <w:rFonts w:ascii="Times New Roman"/>
                <w:w w:val="95"/>
                <w:sz w:val="18"/>
              </w:rPr>
              <w:t>24</w:t>
            </w:r>
          </w:p>
        </w:tc>
        <w:tc>
          <w:tcPr>
            <w:tcW w:w="1485" w:type="dxa"/>
            <w:tcBorders>
              <w:top w:val="nil"/>
              <w:left w:val="single" w:sz="16" w:space="0" w:color="000000"/>
              <w:bottom w:val="nil"/>
            </w:tcBorders>
          </w:tcPr>
          <w:p>
            <w:pPr>
              <w:pStyle w:val="TableParagraph"/>
              <w:spacing w:line="194" w:lineRule="exact"/>
              <w:ind w:left="406" w:right="-12"/>
              <w:rPr>
                <w:sz w:val="19"/>
              </w:rPr>
            </w:pPr>
            <w:r>
              <w:rPr>
                <w:sz w:val="19"/>
              </w:rPr>
              <w:t>8,936.960</w:t>
            </w:r>
          </w:p>
          <w:p>
            <w:pPr>
              <w:pStyle w:val="TableParagraph"/>
              <w:spacing w:line="205" w:lineRule="exact"/>
              <w:ind w:left="406" w:right="-12"/>
              <w:rPr>
                <w:sz w:val="19"/>
              </w:rPr>
            </w:pPr>
            <w:r>
              <w:rPr>
                <w:w w:val="90"/>
                <w:sz w:val="19"/>
              </w:rPr>
              <w:t>8,751.644</w:t>
            </w:r>
          </w:p>
        </w:tc>
        <w:tc>
          <w:tcPr>
            <w:tcW w:w="1550" w:type="dxa"/>
            <w:tcBorders>
              <w:top w:val="nil"/>
              <w:bottom w:val="nil"/>
            </w:tcBorders>
          </w:tcPr>
          <w:p>
            <w:pPr>
              <w:pStyle w:val="TableParagraph"/>
              <w:spacing w:line="196" w:lineRule="exact"/>
              <w:ind w:left="266" w:right="-7"/>
              <w:rPr>
                <w:sz w:val="19"/>
              </w:rPr>
            </w:pPr>
            <w:r>
              <w:rPr>
                <w:w w:val="80"/>
                <w:sz w:val="19"/>
              </w:rPr>
              <w:t>1,294,281.158</w:t>
            </w:r>
          </w:p>
          <w:p>
            <w:pPr>
              <w:pStyle w:val="TableParagraph"/>
              <w:spacing w:line="207" w:lineRule="exact"/>
              <w:ind w:left="266" w:right="-7"/>
              <w:rPr>
                <w:sz w:val="19"/>
              </w:rPr>
            </w:pPr>
            <w:r>
              <w:rPr>
                <w:w w:val="80"/>
                <w:sz w:val="19"/>
              </w:rPr>
              <w:t>1,285,344.198</w:t>
            </w:r>
          </w:p>
        </w:tc>
        <w:tc>
          <w:tcPr>
            <w:tcW w:w="1678" w:type="dxa"/>
            <w:tcBorders>
              <w:top w:val="nil"/>
              <w:bottom w:val="nil"/>
              <w:right w:val="single" w:sz="7" w:space="0" w:color="000000"/>
            </w:tcBorders>
          </w:tcPr>
          <w:p>
            <w:pPr>
              <w:pStyle w:val="TableParagraph"/>
              <w:spacing w:line="203" w:lineRule="exact"/>
              <w:ind w:left="300"/>
              <w:rPr>
                <w:sz w:val="19"/>
              </w:rPr>
            </w:pPr>
            <w:r>
              <w:rPr>
                <w:w w:val="80"/>
                <w:sz w:val="19"/>
              </w:rPr>
              <w:t>53,</w:t>
            </w:r>
            <w:r>
              <w:rPr>
                <w:rFonts w:ascii="Times New Roman"/>
                <w:w w:val="80"/>
                <w:sz w:val="17"/>
              </w:rPr>
              <w:t>Z71, </w:t>
            </w:r>
            <w:r>
              <w:rPr>
                <w:w w:val="80"/>
                <w:sz w:val="19"/>
              </w:rPr>
              <w:t>985.869</w:t>
            </w:r>
          </w:p>
          <w:p>
            <w:pPr>
              <w:pStyle w:val="TableParagraph"/>
              <w:spacing w:line="207" w:lineRule="exact"/>
              <w:ind w:left="296"/>
              <w:rPr>
                <w:sz w:val="19"/>
              </w:rPr>
            </w:pPr>
            <w:r>
              <w:rPr>
                <w:spacing w:val="-12"/>
                <w:w w:val="90"/>
                <w:sz w:val="19"/>
              </w:rPr>
              <w:t>51,977,704.711</w:t>
            </w:r>
          </w:p>
        </w:tc>
        <w:tc>
          <w:tcPr>
            <w:tcW w:w="499" w:type="dxa"/>
            <w:tcBorders>
              <w:top w:val="nil"/>
              <w:left w:val="single" w:sz="7" w:space="0" w:color="000000"/>
              <w:bottom w:val="nil"/>
              <w:right w:val="nil"/>
            </w:tcBorders>
          </w:tcPr>
          <w:p>
            <w:pPr>
              <w:pStyle w:val="TableParagraph"/>
              <w:spacing w:line="205" w:lineRule="exact"/>
              <w:ind w:left="135" w:right="109"/>
              <w:jc w:val="center"/>
              <w:rPr>
                <w:sz w:val="19"/>
              </w:rPr>
            </w:pPr>
            <w:r>
              <w:rPr>
                <w:w w:val="90"/>
                <w:sz w:val="19"/>
              </w:rPr>
              <w:t>23</w:t>
            </w:r>
          </w:p>
          <w:p>
            <w:pPr>
              <w:pStyle w:val="TableParagraph"/>
              <w:spacing w:line="197" w:lineRule="exact"/>
              <w:ind w:left="110" w:right="109"/>
              <w:jc w:val="center"/>
              <w:rPr>
                <w:rFonts w:ascii="Times New Roman"/>
                <w:sz w:val="18"/>
              </w:rPr>
            </w:pPr>
            <w:r>
              <w:rPr>
                <w:rFonts w:ascii="Times New Roman"/>
                <w:sz w:val="18"/>
              </w:rPr>
              <w:t>24</w:t>
            </w:r>
          </w:p>
        </w:tc>
      </w:tr>
      <w:tr>
        <w:trPr>
          <w:trHeight w:val="493" w:hRule="exact"/>
        </w:trPr>
        <w:tc>
          <w:tcPr>
            <w:tcW w:w="488" w:type="dxa"/>
            <w:tcBorders>
              <w:top w:val="nil"/>
              <w:left w:val="nil"/>
              <w:bottom w:val="nil"/>
              <w:right w:val="single" w:sz="16" w:space="0" w:color="000000"/>
            </w:tcBorders>
          </w:tcPr>
          <w:p>
            <w:pPr>
              <w:pStyle w:val="TableParagraph"/>
              <w:spacing w:before="80"/>
              <w:ind w:left="162"/>
              <w:rPr>
                <w:rFonts w:ascii="Times New Roman"/>
                <w:sz w:val="17"/>
              </w:rPr>
            </w:pPr>
            <w:r>
              <w:rPr>
                <w:rFonts w:ascii="Times New Roman"/>
                <w:sz w:val="17"/>
              </w:rPr>
              <w:t>25</w:t>
            </w:r>
          </w:p>
          <w:p>
            <w:pPr>
              <w:pStyle w:val="TableParagraph"/>
              <w:spacing w:before="11"/>
              <w:ind w:left="162"/>
              <w:rPr>
                <w:rFonts w:ascii="Arial"/>
                <w:sz w:val="16"/>
              </w:rPr>
            </w:pPr>
            <w:r>
              <w:rPr>
                <w:rFonts w:ascii="Arial"/>
                <w:sz w:val="16"/>
              </w:rPr>
              <w:t>26</w:t>
            </w:r>
          </w:p>
        </w:tc>
        <w:tc>
          <w:tcPr>
            <w:tcW w:w="1485" w:type="dxa"/>
            <w:tcBorders>
              <w:top w:val="nil"/>
              <w:left w:val="single" w:sz="16" w:space="0" w:color="000000"/>
              <w:bottom w:val="nil"/>
            </w:tcBorders>
          </w:tcPr>
          <w:p>
            <w:pPr>
              <w:pStyle w:val="TableParagraph"/>
              <w:spacing w:line="205" w:lineRule="exact" w:before="81"/>
              <w:ind w:left="403" w:right="-12"/>
              <w:rPr>
                <w:sz w:val="19"/>
              </w:rPr>
            </w:pPr>
            <w:r>
              <w:rPr>
                <w:w w:val="95"/>
                <w:sz w:val="19"/>
              </w:rPr>
              <w:t>8,569.542</w:t>
            </w:r>
          </w:p>
          <w:p>
            <w:pPr>
              <w:pStyle w:val="TableParagraph"/>
              <w:spacing w:line="205" w:lineRule="exact"/>
              <w:ind w:left="406" w:right="-12"/>
              <w:rPr>
                <w:sz w:val="19"/>
              </w:rPr>
            </w:pPr>
            <w:r>
              <w:rPr>
                <w:sz w:val="19"/>
              </w:rPr>
              <w:t>8,432.941</w:t>
            </w:r>
          </w:p>
        </w:tc>
        <w:tc>
          <w:tcPr>
            <w:tcW w:w="1550" w:type="dxa"/>
            <w:tcBorders>
              <w:top w:val="nil"/>
              <w:bottom w:val="nil"/>
            </w:tcBorders>
          </w:tcPr>
          <w:p>
            <w:pPr>
              <w:pStyle w:val="TableParagraph"/>
              <w:spacing w:line="207" w:lineRule="exact" w:before="81"/>
              <w:ind w:left="262" w:right="-7"/>
              <w:rPr>
                <w:sz w:val="19"/>
              </w:rPr>
            </w:pPr>
            <w:r>
              <w:rPr>
                <w:spacing w:val="-16"/>
                <w:w w:val="90"/>
                <w:sz w:val="19"/>
              </w:rPr>
              <w:t>1,276,592.554</w:t>
            </w:r>
          </w:p>
          <w:p>
            <w:pPr>
              <w:pStyle w:val="TableParagraph"/>
              <w:spacing w:line="207" w:lineRule="exact"/>
              <w:ind w:left="262" w:right="-7"/>
              <w:rPr>
                <w:sz w:val="19"/>
              </w:rPr>
            </w:pPr>
            <w:r>
              <w:rPr>
                <w:w w:val="85"/>
                <w:sz w:val="19"/>
              </w:rPr>
              <w:t>1,268,023.012</w:t>
            </w:r>
          </w:p>
        </w:tc>
        <w:tc>
          <w:tcPr>
            <w:tcW w:w="1678" w:type="dxa"/>
            <w:tcBorders>
              <w:top w:val="nil"/>
              <w:bottom w:val="nil"/>
              <w:right w:val="single" w:sz="7" w:space="0" w:color="000000"/>
            </w:tcBorders>
          </w:tcPr>
          <w:p>
            <w:pPr>
              <w:pStyle w:val="TableParagraph"/>
              <w:spacing w:line="207" w:lineRule="exact" w:before="88"/>
              <w:ind w:left="293"/>
              <w:rPr>
                <w:sz w:val="19"/>
              </w:rPr>
            </w:pPr>
            <w:r>
              <w:rPr>
                <w:spacing w:val="-14"/>
                <w:w w:val="90"/>
                <w:sz w:val="19"/>
              </w:rPr>
              <w:t>50,692,360.513</w:t>
            </w:r>
          </w:p>
          <w:p>
            <w:pPr>
              <w:pStyle w:val="TableParagraph"/>
              <w:spacing w:line="207" w:lineRule="exact"/>
              <w:ind w:left="296"/>
              <w:rPr>
                <w:sz w:val="19"/>
              </w:rPr>
            </w:pPr>
            <w:r>
              <w:rPr>
                <w:spacing w:val="-25"/>
                <w:sz w:val="19"/>
              </w:rPr>
              <w:t>49,415,767.959</w:t>
            </w:r>
          </w:p>
        </w:tc>
        <w:tc>
          <w:tcPr>
            <w:tcW w:w="499" w:type="dxa"/>
            <w:tcBorders>
              <w:top w:val="nil"/>
              <w:left w:val="single" w:sz="7" w:space="0" w:color="000000"/>
              <w:bottom w:val="nil"/>
              <w:right w:val="nil"/>
            </w:tcBorders>
          </w:tcPr>
          <w:p>
            <w:pPr>
              <w:pStyle w:val="TableParagraph"/>
              <w:spacing w:line="214" w:lineRule="exact" w:before="95"/>
              <w:ind w:left="165"/>
              <w:rPr>
                <w:sz w:val="19"/>
              </w:rPr>
            </w:pPr>
            <w:r>
              <w:rPr>
                <w:w w:val="90"/>
                <w:sz w:val="19"/>
              </w:rPr>
              <w:t>25</w:t>
            </w:r>
          </w:p>
          <w:p>
            <w:pPr>
              <w:pStyle w:val="TableParagraph"/>
              <w:spacing w:line="183" w:lineRule="exact"/>
              <w:ind w:left="165"/>
              <w:rPr>
                <w:rFonts w:ascii="Arial"/>
                <w:sz w:val="16"/>
              </w:rPr>
            </w:pPr>
            <w:r>
              <w:rPr>
                <w:rFonts w:ascii="Arial"/>
                <w:sz w:val="16"/>
              </w:rPr>
              <w:t>26</w:t>
            </w:r>
          </w:p>
        </w:tc>
      </w:tr>
      <w:tr>
        <w:trPr>
          <w:trHeight w:val="405" w:hRule="exact"/>
        </w:trPr>
        <w:tc>
          <w:tcPr>
            <w:tcW w:w="488" w:type="dxa"/>
            <w:tcBorders>
              <w:top w:val="nil"/>
              <w:left w:val="nil"/>
              <w:bottom w:val="nil"/>
              <w:right w:val="single" w:sz="16" w:space="0" w:color="000000"/>
            </w:tcBorders>
          </w:tcPr>
          <w:p>
            <w:pPr>
              <w:pStyle w:val="TableParagraph"/>
              <w:spacing w:line="194" w:lineRule="exact"/>
              <w:ind w:left="162"/>
              <w:rPr>
                <w:sz w:val="19"/>
              </w:rPr>
            </w:pPr>
            <w:r>
              <w:rPr>
                <w:w w:val="85"/>
                <w:sz w:val="19"/>
              </w:rPr>
              <w:t>27</w:t>
            </w:r>
          </w:p>
          <w:p>
            <w:pPr>
              <w:pStyle w:val="TableParagraph"/>
              <w:spacing w:line="210" w:lineRule="exact"/>
              <w:ind w:left="162"/>
              <w:rPr>
                <w:sz w:val="19"/>
              </w:rPr>
            </w:pPr>
            <w:r>
              <w:rPr>
                <w:w w:val="90"/>
                <w:sz w:val="19"/>
              </w:rPr>
              <w:t>28</w:t>
            </w:r>
          </w:p>
        </w:tc>
        <w:tc>
          <w:tcPr>
            <w:tcW w:w="1485" w:type="dxa"/>
            <w:tcBorders>
              <w:top w:val="nil"/>
              <w:left w:val="single" w:sz="16" w:space="0" w:color="000000"/>
              <w:bottom w:val="nil"/>
            </w:tcBorders>
          </w:tcPr>
          <w:p>
            <w:pPr>
              <w:pStyle w:val="TableParagraph"/>
              <w:spacing w:line="192" w:lineRule="exact"/>
              <w:ind w:left="406" w:right="-12"/>
              <w:rPr>
                <w:sz w:val="19"/>
              </w:rPr>
            </w:pPr>
            <w:r>
              <w:rPr>
                <w:w w:val="85"/>
                <w:sz w:val="19"/>
              </w:rPr>
              <w:t>8,296.154</w:t>
            </w:r>
          </w:p>
          <w:p>
            <w:pPr>
              <w:pStyle w:val="TableParagraph"/>
              <w:spacing w:line="212" w:lineRule="exact"/>
              <w:ind w:left="406" w:right="-12"/>
              <w:rPr>
                <w:sz w:val="19"/>
              </w:rPr>
            </w:pPr>
            <w:r>
              <w:rPr>
                <w:spacing w:val="-20"/>
                <w:w w:val="108"/>
                <w:sz w:val="19"/>
              </w:rPr>
              <w:t>8</w:t>
            </w:r>
            <w:r>
              <w:rPr>
                <w:spacing w:val="-68"/>
                <w:w w:val="339"/>
                <w:sz w:val="19"/>
              </w:rPr>
              <w:t>,</w:t>
            </w:r>
            <w:r>
              <w:rPr>
                <w:spacing w:val="-67"/>
                <w:w w:val="98"/>
                <w:sz w:val="19"/>
              </w:rPr>
              <w:t>.</w:t>
            </w:r>
            <w:r>
              <w:rPr>
                <w:w w:val="84"/>
                <w:sz w:val="19"/>
              </w:rPr>
              <w:t>0</w:t>
            </w:r>
            <w:r>
              <w:rPr>
                <w:spacing w:val="-25"/>
                <w:w w:val="84"/>
                <w:sz w:val="19"/>
              </w:rPr>
              <w:t>6</w:t>
            </w:r>
            <w:r>
              <w:rPr>
                <w:w w:val="103"/>
                <w:sz w:val="19"/>
              </w:rPr>
              <w:t>9</w:t>
            </w:r>
          </w:p>
        </w:tc>
        <w:tc>
          <w:tcPr>
            <w:tcW w:w="1550" w:type="dxa"/>
            <w:tcBorders>
              <w:top w:val="nil"/>
              <w:bottom w:val="nil"/>
            </w:tcBorders>
          </w:tcPr>
          <w:p>
            <w:pPr>
              <w:pStyle w:val="TableParagraph"/>
              <w:spacing w:line="190" w:lineRule="exact"/>
              <w:ind w:left="262" w:right="-7"/>
              <w:rPr>
                <w:sz w:val="19"/>
              </w:rPr>
            </w:pPr>
            <w:r>
              <w:rPr>
                <w:spacing w:val="-14"/>
                <w:w w:val="90"/>
                <w:sz w:val="19"/>
              </w:rPr>
              <w:t>1,259,590.071</w:t>
            </w:r>
          </w:p>
          <w:p>
            <w:pPr>
              <w:pStyle w:val="TableParagraph"/>
              <w:spacing w:line="207" w:lineRule="exact"/>
              <w:ind w:left="266" w:right="-7"/>
              <w:rPr>
                <w:sz w:val="19"/>
              </w:rPr>
            </w:pPr>
            <w:r>
              <w:rPr>
                <w:w w:val="80"/>
                <w:sz w:val="19"/>
              </w:rPr>
              <w:t>1,251,293.917</w:t>
            </w:r>
          </w:p>
        </w:tc>
        <w:tc>
          <w:tcPr>
            <w:tcW w:w="1678" w:type="dxa"/>
            <w:tcBorders>
              <w:top w:val="nil"/>
              <w:bottom w:val="nil"/>
              <w:right w:val="single" w:sz="7" w:space="0" w:color="000000"/>
            </w:tcBorders>
          </w:tcPr>
          <w:p>
            <w:pPr>
              <w:pStyle w:val="TableParagraph"/>
              <w:spacing w:line="201" w:lineRule="exact"/>
              <w:ind w:left="289"/>
              <w:rPr>
                <w:sz w:val="19"/>
              </w:rPr>
            </w:pPr>
            <w:r>
              <w:rPr>
                <w:spacing w:val="-19"/>
                <w:w w:val="95"/>
                <w:sz w:val="19"/>
              </w:rPr>
              <w:t>48,147,744.947</w:t>
            </w:r>
          </w:p>
          <w:p>
            <w:pPr>
              <w:pStyle w:val="TableParagraph"/>
              <w:spacing w:line="210" w:lineRule="exact"/>
              <w:ind w:left="293"/>
              <w:rPr>
                <w:sz w:val="19"/>
              </w:rPr>
            </w:pPr>
            <w:r>
              <w:rPr>
                <w:spacing w:val="-9"/>
                <w:w w:val="80"/>
                <w:sz w:val="19"/>
              </w:rPr>
              <w:t>46·,888,154.876</w:t>
            </w:r>
          </w:p>
        </w:tc>
        <w:tc>
          <w:tcPr>
            <w:tcW w:w="499" w:type="dxa"/>
            <w:tcBorders>
              <w:top w:val="nil"/>
              <w:left w:val="single" w:sz="7" w:space="0" w:color="000000"/>
              <w:bottom w:val="nil"/>
              <w:right w:val="nil"/>
            </w:tcBorders>
          </w:tcPr>
          <w:p>
            <w:pPr>
              <w:pStyle w:val="TableParagraph"/>
              <w:spacing w:line="213" w:lineRule="exact" w:before="5"/>
              <w:ind w:left="162"/>
              <w:rPr>
                <w:sz w:val="19"/>
              </w:rPr>
            </w:pPr>
            <w:r>
              <w:rPr>
                <w:w w:val="90"/>
                <w:sz w:val="19"/>
              </w:rPr>
              <w:t>27</w:t>
            </w:r>
          </w:p>
          <w:p>
            <w:pPr>
              <w:pStyle w:val="TableParagraph"/>
              <w:spacing w:line="182" w:lineRule="exact"/>
              <w:ind w:left="162"/>
              <w:rPr>
                <w:rFonts w:ascii="Times New Roman"/>
                <w:sz w:val="16"/>
              </w:rPr>
            </w:pPr>
            <w:r>
              <w:rPr>
                <w:rFonts w:ascii="Times New Roman"/>
                <w:w w:val="105"/>
                <w:sz w:val="16"/>
              </w:rPr>
              <w:t>28</w:t>
            </w:r>
          </w:p>
        </w:tc>
      </w:tr>
      <w:tr>
        <w:trPr>
          <w:trHeight w:val="296" w:hRule="exact"/>
        </w:trPr>
        <w:tc>
          <w:tcPr>
            <w:tcW w:w="488" w:type="dxa"/>
            <w:tcBorders>
              <w:top w:val="nil"/>
              <w:left w:val="nil"/>
              <w:bottom w:val="nil"/>
              <w:right w:val="single" w:sz="16" w:space="0" w:color="000000"/>
            </w:tcBorders>
          </w:tcPr>
          <w:p>
            <w:pPr>
              <w:pStyle w:val="TableParagraph"/>
              <w:spacing w:line="201" w:lineRule="exact"/>
              <w:ind w:left="112" w:right="81"/>
              <w:jc w:val="center"/>
              <w:rPr>
                <w:sz w:val="19"/>
              </w:rPr>
            </w:pPr>
            <w:r>
              <w:rPr>
                <w:w w:val="85"/>
                <w:sz w:val="19"/>
              </w:rPr>
              <w:t>29</w:t>
            </w:r>
          </w:p>
        </w:tc>
        <w:tc>
          <w:tcPr>
            <w:tcW w:w="1485" w:type="dxa"/>
            <w:tcBorders>
              <w:top w:val="nil"/>
              <w:left w:val="single" w:sz="16" w:space="0" w:color="000000"/>
              <w:bottom w:val="nil"/>
            </w:tcBorders>
          </w:tcPr>
          <w:p>
            <w:pPr>
              <w:pStyle w:val="TableParagraph"/>
              <w:spacing w:line="174" w:lineRule="exact"/>
              <w:ind w:left="235" w:right="147"/>
              <w:jc w:val="center"/>
              <w:rPr>
                <w:rFonts w:ascii="Times New Roman"/>
                <w:b/>
                <w:sz w:val="17"/>
              </w:rPr>
            </w:pPr>
            <w:r>
              <w:rPr>
                <w:rFonts w:ascii="Times New Roman"/>
                <w:b/>
                <w:w w:val="105"/>
                <w:sz w:val="17"/>
              </w:rPr>
              <w:t>8, 140.858</w:t>
            </w:r>
          </w:p>
        </w:tc>
        <w:tc>
          <w:tcPr>
            <w:tcW w:w="1550" w:type="dxa"/>
            <w:tcBorders>
              <w:top w:val="nil"/>
              <w:bottom w:val="nil"/>
            </w:tcBorders>
          </w:tcPr>
          <w:p>
            <w:pPr>
              <w:pStyle w:val="TableParagraph"/>
              <w:spacing w:line="191" w:lineRule="exact"/>
              <w:ind w:left="70" w:right="52"/>
              <w:jc w:val="center"/>
              <w:rPr>
                <w:b/>
                <w:sz w:val="18"/>
              </w:rPr>
            </w:pPr>
            <w:r>
              <w:rPr>
                <w:b/>
                <w:w w:val="80"/>
                <w:sz w:val="18"/>
              </w:rPr>
              <w:t>1,243.093.848</w:t>
            </w:r>
          </w:p>
        </w:tc>
        <w:tc>
          <w:tcPr>
            <w:tcW w:w="1678" w:type="dxa"/>
            <w:tcBorders>
              <w:top w:val="nil"/>
              <w:bottom w:val="nil"/>
              <w:right w:val="single" w:sz="7" w:space="0" w:color="000000"/>
            </w:tcBorders>
          </w:tcPr>
          <w:p>
            <w:pPr>
              <w:pStyle w:val="TableParagraph"/>
              <w:spacing w:line="198" w:lineRule="exact"/>
              <w:ind w:left="88" w:right="70"/>
              <w:jc w:val="center"/>
              <w:rPr>
                <w:b/>
                <w:sz w:val="18"/>
              </w:rPr>
            </w:pPr>
            <w:r>
              <w:rPr>
                <w:b/>
                <w:w w:val="75"/>
                <w:sz w:val="18"/>
              </w:rPr>
              <w:t>45,636,860 .959</w:t>
            </w:r>
          </w:p>
        </w:tc>
        <w:tc>
          <w:tcPr>
            <w:tcW w:w="499" w:type="dxa"/>
            <w:tcBorders>
              <w:top w:val="nil"/>
              <w:left w:val="single" w:sz="7" w:space="0" w:color="000000"/>
              <w:bottom w:val="nil"/>
              <w:right w:val="nil"/>
            </w:tcBorders>
          </w:tcPr>
          <w:p>
            <w:pPr>
              <w:pStyle w:val="TableParagraph"/>
              <w:spacing w:line="197" w:lineRule="exact"/>
              <w:ind w:left="162"/>
              <w:rPr>
                <w:rFonts w:ascii="Times New Roman"/>
                <w:b/>
                <w:sz w:val="18"/>
              </w:rPr>
            </w:pPr>
            <w:r>
              <w:rPr>
                <w:rFonts w:ascii="Times New Roman"/>
                <w:b/>
                <w:sz w:val="18"/>
              </w:rPr>
              <w:t>29</w:t>
            </w:r>
          </w:p>
        </w:tc>
      </w:tr>
      <w:tr>
        <w:trPr>
          <w:trHeight w:val="302" w:hRule="exact"/>
        </w:trPr>
        <w:tc>
          <w:tcPr>
            <w:tcW w:w="488" w:type="dxa"/>
            <w:tcBorders>
              <w:top w:val="nil"/>
              <w:left w:val="nil"/>
              <w:bottom w:val="nil"/>
              <w:right w:val="single" w:sz="16" w:space="0" w:color="000000"/>
            </w:tcBorders>
          </w:tcPr>
          <w:p>
            <w:pPr>
              <w:pStyle w:val="TableParagraph"/>
              <w:spacing w:before="103"/>
              <w:ind w:left="113" w:right="81"/>
              <w:jc w:val="center"/>
              <w:rPr>
                <w:rFonts w:ascii="Arial"/>
                <w:sz w:val="15"/>
              </w:rPr>
            </w:pPr>
            <w:r>
              <w:rPr>
                <w:rFonts w:ascii="Arial"/>
                <w:w w:val="105"/>
                <w:sz w:val="15"/>
              </w:rPr>
              <w:t>30</w:t>
            </w:r>
          </w:p>
        </w:tc>
        <w:tc>
          <w:tcPr>
            <w:tcW w:w="1485" w:type="dxa"/>
            <w:tcBorders>
              <w:top w:val="nil"/>
              <w:left w:val="single" w:sz="16" w:space="0" w:color="000000"/>
              <w:bottom w:val="nil"/>
            </w:tcBorders>
          </w:tcPr>
          <w:p>
            <w:pPr>
              <w:pStyle w:val="TableParagraph"/>
              <w:spacing w:before="86"/>
              <w:ind w:left="241" w:right="147"/>
              <w:jc w:val="center"/>
              <w:rPr>
                <w:sz w:val="19"/>
              </w:rPr>
            </w:pPr>
            <w:r>
              <w:rPr>
                <w:sz w:val="19"/>
              </w:rPr>
              <w:t>8,076.941</w:t>
            </w:r>
          </w:p>
        </w:tc>
        <w:tc>
          <w:tcPr>
            <w:tcW w:w="1550" w:type="dxa"/>
            <w:tcBorders>
              <w:top w:val="nil"/>
              <w:bottom w:val="nil"/>
            </w:tcBorders>
          </w:tcPr>
          <w:p>
            <w:pPr>
              <w:pStyle w:val="TableParagraph"/>
              <w:spacing w:before="82"/>
              <w:ind w:left="97" w:right="49"/>
              <w:jc w:val="center"/>
              <w:rPr>
                <w:sz w:val="19"/>
              </w:rPr>
            </w:pPr>
            <w:r>
              <w:rPr>
                <w:w w:val="85"/>
                <w:sz w:val="19"/>
              </w:rPr>
              <w:t>1,234,952.990</w:t>
            </w:r>
          </w:p>
        </w:tc>
        <w:tc>
          <w:tcPr>
            <w:tcW w:w="1678" w:type="dxa"/>
            <w:tcBorders>
              <w:top w:val="nil"/>
              <w:bottom w:val="nil"/>
              <w:right w:val="single" w:sz="7" w:space="0" w:color="000000"/>
            </w:tcBorders>
          </w:tcPr>
          <w:p>
            <w:pPr>
              <w:pStyle w:val="TableParagraph"/>
              <w:spacing w:before="93"/>
              <w:ind w:left="94" w:right="70"/>
              <w:jc w:val="center"/>
              <w:rPr>
                <w:sz w:val="19"/>
              </w:rPr>
            </w:pPr>
            <w:r>
              <w:rPr>
                <w:w w:val="64"/>
                <w:sz w:val="19"/>
              </w:rPr>
              <w:t>44,393</w:t>
            </w:r>
            <w:r>
              <w:rPr>
                <w:spacing w:val="-1"/>
                <w:w w:val="64"/>
                <w:sz w:val="19"/>
              </w:rPr>
              <w:t>,</w:t>
            </w:r>
            <w:r>
              <w:rPr>
                <w:spacing w:val="-43"/>
                <w:w w:val="103"/>
                <w:sz w:val="19"/>
              </w:rPr>
              <w:t>7</w:t>
            </w:r>
            <w:r>
              <w:rPr>
                <w:spacing w:val="-50"/>
                <w:w w:val="112"/>
                <w:sz w:val="19"/>
              </w:rPr>
              <w:t>6</w:t>
            </w:r>
            <w:r>
              <w:rPr>
                <w:spacing w:val="-17"/>
                <w:w w:val="108"/>
                <w:sz w:val="19"/>
              </w:rPr>
              <w:t>7</w:t>
            </w:r>
            <w:r>
              <w:rPr>
                <w:spacing w:val="-49"/>
                <w:w w:val="98"/>
                <w:sz w:val="19"/>
              </w:rPr>
              <w:t>.</w:t>
            </w:r>
            <w:r>
              <w:rPr>
                <w:w w:val="71"/>
                <w:sz w:val="19"/>
              </w:rPr>
              <w:t>1</w:t>
            </w:r>
            <w:r>
              <w:rPr>
                <w:spacing w:val="-28"/>
                <w:w w:val="71"/>
                <w:sz w:val="19"/>
              </w:rPr>
              <w:t>1</w:t>
            </w:r>
            <w:r>
              <w:rPr>
                <w:spacing w:val="-39"/>
                <w:w w:val="52"/>
                <w:sz w:val="19"/>
              </w:rPr>
              <w:t>,</w:t>
            </w:r>
            <w:r>
              <w:rPr>
                <w:w w:val="82"/>
                <w:sz w:val="19"/>
              </w:rPr>
              <w:t>1</w:t>
            </w:r>
          </w:p>
        </w:tc>
        <w:tc>
          <w:tcPr>
            <w:tcW w:w="499" w:type="dxa"/>
            <w:tcBorders>
              <w:top w:val="nil"/>
              <w:left w:val="single" w:sz="7" w:space="0" w:color="000000"/>
              <w:bottom w:val="nil"/>
              <w:right w:val="nil"/>
            </w:tcBorders>
          </w:tcPr>
          <w:p>
            <w:pPr>
              <w:pStyle w:val="TableParagraph"/>
              <w:spacing w:before="109"/>
              <w:ind w:left="158"/>
              <w:rPr>
                <w:rFonts w:ascii="Times New Roman"/>
                <w:sz w:val="16"/>
              </w:rPr>
            </w:pPr>
            <w:r>
              <w:rPr>
                <w:rFonts w:ascii="Times New Roman"/>
                <w:w w:val="110"/>
                <w:sz w:val="16"/>
              </w:rPr>
              <w:t>30</w:t>
            </w:r>
          </w:p>
        </w:tc>
      </w:tr>
      <w:tr>
        <w:trPr>
          <w:trHeight w:val="193" w:hRule="exact"/>
        </w:trPr>
        <w:tc>
          <w:tcPr>
            <w:tcW w:w="488" w:type="dxa"/>
            <w:tcBorders>
              <w:top w:val="nil"/>
              <w:left w:val="nil"/>
              <w:bottom w:val="nil"/>
              <w:right w:val="single" w:sz="16" w:space="0" w:color="000000"/>
            </w:tcBorders>
          </w:tcPr>
          <w:p>
            <w:pPr>
              <w:pStyle w:val="TableParagraph"/>
              <w:spacing w:line="197" w:lineRule="exact"/>
              <w:ind w:left="115" w:right="81"/>
              <w:jc w:val="center"/>
              <w:rPr>
                <w:sz w:val="19"/>
              </w:rPr>
            </w:pPr>
            <w:r>
              <w:rPr>
                <w:w w:val="95"/>
                <w:sz w:val="19"/>
              </w:rPr>
              <w:t>31</w:t>
            </w:r>
          </w:p>
        </w:tc>
        <w:tc>
          <w:tcPr>
            <w:tcW w:w="1485" w:type="dxa"/>
            <w:tcBorders>
              <w:top w:val="nil"/>
              <w:left w:val="single" w:sz="16" w:space="0" w:color="000000"/>
              <w:bottom w:val="nil"/>
            </w:tcBorders>
          </w:tcPr>
          <w:p>
            <w:pPr>
              <w:pStyle w:val="TableParagraph"/>
              <w:spacing w:line="194" w:lineRule="exact"/>
              <w:ind w:left="240" w:right="147"/>
              <w:jc w:val="center"/>
              <w:rPr>
                <w:b/>
                <w:sz w:val="18"/>
              </w:rPr>
            </w:pPr>
            <w:r>
              <w:rPr>
                <w:b/>
                <w:w w:val="90"/>
                <w:sz w:val="18"/>
              </w:rPr>
              <w:t>8,045.567</w:t>
            </w:r>
          </w:p>
        </w:tc>
        <w:tc>
          <w:tcPr>
            <w:tcW w:w="1550" w:type="dxa"/>
            <w:tcBorders>
              <w:top w:val="nil"/>
              <w:bottom w:val="nil"/>
            </w:tcBorders>
          </w:tcPr>
          <w:p>
            <w:pPr>
              <w:pStyle w:val="TableParagraph"/>
              <w:spacing w:line="197" w:lineRule="exact"/>
              <w:ind w:left="97" w:right="42"/>
              <w:jc w:val="center"/>
              <w:rPr>
                <w:sz w:val="19"/>
              </w:rPr>
            </w:pPr>
            <w:r>
              <w:rPr>
                <w:w w:val="85"/>
                <w:sz w:val="19"/>
              </w:rPr>
              <w:t>1,226,876.049</w:t>
            </w:r>
          </w:p>
        </w:tc>
        <w:tc>
          <w:tcPr>
            <w:tcW w:w="1678" w:type="dxa"/>
            <w:tcBorders>
              <w:top w:val="nil"/>
              <w:bottom w:val="nil"/>
              <w:right w:val="single" w:sz="7" w:space="0" w:color="000000"/>
            </w:tcBorders>
          </w:tcPr>
          <w:p>
            <w:pPr>
              <w:pStyle w:val="TableParagraph"/>
              <w:spacing w:line="198" w:lineRule="exact"/>
              <w:ind w:left="74" w:right="70"/>
              <w:jc w:val="center"/>
              <w:rPr>
                <w:b/>
                <w:sz w:val="18"/>
              </w:rPr>
            </w:pPr>
            <w:r>
              <w:rPr>
                <w:b/>
                <w:w w:val="85"/>
                <w:sz w:val="18"/>
              </w:rPr>
              <w:t>43,158,814.121</w:t>
            </w:r>
          </w:p>
        </w:tc>
        <w:tc>
          <w:tcPr>
            <w:tcW w:w="499" w:type="dxa"/>
            <w:tcBorders>
              <w:top w:val="nil"/>
              <w:left w:val="single" w:sz="7" w:space="0" w:color="000000"/>
              <w:bottom w:val="nil"/>
              <w:right w:val="nil"/>
            </w:tcBorders>
          </w:tcPr>
          <w:p>
            <w:pPr>
              <w:pStyle w:val="TableParagraph"/>
              <w:spacing w:line="191" w:lineRule="exact"/>
              <w:ind w:left="162"/>
              <w:rPr>
                <w:rFonts w:ascii="Times New Roman"/>
                <w:b/>
                <w:sz w:val="17"/>
              </w:rPr>
            </w:pPr>
            <w:r>
              <w:rPr>
                <w:rFonts w:ascii="Times New Roman"/>
                <w:b/>
                <w:sz w:val="17"/>
              </w:rPr>
              <w:t>31</w:t>
            </w:r>
          </w:p>
        </w:tc>
      </w:tr>
      <w:tr>
        <w:trPr>
          <w:trHeight w:val="401" w:hRule="exact"/>
        </w:trPr>
        <w:tc>
          <w:tcPr>
            <w:tcW w:w="488" w:type="dxa"/>
            <w:tcBorders>
              <w:top w:val="nil"/>
              <w:left w:val="nil"/>
              <w:bottom w:val="nil"/>
              <w:right w:val="single" w:sz="16" w:space="0" w:color="000000"/>
            </w:tcBorders>
          </w:tcPr>
          <w:p>
            <w:pPr>
              <w:pStyle w:val="TableParagraph"/>
              <w:spacing w:line="191" w:lineRule="exact"/>
              <w:ind w:left="162"/>
              <w:rPr>
                <w:sz w:val="19"/>
              </w:rPr>
            </w:pPr>
            <w:r>
              <w:rPr>
                <w:sz w:val="19"/>
              </w:rPr>
              <w:t>32</w:t>
            </w:r>
          </w:p>
          <w:p>
            <w:pPr>
              <w:pStyle w:val="TableParagraph"/>
              <w:spacing w:line="188" w:lineRule="exact"/>
              <w:ind w:left="162"/>
              <w:rPr>
                <w:rFonts w:ascii="Times New Roman"/>
                <w:sz w:val="17"/>
              </w:rPr>
            </w:pPr>
            <w:r>
              <w:rPr>
                <w:rFonts w:ascii="Times New Roman"/>
                <w:w w:val="105"/>
                <w:sz w:val="17"/>
              </w:rPr>
              <w:t>33</w:t>
            </w:r>
          </w:p>
        </w:tc>
        <w:tc>
          <w:tcPr>
            <w:tcW w:w="1485" w:type="dxa"/>
            <w:tcBorders>
              <w:top w:val="nil"/>
              <w:left w:val="single" w:sz="16" w:space="0" w:color="000000"/>
              <w:bottom w:val="nil"/>
            </w:tcBorders>
          </w:tcPr>
          <w:p>
            <w:pPr>
              <w:pStyle w:val="TableParagraph"/>
              <w:spacing w:line="196" w:lineRule="exact"/>
              <w:ind w:left="406" w:right="-12"/>
              <w:rPr>
                <w:b/>
                <w:sz w:val="18"/>
              </w:rPr>
            </w:pPr>
            <w:r>
              <w:rPr>
                <w:b/>
                <w:w w:val="90"/>
                <w:sz w:val="18"/>
              </w:rPr>
              <w:t>8,007.661</w:t>
            </w:r>
          </w:p>
          <w:p>
            <w:pPr>
              <w:pStyle w:val="TableParagraph"/>
              <w:spacing w:line="201" w:lineRule="exact"/>
              <w:ind w:left="406" w:right="-12"/>
              <w:rPr>
                <w:b/>
                <w:sz w:val="18"/>
              </w:rPr>
            </w:pPr>
            <w:r>
              <w:rPr>
                <w:b/>
                <w:w w:val="95"/>
                <w:sz w:val="18"/>
              </w:rPr>
              <w:t>7,998.081</w:t>
            </w:r>
          </w:p>
        </w:tc>
        <w:tc>
          <w:tcPr>
            <w:tcW w:w="1550" w:type="dxa"/>
            <w:tcBorders>
              <w:top w:val="nil"/>
              <w:bottom w:val="nil"/>
            </w:tcBorders>
          </w:tcPr>
          <w:p>
            <w:pPr>
              <w:pStyle w:val="TableParagraph"/>
              <w:spacing w:line="192" w:lineRule="exact"/>
              <w:ind w:left="266" w:right="-7"/>
              <w:rPr>
                <w:b/>
                <w:sz w:val="18"/>
              </w:rPr>
            </w:pPr>
            <w:r>
              <w:rPr>
                <w:b/>
                <w:w w:val="80"/>
                <w:sz w:val="18"/>
              </w:rPr>
              <w:t>1,218</w:t>
            </w:r>
            <w:r>
              <w:rPr>
                <w:b/>
                <w:spacing w:val="-66"/>
                <w:w w:val="80"/>
                <w:sz w:val="18"/>
              </w:rPr>
              <w:t> </w:t>
            </w:r>
            <w:r>
              <w:rPr>
                <w:b/>
                <w:spacing w:val="-12"/>
                <w:w w:val="80"/>
                <w:sz w:val="18"/>
              </w:rPr>
              <w:t>,830.482</w:t>
            </w:r>
          </w:p>
          <w:p>
            <w:pPr>
              <w:pStyle w:val="TableParagraph"/>
              <w:spacing w:line="208" w:lineRule="exact"/>
              <w:ind w:left="262" w:right="-7"/>
              <w:rPr>
                <w:sz w:val="19"/>
              </w:rPr>
            </w:pPr>
            <w:r>
              <w:rPr>
                <w:spacing w:val="-12"/>
                <w:w w:val="85"/>
                <w:sz w:val="19"/>
              </w:rPr>
              <w:t>1,210,82'l.821</w:t>
            </w:r>
          </w:p>
        </w:tc>
        <w:tc>
          <w:tcPr>
            <w:tcW w:w="1678" w:type="dxa"/>
            <w:tcBorders>
              <w:top w:val="nil"/>
              <w:bottom w:val="nil"/>
              <w:right w:val="single" w:sz="7" w:space="0" w:color="000000"/>
            </w:tcBorders>
          </w:tcPr>
          <w:p>
            <w:pPr>
              <w:pStyle w:val="TableParagraph"/>
              <w:spacing w:line="201" w:lineRule="exact"/>
              <w:ind w:left="293"/>
              <w:rPr>
                <w:sz w:val="19"/>
              </w:rPr>
            </w:pPr>
            <w:r>
              <w:rPr>
                <w:spacing w:val="-15"/>
                <w:w w:val="90"/>
                <w:sz w:val="19"/>
              </w:rPr>
              <w:t>41,931,938.072</w:t>
            </w:r>
          </w:p>
          <w:p>
            <w:pPr>
              <w:pStyle w:val="TableParagraph"/>
              <w:spacing w:line="207" w:lineRule="exact"/>
              <w:ind w:left="296"/>
              <w:rPr>
                <w:sz w:val="19"/>
              </w:rPr>
            </w:pPr>
            <w:r>
              <w:rPr>
                <w:spacing w:val="-17"/>
                <w:w w:val="95"/>
                <w:sz w:val="19"/>
              </w:rPr>
              <w:t>40,713,107.590</w:t>
            </w:r>
          </w:p>
        </w:tc>
        <w:tc>
          <w:tcPr>
            <w:tcW w:w="499" w:type="dxa"/>
            <w:tcBorders>
              <w:top w:val="nil"/>
              <w:left w:val="single" w:sz="7" w:space="0" w:color="000000"/>
              <w:bottom w:val="nil"/>
              <w:right w:val="nil"/>
            </w:tcBorders>
          </w:tcPr>
          <w:p>
            <w:pPr>
              <w:pStyle w:val="TableParagraph"/>
              <w:spacing w:line="206" w:lineRule="exact" w:before="1"/>
              <w:ind w:left="158"/>
              <w:rPr>
                <w:sz w:val="19"/>
              </w:rPr>
            </w:pPr>
            <w:r>
              <w:rPr>
                <w:sz w:val="19"/>
              </w:rPr>
              <w:t>32</w:t>
            </w:r>
          </w:p>
          <w:p>
            <w:pPr>
              <w:pStyle w:val="TableParagraph"/>
              <w:spacing w:line="187" w:lineRule="exact"/>
              <w:ind w:left="158"/>
              <w:rPr>
                <w:rFonts w:ascii="Times New Roman"/>
                <w:sz w:val="17"/>
              </w:rPr>
            </w:pPr>
            <w:r>
              <w:rPr>
                <w:rFonts w:ascii="Times New Roman"/>
                <w:w w:val="105"/>
                <w:sz w:val="17"/>
              </w:rPr>
              <w:t>33</w:t>
            </w:r>
          </w:p>
        </w:tc>
      </w:tr>
      <w:tr>
        <w:trPr>
          <w:trHeight w:val="307" w:hRule="exact"/>
        </w:trPr>
        <w:tc>
          <w:tcPr>
            <w:tcW w:w="488" w:type="dxa"/>
            <w:tcBorders>
              <w:top w:val="nil"/>
              <w:left w:val="nil"/>
              <w:right w:val="single" w:sz="16" w:space="0" w:color="000000"/>
            </w:tcBorders>
          </w:tcPr>
          <w:p>
            <w:pPr>
              <w:pStyle w:val="TableParagraph"/>
              <w:spacing w:line="174" w:lineRule="exact"/>
              <w:ind w:left="106" w:right="81"/>
              <w:jc w:val="center"/>
              <w:rPr>
                <w:rFonts w:ascii="Arial"/>
                <w:sz w:val="16"/>
              </w:rPr>
            </w:pPr>
            <w:r>
              <w:rPr>
                <w:rFonts w:ascii="Arial"/>
                <w:sz w:val="16"/>
              </w:rPr>
              <w:t>34</w:t>
            </w:r>
          </w:p>
        </w:tc>
        <w:tc>
          <w:tcPr>
            <w:tcW w:w="1485" w:type="dxa"/>
            <w:tcBorders>
              <w:top w:val="nil"/>
              <w:left w:val="single" w:sz="16" w:space="0" w:color="000000"/>
            </w:tcBorders>
          </w:tcPr>
          <w:p>
            <w:pPr>
              <w:pStyle w:val="TableParagraph"/>
              <w:spacing w:line="197" w:lineRule="exact"/>
              <w:ind w:left="242" w:right="131"/>
              <w:jc w:val="center"/>
              <w:rPr>
                <w:sz w:val="19"/>
              </w:rPr>
            </w:pPr>
            <w:r>
              <w:rPr>
                <w:w w:val="90"/>
                <w:sz w:val="19"/>
              </w:rPr>
              <w:t>8,014.251</w:t>
            </w:r>
          </w:p>
        </w:tc>
        <w:tc>
          <w:tcPr>
            <w:tcW w:w="1550" w:type="dxa"/>
            <w:tcBorders>
              <w:top w:val="nil"/>
            </w:tcBorders>
          </w:tcPr>
          <w:p>
            <w:pPr>
              <w:pStyle w:val="TableParagraph"/>
              <w:spacing w:line="201" w:lineRule="exact"/>
              <w:ind w:left="97" w:right="41"/>
              <w:jc w:val="center"/>
              <w:rPr>
                <w:sz w:val="19"/>
              </w:rPr>
            </w:pPr>
            <w:r>
              <w:rPr>
                <w:w w:val="90"/>
                <w:sz w:val="19"/>
              </w:rPr>
              <w:t>1,202,824.740</w:t>
            </w:r>
          </w:p>
        </w:tc>
        <w:tc>
          <w:tcPr>
            <w:tcW w:w="1678" w:type="dxa"/>
            <w:tcBorders>
              <w:top w:val="nil"/>
              <w:right w:val="single" w:sz="7" w:space="0" w:color="000000"/>
            </w:tcBorders>
          </w:tcPr>
          <w:p>
            <w:pPr>
              <w:pStyle w:val="TableParagraph"/>
              <w:spacing w:line="204" w:lineRule="exact"/>
              <w:ind w:left="113" w:right="70"/>
              <w:jc w:val="center"/>
              <w:rPr>
                <w:sz w:val="19"/>
              </w:rPr>
            </w:pPr>
            <w:r>
              <w:rPr>
                <w:w w:val="90"/>
                <w:sz w:val="19"/>
              </w:rPr>
              <w:t>39,502,284.769</w:t>
            </w:r>
          </w:p>
        </w:tc>
        <w:tc>
          <w:tcPr>
            <w:tcW w:w="499" w:type="dxa"/>
            <w:tcBorders>
              <w:top w:val="nil"/>
              <w:left w:val="single" w:sz="7" w:space="0" w:color="000000"/>
              <w:right w:val="nil"/>
            </w:tcBorders>
          </w:tcPr>
          <w:p>
            <w:pPr>
              <w:pStyle w:val="TableParagraph"/>
              <w:spacing w:before="4"/>
              <w:ind w:left="154"/>
              <w:rPr>
                <w:rFonts w:ascii="Arial"/>
                <w:sz w:val="16"/>
              </w:rPr>
            </w:pPr>
            <w:r>
              <w:rPr>
                <w:rFonts w:ascii="Arial"/>
                <w:sz w:val="16"/>
              </w:rPr>
              <w:t>34</w:t>
            </w:r>
          </w:p>
        </w:tc>
      </w:tr>
    </w:tbl>
    <w:p>
      <w:pPr>
        <w:spacing w:after="0"/>
        <w:rPr>
          <w:rFonts w:ascii="Arial"/>
          <w:sz w:val="16"/>
        </w:rPr>
        <w:sectPr>
          <w:pgSz w:w="7200" w:h="11340"/>
          <w:pgMar w:top="500" w:bottom="280" w:left="700" w:right="540"/>
        </w:sectPr>
      </w:pPr>
    </w:p>
    <w:p>
      <w:pPr>
        <w:tabs>
          <w:tab w:pos="2464" w:val="left" w:leader="none"/>
        </w:tabs>
        <w:spacing w:before="60"/>
        <w:ind w:left="113" w:right="99" w:firstLine="0"/>
        <w:jc w:val="left"/>
        <w:rPr>
          <w:sz w:val="16"/>
        </w:rPr>
      </w:pPr>
      <w:r>
        <w:rPr>
          <w:rFonts w:ascii="Arial"/>
          <w:w w:val="110"/>
          <w:sz w:val="20"/>
        </w:rPr>
        <w:t>340</w:t>
        <w:tab/>
      </w:r>
      <w:r>
        <w:rPr>
          <w:b/>
          <w:w w:val="110"/>
          <w:position w:val="1"/>
          <w:sz w:val="15"/>
        </w:rPr>
        <w:t>APPIJNDIX</w:t>
      </w:r>
      <w:r>
        <w:rPr>
          <w:b/>
          <w:spacing w:val="13"/>
          <w:w w:val="110"/>
          <w:position w:val="1"/>
          <w:sz w:val="15"/>
        </w:rPr>
        <w:t> </w:t>
      </w:r>
      <w:r>
        <w:rPr>
          <w:w w:val="110"/>
          <w:position w:val="1"/>
          <w:sz w:val="16"/>
        </w:rPr>
        <w:t>I</w:t>
      </w:r>
    </w:p>
    <w:p>
      <w:pPr>
        <w:spacing w:before="142"/>
        <w:ind w:left="1548" w:right="1517" w:firstLine="0"/>
        <w:jc w:val="center"/>
        <w:rPr>
          <w:sz w:val="16"/>
        </w:rPr>
      </w:pPr>
      <w:r>
        <w:rPr>
          <w:w w:val="110"/>
          <w:sz w:val="16"/>
        </w:rPr>
        <w:t>1968  </w:t>
      </w:r>
      <w:r>
        <w:rPr>
          <w:w w:val="110"/>
          <w:sz w:val="26"/>
        </w:rPr>
        <w:t>eso </w:t>
      </w:r>
      <w:r>
        <w:rPr>
          <w:w w:val="110"/>
          <w:sz w:val="16"/>
        </w:rPr>
        <w:t>3%</w:t>
      </w:r>
    </w:p>
    <w:p>
      <w:pPr>
        <w:spacing w:before="13" w:after="52"/>
        <w:ind w:left="1548" w:right="1546" w:firstLine="0"/>
        <w:jc w:val="center"/>
        <w:rPr>
          <w:sz w:val="18"/>
        </w:rPr>
      </w:pPr>
      <w:r>
        <w:rPr>
          <w:sz w:val="18"/>
        </w:rPr>
        <w:t>Male Livee</w:t>
      </w:r>
    </w:p>
    <w:tbl>
      <w:tblPr>
        <w:tblW w:w="0" w:type="auto"/>
        <w:jc w:val="left"/>
        <w:tblInd w:w="1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3"/>
        <w:gridCol w:w="1466"/>
        <w:gridCol w:w="1542"/>
        <w:gridCol w:w="1708"/>
        <w:gridCol w:w="486"/>
      </w:tblGrid>
      <w:tr>
        <w:trPr>
          <w:trHeight w:val="396" w:hRule="exact"/>
        </w:trPr>
        <w:tc>
          <w:tcPr>
            <w:tcW w:w="483" w:type="dxa"/>
            <w:tcBorders>
              <w:left w:val="nil"/>
              <w:right w:val="single" w:sz="7" w:space="0" w:color="000000"/>
            </w:tcBorders>
          </w:tcPr>
          <w:p>
            <w:pPr>
              <w:pStyle w:val="TableParagraph"/>
              <w:spacing w:before="42"/>
              <w:ind w:left="200"/>
              <w:rPr>
                <w:rFonts w:ascii="Arial" w:hAnsi="Arial"/>
                <w:sz w:val="28"/>
              </w:rPr>
            </w:pPr>
            <w:r>
              <w:rPr>
                <w:rFonts w:ascii="Arial" w:hAnsi="Arial"/>
                <w:w w:val="85"/>
                <w:sz w:val="28"/>
              </w:rPr>
              <w:t>•</w:t>
            </w:r>
          </w:p>
        </w:tc>
        <w:tc>
          <w:tcPr>
            <w:tcW w:w="1466" w:type="dxa"/>
            <w:tcBorders>
              <w:left w:val="single" w:sz="7" w:space="0" w:color="000000"/>
            </w:tcBorders>
          </w:tcPr>
          <w:p>
            <w:pPr>
              <w:pStyle w:val="TableParagraph"/>
              <w:spacing w:before="38"/>
              <w:ind w:left="230" w:right="189"/>
              <w:jc w:val="center"/>
              <w:rPr>
                <w:rFonts w:ascii="Times New Roman"/>
                <w:i/>
                <w:sz w:val="22"/>
              </w:rPr>
            </w:pPr>
            <w:r>
              <w:rPr>
                <w:rFonts w:ascii="Times New Roman"/>
                <w:i/>
                <w:w w:val="115"/>
                <w:sz w:val="22"/>
              </w:rPr>
              <w:t>c.</w:t>
            </w:r>
          </w:p>
        </w:tc>
        <w:tc>
          <w:tcPr>
            <w:tcW w:w="1542" w:type="dxa"/>
          </w:tcPr>
          <w:p>
            <w:pPr>
              <w:pStyle w:val="TableParagraph"/>
              <w:spacing w:line="384" w:lineRule="exact" w:before="38"/>
              <w:ind w:left="257" w:right="90"/>
              <w:jc w:val="center"/>
              <w:rPr>
                <w:rFonts w:ascii="Arial" w:hAnsi="Arial"/>
                <w:sz w:val="38"/>
              </w:rPr>
            </w:pPr>
            <w:r>
              <w:rPr>
                <w:rFonts w:ascii="Arial" w:hAnsi="Arial"/>
                <w:w w:val="140"/>
                <w:sz w:val="38"/>
              </w:rPr>
              <w:t>"·</w:t>
            </w:r>
          </w:p>
        </w:tc>
        <w:tc>
          <w:tcPr>
            <w:tcW w:w="1708" w:type="dxa"/>
            <w:tcBorders>
              <w:right w:val="single" w:sz="7" w:space="0" w:color="000000"/>
            </w:tcBorders>
          </w:tcPr>
          <w:p>
            <w:pPr>
              <w:pStyle w:val="TableParagraph"/>
              <w:spacing w:before="98"/>
              <w:ind w:left="61" w:right="44"/>
              <w:jc w:val="center"/>
              <w:rPr>
                <w:rFonts w:ascii="Times New Roman"/>
                <w:b/>
                <w:i/>
                <w:sz w:val="14"/>
              </w:rPr>
            </w:pPr>
            <w:r>
              <w:rPr>
                <w:rFonts w:ascii="Times New Roman"/>
                <w:b/>
                <w:i/>
                <w:sz w:val="14"/>
              </w:rPr>
              <w:t>Rz</w:t>
            </w:r>
          </w:p>
        </w:tc>
        <w:tc>
          <w:tcPr>
            <w:tcW w:w="486" w:type="dxa"/>
            <w:tcBorders>
              <w:left w:val="single" w:sz="7" w:space="0" w:color="000000"/>
              <w:right w:val="nil"/>
            </w:tcBorders>
          </w:tcPr>
          <w:p>
            <w:pPr>
              <w:pStyle w:val="TableParagraph"/>
              <w:spacing w:before="6"/>
              <w:rPr>
                <w:rFonts w:ascii="Times New Roman"/>
                <w:sz w:val="9"/>
              </w:rPr>
            </w:pPr>
          </w:p>
          <w:p>
            <w:pPr>
              <w:pStyle w:val="TableParagraph"/>
              <w:ind w:left="26"/>
              <w:jc w:val="center"/>
              <w:rPr>
                <w:rFonts w:ascii="Arial"/>
                <w:b/>
                <w:sz w:val="12"/>
              </w:rPr>
            </w:pPr>
            <w:r>
              <w:rPr>
                <w:rFonts w:ascii="Arial"/>
                <w:b/>
                <w:w w:val="108"/>
                <w:sz w:val="12"/>
              </w:rPr>
              <w:t>s</w:t>
            </w:r>
          </w:p>
        </w:tc>
      </w:tr>
      <w:tr>
        <w:trPr>
          <w:trHeight w:val="310" w:hRule="exact"/>
        </w:trPr>
        <w:tc>
          <w:tcPr>
            <w:tcW w:w="483" w:type="dxa"/>
            <w:tcBorders>
              <w:left w:val="nil"/>
              <w:bottom w:val="nil"/>
              <w:right w:val="single" w:sz="7" w:space="0" w:color="000000"/>
            </w:tcBorders>
          </w:tcPr>
          <w:p>
            <w:pPr>
              <w:pStyle w:val="TableParagraph"/>
              <w:spacing w:before="98"/>
              <w:ind w:left="150"/>
              <w:rPr>
                <w:rFonts w:ascii="Times New Roman"/>
                <w:sz w:val="17"/>
              </w:rPr>
            </w:pPr>
            <w:r>
              <w:rPr>
                <w:rFonts w:ascii="Times New Roman"/>
                <w:sz w:val="17"/>
              </w:rPr>
              <w:t>35</w:t>
            </w:r>
          </w:p>
        </w:tc>
        <w:tc>
          <w:tcPr>
            <w:tcW w:w="1466" w:type="dxa"/>
            <w:tcBorders>
              <w:left w:val="single" w:sz="7" w:space="0" w:color="000000"/>
              <w:bottom w:val="nil"/>
            </w:tcBorders>
          </w:tcPr>
          <w:p>
            <w:pPr>
              <w:pStyle w:val="TableParagraph"/>
              <w:spacing w:before="95"/>
              <w:ind w:left="297" w:right="189"/>
              <w:jc w:val="center"/>
              <w:rPr>
                <w:sz w:val="19"/>
              </w:rPr>
            </w:pPr>
            <w:r>
              <w:rPr>
                <w:w w:val="90"/>
                <w:sz w:val="19"/>
              </w:rPr>
              <w:t>8,117.923</w:t>
            </w:r>
          </w:p>
        </w:tc>
        <w:tc>
          <w:tcPr>
            <w:tcW w:w="1542" w:type="dxa"/>
            <w:tcBorders>
              <w:bottom w:val="nil"/>
            </w:tcBorders>
          </w:tcPr>
          <w:p>
            <w:pPr>
              <w:pStyle w:val="TableParagraph"/>
              <w:spacing w:before="91"/>
              <w:ind w:right="221"/>
              <w:jc w:val="right"/>
              <w:rPr>
                <w:sz w:val="19"/>
              </w:rPr>
            </w:pPr>
            <w:r>
              <w:rPr>
                <w:w w:val="80"/>
                <w:sz w:val="19"/>
              </w:rPr>
              <w:t>1,194,810.489</w:t>
            </w:r>
          </w:p>
        </w:tc>
        <w:tc>
          <w:tcPr>
            <w:tcW w:w="1708" w:type="dxa"/>
            <w:tcBorders>
              <w:bottom w:val="nil"/>
              <w:right w:val="single" w:sz="7" w:space="0" w:color="000000"/>
            </w:tcBorders>
          </w:tcPr>
          <w:p>
            <w:pPr>
              <w:pStyle w:val="TableParagraph"/>
              <w:spacing w:before="93"/>
              <w:ind w:left="51" w:right="44"/>
              <w:jc w:val="center"/>
              <w:rPr>
                <w:rFonts w:ascii="Times New Roman"/>
                <w:b/>
                <w:sz w:val="16"/>
              </w:rPr>
            </w:pPr>
            <w:r>
              <w:rPr>
                <w:rFonts w:ascii="Times New Roman"/>
                <w:b/>
                <w:w w:val="110"/>
                <w:sz w:val="16"/>
              </w:rPr>
              <w:t>38,299,460.029</w:t>
            </w:r>
          </w:p>
        </w:tc>
        <w:tc>
          <w:tcPr>
            <w:tcW w:w="486" w:type="dxa"/>
            <w:tcBorders>
              <w:left w:val="single" w:sz="7" w:space="0" w:color="000000"/>
              <w:bottom w:val="nil"/>
              <w:right w:val="nil"/>
            </w:tcBorders>
          </w:tcPr>
          <w:p>
            <w:pPr>
              <w:pStyle w:val="TableParagraph"/>
              <w:spacing w:before="93"/>
              <w:ind w:left="129" w:right="93"/>
              <w:jc w:val="center"/>
              <w:rPr>
                <w:rFonts w:ascii="Times New Roman"/>
                <w:sz w:val="16"/>
              </w:rPr>
            </w:pPr>
            <w:r>
              <w:rPr>
                <w:rFonts w:ascii="Times New Roman"/>
                <w:w w:val="105"/>
                <w:sz w:val="16"/>
              </w:rPr>
              <w:t>35</w:t>
            </w:r>
          </w:p>
        </w:tc>
      </w:tr>
      <w:tr>
        <w:trPr>
          <w:trHeight w:val="196" w:hRule="exact"/>
        </w:trPr>
        <w:tc>
          <w:tcPr>
            <w:tcW w:w="483" w:type="dxa"/>
            <w:tcBorders>
              <w:top w:val="nil"/>
              <w:left w:val="nil"/>
              <w:bottom w:val="nil"/>
              <w:right w:val="single" w:sz="7" w:space="0" w:color="000000"/>
            </w:tcBorders>
          </w:tcPr>
          <w:p>
            <w:pPr>
              <w:pStyle w:val="TableParagraph"/>
              <w:spacing w:line="195" w:lineRule="exact"/>
              <w:ind w:left="154"/>
              <w:rPr>
                <w:rFonts w:ascii="Times New Roman"/>
                <w:sz w:val="18"/>
              </w:rPr>
            </w:pPr>
            <w:r>
              <w:rPr>
                <w:rFonts w:ascii="Times New Roman"/>
                <w:sz w:val="18"/>
              </w:rPr>
              <w:t>36</w:t>
            </w:r>
          </w:p>
        </w:tc>
        <w:tc>
          <w:tcPr>
            <w:tcW w:w="1466" w:type="dxa"/>
            <w:tcBorders>
              <w:top w:val="nil"/>
              <w:left w:val="single" w:sz="7" w:space="0" w:color="000000"/>
              <w:bottom w:val="nil"/>
            </w:tcBorders>
          </w:tcPr>
          <w:p>
            <w:pPr>
              <w:pStyle w:val="TableParagraph"/>
              <w:spacing w:before="3"/>
              <w:ind w:left="263" w:right="189"/>
              <w:jc w:val="center"/>
              <w:rPr>
                <w:rFonts w:ascii="Times New Roman"/>
                <w:b/>
                <w:sz w:val="16"/>
              </w:rPr>
            </w:pPr>
            <w:r>
              <w:rPr>
                <w:rFonts w:ascii="Times New Roman"/>
                <w:b/>
                <w:w w:val="110"/>
                <w:sz w:val="16"/>
              </w:rPr>
              <w:t>8,269.0M</w:t>
            </w:r>
          </w:p>
        </w:tc>
        <w:tc>
          <w:tcPr>
            <w:tcW w:w="1542" w:type="dxa"/>
            <w:tcBorders>
              <w:top w:val="nil"/>
              <w:bottom w:val="nil"/>
            </w:tcBorders>
          </w:tcPr>
          <w:p>
            <w:pPr>
              <w:pStyle w:val="TableParagraph"/>
              <w:spacing w:line="202" w:lineRule="exact"/>
              <w:ind w:right="224"/>
              <w:jc w:val="right"/>
              <w:rPr>
                <w:sz w:val="19"/>
              </w:rPr>
            </w:pPr>
            <w:r>
              <w:rPr>
                <w:w w:val="80"/>
                <w:sz w:val="19"/>
              </w:rPr>
              <w:t>1,186,692.566</w:t>
            </w:r>
          </w:p>
        </w:tc>
        <w:tc>
          <w:tcPr>
            <w:tcW w:w="1708" w:type="dxa"/>
            <w:tcBorders>
              <w:top w:val="nil"/>
              <w:bottom w:val="nil"/>
              <w:right w:val="single" w:sz="7" w:space="0" w:color="000000"/>
            </w:tcBorders>
          </w:tcPr>
          <w:p>
            <w:pPr>
              <w:pStyle w:val="TableParagraph"/>
              <w:spacing w:line="195" w:lineRule="exact"/>
              <w:ind w:left="91" w:right="24"/>
              <w:jc w:val="center"/>
              <w:rPr>
                <w:sz w:val="19"/>
              </w:rPr>
            </w:pPr>
            <w:r>
              <w:rPr>
                <w:w w:val="95"/>
                <w:sz w:val="19"/>
              </w:rPr>
              <w:t>37,104,649.MO</w:t>
            </w:r>
          </w:p>
        </w:tc>
        <w:tc>
          <w:tcPr>
            <w:tcW w:w="486" w:type="dxa"/>
            <w:tcBorders>
              <w:top w:val="nil"/>
              <w:left w:val="single" w:sz="7" w:space="0" w:color="000000"/>
              <w:bottom w:val="nil"/>
              <w:right w:val="nil"/>
            </w:tcBorders>
          </w:tcPr>
          <w:p>
            <w:pPr>
              <w:pStyle w:val="TableParagraph"/>
              <w:spacing w:line="195" w:lineRule="exact"/>
              <w:ind w:left="138" w:right="93"/>
              <w:jc w:val="center"/>
              <w:rPr>
                <w:sz w:val="19"/>
              </w:rPr>
            </w:pPr>
            <w:r>
              <w:rPr>
                <w:w w:val="90"/>
                <w:sz w:val="19"/>
              </w:rPr>
              <w:t>36</w:t>
            </w:r>
          </w:p>
        </w:tc>
      </w:tr>
      <w:tr>
        <w:trPr>
          <w:trHeight w:val="684" w:hRule="exact"/>
        </w:trPr>
        <w:tc>
          <w:tcPr>
            <w:tcW w:w="483" w:type="dxa"/>
            <w:tcBorders>
              <w:top w:val="nil"/>
              <w:left w:val="nil"/>
              <w:bottom w:val="nil"/>
              <w:right w:val="single" w:sz="7" w:space="0" w:color="000000"/>
            </w:tcBorders>
          </w:tcPr>
          <w:p>
            <w:pPr>
              <w:pStyle w:val="TableParagraph"/>
              <w:spacing w:line="206" w:lineRule="exact"/>
              <w:ind w:left="150"/>
              <w:rPr>
                <w:sz w:val="19"/>
              </w:rPr>
            </w:pPr>
            <w:r>
              <w:rPr>
                <w:w w:val="90"/>
                <w:sz w:val="19"/>
              </w:rPr>
              <w:t>37</w:t>
            </w:r>
          </w:p>
          <w:p>
            <w:pPr>
              <w:pStyle w:val="TableParagraph"/>
              <w:spacing w:line="204" w:lineRule="exact"/>
              <w:ind w:left="150"/>
              <w:rPr>
                <w:sz w:val="19"/>
              </w:rPr>
            </w:pPr>
            <w:r>
              <w:rPr>
                <w:w w:val="95"/>
                <w:sz w:val="19"/>
              </w:rPr>
              <w:t>38</w:t>
            </w:r>
          </w:p>
          <w:p>
            <w:pPr>
              <w:pStyle w:val="TableParagraph"/>
              <w:spacing w:line="181" w:lineRule="exact"/>
              <w:ind w:left="150"/>
              <w:rPr>
                <w:rFonts w:ascii="Times New Roman"/>
                <w:sz w:val="16"/>
              </w:rPr>
            </w:pPr>
            <w:r>
              <w:rPr>
                <w:rFonts w:ascii="Times New Roman"/>
                <w:w w:val="105"/>
                <w:sz w:val="16"/>
              </w:rPr>
              <w:t>39</w:t>
            </w:r>
          </w:p>
        </w:tc>
        <w:tc>
          <w:tcPr>
            <w:tcW w:w="1466" w:type="dxa"/>
            <w:tcBorders>
              <w:top w:val="nil"/>
              <w:left w:val="single" w:sz="7" w:space="0" w:color="000000"/>
              <w:bottom w:val="nil"/>
            </w:tcBorders>
          </w:tcPr>
          <w:p>
            <w:pPr>
              <w:pStyle w:val="TableParagraph"/>
              <w:spacing w:before="5"/>
              <w:ind w:left="405"/>
              <w:rPr>
                <w:rFonts w:ascii="Times New Roman"/>
                <w:b/>
                <w:sz w:val="16"/>
              </w:rPr>
            </w:pPr>
            <w:r>
              <w:rPr>
                <w:rFonts w:ascii="Times New Roman"/>
                <w:b/>
                <w:w w:val="115"/>
                <w:sz w:val="16"/>
              </w:rPr>
              <w:t>8,492.306</w:t>
            </w:r>
          </w:p>
          <w:p>
            <w:pPr>
              <w:pStyle w:val="TableParagraph"/>
              <w:spacing w:before="13"/>
              <w:ind w:left="405"/>
              <w:rPr>
                <w:rFonts w:ascii="Times New Roman"/>
                <w:b/>
                <w:sz w:val="16"/>
              </w:rPr>
            </w:pPr>
            <w:r>
              <w:rPr>
                <w:rFonts w:ascii="Times New Roman"/>
                <w:b/>
                <w:w w:val="115"/>
                <w:sz w:val="16"/>
              </w:rPr>
              <w:t>8,838.268</w:t>
            </w:r>
          </w:p>
          <w:p>
            <w:pPr>
              <w:pStyle w:val="TableParagraph"/>
              <w:spacing w:before="5"/>
              <w:ind w:left="409"/>
              <w:rPr>
                <w:sz w:val="19"/>
              </w:rPr>
            </w:pPr>
            <w:r>
              <w:rPr>
                <w:w w:val="90"/>
                <w:sz w:val="19"/>
              </w:rPr>
              <w:t>9,237.171</w:t>
            </w:r>
          </w:p>
        </w:tc>
        <w:tc>
          <w:tcPr>
            <w:tcW w:w="1542" w:type="dxa"/>
            <w:tcBorders>
              <w:top w:val="nil"/>
              <w:bottom w:val="nil"/>
            </w:tcBorders>
          </w:tcPr>
          <w:p>
            <w:pPr>
              <w:pStyle w:val="TableParagraph"/>
              <w:spacing w:line="194" w:lineRule="exact"/>
              <w:ind w:left="269" w:right="-15"/>
              <w:rPr>
                <w:sz w:val="19"/>
              </w:rPr>
            </w:pPr>
            <w:r>
              <w:rPr>
                <w:spacing w:val="-10"/>
                <w:w w:val="85"/>
                <w:sz w:val="19"/>
              </w:rPr>
              <w:t>1,178,423.512</w:t>
            </w:r>
          </w:p>
          <w:p>
            <w:pPr>
              <w:pStyle w:val="TableParagraph"/>
              <w:spacing w:line="200" w:lineRule="exact"/>
              <w:ind w:left="265" w:right="-15"/>
              <w:rPr>
                <w:sz w:val="19"/>
              </w:rPr>
            </w:pPr>
            <w:r>
              <w:rPr>
                <w:spacing w:val="-11"/>
                <w:w w:val="80"/>
                <w:sz w:val="19"/>
              </w:rPr>
              <w:t>1,169,931</w:t>
            </w:r>
            <w:r>
              <w:rPr>
                <w:color w:val="282828"/>
                <w:spacing w:val="-11"/>
                <w:w w:val="80"/>
                <w:sz w:val="19"/>
              </w:rPr>
              <w:t>.</w:t>
            </w:r>
            <w:r>
              <w:rPr>
                <w:spacing w:val="-11"/>
                <w:w w:val="80"/>
                <w:sz w:val="19"/>
              </w:rPr>
              <w:t>?JJ7</w:t>
            </w:r>
          </w:p>
          <w:p>
            <w:pPr>
              <w:pStyle w:val="TableParagraph"/>
              <w:spacing w:line="206" w:lineRule="exact"/>
              <w:ind w:left="262" w:right="-15"/>
              <w:rPr>
                <w:sz w:val="19"/>
              </w:rPr>
            </w:pPr>
            <w:r>
              <w:rPr>
                <w:spacing w:val="-12"/>
                <w:w w:val="90"/>
                <w:sz w:val="19"/>
              </w:rPr>
              <w:t>1,161,092.949</w:t>
            </w:r>
          </w:p>
        </w:tc>
        <w:tc>
          <w:tcPr>
            <w:tcW w:w="1708" w:type="dxa"/>
            <w:tcBorders>
              <w:top w:val="nil"/>
              <w:bottom w:val="nil"/>
              <w:right w:val="single" w:sz="7" w:space="0" w:color="000000"/>
            </w:tcBorders>
          </w:tcPr>
          <w:p>
            <w:pPr>
              <w:pStyle w:val="TableParagraph"/>
              <w:spacing w:line="188" w:lineRule="exact"/>
              <w:ind w:left="296"/>
              <w:rPr>
                <w:sz w:val="19"/>
              </w:rPr>
            </w:pPr>
            <w:r>
              <w:rPr>
                <w:spacing w:val="-15"/>
                <w:w w:val="95"/>
                <w:sz w:val="19"/>
              </w:rPr>
              <w:t>35,917,956.974</w:t>
            </w:r>
          </w:p>
          <w:p>
            <w:pPr>
              <w:pStyle w:val="TableParagraph"/>
              <w:spacing w:line="204" w:lineRule="exact"/>
              <w:ind w:left="299"/>
              <w:rPr>
                <w:sz w:val="19"/>
              </w:rPr>
            </w:pPr>
            <w:r>
              <w:rPr>
                <w:w w:val="74"/>
                <w:sz w:val="19"/>
              </w:rPr>
              <w:t>34</w:t>
            </w:r>
            <w:r>
              <w:rPr>
                <w:spacing w:val="-20"/>
                <w:w w:val="74"/>
                <w:sz w:val="19"/>
              </w:rPr>
              <w:t>,</w:t>
            </w:r>
            <w:r>
              <w:rPr>
                <w:w w:val="80"/>
                <w:sz w:val="19"/>
              </w:rPr>
              <w:t>7</w:t>
            </w:r>
            <w:r>
              <w:rPr>
                <w:spacing w:val="-31"/>
                <w:w w:val="80"/>
                <w:sz w:val="19"/>
              </w:rPr>
              <w:t>3</w:t>
            </w:r>
            <w:r>
              <w:rPr>
                <w:w w:val="87"/>
                <w:sz w:val="19"/>
              </w:rPr>
              <w:t>9</w:t>
            </w:r>
            <w:r>
              <w:rPr>
                <w:spacing w:val="-40"/>
                <w:w w:val="87"/>
                <w:sz w:val="19"/>
              </w:rPr>
              <w:t>,</w:t>
            </w:r>
            <w:r>
              <w:rPr>
                <w:w w:val="75"/>
                <w:sz w:val="19"/>
              </w:rPr>
              <w:t>53</w:t>
            </w:r>
            <w:r>
              <w:rPr>
                <w:spacing w:val="9"/>
                <w:w w:val="75"/>
                <w:sz w:val="19"/>
              </w:rPr>
              <w:t>3</w:t>
            </w:r>
            <w:r>
              <w:rPr>
                <w:spacing w:val="-67"/>
                <w:w w:val="98"/>
                <w:sz w:val="19"/>
              </w:rPr>
              <w:t>.</w:t>
            </w:r>
            <w:r>
              <w:rPr>
                <w:w w:val="79"/>
                <w:sz w:val="19"/>
              </w:rPr>
              <w:t>462</w:t>
            </w:r>
          </w:p>
          <w:p>
            <w:pPr>
              <w:pStyle w:val="TableParagraph"/>
              <w:spacing w:line="181" w:lineRule="exact"/>
              <w:ind w:left="299"/>
              <w:rPr>
                <w:rFonts w:ascii="Times New Roman"/>
                <w:b/>
                <w:sz w:val="16"/>
              </w:rPr>
            </w:pPr>
            <w:r>
              <w:rPr>
                <w:rFonts w:ascii="Times New Roman"/>
                <w:b/>
                <w:w w:val="110"/>
                <w:sz w:val="16"/>
              </w:rPr>
              <w:t>33,669,602.256</w:t>
            </w:r>
          </w:p>
        </w:tc>
        <w:tc>
          <w:tcPr>
            <w:tcW w:w="486" w:type="dxa"/>
            <w:tcBorders>
              <w:top w:val="nil"/>
              <w:left w:val="single" w:sz="7" w:space="0" w:color="000000"/>
              <w:bottom w:val="nil"/>
              <w:right w:val="nil"/>
            </w:tcBorders>
          </w:tcPr>
          <w:p>
            <w:pPr>
              <w:pStyle w:val="TableParagraph"/>
              <w:spacing w:line="188" w:lineRule="exact"/>
              <w:ind w:left="172"/>
              <w:rPr>
                <w:sz w:val="19"/>
              </w:rPr>
            </w:pPr>
            <w:r>
              <w:rPr>
                <w:sz w:val="19"/>
              </w:rPr>
              <w:t>37</w:t>
            </w:r>
          </w:p>
          <w:p>
            <w:pPr>
              <w:pStyle w:val="TableParagraph"/>
              <w:spacing w:line="200" w:lineRule="exact"/>
              <w:ind w:left="172"/>
              <w:rPr>
                <w:sz w:val="19"/>
              </w:rPr>
            </w:pPr>
            <w:r>
              <w:rPr>
                <w:w w:val="90"/>
                <w:sz w:val="19"/>
              </w:rPr>
              <w:t>38</w:t>
            </w:r>
          </w:p>
          <w:p>
            <w:pPr>
              <w:pStyle w:val="TableParagraph"/>
              <w:spacing w:line="208" w:lineRule="exact"/>
              <w:ind w:left="172"/>
              <w:rPr>
                <w:sz w:val="19"/>
              </w:rPr>
            </w:pPr>
            <w:r>
              <w:rPr>
                <w:w w:val="90"/>
                <w:sz w:val="19"/>
              </w:rPr>
              <w:t>39</w:t>
            </w:r>
          </w:p>
        </w:tc>
      </w:tr>
      <w:tr>
        <w:trPr>
          <w:trHeight w:val="1213" w:hRule="exact"/>
        </w:trPr>
        <w:tc>
          <w:tcPr>
            <w:tcW w:w="483" w:type="dxa"/>
            <w:tcBorders>
              <w:top w:val="nil"/>
              <w:left w:val="nil"/>
              <w:bottom w:val="nil"/>
              <w:right w:val="single" w:sz="7" w:space="0" w:color="000000"/>
            </w:tcBorders>
          </w:tcPr>
          <w:p>
            <w:pPr>
              <w:pStyle w:val="TableParagraph"/>
              <w:spacing w:before="100"/>
              <w:ind w:left="150"/>
              <w:rPr>
                <w:rFonts w:ascii="Times New Roman"/>
                <w:sz w:val="18"/>
              </w:rPr>
            </w:pPr>
            <w:r>
              <w:rPr>
                <w:rFonts w:ascii="Times New Roman"/>
                <w:sz w:val="18"/>
              </w:rPr>
              <w:t>40</w:t>
            </w:r>
          </w:p>
          <w:p>
            <w:pPr>
              <w:pStyle w:val="TableParagraph"/>
              <w:spacing w:line="208" w:lineRule="exact"/>
              <w:ind w:left="147"/>
              <w:rPr>
                <w:sz w:val="19"/>
              </w:rPr>
            </w:pPr>
            <w:r>
              <w:rPr>
                <w:sz w:val="19"/>
              </w:rPr>
              <w:t>41</w:t>
            </w:r>
          </w:p>
          <w:p>
            <w:pPr>
              <w:pStyle w:val="TableParagraph"/>
              <w:spacing w:line="201" w:lineRule="exact"/>
              <w:ind w:left="147"/>
              <w:rPr>
                <w:sz w:val="19"/>
              </w:rPr>
            </w:pPr>
            <w:r>
              <w:rPr>
                <w:w w:val="105"/>
                <w:sz w:val="19"/>
              </w:rPr>
              <w:t>42</w:t>
            </w:r>
          </w:p>
          <w:p>
            <w:pPr>
              <w:pStyle w:val="TableParagraph"/>
              <w:spacing w:line="196" w:lineRule="exact"/>
              <w:ind w:left="147"/>
              <w:rPr>
                <w:sz w:val="19"/>
              </w:rPr>
            </w:pPr>
            <w:r>
              <w:rPr>
                <w:sz w:val="19"/>
              </w:rPr>
              <w:t>43</w:t>
            </w:r>
          </w:p>
          <w:p>
            <w:pPr>
              <w:pStyle w:val="TableParagraph"/>
              <w:spacing w:line="195" w:lineRule="exact"/>
              <w:ind w:left="143"/>
              <w:rPr>
                <w:rFonts w:ascii="Times New Roman"/>
                <w:sz w:val="18"/>
              </w:rPr>
            </w:pPr>
            <w:r>
              <w:rPr>
                <w:rFonts w:ascii="Times New Roman"/>
                <w:sz w:val="18"/>
              </w:rPr>
              <w:t>44</w:t>
            </w:r>
          </w:p>
        </w:tc>
        <w:tc>
          <w:tcPr>
            <w:tcW w:w="1466" w:type="dxa"/>
            <w:tcBorders>
              <w:top w:val="nil"/>
              <w:left w:val="single" w:sz="7" w:space="0" w:color="000000"/>
              <w:bottom w:val="nil"/>
            </w:tcBorders>
          </w:tcPr>
          <w:p>
            <w:pPr>
              <w:pStyle w:val="TableParagraph"/>
              <w:spacing w:line="206" w:lineRule="exact" w:before="110"/>
              <w:ind w:left="341"/>
              <w:rPr>
                <w:sz w:val="19"/>
              </w:rPr>
            </w:pPr>
            <w:r>
              <w:rPr>
                <w:spacing w:val="-155"/>
                <w:w w:val="148"/>
                <w:sz w:val="19"/>
              </w:rPr>
              <w:t>·</w:t>
            </w:r>
            <w:r>
              <w:rPr>
                <w:w w:val="85"/>
                <w:sz w:val="19"/>
              </w:rPr>
              <w:t>9</w:t>
            </w:r>
            <w:r>
              <w:rPr>
                <w:spacing w:val="-35"/>
                <w:w w:val="85"/>
                <w:sz w:val="19"/>
              </w:rPr>
              <w:t>,</w:t>
            </w:r>
            <w:r>
              <w:rPr>
                <w:spacing w:val="-37"/>
                <w:w w:val="97"/>
                <w:sz w:val="19"/>
              </w:rPr>
              <w:t>7</w:t>
            </w:r>
            <w:r>
              <w:rPr>
                <w:w w:val="82"/>
                <w:sz w:val="19"/>
              </w:rPr>
              <w:t>0</w:t>
            </w:r>
            <w:r>
              <w:rPr>
                <w:spacing w:val="1"/>
                <w:w w:val="82"/>
                <w:sz w:val="19"/>
              </w:rPr>
              <w:t>9</w:t>
            </w:r>
            <w:r>
              <w:rPr>
                <w:w w:val="74"/>
                <w:sz w:val="19"/>
              </w:rPr>
              <w:t>.2</w:t>
            </w:r>
            <w:r>
              <w:rPr>
                <w:spacing w:val="-38"/>
                <w:w w:val="74"/>
                <w:sz w:val="19"/>
              </w:rPr>
              <w:t>2</w:t>
            </w:r>
            <w:r>
              <w:rPr>
                <w:w w:val="72"/>
                <w:sz w:val="19"/>
              </w:rPr>
              <w:t>1</w:t>
            </w:r>
          </w:p>
          <w:p>
            <w:pPr>
              <w:pStyle w:val="TableParagraph"/>
              <w:spacing w:line="200" w:lineRule="exact"/>
              <w:ind w:left="340"/>
              <w:rPr>
                <w:sz w:val="19"/>
              </w:rPr>
            </w:pPr>
            <w:r>
              <w:rPr>
                <w:w w:val="90"/>
                <w:sz w:val="19"/>
              </w:rPr>
              <w:t>10,218.176</w:t>
            </w:r>
          </w:p>
          <w:p>
            <w:pPr>
              <w:pStyle w:val="TableParagraph"/>
              <w:spacing w:line="200" w:lineRule="exact"/>
              <w:ind w:left="340"/>
              <w:rPr>
                <w:sz w:val="19"/>
              </w:rPr>
            </w:pPr>
            <w:r>
              <w:rPr>
                <w:w w:val="90"/>
                <w:sz w:val="19"/>
              </w:rPr>
              <w:t>10,731.609</w:t>
            </w:r>
          </w:p>
          <w:p>
            <w:pPr>
              <w:pStyle w:val="TableParagraph"/>
              <w:spacing w:line="200" w:lineRule="exact"/>
              <w:ind w:left="337"/>
              <w:rPr>
                <w:sz w:val="19"/>
              </w:rPr>
            </w:pPr>
            <w:r>
              <w:rPr>
                <w:w w:val="80"/>
                <w:sz w:val="19"/>
              </w:rPr>
              <w:t>11,271.289</w:t>
            </w:r>
          </w:p>
          <w:p>
            <w:pPr>
              <w:pStyle w:val="TableParagraph"/>
              <w:spacing w:line="208" w:lineRule="exact"/>
              <w:ind w:left="337"/>
              <w:rPr>
                <w:sz w:val="19"/>
              </w:rPr>
            </w:pPr>
            <w:r>
              <w:rPr>
                <w:w w:val="80"/>
                <w:sz w:val="19"/>
              </w:rPr>
              <w:t>11,831.248</w:t>
            </w:r>
          </w:p>
        </w:tc>
        <w:tc>
          <w:tcPr>
            <w:tcW w:w="1542" w:type="dxa"/>
            <w:tcBorders>
              <w:top w:val="nil"/>
              <w:bottom w:val="nil"/>
            </w:tcBorders>
          </w:tcPr>
          <w:p>
            <w:pPr>
              <w:pStyle w:val="TableParagraph"/>
              <w:spacing w:line="208" w:lineRule="exact" w:before="99"/>
              <w:ind w:left="262" w:right="-15"/>
              <w:rPr>
                <w:sz w:val="19"/>
              </w:rPr>
            </w:pPr>
            <w:r>
              <w:rPr>
                <w:spacing w:val="-12"/>
                <w:w w:val="90"/>
                <w:sz w:val="19"/>
              </w:rPr>
              <w:t>1,151,855.778</w:t>
            </w:r>
          </w:p>
          <w:p>
            <w:pPr>
              <w:pStyle w:val="TableParagraph"/>
              <w:spacing w:line="200" w:lineRule="exact"/>
              <w:ind w:left="262" w:right="-15"/>
              <w:rPr>
                <w:sz w:val="19"/>
              </w:rPr>
            </w:pPr>
            <w:r>
              <w:rPr>
                <w:spacing w:val="-12"/>
                <w:w w:val="90"/>
                <w:sz w:val="19"/>
              </w:rPr>
              <w:t>1,142,146.557</w:t>
            </w:r>
          </w:p>
          <w:p>
            <w:pPr>
              <w:pStyle w:val="TableParagraph"/>
              <w:spacing w:line="200" w:lineRule="exact"/>
              <w:ind w:left="262" w:right="-15"/>
              <w:rPr>
                <w:sz w:val="19"/>
              </w:rPr>
            </w:pPr>
            <w:r>
              <w:rPr>
                <w:w w:val="85"/>
                <w:sz w:val="19"/>
              </w:rPr>
              <w:t>1,131,928.381</w:t>
            </w:r>
          </w:p>
          <w:p>
            <w:pPr>
              <w:pStyle w:val="TableParagraph"/>
              <w:spacing w:line="199" w:lineRule="exact"/>
              <w:ind w:left="258" w:right="-15"/>
              <w:rPr>
                <w:sz w:val="19"/>
              </w:rPr>
            </w:pPr>
            <w:r>
              <w:rPr>
                <w:spacing w:val="-1"/>
                <w:w w:val="80"/>
                <w:sz w:val="19"/>
              </w:rPr>
              <w:t>1,121,196</w:t>
            </w:r>
            <w:r>
              <w:rPr>
                <w:spacing w:val="-68"/>
                <w:w w:val="80"/>
                <w:sz w:val="19"/>
              </w:rPr>
              <w:t> </w:t>
            </w:r>
            <w:r>
              <w:rPr>
                <w:spacing w:val="-35"/>
                <w:w w:val="80"/>
                <w:sz w:val="19"/>
              </w:rPr>
              <w:t>.772</w:t>
            </w:r>
          </w:p>
          <w:p>
            <w:pPr>
              <w:pStyle w:val="TableParagraph"/>
              <w:spacing w:line="186" w:lineRule="exact"/>
              <w:ind w:left="262" w:right="-15"/>
              <w:rPr>
                <w:rFonts w:ascii="Times New Roman"/>
                <w:sz w:val="17"/>
              </w:rPr>
            </w:pPr>
            <w:r>
              <w:rPr>
                <w:rFonts w:ascii="Times New Roman"/>
                <w:w w:val="110"/>
                <w:sz w:val="17"/>
              </w:rPr>
              <w:t>1,109,925.483</w:t>
            </w:r>
          </w:p>
        </w:tc>
        <w:tc>
          <w:tcPr>
            <w:tcW w:w="1708" w:type="dxa"/>
            <w:tcBorders>
              <w:top w:val="nil"/>
              <w:bottom w:val="nil"/>
              <w:right w:val="single" w:sz="7" w:space="0" w:color="000000"/>
            </w:tcBorders>
          </w:tcPr>
          <w:p>
            <w:pPr>
              <w:pStyle w:val="TableParagraph"/>
              <w:spacing w:line="208" w:lineRule="exact" w:before="96"/>
              <w:ind w:left="299"/>
              <w:rPr>
                <w:sz w:val="19"/>
              </w:rPr>
            </w:pPr>
            <w:r>
              <w:rPr>
                <w:w w:val="85"/>
                <w:sz w:val="19"/>
              </w:rPr>
              <w:t>32,408,509.306</w:t>
            </w:r>
          </w:p>
          <w:p>
            <w:pPr>
              <w:pStyle w:val="TableParagraph"/>
              <w:spacing w:line="200" w:lineRule="exact"/>
              <w:ind w:left="296"/>
              <w:rPr>
                <w:sz w:val="19"/>
              </w:rPr>
            </w:pPr>
            <w:r>
              <w:rPr>
                <w:w w:val="85"/>
                <w:sz w:val="19"/>
              </w:rPr>
              <w:t>31,256,653.528</w:t>
            </w:r>
          </w:p>
          <w:p>
            <w:pPr>
              <w:pStyle w:val="TableParagraph"/>
              <w:spacing w:line="200" w:lineRule="exact"/>
              <w:ind w:left="296"/>
              <w:rPr>
                <w:sz w:val="19"/>
              </w:rPr>
            </w:pPr>
            <w:r>
              <w:rPr>
                <w:w w:val="85"/>
                <w:sz w:val="19"/>
              </w:rPr>
              <w:t>30,114,506.971</w:t>
            </w:r>
          </w:p>
          <w:p>
            <w:pPr>
              <w:pStyle w:val="TableParagraph"/>
              <w:spacing w:line="201" w:lineRule="exact"/>
              <w:ind w:left="296"/>
              <w:rPr>
                <w:sz w:val="19"/>
              </w:rPr>
            </w:pPr>
            <w:r>
              <w:rPr>
                <w:spacing w:val="-20"/>
                <w:w w:val="95"/>
                <w:sz w:val="19"/>
              </w:rPr>
              <w:t>28,982,578.590</w:t>
            </w:r>
          </w:p>
          <w:p>
            <w:pPr>
              <w:pStyle w:val="TableParagraph"/>
              <w:spacing w:line="208" w:lineRule="exact"/>
              <w:ind w:left="296"/>
              <w:rPr>
                <w:sz w:val="19"/>
              </w:rPr>
            </w:pPr>
            <w:r>
              <w:rPr>
                <w:w w:val="85"/>
                <w:sz w:val="19"/>
              </w:rPr>
              <w:t>27,861,381.818</w:t>
            </w:r>
          </w:p>
        </w:tc>
        <w:tc>
          <w:tcPr>
            <w:tcW w:w="486" w:type="dxa"/>
            <w:tcBorders>
              <w:top w:val="nil"/>
              <w:left w:val="single" w:sz="7" w:space="0" w:color="000000"/>
              <w:bottom w:val="nil"/>
              <w:right w:val="nil"/>
            </w:tcBorders>
          </w:tcPr>
          <w:p>
            <w:pPr>
              <w:pStyle w:val="TableParagraph"/>
              <w:spacing w:line="237" w:lineRule="exact" w:before="57"/>
              <w:ind w:left="172"/>
              <w:rPr>
                <w:rFonts w:ascii="Arial"/>
                <w:sz w:val="21"/>
              </w:rPr>
            </w:pPr>
            <w:r>
              <w:rPr>
                <w:rFonts w:ascii="Arial"/>
                <w:sz w:val="21"/>
              </w:rPr>
              <w:t>..o</w:t>
            </w:r>
          </w:p>
          <w:p>
            <w:pPr>
              <w:pStyle w:val="TableParagraph"/>
              <w:spacing w:line="202" w:lineRule="exact"/>
              <w:ind w:left="168"/>
              <w:rPr>
                <w:sz w:val="19"/>
              </w:rPr>
            </w:pPr>
            <w:r>
              <w:rPr>
                <w:w w:val="95"/>
                <w:sz w:val="19"/>
              </w:rPr>
              <w:t>41</w:t>
            </w:r>
          </w:p>
          <w:p>
            <w:pPr>
              <w:pStyle w:val="TableParagraph"/>
              <w:spacing w:line="201" w:lineRule="exact"/>
              <w:ind w:left="168"/>
              <w:rPr>
                <w:sz w:val="19"/>
              </w:rPr>
            </w:pPr>
            <w:r>
              <w:rPr>
                <w:w w:val="105"/>
                <w:sz w:val="19"/>
              </w:rPr>
              <w:t>42</w:t>
            </w:r>
          </w:p>
          <w:p>
            <w:pPr>
              <w:pStyle w:val="TableParagraph"/>
              <w:spacing w:line="198" w:lineRule="exact"/>
              <w:ind w:left="165"/>
              <w:rPr>
                <w:sz w:val="19"/>
              </w:rPr>
            </w:pPr>
            <w:r>
              <w:rPr>
                <w:sz w:val="19"/>
              </w:rPr>
              <w:t>43</w:t>
            </w:r>
          </w:p>
          <w:p>
            <w:pPr>
              <w:pStyle w:val="TableParagraph"/>
              <w:spacing w:line="195" w:lineRule="exact"/>
              <w:ind w:left="161"/>
              <w:rPr>
                <w:rFonts w:ascii="Times New Roman"/>
                <w:sz w:val="18"/>
              </w:rPr>
            </w:pPr>
            <w:r>
              <w:rPr>
                <w:rFonts w:ascii="Times New Roman"/>
                <w:sz w:val="18"/>
              </w:rPr>
              <w:t>44</w:t>
            </w:r>
          </w:p>
        </w:tc>
      </w:tr>
      <w:tr>
        <w:trPr>
          <w:trHeight w:val="705" w:hRule="exact"/>
        </w:trPr>
        <w:tc>
          <w:tcPr>
            <w:tcW w:w="483" w:type="dxa"/>
            <w:tcBorders>
              <w:top w:val="nil"/>
              <w:left w:val="nil"/>
              <w:bottom w:val="nil"/>
            </w:tcBorders>
          </w:tcPr>
          <w:p>
            <w:pPr>
              <w:pStyle w:val="TableParagraph"/>
              <w:spacing w:line="208" w:lineRule="exact" w:before="95"/>
              <w:ind w:left="143"/>
              <w:rPr>
                <w:sz w:val="19"/>
              </w:rPr>
            </w:pPr>
            <w:r>
              <w:rPr>
                <w:sz w:val="19"/>
              </w:rPr>
              <w:t>45</w:t>
            </w:r>
          </w:p>
          <w:p>
            <w:pPr>
              <w:pStyle w:val="TableParagraph"/>
              <w:spacing w:line="201" w:lineRule="exact"/>
              <w:ind w:left="147"/>
              <w:rPr>
                <w:sz w:val="19"/>
              </w:rPr>
            </w:pPr>
            <w:r>
              <w:rPr>
                <w:w w:val="105"/>
                <w:sz w:val="19"/>
              </w:rPr>
              <w:t>46</w:t>
            </w:r>
          </w:p>
          <w:p>
            <w:pPr>
              <w:pStyle w:val="TableParagraph"/>
              <w:spacing w:line="208" w:lineRule="exact"/>
              <w:ind w:left="143"/>
              <w:rPr>
                <w:sz w:val="19"/>
              </w:rPr>
            </w:pPr>
            <w:r>
              <w:rPr>
                <w:sz w:val="19"/>
              </w:rPr>
              <w:t>47</w:t>
            </w:r>
          </w:p>
        </w:tc>
        <w:tc>
          <w:tcPr>
            <w:tcW w:w="1466" w:type="dxa"/>
            <w:tcBorders>
              <w:top w:val="nil"/>
              <w:bottom w:val="nil"/>
            </w:tcBorders>
          </w:tcPr>
          <w:p>
            <w:pPr>
              <w:pStyle w:val="TableParagraph"/>
              <w:spacing w:line="208" w:lineRule="exact" w:before="95"/>
              <w:ind w:left="339"/>
              <w:rPr>
                <w:sz w:val="19"/>
              </w:rPr>
            </w:pPr>
            <w:r>
              <w:rPr>
                <w:w w:val="85"/>
                <w:sz w:val="19"/>
              </w:rPr>
              <w:t>12,429.129</w:t>
            </w:r>
          </w:p>
          <w:p>
            <w:pPr>
              <w:pStyle w:val="TableParagraph"/>
              <w:spacing w:line="200" w:lineRule="exact"/>
              <w:ind w:left="342"/>
              <w:rPr>
                <w:sz w:val="19"/>
              </w:rPr>
            </w:pPr>
            <w:r>
              <w:rPr>
                <w:w w:val="85"/>
                <w:sz w:val="19"/>
              </w:rPr>
              <w:t>13,079.355</w:t>
            </w:r>
          </w:p>
          <w:p>
            <w:pPr>
              <w:pStyle w:val="TableParagraph"/>
              <w:spacing w:line="206" w:lineRule="exact"/>
              <w:ind w:left="335"/>
              <w:rPr>
                <w:sz w:val="19"/>
              </w:rPr>
            </w:pPr>
            <w:r>
              <w:rPr>
                <w:w w:val="90"/>
                <w:sz w:val="19"/>
              </w:rPr>
              <w:t>13,772.152</w:t>
            </w:r>
          </w:p>
        </w:tc>
        <w:tc>
          <w:tcPr>
            <w:tcW w:w="1542" w:type="dxa"/>
            <w:tcBorders>
              <w:top w:val="nil"/>
              <w:bottom w:val="nil"/>
            </w:tcBorders>
          </w:tcPr>
          <w:p>
            <w:pPr>
              <w:pStyle w:val="TableParagraph"/>
              <w:spacing w:line="208" w:lineRule="exact" w:before="88"/>
              <w:ind w:left="258" w:right="-15"/>
              <w:rPr>
                <w:sz w:val="19"/>
              </w:rPr>
            </w:pPr>
            <w:r>
              <w:rPr>
                <w:w w:val="80"/>
                <w:sz w:val="19"/>
              </w:rPr>
              <w:t>1,098,094.235</w:t>
            </w:r>
          </w:p>
          <w:p>
            <w:pPr>
              <w:pStyle w:val="TableParagraph"/>
              <w:spacing w:line="200" w:lineRule="exact"/>
              <w:ind w:left="258" w:right="-11"/>
              <w:rPr>
                <w:sz w:val="19"/>
              </w:rPr>
            </w:pPr>
            <w:r>
              <w:rPr>
                <w:w w:val="85"/>
                <w:sz w:val="19"/>
              </w:rPr>
              <w:t>1,085,665.106</w:t>
            </w:r>
          </w:p>
          <w:p>
            <w:pPr>
              <w:pStyle w:val="TableParagraph"/>
              <w:spacing w:line="206" w:lineRule="exact"/>
              <w:ind w:left="258" w:right="-15"/>
              <w:rPr>
                <w:sz w:val="19"/>
              </w:rPr>
            </w:pPr>
            <w:r>
              <w:rPr>
                <w:spacing w:val="-14"/>
                <w:w w:val="90"/>
                <w:sz w:val="19"/>
              </w:rPr>
              <w:t>1,072,585.751</w:t>
            </w:r>
          </w:p>
        </w:tc>
        <w:tc>
          <w:tcPr>
            <w:tcW w:w="1708" w:type="dxa"/>
            <w:tcBorders>
              <w:top w:val="nil"/>
              <w:bottom w:val="nil"/>
              <w:right w:val="single" w:sz="7" w:space="0" w:color="000000"/>
            </w:tcBorders>
          </w:tcPr>
          <w:p>
            <w:pPr>
              <w:pStyle w:val="TableParagraph"/>
              <w:spacing w:line="208" w:lineRule="exact" w:before="84"/>
              <w:ind w:left="296"/>
              <w:rPr>
                <w:sz w:val="19"/>
              </w:rPr>
            </w:pPr>
            <w:r>
              <w:rPr>
                <w:spacing w:val="-13"/>
                <w:w w:val="90"/>
                <w:sz w:val="19"/>
              </w:rPr>
              <w:t>26,751,456.335</w:t>
            </w:r>
          </w:p>
          <w:p>
            <w:pPr>
              <w:pStyle w:val="TableParagraph"/>
              <w:spacing w:line="201" w:lineRule="exact"/>
              <w:ind w:left="296"/>
              <w:rPr>
                <w:sz w:val="19"/>
              </w:rPr>
            </w:pPr>
            <w:r>
              <w:rPr>
                <w:spacing w:val="-12"/>
                <w:w w:val="90"/>
                <w:sz w:val="19"/>
              </w:rPr>
              <w:t>25,653,362.100</w:t>
            </w:r>
          </w:p>
          <w:p>
            <w:pPr>
              <w:pStyle w:val="TableParagraph"/>
              <w:spacing w:line="208" w:lineRule="exact"/>
              <w:ind w:left="296"/>
              <w:rPr>
                <w:sz w:val="19"/>
              </w:rPr>
            </w:pPr>
            <w:r>
              <w:rPr>
                <w:w w:val="85"/>
                <w:sz w:val="19"/>
              </w:rPr>
              <w:t>24,567,696.994</w:t>
            </w:r>
          </w:p>
        </w:tc>
        <w:tc>
          <w:tcPr>
            <w:tcW w:w="486" w:type="dxa"/>
            <w:tcBorders>
              <w:top w:val="nil"/>
              <w:left w:val="single" w:sz="7" w:space="0" w:color="000000"/>
              <w:bottom w:val="nil"/>
              <w:right w:val="nil"/>
            </w:tcBorders>
          </w:tcPr>
          <w:p>
            <w:pPr>
              <w:pStyle w:val="TableParagraph"/>
              <w:spacing w:line="207" w:lineRule="exact" w:before="77"/>
              <w:ind w:left="165"/>
              <w:rPr>
                <w:sz w:val="19"/>
              </w:rPr>
            </w:pPr>
            <w:r>
              <w:rPr>
                <w:sz w:val="19"/>
              </w:rPr>
              <w:t>45</w:t>
            </w:r>
          </w:p>
          <w:p>
            <w:pPr>
              <w:pStyle w:val="TableParagraph"/>
              <w:spacing w:line="195" w:lineRule="exact"/>
              <w:ind w:left="168"/>
              <w:rPr>
                <w:rFonts w:ascii="Times New Roman"/>
                <w:sz w:val="18"/>
              </w:rPr>
            </w:pPr>
            <w:r>
              <w:rPr>
                <w:rFonts w:ascii="Times New Roman"/>
                <w:sz w:val="18"/>
              </w:rPr>
              <w:t>46</w:t>
            </w:r>
          </w:p>
          <w:p>
            <w:pPr>
              <w:pStyle w:val="TableParagraph"/>
              <w:spacing w:line="212" w:lineRule="exact"/>
              <w:ind w:left="165"/>
              <w:rPr>
                <w:sz w:val="19"/>
              </w:rPr>
            </w:pPr>
            <w:r>
              <w:rPr>
                <w:w w:val="105"/>
                <w:sz w:val="19"/>
              </w:rPr>
              <w:t>47</w:t>
            </w:r>
          </w:p>
        </w:tc>
      </w:tr>
      <w:tr>
        <w:trPr>
          <w:trHeight w:val="498" w:hRule="exact"/>
        </w:trPr>
        <w:tc>
          <w:tcPr>
            <w:tcW w:w="483" w:type="dxa"/>
            <w:tcBorders>
              <w:top w:val="nil"/>
              <w:left w:val="nil"/>
              <w:bottom w:val="nil"/>
            </w:tcBorders>
          </w:tcPr>
          <w:p>
            <w:pPr>
              <w:pStyle w:val="TableParagraph"/>
              <w:spacing w:line="197" w:lineRule="exact" w:before="2"/>
              <w:ind w:left="147"/>
              <w:rPr>
                <w:b/>
                <w:sz w:val="18"/>
              </w:rPr>
            </w:pPr>
            <w:r>
              <w:rPr>
                <w:b/>
                <w:sz w:val="18"/>
              </w:rPr>
              <w:t>48</w:t>
            </w:r>
          </w:p>
          <w:p>
            <w:pPr>
              <w:pStyle w:val="TableParagraph"/>
              <w:spacing w:line="208" w:lineRule="exact"/>
              <w:ind w:left="147"/>
              <w:rPr>
                <w:sz w:val="19"/>
              </w:rPr>
            </w:pPr>
            <w:r>
              <w:rPr>
                <w:w w:val="105"/>
                <w:sz w:val="19"/>
              </w:rPr>
              <w:t>49</w:t>
            </w:r>
          </w:p>
        </w:tc>
        <w:tc>
          <w:tcPr>
            <w:tcW w:w="1466" w:type="dxa"/>
            <w:tcBorders>
              <w:top w:val="nil"/>
              <w:bottom w:val="nil"/>
            </w:tcBorders>
          </w:tcPr>
          <w:p>
            <w:pPr>
              <w:pStyle w:val="TableParagraph"/>
              <w:spacing w:line="199" w:lineRule="exact"/>
              <w:ind w:left="339"/>
              <w:rPr>
                <w:sz w:val="19"/>
              </w:rPr>
            </w:pPr>
            <w:r>
              <w:rPr>
                <w:w w:val="90"/>
                <w:sz w:val="19"/>
              </w:rPr>
              <w:t>14,518.518</w:t>
            </w:r>
          </w:p>
          <w:p>
            <w:pPr>
              <w:pStyle w:val="TableParagraph"/>
              <w:spacing w:line="208" w:lineRule="exact"/>
              <w:ind w:left="342"/>
              <w:rPr>
                <w:sz w:val="19"/>
              </w:rPr>
            </w:pPr>
            <w:r>
              <w:rPr>
                <w:w w:val="80"/>
                <w:sz w:val="19"/>
              </w:rPr>
              <w:t>15,306.897</w:t>
            </w:r>
          </w:p>
        </w:tc>
        <w:tc>
          <w:tcPr>
            <w:tcW w:w="1542" w:type="dxa"/>
            <w:tcBorders>
              <w:top w:val="nil"/>
              <w:bottom w:val="nil"/>
            </w:tcBorders>
          </w:tcPr>
          <w:p>
            <w:pPr>
              <w:pStyle w:val="TableParagraph"/>
              <w:spacing w:line="192" w:lineRule="exact"/>
              <w:ind w:left="258" w:right="-15"/>
              <w:rPr>
                <w:sz w:val="19"/>
              </w:rPr>
            </w:pPr>
            <w:r>
              <w:rPr>
                <w:rFonts w:ascii="Times New Roman"/>
                <w:w w:val="80"/>
                <w:sz w:val="17"/>
              </w:rPr>
              <w:t>J </w:t>
            </w:r>
            <w:r>
              <w:rPr>
                <w:w w:val="80"/>
                <w:sz w:val="19"/>
              </w:rPr>
              <w:t>,058,813.599</w:t>
            </w:r>
          </w:p>
          <w:p>
            <w:pPr>
              <w:pStyle w:val="TableParagraph"/>
              <w:spacing w:line="208" w:lineRule="exact"/>
              <w:ind w:left="262" w:right="-15"/>
              <w:rPr>
                <w:sz w:val="19"/>
              </w:rPr>
            </w:pPr>
            <w:r>
              <w:rPr>
                <w:w w:val="70"/>
                <w:sz w:val="19"/>
              </w:rPr>
              <w:t>1,044,295 .081</w:t>
            </w:r>
          </w:p>
        </w:tc>
        <w:tc>
          <w:tcPr>
            <w:tcW w:w="1708" w:type="dxa"/>
            <w:tcBorders>
              <w:top w:val="nil"/>
              <w:bottom w:val="nil"/>
              <w:right w:val="single" w:sz="7" w:space="0" w:color="000000"/>
            </w:tcBorders>
          </w:tcPr>
          <w:p>
            <w:pPr>
              <w:pStyle w:val="TableParagraph"/>
              <w:spacing w:line="188" w:lineRule="exact"/>
              <w:ind w:left="296"/>
              <w:rPr>
                <w:sz w:val="19"/>
              </w:rPr>
            </w:pPr>
            <w:r>
              <w:rPr>
                <w:w w:val="85"/>
                <w:sz w:val="19"/>
              </w:rPr>
              <w:t>23,495,111.243</w:t>
            </w:r>
          </w:p>
          <w:p>
            <w:pPr>
              <w:pStyle w:val="TableParagraph"/>
              <w:spacing w:line="208" w:lineRule="exact"/>
              <w:ind w:left="296"/>
              <w:rPr>
                <w:sz w:val="19"/>
              </w:rPr>
            </w:pPr>
            <w:r>
              <w:rPr>
                <w:w w:val="85"/>
                <w:sz w:val="19"/>
              </w:rPr>
              <w:t>22,436,297.644</w:t>
            </w:r>
          </w:p>
        </w:tc>
        <w:tc>
          <w:tcPr>
            <w:tcW w:w="486" w:type="dxa"/>
            <w:tcBorders>
              <w:top w:val="nil"/>
              <w:left w:val="single" w:sz="7" w:space="0" w:color="000000"/>
              <w:bottom w:val="nil"/>
              <w:right w:val="nil"/>
            </w:tcBorders>
          </w:tcPr>
          <w:p>
            <w:pPr>
              <w:pStyle w:val="TableParagraph"/>
              <w:spacing w:line="173" w:lineRule="exact"/>
              <w:ind w:left="161"/>
              <w:rPr>
                <w:rFonts w:ascii="Times New Roman"/>
                <w:sz w:val="16"/>
              </w:rPr>
            </w:pPr>
            <w:r>
              <w:rPr>
                <w:rFonts w:ascii="Times New Roman"/>
                <w:w w:val="105"/>
                <w:sz w:val="16"/>
              </w:rPr>
              <w:t>48</w:t>
            </w:r>
          </w:p>
          <w:p>
            <w:pPr>
              <w:pStyle w:val="TableParagraph"/>
              <w:spacing w:before="1"/>
              <w:ind w:left="165"/>
              <w:rPr>
                <w:sz w:val="19"/>
              </w:rPr>
            </w:pPr>
            <w:r>
              <w:rPr>
                <w:w w:val="110"/>
                <w:sz w:val="19"/>
              </w:rPr>
              <w:t>49</w:t>
            </w:r>
          </w:p>
        </w:tc>
      </w:tr>
      <w:tr>
        <w:trPr>
          <w:trHeight w:val="703" w:hRule="exact"/>
        </w:trPr>
        <w:tc>
          <w:tcPr>
            <w:tcW w:w="483" w:type="dxa"/>
            <w:tcBorders>
              <w:top w:val="nil"/>
              <w:left w:val="nil"/>
              <w:bottom w:val="nil"/>
            </w:tcBorders>
          </w:tcPr>
          <w:p>
            <w:pPr>
              <w:pStyle w:val="TableParagraph"/>
              <w:spacing w:line="206" w:lineRule="exact" w:before="96"/>
              <w:ind w:left="147"/>
              <w:rPr>
                <w:sz w:val="19"/>
              </w:rPr>
            </w:pPr>
            <w:r>
              <w:rPr>
                <w:w w:val="90"/>
                <w:sz w:val="19"/>
              </w:rPr>
              <w:t>50</w:t>
            </w:r>
          </w:p>
          <w:p>
            <w:pPr>
              <w:pStyle w:val="TableParagraph"/>
              <w:spacing w:line="200" w:lineRule="exact"/>
              <w:ind w:left="147"/>
              <w:rPr>
                <w:sz w:val="19"/>
              </w:rPr>
            </w:pPr>
            <w:r>
              <w:rPr>
                <w:w w:val="95"/>
                <w:sz w:val="19"/>
              </w:rPr>
              <w:t>51</w:t>
            </w:r>
          </w:p>
          <w:p>
            <w:pPr>
              <w:pStyle w:val="TableParagraph"/>
              <w:spacing w:line="208" w:lineRule="exact"/>
              <w:ind w:left="147"/>
              <w:rPr>
                <w:sz w:val="19"/>
              </w:rPr>
            </w:pPr>
            <w:r>
              <w:rPr>
                <w:sz w:val="19"/>
              </w:rPr>
              <w:t>52</w:t>
            </w:r>
          </w:p>
        </w:tc>
        <w:tc>
          <w:tcPr>
            <w:tcW w:w="1466" w:type="dxa"/>
            <w:tcBorders>
              <w:top w:val="nil"/>
              <w:bottom w:val="nil"/>
            </w:tcBorders>
          </w:tcPr>
          <w:p>
            <w:pPr>
              <w:pStyle w:val="TableParagraph"/>
              <w:spacing w:line="208" w:lineRule="exact" w:before="93"/>
              <w:ind w:left="339"/>
              <w:rPr>
                <w:sz w:val="19"/>
              </w:rPr>
            </w:pPr>
            <w:r>
              <w:rPr>
                <w:w w:val="90"/>
                <w:sz w:val="19"/>
              </w:rPr>
              <w:t>16,145.109</w:t>
            </w:r>
          </w:p>
          <w:p>
            <w:pPr>
              <w:pStyle w:val="TableParagraph"/>
              <w:spacing w:line="200" w:lineRule="exact"/>
              <w:ind w:left="339"/>
              <w:rPr>
                <w:sz w:val="19"/>
              </w:rPr>
            </w:pPr>
            <w:r>
              <w:rPr>
                <w:w w:val="85"/>
                <w:sz w:val="19"/>
              </w:rPr>
              <w:t>17,020.413</w:t>
            </w:r>
          </w:p>
          <w:p>
            <w:pPr>
              <w:pStyle w:val="TableParagraph"/>
              <w:spacing w:line="206" w:lineRule="exact"/>
              <w:ind w:left="339"/>
              <w:rPr>
                <w:sz w:val="19"/>
              </w:rPr>
            </w:pPr>
            <w:r>
              <w:rPr>
                <w:w w:val="95"/>
                <w:sz w:val="19"/>
              </w:rPr>
              <w:t>17,902.007</w:t>
            </w:r>
          </w:p>
        </w:tc>
        <w:tc>
          <w:tcPr>
            <w:tcW w:w="1542" w:type="dxa"/>
            <w:tcBorders>
              <w:top w:val="nil"/>
              <w:bottom w:val="nil"/>
            </w:tcBorders>
          </w:tcPr>
          <w:p>
            <w:pPr>
              <w:pStyle w:val="TableParagraph"/>
              <w:spacing w:line="206" w:lineRule="exact" w:before="86"/>
              <w:ind w:left="134" w:right="88"/>
              <w:jc w:val="center"/>
              <w:rPr>
                <w:sz w:val="19"/>
              </w:rPr>
            </w:pPr>
            <w:r>
              <w:rPr>
                <w:w w:val="85"/>
                <w:sz w:val="19"/>
              </w:rPr>
              <w:t>1,028,988.184</w:t>
            </w:r>
          </w:p>
          <w:p>
            <w:pPr>
              <w:pStyle w:val="TableParagraph"/>
              <w:spacing w:line="200" w:lineRule="exact"/>
              <w:ind w:left="131" w:right="90"/>
              <w:jc w:val="center"/>
              <w:rPr>
                <w:sz w:val="19"/>
              </w:rPr>
            </w:pPr>
            <w:r>
              <w:rPr>
                <w:w w:val="85"/>
                <w:sz w:val="19"/>
              </w:rPr>
              <w:t>1,012,843.075</w:t>
            </w:r>
          </w:p>
          <w:p>
            <w:pPr>
              <w:pStyle w:val="TableParagraph"/>
              <w:spacing w:line="208" w:lineRule="exact"/>
              <w:ind w:left="265" w:right="90"/>
              <w:jc w:val="center"/>
              <w:rPr>
                <w:sz w:val="19"/>
              </w:rPr>
            </w:pPr>
            <w:r>
              <w:rPr>
                <w:w w:val="85"/>
                <w:sz w:val="19"/>
              </w:rPr>
              <w:t>995,822.662</w:t>
            </w:r>
          </w:p>
        </w:tc>
        <w:tc>
          <w:tcPr>
            <w:tcW w:w="1708" w:type="dxa"/>
            <w:tcBorders>
              <w:top w:val="nil"/>
              <w:bottom w:val="nil"/>
              <w:right w:val="single" w:sz="7" w:space="0" w:color="000000"/>
            </w:tcBorders>
          </w:tcPr>
          <w:p>
            <w:pPr>
              <w:pStyle w:val="TableParagraph"/>
              <w:spacing w:line="208" w:lineRule="exact" w:before="79"/>
              <w:ind w:left="296"/>
              <w:rPr>
                <w:sz w:val="19"/>
              </w:rPr>
            </w:pPr>
            <w:r>
              <w:rPr>
                <w:spacing w:val="-14"/>
                <w:w w:val="90"/>
                <w:sz w:val="19"/>
              </w:rPr>
              <w:t>21,392,002.563</w:t>
            </w:r>
          </w:p>
          <w:p>
            <w:pPr>
              <w:pStyle w:val="TableParagraph"/>
              <w:spacing w:line="201" w:lineRule="exact"/>
              <w:ind w:left="296"/>
              <w:rPr>
                <w:sz w:val="19"/>
              </w:rPr>
            </w:pPr>
            <w:r>
              <w:rPr>
                <w:spacing w:val="-12"/>
                <w:w w:val="90"/>
                <w:sz w:val="19"/>
              </w:rPr>
              <w:t>20,363,014.379</w:t>
            </w:r>
          </w:p>
          <w:p>
            <w:pPr>
              <w:pStyle w:val="TableParagraph"/>
              <w:spacing w:line="208" w:lineRule="exact"/>
              <w:ind w:left="303"/>
              <w:rPr>
                <w:sz w:val="19"/>
              </w:rPr>
            </w:pPr>
            <w:r>
              <w:rPr>
                <w:w w:val="85"/>
                <w:sz w:val="19"/>
              </w:rPr>
              <w:t>19,350,171.304</w:t>
            </w:r>
          </w:p>
        </w:tc>
        <w:tc>
          <w:tcPr>
            <w:tcW w:w="486" w:type="dxa"/>
            <w:tcBorders>
              <w:top w:val="nil"/>
              <w:left w:val="single" w:sz="7" w:space="0" w:color="000000"/>
              <w:bottom w:val="nil"/>
              <w:right w:val="nil"/>
            </w:tcBorders>
          </w:tcPr>
          <w:p>
            <w:pPr>
              <w:pStyle w:val="TableParagraph"/>
              <w:spacing w:before="87"/>
              <w:ind w:left="165"/>
              <w:rPr>
                <w:rFonts w:ascii="Times New Roman"/>
                <w:sz w:val="16"/>
              </w:rPr>
            </w:pPr>
            <w:r>
              <w:rPr>
                <w:rFonts w:ascii="Times New Roman"/>
                <w:w w:val="110"/>
                <w:sz w:val="16"/>
              </w:rPr>
              <w:t>50</w:t>
            </w:r>
          </w:p>
          <w:p>
            <w:pPr>
              <w:pStyle w:val="TableParagraph"/>
              <w:spacing w:line="206" w:lineRule="exact" w:before="5"/>
              <w:ind w:left="165"/>
              <w:rPr>
                <w:sz w:val="19"/>
              </w:rPr>
            </w:pPr>
            <w:r>
              <w:rPr>
                <w:sz w:val="19"/>
              </w:rPr>
              <w:t>51</w:t>
            </w:r>
          </w:p>
          <w:p>
            <w:pPr>
              <w:pStyle w:val="TableParagraph"/>
              <w:spacing w:line="206" w:lineRule="exact"/>
              <w:ind w:left="165"/>
              <w:rPr>
                <w:sz w:val="19"/>
              </w:rPr>
            </w:pPr>
            <w:r>
              <w:rPr>
                <w:sz w:val="19"/>
              </w:rPr>
              <w:t>52</w:t>
            </w:r>
          </w:p>
        </w:tc>
      </w:tr>
      <w:tr>
        <w:trPr>
          <w:trHeight w:val="197" w:hRule="exact"/>
        </w:trPr>
        <w:tc>
          <w:tcPr>
            <w:tcW w:w="483" w:type="dxa"/>
            <w:tcBorders>
              <w:top w:val="nil"/>
              <w:left w:val="nil"/>
              <w:bottom w:val="nil"/>
            </w:tcBorders>
          </w:tcPr>
          <w:p>
            <w:pPr>
              <w:pStyle w:val="TableParagraph"/>
              <w:spacing w:before="6"/>
              <w:ind w:left="143"/>
              <w:rPr>
                <w:rFonts w:ascii="Times New Roman"/>
                <w:sz w:val="16"/>
              </w:rPr>
            </w:pPr>
            <w:r>
              <w:rPr>
                <w:rFonts w:ascii="Times New Roman"/>
                <w:w w:val="110"/>
                <w:sz w:val="16"/>
              </w:rPr>
              <w:t>53</w:t>
            </w:r>
          </w:p>
        </w:tc>
        <w:tc>
          <w:tcPr>
            <w:tcW w:w="1466" w:type="dxa"/>
            <w:tcBorders>
              <w:top w:val="nil"/>
              <w:bottom w:val="nil"/>
            </w:tcBorders>
          </w:tcPr>
          <w:p>
            <w:pPr>
              <w:pStyle w:val="TableParagraph"/>
              <w:spacing w:line="206" w:lineRule="exact"/>
              <w:ind w:left="181" w:right="139"/>
              <w:jc w:val="center"/>
              <w:rPr>
                <w:sz w:val="19"/>
              </w:rPr>
            </w:pPr>
            <w:r>
              <w:rPr>
                <w:w w:val="85"/>
                <w:sz w:val="19"/>
              </w:rPr>
              <w:t>18,814.279</w:t>
            </w:r>
          </w:p>
        </w:tc>
        <w:tc>
          <w:tcPr>
            <w:tcW w:w="1542" w:type="dxa"/>
            <w:tcBorders>
              <w:top w:val="nil"/>
              <w:bottom w:val="nil"/>
            </w:tcBorders>
          </w:tcPr>
          <w:p>
            <w:pPr>
              <w:pStyle w:val="TableParagraph"/>
              <w:spacing w:line="199" w:lineRule="exact"/>
              <w:ind w:right="221"/>
              <w:jc w:val="right"/>
              <w:rPr>
                <w:sz w:val="19"/>
              </w:rPr>
            </w:pPr>
            <w:r>
              <w:rPr>
                <w:w w:val="80"/>
                <w:sz w:val="19"/>
              </w:rPr>
              <w:t>977,920.655</w:t>
            </w:r>
          </w:p>
        </w:tc>
        <w:tc>
          <w:tcPr>
            <w:tcW w:w="1708" w:type="dxa"/>
            <w:tcBorders>
              <w:top w:val="nil"/>
              <w:bottom w:val="nil"/>
              <w:right w:val="single" w:sz="7" w:space="0" w:color="000000"/>
            </w:tcBorders>
          </w:tcPr>
          <w:p>
            <w:pPr>
              <w:pStyle w:val="TableParagraph"/>
              <w:spacing w:line="195" w:lineRule="exact"/>
              <w:ind w:left="91" w:right="42"/>
              <w:jc w:val="center"/>
              <w:rPr>
                <w:sz w:val="19"/>
              </w:rPr>
            </w:pPr>
            <w:r>
              <w:rPr>
                <w:w w:val="85"/>
                <w:sz w:val="19"/>
              </w:rPr>
              <w:t>18,354,348.642</w:t>
            </w:r>
          </w:p>
        </w:tc>
        <w:tc>
          <w:tcPr>
            <w:tcW w:w="486" w:type="dxa"/>
            <w:tcBorders>
              <w:top w:val="nil"/>
              <w:left w:val="single" w:sz="7" w:space="0" w:color="000000"/>
              <w:bottom w:val="nil"/>
              <w:right w:val="nil"/>
            </w:tcBorders>
          </w:tcPr>
          <w:p>
            <w:pPr>
              <w:pStyle w:val="TableParagraph"/>
              <w:spacing w:line="169" w:lineRule="exact"/>
              <w:ind w:left="113" w:right="93"/>
              <w:jc w:val="center"/>
              <w:rPr>
                <w:rFonts w:ascii="Times New Roman"/>
                <w:sz w:val="16"/>
              </w:rPr>
            </w:pPr>
            <w:r>
              <w:rPr>
                <w:rFonts w:ascii="Times New Roman"/>
                <w:w w:val="110"/>
                <w:sz w:val="16"/>
              </w:rPr>
              <w:t>53</w:t>
            </w:r>
          </w:p>
        </w:tc>
      </w:tr>
      <w:tr>
        <w:trPr>
          <w:trHeight w:val="299" w:hRule="exact"/>
        </w:trPr>
        <w:tc>
          <w:tcPr>
            <w:tcW w:w="483" w:type="dxa"/>
            <w:tcBorders>
              <w:top w:val="nil"/>
              <w:left w:val="nil"/>
              <w:bottom w:val="nil"/>
            </w:tcBorders>
          </w:tcPr>
          <w:p>
            <w:pPr>
              <w:pStyle w:val="TableParagraph"/>
              <w:spacing w:before="3"/>
              <w:ind w:left="147"/>
              <w:rPr>
                <w:rFonts w:ascii="Times New Roman"/>
                <w:sz w:val="16"/>
              </w:rPr>
            </w:pPr>
            <w:r>
              <w:rPr>
                <w:rFonts w:ascii="Times New Roman"/>
                <w:w w:val="105"/>
                <w:sz w:val="16"/>
              </w:rPr>
              <w:t>54</w:t>
            </w:r>
          </w:p>
        </w:tc>
        <w:tc>
          <w:tcPr>
            <w:tcW w:w="1466" w:type="dxa"/>
            <w:tcBorders>
              <w:top w:val="nil"/>
              <w:bottom w:val="nil"/>
            </w:tcBorders>
          </w:tcPr>
          <w:p>
            <w:pPr>
              <w:pStyle w:val="TableParagraph"/>
              <w:spacing w:line="210" w:lineRule="exact"/>
              <w:ind w:left="181" w:right="147"/>
              <w:jc w:val="center"/>
              <w:rPr>
                <w:sz w:val="19"/>
              </w:rPr>
            </w:pPr>
            <w:r>
              <w:rPr>
                <w:w w:val="95"/>
                <w:sz w:val="19"/>
              </w:rPr>
              <w:t>19,743.028</w:t>
            </w:r>
          </w:p>
        </w:tc>
        <w:tc>
          <w:tcPr>
            <w:tcW w:w="1542" w:type="dxa"/>
            <w:tcBorders>
              <w:top w:val="nil"/>
              <w:bottom w:val="nil"/>
            </w:tcBorders>
          </w:tcPr>
          <w:p>
            <w:pPr>
              <w:pStyle w:val="TableParagraph"/>
              <w:spacing w:line="203" w:lineRule="exact"/>
              <w:ind w:right="204"/>
              <w:jc w:val="right"/>
              <w:rPr>
                <w:sz w:val="19"/>
              </w:rPr>
            </w:pPr>
            <w:r>
              <w:rPr>
                <w:w w:val="80"/>
                <w:sz w:val="19"/>
              </w:rPr>
              <w:t>959,106.376</w:t>
            </w:r>
          </w:p>
        </w:tc>
        <w:tc>
          <w:tcPr>
            <w:tcW w:w="1708" w:type="dxa"/>
            <w:tcBorders>
              <w:top w:val="nil"/>
              <w:bottom w:val="nil"/>
              <w:right w:val="single" w:sz="7" w:space="0" w:color="000000"/>
            </w:tcBorders>
          </w:tcPr>
          <w:p>
            <w:pPr>
              <w:pStyle w:val="TableParagraph"/>
              <w:spacing w:line="196" w:lineRule="exact"/>
              <w:ind w:left="91" w:right="44"/>
              <w:jc w:val="center"/>
              <w:rPr>
                <w:sz w:val="19"/>
              </w:rPr>
            </w:pPr>
            <w:r>
              <w:rPr>
                <w:w w:val="95"/>
                <w:sz w:val="19"/>
              </w:rPr>
              <w:t>17,376,427.987</w:t>
            </w:r>
          </w:p>
        </w:tc>
        <w:tc>
          <w:tcPr>
            <w:tcW w:w="486" w:type="dxa"/>
            <w:tcBorders>
              <w:top w:val="nil"/>
              <w:left w:val="single" w:sz="7" w:space="0" w:color="000000"/>
              <w:bottom w:val="nil"/>
              <w:right w:val="nil"/>
            </w:tcBorders>
          </w:tcPr>
          <w:p>
            <w:pPr>
              <w:pStyle w:val="TableParagraph"/>
              <w:spacing w:line="172" w:lineRule="exact"/>
              <w:ind w:left="114" w:right="93"/>
              <w:jc w:val="center"/>
              <w:rPr>
                <w:rFonts w:ascii="Times New Roman"/>
                <w:sz w:val="17"/>
              </w:rPr>
            </w:pPr>
            <w:r>
              <w:rPr>
                <w:rFonts w:ascii="Times New Roman"/>
                <w:sz w:val="17"/>
              </w:rPr>
              <w:t>54</w:t>
            </w:r>
          </w:p>
        </w:tc>
      </w:tr>
      <w:tr>
        <w:trPr>
          <w:trHeight w:val="1204" w:hRule="exact"/>
        </w:trPr>
        <w:tc>
          <w:tcPr>
            <w:tcW w:w="483" w:type="dxa"/>
            <w:tcBorders>
              <w:top w:val="nil"/>
              <w:left w:val="nil"/>
              <w:bottom w:val="nil"/>
            </w:tcBorders>
          </w:tcPr>
          <w:p>
            <w:pPr>
              <w:pStyle w:val="TableParagraph"/>
              <w:spacing w:line="212" w:lineRule="exact" w:before="98"/>
              <w:ind w:left="147"/>
              <w:rPr>
                <w:sz w:val="19"/>
              </w:rPr>
            </w:pPr>
            <w:r>
              <w:rPr>
                <w:w w:val="90"/>
                <w:sz w:val="19"/>
              </w:rPr>
              <w:t>55</w:t>
            </w:r>
          </w:p>
          <w:p>
            <w:pPr>
              <w:pStyle w:val="TableParagraph"/>
              <w:spacing w:line="181" w:lineRule="exact"/>
              <w:ind w:left="147"/>
              <w:rPr>
                <w:rFonts w:ascii="Arial"/>
                <w:i/>
                <w:sz w:val="16"/>
              </w:rPr>
            </w:pPr>
            <w:r>
              <w:rPr>
                <w:rFonts w:ascii="Arial"/>
                <w:i/>
                <w:sz w:val="16"/>
              </w:rPr>
              <w:t>56</w:t>
            </w:r>
          </w:p>
          <w:p>
            <w:pPr>
              <w:pStyle w:val="TableParagraph"/>
              <w:spacing w:line="214" w:lineRule="exact" w:before="5"/>
              <w:ind w:left="150"/>
              <w:rPr>
                <w:sz w:val="19"/>
              </w:rPr>
            </w:pPr>
            <w:r>
              <w:rPr>
                <w:sz w:val="19"/>
              </w:rPr>
              <w:t>57</w:t>
            </w:r>
          </w:p>
          <w:p>
            <w:pPr>
              <w:pStyle w:val="TableParagraph"/>
              <w:spacing w:line="183" w:lineRule="exact"/>
              <w:ind w:left="150"/>
              <w:rPr>
                <w:rFonts w:ascii="Times New Roman"/>
                <w:sz w:val="16"/>
              </w:rPr>
            </w:pPr>
            <w:r>
              <w:rPr>
                <w:rFonts w:ascii="Times New Roman"/>
                <w:w w:val="105"/>
                <w:sz w:val="16"/>
              </w:rPr>
              <w:t>58</w:t>
            </w:r>
          </w:p>
          <w:p>
            <w:pPr>
              <w:pStyle w:val="TableParagraph"/>
              <w:spacing w:before="13"/>
              <w:ind w:left="147"/>
              <w:rPr>
                <w:rFonts w:ascii="Times New Roman"/>
                <w:sz w:val="16"/>
              </w:rPr>
            </w:pPr>
            <w:r>
              <w:rPr>
                <w:rFonts w:ascii="Times New Roman"/>
                <w:w w:val="105"/>
                <w:sz w:val="16"/>
              </w:rPr>
              <w:t>59</w:t>
            </w:r>
          </w:p>
        </w:tc>
        <w:tc>
          <w:tcPr>
            <w:tcW w:w="1466" w:type="dxa"/>
            <w:tcBorders>
              <w:top w:val="nil"/>
              <w:bottom w:val="nil"/>
            </w:tcBorders>
          </w:tcPr>
          <w:p>
            <w:pPr>
              <w:pStyle w:val="TableParagraph"/>
              <w:spacing w:line="206" w:lineRule="exact" w:before="98"/>
              <w:ind w:left="332"/>
              <w:rPr>
                <w:sz w:val="19"/>
              </w:rPr>
            </w:pPr>
            <w:r>
              <w:rPr>
                <w:w w:val="90"/>
                <w:sz w:val="19"/>
              </w:rPr>
              <w:t>20;690.546</w:t>
            </w:r>
          </w:p>
          <w:p>
            <w:pPr>
              <w:pStyle w:val="TableParagraph"/>
              <w:spacing w:line="200" w:lineRule="exact"/>
              <w:ind w:left="332"/>
              <w:rPr>
                <w:sz w:val="19"/>
              </w:rPr>
            </w:pPr>
            <w:r>
              <w:rPr>
                <w:spacing w:val="-22"/>
                <w:sz w:val="19"/>
              </w:rPr>
              <w:t>21,672.210</w:t>
            </w:r>
          </w:p>
          <w:p>
            <w:pPr>
              <w:pStyle w:val="TableParagraph"/>
              <w:spacing w:line="201" w:lineRule="exact"/>
              <w:ind w:left="335"/>
              <w:rPr>
                <w:sz w:val="19"/>
              </w:rPr>
            </w:pPr>
            <w:r>
              <w:rPr>
                <w:w w:val="90"/>
                <w:sz w:val="19"/>
              </w:rPr>
              <w:t>22,683.398</w:t>
            </w:r>
          </w:p>
          <w:p>
            <w:pPr>
              <w:pStyle w:val="TableParagraph"/>
              <w:spacing w:line="200" w:lineRule="exact"/>
              <w:ind w:left="332"/>
              <w:rPr>
                <w:sz w:val="19"/>
              </w:rPr>
            </w:pPr>
            <w:r>
              <w:rPr>
                <w:w w:val="85"/>
                <w:sz w:val="19"/>
              </w:rPr>
              <w:t>23,717.295</w:t>
            </w:r>
          </w:p>
          <w:p>
            <w:pPr>
              <w:pStyle w:val="TableParagraph"/>
              <w:spacing w:line="206" w:lineRule="exact"/>
              <w:ind w:left="332"/>
              <w:rPr>
                <w:sz w:val="19"/>
              </w:rPr>
            </w:pPr>
            <w:r>
              <w:rPr>
                <w:w w:val="95"/>
                <w:sz w:val="19"/>
              </w:rPr>
              <w:t>24,752.177</w:t>
            </w:r>
          </w:p>
        </w:tc>
        <w:tc>
          <w:tcPr>
            <w:tcW w:w="1542" w:type="dxa"/>
            <w:tcBorders>
              <w:top w:val="nil"/>
              <w:bottom w:val="nil"/>
            </w:tcBorders>
          </w:tcPr>
          <w:p>
            <w:pPr>
              <w:pStyle w:val="TableParagraph"/>
              <w:spacing w:line="206" w:lineRule="exact" w:before="87"/>
              <w:ind w:left="405" w:right="-15"/>
              <w:rPr>
                <w:sz w:val="19"/>
              </w:rPr>
            </w:pPr>
            <w:r>
              <w:rPr>
                <w:spacing w:val="-12"/>
                <w:w w:val="90"/>
                <w:sz w:val="19"/>
              </w:rPr>
              <w:t>939,363.348</w:t>
            </w:r>
          </w:p>
          <w:p>
            <w:pPr>
              <w:pStyle w:val="TableParagraph"/>
              <w:spacing w:line="200" w:lineRule="exact"/>
              <w:ind w:left="405" w:right="-15"/>
              <w:rPr>
                <w:sz w:val="19"/>
              </w:rPr>
            </w:pPr>
            <w:r>
              <w:rPr>
                <w:spacing w:val="-18"/>
                <w:w w:val="95"/>
                <w:sz w:val="19"/>
              </w:rPr>
              <w:t>918,672.802</w:t>
            </w:r>
          </w:p>
          <w:p>
            <w:pPr>
              <w:pStyle w:val="TableParagraph"/>
              <w:spacing w:line="201" w:lineRule="exact"/>
              <w:ind w:left="405" w:right="-15"/>
              <w:rPr>
                <w:sz w:val="19"/>
              </w:rPr>
            </w:pPr>
            <w:r>
              <w:rPr>
                <w:spacing w:val="-16"/>
                <w:w w:val="95"/>
                <w:sz w:val="19"/>
              </w:rPr>
              <w:t>897,000.592</w:t>
            </w:r>
          </w:p>
          <w:p>
            <w:pPr>
              <w:pStyle w:val="TableParagraph"/>
              <w:spacing w:line="206" w:lineRule="exact"/>
              <w:ind w:left="409" w:right="-15"/>
              <w:rPr>
                <w:sz w:val="19"/>
              </w:rPr>
            </w:pPr>
            <w:r>
              <w:rPr>
                <w:spacing w:val="-8"/>
                <w:w w:val="90"/>
                <w:sz w:val="19"/>
              </w:rPr>
              <w:t>874,317.194</w:t>
            </w:r>
          </w:p>
          <w:p>
            <w:pPr>
              <w:pStyle w:val="TableParagraph"/>
              <w:spacing w:line="181" w:lineRule="exact"/>
              <w:ind w:left="409" w:right="-15"/>
              <w:rPr>
                <w:rFonts w:ascii="Times New Roman"/>
                <w:b/>
                <w:sz w:val="16"/>
              </w:rPr>
            </w:pPr>
            <w:r>
              <w:rPr>
                <w:rFonts w:ascii="Times New Roman"/>
                <w:b/>
                <w:w w:val="110"/>
                <w:sz w:val="16"/>
              </w:rPr>
              <w:t>850,599.899</w:t>
            </w:r>
          </w:p>
        </w:tc>
        <w:tc>
          <w:tcPr>
            <w:tcW w:w="1708" w:type="dxa"/>
            <w:tcBorders>
              <w:top w:val="nil"/>
              <w:bottom w:val="nil"/>
              <w:right w:val="single" w:sz="7" w:space="0" w:color="000000"/>
            </w:tcBorders>
          </w:tcPr>
          <w:p>
            <w:pPr>
              <w:pStyle w:val="TableParagraph"/>
              <w:spacing w:line="206" w:lineRule="exact" w:before="84"/>
              <w:ind w:left="303"/>
              <w:rPr>
                <w:sz w:val="19"/>
              </w:rPr>
            </w:pPr>
            <w:r>
              <w:rPr>
                <w:w w:val="85"/>
                <w:sz w:val="19"/>
              </w:rPr>
              <w:t>16,417,321.611</w:t>
            </w:r>
          </w:p>
          <w:p>
            <w:pPr>
              <w:pStyle w:val="TableParagraph"/>
              <w:spacing w:line="200" w:lineRule="exact"/>
              <w:ind w:left="306"/>
              <w:rPr>
                <w:sz w:val="19"/>
              </w:rPr>
            </w:pPr>
            <w:r>
              <w:rPr>
                <w:w w:val="85"/>
                <w:sz w:val="19"/>
              </w:rPr>
              <w:t>15,477,958.263</w:t>
            </w:r>
          </w:p>
          <w:p>
            <w:pPr>
              <w:pStyle w:val="TableParagraph"/>
              <w:spacing w:line="200" w:lineRule="exact"/>
              <w:ind w:left="306"/>
              <w:rPr>
                <w:sz w:val="19"/>
              </w:rPr>
            </w:pPr>
            <w:r>
              <w:rPr>
                <w:w w:val="70"/>
                <w:sz w:val="19"/>
              </w:rPr>
              <w:t>14,559,285 .461</w:t>
            </w:r>
          </w:p>
          <w:p>
            <w:pPr>
              <w:pStyle w:val="TableParagraph"/>
              <w:spacing w:line="201" w:lineRule="exact"/>
              <w:ind w:left="306"/>
              <w:rPr>
                <w:sz w:val="19"/>
              </w:rPr>
            </w:pPr>
            <w:r>
              <w:rPr>
                <w:spacing w:val="-10"/>
                <w:w w:val="90"/>
                <w:sz w:val="19"/>
              </w:rPr>
              <w:t>13,662,284.869</w:t>
            </w:r>
          </w:p>
          <w:p>
            <w:pPr>
              <w:pStyle w:val="TableParagraph"/>
              <w:spacing w:line="210" w:lineRule="exact"/>
              <w:ind w:left="306"/>
              <w:rPr>
                <w:sz w:val="19"/>
              </w:rPr>
            </w:pPr>
            <w:r>
              <w:rPr>
                <w:spacing w:val="-20"/>
                <w:w w:val="95"/>
                <w:sz w:val="19"/>
              </w:rPr>
              <w:t>12,787,967.675</w:t>
            </w:r>
          </w:p>
        </w:tc>
        <w:tc>
          <w:tcPr>
            <w:tcW w:w="486" w:type="dxa"/>
            <w:tcBorders>
              <w:top w:val="nil"/>
              <w:left w:val="single" w:sz="7" w:space="0" w:color="000000"/>
              <w:bottom w:val="nil"/>
              <w:right w:val="nil"/>
            </w:tcBorders>
          </w:tcPr>
          <w:p>
            <w:pPr>
              <w:pStyle w:val="TableParagraph"/>
              <w:spacing w:line="214" w:lineRule="exact" w:before="77"/>
              <w:ind w:left="161"/>
              <w:rPr>
                <w:sz w:val="19"/>
              </w:rPr>
            </w:pPr>
            <w:r>
              <w:rPr>
                <w:w w:val="95"/>
                <w:sz w:val="19"/>
              </w:rPr>
              <w:t>55</w:t>
            </w:r>
          </w:p>
          <w:p>
            <w:pPr>
              <w:pStyle w:val="TableParagraph"/>
              <w:spacing w:line="183" w:lineRule="exact"/>
              <w:ind w:left="161"/>
              <w:rPr>
                <w:rFonts w:ascii="Times New Roman"/>
                <w:sz w:val="16"/>
              </w:rPr>
            </w:pPr>
            <w:r>
              <w:rPr>
                <w:rFonts w:ascii="Times New Roman"/>
                <w:w w:val="105"/>
                <w:sz w:val="16"/>
              </w:rPr>
              <w:t>56</w:t>
            </w:r>
          </w:p>
          <w:p>
            <w:pPr>
              <w:pStyle w:val="TableParagraph"/>
              <w:spacing w:line="213" w:lineRule="exact" w:before="5"/>
              <w:ind w:left="161"/>
              <w:rPr>
                <w:sz w:val="19"/>
              </w:rPr>
            </w:pPr>
            <w:r>
              <w:rPr>
                <w:sz w:val="19"/>
              </w:rPr>
              <w:t>57</w:t>
            </w:r>
          </w:p>
          <w:p>
            <w:pPr>
              <w:pStyle w:val="TableParagraph"/>
              <w:spacing w:line="181" w:lineRule="exact"/>
              <w:ind w:left="165"/>
              <w:rPr>
                <w:rFonts w:ascii="Times New Roman"/>
                <w:sz w:val="16"/>
              </w:rPr>
            </w:pPr>
            <w:r>
              <w:rPr>
                <w:rFonts w:ascii="Times New Roman"/>
                <w:w w:val="110"/>
                <w:sz w:val="16"/>
              </w:rPr>
              <w:t>58</w:t>
            </w:r>
          </w:p>
          <w:p>
            <w:pPr>
              <w:pStyle w:val="TableParagraph"/>
              <w:spacing w:before="5"/>
              <w:ind w:left="165"/>
              <w:rPr>
                <w:sz w:val="19"/>
              </w:rPr>
            </w:pPr>
            <w:r>
              <w:rPr>
                <w:sz w:val="19"/>
              </w:rPr>
              <w:t>59</w:t>
            </w:r>
          </w:p>
        </w:tc>
      </w:tr>
      <w:tr>
        <w:trPr>
          <w:trHeight w:val="1202" w:hRule="exact"/>
        </w:trPr>
        <w:tc>
          <w:tcPr>
            <w:tcW w:w="483" w:type="dxa"/>
            <w:tcBorders>
              <w:top w:val="nil"/>
              <w:left w:val="nil"/>
              <w:bottom w:val="nil"/>
            </w:tcBorders>
          </w:tcPr>
          <w:p>
            <w:pPr>
              <w:pStyle w:val="TableParagraph"/>
              <w:spacing w:before="98"/>
              <w:ind w:left="150"/>
              <w:rPr>
                <w:rFonts w:ascii="Arial"/>
                <w:sz w:val="17"/>
              </w:rPr>
            </w:pPr>
            <w:r>
              <w:rPr>
                <w:rFonts w:ascii="Arial"/>
                <w:sz w:val="17"/>
              </w:rPr>
              <w:t>60</w:t>
            </w:r>
          </w:p>
          <w:p>
            <w:pPr>
              <w:pStyle w:val="TableParagraph"/>
              <w:spacing w:line="206" w:lineRule="exact" w:before="7"/>
              <w:ind w:left="150"/>
              <w:rPr>
                <w:sz w:val="19"/>
              </w:rPr>
            </w:pPr>
            <w:r>
              <w:rPr>
                <w:sz w:val="19"/>
              </w:rPr>
              <w:t>61</w:t>
            </w:r>
          </w:p>
          <w:p>
            <w:pPr>
              <w:pStyle w:val="TableParagraph"/>
              <w:spacing w:line="204" w:lineRule="exact"/>
              <w:ind w:left="150"/>
              <w:rPr>
                <w:sz w:val="19"/>
              </w:rPr>
            </w:pPr>
            <w:r>
              <w:rPr>
                <w:w w:val="105"/>
                <w:sz w:val="19"/>
              </w:rPr>
              <w:t>62</w:t>
            </w:r>
          </w:p>
          <w:p>
            <w:pPr>
              <w:pStyle w:val="TableParagraph"/>
              <w:spacing w:line="181" w:lineRule="exact"/>
              <w:ind w:left="154"/>
              <w:rPr>
                <w:rFonts w:ascii="Times New Roman"/>
                <w:sz w:val="16"/>
              </w:rPr>
            </w:pPr>
            <w:r>
              <w:rPr>
                <w:rFonts w:ascii="Times New Roman"/>
                <w:w w:val="110"/>
                <w:sz w:val="16"/>
              </w:rPr>
              <w:t>63</w:t>
            </w:r>
          </w:p>
          <w:p>
            <w:pPr>
              <w:pStyle w:val="TableParagraph"/>
              <w:spacing w:before="13"/>
              <w:ind w:left="150"/>
              <w:rPr>
                <w:rFonts w:ascii="Times New Roman"/>
                <w:sz w:val="16"/>
              </w:rPr>
            </w:pPr>
            <w:r>
              <w:rPr>
                <w:rFonts w:ascii="Times New Roman"/>
                <w:w w:val="105"/>
                <w:sz w:val="16"/>
              </w:rPr>
              <w:t>64</w:t>
            </w:r>
          </w:p>
        </w:tc>
        <w:tc>
          <w:tcPr>
            <w:tcW w:w="1466" w:type="dxa"/>
            <w:tcBorders>
              <w:top w:val="nil"/>
              <w:bottom w:val="nil"/>
            </w:tcBorders>
          </w:tcPr>
          <w:p>
            <w:pPr>
              <w:pStyle w:val="TableParagraph"/>
              <w:spacing w:line="208" w:lineRule="exact" w:before="96"/>
              <w:ind w:left="332"/>
              <w:rPr>
                <w:sz w:val="19"/>
              </w:rPr>
            </w:pPr>
            <w:r>
              <w:rPr>
                <w:w w:val="90"/>
                <w:sz w:val="19"/>
              </w:rPr>
              <w:t>25,tlM.703</w:t>
            </w:r>
          </w:p>
          <w:p>
            <w:pPr>
              <w:pStyle w:val="TableParagraph"/>
              <w:spacing w:line="200" w:lineRule="exact"/>
              <w:ind w:left="328"/>
              <w:rPr>
                <w:sz w:val="19"/>
              </w:rPr>
            </w:pPr>
            <w:r>
              <w:rPr>
                <w:w w:val="85"/>
                <w:sz w:val="19"/>
              </w:rPr>
              <w:t>26,836.036</w:t>
            </w:r>
          </w:p>
          <w:p>
            <w:pPr>
              <w:pStyle w:val="TableParagraph"/>
              <w:spacing w:line="200" w:lineRule="exact"/>
              <w:ind w:left="335"/>
              <w:rPr>
                <w:sz w:val="19"/>
              </w:rPr>
            </w:pPr>
            <w:r>
              <w:rPr>
                <w:w w:val="85"/>
                <w:sz w:val="19"/>
              </w:rPr>
              <w:t>27,846.132</w:t>
            </w:r>
          </w:p>
          <w:p>
            <w:pPr>
              <w:pStyle w:val="TableParagraph"/>
              <w:spacing w:line="201" w:lineRule="exact"/>
              <w:ind w:left="339"/>
              <w:rPr>
                <w:sz w:val="19"/>
              </w:rPr>
            </w:pPr>
            <w:r>
              <w:rPr>
                <w:w w:val="85"/>
                <w:sz w:val="19"/>
              </w:rPr>
              <w:t>28,830.119</w:t>
            </w:r>
          </w:p>
          <w:p>
            <w:pPr>
              <w:pStyle w:val="TableParagraph"/>
              <w:spacing w:line="208" w:lineRule="exact"/>
              <w:ind w:left="339"/>
              <w:rPr>
                <w:sz w:val="19"/>
              </w:rPr>
            </w:pPr>
            <w:r>
              <w:rPr>
                <w:w w:val="95"/>
                <w:sz w:val="19"/>
              </w:rPr>
              <w:t>29,779.577</w:t>
            </w:r>
          </w:p>
        </w:tc>
        <w:tc>
          <w:tcPr>
            <w:tcW w:w="1542" w:type="dxa"/>
            <w:tcBorders>
              <w:top w:val="nil"/>
              <w:bottom w:val="nil"/>
            </w:tcBorders>
          </w:tcPr>
          <w:p>
            <w:pPr>
              <w:pStyle w:val="TableParagraph"/>
              <w:spacing w:line="213" w:lineRule="exact" w:before="85"/>
              <w:ind w:left="409" w:right="-15"/>
              <w:rPr>
                <w:sz w:val="19"/>
              </w:rPr>
            </w:pPr>
            <w:r>
              <w:rPr>
                <w:spacing w:val="-16"/>
                <w:w w:val="95"/>
                <w:sz w:val="19"/>
              </w:rPr>
              <w:t>825,847.722</w:t>
            </w:r>
          </w:p>
          <w:p>
            <w:pPr>
              <w:pStyle w:val="TableParagraph"/>
              <w:spacing w:line="181" w:lineRule="exact"/>
              <w:ind w:left="674" w:right="-15"/>
              <w:rPr>
                <w:rFonts w:ascii="Times New Roman"/>
                <w:sz w:val="16"/>
              </w:rPr>
            </w:pPr>
            <w:r>
              <w:rPr>
                <w:rFonts w:ascii="Times New Roman"/>
                <w:w w:val="110"/>
                <w:sz w:val="16"/>
              </w:rPr>
              <w:t>,043.019</w:t>
            </w:r>
          </w:p>
          <w:p>
            <w:pPr>
              <w:pStyle w:val="TableParagraph"/>
              <w:spacing w:line="206" w:lineRule="exact" w:before="8"/>
              <w:ind w:left="412" w:right="-15"/>
              <w:rPr>
                <w:sz w:val="19"/>
              </w:rPr>
            </w:pPr>
            <w:r>
              <w:rPr>
                <w:w w:val="85"/>
                <w:sz w:val="19"/>
              </w:rPr>
              <w:t>773,206.983</w:t>
            </w:r>
          </w:p>
          <w:p>
            <w:pPr>
              <w:pStyle w:val="TableParagraph"/>
              <w:spacing w:line="200" w:lineRule="exact"/>
              <w:ind w:left="412" w:right="-15"/>
              <w:rPr>
                <w:sz w:val="19"/>
              </w:rPr>
            </w:pPr>
            <w:r>
              <w:rPr>
                <w:spacing w:val="-16"/>
                <w:w w:val="95"/>
                <w:sz w:val="19"/>
              </w:rPr>
              <w:t>745,360.851</w:t>
            </w:r>
          </w:p>
          <w:p>
            <w:pPr>
              <w:pStyle w:val="TableParagraph"/>
              <w:spacing w:line="208" w:lineRule="exact"/>
              <w:ind w:left="409" w:right="-15"/>
              <w:rPr>
                <w:sz w:val="19"/>
              </w:rPr>
            </w:pPr>
            <w:r>
              <w:rPr>
                <w:spacing w:val="-10"/>
                <w:w w:val="90"/>
                <w:sz w:val="19"/>
              </w:rPr>
              <w:t>716,530.732</w:t>
            </w:r>
          </w:p>
        </w:tc>
        <w:tc>
          <w:tcPr>
            <w:tcW w:w="1708" w:type="dxa"/>
            <w:tcBorders>
              <w:top w:val="nil"/>
              <w:bottom w:val="nil"/>
              <w:right w:val="single" w:sz="7" w:space="0" w:color="000000"/>
            </w:tcBorders>
          </w:tcPr>
          <w:p>
            <w:pPr>
              <w:pStyle w:val="TableParagraph"/>
              <w:spacing w:line="211" w:lineRule="exact" w:before="81"/>
              <w:ind w:left="306"/>
              <w:rPr>
                <w:sz w:val="19"/>
              </w:rPr>
            </w:pPr>
            <w:r>
              <w:rPr>
                <w:spacing w:val="-16"/>
                <w:w w:val="95"/>
                <w:sz w:val="19"/>
              </w:rPr>
              <w:t>11,937,367.776</w:t>
            </w:r>
          </w:p>
          <w:p>
            <w:pPr>
              <w:pStyle w:val="TableParagraph"/>
              <w:spacing w:line="180" w:lineRule="exact"/>
              <w:ind w:left="306"/>
              <w:rPr>
                <w:rFonts w:ascii="Times New Roman"/>
                <w:sz w:val="16"/>
              </w:rPr>
            </w:pPr>
            <w:r>
              <w:rPr>
                <w:rFonts w:ascii="Times New Roman"/>
                <w:w w:val="130"/>
                <w:sz w:val="16"/>
              </w:rPr>
              <w:t>11,111,5.054</w:t>
            </w:r>
          </w:p>
          <w:p>
            <w:pPr>
              <w:pStyle w:val="TableParagraph"/>
              <w:spacing w:line="208" w:lineRule="exact" w:before="8"/>
              <w:ind w:left="306"/>
              <w:rPr>
                <w:sz w:val="19"/>
              </w:rPr>
            </w:pPr>
            <w:r>
              <w:rPr>
                <w:w w:val="80"/>
                <w:sz w:val="19"/>
              </w:rPr>
              <w:t>10,311,477.035</w:t>
            </w:r>
          </w:p>
          <w:p>
            <w:pPr>
              <w:pStyle w:val="TableParagraph"/>
              <w:spacing w:line="200" w:lineRule="exact"/>
              <w:ind w:left="375"/>
              <w:rPr>
                <w:sz w:val="19"/>
              </w:rPr>
            </w:pPr>
            <w:r>
              <w:rPr>
                <w:spacing w:val="-14"/>
                <w:w w:val="95"/>
                <w:sz w:val="19"/>
              </w:rPr>
              <w:t>9,538,270.052</w:t>
            </w:r>
          </w:p>
          <w:p>
            <w:pPr>
              <w:pStyle w:val="TableParagraph"/>
              <w:spacing w:line="206" w:lineRule="exact"/>
              <w:ind w:left="378"/>
              <w:rPr>
                <w:sz w:val="19"/>
              </w:rPr>
            </w:pPr>
            <w:r>
              <w:rPr>
                <w:sz w:val="19"/>
              </w:rPr>
              <w:t>8,792,909.1</w:t>
            </w:r>
          </w:p>
        </w:tc>
        <w:tc>
          <w:tcPr>
            <w:tcW w:w="486" w:type="dxa"/>
            <w:tcBorders>
              <w:top w:val="nil"/>
              <w:left w:val="single" w:sz="7" w:space="0" w:color="000000"/>
              <w:bottom w:val="nil"/>
              <w:right w:val="nil"/>
            </w:tcBorders>
          </w:tcPr>
          <w:p>
            <w:pPr>
              <w:pStyle w:val="TableParagraph"/>
              <w:spacing w:before="76"/>
              <w:ind w:left="165"/>
              <w:rPr>
                <w:rFonts w:ascii="Arial"/>
                <w:sz w:val="17"/>
              </w:rPr>
            </w:pPr>
            <w:r>
              <w:rPr>
                <w:rFonts w:ascii="Arial"/>
                <w:sz w:val="17"/>
              </w:rPr>
              <w:t>60</w:t>
            </w:r>
          </w:p>
          <w:p>
            <w:pPr>
              <w:pStyle w:val="TableParagraph"/>
              <w:spacing w:line="211" w:lineRule="exact" w:before="3"/>
              <w:ind w:left="161"/>
              <w:rPr>
                <w:sz w:val="19"/>
              </w:rPr>
            </w:pPr>
            <w:r>
              <w:rPr>
                <w:sz w:val="19"/>
              </w:rPr>
              <w:t>61</w:t>
            </w:r>
          </w:p>
          <w:p>
            <w:pPr>
              <w:pStyle w:val="TableParagraph"/>
              <w:spacing w:line="199" w:lineRule="exact"/>
              <w:ind w:left="165"/>
              <w:rPr>
                <w:sz w:val="18"/>
              </w:rPr>
            </w:pPr>
            <w:r>
              <w:rPr>
                <w:w w:val="105"/>
                <w:sz w:val="18"/>
              </w:rPr>
              <w:t>62</w:t>
            </w:r>
          </w:p>
          <w:p>
            <w:pPr>
              <w:pStyle w:val="TableParagraph"/>
              <w:spacing w:before="1"/>
              <w:ind w:left="165"/>
              <w:rPr>
                <w:rFonts w:ascii="Times New Roman"/>
                <w:sz w:val="16"/>
              </w:rPr>
            </w:pPr>
            <w:r>
              <w:rPr>
                <w:rFonts w:ascii="Times New Roman"/>
                <w:w w:val="110"/>
                <w:sz w:val="16"/>
              </w:rPr>
              <w:t>63</w:t>
            </w:r>
          </w:p>
          <w:p>
            <w:pPr>
              <w:pStyle w:val="TableParagraph"/>
              <w:spacing w:before="13"/>
              <w:ind w:left="165"/>
              <w:rPr>
                <w:rFonts w:ascii="Times New Roman"/>
                <w:sz w:val="16"/>
              </w:rPr>
            </w:pPr>
            <w:r>
              <w:rPr>
                <w:rFonts w:ascii="Times New Roman"/>
                <w:w w:val="105"/>
                <w:sz w:val="16"/>
              </w:rPr>
              <w:t>64</w:t>
            </w:r>
          </w:p>
        </w:tc>
      </w:tr>
      <w:tr>
        <w:trPr>
          <w:trHeight w:val="1141" w:hRule="exact"/>
        </w:trPr>
        <w:tc>
          <w:tcPr>
            <w:tcW w:w="483" w:type="dxa"/>
            <w:tcBorders>
              <w:top w:val="nil"/>
              <w:left w:val="nil"/>
              <w:bottom w:val="nil"/>
            </w:tcBorders>
          </w:tcPr>
          <w:p>
            <w:pPr>
              <w:pStyle w:val="TableParagraph"/>
              <w:spacing w:before="107"/>
              <w:ind w:left="154"/>
              <w:rPr>
                <w:rFonts w:ascii="Times New Roman"/>
                <w:sz w:val="16"/>
              </w:rPr>
            </w:pPr>
            <w:r>
              <w:rPr>
                <w:rFonts w:ascii="Times New Roman"/>
                <w:w w:val="110"/>
                <w:sz w:val="16"/>
              </w:rPr>
              <w:t>65</w:t>
            </w:r>
          </w:p>
          <w:p>
            <w:pPr>
              <w:pStyle w:val="TableParagraph"/>
              <w:spacing w:line="206" w:lineRule="exact" w:before="8"/>
              <w:ind w:left="157"/>
              <w:rPr>
                <w:sz w:val="19"/>
              </w:rPr>
            </w:pPr>
            <w:r>
              <w:rPr>
                <w:w w:val="90"/>
                <w:sz w:val="19"/>
              </w:rPr>
              <w:t>66</w:t>
            </w:r>
          </w:p>
          <w:p>
            <w:pPr>
              <w:pStyle w:val="TableParagraph"/>
              <w:spacing w:line="199" w:lineRule="exact"/>
              <w:ind w:left="154"/>
              <w:rPr>
                <w:sz w:val="19"/>
              </w:rPr>
            </w:pPr>
            <w:r>
              <w:rPr>
                <w:w w:val="105"/>
                <w:sz w:val="19"/>
              </w:rPr>
              <w:t>67</w:t>
            </w:r>
          </w:p>
          <w:p>
            <w:pPr>
              <w:pStyle w:val="TableParagraph"/>
              <w:spacing w:line="188" w:lineRule="exact"/>
              <w:ind w:left="154"/>
              <w:rPr>
                <w:rFonts w:ascii="Times New Roman"/>
                <w:sz w:val="17"/>
              </w:rPr>
            </w:pPr>
            <w:r>
              <w:rPr>
                <w:rFonts w:ascii="Times New Roman"/>
                <w:sz w:val="17"/>
              </w:rPr>
              <w:t>68</w:t>
            </w:r>
          </w:p>
          <w:p>
            <w:pPr>
              <w:pStyle w:val="TableParagraph"/>
              <w:spacing w:before="2"/>
              <w:ind w:left="157"/>
              <w:rPr>
                <w:sz w:val="19"/>
              </w:rPr>
            </w:pPr>
            <w:r>
              <w:rPr>
                <w:w w:val="105"/>
                <w:sz w:val="19"/>
              </w:rPr>
              <w:t>69</w:t>
            </w:r>
          </w:p>
        </w:tc>
        <w:tc>
          <w:tcPr>
            <w:tcW w:w="1466" w:type="dxa"/>
            <w:tcBorders>
              <w:top w:val="nil"/>
              <w:bottom w:val="nil"/>
            </w:tcBorders>
          </w:tcPr>
          <w:p>
            <w:pPr>
              <w:pStyle w:val="TableParagraph"/>
              <w:spacing w:line="205" w:lineRule="exact" w:before="98"/>
              <w:ind w:left="335"/>
              <w:rPr>
                <w:sz w:val="19"/>
              </w:rPr>
            </w:pPr>
            <w:r>
              <w:rPr>
                <w:w w:val="95"/>
                <w:sz w:val="19"/>
              </w:rPr>
              <w:t>30,692:340</w:t>
            </w:r>
          </w:p>
          <w:p>
            <w:pPr>
              <w:pStyle w:val="TableParagraph"/>
              <w:spacing w:line="198" w:lineRule="exact"/>
              <w:ind w:left="339"/>
              <w:rPr>
                <w:sz w:val="19"/>
              </w:rPr>
            </w:pPr>
            <w:r>
              <w:rPr>
                <w:w w:val="90"/>
                <w:sz w:val="19"/>
              </w:rPr>
              <w:t>31,569.313</w:t>
            </w:r>
          </w:p>
          <w:p>
            <w:pPr>
              <w:pStyle w:val="TableParagraph"/>
              <w:spacing w:line="201" w:lineRule="exact"/>
              <w:ind w:left="332"/>
              <w:rPr>
                <w:sz w:val="19"/>
              </w:rPr>
            </w:pPr>
            <w:r>
              <w:rPr>
                <w:w w:val="90"/>
                <w:sz w:val="19"/>
              </w:rPr>
              <w:t>32,395.427</w:t>
            </w:r>
          </w:p>
          <w:p>
            <w:pPr>
              <w:pStyle w:val="TableParagraph"/>
              <w:spacing w:line="200" w:lineRule="exact"/>
              <w:ind w:left="335"/>
              <w:rPr>
                <w:sz w:val="19"/>
              </w:rPr>
            </w:pPr>
            <w:r>
              <w:rPr>
                <w:w w:val="90"/>
                <w:sz w:val="19"/>
              </w:rPr>
              <w:t>33,150.537</w:t>
            </w:r>
          </w:p>
          <w:p>
            <w:pPr>
              <w:pStyle w:val="TableParagraph"/>
              <w:spacing w:line="206" w:lineRule="exact"/>
              <w:ind w:left="339"/>
              <w:rPr>
                <w:sz w:val="19"/>
              </w:rPr>
            </w:pPr>
            <w:r>
              <w:rPr>
                <w:w w:val="90"/>
                <w:sz w:val="19"/>
              </w:rPr>
              <w:t>33,751.833</w:t>
            </w:r>
          </w:p>
        </w:tc>
        <w:tc>
          <w:tcPr>
            <w:tcW w:w="1542" w:type="dxa"/>
            <w:tcBorders>
              <w:top w:val="nil"/>
              <w:bottom w:val="nil"/>
            </w:tcBorders>
          </w:tcPr>
          <w:p>
            <w:pPr>
              <w:pStyle w:val="TableParagraph"/>
              <w:spacing w:line="208" w:lineRule="exact" w:before="84"/>
              <w:ind w:left="412" w:right="-15"/>
              <w:rPr>
                <w:sz w:val="19"/>
              </w:rPr>
            </w:pPr>
            <w:r>
              <w:rPr>
                <w:w w:val="85"/>
                <w:sz w:val="19"/>
              </w:rPr>
              <w:t>686,751.155</w:t>
            </w:r>
          </w:p>
          <w:p>
            <w:pPr>
              <w:pStyle w:val="TableParagraph"/>
              <w:spacing w:line="200" w:lineRule="exact"/>
              <w:ind w:left="412" w:right="-15"/>
              <w:rPr>
                <w:sz w:val="19"/>
              </w:rPr>
            </w:pPr>
            <w:r>
              <w:rPr>
                <w:spacing w:val="-10"/>
                <w:w w:val="90"/>
                <w:sz w:val="19"/>
              </w:rPr>
              <w:t>656,058.815</w:t>
            </w:r>
          </w:p>
          <w:p>
            <w:pPr>
              <w:pStyle w:val="TableParagraph"/>
              <w:spacing w:line="200" w:lineRule="exact"/>
              <w:ind w:left="409" w:right="-15"/>
              <w:rPr>
                <w:sz w:val="19"/>
              </w:rPr>
            </w:pPr>
            <w:r>
              <w:rPr>
                <w:spacing w:val="-17"/>
                <w:w w:val="95"/>
                <w:sz w:val="19"/>
              </w:rPr>
              <w:t>624,480.502</w:t>
            </w:r>
          </w:p>
          <w:p>
            <w:pPr>
              <w:pStyle w:val="TableParagraph"/>
              <w:spacing w:line="204" w:lineRule="exact"/>
              <w:ind w:left="412" w:right="-15"/>
              <w:rPr>
                <w:sz w:val="19"/>
              </w:rPr>
            </w:pPr>
            <w:r>
              <w:rPr>
                <w:spacing w:val="-18"/>
                <w:w w:val="95"/>
                <w:sz w:val="19"/>
              </w:rPr>
              <w:t>592,094.075</w:t>
            </w:r>
          </w:p>
          <w:p>
            <w:pPr>
              <w:pStyle w:val="TableParagraph"/>
              <w:spacing w:line="180" w:lineRule="exact"/>
              <w:ind w:left="416" w:right="-15"/>
              <w:rPr>
                <w:rFonts w:ascii="Times New Roman"/>
                <w:sz w:val="16"/>
              </w:rPr>
            </w:pPr>
            <w:r>
              <w:rPr>
                <w:rFonts w:ascii="Times New Roman"/>
                <w:w w:val="110"/>
                <w:sz w:val="16"/>
              </w:rPr>
              <w:t>558,943.538</w:t>
            </w:r>
          </w:p>
        </w:tc>
        <w:tc>
          <w:tcPr>
            <w:tcW w:w="1708" w:type="dxa"/>
            <w:tcBorders>
              <w:top w:val="nil"/>
              <w:bottom w:val="nil"/>
              <w:right w:val="single" w:sz="7" w:space="0" w:color="000000"/>
            </w:tcBorders>
          </w:tcPr>
          <w:p>
            <w:pPr>
              <w:pStyle w:val="TableParagraph"/>
              <w:spacing w:line="208" w:lineRule="exact" w:before="77"/>
              <w:ind w:left="371"/>
              <w:rPr>
                <w:sz w:val="19"/>
              </w:rPr>
            </w:pPr>
            <w:r>
              <w:rPr>
                <w:spacing w:val="-27"/>
                <w:sz w:val="19"/>
              </w:rPr>
              <w:t>8,076,378.469</w:t>
            </w:r>
          </w:p>
          <w:p>
            <w:pPr>
              <w:pStyle w:val="TableParagraph"/>
              <w:spacing w:line="201" w:lineRule="exact"/>
              <w:ind w:left="375"/>
              <w:rPr>
                <w:sz w:val="19"/>
              </w:rPr>
            </w:pPr>
            <w:r>
              <w:rPr>
                <w:w w:val="85"/>
                <w:sz w:val="19"/>
              </w:rPr>
              <w:t>7,389,627.314</w:t>
            </w:r>
          </w:p>
          <w:p>
            <w:pPr>
              <w:pStyle w:val="TableParagraph"/>
              <w:spacing w:line="200" w:lineRule="exact"/>
              <w:ind w:left="371"/>
              <w:rPr>
                <w:sz w:val="19"/>
              </w:rPr>
            </w:pPr>
            <w:r>
              <w:rPr>
                <w:w w:val="85"/>
                <w:sz w:val="19"/>
              </w:rPr>
              <w:t>6,733,568.499</w:t>
            </w:r>
          </w:p>
          <w:p>
            <w:pPr>
              <w:pStyle w:val="TableParagraph"/>
              <w:spacing w:line="200" w:lineRule="exact"/>
              <w:ind w:left="375"/>
              <w:rPr>
                <w:sz w:val="19"/>
              </w:rPr>
            </w:pPr>
            <w:r>
              <w:rPr>
                <w:w w:val="85"/>
                <w:sz w:val="19"/>
              </w:rPr>
              <w:t>6,109,078.997</w:t>
            </w:r>
          </w:p>
          <w:p>
            <w:pPr>
              <w:pStyle w:val="TableParagraph"/>
              <w:spacing w:line="208" w:lineRule="exact"/>
              <w:ind w:left="375"/>
              <w:rPr>
                <w:sz w:val="19"/>
              </w:rPr>
            </w:pPr>
            <w:r>
              <w:rPr>
                <w:w w:val="76"/>
                <w:sz w:val="19"/>
              </w:rPr>
              <w:t>5,</w:t>
            </w:r>
            <w:r>
              <w:rPr>
                <w:spacing w:val="-9"/>
                <w:w w:val="76"/>
                <w:sz w:val="19"/>
              </w:rPr>
              <w:t>5</w:t>
            </w:r>
            <w:r>
              <w:rPr>
                <w:w w:val="71"/>
                <w:sz w:val="19"/>
              </w:rPr>
              <w:t>16</w:t>
            </w:r>
            <w:r>
              <w:rPr>
                <w:spacing w:val="-39"/>
                <w:w w:val="80"/>
                <w:sz w:val="19"/>
              </w:rPr>
              <w:t>,</w:t>
            </w:r>
            <w:r>
              <w:rPr>
                <w:spacing w:val="-35"/>
                <w:w w:val="102"/>
                <w:sz w:val="19"/>
              </w:rPr>
              <w:t>9</w:t>
            </w:r>
            <w:r>
              <w:rPr>
                <w:w w:val="72"/>
                <w:sz w:val="19"/>
              </w:rPr>
              <w:t>84</w:t>
            </w:r>
            <w:r>
              <w:rPr>
                <w:spacing w:val="-17"/>
                <w:w w:val="72"/>
                <w:sz w:val="19"/>
              </w:rPr>
              <w:t>.</w:t>
            </w:r>
            <w:r>
              <w:rPr>
                <w:spacing w:val="-37"/>
                <w:w w:val="107"/>
                <w:sz w:val="19"/>
              </w:rPr>
              <w:t>9</w:t>
            </w:r>
            <w:r>
              <w:rPr>
                <w:w w:val="47"/>
                <w:sz w:val="19"/>
              </w:rPr>
              <w:t>2'2</w:t>
            </w:r>
          </w:p>
        </w:tc>
        <w:tc>
          <w:tcPr>
            <w:tcW w:w="486" w:type="dxa"/>
            <w:tcBorders>
              <w:top w:val="nil"/>
              <w:left w:val="single" w:sz="7" w:space="0" w:color="000000"/>
              <w:bottom w:val="nil"/>
              <w:right w:val="nil"/>
            </w:tcBorders>
          </w:tcPr>
          <w:p>
            <w:pPr>
              <w:pStyle w:val="TableParagraph"/>
              <w:spacing w:before="82"/>
              <w:ind w:left="165"/>
              <w:rPr>
                <w:rFonts w:ascii="Times New Roman"/>
                <w:sz w:val="16"/>
              </w:rPr>
            </w:pPr>
            <w:r>
              <w:rPr>
                <w:rFonts w:ascii="Times New Roman"/>
                <w:w w:val="110"/>
                <w:sz w:val="16"/>
              </w:rPr>
              <w:t>65</w:t>
            </w:r>
          </w:p>
          <w:p>
            <w:pPr>
              <w:pStyle w:val="TableParagraph"/>
              <w:spacing w:before="4"/>
              <w:ind w:left="165"/>
              <w:rPr>
                <w:rFonts w:ascii="Times New Roman"/>
                <w:sz w:val="17"/>
              </w:rPr>
            </w:pPr>
            <w:r>
              <w:rPr>
                <w:rFonts w:ascii="Times New Roman"/>
                <w:sz w:val="17"/>
              </w:rPr>
              <w:t>66</w:t>
            </w:r>
          </w:p>
          <w:p>
            <w:pPr>
              <w:pStyle w:val="TableParagraph"/>
              <w:spacing w:line="206" w:lineRule="exact" w:before="2"/>
              <w:ind w:left="165"/>
              <w:rPr>
                <w:sz w:val="19"/>
              </w:rPr>
            </w:pPr>
            <w:r>
              <w:rPr>
                <w:w w:val="105"/>
                <w:sz w:val="19"/>
              </w:rPr>
              <w:t>67</w:t>
            </w:r>
          </w:p>
          <w:p>
            <w:pPr>
              <w:pStyle w:val="TableParagraph"/>
              <w:spacing w:line="186" w:lineRule="exact"/>
              <w:ind w:left="165"/>
              <w:rPr>
                <w:rFonts w:ascii="Times New Roman"/>
                <w:sz w:val="17"/>
              </w:rPr>
            </w:pPr>
            <w:r>
              <w:rPr>
                <w:rFonts w:ascii="Times New Roman"/>
                <w:sz w:val="17"/>
              </w:rPr>
              <w:t>68</w:t>
            </w:r>
          </w:p>
          <w:p>
            <w:pPr>
              <w:pStyle w:val="TableParagraph"/>
              <w:spacing w:before="11"/>
              <w:ind w:left="168"/>
              <w:rPr>
                <w:sz w:val="18"/>
              </w:rPr>
            </w:pPr>
            <w:r>
              <w:rPr>
                <w:w w:val="105"/>
                <w:sz w:val="18"/>
              </w:rPr>
              <w:t>69</w:t>
            </w:r>
          </w:p>
        </w:tc>
      </w:tr>
    </w:tbl>
    <w:p>
      <w:pPr>
        <w:pStyle w:val="BodyText"/>
        <w:spacing w:before="1"/>
        <w:rPr>
          <w:sz w:val="5"/>
        </w:rPr>
      </w:pPr>
    </w:p>
    <w:p>
      <w:pPr>
        <w:pStyle w:val="BodyText"/>
        <w:spacing w:line="20" w:lineRule="exact"/>
        <w:ind w:left="109"/>
        <w:rPr>
          <w:sz w:val="2"/>
        </w:rPr>
      </w:pPr>
      <w:r>
        <w:rPr>
          <w:sz w:val="2"/>
        </w:rPr>
        <w:pict>
          <v:group style="width:240.7pt;height:.75pt;mso-position-horizontal-relative:char;mso-position-vertical-relative:line" coordorigin="0,0" coordsize="4814,15">
            <v:line style="position:absolute" from="8,8" to="4806,8" stroked="true" strokeweight=".717846pt" strokecolor="#000000"/>
          </v:group>
        </w:pict>
      </w:r>
      <w:r>
        <w:rPr>
          <w:sz w:val="2"/>
        </w:rPr>
      </w:r>
    </w:p>
    <w:p>
      <w:pPr>
        <w:spacing w:after="0" w:line="20" w:lineRule="exact"/>
        <w:rPr>
          <w:sz w:val="2"/>
        </w:rPr>
        <w:sectPr>
          <w:pgSz w:w="7200" w:h="11340"/>
          <w:pgMar w:top="500" w:bottom="280" w:left="680" w:right="600"/>
        </w:sectPr>
      </w:pPr>
    </w:p>
    <w:p>
      <w:pPr>
        <w:tabs>
          <w:tab w:pos="6388" w:val="right" w:leader="none"/>
        </w:tabs>
        <w:spacing w:before="55"/>
        <w:ind w:left="2482" w:right="0" w:firstLine="0"/>
        <w:jc w:val="left"/>
        <w:rPr>
          <w:sz w:val="20"/>
        </w:rPr>
      </w:pPr>
      <w:r>
        <w:rPr>
          <w:w w:val="105"/>
          <w:sz w:val="15"/>
        </w:rPr>
        <w:t>COMMUTATION </w:t>
      </w:r>
      <w:r>
        <w:rPr>
          <w:spacing w:val="32"/>
          <w:w w:val="105"/>
          <w:sz w:val="15"/>
        </w:rPr>
        <w:t> </w:t>
      </w:r>
      <w:r>
        <w:rPr>
          <w:w w:val="105"/>
          <w:sz w:val="15"/>
        </w:rPr>
        <w:t>COLUMNS</w:t>
      </w:r>
      <w:r>
        <w:rPr>
          <w:w w:val="105"/>
          <w:position w:val="3"/>
          <w:sz w:val="20"/>
        </w:rPr>
        <w:tab/>
        <w:t>341</w:t>
      </w:r>
    </w:p>
    <w:p>
      <w:pPr>
        <w:spacing w:before="184"/>
        <w:ind w:left="584" w:right="0" w:firstLine="0"/>
        <w:jc w:val="center"/>
        <w:rPr>
          <w:rFonts w:ascii="Courier New"/>
          <w:sz w:val="19"/>
        </w:rPr>
      </w:pPr>
      <w:r>
        <w:rPr>
          <w:rFonts w:ascii="Courier New"/>
          <w:spacing w:val="-16"/>
          <w:w w:val="105"/>
          <w:sz w:val="19"/>
        </w:rPr>
        <w:t>1958</w:t>
      </w:r>
      <w:r>
        <w:rPr>
          <w:rFonts w:ascii="Courier New"/>
          <w:spacing w:val="-101"/>
          <w:w w:val="105"/>
          <w:sz w:val="19"/>
        </w:rPr>
        <w:t> </w:t>
      </w:r>
      <w:r>
        <w:rPr>
          <w:w w:val="105"/>
          <w:sz w:val="25"/>
        </w:rPr>
        <w:t>eso </w:t>
      </w:r>
      <w:r>
        <w:rPr>
          <w:rFonts w:ascii="Courier New"/>
          <w:spacing w:val="-14"/>
          <w:w w:val="120"/>
          <w:sz w:val="19"/>
        </w:rPr>
        <w:t>3%</w:t>
      </w:r>
    </w:p>
    <w:p>
      <w:pPr>
        <w:spacing w:before="14"/>
        <w:ind w:left="508" w:right="0" w:firstLine="0"/>
        <w:jc w:val="center"/>
        <w:rPr>
          <w:sz w:val="17"/>
        </w:rPr>
      </w:pPr>
      <w:r>
        <w:rPr/>
        <w:pict>
          <v:shape style="position:absolute;margin-left:40.590pt;margin-top:13.495532pt;width:287.4pt;height:381.8pt;mso-position-horizontal-relative:page;mso-position-vertical-relative:paragraph;z-index:26824" type="#_x0000_t202" filled="false" stroked="false">
            <v:textbox inset="0,0,0,0">
              <w:txbxContent>
                <w:tbl>
                  <w:tblPr>
                    <w:tblW w:w="0" w:type="auto"/>
                    <w:jc w:val="left"/>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top w:w="0" w:type="dxa"/>
                      <w:left w:w="0" w:type="dxa"/>
                      <w:bottom w:w="0" w:type="dxa"/>
                      <w:right w:w="0" w:type="dxa"/>
                    </w:tblCellMar>
                    <w:tblLook w:val="01E0"/>
                  </w:tblPr>
                  <w:tblGrid>
                    <w:gridCol w:w="482"/>
                    <w:gridCol w:w="1474"/>
                    <w:gridCol w:w="1548"/>
                    <w:gridCol w:w="1711"/>
                    <w:gridCol w:w="505"/>
                  </w:tblGrid>
                  <w:tr>
                    <w:trPr>
                      <w:trHeight w:val="301" w:hRule="exact"/>
                    </w:trPr>
                    <w:tc>
                      <w:tcPr>
                        <w:tcW w:w="482" w:type="dxa"/>
                        <w:vMerge w:val="restart"/>
                        <w:tcBorders>
                          <w:left w:val="nil"/>
                        </w:tcBorders>
                      </w:tcPr>
                      <w:p>
                        <w:pPr>
                          <w:pStyle w:val="TableParagraph"/>
                          <w:spacing w:line="383" w:lineRule="exact" w:before="125"/>
                          <w:ind w:left="187" w:right="-57"/>
                          <w:rPr>
                            <w:rFonts w:ascii="Times New Roman"/>
                            <w:sz w:val="28"/>
                          </w:rPr>
                        </w:pPr>
                        <w:r>
                          <w:rPr>
                            <w:rFonts w:ascii="Arial"/>
                            <w:w w:val="120"/>
                            <w:sz w:val="25"/>
                          </w:rPr>
                          <w:t>"</w:t>
                        </w:r>
                        <w:r>
                          <w:rPr>
                            <w:rFonts w:ascii="Arial"/>
                            <w:spacing w:val="-53"/>
                            <w:w w:val="120"/>
                            <w:sz w:val="25"/>
                          </w:rPr>
                          <w:t> </w:t>
                        </w:r>
                        <w:r>
                          <w:rPr>
                            <w:rFonts w:ascii="Times New Roman"/>
                            <w:w w:val="200"/>
                            <w:position w:val="-9"/>
                            <w:sz w:val="28"/>
                          </w:rPr>
                          <w:t>-</w:t>
                        </w:r>
                      </w:p>
                      <w:p>
                        <w:pPr>
                          <w:pStyle w:val="TableParagraph"/>
                          <w:spacing w:line="201" w:lineRule="exact"/>
                          <w:ind w:left="151" w:right="-57"/>
                          <w:rPr>
                            <w:sz w:val="19"/>
                          </w:rPr>
                        </w:pPr>
                        <w:r>
                          <w:rPr>
                            <w:sz w:val="19"/>
                          </w:rPr>
                          <w:t>70</w:t>
                        </w:r>
                      </w:p>
                      <w:p>
                        <w:pPr>
                          <w:pStyle w:val="TableParagraph"/>
                          <w:spacing w:line="181" w:lineRule="exact"/>
                          <w:ind w:left="151" w:right="-57"/>
                          <w:rPr>
                            <w:rFonts w:ascii="Arial"/>
                            <w:sz w:val="16"/>
                          </w:rPr>
                        </w:pPr>
                        <w:r>
                          <w:rPr>
                            <w:rFonts w:ascii="Arial"/>
                            <w:sz w:val="16"/>
                          </w:rPr>
                          <w:t>71</w:t>
                        </w:r>
                      </w:p>
                    </w:tc>
                    <w:tc>
                      <w:tcPr>
                        <w:tcW w:w="1474" w:type="dxa"/>
                        <w:tcBorders>
                          <w:bottom w:val="single" w:sz="1" w:space="0" w:color="000000"/>
                          <w:right w:val="single" w:sz="6" w:space="0" w:color="000000"/>
                        </w:tcBorders>
                      </w:tcPr>
                      <w:p>
                        <w:pPr>
                          <w:pStyle w:val="TableParagraph"/>
                          <w:spacing w:before="26"/>
                          <w:ind w:left="174" w:right="147"/>
                          <w:jc w:val="center"/>
                          <w:rPr>
                            <w:rFonts w:ascii="Times New Roman"/>
                            <w:i/>
                            <w:sz w:val="23"/>
                          </w:rPr>
                        </w:pPr>
                        <w:r>
                          <w:rPr>
                            <w:rFonts w:ascii="Times New Roman"/>
                            <w:i/>
                            <w:w w:val="110"/>
                            <w:sz w:val="23"/>
                          </w:rPr>
                          <w:t>c.</w:t>
                        </w:r>
                      </w:p>
                    </w:tc>
                    <w:tc>
                      <w:tcPr>
                        <w:tcW w:w="1548" w:type="dxa"/>
                        <w:tcBorders>
                          <w:left w:val="single" w:sz="6" w:space="0" w:color="000000"/>
                          <w:bottom w:val="single" w:sz="1" w:space="0" w:color="000000"/>
                          <w:right w:val="single" w:sz="6" w:space="0" w:color="000000"/>
                        </w:tcBorders>
                      </w:tcPr>
                      <w:p>
                        <w:pPr>
                          <w:pStyle w:val="TableParagraph"/>
                          <w:spacing w:before="5"/>
                          <w:rPr>
                            <w:rFonts w:ascii="Times New Roman"/>
                            <w:sz w:val="9"/>
                          </w:rPr>
                        </w:pPr>
                      </w:p>
                      <w:p>
                        <w:pPr>
                          <w:pStyle w:val="TableParagraph"/>
                          <w:ind w:left="93" w:right="78"/>
                          <w:jc w:val="center"/>
                          <w:rPr>
                            <w:rFonts w:ascii="Times New Roman"/>
                            <w:b/>
                            <w:sz w:val="13"/>
                          </w:rPr>
                        </w:pPr>
                        <w:r>
                          <w:rPr>
                            <w:rFonts w:ascii="Times New Roman"/>
                            <w:b/>
                            <w:w w:val="105"/>
                            <w:sz w:val="13"/>
                          </w:rPr>
                          <w:t>J/a</w:t>
                        </w:r>
                      </w:p>
                    </w:tc>
                    <w:tc>
                      <w:tcPr>
                        <w:tcW w:w="1711" w:type="dxa"/>
                        <w:tcBorders>
                          <w:left w:val="single" w:sz="6" w:space="0" w:color="000000"/>
                          <w:bottom w:val="single" w:sz="1" w:space="0" w:color="000000"/>
                          <w:right w:val="single" w:sz="6" w:space="0" w:color="000000"/>
                        </w:tcBorders>
                      </w:tcPr>
                      <w:p>
                        <w:pPr>
                          <w:pStyle w:val="TableParagraph"/>
                          <w:spacing w:before="108"/>
                          <w:ind w:left="51" w:right="52"/>
                          <w:jc w:val="center"/>
                          <w:rPr>
                            <w:rFonts w:ascii="Times New Roman"/>
                            <w:b/>
                            <w:i/>
                            <w:sz w:val="15"/>
                          </w:rPr>
                        </w:pPr>
                        <w:r>
                          <w:rPr>
                            <w:rFonts w:ascii="Times New Roman"/>
                            <w:b/>
                            <w:i/>
                            <w:w w:val="90"/>
                            <w:sz w:val="15"/>
                          </w:rPr>
                          <w:t>Ra</w:t>
                        </w:r>
                      </w:p>
                    </w:tc>
                    <w:tc>
                      <w:tcPr>
                        <w:tcW w:w="505" w:type="dxa"/>
                        <w:tcBorders>
                          <w:left w:val="single" w:sz="6" w:space="0" w:color="000000"/>
                          <w:bottom w:val="single" w:sz="1" w:space="0" w:color="000000"/>
                          <w:right w:val="nil"/>
                        </w:tcBorders>
                      </w:tcPr>
                      <w:p>
                        <w:pPr>
                          <w:pStyle w:val="TableParagraph"/>
                          <w:spacing w:line="217" w:lineRule="exact" w:before="113"/>
                          <w:ind w:left="16"/>
                          <w:jc w:val="center"/>
                          <w:rPr>
                            <w:rFonts w:ascii="Times New Roman"/>
                            <w:sz w:val="23"/>
                          </w:rPr>
                        </w:pPr>
                        <w:r>
                          <w:rPr>
                            <w:rFonts w:ascii="Times New Roman"/>
                            <w:w w:val="92"/>
                            <w:sz w:val="23"/>
                          </w:rPr>
                          <w:t>"</w:t>
                        </w:r>
                      </w:p>
                    </w:tc>
                  </w:tr>
                  <w:tr>
                    <w:trPr>
                      <w:trHeight w:val="609" w:hRule="exact"/>
                    </w:trPr>
                    <w:tc>
                      <w:tcPr>
                        <w:tcW w:w="482" w:type="dxa"/>
                        <w:vMerge/>
                        <w:tcBorders>
                          <w:left w:val="nil"/>
                          <w:bottom w:val="nil"/>
                        </w:tcBorders>
                      </w:tcPr>
                      <w:p>
                        <w:pPr/>
                      </w:p>
                    </w:tc>
                    <w:tc>
                      <w:tcPr>
                        <w:tcW w:w="1474" w:type="dxa"/>
                        <w:tcBorders>
                          <w:top w:val="single" w:sz="1" w:space="0" w:color="000000"/>
                          <w:bottom w:val="nil"/>
                          <w:right w:val="single" w:sz="6" w:space="0" w:color="000000"/>
                        </w:tcBorders>
                      </w:tcPr>
                      <w:p>
                        <w:pPr>
                          <w:pStyle w:val="TableParagraph"/>
                          <w:spacing w:before="8"/>
                          <w:rPr>
                            <w:rFonts w:ascii="Times New Roman"/>
                            <w:sz w:val="16"/>
                          </w:rPr>
                        </w:pPr>
                      </w:p>
                      <w:p>
                        <w:pPr>
                          <w:pStyle w:val="TableParagraph"/>
                          <w:spacing w:line="210" w:lineRule="exact" w:before="1"/>
                          <w:ind w:left="325" w:right="-12"/>
                          <w:rPr>
                            <w:sz w:val="19"/>
                          </w:rPr>
                        </w:pPr>
                        <w:r>
                          <w:rPr>
                            <w:w w:val="85"/>
                            <w:sz w:val="19"/>
                          </w:rPr>
                          <w:t>34,140.262</w:t>
                        </w:r>
                      </w:p>
                      <w:p>
                        <w:pPr>
                          <w:pStyle w:val="TableParagraph"/>
                          <w:spacing w:line="210" w:lineRule="exact"/>
                          <w:ind w:left="325" w:right="-12"/>
                          <w:rPr>
                            <w:sz w:val="19"/>
                          </w:rPr>
                        </w:pPr>
                        <w:r>
                          <w:rPr>
                            <w:w w:val="80"/>
                            <w:sz w:val="19"/>
                          </w:rPr>
                          <w:t>34,253.619</w:t>
                        </w:r>
                      </w:p>
                    </w:tc>
                    <w:tc>
                      <w:tcPr>
                        <w:tcW w:w="1548" w:type="dxa"/>
                        <w:tcBorders>
                          <w:top w:val="single" w:sz="1" w:space="0" w:color="000000"/>
                          <w:left w:val="single" w:sz="6" w:space="0" w:color="000000"/>
                          <w:bottom w:val="nil"/>
                          <w:right w:val="single" w:sz="6" w:space="0" w:color="000000"/>
                        </w:tcBorders>
                      </w:tcPr>
                      <w:p>
                        <w:pPr>
                          <w:pStyle w:val="TableParagraph"/>
                          <w:spacing w:before="1"/>
                          <w:rPr>
                            <w:rFonts w:ascii="Times New Roman"/>
                            <w:sz w:val="16"/>
                          </w:rPr>
                        </w:pPr>
                      </w:p>
                      <w:p>
                        <w:pPr>
                          <w:pStyle w:val="TableParagraph"/>
                          <w:spacing w:line="208" w:lineRule="exact"/>
                          <w:ind w:left="408" w:right="-7"/>
                          <w:rPr>
                            <w:sz w:val="19"/>
                          </w:rPr>
                        </w:pPr>
                        <w:r>
                          <w:rPr>
                            <w:w w:val="85"/>
                            <w:sz w:val="19"/>
                          </w:rPr>
                          <w:t>525,191.705</w:t>
                        </w:r>
                      </w:p>
                      <w:p>
                        <w:pPr>
                          <w:pStyle w:val="TableParagraph"/>
                          <w:spacing w:line="208" w:lineRule="exact"/>
                          <w:ind w:left="408" w:right="-7"/>
                          <w:rPr>
                            <w:sz w:val="19"/>
                          </w:rPr>
                        </w:pPr>
                        <w:r>
                          <w:rPr>
                            <w:spacing w:val="-12"/>
                            <w:w w:val="90"/>
                            <w:sz w:val="19"/>
                          </w:rPr>
                          <w:t>491,051.443</w:t>
                        </w:r>
                      </w:p>
                    </w:tc>
                    <w:tc>
                      <w:tcPr>
                        <w:tcW w:w="1711" w:type="dxa"/>
                        <w:tcBorders>
                          <w:top w:val="single" w:sz="1" w:space="0" w:color="000000"/>
                          <w:left w:val="single" w:sz="6" w:space="0" w:color="000000"/>
                          <w:bottom w:val="nil"/>
                          <w:right w:val="single" w:sz="6" w:space="0" w:color="000000"/>
                        </w:tcBorders>
                      </w:tcPr>
                      <w:p>
                        <w:pPr>
                          <w:pStyle w:val="TableParagraph"/>
                          <w:rPr>
                            <w:rFonts w:ascii="Times New Roman"/>
                            <w:sz w:val="17"/>
                          </w:rPr>
                        </w:pPr>
                      </w:p>
                      <w:p>
                        <w:pPr>
                          <w:pStyle w:val="TableParagraph"/>
                          <w:spacing w:line="207" w:lineRule="exact" w:before="1"/>
                          <w:ind w:left="372" w:right="-5"/>
                          <w:rPr>
                            <w:sz w:val="19"/>
                          </w:rPr>
                        </w:pPr>
                        <w:r>
                          <w:rPr>
                            <w:w w:val="85"/>
                            <w:sz w:val="19"/>
                          </w:rPr>
                          <w:t>4,958,041.384</w:t>
                        </w:r>
                      </w:p>
                      <w:p>
                        <w:pPr>
                          <w:pStyle w:val="TableParagraph"/>
                          <w:spacing w:line="207" w:lineRule="exact"/>
                          <w:ind w:left="376" w:right="-5"/>
                          <w:rPr>
                            <w:sz w:val="19"/>
                          </w:rPr>
                        </w:pPr>
                        <w:r>
                          <w:rPr>
                            <w:spacing w:val="-13"/>
                            <w:w w:val="90"/>
                            <w:sz w:val="19"/>
                          </w:rPr>
                          <w:t>4,432,849.679</w:t>
                        </w:r>
                      </w:p>
                    </w:tc>
                    <w:tc>
                      <w:tcPr>
                        <w:tcW w:w="505" w:type="dxa"/>
                        <w:tcBorders>
                          <w:top w:val="single" w:sz="1" w:space="0" w:color="000000"/>
                          <w:left w:val="single" w:sz="6" w:space="0" w:color="000000"/>
                          <w:bottom w:val="nil"/>
                          <w:right w:val="nil"/>
                        </w:tcBorders>
                      </w:tcPr>
                      <w:p>
                        <w:pPr>
                          <w:pStyle w:val="TableParagraph"/>
                          <w:spacing w:before="3"/>
                          <w:rPr>
                            <w:rFonts w:ascii="Times New Roman"/>
                            <w:sz w:val="18"/>
                          </w:rPr>
                        </w:pPr>
                      </w:p>
                      <w:p>
                        <w:pPr>
                          <w:pStyle w:val="TableParagraph"/>
                          <w:spacing w:line="211" w:lineRule="exact" w:before="1"/>
                          <w:ind w:left="166"/>
                          <w:rPr>
                            <w:sz w:val="19"/>
                          </w:rPr>
                        </w:pPr>
                        <w:r>
                          <w:rPr>
                            <w:w w:val="105"/>
                            <w:sz w:val="19"/>
                          </w:rPr>
                          <w:t>70</w:t>
                        </w:r>
                      </w:p>
                      <w:p>
                        <w:pPr>
                          <w:pStyle w:val="TableParagraph"/>
                          <w:spacing w:line="179" w:lineRule="exact"/>
                          <w:ind w:left="162"/>
                          <w:rPr>
                            <w:rFonts w:ascii="Arial"/>
                            <w:sz w:val="16"/>
                          </w:rPr>
                        </w:pPr>
                        <w:r>
                          <w:rPr>
                            <w:rFonts w:ascii="Arial"/>
                            <w:sz w:val="16"/>
                          </w:rPr>
                          <w:t>71</w:t>
                        </w:r>
                      </w:p>
                    </w:tc>
                  </w:tr>
                  <w:tr>
                    <w:trPr>
                      <w:trHeight w:val="704" w:hRule="exact"/>
                    </w:trPr>
                    <w:tc>
                      <w:tcPr>
                        <w:tcW w:w="482" w:type="dxa"/>
                        <w:tcBorders>
                          <w:top w:val="nil"/>
                          <w:left w:val="nil"/>
                          <w:bottom w:val="nil"/>
                        </w:tcBorders>
                      </w:tcPr>
                      <w:p>
                        <w:pPr>
                          <w:pStyle w:val="TableParagraph"/>
                          <w:spacing w:line="205" w:lineRule="exact"/>
                          <w:ind w:left="151" w:right="-57"/>
                          <w:rPr>
                            <w:sz w:val="19"/>
                          </w:rPr>
                        </w:pPr>
                        <w:r>
                          <w:rPr>
                            <w:sz w:val="19"/>
                          </w:rPr>
                          <w:t>72</w:t>
                        </w:r>
                      </w:p>
                      <w:p>
                        <w:pPr>
                          <w:pStyle w:val="TableParagraph"/>
                          <w:spacing w:line="202" w:lineRule="exact"/>
                          <w:ind w:left="151" w:right="-57"/>
                          <w:rPr>
                            <w:sz w:val="19"/>
                          </w:rPr>
                        </w:pPr>
                        <w:r>
                          <w:rPr>
                            <w:sz w:val="19"/>
                          </w:rPr>
                          <w:t>73</w:t>
                        </w:r>
                      </w:p>
                      <w:p>
                        <w:pPr>
                          <w:pStyle w:val="TableParagraph"/>
                          <w:spacing w:line="208" w:lineRule="exact"/>
                          <w:ind w:left="151" w:right="-57"/>
                          <w:rPr>
                            <w:sz w:val="19"/>
                          </w:rPr>
                        </w:pPr>
                        <w:r>
                          <w:rPr>
                            <w:sz w:val="19"/>
                          </w:rPr>
                          <w:t>74</w:t>
                        </w:r>
                      </w:p>
                    </w:tc>
                    <w:tc>
                      <w:tcPr>
                        <w:tcW w:w="1474" w:type="dxa"/>
                        <w:tcBorders>
                          <w:top w:val="nil"/>
                          <w:bottom w:val="nil"/>
                          <w:right w:val="single" w:sz="6" w:space="0" w:color="000000"/>
                        </w:tcBorders>
                      </w:tcPr>
                      <w:p>
                        <w:pPr>
                          <w:pStyle w:val="TableParagraph"/>
                          <w:spacing w:line="197" w:lineRule="exact"/>
                          <w:ind w:left="325" w:right="-12"/>
                          <w:rPr>
                            <w:sz w:val="19"/>
                          </w:rPr>
                        </w:pPr>
                        <w:r>
                          <w:rPr>
                            <w:w w:val="90"/>
                            <w:sz w:val="19"/>
                          </w:rPr>
                          <w:t>34,069.048</w:t>
                        </w:r>
                      </w:p>
                      <w:p>
                        <w:pPr>
                          <w:pStyle w:val="TableParagraph"/>
                          <w:spacing w:line="201" w:lineRule="exact"/>
                          <w:ind w:left="329" w:right="-12"/>
                          <w:rPr>
                            <w:sz w:val="19"/>
                          </w:rPr>
                        </w:pPr>
                        <w:r>
                          <w:rPr>
                            <w:w w:val="85"/>
                            <w:sz w:val="19"/>
                          </w:rPr>
                          <w:t>33,584.287</w:t>
                        </w:r>
                      </w:p>
                      <w:p>
                        <w:pPr>
                          <w:pStyle w:val="TableParagraph"/>
                          <w:spacing w:line="188" w:lineRule="exact"/>
                          <w:ind w:left="325" w:right="-12"/>
                          <w:rPr>
                            <w:rFonts w:ascii="Times New Roman"/>
                            <w:sz w:val="17"/>
                          </w:rPr>
                        </w:pPr>
                        <w:r>
                          <w:rPr>
                            <w:rFonts w:ascii="Times New Roman"/>
                            <w:w w:val="105"/>
                            <w:sz w:val="17"/>
                          </w:rPr>
                          <w:t>32,889.905</w:t>
                        </w:r>
                      </w:p>
                    </w:tc>
                    <w:tc>
                      <w:tcPr>
                        <w:tcW w:w="1548" w:type="dxa"/>
                        <w:tcBorders>
                          <w:top w:val="nil"/>
                          <w:left w:val="single" w:sz="6" w:space="0" w:color="000000"/>
                          <w:bottom w:val="nil"/>
                          <w:right w:val="single" w:sz="6" w:space="0" w:color="000000"/>
                        </w:tcBorders>
                      </w:tcPr>
                      <w:p>
                        <w:pPr>
                          <w:pStyle w:val="TableParagraph"/>
                          <w:spacing w:line="190" w:lineRule="exact"/>
                          <w:ind w:left="408" w:right="-7"/>
                          <w:rPr>
                            <w:sz w:val="19"/>
                          </w:rPr>
                        </w:pPr>
                        <w:r>
                          <w:rPr>
                            <w:spacing w:val="-17"/>
                            <w:w w:val="95"/>
                            <w:sz w:val="19"/>
                          </w:rPr>
                          <w:t>466,797.824</w:t>
                        </w:r>
                      </w:p>
                      <w:p>
                        <w:pPr>
                          <w:pStyle w:val="TableParagraph"/>
                          <w:spacing w:line="202" w:lineRule="exact"/>
                          <w:ind w:left="408" w:right="-7"/>
                          <w:rPr>
                            <w:sz w:val="19"/>
                          </w:rPr>
                        </w:pPr>
                        <w:r>
                          <w:rPr>
                            <w:spacing w:val="-10"/>
                            <w:w w:val="90"/>
                            <w:sz w:val="19"/>
                          </w:rPr>
                          <w:t>422,728.776</w:t>
                        </w:r>
                      </w:p>
                      <w:p>
                        <w:pPr>
                          <w:pStyle w:val="TableParagraph"/>
                          <w:spacing w:line="208" w:lineRule="exact"/>
                          <w:ind w:left="408" w:right="-7"/>
                          <w:rPr>
                            <w:sz w:val="19"/>
                          </w:rPr>
                        </w:pPr>
                        <w:r>
                          <w:rPr>
                            <w:w w:val="80"/>
                            <w:sz w:val="19"/>
                          </w:rPr>
                          <w:t>389,144.489</w:t>
                        </w:r>
                      </w:p>
                    </w:tc>
                    <w:tc>
                      <w:tcPr>
                        <w:tcW w:w="1711" w:type="dxa"/>
                        <w:tcBorders>
                          <w:top w:val="nil"/>
                          <w:left w:val="single" w:sz="6" w:space="0" w:color="000000"/>
                          <w:bottom w:val="nil"/>
                          <w:right w:val="single" w:sz="6" w:space="0" w:color="000000"/>
                        </w:tcBorders>
                      </w:tcPr>
                      <w:p>
                        <w:pPr>
                          <w:pStyle w:val="TableParagraph"/>
                          <w:spacing w:line="190" w:lineRule="exact"/>
                          <w:ind w:left="379" w:right="-5"/>
                          <w:rPr>
                            <w:sz w:val="19"/>
                          </w:rPr>
                        </w:pPr>
                        <w:r>
                          <w:rPr>
                            <w:spacing w:val="-10"/>
                            <w:w w:val="90"/>
                            <w:sz w:val="19"/>
                          </w:rPr>
                          <w:t>3,941,798.236</w:t>
                        </w:r>
                      </w:p>
                      <w:p>
                        <w:pPr>
                          <w:pStyle w:val="TableParagraph"/>
                          <w:spacing w:line="198" w:lineRule="exact"/>
                          <w:ind w:left="379" w:right="-5"/>
                          <w:rPr>
                            <w:sz w:val="19"/>
                          </w:rPr>
                        </w:pPr>
                        <w:r>
                          <w:rPr>
                            <w:spacing w:val="-9"/>
                            <w:w w:val="90"/>
                            <w:sz w:val="19"/>
                          </w:rPr>
                          <w:t>3,485,000.412</w:t>
                        </w:r>
                      </w:p>
                      <w:p>
                        <w:pPr>
                          <w:pStyle w:val="TableParagraph"/>
                          <w:spacing w:line="208" w:lineRule="exact"/>
                          <w:ind w:left="376" w:right="-5"/>
                          <w:rPr>
                            <w:sz w:val="19"/>
                          </w:rPr>
                        </w:pPr>
                        <w:r>
                          <w:rPr>
                            <w:w w:val="80"/>
                            <w:sz w:val="19"/>
                          </w:rPr>
                          <w:t>3,.062,271.636</w:t>
                        </w:r>
                      </w:p>
                    </w:tc>
                    <w:tc>
                      <w:tcPr>
                        <w:tcW w:w="505" w:type="dxa"/>
                        <w:tcBorders>
                          <w:top w:val="nil"/>
                          <w:left w:val="single" w:sz="6" w:space="0" w:color="000000"/>
                          <w:bottom w:val="nil"/>
                          <w:right w:val="nil"/>
                        </w:tcBorders>
                      </w:tcPr>
                      <w:p>
                        <w:pPr>
                          <w:pStyle w:val="TableParagraph"/>
                          <w:spacing w:before="8"/>
                          <w:ind w:left="166"/>
                          <w:rPr>
                            <w:rFonts w:ascii="Times New Roman"/>
                            <w:sz w:val="16"/>
                          </w:rPr>
                        </w:pPr>
                        <w:r>
                          <w:rPr>
                            <w:rFonts w:ascii="Times New Roman"/>
                            <w:w w:val="105"/>
                            <w:sz w:val="16"/>
                          </w:rPr>
                          <w:t>72</w:t>
                        </w:r>
                      </w:p>
                      <w:p>
                        <w:pPr>
                          <w:pStyle w:val="TableParagraph"/>
                          <w:spacing w:line="205" w:lineRule="exact" w:before="1"/>
                          <w:ind w:left="170"/>
                          <w:rPr>
                            <w:sz w:val="19"/>
                          </w:rPr>
                        </w:pPr>
                        <w:r>
                          <w:rPr>
                            <w:sz w:val="19"/>
                          </w:rPr>
                          <w:t>73</w:t>
                        </w:r>
                      </w:p>
                      <w:p>
                        <w:pPr>
                          <w:pStyle w:val="TableParagraph"/>
                          <w:spacing w:line="205" w:lineRule="exact"/>
                          <w:ind w:left="173"/>
                          <w:rPr>
                            <w:sz w:val="19"/>
                          </w:rPr>
                        </w:pPr>
                        <w:r>
                          <w:rPr>
                            <w:sz w:val="19"/>
                          </w:rPr>
                          <w:t>74</w:t>
                        </w:r>
                      </w:p>
                    </w:tc>
                  </w:tr>
                  <w:tr>
                    <w:trPr>
                      <w:trHeight w:val="1208" w:hRule="exact"/>
                    </w:trPr>
                    <w:tc>
                      <w:tcPr>
                        <w:tcW w:w="482" w:type="dxa"/>
                        <w:tcBorders>
                          <w:top w:val="nil"/>
                          <w:left w:val="nil"/>
                          <w:bottom w:val="nil"/>
                        </w:tcBorders>
                      </w:tcPr>
                      <w:p>
                        <w:pPr>
                          <w:pStyle w:val="TableParagraph"/>
                          <w:spacing w:line="210" w:lineRule="exact" w:before="99"/>
                          <w:ind w:left="147" w:right="-57"/>
                          <w:rPr>
                            <w:sz w:val="19"/>
                          </w:rPr>
                        </w:pPr>
                        <w:r>
                          <w:rPr>
                            <w:sz w:val="19"/>
                          </w:rPr>
                          <w:t>75</w:t>
                        </w:r>
                      </w:p>
                      <w:p>
                        <w:pPr>
                          <w:pStyle w:val="TableParagraph"/>
                          <w:spacing w:line="203" w:lineRule="exact"/>
                          <w:ind w:left="147" w:right="-57"/>
                          <w:rPr>
                            <w:sz w:val="19"/>
                          </w:rPr>
                        </w:pPr>
                        <w:r>
                          <w:rPr>
                            <w:sz w:val="19"/>
                          </w:rPr>
                          <w:t>76</w:t>
                        </w:r>
                      </w:p>
                      <w:p>
                        <w:pPr>
                          <w:pStyle w:val="TableParagraph"/>
                          <w:spacing w:line="200" w:lineRule="exact"/>
                          <w:ind w:left="151" w:right="-57"/>
                          <w:rPr>
                            <w:sz w:val="19"/>
                          </w:rPr>
                        </w:pPr>
                        <w:r>
                          <w:rPr>
                            <w:sz w:val="19"/>
                          </w:rPr>
                          <w:t>77</w:t>
                        </w:r>
                      </w:p>
                      <w:p>
                        <w:pPr>
                          <w:pStyle w:val="TableParagraph"/>
                          <w:spacing w:line="200" w:lineRule="exact"/>
                          <w:ind w:left="151" w:right="-57"/>
                          <w:rPr>
                            <w:sz w:val="19"/>
                          </w:rPr>
                        </w:pPr>
                        <w:r>
                          <w:rPr>
                            <w:sz w:val="19"/>
                          </w:rPr>
                          <w:t>78</w:t>
                        </w:r>
                      </w:p>
                      <w:p>
                        <w:pPr>
                          <w:pStyle w:val="TableParagraph"/>
                          <w:spacing w:line="208" w:lineRule="exact"/>
                          <w:ind w:left="147" w:right="-57"/>
                          <w:rPr>
                            <w:sz w:val="19"/>
                          </w:rPr>
                        </w:pPr>
                        <w:r>
                          <w:rPr>
                            <w:sz w:val="19"/>
                          </w:rPr>
                          <w:t>79</w:t>
                        </w:r>
                      </w:p>
                    </w:tc>
                    <w:tc>
                      <w:tcPr>
                        <w:tcW w:w="1474" w:type="dxa"/>
                        <w:tcBorders>
                          <w:top w:val="nil"/>
                          <w:bottom w:val="nil"/>
                          <w:right w:val="single" w:sz="6" w:space="0" w:color="000000"/>
                        </w:tcBorders>
                      </w:tcPr>
                      <w:p>
                        <w:pPr>
                          <w:pStyle w:val="TableParagraph"/>
                          <w:spacing w:line="208" w:lineRule="exact" w:before="91"/>
                          <w:ind w:left="329" w:right="-12"/>
                          <w:rPr>
                            <w:sz w:val="19"/>
                          </w:rPr>
                        </w:pPr>
                        <w:r>
                          <w:rPr>
                            <w:w w:val="90"/>
                            <w:sz w:val="19"/>
                          </w:rPr>
                          <w:t>32,050.095</w:t>
                        </w:r>
                      </w:p>
                      <w:p>
                        <w:pPr>
                          <w:pStyle w:val="TableParagraph"/>
                          <w:spacing w:line="200" w:lineRule="exact"/>
                          <w:ind w:left="333" w:right="-12"/>
                          <w:rPr>
                            <w:sz w:val="19"/>
                          </w:rPr>
                        </w:pPr>
                        <w:r>
                          <w:rPr>
                            <w:w w:val="90"/>
                            <w:sz w:val="19"/>
                          </w:rPr>
                          <w:t>31,116.905</w:t>
                        </w:r>
                      </w:p>
                      <w:p>
                        <w:pPr>
                          <w:pStyle w:val="TableParagraph"/>
                          <w:spacing w:line="200" w:lineRule="exact"/>
                          <w:ind w:left="333" w:right="-12"/>
                          <w:rPr>
                            <w:sz w:val="19"/>
                          </w:rPr>
                        </w:pPr>
                        <w:r>
                          <w:rPr>
                            <w:w w:val="90"/>
                            <w:sz w:val="19"/>
                          </w:rPr>
                          <w:t>30,109.191</w:t>
                        </w:r>
                      </w:p>
                      <w:p>
                        <w:pPr>
                          <w:pStyle w:val="TableParagraph"/>
                          <w:spacing w:line="202" w:lineRule="exact"/>
                          <w:ind w:left="336" w:right="-12"/>
                          <w:rPr>
                            <w:sz w:val="19"/>
                          </w:rPr>
                        </w:pPr>
                        <w:r>
                          <w:rPr>
                            <w:w w:val="90"/>
                            <w:sz w:val="19"/>
                          </w:rPr>
                          <w:t>29,022.371</w:t>
                        </w:r>
                      </w:p>
                      <w:p>
                        <w:pPr>
                          <w:pStyle w:val="TableParagraph"/>
                          <w:spacing w:line="208" w:lineRule="exact"/>
                          <w:ind w:left="336" w:right="-12"/>
                          <w:rPr>
                            <w:sz w:val="19"/>
                          </w:rPr>
                        </w:pPr>
                        <w:r>
                          <w:rPr>
                            <w:w w:val="80"/>
                            <w:sz w:val="19"/>
                          </w:rPr>
                          <w:t>27,787.431</w:t>
                        </w:r>
                      </w:p>
                    </w:tc>
                    <w:tc>
                      <w:tcPr>
                        <w:tcW w:w="1548" w:type="dxa"/>
                        <w:tcBorders>
                          <w:top w:val="nil"/>
                          <w:left w:val="single" w:sz="6" w:space="0" w:color="000000"/>
                          <w:bottom w:val="nil"/>
                          <w:right w:val="single" w:sz="6" w:space="0" w:color="000000"/>
                        </w:tcBorders>
                      </w:tcPr>
                      <w:p>
                        <w:pPr>
                          <w:pStyle w:val="TableParagraph"/>
                          <w:spacing w:line="218" w:lineRule="exact" w:before="76"/>
                          <w:ind w:left="412" w:right="-7"/>
                          <w:rPr>
                            <w:sz w:val="20"/>
                          </w:rPr>
                        </w:pPr>
                        <w:r>
                          <w:rPr>
                            <w:w w:val="75"/>
                            <w:sz w:val="20"/>
                          </w:rPr>
                          <w:t>356,254.684</w:t>
                        </w:r>
                      </w:p>
                      <w:p>
                        <w:pPr>
                          <w:pStyle w:val="TableParagraph"/>
                          <w:spacing w:line="200" w:lineRule="exact"/>
                          <w:ind w:left="412" w:right="-7"/>
                          <w:rPr>
                            <w:sz w:val="19"/>
                          </w:rPr>
                        </w:pPr>
                        <w:r>
                          <w:rPr>
                            <w:w w:val="85"/>
                            <w:sz w:val="19"/>
                          </w:rPr>
                          <w:t>324,ID4.489</w:t>
                        </w:r>
                      </w:p>
                      <w:p>
                        <w:pPr>
                          <w:pStyle w:val="TableParagraph"/>
                          <w:spacing w:line="200" w:lineRule="exact"/>
                          <w:ind w:left="415" w:right="-7"/>
                          <w:rPr>
                            <w:sz w:val="19"/>
                          </w:rPr>
                        </w:pPr>
                        <w:r>
                          <w:rPr>
                            <w:w w:val="85"/>
                            <w:sz w:val="19"/>
                          </w:rPr>
                          <w:t>293,087.584</w:t>
                        </w:r>
                      </w:p>
                      <w:p>
                        <w:pPr>
                          <w:pStyle w:val="TableParagraph"/>
                          <w:spacing w:line="198" w:lineRule="exact"/>
                          <w:ind w:left="419" w:right="-7"/>
                          <w:rPr>
                            <w:sz w:val="19"/>
                          </w:rPr>
                        </w:pPr>
                        <w:r>
                          <w:rPr>
                            <w:spacing w:val="-18"/>
                            <w:w w:val="95"/>
                            <w:sz w:val="19"/>
                          </w:rPr>
                          <w:t>262,978.393</w:t>
                        </w:r>
                      </w:p>
                      <w:p>
                        <w:pPr>
                          <w:pStyle w:val="TableParagraph"/>
                          <w:spacing w:line="207" w:lineRule="exact"/>
                          <w:ind w:left="419" w:right="-7"/>
                          <w:rPr>
                            <w:sz w:val="19"/>
                          </w:rPr>
                        </w:pPr>
                        <w:r>
                          <w:rPr>
                            <w:w w:val="85"/>
                            <w:sz w:val="19"/>
                          </w:rPr>
                          <w:t>233,956.022</w:t>
                        </w:r>
                      </w:p>
                    </w:tc>
                    <w:tc>
                      <w:tcPr>
                        <w:tcW w:w="1711" w:type="dxa"/>
                        <w:tcBorders>
                          <w:top w:val="nil"/>
                          <w:left w:val="single" w:sz="6" w:space="0" w:color="000000"/>
                          <w:bottom w:val="nil"/>
                          <w:right w:val="single" w:sz="6" w:space="0" w:color="000000"/>
                        </w:tcBorders>
                      </w:tcPr>
                      <w:p>
                        <w:pPr>
                          <w:pStyle w:val="TableParagraph"/>
                          <w:spacing w:line="208" w:lineRule="exact" w:before="77"/>
                          <w:ind w:left="383" w:right="-5"/>
                          <w:rPr>
                            <w:sz w:val="19"/>
                          </w:rPr>
                        </w:pPr>
                        <w:r>
                          <w:rPr>
                            <w:w w:val="85"/>
                            <w:sz w:val="19"/>
                          </w:rPr>
                          <w:t>2,673,127.147</w:t>
                        </w:r>
                      </w:p>
                      <w:p>
                        <w:pPr>
                          <w:pStyle w:val="TableParagraph"/>
                          <w:spacing w:line="202" w:lineRule="exact"/>
                          <w:ind w:left="386" w:right="-5"/>
                          <w:rPr>
                            <w:sz w:val="19"/>
                          </w:rPr>
                        </w:pPr>
                        <w:r>
                          <w:rPr>
                            <w:spacing w:val="-9"/>
                            <w:w w:val="90"/>
                            <w:sz w:val="19"/>
                          </w:rPr>
                          <w:t>2,316,872.563</w:t>
                        </w:r>
                      </w:p>
                      <w:p>
                        <w:pPr>
                          <w:pStyle w:val="TableParagraph"/>
                          <w:spacing w:line="202" w:lineRule="exact"/>
                          <w:ind w:left="394" w:right="-5"/>
                          <w:rPr>
                            <w:sz w:val="19"/>
                          </w:rPr>
                        </w:pPr>
                        <w:r>
                          <w:rPr>
                            <w:w w:val="85"/>
                            <w:sz w:val="19"/>
                          </w:rPr>
                          <w:t>1,992,668.074</w:t>
                        </w:r>
                      </w:p>
                      <w:p>
                        <w:pPr>
                          <w:pStyle w:val="TableParagraph"/>
                          <w:spacing w:line="200" w:lineRule="exact"/>
                          <w:ind w:left="394" w:right="-5"/>
                          <w:rPr>
                            <w:sz w:val="19"/>
                          </w:rPr>
                        </w:pPr>
                        <w:r>
                          <w:rPr>
                            <w:spacing w:val="-9"/>
                            <w:w w:val="90"/>
                            <w:sz w:val="19"/>
                          </w:rPr>
                          <w:t>1,699,580.490</w:t>
                        </w:r>
                      </w:p>
                      <w:p>
                        <w:pPr>
                          <w:pStyle w:val="TableParagraph"/>
                          <w:spacing w:line="207" w:lineRule="exact"/>
                          <w:ind w:left="394" w:right="-5"/>
                          <w:rPr>
                            <w:sz w:val="19"/>
                          </w:rPr>
                        </w:pPr>
                        <w:r>
                          <w:rPr>
                            <w:spacing w:val="-18"/>
                            <w:w w:val="95"/>
                            <w:sz w:val="19"/>
                          </w:rPr>
                          <w:t>1,436,602.097</w:t>
                        </w:r>
                      </w:p>
                    </w:tc>
                    <w:tc>
                      <w:tcPr>
                        <w:tcW w:w="505" w:type="dxa"/>
                        <w:tcBorders>
                          <w:top w:val="nil"/>
                          <w:left w:val="single" w:sz="6" w:space="0" w:color="000000"/>
                          <w:bottom w:val="nil"/>
                          <w:right w:val="nil"/>
                        </w:tcBorders>
                      </w:tcPr>
                      <w:p>
                        <w:pPr>
                          <w:pStyle w:val="TableParagraph"/>
                          <w:spacing w:line="208" w:lineRule="exact" w:before="84"/>
                          <w:ind w:left="170"/>
                          <w:rPr>
                            <w:sz w:val="19"/>
                          </w:rPr>
                        </w:pPr>
                        <w:r>
                          <w:rPr>
                            <w:sz w:val="19"/>
                          </w:rPr>
                          <w:t>75</w:t>
                        </w:r>
                      </w:p>
                      <w:p>
                        <w:pPr>
                          <w:pStyle w:val="TableParagraph"/>
                          <w:spacing w:line="200" w:lineRule="exact"/>
                          <w:ind w:left="173"/>
                          <w:rPr>
                            <w:sz w:val="19"/>
                          </w:rPr>
                        </w:pPr>
                        <w:r>
                          <w:rPr>
                            <w:sz w:val="19"/>
                          </w:rPr>
                          <w:t>76</w:t>
                        </w:r>
                      </w:p>
                      <w:p>
                        <w:pPr>
                          <w:pStyle w:val="TableParagraph"/>
                          <w:spacing w:line="200" w:lineRule="exact"/>
                          <w:ind w:left="177"/>
                          <w:rPr>
                            <w:sz w:val="19"/>
                          </w:rPr>
                        </w:pPr>
                        <w:r>
                          <w:rPr>
                            <w:sz w:val="19"/>
                          </w:rPr>
                          <w:t>77</w:t>
                        </w:r>
                      </w:p>
                      <w:p>
                        <w:pPr>
                          <w:pStyle w:val="TableParagraph"/>
                          <w:spacing w:line="202" w:lineRule="exact"/>
                          <w:ind w:left="177"/>
                          <w:rPr>
                            <w:sz w:val="19"/>
                          </w:rPr>
                        </w:pPr>
                        <w:r>
                          <w:rPr>
                            <w:sz w:val="19"/>
                          </w:rPr>
                          <w:t>78</w:t>
                        </w:r>
                      </w:p>
                      <w:p>
                        <w:pPr>
                          <w:pStyle w:val="TableParagraph"/>
                          <w:spacing w:line="208" w:lineRule="exact"/>
                          <w:ind w:left="177"/>
                          <w:rPr>
                            <w:sz w:val="19"/>
                          </w:rPr>
                        </w:pPr>
                        <w:r>
                          <w:rPr>
                            <w:sz w:val="19"/>
                          </w:rPr>
                          <w:t>79</w:t>
                        </w:r>
                      </w:p>
                    </w:tc>
                  </w:tr>
                  <w:tr>
                    <w:trPr>
                      <w:trHeight w:val="1204" w:hRule="exact"/>
                    </w:trPr>
                    <w:tc>
                      <w:tcPr>
                        <w:tcW w:w="482" w:type="dxa"/>
                        <w:tcBorders>
                          <w:top w:val="nil"/>
                          <w:left w:val="nil"/>
                          <w:bottom w:val="nil"/>
                        </w:tcBorders>
                      </w:tcPr>
                      <w:p>
                        <w:pPr>
                          <w:pStyle w:val="TableParagraph"/>
                          <w:spacing w:line="207" w:lineRule="exact" w:before="100"/>
                          <w:ind w:left="154" w:right="-57"/>
                          <w:rPr>
                            <w:sz w:val="19"/>
                          </w:rPr>
                        </w:pPr>
                        <w:r>
                          <w:rPr>
                            <w:w w:val="90"/>
                            <w:sz w:val="19"/>
                          </w:rPr>
                          <w:t>80</w:t>
                        </w:r>
                      </w:p>
                      <w:p>
                        <w:pPr>
                          <w:pStyle w:val="TableParagraph"/>
                          <w:spacing w:line="200" w:lineRule="exact"/>
                          <w:ind w:left="154" w:right="-57"/>
                          <w:rPr>
                            <w:sz w:val="19"/>
                          </w:rPr>
                        </w:pPr>
                        <w:r>
                          <w:rPr>
                            <w:sz w:val="19"/>
                          </w:rPr>
                          <w:t>81</w:t>
                        </w:r>
                      </w:p>
                      <w:p>
                        <w:pPr>
                          <w:pStyle w:val="TableParagraph"/>
                          <w:spacing w:line="202" w:lineRule="exact"/>
                          <w:ind w:left="154" w:right="-57"/>
                          <w:rPr>
                            <w:sz w:val="19"/>
                          </w:rPr>
                        </w:pPr>
                        <w:r>
                          <w:rPr>
                            <w:w w:val="105"/>
                            <w:sz w:val="19"/>
                          </w:rPr>
                          <w:t>82</w:t>
                        </w:r>
                      </w:p>
                      <w:p>
                        <w:pPr>
                          <w:pStyle w:val="TableParagraph"/>
                          <w:spacing w:line="202" w:lineRule="exact"/>
                          <w:ind w:left="154" w:right="-57"/>
                          <w:rPr>
                            <w:sz w:val="19"/>
                          </w:rPr>
                        </w:pPr>
                        <w:r>
                          <w:rPr>
                            <w:w w:val="90"/>
                            <w:sz w:val="19"/>
                          </w:rPr>
                          <w:t>83</w:t>
                        </w:r>
                      </w:p>
                      <w:p>
                        <w:pPr>
                          <w:pStyle w:val="TableParagraph"/>
                          <w:spacing w:line="208" w:lineRule="exact"/>
                          <w:ind w:left="154" w:right="-57"/>
                          <w:rPr>
                            <w:sz w:val="19"/>
                          </w:rPr>
                        </w:pPr>
                        <w:r>
                          <w:rPr>
                            <w:w w:val="90"/>
                            <w:sz w:val="19"/>
                          </w:rPr>
                          <w:t>84</w:t>
                        </w:r>
                      </w:p>
                    </w:tc>
                    <w:tc>
                      <w:tcPr>
                        <w:tcW w:w="1474" w:type="dxa"/>
                        <w:tcBorders>
                          <w:top w:val="nil"/>
                          <w:bottom w:val="nil"/>
                          <w:right w:val="single" w:sz="6" w:space="0" w:color="000000"/>
                        </w:tcBorders>
                      </w:tcPr>
                      <w:p>
                        <w:pPr>
                          <w:pStyle w:val="TableParagraph"/>
                          <w:spacing w:line="207" w:lineRule="exact" w:before="90"/>
                          <w:ind w:left="336" w:right="-12"/>
                          <w:rPr>
                            <w:sz w:val="19"/>
                          </w:rPr>
                        </w:pPr>
                        <w:r>
                          <w:rPr>
                            <w:w w:val="85"/>
                            <w:sz w:val="19"/>
                          </w:rPr>
                          <w:t>26,354.463</w:t>
                        </w:r>
                      </w:p>
                      <w:p>
                        <w:pPr>
                          <w:pStyle w:val="TableParagraph"/>
                          <w:spacing w:line="200" w:lineRule="exact"/>
                          <w:ind w:left="336" w:right="-12"/>
                          <w:rPr>
                            <w:sz w:val="19"/>
                          </w:rPr>
                        </w:pPr>
                        <w:r>
                          <w:rPr>
                            <w:w w:val="75"/>
                            <w:sz w:val="19"/>
                          </w:rPr>
                          <w:t>24,712</w:t>
                        </w:r>
                        <w:r>
                          <w:rPr>
                            <w:spacing w:val="-74"/>
                            <w:w w:val="75"/>
                            <w:sz w:val="19"/>
                          </w:rPr>
                          <w:t> </w:t>
                        </w:r>
                        <w:r>
                          <w:rPr>
                            <w:spacing w:val="-10"/>
                            <w:w w:val="75"/>
                            <w:sz w:val="19"/>
                          </w:rPr>
                          <w:t>.992</w:t>
                        </w:r>
                      </w:p>
                      <w:p>
                        <w:pPr>
                          <w:pStyle w:val="TableParagraph"/>
                          <w:spacing w:line="202" w:lineRule="exact"/>
                          <w:ind w:left="336" w:right="-12"/>
                          <w:rPr>
                            <w:sz w:val="19"/>
                          </w:rPr>
                        </w:pPr>
                        <w:r>
                          <w:rPr>
                            <w:w w:val="85"/>
                            <w:sz w:val="19"/>
                          </w:rPr>
                          <w:t>22,868.200</w:t>
                        </w:r>
                      </w:p>
                      <w:p>
                        <w:pPr>
                          <w:pStyle w:val="TableParagraph"/>
                          <w:spacing w:line="202" w:lineRule="exact"/>
                          <w:ind w:left="336" w:right="-12"/>
                          <w:rPr>
                            <w:sz w:val="19"/>
                          </w:rPr>
                        </w:pPr>
                        <w:r>
                          <w:rPr>
                            <w:w w:val="85"/>
                            <w:sz w:val="19"/>
                          </w:rPr>
                          <w:t>20,862.501</w:t>
                        </w:r>
                      </w:p>
                      <w:p>
                        <w:pPr>
                          <w:pStyle w:val="TableParagraph"/>
                          <w:spacing w:line="208" w:lineRule="exact"/>
                          <w:ind w:left="347" w:right="-12"/>
                          <w:rPr>
                            <w:sz w:val="19"/>
                          </w:rPr>
                        </w:pPr>
                        <w:r>
                          <w:rPr>
                            <w:w w:val="85"/>
                            <w:sz w:val="19"/>
                          </w:rPr>
                          <w:t>18,761.225</w:t>
                        </w:r>
                      </w:p>
                    </w:tc>
                    <w:tc>
                      <w:tcPr>
                        <w:tcW w:w="1548" w:type="dxa"/>
                        <w:tcBorders>
                          <w:top w:val="nil"/>
                          <w:left w:val="single" w:sz="6" w:space="0" w:color="000000"/>
                          <w:bottom w:val="nil"/>
                          <w:right w:val="single" w:sz="6" w:space="0" w:color="000000"/>
                        </w:tcBorders>
                      </w:tcPr>
                      <w:p>
                        <w:pPr>
                          <w:pStyle w:val="TableParagraph"/>
                          <w:spacing w:line="208" w:lineRule="exact" w:before="79"/>
                          <w:ind w:left="419" w:right="-7"/>
                          <w:rPr>
                            <w:sz w:val="19"/>
                          </w:rPr>
                        </w:pPr>
                        <w:r>
                          <w:rPr>
                            <w:w w:val="75"/>
                            <w:sz w:val="19"/>
                          </w:rPr>
                          <w:t>206,168</w:t>
                        </w:r>
                        <w:r>
                          <w:rPr>
                            <w:spacing w:val="-63"/>
                            <w:w w:val="75"/>
                            <w:sz w:val="19"/>
                          </w:rPr>
                          <w:t> </w:t>
                        </w:r>
                        <w:r>
                          <w:rPr>
                            <w:spacing w:val="-19"/>
                            <w:w w:val="75"/>
                            <w:sz w:val="19"/>
                          </w:rPr>
                          <w:t>.591</w:t>
                        </w:r>
                      </w:p>
                      <w:p>
                        <w:pPr>
                          <w:pStyle w:val="TableParagraph"/>
                          <w:spacing w:line="202" w:lineRule="exact"/>
                          <w:ind w:left="426" w:right="-7"/>
                          <w:rPr>
                            <w:sz w:val="19"/>
                          </w:rPr>
                        </w:pPr>
                        <w:r>
                          <w:rPr>
                            <w:w w:val="85"/>
                            <w:sz w:val="19"/>
                          </w:rPr>
                          <w:t>179,814.128</w:t>
                        </w:r>
                      </w:p>
                      <w:p>
                        <w:pPr>
                          <w:pStyle w:val="TableParagraph"/>
                          <w:spacing w:line="200" w:lineRule="exact"/>
                          <w:ind w:left="426" w:right="-7"/>
                          <w:rPr>
                            <w:sz w:val="19"/>
                          </w:rPr>
                        </w:pPr>
                        <w:r>
                          <w:rPr>
                            <w:w w:val="80"/>
                            <w:sz w:val="19"/>
                          </w:rPr>
                          <w:t>155,101.136</w:t>
                        </w:r>
                      </w:p>
                      <w:p>
                        <w:pPr>
                          <w:pStyle w:val="TableParagraph"/>
                          <w:spacing w:line="200" w:lineRule="exact"/>
                          <w:ind w:left="422" w:right="-7"/>
                          <w:rPr>
                            <w:sz w:val="19"/>
                          </w:rPr>
                        </w:pPr>
                        <w:r>
                          <w:rPr>
                            <w:spacing w:val="-14"/>
                            <w:w w:val="95"/>
                            <w:sz w:val="19"/>
                          </w:rPr>
                          <w:t>132,232.936</w:t>
                        </w:r>
                      </w:p>
                      <w:p>
                        <w:pPr>
                          <w:pStyle w:val="TableParagraph"/>
                          <w:spacing w:line="208" w:lineRule="exact"/>
                          <w:ind w:left="426" w:right="-7"/>
                          <w:rPr>
                            <w:sz w:val="19"/>
                          </w:rPr>
                        </w:pPr>
                        <w:r>
                          <w:rPr>
                            <w:spacing w:val="-9"/>
                            <w:w w:val="90"/>
                            <w:sz w:val="19"/>
                          </w:rPr>
                          <w:t>111,370.435</w:t>
                        </w:r>
                      </w:p>
                    </w:tc>
                    <w:tc>
                      <w:tcPr>
                        <w:tcW w:w="1711" w:type="dxa"/>
                        <w:tcBorders>
                          <w:top w:val="nil"/>
                          <w:left w:val="single" w:sz="6" w:space="0" w:color="000000"/>
                          <w:bottom w:val="nil"/>
                          <w:right w:val="single" w:sz="6" w:space="0" w:color="000000"/>
                        </w:tcBorders>
                      </w:tcPr>
                      <w:p>
                        <w:pPr>
                          <w:pStyle w:val="TableParagraph"/>
                          <w:spacing w:line="208" w:lineRule="exact" w:before="75"/>
                          <w:ind w:left="195" w:right="52"/>
                          <w:jc w:val="center"/>
                          <w:rPr>
                            <w:sz w:val="19"/>
                          </w:rPr>
                        </w:pPr>
                        <w:r>
                          <w:rPr>
                            <w:w w:val="95"/>
                            <w:sz w:val="19"/>
                          </w:rPr>
                          <w:t>1,202,646.075</w:t>
                        </w:r>
                      </w:p>
                      <w:p>
                        <w:pPr>
                          <w:pStyle w:val="TableParagraph"/>
                          <w:spacing w:line="202" w:lineRule="exact"/>
                          <w:ind w:left="345" w:right="52"/>
                          <w:jc w:val="center"/>
                          <w:rPr>
                            <w:sz w:val="19"/>
                          </w:rPr>
                        </w:pPr>
                        <w:r>
                          <w:rPr>
                            <w:w w:val="95"/>
                            <w:sz w:val="19"/>
                          </w:rPr>
                          <w:t>996,477.484</w:t>
                        </w:r>
                      </w:p>
                      <w:p>
                        <w:pPr>
                          <w:pStyle w:val="TableParagraph"/>
                          <w:spacing w:line="200" w:lineRule="exact"/>
                          <w:ind w:left="352" w:right="52"/>
                          <w:jc w:val="center"/>
                          <w:rPr>
                            <w:sz w:val="19"/>
                          </w:rPr>
                        </w:pPr>
                        <w:r>
                          <w:rPr>
                            <w:w w:val="85"/>
                            <w:sz w:val="19"/>
                          </w:rPr>
                          <w:t>816,663.356</w:t>
                        </w:r>
                      </w:p>
                      <w:p>
                        <w:pPr>
                          <w:pStyle w:val="TableParagraph"/>
                          <w:spacing w:line="200" w:lineRule="exact"/>
                          <w:ind w:left="349" w:right="52"/>
                          <w:jc w:val="center"/>
                          <w:rPr>
                            <w:sz w:val="19"/>
                          </w:rPr>
                        </w:pPr>
                        <w:r>
                          <w:rPr>
                            <w:w w:val="85"/>
                            <w:sz w:val="19"/>
                          </w:rPr>
                          <w:t>661,662.220</w:t>
                        </w:r>
                      </w:p>
                      <w:p>
                        <w:pPr>
                          <w:pStyle w:val="TableParagraph"/>
                          <w:spacing w:line="208" w:lineRule="exact"/>
                          <w:ind w:left="354" w:right="52"/>
                          <w:jc w:val="center"/>
                          <w:rPr>
                            <w:sz w:val="19"/>
                          </w:rPr>
                        </w:pPr>
                        <w:r>
                          <w:rPr>
                            <w:w w:val="70"/>
                            <w:sz w:val="19"/>
                          </w:rPr>
                          <w:t>529,329 .284</w:t>
                        </w:r>
                      </w:p>
                    </w:tc>
                    <w:tc>
                      <w:tcPr>
                        <w:tcW w:w="505" w:type="dxa"/>
                        <w:tcBorders>
                          <w:top w:val="nil"/>
                          <w:left w:val="single" w:sz="6" w:space="0" w:color="000000"/>
                          <w:bottom w:val="nil"/>
                          <w:right w:val="nil"/>
                        </w:tcBorders>
                      </w:tcPr>
                      <w:p>
                        <w:pPr>
                          <w:pStyle w:val="TableParagraph"/>
                          <w:spacing w:line="207" w:lineRule="exact" w:before="79"/>
                          <w:ind w:left="180"/>
                          <w:rPr>
                            <w:sz w:val="19"/>
                          </w:rPr>
                        </w:pPr>
                        <w:r>
                          <w:rPr>
                            <w:w w:val="90"/>
                            <w:sz w:val="19"/>
                          </w:rPr>
                          <w:t>80</w:t>
                        </w:r>
                      </w:p>
                      <w:p>
                        <w:pPr>
                          <w:pStyle w:val="TableParagraph"/>
                          <w:spacing w:line="198" w:lineRule="exact"/>
                          <w:ind w:left="180"/>
                          <w:rPr>
                            <w:sz w:val="19"/>
                          </w:rPr>
                        </w:pPr>
                        <w:r>
                          <w:rPr>
                            <w:sz w:val="19"/>
                          </w:rPr>
                          <w:t>81</w:t>
                        </w:r>
                      </w:p>
                      <w:p>
                        <w:pPr>
                          <w:pStyle w:val="TableParagraph"/>
                          <w:spacing w:line="202" w:lineRule="exact"/>
                          <w:ind w:left="184"/>
                          <w:rPr>
                            <w:sz w:val="19"/>
                          </w:rPr>
                        </w:pPr>
                        <w:r>
                          <w:rPr>
                            <w:sz w:val="19"/>
                          </w:rPr>
                          <w:t>82</w:t>
                        </w:r>
                      </w:p>
                      <w:p>
                        <w:pPr>
                          <w:pStyle w:val="TableParagraph"/>
                          <w:spacing w:line="202" w:lineRule="exact"/>
                          <w:ind w:left="180"/>
                          <w:rPr>
                            <w:sz w:val="19"/>
                          </w:rPr>
                        </w:pPr>
                        <w:r>
                          <w:rPr>
                            <w:w w:val="90"/>
                            <w:sz w:val="19"/>
                          </w:rPr>
                          <w:t>83</w:t>
                        </w:r>
                      </w:p>
                      <w:p>
                        <w:pPr>
                          <w:pStyle w:val="TableParagraph"/>
                          <w:spacing w:line="207" w:lineRule="exact"/>
                          <w:ind w:left="180"/>
                          <w:rPr>
                            <w:sz w:val="19"/>
                          </w:rPr>
                        </w:pPr>
                        <w:r>
                          <w:rPr>
                            <w:w w:val="90"/>
                            <w:sz w:val="19"/>
                          </w:rPr>
                          <w:t>84</w:t>
                        </w:r>
                      </w:p>
                    </w:tc>
                  </w:tr>
                  <w:tr>
                    <w:trPr>
                      <w:trHeight w:val="1199" w:hRule="exact"/>
                    </w:trPr>
                    <w:tc>
                      <w:tcPr>
                        <w:tcW w:w="482" w:type="dxa"/>
                        <w:tcBorders>
                          <w:top w:val="nil"/>
                          <w:left w:val="nil"/>
                          <w:bottom w:val="nil"/>
                        </w:tcBorders>
                      </w:tcPr>
                      <w:p>
                        <w:pPr>
                          <w:pStyle w:val="TableParagraph"/>
                          <w:spacing w:line="203" w:lineRule="exact" w:before="99"/>
                          <w:ind w:left="154" w:right="-57"/>
                          <w:rPr>
                            <w:sz w:val="19"/>
                          </w:rPr>
                        </w:pPr>
                        <w:r>
                          <w:rPr>
                            <w:w w:val="90"/>
                            <w:sz w:val="19"/>
                          </w:rPr>
                          <w:t>85</w:t>
                        </w:r>
                      </w:p>
                      <w:p>
                        <w:pPr>
                          <w:pStyle w:val="TableParagraph"/>
                          <w:spacing w:line="195" w:lineRule="exact"/>
                          <w:ind w:left="154" w:right="-57"/>
                          <w:rPr>
                            <w:rFonts w:ascii="Times New Roman"/>
                            <w:sz w:val="18"/>
                          </w:rPr>
                        </w:pPr>
                        <w:r>
                          <w:rPr>
                            <w:rFonts w:ascii="Times New Roman"/>
                            <w:sz w:val="18"/>
                          </w:rPr>
                          <w:t>86</w:t>
                        </w:r>
                      </w:p>
                      <w:p>
                        <w:pPr>
                          <w:pStyle w:val="TableParagraph"/>
                          <w:spacing w:line="208" w:lineRule="exact" w:before="1"/>
                          <w:ind w:left="151" w:right="-57"/>
                          <w:rPr>
                            <w:sz w:val="19"/>
                          </w:rPr>
                        </w:pPr>
                        <w:r>
                          <w:rPr>
                            <w:sz w:val="19"/>
                          </w:rPr>
                          <w:t>87</w:t>
                        </w:r>
                      </w:p>
                      <w:p>
                        <w:pPr>
                          <w:pStyle w:val="TableParagraph"/>
                          <w:spacing w:line="188" w:lineRule="exact"/>
                          <w:ind w:left="154" w:right="-57"/>
                          <w:rPr>
                            <w:rFonts w:ascii="Arial"/>
                            <w:sz w:val="17"/>
                          </w:rPr>
                        </w:pPr>
                        <w:r>
                          <w:rPr>
                            <w:rFonts w:ascii="Arial"/>
                            <w:w w:val="95"/>
                            <w:sz w:val="17"/>
                          </w:rPr>
                          <w:t>88</w:t>
                        </w:r>
                      </w:p>
                      <w:p>
                        <w:pPr>
                          <w:pStyle w:val="TableParagraph"/>
                          <w:spacing w:before="3"/>
                          <w:ind w:left="154" w:right="-57"/>
                          <w:rPr>
                            <w:sz w:val="19"/>
                          </w:rPr>
                        </w:pPr>
                        <w:r>
                          <w:rPr>
                            <w:w w:val="90"/>
                            <w:sz w:val="19"/>
                          </w:rPr>
                          <w:t>89</w:t>
                        </w:r>
                      </w:p>
                    </w:tc>
                    <w:tc>
                      <w:tcPr>
                        <w:tcW w:w="1474" w:type="dxa"/>
                        <w:tcBorders>
                          <w:top w:val="nil"/>
                          <w:bottom w:val="nil"/>
                          <w:right w:val="single" w:sz="6" w:space="0" w:color="000000"/>
                        </w:tcBorders>
                      </w:tcPr>
                      <w:p>
                        <w:pPr>
                          <w:pStyle w:val="TableParagraph"/>
                          <w:spacing w:line="208" w:lineRule="exact" w:before="88"/>
                          <w:ind w:left="347" w:right="-12"/>
                          <w:rPr>
                            <w:sz w:val="19"/>
                          </w:rPr>
                        </w:pPr>
                        <w:r>
                          <w:rPr>
                            <w:w w:val="85"/>
                            <w:sz w:val="19"/>
                          </w:rPr>
                          <w:t>16,631.093</w:t>
                        </w:r>
                      </w:p>
                      <w:p>
                        <w:pPr>
                          <w:pStyle w:val="TableParagraph"/>
                          <w:spacing w:line="200" w:lineRule="exact"/>
                          <w:ind w:left="343" w:right="-12"/>
                          <w:rPr>
                            <w:sz w:val="19"/>
                          </w:rPr>
                        </w:pPr>
                        <w:r>
                          <w:rPr>
                            <w:w w:val="85"/>
                            <w:sz w:val="19"/>
                          </w:rPr>
                          <w:t>14,526.529</w:t>
                        </w:r>
                      </w:p>
                      <w:p>
                        <w:pPr>
                          <w:pStyle w:val="TableParagraph"/>
                          <w:spacing w:line="200" w:lineRule="exact"/>
                          <w:ind w:left="343" w:right="-12"/>
                          <w:rPr>
                            <w:sz w:val="19"/>
                          </w:rPr>
                        </w:pPr>
                        <w:r>
                          <w:rPr>
                            <w:w w:val="95"/>
                            <w:sz w:val="19"/>
                          </w:rPr>
                          <w:t>12,497.068</w:t>
                        </w:r>
                      </w:p>
                      <w:p>
                        <w:pPr>
                          <w:pStyle w:val="TableParagraph"/>
                          <w:spacing w:line="200" w:lineRule="exact"/>
                          <w:ind w:left="343" w:right="-12"/>
                          <w:rPr>
                            <w:sz w:val="19"/>
                          </w:rPr>
                        </w:pPr>
                        <w:r>
                          <w:rPr>
                            <w:w w:val="85"/>
                            <w:sz w:val="19"/>
                          </w:rPr>
                          <w:t>10,587.550</w:t>
                        </w:r>
                      </w:p>
                      <w:p>
                        <w:pPr>
                          <w:pStyle w:val="TableParagraph"/>
                          <w:spacing w:line="207" w:lineRule="exact"/>
                          <w:ind w:left="412" w:right="-12"/>
                          <w:rPr>
                            <w:sz w:val="19"/>
                          </w:rPr>
                        </w:pPr>
                        <w:r>
                          <w:rPr>
                            <w:w w:val="90"/>
                            <w:sz w:val="19"/>
                          </w:rPr>
                          <w:t>8,832.090</w:t>
                        </w:r>
                      </w:p>
                    </w:tc>
                    <w:tc>
                      <w:tcPr>
                        <w:tcW w:w="1548" w:type="dxa"/>
                        <w:tcBorders>
                          <w:top w:val="nil"/>
                          <w:left w:val="single" w:sz="6" w:space="0" w:color="000000"/>
                          <w:bottom w:val="nil"/>
                          <w:right w:val="single" w:sz="6" w:space="0" w:color="000000"/>
                        </w:tcBorders>
                      </w:tcPr>
                      <w:p>
                        <w:pPr>
                          <w:pStyle w:val="TableParagraph"/>
                          <w:spacing w:line="208" w:lineRule="exact" w:before="77"/>
                          <w:ind w:left="494" w:right="-7"/>
                          <w:rPr>
                            <w:sz w:val="19"/>
                          </w:rPr>
                        </w:pPr>
                        <w:r>
                          <w:rPr>
                            <w:w w:val="90"/>
                            <w:sz w:val="19"/>
                          </w:rPr>
                          <w:t>92,609.210</w:t>
                        </w:r>
                      </w:p>
                      <w:p>
                        <w:pPr>
                          <w:pStyle w:val="TableParagraph"/>
                          <w:spacing w:line="200" w:lineRule="exact"/>
                          <w:ind w:left="494" w:right="-7"/>
                          <w:rPr>
                            <w:sz w:val="19"/>
                          </w:rPr>
                        </w:pPr>
                        <w:r>
                          <w:rPr>
                            <w:spacing w:val="-16"/>
                            <w:w w:val="95"/>
                            <w:sz w:val="19"/>
                          </w:rPr>
                          <w:t>75,978.117</w:t>
                        </w:r>
                      </w:p>
                      <w:p>
                        <w:pPr>
                          <w:pStyle w:val="TableParagraph"/>
                          <w:spacing w:line="200" w:lineRule="exact"/>
                          <w:ind w:left="491" w:right="-7"/>
                          <w:rPr>
                            <w:sz w:val="19"/>
                          </w:rPr>
                        </w:pPr>
                        <w:r>
                          <w:rPr>
                            <w:w w:val="80"/>
                            <w:sz w:val="19"/>
                          </w:rPr>
                          <w:t>61,451.588</w:t>
                        </w:r>
                      </w:p>
                      <w:p>
                        <w:pPr>
                          <w:pStyle w:val="TableParagraph"/>
                          <w:spacing w:line="200" w:lineRule="exact"/>
                          <w:ind w:left="491" w:right="-7"/>
                          <w:rPr>
                            <w:sz w:val="19"/>
                          </w:rPr>
                        </w:pPr>
                        <w:r>
                          <w:rPr>
                            <w:spacing w:val="-17"/>
                            <w:w w:val="95"/>
                            <w:sz w:val="19"/>
                          </w:rPr>
                          <w:t>48,954.520</w:t>
                        </w:r>
                      </w:p>
                      <w:p>
                        <w:pPr>
                          <w:pStyle w:val="TableParagraph"/>
                          <w:spacing w:line="207" w:lineRule="exact"/>
                          <w:ind w:left="494" w:right="-7"/>
                          <w:rPr>
                            <w:sz w:val="19"/>
                          </w:rPr>
                        </w:pPr>
                        <w:r>
                          <w:rPr>
                            <w:spacing w:val="-14"/>
                            <w:w w:val="95"/>
                            <w:sz w:val="19"/>
                          </w:rPr>
                          <w:t>38,366.970</w:t>
                        </w:r>
                      </w:p>
                    </w:tc>
                    <w:tc>
                      <w:tcPr>
                        <w:tcW w:w="1711" w:type="dxa"/>
                        <w:tcBorders>
                          <w:top w:val="nil"/>
                          <w:left w:val="single" w:sz="6" w:space="0" w:color="000000"/>
                          <w:bottom w:val="nil"/>
                          <w:right w:val="single" w:sz="6" w:space="0" w:color="000000"/>
                        </w:tcBorders>
                      </w:tcPr>
                      <w:p>
                        <w:pPr>
                          <w:pStyle w:val="TableParagraph"/>
                          <w:spacing w:line="208" w:lineRule="exact" w:before="73"/>
                          <w:ind w:left="545" w:right="-5"/>
                          <w:rPr>
                            <w:sz w:val="19"/>
                          </w:rPr>
                        </w:pPr>
                        <w:r>
                          <w:rPr>
                            <w:w w:val="90"/>
                            <w:sz w:val="19"/>
                          </w:rPr>
                          <w:t>417,958.849</w:t>
                        </w:r>
                      </w:p>
                      <w:p>
                        <w:pPr>
                          <w:pStyle w:val="TableParagraph"/>
                          <w:spacing w:line="200" w:lineRule="exact"/>
                          <w:ind w:left="545" w:right="-5"/>
                          <w:rPr>
                            <w:sz w:val="19"/>
                          </w:rPr>
                        </w:pPr>
                        <w:r>
                          <w:rPr>
                            <w:spacing w:val="-14"/>
                            <w:w w:val="95"/>
                            <w:sz w:val="19"/>
                          </w:rPr>
                          <w:t>325,349.639</w:t>
                        </w:r>
                      </w:p>
                      <w:p>
                        <w:pPr>
                          <w:pStyle w:val="TableParagraph"/>
                          <w:spacing w:line="198" w:lineRule="exact"/>
                          <w:ind w:left="545" w:right="-5"/>
                          <w:rPr>
                            <w:sz w:val="19"/>
                          </w:rPr>
                        </w:pPr>
                        <w:r>
                          <w:rPr>
                            <w:w w:val="90"/>
                            <w:sz w:val="19"/>
                          </w:rPr>
                          <w:t>249,371.522</w:t>
                        </w:r>
                      </w:p>
                      <w:p>
                        <w:pPr>
                          <w:pStyle w:val="TableParagraph"/>
                          <w:spacing w:line="200" w:lineRule="exact"/>
                          <w:ind w:left="552" w:right="-5"/>
                          <w:rPr>
                            <w:sz w:val="19"/>
                          </w:rPr>
                        </w:pPr>
                        <w:r>
                          <w:rPr>
                            <w:w w:val="90"/>
                            <w:sz w:val="19"/>
                          </w:rPr>
                          <w:t>187,919.934</w:t>
                        </w:r>
                      </w:p>
                      <w:p>
                        <w:pPr>
                          <w:pStyle w:val="TableParagraph"/>
                          <w:spacing w:line="208" w:lineRule="exact"/>
                          <w:ind w:left="552" w:right="-5"/>
                          <w:rPr>
                            <w:sz w:val="19"/>
                          </w:rPr>
                        </w:pPr>
                        <w:r>
                          <w:rPr>
                            <w:w w:val="80"/>
                            <w:sz w:val="19"/>
                          </w:rPr>
                          <w:t>138,965.414</w:t>
                        </w:r>
                      </w:p>
                    </w:tc>
                    <w:tc>
                      <w:tcPr>
                        <w:tcW w:w="505" w:type="dxa"/>
                        <w:tcBorders>
                          <w:top w:val="nil"/>
                          <w:left w:val="single" w:sz="6" w:space="0" w:color="000000"/>
                          <w:bottom w:val="nil"/>
                          <w:right w:val="nil"/>
                        </w:tcBorders>
                      </w:tcPr>
                      <w:p>
                        <w:pPr>
                          <w:pStyle w:val="TableParagraph"/>
                          <w:spacing w:line="203" w:lineRule="exact" w:before="73"/>
                          <w:ind w:left="180"/>
                          <w:rPr>
                            <w:sz w:val="19"/>
                          </w:rPr>
                        </w:pPr>
                        <w:r>
                          <w:rPr>
                            <w:w w:val="90"/>
                            <w:sz w:val="19"/>
                          </w:rPr>
                          <w:t>85</w:t>
                        </w:r>
                      </w:p>
                      <w:p>
                        <w:pPr>
                          <w:pStyle w:val="TableParagraph"/>
                          <w:spacing w:line="195" w:lineRule="exact"/>
                          <w:ind w:left="180"/>
                          <w:rPr>
                            <w:rFonts w:ascii="Times New Roman"/>
                            <w:sz w:val="18"/>
                          </w:rPr>
                        </w:pPr>
                        <w:r>
                          <w:rPr>
                            <w:rFonts w:ascii="Times New Roman"/>
                            <w:sz w:val="18"/>
                          </w:rPr>
                          <w:t>86</w:t>
                        </w:r>
                      </w:p>
                      <w:p>
                        <w:pPr>
                          <w:pStyle w:val="TableParagraph"/>
                          <w:spacing w:line="208" w:lineRule="exact" w:before="1"/>
                          <w:ind w:left="177"/>
                          <w:rPr>
                            <w:sz w:val="19"/>
                          </w:rPr>
                        </w:pPr>
                        <w:r>
                          <w:rPr>
                            <w:sz w:val="19"/>
                          </w:rPr>
                          <w:t>87</w:t>
                        </w:r>
                      </w:p>
                      <w:p>
                        <w:pPr>
                          <w:pStyle w:val="TableParagraph"/>
                          <w:spacing w:line="188" w:lineRule="exact"/>
                          <w:ind w:left="180"/>
                          <w:rPr>
                            <w:rFonts w:ascii="Arial"/>
                            <w:sz w:val="17"/>
                          </w:rPr>
                        </w:pPr>
                        <w:r>
                          <w:rPr>
                            <w:rFonts w:ascii="Arial"/>
                            <w:w w:val="95"/>
                            <w:sz w:val="17"/>
                          </w:rPr>
                          <w:t>88</w:t>
                        </w:r>
                      </w:p>
                      <w:p>
                        <w:pPr>
                          <w:pStyle w:val="TableParagraph"/>
                          <w:spacing w:before="7"/>
                          <w:ind w:left="180"/>
                          <w:rPr>
                            <w:sz w:val="19"/>
                          </w:rPr>
                        </w:pPr>
                        <w:r>
                          <w:rPr>
                            <w:w w:val="90"/>
                            <w:sz w:val="19"/>
                          </w:rPr>
                          <w:t>89</w:t>
                        </w:r>
                      </w:p>
                    </w:tc>
                  </w:tr>
                  <w:tr>
                    <w:trPr>
                      <w:trHeight w:val="1201" w:hRule="exact"/>
                    </w:trPr>
                    <w:tc>
                      <w:tcPr>
                        <w:tcW w:w="482" w:type="dxa"/>
                        <w:tcBorders>
                          <w:top w:val="nil"/>
                          <w:left w:val="nil"/>
                          <w:bottom w:val="nil"/>
                        </w:tcBorders>
                      </w:tcPr>
                      <w:p>
                        <w:pPr>
                          <w:pStyle w:val="TableParagraph"/>
                          <w:spacing w:line="205" w:lineRule="exact" w:before="102"/>
                          <w:ind w:left="154" w:right="-57"/>
                          <w:rPr>
                            <w:sz w:val="19"/>
                          </w:rPr>
                        </w:pPr>
                        <w:r>
                          <w:rPr>
                            <w:w w:val="95"/>
                            <w:sz w:val="19"/>
                          </w:rPr>
                          <w:t>90</w:t>
                        </w:r>
                      </w:p>
                      <w:p>
                        <w:pPr>
                          <w:pStyle w:val="TableParagraph"/>
                          <w:spacing w:line="198" w:lineRule="exact"/>
                          <w:ind w:left="154" w:right="-57"/>
                          <w:rPr>
                            <w:sz w:val="19"/>
                          </w:rPr>
                        </w:pPr>
                        <w:r>
                          <w:rPr>
                            <w:sz w:val="19"/>
                          </w:rPr>
                          <w:t>91</w:t>
                        </w:r>
                      </w:p>
                      <w:p>
                        <w:pPr>
                          <w:pStyle w:val="TableParagraph"/>
                          <w:spacing w:line="202" w:lineRule="exact"/>
                          <w:ind w:left="151" w:right="-57"/>
                          <w:rPr>
                            <w:sz w:val="19"/>
                          </w:rPr>
                        </w:pPr>
                        <w:r>
                          <w:rPr>
                            <w:sz w:val="19"/>
                          </w:rPr>
                          <w:t>92</w:t>
                        </w:r>
                      </w:p>
                      <w:p>
                        <w:pPr>
                          <w:pStyle w:val="TableParagraph"/>
                          <w:spacing w:line="202" w:lineRule="exact"/>
                          <w:ind w:left="151" w:right="-57"/>
                          <w:rPr>
                            <w:sz w:val="19"/>
                          </w:rPr>
                        </w:pPr>
                        <w:r>
                          <w:rPr>
                            <w:sz w:val="19"/>
                          </w:rPr>
                          <w:t>93</w:t>
                        </w:r>
                      </w:p>
                      <w:p>
                        <w:pPr>
                          <w:pStyle w:val="TableParagraph"/>
                          <w:spacing w:line="208" w:lineRule="exact"/>
                          <w:ind w:left="151" w:right="-57"/>
                          <w:rPr>
                            <w:sz w:val="19"/>
                          </w:rPr>
                        </w:pPr>
                        <w:r>
                          <w:rPr>
                            <w:w w:val="95"/>
                            <w:sz w:val="19"/>
                          </w:rPr>
                          <w:t>94</w:t>
                        </w:r>
                      </w:p>
                    </w:tc>
                    <w:tc>
                      <w:tcPr>
                        <w:tcW w:w="1474" w:type="dxa"/>
                        <w:tcBorders>
                          <w:top w:val="nil"/>
                          <w:bottom w:val="nil"/>
                          <w:right w:val="single" w:sz="6" w:space="0" w:color="000000"/>
                        </w:tcBorders>
                      </w:tcPr>
                      <w:p>
                        <w:pPr>
                          <w:pStyle w:val="TableParagraph"/>
                          <w:spacing w:line="208" w:lineRule="exact" w:before="88"/>
                          <w:ind w:left="415" w:right="-12"/>
                          <w:rPr>
                            <w:sz w:val="19"/>
                          </w:rPr>
                        </w:pPr>
                        <w:r>
                          <w:rPr>
                            <w:w w:val="85"/>
                            <w:sz w:val="19"/>
                          </w:rPr>
                          <w:t>7,251.375</w:t>
                        </w:r>
                      </w:p>
                      <w:p>
                        <w:pPr>
                          <w:pStyle w:val="TableParagraph"/>
                          <w:spacing w:line="202" w:lineRule="exact"/>
                          <w:ind w:left="415" w:right="-12"/>
                          <w:rPr>
                            <w:sz w:val="19"/>
                          </w:rPr>
                        </w:pPr>
                        <w:r>
                          <w:rPr>
                            <w:w w:val="90"/>
                            <w:sz w:val="19"/>
                          </w:rPr>
                          <w:t>5,853.988</w:t>
                        </w:r>
                      </w:p>
                      <w:p>
                        <w:pPr>
                          <w:pStyle w:val="TableParagraph"/>
                          <w:spacing w:line="200" w:lineRule="exact"/>
                          <w:ind w:left="412" w:right="-12"/>
                          <w:rPr>
                            <w:sz w:val="19"/>
                          </w:rPr>
                        </w:pPr>
                        <w:r>
                          <w:rPr>
                            <w:w w:val="90"/>
                            <w:sz w:val="19"/>
                          </w:rPr>
                          <w:t>4,638.273</w:t>
                        </w:r>
                      </w:p>
                      <w:p>
                        <w:pPr>
                          <w:pStyle w:val="TableParagraph"/>
                          <w:spacing w:line="200" w:lineRule="exact"/>
                          <w:ind w:left="415" w:right="-12"/>
                          <w:rPr>
                            <w:sz w:val="19"/>
                          </w:rPr>
                        </w:pPr>
                        <w:r>
                          <w:rPr>
                            <w:w w:val="90"/>
                            <w:sz w:val="19"/>
                          </w:rPr>
                          <w:t>3,596.142</w:t>
                        </w:r>
                      </w:p>
                      <w:p>
                        <w:pPr>
                          <w:pStyle w:val="TableParagraph"/>
                          <w:spacing w:line="208" w:lineRule="exact"/>
                          <w:ind w:left="419" w:right="-12"/>
                          <w:rPr>
                            <w:sz w:val="19"/>
                          </w:rPr>
                        </w:pPr>
                        <w:r>
                          <w:rPr>
                            <w:w w:val="85"/>
                            <w:sz w:val="19"/>
                          </w:rPr>
                          <w:t>2,715.983</w:t>
                        </w:r>
                      </w:p>
                    </w:tc>
                    <w:tc>
                      <w:tcPr>
                        <w:tcW w:w="1548" w:type="dxa"/>
                        <w:tcBorders>
                          <w:top w:val="nil"/>
                          <w:left w:val="single" w:sz="6" w:space="0" w:color="000000"/>
                          <w:bottom w:val="nil"/>
                          <w:right w:val="single" w:sz="6" w:space="0" w:color="000000"/>
                        </w:tcBorders>
                      </w:tcPr>
                      <w:p>
                        <w:pPr>
                          <w:pStyle w:val="TableParagraph"/>
                          <w:spacing w:line="207" w:lineRule="exact" w:before="81"/>
                          <w:ind w:left="502" w:right="-7"/>
                          <w:rPr>
                            <w:sz w:val="19"/>
                          </w:rPr>
                        </w:pPr>
                        <w:r>
                          <w:rPr>
                            <w:w w:val="80"/>
                            <w:sz w:val="19"/>
                          </w:rPr>
                          <w:t>29,534.880</w:t>
                        </w:r>
                      </w:p>
                      <w:p>
                        <w:pPr>
                          <w:pStyle w:val="TableParagraph"/>
                          <w:spacing w:line="200" w:lineRule="exact"/>
                          <w:ind w:left="502" w:right="-7"/>
                          <w:rPr>
                            <w:sz w:val="19"/>
                          </w:rPr>
                        </w:pPr>
                        <w:r>
                          <w:rPr>
                            <w:w w:val="85"/>
                            <w:sz w:val="19"/>
                          </w:rPr>
                          <w:t>22,283.505</w:t>
                        </w:r>
                      </w:p>
                      <w:p>
                        <w:pPr>
                          <w:pStyle w:val="TableParagraph"/>
                          <w:spacing w:line="202" w:lineRule="exact"/>
                          <w:ind w:left="505" w:right="-18"/>
                          <w:rPr>
                            <w:sz w:val="19"/>
                          </w:rPr>
                        </w:pPr>
                        <w:r>
                          <w:rPr>
                            <w:w w:val="90"/>
                            <w:sz w:val="19"/>
                          </w:rPr>
                          <w:t>16,429.517</w:t>
                        </w:r>
                      </w:p>
                      <w:p>
                        <w:pPr>
                          <w:pStyle w:val="TableParagraph"/>
                          <w:spacing w:line="200" w:lineRule="exact"/>
                          <w:ind w:left="505" w:right="-7"/>
                          <w:rPr>
                            <w:sz w:val="19"/>
                          </w:rPr>
                        </w:pPr>
                        <w:r>
                          <w:rPr>
                            <w:w w:val="85"/>
                            <w:sz w:val="19"/>
                          </w:rPr>
                          <w:t>11,791.244</w:t>
                        </w:r>
                      </w:p>
                      <w:p>
                        <w:pPr>
                          <w:pStyle w:val="TableParagraph"/>
                          <w:spacing w:line="207" w:lineRule="exact"/>
                          <w:ind w:left="577" w:right="-7"/>
                          <w:rPr>
                            <w:sz w:val="19"/>
                          </w:rPr>
                        </w:pPr>
                        <w:r>
                          <w:rPr>
                            <w:spacing w:val="-14"/>
                            <w:w w:val="95"/>
                            <w:sz w:val="19"/>
                          </w:rPr>
                          <w:t>8,195.102</w:t>
                        </w:r>
                      </w:p>
                    </w:tc>
                    <w:tc>
                      <w:tcPr>
                        <w:tcW w:w="1711" w:type="dxa"/>
                        <w:tcBorders>
                          <w:top w:val="nil"/>
                          <w:left w:val="single" w:sz="6" w:space="0" w:color="000000"/>
                          <w:bottom w:val="nil"/>
                          <w:right w:val="single" w:sz="6" w:space="0" w:color="000000"/>
                        </w:tcBorders>
                      </w:tcPr>
                      <w:p>
                        <w:pPr>
                          <w:pStyle w:val="TableParagraph"/>
                          <w:spacing w:line="210" w:lineRule="exact" w:before="73"/>
                          <w:ind w:left="556" w:right="-5"/>
                          <w:rPr>
                            <w:sz w:val="19"/>
                          </w:rPr>
                        </w:pPr>
                        <w:r>
                          <w:rPr>
                            <w:w w:val="85"/>
                            <w:sz w:val="19"/>
                          </w:rPr>
                          <w:t>100,598.444</w:t>
                        </w:r>
                      </w:p>
                      <w:p>
                        <w:pPr>
                          <w:pStyle w:val="TableParagraph"/>
                          <w:spacing w:line="202" w:lineRule="exact"/>
                          <w:ind w:left="624" w:right="-5"/>
                          <w:rPr>
                            <w:sz w:val="19"/>
                          </w:rPr>
                        </w:pPr>
                        <w:r>
                          <w:rPr>
                            <w:w w:val="80"/>
                            <w:sz w:val="19"/>
                          </w:rPr>
                          <w:t>71,063.564</w:t>
                        </w:r>
                      </w:p>
                      <w:p>
                        <w:pPr>
                          <w:pStyle w:val="TableParagraph"/>
                          <w:spacing w:line="198" w:lineRule="exact"/>
                          <w:ind w:left="624" w:right="-5"/>
                          <w:rPr>
                            <w:sz w:val="19"/>
                          </w:rPr>
                        </w:pPr>
                        <w:r>
                          <w:rPr>
                            <w:spacing w:val="-18"/>
                            <w:sz w:val="19"/>
                          </w:rPr>
                          <w:t>48,780.059</w:t>
                        </w:r>
                      </w:p>
                      <w:p>
                        <w:pPr>
                          <w:pStyle w:val="TableParagraph"/>
                          <w:spacing w:line="200" w:lineRule="exact"/>
                          <w:ind w:left="624" w:right="-5"/>
                          <w:rPr>
                            <w:sz w:val="19"/>
                          </w:rPr>
                        </w:pPr>
                        <w:r>
                          <w:rPr>
                            <w:spacing w:val="-12"/>
                            <w:w w:val="95"/>
                            <w:sz w:val="19"/>
                          </w:rPr>
                          <w:t>32,350.542</w:t>
                        </w:r>
                      </w:p>
                      <w:p>
                        <w:pPr>
                          <w:pStyle w:val="TableParagraph"/>
                          <w:spacing w:line="208" w:lineRule="exact"/>
                          <w:ind w:left="628" w:right="-5"/>
                          <w:rPr>
                            <w:sz w:val="19"/>
                          </w:rPr>
                        </w:pPr>
                        <w:r>
                          <w:rPr>
                            <w:w w:val="90"/>
                            <w:sz w:val="19"/>
                          </w:rPr>
                          <w:t>20,559.298</w:t>
                        </w:r>
                      </w:p>
                    </w:tc>
                    <w:tc>
                      <w:tcPr>
                        <w:tcW w:w="505" w:type="dxa"/>
                        <w:tcBorders>
                          <w:top w:val="nil"/>
                          <w:left w:val="single" w:sz="6" w:space="0" w:color="000000"/>
                          <w:bottom w:val="nil"/>
                          <w:right w:val="nil"/>
                        </w:tcBorders>
                      </w:tcPr>
                      <w:p>
                        <w:pPr>
                          <w:pStyle w:val="TableParagraph"/>
                          <w:spacing w:line="207" w:lineRule="exact" w:before="77"/>
                          <w:ind w:left="180"/>
                          <w:rPr>
                            <w:sz w:val="19"/>
                          </w:rPr>
                        </w:pPr>
                        <w:r>
                          <w:rPr>
                            <w:w w:val="95"/>
                            <w:sz w:val="19"/>
                          </w:rPr>
                          <w:t>90</w:t>
                        </w:r>
                      </w:p>
                      <w:p>
                        <w:pPr>
                          <w:pStyle w:val="TableParagraph"/>
                          <w:spacing w:line="198" w:lineRule="exact"/>
                          <w:ind w:left="180"/>
                          <w:rPr>
                            <w:sz w:val="19"/>
                          </w:rPr>
                        </w:pPr>
                        <w:r>
                          <w:rPr>
                            <w:sz w:val="19"/>
                          </w:rPr>
                          <w:t>91</w:t>
                        </w:r>
                      </w:p>
                      <w:p>
                        <w:pPr>
                          <w:pStyle w:val="TableParagraph"/>
                          <w:spacing w:line="202" w:lineRule="exact"/>
                          <w:ind w:left="177"/>
                          <w:rPr>
                            <w:sz w:val="19"/>
                          </w:rPr>
                        </w:pPr>
                        <w:r>
                          <w:rPr>
                            <w:sz w:val="19"/>
                          </w:rPr>
                          <w:t>92</w:t>
                        </w:r>
                      </w:p>
                      <w:p>
                        <w:pPr>
                          <w:pStyle w:val="TableParagraph"/>
                          <w:spacing w:line="202" w:lineRule="exact"/>
                          <w:ind w:left="180"/>
                          <w:rPr>
                            <w:sz w:val="19"/>
                          </w:rPr>
                        </w:pPr>
                        <w:r>
                          <w:rPr>
                            <w:sz w:val="19"/>
                          </w:rPr>
                          <w:t>93</w:t>
                        </w:r>
                      </w:p>
                      <w:p>
                        <w:pPr>
                          <w:pStyle w:val="TableParagraph"/>
                          <w:spacing w:line="207" w:lineRule="exact"/>
                          <w:ind w:left="180"/>
                          <w:rPr>
                            <w:sz w:val="19"/>
                          </w:rPr>
                        </w:pPr>
                        <w:r>
                          <w:rPr>
                            <w:w w:val="95"/>
                            <w:sz w:val="19"/>
                          </w:rPr>
                          <w:t>94</w:t>
                        </w:r>
                      </w:p>
                    </w:tc>
                  </w:tr>
                  <w:tr>
                    <w:trPr>
                      <w:trHeight w:val="1195" w:hRule="exact"/>
                    </w:trPr>
                    <w:tc>
                      <w:tcPr>
                        <w:tcW w:w="482" w:type="dxa"/>
                        <w:tcBorders>
                          <w:top w:val="nil"/>
                          <w:left w:val="nil"/>
                          <w:bottom w:val="single" w:sz="6" w:space="0" w:color="000000"/>
                        </w:tcBorders>
                      </w:tcPr>
                      <w:p>
                        <w:pPr>
                          <w:pStyle w:val="TableParagraph"/>
                          <w:spacing w:line="208" w:lineRule="exact" w:before="97"/>
                          <w:ind w:left="151" w:right="-57"/>
                          <w:rPr>
                            <w:sz w:val="19"/>
                          </w:rPr>
                        </w:pPr>
                        <w:r>
                          <w:rPr>
                            <w:sz w:val="19"/>
                          </w:rPr>
                          <w:t>95</w:t>
                        </w:r>
                      </w:p>
                      <w:p>
                        <w:pPr>
                          <w:pStyle w:val="TableParagraph"/>
                          <w:spacing w:line="198" w:lineRule="exact"/>
                          <w:ind w:left="151" w:right="-57"/>
                          <w:rPr>
                            <w:sz w:val="19"/>
                          </w:rPr>
                        </w:pPr>
                        <w:r>
                          <w:rPr>
                            <w:w w:val="90"/>
                            <w:sz w:val="19"/>
                          </w:rPr>
                          <w:t>96</w:t>
                        </w:r>
                      </w:p>
                      <w:p>
                        <w:pPr>
                          <w:pStyle w:val="TableParagraph"/>
                          <w:spacing w:line="198" w:lineRule="exact"/>
                          <w:ind w:left="151" w:right="-57"/>
                          <w:rPr>
                            <w:sz w:val="19"/>
                          </w:rPr>
                        </w:pPr>
                        <w:r>
                          <w:rPr>
                            <w:sz w:val="19"/>
                          </w:rPr>
                          <w:t>97</w:t>
                        </w:r>
                      </w:p>
                      <w:p>
                        <w:pPr>
                          <w:pStyle w:val="TableParagraph"/>
                          <w:spacing w:line="202" w:lineRule="exact"/>
                          <w:ind w:left="151" w:right="-57"/>
                          <w:rPr>
                            <w:sz w:val="19"/>
                          </w:rPr>
                        </w:pPr>
                        <w:r>
                          <w:rPr>
                            <w:w w:val="105"/>
                            <w:sz w:val="19"/>
                          </w:rPr>
                          <w:t>98</w:t>
                        </w:r>
                      </w:p>
                      <w:p>
                        <w:pPr>
                          <w:pStyle w:val="TableParagraph"/>
                          <w:spacing w:line="208" w:lineRule="exact"/>
                          <w:ind w:left="147" w:right="-57"/>
                          <w:rPr>
                            <w:sz w:val="19"/>
                          </w:rPr>
                        </w:pPr>
                        <w:r>
                          <w:rPr>
                            <w:w w:val="90"/>
                            <w:sz w:val="19"/>
                          </w:rPr>
                          <w:t>99</w:t>
                        </w:r>
                      </w:p>
                    </w:tc>
                    <w:tc>
                      <w:tcPr>
                        <w:tcW w:w="1474" w:type="dxa"/>
                        <w:tcBorders>
                          <w:top w:val="nil"/>
                          <w:bottom w:val="single" w:sz="6" w:space="0" w:color="000000"/>
                          <w:right w:val="single" w:sz="6" w:space="0" w:color="000000"/>
                        </w:tcBorders>
                      </w:tcPr>
                      <w:p>
                        <w:pPr>
                          <w:pStyle w:val="TableParagraph"/>
                          <w:spacing w:line="208" w:lineRule="exact" w:before="82"/>
                          <w:ind w:left="242" w:right="98"/>
                          <w:jc w:val="center"/>
                          <w:rPr>
                            <w:sz w:val="19"/>
                          </w:rPr>
                        </w:pPr>
                        <w:r>
                          <w:rPr>
                            <w:w w:val="90"/>
                            <w:sz w:val="19"/>
                          </w:rPr>
                          <w:t>1,998.652</w:t>
                        </w:r>
                      </w:p>
                      <w:p>
                        <w:pPr>
                          <w:pStyle w:val="TableParagraph"/>
                          <w:spacing w:line="198" w:lineRule="exact"/>
                          <w:ind w:left="242" w:right="119"/>
                          <w:jc w:val="center"/>
                          <w:rPr>
                            <w:sz w:val="19"/>
                          </w:rPr>
                        </w:pPr>
                        <w:r>
                          <w:rPr>
                            <w:w w:val="90"/>
                            <w:sz w:val="19"/>
                          </w:rPr>
                          <w:t>1,436.657</w:t>
                        </w:r>
                      </w:p>
                      <w:p>
                        <w:pPr>
                          <w:pStyle w:val="TableParagraph"/>
                          <w:spacing w:line="196" w:lineRule="exact"/>
                          <w:ind w:left="242" w:right="126"/>
                          <w:jc w:val="center"/>
                          <w:rPr>
                            <w:sz w:val="19"/>
                          </w:rPr>
                        </w:pPr>
                        <w:r>
                          <w:rPr>
                            <w:w w:val="85"/>
                            <w:sz w:val="19"/>
                          </w:rPr>
                          <w:t>1,018.801</w:t>
                        </w:r>
                      </w:p>
                      <w:p>
                        <w:pPr>
                          <w:pStyle w:val="TableParagraph"/>
                          <w:spacing w:line="202" w:lineRule="exact"/>
                          <w:ind w:left="421" w:right="147"/>
                          <w:jc w:val="center"/>
                          <w:rPr>
                            <w:sz w:val="19"/>
                          </w:rPr>
                        </w:pPr>
                        <w:r>
                          <w:rPr>
                            <w:sz w:val="19"/>
                          </w:rPr>
                          <w:t>692.218</w:t>
                        </w:r>
                      </w:p>
                      <w:p>
                        <w:pPr>
                          <w:pStyle w:val="TableParagraph"/>
                          <w:spacing w:line="210" w:lineRule="exact"/>
                          <w:ind w:left="410" w:right="147"/>
                          <w:jc w:val="center"/>
                          <w:rPr>
                            <w:sz w:val="19"/>
                          </w:rPr>
                        </w:pPr>
                        <w:r>
                          <w:rPr>
                            <w:w w:val="90"/>
                            <w:sz w:val="19"/>
                          </w:rPr>
                          <w:t>333.791</w:t>
                        </w:r>
                      </w:p>
                    </w:tc>
                    <w:tc>
                      <w:tcPr>
                        <w:tcW w:w="1548" w:type="dxa"/>
                        <w:tcBorders>
                          <w:top w:val="nil"/>
                          <w:left w:val="single" w:sz="6" w:space="0" w:color="000000"/>
                          <w:bottom w:val="single" w:sz="6" w:space="0" w:color="000000"/>
                          <w:right w:val="single" w:sz="6" w:space="0" w:color="000000"/>
                        </w:tcBorders>
                      </w:tcPr>
                      <w:p>
                        <w:pPr>
                          <w:pStyle w:val="TableParagraph"/>
                          <w:spacing w:line="207" w:lineRule="exact" w:before="72"/>
                          <w:ind w:left="435" w:right="78"/>
                          <w:jc w:val="center"/>
                          <w:rPr>
                            <w:sz w:val="19"/>
                          </w:rPr>
                        </w:pPr>
                        <w:r>
                          <w:rPr>
                            <w:w w:val="95"/>
                            <w:sz w:val="19"/>
                          </w:rPr>
                          <w:t>5,479.119</w:t>
                        </w:r>
                      </w:p>
                      <w:p>
                        <w:pPr>
                          <w:pStyle w:val="TableParagraph"/>
                          <w:spacing w:line="198" w:lineRule="exact"/>
                          <w:ind w:left="437" w:right="76"/>
                          <w:jc w:val="center"/>
                          <w:rPr>
                            <w:sz w:val="19"/>
                          </w:rPr>
                        </w:pPr>
                        <w:r>
                          <w:rPr>
                            <w:w w:val="95"/>
                            <w:sz w:val="19"/>
                          </w:rPr>
                          <w:t>3,480.467</w:t>
                        </w:r>
                      </w:p>
                      <w:p>
                        <w:pPr>
                          <w:pStyle w:val="TableParagraph"/>
                          <w:spacing w:line="198" w:lineRule="exact"/>
                          <w:ind w:left="432" w:right="78"/>
                          <w:jc w:val="center"/>
                          <w:rPr>
                            <w:sz w:val="19"/>
                          </w:rPr>
                        </w:pPr>
                        <w:r>
                          <w:rPr>
                            <w:w w:val="90"/>
                            <w:sz w:val="19"/>
                          </w:rPr>
                          <w:t>2,044.810</w:t>
                        </w:r>
                      </w:p>
                      <w:p>
                        <w:pPr>
                          <w:pStyle w:val="TableParagraph"/>
                          <w:spacing w:line="198" w:lineRule="exact"/>
                          <w:ind w:left="431" w:right="78"/>
                          <w:jc w:val="center"/>
                          <w:rPr>
                            <w:sz w:val="19"/>
                          </w:rPr>
                        </w:pPr>
                        <w:r>
                          <w:rPr>
                            <w:w w:val="90"/>
                            <w:sz w:val="19"/>
                          </w:rPr>
                          <w:t>1,026.009</w:t>
                        </w:r>
                      </w:p>
                      <w:p>
                        <w:pPr>
                          <w:pStyle w:val="TableParagraph"/>
                          <w:spacing w:line="207" w:lineRule="exact"/>
                          <w:ind w:left="575" w:right="78"/>
                          <w:jc w:val="center"/>
                          <w:rPr>
                            <w:sz w:val="19"/>
                          </w:rPr>
                        </w:pPr>
                        <w:r>
                          <w:rPr>
                            <w:w w:val="95"/>
                            <w:sz w:val="19"/>
                          </w:rPr>
                          <w:t>333.791</w:t>
                        </w:r>
                      </w:p>
                    </w:tc>
                    <w:tc>
                      <w:tcPr>
                        <w:tcW w:w="1711" w:type="dxa"/>
                        <w:tcBorders>
                          <w:top w:val="nil"/>
                          <w:left w:val="single" w:sz="6" w:space="0" w:color="000000"/>
                          <w:bottom w:val="single" w:sz="6" w:space="0" w:color="000000"/>
                          <w:right w:val="single" w:sz="6" w:space="0" w:color="000000"/>
                        </w:tcBorders>
                      </w:tcPr>
                      <w:p>
                        <w:pPr>
                          <w:pStyle w:val="TableParagraph"/>
                          <w:spacing w:line="207" w:lineRule="exact" w:before="72"/>
                          <w:ind w:left="638" w:right="-5"/>
                          <w:rPr>
                            <w:sz w:val="19"/>
                          </w:rPr>
                        </w:pPr>
                        <w:r>
                          <w:rPr>
                            <w:w w:val="80"/>
                            <w:sz w:val="19"/>
                          </w:rPr>
                          <w:t>12,364.196</w:t>
                        </w:r>
                      </w:p>
                      <w:p>
                        <w:pPr>
                          <w:pStyle w:val="TableParagraph"/>
                          <w:spacing w:line="196" w:lineRule="exact"/>
                          <w:ind w:left="509" w:right="52"/>
                          <w:jc w:val="center"/>
                          <w:rPr>
                            <w:sz w:val="19"/>
                          </w:rPr>
                        </w:pPr>
                        <w:r>
                          <w:rPr>
                            <w:w w:val="90"/>
                            <w:sz w:val="19"/>
                          </w:rPr>
                          <w:t>6,885.077</w:t>
                        </w:r>
                      </w:p>
                      <w:p>
                        <w:pPr>
                          <w:pStyle w:val="TableParagraph"/>
                          <w:spacing w:line="198" w:lineRule="exact"/>
                          <w:ind w:left="501" w:right="52"/>
                          <w:jc w:val="center"/>
                          <w:rPr>
                            <w:sz w:val="19"/>
                          </w:rPr>
                        </w:pPr>
                        <w:r>
                          <w:rPr>
                            <w:w w:val="85"/>
                            <w:sz w:val="19"/>
                          </w:rPr>
                          <w:t>3,404.610</w:t>
                        </w:r>
                      </w:p>
                      <w:p>
                        <w:pPr>
                          <w:pStyle w:val="TableParagraph"/>
                          <w:spacing w:line="198" w:lineRule="exact"/>
                          <w:ind w:left="522" w:right="52"/>
                          <w:jc w:val="center"/>
                          <w:rPr>
                            <w:sz w:val="19"/>
                          </w:rPr>
                        </w:pPr>
                        <w:r>
                          <w:rPr>
                            <w:w w:val="85"/>
                            <w:sz w:val="19"/>
                          </w:rPr>
                          <w:t>1,369.800</w:t>
                        </w:r>
                      </w:p>
                      <w:p>
                        <w:pPr>
                          <w:pStyle w:val="TableParagraph"/>
                          <w:spacing w:line="205" w:lineRule="exact"/>
                          <w:ind w:left="652" w:right="52"/>
                          <w:jc w:val="center"/>
                          <w:rPr>
                            <w:sz w:val="19"/>
                          </w:rPr>
                        </w:pPr>
                        <w:r>
                          <w:rPr>
                            <w:w w:val="95"/>
                            <w:sz w:val="19"/>
                          </w:rPr>
                          <w:t>333.791</w:t>
                        </w:r>
                      </w:p>
                    </w:tc>
                    <w:tc>
                      <w:tcPr>
                        <w:tcW w:w="505" w:type="dxa"/>
                        <w:tcBorders>
                          <w:top w:val="nil"/>
                          <w:left w:val="single" w:sz="6" w:space="0" w:color="000000"/>
                          <w:bottom w:val="single" w:sz="6" w:space="0" w:color="000000"/>
                          <w:right w:val="nil"/>
                        </w:tcBorders>
                      </w:tcPr>
                      <w:p>
                        <w:pPr>
                          <w:pStyle w:val="TableParagraph"/>
                          <w:spacing w:line="205" w:lineRule="exact" w:before="72"/>
                          <w:ind w:left="180"/>
                          <w:rPr>
                            <w:sz w:val="19"/>
                          </w:rPr>
                        </w:pPr>
                        <w:r>
                          <w:rPr>
                            <w:sz w:val="19"/>
                          </w:rPr>
                          <w:t>95</w:t>
                        </w:r>
                      </w:p>
                      <w:p>
                        <w:pPr>
                          <w:pStyle w:val="TableParagraph"/>
                          <w:spacing w:line="196" w:lineRule="exact"/>
                          <w:ind w:left="177"/>
                          <w:rPr>
                            <w:rFonts w:ascii="Times New Roman"/>
                            <w:sz w:val="18"/>
                          </w:rPr>
                        </w:pPr>
                        <w:r>
                          <w:rPr>
                            <w:rFonts w:ascii="Times New Roman"/>
                            <w:sz w:val="18"/>
                          </w:rPr>
                          <w:t>96</w:t>
                        </w:r>
                      </w:p>
                      <w:p>
                        <w:pPr>
                          <w:pStyle w:val="TableParagraph"/>
                          <w:spacing w:line="205" w:lineRule="exact"/>
                          <w:ind w:left="177"/>
                          <w:rPr>
                            <w:sz w:val="19"/>
                          </w:rPr>
                        </w:pPr>
                        <w:r>
                          <w:rPr>
                            <w:w w:val="105"/>
                            <w:sz w:val="19"/>
                          </w:rPr>
                          <w:t>97</w:t>
                        </w:r>
                      </w:p>
                      <w:p>
                        <w:pPr>
                          <w:pStyle w:val="TableParagraph"/>
                          <w:spacing w:line="200" w:lineRule="exact"/>
                          <w:ind w:left="177"/>
                          <w:rPr>
                            <w:sz w:val="19"/>
                          </w:rPr>
                        </w:pPr>
                        <w:r>
                          <w:rPr>
                            <w:w w:val="110"/>
                            <w:sz w:val="19"/>
                          </w:rPr>
                          <w:t>98</w:t>
                        </w:r>
                      </w:p>
                      <w:p>
                        <w:pPr>
                          <w:pStyle w:val="TableParagraph"/>
                          <w:spacing w:line="208" w:lineRule="exact"/>
                          <w:ind w:left="177"/>
                          <w:rPr>
                            <w:sz w:val="19"/>
                          </w:rPr>
                        </w:pPr>
                        <w:r>
                          <w:rPr>
                            <w:w w:val="95"/>
                            <w:sz w:val="19"/>
                          </w:rPr>
                          <w:t>99</w:t>
                        </w:r>
                      </w:p>
                    </w:tc>
                  </w:tr>
                </w:tbl>
                <w:p>
                  <w:pPr>
                    <w:pStyle w:val="BodyText"/>
                  </w:pPr>
                </w:p>
              </w:txbxContent>
            </v:textbox>
            <w10:wrap type="none"/>
          </v:shape>
        </w:pict>
      </w:r>
      <w:r>
        <w:rPr>
          <w:w w:val="105"/>
          <w:sz w:val="17"/>
        </w:rPr>
        <w:t>Male Livea</w:t>
      </w:r>
    </w:p>
    <w:p>
      <w:pPr>
        <w:pStyle w:val="BodyText"/>
        <w:spacing w:before="9"/>
        <w:rPr>
          <w:sz w:val="23"/>
        </w:rPr>
      </w:pPr>
    </w:p>
    <w:p>
      <w:pPr>
        <w:spacing w:before="0"/>
        <w:ind w:left="116" w:right="0" w:firstLine="0"/>
        <w:jc w:val="left"/>
        <w:rPr>
          <w:sz w:val="28"/>
        </w:rPr>
      </w:pPr>
      <w:r>
        <w:rPr>
          <w:spacing w:val="-950"/>
          <w:w w:val="434"/>
          <w:sz w:val="28"/>
        </w:rPr>
        <w:t>-</w:t>
      </w:r>
    </w:p>
    <w:p>
      <w:pPr>
        <w:spacing w:after="0"/>
        <w:jc w:val="left"/>
        <w:rPr>
          <w:sz w:val="28"/>
        </w:rPr>
        <w:sectPr>
          <w:pgSz w:w="7200" w:h="11340"/>
          <w:pgMar w:top="480" w:bottom="280" w:left="160" w:right="540"/>
        </w:sectPr>
      </w:pPr>
    </w:p>
    <w:p>
      <w:pPr>
        <w:tabs>
          <w:tab w:pos="2416" w:val="left" w:leader="none"/>
        </w:tabs>
        <w:spacing w:before="65"/>
        <w:ind w:left="115" w:right="99" w:firstLine="0"/>
        <w:jc w:val="left"/>
        <w:rPr>
          <w:sz w:val="15"/>
        </w:rPr>
      </w:pPr>
      <w:r>
        <w:rPr>
          <w:rFonts w:ascii="Arial"/>
          <w:color w:val="010101"/>
          <w:w w:val="115"/>
          <w:sz w:val="18"/>
        </w:rPr>
        <w:t>342</w:t>
        <w:tab/>
      </w:r>
      <w:r>
        <w:rPr>
          <w:color w:val="010101"/>
          <w:w w:val="115"/>
          <w:position w:val="1"/>
          <w:sz w:val="15"/>
        </w:rPr>
        <w:t>APPENDIX </w:t>
      </w:r>
      <w:r>
        <w:rPr>
          <w:color w:val="010101"/>
          <w:spacing w:val="8"/>
          <w:w w:val="115"/>
          <w:position w:val="1"/>
          <w:sz w:val="15"/>
        </w:rPr>
        <w:t> </w:t>
      </w:r>
      <w:r>
        <w:rPr>
          <w:color w:val="010101"/>
          <w:w w:val="115"/>
          <w:position w:val="1"/>
          <w:sz w:val="15"/>
        </w:rPr>
        <w:t>1</w:t>
      </w:r>
    </w:p>
    <w:p>
      <w:pPr>
        <w:pStyle w:val="BodyText"/>
        <w:spacing w:before="2"/>
        <w:rPr>
          <w:sz w:val="19"/>
        </w:rPr>
      </w:pPr>
    </w:p>
    <w:p>
      <w:pPr>
        <w:spacing w:line="188" w:lineRule="exact" w:before="0"/>
        <w:ind w:left="1547" w:right="1568" w:firstLine="0"/>
        <w:jc w:val="center"/>
        <w:rPr>
          <w:i/>
          <w:sz w:val="17"/>
        </w:rPr>
      </w:pPr>
      <w:r>
        <w:rPr>
          <w:i/>
          <w:color w:val="010101"/>
          <w:sz w:val="18"/>
        </w:rPr>
        <w:t>N tt 8inol11 </w:t>
      </w:r>
      <w:r>
        <w:rPr>
          <w:i/>
          <w:color w:val="010101"/>
          <w:sz w:val="17"/>
        </w:rPr>
        <w:t>PremiumB</w:t>
      </w:r>
    </w:p>
    <w:p>
      <w:pPr>
        <w:spacing w:line="280" w:lineRule="exact" w:before="0"/>
        <w:ind w:left="1548" w:right="1522" w:firstLine="0"/>
        <w:jc w:val="center"/>
        <w:rPr>
          <w:sz w:val="17"/>
        </w:rPr>
      </w:pPr>
      <w:r>
        <w:rPr>
          <w:color w:val="010101"/>
          <w:w w:val="105"/>
          <w:sz w:val="17"/>
        </w:rPr>
        <w:t>1958 </w:t>
      </w:r>
      <w:r>
        <w:rPr>
          <w:color w:val="010101"/>
          <w:w w:val="105"/>
          <w:sz w:val="26"/>
        </w:rPr>
        <w:t>eso </w:t>
      </w:r>
      <w:r>
        <w:rPr>
          <w:color w:val="010101"/>
          <w:w w:val="105"/>
          <w:sz w:val="17"/>
        </w:rPr>
        <w:t>3%</w:t>
      </w:r>
    </w:p>
    <w:p>
      <w:pPr>
        <w:spacing w:before="9"/>
        <w:ind w:left="1548" w:right="1547" w:firstLine="0"/>
        <w:jc w:val="center"/>
        <w:rPr>
          <w:sz w:val="18"/>
        </w:rPr>
      </w:pPr>
      <w:r>
        <w:rPr>
          <w:color w:val="010101"/>
          <w:sz w:val="18"/>
        </w:rPr>
        <w:t>Male Lives</w:t>
      </w:r>
    </w:p>
    <w:p>
      <w:pPr>
        <w:pStyle w:val="BodyText"/>
        <w:spacing w:before="4"/>
        <w:rPr>
          <w:sz w:val="5"/>
        </w:rPr>
      </w:pPr>
    </w:p>
    <w:tbl>
      <w:tblPr>
        <w:tblW w:w="0" w:type="auto"/>
        <w:jc w:val="left"/>
        <w:tblInd w:w="1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7"/>
        <w:gridCol w:w="1621"/>
        <w:gridCol w:w="1544"/>
        <w:gridCol w:w="1521"/>
      </w:tblGrid>
      <w:tr>
        <w:trPr>
          <w:trHeight w:val="391" w:hRule="exact"/>
        </w:trPr>
        <w:tc>
          <w:tcPr>
            <w:tcW w:w="997" w:type="dxa"/>
            <w:tcBorders>
              <w:left w:val="nil"/>
              <w:right w:val="single" w:sz="7" w:space="0" w:color="000000"/>
            </w:tcBorders>
          </w:tcPr>
          <w:p>
            <w:pPr>
              <w:pStyle w:val="TableParagraph"/>
              <w:spacing w:before="8"/>
              <w:rPr>
                <w:rFonts w:ascii="Times New Roman"/>
                <w:sz w:val="9"/>
              </w:rPr>
            </w:pPr>
          </w:p>
          <w:p>
            <w:pPr>
              <w:pStyle w:val="TableParagraph"/>
              <w:ind w:right="440"/>
              <w:jc w:val="right"/>
              <w:rPr>
                <w:rFonts w:ascii="Arial"/>
                <w:b/>
                <w:sz w:val="13"/>
              </w:rPr>
            </w:pPr>
            <w:r>
              <w:rPr>
                <w:rFonts w:ascii="Arial"/>
                <w:b/>
                <w:color w:val="010101"/>
                <w:w w:val="105"/>
                <w:sz w:val="13"/>
              </w:rPr>
              <w:t>s</w:t>
            </w:r>
          </w:p>
        </w:tc>
        <w:tc>
          <w:tcPr>
            <w:tcW w:w="1621" w:type="dxa"/>
            <w:tcBorders>
              <w:left w:val="single" w:sz="7" w:space="0" w:color="000000"/>
            </w:tcBorders>
          </w:tcPr>
          <w:p>
            <w:pPr>
              <w:pStyle w:val="TableParagraph"/>
              <w:spacing w:before="8"/>
              <w:rPr>
                <w:rFonts w:ascii="Times New Roman"/>
                <w:sz w:val="9"/>
              </w:rPr>
            </w:pPr>
          </w:p>
          <w:p>
            <w:pPr>
              <w:pStyle w:val="TableParagraph"/>
              <w:ind w:left="283" w:right="276"/>
              <w:jc w:val="center"/>
              <w:rPr>
                <w:rFonts w:ascii="Arial"/>
                <w:b/>
                <w:sz w:val="13"/>
              </w:rPr>
            </w:pPr>
            <w:r>
              <w:rPr>
                <w:rFonts w:ascii="Arial"/>
                <w:b/>
                <w:color w:val="010101"/>
                <w:w w:val="85"/>
                <w:sz w:val="13"/>
              </w:rPr>
              <w:t>lOOOAa</w:t>
            </w:r>
          </w:p>
        </w:tc>
        <w:tc>
          <w:tcPr>
            <w:tcW w:w="1544" w:type="dxa"/>
          </w:tcPr>
          <w:p>
            <w:pPr>
              <w:pStyle w:val="TableParagraph"/>
              <w:spacing w:before="116"/>
              <w:ind w:left="678" w:right="655"/>
              <w:jc w:val="center"/>
              <w:rPr>
                <w:rFonts w:ascii="Arial"/>
                <w:b/>
                <w:sz w:val="14"/>
              </w:rPr>
            </w:pPr>
            <w:r>
              <w:rPr>
                <w:rFonts w:ascii="Arial"/>
                <w:b/>
                <w:color w:val="010101"/>
                <w:w w:val="80"/>
                <w:sz w:val="14"/>
              </w:rPr>
              <w:t>Ma</w:t>
            </w:r>
          </w:p>
        </w:tc>
        <w:tc>
          <w:tcPr>
            <w:tcW w:w="1521" w:type="dxa"/>
            <w:tcBorders>
              <w:right w:val="nil"/>
            </w:tcBorders>
          </w:tcPr>
          <w:p>
            <w:pPr>
              <w:pStyle w:val="TableParagraph"/>
              <w:spacing w:line="242" w:lineRule="exact"/>
              <w:ind w:left="264" w:right="219"/>
              <w:jc w:val="center"/>
              <w:rPr>
                <w:rFonts w:ascii="Times New Roman"/>
                <w:sz w:val="34"/>
              </w:rPr>
            </w:pPr>
            <w:r>
              <w:rPr>
                <w:rFonts w:ascii="Times New Roman"/>
                <w:color w:val="010101"/>
                <w:w w:val="90"/>
                <w:sz w:val="34"/>
              </w:rPr>
              <w:t>._</w:t>
            </w:r>
          </w:p>
        </w:tc>
      </w:tr>
      <w:tr>
        <w:trPr>
          <w:trHeight w:val="310" w:hRule="exact"/>
        </w:trPr>
        <w:tc>
          <w:tcPr>
            <w:tcW w:w="997" w:type="dxa"/>
            <w:tcBorders>
              <w:left w:val="nil"/>
              <w:bottom w:val="nil"/>
              <w:right w:val="single" w:sz="7" w:space="0" w:color="000000"/>
            </w:tcBorders>
          </w:tcPr>
          <w:p>
            <w:pPr>
              <w:pStyle w:val="TableParagraph"/>
              <w:spacing w:before="45"/>
              <w:ind w:right="402"/>
              <w:jc w:val="right"/>
              <w:rPr>
                <w:rFonts w:ascii="Arial"/>
                <w:sz w:val="22"/>
              </w:rPr>
            </w:pPr>
            <w:r>
              <w:rPr>
                <w:rFonts w:ascii="Arial"/>
                <w:color w:val="010101"/>
                <w:w w:val="81"/>
                <w:sz w:val="22"/>
              </w:rPr>
              <w:t>o</w:t>
            </w:r>
          </w:p>
        </w:tc>
        <w:tc>
          <w:tcPr>
            <w:tcW w:w="1621" w:type="dxa"/>
            <w:tcBorders>
              <w:left w:val="single" w:sz="7" w:space="0" w:color="000000"/>
              <w:bottom w:val="nil"/>
            </w:tcBorders>
          </w:tcPr>
          <w:p>
            <w:pPr>
              <w:pStyle w:val="TableParagraph"/>
              <w:spacing w:before="89"/>
              <w:ind w:left="418"/>
              <w:rPr>
                <w:rFonts w:ascii="Times New Roman"/>
                <w:sz w:val="17"/>
              </w:rPr>
            </w:pPr>
            <w:r>
              <w:rPr>
                <w:rFonts w:ascii="Times New Roman"/>
                <w:b/>
                <w:color w:val="010101"/>
                <w:w w:val="110"/>
                <w:sz w:val="17"/>
              </w:rPr>
              <w:t>158.360 </w:t>
            </w:r>
            <w:r>
              <w:rPr>
                <w:rFonts w:ascii="Times New Roman"/>
                <w:color w:val="010101"/>
                <w:w w:val="110"/>
                <w:sz w:val="17"/>
              </w:rPr>
              <w:t>15</w:t>
            </w:r>
          </w:p>
        </w:tc>
        <w:tc>
          <w:tcPr>
            <w:tcW w:w="1544" w:type="dxa"/>
            <w:tcBorders>
              <w:bottom w:val="nil"/>
            </w:tcBorders>
          </w:tcPr>
          <w:p>
            <w:pPr>
              <w:pStyle w:val="TableParagraph"/>
              <w:spacing w:before="89"/>
              <w:ind w:right="388"/>
              <w:jc w:val="right"/>
              <w:rPr>
                <w:rFonts w:ascii="Times New Roman"/>
                <w:sz w:val="17"/>
              </w:rPr>
            </w:pPr>
            <w:r>
              <w:rPr>
                <w:rFonts w:ascii="Times New Roman"/>
                <w:color w:val="010101"/>
                <w:sz w:val="17"/>
              </w:rPr>
              <w:t>28.896  30</w:t>
            </w:r>
          </w:p>
        </w:tc>
        <w:tc>
          <w:tcPr>
            <w:tcW w:w="1521" w:type="dxa"/>
            <w:tcBorders>
              <w:bottom w:val="nil"/>
              <w:right w:val="nil"/>
            </w:tcBorders>
          </w:tcPr>
          <w:p>
            <w:pPr>
              <w:pStyle w:val="TableParagraph"/>
              <w:spacing w:before="94"/>
              <w:ind w:left="415"/>
              <w:rPr>
                <w:sz w:val="18"/>
              </w:rPr>
            </w:pPr>
            <w:r>
              <w:rPr>
                <w:color w:val="010101"/>
                <w:spacing w:val="-11"/>
                <w:w w:val="90"/>
                <w:sz w:val="18"/>
              </w:rPr>
              <w:t>27.046</w:t>
            </w:r>
            <w:r>
              <w:rPr>
                <w:color w:val="010101"/>
                <w:spacing w:val="-67"/>
                <w:w w:val="90"/>
                <w:sz w:val="18"/>
              </w:rPr>
              <w:t> </w:t>
            </w:r>
            <w:r>
              <w:rPr>
                <w:color w:val="010101"/>
                <w:w w:val="90"/>
                <w:sz w:val="18"/>
              </w:rPr>
              <w:t>89</w:t>
            </w:r>
          </w:p>
        </w:tc>
      </w:tr>
      <w:tr>
        <w:trPr>
          <w:trHeight w:val="396" w:hRule="exact"/>
        </w:trPr>
        <w:tc>
          <w:tcPr>
            <w:tcW w:w="997" w:type="dxa"/>
            <w:tcBorders>
              <w:top w:val="nil"/>
              <w:left w:val="nil"/>
              <w:bottom w:val="nil"/>
              <w:right w:val="single" w:sz="7" w:space="0" w:color="000000"/>
            </w:tcBorders>
          </w:tcPr>
          <w:p>
            <w:pPr>
              <w:pStyle w:val="TableParagraph"/>
              <w:spacing w:line="196" w:lineRule="exact" w:before="3"/>
              <w:ind w:left="102"/>
              <w:jc w:val="center"/>
              <w:rPr>
                <w:sz w:val="18"/>
              </w:rPr>
            </w:pPr>
            <w:r>
              <w:rPr>
                <w:color w:val="010101"/>
                <w:w w:val="87"/>
                <w:sz w:val="18"/>
              </w:rPr>
              <w:t>1</w:t>
            </w:r>
          </w:p>
          <w:p>
            <w:pPr>
              <w:pStyle w:val="TableParagraph"/>
              <w:spacing w:line="187" w:lineRule="exact"/>
              <w:ind w:left="83"/>
              <w:jc w:val="center"/>
              <w:rPr>
                <w:rFonts w:ascii="Arial"/>
                <w:sz w:val="17"/>
              </w:rPr>
            </w:pPr>
            <w:r>
              <w:rPr>
                <w:rFonts w:ascii="Arial"/>
                <w:color w:val="010101"/>
                <w:w w:val="95"/>
                <w:sz w:val="17"/>
              </w:rPr>
              <w:t>2</w:t>
            </w:r>
          </w:p>
        </w:tc>
        <w:tc>
          <w:tcPr>
            <w:tcW w:w="1621" w:type="dxa"/>
            <w:tcBorders>
              <w:top w:val="nil"/>
              <w:left w:val="single" w:sz="7" w:space="0" w:color="000000"/>
              <w:bottom w:val="nil"/>
            </w:tcBorders>
          </w:tcPr>
          <w:p>
            <w:pPr>
              <w:pStyle w:val="TableParagraph"/>
              <w:spacing w:line="195" w:lineRule="exact"/>
              <w:ind w:left="418"/>
              <w:rPr>
                <w:sz w:val="18"/>
              </w:rPr>
            </w:pPr>
            <w:r>
              <w:rPr>
                <w:color w:val="010101"/>
                <w:spacing w:val="-13"/>
                <w:w w:val="90"/>
                <w:sz w:val="18"/>
              </w:rPr>
              <w:t>157.143</w:t>
            </w:r>
            <w:r>
              <w:rPr>
                <w:color w:val="010101"/>
                <w:spacing w:val="-78"/>
                <w:w w:val="90"/>
                <w:sz w:val="18"/>
              </w:rPr>
              <w:t> </w:t>
            </w:r>
            <w:r>
              <w:rPr>
                <w:color w:val="010101"/>
                <w:w w:val="90"/>
                <w:sz w:val="18"/>
              </w:rPr>
              <w:t>53</w:t>
            </w:r>
          </w:p>
          <w:p>
            <w:pPr>
              <w:pStyle w:val="TableParagraph"/>
              <w:spacing w:line="199" w:lineRule="exact"/>
              <w:ind w:left="418"/>
              <w:rPr>
                <w:sz w:val="18"/>
              </w:rPr>
            </w:pPr>
            <w:r>
              <w:rPr>
                <w:color w:val="010101"/>
                <w:spacing w:val="-21"/>
                <w:w w:val="81"/>
                <w:sz w:val="18"/>
              </w:rPr>
              <w:t>1</w:t>
            </w:r>
            <w:r>
              <w:rPr>
                <w:color w:val="010101"/>
                <w:w w:val="93"/>
                <w:sz w:val="18"/>
              </w:rPr>
              <w:t>6</w:t>
            </w:r>
            <w:r>
              <w:rPr>
                <w:color w:val="010101"/>
                <w:spacing w:val="-14"/>
                <w:w w:val="93"/>
                <w:sz w:val="18"/>
              </w:rPr>
              <w:t>0</w:t>
            </w:r>
            <w:r>
              <w:rPr>
                <w:color w:val="010101"/>
                <w:spacing w:val="-82"/>
                <w:w w:val="426"/>
                <w:sz w:val="18"/>
              </w:rPr>
              <w:t>.</w:t>
            </w:r>
            <w:r>
              <w:rPr>
                <w:color w:val="010101"/>
                <w:w w:val="75"/>
                <w:sz w:val="18"/>
              </w:rPr>
              <w:t>13</w:t>
            </w:r>
          </w:p>
        </w:tc>
        <w:tc>
          <w:tcPr>
            <w:tcW w:w="1544" w:type="dxa"/>
            <w:tcBorders>
              <w:top w:val="nil"/>
              <w:bottom w:val="nil"/>
            </w:tcBorders>
          </w:tcPr>
          <w:p>
            <w:pPr>
              <w:pStyle w:val="TableParagraph"/>
              <w:spacing w:line="193" w:lineRule="exact"/>
              <w:ind w:left="413"/>
              <w:rPr>
                <w:sz w:val="18"/>
              </w:rPr>
            </w:pPr>
            <w:r>
              <w:rPr>
                <w:color w:val="010101"/>
                <w:spacing w:val="-11"/>
                <w:w w:val="95"/>
                <w:sz w:val="18"/>
              </w:rPr>
              <w:t>28.938</w:t>
            </w:r>
            <w:r>
              <w:rPr>
                <w:color w:val="010101"/>
                <w:spacing w:val="-63"/>
                <w:w w:val="95"/>
                <w:sz w:val="18"/>
              </w:rPr>
              <w:t> </w:t>
            </w:r>
            <w:r>
              <w:rPr>
                <w:color w:val="010101"/>
                <w:spacing w:val="-25"/>
                <w:w w:val="95"/>
                <w:sz w:val="18"/>
              </w:rPr>
              <w:t>07</w:t>
            </w:r>
          </w:p>
          <w:p>
            <w:pPr>
              <w:pStyle w:val="TableParagraph"/>
              <w:spacing w:line="201" w:lineRule="exact"/>
              <w:ind w:left="413"/>
              <w:rPr>
                <w:sz w:val="18"/>
              </w:rPr>
            </w:pPr>
            <w:r>
              <w:rPr>
                <w:color w:val="010101"/>
                <w:w w:val="85"/>
                <w:sz w:val="18"/>
              </w:rPr>
              <w:t>28.826 95</w:t>
            </w:r>
          </w:p>
        </w:tc>
        <w:tc>
          <w:tcPr>
            <w:tcW w:w="1521" w:type="dxa"/>
            <w:tcBorders>
              <w:top w:val="nil"/>
              <w:bottom w:val="nil"/>
              <w:right w:val="nil"/>
            </w:tcBorders>
          </w:tcPr>
          <w:p>
            <w:pPr>
              <w:pStyle w:val="TableParagraph"/>
              <w:spacing w:line="169" w:lineRule="exact"/>
              <w:ind w:left="415"/>
              <w:rPr>
                <w:rFonts w:ascii="Arial"/>
                <w:sz w:val="15"/>
              </w:rPr>
            </w:pPr>
            <w:r>
              <w:rPr>
                <w:rFonts w:ascii="Arial"/>
                <w:color w:val="010101"/>
                <w:w w:val="110"/>
                <w:sz w:val="15"/>
              </w:rPr>
              <w:t>'Zl.212 26</w:t>
            </w:r>
          </w:p>
          <w:p>
            <w:pPr>
              <w:pStyle w:val="TableParagraph"/>
              <w:spacing w:line="206" w:lineRule="exact"/>
              <w:ind w:left="415"/>
              <w:rPr>
                <w:rFonts w:ascii="Times New Roman"/>
                <w:sz w:val="18"/>
              </w:rPr>
            </w:pPr>
            <w:r>
              <w:rPr>
                <w:rFonts w:ascii="Times New Roman"/>
                <w:color w:val="010101"/>
                <w:sz w:val="18"/>
              </w:rPr>
              <w:t>27.094 00</w:t>
            </w:r>
          </w:p>
        </w:tc>
      </w:tr>
      <w:tr>
        <w:trPr>
          <w:trHeight w:val="200" w:hRule="exact"/>
        </w:trPr>
        <w:tc>
          <w:tcPr>
            <w:tcW w:w="997" w:type="dxa"/>
            <w:tcBorders>
              <w:top w:val="nil"/>
              <w:left w:val="nil"/>
              <w:bottom w:val="nil"/>
              <w:right w:val="single" w:sz="7" w:space="0" w:color="000000"/>
            </w:tcBorders>
          </w:tcPr>
          <w:p>
            <w:pPr>
              <w:pStyle w:val="TableParagraph"/>
              <w:spacing w:line="191" w:lineRule="exact"/>
              <w:ind w:right="410"/>
              <w:jc w:val="right"/>
              <w:rPr>
                <w:rFonts w:ascii="Arial"/>
                <w:sz w:val="17"/>
              </w:rPr>
            </w:pPr>
            <w:r>
              <w:rPr>
                <w:rFonts w:ascii="Arial"/>
                <w:color w:val="010101"/>
                <w:w w:val="96"/>
                <w:sz w:val="17"/>
              </w:rPr>
              <w:t>3</w:t>
            </w:r>
          </w:p>
        </w:tc>
        <w:tc>
          <w:tcPr>
            <w:tcW w:w="1621" w:type="dxa"/>
            <w:tcBorders>
              <w:top w:val="nil"/>
              <w:left w:val="single" w:sz="7" w:space="0" w:color="000000"/>
              <w:bottom w:val="nil"/>
            </w:tcBorders>
          </w:tcPr>
          <w:p>
            <w:pPr>
              <w:pStyle w:val="TableParagraph"/>
              <w:spacing w:line="199" w:lineRule="exact"/>
              <w:ind w:left="316" w:right="262"/>
              <w:jc w:val="center"/>
              <w:rPr>
                <w:sz w:val="18"/>
              </w:rPr>
            </w:pPr>
            <w:r>
              <w:rPr>
                <w:color w:val="010101"/>
                <w:spacing w:val="-14"/>
                <w:w w:val="90"/>
                <w:sz w:val="18"/>
              </w:rPr>
              <w:t>163.920 </w:t>
            </w:r>
            <w:r>
              <w:rPr>
                <w:color w:val="010101"/>
                <w:w w:val="90"/>
                <w:sz w:val="18"/>
              </w:rPr>
              <w:t>68</w:t>
            </w:r>
          </w:p>
        </w:tc>
        <w:tc>
          <w:tcPr>
            <w:tcW w:w="1544" w:type="dxa"/>
            <w:tcBorders>
              <w:top w:val="nil"/>
              <w:bottom w:val="nil"/>
            </w:tcBorders>
          </w:tcPr>
          <w:p>
            <w:pPr>
              <w:pStyle w:val="TableParagraph"/>
              <w:spacing w:line="199" w:lineRule="exact"/>
              <w:ind w:right="359"/>
              <w:jc w:val="right"/>
              <w:rPr>
                <w:sz w:val="18"/>
              </w:rPr>
            </w:pPr>
            <w:r>
              <w:rPr>
                <w:color w:val="010101"/>
                <w:spacing w:val="-16"/>
                <w:sz w:val="18"/>
              </w:rPr>
              <w:t>28.705</w:t>
            </w:r>
            <w:r>
              <w:rPr>
                <w:color w:val="010101"/>
                <w:spacing w:val="-85"/>
                <w:sz w:val="18"/>
              </w:rPr>
              <w:t> </w:t>
            </w:r>
            <w:r>
              <w:rPr>
                <w:color w:val="010101"/>
                <w:spacing w:val="-17"/>
                <w:sz w:val="18"/>
              </w:rPr>
              <w:t>39</w:t>
            </w:r>
          </w:p>
        </w:tc>
        <w:tc>
          <w:tcPr>
            <w:tcW w:w="1521" w:type="dxa"/>
            <w:tcBorders>
              <w:top w:val="nil"/>
              <w:bottom w:val="nil"/>
              <w:right w:val="nil"/>
            </w:tcBorders>
          </w:tcPr>
          <w:p>
            <w:pPr>
              <w:pStyle w:val="TableParagraph"/>
              <w:spacing w:line="195" w:lineRule="exact"/>
              <w:ind w:left="271" w:right="219"/>
              <w:jc w:val="center"/>
              <w:rPr>
                <w:b/>
                <w:sz w:val="18"/>
              </w:rPr>
            </w:pPr>
            <w:r>
              <w:rPr>
                <w:b/>
                <w:color w:val="010101"/>
                <w:spacing w:val="-3"/>
                <w:w w:val="85"/>
                <w:sz w:val="18"/>
              </w:rPr>
              <w:t>26.958</w:t>
            </w:r>
            <w:r>
              <w:rPr>
                <w:b/>
                <w:color w:val="010101"/>
                <w:spacing w:val="-73"/>
                <w:w w:val="85"/>
                <w:sz w:val="18"/>
              </w:rPr>
              <w:t> </w:t>
            </w:r>
            <w:r>
              <w:rPr>
                <w:b/>
                <w:color w:val="010101"/>
                <w:w w:val="85"/>
                <w:sz w:val="18"/>
              </w:rPr>
              <w:t>78</w:t>
            </w:r>
          </w:p>
        </w:tc>
      </w:tr>
      <w:tr>
        <w:trPr>
          <w:trHeight w:val="301" w:hRule="exact"/>
        </w:trPr>
        <w:tc>
          <w:tcPr>
            <w:tcW w:w="997" w:type="dxa"/>
            <w:tcBorders>
              <w:top w:val="nil"/>
              <w:left w:val="nil"/>
              <w:bottom w:val="nil"/>
              <w:right w:val="single" w:sz="7" w:space="0" w:color="000000"/>
            </w:tcBorders>
          </w:tcPr>
          <w:p>
            <w:pPr>
              <w:pStyle w:val="TableParagraph"/>
              <w:spacing w:line="192" w:lineRule="exact"/>
              <w:ind w:right="414"/>
              <w:jc w:val="right"/>
              <w:rPr>
                <w:rFonts w:ascii="Times New Roman"/>
                <w:b/>
                <w:sz w:val="18"/>
              </w:rPr>
            </w:pPr>
            <w:r>
              <w:rPr>
                <w:rFonts w:ascii="Times New Roman"/>
                <w:b/>
                <w:color w:val="010101"/>
                <w:w w:val="94"/>
                <w:sz w:val="18"/>
              </w:rPr>
              <w:t>4</w:t>
            </w:r>
          </w:p>
        </w:tc>
        <w:tc>
          <w:tcPr>
            <w:tcW w:w="1621" w:type="dxa"/>
            <w:tcBorders>
              <w:top w:val="nil"/>
              <w:left w:val="single" w:sz="7" w:space="0" w:color="000000"/>
              <w:bottom w:val="nil"/>
            </w:tcBorders>
          </w:tcPr>
          <w:p>
            <w:pPr>
              <w:pStyle w:val="TableParagraph"/>
              <w:spacing w:line="200" w:lineRule="exact"/>
              <w:ind w:left="316" w:right="275"/>
              <w:jc w:val="center"/>
              <w:rPr>
                <w:sz w:val="18"/>
              </w:rPr>
            </w:pPr>
            <w:r>
              <w:rPr>
                <w:color w:val="010101"/>
                <w:spacing w:val="-22"/>
                <w:w w:val="95"/>
                <w:sz w:val="18"/>
              </w:rPr>
              <w:t>167.623 </w:t>
            </w:r>
            <w:r>
              <w:rPr>
                <w:color w:val="010101"/>
                <w:w w:val="95"/>
                <w:sz w:val="18"/>
              </w:rPr>
              <w:t>04</w:t>
            </w:r>
          </w:p>
        </w:tc>
        <w:tc>
          <w:tcPr>
            <w:tcW w:w="1544" w:type="dxa"/>
            <w:tcBorders>
              <w:top w:val="nil"/>
              <w:bottom w:val="nil"/>
            </w:tcBorders>
          </w:tcPr>
          <w:p>
            <w:pPr>
              <w:pStyle w:val="TableParagraph"/>
              <w:spacing w:line="196" w:lineRule="exact"/>
              <w:ind w:right="380"/>
              <w:jc w:val="right"/>
              <w:rPr>
                <w:sz w:val="18"/>
              </w:rPr>
            </w:pPr>
            <w:r>
              <w:rPr>
                <w:color w:val="010101"/>
                <w:spacing w:val="-13"/>
                <w:w w:val="90"/>
                <w:sz w:val="18"/>
              </w:rPr>
              <w:t>28.578</w:t>
            </w:r>
            <w:r>
              <w:rPr>
                <w:color w:val="010101"/>
                <w:spacing w:val="-70"/>
                <w:w w:val="90"/>
                <w:sz w:val="18"/>
              </w:rPr>
              <w:t> </w:t>
            </w:r>
            <w:r>
              <w:rPr>
                <w:color w:val="010101"/>
                <w:w w:val="90"/>
                <w:sz w:val="18"/>
              </w:rPr>
              <w:t>28</w:t>
            </w:r>
          </w:p>
        </w:tc>
        <w:tc>
          <w:tcPr>
            <w:tcW w:w="1521" w:type="dxa"/>
            <w:tcBorders>
              <w:top w:val="nil"/>
              <w:bottom w:val="nil"/>
              <w:right w:val="nil"/>
            </w:tcBorders>
          </w:tcPr>
          <w:p>
            <w:pPr>
              <w:pStyle w:val="TableParagraph"/>
              <w:spacing w:line="196" w:lineRule="exact"/>
              <w:ind w:left="268" w:right="219"/>
              <w:jc w:val="center"/>
              <w:rPr>
                <w:b/>
                <w:sz w:val="18"/>
              </w:rPr>
            </w:pPr>
            <w:r>
              <w:rPr>
                <w:b/>
                <w:color w:val="010101"/>
                <w:w w:val="80"/>
                <w:sz w:val="18"/>
              </w:rPr>
              <w:t>26.815</w:t>
            </w:r>
            <w:r>
              <w:rPr>
                <w:b/>
                <w:color w:val="010101"/>
                <w:spacing w:val="-52"/>
                <w:w w:val="80"/>
                <w:sz w:val="18"/>
              </w:rPr>
              <w:t> </w:t>
            </w:r>
            <w:r>
              <w:rPr>
                <w:b/>
                <w:color w:val="010101"/>
                <w:w w:val="80"/>
                <w:sz w:val="18"/>
              </w:rPr>
              <w:t>84</w:t>
            </w:r>
          </w:p>
        </w:tc>
      </w:tr>
      <w:tr>
        <w:trPr>
          <w:trHeight w:val="294" w:hRule="exact"/>
        </w:trPr>
        <w:tc>
          <w:tcPr>
            <w:tcW w:w="997" w:type="dxa"/>
            <w:tcBorders>
              <w:top w:val="nil"/>
              <w:left w:val="nil"/>
              <w:bottom w:val="nil"/>
              <w:right w:val="single" w:sz="7" w:space="0" w:color="000000"/>
            </w:tcBorders>
          </w:tcPr>
          <w:p>
            <w:pPr>
              <w:pStyle w:val="TableParagraph"/>
              <w:spacing w:before="94"/>
              <w:ind w:right="404"/>
              <w:jc w:val="right"/>
              <w:rPr>
                <w:rFonts w:ascii="Arial"/>
                <w:sz w:val="17"/>
              </w:rPr>
            </w:pPr>
            <w:r>
              <w:rPr>
                <w:rFonts w:ascii="Arial"/>
                <w:color w:val="010101"/>
                <w:w w:val="95"/>
                <w:sz w:val="17"/>
              </w:rPr>
              <w:t>5</w:t>
            </w:r>
          </w:p>
        </w:tc>
        <w:tc>
          <w:tcPr>
            <w:tcW w:w="1621" w:type="dxa"/>
            <w:tcBorders>
              <w:top w:val="nil"/>
              <w:left w:val="single" w:sz="7" w:space="0" w:color="000000"/>
              <w:bottom w:val="nil"/>
            </w:tcBorders>
          </w:tcPr>
          <w:p>
            <w:pPr>
              <w:pStyle w:val="TableParagraph"/>
              <w:spacing w:before="93"/>
              <w:ind w:left="418"/>
              <w:rPr>
                <w:sz w:val="18"/>
              </w:rPr>
            </w:pPr>
            <w:r>
              <w:rPr>
                <w:color w:val="010101"/>
                <w:spacing w:val="-8"/>
                <w:w w:val="85"/>
                <w:sz w:val="18"/>
              </w:rPr>
              <w:t>171.491 </w:t>
            </w:r>
            <w:r>
              <w:rPr>
                <w:color w:val="010101"/>
                <w:w w:val="85"/>
                <w:sz w:val="18"/>
              </w:rPr>
              <w:t>83</w:t>
            </w:r>
          </w:p>
        </w:tc>
        <w:tc>
          <w:tcPr>
            <w:tcW w:w="1544" w:type="dxa"/>
            <w:tcBorders>
              <w:top w:val="nil"/>
              <w:bottom w:val="nil"/>
            </w:tcBorders>
          </w:tcPr>
          <w:p>
            <w:pPr>
              <w:pStyle w:val="TableParagraph"/>
              <w:spacing w:before="90"/>
              <w:ind w:right="364"/>
              <w:jc w:val="right"/>
              <w:rPr>
                <w:sz w:val="18"/>
              </w:rPr>
            </w:pPr>
            <w:r>
              <w:rPr>
                <w:color w:val="010101"/>
                <w:w w:val="90"/>
                <w:sz w:val="18"/>
              </w:rPr>
              <w:t>28.445 45</w:t>
            </w:r>
          </w:p>
        </w:tc>
        <w:tc>
          <w:tcPr>
            <w:tcW w:w="1521" w:type="dxa"/>
            <w:tcBorders>
              <w:top w:val="nil"/>
              <w:bottom w:val="nil"/>
              <w:right w:val="nil"/>
            </w:tcBorders>
          </w:tcPr>
          <w:p>
            <w:pPr>
              <w:pStyle w:val="TableParagraph"/>
              <w:spacing w:before="95"/>
              <w:ind w:left="265" w:right="219"/>
              <w:jc w:val="center"/>
              <w:rPr>
                <w:rFonts w:ascii="Arial"/>
                <w:sz w:val="15"/>
              </w:rPr>
            </w:pPr>
            <w:r>
              <w:rPr>
                <w:rFonts w:ascii="Arial"/>
                <w:color w:val="010101"/>
                <w:sz w:val="15"/>
              </w:rPr>
              <w:t>26.664  98</w:t>
            </w:r>
          </w:p>
        </w:tc>
      </w:tr>
      <w:tr>
        <w:trPr>
          <w:trHeight w:val="206" w:hRule="exact"/>
        </w:trPr>
        <w:tc>
          <w:tcPr>
            <w:tcW w:w="997" w:type="dxa"/>
            <w:tcBorders>
              <w:top w:val="nil"/>
              <w:left w:val="nil"/>
              <w:bottom w:val="nil"/>
              <w:right w:val="single" w:sz="7" w:space="0" w:color="000000"/>
            </w:tcBorders>
          </w:tcPr>
          <w:p>
            <w:pPr>
              <w:pStyle w:val="TableParagraph"/>
              <w:spacing w:before="2"/>
              <w:ind w:right="408"/>
              <w:jc w:val="right"/>
              <w:rPr>
                <w:rFonts w:ascii="Arial"/>
                <w:sz w:val="17"/>
              </w:rPr>
            </w:pPr>
            <w:r>
              <w:rPr>
                <w:rFonts w:ascii="Arial"/>
                <w:color w:val="010101"/>
                <w:w w:val="95"/>
                <w:sz w:val="17"/>
              </w:rPr>
              <w:t>6</w:t>
            </w:r>
          </w:p>
        </w:tc>
        <w:tc>
          <w:tcPr>
            <w:tcW w:w="1621" w:type="dxa"/>
            <w:tcBorders>
              <w:top w:val="nil"/>
              <w:left w:val="single" w:sz="7" w:space="0" w:color="000000"/>
              <w:bottom w:val="nil"/>
            </w:tcBorders>
          </w:tcPr>
          <w:p>
            <w:pPr>
              <w:pStyle w:val="TableParagraph"/>
              <w:spacing w:before="1"/>
              <w:ind w:left="418"/>
              <w:rPr>
                <w:sz w:val="18"/>
              </w:rPr>
            </w:pPr>
            <w:r>
              <w:rPr>
                <w:color w:val="010101"/>
                <w:w w:val="95"/>
                <w:sz w:val="18"/>
              </w:rPr>
              <w:t>175.523 57</w:t>
            </w:r>
          </w:p>
        </w:tc>
        <w:tc>
          <w:tcPr>
            <w:tcW w:w="1544" w:type="dxa"/>
            <w:tcBorders>
              <w:top w:val="nil"/>
              <w:bottom w:val="nil"/>
            </w:tcBorders>
          </w:tcPr>
          <w:p>
            <w:pPr>
              <w:pStyle w:val="TableParagraph"/>
              <w:spacing w:line="201" w:lineRule="exact"/>
              <w:ind w:right="363"/>
              <w:jc w:val="right"/>
              <w:rPr>
                <w:sz w:val="18"/>
              </w:rPr>
            </w:pPr>
            <w:r>
              <w:rPr>
                <w:color w:val="010101"/>
                <w:spacing w:val="-8"/>
                <w:w w:val="95"/>
                <w:sz w:val="18"/>
              </w:rPr>
              <w:t>28.307</w:t>
            </w:r>
            <w:r>
              <w:rPr>
                <w:color w:val="010101"/>
                <w:spacing w:val="-82"/>
                <w:w w:val="95"/>
                <w:sz w:val="18"/>
              </w:rPr>
              <w:t> </w:t>
            </w:r>
            <w:r>
              <w:rPr>
                <w:color w:val="010101"/>
                <w:spacing w:val="-21"/>
                <w:w w:val="95"/>
                <w:sz w:val="18"/>
              </w:rPr>
              <w:t>02</w:t>
            </w:r>
          </w:p>
        </w:tc>
        <w:tc>
          <w:tcPr>
            <w:tcW w:w="1521" w:type="dxa"/>
            <w:tcBorders>
              <w:top w:val="nil"/>
              <w:bottom w:val="nil"/>
              <w:right w:val="nil"/>
            </w:tcBorders>
          </w:tcPr>
          <w:p>
            <w:pPr>
              <w:pStyle w:val="TableParagraph"/>
              <w:spacing w:line="186" w:lineRule="exact"/>
              <w:ind w:left="415"/>
              <w:rPr>
                <w:rFonts w:ascii="Times New Roman"/>
                <w:b/>
                <w:sz w:val="18"/>
              </w:rPr>
            </w:pPr>
            <w:r>
              <w:rPr>
                <w:rFonts w:ascii="Times New Roman"/>
                <w:b/>
                <w:color w:val="010101"/>
                <w:sz w:val="18"/>
              </w:rPr>
              <w:t>26.506 50</w:t>
            </w:r>
          </w:p>
        </w:tc>
      </w:tr>
      <w:tr>
        <w:trPr>
          <w:trHeight w:val="203" w:hRule="exact"/>
        </w:trPr>
        <w:tc>
          <w:tcPr>
            <w:tcW w:w="997" w:type="dxa"/>
            <w:tcBorders>
              <w:top w:val="nil"/>
              <w:left w:val="nil"/>
              <w:bottom w:val="nil"/>
              <w:right w:val="single" w:sz="7" w:space="0" w:color="000000"/>
            </w:tcBorders>
          </w:tcPr>
          <w:p>
            <w:pPr>
              <w:pStyle w:val="TableParagraph"/>
              <w:spacing w:before="3"/>
              <w:ind w:right="383"/>
              <w:jc w:val="right"/>
              <w:rPr>
                <w:sz w:val="18"/>
              </w:rPr>
            </w:pPr>
            <w:r>
              <w:rPr>
                <w:color w:val="010101"/>
                <w:w w:val="103"/>
                <w:sz w:val="18"/>
              </w:rPr>
              <w:t>7</w:t>
            </w:r>
          </w:p>
        </w:tc>
        <w:tc>
          <w:tcPr>
            <w:tcW w:w="1621" w:type="dxa"/>
            <w:tcBorders>
              <w:top w:val="nil"/>
              <w:left w:val="single" w:sz="7" w:space="0" w:color="000000"/>
              <w:bottom w:val="nil"/>
            </w:tcBorders>
          </w:tcPr>
          <w:p>
            <w:pPr>
              <w:pStyle w:val="TableParagraph"/>
              <w:spacing w:line="197" w:lineRule="exact"/>
              <w:ind w:left="316" w:right="268"/>
              <w:jc w:val="center"/>
              <w:rPr>
                <w:sz w:val="18"/>
              </w:rPr>
            </w:pPr>
            <w:r>
              <w:rPr>
                <w:color w:val="010101"/>
                <w:w w:val="85"/>
                <w:sz w:val="18"/>
              </w:rPr>
              <w:t>179.722 88</w:t>
            </w:r>
          </w:p>
        </w:tc>
        <w:tc>
          <w:tcPr>
            <w:tcW w:w="1544" w:type="dxa"/>
            <w:tcBorders>
              <w:top w:val="nil"/>
              <w:bottom w:val="nil"/>
            </w:tcBorders>
          </w:tcPr>
          <w:p>
            <w:pPr>
              <w:pStyle w:val="TableParagraph"/>
              <w:spacing w:line="197" w:lineRule="exact"/>
              <w:ind w:right="374"/>
              <w:jc w:val="right"/>
              <w:rPr>
                <w:sz w:val="18"/>
              </w:rPr>
            </w:pPr>
            <w:r>
              <w:rPr>
                <w:color w:val="010101"/>
                <w:spacing w:val="-11"/>
                <w:w w:val="90"/>
                <w:sz w:val="18"/>
              </w:rPr>
              <w:t>28.162</w:t>
            </w:r>
            <w:r>
              <w:rPr>
                <w:color w:val="010101"/>
                <w:spacing w:val="-72"/>
                <w:w w:val="90"/>
                <w:sz w:val="18"/>
              </w:rPr>
              <w:t> </w:t>
            </w:r>
            <w:r>
              <w:rPr>
                <w:color w:val="010101"/>
                <w:w w:val="90"/>
                <w:sz w:val="18"/>
              </w:rPr>
              <w:t>85</w:t>
            </w:r>
          </w:p>
        </w:tc>
        <w:tc>
          <w:tcPr>
            <w:tcW w:w="1521" w:type="dxa"/>
            <w:tcBorders>
              <w:top w:val="nil"/>
              <w:bottom w:val="nil"/>
              <w:right w:val="nil"/>
            </w:tcBorders>
          </w:tcPr>
          <w:p>
            <w:pPr>
              <w:pStyle w:val="TableParagraph"/>
              <w:spacing w:line="193" w:lineRule="exact"/>
              <w:ind w:left="411"/>
              <w:rPr>
                <w:sz w:val="18"/>
              </w:rPr>
            </w:pPr>
            <w:r>
              <w:rPr>
                <w:color w:val="010101"/>
                <w:spacing w:val="-6"/>
                <w:w w:val="85"/>
                <w:sz w:val="18"/>
              </w:rPr>
              <w:t>26.340 </w:t>
            </w:r>
            <w:r>
              <w:rPr>
                <w:color w:val="010101"/>
                <w:w w:val="85"/>
                <w:sz w:val="18"/>
              </w:rPr>
              <w:t>17</w:t>
            </w:r>
          </w:p>
        </w:tc>
      </w:tr>
      <w:tr>
        <w:trPr>
          <w:trHeight w:val="205" w:hRule="exact"/>
        </w:trPr>
        <w:tc>
          <w:tcPr>
            <w:tcW w:w="997" w:type="dxa"/>
            <w:tcBorders>
              <w:top w:val="nil"/>
              <w:left w:val="nil"/>
              <w:bottom w:val="nil"/>
              <w:right w:val="single" w:sz="7" w:space="0" w:color="000000"/>
            </w:tcBorders>
          </w:tcPr>
          <w:p>
            <w:pPr>
              <w:pStyle w:val="TableParagraph"/>
              <w:spacing w:before="5"/>
              <w:ind w:right="371"/>
              <w:jc w:val="right"/>
              <w:rPr>
                <w:sz w:val="18"/>
              </w:rPr>
            </w:pPr>
            <w:r>
              <w:rPr>
                <w:color w:val="010101"/>
                <w:w w:val="114"/>
                <w:sz w:val="18"/>
              </w:rPr>
              <w:t>8</w:t>
            </w:r>
          </w:p>
        </w:tc>
        <w:tc>
          <w:tcPr>
            <w:tcW w:w="1621" w:type="dxa"/>
            <w:tcBorders>
              <w:top w:val="nil"/>
              <w:left w:val="single" w:sz="7" w:space="0" w:color="000000"/>
              <w:bottom w:val="nil"/>
            </w:tcBorders>
          </w:tcPr>
          <w:p>
            <w:pPr>
              <w:pStyle w:val="TableParagraph"/>
              <w:spacing w:line="195" w:lineRule="exact"/>
              <w:ind w:left="418"/>
              <w:rPr>
                <w:sz w:val="18"/>
              </w:rPr>
            </w:pPr>
            <w:r>
              <w:rPr>
                <w:color w:val="010101"/>
                <w:w w:val="80"/>
                <w:sz w:val="18"/>
              </w:rPr>
              <w:t>184.086 53</w:t>
            </w:r>
          </w:p>
        </w:tc>
        <w:tc>
          <w:tcPr>
            <w:tcW w:w="1544" w:type="dxa"/>
            <w:tcBorders>
              <w:top w:val="nil"/>
              <w:bottom w:val="nil"/>
            </w:tcBorders>
          </w:tcPr>
          <w:p>
            <w:pPr>
              <w:pStyle w:val="TableParagraph"/>
              <w:spacing w:line="195" w:lineRule="exact"/>
              <w:ind w:right="378"/>
              <w:jc w:val="right"/>
              <w:rPr>
                <w:sz w:val="18"/>
              </w:rPr>
            </w:pPr>
            <w:r>
              <w:rPr>
                <w:color w:val="010101"/>
                <w:spacing w:val="-6"/>
                <w:w w:val="85"/>
                <w:sz w:val="18"/>
              </w:rPr>
              <w:t>28.013 </w:t>
            </w:r>
            <w:r>
              <w:rPr>
                <w:color w:val="010101"/>
                <w:w w:val="85"/>
                <w:sz w:val="18"/>
              </w:rPr>
              <w:t>03</w:t>
            </w:r>
          </w:p>
        </w:tc>
        <w:tc>
          <w:tcPr>
            <w:tcW w:w="1521" w:type="dxa"/>
            <w:tcBorders>
              <w:top w:val="nil"/>
              <w:bottom w:val="nil"/>
              <w:right w:val="nil"/>
            </w:tcBorders>
          </w:tcPr>
          <w:p>
            <w:pPr>
              <w:pStyle w:val="TableParagraph"/>
              <w:spacing w:line="188" w:lineRule="exact"/>
              <w:ind w:left="411"/>
              <w:rPr>
                <w:sz w:val="18"/>
              </w:rPr>
            </w:pPr>
            <w:r>
              <w:rPr>
                <w:color w:val="010101"/>
                <w:w w:val="85"/>
                <w:sz w:val="18"/>
              </w:rPr>
              <w:t>26.166 32</w:t>
            </w:r>
          </w:p>
        </w:tc>
      </w:tr>
      <w:tr>
        <w:trPr>
          <w:trHeight w:val="293" w:hRule="exact"/>
        </w:trPr>
        <w:tc>
          <w:tcPr>
            <w:tcW w:w="997" w:type="dxa"/>
            <w:tcBorders>
              <w:top w:val="nil"/>
              <w:left w:val="nil"/>
              <w:bottom w:val="nil"/>
              <w:right w:val="single" w:sz="7" w:space="0" w:color="000000"/>
            </w:tcBorders>
          </w:tcPr>
          <w:p>
            <w:pPr>
              <w:pStyle w:val="TableParagraph"/>
              <w:spacing w:line="184" w:lineRule="exact"/>
              <w:ind w:right="403"/>
              <w:jc w:val="right"/>
              <w:rPr>
                <w:rFonts w:ascii="Arial"/>
                <w:sz w:val="17"/>
              </w:rPr>
            </w:pPr>
            <w:r>
              <w:rPr>
                <w:rFonts w:ascii="Arial"/>
                <w:color w:val="010101"/>
                <w:w w:val="100"/>
                <w:sz w:val="17"/>
              </w:rPr>
              <w:t>9</w:t>
            </w:r>
          </w:p>
        </w:tc>
        <w:tc>
          <w:tcPr>
            <w:tcW w:w="1621" w:type="dxa"/>
            <w:tcBorders>
              <w:top w:val="nil"/>
              <w:left w:val="single" w:sz="7" w:space="0" w:color="000000"/>
              <w:bottom w:val="nil"/>
            </w:tcBorders>
          </w:tcPr>
          <w:p>
            <w:pPr>
              <w:pStyle w:val="TableParagraph"/>
              <w:spacing w:line="191" w:lineRule="exact"/>
              <w:ind w:left="316" w:right="246"/>
              <w:jc w:val="center"/>
              <w:rPr>
                <w:sz w:val="18"/>
              </w:rPr>
            </w:pPr>
            <w:r>
              <w:rPr>
                <w:color w:val="010101"/>
                <w:spacing w:val="-8"/>
                <w:w w:val="90"/>
                <w:sz w:val="18"/>
              </w:rPr>
              <w:t>188.611</w:t>
            </w:r>
            <w:r>
              <w:rPr>
                <w:color w:val="010101"/>
                <w:spacing w:val="-65"/>
                <w:w w:val="90"/>
                <w:sz w:val="18"/>
              </w:rPr>
              <w:t> </w:t>
            </w:r>
            <w:r>
              <w:rPr>
                <w:color w:val="010101"/>
                <w:spacing w:val="-11"/>
                <w:w w:val="90"/>
                <w:sz w:val="18"/>
              </w:rPr>
              <w:t>10</w:t>
            </w:r>
          </w:p>
        </w:tc>
        <w:tc>
          <w:tcPr>
            <w:tcW w:w="1544" w:type="dxa"/>
            <w:tcBorders>
              <w:top w:val="nil"/>
              <w:bottom w:val="nil"/>
            </w:tcBorders>
          </w:tcPr>
          <w:p>
            <w:pPr>
              <w:pStyle w:val="TableParagraph"/>
              <w:spacing w:line="191" w:lineRule="exact"/>
              <w:ind w:right="366"/>
              <w:jc w:val="right"/>
              <w:rPr>
                <w:sz w:val="18"/>
              </w:rPr>
            </w:pPr>
            <w:r>
              <w:rPr>
                <w:color w:val="010101"/>
                <w:spacing w:val="-12"/>
                <w:w w:val="95"/>
                <w:sz w:val="18"/>
              </w:rPr>
              <w:t>27.857</w:t>
            </w:r>
            <w:r>
              <w:rPr>
                <w:color w:val="010101"/>
                <w:spacing w:val="-73"/>
                <w:w w:val="95"/>
                <w:sz w:val="18"/>
              </w:rPr>
              <w:t> </w:t>
            </w:r>
            <w:r>
              <w:rPr>
                <w:color w:val="010101"/>
                <w:spacing w:val="-19"/>
                <w:w w:val="95"/>
                <w:sz w:val="18"/>
              </w:rPr>
              <w:t>69</w:t>
            </w:r>
          </w:p>
        </w:tc>
        <w:tc>
          <w:tcPr>
            <w:tcW w:w="1521" w:type="dxa"/>
            <w:tcBorders>
              <w:top w:val="nil"/>
              <w:bottom w:val="nil"/>
              <w:right w:val="nil"/>
            </w:tcBorders>
          </w:tcPr>
          <w:p>
            <w:pPr>
              <w:pStyle w:val="TableParagraph"/>
              <w:spacing w:line="188" w:lineRule="exact"/>
              <w:ind w:left="262" w:right="219"/>
              <w:jc w:val="center"/>
              <w:rPr>
                <w:sz w:val="18"/>
              </w:rPr>
            </w:pPr>
            <w:r>
              <w:rPr>
                <w:color w:val="010101"/>
                <w:spacing w:val="-15"/>
                <w:w w:val="90"/>
                <w:sz w:val="18"/>
              </w:rPr>
              <w:t>25.985 </w:t>
            </w:r>
            <w:r>
              <w:rPr>
                <w:color w:val="010101"/>
                <w:w w:val="90"/>
                <w:sz w:val="18"/>
              </w:rPr>
              <w:t>23</w:t>
            </w:r>
          </w:p>
        </w:tc>
      </w:tr>
      <w:tr>
        <w:trPr>
          <w:trHeight w:val="305" w:hRule="exact"/>
        </w:trPr>
        <w:tc>
          <w:tcPr>
            <w:tcW w:w="997" w:type="dxa"/>
            <w:tcBorders>
              <w:top w:val="nil"/>
              <w:left w:val="nil"/>
              <w:bottom w:val="nil"/>
              <w:right w:val="single" w:sz="7" w:space="0" w:color="000000"/>
            </w:tcBorders>
          </w:tcPr>
          <w:p>
            <w:pPr>
              <w:pStyle w:val="TableParagraph"/>
              <w:spacing w:before="104"/>
              <w:ind w:right="384"/>
              <w:jc w:val="right"/>
              <w:rPr>
                <w:sz w:val="18"/>
              </w:rPr>
            </w:pPr>
            <w:r>
              <w:rPr>
                <w:color w:val="010101"/>
                <w:w w:val="80"/>
                <w:sz w:val="18"/>
              </w:rPr>
              <w:t>10</w:t>
            </w:r>
          </w:p>
        </w:tc>
        <w:tc>
          <w:tcPr>
            <w:tcW w:w="1621" w:type="dxa"/>
            <w:tcBorders>
              <w:top w:val="nil"/>
              <w:left w:val="single" w:sz="7" w:space="0" w:color="000000"/>
              <w:bottom w:val="nil"/>
            </w:tcBorders>
          </w:tcPr>
          <w:p>
            <w:pPr>
              <w:pStyle w:val="TableParagraph"/>
              <w:spacing w:before="93"/>
              <w:ind w:left="418"/>
              <w:rPr>
                <w:sz w:val="18"/>
              </w:rPr>
            </w:pPr>
            <w:r>
              <w:rPr>
                <w:color w:val="010101"/>
                <w:spacing w:val="-15"/>
                <w:w w:val="95"/>
                <w:sz w:val="18"/>
              </w:rPr>
              <w:t>193.293</w:t>
            </w:r>
            <w:r>
              <w:rPr>
                <w:color w:val="010101"/>
                <w:spacing w:val="-75"/>
                <w:w w:val="95"/>
                <w:sz w:val="18"/>
              </w:rPr>
              <w:t> </w:t>
            </w:r>
            <w:r>
              <w:rPr>
                <w:color w:val="010101"/>
                <w:spacing w:val="-16"/>
                <w:w w:val="95"/>
                <w:sz w:val="18"/>
              </w:rPr>
              <w:t>36</w:t>
            </w:r>
          </w:p>
        </w:tc>
        <w:tc>
          <w:tcPr>
            <w:tcW w:w="1544" w:type="dxa"/>
            <w:tcBorders>
              <w:top w:val="nil"/>
              <w:bottom w:val="nil"/>
            </w:tcBorders>
          </w:tcPr>
          <w:p>
            <w:pPr>
              <w:pStyle w:val="TableParagraph"/>
              <w:spacing w:before="93"/>
              <w:ind w:right="382"/>
              <w:jc w:val="right"/>
              <w:rPr>
                <w:sz w:val="18"/>
              </w:rPr>
            </w:pPr>
            <w:r>
              <w:rPr>
                <w:color w:val="010101"/>
                <w:spacing w:val="-15"/>
                <w:w w:val="95"/>
                <w:sz w:val="18"/>
              </w:rPr>
              <w:t>27.696</w:t>
            </w:r>
            <w:r>
              <w:rPr>
                <w:color w:val="010101"/>
                <w:spacing w:val="-73"/>
                <w:w w:val="95"/>
                <w:sz w:val="18"/>
              </w:rPr>
              <w:t> </w:t>
            </w:r>
            <w:r>
              <w:rPr>
                <w:color w:val="010101"/>
                <w:spacing w:val="-17"/>
                <w:w w:val="95"/>
                <w:sz w:val="18"/>
              </w:rPr>
              <w:t>93</w:t>
            </w:r>
          </w:p>
        </w:tc>
        <w:tc>
          <w:tcPr>
            <w:tcW w:w="1521" w:type="dxa"/>
            <w:tcBorders>
              <w:top w:val="nil"/>
              <w:bottom w:val="nil"/>
              <w:right w:val="nil"/>
            </w:tcBorders>
          </w:tcPr>
          <w:p>
            <w:pPr>
              <w:pStyle w:val="TableParagraph"/>
              <w:spacing w:before="90"/>
              <w:ind w:left="265" w:right="219"/>
              <w:jc w:val="center"/>
              <w:rPr>
                <w:sz w:val="18"/>
              </w:rPr>
            </w:pPr>
            <w:r>
              <w:rPr>
                <w:color w:val="010101"/>
                <w:spacing w:val="-21"/>
                <w:w w:val="95"/>
                <w:sz w:val="18"/>
              </w:rPr>
              <w:t>25.797 </w:t>
            </w:r>
            <w:r>
              <w:rPr>
                <w:color w:val="010101"/>
                <w:w w:val="95"/>
                <w:sz w:val="18"/>
              </w:rPr>
              <w:t>22</w:t>
            </w:r>
          </w:p>
        </w:tc>
      </w:tr>
      <w:tr>
        <w:trPr>
          <w:trHeight w:val="196" w:hRule="exact"/>
        </w:trPr>
        <w:tc>
          <w:tcPr>
            <w:tcW w:w="997" w:type="dxa"/>
            <w:tcBorders>
              <w:top w:val="nil"/>
              <w:left w:val="nil"/>
              <w:bottom w:val="nil"/>
              <w:right w:val="single" w:sz="7" w:space="0" w:color="000000"/>
            </w:tcBorders>
          </w:tcPr>
          <w:p>
            <w:pPr>
              <w:pStyle w:val="TableParagraph"/>
              <w:ind w:right="381"/>
              <w:jc w:val="right"/>
              <w:rPr>
                <w:rFonts w:ascii="Arial"/>
                <w:sz w:val="16"/>
              </w:rPr>
            </w:pPr>
            <w:r>
              <w:rPr>
                <w:rFonts w:ascii="Arial"/>
                <w:color w:val="010101"/>
                <w:sz w:val="16"/>
              </w:rPr>
              <w:t>11</w:t>
            </w:r>
          </w:p>
        </w:tc>
        <w:tc>
          <w:tcPr>
            <w:tcW w:w="1621" w:type="dxa"/>
            <w:tcBorders>
              <w:top w:val="nil"/>
              <w:left w:val="single" w:sz="7" w:space="0" w:color="000000"/>
              <w:bottom w:val="nil"/>
            </w:tcBorders>
          </w:tcPr>
          <w:p>
            <w:pPr>
              <w:pStyle w:val="TableParagraph"/>
              <w:spacing w:line="193" w:lineRule="exact"/>
              <w:ind w:left="418"/>
              <w:rPr>
                <w:sz w:val="18"/>
              </w:rPr>
            </w:pPr>
            <w:r>
              <w:rPr>
                <w:color w:val="010101"/>
                <w:spacing w:val="-15"/>
                <w:w w:val="90"/>
                <w:sz w:val="18"/>
              </w:rPr>
              <w:t>198.121</w:t>
            </w:r>
            <w:r>
              <w:rPr>
                <w:color w:val="010101"/>
                <w:spacing w:val="-69"/>
                <w:w w:val="90"/>
                <w:sz w:val="18"/>
              </w:rPr>
              <w:t> </w:t>
            </w:r>
            <w:r>
              <w:rPr>
                <w:color w:val="010101"/>
                <w:w w:val="90"/>
                <w:sz w:val="18"/>
              </w:rPr>
              <w:t>89</w:t>
            </w:r>
          </w:p>
        </w:tc>
        <w:tc>
          <w:tcPr>
            <w:tcW w:w="1544" w:type="dxa"/>
            <w:tcBorders>
              <w:top w:val="nil"/>
              <w:bottom w:val="nil"/>
            </w:tcBorders>
          </w:tcPr>
          <w:p>
            <w:pPr>
              <w:pStyle w:val="TableParagraph"/>
              <w:spacing w:line="190" w:lineRule="exact"/>
              <w:ind w:right="388"/>
              <w:jc w:val="right"/>
              <w:rPr>
                <w:sz w:val="18"/>
              </w:rPr>
            </w:pPr>
            <w:r>
              <w:rPr>
                <w:color w:val="010101"/>
                <w:spacing w:val="-8"/>
                <w:w w:val="85"/>
                <w:sz w:val="18"/>
              </w:rPr>
              <w:t>27</w:t>
            </w:r>
            <w:r>
              <w:rPr>
                <w:color w:val="1C1C1C"/>
                <w:spacing w:val="-8"/>
                <w:w w:val="85"/>
                <w:sz w:val="18"/>
              </w:rPr>
              <w:t>.</w:t>
            </w:r>
            <w:r>
              <w:rPr>
                <w:color w:val="010101"/>
                <w:spacing w:val="-8"/>
                <w:w w:val="85"/>
                <w:sz w:val="18"/>
              </w:rPr>
              <w:t>531 </w:t>
            </w:r>
            <w:r>
              <w:rPr>
                <w:color w:val="010101"/>
                <w:w w:val="85"/>
                <w:sz w:val="18"/>
              </w:rPr>
              <w:t>15</w:t>
            </w:r>
          </w:p>
        </w:tc>
        <w:tc>
          <w:tcPr>
            <w:tcW w:w="1521" w:type="dxa"/>
            <w:tcBorders>
              <w:top w:val="nil"/>
              <w:bottom w:val="nil"/>
              <w:right w:val="nil"/>
            </w:tcBorders>
          </w:tcPr>
          <w:p>
            <w:pPr>
              <w:pStyle w:val="TableParagraph"/>
              <w:spacing w:line="167" w:lineRule="exact"/>
              <w:ind w:left="250" w:right="219"/>
              <w:jc w:val="center"/>
              <w:rPr>
                <w:rFonts w:ascii="Arial"/>
                <w:sz w:val="15"/>
              </w:rPr>
            </w:pPr>
            <w:r>
              <w:rPr>
                <w:rFonts w:ascii="Arial"/>
                <w:color w:val="010101"/>
                <w:sz w:val="15"/>
              </w:rPr>
              <w:t>25.603  10</w:t>
            </w:r>
          </w:p>
        </w:tc>
      </w:tr>
      <w:tr>
        <w:trPr>
          <w:trHeight w:val="203" w:hRule="exact"/>
        </w:trPr>
        <w:tc>
          <w:tcPr>
            <w:tcW w:w="997" w:type="dxa"/>
            <w:tcBorders>
              <w:top w:val="nil"/>
              <w:left w:val="nil"/>
              <w:bottom w:val="nil"/>
              <w:right w:val="single" w:sz="7" w:space="0" w:color="000000"/>
            </w:tcBorders>
          </w:tcPr>
          <w:p>
            <w:pPr>
              <w:pStyle w:val="TableParagraph"/>
              <w:spacing w:before="2"/>
              <w:ind w:right="382"/>
              <w:jc w:val="right"/>
              <w:rPr>
                <w:sz w:val="18"/>
              </w:rPr>
            </w:pPr>
            <w:r>
              <w:rPr>
                <w:color w:val="010101"/>
                <w:w w:val="80"/>
                <w:sz w:val="18"/>
              </w:rPr>
              <w:t>12</w:t>
            </w:r>
          </w:p>
        </w:tc>
        <w:tc>
          <w:tcPr>
            <w:tcW w:w="1621" w:type="dxa"/>
            <w:tcBorders>
              <w:top w:val="nil"/>
              <w:left w:val="single" w:sz="7" w:space="0" w:color="000000"/>
              <w:bottom w:val="nil"/>
            </w:tcBorders>
          </w:tcPr>
          <w:p>
            <w:pPr>
              <w:pStyle w:val="TableParagraph"/>
              <w:spacing w:line="195" w:lineRule="exact"/>
              <w:ind w:left="411"/>
              <w:rPr>
                <w:sz w:val="18"/>
              </w:rPr>
            </w:pPr>
            <w:r>
              <w:rPr>
                <w:color w:val="010101"/>
                <w:w w:val="85"/>
                <w:sz w:val="18"/>
              </w:rPr>
              <w:t>203.085 31</w:t>
            </w:r>
          </w:p>
        </w:tc>
        <w:tc>
          <w:tcPr>
            <w:tcW w:w="1544" w:type="dxa"/>
            <w:tcBorders>
              <w:top w:val="nil"/>
              <w:bottom w:val="nil"/>
            </w:tcBorders>
          </w:tcPr>
          <w:p>
            <w:pPr>
              <w:pStyle w:val="TableParagraph"/>
              <w:spacing w:line="195" w:lineRule="exact"/>
              <w:ind w:right="358"/>
              <w:jc w:val="right"/>
              <w:rPr>
                <w:sz w:val="18"/>
              </w:rPr>
            </w:pPr>
            <w:r>
              <w:rPr>
                <w:color w:val="010101"/>
                <w:w w:val="90"/>
                <w:sz w:val="18"/>
              </w:rPr>
              <w:t>27.360 74</w:t>
            </w:r>
          </w:p>
        </w:tc>
        <w:tc>
          <w:tcPr>
            <w:tcW w:w="1521" w:type="dxa"/>
            <w:tcBorders>
              <w:top w:val="nil"/>
              <w:bottom w:val="nil"/>
              <w:right w:val="nil"/>
            </w:tcBorders>
          </w:tcPr>
          <w:p>
            <w:pPr>
              <w:pStyle w:val="TableParagraph"/>
              <w:spacing w:line="195" w:lineRule="exact"/>
              <w:ind w:left="415"/>
              <w:rPr>
                <w:sz w:val="18"/>
              </w:rPr>
            </w:pPr>
            <w:r>
              <w:rPr>
                <w:color w:val="010101"/>
                <w:spacing w:val="-12"/>
                <w:w w:val="90"/>
                <w:sz w:val="18"/>
              </w:rPr>
              <w:t>25</w:t>
            </w:r>
            <w:r>
              <w:rPr>
                <w:color w:val="1C1C1C"/>
                <w:spacing w:val="-12"/>
                <w:w w:val="90"/>
                <w:sz w:val="18"/>
              </w:rPr>
              <w:t>.</w:t>
            </w:r>
            <w:r>
              <w:rPr>
                <w:color w:val="010101"/>
                <w:spacing w:val="-12"/>
                <w:w w:val="90"/>
                <w:sz w:val="18"/>
              </w:rPr>
              <w:t>403 </w:t>
            </w:r>
            <w:r>
              <w:rPr>
                <w:color w:val="010101"/>
                <w:w w:val="90"/>
                <w:sz w:val="18"/>
              </w:rPr>
              <w:t>68</w:t>
            </w:r>
          </w:p>
        </w:tc>
      </w:tr>
      <w:tr>
        <w:trPr>
          <w:trHeight w:val="201" w:hRule="exact"/>
        </w:trPr>
        <w:tc>
          <w:tcPr>
            <w:tcW w:w="997" w:type="dxa"/>
            <w:tcBorders>
              <w:top w:val="nil"/>
              <w:left w:val="nil"/>
              <w:bottom w:val="nil"/>
              <w:right w:val="single" w:sz="7" w:space="0" w:color="000000"/>
            </w:tcBorders>
          </w:tcPr>
          <w:p>
            <w:pPr>
              <w:pStyle w:val="TableParagraph"/>
              <w:ind w:right="394"/>
              <w:jc w:val="right"/>
              <w:rPr>
                <w:sz w:val="18"/>
              </w:rPr>
            </w:pPr>
            <w:r>
              <w:rPr>
                <w:color w:val="010101"/>
                <w:w w:val="75"/>
                <w:sz w:val="18"/>
              </w:rPr>
              <w:t>13</w:t>
            </w:r>
          </w:p>
        </w:tc>
        <w:tc>
          <w:tcPr>
            <w:tcW w:w="1621" w:type="dxa"/>
            <w:tcBorders>
              <w:top w:val="nil"/>
              <w:left w:val="single" w:sz="7" w:space="0" w:color="000000"/>
              <w:bottom w:val="nil"/>
            </w:tcBorders>
          </w:tcPr>
          <w:p>
            <w:pPr>
              <w:pStyle w:val="TableParagraph"/>
              <w:spacing w:line="193" w:lineRule="exact"/>
              <w:ind w:left="411"/>
              <w:rPr>
                <w:sz w:val="18"/>
              </w:rPr>
            </w:pPr>
            <w:r>
              <w:rPr>
                <w:color w:val="010101"/>
                <w:spacing w:val="-7"/>
                <w:w w:val="85"/>
                <w:sz w:val="18"/>
              </w:rPr>
              <w:t>208.180</w:t>
            </w:r>
            <w:r>
              <w:rPr>
                <w:color w:val="010101"/>
                <w:spacing w:val="-57"/>
                <w:w w:val="85"/>
                <w:sz w:val="18"/>
              </w:rPr>
              <w:t> </w:t>
            </w:r>
            <w:r>
              <w:rPr>
                <w:color w:val="010101"/>
                <w:w w:val="85"/>
                <w:sz w:val="18"/>
              </w:rPr>
              <w:t>20</w:t>
            </w:r>
          </w:p>
        </w:tc>
        <w:tc>
          <w:tcPr>
            <w:tcW w:w="1544" w:type="dxa"/>
            <w:tcBorders>
              <w:top w:val="nil"/>
              <w:bottom w:val="nil"/>
            </w:tcBorders>
          </w:tcPr>
          <w:p>
            <w:pPr>
              <w:pStyle w:val="TableParagraph"/>
              <w:spacing w:line="193" w:lineRule="exact"/>
              <w:ind w:right="396"/>
              <w:jc w:val="right"/>
              <w:rPr>
                <w:sz w:val="18"/>
              </w:rPr>
            </w:pPr>
            <w:r>
              <w:rPr>
                <w:color w:val="010101"/>
                <w:w w:val="80"/>
                <w:sz w:val="18"/>
              </w:rPr>
              <w:t>27.185 81</w:t>
            </w:r>
          </w:p>
        </w:tc>
        <w:tc>
          <w:tcPr>
            <w:tcW w:w="1521" w:type="dxa"/>
            <w:tcBorders>
              <w:top w:val="nil"/>
              <w:bottom w:val="nil"/>
              <w:right w:val="nil"/>
            </w:tcBorders>
          </w:tcPr>
          <w:p>
            <w:pPr>
              <w:pStyle w:val="TableParagraph"/>
              <w:spacing w:line="190" w:lineRule="exact"/>
              <w:ind w:left="411"/>
              <w:rPr>
                <w:sz w:val="18"/>
              </w:rPr>
            </w:pPr>
            <w:r>
              <w:rPr>
                <w:color w:val="010101"/>
                <w:w w:val="80"/>
                <w:sz w:val="18"/>
              </w:rPr>
              <w:t>25.199 30</w:t>
            </w:r>
          </w:p>
        </w:tc>
      </w:tr>
      <w:tr>
        <w:trPr>
          <w:trHeight w:val="294" w:hRule="exact"/>
        </w:trPr>
        <w:tc>
          <w:tcPr>
            <w:tcW w:w="997" w:type="dxa"/>
            <w:tcBorders>
              <w:top w:val="nil"/>
              <w:left w:val="nil"/>
              <w:bottom w:val="nil"/>
              <w:right w:val="single" w:sz="7" w:space="0" w:color="000000"/>
            </w:tcBorders>
          </w:tcPr>
          <w:p>
            <w:pPr>
              <w:pStyle w:val="TableParagraph"/>
              <w:spacing w:line="183" w:lineRule="exact"/>
              <w:ind w:right="409"/>
              <w:jc w:val="right"/>
              <w:rPr>
                <w:rFonts w:ascii="Times New Roman"/>
                <w:b/>
                <w:sz w:val="17"/>
              </w:rPr>
            </w:pPr>
            <w:r>
              <w:rPr>
                <w:rFonts w:ascii="Times New Roman"/>
                <w:b/>
                <w:color w:val="010101"/>
                <w:w w:val="95"/>
                <w:sz w:val="17"/>
              </w:rPr>
              <w:t>14</w:t>
            </w:r>
          </w:p>
        </w:tc>
        <w:tc>
          <w:tcPr>
            <w:tcW w:w="1621" w:type="dxa"/>
            <w:tcBorders>
              <w:top w:val="nil"/>
              <w:left w:val="single" w:sz="7" w:space="0" w:color="000000"/>
              <w:bottom w:val="nil"/>
            </w:tcBorders>
          </w:tcPr>
          <w:p>
            <w:pPr>
              <w:pStyle w:val="TableParagraph"/>
              <w:spacing w:line="193" w:lineRule="exact"/>
              <w:ind w:left="407"/>
              <w:rPr>
                <w:sz w:val="18"/>
              </w:rPr>
            </w:pPr>
            <w:r>
              <w:rPr>
                <w:color w:val="010101"/>
                <w:w w:val="85"/>
                <w:sz w:val="18"/>
              </w:rPr>
              <w:t>213.387 27</w:t>
            </w:r>
          </w:p>
        </w:tc>
        <w:tc>
          <w:tcPr>
            <w:tcW w:w="1544" w:type="dxa"/>
            <w:tcBorders>
              <w:top w:val="nil"/>
              <w:bottom w:val="nil"/>
            </w:tcBorders>
          </w:tcPr>
          <w:p>
            <w:pPr>
              <w:pStyle w:val="TableParagraph"/>
              <w:spacing w:line="193" w:lineRule="exact"/>
              <w:ind w:right="376"/>
              <w:jc w:val="right"/>
              <w:rPr>
                <w:sz w:val="18"/>
              </w:rPr>
            </w:pPr>
            <w:r>
              <w:rPr>
                <w:color w:val="010101"/>
                <w:w w:val="85"/>
                <w:sz w:val="18"/>
              </w:rPr>
              <w:t>27.007 04</w:t>
            </w:r>
          </w:p>
        </w:tc>
        <w:tc>
          <w:tcPr>
            <w:tcW w:w="1521" w:type="dxa"/>
            <w:tcBorders>
              <w:top w:val="nil"/>
              <w:bottom w:val="nil"/>
              <w:right w:val="nil"/>
            </w:tcBorders>
          </w:tcPr>
          <w:p>
            <w:pPr>
              <w:pStyle w:val="TableParagraph"/>
              <w:spacing w:line="190" w:lineRule="exact"/>
              <w:ind w:left="268" w:right="219"/>
              <w:jc w:val="center"/>
              <w:rPr>
                <w:sz w:val="18"/>
              </w:rPr>
            </w:pPr>
            <w:r>
              <w:rPr>
                <w:color w:val="010101"/>
                <w:w w:val="80"/>
                <w:sz w:val="18"/>
              </w:rPr>
              <w:t>24.991 25</w:t>
            </w:r>
          </w:p>
        </w:tc>
      </w:tr>
      <w:tr>
        <w:trPr>
          <w:trHeight w:val="298" w:hRule="exact"/>
        </w:trPr>
        <w:tc>
          <w:tcPr>
            <w:tcW w:w="997" w:type="dxa"/>
            <w:tcBorders>
              <w:top w:val="nil"/>
              <w:left w:val="nil"/>
              <w:bottom w:val="nil"/>
              <w:right w:val="single" w:sz="7" w:space="0" w:color="000000"/>
            </w:tcBorders>
          </w:tcPr>
          <w:p>
            <w:pPr>
              <w:pStyle w:val="TableParagraph"/>
              <w:spacing w:before="113"/>
              <w:ind w:right="408"/>
              <w:jc w:val="right"/>
              <w:rPr>
                <w:rFonts w:ascii="Arial"/>
                <w:sz w:val="15"/>
              </w:rPr>
            </w:pPr>
            <w:r>
              <w:rPr>
                <w:rFonts w:ascii="Arial"/>
                <w:color w:val="010101"/>
                <w:w w:val="120"/>
                <w:sz w:val="15"/>
              </w:rPr>
              <w:t>15</w:t>
            </w:r>
          </w:p>
        </w:tc>
        <w:tc>
          <w:tcPr>
            <w:tcW w:w="1621" w:type="dxa"/>
            <w:tcBorders>
              <w:top w:val="nil"/>
              <w:left w:val="single" w:sz="7" w:space="0" w:color="000000"/>
              <w:bottom w:val="nil"/>
            </w:tcBorders>
          </w:tcPr>
          <w:p>
            <w:pPr>
              <w:pStyle w:val="TableParagraph"/>
              <w:spacing w:before="90"/>
              <w:ind w:left="255" w:right="276"/>
              <w:jc w:val="center"/>
              <w:rPr>
                <w:rFonts w:ascii="Times New Roman"/>
                <w:i/>
                <w:sz w:val="13"/>
              </w:rPr>
            </w:pPr>
            <w:r>
              <w:rPr>
                <w:color w:val="010101"/>
                <w:spacing w:val="-23"/>
                <w:sz w:val="18"/>
              </w:rPr>
              <w:t>218.702 </w:t>
            </w:r>
            <w:r>
              <w:rPr>
                <w:rFonts w:ascii="Times New Roman"/>
                <w:i/>
                <w:color w:val="010101"/>
                <w:sz w:val="13"/>
              </w:rPr>
              <w:t>ff1</w:t>
            </w:r>
          </w:p>
        </w:tc>
        <w:tc>
          <w:tcPr>
            <w:tcW w:w="1544" w:type="dxa"/>
            <w:tcBorders>
              <w:top w:val="nil"/>
              <w:bottom w:val="nil"/>
            </w:tcBorders>
          </w:tcPr>
          <w:p>
            <w:pPr>
              <w:pStyle w:val="TableParagraph"/>
              <w:spacing w:before="90"/>
              <w:ind w:right="387"/>
              <w:jc w:val="right"/>
              <w:rPr>
                <w:sz w:val="18"/>
              </w:rPr>
            </w:pPr>
            <w:r>
              <w:rPr>
                <w:color w:val="010101"/>
                <w:spacing w:val="-16"/>
                <w:w w:val="90"/>
                <w:sz w:val="18"/>
              </w:rPr>
              <w:t>26.824 </w:t>
            </w:r>
            <w:r>
              <w:rPr>
                <w:color w:val="010101"/>
                <w:w w:val="90"/>
                <w:sz w:val="18"/>
              </w:rPr>
              <w:t>53</w:t>
            </w:r>
          </w:p>
        </w:tc>
        <w:tc>
          <w:tcPr>
            <w:tcW w:w="1521" w:type="dxa"/>
            <w:tcBorders>
              <w:top w:val="nil"/>
              <w:bottom w:val="nil"/>
              <w:right w:val="nil"/>
            </w:tcBorders>
          </w:tcPr>
          <w:p>
            <w:pPr>
              <w:pStyle w:val="TableParagraph"/>
              <w:spacing w:before="90"/>
              <w:ind w:left="273" w:right="219"/>
              <w:jc w:val="center"/>
              <w:rPr>
                <w:sz w:val="18"/>
              </w:rPr>
            </w:pPr>
            <w:r>
              <w:rPr>
                <w:color w:val="010101"/>
                <w:spacing w:val="-12"/>
                <w:w w:val="90"/>
                <w:sz w:val="18"/>
              </w:rPr>
              <w:t>24.779 </w:t>
            </w:r>
            <w:r>
              <w:rPr>
                <w:color w:val="010101"/>
                <w:w w:val="90"/>
                <w:sz w:val="18"/>
              </w:rPr>
              <w:t>88</w:t>
            </w:r>
          </w:p>
        </w:tc>
      </w:tr>
      <w:tr>
        <w:trPr>
          <w:trHeight w:val="208" w:hRule="exact"/>
        </w:trPr>
        <w:tc>
          <w:tcPr>
            <w:tcW w:w="997" w:type="dxa"/>
            <w:tcBorders>
              <w:top w:val="nil"/>
              <w:left w:val="nil"/>
              <w:bottom w:val="nil"/>
              <w:right w:val="single" w:sz="7" w:space="0" w:color="000000"/>
            </w:tcBorders>
          </w:tcPr>
          <w:p>
            <w:pPr>
              <w:pStyle w:val="TableParagraph"/>
              <w:spacing w:before="7"/>
              <w:ind w:right="396"/>
              <w:jc w:val="right"/>
              <w:rPr>
                <w:sz w:val="18"/>
              </w:rPr>
            </w:pPr>
            <w:r>
              <w:rPr>
                <w:color w:val="010101"/>
                <w:w w:val="75"/>
                <w:sz w:val="18"/>
              </w:rPr>
              <w:t>16</w:t>
            </w:r>
          </w:p>
        </w:tc>
        <w:tc>
          <w:tcPr>
            <w:tcW w:w="1621" w:type="dxa"/>
            <w:tcBorders>
              <w:top w:val="nil"/>
              <w:left w:val="single" w:sz="7" w:space="0" w:color="000000"/>
              <w:bottom w:val="nil"/>
            </w:tcBorders>
          </w:tcPr>
          <w:p>
            <w:pPr>
              <w:pStyle w:val="TableParagraph"/>
              <w:spacing w:line="197" w:lineRule="exact"/>
              <w:ind w:left="407"/>
              <w:rPr>
                <w:sz w:val="18"/>
              </w:rPr>
            </w:pPr>
            <w:r>
              <w:rPr>
                <w:color w:val="010101"/>
                <w:w w:val="85"/>
                <w:sz w:val="18"/>
              </w:rPr>
              <w:t>224</w:t>
            </w:r>
            <w:r>
              <w:rPr>
                <w:color w:val="1C1C1C"/>
                <w:w w:val="85"/>
                <w:sz w:val="18"/>
              </w:rPr>
              <w:t>.</w:t>
            </w:r>
            <w:r>
              <w:rPr>
                <w:color w:val="010101"/>
                <w:w w:val="85"/>
                <w:sz w:val="18"/>
              </w:rPr>
              <w:t>131 19</w:t>
            </w:r>
          </w:p>
        </w:tc>
        <w:tc>
          <w:tcPr>
            <w:tcW w:w="1544" w:type="dxa"/>
            <w:tcBorders>
              <w:top w:val="nil"/>
              <w:bottom w:val="nil"/>
            </w:tcBorders>
          </w:tcPr>
          <w:p>
            <w:pPr>
              <w:pStyle w:val="TableParagraph"/>
              <w:spacing w:line="197" w:lineRule="exact"/>
              <w:ind w:right="386"/>
              <w:jc w:val="right"/>
              <w:rPr>
                <w:sz w:val="18"/>
              </w:rPr>
            </w:pPr>
            <w:r>
              <w:rPr>
                <w:color w:val="010101"/>
                <w:spacing w:val="-7"/>
                <w:w w:val="85"/>
                <w:sz w:val="18"/>
              </w:rPr>
              <w:t>26.638 </w:t>
            </w:r>
            <w:r>
              <w:rPr>
                <w:color w:val="010101"/>
                <w:w w:val="85"/>
                <w:sz w:val="18"/>
              </w:rPr>
              <w:t>16</w:t>
            </w:r>
          </w:p>
        </w:tc>
        <w:tc>
          <w:tcPr>
            <w:tcW w:w="1521" w:type="dxa"/>
            <w:tcBorders>
              <w:top w:val="nil"/>
              <w:bottom w:val="nil"/>
              <w:right w:val="nil"/>
            </w:tcBorders>
          </w:tcPr>
          <w:p>
            <w:pPr>
              <w:pStyle w:val="TableParagraph"/>
              <w:spacing w:line="197" w:lineRule="exact"/>
              <w:ind w:left="407"/>
              <w:rPr>
                <w:sz w:val="18"/>
              </w:rPr>
            </w:pPr>
            <w:r>
              <w:rPr>
                <w:color w:val="010101"/>
                <w:spacing w:val="-8"/>
                <w:w w:val="90"/>
                <w:sz w:val="18"/>
              </w:rPr>
              <w:t>24.565</w:t>
            </w:r>
            <w:r>
              <w:rPr>
                <w:color w:val="010101"/>
                <w:spacing w:val="-76"/>
                <w:w w:val="90"/>
                <w:sz w:val="18"/>
              </w:rPr>
              <w:t> </w:t>
            </w:r>
            <w:r>
              <w:rPr>
                <w:color w:val="010101"/>
                <w:w w:val="90"/>
                <w:sz w:val="18"/>
              </w:rPr>
              <w:t>00</w:t>
            </w:r>
          </w:p>
        </w:tc>
      </w:tr>
      <w:tr>
        <w:trPr>
          <w:trHeight w:val="196" w:hRule="exact"/>
        </w:trPr>
        <w:tc>
          <w:tcPr>
            <w:tcW w:w="997" w:type="dxa"/>
            <w:tcBorders>
              <w:top w:val="nil"/>
              <w:left w:val="nil"/>
              <w:bottom w:val="nil"/>
              <w:right w:val="single" w:sz="7" w:space="0" w:color="000000"/>
            </w:tcBorders>
          </w:tcPr>
          <w:p>
            <w:pPr>
              <w:pStyle w:val="TableParagraph"/>
              <w:spacing w:line="200" w:lineRule="exact"/>
              <w:ind w:right="402"/>
              <w:jc w:val="right"/>
              <w:rPr>
                <w:sz w:val="18"/>
              </w:rPr>
            </w:pPr>
            <w:r>
              <w:rPr>
                <w:color w:val="010101"/>
                <w:w w:val="75"/>
                <w:sz w:val="18"/>
              </w:rPr>
              <w:t>17</w:t>
            </w:r>
          </w:p>
        </w:tc>
        <w:tc>
          <w:tcPr>
            <w:tcW w:w="1621" w:type="dxa"/>
            <w:tcBorders>
              <w:top w:val="nil"/>
              <w:left w:val="single" w:sz="7" w:space="0" w:color="000000"/>
              <w:bottom w:val="nil"/>
            </w:tcBorders>
          </w:tcPr>
          <w:p>
            <w:pPr>
              <w:pStyle w:val="TableParagraph"/>
              <w:spacing w:line="190" w:lineRule="exact"/>
              <w:ind w:left="316" w:right="276"/>
              <w:jc w:val="center"/>
              <w:rPr>
                <w:sz w:val="18"/>
              </w:rPr>
            </w:pPr>
            <w:r>
              <w:rPr>
                <w:color w:val="010101"/>
                <w:w w:val="90"/>
                <w:sz w:val="18"/>
              </w:rPr>
              <w:t>229.668 79</w:t>
            </w:r>
          </w:p>
        </w:tc>
        <w:tc>
          <w:tcPr>
            <w:tcW w:w="1544" w:type="dxa"/>
            <w:tcBorders>
              <w:top w:val="nil"/>
              <w:bottom w:val="nil"/>
            </w:tcBorders>
          </w:tcPr>
          <w:p>
            <w:pPr>
              <w:pStyle w:val="TableParagraph"/>
              <w:spacing w:line="190" w:lineRule="exact"/>
              <w:ind w:right="376"/>
              <w:jc w:val="right"/>
              <w:rPr>
                <w:sz w:val="18"/>
              </w:rPr>
            </w:pPr>
            <w:r>
              <w:rPr>
                <w:color w:val="010101"/>
                <w:w w:val="80"/>
                <w:sz w:val="18"/>
              </w:rPr>
              <w:t>26.448 04</w:t>
            </w:r>
          </w:p>
        </w:tc>
        <w:tc>
          <w:tcPr>
            <w:tcW w:w="1521" w:type="dxa"/>
            <w:tcBorders>
              <w:top w:val="nil"/>
              <w:bottom w:val="nil"/>
              <w:right w:val="nil"/>
            </w:tcBorders>
          </w:tcPr>
          <w:p>
            <w:pPr>
              <w:pStyle w:val="TableParagraph"/>
              <w:spacing w:line="190" w:lineRule="exact"/>
              <w:ind w:left="407"/>
              <w:rPr>
                <w:sz w:val="18"/>
              </w:rPr>
            </w:pPr>
            <w:r>
              <w:rPr>
                <w:color w:val="010101"/>
                <w:spacing w:val="-12"/>
                <w:w w:val="90"/>
                <w:sz w:val="18"/>
              </w:rPr>
              <w:t>24.346</w:t>
            </w:r>
            <w:r>
              <w:rPr>
                <w:color w:val="010101"/>
                <w:spacing w:val="-64"/>
                <w:w w:val="90"/>
                <w:sz w:val="18"/>
              </w:rPr>
              <w:t> </w:t>
            </w:r>
            <w:r>
              <w:rPr>
                <w:color w:val="010101"/>
                <w:w w:val="90"/>
                <w:sz w:val="18"/>
              </w:rPr>
              <w:t>94</w:t>
            </w:r>
          </w:p>
        </w:tc>
      </w:tr>
      <w:tr>
        <w:trPr>
          <w:trHeight w:val="203" w:hRule="exact"/>
        </w:trPr>
        <w:tc>
          <w:tcPr>
            <w:tcW w:w="997" w:type="dxa"/>
            <w:tcBorders>
              <w:top w:val="nil"/>
              <w:left w:val="nil"/>
              <w:bottom w:val="nil"/>
              <w:right w:val="single" w:sz="7" w:space="0" w:color="000000"/>
            </w:tcBorders>
          </w:tcPr>
          <w:p>
            <w:pPr>
              <w:pStyle w:val="TableParagraph"/>
              <w:spacing w:before="2"/>
              <w:ind w:right="389"/>
              <w:jc w:val="right"/>
              <w:rPr>
                <w:sz w:val="18"/>
              </w:rPr>
            </w:pPr>
            <w:r>
              <w:rPr>
                <w:color w:val="010101"/>
                <w:w w:val="80"/>
                <w:sz w:val="18"/>
              </w:rPr>
              <w:t>18</w:t>
            </w:r>
          </w:p>
        </w:tc>
        <w:tc>
          <w:tcPr>
            <w:tcW w:w="1621" w:type="dxa"/>
            <w:tcBorders>
              <w:top w:val="nil"/>
              <w:left w:val="single" w:sz="7" w:space="0" w:color="000000"/>
              <w:bottom w:val="nil"/>
            </w:tcBorders>
          </w:tcPr>
          <w:p>
            <w:pPr>
              <w:pStyle w:val="TableParagraph"/>
              <w:spacing w:line="195" w:lineRule="exact"/>
              <w:ind w:left="407"/>
              <w:rPr>
                <w:sz w:val="18"/>
              </w:rPr>
            </w:pPr>
            <w:r>
              <w:rPr>
                <w:color w:val="010101"/>
                <w:spacing w:val="-6"/>
                <w:w w:val="85"/>
                <w:sz w:val="18"/>
              </w:rPr>
              <w:t>235.320</w:t>
            </w:r>
            <w:r>
              <w:rPr>
                <w:color w:val="010101"/>
                <w:spacing w:val="-63"/>
                <w:w w:val="85"/>
                <w:sz w:val="18"/>
              </w:rPr>
              <w:t> </w:t>
            </w:r>
            <w:r>
              <w:rPr>
                <w:color w:val="010101"/>
                <w:w w:val="85"/>
                <w:sz w:val="18"/>
              </w:rPr>
              <w:t>04</w:t>
            </w:r>
          </w:p>
        </w:tc>
        <w:tc>
          <w:tcPr>
            <w:tcW w:w="1544" w:type="dxa"/>
            <w:tcBorders>
              <w:top w:val="nil"/>
              <w:bottom w:val="nil"/>
            </w:tcBorders>
          </w:tcPr>
          <w:p>
            <w:pPr>
              <w:pStyle w:val="TableParagraph"/>
              <w:spacing w:line="191" w:lineRule="exact"/>
              <w:ind w:right="396"/>
              <w:jc w:val="right"/>
              <w:rPr>
                <w:sz w:val="18"/>
              </w:rPr>
            </w:pPr>
            <w:r>
              <w:rPr>
                <w:color w:val="010101"/>
                <w:w w:val="85"/>
                <w:sz w:val="18"/>
              </w:rPr>
              <w:t>26.254</w:t>
            </w:r>
            <w:r>
              <w:rPr>
                <w:color w:val="010101"/>
                <w:spacing w:val="-75"/>
                <w:w w:val="85"/>
                <w:sz w:val="18"/>
              </w:rPr>
              <w:t> </w:t>
            </w:r>
            <w:r>
              <w:rPr>
                <w:color w:val="010101"/>
                <w:spacing w:val="-16"/>
                <w:w w:val="85"/>
                <w:sz w:val="18"/>
              </w:rPr>
              <w:t>01</w:t>
            </w:r>
          </w:p>
        </w:tc>
        <w:tc>
          <w:tcPr>
            <w:tcW w:w="1521" w:type="dxa"/>
            <w:tcBorders>
              <w:top w:val="nil"/>
              <w:bottom w:val="nil"/>
              <w:right w:val="nil"/>
            </w:tcBorders>
          </w:tcPr>
          <w:p>
            <w:pPr>
              <w:pStyle w:val="TableParagraph"/>
              <w:spacing w:line="188" w:lineRule="exact"/>
              <w:ind w:left="411"/>
              <w:rPr>
                <w:sz w:val="18"/>
              </w:rPr>
            </w:pPr>
            <w:r>
              <w:rPr>
                <w:color w:val="010101"/>
                <w:w w:val="85"/>
                <w:sz w:val="18"/>
              </w:rPr>
              <w:t>24.125</w:t>
            </w:r>
            <w:r>
              <w:rPr>
                <w:color w:val="010101"/>
                <w:spacing w:val="-50"/>
                <w:w w:val="85"/>
                <w:sz w:val="18"/>
              </w:rPr>
              <w:t> </w:t>
            </w:r>
            <w:r>
              <w:rPr>
                <w:color w:val="010101"/>
                <w:spacing w:val="-16"/>
                <w:w w:val="85"/>
                <w:sz w:val="18"/>
              </w:rPr>
              <w:t>52</w:t>
            </w:r>
          </w:p>
        </w:tc>
      </w:tr>
      <w:tr>
        <w:trPr>
          <w:trHeight w:val="298" w:hRule="exact"/>
        </w:trPr>
        <w:tc>
          <w:tcPr>
            <w:tcW w:w="997" w:type="dxa"/>
            <w:tcBorders>
              <w:top w:val="nil"/>
              <w:left w:val="nil"/>
              <w:bottom w:val="nil"/>
              <w:right w:val="single" w:sz="7" w:space="0" w:color="000000"/>
            </w:tcBorders>
          </w:tcPr>
          <w:p>
            <w:pPr>
              <w:pStyle w:val="TableParagraph"/>
              <w:spacing w:line="200" w:lineRule="exact"/>
              <w:ind w:right="381"/>
              <w:jc w:val="right"/>
              <w:rPr>
                <w:sz w:val="18"/>
              </w:rPr>
            </w:pPr>
            <w:r>
              <w:rPr>
                <w:color w:val="010101"/>
                <w:w w:val="95"/>
                <w:sz w:val="18"/>
              </w:rPr>
              <w:t>19</w:t>
            </w:r>
          </w:p>
        </w:tc>
        <w:tc>
          <w:tcPr>
            <w:tcW w:w="1621" w:type="dxa"/>
            <w:tcBorders>
              <w:top w:val="nil"/>
              <w:left w:val="single" w:sz="7" w:space="0" w:color="000000"/>
              <w:bottom w:val="nil"/>
            </w:tcBorders>
          </w:tcPr>
          <w:p>
            <w:pPr>
              <w:pStyle w:val="TableParagraph"/>
              <w:spacing w:line="193" w:lineRule="exact"/>
              <w:ind w:left="407"/>
              <w:rPr>
                <w:sz w:val="18"/>
              </w:rPr>
            </w:pPr>
            <w:r>
              <w:rPr>
                <w:color w:val="010101"/>
                <w:spacing w:val="-6"/>
                <w:w w:val="85"/>
                <w:sz w:val="18"/>
              </w:rPr>
              <w:t>241.097</w:t>
            </w:r>
            <w:r>
              <w:rPr>
                <w:color w:val="010101"/>
                <w:spacing w:val="-66"/>
                <w:w w:val="85"/>
                <w:sz w:val="18"/>
              </w:rPr>
              <w:t> </w:t>
            </w:r>
            <w:r>
              <w:rPr>
                <w:color w:val="010101"/>
                <w:w w:val="85"/>
                <w:sz w:val="18"/>
              </w:rPr>
              <w:t>09</w:t>
            </w:r>
          </w:p>
        </w:tc>
        <w:tc>
          <w:tcPr>
            <w:tcW w:w="1544" w:type="dxa"/>
            <w:tcBorders>
              <w:top w:val="nil"/>
              <w:bottom w:val="nil"/>
            </w:tcBorders>
          </w:tcPr>
          <w:p>
            <w:pPr>
              <w:pStyle w:val="TableParagraph"/>
              <w:spacing w:line="190" w:lineRule="exact"/>
              <w:ind w:right="375"/>
              <w:jc w:val="right"/>
              <w:rPr>
                <w:sz w:val="18"/>
              </w:rPr>
            </w:pPr>
            <w:r>
              <w:rPr>
                <w:color w:val="010101"/>
                <w:spacing w:val="-10"/>
                <w:w w:val="95"/>
                <w:sz w:val="18"/>
              </w:rPr>
              <w:t>26.055</w:t>
            </w:r>
            <w:r>
              <w:rPr>
                <w:color w:val="010101"/>
                <w:spacing w:val="-85"/>
                <w:w w:val="95"/>
                <w:sz w:val="18"/>
              </w:rPr>
              <w:t> </w:t>
            </w:r>
            <w:r>
              <w:rPr>
                <w:color w:val="010101"/>
                <w:spacing w:val="-19"/>
                <w:w w:val="95"/>
                <w:sz w:val="18"/>
              </w:rPr>
              <w:t>67</w:t>
            </w:r>
          </w:p>
        </w:tc>
        <w:tc>
          <w:tcPr>
            <w:tcW w:w="1521" w:type="dxa"/>
            <w:tcBorders>
              <w:top w:val="nil"/>
              <w:bottom w:val="nil"/>
              <w:right w:val="nil"/>
            </w:tcBorders>
          </w:tcPr>
          <w:p>
            <w:pPr>
              <w:pStyle w:val="TableParagraph"/>
              <w:spacing w:line="190" w:lineRule="exact"/>
              <w:ind w:left="260" w:right="219"/>
              <w:jc w:val="center"/>
              <w:rPr>
                <w:sz w:val="18"/>
              </w:rPr>
            </w:pPr>
            <w:r>
              <w:rPr>
                <w:color w:val="010101"/>
                <w:spacing w:val="-3"/>
                <w:w w:val="85"/>
                <w:sz w:val="18"/>
              </w:rPr>
              <w:t>23.900</w:t>
            </w:r>
            <w:r>
              <w:rPr>
                <w:color w:val="010101"/>
                <w:spacing w:val="-70"/>
                <w:w w:val="85"/>
                <w:sz w:val="18"/>
              </w:rPr>
              <w:t> </w:t>
            </w:r>
            <w:r>
              <w:rPr>
                <w:color w:val="010101"/>
                <w:w w:val="85"/>
                <w:sz w:val="18"/>
              </w:rPr>
              <w:t>06</w:t>
            </w:r>
          </w:p>
        </w:tc>
      </w:tr>
      <w:tr>
        <w:trPr>
          <w:trHeight w:val="294" w:hRule="exact"/>
        </w:trPr>
        <w:tc>
          <w:tcPr>
            <w:tcW w:w="997" w:type="dxa"/>
            <w:tcBorders>
              <w:top w:val="nil"/>
              <w:left w:val="nil"/>
              <w:bottom w:val="nil"/>
              <w:right w:val="single" w:sz="7" w:space="0" w:color="000000"/>
            </w:tcBorders>
          </w:tcPr>
          <w:p>
            <w:pPr>
              <w:pStyle w:val="TableParagraph"/>
              <w:spacing w:before="92"/>
              <w:ind w:right="414"/>
              <w:jc w:val="right"/>
              <w:rPr>
                <w:rFonts w:ascii="Times New Roman"/>
                <w:sz w:val="17"/>
              </w:rPr>
            </w:pPr>
            <w:r>
              <w:rPr>
                <w:rFonts w:ascii="Times New Roman"/>
                <w:color w:val="010101"/>
                <w:w w:val="90"/>
                <w:sz w:val="17"/>
              </w:rPr>
              <w:t>20</w:t>
            </w:r>
          </w:p>
        </w:tc>
        <w:tc>
          <w:tcPr>
            <w:tcW w:w="1621" w:type="dxa"/>
            <w:tcBorders>
              <w:top w:val="nil"/>
              <w:left w:val="single" w:sz="7" w:space="0" w:color="000000"/>
              <w:bottom w:val="nil"/>
            </w:tcBorders>
          </w:tcPr>
          <w:p>
            <w:pPr>
              <w:pStyle w:val="TableParagraph"/>
              <w:spacing w:before="90"/>
              <w:ind w:left="407"/>
              <w:rPr>
                <w:sz w:val="18"/>
              </w:rPr>
            </w:pPr>
            <w:r>
              <w:rPr>
                <w:color w:val="010101"/>
                <w:spacing w:val="-21"/>
                <w:w w:val="95"/>
                <w:sz w:val="18"/>
              </w:rPr>
              <w:t>247.019 </w:t>
            </w:r>
            <w:r>
              <w:rPr>
                <w:color w:val="010101"/>
                <w:w w:val="95"/>
                <w:sz w:val="18"/>
              </w:rPr>
              <w:t>86</w:t>
            </w:r>
          </w:p>
        </w:tc>
        <w:tc>
          <w:tcPr>
            <w:tcW w:w="1544" w:type="dxa"/>
            <w:tcBorders>
              <w:top w:val="nil"/>
              <w:bottom w:val="nil"/>
            </w:tcBorders>
          </w:tcPr>
          <w:p>
            <w:pPr>
              <w:pStyle w:val="TableParagraph"/>
              <w:spacing w:before="86"/>
              <w:ind w:right="366"/>
              <w:jc w:val="right"/>
              <w:rPr>
                <w:sz w:val="18"/>
              </w:rPr>
            </w:pPr>
            <w:r>
              <w:rPr>
                <w:color w:val="010101"/>
                <w:w w:val="95"/>
                <w:sz w:val="18"/>
              </w:rPr>
              <w:t>25</w:t>
            </w:r>
            <w:r>
              <w:rPr>
                <w:color w:val="010101"/>
                <w:spacing w:val="-96"/>
                <w:w w:val="95"/>
                <w:sz w:val="18"/>
              </w:rPr>
              <w:t> </w:t>
            </w:r>
            <w:r>
              <w:rPr>
                <w:color w:val="1C1C1C"/>
                <w:spacing w:val="-17"/>
                <w:w w:val="95"/>
                <w:sz w:val="18"/>
              </w:rPr>
              <w:t>.</w:t>
            </w:r>
            <w:r>
              <w:rPr>
                <w:color w:val="010101"/>
                <w:spacing w:val="-17"/>
                <w:w w:val="95"/>
                <w:sz w:val="18"/>
              </w:rPr>
              <w:t>852</w:t>
            </w:r>
            <w:r>
              <w:rPr>
                <w:color w:val="010101"/>
                <w:spacing w:val="-83"/>
                <w:w w:val="95"/>
                <w:sz w:val="18"/>
              </w:rPr>
              <w:t> </w:t>
            </w:r>
            <w:r>
              <w:rPr>
                <w:color w:val="010101"/>
                <w:spacing w:val="-17"/>
                <w:w w:val="95"/>
                <w:sz w:val="18"/>
              </w:rPr>
              <w:t>32</w:t>
            </w:r>
          </w:p>
        </w:tc>
        <w:tc>
          <w:tcPr>
            <w:tcW w:w="1521" w:type="dxa"/>
            <w:tcBorders>
              <w:top w:val="nil"/>
              <w:bottom w:val="nil"/>
              <w:right w:val="nil"/>
            </w:tcBorders>
          </w:tcPr>
          <w:p>
            <w:pPr>
              <w:pStyle w:val="TableParagraph"/>
              <w:spacing w:before="86"/>
              <w:ind w:left="270" w:right="219"/>
              <w:jc w:val="center"/>
              <w:rPr>
                <w:sz w:val="18"/>
              </w:rPr>
            </w:pPr>
            <w:r>
              <w:rPr>
                <w:color w:val="010101"/>
                <w:w w:val="85"/>
                <w:sz w:val="18"/>
              </w:rPr>
              <w:t>23.669 44</w:t>
            </w:r>
          </w:p>
        </w:tc>
      </w:tr>
      <w:tr>
        <w:trPr>
          <w:trHeight w:val="206" w:hRule="exact"/>
        </w:trPr>
        <w:tc>
          <w:tcPr>
            <w:tcW w:w="997" w:type="dxa"/>
            <w:tcBorders>
              <w:top w:val="nil"/>
              <w:left w:val="nil"/>
              <w:bottom w:val="nil"/>
              <w:right w:val="single" w:sz="7" w:space="0" w:color="000000"/>
            </w:tcBorders>
          </w:tcPr>
          <w:p>
            <w:pPr>
              <w:pStyle w:val="TableParagraph"/>
              <w:spacing w:before="3"/>
              <w:ind w:right="401"/>
              <w:jc w:val="right"/>
              <w:rPr>
                <w:sz w:val="18"/>
              </w:rPr>
            </w:pPr>
            <w:r>
              <w:rPr>
                <w:color w:val="010101"/>
                <w:w w:val="90"/>
                <w:sz w:val="18"/>
              </w:rPr>
              <w:t>21</w:t>
            </w:r>
          </w:p>
        </w:tc>
        <w:tc>
          <w:tcPr>
            <w:tcW w:w="1621" w:type="dxa"/>
            <w:tcBorders>
              <w:top w:val="nil"/>
              <w:left w:val="single" w:sz="7" w:space="0" w:color="000000"/>
              <w:bottom w:val="nil"/>
            </w:tcBorders>
          </w:tcPr>
          <w:p>
            <w:pPr>
              <w:pStyle w:val="TableParagraph"/>
              <w:spacing w:line="197" w:lineRule="exact"/>
              <w:ind w:left="407"/>
              <w:rPr>
                <w:sz w:val="18"/>
              </w:rPr>
            </w:pPr>
            <w:r>
              <w:rPr>
                <w:color w:val="010101"/>
                <w:w w:val="80"/>
                <w:sz w:val="18"/>
              </w:rPr>
              <w:t>253.093</w:t>
            </w:r>
            <w:r>
              <w:rPr>
                <w:color w:val="010101"/>
                <w:spacing w:val="-60"/>
                <w:w w:val="80"/>
                <w:sz w:val="18"/>
              </w:rPr>
              <w:t> </w:t>
            </w:r>
            <w:r>
              <w:rPr>
                <w:color w:val="010101"/>
                <w:w w:val="80"/>
                <w:sz w:val="18"/>
              </w:rPr>
              <w:t>51</w:t>
            </w:r>
          </w:p>
        </w:tc>
        <w:tc>
          <w:tcPr>
            <w:tcW w:w="1544" w:type="dxa"/>
            <w:tcBorders>
              <w:top w:val="nil"/>
              <w:bottom w:val="nil"/>
            </w:tcBorders>
          </w:tcPr>
          <w:p>
            <w:pPr>
              <w:pStyle w:val="TableParagraph"/>
              <w:spacing w:line="197" w:lineRule="exact"/>
              <w:ind w:right="366"/>
              <w:jc w:val="right"/>
              <w:rPr>
                <w:sz w:val="18"/>
              </w:rPr>
            </w:pPr>
            <w:r>
              <w:rPr>
                <w:color w:val="010101"/>
                <w:spacing w:val="-11"/>
                <w:w w:val="95"/>
                <w:sz w:val="18"/>
              </w:rPr>
              <w:t>25</w:t>
            </w:r>
            <w:r>
              <w:rPr>
                <w:color w:val="1C1C1C"/>
                <w:spacing w:val="-11"/>
                <w:w w:val="95"/>
                <w:sz w:val="18"/>
              </w:rPr>
              <w:t>.</w:t>
            </w:r>
            <w:r>
              <w:rPr>
                <w:color w:val="010101"/>
                <w:spacing w:val="-11"/>
                <w:w w:val="95"/>
                <w:sz w:val="18"/>
              </w:rPr>
              <w:t>643</w:t>
            </w:r>
            <w:r>
              <w:rPr>
                <w:color w:val="010101"/>
                <w:spacing w:val="-77"/>
                <w:w w:val="95"/>
                <w:sz w:val="18"/>
              </w:rPr>
              <w:t> </w:t>
            </w:r>
            <w:r>
              <w:rPr>
                <w:color w:val="010101"/>
                <w:spacing w:val="-17"/>
                <w:w w:val="95"/>
                <w:sz w:val="18"/>
              </w:rPr>
              <w:t>79</w:t>
            </w:r>
          </w:p>
        </w:tc>
        <w:tc>
          <w:tcPr>
            <w:tcW w:w="1521" w:type="dxa"/>
            <w:tcBorders>
              <w:top w:val="nil"/>
              <w:bottom w:val="nil"/>
              <w:right w:val="nil"/>
            </w:tcBorders>
          </w:tcPr>
          <w:p>
            <w:pPr>
              <w:pStyle w:val="TableParagraph"/>
              <w:spacing w:line="193" w:lineRule="exact"/>
              <w:ind w:left="411"/>
              <w:rPr>
                <w:sz w:val="18"/>
              </w:rPr>
            </w:pPr>
            <w:r>
              <w:rPr>
                <w:color w:val="010101"/>
                <w:w w:val="85"/>
                <w:sz w:val="18"/>
              </w:rPr>
              <w:t>23.433 41</w:t>
            </w:r>
          </w:p>
        </w:tc>
      </w:tr>
      <w:tr>
        <w:trPr>
          <w:trHeight w:val="196" w:hRule="exact"/>
        </w:trPr>
        <w:tc>
          <w:tcPr>
            <w:tcW w:w="997" w:type="dxa"/>
            <w:tcBorders>
              <w:top w:val="nil"/>
              <w:left w:val="nil"/>
              <w:bottom w:val="nil"/>
              <w:right w:val="single" w:sz="7" w:space="0" w:color="000000"/>
            </w:tcBorders>
          </w:tcPr>
          <w:p>
            <w:pPr>
              <w:pStyle w:val="TableParagraph"/>
              <w:spacing w:line="191" w:lineRule="exact"/>
              <w:ind w:right="410"/>
              <w:jc w:val="right"/>
              <w:rPr>
                <w:rFonts w:ascii="Times New Roman"/>
                <w:sz w:val="18"/>
              </w:rPr>
            </w:pPr>
            <w:r>
              <w:rPr>
                <w:rFonts w:ascii="Times New Roman"/>
                <w:color w:val="010101"/>
                <w:w w:val="90"/>
                <w:sz w:val="18"/>
              </w:rPr>
              <w:t>22</w:t>
            </w:r>
          </w:p>
        </w:tc>
        <w:tc>
          <w:tcPr>
            <w:tcW w:w="1621" w:type="dxa"/>
            <w:tcBorders>
              <w:top w:val="nil"/>
              <w:left w:val="single" w:sz="7" w:space="0" w:color="000000"/>
              <w:bottom w:val="nil"/>
            </w:tcBorders>
          </w:tcPr>
          <w:p>
            <w:pPr>
              <w:pStyle w:val="TableParagraph"/>
              <w:spacing w:line="195" w:lineRule="exact"/>
              <w:ind w:left="407"/>
              <w:rPr>
                <w:sz w:val="18"/>
              </w:rPr>
            </w:pPr>
            <w:r>
              <w:rPr>
                <w:color w:val="010101"/>
                <w:spacing w:val="-6"/>
                <w:w w:val="90"/>
                <w:sz w:val="18"/>
              </w:rPr>
              <w:t>200.330</w:t>
            </w:r>
            <w:r>
              <w:rPr>
                <w:color w:val="010101"/>
                <w:spacing w:val="-66"/>
                <w:w w:val="90"/>
                <w:sz w:val="18"/>
              </w:rPr>
              <w:t> </w:t>
            </w:r>
            <w:r>
              <w:rPr>
                <w:color w:val="010101"/>
                <w:spacing w:val="-18"/>
                <w:w w:val="90"/>
                <w:sz w:val="18"/>
              </w:rPr>
              <w:t>92</w:t>
            </w:r>
          </w:p>
        </w:tc>
        <w:tc>
          <w:tcPr>
            <w:tcW w:w="1544" w:type="dxa"/>
            <w:tcBorders>
              <w:top w:val="nil"/>
              <w:bottom w:val="nil"/>
            </w:tcBorders>
          </w:tcPr>
          <w:p>
            <w:pPr>
              <w:pStyle w:val="TableParagraph"/>
              <w:spacing w:line="191" w:lineRule="exact"/>
              <w:ind w:right="376"/>
              <w:jc w:val="right"/>
              <w:rPr>
                <w:sz w:val="18"/>
              </w:rPr>
            </w:pPr>
            <w:r>
              <w:rPr>
                <w:rFonts w:ascii="Arial"/>
                <w:b/>
                <w:color w:val="010101"/>
                <w:sz w:val="16"/>
              </w:rPr>
              <w:t>25.429 </w:t>
            </w:r>
            <w:r>
              <w:rPr>
                <w:color w:val="010101"/>
                <w:sz w:val="18"/>
              </w:rPr>
              <w:t>64</w:t>
            </w:r>
          </w:p>
        </w:tc>
        <w:tc>
          <w:tcPr>
            <w:tcW w:w="1521" w:type="dxa"/>
            <w:tcBorders>
              <w:top w:val="nil"/>
              <w:bottom w:val="nil"/>
              <w:right w:val="nil"/>
            </w:tcBorders>
          </w:tcPr>
          <w:p>
            <w:pPr>
              <w:pStyle w:val="TableParagraph"/>
              <w:spacing w:line="191" w:lineRule="exact"/>
              <w:ind w:left="411"/>
              <w:rPr>
                <w:sz w:val="18"/>
              </w:rPr>
            </w:pPr>
            <w:r>
              <w:rPr>
                <w:color w:val="010101"/>
                <w:spacing w:val="-6"/>
                <w:w w:val="85"/>
                <w:sz w:val="18"/>
              </w:rPr>
              <w:t>23.191</w:t>
            </w:r>
            <w:r>
              <w:rPr>
                <w:color w:val="010101"/>
                <w:spacing w:val="-66"/>
                <w:w w:val="85"/>
                <w:sz w:val="18"/>
              </w:rPr>
              <w:t> </w:t>
            </w:r>
            <w:r>
              <w:rPr>
                <w:color w:val="010101"/>
                <w:w w:val="85"/>
                <w:sz w:val="18"/>
              </w:rPr>
              <w:t>29</w:t>
            </w:r>
          </w:p>
        </w:tc>
      </w:tr>
      <w:tr>
        <w:trPr>
          <w:trHeight w:val="205" w:hRule="exact"/>
        </w:trPr>
        <w:tc>
          <w:tcPr>
            <w:tcW w:w="997" w:type="dxa"/>
            <w:tcBorders>
              <w:top w:val="nil"/>
              <w:left w:val="nil"/>
              <w:bottom w:val="nil"/>
              <w:right w:val="single" w:sz="7" w:space="0" w:color="000000"/>
            </w:tcBorders>
          </w:tcPr>
          <w:p>
            <w:pPr>
              <w:pStyle w:val="TableParagraph"/>
              <w:spacing w:before="3"/>
              <w:ind w:right="397"/>
              <w:jc w:val="right"/>
              <w:rPr>
                <w:sz w:val="18"/>
              </w:rPr>
            </w:pPr>
            <w:r>
              <w:rPr>
                <w:color w:val="010101"/>
                <w:w w:val="75"/>
                <w:sz w:val="18"/>
              </w:rPr>
              <w:t>23</w:t>
            </w:r>
          </w:p>
        </w:tc>
        <w:tc>
          <w:tcPr>
            <w:tcW w:w="1621" w:type="dxa"/>
            <w:tcBorders>
              <w:top w:val="nil"/>
              <w:left w:val="single" w:sz="7" w:space="0" w:color="000000"/>
              <w:bottom w:val="nil"/>
            </w:tcBorders>
          </w:tcPr>
          <w:p>
            <w:pPr>
              <w:pStyle w:val="TableParagraph"/>
              <w:spacing w:line="197" w:lineRule="exact"/>
              <w:ind w:left="311" w:right="276"/>
              <w:jc w:val="center"/>
              <w:rPr>
                <w:sz w:val="18"/>
              </w:rPr>
            </w:pPr>
            <w:r>
              <w:rPr>
                <w:color w:val="010101"/>
                <w:w w:val="85"/>
                <w:sz w:val="18"/>
              </w:rPr>
              <w:t>265.745 12</w:t>
            </w:r>
          </w:p>
        </w:tc>
        <w:tc>
          <w:tcPr>
            <w:tcW w:w="1544" w:type="dxa"/>
            <w:tcBorders>
              <w:top w:val="nil"/>
              <w:bottom w:val="nil"/>
            </w:tcBorders>
          </w:tcPr>
          <w:p>
            <w:pPr>
              <w:pStyle w:val="TableParagraph"/>
              <w:tabs>
                <w:tab w:pos="551" w:val="left" w:leader="none"/>
              </w:tabs>
              <w:spacing w:line="193" w:lineRule="exact"/>
              <w:ind w:right="368"/>
              <w:jc w:val="right"/>
              <w:rPr>
                <w:sz w:val="18"/>
              </w:rPr>
            </w:pPr>
            <w:r>
              <w:rPr>
                <w:color w:val="010101"/>
                <w:w w:val="90"/>
                <w:sz w:val="18"/>
              </w:rPr>
              <w:t>25.</w:t>
              <w:tab/>
            </w:r>
            <w:r>
              <w:rPr>
                <w:color w:val="010101"/>
                <w:spacing w:val="-17"/>
                <w:sz w:val="18"/>
              </w:rPr>
              <w:t>42</w:t>
            </w:r>
          </w:p>
        </w:tc>
        <w:tc>
          <w:tcPr>
            <w:tcW w:w="1521" w:type="dxa"/>
            <w:tcBorders>
              <w:top w:val="nil"/>
              <w:bottom w:val="nil"/>
              <w:right w:val="nil"/>
            </w:tcBorders>
          </w:tcPr>
          <w:p>
            <w:pPr>
              <w:pStyle w:val="TableParagraph"/>
              <w:spacing w:line="193" w:lineRule="exact"/>
              <w:ind w:left="281" w:right="218"/>
              <w:jc w:val="center"/>
              <w:rPr>
                <w:sz w:val="18"/>
              </w:rPr>
            </w:pPr>
            <w:r>
              <w:rPr>
                <w:color w:val="010101"/>
                <w:w w:val="90"/>
                <w:sz w:val="18"/>
              </w:rPr>
              <w:t>22.942 38</w:t>
            </w:r>
          </w:p>
        </w:tc>
      </w:tr>
      <w:tr>
        <w:trPr>
          <w:trHeight w:val="296" w:hRule="exact"/>
        </w:trPr>
        <w:tc>
          <w:tcPr>
            <w:tcW w:w="997" w:type="dxa"/>
            <w:tcBorders>
              <w:top w:val="nil"/>
              <w:left w:val="nil"/>
              <w:bottom w:val="nil"/>
              <w:right w:val="single" w:sz="7" w:space="0" w:color="000000"/>
            </w:tcBorders>
          </w:tcPr>
          <w:p>
            <w:pPr>
              <w:pStyle w:val="TableParagraph"/>
              <w:spacing w:line="189" w:lineRule="exact"/>
              <w:ind w:right="415"/>
              <w:jc w:val="right"/>
              <w:rPr>
                <w:rFonts w:ascii="Times New Roman"/>
                <w:sz w:val="18"/>
              </w:rPr>
            </w:pPr>
            <w:r>
              <w:rPr>
                <w:rFonts w:ascii="Times New Roman"/>
                <w:color w:val="010101"/>
                <w:w w:val="85"/>
                <w:sz w:val="18"/>
              </w:rPr>
              <w:t>24</w:t>
            </w:r>
          </w:p>
        </w:tc>
        <w:tc>
          <w:tcPr>
            <w:tcW w:w="1621" w:type="dxa"/>
            <w:tcBorders>
              <w:top w:val="nil"/>
              <w:left w:val="single" w:sz="7" w:space="0" w:color="000000"/>
              <w:bottom w:val="nil"/>
            </w:tcBorders>
          </w:tcPr>
          <w:p>
            <w:pPr>
              <w:pStyle w:val="TableParagraph"/>
              <w:spacing w:line="193" w:lineRule="exact"/>
              <w:ind w:left="411"/>
              <w:rPr>
                <w:sz w:val="18"/>
              </w:rPr>
            </w:pPr>
            <w:r>
              <w:rPr>
                <w:color w:val="010101"/>
                <w:spacing w:val="-15"/>
                <w:w w:val="95"/>
                <w:sz w:val="18"/>
              </w:rPr>
              <w:t>272.342</w:t>
            </w:r>
            <w:r>
              <w:rPr>
                <w:color w:val="010101"/>
                <w:spacing w:val="-76"/>
                <w:w w:val="95"/>
                <w:sz w:val="18"/>
              </w:rPr>
              <w:t> </w:t>
            </w:r>
            <w:r>
              <w:rPr>
                <w:color w:val="010101"/>
                <w:spacing w:val="-9"/>
                <w:w w:val="95"/>
                <w:sz w:val="18"/>
              </w:rPr>
              <w:t>19</w:t>
            </w:r>
          </w:p>
        </w:tc>
        <w:tc>
          <w:tcPr>
            <w:tcW w:w="1544" w:type="dxa"/>
            <w:tcBorders>
              <w:top w:val="nil"/>
              <w:bottom w:val="nil"/>
            </w:tcBorders>
          </w:tcPr>
          <w:p>
            <w:pPr>
              <w:pStyle w:val="TableParagraph"/>
              <w:spacing w:line="190" w:lineRule="exact"/>
              <w:ind w:right="368"/>
              <w:jc w:val="right"/>
              <w:rPr>
                <w:sz w:val="18"/>
              </w:rPr>
            </w:pPr>
            <w:r>
              <w:rPr>
                <w:color w:val="010101"/>
                <w:w w:val="90"/>
                <w:sz w:val="18"/>
              </w:rPr>
              <w:t>24.982 92</w:t>
            </w:r>
          </w:p>
        </w:tc>
        <w:tc>
          <w:tcPr>
            <w:tcW w:w="1521" w:type="dxa"/>
            <w:tcBorders>
              <w:top w:val="nil"/>
              <w:bottom w:val="nil"/>
              <w:right w:val="nil"/>
            </w:tcBorders>
          </w:tcPr>
          <w:p>
            <w:pPr>
              <w:pStyle w:val="TableParagraph"/>
              <w:spacing w:line="190" w:lineRule="exact"/>
              <w:ind w:left="281" w:right="209"/>
              <w:jc w:val="center"/>
              <w:rPr>
                <w:sz w:val="18"/>
              </w:rPr>
            </w:pPr>
            <w:r>
              <w:rPr>
                <w:color w:val="010101"/>
                <w:w w:val="85"/>
                <w:sz w:val="18"/>
              </w:rPr>
              <w:t>22.686 40</w:t>
            </w:r>
          </w:p>
        </w:tc>
      </w:tr>
      <w:tr>
        <w:trPr>
          <w:trHeight w:val="305" w:hRule="exact"/>
        </w:trPr>
        <w:tc>
          <w:tcPr>
            <w:tcW w:w="997" w:type="dxa"/>
            <w:tcBorders>
              <w:top w:val="nil"/>
              <w:left w:val="nil"/>
              <w:bottom w:val="nil"/>
              <w:right w:val="single" w:sz="7" w:space="0" w:color="000000"/>
            </w:tcBorders>
          </w:tcPr>
          <w:p>
            <w:pPr>
              <w:pStyle w:val="TableParagraph"/>
              <w:spacing w:before="106"/>
              <w:ind w:right="388"/>
              <w:jc w:val="right"/>
              <w:rPr>
                <w:sz w:val="18"/>
              </w:rPr>
            </w:pPr>
            <w:r>
              <w:rPr>
                <w:color w:val="010101"/>
                <w:w w:val="85"/>
                <w:sz w:val="18"/>
              </w:rPr>
              <w:t>25</w:t>
            </w:r>
          </w:p>
        </w:tc>
        <w:tc>
          <w:tcPr>
            <w:tcW w:w="1621" w:type="dxa"/>
            <w:tcBorders>
              <w:top w:val="nil"/>
              <w:left w:val="single" w:sz="7" w:space="0" w:color="000000"/>
              <w:bottom w:val="nil"/>
            </w:tcBorders>
          </w:tcPr>
          <w:p>
            <w:pPr>
              <w:pStyle w:val="TableParagraph"/>
              <w:spacing w:before="95"/>
              <w:ind w:left="407"/>
              <w:rPr>
                <w:sz w:val="18"/>
              </w:rPr>
            </w:pPr>
            <w:r>
              <w:rPr>
                <w:color w:val="010101"/>
                <w:spacing w:val="-5"/>
                <w:w w:val="85"/>
                <w:sz w:val="18"/>
              </w:rPr>
              <w:t>279.135</w:t>
            </w:r>
            <w:r>
              <w:rPr>
                <w:color w:val="010101"/>
                <w:spacing w:val="-65"/>
                <w:w w:val="85"/>
                <w:sz w:val="18"/>
              </w:rPr>
              <w:t> </w:t>
            </w:r>
            <w:r>
              <w:rPr>
                <w:color w:val="010101"/>
                <w:w w:val="85"/>
                <w:sz w:val="18"/>
              </w:rPr>
              <w:t>64</w:t>
            </w:r>
          </w:p>
        </w:tc>
        <w:tc>
          <w:tcPr>
            <w:tcW w:w="1544" w:type="dxa"/>
            <w:tcBorders>
              <w:top w:val="nil"/>
              <w:bottom w:val="nil"/>
            </w:tcBorders>
          </w:tcPr>
          <w:p>
            <w:pPr>
              <w:pStyle w:val="TableParagraph"/>
              <w:spacing w:before="91"/>
              <w:ind w:right="366"/>
              <w:jc w:val="right"/>
              <w:rPr>
                <w:sz w:val="18"/>
              </w:rPr>
            </w:pPr>
            <w:r>
              <w:rPr>
                <w:color w:val="010101"/>
                <w:sz w:val="18"/>
              </w:rPr>
              <w:t>24.749 68</w:t>
            </w:r>
          </w:p>
        </w:tc>
        <w:tc>
          <w:tcPr>
            <w:tcW w:w="1521" w:type="dxa"/>
            <w:tcBorders>
              <w:top w:val="nil"/>
              <w:bottom w:val="nil"/>
              <w:right w:val="nil"/>
            </w:tcBorders>
          </w:tcPr>
          <w:p>
            <w:pPr>
              <w:pStyle w:val="TableParagraph"/>
              <w:spacing w:before="91"/>
              <w:ind w:left="407"/>
              <w:rPr>
                <w:sz w:val="18"/>
              </w:rPr>
            </w:pPr>
            <w:r>
              <w:rPr>
                <w:color w:val="010101"/>
                <w:w w:val="90"/>
                <w:sz w:val="18"/>
              </w:rPr>
              <w:t>22.422 65</w:t>
            </w:r>
          </w:p>
        </w:tc>
      </w:tr>
      <w:tr>
        <w:trPr>
          <w:trHeight w:val="199" w:hRule="exact"/>
        </w:trPr>
        <w:tc>
          <w:tcPr>
            <w:tcW w:w="997" w:type="dxa"/>
            <w:tcBorders>
              <w:top w:val="nil"/>
              <w:left w:val="nil"/>
              <w:bottom w:val="nil"/>
              <w:right w:val="single" w:sz="7" w:space="0" w:color="000000"/>
            </w:tcBorders>
          </w:tcPr>
          <w:p>
            <w:pPr>
              <w:pStyle w:val="TableParagraph"/>
              <w:spacing w:line="202" w:lineRule="exact"/>
              <w:ind w:right="399"/>
              <w:jc w:val="right"/>
              <w:rPr>
                <w:sz w:val="18"/>
              </w:rPr>
            </w:pPr>
            <w:r>
              <w:rPr>
                <w:color w:val="010101"/>
                <w:w w:val="75"/>
                <w:sz w:val="18"/>
              </w:rPr>
              <w:t>26</w:t>
            </w:r>
          </w:p>
        </w:tc>
        <w:tc>
          <w:tcPr>
            <w:tcW w:w="1621" w:type="dxa"/>
            <w:tcBorders>
              <w:top w:val="nil"/>
              <w:left w:val="single" w:sz="7" w:space="0" w:color="000000"/>
              <w:bottom w:val="nil"/>
              <w:right w:val="single" w:sz="4" w:space="0" w:color="000000"/>
            </w:tcBorders>
          </w:tcPr>
          <w:p>
            <w:pPr>
              <w:pStyle w:val="TableParagraph"/>
              <w:spacing w:line="195" w:lineRule="exact"/>
              <w:ind w:left="407"/>
              <w:rPr>
                <w:sz w:val="18"/>
              </w:rPr>
            </w:pPr>
            <w:r>
              <w:rPr>
                <w:color w:val="010101"/>
                <w:w w:val="80"/>
                <w:sz w:val="18"/>
              </w:rPr>
              <w:t>286.131 94</w:t>
            </w:r>
          </w:p>
        </w:tc>
        <w:tc>
          <w:tcPr>
            <w:tcW w:w="1544" w:type="dxa"/>
            <w:tcBorders>
              <w:top w:val="nil"/>
              <w:left w:val="single" w:sz="4" w:space="0" w:color="000000"/>
              <w:bottom w:val="nil"/>
            </w:tcBorders>
          </w:tcPr>
          <w:p>
            <w:pPr>
              <w:pStyle w:val="TableParagraph"/>
              <w:spacing w:line="191" w:lineRule="exact"/>
              <w:ind w:right="375"/>
              <w:jc w:val="right"/>
              <w:rPr>
                <w:sz w:val="18"/>
              </w:rPr>
            </w:pPr>
            <w:r>
              <w:rPr>
                <w:color w:val="010101"/>
                <w:spacing w:val="-8"/>
                <w:w w:val="90"/>
                <w:sz w:val="18"/>
              </w:rPr>
              <w:t>24.509</w:t>
            </w:r>
            <w:r>
              <w:rPr>
                <w:color w:val="010101"/>
                <w:spacing w:val="-62"/>
                <w:w w:val="90"/>
                <w:sz w:val="18"/>
              </w:rPr>
              <w:t> </w:t>
            </w:r>
            <w:r>
              <w:rPr>
                <w:color w:val="010101"/>
                <w:spacing w:val="-16"/>
                <w:w w:val="90"/>
                <w:sz w:val="18"/>
              </w:rPr>
              <w:t>47</w:t>
            </w:r>
          </w:p>
        </w:tc>
        <w:tc>
          <w:tcPr>
            <w:tcW w:w="1521" w:type="dxa"/>
            <w:tcBorders>
              <w:top w:val="nil"/>
              <w:bottom w:val="nil"/>
              <w:right w:val="nil"/>
            </w:tcBorders>
          </w:tcPr>
          <w:p>
            <w:pPr>
              <w:pStyle w:val="TableParagraph"/>
              <w:spacing w:line="188" w:lineRule="exact"/>
              <w:ind w:left="407"/>
              <w:rPr>
                <w:sz w:val="18"/>
              </w:rPr>
            </w:pPr>
            <w:r>
              <w:rPr>
                <w:color w:val="010101"/>
                <w:w w:val="80"/>
                <w:sz w:val="18"/>
              </w:rPr>
              <w:t>22.150 83</w:t>
            </w:r>
          </w:p>
        </w:tc>
      </w:tr>
      <w:tr>
        <w:trPr>
          <w:trHeight w:val="199" w:hRule="exact"/>
        </w:trPr>
        <w:tc>
          <w:tcPr>
            <w:tcW w:w="997" w:type="dxa"/>
            <w:tcBorders>
              <w:top w:val="nil"/>
              <w:left w:val="nil"/>
              <w:bottom w:val="nil"/>
              <w:right w:val="single" w:sz="7" w:space="0" w:color="000000"/>
            </w:tcBorders>
          </w:tcPr>
          <w:p>
            <w:pPr>
              <w:pStyle w:val="TableParagraph"/>
              <w:ind w:right="397"/>
              <w:jc w:val="right"/>
              <w:rPr>
                <w:sz w:val="18"/>
              </w:rPr>
            </w:pPr>
            <w:r>
              <w:rPr>
                <w:color w:val="010101"/>
                <w:w w:val="80"/>
                <w:sz w:val="18"/>
              </w:rPr>
              <w:t>27</w:t>
            </w:r>
          </w:p>
        </w:tc>
        <w:tc>
          <w:tcPr>
            <w:tcW w:w="1621" w:type="dxa"/>
            <w:tcBorders>
              <w:top w:val="nil"/>
              <w:left w:val="single" w:sz="7" w:space="0" w:color="000000"/>
              <w:bottom w:val="nil"/>
            </w:tcBorders>
          </w:tcPr>
          <w:p>
            <w:pPr>
              <w:pStyle w:val="TableParagraph"/>
              <w:spacing w:line="197" w:lineRule="exact"/>
              <w:ind w:left="411"/>
              <w:rPr>
                <w:sz w:val="18"/>
              </w:rPr>
            </w:pPr>
            <w:r>
              <w:rPr>
                <w:color w:val="010101"/>
                <w:w w:val="85"/>
                <w:sz w:val="18"/>
              </w:rPr>
              <w:t>293</w:t>
            </w:r>
            <w:r>
              <w:rPr>
                <w:color w:val="1C1C1C"/>
                <w:w w:val="85"/>
                <w:sz w:val="18"/>
              </w:rPr>
              <w:t>.</w:t>
            </w:r>
            <w:r>
              <w:rPr>
                <w:color w:val="010101"/>
                <w:w w:val="85"/>
                <w:sz w:val="18"/>
              </w:rPr>
              <w:t>330 83</w:t>
            </w:r>
          </w:p>
        </w:tc>
        <w:tc>
          <w:tcPr>
            <w:tcW w:w="1544" w:type="dxa"/>
            <w:tcBorders>
              <w:top w:val="nil"/>
              <w:bottom w:val="nil"/>
            </w:tcBorders>
          </w:tcPr>
          <w:p>
            <w:pPr>
              <w:pStyle w:val="TableParagraph"/>
              <w:spacing w:line="190" w:lineRule="exact"/>
              <w:ind w:right="399"/>
              <w:jc w:val="right"/>
              <w:rPr>
                <w:sz w:val="18"/>
              </w:rPr>
            </w:pPr>
            <w:r>
              <w:rPr>
                <w:color w:val="010101"/>
                <w:spacing w:val="-9"/>
                <w:w w:val="85"/>
                <w:sz w:val="18"/>
              </w:rPr>
              <w:t>24.262</w:t>
            </w:r>
            <w:r>
              <w:rPr>
                <w:color w:val="010101"/>
                <w:spacing w:val="-60"/>
                <w:w w:val="85"/>
                <w:sz w:val="18"/>
              </w:rPr>
              <w:t> </w:t>
            </w:r>
            <w:r>
              <w:rPr>
                <w:color w:val="010101"/>
                <w:w w:val="85"/>
                <w:sz w:val="18"/>
              </w:rPr>
              <w:t>31</w:t>
            </w:r>
          </w:p>
        </w:tc>
        <w:tc>
          <w:tcPr>
            <w:tcW w:w="1521" w:type="dxa"/>
            <w:tcBorders>
              <w:top w:val="nil"/>
              <w:bottom w:val="nil"/>
              <w:right w:val="nil"/>
            </w:tcBorders>
          </w:tcPr>
          <w:p>
            <w:pPr>
              <w:pStyle w:val="TableParagraph"/>
              <w:spacing w:line="190" w:lineRule="exact"/>
              <w:ind w:left="263" w:right="219"/>
              <w:jc w:val="center"/>
              <w:rPr>
                <w:sz w:val="18"/>
              </w:rPr>
            </w:pPr>
            <w:r>
              <w:rPr>
                <w:color w:val="010101"/>
                <w:w w:val="85"/>
                <w:sz w:val="18"/>
              </w:rPr>
              <w:t>21.871 09</w:t>
            </w:r>
          </w:p>
        </w:tc>
      </w:tr>
      <w:tr>
        <w:trPr>
          <w:trHeight w:val="201" w:hRule="exact"/>
        </w:trPr>
        <w:tc>
          <w:tcPr>
            <w:tcW w:w="997" w:type="dxa"/>
            <w:tcBorders>
              <w:top w:val="nil"/>
              <w:left w:val="nil"/>
              <w:bottom w:val="nil"/>
              <w:right w:val="single" w:sz="7" w:space="0" w:color="000000"/>
            </w:tcBorders>
          </w:tcPr>
          <w:p>
            <w:pPr>
              <w:pStyle w:val="TableParagraph"/>
              <w:spacing w:before="2"/>
              <w:ind w:right="392"/>
              <w:jc w:val="right"/>
              <w:rPr>
                <w:sz w:val="18"/>
              </w:rPr>
            </w:pPr>
            <w:r>
              <w:rPr>
                <w:color w:val="010101"/>
                <w:w w:val="80"/>
                <w:sz w:val="18"/>
              </w:rPr>
              <w:t>28</w:t>
            </w:r>
          </w:p>
        </w:tc>
        <w:tc>
          <w:tcPr>
            <w:tcW w:w="1621" w:type="dxa"/>
            <w:tcBorders>
              <w:top w:val="nil"/>
              <w:left w:val="single" w:sz="7" w:space="0" w:color="000000"/>
              <w:bottom w:val="nil"/>
            </w:tcBorders>
          </w:tcPr>
          <w:p>
            <w:pPr>
              <w:pStyle w:val="TableParagraph"/>
              <w:spacing w:line="199" w:lineRule="exact"/>
              <w:ind w:left="302" w:right="276"/>
              <w:jc w:val="center"/>
              <w:rPr>
                <w:sz w:val="18"/>
              </w:rPr>
            </w:pPr>
            <w:r>
              <w:rPr>
                <w:color w:val="010101"/>
                <w:w w:val="85"/>
                <w:sz w:val="18"/>
              </w:rPr>
              <w:t>300.739 26</w:t>
            </w:r>
          </w:p>
        </w:tc>
        <w:tc>
          <w:tcPr>
            <w:tcW w:w="1544" w:type="dxa"/>
            <w:tcBorders>
              <w:top w:val="nil"/>
              <w:bottom w:val="nil"/>
            </w:tcBorders>
          </w:tcPr>
          <w:p>
            <w:pPr>
              <w:pStyle w:val="TableParagraph"/>
              <w:spacing w:line="191" w:lineRule="exact"/>
              <w:ind w:right="364"/>
              <w:jc w:val="right"/>
              <w:rPr>
                <w:sz w:val="18"/>
              </w:rPr>
            </w:pPr>
            <w:r>
              <w:rPr>
                <w:color w:val="010101"/>
                <w:w w:val="85"/>
                <w:sz w:val="18"/>
              </w:rPr>
              <w:t>24.007 95</w:t>
            </w:r>
          </w:p>
        </w:tc>
        <w:tc>
          <w:tcPr>
            <w:tcW w:w="1521" w:type="dxa"/>
            <w:tcBorders>
              <w:top w:val="nil"/>
              <w:bottom w:val="nil"/>
              <w:right w:val="nil"/>
            </w:tcBorders>
          </w:tcPr>
          <w:p>
            <w:pPr>
              <w:pStyle w:val="TableParagraph"/>
              <w:spacing w:line="188" w:lineRule="exact"/>
              <w:ind w:left="415"/>
              <w:rPr>
                <w:sz w:val="18"/>
              </w:rPr>
            </w:pPr>
            <w:r>
              <w:rPr>
                <w:color w:val="010101"/>
                <w:spacing w:val="-14"/>
                <w:w w:val="90"/>
                <w:sz w:val="18"/>
              </w:rPr>
              <w:t>21.583</w:t>
            </w:r>
            <w:r>
              <w:rPr>
                <w:color w:val="010101"/>
                <w:spacing w:val="-64"/>
                <w:w w:val="90"/>
                <w:sz w:val="18"/>
              </w:rPr>
              <w:t> </w:t>
            </w:r>
            <w:r>
              <w:rPr>
                <w:color w:val="010101"/>
                <w:w w:val="90"/>
                <w:sz w:val="18"/>
              </w:rPr>
              <w:t>13</w:t>
            </w:r>
          </w:p>
        </w:tc>
      </w:tr>
      <w:tr>
        <w:trPr>
          <w:trHeight w:val="300" w:hRule="exact"/>
        </w:trPr>
        <w:tc>
          <w:tcPr>
            <w:tcW w:w="997" w:type="dxa"/>
            <w:tcBorders>
              <w:top w:val="nil"/>
              <w:left w:val="nil"/>
              <w:bottom w:val="nil"/>
              <w:right w:val="single" w:sz="7" w:space="0" w:color="000000"/>
            </w:tcBorders>
          </w:tcPr>
          <w:p>
            <w:pPr>
              <w:pStyle w:val="TableParagraph"/>
              <w:spacing w:before="2"/>
              <w:ind w:right="395"/>
              <w:jc w:val="right"/>
              <w:rPr>
                <w:sz w:val="18"/>
              </w:rPr>
            </w:pPr>
            <w:r>
              <w:rPr>
                <w:color w:val="010101"/>
                <w:w w:val="80"/>
                <w:sz w:val="18"/>
              </w:rPr>
              <w:t>29</w:t>
            </w:r>
          </w:p>
        </w:tc>
        <w:tc>
          <w:tcPr>
            <w:tcW w:w="1621" w:type="dxa"/>
            <w:tcBorders>
              <w:top w:val="nil"/>
              <w:left w:val="single" w:sz="7" w:space="0" w:color="000000"/>
              <w:bottom w:val="nil"/>
            </w:tcBorders>
          </w:tcPr>
          <w:p>
            <w:pPr>
              <w:pStyle w:val="TableParagraph"/>
              <w:spacing w:line="195" w:lineRule="exact"/>
              <w:ind w:left="411"/>
              <w:rPr>
                <w:sz w:val="18"/>
              </w:rPr>
            </w:pPr>
            <w:r>
              <w:rPr>
                <w:color w:val="010101"/>
                <w:w w:val="90"/>
                <w:sz w:val="18"/>
              </w:rPr>
              <w:t>308.357 44</w:t>
            </w:r>
          </w:p>
        </w:tc>
        <w:tc>
          <w:tcPr>
            <w:tcW w:w="1544" w:type="dxa"/>
            <w:tcBorders>
              <w:top w:val="nil"/>
              <w:bottom w:val="nil"/>
            </w:tcBorders>
          </w:tcPr>
          <w:p>
            <w:pPr>
              <w:pStyle w:val="TableParagraph"/>
              <w:spacing w:line="191" w:lineRule="exact"/>
              <w:ind w:right="366"/>
              <w:jc w:val="right"/>
              <w:rPr>
                <w:sz w:val="18"/>
              </w:rPr>
            </w:pPr>
            <w:r>
              <w:rPr>
                <w:color w:val="010101"/>
                <w:w w:val="90"/>
                <w:sz w:val="18"/>
              </w:rPr>
              <w:t>23.746 39</w:t>
            </w:r>
          </w:p>
        </w:tc>
        <w:tc>
          <w:tcPr>
            <w:tcW w:w="1521" w:type="dxa"/>
            <w:tcBorders>
              <w:top w:val="nil"/>
              <w:bottom w:val="nil"/>
              <w:right w:val="nil"/>
            </w:tcBorders>
          </w:tcPr>
          <w:p>
            <w:pPr>
              <w:pStyle w:val="TableParagraph"/>
              <w:spacing w:line="188" w:lineRule="exact"/>
              <w:ind w:left="411"/>
              <w:rPr>
                <w:sz w:val="18"/>
              </w:rPr>
            </w:pPr>
            <w:r>
              <w:rPr>
                <w:color w:val="010101"/>
                <w:spacing w:val="-4"/>
                <w:w w:val="85"/>
                <w:sz w:val="18"/>
              </w:rPr>
              <w:t>21.287</w:t>
            </w:r>
            <w:r>
              <w:rPr>
                <w:color w:val="010101"/>
                <w:spacing w:val="-67"/>
                <w:w w:val="85"/>
                <w:sz w:val="18"/>
              </w:rPr>
              <w:t> </w:t>
            </w:r>
            <w:r>
              <w:rPr>
                <w:color w:val="010101"/>
                <w:w w:val="85"/>
                <w:sz w:val="18"/>
              </w:rPr>
              <w:t>04</w:t>
            </w:r>
          </w:p>
        </w:tc>
      </w:tr>
      <w:tr>
        <w:trPr>
          <w:trHeight w:val="294" w:hRule="exact"/>
        </w:trPr>
        <w:tc>
          <w:tcPr>
            <w:tcW w:w="997" w:type="dxa"/>
            <w:tcBorders>
              <w:top w:val="nil"/>
              <w:left w:val="nil"/>
              <w:bottom w:val="nil"/>
              <w:right w:val="single" w:sz="7" w:space="0" w:color="000000"/>
            </w:tcBorders>
          </w:tcPr>
          <w:p>
            <w:pPr>
              <w:pStyle w:val="TableParagraph"/>
              <w:spacing w:before="82"/>
              <w:ind w:right="403"/>
              <w:jc w:val="right"/>
              <w:rPr>
                <w:rFonts w:ascii="Times New Roman"/>
                <w:sz w:val="18"/>
              </w:rPr>
            </w:pPr>
            <w:r>
              <w:rPr>
                <w:rFonts w:ascii="Times New Roman"/>
                <w:color w:val="010101"/>
                <w:w w:val="90"/>
                <w:sz w:val="18"/>
              </w:rPr>
              <w:t>30</w:t>
            </w:r>
          </w:p>
        </w:tc>
        <w:tc>
          <w:tcPr>
            <w:tcW w:w="1621" w:type="dxa"/>
            <w:tcBorders>
              <w:top w:val="nil"/>
              <w:left w:val="single" w:sz="7" w:space="0" w:color="000000"/>
              <w:bottom w:val="nil"/>
            </w:tcBorders>
          </w:tcPr>
          <w:p>
            <w:pPr>
              <w:pStyle w:val="TableParagraph"/>
              <w:spacing w:before="93"/>
              <w:ind w:left="411"/>
              <w:rPr>
                <w:sz w:val="18"/>
              </w:rPr>
            </w:pPr>
            <w:r>
              <w:rPr>
                <w:color w:val="010101"/>
                <w:spacing w:val="-5"/>
                <w:w w:val="85"/>
                <w:sz w:val="18"/>
              </w:rPr>
              <w:t>316.185</w:t>
            </w:r>
            <w:r>
              <w:rPr>
                <w:color w:val="010101"/>
                <w:spacing w:val="-63"/>
                <w:w w:val="85"/>
                <w:sz w:val="18"/>
              </w:rPr>
              <w:t> </w:t>
            </w:r>
            <w:r>
              <w:rPr>
                <w:color w:val="010101"/>
                <w:w w:val="85"/>
                <w:sz w:val="18"/>
              </w:rPr>
              <w:t>85</w:t>
            </w:r>
          </w:p>
        </w:tc>
        <w:tc>
          <w:tcPr>
            <w:tcW w:w="1544" w:type="dxa"/>
            <w:tcBorders>
              <w:top w:val="nil"/>
              <w:bottom w:val="nil"/>
            </w:tcBorders>
          </w:tcPr>
          <w:p>
            <w:pPr>
              <w:pStyle w:val="TableParagraph"/>
              <w:spacing w:before="82"/>
              <w:ind w:right="372"/>
              <w:jc w:val="right"/>
              <w:rPr>
                <w:sz w:val="18"/>
              </w:rPr>
            </w:pPr>
            <w:r>
              <w:rPr>
                <w:color w:val="696969"/>
                <w:w w:val="65"/>
                <w:sz w:val="18"/>
              </w:rPr>
              <w:t>. </w:t>
            </w:r>
            <w:r>
              <w:rPr>
                <w:color w:val="010101"/>
                <w:w w:val="85"/>
                <w:sz w:val="18"/>
              </w:rPr>
              <w:t>23.477</w:t>
            </w:r>
            <w:r>
              <w:rPr>
                <w:color w:val="010101"/>
                <w:spacing w:val="-63"/>
                <w:w w:val="85"/>
                <w:sz w:val="18"/>
              </w:rPr>
              <w:t> </w:t>
            </w:r>
            <w:r>
              <w:rPr>
                <w:color w:val="010101"/>
                <w:spacing w:val="-18"/>
                <w:w w:val="85"/>
                <w:sz w:val="18"/>
              </w:rPr>
              <w:t>62</w:t>
            </w:r>
          </w:p>
        </w:tc>
        <w:tc>
          <w:tcPr>
            <w:tcW w:w="1521" w:type="dxa"/>
            <w:tcBorders>
              <w:top w:val="nil"/>
              <w:bottom w:val="nil"/>
              <w:right w:val="nil"/>
            </w:tcBorders>
          </w:tcPr>
          <w:p>
            <w:pPr>
              <w:pStyle w:val="TableParagraph"/>
              <w:spacing w:before="82"/>
              <w:ind w:left="265" w:right="219"/>
              <w:jc w:val="center"/>
              <w:rPr>
                <w:sz w:val="18"/>
              </w:rPr>
            </w:pPr>
            <w:r>
              <w:rPr>
                <w:color w:val="010101"/>
                <w:spacing w:val="-15"/>
                <w:w w:val="90"/>
                <w:sz w:val="18"/>
              </w:rPr>
              <w:t>20.982 </w:t>
            </w:r>
            <w:r>
              <w:rPr>
                <w:color w:val="010101"/>
                <w:w w:val="90"/>
                <w:sz w:val="18"/>
              </w:rPr>
              <w:t>94</w:t>
            </w:r>
          </w:p>
        </w:tc>
      </w:tr>
      <w:tr>
        <w:trPr>
          <w:trHeight w:val="203" w:hRule="exact"/>
        </w:trPr>
        <w:tc>
          <w:tcPr>
            <w:tcW w:w="997" w:type="dxa"/>
            <w:tcBorders>
              <w:top w:val="nil"/>
              <w:left w:val="nil"/>
              <w:bottom w:val="nil"/>
              <w:right w:val="single" w:sz="7" w:space="0" w:color="000000"/>
            </w:tcBorders>
          </w:tcPr>
          <w:p>
            <w:pPr>
              <w:pStyle w:val="TableParagraph"/>
              <w:spacing w:before="3"/>
              <w:ind w:right="399"/>
              <w:jc w:val="right"/>
              <w:rPr>
                <w:sz w:val="18"/>
              </w:rPr>
            </w:pPr>
            <w:r>
              <w:rPr>
                <w:color w:val="010101"/>
                <w:w w:val="85"/>
                <w:sz w:val="18"/>
              </w:rPr>
              <w:t>31</w:t>
            </w:r>
          </w:p>
        </w:tc>
        <w:tc>
          <w:tcPr>
            <w:tcW w:w="1621" w:type="dxa"/>
            <w:tcBorders>
              <w:top w:val="nil"/>
              <w:left w:val="single" w:sz="7" w:space="0" w:color="000000"/>
              <w:bottom w:val="nil"/>
            </w:tcBorders>
          </w:tcPr>
          <w:p>
            <w:pPr>
              <w:pStyle w:val="TableParagraph"/>
              <w:spacing w:line="200" w:lineRule="exact"/>
              <w:ind w:left="411"/>
              <w:rPr>
                <w:sz w:val="18"/>
              </w:rPr>
            </w:pPr>
            <w:r>
              <w:rPr>
                <w:color w:val="010101"/>
                <w:spacing w:val="-12"/>
                <w:w w:val="90"/>
                <w:sz w:val="18"/>
              </w:rPr>
              <w:t>324.232</w:t>
            </w:r>
            <w:r>
              <w:rPr>
                <w:color w:val="010101"/>
                <w:spacing w:val="-67"/>
                <w:w w:val="90"/>
                <w:sz w:val="18"/>
              </w:rPr>
              <w:t> </w:t>
            </w:r>
            <w:r>
              <w:rPr>
                <w:color w:val="010101"/>
                <w:w w:val="90"/>
                <w:sz w:val="18"/>
              </w:rPr>
              <w:t>05</w:t>
            </w:r>
          </w:p>
        </w:tc>
        <w:tc>
          <w:tcPr>
            <w:tcW w:w="1544" w:type="dxa"/>
            <w:tcBorders>
              <w:top w:val="nil"/>
              <w:bottom w:val="nil"/>
            </w:tcBorders>
          </w:tcPr>
          <w:p>
            <w:pPr>
              <w:pStyle w:val="TableParagraph"/>
              <w:spacing w:line="193" w:lineRule="exact"/>
              <w:ind w:right="371"/>
              <w:jc w:val="right"/>
              <w:rPr>
                <w:sz w:val="18"/>
              </w:rPr>
            </w:pPr>
            <w:r>
              <w:rPr>
                <w:color w:val="010101"/>
                <w:w w:val="85"/>
                <w:sz w:val="18"/>
              </w:rPr>
              <w:t>23</w:t>
            </w:r>
            <w:r>
              <w:rPr>
                <w:color w:val="010101"/>
                <w:spacing w:val="-84"/>
                <w:w w:val="85"/>
                <w:sz w:val="18"/>
              </w:rPr>
              <w:t> </w:t>
            </w:r>
            <w:r>
              <w:rPr>
                <w:color w:val="1C1C1C"/>
                <w:spacing w:val="-8"/>
                <w:w w:val="85"/>
                <w:sz w:val="18"/>
              </w:rPr>
              <w:t>.</w:t>
            </w:r>
            <w:r>
              <w:rPr>
                <w:color w:val="010101"/>
                <w:spacing w:val="-8"/>
                <w:w w:val="85"/>
                <w:sz w:val="18"/>
              </w:rPr>
              <w:t>201 </w:t>
            </w:r>
            <w:r>
              <w:rPr>
                <w:color w:val="010101"/>
                <w:spacing w:val="-11"/>
                <w:w w:val="85"/>
                <w:sz w:val="18"/>
              </w:rPr>
              <w:t>37</w:t>
            </w:r>
          </w:p>
        </w:tc>
        <w:tc>
          <w:tcPr>
            <w:tcW w:w="1521" w:type="dxa"/>
            <w:tcBorders>
              <w:top w:val="nil"/>
              <w:bottom w:val="nil"/>
              <w:right w:val="nil"/>
            </w:tcBorders>
          </w:tcPr>
          <w:p>
            <w:pPr>
              <w:pStyle w:val="TableParagraph"/>
              <w:spacing w:line="190" w:lineRule="exact"/>
              <w:ind w:left="281" w:right="219"/>
              <w:jc w:val="center"/>
              <w:rPr>
                <w:sz w:val="18"/>
              </w:rPr>
            </w:pPr>
            <w:r>
              <w:rPr>
                <w:color w:val="010101"/>
                <w:sz w:val="18"/>
              </w:rPr>
              <w:t>20.670 49</w:t>
            </w:r>
          </w:p>
        </w:tc>
      </w:tr>
      <w:tr>
        <w:trPr>
          <w:trHeight w:val="397" w:hRule="exact"/>
        </w:trPr>
        <w:tc>
          <w:tcPr>
            <w:tcW w:w="997" w:type="dxa"/>
            <w:tcBorders>
              <w:top w:val="nil"/>
              <w:left w:val="nil"/>
              <w:bottom w:val="nil"/>
              <w:right w:val="single" w:sz="7" w:space="0" w:color="000000"/>
            </w:tcBorders>
          </w:tcPr>
          <w:p>
            <w:pPr>
              <w:pStyle w:val="TableParagraph"/>
              <w:spacing w:line="193" w:lineRule="exact" w:before="2"/>
              <w:ind w:left="388" w:right="342"/>
              <w:jc w:val="center"/>
              <w:rPr>
                <w:sz w:val="18"/>
              </w:rPr>
            </w:pPr>
            <w:r>
              <w:rPr>
                <w:color w:val="010101"/>
                <w:sz w:val="18"/>
              </w:rPr>
              <w:t>32</w:t>
            </w:r>
          </w:p>
          <w:p>
            <w:pPr>
              <w:pStyle w:val="TableParagraph"/>
              <w:spacing w:line="196" w:lineRule="exact"/>
              <w:ind w:left="369" w:right="342"/>
              <w:jc w:val="center"/>
              <w:rPr>
                <w:rFonts w:ascii="Times New Roman"/>
                <w:sz w:val="18"/>
              </w:rPr>
            </w:pPr>
            <w:r>
              <w:rPr>
                <w:rFonts w:ascii="Times New Roman"/>
                <w:color w:val="010101"/>
                <w:sz w:val="18"/>
              </w:rPr>
              <w:t>33</w:t>
            </w:r>
          </w:p>
        </w:tc>
        <w:tc>
          <w:tcPr>
            <w:tcW w:w="1621" w:type="dxa"/>
            <w:tcBorders>
              <w:top w:val="nil"/>
              <w:left w:val="single" w:sz="7" w:space="0" w:color="000000"/>
              <w:bottom w:val="nil"/>
            </w:tcBorders>
          </w:tcPr>
          <w:p>
            <w:pPr>
              <w:pStyle w:val="TableParagraph"/>
              <w:spacing w:line="237" w:lineRule="auto"/>
              <w:ind w:left="411" w:right="360" w:firstLine="3"/>
              <w:rPr>
                <w:sz w:val="18"/>
              </w:rPr>
            </w:pPr>
            <w:r>
              <w:rPr>
                <w:color w:val="010101"/>
                <w:spacing w:val="-6"/>
                <w:w w:val="85"/>
                <w:sz w:val="18"/>
              </w:rPr>
              <w:t>332.497</w:t>
            </w:r>
            <w:r>
              <w:rPr>
                <w:color w:val="010101"/>
                <w:spacing w:val="-66"/>
                <w:w w:val="85"/>
                <w:sz w:val="18"/>
              </w:rPr>
              <w:t> </w:t>
            </w:r>
            <w:r>
              <w:rPr>
                <w:color w:val="010101"/>
                <w:w w:val="85"/>
                <w:sz w:val="18"/>
              </w:rPr>
              <w:t>17 </w:t>
            </w:r>
            <w:r>
              <w:rPr>
                <w:color w:val="010101"/>
                <w:spacing w:val="-13"/>
                <w:w w:val="90"/>
                <w:sz w:val="18"/>
              </w:rPr>
              <w:t>340.989</w:t>
            </w:r>
            <w:r>
              <w:rPr>
                <w:color w:val="010101"/>
                <w:spacing w:val="-76"/>
                <w:w w:val="90"/>
                <w:sz w:val="18"/>
              </w:rPr>
              <w:t> </w:t>
            </w:r>
            <w:r>
              <w:rPr>
                <w:color w:val="010101"/>
                <w:w w:val="90"/>
                <w:sz w:val="18"/>
              </w:rPr>
              <w:t>29</w:t>
            </w:r>
          </w:p>
        </w:tc>
        <w:tc>
          <w:tcPr>
            <w:tcW w:w="1544" w:type="dxa"/>
            <w:tcBorders>
              <w:top w:val="nil"/>
              <w:bottom w:val="nil"/>
            </w:tcBorders>
          </w:tcPr>
          <w:p>
            <w:pPr>
              <w:pStyle w:val="TableParagraph"/>
              <w:spacing w:line="190" w:lineRule="exact"/>
              <w:ind w:left="416"/>
              <w:rPr>
                <w:sz w:val="18"/>
              </w:rPr>
            </w:pPr>
            <w:r>
              <w:rPr>
                <w:color w:val="010101"/>
                <w:spacing w:val="-10"/>
                <w:w w:val="90"/>
                <w:sz w:val="18"/>
              </w:rPr>
              <w:t>22</w:t>
            </w:r>
            <w:r>
              <w:rPr>
                <w:color w:val="1C1C1C"/>
                <w:spacing w:val="-10"/>
                <w:w w:val="90"/>
                <w:sz w:val="18"/>
              </w:rPr>
              <w:t>.</w:t>
            </w:r>
            <w:r>
              <w:rPr>
                <w:color w:val="010101"/>
                <w:spacing w:val="-10"/>
                <w:w w:val="90"/>
                <w:sz w:val="18"/>
              </w:rPr>
              <w:t>917</w:t>
            </w:r>
            <w:r>
              <w:rPr>
                <w:color w:val="010101"/>
                <w:spacing w:val="-76"/>
                <w:w w:val="90"/>
                <w:sz w:val="18"/>
              </w:rPr>
              <w:t> </w:t>
            </w:r>
            <w:r>
              <w:rPr>
                <w:color w:val="010101"/>
                <w:w w:val="90"/>
                <w:sz w:val="18"/>
              </w:rPr>
              <w:t>60</w:t>
            </w:r>
          </w:p>
          <w:p>
            <w:pPr>
              <w:pStyle w:val="TableParagraph"/>
              <w:spacing w:line="202" w:lineRule="exact"/>
              <w:ind w:left="416"/>
              <w:rPr>
                <w:sz w:val="18"/>
              </w:rPr>
            </w:pPr>
            <w:r>
              <w:rPr>
                <w:color w:val="010101"/>
                <w:spacing w:val="-12"/>
                <w:w w:val="95"/>
                <w:sz w:val="18"/>
              </w:rPr>
              <w:t>22</w:t>
            </w:r>
            <w:r>
              <w:rPr>
                <w:color w:val="1C1C1C"/>
                <w:spacing w:val="-12"/>
                <w:w w:val="95"/>
                <w:sz w:val="18"/>
              </w:rPr>
              <w:t>.</w:t>
            </w:r>
            <w:r>
              <w:rPr>
                <w:color w:val="010101"/>
                <w:spacing w:val="-12"/>
                <w:w w:val="95"/>
                <w:sz w:val="18"/>
              </w:rPr>
              <w:t>626</w:t>
            </w:r>
            <w:r>
              <w:rPr>
                <w:color w:val="010101"/>
                <w:spacing w:val="-83"/>
                <w:w w:val="95"/>
                <w:sz w:val="18"/>
              </w:rPr>
              <w:t> </w:t>
            </w:r>
            <w:r>
              <w:rPr>
                <w:color w:val="010101"/>
                <w:spacing w:val="-19"/>
                <w:w w:val="95"/>
                <w:sz w:val="18"/>
              </w:rPr>
              <w:t>03</w:t>
            </w:r>
          </w:p>
        </w:tc>
        <w:tc>
          <w:tcPr>
            <w:tcW w:w="1521" w:type="dxa"/>
            <w:tcBorders>
              <w:top w:val="nil"/>
              <w:bottom w:val="nil"/>
              <w:right w:val="nil"/>
            </w:tcBorders>
          </w:tcPr>
          <w:p>
            <w:pPr>
              <w:pStyle w:val="TableParagraph"/>
              <w:spacing w:line="228" w:lineRule="auto"/>
              <w:ind w:left="415" w:right="337" w:hanging="8"/>
              <w:rPr>
                <w:sz w:val="18"/>
              </w:rPr>
            </w:pPr>
            <w:r>
              <w:rPr>
                <w:color w:val="010101"/>
                <w:spacing w:val="-12"/>
                <w:w w:val="95"/>
                <w:sz w:val="18"/>
              </w:rPr>
              <w:t>20.349</w:t>
            </w:r>
            <w:r>
              <w:rPr>
                <w:color w:val="010101"/>
                <w:spacing w:val="-70"/>
                <w:w w:val="95"/>
                <w:sz w:val="18"/>
              </w:rPr>
              <w:t> </w:t>
            </w:r>
            <w:r>
              <w:rPr>
                <w:color w:val="010101"/>
                <w:spacing w:val="-19"/>
                <w:w w:val="95"/>
                <w:sz w:val="18"/>
              </w:rPr>
              <w:t>73 </w:t>
            </w:r>
            <w:r>
              <w:rPr>
                <w:color w:val="010101"/>
                <w:spacing w:val="-11"/>
                <w:sz w:val="18"/>
              </w:rPr>
              <w:t>20.0W</w:t>
            </w:r>
            <w:r>
              <w:rPr>
                <w:color w:val="010101"/>
                <w:spacing w:val="-68"/>
                <w:sz w:val="18"/>
              </w:rPr>
              <w:t> </w:t>
            </w:r>
            <w:r>
              <w:rPr>
                <w:color w:val="010101"/>
                <w:sz w:val="18"/>
              </w:rPr>
              <w:t>12</w:t>
            </w:r>
          </w:p>
        </w:tc>
      </w:tr>
      <w:tr>
        <w:trPr>
          <w:trHeight w:val="247" w:hRule="exact"/>
        </w:trPr>
        <w:tc>
          <w:tcPr>
            <w:tcW w:w="997" w:type="dxa"/>
            <w:tcBorders>
              <w:top w:val="nil"/>
              <w:left w:val="nil"/>
              <w:bottom w:val="nil"/>
              <w:right w:val="single" w:sz="4" w:space="0" w:color="000000"/>
            </w:tcBorders>
          </w:tcPr>
          <w:p>
            <w:pPr>
              <w:pStyle w:val="TableParagraph"/>
              <w:spacing w:before="7"/>
              <w:ind w:right="386"/>
              <w:jc w:val="right"/>
              <w:rPr>
                <w:sz w:val="18"/>
              </w:rPr>
            </w:pPr>
            <w:r>
              <w:rPr>
                <w:color w:val="010101"/>
                <w:w w:val="80"/>
                <w:sz w:val="18"/>
              </w:rPr>
              <w:t>34</w:t>
            </w:r>
          </w:p>
        </w:tc>
        <w:tc>
          <w:tcPr>
            <w:tcW w:w="1621" w:type="dxa"/>
            <w:tcBorders>
              <w:top w:val="nil"/>
              <w:left w:val="single" w:sz="4" w:space="0" w:color="000000"/>
              <w:bottom w:val="nil"/>
            </w:tcBorders>
          </w:tcPr>
          <w:p>
            <w:pPr>
              <w:pStyle w:val="TableParagraph"/>
              <w:ind w:left="400" w:right="373"/>
              <w:jc w:val="center"/>
              <w:rPr>
                <w:sz w:val="18"/>
              </w:rPr>
            </w:pPr>
            <w:r>
              <w:rPr>
                <w:color w:val="010101"/>
                <w:spacing w:val="-14"/>
                <w:w w:val="90"/>
                <w:sz w:val="18"/>
              </w:rPr>
              <w:t>349.710</w:t>
            </w:r>
            <w:r>
              <w:rPr>
                <w:color w:val="010101"/>
                <w:spacing w:val="-80"/>
                <w:w w:val="90"/>
                <w:sz w:val="18"/>
              </w:rPr>
              <w:t> </w:t>
            </w:r>
            <w:r>
              <w:rPr>
                <w:color w:val="010101"/>
                <w:w w:val="90"/>
                <w:sz w:val="18"/>
              </w:rPr>
              <w:t>31</w:t>
            </w:r>
          </w:p>
        </w:tc>
        <w:tc>
          <w:tcPr>
            <w:tcW w:w="1544" w:type="dxa"/>
            <w:tcBorders>
              <w:top w:val="nil"/>
              <w:bottom w:val="nil"/>
            </w:tcBorders>
          </w:tcPr>
          <w:p>
            <w:pPr>
              <w:pStyle w:val="TableParagraph"/>
              <w:spacing w:line="197" w:lineRule="exact"/>
              <w:ind w:right="392"/>
              <w:jc w:val="right"/>
              <w:rPr>
                <w:sz w:val="18"/>
              </w:rPr>
            </w:pPr>
            <w:r>
              <w:rPr>
                <w:color w:val="010101"/>
                <w:w w:val="85"/>
                <w:sz w:val="18"/>
              </w:rPr>
              <w:t>22.326 61</w:t>
            </w:r>
          </w:p>
        </w:tc>
        <w:tc>
          <w:tcPr>
            <w:tcW w:w="1521" w:type="dxa"/>
            <w:tcBorders>
              <w:top w:val="nil"/>
              <w:bottom w:val="nil"/>
              <w:right w:val="nil"/>
            </w:tcBorders>
          </w:tcPr>
          <w:p>
            <w:pPr>
              <w:pStyle w:val="TableParagraph"/>
              <w:spacing w:line="190" w:lineRule="exact"/>
              <w:ind w:left="281" w:right="218"/>
              <w:jc w:val="center"/>
              <w:rPr>
                <w:sz w:val="18"/>
              </w:rPr>
            </w:pPr>
            <w:r>
              <w:rPr>
                <w:color w:val="010101"/>
                <w:spacing w:val="-6"/>
                <w:w w:val="85"/>
                <w:sz w:val="18"/>
              </w:rPr>
              <w:t>19.681</w:t>
            </w:r>
            <w:r>
              <w:rPr>
                <w:color w:val="010101"/>
                <w:spacing w:val="-60"/>
                <w:w w:val="85"/>
                <w:sz w:val="18"/>
              </w:rPr>
              <w:t> </w:t>
            </w:r>
            <w:r>
              <w:rPr>
                <w:color w:val="010101"/>
                <w:w w:val="85"/>
                <w:sz w:val="18"/>
              </w:rPr>
              <w:t>85</w:t>
            </w:r>
          </w:p>
        </w:tc>
      </w:tr>
    </w:tbl>
    <w:p>
      <w:pPr>
        <w:pStyle w:val="BodyText"/>
        <w:spacing w:before="1"/>
        <w:rPr>
          <w:sz w:val="5"/>
        </w:rPr>
      </w:pPr>
    </w:p>
    <w:p>
      <w:pPr>
        <w:pStyle w:val="BodyText"/>
        <w:spacing w:line="20" w:lineRule="exact"/>
        <w:ind w:left="128"/>
        <w:rPr>
          <w:sz w:val="2"/>
        </w:rPr>
      </w:pPr>
      <w:r>
        <w:rPr>
          <w:sz w:val="2"/>
        </w:rPr>
        <w:pict>
          <v:group style="width:241.25pt;height:.550pt;mso-position-horizontal-relative:char;mso-position-vertical-relative:line" coordorigin="0,0" coordsize="4825,11">
            <v:line style="position:absolute" from="6,6" to="4819,6" stroked="true" strokeweight=".536779pt" strokecolor="#000000"/>
          </v:group>
        </w:pict>
      </w:r>
      <w:r>
        <w:rPr>
          <w:sz w:val="2"/>
        </w:rPr>
      </w:r>
    </w:p>
    <w:p>
      <w:pPr>
        <w:spacing w:after="0" w:line="20" w:lineRule="exact"/>
        <w:rPr>
          <w:sz w:val="2"/>
        </w:rPr>
        <w:sectPr>
          <w:pgSz w:w="7200" w:h="11340"/>
          <w:pgMar w:top="520" w:bottom="280" w:left="700" w:right="580"/>
        </w:sectPr>
      </w:pPr>
    </w:p>
    <w:p>
      <w:pPr>
        <w:tabs>
          <w:tab w:pos="5851" w:val="right" w:leader="none"/>
        </w:tabs>
        <w:spacing w:before="71"/>
        <w:ind w:left="1971" w:right="0" w:firstLine="0"/>
        <w:jc w:val="left"/>
        <w:rPr>
          <w:rFonts w:ascii="Courier New"/>
          <w:sz w:val="22"/>
        </w:rPr>
      </w:pPr>
      <w:r>
        <w:rPr>
          <w:w w:val="110"/>
          <w:sz w:val="15"/>
        </w:rPr>
        <w:t>NET </w:t>
      </w:r>
      <w:r>
        <w:rPr>
          <w:spacing w:val="12"/>
          <w:w w:val="110"/>
          <w:sz w:val="15"/>
        </w:rPr>
        <w:t> </w:t>
      </w:r>
      <w:r>
        <w:rPr>
          <w:w w:val="110"/>
          <w:sz w:val="15"/>
        </w:rPr>
        <w:t>SINGLE </w:t>
      </w:r>
      <w:r>
        <w:rPr>
          <w:spacing w:val="12"/>
          <w:w w:val="110"/>
          <w:sz w:val="15"/>
        </w:rPr>
        <w:t> </w:t>
      </w:r>
      <w:r>
        <w:rPr>
          <w:w w:val="110"/>
          <w:sz w:val="15"/>
        </w:rPr>
        <w:t>PREMIUMS</w:t>
      </w:r>
      <w:r>
        <w:rPr>
          <w:rFonts w:ascii="Courier New"/>
          <w:w w:val="110"/>
          <w:sz w:val="22"/>
        </w:rPr>
        <w:tab/>
      </w:r>
      <w:r>
        <w:rPr>
          <w:rFonts w:ascii="Courier New"/>
          <w:spacing w:val="-24"/>
          <w:w w:val="110"/>
          <w:sz w:val="22"/>
        </w:rPr>
        <w:t>343</w:t>
      </w:r>
    </w:p>
    <w:p>
      <w:pPr>
        <w:spacing w:before="154"/>
        <w:ind w:left="135" w:right="131" w:firstLine="0"/>
        <w:jc w:val="center"/>
        <w:rPr>
          <w:rFonts w:ascii="Courier New"/>
          <w:sz w:val="18"/>
        </w:rPr>
      </w:pPr>
      <w:r>
        <w:rPr>
          <w:rFonts w:ascii="Courier New"/>
          <w:spacing w:val="-17"/>
          <w:w w:val="105"/>
          <w:sz w:val="18"/>
        </w:rPr>
        <w:t>1958</w:t>
      </w:r>
      <w:r>
        <w:rPr>
          <w:rFonts w:ascii="Courier New"/>
          <w:spacing w:val="-70"/>
          <w:w w:val="105"/>
          <w:sz w:val="18"/>
        </w:rPr>
        <w:t> </w:t>
      </w:r>
      <w:r>
        <w:rPr>
          <w:w w:val="105"/>
          <w:sz w:val="25"/>
        </w:rPr>
        <w:t>eso </w:t>
      </w:r>
      <w:r>
        <w:rPr>
          <w:rFonts w:ascii="Courier New"/>
          <w:spacing w:val="-16"/>
          <w:w w:val="135"/>
          <w:sz w:val="18"/>
        </w:rPr>
        <w:t>3%</w:t>
      </w:r>
    </w:p>
    <w:p>
      <w:pPr>
        <w:spacing w:before="15" w:after="53"/>
        <w:ind w:left="86" w:right="131" w:firstLine="0"/>
        <w:jc w:val="center"/>
        <w:rPr>
          <w:sz w:val="18"/>
        </w:rPr>
      </w:pPr>
      <w:r>
        <w:rPr>
          <w:sz w:val="18"/>
        </w:rPr>
        <w:t>Male  Lives</w:t>
      </w:r>
    </w:p>
    <w:tbl>
      <w:tblPr>
        <w:tblW w:w="0" w:type="auto"/>
        <w:jc w:val="left"/>
        <w:tblInd w:w="1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3"/>
        <w:gridCol w:w="1634"/>
        <w:gridCol w:w="1552"/>
        <w:gridCol w:w="1528"/>
      </w:tblGrid>
      <w:tr>
        <w:trPr>
          <w:trHeight w:val="402" w:hRule="exact"/>
        </w:trPr>
        <w:tc>
          <w:tcPr>
            <w:tcW w:w="993" w:type="dxa"/>
            <w:tcBorders>
              <w:left w:val="nil"/>
            </w:tcBorders>
          </w:tcPr>
          <w:p>
            <w:pPr>
              <w:pStyle w:val="TableParagraph"/>
              <w:spacing w:before="153"/>
              <w:ind w:left="464"/>
              <w:rPr>
                <w:rFonts w:ascii="Arial"/>
                <w:i/>
                <w:sz w:val="8"/>
              </w:rPr>
            </w:pPr>
            <w:r>
              <w:rPr>
                <w:rFonts w:ascii="Arial"/>
                <w:i/>
                <w:sz w:val="8"/>
              </w:rPr>
              <w:t>:&amp;</w:t>
            </w:r>
          </w:p>
        </w:tc>
        <w:tc>
          <w:tcPr>
            <w:tcW w:w="1634" w:type="dxa"/>
          </w:tcPr>
          <w:p>
            <w:pPr>
              <w:pStyle w:val="TableParagraph"/>
              <w:spacing w:before="4"/>
              <w:rPr>
                <w:rFonts w:ascii="Times New Roman"/>
                <w:sz w:val="10"/>
              </w:rPr>
            </w:pPr>
          </w:p>
          <w:p>
            <w:pPr>
              <w:pStyle w:val="TableParagraph"/>
              <w:ind w:left="291" w:right="257"/>
              <w:jc w:val="center"/>
              <w:rPr>
                <w:rFonts w:ascii="Arial"/>
                <w:b/>
                <w:sz w:val="12"/>
              </w:rPr>
            </w:pPr>
            <w:r>
              <w:rPr>
                <w:rFonts w:ascii="Arial"/>
                <w:b/>
                <w:sz w:val="12"/>
              </w:rPr>
              <w:t>1000.ds</w:t>
            </w:r>
          </w:p>
        </w:tc>
        <w:tc>
          <w:tcPr>
            <w:tcW w:w="1552" w:type="dxa"/>
          </w:tcPr>
          <w:p>
            <w:pPr>
              <w:pStyle w:val="TableParagraph"/>
              <w:spacing w:before="11"/>
              <w:rPr>
                <w:rFonts w:ascii="Times New Roman"/>
                <w:sz w:val="10"/>
              </w:rPr>
            </w:pPr>
          </w:p>
          <w:p>
            <w:pPr>
              <w:pStyle w:val="TableParagraph"/>
              <w:ind w:left="300" w:right="282"/>
              <w:jc w:val="center"/>
              <w:rPr>
                <w:rFonts w:ascii="Arial"/>
                <w:i/>
                <w:sz w:val="14"/>
              </w:rPr>
            </w:pPr>
            <w:r>
              <w:rPr>
                <w:rFonts w:ascii="Arial"/>
                <w:i/>
                <w:sz w:val="14"/>
              </w:rPr>
              <w:t>iiz</w:t>
            </w:r>
          </w:p>
        </w:tc>
        <w:tc>
          <w:tcPr>
            <w:tcW w:w="1528" w:type="dxa"/>
            <w:tcBorders>
              <w:right w:val="nil"/>
            </w:tcBorders>
          </w:tcPr>
          <w:p>
            <w:pPr>
              <w:pStyle w:val="TableParagraph"/>
              <w:spacing w:before="2"/>
              <w:rPr>
                <w:rFonts w:ascii="Times New Roman"/>
                <w:sz w:val="12"/>
              </w:rPr>
            </w:pPr>
          </w:p>
          <w:p>
            <w:pPr>
              <w:pStyle w:val="TableParagraph"/>
              <w:ind w:left="661" w:right="636"/>
              <w:jc w:val="center"/>
              <w:rPr>
                <w:rFonts w:ascii="Times New Roman"/>
                <w:i/>
                <w:sz w:val="11"/>
              </w:rPr>
            </w:pPr>
            <w:r>
              <w:rPr>
                <w:rFonts w:ascii="Times New Roman"/>
                <w:i/>
                <w:w w:val="125"/>
                <w:sz w:val="11"/>
              </w:rPr>
              <w:t>lizz</w:t>
            </w:r>
          </w:p>
        </w:tc>
      </w:tr>
      <w:tr>
        <w:trPr>
          <w:trHeight w:val="315" w:hRule="exact"/>
        </w:trPr>
        <w:tc>
          <w:tcPr>
            <w:tcW w:w="993" w:type="dxa"/>
            <w:tcBorders>
              <w:left w:val="nil"/>
              <w:bottom w:val="nil"/>
            </w:tcBorders>
          </w:tcPr>
          <w:p>
            <w:pPr>
              <w:pStyle w:val="TableParagraph"/>
              <w:spacing w:before="97"/>
              <w:ind w:left="406"/>
              <w:rPr>
                <w:sz w:val="18"/>
              </w:rPr>
            </w:pPr>
            <w:r>
              <w:rPr>
                <w:sz w:val="18"/>
              </w:rPr>
              <w:t>35</w:t>
            </w:r>
          </w:p>
        </w:tc>
        <w:tc>
          <w:tcPr>
            <w:tcW w:w="1634" w:type="dxa"/>
            <w:tcBorders>
              <w:bottom w:val="nil"/>
            </w:tcBorders>
          </w:tcPr>
          <w:p>
            <w:pPr>
              <w:pStyle w:val="TableParagraph"/>
              <w:spacing w:before="94"/>
              <w:ind w:left="291" w:right="243"/>
              <w:jc w:val="center"/>
              <w:rPr>
                <w:sz w:val="18"/>
              </w:rPr>
            </w:pPr>
            <w:r>
              <w:rPr>
                <w:w w:val="75"/>
                <w:sz w:val="18"/>
              </w:rPr>
              <w:t>3.58.662 43</w:t>
            </w:r>
          </w:p>
        </w:tc>
        <w:tc>
          <w:tcPr>
            <w:tcW w:w="1552" w:type="dxa"/>
            <w:tcBorders>
              <w:bottom w:val="nil"/>
            </w:tcBorders>
          </w:tcPr>
          <w:p>
            <w:pPr>
              <w:pStyle w:val="TableParagraph"/>
              <w:spacing w:before="101"/>
              <w:ind w:left="415"/>
              <w:rPr>
                <w:sz w:val="18"/>
              </w:rPr>
            </w:pPr>
            <w:r>
              <w:rPr>
                <w:spacing w:val="-13"/>
                <w:w w:val="90"/>
                <w:sz w:val="18"/>
              </w:rPr>
              <w:t>22.019</w:t>
            </w:r>
            <w:r>
              <w:rPr>
                <w:spacing w:val="-67"/>
                <w:w w:val="90"/>
                <w:sz w:val="18"/>
              </w:rPr>
              <w:t> </w:t>
            </w:r>
            <w:r>
              <w:rPr>
                <w:w w:val="90"/>
                <w:sz w:val="18"/>
              </w:rPr>
              <w:t>26</w:t>
            </w:r>
          </w:p>
        </w:tc>
        <w:tc>
          <w:tcPr>
            <w:tcW w:w="1528" w:type="dxa"/>
            <w:tcBorders>
              <w:bottom w:val="nil"/>
              <w:right w:val="nil"/>
            </w:tcBorders>
          </w:tcPr>
          <w:p>
            <w:pPr>
              <w:pStyle w:val="TableParagraph"/>
              <w:spacing w:before="101"/>
              <w:ind w:right="348"/>
              <w:jc w:val="right"/>
              <w:rPr>
                <w:sz w:val="18"/>
              </w:rPr>
            </w:pPr>
            <w:r>
              <w:rPr>
                <w:spacing w:val="-6"/>
                <w:w w:val="90"/>
                <w:sz w:val="18"/>
              </w:rPr>
              <w:t>19.334</w:t>
            </w:r>
            <w:r>
              <w:rPr>
                <w:spacing w:val="-64"/>
                <w:w w:val="90"/>
                <w:sz w:val="18"/>
              </w:rPr>
              <w:t> </w:t>
            </w:r>
            <w:r>
              <w:rPr>
                <w:spacing w:val="-18"/>
                <w:w w:val="90"/>
                <w:sz w:val="18"/>
              </w:rPr>
              <w:t>92</w:t>
            </w:r>
          </w:p>
        </w:tc>
      </w:tr>
      <w:tr>
        <w:trPr>
          <w:trHeight w:val="200" w:hRule="exact"/>
        </w:trPr>
        <w:tc>
          <w:tcPr>
            <w:tcW w:w="993" w:type="dxa"/>
            <w:tcBorders>
              <w:top w:val="nil"/>
              <w:left w:val="nil"/>
              <w:bottom w:val="nil"/>
            </w:tcBorders>
          </w:tcPr>
          <w:p>
            <w:pPr>
              <w:pStyle w:val="TableParagraph"/>
              <w:spacing w:line="199" w:lineRule="exact"/>
              <w:ind w:left="410"/>
              <w:rPr>
                <w:sz w:val="18"/>
              </w:rPr>
            </w:pPr>
            <w:r>
              <w:rPr>
                <w:w w:val="90"/>
                <w:sz w:val="18"/>
              </w:rPr>
              <w:t>36</w:t>
            </w:r>
          </w:p>
        </w:tc>
        <w:tc>
          <w:tcPr>
            <w:tcW w:w="1634" w:type="dxa"/>
            <w:tcBorders>
              <w:top w:val="nil"/>
              <w:bottom w:val="nil"/>
            </w:tcBorders>
          </w:tcPr>
          <w:p>
            <w:pPr>
              <w:pStyle w:val="TableParagraph"/>
              <w:spacing w:line="195" w:lineRule="exact"/>
              <w:ind w:left="291" w:right="244"/>
              <w:jc w:val="center"/>
              <w:rPr>
                <w:sz w:val="18"/>
              </w:rPr>
            </w:pPr>
            <w:r>
              <w:rPr>
                <w:spacing w:val="-11"/>
                <w:w w:val="90"/>
                <w:sz w:val="18"/>
              </w:rPr>
              <w:t>367.835</w:t>
            </w:r>
            <w:r>
              <w:rPr>
                <w:spacing w:val="-68"/>
                <w:w w:val="90"/>
                <w:sz w:val="18"/>
              </w:rPr>
              <w:t> </w:t>
            </w:r>
            <w:r>
              <w:rPr>
                <w:w w:val="90"/>
                <w:sz w:val="18"/>
              </w:rPr>
              <w:t>58</w:t>
            </w:r>
          </w:p>
        </w:tc>
        <w:tc>
          <w:tcPr>
            <w:tcW w:w="1552" w:type="dxa"/>
            <w:tcBorders>
              <w:top w:val="nil"/>
              <w:bottom w:val="nil"/>
            </w:tcBorders>
          </w:tcPr>
          <w:p>
            <w:pPr>
              <w:pStyle w:val="TableParagraph"/>
              <w:spacing w:line="199" w:lineRule="exact"/>
              <w:ind w:left="305" w:right="282"/>
              <w:jc w:val="center"/>
              <w:rPr>
                <w:sz w:val="18"/>
              </w:rPr>
            </w:pPr>
            <w:r>
              <w:rPr>
                <w:spacing w:val="-8"/>
                <w:w w:val="85"/>
                <w:sz w:val="18"/>
              </w:rPr>
              <w:t>21.704 </w:t>
            </w:r>
            <w:r>
              <w:rPr>
                <w:w w:val="85"/>
                <w:sz w:val="18"/>
              </w:rPr>
              <w:t>31</w:t>
            </w:r>
          </w:p>
        </w:tc>
        <w:tc>
          <w:tcPr>
            <w:tcW w:w="1528" w:type="dxa"/>
            <w:tcBorders>
              <w:top w:val="nil"/>
              <w:bottom w:val="nil"/>
              <w:right w:val="nil"/>
            </w:tcBorders>
          </w:tcPr>
          <w:p>
            <w:pPr>
              <w:pStyle w:val="TableParagraph"/>
              <w:spacing w:line="199" w:lineRule="exact"/>
              <w:ind w:right="355"/>
              <w:jc w:val="right"/>
              <w:rPr>
                <w:sz w:val="18"/>
              </w:rPr>
            </w:pPr>
            <w:r>
              <w:rPr>
                <w:w w:val="95"/>
                <w:sz w:val="18"/>
              </w:rPr>
              <w:t>18.980 05</w:t>
            </w:r>
          </w:p>
        </w:tc>
      </w:tr>
      <w:tr>
        <w:trPr>
          <w:trHeight w:val="199" w:hRule="exact"/>
        </w:trPr>
        <w:tc>
          <w:tcPr>
            <w:tcW w:w="993" w:type="dxa"/>
            <w:tcBorders>
              <w:top w:val="nil"/>
              <w:left w:val="nil"/>
              <w:bottom w:val="nil"/>
            </w:tcBorders>
          </w:tcPr>
          <w:p>
            <w:pPr>
              <w:pStyle w:val="TableParagraph"/>
              <w:spacing w:line="194" w:lineRule="exact"/>
              <w:ind w:left="406"/>
              <w:rPr>
                <w:sz w:val="18"/>
              </w:rPr>
            </w:pPr>
            <w:r>
              <w:rPr>
                <w:sz w:val="18"/>
              </w:rPr>
              <w:t>37</w:t>
            </w:r>
          </w:p>
        </w:tc>
        <w:tc>
          <w:tcPr>
            <w:tcW w:w="1634" w:type="dxa"/>
            <w:tcBorders>
              <w:top w:val="nil"/>
              <w:bottom w:val="nil"/>
            </w:tcBorders>
          </w:tcPr>
          <w:p>
            <w:pPr>
              <w:pStyle w:val="TableParagraph"/>
              <w:spacing w:line="197" w:lineRule="exact"/>
              <w:ind w:left="418"/>
              <w:rPr>
                <w:sz w:val="18"/>
              </w:rPr>
            </w:pPr>
            <w:r>
              <w:rPr>
                <w:w w:val="95"/>
                <w:sz w:val="18"/>
              </w:rPr>
              <w:t>377.226 51</w:t>
            </w:r>
          </w:p>
        </w:tc>
        <w:tc>
          <w:tcPr>
            <w:tcW w:w="1552" w:type="dxa"/>
            <w:tcBorders>
              <w:top w:val="nil"/>
              <w:bottom w:val="nil"/>
            </w:tcBorders>
          </w:tcPr>
          <w:p>
            <w:pPr>
              <w:pStyle w:val="TableParagraph"/>
              <w:ind w:left="415"/>
              <w:rPr>
                <w:sz w:val="18"/>
              </w:rPr>
            </w:pPr>
            <w:r>
              <w:rPr>
                <w:w w:val="95"/>
                <w:sz w:val="18"/>
              </w:rPr>
              <w:t>21.381 89</w:t>
            </w:r>
          </w:p>
        </w:tc>
        <w:tc>
          <w:tcPr>
            <w:tcW w:w="1528" w:type="dxa"/>
            <w:tcBorders>
              <w:top w:val="nil"/>
              <w:bottom w:val="nil"/>
              <w:right w:val="nil"/>
            </w:tcBorders>
          </w:tcPr>
          <w:p>
            <w:pPr>
              <w:pStyle w:val="TableParagraph"/>
              <w:spacing w:line="201" w:lineRule="exact"/>
              <w:ind w:right="357"/>
              <w:jc w:val="right"/>
              <w:rPr>
                <w:sz w:val="18"/>
              </w:rPr>
            </w:pPr>
            <w:r>
              <w:rPr>
                <w:spacing w:val="-6"/>
                <w:w w:val="90"/>
                <w:sz w:val="18"/>
              </w:rPr>
              <w:t>18.617</w:t>
            </w:r>
            <w:r>
              <w:rPr>
                <w:spacing w:val="-66"/>
                <w:w w:val="90"/>
                <w:sz w:val="18"/>
              </w:rPr>
              <w:t> </w:t>
            </w:r>
            <w:r>
              <w:rPr>
                <w:spacing w:val="-20"/>
                <w:w w:val="90"/>
                <w:sz w:val="18"/>
              </w:rPr>
              <w:t>57</w:t>
            </w:r>
          </w:p>
        </w:tc>
      </w:tr>
      <w:tr>
        <w:trPr>
          <w:trHeight w:val="204" w:hRule="exact"/>
        </w:trPr>
        <w:tc>
          <w:tcPr>
            <w:tcW w:w="993" w:type="dxa"/>
            <w:tcBorders>
              <w:top w:val="nil"/>
              <w:left w:val="nil"/>
              <w:bottom w:val="nil"/>
            </w:tcBorders>
          </w:tcPr>
          <w:p>
            <w:pPr>
              <w:pStyle w:val="TableParagraph"/>
              <w:spacing w:line="185" w:lineRule="exact"/>
              <w:ind w:left="410"/>
              <w:rPr>
                <w:rFonts w:ascii="Times New Roman"/>
                <w:sz w:val="18"/>
              </w:rPr>
            </w:pPr>
            <w:r>
              <w:rPr>
                <w:rFonts w:ascii="Times New Roman"/>
                <w:sz w:val="18"/>
              </w:rPr>
              <w:t>38</w:t>
            </w:r>
          </w:p>
        </w:tc>
        <w:tc>
          <w:tcPr>
            <w:tcW w:w="1634" w:type="dxa"/>
            <w:tcBorders>
              <w:top w:val="nil"/>
              <w:bottom w:val="nil"/>
            </w:tcBorders>
          </w:tcPr>
          <w:p>
            <w:pPr>
              <w:pStyle w:val="TableParagraph"/>
              <w:spacing w:line="200" w:lineRule="exact"/>
              <w:ind w:left="291" w:right="259"/>
              <w:jc w:val="center"/>
              <w:rPr>
                <w:sz w:val="18"/>
              </w:rPr>
            </w:pPr>
            <w:r>
              <w:rPr>
                <w:spacing w:val="-15"/>
                <w:w w:val="95"/>
                <w:sz w:val="18"/>
              </w:rPr>
              <w:t>386.826</w:t>
            </w:r>
            <w:r>
              <w:rPr>
                <w:spacing w:val="-75"/>
                <w:w w:val="95"/>
                <w:sz w:val="18"/>
              </w:rPr>
              <w:t> </w:t>
            </w:r>
            <w:r>
              <w:rPr>
                <w:spacing w:val="-17"/>
                <w:w w:val="95"/>
                <w:sz w:val="18"/>
              </w:rPr>
              <w:t>41</w:t>
            </w:r>
          </w:p>
        </w:tc>
        <w:tc>
          <w:tcPr>
            <w:tcW w:w="1552" w:type="dxa"/>
            <w:tcBorders>
              <w:top w:val="nil"/>
              <w:bottom w:val="nil"/>
            </w:tcBorders>
          </w:tcPr>
          <w:p>
            <w:pPr>
              <w:pStyle w:val="TableParagraph"/>
              <w:spacing w:line="203" w:lineRule="exact"/>
              <w:ind w:left="415"/>
              <w:rPr>
                <w:sz w:val="18"/>
              </w:rPr>
            </w:pPr>
            <w:r>
              <w:rPr>
                <w:spacing w:val="-14"/>
                <w:w w:val="90"/>
                <w:sz w:val="18"/>
              </w:rPr>
              <w:t>21.052 </w:t>
            </w:r>
            <w:r>
              <w:rPr>
                <w:w w:val="90"/>
                <w:sz w:val="18"/>
              </w:rPr>
              <w:t>29</w:t>
            </w:r>
          </w:p>
        </w:tc>
        <w:tc>
          <w:tcPr>
            <w:tcW w:w="1528" w:type="dxa"/>
            <w:tcBorders>
              <w:top w:val="nil"/>
              <w:bottom w:val="nil"/>
              <w:right w:val="nil"/>
            </w:tcBorders>
          </w:tcPr>
          <w:p>
            <w:pPr>
              <w:pStyle w:val="TableParagraph"/>
              <w:spacing w:line="200" w:lineRule="exact"/>
              <w:ind w:right="357"/>
              <w:jc w:val="right"/>
              <w:rPr>
                <w:sz w:val="18"/>
              </w:rPr>
            </w:pPr>
            <w:r>
              <w:rPr>
                <w:spacing w:val="-7"/>
                <w:w w:val="85"/>
                <w:sz w:val="18"/>
              </w:rPr>
              <w:t>18.248 </w:t>
            </w:r>
            <w:r>
              <w:rPr>
                <w:w w:val="85"/>
                <w:sz w:val="18"/>
              </w:rPr>
              <w:t>10</w:t>
            </w:r>
          </w:p>
        </w:tc>
      </w:tr>
      <w:tr>
        <w:trPr>
          <w:trHeight w:val="301" w:hRule="exact"/>
        </w:trPr>
        <w:tc>
          <w:tcPr>
            <w:tcW w:w="993" w:type="dxa"/>
            <w:tcBorders>
              <w:top w:val="nil"/>
              <w:left w:val="nil"/>
              <w:bottom w:val="nil"/>
            </w:tcBorders>
          </w:tcPr>
          <w:p>
            <w:pPr>
              <w:pStyle w:val="TableParagraph"/>
              <w:spacing w:line="194" w:lineRule="exact"/>
              <w:ind w:left="406"/>
              <w:rPr>
                <w:sz w:val="18"/>
              </w:rPr>
            </w:pPr>
            <w:r>
              <w:rPr>
                <w:w w:val="105"/>
                <w:sz w:val="18"/>
              </w:rPr>
              <w:t>39</w:t>
            </w:r>
          </w:p>
        </w:tc>
        <w:tc>
          <w:tcPr>
            <w:tcW w:w="1634" w:type="dxa"/>
            <w:tcBorders>
              <w:top w:val="nil"/>
              <w:bottom w:val="nil"/>
            </w:tcBorders>
          </w:tcPr>
          <w:p>
            <w:pPr>
              <w:pStyle w:val="TableParagraph"/>
              <w:spacing w:line="197" w:lineRule="exact"/>
              <w:ind w:left="291" w:right="259"/>
              <w:jc w:val="center"/>
              <w:rPr>
                <w:sz w:val="18"/>
              </w:rPr>
            </w:pPr>
            <w:r>
              <w:rPr>
                <w:w w:val="90"/>
                <w:sz w:val="18"/>
              </w:rPr>
              <w:t>396.615 03</w:t>
            </w:r>
          </w:p>
        </w:tc>
        <w:tc>
          <w:tcPr>
            <w:tcW w:w="1552" w:type="dxa"/>
            <w:tcBorders>
              <w:top w:val="nil"/>
              <w:bottom w:val="nil"/>
            </w:tcBorders>
          </w:tcPr>
          <w:p>
            <w:pPr>
              <w:pStyle w:val="TableParagraph"/>
              <w:spacing w:line="201" w:lineRule="exact"/>
              <w:ind w:left="309" w:right="282"/>
              <w:jc w:val="center"/>
              <w:rPr>
                <w:sz w:val="18"/>
              </w:rPr>
            </w:pPr>
            <w:r>
              <w:rPr>
                <w:spacing w:val="-13"/>
                <w:w w:val="90"/>
                <w:sz w:val="18"/>
              </w:rPr>
              <w:t>20.716 </w:t>
            </w:r>
            <w:r>
              <w:rPr>
                <w:w w:val="90"/>
                <w:sz w:val="18"/>
              </w:rPr>
              <w:t>22</w:t>
            </w:r>
          </w:p>
        </w:tc>
        <w:tc>
          <w:tcPr>
            <w:tcW w:w="1528" w:type="dxa"/>
            <w:tcBorders>
              <w:top w:val="nil"/>
              <w:bottom w:val="nil"/>
              <w:right w:val="nil"/>
            </w:tcBorders>
          </w:tcPr>
          <w:p>
            <w:pPr>
              <w:pStyle w:val="TableParagraph"/>
              <w:spacing w:line="201" w:lineRule="exact"/>
              <w:ind w:right="362"/>
              <w:jc w:val="right"/>
              <w:rPr>
                <w:sz w:val="18"/>
              </w:rPr>
            </w:pPr>
            <w:r>
              <w:rPr>
                <w:spacing w:val="-12"/>
                <w:w w:val="90"/>
                <w:sz w:val="18"/>
              </w:rPr>
              <w:t>17.872</w:t>
            </w:r>
            <w:r>
              <w:rPr>
                <w:spacing w:val="-74"/>
                <w:w w:val="90"/>
                <w:sz w:val="18"/>
              </w:rPr>
              <w:t> </w:t>
            </w:r>
            <w:r>
              <w:rPr>
                <w:w w:val="90"/>
                <w:sz w:val="18"/>
              </w:rPr>
              <w:t>96</w:t>
            </w:r>
          </w:p>
        </w:tc>
      </w:tr>
      <w:tr>
        <w:trPr>
          <w:trHeight w:val="302" w:hRule="exact"/>
        </w:trPr>
        <w:tc>
          <w:tcPr>
            <w:tcW w:w="993" w:type="dxa"/>
            <w:tcBorders>
              <w:top w:val="nil"/>
              <w:left w:val="nil"/>
              <w:bottom w:val="nil"/>
            </w:tcBorders>
          </w:tcPr>
          <w:p>
            <w:pPr>
              <w:pStyle w:val="TableParagraph"/>
              <w:spacing w:before="92"/>
              <w:ind w:left="403"/>
              <w:rPr>
                <w:sz w:val="18"/>
              </w:rPr>
            </w:pPr>
            <w:r>
              <w:rPr>
                <w:w w:val="95"/>
                <w:sz w:val="18"/>
              </w:rPr>
              <w:t>40</w:t>
            </w:r>
          </w:p>
        </w:tc>
        <w:tc>
          <w:tcPr>
            <w:tcW w:w="1634" w:type="dxa"/>
            <w:tcBorders>
              <w:top w:val="nil"/>
              <w:bottom w:val="nil"/>
            </w:tcBorders>
          </w:tcPr>
          <w:p>
            <w:pPr>
              <w:pStyle w:val="TableParagraph"/>
              <w:spacing w:before="88"/>
              <w:ind w:left="411"/>
              <w:rPr>
                <w:sz w:val="18"/>
              </w:rPr>
            </w:pPr>
            <w:r>
              <w:rPr>
                <w:w w:val="85"/>
                <w:sz w:val="18"/>
              </w:rPr>
              <w:t>406.584</w:t>
            </w:r>
            <w:r>
              <w:rPr>
                <w:spacing w:val="-69"/>
                <w:w w:val="85"/>
                <w:sz w:val="18"/>
              </w:rPr>
              <w:t> </w:t>
            </w:r>
            <w:r>
              <w:rPr>
                <w:spacing w:val="-16"/>
                <w:w w:val="85"/>
                <w:sz w:val="18"/>
              </w:rPr>
              <w:t>91</w:t>
            </w:r>
          </w:p>
        </w:tc>
        <w:tc>
          <w:tcPr>
            <w:tcW w:w="1552" w:type="dxa"/>
            <w:tcBorders>
              <w:top w:val="nil"/>
              <w:bottom w:val="nil"/>
            </w:tcBorders>
          </w:tcPr>
          <w:p>
            <w:pPr>
              <w:pStyle w:val="TableParagraph"/>
              <w:spacing w:before="99"/>
              <w:ind w:left="419"/>
              <w:rPr>
                <w:sz w:val="18"/>
              </w:rPr>
            </w:pPr>
            <w:r>
              <w:rPr>
                <w:spacing w:val="-19"/>
                <w:sz w:val="18"/>
              </w:rPr>
              <w:t>20.373</w:t>
            </w:r>
            <w:r>
              <w:rPr>
                <w:spacing w:val="-89"/>
                <w:sz w:val="18"/>
              </w:rPr>
              <w:t> </w:t>
            </w:r>
            <w:r>
              <w:rPr>
                <w:spacing w:val="-16"/>
                <w:sz w:val="18"/>
              </w:rPr>
              <w:t>92</w:t>
            </w:r>
          </w:p>
        </w:tc>
        <w:tc>
          <w:tcPr>
            <w:tcW w:w="1528" w:type="dxa"/>
            <w:tcBorders>
              <w:top w:val="nil"/>
              <w:bottom w:val="nil"/>
              <w:right w:val="nil"/>
            </w:tcBorders>
          </w:tcPr>
          <w:p>
            <w:pPr>
              <w:pStyle w:val="TableParagraph"/>
              <w:spacing w:before="99"/>
              <w:ind w:right="354"/>
              <w:jc w:val="right"/>
              <w:rPr>
                <w:sz w:val="18"/>
              </w:rPr>
            </w:pPr>
            <w:r>
              <w:rPr>
                <w:spacing w:val="-14"/>
                <w:w w:val="90"/>
                <w:sz w:val="18"/>
              </w:rPr>
              <w:t>17.492 </w:t>
            </w:r>
            <w:r>
              <w:rPr>
                <w:w w:val="90"/>
                <w:sz w:val="18"/>
              </w:rPr>
              <w:t>68</w:t>
            </w:r>
          </w:p>
        </w:tc>
      </w:tr>
      <w:tr>
        <w:trPr>
          <w:trHeight w:val="195" w:hRule="exact"/>
        </w:trPr>
        <w:tc>
          <w:tcPr>
            <w:tcW w:w="993" w:type="dxa"/>
            <w:tcBorders>
              <w:top w:val="nil"/>
              <w:left w:val="nil"/>
              <w:bottom w:val="nil"/>
            </w:tcBorders>
          </w:tcPr>
          <w:p>
            <w:pPr>
              <w:pStyle w:val="TableParagraph"/>
              <w:spacing w:line="192" w:lineRule="exact"/>
              <w:ind w:left="403"/>
              <w:rPr>
                <w:sz w:val="18"/>
              </w:rPr>
            </w:pPr>
            <w:r>
              <w:rPr>
                <w:sz w:val="18"/>
              </w:rPr>
              <w:t>41</w:t>
            </w:r>
          </w:p>
        </w:tc>
        <w:tc>
          <w:tcPr>
            <w:tcW w:w="1634" w:type="dxa"/>
            <w:tcBorders>
              <w:top w:val="nil"/>
              <w:bottom w:val="nil"/>
            </w:tcBorders>
          </w:tcPr>
          <w:p>
            <w:pPr>
              <w:pStyle w:val="TableParagraph"/>
              <w:spacing w:line="192" w:lineRule="exact"/>
              <w:ind w:left="291" w:right="234"/>
              <w:jc w:val="center"/>
              <w:rPr>
                <w:sz w:val="18"/>
              </w:rPr>
            </w:pPr>
            <w:r>
              <w:rPr>
                <w:spacing w:val="-8"/>
                <w:w w:val="95"/>
                <w:sz w:val="18"/>
              </w:rPr>
              <w:t>416.723</w:t>
            </w:r>
            <w:r>
              <w:rPr>
                <w:spacing w:val="-79"/>
                <w:w w:val="95"/>
                <w:sz w:val="18"/>
              </w:rPr>
              <w:t> </w:t>
            </w:r>
            <w:r>
              <w:rPr>
                <w:spacing w:val="-23"/>
                <w:w w:val="95"/>
                <w:sz w:val="18"/>
              </w:rPr>
              <w:t>48</w:t>
            </w:r>
          </w:p>
        </w:tc>
        <w:tc>
          <w:tcPr>
            <w:tcW w:w="1552" w:type="dxa"/>
            <w:tcBorders>
              <w:top w:val="nil"/>
              <w:bottom w:val="nil"/>
            </w:tcBorders>
          </w:tcPr>
          <w:p>
            <w:pPr>
              <w:pStyle w:val="TableParagraph"/>
              <w:spacing w:line="182" w:lineRule="exact"/>
              <w:ind w:left="415"/>
              <w:rPr>
                <w:rFonts w:ascii="Times New Roman"/>
                <w:sz w:val="17"/>
              </w:rPr>
            </w:pPr>
            <w:r>
              <w:rPr>
                <w:rFonts w:ascii="Times New Roman"/>
                <w:w w:val="105"/>
                <w:sz w:val="17"/>
              </w:rPr>
              <w:t>20.025 83</w:t>
            </w:r>
          </w:p>
        </w:tc>
        <w:tc>
          <w:tcPr>
            <w:tcW w:w="1528" w:type="dxa"/>
            <w:tcBorders>
              <w:top w:val="nil"/>
              <w:bottom w:val="nil"/>
              <w:right w:val="nil"/>
            </w:tcBorders>
          </w:tcPr>
          <w:p>
            <w:pPr>
              <w:pStyle w:val="TableParagraph"/>
              <w:spacing w:line="203" w:lineRule="exact"/>
              <w:ind w:right="350"/>
              <w:jc w:val="right"/>
              <w:rPr>
                <w:sz w:val="18"/>
              </w:rPr>
            </w:pPr>
            <w:r>
              <w:rPr>
                <w:w w:val="95"/>
                <w:sz w:val="18"/>
              </w:rPr>
              <w:t>17.108 07</w:t>
            </w:r>
          </w:p>
        </w:tc>
      </w:tr>
      <w:tr>
        <w:trPr>
          <w:trHeight w:val="207" w:hRule="exact"/>
        </w:trPr>
        <w:tc>
          <w:tcPr>
            <w:tcW w:w="993" w:type="dxa"/>
            <w:tcBorders>
              <w:top w:val="nil"/>
              <w:left w:val="nil"/>
              <w:bottom w:val="nil"/>
            </w:tcBorders>
          </w:tcPr>
          <w:p>
            <w:pPr>
              <w:pStyle w:val="TableParagraph"/>
              <w:spacing w:line="183" w:lineRule="exact"/>
              <w:ind w:left="399"/>
              <w:rPr>
                <w:rFonts w:ascii="Times New Roman"/>
                <w:sz w:val="18"/>
              </w:rPr>
            </w:pPr>
            <w:r>
              <w:rPr>
                <w:rFonts w:ascii="Times New Roman"/>
                <w:sz w:val="18"/>
              </w:rPr>
              <w:t>42</w:t>
            </w:r>
          </w:p>
        </w:tc>
        <w:tc>
          <w:tcPr>
            <w:tcW w:w="1634" w:type="dxa"/>
            <w:tcBorders>
              <w:top w:val="nil"/>
              <w:bottom w:val="nil"/>
            </w:tcBorders>
          </w:tcPr>
          <w:p>
            <w:pPr>
              <w:pStyle w:val="TableParagraph"/>
              <w:spacing w:line="198" w:lineRule="exact"/>
              <w:ind w:left="291" w:right="251"/>
              <w:jc w:val="center"/>
              <w:rPr>
                <w:sz w:val="18"/>
              </w:rPr>
            </w:pPr>
            <w:r>
              <w:rPr>
                <w:spacing w:val="-9"/>
                <w:w w:val="90"/>
                <w:sz w:val="18"/>
              </w:rPr>
              <w:t>4Z7.024</w:t>
            </w:r>
            <w:r>
              <w:rPr>
                <w:spacing w:val="-73"/>
                <w:w w:val="90"/>
                <w:sz w:val="18"/>
              </w:rPr>
              <w:t> </w:t>
            </w:r>
            <w:r>
              <w:rPr>
                <w:w w:val="90"/>
                <w:sz w:val="18"/>
              </w:rPr>
              <w:t>94</w:t>
            </w:r>
          </w:p>
        </w:tc>
        <w:tc>
          <w:tcPr>
            <w:tcW w:w="1552" w:type="dxa"/>
            <w:tcBorders>
              <w:top w:val="nil"/>
              <w:bottom w:val="nil"/>
            </w:tcBorders>
          </w:tcPr>
          <w:p>
            <w:pPr>
              <w:pStyle w:val="TableParagraph"/>
              <w:spacing w:line="202" w:lineRule="exact"/>
              <w:ind w:left="320" w:right="282"/>
              <w:jc w:val="center"/>
              <w:rPr>
                <w:sz w:val="18"/>
              </w:rPr>
            </w:pPr>
            <w:r>
              <w:rPr>
                <w:spacing w:val="-22"/>
                <w:w w:val="95"/>
                <w:sz w:val="18"/>
              </w:rPr>
              <w:t>19.672</w:t>
            </w:r>
            <w:r>
              <w:rPr>
                <w:spacing w:val="-72"/>
                <w:w w:val="95"/>
                <w:sz w:val="18"/>
              </w:rPr>
              <w:t> </w:t>
            </w:r>
            <w:r>
              <w:rPr>
                <w:w w:val="95"/>
                <w:sz w:val="18"/>
              </w:rPr>
              <w:t>14</w:t>
            </w:r>
          </w:p>
        </w:tc>
        <w:tc>
          <w:tcPr>
            <w:tcW w:w="1528" w:type="dxa"/>
            <w:tcBorders>
              <w:top w:val="nil"/>
              <w:bottom w:val="nil"/>
              <w:right w:val="nil"/>
            </w:tcBorders>
          </w:tcPr>
          <w:p>
            <w:pPr>
              <w:pStyle w:val="TableParagraph"/>
              <w:spacing w:before="5"/>
              <w:ind w:right="366"/>
              <w:jc w:val="right"/>
              <w:rPr>
                <w:sz w:val="18"/>
              </w:rPr>
            </w:pPr>
            <w:r>
              <w:rPr>
                <w:spacing w:val="-4"/>
                <w:w w:val="85"/>
                <w:sz w:val="18"/>
              </w:rPr>
              <w:t>16.719</w:t>
            </w:r>
            <w:r>
              <w:rPr>
                <w:spacing w:val="-75"/>
                <w:w w:val="85"/>
                <w:sz w:val="18"/>
              </w:rPr>
              <w:t> </w:t>
            </w:r>
            <w:r>
              <w:rPr>
                <w:w w:val="85"/>
                <w:sz w:val="18"/>
              </w:rPr>
              <w:t>55</w:t>
            </w:r>
          </w:p>
        </w:tc>
      </w:tr>
      <w:tr>
        <w:trPr>
          <w:trHeight w:val="196" w:hRule="exact"/>
        </w:trPr>
        <w:tc>
          <w:tcPr>
            <w:tcW w:w="993" w:type="dxa"/>
            <w:tcBorders>
              <w:top w:val="nil"/>
              <w:left w:val="nil"/>
              <w:bottom w:val="nil"/>
            </w:tcBorders>
          </w:tcPr>
          <w:p>
            <w:pPr>
              <w:pStyle w:val="TableParagraph"/>
              <w:spacing w:line="179" w:lineRule="exact"/>
              <w:ind w:left="395"/>
              <w:rPr>
                <w:rFonts w:ascii="Times New Roman"/>
                <w:sz w:val="17"/>
              </w:rPr>
            </w:pPr>
            <w:r>
              <w:rPr>
                <w:rFonts w:ascii="Times New Roman"/>
                <w:sz w:val="17"/>
              </w:rPr>
              <w:t>43</w:t>
            </w:r>
          </w:p>
        </w:tc>
        <w:tc>
          <w:tcPr>
            <w:tcW w:w="1634" w:type="dxa"/>
            <w:tcBorders>
              <w:top w:val="nil"/>
              <w:bottom w:val="nil"/>
            </w:tcBorders>
          </w:tcPr>
          <w:p>
            <w:pPr>
              <w:pStyle w:val="TableParagraph"/>
              <w:spacing w:line="192" w:lineRule="exact"/>
              <w:ind w:left="411"/>
              <w:rPr>
                <w:sz w:val="18"/>
              </w:rPr>
            </w:pPr>
            <w:r>
              <w:rPr>
                <w:spacing w:val="-13"/>
                <w:w w:val="95"/>
                <w:sz w:val="18"/>
              </w:rPr>
              <w:t>437.490</w:t>
            </w:r>
            <w:r>
              <w:rPr>
                <w:spacing w:val="-77"/>
                <w:w w:val="95"/>
                <w:sz w:val="18"/>
              </w:rPr>
              <w:t> </w:t>
            </w:r>
            <w:r>
              <w:rPr>
                <w:spacing w:val="-18"/>
                <w:w w:val="95"/>
                <w:sz w:val="18"/>
              </w:rPr>
              <w:t>01</w:t>
            </w:r>
          </w:p>
        </w:tc>
        <w:tc>
          <w:tcPr>
            <w:tcW w:w="1552" w:type="dxa"/>
            <w:tcBorders>
              <w:top w:val="nil"/>
              <w:bottom w:val="nil"/>
            </w:tcBorders>
          </w:tcPr>
          <w:p>
            <w:pPr>
              <w:pStyle w:val="TableParagraph"/>
              <w:spacing w:line="192" w:lineRule="exact"/>
              <w:ind w:left="426"/>
              <w:rPr>
                <w:sz w:val="18"/>
              </w:rPr>
            </w:pPr>
            <w:r>
              <w:rPr>
                <w:w w:val="80"/>
                <w:sz w:val="18"/>
              </w:rPr>
              <w:t>19.312</w:t>
            </w:r>
            <w:r>
              <w:rPr>
                <w:spacing w:val="-52"/>
                <w:w w:val="80"/>
                <w:sz w:val="18"/>
              </w:rPr>
              <w:t> </w:t>
            </w:r>
            <w:r>
              <w:rPr>
                <w:w w:val="80"/>
                <w:sz w:val="18"/>
              </w:rPr>
              <w:t>84</w:t>
            </w:r>
          </w:p>
        </w:tc>
        <w:tc>
          <w:tcPr>
            <w:tcW w:w="1528" w:type="dxa"/>
            <w:tcBorders>
              <w:top w:val="nil"/>
              <w:bottom w:val="nil"/>
              <w:right w:val="nil"/>
            </w:tcBorders>
          </w:tcPr>
          <w:p>
            <w:pPr>
              <w:pStyle w:val="TableParagraph"/>
              <w:spacing w:line="203" w:lineRule="exact"/>
              <w:ind w:right="354"/>
              <w:jc w:val="right"/>
              <w:rPr>
                <w:sz w:val="18"/>
              </w:rPr>
            </w:pPr>
            <w:r>
              <w:rPr>
                <w:w w:val="95"/>
                <w:sz w:val="18"/>
              </w:rPr>
              <w:t>16.326 98</w:t>
            </w:r>
          </w:p>
        </w:tc>
      </w:tr>
      <w:tr>
        <w:trPr>
          <w:trHeight w:val="303" w:hRule="exact"/>
        </w:trPr>
        <w:tc>
          <w:tcPr>
            <w:tcW w:w="993" w:type="dxa"/>
            <w:tcBorders>
              <w:top w:val="nil"/>
              <w:left w:val="nil"/>
              <w:bottom w:val="nil"/>
            </w:tcBorders>
          </w:tcPr>
          <w:p>
            <w:pPr>
              <w:pStyle w:val="TableParagraph"/>
              <w:spacing w:line="183" w:lineRule="exact"/>
              <w:ind w:left="395"/>
              <w:rPr>
                <w:rFonts w:ascii="Times New Roman"/>
                <w:sz w:val="18"/>
              </w:rPr>
            </w:pPr>
            <w:r>
              <w:rPr>
                <w:rFonts w:ascii="Times New Roman"/>
                <w:sz w:val="18"/>
              </w:rPr>
              <w:t>44</w:t>
            </w:r>
          </w:p>
        </w:tc>
        <w:tc>
          <w:tcPr>
            <w:tcW w:w="1634" w:type="dxa"/>
            <w:tcBorders>
              <w:top w:val="nil"/>
              <w:bottom w:val="nil"/>
            </w:tcBorders>
          </w:tcPr>
          <w:p>
            <w:pPr>
              <w:pStyle w:val="TableParagraph"/>
              <w:spacing w:line="198" w:lineRule="exact"/>
              <w:ind w:left="414"/>
              <w:rPr>
                <w:sz w:val="18"/>
              </w:rPr>
            </w:pPr>
            <w:r>
              <w:rPr>
                <w:spacing w:val="-7"/>
                <w:w w:val="90"/>
                <w:sz w:val="18"/>
              </w:rPr>
              <w:t>448.114</w:t>
            </w:r>
            <w:r>
              <w:rPr>
                <w:spacing w:val="-60"/>
                <w:w w:val="90"/>
                <w:sz w:val="18"/>
              </w:rPr>
              <w:t> </w:t>
            </w:r>
            <w:r>
              <w:rPr>
                <w:spacing w:val="-15"/>
                <w:w w:val="90"/>
                <w:sz w:val="18"/>
              </w:rPr>
              <w:t>68</w:t>
            </w:r>
          </w:p>
        </w:tc>
        <w:tc>
          <w:tcPr>
            <w:tcW w:w="1552" w:type="dxa"/>
            <w:tcBorders>
              <w:top w:val="nil"/>
              <w:bottom w:val="nil"/>
            </w:tcBorders>
          </w:tcPr>
          <w:p>
            <w:pPr>
              <w:pStyle w:val="TableParagraph"/>
              <w:spacing w:line="198" w:lineRule="exact"/>
              <w:ind w:left="330" w:right="281"/>
              <w:jc w:val="center"/>
              <w:rPr>
                <w:sz w:val="18"/>
              </w:rPr>
            </w:pPr>
            <w:r>
              <w:rPr>
                <w:w w:val="85"/>
                <w:sz w:val="18"/>
              </w:rPr>
              <w:t>18.948 06</w:t>
            </w:r>
          </w:p>
        </w:tc>
        <w:tc>
          <w:tcPr>
            <w:tcW w:w="1528" w:type="dxa"/>
            <w:tcBorders>
              <w:top w:val="nil"/>
              <w:bottom w:val="nil"/>
              <w:right w:val="nil"/>
            </w:tcBorders>
          </w:tcPr>
          <w:p>
            <w:pPr>
              <w:pStyle w:val="TableParagraph"/>
              <w:spacing w:before="1"/>
              <w:ind w:right="362"/>
              <w:jc w:val="right"/>
              <w:rPr>
                <w:sz w:val="18"/>
              </w:rPr>
            </w:pPr>
            <w:r>
              <w:rPr>
                <w:spacing w:val="-15"/>
                <w:w w:val="90"/>
                <w:sz w:val="18"/>
              </w:rPr>
              <w:t>15.930 </w:t>
            </w:r>
            <w:r>
              <w:rPr>
                <w:w w:val="90"/>
                <w:sz w:val="18"/>
              </w:rPr>
              <w:t>80</w:t>
            </w:r>
          </w:p>
        </w:tc>
      </w:tr>
      <w:tr>
        <w:trPr>
          <w:trHeight w:val="297" w:hRule="exact"/>
        </w:trPr>
        <w:tc>
          <w:tcPr>
            <w:tcW w:w="993" w:type="dxa"/>
            <w:tcBorders>
              <w:top w:val="nil"/>
              <w:left w:val="nil"/>
              <w:bottom w:val="nil"/>
            </w:tcBorders>
          </w:tcPr>
          <w:p>
            <w:pPr>
              <w:pStyle w:val="TableParagraph"/>
              <w:spacing w:before="82"/>
              <w:ind w:left="395"/>
              <w:rPr>
                <w:rFonts w:ascii="Times New Roman"/>
                <w:sz w:val="17"/>
              </w:rPr>
            </w:pPr>
            <w:r>
              <w:rPr>
                <w:rFonts w:ascii="Times New Roman"/>
                <w:w w:val="105"/>
                <w:sz w:val="17"/>
              </w:rPr>
              <w:t>45</w:t>
            </w:r>
          </w:p>
        </w:tc>
        <w:tc>
          <w:tcPr>
            <w:tcW w:w="1634" w:type="dxa"/>
            <w:tcBorders>
              <w:top w:val="nil"/>
              <w:bottom w:val="nil"/>
            </w:tcBorders>
          </w:tcPr>
          <w:p>
            <w:pPr>
              <w:pStyle w:val="TableParagraph"/>
              <w:spacing w:before="91"/>
              <w:ind w:left="291" w:right="260"/>
              <w:jc w:val="center"/>
              <w:rPr>
                <w:sz w:val="18"/>
              </w:rPr>
            </w:pPr>
            <w:r>
              <w:rPr>
                <w:w w:val="95"/>
                <w:sz w:val="18"/>
              </w:rPr>
              <w:t>458.895 91</w:t>
            </w:r>
          </w:p>
        </w:tc>
        <w:tc>
          <w:tcPr>
            <w:tcW w:w="1552" w:type="dxa"/>
            <w:tcBorders>
              <w:top w:val="nil"/>
              <w:bottom w:val="nil"/>
            </w:tcBorders>
          </w:tcPr>
          <w:p>
            <w:pPr>
              <w:pStyle w:val="TableParagraph"/>
              <w:spacing w:before="91"/>
              <w:ind w:left="426"/>
              <w:rPr>
                <w:sz w:val="18"/>
              </w:rPr>
            </w:pPr>
            <w:r>
              <w:rPr>
                <w:spacing w:val="-14"/>
                <w:w w:val="90"/>
                <w:sz w:val="18"/>
              </w:rPr>
              <w:t>18.577</w:t>
            </w:r>
            <w:r>
              <w:rPr>
                <w:spacing w:val="-70"/>
                <w:w w:val="90"/>
                <w:sz w:val="18"/>
              </w:rPr>
              <w:t> </w:t>
            </w:r>
            <w:r>
              <w:rPr>
                <w:w w:val="90"/>
                <w:sz w:val="18"/>
              </w:rPr>
              <w:t>91</w:t>
            </w:r>
          </w:p>
        </w:tc>
        <w:tc>
          <w:tcPr>
            <w:tcW w:w="1528" w:type="dxa"/>
            <w:tcBorders>
              <w:top w:val="nil"/>
              <w:bottom w:val="nil"/>
              <w:right w:val="nil"/>
            </w:tcBorders>
          </w:tcPr>
          <w:p>
            <w:pPr>
              <w:pStyle w:val="TableParagraph"/>
              <w:spacing w:before="94"/>
              <w:ind w:right="371"/>
              <w:jc w:val="right"/>
              <w:rPr>
                <w:sz w:val="18"/>
              </w:rPr>
            </w:pPr>
            <w:r>
              <w:rPr>
                <w:w w:val="80"/>
                <w:sz w:val="18"/>
              </w:rPr>
              <w:t>15.531</w:t>
            </w:r>
            <w:r>
              <w:rPr>
                <w:spacing w:val="-61"/>
                <w:w w:val="80"/>
                <w:sz w:val="18"/>
              </w:rPr>
              <w:t> </w:t>
            </w:r>
            <w:r>
              <w:rPr>
                <w:w w:val="80"/>
                <w:sz w:val="18"/>
              </w:rPr>
              <w:t>24</w:t>
            </w:r>
          </w:p>
        </w:tc>
      </w:tr>
      <w:tr>
        <w:trPr>
          <w:trHeight w:val="204" w:hRule="exact"/>
        </w:trPr>
        <w:tc>
          <w:tcPr>
            <w:tcW w:w="993" w:type="dxa"/>
            <w:tcBorders>
              <w:top w:val="nil"/>
              <w:left w:val="nil"/>
              <w:bottom w:val="nil"/>
            </w:tcBorders>
          </w:tcPr>
          <w:p>
            <w:pPr>
              <w:pStyle w:val="TableParagraph"/>
              <w:spacing w:line="188" w:lineRule="exact"/>
              <w:ind w:left="395"/>
              <w:rPr>
                <w:rFonts w:ascii="Times New Roman"/>
                <w:sz w:val="18"/>
              </w:rPr>
            </w:pPr>
            <w:r>
              <w:rPr>
                <w:rFonts w:ascii="Times New Roman"/>
                <w:sz w:val="18"/>
              </w:rPr>
              <w:t>46</w:t>
            </w:r>
          </w:p>
        </w:tc>
        <w:tc>
          <w:tcPr>
            <w:tcW w:w="1634" w:type="dxa"/>
            <w:tcBorders>
              <w:top w:val="nil"/>
              <w:bottom w:val="nil"/>
            </w:tcBorders>
          </w:tcPr>
          <w:p>
            <w:pPr>
              <w:pStyle w:val="TableParagraph"/>
              <w:spacing w:line="200" w:lineRule="exact"/>
              <w:ind w:left="291" w:right="254"/>
              <w:jc w:val="center"/>
              <w:rPr>
                <w:sz w:val="18"/>
              </w:rPr>
            </w:pPr>
            <w:r>
              <w:rPr>
                <w:w w:val="90"/>
                <w:sz w:val="18"/>
              </w:rPr>
              <w:t>469.826 35</w:t>
            </w:r>
          </w:p>
        </w:tc>
        <w:tc>
          <w:tcPr>
            <w:tcW w:w="1552" w:type="dxa"/>
            <w:tcBorders>
              <w:top w:val="nil"/>
              <w:bottom w:val="nil"/>
            </w:tcBorders>
          </w:tcPr>
          <w:p>
            <w:pPr>
              <w:pStyle w:val="TableParagraph"/>
              <w:spacing w:line="200" w:lineRule="exact"/>
              <w:ind w:left="426"/>
              <w:rPr>
                <w:sz w:val="18"/>
              </w:rPr>
            </w:pPr>
            <w:r>
              <w:rPr>
                <w:spacing w:val="-7"/>
                <w:w w:val="90"/>
                <w:sz w:val="18"/>
              </w:rPr>
              <w:t>18.202</w:t>
            </w:r>
            <w:r>
              <w:rPr>
                <w:spacing w:val="-71"/>
                <w:w w:val="90"/>
                <w:sz w:val="18"/>
              </w:rPr>
              <w:t> </w:t>
            </w:r>
            <w:r>
              <w:rPr>
                <w:spacing w:val="-17"/>
                <w:w w:val="90"/>
                <w:sz w:val="18"/>
              </w:rPr>
              <w:t>63</w:t>
            </w:r>
          </w:p>
        </w:tc>
        <w:tc>
          <w:tcPr>
            <w:tcW w:w="1528" w:type="dxa"/>
            <w:tcBorders>
              <w:top w:val="nil"/>
              <w:bottom w:val="nil"/>
              <w:right w:val="nil"/>
            </w:tcBorders>
          </w:tcPr>
          <w:p>
            <w:pPr>
              <w:pStyle w:val="TableParagraph"/>
              <w:spacing w:line="203" w:lineRule="exact"/>
              <w:ind w:right="354"/>
              <w:jc w:val="right"/>
              <w:rPr>
                <w:sz w:val="18"/>
              </w:rPr>
            </w:pPr>
            <w:r>
              <w:rPr>
                <w:w w:val="80"/>
                <w:sz w:val="18"/>
              </w:rPr>
              <w:t>15.128 60</w:t>
            </w:r>
          </w:p>
        </w:tc>
      </w:tr>
      <w:tr>
        <w:trPr>
          <w:trHeight w:val="200" w:hRule="exact"/>
        </w:trPr>
        <w:tc>
          <w:tcPr>
            <w:tcW w:w="993" w:type="dxa"/>
            <w:tcBorders>
              <w:top w:val="nil"/>
              <w:left w:val="nil"/>
              <w:bottom w:val="nil"/>
            </w:tcBorders>
          </w:tcPr>
          <w:p>
            <w:pPr>
              <w:pStyle w:val="TableParagraph"/>
              <w:spacing w:line="194" w:lineRule="exact"/>
              <w:ind w:left="403"/>
              <w:rPr>
                <w:sz w:val="18"/>
              </w:rPr>
            </w:pPr>
            <w:r>
              <w:rPr>
                <w:w w:val="110"/>
                <w:sz w:val="18"/>
              </w:rPr>
              <w:t>47</w:t>
            </w:r>
          </w:p>
        </w:tc>
        <w:tc>
          <w:tcPr>
            <w:tcW w:w="1634" w:type="dxa"/>
            <w:tcBorders>
              <w:top w:val="nil"/>
              <w:bottom w:val="nil"/>
            </w:tcBorders>
          </w:tcPr>
          <w:p>
            <w:pPr>
              <w:pStyle w:val="TableParagraph"/>
              <w:spacing w:line="194" w:lineRule="exact"/>
              <w:ind w:left="291" w:right="243"/>
              <w:jc w:val="center"/>
              <w:rPr>
                <w:sz w:val="18"/>
              </w:rPr>
            </w:pPr>
            <w:r>
              <w:rPr>
                <w:w w:val="85"/>
                <w:sz w:val="18"/>
              </w:rPr>
              <w:t>480.894 80</w:t>
            </w:r>
          </w:p>
        </w:tc>
        <w:tc>
          <w:tcPr>
            <w:tcW w:w="1552" w:type="dxa"/>
            <w:tcBorders>
              <w:top w:val="nil"/>
              <w:bottom w:val="nil"/>
            </w:tcBorders>
          </w:tcPr>
          <w:p>
            <w:pPr>
              <w:pStyle w:val="TableParagraph"/>
              <w:spacing w:line="197" w:lineRule="exact"/>
              <w:ind w:left="326" w:right="282"/>
              <w:jc w:val="center"/>
              <w:rPr>
                <w:sz w:val="18"/>
              </w:rPr>
            </w:pPr>
            <w:r>
              <w:rPr>
                <w:w w:val="90"/>
                <w:sz w:val="18"/>
              </w:rPr>
              <w:t>17.822 61</w:t>
            </w:r>
          </w:p>
        </w:tc>
        <w:tc>
          <w:tcPr>
            <w:tcW w:w="1528" w:type="dxa"/>
            <w:tcBorders>
              <w:top w:val="nil"/>
              <w:bottom w:val="nil"/>
              <w:right w:val="nil"/>
            </w:tcBorders>
          </w:tcPr>
          <w:p>
            <w:pPr>
              <w:pStyle w:val="TableParagraph"/>
              <w:spacing w:line="197" w:lineRule="exact"/>
              <w:ind w:right="341"/>
              <w:jc w:val="right"/>
              <w:rPr>
                <w:sz w:val="18"/>
              </w:rPr>
            </w:pPr>
            <w:r>
              <w:rPr>
                <w:spacing w:val="-19"/>
                <w:sz w:val="18"/>
              </w:rPr>
              <w:t>14.723</w:t>
            </w:r>
            <w:r>
              <w:rPr>
                <w:spacing w:val="-74"/>
                <w:sz w:val="18"/>
              </w:rPr>
              <w:t> </w:t>
            </w:r>
            <w:r>
              <w:rPr>
                <w:spacing w:val="-19"/>
                <w:sz w:val="18"/>
              </w:rPr>
              <w:t>70</w:t>
            </w:r>
          </w:p>
        </w:tc>
      </w:tr>
      <w:tr>
        <w:trPr>
          <w:trHeight w:val="202" w:hRule="exact"/>
        </w:trPr>
        <w:tc>
          <w:tcPr>
            <w:tcW w:w="993" w:type="dxa"/>
            <w:tcBorders>
              <w:top w:val="nil"/>
              <w:left w:val="nil"/>
              <w:bottom w:val="nil"/>
              <w:right w:val="single" w:sz="7" w:space="0" w:color="000000"/>
            </w:tcBorders>
          </w:tcPr>
          <w:p>
            <w:pPr>
              <w:pStyle w:val="TableParagraph"/>
              <w:spacing w:line="195" w:lineRule="exact"/>
              <w:ind w:left="399"/>
              <w:rPr>
                <w:sz w:val="18"/>
              </w:rPr>
            </w:pPr>
            <w:r>
              <w:rPr>
                <w:w w:val="115"/>
                <w:sz w:val="18"/>
              </w:rPr>
              <w:t>48</w:t>
            </w:r>
          </w:p>
        </w:tc>
        <w:tc>
          <w:tcPr>
            <w:tcW w:w="1634" w:type="dxa"/>
            <w:tcBorders>
              <w:top w:val="nil"/>
              <w:left w:val="single" w:sz="7" w:space="0" w:color="000000"/>
              <w:bottom w:val="nil"/>
            </w:tcBorders>
          </w:tcPr>
          <w:p>
            <w:pPr>
              <w:pStyle w:val="TableParagraph"/>
              <w:spacing w:line="195" w:lineRule="exact"/>
              <w:ind w:left="409"/>
              <w:rPr>
                <w:sz w:val="18"/>
              </w:rPr>
            </w:pPr>
            <w:r>
              <w:rPr>
                <w:spacing w:val="-19"/>
                <w:sz w:val="18"/>
              </w:rPr>
              <w:t>492.091</w:t>
            </w:r>
            <w:r>
              <w:rPr>
                <w:spacing w:val="-74"/>
                <w:sz w:val="18"/>
              </w:rPr>
              <w:t> </w:t>
            </w:r>
            <w:r>
              <w:rPr>
                <w:spacing w:val="-16"/>
                <w:sz w:val="18"/>
              </w:rPr>
              <w:t>34</w:t>
            </w:r>
          </w:p>
        </w:tc>
        <w:tc>
          <w:tcPr>
            <w:tcW w:w="1552" w:type="dxa"/>
            <w:tcBorders>
              <w:top w:val="nil"/>
              <w:bottom w:val="nil"/>
            </w:tcBorders>
          </w:tcPr>
          <w:p>
            <w:pPr>
              <w:pStyle w:val="TableParagraph"/>
              <w:spacing w:line="199" w:lineRule="exact"/>
              <w:ind w:left="430"/>
              <w:rPr>
                <w:sz w:val="18"/>
              </w:rPr>
            </w:pPr>
            <w:r>
              <w:rPr>
                <w:spacing w:val="-5"/>
                <w:w w:val="85"/>
                <w:sz w:val="18"/>
              </w:rPr>
              <w:t>17.438</w:t>
            </w:r>
            <w:r>
              <w:rPr>
                <w:spacing w:val="-70"/>
                <w:w w:val="85"/>
                <w:sz w:val="18"/>
              </w:rPr>
              <w:t> </w:t>
            </w:r>
            <w:r>
              <w:rPr>
                <w:w w:val="85"/>
                <w:sz w:val="18"/>
              </w:rPr>
              <w:t>20</w:t>
            </w:r>
          </w:p>
        </w:tc>
        <w:tc>
          <w:tcPr>
            <w:tcW w:w="1528" w:type="dxa"/>
            <w:tcBorders>
              <w:top w:val="nil"/>
              <w:bottom w:val="nil"/>
              <w:right w:val="nil"/>
            </w:tcBorders>
          </w:tcPr>
          <w:p>
            <w:pPr>
              <w:pStyle w:val="TableParagraph"/>
              <w:spacing w:line="199" w:lineRule="exact"/>
              <w:ind w:right="355"/>
              <w:jc w:val="right"/>
              <w:rPr>
                <w:sz w:val="18"/>
              </w:rPr>
            </w:pPr>
            <w:r>
              <w:rPr>
                <w:spacing w:val="-8"/>
                <w:w w:val="90"/>
                <w:sz w:val="18"/>
              </w:rPr>
              <w:t>14.316</w:t>
            </w:r>
            <w:r>
              <w:rPr>
                <w:spacing w:val="-60"/>
                <w:w w:val="90"/>
                <w:sz w:val="18"/>
              </w:rPr>
              <w:t> </w:t>
            </w:r>
            <w:r>
              <w:rPr>
                <w:spacing w:val="-18"/>
                <w:w w:val="90"/>
                <w:sz w:val="18"/>
              </w:rPr>
              <w:t>95</w:t>
            </w:r>
          </w:p>
        </w:tc>
      </w:tr>
      <w:tr>
        <w:trPr>
          <w:trHeight w:val="300" w:hRule="exact"/>
        </w:trPr>
        <w:tc>
          <w:tcPr>
            <w:tcW w:w="993" w:type="dxa"/>
            <w:tcBorders>
              <w:top w:val="nil"/>
              <w:left w:val="nil"/>
              <w:bottom w:val="nil"/>
              <w:right w:val="single" w:sz="7" w:space="0" w:color="000000"/>
            </w:tcBorders>
          </w:tcPr>
          <w:p>
            <w:pPr>
              <w:pStyle w:val="TableParagraph"/>
              <w:spacing w:line="195" w:lineRule="exact"/>
              <w:ind w:left="403"/>
              <w:rPr>
                <w:sz w:val="18"/>
              </w:rPr>
            </w:pPr>
            <w:r>
              <w:rPr>
                <w:w w:val="110"/>
                <w:sz w:val="18"/>
              </w:rPr>
              <w:t>49</w:t>
            </w:r>
          </w:p>
        </w:tc>
        <w:tc>
          <w:tcPr>
            <w:tcW w:w="1634" w:type="dxa"/>
            <w:tcBorders>
              <w:top w:val="nil"/>
              <w:left w:val="single" w:sz="7" w:space="0" w:color="000000"/>
              <w:bottom w:val="nil"/>
            </w:tcBorders>
          </w:tcPr>
          <w:p>
            <w:pPr>
              <w:pStyle w:val="TableParagraph"/>
              <w:spacing w:line="195" w:lineRule="exact"/>
              <w:ind w:left="416"/>
              <w:rPr>
                <w:sz w:val="18"/>
              </w:rPr>
            </w:pPr>
            <w:r>
              <w:rPr>
                <w:spacing w:val="-9"/>
                <w:w w:val="95"/>
                <w:sz w:val="18"/>
              </w:rPr>
              <w:t>503.402</w:t>
            </w:r>
            <w:r>
              <w:rPr>
                <w:spacing w:val="-81"/>
                <w:w w:val="95"/>
                <w:sz w:val="18"/>
              </w:rPr>
              <w:t> </w:t>
            </w:r>
            <w:r>
              <w:rPr>
                <w:spacing w:val="-22"/>
                <w:w w:val="95"/>
                <w:sz w:val="18"/>
              </w:rPr>
              <w:t>74</w:t>
            </w:r>
          </w:p>
        </w:tc>
        <w:tc>
          <w:tcPr>
            <w:tcW w:w="1552" w:type="dxa"/>
            <w:tcBorders>
              <w:top w:val="nil"/>
              <w:bottom w:val="nil"/>
            </w:tcBorders>
          </w:tcPr>
          <w:p>
            <w:pPr>
              <w:pStyle w:val="TableParagraph"/>
              <w:spacing w:line="199" w:lineRule="exact"/>
              <w:ind w:left="430"/>
              <w:rPr>
                <w:sz w:val="18"/>
              </w:rPr>
            </w:pPr>
            <w:r>
              <w:rPr>
                <w:spacing w:val="-12"/>
                <w:w w:val="90"/>
                <w:sz w:val="18"/>
              </w:rPr>
              <w:t>17.049</w:t>
            </w:r>
            <w:r>
              <w:rPr>
                <w:spacing w:val="-70"/>
                <w:w w:val="90"/>
                <w:sz w:val="18"/>
              </w:rPr>
              <w:t> </w:t>
            </w:r>
            <w:r>
              <w:rPr>
                <w:w w:val="90"/>
                <w:sz w:val="18"/>
              </w:rPr>
              <w:t>84</w:t>
            </w:r>
          </w:p>
        </w:tc>
        <w:tc>
          <w:tcPr>
            <w:tcW w:w="1528" w:type="dxa"/>
            <w:tcBorders>
              <w:top w:val="nil"/>
              <w:bottom w:val="nil"/>
              <w:right w:val="nil"/>
            </w:tcBorders>
          </w:tcPr>
          <w:p>
            <w:pPr>
              <w:pStyle w:val="TableParagraph"/>
              <w:spacing w:line="199" w:lineRule="exact"/>
              <w:ind w:right="357"/>
              <w:jc w:val="right"/>
              <w:rPr>
                <w:sz w:val="18"/>
              </w:rPr>
            </w:pPr>
            <w:r>
              <w:rPr>
                <w:w w:val="85"/>
                <w:sz w:val="18"/>
              </w:rPr>
              <w:t>13.909 10</w:t>
            </w:r>
          </w:p>
        </w:tc>
      </w:tr>
      <w:tr>
        <w:trPr>
          <w:trHeight w:val="301" w:hRule="exact"/>
        </w:trPr>
        <w:tc>
          <w:tcPr>
            <w:tcW w:w="993" w:type="dxa"/>
            <w:tcBorders>
              <w:top w:val="nil"/>
              <w:left w:val="nil"/>
              <w:bottom w:val="nil"/>
              <w:right w:val="single" w:sz="7" w:space="0" w:color="000000"/>
            </w:tcBorders>
          </w:tcPr>
          <w:p>
            <w:pPr>
              <w:pStyle w:val="TableParagraph"/>
              <w:spacing w:before="85"/>
              <w:ind w:left="403"/>
              <w:rPr>
                <w:rFonts w:ascii="Times New Roman"/>
                <w:sz w:val="17"/>
              </w:rPr>
            </w:pPr>
            <w:r>
              <w:rPr>
                <w:rFonts w:ascii="Times New Roman"/>
                <w:sz w:val="17"/>
              </w:rPr>
              <w:t>50</w:t>
            </w:r>
          </w:p>
        </w:tc>
        <w:tc>
          <w:tcPr>
            <w:tcW w:w="1634" w:type="dxa"/>
            <w:tcBorders>
              <w:top w:val="nil"/>
              <w:left w:val="single" w:sz="7" w:space="0" w:color="000000"/>
              <w:bottom w:val="nil"/>
            </w:tcBorders>
          </w:tcPr>
          <w:p>
            <w:pPr>
              <w:pStyle w:val="TableParagraph"/>
              <w:spacing w:before="94"/>
              <w:ind w:left="295" w:right="251"/>
              <w:jc w:val="center"/>
              <w:rPr>
                <w:sz w:val="18"/>
              </w:rPr>
            </w:pPr>
            <w:r>
              <w:rPr>
                <w:spacing w:val="-10"/>
                <w:w w:val="90"/>
                <w:sz w:val="18"/>
              </w:rPr>
              <w:t>514.817</w:t>
            </w:r>
            <w:r>
              <w:rPr>
                <w:spacing w:val="-70"/>
                <w:w w:val="90"/>
                <w:sz w:val="18"/>
              </w:rPr>
              <w:t> </w:t>
            </w:r>
            <w:r>
              <w:rPr>
                <w:w w:val="90"/>
                <w:sz w:val="18"/>
              </w:rPr>
              <w:t>40</w:t>
            </w:r>
          </w:p>
        </w:tc>
        <w:tc>
          <w:tcPr>
            <w:tcW w:w="1552" w:type="dxa"/>
            <w:tcBorders>
              <w:top w:val="nil"/>
              <w:bottom w:val="nil"/>
            </w:tcBorders>
          </w:tcPr>
          <w:p>
            <w:pPr>
              <w:pStyle w:val="TableParagraph"/>
              <w:spacing w:before="94"/>
              <w:ind w:left="330" w:right="275"/>
              <w:jc w:val="center"/>
              <w:rPr>
                <w:sz w:val="18"/>
              </w:rPr>
            </w:pPr>
            <w:r>
              <w:rPr>
                <w:spacing w:val="-26"/>
                <w:sz w:val="18"/>
              </w:rPr>
              <w:t>16.657</w:t>
            </w:r>
            <w:r>
              <w:rPr>
                <w:spacing w:val="-81"/>
                <w:sz w:val="18"/>
              </w:rPr>
              <w:t> </w:t>
            </w:r>
            <w:r>
              <w:rPr>
                <w:sz w:val="18"/>
              </w:rPr>
              <w:t>94</w:t>
            </w:r>
          </w:p>
        </w:tc>
        <w:tc>
          <w:tcPr>
            <w:tcW w:w="1528" w:type="dxa"/>
            <w:tcBorders>
              <w:top w:val="nil"/>
              <w:bottom w:val="nil"/>
              <w:right w:val="nil"/>
            </w:tcBorders>
          </w:tcPr>
          <w:p>
            <w:pPr>
              <w:pStyle w:val="TableParagraph"/>
              <w:spacing w:before="94"/>
              <w:ind w:right="363"/>
              <w:jc w:val="right"/>
              <w:rPr>
                <w:sz w:val="18"/>
              </w:rPr>
            </w:pPr>
            <w:r>
              <w:rPr>
                <w:spacing w:val="-8"/>
                <w:w w:val="85"/>
                <w:sz w:val="18"/>
              </w:rPr>
              <w:t>13.500 </w:t>
            </w:r>
            <w:r>
              <w:rPr>
                <w:w w:val="85"/>
                <w:sz w:val="18"/>
              </w:rPr>
              <w:t>77</w:t>
            </w:r>
          </w:p>
        </w:tc>
      </w:tr>
      <w:tr>
        <w:trPr>
          <w:trHeight w:val="202" w:hRule="exact"/>
        </w:trPr>
        <w:tc>
          <w:tcPr>
            <w:tcW w:w="993" w:type="dxa"/>
            <w:tcBorders>
              <w:top w:val="nil"/>
              <w:left w:val="nil"/>
              <w:bottom w:val="nil"/>
              <w:right w:val="single" w:sz="7" w:space="0" w:color="000000"/>
            </w:tcBorders>
          </w:tcPr>
          <w:p>
            <w:pPr>
              <w:pStyle w:val="TableParagraph"/>
              <w:spacing w:line="195" w:lineRule="exact"/>
              <w:ind w:left="403"/>
              <w:rPr>
                <w:sz w:val="18"/>
              </w:rPr>
            </w:pPr>
            <w:r>
              <w:rPr>
                <w:sz w:val="18"/>
              </w:rPr>
              <w:t>51</w:t>
            </w:r>
          </w:p>
        </w:tc>
        <w:tc>
          <w:tcPr>
            <w:tcW w:w="1634" w:type="dxa"/>
            <w:tcBorders>
              <w:top w:val="nil"/>
              <w:left w:val="single" w:sz="7" w:space="0" w:color="000000"/>
              <w:bottom w:val="nil"/>
            </w:tcBorders>
          </w:tcPr>
          <w:p>
            <w:pPr>
              <w:pStyle w:val="TableParagraph"/>
              <w:spacing w:line="199" w:lineRule="exact"/>
              <w:ind w:left="413"/>
              <w:rPr>
                <w:sz w:val="18"/>
              </w:rPr>
            </w:pPr>
            <w:r>
              <w:rPr>
                <w:spacing w:val="-11"/>
                <w:w w:val="90"/>
                <w:sz w:val="18"/>
              </w:rPr>
              <w:t>526.320</w:t>
            </w:r>
            <w:r>
              <w:rPr>
                <w:spacing w:val="-65"/>
                <w:w w:val="90"/>
                <w:sz w:val="18"/>
              </w:rPr>
              <w:t> </w:t>
            </w:r>
            <w:r>
              <w:rPr>
                <w:w w:val="90"/>
                <w:sz w:val="18"/>
              </w:rPr>
              <w:t>94</w:t>
            </w:r>
          </w:p>
        </w:tc>
        <w:tc>
          <w:tcPr>
            <w:tcW w:w="1552" w:type="dxa"/>
            <w:tcBorders>
              <w:top w:val="nil"/>
              <w:bottom w:val="nil"/>
            </w:tcBorders>
          </w:tcPr>
          <w:p>
            <w:pPr>
              <w:pStyle w:val="TableParagraph"/>
              <w:spacing w:line="199" w:lineRule="exact"/>
              <w:ind w:left="426"/>
              <w:rPr>
                <w:sz w:val="18"/>
              </w:rPr>
            </w:pPr>
            <w:r>
              <w:rPr>
                <w:w w:val="85"/>
                <w:sz w:val="18"/>
              </w:rPr>
              <w:t>16.262 98</w:t>
            </w:r>
          </w:p>
        </w:tc>
        <w:tc>
          <w:tcPr>
            <w:tcW w:w="1528" w:type="dxa"/>
            <w:tcBorders>
              <w:top w:val="nil"/>
              <w:bottom w:val="nil"/>
              <w:right w:val="nil"/>
            </w:tcBorders>
          </w:tcPr>
          <w:p>
            <w:pPr>
              <w:pStyle w:val="TableParagraph"/>
              <w:spacing w:line="199" w:lineRule="exact"/>
              <w:ind w:right="350"/>
              <w:jc w:val="right"/>
              <w:rPr>
                <w:sz w:val="18"/>
              </w:rPr>
            </w:pPr>
            <w:r>
              <w:rPr>
                <w:spacing w:val="-7"/>
                <w:w w:val="90"/>
                <w:sz w:val="18"/>
              </w:rPr>
              <w:t>13.092</w:t>
            </w:r>
            <w:r>
              <w:rPr>
                <w:spacing w:val="-59"/>
                <w:w w:val="90"/>
                <w:sz w:val="18"/>
              </w:rPr>
              <w:t> </w:t>
            </w:r>
            <w:r>
              <w:rPr>
                <w:spacing w:val="-19"/>
                <w:w w:val="90"/>
                <w:sz w:val="18"/>
              </w:rPr>
              <w:t>74</w:t>
            </w:r>
          </w:p>
        </w:tc>
      </w:tr>
      <w:tr>
        <w:trPr>
          <w:trHeight w:val="199" w:hRule="exact"/>
        </w:trPr>
        <w:tc>
          <w:tcPr>
            <w:tcW w:w="993" w:type="dxa"/>
            <w:tcBorders>
              <w:top w:val="nil"/>
              <w:left w:val="nil"/>
              <w:bottom w:val="nil"/>
              <w:right w:val="single" w:sz="7" w:space="0" w:color="000000"/>
            </w:tcBorders>
          </w:tcPr>
          <w:p>
            <w:pPr>
              <w:pStyle w:val="TableParagraph"/>
              <w:spacing w:line="172" w:lineRule="exact"/>
              <w:ind w:left="399"/>
              <w:rPr>
                <w:rFonts w:ascii="Times New Roman"/>
                <w:i/>
                <w:sz w:val="16"/>
              </w:rPr>
            </w:pPr>
            <w:r>
              <w:rPr>
                <w:rFonts w:ascii="Times New Roman"/>
                <w:i/>
                <w:w w:val="105"/>
                <w:sz w:val="16"/>
              </w:rPr>
              <w:t>52</w:t>
            </w:r>
          </w:p>
        </w:tc>
        <w:tc>
          <w:tcPr>
            <w:tcW w:w="1634" w:type="dxa"/>
            <w:tcBorders>
              <w:top w:val="nil"/>
              <w:left w:val="single" w:sz="7" w:space="0" w:color="000000"/>
              <w:bottom w:val="nil"/>
            </w:tcBorders>
          </w:tcPr>
          <w:p>
            <w:pPr>
              <w:pStyle w:val="TableParagraph"/>
              <w:spacing w:line="195" w:lineRule="exact"/>
              <w:ind w:left="282" w:right="253"/>
              <w:jc w:val="center"/>
              <w:rPr>
                <w:sz w:val="18"/>
              </w:rPr>
            </w:pPr>
            <w:r>
              <w:rPr>
                <w:spacing w:val="-5"/>
                <w:w w:val="85"/>
                <w:sz w:val="18"/>
              </w:rPr>
              <w:t>537.900</w:t>
            </w:r>
            <w:r>
              <w:rPr>
                <w:spacing w:val="-57"/>
                <w:w w:val="85"/>
                <w:sz w:val="18"/>
              </w:rPr>
              <w:t> </w:t>
            </w:r>
            <w:r>
              <w:rPr>
                <w:w w:val="85"/>
                <w:sz w:val="18"/>
              </w:rPr>
              <w:t>84</w:t>
            </w:r>
          </w:p>
        </w:tc>
        <w:tc>
          <w:tcPr>
            <w:tcW w:w="1552" w:type="dxa"/>
            <w:tcBorders>
              <w:top w:val="nil"/>
              <w:bottom w:val="nil"/>
            </w:tcBorders>
          </w:tcPr>
          <w:p>
            <w:pPr>
              <w:pStyle w:val="TableParagraph"/>
              <w:spacing w:line="195" w:lineRule="exact"/>
              <w:ind w:left="330" w:right="256"/>
              <w:jc w:val="center"/>
              <w:rPr>
                <w:sz w:val="18"/>
              </w:rPr>
            </w:pPr>
            <w:r>
              <w:rPr>
                <w:w w:val="90"/>
                <w:sz w:val="18"/>
              </w:rPr>
              <w:t>15.865</w:t>
            </w:r>
            <w:r>
              <w:rPr>
                <w:spacing w:val="-76"/>
                <w:w w:val="90"/>
                <w:sz w:val="18"/>
              </w:rPr>
              <w:t> </w:t>
            </w:r>
            <w:r>
              <w:rPr>
                <w:spacing w:val="-21"/>
                <w:w w:val="90"/>
                <w:sz w:val="18"/>
              </w:rPr>
              <w:t>40</w:t>
            </w:r>
          </w:p>
        </w:tc>
        <w:tc>
          <w:tcPr>
            <w:tcW w:w="1528" w:type="dxa"/>
            <w:tcBorders>
              <w:top w:val="nil"/>
              <w:bottom w:val="nil"/>
              <w:right w:val="nil"/>
            </w:tcBorders>
          </w:tcPr>
          <w:p>
            <w:pPr>
              <w:pStyle w:val="TableParagraph"/>
              <w:spacing w:line="199" w:lineRule="exact"/>
              <w:ind w:right="352"/>
              <w:jc w:val="right"/>
              <w:rPr>
                <w:sz w:val="18"/>
              </w:rPr>
            </w:pPr>
            <w:r>
              <w:rPr>
                <w:spacing w:val="-10"/>
                <w:w w:val="90"/>
                <w:sz w:val="18"/>
              </w:rPr>
              <w:t>12.685</w:t>
            </w:r>
            <w:r>
              <w:rPr>
                <w:spacing w:val="-76"/>
                <w:w w:val="90"/>
                <w:sz w:val="18"/>
              </w:rPr>
              <w:t> </w:t>
            </w:r>
            <w:r>
              <w:rPr>
                <w:w w:val="90"/>
                <w:sz w:val="18"/>
              </w:rPr>
              <w:t>64</w:t>
            </w:r>
          </w:p>
        </w:tc>
      </w:tr>
      <w:tr>
        <w:trPr>
          <w:trHeight w:val="202" w:hRule="exact"/>
        </w:trPr>
        <w:tc>
          <w:tcPr>
            <w:tcW w:w="993" w:type="dxa"/>
            <w:tcBorders>
              <w:top w:val="nil"/>
              <w:left w:val="nil"/>
              <w:bottom w:val="nil"/>
              <w:right w:val="single" w:sz="7" w:space="0" w:color="000000"/>
            </w:tcBorders>
          </w:tcPr>
          <w:p>
            <w:pPr>
              <w:pStyle w:val="TableParagraph"/>
              <w:spacing w:line="180" w:lineRule="exact"/>
              <w:ind w:left="399"/>
              <w:rPr>
                <w:rFonts w:ascii="Times New Roman"/>
                <w:sz w:val="17"/>
              </w:rPr>
            </w:pPr>
            <w:r>
              <w:rPr>
                <w:rFonts w:ascii="Times New Roman"/>
                <w:w w:val="105"/>
                <w:sz w:val="17"/>
              </w:rPr>
              <w:t>53</w:t>
            </w:r>
          </w:p>
        </w:tc>
        <w:tc>
          <w:tcPr>
            <w:tcW w:w="1634" w:type="dxa"/>
            <w:tcBorders>
              <w:top w:val="nil"/>
              <w:left w:val="single" w:sz="7" w:space="0" w:color="000000"/>
              <w:bottom w:val="nil"/>
            </w:tcBorders>
          </w:tcPr>
          <w:p>
            <w:pPr>
              <w:pStyle w:val="TableParagraph"/>
              <w:spacing w:line="194" w:lineRule="exact"/>
              <w:ind w:left="413"/>
              <w:rPr>
                <w:sz w:val="18"/>
              </w:rPr>
            </w:pPr>
            <w:r>
              <w:rPr>
                <w:spacing w:val="-12"/>
                <w:w w:val="95"/>
                <w:sz w:val="18"/>
              </w:rPr>
              <w:t>549.551</w:t>
            </w:r>
            <w:r>
              <w:rPr>
                <w:spacing w:val="-76"/>
                <w:w w:val="95"/>
                <w:sz w:val="18"/>
              </w:rPr>
              <w:t> </w:t>
            </w:r>
            <w:r>
              <w:rPr>
                <w:spacing w:val="-18"/>
                <w:w w:val="95"/>
                <w:sz w:val="18"/>
              </w:rPr>
              <w:t>42</w:t>
            </w:r>
          </w:p>
        </w:tc>
        <w:tc>
          <w:tcPr>
            <w:tcW w:w="1552" w:type="dxa"/>
            <w:tcBorders>
              <w:top w:val="nil"/>
              <w:bottom w:val="nil"/>
            </w:tcBorders>
          </w:tcPr>
          <w:p>
            <w:pPr>
              <w:pStyle w:val="TableParagraph"/>
              <w:spacing w:line="198" w:lineRule="exact"/>
              <w:ind w:left="426"/>
              <w:rPr>
                <w:sz w:val="18"/>
              </w:rPr>
            </w:pPr>
            <w:r>
              <w:rPr>
                <w:spacing w:val="-15"/>
                <w:sz w:val="18"/>
              </w:rPr>
              <w:t>15.465</w:t>
            </w:r>
            <w:r>
              <w:rPr>
                <w:spacing w:val="-93"/>
                <w:sz w:val="18"/>
              </w:rPr>
              <w:t> </w:t>
            </w:r>
            <w:r>
              <w:rPr>
                <w:spacing w:val="-20"/>
                <w:sz w:val="18"/>
              </w:rPr>
              <w:t>40</w:t>
            </w:r>
          </w:p>
        </w:tc>
        <w:tc>
          <w:tcPr>
            <w:tcW w:w="1528" w:type="dxa"/>
            <w:tcBorders>
              <w:top w:val="nil"/>
              <w:bottom w:val="nil"/>
              <w:right w:val="nil"/>
            </w:tcBorders>
          </w:tcPr>
          <w:p>
            <w:pPr>
              <w:pStyle w:val="TableParagraph"/>
              <w:spacing w:line="198" w:lineRule="exact"/>
              <w:ind w:right="353"/>
              <w:jc w:val="right"/>
              <w:rPr>
                <w:sz w:val="18"/>
              </w:rPr>
            </w:pPr>
            <w:r>
              <w:rPr>
                <w:spacing w:val="-13"/>
                <w:w w:val="95"/>
                <w:sz w:val="18"/>
              </w:rPr>
              <w:t>12.Z79</w:t>
            </w:r>
            <w:r>
              <w:rPr>
                <w:spacing w:val="-71"/>
                <w:w w:val="95"/>
                <w:sz w:val="18"/>
              </w:rPr>
              <w:t> </w:t>
            </w:r>
            <w:r>
              <w:rPr>
                <w:spacing w:val="-20"/>
                <w:w w:val="95"/>
                <w:sz w:val="18"/>
              </w:rPr>
              <w:t>59</w:t>
            </w:r>
          </w:p>
        </w:tc>
      </w:tr>
      <w:tr>
        <w:trPr>
          <w:trHeight w:val="301" w:hRule="exact"/>
        </w:trPr>
        <w:tc>
          <w:tcPr>
            <w:tcW w:w="993" w:type="dxa"/>
            <w:tcBorders>
              <w:top w:val="nil"/>
              <w:left w:val="nil"/>
              <w:bottom w:val="nil"/>
              <w:right w:val="single" w:sz="7" w:space="0" w:color="000000"/>
            </w:tcBorders>
          </w:tcPr>
          <w:p>
            <w:pPr>
              <w:pStyle w:val="TableParagraph"/>
              <w:spacing w:line="178" w:lineRule="exact"/>
              <w:ind w:left="395"/>
              <w:rPr>
                <w:rFonts w:ascii="Times New Roman"/>
                <w:sz w:val="16"/>
              </w:rPr>
            </w:pPr>
            <w:r>
              <w:rPr>
                <w:rFonts w:ascii="Times New Roman"/>
                <w:w w:val="105"/>
                <w:sz w:val="16"/>
              </w:rPr>
              <w:t>54</w:t>
            </w:r>
          </w:p>
        </w:tc>
        <w:tc>
          <w:tcPr>
            <w:tcW w:w="1634" w:type="dxa"/>
            <w:tcBorders>
              <w:top w:val="nil"/>
              <w:left w:val="single" w:sz="7" w:space="0" w:color="000000"/>
              <w:bottom w:val="nil"/>
            </w:tcBorders>
          </w:tcPr>
          <w:p>
            <w:pPr>
              <w:pStyle w:val="TableParagraph"/>
              <w:spacing w:line="197" w:lineRule="exact"/>
              <w:ind w:left="409"/>
              <w:rPr>
                <w:sz w:val="18"/>
              </w:rPr>
            </w:pPr>
            <w:r>
              <w:rPr>
                <w:w w:val="80"/>
                <w:sz w:val="18"/>
              </w:rPr>
              <w:t>561.260 05</w:t>
            </w:r>
          </w:p>
        </w:tc>
        <w:tc>
          <w:tcPr>
            <w:tcW w:w="1552" w:type="dxa"/>
            <w:tcBorders>
              <w:top w:val="nil"/>
              <w:bottom w:val="nil"/>
            </w:tcBorders>
          </w:tcPr>
          <w:p>
            <w:pPr>
              <w:pStyle w:val="TableParagraph"/>
              <w:spacing w:line="197" w:lineRule="exact"/>
              <w:ind w:left="426"/>
              <w:rPr>
                <w:sz w:val="18"/>
              </w:rPr>
            </w:pPr>
            <w:r>
              <w:rPr>
                <w:spacing w:val="-17"/>
                <w:sz w:val="18"/>
              </w:rPr>
              <w:t>15.063</w:t>
            </w:r>
            <w:r>
              <w:rPr>
                <w:spacing w:val="-79"/>
                <w:sz w:val="18"/>
              </w:rPr>
              <w:t> </w:t>
            </w:r>
            <w:r>
              <w:rPr>
                <w:spacing w:val="-21"/>
                <w:sz w:val="18"/>
              </w:rPr>
              <w:t>40</w:t>
            </w:r>
          </w:p>
        </w:tc>
        <w:tc>
          <w:tcPr>
            <w:tcW w:w="1528" w:type="dxa"/>
            <w:tcBorders>
              <w:top w:val="nil"/>
              <w:bottom w:val="nil"/>
              <w:right w:val="nil"/>
            </w:tcBorders>
          </w:tcPr>
          <w:p>
            <w:pPr>
              <w:pStyle w:val="TableParagraph"/>
              <w:spacing w:line="197" w:lineRule="exact"/>
              <w:ind w:right="358"/>
              <w:jc w:val="right"/>
              <w:rPr>
                <w:sz w:val="18"/>
              </w:rPr>
            </w:pPr>
            <w:r>
              <w:rPr>
                <w:spacing w:val="-3"/>
                <w:w w:val="85"/>
                <w:sz w:val="18"/>
              </w:rPr>
              <w:t>11.875</w:t>
            </w:r>
            <w:r>
              <w:rPr>
                <w:spacing w:val="-73"/>
                <w:w w:val="85"/>
                <w:sz w:val="18"/>
              </w:rPr>
              <w:t> </w:t>
            </w:r>
            <w:r>
              <w:rPr>
                <w:w w:val="85"/>
                <w:sz w:val="18"/>
              </w:rPr>
              <w:t>20</w:t>
            </w:r>
          </w:p>
        </w:tc>
      </w:tr>
      <w:tr>
        <w:trPr>
          <w:trHeight w:val="300" w:hRule="exact"/>
        </w:trPr>
        <w:tc>
          <w:tcPr>
            <w:tcW w:w="993" w:type="dxa"/>
            <w:tcBorders>
              <w:top w:val="nil"/>
              <w:left w:val="nil"/>
              <w:bottom w:val="nil"/>
              <w:right w:val="single" w:sz="7" w:space="0" w:color="000000"/>
            </w:tcBorders>
          </w:tcPr>
          <w:p>
            <w:pPr>
              <w:pStyle w:val="TableParagraph"/>
              <w:spacing w:before="101"/>
              <w:ind w:left="395"/>
              <w:rPr>
                <w:rFonts w:ascii="Arial"/>
                <w:sz w:val="15"/>
              </w:rPr>
            </w:pPr>
            <w:r>
              <w:rPr>
                <w:rFonts w:ascii="Arial"/>
                <w:w w:val="105"/>
                <w:sz w:val="15"/>
              </w:rPr>
              <w:t>55</w:t>
            </w:r>
          </w:p>
        </w:tc>
        <w:tc>
          <w:tcPr>
            <w:tcW w:w="1634" w:type="dxa"/>
            <w:tcBorders>
              <w:top w:val="nil"/>
              <w:left w:val="single" w:sz="7" w:space="0" w:color="000000"/>
              <w:bottom w:val="nil"/>
            </w:tcBorders>
          </w:tcPr>
          <w:p>
            <w:pPr>
              <w:pStyle w:val="TableParagraph"/>
              <w:spacing w:before="92"/>
              <w:ind w:left="413"/>
              <w:rPr>
                <w:sz w:val="18"/>
              </w:rPr>
            </w:pPr>
            <w:r>
              <w:rPr>
                <w:w w:val="90"/>
                <w:sz w:val="18"/>
              </w:rPr>
              <w:t>573.016 73</w:t>
            </w:r>
          </w:p>
        </w:tc>
        <w:tc>
          <w:tcPr>
            <w:tcW w:w="1552" w:type="dxa"/>
            <w:tcBorders>
              <w:top w:val="nil"/>
              <w:bottom w:val="nil"/>
            </w:tcBorders>
          </w:tcPr>
          <w:p>
            <w:pPr>
              <w:pStyle w:val="TableParagraph"/>
              <w:spacing w:before="92"/>
              <w:ind w:left="330" w:right="272"/>
              <w:jc w:val="center"/>
              <w:rPr>
                <w:sz w:val="18"/>
              </w:rPr>
            </w:pPr>
            <w:r>
              <w:rPr>
                <w:w w:val="90"/>
                <w:sz w:val="18"/>
              </w:rPr>
              <w:t>14.659 76</w:t>
            </w:r>
          </w:p>
        </w:tc>
        <w:tc>
          <w:tcPr>
            <w:tcW w:w="1528" w:type="dxa"/>
            <w:tcBorders>
              <w:top w:val="nil"/>
              <w:bottom w:val="nil"/>
              <w:right w:val="nil"/>
            </w:tcBorders>
          </w:tcPr>
          <w:p>
            <w:pPr>
              <w:pStyle w:val="TableParagraph"/>
              <w:spacing w:before="96"/>
              <w:ind w:right="350"/>
              <w:jc w:val="right"/>
              <w:rPr>
                <w:sz w:val="18"/>
              </w:rPr>
            </w:pPr>
            <w:r>
              <w:rPr>
                <w:spacing w:val="-3"/>
                <w:w w:val="85"/>
                <w:sz w:val="18"/>
              </w:rPr>
              <w:t>11.472</w:t>
            </w:r>
            <w:r>
              <w:rPr>
                <w:spacing w:val="-67"/>
                <w:w w:val="85"/>
                <w:sz w:val="18"/>
              </w:rPr>
              <w:t> </w:t>
            </w:r>
            <w:r>
              <w:rPr>
                <w:w w:val="85"/>
                <w:sz w:val="18"/>
              </w:rPr>
              <w:t>90</w:t>
            </w:r>
          </w:p>
        </w:tc>
      </w:tr>
      <w:tr>
        <w:trPr>
          <w:trHeight w:val="200" w:hRule="exact"/>
        </w:trPr>
        <w:tc>
          <w:tcPr>
            <w:tcW w:w="993" w:type="dxa"/>
            <w:tcBorders>
              <w:top w:val="nil"/>
              <w:left w:val="nil"/>
              <w:bottom w:val="nil"/>
              <w:right w:val="single" w:sz="7" w:space="0" w:color="000000"/>
            </w:tcBorders>
          </w:tcPr>
          <w:p>
            <w:pPr>
              <w:pStyle w:val="TableParagraph"/>
              <w:spacing w:line="180" w:lineRule="exact"/>
              <w:ind w:left="399"/>
              <w:rPr>
                <w:rFonts w:ascii="Times New Roman"/>
                <w:sz w:val="17"/>
              </w:rPr>
            </w:pPr>
            <w:r>
              <w:rPr>
                <w:rFonts w:ascii="Times New Roman"/>
                <w:sz w:val="17"/>
              </w:rPr>
              <w:t>56</w:t>
            </w:r>
          </w:p>
        </w:tc>
        <w:tc>
          <w:tcPr>
            <w:tcW w:w="1634" w:type="dxa"/>
            <w:tcBorders>
              <w:top w:val="nil"/>
              <w:left w:val="single" w:sz="7" w:space="0" w:color="000000"/>
              <w:bottom w:val="nil"/>
            </w:tcBorders>
          </w:tcPr>
          <w:p>
            <w:pPr>
              <w:pStyle w:val="TableParagraph"/>
              <w:spacing w:line="198" w:lineRule="exact"/>
              <w:ind w:left="295" w:right="243"/>
              <w:jc w:val="center"/>
              <w:rPr>
                <w:sz w:val="18"/>
              </w:rPr>
            </w:pPr>
            <w:r>
              <w:rPr>
                <w:w w:val="85"/>
                <w:sz w:val="18"/>
              </w:rPr>
              <w:t>584.809 76</w:t>
            </w:r>
          </w:p>
        </w:tc>
        <w:tc>
          <w:tcPr>
            <w:tcW w:w="1552" w:type="dxa"/>
            <w:tcBorders>
              <w:top w:val="nil"/>
              <w:bottom w:val="nil"/>
            </w:tcBorders>
          </w:tcPr>
          <w:p>
            <w:pPr>
              <w:pStyle w:val="TableParagraph"/>
              <w:spacing w:line="198" w:lineRule="exact"/>
              <w:ind w:left="426"/>
              <w:rPr>
                <w:sz w:val="18"/>
              </w:rPr>
            </w:pPr>
            <w:r>
              <w:rPr>
                <w:spacing w:val="-7"/>
                <w:w w:val="85"/>
                <w:sz w:val="18"/>
              </w:rPr>
              <w:t>14.254 </w:t>
            </w:r>
            <w:r>
              <w:rPr>
                <w:w w:val="85"/>
                <w:sz w:val="18"/>
              </w:rPr>
              <w:t>86</w:t>
            </w:r>
          </w:p>
        </w:tc>
        <w:tc>
          <w:tcPr>
            <w:tcW w:w="1528" w:type="dxa"/>
            <w:tcBorders>
              <w:top w:val="nil"/>
              <w:bottom w:val="nil"/>
              <w:right w:val="nil"/>
            </w:tcBorders>
          </w:tcPr>
          <w:p>
            <w:pPr>
              <w:pStyle w:val="TableParagraph"/>
              <w:spacing w:line="198" w:lineRule="exact"/>
              <w:ind w:right="374"/>
              <w:jc w:val="right"/>
              <w:rPr>
                <w:sz w:val="18"/>
              </w:rPr>
            </w:pPr>
            <w:r>
              <w:rPr>
                <w:spacing w:val="-15"/>
                <w:w w:val="90"/>
                <w:sz w:val="18"/>
              </w:rPr>
              <w:t>11.073</w:t>
            </w:r>
            <w:r>
              <w:rPr>
                <w:spacing w:val="-74"/>
                <w:w w:val="90"/>
                <w:sz w:val="18"/>
              </w:rPr>
              <w:t> </w:t>
            </w:r>
            <w:r>
              <w:rPr>
                <w:w w:val="90"/>
                <w:sz w:val="18"/>
              </w:rPr>
              <w:t>11</w:t>
            </w:r>
          </w:p>
        </w:tc>
      </w:tr>
      <w:tr>
        <w:trPr>
          <w:trHeight w:val="202" w:hRule="exact"/>
        </w:trPr>
        <w:tc>
          <w:tcPr>
            <w:tcW w:w="993" w:type="dxa"/>
            <w:tcBorders>
              <w:top w:val="nil"/>
              <w:left w:val="nil"/>
              <w:bottom w:val="nil"/>
              <w:right w:val="single" w:sz="7" w:space="0" w:color="000000"/>
            </w:tcBorders>
          </w:tcPr>
          <w:p>
            <w:pPr>
              <w:pStyle w:val="TableParagraph"/>
              <w:spacing w:line="195" w:lineRule="exact"/>
              <w:ind w:left="395"/>
              <w:rPr>
                <w:sz w:val="18"/>
              </w:rPr>
            </w:pPr>
            <w:r>
              <w:rPr>
                <w:w w:val="110"/>
                <w:sz w:val="18"/>
              </w:rPr>
              <w:t>57</w:t>
            </w:r>
          </w:p>
        </w:tc>
        <w:tc>
          <w:tcPr>
            <w:tcW w:w="1634" w:type="dxa"/>
            <w:tcBorders>
              <w:top w:val="nil"/>
              <w:left w:val="single" w:sz="7" w:space="0" w:color="000000"/>
              <w:bottom w:val="nil"/>
            </w:tcBorders>
          </w:tcPr>
          <w:p>
            <w:pPr>
              <w:pStyle w:val="TableParagraph"/>
              <w:spacing w:line="199" w:lineRule="exact"/>
              <w:ind w:left="295" w:right="251"/>
              <w:jc w:val="center"/>
              <w:rPr>
                <w:sz w:val="18"/>
              </w:rPr>
            </w:pPr>
            <w:r>
              <w:rPr>
                <w:w w:val="90"/>
                <w:sz w:val="18"/>
              </w:rPr>
              <w:t>596.622 08</w:t>
            </w:r>
          </w:p>
        </w:tc>
        <w:tc>
          <w:tcPr>
            <w:tcW w:w="1552" w:type="dxa"/>
            <w:tcBorders>
              <w:top w:val="nil"/>
              <w:bottom w:val="nil"/>
            </w:tcBorders>
          </w:tcPr>
          <w:p>
            <w:pPr>
              <w:pStyle w:val="TableParagraph"/>
              <w:spacing w:line="199" w:lineRule="exact"/>
              <w:ind w:left="320" w:right="282"/>
              <w:jc w:val="center"/>
              <w:rPr>
                <w:sz w:val="18"/>
              </w:rPr>
            </w:pPr>
            <w:r>
              <w:rPr>
                <w:w w:val="90"/>
                <w:sz w:val="18"/>
              </w:rPr>
              <w:t>13.849 31</w:t>
            </w:r>
          </w:p>
        </w:tc>
        <w:tc>
          <w:tcPr>
            <w:tcW w:w="1528" w:type="dxa"/>
            <w:tcBorders>
              <w:top w:val="nil"/>
              <w:bottom w:val="nil"/>
              <w:right w:val="nil"/>
            </w:tcBorders>
          </w:tcPr>
          <w:p>
            <w:pPr>
              <w:pStyle w:val="TableParagraph"/>
              <w:spacing w:line="199" w:lineRule="exact"/>
              <w:ind w:right="351"/>
              <w:jc w:val="right"/>
              <w:rPr>
                <w:sz w:val="18"/>
              </w:rPr>
            </w:pPr>
            <w:r>
              <w:rPr>
                <w:spacing w:val="-20"/>
                <w:sz w:val="18"/>
              </w:rPr>
              <w:t>10.676</w:t>
            </w:r>
            <w:r>
              <w:rPr>
                <w:spacing w:val="-75"/>
                <w:sz w:val="18"/>
              </w:rPr>
              <w:t> </w:t>
            </w:r>
            <w:r>
              <w:rPr>
                <w:spacing w:val="-20"/>
                <w:sz w:val="18"/>
              </w:rPr>
              <w:t>59</w:t>
            </w:r>
          </w:p>
        </w:tc>
      </w:tr>
      <w:tr>
        <w:trPr>
          <w:trHeight w:val="200" w:hRule="exact"/>
        </w:trPr>
        <w:tc>
          <w:tcPr>
            <w:tcW w:w="993" w:type="dxa"/>
            <w:tcBorders>
              <w:top w:val="nil"/>
              <w:left w:val="nil"/>
              <w:bottom w:val="nil"/>
              <w:right w:val="single" w:sz="7" w:space="0" w:color="000000"/>
            </w:tcBorders>
          </w:tcPr>
          <w:p>
            <w:pPr>
              <w:pStyle w:val="TableParagraph"/>
              <w:spacing w:line="195" w:lineRule="exact"/>
              <w:ind w:left="403"/>
              <w:rPr>
                <w:sz w:val="18"/>
              </w:rPr>
            </w:pPr>
            <w:r>
              <w:rPr>
                <w:w w:val="95"/>
                <w:sz w:val="18"/>
              </w:rPr>
              <w:t>58</w:t>
            </w:r>
          </w:p>
        </w:tc>
        <w:tc>
          <w:tcPr>
            <w:tcW w:w="1634" w:type="dxa"/>
            <w:tcBorders>
              <w:top w:val="nil"/>
              <w:left w:val="single" w:sz="7" w:space="0" w:color="000000"/>
              <w:bottom w:val="nil"/>
            </w:tcBorders>
          </w:tcPr>
          <w:p>
            <w:pPr>
              <w:pStyle w:val="TableParagraph"/>
              <w:spacing w:line="195" w:lineRule="exact"/>
              <w:ind w:left="413"/>
              <w:rPr>
                <w:sz w:val="18"/>
              </w:rPr>
            </w:pPr>
            <w:r>
              <w:rPr>
                <w:w w:val="95"/>
                <w:sz w:val="18"/>
              </w:rPr>
              <w:t>608.435 80</w:t>
            </w:r>
          </w:p>
        </w:tc>
        <w:tc>
          <w:tcPr>
            <w:tcW w:w="1552" w:type="dxa"/>
            <w:tcBorders>
              <w:top w:val="nil"/>
              <w:bottom w:val="nil"/>
            </w:tcBorders>
          </w:tcPr>
          <w:p>
            <w:pPr>
              <w:pStyle w:val="TableParagraph"/>
              <w:spacing w:line="199" w:lineRule="exact"/>
              <w:ind w:left="426"/>
              <w:rPr>
                <w:sz w:val="18"/>
              </w:rPr>
            </w:pPr>
            <w:r>
              <w:rPr>
                <w:spacing w:val="-17"/>
                <w:sz w:val="18"/>
              </w:rPr>
              <w:t>13.443</w:t>
            </w:r>
            <w:r>
              <w:rPr>
                <w:spacing w:val="-83"/>
                <w:sz w:val="18"/>
              </w:rPr>
              <w:t> </w:t>
            </w:r>
            <w:r>
              <w:rPr>
                <w:spacing w:val="-18"/>
                <w:sz w:val="18"/>
              </w:rPr>
              <w:t>70</w:t>
            </w:r>
          </w:p>
        </w:tc>
        <w:tc>
          <w:tcPr>
            <w:tcW w:w="1528" w:type="dxa"/>
            <w:tcBorders>
              <w:top w:val="nil"/>
              <w:bottom w:val="nil"/>
              <w:right w:val="nil"/>
            </w:tcBorders>
          </w:tcPr>
          <w:p>
            <w:pPr>
              <w:pStyle w:val="TableParagraph"/>
              <w:spacing w:line="195" w:lineRule="exact"/>
              <w:ind w:right="355"/>
              <w:jc w:val="right"/>
              <w:rPr>
                <w:sz w:val="18"/>
              </w:rPr>
            </w:pPr>
            <w:r>
              <w:rPr>
                <w:w w:val="85"/>
                <w:sz w:val="18"/>
              </w:rPr>
              <w:t>10.284 05</w:t>
            </w:r>
          </w:p>
        </w:tc>
      </w:tr>
      <w:tr>
        <w:trPr>
          <w:trHeight w:val="297" w:hRule="exact"/>
        </w:trPr>
        <w:tc>
          <w:tcPr>
            <w:tcW w:w="993" w:type="dxa"/>
            <w:tcBorders>
              <w:top w:val="nil"/>
              <w:left w:val="nil"/>
              <w:bottom w:val="nil"/>
              <w:right w:val="single" w:sz="7" w:space="0" w:color="000000"/>
            </w:tcBorders>
          </w:tcPr>
          <w:p>
            <w:pPr>
              <w:pStyle w:val="TableParagraph"/>
              <w:spacing w:line="194" w:lineRule="exact"/>
              <w:ind w:left="403"/>
              <w:rPr>
                <w:sz w:val="18"/>
              </w:rPr>
            </w:pPr>
            <w:r>
              <w:rPr>
                <w:w w:val="105"/>
                <w:sz w:val="18"/>
              </w:rPr>
              <w:t>59</w:t>
            </w:r>
          </w:p>
        </w:tc>
        <w:tc>
          <w:tcPr>
            <w:tcW w:w="1634" w:type="dxa"/>
            <w:tcBorders>
              <w:top w:val="nil"/>
              <w:left w:val="single" w:sz="7" w:space="0" w:color="000000"/>
              <w:bottom w:val="nil"/>
            </w:tcBorders>
          </w:tcPr>
          <w:p>
            <w:pPr>
              <w:pStyle w:val="TableParagraph"/>
              <w:spacing w:line="197" w:lineRule="exact"/>
              <w:ind w:left="413"/>
              <w:rPr>
                <w:sz w:val="18"/>
              </w:rPr>
            </w:pPr>
            <w:r>
              <w:rPr>
                <w:spacing w:val="-14"/>
                <w:w w:val="90"/>
                <w:sz w:val="18"/>
              </w:rPr>
              <w:t>620.232 </w:t>
            </w:r>
            <w:r>
              <w:rPr>
                <w:w w:val="90"/>
                <w:sz w:val="18"/>
              </w:rPr>
              <w:t>88</w:t>
            </w:r>
          </w:p>
        </w:tc>
        <w:tc>
          <w:tcPr>
            <w:tcW w:w="1552" w:type="dxa"/>
            <w:tcBorders>
              <w:top w:val="nil"/>
              <w:bottom w:val="nil"/>
            </w:tcBorders>
          </w:tcPr>
          <w:p>
            <w:pPr>
              <w:pStyle w:val="TableParagraph"/>
              <w:spacing w:line="197" w:lineRule="exact"/>
              <w:ind w:left="422"/>
              <w:rPr>
                <w:sz w:val="18"/>
              </w:rPr>
            </w:pPr>
            <w:r>
              <w:rPr>
                <w:sz w:val="18"/>
              </w:rPr>
              <w:t>13.038 67</w:t>
            </w:r>
          </w:p>
        </w:tc>
        <w:tc>
          <w:tcPr>
            <w:tcW w:w="1528" w:type="dxa"/>
            <w:tcBorders>
              <w:top w:val="nil"/>
              <w:bottom w:val="nil"/>
              <w:right w:val="nil"/>
            </w:tcBorders>
          </w:tcPr>
          <w:p>
            <w:pPr>
              <w:pStyle w:val="TableParagraph"/>
              <w:spacing w:line="197" w:lineRule="exact"/>
              <w:ind w:right="350"/>
              <w:jc w:val="right"/>
              <w:rPr>
                <w:sz w:val="18"/>
              </w:rPr>
            </w:pPr>
            <w:r>
              <w:rPr>
                <w:spacing w:val="-11"/>
                <w:w w:val="95"/>
                <w:sz w:val="18"/>
              </w:rPr>
              <w:t>9.896</w:t>
            </w:r>
            <w:r>
              <w:rPr>
                <w:spacing w:val="-67"/>
                <w:w w:val="95"/>
                <w:sz w:val="18"/>
              </w:rPr>
              <w:t> </w:t>
            </w:r>
            <w:r>
              <w:rPr>
                <w:spacing w:val="-14"/>
                <w:w w:val="95"/>
                <w:sz w:val="18"/>
              </w:rPr>
              <w:t>17</w:t>
            </w:r>
          </w:p>
        </w:tc>
      </w:tr>
      <w:tr>
        <w:trPr>
          <w:trHeight w:val="299" w:hRule="exact"/>
        </w:trPr>
        <w:tc>
          <w:tcPr>
            <w:tcW w:w="993" w:type="dxa"/>
            <w:tcBorders>
              <w:top w:val="nil"/>
              <w:left w:val="nil"/>
              <w:bottom w:val="nil"/>
              <w:right w:val="single" w:sz="7" w:space="0" w:color="000000"/>
            </w:tcBorders>
          </w:tcPr>
          <w:p>
            <w:pPr>
              <w:pStyle w:val="TableParagraph"/>
              <w:spacing w:before="96"/>
              <w:ind w:left="399"/>
              <w:rPr>
                <w:sz w:val="18"/>
              </w:rPr>
            </w:pPr>
            <w:r>
              <w:rPr>
                <w:sz w:val="18"/>
              </w:rPr>
              <w:t>60</w:t>
            </w:r>
          </w:p>
        </w:tc>
        <w:tc>
          <w:tcPr>
            <w:tcW w:w="1634" w:type="dxa"/>
            <w:tcBorders>
              <w:top w:val="nil"/>
              <w:left w:val="single" w:sz="7" w:space="0" w:color="000000"/>
              <w:bottom w:val="nil"/>
            </w:tcBorders>
          </w:tcPr>
          <w:p>
            <w:pPr>
              <w:pStyle w:val="TableParagraph"/>
              <w:spacing w:before="92"/>
              <w:ind w:left="295" w:right="250"/>
              <w:jc w:val="center"/>
              <w:rPr>
                <w:sz w:val="18"/>
              </w:rPr>
            </w:pPr>
            <w:r>
              <w:rPr>
                <w:w w:val="95"/>
                <w:sz w:val="18"/>
              </w:rPr>
              <w:t>631.998 68</w:t>
            </w:r>
          </w:p>
        </w:tc>
        <w:tc>
          <w:tcPr>
            <w:tcW w:w="1552" w:type="dxa"/>
            <w:tcBorders>
              <w:top w:val="nil"/>
              <w:bottom w:val="nil"/>
            </w:tcBorders>
          </w:tcPr>
          <w:p>
            <w:pPr>
              <w:pStyle w:val="TableParagraph"/>
              <w:spacing w:before="88"/>
              <w:ind w:left="310" w:right="282"/>
              <w:jc w:val="center"/>
              <w:rPr>
                <w:sz w:val="18"/>
              </w:rPr>
            </w:pPr>
            <w:r>
              <w:rPr>
                <w:w w:val="85"/>
                <w:sz w:val="18"/>
              </w:rPr>
              <w:t>12.634 71</w:t>
            </w:r>
          </w:p>
        </w:tc>
        <w:tc>
          <w:tcPr>
            <w:tcW w:w="1528" w:type="dxa"/>
            <w:tcBorders>
              <w:top w:val="nil"/>
              <w:bottom w:val="nil"/>
              <w:right w:val="nil"/>
            </w:tcBorders>
          </w:tcPr>
          <w:p>
            <w:pPr>
              <w:pStyle w:val="TableParagraph"/>
              <w:spacing w:before="92"/>
              <w:ind w:right="361"/>
              <w:jc w:val="right"/>
              <w:rPr>
                <w:sz w:val="18"/>
              </w:rPr>
            </w:pPr>
            <w:r>
              <w:rPr>
                <w:spacing w:val="-16"/>
                <w:w w:val="95"/>
                <w:sz w:val="18"/>
              </w:rPr>
              <w:t>9.513</w:t>
            </w:r>
            <w:r>
              <w:rPr>
                <w:spacing w:val="-78"/>
                <w:w w:val="95"/>
                <w:sz w:val="18"/>
              </w:rPr>
              <w:t> </w:t>
            </w:r>
            <w:r>
              <w:rPr>
                <w:w w:val="95"/>
                <w:sz w:val="18"/>
              </w:rPr>
              <w:t>44</w:t>
            </w:r>
          </w:p>
        </w:tc>
      </w:tr>
      <w:tr>
        <w:trPr>
          <w:trHeight w:val="196" w:hRule="exact"/>
        </w:trPr>
        <w:tc>
          <w:tcPr>
            <w:tcW w:w="993" w:type="dxa"/>
            <w:tcBorders>
              <w:top w:val="nil"/>
              <w:left w:val="nil"/>
              <w:bottom w:val="nil"/>
              <w:right w:val="single" w:sz="7" w:space="0" w:color="000000"/>
            </w:tcBorders>
          </w:tcPr>
          <w:p>
            <w:pPr>
              <w:pStyle w:val="TableParagraph"/>
              <w:spacing w:line="195" w:lineRule="exact"/>
              <w:ind w:left="395"/>
              <w:rPr>
                <w:sz w:val="18"/>
              </w:rPr>
            </w:pPr>
            <w:r>
              <w:rPr>
                <w:w w:val="95"/>
                <w:sz w:val="18"/>
              </w:rPr>
              <w:t>61</w:t>
            </w:r>
          </w:p>
        </w:tc>
        <w:tc>
          <w:tcPr>
            <w:tcW w:w="1634" w:type="dxa"/>
            <w:tcBorders>
              <w:top w:val="nil"/>
              <w:left w:val="single" w:sz="7" w:space="0" w:color="000000"/>
              <w:bottom w:val="nil"/>
            </w:tcBorders>
          </w:tcPr>
          <w:p>
            <w:pPr>
              <w:pStyle w:val="TableParagraph"/>
              <w:spacing w:line="195" w:lineRule="exact"/>
              <w:ind w:left="270" w:right="253"/>
              <w:jc w:val="center"/>
              <w:rPr>
                <w:sz w:val="18"/>
              </w:rPr>
            </w:pPr>
            <w:r>
              <w:rPr>
                <w:spacing w:val="-15"/>
                <w:w w:val="90"/>
                <w:sz w:val="18"/>
              </w:rPr>
              <w:t>643.711 </w:t>
            </w:r>
            <w:r>
              <w:rPr>
                <w:w w:val="90"/>
                <w:sz w:val="18"/>
              </w:rPr>
              <w:t>71</w:t>
            </w:r>
          </w:p>
        </w:tc>
        <w:tc>
          <w:tcPr>
            <w:tcW w:w="1552" w:type="dxa"/>
            <w:tcBorders>
              <w:top w:val="nil"/>
              <w:bottom w:val="nil"/>
            </w:tcBorders>
          </w:tcPr>
          <w:p>
            <w:pPr>
              <w:pStyle w:val="TableParagraph"/>
              <w:spacing w:line="192" w:lineRule="exact"/>
              <w:ind w:left="415"/>
              <w:rPr>
                <w:sz w:val="18"/>
              </w:rPr>
            </w:pPr>
            <w:r>
              <w:rPr>
                <w:w w:val="85"/>
                <w:sz w:val="18"/>
              </w:rPr>
              <w:t>12.232 56</w:t>
            </w:r>
          </w:p>
        </w:tc>
        <w:tc>
          <w:tcPr>
            <w:tcW w:w="1528" w:type="dxa"/>
            <w:tcBorders>
              <w:top w:val="nil"/>
              <w:bottom w:val="nil"/>
              <w:right w:val="nil"/>
            </w:tcBorders>
          </w:tcPr>
          <w:p>
            <w:pPr>
              <w:pStyle w:val="TableParagraph"/>
              <w:spacing w:line="195" w:lineRule="exact"/>
              <w:ind w:right="340"/>
              <w:jc w:val="right"/>
              <w:rPr>
                <w:sz w:val="18"/>
              </w:rPr>
            </w:pPr>
            <w:r>
              <w:rPr>
                <w:spacing w:val="-11"/>
                <w:sz w:val="18"/>
              </w:rPr>
              <w:t>9.136</w:t>
            </w:r>
            <w:r>
              <w:rPr>
                <w:spacing w:val="-81"/>
                <w:sz w:val="18"/>
              </w:rPr>
              <w:t> </w:t>
            </w:r>
            <w:r>
              <w:rPr>
                <w:spacing w:val="-22"/>
                <w:sz w:val="18"/>
              </w:rPr>
              <w:t>78</w:t>
            </w:r>
          </w:p>
        </w:tc>
      </w:tr>
      <w:tr>
        <w:trPr>
          <w:trHeight w:val="199" w:hRule="exact"/>
        </w:trPr>
        <w:tc>
          <w:tcPr>
            <w:tcW w:w="993" w:type="dxa"/>
            <w:tcBorders>
              <w:top w:val="nil"/>
              <w:left w:val="nil"/>
              <w:bottom w:val="nil"/>
              <w:right w:val="single" w:sz="7" w:space="0" w:color="000000"/>
            </w:tcBorders>
          </w:tcPr>
          <w:p>
            <w:pPr>
              <w:pStyle w:val="TableParagraph"/>
              <w:spacing w:line="201" w:lineRule="exact"/>
              <w:ind w:left="395"/>
              <w:rPr>
                <w:sz w:val="18"/>
              </w:rPr>
            </w:pPr>
            <w:r>
              <w:rPr>
                <w:w w:val="110"/>
                <w:sz w:val="18"/>
              </w:rPr>
              <w:t>62</w:t>
            </w:r>
          </w:p>
        </w:tc>
        <w:tc>
          <w:tcPr>
            <w:tcW w:w="1634" w:type="dxa"/>
            <w:tcBorders>
              <w:top w:val="nil"/>
              <w:left w:val="single" w:sz="7" w:space="0" w:color="000000"/>
              <w:bottom w:val="nil"/>
            </w:tcBorders>
          </w:tcPr>
          <w:p>
            <w:pPr>
              <w:pStyle w:val="TableParagraph"/>
              <w:spacing w:line="197" w:lineRule="exact"/>
              <w:ind w:left="409"/>
              <w:rPr>
                <w:sz w:val="18"/>
              </w:rPr>
            </w:pPr>
            <w:r>
              <w:rPr>
                <w:w w:val="80"/>
                <w:sz w:val="18"/>
              </w:rPr>
              <w:t>655.358 24</w:t>
            </w:r>
          </w:p>
        </w:tc>
        <w:tc>
          <w:tcPr>
            <w:tcW w:w="1552" w:type="dxa"/>
            <w:tcBorders>
              <w:top w:val="nil"/>
              <w:bottom w:val="nil"/>
            </w:tcBorders>
          </w:tcPr>
          <w:p>
            <w:pPr>
              <w:pStyle w:val="TableParagraph"/>
              <w:spacing w:line="194" w:lineRule="exact"/>
              <w:ind w:left="330" w:right="278"/>
              <w:jc w:val="center"/>
              <w:rPr>
                <w:sz w:val="18"/>
              </w:rPr>
            </w:pPr>
            <w:r>
              <w:rPr>
                <w:spacing w:val="-3"/>
                <w:w w:val="90"/>
                <w:sz w:val="18"/>
              </w:rPr>
              <w:t>11.832</w:t>
            </w:r>
            <w:r>
              <w:rPr>
                <w:spacing w:val="-72"/>
                <w:w w:val="90"/>
                <w:sz w:val="18"/>
              </w:rPr>
              <w:t> </w:t>
            </w:r>
            <w:r>
              <w:rPr>
                <w:spacing w:val="-18"/>
                <w:w w:val="90"/>
                <w:sz w:val="18"/>
              </w:rPr>
              <w:t>70</w:t>
            </w:r>
          </w:p>
        </w:tc>
        <w:tc>
          <w:tcPr>
            <w:tcW w:w="1528" w:type="dxa"/>
            <w:tcBorders>
              <w:top w:val="nil"/>
              <w:bottom w:val="nil"/>
              <w:right w:val="nil"/>
            </w:tcBorders>
          </w:tcPr>
          <w:p>
            <w:pPr>
              <w:pStyle w:val="TableParagraph"/>
              <w:spacing w:line="181" w:lineRule="exact"/>
              <w:ind w:right="386"/>
              <w:jc w:val="right"/>
              <w:rPr>
                <w:rFonts w:ascii="Arial"/>
                <w:b/>
                <w:sz w:val="16"/>
              </w:rPr>
            </w:pPr>
            <w:r>
              <w:rPr>
                <w:rFonts w:ascii="Arial"/>
                <w:b/>
                <w:sz w:val="16"/>
              </w:rPr>
              <w:t>8.766 52</w:t>
            </w:r>
          </w:p>
        </w:tc>
      </w:tr>
      <w:tr>
        <w:trPr>
          <w:trHeight w:val="198" w:hRule="exact"/>
        </w:trPr>
        <w:tc>
          <w:tcPr>
            <w:tcW w:w="993" w:type="dxa"/>
            <w:tcBorders>
              <w:top w:val="nil"/>
              <w:left w:val="nil"/>
              <w:bottom w:val="nil"/>
              <w:right w:val="single" w:sz="7" w:space="0" w:color="000000"/>
            </w:tcBorders>
          </w:tcPr>
          <w:p>
            <w:pPr>
              <w:pStyle w:val="TableParagraph"/>
              <w:spacing w:line="186" w:lineRule="exact"/>
              <w:ind w:left="395"/>
              <w:rPr>
                <w:rFonts w:ascii="Times New Roman"/>
                <w:sz w:val="17"/>
              </w:rPr>
            </w:pPr>
            <w:r>
              <w:rPr>
                <w:rFonts w:ascii="Times New Roman"/>
                <w:w w:val="105"/>
                <w:sz w:val="17"/>
              </w:rPr>
              <w:t>63</w:t>
            </w:r>
          </w:p>
        </w:tc>
        <w:tc>
          <w:tcPr>
            <w:tcW w:w="1634" w:type="dxa"/>
            <w:tcBorders>
              <w:top w:val="nil"/>
              <w:left w:val="single" w:sz="7" w:space="0" w:color="000000"/>
              <w:bottom w:val="nil"/>
            </w:tcBorders>
          </w:tcPr>
          <w:p>
            <w:pPr>
              <w:pStyle w:val="TableParagraph"/>
              <w:spacing w:line="199" w:lineRule="exact"/>
              <w:ind w:left="290" w:right="253"/>
              <w:jc w:val="center"/>
              <w:rPr>
                <w:sz w:val="18"/>
              </w:rPr>
            </w:pPr>
            <w:r>
              <w:rPr>
                <w:w w:val="90"/>
                <w:sz w:val="18"/>
              </w:rPr>
              <w:t>666.921 90</w:t>
            </w:r>
          </w:p>
        </w:tc>
        <w:tc>
          <w:tcPr>
            <w:tcW w:w="1552" w:type="dxa"/>
            <w:tcBorders>
              <w:top w:val="nil"/>
              <w:bottom w:val="nil"/>
            </w:tcBorders>
          </w:tcPr>
          <w:p>
            <w:pPr>
              <w:pStyle w:val="TableParagraph"/>
              <w:spacing w:line="196" w:lineRule="exact"/>
              <w:ind w:left="415"/>
              <w:rPr>
                <w:sz w:val="18"/>
              </w:rPr>
            </w:pPr>
            <w:r>
              <w:rPr>
                <w:spacing w:val="-11"/>
                <w:w w:val="95"/>
                <w:sz w:val="18"/>
              </w:rPr>
              <w:t>11.435</w:t>
            </w:r>
            <w:r>
              <w:rPr>
                <w:spacing w:val="-73"/>
                <w:w w:val="95"/>
                <w:sz w:val="18"/>
              </w:rPr>
              <w:t> </w:t>
            </w:r>
            <w:r>
              <w:rPr>
                <w:spacing w:val="-19"/>
                <w:w w:val="95"/>
                <w:sz w:val="18"/>
              </w:rPr>
              <w:t>68</w:t>
            </w:r>
          </w:p>
        </w:tc>
        <w:tc>
          <w:tcPr>
            <w:tcW w:w="1528" w:type="dxa"/>
            <w:tcBorders>
              <w:top w:val="nil"/>
              <w:bottom w:val="nil"/>
              <w:right w:val="nil"/>
            </w:tcBorders>
          </w:tcPr>
          <w:p>
            <w:pPr>
              <w:pStyle w:val="TableParagraph"/>
              <w:spacing w:line="179" w:lineRule="exact"/>
              <w:ind w:right="378"/>
              <w:jc w:val="right"/>
              <w:rPr>
                <w:rFonts w:ascii="Times New Roman"/>
                <w:b/>
                <w:sz w:val="17"/>
              </w:rPr>
            </w:pPr>
            <w:r>
              <w:rPr>
                <w:rFonts w:ascii="Times New Roman"/>
                <w:b/>
                <w:w w:val="105"/>
                <w:sz w:val="17"/>
              </w:rPr>
              <w:t>8.403 12</w:t>
            </w:r>
          </w:p>
        </w:tc>
      </w:tr>
      <w:tr>
        <w:trPr>
          <w:trHeight w:val="300" w:hRule="exact"/>
        </w:trPr>
        <w:tc>
          <w:tcPr>
            <w:tcW w:w="993" w:type="dxa"/>
            <w:tcBorders>
              <w:top w:val="nil"/>
              <w:left w:val="nil"/>
              <w:bottom w:val="nil"/>
              <w:right w:val="single" w:sz="7" w:space="0" w:color="000000"/>
            </w:tcBorders>
          </w:tcPr>
          <w:p>
            <w:pPr>
              <w:pStyle w:val="TableParagraph"/>
              <w:spacing w:line="188" w:lineRule="exact"/>
              <w:ind w:left="399"/>
              <w:rPr>
                <w:rFonts w:ascii="Times New Roman"/>
                <w:b/>
                <w:sz w:val="18"/>
              </w:rPr>
            </w:pPr>
            <w:r>
              <w:rPr>
                <w:rFonts w:ascii="Times New Roman"/>
                <w:b/>
                <w:w w:val="92"/>
                <w:sz w:val="18"/>
              </w:rPr>
              <w:t>M</w:t>
            </w:r>
          </w:p>
        </w:tc>
        <w:tc>
          <w:tcPr>
            <w:tcW w:w="1634" w:type="dxa"/>
            <w:tcBorders>
              <w:top w:val="nil"/>
              <w:left w:val="single" w:sz="7" w:space="0" w:color="000000"/>
              <w:bottom w:val="nil"/>
            </w:tcBorders>
          </w:tcPr>
          <w:p>
            <w:pPr>
              <w:pStyle w:val="TableParagraph"/>
              <w:spacing w:line="200" w:lineRule="exact"/>
              <w:ind w:left="409"/>
              <w:rPr>
                <w:sz w:val="18"/>
              </w:rPr>
            </w:pPr>
            <w:r>
              <w:rPr>
                <w:spacing w:val="-20"/>
                <w:w w:val="95"/>
                <w:sz w:val="18"/>
              </w:rPr>
              <w:t>678.384 </w:t>
            </w:r>
            <w:r>
              <w:rPr>
                <w:w w:val="95"/>
                <w:sz w:val="18"/>
              </w:rPr>
              <w:t>17</w:t>
            </w:r>
          </w:p>
        </w:tc>
        <w:tc>
          <w:tcPr>
            <w:tcW w:w="1552" w:type="dxa"/>
            <w:tcBorders>
              <w:top w:val="nil"/>
              <w:bottom w:val="nil"/>
            </w:tcBorders>
          </w:tcPr>
          <w:p>
            <w:pPr>
              <w:pStyle w:val="TableParagraph"/>
              <w:spacing w:line="196" w:lineRule="exact"/>
              <w:ind w:left="419"/>
              <w:rPr>
                <w:sz w:val="18"/>
              </w:rPr>
            </w:pPr>
            <w:r>
              <w:rPr>
                <w:w w:val="85"/>
                <w:sz w:val="18"/>
              </w:rPr>
              <w:t>11.042 14</w:t>
            </w:r>
          </w:p>
        </w:tc>
        <w:tc>
          <w:tcPr>
            <w:tcW w:w="1528" w:type="dxa"/>
            <w:tcBorders>
              <w:top w:val="nil"/>
              <w:bottom w:val="nil"/>
              <w:right w:val="nil"/>
            </w:tcBorders>
          </w:tcPr>
          <w:p>
            <w:pPr>
              <w:pStyle w:val="TableParagraph"/>
              <w:spacing w:line="200" w:lineRule="exact"/>
              <w:ind w:right="362"/>
              <w:jc w:val="right"/>
              <w:rPr>
                <w:sz w:val="18"/>
              </w:rPr>
            </w:pPr>
            <w:r>
              <w:rPr>
                <w:spacing w:val="-11"/>
                <w:w w:val="90"/>
                <w:sz w:val="18"/>
              </w:rPr>
              <w:t>8.047 </w:t>
            </w:r>
            <w:r>
              <w:rPr>
                <w:w w:val="90"/>
                <w:sz w:val="18"/>
              </w:rPr>
              <w:t>12</w:t>
            </w:r>
          </w:p>
        </w:tc>
      </w:tr>
      <w:tr>
        <w:trPr>
          <w:trHeight w:val="301" w:hRule="exact"/>
        </w:trPr>
        <w:tc>
          <w:tcPr>
            <w:tcW w:w="993" w:type="dxa"/>
            <w:tcBorders>
              <w:top w:val="nil"/>
              <w:left w:val="nil"/>
              <w:bottom w:val="nil"/>
              <w:right w:val="single" w:sz="7" w:space="0" w:color="000000"/>
            </w:tcBorders>
          </w:tcPr>
          <w:p>
            <w:pPr>
              <w:pStyle w:val="TableParagraph"/>
              <w:spacing w:before="99"/>
              <w:ind w:left="399"/>
              <w:rPr>
                <w:sz w:val="18"/>
              </w:rPr>
            </w:pPr>
            <w:r>
              <w:rPr>
                <w:sz w:val="18"/>
              </w:rPr>
              <w:t>65</w:t>
            </w:r>
          </w:p>
        </w:tc>
        <w:tc>
          <w:tcPr>
            <w:tcW w:w="1634" w:type="dxa"/>
            <w:tcBorders>
              <w:top w:val="nil"/>
              <w:left w:val="single" w:sz="7" w:space="0" w:color="000000"/>
              <w:bottom w:val="nil"/>
            </w:tcBorders>
          </w:tcPr>
          <w:p>
            <w:pPr>
              <w:pStyle w:val="TableParagraph"/>
              <w:spacing w:before="96"/>
              <w:ind w:left="292" w:right="253"/>
              <w:jc w:val="center"/>
              <w:rPr>
                <w:sz w:val="18"/>
              </w:rPr>
            </w:pPr>
            <w:r>
              <w:rPr>
                <w:w w:val="95"/>
                <w:sz w:val="18"/>
              </w:rPr>
              <w:t>689.725 39</w:t>
            </w:r>
          </w:p>
        </w:tc>
        <w:tc>
          <w:tcPr>
            <w:tcW w:w="1552" w:type="dxa"/>
            <w:tcBorders>
              <w:top w:val="nil"/>
              <w:bottom w:val="nil"/>
            </w:tcBorders>
          </w:tcPr>
          <w:p>
            <w:pPr>
              <w:pStyle w:val="TableParagraph"/>
              <w:spacing w:before="88"/>
              <w:ind w:left="330" w:right="279"/>
              <w:jc w:val="center"/>
              <w:rPr>
                <w:sz w:val="18"/>
              </w:rPr>
            </w:pPr>
            <w:r>
              <w:rPr>
                <w:spacing w:val="-13"/>
                <w:w w:val="95"/>
                <w:sz w:val="18"/>
              </w:rPr>
              <w:t>10.652</w:t>
            </w:r>
            <w:r>
              <w:rPr>
                <w:spacing w:val="-67"/>
                <w:w w:val="95"/>
                <w:sz w:val="18"/>
              </w:rPr>
              <w:t> </w:t>
            </w:r>
            <w:r>
              <w:rPr>
                <w:spacing w:val="-19"/>
                <w:w w:val="95"/>
                <w:sz w:val="18"/>
              </w:rPr>
              <w:t>76</w:t>
            </w:r>
          </w:p>
        </w:tc>
        <w:tc>
          <w:tcPr>
            <w:tcW w:w="1528" w:type="dxa"/>
            <w:tcBorders>
              <w:top w:val="nil"/>
              <w:bottom w:val="nil"/>
              <w:right w:val="nil"/>
            </w:tcBorders>
          </w:tcPr>
          <w:p>
            <w:pPr>
              <w:pStyle w:val="TableParagraph"/>
              <w:spacing w:before="96"/>
              <w:ind w:right="370"/>
              <w:jc w:val="right"/>
              <w:rPr>
                <w:sz w:val="18"/>
              </w:rPr>
            </w:pPr>
            <w:r>
              <w:rPr>
                <w:spacing w:val="-20"/>
                <w:w w:val="95"/>
                <w:sz w:val="18"/>
              </w:rPr>
              <w:t>7.699 </w:t>
            </w:r>
            <w:r>
              <w:rPr>
                <w:w w:val="95"/>
                <w:sz w:val="18"/>
              </w:rPr>
              <w:t>24</w:t>
            </w:r>
          </w:p>
        </w:tc>
      </w:tr>
      <w:tr>
        <w:trPr>
          <w:trHeight w:val="198" w:hRule="exact"/>
        </w:trPr>
        <w:tc>
          <w:tcPr>
            <w:tcW w:w="993" w:type="dxa"/>
            <w:tcBorders>
              <w:top w:val="nil"/>
              <w:left w:val="nil"/>
              <w:bottom w:val="nil"/>
              <w:right w:val="single" w:sz="7" w:space="0" w:color="000000"/>
            </w:tcBorders>
          </w:tcPr>
          <w:p>
            <w:pPr>
              <w:pStyle w:val="TableParagraph"/>
              <w:spacing w:line="181" w:lineRule="exact"/>
              <w:ind w:left="399"/>
              <w:rPr>
                <w:rFonts w:ascii="Times New Roman"/>
                <w:sz w:val="16"/>
              </w:rPr>
            </w:pPr>
            <w:r>
              <w:rPr>
                <w:rFonts w:ascii="Times New Roman"/>
                <w:w w:val="105"/>
                <w:sz w:val="16"/>
              </w:rPr>
              <w:t>66</w:t>
            </w:r>
          </w:p>
        </w:tc>
        <w:tc>
          <w:tcPr>
            <w:tcW w:w="1634" w:type="dxa"/>
            <w:tcBorders>
              <w:top w:val="nil"/>
              <w:left w:val="single" w:sz="7" w:space="0" w:color="000000"/>
              <w:bottom w:val="nil"/>
            </w:tcBorders>
          </w:tcPr>
          <w:p>
            <w:pPr>
              <w:pStyle w:val="TableParagraph"/>
              <w:spacing w:line="197" w:lineRule="exact"/>
              <w:ind w:left="294" w:right="253"/>
              <w:jc w:val="center"/>
              <w:rPr>
                <w:sz w:val="18"/>
              </w:rPr>
            </w:pPr>
            <w:r>
              <w:rPr>
                <w:spacing w:val="-27"/>
                <w:w w:val="105"/>
                <w:sz w:val="18"/>
              </w:rPr>
              <w:t>700.921</w:t>
            </w:r>
            <w:r>
              <w:rPr>
                <w:spacing w:val="-77"/>
                <w:w w:val="105"/>
                <w:sz w:val="18"/>
              </w:rPr>
              <w:t> </w:t>
            </w:r>
            <w:r>
              <w:rPr>
                <w:spacing w:val="-16"/>
                <w:w w:val="105"/>
                <w:sz w:val="18"/>
              </w:rPr>
              <w:t>36</w:t>
            </w:r>
          </w:p>
        </w:tc>
        <w:tc>
          <w:tcPr>
            <w:tcW w:w="1552" w:type="dxa"/>
            <w:tcBorders>
              <w:top w:val="nil"/>
              <w:bottom w:val="nil"/>
            </w:tcBorders>
          </w:tcPr>
          <w:p>
            <w:pPr>
              <w:pStyle w:val="TableParagraph"/>
              <w:spacing w:line="190" w:lineRule="exact"/>
              <w:ind w:left="419"/>
              <w:rPr>
                <w:sz w:val="18"/>
              </w:rPr>
            </w:pPr>
            <w:r>
              <w:rPr>
                <w:spacing w:val="-6"/>
                <w:w w:val="90"/>
                <w:sz w:val="18"/>
              </w:rPr>
              <w:t>10.268</w:t>
            </w:r>
            <w:r>
              <w:rPr>
                <w:spacing w:val="-75"/>
                <w:w w:val="90"/>
                <w:sz w:val="18"/>
              </w:rPr>
              <w:t> </w:t>
            </w:r>
            <w:r>
              <w:rPr>
                <w:spacing w:val="-14"/>
                <w:w w:val="90"/>
                <w:sz w:val="18"/>
              </w:rPr>
              <w:t>37</w:t>
            </w:r>
          </w:p>
        </w:tc>
        <w:tc>
          <w:tcPr>
            <w:tcW w:w="1528" w:type="dxa"/>
            <w:tcBorders>
              <w:top w:val="nil"/>
              <w:bottom w:val="nil"/>
              <w:right w:val="nil"/>
            </w:tcBorders>
          </w:tcPr>
          <w:p>
            <w:pPr>
              <w:pStyle w:val="TableParagraph"/>
              <w:spacing w:line="197" w:lineRule="exact"/>
              <w:ind w:right="370"/>
              <w:jc w:val="right"/>
              <w:rPr>
                <w:sz w:val="18"/>
              </w:rPr>
            </w:pPr>
            <w:r>
              <w:rPr>
                <w:w w:val="80"/>
                <w:sz w:val="18"/>
              </w:rPr>
              <w:t>7.360 15</w:t>
            </w:r>
          </w:p>
        </w:tc>
      </w:tr>
      <w:tr>
        <w:trPr>
          <w:trHeight w:val="200" w:hRule="exact"/>
        </w:trPr>
        <w:tc>
          <w:tcPr>
            <w:tcW w:w="993" w:type="dxa"/>
            <w:tcBorders>
              <w:top w:val="nil"/>
              <w:left w:val="nil"/>
              <w:bottom w:val="nil"/>
              <w:right w:val="single" w:sz="7" w:space="0" w:color="000000"/>
            </w:tcBorders>
          </w:tcPr>
          <w:p>
            <w:pPr>
              <w:pStyle w:val="TableParagraph"/>
              <w:spacing w:line="197" w:lineRule="exact"/>
              <w:ind w:left="399"/>
              <w:rPr>
                <w:sz w:val="18"/>
              </w:rPr>
            </w:pPr>
            <w:r>
              <w:rPr>
                <w:w w:val="110"/>
                <w:sz w:val="18"/>
              </w:rPr>
              <w:t>67</w:t>
            </w:r>
          </w:p>
        </w:tc>
        <w:tc>
          <w:tcPr>
            <w:tcW w:w="1634" w:type="dxa"/>
            <w:tcBorders>
              <w:top w:val="nil"/>
              <w:left w:val="single" w:sz="7" w:space="0" w:color="000000"/>
              <w:bottom w:val="nil"/>
            </w:tcBorders>
          </w:tcPr>
          <w:p>
            <w:pPr>
              <w:pStyle w:val="TableParagraph"/>
              <w:spacing w:line="197" w:lineRule="exact"/>
              <w:ind w:left="293" w:right="253"/>
              <w:jc w:val="center"/>
              <w:rPr>
                <w:sz w:val="18"/>
              </w:rPr>
            </w:pPr>
            <w:r>
              <w:rPr>
                <w:spacing w:val="-11"/>
                <w:w w:val="90"/>
                <w:sz w:val="18"/>
              </w:rPr>
              <w:t>711.941</w:t>
            </w:r>
            <w:r>
              <w:rPr>
                <w:spacing w:val="-66"/>
                <w:w w:val="90"/>
                <w:sz w:val="18"/>
              </w:rPr>
              <w:t> </w:t>
            </w:r>
            <w:r>
              <w:rPr>
                <w:w w:val="90"/>
                <w:sz w:val="18"/>
              </w:rPr>
              <w:t>88</w:t>
            </w:r>
          </w:p>
        </w:tc>
        <w:tc>
          <w:tcPr>
            <w:tcW w:w="1552" w:type="dxa"/>
            <w:tcBorders>
              <w:top w:val="nil"/>
              <w:bottom w:val="nil"/>
            </w:tcBorders>
          </w:tcPr>
          <w:p>
            <w:pPr>
              <w:pStyle w:val="TableParagraph"/>
              <w:spacing w:line="194" w:lineRule="exact"/>
              <w:ind w:left="330" w:right="218"/>
              <w:jc w:val="center"/>
              <w:rPr>
                <w:sz w:val="18"/>
              </w:rPr>
            </w:pPr>
            <w:r>
              <w:rPr>
                <w:spacing w:val="-11"/>
                <w:w w:val="90"/>
                <w:sz w:val="18"/>
              </w:rPr>
              <w:t>9.890 </w:t>
            </w:r>
            <w:r>
              <w:rPr>
                <w:w w:val="90"/>
                <w:sz w:val="18"/>
              </w:rPr>
              <w:t>00</w:t>
            </w:r>
          </w:p>
        </w:tc>
        <w:tc>
          <w:tcPr>
            <w:tcW w:w="1528" w:type="dxa"/>
            <w:tcBorders>
              <w:top w:val="nil"/>
              <w:bottom w:val="nil"/>
              <w:right w:val="nil"/>
            </w:tcBorders>
          </w:tcPr>
          <w:p>
            <w:pPr>
              <w:pStyle w:val="TableParagraph"/>
              <w:spacing w:line="201" w:lineRule="exact"/>
              <w:ind w:right="365"/>
              <w:jc w:val="right"/>
              <w:rPr>
                <w:sz w:val="18"/>
              </w:rPr>
            </w:pPr>
            <w:r>
              <w:rPr>
                <w:spacing w:val="-30"/>
                <w:w w:val="103"/>
                <w:sz w:val="18"/>
              </w:rPr>
              <w:t>7</w:t>
            </w:r>
            <w:r>
              <w:rPr>
                <w:w w:val="34"/>
                <w:sz w:val="18"/>
              </w:rPr>
              <w:t>..</w:t>
            </w:r>
            <w:r>
              <w:rPr>
                <w:w w:val="82"/>
                <w:sz w:val="18"/>
              </w:rPr>
              <w:t>030</w:t>
            </w:r>
            <w:r>
              <w:rPr>
                <w:spacing w:val="-61"/>
                <w:sz w:val="18"/>
              </w:rPr>
              <w:t> </w:t>
            </w:r>
            <w:r>
              <w:rPr>
                <w:w w:val="87"/>
                <w:sz w:val="18"/>
              </w:rPr>
              <w:t>96</w:t>
            </w:r>
          </w:p>
        </w:tc>
      </w:tr>
      <w:tr>
        <w:trPr>
          <w:trHeight w:val="198" w:hRule="exact"/>
        </w:trPr>
        <w:tc>
          <w:tcPr>
            <w:tcW w:w="993" w:type="dxa"/>
            <w:tcBorders>
              <w:top w:val="nil"/>
              <w:left w:val="nil"/>
              <w:bottom w:val="nil"/>
              <w:right w:val="single" w:sz="7" w:space="0" w:color="000000"/>
            </w:tcBorders>
          </w:tcPr>
          <w:p>
            <w:pPr>
              <w:pStyle w:val="TableParagraph"/>
              <w:spacing w:line="199" w:lineRule="exact"/>
              <w:ind w:left="395"/>
              <w:rPr>
                <w:sz w:val="18"/>
              </w:rPr>
            </w:pPr>
            <w:r>
              <w:rPr>
                <w:sz w:val="18"/>
              </w:rPr>
              <w:t>68</w:t>
            </w:r>
          </w:p>
        </w:tc>
        <w:tc>
          <w:tcPr>
            <w:tcW w:w="1634" w:type="dxa"/>
            <w:tcBorders>
              <w:top w:val="nil"/>
              <w:left w:val="single" w:sz="7" w:space="0" w:color="000000"/>
              <w:bottom w:val="nil"/>
            </w:tcBorders>
          </w:tcPr>
          <w:p>
            <w:pPr>
              <w:pStyle w:val="TableParagraph"/>
              <w:spacing w:line="195" w:lineRule="exact"/>
              <w:ind w:left="270" w:right="253"/>
              <w:jc w:val="center"/>
              <w:rPr>
                <w:sz w:val="18"/>
              </w:rPr>
            </w:pPr>
            <w:r>
              <w:rPr>
                <w:w w:val="90"/>
                <w:sz w:val="18"/>
              </w:rPr>
              <w:t>722.753 71</w:t>
            </w:r>
          </w:p>
        </w:tc>
        <w:tc>
          <w:tcPr>
            <w:tcW w:w="1552" w:type="dxa"/>
            <w:tcBorders>
              <w:top w:val="nil"/>
              <w:bottom w:val="nil"/>
            </w:tcBorders>
          </w:tcPr>
          <w:p>
            <w:pPr>
              <w:pStyle w:val="TableParagraph"/>
              <w:spacing w:line="192" w:lineRule="exact"/>
              <w:ind w:left="484"/>
              <w:rPr>
                <w:sz w:val="18"/>
              </w:rPr>
            </w:pPr>
            <w:r>
              <w:rPr>
                <w:sz w:val="18"/>
              </w:rPr>
              <w:t>9.518 79</w:t>
            </w:r>
          </w:p>
        </w:tc>
        <w:tc>
          <w:tcPr>
            <w:tcW w:w="1528" w:type="dxa"/>
            <w:tcBorders>
              <w:top w:val="nil"/>
              <w:bottom w:val="nil"/>
              <w:right w:val="nil"/>
            </w:tcBorders>
          </w:tcPr>
          <w:p>
            <w:pPr>
              <w:pStyle w:val="TableParagraph"/>
              <w:spacing w:line="199" w:lineRule="exact"/>
              <w:ind w:right="366"/>
              <w:jc w:val="right"/>
              <w:rPr>
                <w:sz w:val="18"/>
              </w:rPr>
            </w:pPr>
            <w:r>
              <w:rPr>
                <w:spacing w:val="-9"/>
                <w:w w:val="95"/>
                <w:sz w:val="18"/>
              </w:rPr>
              <w:t>6.712</w:t>
            </w:r>
            <w:r>
              <w:rPr>
                <w:spacing w:val="-66"/>
                <w:w w:val="95"/>
                <w:sz w:val="18"/>
              </w:rPr>
              <w:t> </w:t>
            </w:r>
            <w:r>
              <w:rPr>
                <w:spacing w:val="-24"/>
                <w:w w:val="95"/>
                <w:sz w:val="18"/>
              </w:rPr>
              <w:t>87</w:t>
            </w:r>
          </w:p>
        </w:tc>
      </w:tr>
      <w:tr>
        <w:trPr>
          <w:trHeight w:val="242" w:hRule="exact"/>
        </w:trPr>
        <w:tc>
          <w:tcPr>
            <w:tcW w:w="993" w:type="dxa"/>
            <w:tcBorders>
              <w:top w:val="nil"/>
              <w:left w:val="nil"/>
              <w:bottom w:val="nil"/>
              <w:right w:val="single" w:sz="7" w:space="0" w:color="000000"/>
            </w:tcBorders>
          </w:tcPr>
          <w:p>
            <w:pPr>
              <w:pStyle w:val="TableParagraph"/>
              <w:spacing w:line="195" w:lineRule="exact"/>
              <w:ind w:left="399"/>
              <w:rPr>
                <w:sz w:val="18"/>
              </w:rPr>
            </w:pPr>
            <w:r>
              <w:rPr>
                <w:w w:val="115"/>
                <w:sz w:val="18"/>
              </w:rPr>
              <w:t>69</w:t>
            </w:r>
          </w:p>
        </w:tc>
        <w:tc>
          <w:tcPr>
            <w:tcW w:w="1634" w:type="dxa"/>
            <w:tcBorders>
              <w:top w:val="nil"/>
              <w:left w:val="single" w:sz="7" w:space="0" w:color="000000"/>
              <w:bottom w:val="nil"/>
            </w:tcBorders>
          </w:tcPr>
          <w:p>
            <w:pPr>
              <w:pStyle w:val="TableParagraph"/>
              <w:spacing w:line="195" w:lineRule="exact"/>
              <w:ind w:left="413"/>
              <w:rPr>
                <w:sz w:val="18"/>
              </w:rPr>
            </w:pPr>
            <w:r>
              <w:rPr>
                <w:w w:val="90"/>
                <w:sz w:val="18"/>
              </w:rPr>
              <w:t>733.321 15</w:t>
            </w:r>
          </w:p>
        </w:tc>
        <w:tc>
          <w:tcPr>
            <w:tcW w:w="1552" w:type="dxa"/>
            <w:tcBorders>
              <w:top w:val="nil"/>
              <w:bottom w:val="nil"/>
            </w:tcBorders>
          </w:tcPr>
          <w:p>
            <w:pPr>
              <w:pStyle w:val="TableParagraph"/>
              <w:spacing w:line="192" w:lineRule="exact"/>
              <w:ind w:left="487"/>
              <w:rPr>
                <w:sz w:val="18"/>
              </w:rPr>
            </w:pPr>
            <w:r>
              <w:rPr>
                <w:spacing w:val="-11"/>
                <w:sz w:val="18"/>
              </w:rPr>
              <w:t>9.155</w:t>
            </w:r>
            <w:r>
              <w:rPr>
                <w:spacing w:val="-81"/>
                <w:sz w:val="18"/>
              </w:rPr>
              <w:t> </w:t>
            </w:r>
            <w:r>
              <w:rPr>
                <w:spacing w:val="-21"/>
                <w:sz w:val="18"/>
              </w:rPr>
              <w:t>98</w:t>
            </w:r>
          </w:p>
        </w:tc>
        <w:tc>
          <w:tcPr>
            <w:tcW w:w="1528" w:type="dxa"/>
            <w:tcBorders>
              <w:top w:val="nil"/>
              <w:bottom w:val="nil"/>
              <w:right w:val="nil"/>
            </w:tcBorders>
          </w:tcPr>
          <w:p>
            <w:pPr>
              <w:pStyle w:val="TableParagraph"/>
              <w:spacing w:line="199" w:lineRule="exact"/>
              <w:ind w:right="366"/>
              <w:jc w:val="right"/>
              <w:rPr>
                <w:sz w:val="18"/>
              </w:rPr>
            </w:pPr>
            <w:r>
              <w:rPr>
                <w:spacing w:val="-13"/>
                <w:w w:val="90"/>
                <w:sz w:val="18"/>
              </w:rPr>
              <w:t>6.407 </w:t>
            </w:r>
            <w:r>
              <w:rPr>
                <w:w w:val="90"/>
                <w:sz w:val="18"/>
              </w:rPr>
              <w:t>22</w:t>
            </w:r>
          </w:p>
        </w:tc>
      </w:tr>
    </w:tbl>
    <w:p>
      <w:pPr>
        <w:pStyle w:val="BodyText"/>
        <w:spacing w:before="6"/>
        <w:rPr>
          <w:sz w:val="4"/>
        </w:rPr>
      </w:pPr>
    </w:p>
    <w:p>
      <w:pPr>
        <w:pStyle w:val="BodyText"/>
        <w:spacing w:line="20" w:lineRule="exact"/>
        <w:ind w:left="151"/>
        <w:rPr>
          <w:sz w:val="2"/>
        </w:rPr>
      </w:pPr>
      <w:r>
        <w:rPr>
          <w:sz w:val="2"/>
        </w:rPr>
        <w:pict>
          <v:group style="width:283.350pt;height:.9pt;mso-position-horizontal-relative:char;mso-position-vertical-relative:line" coordorigin="0,0" coordsize="5667,18">
            <v:line style="position:absolute" from="9,9" to="5657,9" stroked="true" strokeweight=".9pt" strokecolor="#000000"/>
          </v:group>
        </w:pict>
      </w:r>
      <w:r>
        <w:rPr>
          <w:sz w:val="2"/>
        </w:rPr>
      </w:r>
    </w:p>
    <w:p>
      <w:pPr>
        <w:spacing w:after="0" w:line="20" w:lineRule="exact"/>
        <w:rPr>
          <w:sz w:val="2"/>
        </w:rPr>
        <w:sectPr>
          <w:pgSz w:w="7200" w:h="11340"/>
          <w:pgMar w:top="480" w:bottom="280" w:left="700" w:right="540"/>
        </w:sectPr>
      </w:pPr>
    </w:p>
    <w:p>
      <w:pPr>
        <w:tabs>
          <w:tab w:pos="2500" w:val="left" w:leader="none"/>
        </w:tabs>
        <w:spacing w:before="50"/>
        <w:ind w:left="132" w:right="739" w:firstLine="0"/>
        <w:jc w:val="left"/>
        <w:rPr>
          <w:sz w:val="16"/>
        </w:rPr>
      </w:pPr>
      <w:r>
        <w:rPr>
          <w:rFonts w:ascii="Arial"/>
          <w:w w:val="110"/>
          <w:position w:val="-2"/>
          <w:sz w:val="18"/>
        </w:rPr>
        <w:t>344</w:t>
        <w:tab/>
      </w:r>
      <w:r>
        <w:rPr>
          <w:b/>
          <w:w w:val="110"/>
          <w:sz w:val="14"/>
        </w:rPr>
        <w:t>APPJCNDIX</w:t>
      </w:r>
      <w:r>
        <w:rPr>
          <w:b/>
          <w:spacing w:val="31"/>
          <w:w w:val="110"/>
          <w:sz w:val="14"/>
        </w:rPr>
        <w:t> </w:t>
      </w:r>
      <w:r>
        <w:rPr>
          <w:w w:val="110"/>
          <w:sz w:val="16"/>
        </w:rPr>
        <w:t>I</w:t>
      </w:r>
    </w:p>
    <w:p>
      <w:pPr>
        <w:spacing w:before="124"/>
        <w:ind w:left="74" w:right="26" w:firstLine="0"/>
        <w:jc w:val="center"/>
        <w:rPr>
          <w:sz w:val="20"/>
        </w:rPr>
      </w:pPr>
      <w:r>
        <w:rPr>
          <w:sz w:val="20"/>
        </w:rPr>
        <w:t>t9S8 </w:t>
      </w:r>
      <w:r>
        <w:rPr>
          <w:sz w:val="28"/>
        </w:rPr>
        <w:t>eso </w:t>
      </w:r>
      <w:r>
        <w:rPr>
          <w:sz w:val="20"/>
        </w:rPr>
        <w:t>3%</w:t>
      </w:r>
    </w:p>
    <w:p>
      <w:pPr>
        <w:spacing w:before="1" w:after="57"/>
        <w:ind w:left="74" w:right="50" w:firstLine="0"/>
        <w:jc w:val="center"/>
        <w:rPr>
          <w:sz w:val="18"/>
        </w:rPr>
      </w:pPr>
      <w:r>
        <w:rPr>
          <w:sz w:val="18"/>
        </w:rPr>
        <w:t>Male  Livea</w:t>
      </w: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15"/>
        <w:gridCol w:w="1634"/>
        <w:gridCol w:w="1553"/>
        <w:gridCol w:w="1525"/>
      </w:tblGrid>
      <w:tr>
        <w:trPr>
          <w:trHeight w:val="395" w:hRule="exact"/>
        </w:trPr>
        <w:tc>
          <w:tcPr>
            <w:tcW w:w="1015" w:type="dxa"/>
            <w:tcBorders>
              <w:left w:val="nil"/>
            </w:tcBorders>
          </w:tcPr>
          <w:p>
            <w:pPr>
              <w:pStyle w:val="TableParagraph"/>
              <w:spacing w:before="4"/>
              <w:rPr>
                <w:rFonts w:ascii="Times New Roman"/>
                <w:sz w:val="10"/>
              </w:rPr>
            </w:pPr>
          </w:p>
          <w:p>
            <w:pPr>
              <w:pStyle w:val="TableParagraph"/>
              <w:spacing w:before="1"/>
              <w:ind w:left="482"/>
              <w:rPr>
                <w:rFonts w:ascii="Times New Roman"/>
                <w:b/>
                <w:sz w:val="10"/>
              </w:rPr>
            </w:pPr>
            <w:r>
              <w:rPr>
                <w:rFonts w:ascii="Times New Roman"/>
                <w:b/>
                <w:w w:val="105"/>
                <w:sz w:val="10"/>
              </w:rPr>
              <w:t>,r</w:t>
            </w:r>
          </w:p>
        </w:tc>
        <w:tc>
          <w:tcPr>
            <w:tcW w:w="1634" w:type="dxa"/>
          </w:tcPr>
          <w:p>
            <w:pPr>
              <w:pStyle w:val="TableParagraph"/>
              <w:spacing w:before="6"/>
              <w:rPr>
                <w:rFonts w:ascii="Times New Roman"/>
                <w:sz w:val="9"/>
              </w:rPr>
            </w:pPr>
          </w:p>
          <w:p>
            <w:pPr>
              <w:pStyle w:val="TableParagraph"/>
              <w:ind w:left="243" w:right="226"/>
              <w:jc w:val="center"/>
              <w:rPr>
                <w:rFonts w:ascii="Times New Roman"/>
                <w:b/>
                <w:sz w:val="13"/>
              </w:rPr>
            </w:pPr>
            <w:r>
              <w:rPr>
                <w:rFonts w:ascii="Times New Roman"/>
                <w:b/>
                <w:w w:val="90"/>
                <w:sz w:val="13"/>
              </w:rPr>
              <w:t>1000.A.s</w:t>
            </w:r>
          </w:p>
        </w:tc>
        <w:tc>
          <w:tcPr>
            <w:tcW w:w="1553" w:type="dxa"/>
          </w:tcPr>
          <w:p>
            <w:pPr>
              <w:pStyle w:val="TableParagraph"/>
              <w:spacing w:before="109"/>
              <w:ind w:left="279" w:right="255"/>
              <w:jc w:val="center"/>
              <w:rPr>
                <w:rFonts w:ascii="Times New Roman"/>
                <w:b/>
                <w:i/>
                <w:sz w:val="15"/>
              </w:rPr>
            </w:pPr>
            <w:r>
              <w:rPr>
                <w:rFonts w:ascii="Times New Roman"/>
                <w:b/>
                <w:i/>
                <w:sz w:val="15"/>
              </w:rPr>
              <w:t>l.s</w:t>
            </w:r>
          </w:p>
        </w:tc>
        <w:tc>
          <w:tcPr>
            <w:tcW w:w="1525" w:type="dxa"/>
            <w:tcBorders>
              <w:right w:val="nil"/>
            </w:tcBorders>
          </w:tcPr>
          <w:p>
            <w:pPr>
              <w:pStyle w:val="TableParagraph"/>
              <w:spacing w:before="111"/>
              <w:ind w:left="656" w:right="629"/>
              <w:jc w:val="center"/>
              <w:rPr>
                <w:rFonts w:ascii="Times New Roman"/>
                <w:i/>
                <w:sz w:val="14"/>
              </w:rPr>
            </w:pPr>
            <w:r>
              <w:rPr>
                <w:rFonts w:ascii="Times New Roman"/>
                <w:i/>
                <w:w w:val="175"/>
                <w:sz w:val="14"/>
              </w:rPr>
              <w:t>la</w:t>
            </w:r>
          </w:p>
        </w:tc>
      </w:tr>
      <w:tr>
        <w:trPr>
          <w:trHeight w:val="310" w:hRule="exact"/>
        </w:trPr>
        <w:tc>
          <w:tcPr>
            <w:tcW w:w="1015" w:type="dxa"/>
            <w:tcBorders>
              <w:left w:val="nil"/>
              <w:bottom w:val="nil"/>
            </w:tcBorders>
          </w:tcPr>
          <w:p>
            <w:pPr>
              <w:pStyle w:val="TableParagraph"/>
              <w:spacing w:before="95"/>
              <w:ind w:left="421"/>
              <w:rPr>
                <w:sz w:val="19"/>
              </w:rPr>
            </w:pPr>
            <w:r>
              <w:rPr>
                <w:w w:val="115"/>
                <w:sz w:val="19"/>
              </w:rPr>
              <w:t>70</w:t>
            </w:r>
          </w:p>
        </w:tc>
        <w:tc>
          <w:tcPr>
            <w:tcW w:w="1634" w:type="dxa"/>
            <w:tcBorders>
              <w:bottom w:val="nil"/>
            </w:tcBorders>
          </w:tcPr>
          <w:p>
            <w:pPr>
              <w:pStyle w:val="TableParagraph"/>
              <w:spacing w:before="92"/>
              <w:ind w:left="252" w:right="226"/>
              <w:jc w:val="center"/>
              <w:rPr>
                <w:sz w:val="19"/>
              </w:rPr>
            </w:pPr>
            <w:r>
              <w:rPr>
                <w:sz w:val="19"/>
              </w:rPr>
              <w:t>7 </w:t>
            </w:r>
            <w:r>
              <w:rPr>
                <w:spacing w:val="-29"/>
                <w:sz w:val="19"/>
              </w:rPr>
              <w:t>.627</w:t>
            </w:r>
            <w:r>
              <w:rPr>
                <w:spacing w:val="-88"/>
                <w:sz w:val="19"/>
              </w:rPr>
              <w:t> </w:t>
            </w:r>
            <w:r>
              <w:rPr>
                <w:sz w:val="19"/>
              </w:rPr>
              <w:t>53</w:t>
            </w:r>
          </w:p>
        </w:tc>
        <w:tc>
          <w:tcPr>
            <w:tcW w:w="1553" w:type="dxa"/>
            <w:tcBorders>
              <w:bottom w:val="nil"/>
            </w:tcBorders>
          </w:tcPr>
          <w:p>
            <w:pPr>
              <w:pStyle w:val="TableParagraph"/>
              <w:spacing w:before="88"/>
              <w:ind w:left="377" w:right="246"/>
              <w:jc w:val="center"/>
              <w:rPr>
                <w:sz w:val="19"/>
              </w:rPr>
            </w:pPr>
            <w:r>
              <w:rPr>
                <w:w w:val="85"/>
                <w:sz w:val="19"/>
              </w:rPr>
              <w:t>8.800 12</w:t>
            </w:r>
          </w:p>
        </w:tc>
        <w:tc>
          <w:tcPr>
            <w:tcW w:w="1525" w:type="dxa"/>
            <w:tcBorders>
              <w:bottom w:val="nil"/>
              <w:right w:val="nil"/>
            </w:tcBorders>
          </w:tcPr>
          <w:p>
            <w:pPr>
              <w:pStyle w:val="TableParagraph"/>
              <w:spacing w:before="85"/>
              <w:ind w:right="325"/>
              <w:jc w:val="right"/>
              <w:rPr>
                <w:sz w:val="19"/>
              </w:rPr>
            </w:pPr>
            <w:r>
              <w:rPr>
                <w:spacing w:val="-12"/>
                <w:w w:val="95"/>
                <w:sz w:val="19"/>
              </w:rPr>
              <w:t>6.114</w:t>
            </w:r>
            <w:r>
              <w:rPr>
                <w:spacing w:val="-80"/>
                <w:w w:val="95"/>
                <w:sz w:val="19"/>
              </w:rPr>
              <w:t> </w:t>
            </w:r>
            <w:r>
              <w:rPr>
                <w:spacing w:val="-21"/>
                <w:w w:val="95"/>
                <w:sz w:val="19"/>
              </w:rPr>
              <w:t>48</w:t>
            </w:r>
          </w:p>
        </w:tc>
      </w:tr>
      <w:tr>
        <w:trPr>
          <w:trHeight w:val="198" w:hRule="exact"/>
        </w:trPr>
        <w:tc>
          <w:tcPr>
            <w:tcW w:w="1015" w:type="dxa"/>
            <w:tcBorders>
              <w:top w:val="nil"/>
              <w:left w:val="nil"/>
              <w:bottom w:val="nil"/>
            </w:tcBorders>
          </w:tcPr>
          <w:p>
            <w:pPr>
              <w:pStyle w:val="TableParagraph"/>
              <w:spacing w:before="2"/>
              <w:ind w:left="421"/>
              <w:rPr>
                <w:rFonts w:ascii="Arial"/>
                <w:sz w:val="16"/>
              </w:rPr>
            </w:pPr>
            <w:r>
              <w:rPr>
                <w:rFonts w:ascii="Arial"/>
                <w:w w:val="105"/>
                <w:sz w:val="16"/>
              </w:rPr>
              <w:t>71</w:t>
            </w:r>
          </w:p>
        </w:tc>
        <w:tc>
          <w:tcPr>
            <w:tcW w:w="1634" w:type="dxa"/>
            <w:tcBorders>
              <w:top w:val="nil"/>
              <w:bottom w:val="nil"/>
            </w:tcBorders>
          </w:tcPr>
          <w:p>
            <w:pPr>
              <w:pStyle w:val="TableParagraph"/>
              <w:spacing w:line="202" w:lineRule="exact"/>
              <w:ind w:left="264" w:right="221"/>
              <w:jc w:val="center"/>
              <w:rPr>
                <w:sz w:val="19"/>
              </w:rPr>
            </w:pPr>
            <w:r>
              <w:rPr>
                <w:w w:val="95"/>
                <w:sz w:val="19"/>
              </w:rPr>
              <w:t>753.671 76</w:t>
            </w:r>
          </w:p>
        </w:tc>
        <w:tc>
          <w:tcPr>
            <w:tcW w:w="1553" w:type="dxa"/>
            <w:tcBorders>
              <w:top w:val="nil"/>
              <w:bottom w:val="nil"/>
            </w:tcBorders>
          </w:tcPr>
          <w:p>
            <w:pPr>
              <w:pStyle w:val="TableParagraph"/>
              <w:spacing w:line="199" w:lineRule="exact"/>
              <w:ind w:left="496"/>
              <w:rPr>
                <w:sz w:val="19"/>
              </w:rPr>
            </w:pPr>
            <w:r>
              <w:rPr>
                <w:spacing w:val="-21"/>
                <w:w w:val="90"/>
                <w:sz w:val="19"/>
              </w:rPr>
              <w:t>8.457 </w:t>
            </w:r>
            <w:r>
              <w:rPr>
                <w:w w:val="90"/>
                <w:sz w:val="19"/>
              </w:rPr>
              <w:t>27</w:t>
            </w:r>
          </w:p>
        </w:tc>
        <w:tc>
          <w:tcPr>
            <w:tcW w:w="1525" w:type="dxa"/>
            <w:tcBorders>
              <w:top w:val="nil"/>
              <w:bottom w:val="nil"/>
              <w:right w:val="nil"/>
            </w:tcBorders>
          </w:tcPr>
          <w:p>
            <w:pPr>
              <w:pStyle w:val="TableParagraph"/>
              <w:spacing w:line="195" w:lineRule="exact"/>
              <w:ind w:right="375"/>
              <w:jc w:val="right"/>
              <w:rPr>
                <w:rFonts w:ascii="Arial"/>
                <w:sz w:val="15"/>
              </w:rPr>
            </w:pPr>
            <w:r>
              <w:rPr>
                <w:spacing w:val="-13"/>
                <w:w w:val="90"/>
                <w:sz w:val="19"/>
              </w:rPr>
              <w:t>5.834 </w:t>
            </w:r>
            <w:r>
              <w:rPr>
                <w:rFonts w:ascii="Arial"/>
                <w:w w:val="90"/>
                <w:sz w:val="15"/>
              </w:rPr>
              <w:t>4't</w:t>
            </w:r>
          </w:p>
        </w:tc>
      </w:tr>
      <w:tr>
        <w:trPr>
          <w:trHeight w:val="200" w:hRule="exact"/>
        </w:trPr>
        <w:tc>
          <w:tcPr>
            <w:tcW w:w="1015" w:type="dxa"/>
            <w:tcBorders>
              <w:top w:val="nil"/>
              <w:left w:val="nil"/>
              <w:bottom w:val="nil"/>
            </w:tcBorders>
          </w:tcPr>
          <w:p>
            <w:pPr>
              <w:pStyle w:val="TableParagraph"/>
              <w:spacing w:line="206" w:lineRule="exact"/>
              <w:ind w:left="421"/>
              <w:rPr>
                <w:sz w:val="19"/>
              </w:rPr>
            </w:pPr>
            <w:r>
              <w:rPr>
                <w:w w:val="105"/>
                <w:sz w:val="19"/>
              </w:rPr>
              <w:t>72</w:t>
            </w:r>
          </w:p>
        </w:tc>
        <w:tc>
          <w:tcPr>
            <w:tcW w:w="1634" w:type="dxa"/>
            <w:tcBorders>
              <w:top w:val="nil"/>
              <w:bottom w:val="nil"/>
            </w:tcBorders>
          </w:tcPr>
          <w:p>
            <w:pPr>
              <w:pStyle w:val="TableParagraph"/>
              <w:spacing w:line="202" w:lineRule="exact"/>
              <w:ind w:left="413"/>
              <w:rPr>
                <w:sz w:val="19"/>
              </w:rPr>
            </w:pPr>
            <w:r>
              <w:rPr>
                <w:spacing w:val="-12"/>
                <w:w w:val="85"/>
                <w:sz w:val="19"/>
              </w:rPr>
              <w:t>763.474 </w:t>
            </w:r>
            <w:r>
              <w:rPr>
                <w:w w:val="85"/>
                <w:sz w:val="19"/>
              </w:rPr>
              <w:t>05</w:t>
            </w:r>
          </w:p>
        </w:tc>
        <w:tc>
          <w:tcPr>
            <w:tcW w:w="1553" w:type="dxa"/>
            <w:tcBorders>
              <w:top w:val="nil"/>
              <w:bottom w:val="nil"/>
            </w:tcBorders>
          </w:tcPr>
          <w:p>
            <w:pPr>
              <w:pStyle w:val="TableParagraph"/>
              <w:spacing w:line="199" w:lineRule="exact"/>
              <w:ind w:left="493"/>
              <w:rPr>
                <w:sz w:val="19"/>
              </w:rPr>
            </w:pPr>
            <w:r>
              <w:rPr>
                <w:w w:val="90"/>
                <w:sz w:val="19"/>
              </w:rPr>
              <w:t>8.120 73</w:t>
            </w:r>
          </w:p>
        </w:tc>
        <w:tc>
          <w:tcPr>
            <w:tcW w:w="1525" w:type="dxa"/>
            <w:tcBorders>
              <w:top w:val="nil"/>
              <w:bottom w:val="nil"/>
              <w:right w:val="nil"/>
            </w:tcBorders>
          </w:tcPr>
          <w:p>
            <w:pPr>
              <w:pStyle w:val="TableParagraph"/>
              <w:spacing w:line="199" w:lineRule="exact"/>
              <w:ind w:right="348"/>
              <w:jc w:val="right"/>
              <w:rPr>
                <w:sz w:val="19"/>
              </w:rPr>
            </w:pPr>
            <w:r>
              <w:rPr>
                <w:spacing w:val="-15"/>
                <w:w w:val="90"/>
                <w:sz w:val="19"/>
              </w:rPr>
              <w:t>5.565</w:t>
            </w:r>
            <w:r>
              <w:rPr>
                <w:spacing w:val="-76"/>
                <w:w w:val="90"/>
                <w:sz w:val="19"/>
              </w:rPr>
              <w:t> </w:t>
            </w:r>
            <w:r>
              <w:rPr>
                <w:w w:val="90"/>
                <w:sz w:val="19"/>
              </w:rPr>
              <w:t>96</w:t>
            </w:r>
          </w:p>
        </w:tc>
      </w:tr>
      <w:tr>
        <w:trPr>
          <w:trHeight w:val="200" w:hRule="exact"/>
        </w:trPr>
        <w:tc>
          <w:tcPr>
            <w:tcW w:w="1015" w:type="dxa"/>
            <w:tcBorders>
              <w:top w:val="nil"/>
              <w:left w:val="nil"/>
              <w:bottom w:val="nil"/>
            </w:tcBorders>
          </w:tcPr>
          <w:p>
            <w:pPr>
              <w:pStyle w:val="TableParagraph"/>
              <w:spacing w:line="208" w:lineRule="exact"/>
              <w:ind w:left="424"/>
              <w:rPr>
                <w:sz w:val="19"/>
              </w:rPr>
            </w:pPr>
            <w:r>
              <w:rPr>
                <w:sz w:val="19"/>
              </w:rPr>
              <w:t>73</w:t>
            </w:r>
          </w:p>
        </w:tc>
        <w:tc>
          <w:tcPr>
            <w:tcW w:w="1634" w:type="dxa"/>
            <w:tcBorders>
              <w:top w:val="nil"/>
              <w:bottom w:val="nil"/>
            </w:tcBorders>
          </w:tcPr>
          <w:p>
            <w:pPr>
              <w:pStyle w:val="TableParagraph"/>
              <w:spacing w:line="204" w:lineRule="exact"/>
              <w:ind w:left="413"/>
              <w:rPr>
                <w:sz w:val="19"/>
              </w:rPr>
            </w:pPr>
            <w:r>
              <w:rPr>
                <w:spacing w:val="-12"/>
                <w:w w:val="85"/>
                <w:sz w:val="19"/>
              </w:rPr>
              <w:t>773.068 </w:t>
            </w:r>
            <w:r>
              <w:rPr>
                <w:w w:val="85"/>
                <w:sz w:val="19"/>
              </w:rPr>
              <w:t>64</w:t>
            </w:r>
          </w:p>
        </w:tc>
        <w:tc>
          <w:tcPr>
            <w:tcW w:w="1553" w:type="dxa"/>
            <w:tcBorders>
              <w:top w:val="nil"/>
              <w:bottom w:val="nil"/>
            </w:tcBorders>
          </w:tcPr>
          <w:p>
            <w:pPr>
              <w:pStyle w:val="TableParagraph"/>
              <w:spacing w:line="201" w:lineRule="exact"/>
              <w:ind w:left="358" w:right="255"/>
              <w:jc w:val="center"/>
              <w:rPr>
                <w:sz w:val="19"/>
              </w:rPr>
            </w:pPr>
            <w:r>
              <w:rPr>
                <w:spacing w:val="-25"/>
                <w:w w:val="90"/>
                <w:sz w:val="19"/>
              </w:rPr>
              <w:t>7.791 </w:t>
            </w:r>
            <w:r>
              <w:rPr>
                <w:w w:val="90"/>
                <w:sz w:val="19"/>
              </w:rPr>
              <w:t>31</w:t>
            </w:r>
          </w:p>
        </w:tc>
        <w:tc>
          <w:tcPr>
            <w:tcW w:w="1525" w:type="dxa"/>
            <w:tcBorders>
              <w:top w:val="nil"/>
              <w:bottom w:val="nil"/>
              <w:right w:val="nil"/>
            </w:tcBorders>
          </w:tcPr>
          <w:p>
            <w:pPr>
              <w:pStyle w:val="TableParagraph"/>
              <w:spacing w:line="197" w:lineRule="exact"/>
              <w:ind w:right="359"/>
              <w:jc w:val="right"/>
              <w:rPr>
                <w:sz w:val="19"/>
              </w:rPr>
            </w:pPr>
            <w:r>
              <w:rPr>
                <w:spacing w:val="-13"/>
                <w:w w:val="90"/>
                <w:sz w:val="19"/>
              </w:rPr>
              <w:t>5.307</w:t>
            </w:r>
            <w:r>
              <w:rPr>
                <w:spacing w:val="-63"/>
                <w:w w:val="90"/>
                <w:sz w:val="19"/>
              </w:rPr>
              <w:t> </w:t>
            </w:r>
            <w:r>
              <w:rPr>
                <w:spacing w:val="-17"/>
                <w:w w:val="90"/>
                <w:sz w:val="19"/>
              </w:rPr>
              <w:t>21</w:t>
            </w:r>
          </w:p>
        </w:tc>
      </w:tr>
      <w:tr>
        <w:trPr>
          <w:trHeight w:val="302" w:hRule="exact"/>
        </w:trPr>
        <w:tc>
          <w:tcPr>
            <w:tcW w:w="1015" w:type="dxa"/>
            <w:tcBorders>
              <w:top w:val="nil"/>
              <w:left w:val="nil"/>
              <w:bottom w:val="nil"/>
            </w:tcBorders>
          </w:tcPr>
          <w:p>
            <w:pPr>
              <w:pStyle w:val="TableParagraph"/>
              <w:spacing w:line="210" w:lineRule="exact"/>
              <w:ind w:left="421"/>
              <w:rPr>
                <w:sz w:val="19"/>
              </w:rPr>
            </w:pPr>
            <w:r>
              <w:rPr>
                <w:sz w:val="19"/>
              </w:rPr>
              <w:t>74</w:t>
            </w:r>
          </w:p>
        </w:tc>
        <w:tc>
          <w:tcPr>
            <w:tcW w:w="1634" w:type="dxa"/>
            <w:tcBorders>
              <w:top w:val="nil"/>
              <w:bottom w:val="nil"/>
            </w:tcBorders>
          </w:tcPr>
          <w:p>
            <w:pPr>
              <w:pStyle w:val="TableParagraph"/>
              <w:spacing w:line="202" w:lineRule="exact"/>
              <w:ind w:left="413"/>
              <w:rPr>
                <w:sz w:val="19"/>
              </w:rPr>
            </w:pPr>
            <w:r>
              <w:rPr>
                <w:w w:val="90"/>
                <w:sz w:val="19"/>
              </w:rPr>
              <w:t>782.501 81</w:t>
            </w:r>
          </w:p>
        </w:tc>
        <w:tc>
          <w:tcPr>
            <w:tcW w:w="1553" w:type="dxa"/>
            <w:tcBorders>
              <w:top w:val="nil"/>
              <w:bottom w:val="nil"/>
            </w:tcBorders>
          </w:tcPr>
          <w:p>
            <w:pPr>
              <w:pStyle w:val="TableParagraph"/>
              <w:spacing w:line="199" w:lineRule="exact"/>
              <w:ind w:left="493"/>
              <w:rPr>
                <w:sz w:val="19"/>
              </w:rPr>
            </w:pPr>
            <w:r>
              <w:rPr>
                <w:spacing w:val="-16"/>
                <w:w w:val="90"/>
                <w:sz w:val="19"/>
              </w:rPr>
              <w:t>7.467</w:t>
            </w:r>
            <w:r>
              <w:rPr>
                <w:spacing w:val="-74"/>
                <w:w w:val="90"/>
                <w:sz w:val="19"/>
              </w:rPr>
              <w:t> </w:t>
            </w:r>
            <w:r>
              <w:rPr>
                <w:w w:val="90"/>
                <w:sz w:val="19"/>
              </w:rPr>
              <w:t>44</w:t>
            </w:r>
          </w:p>
        </w:tc>
        <w:tc>
          <w:tcPr>
            <w:tcW w:w="1525" w:type="dxa"/>
            <w:tcBorders>
              <w:top w:val="nil"/>
              <w:bottom w:val="nil"/>
              <w:right w:val="nil"/>
            </w:tcBorders>
          </w:tcPr>
          <w:p>
            <w:pPr>
              <w:pStyle w:val="TableParagraph"/>
              <w:spacing w:line="195" w:lineRule="exact"/>
              <w:ind w:right="344"/>
              <w:jc w:val="right"/>
              <w:rPr>
                <w:sz w:val="19"/>
              </w:rPr>
            </w:pPr>
            <w:r>
              <w:rPr>
                <w:w w:val="85"/>
                <w:sz w:val="19"/>
              </w:rPr>
              <w:t>5.055 88</w:t>
            </w:r>
          </w:p>
        </w:tc>
      </w:tr>
      <w:tr>
        <w:trPr>
          <w:trHeight w:val="502" w:hRule="exact"/>
        </w:trPr>
        <w:tc>
          <w:tcPr>
            <w:tcW w:w="1015" w:type="dxa"/>
            <w:tcBorders>
              <w:top w:val="nil"/>
              <w:left w:val="nil"/>
              <w:bottom w:val="nil"/>
            </w:tcBorders>
          </w:tcPr>
          <w:p>
            <w:pPr>
              <w:pStyle w:val="TableParagraph"/>
              <w:spacing w:line="207" w:lineRule="exact" w:before="95"/>
              <w:ind w:left="367" w:right="337"/>
              <w:jc w:val="center"/>
              <w:rPr>
                <w:sz w:val="19"/>
              </w:rPr>
            </w:pPr>
            <w:r>
              <w:rPr>
                <w:w w:val="105"/>
                <w:sz w:val="19"/>
              </w:rPr>
              <w:t>75</w:t>
            </w:r>
          </w:p>
          <w:p>
            <w:pPr>
              <w:pStyle w:val="TableParagraph"/>
              <w:spacing w:line="207" w:lineRule="exact"/>
              <w:ind w:left="373" w:right="337"/>
              <w:jc w:val="center"/>
              <w:rPr>
                <w:sz w:val="19"/>
              </w:rPr>
            </w:pPr>
            <w:r>
              <w:rPr>
                <w:w w:val="105"/>
                <w:sz w:val="19"/>
              </w:rPr>
              <w:t>76</w:t>
            </w:r>
          </w:p>
        </w:tc>
        <w:tc>
          <w:tcPr>
            <w:tcW w:w="1634" w:type="dxa"/>
            <w:tcBorders>
              <w:top w:val="nil"/>
              <w:bottom w:val="nil"/>
            </w:tcBorders>
          </w:tcPr>
          <w:p>
            <w:pPr>
              <w:pStyle w:val="TableParagraph"/>
              <w:spacing w:line="208" w:lineRule="exact" w:before="84"/>
              <w:ind w:left="410"/>
              <w:rPr>
                <w:sz w:val="19"/>
              </w:rPr>
            </w:pPr>
            <w:r>
              <w:rPr>
                <w:spacing w:val="-25"/>
                <w:w w:val="95"/>
                <w:sz w:val="19"/>
              </w:rPr>
              <w:t>791.793</w:t>
            </w:r>
            <w:r>
              <w:rPr>
                <w:spacing w:val="-91"/>
                <w:w w:val="95"/>
                <w:sz w:val="19"/>
              </w:rPr>
              <w:t> </w:t>
            </w:r>
            <w:r>
              <w:rPr>
                <w:w w:val="95"/>
                <w:sz w:val="19"/>
              </w:rPr>
              <w:t>86</w:t>
            </w:r>
          </w:p>
          <w:p>
            <w:pPr>
              <w:pStyle w:val="TableParagraph"/>
              <w:spacing w:line="208" w:lineRule="exact"/>
              <w:ind w:left="410"/>
              <w:rPr>
                <w:sz w:val="19"/>
              </w:rPr>
            </w:pPr>
            <w:r>
              <w:rPr>
                <w:w w:val="75"/>
                <w:sz w:val="19"/>
              </w:rPr>
              <w:t>800.942 96</w:t>
            </w:r>
          </w:p>
        </w:tc>
        <w:tc>
          <w:tcPr>
            <w:tcW w:w="1553" w:type="dxa"/>
            <w:tcBorders>
              <w:top w:val="nil"/>
              <w:bottom w:val="nil"/>
            </w:tcBorders>
          </w:tcPr>
          <w:p>
            <w:pPr>
              <w:pStyle w:val="TableParagraph"/>
              <w:spacing w:line="206" w:lineRule="exact" w:before="74"/>
              <w:ind w:left="493" w:right="322"/>
              <w:rPr>
                <w:sz w:val="19"/>
              </w:rPr>
            </w:pPr>
            <w:r>
              <w:rPr>
                <w:spacing w:val="-12"/>
                <w:w w:val="90"/>
                <w:sz w:val="19"/>
              </w:rPr>
              <w:t>7.148</w:t>
            </w:r>
            <w:r>
              <w:rPr>
                <w:spacing w:val="-86"/>
                <w:w w:val="90"/>
                <w:sz w:val="19"/>
              </w:rPr>
              <w:t> </w:t>
            </w:r>
            <w:r>
              <w:rPr>
                <w:spacing w:val="-12"/>
                <w:w w:val="90"/>
                <w:sz w:val="19"/>
              </w:rPr>
              <w:t>41 </w:t>
            </w:r>
            <w:r>
              <w:rPr>
                <w:spacing w:val="-12"/>
                <w:w w:val="85"/>
                <w:sz w:val="19"/>
              </w:rPr>
              <w:t>6.834 </w:t>
            </w:r>
            <w:r>
              <w:rPr>
                <w:w w:val="85"/>
                <w:sz w:val="19"/>
              </w:rPr>
              <w:t>29</w:t>
            </w:r>
          </w:p>
        </w:tc>
        <w:tc>
          <w:tcPr>
            <w:tcW w:w="1525" w:type="dxa"/>
            <w:tcBorders>
              <w:top w:val="nil"/>
              <w:bottom w:val="nil"/>
              <w:right w:val="nil"/>
            </w:tcBorders>
          </w:tcPr>
          <w:p>
            <w:pPr>
              <w:pStyle w:val="TableParagraph"/>
              <w:spacing w:line="207" w:lineRule="exact" w:before="81"/>
              <w:ind w:left="495"/>
              <w:rPr>
                <w:sz w:val="19"/>
              </w:rPr>
            </w:pPr>
            <w:r>
              <w:rPr>
                <w:spacing w:val="-23"/>
                <w:w w:val="95"/>
                <w:sz w:val="19"/>
              </w:rPr>
              <w:t>4.810</w:t>
            </w:r>
            <w:r>
              <w:rPr>
                <w:spacing w:val="-87"/>
                <w:w w:val="95"/>
                <w:sz w:val="19"/>
              </w:rPr>
              <w:t> </w:t>
            </w:r>
            <w:r>
              <w:rPr>
                <w:w w:val="95"/>
                <w:sz w:val="19"/>
              </w:rPr>
              <w:t>63</w:t>
            </w:r>
          </w:p>
          <w:p>
            <w:pPr>
              <w:pStyle w:val="TableParagraph"/>
              <w:spacing w:line="207" w:lineRule="exact"/>
              <w:ind w:left="491"/>
              <w:rPr>
                <w:sz w:val="19"/>
              </w:rPr>
            </w:pPr>
            <w:r>
              <w:rPr>
                <w:spacing w:val="-23"/>
                <w:w w:val="95"/>
                <w:sz w:val="19"/>
              </w:rPr>
              <w:t>4.571</w:t>
            </w:r>
            <w:r>
              <w:rPr>
                <w:spacing w:val="-82"/>
                <w:w w:val="95"/>
                <w:sz w:val="19"/>
              </w:rPr>
              <w:t> </w:t>
            </w:r>
            <w:r>
              <w:rPr>
                <w:w w:val="95"/>
                <w:sz w:val="19"/>
              </w:rPr>
              <w:t>12</w:t>
            </w:r>
          </w:p>
        </w:tc>
      </w:tr>
      <w:tr>
        <w:trPr>
          <w:trHeight w:val="402" w:hRule="exact"/>
        </w:trPr>
        <w:tc>
          <w:tcPr>
            <w:tcW w:w="1015" w:type="dxa"/>
            <w:tcBorders>
              <w:top w:val="nil"/>
              <w:left w:val="nil"/>
              <w:bottom w:val="nil"/>
            </w:tcBorders>
          </w:tcPr>
          <w:p>
            <w:pPr>
              <w:pStyle w:val="TableParagraph"/>
              <w:spacing w:line="201" w:lineRule="exact"/>
              <w:ind w:left="363" w:right="337"/>
              <w:jc w:val="center"/>
              <w:rPr>
                <w:sz w:val="19"/>
              </w:rPr>
            </w:pPr>
            <w:r>
              <w:rPr>
                <w:sz w:val="19"/>
              </w:rPr>
              <w:t>77</w:t>
            </w:r>
          </w:p>
          <w:p>
            <w:pPr>
              <w:pStyle w:val="TableParagraph"/>
              <w:spacing w:line="208" w:lineRule="exact"/>
              <w:ind w:left="379" w:right="336"/>
              <w:jc w:val="center"/>
              <w:rPr>
                <w:sz w:val="19"/>
              </w:rPr>
            </w:pPr>
            <w:r>
              <w:rPr>
                <w:w w:val="110"/>
                <w:sz w:val="19"/>
              </w:rPr>
              <w:t>78</w:t>
            </w:r>
          </w:p>
        </w:tc>
        <w:tc>
          <w:tcPr>
            <w:tcW w:w="1634" w:type="dxa"/>
            <w:tcBorders>
              <w:top w:val="nil"/>
              <w:bottom w:val="nil"/>
            </w:tcBorders>
          </w:tcPr>
          <w:p>
            <w:pPr>
              <w:pStyle w:val="TableParagraph"/>
              <w:spacing w:line="194" w:lineRule="exact"/>
              <w:ind w:left="410"/>
              <w:rPr>
                <w:sz w:val="19"/>
              </w:rPr>
            </w:pPr>
            <w:r>
              <w:rPr>
                <w:w w:val="85"/>
                <w:sz w:val="19"/>
              </w:rPr>
              <w:t>809.920 59</w:t>
            </w:r>
          </w:p>
          <w:p>
            <w:pPr>
              <w:pStyle w:val="TableParagraph"/>
              <w:spacing w:line="208" w:lineRule="exact"/>
              <w:ind w:left="410"/>
              <w:rPr>
                <w:sz w:val="19"/>
              </w:rPr>
            </w:pPr>
            <w:r>
              <w:rPr>
                <w:w w:val="90"/>
                <w:sz w:val="19"/>
              </w:rPr>
              <w:t>818.679 10</w:t>
            </w:r>
          </w:p>
        </w:tc>
        <w:tc>
          <w:tcPr>
            <w:tcW w:w="1553" w:type="dxa"/>
            <w:tcBorders>
              <w:top w:val="nil"/>
              <w:bottom w:val="nil"/>
            </w:tcBorders>
          </w:tcPr>
          <w:p>
            <w:pPr>
              <w:pStyle w:val="TableParagraph"/>
              <w:spacing w:line="194" w:lineRule="exact"/>
              <w:ind w:left="493"/>
              <w:rPr>
                <w:sz w:val="19"/>
              </w:rPr>
            </w:pPr>
            <w:r>
              <w:rPr>
                <w:w w:val="90"/>
                <w:sz w:val="19"/>
              </w:rPr>
              <w:t>6.526 06</w:t>
            </w:r>
          </w:p>
          <w:p>
            <w:pPr>
              <w:pStyle w:val="TableParagraph"/>
              <w:spacing w:line="188" w:lineRule="exact"/>
              <w:ind w:left="489"/>
              <w:rPr>
                <w:rFonts w:ascii="Times New Roman"/>
                <w:sz w:val="17"/>
              </w:rPr>
            </w:pPr>
            <w:r>
              <w:rPr>
                <w:rFonts w:ascii="Times New Roman"/>
                <w:w w:val="105"/>
                <w:sz w:val="17"/>
              </w:rPr>
              <w:t>6.225 35</w:t>
            </w:r>
          </w:p>
        </w:tc>
        <w:tc>
          <w:tcPr>
            <w:tcW w:w="1525" w:type="dxa"/>
            <w:tcBorders>
              <w:top w:val="nil"/>
              <w:bottom w:val="nil"/>
              <w:right w:val="nil"/>
            </w:tcBorders>
          </w:tcPr>
          <w:p>
            <w:pPr>
              <w:pStyle w:val="TableParagraph"/>
              <w:spacing w:line="174" w:lineRule="exact"/>
              <w:ind w:left="495"/>
              <w:rPr>
                <w:rFonts w:ascii="Times New Roman"/>
                <w:sz w:val="17"/>
              </w:rPr>
            </w:pPr>
            <w:r>
              <w:rPr>
                <w:rFonts w:ascii="Times New Roman"/>
                <w:w w:val="105"/>
                <w:sz w:val="17"/>
              </w:rPr>
              <w:t>4.338 03</w:t>
            </w:r>
          </w:p>
          <w:p>
            <w:pPr>
              <w:pStyle w:val="TableParagraph"/>
              <w:spacing w:before="3"/>
              <w:ind w:left="495"/>
              <w:rPr>
                <w:sz w:val="19"/>
              </w:rPr>
            </w:pPr>
            <w:r>
              <w:rPr>
                <w:spacing w:val="-4"/>
                <w:w w:val="85"/>
                <w:sz w:val="19"/>
              </w:rPr>
              <w:t>4.112</w:t>
            </w:r>
            <w:r>
              <w:rPr>
                <w:spacing w:val="-81"/>
                <w:w w:val="85"/>
                <w:sz w:val="19"/>
              </w:rPr>
              <w:t> </w:t>
            </w:r>
            <w:r>
              <w:rPr>
                <w:w w:val="85"/>
                <w:sz w:val="19"/>
              </w:rPr>
              <w:t>94</w:t>
            </w:r>
          </w:p>
        </w:tc>
      </w:tr>
      <w:tr>
        <w:trPr>
          <w:trHeight w:val="301" w:hRule="exact"/>
        </w:trPr>
        <w:tc>
          <w:tcPr>
            <w:tcW w:w="1015" w:type="dxa"/>
            <w:tcBorders>
              <w:top w:val="nil"/>
              <w:left w:val="nil"/>
              <w:bottom w:val="nil"/>
            </w:tcBorders>
          </w:tcPr>
          <w:p>
            <w:pPr>
              <w:pStyle w:val="TableParagraph"/>
              <w:spacing w:line="210" w:lineRule="exact"/>
              <w:ind w:left="421"/>
              <w:rPr>
                <w:sz w:val="19"/>
              </w:rPr>
            </w:pPr>
            <w:r>
              <w:rPr>
                <w:sz w:val="19"/>
              </w:rPr>
              <w:t>79</w:t>
            </w:r>
          </w:p>
        </w:tc>
        <w:tc>
          <w:tcPr>
            <w:tcW w:w="1634" w:type="dxa"/>
            <w:tcBorders>
              <w:top w:val="nil"/>
              <w:bottom w:val="nil"/>
            </w:tcBorders>
          </w:tcPr>
          <w:p>
            <w:pPr>
              <w:pStyle w:val="TableParagraph"/>
              <w:spacing w:line="202" w:lineRule="exact"/>
              <w:ind w:left="410"/>
              <w:rPr>
                <w:sz w:val="19"/>
              </w:rPr>
            </w:pPr>
            <w:r>
              <w:rPr>
                <w:spacing w:val="-7"/>
                <w:w w:val="85"/>
                <w:sz w:val="19"/>
              </w:rPr>
              <w:t>827.154</w:t>
            </w:r>
            <w:r>
              <w:rPr>
                <w:spacing w:val="-81"/>
                <w:w w:val="85"/>
                <w:sz w:val="19"/>
              </w:rPr>
              <w:t> </w:t>
            </w:r>
            <w:r>
              <w:rPr>
                <w:spacing w:val="-12"/>
                <w:w w:val="85"/>
                <w:sz w:val="19"/>
              </w:rPr>
              <w:t>51</w:t>
            </w:r>
          </w:p>
        </w:tc>
        <w:tc>
          <w:tcPr>
            <w:tcW w:w="1553" w:type="dxa"/>
            <w:tcBorders>
              <w:top w:val="nil"/>
              <w:bottom w:val="nil"/>
            </w:tcBorders>
          </w:tcPr>
          <w:p>
            <w:pPr>
              <w:pStyle w:val="TableParagraph"/>
              <w:spacing w:line="199" w:lineRule="exact"/>
              <w:ind w:left="373" w:right="255"/>
              <w:jc w:val="center"/>
              <w:rPr>
                <w:sz w:val="19"/>
              </w:rPr>
            </w:pPr>
            <w:r>
              <w:rPr>
                <w:spacing w:val="-20"/>
                <w:w w:val="95"/>
                <w:sz w:val="19"/>
              </w:rPr>
              <w:t>5.934</w:t>
            </w:r>
            <w:r>
              <w:rPr>
                <w:spacing w:val="-76"/>
                <w:w w:val="95"/>
                <w:sz w:val="19"/>
              </w:rPr>
              <w:t> </w:t>
            </w:r>
            <w:r>
              <w:rPr>
                <w:spacing w:val="-12"/>
                <w:w w:val="95"/>
                <w:sz w:val="19"/>
              </w:rPr>
              <w:t>37</w:t>
            </w:r>
          </w:p>
        </w:tc>
        <w:tc>
          <w:tcPr>
            <w:tcW w:w="1525" w:type="dxa"/>
            <w:tcBorders>
              <w:top w:val="nil"/>
              <w:bottom w:val="nil"/>
              <w:right w:val="nil"/>
            </w:tcBorders>
          </w:tcPr>
          <w:p>
            <w:pPr>
              <w:pStyle w:val="TableParagraph"/>
              <w:spacing w:line="195" w:lineRule="exact"/>
              <w:ind w:right="345"/>
              <w:jc w:val="right"/>
              <w:rPr>
                <w:sz w:val="19"/>
              </w:rPr>
            </w:pPr>
            <w:r>
              <w:rPr>
                <w:w w:val="80"/>
                <w:sz w:val="19"/>
              </w:rPr>
              <w:t>3.898</w:t>
            </w:r>
            <w:r>
              <w:rPr>
                <w:spacing w:val="-52"/>
                <w:w w:val="80"/>
                <w:sz w:val="19"/>
              </w:rPr>
              <w:t> </w:t>
            </w:r>
            <w:r>
              <w:rPr>
                <w:w w:val="80"/>
                <w:sz w:val="19"/>
              </w:rPr>
              <w:t>08</w:t>
            </w:r>
          </w:p>
        </w:tc>
      </w:tr>
      <w:tr>
        <w:trPr>
          <w:trHeight w:val="297" w:hRule="exact"/>
        </w:trPr>
        <w:tc>
          <w:tcPr>
            <w:tcW w:w="1015" w:type="dxa"/>
            <w:tcBorders>
              <w:top w:val="nil"/>
              <w:left w:val="nil"/>
              <w:bottom w:val="nil"/>
            </w:tcBorders>
          </w:tcPr>
          <w:p>
            <w:pPr>
              <w:pStyle w:val="TableParagraph"/>
              <w:spacing w:before="93"/>
              <w:ind w:left="424"/>
              <w:rPr>
                <w:rFonts w:ascii="Times New Roman"/>
                <w:sz w:val="17"/>
              </w:rPr>
            </w:pPr>
            <w:r>
              <w:rPr>
                <w:rFonts w:ascii="Times New Roman"/>
                <w:sz w:val="17"/>
              </w:rPr>
              <w:t>80</w:t>
            </w:r>
          </w:p>
        </w:tc>
        <w:tc>
          <w:tcPr>
            <w:tcW w:w="1634" w:type="dxa"/>
            <w:tcBorders>
              <w:top w:val="nil"/>
              <w:bottom w:val="nil"/>
            </w:tcBorders>
          </w:tcPr>
          <w:p>
            <w:pPr>
              <w:pStyle w:val="TableParagraph"/>
              <w:spacing w:before="86"/>
              <w:ind w:left="413"/>
              <w:rPr>
                <w:sz w:val="19"/>
              </w:rPr>
            </w:pPr>
            <w:r>
              <w:rPr>
                <w:spacing w:val="-12"/>
                <w:w w:val="90"/>
                <w:sz w:val="19"/>
              </w:rPr>
              <w:t>835.303</w:t>
            </w:r>
            <w:r>
              <w:rPr>
                <w:spacing w:val="-71"/>
                <w:w w:val="90"/>
                <w:sz w:val="19"/>
              </w:rPr>
              <w:t> </w:t>
            </w:r>
            <w:r>
              <w:rPr>
                <w:spacing w:val="-21"/>
                <w:w w:val="90"/>
                <w:sz w:val="19"/>
              </w:rPr>
              <w:t>43</w:t>
            </w:r>
          </w:p>
        </w:tc>
        <w:tc>
          <w:tcPr>
            <w:tcW w:w="1553" w:type="dxa"/>
            <w:tcBorders>
              <w:top w:val="nil"/>
              <w:bottom w:val="nil"/>
            </w:tcBorders>
          </w:tcPr>
          <w:p>
            <w:pPr>
              <w:pStyle w:val="TableParagraph"/>
              <w:spacing w:before="82"/>
              <w:ind w:left="377" w:right="255"/>
              <w:jc w:val="center"/>
              <w:rPr>
                <w:sz w:val="19"/>
              </w:rPr>
            </w:pPr>
            <w:r>
              <w:rPr>
                <w:w w:val="95"/>
                <w:sz w:val="19"/>
              </w:rPr>
              <w:t>5.654 59</w:t>
            </w:r>
          </w:p>
        </w:tc>
        <w:tc>
          <w:tcPr>
            <w:tcW w:w="1525" w:type="dxa"/>
            <w:tcBorders>
              <w:top w:val="nil"/>
              <w:bottom w:val="nil"/>
              <w:right w:val="nil"/>
            </w:tcBorders>
          </w:tcPr>
          <w:p>
            <w:pPr>
              <w:pStyle w:val="TableParagraph"/>
              <w:spacing w:before="79"/>
              <w:ind w:right="342"/>
              <w:jc w:val="right"/>
              <w:rPr>
                <w:sz w:val="19"/>
              </w:rPr>
            </w:pPr>
            <w:r>
              <w:rPr>
                <w:spacing w:val="-18"/>
                <w:w w:val="90"/>
                <w:sz w:val="19"/>
              </w:rPr>
              <w:t>3.694 </w:t>
            </w:r>
            <w:r>
              <w:rPr>
                <w:w w:val="90"/>
                <w:sz w:val="19"/>
              </w:rPr>
              <w:t>98</w:t>
            </w:r>
          </w:p>
        </w:tc>
      </w:tr>
      <w:tr>
        <w:trPr>
          <w:trHeight w:val="401" w:hRule="exact"/>
        </w:trPr>
        <w:tc>
          <w:tcPr>
            <w:tcW w:w="1015" w:type="dxa"/>
            <w:tcBorders>
              <w:top w:val="nil"/>
              <w:left w:val="nil"/>
              <w:bottom w:val="nil"/>
            </w:tcBorders>
          </w:tcPr>
          <w:p>
            <w:pPr>
              <w:pStyle w:val="TableParagraph"/>
              <w:spacing w:line="206" w:lineRule="exact"/>
              <w:ind w:left="355" w:right="337"/>
              <w:jc w:val="center"/>
              <w:rPr>
                <w:sz w:val="19"/>
              </w:rPr>
            </w:pPr>
            <w:r>
              <w:rPr>
                <w:sz w:val="19"/>
              </w:rPr>
              <w:t>81</w:t>
            </w:r>
          </w:p>
          <w:p>
            <w:pPr>
              <w:pStyle w:val="TableParagraph"/>
              <w:spacing w:line="188" w:lineRule="exact"/>
              <w:ind w:left="352" w:right="337"/>
              <w:jc w:val="center"/>
              <w:rPr>
                <w:rFonts w:ascii="Times New Roman"/>
                <w:sz w:val="17"/>
              </w:rPr>
            </w:pPr>
            <w:r>
              <w:rPr>
                <w:rFonts w:ascii="Times New Roman"/>
                <w:sz w:val="17"/>
              </w:rPr>
              <w:t>82</w:t>
            </w:r>
          </w:p>
        </w:tc>
        <w:tc>
          <w:tcPr>
            <w:tcW w:w="1634" w:type="dxa"/>
            <w:tcBorders>
              <w:top w:val="nil"/>
              <w:bottom w:val="nil"/>
            </w:tcBorders>
          </w:tcPr>
          <w:p>
            <w:pPr>
              <w:pStyle w:val="TableParagraph"/>
              <w:spacing w:line="199" w:lineRule="exact"/>
              <w:ind w:left="417"/>
              <w:rPr>
                <w:sz w:val="19"/>
              </w:rPr>
            </w:pPr>
            <w:r>
              <w:rPr>
                <w:w w:val="80"/>
                <w:sz w:val="19"/>
              </w:rPr>
              <w:t>843.107 29</w:t>
            </w:r>
          </w:p>
          <w:p>
            <w:pPr>
              <w:pStyle w:val="TableParagraph"/>
              <w:spacing w:line="208" w:lineRule="exact"/>
              <w:ind w:left="413"/>
              <w:rPr>
                <w:sz w:val="19"/>
              </w:rPr>
            </w:pPr>
            <w:r>
              <w:rPr>
                <w:w w:val="75"/>
                <w:sz w:val="19"/>
              </w:rPr>
              <w:t>850.565 54</w:t>
            </w:r>
          </w:p>
        </w:tc>
        <w:tc>
          <w:tcPr>
            <w:tcW w:w="1553" w:type="dxa"/>
            <w:tcBorders>
              <w:top w:val="nil"/>
              <w:bottom w:val="nil"/>
            </w:tcBorders>
          </w:tcPr>
          <w:p>
            <w:pPr>
              <w:pStyle w:val="TableParagraph"/>
              <w:spacing w:line="194" w:lineRule="exact"/>
              <w:ind w:left="493"/>
              <w:rPr>
                <w:sz w:val="19"/>
              </w:rPr>
            </w:pPr>
            <w:r>
              <w:rPr>
                <w:w w:val="80"/>
                <w:sz w:val="19"/>
              </w:rPr>
              <w:t>5.386 64</w:t>
            </w:r>
          </w:p>
          <w:p>
            <w:pPr>
              <w:pStyle w:val="TableParagraph"/>
              <w:spacing w:line="207" w:lineRule="exact"/>
              <w:ind w:left="489"/>
              <w:rPr>
                <w:sz w:val="19"/>
              </w:rPr>
            </w:pPr>
            <w:r>
              <w:rPr>
                <w:w w:val="80"/>
                <w:sz w:val="19"/>
              </w:rPr>
              <w:t>5.130</w:t>
            </w:r>
            <w:r>
              <w:rPr>
                <w:spacing w:val="-64"/>
                <w:w w:val="80"/>
                <w:sz w:val="19"/>
              </w:rPr>
              <w:t> </w:t>
            </w:r>
            <w:r>
              <w:rPr>
                <w:w w:val="80"/>
                <w:sz w:val="19"/>
              </w:rPr>
              <w:t>58</w:t>
            </w:r>
          </w:p>
        </w:tc>
        <w:tc>
          <w:tcPr>
            <w:tcW w:w="1525" w:type="dxa"/>
            <w:tcBorders>
              <w:top w:val="nil"/>
              <w:bottom w:val="nil"/>
              <w:right w:val="nil"/>
            </w:tcBorders>
          </w:tcPr>
          <w:p>
            <w:pPr>
              <w:pStyle w:val="TableParagraph"/>
              <w:spacing w:line="188" w:lineRule="exact"/>
              <w:ind w:left="491"/>
              <w:rPr>
                <w:sz w:val="19"/>
              </w:rPr>
            </w:pPr>
            <w:r>
              <w:rPr>
                <w:w w:val="85"/>
                <w:sz w:val="19"/>
              </w:rPr>
              <w:t>3.504 23</w:t>
            </w:r>
          </w:p>
          <w:p>
            <w:pPr>
              <w:pStyle w:val="TableParagraph"/>
              <w:spacing w:line="205" w:lineRule="exact"/>
              <w:ind w:left="487"/>
              <w:rPr>
                <w:rFonts w:ascii="Times New Roman"/>
                <w:i/>
                <w:sz w:val="13"/>
              </w:rPr>
            </w:pPr>
            <w:r>
              <w:rPr>
                <w:spacing w:val="-19"/>
                <w:w w:val="95"/>
                <w:sz w:val="19"/>
              </w:rPr>
              <w:t>3.325 </w:t>
            </w:r>
            <w:r>
              <w:rPr>
                <w:rFonts w:ascii="Times New Roman"/>
                <w:i/>
                <w:w w:val="95"/>
                <w:sz w:val="13"/>
              </w:rPr>
              <w:t>ffl</w:t>
            </w:r>
          </w:p>
        </w:tc>
      </w:tr>
      <w:tr>
        <w:trPr>
          <w:trHeight w:val="197" w:hRule="exact"/>
        </w:trPr>
        <w:tc>
          <w:tcPr>
            <w:tcW w:w="1015" w:type="dxa"/>
            <w:tcBorders>
              <w:top w:val="nil"/>
              <w:left w:val="nil"/>
              <w:bottom w:val="nil"/>
            </w:tcBorders>
          </w:tcPr>
          <w:p>
            <w:pPr>
              <w:pStyle w:val="TableParagraph"/>
              <w:spacing w:line="195" w:lineRule="exact"/>
              <w:ind w:left="424"/>
              <w:rPr>
                <w:rFonts w:ascii="Times New Roman"/>
                <w:sz w:val="17"/>
              </w:rPr>
            </w:pPr>
            <w:r>
              <w:rPr>
                <w:rFonts w:ascii="Times New Roman"/>
                <w:w w:val="105"/>
                <w:sz w:val="17"/>
              </w:rPr>
              <w:t>83</w:t>
            </w:r>
          </w:p>
        </w:tc>
        <w:tc>
          <w:tcPr>
            <w:tcW w:w="1634" w:type="dxa"/>
            <w:tcBorders>
              <w:top w:val="nil"/>
              <w:bottom w:val="nil"/>
            </w:tcBorders>
          </w:tcPr>
          <w:p>
            <w:pPr>
              <w:pStyle w:val="TableParagraph"/>
              <w:spacing w:line="204" w:lineRule="exact"/>
              <w:ind w:left="259" w:right="226"/>
              <w:jc w:val="center"/>
              <w:rPr>
                <w:sz w:val="19"/>
              </w:rPr>
            </w:pPr>
            <w:r>
              <w:rPr>
                <w:w w:val="95"/>
                <w:sz w:val="19"/>
              </w:rPr>
              <w:t>857.701 93</w:t>
            </w:r>
          </w:p>
        </w:tc>
        <w:tc>
          <w:tcPr>
            <w:tcW w:w="1553" w:type="dxa"/>
            <w:tcBorders>
              <w:top w:val="nil"/>
              <w:bottom w:val="nil"/>
            </w:tcBorders>
          </w:tcPr>
          <w:p>
            <w:pPr>
              <w:pStyle w:val="TableParagraph"/>
              <w:spacing w:line="178" w:lineRule="exact"/>
              <w:ind w:left="336" w:right="255"/>
              <w:jc w:val="center"/>
              <w:rPr>
                <w:rFonts w:ascii="Times New Roman"/>
                <w:b/>
                <w:sz w:val="16"/>
              </w:rPr>
            </w:pPr>
            <w:r>
              <w:rPr>
                <w:rFonts w:ascii="Times New Roman"/>
                <w:b/>
                <w:w w:val="110"/>
                <w:sz w:val="16"/>
              </w:rPr>
              <w:t>4.885 56</w:t>
            </w:r>
          </w:p>
        </w:tc>
        <w:tc>
          <w:tcPr>
            <w:tcW w:w="1525" w:type="dxa"/>
            <w:tcBorders>
              <w:top w:val="nil"/>
              <w:bottom w:val="nil"/>
              <w:right w:val="nil"/>
            </w:tcBorders>
          </w:tcPr>
          <w:p>
            <w:pPr>
              <w:pStyle w:val="TableParagraph"/>
              <w:spacing w:line="197" w:lineRule="exact"/>
              <w:ind w:right="352"/>
              <w:jc w:val="right"/>
              <w:rPr>
                <w:sz w:val="19"/>
              </w:rPr>
            </w:pPr>
            <w:r>
              <w:rPr>
                <w:w w:val="80"/>
                <w:sz w:val="19"/>
              </w:rPr>
              <w:t>3.159</w:t>
            </w:r>
            <w:r>
              <w:rPr>
                <w:spacing w:val="-56"/>
                <w:w w:val="80"/>
                <w:sz w:val="19"/>
              </w:rPr>
              <w:t> </w:t>
            </w:r>
            <w:r>
              <w:rPr>
                <w:w w:val="80"/>
                <w:sz w:val="19"/>
              </w:rPr>
              <w:t>04</w:t>
            </w:r>
          </w:p>
        </w:tc>
      </w:tr>
      <w:tr>
        <w:trPr>
          <w:trHeight w:val="307" w:hRule="exact"/>
        </w:trPr>
        <w:tc>
          <w:tcPr>
            <w:tcW w:w="1015" w:type="dxa"/>
            <w:tcBorders>
              <w:top w:val="nil"/>
              <w:left w:val="nil"/>
              <w:bottom w:val="nil"/>
            </w:tcBorders>
          </w:tcPr>
          <w:p>
            <w:pPr>
              <w:pStyle w:val="TableParagraph"/>
              <w:ind w:left="421"/>
              <w:rPr>
                <w:sz w:val="19"/>
              </w:rPr>
            </w:pPr>
            <w:r>
              <w:rPr>
                <w:w w:val="90"/>
                <w:sz w:val="19"/>
              </w:rPr>
              <w:t>84</w:t>
            </w:r>
          </w:p>
        </w:tc>
        <w:tc>
          <w:tcPr>
            <w:tcW w:w="1634" w:type="dxa"/>
            <w:tcBorders>
              <w:top w:val="nil"/>
              <w:bottom w:val="nil"/>
            </w:tcBorders>
          </w:tcPr>
          <w:p>
            <w:pPr>
              <w:pStyle w:val="TableParagraph"/>
              <w:spacing w:line="209" w:lineRule="exact"/>
              <w:ind w:left="413"/>
              <w:rPr>
                <w:sz w:val="19"/>
              </w:rPr>
            </w:pPr>
            <w:r>
              <w:rPr>
                <w:w w:val="75"/>
                <w:sz w:val="19"/>
              </w:rPr>
              <w:t>864.555 12</w:t>
            </w:r>
          </w:p>
        </w:tc>
        <w:tc>
          <w:tcPr>
            <w:tcW w:w="1553" w:type="dxa"/>
            <w:tcBorders>
              <w:top w:val="nil"/>
              <w:bottom w:val="nil"/>
            </w:tcBorders>
          </w:tcPr>
          <w:p>
            <w:pPr>
              <w:pStyle w:val="TableParagraph"/>
              <w:spacing w:line="205" w:lineRule="exact"/>
              <w:ind w:left="349" w:right="255"/>
              <w:jc w:val="center"/>
              <w:rPr>
                <w:sz w:val="19"/>
              </w:rPr>
            </w:pPr>
            <w:r>
              <w:rPr>
                <w:spacing w:val="-9"/>
                <w:w w:val="85"/>
                <w:sz w:val="19"/>
              </w:rPr>
              <w:t>4.650</w:t>
            </w:r>
            <w:r>
              <w:rPr>
                <w:spacing w:val="-78"/>
                <w:w w:val="85"/>
                <w:sz w:val="19"/>
              </w:rPr>
              <w:t> </w:t>
            </w:r>
            <w:r>
              <w:rPr>
                <w:w w:val="85"/>
                <w:sz w:val="19"/>
              </w:rPr>
              <w:t>29</w:t>
            </w:r>
          </w:p>
        </w:tc>
        <w:tc>
          <w:tcPr>
            <w:tcW w:w="1525" w:type="dxa"/>
            <w:tcBorders>
              <w:top w:val="nil"/>
              <w:bottom w:val="nil"/>
              <w:right w:val="nil"/>
            </w:tcBorders>
          </w:tcPr>
          <w:p>
            <w:pPr>
              <w:pStyle w:val="TableParagraph"/>
              <w:spacing w:line="201" w:lineRule="exact"/>
              <w:ind w:right="358"/>
              <w:jc w:val="right"/>
              <w:rPr>
                <w:sz w:val="19"/>
              </w:rPr>
            </w:pPr>
            <w:r>
              <w:rPr>
                <w:rFonts w:ascii="Times New Roman"/>
                <w:sz w:val="18"/>
              </w:rPr>
              <w:t>3.002 </w:t>
            </w:r>
            <w:r>
              <w:rPr>
                <w:sz w:val="19"/>
              </w:rPr>
              <w:t>44</w:t>
            </w:r>
          </w:p>
        </w:tc>
      </w:tr>
      <w:tr>
        <w:trPr>
          <w:trHeight w:val="696" w:hRule="exact"/>
        </w:trPr>
        <w:tc>
          <w:tcPr>
            <w:tcW w:w="1015" w:type="dxa"/>
            <w:tcBorders>
              <w:top w:val="nil"/>
              <w:left w:val="nil"/>
              <w:bottom w:val="nil"/>
            </w:tcBorders>
          </w:tcPr>
          <w:p>
            <w:pPr>
              <w:pStyle w:val="TableParagraph"/>
              <w:spacing w:line="213" w:lineRule="exact" w:before="93"/>
              <w:ind w:left="358" w:right="337"/>
              <w:jc w:val="center"/>
              <w:rPr>
                <w:sz w:val="19"/>
              </w:rPr>
            </w:pPr>
            <w:r>
              <w:rPr>
                <w:w w:val="90"/>
                <w:sz w:val="19"/>
              </w:rPr>
              <w:t>85</w:t>
            </w:r>
          </w:p>
          <w:p>
            <w:pPr>
              <w:pStyle w:val="TableParagraph"/>
              <w:spacing w:line="166" w:lineRule="exact"/>
              <w:ind w:left="339" w:right="337"/>
              <w:jc w:val="center"/>
              <w:rPr>
                <w:rFonts w:ascii="Times New Roman"/>
                <w:sz w:val="16"/>
              </w:rPr>
            </w:pPr>
            <w:r>
              <w:rPr>
                <w:rFonts w:ascii="Times New Roman"/>
                <w:w w:val="105"/>
                <w:sz w:val="16"/>
              </w:rPr>
              <w:t>86</w:t>
            </w:r>
          </w:p>
          <w:p>
            <w:pPr>
              <w:pStyle w:val="TableParagraph"/>
              <w:spacing w:line="180" w:lineRule="exact"/>
              <w:ind w:left="336" w:right="337"/>
              <w:jc w:val="center"/>
              <w:rPr>
                <w:rFonts w:ascii="Times New Roman" w:hAnsi="Times New Roman"/>
                <w:i/>
                <w:sz w:val="17"/>
              </w:rPr>
            </w:pPr>
            <w:r>
              <w:rPr>
                <w:rFonts w:ascii="Times New Roman" w:hAnsi="Times New Roman"/>
                <w:i/>
                <w:w w:val="105"/>
                <w:sz w:val="17"/>
              </w:rPr>
              <w:t>g¡</w:t>
            </w:r>
          </w:p>
        </w:tc>
        <w:tc>
          <w:tcPr>
            <w:tcW w:w="1634" w:type="dxa"/>
            <w:tcBorders>
              <w:top w:val="nil"/>
              <w:bottom w:val="nil"/>
            </w:tcBorders>
          </w:tcPr>
          <w:p>
            <w:pPr>
              <w:pStyle w:val="TableParagraph"/>
              <w:spacing w:line="207" w:lineRule="exact" w:before="86"/>
              <w:ind w:left="410"/>
              <w:rPr>
                <w:sz w:val="19"/>
              </w:rPr>
            </w:pPr>
            <w:r>
              <w:rPr>
                <w:w w:val="75"/>
                <w:sz w:val="19"/>
              </w:rPr>
              <w:t>871.165 14</w:t>
            </w:r>
          </w:p>
          <w:p>
            <w:pPr>
              <w:pStyle w:val="TableParagraph"/>
              <w:spacing w:line="204" w:lineRule="exact"/>
              <w:ind w:left="413"/>
              <w:rPr>
                <w:sz w:val="19"/>
              </w:rPr>
            </w:pPr>
            <w:r>
              <w:rPr>
                <w:w w:val="85"/>
                <w:sz w:val="19"/>
              </w:rPr>
              <w:t>877.571 44</w:t>
            </w:r>
          </w:p>
          <w:p>
            <w:pPr>
              <w:pStyle w:val="TableParagraph"/>
              <w:spacing w:line="182" w:lineRule="exact"/>
              <w:ind w:left="413"/>
              <w:rPr>
                <w:rFonts w:ascii="Times New Roman"/>
                <w:sz w:val="16"/>
              </w:rPr>
            </w:pPr>
            <w:r>
              <w:rPr>
                <w:rFonts w:ascii="Times New Roman"/>
                <w:b/>
                <w:w w:val="105"/>
                <w:sz w:val="16"/>
              </w:rPr>
              <w:t>883.820  </w:t>
            </w:r>
            <w:r>
              <w:rPr>
                <w:rFonts w:ascii="Times New Roman"/>
                <w:w w:val="105"/>
                <w:sz w:val="16"/>
              </w:rPr>
              <w:t>36</w:t>
            </w:r>
          </w:p>
        </w:tc>
        <w:tc>
          <w:tcPr>
            <w:tcW w:w="1553" w:type="dxa"/>
            <w:tcBorders>
              <w:top w:val="nil"/>
              <w:bottom w:val="nil"/>
            </w:tcBorders>
          </w:tcPr>
          <w:p>
            <w:pPr>
              <w:pStyle w:val="TableParagraph"/>
              <w:spacing w:line="207" w:lineRule="exact" w:before="82"/>
              <w:ind w:left="485"/>
              <w:rPr>
                <w:sz w:val="19"/>
              </w:rPr>
            </w:pPr>
            <w:r>
              <w:rPr>
                <w:w w:val="80"/>
                <w:sz w:val="19"/>
              </w:rPr>
              <w:t>4.423 34</w:t>
            </w:r>
          </w:p>
          <w:p>
            <w:pPr>
              <w:pStyle w:val="TableParagraph"/>
              <w:spacing w:line="225" w:lineRule="auto" w:before="1"/>
              <w:ind w:left="489" w:hanging="4"/>
              <w:rPr>
                <w:sz w:val="19"/>
              </w:rPr>
            </w:pPr>
            <w:r>
              <w:rPr>
                <w:spacing w:val="-3"/>
                <w:w w:val="80"/>
                <w:sz w:val="19"/>
              </w:rPr>
              <w:t>4.203 </w:t>
            </w:r>
            <w:r>
              <w:rPr>
                <w:w w:val="80"/>
                <w:sz w:val="19"/>
              </w:rPr>
              <w:t>38 </w:t>
            </w:r>
            <w:r>
              <w:rPr>
                <w:spacing w:val="-8"/>
                <w:w w:val="85"/>
                <w:sz w:val="19"/>
              </w:rPr>
              <w:t>3.988</w:t>
            </w:r>
            <w:r>
              <w:rPr>
                <w:spacing w:val="-62"/>
                <w:w w:val="85"/>
                <w:sz w:val="19"/>
              </w:rPr>
              <w:t> </w:t>
            </w:r>
            <w:r>
              <w:rPr>
                <w:w w:val="85"/>
                <w:sz w:val="19"/>
              </w:rPr>
              <w:t>82</w:t>
            </w:r>
          </w:p>
        </w:tc>
        <w:tc>
          <w:tcPr>
            <w:tcW w:w="1525" w:type="dxa"/>
            <w:tcBorders>
              <w:top w:val="nil"/>
              <w:bottom w:val="nil"/>
              <w:right w:val="nil"/>
            </w:tcBorders>
          </w:tcPr>
          <w:p>
            <w:pPr>
              <w:pStyle w:val="TableParagraph"/>
              <w:spacing w:line="207" w:lineRule="exact" w:before="79"/>
              <w:ind w:left="495"/>
              <w:rPr>
                <w:sz w:val="19"/>
              </w:rPr>
            </w:pPr>
            <w:r>
              <w:rPr>
                <w:w w:val="85"/>
                <w:sz w:val="19"/>
              </w:rPr>
              <w:t>2.854</w:t>
            </w:r>
            <w:r>
              <w:rPr>
                <w:spacing w:val="-58"/>
                <w:w w:val="85"/>
                <w:sz w:val="19"/>
              </w:rPr>
              <w:t> </w:t>
            </w:r>
            <w:r>
              <w:rPr>
                <w:spacing w:val="-22"/>
                <w:w w:val="85"/>
                <w:sz w:val="19"/>
              </w:rPr>
              <w:t>76</w:t>
            </w:r>
          </w:p>
          <w:p>
            <w:pPr>
              <w:pStyle w:val="TableParagraph"/>
              <w:spacing w:line="200" w:lineRule="exact"/>
              <w:ind w:left="495"/>
              <w:rPr>
                <w:sz w:val="19"/>
              </w:rPr>
            </w:pPr>
            <w:r>
              <w:rPr>
                <w:spacing w:val="-18"/>
                <w:w w:val="90"/>
                <w:sz w:val="19"/>
              </w:rPr>
              <w:t>2.714</w:t>
            </w:r>
            <w:r>
              <w:rPr>
                <w:spacing w:val="-71"/>
                <w:w w:val="90"/>
                <w:sz w:val="19"/>
              </w:rPr>
              <w:t> </w:t>
            </w:r>
            <w:r>
              <w:rPr>
                <w:w w:val="90"/>
                <w:sz w:val="19"/>
              </w:rPr>
              <w:t>85</w:t>
            </w:r>
          </w:p>
          <w:p>
            <w:pPr>
              <w:pStyle w:val="TableParagraph"/>
              <w:spacing w:line="208" w:lineRule="exact"/>
              <w:ind w:left="498"/>
              <w:rPr>
                <w:sz w:val="19"/>
              </w:rPr>
            </w:pPr>
            <w:r>
              <w:rPr>
                <w:w w:val="90"/>
                <w:sz w:val="19"/>
              </w:rPr>
              <w:t>2.581 45</w:t>
            </w:r>
          </w:p>
        </w:tc>
      </w:tr>
      <w:tr>
        <w:trPr>
          <w:trHeight w:val="206" w:hRule="exact"/>
        </w:trPr>
        <w:tc>
          <w:tcPr>
            <w:tcW w:w="1015" w:type="dxa"/>
            <w:tcBorders>
              <w:top w:val="nil"/>
              <w:left w:val="nil"/>
              <w:bottom w:val="nil"/>
            </w:tcBorders>
          </w:tcPr>
          <w:p>
            <w:pPr>
              <w:pStyle w:val="TableParagraph"/>
              <w:spacing w:line="214" w:lineRule="exact"/>
              <w:ind w:left="424"/>
              <w:rPr>
                <w:sz w:val="19"/>
              </w:rPr>
            </w:pPr>
            <w:r>
              <w:rPr>
                <w:w w:val="95"/>
                <w:sz w:val="19"/>
              </w:rPr>
              <w:t>88</w:t>
            </w:r>
          </w:p>
        </w:tc>
        <w:tc>
          <w:tcPr>
            <w:tcW w:w="1634" w:type="dxa"/>
            <w:tcBorders>
              <w:top w:val="nil"/>
              <w:bottom w:val="nil"/>
            </w:tcBorders>
          </w:tcPr>
          <w:p>
            <w:pPr>
              <w:pStyle w:val="TableParagraph"/>
              <w:spacing w:line="206" w:lineRule="exact"/>
              <w:ind w:left="256" w:right="226"/>
              <w:jc w:val="center"/>
              <w:rPr>
                <w:sz w:val="19"/>
              </w:rPr>
            </w:pPr>
            <w:r>
              <w:rPr>
                <w:w w:val="75"/>
                <w:sz w:val="19"/>
              </w:rPr>
              <w:t>889.964 06</w:t>
            </w:r>
          </w:p>
        </w:tc>
        <w:tc>
          <w:tcPr>
            <w:tcW w:w="1553" w:type="dxa"/>
            <w:tcBorders>
              <w:top w:val="nil"/>
              <w:bottom w:val="nil"/>
            </w:tcBorders>
          </w:tcPr>
          <w:p>
            <w:pPr>
              <w:pStyle w:val="TableParagraph"/>
              <w:spacing w:line="203" w:lineRule="exact"/>
              <w:ind w:left="362" w:right="255"/>
              <w:jc w:val="center"/>
              <w:rPr>
                <w:sz w:val="19"/>
              </w:rPr>
            </w:pPr>
            <w:r>
              <w:rPr>
                <w:w w:val="85"/>
                <w:sz w:val="19"/>
              </w:rPr>
              <w:t>3.777 89</w:t>
            </w:r>
          </w:p>
        </w:tc>
        <w:tc>
          <w:tcPr>
            <w:tcW w:w="1525" w:type="dxa"/>
            <w:tcBorders>
              <w:top w:val="nil"/>
              <w:bottom w:val="nil"/>
              <w:right w:val="nil"/>
            </w:tcBorders>
          </w:tcPr>
          <w:p>
            <w:pPr>
              <w:pStyle w:val="TableParagraph"/>
              <w:spacing w:line="179" w:lineRule="exact"/>
              <w:ind w:right="364"/>
              <w:jc w:val="right"/>
              <w:rPr>
                <w:rFonts w:ascii="Times New Roman"/>
                <w:sz w:val="17"/>
              </w:rPr>
            </w:pPr>
            <w:r>
              <w:rPr>
                <w:rFonts w:ascii="Times New Roman"/>
                <w:sz w:val="17"/>
              </w:rPr>
              <w:t>2.453  11</w:t>
            </w:r>
          </w:p>
        </w:tc>
      </w:tr>
      <w:tr>
        <w:trPr>
          <w:trHeight w:val="299" w:hRule="exact"/>
        </w:trPr>
        <w:tc>
          <w:tcPr>
            <w:tcW w:w="1015" w:type="dxa"/>
            <w:tcBorders>
              <w:top w:val="nil"/>
              <w:left w:val="nil"/>
              <w:bottom w:val="nil"/>
            </w:tcBorders>
          </w:tcPr>
          <w:p>
            <w:pPr>
              <w:pStyle w:val="TableParagraph"/>
              <w:spacing w:line="206" w:lineRule="exact"/>
              <w:ind w:left="424"/>
              <w:rPr>
                <w:sz w:val="19"/>
              </w:rPr>
            </w:pPr>
            <w:r>
              <w:rPr>
                <w:w w:val="90"/>
                <w:sz w:val="19"/>
              </w:rPr>
              <w:t>89</w:t>
            </w:r>
          </w:p>
        </w:tc>
        <w:tc>
          <w:tcPr>
            <w:tcW w:w="1634" w:type="dxa"/>
            <w:tcBorders>
              <w:top w:val="nil"/>
              <w:bottom w:val="nil"/>
            </w:tcBorders>
          </w:tcPr>
          <w:p>
            <w:pPr>
              <w:pStyle w:val="TableParagraph"/>
              <w:spacing w:line="202" w:lineRule="exact"/>
              <w:ind w:left="410"/>
              <w:rPr>
                <w:sz w:val="19"/>
              </w:rPr>
            </w:pPr>
            <w:r>
              <w:rPr>
                <w:w w:val="75"/>
                <w:sz w:val="19"/>
              </w:rPr>
              <w:t>896.056 06</w:t>
            </w:r>
          </w:p>
        </w:tc>
        <w:tc>
          <w:tcPr>
            <w:tcW w:w="1553" w:type="dxa"/>
            <w:tcBorders>
              <w:top w:val="nil"/>
              <w:bottom w:val="nil"/>
            </w:tcBorders>
          </w:tcPr>
          <w:p>
            <w:pPr>
              <w:pStyle w:val="TableParagraph"/>
              <w:spacing w:line="199" w:lineRule="exact"/>
              <w:ind w:left="493"/>
              <w:rPr>
                <w:sz w:val="19"/>
              </w:rPr>
            </w:pPr>
            <w:r>
              <w:rPr>
                <w:w w:val="85"/>
                <w:sz w:val="19"/>
              </w:rPr>
              <w:t>3.568</w:t>
            </w:r>
            <w:r>
              <w:rPr>
                <w:spacing w:val="-62"/>
                <w:w w:val="85"/>
                <w:sz w:val="19"/>
              </w:rPr>
              <w:t> </w:t>
            </w:r>
            <w:r>
              <w:rPr>
                <w:spacing w:val="-19"/>
                <w:w w:val="85"/>
                <w:sz w:val="19"/>
              </w:rPr>
              <w:t>72</w:t>
            </w:r>
          </w:p>
        </w:tc>
        <w:tc>
          <w:tcPr>
            <w:tcW w:w="1525" w:type="dxa"/>
            <w:tcBorders>
              <w:top w:val="nil"/>
              <w:bottom w:val="nil"/>
              <w:right w:val="nil"/>
            </w:tcBorders>
          </w:tcPr>
          <w:p>
            <w:pPr>
              <w:pStyle w:val="TableParagraph"/>
              <w:spacing w:line="195" w:lineRule="exact"/>
              <w:ind w:right="351"/>
              <w:jc w:val="right"/>
              <w:rPr>
                <w:sz w:val="19"/>
              </w:rPr>
            </w:pPr>
            <w:r>
              <w:rPr>
                <w:spacing w:val="-9"/>
                <w:w w:val="85"/>
                <w:sz w:val="19"/>
              </w:rPr>
              <w:t>2.328</w:t>
            </w:r>
            <w:r>
              <w:rPr>
                <w:spacing w:val="-64"/>
                <w:w w:val="85"/>
                <w:sz w:val="19"/>
              </w:rPr>
              <w:t> </w:t>
            </w:r>
            <w:r>
              <w:rPr>
                <w:w w:val="85"/>
                <w:sz w:val="19"/>
              </w:rPr>
              <w:t>40</w:t>
            </w:r>
          </w:p>
        </w:tc>
      </w:tr>
      <w:tr>
        <w:trPr>
          <w:trHeight w:val="302" w:hRule="exact"/>
        </w:trPr>
        <w:tc>
          <w:tcPr>
            <w:tcW w:w="1015" w:type="dxa"/>
            <w:tcBorders>
              <w:top w:val="nil"/>
              <w:left w:val="nil"/>
              <w:bottom w:val="nil"/>
            </w:tcBorders>
          </w:tcPr>
          <w:p>
            <w:pPr>
              <w:pStyle w:val="TableParagraph"/>
              <w:spacing w:before="95"/>
              <w:ind w:left="428"/>
              <w:rPr>
                <w:sz w:val="19"/>
              </w:rPr>
            </w:pPr>
            <w:r>
              <w:rPr>
                <w:w w:val="95"/>
                <w:sz w:val="19"/>
              </w:rPr>
              <w:t>90</w:t>
            </w:r>
          </w:p>
        </w:tc>
        <w:tc>
          <w:tcPr>
            <w:tcW w:w="1634" w:type="dxa"/>
            <w:tcBorders>
              <w:top w:val="nil"/>
              <w:bottom w:val="nil"/>
            </w:tcBorders>
          </w:tcPr>
          <w:p>
            <w:pPr>
              <w:pStyle w:val="TableParagraph"/>
              <w:spacing w:before="88"/>
              <w:ind w:left="410"/>
              <w:rPr>
                <w:sz w:val="19"/>
              </w:rPr>
            </w:pPr>
            <w:r>
              <w:rPr>
                <w:spacing w:val="-12"/>
                <w:w w:val="85"/>
                <w:sz w:val="19"/>
              </w:rPr>
              <w:t>902.147 </w:t>
            </w:r>
            <w:r>
              <w:rPr>
                <w:w w:val="85"/>
                <w:sz w:val="19"/>
              </w:rPr>
              <w:t>94</w:t>
            </w:r>
          </w:p>
        </w:tc>
        <w:tc>
          <w:tcPr>
            <w:tcW w:w="1553" w:type="dxa"/>
            <w:tcBorders>
              <w:top w:val="nil"/>
              <w:bottom w:val="nil"/>
            </w:tcBorders>
          </w:tcPr>
          <w:p>
            <w:pPr>
              <w:pStyle w:val="TableParagraph"/>
              <w:spacing w:before="84"/>
              <w:ind w:left="496"/>
              <w:rPr>
                <w:sz w:val="19"/>
              </w:rPr>
            </w:pPr>
            <w:r>
              <w:rPr>
                <w:w w:val="80"/>
                <w:sz w:val="19"/>
              </w:rPr>
              <w:t>3.359 56</w:t>
            </w:r>
          </w:p>
        </w:tc>
        <w:tc>
          <w:tcPr>
            <w:tcW w:w="1525" w:type="dxa"/>
            <w:tcBorders>
              <w:top w:val="nil"/>
              <w:bottom w:val="nil"/>
              <w:right w:val="nil"/>
            </w:tcBorders>
          </w:tcPr>
          <w:p>
            <w:pPr>
              <w:pStyle w:val="TableParagraph"/>
              <w:spacing w:before="81"/>
              <w:ind w:right="338"/>
              <w:jc w:val="right"/>
              <w:rPr>
                <w:sz w:val="19"/>
              </w:rPr>
            </w:pPr>
            <w:r>
              <w:rPr>
                <w:spacing w:val="-3"/>
                <w:w w:val="90"/>
                <w:sz w:val="19"/>
              </w:rPr>
              <w:t>2.206</w:t>
            </w:r>
            <w:r>
              <w:rPr>
                <w:spacing w:val="-80"/>
                <w:w w:val="90"/>
                <w:sz w:val="19"/>
              </w:rPr>
              <w:t> </w:t>
            </w:r>
            <w:r>
              <w:rPr>
                <w:spacing w:val="-21"/>
                <w:w w:val="90"/>
                <w:sz w:val="19"/>
              </w:rPr>
              <w:t>08</w:t>
            </w:r>
          </w:p>
        </w:tc>
      </w:tr>
      <w:tr>
        <w:trPr>
          <w:trHeight w:val="200" w:hRule="exact"/>
        </w:trPr>
        <w:tc>
          <w:tcPr>
            <w:tcW w:w="1015" w:type="dxa"/>
            <w:tcBorders>
              <w:top w:val="nil"/>
              <w:left w:val="nil"/>
              <w:bottom w:val="nil"/>
            </w:tcBorders>
          </w:tcPr>
          <w:p>
            <w:pPr>
              <w:pStyle w:val="TableParagraph"/>
              <w:spacing w:line="206" w:lineRule="exact"/>
              <w:ind w:left="428"/>
              <w:rPr>
                <w:sz w:val="19"/>
              </w:rPr>
            </w:pPr>
            <w:r>
              <w:rPr>
                <w:sz w:val="19"/>
              </w:rPr>
              <w:t>91</w:t>
            </w:r>
          </w:p>
        </w:tc>
        <w:tc>
          <w:tcPr>
            <w:tcW w:w="1634" w:type="dxa"/>
            <w:tcBorders>
              <w:top w:val="nil"/>
              <w:bottom w:val="nil"/>
            </w:tcBorders>
          </w:tcPr>
          <w:p>
            <w:pPr>
              <w:pStyle w:val="TableParagraph"/>
              <w:spacing w:line="202" w:lineRule="exact"/>
              <w:ind w:left="413"/>
              <w:rPr>
                <w:sz w:val="19"/>
              </w:rPr>
            </w:pPr>
            <w:r>
              <w:rPr>
                <w:w w:val="80"/>
                <w:sz w:val="19"/>
              </w:rPr>
              <w:t>908.292</w:t>
            </w:r>
            <w:r>
              <w:rPr>
                <w:spacing w:val="-50"/>
                <w:w w:val="80"/>
                <w:sz w:val="19"/>
              </w:rPr>
              <w:t> </w:t>
            </w:r>
            <w:r>
              <w:rPr>
                <w:spacing w:val="-17"/>
                <w:w w:val="80"/>
                <w:sz w:val="19"/>
              </w:rPr>
              <w:t>57</w:t>
            </w:r>
          </w:p>
        </w:tc>
        <w:tc>
          <w:tcPr>
            <w:tcW w:w="1553" w:type="dxa"/>
            <w:tcBorders>
              <w:top w:val="nil"/>
              <w:bottom w:val="nil"/>
            </w:tcBorders>
          </w:tcPr>
          <w:p>
            <w:pPr>
              <w:pStyle w:val="TableParagraph"/>
              <w:spacing w:line="199" w:lineRule="exact"/>
              <w:ind w:left="496"/>
              <w:rPr>
                <w:sz w:val="19"/>
              </w:rPr>
            </w:pPr>
            <w:r>
              <w:rPr>
                <w:spacing w:val="-15"/>
                <w:w w:val="95"/>
                <w:sz w:val="19"/>
              </w:rPr>
              <w:t>3.148</w:t>
            </w:r>
            <w:r>
              <w:rPr>
                <w:spacing w:val="-89"/>
                <w:w w:val="95"/>
                <w:sz w:val="19"/>
              </w:rPr>
              <w:t> </w:t>
            </w:r>
            <w:r>
              <w:rPr>
                <w:spacing w:val="-17"/>
                <w:w w:val="95"/>
                <w:sz w:val="19"/>
              </w:rPr>
              <w:t>69</w:t>
            </w:r>
          </w:p>
        </w:tc>
        <w:tc>
          <w:tcPr>
            <w:tcW w:w="1525" w:type="dxa"/>
            <w:tcBorders>
              <w:top w:val="nil"/>
              <w:bottom w:val="nil"/>
              <w:right w:val="nil"/>
            </w:tcBorders>
          </w:tcPr>
          <w:p>
            <w:pPr>
              <w:pStyle w:val="TableParagraph"/>
              <w:spacing w:line="195" w:lineRule="exact"/>
              <w:ind w:right="362"/>
              <w:jc w:val="right"/>
              <w:rPr>
                <w:sz w:val="19"/>
              </w:rPr>
            </w:pPr>
            <w:r>
              <w:rPr>
                <w:spacing w:val="-23"/>
                <w:w w:val="90"/>
                <w:sz w:val="19"/>
              </w:rPr>
              <w:t>2.085 </w:t>
            </w:r>
            <w:r>
              <w:rPr>
                <w:w w:val="90"/>
                <w:sz w:val="19"/>
              </w:rPr>
              <w:t>14</w:t>
            </w:r>
          </w:p>
        </w:tc>
      </w:tr>
      <w:tr>
        <w:trPr>
          <w:trHeight w:val="396" w:hRule="exact"/>
        </w:trPr>
        <w:tc>
          <w:tcPr>
            <w:tcW w:w="1015" w:type="dxa"/>
            <w:tcBorders>
              <w:top w:val="nil"/>
              <w:left w:val="nil"/>
              <w:bottom w:val="nil"/>
            </w:tcBorders>
          </w:tcPr>
          <w:p>
            <w:pPr>
              <w:pStyle w:val="TableParagraph"/>
              <w:spacing w:line="204" w:lineRule="exact"/>
              <w:ind w:left="379" w:right="337"/>
              <w:jc w:val="center"/>
              <w:rPr>
                <w:sz w:val="19"/>
              </w:rPr>
            </w:pPr>
            <w:r>
              <w:rPr>
                <w:w w:val="105"/>
                <w:sz w:val="19"/>
              </w:rPr>
              <w:t>92</w:t>
            </w:r>
          </w:p>
          <w:p>
            <w:pPr>
              <w:pStyle w:val="TableParagraph"/>
              <w:spacing w:line="188" w:lineRule="exact"/>
              <w:ind w:left="352" w:right="337"/>
              <w:jc w:val="center"/>
              <w:rPr>
                <w:rFonts w:ascii="Times New Roman"/>
                <w:sz w:val="17"/>
              </w:rPr>
            </w:pPr>
            <w:r>
              <w:rPr>
                <w:rFonts w:ascii="Times New Roman"/>
                <w:sz w:val="17"/>
              </w:rPr>
              <w:t>93</w:t>
            </w:r>
          </w:p>
        </w:tc>
        <w:tc>
          <w:tcPr>
            <w:tcW w:w="1634" w:type="dxa"/>
            <w:tcBorders>
              <w:top w:val="nil"/>
              <w:bottom w:val="nil"/>
            </w:tcBorders>
          </w:tcPr>
          <w:p>
            <w:pPr>
              <w:pStyle w:val="TableParagraph"/>
              <w:spacing w:line="225" w:lineRule="auto"/>
              <w:ind w:left="413" w:right="370" w:hanging="4"/>
              <w:rPr>
                <w:sz w:val="19"/>
              </w:rPr>
            </w:pPr>
            <w:r>
              <w:rPr>
                <w:spacing w:val="-5"/>
                <w:w w:val="80"/>
                <w:sz w:val="19"/>
              </w:rPr>
              <w:t>914.534</w:t>
            </w:r>
            <w:r>
              <w:rPr>
                <w:spacing w:val="-57"/>
                <w:w w:val="80"/>
                <w:sz w:val="19"/>
              </w:rPr>
              <w:t> </w:t>
            </w:r>
            <w:r>
              <w:rPr>
                <w:w w:val="80"/>
                <w:sz w:val="19"/>
              </w:rPr>
              <w:t>29 </w:t>
            </w:r>
            <w:r>
              <w:rPr>
                <w:spacing w:val="-15"/>
                <w:w w:val="90"/>
                <w:sz w:val="19"/>
              </w:rPr>
              <w:t>920.946</w:t>
            </w:r>
            <w:r>
              <w:rPr>
                <w:spacing w:val="-85"/>
                <w:w w:val="90"/>
                <w:sz w:val="19"/>
              </w:rPr>
              <w:t> </w:t>
            </w:r>
            <w:r>
              <w:rPr>
                <w:spacing w:val="-10"/>
                <w:w w:val="90"/>
                <w:sz w:val="19"/>
              </w:rPr>
              <w:t>31</w:t>
            </w:r>
          </w:p>
        </w:tc>
        <w:tc>
          <w:tcPr>
            <w:tcW w:w="1553" w:type="dxa"/>
            <w:tcBorders>
              <w:top w:val="nil"/>
              <w:bottom w:val="nil"/>
            </w:tcBorders>
          </w:tcPr>
          <w:p>
            <w:pPr>
              <w:pStyle w:val="TableParagraph"/>
              <w:spacing w:line="190" w:lineRule="exact"/>
              <w:ind w:left="496"/>
              <w:rPr>
                <w:sz w:val="19"/>
              </w:rPr>
            </w:pPr>
            <w:r>
              <w:rPr>
                <w:spacing w:val="-20"/>
                <w:w w:val="95"/>
                <w:sz w:val="19"/>
              </w:rPr>
              <w:t>2.934</w:t>
            </w:r>
            <w:r>
              <w:rPr>
                <w:spacing w:val="-71"/>
                <w:w w:val="95"/>
                <w:sz w:val="19"/>
              </w:rPr>
              <w:t> </w:t>
            </w:r>
            <w:r>
              <w:rPr>
                <w:spacing w:val="-13"/>
                <w:w w:val="95"/>
                <w:sz w:val="19"/>
              </w:rPr>
              <w:t>32</w:t>
            </w:r>
          </w:p>
          <w:p>
            <w:pPr>
              <w:pStyle w:val="TableParagraph"/>
              <w:spacing w:line="188" w:lineRule="exact"/>
              <w:ind w:left="500"/>
              <w:rPr>
                <w:rFonts w:ascii="Times New Roman"/>
                <w:sz w:val="17"/>
              </w:rPr>
            </w:pPr>
            <w:r>
              <w:rPr>
                <w:rFonts w:ascii="Times New Roman"/>
                <w:sz w:val="17"/>
              </w:rPr>
              <w:t>2.714 11</w:t>
            </w:r>
          </w:p>
        </w:tc>
        <w:tc>
          <w:tcPr>
            <w:tcW w:w="1525" w:type="dxa"/>
            <w:tcBorders>
              <w:top w:val="nil"/>
              <w:bottom w:val="nil"/>
              <w:right w:val="nil"/>
            </w:tcBorders>
          </w:tcPr>
          <w:p>
            <w:pPr>
              <w:pStyle w:val="TableParagraph"/>
              <w:spacing w:line="187" w:lineRule="exact"/>
              <w:ind w:left="502"/>
              <w:rPr>
                <w:sz w:val="19"/>
              </w:rPr>
            </w:pPr>
            <w:r>
              <w:rPr>
                <w:w w:val="85"/>
                <w:sz w:val="19"/>
              </w:rPr>
              <w:t>1.964 79</w:t>
            </w:r>
          </w:p>
          <w:p>
            <w:pPr>
              <w:pStyle w:val="TableParagraph"/>
              <w:spacing w:line="205" w:lineRule="exact"/>
              <w:ind w:left="505"/>
              <w:rPr>
                <w:sz w:val="19"/>
              </w:rPr>
            </w:pPr>
            <w:r>
              <w:rPr>
                <w:w w:val="75"/>
                <w:sz w:val="19"/>
              </w:rPr>
              <w:t>1.844 15</w:t>
            </w:r>
          </w:p>
        </w:tc>
      </w:tr>
      <w:tr>
        <w:trPr>
          <w:trHeight w:val="306" w:hRule="exact"/>
        </w:trPr>
        <w:tc>
          <w:tcPr>
            <w:tcW w:w="1015" w:type="dxa"/>
            <w:tcBorders>
              <w:top w:val="nil"/>
              <w:left w:val="nil"/>
              <w:bottom w:val="nil"/>
            </w:tcBorders>
          </w:tcPr>
          <w:p>
            <w:pPr>
              <w:pStyle w:val="TableParagraph"/>
              <w:ind w:left="428"/>
              <w:rPr>
                <w:sz w:val="19"/>
              </w:rPr>
            </w:pPr>
            <w:r>
              <w:rPr>
                <w:w w:val="95"/>
                <w:sz w:val="19"/>
              </w:rPr>
              <w:t>94</w:t>
            </w:r>
          </w:p>
        </w:tc>
        <w:tc>
          <w:tcPr>
            <w:tcW w:w="1634" w:type="dxa"/>
            <w:tcBorders>
              <w:top w:val="nil"/>
              <w:bottom w:val="nil"/>
            </w:tcBorders>
          </w:tcPr>
          <w:p>
            <w:pPr>
              <w:pStyle w:val="TableParagraph"/>
              <w:spacing w:line="208" w:lineRule="exact"/>
              <w:ind w:left="264" w:right="224"/>
              <w:jc w:val="center"/>
              <w:rPr>
                <w:sz w:val="19"/>
              </w:rPr>
            </w:pPr>
            <w:r>
              <w:rPr>
                <w:spacing w:val="-16"/>
                <w:w w:val="90"/>
                <w:sz w:val="19"/>
              </w:rPr>
              <w:t>927.645</w:t>
            </w:r>
            <w:r>
              <w:rPr>
                <w:spacing w:val="-85"/>
                <w:w w:val="90"/>
                <w:sz w:val="19"/>
              </w:rPr>
              <w:t> </w:t>
            </w:r>
            <w:r>
              <w:rPr>
                <w:w w:val="90"/>
                <w:sz w:val="19"/>
              </w:rPr>
              <w:t>88</w:t>
            </w:r>
          </w:p>
        </w:tc>
        <w:tc>
          <w:tcPr>
            <w:tcW w:w="1553" w:type="dxa"/>
            <w:tcBorders>
              <w:top w:val="nil"/>
              <w:bottom w:val="nil"/>
            </w:tcBorders>
          </w:tcPr>
          <w:p>
            <w:pPr>
              <w:pStyle w:val="TableParagraph"/>
              <w:spacing w:line="204" w:lineRule="exact"/>
              <w:ind w:left="496"/>
              <w:rPr>
                <w:sz w:val="19"/>
              </w:rPr>
            </w:pPr>
            <w:r>
              <w:rPr>
                <w:w w:val="80"/>
                <w:sz w:val="19"/>
              </w:rPr>
              <w:t>2.484 23</w:t>
            </w:r>
          </w:p>
        </w:tc>
        <w:tc>
          <w:tcPr>
            <w:tcW w:w="1525" w:type="dxa"/>
            <w:tcBorders>
              <w:top w:val="nil"/>
              <w:bottom w:val="nil"/>
              <w:right w:val="nil"/>
            </w:tcBorders>
          </w:tcPr>
          <w:p>
            <w:pPr>
              <w:pStyle w:val="TableParagraph"/>
              <w:spacing w:line="197" w:lineRule="exact"/>
              <w:ind w:right="370"/>
              <w:jc w:val="right"/>
              <w:rPr>
                <w:sz w:val="19"/>
              </w:rPr>
            </w:pPr>
            <w:r>
              <w:rPr>
                <w:rFonts w:ascii="Times New Roman"/>
                <w:w w:val="172"/>
                <w:sz w:val="16"/>
              </w:rPr>
              <w:t>l</w:t>
            </w:r>
            <w:r>
              <w:rPr>
                <w:rFonts w:ascii="Times New Roman"/>
                <w:spacing w:val="5"/>
                <w:w w:val="172"/>
                <w:sz w:val="16"/>
              </w:rPr>
              <w:t>.</w:t>
            </w:r>
            <w:r>
              <w:rPr>
                <w:spacing w:val="-31"/>
                <w:w w:val="98"/>
                <w:sz w:val="19"/>
              </w:rPr>
              <w:t>7</w:t>
            </w:r>
            <w:r>
              <w:rPr>
                <w:spacing w:val="-21"/>
                <w:w w:val="93"/>
                <w:sz w:val="19"/>
              </w:rPr>
              <w:t>2</w:t>
            </w:r>
            <w:r>
              <w:rPr>
                <w:w w:val="67"/>
                <w:sz w:val="19"/>
              </w:rPr>
              <w:t>1</w:t>
            </w:r>
            <w:r>
              <w:rPr>
                <w:spacing w:val="-48"/>
                <w:sz w:val="19"/>
              </w:rPr>
              <w:t> </w:t>
            </w:r>
            <w:r>
              <w:rPr>
                <w:spacing w:val="-28"/>
                <w:w w:val="108"/>
                <w:sz w:val="19"/>
              </w:rPr>
              <w:t>4</w:t>
            </w:r>
            <w:r>
              <w:rPr>
                <w:w w:val="67"/>
                <w:sz w:val="19"/>
              </w:rPr>
              <w:t>1</w:t>
            </w:r>
          </w:p>
        </w:tc>
      </w:tr>
      <w:tr>
        <w:trPr>
          <w:trHeight w:val="302" w:hRule="exact"/>
        </w:trPr>
        <w:tc>
          <w:tcPr>
            <w:tcW w:w="1015" w:type="dxa"/>
            <w:tcBorders>
              <w:top w:val="nil"/>
              <w:left w:val="nil"/>
              <w:bottom w:val="nil"/>
            </w:tcBorders>
          </w:tcPr>
          <w:p>
            <w:pPr>
              <w:pStyle w:val="TableParagraph"/>
              <w:spacing w:before="96"/>
              <w:ind w:left="428"/>
              <w:rPr>
                <w:rFonts w:ascii="Times New Roman"/>
                <w:sz w:val="17"/>
              </w:rPr>
            </w:pPr>
            <w:r>
              <w:rPr>
                <w:rFonts w:ascii="Times New Roman"/>
                <w:sz w:val="17"/>
              </w:rPr>
              <w:t>95</w:t>
            </w:r>
          </w:p>
        </w:tc>
        <w:tc>
          <w:tcPr>
            <w:tcW w:w="1634" w:type="dxa"/>
            <w:tcBorders>
              <w:top w:val="nil"/>
              <w:bottom w:val="nil"/>
            </w:tcBorders>
          </w:tcPr>
          <w:p>
            <w:pPr>
              <w:pStyle w:val="TableParagraph"/>
              <w:spacing w:before="90"/>
              <w:ind w:left="253" w:right="226"/>
              <w:jc w:val="center"/>
              <w:rPr>
                <w:sz w:val="19"/>
              </w:rPr>
            </w:pPr>
            <w:r>
              <w:rPr>
                <w:w w:val="80"/>
                <w:sz w:val="19"/>
              </w:rPr>
              <w:t>934.843 71</w:t>
            </w:r>
          </w:p>
        </w:tc>
        <w:tc>
          <w:tcPr>
            <w:tcW w:w="1553" w:type="dxa"/>
            <w:tcBorders>
              <w:top w:val="nil"/>
              <w:bottom w:val="nil"/>
            </w:tcBorders>
          </w:tcPr>
          <w:p>
            <w:pPr>
              <w:pStyle w:val="TableParagraph"/>
              <w:spacing w:before="82"/>
              <w:ind w:left="496"/>
              <w:rPr>
                <w:sz w:val="19"/>
              </w:rPr>
            </w:pPr>
            <w:r>
              <w:rPr>
                <w:w w:val="85"/>
                <w:sz w:val="19"/>
              </w:rPr>
              <w:t>2.237 18</w:t>
            </w:r>
          </w:p>
        </w:tc>
        <w:tc>
          <w:tcPr>
            <w:tcW w:w="1525" w:type="dxa"/>
            <w:tcBorders>
              <w:top w:val="nil"/>
              <w:bottom w:val="nil"/>
              <w:right w:val="nil"/>
            </w:tcBorders>
          </w:tcPr>
          <w:p>
            <w:pPr>
              <w:pStyle w:val="TableParagraph"/>
              <w:spacing w:before="79"/>
              <w:ind w:right="356"/>
              <w:jc w:val="right"/>
              <w:rPr>
                <w:sz w:val="19"/>
              </w:rPr>
            </w:pPr>
            <w:r>
              <w:rPr>
                <w:spacing w:val="-11"/>
                <w:w w:val="85"/>
                <w:sz w:val="19"/>
              </w:rPr>
              <w:t>1.591</w:t>
            </w:r>
            <w:r>
              <w:rPr>
                <w:spacing w:val="-69"/>
                <w:w w:val="85"/>
                <w:sz w:val="19"/>
              </w:rPr>
              <w:t> </w:t>
            </w:r>
            <w:r>
              <w:rPr>
                <w:w w:val="85"/>
                <w:sz w:val="19"/>
              </w:rPr>
              <w:t>28</w:t>
            </w:r>
          </w:p>
        </w:tc>
      </w:tr>
      <w:tr>
        <w:trPr>
          <w:trHeight w:val="198" w:hRule="exact"/>
        </w:trPr>
        <w:tc>
          <w:tcPr>
            <w:tcW w:w="1015" w:type="dxa"/>
            <w:tcBorders>
              <w:top w:val="nil"/>
              <w:left w:val="nil"/>
              <w:bottom w:val="nil"/>
            </w:tcBorders>
          </w:tcPr>
          <w:p>
            <w:pPr>
              <w:pStyle w:val="TableParagraph"/>
              <w:spacing w:line="197" w:lineRule="exact"/>
              <w:ind w:left="428"/>
              <w:rPr>
                <w:rFonts w:ascii="Times New Roman"/>
                <w:sz w:val="18"/>
              </w:rPr>
            </w:pPr>
            <w:r>
              <w:rPr>
                <w:rFonts w:ascii="Times New Roman"/>
                <w:sz w:val="18"/>
              </w:rPr>
              <w:t>96</w:t>
            </w:r>
          </w:p>
        </w:tc>
        <w:tc>
          <w:tcPr>
            <w:tcW w:w="1634" w:type="dxa"/>
            <w:tcBorders>
              <w:top w:val="nil"/>
              <w:bottom w:val="nil"/>
            </w:tcBorders>
          </w:tcPr>
          <w:p>
            <w:pPr>
              <w:pStyle w:val="TableParagraph"/>
              <w:spacing w:line="204" w:lineRule="exact"/>
              <w:ind w:left="264" w:right="218"/>
              <w:jc w:val="center"/>
              <w:rPr>
                <w:sz w:val="19"/>
              </w:rPr>
            </w:pPr>
            <w:r>
              <w:rPr>
                <w:w w:val="90"/>
                <w:sz w:val="19"/>
              </w:rPr>
              <w:t>942.781 65</w:t>
            </w:r>
          </w:p>
        </w:tc>
        <w:tc>
          <w:tcPr>
            <w:tcW w:w="1553" w:type="dxa"/>
            <w:tcBorders>
              <w:top w:val="nil"/>
              <w:bottom w:val="nil"/>
            </w:tcBorders>
          </w:tcPr>
          <w:p>
            <w:pPr>
              <w:pStyle w:val="TableParagraph"/>
              <w:spacing w:line="201" w:lineRule="exact"/>
              <w:ind w:left="377" w:right="238"/>
              <w:jc w:val="center"/>
              <w:rPr>
                <w:sz w:val="19"/>
              </w:rPr>
            </w:pPr>
            <w:r>
              <w:rPr>
                <w:spacing w:val="-5"/>
                <w:w w:val="85"/>
                <w:sz w:val="19"/>
              </w:rPr>
              <w:t>1.964</w:t>
            </w:r>
            <w:r>
              <w:rPr>
                <w:spacing w:val="-71"/>
                <w:w w:val="85"/>
                <w:sz w:val="19"/>
              </w:rPr>
              <w:t> </w:t>
            </w:r>
            <w:r>
              <w:rPr>
                <w:spacing w:val="-9"/>
                <w:w w:val="85"/>
                <w:sz w:val="19"/>
              </w:rPr>
              <w:t>16</w:t>
            </w:r>
          </w:p>
        </w:tc>
        <w:tc>
          <w:tcPr>
            <w:tcW w:w="1525" w:type="dxa"/>
            <w:tcBorders>
              <w:top w:val="nil"/>
              <w:bottom w:val="nil"/>
              <w:right w:val="nil"/>
            </w:tcBorders>
          </w:tcPr>
          <w:p>
            <w:pPr>
              <w:pStyle w:val="TableParagraph"/>
              <w:spacing w:line="172" w:lineRule="exact"/>
              <w:ind w:right="373"/>
              <w:jc w:val="right"/>
              <w:rPr>
                <w:rFonts w:ascii="Arial"/>
                <w:sz w:val="15"/>
              </w:rPr>
            </w:pPr>
            <w:r>
              <w:rPr>
                <w:rFonts w:ascii="Arial"/>
                <w:w w:val="105"/>
                <w:sz w:val="15"/>
              </w:rPr>
              <w:t>1.446 08</w:t>
            </w:r>
          </w:p>
        </w:tc>
      </w:tr>
      <w:tr>
        <w:trPr>
          <w:trHeight w:val="203" w:hRule="exact"/>
        </w:trPr>
        <w:tc>
          <w:tcPr>
            <w:tcW w:w="1015" w:type="dxa"/>
            <w:tcBorders>
              <w:top w:val="nil"/>
              <w:left w:val="nil"/>
              <w:bottom w:val="nil"/>
            </w:tcBorders>
          </w:tcPr>
          <w:p>
            <w:pPr>
              <w:pStyle w:val="TableParagraph"/>
              <w:spacing w:line="211" w:lineRule="exact"/>
              <w:ind w:left="428"/>
              <w:rPr>
                <w:sz w:val="19"/>
              </w:rPr>
            </w:pPr>
            <w:r>
              <w:rPr>
                <w:w w:val="105"/>
                <w:sz w:val="19"/>
              </w:rPr>
              <w:t>97</w:t>
            </w:r>
          </w:p>
        </w:tc>
        <w:tc>
          <w:tcPr>
            <w:tcW w:w="1634" w:type="dxa"/>
            <w:tcBorders>
              <w:top w:val="nil"/>
              <w:bottom w:val="nil"/>
            </w:tcBorders>
          </w:tcPr>
          <w:p>
            <w:pPr>
              <w:pStyle w:val="TableParagraph"/>
              <w:spacing w:line="204" w:lineRule="exact"/>
              <w:ind w:left="264" w:right="210"/>
              <w:jc w:val="center"/>
              <w:rPr>
                <w:sz w:val="19"/>
              </w:rPr>
            </w:pPr>
            <w:r>
              <w:rPr>
                <w:spacing w:val="-3"/>
                <w:w w:val="85"/>
                <w:sz w:val="19"/>
              </w:rPr>
              <w:t>951.738</w:t>
            </w:r>
            <w:r>
              <w:rPr>
                <w:spacing w:val="-74"/>
                <w:w w:val="85"/>
                <w:sz w:val="19"/>
              </w:rPr>
              <w:t> </w:t>
            </w:r>
            <w:r>
              <w:rPr>
                <w:spacing w:val="-18"/>
                <w:w w:val="85"/>
                <w:sz w:val="19"/>
              </w:rPr>
              <w:t>42</w:t>
            </w:r>
          </w:p>
        </w:tc>
        <w:tc>
          <w:tcPr>
            <w:tcW w:w="1553" w:type="dxa"/>
            <w:tcBorders>
              <w:top w:val="nil"/>
              <w:bottom w:val="nil"/>
            </w:tcBorders>
          </w:tcPr>
          <w:p>
            <w:pPr>
              <w:pStyle w:val="TableParagraph"/>
              <w:spacing w:line="184" w:lineRule="exact"/>
              <w:ind w:left="355" w:right="255"/>
              <w:jc w:val="center"/>
              <w:rPr>
                <w:rFonts w:ascii="Times New Roman"/>
                <w:sz w:val="17"/>
              </w:rPr>
            </w:pPr>
            <w:r>
              <w:rPr>
                <w:rFonts w:ascii="Times New Roman"/>
                <w:sz w:val="17"/>
              </w:rPr>
              <w:t>1.656 69</w:t>
            </w:r>
          </w:p>
        </w:tc>
        <w:tc>
          <w:tcPr>
            <w:tcW w:w="1525" w:type="dxa"/>
            <w:tcBorders>
              <w:top w:val="nil"/>
              <w:bottom w:val="nil"/>
              <w:right w:val="nil"/>
            </w:tcBorders>
          </w:tcPr>
          <w:p>
            <w:pPr>
              <w:pStyle w:val="TableParagraph"/>
              <w:spacing w:line="197" w:lineRule="exact"/>
              <w:ind w:right="366"/>
              <w:jc w:val="right"/>
              <w:rPr>
                <w:sz w:val="19"/>
              </w:rPr>
            </w:pPr>
            <w:r>
              <w:rPr>
                <w:spacing w:val="-4"/>
                <w:w w:val="80"/>
                <w:sz w:val="19"/>
              </w:rPr>
              <w:t>1.281</w:t>
            </w:r>
            <w:r>
              <w:rPr>
                <w:spacing w:val="-65"/>
                <w:w w:val="80"/>
                <w:sz w:val="19"/>
              </w:rPr>
              <w:t> </w:t>
            </w:r>
            <w:r>
              <w:rPr>
                <w:w w:val="80"/>
                <w:sz w:val="19"/>
              </w:rPr>
              <w:t>26</w:t>
            </w:r>
          </w:p>
        </w:tc>
      </w:tr>
      <w:tr>
        <w:trPr>
          <w:trHeight w:val="507" w:hRule="exact"/>
        </w:trPr>
        <w:tc>
          <w:tcPr>
            <w:tcW w:w="1015" w:type="dxa"/>
            <w:tcBorders>
              <w:top w:val="nil"/>
              <w:left w:val="nil"/>
              <w:bottom w:val="single" w:sz="7" w:space="0" w:color="000000"/>
            </w:tcBorders>
          </w:tcPr>
          <w:p>
            <w:pPr>
              <w:pStyle w:val="TableParagraph"/>
              <w:spacing w:line="195" w:lineRule="exact"/>
              <w:ind w:left="360" w:right="337"/>
              <w:jc w:val="center"/>
              <w:rPr>
                <w:rFonts w:ascii="Times New Roman"/>
                <w:sz w:val="18"/>
              </w:rPr>
            </w:pPr>
            <w:r>
              <w:rPr>
                <w:rFonts w:ascii="Times New Roman"/>
                <w:sz w:val="18"/>
              </w:rPr>
              <w:t>98</w:t>
            </w:r>
          </w:p>
          <w:p>
            <w:pPr>
              <w:pStyle w:val="TableParagraph"/>
              <w:spacing w:before="6"/>
              <w:ind w:left="355" w:right="337"/>
              <w:jc w:val="center"/>
              <w:rPr>
                <w:rFonts w:ascii="Times New Roman"/>
                <w:sz w:val="16"/>
              </w:rPr>
            </w:pPr>
            <w:r>
              <w:rPr>
                <w:rFonts w:ascii="Times New Roman"/>
                <w:w w:val="105"/>
                <w:sz w:val="16"/>
              </w:rPr>
              <w:t>99</w:t>
            </w:r>
          </w:p>
        </w:tc>
        <w:tc>
          <w:tcPr>
            <w:tcW w:w="1634" w:type="dxa"/>
            <w:tcBorders>
              <w:top w:val="nil"/>
              <w:bottom w:val="single" w:sz="7" w:space="0" w:color="000000"/>
            </w:tcBorders>
          </w:tcPr>
          <w:p>
            <w:pPr>
              <w:pStyle w:val="TableParagraph"/>
              <w:spacing w:line="220" w:lineRule="auto" w:before="3"/>
              <w:ind w:left="413" w:firstLine="3"/>
              <w:rPr>
                <w:sz w:val="19"/>
              </w:rPr>
            </w:pPr>
            <w:r>
              <w:rPr>
                <w:spacing w:val="-8"/>
                <w:w w:val="80"/>
                <w:sz w:val="19"/>
              </w:rPr>
              <w:t>961.492 </w:t>
            </w:r>
            <w:r>
              <w:rPr>
                <w:w w:val="80"/>
                <w:sz w:val="19"/>
              </w:rPr>
              <w:t>83 </w:t>
            </w:r>
            <w:r>
              <w:rPr>
                <w:spacing w:val="-15"/>
                <w:w w:val="85"/>
                <w:sz w:val="19"/>
              </w:rPr>
              <w:t>970.887 </w:t>
            </w:r>
            <w:r>
              <w:rPr>
                <w:w w:val="85"/>
                <w:sz w:val="19"/>
              </w:rPr>
              <w:t>14</w:t>
            </w:r>
          </w:p>
        </w:tc>
        <w:tc>
          <w:tcPr>
            <w:tcW w:w="1553" w:type="dxa"/>
            <w:tcBorders>
              <w:top w:val="nil"/>
              <w:bottom w:val="single" w:sz="7" w:space="0" w:color="000000"/>
            </w:tcBorders>
          </w:tcPr>
          <w:p>
            <w:pPr>
              <w:pStyle w:val="TableParagraph"/>
              <w:spacing w:line="187" w:lineRule="exact"/>
              <w:ind w:left="503"/>
              <w:rPr>
                <w:sz w:val="19"/>
              </w:rPr>
            </w:pPr>
            <w:r>
              <w:rPr>
                <w:spacing w:val="-11"/>
                <w:w w:val="85"/>
                <w:sz w:val="19"/>
              </w:rPr>
              <w:t>1.322</w:t>
            </w:r>
            <w:r>
              <w:rPr>
                <w:spacing w:val="-65"/>
                <w:w w:val="85"/>
                <w:sz w:val="19"/>
              </w:rPr>
              <w:t> </w:t>
            </w:r>
            <w:r>
              <w:rPr>
                <w:w w:val="85"/>
                <w:sz w:val="19"/>
              </w:rPr>
              <w:t>18</w:t>
            </w:r>
          </w:p>
          <w:p>
            <w:pPr>
              <w:pStyle w:val="TableParagraph"/>
              <w:spacing w:line="195" w:lineRule="exact"/>
              <w:ind w:left="503"/>
              <w:rPr>
                <w:rFonts w:ascii="Times New Roman"/>
                <w:sz w:val="18"/>
              </w:rPr>
            </w:pPr>
            <w:r>
              <w:rPr>
                <w:rFonts w:ascii="Times New Roman"/>
                <w:sz w:val="18"/>
              </w:rPr>
              <w:t>1.000 00</w:t>
            </w:r>
          </w:p>
        </w:tc>
        <w:tc>
          <w:tcPr>
            <w:tcW w:w="1525" w:type="dxa"/>
            <w:tcBorders>
              <w:top w:val="nil"/>
              <w:bottom w:val="single" w:sz="7" w:space="0" w:color="000000"/>
              <w:right w:val="nil"/>
            </w:tcBorders>
          </w:tcPr>
          <w:p>
            <w:pPr>
              <w:pStyle w:val="TableParagraph"/>
              <w:spacing w:line="184" w:lineRule="exact"/>
              <w:ind w:left="502"/>
              <w:rPr>
                <w:sz w:val="19"/>
              </w:rPr>
            </w:pPr>
            <w:r>
              <w:rPr>
                <w:w w:val="80"/>
                <w:sz w:val="19"/>
              </w:rPr>
              <w:t>1.106</w:t>
            </w:r>
            <w:r>
              <w:rPr>
                <w:spacing w:val="-62"/>
                <w:w w:val="80"/>
                <w:sz w:val="19"/>
              </w:rPr>
              <w:t> </w:t>
            </w:r>
            <w:r>
              <w:rPr>
                <w:w w:val="80"/>
                <w:sz w:val="19"/>
              </w:rPr>
              <w:t>92</w:t>
            </w:r>
          </w:p>
          <w:p>
            <w:pPr>
              <w:pStyle w:val="TableParagraph"/>
              <w:spacing w:line="195" w:lineRule="exact"/>
              <w:ind w:left="502"/>
              <w:rPr>
                <w:rFonts w:ascii="Times New Roman"/>
                <w:sz w:val="18"/>
              </w:rPr>
            </w:pPr>
            <w:r>
              <w:rPr>
                <w:rFonts w:ascii="Times New Roman"/>
                <w:sz w:val="18"/>
              </w:rPr>
              <w:t>1.000 00</w:t>
            </w:r>
          </w:p>
        </w:tc>
      </w:tr>
    </w:tbl>
    <w:p>
      <w:pPr>
        <w:spacing w:after="0" w:line="195" w:lineRule="exact"/>
        <w:rPr>
          <w:rFonts w:ascii="Times New Roman"/>
          <w:sz w:val="18"/>
        </w:rPr>
        <w:sectPr>
          <w:pgSz w:w="7200" w:h="11340"/>
          <w:pgMar w:top="520" w:bottom="280" w:left="660" w:right="560"/>
        </w:sectPr>
      </w:pPr>
    </w:p>
    <w:p>
      <w:pPr>
        <w:spacing w:line="190" w:lineRule="exact" w:before="63"/>
        <w:ind w:left="1548" w:right="1548" w:firstLine="0"/>
        <w:jc w:val="center"/>
        <w:rPr>
          <w:i/>
          <w:sz w:val="17"/>
        </w:rPr>
      </w:pPr>
      <w:r>
        <w:rPr>
          <w:i/>
          <w:sz w:val="17"/>
        </w:rPr>
        <w:t>1948 CSO Table</w:t>
      </w:r>
    </w:p>
    <w:p>
      <w:pPr>
        <w:spacing w:line="201" w:lineRule="exact" w:before="0" w:after="22"/>
        <w:ind w:left="1548" w:right="1525" w:firstLine="0"/>
        <w:jc w:val="center"/>
        <w:rPr>
          <w:i/>
          <w:sz w:val="10"/>
        </w:rPr>
      </w:pPr>
      <w:r>
        <w:rPr>
          <w:i/>
          <w:sz w:val="18"/>
        </w:rPr>
        <w:t>Table of  Uniform Senioril y </w:t>
      </w:r>
      <w:r>
        <w:rPr>
          <w:i/>
          <w:position w:val="4"/>
          <w:sz w:val="10"/>
        </w:rPr>
        <w:t>1</w:t>
      </w: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11"/>
        <w:gridCol w:w="1459"/>
        <w:gridCol w:w="1463"/>
        <w:gridCol w:w="1443"/>
      </w:tblGrid>
      <w:tr>
        <w:trPr>
          <w:trHeight w:val="359" w:hRule="exact"/>
        </w:trPr>
        <w:tc>
          <w:tcPr>
            <w:tcW w:w="1311" w:type="dxa"/>
            <w:tcBorders>
              <w:left w:val="nil"/>
            </w:tcBorders>
          </w:tcPr>
          <w:p>
            <w:pPr>
              <w:pStyle w:val="TableParagraph"/>
              <w:spacing w:before="73"/>
              <w:ind w:left="153"/>
              <w:rPr>
                <w:rFonts w:ascii="Times New Roman" w:hAnsi="Times New Roman"/>
                <w:sz w:val="14"/>
              </w:rPr>
            </w:pPr>
            <w:r>
              <w:rPr>
                <w:rFonts w:ascii="Times New Roman" w:hAnsi="Times New Roman"/>
                <w:sz w:val="14"/>
              </w:rPr>
              <w:t>Di6erencc of A¡c</w:t>
            </w:r>
          </w:p>
        </w:tc>
        <w:tc>
          <w:tcPr>
            <w:tcW w:w="1459" w:type="dxa"/>
            <w:tcBorders>
              <w:bottom w:val="single" w:sz="9" w:space="0" w:color="000000"/>
              <w:right w:val="single" w:sz="13" w:space="0" w:color="000000"/>
            </w:tcBorders>
          </w:tcPr>
          <w:p>
            <w:pPr>
              <w:pStyle w:val="TableParagraph"/>
              <w:spacing w:before="66"/>
              <w:ind w:left="9" w:right="9"/>
              <w:jc w:val="center"/>
              <w:rPr>
                <w:rFonts w:ascii="Times New Roman"/>
                <w:b/>
                <w:sz w:val="13"/>
              </w:rPr>
            </w:pPr>
            <w:r>
              <w:rPr>
                <w:rFonts w:ascii="Times New Roman"/>
                <w:sz w:val="14"/>
              </w:rPr>
              <w:t>Addition  to </w:t>
            </w:r>
            <w:r>
              <w:rPr>
                <w:rFonts w:ascii="Times New Roman"/>
                <w:b/>
                <w:sz w:val="13"/>
              </w:rPr>
              <w:t>Youngu Ag,</w:t>
            </w:r>
          </w:p>
        </w:tc>
        <w:tc>
          <w:tcPr>
            <w:tcW w:w="1463" w:type="dxa"/>
            <w:tcBorders>
              <w:left w:val="single" w:sz="13" w:space="0" w:color="000000"/>
              <w:bottom w:val="single" w:sz="9" w:space="0" w:color="000000"/>
            </w:tcBorders>
          </w:tcPr>
          <w:p>
            <w:pPr>
              <w:pStyle w:val="TableParagraph"/>
              <w:spacing w:before="81"/>
              <w:ind w:left="207" w:right="197"/>
              <w:jc w:val="center"/>
              <w:rPr>
                <w:rFonts w:ascii="Times New Roman" w:hAnsi="Times New Roman"/>
                <w:sz w:val="14"/>
              </w:rPr>
            </w:pPr>
            <w:r>
              <w:rPr>
                <w:rFonts w:ascii="Times New Roman" w:hAnsi="Times New Roman"/>
                <w:sz w:val="14"/>
              </w:rPr>
              <w:t>DiBcrcncc of A¡c</w:t>
            </w:r>
          </w:p>
        </w:tc>
        <w:tc>
          <w:tcPr>
            <w:tcW w:w="1443" w:type="dxa"/>
            <w:tcBorders>
              <w:bottom w:val="single" w:sz="4" w:space="0" w:color="000000"/>
              <w:right w:val="nil"/>
            </w:tcBorders>
          </w:tcPr>
          <w:p>
            <w:pPr>
              <w:pStyle w:val="TableParagraph"/>
              <w:spacing w:before="73"/>
              <w:ind w:left="12" w:right="-12"/>
              <w:rPr>
                <w:rFonts w:ascii="Times New Roman" w:hAnsi="Times New Roman"/>
                <w:sz w:val="14"/>
              </w:rPr>
            </w:pPr>
            <w:r>
              <w:rPr>
                <w:rFonts w:ascii="Times New Roman" w:hAnsi="Times New Roman"/>
                <w:w w:val="105"/>
                <w:sz w:val="14"/>
              </w:rPr>
              <w:t>Addition</w:t>
            </w:r>
            <w:r>
              <w:rPr>
                <w:rFonts w:ascii="Times New Roman" w:hAnsi="Times New Roman"/>
                <w:spacing w:val="-13"/>
                <w:w w:val="105"/>
                <w:sz w:val="14"/>
              </w:rPr>
              <w:t> </w:t>
            </w:r>
            <w:r>
              <w:rPr>
                <w:rFonts w:ascii="Times New Roman" w:hAnsi="Times New Roman"/>
                <w:w w:val="105"/>
                <w:sz w:val="14"/>
              </w:rPr>
              <w:t>to</w:t>
            </w:r>
            <w:r>
              <w:rPr>
                <w:rFonts w:ascii="Times New Roman" w:hAnsi="Times New Roman"/>
                <w:spacing w:val="-25"/>
                <w:w w:val="105"/>
                <w:sz w:val="14"/>
              </w:rPr>
              <w:t> </w:t>
            </w:r>
            <w:r>
              <w:rPr>
                <w:rFonts w:ascii="Times New Roman" w:hAnsi="Times New Roman"/>
                <w:w w:val="105"/>
                <w:sz w:val="14"/>
              </w:rPr>
              <w:t>Youn¡cr</w:t>
            </w:r>
            <w:r>
              <w:rPr>
                <w:rFonts w:ascii="Times New Roman" w:hAnsi="Times New Roman"/>
                <w:spacing w:val="-28"/>
                <w:w w:val="105"/>
                <w:sz w:val="14"/>
              </w:rPr>
              <w:t> </w:t>
            </w:r>
            <w:r>
              <w:rPr>
                <w:rFonts w:ascii="Times New Roman" w:hAnsi="Times New Roman"/>
                <w:w w:val="105"/>
                <w:sz w:val="14"/>
              </w:rPr>
              <w:t>Age</w:t>
            </w:r>
          </w:p>
        </w:tc>
      </w:tr>
      <w:tr>
        <w:trPr>
          <w:trHeight w:val="502" w:hRule="exact"/>
        </w:trPr>
        <w:tc>
          <w:tcPr>
            <w:tcW w:w="1311" w:type="dxa"/>
            <w:tcBorders>
              <w:left w:val="nil"/>
              <w:bottom w:val="nil"/>
            </w:tcBorders>
          </w:tcPr>
          <w:p>
            <w:pPr>
              <w:pStyle w:val="TableParagraph"/>
              <w:spacing w:line="203" w:lineRule="exact" w:before="85"/>
              <w:ind w:left="92"/>
              <w:jc w:val="center"/>
              <w:rPr>
                <w:sz w:val="19"/>
              </w:rPr>
            </w:pPr>
            <w:r>
              <w:rPr>
                <w:w w:val="72"/>
                <w:sz w:val="19"/>
              </w:rPr>
              <w:t>1</w:t>
            </w:r>
          </w:p>
          <w:p>
            <w:pPr>
              <w:pStyle w:val="TableParagraph"/>
              <w:spacing w:line="195" w:lineRule="exact"/>
              <w:ind w:left="71"/>
              <w:jc w:val="center"/>
              <w:rPr>
                <w:rFonts w:ascii="Times New Roman"/>
                <w:sz w:val="18"/>
              </w:rPr>
            </w:pPr>
            <w:r>
              <w:rPr>
                <w:rFonts w:ascii="Times New Roman"/>
                <w:w w:val="93"/>
                <w:sz w:val="18"/>
              </w:rPr>
              <w:t>2</w:t>
            </w:r>
          </w:p>
        </w:tc>
        <w:tc>
          <w:tcPr>
            <w:tcW w:w="1459" w:type="dxa"/>
            <w:tcBorders>
              <w:top w:val="single" w:sz="9" w:space="0" w:color="000000"/>
              <w:bottom w:val="nil"/>
              <w:right w:val="single" w:sz="13" w:space="0" w:color="000000"/>
            </w:tcBorders>
          </w:tcPr>
          <w:p>
            <w:pPr>
              <w:pStyle w:val="TableParagraph"/>
              <w:spacing w:line="208" w:lineRule="exact" w:before="71"/>
              <w:ind w:left="679" w:right="-12"/>
              <w:rPr>
                <w:sz w:val="19"/>
              </w:rPr>
            </w:pPr>
            <w:r>
              <w:rPr>
                <w:color w:val="0F0F0F"/>
                <w:w w:val="95"/>
                <w:sz w:val="19"/>
              </w:rPr>
              <w:t>.512</w:t>
            </w:r>
          </w:p>
          <w:p>
            <w:pPr>
              <w:pStyle w:val="TableParagraph"/>
              <w:spacing w:line="208" w:lineRule="exact"/>
              <w:ind w:left="583" w:right="-12"/>
              <w:rPr>
                <w:sz w:val="19"/>
              </w:rPr>
            </w:pPr>
            <w:r>
              <w:rPr>
                <w:w w:val="85"/>
                <w:sz w:val="19"/>
              </w:rPr>
              <w:t>1.046</w:t>
            </w:r>
          </w:p>
        </w:tc>
        <w:tc>
          <w:tcPr>
            <w:tcW w:w="1463" w:type="dxa"/>
            <w:tcBorders>
              <w:top w:val="single" w:sz="9" w:space="0" w:color="000000"/>
              <w:left w:val="single" w:sz="13" w:space="0" w:color="000000"/>
              <w:bottom w:val="nil"/>
            </w:tcBorders>
          </w:tcPr>
          <w:p>
            <w:pPr>
              <w:pStyle w:val="TableParagraph"/>
              <w:spacing w:line="204" w:lineRule="exact" w:before="85"/>
              <w:ind w:left="207" w:right="194"/>
              <w:jc w:val="center"/>
              <w:rPr>
                <w:sz w:val="19"/>
              </w:rPr>
            </w:pPr>
            <w:r>
              <w:rPr>
                <w:w w:val="95"/>
                <w:sz w:val="19"/>
              </w:rPr>
              <w:t>41</w:t>
            </w:r>
          </w:p>
          <w:p>
            <w:pPr>
              <w:pStyle w:val="TableParagraph"/>
              <w:spacing w:line="204" w:lineRule="exact"/>
              <w:ind w:left="207" w:right="180"/>
              <w:jc w:val="center"/>
              <w:rPr>
                <w:sz w:val="19"/>
              </w:rPr>
            </w:pPr>
            <w:r>
              <w:rPr>
                <w:sz w:val="19"/>
              </w:rPr>
              <w:t>42</w:t>
            </w:r>
          </w:p>
        </w:tc>
        <w:tc>
          <w:tcPr>
            <w:tcW w:w="1443" w:type="dxa"/>
            <w:tcBorders>
              <w:top w:val="single" w:sz="4" w:space="0" w:color="000000"/>
              <w:bottom w:val="nil"/>
              <w:right w:val="nil"/>
            </w:tcBorders>
          </w:tcPr>
          <w:p>
            <w:pPr>
              <w:pStyle w:val="TableParagraph"/>
              <w:spacing w:line="214" w:lineRule="exact" w:before="94"/>
              <w:ind w:left="483" w:right="-12"/>
              <w:rPr>
                <w:sz w:val="19"/>
              </w:rPr>
            </w:pPr>
            <w:r>
              <w:rPr>
                <w:w w:val="90"/>
                <w:sz w:val="19"/>
              </w:rPr>
              <w:t>33.720</w:t>
            </w:r>
          </w:p>
          <w:p>
            <w:pPr>
              <w:pStyle w:val="TableParagraph"/>
              <w:spacing w:line="183" w:lineRule="exact"/>
              <w:ind w:left="479" w:right="-12"/>
              <w:rPr>
                <w:rFonts w:ascii="Times New Roman"/>
                <w:sz w:val="16"/>
              </w:rPr>
            </w:pPr>
            <w:r>
              <w:rPr>
                <w:rFonts w:ascii="Times New Roman"/>
                <w:w w:val="110"/>
                <w:sz w:val="16"/>
              </w:rPr>
              <w:t>34 </w:t>
            </w:r>
            <w:r>
              <w:rPr>
                <w:rFonts w:ascii="Times New Roman"/>
                <w:color w:val="212121"/>
                <w:w w:val="110"/>
                <w:sz w:val="16"/>
              </w:rPr>
              <w:t>.</w:t>
            </w:r>
            <w:r>
              <w:rPr>
                <w:rFonts w:ascii="Times New Roman"/>
                <w:w w:val="110"/>
                <w:sz w:val="16"/>
              </w:rPr>
              <w:t>699</w:t>
            </w:r>
          </w:p>
        </w:tc>
      </w:tr>
      <w:tr>
        <w:trPr>
          <w:trHeight w:val="646" w:hRule="exact"/>
        </w:trPr>
        <w:tc>
          <w:tcPr>
            <w:tcW w:w="1311" w:type="dxa"/>
            <w:tcBorders>
              <w:top w:val="nil"/>
              <w:left w:val="nil"/>
              <w:bottom w:val="nil"/>
            </w:tcBorders>
          </w:tcPr>
          <w:p>
            <w:pPr>
              <w:pStyle w:val="TableParagraph"/>
              <w:spacing w:line="183" w:lineRule="exact"/>
              <w:ind w:left="62"/>
              <w:jc w:val="center"/>
              <w:rPr>
                <w:rFonts w:ascii="Arial"/>
                <w:sz w:val="17"/>
              </w:rPr>
            </w:pPr>
            <w:r>
              <w:rPr>
                <w:rFonts w:ascii="Arial"/>
                <w:w w:val="86"/>
                <w:sz w:val="17"/>
              </w:rPr>
              <w:t>3</w:t>
            </w:r>
          </w:p>
          <w:p>
            <w:pPr>
              <w:pStyle w:val="TableParagraph"/>
              <w:spacing w:line="204" w:lineRule="exact"/>
              <w:ind w:left="55"/>
              <w:jc w:val="center"/>
              <w:rPr>
                <w:rFonts w:ascii="Times New Roman"/>
                <w:sz w:val="18"/>
              </w:rPr>
            </w:pPr>
            <w:r>
              <w:rPr>
                <w:rFonts w:ascii="Times New Roman"/>
                <w:w w:val="91"/>
                <w:sz w:val="18"/>
              </w:rPr>
              <w:t>4</w:t>
            </w:r>
          </w:p>
          <w:p>
            <w:pPr>
              <w:pStyle w:val="TableParagraph"/>
              <w:spacing w:before="21"/>
              <w:ind w:left="63"/>
              <w:jc w:val="center"/>
              <w:rPr>
                <w:rFonts w:ascii="Arial"/>
                <w:sz w:val="15"/>
              </w:rPr>
            </w:pPr>
            <w:r>
              <w:rPr>
                <w:rFonts w:ascii="Arial"/>
                <w:w w:val="107"/>
                <w:sz w:val="15"/>
              </w:rPr>
              <w:t>5</w:t>
            </w:r>
          </w:p>
        </w:tc>
        <w:tc>
          <w:tcPr>
            <w:tcW w:w="1459" w:type="dxa"/>
            <w:tcBorders>
              <w:top w:val="nil"/>
              <w:bottom w:val="nil"/>
              <w:right w:val="single" w:sz="16" w:space="0" w:color="000000"/>
            </w:tcBorders>
          </w:tcPr>
          <w:p>
            <w:pPr>
              <w:pStyle w:val="TableParagraph"/>
              <w:spacing w:line="191" w:lineRule="exact"/>
              <w:ind w:left="579"/>
              <w:rPr>
                <w:sz w:val="19"/>
              </w:rPr>
            </w:pPr>
            <w:r>
              <w:rPr>
                <w:w w:val="85"/>
                <w:sz w:val="19"/>
              </w:rPr>
              <w:t>1.603</w:t>
            </w:r>
          </w:p>
          <w:p>
            <w:pPr>
              <w:pStyle w:val="TableParagraph"/>
              <w:spacing w:line="199" w:lineRule="exact"/>
              <w:ind w:left="572"/>
              <w:rPr>
                <w:sz w:val="19"/>
              </w:rPr>
            </w:pPr>
            <w:r>
              <w:rPr>
                <w:w w:val="90"/>
                <w:sz w:val="19"/>
              </w:rPr>
              <w:t>2.183</w:t>
            </w:r>
          </w:p>
          <w:p>
            <w:pPr>
              <w:pStyle w:val="TableParagraph"/>
              <w:spacing w:line="208" w:lineRule="exact"/>
              <w:ind w:left="572"/>
              <w:rPr>
                <w:sz w:val="19"/>
              </w:rPr>
            </w:pPr>
            <w:r>
              <w:rPr>
                <w:w w:val="95"/>
                <w:sz w:val="19"/>
              </w:rPr>
              <w:t>2.785</w:t>
            </w:r>
          </w:p>
        </w:tc>
        <w:tc>
          <w:tcPr>
            <w:tcW w:w="1463" w:type="dxa"/>
            <w:tcBorders>
              <w:top w:val="nil"/>
              <w:left w:val="single" w:sz="16" w:space="0" w:color="000000"/>
              <w:bottom w:val="nil"/>
            </w:tcBorders>
          </w:tcPr>
          <w:p>
            <w:pPr>
              <w:pStyle w:val="TableParagraph"/>
              <w:spacing w:line="198" w:lineRule="exact"/>
              <w:ind w:left="26" w:right="9"/>
              <w:jc w:val="center"/>
              <w:rPr>
                <w:sz w:val="19"/>
              </w:rPr>
            </w:pPr>
            <w:r>
              <w:rPr>
                <w:sz w:val="19"/>
              </w:rPr>
              <w:t>43</w:t>
            </w:r>
          </w:p>
          <w:p>
            <w:pPr>
              <w:pStyle w:val="TableParagraph"/>
              <w:spacing w:line="181" w:lineRule="exact"/>
              <w:ind w:right="9"/>
              <w:jc w:val="center"/>
              <w:rPr>
                <w:rFonts w:ascii="Times New Roman"/>
                <w:sz w:val="16"/>
              </w:rPr>
            </w:pPr>
            <w:r>
              <w:rPr>
                <w:rFonts w:ascii="Times New Roman"/>
                <w:sz w:val="16"/>
              </w:rPr>
              <w:t>44</w:t>
            </w:r>
          </w:p>
          <w:p>
            <w:pPr>
              <w:pStyle w:val="TableParagraph"/>
              <w:spacing w:before="17"/>
              <w:ind w:left="9" w:right="19"/>
              <w:jc w:val="center"/>
              <w:rPr>
                <w:rFonts w:ascii="Times New Roman"/>
                <w:b/>
                <w:sz w:val="16"/>
              </w:rPr>
            </w:pPr>
            <w:r>
              <w:rPr>
                <w:rFonts w:ascii="Times New Roman"/>
                <w:b/>
                <w:w w:val="105"/>
                <w:sz w:val="16"/>
              </w:rPr>
              <w:t>45</w:t>
            </w:r>
          </w:p>
        </w:tc>
        <w:tc>
          <w:tcPr>
            <w:tcW w:w="1443" w:type="dxa"/>
            <w:tcBorders>
              <w:top w:val="nil"/>
              <w:bottom w:val="nil"/>
              <w:right w:val="nil"/>
            </w:tcBorders>
          </w:tcPr>
          <w:p>
            <w:pPr>
              <w:pStyle w:val="TableParagraph"/>
              <w:spacing w:line="206" w:lineRule="exact" w:before="3"/>
              <w:ind w:left="483" w:right="-12"/>
              <w:rPr>
                <w:sz w:val="19"/>
              </w:rPr>
            </w:pPr>
            <w:r>
              <w:rPr>
                <w:sz w:val="19"/>
              </w:rPr>
              <w:t>35.679</w:t>
            </w:r>
          </w:p>
          <w:p>
            <w:pPr>
              <w:pStyle w:val="TableParagraph"/>
              <w:spacing w:line="197" w:lineRule="exact"/>
              <w:ind w:left="483" w:right="-12"/>
              <w:rPr>
                <w:sz w:val="19"/>
              </w:rPr>
            </w:pPr>
            <w:r>
              <w:rPr>
                <w:w w:val="85"/>
                <w:sz w:val="19"/>
              </w:rPr>
              <w:t>36.661</w:t>
            </w:r>
          </w:p>
          <w:p>
            <w:pPr>
              <w:pStyle w:val="TableParagraph"/>
              <w:spacing w:line="206" w:lineRule="exact"/>
              <w:ind w:left="479" w:right="-12"/>
              <w:rPr>
                <w:sz w:val="19"/>
              </w:rPr>
            </w:pPr>
            <w:r>
              <w:rPr>
                <w:w w:val="95"/>
                <w:sz w:val="19"/>
              </w:rPr>
              <w:t>37.645</w:t>
            </w:r>
          </w:p>
        </w:tc>
      </w:tr>
      <w:tr>
        <w:trPr>
          <w:trHeight w:val="238" w:hRule="exact"/>
        </w:trPr>
        <w:tc>
          <w:tcPr>
            <w:tcW w:w="1311" w:type="dxa"/>
            <w:tcBorders>
              <w:top w:val="nil"/>
              <w:left w:val="nil"/>
              <w:bottom w:val="nil"/>
            </w:tcBorders>
          </w:tcPr>
          <w:p>
            <w:pPr>
              <w:pStyle w:val="TableParagraph"/>
              <w:spacing w:before="28"/>
              <w:ind w:left="102"/>
              <w:jc w:val="center"/>
              <w:rPr>
                <w:sz w:val="19"/>
              </w:rPr>
            </w:pPr>
            <w:r>
              <w:rPr>
                <w:w w:val="106"/>
                <w:sz w:val="19"/>
              </w:rPr>
              <w:t>6</w:t>
            </w:r>
          </w:p>
        </w:tc>
        <w:tc>
          <w:tcPr>
            <w:tcW w:w="1459" w:type="dxa"/>
            <w:tcBorders>
              <w:top w:val="nil"/>
              <w:bottom w:val="nil"/>
              <w:right w:val="single" w:sz="16" w:space="0" w:color="000000"/>
            </w:tcBorders>
          </w:tcPr>
          <w:p>
            <w:pPr>
              <w:pStyle w:val="TableParagraph"/>
              <w:spacing w:before="21"/>
              <w:ind w:left="479" w:right="364"/>
              <w:jc w:val="center"/>
              <w:rPr>
                <w:sz w:val="19"/>
              </w:rPr>
            </w:pPr>
            <w:r>
              <w:rPr>
                <w:w w:val="90"/>
                <w:sz w:val="19"/>
              </w:rPr>
              <w:t>3.409</w:t>
            </w:r>
          </w:p>
        </w:tc>
        <w:tc>
          <w:tcPr>
            <w:tcW w:w="1463" w:type="dxa"/>
            <w:tcBorders>
              <w:top w:val="nil"/>
              <w:left w:val="single" w:sz="16" w:space="0" w:color="000000"/>
              <w:bottom w:val="nil"/>
            </w:tcBorders>
          </w:tcPr>
          <w:p>
            <w:pPr>
              <w:pStyle w:val="TableParagraph"/>
              <w:spacing w:before="29"/>
              <w:ind w:left="5" w:right="9"/>
              <w:jc w:val="center"/>
              <w:rPr>
                <w:rFonts w:ascii="Times New Roman"/>
                <w:sz w:val="16"/>
              </w:rPr>
            </w:pPr>
            <w:r>
              <w:rPr>
                <w:rFonts w:ascii="Times New Roman"/>
                <w:w w:val="105"/>
                <w:sz w:val="16"/>
              </w:rPr>
              <w:t>46</w:t>
            </w:r>
          </w:p>
        </w:tc>
        <w:tc>
          <w:tcPr>
            <w:tcW w:w="1443" w:type="dxa"/>
            <w:tcBorders>
              <w:top w:val="nil"/>
              <w:bottom w:val="nil"/>
              <w:right w:val="nil"/>
            </w:tcBorders>
          </w:tcPr>
          <w:p>
            <w:pPr>
              <w:pStyle w:val="TableParagraph"/>
              <w:spacing w:before="24"/>
              <w:ind w:left="483" w:right="-12"/>
              <w:rPr>
                <w:sz w:val="19"/>
              </w:rPr>
            </w:pPr>
            <w:r>
              <w:rPr>
                <w:sz w:val="19"/>
              </w:rPr>
              <w:t>38.630</w:t>
            </w:r>
          </w:p>
        </w:tc>
      </w:tr>
      <w:tr>
        <w:trPr>
          <w:trHeight w:val="201" w:hRule="exact"/>
        </w:trPr>
        <w:tc>
          <w:tcPr>
            <w:tcW w:w="1311" w:type="dxa"/>
            <w:tcBorders>
              <w:top w:val="nil"/>
              <w:left w:val="nil"/>
              <w:bottom w:val="nil"/>
            </w:tcBorders>
          </w:tcPr>
          <w:p>
            <w:pPr>
              <w:pStyle w:val="TableParagraph"/>
              <w:spacing w:line="206" w:lineRule="exact"/>
              <w:ind w:left="97"/>
              <w:jc w:val="center"/>
              <w:rPr>
                <w:sz w:val="19"/>
              </w:rPr>
            </w:pPr>
            <w:r>
              <w:rPr>
                <w:w w:val="102"/>
                <w:sz w:val="19"/>
              </w:rPr>
              <w:t>7</w:t>
            </w:r>
          </w:p>
        </w:tc>
        <w:tc>
          <w:tcPr>
            <w:tcW w:w="1459" w:type="dxa"/>
            <w:tcBorders>
              <w:top w:val="nil"/>
              <w:bottom w:val="nil"/>
              <w:right w:val="single" w:sz="16" w:space="0" w:color="000000"/>
            </w:tcBorders>
          </w:tcPr>
          <w:p>
            <w:pPr>
              <w:pStyle w:val="TableParagraph"/>
              <w:spacing w:line="176" w:lineRule="exact"/>
              <w:ind w:left="464" w:right="370"/>
              <w:jc w:val="center"/>
              <w:rPr>
                <w:rFonts w:ascii="Times New Roman"/>
                <w:b/>
                <w:sz w:val="16"/>
              </w:rPr>
            </w:pPr>
            <w:r>
              <w:rPr>
                <w:rFonts w:ascii="Times New Roman"/>
                <w:b/>
                <w:w w:val="110"/>
                <w:sz w:val="16"/>
              </w:rPr>
              <w:t>4.055</w:t>
            </w:r>
          </w:p>
        </w:tc>
        <w:tc>
          <w:tcPr>
            <w:tcW w:w="1463" w:type="dxa"/>
            <w:tcBorders>
              <w:top w:val="nil"/>
              <w:left w:val="single" w:sz="16" w:space="0" w:color="000000"/>
              <w:bottom w:val="nil"/>
            </w:tcBorders>
          </w:tcPr>
          <w:p>
            <w:pPr>
              <w:pStyle w:val="TableParagraph"/>
              <w:spacing w:line="199" w:lineRule="exact"/>
              <w:ind w:left="33" w:right="9"/>
              <w:jc w:val="center"/>
              <w:rPr>
                <w:sz w:val="19"/>
              </w:rPr>
            </w:pPr>
            <w:r>
              <w:rPr>
                <w:w w:val="105"/>
                <w:sz w:val="19"/>
              </w:rPr>
              <w:t>47</w:t>
            </w:r>
          </w:p>
        </w:tc>
        <w:tc>
          <w:tcPr>
            <w:tcW w:w="1443" w:type="dxa"/>
            <w:tcBorders>
              <w:top w:val="nil"/>
              <w:bottom w:val="nil"/>
              <w:right w:val="nil"/>
            </w:tcBorders>
          </w:tcPr>
          <w:p>
            <w:pPr>
              <w:pStyle w:val="TableParagraph"/>
              <w:spacing w:line="202" w:lineRule="exact"/>
              <w:ind w:left="487" w:right="-12"/>
              <w:rPr>
                <w:sz w:val="19"/>
              </w:rPr>
            </w:pPr>
            <w:r>
              <w:rPr>
                <w:sz w:val="19"/>
              </w:rPr>
              <w:t>39.617</w:t>
            </w:r>
          </w:p>
        </w:tc>
      </w:tr>
      <w:tr>
        <w:trPr>
          <w:trHeight w:val="197" w:hRule="exact"/>
        </w:trPr>
        <w:tc>
          <w:tcPr>
            <w:tcW w:w="1311" w:type="dxa"/>
            <w:tcBorders>
              <w:top w:val="nil"/>
              <w:left w:val="nil"/>
              <w:bottom w:val="nil"/>
            </w:tcBorders>
          </w:tcPr>
          <w:p>
            <w:pPr>
              <w:pStyle w:val="TableParagraph"/>
              <w:spacing w:line="185" w:lineRule="exact"/>
              <w:ind w:left="74"/>
              <w:jc w:val="center"/>
              <w:rPr>
                <w:rFonts w:ascii="Arial"/>
                <w:sz w:val="17"/>
              </w:rPr>
            </w:pPr>
            <w:r>
              <w:rPr>
                <w:rFonts w:ascii="Arial"/>
                <w:w w:val="99"/>
                <w:sz w:val="17"/>
              </w:rPr>
              <w:t>8</w:t>
            </w:r>
          </w:p>
        </w:tc>
        <w:tc>
          <w:tcPr>
            <w:tcW w:w="1459" w:type="dxa"/>
            <w:tcBorders>
              <w:top w:val="nil"/>
              <w:bottom w:val="nil"/>
              <w:right w:val="single" w:sz="16" w:space="0" w:color="000000"/>
            </w:tcBorders>
          </w:tcPr>
          <w:p>
            <w:pPr>
              <w:pStyle w:val="TableParagraph"/>
              <w:spacing w:line="199" w:lineRule="exact"/>
              <w:ind w:left="479" w:right="370"/>
              <w:jc w:val="center"/>
              <w:rPr>
                <w:sz w:val="19"/>
              </w:rPr>
            </w:pPr>
            <w:r>
              <w:rPr>
                <w:w w:val="95"/>
                <w:sz w:val="19"/>
              </w:rPr>
              <w:t>4.721</w:t>
            </w:r>
          </w:p>
        </w:tc>
        <w:tc>
          <w:tcPr>
            <w:tcW w:w="1463" w:type="dxa"/>
            <w:tcBorders>
              <w:top w:val="nil"/>
              <w:left w:val="single" w:sz="16" w:space="0" w:color="000000"/>
              <w:bottom w:val="nil"/>
            </w:tcBorders>
          </w:tcPr>
          <w:p>
            <w:pPr>
              <w:pStyle w:val="TableParagraph"/>
              <w:spacing w:line="199" w:lineRule="exact"/>
              <w:ind w:left="37" w:right="9"/>
              <w:jc w:val="center"/>
              <w:rPr>
                <w:sz w:val="19"/>
              </w:rPr>
            </w:pPr>
            <w:r>
              <w:rPr>
                <w:w w:val="110"/>
                <w:sz w:val="19"/>
              </w:rPr>
              <w:t>48</w:t>
            </w:r>
          </w:p>
        </w:tc>
        <w:tc>
          <w:tcPr>
            <w:tcW w:w="1443" w:type="dxa"/>
            <w:tcBorders>
              <w:top w:val="nil"/>
              <w:bottom w:val="nil"/>
              <w:right w:val="nil"/>
            </w:tcBorders>
          </w:tcPr>
          <w:p>
            <w:pPr>
              <w:pStyle w:val="TableParagraph"/>
              <w:spacing w:line="199" w:lineRule="exact"/>
              <w:ind w:left="483" w:right="-12"/>
              <w:rPr>
                <w:sz w:val="19"/>
              </w:rPr>
            </w:pPr>
            <w:r>
              <w:rPr>
                <w:sz w:val="19"/>
              </w:rPr>
              <w:t>40.604</w:t>
            </w:r>
          </w:p>
        </w:tc>
      </w:tr>
      <w:tr>
        <w:trPr>
          <w:trHeight w:val="201" w:hRule="exact"/>
        </w:trPr>
        <w:tc>
          <w:tcPr>
            <w:tcW w:w="1311" w:type="dxa"/>
            <w:tcBorders>
              <w:top w:val="nil"/>
              <w:left w:val="nil"/>
              <w:bottom w:val="nil"/>
            </w:tcBorders>
          </w:tcPr>
          <w:p>
            <w:pPr>
              <w:pStyle w:val="TableParagraph"/>
              <w:spacing w:line="185" w:lineRule="exact"/>
              <w:ind w:left="72"/>
              <w:jc w:val="center"/>
              <w:rPr>
                <w:rFonts w:ascii="Arial"/>
                <w:sz w:val="17"/>
              </w:rPr>
            </w:pPr>
            <w:r>
              <w:rPr>
                <w:rFonts w:ascii="Arial"/>
                <w:w w:val="104"/>
                <w:sz w:val="17"/>
              </w:rPr>
              <w:t>9</w:t>
            </w:r>
          </w:p>
        </w:tc>
        <w:tc>
          <w:tcPr>
            <w:tcW w:w="1459" w:type="dxa"/>
            <w:tcBorders>
              <w:top w:val="nil"/>
              <w:bottom w:val="nil"/>
              <w:right w:val="single" w:sz="13" w:space="0" w:color="000000"/>
            </w:tcBorders>
          </w:tcPr>
          <w:p>
            <w:pPr>
              <w:pStyle w:val="TableParagraph"/>
              <w:spacing w:line="202" w:lineRule="exact"/>
              <w:ind w:left="132" w:right="9"/>
              <w:jc w:val="center"/>
              <w:rPr>
                <w:sz w:val="19"/>
              </w:rPr>
            </w:pPr>
            <w:r>
              <w:rPr>
                <w:sz w:val="19"/>
              </w:rPr>
              <w:t>5</w:t>
            </w:r>
            <w:r>
              <w:rPr>
                <w:color w:val="212121"/>
                <w:sz w:val="19"/>
              </w:rPr>
              <w:t>.</w:t>
            </w:r>
            <w:r>
              <w:rPr>
                <w:sz w:val="19"/>
              </w:rPr>
              <w:t>407</w:t>
            </w:r>
          </w:p>
        </w:tc>
        <w:tc>
          <w:tcPr>
            <w:tcW w:w="1463" w:type="dxa"/>
            <w:tcBorders>
              <w:top w:val="nil"/>
              <w:left w:val="single" w:sz="13" w:space="0" w:color="000000"/>
              <w:bottom w:val="nil"/>
            </w:tcBorders>
          </w:tcPr>
          <w:p>
            <w:pPr>
              <w:pStyle w:val="TableParagraph"/>
              <w:spacing w:line="202" w:lineRule="exact"/>
              <w:ind w:left="207" w:right="159"/>
              <w:jc w:val="center"/>
              <w:rPr>
                <w:sz w:val="19"/>
              </w:rPr>
            </w:pPr>
            <w:r>
              <w:rPr>
                <w:w w:val="110"/>
                <w:sz w:val="19"/>
              </w:rPr>
              <w:t>49</w:t>
            </w:r>
          </w:p>
        </w:tc>
        <w:tc>
          <w:tcPr>
            <w:tcW w:w="1443" w:type="dxa"/>
            <w:tcBorders>
              <w:top w:val="nil"/>
              <w:bottom w:val="nil"/>
              <w:right w:val="nil"/>
            </w:tcBorders>
          </w:tcPr>
          <w:p>
            <w:pPr>
              <w:pStyle w:val="TableParagraph"/>
              <w:spacing w:line="202" w:lineRule="exact"/>
              <w:ind w:left="487" w:right="-12"/>
              <w:rPr>
                <w:sz w:val="19"/>
              </w:rPr>
            </w:pPr>
            <w:r>
              <w:rPr>
                <w:w w:val="95"/>
                <w:sz w:val="19"/>
              </w:rPr>
              <w:t>41.593</w:t>
            </w:r>
          </w:p>
        </w:tc>
      </w:tr>
      <w:tr>
        <w:trPr>
          <w:trHeight w:val="242" w:hRule="exact"/>
        </w:trPr>
        <w:tc>
          <w:tcPr>
            <w:tcW w:w="1311" w:type="dxa"/>
            <w:tcBorders>
              <w:top w:val="nil"/>
              <w:left w:val="nil"/>
              <w:bottom w:val="nil"/>
            </w:tcBorders>
          </w:tcPr>
          <w:p>
            <w:pPr>
              <w:pStyle w:val="TableParagraph"/>
              <w:spacing w:line="183" w:lineRule="exact"/>
              <w:ind w:left="519" w:right="498"/>
              <w:jc w:val="center"/>
              <w:rPr>
                <w:rFonts w:ascii="Times New Roman"/>
                <w:sz w:val="16"/>
              </w:rPr>
            </w:pPr>
            <w:r>
              <w:rPr>
                <w:rFonts w:ascii="Times New Roman"/>
                <w:w w:val="105"/>
                <w:sz w:val="16"/>
              </w:rPr>
              <w:t>10</w:t>
            </w:r>
          </w:p>
        </w:tc>
        <w:tc>
          <w:tcPr>
            <w:tcW w:w="1459" w:type="dxa"/>
            <w:tcBorders>
              <w:top w:val="nil"/>
              <w:bottom w:val="nil"/>
              <w:right w:val="single" w:sz="14" w:space="0" w:color="000000"/>
            </w:tcBorders>
          </w:tcPr>
          <w:p>
            <w:pPr>
              <w:pStyle w:val="TableParagraph"/>
              <w:spacing w:line="202" w:lineRule="exact"/>
              <w:ind w:left="378" w:right="249"/>
              <w:jc w:val="center"/>
              <w:rPr>
                <w:sz w:val="19"/>
              </w:rPr>
            </w:pPr>
            <w:r>
              <w:rPr>
                <w:w w:val="85"/>
                <w:sz w:val="19"/>
              </w:rPr>
              <w:t>6.113</w:t>
            </w:r>
          </w:p>
        </w:tc>
        <w:tc>
          <w:tcPr>
            <w:tcW w:w="1463" w:type="dxa"/>
            <w:tcBorders>
              <w:top w:val="nil"/>
              <w:left w:val="single" w:sz="14" w:space="0" w:color="000000"/>
              <w:bottom w:val="nil"/>
            </w:tcBorders>
          </w:tcPr>
          <w:p>
            <w:pPr>
              <w:pStyle w:val="TableParagraph"/>
              <w:spacing w:line="206" w:lineRule="exact"/>
              <w:ind w:left="586" w:right="559"/>
              <w:jc w:val="center"/>
              <w:rPr>
                <w:sz w:val="19"/>
              </w:rPr>
            </w:pPr>
            <w:r>
              <w:rPr>
                <w:w w:val="90"/>
                <w:sz w:val="19"/>
              </w:rPr>
              <w:t>50</w:t>
            </w:r>
          </w:p>
        </w:tc>
        <w:tc>
          <w:tcPr>
            <w:tcW w:w="1443" w:type="dxa"/>
            <w:tcBorders>
              <w:top w:val="nil"/>
              <w:bottom w:val="nil"/>
              <w:right w:val="nil"/>
            </w:tcBorders>
          </w:tcPr>
          <w:p>
            <w:pPr>
              <w:pStyle w:val="TableParagraph"/>
              <w:spacing w:line="202" w:lineRule="exact"/>
              <w:ind w:left="487" w:right="-12"/>
              <w:rPr>
                <w:sz w:val="19"/>
              </w:rPr>
            </w:pPr>
            <w:r>
              <w:rPr>
                <w:w w:val="95"/>
                <w:sz w:val="19"/>
              </w:rPr>
              <w:t>42.582</w:t>
            </w:r>
          </w:p>
        </w:tc>
      </w:tr>
      <w:tr>
        <w:trPr>
          <w:trHeight w:val="238" w:hRule="exact"/>
        </w:trPr>
        <w:tc>
          <w:tcPr>
            <w:tcW w:w="1311" w:type="dxa"/>
            <w:tcBorders>
              <w:top w:val="nil"/>
              <w:left w:val="nil"/>
              <w:bottom w:val="nil"/>
            </w:tcBorders>
          </w:tcPr>
          <w:p>
            <w:pPr>
              <w:pStyle w:val="TableParagraph"/>
              <w:spacing w:before="22"/>
              <w:ind w:left="512" w:right="499"/>
              <w:jc w:val="center"/>
              <w:rPr>
                <w:rFonts w:ascii="Times New Roman"/>
                <w:sz w:val="18"/>
              </w:rPr>
            </w:pPr>
            <w:r>
              <w:rPr>
                <w:rFonts w:ascii="Times New Roman"/>
                <w:sz w:val="18"/>
              </w:rPr>
              <w:t>11</w:t>
            </w:r>
          </w:p>
        </w:tc>
        <w:tc>
          <w:tcPr>
            <w:tcW w:w="1459" w:type="dxa"/>
            <w:tcBorders>
              <w:top w:val="nil"/>
              <w:bottom w:val="nil"/>
              <w:right w:val="single" w:sz="14" w:space="0" w:color="000000"/>
            </w:tcBorders>
          </w:tcPr>
          <w:p>
            <w:pPr>
              <w:pStyle w:val="TableParagraph"/>
              <w:spacing w:before="33"/>
              <w:ind w:left="378" w:right="275"/>
              <w:jc w:val="center"/>
              <w:rPr>
                <w:rFonts w:ascii="Times New Roman"/>
                <w:sz w:val="16"/>
              </w:rPr>
            </w:pPr>
            <w:r>
              <w:rPr>
                <w:rFonts w:ascii="Times New Roman"/>
                <w:w w:val="110"/>
                <w:sz w:val="16"/>
              </w:rPr>
              <w:t>6.837</w:t>
            </w:r>
          </w:p>
        </w:tc>
        <w:tc>
          <w:tcPr>
            <w:tcW w:w="1463" w:type="dxa"/>
            <w:tcBorders>
              <w:top w:val="nil"/>
              <w:left w:val="single" w:sz="14" w:space="0" w:color="000000"/>
              <w:bottom w:val="nil"/>
            </w:tcBorders>
          </w:tcPr>
          <w:p>
            <w:pPr>
              <w:pStyle w:val="TableParagraph"/>
              <w:spacing w:before="24"/>
              <w:ind w:left="565" w:right="561"/>
              <w:jc w:val="center"/>
              <w:rPr>
                <w:sz w:val="19"/>
              </w:rPr>
            </w:pPr>
            <w:r>
              <w:rPr>
                <w:w w:val="90"/>
                <w:sz w:val="19"/>
              </w:rPr>
              <w:t>51</w:t>
            </w:r>
          </w:p>
        </w:tc>
        <w:tc>
          <w:tcPr>
            <w:tcW w:w="1443" w:type="dxa"/>
            <w:tcBorders>
              <w:top w:val="nil"/>
              <w:bottom w:val="nil"/>
              <w:right w:val="nil"/>
            </w:tcBorders>
          </w:tcPr>
          <w:p>
            <w:pPr>
              <w:pStyle w:val="TableParagraph"/>
              <w:spacing w:before="24"/>
              <w:ind w:left="487" w:right="-12"/>
              <w:rPr>
                <w:sz w:val="19"/>
              </w:rPr>
            </w:pPr>
            <w:r>
              <w:rPr>
                <w:sz w:val="19"/>
              </w:rPr>
              <w:t>43.573</w:t>
            </w:r>
          </w:p>
        </w:tc>
      </w:tr>
      <w:tr>
        <w:trPr>
          <w:trHeight w:val="199" w:hRule="exact"/>
        </w:trPr>
        <w:tc>
          <w:tcPr>
            <w:tcW w:w="1311" w:type="dxa"/>
            <w:tcBorders>
              <w:top w:val="nil"/>
              <w:left w:val="nil"/>
              <w:bottom w:val="nil"/>
            </w:tcBorders>
          </w:tcPr>
          <w:p>
            <w:pPr>
              <w:pStyle w:val="TableParagraph"/>
              <w:spacing w:line="191" w:lineRule="exact"/>
              <w:ind w:left="519" w:right="495"/>
              <w:jc w:val="center"/>
              <w:rPr>
                <w:rFonts w:ascii="Times New Roman"/>
                <w:sz w:val="18"/>
              </w:rPr>
            </w:pPr>
            <w:r>
              <w:rPr>
                <w:rFonts w:ascii="Times New Roman"/>
                <w:sz w:val="18"/>
              </w:rPr>
              <w:t>12</w:t>
            </w:r>
          </w:p>
        </w:tc>
        <w:tc>
          <w:tcPr>
            <w:tcW w:w="1459" w:type="dxa"/>
            <w:tcBorders>
              <w:top w:val="nil"/>
              <w:bottom w:val="nil"/>
              <w:right w:val="single" w:sz="14" w:space="0" w:color="000000"/>
            </w:tcBorders>
          </w:tcPr>
          <w:p>
            <w:pPr>
              <w:pStyle w:val="TableParagraph"/>
              <w:spacing w:line="202" w:lineRule="exact"/>
              <w:ind w:left="378" w:right="237"/>
              <w:jc w:val="center"/>
              <w:rPr>
                <w:sz w:val="19"/>
              </w:rPr>
            </w:pPr>
            <w:r>
              <w:rPr>
                <w:w w:val="85"/>
                <w:sz w:val="19"/>
              </w:rPr>
              <w:t>7.580</w:t>
            </w:r>
          </w:p>
        </w:tc>
        <w:tc>
          <w:tcPr>
            <w:tcW w:w="1463" w:type="dxa"/>
            <w:tcBorders>
              <w:top w:val="nil"/>
              <w:left w:val="single" w:sz="14" w:space="0" w:color="000000"/>
              <w:bottom w:val="nil"/>
            </w:tcBorders>
          </w:tcPr>
          <w:p>
            <w:pPr>
              <w:pStyle w:val="TableParagraph"/>
              <w:spacing w:line="202" w:lineRule="exact"/>
              <w:ind w:left="586" w:right="550"/>
              <w:jc w:val="center"/>
              <w:rPr>
                <w:sz w:val="19"/>
              </w:rPr>
            </w:pPr>
            <w:r>
              <w:rPr>
                <w:sz w:val="19"/>
              </w:rPr>
              <w:t>52</w:t>
            </w:r>
          </w:p>
        </w:tc>
        <w:tc>
          <w:tcPr>
            <w:tcW w:w="1443" w:type="dxa"/>
            <w:tcBorders>
              <w:top w:val="nil"/>
              <w:bottom w:val="nil"/>
              <w:right w:val="nil"/>
            </w:tcBorders>
          </w:tcPr>
          <w:p>
            <w:pPr>
              <w:pStyle w:val="TableParagraph"/>
              <w:spacing w:line="202" w:lineRule="exact"/>
              <w:ind w:left="490" w:right="-12"/>
              <w:rPr>
                <w:sz w:val="19"/>
              </w:rPr>
            </w:pPr>
            <w:r>
              <w:rPr>
                <w:w w:val="80"/>
                <w:sz w:val="19"/>
              </w:rPr>
              <w:t>44.564</w:t>
            </w:r>
          </w:p>
        </w:tc>
      </w:tr>
      <w:tr>
        <w:trPr>
          <w:trHeight w:val="204" w:hRule="exact"/>
        </w:trPr>
        <w:tc>
          <w:tcPr>
            <w:tcW w:w="1311" w:type="dxa"/>
            <w:tcBorders>
              <w:top w:val="nil"/>
              <w:left w:val="nil"/>
              <w:bottom w:val="nil"/>
            </w:tcBorders>
          </w:tcPr>
          <w:p>
            <w:pPr>
              <w:pStyle w:val="TableParagraph"/>
              <w:spacing w:line="211" w:lineRule="exact"/>
              <w:ind w:left="515" w:right="499"/>
              <w:jc w:val="center"/>
              <w:rPr>
                <w:sz w:val="19"/>
              </w:rPr>
            </w:pPr>
            <w:r>
              <w:rPr>
                <w:w w:val="80"/>
                <w:sz w:val="19"/>
              </w:rPr>
              <w:t>13</w:t>
            </w:r>
          </w:p>
        </w:tc>
        <w:tc>
          <w:tcPr>
            <w:tcW w:w="1459" w:type="dxa"/>
            <w:tcBorders>
              <w:top w:val="nil"/>
              <w:bottom w:val="nil"/>
              <w:right w:val="single" w:sz="14" w:space="0" w:color="000000"/>
            </w:tcBorders>
          </w:tcPr>
          <w:p>
            <w:pPr>
              <w:pStyle w:val="TableParagraph"/>
              <w:spacing w:line="200" w:lineRule="exact"/>
              <w:ind w:left="378" w:right="237"/>
              <w:jc w:val="center"/>
              <w:rPr>
                <w:sz w:val="19"/>
              </w:rPr>
            </w:pPr>
            <w:r>
              <w:rPr>
                <w:w w:val="90"/>
                <w:sz w:val="19"/>
              </w:rPr>
              <w:t>8.340</w:t>
            </w:r>
          </w:p>
        </w:tc>
        <w:tc>
          <w:tcPr>
            <w:tcW w:w="1463" w:type="dxa"/>
            <w:tcBorders>
              <w:top w:val="nil"/>
              <w:left w:val="single" w:sz="14" w:space="0" w:color="000000"/>
              <w:bottom w:val="nil"/>
            </w:tcBorders>
          </w:tcPr>
          <w:p>
            <w:pPr>
              <w:pStyle w:val="TableParagraph"/>
              <w:spacing w:line="207" w:lineRule="exact"/>
              <w:ind w:left="581" w:right="561"/>
              <w:jc w:val="center"/>
              <w:rPr>
                <w:sz w:val="19"/>
              </w:rPr>
            </w:pPr>
            <w:r>
              <w:rPr>
                <w:w w:val="90"/>
                <w:sz w:val="19"/>
              </w:rPr>
              <w:t>53</w:t>
            </w:r>
          </w:p>
        </w:tc>
        <w:tc>
          <w:tcPr>
            <w:tcW w:w="1443" w:type="dxa"/>
            <w:tcBorders>
              <w:top w:val="nil"/>
              <w:bottom w:val="nil"/>
              <w:right w:val="nil"/>
            </w:tcBorders>
          </w:tcPr>
          <w:p>
            <w:pPr>
              <w:pStyle w:val="TableParagraph"/>
              <w:spacing w:line="204" w:lineRule="exact"/>
              <w:ind w:left="487" w:right="-12"/>
              <w:rPr>
                <w:sz w:val="19"/>
              </w:rPr>
            </w:pPr>
            <w:r>
              <w:rPr>
                <w:w w:val="90"/>
                <w:sz w:val="19"/>
              </w:rPr>
              <w:t>45.556</w:t>
            </w:r>
          </w:p>
        </w:tc>
      </w:tr>
      <w:tr>
        <w:trPr>
          <w:trHeight w:val="199" w:hRule="exact"/>
        </w:trPr>
        <w:tc>
          <w:tcPr>
            <w:tcW w:w="1311" w:type="dxa"/>
            <w:tcBorders>
              <w:top w:val="nil"/>
              <w:left w:val="nil"/>
              <w:bottom w:val="nil"/>
            </w:tcBorders>
          </w:tcPr>
          <w:p>
            <w:pPr>
              <w:pStyle w:val="TableParagraph"/>
              <w:spacing w:line="204" w:lineRule="exact"/>
              <w:ind w:left="517" w:right="499"/>
              <w:jc w:val="center"/>
              <w:rPr>
                <w:sz w:val="19"/>
              </w:rPr>
            </w:pPr>
            <w:r>
              <w:rPr>
                <w:w w:val="85"/>
                <w:sz w:val="19"/>
              </w:rPr>
              <w:t>14</w:t>
            </w:r>
          </w:p>
        </w:tc>
        <w:tc>
          <w:tcPr>
            <w:tcW w:w="1459" w:type="dxa"/>
            <w:tcBorders>
              <w:top w:val="nil"/>
              <w:bottom w:val="nil"/>
              <w:right w:val="single" w:sz="14" w:space="0" w:color="000000"/>
            </w:tcBorders>
          </w:tcPr>
          <w:p>
            <w:pPr>
              <w:pStyle w:val="TableParagraph"/>
              <w:spacing w:line="197" w:lineRule="exact"/>
              <w:ind w:left="378" w:right="244"/>
              <w:jc w:val="center"/>
              <w:rPr>
                <w:sz w:val="19"/>
              </w:rPr>
            </w:pPr>
            <w:r>
              <w:rPr>
                <w:w w:val="95"/>
                <w:sz w:val="19"/>
              </w:rPr>
              <w:t>9.116</w:t>
            </w:r>
          </w:p>
        </w:tc>
        <w:tc>
          <w:tcPr>
            <w:tcW w:w="1463" w:type="dxa"/>
            <w:tcBorders>
              <w:top w:val="nil"/>
              <w:left w:val="single" w:sz="14" w:space="0" w:color="000000"/>
              <w:bottom w:val="nil"/>
            </w:tcBorders>
          </w:tcPr>
          <w:p>
            <w:pPr>
              <w:pStyle w:val="TableParagraph"/>
              <w:spacing w:line="181" w:lineRule="exact"/>
              <w:ind w:left="564" w:right="561"/>
              <w:jc w:val="center"/>
              <w:rPr>
                <w:rFonts w:ascii="Times New Roman"/>
                <w:sz w:val="16"/>
              </w:rPr>
            </w:pPr>
            <w:r>
              <w:rPr>
                <w:rFonts w:ascii="Times New Roman"/>
                <w:w w:val="105"/>
                <w:sz w:val="16"/>
              </w:rPr>
              <w:t>54</w:t>
            </w:r>
          </w:p>
        </w:tc>
        <w:tc>
          <w:tcPr>
            <w:tcW w:w="1443" w:type="dxa"/>
            <w:tcBorders>
              <w:top w:val="nil"/>
              <w:bottom w:val="nil"/>
              <w:right w:val="nil"/>
            </w:tcBorders>
          </w:tcPr>
          <w:p>
            <w:pPr>
              <w:pStyle w:val="TableParagraph"/>
              <w:spacing w:line="197" w:lineRule="exact"/>
              <w:ind w:left="487" w:right="-12"/>
              <w:rPr>
                <w:sz w:val="19"/>
              </w:rPr>
            </w:pPr>
            <w:r>
              <w:rPr>
                <w:w w:val="95"/>
                <w:sz w:val="19"/>
              </w:rPr>
              <w:t>46.549.</w:t>
            </w:r>
          </w:p>
        </w:tc>
      </w:tr>
      <w:tr>
        <w:trPr>
          <w:trHeight w:val="242" w:hRule="exact"/>
        </w:trPr>
        <w:tc>
          <w:tcPr>
            <w:tcW w:w="1311" w:type="dxa"/>
            <w:tcBorders>
              <w:top w:val="nil"/>
              <w:left w:val="nil"/>
              <w:bottom w:val="nil"/>
            </w:tcBorders>
          </w:tcPr>
          <w:p>
            <w:pPr>
              <w:pStyle w:val="TableParagraph"/>
              <w:spacing w:line="209" w:lineRule="exact"/>
              <w:ind w:left="519" w:right="494"/>
              <w:jc w:val="center"/>
              <w:rPr>
                <w:sz w:val="19"/>
              </w:rPr>
            </w:pPr>
            <w:r>
              <w:rPr>
                <w:w w:val="85"/>
                <w:sz w:val="19"/>
              </w:rPr>
              <w:t>15</w:t>
            </w:r>
          </w:p>
        </w:tc>
        <w:tc>
          <w:tcPr>
            <w:tcW w:w="1459" w:type="dxa"/>
            <w:tcBorders>
              <w:top w:val="nil"/>
              <w:bottom w:val="nil"/>
              <w:right w:val="single" w:sz="14" w:space="0" w:color="000000"/>
            </w:tcBorders>
          </w:tcPr>
          <w:p>
            <w:pPr>
              <w:pStyle w:val="TableParagraph"/>
              <w:spacing w:line="202" w:lineRule="exact"/>
              <w:ind w:left="378" w:right="245"/>
              <w:jc w:val="center"/>
              <w:rPr>
                <w:sz w:val="19"/>
              </w:rPr>
            </w:pPr>
            <w:r>
              <w:rPr>
                <w:w w:val="95"/>
                <w:sz w:val="19"/>
              </w:rPr>
              <w:t>9.907</w:t>
            </w:r>
          </w:p>
        </w:tc>
        <w:tc>
          <w:tcPr>
            <w:tcW w:w="1463" w:type="dxa"/>
            <w:tcBorders>
              <w:top w:val="nil"/>
              <w:left w:val="single" w:sz="14" w:space="0" w:color="000000"/>
              <w:bottom w:val="nil"/>
            </w:tcBorders>
          </w:tcPr>
          <w:p>
            <w:pPr>
              <w:pStyle w:val="TableParagraph"/>
              <w:spacing w:line="183" w:lineRule="exact"/>
              <w:ind w:left="578" w:right="561"/>
              <w:jc w:val="center"/>
              <w:rPr>
                <w:rFonts w:ascii="Times New Roman"/>
                <w:sz w:val="16"/>
              </w:rPr>
            </w:pPr>
            <w:r>
              <w:rPr>
                <w:rFonts w:ascii="Times New Roman"/>
                <w:w w:val="110"/>
                <w:sz w:val="16"/>
              </w:rPr>
              <w:t>55</w:t>
            </w:r>
          </w:p>
        </w:tc>
        <w:tc>
          <w:tcPr>
            <w:tcW w:w="1443" w:type="dxa"/>
            <w:tcBorders>
              <w:top w:val="nil"/>
              <w:bottom w:val="nil"/>
              <w:right w:val="nil"/>
            </w:tcBorders>
          </w:tcPr>
          <w:p>
            <w:pPr>
              <w:pStyle w:val="TableParagraph"/>
              <w:spacing w:line="199" w:lineRule="exact"/>
              <w:ind w:left="490" w:right="-12"/>
              <w:rPr>
                <w:sz w:val="19"/>
              </w:rPr>
            </w:pPr>
            <w:r>
              <w:rPr>
                <w:w w:val="95"/>
                <w:sz w:val="19"/>
              </w:rPr>
              <w:t>47.543</w:t>
            </w:r>
          </w:p>
        </w:tc>
      </w:tr>
      <w:tr>
        <w:trPr>
          <w:trHeight w:val="240" w:hRule="exact"/>
        </w:trPr>
        <w:tc>
          <w:tcPr>
            <w:tcW w:w="1311" w:type="dxa"/>
            <w:tcBorders>
              <w:top w:val="nil"/>
              <w:left w:val="nil"/>
              <w:bottom w:val="nil"/>
            </w:tcBorders>
          </w:tcPr>
          <w:p>
            <w:pPr>
              <w:pStyle w:val="TableParagraph"/>
              <w:spacing w:before="31"/>
              <w:ind w:left="519" w:right="481"/>
              <w:jc w:val="center"/>
              <w:rPr>
                <w:sz w:val="19"/>
              </w:rPr>
            </w:pPr>
            <w:r>
              <w:rPr>
                <w:sz w:val="19"/>
              </w:rPr>
              <w:t>16</w:t>
            </w:r>
          </w:p>
        </w:tc>
        <w:tc>
          <w:tcPr>
            <w:tcW w:w="1459" w:type="dxa"/>
            <w:tcBorders>
              <w:top w:val="nil"/>
              <w:bottom w:val="nil"/>
              <w:right w:val="single" w:sz="14" w:space="0" w:color="000000"/>
            </w:tcBorders>
          </w:tcPr>
          <w:p>
            <w:pPr>
              <w:pStyle w:val="TableParagraph"/>
              <w:spacing w:before="21"/>
              <w:ind w:left="378" w:right="322"/>
              <w:jc w:val="center"/>
              <w:rPr>
                <w:sz w:val="19"/>
              </w:rPr>
            </w:pPr>
            <w:r>
              <w:rPr>
                <w:w w:val="95"/>
                <w:sz w:val="19"/>
              </w:rPr>
              <w:t>10.714</w:t>
            </w:r>
          </w:p>
        </w:tc>
        <w:tc>
          <w:tcPr>
            <w:tcW w:w="1463" w:type="dxa"/>
            <w:tcBorders>
              <w:top w:val="nil"/>
              <w:left w:val="single" w:sz="14" w:space="0" w:color="000000"/>
              <w:bottom w:val="nil"/>
            </w:tcBorders>
          </w:tcPr>
          <w:p>
            <w:pPr>
              <w:pStyle w:val="TableParagraph"/>
              <w:spacing w:before="37"/>
              <w:ind w:left="564" w:right="561"/>
              <w:jc w:val="center"/>
              <w:rPr>
                <w:rFonts w:ascii="Times New Roman"/>
                <w:sz w:val="16"/>
              </w:rPr>
            </w:pPr>
            <w:r>
              <w:rPr>
                <w:rFonts w:ascii="Times New Roman"/>
                <w:w w:val="105"/>
                <w:sz w:val="16"/>
              </w:rPr>
              <w:t>56</w:t>
            </w:r>
          </w:p>
        </w:tc>
        <w:tc>
          <w:tcPr>
            <w:tcW w:w="1443" w:type="dxa"/>
            <w:tcBorders>
              <w:top w:val="nil"/>
              <w:bottom w:val="nil"/>
              <w:right w:val="nil"/>
            </w:tcBorders>
          </w:tcPr>
          <w:p>
            <w:pPr>
              <w:pStyle w:val="TableParagraph"/>
              <w:spacing w:before="21"/>
              <w:ind w:left="490" w:right="-12"/>
              <w:rPr>
                <w:sz w:val="19"/>
              </w:rPr>
            </w:pPr>
            <w:r>
              <w:rPr>
                <w:sz w:val="19"/>
              </w:rPr>
              <w:t>48.537</w:t>
            </w:r>
          </w:p>
        </w:tc>
      </w:tr>
      <w:tr>
        <w:trPr>
          <w:trHeight w:val="201" w:hRule="exact"/>
        </w:trPr>
        <w:tc>
          <w:tcPr>
            <w:tcW w:w="1311" w:type="dxa"/>
            <w:tcBorders>
              <w:top w:val="nil"/>
              <w:left w:val="nil"/>
              <w:bottom w:val="nil"/>
            </w:tcBorders>
          </w:tcPr>
          <w:p>
            <w:pPr>
              <w:pStyle w:val="TableParagraph"/>
              <w:spacing w:line="207" w:lineRule="exact"/>
              <w:ind w:left="512" w:right="499"/>
              <w:jc w:val="center"/>
              <w:rPr>
                <w:sz w:val="19"/>
              </w:rPr>
            </w:pPr>
            <w:r>
              <w:rPr>
                <w:w w:val="85"/>
                <w:sz w:val="19"/>
              </w:rPr>
              <w:t>17</w:t>
            </w:r>
          </w:p>
        </w:tc>
        <w:tc>
          <w:tcPr>
            <w:tcW w:w="1459" w:type="dxa"/>
            <w:tcBorders>
              <w:top w:val="nil"/>
              <w:bottom w:val="nil"/>
              <w:right w:val="single" w:sz="14" w:space="0" w:color="000000"/>
            </w:tcBorders>
          </w:tcPr>
          <w:p>
            <w:pPr>
              <w:pStyle w:val="TableParagraph"/>
              <w:spacing w:line="200" w:lineRule="exact"/>
              <w:ind w:left="378" w:right="325"/>
              <w:jc w:val="center"/>
              <w:rPr>
                <w:sz w:val="19"/>
              </w:rPr>
            </w:pPr>
            <w:r>
              <w:rPr>
                <w:w w:val="80"/>
                <w:sz w:val="19"/>
              </w:rPr>
              <w:t>11.534</w:t>
            </w:r>
          </w:p>
        </w:tc>
        <w:tc>
          <w:tcPr>
            <w:tcW w:w="1463" w:type="dxa"/>
            <w:tcBorders>
              <w:top w:val="nil"/>
              <w:left w:val="single" w:sz="14" w:space="0" w:color="000000"/>
              <w:bottom w:val="nil"/>
            </w:tcBorders>
          </w:tcPr>
          <w:p>
            <w:pPr>
              <w:pStyle w:val="TableParagraph"/>
              <w:spacing w:line="200" w:lineRule="exact"/>
              <w:ind w:left="586" w:right="560"/>
              <w:jc w:val="center"/>
              <w:rPr>
                <w:sz w:val="19"/>
              </w:rPr>
            </w:pPr>
            <w:r>
              <w:rPr>
                <w:sz w:val="19"/>
              </w:rPr>
              <w:t>57</w:t>
            </w:r>
          </w:p>
        </w:tc>
        <w:tc>
          <w:tcPr>
            <w:tcW w:w="1443" w:type="dxa"/>
            <w:tcBorders>
              <w:top w:val="nil"/>
              <w:bottom w:val="nil"/>
              <w:right w:val="nil"/>
            </w:tcBorders>
          </w:tcPr>
          <w:p>
            <w:pPr>
              <w:pStyle w:val="TableParagraph"/>
              <w:spacing w:line="197" w:lineRule="exact"/>
              <w:ind w:left="487" w:right="-12"/>
              <w:rPr>
                <w:sz w:val="19"/>
              </w:rPr>
            </w:pPr>
            <w:r>
              <w:rPr>
                <w:w w:val="90"/>
                <w:sz w:val="19"/>
              </w:rPr>
              <w:t>49.531</w:t>
            </w:r>
          </w:p>
        </w:tc>
      </w:tr>
      <w:tr>
        <w:trPr>
          <w:trHeight w:val="197" w:hRule="exact"/>
        </w:trPr>
        <w:tc>
          <w:tcPr>
            <w:tcW w:w="1311" w:type="dxa"/>
            <w:tcBorders>
              <w:top w:val="nil"/>
              <w:left w:val="nil"/>
              <w:bottom w:val="nil"/>
            </w:tcBorders>
          </w:tcPr>
          <w:p>
            <w:pPr>
              <w:pStyle w:val="TableParagraph"/>
              <w:spacing w:before="1"/>
              <w:ind w:left="510" w:right="499"/>
              <w:jc w:val="center"/>
              <w:rPr>
                <w:rFonts w:ascii="Times New Roman"/>
                <w:b/>
                <w:sz w:val="16"/>
              </w:rPr>
            </w:pPr>
            <w:r>
              <w:rPr>
                <w:rFonts w:ascii="Times New Roman"/>
                <w:b/>
                <w:sz w:val="16"/>
              </w:rPr>
              <w:t>18</w:t>
            </w:r>
          </w:p>
        </w:tc>
        <w:tc>
          <w:tcPr>
            <w:tcW w:w="1459" w:type="dxa"/>
            <w:tcBorders>
              <w:top w:val="nil"/>
              <w:bottom w:val="nil"/>
              <w:right w:val="single" w:sz="14" w:space="0" w:color="000000"/>
            </w:tcBorders>
          </w:tcPr>
          <w:p>
            <w:pPr>
              <w:pStyle w:val="TableParagraph"/>
              <w:spacing w:line="200" w:lineRule="exact"/>
              <w:ind w:left="378" w:right="322"/>
              <w:jc w:val="center"/>
              <w:rPr>
                <w:sz w:val="19"/>
              </w:rPr>
            </w:pPr>
            <w:r>
              <w:rPr>
                <w:w w:val="85"/>
                <w:sz w:val="19"/>
              </w:rPr>
              <w:t>12.368</w:t>
            </w:r>
          </w:p>
        </w:tc>
        <w:tc>
          <w:tcPr>
            <w:tcW w:w="1463" w:type="dxa"/>
            <w:tcBorders>
              <w:top w:val="nil"/>
              <w:left w:val="single" w:sz="14" w:space="0" w:color="000000"/>
              <w:bottom w:val="nil"/>
            </w:tcBorders>
          </w:tcPr>
          <w:p>
            <w:pPr>
              <w:pStyle w:val="TableParagraph"/>
              <w:spacing w:line="186" w:lineRule="exact"/>
              <w:ind w:left="569" w:right="561"/>
              <w:jc w:val="center"/>
              <w:rPr>
                <w:rFonts w:ascii="Times New Roman"/>
                <w:sz w:val="18"/>
              </w:rPr>
            </w:pPr>
            <w:r>
              <w:rPr>
                <w:rFonts w:ascii="Times New Roman"/>
                <w:sz w:val="18"/>
              </w:rPr>
              <w:t>58</w:t>
            </w:r>
          </w:p>
        </w:tc>
        <w:tc>
          <w:tcPr>
            <w:tcW w:w="1443" w:type="dxa"/>
            <w:tcBorders>
              <w:top w:val="nil"/>
              <w:bottom w:val="nil"/>
              <w:right w:val="nil"/>
            </w:tcBorders>
          </w:tcPr>
          <w:p>
            <w:pPr>
              <w:pStyle w:val="TableParagraph"/>
              <w:spacing w:line="197" w:lineRule="exact"/>
              <w:ind w:left="487" w:right="-12"/>
              <w:rPr>
                <w:sz w:val="19"/>
              </w:rPr>
            </w:pPr>
            <w:r>
              <w:rPr>
                <w:w w:val="90"/>
                <w:sz w:val="19"/>
              </w:rPr>
              <w:t>ó0.526</w:t>
            </w:r>
          </w:p>
        </w:tc>
      </w:tr>
      <w:tr>
        <w:trPr>
          <w:trHeight w:val="199" w:hRule="exact"/>
        </w:trPr>
        <w:tc>
          <w:tcPr>
            <w:tcW w:w="1311" w:type="dxa"/>
            <w:tcBorders>
              <w:top w:val="nil"/>
              <w:left w:val="nil"/>
              <w:bottom w:val="nil"/>
            </w:tcBorders>
          </w:tcPr>
          <w:p>
            <w:pPr>
              <w:pStyle w:val="TableParagraph"/>
              <w:spacing w:line="207" w:lineRule="exact"/>
              <w:ind w:left="519" w:right="484"/>
              <w:jc w:val="center"/>
              <w:rPr>
                <w:sz w:val="19"/>
              </w:rPr>
            </w:pPr>
            <w:r>
              <w:rPr>
                <w:sz w:val="19"/>
              </w:rPr>
              <w:t>19</w:t>
            </w:r>
          </w:p>
        </w:tc>
        <w:tc>
          <w:tcPr>
            <w:tcW w:w="1459" w:type="dxa"/>
            <w:tcBorders>
              <w:top w:val="nil"/>
              <w:bottom w:val="nil"/>
              <w:right w:val="single" w:sz="14" w:space="0" w:color="000000"/>
            </w:tcBorders>
          </w:tcPr>
          <w:p>
            <w:pPr>
              <w:pStyle w:val="TableParagraph"/>
              <w:spacing w:line="200" w:lineRule="exact"/>
              <w:ind w:left="378" w:right="320"/>
              <w:jc w:val="center"/>
              <w:rPr>
                <w:sz w:val="19"/>
              </w:rPr>
            </w:pPr>
            <w:r>
              <w:rPr>
                <w:w w:val="90"/>
                <w:sz w:val="19"/>
              </w:rPr>
              <w:t>13.214</w:t>
            </w:r>
          </w:p>
        </w:tc>
        <w:tc>
          <w:tcPr>
            <w:tcW w:w="1463" w:type="dxa"/>
            <w:tcBorders>
              <w:top w:val="nil"/>
              <w:left w:val="single" w:sz="14" w:space="0" w:color="000000"/>
              <w:bottom w:val="nil"/>
            </w:tcBorders>
          </w:tcPr>
          <w:p>
            <w:pPr>
              <w:pStyle w:val="TableParagraph"/>
              <w:spacing w:line="200" w:lineRule="exact"/>
              <w:ind w:left="586" w:right="555"/>
              <w:jc w:val="center"/>
              <w:rPr>
                <w:sz w:val="19"/>
              </w:rPr>
            </w:pPr>
            <w:r>
              <w:rPr>
                <w:w w:val="105"/>
                <w:sz w:val="19"/>
              </w:rPr>
              <w:t>59</w:t>
            </w:r>
          </w:p>
        </w:tc>
        <w:tc>
          <w:tcPr>
            <w:tcW w:w="1443" w:type="dxa"/>
            <w:tcBorders>
              <w:top w:val="nil"/>
              <w:bottom w:val="nil"/>
              <w:right w:val="nil"/>
            </w:tcBorders>
          </w:tcPr>
          <w:p>
            <w:pPr>
              <w:pStyle w:val="TableParagraph"/>
              <w:spacing w:line="171" w:lineRule="exact"/>
              <w:ind w:left="487" w:right="-12"/>
              <w:rPr>
                <w:rFonts w:ascii="Arial"/>
                <w:sz w:val="15"/>
              </w:rPr>
            </w:pPr>
            <w:r>
              <w:rPr>
                <w:rFonts w:ascii="Arial"/>
                <w:w w:val="105"/>
                <w:sz w:val="15"/>
              </w:rPr>
              <w:t>51.522</w:t>
            </w:r>
          </w:p>
        </w:tc>
      </w:tr>
      <w:tr>
        <w:trPr>
          <w:trHeight w:val="235" w:hRule="exact"/>
        </w:trPr>
        <w:tc>
          <w:tcPr>
            <w:tcW w:w="1311" w:type="dxa"/>
            <w:tcBorders>
              <w:top w:val="nil"/>
              <w:left w:val="nil"/>
              <w:bottom w:val="nil"/>
            </w:tcBorders>
          </w:tcPr>
          <w:p>
            <w:pPr>
              <w:pStyle w:val="TableParagraph"/>
              <w:spacing w:line="188" w:lineRule="exact"/>
              <w:ind w:left="492" w:right="499"/>
              <w:jc w:val="center"/>
              <w:rPr>
                <w:rFonts w:ascii="Times New Roman"/>
                <w:sz w:val="18"/>
              </w:rPr>
            </w:pPr>
            <w:r>
              <w:rPr>
                <w:rFonts w:ascii="Times New Roman"/>
                <w:sz w:val="18"/>
              </w:rPr>
              <w:t>20</w:t>
            </w:r>
          </w:p>
        </w:tc>
        <w:tc>
          <w:tcPr>
            <w:tcW w:w="1459" w:type="dxa"/>
            <w:tcBorders>
              <w:top w:val="nil"/>
              <w:bottom w:val="nil"/>
              <w:right w:val="single" w:sz="14" w:space="0" w:color="000000"/>
            </w:tcBorders>
          </w:tcPr>
          <w:p>
            <w:pPr>
              <w:pStyle w:val="TableParagraph"/>
              <w:spacing w:line="199" w:lineRule="exact"/>
              <w:ind w:left="378" w:right="311"/>
              <w:jc w:val="center"/>
              <w:rPr>
                <w:sz w:val="19"/>
              </w:rPr>
            </w:pPr>
            <w:r>
              <w:rPr>
                <w:w w:val="95"/>
                <w:sz w:val="19"/>
              </w:rPr>
              <w:t>14.072</w:t>
            </w:r>
          </w:p>
        </w:tc>
        <w:tc>
          <w:tcPr>
            <w:tcW w:w="1463" w:type="dxa"/>
            <w:tcBorders>
              <w:top w:val="nil"/>
              <w:left w:val="single" w:sz="14" w:space="0" w:color="000000"/>
              <w:bottom w:val="nil"/>
            </w:tcBorders>
          </w:tcPr>
          <w:p>
            <w:pPr>
              <w:pStyle w:val="TableParagraph"/>
              <w:spacing w:line="183" w:lineRule="exact"/>
              <w:ind w:left="564" w:right="561"/>
              <w:jc w:val="center"/>
              <w:rPr>
                <w:rFonts w:ascii="Times New Roman"/>
                <w:sz w:val="16"/>
              </w:rPr>
            </w:pPr>
            <w:r>
              <w:rPr>
                <w:rFonts w:ascii="Times New Roman"/>
                <w:w w:val="110"/>
                <w:sz w:val="16"/>
              </w:rPr>
              <w:t>60</w:t>
            </w:r>
          </w:p>
        </w:tc>
        <w:tc>
          <w:tcPr>
            <w:tcW w:w="1443" w:type="dxa"/>
            <w:tcBorders>
              <w:top w:val="nil"/>
              <w:bottom w:val="nil"/>
              <w:right w:val="nil"/>
            </w:tcBorders>
          </w:tcPr>
          <w:p>
            <w:pPr>
              <w:pStyle w:val="TableParagraph"/>
              <w:spacing w:line="195" w:lineRule="exact"/>
              <w:ind w:left="487" w:right="-12"/>
              <w:rPr>
                <w:sz w:val="19"/>
              </w:rPr>
            </w:pPr>
            <w:r>
              <w:rPr>
                <w:w w:val="95"/>
                <w:sz w:val="19"/>
              </w:rPr>
              <w:t>52.517</w:t>
            </w:r>
          </w:p>
        </w:tc>
      </w:tr>
      <w:tr>
        <w:trPr>
          <w:trHeight w:val="244" w:hRule="exact"/>
        </w:trPr>
        <w:tc>
          <w:tcPr>
            <w:tcW w:w="1311" w:type="dxa"/>
            <w:tcBorders>
              <w:top w:val="nil"/>
              <w:left w:val="nil"/>
              <w:bottom w:val="nil"/>
            </w:tcBorders>
          </w:tcPr>
          <w:p>
            <w:pPr>
              <w:pStyle w:val="TableParagraph"/>
              <w:spacing w:before="35"/>
              <w:ind w:left="495" w:right="499"/>
              <w:jc w:val="center"/>
              <w:rPr>
                <w:sz w:val="19"/>
              </w:rPr>
            </w:pPr>
            <w:r>
              <w:rPr>
                <w:w w:val="95"/>
                <w:sz w:val="19"/>
              </w:rPr>
              <w:t>21</w:t>
            </w:r>
          </w:p>
        </w:tc>
        <w:tc>
          <w:tcPr>
            <w:tcW w:w="1459" w:type="dxa"/>
            <w:tcBorders>
              <w:top w:val="nil"/>
              <w:bottom w:val="nil"/>
              <w:right w:val="single" w:sz="14" w:space="0" w:color="000000"/>
            </w:tcBorders>
          </w:tcPr>
          <w:p>
            <w:pPr>
              <w:pStyle w:val="TableParagraph"/>
              <w:spacing w:before="28"/>
              <w:ind w:left="378" w:right="304"/>
              <w:jc w:val="center"/>
              <w:rPr>
                <w:sz w:val="19"/>
              </w:rPr>
            </w:pPr>
            <w:r>
              <w:rPr>
                <w:w w:val="80"/>
                <w:sz w:val="19"/>
              </w:rPr>
              <w:t>14.940</w:t>
            </w:r>
          </w:p>
        </w:tc>
        <w:tc>
          <w:tcPr>
            <w:tcW w:w="1463" w:type="dxa"/>
            <w:tcBorders>
              <w:top w:val="nil"/>
              <w:left w:val="single" w:sz="14" w:space="0" w:color="000000"/>
              <w:bottom w:val="nil"/>
            </w:tcBorders>
          </w:tcPr>
          <w:p>
            <w:pPr>
              <w:pStyle w:val="TableParagraph"/>
              <w:spacing w:before="31"/>
              <w:ind w:left="576" w:right="561"/>
              <w:jc w:val="center"/>
              <w:rPr>
                <w:sz w:val="19"/>
              </w:rPr>
            </w:pPr>
            <w:r>
              <w:rPr>
                <w:w w:val="90"/>
                <w:sz w:val="19"/>
              </w:rPr>
              <w:t>61</w:t>
            </w:r>
          </w:p>
        </w:tc>
        <w:tc>
          <w:tcPr>
            <w:tcW w:w="1443" w:type="dxa"/>
            <w:tcBorders>
              <w:top w:val="nil"/>
              <w:bottom w:val="nil"/>
              <w:right w:val="nil"/>
            </w:tcBorders>
          </w:tcPr>
          <w:p>
            <w:pPr>
              <w:pStyle w:val="TableParagraph"/>
              <w:spacing w:before="24"/>
              <w:ind w:left="487" w:right="-12"/>
              <w:rPr>
                <w:sz w:val="19"/>
              </w:rPr>
            </w:pPr>
            <w:r>
              <w:rPr>
                <w:w w:val="90"/>
                <w:sz w:val="19"/>
              </w:rPr>
              <w:t>53.514</w:t>
            </w:r>
          </w:p>
        </w:tc>
      </w:tr>
      <w:tr>
        <w:trPr>
          <w:trHeight w:val="199" w:hRule="exact"/>
        </w:trPr>
        <w:tc>
          <w:tcPr>
            <w:tcW w:w="1311" w:type="dxa"/>
            <w:tcBorders>
              <w:top w:val="nil"/>
              <w:left w:val="nil"/>
              <w:bottom w:val="nil"/>
            </w:tcBorders>
          </w:tcPr>
          <w:p>
            <w:pPr>
              <w:pStyle w:val="TableParagraph"/>
              <w:spacing w:line="189" w:lineRule="exact"/>
              <w:ind w:left="485" w:right="499"/>
              <w:jc w:val="center"/>
              <w:rPr>
                <w:rFonts w:ascii="Times New Roman"/>
                <w:sz w:val="18"/>
              </w:rPr>
            </w:pPr>
            <w:r>
              <w:rPr>
                <w:rFonts w:ascii="Times New Roman"/>
                <w:sz w:val="18"/>
              </w:rPr>
              <w:t>22</w:t>
            </w:r>
          </w:p>
        </w:tc>
        <w:tc>
          <w:tcPr>
            <w:tcW w:w="1459" w:type="dxa"/>
            <w:tcBorders>
              <w:top w:val="nil"/>
              <w:bottom w:val="nil"/>
              <w:right w:val="single" w:sz="14" w:space="0" w:color="000000"/>
            </w:tcBorders>
          </w:tcPr>
          <w:p>
            <w:pPr>
              <w:pStyle w:val="TableParagraph"/>
              <w:spacing w:line="200" w:lineRule="exact"/>
              <w:ind w:left="375" w:right="327"/>
              <w:jc w:val="center"/>
              <w:rPr>
                <w:sz w:val="19"/>
              </w:rPr>
            </w:pPr>
            <w:r>
              <w:rPr>
                <w:w w:val="85"/>
                <w:sz w:val="19"/>
              </w:rPr>
              <w:t>15.819</w:t>
            </w:r>
          </w:p>
        </w:tc>
        <w:tc>
          <w:tcPr>
            <w:tcW w:w="1463" w:type="dxa"/>
            <w:tcBorders>
              <w:top w:val="nil"/>
              <w:left w:val="single" w:sz="14" w:space="0" w:color="000000"/>
              <w:bottom w:val="nil"/>
            </w:tcBorders>
          </w:tcPr>
          <w:p>
            <w:pPr>
              <w:pStyle w:val="TableParagraph"/>
              <w:spacing w:line="181" w:lineRule="exact"/>
              <w:ind w:left="569" w:right="561"/>
              <w:jc w:val="center"/>
              <w:rPr>
                <w:rFonts w:ascii="Times New Roman"/>
                <w:sz w:val="16"/>
              </w:rPr>
            </w:pPr>
            <w:r>
              <w:rPr>
                <w:rFonts w:ascii="Times New Roman"/>
                <w:w w:val="110"/>
                <w:sz w:val="16"/>
              </w:rPr>
              <w:t>62</w:t>
            </w:r>
          </w:p>
        </w:tc>
        <w:tc>
          <w:tcPr>
            <w:tcW w:w="1443" w:type="dxa"/>
            <w:tcBorders>
              <w:top w:val="nil"/>
              <w:bottom w:val="nil"/>
              <w:right w:val="nil"/>
            </w:tcBorders>
          </w:tcPr>
          <w:p>
            <w:pPr>
              <w:pStyle w:val="TableParagraph"/>
              <w:spacing w:line="197" w:lineRule="exact"/>
              <w:ind w:left="490" w:right="-12"/>
              <w:rPr>
                <w:sz w:val="19"/>
              </w:rPr>
            </w:pPr>
            <w:r>
              <w:rPr>
                <w:w w:val="95"/>
                <w:sz w:val="19"/>
              </w:rPr>
              <w:t>54.510</w:t>
            </w:r>
          </w:p>
        </w:tc>
      </w:tr>
      <w:tr>
        <w:trPr>
          <w:trHeight w:val="198" w:hRule="exact"/>
        </w:trPr>
        <w:tc>
          <w:tcPr>
            <w:tcW w:w="1311" w:type="dxa"/>
            <w:tcBorders>
              <w:top w:val="nil"/>
              <w:left w:val="nil"/>
              <w:bottom w:val="nil"/>
            </w:tcBorders>
          </w:tcPr>
          <w:p>
            <w:pPr>
              <w:pStyle w:val="TableParagraph"/>
              <w:spacing w:line="188" w:lineRule="exact"/>
              <w:ind w:left="486" w:right="499"/>
              <w:jc w:val="center"/>
              <w:rPr>
                <w:rFonts w:ascii="Arial"/>
                <w:sz w:val="17"/>
              </w:rPr>
            </w:pPr>
            <w:r>
              <w:rPr>
                <w:rFonts w:ascii="Arial"/>
                <w:sz w:val="17"/>
              </w:rPr>
              <w:t>ZJ</w:t>
            </w:r>
          </w:p>
        </w:tc>
        <w:tc>
          <w:tcPr>
            <w:tcW w:w="1459" w:type="dxa"/>
            <w:tcBorders>
              <w:top w:val="nil"/>
              <w:bottom w:val="nil"/>
              <w:right w:val="single" w:sz="14" w:space="0" w:color="000000"/>
            </w:tcBorders>
          </w:tcPr>
          <w:p>
            <w:pPr>
              <w:pStyle w:val="TableParagraph"/>
              <w:spacing w:line="202" w:lineRule="exact"/>
              <w:ind w:left="378" w:right="322"/>
              <w:jc w:val="center"/>
              <w:rPr>
                <w:sz w:val="19"/>
              </w:rPr>
            </w:pPr>
            <w:r>
              <w:rPr>
                <w:sz w:val="19"/>
              </w:rPr>
              <w:t>16.707</w:t>
            </w:r>
          </w:p>
        </w:tc>
        <w:tc>
          <w:tcPr>
            <w:tcW w:w="1463" w:type="dxa"/>
            <w:tcBorders>
              <w:top w:val="nil"/>
              <w:left w:val="single" w:sz="14" w:space="0" w:color="000000"/>
              <w:bottom w:val="nil"/>
            </w:tcBorders>
          </w:tcPr>
          <w:p>
            <w:pPr>
              <w:pStyle w:val="TableParagraph"/>
              <w:spacing w:line="206" w:lineRule="exact"/>
              <w:ind w:left="583" w:right="561"/>
              <w:jc w:val="center"/>
              <w:rPr>
                <w:sz w:val="19"/>
              </w:rPr>
            </w:pPr>
            <w:r>
              <w:rPr>
                <w:sz w:val="19"/>
              </w:rPr>
              <w:t>63</w:t>
            </w:r>
          </w:p>
        </w:tc>
        <w:tc>
          <w:tcPr>
            <w:tcW w:w="1443" w:type="dxa"/>
            <w:tcBorders>
              <w:top w:val="nil"/>
              <w:bottom w:val="nil"/>
              <w:right w:val="nil"/>
            </w:tcBorders>
          </w:tcPr>
          <w:p>
            <w:pPr>
              <w:pStyle w:val="TableParagraph"/>
              <w:spacing w:line="176" w:lineRule="exact"/>
              <w:ind w:left="20" w:right="9"/>
              <w:jc w:val="center"/>
              <w:rPr>
                <w:rFonts w:ascii="Times New Roman"/>
                <w:b/>
                <w:sz w:val="16"/>
              </w:rPr>
            </w:pPr>
            <w:r>
              <w:rPr>
                <w:rFonts w:ascii="Times New Roman"/>
                <w:b/>
                <w:w w:val="105"/>
                <w:sz w:val="16"/>
              </w:rPr>
              <w:t>55.507</w:t>
            </w:r>
          </w:p>
        </w:tc>
      </w:tr>
      <w:tr>
        <w:trPr>
          <w:trHeight w:val="203" w:hRule="exact"/>
        </w:trPr>
        <w:tc>
          <w:tcPr>
            <w:tcW w:w="1311" w:type="dxa"/>
            <w:tcBorders>
              <w:top w:val="nil"/>
              <w:left w:val="nil"/>
              <w:bottom w:val="nil"/>
            </w:tcBorders>
          </w:tcPr>
          <w:p>
            <w:pPr>
              <w:pStyle w:val="TableParagraph"/>
              <w:spacing w:line="194" w:lineRule="exact"/>
              <w:ind w:left="487" w:right="499"/>
              <w:jc w:val="center"/>
              <w:rPr>
                <w:rFonts w:ascii="Times New Roman"/>
                <w:sz w:val="18"/>
              </w:rPr>
            </w:pPr>
            <w:r>
              <w:rPr>
                <w:rFonts w:ascii="Times New Roman"/>
                <w:w w:val="95"/>
                <w:sz w:val="18"/>
              </w:rPr>
              <w:t>24</w:t>
            </w:r>
          </w:p>
        </w:tc>
        <w:tc>
          <w:tcPr>
            <w:tcW w:w="1459" w:type="dxa"/>
            <w:tcBorders>
              <w:top w:val="nil"/>
              <w:bottom w:val="nil"/>
              <w:right w:val="single" w:sz="14" w:space="0" w:color="000000"/>
            </w:tcBorders>
          </w:tcPr>
          <w:p>
            <w:pPr>
              <w:pStyle w:val="TableParagraph"/>
              <w:spacing w:line="201" w:lineRule="exact"/>
              <w:ind w:left="378" w:right="322"/>
              <w:jc w:val="center"/>
              <w:rPr>
                <w:sz w:val="19"/>
              </w:rPr>
            </w:pPr>
            <w:r>
              <w:rPr>
                <w:w w:val="85"/>
                <w:sz w:val="19"/>
              </w:rPr>
              <w:t>17.604</w:t>
            </w:r>
          </w:p>
        </w:tc>
        <w:tc>
          <w:tcPr>
            <w:tcW w:w="1463" w:type="dxa"/>
            <w:tcBorders>
              <w:top w:val="nil"/>
              <w:left w:val="single" w:sz="14" w:space="0" w:color="000000"/>
              <w:bottom w:val="nil"/>
            </w:tcBorders>
          </w:tcPr>
          <w:p>
            <w:pPr>
              <w:pStyle w:val="TableParagraph"/>
              <w:spacing w:line="208" w:lineRule="exact"/>
              <w:ind w:left="586" w:right="561"/>
              <w:jc w:val="center"/>
              <w:rPr>
                <w:sz w:val="19"/>
              </w:rPr>
            </w:pPr>
            <w:r>
              <w:rPr>
                <w:w w:val="95"/>
                <w:sz w:val="19"/>
              </w:rPr>
              <w:t>64</w:t>
            </w:r>
          </w:p>
        </w:tc>
        <w:tc>
          <w:tcPr>
            <w:tcW w:w="1443" w:type="dxa"/>
            <w:tcBorders>
              <w:top w:val="nil"/>
              <w:bottom w:val="nil"/>
              <w:right w:val="nil"/>
            </w:tcBorders>
          </w:tcPr>
          <w:p>
            <w:pPr>
              <w:pStyle w:val="TableParagraph"/>
              <w:spacing w:line="183" w:lineRule="exact"/>
              <w:ind w:left="490" w:right="-12"/>
              <w:rPr>
                <w:rFonts w:ascii="Times New Roman"/>
                <w:b/>
                <w:sz w:val="18"/>
              </w:rPr>
            </w:pPr>
            <w:r>
              <w:rPr>
                <w:rFonts w:ascii="Times New Roman"/>
                <w:b/>
                <w:sz w:val="18"/>
              </w:rPr>
              <w:t>56.504</w:t>
            </w:r>
          </w:p>
        </w:tc>
      </w:tr>
      <w:tr>
        <w:trPr>
          <w:trHeight w:val="240" w:hRule="exact"/>
        </w:trPr>
        <w:tc>
          <w:tcPr>
            <w:tcW w:w="1311" w:type="dxa"/>
            <w:tcBorders>
              <w:top w:val="nil"/>
              <w:left w:val="nil"/>
              <w:bottom w:val="nil"/>
            </w:tcBorders>
          </w:tcPr>
          <w:p>
            <w:pPr>
              <w:pStyle w:val="TableParagraph"/>
              <w:spacing w:line="206" w:lineRule="exact"/>
              <w:ind w:left="514" w:right="499"/>
              <w:jc w:val="center"/>
              <w:rPr>
                <w:sz w:val="19"/>
              </w:rPr>
            </w:pPr>
            <w:r>
              <w:rPr>
                <w:w w:val="105"/>
                <w:sz w:val="19"/>
              </w:rPr>
              <w:t>25</w:t>
            </w:r>
          </w:p>
        </w:tc>
        <w:tc>
          <w:tcPr>
            <w:tcW w:w="1459" w:type="dxa"/>
            <w:tcBorders>
              <w:top w:val="nil"/>
              <w:bottom w:val="nil"/>
              <w:right w:val="single" w:sz="14" w:space="0" w:color="000000"/>
            </w:tcBorders>
          </w:tcPr>
          <w:p>
            <w:pPr>
              <w:pStyle w:val="TableParagraph"/>
              <w:spacing w:line="180" w:lineRule="exact"/>
              <w:ind w:left="361" w:right="327"/>
              <w:jc w:val="center"/>
              <w:rPr>
                <w:rFonts w:ascii="Times New Roman"/>
                <w:b/>
                <w:sz w:val="16"/>
              </w:rPr>
            </w:pPr>
            <w:r>
              <w:rPr>
                <w:rFonts w:ascii="Times New Roman"/>
                <w:b/>
                <w:w w:val="105"/>
                <w:sz w:val="16"/>
              </w:rPr>
              <w:t>18.509</w:t>
            </w:r>
          </w:p>
        </w:tc>
        <w:tc>
          <w:tcPr>
            <w:tcW w:w="1463" w:type="dxa"/>
            <w:tcBorders>
              <w:top w:val="nil"/>
              <w:left w:val="single" w:sz="14" w:space="0" w:color="000000"/>
              <w:bottom w:val="nil"/>
            </w:tcBorders>
          </w:tcPr>
          <w:p>
            <w:pPr>
              <w:pStyle w:val="TableParagraph"/>
              <w:spacing w:line="183" w:lineRule="exact"/>
              <w:ind w:left="569" w:right="561"/>
              <w:jc w:val="center"/>
              <w:rPr>
                <w:rFonts w:ascii="Times New Roman"/>
                <w:sz w:val="16"/>
              </w:rPr>
            </w:pPr>
            <w:r>
              <w:rPr>
                <w:rFonts w:ascii="Times New Roman"/>
                <w:w w:val="110"/>
                <w:sz w:val="16"/>
              </w:rPr>
              <w:t>65</w:t>
            </w:r>
          </w:p>
        </w:tc>
        <w:tc>
          <w:tcPr>
            <w:tcW w:w="1443" w:type="dxa"/>
            <w:tcBorders>
              <w:top w:val="nil"/>
              <w:bottom w:val="nil"/>
              <w:right w:val="nil"/>
            </w:tcBorders>
          </w:tcPr>
          <w:p>
            <w:pPr>
              <w:pStyle w:val="TableParagraph"/>
              <w:spacing w:line="199" w:lineRule="exact"/>
              <w:ind w:left="490" w:right="-12"/>
              <w:rPr>
                <w:sz w:val="19"/>
              </w:rPr>
            </w:pPr>
            <w:r>
              <w:rPr>
                <w:sz w:val="19"/>
              </w:rPr>
              <w:t>57.502</w:t>
            </w:r>
          </w:p>
        </w:tc>
      </w:tr>
      <w:tr>
        <w:trPr>
          <w:trHeight w:val="240" w:hRule="exact"/>
        </w:trPr>
        <w:tc>
          <w:tcPr>
            <w:tcW w:w="1311" w:type="dxa"/>
            <w:tcBorders>
              <w:top w:val="nil"/>
              <w:left w:val="nil"/>
              <w:bottom w:val="nil"/>
            </w:tcBorders>
          </w:tcPr>
          <w:p>
            <w:pPr>
              <w:pStyle w:val="TableParagraph"/>
              <w:spacing w:before="33"/>
              <w:ind w:left="502" w:right="499"/>
              <w:jc w:val="center"/>
              <w:rPr>
                <w:sz w:val="19"/>
              </w:rPr>
            </w:pPr>
            <w:r>
              <w:rPr>
                <w:w w:val="85"/>
                <w:sz w:val="19"/>
              </w:rPr>
              <w:t>26</w:t>
            </w:r>
          </w:p>
        </w:tc>
        <w:tc>
          <w:tcPr>
            <w:tcW w:w="1459" w:type="dxa"/>
            <w:tcBorders>
              <w:top w:val="nil"/>
              <w:bottom w:val="nil"/>
              <w:right w:val="single" w:sz="14" w:space="0" w:color="000000"/>
            </w:tcBorders>
          </w:tcPr>
          <w:p>
            <w:pPr>
              <w:pStyle w:val="TableParagraph"/>
              <w:spacing w:before="22"/>
              <w:ind w:left="378" w:right="304"/>
              <w:jc w:val="center"/>
              <w:rPr>
                <w:sz w:val="19"/>
              </w:rPr>
            </w:pPr>
            <w:r>
              <w:rPr>
                <w:w w:val="90"/>
                <w:sz w:val="19"/>
              </w:rPr>
              <w:t>19.422</w:t>
            </w:r>
          </w:p>
        </w:tc>
        <w:tc>
          <w:tcPr>
            <w:tcW w:w="1463" w:type="dxa"/>
            <w:tcBorders>
              <w:top w:val="nil"/>
              <w:left w:val="single" w:sz="14" w:space="0" w:color="000000"/>
              <w:bottom w:val="nil"/>
            </w:tcBorders>
          </w:tcPr>
          <w:p>
            <w:pPr>
              <w:pStyle w:val="TableParagraph"/>
              <w:spacing w:before="38"/>
              <w:ind w:left="567" w:right="561"/>
              <w:jc w:val="center"/>
              <w:rPr>
                <w:rFonts w:ascii="Times New Roman"/>
                <w:sz w:val="16"/>
              </w:rPr>
            </w:pPr>
            <w:r>
              <w:rPr>
                <w:rFonts w:ascii="Times New Roman"/>
                <w:sz w:val="16"/>
              </w:rPr>
              <w:t>66</w:t>
            </w:r>
          </w:p>
        </w:tc>
        <w:tc>
          <w:tcPr>
            <w:tcW w:w="1443" w:type="dxa"/>
            <w:tcBorders>
              <w:top w:val="nil"/>
              <w:bottom w:val="nil"/>
              <w:right w:val="nil"/>
            </w:tcBorders>
          </w:tcPr>
          <w:p>
            <w:pPr>
              <w:pStyle w:val="TableParagraph"/>
              <w:spacing w:before="22"/>
              <w:ind w:left="490" w:right="-12"/>
              <w:rPr>
                <w:sz w:val="19"/>
              </w:rPr>
            </w:pPr>
            <w:r>
              <w:rPr>
                <w:w w:val="90"/>
                <w:sz w:val="19"/>
              </w:rPr>
              <w:t>58.499</w:t>
            </w:r>
          </w:p>
        </w:tc>
      </w:tr>
      <w:tr>
        <w:trPr>
          <w:trHeight w:val="195" w:hRule="exact"/>
        </w:trPr>
        <w:tc>
          <w:tcPr>
            <w:tcW w:w="1311" w:type="dxa"/>
            <w:tcBorders>
              <w:top w:val="nil"/>
              <w:left w:val="nil"/>
              <w:bottom w:val="nil"/>
            </w:tcBorders>
          </w:tcPr>
          <w:p>
            <w:pPr>
              <w:pStyle w:val="TableParagraph"/>
              <w:spacing w:line="191" w:lineRule="exact"/>
              <w:ind w:left="505" w:right="499"/>
              <w:jc w:val="center"/>
              <w:rPr>
                <w:rFonts w:ascii="Times New Roman"/>
                <w:i/>
                <w:sz w:val="18"/>
              </w:rPr>
            </w:pPr>
            <w:r>
              <w:rPr>
                <w:rFonts w:ascii="Times New Roman"/>
                <w:i/>
                <w:w w:val="85"/>
                <w:sz w:val="18"/>
              </w:rPr>
              <w:t>'Z1</w:t>
            </w:r>
          </w:p>
        </w:tc>
        <w:tc>
          <w:tcPr>
            <w:tcW w:w="1459" w:type="dxa"/>
            <w:tcBorders>
              <w:top w:val="nil"/>
              <w:bottom w:val="nil"/>
              <w:right w:val="single" w:sz="14" w:space="0" w:color="000000"/>
            </w:tcBorders>
          </w:tcPr>
          <w:p>
            <w:pPr>
              <w:pStyle w:val="TableParagraph"/>
              <w:spacing w:line="176" w:lineRule="exact"/>
              <w:ind w:left="356" w:right="327"/>
              <w:jc w:val="center"/>
              <w:rPr>
                <w:rFonts w:ascii="Times New Roman"/>
                <w:b/>
                <w:sz w:val="16"/>
              </w:rPr>
            </w:pPr>
            <w:r>
              <w:rPr>
                <w:rFonts w:ascii="Times New Roman"/>
                <w:b/>
                <w:w w:val="110"/>
                <w:sz w:val="16"/>
              </w:rPr>
              <w:t>20.342</w:t>
            </w:r>
          </w:p>
        </w:tc>
        <w:tc>
          <w:tcPr>
            <w:tcW w:w="1463" w:type="dxa"/>
            <w:tcBorders>
              <w:top w:val="nil"/>
              <w:left w:val="single" w:sz="14" w:space="0" w:color="000000"/>
              <w:bottom w:val="nil"/>
            </w:tcBorders>
          </w:tcPr>
          <w:p>
            <w:pPr>
              <w:pStyle w:val="TableParagraph"/>
              <w:spacing w:line="202" w:lineRule="exact"/>
              <w:ind w:left="584" w:right="561"/>
              <w:jc w:val="center"/>
              <w:rPr>
                <w:sz w:val="19"/>
              </w:rPr>
            </w:pPr>
            <w:r>
              <w:rPr>
                <w:sz w:val="19"/>
              </w:rPr>
              <w:t>67</w:t>
            </w:r>
          </w:p>
        </w:tc>
        <w:tc>
          <w:tcPr>
            <w:tcW w:w="1443" w:type="dxa"/>
            <w:tcBorders>
              <w:top w:val="nil"/>
              <w:bottom w:val="nil"/>
              <w:right w:val="nil"/>
            </w:tcBorders>
          </w:tcPr>
          <w:p>
            <w:pPr>
              <w:pStyle w:val="TableParagraph"/>
              <w:spacing w:line="195" w:lineRule="exact"/>
              <w:ind w:left="490" w:right="-12"/>
              <w:rPr>
                <w:sz w:val="19"/>
              </w:rPr>
            </w:pPr>
            <w:r>
              <w:rPr>
                <w:sz w:val="19"/>
              </w:rPr>
              <w:t>59.497</w:t>
            </w:r>
          </w:p>
        </w:tc>
      </w:tr>
      <w:tr>
        <w:trPr>
          <w:trHeight w:val="197" w:hRule="exact"/>
        </w:trPr>
        <w:tc>
          <w:tcPr>
            <w:tcW w:w="1311" w:type="dxa"/>
            <w:tcBorders>
              <w:top w:val="nil"/>
              <w:left w:val="nil"/>
              <w:bottom w:val="nil"/>
            </w:tcBorders>
          </w:tcPr>
          <w:p>
            <w:pPr>
              <w:pStyle w:val="TableParagraph"/>
              <w:spacing w:line="193" w:lineRule="exact"/>
              <w:ind w:left="494" w:right="499"/>
              <w:jc w:val="center"/>
              <w:rPr>
                <w:rFonts w:ascii="Times New Roman"/>
                <w:sz w:val="18"/>
              </w:rPr>
            </w:pPr>
            <w:r>
              <w:rPr>
                <w:rFonts w:ascii="Times New Roman"/>
                <w:sz w:val="18"/>
              </w:rPr>
              <w:t>28</w:t>
            </w:r>
          </w:p>
        </w:tc>
        <w:tc>
          <w:tcPr>
            <w:tcW w:w="1459" w:type="dxa"/>
            <w:tcBorders>
              <w:top w:val="nil"/>
              <w:bottom w:val="nil"/>
              <w:right w:val="single" w:sz="14" w:space="0" w:color="000000"/>
            </w:tcBorders>
          </w:tcPr>
          <w:p>
            <w:pPr>
              <w:pStyle w:val="TableParagraph"/>
              <w:spacing w:line="200" w:lineRule="exact"/>
              <w:ind w:left="365" w:right="327"/>
              <w:jc w:val="center"/>
              <w:rPr>
                <w:sz w:val="19"/>
              </w:rPr>
            </w:pPr>
            <w:r>
              <w:rPr>
                <w:w w:val="85"/>
                <w:sz w:val="19"/>
              </w:rPr>
              <w:t>21.268</w:t>
            </w:r>
          </w:p>
        </w:tc>
        <w:tc>
          <w:tcPr>
            <w:tcW w:w="1463" w:type="dxa"/>
            <w:tcBorders>
              <w:top w:val="nil"/>
              <w:left w:val="single" w:sz="14" w:space="0" w:color="000000"/>
              <w:bottom w:val="nil"/>
            </w:tcBorders>
          </w:tcPr>
          <w:p>
            <w:pPr>
              <w:pStyle w:val="TableParagraph"/>
              <w:spacing w:before="1"/>
              <w:ind w:left="564" w:right="561"/>
              <w:jc w:val="center"/>
              <w:rPr>
                <w:rFonts w:ascii="Times New Roman"/>
                <w:sz w:val="16"/>
              </w:rPr>
            </w:pPr>
            <w:r>
              <w:rPr>
                <w:rFonts w:ascii="Times New Roman"/>
                <w:w w:val="110"/>
                <w:sz w:val="16"/>
              </w:rPr>
              <w:t>68</w:t>
            </w:r>
          </w:p>
        </w:tc>
        <w:tc>
          <w:tcPr>
            <w:tcW w:w="1443" w:type="dxa"/>
            <w:tcBorders>
              <w:top w:val="nil"/>
              <w:bottom w:val="nil"/>
              <w:right w:val="nil"/>
            </w:tcBorders>
          </w:tcPr>
          <w:p>
            <w:pPr>
              <w:pStyle w:val="TableParagraph"/>
              <w:spacing w:line="197" w:lineRule="exact"/>
              <w:ind w:left="483" w:right="-12"/>
              <w:rPr>
                <w:sz w:val="19"/>
              </w:rPr>
            </w:pPr>
            <w:r>
              <w:rPr>
                <w:sz w:val="19"/>
              </w:rPr>
              <w:t>60.495</w:t>
            </w:r>
          </w:p>
        </w:tc>
      </w:tr>
      <w:tr>
        <w:trPr>
          <w:trHeight w:val="201" w:hRule="exact"/>
        </w:trPr>
        <w:tc>
          <w:tcPr>
            <w:tcW w:w="1311" w:type="dxa"/>
            <w:tcBorders>
              <w:top w:val="nil"/>
              <w:left w:val="nil"/>
              <w:bottom w:val="nil"/>
            </w:tcBorders>
          </w:tcPr>
          <w:p>
            <w:pPr>
              <w:pStyle w:val="TableParagraph"/>
              <w:spacing w:line="187" w:lineRule="exact"/>
              <w:ind w:left="488" w:right="499"/>
              <w:jc w:val="center"/>
              <w:rPr>
                <w:rFonts w:ascii="Times New Roman"/>
                <w:sz w:val="17"/>
              </w:rPr>
            </w:pPr>
            <w:r>
              <w:rPr>
                <w:rFonts w:ascii="Times New Roman"/>
                <w:sz w:val="17"/>
              </w:rPr>
              <w:t>29</w:t>
            </w:r>
          </w:p>
        </w:tc>
        <w:tc>
          <w:tcPr>
            <w:tcW w:w="1459" w:type="dxa"/>
            <w:tcBorders>
              <w:top w:val="nil"/>
              <w:bottom w:val="nil"/>
              <w:right w:val="single" w:sz="14" w:space="0" w:color="000000"/>
            </w:tcBorders>
          </w:tcPr>
          <w:p>
            <w:pPr>
              <w:pStyle w:val="TableParagraph"/>
              <w:spacing w:line="178" w:lineRule="exact"/>
              <w:ind w:left="343" w:right="327"/>
              <w:jc w:val="center"/>
              <w:rPr>
                <w:rFonts w:ascii="Times New Roman"/>
                <w:b/>
                <w:sz w:val="16"/>
              </w:rPr>
            </w:pPr>
            <w:r>
              <w:rPr>
                <w:rFonts w:ascii="Times New Roman"/>
                <w:b/>
                <w:w w:val="105"/>
                <w:sz w:val="16"/>
              </w:rPr>
              <w:t>22.201</w:t>
            </w:r>
          </w:p>
        </w:tc>
        <w:tc>
          <w:tcPr>
            <w:tcW w:w="1463" w:type="dxa"/>
            <w:tcBorders>
              <w:top w:val="nil"/>
              <w:left w:val="single" w:sz="14" w:space="0" w:color="000000"/>
              <w:bottom w:val="nil"/>
            </w:tcBorders>
          </w:tcPr>
          <w:p>
            <w:pPr>
              <w:pStyle w:val="TableParagraph"/>
              <w:spacing w:line="207" w:lineRule="exact"/>
              <w:ind w:left="586" w:right="558"/>
              <w:jc w:val="center"/>
              <w:rPr>
                <w:sz w:val="19"/>
              </w:rPr>
            </w:pPr>
            <w:r>
              <w:rPr>
                <w:w w:val="105"/>
                <w:sz w:val="19"/>
              </w:rPr>
              <w:t>69</w:t>
            </w:r>
          </w:p>
        </w:tc>
        <w:tc>
          <w:tcPr>
            <w:tcW w:w="1443" w:type="dxa"/>
            <w:tcBorders>
              <w:top w:val="nil"/>
              <w:bottom w:val="nil"/>
              <w:right w:val="nil"/>
            </w:tcBorders>
          </w:tcPr>
          <w:p>
            <w:pPr>
              <w:pStyle w:val="TableParagraph"/>
              <w:spacing w:line="200" w:lineRule="exact"/>
              <w:ind w:left="487" w:right="-12"/>
              <w:rPr>
                <w:sz w:val="19"/>
              </w:rPr>
            </w:pPr>
            <w:r>
              <w:rPr>
                <w:sz w:val="19"/>
              </w:rPr>
              <w:t>61.493</w:t>
            </w:r>
          </w:p>
        </w:tc>
      </w:tr>
      <w:tr>
        <w:trPr>
          <w:trHeight w:val="237" w:hRule="exact"/>
        </w:trPr>
        <w:tc>
          <w:tcPr>
            <w:tcW w:w="1311" w:type="dxa"/>
            <w:tcBorders>
              <w:top w:val="nil"/>
              <w:left w:val="nil"/>
              <w:bottom w:val="nil"/>
            </w:tcBorders>
          </w:tcPr>
          <w:p>
            <w:pPr>
              <w:pStyle w:val="TableParagraph"/>
              <w:spacing w:line="189" w:lineRule="exact"/>
              <w:ind w:left="489" w:right="499"/>
              <w:jc w:val="center"/>
              <w:rPr>
                <w:rFonts w:ascii="Times New Roman"/>
                <w:sz w:val="18"/>
              </w:rPr>
            </w:pPr>
            <w:r>
              <w:rPr>
                <w:rFonts w:ascii="Times New Roman"/>
                <w:sz w:val="18"/>
              </w:rPr>
              <w:t>30</w:t>
            </w:r>
          </w:p>
        </w:tc>
        <w:tc>
          <w:tcPr>
            <w:tcW w:w="1459" w:type="dxa"/>
            <w:tcBorders>
              <w:top w:val="nil"/>
              <w:bottom w:val="nil"/>
              <w:right w:val="single" w:sz="14" w:space="0" w:color="000000"/>
            </w:tcBorders>
          </w:tcPr>
          <w:p>
            <w:pPr>
              <w:pStyle w:val="TableParagraph"/>
              <w:spacing w:line="174" w:lineRule="exact"/>
              <w:ind w:left="340" w:right="327"/>
              <w:jc w:val="center"/>
              <w:rPr>
                <w:rFonts w:ascii="Times New Roman"/>
                <w:sz w:val="16"/>
              </w:rPr>
            </w:pPr>
            <w:r>
              <w:rPr>
                <w:rFonts w:ascii="Times New Roman"/>
                <w:w w:val="105"/>
                <w:sz w:val="16"/>
              </w:rPr>
              <w:t>23.139</w:t>
            </w:r>
          </w:p>
        </w:tc>
        <w:tc>
          <w:tcPr>
            <w:tcW w:w="1463" w:type="dxa"/>
            <w:tcBorders>
              <w:top w:val="nil"/>
              <w:left w:val="single" w:sz="14" w:space="0" w:color="000000"/>
              <w:bottom w:val="nil"/>
            </w:tcBorders>
          </w:tcPr>
          <w:p>
            <w:pPr>
              <w:pStyle w:val="TableParagraph"/>
              <w:spacing w:line="178" w:lineRule="exact"/>
              <w:ind w:left="563" w:right="561"/>
              <w:jc w:val="center"/>
              <w:rPr>
                <w:rFonts w:ascii="Times New Roman"/>
                <w:sz w:val="16"/>
              </w:rPr>
            </w:pPr>
            <w:r>
              <w:rPr>
                <w:rFonts w:ascii="Times New Roman"/>
                <w:w w:val="105"/>
                <w:sz w:val="16"/>
              </w:rPr>
              <w:t>70</w:t>
            </w:r>
          </w:p>
        </w:tc>
        <w:tc>
          <w:tcPr>
            <w:tcW w:w="1443" w:type="dxa"/>
            <w:tcBorders>
              <w:top w:val="nil"/>
              <w:bottom w:val="nil"/>
              <w:right w:val="nil"/>
            </w:tcBorders>
          </w:tcPr>
          <w:p>
            <w:pPr>
              <w:pStyle w:val="TableParagraph"/>
              <w:spacing w:line="197" w:lineRule="exact"/>
              <w:ind w:left="487" w:right="-12"/>
              <w:rPr>
                <w:sz w:val="19"/>
              </w:rPr>
            </w:pPr>
            <w:r>
              <w:rPr>
                <w:sz w:val="19"/>
              </w:rPr>
              <w:t>62.491</w:t>
            </w:r>
          </w:p>
        </w:tc>
      </w:tr>
      <w:tr>
        <w:trPr>
          <w:trHeight w:val="232" w:hRule="exact"/>
        </w:trPr>
        <w:tc>
          <w:tcPr>
            <w:tcW w:w="1311" w:type="dxa"/>
            <w:tcBorders>
              <w:top w:val="nil"/>
              <w:left w:val="nil"/>
              <w:bottom w:val="nil"/>
            </w:tcBorders>
          </w:tcPr>
          <w:p>
            <w:pPr>
              <w:pStyle w:val="TableParagraph"/>
              <w:spacing w:before="37"/>
              <w:ind w:left="482" w:right="499"/>
              <w:jc w:val="center"/>
              <w:rPr>
                <w:rFonts w:ascii="Times New Roman"/>
                <w:sz w:val="16"/>
              </w:rPr>
            </w:pPr>
            <w:r>
              <w:rPr>
                <w:rFonts w:ascii="Times New Roman"/>
                <w:w w:val="105"/>
                <w:sz w:val="16"/>
              </w:rPr>
              <w:t>31</w:t>
            </w:r>
          </w:p>
        </w:tc>
        <w:tc>
          <w:tcPr>
            <w:tcW w:w="1459" w:type="dxa"/>
            <w:tcBorders>
              <w:top w:val="nil"/>
              <w:bottom w:val="nil"/>
              <w:right w:val="single" w:sz="14" w:space="0" w:color="000000"/>
            </w:tcBorders>
          </w:tcPr>
          <w:p>
            <w:pPr>
              <w:pStyle w:val="TableParagraph"/>
              <w:spacing w:before="29"/>
              <w:ind w:left="357" w:right="327"/>
              <w:jc w:val="center"/>
              <w:rPr>
                <w:b/>
                <w:sz w:val="18"/>
              </w:rPr>
            </w:pPr>
            <w:r>
              <w:rPr>
                <w:b/>
                <w:w w:val="85"/>
                <w:sz w:val="18"/>
              </w:rPr>
              <w:t>24.082</w:t>
            </w:r>
          </w:p>
        </w:tc>
        <w:tc>
          <w:tcPr>
            <w:tcW w:w="1463" w:type="dxa"/>
            <w:tcBorders>
              <w:top w:val="nil"/>
              <w:left w:val="single" w:sz="14" w:space="0" w:color="000000"/>
              <w:bottom w:val="nil"/>
            </w:tcBorders>
          </w:tcPr>
          <w:p>
            <w:pPr>
              <w:pStyle w:val="TableParagraph"/>
              <w:spacing w:before="32"/>
              <w:ind w:left="565" w:right="561"/>
              <w:jc w:val="center"/>
              <w:rPr>
                <w:rFonts w:ascii="Arial"/>
                <w:sz w:val="16"/>
              </w:rPr>
            </w:pPr>
            <w:r>
              <w:rPr>
                <w:rFonts w:ascii="Arial"/>
                <w:sz w:val="16"/>
              </w:rPr>
              <w:t>71</w:t>
            </w:r>
          </w:p>
        </w:tc>
        <w:tc>
          <w:tcPr>
            <w:tcW w:w="1443" w:type="dxa"/>
            <w:tcBorders>
              <w:top w:val="nil"/>
              <w:bottom w:val="nil"/>
              <w:right w:val="nil"/>
            </w:tcBorders>
          </w:tcPr>
          <w:p>
            <w:pPr>
              <w:pStyle w:val="TableParagraph"/>
              <w:spacing w:before="29"/>
              <w:ind w:left="483" w:right="-12"/>
              <w:rPr>
                <w:rFonts w:ascii="Times New Roman"/>
                <w:sz w:val="16"/>
              </w:rPr>
            </w:pPr>
            <w:r>
              <w:rPr>
                <w:rFonts w:ascii="Times New Roman"/>
                <w:w w:val="110"/>
                <w:sz w:val="16"/>
              </w:rPr>
              <w:t>63.490</w:t>
            </w:r>
          </w:p>
        </w:tc>
      </w:tr>
      <w:tr>
        <w:trPr>
          <w:trHeight w:val="204" w:hRule="exact"/>
        </w:trPr>
        <w:tc>
          <w:tcPr>
            <w:tcW w:w="1311" w:type="dxa"/>
            <w:tcBorders>
              <w:top w:val="nil"/>
              <w:left w:val="nil"/>
              <w:bottom w:val="nil"/>
            </w:tcBorders>
          </w:tcPr>
          <w:p>
            <w:pPr>
              <w:pStyle w:val="TableParagraph"/>
              <w:spacing w:line="209" w:lineRule="exact"/>
              <w:ind w:left="511" w:right="499"/>
              <w:jc w:val="center"/>
              <w:rPr>
                <w:sz w:val="19"/>
              </w:rPr>
            </w:pPr>
            <w:r>
              <w:rPr>
                <w:sz w:val="19"/>
              </w:rPr>
              <w:t>32</w:t>
            </w:r>
          </w:p>
        </w:tc>
        <w:tc>
          <w:tcPr>
            <w:tcW w:w="1459" w:type="dxa"/>
            <w:tcBorders>
              <w:top w:val="nil"/>
              <w:bottom w:val="nil"/>
              <w:right w:val="single" w:sz="14" w:space="0" w:color="000000"/>
            </w:tcBorders>
          </w:tcPr>
          <w:p>
            <w:pPr>
              <w:pStyle w:val="TableParagraph"/>
              <w:spacing w:line="205" w:lineRule="exact"/>
              <w:ind w:left="368" w:right="327"/>
              <w:jc w:val="center"/>
              <w:rPr>
                <w:sz w:val="19"/>
              </w:rPr>
            </w:pPr>
            <w:r>
              <w:rPr>
                <w:w w:val="90"/>
                <w:sz w:val="19"/>
              </w:rPr>
              <w:t>25.030</w:t>
            </w:r>
          </w:p>
        </w:tc>
        <w:tc>
          <w:tcPr>
            <w:tcW w:w="1463" w:type="dxa"/>
            <w:tcBorders>
              <w:top w:val="nil"/>
              <w:left w:val="single" w:sz="14" w:space="0" w:color="000000"/>
              <w:bottom w:val="nil"/>
            </w:tcBorders>
          </w:tcPr>
          <w:p>
            <w:pPr>
              <w:pStyle w:val="TableParagraph"/>
              <w:spacing w:line="202" w:lineRule="exact"/>
              <w:ind w:left="586" w:right="558"/>
              <w:jc w:val="center"/>
              <w:rPr>
                <w:sz w:val="19"/>
              </w:rPr>
            </w:pPr>
            <w:r>
              <w:rPr>
                <w:w w:val="105"/>
                <w:sz w:val="19"/>
              </w:rPr>
              <w:t>72</w:t>
            </w:r>
          </w:p>
        </w:tc>
        <w:tc>
          <w:tcPr>
            <w:tcW w:w="1443" w:type="dxa"/>
            <w:tcBorders>
              <w:top w:val="nil"/>
              <w:bottom w:val="nil"/>
              <w:right w:val="nil"/>
            </w:tcBorders>
          </w:tcPr>
          <w:p>
            <w:pPr>
              <w:pStyle w:val="TableParagraph"/>
              <w:spacing w:line="179" w:lineRule="exact"/>
              <w:ind w:left="483" w:right="-12"/>
              <w:rPr>
                <w:rFonts w:ascii="Times New Roman"/>
                <w:b/>
                <w:sz w:val="16"/>
              </w:rPr>
            </w:pPr>
            <w:r>
              <w:rPr>
                <w:rFonts w:ascii="Times New Roman"/>
                <w:b/>
                <w:w w:val="110"/>
                <w:sz w:val="16"/>
              </w:rPr>
              <w:t>64.489</w:t>
            </w:r>
          </w:p>
        </w:tc>
      </w:tr>
      <w:tr>
        <w:trPr>
          <w:trHeight w:val="195" w:hRule="exact"/>
        </w:trPr>
        <w:tc>
          <w:tcPr>
            <w:tcW w:w="1311" w:type="dxa"/>
            <w:tcBorders>
              <w:top w:val="nil"/>
              <w:left w:val="nil"/>
              <w:bottom w:val="nil"/>
            </w:tcBorders>
          </w:tcPr>
          <w:p>
            <w:pPr>
              <w:pStyle w:val="TableParagraph"/>
              <w:spacing w:before="3"/>
              <w:ind w:left="489" w:right="499"/>
              <w:jc w:val="center"/>
              <w:rPr>
                <w:rFonts w:ascii="Times New Roman"/>
                <w:sz w:val="16"/>
              </w:rPr>
            </w:pPr>
            <w:r>
              <w:rPr>
                <w:rFonts w:ascii="Times New Roman"/>
                <w:w w:val="105"/>
                <w:sz w:val="16"/>
              </w:rPr>
              <w:t>33</w:t>
            </w:r>
          </w:p>
        </w:tc>
        <w:tc>
          <w:tcPr>
            <w:tcW w:w="1459" w:type="dxa"/>
            <w:tcBorders>
              <w:top w:val="nil"/>
              <w:bottom w:val="nil"/>
              <w:right w:val="single" w:sz="14" w:space="0" w:color="000000"/>
            </w:tcBorders>
          </w:tcPr>
          <w:p>
            <w:pPr>
              <w:pStyle w:val="TableParagraph"/>
              <w:spacing w:line="199" w:lineRule="exact"/>
              <w:ind w:left="376" w:right="327"/>
              <w:jc w:val="center"/>
              <w:rPr>
                <w:sz w:val="19"/>
              </w:rPr>
            </w:pPr>
            <w:r>
              <w:rPr>
                <w:sz w:val="19"/>
              </w:rPr>
              <w:t>25.982</w:t>
            </w:r>
          </w:p>
        </w:tc>
        <w:tc>
          <w:tcPr>
            <w:tcW w:w="1463" w:type="dxa"/>
            <w:tcBorders>
              <w:top w:val="nil"/>
              <w:left w:val="single" w:sz="14" w:space="0" w:color="000000"/>
              <w:bottom w:val="nil"/>
            </w:tcBorders>
          </w:tcPr>
          <w:p>
            <w:pPr>
              <w:pStyle w:val="TableParagraph"/>
              <w:spacing w:line="199" w:lineRule="exact"/>
              <w:ind w:left="576" w:right="561"/>
              <w:jc w:val="center"/>
              <w:rPr>
                <w:sz w:val="19"/>
              </w:rPr>
            </w:pPr>
            <w:r>
              <w:rPr>
                <w:sz w:val="19"/>
              </w:rPr>
              <w:t>73</w:t>
            </w:r>
          </w:p>
        </w:tc>
        <w:tc>
          <w:tcPr>
            <w:tcW w:w="1443" w:type="dxa"/>
            <w:tcBorders>
              <w:top w:val="nil"/>
              <w:bottom w:val="nil"/>
              <w:right w:val="nil"/>
            </w:tcBorders>
          </w:tcPr>
          <w:p>
            <w:pPr>
              <w:pStyle w:val="TableParagraph"/>
              <w:spacing w:line="176" w:lineRule="exact"/>
              <w:ind w:left="9" w:right="8"/>
              <w:jc w:val="center"/>
              <w:rPr>
                <w:rFonts w:ascii="Times New Roman"/>
                <w:b/>
                <w:sz w:val="16"/>
              </w:rPr>
            </w:pPr>
            <w:r>
              <w:rPr>
                <w:rFonts w:ascii="Times New Roman"/>
                <w:b/>
                <w:w w:val="105"/>
                <w:sz w:val="16"/>
              </w:rPr>
              <w:t>65.487</w:t>
            </w:r>
          </w:p>
        </w:tc>
      </w:tr>
      <w:tr>
        <w:trPr>
          <w:trHeight w:val="201" w:hRule="exact"/>
        </w:trPr>
        <w:tc>
          <w:tcPr>
            <w:tcW w:w="1311" w:type="dxa"/>
            <w:tcBorders>
              <w:top w:val="nil"/>
              <w:left w:val="nil"/>
              <w:bottom w:val="nil"/>
            </w:tcBorders>
          </w:tcPr>
          <w:p>
            <w:pPr>
              <w:pStyle w:val="TableParagraph"/>
              <w:spacing w:line="197" w:lineRule="exact"/>
              <w:ind w:left="480" w:right="499"/>
              <w:jc w:val="center"/>
              <w:rPr>
                <w:rFonts w:ascii="Times New Roman"/>
                <w:sz w:val="18"/>
              </w:rPr>
            </w:pPr>
            <w:r>
              <w:rPr>
                <w:rFonts w:ascii="Times New Roman"/>
                <w:sz w:val="18"/>
              </w:rPr>
              <w:t>34</w:t>
            </w:r>
          </w:p>
        </w:tc>
        <w:tc>
          <w:tcPr>
            <w:tcW w:w="1459" w:type="dxa"/>
            <w:tcBorders>
              <w:top w:val="nil"/>
              <w:bottom w:val="nil"/>
              <w:right w:val="single" w:sz="14" w:space="0" w:color="000000"/>
            </w:tcBorders>
          </w:tcPr>
          <w:p>
            <w:pPr>
              <w:pStyle w:val="TableParagraph"/>
              <w:spacing w:line="204" w:lineRule="exact"/>
              <w:ind w:left="368" w:right="327"/>
              <w:jc w:val="center"/>
              <w:rPr>
                <w:sz w:val="19"/>
              </w:rPr>
            </w:pPr>
            <w:r>
              <w:rPr>
                <w:w w:val="90"/>
                <w:sz w:val="19"/>
              </w:rPr>
              <w:t>26.938</w:t>
            </w:r>
          </w:p>
        </w:tc>
        <w:tc>
          <w:tcPr>
            <w:tcW w:w="1463" w:type="dxa"/>
            <w:tcBorders>
              <w:top w:val="nil"/>
              <w:left w:val="single" w:sz="14" w:space="0" w:color="000000"/>
              <w:bottom w:val="nil"/>
            </w:tcBorders>
          </w:tcPr>
          <w:p>
            <w:pPr>
              <w:pStyle w:val="TableParagraph"/>
              <w:spacing w:line="200" w:lineRule="exact"/>
              <w:ind w:left="586" w:right="561"/>
              <w:jc w:val="center"/>
              <w:rPr>
                <w:sz w:val="19"/>
              </w:rPr>
            </w:pPr>
            <w:r>
              <w:rPr>
                <w:w w:val="110"/>
                <w:sz w:val="19"/>
              </w:rPr>
              <w:t>74</w:t>
            </w:r>
          </w:p>
        </w:tc>
        <w:tc>
          <w:tcPr>
            <w:tcW w:w="1443" w:type="dxa"/>
            <w:tcBorders>
              <w:top w:val="nil"/>
              <w:bottom w:val="nil"/>
              <w:right w:val="nil"/>
            </w:tcBorders>
          </w:tcPr>
          <w:p>
            <w:pPr>
              <w:pStyle w:val="TableParagraph"/>
              <w:spacing w:line="178" w:lineRule="exact"/>
              <w:ind w:left="479" w:right="-12"/>
              <w:rPr>
                <w:rFonts w:ascii="Times New Roman"/>
                <w:b/>
                <w:sz w:val="16"/>
              </w:rPr>
            </w:pPr>
            <w:r>
              <w:rPr>
                <w:rFonts w:ascii="Times New Roman"/>
                <w:b/>
                <w:w w:val="110"/>
                <w:sz w:val="16"/>
              </w:rPr>
              <w:t>66.486</w:t>
            </w:r>
          </w:p>
        </w:tc>
      </w:tr>
      <w:tr>
        <w:trPr>
          <w:trHeight w:val="242" w:hRule="exact"/>
        </w:trPr>
        <w:tc>
          <w:tcPr>
            <w:tcW w:w="1311" w:type="dxa"/>
            <w:tcBorders>
              <w:top w:val="nil"/>
              <w:left w:val="nil"/>
              <w:bottom w:val="nil"/>
            </w:tcBorders>
          </w:tcPr>
          <w:p>
            <w:pPr>
              <w:pStyle w:val="TableParagraph"/>
              <w:spacing w:line="199" w:lineRule="exact"/>
              <w:ind w:left="498" w:right="499"/>
              <w:jc w:val="center"/>
              <w:rPr>
                <w:rFonts w:ascii="Times New Roman"/>
                <w:sz w:val="19"/>
              </w:rPr>
            </w:pPr>
            <w:r>
              <w:rPr>
                <w:rFonts w:ascii="Times New Roman"/>
                <w:w w:val="105"/>
                <w:sz w:val="19"/>
              </w:rPr>
              <w:t>35</w:t>
            </w:r>
          </w:p>
        </w:tc>
        <w:tc>
          <w:tcPr>
            <w:tcW w:w="1459" w:type="dxa"/>
            <w:tcBorders>
              <w:top w:val="nil"/>
              <w:bottom w:val="nil"/>
              <w:right w:val="single" w:sz="14" w:space="0" w:color="000000"/>
            </w:tcBorders>
          </w:tcPr>
          <w:p>
            <w:pPr>
              <w:pStyle w:val="TableParagraph"/>
              <w:spacing w:line="204" w:lineRule="exact"/>
              <w:ind w:left="378" w:right="320"/>
              <w:jc w:val="center"/>
              <w:rPr>
                <w:sz w:val="19"/>
              </w:rPr>
            </w:pPr>
            <w:r>
              <w:rPr>
                <w:w w:val="95"/>
                <w:sz w:val="19"/>
              </w:rPr>
              <w:t>'n.898</w:t>
            </w:r>
          </w:p>
        </w:tc>
        <w:tc>
          <w:tcPr>
            <w:tcW w:w="1463" w:type="dxa"/>
            <w:tcBorders>
              <w:top w:val="nil"/>
              <w:left w:val="single" w:sz="14" w:space="0" w:color="000000"/>
              <w:bottom w:val="nil"/>
            </w:tcBorders>
          </w:tcPr>
          <w:p>
            <w:pPr>
              <w:pStyle w:val="TableParagraph"/>
              <w:spacing w:line="200" w:lineRule="exact"/>
              <w:ind w:left="578" w:right="561"/>
              <w:jc w:val="center"/>
              <w:rPr>
                <w:sz w:val="19"/>
              </w:rPr>
            </w:pPr>
            <w:r>
              <w:rPr>
                <w:w w:val="105"/>
                <w:sz w:val="19"/>
              </w:rPr>
              <w:t>75</w:t>
            </w:r>
          </w:p>
        </w:tc>
        <w:tc>
          <w:tcPr>
            <w:tcW w:w="1443" w:type="dxa"/>
            <w:tcBorders>
              <w:top w:val="nil"/>
              <w:bottom w:val="nil"/>
              <w:right w:val="nil"/>
            </w:tcBorders>
          </w:tcPr>
          <w:p>
            <w:pPr>
              <w:pStyle w:val="TableParagraph"/>
              <w:spacing w:line="200" w:lineRule="exact"/>
              <w:ind w:left="483" w:right="-12"/>
              <w:rPr>
                <w:sz w:val="19"/>
              </w:rPr>
            </w:pPr>
            <w:r>
              <w:rPr>
                <w:w w:val="90"/>
                <w:sz w:val="19"/>
              </w:rPr>
              <w:t>67.485</w:t>
            </w:r>
          </w:p>
        </w:tc>
      </w:tr>
      <w:tr>
        <w:trPr>
          <w:trHeight w:val="242" w:hRule="exact"/>
        </w:trPr>
        <w:tc>
          <w:tcPr>
            <w:tcW w:w="1311" w:type="dxa"/>
            <w:tcBorders>
              <w:top w:val="nil"/>
              <w:left w:val="nil"/>
              <w:bottom w:val="nil"/>
            </w:tcBorders>
          </w:tcPr>
          <w:p>
            <w:pPr>
              <w:pStyle w:val="TableParagraph"/>
              <w:spacing w:before="23"/>
              <w:ind w:left="485" w:right="499"/>
              <w:jc w:val="center"/>
              <w:rPr>
                <w:rFonts w:ascii="Times New Roman"/>
                <w:sz w:val="18"/>
              </w:rPr>
            </w:pPr>
            <w:r>
              <w:rPr>
                <w:rFonts w:ascii="Times New Roman"/>
                <w:sz w:val="18"/>
              </w:rPr>
              <w:t>36</w:t>
            </w:r>
          </w:p>
        </w:tc>
        <w:tc>
          <w:tcPr>
            <w:tcW w:w="1459" w:type="dxa"/>
            <w:tcBorders>
              <w:top w:val="nil"/>
              <w:bottom w:val="nil"/>
              <w:right w:val="single" w:sz="14" w:space="0" w:color="000000"/>
            </w:tcBorders>
          </w:tcPr>
          <w:p>
            <w:pPr>
              <w:pStyle w:val="TableParagraph"/>
              <w:spacing w:before="26"/>
              <w:ind w:left="373" w:right="327"/>
              <w:jc w:val="center"/>
              <w:rPr>
                <w:sz w:val="19"/>
              </w:rPr>
            </w:pPr>
            <w:r>
              <w:rPr>
                <w:sz w:val="19"/>
              </w:rPr>
              <w:t>28.862</w:t>
            </w:r>
          </w:p>
        </w:tc>
        <w:tc>
          <w:tcPr>
            <w:tcW w:w="1463" w:type="dxa"/>
            <w:tcBorders>
              <w:top w:val="nil"/>
              <w:left w:val="single" w:sz="14" w:space="0" w:color="000000"/>
              <w:bottom w:val="nil"/>
            </w:tcBorders>
          </w:tcPr>
          <w:p>
            <w:pPr/>
          </w:p>
        </w:tc>
        <w:tc>
          <w:tcPr>
            <w:tcW w:w="1443" w:type="dxa"/>
            <w:tcBorders>
              <w:top w:val="nil"/>
              <w:bottom w:val="nil"/>
              <w:right w:val="nil"/>
            </w:tcBorders>
          </w:tcPr>
          <w:p>
            <w:pPr/>
          </w:p>
        </w:tc>
      </w:tr>
      <w:tr>
        <w:trPr>
          <w:trHeight w:val="197" w:hRule="exact"/>
        </w:trPr>
        <w:tc>
          <w:tcPr>
            <w:tcW w:w="1311" w:type="dxa"/>
            <w:tcBorders>
              <w:top w:val="nil"/>
              <w:left w:val="nil"/>
              <w:bottom w:val="nil"/>
            </w:tcBorders>
          </w:tcPr>
          <w:p>
            <w:pPr>
              <w:pStyle w:val="TableParagraph"/>
              <w:spacing w:line="204" w:lineRule="exact"/>
              <w:ind w:left="505" w:right="499"/>
              <w:jc w:val="center"/>
              <w:rPr>
                <w:sz w:val="19"/>
              </w:rPr>
            </w:pPr>
            <w:r>
              <w:rPr>
                <w:sz w:val="19"/>
              </w:rPr>
              <w:t>37</w:t>
            </w:r>
          </w:p>
        </w:tc>
        <w:tc>
          <w:tcPr>
            <w:tcW w:w="1459" w:type="dxa"/>
            <w:tcBorders>
              <w:top w:val="nil"/>
              <w:bottom w:val="nil"/>
              <w:right w:val="single" w:sz="14" w:space="0" w:color="000000"/>
            </w:tcBorders>
          </w:tcPr>
          <w:p>
            <w:pPr>
              <w:pStyle w:val="TableParagraph"/>
              <w:spacing w:line="174" w:lineRule="exact"/>
              <w:ind w:left="344" w:right="327"/>
              <w:jc w:val="center"/>
              <w:rPr>
                <w:rFonts w:ascii="Times New Roman"/>
                <w:b/>
                <w:sz w:val="16"/>
              </w:rPr>
            </w:pPr>
            <w:r>
              <w:rPr>
                <w:rFonts w:ascii="Times New Roman"/>
                <w:b/>
                <w:w w:val="105"/>
                <w:sz w:val="16"/>
              </w:rPr>
              <w:t>29.828</w:t>
            </w:r>
          </w:p>
        </w:tc>
        <w:tc>
          <w:tcPr>
            <w:tcW w:w="1463" w:type="dxa"/>
            <w:tcBorders>
              <w:top w:val="nil"/>
              <w:left w:val="single" w:sz="14" w:space="0" w:color="000000"/>
              <w:bottom w:val="nil"/>
            </w:tcBorders>
          </w:tcPr>
          <w:p>
            <w:pPr/>
          </w:p>
        </w:tc>
        <w:tc>
          <w:tcPr>
            <w:tcW w:w="1443" w:type="dxa"/>
            <w:tcBorders>
              <w:top w:val="nil"/>
              <w:bottom w:val="nil"/>
              <w:right w:val="nil"/>
            </w:tcBorders>
          </w:tcPr>
          <w:p>
            <w:pPr/>
          </w:p>
        </w:tc>
      </w:tr>
      <w:tr>
        <w:trPr>
          <w:trHeight w:val="194" w:hRule="exact"/>
        </w:trPr>
        <w:tc>
          <w:tcPr>
            <w:tcW w:w="1311" w:type="dxa"/>
            <w:tcBorders>
              <w:top w:val="nil"/>
              <w:left w:val="nil"/>
              <w:bottom w:val="nil"/>
            </w:tcBorders>
          </w:tcPr>
          <w:p>
            <w:pPr>
              <w:pStyle w:val="TableParagraph"/>
              <w:spacing w:line="181" w:lineRule="exact"/>
              <w:ind w:left="490" w:right="499"/>
              <w:jc w:val="center"/>
              <w:rPr>
                <w:rFonts w:ascii="Times New Roman"/>
                <w:sz w:val="16"/>
              </w:rPr>
            </w:pPr>
            <w:r>
              <w:rPr>
                <w:rFonts w:ascii="Times New Roman"/>
                <w:w w:val="110"/>
                <w:sz w:val="16"/>
              </w:rPr>
              <w:t>38</w:t>
            </w:r>
          </w:p>
        </w:tc>
        <w:tc>
          <w:tcPr>
            <w:tcW w:w="1459" w:type="dxa"/>
            <w:tcBorders>
              <w:top w:val="nil"/>
              <w:bottom w:val="nil"/>
              <w:right w:val="single" w:sz="14" w:space="0" w:color="000000"/>
            </w:tcBorders>
          </w:tcPr>
          <w:p>
            <w:pPr>
              <w:pStyle w:val="TableParagraph"/>
              <w:spacing w:line="197" w:lineRule="exact"/>
              <w:ind w:left="374" w:right="327"/>
              <w:jc w:val="center"/>
              <w:rPr>
                <w:sz w:val="19"/>
              </w:rPr>
            </w:pPr>
            <w:r>
              <w:rPr>
                <w:sz w:val="19"/>
              </w:rPr>
              <w:t>30.797</w:t>
            </w:r>
          </w:p>
        </w:tc>
        <w:tc>
          <w:tcPr>
            <w:tcW w:w="1463" w:type="dxa"/>
            <w:tcBorders>
              <w:top w:val="nil"/>
              <w:left w:val="single" w:sz="14" w:space="0" w:color="000000"/>
              <w:bottom w:val="nil"/>
            </w:tcBorders>
          </w:tcPr>
          <w:p>
            <w:pPr/>
          </w:p>
        </w:tc>
        <w:tc>
          <w:tcPr>
            <w:tcW w:w="1443" w:type="dxa"/>
            <w:tcBorders>
              <w:top w:val="nil"/>
              <w:bottom w:val="nil"/>
              <w:right w:val="nil"/>
            </w:tcBorders>
          </w:tcPr>
          <w:p>
            <w:pPr/>
          </w:p>
        </w:tc>
      </w:tr>
      <w:tr>
        <w:trPr>
          <w:trHeight w:val="197" w:hRule="exact"/>
        </w:trPr>
        <w:tc>
          <w:tcPr>
            <w:tcW w:w="1311" w:type="dxa"/>
            <w:tcBorders>
              <w:top w:val="nil"/>
              <w:left w:val="nil"/>
              <w:bottom w:val="nil"/>
            </w:tcBorders>
          </w:tcPr>
          <w:p>
            <w:pPr>
              <w:pStyle w:val="TableParagraph"/>
              <w:spacing w:before="1"/>
              <w:ind w:left="486" w:right="499"/>
              <w:jc w:val="center"/>
              <w:rPr>
                <w:rFonts w:ascii="Times New Roman"/>
                <w:sz w:val="16"/>
              </w:rPr>
            </w:pPr>
            <w:r>
              <w:rPr>
                <w:rFonts w:ascii="Times New Roman"/>
                <w:w w:val="105"/>
                <w:sz w:val="16"/>
              </w:rPr>
              <w:t>39</w:t>
            </w:r>
          </w:p>
        </w:tc>
        <w:tc>
          <w:tcPr>
            <w:tcW w:w="1459" w:type="dxa"/>
            <w:tcBorders>
              <w:top w:val="nil"/>
              <w:bottom w:val="nil"/>
              <w:right w:val="single" w:sz="14" w:space="0" w:color="000000"/>
            </w:tcBorders>
          </w:tcPr>
          <w:p>
            <w:pPr>
              <w:pStyle w:val="TableParagraph"/>
              <w:spacing w:line="200" w:lineRule="exact"/>
              <w:ind w:left="378" w:right="327"/>
              <w:jc w:val="center"/>
              <w:rPr>
                <w:sz w:val="19"/>
              </w:rPr>
            </w:pPr>
            <w:r>
              <w:rPr>
                <w:sz w:val="19"/>
              </w:rPr>
              <w:t>31.769</w:t>
            </w:r>
          </w:p>
        </w:tc>
        <w:tc>
          <w:tcPr>
            <w:tcW w:w="1463" w:type="dxa"/>
            <w:tcBorders>
              <w:top w:val="nil"/>
              <w:left w:val="single" w:sz="14" w:space="0" w:color="000000"/>
              <w:bottom w:val="nil"/>
            </w:tcBorders>
          </w:tcPr>
          <w:p>
            <w:pPr/>
          </w:p>
        </w:tc>
        <w:tc>
          <w:tcPr>
            <w:tcW w:w="1443" w:type="dxa"/>
            <w:tcBorders>
              <w:top w:val="nil"/>
              <w:bottom w:val="nil"/>
              <w:right w:val="nil"/>
            </w:tcBorders>
          </w:tcPr>
          <w:p>
            <w:pPr/>
          </w:p>
        </w:tc>
      </w:tr>
      <w:tr>
        <w:trPr>
          <w:trHeight w:val="204" w:hRule="exact"/>
        </w:trPr>
        <w:tc>
          <w:tcPr>
            <w:tcW w:w="1311" w:type="dxa"/>
            <w:tcBorders>
              <w:top w:val="nil"/>
              <w:left w:val="nil"/>
              <w:bottom w:val="single" w:sz="7" w:space="0" w:color="000000"/>
            </w:tcBorders>
          </w:tcPr>
          <w:p>
            <w:pPr>
              <w:pStyle w:val="TableParagraph"/>
              <w:spacing w:line="207" w:lineRule="exact"/>
              <w:ind w:left="501" w:right="499"/>
              <w:jc w:val="center"/>
              <w:rPr>
                <w:sz w:val="19"/>
              </w:rPr>
            </w:pPr>
            <w:r>
              <w:rPr>
                <w:sz w:val="19"/>
              </w:rPr>
              <w:t>40</w:t>
            </w:r>
          </w:p>
        </w:tc>
        <w:tc>
          <w:tcPr>
            <w:tcW w:w="1459" w:type="dxa"/>
            <w:tcBorders>
              <w:top w:val="nil"/>
              <w:bottom w:val="single" w:sz="7" w:space="0" w:color="000000"/>
              <w:right w:val="single" w:sz="14" w:space="0" w:color="000000"/>
            </w:tcBorders>
          </w:tcPr>
          <w:p>
            <w:pPr>
              <w:pStyle w:val="TableParagraph"/>
              <w:spacing w:line="200" w:lineRule="exact"/>
              <w:ind w:left="367" w:right="327"/>
              <w:jc w:val="center"/>
              <w:rPr>
                <w:sz w:val="19"/>
              </w:rPr>
            </w:pPr>
            <w:r>
              <w:rPr>
                <w:w w:val="95"/>
                <w:sz w:val="19"/>
              </w:rPr>
              <w:t>32.744</w:t>
            </w:r>
          </w:p>
        </w:tc>
        <w:tc>
          <w:tcPr>
            <w:tcW w:w="1463" w:type="dxa"/>
            <w:tcBorders>
              <w:top w:val="nil"/>
              <w:left w:val="single" w:sz="14" w:space="0" w:color="000000"/>
              <w:bottom w:val="single" w:sz="7" w:space="0" w:color="000000"/>
            </w:tcBorders>
          </w:tcPr>
          <w:p>
            <w:pPr/>
          </w:p>
        </w:tc>
        <w:tc>
          <w:tcPr>
            <w:tcW w:w="1443" w:type="dxa"/>
            <w:tcBorders>
              <w:top w:val="nil"/>
              <w:bottom w:val="single" w:sz="7" w:space="0" w:color="000000"/>
              <w:right w:val="nil"/>
            </w:tcBorders>
          </w:tcPr>
          <w:p>
            <w:pPr/>
          </w:p>
        </w:tc>
      </w:tr>
    </w:tbl>
    <w:p>
      <w:pPr>
        <w:spacing w:line="200" w:lineRule="exact" w:before="3"/>
        <w:ind w:left="113" w:right="99" w:firstLine="206"/>
        <w:jc w:val="left"/>
        <w:rPr>
          <w:sz w:val="18"/>
        </w:rPr>
      </w:pPr>
      <w:r>
        <w:rPr>
          <w:w w:val="120"/>
          <w:position w:val="4"/>
          <w:sz w:val="10"/>
        </w:rPr>
        <w:t>1 </w:t>
      </w:r>
      <w:r>
        <w:rPr>
          <w:w w:val="105"/>
          <w:sz w:val="18"/>
        </w:rPr>
        <w:t>Based on </w:t>
      </w:r>
      <w:r>
        <w:rPr>
          <w:w w:val="105"/>
          <w:sz w:val="17"/>
        </w:rPr>
        <w:t>1011</w:t>
      </w:r>
      <w:r>
        <w:rPr>
          <w:w w:val="105"/>
          <w:position w:val="-1"/>
          <w:sz w:val="10"/>
        </w:rPr>
        <w:t>0 </w:t>
      </w:r>
      <w:r>
        <w:rPr>
          <w:i/>
          <w:w w:val="105"/>
          <w:sz w:val="18"/>
        </w:rPr>
        <w:t>e </w:t>
      </w:r>
      <w:r>
        <w:rPr>
          <w:w w:val="105"/>
          <w:sz w:val="21"/>
        </w:rPr>
        <w:t>= </w:t>
      </w:r>
      <w:r>
        <w:rPr>
          <w:w w:val="105"/>
          <w:sz w:val="18"/>
        </w:rPr>
        <w:t>.04. Produces approximate values for joint two-lif e functions.</w:t>
      </w:r>
    </w:p>
    <w:p>
      <w:pPr>
        <w:spacing w:before="94"/>
        <w:ind w:left="1548" w:right="1549" w:firstLine="0"/>
        <w:jc w:val="center"/>
        <w:rPr>
          <w:b/>
          <w:sz w:val="16"/>
        </w:rPr>
      </w:pPr>
      <w:r>
        <w:rPr>
          <w:b/>
          <w:w w:val="105"/>
          <w:sz w:val="16"/>
        </w:rPr>
        <w:t>345</w:t>
      </w:r>
    </w:p>
    <w:p>
      <w:pPr>
        <w:spacing w:after="0"/>
        <w:jc w:val="center"/>
        <w:rPr>
          <w:sz w:val="16"/>
        </w:rPr>
        <w:sectPr>
          <w:pgSz w:w="7200" w:h="11340"/>
          <w:pgMar w:top="700" w:bottom="280" w:left="700" w:right="580"/>
        </w:sectPr>
      </w:pPr>
    </w:p>
    <w:p>
      <w:pPr>
        <w:tabs>
          <w:tab w:pos="2460" w:val="left" w:leader="none"/>
        </w:tabs>
        <w:spacing w:before="59"/>
        <w:ind w:left="109" w:right="19" w:firstLine="0"/>
        <w:jc w:val="left"/>
        <w:rPr>
          <w:sz w:val="15"/>
        </w:rPr>
      </w:pPr>
      <w:bookmarkStart w:name="B. Life Table for White Males: United St" w:id="26"/>
      <w:bookmarkEnd w:id="26"/>
      <w:r>
        <w:rPr/>
      </w:r>
      <w:r>
        <w:rPr>
          <w:rFonts w:ascii="Arial"/>
          <w:color w:val="010101"/>
          <w:w w:val="110"/>
          <w:sz w:val="18"/>
        </w:rPr>
        <w:t>346</w:t>
        <w:tab/>
      </w:r>
      <w:r>
        <w:rPr>
          <w:b/>
          <w:color w:val="010101"/>
          <w:w w:val="110"/>
          <w:position w:val="1"/>
          <w:sz w:val="15"/>
        </w:rPr>
        <w:t>APPENDIX </w:t>
      </w:r>
      <w:r>
        <w:rPr>
          <w:b/>
          <w:color w:val="010101"/>
          <w:spacing w:val="5"/>
          <w:w w:val="110"/>
          <w:position w:val="1"/>
          <w:sz w:val="15"/>
        </w:rPr>
        <w:t> </w:t>
      </w:r>
      <w:r>
        <w:rPr>
          <w:color w:val="010101"/>
          <w:w w:val="110"/>
          <w:position w:val="1"/>
          <w:sz w:val="15"/>
        </w:rPr>
        <w:t>I</w:t>
      </w:r>
    </w:p>
    <w:p>
      <w:pPr>
        <w:pStyle w:val="BodyText"/>
        <w:spacing w:before="6"/>
        <w:rPr>
          <w:sz w:val="19"/>
        </w:rPr>
      </w:pPr>
    </w:p>
    <w:p>
      <w:pPr>
        <w:spacing w:before="0"/>
        <w:ind w:left="87" w:right="112" w:firstLine="0"/>
        <w:jc w:val="center"/>
        <w:rPr>
          <w:sz w:val="18"/>
        </w:rPr>
      </w:pPr>
      <w:r>
        <w:rPr>
          <w:color w:val="010101"/>
          <w:w w:val="105"/>
          <w:sz w:val="18"/>
        </w:rPr>
        <w:t>TABLE B</w:t>
      </w:r>
    </w:p>
    <w:p>
      <w:pPr>
        <w:spacing w:before="39"/>
        <w:ind w:left="84" w:right="112" w:firstLine="0"/>
        <w:jc w:val="center"/>
        <w:rPr>
          <w:rFonts w:ascii="Arial"/>
          <w:i/>
          <w:sz w:val="15"/>
        </w:rPr>
      </w:pPr>
      <w:r>
        <w:rPr>
          <w:i/>
          <w:color w:val="010101"/>
          <w:sz w:val="17"/>
        </w:rPr>
        <w:t>Lif-e  1'able for   White  Malea:  Uniud  States , </w:t>
      </w:r>
      <w:r>
        <w:rPr>
          <w:rFonts w:ascii="Arial"/>
          <w:i/>
          <w:color w:val="010101"/>
          <w:sz w:val="15"/>
        </w:rPr>
        <w:t>1969-61</w:t>
      </w:r>
    </w:p>
    <w:p>
      <w:pPr>
        <w:pStyle w:val="BodyText"/>
        <w:spacing w:before="4"/>
        <w:rPr>
          <w:rFonts w:ascii="Arial"/>
          <w:i/>
          <w:sz w:val="5"/>
        </w:rPr>
      </w:pPr>
    </w:p>
    <w:tbl>
      <w:tblPr>
        <w:tblW w:w="0" w:type="auto"/>
        <w:jc w:val="left"/>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4"/>
        <w:gridCol w:w="828"/>
        <w:gridCol w:w="825"/>
        <w:gridCol w:w="673"/>
        <w:gridCol w:w="830"/>
        <w:gridCol w:w="986"/>
        <w:gridCol w:w="753"/>
        <w:gridCol w:w="424"/>
      </w:tblGrid>
      <w:tr>
        <w:trPr>
          <w:trHeight w:val="395" w:hRule="exact"/>
        </w:trPr>
        <w:tc>
          <w:tcPr>
            <w:tcW w:w="374" w:type="dxa"/>
            <w:tcBorders>
              <w:left w:val="nil"/>
            </w:tcBorders>
          </w:tcPr>
          <w:p>
            <w:pPr>
              <w:pStyle w:val="TableParagraph"/>
              <w:rPr>
                <w:rFonts w:ascii="Arial"/>
                <w:i/>
                <w:sz w:val="8"/>
              </w:rPr>
            </w:pPr>
          </w:p>
          <w:p>
            <w:pPr>
              <w:pStyle w:val="TableParagraph"/>
              <w:spacing w:before="54"/>
              <w:ind w:right="139"/>
              <w:jc w:val="right"/>
              <w:rPr>
                <w:rFonts w:ascii="Arial"/>
                <w:b/>
                <w:sz w:val="8"/>
              </w:rPr>
            </w:pPr>
            <w:r>
              <w:rPr>
                <w:rFonts w:ascii="Arial"/>
                <w:b/>
                <w:color w:val="010101"/>
                <w:w w:val="95"/>
                <w:sz w:val="8"/>
              </w:rPr>
              <w:t>J:</w:t>
            </w:r>
          </w:p>
        </w:tc>
        <w:tc>
          <w:tcPr>
            <w:tcW w:w="828" w:type="dxa"/>
          </w:tcPr>
          <w:p>
            <w:pPr>
              <w:pStyle w:val="TableParagraph"/>
              <w:spacing w:before="6"/>
              <w:rPr>
                <w:rFonts w:ascii="Arial"/>
                <w:i/>
                <w:sz w:val="10"/>
              </w:rPr>
            </w:pPr>
          </w:p>
          <w:p>
            <w:pPr>
              <w:pStyle w:val="TableParagraph"/>
              <w:ind w:left="48" w:right="17"/>
              <w:jc w:val="center"/>
              <w:rPr>
                <w:rFonts w:ascii="Times New Roman"/>
                <w:b/>
                <w:sz w:val="13"/>
              </w:rPr>
            </w:pPr>
            <w:r>
              <w:rPr>
                <w:rFonts w:ascii="Times New Roman"/>
                <w:b/>
                <w:color w:val="010101"/>
                <w:w w:val="110"/>
                <w:sz w:val="13"/>
              </w:rPr>
              <w:t>fa</w:t>
            </w:r>
          </w:p>
        </w:tc>
        <w:tc>
          <w:tcPr>
            <w:tcW w:w="825" w:type="dxa"/>
            <w:tcBorders>
              <w:right w:val="single" w:sz="7" w:space="0" w:color="000000"/>
            </w:tcBorders>
          </w:tcPr>
          <w:p>
            <w:pPr>
              <w:pStyle w:val="TableParagraph"/>
              <w:spacing w:before="101"/>
              <w:ind w:left="70" w:right="55"/>
              <w:jc w:val="center"/>
              <w:rPr>
                <w:rFonts w:ascii="Arial"/>
                <w:i/>
                <w:sz w:val="15"/>
              </w:rPr>
            </w:pPr>
            <w:r>
              <w:rPr>
                <w:rFonts w:ascii="Arial"/>
                <w:i/>
                <w:color w:val="010101"/>
                <w:w w:val="95"/>
                <w:sz w:val="15"/>
              </w:rPr>
              <w:t>Is</w:t>
            </w:r>
          </w:p>
        </w:tc>
        <w:tc>
          <w:tcPr>
            <w:tcW w:w="673" w:type="dxa"/>
            <w:tcBorders>
              <w:left w:val="single" w:sz="7" w:space="0" w:color="000000"/>
            </w:tcBorders>
          </w:tcPr>
          <w:p>
            <w:pPr>
              <w:pStyle w:val="TableParagraph"/>
              <w:spacing w:before="104"/>
              <w:ind w:left="237" w:right="237"/>
              <w:jc w:val="center"/>
              <w:rPr>
                <w:rFonts w:ascii="Times New Roman"/>
                <w:sz w:val="16"/>
              </w:rPr>
            </w:pPr>
            <w:r>
              <w:rPr>
                <w:rFonts w:ascii="Times New Roman"/>
                <w:color w:val="010101"/>
                <w:sz w:val="16"/>
              </w:rPr>
              <w:t>4s</w:t>
            </w:r>
          </w:p>
        </w:tc>
        <w:tc>
          <w:tcPr>
            <w:tcW w:w="830" w:type="dxa"/>
            <w:tcBorders>
              <w:right w:val="single" w:sz="7" w:space="0" w:color="000000"/>
            </w:tcBorders>
          </w:tcPr>
          <w:p>
            <w:pPr>
              <w:pStyle w:val="TableParagraph"/>
              <w:spacing w:before="91"/>
              <w:ind w:left="29" w:right="17"/>
              <w:jc w:val="center"/>
              <w:rPr>
                <w:rFonts w:ascii="Times New Roman"/>
                <w:i/>
                <w:sz w:val="17"/>
              </w:rPr>
            </w:pPr>
            <w:r>
              <w:rPr>
                <w:rFonts w:ascii="Times New Roman"/>
                <w:i/>
                <w:color w:val="010101"/>
                <w:w w:val="115"/>
                <w:sz w:val="17"/>
              </w:rPr>
              <w:t>L.</w:t>
            </w:r>
          </w:p>
        </w:tc>
        <w:tc>
          <w:tcPr>
            <w:tcW w:w="986" w:type="dxa"/>
            <w:tcBorders>
              <w:left w:val="single" w:sz="7" w:space="0" w:color="000000"/>
            </w:tcBorders>
          </w:tcPr>
          <w:p>
            <w:pPr>
              <w:pStyle w:val="TableParagraph"/>
              <w:spacing w:before="2"/>
              <w:rPr>
                <w:rFonts w:ascii="Arial"/>
                <w:i/>
                <w:sz w:val="10"/>
              </w:rPr>
            </w:pPr>
          </w:p>
          <w:p>
            <w:pPr>
              <w:pStyle w:val="TableParagraph"/>
              <w:ind w:left="397" w:right="380"/>
              <w:jc w:val="center"/>
              <w:rPr>
                <w:rFonts w:ascii="Times New Roman"/>
                <w:b/>
                <w:i/>
                <w:sz w:val="13"/>
              </w:rPr>
            </w:pPr>
            <w:r>
              <w:rPr>
                <w:rFonts w:ascii="Times New Roman"/>
                <w:b/>
                <w:i/>
                <w:color w:val="010101"/>
                <w:w w:val="105"/>
                <w:sz w:val="13"/>
              </w:rPr>
              <w:t>Ta</w:t>
            </w:r>
          </w:p>
        </w:tc>
        <w:tc>
          <w:tcPr>
            <w:tcW w:w="753" w:type="dxa"/>
            <w:tcBorders>
              <w:right w:val="single" w:sz="7" w:space="0" w:color="000000"/>
            </w:tcBorders>
          </w:tcPr>
          <w:p>
            <w:pPr>
              <w:pStyle w:val="TableParagraph"/>
              <w:spacing w:before="96"/>
              <w:ind w:left="185" w:right="-1"/>
              <w:rPr>
                <w:rFonts w:ascii="Arial"/>
                <w:sz w:val="16"/>
              </w:rPr>
            </w:pPr>
            <w:r>
              <w:rPr>
                <w:rFonts w:ascii="Arial"/>
                <w:color w:val="010101"/>
                <w:spacing w:val="-215"/>
                <w:w w:val="313"/>
                <w:sz w:val="16"/>
              </w:rPr>
              <w:t>;</w:t>
            </w:r>
            <w:r>
              <w:rPr>
                <w:rFonts w:ascii="Arial"/>
                <w:color w:val="010101"/>
                <w:w w:val="376"/>
                <w:sz w:val="16"/>
              </w:rPr>
              <w:t>.</w:t>
            </w:r>
          </w:p>
        </w:tc>
        <w:tc>
          <w:tcPr>
            <w:tcW w:w="424" w:type="dxa"/>
            <w:tcBorders>
              <w:left w:val="single" w:sz="7" w:space="0" w:color="000000"/>
              <w:right w:val="nil"/>
            </w:tcBorders>
          </w:tcPr>
          <w:p>
            <w:pPr>
              <w:pStyle w:val="TableParagraph"/>
              <w:rPr>
                <w:rFonts w:ascii="Arial"/>
                <w:i/>
                <w:sz w:val="8"/>
              </w:rPr>
            </w:pPr>
          </w:p>
          <w:p>
            <w:pPr>
              <w:pStyle w:val="TableParagraph"/>
              <w:spacing w:before="51"/>
              <w:ind w:left="189" w:right="-7"/>
              <w:rPr>
                <w:rFonts w:ascii="Arial"/>
                <w:b/>
                <w:sz w:val="9"/>
              </w:rPr>
            </w:pPr>
            <w:r>
              <w:rPr>
                <w:rFonts w:ascii="Arial"/>
                <w:b/>
                <w:color w:val="010101"/>
                <w:w w:val="95"/>
                <w:sz w:val="9"/>
              </w:rPr>
              <w:t>J:</w:t>
            </w:r>
          </w:p>
        </w:tc>
      </w:tr>
      <w:tr>
        <w:trPr>
          <w:trHeight w:val="311" w:hRule="exact"/>
        </w:trPr>
        <w:tc>
          <w:tcPr>
            <w:tcW w:w="374" w:type="dxa"/>
            <w:tcBorders>
              <w:left w:val="nil"/>
              <w:bottom w:val="nil"/>
            </w:tcBorders>
          </w:tcPr>
          <w:p>
            <w:pPr>
              <w:pStyle w:val="TableParagraph"/>
              <w:spacing w:before="36"/>
              <w:ind w:right="65"/>
              <w:jc w:val="right"/>
              <w:rPr>
                <w:rFonts w:ascii="Arial"/>
                <w:sz w:val="22"/>
              </w:rPr>
            </w:pPr>
            <w:r>
              <w:rPr>
                <w:rFonts w:ascii="Arial"/>
                <w:color w:val="010101"/>
                <w:w w:val="77"/>
                <w:sz w:val="22"/>
              </w:rPr>
              <w:t>o</w:t>
            </w:r>
          </w:p>
        </w:tc>
        <w:tc>
          <w:tcPr>
            <w:tcW w:w="828" w:type="dxa"/>
            <w:tcBorders>
              <w:bottom w:val="nil"/>
            </w:tcBorders>
          </w:tcPr>
          <w:p>
            <w:pPr>
              <w:pStyle w:val="TableParagraph"/>
              <w:spacing w:before="92"/>
              <w:ind w:left="75" w:right="17"/>
              <w:jc w:val="center"/>
              <w:rPr>
                <w:sz w:val="18"/>
              </w:rPr>
            </w:pPr>
            <w:r>
              <w:rPr>
                <w:color w:val="010101"/>
                <w:w w:val="105"/>
                <w:sz w:val="18"/>
              </w:rPr>
              <w:t>.02592</w:t>
            </w:r>
          </w:p>
        </w:tc>
        <w:tc>
          <w:tcPr>
            <w:tcW w:w="825" w:type="dxa"/>
            <w:tcBorders>
              <w:bottom w:val="nil"/>
              <w:right w:val="single" w:sz="7" w:space="0" w:color="000000"/>
            </w:tcBorders>
          </w:tcPr>
          <w:p>
            <w:pPr>
              <w:pStyle w:val="TableParagraph"/>
              <w:spacing w:before="96"/>
              <w:ind w:right="57"/>
              <w:jc w:val="center"/>
              <w:rPr>
                <w:rFonts w:ascii="Times New Roman"/>
                <w:b/>
                <w:sz w:val="16"/>
              </w:rPr>
            </w:pPr>
            <w:r>
              <w:rPr>
                <w:rFonts w:ascii="Times New Roman"/>
                <w:b/>
                <w:color w:val="010101"/>
                <w:w w:val="105"/>
                <w:sz w:val="16"/>
              </w:rPr>
              <w:t>100,000</w:t>
            </w:r>
          </w:p>
        </w:tc>
        <w:tc>
          <w:tcPr>
            <w:tcW w:w="673" w:type="dxa"/>
            <w:tcBorders>
              <w:left w:val="single" w:sz="7" w:space="0" w:color="000000"/>
              <w:bottom w:val="nil"/>
            </w:tcBorders>
          </w:tcPr>
          <w:p>
            <w:pPr>
              <w:pStyle w:val="TableParagraph"/>
              <w:spacing w:before="99"/>
              <w:ind w:right="78"/>
              <w:jc w:val="right"/>
              <w:rPr>
                <w:sz w:val="18"/>
              </w:rPr>
            </w:pPr>
            <w:r>
              <w:rPr>
                <w:color w:val="010101"/>
                <w:w w:val="95"/>
                <w:sz w:val="18"/>
              </w:rPr>
              <w:t>2,592</w:t>
            </w:r>
          </w:p>
        </w:tc>
        <w:tc>
          <w:tcPr>
            <w:tcW w:w="830" w:type="dxa"/>
            <w:tcBorders>
              <w:bottom w:val="nil"/>
              <w:right w:val="single" w:sz="7" w:space="0" w:color="000000"/>
            </w:tcBorders>
          </w:tcPr>
          <w:p>
            <w:pPr>
              <w:pStyle w:val="TableParagraph"/>
              <w:spacing w:before="103"/>
              <w:ind w:left="51" w:right="17"/>
              <w:jc w:val="center"/>
              <w:rPr>
                <w:sz w:val="18"/>
              </w:rPr>
            </w:pPr>
            <w:r>
              <w:rPr>
                <w:color w:val="010101"/>
                <w:sz w:val="18"/>
              </w:rPr>
              <w:t>97,764</w:t>
            </w:r>
          </w:p>
        </w:tc>
        <w:tc>
          <w:tcPr>
            <w:tcW w:w="986" w:type="dxa"/>
            <w:tcBorders>
              <w:left w:val="single" w:sz="7" w:space="0" w:color="000000"/>
              <w:bottom w:val="nil"/>
            </w:tcBorders>
          </w:tcPr>
          <w:p>
            <w:pPr>
              <w:pStyle w:val="TableParagraph"/>
              <w:spacing w:before="99"/>
              <w:ind w:left="132" w:right="-5"/>
              <w:rPr>
                <w:sz w:val="18"/>
              </w:rPr>
            </w:pPr>
            <w:r>
              <w:rPr>
                <w:color w:val="010101"/>
                <w:spacing w:val="-13"/>
                <w:w w:val="90"/>
                <w:sz w:val="18"/>
              </w:rPr>
              <w:t>6,754,846</w:t>
            </w:r>
          </w:p>
        </w:tc>
        <w:tc>
          <w:tcPr>
            <w:tcW w:w="753" w:type="dxa"/>
            <w:tcBorders>
              <w:bottom w:val="nil"/>
              <w:right w:val="single" w:sz="7" w:space="0" w:color="000000"/>
            </w:tcBorders>
          </w:tcPr>
          <w:p>
            <w:pPr>
              <w:pStyle w:val="TableParagraph"/>
              <w:spacing w:before="96"/>
              <w:ind w:left="175" w:right="-1"/>
              <w:rPr>
                <w:sz w:val="18"/>
              </w:rPr>
            </w:pPr>
            <w:r>
              <w:rPr>
                <w:color w:val="010101"/>
                <w:sz w:val="18"/>
              </w:rPr>
              <w:t>67.55</w:t>
            </w:r>
          </w:p>
        </w:tc>
        <w:tc>
          <w:tcPr>
            <w:tcW w:w="424" w:type="dxa"/>
            <w:tcBorders>
              <w:left w:val="single" w:sz="7" w:space="0" w:color="000000"/>
              <w:bottom w:val="nil"/>
              <w:right w:val="nil"/>
            </w:tcBorders>
          </w:tcPr>
          <w:p>
            <w:pPr>
              <w:pStyle w:val="TableParagraph"/>
              <w:spacing w:before="49"/>
              <w:ind w:left="250"/>
              <w:rPr>
                <w:rFonts w:ascii="Arial"/>
                <w:sz w:val="21"/>
              </w:rPr>
            </w:pPr>
            <w:r>
              <w:rPr>
                <w:rFonts w:ascii="Arial"/>
                <w:color w:val="010101"/>
                <w:w w:val="78"/>
                <w:sz w:val="21"/>
              </w:rPr>
              <w:t>o</w:t>
            </w:r>
          </w:p>
        </w:tc>
      </w:tr>
      <w:tr>
        <w:trPr>
          <w:trHeight w:val="198" w:hRule="exact"/>
        </w:trPr>
        <w:tc>
          <w:tcPr>
            <w:tcW w:w="374" w:type="dxa"/>
            <w:tcBorders>
              <w:top w:val="nil"/>
              <w:left w:val="nil"/>
              <w:bottom w:val="nil"/>
            </w:tcBorders>
          </w:tcPr>
          <w:p>
            <w:pPr>
              <w:pStyle w:val="TableParagraph"/>
              <w:spacing w:line="190" w:lineRule="exact"/>
              <w:ind w:right="65"/>
              <w:jc w:val="right"/>
              <w:rPr>
                <w:sz w:val="18"/>
              </w:rPr>
            </w:pPr>
            <w:r>
              <w:rPr>
                <w:color w:val="010101"/>
                <w:w w:val="71"/>
                <w:sz w:val="18"/>
              </w:rPr>
              <w:t>1</w:t>
            </w:r>
          </w:p>
        </w:tc>
        <w:tc>
          <w:tcPr>
            <w:tcW w:w="828" w:type="dxa"/>
            <w:tcBorders>
              <w:top w:val="nil"/>
              <w:bottom w:val="nil"/>
            </w:tcBorders>
          </w:tcPr>
          <w:p>
            <w:pPr>
              <w:pStyle w:val="TableParagraph"/>
              <w:spacing w:line="190" w:lineRule="exact"/>
              <w:ind w:left="67" w:right="17"/>
              <w:jc w:val="center"/>
              <w:rPr>
                <w:sz w:val="18"/>
              </w:rPr>
            </w:pPr>
            <w:r>
              <w:rPr>
                <w:color w:val="1A1A1A"/>
                <w:w w:val="95"/>
                <w:sz w:val="18"/>
              </w:rPr>
              <w:t>.</w:t>
            </w:r>
            <w:r>
              <w:rPr>
                <w:color w:val="010101"/>
                <w:w w:val="95"/>
                <w:sz w:val="18"/>
              </w:rPr>
              <w:t>00153</w:t>
            </w:r>
          </w:p>
        </w:tc>
        <w:tc>
          <w:tcPr>
            <w:tcW w:w="825" w:type="dxa"/>
            <w:tcBorders>
              <w:top w:val="nil"/>
              <w:bottom w:val="nil"/>
              <w:right w:val="single" w:sz="7" w:space="0" w:color="000000"/>
            </w:tcBorders>
          </w:tcPr>
          <w:p>
            <w:pPr>
              <w:pStyle w:val="TableParagraph"/>
              <w:spacing w:line="197" w:lineRule="exact"/>
              <w:ind w:left="70" w:right="21"/>
              <w:jc w:val="center"/>
              <w:rPr>
                <w:sz w:val="18"/>
              </w:rPr>
            </w:pPr>
            <w:r>
              <w:rPr>
                <w:color w:val="010101"/>
                <w:sz w:val="18"/>
              </w:rPr>
              <w:t>97,408</w:t>
            </w:r>
          </w:p>
        </w:tc>
        <w:tc>
          <w:tcPr>
            <w:tcW w:w="673" w:type="dxa"/>
            <w:tcBorders>
              <w:top w:val="nil"/>
              <w:left w:val="single" w:sz="7" w:space="0" w:color="000000"/>
              <w:bottom w:val="nil"/>
            </w:tcBorders>
          </w:tcPr>
          <w:p>
            <w:pPr>
              <w:pStyle w:val="TableParagraph"/>
              <w:spacing w:line="197" w:lineRule="exact"/>
              <w:ind w:right="77"/>
              <w:jc w:val="right"/>
              <w:rPr>
                <w:sz w:val="18"/>
              </w:rPr>
            </w:pPr>
            <w:r>
              <w:rPr>
                <w:color w:val="010101"/>
                <w:w w:val="90"/>
                <w:sz w:val="18"/>
              </w:rPr>
              <w:t>149</w:t>
            </w:r>
          </w:p>
        </w:tc>
        <w:tc>
          <w:tcPr>
            <w:tcW w:w="830" w:type="dxa"/>
            <w:tcBorders>
              <w:top w:val="nil"/>
              <w:bottom w:val="nil"/>
              <w:right w:val="single" w:sz="7" w:space="0" w:color="000000"/>
            </w:tcBorders>
          </w:tcPr>
          <w:p>
            <w:pPr>
              <w:pStyle w:val="TableParagraph"/>
              <w:spacing w:line="201" w:lineRule="exact"/>
              <w:ind w:left="42" w:right="17"/>
              <w:jc w:val="center"/>
              <w:rPr>
                <w:sz w:val="18"/>
              </w:rPr>
            </w:pPr>
            <w:r>
              <w:rPr>
                <w:color w:val="010101"/>
                <w:sz w:val="18"/>
              </w:rPr>
              <w:t>97,334</w:t>
            </w:r>
          </w:p>
        </w:tc>
        <w:tc>
          <w:tcPr>
            <w:tcW w:w="986" w:type="dxa"/>
            <w:tcBorders>
              <w:top w:val="nil"/>
              <w:left w:val="single" w:sz="7" w:space="0" w:color="000000"/>
              <w:bottom w:val="nil"/>
            </w:tcBorders>
          </w:tcPr>
          <w:p>
            <w:pPr>
              <w:pStyle w:val="TableParagraph"/>
              <w:spacing w:line="197" w:lineRule="exact"/>
              <w:ind w:left="132" w:right="-5"/>
              <w:rPr>
                <w:sz w:val="18"/>
              </w:rPr>
            </w:pPr>
            <w:r>
              <w:rPr>
                <w:color w:val="010101"/>
                <w:spacing w:val="-19"/>
                <w:sz w:val="18"/>
              </w:rPr>
              <w:t>6,657,082</w:t>
            </w:r>
          </w:p>
        </w:tc>
        <w:tc>
          <w:tcPr>
            <w:tcW w:w="753" w:type="dxa"/>
            <w:tcBorders>
              <w:top w:val="nil"/>
              <w:bottom w:val="nil"/>
              <w:right w:val="single" w:sz="7" w:space="0" w:color="000000"/>
            </w:tcBorders>
          </w:tcPr>
          <w:p>
            <w:pPr>
              <w:pStyle w:val="TableParagraph"/>
              <w:spacing w:line="176" w:lineRule="exact"/>
              <w:ind w:left="171" w:right="-1"/>
              <w:rPr>
                <w:rFonts w:ascii="Times New Roman"/>
                <w:sz w:val="17"/>
              </w:rPr>
            </w:pPr>
            <w:r>
              <w:rPr>
                <w:rFonts w:ascii="Times New Roman"/>
                <w:color w:val="010101"/>
                <w:w w:val="105"/>
                <w:sz w:val="17"/>
              </w:rPr>
              <w:t>68.34</w:t>
            </w:r>
          </w:p>
        </w:tc>
        <w:tc>
          <w:tcPr>
            <w:tcW w:w="424" w:type="dxa"/>
            <w:tcBorders>
              <w:top w:val="nil"/>
              <w:left w:val="single" w:sz="7" w:space="0" w:color="000000"/>
              <w:bottom w:val="nil"/>
              <w:right w:val="nil"/>
            </w:tcBorders>
          </w:tcPr>
          <w:p>
            <w:pPr>
              <w:pStyle w:val="TableParagraph"/>
              <w:spacing w:line="194" w:lineRule="exact"/>
              <w:ind w:left="264"/>
              <w:rPr>
                <w:sz w:val="18"/>
              </w:rPr>
            </w:pPr>
            <w:r>
              <w:rPr>
                <w:color w:val="010101"/>
                <w:w w:val="76"/>
                <w:sz w:val="18"/>
              </w:rPr>
              <w:t>1</w:t>
            </w:r>
          </w:p>
        </w:tc>
      </w:tr>
      <w:tr>
        <w:trPr>
          <w:trHeight w:val="199" w:hRule="exact"/>
        </w:trPr>
        <w:tc>
          <w:tcPr>
            <w:tcW w:w="374" w:type="dxa"/>
            <w:tcBorders>
              <w:top w:val="nil"/>
              <w:left w:val="nil"/>
              <w:bottom w:val="nil"/>
            </w:tcBorders>
          </w:tcPr>
          <w:p>
            <w:pPr>
              <w:pStyle w:val="TableParagraph"/>
              <w:spacing w:line="190" w:lineRule="exact"/>
              <w:ind w:right="32"/>
              <w:jc w:val="right"/>
              <w:rPr>
                <w:sz w:val="18"/>
              </w:rPr>
            </w:pPr>
            <w:r>
              <w:rPr>
                <w:color w:val="010101"/>
                <w:w w:val="108"/>
                <w:sz w:val="18"/>
              </w:rPr>
              <w:t>2</w:t>
            </w:r>
          </w:p>
        </w:tc>
        <w:tc>
          <w:tcPr>
            <w:tcW w:w="828" w:type="dxa"/>
            <w:tcBorders>
              <w:top w:val="nil"/>
              <w:bottom w:val="nil"/>
            </w:tcBorders>
          </w:tcPr>
          <w:p>
            <w:pPr>
              <w:pStyle w:val="TableParagraph"/>
              <w:spacing w:line="193" w:lineRule="exact"/>
              <w:ind w:left="60" w:right="17"/>
              <w:jc w:val="center"/>
              <w:rPr>
                <w:sz w:val="18"/>
              </w:rPr>
            </w:pPr>
            <w:r>
              <w:rPr>
                <w:color w:val="010101"/>
                <w:sz w:val="18"/>
              </w:rPr>
              <w:t>.00101</w:t>
            </w:r>
          </w:p>
        </w:tc>
        <w:tc>
          <w:tcPr>
            <w:tcW w:w="825" w:type="dxa"/>
            <w:tcBorders>
              <w:top w:val="nil"/>
              <w:bottom w:val="nil"/>
              <w:right w:val="single" w:sz="7" w:space="0" w:color="000000"/>
            </w:tcBorders>
          </w:tcPr>
          <w:p>
            <w:pPr>
              <w:pStyle w:val="TableParagraph"/>
              <w:spacing w:line="200" w:lineRule="exact"/>
              <w:ind w:left="70" w:right="27"/>
              <w:jc w:val="center"/>
              <w:rPr>
                <w:sz w:val="18"/>
              </w:rPr>
            </w:pPr>
            <w:r>
              <w:rPr>
                <w:color w:val="010101"/>
                <w:sz w:val="18"/>
              </w:rPr>
              <w:t>97,259</w:t>
            </w:r>
          </w:p>
        </w:tc>
        <w:tc>
          <w:tcPr>
            <w:tcW w:w="673" w:type="dxa"/>
            <w:tcBorders>
              <w:top w:val="nil"/>
              <w:left w:val="single" w:sz="7" w:space="0" w:color="000000"/>
              <w:bottom w:val="nil"/>
            </w:tcBorders>
          </w:tcPr>
          <w:p>
            <w:pPr>
              <w:pStyle w:val="TableParagraph"/>
              <w:spacing w:line="181" w:lineRule="exact"/>
              <w:ind w:right="110"/>
              <w:jc w:val="right"/>
              <w:rPr>
                <w:rFonts w:ascii="Times New Roman"/>
                <w:sz w:val="16"/>
              </w:rPr>
            </w:pPr>
            <w:r>
              <w:rPr>
                <w:rFonts w:ascii="Times New Roman"/>
                <w:color w:val="010101"/>
                <w:w w:val="105"/>
                <w:sz w:val="16"/>
              </w:rPr>
              <w:t>99</w:t>
            </w:r>
          </w:p>
        </w:tc>
        <w:tc>
          <w:tcPr>
            <w:tcW w:w="830" w:type="dxa"/>
            <w:tcBorders>
              <w:top w:val="nil"/>
              <w:bottom w:val="nil"/>
              <w:right w:val="single" w:sz="7" w:space="0" w:color="000000"/>
            </w:tcBorders>
          </w:tcPr>
          <w:p>
            <w:pPr>
              <w:pStyle w:val="TableParagraph"/>
              <w:spacing w:line="197" w:lineRule="exact"/>
              <w:ind w:left="54" w:right="17"/>
              <w:jc w:val="center"/>
              <w:rPr>
                <w:sz w:val="18"/>
              </w:rPr>
            </w:pPr>
            <w:r>
              <w:rPr>
                <w:color w:val="010101"/>
                <w:sz w:val="18"/>
              </w:rPr>
              <w:t>97,210</w:t>
            </w:r>
          </w:p>
        </w:tc>
        <w:tc>
          <w:tcPr>
            <w:tcW w:w="986" w:type="dxa"/>
            <w:tcBorders>
              <w:top w:val="nil"/>
              <w:left w:val="single" w:sz="7" w:space="0" w:color="000000"/>
              <w:bottom w:val="nil"/>
            </w:tcBorders>
          </w:tcPr>
          <w:p>
            <w:pPr>
              <w:pStyle w:val="TableParagraph"/>
              <w:spacing w:line="197" w:lineRule="exact"/>
              <w:ind w:left="128" w:right="-5"/>
              <w:rPr>
                <w:sz w:val="18"/>
              </w:rPr>
            </w:pPr>
            <w:r>
              <w:rPr>
                <w:color w:val="010101"/>
                <w:spacing w:val="-25"/>
                <w:sz w:val="18"/>
              </w:rPr>
              <w:t>6,559,748</w:t>
            </w:r>
          </w:p>
        </w:tc>
        <w:tc>
          <w:tcPr>
            <w:tcW w:w="753" w:type="dxa"/>
            <w:tcBorders>
              <w:top w:val="nil"/>
              <w:bottom w:val="nil"/>
              <w:right w:val="single" w:sz="7" w:space="0" w:color="000000"/>
            </w:tcBorders>
          </w:tcPr>
          <w:p>
            <w:pPr>
              <w:pStyle w:val="TableParagraph"/>
              <w:spacing w:line="197" w:lineRule="exact"/>
              <w:ind w:left="178" w:right="-1"/>
              <w:rPr>
                <w:sz w:val="18"/>
              </w:rPr>
            </w:pPr>
            <w:r>
              <w:rPr>
                <w:color w:val="010101"/>
                <w:spacing w:val="-30"/>
                <w:w w:val="110"/>
                <w:sz w:val="18"/>
              </w:rPr>
              <w:t>67.45</w:t>
            </w:r>
          </w:p>
        </w:tc>
        <w:tc>
          <w:tcPr>
            <w:tcW w:w="424" w:type="dxa"/>
            <w:tcBorders>
              <w:top w:val="nil"/>
              <w:left w:val="single" w:sz="7" w:space="0" w:color="000000"/>
              <w:bottom w:val="nil"/>
              <w:right w:val="nil"/>
            </w:tcBorders>
          </w:tcPr>
          <w:p>
            <w:pPr>
              <w:pStyle w:val="TableParagraph"/>
              <w:spacing w:line="193" w:lineRule="exact"/>
              <w:ind w:left="254"/>
              <w:rPr>
                <w:sz w:val="18"/>
              </w:rPr>
            </w:pPr>
            <w:r>
              <w:rPr>
                <w:color w:val="010101"/>
                <w:w w:val="108"/>
                <w:sz w:val="18"/>
              </w:rPr>
              <w:t>2</w:t>
            </w:r>
          </w:p>
        </w:tc>
      </w:tr>
      <w:tr>
        <w:trPr>
          <w:trHeight w:val="199" w:hRule="exact"/>
        </w:trPr>
        <w:tc>
          <w:tcPr>
            <w:tcW w:w="374" w:type="dxa"/>
            <w:tcBorders>
              <w:top w:val="nil"/>
              <w:left w:val="nil"/>
              <w:bottom w:val="nil"/>
            </w:tcBorders>
          </w:tcPr>
          <w:p>
            <w:pPr>
              <w:pStyle w:val="TableParagraph"/>
              <w:spacing w:line="195" w:lineRule="exact"/>
              <w:ind w:right="44"/>
              <w:jc w:val="right"/>
              <w:rPr>
                <w:sz w:val="18"/>
              </w:rPr>
            </w:pPr>
            <w:r>
              <w:rPr>
                <w:color w:val="010101"/>
                <w:w w:val="100"/>
                <w:sz w:val="18"/>
              </w:rPr>
              <w:t>3</w:t>
            </w:r>
          </w:p>
        </w:tc>
        <w:tc>
          <w:tcPr>
            <w:tcW w:w="828" w:type="dxa"/>
            <w:tcBorders>
              <w:top w:val="nil"/>
              <w:bottom w:val="nil"/>
            </w:tcBorders>
          </w:tcPr>
          <w:p>
            <w:pPr>
              <w:pStyle w:val="TableParagraph"/>
              <w:spacing w:line="191" w:lineRule="exact"/>
              <w:ind w:left="59" w:right="17"/>
              <w:jc w:val="center"/>
              <w:rPr>
                <w:sz w:val="18"/>
              </w:rPr>
            </w:pPr>
            <w:r>
              <w:rPr>
                <w:color w:val="1A1A1A"/>
                <w:sz w:val="18"/>
              </w:rPr>
              <w:t>.</w:t>
            </w:r>
            <w:r>
              <w:rPr>
                <w:color w:val="010101"/>
                <w:sz w:val="18"/>
              </w:rPr>
              <w:t>00081</w:t>
            </w:r>
          </w:p>
        </w:tc>
        <w:tc>
          <w:tcPr>
            <w:tcW w:w="825" w:type="dxa"/>
            <w:tcBorders>
              <w:top w:val="nil"/>
              <w:bottom w:val="nil"/>
              <w:right w:val="single" w:sz="7" w:space="0" w:color="000000"/>
            </w:tcBorders>
          </w:tcPr>
          <w:p>
            <w:pPr>
              <w:pStyle w:val="TableParagraph"/>
              <w:spacing w:line="199" w:lineRule="exact"/>
              <w:ind w:left="70" w:right="30"/>
              <w:jc w:val="center"/>
              <w:rPr>
                <w:sz w:val="18"/>
              </w:rPr>
            </w:pPr>
            <w:r>
              <w:rPr>
                <w:color w:val="010101"/>
                <w:sz w:val="18"/>
              </w:rPr>
              <w:t>97,160</w:t>
            </w:r>
          </w:p>
        </w:tc>
        <w:tc>
          <w:tcPr>
            <w:tcW w:w="673" w:type="dxa"/>
            <w:tcBorders>
              <w:top w:val="nil"/>
              <w:left w:val="single" w:sz="7" w:space="0" w:color="000000"/>
              <w:bottom w:val="nil"/>
            </w:tcBorders>
          </w:tcPr>
          <w:p>
            <w:pPr>
              <w:pStyle w:val="TableParagraph"/>
              <w:spacing w:line="195" w:lineRule="exact"/>
              <w:ind w:right="78"/>
              <w:jc w:val="right"/>
              <w:rPr>
                <w:sz w:val="18"/>
              </w:rPr>
            </w:pPr>
            <w:r>
              <w:rPr>
                <w:color w:val="010101"/>
                <w:w w:val="105"/>
                <w:sz w:val="18"/>
              </w:rPr>
              <w:t>78</w:t>
            </w:r>
          </w:p>
        </w:tc>
        <w:tc>
          <w:tcPr>
            <w:tcW w:w="830" w:type="dxa"/>
            <w:tcBorders>
              <w:top w:val="nil"/>
              <w:bottom w:val="nil"/>
              <w:right w:val="single" w:sz="7" w:space="0" w:color="000000"/>
            </w:tcBorders>
          </w:tcPr>
          <w:p>
            <w:pPr>
              <w:pStyle w:val="TableParagraph"/>
              <w:spacing w:line="199" w:lineRule="exact"/>
              <w:ind w:left="41" w:right="17"/>
              <w:jc w:val="center"/>
              <w:rPr>
                <w:sz w:val="18"/>
              </w:rPr>
            </w:pPr>
            <w:r>
              <w:rPr>
                <w:color w:val="010101"/>
                <w:sz w:val="18"/>
              </w:rPr>
              <w:t>97,121</w:t>
            </w:r>
          </w:p>
        </w:tc>
        <w:tc>
          <w:tcPr>
            <w:tcW w:w="986" w:type="dxa"/>
            <w:tcBorders>
              <w:top w:val="nil"/>
              <w:left w:val="single" w:sz="7" w:space="0" w:color="000000"/>
              <w:bottom w:val="nil"/>
            </w:tcBorders>
          </w:tcPr>
          <w:p>
            <w:pPr>
              <w:pStyle w:val="TableParagraph"/>
              <w:spacing w:line="195" w:lineRule="exact"/>
              <w:ind w:left="132" w:right="-5"/>
              <w:rPr>
                <w:sz w:val="18"/>
              </w:rPr>
            </w:pPr>
            <w:r>
              <w:rPr>
                <w:color w:val="010101"/>
                <w:spacing w:val="-23"/>
                <w:sz w:val="18"/>
              </w:rPr>
              <w:t>6,462,538</w:t>
            </w:r>
          </w:p>
        </w:tc>
        <w:tc>
          <w:tcPr>
            <w:tcW w:w="753" w:type="dxa"/>
            <w:tcBorders>
              <w:top w:val="nil"/>
              <w:bottom w:val="nil"/>
              <w:right w:val="single" w:sz="7" w:space="0" w:color="000000"/>
            </w:tcBorders>
          </w:tcPr>
          <w:p>
            <w:pPr>
              <w:pStyle w:val="TableParagraph"/>
              <w:spacing w:line="195" w:lineRule="exact"/>
              <w:ind w:left="175" w:right="-1"/>
              <w:rPr>
                <w:sz w:val="18"/>
              </w:rPr>
            </w:pPr>
            <w:r>
              <w:rPr>
                <w:color w:val="010101"/>
                <w:sz w:val="18"/>
              </w:rPr>
              <w:t>66.51</w:t>
            </w:r>
          </w:p>
        </w:tc>
        <w:tc>
          <w:tcPr>
            <w:tcW w:w="424" w:type="dxa"/>
            <w:tcBorders>
              <w:top w:val="nil"/>
              <w:left w:val="single" w:sz="7" w:space="0" w:color="000000"/>
              <w:bottom w:val="nil"/>
              <w:right w:val="nil"/>
            </w:tcBorders>
          </w:tcPr>
          <w:p>
            <w:pPr>
              <w:pStyle w:val="TableParagraph"/>
              <w:spacing w:line="175" w:lineRule="exact"/>
              <w:ind w:left="254"/>
              <w:rPr>
                <w:rFonts w:ascii="Arial"/>
                <w:sz w:val="16"/>
              </w:rPr>
            </w:pPr>
            <w:r>
              <w:rPr>
                <w:rFonts w:ascii="Arial"/>
                <w:color w:val="010101"/>
                <w:w w:val="92"/>
                <w:sz w:val="16"/>
              </w:rPr>
              <w:t>3</w:t>
            </w:r>
          </w:p>
        </w:tc>
      </w:tr>
      <w:tr>
        <w:trPr>
          <w:trHeight w:val="300" w:hRule="exact"/>
        </w:trPr>
        <w:tc>
          <w:tcPr>
            <w:tcW w:w="374" w:type="dxa"/>
            <w:tcBorders>
              <w:top w:val="nil"/>
              <w:left w:val="nil"/>
              <w:bottom w:val="nil"/>
            </w:tcBorders>
          </w:tcPr>
          <w:p>
            <w:pPr>
              <w:pStyle w:val="TableParagraph"/>
              <w:spacing w:line="193" w:lineRule="exact"/>
              <w:ind w:right="34"/>
              <w:jc w:val="right"/>
              <w:rPr>
                <w:sz w:val="18"/>
              </w:rPr>
            </w:pPr>
            <w:r>
              <w:rPr>
                <w:color w:val="010101"/>
                <w:w w:val="113"/>
                <w:sz w:val="18"/>
              </w:rPr>
              <w:t>4</w:t>
            </w:r>
          </w:p>
        </w:tc>
        <w:tc>
          <w:tcPr>
            <w:tcW w:w="828" w:type="dxa"/>
            <w:tcBorders>
              <w:top w:val="nil"/>
              <w:bottom w:val="nil"/>
            </w:tcBorders>
          </w:tcPr>
          <w:p>
            <w:pPr>
              <w:pStyle w:val="TableParagraph"/>
              <w:spacing w:line="197" w:lineRule="exact"/>
              <w:ind w:left="75" w:right="17"/>
              <w:jc w:val="center"/>
              <w:rPr>
                <w:sz w:val="18"/>
              </w:rPr>
            </w:pPr>
            <w:r>
              <w:rPr>
                <w:color w:val="010101"/>
                <w:sz w:val="18"/>
              </w:rPr>
              <w:t>.00069</w:t>
            </w:r>
          </w:p>
        </w:tc>
        <w:tc>
          <w:tcPr>
            <w:tcW w:w="825" w:type="dxa"/>
            <w:tcBorders>
              <w:top w:val="nil"/>
              <w:bottom w:val="nil"/>
              <w:right w:val="single" w:sz="7" w:space="0" w:color="000000"/>
            </w:tcBorders>
          </w:tcPr>
          <w:p>
            <w:pPr>
              <w:pStyle w:val="TableParagraph"/>
              <w:spacing w:line="200" w:lineRule="exact"/>
              <w:ind w:left="70" w:right="32"/>
              <w:jc w:val="center"/>
              <w:rPr>
                <w:sz w:val="18"/>
              </w:rPr>
            </w:pPr>
            <w:r>
              <w:rPr>
                <w:color w:val="010101"/>
                <w:sz w:val="18"/>
              </w:rPr>
              <w:t>97,082</w:t>
            </w:r>
          </w:p>
        </w:tc>
        <w:tc>
          <w:tcPr>
            <w:tcW w:w="673" w:type="dxa"/>
            <w:tcBorders>
              <w:top w:val="nil"/>
              <w:left w:val="single" w:sz="7" w:space="0" w:color="000000"/>
              <w:bottom w:val="nil"/>
            </w:tcBorders>
          </w:tcPr>
          <w:p>
            <w:pPr>
              <w:pStyle w:val="TableParagraph"/>
              <w:spacing w:line="200" w:lineRule="exact"/>
              <w:ind w:right="87"/>
              <w:jc w:val="right"/>
              <w:rPr>
                <w:sz w:val="18"/>
              </w:rPr>
            </w:pPr>
            <w:r>
              <w:rPr>
                <w:color w:val="010101"/>
                <w:w w:val="105"/>
                <w:sz w:val="18"/>
              </w:rPr>
              <w:t>67</w:t>
            </w:r>
          </w:p>
        </w:tc>
        <w:tc>
          <w:tcPr>
            <w:tcW w:w="830" w:type="dxa"/>
            <w:tcBorders>
              <w:top w:val="nil"/>
              <w:bottom w:val="nil"/>
              <w:right w:val="single" w:sz="7" w:space="0" w:color="000000"/>
            </w:tcBorders>
          </w:tcPr>
          <w:p>
            <w:pPr>
              <w:pStyle w:val="TableParagraph"/>
              <w:spacing w:line="200" w:lineRule="exact"/>
              <w:ind w:left="61" w:right="17"/>
              <w:jc w:val="center"/>
              <w:rPr>
                <w:sz w:val="18"/>
              </w:rPr>
            </w:pPr>
            <w:r>
              <w:rPr>
                <w:color w:val="010101"/>
                <w:sz w:val="18"/>
              </w:rPr>
              <w:t>97,048</w:t>
            </w:r>
          </w:p>
        </w:tc>
        <w:tc>
          <w:tcPr>
            <w:tcW w:w="986" w:type="dxa"/>
            <w:tcBorders>
              <w:top w:val="nil"/>
              <w:left w:val="single" w:sz="7" w:space="0" w:color="000000"/>
              <w:bottom w:val="nil"/>
            </w:tcBorders>
          </w:tcPr>
          <w:p>
            <w:pPr>
              <w:pStyle w:val="TableParagraph"/>
              <w:spacing w:line="197" w:lineRule="exact"/>
              <w:ind w:left="128" w:right="-5"/>
              <w:rPr>
                <w:sz w:val="18"/>
              </w:rPr>
            </w:pPr>
            <w:r>
              <w:rPr>
                <w:color w:val="010101"/>
                <w:spacing w:val="-12"/>
                <w:w w:val="90"/>
                <w:sz w:val="18"/>
              </w:rPr>
              <w:t>6,365,417</w:t>
            </w:r>
          </w:p>
        </w:tc>
        <w:tc>
          <w:tcPr>
            <w:tcW w:w="753" w:type="dxa"/>
            <w:tcBorders>
              <w:top w:val="nil"/>
              <w:bottom w:val="nil"/>
              <w:right w:val="single" w:sz="7" w:space="0" w:color="000000"/>
            </w:tcBorders>
          </w:tcPr>
          <w:p>
            <w:pPr>
              <w:pStyle w:val="TableParagraph"/>
              <w:spacing w:line="197" w:lineRule="exact"/>
              <w:ind w:left="175" w:right="-1"/>
              <w:rPr>
                <w:sz w:val="18"/>
              </w:rPr>
            </w:pPr>
            <w:r>
              <w:rPr>
                <w:color w:val="010101"/>
                <w:sz w:val="18"/>
              </w:rPr>
              <w:t>65.57</w:t>
            </w:r>
          </w:p>
        </w:tc>
        <w:tc>
          <w:tcPr>
            <w:tcW w:w="424" w:type="dxa"/>
            <w:tcBorders>
              <w:top w:val="nil"/>
              <w:left w:val="single" w:sz="7" w:space="0" w:color="000000"/>
              <w:bottom w:val="nil"/>
              <w:right w:val="nil"/>
            </w:tcBorders>
          </w:tcPr>
          <w:p>
            <w:pPr>
              <w:pStyle w:val="TableParagraph"/>
              <w:spacing w:line="193" w:lineRule="exact"/>
              <w:ind w:left="250"/>
              <w:rPr>
                <w:sz w:val="18"/>
              </w:rPr>
            </w:pPr>
            <w:r>
              <w:rPr>
                <w:color w:val="010101"/>
                <w:w w:val="108"/>
                <w:sz w:val="18"/>
              </w:rPr>
              <w:t>4</w:t>
            </w:r>
          </w:p>
        </w:tc>
      </w:tr>
      <w:tr>
        <w:trPr>
          <w:trHeight w:val="296" w:hRule="exact"/>
        </w:trPr>
        <w:tc>
          <w:tcPr>
            <w:tcW w:w="374" w:type="dxa"/>
            <w:tcBorders>
              <w:top w:val="nil"/>
              <w:left w:val="nil"/>
              <w:bottom w:val="nil"/>
            </w:tcBorders>
          </w:tcPr>
          <w:p>
            <w:pPr>
              <w:pStyle w:val="TableParagraph"/>
              <w:spacing w:before="101"/>
              <w:ind w:right="62"/>
              <w:jc w:val="right"/>
              <w:rPr>
                <w:rFonts w:ascii="Arial"/>
                <w:sz w:val="15"/>
              </w:rPr>
            </w:pPr>
            <w:r>
              <w:rPr>
                <w:rFonts w:ascii="Arial"/>
                <w:color w:val="010101"/>
                <w:w w:val="108"/>
                <w:sz w:val="15"/>
              </w:rPr>
              <w:t>5</w:t>
            </w:r>
          </w:p>
        </w:tc>
        <w:tc>
          <w:tcPr>
            <w:tcW w:w="828" w:type="dxa"/>
            <w:tcBorders>
              <w:top w:val="nil"/>
              <w:bottom w:val="nil"/>
            </w:tcBorders>
          </w:tcPr>
          <w:p>
            <w:pPr>
              <w:pStyle w:val="TableParagraph"/>
              <w:spacing w:before="88"/>
              <w:ind w:left="62" w:right="17"/>
              <w:jc w:val="center"/>
              <w:rPr>
                <w:sz w:val="18"/>
              </w:rPr>
            </w:pPr>
            <w:r>
              <w:rPr>
                <w:color w:val="010101"/>
                <w:w w:val="95"/>
                <w:sz w:val="18"/>
              </w:rPr>
              <w:t>.00062</w:t>
            </w:r>
          </w:p>
        </w:tc>
        <w:tc>
          <w:tcPr>
            <w:tcW w:w="825" w:type="dxa"/>
            <w:tcBorders>
              <w:top w:val="nil"/>
              <w:bottom w:val="nil"/>
              <w:right w:val="single" w:sz="7" w:space="0" w:color="000000"/>
            </w:tcBorders>
          </w:tcPr>
          <w:p>
            <w:pPr>
              <w:pStyle w:val="TableParagraph"/>
              <w:spacing w:before="91"/>
              <w:ind w:left="63" w:right="34"/>
              <w:jc w:val="center"/>
              <w:rPr>
                <w:sz w:val="18"/>
              </w:rPr>
            </w:pPr>
            <w:r>
              <w:rPr>
                <w:color w:val="010101"/>
                <w:sz w:val="18"/>
              </w:rPr>
              <w:t>97,015</w:t>
            </w:r>
          </w:p>
        </w:tc>
        <w:tc>
          <w:tcPr>
            <w:tcW w:w="673" w:type="dxa"/>
            <w:tcBorders>
              <w:top w:val="nil"/>
              <w:left w:val="single" w:sz="7" w:space="0" w:color="000000"/>
              <w:bottom w:val="nil"/>
            </w:tcBorders>
          </w:tcPr>
          <w:p>
            <w:pPr>
              <w:pStyle w:val="TableParagraph"/>
              <w:spacing w:before="95"/>
              <w:ind w:right="80"/>
              <w:jc w:val="right"/>
              <w:rPr>
                <w:sz w:val="18"/>
              </w:rPr>
            </w:pPr>
            <w:r>
              <w:rPr>
                <w:color w:val="010101"/>
                <w:w w:val="90"/>
                <w:sz w:val="18"/>
              </w:rPr>
              <w:t>60</w:t>
            </w:r>
          </w:p>
        </w:tc>
        <w:tc>
          <w:tcPr>
            <w:tcW w:w="830" w:type="dxa"/>
            <w:tcBorders>
              <w:top w:val="nil"/>
              <w:bottom w:val="nil"/>
              <w:right w:val="single" w:sz="7" w:space="0" w:color="000000"/>
            </w:tcBorders>
          </w:tcPr>
          <w:p>
            <w:pPr>
              <w:pStyle w:val="TableParagraph"/>
              <w:spacing w:before="95"/>
              <w:ind w:left="49" w:right="17"/>
              <w:jc w:val="center"/>
              <w:rPr>
                <w:sz w:val="18"/>
              </w:rPr>
            </w:pPr>
            <w:r>
              <w:rPr>
                <w:color w:val="010101"/>
                <w:sz w:val="18"/>
              </w:rPr>
              <w:t>96,985</w:t>
            </w:r>
          </w:p>
        </w:tc>
        <w:tc>
          <w:tcPr>
            <w:tcW w:w="986" w:type="dxa"/>
            <w:tcBorders>
              <w:top w:val="nil"/>
              <w:left w:val="single" w:sz="7" w:space="0" w:color="000000"/>
              <w:bottom w:val="nil"/>
            </w:tcBorders>
          </w:tcPr>
          <w:p>
            <w:pPr>
              <w:pStyle w:val="TableParagraph"/>
              <w:spacing w:before="91"/>
              <w:ind w:left="132" w:right="-5"/>
              <w:rPr>
                <w:sz w:val="18"/>
              </w:rPr>
            </w:pPr>
            <w:r>
              <w:rPr>
                <w:color w:val="010101"/>
                <w:spacing w:val="-9"/>
                <w:w w:val="90"/>
                <w:sz w:val="18"/>
              </w:rPr>
              <w:t>6,268,369</w:t>
            </w:r>
          </w:p>
        </w:tc>
        <w:tc>
          <w:tcPr>
            <w:tcW w:w="753" w:type="dxa"/>
            <w:tcBorders>
              <w:top w:val="nil"/>
              <w:bottom w:val="nil"/>
              <w:right w:val="single" w:sz="7" w:space="0" w:color="000000"/>
            </w:tcBorders>
          </w:tcPr>
          <w:p>
            <w:pPr>
              <w:pStyle w:val="TableParagraph"/>
              <w:spacing w:before="91"/>
              <w:ind w:left="175" w:right="-1"/>
              <w:rPr>
                <w:sz w:val="18"/>
              </w:rPr>
            </w:pPr>
            <w:r>
              <w:rPr>
                <w:color w:val="010101"/>
                <w:sz w:val="18"/>
              </w:rPr>
              <w:t>64.61</w:t>
            </w:r>
          </w:p>
        </w:tc>
        <w:tc>
          <w:tcPr>
            <w:tcW w:w="424" w:type="dxa"/>
            <w:tcBorders>
              <w:top w:val="nil"/>
              <w:left w:val="single" w:sz="7" w:space="0" w:color="000000"/>
              <w:bottom w:val="nil"/>
              <w:right w:val="nil"/>
            </w:tcBorders>
          </w:tcPr>
          <w:p>
            <w:pPr>
              <w:pStyle w:val="TableParagraph"/>
              <w:spacing w:before="91"/>
              <w:ind w:left="246"/>
              <w:rPr>
                <w:sz w:val="18"/>
              </w:rPr>
            </w:pPr>
            <w:r>
              <w:rPr>
                <w:color w:val="010101"/>
                <w:w w:val="110"/>
                <w:sz w:val="18"/>
              </w:rPr>
              <w:t>5</w:t>
            </w:r>
          </w:p>
        </w:tc>
      </w:tr>
      <w:tr>
        <w:trPr>
          <w:trHeight w:val="205" w:hRule="exact"/>
        </w:trPr>
        <w:tc>
          <w:tcPr>
            <w:tcW w:w="374" w:type="dxa"/>
            <w:tcBorders>
              <w:top w:val="nil"/>
              <w:left w:val="nil"/>
              <w:bottom w:val="nil"/>
            </w:tcBorders>
          </w:tcPr>
          <w:p>
            <w:pPr>
              <w:pStyle w:val="TableParagraph"/>
              <w:spacing w:line="200" w:lineRule="exact"/>
              <w:ind w:right="31"/>
              <w:jc w:val="right"/>
              <w:rPr>
                <w:sz w:val="18"/>
              </w:rPr>
            </w:pPr>
            <w:r>
              <w:rPr>
                <w:color w:val="010101"/>
                <w:w w:val="112"/>
                <w:sz w:val="18"/>
              </w:rPr>
              <w:t>6</w:t>
            </w:r>
          </w:p>
        </w:tc>
        <w:tc>
          <w:tcPr>
            <w:tcW w:w="828" w:type="dxa"/>
            <w:tcBorders>
              <w:top w:val="nil"/>
              <w:bottom w:val="nil"/>
            </w:tcBorders>
          </w:tcPr>
          <w:p>
            <w:pPr>
              <w:pStyle w:val="TableParagraph"/>
              <w:spacing w:line="190" w:lineRule="exact"/>
              <w:ind w:left="72" w:right="17"/>
              <w:jc w:val="center"/>
              <w:rPr>
                <w:sz w:val="18"/>
              </w:rPr>
            </w:pPr>
            <w:r>
              <w:rPr>
                <w:color w:val="010101"/>
                <w:spacing w:val="-87"/>
                <w:w w:val="116"/>
                <w:sz w:val="18"/>
              </w:rPr>
              <w:t>.</w:t>
            </w:r>
            <w:r>
              <w:rPr>
                <w:color w:val="4D4D4D"/>
                <w:spacing w:val="-27"/>
                <w:w w:val="37"/>
                <w:sz w:val="18"/>
              </w:rPr>
              <w:t>.</w:t>
            </w:r>
            <w:r>
              <w:rPr>
                <w:color w:val="010101"/>
                <w:w w:val="79"/>
                <w:sz w:val="18"/>
              </w:rPr>
              <w:t>000</w:t>
            </w:r>
            <w:r>
              <w:rPr>
                <w:color w:val="010101"/>
                <w:spacing w:val="-24"/>
                <w:w w:val="79"/>
                <w:sz w:val="18"/>
              </w:rPr>
              <w:t>5</w:t>
            </w:r>
            <w:r>
              <w:rPr>
                <w:color w:val="010101"/>
                <w:w w:val="108"/>
                <w:sz w:val="18"/>
              </w:rPr>
              <w:t>7</w:t>
            </w:r>
          </w:p>
        </w:tc>
        <w:tc>
          <w:tcPr>
            <w:tcW w:w="825" w:type="dxa"/>
            <w:tcBorders>
              <w:top w:val="nil"/>
              <w:bottom w:val="nil"/>
              <w:right w:val="single" w:sz="7" w:space="0" w:color="000000"/>
            </w:tcBorders>
          </w:tcPr>
          <w:p>
            <w:pPr>
              <w:pStyle w:val="TableParagraph"/>
              <w:ind w:left="64" w:right="34"/>
              <w:jc w:val="center"/>
              <w:rPr>
                <w:sz w:val="18"/>
              </w:rPr>
            </w:pPr>
            <w:r>
              <w:rPr>
                <w:color w:val="010101"/>
                <w:sz w:val="18"/>
              </w:rPr>
              <w:t>96,955</w:t>
            </w:r>
          </w:p>
        </w:tc>
        <w:tc>
          <w:tcPr>
            <w:tcW w:w="673" w:type="dxa"/>
            <w:tcBorders>
              <w:top w:val="nil"/>
              <w:left w:val="single" w:sz="7" w:space="0" w:color="000000"/>
              <w:bottom w:val="nil"/>
            </w:tcBorders>
          </w:tcPr>
          <w:p>
            <w:pPr>
              <w:pStyle w:val="TableParagraph"/>
              <w:ind w:right="95"/>
              <w:jc w:val="right"/>
              <w:rPr>
                <w:sz w:val="18"/>
              </w:rPr>
            </w:pPr>
            <w:r>
              <w:rPr>
                <w:color w:val="010101"/>
                <w:w w:val="80"/>
                <w:sz w:val="18"/>
              </w:rPr>
              <w:t>55</w:t>
            </w:r>
          </w:p>
        </w:tc>
        <w:tc>
          <w:tcPr>
            <w:tcW w:w="830" w:type="dxa"/>
            <w:tcBorders>
              <w:top w:val="nil"/>
              <w:bottom w:val="nil"/>
              <w:right w:val="single" w:sz="7" w:space="0" w:color="000000"/>
            </w:tcBorders>
          </w:tcPr>
          <w:p>
            <w:pPr>
              <w:pStyle w:val="TableParagraph"/>
              <w:ind w:left="41" w:right="17"/>
              <w:jc w:val="center"/>
              <w:rPr>
                <w:sz w:val="18"/>
              </w:rPr>
            </w:pPr>
            <w:r>
              <w:rPr>
                <w:color w:val="010101"/>
                <w:w w:val="95"/>
                <w:sz w:val="18"/>
              </w:rPr>
              <w:t>96,927</w:t>
            </w:r>
          </w:p>
        </w:tc>
        <w:tc>
          <w:tcPr>
            <w:tcW w:w="986" w:type="dxa"/>
            <w:tcBorders>
              <w:top w:val="nil"/>
              <w:left w:val="single" w:sz="7" w:space="0" w:color="000000"/>
              <w:bottom w:val="nil"/>
            </w:tcBorders>
          </w:tcPr>
          <w:p>
            <w:pPr>
              <w:pStyle w:val="TableParagraph"/>
              <w:spacing w:line="197" w:lineRule="exact"/>
              <w:ind w:left="132" w:right="-5"/>
              <w:rPr>
                <w:sz w:val="18"/>
              </w:rPr>
            </w:pPr>
            <w:r>
              <w:rPr>
                <w:color w:val="010101"/>
                <w:spacing w:val="-10"/>
                <w:w w:val="90"/>
                <w:sz w:val="18"/>
              </w:rPr>
              <w:t>6,171,384</w:t>
            </w:r>
          </w:p>
        </w:tc>
        <w:tc>
          <w:tcPr>
            <w:tcW w:w="753" w:type="dxa"/>
            <w:tcBorders>
              <w:top w:val="nil"/>
              <w:bottom w:val="nil"/>
              <w:right w:val="single" w:sz="7" w:space="0" w:color="000000"/>
            </w:tcBorders>
          </w:tcPr>
          <w:p>
            <w:pPr>
              <w:pStyle w:val="TableParagraph"/>
              <w:spacing w:line="203" w:lineRule="exact"/>
              <w:ind w:left="175" w:right="-1"/>
              <w:rPr>
                <w:sz w:val="19"/>
              </w:rPr>
            </w:pPr>
            <w:r>
              <w:rPr>
                <w:color w:val="010101"/>
                <w:w w:val="90"/>
                <w:sz w:val="19"/>
              </w:rPr>
              <w:t>63.65</w:t>
            </w:r>
          </w:p>
        </w:tc>
        <w:tc>
          <w:tcPr>
            <w:tcW w:w="424" w:type="dxa"/>
            <w:tcBorders>
              <w:top w:val="nil"/>
              <w:left w:val="single" w:sz="7" w:space="0" w:color="000000"/>
              <w:bottom w:val="nil"/>
              <w:right w:val="nil"/>
            </w:tcBorders>
          </w:tcPr>
          <w:p>
            <w:pPr>
              <w:pStyle w:val="TableParagraph"/>
              <w:spacing w:before="5"/>
              <w:ind w:left="246"/>
              <w:rPr>
                <w:rFonts w:ascii="Arial"/>
                <w:sz w:val="15"/>
              </w:rPr>
            </w:pPr>
            <w:r>
              <w:rPr>
                <w:rFonts w:ascii="Arial"/>
                <w:color w:val="010101"/>
                <w:w w:val="108"/>
                <w:sz w:val="15"/>
              </w:rPr>
              <w:t>6</w:t>
            </w:r>
          </w:p>
        </w:tc>
      </w:tr>
      <w:tr>
        <w:trPr>
          <w:trHeight w:val="199" w:hRule="exact"/>
        </w:trPr>
        <w:tc>
          <w:tcPr>
            <w:tcW w:w="374" w:type="dxa"/>
            <w:tcBorders>
              <w:top w:val="nil"/>
              <w:left w:val="nil"/>
              <w:bottom w:val="nil"/>
            </w:tcBorders>
          </w:tcPr>
          <w:p>
            <w:pPr>
              <w:pStyle w:val="TableParagraph"/>
              <w:spacing w:line="193" w:lineRule="exact"/>
              <w:ind w:right="41"/>
              <w:jc w:val="right"/>
              <w:rPr>
                <w:sz w:val="18"/>
              </w:rPr>
            </w:pPr>
            <w:r>
              <w:rPr>
                <w:color w:val="010101"/>
                <w:w w:val="103"/>
                <w:sz w:val="18"/>
              </w:rPr>
              <w:t>7</w:t>
            </w:r>
          </w:p>
        </w:tc>
        <w:tc>
          <w:tcPr>
            <w:tcW w:w="828" w:type="dxa"/>
            <w:tcBorders>
              <w:top w:val="nil"/>
              <w:bottom w:val="nil"/>
            </w:tcBorders>
          </w:tcPr>
          <w:p>
            <w:pPr>
              <w:pStyle w:val="TableParagraph"/>
              <w:spacing w:line="174" w:lineRule="exact"/>
              <w:ind w:left="54" w:right="17"/>
              <w:jc w:val="center"/>
              <w:rPr>
                <w:rFonts w:ascii="Times New Roman"/>
                <w:sz w:val="16"/>
              </w:rPr>
            </w:pPr>
            <w:r>
              <w:rPr>
                <w:rFonts w:ascii="Times New Roman"/>
                <w:color w:val="010101"/>
                <w:w w:val="105"/>
                <w:sz w:val="16"/>
              </w:rPr>
              <w:t>.00053</w:t>
            </w:r>
          </w:p>
        </w:tc>
        <w:tc>
          <w:tcPr>
            <w:tcW w:w="825" w:type="dxa"/>
            <w:tcBorders>
              <w:top w:val="nil"/>
              <w:bottom w:val="nil"/>
              <w:right w:val="single" w:sz="7" w:space="0" w:color="000000"/>
            </w:tcBorders>
          </w:tcPr>
          <w:p>
            <w:pPr>
              <w:pStyle w:val="TableParagraph"/>
              <w:spacing w:line="177" w:lineRule="exact"/>
              <w:ind w:left="64" w:right="57"/>
              <w:jc w:val="center"/>
              <w:rPr>
                <w:rFonts w:ascii="Times New Roman"/>
                <w:b/>
                <w:sz w:val="16"/>
              </w:rPr>
            </w:pPr>
            <w:r>
              <w:rPr>
                <w:rFonts w:ascii="Times New Roman"/>
                <w:b/>
                <w:color w:val="010101"/>
                <w:w w:val="110"/>
                <w:sz w:val="16"/>
              </w:rPr>
              <w:t>96,900</w:t>
            </w:r>
          </w:p>
        </w:tc>
        <w:tc>
          <w:tcPr>
            <w:tcW w:w="673" w:type="dxa"/>
            <w:tcBorders>
              <w:top w:val="nil"/>
              <w:left w:val="single" w:sz="7" w:space="0" w:color="000000"/>
              <w:bottom w:val="nil"/>
            </w:tcBorders>
          </w:tcPr>
          <w:p>
            <w:pPr>
              <w:pStyle w:val="TableParagraph"/>
              <w:spacing w:line="193" w:lineRule="exact"/>
              <w:ind w:right="84"/>
              <w:jc w:val="right"/>
              <w:rPr>
                <w:sz w:val="18"/>
              </w:rPr>
            </w:pPr>
            <w:r>
              <w:rPr>
                <w:color w:val="010101"/>
                <w:w w:val="105"/>
                <w:sz w:val="18"/>
              </w:rPr>
              <w:t>52</w:t>
            </w:r>
          </w:p>
        </w:tc>
        <w:tc>
          <w:tcPr>
            <w:tcW w:w="830" w:type="dxa"/>
            <w:tcBorders>
              <w:top w:val="nil"/>
              <w:bottom w:val="nil"/>
              <w:right w:val="single" w:sz="7" w:space="0" w:color="000000"/>
            </w:tcBorders>
          </w:tcPr>
          <w:p>
            <w:pPr>
              <w:pStyle w:val="TableParagraph"/>
              <w:spacing w:line="200" w:lineRule="exact"/>
              <w:ind w:left="59" w:right="17"/>
              <w:jc w:val="center"/>
              <w:rPr>
                <w:sz w:val="18"/>
              </w:rPr>
            </w:pPr>
            <w:r>
              <w:rPr>
                <w:color w:val="010101"/>
                <w:w w:val="95"/>
                <w:sz w:val="18"/>
              </w:rPr>
              <w:t>96,874</w:t>
            </w:r>
          </w:p>
        </w:tc>
        <w:tc>
          <w:tcPr>
            <w:tcW w:w="986" w:type="dxa"/>
            <w:tcBorders>
              <w:top w:val="nil"/>
              <w:left w:val="single" w:sz="7" w:space="0" w:color="000000"/>
              <w:bottom w:val="nil"/>
            </w:tcBorders>
          </w:tcPr>
          <w:p>
            <w:pPr>
              <w:pStyle w:val="TableParagraph"/>
              <w:spacing w:line="193" w:lineRule="exact"/>
              <w:ind w:left="132" w:right="-5"/>
              <w:rPr>
                <w:sz w:val="18"/>
              </w:rPr>
            </w:pPr>
            <w:r>
              <w:rPr>
                <w:color w:val="010101"/>
                <w:spacing w:val="-22"/>
                <w:sz w:val="18"/>
              </w:rPr>
              <w:t>6,074,457</w:t>
            </w:r>
          </w:p>
        </w:tc>
        <w:tc>
          <w:tcPr>
            <w:tcW w:w="753" w:type="dxa"/>
            <w:tcBorders>
              <w:top w:val="nil"/>
              <w:bottom w:val="nil"/>
              <w:right w:val="single" w:sz="7" w:space="0" w:color="000000"/>
            </w:tcBorders>
          </w:tcPr>
          <w:p>
            <w:pPr>
              <w:pStyle w:val="TableParagraph"/>
              <w:spacing w:line="193" w:lineRule="exact"/>
              <w:ind w:left="171" w:right="-1"/>
              <w:rPr>
                <w:sz w:val="18"/>
              </w:rPr>
            </w:pPr>
            <w:r>
              <w:rPr>
                <w:color w:val="010101"/>
                <w:spacing w:val="-28"/>
                <w:w w:val="105"/>
                <w:sz w:val="18"/>
              </w:rPr>
              <w:t>62.69</w:t>
            </w:r>
          </w:p>
        </w:tc>
        <w:tc>
          <w:tcPr>
            <w:tcW w:w="424" w:type="dxa"/>
            <w:tcBorders>
              <w:top w:val="nil"/>
              <w:left w:val="single" w:sz="7" w:space="0" w:color="000000"/>
              <w:bottom w:val="nil"/>
              <w:right w:val="nil"/>
            </w:tcBorders>
          </w:tcPr>
          <w:p>
            <w:pPr>
              <w:pStyle w:val="TableParagraph"/>
              <w:spacing w:line="193" w:lineRule="exact"/>
              <w:ind w:left="254"/>
              <w:rPr>
                <w:sz w:val="18"/>
              </w:rPr>
            </w:pPr>
            <w:r>
              <w:rPr>
                <w:color w:val="010101"/>
                <w:w w:val="103"/>
                <w:sz w:val="18"/>
              </w:rPr>
              <w:t>7</w:t>
            </w:r>
          </w:p>
        </w:tc>
      </w:tr>
      <w:tr>
        <w:trPr>
          <w:trHeight w:val="203" w:hRule="exact"/>
        </w:trPr>
        <w:tc>
          <w:tcPr>
            <w:tcW w:w="374" w:type="dxa"/>
            <w:tcBorders>
              <w:top w:val="nil"/>
              <w:left w:val="nil"/>
              <w:bottom w:val="nil"/>
            </w:tcBorders>
          </w:tcPr>
          <w:p>
            <w:pPr>
              <w:pStyle w:val="TableParagraph"/>
              <w:spacing w:line="195" w:lineRule="exact"/>
              <w:ind w:right="29"/>
              <w:jc w:val="right"/>
              <w:rPr>
                <w:sz w:val="18"/>
              </w:rPr>
            </w:pPr>
            <w:r>
              <w:rPr>
                <w:color w:val="010101"/>
                <w:w w:val="114"/>
                <w:sz w:val="18"/>
              </w:rPr>
              <w:t>8</w:t>
            </w:r>
          </w:p>
        </w:tc>
        <w:tc>
          <w:tcPr>
            <w:tcW w:w="828" w:type="dxa"/>
            <w:tcBorders>
              <w:top w:val="nil"/>
              <w:bottom w:val="nil"/>
            </w:tcBorders>
          </w:tcPr>
          <w:p>
            <w:pPr>
              <w:pStyle w:val="TableParagraph"/>
              <w:spacing w:line="195" w:lineRule="exact"/>
              <w:ind w:left="75" w:right="17"/>
              <w:jc w:val="center"/>
              <w:rPr>
                <w:sz w:val="18"/>
              </w:rPr>
            </w:pPr>
            <w:r>
              <w:rPr>
                <w:color w:val="010101"/>
                <w:w w:val="95"/>
                <w:sz w:val="18"/>
              </w:rPr>
              <w:t>.00049</w:t>
            </w:r>
          </w:p>
        </w:tc>
        <w:tc>
          <w:tcPr>
            <w:tcW w:w="825" w:type="dxa"/>
            <w:tcBorders>
              <w:top w:val="nil"/>
              <w:bottom w:val="nil"/>
              <w:right w:val="single" w:sz="7" w:space="0" w:color="000000"/>
            </w:tcBorders>
          </w:tcPr>
          <w:p>
            <w:pPr>
              <w:pStyle w:val="TableParagraph"/>
              <w:spacing w:line="199" w:lineRule="exact"/>
              <w:ind w:left="70" w:right="25"/>
              <w:jc w:val="center"/>
              <w:rPr>
                <w:sz w:val="18"/>
              </w:rPr>
            </w:pPr>
            <w:r>
              <w:rPr>
                <w:color w:val="010101"/>
                <w:w w:val="95"/>
                <w:sz w:val="18"/>
              </w:rPr>
              <w:t>96,848</w:t>
            </w:r>
          </w:p>
        </w:tc>
        <w:tc>
          <w:tcPr>
            <w:tcW w:w="673" w:type="dxa"/>
            <w:tcBorders>
              <w:top w:val="nil"/>
              <w:left w:val="single" w:sz="7" w:space="0" w:color="000000"/>
              <w:bottom w:val="nil"/>
            </w:tcBorders>
          </w:tcPr>
          <w:p>
            <w:pPr>
              <w:pStyle w:val="TableParagraph"/>
              <w:spacing w:line="195" w:lineRule="exact"/>
              <w:ind w:right="94"/>
              <w:jc w:val="right"/>
              <w:rPr>
                <w:sz w:val="18"/>
              </w:rPr>
            </w:pPr>
            <w:r>
              <w:rPr>
                <w:color w:val="010101"/>
                <w:sz w:val="18"/>
              </w:rPr>
              <w:t>47</w:t>
            </w:r>
          </w:p>
        </w:tc>
        <w:tc>
          <w:tcPr>
            <w:tcW w:w="830" w:type="dxa"/>
            <w:tcBorders>
              <w:top w:val="nil"/>
              <w:bottom w:val="nil"/>
              <w:right w:val="single" w:sz="7" w:space="0" w:color="000000"/>
            </w:tcBorders>
          </w:tcPr>
          <w:p>
            <w:pPr>
              <w:pStyle w:val="TableParagraph"/>
              <w:spacing w:line="202" w:lineRule="exact"/>
              <w:ind w:left="42" w:right="17"/>
              <w:jc w:val="center"/>
              <w:rPr>
                <w:sz w:val="18"/>
              </w:rPr>
            </w:pPr>
            <w:r>
              <w:rPr>
                <w:color w:val="010101"/>
                <w:w w:val="90"/>
                <w:sz w:val="18"/>
              </w:rPr>
              <w:t>96,825</w:t>
            </w:r>
          </w:p>
        </w:tc>
        <w:tc>
          <w:tcPr>
            <w:tcW w:w="986" w:type="dxa"/>
            <w:tcBorders>
              <w:top w:val="nil"/>
              <w:left w:val="single" w:sz="7" w:space="0" w:color="000000"/>
              <w:bottom w:val="nil"/>
            </w:tcBorders>
          </w:tcPr>
          <w:p>
            <w:pPr>
              <w:pStyle w:val="TableParagraph"/>
              <w:spacing w:line="195" w:lineRule="exact"/>
              <w:ind w:left="132" w:right="-5"/>
              <w:rPr>
                <w:sz w:val="18"/>
              </w:rPr>
            </w:pPr>
            <w:r>
              <w:rPr>
                <w:color w:val="010101"/>
                <w:spacing w:val="-10"/>
                <w:w w:val="90"/>
                <w:sz w:val="18"/>
              </w:rPr>
              <w:t>5,977,583</w:t>
            </w:r>
          </w:p>
        </w:tc>
        <w:tc>
          <w:tcPr>
            <w:tcW w:w="753" w:type="dxa"/>
            <w:tcBorders>
              <w:top w:val="nil"/>
              <w:bottom w:val="nil"/>
              <w:right w:val="single" w:sz="7" w:space="0" w:color="000000"/>
            </w:tcBorders>
          </w:tcPr>
          <w:p>
            <w:pPr>
              <w:pStyle w:val="TableParagraph"/>
              <w:spacing w:line="191" w:lineRule="exact"/>
              <w:ind w:left="171" w:right="-1"/>
              <w:rPr>
                <w:sz w:val="18"/>
              </w:rPr>
            </w:pPr>
            <w:r>
              <w:rPr>
                <w:color w:val="010101"/>
                <w:sz w:val="18"/>
              </w:rPr>
              <w:t>61.72</w:t>
            </w:r>
          </w:p>
        </w:tc>
        <w:tc>
          <w:tcPr>
            <w:tcW w:w="424" w:type="dxa"/>
            <w:tcBorders>
              <w:top w:val="nil"/>
              <w:left w:val="single" w:sz="7" w:space="0" w:color="000000"/>
              <w:bottom w:val="nil"/>
              <w:right w:val="nil"/>
            </w:tcBorders>
          </w:tcPr>
          <w:p>
            <w:pPr>
              <w:pStyle w:val="TableParagraph"/>
              <w:spacing w:line="195" w:lineRule="exact"/>
              <w:ind w:left="250"/>
              <w:rPr>
                <w:sz w:val="18"/>
              </w:rPr>
            </w:pPr>
            <w:r>
              <w:rPr>
                <w:color w:val="010101"/>
                <w:w w:val="108"/>
                <w:sz w:val="18"/>
              </w:rPr>
              <w:t>8</w:t>
            </w:r>
          </w:p>
        </w:tc>
      </w:tr>
      <w:tr>
        <w:trPr>
          <w:trHeight w:val="296" w:hRule="exact"/>
        </w:trPr>
        <w:tc>
          <w:tcPr>
            <w:tcW w:w="374" w:type="dxa"/>
            <w:tcBorders>
              <w:top w:val="nil"/>
              <w:left w:val="nil"/>
              <w:bottom w:val="nil"/>
            </w:tcBorders>
          </w:tcPr>
          <w:p>
            <w:pPr>
              <w:pStyle w:val="TableParagraph"/>
              <w:spacing w:line="193" w:lineRule="exact"/>
              <w:ind w:right="34"/>
              <w:jc w:val="right"/>
              <w:rPr>
                <w:sz w:val="18"/>
              </w:rPr>
            </w:pPr>
            <w:r>
              <w:rPr>
                <w:color w:val="010101"/>
                <w:w w:val="113"/>
                <w:sz w:val="18"/>
              </w:rPr>
              <w:t>9</w:t>
            </w:r>
          </w:p>
        </w:tc>
        <w:tc>
          <w:tcPr>
            <w:tcW w:w="828" w:type="dxa"/>
            <w:tcBorders>
              <w:top w:val="nil"/>
              <w:bottom w:val="nil"/>
            </w:tcBorders>
          </w:tcPr>
          <w:p>
            <w:pPr>
              <w:pStyle w:val="TableParagraph"/>
              <w:spacing w:line="193" w:lineRule="exact"/>
              <w:ind w:left="72" w:right="17"/>
              <w:jc w:val="center"/>
              <w:rPr>
                <w:sz w:val="18"/>
              </w:rPr>
            </w:pPr>
            <w:r>
              <w:rPr>
                <w:color w:val="1A1A1A"/>
                <w:sz w:val="18"/>
              </w:rPr>
              <w:t>.</w:t>
            </w:r>
            <w:r>
              <w:rPr>
                <w:color w:val="010101"/>
                <w:sz w:val="18"/>
              </w:rPr>
              <w:t>00045</w:t>
            </w:r>
          </w:p>
        </w:tc>
        <w:tc>
          <w:tcPr>
            <w:tcW w:w="825" w:type="dxa"/>
            <w:tcBorders>
              <w:top w:val="nil"/>
              <w:bottom w:val="nil"/>
              <w:right w:val="single" w:sz="7" w:space="0" w:color="000000"/>
            </w:tcBorders>
          </w:tcPr>
          <w:p>
            <w:pPr>
              <w:pStyle w:val="TableParagraph"/>
              <w:spacing w:line="197" w:lineRule="exact"/>
              <w:ind w:left="70" w:right="57"/>
              <w:jc w:val="center"/>
              <w:rPr>
                <w:sz w:val="18"/>
              </w:rPr>
            </w:pPr>
            <w:r>
              <w:rPr>
                <w:color w:val="010101"/>
                <w:w w:val="95"/>
                <w:sz w:val="18"/>
              </w:rPr>
              <w:t>96,801</w:t>
            </w:r>
          </w:p>
        </w:tc>
        <w:tc>
          <w:tcPr>
            <w:tcW w:w="673" w:type="dxa"/>
            <w:tcBorders>
              <w:top w:val="nil"/>
              <w:left w:val="single" w:sz="7" w:space="0" w:color="000000"/>
              <w:bottom w:val="nil"/>
            </w:tcBorders>
          </w:tcPr>
          <w:p>
            <w:pPr>
              <w:pStyle w:val="TableParagraph"/>
              <w:spacing w:line="197" w:lineRule="exact"/>
              <w:ind w:right="96"/>
              <w:jc w:val="right"/>
              <w:rPr>
                <w:sz w:val="18"/>
              </w:rPr>
            </w:pPr>
            <w:r>
              <w:rPr>
                <w:color w:val="010101"/>
                <w:w w:val="105"/>
                <w:sz w:val="18"/>
              </w:rPr>
              <w:t>43</w:t>
            </w:r>
          </w:p>
        </w:tc>
        <w:tc>
          <w:tcPr>
            <w:tcW w:w="830" w:type="dxa"/>
            <w:tcBorders>
              <w:top w:val="nil"/>
              <w:bottom w:val="nil"/>
              <w:right w:val="single" w:sz="7" w:space="0" w:color="000000"/>
            </w:tcBorders>
          </w:tcPr>
          <w:p>
            <w:pPr>
              <w:pStyle w:val="TableParagraph"/>
              <w:spacing w:line="200" w:lineRule="exact"/>
              <w:ind w:left="59" w:right="17"/>
              <w:jc w:val="center"/>
              <w:rPr>
                <w:sz w:val="18"/>
              </w:rPr>
            </w:pPr>
            <w:r>
              <w:rPr>
                <w:color w:val="010101"/>
                <w:sz w:val="18"/>
              </w:rPr>
              <w:t>96,779</w:t>
            </w:r>
          </w:p>
        </w:tc>
        <w:tc>
          <w:tcPr>
            <w:tcW w:w="986" w:type="dxa"/>
            <w:tcBorders>
              <w:top w:val="nil"/>
              <w:left w:val="single" w:sz="7" w:space="0" w:color="000000"/>
              <w:bottom w:val="nil"/>
            </w:tcBorders>
          </w:tcPr>
          <w:p>
            <w:pPr>
              <w:pStyle w:val="TableParagraph"/>
              <w:spacing w:line="193" w:lineRule="exact"/>
              <w:ind w:left="128" w:right="-5"/>
              <w:rPr>
                <w:sz w:val="18"/>
              </w:rPr>
            </w:pPr>
            <w:r>
              <w:rPr>
                <w:color w:val="010101"/>
                <w:spacing w:val="-12"/>
                <w:w w:val="90"/>
                <w:sz w:val="18"/>
              </w:rPr>
              <w:t>5,880,758</w:t>
            </w:r>
          </w:p>
        </w:tc>
        <w:tc>
          <w:tcPr>
            <w:tcW w:w="753" w:type="dxa"/>
            <w:tcBorders>
              <w:top w:val="nil"/>
              <w:bottom w:val="nil"/>
              <w:right w:val="single" w:sz="7" w:space="0" w:color="000000"/>
            </w:tcBorders>
          </w:tcPr>
          <w:p>
            <w:pPr>
              <w:pStyle w:val="TableParagraph"/>
              <w:spacing w:line="193" w:lineRule="exact"/>
              <w:ind w:left="171" w:right="-1"/>
              <w:rPr>
                <w:sz w:val="18"/>
              </w:rPr>
            </w:pPr>
            <w:r>
              <w:rPr>
                <w:color w:val="010101"/>
                <w:sz w:val="18"/>
              </w:rPr>
              <w:t>60.75</w:t>
            </w:r>
          </w:p>
        </w:tc>
        <w:tc>
          <w:tcPr>
            <w:tcW w:w="424" w:type="dxa"/>
            <w:tcBorders>
              <w:top w:val="nil"/>
              <w:left w:val="single" w:sz="7" w:space="0" w:color="000000"/>
              <w:bottom w:val="nil"/>
              <w:right w:val="nil"/>
            </w:tcBorders>
          </w:tcPr>
          <w:p>
            <w:pPr>
              <w:pStyle w:val="TableParagraph"/>
              <w:spacing w:line="193" w:lineRule="exact"/>
              <w:ind w:left="246"/>
              <w:rPr>
                <w:sz w:val="18"/>
              </w:rPr>
            </w:pPr>
            <w:r>
              <w:rPr>
                <w:color w:val="010101"/>
                <w:w w:val="108"/>
                <w:sz w:val="18"/>
              </w:rPr>
              <w:t>9</w:t>
            </w:r>
          </w:p>
        </w:tc>
      </w:tr>
      <w:tr>
        <w:trPr>
          <w:trHeight w:val="302" w:hRule="exact"/>
        </w:trPr>
        <w:tc>
          <w:tcPr>
            <w:tcW w:w="374" w:type="dxa"/>
            <w:tcBorders>
              <w:top w:val="nil"/>
              <w:left w:val="nil"/>
              <w:bottom w:val="nil"/>
            </w:tcBorders>
          </w:tcPr>
          <w:p>
            <w:pPr>
              <w:pStyle w:val="TableParagraph"/>
              <w:spacing w:before="92"/>
              <w:ind w:right="47"/>
              <w:jc w:val="right"/>
              <w:rPr>
                <w:rFonts w:ascii="Times New Roman"/>
                <w:sz w:val="16"/>
              </w:rPr>
            </w:pPr>
            <w:r>
              <w:rPr>
                <w:rFonts w:ascii="Times New Roman"/>
                <w:color w:val="010101"/>
                <w:w w:val="105"/>
                <w:sz w:val="16"/>
              </w:rPr>
              <w:t>10</w:t>
            </w:r>
          </w:p>
        </w:tc>
        <w:tc>
          <w:tcPr>
            <w:tcW w:w="828" w:type="dxa"/>
            <w:tcBorders>
              <w:top w:val="nil"/>
              <w:bottom w:val="nil"/>
            </w:tcBorders>
          </w:tcPr>
          <w:p>
            <w:pPr>
              <w:pStyle w:val="TableParagraph"/>
              <w:spacing w:before="83"/>
              <w:ind w:left="61" w:right="17"/>
              <w:jc w:val="center"/>
              <w:rPr>
                <w:sz w:val="19"/>
              </w:rPr>
            </w:pPr>
            <w:r>
              <w:rPr>
                <w:color w:val="010101"/>
                <w:w w:val="90"/>
                <w:sz w:val="19"/>
              </w:rPr>
              <w:t>.00042</w:t>
            </w:r>
          </w:p>
        </w:tc>
        <w:tc>
          <w:tcPr>
            <w:tcW w:w="825" w:type="dxa"/>
            <w:tcBorders>
              <w:top w:val="nil"/>
              <w:bottom w:val="nil"/>
              <w:right w:val="single" w:sz="7" w:space="0" w:color="000000"/>
            </w:tcBorders>
          </w:tcPr>
          <w:p>
            <w:pPr>
              <w:pStyle w:val="TableParagraph"/>
              <w:spacing w:before="95"/>
              <w:ind w:left="70" w:right="39"/>
              <w:jc w:val="center"/>
              <w:rPr>
                <w:sz w:val="18"/>
              </w:rPr>
            </w:pPr>
            <w:r>
              <w:rPr>
                <w:color w:val="010101"/>
                <w:w w:val="90"/>
                <w:sz w:val="18"/>
              </w:rPr>
              <w:t>96,758</w:t>
            </w:r>
          </w:p>
        </w:tc>
        <w:tc>
          <w:tcPr>
            <w:tcW w:w="673" w:type="dxa"/>
            <w:tcBorders>
              <w:top w:val="nil"/>
              <w:left w:val="single" w:sz="7" w:space="0" w:color="000000"/>
              <w:bottom w:val="nil"/>
            </w:tcBorders>
          </w:tcPr>
          <w:p>
            <w:pPr>
              <w:pStyle w:val="TableParagraph"/>
              <w:spacing w:before="92"/>
              <w:ind w:right="77"/>
              <w:jc w:val="right"/>
              <w:rPr>
                <w:sz w:val="18"/>
              </w:rPr>
            </w:pPr>
            <w:r>
              <w:rPr>
                <w:color w:val="010101"/>
                <w:w w:val="110"/>
                <w:sz w:val="18"/>
              </w:rPr>
              <w:t>40</w:t>
            </w:r>
          </w:p>
        </w:tc>
        <w:tc>
          <w:tcPr>
            <w:tcW w:w="830" w:type="dxa"/>
            <w:tcBorders>
              <w:top w:val="nil"/>
              <w:bottom w:val="nil"/>
              <w:right w:val="single" w:sz="7" w:space="0" w:color="000000"/>
            </w:tcBorders>
          </w:tcPr>
          <w:p>
            <w:pPr>
              <w:pStyle w:val="TableParagraph"/>
              <w:spacing w:before="99"/>
              <w:ind w:left="71" w:right="17"/>
              <w:jc w:val="center"/>
              <w:rPr>
                <w:sz w:val="18"/>
              </w:rPr>
            </w:pPr>
            <w:r>
              <w:rPr>
                <w:color w:val="010101"/>
                <w:sz w:val="18"/>
              </w:rPr>
              <w:t>96,738</w:t>
            </w:r>
          </w:p>
        </w:tc>
        <w:tc>
          <w:tcPr>
            <w:tcW w:w="986" w:type="dxa"/>
            <w:tcBorders>
              <w:top w:val="nil"/>
              <w:left w:val="single" w:sz="7" w:space="0" w:color="000000"/>
              <w:bottom w:val="nil"/>
            </w:tcBorders>
          </w:tcPr>
          <w:p>
            <w:pPr>
              <w:pStyle w:val="TableParagraph"/>
              <w:spacing w:before="92"/>
              <w:ind w:left="132" w:right="-5"/>
              <w:rPr>
                <w:sz w:val="18"/>
              </w:rPr>
            </w:pPr>
            <w:r>
              <w:rPr>
                <w:color w:val="010101"/>
                <w:spacing w:val="-10"/>
                <w:w w:val="90"/>
                <w:sz w:val="18"/>
              </w:rPr>
              <w:t>5,783,979</w:t>
            </w:r>
          </w:p>
        </w:tc>
        <w:tc>
          <w:tcPr>
            <w:tcW w:w="753" w:type="dxa"/>
            <w:tcBorders>
              <w:top w:val="nil"/>
              <w:bottom w:val="nil"/>
              <w:right w:val="single" w:sz="7" w:space="0" w:color="000000"/>
            </w:tcBorders>
          </w:tcPr>
          <w:p>
            <w:pPr>
              <w:pStyle w:val="TableParagraph"/>
              <w:spacing w:before="92"/>
              <w:ind w:left="171" w:right="-1"/>
              <w:rPr>
                <w:sz w:val="18"/>
              </w:rPr>
            </w:pPr>
            <w:r>
              <w:rPr>
                <w:color w:val="010101"/>
                <w:spacing w:val="-27"/>
                <w:w w:val="105"/>
                <w:sz w:val="18"/>
              </w:rPr>
              <w:t>59.78</w:t>
            </w:r>
          </w:p>
        </w:tc>
        <w:tc>
          <w:tcPr>
            <w:tcW w:w="424" w:type="dxa"/>
            <w:tcBorders>
              <w:top w:val="nil"/>
              <w:left w:val="single" w:sz="7" w:space="0" w:color="000000"/>
              <w:bottom w:val="nil"/>
              <w:right w:val="nil"/>
            </w:tcBorders>
          </w:tcPr>
          <w:p>
            <w:pPr>
              <w:pStyle w:val="TableParagraph"/>
              <w:spacing w:before="92"/>
              <w:ind w:left="178" w:right="-7"/>
              <w:rPr>
                <w:rFonts w:ascii="Times New Roman"/>
                <w:sz w:val="16"/>
              </w:rPr>
            </w:pPr>
            <w:r>
              <w:rPr>
                <w:rFonts w:ascii="Times New Roman"/>
                <w:color w:val="010101"/>
                <w:w w:val="110"/>
                <w:sz w:val="16"/>
              </w:rPr>
              <w:t>10</w:t>
            </w:r>
          </w:p>
        </w:tc>
      </w:tr>
      <w:tr>
        <w:trPr>
          <w:trHeight w:val="197" w:hRule="exact"/>
        </w:trPr>
        <w:tc>
          <w:tcPr>
            <w:tcW w:w="374" w:type="dxa"/>
            <w:tcBorders>
              <w:top w:val="nil"/>
              <w:left w:val="nil"/>
              <w:bottom w:val="nil"/>
            </w:tcBorders>
          </w:tcPr>
          <w:p>
            <w:pPr>
              <w:pStyle w:val="TableParagraph"/>
              <w:spacing w:line="195" w:lineRule="exact"/>
              <w:ind w:right="59"/>
              <w:jc w:val="right"/>
              <w:rPr>
                <w:sz w:val="18"/>
              </w:rPr>
            </w:pPr>
            <w:r>
              <w:rPr>
                <w:color w:val="010101"/>
                <w:w w:val="70"/>
                <w:sz w:val="18"/>
              </w:rPr>
              <w:t>11</w:t>
            </w:r>
          </w:p>
        </w:tc>
        <w:tc>
          <w:tcPr>
            <w:tcW w:w="828" w:type="dxa"/>
            <w:tcBorders>
              <w:top w:val="nil"/>
              <w:bottom w:val="nil"/>
            </w:tcBorders>
          </w:tcPr>
          <w:p>
            <w:pPr>
              <w:pStyle w:val="TableParagraph"/>
              <w:spacing w:line="195" w:lineRule="exact"/>
              <w:ind w:left="75" w:right="10"/>
              <w:jc w:val="center"/>
              <w:rPr>
                <w:sz w:val="18"/>
              </w:rPr>
            </w:pPr>
            <w:r>
              <w:rPr>
                <w:color w:val="1A1A1A"/>
                <w:w w:val="95"/>
                <w:sz w:val="18"/>
              </w:rPr>
              <w:t>.</w:t>
            </w:r>
            <w:r>
              <w:rPr>
                <w:color w:val="010101"/>
                <w:w w:val="95"/>
                <w:sz w:val="18"/>
              </w:rPr>
              <w:t>00042</w:t>
            </w:r>
          </w:p>
        </w:tc>
        <w:tc>
          <w:tcPr>
            <w:tcW w:w="825" w:type="dxa"/>
            <w:tcBorders>
              <w:top w:val="nil"/>
              <w:bottom w:val="nil"/>
              <w:right w:val="single" w:sz="7" w:space="0" w:color="000000"/>
            </w:tcBorders>
          </w:tcPr>
          <w:p>
            <w:pPr>
              <w:pStyle w:val="TableParagraph"/>
              <w:spacing w:line="199" w:lineRule="exact"/>
              <w:ind w:left="70" w:right="36"/>
              <w:jc w:val="center"/>
              <w:rPr>
                <w:sz w:val="18"/>
              </w:rPr>
            </w:pPr>
            <w:r>
              <w:rPr>
                <w:color w:val="010101"/>
                <w:w w:val="95"/>
                <w:sz w:val="18"/>
              </w:rPr>
              <w:t>96,718</w:t>
            </w:r>
          </w:p>
        </w:tc>
        <w:tc>
          <w:tcPr>
            <w:tcW w:w="673" w:type="dxa"/>
            <w:tcBorders>
              <w:top w:val="nil"/>
              <w:left w:val="single" w:sz="7" w:space="0" w:color="000000"/>
              <w:bottom w:val="nil"/>
            </w:tcBorders>
          </w:tcPr>
          <w:p>
            <w:pPr>
              <w:pStyle w:val="TableParagraph"/>
              <w:spacing w:line="195" w:lineRule="exact"/>
              <w:ind w:right="77"/>
              <w:jc w:val="right"/>
              <w:rPr>
                <w:sz w:val="18"/>
              </w:rPr>
            </w:pPr>
            <w:r>
              <w:rPr>
                <w:color w:val="010101"/>
                <w:w w:val="110"/>
                <w:sz w:val="18"/>
              </w:rPr>
              <w:t>40</w:t>
            </w:r>
          </w:p>
        </w:tc>
        <w:tc>
          <w:tcPr>
            <w:tcW w:w="830" w:type="dxa"/>
            <w:tcBorders>
              <w:top w:val="nil"/>
              <w:bottom w:val="nil"/>
              <w:right w:val="single" w:sz="7" w:space="0" w:color="000000"/>
            </w:tcBorders>
          </w:tcPr>
          <w:p>
            <w:pPr>
              <w:pStyle w:val="TableParagraph"/>
              <w:spacing w:line="199" w:lineRule="exact"/>
              <w:ind w:left="67" w:right="17"/>
              <w:jc w:val="center"/>
              <w:rPr>
                <w:sz w:val="18"/>
              </w:rPr>
            </w:pPr>
            <w:r>
              <w:rPr>
                <w:color w:val="010101"/>
                <w:sz w:val="18"/>
              </w:rPr>
              <w:t>96,698</w:t>
            </w:r>
          </w:p>
        </w:tc>
        <w:tc>
          <w:tcPr>
            <w:tcW w:w="986" w:type="dxa"/>
            <w:tcBorders>
              <w:top w:val="nil"/>
              <w:left w:val="single" w:sz="7" w:space="0" w:color="000000"/>
              <w:bottom w:val="nil"/>
            </w:tcBorders>
          </w:tcPr>
          <w:p>
            <w:pPr>
              <w:pStyle w:val="TableParagraph"/>
              <w:spacing w:line="195" w:lineRule="exact"/>
              <w:ind w:left="128" w:right="-5"/>
              <w:rPr>
                <w:sz w:val="18"/>
              </w:rPr>
            </w:pPr>
            <w:r>
              <w:rPr>
                <w:color w:val="010101"/>
                <w:w w:val="85"/>
                <w:sz w:val="18"/>
              </w:rPr>
              <w:t>5,687,241</w:t>
            </w:r>
          </w:p>
        </w:tc>
        <w:tc>
          <w:tcPr>
            <w:tcW w:w="753" w:type="dxa"/>
            <w:tcBorders>
              <w:top w:val="nil"/>
              <w:bottom w:val="nil"/>
              <w:right w:val="single" w:sz="7" w:space="0" w:color="000000"/>
            </w:tcBorders>
          </w:tcPr>
          <w:p>
            <w:pPr>
              <w:pStyle w:val="TableParagraph"/>
              <w:spacing w:line="195" w:lineRule="exact"/>
              <w:ind w:left="171" w:right="-1"/>
              <w:rPr>
                <w:sz w:val="18"/>
              </w:rPr>
            </w:pPr>
            <w:r>
              <w:rPr>
                <w:color w:val="010101"/>
                <w:sz w:val="18"/>
              </w:rPr>
              <w:t>58.80</w:t>
            </w:r>
          </w:p>
        </w:tc>
        <w:tc>
          <w:tcPr>
            <w:tcW w:w="424" w:type="dxa"/>
            <w:tcBorders>
              <w:top w:val="nil"/>
              <w:left w:val="single" w:sz="7" w:space="0" w:color="000000"/>
              <w:bottom w:val="nil"/>
              <w:right w:val="nil"/>
            </w:tcBorders>
          </w:tcPr>
          <w:p>
            <w:pPr>
              <w:pStyle w:val="TableParagraph"/>
              <w:spacing w:line="191" w:lineRule="exact"/>
              <w:ind w:left="178" w:right="-7"/>
              <w:rPr>
                <w:sz w:val="18"/>
              </w:rPr>
            </w:pPr>
            <w:r>
              <w:rPr>
                <w:color w:val="010101"/>
                <w:w w:val="85"/>
                <w:sz w:val="18"/>
              </w:rPr>
              <w:t>11</w:t>
            </w:r>
          </w:p>
        </w:tc>
      </w:tr>
      <w:tr>
        <w:trPr>
          <w:trHeight w:val="205" w:hRule="exact"/>
        </w:trPr>
        <w:tc>
          <w:tcPr>
            <w:tcW w:w="374" w:type="dxa"/>
            <w:tcBorders>
              <w:top w:val="nil"/>
              <w:left w:val="nil"/>
              <w:bottom w:val="nil"/>
            </w:tcBorders>
          </w:tcPr>
          <w:p>
            <w:pPr>
              <w:pStyle w:val="TableParagraph"/>
              <w:spacing w:line="199" w:lineRule="exact"/>
              <w:ind w:right="39"/>
              <w:jc w:val="right"/>
              <w:rPr>
                <w:sz w:val="18"/>
              </w:rPr>
            </w:pPr>
            <w:r>
              <w:rPr>
                <w:color w:val="010101"/>
                <w:w w:val="85"/>
                <w:sz w:val="18"/>
              </w:rPr>
              <w:t>12</w:t>
            </w:r>
          </w:p>
        </w:tc>
        <w:tc>
          <w:tcPr>
            <w:tcW w:w="828" w:type="dxa"/>
            <w:tcBorders>
              <w:top w:val="nil"/>
              <w:bottom w:val="nil"/>
            </w:tcBorders>
          </w:tcPr>
          <w:p>
            <w:pPr>
              <w:pStyle w:val="TableParagraph"/>
              <w:spacing w:line="199" w:lineRule="exact"/>
              <w:ind w:left="75" w:right="15"/>
              <w:jc w:val="center"/>
              <w:rPr>
                <w:sz w:val="18"/>
              </w:rPr>
            </w:pPr>
            <w:r>
              <w:rPr>
                <w:color w:val="010101"/>
                <w:w w:val="95"/>
                <w:sz w:val="18"/>
              </w:rPr>
              <w:t>.00047</w:t>
            </w:r>
          </w:p>
        </w:tc>
        <w:tc>
          <w:tcPr>
            <w:tcW w:w="825" w:type="dxa"/>
            <w:tcBorders>
              <w:top w:val="nil"/>
              <w:bottom w:val="nil"/>
              <w:right w:val="single" w:sz="7" w:space="0" w:color="000000"/>
            </w:tcBorders>
          </w:tcPr>
          <w:p>
            <w:pPr>
              <w:pStyle w:val="TableParagraph"/>
              <w:spacing w:line="202" w:lineRule="exact"/>
              <w:ind w:left="70" w:right="20"/>
              <w:jc w:val="center"/>
              <w:rPr>
                <w:sz w:val="18"/>
              </w:rPr>
            </w:pPr>
            <w:r>
              <w:rPr>
                <w:color w:val="010101"/>
                <w:sz w:val="18"/>
              </w:rPr>
              <w:t>96,678</w:t>
            </w:r>
          </w:p>
        </w:tc>
        <w:tc>
          <w:tcPr>
            <w:tcW w:w="673" w:type="dxa"/>
            <w:tcBorders>
              <w:top w:val="nil"/>
              <w:left w:val="single" w:sz="7" w:space="0" w:color="000000"/>
              <w:bottom w:val="nil"/>
            </w:tcBorders>
          </w:tcPr>
          <w:p>
            <w:pPr>
              <w:pStyle w:val="TableParagraph"/>
              <w:spacing w:line="199" w:lineRule="exact"/>
              <w:ind w:right="88"/>
              <w:jc w:val="right"/>
              <w:rPr>
                <w:sz w:val="18"/>
              </w:rPr>
            </w:pPr>
            <w:r>
              <w:rPr>
                <w:color w:val="010101"/>
                <w:w w:val="105"/>
                <w:sz w:val="18"/>
              </w:rPr>
              <w:t>46</w:t>
            </w:r>
          </w:p>
        </w:tc>
        <w:tc>
          <w:tcPr>
            <w:tcW w:w="830" w:type="dxa"/>
            <w:tcBorders>
              <w:top w:val="nil"/>
              <w:bottom w:val="nil"/>
              <w:right w:val="single" w:sz="7" w:space="0" w:color="000000"/>
            </w:tcBorders>
          </w:tcPr>
          <w:p>
            <w:pPr>
              <w:pStyle w:val="TableParagraph"/>
              <w:spacing w:before="2"/>
              <w:ind w:left="48" w:right="17"/>
              <w:jc w:val="center"/>
              <w:rPr>
                <w:sz w:val="18"/>
              </w:rPr>
            </w:pPr>
            <w:r>
              <w:rPr>
                <w:color w:val="010101"/>
                <w:w w:val="90"/>
                <w:sz w:val="18"/>
              </w:rPr>
              <w:t>96,655</w:t>
            </w:r>
          </w:p>
        </w:tc>
        <w:tc>
          <w:tcPr>
            <w:tcW w:w="986" w:type="dxa"/>
            <w:tcBorders>
              <w:top w:val="nil"/>
              <w:left w:val="single" w:sz="7" w:space="0" w:color="000000"/>
              <w:bottom w:val="nil"/>
            </w:tcBorders>
          </w:tcPr>
          <w:p>
            <w:pPr>
              <w:pStyle w:val="TableParagraph"/>
              <w:spacing w:line="195" w:lineRule="exact"/>
              <w:ind w:left="132" w:right="-9"/>
              <w:rPr>
                <w:sz w:val="18"/>
              </w:rPr>
            </w:pPr>
            <w:r>
              <w:rPr>
                <w:color w:val="010101"/>
                <w:w w:val="85"/>
                <w:sz w:val="18"/>
              </w:rPr>
              <w:t>5,590,543</w:t>
            </w:r>
          </w:p>
        </w:tc>
        <w:tc>
          <w:tcPr>
            <w:tcW w:w="753" w:type="dxa"/>
            <w:tcBorders>
              <w:top w:val="nil"/>
              <w:bottom w:val="nil"/>
              <w:right w:val="single" w:sz="7" w:space="0" w:color="000000"/>
            </w:tcBorders>
          </w:tcPr>
          <w:p>
            <w:pPr>
              <w:pStyle w:val="TableParagraph"/>
              <w:spacing w:line="195" w:lineRule="exact"/>
              <w:ind w:left="171" w:right="-1"/>
              <w:rPr>
                <w:sz w:val="18"/>
              </w:rPr>
            </w:pPr>
            <w:r>
              <w:rPr>
                <w:color w:val="010101"/>
                <w:sz w:val="18"/>
              </w:rPr>
              <w:t>57.83</w:t>
            </w:r>
          </w:p>
        </w:tc>
        <w:tc>
          <w:tcPr>
            <w:tcW w:w="424" w:type="dxa"/>
            <w:tcBorders>
              <w:top w:val="nil"/>
              <w:left w:val="single" w:sz="7" w:space="0" w:color="000000"/>
              <w:bottom w:val="nil"/>
              <w:right w:val="nil"/>
            </w:tcBorders>
          </w:tcPr>
          <w:p>
            <w:pPr>
              <w:pStyle w:val="TableParagraph"/>
              <w:spacing w:line="191" w:lineRule="exact"/>
              <w:ind w:left="175" w:right="-7"/>
              <w:rPr>
                <w:sz w:val="18"/>
              </w:rPr>
            </w:pPr>
            <w:r>
              <w:rPr>
                <w:color w:val="010101"/>
                <w:w w:val="95"/>
                <w:sz w:val="18"/>
              </w:rPr>
              <w:t>12</w:t>
            </w:r>
          </w:p>
        </w:tc>
      </w:tr>
      <w:tr>
        <w:trPr>
          <w:trHeight w:val="197" w:hRule="exact"/>
        </w:trPr>
        <w:tc>
          <w:tcPr>
            <w:tcW w:w="374" w:type="dxa"/>
            <w:tcBorders>
              <w:top w:val="nil"/>
              <w:left w:val="nil"/>
              <w:bottom w:val="nil"/>
            </w:tcBorders>
          </w:tcPr>
          <w:p>
            <w:pPr>
              <w:pStyle w:val="TableParagraph"/>
              <w:spacing w:line="195" w:lineRule="exact"/>
              <w:ind w:right="53"/>
              <w:jc w:val="right"/>
              <w:rPr>
                <w:sz w:val="18"/>
              </w:rPr>
            </w:pPr>
            <w:r>
              <w:rPr>
                <w:color w:val="010101"/>
                <w:w w:val="75"/>
                <w:sz w:val="18"/>
              </w:rPr>
              <w:t>13</w:t>
            </w:r>
          </w:p>
        </w:tc>
        <w:tc>
          <w:tcPr>
            <w:tcW w:w="828" w:type="dxa"/>
            <w:tcBorders>
              <w:top w:val="nil"/>
              <w:bottom w:val="nil"/>
            </w:tcBorders>
          </w:tcPr>
          <w:p>
            <w:pPr>
              <w:pStyle w:val="TableParagraph"/>
              <w:spacing w:line="195" w:lineRule="exact"/>
              <w:ind w:left="75" w:right="8"/>
              <w:jc w:val="center"/>
              <w:rPr>
                <w:sz w:val="18"/>
              </w:rPr>
            </w:pPr>
            <w:r>
              <w:rPr>
                <w:color w:val="010101"/>
                <w:sz w:val="18"/>
              </w:rPr>
              <w:t>.00059</w:t>
            </w:r>
          </w:p>
        </w:tc>
        <w:tc>
          <w:tcPr>
            <w:tcW w:w="825" w:type="dxa"/>
            <w:tcBorders>
              <w:top w:val="nil"/>
              <w:bottom w:val="nil"/>
              <w:right w:val="single" w:sz="7" w:space="0" w:color="000000"/>
            </w:tcBorders>
          </w:tcPr>
          <w:p>
            <w:pPr>
              <w:pStyle w:val="TableParagraph"/>
              <w:spacing w:line="199" w:lineRule="exact"/>
              <w:ind w:left="70" w:right="19"/>
              <w:jc w:val="center"/>
              <w:rPr>
                <w:sz w:val="18"/>
              </w:rPr>
            </w:pPr>
            <w:r>
              <w:rPr>
                <w:color w:val="010101"/>
                <w:sz w:val="18"/>
              </w:rPr>
              <w:t>96,632</w:t>
            </w:r>
          </w:p>
        </w:tc>
        <w:tc>
          <w:tcPr>
            <w:tcW w:w="673" w:type="dxa"/>
            <w:tcBorders>
              <w:top w:val="nil"/>
              <w:left w:val="single" w:sz="7" w:space="0" w:color="000000"/>
              <w:bottom w:val="nil"/>
            </w:tcBorders>
          </w:tcPr>
          <w:p>
            <w:pPr>
              <w:pStyle w:val="TableParagraph"/>
              <w:spacing w:line="181" w:lineRule="exact"/>
              <w:ind w:right="114"/>
              <w:jc w:val="right"/>
              <w:rPr>
                <w:rFonts w:ascii="Times New Roman"/>
                <w:sz w:val="17"/>
              </w:rPr>
            </w:pPr>
            <w:r>
              <w:rPr>
                <w:rFonts w:ascii="Times New Roman"/>
                <w:color w:val="010101"/>
                <w:w w:val="95"/>
                <w:sz w:val="17"/>
              </w:rPr>
              <w:t>56</w:t>
            </w:r>
          </w:p>
        </w:tc>
        <w:tc>
          <w:tcPr>
            <w:tcW w:w="830" w:type="dxa"/>
            <w:tcBorders>
              <w:top w:val="nil"/>
              <w:bottom w:val="nil"/>
              <w:right w:val="single" w:sz="7" w:space="0" w:color="000000"/>
            </w:tcBorders>
          </w:tcPr>
          <w:p>
            <w:pPr>
              <w:pStyle w:val="TableParagraph"/>
              <w:spacing w:line="199" w:lineRule="exact"/>
              <w:ind w:left="41" w:right="17"/>
              <w:jc w:val="center"/>
              <w:rPr>
                <w:sz w:val="18"/>
              </w:rPr>
            </w:pPr>
            <w:r>
              <w:rPr>
                <w:color w:val="010101"/>
                <w:w w:val="85"/>
                <w:sz w:val="18"/>
              </w:rPr>
              <w:t>96,604</w:t>
            </w:r>
          </w:p>
        </w:tc>
        <w:tc>
          <w:tcPr>
            <w:tcW w:w="986" w:type="dxa"/>
            <w:tcBorders>
              <w:top w:val="nil"/>
              <w:left w:val="single" w:sz="7" w:space="0" w:color="000000"/>
              <w:bottom w:val="nil"/>
            </w:tcBorders>
          </w:tcPr>
          <w:p>
            <w:pPr>
              <w:pStyle w:val="TableParagraph"/>
              <w:spacing w:line="191" w:lineRule="exact"/>
              <w:ind w:left="132" w:right="-5"/>
              <w:rPr>
                <w:sz w:val="18"/>
              </w:rPr>
            </w:pPr>
            <w:r>
              <w:rPr>
                <w:color w:val="010101"/>
                <w:spacing w:val="-14"/>
                <w:w w:val="95"/>
                <w:sz w:val="18"/>
              </w:rPr>
              <w:t>5,493,888</w:t>
            </w:r>
          </w:p>
        </w:tc>
        <w:tc>
          <w:tcPr>
            <w:tcW w:w="753" w:type="dxa"/>
            <w:tcBorders>
              <w:top w:val="nil"/>
              <w:bottom w:val="nil"/>
              <w:right w:val="single" w:sz="7" w:space="0" w:color="000000"/>
            </w:tcBorders>
          </w:tcPr>
          <w:p>
            <w:pPr>
              <w:pStyle w:val="TableParagraph"/>
              <w:spacing w:line="172" w:lineRule="exact"/>
              <w:ind w:left="175" w:right="-1"/>
              <w:rPr>
                <w:rFonts w:ascii="Times New Roman"/>
                <w:b/>
                <w:sz w:val="16"/>
              </w:rPr>
            </w:pPr>
            <w:r>
              <w:rPr>
                <w:rFonts w:ascii="Times New Roman"/>
                <w:b/>
                <w:color w:val="010101"/>
                <w:w w:val="110"/>
                <w:sz w:val="16"/>
              </w:rPr>
              <w:t>56.85</w:t>
            </w:r>
          </w:p>
        </w:tc>
        <w:tc>
          <w:tcPr>
            <w:tcW w:w="424" w:type="dxa"/>
            <w:tcBorders>
              <w:top w:val="nil"/>
              <w:left w:val="single" w:sz="7" w:space="0" w:color="000000"/>
              <w:bottom w:val="nil"/>
              <w:right w:val="nil"/>
            </w:tcBorders>
          </w:tcPr>
          <w:p>
            <w:pPr>
              <w:pStyle w:val="TableParagraph"/>
              <w:spacing w:line="191" w:lineRule="exact"/>
              <w:ind w:left="178" w:right="-7"/>
              <w:rPr>
                <w:sz w:val="18"/>
              </w:rPr>
            </w:pPr>
            <w:r>
              <w:rPr>
                <w:color w:val="010101"/>
                <w:w w:val="90"/>
                <w:sz w:val="18"/>
              </w:rPr>
              <w:t>13</w:t>
            </w:r>
          </w:p>
        </w:tc>
      </w:tr>
      <w:tr>
        <w:trPr>
          <w:trHeight w:val="300" w:hRule="exact"/>
        </w:trPr>
        <w:tc>
          <w:tcPr>
            <w:tcW w:w="374" w:type="dxa"/>
            <w:tcBorders>
              <w:top w:val="nil"/>
              <w:left w:val="nil"/>
              <w:bottom w:val="nil"/>
            </w:tcBorders>
          </w:tcPr>
          <w:p>
            <w:pPr>
              <w:pStyle w:val="TableParagraph"/>
              <w:spacing w:line="196" w:lineRule="exact"/>
              <w:ind w:right="48"/>
              <w:jc w:val="right"/>
              <w:rPr>
                <w:sz w:val="18"/>
              </w:rPr>
            </w:pPr>
            <w:r>
              <w:rPr>
                <w:color w:val="010101"/>
                <w:w w:val="75"/>
                <w:sz w:val="18"/>
              </w:rPr>
              <w:t>14</w:t>
            </w:r>
          </w:p>
        </w:tc>
        <w:tc>
          <w:tcPr>
            <w:tcW w:w="828" w:type="dxa"/>
            <w:tcBorders>
              <w:top w:val="nil"/>
              <w:bottom w:val="nil"/>
            </w:tcBorders>
          </w:tcPr>
          <w:p>
            <w:pPr>
              <w:pStyle w:val="TableParagraph"/>
              <w:spacing w:line="180" w:lineRule="exact"/>
              <w:ind w:left="46" w:right="17"/>
              <w:jc w:val="center"/>
              <w:rPr>
                <w:rFonts w:ascii="Times New Roman"/>
                <w:b/>
                <w:sz w:val="16"/>
              </w:rPr>
            </w:pPr>
            <w:r>
              <w:rPr>
                <w:rFonts w:ascii="Times New Roman"/>
                <w:b/>
                <w:color w:val="010101"/>
                <w:w w:val="105"/>
                <w:sz w:val="16"/>
              </w:rPr>
              <w:t>.00075</w:t>
            </w:r>
          </w:p>
        </w:tc>
        <w:tc>
          <w:tcPr>
            <w:tcW w:w="825" w:type="dxa"/>
            <w:tcBorders>
              <w:top w:val="nil"/>
              <w:bottom w:val="nil"/>
              <w:right w:val="single" w:sz="7" w:space="0" w:color="000000"/>
            </w:tcBorders>
          </w:tcPr>
          <w:p>
            <w:pPr>
              <w:pStyle w:val="TableParagraph"/>
              <w:spacing w:line="199" w:lineRule="exact"/>
              <w:ind w:left="70" w:right="31"/>
              <w:jc w:val="center"/>
              <w:rPr>
                <w:sz w:val="18"/>
              </w:rPr>
            </w:pPr>
            <w:r>
              <w:rPr>
                <w:color w:val="010101"/>
                <w:w w:val="95"/>
                <w:sz w:val="18"/>
              </w:rPr>
              <w:t>96,576</w:t>
            </w:r>
          </w:p>
        </w:tc>
        <w:tc>
          <w:tcPr>
            <w:tcW w:w="673" w:type="dxa"/>
            <w:tcBorders>
              <w:top w:val="nil"/>
              <w:left w:val="single" w:sz="7" w:space="0" w:color="000000"/>
              <w:bottom w:val="nil"/>
            </w:tcBorders>
          </w:tcPr>
          <w:p>
            <w:pPr>
              <w:pStyle w:val="TableParagraph"/>
              <w:spacing w:line="199" w:lineRule="exact"/>
              <w:ind w:right="96"/>
              <w:jc w:val="right"/>
              <w:rPr>
                <w:sz w:val="18"/>
              </w:rPr>
            </w:pPr>
            <w:r>
              <w:rPr>
                <w:color w:val="010101"/>
                <w:sz w:val="18"/>
              </w:rPr>
              <w:t>73</w:t>
            </w:r>
          </w:p>
        </w:tc>
        <w:tc>
          <w:tcPr>
            <w:tcW w:w="830" w:type="dxa"/>
            <w:tcBorders>
              <w:top w:val="nil"/>
              <w:bottom w:val="nil"/>
              <w:right w:val="single" w:sz="7" w:space="0" w:color="000000"/>
            </w:tcBorders>
          </w:tcPr>
          <w:p>
            <w:pPr>
              <w:pStyle w:val="TableParagraph"/>
              <w:spacing w:line="203" w:lineRule="exact"/>
              <w:ind w:left="61" w:right="17"/>
              <w:jc w:val="center"/>
              <w:rPr>
                <w:sz w:val="18"/>
              </w:rPr>
            </w:pPr>
            <w:r>
              <w:rPr>
                <w:color w:val="010101"/>
                <w:w w:val="90"/>
                <w:sz w:val="18"/>
              </w:rPr>
              <w:t>96,539</w:t>
            </w:r>
          </w:p>
        </w:tc>
        <w:tc>
          <w:tcPr>
            <w:tcW w:w="986" w:type="dxa"/>
            <w:tcBorders>
              <w:top w:val="nil"/>
              <w:left w:val="single" w:sz="7" w:space="0" w:color="000000"/>
              <w:bottom w:val="nil"/>
            </w:tcBorders>
          </w:tcPr>
          <w:p>
            <w:pPr>
              <w:pStyle w:val="TableParagraph"/>
              <w:spacing w:line="199" w:lineRule="exact"/>
              <w:ind w:left="132" w:right="-5"/>
              <w:rPr>
                <w:sz w:val="18"/>
              </w:rPr>
            </w:pPr>
            <w:r>
              <w:rPr>
                <w:color w:val="010101"/>
                <w:spacing w:val="-11"/>
                <w:w w:val="90"/>
                <w:sz w:val="18"/>
              </w:rPr>
              <w:t>5,397,284</w:t>
            </w:r>
          </w:p>
        </w:tc>
        <w:tc>
          <w:tcPr>
            <w:tcW w:w="753" w:type="dxa"/>
            <w:tcBorders>
              <w:top w:val="nil"/>
              <w:bottom w:val="nil"/>
              <w:right w:val="single" w:sz="7" w:space="0" w:color="000000"/>
            </w:tcBorders>
          </w:tcPr>
          <w:p>
            <w:pPr>
              <w:pStyle w:val="TableParagraph"/>
              <w:spacing w:line="178" w:lineRule="exact"/>
              <w:ind w:left="171" w:right="-1"/>
              <w:rPr>
                <w:rFonts w:ascii="Times New Roman"/>
                <w:b/>
                <w:sz w:val="17"/>
              </w:rPr>
            </w:pPr>
            <w:r>
              <w:rPr>
                <w:rFonts w:ascii="Times New Roman"/>
                <w:b/>
                <w:color w:val="010101"/>
                <w:w w:val="105"/>
                <w:sz w:val="17"/>
              </w:rPr>
              <w:t>55.89</w:t>
            </w:r>
          </w:p>
        </w:tc>
        <w:tc>
          <w:tcPr>
            <w:tcW w:w="424" w:type="dxa"/>
            <w:tcBorders>
              <w:top w:val="nil"/>
              <w:left w:val="single" w:sz="7" w:space="0" w:color="000000"/>
              <w:bottom w:val="nil"/>
              <w:right w:val="nil"/>
            </w:tcBorders>
          </w:tcPr>
          <w:p>
            <w:pPr>
              <w:pStyle w:val="TableParagraph"/>
              <w:spacing w:line="196" w:lineRule="exact"/>
              <w:ind w:left="178" w:right="-7"/>
              <w:rPr>
                <w:sz w:val="18"/>
              </w:rPr>
            </w:pPr>
            <w:r>
              <w:rPr>
                <w:color w:val="010101"/>
                <w:sz w:val="18"/>
              </w:rPr>
              <w:t>14</w:t>
            </w:r>
          </w:p>
        </w:tc>
      </w:tr>
      <w:tr>
        <w:trPr>
          <w:trHeight w:val="302" w:hRule="exact"/>
        </w:trPr>
        <w:tc>
          <w:tcPr>
            <w:tcW w:w="374" w:type="dxa"/>
            <w:tcBorders>
              <w:top w:val="nil"/>
              <w:left w:val="nil"/>
              <w:bottom w:val="nil"/>
            </w:tcBorders>
          </w:tcPr>
          <w:p>
            <w:pPr>
              <w:pStyle w:val="TableParagraph"/>
              <w:spacing w:before="93"/>
              <w:ind w:right="53"/>
              <w:jc w:val="right"/>
              <w:rPr>
                <w:sz w:val="18"/>
              </w:rPr>
            </w:pPr>
            <w:r>
              <w:rPr>
                <w:color w:val="010101"/>
                <w:w w:val="75"/>
                <w:sz w:val="18"/>
              </w:rPr>
              <w:t>15</w:t>
            </w:r>
          </w:p>
        </w:tc>
        <w:tc>
          <w:tcPr>
            <w:tcW w:w="828" w:type="dxa"/>
            <w:tcBorders>
              <w:top w:val="nil"/>
              <w:bottom w:val="nil"/>
            </w:tcBorders>
          </w:tcPr>
          <w:p>
            <w:pPr>
              <w:pStyle w:val="TableParagraph"/>
              <w:spacing w:before="94"/>
              <w:ind w:left="38" w:right="17"/>
              <w:jc w:val="center"/>
              <w:rPr>
                <w:rFonts w:ascii="Times New Roman"/>
                <w:b/>
                <w:sz w:val="16"/>
              </w:rPr>
            </w:pPr>
            <w:r>
              <w:rPr>
                <w:rFonts w:ascii="Times New Roman"/>
                <w:b/>
                <w:color w:val="010101"/>
                <w:w w:val="105"/>
                <w:sz w:val="16"/>
              </w:rPr>
              <w:t>.00093</w:t>
            </w:r>
          </w:p>
        </w:tc>
        <w:tc>
          <w:tcPr>
            <w:tcW w:w="825" w:type="dxa"/>
            <w:tcBorders>
              <w:top w:val="nil"/>
              <w:bottom w:val="nil"/>
              <w:right w:val="single" w:sz="7" w:space="0" w:color="000000"/>
            </w:tcBorders>
          </w:tcPr>
          <w:p>
            <w:pPr>
              <w:pStyle w:val="TableParagraph"/>
              <w:spacing w:before="97"/>
              <w:ind w:left="70" w:right="57"/>
              <w:jc w:val="center"/>
              <w:rPr>
                <w:sz w:val="18"/>
              </w:rPr>
            </w:pPr>
            <w:r>
              <w:rPr>
                <w:color w:val="010101"/>
                <w:w w:val="85"/>
                <w:sz w:val="18"/>
              </w:rPr>
              <w:t>96,503</w:t>
            </w:r>
          </w:p>
        </w:tc>
        <w:tc>
          <w:tcPr>
            <w:tcW w:w="673" w:type="dxa"/>
            <w:tcBorders>
              <w:top w:val="nil"/>
              <w:left w:val="single" w:sz="7" w:space="0" w:color="000000"/>
              <w:bottom w:val="nil"/>
            </w:tcBorders>
          </w:tcPr>
          <w:p>
            <w:pPr>
              <w:pStyle w:val="TableParagraph"/>
              <w:spacing w:before="93"/>
              <w:ind w:right="82"/>
              <w:jc w:val="right"/>
              <w:rPr>
                <w:sz w:val="18"/>
              </w:rPr>
            </w:pPr>
            <w:r>
              <w:rPr>
                <w:color w:val="010101"/>
                <w:w w:val="105"/>
                <w:sz w:val="18"/>
              </w:rPr>
              <w:t>90</w:t>
            </w:r>
          </w:p>
        </w:tc>
        <w:tc>
          <w:tcPr>
            <w:tcW w:w="830" w:type="dxa"/>
            <w:tcBorders>
              <w:top w:val="nil"/>
              <w:bottom w:val="nil"/>
              <w:right w:val="single" w:sz="7" w:space="0" w:color="000000"/>
            </w:tcBorders>
          </w:tcPr>
          <w:p>
            <w:pPr>
              <w:pStyle w:val="TableParagraph"/>
              <w:spacing w:before="97"/>
              <w:ind w:left="51" w:right="17"/>
              <w:jc w:val="center"/>
              <w:rPr>
                <w:sz w:val="18"/>
              </w:rPr>
            </w:pPr>
            <w:r>
              <w:rPr>
                <w:color w:val="010101"/>
                <w:w w:val="95"/>
                <w:sz w:val="18"/>
              </w:rPr>
              <w:t>96,458</w:t>
            </w:r>
          </w:p>
        </w:tc>
        <w:tc>
          <w:tcPr>
            <w:tcW w:w="986" w:type="dxa"/>
            <w:tcBorders>
              <w:top w:val="nil"/>
              <w:left w:val="single" w:sz="7" w:space="0" w:color="000000"/>
              <w:bottom w:val="nil"/>
            </w:tcBorders>
          </w:tcPr>
          <w:p>
            <w:pPr>
              <w:pStyle w:val="TableParagraph"/>
              <w:spacing w:before="93"/>
              <w:ind w:left="132" w:right="-5"/>
              <w:rPr>
                <w:sz w:val="18"/>
              </w:rPr>
            </w:pPr>
            <w:r>
              <w:rPr>
                <w:color w:val="010101"/>
                <w:spacing w:val="-10"/>
                <w:w w:val="90"/>
                <w:sz w:val="18"/>
              </w:rPr>
              <w:t>5,300,745</w:t>
            </w:r>
          </w:p>
        </w:tc>
        <w:tc>
          <w:tcPr>
            <w:tcW w:w="753" w:type="dxa"/>
            <w:tcBorders>
              <w:top w:val="nil"/>
              <w:bottom w:val="nil"/>
              <w:right w:val="single" w:sz="7" w:space="0" w:color="000000"/>
            </w:tcBorders>
          </w:tcPr>
          <w:p>
            <w:pPr>
              <w:pStyle w:val="TableParagraph"/>
              <w:spacing w:before="90"/>
              <w:ind w:left="171" w:right="-1"/>
              <w:rPr>
                <w:sz w:val="18"/>
              </w:rPr>
            </w:pPr>
            <w:r>
              <w:rPr>
                <w:color w:val="010101"/>
                <w:sz w:val="18"/>
              </w:rPr>
              <w:t>54.93</w:t>
            </w:r>
          </w:p>
        </w:tc>
        <w:tc>
          <w:tcPr>
            <w:tcW w:w="424" w:type="dxa"/>
            <w:tcBorders>
              <w:top w:val="nil"/>
              <w:left w:val="single" w:sz="7" w:space="0" w:color="000000"/>
              <w:bottom w:val="nil"/>
              <w:right w:val="nil"/>
            </w:tcBorders>
          </w:tcPr>
          <w:p>
            <w:pPr>
              <w:pStyle w:val="TableParagraph"/>
              <w:spacing w:before="86"/>
              <w:ind w:left="178" w:right="-7"/>
              <w:rPr>
                <w:sz w:val="18"/>
              </w:rPr>
            </w:pPr>
            <w:r>
              <w:rPr>
                <w:color w:val="010101"/>
                <w:w w:val="90"/>
                <w:sz w:val="18"/>
              </w:rPr>
              <w:t>15</w:t>
            </w:r>
          </w:p>
        </w:tc>
      </w:tr>
      <w:tr>
        <w:trPr>
          <w:trHeight w:val="199" w:hRule="exact"/>
        </w:trPr>
        <w:tc>
          <w:tcPr>
            <w:tcW w:w="374" w:type="dxa"/>
            <w:tcBorders>
              <w:top w:val="nil"/>
              <w:left w:val="nil"/>
              <w:bottom w:val="nil"/>
            </w:tcBorders>
          </w:tcPr>
          <w:p>
            <w:pPr>
              <w:pStyle w:val="TableParagraph"/>
              <w:spacing w:line="193" w:lineRule="exact"/>
              <w:ind w:right="60"/>
              <w:jc w:val="right"/>
              <w:rPr>
                <w:sz w:val="18"/>
              </w:rPr>
            </w:pPr>
            <w:r>
              <w:rPr>
                <w:color w:val="010101"/>
                <w:w w:val="70"/>
                <w:sz w:val="18"/>
              </w:rPr>
              <w:t>16</w:t>
            </w:r>
          </w:p>
        </w:tc>
        <w:tc>
          <w:tcPr>
            <w:tcW w:w="828" w:type="dxa"/>
            <w:tcBorders>
              <w:top w:val="nil"/>
              <w:bottom w:val="nil"/>
            </w:tcBorders>
          </w:tcPr>
          <w:p>
            <w:pPr>
              <w:pStyle w:val="TableParagraph"/>
              <w:spacing w:line="197" w:lineRule="exact"/>
              <w:ind w:left="44" w:right="17"/>
              <w:jc w:val="center"/>
              <w:rPr>
                <w:sz w:val="18"/>
              </w:rPr>
            </w:pPr>
            <w:r>
              <w:rPr>
                <w:color w:val="010101"/>
                <w:w w:val="85"/>
                <w:sz w:val="18"/>
              </w:rPr>
              <w:t>.00111</w:t>
            </w:r>
          </w:p>
        </w:tc>
        <w:tc>
          <w:tcPr>
            <w:tcW w:w="825" w:type="dxa"/>
            <w:tcBorders>
              <w:top w:val="nil"/>
              <w:bottom w:val="nil"/>
              <w:right w:val="single" w:sz="7" w:space="0" w:color="000000"/>
            </w:tcBorders>
          </w:tcPr>
          <w:p>
            <w:pPr>
              <w:pStyle w:val="TableParagraph"/>
              <w:spacing w:line="197" w:lineRule="exact"/>
              <w:ind w:left="70" w:right="57"/>
              <w:jc w:val="center"/>
              <w:rPr>
                <w:sz w:val="18"/>
              </w:rPr>
            </w:pPr>
            <w:r>
              <w:rPr>
                <w:color w:val="010101"/>
                <w:w w:val="90"/>
                <w:sz w:val="18"/>
              </w:rPr>
              <w:t>96,413</w:t>
            </w:r>
          </w:p>
        </w:tc>
        <w:tc>
          <w:tcPr>
            <w:tcW w:w="673" w:type="dxa"/>
            <w:tcBorders>
              <w:top w:val="nil"/>
              <w:left w:val="single" w:sz="7" w:space="0" w:color="000000"/>
              <w:bottom w:val="nil"/>
            </w:tcBorders>
          </w:tcPr>
          <w:p>
            <w:pPr>
              <w:pStyle w:val="TableParagraph"/>
              <w:spacing w:line="200" w:lineRule="exact"/>
              <w:ind w:right="87"/>
              <w:jc w:val="right"/>
              <w:rPr>
                <w:sz w:val="18"/>
              </w:rPr>
            </w:pPr>
            <w:r>
              <w:rPr>
                <w:color w:val="010101"/>
                <w:w w:val="85"/>
                <w:sz w:val="18"/>
              </w:rPr>
              <w:t>107</w:t>
            </w:r>
          </w:p>
        </w:tc>
        <w:tc>
          <w:tcPr>
            <w:tcW w:w="830" w:type="dxa"/>
            <w:tcBorders>
              <w:top w:val="nil"/>
              <w:bottom w:val="nil"/>
              <w:right w:val="single" w:sz="7" w:space="0" w:color="000000"/>
            </w:tcBorders>
          </w:tcPr>
          <w:p>
            <w:pPr>
              <w:pStyle w:val="TableParagraph"/>
              <w:spacing w:line="200" w:lineRule="exact"/>
              <w:ind w:left="54" w:right="17"/>
              <w:jc w:val="center"/>
              <w:rPr>
                <w:sz w:val="18"/>
              </w:rPr>
            </w:pPr>
            <w:r>
              <w:rPr>
                <w:color w:val="010101"/>
                <w:w w:val="90"/>
                <w:sz w:val="18"/>
              </w:rPr>
              <w:t>96,359</w:t>
            </w:r>
          </w:p>
        </w:tc>
        <w:tc>
          <w:tcPr>
            <w:tcW w:w="986" w:type="dxa"/>
            <w:tcBorders>
              <w:top w:val="nil"/>
              <w:left w:val="single" w:sz="7" w:space="0" w:color="000000"/>
              <w:bottom w:val="nil"/>
            </w:tcBorders>
          </w:tcPr>
          <w:p>
            <w:pPr>
              <w:pStyle w:val="TableParagraph"/>
              <w:spacing w:line="174" w:lineRule="exact"/>
              <w:ind w:left="132" w:right="-5"/>
              <w:rPr>
                <w:rFonts w:ascii="Times New Roman"/>
                <w:b/>
                <w:sz w:val="16"/>
              </w:rPr>
            </w:pPr>
            <w:r>
              <w:rPr>
                <w:rFonts w:ascii="Times New Roman"/>
                <w:b/>
                <w:color w:val="010101"/>
                <w:w w:val="110"/>
                <w:sz w:val="16"/>
              </w:rPr>
              <w:t>5,204,287</w:t>
            </w:r>
          </w:p>
        </w:tc>
        <w:tc>
          <w:tcPr>
            <w:tcW w:w="753" w:type="dxa"/>
            <w:tcBorders>
              <w:top w:val="nil"/>
              <w:bottom w:val="nil"/>
              <w:right w:val="single" w:sz="7" w:space="0" w:color="000000"/>
            </w:tcBorders>
          </w:tcPr>
          <w:p>
            <w:pPr>
              <w:pStyle w:val="TableParagraph"/>
              <w:spacing w:line="193" w:lineRule="exact"/>
              <w:ind w:left="171" w:right="-1"/>
              <w:rPr>
                <w:sz w:val="18"/>
              </w:rPr>
            </w:pPr>
            <w:r>
              <w:rPr>
                <w:color w:val="010101"/>
                <w:sz w:val="18"/>
              </w:rPr>
              <w:t>53</w:t>
            </w:r>
            <w:r>
              <w:rPr>
                <w:color w:val="1A1A1A"/>
                <w:sz w:val="18"/>
              </w:rPr>
              <w:t>.</w:t>
            </w:r>
            <w:r>
              <w:rPr>
                <w:color w:val="010101"/>
                <w:sz w:val="18"/>
              </w:rPr>
              <w:t>98</w:t>
            </w:r>
          </w:p>
        </w:tc>
        <w:tc>
          <w:tcPr>
            <w:tcW w:w="424" w:type="dxa"/>
            <w:tcBorders>
              <w:top w:val="nil"/>
              <w:left w:val="single" w:sz="7" w:space="0" w:color="000000"/>
              <w:bottom w:val="nil"/>
              <w:right w:val="nil"/>
            </w:tcBorders>
          </w:tcPr>
          <w:p>
            <w:pPr>
              <w:pStyle w:val="TableParagraph"/>
              <w:spacing w:line="193" w:lineRule="exact"/>
              <w:ind w:left="178" w:right="-7"/>
              <w:rPr>
                <w:sz w:val="18"/>
              </w:rPr>
            </w:pPr>
            <w:r>
              <w:rPr>
                <w:color w:val="010101"/>
                <w:w w:val="85"/>
                <w:sz w:val="18"/>
              </w:rPr>
              <w:t>16</w:t>
            </w:r>
          </w:p>
        </w:tc>
      </w:tr>
      <w:tr>
        <w:trPr>
          <w:trHeight w:val="201" w:hRule="exact"/>
        </w:trPr>
        <w:tc>
          <w:tcPr>
            <w:tcW w:w="374" w:type="dxa"/>
            <w:tcBorders>
              <w:top w:val="nil"/>
              <w:left w:val="nil"/>
              <w:bottom w:val="nil"/>
            </w:tcBorders>
          </w:tcPr>
          <w:p>
            <w:pPr>
              <w:pStyle w:val="TableParagraph"/>
              <w:spacing w:line="199" w:lineRule="exact"/>
              <w:ind w:right="53"/>
              <w:jc w:val="right"/>
              <w:rPr>
                <w:sz w:val="18"/>
              </w:rPr>
            </w:pPr>
            <w:r>
              <w:rPr>
                <w:color w:val="010101"/>
                <w:w w:val="75"/>
                <w:sz w:val="18"/>
              </w:rPr>
              <w:t>17</w:t>
            </w:r>
          </w:p>
        </w:tc>
        <w:tc>
          <w:tcPr>
            <w:tcW w:w="828" w:type="dxa"/>
            <w:tcBorders>
              <w:top w:val="nil"/>
              <w:bottom w:val="nil"/>
            </w:tcBorders>
          </w:tcPr>
          <w:p>
            <w:pPr>
              <w:pStyle w:val="TableParagraph"/>
              <w:spacing w:line="195" w:lineRule="exact"/>
              <w:ind w:left="57" w:right="17"/>
              <w:jc w:val="center"/>
              <w:rPr>
                <w:sz w:val="18"/>
              </w:rPr>
            </w:pPr>
            <w:r>
              <w:rPr>
                <w:color w:val="010101"/>
                <w:w w:val="95"/>
                <w:sz w:val="18"/>
              </w:rPr>
              <w:t>.00126</w:t>
            </w:r>
          </w:p>
        </w:tc>
        <w:tc>
          <w:tcPr>
            <w:tcW w:w="825" w:type="dxa"/>
            <w:tcBorders>
              <w:top w:val="nil"/>
              <w:bottom w:val="nil"/>
              <w:right w:val="single" w:sz="7" w:space="0" w:color="000000"/>
            </w:tcBorders>
          </w:tcPr>
          <w:p>
            <w:pPr>
              <w:pStyle w:val="TableParagraph"/>
              <w:spacing w:line="202" w:lineRule="exact"/>
              <w:ind w:left="70" w:right="44"/>
              <w:jc w:val="center"/>
              <w:rPr>
                <w:sz w:val="18"/>
              </w:rPr>
            </w:pPr>
            <w:r>
              <w:rPr>
                <w:color w:val="010101"/>
                <w:w w:val="90"/>
                <w:sz w:val="18"/>
              </w:rPr>
              <w:t>96,306</w:t>
            </w:r>
          </w:p>
        </w:tc>
        <w:tc>
          <w:tcPr>
            <w:tcW w:w="673" w:type="dxa"/>
            <w:tcBorders>
              <w:top w:val="nil"/>
              <w:left w:val="single" w:sz="7" w:space="0" w:color="000000"/>
              <w:bottom w:val="nil"/>
            </w:tcBorders>
          </w:tcPr>
          <w:p>
            <w:pPr>
              <w:pStyle w:val="TableParagraph"/>
              <w:spacing w:line="195" w:lineRule="exact"/>
              <w:ind w:right="106"/>
              <w:jc w:val="right"/>
              <w:rPr>
                <w:sz w:val="18"/>
              </w:rPr>
            </w:pPr>
            <w:r>
              <w:rPr>
                <w:color w:val="010101"/>
                <w:w w:val="75"/>
                <w:sz w:val="18"/>
              </w:rPr>
              <w:t>121</w:t>
            </w:r>
          </w:p>
        </w:tc>
        <w:tc>
          <w:tcPr>
            <w:tcW w:w="830" w:type="dxa"/>
            <w:tcBorders>
              <w:top w:val="nil"/>
              <w:bottom w:val="nil"/>
              <w:right w:val="single" w:sz="7" w:space="0" w:color="000000"/>
            </w:tcBorders>
          </w:tcPr>
          <w:p>
            <w:pPr>
              <w:pStyle w:val="TableParagraph"/>
              <w:spacing w:line="199" w:lineRule="exact"/>
              <w:ind w:left="60" w:right="17"/>
              <w:jc w:val="center"/>
              <w:rPr>
                <w:sz w:val="18"/>
              </w:rPr>
            </w:pPr>
            <w:r>
              <w:rPr>
                <w:color w:val="010101"/>
                <w:w w:val="90"/>
                <w:sz w:val="18"/>
              </w:rPr>
              <w:t>96,246</w:t>
            </w:r>
          </w:p>
        </w:tc>
        <w:tc>
          <w:tcPr>
            <w:tcW w:w="986" w:type="dxa"/>
            <w:tcBorders>
              <w:top w:val="nil"/>
              <w:left w:val="single" w:sz="7" w:space="0" w:color="000000"/>
              <w:bottom w:val="nil"/>
            </w:tcBorders>
          </w:tcPr>
          <w:p>
            <w:pPr>
              <w:pStyle w:val="TableParagraph"/>
              <w:spacing w:line="195" w:lineRule="exact"/>
              <w:ind w:left="132" w:right="-5"/>
              <w:rPr>
                <w:sz w:val="18"/>
              </w:rPr>
            </w:pPr>
            <w:r>
              <w:rPr>
                <w:color w:val="010101"/>
                <w:spacing w:val="-11"/>
                <w:w w:val="90"/>
                <w:sz w:val="18"/>
              </w:rPr>
              <w:t>5,107,928</w:t>
            </w:r>
          </w:p>
        </w:tc>
        <w:tc>
          <w:tcPr>
            <w:tcW w:w="753" w:type="dxa"/>
            <w:tcBorders>
              <w:top w:val="nil"/>
              <w:bottom w:val="nil"/>
              <w:right w:val="single" w:sz="7" w:space="0" w:color="000000"/>
            </w:tcBorders>
          </w:tcPr>
          <w:p>
            <w:pPr>
              <w:pStyle w:val="TableParagraph"/>
              <w:spacing w:line="176" w:lineRule="exact"/>
              <w:ind w:left="175" w:right="-1"/>
              <w:rPr>
                <w:rFonts w:ascii="Times New Roman"/>
                <w:b/>
                <w:sz w:val="16"/>
              </w:rPr>
            </w:pPr>
            <w:r>
              <w:rPr>
                <w:rFonts w:ascii="Times New Roman"/>
                <w:b/>
                <w:color w:val="010101"/>
                <w:w w:val="110"/>
                <w:sz w:val="16"/>
              </w:rPr>
              <w:t>53.04</w:t>
            </w:r>
          </w:p>
        </w:tc>
        <w:tc>
          <w:tcPr>
            <w:tcW w:w="424" w:type="dxa"/>
            <w:tcBorders>
              <w:top w:val="nil"/>
              <w:left w:val="single" w:sz="7" w:space="0" w:color="000000"/>
              <w:bottom w:val="nil"/>
              <w:right w:val="nil"/>
            </w:tcBorders>
          </w:tcPr>
          <w:p>
            <w:pPr>
              <w:pStyle w:val="TableParagraph"/>
              <w:spacing w:line="191" w:lineRule="exact"/>
              <w:ind w:left="182" w:right="-7"/>
              <w:rPr>
                <w:sz w:val="18"/>
              </w:rPr>
            </w:pPr>
            <w:r>
              <w:rPr>
                <w:color w:val="010101"/>
                <w:w w:val="90"/>
                <w:sz w:val="18"/>
              </w:rPr>
              <w:t>17</w:t>
            </w:r>
          </w:p>
        </w:tc>
      </w:tr>
      <w:tr>
        <w:trPr>
          <w:trHeight w:val="199" w:hRule="exact"/>
        </w:trPr>
        <w:tc>
          <w:tcPr>
            <w:tcW w:w="374" w:type="dxa"/>
            <w:tcBorders>
              <w:top w:val="nil"/>
              <w:left w:val="nil"/>
              <w:bottom w:val="nil"/>
            </w:tcBorders>
          </w:tcPr>
          <w:p>
            <w:pPr>
              <w:pStyle w:val="TableParagraph"/>
              <w:spacing w:line="199" w:lineRule="exact"/>
              <w:ind w:right="43"/>
              <w:jc w:val="right"/>
              <w:rPr>
                <w:sz w:val="18"/>
              </w:rPr>
            </w:pPr>
            <w:r>
              <w:rPr>
                <w:color w:val="010101"/>
                <w:w w:val="80"/>
                <w:sz w:val="18"/>
              </w:rPr>
              <w:t>18</w:t>
            </w:r>
          </w:p>
        </w:tc>
        <w:tc>
          <w:tcPr>
            <w:tcW w:w="828" w:type="dxa"/>
            <w:tcBorders>
              <w:top w:val="nil"/>
              <w:bottom w:val="nil"/>
            </w:tcBorders>
          </w:tcPr>
          <w:p>
            <w:pPr>
              <w:pStyle w:val="TableParagraph"/>
              <w:spacing w:line="199" w:lineRule="exact"/>
              <w:ind w:left="75" w:right="13"/>
              <w:jc w:val="center"/>
              <w:rPr>
                <w:sz w:val="18"/>
              </w:rPr>
            </w:pPr>
            <w:r>
              <w:rPr>
                <w:color w:val="010101"/>
                <w:sz w:val="18"/>
              </w:rPr>
              <w:t>.00139</w:t>
            </w:r>
          </w:p>
        </w:tc>
        <w:tc>
          <w:tcPr>
            <w:tcW w:w="825" w:type="dxa"/>
            <w:tcBorders>
              <w:top w:val="nil"/>
              <w:bottom w:val="nil"/>
              <w:right w:val="single" w:sz="7" w:space="0" w:color="000000"/>
            </w:tcBorders>
          </w:tcPr>
          <w:p>
            <w:pPr>
              <w:pStyle w:val="TableParagraph"/>
              <w:spacing w:line="199" w:lineRule="exact"/>
              <w:ind w:left="70" w:right="40"/>
              <w:jc w:val="center"/>
              <w:rPr>
                <w:sz w:val="18"/>
              </w:rPr>
            </w:pPr>
            <w:r>
              <w:rPr>
                <w:color w:val="010101"/>
                <w:w w:val="90"/>
                <w:sz w:val="18"/>
              </w:rPr>
              <w:t>96,185</w:t>
            </w:r>
          </w:p>
        </w:tc>
        <w:tc>
          <w:tcPr>
            <w:tcW w:w="673" w:type="dxa"/>
            <w:tcBorders>
              <w:top w:val="nil"/>
              <w:left w:val="single" w:sz="7" w:space="0" w:color="000000"/>
              <w:bottom w:val="nil"/>
            </w:tcBorders>
          </w:tcPr>
          <w:p>
            <w:pPr>
              <w:pStyle w:val="TableParagraph"/>
              <w:spacing w:line="195" w:lineRule="exact"/>
              <w:ind w:right="80"/>
              <w:jc w:val="right"/>
              <w:rPr>
                <w:sz w:val="18"/>
              </w:rPr>
            </w:pPr>
            <w:r>
              <w:rPr>
                <w:color w:val="010101"/>
                <w:w w:val="85"/>
                <w:sz w:val="18"/>
              </w:rPr>
              <w:t>134</w:t>
            </w:r>
          </w:p>
        </w:tc>
        <w:tc>
          <w:tcPr>
            <w:tcW w:w="830" w:type="dxa"/>
            <w:tcBorders>
              <w:top w:val="nil"/>
              <w:bottom w:val="nil"/>
              <w:right w:val="single" w:sz="7" w:space="0" w:color="000000"/>
            </w:tcBorders>
          </w:tcPr>
          <w:p>
            <w:pPr>
              <w:pStyle w:val="TableParagraph"/>
              <w:spacing w:line="199" w:lineRule="exact"/>
              <w:ind w:left="42" w:right="17"/>
              <w:jc w:val="center"/>
              <w:rPr>
                <w:sz w:val="18"/>
              </w:rPr>
            </w:pPr>
            <w:r>
              <w:rPr>
                <w:color w:val="010101"/>
                <w:w w:val="85"/>
                <w:sz w:val="18"/>
              </w:rPr>
              <w:t>96,118</w:t>
            </w:r>
          </w:p>
        </w:tc>
        <w:tc>
          <w:tcPr>
            <w:tcW w:w="986" w:type="dxa"/>
            <w:tcBorders>
              <w:top w:val="nil"/>
              <w:left w:val="single" w:sz="7" w:space="0" w:color="000000"/>
              <w:bottom w:val="nil"/>
            </w:tcBorders>
          </w:tcPr>
          <w:p>
            <w:pPr>
              <w:pStyle w:val="TableParagraph"/>
              <w:spacing w:line="195" w:lineRule="exact"/>
              <w:ind w:left="132" w:right="-5"/>
              <w:rPr>
                <w:sz w:val="18"/>
              </w:rPr>
            </w:pPr>
            <w:r>
              <w:rPr>
                <w:color w:val="010101"/>
                <w:spacing w:val="-24"/>
                <w:sz w:val="18"/>
              </w:rPr>
              <w:t>5,011,682</w:t>
            </w:r>
          </w:p>
        </w:tc>
        <w:tc>
          <w:tcPr>
            <w:tcW w:w="753" w:type="dxa"/>
            <w:tcBorders>
              <w:top w:val="nil"/>
              <w:bottom w:val="nil"/>
              <w:right w:val="single" w:sz="7" w:space="0" w:color="000000"/>
            </w:tcBorders>
          </w:tcPr>
          <w:p>
            <w:pPr>
              <w:pStyle w:val="TableParagraph"/>
              <w:spacing w:line="191" w:lineRule="exact"/>
              <w:ind w:left="175" w:right="-1"/>
              <w:rPr>
                <w:sz w:val="18"/>
              </w:rPr>
            </w:pPr>
            <w:r>
              <w:rPr>
                <w:color w:val="010101"/>
                <w:sz w:val="18"/>
              </w:rPr>
              <w:t>52.10</w:t>
            </w:r>
          </w:p>
        </w:tc>
        <w:tc>
          <w:tcPr>
            <w:tcW w:w="424" w:type="dxa"/>
            <w:tcBorders>
              <w:top w:val="nil"/>
              <w:left w:val="single" w:sz="7" w:space="0" w:color="000000"/>
              <w:bottom w:val="nil"/>
              <w:right w:val="nil"/>
            </w:tcBorders>
          </w:tcPr>
          <w:p>
            <w:pPr>
              <w:pStyle w:val="TableParagraph"/>
              <w:spacing w:line="191" w:lineRule="exact"/>
              <w:ind w:left="178" w:right="-7"/>
              <w:rPr>
                <w:sz w:val="18"/>
              </w:rPr>
            </w:pPr>
            <w:r>
              <w:rPr>
                <w:color w:val="010101"/>
                <w:w w:val="90"/>
                <w:sz w:val="18"/>
              </w:rPr>
              <w:t>18</w:t>
            </w:r>
          </w:p>
        </w:tc>
      </w:tr>
      <w:tr>
        <w:trPr>
          <w:trHeight w:val="298" w:hRule="exact"/>
        </w:trPr>
        <w:tc>
          <w:tcPr>
            <w:tcW w:w="374" w:type="dxa"/>
            <w:tcBorders>
              <w:top w:val="nil"/>
              <w:left w:val="nil"/>
              <w:bottom w:val="nil"/>
            </w:tcBorders>
          </w:tcPr>
          <w:p>
            <w:pPr>
              <w:pStyle w:val="TableParagraph"/>
              <w:spacing w:line="197" w:lineRule="exact"/>
              <w:ind w:right="53"/>
              <w:jc w:val="right"/>
              <w:rPr>
                <w:sz w:val="18"/>
              </w:rPr>
            </w:pPr>
            <w:r>
              <w:rPr>
                <w:color w:val="010101"/>
                <w:w w:val="75"/>
                <w:sz w:val="18"/>
              </w:rPr>
              <w:t>19</w:t>
            </w:r>
          </w:p>
        </w:tc>
        <w:tc>
          <w:tcPr>
            <w:tcW w:w="828" w:type="dxa"/>
            <w:tcBorders>
              <w:top w:val="nil"/>
              <w:bottom w:val="nil"/>
            </w:tcBorders>
          </w:tcPr>
          <w:p>
            <w:pPr>
              <w:pStyle w:val="TableParagraph"/>
              <w:spacing w:line="197" w:lineRule="exact"/>
              <w:ind w:left="75" w:right="15"/>
              <w:jc w:val="center"/>
              <w:rPr>
                <w:sz w:val="18"/>
              </w:rPr>
            </w:pPr>
            <w:r>
              <w:rPr>
                <w:color w:val="1A1A1A"/>
                <w:sz w:val="18"/>
              </w:rPr>
              <w:t>.</w:t>
            </w:r>
            <w:r>
              <w:rPr>
                <w:color w:val="010101"/>
                <w:sz w:val="18"/>
              </w:rPr>
              <w:t>00149</w:t>
            </w:r>
          </w:p>
        </w:tc>
        <w:tc>
          <w:tcPr>
            <w:tcW w:w="825" w:type="dxa"/>
            <w:tcBorders>
              <w:top w:val="nil"/>
              <w:bottom w:val="nil"/>
              <w:right w:val="single" w:sz="7" w:space="0" w:color="000000"/>
            </w:tcBorders>
          </w:tcPr>
          <w:p>
            <w:pPr>
              <w:pStyle w:val="TableParagraph"/>
              <w:spacing w:line="200" w:lineRule="exact"/>
              <w:ind w:left="54" w:right="34"/>
              <w:jc w:val="center"/>
              <w:rPr>
                <w:sz w:val="18"/>
              </w:rPr>
            </w:pPr>
            <w:r>
              <w:rPr>
                <w:color w:val="010101"/>
                <w:sz w:val="18"/>
              </w:rPr>
              <w:t>96,051</w:t>
            </w:r>
          </w:p>
        </w:tc>
        <w:tc>
          <w:tcPr>
            <w:tcW w:w="673" w:type="dxa"/>
            <w:tcBorders>
              <w:top w:val="nil"/>
              <w:left w:val="single" w:sz="7" w:space="0" w:color="000000"/>
              <w:bottom w:val="nil"/>
            </w:tcBorders>
          </w:tcPr>
          <w:p>
            <w:pPr>
              <w:pStyle w:val="TableParagraph"/>
              <w:spacing w:line="197" w:lineRule="exact"/>
              <w:ind w:right="91"/>
              <w:jc w:val="right"/>
              <w:rPr>
                <w:sz w:val="18"/>
              </w:rPr>
            </w:pPr>
            <w:r>
              <w:rPr>
                <w:color w:val="010101"/>
                <w:w w:val="85"/>
                <w:sz w:val="18"/>
              </w:rPr>
              <w:t>143</w:t>
            </w:r>
          </w:p>
        </w:tc>
        <w:tc>
          <w:tcPr>
            <w:tcW w:w="830" w:type="dxa"/>
            <w:tcBorders>
              <w:top w:val="nil"/>
              <w:bottom w:val="nil"/>
              <w:right w:val="single" w:sz="7" w:space="0" w:color="000000"/>
            </w:tcBorders>
          </w:tcPr>
          <w:p>
            <w:pPr>
              <w:pStyle w:val="TableParagraph"/>
              <w:spacing w:line="200" w:lineRule="exact"/>
              <w:ind w:left="51" w:right="17"/>
              <w:jc w:val="center"/>
              <w:rPr>
                <w:sz w:val="18"/>
              </w:rPr>
            </w:pPr>
            <w:r>
              <w:rPr>
                <w:color w:val="010101"/>
                <w:sz w:val="18"/>
              </w:rPr>
              <w:t>95,979</w:t>
            </w:r>
          </w:p>
        </w:tc>
        <w:tc>
          <w:tcPr>
            <w:tcW w:w="986" w:type="dxa"/>
            <w:tcBorders>
              <w:top w:val="nil"/>
              <w:left w:val="single" w:sz="7" w:space="0" w:color="000000"/>
              <w:bottom w:val="nil"/>
            </w:tcBorders>
          </w:tcPr>
          <w:p>
            <w:pPr>
              <w:pStyle w:val="TableParagraph"/>
              <w:spacing w:line="197" w:lineRule="exact"/>
              <w:ind w:left="128" w:right="-5"/>
              <w:rPr>
                <w:sz w:val="18"/>
              </w:rPr>
            </w:pPr>
            <w:r>
              <w:rPr>
                <w:color w:val="010101"/>
                <w:spacing w:val="-14"/>
                <w:w w:val="95"/>
                <w:sz w:val="18"/>
              </w:rPr>
              <w:t>4,915,564</w:t>
            </w:r>
          </w:p>
        </w:tc>
        <w:tc>
          <w:tcPr>
            <w:tcW w:w="753" w:type="dxa"/>
            <w:tcBorders>
              <w:top w:val="nil"/>
              <w:bottom w:val="nil"/>
              <w:right w:val="single" w:sz="7" w:space="0" w:color="000000"/>
            </w:tcBorders>
          </w:tcPr>
          <w:p>
            <w:pPr>
              <w:pStyle w:val="TableParagraph"/>
              <w:spacing w:line="197" w:lineRule="exact"/>
              <w:ind w:left="171" w:right="-1"/>
              <w:rPr>
                <w:sz w:val="18"/>
              </w:rPr>
            </w:pPr>
            <w:r>
              <w:rPr>
                <w:color w:val="010101"/>
                <w:w w:val="85"/>
                <w:sz w:val="18"/>
              </w:rPr>
              <w:t>51.18</w:t>
            </w:r>
          </w:p>
        </w:tc>
        <w:tc>
          <w:tcPr>
            <w:tcW w:w="424" w:type="dxa"/>
            <w:tcBorders>
              <w:top w:val="nil"/>
              <w:left w:val="single" w:sz="7" w:space="0" w:color="000000"/>
              <w:bottom w:val="nil"/>
              <w:right w:val="nil"/>
            </w:tcBorders>
          </w:tcPr>
          <w:p>
            <w:pPr>
              <w:pStyle w:val="TableParagraph"/>
              <w:spacing w:line="193" w:lineRule="exact"/>
              <w:ind w:left="178" w:right="-7"/>
              <w:rPr>
                <w:sz w:val="18"/>
              </w:rPr>
            </w:pPr>
            <w:r>
              <w:rPr>
                <w:color w:val="010101"/>
                <w:sz w:val="18"/>
              </w:rPr>
              <w:t>19</w:t>
            </w:r>
          </w:p>
        </w:tc>
      </w:tr>
      <w:tr>
        <w:trPr>
          <w:trHeight w:val="300" w:hRule="exact"/>
        </w:trPr>
        <w:tc>
          <w:tcPr>
            <w:tcW w:w="374" w:type="dxa"/>
            <w:tcBorders>
              <w:top w:val="nil"/>
              <w:left w:val="nil"/>
              <w:bottom w:val="nil"/>
            </w:tcBorders>
          </w:tcPr>
          <w:p>
            <w:pPr>
              <w:pStyle w:val="TableParagraph"/>
              <w:spacing w:before="98"/>
              <w:ind w:right="69"/>
              <w:jc w:val="right"/>
              <w:rPr>
                <w:rFonts w:ascii="Times New Roman"/>
                <w:sz w:val="16"/>
              </w:rPr>
            </w:pPr>
            <w:r>
              <w:rPr>
                <w:rFonts w:ascii="Times New Roman"/>
                <w:color w:val="010101"/>
                <w:sz w:val="16"/>
              </w:rPr>
              <w:t>20</w:t>
            </w:r>
          </w:p>
        </w:tc>
        <w:tc>
          <w:tcPr>
            <w:tcW w:w="828" w:type="dxa"/>
            <w:tcBorders>
              <w:top w:val="nil"/>
              <w:bottom w:val="nil"/>
            </w:tcBorders>
          </w:tcPr>
          <w:p>
            <w:pPr>
              <w:pStyle w:val="TableParagraph"/>
              <w:spacing w:before="97"/>
              <w:ind w:left="75" w:right="11"/>
              <w:jc w:val="center"/>
              <w:rPr>
                <w:sz w:val="18"/>
              </w:rPr>
            </w:pPr>
            <w:r>
              <w:rPr>
                <w:color w:val="010101"/>
                <w:sz w:val="18"/>
              </w:rPr>
              <w:t>.00159</w:t>
            </w:r>
          </w:p>
        </w:tc>
        <w:tc>
          <w:tcPr>
            <w:tcW w:w="825" w:type="dxa"/>
            <w:tcBorders>
              <w:top w:val="nil"/>
              <w:bottom w:val="nil"/>
              <w:right w:val="single" w:sz="7" w:space="0" w:color="000000"/>
            </w:tcBorders>
          </w:tcPr>
          <w:p>
            <w:pPr>
              <w:pStyle w:val="TableParagraph"/>
              <w:spacing w:before="97"/>
              <w:ind w:left="70" w:right="28"/>
              <w:jc w:val="center"/>
              <w:rPr>
                <w:sz w:val="18"/>
              </w:rPr>
            </w:pPr>
            <w:r>
              <w:rPr>
                <w:color w:val="010101"/>
                <w:sz w:val="18"/>
              </w:rPr>
              <w:t>95,908</w:t>
            </w:r>
          </w:p>
        </w:tc>
        <w:tc>
          <w:tcPr>
            <w:tcW w:w="673" w:type="dxa"/>
            <w:tcBorders>
              <w:top w:val="nil"/>
              <w:left w:val="single" w:sz="7" w:space="0" w:color="000000"/>
              <w:bottom w:val="nil"/>
            </w:tcBorders>
          </w:tcPr>
          <w:p>
            <w:pPr>
              <w:pStyle w:val="TableParagraph"/>
              <w:spacing w:before="97"/>
              <w:ind w:right="97"/>
              <w:jc w:val="right"/>
              <w:rPr>
                <w:sz w:val="18"/>
              </w:rPr>
            </w:pPr>
            <w:r>
              <w:rPr>
                <w:color w:val="010101"/>
                <w:w w:val="75"/>
                <w:sz w:val="18"/>
              </w:rPr>
              <w:t>153</w:t>
            </w:r>
          </w:p>
        </w:tc>
        <w:tc>
          <w:tcPr>
            <w:tcW w:w="830" w:type="dxa"/>
            <w:tcBorders>
              <w:top w:val="nil"/>
              <w:bottom w:val="nil"/>
              <w:right w:val="single" w:sz="7" w:space="0" w:color="000000"/>
            </w:tcBorders>
          </w:tcPr>
          <w:p>
            <w:pPr>
              <w:pStyle w:val="TableParagraph"/>
              <w:spacing w:before="97"/>
              <w:ind w:left="31" w:right="17"/>
              <w:jc w:val="center"/>
              <w:rPr>
                <w:sz w:val="18"/>
              </w:rPr>
            </w:pPr>
            <w:r>
              <w:rPr>
                <w:color w:val="010101"/>
                <w:w w:val="95"/>
                <w:sz w:val="18"/>
              </w:rPr>
              <w:t>95,831</w:t>
            </w:r>
          </w:p>
        </w:tc>
        <w:tc>
          <w:tcPr>
            <w:tcW w:w="986" w:type="dxa"/>
            <w:tcBorders>
              <w:top w:val="nil"/>
              <w:left w:val="single" w:sz="7" w:space="0" w:color="000000"/>
              <w:bottom w:val="nil"/>
            </w:tcBorders>
          </w:tcPr>
          <w:p>
            <w:pPr>
              <w:pStyle w:val="TableParagraph"/>
              <w:spacing w:before="94"/>
              <w:ind w:left="132" w:right="-5"/>
              <w:rPr>
                <w:sz w:val="18"/>
              </w:rPr>
            </w:pPr>
            <w:r>
              <w:rPr>
                <w:color w:val="010101"/>
                <w:spacing w:val="-9"/>
                <w:w w:val="90"/>
                <w:sz w:val="18"/>
              </w:rPr>
              <w:t>4,819,585</w:t>
            </w:r>
          </w:p>
        </w:tc>
        <w:tc>
          <w:tcPr>
            <w:tcW w:w="753" w:type="dxa"/>
            <w:tcBorders>
              <w:top w:val="nil"/>
              <w:bottom w:val="nil"/>
              <w:right w:val="single" w:sz="7" w:space="0" w:color="000000"/>
            </w:tcBorders>
          </w:tcPr>
          <w:p>
            <w:pPr>
              <w:pStyle w:val="TableParagraph"/>
              <w:spacing w:before="94"/>
              <w:ind w:left="178" w:right="-1"/>
              <w:rPr>
                <w:rFonts w:ascii="Times New Roman"/>
                <w:b/>
                <w:sz w:val="16"/>
              </w:rPr>
            </w:pPr>
            <w:r>
              <w:rPr>
                <w:rFonts w:ascii="Times New Roman"/>
                <w:b/>
                <w:color w:val="010101"/>
                <w:w w:val="105"/>
                <w:sz w:val="16"/>
              </w:rPr>
              <w:t>50. 25</w:t>
            </w:r>
          </w:p>
        </w:tc>
        <w:tc>
          <w:tcPr>
            <w:tcW w:w="424" w:type="dxa"/>
            <w:tcBorders>
              <w:top w:val="nil"/>
              <w:left w:val="single" w:sz="7" w:space="0" w:color="000000"/>
              <w:bottom w:val="nil"/>
              <w:right w:val="nil"/>
            </w:tcBorders>
          </w:tcPr>
          <w:p>
            <w:pPr>
              <w:pStyle w:val="TableParagraph"/>
              <w:spacing w:before="81"/>
              <w:ind w:left="168" w:right="-7"/>
              <w:rPr>
                <w:rFonts w:ascii="Times New Roman"/>
                <w:sz w:val="17"/>
              </w:rPr>
            </w:pPr>
            <w:r>
              <w:rPr>
                <w:rFonts w:ascii="Times New Roman"/>
                <w:color w:val="010101"/>
                <w:sz w:val="17"/>
              </w:rPr>
              <w:t>20</w:t>
            </w:r>
          </w:p>
        </w:tc>
      </w:tr>
      <w:tr>
        <w:trPr>
          <w:trHeight w:val="197" w:hRule="exact"/>
        </w:trPr>
        <w:tc>
          <w:tcPr>
            <w:tcW w:w="374" w:type="dxa"/>
            <w:tcBorders>
              <w:top w:val="nil"/>
              <w:left w:val="nil"/>
              <w:bottom w:val="nil"/>
            </w:tcBorders>
          </w:tcPr>
          <w:p>
            <w:pPr>
              <w:pStyle w:val="TableParagraph"/>
              <w:spacing w:line="199" w:lineRule="exact"/>
              <w:ind w:right="56"/>
              <w:jc w:val="right"/>
              <w:rPr>
                <w:sz w:val="18"/>
              </w:rPr>
            </w:pPr>
            <w:r>
              <w:rPr>
                <w:color w:val="010101"/>
                <w:w w:val="90"/>
                <w:sz w:val="18"/>
              </w:rPr>
              <w:t>21</w:t>
            </w:r>
          </w:p>
        </w:tc>
        <w:tc>
          <w:tcPr>
            <w:tcW w:w="828" w:type="dxa"/>
            <w:tcBorders>
              <w:top w:val="nil"/>
              <w:bottom w:val="nil"/>
            </w:tcBorders>
          </w:tcPr>
          <w:p>
            <w:pPr>
              <w:pStyle w:val="TableParagraph"/>
              <w:spacing w:line="202" w:lineRule="exact"/>
              <w:ind w:left="75" w:right="11"/>
              <w:jc w:val="center"/>
              <w:rPr>
                <w:sz w:val="18"/>
              </w:rPr>
            </w:pPr>
            <w:r>
              <w:rPr>
                <w:color w:val="010101"/>
                <w:sz w:val="18"/>
              </w:rPr>
              <w:t>.00169</w:t>
            </w:r>
          </w:p>
        </w:tc>
        <w:tc>
          <w:tcPr>
            <w:tcW w:w="825" w:type="dxa"/>
            <w:tcBorders>
              <w:top w:val="nil"/>
              <w:bottom w:val="nil"/>
              <w:right w:val="single" w:sz="7" w:space="0" w:color="000000"/>
            </w:tcBorders>
          </w:tcPr>
          <w:p>
            <w:pPr>
              <w:pStyle w:val="TableParagraph"/>
              <w:spacing w:line="202" w:lineRule="exact"/>
              <w:ind w:left="63" w:right="34"/>
              <w:jc w:val="center"/>
              <w:rPr>
                <w:sz w:val="18"/>
              </w:rPr>
            </w:pPr>
            <w:r>
              <w:rPr>
                <w:color w:val="010101"/>
                <w:sz w:val="18"/>
              </w:rPr>
              <w:t>95,755</w:t>
            </w:r>
          </w:p>
        </w:tc>
        <w:tc>
          <w:tcPr>
            <w:tcW w:w="673" w:type="dxa"/>
            <w:tcBorders>
              <w:top w:val="nil"/>
              <w:left w:val="single" w:sz="7" w:space="0" w:color="000000"/>
              <w:bottom w:val="nil"/>
            </w:tcBorders>
          </w:tcPr>
          <w:p>
            <w:pPr>
              <w:pStyle w:val="TableParagraph"/>
              <w:spacing w:line="199" w:lineRule="exact"/>
              <w:ind w:right="94"/>
              <w:jc w:val="right"/>
              <w:rPr>
                <w:sz w:val="18"/>
              </w:rPr>
            </w:pPr>
            <w:r>
              <w:rPr>
                <w:color w:val="010101"/>
                <w:w w:val="75"/>
                <w:sz w:val="18"/>
              </w:rPr>
              <w:t>162</w:t>
            </w:r>
          </w:p>
        </w:tc>
        <w:tc>
          <w:tcPr>
            <w:tcW w:w="830" w:type="dxa"/>
            <w:tcBorders>
              <w:top w:val="nil"/>
              <w:bottom w:val="nil"/>
              <w:right w:val="single" w:sz="7" w:space="0" w:color="000000"/>
            </w:tcBorders>
          </w:tcPr>
          <w:p>
            <w:pPr>
              <w:pStyle w:val="TableParagraph"/>
              <w:spacing w:line="202" w:lineRule="exact"/>
              <w:ind w:left="55" w:right="17"/>
              <w:jc w:val="center"/>
              <w:rPr>
                <w:sz w:val="18"/>
              </w:rPr>
            </w:pPr>
            <w:r>
              <w:rPr>
                <w:color w:val="010101"/>
                <w:sz w:val="18"/>
              </w:rPr>
              <w:t>95,674</w:t>
            </w:r>
          </w:p>
        </w:tc>
        <w:tc>
          <w:tcPr>
            <w:tcW w:w="986" w:type="dxa"/>
            <w:tcBorders>
              <w:top w:val="nil"/>
              <w:left w:val="single" w:sz="7" w:space="0" w:color="000000"/>
              <w:bottom w:val="nil"/>
            </w:tcBorders>
          </w:tcPr>
          <w:p>
            <w:pPr>
              <w:pStyle w:val="TableParagraph"/>
              <w:spacing w:line="195" w:lineRule="exact"/>
              <w:ind w:left="132" w:right="-9"/>
              <w:rPr>
                <w:sz w:val="18"/>
              </w:rPr>
            </w:pPr>
            <w:r>
              <w:rPr>
                <w:color w:val="010101"/>
                <w:w w:val="85"/>
                <w:sz w:val="18"/>
              </w:rPr>
              <w:t>4,723,754</w:t>
            </w:r>
          </w:p>
        </w:tc>
        <w:tc>
          <w:tcPr>
            <w:tcW w:w="753" w:type="dxa"/>
            <w:tcBorders>
              <w:top w:val="nil"/>
              <w:bottom w:val="nil"/>
              <w:right w:val="single" w:sz="7" w:space="0" w:color="000000"/>
            </w:tcBorders>
          </w:tcPr>
          <w:p>
            <w:pPr>
              <w:pStyle w:val="TableParagraph"/>
              <w:spacing w:line="195" w:lineRule="exact"/>
              <w:ind w:left="171" w:right="-1"/>
              <w:rPr>
                <w:sz w:val="18"/>
              </w:rPr>
            </w:pPr>
            <w:r>
              <w:rPr>
                <w:color w:val="010101"/>
                <w:sz w:val="18"/>
              </w:rPr>
              <w:t>49.33</w:t>
            </w:r>
          </w:p>
        </w:tc>
        <w:tc>
          <w:tcPr>
            <w:tcW w:w="424" w:type="dxa"/>
            <w:tcBorders>
              <w:top w:val="nil"/>
              <w:left w:val="single" w:sz="7" w:space="0" w:color="000000"/>
              <w:bottom w:val="nil"/>
              <w:right w:val="nil"/>
            </w:tcBorders>
          </w:tcPr>
          <w:p>
            <w:pPr>
              <w:pStyle w:val="TableParagraph"/>
              <w:spacing w:line="191" w:lineRule="exact"/>
              <w:ind w:left="175" w:right="-7"/>
              <w:rPr>
                <w:sz w:val="18"/>
              </w:rPr>
            </w:pPr>
            <w:r>
              <w:rPr>
                <w:color w:val="010101"/>
                <w:sz w:val="18"/>
              </w:rPr>
              <w:t>21</w:t>
            </w:r>
          </w:p>
        </w:tc>
      </w:tr>
      <w:tr>
        <w:trPr>
          <w:trHeight w:val="205" w:hRule="exact"/>
        </w:trPr>
        <w:tc>
          <w:tcPr>
            <w:tcW w:w="374" w:type="dxa"/>
            <w:tcBorders>
              <w:top w:val="nil"/>
              <w:left w:val="nil"/>
              <w:bottom w:val="nil"/>
            </w:tcBorders>
          </w:tcPr>
          <w:p>
            <w:pPr>
              <w:pStyle w:val="TableParagraph"/>
              <w:spacing w:line="183" w:lineRule="exact"/>
              <w:ind w:right="67"/>
              <w:jc w:val="right"/>
              <w:rPr>
                <w:rFonts w:ascii="Times New Roman"/>
                <w:sz w:val="16"/>
              </w:rPr>
            </w:pPr>
            <w:r>
              <w:rPr>
                <w:rFonts w:ascii="Times New Roman"/>
                <w:color w:val="010101"/>
                <w:sz w:val="16"/>
              </w:rPr>
              <w:t>22</w:t>
            </w:r>
          </w:p>
        </w:tc>
        <w:tc>
          <w:tcPr>
            <w:tcW w:w="828" w:type="dxa"/>
            <w:tcBorders>
              <w:top w:val="nil"/>
              <w:bottom w:val="nil"/>
            </w:tcBorders>
          </w:tcPr>
          <w:p>
            <w:pPr>
              <w:pStyle w:val="TableParagraph"/>
              <w:spacing w:line="188" w:lineRule="exact"/>
              <w:ind w:left="15" w:right="17"/>
              <w:jc w:val="center"/>
              <w:rPr>
                <w:sz w:val="18"/>
              </w:rPr>
            </w:pPr>
            <w:r>
              <w:rPr>
                <w:color w:val="1A1A1A"/>
                <w:w w:val="85"/>
                <w:sz w:val="18"/>
              </w:rPr>
              <w:t>.</w:t>
            </w:r>
            <w:r>
              <w:rPr>
                <w:color w:val="1A1A1A"/>
                <w:spacing w:val="-78"/>
                <w:w w:val="85"/>
                <w:sz w:val="18"/>
              </w:rPr>
              <w:t> </w:t>
            </w:r>
            <w:r>
              <w:rPr>
                <w:color w:val="010101"/>
                <w:spacing w:val="-16"/>
                <w:w w:val="85"/>
                <w:sz w:val="18"/>
              </w:rPr>
              <w:t>.00174</w:t>
            </w:r>
          </w:p>
        </w:tc>
        <w:tc>
          <w:tcPr>
            <w:tcW w:w="825" w:type="dxa"/>
            <w:tcBorders>
              <w:top w:val="nil"/>
              <w:bottom w:val="nil"/>
              <w:right w:val="single" w:sz="7" w:space="0" w:color="000000"/>
            </w:tcBorders>
          </w:tcPr>
          <w:p>
            <w:pPr>
              <w:pStyle w:val="TableParagraph"/>
              <w:spacing w:before="2"/>
              <w:ind w:left="69" w:right="34"/>
              <w:jc w:val="center"/>
              <w:rPr>
                <w:sz w:val="18"/>
              </w:rPr>
            </w:pPr>
            <w:r>
              <w:rPr>
                <w:color w:val="010101"/>
                <w:sz w:val="18"/>
              </w:rPr>
              <w:t>95,593</w:t>
            </w:r>
          </w:p>
        </w:tc>
        <w:tc>
          <w:tcPr>
            <w:tcW w:w="673" w:type="dxa"/>
            <w:tcBorders>
              <w:top w:val="nil"/>
              <w:left w:val="single" w:sz="7" w:space="0" w:color="000000"/>
              <w:bottom w:val="nil"/>
            </w:tcBorders>
          </w:tcPr>
          <w:p>
            <w:pPr>
              <w:pStyle w:val="TableParagraph"/>
              <w:spacing w:line="202" w:lineRule="exact"/>
              <w:ind w:right="87"/>
              <w:jc w:val="right"/>
              <w:rPr>
                <w:sz w:val="18"/>
              </w:rPr>
            </w:pPr>
            <w:r>
              <w:rPr>
                <w:color w:val="010101"/>
                <w:w w:val="85"/>
                <w:sz w:val="18"/>
              </w:rPr>
              <w:t>167</w:t>
            </w:r>
          </w:p>
        </w:tc>
        <w:tc>
          <w:tcPr>
            <w:tcW w:w="830" w:type="dxa"/>
            <w:tcBorders>
              <w:top w:val="nil"/>
              <w:bottom w:val="nil"/>
              <w:right w:val="single" w:sz="7" w:space="0" w:color="000000"/>
            </w:tcBorders>
          </w:tcPr>
          <w:p>
            <w:pPr>
              <w:pStyle w:val="TableParagraph"/>
              <w:spacing w:before="2"/>
              <w:ind w:left="39" w:right="17"/>
              <w:jc w:val="center"/>
              <w:rPr>
                <w:sz w:val="18"/>
              </w:rPr>
            </w:pPr>
            <w:r>
              <w:rPr>
                <w:color w:val="010101"/>
                <w:w w:val="95"/>
                <w:sz w:val="18"/>
              </w:rPr>
              <w:t>95,509</w:t>
            </w:r>
          </w:p>
        </w:tc>
        <w:tc>
          <w:tcPr>
            <w:tcW w:w="986" w:type="dxa"/>
            <w:tcBorders>
              <w:top w:val="nil"/>
              <w:left w:val="single" w:sz="7" w:space="0" w:color="000000"/>
              <w:bottom w:val="nil"/>
            </w:tcBorders>
          </w:tcPr>
          <w:p>
            <w:pPr>
              <w:pStyle w:val="TableParagraph"/>
              <w:spacing w:line="202" w:lineRule="exact"/>
              <w:ind w:left="132" w:right="-5"/>
              <w:rPr>
                <w:sz w:val="18"/>
              </w:rPr>
            </w:pPr>
            <w:r>
              <w:rPr>
                <w:color w:val="010101"/>
                <w:spacing w:val="-10"/>
                <w:w w:val="90"/>
                <w:sz w:val="18"/>
              </w:rPr>
              <w:t>4,628,080</w:t>
            </w:r>
          </w:p>
        </w:tc>
        <w:tc>
          <w:tcPr>
            <w:tcW w:w="753" w:type="dxa"/>
            <w:tcBorders>
              <w:top w:val="nil"/>
              <w:bottom w:val="nil"/>
              <w:right w:val="single" w:sz="7" w:space="0" w:color="000000"/>
            </w:tcBorders>
          </w:tcPr>
          <w:p>
            <w:pPr>
              <w:pStyle w:val="TableParagraph"/>
              <w:spacing w:line="199" w:lineRule="exact"/>
              <w:ind w:left="171" w:right="-1"/>
              <w:rPr>
                <w:sz w:val="18"/>
              </w:rPr>
            </w:pPr>
            <w:r>
              <w:rPr>
                <w:color w:val="010101"/>
                <w:sz w:val="18"/>
              </w:rPr>
              <w:t>48.41</w:t>
            </w:r>
          </w:p>
        </w:tc>
        <w:tc>
          <w:tcPr>
            <w:tcW w:w="424" w:type="dxa"/>
            <w:tcBorders>
              <w:top w:val="nil"/>
              <w:left w:val="single" w:sz="7" w:space="0" w:color="000000"/>
              <w:bottom w:val="nil"/>
              <w:right w:val="nil"/>
            </w:tcBorders>
          </w:tcPr>
          <w:p>
            <w:pPr>
              <w:pStyle w:val="TableParagraph"/>
              <w:spacing w:line="176" w:lineRule="exact"/>
              <w:ind w:left="168" w:right="-7"/>
              <w:rPr>
                <w:rFonts w:ascii="Times New Roman"/>
                <w:sz w:val="16"/>
              </w:rPr>
            </w:pPr>
            <w:r>
              <w:rPr>
                <w:rFonts w:ascii="Times New Roman"/>
                <w:color w:val="010101"/>
                <w:w w:val="105"/>
                <w:sz w:val="16"/>
              </w:rPr>
              <w:t>22</w:t>
            </w:r>
          </w:p>
        </w:tc>
      </w:tr>
      <w:tr>
        <w:trPr>
          <w:trHeight w:val="199" w:hRule="exact"/>
        </w:trPr>
        <w:tc>
          <w:tcPr>
            <w:tcW w:w="374" w:type="dxa"/>
            <w:tcBorders>
              <w:top w:val="nil"/>
              <w:left w:val="nil"/>
              <w:bottom w:val="nil"/>
            </w:tcBorders>
          </w:tcPr>
          <w:p>
            <w:pPr>
              <w:pStyle w:val="TableParagraph"/>
              <w:spacing w:line="185" w:lineRule="exact"/>
              <w:ind w:right="63"/>
              <w:jc w:val="right"/>
              <w:rPr>
                <w:rFonts w:ascii="Times New Roman"/>
                <w:sz w:val="17"/>
              </w:rPr>
            </w:pPr>
            <w:r>
              <w:rPr>
                <w:rFonts w:ascii="Times New Roman"/>
                <w:color w:val="010101"/>
                <w:w w:val="95"/>
                <w:sz w:val="17"/>
              </w:rPr>
              <w:t>23</w:t>
            </w:r>
          </w:p>
        </w:tc>
        <w:tc>
          <w:tcPr>
            <w:tcW w:w="828" w:type="dxa"/>
            <w:tcBorders>
              <w:top w:val="nil"/>
              <w:bottom w:val="nil"/>
            </w:tcBorders>
          </w:tcPr>
          <w:p>
            <w:pPr>
              <w:pStyle w:val="TableParagraph"/>
              <w:spacing w:line="199" w:lineRule="exact"/>
              <w:ind w:left="75" w:right="13"/>
              <w:jc w:val="center"/>
              <w:rPr>
                <w:sz w:val="18"/>
              </w:rPr>
            </w:pPr>
            <w:r>
              <w:rPr>
                <w:color w:val="010101"/>
                <w:sz w:val="18"/>
              </w:rPr>
              <w:t>.00172</w:t>
            </w:r>
          </w:p>
        </w:tc>
        <w:tc>
          <w:tcPr>
            <w:tcW w:w="825" w:type="dxa"/>
            <w:tcBorders>
              <w:top w:val="nil"/>
              <w:bottom w:val="nil"/>
              <w:right w:val="single" w:sz="7" w:space="0" w:color="000000"/>
            </w:tcBorders>
          </w:tcPr>
          <w:p>
            <w:pPr>
              <w:pStyle w:val="TableParagraph"/>
              <w:spacing w:line="202" w:lineRule="exact"/>
              <w:ind w:left="70" w:right="54"/>
              <w:jc w:val="center"/>
              <w:rPr>
                <w:sz w:val="18"/>
              </w:rPr>
            </w:pPr>
            <w:r>
              <w:rPr>
                <w:color w:val="010101"/>
                <w:w w:val="95"/>
                <w:sz w:val="18"/>
              </w:rPr>
              <w:t>95,426</w:t>
            </w:r>
          </w:p>
        </w:tc>
        <w:tc>
          <w:tcPr>
            <w:tcW w:w="673" w:type="dxa"/>
            <w:tcBorders>
              <w:top w:val="nil"/>
              <w:left w:val="single" w:sz="7" w:space="0" w:color="000000"/>
              <w:bottom w:val="nil"/>
            </w:tcBorders>
          </w:tcPr>
          <w:p>
            <w:pPr>
              <w:pStyle w:val="TableParagraph"/>
              <w:spacing w:line="199" w:lineRule="exact"/>
              <w:ind w:right="100"/>
              <w:jc w:val="right"/>
              <w:rPr>
                <w:sz w:val="18"/>
              </w:rPr>
            </w:pPr>
            <w:r>
              <w:rPr>
                <w:color w:val="010101"/>
                <w:w w:val="75"/>
                <w:sz w:val="18"/>
              </w:rPr>
              <w:t>163</w:t>
            </w:r>
          </w:p>
        </w:tc>
        <w:tc>
          <w:tcPr>
            <w:tcW w:w="830" w:type="dxa"/>
            <w:tcBorders>
              <w:top w:val="nil"/>
              <w:bottom w:val="nil"/>
              <w:right w:val="single" w:sz="7" w:space="0" w:color="000000"/>
            </w:tcBorders>
          </w:tcPr>
          <w:p>
            <w:pPr>
              <w:pStyle w:val="TableParagraph"/>
              <w:spacing w:line="199" w:lineRule="exact"/>
              <w:ind w:left="49" w:right="17"/>
              <w:jc w:val="center"/>
              <w:rPr>
                <w:sz w:val="18"/>
              </w:rPr>
            </w:pPr>
            <w:r>
              <w:rPr>
                <w:color w:val="010101"/>
                <w:sz w:val="18"/>
              </w:rPr>
              <w:t>95,345</w:t>
            </w:r>
          </w:p>
        </w:tc>
        <w:tc>
          <w:tcPr>
            <w:tcW w:w="986" w:type="dxa"/>
            <w:tcBorders>
              <w:top w:val="nil"/>
              <w:left w:val="single" w:sz="7" w:space="0" w:color="000000"/>
              <w:bottom w:val="nil"/>
            </w:tcBorders>
          </w:tcPr>
          <w:p>
            <w:pPr>
              <w:pStyle w:val="TableParagraph"/>
              <w:spacing w:line="195" w:lineRule="exact"/>
              <w:ind w:left="128" w:right="-5"/>
              <w:rPr>
                <w:sz w:val="18"/>
              </w:rPr>
            </w:pPr>
            <w:r>
              <w:rPr>
                <w:color w:val="010101"/>
                <w:spacing w:val="-9"/>
                <w:w w:val="90"/>
                <w:sz w:val="18"/>
              </w:rPr>
              <w:t>4,532,571</w:t>
            </w:r>
          </w:p>
        </w:tc>
        <w:tc>
          <w:tcPr>
            <w:tcW w:w="753" w:type="dxa"/>
            <w:tcBorders>
              <w:top w:val="nil"/>
              <w:bottom w:val="nil"/>
              <w:right w:val="single" w:sz="7" w:space="0" w:color="000000"/>
            </w:tcBorders>
          </w:tcPr>
          <w:p>
            <w:pPr>
              <w:pStyle w:val="TableParagraph"/>
              <w:spacing w:line="195" w:lineRule="exact"/>
              <w:ind w:left="168" w:right="-1"/>
              <w:rPr>
                <w:sz w:val="18"/>
              </w:rPr>
            </w:pPr>
            <w:r>
              <w:rPr>
                <w:color w:val="010101"/>
                <w:sz w:val="18"/>
              </w:rPr>
              <w:t>47.50</w:t>
            </w:r>
          </w:p>
        </w:tc>
        <w:tc>
          <w:tcPr>
            <w:tcW w:w="424" w:type="dxa"/>
            <w:tcBorders>
              <w:top w:val="nil"/>
              <w:left w:val="single" w:sz="7" w:space="0" w:color="000000"/>
              <w:bottom w:val="nil"/>
              <w:right w:val="nil"/>
            </w:tcBorders>
          </w:tcPr>
          <w:p>
            <w:pPr>
              <w:pStyle w:val="TableParagraph"/>
              <w:spacing w:line="191" w:lineRule="exact"/>
              <w:ind w:left="171" w:right="-7"/>
              <w:rPr>
                <w:sz w:val="18"/>
              </w:rPr>
            </w:pPr>
            <w:r>
              <w:rPr>
                <w:color w:val="010101"/>
                <w:w w:val="90"/>
                <w:sz w:val="18"/>
              </w:rPr>
              <w:t>23</w:t>
            </w:r>
          </w:p>
        </w:tc>
      </w:tr>
      <w:tr>
        <w:trPr>
          <w:trHeight w:val="303" w:hRule="exact"/>
        </w:trPr>
        <w:tc>
          <w:tcPr>
            <w:tcW w:w="374" w:type="dxa"/>
            <w:tcBorders>
              <w:top w:val="nil"/>
              <w:left w:val="nil"/>
              <w:bottom w:val="nil"/>
            </w:tcBorders>
          </w:tcPr>
          <w:p>
            <w:pPr>
              <w:pStyle w:val="TableParagraph"/>
              <w:spacing w:line="200" w:lineRule="exact"/>
              <w:ind w:right="50"/>
              <w:jc w:val="right"/>
              <w:rPr>
                <w:sz w:val="18"/>
              </w:rPr>
            </w:pPr>
            <w:r>
              <w:rPr>
                <w:color w:val="010101"/>
                <w:w w:val="80"/>
                <w:sz w:val="18"/>
              </w:rPr>
              <w:t>24</w:t>
            </w:r>
          </w:p>
        </w:tc>
        <w:tc>
          <w:tcPr>
            <w:tcW w:w="828" w:type="dxa"/>
            <w:tcBorders>
              <w:top w:val="nil"/>
              <w:bottom w:val="nil"/>
            </w:tcBorders>
          </w:tcPr>
          <w:p>
            <w:pPr>
              <w:pStyle w:val="TableParagraph"/>
              <w:ind w:left="61" w:right="17"/>
              <w:jc w:val="center"/>
              <w:rPr>
                <w:sz w:val="18"/>
              </w:rPr>
            </w:pPr>
            <w:r>
              <w:rPr>
                <w:color w:val="010101"/>
                <w:w w:val="95"/>
                <w:sz w:val="18"/>
              </w:rPr>
              <w:t>.00165</w:t>
            </w:r>
          </w:p>
        </w:tc>
        <w:tc>
          <w:tcPr>
            <w:tcW w:w="825" w:type="dxa"/>
            <w:tcBorders>
              <w:top w:val="nil"/>
              <w:bottom w:val="nil"/>
              <w:right w:val="single" w:sz="7" w:space="0" w:color="000000"/>
            </w:tcBorders>
          </w:tcPr>
          <w:p>
            <w:pPr>
              <w:pStyle w:val="TableParagraph"/>
              <w:ind w:left="70" w:right="52"/>
              <w:jc w:val="center"/>
              <w:rPr>
                <w:sz w:val="18"/>
              </w:rPr>
            </w:pPr>
            <w:r>
              <w:rPr>
                <w:color w:val="010101"/>
                <w:w w:val="95"/>
                <w:sz w:val="18"/>
              </w:rPr>
              <w:t>95,263</w:t>
            </w:r>
          </w:p>
        </w:tc>
        <w:tc>
          <w:tcPr>
            <w:tcW w:w="673" w:type="dxa"/>
            <w:tcBorders>
              <w:top w:val="nil"/>
              <w:left w:val="single" w:sz="7" w:space="0" w:color="000000"/>
              <w:bottom w:val="nil"/>
            </w:tcBorders>
          </w:tcPr>
          <w:p>
            <w:pPr>
              <w:pStyle w:val="TableParagraph"/>
              <w:spacing w:line="200" w:lineRule="exact"/>
              <w:ind w:right="87"/>
              <w:jc w:val="right"/>
              <w:rPr>
                <w:sz w:val="18"/>
              </w:rPr>
            </w:pPr>
            <w:r>
              <w:rPr>
                <w:color w:val="010101"/>
                <w:w w:val="85"/>
                <w:sz w:val="18"/>
              </w:rPr>
              <w:t>157</w:t>
            </w:r>
          </w:p>
        </w:tc>
        <w:tc>
          <w:tcPr>
            <w:tcW w:w="830" w:type="dxa"/>
            <w:tcBorders>
              <w:top w:val="nil"/>
              <w:bottom w:val="nil"/>
              <w:right w:val="single" w:sz="7" w:space="0" w:color="000000"/>
            </w:tcBorders>
          </w:tcPr>
          <w:p>
            <w:pPr>
              <w:pStyle w:val="TableParagraph"/>
              <w:spacing w:line="200" w:lineRule="exact"/>
              <w:ind w:left="30" w:right="17"/>
              <w:jc w:val="center"/>
              <w:rPr>
                <w:sz w:val="18"/>
              </w:rPr>
            </w:pPr>
            <w:r>
              <w:rPr>
                <w:color w:val="010101"/>
                <w:w w:val="90"/>
                <w:sz w:val="18"/>
              </w:rPr>
              <w:t>95,184</w:t>
            </w:r>
          </w:p>
        </w:tc>
        <w:tc>
          <w:tcPr>
            <w:tcW w:w="986" w:type="dxa"/>
            <w:tcBorders>
              <w:top w:val="nil"/>
              <w:left w:val="single" w:sz="7" w:space="0" w:color="000000"/>
              <w:bottom w:val="nil"/>
            </w:tcBorders>
          </w:tcPr>
          <w:p>
            <w:pPr>
              <w:pStyle w:val="TableParagraph"/>
              <w:spacing w:line="197" w:lineRule="exact"/>
              <w:ind w:left="128" w:right="-5"/>
              <w:rPr>
                <w:sz w:val="18"/>
              </w:rPr>
            </w:pPr>
            <w:r>
              <w:rPr>
                <w:color w:val="010101"/>
                <w:spacing w:val="-14"/>
                <w:w w:val="95"/>
                <w:sz w:val="18"/>
              </w:rPr>
              <w:t>4,437,226</w:t>
            </w:r>
          </w:p>
        </w:tc>
        <w:tc>
          <w:tcPr>
            <w:tcW w:w="753" w:type="dxa"/>
            <w:tcBorders>
              <w:top w:val="nil"/>
              <w:bottom w:val="nil"/>
              <w:right w:val="single" w:sz="7" w:space="0" w:color="000000"/>
            </w:tcBorders>
          </w:tcPr>
          <w:p>
            <w:pPr>
              <w:pStyle w:val="TableParagraph"/>
              <w:spacing w:line="197" w:lineRule="exact"/>
              <w:ind w:left="168" w:right="-1"/>
              <w:rPr>
                <w:sz w:val="18"/>
              </w:rPr>
            </w:pPr>
            <w:r>
              <w:rPr>
                <w:color w:val="010101"/>
                <w:sz w:val="18"/>
              </w:rPr>
              <w:t>46.58</w:t>
            </w:r>
          </w:p>
        </w:tc>
        <w:tc>
          <w:tcPr>
            <w:tcW w:w="424" w:type="dxa"/>
            <w:tcBorders>
              <w:top w:val="nil"/>
              <w:left w:val="single" w:sz="7" w:space="0" w:color="000000"/>
              <w:bottom w:val="nil"/>
              <w:right w:val="nil"/>
            </w:tcBorders>
          </w:tcPr>
          <w:p>
            <w:pPr>
              <w:pStyle w:val="TableParagraph"/>
              <w:spacing w:line="190" w:lineRule="exact"/>
              <w:ind w:left="171" w:right="-7"/>
              <w:rPr>
                <w:sz w:val="18"/>
              </w:rPr>
            </w:pPr>
            <w:r>
              <w:rPr>
                <w:color w:val="010101"/>
                <w:w w:val="95"/>
                <w:sz w:val="18"/>
              </w:rPr>
              <w:t>24</w:t>
            </w:r>
          </w:p>
        </w:tc>
      </w:tr>
      <w:tr>
        <w:trPr>
          <w:trHeight w:val="298" w:hRule="exact"/>
        </w:trPr>
        <w:tc>
          <w:tcPr>
            <w:tcW w:w="374" w:type="dxa"/>
            <w:tcBorders>
              <w:top w:val="nil"/>
              <w:left w:val="nil"/>
              <w:bottom w:val="nil"/>
            </w:tcBorders>
          </w:tcPr>
          <w:p>
            <w:pPr>
              <w:pStyle w:val="TableParagraph"/>
              <w:spacing w:before="95"/>
              <w:ind w:right="48"/>
              <w:jc w:val="right"/>
              <w:rPr>
                <w:sz w:val="18"/>
              </w:rPr>
            </w:pPr>
            <w:r>
              <w:rPr>
                <w:color w:val="010101"/>
                <w:w w:val="80"/>
                <w:sz w:val="18"/>
              </w:rPr>
              <w:t>25</w:t>
            </w:r>
          </w:p>
        </w:tc>
        <w:tc>
          <w:tcPr>
            <w:tcW w:w="828" w:type="dxa"/>
            <w:tcBorders>
              <w:top w:val="nil"/>
              <w:bottom w:val="nil"/>
            </w:tcBorders>
          </w:tcPr>
          <w:p>
            <w:pPr>
              <w:pStyle w:val="TableParagraph"/>
              <w:spacing w:before="96"/>
              <w:ind w:left="43" w:right="17"/>
              <w:jc w:val="center"/>
              <w:rPr>
                <w:rFonts w:ascii="Times New Roman"/>
                <w:b/>
                <w:sz w:val="16"/>
              </w:rPr>
            </w:pPr>
            <w:r>
              <w:rPr>
                <w:rFonts w:ascii="Times New Roman"/>
                <w:b/>
                <w:color w:val="1A1A1A"/>
                <w:sz w:val="16"/>
              </w:rPr>
              <w:t>.</w:t>
            </w:r>
            <w:r>
              <w:rPr>
                <w:rFonts w:ascii="Times New Roman"/>
                <w:b/>
                <w:color w:val="010101"/>
                <w:sz w:val="16"/>
              </w:rPr>
              <w:t>00156</w:t>
            </w:r>
          </w:p>
        </w:tc>
        <w:tc>
          <w:tcPr>
            <w:tcW w:w="825" w:type="dxa"/>
            <w:tcBorders>
              <w:top w:val="nil"/>
              <w:bottom w:val="nil"/>
              <w:right w:val="single" w:sz="7" w:space="0" w:color="000000"/>
            </w:tcBorders>
          </w:tcPr>
          <w:p>
            <w:pPr>
              <w:pStyle w:val="TableParagraph"/>
              <w:spacing w:before="95"/>
              <w:ind w:left="70" w:right="50"/>
              <w:jc w:val="center"/>
              <w:rPr>
                <w:sz w:val="18"/>
              </w:rPr>
            </w:pPr>
            <w:r>
              <w:rPr>
                <w:color w:val="010101"/>
                <w:w w:val="85"/>
                <w:sz w:val="18"/>
              </w:rPr>
              <w:t>95,106</w:t>
            </w:r>
          </w:p>
        </w:tc>
        <w:tc>
          <w:tcPr>
            <w:tcW w:w="673" w:type="dxa"/>
            <w:tcBorders>
              <w:top w:val="nil"/>
              <w:left w:val="single" w:sz="7" w:space="0" w:color="000000"/>
              <w:bottom w:val="nil"/>
            </w:tcBorders>
          </w:tcPr>
          <w:p>
            <w:pPr>
              <w:pStyle w:val="TableParagraph"/>
              <w:spacing w:before="91"/>
              <w:ind w:right="77"/>
              <w:jc w:val="right"/>
              <w:rPr>
                <w:sz w:val="18"/>
              </w:rPr>
            </w:pPr>
            <w:r>
              <w:rPr>
                <w:color w:val="010101"/>
                <w:w w:val="90"/>
                <w:sz w:val="18"/>
              </w:rPr>
              <w:t>149</w:t>
            </w:r>
          </w:p>
        </w:tc>
        <w:tc>
          <w:tcPr>
            <w:tcW w:w="830" w:type="dxa"/>
            <w:tcBorders>
              <w:top w:val="nil"/>
              <w:bottom w:val="nil"/>
              <w:right w:val="single" w:sz="7" w:space="0" w:color="000000"/>
            </w:tcBorders>
          </w:tcPr>
          <w:p>
            <w:pPr>
              <w:pStyle w:val="TableParagraph"/>
              <w:spacing w:before="95"/>
              <w:ind w:left="52" w:right="17"/>
              <w:jc w:val="center"/>
              <w:rPr>
                <w:sz w:val="18"/>
              </w:rPr>
            </w:pPr>
            <w:r>
              <w:rPr>
                <w:color w:val="010101"/>
                <w:w w:val="95"/>
                <w:sz w:val="18"/>
              </w:rPr>
              <w:t>95,032</w:t>
            </w:r>
          </w:p>
        </w:tc>
        <w:tc>
          <w:tcPr>
            <w:tcW w:w="986" w:type="dxa"/>
            <w:tcBorders>
              <w:top w:val="nil"/>
              <w:left w:val="single" w:sz="7" w:space="0" w:color="000000"/>
              <w:bottom w:val="nil"/>
            </w:tcBorders>
          </w:tcPr>
          <w:p>
            <w:pPr>
              <w:pStyle w:val="TableParagraph"/>
              <w:spacing w:before="91"/>
              <w:ind w:left="132" w:right="-9"/>
              <w:rPr>
                <w:sz w:val="18"/>
              </w:rPr>
            </w:pPr>
            <w:r>
              <w:rPr>
                <w:color w:val="010101"/>
                <w:w w:val="85"/>
                <w:sz w:val="18"/>
              </w:rPr>
              <w:t>4,342,042</w:t>
            </w:r>
          </w:p>
        </w:tc>
        <w:tc>
          <w:tcPr>
            <w:tcW w:w="753" w:type="dxa"/>
            <w:tcBorders>
              <w:top w:val="nil"/>
              <w:bottom w:val="nil"/>
              <w:right w:val="single" w:sz="7" w:space="0" w:color="000000"/>
            </w:tcBorders>
          </w:tcPr>
          <w:p>
            <w:pPr>
              <w:pStyle w:val="TableParagraph"/>
              <w:spacing w:before="88"/>
              <w:ind w:left="171" w:right="-1"/>
              <w:rPr>
                <w:sz w:val="18"/>
              </w:rPr>
            </w:pPr>
            <w:r>
              <w:rPr>
                <w:color w:val="010101"/>
                <w:sz w:val="18"/>
              </w:rPr>
              <w:t>45.65</w:t>
            </w:r>
          </w:p>
        </w:tc>
        <w:tc>
          <w:tcPr>
            <w:tcW w:w="424" w:type="dxa"/>
            <w:tcBorders>
              <w:top w:val="nil"/>
              <w:left w:val="single" w:sz="7" w:space="0" w:color="000000"/>
              <w:bottom w:val="nil"/>
              <w:right w:val="nil"/>
            </w:tcBorders>
          </w:tcPr>
          <w:p>
            <w:pPr>
              <w:pStyle w:val="TableParagraph"/>
              <w:spacing w:before="85"/>
              <w:ind w:left="171" w:right="-7"/>
              <w:rPr>
                <w:rFonts w:ascii="Times New Roman"/>
                <w:sz w:val="16"/>
              </w:rPr>
            </w:pPr>
            <w:r>
              <w:rPr>
                <w:rFonts w:ascii="Times New Roman"/>
                <w:color w:val="010101"/>
                <w:w w:val="105"/>
                <w:sz w:val="16"/>
              </w:rPr>
              <w:t>25</w:t>
            </w:r>
          </w:p>
        </w:tc>
      </w:tr>
      <w:tr>
        <w:trPr>
          <w:trHeight w:val="197" w:hRule="exact"/>
        </w:trPr>
        <w:tc>
          <w:tcPr>
            <w:tcW w:w="374" w:type="dxa"/>
            <w:tcBorders>
              <w:top w:val="nil"/>
              <w:left w:val="nil"/>
              <w:bottom w:val="nil"/>
            </w:tcBorders>
          </w:tcPr>
          <w:p>
            <w:pPr>
              <w:pStyle w:val="TableParagraph"/>
              <w:spacing w:line="189" w:lineRule="exact"/>
              <w:ind w:right="68"/>
              <w:jc w:val="right"/>
              <w:rPr>
                <w:rFonts w:ascii="Times New Roman"/>
                <w:sz w:val="17"/>
              </w:rPr>
            </w:pPr>
            <w:r>
              <w:rPr>
                <w:rFonts w:ascii="Times New Roman"/>
                <w:color w:val="010101"/>
                <w:w w:val="90"/>
                <w:sz w:val="17"/>
              </w:rPr>
              <w:t>26</w:t>
            </w:r>
          </w:p>
        </w:tc>
        <w:tc>
          <w:tcPr>
            <w:tcW w:w="828" w:type="dxa"/>
            <w:tcBorders>
              <w:top w:val="nil"/>
              <w:bottom w:val="nil"/>
            </w:tcBorders>
          </w:tcPr>
          <w:p>
            <w:pPr>
              <w:pStyle w:val="TableParagraph"/>
              <w:spacing w:line="203" w:lineRule="exact"/>
              <w:ind w:left="75" w:right="8"/>
              <w:jc w:val="center"/>
              <w:rPr>
                <w:sz w:val="18"/>
              </w:rPr>
            </w:pPr>
            <w:r>
              <w:rPr>
                <w:color w:val="010101"/>
                <w:sz w:val="18"/>
              </w:rPr>
              <w:t>.00149</w:t>
            </w:r>
          </w:p>
        </w:tc>
        <w:tc>
          <w:tcPr>
            <w:tcW w:w="825" w:type="dxa"/>
            <w:tcBorders>
              <w:top w:val="nil"/>
              <w:bottom w:val="nil"/>
              <w:right w:val="single" w:sz="7" w:space="0" w:color="000000"/>
            </w:tcBorders>
          </w:tcPr>
          <w:p>
            <w:pPr>
              <w:pStyle w:val="TableParagraph"/>
              <w:spacing w:line="203" w:lineRule="exact"/>
              <w:ind w:left="70" w:right="33"/>
              <w:jc w:val="center"/>
              <w:rPr>
                <w:sz w:val="18"/>
              </w:rPr>
            </w:pPr>
            <w:r>
              <w:rPr>
                <w:color w:val="010101"/>
                <w:sz w:val="18"/>
              </w:rPr>
              <w:t>94,957</w:t>
            </w:r>
          </w:p>
        </w:tc>
        <w:tc>
          <w:tcPr>
            <w:tcW w:w="673" w:type="dxa"/>
            <w:tcBorders>
              <w:top w:val="nil"/>
              <w:left w:val="single" w:sz="7" w:space="0" w:color="000000"/>
              <w:bottom w:val="nil"/>
            </w:tcBorders>
          </w:tcPr>
          <w:p>
            <w:pPr>
              <w:pStyle w:val="TableParagraph"/>
              <w:spacing w:line="199" w:lineRule="exact"/>
              <w:ind w:right="102"/>
              <w:jc w:val="right"/>
              <w:rPr>
                <w:sz w:val="18"/>
              </w:rPr>
            </w:pPr>
            <w:r>
              <w:rPr>
                <w:color w:val="010101"/>
                <w:w w:val="90"/>
                <w:sz w:val="18"/>
              </w:rPr>
              <w:t>141</w:t>
            </w:r>
          </w:p>
        </w:tc>
        <w:tc>
          <w:tcPr>
            <w:tcW w:w="830" w:type="dxa"/>
            <w:tcBorders>
              <w:top w:val="nil"/>
              <w:bottom w:val="nil"/>
              <w:right w:val="single" w:sz="7" w:space="0" w:color="000000"/>
            </w:tcBorders>
          </w:tcPr>
          <w:p>
            <w:pPr>
              <w:pStyle w:val="TableParagraph"/>
              <w:spacing w:line="203" w:lineRule="exact"/>
              <w:ind w:left="59" w:right="17"/>
              <w:jc w:val="center"/>
              <w:rPr>
                <w:sz w:val="18"/>
              </w:rPr>
            </w:pPr>
            <w:r>
              <w:rPr>
                <w:color w:val="010101"/>
                <w:w w:val="95"/>
                <w:sz w:val="18"/>
              </w:rPr>
              <w:t>94,887</w:t>
            </w:r>
          </w:p>
        </w:tc>
        <w:tc>
          <w:tcPr>
            <w:tcW w:w="986" w:type="dxa"/>
            <w:tcBorders>
              <w:top w:val="nil"/>
              <w:left w:val="single" w:sz="7" w:space="0" w:color="000000"/>
              <w:bottom w:val="nil"/>
            </w:tcBorders>
          </w:tcPr>
          <w:p>
            <w:pPr>
              <w:pStyle w:val="TableParagraph"/>
              <w:spacing w:line="199" w:lineRule="exact"/>
              <w:ind w:left="128" w:right="-5"/>
              <w:rPr>
                <w:sz w:val="18"/>
              </w:rPr>
            </w:pPr>
            <w:r>
              <w:rPr>
                <w:color w:val="010101"/>
                <w:w w:val="85"/>
                <w:sz w:val="18"/>
              </w:rPr>
              <w:t>4,247,010</w:t>
            </w:r>
          </w:p>
        </w:tc>
        <w:tc>
          <w:tcPr>
            <w:tcW w:w="753" w:type="dxa"/>
            <w:tcBorders>
              <w:top w:val="nil"/>
              <w:bottom w:val="nil"/>
              <w:right w:val="single" w:sz="7" w:space="0" w:color="000000"/>
            </w:tcBorders>
          </w:tcPr>
          <w:p>
            <w:pPr>
              <w:pStyle w:val="TableParagraph"/>
              <w:spacing w:line="199" w:lineRule="exact"/>
              <w:ind w:left="168" w:right="-1"/>
              <w:rPr>
                <w:sz w:val="18"/>
              </w:rPr>
            </w:pPr>
            <w:r>
              <w:rPr>
                <w:color w:val="010101"/>
                <w:sz w:val="18"/>
              </w:rPr>
              <w:t>44.73</w:t>
            </w:r>
          </w:p>
        </w:tc>
        <w:tc>
          <w:tcPr>
            <w:tcW w:w="424" w:type="dxa"/>
            <w:tcBorders>
              <w:top w:val="nil"/>
              <w:left w:val="single" w:sz="7" w:space="0" w:color="000000"/>
              <w:bottom w:val="nil"/>
              <w:right w:val="nil"/>
            </w:tcBorders>
          </w:tcPr>
          <w:p>
            <w:pPr>
              <w:pStyle w:val="TableParagraph"/>
              <w:spacing w:line="178" w:lineRule="exact"/>
              <w:ind w:left="171" w:right="-7"/>
              <w:rPr>
                <w:rFonts w:ascii="Times New Roman"/>
                <w:sz w:val="17"/>
              </w:rPr>
            </w:pPr>
            <w:r>
              <w:rPr>
                <w:rFonts w:ascii="Times New Roman"/>
                <w:color w:val="010101"/>
                <w:sz w:val="17"/>
              </w:rPr>
              <w:t>26</w:t>
            </w:r>
          </w:p>
        </w:tc>
      </w:tr>
      <w:tr>
        <w:trPr>
          <w:trHeight w:val="202" w:hRule="exact"/>
        </w:trPr>
        <w:tc>
          <w:tcPr>
            <w:tcW w:w="374" w:type="dxa"/>
            <w:tcBorders>
              <w:top w:val="nil"/>
              <w:left w:val="nil"/>
              <w:bottom w:val="nil"/>
            </w:tcBorders>
          </w:tcPr>
          <w:p>
            <w:pPr>
              <w:pStyle w:val="TableParagraph"/>
              <w:spacing w:line="193" w:lineRule="exact"/>
              <w:ind w:right="67"/>
              <w:jc w:val="right"/>
              <w:rPr>
                <w:rFonts w:ascii="Times New Roman"/>
                <w:sz w:val="17"/>
              </w:rPr>
            </w:pPr>
            <w:r>
              <w:rPr>
                <w:rFonts w:ascii="Times New Roman"/>
                <w:color w:val="010101"/>
                <w:w w:val="90"/>
                <w:sz w:val="17"/>
              </w:rPr>
              <w:t>27</w:t>
            </w:r>
          </w:p>
        </w:tc>
        <w:tc>
          <w:tcPr>
            <w:tcW w:w="828" w:type="dxa"/>
            <w:tcBorders>
              <w:top w:val="nil"/>
              <w:bottom w:val="nil"/>
            </w:tcBorders>
          </w:tcPr>
          <w:p>
            <w:pPr>
              <w:pStyle w:val="TableParagraph"/>
              <w:spacing w:before="3"/>
              <w:ind w:left="50" w:right="17"/>
              <w:jc w:val="center"/>
              <w:rPr>
                <w:rFonts w:ascii="Times New Roman"/>
                <w:b/>
                <w:sz w:val="16"/>
              </w:rPr>
            </w:pPr>
            <w:r>
              <w:rPr>
                <w:rFonts w:ascii="Times New Roman"/>
                <w:b/>
                <w:color w:val="1A1A1A"/>
                <w:sz w:val="16"/>
              </w:rPr>
              <w:t>.</w:t>
            </w:r>
            <w:r>
              <w:rPr>
                <w:rFonts w:ascii="Times New Roman"/>
                <w:b/>
                <w:color w:val="010101"/>
                <w:sz w:val="16"/>
              </w:rPr>
              <w:t>00145</w:t>
            </w:r>
          </w:p>
        </w:tc>
        <w:tc>
          <w:tcPr>
            <w:tcW w:w="825" w:type="dxa"/>
            <w:tcBorders>
              <w:top w:val="nil"/>
              <w:bottom w:val="nil"/>
              <w:right w:val="single" w:sz="7" w:space="0" w:color="000000"/>
            </w:tcBorders>
          </w:tcPr>
          <w:p>
            <w:pPr>
              <w:pStyle w:val="TableParagraph"/>
              <w:spacing w:before="2"/>
              <w:ind w:left="70" w:right="27"/>
              <w:jc w:val="center"/>
              <w:rPr>
                <w:sz w:val="18"/>
              </w:rPr>
            </w:pPr>
            <w:r>
              <w:rPr>
                <w:color w:val="010101"/>
                <w:sz w:val="18"/>
              </w:rPr>
              <w:t>94,816</w:t>
            </w:r>
          </w:p>
        </w:tc>
        <w:tc>
          <w:tcPr>
            <w:tcW w:w="673" w:type="dxa"/>
            <w:tcBorders>
              <w:top w:val="nil"/>
              <w:left w:val="single" w:sz="7" w:space="0" w:color="000000"/>
              <w:bottom w:val="nil"/>
            </w:tcBorders>
          </w:tcPr>
          <w:p>
            <w:pPr>
              <w:pStyle w:val="TableParagraph"/>
              <w:spacing w:line="203" w:lineRule="exact"/>
              <w:ind w:right="82"/>
              <w:jc w:val="right"/>
              <w:rPr>
                <w:sz w:val="18"/>
              </w:rPr>
            </w:pPr>
            <w:r>
              <w:rPr>
                <w:color w:val="010101"/>
                <w:w w:val="85"/>
                <w:sz w:val="18"/>
              </w:rPr>
              <w:t>137</w:t>
            </w:r>
          </w:p>
        </w:tc>
        <w:tc>
          <w:tcPr>
            <w:tcW w:w="830" w:type="dxa"/>
            <w:tcBorders>
              <w:top w:val="nil"/>
              <w:bottom w:val="nil"/>
              <w:right w:val="single" w:sz="7" w:space="0" w:color="000000"/>
            </w:tcBorders>
          </w:tcPr>
          <w:p>
            <w:pPr>
              <w:pStyle w:val="TableParagraph"/>
              <w:spacing w:before="2"/>
              <w:ind w:left="48" w:right="17"/>
              <w:jc w:val="center"/>
              <w:rPr>
                <w:sz w:val="18"/>
              </w:rPr>
            </w:pPr>
            <w:r>
              <w:rPr>
                <w:color w:val="010101"/>
                <w:sz w:val="18"/>
              </w:rPr>
              <w:t>94,747</w:t>
            </w:r>
          </w:p>
        </w:tc>
        <w:tc>
          <w:tcPr>
            <w:tcW w:w="986" w:type="dxa"/>
            <w:tcBorders>
              <w:top w:val="nil"/>
              <w:left w:val="single" w:sz="7" w:space="0" w:color="000000"/>
              <w:bottom w:val="nil"/>
            </w:tcBorders>
          </w:tcPr>
          <w:p>
            <w:pPr>
              <w:pStyle w:val="TableParagraph"/>
              <w:spacing w:line="199" w:lineRule="exact"/>
              <w:ind w:left="128" w:right="-5"/>
              <w:rPr>
                <w:sz w:val="18"/>
              </w:rPr>
            </w:pPr>
            <w:r>
              <w:rPr>
                <w:color w:val="010101"/>
                <w:w w:val="85"/>
                <w:sz w:val="18"/>
              </w:rPr>
              <w:t>4,152,123</w:t>
            </w:r>
          </w:p>
        </w:tc>
        <w:tc>
          <w:tcPr>
            <w:tcW w:w="753" w:type="dxa"/>
            <w:tcBorders>
              <w:top w:val="nil"/>
              <w:bottom w:val="nil"/>
              <w:right w:val="single" w:sz="7" w:space="0" w:color="000000"/>
            </w:tcBorders>
          </w:tcPr>
          <w:p>
            <w:pPr>
              <w:pStyle w:val="TableParagraph"/>
              <w:spacing w:line="199" w:lineRule="exact"/>
              <w:ind w:left="168" w:right="-1"/>
              <w:rPr>
                <w:sz w:val="18"/>
              </w:rPr>
            </w:pPr>
            <w:r>
              <w:rPr>
                <w:color w:val="010101"/>
                <w:sz w:val="18"/>
              </w:rPr>
              <w:t>43.79</w:t>
            </w:r>
          </w:p>
        </w:tc>
        <w:tc>
          <w:tcPr>
            <w:tcW w:w="424" w:type="dxa"/>
            <w:tcBorders>
              <w:top w:val="nil"/>
              <w:left w:val="single" w:sz="7" w:space="0" w:color="000000"/>
              <w:bottom w:val="nil"/>
              <w:right w:val="nil"/>
            </w:tcBorders>
          </w:tcPr>
          <w:p>
            <w:pPr>
              <w:pStyle w:val="TableParagraph"/>
              <w:spacing w:line="175" w:lineRule="exact"/>
              <w:ind w:left="171" w:right="-7"/>
              <w:rPr>
                <w:rFonts w:ascii="Times New Roman"/>
                <w:sz w:val="17"/>
              </w:rPr>
            </w:pPr>
            <w:r>
              <w:rPr>
                <w:rFonts w:ascii="Times New Roman"/>
                <w:color w:val="010101"/>
                <w:sz w:val="17"/>
              </w:rPr>
              <w:t>27</w:t>
            </w:r>
          </w:p>
        </w:tc>
      </w:tr>
      <w:tr>
        <w:trPr>
          <w:trHeight w:val="496" w:hRule="exact"/>
        </w:trPr>
        <w:tc>
          <w:tcPr>
            <w:tcW w:w="374" w:type="dxa"/>
            <w:tcBorders>
              <w:top w:val="nil"/>
              <w:left w:val="nil"/>
              <w:bottom w:val="nil"/>
            </w:tcBorders>
          </w:tcPr>
          <w:p>
            <w:pPr>
              <w:pStyle w:val="TableParagraph"/>
              <w:spacing w:line="196" w:lineRule="exact" w:before="5"/>
              <w:ind w:left="139" w:right="-20"/>
              <w:rPr>
                <w:sz w:val="18"/>
              </w:rPr>
            </w:pPr>
            <w:r>
              <w:rPr>
                <w:color w:val="010101"/>
                <w:w w:val="95"/>
                <w:sz w:val="18"/>
              </w:rPr>
              <w:t>28</w:t>
            </w:r>
          </w:p>
          <w:p>
            <w:pPr>
              <w:pStyle w:val="TableParagraph"/>
              <w:spacing w:line="188" w:lineRule="exact"/>
              <w:ind w:left="143" w:right="-20"/>
              <w:rPr>
                <w:rFonts w:ascii="Times New Roman"/>
                <w:sz w:val="17"/>
              </w:rPr>
            </w:pPr>
            <w:r>
              <w:rPr>
                <w:rFonts w:ascii="Times New Roman"/>
                <w:color w:val="010101"/>
                <w:sz w:val="17"/>
              </w:rPr>
              <w:t>29</w:t>
            </w:r>
          </w:p>
        </w:tc>
        <w:tc>
          <w:tcPr>
            <w:tcW w:w="828" w:type="dxa"/>
            <w:tcBorders>
              <w:top w:val="nil"/>
              <w:bottom w:val="nil"/>
            </w:tcBorders>
          </w:tcPr>
          <w:p>
            <w:pPr>
              <w:pStyle w:val="TableParagraph"/>
              <w:spacing w:line="202" w:lineRule="exact"/>
              <w:ind w:left="198"/>
              <w:rPr>
                <w:sz w:val="18"/>
              </w:rPr>
            </w:pPr>
            <w:r>
              <w:rPr>
                <w:color w:val="1A1A1A"/>
                <w:spacing w:val="-17"/>
                <w:sz w:val="18"/>
              </w:rPr>
              <w:t>.</w:t>
            </w:r>
            <w:r>
              <w:rPr>
                <w:color w:val="010101"/>
                <w:spacing w:val="-17"/>
                <w:sz w:val="18"/>
              </w:rPr>
              <w:t>00145</w:t>
            </w:r>
          </w:p>
          <w:p>
            <w:pPr>
              <w:pStyle w:val="TableParagraph"/>
              <w:spacing w:before="5"/>
              <w:ind w:left="198"/>
              <w:rPr>
                <w:rFonts w:ascii="Times New Roman"/>
                <w:b/>
                <w:sz w:val="16"/>
              </w:rPr>
            </w:pPr>
            <w:r>
              <w:rPr>
                <w:rFonts w:ascii="Times New Roman"/>
                <w:b/>
                <w:color w:val="1A1A1A"/>
                <w:spacing w:val="6"/>
                <w:w w:val="108"/>
                <w:sz w:val="16"/>
              </w:rPr>
              <w:t>.</w:t>
            </w:r>
            <w:r>
              <w:rPr>
                <w:rFonts w:ascii="Times New Roman"/>
                <w:b/>
                <w:color w:val="010101"/>
                <w:w w:val="101"/>
                <w:sz w:val="16"/>
              </w:rPr>
              <w:t>00</w:t>
            </w:r>
            <w:r>
              <w:rPr>
                <w:rFonts w:ascii="Times New Roman"/>
                <w:b/>
                <w:color w:val="010101"/>
                <w:spacing w:val="-14"/>
                <w:w w:val="101"/>
                <w:sz w:val="16"/>
              </w:rPr>
              <w:t>1</w:t>
            </w:r>
            <w:r>
              <w:rPr>
                <w:rFonts w:ascii="Times New Roman"/>
                <w:b/>
                <w:color w:val="1A1A1A"/>
                <w:spacing w:val="-11"/>
                <w:w w:val="53"/>
                <w:sz w:val="16"/>
              </w:rPr>
              <w:t>.</w:t>
            </w:r>
            <w:r>
              <w:rPr>
                <w:rFonts w:ascii="Times New Roman"/>
                <w:b/>
                <w:color w:val="010101"/>
                <w:w w:val="101"/>
                <w:sz w:val="16"/>
              </w:rPr>
              <w:t>49</w:t>
            </w:r>
          </w:p>
        </w:tc>
        <w:tc>
          <w:tcPr>
            <w:tcW w:w="825" w:type="dxa"/>
            <w:tcBorders>
              <w:top w:val="nil"/>
              <w:bottom w:val="nil"/>
              <w:right w:val="single" w:sz="7" w:space="0" w:color="000000"/>
            </w:tcBorders>
          </w:tcPr>
          <w:p>
            <w:pPr>
              <w:pStyle w:val="TableParagraph"/>
              <w:spacing w:line="201" w:lineRule="exact" w:before="2"/>
              <w:ind w:left="168"/>
              <w:rPr>
                <w:sz w:val="18"/>
              </w:rPr>
            </w:pPr>
            <w:r>
              <w:rPr>
                <w:color w:val="010101"/>
                <w:spacing w:val="-17"/>
                <w:sz w:val="18"/>
              </w:rPr>
              <w:t>94,679</w:t>
            </w:r>
          </w:p>
          <w:p>
            <w:pPr>
              <w:pStyle w:val="TableParagraph"/>
              <w:spacing w:line="201" w:lineRule="exact"/>
              <w:ind w:left="171"/>
              <w:rPr>
                <w:sz w:val="18"/>
              </w:rPr>
            </w:pPr>
            <w:r>
              <w:rPr>
                <w:color w:val="010101"/>
                <w:w w:val="85"/>
                <w:sz w:val="18"/>
              </w:rPr>
              <w:t>94,542</w:t>
            </w:r>
          </w:p>
        </w:tc>
        <w:tc>
          <w:tcPr>
            <w:tcW w:w="673" w:type="dxa"/>
            <w:tcBorders>
              <w:top w:val="nil"/>
              <w:left w:val="single" w:sz="7" w:space="0" w:color="000000"/>
              <w:bottom w:val="nil"/>
            </w:tcBorders>
          </w:tcPr>
          <w:p>
            <w:pPr>
              <w:pStyle w:val="TableParagraph"/>
              <w:spacing w:line="199" w:lineRule="exact"/>
              <w:ind w:left="307" w:right="-2"/>
              <w:rPr>
                <w:sz w:val="18"/>
              </w:rPr>
            </w:pPr>
            <w:r>
              <w:rPr>
                <w:color w:val="010101"/>
                <w:sz w:val="18"/>
              </w:rPr>
              <w:t>137</w:t>
            </w:r>
          </w:p>
          <w:p>
            <w:pPr>
              <w:pStyle w:val="TableParagraph"/>
              <w:spacing w:line="201" w:lineRule="exact"/>
              <w:ind w:left="311" w:right="-2"/>
              <w:rPr>
                <w:sz w:val="18"/>
              </w:rPr>
            </w:pPr>
            <w:r>
              <w:rPr>
                <w:color w:val="010101"/>
                <w:w w:val="80"/>
                <w:sz w:val="18"/>
              </w:rPr>
              <w:t>141</w:t>
            </w:r>
          </w:p>
        </w:tc>
        <w:tc>
          <w:tcPr>
            <w:tcW w:w="830" w:type="dxa"/>
            <w:tcBorders>
              <w:top w:val="nil"/>
              <w:bottom w:val="nil"/>
              <w:right w:val="single" w:sz="7" w:space="0" w:color="000000"/>
            </w:tcBorders>
          </w:tcPr>
          <w:p>
            <w:pPr>
              <w:pStyle w:val="TableParagraph"/>
              <w:spacing w:line="199" w:lineRule="exact" w:before="5"/>
              <w:ind w:left="169"/>
              <w:rPr>
                <w:sz w:val="18"/>
              </w:rPr>
            </w:pPr>
            <w:r>
              <w:rPr>
                <w:color w:val="010101"/>
                <w:w w:val="80"/>
                <w:sz w:val="18"/>
              </w:rPr>
              <w:t>94,611</w:t>
            </w:r>
            <w:r>
              <w:rPr>
                <w:color w:val="1A1A1A"/>
                <w:w w:val="80"/>
                <w:sz w:val="18"/>
              </w:rPr>
              <w:t>.</w:t>
            </w:r>
          </w:p>
          <w:p>
            <w:pPr>
              <w:pStyle w:val="TableParagraph"/>
              <w:spacing w:line="199" w:lineRule="exact"/>
              <w:ind w:left="173"/>
              <w:rPr>
                <w:sz w:val="18"/>
              </w:rPr>
            </w:pPr>
            <w:r>
              <w:rPr>
                <w:color w:val="010101"/>
                <w:w w:val="90"/>
                <w:sz w:val="18"/>
              </w:rPr>
              <w:t>94,471</w:t>
            </w:r>
          </w:p>
        </w:tc>
        <w:tc>
          <w:tcPr>
            <w:tcW w:w="986" w:type="dxa"/>
            <w:tcBorders>
              <w:top w:val="nil"/>
              <w:left w:val="single" w:sz="7" w:space="0" w:color="000000"/>
              <w:bottom w:val="nil"/>
            </w:tcBorders>
          </w:tcPr>
          <w:p>
            <w:pPr>
              <w:pStyle w:val="TableParagraph"/>
              <w:spacing w:line="197" w:lineRule="exact"/>
              <w:ind w:left="128" w:right="-5"/>
              <w:rPr>
                <w:sz w:val="18"/>
              </w:rPr>
            </w:pPr>
            <w:r>
              <w:rPr>
                <w:color w:val="010101"/>
                <w:spacing w:val="-15"/>
                <w:w w:val="95"/>
                <w:sz w:val="18"/>
              </w:rPr>
              <w:t>4,057,376</w:t>
            </w:r>
          </w:p>
          <w:p>
            <w:pPr>
              <w:pStyle w:val="TableParagraph"/>
              <w:spacing w:line="202" w:lineRule="exact"/>
              <w:ind w:left="135" w:right="-5"/>
              <w:rPr>
                <w:sz w:val="18"/>
              </w:rPr>
            </w:pPr>
            <w:r>
              <w:rPr>
                <w:color w:val="010101"/>
                <w:spacing w:val="-11"/>
                <w:w w:val="90"/>
                <w:sz w:val="18"/>
              </w:rPr>
              <w:t>3,962,765</w:t>
            </w:r>
          </w:p>
        </w:tc>
        <w:tc>
          <w:tcPr>
            <w:tcW w:w="753" w:type="dxa"/>
            <w:tcBorders>
              <w:top w:val="nil"/>
              <w:bottom w:val="nil"/>
              <w:right w:val="single" w:sz="7" w:space="0" w:color="000000"/>
            </w:tcBorders>
          </w:tcPr>
          <w:p>
            <w:pPr>
              <w:pStyle w:val="TableParagraph"/>
              <w:spacing w:line="178" w:lineRule="exact"/>
              <w:ind w:left="168" w:right="-1"/>
              <w:rPr>
                <w:rFonts w:ascii="Times New Roman"/>
                <w:b/>
                <w:sz w:val="17"/>
              </w:rPr>
            </w:pPr>
            <w:r>
              <w:rPr>
                <w:rFonts w:ascii="Times New Roman"/>
                <w:b/>
                <w:color w:val="010101"/>
                <w:w w:val="105"/>
                <w:sz w:val="17"/>
              </w:rPr>
              <w:t>42.85</w:t>
            </w:r>
          </w:p>
          <w:p>
            <w:pPr>
              <w:pStyle w:val="TableParagraph"/>
              <w:spacing w:before="14"/>
              <w:ind w:left="171" w:right="-1"/>
              <w:rPr>
                <w:sz w:val="18"/>
              </w:rPr>
            </w:pPr>
            <w:r>
              <w:rPr>
                <w:color w:val="010101"/>
                <w:sz w:val="18"/>
              </w:rPr>
              <w:t>41.92</w:t>
            </w:r>
          </w:p>
        </w:tc>
        <w:tc>
          <w:tcPr>
            <w:tcW w:w="424" w:type="dxa"/>
            <w:tcBorders>
              <w:top w:val="nil"/>
              <w:left w:val="single" w:sz="7" w:space="0" w:color="000000"/>
              <w:bottom w:val="nil"/>
              <w:right w:val="nil"/>
            </w:tcBorders>
          </w:tcPr>
          <w:p>
            <w:pPr>
              <w:pStyle w:val="TableParagraph"/>
              <w:spacing w:line="180" w:lineRule="exact"/>
              <w:ind w:left="171" w:right="-7"/>
              <w:rPr>
                <w:sz w:val="18"/>
              </w:rPr>
            </w:pPr>
            <w:r>
              <w:rPr>
                <w:color w:val="010101"/>
                <w:w w:val="95"/>
                <w:sz w:val="18"/>
              </w:rPr>
              <w:t>28</w:t>
            </w:r>
          </w:p>
          <w:p>
            <w:pPr>
              <w:pStyle w:val="TableParagraph"/>
              <w:spacing w:line="188" w:lineRule="exact"/>
              <w:ind w:left="175" w:right="-7"/>
              <w:rPr>
                <w:rFonts w:ascii="Times New Roman"/>
                <w:sz w:val="17"/>
              </w:rPr>
            </w:pPr>
            <w:r>
              <w:rPr>
                <w:rFonts w:ascii="Times New Roman"/>
                <w:color w:val="010101"/>
                <w:sz w:val="17"/>
              </w:rPr>
              <w:t>29</w:t>
            </w:r>
          </w:p>
        </w:tc>
      </w:tr>
      <w:tr>
        <w:trPr>
          <w:trHeight w:val="1213" w:hRule="exact"/>
        </w:trPr>
        <w:tc>
          <w:tcPr>
            <w:tcW w:w="374" w:type="dxa"/>
            <w:tcBorders>
              <w:top w:val="nil"/>
              <w:left w:val="nil"/>
            </w:tcBorders>
          </w:tcPr>
          <w:p>
            <w:pPr>
              <w:pStyle w:val="TableParagraph"/>
              <w:spacing w:line="201" w:lineRule="exact" w:before="106"/>
              <w:ind w:left="139" w:right="-20"/>
              <w:rPr>
                <w:sz w:val="18"/>
              </w:rPr>
            </w:pPr>
            <w:r>
              <w:rPr>
                <w:color w:val="010101"/>
                <w:w w:val="105"/>
                <w:sz w:val="18"/>
              </w:rPr>
              <w:t>30</w:t>
            </w:r>
          </w:p>
          <w:p>
            <w:pPr>
              <w:pStyle w:val="TableParagraph"/>
              <w:spacing w:line="199" w:lineRule="exact"/>
              <w:ind w:left="143" w:right="-20"/>
              <w:rPr>
                <w:sz w:val="18"/>
              </w:rPr>
            </w:pPr>
            <w:r>
              <w:rPr>
                <w:color w:val="010101"/>
                <w:w w:val="85"/>
                <w:sz w:val="18"/>
              </w:rPr>
              <w:t>31</w:t>
            </w:r>
          </w:p>
          <w:p>
            <w:pPr>
              <w:pStyle w:val="TableParagraph"/>
              <w:spacing w:line="201" w:lineRule="exact"/>
              <w:ind w:left="143" w:right="-20"/>
              <w:rPr>
                <w:sz w:val="18"/>
              </w:rPr>
            </w:pPr>
            <w:r>
              <w:rPr>
                <w:color w:val="010101"/>
                <w:spacing w:val="-14"/>
                <w:w w:val="105"/>
                <w:sz w:val="18"/>
              </w:rPr>
              <w:t>32</w:t>
            </w:r>
          </w:p>
          <w:p>
            <w:pPr>
              <w:pStyle w:val="TableParagraph"/>
              <w:spacing w:line="201" w:lineRule="exact"/>
              <w:ind w:left="146" w:right="-16"/>
              <w:rPr>
                <w:sz w:val="18"/>
              </w:rPr>
            </w:pPr>
            <w:r>
              <w:rPr>
                <w:color w:val="010101"/>
                <w:sz w:val="18"/>
              </w:rPr>
              <w:t>33</w:t>
            </w:r>
          </w:p>
          <w:p>
            <w:pPr>
              <w:pStyle w:val="TableParagraph"/>
              <w:spacing w:line="202" w:lineRule="exact"/>
              <w:ind w:left="146" w:right="-5"/>
              <w:rPr>
                <w:sz w:val="18"/>
              </w:rPr>
            </w:pPr>
            <w:r>
              <w:rPr>
                <w:color w:val="010101"/>
                <w:w w:val="95"/>
                <w:sz w:val="18"/>
              </w:rPr>
              <w:t>34</w:t>
            </w:r>
          </w:p>
        </w:tc>
        <w:tc>
          <w:tcPr>
            <w:tcW w:w="828" w:type="dxa"/>
            <w:tcBorders>
              <w:top w:val="nil"/>
            </w:tcBorders>
          </w:tcPr>
          <w:p>
            <w:pPr>
              <w:pStyle w:val="TableParagraph"/>
              <w:spacing w:line="202" w:lineRule="exact" w:before="102"/>
              <w:ind w:left="202"/>
              <w:rPr>
                <w:sz w:val="18"/>
              </w:rPr>
            </w:pPr>
            <w:r>
              <w:rPr>
                <w:color w:val="010101"/>
                <w:w w:val="85"/>
                <w:sz w:val="18"/>
              </w:rPr>
              <w:t>.00156</w:t>
            </w:r>
          </w:p>
          <w:p>
            <w:pPr>
              <w:pStyle w:val="TableParagraph"/>
              <w:spacing w:line="201" w:lineRule="exact"/>
              <w:ind w:left="202"/>
              <w:rPr>
                <w:sz w:val="18"/>
              </w:rPr>
            </w:pPr>
            <w:r>
              <w:rPr>
                <w:color w:val="010101"/>
                <w:spacing w:val="-13"/>
                <w:w w:val="95"/>
                <w:sz w:val="18"/>
              </w:rPr>
              <w:t>.00163</w:t>
            </w:r>
          </w:p>
          <w:p>
            <w:pPr>
              <w:pStyle w:val="TableParagraph"/>
              <w:spacing w:line="183" w:lineRule="exact"/>
              <w:ind w:left="209"/>
              <w:rPr>
                <w:rFonts w:ascii="Times New Roman"/>
                <w:b/>
                <w:sz w:val="16"/>
              </w:rPr>
            </w:pPr>
            <w:r>
              <w:rPr>
                <w:rFonts w:ascii="Times New Roman"/>
                <w:b/>
                <w:color w:val="1A1A1A"/>
                <w:w w:val="95"/>
                <w:sz w:val="16"/>
              </w:rPr>
              <w:t>. </w:t>
            </w:r>
            <w:r>
              <w:rPr>
                <w:rFonts w:ascii="Times New Roman"/>
                <w:b/>
                <w:color w:val="010101"/>
                <w:w w:val="95"/>
                <w:sz w:val="16"/>
              </w:rPr>
              <w:t>00171</w:t>
            </w:r>
          </w:p>
          <w:p>
            <w:pPr>
              <w:pStyle w:val="TableParagraph"/>
              <w:spacing w:line="202" w:lineRule="exact" w:before="13"/>
              <w:ind w:left="209"/>
              <w:rPr>
                <w:sz w:val="18"/>
              </w:rPr>
            </w:pPr>
            <w:r>
              <w:rPr>
                <w:color w:val="010101"/>
                <w:spacing w:val="-16"/>
                <w:w w:val="95"/>
                <w:sz w:val="18"/>
              </w:rPr>
              <w:t>.00181</w:t>
            </w:r>
          </w:p>
          <w:p>
            <w:pPr>
              <w:pStyle w:val="TableParagraph"/>
              <w:spacing w:line="202" w:lineRule="exact"/>
              <w:ind w:left="209"/>
              <w:rPr>
                <w:sz w:val="18"/>
              </w:rPr>
            </w:pPr>
            <w:r>
              <w:rPr>
                <w:color w:val="010101"/>
                <w:spacing w:val="-23"/>
                <w:sz w:val="18"/>
              </w:rPr>
              <w:t>.00193</w:t>
            </w:r>
          </w:p>
        </w:tc>
        <w:tc>
          <w:tcPr>
            <w:tcW w:w="825" w:type="dxa"/>
            <w:tcBorders>
              <w:top w:val="nil"/>
              <w:right w:val="single" w:sz="7" w:space="0" w:color="000000"/>
            </w:tcBorders>
          </w:tcPr>
          <w:p>
            <w:pPr>
              <w:pStyle w:val="TableParagraph"/>
              <w:spacing w:before="102"/>
              <w:ind w:left="171"/>
              <w:rPr>
                <w:sz w:val="18"/>
              </w:rPr>
            </w:pPr>
            <w:r>
              <w:rPr>
                <w:color w:val="010101"/>
                <w:w w:val="90"/>
                <w:sz w:val="18"/>
              </w:rPr>
              <w:t>94,401</w:t>
            </w:r>
          </w:p>
          <w:p>
            <w:pPr>
              <w:pStyle w:val="TableParagraph"/>
              <w:spacing w:line="201" w:lineRule="exact"/>
              <w:ind w:left="171"/>
              <w:rPr>
                <w:sz w:val="18"/>
              </w:rPr>
            </w:pPr>
            <w:r>
              <w:rPr>
                <w:color w:val="010101"/>
                <w:w w:val="85"/>
                <w:sz w:val="18"/>
              </w:rPr>
              <w:t>94,254</w:t>
            </w:r>
          </w:p>
          <w:p>
            <w:pPr>
              <w:pStyle w:val="TableParagraph"/>
              <w:spacing w:line="181" w:lineRule="exact"/>
              <w:ind w:left="175"/>
              <w:rPr>
                <w:rFonts w:ascii="Times New Roman"/>
                <w:b/>
                <w:sz w:val="16"/>
              </w:rPr>
            </w:pPr>
            <w:r>
              <w:rPr>
                <w:rFonts w:ascii="Times New Roman"/>
                <w:b/>
                <w:color w:val="010101"/>
                <w:w w:val="110"/>
                <w:sz w:val="16"/>
              </w:rPr>
              <w:t>94,100</w:t>
            </w:r>
          </w:p>
          <w:p>
            <w:pPr>
              <w:pStyle w:val="TableParagraph"/>
              <w:spacing w:line="201" w:lineRule="exact" w:before="16"/>
              <w:ind w:left="178"/>
              <w:rPr>
                <w:sz w:val="18"/>
              </w:rPr>
            </w:pPr>
            <w:r>
              <w:rPr>
                <w:color w:val="010101"/>
                <w:spacing w:val="-16"/>
                <w:sz w:val="18"/>
              </w:rPr>
              <w:t>93,939</w:t>
            </w:r>
          </w:p>
          <w:p>
            <w:pPr>
              <w:pStyle w:val="TableParagraph"/>
              <w:spacing w:line="201" w:lineRule="exact"/>
              <w:ind w:left="178"/>
              <w:rPr>
                <w:sz w:val="18"/>
              </w:rPr>
            </w:pPr>
            <w:r>
              <w:rPr>
                <w:color w:val="010101"/>
                <w:spacing w:val="-23"/>
                <w:sz w:val="18"/>
              </w:rPr>
              <w:t>93,769</w:t>
            </w:r>
          </w:p>
        </w:tc>
        <w:tc>
          <w:tcPr>
            <w:tcW w:w="673" w:type="dxa"/>
            <w:tcBorders>
              <w:top w:val="nil"/>
              <w:left w:val="single" w:sz="7" w:space="0" w:color="000000"/>
            </w:tcBorders>
          </w:tcPr>
          <w:p>
            <w:pPr>
              <w:pStyle w:val="TableParagraph"/>
              <w:spacing w:line="202" w:lineRule="exact" w:before="102"/>
              <w:ind w:left="311" w:right="-2"/>
              <w:rPr>
                <w:sz w:val="18"/>
              </w:rPr>
            </w:pPr>
            <w:r>
              <w:rPr>
                <w:color w:val="010101"/>
                <w:sz w:val="18"/>
              </w:rPr>
              <w:t>147</w:t>
            </w:r>
          </w:p>
          <w:p>
            <w:pPr>
              <w:pStyle w:val="TableParagraph"/>
              <w:spacing w:line="199" w:lineRule="exact"/>
              <w:ind w:left="314" w:right="-2"/>
              <w:rPr>
                <w:sz w:val="18"/>
              </w:rPr>
            </w:pPr>
            <w:r>
              <w:rPr>
                <w:color w:val="010101"/>
                <w:w w:val="85"/>
                <w:sz w:val="18"/>
              </w:rPr>
              <w:t>154</w:t>
            </w:r>
          </w:p>
          <w:p>
            <w:pPr>
              <w:pStyle w:val="TableParagraph"/>
              <w:spacing w:line="199" w:lineRule="exact"/>
              <w:ind w:left="314" w:right="-2"/>
              <w:rPr>
                <w:sz w:val="18"/>
              </w:rPr>
            </w:pPr>
            <w:r>
              <w:rPr>
                <w:color w:val="010101"/>
                <w:w w:val="85"/>
                <w:sz w:val="18"/>
              </w:rPr>
              <w:t>161</w:t>
            </w:r>
          </w:p>
          <w:p>
            <w:pPr>
              <w:pStyle w:val="TableParagraph"/>
              <w:spacing w:line="201" w:lineRule="exact"/>
              <w:ind w:left="314" w:right="-2"/>
              <w:rPr>
                <w:sz w:val="18"/>
              </w:rPr>
            </w:pPr>
            <w:r>
              <w:rPr>
                <w:color w:val="010101"/>
                <w:sz w:val="18"/>
              </w:rPr>
              <w:t>170</w:t>
            </w:r>
          </w:p>
          <w:p>
            <w:pPr>
              <w:pStyle w:val="TableParagraph"/>
              <w:spacing w:line="183" w:lineRule="exact"/>
              <w:ind w:left="314" w:right="-2"/>
              <w:rPr>
                <w:rFonts w:ascii="Times New Roman"/>
                <w:b/>
                <w:sz w:val="16"/>
              </w:rPr>
            </w:pPr>
            <w:r>
              <w:rPr>
                <w:rFonts w:ascii="Times New Roman"/>
                <w:b/>
                <w:color w:val="010101"/>
                <w:sz w:val="16"/>
              </w:rPr>
              <w:t>180</w:t>
            </w:r>
          </w:p>
        </w:tc>
        <w:tc>
          <w:tcPr>
            <w:tcW w:w="830" w:type="dxa"/>
            <w:tcBorders>
              <w:top w:val="nil"/>
              <w:right w:val="single" w:sz="7" w:space="0" w:color="000000"/>
            </w:tcBorders>
          </w:tcPr>
          <w:p>
            <w:pPr>
              <w:pStyle w:val="TableParagraph"/>
              <w:spacing w:line="202" w:lineRule="exact" w:before="102"/>
              <w:ind w:left="177"/>
              <w:rPr>
                <w:sz w:val="18"/>
              </w:rPr>
            </w:pPr>
            <w:r>
              <w:rPr>
                <w:color w:val="010101"/>
                <w:w w:val="85"/>
                <w:sz w:val="18"/>
              </w:rPr>
              <w:t>94,327</w:t>
            </w:r>
          </w:p>
          <w:p>
            <w:pPr>
              <w:pStyle w:val="TableParagraph"/>
              <w:spacing w:line="200" w:lineRule="exact"/>
              <w:ind w:left="177"/>
              <w:rPr>
                <w:sz w:val="18"/>
              </w:rPr>
            </w:pPr>
            <w:r>
              <w:rPr>
                <w:color w:val="010101"/>
                <w:w w:val="85"/>
                <w:sz w:val="18"/>
              </w:rPr>
              <w:t>94,177</w:t>
            </w:r>
          </w:p>
          <w:p>
            <w:pPr>
              <w:pStyle w:val="TableParagraph"/>
              <w:spacing w:line="181" w:lineRule="exact"/>
              <w:ind w:left="180"/>
              <w:rPr>
                <w:rFonts w:ascii="Times New Roman"/>
                <w:sz w:val="16"/>
              </w:rPr>
            </w:pPr>
            <w:r>
              <w:rPr>
                <w:rFonts w:ascii="Times New Roman"/>
                <w:color w:val="010101"/>
                <w:w w:val="110"/>
                <w:sz w:val="16"/>
              </w:rPr>
              <w:t>94,020</w:t>
            </w:r>
          </w:p>
          <w:p>
            <w:pPr>
              <w:pStyle w:val="TableParagraph"/>
              <w:spacing w:before="17"/>
              <w:ind w:left="180"/>
              <w:rPr>
                <w:rFonts w:ascii="Times New Roman"/>
                <w:sz w:val="16"/>
              </w:rPr>
            </w:pPr>
            <w:r>
              <w:rPr>
                <w:rFonts w:ascii="Times New Roman"/>
                <w:color w:val="010101"/>
                <w:w w:val="110"/>
                <w:sz w:val="16"/>
              </w:rPr>
              <w:t>93,855</w:t>
            </w:r>
          </w:p>
          <w:p>
            <w:pPr>
              <w:pStyle w:val="TableParagraph"/>
              <w:spacing w:before="16"/>
              <w:ind w:left="180"/>
              <w:rPr>
                <w:sz w:val="18"/>
              </w:rPr>
            </w:pPr>
            <w:r>
              <w:rPr>
                <w:color w:val="010101"/>
                <w:spacing w:val="-15"/>
                <w:sz w:val="18"/>
              </w:rPr>
              <w:t>93,679</w:t>
            </w:r>
          </w:p>
        </w:tc>
        <w:tc>
          <w:tcPr>
            <w:tcW w:w="986" w:type="dxa"/>
            <w:tcBorders>
              <w:top w:val="nil"/>
              <w:left w:val="single" w:sz="7" w:space="0" w:color="000000"/>
            </w:tcBorders>
          </w:tcPr>
          <w:p>
            <w:pPr>
              <w:pStyle w:val="TableParagraph"/>
              <w:spacing w:line="201" w:lineRule="exact" w:before="99"/>
              <w:ind w:left="135" w:right="-5"/>
              <w:rPr>
                <w:sz w:val="18"/>
              </w:rPr>
            </w:pPr>
            <w:r>
              <w:rPr>
                <w:color w:val="010101"/>
                <w:w w:val="80"/>
                <w:sz w:val="18"/>
              </w:rPr>
              <w:t>3,868,294</w:t>
            </w:r>
          </w:p>
          <w:p>
            <w:pPr>
              <w:pStyle w:val="TableParagraph"/>
              <w:spacing w:line="199" w:lineRule="exact"/>
              <w:ind w:left="135" w:right="-5"/>
              <w:rPr>
                <w:sz w:val="18"/>
              </w:rPr>
            </w:pPr>
            <w:r>
              <w:rPr>
                <w:color w:val="010101"/>
                <w:spacing w:val="-12"/>
                <w:w w:val="90"/>
                <w:sz w:val="18"/>
              </w:rPr>
              <w:t>3,773,967</w:t>
            </w:r>
          </w:p>
          <w:p>
            <w:pPr>
              <w:pStyle w:val="TableParagraph"/>
              <w:spacing w:line="199" w:lineRule="exact"/>
              <w:ind w:left="143" w:right="-5"/>
              <w:rPr>
                <w:sz w:val="18"/>
              </w:rPr>
            </w:pPr>
            <w:r>
              <w:rPr>
                <w:color w:val="010101"/>
                <w:spacing w:val="-16"/>
                <w:w w:val="95"/>
                <w:sz w:val="18"/>
              </w:rPr>
              <w:t>3,679,790</w:t>
            </w:r>
          </w:p>
          <w:p>
            <w:pPr>
              <w:pStyle w:val="TableParagraph"/>
              <w:spacing w:line="199" w:lineRule="exact"/>
              <w:ind w:left="143" w:right="-20"/>
              <w:rPr>
                <w:sz w:val="18"/>
              </w:rPr>
            </w:pPr>
            <w:r>
              <w:rPr>
                <w:color w:val="010101"/>
                <w:w w:val="85"/>
                <w:sz w:val="18"/>
              </w:rPr>
              <w:t>3,585,770</w:t>
            </w:r>
          </w:p>
          <w:p>
            <w:pPr>
              <w:pStyle w:val="TableParagraph"/>
              <w:spacing w:line="202" w:lineRule="exact"/>
              <w:ind w:left="143" w:right="-5"/>
              <w:rPr>
                <w:sz w:val="18"/>
              </w:rPr>
            </w:pPr>
            <w:r>
              <w:rPr>
                <w:color w:val="010101"/>
                <w:spacing w:val="-10"/>
                <w:w w:val="90"/>
                <w:sz w:val="18"/>
              </w:rPr>
              <w:t>3,491,915</w:t>
            </w:r>
          </w:p>
        </w:tc>
        <w:tc>
          <w:tcPr>
            <w:tcW w:w="753" w:type="dxa"/>
            <w:tcBorders>
              <w:top w:val="nil"/>
              <w:bottom w:val="single" w:sz="19" w:space="0" w:color="000000"/>
              <w:right w:val="single" w:sz="7" w:space="0" w:color="000000"/>
            </w:tcBorders>
          </w:tcPr>
          <w:p>
            <w:pPr>
              <w:pStyle w:val="TableParagraph"/>
              <w:spacing w:line="201" w:lineRule="exact" w:before="95"/>
              <w:ind w:left="171" w:right="-1"/>
              <w:rPr>
                <w:sz w:val="18"/>
              </w:rPr>
            </w:pPr>
            <w:r>
              <w:rPr>
                <w:color w:val="010101"/>
                <w:sz w:val="18"/>
              </w:rPr>
              <w:t>40.98</w:t>
            </w:r>
          </w:p>
          <w:p>
            <w:pPr>
              <w:pStyle w:val="TableParagraph"/>
              <w:spacing w:line="197" w:lineRule="exact"/>
              <w:ind w:left="171" w:right="-1"/>
              <w:rPr>
                <w:sz w:val="18"/>
              </w:rPr>
            </w:pPr>
            <w:r>
              <w:rPr>
                <w:color w:val="010101"/>
                <w:sz w:val="18"/>
              </w:rPr>
              <w:t>40.04</w:t>
            </w:r>
          </w:p>
          <w:p>
            <w:pPr>
              <w:pStyle w:val="TableParagraph"/>
              <w:spacing w:line="199" w:lineRule="exact"/>
              <w:ind w:left="178" w:right="-1"/>
              <w:rPr>
                <w:sz w:val="18"/>
              </w:rPr>
            </w:pPr>
            <w:r>
              <w:rPr>
                <w:color w:val="010101"/>
                <w:sz w:val="18"/>
              </w:rPr>
              <w:t>39</w:t>
            </w:r>
            <w:r>
              <w:rPr>
                <w:color w:val="1A1A1A"/>
                <w:sz w:val="18"/>
              </w:rPr>
              <w:t>.</w:t>
            </w:r>
            <w:r>
              <w:rPr>
                <w:color w:val="010101"/>
                <w:sz w:val="18"/>
              </w:rPr>
              <w:t>10</w:t>
            </w:r>
          </w:p>
          <w:p>
            <w:pPr>
              <w:pStyle w:val="TableParagraph"/>
              <w:spacing w:line="199" w:lineRule="exact"/>
              <w:ind w:left="178" w:right="-1"/>
              <w:rPr>
                <w:sz w:val="18"/>
              </w:rPr>
            </w:pPr>
            <w:r>
              <w:rPr>
                <w:color w:val="010101"/>
                <w:w w:val="90"/>
                <w:sz w:val="18"/>
              </w:rPr>
              <w:t>38.17</w:t>
            </w:r>
          </w:p>
          <w:p>
            <w:pPr>
              <w:pStyle w:val="TableParagraph"/>
              <w:spacing w:line="201" w:lineRule="exact"/>
              <w:ind w:left="178" w:right="-1"/>
              <w:rPr>
                <w:sz w:val="18"/>
              </w:rPr>
            </w:pPr>
            <w:r>
              <w:rPr>
                <w:color w:val="010101"/>
                <w:sz w:val="18"/>
              </w:rPr>
              <w:t>37.24</w:t>
            </w:r>
          </w:p>
        </w:tc>
        <w:tc>
          <w:tcPr>
            <w:tcW w:w="424" w:type="dxa"/>
            <w:tcBorders>
              <w:top w:val="nil"/>
              <w:left w:val="single" w:sz="7" w:space="0" w:color="000000"/>
              <w:right w:val="nil"/>
            </w:tcBorders>
          </w:tcPr>
          <w:p>
            <w:pPr>
              <w:pStyle w:val="TableParagraph"/>
              <w:spacing w:line="199" w:lineRule="exact" w:before="81"/>
              <w:ind w:left="175" w:right="-7"/>
              <w:rPr>
                <w:sz w:val="18"/>
              </w:rPr>
            </w:pPr>
            <w:r>
              <w:rPr>
                <w:color w:val="010101"/>
                <w:w w:val="105"/>
                <w:sz w:val="18"/>
              </w:rPr>
              <w:t>30</w:t>
            </w:r>
          </w:p>
          <w:p>
            <w:pPr>
              <w:pStyle w:val="TableParagraph"/>
              <w:spacing w:line="196" w:lineRule="exact"/>
              <w:ind w:left="175" w:right="-7"/>
              <w:rPr>
                <w:sz w:val="18"/>
              </w:rPr>
            </w:pPr>
            <w:r>
              <w:rPr>
                <w:color w:val="010101"/>
                <w:w w:val="90"/>
                <w:sz w:val="18"/>
              </w:rPr>
              <w:t>31</w:t>
            </w:r>
          </w:p>
          <w:p>
            <w:pPr>
              <w:pStyle w:val="TableParagraph"/>
              <w:spacing w:line="195" w:lineRule="exact"/>
              <w:ind w:left="178" w:right="-7"/>
              <w:rPr>
                <w:sz w:val="18"/>
              </w:rPr>
            </w:pPr>
            <w:r>
              <w:rPr>
                <w:color w:val="010101"/>
                <w:sz w:val="18"/>
              </w:rPr>
              <w:t>32</w:t>
            </w:r>
          </w:p>
          <w:p>
            <w:pPr>
              <w:pStyle w:val="TableParagraph"/>
              <w:spacing w:line="190" w:lineRule="exact"/>
              <w:ind w:left="178" w:right="-7"/>
              <w:rPr>
                <w:rFonts w:ascii="Times New Roman"/>
                <w:sz w:val="17"/>
              </w:rPr>
            </w:pPr>
            <w:r>
              <w:rPr>
                <w:rFonts w:ascii="Times New Roman"/>
                <w:color w:val="010101"/>
                <w:sz w:val="17"/>
              </w:rPr>
              <w:t>33</w:t>
            </w:r>
          </w:p>
          <w:p>
            <w:pPr>
              <w:pStyle w:val="TableParagraph"/>
              <w:spacing w:before="7"/>
              <w:ind w:left="178" w:right="-7"/>
              <w:rPr>
                <w:rFonts w:ascii="Times New Roman"/>
                <w:sz w:val="16"/>
              </w:rPr>
            </w:pPr>
            <w:r>
              <w:rPr>
                <w:rFonts w:ascii="Times New Roman"/>
                <w:color w:val="010101"/>
                <w:w w:val="105"/>
                <w:sz w:val="16"/>
              </w:rPr>
              <w:t>34</w:t>
            </w:r>
          </w:p>
        </w:tc>
      </w:tr>
    </w:tbl>
    <w:p>
      <w:pPr>
        <w:spacing w:after="0"/>
        <w:rPr>
          <w:rFonts w:ascii="Times New Roman"/>
          <w:sz w:val="16"/>
        </w:rPr>
        <w:sectPr>
          <w:pgSz w:w="7200" w:h="11340"/>
          <w:pgMar w:top="540" w:bottom="280" w:left="660" w:right="600"/>
        </w:sectPr>
      </w:pPr>
    </w:p>
    <w:p>
      <w:pPr>
        <w:spacing w:before="58" w:after="54"/>
        <w:ind w:left="1838" w:right="19" w:firstLine="0"/>
        <w:jc w:val="left"/>
        <w:rPr>
          <w:sz w:val="18"/>
        </w:rPr>
      </w:pPr>
      <w:r>
        <w:rPr>
          <w:rFonts w:ascii="Arial"/>
          <w:i/>
          <w:color w:val="010101"/>
          <w:w w:val="120"/>
          <w:sz w:val="17"/>
        </w:rPr>
        <w:t>U. 8. Lif</w:t>
      </w:r>
      <w:r>
        <w:rPr>
          <w:i/>
          <w:color w:val="010101"/>
          <w:w w:val="120"/>
          <w:sz w:val="19"/>
        </w:rPr>
        <w:t>e </w:t>
      </w:r>
      <w:r>
        <w:rPr>
          <w:color w:val="010101"/>
          <w:w w:val="120"/>
          <w:sz w:val="18"/>
        </w:rPr>
        <w:t>Tabk-Continued</w:t>
      </w: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6"/>
        <w:gridCol w:w="834"/>
        <w:gridCol w:w="836"/>
        <w:gridCol w:w="670"/>
        <w:gridCol w:w="835"/>
        <w:gridCol w:w="992"/>
        <w:gridCol w:w="752"/>
        <w:gridCol w:w="398"/>
      </w:tblGrid>
      <w:tr>
        <w:trPr>
          <w:trHeight w:val="491" w:hRule="exact"/>
        </w:trPr>
        <w:tc>
          <w:tcPr>
            <w:tcW w:w="366" w:type="dxa"/>
            <w:tcBorders>
              <w:left w:val="nil"/>
              <w:bottom w:val="single" w:sz="1" w:space="0" w:color="000000"/>
              <w:right w:val="single" w:sz="4" w:space="0" w:color="000000"/>
            </w:tcBorders>
          </w:tcPr>
          <w:p>
            <w:pPr>
              <w:pStyle w:val="TableParagraph"/>
              <w:rPr>
                <w:rFonts w:ascii="Times New Roman"/>
                <w:sz w:val="8"/>
              </w:rPr>
            </w:pPr>
          </w:p>
          <w:p>
            <w:pPr>
              <w:pStyle w:val="TableParagraph"/>
              <w:spacing w:before="61"/>
              <w:ind w:left="136"/>
              <w:rPr>
                <w:rFonts w:ascii="Arial"/>
                <w:sz w:val="8"/>
              </w:rPr>
            </w:pPr>
            <w:r>
              <w:rPr>
                <w:rFonts w:ascii="Arial"/>
                <w:color w:val="010101"/>
                <w:w w:val="102"/>
                <w:sz w:val="8"/>
              </w:rPr>
              <w:t>%</w:t>
            </w:r>
          </w:p>
        </w:tc>
        <w:tc>
          <w:tcPr>
            <w:tcW w:w="834" w:type="dxa"/>
            <w:tcBorders>
              <w:left w:val="single" w:sz="4" w:space="0" w:color="000000"/>
              <w:bottom w:val="single" w:sz="1" w:space="0" w:color="000000"/>
            </w:tcBorders>
          </w:tcPr>
          <w:p>
            <w:pPr>
              <w:pStyle w:val="TableParagraph"/>
              <w:spacing w:before="6"/>
              <w:rPr>
                <w:rFonts w:ascii="Times New Roman"/>
                <w:sz w:val="10"/>
              </w:rPr>
            </w:pPr>
          </w:p>
          <w:p>
            <w:pPr>
              <w:pStyle w:val="TableParagraph"/>
              <w:ind w:left="92" w:right="43"/>
              <w:jc w:val="center"/>
              <w:rPr>
                <w:rFonts w:ascii="Times New Roman"/>
                <w:b/>
                <w:sz w:val="13"/>
              </w:rPr>
            </w:pPr>
            <w:r>
              <w:rPr>
                <w:rFonts w:ascii="Times New Roman"/>
                <w:b/>
                <w:color w:val="010101"/>
                <w:w w:val="110"/>
                <w:sz w:val="13"/>
              </w:rPr>
              <w:t>f:,</w:t>
            </w:r>
          </w:p>
        </w:tc>
        <w:tc>
          <w:tcPr>
            <w:tcW w:w="836" w:type="dxa"/>
            <w:tcBorders>
              <w:bottom w:val="single" w:sz="1" w:space="0" w:color="000000"/>
            </w:tcBorders>
          </w:tcPr>
          <w:p>
            <w:pPr>
              <w:pStyle w:val="TableParagraph"/>
              <w:spacing w:before="112"/>
              <w:ind w:left="64" w:right="44"/>
              <w:jc w:val="center"/>
              <w:rPr>
                <w:rFonts w:ascii="Times New Roman"/>
                <w:b/>
                <w:i/>
                <w:sz w:val="14"/>
              </w:rPr>
            </w:pPr>
            <w:r>
              <w:rPr>
                <w:rFonts w:ascii="Times New Roman"/>
                <w:b/>
                <w:i/>
                <w:color w:val="010101"/>
                <w:w w:val="75"/>
                <w:sz w:val="14"/>
              </w:rPr>
              <w:t>la:</w:t>
            </w:r>
          </w:p>
        </w:tc>
        <w:tc>
          <w:tcPr>
            <w:tcW w:w="1506" w:type="dxa"/>
            <w:gridSpan w:val="2"/>
            <w:tcBorders>
              <w:bottom w:val="single" w:sz="1" w:space="0" w:color="000000"/>
            </w:tcBorders>
          </w:tcPr>
          <w:p>
            <w:pPr>
              <w:pStyle w:val="TableParagraph"/>
              <w:tabs>
                <w:tab w:pos="746" w:val="left" w:leader="none"/>
              </w:tabs>
              <w:spacing w:before="98"/>
              <w:ind w:right="88"/>
              <w:jc w:val="center"/>
              <w:rPr>
                <w:rFonts w:ascii="Times New Roman"/>
                <w:b/>
                <w:i/>
                <w:sz w:val="14"/>
              </w:rPr>
            </w:pPr>
            <w:r>
              <w:rPr>
                <w:rFonts w:ascii="Times New Roman"/>
                <w:b/>
                <w:i/>
                <w:color w:val="010101"/>
                <w:w w:val="95"/>
                <w:position w:val="1"/>
                <w:sz w:val="14"/>
              </w:rPr>
              <w:t>4z</w:t>
              <w:tab/>
            </w:r>
            <w:r>
              <w:rPr>
                <w:rFonts w:ascii="Times New Roman"/>
                <w:b/>
                <w:i/>
                <w:color w:val="010101"/>
                <w:w w:val="95"/>
                <w:sz w:val="14"/>
              </w:rPr>
              <w:t>La:</w:t>
            </w:r>
          </w:p>
          <w:p>
            <w:pPr>
              <w:pStyle w:val="TableParagraph"/>
              <w:spacing w:before="70"/>
              <w:ind w:right="142"/>
              <w:jc w:val="center"/>
              <w:rPr>
                <w:rFonts w:ascii="Arial"/>
                <w:sz w:val="13"/>
              </w:rPr>
            </w:pPr>
            <w:r>
              <w:rPr>
                <w:rFonts w:ascii="Arial"/>
                <w:color w:val="010101"/>
                <w:w w:val="60"/>
                <w:sz w:val="13"/>
              </w:rPr>
              <w:t>1</w:t>
            </w:r>
          </w:p>
        </w:tc>
        <w:tc>
          <w:tcPr>
            <w:tcW w:w="992" w:type="dxa"/>
            <w:tcBorders>
              <w:bottom w:val="single" w:sz="1" w:space="0" w:color="000000"/>
            </w:tcBorders>
          </w:tcPr>
          <w:p>
            <w:pPr>
              <w:pStyle w:val="TableParagraph"/>
              <w:spacing w:before="95"/>
              <w:ind w:left="52" w:right="41"/>
              <w:jc w:val="center"/>
              <w:rPr>
                <w:rFonts w:ascii="Times New Roman"/>
                <w:i/>
                <w:sz w:val="15"/>
              </w:rPr>
            </w:pPr>
            <w:r>
              <w:rPr>
                <w:rFonts w:ascii="Times New Roman"/>
                <w:i/>
                <w:color w:val="010101"/>
                <w:w w:val="110"/>
                <w:sz w:val="15"/>
              </w:rPr>
              <w:t>Ts</w:t>
            </w:r>
          </w:p>
        </w:tc>
        <w:tc>
          <w:tcPr>
            <w:tcW w:w="752" w:type="dxa"/>
            <w:tcBorders>
              <w:bottom w:val="single" w:sz="1" w:space="0" w:color="000000"/>
            </w:tcBorders>
          </w:tcPr>
          <w:p>
            <w:pPr>
              <w:pStyle w:val="TableParagraph"/>
              <w:spacing w:before="4"/>
              <w:rPr>
                <w:rFonts w:ascii="Times New Roman"/>
                <w:sz w:val="11"/>
              </w:rPr>
            </w:pPr>
          </w:p>
          <w:p>
            <w:pPr>
              <w:pStyle w:val="TableParagraph"/>
              <w:ind w:left="41" w:right="47"/>
              <w:jc w:val="center"/>
              <w:rPr>
                <w:rFonts w:ascii="Times New Roman"/>
                <w:b/>
                <w:i/>
                <w:sz w:val="12"/>
              </w:rPr>
            </w:pPr>
            <w:r>
              <w:rPr>
                <w:rFonts w:ascii="Times New Roman"/>
                <w:b/>
                <w:i/>
                <w:color w:val="010101"/>
                <w:w w:val="115"/>
                <w:sz w:val="12"/>
              </w:rPr>
              <w:t>e:,</w:t>
            </w:r>
          </w:p>
        </w:tc>
        <w:tc>
          <w:tcPr>
            <w:tcW w:w="398" w:type="dxa"/>
            <w:tcBorders>
              <w:bottom w:val="single" w:sz="1" w:space="0" w:color="000000"/>
              <w:right w:val="nil"/>
            </w:tcBorders>
          </w:tcPr>
          <w:p>
            <w:pPr>
              <w:pStyle w:val="TableParagraph"/>
              <w:rPr>
                <w:rFonts w:ascii="Times New Roman"/>
                <w:sz w:val="10"/>
              </w:rPr>
            </w:pPr>
          </w:p>
          <w:p>
            <w:pPr>
              <w:pStyle w:val="TableParagraph"/>
              <w:ind w:left="172"/>
              <w:rPr>
                <w:rFonts w:ascii="Arial"/>
                <w:b/>
                <w:sz w:val="12"/>
              </w:rPr>
            </w:pPr>
            <w:r>
              <w:rPr>
                <w:rFonts w:ascii="Arial"/>
                <w:b/>
                <w:color w:val="010101"/>
                <w:w w:val="108"/>
                <w:sz w:val="12"/>
              </w:rPr>
              <w:t>s</w:t>
            </w:r>
          </w:p>
        </w:tc>
      </w:tr>
      <w:tr>
        <w:trPr>
          <w:trHeight w:val="218" w:hRule="exact"/>
        </w:trPr>
        <w:tc>
          <w:tcPr>
            <w:tcW w:w="366" w:type="dxa"/>
            <w:tcBorders>
              <w:top w:val="single" w:sz="1" w:space="0" w:color="000000"/>
              <w:left w:val="nil"/>
              <w:bottom w:val="nil"/>
              <w:right w:val="single" w:sz="4" w:space="0" w:color="000000"/>
            </w:tcBorders>
          </w:tcPr>
          <w:p>
            <w:pPr>
              <w:pStyle w:val="TableParagraph"/>
              <w:spacing w:before="10"/>
              <w:ind w:left="136" w:right="-12"/>
              <w:rPr>
                <w:sz w:val="18"/>
              </w:rPr>
            </w:pPr>
            <w:r>
              <w:rPr>
                <w:color w:val="010101"/>
                <w:sz w:val="18"/>
              </w:rPr>
              <w:t>35</w:t>
            </w:r>
          </w:p>
        </w:tc>
        <w:tc>
          <w:tcPr>
            <w:tcW w:w="834" w:type="dxa"/>
            <w:tcBorders>
              <w:top w:val="single" w:sz="1" w:space="0" w:color="000000"/>
              <w:left w:val="single" w:sz="4" w:space="0" w:color="000000"/>
              <w:bottom w:val="nil"/>
            </w:tcBorders>
          </w:tcPr>
          <w:p>
            <w:pPr>
              <w:pStyle w:val="TableParagraph"/>
              <w:spacing w:before="13"/>
              <w:ind w:left="92" w:right="2"/>
              <w:jc w:val="center"/>
              <w:rPr>
                <w:sz w:val="18"/>
              </w:rPr>
            </w:pPr>
            <w:r>
              <w:rPr>
                <w:color w:val="010101"/>
                <w:w w:val="150"/>
                <w:sz w:val="18"/>
              </w:rPr>
              <w:t>.00</w:t>
            </w:r>
          </w:p>
        </w:tc>
        <w:tc>
          <w:tcPr>
            <w:tcW w:w="836" w:type="dxa"/>
            <w:tcBorders>
              <w:top w:val="single" w:sz="1" w:space="0" w:color="000000"/>
              <w:bottom w:val="nil"/>
            </w:tcBorders>
          </w:tcPr>
          <w:p>
            <w:pPr>
              <w:pStyle w:val="TableParagraph"/>
              <w:spacing w:before="13"/>
              <w:ind w:left="66" w:right="44"/>
              <w:jc w:val="center"/>
              <w:rPr>
                <w:sz w:val="18"/>
              </w:rPr>
            </w:pPr>
            <w:r>
              <w:rPr>
                <w:color w:val="010101"/>
                <w:w w:val="90"/>
                <w:sz w:val="18"/>
              </w:rPr>
              <w:t>93,589</w:t>
            </w:r>
          </w:p>
        </w:tc>
        <w:tc>
          <w:tcPr>
            <w:tcW w:w="670" w:type="dxa"/>
            <w:tcBorders>
              <w:top w:val="single" w:sz="1" w:space="0" w:color="000000"/>
              <w:bottom w:val="nil"/>
            </w:tcBorders>
          </w:tcPr>
          <w:p>
            <w:pPr>
              <w:pStyle w:val="TableParagraph"/>
              <w:spacing w:before="6"/>
              <w:ind w:right="97"/>
              <w:jc w:val="right"/>
              <w:rPr>
                <w:sz w:val="18"/>
              </w:rPr>
            </w:pPr>
            <w:r>
              <w:rPr>
                <w:color w:val="010101"/>
                <w:w w:val="75"/>
                <w:sz w:val="18"/>
              </w:rPr>
              <w:t>194</w:t>
            </w:r>
          </w:p>
        </w:tc>
        <w:tc>
          <w:tcPr>
            <w:tcW w:w="835" w:type="dxa"/>
            <w:tcBorders>
              <w:top w:val="single" w:sz="1" w:space="0" w:color="000000"/>
              <w:bottom w:val="nil"/>
            </w:tcBorders>
          </w:tcPr>
          <w:p>
            <w:pPr>
              <w:pStyle w:val="TableParagraph"/>
              <w:spacing w:before="10"/>
              <w:ind w:left="47" w:right="26"/>
              <w:jc w:val="center"/>
              <w:rPr>
                <w:sz w:val="18"/>
              </w:rPr>
            </w:pPr>
            <w:r>
              <w:rPr>
                <w:color w:val="010101"/>
                <w:w w:val="95"/>
                <w:sz w:val="18"/>
              </w:rPr>
              <w:t>93,491</w:t>
            </w:r>
          </w:p>
        </w:tc>
        <w:tc>
          <w:tcPr>
            <w:tcW w:w="992" w:type="dxa"/>
            <w:tcBorders>
              <w:top w:val="single" w:sz="1" w:space="0" w:color="000000"/>
              <w:bottom w:val="nil"/>
            </w:tcBorders>
          </w:tcPr>
          <w:p>
            <w:pPr>
              <w:pStyle w:val="TableParagraph"/>
              <w:spacing w:before="10"/>
              <w:ind w:right="84"/>
              <w:jc w:val="right"/>
              <w:rPr>
                <w:sz w:val="18"/>
              </w:rPr>
            </w:pPr>
            <w:r>
              <w:rPr>
                <w:color w:val="010101"/>
                <w:w w:val="90"/>
                <w:sz w:val="18"/>
              </w:rPr>
              <w:t>3,398,236</w:t>
            </w:r>
          </w:p>
        </w:tc>
        <w:tc>
          <w:tcPr>
            <w:tcW w:w="752" w:type="dxa"/>
            <w:tcBorders>
              <w:top w:val="single" w:sz="1" w:space="0" w:color="000000"/>
              <w:bottom w:val="nil"/>
            </w:tcBorders>
          </w:tcPr>
          <w:p>
            <w:pPr>
              <w:pStyle w:val="TableParagraph"/>
              <w:spacing w:before="6"/>
              <w:ind w:left="67" w:right="47"/>
              <w:jc w:val="center"/>
              <w:rPr>
                <w:sz w:val="18"/>
              </w:rPr>
            </w:pPr>
            <w:r>
              <w:rPr>
                <w:color w:val="010101"/>
                <w:w w:val="90"/>
                <w:sz w:val="18"/>
              </w:rPr>
              <w:t>36.31</w:t>
            </w:r>
          </w:p>
        </w:tc>
        <w:tc>
          <w:tcPr>
            <w:tcW w:w="398" w:type="dxa"/>
            <w:tcBorders>
              <w:top w:val="single" w:sz="1" w:space="0" w:color="000000"/>
              <w:bottom w:val="nil"/>
              <w:right w:val="nil"/>
            </w:tcBorders>
          </w:tcPr>
          <w:p>
            <w:pPr>
              <w:pStyle w:val="TableParagraph"/>
              <w:spacing w:before="10"/>
              <w:ind w:left="172" w:right="-6"/>
              <w:rPr>
                <w:sz w:val="18"/>
              </w:rPr>
            </w:pPr>
            <w:r>
              <w:rPr>
                <w:color w:val="010101"/>
                <w:w w:val="95"/>
                <w:sz w:val="18"/>
              </w:rPr>
              <w:t>35</w:t>
            </w:r>
          </w:p>
        </w:tc>
      </w:tr>
      <w:tr>
        <w:trPr>
          <w:trHeight w:val="197" w:hRule="exact"/>
        </w:trPr>
        <w:tc>
          <w:tcPr>
            <w:tcW w:w="366" w:type="dxa"/>
            <w:tcBorders>
              <w:top w:val="nil"/>
              <w:left w:val="nil"/>
              <w:bottom w:val="nil"/>
            </w:tcBorders>
          </w:tcPr>
          <w:p>
            <w:pPr>
              <w:pStyle w:val="TableParagraph"/>
              <w:spacing w:line="203" w:lineRule="exact"/>
              <w:ind w:left="136" w:right="-14"/>
              <w:rPr>
                <w:sz w:val="18"/>
              </w:rPr>
            </w:pPr>
            <w:r>
              <w:rPr>
                <w:color w:val="010101"/>
                <w:w w:val="90"/>
                <w:sz w:val="18"/>
              </w:rPr>
              <w:t>36</w:t>
            </w:r>
          </w:p>
        </w:tc>
        <w:tc>
          <w:tcPr>
            <w:tcW w:w="834" w:type="dxa"/>
            <w:tcBorders>
              <w:top w:val="nil"/>
              <w:bottom w:val="nil"/>
            </w:tcBorders>
          </w:tcPr>
          <w:p>
            <w:pPr>
              <w:pStyle w:val="TableParagraph"/>
              <w:spacing w:line="199" w:lineRule="exact"/>
              <w:ind w:left="79" w:right="22"/>
              <w:jc w:val="center"/>
              <w:rPr>
                <w:sz w:val="18"/>
              </w:rPr>
            </w:pPr>
            <w:r>
              <w:rPr>
                <w:color w:val="010101"/>
                <w:w w:val="95"/>
                <w:sz w:val="18"/>
              </w:rPr>
              <w:t>.00225</w:t>
            </w:r>
          </w:p>
        </w:tc>
        <w:tc>
          <w:tcPr>
            <w:tcW w:w="836" w:type="dxa"/>
            <w:tcBorders>
              <w:top w:val="nil"/>
              <w:bottom w:val="nil"/>
            </w:tcBorders>
          </w:tcPr>
          <w:p>
            <w:pPr>
              <w:pStyle w:val="TableParagraph"/>
              <w:spacing w:line="199" w:lineRule="exact"/>
              <w:ind w:left="72" w:right="39"/>
              <w:jc w:val="center"/>
              <w:rPr>
                <w:sz w:val="18"/>
              </w:rPr>
            </w:pPr>
            <w:r>
              <w:rPr>
                <w:color w:val="010101"/>
                <w:sz w:val="18"/>
              </w:rPr>
              <w:t>93,395</w:t>
            </w:r>
          </w:p>
        </w:tc>
        <w:tc>
          <w:tcPr>
            <w:tcW w:w="670" w:type="dxa"/>
            <w:tcBorders>
              <w:top w:val="nil"/>
              <w:bottom w:val="nil"/>
            </w:tcBorders>
          </w:tcPr>
          <w:p>
            <w:pPr>
              <w:pStyle w:val="TableParagraph"/>
              <w:spacing w:line="192" w:lineRule="exact"/>
              <w:ind w:right="90"/>
              <w:jc w:val="right"/>
              <w:rPr>
                <w:sz w:val="18"/>
              </w:rPr>
            </w:pPr>
            <w:r>
              <w:rPr>
                <w:color w:val="010101"/>
                <w:w w:val="90"/>
                <w:sz w:val="18"/>
              </w:rPr>
              <w:t>210</w:t>
            </w:r>
          </w:p>
        </w:tc>
        <w:tc>
          <w:tcPr>
            <w:tcW w:w="835" w:type="dxa"/>
            <w:tcBorders>
              <w:top w:val="nil"/>
              <w:bottom w:val="nil"/>
            </w:tcBorders>
          </w:tcPr>
          <w:p>
            <w:pPr>
              <w:pStyle w:val="TableParagraph"/>
              <w:spacing w:line="199" w:lineRule="exact"/>
              <w:ind w:left="49" w:right="26"/>
              <w:jc w:val="center"/>
              <w:rPr>
                <w:sz w:val="18"/>
              </w:rPr>
            </w:pPr>
            <w:r>
              <w:rPr>
                <w:color w:val="010101"/>
                <w:w w:val="90"/>
                <w:sz w:val="18"/>
              </w:rPr>
              <w:t>93,290</w:t>
            </w:r>
          </w:p>
        </w:tc>
        <w:tc>
          <w:tcPr>
            <w:tcW w:w="992" w:type="dxa"/>
            <w:tcBorders>
              <w:top w:val="nil"/>
              <w:bottom w:val="nil"/>
            </w:tcBorders>
          </w:tcPr>
          <w:p>
            <w:pPr>
              <w:pStyle w:val="TableParagraph"/>
              <w:spacing w:line="199" w:lineRule="exact"/>
              <w:ind w:right="96"/>
              <w:jc w:val="right"/>
              <w:rPr>
                <w:sz w:val="18"/>
              </w:rPr>
            </w:pPr>
            <w:r>
              <w:rPr>
                <w:color w:val="010101"/>
                <w:w w:val="80"/>
                <w:sz w:val="18"/>
              </w:rPr>
              <w:t>3,304,745</w:t>
            </w:r>
          </w:p>
        </w:tc>
        <w:tc>
          <w:tcPr>
            <w:tcW w:w="752" w:type="dxa"/>
            <w:tcBorders>
              <w:top w:val="nil"/>
              <w:bottom w:val="nil"/>
            </w:tcBorders>
          </w:tcPr>
          <w:p>
            <w:pPr>
              <w:pStyle w:val="TableParagraph"/>
              <w:spacing w:line="178" w:lineRule="exact"/>
              <w:ind w:left="59" w:right="47"/>
              <w:jc w:val="center"/>
              <w:rPr>
                <w:rFonts w:ascii="Times New Roman"/>
                <w:sz w:val="17"/>
              </w:rPr>
            </w:pPr>
            <w:r>
              <w:rPr>
                <w:rFonts w:ascii="Times New Roman"/>
                <w:color w:val="010101"/>
                <w:w w:val="105"/>
                <w:sz w:val="17"/>
              </w:rPr>
              <w:t>35.38</w:t>
            </w:r>
          </w:p>
        </w:tc>
        <w:tc>
          <w:tcPr>
            <w:tcW w:w="398" w:type="dxa"/>
            <w:tcBorders>
              <w:top w:val="nil"/>
              <w:bottom w:val="nil"/>
              <w:right w:val="nil"/>
            </w:tcBorders>
          </w:tcPr>
          <w:p>
            <w:pPr>
              <w:pStyle w:val="TableParagraph"/>
              <w:spacing w:line="203" w:lineRule="exact"/>
              <w:ind w:left="172" w:right="-6"/>
              <w:rPr>
                <w:sz w:val="18"/>
              </w:rPr>
            </w:pPr>
            <w:r>
              <w:rPr>
                <w:color w:val="010101"/>
                <w:w w:val="90"/>
                <w:sz w:val="18"/>
              </w:rPr>
              <w:t>36</w:t>
            </w:r>
          </w:p>
        </w:tc>
      </w:tr>
      <w:tr>
        <w:trPr>
          <w:trHeight w:val="204" w:hRule="exact"/>
        </w:trPr>
        <w:tc>
          <w:tcPr>
            <w:tcW w:w="366" w:type="dxa"/>
            <w:tcBorders>
              <w:top w:val="nil"/>
              <w:left w:val="nil"/>
              <w:bottom w:val="nil"/>
            </w:tcBorders>
          </w:tcPr>
          <w:p>
            <w:pPr>
              <w:pStyle w:val="TableParagraph"/>
              <w:spacing w:line="203" w:lineRule="exact"/>
              <w:ind w:left="136" w:right="-14"/>
              <w:rPr>
                <w:sz w:val="18"/>
              </w:rPr>
            </w:pPr>
            <w:r>
              <w:rPr>
                <w:color w:val="010101"/>
                <w:sz w:val="18"/>
              </w:rPr>
              <w:t>37</w:t>
            </w:r>
          </w:p>
        </w:tc>
        <w:tc>
          <w:tcPr>
            <w:tcW w:w="834" w:type="dxa"/>
            <w:tcBorders>
              <w:top w:val="nil"/>
              <w:bottom w:val="nil"/>
            </w:tcBorders>
          </w:tcPr>
          <w:p>
            <w:pPr>
              <w:pStyle w:val="TableParagraph"/>
              <w:ind w:left="64" w:right="22"/>
              <w:jc w:val="center"/>
              <w:rPr>
                <w:rFonts w:ascii="Times New Roman"/>
                <w:sz w:val="16"/>
              </w:rPr>
            </w:pPr>
            <w:r>
              <w:rPr>
                <w:rFonts w:ascii="Times New Roman"/>
                <w:color w:val="010101"/>
                <w:w w:val="105"/>
                <w:sz w:val="16"/>
              </w:rPr>
              <w:t>.00246</w:t>
            </w:r>
          </w:p>
        </w:tc>
        <w:tc>
          <w:tcPr>
            <w:tcW w:w="836" w:type="dxa"/>
            <w:tcBorders>
              <w:top w:val="nil"/>
              <w:bottom w:val="nil"/>
            </w:tcBorders>
          </w:tcPr>
          <w:p>
            <w:pPr>
              <w:pStyle w:val="TableParagraph"/>
              <w:spacing w:line="203" w:lineRule="exact"/>
              <w:ind w:left="55" w:right="44"/>
              <w:jc w:val="center"/>
              <w:rPr>
                <w:sz w:val="18"/>
              </w:rPr>
            </w:pPr>
            <w:r>
              <w:rPr>
                <w:color w:val="010101"/>
                <w:w w:val="90"/>
                <w:sz w:val="18"/>
              </w:rPr>
              <w:t>93,185</w:t>
            </w:r>
          </w:p>
        </w:tc>
        <w:tc>
          <w:tcPr>
            <w:tcW w:w="670" w:type="dxa"/>
            <w:tcBorders>
              <w:top w:val="nil"/>
              <w:bottom w:val="nil"/>
            </w:tcBorders>
          </w:tcPr>
          <w:p>
            <w:pPr>
              <w:pStyle w:val="TableParagraph"/>
              <w:spacing w:line="185" w:lineRule="exact"/>
              <w:ind w:right="120"/>
              <w:jc w:val="right"/>
              <w:rPr>
                <w:rFonts w:ascii="Times New Roman"/>
                <w:sz w:val="18"/>
              </w:rPr>
            </w:pPr>
            <w:r>
              <w:rPr>
                <w:rFonts w:ascii="Times New Roman"/>
                <w:color w:val="010101"/>
                <w:w w:val="85"/>
                <w:sz w:val="18"/>
              </w:rPr>
              <w:t>229</w:t>
            </w:r>
          </w:p>
        </w:tc>
        <w:tc>
          <w:tcPr>
            <w:tcW w:w="835" w:type="dxa"/>
            <w:tcBorders>
              <w:top w:val="nil"/>
              <w:bottom w:val="nil"/>
            </w:tcBorders>
          </w:tcPr>
          <w:p>
            <w:pPr>
              <w:pStyle w:val="TableParagraph"/>
              <w:spacing w:line="203" w:lineRule="exact"/>
              <w:ind w:left="71" w:right="26"/>
              <w:jc w:val="center"/>
              <w:rPr>
                <w:sz w:val="18"/>
              </w:rPr>
            </w:pPr>
            <w:r>
              <w:rPr>
                <w:color w:val="010101"/>
                <w:w w:val="90"/>
                <w:sz w:val="18"/>
              </w:rPr>
              <w:t>93,070</w:t>
            </w:r>
          </w:p>
        </w:tc>
        <w:tc>
          <w:tcPr>
            <w:tcW w:w="992" w:type="dxa"/>
            <w:tcBorders>
              <w:top w:val="nil"/>
              <w:bottom w:val="nil"/>
            </w:tcBorders>
          </w:tcPr>
          <w:p>
            <w:pPr>
              <w:pStyle w:val="TableParagraph"/>
              <w:spacing w:line="203" w:lineRule="exact"/>
              <w:ind w:right="99"/>
              <w:jc w:val="right"/>
              <w:rPr>
                <w:sz w:val="18"/>
              </w:rPr>
            </w:pPr>
            <w:r>
              <w:rPr>
                <w:color w:val="010101"/>
                <w:w w:val="75"/>
                <w:sz w:val="18"/>
              </w:rPr>
              <w:t>3,211,455</w:t>
            </w:r>
          </w:p>
        </w:tc>
        <w:tc>
          <w:tcPr>
            <w:tcW w:w="752" w:type="dxa"/>
            <w:tcBorders>
              <w:top w:val="nil"/>
              <w:bottom w:val="nil"/>
            </w:tcBorders>
          </w:tcPr>
          <w:p>
            <w:pPr>
              <w:pStyle w:val="TableParagraph"/>
              <w:spacing w:line="196" w:lineRule="exact"/>
              <w:ind w:left="75" w:right="47"/>
              <w:jc w:val="center"/>
              <w:rPr>
                <w:sz w:val="18"/>
              </w:rPr>
            </w:pPr>
            <w:r>
              <w:rPr>
                <w:color w:val="010101"/>
                <w:w w:val="95"/>
                <w:sz w:val="18"/>
              </w:rPr>
              <w:t>34.46</w:t>
            </w:r>
          </w:p>
        </w:tc>
        <w:tc>
          <w:tcPr>
            <w:tcW w:w="398" w:type="dxa"/>
            <w:tcBorders>
              <w:top w:val="nil"/>
              <w:bottom w:val="nil"/>
              <w:right w:val="nil"/>
            </w:tcBorders>
          </w:tcPr>
          <w:p>
            <w:pPr>
              <w:pStyle w:val="TableParagraph"/>
              <w:spacing w:line="203" w:lineRule="exact"/>
              <w:ind w:left="172" w:right="-17"/>
              <w:rPr>
                <w:sz w:val="18"/>
              </w:rPr>
            </w:pPr>
            <w:r>
              <w:rPr>
                <w:color w:val="010101"/>
                <w:sz w:val="18"/>
              </w:rPr>
              <w:t>37</w:t>
            </w:r>
          </w:p>
        </w:tc>
      </w:tr>
      <w:tr>
        <w:trPr>
          <w:trHeight w:val="198" w:hRule="exact"/>
        </w:trPr>
        <w:tc>
          <w:tcPr>
            <w:tcW w:w="366" w:type="dxa"/>
            <w:tcBorders>
              <w:top w:val="nil"/>
              <w:left w:val="nil"/>
              <w:bottom w:val="nil"/>
            </w:tcBorders>
          </w:tcPr>
          <w:p>
            <w:pPr>
              <w:pStyle w:val="TableParagraph"/>
              <w:spacing w:line="197" w:lineRule="exact"/>
              <w:ind w:left="132" w:right="-10"/>
              <w:rPr>
                <w:sz w:val="18"/>
              </w:rPr>
            </w:pPr>
            <w:r>
              <w:rPr>
                <w:color w:val="010101"/>
                <w:sz w:val="18"/>
              </w:rPr>
              <w:t>38</w:t>
            </w:r>
          </w:p>
        </w:tc>
        <w:tc>
          <w:tcPr>
            <w:tcW w:w="834" w:type="dxa"/>
            <w:tcBorders>
              <w:top w:val="nil"/>
              <w:bottom w:val="nil"/>
            </w:tcBorders>
          </w:tcPr>
          <w:p>
            <w:pPr>
              <w:pStyle w:val="TableParagraph"/>
              <w:spacing w:line="181" w:lineRule="exact"/>
              <w:ind w:left="65" w:right="22"/>
              <w:jc w:val="center"/>
              <w:rPr>
                <w:rFonts w:ascii="Times New Roman"/>
                <w:sz w:val="16"/>
              </w:rPr>
            </w:pPr>
            <w:r>
              <w:rPr>
                <w:rFonts w:ascii="Times New Roman"/>
                <w:color w:val="010101"/>
                <w:w w:val="105"/>
                <w:sz w:val="16"/>
              </w:rPr>
              <w:t>.00270</w:t>
            </w:r>
          </w:p>
        </w:tc>
        <w:tc>
          <w:tcPr>
            <w:tcW w:w="836" w:type="dxa"/>
            <w:tcBorders>
              <w:top w:val="nil"/>
              <w:bottom w:val="nil"/>
            </w:tcBorders>
          </w:tcPr>
          <w:p>
            <w:pPr>
              <w:pStyle w:val="TableParagraph"/>
              <w:spacing w:line="201" w:lineRule="exact"/>
              <w:ind w:left="63" w:right="44"/>
              <w:jc w:val="center"/>
              <w:rPr>
                <w:sz w:val="18"/>
              </w:rPr>
            </w:pPr>
            <w:r>
              <w:rPr>
                <w:color w:val="010101"/>
                <w:sz w:val="18"/>
              </w:rPr>
              <w:t>92,956</w:t>
            </w:r>
          </w:p>
        </w:tc>
        <w:tc>
          <w:tcPr>
            <w:tcW w:w="670" w:type="dxa"/>
            <w:tcBorders>
              <w:top w:val="nil"/>
              <w:bottom w:val="nil"/>
            </w:tcBorders>
          </w:tcPr>
          <w:p>
            <w:pPr>
              <w:pStyle w:val="TableParagraph"/>
              <w:spacing w:line="193" w:lineRule="exact"/>
              <w:ind w:right="92"/>
              <w:jc w:val="right"/>
              <w:rPr>
                <w:sz w:val="18"/>
              </w:rPr>
            </w:pPr>
            <w:r>
              <w:rPr>
                <w:color w:val="010101"/>
                <w:w w:val="85"/>
                <w:sz w:val="18"/>
              </w:rPr>
              <w:t>251</w:t>
            </w:r>
          </w:p>
        </w:tc>
        <w:tc>
          <w:tcPr>
            <w:tcW w:w="835" w:type="dxa"/>
            <w:tcBorders>
              <w:top w:val="nil"/>
              <w:bottom w:val="nil"/>
            </w:tcBorders>
          </w:tcPr>
          <w:p>
            <w:pPr>
              <w:pStyle w:val="TableParagraph"/>
              <w:spacing w:line="197" w:lineRule="exact"/>
              <w:ind w:left="58" w:right="26"/>
              <w:jc w:val="center"/>
              <w:rPr>
                <w:sz w:val="18"/>
              </w:rPr>
            </w:pPr>
            <w:r>
              <w:rPr>
                <w:color w:val="010101"/>
                <w:w w:val="95"/>
                <w:sz w:val="18"/>
              </w:rPr>
              <w:t>92,800</w:t>
            </w:r>
          </w:p>
        </w:tc>
        <w:tc>
          <w:tcPr>
            <w:tcW w:w="992" w:type="dxa"/>
            <w:tcBorders>
              <w:top w:val="nil"/>
              <w:bottom w:val="nil"/>
            </w:tcBorders>
          </w:tcPr>
          <w:p>
            <w:pPr>
              <w:pStyle w:val="TableParagraph"/>
              <w:spacing w:line="201" w:lineRule="exact"/>
              <w:ind w:right="104"/>
              <w:jc w:val="right"/>
              <w:rPr>
                <w:sz w:val="18"/>
              </w:rPr>
            </w:pPr>
            <w:r>
              <w:rPr>
                <w:color w:val="010101"/>
                <w:w w:val="75"/>
                <w:sz w:val="18"/>
              </w:rPr>
              <w:t>3,118,385</w:t>
            </w:r>
          </w:p>
        </w:tc>
        <w:tc>
          <w:tcPr>
            <w:tcW w:w="752" w:type="dxa"/>
            <w:tcBorders>
              <w:top w:val="nil"/>
              <w:bottom w:val="nil"/>
            </w:tcBorders>
          </w:tcPr>
          <w:p>
            <w:pPr>
              <w:pStyle w:val="TableParagraph"/>
              <w:spacing w:line="197" w:lineRule="exact"/>
              <w:ind w:left="70" w:right="47"/>
              <w:jc w:val="center"/>
              <w:rPr>
                <w:sz w:val="18"/>
              </w:rPr>
            </w:pPr>
            <w:r>
              <w:rPr>
                <w:color w:val="010101"/>
                <w:sz w:val="18"/>
              </w:rPr>
              <w:t>33.55</w:t>
            </w:r>
          </w:p>
        </w:tc>
        <w:tc>
          <w:tcPr>
            <w:tcW w:w="398" w:type="dxa"/>
            <w:tcBorders>
              <w:top w:val="nil"/>
              <w:bottom w:val="nil"/>
              <w:right w:val="nil"/>
            </w:tcBorders>
          </w:tcPr>
          <w:p>
            <w:pPr>
              <w:pStyle w:val="TableParagraph"/>
              <w:spacing w:line="183" w:lineRule="exact"/>
              <w:ind w:left="168" w:right="-6"/>
              <w:rPr>
                <w:rFonts w:ascii="Times New Roman"/>
                <w:sz w:val="17"/>
              </w:rPr>
            </w:pPr>
            <w:r>
              <w:rPr>
                <w:rFonts w:ascii="Times New Roman"/>
                <w:color w:val="010101"/>
                <w:w w:val="105"/>
                <w:sz w:val="17"/>
              </w:rPr>
              <w:t>38</w:t>
            </w:r>
          </w:p>
        </w:tc>
      </w:tr>
      <w:tr>
        <w:trPr>
          <w:trHeight w:val="306" w:hRule="exact"/>
        </w:trPr>
        <w:tc>
          <w:tcPr>
            <w:tcW w:w="366" w:type="dxa"/>
            <w:tcBorders>
              <w:top w:val="nil"/>
              <w:left w:val="nil"/>
              <w:bottom w:val="nil"/>
            </w:tcBorders>
          </w:tcPr>
          <w:p>
            <w:pPr>
              <w:pStyle w:val="TableParagraph"/>
              <w:spacing w:line="210" w:lineRule="exact"/>
              <w:ind w:left="132" w:right="-2"/>
              <w:rPr>
                <w:sz w:val="20"/>
              </w:rPr>
            </w:pPr>
            <w:r>
              <w:rPr>
                <w:color w:val="010101"/>
                <w:spacing w:val="-16"/>
                <w:sz w:val="20"/>
              </w:rPr>
              <w:t>39</w:t>
            </w:r>
          </w:p>
        </w:tc>
        <w:tc>
          <w:tcPr>
            <w:tcW w:w="834" w:type="dxa"/>
            <w:tcBorders>
              <w:top w:val="nil"/>
              <w:bottom w:val="nil"/>
            </w:tcBorders>
          </w:tcPr>
          <w:p>
            <w:pPr>
              <w:pStyle w:val="TableParagraph"/>
              <w:spacing w:line="189" w:lineRule="exact"/>
              <w:ind w:left="59" w:right="22"/>
              <w:jc w:val="center"/>
              <w:rPr>
                <w:rFonts w:ascii="Times New Roman"/>
                <w:sz w:val="18"/>
              </w:rPr>
            </w:pPr>
            <w:r>
              <w:rPr>
                <w:rFonts w:ascii="Times New Roman"/>
                <w:color w:val="010101"/>
                <w:sz w:val="18"/>
              </w:rPr>
              <w:t>.00299</w:t>
            </w:r>
          </w:p>
        </w:tc>
        <w:tc>
          <w:tcPr>
            <w:tcW w:w="836" w:type="dxa"/>
            <w:tcBorders>
              <w:top w:val="nil"/>
              <w:bottom w:val="nil"/>
            </w:tcBorders>
          </w:tcPr>
          <w:p>
            <w:pPr>
              <w:pStyle w:val="TableParagraph"/>
              <w:ind w:left="72" w:right="42"/>
              <w:jc w:val="center"/>
              <w:rPr>
                <w:sz w:val="18"/>
              </w:rPr>
            </w:pPr>
            <w:r>
              <w:rPr>
                <w:color w:val="010101"/>
                <w:sz w:val="18"/>
              </w:rPr>
              <w:t>92,705</w:t>
            </w:r>
          </w:p>
        </w:tc>
        <w:tc>
          <w:tcPr>
            <w:tcW w:w="670" w:type="dxa"/>
            <w:tcBorders>
              <w:top w:val="nil"/>
              <w:bottom w:val="nil"/>
            </w:tcBorders>
          </w:tcPr>
          <w:p>
            <w:pPr>
              <w:pStyle w:val="TableParagraph"/>
              <w:spacing w:line="201" w:lineRule="exact"/>
              <w:ind w:right="81"/>
              <w:jc w:val="right"/>
              <w:rPr>
                <w:sz w:val="18"/>
              </w:rPr>
            </w:pPr>
            <w:r>
              <w:rPr>
                <w:color w:val="010101"/>
                <w:w w:val="90"/>
                <w:sz w:val="18"/>
              </w:rPr>
              <w:t>278</w:t>
            </w:r>
          </w:p>
        </w:tc>
        <w:tc>
          <w:tcPr>
            <w:tcW w:w="835" w:type="dxa"/>
            <w:tcBorders>
              <w:top w:val="nil"/>
              <w:bottom w:val="nil"/>
            </w:tcBorders>
          </w:tcPr>
          <w:p>
            <w:pPr>
              <w:pStyle w:val="TableParagraph"/>
              <w:spacing w:line="201" w:lineRule="exact"/>
              <w:ind w:left="46" w:right="26"/>
              <w:jc w:val="center"/>
              <w:rPr>
                <w:sz w:val="18"/>
              </w:rPr>
            </w:pPr>
            <w:r>
              <w:rPr>
                <w:color w:val="010101"/>
                <w:w w:val="95"/>
                <w:sz w:val="18"/>
              </w:rPr>
              <w:t>92,566</w:t>
            </w:r>
          </w:p>
        </w:tc>
        <w:tc>
          <w:tcPr>
            <w:tcW w:w="992" w:type="dxa"/>
            <w:tcBorders>
              <w:top w:val="nil"/>
              <w:bottom w:val="nil"/>
            </w:tcBorders>
          </w:tcPr>
          <w:p>
            <w:pPr>
              <w:pStyle w:val="TableParagraph"/>
              <w:spacing w:line="201" w:lineRule="exact"/>
              <w:ind w:right="119"/>
              <w:jc w:val="right"/>
              <w:rPr>
                <w:sz w:val="18"/>
              </w:rPr>
            </w:pPr>
            <w:r>
              <w:rPr>
                <w:color w:val="010101"/>
                <w:w w:val="75"/>
                <w:sz w:val="18"/>
              </w:rPr>
              <w:t>3,025,555</w:t>
            </w:r>
          </w:p>
        </w:tc>
        <w:tc>
          <w:tcPr>
            <w:tcW w:w="752" w:type="dxa"/>
            <w:tcBorders>
              <w:top w:val="nil"/>
              <w:bottom w:val="nil"/>
            </w:tcBorders>
          </w:tcPr>
          <w:p>
            <w:pPr>
              <w:pStyle w:val="TableParagraph"/>
              <w:ind w:left="83" w:right="47"/>
              <w:jc w:val="center"/>
              <w:rPr>
                <w:sz w:val="18"/>
              </w:rPr>
            </w:pPr>
            <w:r>
              <w:rPr>
                <w:color w:val="010101"/>
                <w:sz w:val="18"/>
              </w:rPr>
              <w:t>32.64</w:t>
            </w:r>
          </w:p>
        </w:tc>
        <w:tc>
          <w:tcPr>
            <w:tcW w:w="398" w:type="dxa"/>
            <w:tcBorders>
              <w:top w:val="nil"/>
              <w:bottom w:val="nil"/>
              <w:right w:val="nil"/>
            </w:tcBorders>
          </w:tcPr>
          <w:p>
            <w:pPr>
              <w:pStyle w:val="TableParagraph"/>
              <w:ind w:left="172" w:right="-6"/>
              <w:rPr>
                <w:sz w:val="18"/>
              </w:rPr>
            </w:pPr>
            <w:r>
              <w:rPr>
                <w:color w:val="010101"/>
                <w:spacing w:val="-16"/>
                <w:w w:val="105"/>
                <w:sz w:val="18"/>
              </w:rPr>
              <w:t>39</w:t>
            </w:r>
          </w:p>
        </w:tc>
      </w:tr>
      <w:tr>
        <w:trPr>
          <w:trHeight w:val="302" w:hRule="exact"/>
        </w:trPr>
        <w:tc>
          <w:tcPr>
            <w:tcW w:w="366" w:type="dxa"/>
            <w:tcBorders>
              <w:top w:val="nil"/>
              <w:left w:val="nil"/>
              <w:bottom w:val="nil"/>
            </w:tcBorders>
          </w:tcPr>
          <w:p>
            <w:pPr>
              <w:pStyle w:val="TableParagraph"/>
              <w:spacing w:before="84"/>
              <w:ind w:left="125" w:right="-14"/>
              <w:rPr>
                <w:rFonts w:ascii="Arial"/>
                <w:sz w:val="17"/>
              </w:rPr>
            </w:pPr>
            <w:r>
              <w:rPr>
                <w:rFonts w:ascii="Arial"/>
                <w:color w:val="010101"/>
                <w:sz w:val="17"/>
              </w:rPr>
              <w:t>40</w:t>
            </w:r>
          </w:p>
        </w:tc>
        <w:tc>
          <w:tcPr>
            <w:tcW w:w="834" w:type="dxa"/>
            <w:tcBorders>
              <w:top w:val="nil"/>
              <w:bottom w:val="nil"/>
            </w:tcBorders>
          </w:tcPr>
          <w:p>
            <w:pPr>
              <w:pStyle w:val="TableParagraph"/>
              <w:spacing w:before="97"/>
              <w:ind w:left="71" w:right="22"/>
              <w:jc w:val="center"/>
              <w:rPr>
                <w:sz w:val="18"/>
              </w:rPr>
            </w:pPr>
            <w:r>
              <w:rPr>
                <w:color w:val="010101"/>
                <w:w w:val="90"/>
                <w:sz w:val="18"/>
              </w:rPr>
              <w:t>.00332</w:t>
            </w:r>
          </w:p>
        </w:tc>
        <w:tc>
          <w:tcPr>
            <w:tcW w:w="836" w:type="dxa"/>
            <w:tcBorders>
              <w:top w:val="nil"/>
              <w:bottom w:val="nil"/>
            </w:tcBorders>
          </w:tcPr>
          <w:p>
            <w:pPr>
              <w:pStyle w:val="TableParagraph"/>
              <w:spacing w:before="97"/>
              <w:ind w:left="63" w:right="44"/>
              <w:jc w:val="center"/>
              <w:rPr>
                <w:sz w:val="18"/>
              </w:rPr>
            </w:pPr>
            <w:r>
              <w:rPr>
                <w:color w:val="010101"/>
                <w:sz w:val="18"/>
              </w:rPr>
              <w:t>92,427</w:t>
            </w:r>
          </w:p>
        </w:tc>
        <w:tc>
          <w:tcPr>
            <w:tcW w:w="670" w:type="dxa"/>
            <w:tcBorders>
              <w:top w:val="nil"/>
              <w:bottom w:val="nil"/>
            </w:tcBorders>
          </w:tcPr>
          <w:p>
            <w:pPr>
              <w:pStyle w:val="TableParagraph"/>
              <w:spacing w:before="79"/>
              <w:ind w:right="116"/>
              <w:jc w:val="right"/>
              <w:rPr>
                <w:rFonts w:ascii="Times New Roman"/>
                <w:sz w:val="18"/>
              </w:rPr>
            </w:pPr>
            <w:r>
              <w:rPr>
                <w:rFonts w:ascii="Times New Roman"/>
                <w:color w:val="010101"/>
                <w:w w:val="90"/>
                <w:sz w:val="18"/>
              </w:rPr>
              <w:t>306</w:t>
            </w:r>
          </w:p>
        </w:tc>
        <w:tc>
          <w:tcPr>
            <w:tcW w:w="835" w:type="dxa"/>
            <w:tcBorders>
              <w:top w:val="nil"/>
              <w:bottom w:val="nil"/>
            </w:tcBorders>
          </w:tcPr>
          <w:p>
            <w:pPr>
              <w:pStyle w:val="TableParagraph"/>
              <w:spacing w:before="94"/>
              <w:ind w:left="66" w:right="26"/>
              <w:jc w:val="center"/>
              <w:rPr>
                <w:sz w:val="18"/>
              </w:rPr>
            </w:pPr>
            <w:r>
              <w:rPr>
                <w:color w:val="010101"/>
                <w:sz w:val="18"/>
              </w:rPr>
              <w:t>92,274</w:t>
            </w:r>
          </w:p>
        </w:tc>
        <w:tc>
          <w:tcPr>
            <w:tcW w:w="992" w:type="dxa"/>
            <w:tcBorders>
              <w:top w:val="nil"/>
              <w:bottom w:val="nil"/>
            </w:tcBorders>
          </w:tcPr>
          <w:p>
            <w:pPr>
              <w:pStyle w:val="TableParagraph"/>
              <w:spacing w:before="90"/>
              <w:ind w:right="101"/>
              <w:jc w:val="right"/>
              <w:rPr>
                <w:sz w:val="18"/>
              </w:rPr>
            </w:pPr>
            <w:r>
              <w:rPr>
                <w:color w:val="010101"/>
                <w:w w:val="85"/>
                <w:sz w:val="18"/>
              </w:rPr>
              <w:t>2,932,989</w:t>
            </w:r>
          </w:p>
        </w:tc>
        <w:tc>
          <w:tcPr>
            <w:tcW w:w="752" w:type="dxa"/>
            <w:tcBorders>
              <w:top w:val="nil"/>
              <w:bottom w:val="nil"/>
            </w:tcBorders>
          </w:tcPr>
          <w:p>
            <w:pPr>
              <w:pStyle w:val="TableParagraph"/>
              <w:spacing w:before="94"/>
              <w:ind w:left="69" w:right="47"/>
              <w:jc w:val="center"/>
              <w:rPr>
                <w:sz w:val="18"/>
              </w:rPr>
            </w:pPr>
            <w:r>
              <w:rPr>
                <w:color w:val="010101"/>
                <w:w w:val="95"/>
                <w:sz w:val="18"/>
              </w:rPr>
              <w:t>31.73</w:t>
            </w:r>
          </w:p>
        </w:tc>
        <w:tc>
          <w:tcPr>
            <w:tcW w:w="398" w:type="dxa"/>
            <w:tcBorders>
              <w:top w:val="nil"/>
              <w:bottom w:val="nil"/>
              <w:right w:val="nil"/>
            </w:tcBorders>
          </w:tcPr>
          <w:p>
            <w:pPr>
              <w:pStyle w:val="TableParagraph"/>
              <w:spacing w:before="91"/>
              <w:ind w:left="168" w:right="-6"/>
              <w:rPr>
                <w:rFonts w:ascii="Arial"/>
                <w:sz w:val="17"/>
              </w:rPr>
            </w:pPr>
            <w:r>
              <w:rPr>
                <w:rFonts w:ascii="Arial"/>
                <w:color w:val="010101"/>
                <w:sz w:val="17"/>
              </w:rPr>
              <w:t>40</w:t>
            </w:r>
          </w:p>
        </w:tc>
      </w:tr>
      <w:tr>
        <w:trPr>
          <w:trHeight w:val="197" w:hRule="exact"/>
        </w:trPr>
        <w:tc>
          <w:tcPr>
            <w:tcW w:w="366" w:type="dxa"/>
            <w:tcBorders>
              <w:top w:val="nil"/>
              <w:left w:val="nil"/>
              <w:bottom w:val="nil"/>
            </w:tcBorders>
          </w:tcPr>
          <w:p>
            <w:pPr>
              <w:pStyle w:val="TableParagraph"/>
              <w:spacing w:line="193" w:lineRule="exact"/>
              <w:ind w:left="125" w:right="-14"/>
              <w:rPr>
                <w:sz w:val="18"/>
              </w:rPr>
            </w:pPr>
            <w:r>
              <w:rPr>
                <w:color w:val="010101"/>
                <w:w w:val="90"/>
                <w:sz w:val="18"/>
              </w:rPr>
              <w:t>41</w:t>
            </w:r>
          </w:p>
        </w:tc>
        <w:tc>
          <w:tcPr>
            <w:tcW w:w="834" w:type="dxa"/>
            <w:tcBorders>
              <w:top w:val="nil"/>
              <w:bottom w:val="nil"/>
            </w:tcBorders>
          </w:tcPr>
          <w:p>
            <w:pPr>
              <w:pStyle w:val="TableParagraph"/>
              <w:spacing w:line="201" w:lineRule="exact"/>
              <w:ind w:left="94" w:right="19"/>
              <w:jc w:val="center"/>
              <w:rPr>
                <w:sz w:val="18"/>
              </w:rPr>
            </w:pPr>
            <w:r>
              <w:rPr>
                <w:color w:val="010101"/>
                <w:sz w:val="18"/>
              </w:rPr>
              <w:t>.00368</w:t>
            </w:r>
          </w:p>
        </w:tc>
        <w:tc>
          <w:tcPr>
            <w:tcW w:w="836" w:type="dxa"/>
            <w:tcBorders>
              <w:top w:val="nil"/>
              <w:bottom w:val="nil"/>
            </w:tcBorders>
          </w:tcPr>
          <w:p>
            <w:pPr>
              <w:pStyle w:val="TableParagraph"/>
              <w:spacing w:line="197" w:lineRule="exact"/>
              <w:ind w:left="55" w:right="44"/>
              <w:jc w:val="center"/>
              <w:rPr>
                <w:sz w:val="18"/>
              </w:rPr>
            </w:pPr>
            <w:r>
              <w:rPr>
                <w:color w:val="010101"/>
                <w:sz w:val="18"/>
              </w:rPr>
              <w:t>92,121</w:t>
            </w:r>
          </w:p>
        </w:tc>
        <w:tc>
          <w:tcPr>
            <w:tcW w:w="670" w:type="dxa"/>
            <w:tcBorders>
              <w:top w:val="nil"/>
              <w:bottom w:val="nil"/>
            </w:tcBorders>
          </w:tcPr>
          <w:p>
            <w:pPr>
              <w:pStyle w:val="TableParagraph"/>
              <w:spacing w:line="197" w:lineRule="exact"/>
              <w:ind w:right="85"/>
              <w:jc w:val="right"/>
              <w:rPr>
                <w:sz w:val="18"/>
              </w:rPr>
            </w:pPr>
            <w:r>
              <w:rPr>
                <w:color w:val="010101"/>
                <w:sz w:val="18"/>
              </w:rPr>
              <w:t>339</w:t>
            </w:r>
          </w:p>
        </w:tc>
        <w:tc>
          <w:tcPr>
            <w:tcW w:w="835" w:type="dxa"/>
            <w:tcBorders>
              <w:top w:val="nil"/>
              <w:bottom w:val="nil"/>
            </w:tcBorders>
          </w:tcPr>
          <w:p>
            <w:pPr>
              <w:pStyle w:val="TableParagraph"/>
              <w:spacing w:line="197" w:lineRule="exact"/>
              <w:ind w:left="55" w:right="26"/>
              <w:jc w:val="center"/>
              <w:rPr>
                <w:sz w:val="18"/>
              </w:rPr>
            </w:pPr>
            <w:r>
              <w:rPr>
                <w:color w:val="010101"/>
                <w:w w:val="90"/>
                <w:sz w:val="18"/>
              </w:rPr>
              <w:t>91,952</w:t>
            </w:r>
          </w:p>
        </w:tc>
        <w:tc>
          <w:tcPr>
            <w:tcW w:w="992" w:type="dxa"/>
            <w:tcBorders>
              <w:top w:val="nil"/>
              <w:bottom w:val="nil"/>
            </w:tcBorders>
          </w:tcPr>
          <w:p>
            <w:pPr>
              <w:pStyle w:val="TableParagraph"/>
              <w:spacing w:line="193" w:lineRule="exact"/>
              <w:ind w:right="113"/>
              <w:jc w:val="right"/>
              <w:rPr>
                <w:sz w:val="18"/>
              </w:rPr>
            </w:pPr>
            <w:r>
              <w:rPr>
                <w:color w:val="010101"/>
                <w:w w:val="75"/>
                <w:sz w:val="18"/>
              </w:rPr>
              <w:t>2,840,715</w:t>
            </w:r>
          </w:p>
        </w:tc>
        <w:tc>
          <w:tcPr>
            <w:tcW w:w="752" w:type="dxa"/>
            <w:tcBorders>
              <w:top w:val="nil"/>
              <w:bottom w:val="nil"/>
            </w:tcBorders>
          </w:tcPr>
          <w:p>
            <w:pPr>
              <w:pStyle w:val="TableParagraph"/>
              <w:spacing w:line="197" w:lineRule="exact"/>
              <w:ind w:left="75" w:right="47"/>
              <w:jc w:val="center"/>
              <w:rPr>
                <w:sz w:val="18"/>
              </w:rPr>
            </w:pPr>
            <w:r>
              <w:rPr>
                <w:color w:val="010101"/>
                <w:sz w:val="18"/>
              </w:rPr>
              <w:t>30.84</w:t>
            </w:r>
          </w:p>
        </w:tc>
        <w:tc>
          <w:tcPr>
            <w:tcW w:w="398" w:type="dxa"/>
            <w:tcBorders>
              <w:top w:val="nil"/>
              <w:bottom w:val="nil"/>
              <w:right w:val="nil"/>
            </w:tcBorders>
          </w:tcPr>
          <w:p>
            <w:pPr>
              <w:pStyle w:val="TableParagraph"/>
              <w:spacing w:line="197" w:lineRule="exact"/>
              <w:ind w:left="168" w:right="-13"/>
              <w:rPr>
                <w:sz w:val="18"/>
              </w:rPr>
            </w:pPr>
            <w:r>
              <w:rPr>
                <w:color w:val="010101"/>
                <w:sz w:val="18"/>
              </w:rPr>
              <w:t>41</w:t>
            </w:r>
          </w:p>
        </w:tc>
      </w:tr>
      <w:tr>
        <w:trPr>
          <w:trHeight w:val="206" w:hRule="exact"/>
        </w:trPr>
        <w:tc>
          <w:tcPr>
            <w:tcW w:w="366" w:type="dxa"/>
            <w:tcBorders>
              <w:top w:val="nil"/>
              <w:left w:val="nil"/>
              <w:bottom w:val="nil"/>
            </w:tcBorders>
          </w:tcPr>
          <w:p>
            <w:pPr>
              <w:pStyle w:val="TableParagraph"/>
              <w:spacing w:line="198" w:lineRule="exact"/>
              <w:ind w:left="129" w:right="-7"/>
              <w:rPr>
                <w:sz w:val="18"/>
              </w:rPr>
            </w:pPr>
            <w:r>
              <w:rPr>
                <w:color w:val="010101"/>
                <w:sz w:val="18"/>
              </w:rPr>
              <w:t>42</w:t>
            </w:r>
          </w:p>
        </w:tc>
        <w:tc>
          <w:tcPr>
            <w:tcW w:w="834" w:type="dxa"/>
            <w:tcBorders>
              <w:top w:val="nil"/>
              <w:bottom w:val="nil"/>
            </w:tcBorders>
          </w:tcPr>
          <w:p>
            <w:pPr>
              <w:pStyle w:val="TableParagraph"/>
              <w:spacing w:line="186" w:lineRule="exact"/>
              <w:ind w:left="64" w:right="22"/>
              <w:jc w:val="center"/>
              <w:rPr>
                <w:rFonts w:ascii="Times New Roman"/>
                <w:sz w:val="18"/>
              </w:rPr>
            </w:pPr>
            <w:r>
              <w:rPr>
                <w:rFonts w:ascii="Times New Roman"/>
                <w:color w:val="010101"/>
                <w:sz w:val="18"/>
              </w:rPr>
              <w:t>.00409</w:t>
            </w:r>
          </w:p>
        </w:tc>
        <w:tc>
          <w:tcPr>
            <w:tcW w:w="836" w:type="dxa"/>
            <w:tcBorders>
              <w:top w:val="nil"/>
              <w:bottom w:val="nil"/>
            </w:tcBorders>
          </w:tcPr>
          <w:p>
            <w:pPr>
              <w:pStyle w:val="TableParagraph"/>
              <w:spacing w:before="1"/>
              <w:ind w:left="72" w:right="32"/>
              <w:jc w:val="center"/>
              <w:rPr>
                <w:sz w:val="18"/>
              </w:rPr>
            </w:pPr>
            <w:r>
              <w:rPr>
                <w:color w:val="010101"/>
                <w:sz w:val="18"/>
              </w:rPr>
              <w:t>91,782</w:t>
            </w:r>
          </w:p>
        </w:tc>
        <w:tc>
          <w:tcPr>
            <w:tcW w:w="670" w:type="dxa"/>
            <w:tcBorders>
              <w:top w:val="nil"/>
              <w:bottom w:val="nil"/>
            </w:tcBorders>
          </w:tcPr>
          <w:p>
            <w:pPr>
              <w:pStyle w:val="TableParagraph"/>
              <w:spacing w:line="201" w:lineRule="exact"/>
              <w:ind w:right="86"/>
              <w:jc w:val="right"/>
              <w:rPr>
                <w:sz w:val="18"/>
              </w:rPr>
            </w:pPr>
            <w:r>
              <w:rPr>
                <w:color w:val="010101"/>
                <w:sz w:val="18"/>
              </w:rPr>
              <w:t>376</w:t>
            </w:r>
          </w:p>
        </w:tc>
        <w:tc>
          <w:tcPr>
            <w:tcW w:w="835" w:type="dxa"/>
            <w:tcBorders>
              <w:top w:val="nil"/>
              <w:bottom w:val="nil"/>
            </w:tcBorders>
          </w:tcPr>
          <w:p>
            <w:pPr>
              <w:pStyle w:val="TableParagraph"/>
              <w:spacing w:line="201" w:lineRule="exact"/>
              <w:ind w:left="55" w:right="26"/>
              <w:jc w:val="center"/>
              <w:rPr>
                <w:sz w:val="18"/>
              </w:rPr>
            </w:pPr>
            <w:r>
              <w:rPr>
                <w:color w:val="010101"/>
                <w:w w:val="95"/>
                <w:sz w:val="18"/>
              </w:rPr>
              <w:t>91,594</w:t>
            </w:r>
          </w:p>
        </w:tc>
        <w:tc>
          <w:tcPr>
            <w:tcW w:w="992" w:type="dxa"/>
            <w:tcBorders>
              <w:top w:val="nil"/>
              <w:bottom w:val="nil"/>
            </w:tcBorders>
          </w:tcPr>
          <w:p>
            <w:pPr>
              <w:pStyle w:val="TableParagraph"/>
              <w:spacing w:line="194" w:lineRule="exact"/>
              <w:ind w:right="95"/>
              <w:jc w:val="right"/>
              <w:rPr>
                <w:sz w:val="18"/>
              </w:rPr>
            </w:pPr>
            <w:r>
              <w:rPr>
                <w:color w:val="010101"/>
                <w:w w:val="90"/>
                <w:sz w:val="18"/>
              </w:rPr>
              <w:t>2,748,763</w:t>
            </w:r>
          </w:p>
        </w:tc>
        <w:tc>
          <w:tcPr>
            <w:tcW w:w="752" w:type="dxa"/>
            <w:tcBorders>
              <w:top w:val="nil"/>
              <w:bottom w:val="nil"/>
            </w:tcBorders>
          </w:tcPr>
          <w:p>
            <w:pPr>
              <w:pStyle w:val="TableParagraph"/>
              <w:spacing w:line="198" w:lineRule="exact"/>
              <w:ind w:left="90" w:right="46"/>
              <w:jc w:val="center"/>
              <w:rPr>
                <w:sz w:val="18"/>
              </w:rPr>
            </w:pPr>
            <w:r>
              <w:rPr>
                <w:color w:val="010101"/>
                <w:w w:val="90"/>
                <w:sz w:val="18"/>
              </w:rPr>
              <w:t>29.95</w:t>
            </w:r>
          </w:p>
        </w:tc>
        <w:tc>
          <w:tcPr>
            <w:tcW w:w="398" w:type="dxa"/>
            <w:tcBorders>
              <w:top w:val="nil"/>
              <w:bottom w:val="nil"/>
              <w:right w:val="nil"/>
            </w:tcBorders>
          </w:tcPr>
          <w:p>
            <w:pPr>
              <w:pStyle w:val="TableParagraph"/>
              <w:spacing w:line="198" w:lineRule="exact"/>
              <w:ind w:left="172" w:right="-6"/>
              <w:rPr>
                <w:sz w:val="18"/>
              </w:rPr>
            </w:pPr>
            <w:r>
              <w:rPr>
                <w:color w:val="010101"/>
                <w:spacing w:val="-14"/>
                <w:w w:val="105"/>
                <w:sz w:val="18"/>
              </w:rPr>
              <w:t>42</w:t>
            </w:r>
          </w:p>
        </w:tc>
      </w:tr>
      <w:tr>
        <w:trPr>
          <w:trHeight w:val="198" w:hRule="exact"/>
        </w:trPr>
        <w:tc>
          <w:tcPr>
            <w:tcW w:w="366" w:type="dxa"/>
            <w:tcBorders>
              <w:top w:val="nil"/>
              <w:left w:val="nil"/>
              <w:bottom w:val="nil"/>
            </w:tcBorders>
          </w:tcPr>
          <w:p>
            <w:pPr>
              <w:pStyle w:val="TableParagraph"/>
              <w:spacing w:line="197" w:lineRule="exact"/>
              <w:ind w:left="129" w:right="-17"/>
              <w:rPr>
                <w:sz w:val="18"/>
              </w:rPr>
            </w:pPr>
            <w:r>
              <w:rPr>
                <w:color w:val="010101"/>
                <w:w w:val="105"/>
                <w:sz w:val="18"/>
              </w:rPr>
              <w:t>43</w:t>
            </w:r>
          </w:p>
        </w:tc>
        <w:tc>
          <w:tcPr>
            <w:tcW w:w="834" w:type="dxa"/>
            <w:tcBorders>
              <w:top w:val="nil"/>
              <w:bottom w:val="nil"/>
            </w:tcBorders>
          </w:tcPr>
          <w:p>
            <w:pPr>
              <w:pStyle w:val="TableParagraph"/>
              <w:spacing w:line="201" w:lineRule="exact"/>
              <w:ind w:left="78" w:right="22"/>
              <w:jc w:val="center"/>
              <w:rPr>
                <w:sz w:val="18"/>
              </w:rPr>
            </w:pPr>
            <w:r>
              <w:rPr>
                <w:color w:val="010101"/>
                <w:w w:val="95"/>
                <w:sz w:val="18"/>
              </w:rPr>
              <w:t>.00454</w:t>
            </w:r>
          </w:p>
        </w:tc>
        <w:tc>
          <w:tcPr>
            <w:tcW w:w="836" w:type="dxa"/>
            <w:tcBorders>
              <w:top w:val="nil"/>
              <w:bottom w:val="nil"/>
            </w:tcBorders>
          </w:tcPr>
          <w:p>
            <w:pPr>
              <w:pStyle w:val="TableParagraph"/>
              <w:spacing w:line="201" w:lineRule="exact"/>
              <w:ind w:left="72" w:right="40"/>
              <w:jc w:val="center"/>
              <w:rPr>
                <w:sz w:val="18"/>
              </w:rPr>
            </w:pPr>
            <w:r>
              <w:rPr>
                <w:color w:val="010101"/>
                <w:sz w:val="18"/>
              </w:rPr>
              <w:t>91,406</w:t>
            </w:r>
          </w:p>
        </w:tc>
        <w:tc>
          <w:tcPr>
            <w:tcW w:w="670" w:type="dxa"/>
            <w:tcBorders>
              <w:top w:val="nil"/>
              <w:bottom w:val="nil"/>
            </w:tcBorders>
          </w:tcPr>
          <w:p>
            <w:pPr>
              <w:pStyle w:val="TableParagraph"/>
              <w:spacing w:line="197" w:lineRule="exact"/>
              <w:ind w:right="97"/>
              <w:jc w:val="right"/>
              <w:rPr>
                <w:sz w:val="18"/>
              </w:rPr>
            </w:pPr>
            <w:r>
              <w:rPr>
                <w:color w:val="010101"/>
                <w:w w:val="85"/>
                <w:sz w:val="18"/>
              </w:rPr>
              <w:t>415</w:t>
            </w:r>
          </w:p>
        </w:tc>
        <w:tc>
          <w:tcPr>
            <w:tcW w:w="835" w:type="dxa"/>
            <w:tcBorders>
              <w:top w:val="nil"/>
              <w:bottom w:val="nil"/>
            </w:tcBorders>
          </w:tcPr>
          <w:p>
            <w:pPr>
              <w:pStyle w:val="TableParagraph"/>
              <w:spacing w:line="197" w:lineRule="exact"/>
              <w:ind w:left="73" w:right="22"/>
              <w:jc w:val="center"/>
              <w:rPr>
                <w:sz w:val="18"/>
              </w:rPr>
            </w:pPr>
            <w:r>
              <w:rPr>
                <w:color w:val="010101"/>
                <w:w w:val="95"/>
                <w:sz w:val="18"/>
              </w:rPr>
              <w:t>91,198</w:t>
            </w:r>
          </w:p>
        </w:tc>
        <w:tc>
          <w:tcPr>
            <w:tcW w:w="992" w:type="dxa"/>
            <w:tcBorders>
              <w:top w:val="nil"/>
              <w:bottom w:val="nil"/>
            </w:tcBorders>
          </w:tcPr>
          <w:p>
            <w:pPr>
              <w:pStyle w:val="TableParagraph"/>
              <w:spacing w:line="193" w:lineRule="exact"/>
              <w:ind w:right="77"/>
              <w:jc w:val="right"/>
              <w:rPr>
                <w:sz w:val="18"/>
              </w:rPr>
            </w:pPr>
            <w:r>
              <w:rPr>
                <w:color w:val="010101"/>
                <w:w w:val="80"/>
                <w:sz w:val="18"/>
              </w:rPr>
              <w:t>2,657,169</w:t>
            </w:r>
          </w:p>
        </w:tc>
        <w:tc>
          <w:tcPr>
            <w:tcW w:w="752" w:type="dxa"/>
            <w:tcBorders>
              <w:top w:val="nil"/>
              <w:bottom w:val="nil"/>
            </w:tcBorders>
          </w:tcPr>
          <w:p>
            <w:pPr>
              <w:pStyle w:val="TableParagraph"/>
              <w:spacing w:line="193" w:lineRule="exact"/>
              <w:ind w:left="90" w:right="46"/>
              <w:jc w:val="center"/>
              <w:rPr>
                <w:sz w:val="18"/>
              </w:rPr>
            </w:pPr>
            <w:r>
              <w:rPr>
                <w:color w:val="010101"/>
                <w:sz w:val="18"/>
              </w:rPr>
              <w:t>29.07</w:t>
            </w:r>
          </w:p>
        </w:tc>
        <w:tc>
          <w:tcPr>
            <w:tcW w:w="398" w:type="dxa"/>
            <w:tcBorders>
              <w:top w:val="nil"/>
              <w:bottom w:val="nil"/>
              <w:right w:val="nil"/>
            </w:tcBorders>
          </w:tcPr>
          <w:p>
            <w:pPr>
              <w:pStyle w:val="TableParagraph"/>
              <w:spacing w:line="197" w:lineRule="exact"/>
              <w:ind w:left="172" w:right="-6"/>
              <w:rPr>
                <w:sz w:val="18"/>
              </w:rPr>
            </w:pPr>
            <w:r>
              <w:rPr>
                <w:color w:val="010101"/>
                <w:spacing w:val="-21"/>
                <w:w w:val="110"/>
                <w:sz w:val="18"/>
              </w:rPr>
              <w:t>43</w:t>
            </w:r>
          </w:p>
        </w:tc>
      </w:tr>
      <w:tr>
        <w:trPr>
          <w:trHeight w:val="301" w:hRule="exact"/>
        </w:trPr>
        <w:tc>
          <w:tcPr>
            <w:tcW w:w="366" w:type="dxa"/>
            <w:tcBorders>
              <w:top w:val="nil"/>
              <w:left w:val="nil"/>
              <w:bottom w:val="nil"/>
            </w:tcBorders>
          </w:tcPr>
          <w:p>
            <w:pPr>
              <w:pStyle w:val="TableParagraph"/>
              <w:spacing w:line="197" w:lineRule="exact"/>
              <w:ind w:left="129" w:right="-17"/>
              <w:rPr>
                <w:sz w:val="18"/>
              </w:rPr>
            </w:pPr>
            <w:r>
              <w:rPr>
                <w:color w:val="010101"/>
                <w:w w:val="105"/>
                <w:sz w:val="18"/>
              </w:rPr>
              <w:t>44</w:t>
            </w:r>
          </w:p>
        </w:tc>
        <w:tc>
          <w:tcPr>
            <w:tcW w:w="834" w:type="dxa"/>
            <w:tcBorders>
              <w:top w:val="nil"/>
              <w:bottom w:val="nil"/>
            </w:tcBorders>
          </w:tcPr>
          <w:p>
            <w:pPr>
              <w:pStyle w:val="TableParagraph"/>
              <w:spacing w:line="189" w:lineRule="exact"/>
              <w:ind w:left="59" w:right="22"/>
              <w:jc w:val="center"/>
              <w:rPr>
                <w:rFonts w:ascii="Times New Roman"/>
                <w:sz w:val="18"/>
              </w:rPr>
            </w:pPr>
            <w:r>
              <w:rPr>
                <w:rFonts w:ascii="Times New Roman"/>
                <w:color w:val="010101"/>
                <w:sz w:val="18"/>
              </w:rPr>
              <w:t>.00504</w:t>
            </w:r>
          </w:p>
        </w:tc>
        <w:tc>
          <w:tcPr>
            <w:tcW w:w="836" w:type="dxa"/>
            <w:tcBorders>
              <w:top w:val="nil"/>
              <w:bottom w:val="nil"/>
            </w:tcBorders>
          </w:tcPr>
          <w:p>
            <w:pPr>
              <w:pStyle w:val="TableParagraph"/>
              <w:ind w:left="67" w:right="44"/>
              <w:jc w:val="center"/>
              <w:rPr>
                <w:sz w:val="18"/>
              </w:rPr>
            </w:pPr>
            <w:r>
              <w:rPr>
                <w:color w:val="010101"/>
                <w:w w:val="90"/>
                <w:sz w:val="18"/>
              </w:rPr>
              <w:t>90,991</w:t>
            </w:r>
          </w:p>
        </w:tc>
        <w:tc>
          <w:tcPr>
            <w:tcW w:w="670" w:type="dxa"/>
            <w:tcBorders>
              <w:top w:val="nil"/>
              <w:bottom w:val="nil"/>
            </w:tcBorders>
          </w:tcPr>
          <w:p>
            <w:pPr>
              <w:pStyle w:val="TableParagraph"/>
              <w:spacing w:line="181" w:lineRule="exact"/>
              <w:ind w:right="116"/>
              <w:jc w:val="right"/>
              <w:rPr>
                <w:rFonts w:ascii="Arial"/>
                <w:sz w:val="16"/>
              </w:rPr>
            </w:pPr>
            <w:r>
              <w:rPr>
                <w:rFonts w:ascii="Arial"/>
                <w:color w:val="010101"/>
                <w:w w:val="90"/>
                <w:sz w:val="16"/>
              </w:rPr>
              <w:t>458</w:t>
            </w:r>
          </w:p>
        </w:tc>
        <w:tc>
          <w:tcPr>
            <w:tcW w:w="835" w:type="dxa"/>
            <w:tcBorders>
              <w:top w:val="nil"/>
              <w:bottom w:val="nil"/>
            </w:tcBorders>
          </w:tcPr>
          <w:p>
            <w:pPr>
              <w:pStyle w:val="TableParagraph"/>
              <w:spacing w:line="201" w:lineRule="exact"/>
              <w:ind w:left="73" w:right="25"/>
              <w:jc w:val="center"/>
              <w:rPr>
                <w:sz w:val="18"/>
              </w:rPr>
            </w:pPr>
            <w:r>
              <w:rPr>
                <w:color w:val="010101"/>
                <w:sz w:val="18"/>
              </w:rPr>
              <w:t>90,762</w:t>
            </w:r>
          </w:p>
        </w:tc>
        <w:tc>
          <w:tcPr>
            <w:tcW w:w="992" w:type="dxa"/>
            <w:tcBorders>
              <w:top w:val="nil"/>
              <w:bottom w:val="nil"/>
            </w:tcBorders>
          </w:tcPr>
          <w:p>
            <w:pPr>
              <w:pStyle w:val="TableParagraph"/>
              <w:spacing w:line="197" w:lineRule="exact"/>
              <w:ind w:right="112"/>
              <w:jc w:val="right"/>
              <w:rPr>
                <w:sz w:val="18"/>
              </w:rPr>
            </w:pPr>
            <w:r>
              <w:rPr>
                <w:color w:val="010101"/>
                <w:w w:val="80"/>
                <w:sz w:val="18"/>
              </w:rPr>
              <w:t>2,565,971</w:t>
            </w:r>
          </w:p>
        </w:tc>
        <w:tc>
          <w:tcPr>
            <w:tcW w:w="752" w:type="dxa"/>
            <w:tcBorders>
              <w:top w:val="nil"/>
              <w:bottom w:val="nil"/>
            </w:tcBorders>
          </w:tcPr>
          <w:p>
            <w:pPr>
              <w:pStyle w:val="TableParagraph"/>
              <w:spacing w:line="200" w:lineRule="exact"/>
              <w:ind w:left="85" w:right="47"/>
              <w:jc w:val="center"/>
              <w:rPr>
                <w:sz w:val="19"/>
              </w:rPr>
            </w:pPr>
            <w:r>
              <w:rPr>
                <w:color w:val="010101"/>
                <w:w w:val="95"/>
                <w:sz w:val="19"/>
              </w:rPr>
              <w:t>28.20</w:t>
            </w:r>
          </w:p>
        </w:tc>
        <w:tc>
          <w:tcPr>
            <w:tcW w:w="398" w:type="dxa"/>
            <w:tcBorders>
              <w:top w:val="nil"/>
              <w:bottom w:val="nil"/>
              <w:right w:val="nil"/>
            </w:tcBorders>
          </w:tcPr>
          <w:p>
            <w:pPr>
              <w:pStyle w:val="TableParagraph"/>
              <w:spacing w:line="197" w:lineRule="exact"/>
              <w:ind w:left="175" w:right="-2"/>
              <w:rPr>
                <w:sz w:val="18"/>
              </w:rPr>
            </w:pPr>
            <w:r>
              <w:rPr>
                <w:color w:val="010101"/>
                <w:spacing w:val="-20"/>
                <w:w w:val="110"/>
                <w:sz w:val="18"/>
              </w:rPr>
              <w:t>44</w:t>
            </w:r>
          </w:p>
        </w:tc>
      </w:tr>
      <w:tr>
        <w:trPr>
          <w:trHeight w:val="300" w:hRule="exact"/>
        </w:trPr>
        <w:tc>
          <w:tcPr>
            <w:tcW w:w="366" w:type="dxa"/>
            <w:tcBorders>
              <w:top w:val="nil"/>
              <w:left w:val="nil"/>
              <w:bottom w:val="nil"/>
            </w:tcBorders>
          </w:tcPr>
          <w:p>
            <w:pPr>
              <w:pStyle w:val="TableParagraph"/>
              <w:spacing w:before="98"/>
              <w:ind w:left="129" w:right="-14"/>
              <w:rPr>
                <w:sz w:val="18"/>
              </w:rPr>
            </w:pPr>
            <w:r>
              <w:rPr>
                <w:color w:val="010101"/>
                <w:spacing w:val="-23"/>
                <w:w w:val="110"/>
                <w:sz w:val="18"/>
              </w:rPr>
              <w:t>45</w:t>
            </w:r>
          </w:p>
        </w:tc>
        <w:tc>
          <w:tcPr>
            <w:tcW w:w="834" w:type="dxa"/>
            <w:tcBorders>
              <w:top w:val="nil"/>
              <w:bottom w:val="nil"/>
            </w:tcBorders>
          </w:tcPr>
          <w:p>
            <w:pPr>
              <w:pStyle w:val="TableParagraph"/>
              <w:spacing w:before="83"/>
              <w:ind w:left="75" w:right="22"/>
              <w:jc w:val="center"/>
              <w:rPr>
                <w:rFonts w:ascii="Times New Roman"/>
                <w:sz w:val="18"/>
              </w:rPr>
            </w:pPr>
            <w:r>
              <w:rPr>
                <w:rFonts w:ascii="Times New Roman"/>
                <w:color w:val="010101"/>
                <w:sz w:val="18"/>
              </w:rPr>
              <w:t>.00558</w:t>
            </w:r>
          </w:p>
        </w:tc>
        <w:tc>
          <w:tcPr>
            <w:tcW w:w="836" w:type="dxa"/>
            <w:tcBorders>
              <w:top w:val="nil"/>
              <w:bottom w:val="nil"/>
            </w:tcBorders>
          </w:tcPr>
          <w:p>
            <w:pPr>
              <w:pStyle w:val="TableParagraph"/>
              <w:spacing w:before="98"/>
              <w:ind w:left="61" w:right="44"/>
              <w:jc w:val="center"/>
              <w:rPr>
                <w:rFonts w:ascii="Times New Roman"/>
                <w:sz w:val="16"/>
              </w:rPr>
            </w:pPr>
            <w:r>
              <w:rPr>
                <w:rFonts w:ascii="Times New Roman"/>
                <w:color w:val="010101"/>
                <w:w w:val="110"/>
                <w:sz w:val="16"/>
              </w:rPr>
              <w:t>90,533</w:t>
            </w:r>
          </w:p>
        </w:tc>
        <w:tc>
          <w:tcPr>
            <w:tcW w:w="670" w:type="dxa"/>
            <w:tcBorders>
              <w:top w:val="nil"/>
              <w:bottom w:val="nil"/>
            </w:tcBorders>
          </w:tcPr>
          <w:p>
            <w:pPr>
              <w:pStyle w:val="TableParagraph"/>
              <w:spacing w:before="80"/>
              <w:ind w:right="106"/>
              <w:jc w:val="right"/>
              <w:rPr>
                <w:rFonts w:ascii="Times New Roman"/>
                <w:sz w:val="18"/>
              </w:rPr>
            </w:pPr>
            <w:r>
              <w:rPr>
                <w:rFonts w:ascii="Times New Roman"/>
                <w:color w:val="010101"/>
                <w:w w:val="90"/>
                <w:sz w:val="18"/>
              </w:rPr>
              <w:t>505</w:t>
            </w:r>
          </w:p>
        </w:tc>
        <w:tc>
          <w:tcPr>
            <w:tcW w:w="835" w:type="dxa"/>
            <w:tcBorders>
              <w:top w:val="nil"/>
              <w:bottom w:val="nil"/>
            </w:tcBorders>
          </w:tcPr>
          <w:p>
            <w:pPr>
              <w:pStyle w:val="TableParagraph"/>
              <w:spacing w:before="98"/>
              <w:ind w:left="60" w:right="26"/>
              <w:jc w:val="center"/>
              <w:rPr>
                <w:sz w:val="18"/>
              </w:rPr>
            </w:pPr>
            <w:r>
              <w:rPr>
                <w:color w:val="010101"/>
                <w:w w:val="90"/>
                <w:sz w:val="18"/>
              </w:rPr>
              <w:t>90,280</w:t>
            </w:r>
          </w:p>
        </w:tc>
        <w:tc>
          <w:tcPr>
            <w:tcW w:w="992" w:type="dxa"/>
            <w:tcBorders>
              <w:top w:val="nil"/>
              <w:bottom w:val="nil"/>
            </w:tcBorders>
          </w:tcPr>
          <w:p>
            <w:pPr>
              <w:pStyle w:val="TableParagraph"/>
              <w:spacing w:before="91"/>
              <w:ind w:right="111"/>
              <w:jc w:val="right"/>
              <w:rPr>
                <w:sz w:val="18"/>
              </w:rPr>
            </w:pPr>
            <w:r>
              <w:rPr>
                <w:color w:val="010101"/>
                <w:w w:val="80"/>
                <w:sz w:val="18"/>
              </w:rPr>
              <w:t>2,475,209</w:t>
            </w:r>
          </w:p>
        </w:tc>
        <w:tc>
          <w:tcPr>
            <w:tcW w:w="752" w:type="dxa"/>
            <w:tcBorders>
              <w:top w:val="nil"/>
              <w:bottom w:val="nil"/>
            </w:tcBorders>
          </w:tcPr>
          <w:p>
            <w:pPr>
              <w:pStyle w:val="TableParagraph"/>
              <w:spacing w:before="94"/>
              <w:ind w:left="80" w:right="47"/>
              <w:jc w:val="center"/>
              <w:rPr>
                <w:sz w:val="18"/>
              </w:rPr>
            </w:pPr>
            <w:r>
              <w:rPr>
                <w:color w:val="010101"/>
                <w:w w:val="90"/>
                <w:sz w:val="18"/>
              </w:rPr>
              <w:t>27.34</w:t>
            </w:r>
          </w:p>
        </w:tc>
        <w:tc>
          <w:tcPr>
            <w:tcW w:w="398" w:type="dxa"/>
            <w:tcBorders>
              <w:top w:val="nil"/>
              <w:bottom w:val="nil"/>
              <w:right w:val="nil"/>
            </w:tcBorders>
          </w:tcPr>
          <w:p>
            <w:pPr>
              <w:pStyle w:val="TableParagraph"/>
              <w:spacing w:before="98"/>
              <w:ind w:left="172" w:right="-6"/>
              <w:rPr>
                <w:sz w:val="18"/>
              </w:rPr>
            </w:pPr>
            <w:r>
              <w:rPr>
                <w:color w:val="010101"/>
                <w:spacing w:val="-17"/>
                <w:w w:val="105"/>
                <w:sz w:val="18"/>
              </w:rPr>
              <w:t>45</w:t>
            </w:r>
          </w:p>
        </w:tc>
      </w:tr>
      <w:tr>
        <w:trPr>
          <w:trHeight w:val="204" w:hRule="exact"/>
        </w:trPr>
        <w:tc>
          <w:tcPr>
            <w:tcW w:w="366" w:type="dxa"/>
            <w:tcBorders>
              <w:top w:val="nil"/>
              <w:left w:val="nil"/>
              <w:bottom w:val="nil"/>
            </w:tcBorders>
          </w:tcPr>
          <w:p>
            <w:pPr>
              <w:pStyle w:val="TableParagraph"/>
              <w:spacing w:line="203" w:lineRule="exact"/>
              <w:ind w:left="129" w:right="-14"/>
              <w:rPr>
                <w:sz w:val="18"/>
              </w:rPr>
            </w:pPr>
            <w:r>
              <w:rPr>
                <w:color w:val="010101"/>
                <w:spacing w:val="-21"/>
                <w:w w:val="110"/>
                <w:sz w:val="18"/>
              </w:rPr>
              <w:t>46</w:t>
            </w:r>
          </w:p>
        </w:tc>
        <w:tc>
          <w:tcPr>
            <w:tcW w:w="834" w:type="dxa"/>
            <w:tcBorders>
              <w:top w:val="nil"/>
              <w:bottom w:val="nil"/>
            </w:tcBorders>
          </w:tcPr>
          <w:p>
            <w:pPr>
              <w:pStyle w:val="TableParagraph"/>
              <w:spacing w:line="203" w:lineRule="exact"/>
              <w:ind w:left="69" w:right="22"/>
              <w:jc w:val="center"/>
              <w:rPr>
                <w:sz w:val="18"/>
              </w:rPr>
            </w:pPr>
            <w:r>
              <w:rPr>
                <w:color w:val="010101"/>
                <w:w w:val="90"/>
                <w:sz w:val="18"/>
              </w:rPr>
              <w:t>.00617</w:t>
            </w:r>
          </w:p>
        </w:tc>
        <w:tc>
          <w:tcPr>
            <w:tcW w:w="836" w:type="dxa"/>
            <w:tcBorders>
              <w:top w:val="nil"/>
              <w:bottom w:val="nil"/>
            </w:tcBorders>
          </w:tcPr>
          <w:p>
            <w:pPr>
              <w:pStyle w:val="TableParagraph"/>
              <w:spacing w:line="203" w:lineRule="exact"/>
              <w:ind w:left="72" w:right="40"/>
              <w:jc w:val="center"/>
              <w:rPr>
                <w:sz w:val="18"/>
              </w:rPr>
            </w:pPr>
            <w:r>
              <w:rPr>
                <w:color w:val="010101"/>
                <w:sz w:val="18"/>
              </w:rPr>
              <w:t>90,028</w:t>
            </w:r>
          </w:p>
        </w:tc>
        <w:tc>
          <w:tcPr>
            <w:tcW w:w="670" w:type="dxa"/>
            <w:tcBorders>
              <w:top w:val="nil"/>
              <w:bottom w:val="nil"/>
            </w:tcBorders>
          </w:tcPr>
          <w:p>
            <w:pPr>
              <w:pStyle w:val="TableParagraph"/>
              <w:spacing w:line="188" w:lineRule="exact"/>
              <w:ind w:right="116"/>
              <w:jc w:val="right"/>
              <w:rPr>
                <w:rFonts w:ascii="Times New Roman"/>
                <w:sz w:val="18"/>
              </w:rPr>
            </w:pPr>
            <w:r>
              <w:rPr>
                <w:rFonts w:ascii="Times New Roman"/>
                <w:color w:val="010101"/>
                <w:w w:val="85"/>
                <w:sz w:val="18"/>
              </w:rPr>
              <w:t>556</w:t>
            </w:r>
          </w:p>
        </w:tc>
        <w:tc>
          <w:tcPr>
            <w:tcW w:w="835" w:type="dxa"/>
            <w:tcBorders>
              <w:top w:val="nil"/>
              <w:bottom w:val="nil"/>
            </w:tcBorders>
          </w:tcPr>
          <w:p>
            <w:pPr>
              <w:pStyle w:val="TableParagraph"/>
              <w:spacing w:line="200" w:lineRule="exact"/>
              <w:ind w:left="50" w:right="26"/>
              <w:jc w:val="center"/>
              <w:rPr>
                <w:sz w:val="18"/>
              </w:rPr>
            </w:pPr>
            <w:r>
              <w:rPr>
                <w:color w:val="010101"/>
                <w:w w:val="95"/>
                <w:sz w:val="18"/>
              </w:rPr>
              <w:t>89,751</w:t>
            </w:r>
          </w:p>
        </w:tc>
        <w:tc>
          <w:tcPr>
            <w:tcW w:w="992" w:type="dxa"/>
            <w:tcBorders>
              <w:top w:val="nil"/>
              <w:bottom w:val="nil"/>
            </w:tcBorders>
          </w:tcPr>
          <w:p>
            <w:pPr>
              <w:pStyle w:val="TableParagraph"/>
              <w:spacing w:line="196" w:lineRule="exact"/>
              <w:ind w:right="107"/>
              <w:jc w:val="right"/>
              <w:rPr>
                <w:sz w:val="18"/>
              </w:rPr>
            </w:pPr>
            <w:r>
              <w:rPr>
                <w:color w:val="010101"/>
                <w:w w:val="75"/>
                <w:sz w:val="18"/>
              </w:rPr>
              <w:t>2,384,929</w:t>
            </w:r>
          </w:p>
        </w:tc>
        <w:tc>
          <w:tcPr>
            <w:tcW w:w="752" w:type="dxa"/>
            <w:tcBorders>
              <w:top w:val="nil"/>
              <w:bottom w:val="nil"/>
            </w:tcBorders>
          </w:tcPr>
          <w:p>
            <w:pPr>
              <w:pStyle w:val="TableParagraph"/>
              <w:spacing w:line="203" w:lineRule="exact"/>
              <w:ind w:left="89" w:right="47"/>
              <w:jc w:val="center"/>
              <w:rPr>
                <w:sz w:val="18"/>
              </w:rPr>
            </w:pPr>
            <w:r>
              <w:rPr>
                <w:color w:val="010101"/>
                <w:w w:val="90"/>
                <w:sz w:val="18"/>
              </w:rPr>
              <w:t>26.49</w:t>
            </w:r>
          </w:p>
        </w:tc>
        <w:tc>
          <w:tcPr>
            <w:tcW w:w="398" w:type="dxa"/>
            <w:tcBorders>
              <w:top w:val="nil"/>
              <w:bottom w:val="nil"/>
              <w:right w:val="nil"/>
            </w:tcBorders>
          </w:tcPr>
          <w:p>
            <w:pPr>
              <w:pStyle w:val="TableParagraph"/>
              <w:spacing w:line="203" w:lineRule="exact"/>
              <w:ind w:left="172" w:right="-1"/>
              <w:rPr>
                <w:sz w:val="18"/>
              </w:rPr>
            </w:pPr>
            <w:r>
              <w:rPr>
                <w:color w:val="010101"/>
                <w:spacing w:val="-19"/>
                <w:w w:val="110"/>
                <w:sz w:val="18"/>
              </w:rPr>
              <w:t>46</w:t>
            </w:r>
          </w:p>
        </w:tc>
      </w:tr>
      <w:tr>
        <w:trPr>
          <w:trHeight w:val="203" w:hRule="exact"/>
        </w:trPr>
        <w:tc>
          <w:tcPr>
            <w:tcW w:w="366" w:type="dxa"/>
            <w:tcBorders>
              <w:top w:val="nil"/>
              <w:left w:val="nil"/>
              <w:bottom w:val="nil"/>
            </w:tcBorders>
          </w:tcPr>
          <w:p>
            <w:pPr>
              <w:pStyle w:val="TableParagraph"/>
              <w:spacing w:line="201" w:lineRule="exact"/>
              <w:ind w:left="129" w:right="-17"/>
              <w:rPr>
                <w:sz w:val="18"/>
              </w:rPr>
            </w:pPr>
            <w:r>
              <w:rPr>
                <w:color w:val="010101"/>
                <w:w w:val="105"/>
                <w:sz w:val="18"/>
              </w:rPr>
              <w:t>47</w:t>
            </w:r>
          </w:p>
        </w:tc>
        <w:tc>
          <w:tcPr>
            <w:tcW w:w="834" w:type="dxa"/>
            <w:tcBorders>
              <w:top w:val="nil"/>
              <w:bottom w:val="nil"/>
            </w:tcBorders>
          </w:tcPr>
          <w:p>
            <w:pPr>
              <w:pStyle w:val="TableParagraph"/>
              <w:ind w:left="64" w:right="22"/>
              <w:jc w:val="center"/>
              <w:rPr>
                <w:sz w:val="18"/>
              </w:rPr>
            </w:pPr>
            <w:r>
              <w:rPr>
                <w:color w:val="010101"/>
                <w:w w:val="90"/>
                <w:sz w:val="18"/>
              </w:rPr>
              <w:t>.00686</w:t>
            </w:r>
          </w:p>
        </w:tc>
        <w:tc>
          <w:tcPr>
            <w:tcW w:w="836" w:type="dxa"/>
            <w:tcBorders>
              <w:top w:val="nil"/>
              <w:bottom w:val="nil"/>
            </w:tcBorders>
          </w:tcPr>
          <w:p>
            <w:pPr>
              <w:pStyle w:val="TableParagraph"/>
              <w:spacing w:line="201" w:lineRule="exact"/>
              <w:ind w:left="72" w:right="30"/>
              <w:jc w:val="center"/>
              <w:rPr>
                <w:sz w:val="18"/>
              </w:rPr>
            </w:pPr>
            <w:r>
              <w:rPr>
                <w:color w:val="010101"/>
                <w:sz w:val="18"/>
              </w:rPr>
              <w:t>89,472</w:t>
            </w:r>
          </w:p>
        </w:tc>
        <w:tc>
          <w:tcPr>
            <w:tcW w:w="670" w:type="dxa"/>
            <w:tcBorders>
              <w:top w:val="nil"/>
              <w:bottom w:val="nil"/>
            </w:tcBorders>
          </w:tcPr>
          <w:p>
            <w:pPr>
              <w:pStyle w:val="TableParagraph"/>
              <w:spacing w:line="197" w:lineRule="exact"/>
              <w:ind w:right="92"/>
              <w:jc w:val="right"/>
              <w:rPr>
                <w:sz w:val="18"/>
              </w:rPr>
            </w:pPr>
            <w:r>
              <w:rPr>
                <w:color w:val="010101"/>
                <w:w w:val="80"/>
                <w:sz w:val="18"/>
              </w:rPr>
              <w:t>613</w:t>
            </w:r>
          </w:p>
        </w:tc>
        <w:tc>
          <w:tcPr>
            <w:tcW w:w="835" w:type="dxa"/>
            <w:tcBorders>
              <w:top w:val="nil"/>
              <w:bottom w:val="nil"/>
            </w:tcBorders>
          </w:tcPr>
          <w:p>
            <w:pPr>
              <w:pStyle w:val="TableParagraph"/>
              <w:spacing w:line="197" w:lineRule="exact"/>
              <w:ind w:left="70" w:right="26"/>
              <w:jc w:val="center"/>
              <w:rPr>
                <w:sz w:val="18"/>
              </w:rPr>
            </w:pPr>
            <w:r>
              <w:rPr>
                <w:color w:val="010101"/>
                <w:w w:val="90"/>
                <w:sz w:val="18"/>
              </w:rPr>
              <w:t>89,165</w:t>
            </w:r>
          </w:p>
        </w:tc>
        <w:tc>
          <w:tcPr>
            <w:tcW w:w="992" w:type="dxa"/>
            <w:tcBorders>
              <w:top w:val="nil"/>
              <w:bottom w:val="nil"/>
            </w:tcBorders>
          </w:tcPr>
          <w:p>
            <w:pPr>
              <w:pStyle w:val="TableParagraph"/>
              <w:spacing w:line="193" w:lineRule="exact"/>
              <w:ind w:right="78"/>
              <w:jc w:val="right"/>
              <w:rPr>
                <w:sz w:val="18"/>
              </w:rPr>
            </w:pPr>
            <w:r>
              <w:rPr>
                <w:color w:val="010101"/>
                <w:w w:val="85"/>
                <w:sz w:val="18"/>
              </w:rPr>
              <w:t>2,295,178</w:t>
            </w:r>
          </w:p>
        </w:tc>
        <w:tc>
          <w:tcPr>
            <w:tcW w:w="752" w:type="dxa"/>
            <w:tcBorders>
              <w:top w:val="nil"/>
              <w:bottom w:val="nil"/>
            </w:tcBorders>
          </w:tcPr>
          <w:p>
            <w:pPr>
              <w:pStyle w:val="TableParagraph"/>
              <w:spacing w:line="201" w:lineRule="exact"/>
              <w:ind w:left="90" w:right="44"/>
              <w:jc w:val="center"/>
              <w:rPr>
                <w:sz w:val="18"/>
              </w:rPr>
            </w:pPr>
            <w:r>
              <w:rPr>
                <w:color w:val="010101"/>
                <w:sz w:val="18"/>
              </w:rPr>
              <w:t>25.65</w:t>
            </w:r>
          </w:p>
        </w:tc>
        <w:tc>
          <w:tcPr>
            <w:tcW w:w="398" w:type="dxa"/>
            <w:tcBorders>
              <w:top w:val="nil"/>
              <w:bottom w:val="nil"/>
              <w:right w:val="nil"/>
            </w:tcBorders>
          </w:tcPr>
          <w:p>
            <w:pPr>
              <w:pStyle w:val="TableParagraph"/>
              <w:spacing w:line="201" w:lineRule="exact"/>
              <w:ind w:left="172" w:right="-17"/>
              <w:rPr>
                <w:sz w:val="18"/>
              </w:rPr>
            </w:pPr>
            <w:r>
              <w:rPr>
                <w:color w:val="010101"/>
                <w:sz w:val="18"/>
              </w:rPr>
              <w:t>47</w:t>
            </w:r>
          </w:p>
        </w:tc>
      </w:tr>
      <w:tr>
        <w:trPr>
          <w:trHeight w:val="203" w:hRule="exact"/>
        </w:trPr>
        <w:tc>
          <w:tcPr>
            <w:tcW w:w="366" w:type="dxa"/>
            <w:tcBorders>
              <w:top w:val="nil"/>
              <w:left w:val="nil"/>
              <w:bottom w:val="nil"/>
            </w:tcBorders>
          </w:tcPr>
          <w:p>
            <w:pPr>
              <w:pStyle w:val="TableParagraph"/>
              <w:spacing w:line="199" w:lineRule="exact"/>
              <w:ind w:left="132" w:right="-20"/>
              <w:rPr>
                <w:sz w:val="18"/>
              </w:rPr>
            </w:pPr>
            <w:r>
              <w:rPr>
                <w:color w:val="010101"/>
                <w:w w:val="105"/>
                <w:sz w:val="18"/>
              </w:rPr>
              <w:t>48</w:t>
            </w:r>
          </w:p>
        </w:tc>
        <w:tc>
          <w:tcPr>
            <w:tcW w:w="834" w:type="dxa"/>
            <w:tcBorders>
              <w:top w:val="nil"/>
              <w:bottom w:val="nil"/>
            </w:tcBorders>
          </w:tcPr>
          <w:p>
            <w:pPr>
              <w:pStyle w:val="TableParagraph"/>
              <w:spacing w:line="205" w:lineRule="exact"/>
              <w:ind w:left="81" w:right="22"/>
              <w:jc w:val="center"/>
              <w:rPr>
                <w:sz w:val="19"/>
              </w:rPr>
            </w:pPr>
            <w:r>
              <w:rPr>
                <w:color w:val="010101"/>
                <w:w w:val="85"/>
                <w:sz w:val="19"/>
              </w:rPr>
              <w:t>.00766</w:t>
            </w:r>
          </w:p>
        </w:tc>
        <w:tc>
          <w:tcPr>
            <w:tcW w:w="836" w:type="dxa"/>
            <w:tcBorders>
              <w:top w:val="nil"/>
              <w:bottom w:val="nil"/>
            </w:tcBorders>
          </w:tcPr>
          <w:p>
            <w:pPr>
              <w:pStyle w:val="TableParagraph"/>
              <w:spacing w:line="199" w:lineRule="exact"/>
              <w:ind w:left="84" w:right="44"/>
              <w:jc w:val="center"/>
              <w:rPr>
                <w:sz w:val="18"/>
              </w:rPr>
            </w:pPr>
            <w:r>
              <w:rPr>
                <w:color w:val="010101"/>
                <w:w w:val="90"/>
                <w:sz w:val="18"/>
              </w:rPr>
              <w:t>88,859</w:t>
            </w:r>
          </w:p>
        </w:tc>
        <w:tc>
          <w:tcPr>
            <w:tcW w:w="670" w:type="dxa"/>
            <w:tcBorders>
              <w:top w:val="nil"/>
              <w:bottom w:val="nil"/>
            </w:tcBorders>
          </w:tcPr>
          <w:p>
            <w:pPr>
              <w:pStyle w:val="TableParagraph"/>
              <w:spacing w:line="195" w:lineRule="exact"/>
              <w:ind w:right="102"/>
              <w:jc w:val="right"/>
              <w:rPr>
                <w:sz w:val="18"/>
              </w:rPr>
            </w:pPr>
            <w:r>
              <w:rPr>
                <w:color w:val="010101"/>
                <w:w w:val="85"/>
                <w:sz w:val="18"/>
              </w:rPr>
              <w:t>681</w:t>
            </w:r>
          </w:p>
        </w:tc>
        <w:tc>
          <w:tcPr>
            <w:tcW w:w="835" w:type="dxa"/>
            <w:tcBorders>
              <w:top w:val="nil"/>
              <w:bottom w:val="nil"/>
            </w:tcBorders>
          </w:tcPr>
          <w:p>
            <w:pPr>
              <w:pStyle w:val="TableParagraph"/>
              <w:spacing w:line="195" w:lineRule="exact"/>
              <w:ind w:left="73" w:right="23"/>
              <w:jc w:val="center"/>
              <w:rPr>
                <w:sz w:val="18"/>
              </w:rPr>
            </w:pPr>
            <w:r>
              <w:rPr>
                <w:color w:val="010101"/>
                <w:w w:val="95"/>
                <w:sz w:val="18"/>
              </w:rPr>
              <w:t>88,519</w:t>
            </w:r>
          </w:p>
        </w:tc>
        <w:tc>
          <w:tcPr>
            <w:tcW w:w="992" w:type="dxa"/>
            <w:tcBorders>
              <w:top w:val="nil"/>
              <w:bottom w:val="nil"/>
            </w:tcBorders>
          </w:tcPr>
          <w:p>
            <w:pPr>
              <w:pStyle w:val="TableParagraph"/>
              <w:spacing w:line="192" w:lineRule="exact"/>
              <w:ind w:right="99"/>
              <w:jc w:val="right"/>
              <w:rPr>
                <w:sz w:val="18"/>
              </w:rPr>
            </w:pPr>
            <w:r>
              <w:rPr>
                <w:color w:val="010101"/>
                <w:w w:val="75"/>
                <w:sz w:val="18"/>
              </w:rPr>
              <w:t>2,206,013</w:t>
            </w:r>
          </w:p>
        </w:tc>
        <w:tc>
          <w:tcPr>
            <w:tcW w:w="752" w:type="dxa"/>
            <w:tcBorders>
              <w:top w:val="nil"/>
              <w:bottom w:val="nil"/>
            </w:tcBorders>
          </w:tcPr>
          <w:p>
            <w:pPr>
              <w:pStyle w:val="TableParagraph"/>
              <w:spacing w:line="195" w:lineRule="exact"/>
              <w:ind w:left="64" w:right="47"/>
              <w:jc w:val="center"/>
              <w:rPr>
                <w:sz w:val="18"/>
              </w:rPr>
            </w:pPr>
            <w:r>
              <w:rPr>
                <w:color w:val="010101"/>
                <w:w w:val="85"/>
                <w:sz w:val="18"/>
              </w:rPr>
              <w:t>24.83</w:t>
            </w:r>
          </w:p>
        </w:tc>
        <w:tc>
          <w:tcPr>
            <w:tcW w:w="398" w:type="dxa"/>
            <w:tcBorders>
              <w:top w:val="nil"/>
              <w:bottom w:val="nil"/>
              <w:right w:val="nil"/>
            </w:tcBorders>
          </w:tcPr>
          <w:p>
            <w:pPr>
              <w:pStyle w:val="TableParagraph"/>
              <w:spacing w:line="199" w:lineRule="exact"/>
              <w:ind w:left="168" w:right="-1"/>
              <w:rPr>
                <w:sz w:val="18"/>
              </w:rPr>
            </w:pPr>
            <w:r>
              <w:rPr>
                <w:color w:val="010101"/>
                <w:spacing w:val="-17"/>
                <w:w w:val="110"/>
                <w:sz w:val="18"/>
              </w:rPr>
              <w:t>48</w:t>
            </w:r>
          </w:p>
        </w:tc>
      </w:tr>
      <w:tr>
        <w:trPr>
          <w:trHeight w:val="301" w:hRule="exact"/>
        </w:trPr>
        <w:tc>
          <w:tcPr>
            <w:tcW w:w="366" w:type="dxa"/>
            <w:tcBorders>
              <w:top w:val="nil"/>
              <w:left w:val="nil"/>
              <w:bottom w:val="nil"/>
            </w:tcBorders>
          </w:tcPr>
          <w:p>
            <w:pPr>
              <w:pStyle w:val="TableParagraph"/>
              <w:spacing w:line="197" w:lineRule="exact"/>
              <w:ind w:left="132" w:right="-20"/>
              <w:rPr>
                <w:sz w:val="18"/>
              </w:rPr>
            </w:pPr>
            <w:r>
              <w:rPr>
                <w:color w:val="010101"/>
                <w:w w:val="105"/>
                <w:sz w:val="18"/>
              </w:rPr>
              <w:t>49</w:t>
            </w:r>
          </w:p>
        </w:tc>
        <w:tc>
          <w:tcPr>
            <w:tcW w:w="834" w:type="dxa"/>
            <w:tcBorders>
              <w:top w:val="nil"/>
              <w:bottom w:val="nil"/>
            </w:tcBorders>
          </w:tcPr>
          <w:p>
            <w:pPr>
              <w:pStyle w:val="TableParagraph"/>
              <w:spacing w:line="201" w:lineRule="exact"/>
              <w:ind w:left="75" w:right="22"/>
              <w:jc w:val="center"/>
              <w:rPr>
                <w:sz w:val="18"/>
              </w:rPr>
            </w:pPr>
            <w:r>
              <w:rPr>
                <w:color w:val="010101"/>
                <w:w w:val="95"/>
                <w:sz w:val="18"/>
              </w:rPr>
              <w:t>.00856</w:t>
            </w:r>
          </w:p>
        </w:tc>
        <w:tc>
          <w:tcPr>
            <w:tcW w:w="836" w:type="dxa"/>
            <w:tcBorders>
              <w:top w:val="nil"/>
              <w:bottom w:val="nil"/>
            </w:tcBorders>
          </w:tcPr>
          <w:p>
            <w:pPr>
              <w:pStyle w:val="TableParagraph"/>
              <w:spacing w:line="197" w:lineRule="exact"/>
              <w:ind w:left="92" w:right="36"/>
              <w:jc w:val="center"/>
              <w:rPr>
                <w:sz w:val="18"/>
              </w:rPr>
            </w:pPr>
            <w:r>
              <w:rPr>
                <w:color w:val="010101"/>
                <w:w w:val="95"/>
                <w:sz w:val="18"/>
              </w:rPr>
              <w:t>88,178</w:t>
            </w:r>
          </w:p>
        </w:tc>
        <w:tc>
          <w:tcPr>
            <w:tcW w:w="670" w:type="dxa"/>
            <w:tcBorders>
              <w:top w:val="nil"/>
              <w:bottom w:val="nil"/>
            </w:tcBorders>
          </w:tcPr>
          <w:p>
            <w:pPr>
              <w:pStyle w:val="TableParagraph"/>
              <w:spacing w:line="194" w:lineRule="exact"/>
              <w:ind w:right="95"/>
              <w:jc w:val="right"/>
              <w:rPr>
                <w:sz w:val="18"/>
              </w:rPr>
            </w:pPr>
            <w:r>
              <w:rPr>
                <w:color w:val="010101"/>
                <w:w w:val="90"/>
                <w:sz w:val="18"/>
              </w:rPr>
              <w:t>754</w:t>
            </w:r>
          </w:p>
        </w:tc>
        <w:tc>
          <w:tcPr>
            <w:tcW w:w="835" w:type="dxa"/>
            <w:tcBorders>
              <w:top w:val="nil"/>
              <w:bottom w:val="nil"/>
            </w:tcBorders>
          </w:tcPr>
          <w:p>
            <w:pPr>
              <w:pStyle w:val="TableParagraph"/>
              <w:spacing w:line="197" w:lineRule="exact"/>
              <w:ind w:left="57" w:right="26"/>
              <w:jc w:val="center"/>
              <w:rPr>
                <w:sz w:val="18"/>
              </w:rPr>
            </w:pPr>
            <w:r>
              <w:rPr>
                <w:color w:val="010101"/>
                <w:w w:val="90"/>
                <w:sz w:val="18"/>
              </w:rPr>
              <w:t>87,801</w:t>
            </w:r>
          </w:p>
        </w:tc>
        <w:tc>
          <w:tcPr>
            <w:tcW w:w="992" w:type="dxa"/>
            <w:tcBorders>
              <w:top w:val="nil"/>
              <w:bottom w:val="nil"/>
            </w:tcBorders>
          </w:tcPr>
          <w:p>
            <w:pPr>
              <w:pStyle w:val="TableParagraph"/>
              <w:spacing w:line="190" w:lineRule="exact"/>
              <w:ind w:right="87"/>
              <w:jc w:val="right"/>
              <w:rPr>
                <w:sz w:val="18"/>
              </w:rPr>
            </w:pPr>
            <w:r>
              <w:rPr>
                <w:color w:val="010101"/>
                <w:w w:val="75"/>
                <w:sz w:val="18"/>
              </w:rPr>
              <w:t>2,117,494</w:t>
            </w:r>
          </w:p>
        </w:tc>
        <w:tc>
          <w:tcPr>
            <w:tcW w:w="752" w:type="dxa"/>
            <w:tcBorders>
              <w:top w:val="nil"/>
              <w:bottom w:val="nil"/>
            </w:tcBorders>
          </w:tcPr>
          <w:p>
            <w:pPr>
              <w:pStyle w:val="TableParagraph"/>
              <w:spacing w:line="190" w:lineRule="exact"/>
              <w:ind w:left="70" w:right="47"/>
              <w:jc w:val="center"/>
              <w:rPr>
                <w:sz w:val="18"/>
              </w:rPr>
            </w:pPr>
            <w:r>
              <w:rPr>
                <w:color w:val="010101"/>
                <w:w w:val="90"/>
                <w:sz w:val="18"/>
              </w:rPr>
              <w:t>24.01</w:t>
            </w:r>
          </w:p>
        </w:tc>
        <w:tc>
          <w:tcPr>
            <w:tcW w:w="398" w:type="dxa"/>
            <w:tcBorders>
              <w:top w:val="nil"/>
              <w:bottom w:val="nil"/>
              <w:right w:val="nil"/>
            </w:tcBorders>
          </w:tcPr>
          <w:p>
            <w:pPr>
              <w:pStyle w:val="TableParagraph"/>
              <w:spacing w:line="197" w:lineRule="exact"/>
              <w:ind w:left="168" w:right="-6"/>
              <w:rPr>
                <w:sz w:val="18"/>
              </w:rPr>
            </w:pPr>
            <w:r>
              <w:rPr>
                <w:color w:val="010101"/>
                <w:spacing w:val="-21"/>
                <w:w w:val="110"/>
                <w:sz w:val="18"/>
              </w:rPr>
              <w:t>49</w:t>
            </w:r>
          </w:p>
        </w:tc>
      </w:tr>
      <w:tr>
        <w:trPr>
          <w:trHeight w:val="298" w:hRule="exact"/>
        </w:trPr>
        <w:tc>
          <w:tcPr>
            <w:tcW w:w="366" w:type="dxa"/>
            <w:tcBorders>
              <w:top w:val="nil"/>
              <w:left w:val="nil"/>
              <w:bottom w:val="nil"/>
            </w:tcBorders>
          </w:tcPr>
          <w:p>
            <w:pPr>
              <w:pStyle w:val="TableParagraph"/>
              <w:spacing w:before="86"/>
              <w:ind w:left="136" w:right="-14"/>
              <w:rPr>
                <w:rFonts w:ascii="Times New Roman"/>
                <w:sz w:val="17"/>
              </w:rPr>
            </w:pPr>
            <w:r>
              <w:rPr>
                <w:rFonts w:ascii="Times New Roman"/>
                <w:color w:val="010101"/>
                <w:sz w:val="17"/>
              </w:rPr>
              <w:t>50</w:t>
            </w:r>
          </w:p>
        </w:tc>
        <w:tc>
          <w:tcPr>
            <w:tcW w:w="834" w:type="dxa"/>
            <w:tcBorders>
              <w:top w:val="nil"/>
              <w:bottom w:val="nil"/>
            </w:tcBorders>
          </w:tcPr>
          <w:p>
            <w:pPr>
              <w:pStyle w:val="TableParagraph"/>
              <w:spacing w:before="95"/>
              <w:ind w:left="88" w:right="22"/>
              <w:jc w:val="center"/>
              <w:rPr>
                <w:sz w:val="18"/>
              </w:rPr>
            </w:pPr>
            <w:r>
              <w:rPr>
                <w:color w:val="010101"/>
                <w:w w:val="90"/>
                <w:sz w:val="18"/>
              </w:rPr>
              <w:t>.00955</w:t>
            </w:r>
          </w:p>
        </w:tc>
        <w:tc>
          <w:tcPr>
            <w:tcW w:w="836" w:type="dxa"/>
            <w:tcBorders>
              <w:top w:val="nil"/>
              <w:bottom w:val="nil"/>
            </w:tcBorders>
          </w:tcPr>
          <w:p>
            <w:pPr>
              <w:pStyle w:val="TableParagraph"/>
              <w:spacing w:before="95"/>
              <w:ind w:left="72" w:right="35"/>
              <w:jc w:val="center"/>
              <w:rPr>
                <w:sz w:val="18"/>
              </w:rPr>
            </w:pPr>
            <w:r>
              <w:rPr>
                <w:color w:val="010101"/>
                <w:sz w:val="18"/>
              </w:rPr>
              <w:t>87,424</w:t>
            </w:r>
          </w:p>
        </w:tc>
        <w:tc>
          <w:tcPr>
            <w:tcW w:w="670" w:type="dxa"/>
            <w:tcBorders>
              <w:top w:val="nil"/>
              <w:bottom w:val="nil"/>
            </w:tcBorders>
          </w:tcPr>
          <w:p>
            <w:pPr>
              <w:pStyle w:val="TableParagraph"/>
              <w:spacing w:before="92"/>
              <w:ind w:right="81"/>
              <w:jc w:val="right"/>
              <w:rPr>
                <w:sz w:val="18"/>
              </w:rPr>
            </w:pPr>
            <w:r>
              <w:rPr>
                <w:color w:val="010101"/>
                <w:w w:val="90"/>
                <w:sz w:val="18"/>
              </w:rPr>
              <w:t>835</w:t>
            </w:r>
          </w:p>
        </w:tc>
        <w:tc>
          <w:tcPr>
            <w:tcW w:w="835" w:type="dxa"/>
            <w:tcBorders>
              <w:top w:val="nil"/>
              <w:bottom w:val="nil"/>
            </w:tcBorders>
          </w:tcPr>
          <w:p>
            <w:pPr>
              <w:pStyle w:val="TableParagraph"/>
              <w:spacing w:before="92"/>
              <w:ind w:left="73" w:right="23"/>
              <w:jc w:val="center"/>
              <w:rPr>
                <w:sz w:val="18"/>
              </w:rPr>
            </w:pPr>
            <w:r>
              <w:rPr>
                <w:color w:val="010101"/>
                <w:w w:val="90"/>
                <w:sz w:val="18"/>
              </w:rPr>
              <w:t>87,007</w:t>
            </w:r>
          </w:p>
        </w:tc>
        <w:tc>
          <w:tcPr>
            <w:tcW w:w="992" w:type="dxa"/>
            <w:tcBorders>
              <w:top w:val="nil"/>
              <w:bottom w:val="nil"/>
            </w:tcBorders>
          </w:tcPr>
          <w:p>
            <w:pPr>
              <w:pStyle w:val="TableParagraph"/>
              <w:spacing w:before="88"/>
              <w:ind w:right="89"/>
              <w:jc w:val="right"/>
              <w:rPr>
                <w:sz w:val="18"/>
              </w:rPr>
            </w:pPr>
            <w:r>
              <w:rPr>
                <w:color w:val="010101"/>
                <w:w w:val="90"/>
                <w:sz w:val="18"/>
              </w:rPr>
              <w:t>2,029,693</w:t>
            </w:r>
          </w:p>
        </w:tc>
        <w:tc>
          <w:tcPr>
            <w:tcW w:w="752" w:type="dxa"/>
            <w:tcBorders>
              <w:top w:val="nil"/>
              <w:bottom w:val="nil"/>
            </w:tcBorders>
          </w:tcPr>
          <w:p>
            <w:pPr>
              <w:pStyle w:val="TableParagraph"/>
              <w:spacing w:before="88"/>
              <w:ind w:left="82" w:right="47"/>
              <w:jc w:val="center"/>
              <w:rPr>
                <w:sz w:val="18"/>
              </w:rPr>
            </w:pPr>
            <w:r>
              <w:rPr>
                <w:color w:val="010101"/>
                <w:w w:val="85"/>
                <w:sz w:val="18"/>
              </w:rPr>
              <w:t>23.22</w:t>
            </w:r>
          </w:p>
        </w:tc>
        <w:tc>
          <w:tcPr>
            <w:tcW w:w="398" w:type="dxa"/>
            <w:tcBorders>
              <w:top w:val="nil"/>
              <w:bottom w:val="nil"/>
              <w:right w:val="nil"/>
            </w:tcBorders>
          </w:tcPr>
          <w:p>
            <w:pPr>
              <w:pStyle w:val="TableParagraph"/>
              <w:spacing w:before="86"/>
              <w:ind w:left="175" w:right="-6"/>
              <w:rPr>
                <w:rFonts w:ascii="Times New Roman"/>
                <w:sz w:val="17"/>
              </w:rPr>
            </w:pPr>
            <w:r>
              <w:rPr>
                <w:rFonts w:ascii="Times New Roman"/>
                <w:color w:val="010101"/>
                <w:sz w:val="17"/>
              </w:rPr>
              <w:t>50</w:t>
            </w:r>
          </w:p>
        </w:tc>
      </w:tr>
      <w:tr>
        <w:trPr>
          <w:trHeight w:val="200" w:hRule="exact"/>
        </w:trPr>
        <w:tc>
          <w:tcPr>
            <w:tcW w:w="366" w:type="dxa"/>
            <w:tcBorders>
              <w:top w:val="nil"/>
              <w:left w:val="nil"/>
              <w:bottom w:val="nil"/>
            </w:tcBorders>
          </w:tcPr>
          <w:p>
            <w:pPr>
              <w:pStyle w:val="TableParagraph"/>
              <w:spacing w:line="199" w:lineRule="exact"/>
              <w:ind w:left="136" w:right="-3"/>
              <w:rPr>
                <w:sz w:val="18"/>
              </w:rPr>
            </w:pPr>
            <w:r>
              <w:rPr>
                <w:color w:val="010101"/>
                <w:w w:val="95"/>
                <w:sz w:val="18"/>
              </w:rPr>
              <w:t>51</w:t>
            </w:r>
          </w:p>
        </w:tc>
        <w:tc>
          <w:tcPr>
            <w:tcW w:w="834" w:type="dxa"/>
            <w:tcBorders>
              <w:top w:val="nil"/>
              <w:bottom w:val="nil"/>
            </w:tcBorders>
          </w:tcPr>
          <w:p>
            <w:pPr>
              <w:pStyle w:val="TableParagraph"/>
              <w:spacing w:line="199" w:lineRule="exact"/>
              <w:ind w:left="90" w:right="22"/>
              <w:jc w:val="center"/>
              <w:rPr>
                <w:sz w:val="18"/>
              </w:rPr>
            </w:pPr>
            <w:r>
              <w:rPr>
                <w:color w:val="010101"/>
                <w:w w:val="90"/>
                <w:sz w:val="18"/>
              </w:rPr>
              <w:t>.01058</w:t>
            </w:r>
          </w:p>
        </w:tc>
        <w:tc>
          <w:tcPr>
            <w:tcW w:w="836" w:type="dxa"/>
            <w:tcBorders>
              <w:top w:val="nil"/>
              <w:bottom w:val="nil"/>
            </w:tcBorders>
          </w:tcPr>
          <w:p>
            <w:pPr>
              <w:pStyle w:val="TableParagraph"/>
              <w:spacing w:line="199" w:lineRule="exact"/>
              <w:ind w:left="70" w:right="44"/>
              <w:jc w:val="center"/>
              <w:rPr>
                <w:sz w:val="18"/>
              </w:rPr>
            </w:pPr>
            <w:r>
              <w:rPr>
                <w:color w:val="010101"/>
                <w:w w:val="85"/>
                <w:sz w:val="18"/>
              </w:rPr>
              <w:t>86,589</w:t>
            </w:r>
          </w:p>
        </w:tc>
        <w:tc>
          <w:tcPr>
            <w:tcW w:w="670" w:type="dxa"/>
            <w:tcBorders>
              <w:top w:val="nil"/>
              <w:bottom w:val="nil"/>
            </w:tcBorders>
          </w:tcPr>
          <w:p>
            <w:pPr>
              <w:pStyle w:val="TableParagraph"/>
              <w:spacing w:line="195" w:lineRule="exact"/>
              <w:ind w:right="96"/>
              <w:jc w:val="right"/>
              <w:rPr>
                <w:sz w:val="18"/>
              </w:rPr>
            </w:pPr>
            <w:r>
              <w:rPr>
                <w:color w:val="010101"/>
                <w:w w:val="85"/>
                <w:sz w:val="18"/>
              </w:rPr>
              <w:t>916</w:t>
            </w:r>
          </w:p>
        </w:tc>
        <w:tc>
          <w:tcPr>
            <w:tcW w:w="835" w:type="dxa"/>
            <w:tcBorders>
              <w:top w:val="nil"/>
              <w:bottom w:val="nil"/>
            </w:tcBorders>
          </w:tcPr>
          <w:p>
            <w:pPr>
              <w:pStyle w:val="TableParagraph"/>
              <w:spacing w:line="195" w:lineRule="exact"/>
              <w:ind w:left="49" w:right="26"/>
              <w:jc w:val="center"/>
              <w:rPr>
                <w:sz w:val="18"/>
              </w:rPr>
            </w:pPr>
            <w:r>
              <w:rPr>
                <w:color w:val="010101"/>
                <w:w w:val="85"/>
                <w:sz w:val="18"/>
              </w:rPr>
              <w:t>86,131</w:t>
            </w:r>
          </w:p>
        </w:tc>
        <w:tc>
          <w:tcPr>
            <w:tcW w:w="992" w:type="dxa"/>
            <w:tcBorders>
              <w:top w:val="nil"/>
              <w:bottom w:val="nil"/>
            </w:tcBorders>
          </w:tcPr>
          <w:p>
            <w:pPr>
              <w:pStyle w:val="TableParagraph"/>
              <w:spacing w:line="195" w:lineRule="exact"/>
              <w:ind w:right="101"/>
              <w:jc w:val="right"/>
              <w:rPr>
                <w:sz w:val="18"/>
              </w:rPr>
            </w:pPr>
            <w:r>
              <w:rPr>
                <w:color w:val="010101"/>
                <w:w w:val="75"/>
                <w:sz w:val="18"/>
              </w:rPr>
              <w:t>1,942,686</w:t>
            </w:r>
          </w:p>
        </w:tc>
        <w:tc>
          <w:tcPr>
            <w:tcW w:w="752" w:type="dxa"/>
            <w:tcBorders>
              <w:top w:val="nil"/>
              <w:bottom w:val="nil"/>
            </w:tcBorders>
          </w:tcPr>
          <w:p>
            <w:pPr>
              <w:pStyle w:val="TableParagraph"/>
              <w:spacing w:line="192" w:lineRule="exact"/>
              <w:ind w:left="90" w:right="43"/>
              <w:jc w:val="center"/>
              <w:rPr>
                <w:sz w:val="18"/>
              </w:rPr>
            </w:pPr>
            <w:r>
              <w:rPr>
                <w:color w:val="010101"/>
                <w:w w:val="95"/>
                <w:sz w:val="18"/>
              </w:rPr>
              <w:t>22.44</w:t>
            </w:r>
          </w:p>
        </w:tc>
        <w:tc>
          <w:tcPr>
            <w:tcW w:w="398" w:type="dxa"/>
            <w:tcBorders>
              <w:top w:val="nil"/>
              <w:bottom w:val="nil"/>
              <w:right w:val="nil"/>
            </w:tcBorders>
          </w:tcPr>
          <w:p>
            <w:pPr>
              <w:pStyle w:val="TableParagraph"/>
              <w:spacing w:line="195" w:lineRule="exact"/>
              <w:ind w:left="175" w:right="-6"/>
              <w:rPr>
                <w:sz w:val="18"/>
              </w:rPr>
            </w:pPr>
            <w:r>
              <w:rPr>
                <w:color w:val="010101"/>
                <w:w w:val="90"/>
                <w:sz w:val="18"/>
              </w:rPr>
              <w:t>51</w:t>
            </w:r>
          </w:p>
        </w:tc>
      </w:tr>
      <w:tr>
        <w:trPr>
          <w:trHeight w:val="203" w:hRule="exact"/>
        </w:trPr>
        <w:tc>
          <w:tcPr>
            <w:tcW w:w="366" w:type="dxa"/>
            <w:tcBorders>
              <w:top w:val="nil"/>
              <w:left w:val="nil"/>
              <w:bottom w:val="nil"/>
              <w:right w:val="single" w:sz="3" w:space="0" w:color="000000"/>
            </w:tcBorders>
          </w:tcPr>
          <w:p>
            <w:pPr>
              <w:pStyle w:val="TableParagraph"/>
              <w:spacing w:line="201" w:lineRule="exact"/>
              <w:ind w:left="136" w:right="-10"/>
              <w:rPr>
                <w:sz w:val="18"/>
              </w:rPr>
            </w:pPr>
            <w:r>
              <w:rPr>
                <w:color w:val="010101"/>
                <w:sz w:val="18"/>
              </w:rPr>
              <w:t>52</w:t>
            </w:r>
          </w:p>
        </w:tc>
        <w:tc>
          <w:tcPr>
            <w:tcW w:w="834" w:type="dxa"/>
            <w:tcBorders>
              <w:top w:val="nil"/>
              <w:left w:val="single" w:sz="3" w:space="0" w:color="000000"/>
              <w:bottom w:val="nil"/>
            </w:tcBorders>
          </w:tcPr>
          <w:p>
            <w:pPr>
              <w:pStyle w:val="TableParagraph"/>
              <w:spacing w:line="201" w:lineRule="exact"/>
              <w:ind w:left="124" w:right="43"/>
              <w:jc w:val="center"/>
              <w:rPr>
                <w:sz w:val="18"/>
              </w:rPr>
            </w:pPr>
            <w:r>
              <w:rPr>
                <w:color w:val="010101"/>
                <w:w w:val="95"/>
                <w:sz w:val="18"/>
              </w:rPr>
              <w:t>.01162</w:t>
            </w:r>
          </w:p>
        </w:tc>
        <w:tc>
          <w:tcPr>
            <w:tcW w:w="836" w:type="dxa"/>
            <w:tcBorders>
              <w:top w:val="nil"/>
              <w:bottom w:val="nil"/>
            </w:tcBorders>
          </w:tcPr>
          <w:p>
            <w:pPr>
              <w:pStyle w:val="TableParagraph"/>
              <w:ind w:left="73" w:right="44"/>
              <w:jc w:val="center"/>
              <w:rPr>
                <w:sz w:val="18"/>
              </w:rPr>
            </w:pPr>
            <w:r>
              <w:rPr>
                <w:color w:val="010101"/>
                <w:w w:val="95"/>
                <w:sz w:val="18"/>
              </w:rPr>
              <w:t>85,673</w:t>
            </w:r>
          </w:p>
        </w:tc>
        <w:tc>
          <w:tcPr>
            <w:tcW w:w="670" w:type="dxa"/>
            <w:tcBorders>
              <w:top w:val="nil"/>
              <w:bottom w:val="nil"/>
            </w:tcBorders>
          </w:tcPr>
          <w:p>
            <w:pPr>
              <w:pStyle w:val="TableParagraph"/>
              <w:spacing w:line="197" w:lineRule="exact"/>
              <w:ind w:right="92"/>
              <w:jc w:val="right"/>
              <w:rPr>
                <w:sz w:val="18"/>
              </w:rPr>
            </w:pPr>
            <w:r>
              <w:rPr>
                <w:color w:val="010101"/>
                <w:w w:val="80"/>
                <w:sz w:val="18"/>
              </w:rPr>
              <w:t>995</w:t>
            </w:r>
          </w:p>
        </w:tc>
        <w:tc>
          <w:tcPr>
            <w:tcW w:w="835" w:type="dxa"/>
            <w:tcBorders>
              <w:top w:val="nil"/>
              <w:bottom w:val="nil"/>
            </w:tcBorders>
          </w:tcPr>
          <w:p>
            <w:pPr>
              <w:pStyle w:val="TableParagraph"/>
              <w:spacing w:line="201" w:lineRule="exact"/>
              <w:ind w:left="73" w:right="26"/>
              <w:jc w:val="center"/>
              <w:rPr>
                <w:sz w:val="18"/>
              </w:rPr>
            </w:pPr>
            <w:r>
              <w:rPr>
                <w:color w:val="010101"/>
                <w:w w:val="90"/>
                <w:sz w:val="18"/>
              </w:rPr>
              <w:t>85,176</w:t>
            </w:r>
          </w:p>
        </w:tc>
        <w:tc>
          <w:tcPr>
            <w:tcW w:w="992" w:type="dxa"/>
            <w:tcBorders>
              <w:top w:val="nil"/>
              <w:bottom w:val="nil"/>
            </w:tcBorders>
          </w:tcPr>
          <w:p>
            <w:pPr>
              <w:pStyle w:val="TableParagraph"/>
              <w:spacing w:line="197" w:lineRule="exact"/>
              <w:ind w:right="115"/>
              <w:jc w:val="right"/>
              <w:rPr>
                <w:sz w:val="18"/>
              </w:rPr>
            </w:pPr>
            <w:r>
              <w:rPr>
                <w:color w:val="010101"/>
                <w:w w:val="70"/>
                <w:sz w:val="18"/>
              </w:rPr>
              <w:t>1,856,555</w:t>
            </w:r>
          </w:p>
        </w:tc>
        <w:tc>
          <w:tcPr>
            <w:tcW w:w="752" w:type="dxa"/>
            <w:tcBorders>
              <w:top w:val="nil"/>
              <w:bottom w:val="nil"/>
            </w:tcBorders>
          </w:tcPr>
          <w:p>
            <w:pPr>
              <w:pStyle w:val="TableParagraph"/>
              <w:spacing w:line="193" w:lineRule="exact"/>
              <w:ind w:left="85" w:right="47"/>
              <w:jc w:val="center"/>
              <w:rPr>
                <w:sz w:val="18"/>
              </w:rPr>
            </w:pPr>
            <w:r>
              <w:rPr>
                <w:color w:val="010101"/>
                <w:sz w:val="18"/>
              </w:rPr>
              <w:t>21.67</w:t>
            </w:r>
          </w:p>
        </w:tc>
        <w:tc>
          <w:tcPr>
            <w:tcW w:w="398" w:type="dxa"/>
            <w:tcBorders>
              <w:top w:val="nil"/>
              <w:bottom w:val="nil"/>
              <w:right w:val="nil"/>
            </w:tcBorders>
          </w:tcPr>
          <w:p>
            <w:pPr>
              <w:pStyle w:val="TableParagraph"/>
              <w:spacing w:line="197" w:lineRule="exact"/>
              <w:ind w:left="172" w:right="-6"/>
              <w:rPr>
                <w:sz w:val="18"/>
              </w:rPr>
            </w:pPr>
            <w:r>
              <w:rPr>
                <w:color w:val="010101"/>
                <w:spacing w:val="-16"/>
                <w:w w:val="105"/>
                <w:sz w:val="18"/>
              </w:rPr>
              <w:t>52</w:t>
            </w:r>
          </w:p>
        </w:tc>
      </w:tr>
      <w:tr>
        <w:trPr>
          <w:trHeight w:val="199" w:hRule="exact"/>
        </w:trPr>
        <w:tc>
          <w:tcPr>
            <w:tcW w:w="366" w:type="dxa"/>
            <w:tcBorders>
              <w:top w:val="nil"/>
              <w:left w:val="nil"/>
              <w:bottom w:val="nil"/>
              <w:right w:val="single" w:sz="3" w:space="0" w:color="000000"/>
            </w:tcBorders>
          </w:tcPr>
          <w:p>
            <w:pPr>
              <w:pStyle w:val="TableParagraph"/>
              <w:spacing w:line="179" w:lineRule="exact"/>
              <w:ind w:left="136" w:right="-10"/>
              <w:rPr>
                <w:rFonts w:ascii="Times New Roman"/>
                <w:sz w:val="16"/>
              </w:rPr>
            </w:pPr>
            <w:r>
              <w:rPr>
                <w:rFonts w:ascii="Times New Roman"/>
                <w:color w:val="010101"/>
                <w:w w:val="105"/>
                <w:sz w:val="16"/>
              </w:rPr>
              <w:t>53</w:t>
            </w:r>
          </w:p>
        </w:tc>
        <w:tc>
          <w:tcPr>
            <w:tcW w:w="834" w:type="dxa"/>
            <w:tcBorders>
              <w:top w:val="nil"/>
              <w:left w:val="single" w:sz="3" w:space="0" w:color="000000"/>
              <w:bottom w:val="nil"/>
            </w:tcBorders>
          </w:tcPr>
          <w:p>
            <w:pPr>
              <w:pStyle w:val="TableParagraph"/>
              <w:spacing w:line="199" w:lineRule="exact"/>
              <w:ind w:left="103" w:right="43"/>
              <w:jc w:val="center"/>
              <w:rPr>
                <w:sz w:val="18"/>
              </w:rPr>
            </w:pPr>
            <w:r>
              <w:rPr>
                <w:color w:val="010101"/>
                <w:w w:val="85"/>
                <w:sz w:val="18"/>
              </w:rPr>
              <w:t>.01264</w:t>
            </w:r>
          </w:p>
        </w:tc>
        <w:tc>
          <w:tcPr>
            <w:tcW w:w="836" w:type="dxa"/>
            <w:tcBorders>
              <w:top w:val="nil"/>
              <w:bottom w:val="nil"/>
            </w:tcBorders>
          </w:tcPr>
          <w:p>
            <w:pPr>
              <w:pStyle w:val="TableParagraph"/>
              <w:spacing w:line="202" w:lineRule="exact"/>
              <w:ind w:left="92" w:right="42"/>
              <w:jc w:val="center"/>
              <w:rPr>
                <w:sz w:val="18"/>
              </w:rPr>
            </w:pPr>
            <w:r>
              <w:rPr>
                <w:color w:val="010101"/>
                <w:w w:val="95"/>
                <w:sz w:val="18"/>
              </w:rPr>
              <w:t>84,678</w:t>
            </w:r>
          </w:p>
        </w:tc>
        <w:tc>
          <w:tcPr>
            <w:tcW w:w="670" w:type="dxa"/>
            <w:tcBorders>
              <w:top w:val="nil"/>
              <w:bottom w:val="nil"/>
            </w:tcBorders>
          </w:tcPr>
          <w:p>
            <w:pPr>
              <w:pStyle w:val="TableParagraph"/>
              <w:spacing w:line="195" w:lineRule="exact"/>
              <w:ind w:right="105"/>
              <w:jc w:val="right"/>
              <w:rPr>
                <w:sz w:val="18"/>
              </w:rPr>
            </w:pPr>
            <w:r>
              <w:rPr>
                <w:color w:val="010101"/>
                <w:w w:val="80"/>
                <w:sz w:val="18"/>
              </w:rPr>
              <w:t>1,071</w:t>
            </w:r>
          </w:p>
        </w:tc>
        <w:tc>
          <w:tcPr>
            <w:tcW w:w="835" w:type="dxa"/>
            <w:tcBorders>
              <w:top w:val="nil"/>
              <w:bottom w:val="nil"/>
            </w:tcBorders>
          </w:tcPr>
          <w:p>
            <w:pPr>
              <w:pStyle w:val="TableParagraph"/>
              <w:spacing w:line="195" w:lineRule="exact"/>
              <w:ind w:left="63" w:right="26"/>
              <w:jc w:val="center"/>
              <w:rPr>
                <w:sz w:val="18"/>
              </w:rPr>
            </w:pPr>
            <w:r>
              <w:rPr>
                <w:color w:val="010101"/>
                <w:w w:val="90"/>
                <w:sz w:val="18"/>
              </w:rPr>
              <w:t>84,142</w:t>
            </w:r>
          </w:p>
        </w:tc>
        <w:tc>
          <w:tcPr>
            <w:tcW w:w="992" w:type="dxa"/>
            <w:tcBorders>
              <w:top w:val="nil"/>
              <w:bottom w:val="nil"/>
            </w:tcBorders>
          </w:tcPr>
          <w:p>
            <w:pPr>
              <w:pStyle w:val="TableParagraph"/>
              <w:spacing w:line="192" w:lineRule="exact"/>
              <w:ind w:right="88"/>
              <w:jc w:val="right"/>
              <w:rPr>
                <w:sz w:val="18"/>
              </w:rPr>
            </w:pPr>
            <w:r>
              <w:rPr>
                <w:color w:val="010101"/>
                <w:w w:val="80"/>
                <w:sz w:val="18"/>
              </w:rPr>
              <w:t>1,771,379</w:t>
            </w:r>
          </w:p>
        </w:tc>
        <w:tc>
          <w:tcPr>
            <w:tcW w:w="752" w:type="dxa"/>
            <w:tcBorders>
              <w:top w:val="nil"/>
              <w:bottom w:val="nil"/>
            </w:tcBorders>
          </w:tcPr>
          <w:p>
            <w:pPr>
              <w:pStyle w:val="TableParagraph"/>
              <w:spacing w:line="192" w:lineRule="exact"/>
              <w:ind w:left="85" w:right="47"/>
              <w:jc w:val="center"/>
              <w:rPr>
                <w:sz w:val="18"/>
              </w:rPr>
            </w:pPr>
            <w:r>
              <w:rPr>
                <w:color w:val="010101"/>
                <w:sz w:val="18"/>
              </w:rPr>
              <w:t>20.92</w:t>
            </w:r>
          </w:p>
        </w:tc>
        <w:tc>
          <w:tcPr>
            <w:tcW w:w="398" w:type="dxa"/>
            <w:tcBorders>
              <w:top w:val="nil"/>
              <w:bottom w:val="nil"/>
              <w:right w:val="nil"/>
            </w:tcBorders>
          </w:tcPr>
          <w:p>
            <w:pPr>
              <w:pStyle w:val="TableParagraph"/>
              <w:spacing w:line="176" w:lineRule="exact"/>
              <w:ind w:left="172" w:right="-6"/>
              <w:rPr>
                <w:rFonts w:ascii="Times New Roman"/>
                <w:sz w:val="16"/>
              </w:rPr>
            </w:pPr>
            <w:r>
              <w:rPr>
                <w:rFonts w:ascii="Times New Roman"/>
                <w:color w:val="010101"/>
                <w:w w:val="105"/>
                <w:sz w:val="16"/>
              </w:rPr>
              <w:t>53</w:t>
            </w:r>
          </w:p>
        </w:tc>
      </w:tr>
      <w:tr>
        <w:trPr>
          <w:trHeight w:val="299" w:hRule="exact"/>
        </w:trPr>
        <w:tc>
          <w:tcPr>
            <w:tcW w:w="366" w:type="dxa"/>
            <w:tcBorders>
              <w:top w:val="nil"/>
              <w:left w:val="nil"/>
              <w:bottom w:val="nil"/>
            </w:tcBorders>
          </w:tcPr>
          <w:p>
            <w:pPr>
              <w:pStyle w:val="TableParagraph"/>
              <w:spacing w:line="197" w:lineRule="exact"/>
              <w:ind w:left="132" w:right="-14"/>
              <w:rPr>
                <w:sz w:val="18"/>
              </w:rPr>
            </w:pPr>
            <w:r>
              <w:rPr>
                <w:color w:val="010101"/>
                <w:w w:val="95"/>
                <w:sz w:val="18"/>
              </w:rPr>
              <w:t>54</w:t>
            </w:r>
          </w:p>
        </w:tc>
        <w:tc>
          <w:tcPr>
            <w:tcW w:w="834" w:type="dxa"/>
            <w:tcBorders>
              <w:top w:val="nil"/>
              <w:bottom w:val="nil"/>
            </w:tcBorders>
          </w:tcPr>
          <w:p>
            <w:pPr>
              <w:pStyle w:val="TableParagraph"/>
              <w:spacing w:line="201" w:lineRule="exact"/>
              <w:ind w:left="94" w:right="12"/>
              <w:jc w:val="center"/>
              <w:rPr>
                <w:sz w:val="18"/>
              </w:rPr>
            </w:pPr>
            <w:r>
              <w:rPr>
                <w:color w:val="010101"/>
                <w:sz w:val="18"/>
              </w:rPr>
              <w:t>.01368</w:t>
            </w:r>
          </w:p>
        </w:tc>
        <w:tc>
          <w:tcPr>
            <w:tcW w:w="836" w:type="dxa"/>
            <w:tcBorders>
              <w:top w:val="nil"/>
              <w:bottom w:val="nil"/>
            </w:tcBorders>
          </w:tcPr>
          <w:p>
            <w:pPr>
              <w:pStyle w:val="TableParagraph"/>
              <w:spacing w:line="201" w:lineRule="exact"/>
              <w:ind w:left="79" w:right="44"/>
              <w:jc w:val="center"/>
              <w:rPr>
                <w:sz w:val="18"/>
              </w:rPr>
            </w:pPr>
            <w:r>
              <w:rPr>
                <w:color w:val="010101"/>
                <w:w w:val="95"/>
                <w:sz w:val="18"/>
              </w:rPr>
              <w:t>83,607</w:t>
            </w:r>
          </w:p>
        </w:tc>
        <w:tc>
          <w:tcPr>
            <w:tcW w:w="670" w:type="dxa"/>
            <w:tcBorders>
              <w:top w:val="nil"/>
              <w:bottom w:val="nil"/>
            </w:tcBorders>
          </w:tcPr>
          <w:p>
            <w:pPr>
              <w:pStyle w:val="TableParagraph"/>
              <w:spacing w:line="194" w:lineRule="exact"/>
              <w:ind w:right="105"/>
              <w:jc w:val="right"/>
              <w:rPr>
                <w:sz w:val="18"/>
              </w:rPr>
            </w:pPr>
            <w:r>
              <w:rPr>
                <w:color w:val="010101"/>
                <w:w w:val="70"/>
                <w:sz w:val="18"/>
              </w:rPr>
              <w:t>1,144</w:t>
            </w:r>
          </w:p>
        </w:tc>
        <w:tc>
          <w:tcPr>
            <w:tcW w:w="835" w:type="dxa"/>
            <w:tcBorders>
              <w:top w:val="nil"/>
              <w:bottom w:val="nil"/>
            </w:tcBorders>
          </w:tcPr>
          <w:p>
            <w:pPr>
              <w:pStyle w:val="TableParagraph"/>
              <w:spacing w:line="197" w:lineRule="exact"/>
              <w:ind w:left="53" w:right="26"/>
              <w:jc w:val="center"/>
              <w:rPr>
                <w:sz w:val="18"/>
              </w:rPr>
            </w:pPr>
            <w:r>
              <w:rPr>
                <w:color w:val="010101"/>
                <w:w w:val="90"/>
                <w:sz w:val="18"/>
              </w:rPr>
              <w:t>83,035</w:t>
            </w:r>
          </w:p>
        </w:tc>
        <w:tc>
          <w:tcPr>
            <w:tcW w:w="992" w:type="dxa"/>
            <w:tcBorders>
              <w:top w:val="nil"/>
              <w:bottom w:val="nil"/>
            </w:tcBorders>
          </w:tcPr>
          <w:p>
            <w:pPr>
              <w:pStyle w:val="TableParagraph"/>
              <w:spacing w:line="194" w:lineRule="exact"/>
              <w:ind w:right="92"/>
              <w:jc w:val="right"/>
              <w:rPr>
                <w:sz w:val="18"/>
              </w:rPr>
            </w:pPr>
            <w:r>
              <w:rPr>
                <w:color w:val="010101"/>
                <w:w w:val="85"/>
                <w:sz w:val="18"/>
              </w:rPr>
              <w:t>1,687,237</w:t>
            </w:r>
          </w:p>
        </w:tc>
        <w:tc>
          <w:tcPr>
            <w:tcW w:w="752" w:type="dxa"/>
            <w:tcBorders>
              <w:top w:val="nil"/>
              <w:bottom w:val="nil"/>
            </w:tcBorders>
          </w:tcPr>
          <w:p>
            <w:pPr>
              <w:pStyle w:val="TableParagraph"/>
              <w:spacing w:line="194" w:lineRule="exact"/>
              <w:ind w:left="90" w:right="47"/>
              <w:jc w:val="center"/>
              <w:rPr>
                <w:sz w:val="18"/>
              </w:rPr>
            </w:pPr>
            <w:r>
              <w:rPr>
                <w:color w:val="010101"/>
                <w:w w:val="90"/>
                <w:sz w:val="18"/>
              </w:rPr>
              <w:t>20.18</w:t>
            </w:r>
          </w:p>
        </w:tc>
        <w:tc>
          <w:tcPr>
            <w:tcW w:w="398" w:type="dxa"/>
            <w:tcBorders>
              <w:top w:val="nil"/>
              <w:bottom w:val="nil"/>
              <w:right w:val="nil"/>
            </w:tcBorders>
          </w:tcPr>
          <w:p>
            <w:pPr>
              <w:pStyle w:val="TableParagraph"/>
              <w:spacing w:line="177" w:lineRule="exact"/>
              <w:ind w:left="172" w:right="-6"/>
              <w:rPr>
                <w:rFonts w:ascii="Times New Roman"/>
                <w:sz w:val="17"/>
              </w:rPr>
            </w:pPr>
            <w:r>
              <w:rPr>
                <w:rFonts w:ascii="Times New Roman"/>
                <w:color w:val="010101"/>
                <w:sz w:val="17"/>
              </w:rPr>
              <w:t>54</w:t>
            </w:r>
          </w:p>
        </w:tc>
      </w:tr>
      <w:tr>
        <w:trPr>
          <w:trHeight w:val="300" w:hRule="exact"/>
        </w:trPr>
        <w:tc>
          <w:tcPr>
            <w:tcW w:w="366" w:type="dxa"/>
            <w:tcBorders>
              <w:top w:val="nil"/>
              <w:left w:val="nil"/>
              <w:bottom w:val="nil"/>
            </w:tcBorders>
          </w:tcPr>
          <w:p>
            <w:pPr>
              <w:pStyle w:val="TableParagraph"/>
              <w:spacing w:before="97"/>
              <w:ind w:left="132" w:right="-14"/>
              <w:rPr>
                <w:sz w:val="18"/>
              </w:rPr>
            </w:pPr>
            <w:r>
              <w:rPr>
                <w:color w:val="010101"/>
                <w:w w:val="90"/>
                <w:sz w:val="18"/>
              </w:rPr>
              <w:t>55</w:t>
            </w:r>
          </w:p>
        </w:tc>
        <w:tc>
          <w:tcPr>
            <w:tcW w:w="834" w:type="dxa"/>
            <w:tcBorders>
              <w:top w:val="nil"/>
              <w:bottom w:val="nil"/>
            </w:tcBorders>
          </w:tcPr>
          <w:p>
            <w:pPr>
              <w:pStyle w:val="TableParagraph"/>
              <w:spacing w:before="93"/>
              <w:ind w:left="84" w:right="22"/>
              <w:jc w:val="center"/>
              <w:rPr>
                <w:sz w:val="18"/>
              </w:rPr>
            </w:pPr>
            <w:r>
              <w:rPr>
                <w:color w:val="010101"/>
                <w:w w:val="95"/>
                <w:sz w:val="18"/>
              </w:rPr>
              <w:t>.01475</w:t>
            </w:r>
          </w:p>
        </w:tc>
        <w:tc>
          <w:tcPr>
            <w:tcW w:w="836" w:type="dxa"/>
            <w:tcBorders>
              <w:top w:val="nil"/>
              <w:bottom w:val="nil"/>
            </w:tcBorders>
          </w:tcPr>
          <w:p>
            <w:pPr>
              <w:pStyle w:val="TableParagraph"/>
              <w:spacing w:before="93"/>
              <w:ind w:left="68" w:right="44"/>
              <w:jc w:val="center"/>
              <w:rPr>
                <w:sz w:val="18"/>
              </w:rPr>
            </w:pPr>
            <w:r>
              <w:rPr>
                <w:color w:val="010101"/>
                <w:sz w:val="18"/>
              </w:rPr>
              <w:t>82,463</w:t>
            </w:r>
          </w:p>
        </w:tc>
        <w:tc>
          <w:tcPr>
            <w:tcW w:w="670" w:type="dxa"/>
            <w:tcBorders>
              <w:top w:val="nil"/>
              <w:bottom w:val="nil"/>
            </w:tcBorders>
          </w:tcPr>
          <w:p>
            <w:pPr>
              <w:pStyle w:val="TableParagraph"/>
              <w:spacing w:before="90"/>
              <w:ind w:right="103"/>
              <w:jc w:val="right"/>
              <w:rPr>
                <w:sz w:val="18"/>
              </w:rPr>
            </w:pPr>
            <w:r>
              <w:rPr>
                <w:color w:val="010101"/>
                <w:w w:val="75"/>
                <w:sz w:val="18"/>
              </w:rPr>
              <w:t>1,216</w:t>
            </w:r>
          </w:p>
        </w:tc>
        <w:tc>
          <w:tcPr>
            <w:tcW w:w="835" w:type="dxa"/>
            <w:tcBorders>
              <w:top w:val="nil"/>
              <w:bottom w:val="nil"/>
            </w:tcBorders>
          </w:tcPr>
          <w:p>
            <w:pPr>
              <w:pStyle w:val="TableParagraph"/>
              <w:spacing w:before="90"/>
              <w:ind w:left="42" w:right="26"/>
              <w:jc w:val="center"/>
              <w:rPr>
                <w:sz w:val="18"/>
              </w:rPr>
            </w:pPr>
            <w:r>
              <w:rPr>
                <w:color w:val="010101"/>
                <w:w w:val="90"/>
                <w:sz w:val="18"/>
              </w:rPr>
              <w:t>81,855</w:t>
            </w:r>
          </w:p>
        </w:tc>
        <w:tc>
          <w:tcPr>
            <w:tcW w:w="992" w:type="dxa"/>
            <w:tcBorders>
              <w:top w:val="nil"/>
              <w:bottom w:val="nil"/>
            </w:tcBorders>
          </w:tcPr>
          <w:p>
            <w:pPr>
              <w:pStyle w:val="TableParagraph"/>
              <w:spacing w:before="86"/>
              <w:ind w:right="103"/>
              <w:jc w:val="right"/>
              <w:rPr>
                <w:sz w:val="18"/>
              </w:rPr>
            </w:pPr>
            <w:r>
              <w:rPr>
                <w:color w:val="010101"/>
                <w:w w:val="75"/>
                <w:sz w:val="18"/>
              </w:rPr>
              <w:t>1,604,202</w:t>
            </w:r>
          </w:p>
        </w:tc>
        <w:tc>
          <w:tcPr>
            <w:tcW w:w="752" w:type="dxa"/>
            <w:tcBorders>
              <w:top w:val="nil"/>
              <w:bottom w:val="nil"/>
            </w:tcBorders>
          </w:tcPr>
          <w:p>
            <w:pPr>
              <w:pStyle w:val="TableParagraph"/>
              <w:spacing w:before="86"/>
              <w:ind w:left="90" w:right="42"/>
              <w:jc w:val="center"/>
              <w:rPr>
                <w:sz w:val="18"/>
              </w:rPr>
            </w:pPr>
            <w:r>
              <w:rPr>
                <w:color w:val="010101"/>
                <w:sz w:val="18"/>
              </w:rPr>
              <w:t>19.45</w:t>
            </w:r>
          </w:p>
        </w:tc>
        <w:tc>
          <w:tcPr>
            <w:tcW w:w="398" w:type="dxa"/>
            <w:tcBorders>
              <w:top w:val="nil"/>
              <w:bottom w:val="nil"/>
              <w:right w:val="nil"/>
            </w:tcBorders>
          </w:tcPr>
          <w:p>
            <w:pPr>
              <w:pStyle w:val="TableParagraph"/>
              <w:spacing w:before="90"/>
              <w:ind w:left="168" w:right="-6"/>
              <w:rPr>
                <w:rFonts w:ascii="Times New Roman"/>
                <w:sz w:val="16"/>
              </w:rPr>
            </w:pPr>
            <w:r>
              <w:rPr>
                <w:rFonts w:ascii="Times New Roman"/>
                <w:color w:val="010101"/>
                <w:w w:val="110"/>
                <w:sz w:val="16"/>
              </w:rPr>
              <w:t>55</w:t>
            </w:r>
          </w:p>
        </w:tc>
      </w:tr>
      <w:tr>
        <w:trPr>
          <w:trHeight w:val="198" w:hRule="exact"/>
        </w:trPr>
        <w:tc>
          <w:tcPr>
            <w:tcW w:w="366" w:type="dxa"/>
            <w:tcBorders>
              <w:top w:val="nil"/>
              <w:left w:val="nil"/>
              <w:bottom w:val="nil"/>
            </w:tcBorders>
          </w:tcPr>
          <w:p>
            <w:pPr>
              <w:pStyle w:val="TableParagraph"/>
              <w:spacing w:line="185" w:lineRule="exact"/>
              <w:ind w:left="129" w:right="-14"/>
              <w:rPr>
                <w:rFonts w:ascii="Times New Roman"/>
                <w:i/>
                <w:sz w:val="17"/>
              </w:rPr>
            </w:pPr>
            <w:r>
              <w:rPr>
                <w:rFonts w:ascii="Times New Roman"/>
                <w:i/>
                <w:color w:val="010101"/>
                <w:w w:val="95"/>
                <w:sz w:val="17"/>
              </w:rPr>
              <w:t>56</w:t>
            </w:r>
          </w:p>
        </w:tc>
        <w:tc>
          <w:tcPr>
            <w:tcW w:w="834" w:type="dxa"/>
            <w:tcBorders>
              <w:top w:val="nil"/>
              <w:bottom w:val="nil"/>
            </w:tcBorders>
          </w:tcPr>
          <w:p>
            <w:pPr>
              <w:pStyle w:val="TableParagraph"/>
              <w:spacing w:line="199" w:lineRule="exact"/>
              <w:ind w:left="79" w:right="22"/>
              <w:jc w:val="center"/>
              <w:rPr>
                <w:sz w:val="18"/>
              </w:rPr>
            </w:pPr>
            <w:r>
              <w:rPr>
                <w:color w:val="010101"/>
                <w:sz w:val="18"/>
              </w:rPr>
              <w:t>.01593</w:t>
            </w:r>
          </w:p>
        </w:tc>
        <w:tc>
          <w:tcPr>
            <w:tcW w:w="836" w:type="dxa"/>
            <w:tcBorders>
              <w:top w:val="nil"/>
              <w:bottom w:val="nil"/>
            </w:tcBorders>
          </w:tcPr>
          <w:p>
            <w:pPr>
              <w:pStyle w:val="TableParagraph"/>
              <w:spacing w:line="199" w:lineRule="exact"/>
              <w:ind w:left="59" w:right="44"/>
              <w:jc w:val="center"/>
              <w:rPr>
                <w:sz w:val="18"/>
              </w:rPr>
            </w:pPr>
            <w:r>
              <w:rPr>
                <w:color w:val="010101"/>
                <w:w w:val="90"/>
                <w:sz w:val="18"/>
              </w:rPr>
              <w:t>81,247</w:t>
            </w:r>
          </w:p>
        </w:tc>
        <w:tc>
          <w:tcPr>
            <w:tcW w:w="670" w:type="dxa"/>
            <w:tcBorders>
              <w:top w:val="nil"/>
              <w:bottom w:val="nil"/>
            </w:tcBorders>
          </w:tcPr>
          <w:p>
            <w:pPr>
              <w:pStyle w:val="TableParagraph"/>
              <w:spacing w:line="195" w:lineRule="exact"/>
              <w:ind w:right="108"/>
              <w:jc w:val="right"/>
              <w:rPr>
                <w:sz w:val="18"/>
              </w:rPr>
            </w:pPr>
            <w:r>
              <w:rPr>
                <w:color w:val="010101"/>
                <w:w w:val="70"/>
                <w:sz w:val="18"/>
              </w:rPr>
              <w:t>1,295</w:t>
            </w:r>
          </w:p>
        </w:tc>
        <w:tc>
          <w:tcPr>
            <w:tcW w:w="835" w:type="dxa"/>
            <w:tcBorders>
              <w:top w:val="nil"/>
              <w:bottom w:val="nil"/>
            </w:tcBorders>
          </w:tcPr>
          <w:p>
            <w:pPr>
              <w:pStyle w:val="TableParagraph"/>
              <w:spacing w:line="195" w:lineRule="exact"/>
              <w:ind w:left="49" w:right="26"/>
              <w:jc w:val="center"/>
              <w:rPr>
                <w:sz w:val="18"/>
              </w:rPr>
            </w:pPr>
            <w:r>
              <w:rPr>
                <w:color w:val="010101"/>
                <w:w w:val="90"/>
                <w:sz w:val="18"/>
              </w:rPr>
              <w:t>80,599</w:t>
            </w:r>
          </w:p>
        </w:tc>
        <w:tc>
          <w:tcPr>
            <w:tcW w:w="992" w:type="dxa"/>
            <w:tcBorders>
              <w:top w:val="nil"/>
              <w:bottom w:val="nil"/>
            </w:tcBorders>
          </w:tcPr>
          <w:p>
            <w:pPr>
              <w:pStyle w:val="TableParagraph"/>
              <w:spacing w:line="192" w:lineRule="exact"/>
              <w:ind w:right="86"/>
              <w:jc w:val="right"/>
              <w:rPr>
                <w:sz w:val="18"/>
              </w:rPr>
            </w:pPr>
            <w:r>
              <w:rPr>
                <w:color w:val="010101"/>
                <w:w w:val="75"/>
                <w:sz w:val="18"/>
              </w:rPr>
              <w:t>1,522,347</w:t>
            </w:r>
          </w:p>
        </w:tc>
        <w:tc>
          <w:tcPr>
            <w:tcW w:w="752" w:type="dxa"/>
            <w:tcBorders>
              <w:top w:val="nil"/>
              <w:bottom w:val="nil"/>
            </w:tcBorders>
          </w:tcPr>
          <w:p>
            <w:pPr>
              <w:pStyle w:val="TableParagraph"/>
              <w:spacing w:line="192" w:lineRule="exact"/>
              <w:ind w:left="90" w:right="40"/>
              <w:jc w:val="center"/>
              <w:rPr>
                <w:sz w:val="18"/>
              </w:rPr>
            </w:pPr>
            <w:r>
              <w:rPr>
                <w:color w:val="010101"/>
                <w:sz w:val="18"/>
              </w:rPr>
              <w:t>18.74</w:t>
            </w:r>
          </w:p>
        </w:tc>
        <w:tc>
          <w:tcPr>
            <w:tcW w:w="398" w:type="dxa"/>
            <w:tcBorders>
              <w:top w:val="nil"/>
              <w:bottom w:val="nil"/>
              <w:right w:val="nil"/>
            </w:tcBorders>
          </w:tcPr>
          <w:p>
            <w:pPr>
              <w:pStyle w:val="TableParagraph"/>
              <w:spacing w:line="176" w:lineRule="exact"/>
              <w:ind w:left="168" w:right="-6"/>
              <w:rPr>
                <w:rFonts w:ascii="Times New Roman"/>
                <w:sz w:val="16"/>
              </w:rPr>
            </w:pPr>
            <w:r>
              <w:rPr>
                <w:rFonts w:ascii="Times New Roman"/>
                <w:color w:val="010101"/>
                <w:w w:val="105"/>
                <w:sz w:val="16"/>
              </w:rPr>
              <w:t>56</w:t>
            </w:r>
          </w:p>
        </w:tc>
      </w:tr>
      <w:tr>
        <w:trPr>
          <w:trHeight w:val="201" w:hRule="exact"/>
        </w:trPr>
        <w:tc>
          <w:tcPr>
            <w:tcW w:w="366" w:type="dxa"/>
            <w:tcBorders>
              <w:top w:val="nil"/>
              <w:left w:val="nil"/>
              <w:bottom w:val="nil"/>
            </w:tcBorders>
          </w:tcPr>
          <w:p>
            <w:pPr>
              <w:pStyle w:val="TableParagraph"/>
              <w:spacing w:line="202" w:lineRule="exact"/>
              <w:ind w:left="129" w:right="-7"/>
              <w:rPr>
                <w:sz w:val="18"/>
              </w:rPr>
            </w:pPr>
            <w:r>
              <w:rPr>
                <w:color w:val="010101"/>
                <w:sz w:val="18"/>
              </w:rPr>
              <w:t>57</w:t>
            </w:r>
          </w:p>
        </w:tc>
        <w:tc>
          <w:tcPr>
            <w:tcW w:w="834" w:type="dxa"/>
            <w:tcBorders>
              <w:top w:val="nil"/>
              <w:bottom w:val="nil"/>
            </w:tcBorders>
          </w:tcPr>
          <w:p>
            <w:pPr>
              <w:pStyle w:val="TableParagraph"/>
              <w:spacing w:line="202" w:lineRule="exact"/>
              <w:ind w:left="94" w:right="22"/>
              <w:jc w:val="center"/>
              <w:rPr>
                <w:sz w:val="18"/>
              </w:rPr>
            </w:pPr>
            <w:r>
              <w:rPr>
                <w:color w:val="010101"/>
                <w:sz w:val="18"/>
              </w:rPr>
              <w:t>.01730</w:t>
            </w:r>
          </w:p>
        </w:tc>
        <w:tc>
          <w:tcPr>
            <w:tcW w:w="836" w:type="dxa"/>
            <w:tcBorders>
              <w:top w:val="nil"/>
              <w:bottom w:val="nil"/>
            </w:tcBorders>
          </w:tcPr>
          <w:p>
            <w:pPr>
              <w:pStyle w:val="TableParagraph"/>
              <w:spacing w:line="199" w:lineRule="exact"/>
              <w:ind w:left="72" w:right="34"/>
              <w:jc w:val="center"/>
              <w:rPr>
                <w:sz w:val="18"/>
              </w:rPr>
            </w:pPr>
            <w:r>
              <w:rPr>
                <w:color w:val="010101"/>
                <w:sz w:val="18"/>
              </w:rPr>
              <w:t>79,952</w:t>
            </w:r>
          </w:p>
        </w:tc>
        <w:tc>
          <w:tcPr>
            <w:tcW w:w="670" w:type="dxa"/>
            <w:tcBorders>
              <w:top w:val="nil"/>
              <w:bottom w:val="nil"/>
            </w:tcBorders>
          </w:tcPr>
          <w:p>
            <w:pPr>
              <w:pStyle w:val="TableParagraph"/>
              <w:spacing w:line="199" w:lineRule="exact"/>
              <w:ind w:right="116"/>
              <w:jc w:val="right"/>
              <w:rPr>
                <w:sz w:val="18"/>
              </w:rPr>
            </w:pPr>
            <w:r>
              <w:rPr>
                <w:color w:val="010101"/>
                <w:w w:val="70"/>
                <w:sz w:val="18"/>
              </w:rPr>
              <w:t>1,383</w:t>
            </w:r>
          </w:p>
        </w:tc>
        <w:tc>
          <w:tcPr>
            <w:tcW w:w="835" w:type="dxa"/>
            <w:tcBorders>
              <w:top w:val="nil"/>
              <w:bottom w:val="nil"/>
            </w:tcBorders>
          </w:tcPr>
          <w:p>
            <w:pPr>
              <w:pStyle w:val="TableParagraph"/>
              <w:spacing w:line="199" w:lineRule="exact"/>
              <w:ind w:left="36" w:right="26"/>
              <w:jc w:val="center"/>
              <w:rPr>
                <w:sz w:val="18"/>
              </w:rPr>
            </w:pPr>
            <w:r>
              <w:rPr>
                <w:color w:val="010101"/>
                <w:w w:val="90"/>
                <w:sz w:val="18"/>
              </w:rPr>
              <w:t>79,261</w:t>
            </w:r>
          </w:p>
        </w:tc>
        <w:tc>
          <w:tcPr>
            <w:tcW w:w="992" w:type="dxa"/>
            <w:tcBorders>
              <w:top w:val="nil"/>
              <w:bottom w:val="nil"/>
            </w:tcBorders>
          </w:tcPr>
          <w:p>
            <w:pPr>
              <w:pStyle w:val="TableParagraph"/>
              <w:spacing w:line="192" w:lineRule="exact"/>
              <w:ind w:right="85"/>
              <w:jc w:val="right"/>
              <w:rPr>
                <w:sz w:val="18"/>
              </w:rPr>
            </w:pPr>
            <w:r>
              <w:rPr>
                <w:color w:val="010101"/>
                <w:w w:val="90"/>
                <w:sz w:val="18"/>
              </w:rPr>
              <w:t>1,441,748</w:t>
            </w:r>
          </w:p>
        </w:tc>
        <w:tc>
          <w:tcPr>
            <w:tcW w:w="752" w:type="dxa"/>
            <w:tcBorders>
              <w:top w:val="nil"/>
              <w:bottom w:val="nil"/>
            </w:tcBorders>
          </w:tcPr>
          <w:p>
            <w:pPr>
              <w:pStyle w:val="TableParagraph"/>
              <w:spacing w:line="192" w:lineRule="exact"/>
              <w:ind w:left="86" w:right="47"/>
              <w:jc w:val="center"/>
              <w:rPr>
                <w:sz w:val="18"/>
              </w:rPr>
            </w:pPr>
            <w:r>
              <w:rPr>
                <w:color w:val="010101"/>
                <w:sz w:val="18"/>
              </w:rPr>
              <w:t>18.03</w:t>
            </w:r>
          </w:p>
        </w:tc>
        <w:tc>
          <w:tcPr>
            <w:tcW w:w="398" w:type="dxa"/>
            <w:tcBorders>
              <w:top w:val="nil"/>
              <w:bottom w:val="nil"/>
              <w:right w:val="nil"/>
            </w:tcBorders>
          </w:tcPr>
          <w:p>
            <w:pPr>
              <w:pStyle w:val="TableParagraph"/>
              <w:spacing w:line="195" w:lineRule="exact"/>
              <w:ind w:left="172" w:right="-6"/>
              <w:rPr>
                <w:sz w:val="18"/>
              </w:rPr>
            </w:pPr>
            <w:r>
              <w:rPr>
                <w:color w:val="010101"/>
                <w:spacing w:val="-16"/>
                <w:w w:val="105"/>
                <w:sz w:val="18"/>
              </w:rPr>
              <w:t>57</w:t>
            </w:r>
          </w:p>
        </w:tc>
      </w:tr>
      <w:tr>
        <w:trPr>
          <w:trHeight w:val="201" w:hRule="exact"/>
        </w:trPr>
        <w:tc>
          <w:tcPr>
            <w:tcW w:w="366" w:type="dxa"/>
            <w:tcBorders>
              <w:top w:val="nil"/>
              <w:left w:val="nil"/>
              <w:bottom w:val="nil"/>
            </w:tcBorders>
          </w:tcPr>
          <w:p>
            <w:pPr>
              <w:pStyle w:val="TableParagraph"/>
              <w:spacing w:line="199" w:lineRule="exact"/>
              <w:ind w:left="136" w:right="-14"/>
              <w:rPr>
                <w:sz w:val="18"/>
              </w:rPr>
            </w:pPr>
            <w:r>
              <w:rPr>
                <w:color w:val="010101"/>
                <w:spacing w:val="-13"/>
                <w:w w:val="105"/>
                <w:sz w:val="18"/>
              </w:rPr>
              <w:t>58</w:t>
            </w:r>
          </w:p>
        </w:tc>
        <w:tc>
          <w:tcPr>
            <w:tcW w:w="834" w:type="dxa"/>
            <w:tcBorders>
              <w:top w:val="nil"/>
              <w:bottom w:val="nil"/>
            </w:tcBorders>
          </w:tcPr>
          <w:p>
            <w:pPr>
              <w:pStyle w:val="TableParagraph"/>
              <w:spacing w:line="199" w:lineRule="exact"/>
              <w:ind w:left="61" w:right="22"/>
              <w:jc w:val="center"/>
              <w:rPr>
                <w:sz w:val="18"/>
              </w:rPr>
            </w:pPr>
            <w:r>
              <w:rPr>
                <w:color w:val="010101"/>
                <w:w w:val="90"/>
                <w:sz w:val="18"/>
              </w:rPr>
              <w:t>.01891</w:t>
            </w:r>
          </w:p>
        </w:tc>
        <w:tc>
          <w:tcPr>
            <w:tcW w:w="836" w:type="dxa"/>
            <w:tcBorders>
              <w:top w:val="nil"/>
              <w:bottom w:val="nil"/>
            </w:tcBorders>
          </w:tcPr>
          <w:p>
            <w:pPr>
              <w:pStyle w:val="TableParagraph"/>
              <w:spacing w:line="199" w:lineRule="exact"/>
              <w:ind w:left="72" w:right="28"/>
              <w:jc w:val="center"/>
              <w:rPr>
                <w:sz w:val="18"/>
              </w:rPr>
            </w:pPr>
            <w:r>
              <w:rPr>
                <w:color w:val="010101"/>
                <w:sz w:val="18"/>
              </w:rPr>
              <w:t>78,569</w:t>
            </w:r>
          </w:p>
        </w:tc>
        <w:tc>
          <w:tcPr>
            <w:tcW w:w="670" w:type="dxa"/>
            <w:tcBorders>
              <w:top w:val="nil"/>
              <w:bottom w:val="nil"/>
            </w:tcBorders>
          </w:tcPr>
          <w:p>
            <w:pPr>
              <w:pStyle w:val="TableParagraph"/>
              <w:spacing w:line="195" w:lineRule="exact"/>
              <w:ind w:right="101"/>
              <w:jc w:val="right"/>
              <w:rPr>
                <w:sz w:val="18"/>
              </w:rPr>
            </w:pPr>
            <w:r>
              <w:rPr>
                <w:color w:val="010101"/>
                <w:w w:val="85"/>
                <w:sz w:val="18"/>
              </w:rPr>
              <w:t>1,486</w:t>
            </w:r>
          </w:p>
        </w:tc>
        <w:tc>
          <w:tcPr>
            <w:tcW w:w="835" w:type="dxa"/>
            <w:tcBorders>
              <w:top w:val="nil"/>
              <w:bottom w:val="nil"/>
            </w:tcBorders>
          </w:tcPr>
          <w:p>
            <w:pPr>
              <w:pStyle w:val="TableParagraph"/>
              <w:spacing w:line="199" w:lineRule="exact"/>
              <w:ind w:left="52" w:right="26"/>
              <w:jc w:val="center"/>
              <w:rPr>
                <w:sz w:val="18"/>
              </w:rPr>
            </w:pPr>
            <w:r>
              <w:rPr>
                <w:color w:val="010101"/>
                <w:sz w:val="18"/>
              </w:rPr>
              <w:t>77,826</w:t>
            </w:r>
          </w:p>
        </w:tc>
        <w:tc>
          <w:tcPr>
            <w:tcW w:w="992" w:type="dxa"/>
            <w:tcBorders>
              <w:top w:val="nil"/>
              <w:bottom w:val="nil"/>
            </w:tcBorders>
          </w:tcPr>
          <w:p>
            <w:pPr>
              <w:pStyle w:val="TableParagraph"/>
              <w:spacing w:line="192" w:lineRule="exact"/>
              <w:ind w:right="90"/>
              <w:jc w:val="right"/>
              <w:rPr>
                <w:sz w:val="18"/>
              </w:rPr>
            </w:pPr>
            <w:r>
              <w:rPr>
                <w:color w:val="010101"/>
                <w:w w:val="85"/>
                <w:sz w:val="18"/>
              </w:rPr>
              <w:t>1,362,487</w:t>
            </w:r>
          </w:p>
        </w:tc>
        <w:tc>
          <w:tcPr>
            <w:tcW w:w="752" w:type="dxa"/>
            <w:tcBorders>
              <w:top w:val="nil"/>
              <w:bottom w:val="nil"/>
            </w:tcBorders>
          </w:tcPr>
          <w:p>
            <w:pPr>
              <w:pStyle w:val="TableParagraph"/>
              <w:spacing w:line="192" w:lineRule="exact"/>
              <w:ind w:left="88" w:right="47"/>
              <w:jc w:val="center"/>
              <w:rPr>
                <w:sz w:val="18"/>
              </w:rPr>
            </w:pPr>
            <w:r>
              <w:rPr>
                <w:color w:val="010101"/>
                <w:sz w:val="18"/>
              </w:rPr>
              <w:t>17.34</w:t>
            </w:r>
          </w:p>
        </w:tc>
        <w:tc>
          <w:tcPr>
            <w:tcW w:w="398" w:type="dxa"/>
            <w:tcBorders>
              <w:top w:val="nil"/>
              <w:bottom w:val="nil"/>
              <w:right w:val="nil"/>
            </w:tcBorders>
          </w:tcPr>
          <w:p>
            <w:pPr>
              <w:pStyle w:val="TableParagraph"/>
              <w:spacing w:line="175" w:lineRule="exact"/>
              <w:ind w:left="172" w:right="-6"/>
              <w:rPr>
                <w:rFonts w:ascii="Arial"/>
                <w:sz w:val="16"/>
              </w:rPr>
            </w:pPr>
            <w:r>
              <w:rPr>
                <w:rFonts w:ascii="Arial"/>
                <w:color w:val="010101"/>
                <w:sz w:val="16"/>
              </w:rPr>
              <w:t>58</w:t>
            </w:r>
          </w:p>
        </w:tc>
      </w:tr>
      <w:tr>
        <w:trPr>
          <w:trHeight w:val="301" w:hRule="exact"/>
        </w:trPr>
        <w:tc>
          <w:tcPr>
            <w:tcW w:w="366" w:type="dxa"/>
            <w:tcBorders>
              <w:top w:val="nil"/>
              <w:left w:val="nil"/>
              <w:bottom w:val="nil"/>
            </w:tcBorders>
          </w:tcPr>
          <w:p>
            <w:pPr>
              <w:pStyle w:val="TableParagraph"/>
              <w:spacing w:line="202" w:lineRule="exact"/>
              <w:ind w:left="136" w:right="-14"/>
              <w:rPr>
                <w:sz w:val="18"/>
              </w:rPr>
            </w:pPr>
            <w:r>
              <w:rPr>
                <w:color w:val="010101"/>
                <w:spacing w:val="-17"/>
                <w:w w:val="105"/>
                <w:sz w:val="18"/>
              </w:rPr>
              <w:t>59</w:t>
            </w:r>
          </w:p>
        </w:tc>
        <w:tc>
          <w:tcPr>
            <w:tcW w:w="834" w:type="dxa"/>
            <w:tcBorders>
              <w:top w:val="nil"/>
              <w:bottom w:val="nil"/>
            </w:tcBorders>
          </w:tcPr>
          <w:p>
            <w:pPr>
              <w:pStyle w:val="TableParagraph"/>
              <w:spacing w:line="199" w:lineRule="exact"/>
              <w:ind w:left="94" w:right="21"/>
              <w:jc w:val="center"/>
              <w:rPr>
                <w:sz w:val="18"/>
              </w:rPr>
            </w:pPr>
            <w:r>
              <w:rPr>
                <w:color w:val="010101"/>
                <w:sz w:val="18"/>
              </w:rPr>
              <w:t>.02074</w:t>
            </w:r>
          </w:p>
        </w:tc>
        <w:tc>
          <w:tcPr>
            <w:tcW w:w="836" w:type="dxa"/>
            <w:tcBorders>
              <w:top w:val="nil"/>
              <w:bottom w:val="nil"/>
            </w:tcBorders>
          </w:tcPr>
          <w:p>
            <w:pPr>
              <w:pStyle w:val="TableParagraph"/>
              <w:spacing w:line="199" w:lineRule="exact"/>
              <w:ind w:left="71" w:right="44"/>
              <w:jc w:val="center"/>
              <w:rPr>
                <w:sz w:val="18"/>
              </w:rPr>
            </w:pPr>
            <w:r>
              <w:rPr>
                <w:color w:val="010101"/>
                <w:w w:val="95"/>
                <w:sz w:val="18"/>
              </w:rPr>
              <w:t>77,083</w:t>
            </w:r>
          </w:p>
        </w:tc>
        <w:tc>
          <w:tcPr>
            <w:tcW w:w="670" w:type="dxa"/>
            <w:tcBorders>
              <w:top w:val="nil"/>
              <w:bottom w:val="nil"/>
            </w:tcBorders>
          </w:tcPr>
          <w:p>
            <w:pPr>
              <w:pStyle w:val="TableParagraph"/>
              <w:spacing w:line="195" w:lineRule="exact"/>
              <w:ind w:right="70"/>
              <w:jc w:val="right"/>
              <w:rPr>
                <w:sz w:val="18"/>
              </w:rPr>
            </w:pPr>
            <w:r>
              <w:rPr>
                <w:color w:val="010101"/>
                <w:w w:val="90"/>
                <w:sz w:val="18"/>
              </w:rPr>
              <w:t>1,598</w:t>
            </w:r>
          </w:p>
        </w:tc>
        <w:tc>
          <w:tcPr>
            <w:tcW w:w="835" w:type="dxa"/>
            <w:tcBorders>
              <w:top w:val="nil"/>
              <w:bottom w:val="nil"/>
            </w:tcBorders>
          </w:tcPr>
          <w:p>
            <w:pPr>
              <w:pStyle w:val="TableParagraph"/>
              <w:spacing w:line="199" w:lineRule="exact"/>
              <w:ind w:left="56" w:right="26"/>
              <w:jc w:val="center"/>
              <w:rPr>
                <w:sz w:val="18"/>
              </w:rPr>
            </w:pPr>
            <w:r>
              <w:rPr>
                <w:color w:val="010101"/>
                <w:w w:val="90"/>
                <w:sz w:val="18"/>
              </w:rPr>
              <w:t>76,284</w:t>
            </w:r>
          </w:p>
        </w:tc>
        <w:tc>
          <w:tcPr>
            <w:tcW w:w="992" w:type="dxa"/>
            <w:tcBorders>
              <w:top w:val="nil"/>
              <w:bottom w:val="nil"/>
            </w:tcBorders>
          </w:tcPr>
          <w:p>
            <w:pPr>
              <w:pStyle w:val="TableParagraph"/>
              <w:spacing w:line="195" w:lineRule="exact"/>
              <w:ind w:right="125"/>
              <w:jc w:val="right"/>
              <w:rPr>
                <w:sz w:val="18"/>
              </w:rPr>
            </w:pPr>
            <w:r>
              <w:rPr>
                <w:color w:val="010101"/>
                <w:w w:val="70"/>
                <w:sz w:val="18"/>
              </w:rPr>
              <w:t>1,284,661</w:t>
            </w:r>
          </w:p>
        </w:tc>
        <w:tc>
          <w:tcPr>
            <w:tcW w:w="752" w:type="dxa"/>
            <w:tcBorders>
              <w:top w:val="nil"/>
              <w:bottom w:val="nil"/>
            </w:tcBorders>
          </w:tcPr>
          <w:p>
            <w:pPr>
              <w:pStyle w:val="TableParagraph"/>
              <w:spacing w:line="195" w:lineRule="exact"/>
              <w:ind w:left="90" w:right="34"/>
              <w:jc w:val="center"/>
              <w:rPr>
                <w:sz w:val="18"/>
              </w:rPr>
            </w:pPr>
            <w:r>
              <w:rPr>
                <w:color w:val="010101"/>
                <w:w w:val="90"/>
                <w:sz w:val="18"/>
              </w:rPr>
              <w:t>16.67</w:t>
            </w:r>
          </w:p>
        </w:tc>
        <w:tc>
          <w:tcPr>
            <w:tcW w:w="398" w:type="dxa"/>
            <w:tcBorders>
              <w:top w:val="nil"/>
              <w:bottom w:val="nil"/>
              <w:right w:val="nil"/>
            </w:tcBorders>
          </w:tcPr>
          <w:p>
            <w:pPr>
              <w:pStyle w:val="TableParagraph"/>
              <w:spacing w:line="195" w:lineRule="exact"/>
              <w:ind w:left="175" w:right="-6"/>
              <w:rPr>
                <w:sz w:val="18"/>
              </w:rPr>
            </w:pPr>
            <w:r>
              <w:rPr>
                <w:color w:val="010101"/>
                <w:spacing w:val="-21"/>
                <w:w w:val="110"/>
                <w:sz w:val="18"/>
              </w:rPr>
              <w:t>59</w:t>
            </w:r>
          </w:p>
        </w:tc>
      </w:tr>
      <w:tr>
        <w:trPr>
          <w:trHeight w:val="299" w:hRule="exact"/>
        </w:trPr>
        <w:tc>
          <w:tcPr>
            <w:tcW w:w="366" w:type="dxa"/>
            <w:tcBorders>
              <w:top w:val="nil"/>
              <w:left w:val="nil"/>
              <w:bottom w:val="nil"/>
            </w:tcBorders>
          </w:tcPr>
          <w:p>
            <w:pPr>
              <w:pStyle w:val="TableParagraph"/>
              <w:spacing w:before="90"/>
              <w:ind w:left="136" w:right="-14"/>
              <w:rPr>
                <w:rFonts w:ascii="Arial"/>
                <w:sz w:val="17"/>
              </w:rPr>
            </w:pPr>
            <w:r>
              <w:rPr>
                <w:rFonts w:ascii="Arial"/>
                <w:color w:val="010101"/>
                <w:sz w:val="17"/>
              </w:rPr>
              <w:t>60</w:t>
            </w:r>
          </w:p>
        </w:tc>
        <w:tc>
          <w:tcPr>
            <w:tcW w:w="834" w:type="dxa"/>
            <w:tcBorders>
              <w:top w:val="nil"/>
              <w:bottom w:val="nil"/>
            </w:tcBorders>
          </w:tcPr>
          <w:p>
            <w:pPr>
              <w:pStyle w:val="TableParagraph"/>
              <w:spacing w:before="93"/>
              <w:ind w:left="62" w:right="22"/>
              <w:jc w:val="center"/>
              <w:rPr>
                <w:sz w:val="18"/>
              </w:rPr>
            </w:pPr>
            <w:r>
              <w:rPr>
                <w:color w:val="010101"/>
                <w:w w:val="95"/>
                <w:sz w:val="18"/>
              </w:rPr>
              <w:t>.02271</w:t>
            </w:r>
          </w:p>
        </w:tc>
        <w:tc>
          <w:tcPr>
            <w:tcW w:w="836" w:type="dxa"/>
            <w:tcBorders>
              <w:top w:val="nil"/>
              <w:bottom w:val="nil"/>
            </w:tcBorders>
          </w:tcPr>
          <w:p>
            <w:pPr>
              <w:pStyle w:val="TableParagraph"/>
              <w:spacing w:before="96"/>
              <w:ind w:left="87" w:right="44"/>
              <w:jc w:val="center"/>
              <w:rPr>
                <w:sz w:val="18"/>
              </w:rPr>
            </w:pPr>
            <w:r>
              <w:rPr>
                <w:color w:val="010101"/>
                <w:w w:val="95"/>
                <w:sz w:val="18"/>
              </w:rPr>
              <w:t>75,485</w:t>
            </w:r>
          </w:p>
        </w:tc>
        <w:tc>
          <w:tcPr>
            <w:tcW w:w="670" w:type="dxa"/>
            <w:tcBorders>
              <w:top w:val="nil"/>
              <w:bottom w:val="nil"/>
            </w:tcBorders>
          </w:tcPr>
          <w:p>
            <w:pPr>
              <w:pStyle w:val="TableParagraph"/>
              <w:spacing w:before="93"/>
              <w:ind w:right="91"/>
              <w:jc w:val="right"/>
              <w:rPr>
                <w:sz w:val="18"/>
              </w:rPr>
            </w:pPr>
            <w:r>
              <w:rPr>
                <w:color w:val="010101"/>
                <w:w w:val="75"/>
                <w:sz w:val="18"/>
              </w:rPr>
              <w:t>1,714</w:t>
            </w:r>
          </w:p>
        </w:tc>
        <w:tc>
          <w:tcPr>
            <w:tcW w:w="835" w:type="dxa"/>
            <w:tcBorders>
              <w:top w:val="nil"/>
              <w:bottom w:val="nil"/>
            </w:tcBorders>
          </w:tcPr>
          <w:p>
            <w:pPr>
              <w:pStyle w:val="TableParagraph"/>
              <w:spacing w:before="93"/>
              <w:ind w:left="68" w:right="26"/>
              <w:jc w:val="center"/>
              <w:rPr>
                <w:sz w:val="18"/>
              </w:rPr>
            </w:pPr>
            <w:r>
              <w:rPr>
                <w:color w:val="010101"/>
                <w:sz w:val="18"/>
              </w:rPr>
              <w:t>74,628</w:t>
            </w:r>
          </w:p>
        </w:tc>
        <w:tc>
          <w:tcPr>
            <w:tcW w:w="992" w:type="dxa"/>
            <w:tcBorders>
              <w:top w:val="nil"/>
              <w:bottom w:val="nil"/>
            </w:tcBorders>
          </w:tcPr>
          <w:p>
            <w:pPr>
              <w:pStyle w:val="TableParagraph"/>
              <w:spacing w:before="89"/>
              <w:ind w:right="84"/>
              <w:jc w:val="right"/>
              <w:rPr>
                <w:sz w:val="18"/>
              </w:rPr>
            </w:pPr>
            <w:r>
              <w:rPr>
                <w:color w:val="010101"/>
                <w:w w:val="85"/>
                <w:sz w:val="18"/>
              </w:rPr>
              <w:t>1,208,377</w:t>
            </w:r>
          </w:p>
        </w:tc>
        <w:tc>
          <w:tcPr>
            <w:tcW w:w="752" w:type="dxa"/>
            <w:tcBorders>
              <w:top w:val="nil"/>
              <w:bottom w:val="nil"/>
            </w:tcBorders>
          </w:tcPr>
          <w:p>
            <w:pPr>
              <w:pStyle w:val="TableParagraph"/>
              <w:spacing w:before="89"/>
              <w:ind w:left="90" w:right="46"/>
              <w:jc w:val="center"/>
              <w:rPr>
                <w:sz w:val="18"/>
              </w:rPr>
            </w:pPr>
            <w:r>
              <w:rPr>
                <w:color w:val="010101"/>
                <w:w w:val="95"/>
                <w:sz w:val="18"/>
              </w:rPr>
              <w:t>16.01</w:t>
            </w:r>
          </w:p>
        </w:tc>
        <w:tc>
          <w:tcPr>
            <w:tcW w:w="398" w:type="dxa"/>
            <w:tcBorders>
              <w:top w:val="nil"/>
              <w:bottom w:val="nil"/>
              <w:right w:val="nil"/>
            </w:tcBorders>
          </w:tcPr>
          <w:p>
            <w:pPr>
              <w:pStyle w:val="TableParagraph"/>
              <w:spacing w:before="83"/>
              <w:ind w:left="179" w:right="-6"/>
              <w:rPr>
                <w:rFonts w:ascii="Arial"/>
                <w:sz w:val="17"/>
              </w:rPr>
            </w:pPr>
            <w:r>
              <w:rPr>
                <w:rFonts w:ascii="Arial"/>
                <w:color w:val="010101"/>
                <w:sz w:val="17"/>
              </w:rPr>
              <w:t>60</w:t>
            </w:r>
          </w:p>
        </w:tc>
      </w:tr>
      <w:tr>
        <w:trPr>
          <w:trHeight w:val="201" w:hRule="exact"/>
        </w:trPr>
        <w:tc>
          <w:tcPr>
            <w:tcW w:w="366" w:type="dxa"/>
            <w:tcBorders>
              <w:top w:val="nil"/>
              <w:left w:val="nil"/>
              <w:bottom w:val="nil"/>
            </w:tcBorders>
          </w:tcPr>
          <w:p>
            <w:pPr>
              <w:pStyle w:val="TableParagraph"/>
              <w:spacing w:line="199" w:lineRule="exact"/>
              <w:ind w:left="132" w:right="-10"/>
              <w:rPr>
                <w:sz w:val="18"/>
              </w:rPr>
            </w:pPr>
            <w:r>
              <w:rPr>
                <w:color w:val="010101"/>
                <w:sz w:val="18"/>
              </w:rPr>
              <w:t>61</w:t>
            </w:r>
          </w:p>
        </w:tc>
        <w:tc>
          <w:tcPr>
            <w:tcW w:w="834" w:type="dxa"/>
            <w:tcBorders>
              <w:top w:val="nil"/>
              <w:bottom w:val="nil"/>
            </w:tcBorders>
          </w:tcPr>
          <w:p>
            <w:pPr>
              <w:pStyle w:val="TableParagraph"/>
              <w:spacing w:line="202" w:lineRule="exact"/>
              <w:ind w:left="94" w:right="19"/>
              <w:jc w:val="center"/>
              <w:rPr>
                <w:sz w:val="18"/>
              </w:rPr>
            </w:pPr>
            <w:r>
              <w:rPr>
                <w:color w:val="010101"/>
                <w:sz w:val="18"/>
              </w:rPr>
              <w:t>.02476</w:t>
            </w:r>
          </w:p>
        </w:tc>
        <w:tc>
          <w:tcPr>
            <w:tcW w:w="836" w:type="dxa"/>
            <w:tcBorders>
              <w:top w:val="nil"/>
              <w:bottom w:val="nil"/>
            </w:tcBorders>
          </w:tcPr>
          <w:p>
            <w:pPr>
              <w:pStyle w:val="TableParagraph"/>
              <w:spacing w:line="199" w:lineRule="exact"/>
              <w:ind w:left="67" w:right="44"/>
              <w:jc w:val="center"/>
              <w:rPr>
                <w:sz w:val="18"/>
              </w:rPr>
            </w:pPr>
            <w:r>
              <w:rPr>
                <w:color w:val="010101"/>
                <w:w w:val="95"/>
                <w:sz w:val="18"/>
              </w:rPr>
              <w:t>73,771</w:t>
            </w:r>
          </w:p>
        </w:tc>
        <w:tc>
          <w:tcPr>
            <w:tcW w:w="670" w:type="dxa"/>
            <w:tcBorders>
              <w:top w:val="nil"/>
              <w:bottom w:val="nil"/>
            </w:tcBorders>
          </w:tcPr>
          <w:p>
            <w:pPr>
              <w:pStyle w:val="TableParagraph"/>
              <w:spacing w:line="195" w:lineRule="exact"/>
              <w:ind w:right="98"/>
              <w:jc w:val="right"/>
              <w:rPr>
                <w:sz w:val="18"/>
              </w:rPr>
            </w:pPr>
            <w:r>
              <w:rPr>
                <w:color w:val="010101"/>
                <w:w w:val="85"/>
                <w:sz w:val="18"/>
              </w:rPr>
              <w:t>1,827</w:t>
            </w:r>
          </w:p>
        </w:tc>
        <w:tc>
          <w:tcPr>
            <w:tcW w:w="835" w:type="dxa"/>
            <w:tcBorders>
              <w:top w:val="nil"/>
              <w:bottom w:val="nil"/>
            </w:tcBorders>
          </w:tcPr>
          <w:p>
            <w:pPr>
              <w:pStyle w:val="TableParagraph"/>
              <w:spacing w:line="199" w:lineRule="exact"/>
              <w:ind w:left="65" w:right="26"/>
              <w:jc w:val="center"/>
              <w:rPr>
                <w:sz w:val="18"/>
              </w:rPr>
            </w:pPr>
            <w:r>
              <w:rPr>
                <w:color w:val="010101"/>
                <w:w w:val="95"/>
                <w:sz w:val="18"/>
              </w:rPr>
              <w:t>72,858</w:t>
            </w:r>
          </w:p>
        </w:tc>
        <w:tc>
          <w:tcPr>
            <w:tcW w:w="992" w:type="dxa"/>
            <w:tcBorders>
              <w:top w:val="nil"/>
              <w:bottom w:val="nil"/>
            </w:tcBorders>
          </w:tcPr>
          <w:p>
            <w:pPr>
              <w:pStyle w:val="TableParagraph"/>
              <w:spacing w:line="192" w:lineRule="exact"/>
              <w:ind w:right="83"/>
              <w:jc w:val="right"/>
              <w:rPr>
                <w:sz w:val="18"/>
              </w:rPr>
            </w:pPr>
            <w:r>
              <w:rPr>
                <w:color w:val="010101"/>
                <w:w w:val="85"/>
                <w:sz w:val="18"/>
              </w:rPr>
              <w:t>1,133,749</w:t>
            </w:r>
          </w:p>
        </w:tc>
        <w:tc>
          <w:tcPr>
            <w:tcW w:w="752" w:type="dxa"/>
            <w:tcBorders>
              <w:top w:val="nil"/>
              <w:bottom w:val="nil"/>
            </w:tcBorders>
          </w:tcPr>
          <w:p>
            <w:pPr>
              <w:pStyle w:val="TableParagraph"/>
              <w:spacing w:line="195" w:lineRule="exact"/>
              <w:ind w:left="90" w:right="28"/>
              <w:jc w:val="center"/>
              <w:rPr>
                <w:sz w:val="18"/>
              </w:rPr>
            </w:pPr>
            <w:r>
              <w:rPr>
                <w:color w:val="010101"/>
                <w:sz w:val="18"/>
              </w:rPr>
              <w:t>15.37</w:t>
            </w:r>
          </w:p>
        </w:tc>
        <w:tc>
          <w:tcPr>
            <w:tcW w:w="398" w:type="dxa"/>
            <w:tcBorders>
              <w:top w:val="nil"/>
              <w:bottom w:val="nil"/>
              <w:right w:val="nil"/>
            </w:tcBorders>
          </w:tcPr>
          <w:p>
            <w:pPr>
              <w:pStyle w:val="TableParagraph"/>
              <w:spacing w:line="199" w:lineRule="exact"/>
              <w:ind w:left="175" w:right="-9"/>
              <w:rPr>
                <w:sz w:val="18"/>
              </w:rPr>
            </w:pPr>
            <w:r>
              <w:rPr>
                <w:color w:val="010101"/>
                <w:w w:val="95"/>
                <w:sz w:val="18"/>
              </w:rPr>
              <w:t>61</w:t>
            </w:r>
          </w:p>
        </w:tc>
      </w:tr>
      <w:tr>
        <w:trPr>
          <w:trHeight w:val="196" w:hRule="exact"/>
        </w:trPr>
        <w:tc>
          <w:tcPr>
            <w:tcW w:w="366" w:type="dxa"/>
            <w:tcBorders>
              <w:top w:val="nil"/>
              <w:left w:val="nil"/>
              <w:bottom w:val="nil"/>
            </w:tcBorders>
          </w:tcPr>
          <w:p>
            <w:pPr>
              <w:pStyle w:val="TableParagraph"/>
              <w:spacing w:line="195" w:lineRule="exact"/>
              <w:ind w:left="132" w:right="-14"/>
              <w:rPr>
                <w:sz w:val="18"/>
              </w:rPr>
            </w:pPr>
            <w:r>
              <w:rPr>
                <w:color w:val="010101"/>
                <w:spacing w:val="-18"/>
                <w:w w:val="110"/>
                <w:sz w:val="18"/>
              </w:rPr>
              <w:t>62</w:t>
            </w:r>
          </w:p>
        </w:tc>
        <w:tc>
          <w:tcPr>
            <w:tcW w:w="834" w:type="dxa"/>
            <w:tcBorders>
              <w:top w:val="nil"/>
              <w:bottom w:val="nil"/>
            </w:tcBorders>
          </w:tcPr>
          <w:p>
            <w:pPr>
              <w:pStyle w:val="TableParagraph"/>
              <w:spacing w:line="199" w:lineRule="exact"/>
              <w:ind w:left="94" w:right="16"/>
              <w:jc w:val="center"/>
              <w:rPr>
                <w:sz w:val="18"/>
              </w:rPr>
            </w:pPr>
            <w:r>
              <w:rPr>
                <w:color w:val="010101"/>
                <w:sz w:val="18"/>
              </w:rPr>
              <w:t>.02690</w:t>
            </w:r>
          </w:p>
        </w:tc>
        <w:tc>
          <w:tcPr>
            <w:tcW w:w="836" w:type="dxa"/>
            <w:tcBorders>
              <w:top w:val="nil"/>
              <w:bottom w:val="nil"/>
            </w:tcBorders>
          </w:tcPr>
          <w:p>
            <w:pPr>
              <w:pStyle w:val="TableParagraph"/>
              <w:spacing w:line="195" w:lineRule="exact"/>
              <w:ind w:left="83" w:right="44"/>
              <w:jc w:val="center"/>
              <w:rPr>
                <w:sz w:val="18"/>
              </w:rPr>
            </w:pPr>
            <w:r>
              <w:rPr>
                <w:color w:val="010101"/>
                <w:w w:val="90"/>
                <w:sz w:val="18"/>
              </w:rPr>
              <w:t>71,944</w:t>
            </w:r>
          </w:p>
        </w:tc>
        <w:tc>
          <w:tcPr>
            <w:tcW w:w="670" w:type="dxa"/>
            <w:tcBorders>
              <w:top w:val="nil"/>
              <w:bottom w:val="nil"/>
            </w:tcBorders>
          </w:tcPr>
          <w:p>
            <w:pPr>
              <w:pStyle w:val="TableParagraph"/>
              <w:spacing w:line="192" w:lineRule="exact"/>
              <w:ind w:right="97"/>
              <w:jc w:val="right"/>
              <w:rPr>
                <w:sz w:val="18"/>
              </w:rPr>
            </w:pPr>
            <w:r>
              <w:rPr>
                <w:color w:val="010101"/>
                <w:w w:val="85"/>
                <w:sz w:val="18"/>
              </w:rPr>
              <w:t>1,935</w:t>
            </w:r>
          </w:p>
        </w:tc>
        <w:tc>
          <w:tcPr>
            <w:tcW w:w="835" w:type="dxa"/>
            <w:tcBorders>
              <w:top w:val="nil"/>
              <w:bottom w:val="nil"/>
            </w:tcBorders>
          </w:tcPr>
          <w:p>
            <w:pPr>
              <w:pStyle w:val="TableParagraph"/>
              <w:spacing w:line="195" w:lineRule="exact"/>
              <w:ind w:left="73" w:right="26"/>
              <w:jc w:val="center"/>
              <w:rPr>
                <w:sz w:val="18"/>
              </w:rPr>
            </w:pPr>
            <w:r>
              <w:rPr>
                <w:color w:val="010101"/>
                <w:w w:val="105"/>
                <w:sz w:val="18"/>
              </w:rPr>
              <w:t>70,976</w:t>
            </w:r>
          </w:p>
        </w:tc>
        <w:tc>
          <w:tcPr>
            <w:tcW w:w="992" w:type="dxa"/>
            <w:tcBorders>
              <w:top w:val="nil"/>
              <w:bottom w:val="nil"/>
            </w:tcBorders>
          </w:tcPr>
          <w:p>
            <w:pPr>
              <w:pStyle w:val="TableParagraph"/>
              <w:spacing w:line="192" w:lineRule="exact"/>
              <w:ind w:right="118"/>
              <w:jc w:val="right"/>
              <w:rPr>
                <w:sz w:val="18"/>
              </w:rPr>
            </w:pPr>
            <w:r>
              <w:rPr>
                <w:color w:val="010101"/>
                <w:w w:val="75"/>
                <w:sz w:val="18"/>
              </w:rPr>
              <w:t>1,060,891</w:t>
            </w:r>
          </w:p>
        </w:tc>
        <w:tc>
          <w:tcPr>
            <w:tcW w:w="752" w:type="dxa"/>
            <w:tcBorders>
              <w:top w:val="nil"/>
              <w:bottom w:val="nil"/>
            </w:tcBorders>
          </w:tcPr>
          <w:p>
            <w:pPr>
              <w:pStyle w:val="TableParagraph"/>
              <w:spacing w:line="192" w:lineRule="exact"/>
              <w:ind w:left="90" w:right="39"/>
              <w:jc w:val="center"/>
              <w:rPr>
                <w:sz w:val="18"/>
              </w:rPr>
            </w:pPr>
            <w:r>
              <w:rPr>
                <w:color w:val="010101"/>
                <w:sz w:val="18"/>
              </w:rPr>
              <w:t>14.75</w:t>
            </w:r>
          </w:p>
        </w:tc>
        <w:tc>
          <w:tcPr>
            <w:tcW w:w="398" w:type="dxa"/>
            <w:tcBorders>
              <w:top w:val="nil"/>
              <w:bottom w:val="nil"/>
              <w:right w:val="nil"/>
            </w:tcBorders>
          </w:tcPr>
          <w:p>
            <w:pPr>
              <w:pStyle w:val="TableParagraph"/>
              <w:spacing w:line="192" w:lineRule="exact"/>
              <w:ind w:left="175" w:right="-6"/>
              <w:rPr>
                <w:sz w:val="18"/>
              </w:rPr>
            </w:pPr>
            <w:r>
              <w:rPr>
                <w:color w:val="010101"/>
                <w:spacing w:val="-16"/>
                <w:w w:val="105"/>
                <w:sz w:val="18"/>
              </w:rPr>
              <w:t>62</w:t>
            </w:r>
          </w:p>
        </w:tc>
      </w:tr>
      <w:tr>
        <w:trPr>
          <w:trHeight w:val="198" w:hRule="exact"/>
        </w:trPr>
        <w:tc>
          <w:tcPr>
            <w:tcW w:w="366" w:type="dxa"/>
            <w:tcBorders>
              <w:top w:val="nil"/>
              <w:left w:val="nil"/>
              <w:bottom w:val="nil"/>
            </w:tcBorders>
          </w:tcPr>
          <w:p>
            <w:pPr>
              <w:pStyle w:val="TableParagraph"/>
              <w:spacing w:line="201" w:lineRule="exact"/>
              <w:ind w:left="132" w:right="-14"/>
              <w:rPr>
                <w:sz w:val="18"/>
              </w:rPr>
            </w:pPr>
            <w:r>
              <w:rPr>
                <w:color w:val="010101"/>
                <w:w w:val="95"/>
                <w:sz w:val="18"/>
              </w:rPr>
              <w:t>63</w:t>
            </w:r>
          </w:p>
        </w:tc>
        <w:tc>
          <w:tcPr>
            <w:tcW w:w="834" w:type="dxa"/>
            <w:tcBorders>
              <w:top w:val="nil"/>
              <w:bottom w:val="nil"/>
            </w:tcBorders>
          </w:tcPr>
          <w:p>
            <w:pPr>
              <w:pStyle w:val="TableParagraph"/>
              <w:spacing w:line="197" w:lineRule="exact"/>
              <w:ind w:left="80" w:right="22"/>
              <w:jc w:val="center"/>
              <w:rPr>
                <w:sz w:val="18"/>
              </w:rPr>
            </w:pPr>
            <w:r>
              <w:rPr>
                <w:color w:val="010101"/>
                <w:w w:val="90"/>
                <w:sz w:val="18"/>
              </w:rPr>
              <w:t>.02912</w:t>
            </w:r>
          </w:p>
        </w:tc>
        <w:tc>
          <w:tcPr>
            <w:tcW w:w="836" w:type="dxa"/>
            <w:tcBorders>
              <w:top w:val="nil"/>
              <w:bottom w:val="nil"/>
            </w:tcBorders>
          </w:tcPr>
          <w:p>
            <w:pPr>
              <w:pStyle w:val="TableParagraph"/>
              <w:spacing w:line="197" w:lineRule="exact"/>
              <w:ind w:left="72" w:right="40"/>
              <w:jc w:val="center"/>
              <w:rPr>
                <w:sz w:val="18"/>
              </w:rPr>
            </w:pPr>
            <w:r>
              <w:rPr>
                <w:color w:val="010101"/>
                <w:sz w:val="18"/>
              </w:rPr>
              <w:t>70,009</w:t>
            </w:r>
          </w:p>
        </w:tc>
        <w:tc>
          <w:tcPr>
            <w:tcW w:w="670" w:type="dxa"/>
            <w:tcBorders>
              <w:top w:val="nil"/>
              <w:bottom w:val="nil"/>
            </w:tcBorders>
          </w:tcPr>
          <w:p>
            <w:pPr>
              <w:pStyle w:val="TableParagraph"/>
              <w:spacing w:line="190" w:lineRule="exact"/>
              <w:ind w:right="82"/>
              <w:jc w:val="right"/>
              <w:rPr>
                <w:sz w:val="18"/>
              </w:rPr>
            </w:pPr>
            <w:r>
              <w:rPr>
                <w:color w:val="010101"/>
                <w:sz w:val="18"/>
              </w:rPr>
              <w:t>2,039</w:t>
            </w:r>
          </w:p>
        </w:tc>
        <w:tc>
          <w:tcPr>
            <w:tcW w:w="835" w:type="dxa"/>
            <w:tcBorders>
              <w:top w:val="nil"/>
              <w:bottom w:val="nil"/>
            </w:tcBorders>
          </w:tcPr>
          <w:p>
            <w:pPr>
              <w:pStyle w:val="TableParagraph"/>
              <w:spacing w:line="197" w:lineRule="exact"/>
              <w:ind w:left="67" w:right="26"/>
              <w:jc w:val="center"/>
              <w:rPr>
                <w:sz w:val="18"/>
              </w:rPr>
            </w:pPr>
            <w:r>
              <w:rPr>
                <w:color w:val="010101"/>
                <w:sz w:val="18"/>
              </w:rPr>
              <w:t>68,990</w:t>
            </w:r>
          </w:p>
        </w:tc>
        <w:tc>
          <w:tcPr>
            <w:tcW w:w="992" w:type="dxa"/>
            <w:tcBorders>
              <w:top w:val="nil"/>
              <w:bottom w:val="nil"/>
            </w:tcBorders>
          </w:tcPr>
          <w:p>
            <w:pPr>
              <w:pStyle w:val="TableParagraph"/>
              <w:spacing w:line="197" w:lineRule="exact"/>
              <w:ind w:right="96"/>
              <w:jc w:val="right"/>
              <w:rPr>
                <w:sz w:val="18"/>
              </w:rPr>
            </w:pPr>
            <w:r>
              <w:rPr>
                <w:color w:val="010101"/>
                <w:w w:val="85"/>
                <w:sz w:val="18"/>
              </w:rPr>
              <w:t>989,915</w:t>
            </w:r>
          </w:p>
        </w:tc>
        <w:tc>
          <w:tcPr>
            <w:tcW w:w="752" w:type="dxa"/>
            <w:tcBorders>
              <w:top w:val="nil"/>
              <w:bottom w:val="nil"/>
            </w:tcBorders>
          </w:tcPr>
          <w:p>
            <w:pPr>
              <w:pStyle w:val="TableParagraph"/>
              <w:spacing w:line="197" w:lineRule="exact"/>
              <w:ind w:left="90" w:right="33"/>
              <w:jc w:val="center"/>
              <w:rPr>
                <w:sz w:val="18"/>
              </w:rPr>
            </w:pPr>
            <w:r>
              <w:rPr>
                <w:color w:val="010101"/>
                <w:sz w:val="18"/>
              </w:rPr>
              <w:t>14.14</w:t>
            </w:r>
          </w:p>
        </w:tc>
        <w:tc>
          <w:tcPr>
            <w:tcW w:w="398" w:type="dxa"/>
            <w:tcBorders>
              <w:top w:val="nil"/>
              <w:bottom w:val="nil"/>
              <w:right w:val="nil"/>
            </w:tcBorders>
          </w:tcPr>
          <w:p>
            <w:pPr>
              <w:pStyle w:val="TableParagraph"/>
              <w:spacing w:line="197" w:lineRule="exact"/>
              <w:ind w:left="175" w:right="-20"/>
              <w:rPr>
                <w:sz w:val="18"/>
              </w:rPr>
            </w:pPr>
            <w:r>
              <w:rPr>
                <w:color w:val="010101"/>
                <w:sz w:val="18"/>
              </w:rPr>
              <w:t>63</w:t>
            </w:r>
          </w:p>
        </w:tc>
      </w:tr>
      <w:tr>
        <w:trPr>
          <w:trHeight w:val="297" w:hRule="exact"/>
        </w:trPr>
        <w:tc>
          <w:tcPr>
            <w:tcW w:w="366" w:type="dxa"/>
            <w:tcBorders>
              <w:top w:val="nil"/>
              <w:left w:val="nil"/>
              <w:bottom w:val="nil"/>
            </w:tcBorders>
          </w:tcPr>
          <w:p>
            <w:pPr>
              <w:pStyle w:val="TableParagraph"/>
              <w:spacing w:line="201" w:lineRule="exact"/>
              <w:ind w:left="129" w:right="-7"/>
              <w:rPr>
                <w:sz w:val="18"/>
              </w:rPr>
            </w:pPr>
            <w:r>
              <w:rPr>
                <w:color w:val="010101"/>
                <w:sz w:val="18"/>
              </w:rPr>
              <w:t>64</w:t>
            </w:r>
          </w:p>
        </w:tc>
        <w:tc>
          <w:tcPr>
            <w:tcW w:w="834" w:type="dxa"/>
            <w:tcBorders>
              <w:top w:val="nil"/>
              <w:bottom w:val="nil"/>
            </w:tcBorders>
          </w:tcPr>
          <w:p>
            <w:pPr>
              <w:pStyle w:val="TableParagraph"/>
              <w:spacing w:line="197" w:lineRule="exact"/>
              <w:ind w:left="80" w:right="22"/>
              <w:jc w:val="center"/>
              <w:rPr>
                <w:sz w:val="18"/>
              </w:rPr>
            </w:pPr>
            <w:r>
              <w:rPr>
                <w:color w:val="010101"/>
                <w:w w:val="95"/>
                <w:sz w:val="18"/>
              </w:rPr>
              <w:t>.03143</w:t>
            </w:r>
          </w:p>
        </w:tc>
        <w:tc>
          <w:tcPr>
            <w:tcW w:w="836" w:type="dxa"/>
            <w:tcBorders>
              <w:top w:val="nil"/>
              <w:bottom w:val="nil"/>
            </w:tcBorders>
          </w:tcPr>
          <w:p>
            <w:pPr>
              <w:pStyle w:val="TableParagraph"/>
              <w:spacing w:line="197" w:lineRule="exact"/>
              <w:ind w:left="72" w:right="27"/>
              <w:jc w:val="center"/>
              <w:rPr>
                <w:sz w:val="18"/>
              </w:rPr>
            </w:pPr>
            <w:r>
              <w:rPr>
                <w:color w:val="010101"/>
                <w:sz w:val="18"/>
              </w:rPr>
              <w:t>67,970</w:t>
            </w:r>
          </w:p>
        </w:tc>
        <w:tc>
          <w:tcPr>
            <w:tcW w:w="670" w:type="dxa"/>
            <w:tcBorders>
              <w:top w:val="nil"/>
              <w:bottom w:val="nil"/>
            </w:tcBorders>
          </w:tcPr>
          <w:p>
            <w:pPr>
              <w:pStyle w:val="TableParagraph"/>
              <w:spacing w:line="190" w:lineRule="exact"/>
              <w:ind w:right="86"/>
              <w:jc w:val="right"/>
              <w:rPr>
                <w:sz w:val="18"/>
              </w:rPr>
            </w:pPr>
            <w:r>
              <w:rPr>
                <w:color w:val="010101"/>
                <w:w w:val="80"/>
                <w:sz w:val="18"/>
              </w:rPr>
              <w:t>2,136</w:t>
            </w:r>
          </w:p>
        </w:tc>
        <w:tc>
          <w:tcPr>
            <w:tcW w:w="835" w:type="dxa"/>
            <w:tcBorders>
              <w:top w:val="nil"/>
              <w:bottom w:val="nil"/>
            </w:tcBorders>
          </w:tcPr>
          <w:p>
            <w:pPr>
              <w:pStyle w:val="TableParagraph"/>
              <w:spacing w:line="197" w:lineRule="exact"/>
              <w:ind w:left="63" w:right="26"/>
              <w:jc w:val="center"/>
              <w:rPr>
                <w:sz w:val="18"/>
              </w:rPr>
            </w:pPr>
            <w:r>
              <w:rPr>
                <w:color w:val="010101"/>
                <w:sz w:val="18"/>
              </w:rPr>
              <w:t>66,902</w:t>
            </w:r>
          </w:p>
        </w:tc>
        <w:tc>
          <w:tcPr>
            <w:tcW w:w="992" w:type="dxa"/>
            <w:tcBorders>
              <w:top w:val="nil"/>
              <w:bottom w:val="nil"/>
            </w:tcBorders>
          </w:tcPr>
          <w:p>
            <w:pPr>
              <w:pStyle w:val="TableParagraph"/>
              <w:spacing w:line="193" w:lineRule="exact"/>
              <w:ind w:right="103"/>
              <w:jc w:val="right"/>
              <w:rPr>
                <w:sz w:val="18"/>
              </w:rPr>
            </w:pPr>
            <w:r>
              <w:rPr>
                <w:color w:val="010101"/>
                <w:w w:val="80"/>
                <w:sz w:val="18"/>
              </w:rPr>
              <w:t>920,925</w:t>
            </w:r>
          </w:p>
        </w:tc>
        <w:tc>
          <w:tcPr>
            <w:tcW w:w="752" w:type="dxa"/>
            <w:tcBorders>
              <w:top w:val="nil"/>
              <w:bottom w:val="nil"/>
            </w:tcBorders>
          </w:tcPr>
          <w:p>
            <w:pPr>
              <w:pStyle w:val="TableParagraph"/>
              <w:spacing w:line="197" w:lineRule="exact"/>
              <w:ind w:left="88" w:right="47"/>
              <w:jc w:val="center"/>
              <w:rPr>
                <w:sz w:val="18"/>
              </w:rPr>
            </w:pPr>
            <w:r>
              <w:rPr>
                <w:color w:val="010101"/>
                <w:w w:val="95"/>
                <w:sz w:val="18"/>
              </w:rPr>
              <w:t>13.55</w:t>
            </w:r>
          </w:p>
        </w:tc>
        <w:tc>
          <w:tcPr>
            <w:tcW w:w="398" w:type="dxa"/>
            <w:tcBorders>
              <w:top w:val="nil"/>
              <w:bottom w:val="nil"/>
              <w:right w:val="nil"/>
            </w:tcBorders>
          </w:tcPr>
          <w:p>
            <w:pPr>
              <w:pStyle w:val="TableParagraph"/>
              <w:spacing w:line="181" w:lineRule="exact"/>
              <w:ind w:left="172" w:right="-6"/>
              <w:rPr>
                <w:rFonts w:ascii="Times New Roman"/>
                <w:sz w:val="16"/>
              </w:rPr>
            </w:pPr>
            <w:r>
              <w:rPr>
                <w:rFonts w:ascii="Times New Roman"/>
                <w:color w:val="010101"/>
                <w:w w:val="105"/>
                <w:sz w:val="16"/>
              </w:rPr>
              <w:t>64</w:t>
            </w:r>
          </w:p>
        </w:tc>
      </w:tr>
      <w:tr>
        <w:trPr>
          <w:trHeight w:val="300" w:hRule="exact"/>
        </w:trPr>
        <w:tc>
          <w:tcPr>
            <w:tcW w:w="366" w:type="dxa"/>
            <w:tcBorders>
              <w:top w:val="nil"/>
              <w:left w:val="nil"/>
              <w:bottom w:val="nil"/>
            </w:tcBorders>
          </w:tcPr>
          <w:p>
            <w:pPr>
              <w:pStyle w:val="TableParagraph"/>
              <w:spacing w:before="95"/>
              <w:ind w:left="132" w:right="-20"/>
              <w:rPr>
                <w:sz w:val="18"/>
              </w:rPr>
            </w:pPr>
            <w:r>
              <w:rPr>
                <w:color w:val="010101"/>
                <w:w w:val="105"/>
                <w:sz w:val="18"/>
              </w:rPr>
              <w:t>65</w:t>
            </w:r>
          </w:p>
        </w:tc>
        <w:tc>
          <w:tcPr>
            <w:tcW w:w="834" w:type="dxa"/>
            <w:tcBorders>
              <w:top w:val="nil"/>
              <w:bottom w:val="nil"/>
            </w:tcBorders>
          </w:tcPr>
          <w:p>
            <w:pPr>
              <w:pStyle w:val="TableParagraph"/>
              <w:spacing w:before="95"/>
              <w:ind w:left="78" w:right="22"/>
              <w:jc w:val="center"/>
              <w:rPr>
                <w:sz w:val="18"/>
              </w:rPr>
            </w:pPr>
            <w:r>
              <w:rPr>
                <w:color w:val="010101"/>
                <w:w w:val="95"/>
                <w:sz w:val="18"/>
              </w:rPr>
              <w:t>.03389</w:t>
            </w:r>
          </w:p>
        </w:tc>
        <w:tc>
          <w:tcPr>
            <w:tcW w:w="836" w:type="dxa"/>
            <w:tcBorders>
              <w:top w:val="nil"/>
              <w:bottom w:val="nil"/>
            </w:tcBorders>
          </w:tcPr>
          <w:p>
            <w:pPr>
              <w:pStyle w:val="TableParagraph"/>
              <w:spacing w:before="95"/>
              <w:ind w:left="84" w:right="44"/>
              <w:jc w:val="center"/>
              <w:rPr>
                <w:sz w:val="18"/>
              </w:rPr>
            </w:pPr>
            <w:r>
              <w:rPr>
                <w:color w:val="010101"/>
                <w:w w:val="90"/>
                <w:sz w:val="18"/>
              </w:rPr>
              <w:t>65,834</w:t>
            </w:r>
          </w:p>
        </w:tc>
        <w:tc>
          <w:tcPr>
            <w:tcW w:w="670" w:type="dxa"/>
            <w:tcBorders>
              <w:top w:val="nil"/>
              <w:bottom w:val="nil"/>
            </w:tcBorders>
          </w:tcPr>
          <w:p>
            <w:pPr>
              <w:pStyle w:val="TableParagraph"/>
              <w:spacing w:before="84"/>
              <w:ind w:right="112"/>
              <w:jc w:val="right"/>
              <w:rPr>
                <w:sz w:val="18"/>
              </w:rPr>
            </w:pPr>
            <w:r>
              <w:rPr>
                <w:color w:val="010101"/>
                <w:w w:val="75"/>
                <w:sz w:val="18"/>
              </w:rPr>
              <w:t>2,231</w:t>
            </w:r>
          </w:p>
        </w:tc>
        <w:tc>
          <w:tcPr>
            <w:tcW w:w="835" w:type="dxa"/>
            <w:tcBorders>
              <w:top w:val="nil"/>
              <w:bottom w:val="nil"/>
            </w:tcBorders>
          </w:tcPr>
          <w:p>
            <w:pPr>
              <w:pStyle w:val="TableParagraph"/>
              <w:spacing w:before="92"/>
              <w:ind w:left="73" w:right="24"/>
              <w:jc w:val="center"/>
              <w:rPr>
                <w:sz w:val="18"/>
              </w:rPr>
            </w:pPr>
            <w:r>
              <w:rPr>
                <w:color w:val="010101"/>
                <w:w w:val="95"/>
                <w:sz w:val="18"/>
              </w:rPr>
              <w:t>64,718</w:t>
            </w:r>
          </w:p>
        </w:tc>
        <w:tc>
          <w:tcPr>
            <w:tcW w:w="992" w:type="dxa"/>
            <w:tcBorders>
              <w:top w:val="nil"/>
              <w:bottom w:val="nil"/>
            </w:tcBorders>
          </w:tcPr>
          <w:p>
            <w:pPr>
              <w:pStyle w:val="TableParagraph"/>
              <w:spacing w:before="92"/>
              <w:ind w:right="104"/>
              <w:jc w:val="right"/>
              <w:rPr>
                <w:sz w:val="18"/>
              </w:rPr>
            </w:pPr>
            <w:r>
              <w:rPr>
                <w:color w:val="010101"/>
                <w:w w:val="80"/>
                <w:sz w:val="18"/>
              </w:rPr>
              <w:t>854,023</w:t>
            </w:r>
          </w:p>
        </w:tc>
        <w:tc>
          <w:tcPr>
            <w:tcW w:w="752" w:type="dxa"/>
            <w:tcBorders>
              <w:top w:val="nil"/>
              <w:bottom w:val="nil"/>
            </w:tcBorders>
          </w:tcPr>
          <w:p>
            <w:pPr>
              <w:pStyle w:val="TableParagraph"/>
              <w:spacing w:before="92"/>
              <w:ind w:left="90" w:right="39"/>
              <w:jc w:val="center"/>
              <w:rPr>
                <w:sz w:val="18"/>
              </w:rPr>
            </w:pPr>
            <w:r>
              <w:rPr>
                <w:color w:val="010101"/>
                <w:sz w:val="18"/>
              </w:rPr>
              <w:t>12.97</w:t>
            </w:r>
          </w:p>
        </w:tc>
        <w:tc>
          <w:tcPr>
            <w:tcW w:w="398" w:type="dxa"/>
            <w:tcBorders>
              <w:top w:val="nil"/>
              <w:bottom w:val="nil"/>
              <w:right w:val="nil"/>
            </w:tcBorders>
          </w:tcPr>
          <w:p>
            <w:pPr>
              <w:pStyle w:val="TableParagraph"/>
              <w:spacing w:before="99"/>
              <w:ind w:left="175" w:right="-9"/>
              <w:rPr>
                <w:sz w:val="18"/>
              </w:rPr>
            </w:pPr>
            <w:r>
              <w:rPr>
                <w:color w:val="010101"/>
                <w:w w:val="95"/>
                <w:sz w:val="18"/>
              </w:rPr>
              <w:t>65</w:t>
            </w:r>
          </w:p>
        </w:tc>
      </w:tr>
      <w:tr>
        <w:trPr>
          <w:trHeight w:val="198" w:hRule="exact"/>
        </w:trPr>
        <w:tc>
          <w:tcPr>
            <w:tcW w:w="366" w:type="dxa"/>
            <w:tcBorders>
              <w:top w:val="nil"/>
              <w:left w:val="nil"/>
              <w:bottom w:val="nil"/>
            </w:tcBorders>
          </w:tcPr>
          <w:p>
            <w:pPr>
              <w:pStyle w:val="TableParagraph"/>
              <w:spacing w:line="187" w:lineRule="exact"/>
              <w:ind w:left="136" w:right="-14"/>
              <w:rPr>
                <w:rFonts w:ascii="Times New Roman"/>
                <w:sz w:val="17"/>
              </w:rPr>
            </w:pPr>
            <w:r>
              <w:rPr>
                <w:rFonts w:ascii="Times New Roman"/>
                <w:color w:val="010101"/>
                <w:sz w:val="17"/>
              </w:rPr>
              <w:t>66</w:t>
            </w:r>
          </w:p>
        </w:tc>
        <w:tc>
          <w:tcPr>
            <w:tcW w:w="834" w:type="dxa"/>
            <w:tcBorders>
              <w:top w:val="nil"/>
              <w:bottom w:val="nil"/>
            </w:tcBorders>
          </w:tcPr>
          <w:p>
            <w:pPr>
              <w:pStyle w:val="TableParagraph"/>
              <w:spacing w:line="201" w:lineRule="exact"/>
              <w:ind w:left="94" w:right="20"/>
              <w:jc w:val="center"/>
              <w:rPr>
                <w:sz w:val="18"/>
              </w:rPr>
            </w:pPr>
            <w:r>
              <w:rPr>
                <w:color w:val="010101"/>
                <w:sz w:val="18"/>
              </w:rPr>
              <w:t>.03652</w:t>
            </w:r>
          </w:p>
        </w:tc>
        <w:tc>
          <w:tcPr>
            <w:tcW w:w="836" w:type="dxa"/>
            <w:tcBorders>
              <w:top w:val="nil"/>
              <w:bottom w:val="nil"/>
            </w:tcBorders>
          </w:tcPr>
          <w:p>
            <w:pPr>
              <w:pStyle w:val="TableParagraph"/>
              <w:spacing w:line="201" w:lineRule="exact"/>
              <w:ind w:left="72" w:right="35"/>
              <w:jc w:val="center"/>
              <w:rPr>
                <w:sz w:val="18"/>
              </w:rPr>
            </w:pPr>
            <w:r>
              <w:rPr>
                <w:color w:val="010101"/>
                <w:sz w:val="18"/>
              </w:rPr>
              <w:t>63,603</w:t>
            </w:r>
          </w:p>
        </w:tc>
        <w:tc>
          <w:tcPr>
            <w:tcW w:w="670" w:type="dxa"/>
            <w:tcBorders>
              <w:top w:val="nil"/>
              <w:bottom w:val="nil"/>
            </w:tcBorders>
          </w:tcPr>
          <w:p>
            <w:pPr>
              <w:pStyle w:val="TableParagraph"/>
              <w:spacing w:line="197" w:lineRule="exact"/>
              <w:ind w:right="100"/>
              <w:jc w:val="right"/>
              <w:rPr>
                <w:sz w:val="18"/>
              </w:rPr>
            </w:pPr>
            <w:r>
              <w:rPr>
                <w:color w:val="010101"/>
                <w:w w:val="80"/>
                <w:sz w:val="18"/>
              </w:rPr>
              <w:t>.2,323</w:t>
            </w:r>
          </w:p>
        </w:tc>
        <w:tc>
          <w:tcPr>
            <w:tcW w:w="835" w:type="dxa"/>
            <w:tcBorders>
              <w:top w:val="nil"/>
              <w:bottom w:val="nil"/>
            </w:tcBorders>
          </w:tcPr>
          <w:p>
            <w:pPr>
              <w:pStyle w:val="TableParagraph"/>
              <w:spacing w:line="193" w:lineRule="exact"/>
              <w:ind w:left="40" w:right="26"/>
              <w:jc w:val="center"/>
              <w:rPr>
                <w:sz w:val="18"/>
              </w:rPr>
            </w:pPr>
            <w:r>
              <w:rPr>
                <w:color w:val="010101"/>
                <w:w w:val="95"/>
                <w:sz w:val="18"/>
              </w:rPr>
              <w:t>62,441</w:t>
            </w:r>
          </w:p>
        </w:tc>
        <w:tc>
          <w:tcPr>
            <w:tcW w:w="992" w:type="dxa"/>
            <w:tcBorders>
              <w:top w:val="nil"/>
              <w:bottom w:val="nil"/>
            </w:tcBorders>
          </w:tcPr>
          <w:p>
            <w:pPr>
              <w:pStyle w:val="TableParagraph"/>
              <w:spacing w:line="190" w:lineRule="exact"/>
              <w:ind w:right="95"/>
              <w:jc w:val="right"/>
              <w:rPr>
                <w:sz w:val="18"/>
              </w:rPr>
            </w:pPr>
            <w:r>
              <w:rPr>
                <w:color w:val="010101"/>
                <w:w w:val="80"/>
                <w:sz w:val="18"/>
              </w:rPr>
              <w:t>789,305</w:t>
            </w:r>
          </w:p>
        </w:tc>
        <w:tc>
          <w:tcPr>
            <w:tcW w:w="752" w:type="dxa"/>
            <w:tcBorders>
              <w:top w:val="nil"/>
              <w:bottom w:val="nil"/>
            </w:tcBorders>
          </w:tcPr>
          <w:p>
            <w:pPr>
              <w:pStyle w:val="TableParagraph"/>
              <w:spacing w:line="190" w:lineRule="exact"/>
              <w:ind w:left="81" w:right="47"/>
              <w:jc w:val="center"/>
              <w:rPr>
                <w:sz w:val="18"/>
              </w:rPr>
            </w:pPr>
            <w:r>
              <w:rPr>
                <w:color w:val="010101"/>
                <w:sz w:val="18"/>
              </w:rPr>
              <w:t>12.41</w:t>
            </w:r>
          </w:p>
        </w:tc>
        <w:tc>
          <w:tcPr>
            <w:tcW w:w="398" w:type="dxa"/>
            <w:tcBorders>
              <w:top w:val="nil"/>
              <w:bottom w:val="nil"/>
              <w:right w:val="nil"/>
            </w:tcBorders>
          </w:tcPr>
          <w:p>
            <w:pPr>
              <w:pStyle w:val="TableParagraph"/>
              <w:spacing w:line="201" w:lineRule="exact"/>
              <w:ind w:left="175" w:right="-6"/>
              <w:rPr>
                <w:sz w:val="18"/>
              </w:rPr>
            </w:pPr>
            <w:r>
              <w:rPr>
                <w:color w:val="010101"/>
                <w:spacing w:val="-18"/>
                <w:w w:val="110"/>
                <w:sz w:val="18"/>
              </w:rPr>
              <w:t>66</w:t>
            </w:r>
          </w:p>
        </w:tc>
      </w:tr>
      <w:tr>
        <w:trPr>
          <w:trHeight w:val="200" w:hRule="exact"/>
        </w:trPr>
        <w:tc>
          <w:tcPr>
            <w:tcW w:w="366" w:type="dxa"/>
            <w:tcBorders>
              <w:top w:val="nil"/>
              <w:left w:val="nil"/>
              <w:bottom w:val="nil"/>
            </w:tcBorders>
          </w:tcPr>
          <w:p>
            <w:pPr>
              <w:pStyle w:val="TableParagraph"/>
              <w:ind w:left="136" w:right="-14"/>
              <w:rPr>
                <w:sz w:val="18"/>
              </w:rPr>
            </w:pPr>
            <w:r>
              <w:rPr>
                <w:color w:val="010101"/>
                <w:sz w:val="18"/>
              </w:rPr>
              <w:t>67</w:t>
            </w:r>
          </w:p>
        </w:tc>
        <w:tc>
          <w:tcPr>
            <w:tcW w:w="834" w:type="dxa"/>
            <w:tcBorders>
              <w:top w:val="nil"/>
              <w:bottom w:val="nil"/>
            </w:tcBorders>
          </w:tcPr>
          <w:p>
            <w:pPr>
              <w:pStyle w:val="TableParagraph"/>
              <w:ind w:left="94" w:right="12"/>
              <w:jc w:val="center"/>
              <w:rPr>
                <w:sz w:val="18"/>
              </w:rPr>
            </w:pPr>
            <w:r>
              <w:rPr>
                <w:color w:val="010101"/>
                <w:sz w:val="18"/>
              </w:rPr>
              <w:t>.03930</w:t>
            </w:r>
          </w:p>
        </w:tc>
        <w:tc>
          <w:tcPr>
            <w:tcW w:w="836" w:type="dxa"/>
            <w:tcBorders>
              <w:top w:val="nil"/>
              <w:bottom w:val="nil"/>
            </w:tcBorders>
          </w:tcPr>
          <w:p>
            <w:pPr>
              <w:pStyle w:val="TableParagraph"/>
              <w:spacing w:line="201" w:lineRule="exact"/>
              <w:ind w:left="69" w:right="44"/>
              <w:jc w:val="center"/>
              <w:rPr>
                <w:sz w:val="18"/>
              </w:rPr>
            </w:pPr>
            <w:r>
              <w:rPr>
                <w:color w:val="010101"/>
                <w:w w:val="85"/>
                <w:sz w:val="18"/>
              </w:rPr>
              <w:t>61,280</w:t>
            </w:r>
          </w:p>
        </w:tc>
        <w:tc>
          <w:tcPr>
            <w:tcW w:w="670" w:type="dxa"/>
            <w:tcBorders>
              <w:top w:val="nil"/>
              <w:bottom w:val="nil"/>
            </w:tcBorders>
          </w:tcPr>
          <w:p>
            <w:pPr>
              <w:pStyle w:val="TableParagraph"/>
              <w:spacing w:line="190" w:lineRule="exact"/>
              <w:ind w:right="97"/>
              <w:jc w:val="right"/>
              <w:rPr>
                <w:sz w:val="18"/>
              </w:rPr>
            </w:pPr>
            <w:r>
              <w:rPr>
                <w:color w:val="010101"/>
                <w:w w:val="85"/>
                <w:sz w:val="18"/>
              </w:rPr>
              <w:t>2,409</w:t>
            </w:r>
          </w:p>
        </w:tc>
        <w:tc>
          <w:tcPr>
            <w:tcW w:w="835" w:type="dxa"/>
            <w:tcBorders>
              <w:top w:val="nil"/>
              <w:bottom w:val="nil"/>
            </w:tcBorders>
          </w:tcPr>
          <w:p>
            <w:pPr>
              <w:pStyle w:val="TableParagraph"/>
              <w:spacing w:line="197" w:lineRule="exact"/>
              <w:ind w:left="66" w:right="26"/>
              <w:jc w:val="center"/>
              <w:rPr>
                <w:sz w:val="18"/>
              </w:rPr>
            </w:pPr>
            <w:r>
              <w:rPr>
                <w:color w:val="010101"/>
                <w:sz w:val="18"/>
              </w:rPr>
              <w:t>60,076</w:t>
            </w:r>
          </w:p>
        </w:tc>
        <w:tc>
          <w:tcPr>
            <w:tcW w:w="992" w:type="dxa"/>
            <w:tcBorders>
              <w:top w:val="nil"/>
              <w:bottom w:val="nil"/>
            </w:tcBorders>
          </w:tcPr>
          <w:p>
            <w:pPr>
              <w:pStyle w:val="TableParagraph"/>
              <w:spacing w:line="190" w:lineRule="exact"/>
              <w:ind w:right="116"/>
              <w:jc w:val="right"/>
              <w:rPr>
                <w:sz w:val="18"/>
              </w:rPr>
            </w:pPr>
            <w:r>
              <w:rPr>
                <w:color w:val="010101"/>
                <w:w w:val="75"/>
                <w:sz w:val="18"/>
              </w:rPr>
              <w:t>726,864</w:t>
            </w:r>
          </w:p>
        </w:tc>
        <w:tc>
          <w:tcPr>
            <w:tcW w:w="752" w:type="dxa"/>
            <w:tcBorders>
              <w:top w:val="nil"/>
              <w:bottom w:val="nil"/>
            </w:tcBorders>
          </w:tcPr>
          <w:p>
            <w:pPr>
              <w:pStyle w:val="TableParagraph"/>
              <w:spacing w:line="193" w:lineRule="exact"/>
              <w:ind w:left="89" w:right="47"/>
              <w:jc w:val="center"/>
              <w:rPr>
                <w:sz w:val="18"/>
              </w:rPr>
            </w:pPr>
            <w:r>
              <w:rPr>
                <w:color w:val="010101"/>
                <w:w w:val="85"/>
                <w:sz w:val="18"/>
              </w:rPr>
              <w:t>11.86</w:t>
            </w:r>
          </w:p>
        </w:tc>
        <w:tc>
          <w:tcPr>
            <w:tcW w:w="398" w:type="dxa"/>
            <w:tcBorders>
              <w:top w:val="nil"/>
              <w:bottom w:val="nil"/>
              <w:right w:val="nil"/>
            </w:tcBorders>
          </w:tcPr>
          <w:p>
            <w:pPr>
              <w:pStyle w:val="TableParagraph"/>
              <w:spacing w:line="201" w:lineRule="exact"/>
              <w:ind w:left="172" w:right="-1"/>
              <w:rPr>
                <w:sz w:val="18"/>
              </w:rPr>
            </w:pPr>
            <w:r>
              <w:rPr>
                <w:color w:val="010101"/>
                <w:spacing w:val="-19"/>
                <w:w w:val="110"/>
                <w:sz w:val="18"/>
              </w:rPr>
              <w:t>67</w:t>
            </w:r>
          </w:p>
        </w:tc>
      </w:tr>
      <w:tr>
        <w:trPr>
          <w:trHeight w:val="198" w:hRule="exact"/>
        </w:trPr>
        <w:tc>
          <w:tcPr>
            <w:tcW w:w="366" w:type="dxa"/>
            <w:tcBorders>
              <w:top w:val="nil"/>
              <w:left w:val="nil"/>
              <w:bottom w:val="nil"/>
            </w:tcBorders>
          </w:tcPr>
          <w:p>
            <w:pPr>
              <w:pStyle w:val="TableParagraph"/>
              <w:spacing w:line="202" w:lineRule="exact"/>
              <w:ind w:left="132" w:right="-14"/>
              <w:rPr>
                <w:sz w:val="18"/>
              </w:rPr>
            </w:pPr>
            <w:r>
              <w:rPr>
                <w:color w:val="010101"/>
                <w:spacing w:val="-18"/>
                <w:w w:val="110"/>
                <w:sz w:val="18"/>
              </w:rPr>
              <w:t>68</w:t>
            </w:r>
          </w:p>
        </w:tc>
        <w:tc>
          <w:tcPr>
            <w:tcW w:w="834" w:type="dxa"/>
            <w:tcBorders>
              <w:top w:val="nil"/>
              <w:bottom w:val="nil"/>
            </w:tcBorders>
          </w:tcPr>
          <w:p>
            <w:pPr>
              <w:pStyle w:val="TableParagraph"/>
              <w:spacing w:line="202" w:lineRule="exact"/>
              <w:ind w:left="82" w:right="22"/>
              <w:jc w:val="center"/>
              <w:rPr>
                <w:sz w:val="18"/>
              </w:rPr>
            </w:pPr>
            <w:r>
              <w:rPr>
                <w:color w:val="010101"/>
                <w:sz w:val="18"/>
              </w:rPr>
              <w:t>.04225</w:t>
            </w:r>
          </w:p>
        </w:tc>
        <w:tc>
          <w:tcPr>
            <w:tcW w:w="836" w:type="dxa"/>
            <w:tcBorders>
              <w:top w:val="nil"/>
              <w:bottom w:val="nil"/>
            </w:tcBorders>
          </w:tcPr>
          <w:p>
            <w:pPr>
              <w:pStyle w:val="TableParagraph"/>
              <w:spacing w:line="199" w:lineRule="exact"/>
              <w:ind w:left="63" w:right="44"/>
              <w:jc w:val="center"/>
              <w:rPr>
                <w:sz w:val="18"/>
              </w:rPr>
            </w:pPr>
            <w:r>
              <w:rPr>
                <w:color w:val="010101"/>
                <w:w w:val="95"/>
                <w:sz w:val="18"/>
              </w:rPr>
              <w:t>58,871</w:t>
            </w:r>
          </w:p>
        </w:tc>
        <w:tc>
          <w:tcPr>
            <w:tcW w:w="670" w:type="dxa"/>
            <w:tcBorders>
              <w:top w:val="nil"/>
              <w:bottom w:val="nil"/>
            </w:tcBorders>
          </w:tcPr>
          <w:p>
            <w:pPr>
              <w:pStyle w:val="TableParagraph"/>
              <w:spacing w:line="192" w:lineRule="exact"/>
              <w:ind w:right="87"/>
              <w:jc w:val="right"/>
              <w:rPr>
                <w:sz w:val="18"/>
              </w:rPr>
            </w:pPr>
            <w:r>
              <w:rPr>
                <w:color w:val="010101"/>
                <w:w w:val="85"/>
                <w:sz w:val="18"/>
              </w:rPr>
              <w:t>2,487</w:t>
            </w:r>
          </w:p>
        </w:tc>
        <w:tc>
          <w:tcPr>
            <w:tcW w:w="835" w:type="dxa"/>
            <w:tcBorders>
              <w:top w:val="nil"/>
              <w:bottom w:val="nil"/>
            </w:tcBorders>
          </w:tcPr>
          <w:p>
            <w:pPr>
              <w:pStyle w:val="TableParagraph"/>
              <w:spacing w:line="192" w:lineRule="exact"/>
              <w:ind w:left="51" w:right="26"/>
              <w:jc w:val="center"/>
              <w:rPr>
                <w:sz w:val="18"/>
              </w:rPr>
            </w:pPr>
            <w:r>
              <w:rPr>
                <w:color w:val="010101"/>
                <w:w w:val="95"/>
                <w:sz w:val="18"/>
              </w:rPr>
              <w:t>57,627</w:t>
            </w:r>
          </w:p>
        </w:tc>
        <w:tc>
          <w:tcPr>
            <w:tcW w:w="992" w:type="dxa"/>
            <w:tcBorders>
              <w:top w:val="nil"/>
              <w:bottom w:val="nil"/>
            </w:tcBorders>
          </w:tcPr>
          <w:p>
            <w:pPr>
              <w:pStyle w:val="TableParagraph"/>
              <w:spacing w:line="188" w:lineRule="exact"/>
              <w:ind w:right="95"/>
              <w:jc w:val="right"/>
              <w:rPr>
                <w:sz w:val="18"/>
              </w:rPr>
            </w:pPr>
            <w:r>
              <w:rPr>
                <w:color w:val="010101"/>
                <w:w w:val="80"/>
                <w:sz w:val="18"/>
              </w:rPr>
              <w:t>666,788</w:t>
            </w:r>
          </w:p>
        </w:tc>
        <w:tc>
          <w:tcPr>
            <w:tcW w:w="752" w:type="dxa"/>
            <w:tcBorders>
              <w:top w:val="nil"/>
              <w:bottom w:val="nil"/>
            </w:tcBorders>
          </w:tcPr>
          <w:p>
            <w:pPr>
              <w:pStyle w:val="TableParagraph"/>
              <w:spacing w:line="195" w:lineRule="exact"/>
              <w:ind w:left="90" w:right="46"/>
              <w:jc w:val="center"/>
              <w:rPr>
                <w:sz w:val="18"/>
              </w:rPr>
            </w:pPr>
            <w:r>
              <w:rPr>
                <w:color w:val="010101"/>
                <w:w w:val="85"/>
                <w:sz w:val="18"/>
              </w:rPr>
              <w:t>11.33</w:t>
            </w:r>
          </w:p>
        </w:tc>
        <w:tc>
          <w:tcPr>
            <w:tcW w:w="398" w:type="dxa"/>
            <w:tcBorders>
              <w:top w:val="nil"/>
              <w:bottom w:val="nil"/>
              <w:right w:val="nil"/>
            </w:tcBorders>
          </w:tcPr>
          <w:p>
            <w:pPr>
              <w:pStyle w:val="TableParagraph"/>
              <w:spacing w:line="199" w:lineRule="exact"/>
              <w:ind w:left="175" w:right="-6"/>
              <w:rPr>
                <w:sz w:val="18"/>
              </w:rPr>
            </w:pPr>
            <w:r>
              <w:rPr>
                <w:color w:val="010101"/>
                <w:spacing w:val="-18"/>
                <w:w w:val="110"/>
                <w:sz w:val="18"/>
              </w:rPr>
              <w:t>68</w:t>
            </w:r>
          </w:p>
        </w:tc>
      </w:tr>
      <w:tr>
        <w:trPr>
          <w:trHeight w:val="295" w:hRule="exact"/>
        </w:trPr>
        <w:tc>
          <w:tcPr>
            <w:tcW w:w="366" w:type="dxa"/>
            <w:tcBorders>
              <w:top w:val="nil"/>
              <w:left w:val="nil"/>
              <w:bottom w:val="nil"/>
            </w:tcBorders>
          </w:tcPr>
          <w:p>
            <w:pPr>
              <w:pStyle w:val="TableParagraph"/>
              <w:spacing w:line="202" w:lineRule="exact"/>
              <w:ind w:left="132" w:right="-14"/>
              <w:rPr>
                <w:sz w:val="18"/>
              </w:rPr>
            </w:pPr>
            <w:r>
              <w:rPr>
                <w:color w:val="010101"/>
                <w:spacing w:val="-19"/>
                <w:w w:val="110"/>
                <w:sz w:val="18"/>
              </w:rPr>
              <w:t>69</w:t>
            </w:r>
          </w:p>
        </w:tc>
        <w:tc>
          <w:tcPr>
            <w:tcW w:w="834" w:type="dxa"/>
            <w:tcBorders>
              <w:top w:val="nil"/>
              <w:bottom w:val="nil"/>
            </w:tcBorders>
          </w:tcPr>
          <w:p>
            <w:pPr>
              <w:pStyle w:val="TableParagraph"/>
              <w:spacing w:line="202" w:lineRule="exact"/>
              <w:ind w:left="85" w:right="22"/>
              <w:jc w:val="center"/>
              <w:rPr>
                <w:sz w:val="18"/>
              </w:rPr>
            </w:pPr>
            <w:r>
              <w:rPr>
                <w:color w:val="010101"/>
                <w:w w:val="95"/>
                <w:sz w:val="18"/>
              </w:rPr>
              <w:t>.04538</w:t>
            </w:r>
          </w:p>
        </w:tc>
        <w:tc>
          <w:tcPr>
            <w:tcW w:w="836" w:type="dxa"/>
            <w:tcBorders>
              <w:top w:val="nil"/>
              <w:bottom w:val="nil"/>
            </w:tcBorders>
          </w:tcPr>
          <w:p>
            <w:pPr>
              <w:pStyle w:val="TableParagraph"/>
              <w:spacing w:line="202" w:lineRule="exact"/>
              <w:ind w:left="73" w:right="44"/>
              <w:jc w:val="center"/>
              <w:rPr>
                <w:sz w:val="18"/>
              </w:rPr>
            </w:pPr>
            <w:r>
              <w:rPr>
                <w:color w:val="010101"/>
                <w:w w:val="90"/>
                <w:sz w:val="18"/>
              </w:rPr>
              <w:t>56,384</w:t>
            </w:r>
          </w:p>
        </w:tc>
        <w:tc>
          <w:tcPr>
            <w:tcW w:w="670" w:type="dxa"/>
            <w:tcBorders>
              <w:top w:val="nil"/>
              <w:bottom w:val="nil"/>
            </w:tcBorders>
          </w:tcPr>
          <w:p>
            <w:pPr>
              <w:pStyle w:val="TableParagraph"/>
              <w:spacing w:line="192" w:lineRule="exact"/>
              <w:ind w:right="85"/>
              <w:jc w:val="right"/>
              <w:rPr>
                <w:sz w:val="18"/>
              </w:rPr>
            </w:pPr>
            <w:r>
              <w:rPr>
                <w:color w:val="010101"/>
                <w:w w:val="85"/>
                <w:sz w:val="18"/>
              </w:rPr>
              <w:t>2,559</w:t>
            </w:r>
          </w:p>
        </w:tc>
        <w:tc>
          <w:tcPr>
            <w:tcW w:w="835" w:type="dxa"/>
            <w:tcBorders>
              <w:top w:val="nil"/>
              <w:bottom w:val="nil"/>
            </w:tcBorders>
          </w:tcPr>
          <w:p>
            <w:pPr>
              <w:pStyle w:val="TableParagraph"/>
              <w:spacing w:line="192" w:lineRule="exact"/>
              <w:ind w:left="62" w:right="26"/>
              <w:jc w:val="center"/>
              <w:rPr>
                <w:sz w:val="18"/>
              </w:rPr>
            </w:pPr>
            <w:r>
              <w:rPr>
                <w:color w:val="010101"/>
                <w:w w:val="95"/>
                <w:sz w:val="18"/>
              </w:rPr>
              <w:t>55,105</w:t>
            </w:r>
          </w:p>
        </w:tc>
        <w:tc>
          <w:tcPr>
            <w:tcW w:w="992" w:type="dxa"/>
            <w:tcBorders>
              <w:top w:val="nil"/>
              <w:bottom w:val="nil"/>
            </w:tcBorders>
          </w:tcPr>
          <w:p>
            <w:pPr>
              <w:pStyle w:val="TableParagraph"/>
              <w:spacing w:line="188" w:lineRule="exact"/>
              <w:ind w:right="114"/>
              <w:jc w:val="right"/>
              <w:rPr>
                <w:sz w:val="18"/>
              </w:rPr>
            </w:pPr>
            <w:r>
              <w:rPr>
                <w:color w:val="010101"/>
                <w:w w:val="70"/>
                <w:sz w:val="18"/>
              </w:rPr>
              <w:t>609,161</w:t>
            </w:r>
          </w:p>
        </w:tc>
        <w:tc>
          <w:tcPr>
            <w:tcW w:w="752" w:type="dxa"/>
            <w:tcBorders>
              <w:top w:val="nil"/>
              <w:bottom w:val="nil"/>
            </w:tcBorders>
          </w:tcPr>
          <w:p>
            <w:pPr>
              <w:pStyle w:val="TableParagraph"/>
              <w:spacing w:line="195" w:lineRule="exact"/>
              <w:ind w:left="90" w:right="38"/>
              <w:jc w:val="center"/>
              <w:rPr>
                <w:sz w:val="18"/>
              </w:rPr>
            </w:pPr>
            <w:r>
              <w:rPr>
                <w:color w:val="010101"/>
                <w:sz w:val="18"/>
              </w:rPr>
              <w:t>10.80</w:t>
            </w:r>
          </w:p>
        </w:tc>
        <w:tc>
          <w:tcPr>
            <w:tcW w:w="398" w:type="dxa"/>
            <w:tcBorders>
              <w:top w:val="nil"/>
              <w:bottom w:val="nil"/>
              <w:right w:val="nil"/>
            </w:tcBorders>
          </w:tcPr>
          <w:p>
            <w:pPr>
              <w:pStyle w:val="TableParagraph"/>
              <w:spacing w:line="199" w:lineRule="exact"/>
              <w:ind w:left="175" w:right="-6"/>
              <w:rPr>
                <w:sz w:val="18"/>
              </w:rPr>
            </w:pPr>
            <w:r>
              <w:rPr>
                <w:color w:val="010101"/>
                <w:spacing w:val="-18"/>
                <w:w w:val="110"/>
                <w:sz w:val="18"/>
              </w:rPr>
              <w:t>69</w:t>
            </w:r>
          </w:p>
        </w:tc>
      </w:tr>
      <w:tr>
        <w:trPr>
          <w:trHeight w:val="302" w:hRule="exact"/>
        </w:trPr>
        <w:tc>
          <w:tcPr>
            <w:tcW w:w="366" w:type="dxa"/>
            <w:tcBorders>
              <w:top w:val="nil"/>
              <w:left w:val="nil"/>
              <w:bottom w:val="nil"/>
            </w:tcBorders>
          </w:tcPr>
          <w:p>
            <w:pPr>
              <w:pStyle w:val="TableParagraph"/>
              <w:spacing w:before="99"/>
              <w:ind w:left="139" w:right="-14"/>
              <w:rPr>
                <w:sz w:val="18"/>
              </w:rPr>
            </w:pPr>
            <w:r>
              <w:rPr>
                <w:color w:val="010101"/>
                <w:spacing w:val="-18"/>
                <w:w w:val="105"/>
                <w:sz w:val="18"/>
              </w:rPr>
              <w:t>70</w:t>
            </w:r>
          </w:p>
        </w:tc>
        <w:tc>
          <w:tcPr>
            <w:tcW w:w="834" w:type="dxa"/>
            <w:tcBorders>
              <w:top w:val="nil"/>
              <w:bottom w:val="nil"/>
            </w:tcBorders>
          </w:tcPr>
          <w:p>
            <w:pPr>
              <w:pStyle w:val="TableParagraph"/>
              <w:spacing w:before="99"/>
              <w:ind w:left="72" w:right="22"/>
              <w:jc w:val="center"/>
              <w:rPr>
                <w:sz w:val="18"/>
              </w:rPr>
            </w:pPr>
            <w:r>
              <w:rPr>
                <w:color w:val="010101"/>
                <w:w w:val="95"/>
                <w:sz w:val="18"/>
              </w:rPr>
              <w:t>.04871</w:t>
            </w:r>
          </w:p>
        </w:tc>
        <w:tc>
          <w:tcPr>
            <w:tcW w:w="836" w:type="dxa"/>
            <w:tcBorders>
              <w:top w:val="nil"/>
              <w:bottom w:val="nil"/>
            </w:tcBorders>
          </w:tcPr>
          <w:p>
            <w:pPr>
              <w:pStyle w:val="TableParagraph"/>
              <w:spacing w:before="103"/>
              <w:ind w:left="77" w:right="44"/>
              <w:jc w:val="center"/>
              <w:rPr>
                <w:sz w:val="18"/>
              </w:rPr>
            </w:pPr>
            <w:r>
              <w:rPr>
                <w:color w:val="010101"/>
                <w:w w:val="90"/>
                <w:sz w:val="18"/>
              </w:rPr>
              <w:t>53,825</w:t>
            </w:r>
          </w:p>
        </w:tc>
        <w:tc>
          <w:tcPr>
            <w:tcW w:w="670" w:type="dxa"/>
            <w:tcBorders>
              <w:top w:val="nil"/>
              <w:bottom w:val="nil"/>
            </w:tcBorders>
          </w:tcPr>
          <w:p>
            <w:pPr>
              <w:pStyle w:val="TableParagraph"/>
              <w:spacing w:before="92"/>
              <w:ind w:right="107"/>
              <w:jc w:val="right"/>
              <w:rPr>
                <w:sz w:val="18"/>
              </w:rPr>
            </w:pPr>
            <w:r>
              <w:rPr>
                <w:color w:val="010101"/>
                <w:w w:val="85"/>
                <w:sz w:val="18"/>
              </w:rPr>
              <w:t>2,621</w:t>
            </w:r>
          </w:p>
        </w:tc>
        <w:tc>
          <w:tcPr>
            <w:tcW w:w="835" w:type="dxa"/>
            <w:tcBorders>
              <w:top w:val="nil"/>
              <w:bottom w:val="nil"/>
            </w:tcBorders>
          </w:tcPr>
          <w:p>
            <w:pPr>
              <w:pStyle w:val="TableParagraph"/>
              <w:spacing w:before="88"/>
              <w:ind w:left="66" w:right="26"/>
              <w:jc w:val="center"/>
              <w:rPr>
                <w:sz w:val="18"/>
              </w:rPr>
            </w:pPr>
            <w:r>
              <w:rPr>
                <w:color w:val="010101"/>
                <w:sz w:val="18"/>
              </w:rPr>
              <w:t>52,514</w:t>
            </w:r>
          </w:p>
        </w:tc>
        <w:tc>
          <w:tcPr>
            <w:tcW w:w="992" w:type="dxa"/>
            <w:tcBorders>
              <w:top w:val="nil"/>
              <w:bottom w:val="nil"/>
            </w:tcBorders>
          </w:tcPr>
          <w:p>
            <w:pPr>
              <w:pStyle w:val="TableParagraph"/>
              <w:spacing w:before="80"/>
              <w:ind w:right="102"/>
              <w:jc w:val="right"/>
              <w:rPr>
                <w:sz w:val="19"/>
              </w:rPr>
            </w:pPr>
            <w:r>
              <w:rPr>
                <w:color w:val="010101"/>
                <w:w w:val="75"/>
                <w:sz w:val="19"/>
              </w:rPr>
              <w:t>554,056</w:t>
            </w:r>
          </w:p>
        </w:tc>
        <w:tc>
          <w:tcPr>
            <w:tcW w:w="752" w:type="dxa"/>
            <w:tcBorders>
              <w:top w:val="nil"/>
              <w:bottom w:val="nil"/>
            </w:tcBorders>
          </w:tcPr>
          <w:p>
            <w:pPr>
              <w:pStyle w:val="TableParagraph"/>
              <w:spacing w:before="95"/>
              <w:ind w:left="90" w:right="37"/>
              <w:jc w:val="center"/>
              <w:rPr>
                <w:sz w:val="18"/>
              </w:rPr>
            </w:pPr>
            <w:r>
              <w:rPr>
                <w:color w:val="010101"/>
                <w:w w:val="90"/>
                <w:sz w:val="18"/>
              </w:rPr>
              <w:t>10.29</w:t>
            </w:r>
          </w:p>
        </w:tc>
        <w:tc>
          <w:tcPr>
            <w:tcW w:w="398" w:type="dxa"/>
            <w:tcBorders>
              <w:top w:val="nil"/>
              <w:bottom w:val="nil"/>
              <w:right w:val="nil"/>
            </w:tcBorders>
          </w:tcPr>
          <w:p>
            <w:pPr>
              <w:pStyle w:val="TableParagraph"/>
              <w:spacing w:before="92"/>
              <w:ind w:left="175" w:right="-13"/>
              <w:rPr>
                <w:sz w:val="18"/>
              </w:rPr>
            </w:pPr>
            <w:r>
              <w:rPr>
                <w:color w:val="010101"/>
                <w:spacing w:val="-20"/>
                <w:w w:val="115"/>
                <w:sz w:val="18"/>
              </w:rPr>
              <w:t>70</w:t>
            </w:r>
          </w:p>
        </w:tc>
      </w:tr>
      <w:tr>
        <w:trPr>
          <w:trHeight w:val="198" w:hRule="exact"/>
        </w:trPr>
        <w:tc>
          <w:tcPr>
            <w:tcW w:w="366" w:type="dxa"/>
            <w:tcBorders>
              <w:top w:val="nil"/>
              <w:left w:val="nil"/>
              <w:bottom w:val="nil"/>
            </w:tcBorders>
          </w:tcPr>
          <w:p>
            <w:pPr>
              <w:pStyle w:val="TableParagraph"/>
              <w:spacing w:line="199" w:lineRule="exact"/>
              <w:ind w:left="136" w:right="-14"/>
              <w:rPr>
                <w:sz w:val="18"/>
              </w:rPr>
            </w:pPr>
            <w:r>
              <w:rPr>
                <w:color w:val="010101"/>
                <w:sz w:val="18"/>
              </w:rPr>
              <w:t>71</w:t>
            </w:r>
          </w:p>
        </w:tc>
        <w:tc>
          <w:tcPr>
            <w:tcW w:w="834" w:type="dxa"/>
            <w:tcBorders>
              <w:top w:val="nil"/>
              <w:bottom w:val="nil"/>
            </w:tcBorders>
          </w:tcPr>
          <w:p>
            <w:pPr>
              <w:pStyle w:val="TableParagraph"/>
              <w:spacing w:line="202" w:lineRule="exact"/>
              <w:ind w:left="94" w:right="6"/>
              <w:jc w:val="center"/>
              <w:rPr>
                <w:sz w:val="18"/>
              </w:rPr>
            </w:pPr>
            <w:r>
              <w:rPr>
                <w:color w:val="010101"/>
                <w:sz w:val="18"/>
              </w:rPr>
              <w:t>.05230</w:t>
            </w:r>
          </w:p>
        </w:tc>
        <w:tc>
          <w:tcPr>
            <w:tcW w:w="836" w:type="dxa"/>
            <w:tcBorders>
              <w:top w:val="nil"/>
              <w:bottom w:val="nil"/>
            </w:tcBorders>
          </w:tcPr>
          <w:p>
            <w:pPr>
              <w:pStyle w:val="TableParagraph"/>
              <w:spacing w:line="199" w:lineRule="exact"/>
              <w:ind w:left="69" w:right="44"/>
              <w:jc w:val="center"/>
              <w:rPr>
                <w:sz w:val="18"/>
              </w:rPr>
            </w:pPr>
            <w:r>
              <w:rPr>
                <w:color w:val="010101"/>
                <w:w w:val="85"/>
                <w:sz w:val="18"/>
              </w:rPr>
              <w:t>51,204</w:t>
            </w:r>
          </w:p>
        </w:tc>
        <w:tc>
          <w:tcPr>
            <w:tcW w:w="670" w:type="dxa"/>
            <w:tcBorders>
              <w:top w:val="nil"/>
              <w:bottom w:val="nil"/>
            </w:tcBorders>
          </w:tcPr>
          <w:p>
            <w:pPr>
              <w:pStyle w:val="TableParagraph"/>
              <w:spacing w:line="195" w:lineRule="exact"/>
              <w:ind w:right="75"/>
              <w:jc w:val="right"/>
              <w:rPr>
                <w:sz w:val="18"/>
              </w:rPr>
            </w:pPr>
            <w:r>
              <w:rPr>
                <w:color w:val="010101"/>
                <w:sz w:val="18"/>
              </w:rPr>
              <w:t>2,678</w:t>
            </w:r>
          </w:p>
        </w:tc>
        <w:tc>
          <w:tcPr>
            <w:tcW w:w="835" w:type="dxa"/>
            <w:tcBorders>
              <w:top w:val="nil"/>
              <w:bottom w:val="nil"/>
            </w:tcBorders>
          </w:tcPr>
          <w:p>
            <w:pPr>
              <w:pStyle w:val="TableParagraph"/>
              <w:spacing w:line="188" w:lineRule="exact"/>
              <w:ind w:left="66" w:right="26"/>
              <w:jc w:val="center"/>
              <w:rPr>
                <w:sz w:val="18"/>
              </w:rPr>
            </w:pPr>
            <w:r>
              <w:rPr>
                <w:color w:val="010101"/>
                <w:sz w:val="18"/>
              </w:rPr>
              <w:t>49,865</w:t>
            </w:r>
          </w:p>
        </w:tc>
        <w:tc>
          <w:tcPr>
            <w:tcW w:w="992" w:type="dxa"/>
            <w:tcBorders>
              <w:top w:val="nil"/>
              <w:bottom w:val="nil"/>
            </w:tcBorders>
          </w:tcPr>
          <w:p>
            <w:pPr>
              <w:pStyle w:val="TableParagraph"/>
              <w:spacing w:line="192" w:lineRule="exact"/>
              <w:ind w:right="83"/>
              <w:jc w:val="right"/>
              <w:rPr>
                <w:sz w:val="18"/>
              </w:rPr>
            </w:pPr>
            <w:r>
              <w:rPr>
                <w:color w:val="010101"/>
                <w:w w:val="80"/>
                <w:sz w:val="18"/>
              </w:rPr>
              <w:t>501,542</w:t>
            </w:r>
          </w:p>
        </w:tc>
        <w:tc>
          <w:tcPr>
            <w:tcW w:w="752" w:type="dxa"/>
            <w:tcBorders>
              <w:top w:val="nil"/>
              <w:bottom w:val="nil"/>
            </w:tcBorders>
          </w:tcPr>
          <w:p>
            <w:pPr>
              <w:pStyle w:val="TableParagraph"/>
              <w:spacing w:line="195" w:lineRule="exact"/>
              <w:ind w:left="167" w:right="47"/>
              <w:jc w:val="center"/>
              <w:rPr>
                <w:sz w:val="18"/>
              </w:rPr>
            </w:pPr>
            <w:r>
              <w:rPr>
                <w:color w:val="010101"/>
                <w:sz w:val="18"/>
              </w:rPr>
              <w:t>9.80</w:t>
            </w:r>
          </w:p>
        </w:tc>
        <w:tc>
          <w:tcPr>
            <w:tcW w:w="398" w:type="dxa"/>
            <w:tcBorders>
              <w:top w:val="nil"/>
              <w:bottom w:val="nil"/>
              <w:right w:val="nil"/>
            </w:tcBorders>
          </w:tcPr>
          <w:p>
            <w:pPr>
              <w:pStyle w:val="TableParagraph"/>
              <w:spacing w:line="195" w:lineRule="exact"/>
              <w:ind w:left="175" w:right="-20"/>
              <w:rPr>
                <w:sz w:val="18"/>
              </w:rPr>
            </w:pPr>
            <w:r>
              <w:rPr>
                <w:color w:val="010101"/>
                <w:sz w:val="18"/>
              </w:rPr>
              <w:t>71</w:t>
            </w:r>
          </w:p>
        </w:tc>
      </w:tr>
      <w:tr>
        <w:trPr>
          <w:trHeight w:val="198" w:hRule="exact"/>
        </w:trPr>
        <w:tc>
          <w:tcPr>
            <w:tcW w:w="366" w:type="dxa"/>
            <w:tcBorders>
              <w:top w:val="nil"/>
              <w:left w:val="nil"/>
              <w:bottom w:val="nil"/>
            </w:tcBorders>
          </w:tcPr>
          <w:p>
            <w:pPr>
              <w:pStyle w:val="TableParagraph"/>
              <w:spacing w:line="195" w:lineRule="exact"/>
              <w:ind w:left="136" w:right="-14"/>
              <w:rPr>
                <w:sz w:val="18"/>
              </w:rPr>
            </w:pPr>
            <w:r>
              <w:rPr>
                <w:color w:val="010101"/>
                <w:sz w:val="18"/>
              </w:rPr>
              <w:t>72</w:t>
            </w:r>
          </w:p>
        </w:tc>
        <w:tc>
          <w:tcPr>
            <w:tcW w:w="834" w:type="dxa"/>
            <w:tcBorders>
              <w:top w:val="nil"/>
              <w:bottom w:val="nil"/>
            </w:tcBorders>
          </w:tcPr>
          <w:p>
            <w:pPr>
              <w:pStyle w:val="TableParagraph"/>
              <w:spacing w:line="202" w:lineRule="exact"/>
              <w:ind w:left="84" w:right="22"/>
              <w:jc w:val="center"/>
              <w:rPr>
                <w:sz w:val="18"/>
              </w:rPr>
            </w:pPr>
            <w:r>
              <w:rPr>
                <w:color w:val="010101"/>
                <w:w w:val="85"/>
                <w:sz w:val="18"/>
              </w:rPr>
              <w:t>.05623</w:t>
            </w:r>
          </w:p>
        </w:tc>
        <w:tc>
          <w:tcPr>
            <w:tcW w:w="836" w:type="dxa"/>
            <w:tcBorders>
              <w:top w:val="nil"/>
              <w:bottom w:val="nil"/>
            </w:tcBorders>
          </w:tcPr>
          <w:p>
            <w:pPr>
              <w:pStyle w:val="TableParagraph"/>
              <w:spacing w:line="202" w:lineRule="exact"/>
              <w:ind w:left="71" w:right="44"/>
              <w:jc w:val="center"/>
              <w:rPr>
                <w:sz w:val="18"/>
              </w:rPr>
            </w:pPr>
            <w:r>
              <w:rPr>
                <w:color w:val="010101"/>
                <w:sz w:val="18"/>
              </w:rPr>
              <w:t>48,526</w:t>
            </w:r>
          </w:p>
        </w:tc>
        <w:tc>
          <w:tcPr>
            <w:tcW w:w="670" w:type="dxa"/>
            <w:tcBorders>
              <w:top w:val="nil"/>
              <w:bottom w:val="nil"/>
            </w:tcBorders>
          </w:tcPr>
          <w:p>
            <w:pPr>
              <w:pStyle w:val="TableParagraph"/>
              <w:spacing w:line="195" w:lineRule="exact"/>
              <w:ind w:right="100"/>
              <w:jc w:val="right"/>
              <w:rPr>
                <w:sz w:val="18"/>
              </w:rPr>
            </w:pPr>
            <w:r>
              <w:rPr>
                <w:color w:val="010101"/>
                <w:w w:val="80"/>
                <w:sz w:val="18"/>
              </w:rPr>
              <w:t>2,729</w:t>
            </w:r>
          </w:p>
        </w:tc>
        <w:tc>
          <w:tcPr>
            <w:tcW w:w="835" w:type="dxa"/>
            <w:tcBorders>
              <w:top w:val="nil"/>
              <w:bottom w:val="nil"/>
            </w:tcBorders>
          </w:tcPr>
          <w:p>
            <w:pPr>
              <w:pStyle w:val="TableParagraph"/>
              <w:spacing w:line="188" w:lineRule="exact"/>
              <w:ind w:left="40" w:right="26"/>
              <w:jc w:val="center"/>
              <w:rPr>
                <w:sz w:val="18"/>
              </w:rPr>
            </w:pPr>
            <w:r>
              <w:rPr>
                <w:color w:val="010101"/>
                <w:w w:val="95"/>
                <w:sz w:val="18"/>
              </w:rPr>
              <w:t>47,161</w:t>
            </w:r>
          </w:p>
        </w:tc>
        <w:tc>
          <w:tcPr>
            <w:tcW w:w="992" w:type="dxa"/>
            <w:tcBorders>
              <w:top w:val="nil"/>
              <w:bottom w:val="nil"/>
            </w:tcBorders>
          </w:tcPr>
          <w:p>
            <w:pPr>
              <w:pStyle w:val="TableParagraph"/>
              <w:spacing w:line="192" w:lineRule="exact"/>
              <w:ind w:right="102"/>
              <w:jc w:val="right"/>
              <w:rPr>
                <w:sz w:val="18"/>
              </w:rPr>
            </w:pPr>
            <w:r>
              <w:rPr>
                <w:color w:val="010101"/>
                <w:w w:val="90"/>
                <w:sz w:val="18"/>
              </w:rPr>
              <w:t>451,677</w:t>
            </w:r>
          </w:p>
        </w:tc>
        <w:tc>
          <w:tcPr>
            <w:tcW w:w="752" w:type="dxa"/>
            <w:tcBorders>
              <w:top w:val="nil"/>
              <w:bottom w:val="nil"/>
            </w:tcBorders>
          </w:tcPr>
          <w:p>
            <w:pPr>
              <w:pStyle w:val="TableParagraph"/>
              <w:spacing w:line="192" w:lineRule="exact"/>
              <w:ind w:left="142" w:right="47"/>
              <w:jc w:val="center"/>
              <w:rPr>
                <w:sz w:val="18"/>
              </w:rPr>
            </w:pPr>
            <w:r>
              <w:rPr>
                <w:color w:val="010101"/>
                <w:sz w:val="18"/>
              </w:rPr>
              <w:t>9.31</w:t>
            </w:r>
          </w:p>
        </w:tc>
        <w:tc>
          <w:tcPr>
            <w:tcW w:w="398" w:type="dxa"/>
            <w:tcBorders>
              <w:top w:val="nil"/>
              <w:bottom w:val="nil"/>
              <w:right w:val="nil"/>
            </w:tcBorders>
          </w:tcPr>
          <w:p>
            <w:pPr>
              <w:pStyle w:val="TableParagraph"/>
              <w:spacing w:line="192" w:lineRule="exact"/>
              <w:ind w:left="175" w:right="-3"/>
              <w:rPr>
                <w:sz w:val="18"/>
              </w:rPr>
            </w:pPr>
            <w:r>
              <w:rPr>
                <w:color w:val="010101"/>
                <w:spacing w:val="-14"/>
                <w:w w:val="105"/>
                <w:sz w:val="18"/>
              </w:rPr>
              <w:t>72</w:t>
            </w:r>
          </w:p>
        </w:tc>
      </w:tr>
      <w:tr>
        <w:trPr>
          <w:trHeight w:val="495" w:hRule="exact"/>
        </w:trPr>
        <w:tc>
          <w:tcPr>
            <w:tcW w:w="366" w:type="dxa"/>
            <w:tcBorders>
              <w:top w:val="nil"/>
              <w:left w:val="nil"/>
            </w:tcBorders>
          </w:tcPr>
          <w:p>
            <w:pPr>
              <w:pStyle w:val="TableParagraph"/>
              <w:spacing w:line="190" w:lineRule="exact"/>
              <w:ind w:left="136" w:right="-14"/>
              <w:rPr>
                <w:sz w:val="18"/>
              </w:rPr>
            </w:pPr>
            <w:r>
              <w:rPr>
                <w:color w:val="010101"/>
                <w:sz w:val="18"/>
              </w:rPr>
              <w:t>73</w:t>
            </w:r>
          </w:p>
          <w:p>
            <w:pPr>
              <w:pStyle w:val="TableParagraph"/>
              <w:spacing w:line="199" w:lineRule="exact"/>
              <w:ind w:left="132" w:right="-14"/>
              <w:rPr>
                <w:sz w:val="18"/>
              </w:rPr>
            </w:pPr>
            <w:r>
              <w:rPr>
                <w:color w:val="010101"/>
                <w:spacing w:val="-21"/>
                <w:w w:val="110"/>
                <w:sz w:val="18"/>
              </w:rPr>
              <w:t>74</w:t>
            </w:r>
          </w:p>
        </w:tc>
        <w:tc>
          <w:tcPr>
            <w:tcW w:w="834" w:type="dxa"/>
            <w:tcBorders>
              <w:top w:val="nil"/>
            </w:tcBorders>
          </w:tcPr>
          <w:p>
            <w:pPr>
              <w:pStyle w:val="TableParagraph"/>
              <w:spacing w:line="176" w:lineRule="exact"/>
              <w:ind w:left="208"/>
              <w:rPr>
                <w:rFonts w:ascii="Times New Roman"/>
                <w:sz w:val="18"/>
              </w:rPr>
            </w:pPr>
            <w:r>
              <w:rPr>
                <w:rFonts w:ascii="Times New Roman"/>
                <w:color w:val="010101"/>
                <w:sz w:val="18"/>
              </w:rPr>
              <w:t>.06060</w:t>
            </w:r>
          </w:p>
          <w:p>
            <w:pPr>
              <w:pStyle w:val="TableParagraph"/>
              <w:spacing w:line="207" w:lineRule="exact"/>
              <w:ind w:left="208"/>
              <w:rPr>
                <w:rFonts w:ascii="Times New Roman"/>
                <w:sz w:val="19"/>
              </w:rPr>
            </w:pPr>
            <w:r>
              <w:rPr>
                <w:rFonts w:ascii="Times New Roman"/>
                <w:color w:val="010101"/>
                <w:sz w:val="19"/>
              </w:rPr>
              <w:t>.06542</w:t>
            </w:r>
          </w:p>
        </w:tc>
        <w:tc>
          <w:tcPr>
            <w:tcW w:w="836" w:type="dxa"/>
            <w:tcBorders>
              <w:top w:val="nil"/>
            </w:tcBorders>
          </w:tcPr>
          <w:p>
            <w:pPr>
              <w:pStyle w:val="TableParagraph"/>
              <w:spacing w:line="198" w:lineRule="exact"/>
              <w:ind w:left="181"/>
              <w:rPr>
                <w:sz w:val="18"/>
              </w:rPr>
            </w:pPr>
            <w:r>
              <w:rPr>
                <w:color w:val="010101"/>
                <w:spacing w:val="-23"/>
                <w:sz w:val="18"/>
              </w:rPr>
              <w:t>45,797</w:t>
            </w:r>
          </w:p>
          <w:p>
            <w:pPr>
              <w:pStyle w:val="TableParagraph"/>
              <w:spacing w:line="199" w:lineRule="exact"/>
              <w:ind w:left="181"/>
              <w:rPr>
                <w:sz w:val="18"/>
              </w:rPr>
            </w:pPr>
            <w:r>
              <w:rPr>
                <w:color w:val="010101"/>
                <w:spacing w:val="-17"/>
                <w:sz w:val="18"/>
              </w:rPr>
              <w:t>43,022</w:t>
            </w:r>
          </w:p>
        </w:tc>
        <w:tc>
          <w:tcPr>
            <w:tcW w:w="670" w:type="dxa"/>
            <w:tcBorders>
              <w:top w:val="nil"/>
            </w:tcBorders>
          </w:tcPr>
          <w:p>
            <w:pPr>
              <w:pStyle w:val="TableParagraph"/>
              <w:spacing w:line="192" w:lineRule="exact"/>
              <w:ind w:left="141"/>
              <w:rPr>
                <w:sz w:val="18"/>
              </w:rPr>
            </w:pPr>
            <w:r>
              <w:rPr>
                <w:color w:val="010101"/>
                <w:spacing w:val="-14"/>
                <w:sz w:val="18"/>
              </w:rPr>
              <w:t>2,775</w:t>
            </w:r>
          </w:p>
          <w:p>
            <w:pPr>
              <w:pStyle w:val="TableParagraph"/>
              <w:spacing w:line="201" w:lineRule="exact"/>
              <w:ind w:left="145"/>
              <w:rPr>
                <w:sz w:val="18"/>
              </w:rPr>
            </w:pPr>
            <w:r>
              <w:rPr>
                <w:color w:val="010101"/>
                <w:spacing w:val="-8"/>
                <w:w w:val="95"/>
                <w:sz w:val="18"/>
              </w:rPr>
              <w:t>2,815</w:t>
            </w:r>
          </w:p>
        </w:tc>
        <w:tc>
          <w:tcPr>
            <w:tcW w:w="835" w:type="dxa"/>
            <w:tcBorders>
              <w:top w:val="nil"/>
            </w:tcBorders>
          </w:tcPr>
          <w:p>
            <w:pPr>
              <w:pStyle w:val="TableParagraph"/>
              <w:spacing w:line="187" w:lineRule="exact"/>
              <w:ind w:left="171" w:right="-19"/>
              <w:rPr>
                <w:sz w:val="18"/>
              </w:rPr>
            </w:pPr>
            <w:r>
              <w:rPr>
                <w:color w:val="010101"/>
                <w:sz w:val="18"/>
              </w:rPr>
              <w:t>44,410</w:t>
            </w:r>
          </w:p>
          <w:p>
            <w:pPr>
              <w:pStyle w:val="TableParagraph"/>
              <w:spacing w:line="203" w:lineRule="exact"/>
              <w:ind w:left="174" w:right="-19"/>
              <w:rPr>
                <w:sz w:val="18"/>
              </w:rPr>
            </w:pPr>
            <w:r>
              <w:rPr>
                <w:color w:val="010101"/>
                <w:w w:val="90"/>
                <w:sz w:val="18"/>
              </w:rPr>
              <w:t>41,615</w:t>
            </w:r>
          </w:p>
        </w:tc>
        <w:tc>
          <w:tcPr>
            <w:tcW w:w="992" w:type="dxa"/>
            <w:tcBorders>
              <w:top w:val="nil"/>
            </w:tcBorders>
          </w:tcPr>
          <w:p>
            <w:pPr>
              <w:pStyle w:val="TableParagraph"/>
              <w:spacing w:line="189" w:lineRule="exact"/>
              <w:ind w:left="294" w:right="-17"/>
              <w:rPr>
                <w:sz w:val="18"/>
              </w:rPr>
            </w:pPr>
            <w:r>
              <w:rPr>
                <w:color w:val="010101"/>
                <w:spacing w:val="-9"/>
                <w:w w:val="95"/>
                <w:sz w:val="18"/>
              </w:rPr>
              <w:t>404,516</w:t>
            </w:r>
          </w:p>
          <w:p>
            <w:pPr>
              <w:pStyle w:val="TableParagraph"/>
              <w:spacing w:line="201" w:lineRule="exact"/>
              <w:ind w:left="297" w:right="-17"/>
              <w:rPr>
                <w:sz w:val="18"/>
              </w:rPr>
            </w:pPr>
            <w:r>
              <w:rPr>
                <w:color w:val="010101"/>
                <w:w w:val="85"/>
                <w:sz w:val="18"/>
              </w:rPr>
              <w:t>360,106</w:t>
            </w:r>
          </w:p>
        </w:tc>
        <w:tc>
          <w:tcPr>
            <w:tcW w:w="752" w:type="dxa"/>
            <w:tcBorders>
              <w:top w:val="nil"/>
            </w:tcBorders>
          </w:tcPr>
          <w:p>
            <w:pPr>
              <w:pStyle w:val="TableParagraph"/>
              <w:spacing w:line="190" w:lineRule="exact"/>
              <w:ind w:left="256"/>
              <w:rPr>
                <w:sz w:val="18"/>
              </w:rPr>
            </w:pPr>
            <w:r>
              <w:rPr>
                <w:color w:val="010101"/>
                <w:sz w:val="18"/>
              </w:rPr>
              <w:t>8.83</w:t>
            </w:r>
          </w:p>
          <w:p>
            <w:pPr>
              <w:pStyle w:val="TableParagraph"/>
              <w:spacing w:line="199" w:lineRule="exact"/>
              <w:ind w:left="256"/>
              <w:rPr>
                <w:sz w:val="18"/>
              </w:rPr>
            </w:pPr>
            <w:r>
              <w:rPr>
                <w:color w:val="010101"/>
                <w:w w:val="105"/>
                <w:sz w:val="18"/>
              </w:rPr>
              <w:t>8.37</w:t>
            </w:r>
          </w:p>
        </w:tc>
        <w:tc>
          <w:tcPr>
            <w:tcW w:w="398" w:type="dxa"/>
            <w:tcBorders>
              <w:top w:val="nil"/>
              <w:right w:val="nil"/>
            </w:tcBorders>
          </w:tcPr>
          <w:p>
            <w:pPr>
              <w:pStyle w:val="TableParagraph"/>
              <w:spacing w:line="189" w:lineRule="exact"/>
              <w:ind w:left="175" w:right="-6"/>
              <w:rPr>
                <w:sz w:val="18"/>
              </w:rPr>
            </w:pPr>
            <w:r>
              <w:rPr>
                <w:color w:val="010101"/>
                <w:spacing w:val="-17"/>
                <w:w w:val="105"/>
                <w:sz w:val="18"/>
              </w:rPr>
              <w:t>73</w:t>
            </w:r>
          </w:p>
          <w:p>
            <w:pPr>
              <w:pStyle w:val="TableParagraph"/>
              <w:spacing w:line="181" w:lineRule="exact"/>
              <w:ind w:left="175" w:right="-6"/>
              <w:rPr>
                <w:rFonts w:ascii="Times New Roman"/>
                <w:b/>
                <w:sz w:val="16"/>
              </w:rPr>
            </w:pPr>
            <w:r>
              <w:rPr>
                <w:rFonts w:ascii="Times New Roman"/>
                <w:b/>
                <w:color w:val="010101"/>
                <w:sz w:val="16"/>
              </w:rPr>
              <w:t>74</w:t>
            </w:r>
          </w:p>
        </w:tc>
      </w:tr>
    </w:tbl>
    <w:p>
      <w:pPr>
        <w:spacing w:before="107"/>
        <w:ind w:left="117" w:right="112" w:firstLine="0"/>
        <w:jc w:val="center"/>
        <w:rPr>
          <w:b/>
          <w:sz w:val="16"/>
        </w:rPr>
      </w:pPr>
      <w:r>
        <w:rPr>
          <w:b/>
          <w:color w:val="010101"/>
          <w:sz w:val="16"/>
        </w:rPr>
        <w:t>347</w:t>
      </w:r>
    </w:p>
    <w:p>
      <w:pPr>
        <w:spacing w:after="0"/>
        <w:jc w:val="center"/>
        <w:rPr>
          <w:sz w:val="16"/>
        </w:rPr>
        <w:sectPr>
          <w:pgSz w:w="7200" w:h="11340"/>
          <w:pgMar w:top="260" w:bottom="280" w:left="660" w:right="600"/>
        </w:sectPr>
      </w:pPr>
    </w:p>
    <w:p>
      <w:pPr>
        <w:spacing w:before="54"/>
        <w:ind w:left="1854" w:right="739" w:firstLine="0"/>
        <w:jc w:val="left"/>
        <w:rPr>
          <w:sz w:val="18"/>
        </w:rPr>
      </w:pPr>
      <w:r>
        <w:rPr>
          <w:i/>
          <w:spacing w:val="14"/>
          <w:w w:val="96"/>
          <w:sz w:val="18"/>
        </w:rPr>
        <w:t>U</w:t>
      </w:r>
      <w:r>
        <w:rPr>
          <w:i/>
          <w:w w:val="180"/>
          <w:sz w:val="18"/>
        </w:rPr>
        <w:t>.</w:t>
      </w:r>
      <w:r>
        <w:rPr>
          <w:i/>
          <w:spacing w:val="-4"/>
          <w:sz w:val="18"/>
        </w:rPr>
        <w:t> </w:t>
      </w:r>
      <w:r>
        <w:rPr>
          <w:i/>
          <w:w w:val="129"/>
          <w:sz w:val="18"/>
        </w:rPr>
        <w:t>S.</w:t>
      </w:r>
      <w:r>
        <w:rPr>
          <w:i/>
          <w:spacing w:val="14"/>
          <w:sz w:val="18"/>
        </w:rPr>
        <w:t> </w:t>
      </w:r>
      <w:r>
        <w:rPr>
          <w:i/>
          <w:w w:val="105"/>
          <w:sz w:val="18"/>
        </w:rPr>
        <w:t>Lije</w:t>
      </w:r>
      <w:r>
        <w:rPr>
          <w:i/>
          <w:sz w:val="18"/>
        </w:rPr>
        <w:t> </w:t>
      </w:r>
      <w:r>
        <w:rPr>
          <w:i/>
          <w:spacing w:val="13"/>
          <w:sz w:val="18"/>
        </w:rPr>
        <w:t> </w:t>
      </w:r>
      <w:r>
        <w:rPr>
          <w:w w:val="277"/>
          <w:sz w:val="18"/>
        </w:rPr>
        <w:t>Tab</w:t>
      </w:r>
      <w:r>
        <w:rPr>
          <w:w w:val="105"/>
          <w:sz w:val="18"/>
        </w:rPr>
        <w:t>ntinued</w:t>
      </w:r>
    </w:p>
    <w:p>
      <w:pPr>
        <w:pStyle w:val="BodyText"/>
        <w:spacing w:before="6"/>
        <w:rPr>
          <w:sz w:val="16"/>
        </w:rPr>
      </w:pPr>
    </w:p>
    <w:p>
      <w:pPr>
        <w:spacing w:before="64"/>
        <w:ind w:left="0" w:right="117" w:firstLine="0"/>
        <w:jc w:val="right"/>
        <w:rPr>
          <w:sz w:val="28"/>
        </w:rPr>
      </w:pPr>
      <w:r>
        <w:rPr/>
        <w:pict>
          <v:shape style="position:absolute;margin-left:39.150002pt;margin-top:-6.859684pt;width:285.95pt;height:442.3pt;mso-position-horizontal-relative:page;mso-position-vertical-relative:paragraph;z-index:26896" type="#_x0000_t202" filled="false" stroked="false">
            <v:textbox inset="0,0,0,0">
              <w:txbxContent>
                <w:tbl>
                  <w:tblPr>
                    <w:tblW w:w="0" w:type="auto"/>
                    <w:jc w:val="left"/>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CellMar>
                      <w:top w:w="0" w:type="dxa"/>
                      <w:left w:w="0" w:type="dxa"/>
                      <w:bottom w:w="0" w:type="dxa"/>
                      <w:right w:w="0" w:type="dxa"/>
                    </w:tblCellMar>
                    <w:tblLook w:val="01E0"/>
                  </w:tblPr>
                  <w:tblGrid>
                    <w:gridCol w:w="378"/>
                    <w:gridCol w:w="833"/>
                    <w:gridCol w:w="832"/>
                    <w:gridCol w:w="679"/>
                    <w:gridCol w:w="833"/>
                    <w:gridCol w:w="994"/>
                    <w:gridCol w:w="758"/>
                    <w:gridCol w:w="403"/>
                  </w:tblGrid>
                  <w:tr>
                    <w:trPr>
                      <w:trHeight w:val="313" w:hRule="exact"/>
                    </w:trPr>
                    <w:tc>
                      <w:tcPr>
                        <w:tcW w:w="378" w:type="dxa"/>
                        <w:tcBorders>
                          <w:left w:val="nil"/>
                          <w:bottom w:val="single" w:sz="1" w:space="0" w:color="000000"/>
                          <w:right w:val="single" w:sz="6" w:space="0" w:color="000000"/>
                        </w:tcBorders>
                      </w:tcPr>
                      <w:p>
                        <w:pPr>
                          <w:pStyle w:val="TableParagraph"/>
                          <w:spacing w:before="4"/>
                          <w:rPr>
                            <w:rFonts w:ascii="Times New Roman"/>
                            <w:sz w:val="10"/>
                          </w:rPr>
                        </w:pPr>
                      </w:p>
                      <w:p>
                        <w:pPr>
                          <w:pStyle w:val="TableParagraph"/>
                          <w:ind w:right="15"/>
                          <w:jc w:val="center"/>
                          <w:rPr>
                            <w:rFonts w:ascii="Arial"/>
                            <w:b/>
                            <w:sz w:val="12"/>
                          </w:rPr>
                        </w:pPr>
                        <w:r>
                          <w:rPr>
                            <w:rFonts w:ascii="Arial"/>
                            <w:b/>
                            <w:w w:val="108"/>
                            <w:sz w:val="12"/>
                          </w:rPr>
                          <w:t>s</w:t>
                        </w:r>
                      </w:p>
                    </w:tc>
                    <w:tc>
                      <w:tcPr>
                        <w:tcW w:w="833" w:type="dxa"/>
                        <w:tcBorders>
                          <w:left w:val="single" w:sz="6" w:space="0" w:color="000000"/>
                          <w:bottom w:val="single" w:sz="1" w:space="0" w:color="000000"/>
                        </w:tcBorders>
                      </w:tcPr>
                      <w:p>
                        <w:pPr>
                          <w:pStyle w:val="TableParagraph"/>
                          <w:spacing w:before="9"/>
                          <w:rPr>
                            <w:rFonts w:ascii="Times New Roman"/>
                            <w:sz w:val="9"/>
                          </w:rPr>
                        </w:pPr>
                      </w:p>
                      <w:p>
                        <w:pPr>
                          <w:pStyle w:val="TableParagraph"/>
                          <w:ind w:left="69" w:right="9"/>
                          <w:jc w:val="center"/>
                          <w:rPr>
                            <w:rFonts w:ascii="Times New Roman"/>
                            <w:b/>
                            <w:i/>
                            <w:sz w:val="12"/>
                          </w:rPr>
                        </w:pPr>
                        <w:r>
                          <w:rPr>
                            <w:rFonts w:ascii="Times New Roman"/>
                            <w:b/>
                            <w:i/>
                            <w:w w:val="105"/>
                            <w:sz w:val="12"/>
                          </w:rPr>
                          <w:t>q,,</w:t>
                        </w:r>
                      </w:p>
                    </w:tc>
                    <w:tc>
                      <w:tcPr>
                        <w:tcW w:w="832" w:type="dxa"/>
                        <w:tcBorders>
                          <w:bottom w:val="single" w:sz="1" w:space="0" w:color="000000"/>
                        </w:tcBorders>
                      </w:tcPr>
                      <w:p>
                        <w:pPr>
                          <w:pStyle w:val="TableParagraph"/>
                          <w:spacing w:line="297" w:lineRule="exact"/>
                          <w:ind w:left="374" w:right="-3"/>
                          <w:rPr>
                            <w:rFonts w:ascii="Arial"/>
                            <w:sz w:val="39"/>
                          </w:rPr>
                        </w:pPr>
                        <w:r>
                          <w:rPr>
                            <w:rFonts w:ascii="Arial"/>
                            <w:w w:val="125"/>
                            <w:sz w:val="39"/>
                          </w:rPr>
                          <w:t>,.</w:t>
                        </w:r>
                      </w:p>
                    </w:tc>
                    <w:tc>
                      <w:tcPr>
                        <w:tcW w:w="679" w:type="dxa"/>
                        <w:tcBorders>
                          <w:bottom w:val="single" w:sz="1" w:space="0" w:color="000000"/>
                        </w:tcBorders>
                      </w:tcPr>
                      <w:p>
                        <w:pPr>
                          <w:pStyle w:val="TableParagraph"/>
                          <w:spacing w:before="98"/>
                          <w:ind w:left="240" w:right="240"/>
                          <w:jc w:val="center"/>
                          <w:rPr>
                            <w:rFonts w:ascii="Times New Roman"/>
                            <w:b/>
                            <w:sz w:val="14"/>
                          </w:rPr>
                        </w:pPr>
                        <w:r>
                          <w:rPr>
                            <w:rFonts w:ascii="Times New Roman"/>
                            <w:b/>
                            <w:sz w:val="14"/>
                          </w:rPr>
                          <w:t>4,,</w:t>
                        </w:r>
                      </w:p>
                    </w:tc>
                    <w:tc>
                      <w:tcPr>
                        <w:tcW w:w="833" w:type="dxa"/>
                        <w:tcBorders>
                          <w:bottom w:val="single" w:sz="1" w:space="0" w:color="000000"/>
                        </w:tcBorders>
                      </w:tcPr>
                      <w:p>
                        <w:pPr>
                          <w:pStyle w:val="TableParagraph"/>
                          <w:spacing w:before="105"/>
                          <w:ind w:left="326" w:right="293"/>
                          <w:jc w:val="center"/>
                          <w:rPr>
                            <w:rFonts w:ascii="Times New Roman"/>
                            <w:i/>
                            <w:sz w:val="14"/>
                          </w:rPr>
                        </w:pPr>
                        <w:r>
                          <w:rPr>
                            <w:rFonts w:ascii="Times New Roman"/>
                            <w:i/>
                            <w:w w:val="105"/>
                            <w:sz w:val="14"/>
                          </w:rPr>
                          <w:t>L,,</w:t>
                        </w:r>
                      </w:p>
                    </w:tc>
                    <w:tc>
                      <w:tcPr>
                        <w:tcW w:w="994" w:type="dxa"/>
                        <w:tcBorders>
                          <w:bottom w:val="single" w:sz="1" w:space="0" w:color="000000"/>
                        </w:tcBorders>
                      </w:tcPr>
                      <w:p>
                        <w:pPr>
                          <w:pStyle w:val="TableParagraph"/>
                          <w:spacing w:before="106"/>
                          <w:ind w:left="396" w:right="357"/>
                          <w:jc w:val="center"/>
                          <w:rPr>
                            <w:rFonts w:ascii="Arial"/>
                            <w:i/>
                            <w:sz w:val="13"/>
                          </w:rPr>
                        </w:pPr>
                        <w:r>
                          <w:rPr>
                            <w:rFonts w:ascii="Arial"/>
                            <w:i/>
                            <w:w w:val="120"/>
                            <w:sz w:val="13"/>
                          </w:rPr>
                          <w:t>T,,</w:t>
                        </w:r>
                      </w:p>
                    </w:tc>
                    <w:tc>
                      <w:tcPr>
                        <w:tcW w:w="758" w:type="dxa"/>
                        <w:tcBorders>
                          <w:bottom w:val="single" w:sz="1" w:space="0" w:color="000000"/>
                        </w:tcBorders>
                      </w:tcPr>
                      <w:p>
                        <w:pPr>
                          <w:pStyle w:val="TableParagraph"/>
                          <w:spacing w:line="342" w:lineRule="exact"/>
                          <w:ind w:left="302" w:right="-20"/>
                          <w:rPr>
                            <w:rFonts w:ascii="Times New Roman" w:hAnsi="Times New Roman"/>
                            <w:sz w:val="28"/>
                          </w:rPr>
                        </w:pPr>
                        <w:r>
                          <w:rPr>
                            <w:rFonts w:ascii="Times New Roman" w:hAnsi="Times New Roman"/>
                            <w:w w:val="90"/>
                            <w:sz w:val="28"/>
                          </w:rPr>
                          <w:t>•</w:t>
                        </w:r>
                        <w:r>
                          <w:rPr>
                            <w:rFonts w:ascii="Arial" w:hAnsi="Arial"/>
                            <w:w w:val="90"/>
                            <w:position w:val="15"/>
                            <w:sz w:val="41"/>
                          </w:rPr>
                          <w:t>.</w:t>
                        </w:r>
                        <w:r>
                          <w:rPr>
                            <w:rFonts w:ascii="Times New Roman" w:hAnsi="Times New Roman"/>
                            <w:w w:val="90"/>
                            <w:sz w:val="28"/>
                          </w:rPr>
                          <w:t>•</w:t>
                        </w:r>
                      </w:p>
                    </w:tc>
                    <w:tc>
                      <w:tcPr>
                        <w:tcW w:w="403" w:type="dxa"/>
                        <w:vMerge w:val="restart"/>
                        <w:tcBorders>
                          <w:right w:val="nil"/>
                        </w:tcBorders>
                      </w:tcPr>
                      <w:p>
                        <w:pPr>
                          <w:pStyle w:val="TableParagraph"/>
                          <w:spacing w:before="1"/>
                          <w:rPr>
                            <w:rFonts w:ascii="Times New Roman"/>
                            <w:sz w:val="10"/>
                          </w:rPr>
                        </w:pPr>
                      </w:p>
                      <w:p>
                        <w:pPr>
                          <w:pStyle w:val="TableParagraph"/>
                          <w:spacing w:line="103" w:lineRule="exact"/>
                          <w:ind w:left="27"/>
                          <w:jc w:val="center"/>
                          <w:rPr>
                            <w:rFonts w:ascii="Arial"/>
                            <w:b/>
                            <w:sz w:val="12"/>
                          </w:rPr>
                        </w:pPr>
                        <w:r>
                          <w:rPr>
                            <w:rFonts w:ascii="Arial"/>
                            <w:b/>
                            <w:w w:val="108"/>
                            <w:sz w:val="12"/>
                          </w:rPr>
                          <w:t>s</w:t>
                        </w:r>
                      </w:p>
                      <w:p>
                        <w:pPr>
                          <w:pStyle w:val="TableParagraph"/>
                          <w:spacing w:line="287" w:lineRule="exact"/>
                          <w:ind w:left="12"/>
                          <w:rPr>
                            <w:rFonts w:ascii="Times New Roman"/>
                            <w:sz w:val="28"/>
                          </w:rPr>
                        </w:pPr>
                        <w:r>
                          <w:rPr>
                            <w:rFonts w:ascii="Times New Roman"/>
                            <w:spacing w:val="-277"/>
                            <w:w w:val="353"/>
                            <w:sz w:val="28"/>
                          </w:rPr>
                          <w:t>-</w:t>
                        </w:r>
                      </w:p>
                    </w:tc>
                  </w:tr>
                  <w:tr>
                    <w:trPr>
                      <w:trHeight w:val="195" w:hRule="exact"/>
                    </w:trPr>
                    <w:tc>
                      <w:tcPr>
                        <w:tcW w:w="378" w:type="dxa"/>
                        <w:tcBorders>
                          <w:top w:val="single" w:sz="1" w:space="0" w:color="000000"/>
                          <w:left w:val="nil"/>
                          <w:bottom w:val="nil"/>
                          <w:right w:val="single" w:sz="6" w:space="0" w:color="000000"/>
                        </w:tcBorders>
                      </w:tcPr>
                      <w:p>
                        <w:pPr/>
                      </w:p>
                    </w:tc>
                    <w:tc>
                      <w:tcPr>
                        <w:tcW w:w="833" w:type="dxa"/>
                        <w:tcBorders>
                          <w:top w:val="single" w:sz="1" w:space="0" w:color="000000"/>
                          <w:left w:val="single" w:sz="6" w:space="0" w:color="000000"/>
                          <w:bottom w:val="nil"/>
                        </w:tcBorders>
                      </w:tcPr>
                      <w:p>
                        <w:pPr/>
                      </w:p>
                    </w:tc>
                    <w:tc>
                      <w:tcPr>
                        <w:tcW w:w="832" w:type="dxa"/>
                        <w:tcBorders>
                          <w:top w:val="single" w:sz="1" w:space="0" w:color="000000"/>
                          <w:bottom w:val="nil"/>
                        </w:tcBorders>
                      </w:tcPr>
                      <w:p>
                        <w:pPr/>
                      </w:p>
                    </w:tc>
                    <w:tc>
                      <w:tcPr>
                        <w:tcW w:w="679" w:type="dxa"/>
                        <w:tcBorders>
                          <w:top w:val="single" w:sz="1" w:space="0" w:color="000000"/>
                          <w:bottom w:val="nil"/>
                        </w:tcBorders>
                      </w:tcPr>
                      <w:p>
                        <w:pPr/>
                      </w:p>
                    </w:tc>
                    <w:tc>
                      <w:tcPr>
                        <w:tcW w:w="833" w:type="dxa"/>
                        <w:tcBorders>
                          <w:top w:val="single" w:sz="1" w:space="0" w:color="000000"/>
                          <w:bottom w:val="nil"/>
                        </w:tcBorders>
                      </w:tcPr>
                      <w:p>
                        <w:pPr/>
                      </w:p>
                    </w:tc>
                    <w:tc>
                      <w:tcPr>
                        <w:tcW w:w="994" w:type="dxa"/>
                        <w:tcBorders>
                          <w:top w:val="single" w:sz="1" w:space="0" w:color="000000"/>
                          <w:bottom w:val="nil"/>
                        </w:tcBorders>
                      </w:tcPr>
                      <w:p>
                        <w:pPr/>
                      </w:p>
                    </w:tc>
                    <w:tc>
                      <w:tcPr>
                        <w:tcW w:w="758" w:type="dxa"/>
                        <w:tcBorders>
                          <w:top w:val="single" w:sz="1" w:space="0" w:color="000000"/>
                          <w:bottom w:val="nil"/>
                        </w:tcBorders>
                      </w:tcPr>
                      <w:p>
                        <w:pPr/>
                      </w:p>
                    </w:tc>
                    <w:tc>
                      <w:tcPr>
                        <w:tcW w:w="403" w:type="dxa"/>
                        <w:vMerge/>
                        <w:tcBorders>
                          <w:bottom w:val="nil"/>
                          <w:right w:val="nil"/>
                        </w:tcBorders>
                      </w:tcPr>
                      <w:p>
                        <w:pPr/>
                      </w:p>
                    </w:tc>
                  </w:tr>
                  <w:tr>
                    <w:trPr>
                      <w:trHeight w:val="401" w:hRule="exact"/>
                    </w:trPr>
                    <w:tc>
                      <w:tcPr>
                        <w:tcW w:w="378" w:type="dxa"/>
                        <w:tcBorders>
                          <w:top w:val="nil"/>
                          <w:left w:val="nil"/>
                          <w:bottom w:val="nil"/>
                          <w:right w:val="single" w:sz="6" w:space="0" w:color="000000"/>
                        </w:tcBorders>
                      </w:tcPr>
                      <w:p>
                        <w:pPr>
                          <w:pStyle w:val="TableParagraph"/>
                          <w:spacing w:line="199" w:lineRule="exact"/>
                          <w:ind w:left="143" w:right="-6"/>
                          <w:rPr>
                            <w:sz w:val="19"/>
                          </w:rPr>
                        </w:pPr>
                        <w:r>
                          <w:rPr>
                            <w:spacing w:val="-20"/>
                            <w:sz w:val="19"/>
                          </w:rPr>
                          <w:t>75</w:t>
                        </w:r>
                      </w:p>
                      <w:p>
                        <w:pPr>
                          <w:pStyle w:val="TableParagraph"/>
                          <w:spacing w:line="207" w:lineRule="exact"/>
                          <w:ind w:left="143" w:right="-6"/>
                          <w:rPr>
                            <w:sz w:val="19"/>
                          </w:rPr>
                        </w:pPr>
                        <w:r>
                          <w:rPr>
                            <w:spacing w:val="-20"/>
                            <w:w w:val="105"/>
                            <w:sz w:val="19"/>
                          </w:rPr>
                          <w:t>76</w:t>
                        </w:r>
                      </w:p>
                    </w:tc>
                    <w:tc>
                      <w:tcPr>
                        <w:tcW w:w="833" w:type="dxa"/>
                        <w:tcBorders>
                          <w:top w:val="nil"/>
                          <w:left w:val="single" w:sz="6" w:space="0" w:color="000000"/>
                          <w:bottom w:val="nil"/>
                        </w:tcBorders>
                      </w:tcPr>
                      <w:p>
                        <w:pPr>
                          <w:pStyle w:val="TableParagraph"/>
                          <w:spacing w:line="197" w:lineRule="exact"/>
                          <w:ind w:left="205" w:right="-17"/>
                          <w:rPr>
                            <w:sz w:val="19"/>
                          </w:rPr>
                        </w:pPr>
                        <w:r>
                          <w:rPr>
                            <w:spacing w:val="-17"/>
                            <w:w w:val="90"/>
                            <w:sz w:val="19"/>
                          </w:rPr>
                          <w:t>.07066</w:t>
                        </w:r>
                      </w:p>
                      <w:p>
                        <w:pPr>
                          <w:pStyle w:val="TableParagraph"/>
                          <w:spacing w:line="208" w:lineRule="exact"/>
                          <w:ind w:left="201" w:right="-17"/>
                          <w:rPr>
                            <w:sz w:val="19"/>
                          </w:rPr>
                        </w:pPr>
                        <w:r>
                          <w:rPr>
                            <w:spacing w:val="-17"/>
                            <w:w w:val="95"/>
                            <w:sz w:val="19"/>
                          </w:rPr>
                          <w:t>.07636</w:t>
                        </w:r>
                      </w:p>
                    </w:tc>
                    <w:tc>
                      <w:tcPr>
                        <w:tcW w:w="832" w:type="dxa"/>
                        <w:tcBorders>
                          <w:top w:val="nil"/>
                          <w:bottom w:val="nil"/>
                        </w:tcBorders>
                      </w:tcPr>
                      <w:p>
                        <w:pPr>
                          <w:pStyle w:val="TableParagraph"/>
                          <w:spacing w:line="196" w:lineRule="exact"/>
                          <w:ind w:left="172" w:right="-3"/>
                          <w:rPr>
                            <w:sz w:val="18"/>
                          </w:rPr>
                        </w:pPr>
                        <w:r>
                          <w:rPr>
                            <w:w w:val="91"/>
                            <w:sz w:val="18"/>
                          </w:rPr>
                          <w:t>4</w:t>
                        </w:r>
                        <w:r>
                          <w:rPr>
                            <w:spacing w:val="-12"/>
                            <w:w w:val="91"/>
                            <w:sz w:val="18"/>
                          </w:rPr>
                          <w:t>0</w:t>
                        </w:r>
                        <w:r>
                          <w:rPr>
                            <w:w w:val="349"/>
                            <w:sz w:val="18"/>
                          </w:rPr>
                          <w:t>,</w:t>
                        </w:r>
                      </w:p>
                      <w:p>
                        <w:pPr>
                          <w:pStyle w:val="TableParagraph"/>
                          <w:spacing w:line="210" w:lineRule="exact"/>
                          <w:ind w:left="172" w:right="-3"/>
                          <w:rPr>
                            <w:sz w:val="19"/>
                          </w:rPr>
                        </w:pPr>
                        <w:r>
                          <w:rPr>
                            <w:w w:val="90"/>
                            <w:sz w:val="19"/>
                          </w:rPr>
                          <w:t>37,366</w:t>
                        </w:r>
                      </w:p>
                    </w:tc>
                    <w:tc>
                      <w:tcPr>
                        <w:tcW w:w="679" w:type="dxa"/>
                        <w:tcBorders>
                          <w:top w:val="nil"/>
                          <w:bottom w:val="nil"/>
                        </w:tcBorders>
                      </w:tcPr>
                      <w:p>
                        <w:pPr>
                          <w:pStyle w:val="TableParagraph"/>
                          <w:spacing w:line="225" w:lineRule="auto" w:before="1"/>
                          <w:ind w:left="144" w:right="-8"/>
                          <w:rPr>
                            <w:sz w:val="19"/>
                          </w:rPr>
                        </w:pPr>
                        <w:r>
                          <w:rPr>
                            <w:sz w:val="19"/>
                          </w:rPr>
                          <w:t>2,sn </w:t>
                        </w:r>
                        <w:r>
                          <w:rPr>
                            <w:w w:val="75"/>
                            <w:sz w:val="19"/>
                          </w:rPr>
                          <w:t>2,853</w:t>
                        </w:r>
                      </w:p>
                    </w:tc>
                    <w:tc>
                      <w:tcPr>
                        <w:tcW w:w="833" w:type="dxa"/>
                        <w:tcBorders>
                          <w:top w:val="nil"/>
                          <w:bottom w:val="nil"/>
                        </w:tcBorders>
                      </w:tcPr>
                      <w:p>
                        <w:pPr>
                          <w:pStyle w:val="TableParagraph"/>
                          <w:spacing w:line="203" w:lineRule="exact"/>
                          <w:ind w:left="178"/>
                          <w:rPr>
                            <w:sz w:val="19"/>
                          </w:rPr>
                        </w:pPr>
                        <w:r>
                          <w:rPr>
                            <w:w w:val="85"/>
                            <w:sz w:val="19"/>
                          </w:rPr>
                          <w:t>38,786</w:t>
                        </w:r>
                      </w:p>
                      <w:p>
                        <w:pPr>
                          <w:pStyle w:val="TableParagraph"/>
                          <w:spacing w:line="207" w:lineRule="exact"/>
                          <w:ind w:left="174"/>
                          <w:rPr>
                            <w:sz w:val="19"/>
                          </w:rPr>
                        </w:pPr>
                        <w:r>
                          <w:rPr>
                            <w:w w:val="90"/>
                            <w:sz w:val="19"/>
                          </w:rPr>
                          <w:t>35,940</w:t>
                        </w:r>
                      </w:p>
                    </w:tc>
                    <w:tc>
                      <w:tcPr>
                        <w:tcW w:w="994" w:type="dxa"/>
                        <w:tcBorders>
                          <w:top w:val="nil"/>
                          <w:bottom w:val="nil"/>
                        </w:tcBorders>
                      </w:tcPr>
                      <w:p>
                        <w:pPr>
                          <w:pStyle w:val="TableParagraph"/>
                          <w:spacing w:line="195" w:lineRule="exact"/>
                          <w:ind w:left="302" w:right="-16"/>
                          <w:rPr>
                            <w:sz w:val="19"/>
                          </w:rPr>
                        </w:pPr>
                        <w:r>
                          <w:rPr>
                            <w:spacing w:val="-27"/>
                            <w:sz w:val="19"/>
                          </w:rPr>
                          <w:t>318,491</w:t>
                        </w:r>
                      </w:p>
                      <w:p>
                        <w:pPr>
                          <w:pStyle w:val="TableParagraph"/>
                          <w:spacing w:line="207" w:lineRule="exact"/>
                          <w:ind w:left="302" w:right="-16"/>
                          <w:rPr>
                            <w:sz w:val="19"/>
                          </w:rPr>
                        </w:pPr>
                        <w:r>
                          <w:rPr>
                            <w:spacing w:val="-18"/>
                            <w:w w:val="95"/>
                            <w:sz w:val="19"/>
                          </w:rPr>
                          <w:t>279,705</w:t>
                        </w:r>
                      </w:p>
                    </w:tc>
                    <w:tc>
                      <w:tcPr>
                        <w:tcW w:w="758" w:type="dxa"/>
                        <w:tcBorders>
                          <w:top w:val="nil"/>
                          <w:bottom w:val="nil"/>
                        </w:tcBorders>
                      </w:tcPr>
                      <w:p>
                        <w:pPr>
                          <w:pStyle w:val="TableParagraph"/>
                          <w:spacing w:line="176" w:lineRule="exact"/>
                          <w:ind w:left="255" w:right="-20"/>
                          <w:rPr>
                            <w:rFonts w:ascii="Times New Roman"/>
                            <w:sz w:val="17"/>
                          </w:rPr>
                        </w:pPr>
                        <w:r>
                          <w:rPr>
                            <w:rFonts w:ascii="Times New Roman"/>
                            <w:w w:val="110"/>
                            <w:sz w:val="17"/>
                          </w:rPr>
                          <w:t>7.92</w:t>
                        </w:r>
                      </w:p>
                      <w:p>
                        <w:pPr>
                          <w:pStyle w:val="TableParagraph"/>
                          <w:spacing w:before="3"/>
                          <w:ind w:left="259" w:right="-20"/>
                          <w:rPr>
                            <w:sz w:val="19"/>
                          </w:rPr>
                        </w:pPr>
                        <w:r>
                          <w:rPr>
                            <w:sz w:val="19"/>
                          </w:rPr>
                          <w:t>7.49</w:t>
                        </w:r>
                      </w:p>
                    </w:tc>
                    <w:tc>
                      <w:tcPr>
                        <w:tcW w:w="403" w:type="dxa"/>
                        <w:tcBorders>
                          <w:top w:val="nil"/>
                          <w:bottom w:val="nil"/>
                          <w:right w:val="nil"/>
                        </w:tcBorders>
                      </w:tcPr>
                      <w:p>
                        <w:pPr>
                          <w:pStyle w:val="TableParagraph"/>
                          <w:spacing w:line="190" w:lineRule="exact"/>
                          <w:ind w:left="167" w:right="-2"/>
                          <w:rPr>
                            <w:sz w:val="19"/>
                          </w:rPr>
                        </w:pPr>
                        <w:r>
                          <w:rPr>
                            <w:spacing w:val="-18"/>
                            <w:sz w:val="19"/>
                          </w:rPr>
                          <w:t>75</w:t>
                        </w:r>
                      </w:p>
                      <w:p>
                        <w:pPr>
                          <w:pStyle w:val="TableParagraph"/>
                          <w:spacing w:line="208" w:lineRule="exact"/>
                          <w:ind w:left="171" w:right="-2"/>
                          <w:rPr>
                            <w:sz w:val="19"/>
                          </w:rPr>
                        </w:pPr>
                        <w:r>
                          <w:rPr>
                            <w:spacing w:val="-19"/>
                            <w:w w:val="105"/>
                            <w:sz w:val="19"/>
                          </w:rPr>
                          <w:t>76</w:t>
                        </w:r>
                      </w:p>
                    </w:tc>
                  </w:tr>
                  <w:tr>
                    <w:trPr>
                      <w:trHeight w:val="198" w:hRule="exact"/>
                    </w:trPr>
                    <w:tc>
                      <w:tcPr>
                        <w:tcW w:w="378" w:type="dxa"/>
                        <w:tcBorders>
                          <w:top w:val="nil"/>
                          <w:left w:val="nil"/>
                          <w:bottom w:val="nil"/>
                          <w:right w:val="single" w:sz="6" w:space="0" w:color="000000"/>
                        </w:tcBorders>
                      </w:tcPr>
                      <w:p>
                        <w:pPr>
                          <w:pStyle w:val="TableParagraph"/>
                          <w:spacing w:line="182" w:lineRule="exact"/>
                          <w:ind w:left="74"/>
                          <w:jc w:val="center"/>
                          <w:rPr>
                            <w:rFonts w:ascii="Times New Roman"/>
                            <w:sz w:val="17"/>
                          </w:rPr>
                        </w:pPr>
                        <w:r>
                          <w:rPr>
                            <w:rFonts w:ascii="Times New Roman"/>
                            <w:sz w:val="17"/>
                          </w:rPr>
                          <w:t>77</w:t>
                        </w:r>
                      </w:p>
                    </w:tc>
                    <w:tc>
                      <w:tcPr>
                        <w:tcW w:w="833" w:type="dxa"/>
                        <w:tcBorders>
                          <w:top w:val="nil"/>
                          <w:left w:val="single" w:sz="6" w:space="0" w:color="000000"/>
                          <w:bottom w:val="nil"/>
                        </w:tcBorders>
                      </w:tcPr>
                      <w:p>
                        <w:pPr>
                          <w:pStyle w:val="TableParagraph"/>
                          <w:spacing w:line="181" w:lineRule="exact"/>
                          <w:ind w:left="84" w:right="9"/>
                          <w:jc w:val="center"/>
                          <w:rPr>
                            <w:rFonts w:ascii="Arial"/>
                            <w:sz w:val="17"/>
                          </w:rPr>
                        </w:pPr>
                        <w:r>
                          <w:rPr>
                            <w:rFonts w:ascii="Arial"/>
                            <w:w w:val="92"/>
                            <w:sz w:val="17"/>
                          </w:rPr>
                          <w:t>.08</w:t>
                        </w:r>
                        <w:r>
                          <w:rPr>
                            <w:rFonts w:ascii="Arial"/>
                            <w:spacing w:val="-6"/>
                            <w:w w:val="92"/>
                            <w:sz w:val="17"/>
                          </w:rPr>
                          <w:t>2</w:t>
                        </w:r>
                        <w:r>
                          <w:rPr>
                            <w:rFonts w:ascii="Arial"/>
                            <w:spacing w:val="-89"/>
                            <w:w w:val="98"/>
                            <w:sz w:val="17"/>
                          </w:rPr>
                          <w:t>1</w:t>
                        </w:r>
                        <w:r>
                          <w:rPr>
                            <w:rFonts w:ascii="Arial"/>
                            <w:w w:val="92"/>
                            <w:sz w:val="17"/>
                          </w:rPr>
                          <w:t>'</w:t>
                        </w:r>
                        <w:r>
                          <w:rPr>
                            <w:rFonts w:ascii="Arial"/>
                            <w:spacing w:val="11"/>
                            <w:sz w:val="17"/>
                          </w:rPr>
                          <w:t> </w:t>
                        </w:r>
                        <w:r>
                          <w:rPr>
                            <w:rFonts w:ascii="Arial"/>
                            <w:w w:val="98"/>
                            <w:sz w:val="17"/>
                          </w:rPr>
                          <w:t>1</w:t>
                        </w:r>
                      </w:p>
                    </w:tc>
                    <w:tc>
                      <w:tcPr>
                        <w:tcW w:w="832" w:type="dxa"/>
                        <w:tcBorders>
                          <w:top w:val="nil"/>
                          <w:bottom w:val="nil"/>
                        </w:tcBorders>
                      </w:tcPr>
                      <w:p>
                        <w:pPr>
                          <w:pStyle w:val="TableParagraph"/>
                          <w:spacing w:line="202" w:lineRule="exact"/>
                          <w:ind w:left="172" w:right="-3"/>
                          <w:rPr>
                            <w:sz w:val="19"/>
                          </w:rPr>
                        </w:pPr>
                        <w:r>
                          <w:rPr>
                            <w:w w:val="90"/>
                            <w:sz w:val="19"/>
                          </w:rPr>
                          <w:t>34,513</w:t>
                        </w:r>
                      </w:p>
                    </w:tc>
                    <w:tc>
                      <w:tcPr>
                        <w:tcW w:w="679" w:type="dxa"/>
                        <w:tcBorders>
                          <w:top w:val="nil"/>
                          <w:bottom w:val="nil"/>
                        </w:tcBorders>
                      </w:tcPr>
                      <w:p>
                        <w:pPr>
                          <w:pStyle w:val="TableParagraph"/>
                          <w:spacing w:line="206" w:lineRule="exact"/>
                          <w:ind w:right="92"/>
                          <w:jc w:val="right"/>
                          <w:rPr>
                            <w:sz w:val="19"/>
                          </w:rPr>
                        </w:pPr>
                        <w:r>
                          <w:rPr>
                            <w:w w:val="80"/>
                            <w:sz w:val="19"/>
                          </w:rPr>
                          <w:t>2,855</w:t>
                        </w:r>
                      </w:p>
                    </w:tc>
                    <w:tc>
                      <w:tcPr>
                        <w:tcW w:w="833" w:type="dxa"/>
                        <w:tcBorders>
                          <w:top w:val="nil"/>
                          <w:bottom w:val="nil"/>
                        </w:tcBorders>
                      </w:tcPr>
                      <w:p>
                        <w:pPr>
                          <w:pStyle w:val="TableParagraph"/>
                          <w:spacing w:line="206" w:lineRule="exact"/>
                          <w:ind w:right="141"/>
                          <w:jc w:val="right"/>
                          <w:rPr>
                            <w:sz w:val="19"/>
                          </w:rPr>
                        </w:pPr>
                        <w:r>
                          <w:rPr>
                            <w:w w:val="75"/>
                            <w:sz w:val="19"/>
                          </w:rPr>
                          <w:t>33,086</w:t>
                        </w:r>
                      </w:p>
                    </w:tc>
                    <w:tc>
                      <w:tcPr>
                        <w:tcW w:w="994" w:type="dxa"/>
                        <w:tcBorders>
                          <w:top w:val="nil"/>
                          <w:bottom w:val="nil"/>
                        </w:tcBorders>
                      </w:tcPr>
                      <w:p>
                        <w:pPr>
                          <w:pStyle w:val="TableParagraph"/>
                          <w:spacing w:line="202" w:lineRule="exact"/>
                          <w:ind w:right="81"/>
                          <w:jc w:val="right"/>
                          <w:rPr>
                            <w:sz w:val="19"/>
                          </w:rPr>
                        </w:pPr>
                        <w:r>
                          <w:rPr>
                            <w:w w:val="80"/>
                            <w:sz w:val="19"/>
                          </w:rPr>
                          <w:t>243,765</w:t>
                        </w:r>
                      </w:p>
                    </w:tc>
                    <w:tc>
                      <w:tcPr>
                        <w:tcW w:w="758" w:type="dxa"/>
                        <w:tcBorders>
                          <w:top w:val="nil"/>
                          <w:bottom w:val="nil"/>
                        </w:tcBorders>
                      </w:tcPr>
                      <w:p>
                        <w:pPr>
                          <w:pStyle w:val="TableParagraph"/>
                          <w:spacing w:line="195" w:lineRule="exact"/>
                          <w:ind w:left="252" w:right="-20"/>
                          <w:rPr>
                            <w:sz w:val="19"/>
                          </w:rPr>
                        </w:pPr>
                        <w:r>
                          <w:rPr>
                            <w:sz w:val="19"/>
                          </w:rPr>
                          <w:t>7.06</w:t>
                        </w:r>
                      </w:p>
                    </w:tc>
                    <w:tc>
                      <w:tcPr>
                        <w:tcW w:w="403" w:type="dxa"/>
                        <w:tcBorders>
                          <w:top w:val="nil"/>
                          <w:bottom w:val="nil"/>
                          <w:right w:val="nil"/>
                        </w:tcBorders>
                      </w:tcPr>
                      <w:p>
                        <w:pPr>
                          <w:pStyle w:val="TableParagraph"/>
                          <w:spacing w:line="195" w:lineRule="exact"/>
                          <w:ind w:right="21"/>
                          <w:jc w:val="right"/>
                          <w:rPr>
                            <w:sz w:val="19"/>
                          </w:rPr>
                        </w:pPr>
                        <w:r>
                          <w:rPr>
                            <w:w w:val="105"/>
                            <w:sz w:val="19"/>
                          </w:rPr>
                          <w:t>77</w:t>
                        </w:r>
                      </w:p>
                    </w:tc>
                  </w:tr>
                  <w:tr>
                    <w:trPr>
                      <w:trHeight w:val="200" w:hRule="exact"/>
                    </w:trPr>
                    <w:tc>
                      <w:tcPr>
                        <w:tcW w:w="378" w:type="dxa"/>
                        <w:tcBorders>
                          <w:top w:val="nil"/>
                          <w:left w:val="nil"/>
                          <w:bottom w:val="nil"/>
                          <w:right w:val="single" w:sz="6" w:space="0" w:color="000000"/>
                        </w:tcBorders>
                      </w:tcPr>
                      <w:p>
                        <w:pPr>
                          <w:pStyle w:val="TableParagraph"/>
                          <w:spacing w:line="206" w:lineRule="exact"/>
                          <w:ind w:left="120"/>
                          <w:jc w:val="center"/>
                          <w:rPr>
                            <w:sz w:val="19"/>
                          </w:rPr>
                        </w:pPr>
                        <w:r>
                          <w:rPr>
                            <w:w w:val="105"/>
                            <w:sz w:val="19"/>
                          </w:rPr>
                          <w:t>78</w:t>
                        </w:r>
                      </w:p>
                    </w:tc>
                    <w:tc>
                      <w:tcPr>
                        <w:tcW w:w="833" w:type="dxa"/>
                        <w:tcBorders>
                          <w:top w:val="nil"/>
                          <w:left w:val="single" w:sz="6" w:space="0" w:color="000000"/>
                          <w:bottom w:val="nil"/>
                        </w:tcBorders>
                      </w:tcPr>
                      <w:p>
                        <w:pPr>
                          <w:pStyle w:val="TableParagraph"/>
                          <w:spacing w:line="184" w:lineRule="exact"/>
                          <w:ind w:left="55" w:right="9"/>
                          <w:jc w:val="center"/>
                          <w:rPr>
                            <w:rFonts w:ascii="Times New Roman"/>
                            <w:sz w:val="18"/>
                          </w:rPr>
                        </w:pPr>
                        <w:r>
                          <w:rPr>
                            <w:rFonts w:ascii="Times New Roman"/>
                            <w:sz w:val="18"/>
                          </w:rPr>
                          <w:t>.08986</w:t>
                        </w:r>
                      </w:p>
                    </w:tc>
                    <w:tc>
                      <w:tcPr>
                        <w:tcW w:w="832" w:type="dxa"/>
                        <w:tcBorders>
                          <w:top w:val="nil"/>
                          <w:bottom w:val="nil"/>
                        </w:tcBorders>
                      </w:tcPr>
                      <w:p>
                        <w:pPr>
                          <w:pStyle w:val="TableParagraph"/>
                          <w:spacing w:line="202" w:lineRule="exact"/>
                          <w:ind w:left="176" w:right="-3"/>
                          <w:rPr>
                            <w:sz w:val="19"/>
                          </w:rPr>
                        </w:pPr>
                        <w:r>
                          <w:rPr>
                            <w:w w:val="90"/>
                            <w:sz w:val="19"/>
                          </w:rPr>
                          <w:t>31,658</w:t>
                        </w:r>
                      </w:p>
                    </w:tc>
                    <w:tc>
                      <w:tcPr>
                        <w:tcW w:w="679" w:type="dxa"/>
                        <w:tcBorders>
                          <w:top w:val="nil"/>
                          <w:bottom w:val="nil"/>
                        </w:tcBorders>
                      </w:tcPr>
                      <w:p>
                        <w:pPr>
                          <w:pStyle w:val="TableParagraph"/>
                          <w:spacing w:line="184" w:lineRule="exact"/>
                          <w:ind w:right="116"/>
                          <w:jc w:val="right"/>
                          <w:rPr>
                            <w:rFonts w:ascii="Times New Roman"/>
                            <w:sz w:val="16"/>
                          </w:rPr>
                        </w:pPr>
                        <w:r>
                          <w:rPr>
                            <w:rFonts w:ascii="Times New Roman"/>
                            <w:w w:val="110"/>
                            <w:sz w:val="16"/>
                          </w:rPr>
                          <w:t>2,844</w:t>
                        </w:r>
                      </w:p>
                    </w:tc>
                    <w:tc>
                      <w:tcPr>
                        <w:tcW w:w="833" w:type="dxa"/>
                        <w:tcBorders>
                          <w:top w:val="nil"/>
                          <w:bottom w:val="nil"/>
                        </w:tcBorders>
                      </w:tcPr>
                      <w:p>
                        <w:pPr>
                          <w:pStyle w:val="TableParagraph"/>
                          <w:spacing w:line="180" w:lineRule="exact"/>
                          <w:ind w:right="158"/>
                          <w:jc w:val="right"/>
                          <w:rPr>
                            <w:rFonts w:ascii="Times New Roman"/>
                            <w:sz w:val="16"/>
                          </w:rPr>
                        </w:pPr>
                        <w:r>
                          <w:rPr>
                            <w:rFonts w:ascii="Times New Roman"/>
                            <w:w w:val="110"/>
                            <w:sz w:val="16"/>
                          </w:rPr>
                          <w:t>30,236</w:t>
                        </w:r>
                      </w:p>
                    </w:tc>
                    <w:tc>
                      <w:tcPr>
                        <w:tcW w:w="994" w:type="dxa"/>
                        <w:tcBorders>
                          <w:top w:val="nil"/>
                          <w:bottom w:val="nil"/>
                        </w:tcBorders>
                      </w:tcPr>
                      <w:p>
                        <w:pPr>
                          <w:pStyle w:val="TableParagraph"/>
                          <w:spacing w:line="199" w:lineRule="exact"/>
                          <w:ind w:right="75"/>
                          <w:jc w:val="right"/>
                          <w:rPr>
                            <w:sz w:val="19"/>
                          </w:rPr>
                        </w:pPr>
                        <w:r>
                          <w:rPr>
                            <w:w w:val="90"/>
                            <w:sz w:val="19"/>
                          </w:rPr>
                          <w:t>210,679</w:t>
                        </w:r>
                      </w:p>
                    </w:tc>
                    <w:tc>
                      <w:tcPr>
                        <w:tcW w:w="758" w:type="dxa"/>
                        <w:tcBorders>
                          <w:top w:val="nil"/>
                          <w:bottom w:val="nil"/>
                        </w:tcBorders>
                      </w:tcPr>
                      <w:p>
                        <w:pPr>
                          <w:pStyle w:val="TableParagraph"/>
                          <w:spacing w:line="195" w:lineRule="exact"/>
                          <w:ind w:left="255" w:right="-20"/>
                          <w:rPr>
                            <w:sz w:val="19"/>
                          </w:rPr>
                        </w:pPr>
                        <w:r>
                          <w:rPr>
                            <w:sz w:val="19"/>
                          </w:rPr>
                          <w:t>6.65</w:t>
                        </w:r>
                      </w:p>
                    </w:tc>
                    <w:tc>
                      <w:tcPr>
                        <w:tcW w:w="403" w:type="dxa"/>
                        <w:tcBorders>
                          <w:top w:val="nil"/>
                          <w:bottom w:val="nil"/>
                          <w:right w:val="nil"/>
                        </w:tcBorders>
                      </w:tcPr>
                      <w:p>
                        <w:pPr>
                          <w:pStyle w:val="TableParagraph"/>
                          <w:spacing w:line="195" w:lineRule="exact"/>
                          <w:ind w:right="17"/>
                          <w:jc w:val="right"/>
                          <w:rPr>
                            <w:sz w:val="19"/>
                          </w:rPr>
                        </w:pPr>
                        <w:r>
                          <w:rPr>
                            <w:w w:val="105"/>
                            <w:sz w:val="19"/>
                          </w:rPr>
                          <w:t>78</w:t>
                        </w:r>
                      </w:p>
                    </w:tc>
                  </w:tr>
                  <w:tr>
                    <w:trPr>
                      <w:trHeight w:val="301" w:hRule="exact"/>
                    </w:trPr>
                    <w:tc>
                      <w:tcPr>
                        <w:tcW w:w="378" w:type="dxa"/>
                        <w:tcBorders>
                          <w:top w:val="nil"/>
                          <w:left w:val="nil"/>
                          <w:bottom w:val="nil"/>
                          <w:right w:val="single" w:sz="6" w:space="0" w:color="000000"/>
                        </w:tcBorders>
                      </w:tcPr>
                      <w:p>
                        <w:pPr>
                          <w:pStyle w:val="TableParagraph"/>
                          <w:spacing w:line="204" w:lineRule="exact"/>
                          <w:ind w:left="113"/>
                          <w:jc w:val="center"/>
                          <w:rPr>
                            <w:sz w:val="19"/>
                          </w:rPr>
                        </w:pPr>
                        <w:r>
                          <w:rPr>
                            <w:w w:val="105"/>
                            <w:sz w:val="19"/>
                          </w:rPr>
                          <w:t>79</w:t>
                        </w:r>
                      </w:p>
                    </w:tc>
                    <w:tc>
                      <w:tcPr>
                        <w:tcW w:w="833" w:type="dxa"/>
                        <w:tcBorders>
                          <w:top w:val="nil"/>
                          <w:left w:val="single" w:sz="6" w:space="0" w:color="000000"/>
                          <w:bottom w:val="nil"/>
                        </w:tcBorders>
                      </w:tcPr>
                      <w:p>
                        <w:pPr>
                          <w:pStyle w:val="TableParagraph"/>
                          <w:spacing w:line="204" w:lineRule="exact"/>
                          <w:ind w:left="80" w:right="9"/>
                          <w:jc w:val="center"/>
                          <w:rPr>
                            <w:sz w:val="19"/>
                          </w:rPr>
                        </w:pPr>
                        <w:r>
                          <w:rPr>
                            <w:w w:val="95"/>
                            <w:sz w:val="19"/>
                          </w:rPr>
                          <w:t>.09788</w:t>
                        </w:r>
                      </w:p>
                    </w:tc>
                    <w:tc>
                      <w:tcPr>
                        <w:tcW w:w="832" w:type="dxa"/>
                        <w:tcBorders>
                          <w:top w:val="nil"/>
                          <w:bottom w:val="nil"/>
                        </w:tcBorders>
                      </w:tcPr>
                      <w:p>
                        <w:pPr>
                          <w:pStyle w:val="TableParagraph"/>
                          <w:spacing w:line="208" w:lineRule="exact"/>
                          <w:ind w:right="68"/>
                          <w:jc w:val="right"/>
                          <w:rPr>
                            <w:sz w:val="19"/>
                          </w:rPr>
                        </w:pPr>
                        <w:r>
                          <w:rPr>
                            <w:w w:val="80"/>
                            <w:sz w:val="19"/>
                          </w:rPr>
                          <w:t>28,814'</w:t>
                        </w:r>
                      </w:p>
                    </w:tc>
                    <w:tc>
                      <w:tcPr>
                        <w:tcW w:w="679" w:type="dxa"/>
                        <w:tcBorders>
                          <w:top w:val="nil"/>
                          <w:bottom w:val="nil"/>
                        </w:tcBorders>
                      </w:tcPr>
                      <w:p>
                        <w:pPr>
                          <w:pStyle w:val="TableParagraph"/>
                          <w:spacing w:line="204" w:lineRule="exact"/>
                          <w:ind w:right="98"/>
                          <w:jc w:val="right"/>
                          <w:rPr>
                            <w:sz w:val="19"/>
                          </w:rPr>
                        </w:pPr>
                        <w:r>
                          <w:rPr>
                            <w:w w:val="85"/>
                            <w:sz w:val="19"/>
                          </w:rPr>
                          <w:t>2,821</w:t>
                        </w:r>
                      </w:p>
                    </w:tc>
                    <w:tc>
                      <w:tcPr>
                        <w:tcW w:w="833" w:type="dxa"/>
                        <w:tcBorders>
                          <w:top w:val="nil"/>
                          <w:bottom w:val="nil"/>
                        </w:tcBorders>
                      </w:tcPr>
                      <w:p>
                        <w:pPr>
                          <w:pStyle w:val="TableParagraph"/>
                          <w:spacing w:line="204" w:lineRule="exact"/>
                          <w:ind w:right="138"/>
                          <w:jc w:val="right"/>
                          <w:rPr>
                            <w:sz w:val="19"/>
                          </w:rPr>
                        </w:pPr>
                        <w:r>
                          <w:rPr>
                            <w:w w:val="75"/>
                            <w:sz w:val="19"/>
                          </w:rPr>
                          <w:t>27,403</w:t>
                        </w:r>
                      </w:p>
                    </w:tc>
                    <w:tc>
                      <w:tcPr>
                        <w:tcW w:w="994" w:type="dxa"/>
                        <w:tcBorders>
                          <w:top w:val="nil"/>
                          <w:bottom w:val="nil"/>
                        </w:tcBorders>
                      </w:tcPr>
                      <w:p>
                        <w:pPr>
                          <w:pStyle w:val="TableParagraph"/>
                          <w:spacing w:line="197" w:lineRule="exact"/>
                          <w:ind w:right="88"/>
                          <w:jc w:val="right"/>
                          <w:rPr>
                            <w:sz w:val="19"/>
                          </w:rPr>
                        </w:pPr>
                        <w:r>
                          <w:rPr>
                            <w:spacing w:val="-29"/>
                            <w:w w:val="245"/>
                            <w:sz w:val="19"/>
                          </w:rPr>
                          <w:t>1</w:t>
                        </w:r>
                        <w:r>
                          <w:rPr>
                            <w:spacing w:val="-42"/>
                            <w:w w:val="80"/>
                            <w:sz w:val="19"/>
                          </w:rPr>
                          <w:t>,</w:t>
                        </w:r>
                        <w:r>
                          <w:rPr>
                            <w:spacing w:val="-30"/>
                            <w:w w:val="167"/>
                            <w:sz w:val="19"/>
                          </w:rPr>
                          <w:t>«</w:t>
                        </w:r>
                        <w:r>
                          <w:rPr>
                            <w:w w:val="100"/>
                            <w:sz w:val="19"/>
                          </w:rPr>
                          <w:t>3</w:t>
                        </w:r>
                      </w:p>
                    </w:tc>
                    <w:tc>
                      <w:tcPr>
                        <w:tcW w:w="758" w:type="dxa"/>
                        <w:tcBorders>
                          <w:top w:val="nil"/>
                          <w:bottom w:val="nil"/>
                        </w:tcBorders>
                      </w:tcPr>
                      <w:p>
                        <w:pPr>
                          <w:pStyle w:val="TableParagraph"/>
                          <w:spacing w:line="197" w:lineRule="exact"/>
                          <w:ind w:left="252" w:right="-20"/>
                          <w:rPr>
                            <w:sz w:val="19"/>
                          </w:rPr>
                        </w:pPr>
                        <w:r>
                          <w:rPr>
                            <w:sz w:val="19"/>
                          </w:rPr>
                          <w:t>6.26</w:t>
                        </w:r>
                      </w:p>
                    </w:tc>
                    <w:tc>
                      <w:tcPr>
                        <w:tcW w:w="403" w:type="dxa"/>
                        <w:tcBorders>
                          <w:top w:val="nil"/>
                          <w:bottom w:val="nil"/>
                          <w:right w:val="nil"/>
                        </w:tcBorders>
                      </w:tcPr>
                      <w:p>
                        <w:pPr>
                          <w:pStyle w:val="TableParagraph"/>
                          <w:spacing w:line="177" w:lineRule="exact"/>
                          <w:ind w:right="56"/>
                          <w:jc w:val="right"/>
                          <w:rPr>
                            <w:rFonts w:ascii="Times New Roman"/>
                            <w:sz w:val="17"/>
                          </w:rPr>
                        </w:pPr>
                        <w:r>
                          <w:rPr>
                            <w:rFonts w:ascii="Times New Roman"/>
                            <w:w w:val="95"/>
                            <w:sz w:val="17"/>
                          </w:rPr>
                          <w:t>79</w:t>
                        </w:r>
                      </w:p>
                    </w:tc>
                  </w:tr>
                  <w:tr>
                    <w:trPr>
                      <w:trHeight w:val="295" w:hRule="exact"/>
                    </w:trPr>
                    <w:tc>
                      <w:tcPr>
                        <w:tcW w:w="378" w:type="dxa"/>
                        <w:tcBorders>
                          <w:top w:val="nil"/>
                          <w:left w:val="nil"/>
                          <w:bottom w:val="nil"/>
                          <w:right w:val="single" w:sz="6" w:space="0" w:color="000000"/>
                        </w:tcBorders>
                      </w:tcPr>
                      <w:p>
                        <w:pPr/>
                      </w:p>
                    </w:tc>
                    <w:tc>
                      <w:tcPr>
                        <w:tcW w:w="833" w:type="dxa"/>
                        <w:tcBorders>
                          <w:top w:val="nil"/>
                          <w:left w:val="single" w:sz="6" w:space="0" w:color="000000"/>
                          <w:bottom w:val="nil"/>
                        </w:tcBorders>
                      </w:tcPr>
                      <w:p>
                        <w:pPr>
                          <w:pStyle w:val="TableParagraph"/>
                          <w:spacing w:before="84"/>
                          <w:ind w:left="84" w:right="9"/>
                          <w:jc w:val="center"/>
                          <w:rPr>
                            <w:sz w:val="19"/>
                          </w:rPr>
                        </w:pPr>
                        <w:r>
                          <w:rPr>
                            <w:w w:val="90"/>
                            <w:sz w:val="19"/>
                          </w:rPr>
                          <w:t>.10732</w:t>
                        </w:r>
                      </w:p>
                    </w:tc>
                    <w:tc>
                      <w:tcPr>
                        <w:tcW w:w="832" w:type="dxa"/>
                        <w:tcBorders>
                          <w:top w:val="nil"/>
                          <w:bottom w:val="nil"/>
                        </w:tcBorders>
                      </w:tcPr>
                      <w:p>
                        <w:pPr>
                          <w:pStyle w:val="TableParagraph"/>
                          <w:spacing w:before="88"/>
                          <w:ind w:left="172" w:right="-3"/>
                          <w:rPr>
                            <w:sz w:val="19"/>
                          </w:rPr>
                        </w:pPr>
                        <w:r>
                          <w:rPr>
                            <w:w w:val="90"/>
                            <w:sz w:val="19"/>
                          </w:rPr>
                          <w:t>25,993</w:t>
                        </w:r>
                      </w:p>
                    </w:tc>
                    <w:tc>
                      <w:tcPr>
                        <w:tcW w:w="679" w:type="dxa"/>
                        <w:tcBorders>
                          <w:top w:val="nil"/>
                          <w:bottom w:val="nil"/>
                        </w:tcBorders>
                      </w:tcPr>
                      <w:p>
                        <w:pPr>
                          <w:pStyle w:val="TableParagraph"/>
                          <w:spacing w:before="84"/>
                          <w:ind w:right="91"/>
                          <w:jc w:val="right"/>
                          <w:rPr>
                            <w:sz w:val="19"/>
                          </w:rPr>
                        </w:pPr>
                        <w:r>
                          <w:rPr>
                            <w:w w:val="80"/>
                            <w:sz w:val="19"/>
                          </w:rPr>
                          <w:t>2,789</w:t>
                        </w:r>
                      </w:p>
                    </w:tc>
                    <w:tc>
                      <w:tcPr>
                        <w:tcW w:w="833" w:type="dxa"/>
                        <w:tcBorders>
                          <w:top w:val="nil"/>
                          <w:bottom w:val="nil"/>
                        </w:tcBorders>
                      </w:tcPr>
                      <w:p>
                        <w:pPr>
                          <w:pStyle w:val="TableParagraph"/>
                          <w:spacing w:before="84"/>
                          <w:ind w:right="148"/>
                          <w:jc w:val="right"/>
                          <w:rPr>
                            <w:sz w:val="19"/>
                          </w:rPr>
                        </w:pPr>
                        <w:r>
                          <w:rPr>
                            <w:w w:val="75"/>
                            <w:sz w:val="19"/>
                          </w:rPr>
                          <w:t>24,599</w:t>
                        </w:r>
                      </w:p>
                    </w:tc>
                    <w:tc>
                      <w:tcPr>
                        <w:tcW w:w="994" w:type="dxa"/>
                        <w:tcBorders>
                          <w:top w:val="nil"/>
                          <w:bottom w:val="nil"/>
                        </w:tcBorders>
                      </w:tcPr>
                      <w:p>
                        <w:pPr>
                          <w:pStyle w:val="TableParagraph"/>
                          <w:spacing w:before="81"/>
                          <w:ind w:right="84"/>
                          <w:jc w:val="right"/>
                          <w:rPr>
                            <w:sz w:val="19"/>
                          </w:rPr>
                        </w:pPr>
                        <w:r>
                          <w:rPr>
                            <w:w w:val="80"/>
                            <w:sz w:val="19"/>
                          </w:rPr>
                          <w:t>153,040</w:t>
                        </w:r>
                      </w:p>
                    </w:tc>
                    <w:tc>
                      <w:tcPr>
                        <w:tcW w:w="758" w:type="dxa"/>
                        <w:tcBorders>
                          <w:top w:val="nil"/>
                          <w:bottom w:val="nil"/>
                        </w:tcBorders>
                      </w:tcPr>
                      <w:p>
                        <w:pPr>
                          <w:pStyle w:val="TableParagraph"/>
                          <w:spacing w:before="81"/>
                          <w:ind w:left="252" w:right="-20"/>
                          <w:rPr>
                            <w:sz w:val="19"/>
                          </w:rPr>
                        </w:pPr>
                        <w:r>
                          <w:rPr>
                            <w:sz w:val="19"/>
                          </w:rPr>
                          <w:t>5.89</w:t>
                        </w:r>
                      </w:p>
                    </w:tc>
                    <w:tc>
                      <w:tcPr>
                        <w:tcW w:w="403" w:type="dxa"/>
                        <w:tcBorders>
                          <w:top w:val="nil"/>
                          <w:bottom w:val="nil"/>
                          <w:right w:val="nil"/>
                        </w:tcBorders>
                      </w:tcPr>
                      <w:p>
                        <w:pPr/>
                      </w:p>
                    </w:tc>
                  </w:tr>
                  <w:tr>
                    <w:trPr>
                      <w:trHeight w:val="203" w:hRule="exact"/>
                    </w:trPr>
                    <w:tc>
                      <w:tcPr>
                        <w:tcW w:w="378" w:type="dxa"/>
                        <w:tcBorders>
                          <w:top w:val="nil"/>
                          <w:left w:val="nil"/>
                          <w:bottom w:val="nil"/>
                          <w:right w:val="single" w:sz="6" w:space="0" w:color="000000"/>
                        </w:tcBorders>
                      </w:tcPr>
                      <w:p>
                        <w:pPr>
                          <w:pStyle w:val="TableParagraph"/>
                          <w:spacing w:line="206" w:lineRule="exact"/>
                          <w:ind w:left="86"/>
                          <w:jc w:val="center"/>
                          <w:rPr>
                            <w:sz w:val="19"/>
                          </w:rPr>
                        </w:pPr>
                        <w:r>
                          <w:rPr>
                            <w:sz w:val="19"/>
                          </w:rPr>
                          <w:t>81</w:t>
                        </w:r>
                      </w:p>
                    </w:tc>
                    <w:tc>
                      <w:tcPr>
                        <w:tcW w:w="833" w:type="dxa"/>
                        <w:tcBorders>
                          <w:top w:val="nil"/>
                          <w:left w:val="single" w:sz="6" w:space="0" w:color="000000"/>
                          <w:bottom w:val="nil"/>
                        </w:tcBorders>
                      </w:tcPr>
                      <w:p>
                        <w:pPr>
                          <w:pStyle w:val="TableParagraph"/>
                          <w:spacing w:line="206" w:lineRule="exact"/>
                          <w:ind w:left="79" w:right="9"/>
                          <w:jc w:val="center"/>
                          <w:rPr>
                            <w:sz w:val="19"/>
                          </w:rPr>
                        </w:pPr>
                        <w:r>
                          <w:rPr>
                            <w:w w:val="90"/>
                            <w:sz w:val="19"/>
                          </w:rPr>
                          <w:t>.11799</w:t>
                        </w:r>
                      </w:p>
                    </w:tc>
                    <w:tc>
                      <w:tcPr>
                        <w:tcW w:w="832" w:type="dxa"/>
                        <w:tcBorders>
                          <w:top w:val="nil"/>
                          <w:bottom w:val="nil"/>
                        </w:tcBorders>
                      </w:tcPr>
                      <w:p>
                        <w:pPr>
                          <w:pStyle w:val="TableParagraph"/>
                          <w:spacing w:line="210" w:lineRule="exact"/>
                          <w:ind w:left="176" w:right="-3"/>
                          <w:rPr>
                            <w:sz w:val="19"/>
                          </w:rPr>
                        </w:pPr>
                        <w:r>
                          <w:rPr>
                            <w:w w:val="140"/>
                            <w:sz w:val="19"/>
                          </w:rPr>
                          <w:t>23,</w:t>
                        </w:r>
                      </w:p>
                    </w:tc>
                    <w:tc>
                      <w:tcPr>
                        <w:tcW w:w="679" w:type="dxa"/>
                        <w:tcBorders>
                          <w:top w:val="nil"/>
                          <w:bottom w:val="nil"/>
                        </w:tcBorders>
                      </w:tcPr>
                      <w:p>
                        <w:pPr>
                          <w:pStyle w:val="TableParagraph"/>
                          <w:spacing w:line="210" w:lineRule="exact"/>
                          <w:ind w:right="84"/>
                          <w:jc w:val="right"/>
                          <w:rPr>
                            <w:sz w:val="19"/>
                          </w:rPr>
                        </w:pPr>
                        <w:r>
                          <w:rPr>
                            <w:w w:val="80"/>
                            <w:sz w:val="19"/>
                          </w:rPr>
                          <w:t>2,738</w:t>
                        </w:r>
                      </w:p>
                    </w:tc>
                    <w:tc>
                      <w:tcPr>
                        <w:tcW w:w="833" w:type="dxa"/>
                        <w:tcBorders>
                          <w:top w:val="nil"/>
                          <w:bottom w:val="nil"/>
                        </w:tcBorders>
                      </w:tcPr>
                      <w:p>
                        <w:pPr>
                          <w:pStyle w:val="TableParagraph"/>
                          <w:spacing w:line="206" w:lineRule="exact"/>
                          <w:ind w:right="147"/>
                          <w:jc w:val="right"/>
                          <w:rPr>
                            <w:sz w:val="19"/>
                          </w:rPr>
                        </w:pPr>
                        <w:r>
                          <w:rPr>
                            <w:w w:val="75"/>
                            <w:sz w:val="19"/>
                          </w:rPr>
                          <w:t>21,835</w:t>
                        </w:r>
                      </w:p>
                    </w:tc>
                    <w:tc>
                      <w:tcPr>
                        <w:tcW w:w="994" w:type="dxa"/>
                        <w:tcBorders>
                          <w:top w:val="nil"/>
                          <w:bottom w:val="nil"/>
                        </w:tcBorders>
                      </w:tcPr>
                      <w:p>
                        <w:pPr>
                          <w:pStyle w:val="TableParagraph"/>
                          <w:spacing w:line="202" w:lineRule="exact"/>
                          <w:ind w:right="99"/>
                          <w:jc w:val="right"/>
                          <w:rPr>
                            <w:sz w:val="19"/>
                          </w:rPr>
                        </w:pPr>
                        <w:r>
                          <w:rPr>
                            <w:w w:val="75"/>
                            <w:sz w:val="19"/>
                          </w:rPr>
                          <w:t>128,441</w:t>
                        </w:r>
                      </w:p>
                    </w:tc>
                    <w:tc>
                      <w:tcPr>
                        <w:tcW w:w="758" w:type="dxa"/>
                        <w:tcBorders>
                          <w:top w:val="nil"/>
                          <w:bottom w:val="nil"/>
                        </w:tcBorders>
                      </w:tcPr>
                      <w:p>
                        <w:pPr>
                          <w:pStyle w:val="TableParagraph"/>
                          <w:spacing w:line="199" w:lineRule="exact"/>
                          <w:ind w:left="255" w:right="-20"/>
                          <w:rPr>
                            <w:sz w:val="19"/>
                          </w:rPr>
                        </w:pPr>
                        <w:r>
                          <w:rPr>
                            <w:w w:val="110"/>
                            <w:sz w:val="19"/>
                          </w:rPr>
                          <w:t>5.M</w:t>
                        </w:r>
                      </w:p>
                    </w:tc>
                    <w:tc>
                      <w:tcPr>
                        <w:tcW w:w="403" w:type="dxa"/>
                        <w:tcBorders>
                          <w:top w:val="nil"/>
                          <w:bottom w:val="nil"/>
                          <w:right w:val="nil"/>
                        </w:tcBorders>
                      </w:tcPr>
                      <w:p>
                        <w:pPr>
                          <w:pStyle w:val="TableParagraph"/>
                          <w:spacing w:line="195" w:lineRule="exact"/>
                          <w:ind w:right="38"/>
                          <w:jc w:val="right"/>
                          <w:rPr>
                            <w:sz w:val="19"/>
                          </w:rPr>
                        </w:pPr>
                        <w:r>
                          <w:rPr>
                            <w:w w:val="90"/>
                            <w:sz w:val="19"/>
                          </w:rPr>
                          <w:t>81</w:t>
                        </w:r>
                      </w:p>
                    </w:tc>
                  </w:tr>
                  <w:tr>
                    <w:trPr>
                      <w:trHeight w:val="202" w:hRule="exact"/>
                    </w:trPr>
                    <w:tc>
                      <w:tcPr>
                        <w:tcW w:w="378" w:type="dxa"/>
                        <w:tcBorders>
                          <w:top w:val="nil"/>
                          <w:left w:val="nil"/>
                          <w:bottom w:val="nil"/>
                          <w:right w:val="single" w:sz="6" w:space="0" w:color="000000"/>
                        </w:tcBorders>
                      </w:tcPr>
                      <w:p>
                        <w:pPr>
                          <w:pStyle w:val="TableParagraph"/>
                          <w:spacing w:before="1"/>
                          <w:ind w:left="87"/>
                          <w:jc w:val="center"/>
                          <w:rPr>
                            <w:rFonts w:ascii="Times New Roman"/>
                            <w:sz w:val="16"/>
                          </w:rPr>
                        </w:pPr>
                        <w:r>
                          <w:rPr>
                            <w:rFonts w:ascii="Times New Roman"/>
                            <w:w w:val="110"/>
                            <w:sz w:val="16"/>
                          </w:rPr>
                          <w:t>82</w:t>
                        </w:r>
                      </w:p>
                    </w:tc>
                    <w:tc>
                      <w:tcPr>
                        <w:tcW w:w="833" w:type="dxa"/>
                        <w:tcBorders>
                          <w:top w:val="nil"/>
                          <w:left w:val="single" w:sz="6" w:space="0" w:color="000000"/>
                          <w:bottom w:val="nil"/>
                        </w:tcBorders>
                      </w:tcPr>
                      <w:p>
                        <w:pPr>
                          <w:pStyle w:val="TableParagraph"/>
                          <w:spacing w:line="204" w:lineRule="exact"/>
                          <w:ind w:left="80" w:right="9"/>
                          <w:jc w:val="center"/>
                          <w:rPr>
                            <w:sz w:val="19"/>
                          </w:rPr>
                        </w:pPr>
                        <w:r>
                          <w:rPr>
                            <w:w w:val="85"/>
                            <w:sz w:val="19"/>
                          </w:rPr>
                          <w:t>.12895</w:t>
                        </w:r>
                      </w:p>
                    </w:tc>
                    <w:tc>
                      <w:tcPr>
                        <w:tcW w:w="832" w:type="dxa"/>
                        <w:tcBorders>
                          <w:top w:val="nil"/>
                          <w:bottom w:val="nil"/>
                        </w:tcBorders>
                      </w:tcPr>
                      <w:p>
                        <w:pPr>
                          <w:pStyle w:val="TableParagraph"/>
                          <w:spacing w:line="208" w:lineRule="exact"/>
                          <w:ind w:left="172" w:right="-3"/>
                          <w:rPr>
                            <w:sz w:val="19"/>
                          </w:rPr>
                        </w:pPr>
                        <w:r>
                          <w:rPr>
                            <w:w w:val="90"/>
                            <w:sz w:val="19"/>
                          </w:rPr>
                          <w:t>20,466</w:t>
                        </w:r>
                      </w:p>
                    </w:tc>
                    <w:tc>
                      <w:tcPr>
                        <w:tcW w:w="679" w:type="dxa"/>
                        <w:tcBorders>
                          <w:top w:val="nil"/>
                          <w:bottom w:val="nil"/>
                        </w:tcBorders>
                      </w:tcPr>
                      <w:p>
                        <w:pPr>
                          <w:pStyle w:val="TableParagraph"/>
                          <w:spacing w:line="204" w:lineRule="exact"/>
                          <w:ind w:right="77"/>
                          <w:jc w:val="right"/>
                          <w:rPr>
                            <w:sz w:val="19"/>
                          </w:rPr>
                        </w:pPr>
                        <w:r>
                          <w:rPr>
                            <w:w w:val="80"/>
                            <w:sz w:val="19"/>
                          </w:rPr>
                          <w:t>2,639</w:t>
                        </w:r>
                      </w:p>
                    </w:tc>
                    <w:tc>
                      <w:tcPr>
                        <w:tcW w:w="833" w:type="dxa"/>
                        <w:tcBorders>
                          <w:top w:val="nil"/>
                          <w:bottom w:val="nil"/>
                        </w:tcBorders>
                      </w:tcPr>
                      <w:p>
                        <w:pPr>
                          <w:pStyle w:val="TableParagraph"/>
                          <w:spacing w:line="204" w:lineRule="exact"/>
                          <w:ind w:right="139"/>
                          <w:jc w:val="right"/>
                          <w:rPr>
                            <w:sz w:val="19"/>
                          </w:rPr>
                        </w:pPr>
                        <w:r>
                          <w:rPr>
                            <w:w w:val="80"/>
                            <w:sz w:val="19"/>
                          </w:rPr>
                          <w:t>19,146</w:t>
                        </w:r>
                      </w:p>
                    </w:tc>
                    <w:tc>
                      <w:tcPr>
                        <w:tcW w:w="994" w:type="dxa"/>
                        <w:tcBorders>
                          <w:top w:val="nil"/>
                          <w:bottom w:val="nil"/>
                        </w:tcBorders>
                      </w:tcPr>
                      <w:p>
                        <w:pPr>
                          <w:pStyle w:val="TableParagraph"/>
                          <w:spacing w:line="201" w:lineRule="exact"/>
                          <w:ind w:right="98"/>
                          <w:jc w:val="right"/>
                          <w:rPr>
                            <w:sz w:val="19"/>
                          </w:rPr>
                        </w:pPr>
                        <w:r>
                          <w:rPr>
                            <w:w w:val="75"/>
                            <w:sz w:val="19"/>
                          </w:rPr>
                          <w:t>106,606</w:t>
                        </w:r>
                      </w:p>
                    </w:tc>
                    <w:tc>
                      <w:tcPr>
                        <w:tcW w:w="758" w:type="dxa"/>
                        <w:tcBorders>
                          <w:top w:val="nil"/>
                          <w:bottom w:val="nil"/>
                        </w:tcBorders>
                      </w:tcPr>
                      <w:p>
                        <w:pPr>
                          <w:pStyle w:val="TableParagraph"/>
                          <w:spacing w:line="197" w:lineRule="exact"/>
                          <w:ind w:left="248" w:right="-20"/>
                          <w:rPr>
                            <w:sz w:val="19"/>
                          </w:rPr>
                        </w:pPr>
                        <w:r>
                          <w:rPr>
                            <w:sz w:val="19"/>
                          </w:rPr>
                          <w:t>5.21</w:t>
                        </w:r>
                      </w:p>
                    </w:tc>
                    <w:tc>
                      <w:tcPr>
                        <w:tcW w:w="403" w:type="dxa"/>
                        <w:tcBorders>
                          <w:top w:val="nil"/>
                          <w:bottom w:val="nil"/>
                          <w:right w:val="nil"/>
                        </w:tcBorders>
                      </w:tcPr>
                      <w:p>
                        <w:pPr>
                          <w:pStyle w:val="TableParagraph"/>
                          <w:spacing w:line="197" w:lineRule="exact"/>
                          <w:ind w:right="29"/>
                          <w:jc w:val="right"/>
                          <w:rPr>
                            <w:sz w:val="19"/>
                          </w:rPr>
                        </w:pPr>
                        <w:r>
                          <w:rPr>
                            <w:w w:val="80"/>
                            <w:sz w:val="19"/>
                          </w:rPr>
                          <w:t>82</w:t>
                        </w:r>
                      </w:p>
                    </w:tc>
                  </w:tr>
                  <w:tr>
                    <w:trPr>
                      <w:trHeight w:val="200" w:hRule="exact"/>
                    </w:trPr>
                    <w:tc>
                      <w:tcPr>
                        <w:tcW w:w="378" w:type="dxa"/>
                        <w:tcBorders>
                          <w:top w:val="nil"/>
                          <w:left w:val="nil"/>
                          <w:bottom w:val="nil"/>
                          <w:right w:val="single" w:sz="6" w:space="0" w:color="000000"/>
                        </w:tcBorders>
                      </w:tcPr>
                      <w:p>
                        <w:pPr>
                          <w:pStyle w:val="TableParagraph"/>
                          <w:spacing w:line="208" w:lineRule="exact"/>
                          <w:ind w:left="99"/>
                          <w:jc w:val="center"/>
                          <w:rPr>
                            <w:sz w:val="19"/>
                          </w:rPr>
                        </w:pPr>
                        <w:r>
                          <w:rPr>
                            <w:w w:val="90"/>
                            <w:sz w:val="19"/>
                          </w:rPr>
                          <w:t>83</w:t>
                        </w:r>
                      </w:p>
                    </w:tc>
                    <w:tc>
                      <w:tcPr>
                        <w:tcW w:w="833" w:type="dxa"/>
                        <w:tcBorders>
                          <w:top w:val="nil"/>
                          <w:left w:val="single" w:sz="6" w:space="0" w:color="000000"/>
                          <w:bottom w:val="nil"/>
                        </w:tcBorders>
                      </w:tcPr>
                      <w:p>
                        <w:pPr>
                          <w:pStyle w:val="TableParagraph"/>
                          <w:spacing w:line="204" w:lineRule="exact"/>
                          <w:ind w:left="71" w:right="9"/>
                          <w:jc w:val="center"/>
                          <w:rPr>
                            <w:sz w:val="19"/>
                          </w:rPr>
                        </w:pPr>
                        <w:r>
                          <w:rPr>
                            <w:w w:val="85"/>
                            <w:sz w:val="19"/>
                          </w:rPr>
                          <w:t>.13920</w:t>
                        </w:r>
                      </w:p>
                    </w:tc>
                    <w:tc>
                      <w:tcPr>
                        <w:tcW w:w="832" w:type="dxa"/>
                        <w:tcBorders>
                          <w:top w:val="nil"/>
                          <w:bottom w:val="nil"/>
                        </w:tcBorders>
                      </w:tcPr>
                      <w:p>
                        <w:pPr>
                          <w:pStyle w:val="TableParagraph"/>
                          <w:spacing w:line="204" w:lineRule="exact"/>
                          <w:ind w:left="183" w:right="-3"/>
                          <w:rPr>
                            <w:sz w:val="19"/>
                          </w:rPr>
                        </w:pPr>
                        <w:r>
                          <w:rPr>
                            <w:w w:val="85"/>
                            <w:sz w:val="19"/>
                          </w:rPr>
                          <w:t>17,827</w:t>
                        </w:r>
                      </w:p>
                    </w:tc>
                    <w:tc>
                      <w:tcPr>
                        <w:tcW w:w="679" w:type="dxa"/>
                        <w:tcBorders>
                          <w:top w:val="nil"/>
                          <w:bottom w:val="nil"/>
                        </w:tcBorders>
                      </w:tcPr>
                      <w:p>
                        <w:pPr>
                          <w:pStyle w:val="TableParagraph"/>
                          <w:spacing w:line="204" w:lineRule="exact"/>
                          <w:ind w:right="89"/>
                          <w:jc w:val="right"/>
                          <w:rPr>
                            <w:sz w:val="19"/>
                          </w:rPr>
                        </w:pPr>
                        <w:r>
                          <w:rPr>
                            <w:w w:val="80"/>
                            <w:sz w:val="19"/>
                          </w:rPr>
                          <w:t>2,482</w:t>
                        </w:r>
                      </w:p>
                    </w:tc>
                    <w:tc>
                      <w:tcPr>
                        <w:tcW w:w="833" w:type="dxa"/>
                        <w:tcBorders>
                          <w:top w:val="nil"/>
                          <w:bottom w:val="nil"/>
                        </w:tcBorders>
                      </w:tcPr>
                      <w:p>
                        <w:pPr>
                          <w:pStyle w:val="TableParagraph"/>
                          <w:spacing w:line="204" w:lineRule="exact"/>
                          <w:ind w:right="148"/>
                          <w:jc w:val="right"/>
                          <w:rPr>
                            <w:sz w:val="19"/>
                          </w:rPr>
                        </w:pPr>
                        <w:r>
                          <w:rPr>
                            <w:w w:val="80"/>
                            <w:sz w:val="19"/>
                          </w:rPr>
                          <w:t>16,586</w:t>
                        </w:r>
                      </w:p>
                    </w:tc>
                    <w:tc>
                      <w:tcPr>
                        <w:tcW w:w="994" w:type="dxa"/>
                        <w:tcBorders>
                          <w:top w:val="nil"/>
                          <w:bottom w:val="nil"/>
                        </w:tcBorders>
                      </w:tcPr>
                      <w:p>
                        <w:pPr>
                          <w:pStyle w:val="TableParagraph"/>
                          <w:spacing w:line="201" w:lineRule="exact"/>
                          <w:ind w:right="88"/>
                          <w:jc w:val="right"/>
                          <w:rPr>
                            <w:sz w:val="19"/>
                          </w:rPr>
                        </w:pPr>
                        <w:r>
                          <w:rPr>
                            <w:w w:val="75"/>
                            <w:sz w:val="19"/>
                          </w:rPr>
                          <w:t>87,460</w:t>
                        </w:r>
                      </w:p>
                    </w:tc>
                    <w:tc>
                      <w:tcPr>
                        <w:tcW w:w="758" w:type="dxa"/>
                        <w:tcBorders>
                          <w:top w:val="nil"/>
                          <w:bottom w:val="nil"/>
                        </w:tcBorders>
                      </w:tcPr>
                      <w:p>
                        <w:pPr>
                          <w:pStyle w:val="TableParagraph"/>
                          <w:spacing w:line="197" w:lineRule="exact"/>
                          <w:ind w:left="248" w:right="-20"/>
                          <w:rPr>
                            <w:sz w:val="19"/>
                          </w:rPr>
                        </w:pPr>
                        <w:r>
                          <w:rPr>
                            <w:sz w:val="19"/>
                          </w:rPr>
                          <w:t>4.91</w:t>
                        </w:r>
                      </w:p>
                    </w:tc>
                    <w:tc>
                      <w:tcPr>
                        <w:tcW w:w="403" w:type="dxa"/>
                        <w:tcBorders>
                          <w:top w:val="nil"/>
                          <w:bottom w:val="nil"/>
                          <w:right w:val="nil"/>
                        </w:tcBorders>
                      </w:tcPr>
                      <w:p>
                        <w:pPr>
                          <w:pStyle w:val="TableParagraph"/>
                          <w:spacing w:line="197" w:lineRule="exact"/>
                          <w:ind w:right="35"/>
                          <w:jc w:val="right"/>
                          <w:rPr>
                            <w:sz w:val="19"/>
                          </w:rPr>
                        </w:pPr>
                        <w:r>
                          <w:rPr>
                            <w:w w:val="75"/>
                            <w:sz w:val="19"/>
                          </w:rPr>
                          <w:t>83</w:t>
                        </w:r>
                      </w:p>
                    </w:tc>
                  </w:tr>
                  <w:tr>
                    <w:trPr>
                      <w:trHeight w:val="299" w:hRule="exact"/>
                    </w:trPr>
                    <w:tc>
                      <w:tcPr>
                        <w:tcW w:w="378" w:type="dxa"/>
                        <w:tcBorders>
                          <w:top w:val="nil"/>
                          <w:left w:val="nil"/>
                          <w:bottom w:val="nil"/>
                          <w:right w:val="single" w:sz="6" w:space="0" w:color="000000"/>
                        </w:tcBorders>
                      </w:tcPr>
                      <w:p>
                        <w:pPr>
                          <w:pStyle w:val="TableParagraph"/>
                          <w:spacing w:line="186" w:lineRule="exact"/>
                          <w:ind w:left="78"/>
                          <w:jc w:val="center"/>
                          <w:rPr>
                            <w:rFonts w:ascii="Times New Roman"/>
                            <w:sz w:val="17"/>
                          </w:rPr>
                        </w:pPr>
                        <w:r>
                          <w:rPr>
                            <w:rFonts w:ascii="Times New Roman"/>
                            <w:sz w:val="17"/>
                          </w:rPr>
                          <w:t>84</w:t>
                        </w:r>
                      </w:p>
                    </w:tc>
                    <w:tc>
                      <w:tcPr>
                        <w:tcW w:w="833" w:type="dxa"/>
                        <w:tcBorders>
                          <w:top w:val="nil"/>
                          <w:left w:val="single" w:sz="6" w:space="0" w:color="000000"/>
                          <w:bottom w:val="nil"/>
                        </w:tcBorders>
                      </w:tcPr>
                      <w:p>
                        <w:pPr>
                          <w:pStyle w:val="TableParagraph"/>
                          <w:spacing w:line="202" w:lineRule="exact"/>
                          <w:ind w:left="60" w:right="9"/>
                          <w:jc w:val="center"/>
                          <w:rPr>
                            <w:sz w:val="19"/>
                          </w:rPr>
                        </w:pPr>
                        <w:r>
                          <w:rPr>
                            <w:w w:val="90"/>
                            <w:sz w:val="19"/>
                          </w:rPr>
                          <w:t>.14861</w:t>
                        </w:r>
                      </w:p>
                    </w:tc>
                    <w:tc>
                      <w:tcPr>
                        <w:tcW w:w="832" w:type="dxa"/>
                        <w:tcBorders>
                          <w:top w:val="nil"/>
                          <w:bottom w:val="nil"/>
                        </w:tcBorders>
                      </w:tcPr>
                      <w:p>
                        <w:pPr>
                          <w:pStyle w:val="TableParagraph"/>
                          <w:spacing w:line="206" w:lineRule="exact"/>
                          <w:ind w:left="180" w:right="-3"/>
                          <w:rPr>
                            <w:sz w:val="19"/>
                          </w:rPr>
                        </w:pPr>
                        <w:r>
                          <w:rPr>
                            <w:w w:val="90"/>
                            <w:sz w:val="19"/>
                          </w:rPr>
                          <w:t>15,345</w:t>
                        </w:r>
                      </w:p>
                    </w:tc>
                    <w:tc>
                      <w:tcPr>
                        <w:tcW w:w="679" w:type="dxa"/>
                        <w:tcBorders>
                          <w:top w:val="nil"/>
                          <w:bottom w:val="nil"/>
                        </w:tcBorders>
                      </w:tcPr>
                      <w:p>
                        <w:pPr>
                          <w:pStyle w:val="TableParagraph"/>
                          <w:spacing w:line="188" w:lineRule="exact"/>
                          <w:ind w:right="112"/>
                          <w:jc w:val="right"/>
                          <w:rPr>
                            <w:rFonts w:ascii="Times New Roman"/>
                            <w:sz w:val="18"/>
                          </w:rPr>
                        </w:pPr>
                        <w:r>
                          <w:rPr>
                            <w:rFonts w:ascii="Times New Roman"/>
                            <w:sz w:val="18"/>
                          </w:rPr>
                          <w:t>2,280</w:t>
                        </w:r>
                      </w:p>
                    </w:tc>
                    <w:tc>
                      <w:tcPr>
                        <w:tcW w:w="833" w:type="dxa"/>
                        <w:tcBorders>
                          <w:top w:val="nil"/>
                          <w:bottom w:val="nil"/>
                        </w:tcBorders>
                      </w:tcPr>
                      <w:p>
                        <w:pPr>
                          <w:pStyle w:val="TableParagraph"/>
                          <w:spacing w:line="202" w:lineRule="exact"/>
                          <w:ind w:right="138"/>
                          <w:jc w:val="right"/>
                          <w:rPr>
                            <w:sz w:val="19"/>
                          </w:rPr>
                        </w:pPr>
                        <w:r>
                          <w:rPr>
                            <w:w w:val="75"/>
                            <w:sz w:val="19"/>
                          </w:rPr>
                          <w:t>14,205</w:t>
                        </w:r>
                      </w:p>
                    </w:tc>
                    <w:tc>
                      <w:tcPr>
                        <w:tcW w:w="994" w:type="dxa"/>
                        <w:tcBorders>
                          <w:top w:val="nil"/>
                          <w:bottom w:val="nil"/>
                        </w:tcBorders>
                      </w:tcPr>
                      <w:p>
                        <w:pPr>
                          <w:pStyle w:val="TableParagraph"/>
                          <w:spacing w:line="199" w:lineRule="exact"/>
                          <w:ind w:right="78"/>
                          <w:jc w:val="right"/>
                          <w:rPr>
                            <w:sz w:val="19"/>
                          </w:rPr>
                        </w:pPr>
                        <w:r>
                          <w:rPr>
                            <w:w w:val="95"/>
                            <w:sz w:val="19"/>
                          </w:rPr>
                          <w:t>70,874</w:t>
                        </w:r>
                      </w:p>
                    </w:tc>
                    <w:tc>
                      <w:tcPr>
                        <w:tcW w:w="758" w:type="dxa"/>
                        <w:tcBorders>
                          <w:top w:val="nil"/>
                          <w:bottom w:val="nil"/>
                        </w:tcBorders>
                      </w:tcPr>
                      <w:p>
                        <w:pPr>
                          <w:pStyle w:val="TableParagraph"/>
                          <w:spacing w:line="195" w:lineRule="exact"/>
                          <w:ind w:left="248" w:right="-8"/>
                          <w:rPr>
                            <w:sz w:val="19"/>
                          </w:rPr>
                        </w:pPr>
                        <w:r>
                          <w:rPr>
                            <w:w w:val="105"/>
                            <w:sz w:val="19"/>
                          </w:rPr>
                          <w:t>4.62</w:t>
                        </w:r>
                      </w:p>
                    </w:tc>
                    <w:tc>
                      <w:tcPr>
                        <w:tcW w:w="403" w:type="dxa"/>
                        <w:tcBorders>
                          <w:top w:val="nil"/>
                          <w:bottom w:val="nil"/>
                          <w:right w:val="nil"/>
                        </w:tcBorders>
                      </w:tcPr>
                      <w:p>
                        <w:pPr>
                          <w:pStyle w:val="TableParagraph"/>
                          <w:spacing w:line="175" w:lineRule="exact"/>
                          <w:ind w:right="52"/>
                          <w:jc w:val="right"/>
                          <w:rPr>
                            <w:rFonts w:ascii="Times New Roman"/>
                            <w:sz w:val="17"/>
                          </w:rPr>
                        </w:pPr>
                        <w:r>
                          <w:rPr>
                            <w:rFonts w:ascii="Times New Roman"/>
                            <w:w w:val="95"/>
                            <w:sz w:val="17"/>
                          </w:rPr>
                          <w:t>84</w:t>
                        </w:r>
                      </w:p>
                    </w:tc>
                  </w:tr>
                  <w:tr>
                    <w:trPr>
                      <w:trHeight w:val="301" w:hRule="exact"/>
                    </w:trPr>
                    <w:tc>
                      <w:tcPr>
                        <w:tcW w:w="378" w:type="dxa"/>
                        <w:tcBorders>
                          <w:top w:val="nil"/>
                          <w:left w:val="nil"/>
                          <w:bottom w:val="nil"/>
                          <w:right w:val="single" w:sz="6" w:space="0" w:color="000000"/>
                        </w:tcBorders>
                      </w:tcPr>
                      <w:p>
                        <w:pPr>
                          <w:pStyle w:val="TableParagraph"/>
                          <w:spacing w:before="91"/>
                          <w:ind w:left="83"/>
                          <w:jc w:val="center"/>
                          <w:rPr>
                            <w:rFonts w:ascii="Times New Roman"/>
                            <w:sz w:val="17"/>
                          </w:rPr>
                        </w:pPr>
                        <w:r>
                          <w:rPr>
                            <w:rFonts w:ascii="Times New Roman"/>
                            <w:sz w:val="17"/>
                          </w:rPr>
                          <w:t>85</w:t>
                        </w:r>
                      </w:p>
                    </w:tc>
                    <w:tc>
                      <w:tcPr>
                        <w:tcW w:w="833" w:type="dxa"/>
                        <w:tcBorders>
                          <w:top w:val="nil"/>
                          <w:left w:val="single" w:sz="6" w:space="0" w:color="000000"/>
                          <w:bottom w:val="nil"/>
                        </w:tcBorders>
                      </w:tcPr>
                      <w:p>
                        <w:pPr>
                          <w:pStyle w:val="TableParagraph"/>
                          <w:spacing w:before="91"/>
                          <w:ind w:left="66" w:right="9"/>
                          <w:jc w:val="center"/>
                          <w:rPr>
                            <w:sz w:val="19"/>
                          </w:rPr>
                        </w:pPr>
                        <w:r>
                          <w:rPr>
                            <w:w w:val="80"/>
                            <w:sz w:val="19"/>
                          </w:rPr>
                          <w:t>.16039</w:t>
                        </w:r>
                      </w:p>
                    </w:tc>
                    <w:tc>
                      <w:tcPr>
                        <w:tcW w:w="832" w:type="dxa"/>
                        <w:tcBorders>
                          <w:top w:val="nil"/>
                          <w:bottom w:val="nil"/>
                        </w:tcBorders>
                      </w:tcPr>
                      <w:p>
                        <w:pPr>
                          <w:pStyle w:val="TableParagraph"/>
                          <w:spacing w:before="91"/>
                          <w:ind w:left="180" w:right="-3"/>
                          <w:rPr>
                            <w:sz w:val="19"/>
                          </w:rPr>
                        </w:pPr>
                        <w:r>
                          <w:rPr>
                            <w:w w:val="90"/>
                            <w:sz w:val="19"/>
                          </w:rPr>
                          <w:t>13,065</w:t>
                        </w:r>
                      </w:p>
                    </w:tc>
                    <w:tc>
                      <w:tcPr>
                        <w:tcW w:w="679" w:type="dxa"/>
                        <w:tcBorders>
                          <w:top w:val="nil"/>
                          <w:bottom w:val="nil"/>
                        </w:tcBorders>
                      </w:tcPr>
                      <w:p>
                        <w:pPr>
                          <w:pStyle w:val="TableParagraph"/>
                          <w:spacing w:before="91"/>
                          <w:ind w:right="120"/>
                          <w:jc w:val="right"/>
                          <w:rPr>
                            <w:rFonts w:ascii="Times New Roman"/>
                            <w:sz w:val="17"/>
                          </w:rPr>
                        </w:pPr>
                        <w:r>
                          <w:rPr>
                            <w:rFonts w:ascii="Times New Roman"/>
                            <w:sz w:val="17"/>
                          </w:rPr>
                          <w:t>2,096</w:t>
                        </w:r>
                      </w:p>
                    </w:tc>
                    <w:tc>
                      <w:tcPr>
                        <w:tcW w:w="833" w:type="dxa"/>
                        <w:tcBorders>
                          <w:top w:val="nil"/>
                          <w:bottom w:val="nil"/>
                        </w:tcBorders>
                      </w:tcPr>
                      <w:p>
                        <w:pPr>
                          <w:pStyle w:val="TableParagraph"/>
                          <w:spacing w:before="91"/>
                          <w:ind w:right="141"/>
                          <w:jc w:val="right"/>
                          <w:rPr>
                            <w:sz w:val="19"/>
                          </w:rPr>
                        </w:pPr>
                        <w:r>
                          <w:rPr>
                            <w:w w:val="85"/>
                            <w:sz w:val="19"/>
                          </w:rPr>
                          <w:t>12,017</w:t>
                        </w:r>
                      </w:p>
                    </w:tc>
                    <w:tc>
                      <w:tcPr>
                        <w:tcW w:w="994" w:type="dxa"/>
                        <w:tcBorders>
                          <w:top w:val="nil"/>
                          <w:bottom w:val="nil"/>
                        </w:tcBorders>
                      </w:tcPr>
                      <w:p>
                        <w:pPr>
                          <w:pStyle w:val="TableParagraph"/>
                          <w:spacing w:before="88"/>
                          <w:ind w:right="78"/>
                          <w:jc w:val="right"/>
                          <w:rPr>
                            <w:sz w:val="19"/>
                          </w:rPr>
                        </w:pPr>
                        <w:r>
                          <w:rPr>
                            <w:w w:val="85"/>
                            <w:sz w:val="19"/>
                          </w:rPr>
                          <w:t>56,669</w:t>
                        </w:r>
                      </w:p>
                    </w:tc>
                    <w:tc>
                      <w:tcPr>
                        <w:tcW w:w="758" w:type="dxa"/>
                        <w:tcBorders>
                          <w:top w:val="nil"/>
                          <w:bottom w:val="nil"/>
                        </w:tcBorders>
                      </w:tcPr>
                      <w:p>
                        <w:pPr>
                          <w:pStyle w:val="TableParagraph"/>
                          <w:spacing w:before="81"/>
                          <w:ind w:left="248" w:right="-20"/>
                          <w:rPr>
                            <w:sz w:val="19"/>
                          </w:rPr>
                        </w:pPr>
                        <w:r>
                          <w:rPr>
                            <w:w w:val="95"/>
                            <w:sz w:val="19"/>
                          </w:rPr>
                          <w:t>4.34</w:t>
                        </w:r>
                      </w:p>
                    </w:tc>
                    <w:tc>
                      <w:tcPr>
                        <w:tcW w:w="403" w:type="dxa"/>
                        <w:tcBorders>
                          <w:top w:val="nil"/>
                          <w:bottom w:val="nil"/>
                          <w:right w:val="nil"/>
                        </w:tcBorders>
                      </w:tcPr>
                      <w:p>
                        <w:pPr>
                          <w:pStyle w:val="TableParagraph"/>
                          <w:spacing w:before="84"/>
                          <w:ind w:right="42"/>
                          <w:jc w:val="right"/>
                          <w:rPr>
                            <w:rFonts w:ascii="Times New Roman"/>
                            <w:sz w:val="17"/>
                          </w:rPr>
                        </w:pPr>
                        <w:r>
                          <w:rPr>
                            <w:rFonts w:ascii="Times New Roman"/>
                            <w:w w:val="105"/>
                            <w:sz w:val="17"/>
                          </w:rPr>
                          <w:t>85</w:t>
                        </w:r>
                      </w:p>
                    </w:tc>
                  </w:tr>
                  <w:tr>
                    <w:trPr>
                      <w:trHeight w:val="203" w:hRule="exact"/>
                    </w:trPr>
                    <w:tc>
                      <w:tcPr>
                        <w:tcW w:w="378" w:type="dxa"/>
                        <w:tcBorders>
                          <w:top w:val="nil"/>
                          <w:left w:val="nil"/>
                          <w:bottom w:val="nil"/>
                          <w:right w:val="single" w:sz="6" w:space="0" w:color="000000"/>
                        </w:tcBorders>
                      </w:tcPr>
                      <w:p>
                        <w:pPr>
                          <w:pStyle w:val="TableParagraph"/>
                          <w:spacing w:line="191" w:lineRule="exact"/>
                          <w:ind w:left="78"/>
                          <w:jc w:val="center"/>
                          <w:rPr>
                            <w:rFonts w:ascii="Times New Roman"/>
                            <w:sz w:val="17"/>
                          </w:rPr>
                        </w:pPr>
                        <w:r>
                          <w:rPr>
                            <w:rFonts w:ascii="Times New Roman"/>
                            <w:sz w:val="17"/>
                          </w:rPr>
                          <w:t>86</w:t>
                        </w:r>
                      </w:p>
                    </w:tc>
                    <w:tc>
                      <w:tcPr>
                        <w:tcW w:w="833" w:type="dxa"/>
                        <w:tcBorders>
                          <w:top w:val="nil"/>
                          <w:left w:val="single" w:sz="6" w:space="0" w:color="000000"/>
                          <w:bottom w:val="nil"/>
                        </w:tcBorders>
                      </w:tcPr>
                      <w:p>
                        <w:pPr>
                          <w:pStyle w:val="TableParagraph"/>
                          <w:spacing w:line="208" w:lineRule="exact"/>
                          <w:ind w:left="63" w:right="9"/>
                          <w:jc w:val="center"/>
                          <w:rPr>
                            <w:sz w:val="19"/>
                          </w:rPr>
                        </w:pPr>
                        <w:r>
                          <w:rPr>
                            <w:w w:val="85"/>
                            <w:sz w:val="19"/>
                          </w:rPr>
                          <w:t>.17303</w:t>
                        </w:r>
                      </w:p>
                    </w:tc>
                    <w:tc>
                      <w:tcPr>
                        <w:tcW w:w="832" w:type="dxa"/>
                        <w:tcBorders>
                          <w:top w:val="nil"/>
                          <w:bottom w:val="nil"/>
                        </w:tcBorders>
                      </w:tcPr>
                      <w:p>
                        <w:pPr>
                          <w:pStyle w:val="TableParagraph"/>
                          <w:spacing w:line="211" w:lineRule="exact"/>
                          <w:ind w:left="183" w:right="-6"/>
                          <w:rPr>
                            <w:sz w:val="19"/>
                          </w:rPr>
                        </w:pPr>
                        <w:r>
                          <w:rPr>
                            <w:w w:val="90"/>
                            <w:sz w:val="19"/>
                          </w:rPr>
                          <w:t>10,969</w:t>
                        </w:r>
                      </w:p>
                    </w:tc>
                    <w:tc>
                      <w:tcPr>
                        <w:tcW w:w="679" w:type="dxa"/>
                        <w:tcBorders>
                          <w:top w:val="nil"/>
                          <w:bottom w:val="nil"/>
                        </w:tcBorders>
                      </w:tcPr>
                      <w:p>
                        <w:pPr>
                          <w:pStyle w:val="TableParagraph"/>
                          <w:spacing w:line="208" w:lineRule="exact"/>
                          <w:ind w:right="89"/>
                          <w:jc w:val="right"/>
                          <w:rPr>
                            <w:sz w:val="19"/>
                          </w:rPr>
                        </w:pPr>
                        <w:r>
                          <w:rPr>
                            <w:w w:val="75"/>
                            <w:sz w:val="19"/>
                          </w:rPr>
                          <w:t>1,898</w:t>
                        </w:r>
                      </w:p>
                    </w:tc>
                    <w:tc>
                      <w:tcPr>
                        <w:tcW w:w="833" w:type="dxa"/>
                        <w:tcBorders>
                          <w:top w:val="nil"/>
                          <w:bottom w:val="nil"/>
                        </w:tcBorders>
                      </w:tcPr>
                      <w:p>
                        <w:pPr>
                          <w:pStyle w:val="TableParagraph"/>
                          <w:spacing w:line="204" w:lineRule="exact"/>
                          <w:ind w:right="137"/>
                          <w:jc w:val="right"/>
                          <w:rPr>
                            <w:sz w:val="19"/>
                          </w:rPr>
                        </w:pPr>
                        <w:r>
                          <w:rPr>
                            <w:w w:val="75"/>
                            <w:sz w:val="19"/>
                          </w:rPr>
                          <w:t>10,020</w:t>
                        </w:r>
                      </w:p>
                    </w:tc>
                    <w:tc>
                      <w:tcPr>
                        <w:tcW w:w="994" w:type="dxa"/>
                        <w:tcBorders>
                          <w:top w:val="nil"/>
                          <w:bottom w:val="nil"/>
                        </w:tcBorders>
                      </w:tcPr>
                      <w:p>
                        <w:pPr>
                          <w:pStyle w:val="TableParagraph"/>
                          <w:spacing w:line="201" w:lineRule="exact"/>
                          <w:ind w:right="81"/>
                          <w:jc w:val="right"/>
                          <w:rPr>
                            <w:sz w:val="19"/>
                          </w:rPr>
                        </w:pPr>
                        <w:r>
                          <w:rPr>
                            <w:w w:val="80"/>
                            <w:sz w:val="19"/>
                          </w:rPr>
                          <w:t>44,652</w:t>
                        </w:r>
                      </w:p>
                    </w:tc>
                    <w:tc>
                      <w:tcPr>
                        <w:tcW w:w="758" w:type="dxa"/>
                        <w:tcBorders>
                          <w:top w:val="nil"/>
                          <w:bottom w:val="nil"/>
                        </w:tcBorders>
                      </w:tcPr>
                      <w:p>
                        <w:pPr>
                          <w:pStyle w:val="TableParagraph"/>
                          <w:spacing w:line="197" w:lineRule="exact"/>
                          <w:ind w:left="248" w:right="-20"/>
                          <w:rPr>
                            <w:sz w:val="19"/>
                          </w:rPr>
                        </w:pPr>
                        <w:r>
                          <w:rPr>
                            <w:sz w:val="19"/>
                          </w:rPr>
                          <w:t>4.07</w:t>
                        </w:r>
                      </w:p>
                    </w:tc>
                    <w:tc>
                      <w:tcPr>
                        <w:tcW w:w="403" w:type="dxa"/>
                        <w:tcBorders>
                          <w:top w:val="nil"/>
                          <w:bottom w:val="nil"/>
                          <w:right w:val="nil"/>
                        </w:tcBorders>
                      </w:tcPr>
                      <w:p>
                        <w:pPr>
                          <w:pStyle w:val="TableParagraph"/>
                          <w:spacing w:line="177" w:lineRule="exact"/>
                          <w:ind w:right="52"/>
                          <w:jc w:val="right"/>
                          <w:rPr>
                            <w:rFonts w:ascii="Times New Roman"/>
                            <w:sz w:val="17"/>
                          </w:rPr>
                        </w:pPr>
                        <w:r>
                          <w:rPr>
                            <w:rFonts w:ascii="Times New Roman"/>
                            <w:w w:val="95"/>
                            <w:sz w:val="17"/>
                          </w:rPr>
                          <w:t>86</w:t>
                        </w:r>
                      </w:p>
                    </w:tc>
                  </w:tr>
                  <w:tr>
                    <w:trPr>
                      <w:trHeight w:val="202" w:hRule="exact"/>
                    </w:trPr>
                    <w:tc>
                      <w:tcPr>
                        <w:tcW w:w="378" w:type="dxa"/>
                        <w:tcBorders>
                          <w:top w:val="nil"/>
                          <w:left w:val="nil"/>
                          <w:bottom w:val="nil"/>
                          <w:right w:val="single" w:sz="6" w:space="0" w:color="000000"/>
                        </w:tcBorders>
                      </w:tcPr>
                      <w:p>
                        <w:pPr>
                          <w:pStyle w:val="TableParagraph"/>
                          <w:spacing w:line="210" w:lineRule="exact"/>
                          <w:ind w:left="89"/>
                          <w:jc w:val="center"/>
                          <w:rPr>
                            <w:sz w:val="19"/>
                          </w:rPr>
                        </w:pPr>
                        <w:r>
                          <w:rPr>
                            <w:w w:val="90"/>
                            <w:sz w:val="19"/>
                          </w:rPr>
                          <w:t>87</w:t>
                        </w:r>
                      </w:p>
                    </w:tc>
                    <w:tc>
                      <w:tcPr>
                        <w:tcW w:w="833" w:type="dxa"/>
                        <w:tcBorders>
                          <w:top w:val="nil"/>
                          <w:left w:val="single" w:sz="6" w:space="0" w:color="000000"/>
                          <w:bottom w:val="nil"/>
                        </w:tcBorders>
                      </w:tcPr>
                      <w:p>
                        <w:pPr>
                          <w:pStyle w:val="TableParagraph"/>
                          <w:spacing w:line="206" w:lineRule="exact"/>
                          <w:ind w:left="66" w:right="9"/>
                          <w:jc w:val="center"/>
                          <w:rPr>
                            <w:sz w:val="19"/>
                          </w:rPr>
                        </w:pPr>
                        <w:r>
                          <w:rPr>
                            <w:w w:val="80"/>
                            <w:sz w:val="19"/>
                          </w:rPr>
                          <w:t>.18665</w:t>
                        </w:r>
                      </w:p>
                    </w:tc>
                    <w:tc>
                      <w:tcPr>
                        <w:tcW w:w="832" w:type="dxa"/>
                        <w:tcBorders>
                          <w:top w:val="nil"/>
                          <w:bottom w:val="nil"/>
                        </w:tcBorders>
                      </w:tcPr>
                      <w:p>
                        <w:pPr>
                          <w:pStyle w:val="TableParagraph"/>
                          <w:spacing w:line="206" w:lineRule="exact"/>
                          <w:ind w:left="248" w:right="-3"/>
                          <w:rPr>
                            <w:sz w:val="19"/>
                          </w:rPr>
                        </w:pPr>
                        <w:r>
                          <w:rPr>
                            <w:w w:val="90"/>
                            <w:sz w:val="19"/>
                          </w:rPr>
                          <w:t>9,071</w:t>
                        </w:r>
                      </w:p>
                    </w:tc>
                    <w:tc>
                      <w:tcPr>
                        <w:tcW w:w="679" w:type="dxa"/>
                        <w:tcBorders>
                          <w:top w:val="nil"/>
                          <w:bottom w:val="nil"/>
                        </w:tcBorders>
                      </w:tcPr>
                      <w:p>
                        <w:pPr>
                          <w:pStyle w:val="TableParagraph"/>
                          <w:spacing w:line="206" w:lineRule="exact"/>
                          <w:ind w:right="86"/>
                          <w:jc w:val="right"/>
                          <w:rPr>
                            <w:sz w:val="19"/>
                          </w:rPr>
                        </w:pPr>
                        <w:r>
                          <w:rPr>
                            <w:w w:val="95"/>
                            <w:sz w:val="19"/>
                          </w:rPr>
                          <w:t>1,693</w:t>
                        </w:r>
                      </w:p>
                    </w:tc>
                    <w:tc>
                      <w:tcPr>
                        <w:tcW w:w="833" w:type="dxa"/>
                        <w:tcBorders>
                          <w:top w:val="nil"/>
                          <w:bottom w:val="nil"/>
                        </w:tcBorders>
                      </w:tcPr>
                      <w:p>
                        <w:pPr>
                          <w:pStyle w:val="TableParagraph"/>
                          <w:spacing w:line="202" w:lineRule="exact"/>
                          <w:ind w:right="148"/>
                          <w:jc w:val="right"/>
                          <w:rPr>
                            <w:sz w:val="19"/>
                          </w:rPr>
                        </w:pPr>
                        <w:r>
                          <w:rPr>
                            <w:w w:val="60"/>
                            <w:sz w:val="19"/>
                          </w:rPr>
                          <w:t>8,2'25</w:t>
                        </w:r>
                      </w:p>
                    </w:tc>
                    <w:tc>
                      <w:tcPr>
                        <w:tcW w:w="994" w:type="dxa"/>
                        <w:tcBorders>
                          <w:top w:val="nil"/>
                          <w:bottom w:val="nil"/>
                        </w:tcBorders>
                      </w:tcPr>
                      <w:p>
                        <w:pPr>
                          <w:pStyle w:val="TableParagraph"/>
                          <w:spacing w:line="199" w:lineRule="exact"/>
                          <w:ind w:right="88"/>
                          <w:jc w:val="right"/>
                          <w:rPr>
                            <w:sz w:val="19"/>
                          </w:rPr>
                        </w:pPr>
                        <w:r>
                          <w:rPr>
                            <w:w w:val="75"/>
                            <w:sz w:val="19"/>
                          </w:rPr>
                          <w:t>34,632</w:t>
                        </w:r>
                      </w:p>
                    </w:tc>
                    <w:tc>
                      <w:tcPr>
                        <w:tcW w:w="758" w:type="dxa"/>
                        <w:tcBorders>
                          <w:top w:val="nil"/>
                          <w:bottom w:val="nil"/>
                        </w:tcBorders>
                      </w:tcPr>
                      <w:p>
                        <w:pPr>
                          <w:pStyle w:val="TableParagraph"/>
                          <w:spacing w:line="195" w:lineRule="exact"/>
                          <w:ind w:left="248" w:right="-20"/>
                          <w:rPr>
                            <w:sz w:val="19"/>
                          </w:rPr>
                        </w:pPr>
                        <w:r>
                          <w:rPr>
                            <w:sz w:val="19"/>
                          </w:rPr>
                          <w:t>3.82</w:t>
                        </w:r>
                      </w:p>
                    </w:tc>
                    <w:tc>
                      <w:tcPr>
                        <w:tcW w:w="403" w:type="dxa"/>
                        <w:tcBorders>
                          <w:top w:val="nil"/>
                          <w:bottom w:val="nil"/>
                          <w:right w:val="nil"/>
                        </w:tcBorders>
                      </w:tcPr>
                      <w:p>
                        <w:pPr>
                          <w:pStyle w:val="TableParagraph"/>
                          <w:spacing w:line="195" w:lineRule="exact"/>
                          <w:ind w:right="34"/>
                          <w:jc w:val="right"/>
                          <w:rPr>
                            <w:sz w:val="19"/>
                          </w:rPr>
                        </w:pPr>
                        <w:r>
                          <w:rPr>
                            <w:w w:val="80"/>
                            <w:sz w:val="19"/>
                          </w:rPr>
                          <w:t>87</w:t>
                        </w:r>
                      </w:p>
                    </w:tc>
                  </w:tr>
                  <w:tr>
                    <w:trPr>
                      <w:trHeight w:val="200" w:hRule="exact"/>
                    </w:trPr>
                    <w:tc>
                      <w:tcPr>
                        <w:tcW w:w="378" w:type="dxa"/>
                        <w:tcBorders>
                          <w:top w:val="nil"/>
                          <w:left w:val="nil"/>
                          <w:bottom w:val="nil"/>
                          <w:right w:val="single" w:sz="6" w:space="0" w:color="000000"/>
                        </w:tcBorders>
                      </w:tcPr>
                      <w:p>
                        <w:pPr>
                          <w:pStyle w:val="TableParagraph"/>
                          <w:spacing w:line="184" w:lineRule="exact"/>
                          <w:ind w:left="90"/>
                          <w:jc w:val="center"/>
                          <w:rPr>
                            <w:rFonts w:ascii="Times New Roman"/>
                            <w:sz w:val="16"/>
                          </w:rPr>
                        </w:pPr>
                        <w:r>
                          <w:rPr>
                            <w:rFonts w:ascii="Times New Roman"/>
                            <w:w w:val="110"/>
                            <w:sz w:val="16"/>
                          </w:rPr>
                          <w:t>88</w:t>
                        </w:r>
                      </w:p>
                    </w:tc>
                    <w:tc>
                      <w:tcPr>
                        <w:tcW w:w="833" w:type="dxa"/>
                        <w:tcBorders>
                          <w:top w:val="nil"/>
                          <w:left w:val="single" w:sz="6" w:space="0" w:color="000000"/>
                          <w:bottom w:val="nil"/>
                        </w:tcBorders>
                      </w:tcPr>
                      <w:p>
                        <w:pPr>
                          <w:pStyle w:val="TableParagraph"/>
                          <w:spacing w:line="202" w:lineRule="exact"/>
                          <w:ind w:left="79" w:right="9"/>
                          <w:jc w:val="center"/>
                          <w:rPr>
                            <w:sz w:val="19"/>
                          </w:rPr>
                        </w:pPr>
                        <w:r>
                          <w:rPr>
                            <w:w w:val="90"/>
                            <w:sz w:val="19"/>
                          </w:rPr>
                          <w:t>.20194</w:t>
                        </w:r>
                      </w:p>
                    </w:tc>
                    <w:tc>
                      <w:tcPr>
                        <w:tcW w:w="832" w:type="dxa"/>
                        <w:tcBorders>
                          <w:top w:val="nil"/>
                          <w:bottom w:val="nil"/>
                        </w:tcBorders>
                      </w:tcPr>
                      <w:p>
                        <w:pPr>
                          <w:pStyle w:val="TableParagraph"/>
                          <w:spacing w:line="206" w:lineRule="exact"/>
                          <w:ind w:left="251" w:right="-3"/>
                          <w:rPr>
                            <w:sz w:val="19"/>
                          </w:rPr>
                        </w:pPr>
                        <w:r>
                          <w:rPr>
                            <w:spacing w:val="-17"/>
                            <w:sz w:val="19"/>
                          </w:rPr>
                          <w:t>7,378</w:t>
                        </w:r>
                      </w:p>
                    </w:tc>
                    <w:tc>
                      <w:tcPr>
                        <w:tcW w:w="679" w:type="dxa"/>
                        <w:tcBorders>
                          <w:top w:val="nil"/>
                          <w:bottom w:val="nil"/>
                        </w:tcBorders>
                      </w:tcPr>
                      <w:p>
                        <w:pPr>
                          <w:pStyle w:val="TableParagraph"/>
                          <w:spacing w:line="202" w:lineRule="exact"/>
                          <w:ind w:right="81"/>
                          <w:jc w:val="right"/>
                          <w:rPr>
                            <w:sz w:val="19"/>
                          </w:rPr>
                        </w:pPr>
                        <w:r>
                          <w:rPr>
                            <w:w w:val="85"/>
                            <w:sz w:val="19"/>
                          </w:rPr>
                          <w:t>1,490</w:t>
                        </w:r>
                      </w:p>
                    </w:tc>
                    <w:tc>
                      <w:tcPr>
                        <w:tcW w:w="833" w:type="dxa"/>
                        <w:tcBorders>
                          <w:top w:val="nil"/>
                          <w:bottom w:val="nil"/>
                        </w:tcBorders>
                      </w:tcPr>
                      <w:p>
                        <w:pPr>
                          <w:pStyle w:val="TableParagraph"/>
                          <w:spacing w:line="206" w:lineRule="exact"/>
                          <w:ind w:right="138"/>
                          <w:jc w:val="right"/>
                          <w:rPr>
                            <w:sz w:val="19"/>
                          </w:rPr>
                        </w:pPr>
                        <w:r>
                          <w:rPr>
                            <w:w w:val="80"/>
                            <w:sz w:val="19"/>
                          </w:rPr>
                          <w:t>6,633</w:t>
                        </w:r>
                      </w:p>
                    </w:tc>
                    <w:tc>
                      <w:tcPr>
                        <w:tcW w:w="994" w:type="dxa"/>
                        <w:tcBorders>
                          <w:top w:val="nil"/>
                          <w:bottom w:val="nil"/>
                        </w:tcBorders>
                      </w:tcPr>
                      <w:p>
                        <w:pPr>
                          <w:pStyle w:val="TableParagraph"/>
                          <w:spacing w:line="199" w:lineRule="exact"/>
                          <w:ind w:right="95"/>
                          <w:jc w:val="right"/>
                          <w:rPr>
                            <w:sz w:val="19"/>
                          </w:rPr>
                        </w:pPr>
                        <w:r>
                          <w:rPr>
                            <w:w w:val="75"/>
                            <w:sz w:val="19"/>
                          </w:rPr>
                          <w:t>26,407</w:t>
                        </w:r>
                      </w:p>
                    </w:tc>
                    <w:tc>
                      <w:tcPr>
                        <w:tcW w:w="758" w:type="dxa"/>
                        <w:tcBorders>
                          <w:top w:val="nil"/>
                          <w:bottom w:val="nil"/>
                        </w:tcBorders>
                      </w:tcPr>
                      <w:p>
                        <w:pPr>
                          <w:pStyle w:val="TableParagraph"/>
                          <w:spacing w:line="195" w:lineRule="exact"/>
                          <w:ind w:left="252" w:right="-20"/>
                          <w:rPr>
                            <w:sz w:val="19"/>
                          </w:rPr>
                        </w:pPr>
                        <w:r>
                          <w:rPr>
                            <w:sz w:val="19"/>
                          </w:rPr>
                          <w:t>3.58</w:t>
                        </w:r>
                      </w:p>
                    </w:tc>
                    <w:tc>
                      <w:tcPr>
                        <w:tcW w:w="403" w:type="dxa"/>
                        <w:tcBorders>
                          <w:top w:val="nil"/>
                          <w:bottom w:val="nil"/>
                          <w:right w:val="nil"/>
                        </w:tcBorders>
                      </w:tcPr>
                      <w:p>
                        <w:pPr>
                          <w:pStyle w:val="TableParagraph"/>
                          <w:spacing w:line="173" w:lineRule="exact"/>
                          <w:ind w:right="45"/>
                          <w:jc w:val="right"/>
                          <w:rPr>
                            <w:rFonts w:ascii="Times New Roman"/>
                            <w:sz w:val="16"/>
                          </w:rPr>
                        </w:pPr>
                        <w:r>
                          <w:rPr>
                            <w:rFonts w:ascii="Times New Roman"/>
                            <w:w w:val="110"/>
                            <w:sz w:val="16"/>
                          </w:rPr>
                          <w:t>88</w:t>
                        </w:r>
                      </w:p>
                    </w:tc>
                  </w:tr>
                  <w:tr>
                    <w:trPr>
                      <w:trHeight w:val="300" w:hRule="exact"/>
                    </w:trPr>
                    <w:tc>
                      <w:tcPr>
                        <w:tcW w:w="378" w:type="dxa"/>
                        <w:tcBorders>
                          <w:top w:val="nil"/>
                          <w:left w:val="nil"/>
                          <w:bottom w:val="nil"/>
                          <w:right w:val="single" w:sz="6" w:space="0" w:color="000000"/>
                        </w:tcBorders>
                      </w:tcPr>
                      <w:p>
                        <w:pPr>
                          <w:pStyle w:val="TableParagraph"/>
                          <w:spacing w:before="5"/>
                          <w:ind w:left="75"/>
                          <w:jc w:val="center"/>
                          <w:rPr>
                            <w:rFonts w:ascii="Times New Roman"/>
                            <w:sz w:val="16"/>
                          </w:rPr>
                        </w:pPr>
                        <w:r>
                          <w:rPr>
                            <w:rFonts w:ascii="Times New Roman"/>
                            <w:w w:val="110"/>
                            <w:sz w:val="16"/>
                          </w:rPr>
                          <w:t>89</w:t>
                        </w:r>
                      </w:p>
                    </w:tc>
                    <w:tc>
                      <w:tcPr>
                        <w:tcW w:w="833" w:type="dxa"/>
                        <w:tcBorders>
                          <w:top w:val="nil"/>
                          <w:left w:val="single" w:sz="6" w:space="0" w:color="000000"/>
                          <w:bottom w:val="nil"/>
                        </w:tcBorders>
                      </w:tcPr>
                      <w:p>
                        <w:pPr>
                          <w:pStyle w:val="TableParagraph"/>
                          <w:spacing w:line="204" w:lineRule="exact"/>
                          <w:ind w:left="55" w:right="9"/>
                          <w:jc w:val="center"/>
                          <w:rPr>
                            <w:sz w:val="19"/>
                          </w:rPr>
                        </w:pPr>
                        <w:r>
                          <w:rPr>
                            <w:w w:val="90"/>
                            <w:sz w:val="19"/>
                          </w:rPr>
                          <w:t>.21877</w:t>
                        </w:r>
                      </w:p>
                    </w:tc>
                    <w:tc>
                      <w:tcPr>
                        <w:tcW w:w="832" w:type="dxa"/>
                        <w:tcBorders>
                          <w:top w:val="nil"/>
                          <w:bottom w:val="nil"/>
                        </w:tcBorders>
                      </w:tcPr>
                      <w:p>
                        <w:pPr>
                          <w:pStyle w:val="TableParagraph"/>
                          <w:spacing w:line="208" w:lineRule="exact"/>
                          <w:ind w:left="248" w:right="-3"/>
                          <w:rPr>
                            <w:sz w:val="19"/>
                          </w:rPr>
                        </w:pPr>
                        <w:r>
                          <w:rPr>
                            <w:w w:val="90"/>
                            <w:sz w:val="19"/>
                          </w:rPr>
                          <w:t>5,888</w:t>
                        </w:r>
                      </w:p>
                    </w:tc>
                    <w:tc>
                      <w:tcPr>
                        <w:tcW w:w="679" w:type="dxa"/>
                        <w:tcBorders>
                          <w:top w:val="nil"/>
                          <w:bottom w:val="nil"/>
                        </w:tcBorders>
                      </w:tcPr>
                      <w:p>
                        <w:pPr>
                          <w:pStyle w:val="TableParagraph"/>
                          <w:spacing w:line="204" w:lineRule="exact"/>
                          <w:ind w:right="104"/>
                          <w:jc w:val="right"/>
                          <w:rPr>
                            <w:sz w:val="19"/>
                          </w:rPr>
                        </w:pPr>
                        <w:r>
                          <w:rPr>
                            <w:w w:val="70"/>
                            <w:sz w:val="19"/>
                          </w:rPr>
                          <w:t>1,288</w:t>
                        </w:r>
                      </w:p>
                    </w:tc>
                    <w:tc>
                      <w:tcPr>
                        <w:tcW w:w="833" w:type="dxa"/>
                        <w:tcBorders>
                          <w:top w:val="nil"/>
                          <w:bottom w:val="nil"/>
                        </w:tcBorders>
                      </w:tcPr>
                      <w:p>
                        <w:pPr>
                          <w:pStyle w:val="TableParagraph"/>
                          <w:spacing w:line="204" w:lineRule="exact"/>
                          <w:ind w:right="148"/>
                          <w:jc w:val="right"/>
                          <w:rPr>
                            <w:sz w:val="19"/>
                          </w:rPr>
                        </w:pPr>
                        <w:r>
                          <w:rPr>
                            <w:w w:val="80"/>
                            <w:sz w:val="19"/>
                          </w:rPr>
                          <w:t>5,244</w:t>
                        </w:r>
                      </w:p>
                    </w:tc>
                    <w:tc>
                      <w:tcPr>
                        <w:tcW w:w="994" w:type="dxa"/>
                        <w:tcBorders>
                          <w:top w:val="nil"/>
                          <w:bottom w:val="nil"/>
                        </w:tcBorders>
                      </w:tcPr>
                      <w:p>
                        <w:pPr>
                          <w:pStyle w:val="TableParagraph"/>
                          <w:spacing w:line="197" w:lineRule="exact"/>
                          <w:ind w:right="82"/>
                          <w:jc w:val="right"/>
                          <w:rPr>
                            <w:sz w:val="19"/>
                          </w:rPr>
                        </w:pPr>
                        <w:r>
                          <w:rPr>
                            <w:w w:val="95"/>
                            <w:sz w:val="19"/>
                          </w:rPr>
                          <w:t>19,774</w:t>
                        </w:r>
                      </w:p>
                    </w:tc>
                    <w:tc>
                      <w:tcPr>
                        <w:tcW w:w="758" w:type="dxa"/>
                        <w:tcBorders>
                          <w:top w:val="nil"/>
                          <w:bottom w:val="nil"/>
                        </w:tcBorders>
                      </w:tcPr>
                      <w:p>
                        <w:pPr>
                          <w:pStyle w:val="TableParagraph"/>
                          <w:spacing w:line="197" w:lineRule="exact"/>
                          <w:ind w:left="248" w:right="-20"/>
                          <w:rPr>
                            <w:sz w:val="19"/>
                          </w:rPr>
                        </w:pPr>
                        <w:r>
                          <w:rPr>
                            <w:w w:val="95"/>
                            <w:sz w:val="19"/>
                          </w:rPr>
                          <w:t>3.36</w:t>
                        </w:r>
                      </w:p>
                    </w:tc>
                    <w:tc>
                      <w:tcPr>
                        <w:tcW w:w="403" w:type="dxa"/>
                        <w:tcBorders>
                          <w:top w:val="nil"/>
                          <w:bottom w:val="nil"/>
                          <w:right w:val="nil"/>
                        </w:tcBorders>
                      </w:tcPr>
                      <w:p>
                        <w:pPr>
                          <w:pStyle w:val="TableParagraph"/>
                          <w:spacing w:line="197" w:lineRule="exact"/>
                          <w:ind w:right="40"/>
                          <w:jc w:val="right"/>
                          <w:rPr>
                            <w:sz w:val="19"/>
                          </w:rPr>
                        </w:pPr>
                        <w:r>
                          <w:rPr>
                            <w:w w:val="80"/>
                            <w:sz w:val="19"/>
                          </w:rPr>
                          <w:t>89</w:t>
                        </w:r>
                      </w:p>
                    </w:tc>
                  </w:tr>
                  <w:tr>
                    <w:trPr>
                      <w:trHeight w:val="300" w:hRule="exact"/>
                    </w:trPr>
                    <w:tc>
                      <w:tcPr>
                        <w:tcW w:w="378" w:type="dxa"/>
                        <w:tcBorders>
                          <w:top w:val="nil"/>
                          <w:left w:val="nil"/>
                          <w:bottom w:val="nil"/>
                          <w:right w:val="single" w:sz="6" w:space="0" w:color="000000"/>
                        </w:tcBorders>
                      </w:tcPr>
                      <w:p>
                        <w:pPr>
                          <w:pStyle w:val="TableParagraph"/>
                          <w:spacing w:before="86"/>
                          <w:ind w:left="73"/>
                          <w:jc w:val="center"/>
                          <w:rPr>
                            <w:rFonts w:ascii="Times New Roman"/>
                            <w:sz w:val="18"/>
                          </w:rPr>
                        </w:pPr>
                        <w:r>
                          <w:rPr>
                            <w:rFonts w:ascii="Times New Roman"/>
                            <w:sz w:val="18"/>
                          </w:rPr>
                          <w:t>90</w:t>
                        </w:r>
                      </w:p>
                    </w:tc>
                    <w:tc>
                      <w:tcPr>
                        <w:tcW w:w="833" w:type="dxa"/>
                        <w:tcBorders>
                          <w:top w:val="nil"/>
                          <w:left w:val="single" w:sz="6" w:space="0" w:color="000000"/>
                          <w:bottom w:val="nil"/>
                        </w:tcBorders>
                      </w:tcPr>
                      <w:p>
                        <w:pPr>
                          <w:pStyle w:val="TableParagraph"/>
                          <w:spacing w:before="79"/>
                          <w:ind w:left="50" w:right="9"/>
                          <w:jc w:val="center"/>
                          <w:rPr>
                            <w:rFonts w:ascii="Times New Roman"/>
                            <w:sz w:val="18"/>
                          </w:rPr>
                        </w:pPr>
                        <w:r>
                          <w:rPr>
                            <w:rFonts w:ascii="Times New Roman"/>
                            <w:sz w:val="18"/>
                          </w:rPr>
                          <w:t>.23601</w:t>
                        </w:r>
                      </w:p>
                    </w:tc>
                    <w:tc>
                      <w:tcPr>
                        <w:tcW w:w="832" w:type="dxa"/>
                        <w:tcBorders>
                          <w:top w:val="nil"/>
                          <w:bottom w:val="nil"/>
                        </w:tcBorders>
                      </w:tcPr>
                      <w:p>
                        <w:pPr>
                          <w:pStyle w:val="TableParagraph"/>
                          <w:spacing w:before="92"/>
                          <w:ind w:left="241" w:right="-3"/>
                          <w:rPr>
                            <w:sz w:val="19"/>
                          </w:rPr>
                        </w:pPr>
                        <w:r>
                          <w:rPr>
                            <w:w w:val="95"/>
                            <w:sz w:val="19"/>
                          </w:rPr>
                          <w:t>4,600</w:t>
                        </w:r>
                      </w:p>
                    </w:tc>
                    <w:tc>
                      <w:tcPr>
                        <w:tcW w:w="679" w:type="dxa"/>
                        <w:tcBorders>
                          <w:top w:val="nil"/>
                          <w:bottom w:val="nil"/>
                        </w:tcBorders>
                      </w:tcPr>
                      <w:p>
                        <w:pPr>
                          <w:pStyle w:val="TableParagraph"/>
                          <w:spacing w:before="92"/>
                          <w:ind w:right="105"/>
                          <w:jc w:val="right"/>
                          <w:rPr>
                            <w:rFonts w:ascii="Times New Roman"/>
                            <w:sz w:val="17"/>
                          </w:rPr>
                        </w:pPr>
                        <w:r>
                          <w:rPr>
                            <w:rFonts w:ascii="Times New Roman"/>
                            <w:w w:val="105"/>
                            <w:sz w:val="17"/>
                          </w:rPr>
                          <w:t>1,086</w:t>
                        </w:r>
                      </w:p>
                    </w:tc>
                    <w:tc>
                      <w:tcPr>
                        <w:tcW w:w="833" w:type="dxa"/>
                        <w:tcBorders>
                          <w:top w:val="nil"/>
                          <w:bottom w:val="nil"/>
                        </w:tcBorders>
                      </w:tcPr>
                      <w:p>
                        <w:pPr>
                          <w:pStyle w:val="TableParagraph"/>
                          <w:spacing w:before="89"/>
                          <w:ind w:right="138"/>
                          <w:jc w:val="right"/>
                          <w:rPr>
                            <w:sz w:val="19"/>
                          </w:rPr>
                        </w:pPr>
                        <w:r>
                          <w:rPr>
                            <w:w w:val="85"/>
                            <w:sz w:val="19"/>
                          </w:rPr>
                          <w:t>4,058</w:t>
                        </w:r>
                      </w:p>
                    </w:tc>
                    <w:tc>
                      <w:tcPr>
                        <w:tcW w:w="994" w:type="dxa"/>
                        <w:tcBorders>
                          <w:top w:val="nil"/>
                          <w:bottom w:val="nil"/>
                        </w:tcBorders>
                      </w:tcPr>
                      <w:p>
                        <w:pPr>
                          <w:pStyle w:val="TableParagraph"/>
                          <w:spacing w:before="85"/>
                          <w:ind w:right="95"/>
                          <w:jc w:val="right"/>
                          <w:rPr>
                            <w:sz w:val="19"/>
                          </w:rPr>
                        </w:pPr>
                        <w:r>
                          <w:rPr>
                            <w:w w:val="70"/>
                            <w:sz w:val="19"/>
                          </w:rPr>
                          <w:t>14,530</w:t>
                        </w:r>
                      </w:p>
                    </w:tc>
                    <w:tc>
                      <w:tcPr>
                        <w:tcW w:w="758" w:type="dxa"/>
                        <w:tcBorders>
                          <w:top w:val="nil"/>
                          <w:bottom w:val="nil"/>
                        </w:tcBorders>
                      </w:tcPr>
                      <w:p>
                        <w:pPr>
                          <w:pStyle w:val="TableParagraph"/>
                          <w:spacing w:before="85"/>
                          <w:ind w:left="252" w:right="-20"/>
                          <w:rPr>
                            <w:sz w:val="19"/>
                          </w:rPr>
                        </w:pPr>
                        <w:r>
                          <w:rPr>
                            <w:w w:val="95"/>
                            <w:sz w:val="19"/>
                          </w:rPr>
                          <w:t>3.16</w:t>
                        </w:r>
                      </w:p>
                    </w:tc>
                    <w:tc>
                      <w:tcPr>
                        <w:tcW w:w="403" w:type="dxa"/>
                        <w:tcBorders>
                          <w:top w:val="nil"/>
                          <w:bottom w:val="nil"/>
                          <w:right w:val="nil"/>
                        </w:tcBorders>
                      </w:tcPr>
                      <w:p>
                        <w:pPr>
                          <w:pStyle w:val="TableParagraph"/>
                          <w:spacing w:before="75"/>
                          <w:ind w:right="53"/>
                          <w:jc w:val="right"/>
                          <w:rPr>
                            <w:rFonts w:ascii="Times New Roman"/>
                            <w:sz w:val="18"/>
                          </w:rPr>
                        </w:pPr>
                        <w:r>
                          <w:rPr>
                            <w:rFonts w:ascii="Times New Roman"/>
                            <w:w w:val="95"/>
                            <w:sz w:val="18"/>
                          </w:rPr>
                          <w:t>90</w:t>
                        </w:r>
                      </w:p>
                    </w:tc>
                  </w:tr>
                  <w:tr>
                    <w:trPr>
                      <w:trHeight w:val="198" w:hRule="exact"/>
                    </w:trPr>
                    <w:tc>
                      <w:tcPr>
                        <w:tcW w:w="378" w:type="dxa"/>
                        <w:tcBorders>
                          <w:top w:val="nil"/>
                          <w:left w:val="nil"/>
                          <w:bottom w:val="nil"/>
                          <w:right w:val="single" w:sz="6" w:space="0" w:color="000000"/>
                        </w:tcBorders>
                      </w:tcPr>
                      <w:p>
                        <w:pPr>
                          <w:pStyle w:val="TableParagraph"/>
                          <w:spacing w:line="206" w:lineRule="exact"/>
                          <w:ind w:left="83"/>
                          <w:jc w:val="center"/>
                          <w:rPr>
                            <w:sz w:val="19"/>
                          </w:rPr>
                        </w:pPr>
                        <w:r>
                          <w:rPr>
                            <w:sz w:val="19"/>
                          </w:rPr>
                          <w:t>91</w:t>
                        </w:r>
                      </w:p>
                    </w:tc>
                    <w:tc>
                      <w:tcPr>
                        <w:tcW w:w="833" w:type="dxa"/>
                        <w:tcBorders>
                          <w:top w:val="nil"/>
                          <w:left w:val="single" w:sz="6" w:space="0" w:color="000000"/>
                          <w:bottom w:val="nil"/>
                        </w:tcBorders>
                      </w:tcPr>
                      <w:p>
                        <w:pPr>
                          <w:pStyle w:val="TableParagraph"/>
                          <w:spacing w:line="206" w:lineRule="exact"/>
                          <w:ind w:left="57" w:right="9"/>
                          <w:jc w:val="center"/>
                          <w:rPr>
                            <w:sz w:val="19"/>
                          </w:rPr>
                        </w:pPr>
                        <w:r>
                          <w:rPr>
                            <w:w w:val="90"/>
                            <w:sz w:val="19"/>
                          </w:rPr>
                          <w:t>.25289</w:t>
                        </w:r>
                      </w:p>
                    </w:tc>
                    <w:tc>
                      <w:tcPr>
                        <w:tcW w:w="832" w:type="dxa"/>
                        <w:tcBorders>
                          <w:top w:val="nil"/>
                          <w:bottom w:val="nil"/>
                        </w:tcBorders>
                      </w:tcPr>
                      <w:p>
                        <w:pPr>
                          <w:pStyle w:val="TableParagraph"/>
                          <w:spacing w:line="206" w:lineRule="exact"/>
                          <w:ind w:left="248" w:right="-3"/>
                          <w:rPr>
                            <w:sz w:val="19"/>
                          </w:rPr>
                        </w:pPr>
                        <w:r>
                          <w:rPr>
                            <w:spacing w:val="-23"/>
                            <w:sz w:val="19"/>
                          </w:rPr>
                          <w:t>3,514</w:t>
                        </w:r>
                      </w:p>
                    </w:tc>
                    <w:tc>
                      <w:tcPr>
                        <w:tcW w:w="679" w:type="dxa"/>
                        <w:tcBorders>
                          <w:top w:val="nil"/>
                          <w:bottom w:val="nil"/>
                        </w:tcBorders>
                      </w:tcPr>
                      <w:p>
                        <w:pPr>
                          <w:pStyle w:val="TableParagraph"/>
                          <w:spacing w:line="189" w:lineRule="exact"/>
                          <w:ind w:right="105"/>
                          <w:jc w:val="right"/>
                          <w:rPr>
                            <w:rFonts w:ascii="Times New Roman"/>
                            <w:sz w:val="17"/>
                          </w:rPr>
                        </w:pPr>
                        <w:r>
                          <w:rPr>
                            <w:rFonts w:ascii="Times New Roman"/>
                            <w:sz w:val="17"/>
                          </w:rPr>
                          <w:t>888</w:t>
                        </w:r>
                      </w:p>
                    </w:tc>
                    <w:tc>
                      <w:tcPr>
                        <w:tcW w:w="833" w:type="dxa"/>
                        <w:tcBorders>
                          <w:top w:val="nil"/>
                          <w:bottom w:val="nil"/>
                        </w:tcBorders>
                      </w:tcPr>
                      <w:p>
                        <w:pPr>
                          <w:pStyle w:val="TableParagraph"/>
                          <w:spacing w:line="206" w:lineRule="exact"/>
                          <w:ind w:right="116"/>
                          <w:jc w:val="right"/>
                          <w:rPr>
                            <w:sz w:val="19"/>
                          </w:rPr>
                        </w:pPr>
                        <w:r>
                          <w:rPr>
                            <w:w w:val="85"/>
                            <w:sz w:val="19"/>
                          </w:rPr>
                          <w:t>3,070</w:t>
                        </w:r>
                      </w:p>
                    </w:tc>
                    <w:tc>
                      <w:tcPr>
                        <w:tcW w:w="994" w:type="dxa"/>
                        <w:tcBorders>
                          <w:top w:val="nil"/>
                          <w:bottom w:val="nil"/>
                        </w:tcBorders>
                      </w:tcPr>
                      <w:p>
                        <w:pPr>
                          <w:pStyle w:val="TableParagraph"/>
                          <w:spacing w:line="199" w:lineRule="exact"/>
                          <w:ind w:right="81"/>
                          <w:jc w:val="right"/>
                          <w:rPr>
                            <w:sz w:val="19"/>
                          </w:rPr>
                        </w:pPr>
                        <w:r>
                          <w:rPr>
                            <w:w w:val="90"/>
                            <w:sz w:val="19"/>
                          </w:rPr>
                          <w:t>10,472</w:t>
                        </w:r>
                      </w:p>
                    </w:tc>
                    <w:tc>
                      <w:tcPr>
                        <w:tcW w:w="758" w:type="dxa"/>
                        <w:tcBorders>
                          <w:top w:val="nil"/>
                          <w:bottom w:val="nil"/>
                        </w:tcBorders>
                      </w:tcPr>
                      <w:p>
                        <w:pPr>
                          <w:pStyle w:val="TableParagraph"/>
                          <w:spacing w:line="199" w:lineRule="exact"/>
                          <w:ind w:left="255" w:right="-15"/>
                          <w:rPr>
                            <w:sz w:val="19"/>
                          </w:rPr>
                        </w:pPr>
                        <w:r>
                          <w:rPr>
                            <w:w w:val="105"/>
                            <w:sz w:val="19"/>
                          </w:rPr>
                          <w:t>2.98</w:t>
                        </w:r>
                      </w:p>
                    </w:tc>
                    <w:tc>
                      <w:tcPr>
                        <w:tcW w:w="403" w:type="dxa"/>
                        <w:tcBorders>
                          <w:top w:val="nil"/>
                          <w:bottom w:val="nil"/>
                          <w:right w:val="nil"/>
                        </w:tcBorders>
                      </w:tcPr>
                      <w:p>
                        <w:pPr>
                          <w:pStyle w:val="TableParagraph"/>
                          <w:spacing w:line="195" w:lineRule="exact"/>
                          <w:ind w:right="47"/>
                          <w:jc w:val="right"/>
                          <w:rPr>
                            <w:sz w:val="19"/>
                          </w:rPr>
                        </w:pPr>
                        <w:r>
                          <w:rPr>
                            <w:w w:val="90"/>
                            <w:sz w:val="19"/>
                          </w:rPr>
                          <w:t>91</w:t>
                        </w:r>
                      </w:p>
                    </w:tc>
                  </w:tr>
                  <w:tr>
                    <w:trPr>
                      <w:trHeight w:val="205" w:hRule="exact"/>
                    </w:trPr>
                    <w:tc>
                      <w:tcPr>
                        <w:tcW w:w="378" w:type="dxa"/>
                        <w:tcBorders>
                          <w:top w:val="nil"/>
                          <w:left w:val="nil"/>
                          <w:bottom w:val="nil"/>
                          <w:right w:val="single" w:sz="6" w:space="0" w:color="000000"/>
                        </w:tcBorders>
                      </w:tcPr>
                      <w:p>
                        <w:pPr>
                          <w:pStyle w:val="TableParagraph"/>
                          <w:spacing w:line="210" w:lineRule="exact"/>
                          <w:ind w:left="105"/>
                          <w:jc w:val="center"/>
                          <w:rPr>
                            <w:sz w:val="19"/>
                          </w:rPr>
                        </w:pPr>
                        <w:r>
                          <w:rPr>
                            <w:w w:val="105"/>
                            <w:sz w:val="19"/>
                          </w:rPr>
                          <w:t>92</w:t>
                        </w:r>
                      </w:p>
                    </w:tc>
                    <w:tc>
                      <w:tcPr>
                        <w:tcW w:w="833" w:type="dxa"/>
                        <w:tcBorders>
                          <w:top w:val="nil"/>
                          <w:left w:val="single" w:sz="6" w:space="0" w:color="000000"/>
                          <w:bottom w:val="nil"/>
                        </w:tcBorders>
                      </w:tcPr>
                      <w:p>
                        <w:pPr>
                          <w:pStyle w:val="TableParagraph"/>
                          <w:spacing w:line="210" w:lineRule="exact"/>
                          <w:ind w:left="64" w:right="9"/>
                          <w:jc w:val="center"/>
                          <w:rPr>
                            <w:sz w:val="19"/>
                          </w:rPr>
                        </w:pPr>
                        <w:r>
                          <w:rPr>
                            <w:w w:val="95"/>
                            <w:sz w:val="19"/>
                          </w:rPr>
                          <w:t>.26973</w:t>
                        </w:r>
                      </w:p>
                    </w:tc>
                    <w:tc>
                      <w:tcPr>
                        <w:tcW w:w="832" w:type="dxa"/>
                        <w:tcBorders>
                          <w:top w:val="nil"/>
                          <w:bottom w:val="nil"/>
                        </w:tcBorders>
                      </w:tcPr>
                      <w:p>
                        <w:pPr>
                          <w:pStyle w:val="TableParagraph"/>
                          <w:spacing w:line="213" w:lineRule="exact"/>
                          <w:ind w:left="248" w:right="-3"/>
                          <w:rPr>
                            <w:sz w:val="19"/>
                          </w:rPr>
                        </w:pPr>
                        <w:r>
                          <w:rPr>
                            <w:spacing w:val="-19"/>
                            <w:sz w:val="19"/>
                          </w:rPr>
                          <w:t>2,626</w:t>
                        </w:r>
                      </w:p>
                    </w:tc>
                    <w:tc>
                      <w:tcPr>
                        <w:tcW w:w="679" w:type="dxa"/>
                        <w:tcBorders>
                          <w:top w:val="nil"/>
                          <w:bottom w:val="nil"/>
                        </w:tcBorders>
                      </w:tcPr>
                      <w:p>
                        <w:pPr>
                          <w:pStyle w:val="TableParagraph"/>
                          <w:spacing w:line="210" w:lineRule="exact"/>
                          <w:ind w:right="98"/>
                          <w:jc w:val="right"/>
                          <w:rPr>
                            <w:sz w:val="19"/>
                          </w:rPr>
                        </w:pPr>
                        <w:r>
                          <w:rPr>
                            <w:w w:val="90"/>
                            <w:sz w:val="19"/>
                          </w:rPr>
                          <w:t>709</w:t>
                        </w:r>
                      </w:p>
                    </w:tc>
                    <w:tc>
                      <w:tcPr>
                        <w:tcW w:w="833" w:type="dxa"/>
                        <w:tcBorders>
                          <w:top w:val="nil"/>
                          <w:bottom w:val="nil"/>
                        </w:tcBorders>
                      </w:tcPr>
                      <w:p>
                        <w:pPr>
                          <w:pStyle w:val="TableParagraph"/>
                          <w:spacing w:line="206" w:lineRule="exact"/>
                          <w:ind w:right="150"/>
                          <w:jc w:val="right"/>
                          <w:rPr>
                            <w:sz w:val="19"/>
                          </w:rPr>
                        </w:pPr>
                        <w:r>
                          <w:rPr>
                            <w:w w:val="80"/>
                            <w:sz w:val="19"/>
                          </w:rPr>
                          <w:t>2,271</w:t>
                        </w:r>
                      </w:p>
                    </w:tc>
                    <w:tc>
                      <w:tcPr>
                        <w:tcW w:w="994" w:type="dxa"/>
                        <w:tcBorders>
                          <w:top w:val="nil"/>
                          <w:bottom w:val="nil"/>
                        </w:tcBorders>
                      </w:tcPr>
                      <w:p>
                        <w:pPr>
                          <w:pStyle w:val="TableParagraph"/>
                          <w:spacing w:line="202" w:lineRule="exact"/>
                          <w:ind w:right="91"/>
                          <w:jc w:val="right"/>
                          <w:rPr>
                            <w:sz w:val="19"/>
                          </w:rPr>
                        </w:pPr>
                        <w:r>
                          <w:rPr>
                            <w:w w:val="80"/>
                            <w:sz w:val="19"/>
                          </w:rPr>
                          <w:t>7,402</w:t>
                        </w:r>
                      </w:p>
                    </w:tc>
                    <w:tc>
                      <w:tcPr>
                        <w:tcW w:w="758" w:type="dxa"/>
                        <w:tcBorders>
                          <w:top w:val="nil"/>
                          <w:bottom w:val="nil"/>
                        </w:tcBorders>
                      </w:tcPr>
                      <w:p>
                        <w:pPr>
                          <w:pStyle w:val="TableParagraph"/>
                          <w:spacing w:line="199" w:lineRule="exact"/>
                          <w:ind w:left="252" w:right="-20"/>
                          <w:rPr>
                            <w:sz w:val="19"/>
                          </w:rPr>
                        </w:pPr>
                        <w:r>
                          <w:rPr>
                            <w:sz w:val="19"/>
                          </w:rPr>
                          <w:t>2.82</w:t>
                        </w:r>
                      </w:p>
                    </w:tc>
                    <w:tc>
                      <w:tcPr>
                        <w:tcW w:w="403" w:type="dxa"/>
                        <w:tcBorders>
                          <w:top w:val="nil"/>
                          <w:bottom w:val="nil"/>
                          <w:right w:val="nil"/>
                        </w:tcBorders>
                      </w:tcPr>
                      <w:p>
                        <w:pPr>
                          <w:pStyle w:val="TableParagraph"/>
                          <w:spacing w:line="195" w:lineRule="exact"/>
                          <w:ind w:right="29"/>
                          <w:jc w:val="right"/>
                          <w:rPr>
                            <w:sz w:val="19"/>
                          </w:rPr>
                        </w:pPr>
                        <w:r>
                          <w:rPr>
                            <w:sz w:val="19"/>
                          </w:rPr>
                          <w:t>92</w:t>
                        </w:r>
                      </w:p>
                    </w:tc>
                  </w:tr>
                  <w:tr>
                    <w:trPr>
                      <w:trHeight w:val="198" w:hRule="exact"/>
                    </w:trPr>
                    <w:tc>
                      <w:tcPr>
                        <w:tcW w:w="378" w:type="dxa"/>
                        <w:tcBorders>
                          <w:top w:val="nil"/>
                          <w:left w:val="nil"/>
                          <w:bottom w:val="nil"/>
                          <w:right w:val="single" w:sz="6" w:space="0" w:color="000000"/>
                        </w:tcBorders>
                      </w:tcPr>
                      <w:p>
                        <w:pPr>
                          <w:pStyle w:val="TableParagraph"/>
                          <w:spacing w:before="3"/>
                          <w:ind w:left="87"/>
                          <w:jc w:val="center"/>
                          <w:rPr>
                            <w:rFonts w:ascii="Times New Roman"/>
                            <w:sz w:val="16"/>
                          </w:rPr>
                        </w:pPr>
                        <w:r>
                          <w:rPr>
                            <w:rFonts w:ascii="Times New Roman"/>
                            <w:w w:val="110"/>
                            <w:sz w:val="16"/>
                          </w:rPr>
                          <w:t>93</w:t>
                        </w:r>
                      </w:p>
                    </w:tc>
                    <w:tc>
                      <w:tcPr>
                        <w:tcW w:w="833" w:type="dxa"/>
                        <w:tcBorders>
                          <w:top w:val="nil"/>
                          <w:left w:val="single" w:sz="6" w:space="0" w:color="000000"/>
                          <w:bottom w:val="nil"/>
                        </w:tcBorders>
                      </w:tcPr>
                      <w:p>
                        <w:pPr>
                          <w:pStyle w:val="TableParagraph"/>
                          <w:spacing w:line="206" w:lineRule="exact"/>
                          <w:ind w:left="73" w:right="9"/>
                          <w:jc w:val="center"/>
                          <w:rPr>
                            <w:sz w:val="19"/>
                          </w:rPr>
                        </w:pPr>
                        <w:r>
                          <w:rPr>
                            <w:w w:val="80"/>
                            <w:sz w:val="19"/>
                          </w:rPr>
                          <w:t>.28612</w:t>
                        </w:r>
                      </w:p>
                    </w:tc>
                    <w:tc>
                      <w:tcPr>
                        <w:tcW w:w="832" w:type="dxa"/>
                        <w:tcBorders>
                          <w:top w:val="nil"/>
                          <w:bottom w:val="nil"/>
                        </w:tcBorders>
                      </w:tcPr>
                      <w:p>
                        <w:pPr>
                          <w:pStyle w:val="TableParagraph"/>
                          <w:spacing w:line="206" w:lineRule="exact"/>
                          <w:ind w:left="262" w:right="-3"/>
                          <w:rPr>
                            <w:sz w:val="19"/>
                          </w:rPr>
                        </w:pPr>
                        <w:r>
                          <w:rPr>
                            <w:w w:val="90"/>
                            <w:sz w:val="19"/>
                          </w:rPr>
                          <w:t>1,917</w:t>
                        </w:r>
                      </w:p>
                    </w:tc>
                    <w:tc>
                      <w:tcPr>
                        <w:tcW w:w="679" w:type="dxa"/>
                        <w:tcBorders>
                          <w:top w:val="nil"/>
                          <w:bottom w:val="nil"/>
                        </w:tcBorders>
                      </w:tcPr>
                      <w:p>
                        <w:pPr>
                          <w:pStyle w:val="TableParagraph"/>
                          <w:spacing w:line="206" w:lineRule="exact"/>
                          <w:ind w:right="77"/>
                          <w:jc w:val="right"/>
                          <w:rPr>
                            <w:sz w:val="19"/>
                          </w:rPr>
                        </w:pPr>
                        <w:r>
                          <w:rPr>
                            <w:w w:val="90"/>
                            <w:sz w:val="19"/>
                          </w:rPr>
                          <w:t>548</w:t>
                        </w:r>
                      </w:p>
                    </w:tc>
                    <w:tc>
                      <w:tcPr>
                        <w:tcW w:w="833" w:type="dxa"/>
                        <w:tcBorders>
                          <w:top w:val="nil"/>
                          <w:bottom w:val="nil"/>
                        </w:tcBorders>
                      </w:tcPr>
                      <w:p>
                        <w:pPr>
                          <w:pStyle w:val="TableParagraph"/>
                          <w:spacing w:line="202" w:lineRule="exact"/>
                          <w:ind w:right="136"/>
                          <w:jc w:val="right"/>
                          <w:rPr>
                            <w:sz w:val="19"/>
                          </w:rPr>
                        </w:pPr>
                        <w:r>
                          <w:rPr>
                            <w:w w:val="80"/>
                            <w:sz w:val="19"/>
                          </w:rPr>
                          <w:t>1,643</w:t>
                        </w:r>
                      </w:p>
                    </w:tc>
                    <w:tc>
                      <w:tcPr>
                        <w:tcW w:w="994" w:type="dxa"/>
                        <w:tcBorders>
                          <w:top w:val="nil"/>
                          <w:bottom w:val="nil"/>
                        </w:tcBorders>
                      </w:tcPr>
                      <w:p>
                        <w:pPr>
                          <w:pStyle w:val="TableParagraph"/>
                          <w:spacing w:line="195" w:lineRule="exact"/>
                          <w:ind w:right="105"/>
                          <w:jc w:val="right"/>
                          <w:rPr>
                            <w:sz w:val="19"/>
                          </w:rPr>
                        </w:pPr>
                        <w:r>
                          <w:rPr>
                            <w:w w:val="75"/>
                            <w:sz w:val="19"/>
                          </w:rPr>
                          <w:t>5,131</w:t>
                        </w:r>
                      </w:p>
                    </w:tc>
                    <w:tc>
                      <w:tcPr>
                        <w:tcW w:w="758" w:type="dxa"/>
                        <w:tcBorders>
                          <w:top w:val="nil"/>
                          <w:bottom w:val="nil"/>
                        </w:tcBorders>
                      </w:tcPr>
                      <w:p>
                        <w:pPr>
                          <w:pStyle w:val="TableParagraph"/>
                          <w:spacing w:line="195" w:lineRule="exact"/>
                          <w:ind w:left="255" w:right="-20"/>
                          <w:rPr>
                            <w:sz w:val="19"/>
                          </w:rPr>
                        </w:pPr>
                        <w:r>
                          <w:rPr>
                            <w:sz w:val="19"/>
                          </w:rPr>
                          <w:t>2.68</w:t>
                        </w:r>
                      </w:p>
                    </w:tc>
                    <w:tc>
                      <w:tcPr>
                        <w:tcW w:w="403" w:type="dxa"/>
                        <w:tcBorders>
                          <w:top w:val="nil"/>
                          <w:bottom w:val="nil"/>
                          <w:right w:val="nil"/>
                        </w:tcBorders>
                      </w:tcPr>
                      <w:p>
                        <w:pPr>
                          <w:pStyle w:val="TableParagraph"/>
                          <w:spacing w:line="173" w:lineRule="exact"/>
                          <w:ind w:right="51"/>
                          <w:jc w:val="right"/>
                          <w:rPr>
                            <w:rFonts w:ascii="Times New Roman"/>
                            <w:sz w:val="16"/>
                          </w:rPr>
                        </w:pPr>
                        <w:r>
                          <w:rPr>
                            <w:rFonts w:ascii="Times New Roman"/>
                            <w:w w:val="105"/>
                            <w:sz w:val="16"/>
                          </w:rPr>
                          <w:t>93</w:t>
                        </w:r>
                      </w:p>
                    </w:tc>
                  </w:tr>
                  <w:tr>
                    <w:trPr>
                      <w:trHeight w:val="302" w:hRule="exact"/>
                    </w:trPr>
                    <w:tc>
                      <w:tcPr>
                        <w:tcW w:w="378" w:type="dxa"/>
                        <w:tcBorders>
                          <w:top w:val="nil"/>
                          <w:left w:val="nil"/>
                          <w:bottom w:val="nil"/>
                          <w:right w:val="single" w:sz="6" w:space="0" w:color="000000"/>
                        </w:tcBorders>
                      </w:tcPr>
                      <w:p>
                        <w:pPr>
                          <w:pStyle w:val="TableParagraph"/>
                          <w:spacing w:line="213" w:lineRule="exact"/>
                          <w:ind w:left="91"/>
                          <w:jc w:val="center"/>
                          <w:rPr>
                            <w:sz w:val="19"/>
                          </w:rPr>
                        </w:pPr>
                        <w:r>
                          <w:rPr>
                            <w:w w:val="95"/>
                            <w:sz w:val="19"/>
                          </w:rPr>
                          <w:t>94</w:t>
                        </w:r>
                      </w:p>
                    </w:tc>
                    <w:tc>
                      <w:tcPr>
                        <w:tcW w:w="833" w:type="dxa"/>
                        <w:tcBorders>
                          <w:top w:val="nil"/>
                          <w:left w:val="single" w:sz="6" w:space="0" w:color="000000"/>
                          <w:bottom w:val="nil"/>
                        </w:tcBorders>
                      </w:tcPr>
                      <w:p>
                        <w:pPr>
                          <w:pStyle w:val="TableParagraph"/>
                          <w:spacing w:line="206" w:lineRule="exact"/>
                          <w:ind w:left="60" w:right="9"/>
                          <w:jc w:val="center"/>
                          <w:rPr>
                            <w:sz w:val="19"/>
                          </w:rPr>
                        </w:pPr>
                        <w:r>
                          <w:rPr>
                            <w:w w:val="90"/>
                            <w:sz w:val="19"/>
                          </w:rPr>
                          <w:t>.30128</w:t>
                        </w:r>
                      </w:p>
                    </w:tc>
                    <w:tc>
                      <w:tcPr>
                        <w:tcW w:w="832" w:type="dxa"/>
                        <w:tcBorders>
                          <w:top w:val="nil"/>
                          <w:bottom w:val="nil"/>
                        </w:tcBorders>
                      </w:tcPr>
                      <w:p>
                        <w:pPr>
                          <w:pStyle w:val="TableParagraph"/>
                          <w:spacing w:line="210" w:lineRule="exact"/>
                          <w:ind w:left="259" w:right="-3"/>
                          <w:rPr>
                            <w:sz w:val="19"/>
                          </w:rPr>
                        </w:pPr>
                        <w:r>
                          <w:rPr>
                            <w:w w:val="85"/>
                            <w:sz w:val="19"/>
                          </w:rPr>
                          <w:t>1,369</w:t>
                        </w:r>
                      </w:p>
                    </w:tc>
                    <w:tc>
                      <w:tcPr>
                        <w:tcW w:w="679" w:type="dxa"/>
                        <w:tcBorders>
                          <w:top w:val="nil"/>
                          <w:bottom w:val="nil"/>
                        </w:tcBorders>
                      </w:tcPr>
                      <w:p>
                        <w:pPr>
                          <w:pStyle w:val="TableParagraph"/>
                          <w:spacing w:line="206" w:lineRule="exact"/>
                          <w:ind w:right="97"/>
                          <w:jc w:val="right"/>
                          <w:rPr>
                            <w:sz w:val="19"/>
                          </w:rPr>
                        </w:pPr>
                        <w:r>
                          <w:rPr>
                            <w:w w:val="85"/>
                            <w:sz w:val="19"/>
                          </w:rPr>
                          <w:t>413</w:t>
                        </w:r>
                      </w:p>
                    </w:tc>
                    <w:tc>
                      <w:tcPr>
                        <w:tcW w:w="833" w:type="dxa"/>
                        <w:tcBorders>
                          <w:top w:val="nil"/>
                          <w:bottom w:val="nil"/>
                        </w:tcBorders>
                      </w:tcPr>
                      <w:p>
                        <w:pPr>
                          <w:pStyle w:val="TableParagraph"/>
                          <w:spacing w:line="206" w:lineRule="exact"/>
                          <w:ind w:right="142"/>
                          <w:jc w:val="right"/>
                          <w:rPr>
                            <w:sz w:val="19"/>
                          </w:rPr>
                        </w:pPr>
                        <w:r>
                          <w:rPr>
                            <w:w w:val="70"/>
                            <w:sz w:val="19"/>
                          </w:rPr>
                          <w:t>1,163</w:t>
                        </w:r>
                      </w:p>
                    </w:tc>
                    <w:tc>
                      <w:tcPr>
                        <w:tcW w:w="994" w:type="dxa"/>
                        <w:tcBorders>
                          <w:top w:val="nil"/>
                          <w:bottom w:val="nil"/>
                        </w:tcBorders>
                      </w:tcPr>
                      <w:p>
                        <w:pPr>
                          <w:pStyle w:val="TableParagraph"/>
                          <w:spacing w:line="199" w:lineRule="exact"/>
                          <w:ind w:right="90"/>
                          <w:jc w:val="right"/>
                          <w:rPr>
                            <w:sz w:val="19"/>
                          </w:rPr>
                        </w:pPr>
                        <w:r>
                          <w:rPr>
                            <w:w w:val="85"/>
                            <w:sz w:val="19"/>
                          </w:rPr>
                          <w:t>3,488</w:t>
                        </w:r>
                      </w:p>
                    </w:tc>
                    <w:tc>
                      <w:tcPr>
                        <w:tcW w:w="758" w:type="dxa"/>
                        <w:tcBorders>
                          <w:top w:val="nil"/>
                          <w:bottom w:val="nil"/>
                        </w:tcBorders>
                      </w:tcPr>
                      <w:p>
                        <w:pPr>
                          <w:pStyle w:val="TableParagraph"/>
                          <w:spacing w:line="195" w:lineRule="exact"/>
                          <w:ind w:left="252" w:right="-20"/>
                          <w:rPr>
                            <w:sz w:val="19"/>
                          </w:rPr>
                        </w:pPr>
                        <w:r>
                          <w:rPr>
                            <w:w w:val="90"/>
                            <w:sz w:val="19"/>
                          </w:rPr>
                          <w:t>2.55</w:t>
                        </w:r>
                      </w:p>
                    </w:tc>
                    <w:tc>
                      <w:tcPr>
                        <w:tcW w:w="403" w:type="dxa"/>
                        <w:tcBorders>
                          <w:top w:val="nil"/>
                          <w:bottom w:val="nil"/>
                          <w:right w:val="nil"/>
                        </w:tcBorders>
                      </w:tcPr>
                      <w:p>
                        <w:pPr>
                          <w:pStyle w:val="TableParagraph"/>
                          <w:spacing w:line="195" w:lineRule="exact"/>
                          <w:ind w:right="33"/>
                          <w:jc w:val="right"/>
                          <w:rPr>
                            <w:sz w:val="19"/>
                          </w:rPr>
                        </w:pPr>
                        <w:r>
                          <w:rPr>
                            <w:w w:val="80"/>
                            <w:sz w:val="19"/>
                          </w:rPr>
                          <w:t>94</w:t>
                        </w:r>
                      </w:p>
                    </w:tc>
                  </w:tr>
                  <w:tr>
                    <w:trPr>
                      <w:trHeight w:val="298" w:hRule="exact"/>
                    </w:trPr>
                    <w:tc>
                      <w:tcPr>
                        <w:tcW w:w="378" w:type="dxa"/>
                        <w:tcBorders>
                          <w:top w:val="nil"/>
                          <w:left w:val="nil"/>
                          <w:bottom w:val="nil"/>
                          <w:right w:val="single" w:sz="6" w:space="0" w:color="000000"/>
                        </w:tcBorders>
                      </w:tcPr>
                      <w:p>
                        <w:pPr>
                          <w:pStyle w:val="TableParagraph"/>
                          <w:spacing w:before="86"/>
                          <w:ind w:left="73"/>
                          <w:jc w:val="center"/>
                          <w:rPr>
                            <w:rFonts w:ascii="Times New Roman"/>
                            <w:sz w:val="18"/>
                          </w:rPr>
                        </w:pPr>
                        <w:r>
                          <w:rPr>
                            <w:rFonts w:ascii="Times New Roman"/>
                            <w:sz w:val="18"/>
                          </w:rPr>
                          <w:t>95</w:t>
                        </w:r>
                      </w:p>
                    </w:tc>
                    <w:tc>
                      <w:tcPr>
                        <w:tcW w:w="833" w:type="dxa"/>
                        <w:tcBorders>
                          <w:top w:val="nil"/>
                          <w:left w:val="single" w:sz="6" w:space="0" w:color="000000"/>
                          <w:bottom w:val="nil"/>
                        </w:tcBorders>
                      </w:tcPr>
                      <w:p>
                        <w:pPr>
                          <w:pStyle w:val="TableParagraph"/>
                          <w:spacing w:before="89"/>
                          <w:ind w:left="78" w:right="9"/>
                          <w:jc w:val="center"/>
                          <w:rPr>
                            <w:sz w:val="19"/>
                          </w:rPr>
                        </w:pPr>
                        <w:r>
                          <w:rPr>
                            <w:w w:val="95"/>
                            <w:sz w:val="19"/>
                          </w:rPr>
                          <w:t>.31416</w:t>
                        </w:r>
                      </w:p>
                    </w:tc>
                    <w:tc>
                      <w:tcPr>
                        <w:tcW w:w="832" w:type="dxa"/>
                        <w:tcBorders>
                          <w:top w:val="nil"/>
                          <w:bottom w:val="nil"/>
                        </w:tcBorders>
                      </w:tcPr>
                      <w:p>
                        <w:pPr>
                          <w:pStyle w:val="TableParagraph"/>
                          <w:spacing w:before="86"/>
                          <w:ind w:left="406" w:right="-3"/>
                          <w:rPr>
                            <w:rFonts w:ascii="Times New Roman"/>
                            <w:sz w:val="18"/>
                          </w:rPr>
                        </w:pPr>
                        <w:r>
                          <w:rPr>
                            <w:rFonts w:ascii="Times New Roman"/>
                            <w:sz w:val="18"/>
                          </w:rPr>
                          <w:t>956</w:t>
                        </w:r>
                      </w:p>
                    </w:tc>
                    <w:tc>
                      <w:tcPr>
                        <w:tcW w:w="679" w:type="dxa"/>
                        <w:tcBorders>
                          <w:top w:val="nil"/>
                          <w:bottom w:val="nil"/>
                        </w:tcBorders>
                      </w:tcPr>
                      <w:p>
                        <w:pPr>
                          <w:pStyle w:val="TableParagraph"/>
                          <w:spacing w:before="92"/>
                          <w:ind w:right="110"/>
                          <w:jc w:val="right"/>
                          <w:rPr>
                            <w:rFonts w:ascii="Times New Roman"/>
                            <w:sz w:val="17"/>
                          </w:rPr>
                        </w:pPr>
                        <w:r>
                          <w:rPr>
                            <w:rFonts w:ascii="Times New Roman"/>
                            <w:sz w:val="17"/>
                          </w:rPr>
                          <w:t>300</w:t>
                        </w:r>
                      </w:p>
                    </w:tc>
                    <w:tc>
                      <w:tcPr>
                        <w:tcW w:w="833" w:type="dxa"/>
                        <w:tcBorders>
                          <w:top w:val="nil"/>
                          <w:bottom w:val="nil"/>
                        </w:tcBorders>
                      </w:tcPr>
                      <w:p>
                        <w:pPr/>
                      </w:p>
                    </w:tc>
                    <w:tc>
                      <w:tcPr>
                        <w:tcW w:w="994" w:type="dxa"/>
                        <w:tcBorders>
                          <w:top w:val="nil"/>
                          <w:bottom w:val="nil"/>
                        </w:tcBorders>
                      </w:tcPr>
                      <w:p>
                        <w:pPr>
                          <w:pStyle w:val="TableParagraph"/>
                          <w:spacing w:before="81"/>
                          <w:ind w:right="101"/>
                          <w:jc w:val="right"/>
                          <w:rPr>
                            <w:sz w:val="19"/>
                          </w:rPr>
                        </w:pPr>
                        <w:r>
                          <w:rPr>
                            <w:w w:val="85"/>
                            <w:sz w:val="19"/>
                          </w:rPr>
                          <w:t>2,325</w:t>
                        </w:r>
                      </w:p>
                    </w:tc>
                    <w:tc>
                      <w:tcPr>
                        <w:tcW w:w="758" w:type="dxa"/>
                        <w:tcBorders>
                          <w:top w:val="nil"/>
                          <w:bottom w:val="nil"/>
                        </w:tcBorders>
                      </w:tcPr>
                      <w:p>
                        <w:pPr>
                          <w:pStyle w:val="TableParagraph"/>
                          <w:spacing w:before="78"/>
                          <w:ind w:left="252" w:right="-20"/>
                          <w:rPr>
                            <w:sz w:val="19"/>
                          </w:rPr>
                        </w:pPr>
                        <w:r>
                          <w:rPr>
                            <w:sz w:val="19"/>
                          </w:rPr>
                          <w:t>2.43</w:t>
                        </w:r>
                      </w:p>
                    </w:tc>
                    <w:tc>
                      <w:tcPr>
                        <w:tcW w:w="403" w:type="dxa"/>
                        <w:tcBorders>
                          <w:top w:val="nil"/>
                          <w:bottom w:val="nil"/>
                          <w:right w:val="nil"/>
                        </w:tcBorders>
                      </w:tcPr>
                      <w:p>
                        <w:pPr>
                          <w:pStyle w:val="TableParagraph"/>
                          <w:spacing w:before="71"/>
                          <w:ind w:right="53"/>
                          <w:jc w:val="right"/>
                          <w:rPr>
                            <w:rFonts w:ascii="Times New Roman"/>
                            <w:sz w:val="18"/>
                          </w:rPr>
                        </w:pPr>
                        <w:r>
                          <w:rPr>
                            <w:rFonts w:ascii="Times New Roman"/>
                            <w:w w:val="95"/>
                            <w:sz w:val="18"/>
                          </w:rPr>
                          <w:t>95</w:t>
                        </w:r>
                      </w:p>
                    </w:tc>
                  </w:tr>
                  <w:tr>
                    <w:trPr>
                      <w:trHeight w:val="202" w:hRule="exact"/>
                    </w:trPr>
                    <w:tc>
                      <w:tcPr>
                        <w:tcW w:w="378" w:type="dxa"/>
                        <w:tcBorders>
                          <w:top w:val="nil"/>
                          <w:left w:val="nil"/>
                          <w:bottom w:val="nil"/>
                          <w:right w:val="single" w:sz="6" w:space="0" w:color="000000"/>
                        </w:tcBorders>
                      </w:tcPr>
                      <w:p>
                        <w:pPr>
                          <w:pStyle w:val="TableParagraph"/>
                          <w:spacing w:line="195" w:lineRule="exact"/>
                          <w:ind w:left="71"/>
                          <w:jc w:val="center"/>
                          <w:rPr>
                            <w:rFonts w:ascii="Times New Roman"/>
                            <w:sz w:val="17"/>
                          </w:rPr>
                        </w:pPr>
                        <w:r>
                          <w:rPr>
                            <w:rFonts w:ascii="Times New Roman"/>
                            <w:sz w:val="17"/>
                          </w:rPr>
                          <w:t>96</w:t>
                        </w:r>
                      </w:p>
                    </w:tc>
                    <w:tc>
                      <w:tcPr>
                        <w:tcW w:w="833" w:type="dxa"/>
                        <w:tcBorders>
                          <w:top w:val="nil"/>
                          <w:left w:val="single" w:sz="6" w:space="0" w:color="000000"/>
                          <w:bottom w:val="nil"/>
                        </w:tcBorders>
                      </w:tcPr>
                      <w:p>
                        <w:pPr>
                          <w:pStyle w:val="TableParagraph"/>
                          <w:spacing w:line="208" w:lineRule="exact"/>
                          <w:ind w:left="52" w:right="9"/>
                          <w:jc w:val="center"/>
                          <w:rPr>
                            <w:sz w:val="19"/>
                          </w:rPr>
                        </w:pPr>
                        <w:r>
                          <w:rPr>
                            <w:w w:val="90"/>
                            <w:sz w:val="19"/>
                          </w:rPr>
                          <w:t>.32915</w:t>
                        </w:r>
                      </w:p>
                    </w:tc>
                    <w:tc>
                      <w:tcPr>
                        <w:tcW w:w="832" w:type="dxa"/>
                        <w:tcBorders>
                          <w:top w:val="nil"/>
                          <w:bottom w:val="nil"/>
                        </w:tcBorders>
                      </w:tcPr>
                      <w:p>
                        <w:pPr>
                          <w:pStyle w:val="TableParagraph"/>
                          <w:spacing w:line="197" w:lineRule="exact"/>
                          <w:ind w:left="406" w:right="-3"/>
                          <w:rPr>
                            <w:rFonts w:ascii="Times New Roman"/>
                            <w:sz w:val="18"/>
                          </w:rPr>
                        </w:pPr>
                        <w:r>
                          <w:rPr>
                            <w:rFonts w:ascii="Times New Roman"/>
                            <w:sz w:val="18"/>
                          </w:rPr>
                          <w:t>656</w:t>
                        </w:r>
                      </w:p>
                    </w:tc>
                    <w:tc>
                      <w:tcPr>
                        <w:tcW w:w="679" w:type="dxa"/>
                        <w:tcBorders>
                          <w:top w:val="nil"/>
                          <w:bottom w:val="nil"/>
                        </w:tcBorders>
                      </w:tcPr>
                      <w:p>
                        <w:pPr>
                          <w:pStyle w:val="TableParagraph"/>
                          <w:spacing w:line="204" w:lineRule="exact"/>
                          <w:ind w:right="78"/>
                          <w:jc w:val="right"/>
                          <w:rPr>
                            <w:sz w:val="19"/>
                          </w:rPr>
                        </w:pPr>
                        <w:r>
                          <w:rPr>
                            <w:w w:val="95"/>
                            <w:sz w:val="19"/>
                          </w:rPr>
                          <w:t>216</w:t>
                        </w:r>
                      </w:p>
                    </w:tc>
                    <w:tc>
                      <w:tcPr>
                        <w:tcW w:w="833" w:type="dxa"/>
                        <w:tcBorders>
                          <w:top w:val="nil"/>
                          <w:bottom w:val="nil"/>
                        </w:tcBorders>
                      </w:tcPr>
                      <w:p>
                        <w:pPr>
                          <w:pStyle w:val="TableParagraph"/>
                          <w:spacing w:line="208" w:lineRule="exact"/>
                          <w:ind w:right="122"/>
                          <w:jc w:val="right"/>
                          <w:rPr>
                            <w:sz w:val="19"/>
                          </w:rPr>
                        </w:pPr>
                        <w:r>
                          <w:rPr>
                            <w:w w:val="90"/>
                            <w:sz w:val="19"/>
                          </w:rPr>
                          <w:t>548</w:t>
                        </w:r>
                      </w:p>
                    </w:tc>
                    <w:tc>
                      <w:tcPr>
                        <w:tcW w:w="994" w:type="dxa"/>
                        <w:tcBorders>
                          <w:top w:val="nil"/>
                          <w:bottom w:val="nil"/>
                        </w:tcBorders>
                      </w:tcPr>
                      <w:p>
                        <w:pPr>
                          <w:pStyle w:val="TableParagraph"/>
                          <w:spacing w:line="201" w:lineRule="exact"/>
                          <w:ind w:right="84"/>
                          <w:jc w:val="right"/>
                          <w:rPr>
                            <w:sz w:val="19"/>
                          </w:rPr>
                        </w:pPr>
                        <w:r>
                          <w:rPr>
                            <w:w w:val="85"/>
                            <w:sz w:val="19"/>
                          </w:rPr>
                          <w:t>1,519</w:t>
                        </w:r>
                      </w:p>
                    </w:tc>
                    <w:tc>
                      <w:tcPr>
                        <w:tcW w:w="758" w:type="dxa"/>
                        <w:tcBorders>
                          <w:top w:val="nil"/>
                          <w:bottom w:val="nil"/>
                        </w:tcBorders>
                      </w:tcPr>
                      <w:p>
                        <w:pPr>
                          <w:pStyle w:val="TableParagraph"/>
                          <w:spacing w:line="197" w:lineRule="exact"/>
                          <w:ind w:left="252" w:right="-20"/>
                          <w:rPr>
                            <w:sz w:val="19"/>
                          </w:rPr>
                        </w:pPr>
                        <w:r>
                          <w:rPr>
                            <w:sz w:val="19"/>
                          </w:rPr>
                          <w:t>2.32</w:t>
                        </w:r>
                      </w:p>
                    </w:tc>
                    <w:tc>
                      <w:tcPr>
                        <w:tcW w:w="403" w:type="dxa"/>
                        <w:tcBorders>
                          <w:top w:val="nil"/>
                          <w:bottom w:val="nil"/>
                          <w:right w:val="nil"/>
                        </w:tcBorders>
                      </w:tcPr>
                      <w:p>
                        <w:pPr>
                          <w:pStyle w:val="TableParagraph"/>
                          <w:spacing w:line="177" w:lineRule="exact"/>
                          <w:ind w:right="56"/>
                          <w:jc w:val="right"/>
                          <w:rPr>
                            <w:rFonts w:ascii="Times New Roman"/>
                            <w:sz w:val="17"/>
                          </w:rPr>
                        </w:pPr>
                        <w:r>
                          <w:rPr>
                            <w:rFonts w:ascii="Times New Roman"/>
                            <w:w w:val="95"/>
                            <w:sz w:val="17"/>
                          </w:rPr>
                          <w:t>96</w:t>
                        </w:r>
                      </w:p>
                    </w:tc>
                  </w:tr>
                  <w:tr>
                    <w:trPr>
                      <w:trHeight w:val="700" w:hRule="exact"/>
                    </w:trPr>
                    <w:tc>
                      <w:tcPr>
                        <w:tcW w:w="378" w:type="dxa"/>
                        <w:tcBorders>
                          <w:top w:val="nil"/>
                          <w:left w:val="nil"/>
                          <w:bottom w:val="nil"/>
                          <w:right w:val="single" w:sz="6" w:space="0" w:color="000000"/>
                        </w:tcBorders>
                      </w:tcPr>
                      <w:p>
                        <w:pPr>
                          <w:pStyle w:val="TableParagraph"/>
                          <w:spacing w:line="203" w:lineRule="exact"/>
                          <w:ind w:left="136" w:right="-6"/>
                          <w:rPr>
                            <w:sz w:val="19"/>
                          </w:rPr>
                        </w:pPr>
                        <w:r>
                          <w:rPr>
                            <w:spacing w:val="-21"/>
                            <w:w w:val="105"/>
                            <w:sz w:val="19"/>
                          </w:rPr>
                          <w:t>97</w:t>
                        </w:r>
                      </w:p>
                      <w:p>
                        <w:pPr>
                          <w:pStyle w:val="TableParagraph"/>
                          <w:spacing w:line="201" w:lineRule="exact"/>
                          <w:ind w:left="136" w:right="-6"/>
                          <w:rPr>
                            <w:sz w:val="19"/>
                          </w:rPr>
                        </w:pPr>
                        <w:r>
                          <w:rPr>
                            <w:spacing w:val="-21"/>
                            <w:w w:val="110"/>
                            <w:sz w:val="19"/>
                          </w:rPr>
                          <w:t>98</w:t>
                        </w:r>
                      </w:p>
                      <w:p>
                        <w:pPr>
                          <w:pStyle w:val="TableParagraph"/>
                          <w:spacing w:line="190" w:lineRule="exact"/>
                          <w:ind w:left="133" w:right="-6"/>
                          <w:rPr>
                            <w:rFonts w:ascii="Arial"/>
                            <w:sz w:val="17"/>
                          </w:rPr>
                        </w:pPr>
                        <w:r>
                          <w:rPr>
                            <w:rFonts w:ascii="Arial"/>
                            <w:sz w:val="17"/>
                          </w:rPr>
                          <w:t>99</w:t>
                        </w:r>
                      </w:p>
                    </w:tc>
                    <w:tc>
                      <w:tcPr>
                        <w:tcW w:w="833" w:type="dxa"/>
                        <w:tcBorders>
                          <w:top w:val="nil"/>
                          <w:left w:val="single" w:sz="6" w:space="0" w:color="000000"/>
                          <w:bottom w:val="nil"/>
                        </w:tcBorders>
                      </w:tcPr>
                      <w:p>
                        <w:pPr>
                          <w:pStyle w:val="TableParagraph"/>
                          <w:spacing w:line="201" w:lineRule="exact"/>
                          <w:ind w:left="198" w:right="-17"/>
                          <w:rPr>
                            <w:sz w:val="19"/>
                          </w:rPr>
                        </w:pPr>
                        <w:r>
                          <w:rPr>
                            <w:w w:val="90"/>
                            <w:sz w:val="19"/>
                          </w:rPr>
                          <w:t>.34450</w:t>
                        </w:r>
                      </w:p>
                      <w:p>
                        <w:pPr>
                          <w:pStyle w:val="TableParagraph"/>
                          <w:spacing w:line="202" w:lineRule="exact"/>
                          <w:ind w:left="201" w:right="-17"/>
                          <w:rPr>
                            <w:sz w:val="19"/>
                          </w:rPr>
                        </w:pPr>
                        <w:r>
                          <w:rPr>
                            <w:spacing w:val="-15"/>
                            <w:w w:val="95"/>
                            <w:sz w:val="19"/>
                          </w:rPr>
                          <w:t>.36018</w:t>
                        </w:r>
                      </w:p>
                      <w:p>
                        <w:pPr>
                          <w:pStyle w:val="TableParagraph"/>
                          <w:spacing w:line="208" w:lineRule="exact"/>
                          <w:ind w:left="198" w:right="-17"/>
                          <w:rPr>
                            <w:sz w:val="19"/>
                          </w:rPr>
                        </w:pPr>
                        <w:r>
                          <w:rPr>
                            <w:w w:val="90"/>
                            <w:sz w:val="19"/>
                          </w:rPr>
                          <w:t>137616</w:t>
                        </w:r>
                      </w:p>
                    </w:tc>
                    <w:tc>
                      <w:tcPr>
                        <w:tcW w:w="832" w:type="dxa"/>
                        <w:tcBorders>
                          <w:top w:val="nil"/>
                          <w:bottom w:val="nil"/>
                        </w:tcBorders>
                      </w:tcPr>
                      <w:p>
                        <w:pPr>
                          <w:pStyle w:val="TableParagraph"/>
                          <w:spacing w:line="191" w:lineRule="exact"/>
                          <w:ind w:left="403" w:right="-3"/>
                          <w:rPr>
                            <w:rFonts w:ascii="Times New Roman"/>
                            <w:sz w:val="17"/>
                          </w:rPr>
                        </w:pPr>
                        <w:r>
                          <w:rPr>
                            <w:rFonts w:ascii="Times New Roman"/>
                            <w:sz w:val="17"/>
                          </w:rPr>
                          <w:t>440</w:t>
                        </w:r>
                      </w:p>
                      <w:p>
                        <w:pPr>
                          <w:pStyle w:val="TableParagraph"/>
                          <w:spacing w:line="207" w:lineRule="exact" w:before="6"/>
                          <w:ind w:left="410" w:right="-3"/>
                          <w:rPr>
                            <w:sz w:val="19"/>
                          </w:rPr>
                        </w:pPr>
                        <w:r>
                          <w:rPr>
                            <w:w w:val="85"/>
                            <w:sz w:val="19"/>
                          </w:rPr>
                          <w:t>288</w:t>
                        </w:r>
                      </w:p>
                      <w:p>
                        <w:pPr>
                          <w:pStyle w:val="TableParagraph"/>
                          <w:spacing w:line="207" w:lineRule="exact"/>
                          <w:ind w:left="417" w:right="-3"/>
                          <w:rPr>
                            <w:sz w:val="19"/>
                          </w:rPr>
                        </w:pPr>
                        <w:r>
                          <w:rPr>
                            <w:w w:val="90"/>
                            <w:sz w:val="19"/>
                          </w:rPr>
                          <w:t>185</w:t>
                        </w:r>
                      </w:p>
                    </w:tc>
                    <w:tc>
                      <w:tcPr>
                        <w:tcW w:w="679" w:type="dxa"/>
                        <w:tcBorders>
                          <w:top w:val="nil"/>
                          <w:bottom w:val="nil"/>
                        </w:tcBorders>
                      </w:tcPr>
                      <w:p>
                        <w:pPr>
                          <w:pStyle w:val="TableParagraph"/>
                          <w:spacing w:line="197" w:lineRule="exact"/>
                          <w:ind w:left="306" w:right="-8"/>
                          <w:rPr>
                            <w:sz w:val="19"/>
                          </w:rPr>
                        </w:pPr>
                        <w:r>
                          <w:rPr>
                            <w:sz w:val="19"/>
                          </w:rPr>
                          <w:t>152</w:t>
                        </w:r>
                      </w:p>
                      <w:p>
                        <w:pPr>
                          <w:pStyle w:val="TableParagraph"/>
                          <w:spacing w:line="202" w:lineRule="exact"/>
                          <w:ind w:left="306" w:right="-8"/>
                          <w:rPr>
                            <w:sz w:val="19"/>
                          </w:rPr>
                        </w:pPr>
                        <w:r>
                          <w:rPr>
                            <w:w w:val="95"/>
                            <w:sz w:val="19"/>
                          </w:rPr>
                          <w:t>103</w:t>
                        </w:r>
                      </w:p>
                      <w:p>
                        <w:pPr>
                          <w:pStyle w:val="TableParagraph"/>
                          <w:spacing w:line="208" w:lineRule="exact"/>
                          <w:ind w:left="378" w:right="-8"/>
                          <w:rPr>
                            <w:sz w:val="19"/>
                          </w:rPr>
                        </w:pPr>
                        <w:r>
                          <w:rPr>
                            <w:w w:val="110"/>
                            <w:sz w:val="19"/>
                          </w:rPr>
                          <w:t>70</w:t>
                        </w:r>
                      </w:p>
                    </w:tc>
                    <w:tc>
                      <w:tcPr>
                        <w:tcW w:w="833" w:type="dxa"/>
                        <w:tcBorders>
                          <w:top w:val="nil"/>
                          <w:bottom w:val="nil"/>
                        </w:tcBorders>
                      </w:tcPr>
                      <w:p>
                        <w:pPr>
                          <w:pStyle w:val="TableParagraph"/>
                          <w:spacing w:line="190" w:lineRule="exact"/>
                          <w:ind w:left="405"/>
                          <w:rPr>
                            <w:rFonts w:ascii="Times New Roman"/>
                            <w:sz w:val="18"/>
                          </w:rPr>
                        </w:pPr>
                        <w:r>
                          <w:rPr>
                            <w:rFonts w:ascii="Times New Roman"/>
                            <w:sz w:val="18"/>
                          </w:rPr>
                          <w:t>364</w:t>
                        </w:r>
                      </w:p>
                      <w:p>
                        <w:pPr>
                          <w:pStyle w:val="TableParagraph"/>
                          <w:spacing w:line="207" w:lineRule="exact" w:before="1"/>
                          <w:ind w:left="408"/>
                          <w:rPr>
                            <w:sz w:val="19"/>
                          </w:rPr>
                        </w:pPr>
                        <w:r>
                          <w:rPr>
                            <w:w w:val="85"/>
                            <w:sz w:val="19"/>
                          </w:rPr>
                          <w:t>237</w:t>
                        </w:r>
                      </w:p>
                      <w:p>
                        <w:pPr>
                          <w:pStyle w:val="TableParagraph"/>
                          <w:spacing w:line="207" w:lineRule="exact"/>
                          <w:ind w:left="419"/>
                          <w:rPr>
                            <w:sz w:val="19"/>
                          </w:rPr>
                        </w:pPr>
                        <w:r>
                          <w:rPr>
                            <w:w w:val="85"/>
                            <w:sz w:val="19"/>
                          </w:rPr>
                          <w:t>150</w:t>
                        </w:r>
                      </w:p>
                    </w:tc>
                    <w:tc>
                      <w:tcPr>
                        <w:tcW w:w="994" w:type="dxa"/>
                        <w:tcBorders>
                          <w:top w:val="nil"/>
                          <w:bottom w:val="nil"/>
                        </w:tcBorders>
                      </w:tcPr>
                      <w:p>
                        <w:pPr>
                          <w:pStyle w:val="TableParagraph"/>
                          <w:spacing w:before="3"/>
                          <w:ind w:left="608" w:right="-16"/>
                          <w:rPr>
                            <w:rFonts w:ascii="Arial"/>
                            <w:sz w:val="15"/>
                          </w:rPr>
                        </w:pPr>
                        <w:r>
                          <w:rPr>
                            <w:rFonts w:ascii="Arial"/>
                            <w:w w:val="105"/>
                            <w:sz w:val="15"/>
                          </w:rPr>
                          <w:t>971</w:t>
                        </w:r>
                      </w:p>
                      <w:p>
                        <w:pPr>
                          <w:pStyle w:val="TableParagraph"/>
                          <w:spacing w:line="206" w:lineRule="exact" w:before="5"/>
                          <w:ind w:left="612" w:right="-16"/>
                          <w:rPr>
                            <w:rFonts w:ascii="Times New Roman"/>
                            <w:sz w:val="18"/>
                          </w:rPr>
                        </w:pPr>
                        <w:r>
                          <w:rPr>
                            <w:rFonts w:ascii="Times New Roman"/>
                            <w:sz w:val="18"/>
                          </w:rPr>
                          <w:t>607</w:t>
                        </w:r>
                      </w:p>
                      <w:p>
                        <w:pPr>
                          <w:pStyle w:val="TableParagraph"/>
                          <w:spacing w:line="214" w:lineRule="exact"/>
                          <w:ind w:left="612" w:right="-16"/>
                          <w:rPr>
                            <w:sz w:val="19"/>
                          </w:rPr>
                        </w:pPr>
                        <w:r>
                          <w:rPr>
                            <w:w w:val="105"/>
                            <w:sz w:val="19"/>
                          </w:rPr>
                          <w:t>370</w:t>
                        </w:r>
                      </w:p>
                    </w:tc>
                    <w:tc>
                      <w:tcPr>
                        <w:tcW w:w="758" w:type="dxa"/>
                        <w:tcBorders>
                          <w:top w:val="nil"/>
                          <w:bottom w:val="nil"/>
                        </w:tcBorders>
                      </w:tcPr>
                      <w:p>
                        <w:pPr>
                          <w:pStyle w:val="TableParagraph"/>
                          <w:spacing w:line="188" w:lineRule="exact"/>
                          <w:ind w:left="252" w:right="-20"/>
                          <w:rPr>
                            <w:sz w:val="19"/>
                          </w:rPr>
                        </w:pPr>
                        <w:r>
                          <w:rPr>
                            <w:w w:val="95"/>
                            <w:sz w:val="19"/>
                          </w:rPr>
                          <w:t>2.21</w:t>
                        </w:r>
                      </w:p>
                      <w:p>
                        <w:pPr>
                          <w:pStyle w:val="TableParagraph"/>
                          <w:spacing w:line="200" w:lineRule="exact"/>
                          <w:ind w:left="252" w:right="-20"/>
                          <w:rPr>
                            <w:sz w:val="19"/>
                          </w:rPr>
                        </w:pPr>
                        <w:r>
                          <w:rPr>
                            <w:sz w:val="19"/>
                          </w:rPr>
                          <w:t>2.10</w:t>
                        </w:r>
                      </w:p>
                      <w:p>
                        <w:pPr>
                          <w:pStyle w:val="TableParagraph"/>
                          <w:spacing w:line="208" w:lineRule="exact"/>
                          <w:ind w:left="252" w:right="-20"/>
                          <w:rPr>
                            <w:sz w:val="19"/>
                          </w:rPr>
                        </w:pPr>
                        <w:r>
                          <w:rPr>
                            <w:sz w:val="19"/>
                          </w:rPr>
                          <w:t>2.01</w:t>
                        </w:r>
                      </w:p>
                    </w:tc>
                    <w:tc>
                      <w:tcPr>
                        <w:tcW w:w="403" w:type="dxa"/>
                        <w:tcBorders>
                          <w:top w:val="nil"/>
                          <w:bottom w:val="nil"/>
                          <w:right w:val="nil"/>
                        </w:tcBorders>
                      </w:tcPr>
                      <w:p>
                        <w:pPr>
                          <w:pStyle w:val="TableParagraph"/>
                          <w:spacing w:line="177" w:lineRule="exact"/>
                          <w:ind w:left="167" w:right="-2"/>
                          <w:rPr>
                            <w:rFonts w:ascii="Times New Roman"/>
                            <w:sz w:val="17"/>
                          </w:rPr>
                        </w:pPr>
                        <w:r>
                          <w:rPr>
                            <w:rFonts w:ascii="Times New Roman"/>
                            <w:sz w:val="17"/>
                          </w:rPr>
                          <w:t>97</w:t>
                        </w:r>
                      </w:p>
                      <w:p>
                        <w:pPr>
                          <w:pStyle w:val="TableParagraph"/>
                          <w:spacing w:line="209" w:lineRule="exact"/>
                          <w:ind w:left="171" w:right="-2"/>
                          <w:rPr>
                            <w:sz w:val="19"/>
                          </w:rPr>
                        </w:pPr>
                        <w:r>
                          <w:rPr>
                            <w:spacing w:val="-23"/>
                            <w:w w:val="110"/>
                            <w:sz w:val="19"/>
                          </w:rPr>
                          <w:t>98</w:t>
                        </w:r>
                      </w:p>
                      <w:p>
                        <w:pPr>
                          <w:pStyle w:val="TableParagraph"/>
                          <w:spacing w:line="190" w:lineRule="exact"/>
                          <w:ind w:left="167" w:right="-2"/>
                          <w:rPr>
                            <w:rFonts w:ascii="Arial"/>
                            <w:sz w:val="17"/>
                          </w:rPr>
                        </w:pPr>
                        <w:r>
                          <w:rPr>
                            <w:rFonts w:ascii="Arial"/>
                            <w:sz w:val="17"/>
                          </w:rPr>
                          <w:t>99</w:t>
                        </w:r>
                      </w:p>
                    </w:tc>
                  </w:tr>
                  <w:tr>
                    <w:trPr>
                      <w:trHeight w:val="1205" w:hRule="exact"/>
                    </w:trPr>
                    <w:tc>
                      <w:tcPr>
                        <w:tcW w:w="378" w:type="dxa"/>
                        <w:tcBorders>
                          <w:top w:val="nil"/>
                          <w:left w:val="nil"/>
                          <w:bottom w:val="nil"/>
                          <w:right w:val="single" w:sz="6" w:space="0" w:color="000000"/>
                        </w:tcBorders>
                      </w:tcPr>
                      <w:p>
                        <w:pPr>
                          <w:pStyle w:val="TableParagraph"/>
                          <w:spacing w:line="208" w:lineRule="exact" w:before="95"/>
                          <w:ind w:left="68" w:right="-6"/>
                          <w:rPr>
                            <w:sz w:val="19"/>
                          </w:rPr>
                        </w:pPr>
                        <w:r>
                          <w:rPr>
                            <w:w w:val="80"/>
                            <w:sz w:val="19"/>
                          </w:rPr>
                          <w:t>100</w:t>
                        </w:r>
                      </w:p>
                      <w:p>
                        <w:pPr>
                          <w:pStyle w:val="TableParagraph"/>
                          <w:spacing w:line="202" w:lineRule="exact"/>
                          <w:ind w:left="68" w:right="-6"/>
                          <w:rPr>
                            <w:sz w:val="19"/>
                          </w:rPr>
                        </w:pPr>
                        <w:r>
                          <w:rPr>
                            <w:spacing w:val="-25"/>
                            <w:sz w:val="19"/>
                          </w:rPr>
                          <w:t>101</w:t>
                        </w:r>
                      </w:p>
                      <w:p>
                        <w:pPr>
                          <w:pStyle w:val="TableParagraph"/>
                          <w:spacing w:line="202" w:lineRule="exact"/>
                          <w:ind w:left="68" w:right="-6"/>
                          <w:rPr>
                            <w:sz w:val="19"/>
                          </w:rPr>
                        </w:pPr>
                        <w:r>
                          <w:rPr>
                            <w:spacing w:val="-9"/>
                            <w:w w:val="90"/>
                            <w:sz w:val="19"/>
                          </w:rPr>
                          <w:t>102</w:t>
                        </w:r>
                      </w:p>
                      <w:p>
                        <w:pPr>
                          <w:pStyle w:val="TableParagraph"/>
                          <w:spacing w:line="202" w:lineRule="exact"/>
                          <w:ind w:left="68" w:right="-6"/>
                          <w:rPr>
                            <w:sz w:val="19"/>
                          </w:rPr>
                        </w:pPr>
                        <w:r>
                          <w:rPr>
                            <w:spacing w:val="-23"/>
                            <w:sz w:val="19"/>
                          </w:rPr>
                          <w:t>103</w:t>
                        </w:r>
                      </w:p>
                      <w:p>
                        <w:pPr>
                          <w:pStyle w:val="TableParagraph"/>
                          <w:spacing w:line="208" w:lineRule="exact"/>
                          <w:ind w:left="68" w:right="-6"/>
                          <w:rPr>
                            <w:sz w:val="19"/>
                          </w:rPr>
                        </w:pPr>
                        <w:r>
                          <w:rPr>
                            <w:w w:val="80"/>
                            <w:sz w:val="19"/>
                          </w:rPr>
                          <w:t>104</w:t>
                        </w:r>
                      </w:p>
                    </w:tc>
                    <w:tc>
                      <w:tcPr>
                        <w:tcW w:w="833" w:type="dxa"/>
                        <w:tcBorders>
                          <w:top w:val="nil"/>
                          <w:left w:val="single" w:sz="6" w:space="0" w:color="000000"/>
                          <w:bottom w:val="nil"/>
                        </w:tcBorders>
                      </w:tcPr>
                      <w:p>
                        <w:pPr>
                          <w:pStyle w:val="TableParagraph"/>
                          <w:spacing w:line="208" w:lineRule="exact" w:before="95"/>
                          <w:ind w:left="198" w:right="-17"/>
                          <w:rPr>
                            <w:sz w:val="19"/>
                          </w:rPr>
                        </w:pPr>
                        <w:r>
                          <w:rPr>
                            <w:spacing w:val="-25"/>
                            <w:sz w:val="19"/>
                          </w:rPr>
                          <w:t>.39242</w:t>
                        </w:r>
                      </w:p>
                      <w:p>
                        <w:pPr>
                          <w:pStyle w:val="TableParagraph"/>
                          <w:spacing w:line="202" w:lineRule="exact"/>
                          <w:ind w:left="198" w:right="-17"/>
                          <w:rPr>
                            <w:sz w:val="19"/>
                          </w:rPr>
                        </w:pPr>
                        <w:r>
                          <w:rPr>
                            <w:w w:val="85"/>
                            <w:sz w:val="19"/>
                          </w:rPr>
                          <w:t>.40891</w:t>
                        </w:r>
                      </w:p>
                      <w:p>
                        <w:pPr>
                          <w:pStyle w:val="TableParagraph"/>
                          <w:spacing w:line="202" w:lineRule="exact"/>
                          <w:ind w:left="198" w:right="-17"/>
                          <w:rPr>
                            <w:sz w:val="19"/>
                          </w:rPr>
                        </w:pPr>
                        <w:r>
                          <w:rPr>
                            <w:w w:val="90"/>
                            <w:sz w:val="19"/>
                          </w:rPr>
                          <w:t>.42562</w:t>
                        </w:r>
                      </w:p>
                      <w:p>
                        <w:pPr>
                          <w:pStyle w:val="TableParagraph"/>
                          <w:spacing w:line="202" w:lineRule="exact"/>
                          <w:ind w:left="198" w:right="-17"/>
                          <w:rPr>
                            <w:sz w:val="19"/>
                          </w:rPr>
                        </w:pPr>
                        <w:r>
                          <w:rPr>
                            <w:spacing w:val="-15"/>
                            <w:w w:val="95"/>
                            <w:sz w:val="19"/>
                          </w:rPr>
                          <w:t>.44250</w:t>
                        </w:r>
                      </w:p>
                      <w:p>
                        <w:pPr>
                          <w:pStyle w:val="TableParagraph"/>
                          <w:spacing w:line="208" w:lineRule="exact"/>
                          <w:ind w:left="198" w:right="-17"/>
                          <w:rPr>
                            <w:sz w:val="19"/>
                          </w:rPr>
                        </w:pPr>
                        <w:r>
                          <w:rPr>
                            <w:w w:val="85"/>
                            <w:sz w:val="19"/>
                          </w:rPr>
                          <w:t>.45951</w:t>
                        </w:r>
                      </w:p>
                    </w:tc>
                    <w:tc>
                      <w:tcPr>
                        <w:tcW w:w="832" w:type="dxa"/>
                        <w:tcBorders>
                          <w:top w:val="nil"/>
                          <w:bottom w:val="nil"/>
                        </w:tcBorders>
                      </w:tcPr>
                      <w:p>
                        <w:pPr>
                          <w:pStyle w:val="TableParagraph"/>
                          <w:spacing w:before="94"/>
                          <w:ind w:left="413" w:right="-3"/>
                          <w:rPr>
                            <w:rFonts w:ascii="Arial"/>
                            <w:sz w:val="17"/>
                          </w:rPr>
                        </w:pPr>
                        <w:r>
                          <w:rPr>
                            <w:rFonts w:ascii="Arial"/>
                            <w:sz w:val="17"/>
                          </w:rPr>
                          <w:t>115</w:t>
                        </w:r>
                      </w:p>
                      <w:p>
                        <w:pPr>
                          <w:pStyle w:val="TableParagraph"/>
                          <w:spacing w:before="7"/>
                          <w:ind w:left="485" w:right="-3"/>
                          <w:rPr>
                            <w:sz w:val="19"/>
                          </w:rPr>
                        </w:pPr>
                        <w:r>
                          <w:rPr>
                            <w:w w:val="110"/>
                            <w:sz w:val="19"/>
                          </w:rPr>
                          <w:t>70</w:t>
                        </w:r>
                      </w:p>
                      <w:p>
                        <w:pPr>
                          <w:pStyle w:val="TableParagraph"/>
                          <w:spacing w:before="4"/>
                          <w:ind w:left="485" w:right="-3"/>
                          <w:rPr>
                            <w:rFonts w:ascii="Arial"/>
                            <w:b/>
                            <w:sz w:val="15"/>
                          </w:rPr>
                        </w:pPr>
                        <w:r>
                          <w:rPr>
                            <w:rFonts w:ascii="Arial"/>
                            <w:b/>
                            <w:w w:val="105"/>
                            <w:sz w:val="15"/>
                          </w:rPr>
                          <w:t>41</w:t>
                        </w:r>
                      </w:p>
                      <w:p>
                        <w:pPr>
                          <w:pStyle w:val="TableParagraph"/>
                          <w:spacing w:line="208" w:lineRule="exact" w:before="11"/>
                          <w:ind w:left="485" w:right="-3"/>
                          <w:rPr>
                            <w:sz w:val="19"/>
                          </w:rPr>
                        </w:pPr>
                        <w:r>
                          <w:rPr>
                            <w:w w:val="95"/>
                            <w:sz w:val="19"/>
                          </w:rPr>
                          <w:t>24</w:t>
                        </w:r>
                      </w:p>
                      <w:p>
                        <w:pPr>
                          <w:pStyle w:val="TableParagraph"/>
                          <w:spacing w:line="188" w:lineRule="exact"/>
                          <w:ind w:left="496" w:right="-3"/>
                          <w:rPr>
                            <w:rFonts w:ascii="Times New Roman"/>
                            <w:sz w:val="17"/>
                          </w:rPr>
                        </w:pPr>
                        <w:r>
                          <w:rPr>
                            <w:rFonts w:ascii="Times New Roman"/>
                            <w:w w:val="105"/>
                            <w:sz w:val="17"/>
                          </w:rPr>
                          <w:t>13</w:t>
                        </w:r>
                      </w:p>
                    </w:tc>
                    <w:tc>
                      <w:tcPr>
                        <w:tcW w:w="679" w:type="dxa"/>
                        <w:tcBorders>
                          <w:top w:val="nil"/>
                          <w:bottom w:val="nil"/>
                        </w:tcBorders>
                      </w:tcPr>
                      <w:p>
                        <w:pPr>
                          <w:pStyle w:val="TableParagraph"/>
                          <w:spacing w:line="210" w:lineRule="exact" w:before="91"/>
                          <w:ind w:left="370" w:right="-8"/>
                          <w:rPr>
                            <w:sz w:val="19"/>
                          </w:rPr>
                        </w:pPr>
                        <w:r>
                          <w:rPr>
                            <w:w w:val="105"/>
                            <w:sz w:val="19"/>
                          </w:rPr>
                          <w:t>45</w:t>
                        </w:r>
                      </w:p>
                      <w:p>
                        <w:pPr>
                          <w:pStyle w:val="TableParagraph"/>
                          <w:spacing w:line="190" w:lineRule="exact"/>
                          <w:ind w:left="378" w:right="-8"/>
                          <w:rPr>
                            <w:rFonts w:ascii="Times New Roman"/>
                            <w:sz w:val="17"/>
                          </w:rPr>
                        </w:pPr>
                        <w:r>
                          <w:rPr>
                            <w:rFonts w:ascii="Times New Roman"/>
                            <w:sz w:val="17"/>
                          </w:rPr>
                          <w:t>29</w:t>
                        </w:r>
                      </w:p>
                      <w:p>
                        <w:pPr>
                          <w:pStyle w:val="TableParagraph"/>
                          <w:spacing w:line="208" w:lineRule="exact" w:before="3"/>
                          <w:ind w:left="388" w:right="-8"/>
                          <w:rPr>
                            <w:sz w:val="19"/>
                          </w:rPr>
                        </w:pPr>
                        <w:r>
                          <w:rPr>
                            <w:w w:val="85"/>
                            <w:sz w:val="19"/>
                          </w:rPr>
                          <w:t>17</w:t>
                        </w:r>
                      </w:p>
                      <w:p>
                        <w:pPr>
                          <w:pStyle w:val="TableParagraph"/>
                          <w:spacing w:line="188" w:lineRule="exact"/>
                          <w:ind w:left="385" w:right="-8"/>
                          <w:rPr>
                            <w:rFonts w:ascii="Arial"/>
                            <w:sz w:val="17"/>
                          </w:rPr>
                        </w:pPr>
                        <w:r>
                          <w:rPr>
                            <w:rFonts w:ascii="Arial"/>
                            <w:sz w:val="17"/>
                          </w:rPr>
                          <w:t>11</w:t>
                        </w:r>
                      </w:p>
                      <w:p>
                        <w:pPr>
                          <w:pStyle w:val="TableParagraph"/>
                          <w:spacing w:before="11"/>
                          <w:ind w:right="78"/>
                          <w:jc w:val="right"/>
                          <w:rPr>
                            <w:sz w:val="19"/>
                          </w:rPr>
                        </w:pPr>
                        <w:r>
                          <w:rPr>
                            <w:w w:val="107"/>
                            <w:sz w:val="19"/>
                          </w:rPr>
                          <w:t>6</w:t>
                        </w:r>
                      </w:p>
                    </w:tc>
                    <w:tc>
                      <w:tcPr>
                        <w:tcW w:w="833" w:type="dxa"/>
                        <w:tcBorders>
                          <w:top w:val="nil"/>
                          <w:bottom w:val="nil"/>
                        </w:tcBorders>
                      </w:tcPr>
                      <w:p>
                        <w:pPr>
                          <w:pStyle w:val="TableParagraph"/>
                          <w:spacing w:before="94"/>
                          <w:ind w:left="487"/>
                          <w:rPr>
                            <w:rFonts w:ascii="Times New Roman"/>
                            <w:sz w:val="17"/>
                          </w:rPr>
                        </w:pPr>
                        <w:r>
                          <w:rPr>
                            <w:rFonts w:ascii="Times New Roman"/>
                            <w:sz w:val="17"/>
                          </w:rPr>
                          <w:t>92</w:t>
                        </w:r>
                      </w:p>
                      <w:p>
                        <w:pPr>
                          <w:pStyle w:val="TableParagraph"/>
                          <w:spacing w:before="12"/>
                          <w:ind w:left="487"/>
                          <w:rPr>
                            <w:rFonts w:ascii="Times New Roman"/>
                            <w:sz w:val="16"/>
                          </w:rPr>
                        </w:pPr>
                        <w:r>
                          <w:rPr>
                            <w:rFonts w:ascii="Times New Roman"/>
                            <w:w w:val="105"/>
                            <w:sz w:val="16"/>
                          </w:rPr>
                          <w:t>56</w:t>
                        </w:r>
                      </w:p>
                      <w:p>
                        <w:pPr>
                          <w:pStyle w:val="TableParagraph"/>
                          <w:spacing w:line="210" w:lineRule="exact" w:before="5"/>
                          <w:ind w:left="487"/>
                          <w:rPr>
                            <w:sz w:val="19"/>
                          </w:rPr>
                        </w:pPr>
                        <w:r>
                          <w:rPr>
                            <w:sz w:val="19"/>
                          </w:rPr>
                          <w:t>32</w:t>
                        </w:r>
                      </w:p>
                      <w:p>
                        <w:pPr>
                          <w:pStyle w:val="TableParagraph"/>
                          <w:spacing w:line="190" w:lineRule="exact"/>
                          <w:ind w:left="498"/>
                          <w:rPr>
                            <w:rFonts w:ascii="Times New Roman"/>
                            <w:sz w:val="17"/>
                          </w:rPr>
                        </w:pPr>
                        <w:r>
                          <w:rPr>
                            <w:rFonts w:ascii="Times New Roman"/>
                            <w:sz w:val="17"/>
                          </w:rPr>
                          <w:t>19</w:t>
                        </w:r>
                      </w:p>
                      <w:p>
                        <w:pPr>
                          <w:pStyle w:val="TableParagraph"/>
                          <w:spacing w:before="3"/>
                          <w:ind w:left="502"/>
                          <w:rPr>
                            <w:sz w:val="19"/>
                          </w:rPr>
                        </w:pPr>
                        <w:r>
                          <w:rPr>
                            <w:sz w:val="19"/>
                          </w:rPr>
                          <w:t>10</w:t>
                        </w:r>
                      </w:p>
                    </w:tc>
                    <w:tc>
                      <w:tcPr>
                        <w:tcW w:w="994" w:type="dxa"/>
                        <w:tcBorders>
                          <w:top w:val="nil"/>
                          <w:bottom w:val="nil"/>
                        </w:tcBorders>
                      </w:tcPr>
                      <w:p>
                        <w:pPr>
                          <w:pStyle w:val="TableParagraph"/>
                          <w:spacing w:before="84"/>
                          <w:ind w:right="120"/>
                          <w:jc w:val="right"/>
                          <w:rPr>
                            <w:rFonts w:ascii="Times New Roman"/>
                            <w:sz w:val="17"/>
                          </w:rPr>
                        </w:pPr>
                        <w:r>
                          <w:rPr>
                            <w:rFonts w:ascii="Times New Roman"/>
                            <w:w w:val="90"/>
                            <w:sz w:val="17"/>
                          </w:rPr>
                          <w:t>220</w:t>
                        </w:r>
                      </w:p>
                      <w:p>
                        <w:pPr>
                          <w:pStyle w:val="TableParagraph"/>
                          <w:spacing w:line="208" w:lineRule="exact" w:before="6"/>
                          <w:ind w:right="97"/>
                          <w:jc w:val="right"/>
                          <w:rPr>
                            <w:sz w:val="19"/>
                          </w:rPr>
                        </w:pPr>
                        <w:r>
                          <w:rPr>
                            <w:w w:val="80"/>
                            <w:sz w:val="19"/>
                          </w:rPr>
                          <w:t>128</w:t>
                        </w:r>
                      </w:p>
                      <w:p>
                        <w:pPr>
                          <w:pStyle w:val="TableParagraph"/>
                          <w:spacing w:line="203" w:lineRule="exact"/>
                          <w:ind w:right="86"/>
                          <w:jc w:val="right"/>
                          <w:rPr>
                            <w:sz w:val="19"/>
                          </w:rPr>
                        </w:pPr>
                        <w:r>
                          <w:rPr>
                            <w:sz w:val="19"/>
                          </w:rPr>
                          <w:t>72</w:t>
                        </w:r>
                      </w:p>
                      <w:p>
                        <w:pPr>
                          <w:pStyle w:val="TableParagraph"/>
                          <w:spacing w:line="190" w:lineRule="exact"/>
                          <w:ind w:right="114"/>
                          <w:jc w:val="right"/>
                          <w:rPr>
                            <w:rFonts w:ascii="Times New Roman"/>
                            <w:sz w:val="17"/>
                          </w:rPr>
                        </w:pPr>
                        <w:r>
                          <w:rPr>
                            <w:rFonts w:ascii="Times New Roman"/>
                            <w:w w:val="95"/>
                            <w:sz w:val="17"/>
                          </w:rPr>
                          <w:t>40</w:t>
                        </w:r>
                      </w:p>
                      <w:p>
                        <w:pPr>
                          <w:pStyle w:val="TableParagraph"/>
                          <w:spacing w:line="215" w:lineRule="exact"/>
                          <w:ind w:right="103"/>
                          <w:jc w:val="right"/>
                          <w:rPr>
                            <w:sz w:val="19"/>
                          </w:rPr>
                        </w:pPr>
                        <w:r>
                          <w:rPr>
                            <w:w w:val="90"/>
                            <w:sz w:val="19"/>
                          </w:rPr>
                          <w:t>21</w:t>
                        </w:r>
                      </w:p>
                    </w:tc>
                    <w:tc>
                      <w:tcPr>
                        <w:tcW w:w="758" w:type="dxa"/>
                        <w:tcBorders>
                          <w:top w:val="nil"/>
                          <w:bottom w:val="nil"/>
                        </w:tcBorders>
                      </w:tcPr>
                      <w:p>
                        <w:pPr>
                          <w:pStyle w:val="TableParagraph"/>
                          <w:spacing w:line="208" w:lineRule="exact" w:before="81"/>
                          <w:ind w:left="255" w:right="-20"/>
                          <w:rPr>
                            <w:sz w:val="19"/>
                          </w:rPr>
                        </w:pPr>
                        <w:r>
                          <w:rPr>
                            <w:w w:val="95"/>
                            <w:sz w:val="19"/>
                          </w:rPr>
                          <w:t>1.91</w:t>
                        </w:r>
                      </w:p>
                      <w:p>
                        <w:pPr>
                          <w:pStyle w:val="TableParagraph"/>
                          <w:spacing w:line="202" w:lineRule="exact"/>
                          <w:ind w:left="259" w:right="-20"/>
                          <w:rPr>
                            <w:sz w:val="19"/>
                          </w:rPr>
                        </w:pPr>
                        <w:r>
                          <w:rPr>
                            <w:spacing w:val="-77"/>
                            <w:w w:val="87"/>
                            <w:sz w:val="19"/>
                          </w:rPr>
                          <w:t>1</w:t>
                        </w:r>
                        <w:r>
                          <w:rPr>
                            <w:spacing w:val="-194"/>
                            <w:w w:val="149"/>
                            <w:sz w:val="19"/>
                          </w:rPr>
                          <w:t>·</w:t>
                        </w:r>
                        <w:r>
                          <w:rPr>
                            <w:spacing w:val="-56"/>
                            <w:w w:val="98"/>
                            <w:sz w:val="19"/>
                          </w:rPr>
                          <w:t>.</w:t>
                        </w:r>
                        <w:r>
                          <w:rPr>
                            <w:w w:val="79"/>
                            <w:sz w:val="19"/>
                          </w:rPr>
                          <w:t>83</w:t>
                        </w:r>
                      </w:p>
                      <w:p>
                        <w:pPr>
                          <w:pStyle w:val="TableParagraph"/>
                          <w:spacing w:line="203" w:lineRule="exact"/>
                          <w:ind w:left="259" w:right="-20"/>
                          <w:rPr>
                            <w:sz w:val="19"/>
                          </w:rPr>
                        </w:pPr>
                        <w:r>
                          <w:rPr>
                            <w:w w:val="90"/>
                            <w:sz w:val="19"/>
                          </w:rPr>
                          <w:t>1.75</w:t>
                        </w:r>
                      </w:p>
                      <w:p>
                        <w:pPr>
                          <w:pStyle w:val="TableParagraph"/>
                          <w:spacing w:line="197" w:lineRule="exact"/>
                          <w:ind w:left="259" w:right="-20"/>
                          <w:rPr>
                            <w:sz w:val="19"/>
                          </w:rPr>
                        </w:pPr>
                        <w:r>
                          <w:rPr>
                            <w:sz w:val="19"/>
                          </w:rPr>
                          <w:t>1.67</w:t>
                        </w:r>
                      </w:p>
                      <w:p>
                        <w:pPr>
                          <w:pStyle w:val="TableParagraph"/>
                          <w:spacing w:line="193" w:lineRule="exact"/>
                          <w:ind w:left="262" w:right="-20"/>
                          <w:rPr>
                            <w:rFonts w:ascii="Times New Roman"/>
                            <w:sz w:val="18"/>
                          </w:rPr>
                        </w:pPr>
                        <w:r>
                          <w:rPr>
                            <w:rFonts w:ascii="Times New Roman"/>
                            <w:w w:val="105"/>
                            <w:sz w:val="18"/>
                          </w:rPr>
                          <w:t>1.60</w:t>
                        </w:r>
                      </w:p>
                    </w:tc>
                    <w:tc>
                      <w:tcPr>
                        <w:tcW w:w="403" w:type="dxa"/>
                        <w:tcBorders>
                          <w:top w:val="nil"/>
                          <w:bottom w:val="nil"/>
                          <w:right w:val="nil"/>
                        </w:tcBorders>
                      </w:tcPr>
                      <w:p>
                        <w:pPr>
                          <w:pStyle w:val="TableParagraph"/>
                          <w:spacing w:line="208" w:lineRule="exact" w:before="77"/>
                          <w:ind w:left="98" w:right="-15"/>
                          <w:rPr>
                            <w:sz w:val="19"/>
                          </w:rPr>
                        </w:pPr>
                        <w:r>
                          <w:rPr>
                            <w:w w:val="85"/>
                            <w:sz w:val="19"/>
                          </w:rPr>
                          <w:t>100</w:t>
                        </w:r>
                      </w:p>
                      <w:p>
                        <w:pPr>
                          <w:pStyle w:val="TableParagraph"/>
                          <w:spacing w:line="202" w:lineRule="exact"/>
                          <w:ind w:left="102" w:right="-19"/>
                          <w:rPr>
                            <w:sz w:val="19"/>
                          </w:rPr>
                        </w:pPr>
                        <w:r>
                          <w:rPr>
                            <w:w w:val="85"/>
                            <w:sz w:val="19"/>
                          </w:rPr>
                          <w:t>101</w:t>
                        </w:r>
                      </w:p>
                      <w:p>
                        <w:pPr>
                          <w:pStyle w:val="TableParagraph"/>
                          <w:spacing w:line="202" w:lineRule="exact"/>
                          <w:ind w:left="98" w:right="-2"/>
                          <w:rPr>
                            <w:sz w:val="19"/>
                          </w:rPr>
                        </w:pPr>
                        <w:r>
                          <w:rPr>
                            <w:w w:val="80"/>
                            <w:sz w:val="19"/>
                          </w:rPr>
                          <w:t>102</w:t>
                        </w:r>
                      </w:p>
                      <w:p>
                        <w:pPr>
                          <w:pStyle w:val="TableParagraph"/>
                          <w:spacing w:line="202" w:lineRule="exact"/>
                          <w:ind w:left="98" w:right="-2"/>
                          <w:rPr>
                            <w:sz w:val="19"/>
                          </w:rPr>
                        </w:pPr>
                        <w:r>
                          <w:rPr>
                            <w:spacing w:val="-10"/>
                            <w:w w:val="90"/>
                            <w:sz w:val="19"/>
                          </w:rPr>
                          <w:t>103</w:t>
                        </w:r>
                      </w:p>
                      <w:p>
                        <w:pPr>
                          <w:pStyle w:val="TableParagraph"/>
                          <w:spacing w:line="208" w:lineRule="exact"/>
                          <w:ind w:left="102" w:right="-19"/>
                          <w:rPr>
                            <w:sz w:val="19"/>
                          </w:rPr>
                        </w:pPr>
                        <w:r>
                          <w:rPr>
                            <w:w w:val="85"/>
                            <w:sz w:val="19"/>
                          </w:rPr>
                          <w:t>104</w:t>
                        </w:r>
                      </w:p>
                    </w:tc>
                  </w:tr>
                  <w:tr>
                    <w:trPr>
                      <w:trHeight w:val="303" w:hRule="exact"/>
                    </w:trPr>
                    <w:tc>
                      <w:tcPr>
                        <w:tcW w:w="378" w:type="dxa"/>
                        <w:tcBorders>
                          <w:top w:val="nil"/>
                          <w:left w:val="nil"/>
                          <w:bottom w:val="nil"/>
                          <w:right w:val="single" w:sz="6" w:space="0" w:color="000000"/>
                        </w:tcBorders>
                      </w:tcPr>
                      <w:p>
                        <w:pPr>
                          <w:pStyle w:val="TableParagraph"/>
                          <w:spacing w:before="96"/>
                          <w:ind w:left="25"/>
                          <w:jc w:val="center"/>
                          <w:rPr>
                            <w:sz w:val="19"/>
                          </w:rPr>
                        </w:pPr>
                        <w:r>
                          <w:rPr>
                            <w:w w:val="90"/>
                            <w:sz w:val="19"/>
                          </w:rPr>
                          <w:t>105</w:t>
                        </w:r>
                      </w:p>
                    </w:tc>
                    <w:tc>
                      <w:tcPr>
                        <w:tcW w:w="833" w:type="dxa"/>
                        <w:tcBorders>
                          <w:top w:val="nil"/>
                          <w:left w:val="single" w:sz="6" w:space="0" w:color="000000"/>
                          <w:bottom w:val="nil"/>
                        </w:tcBorders>
                      </w:tcPr>
                      <w:p>
                        <w:pPr>
                          <w:pStyle w:val="TableParagraph"/>
                          <w:spacing w:before="92"/>
                          <w:ind w:left="84" w:right="9"/>
                          <w:jc w:val="center"/>
                          <w:rPr>
                            <w:sz w:val="19"/>
                          </w:rPr>
                        </w:pPr>
                        <w:r>
                          <w:rPr>
                            <w:sz w:val="19"/>
                          </w:rPr>
                          <w:t>.47662</w:t>
                        </w:r>
                      </w:p>
                    </w:tc>
                    <w:tc>
                      <w:tcPr>
                        <w:tcW w:w="832" w:type="dxa"/>
                        <w:tcBorders>
                          <w:top w:val="nil"/>
                          <w:bottom w:val="nil"/>
                        </w:tcBorders>
                      </w:tcPr>
                      <w:p>
                        <w:pPr>
                          <w:pStyle w:val="TableParagraph"/>
                          <w:spacing w:before="96"/>
                          <w:ind w:right="127"/>
                          <w:jc w:val="right"/>
                          <w:rPr>
                            <w:sz w:val="19"/>
                          </w:rPr>
                        </w:pPr>
                        <w:r>
                          <w:rPr>
                            <w:w w:val="103"/>
                            <w:sz w:val="19"/>
                          </w:rPr>
                          <w:t>7</w:t>
                        </w:r>
                      </w:p>
                    </w:tc>
                    <w:tc>
                      <w:tcPr>
                        <w:tcW w:w="679" w:type="dxa"/>
                        <w:tcBorders>
                          <w:top w:val="nil"/>
                          <w:bottom w:val="nil"/>
                        </w:tcBorders>
                      </w:tcPr>
                      <w:p>
                        <w:pPr>
                          <w:pStyle w:val="TableParagraph"/>
                          <w:spacing w:before="92"/>
                          <w:ind w:right="84"/>
                          <w:jc w:val="right"/>
                          <w:rPr>
                            <w:sz w:val="19"/>
                          </w:rPr>
                        </w:pPr>
                        <w:r>
                          <w:rPr>
                            <w:w w:val="105"/>
                            <w:sz w:val="19"/>
                          </w:rPr>
                          <w:t>3</w:t>
                        </w:r>
                      </w:p>
                    </w:tc>
                    <w:tc>
                      <w:tcPr>
                        <w:tcW w:w="833" w:type="dxa"/>
                        <w:tcBorders>
                          <w:top w:val="nil"/>
                          <w:bottom w:val="nil"/>
                        </w:tcBorders>
                      </w:tcPr>
                      <w:p>
                        <w:pPr>
                          <w:pStyle w:val="TableParagraph"/>
                          <w:spacing w:before="100"/>
                          <w:ind w:right="154"/>
                          <w:jc w:val="right"/>
                          <w:rPr>
                            <w:rFonts w:ascii="Arial"/>
                            <w:sz w:val="16"/>
                          </w:rPr>
                        </w:pPr>
                        <w:r>
                          <w:rPr>
                            <w:rFonts w:ascii="Arial"/>
                            <w:w w:val="102"/>
                            <w:sz w:val="16"/>
                          </w:rPr>
                          <w:t>6</w:t>
                        </w:r>
                      </w:p>
                    </w:tc>
                    <w:tc>
                      <w:tcPr>
                        <w:tcW w:w="994" w:type="dxa"/>
                        <w:tcBorders>
                          <w:top w:val="nil"/>
                          <w:bottom w:val="nil"/>
                        </w:tcBorders>
                      </w:tcPr>
                      <w:p>
                        <w:pPr>
                          <w:pStyle w:val="TableParagraph"/>
                          <w:spacing w:before="102"/>
                          <w:ind w:right="89"/>
                          <w:jc w:val="right"/>
                          <w:rPr>
                            <w:rFonts w:ascii="Arial"/>
                            <w:sz w:val="15"/>
                          </w:rPr>
                        </w:pPr>
                        <w:r>
                          <w:rPr>
                            <w:rFonts w:ascii="Arial"/>
                            <w:w w:val="105"/>
                            <w:sz w:val="15"/>
                          </w:rPr>
                          <w:t>11</w:t>
                        </w:r>
                      </w:p>
                    </w:tc>
                    <w:tc>
                      <w:tcPr>
                        <w:tcW w:w="758" w:type="dxa"/>
                        <w:tcBorders>
                          <w:top w:val="nil"/>
                          <w:bottom w:val="nil"/>
                        </w:tcBorders>
                      </w:tcPr>
                      <w:p>
                        <w:pPr>
                          <w:pStyle w:val="TableParagraph"/>
                          <w:spacing w:before="71"/>
                          <w:ind w:left="262" w:right="-20"/>
                          <w:rPr>
                            <w:rFonts w:ascii="Times New Roman"/>
                            <w:sz w:val="18"/>
                          </w:rPr>
                        </w:pPr>
                        <w:r>
                          <w:rPr>
                            <w:rFonts w:ascii="Times New Roman"/>
                            <w:w w:val="110"/>
                            <w:sz w:val="18"/>
                          </w:rPr>
                          <w:t>1.53</w:t>
                        </w:r>
                      </w:p>
                    </w:tc>
                    <w:tc>
                      <w:tcPr>
                        <w:tcW w:w="403" w:type="dxa"/>
                        <w:tcBorders>
                          <w:top w:val="nil"/>
                          <w:bottom w:val="nil"/>
                          <w:right w:val="nil"/>
                        </w:tcBorders>
                      </w:tcPr>
                      <w:p>
                        <w:pPr>
                          <w:pStyle w:val="TableParagraph"/>
                          <w:spacing w:before="78"/>
                          <w:ind w:right="39"/>
                          <w:jc w:val="right"/>
                          <w:rPr>
                            <w:sz w:val="19"/>
                          </w:rPr>
                        </w:pPr>
                        <w:r>
                          <w:rPr>
                            <w:w w:val="70"/>
                            <w:sz w:val="19"/>
                          </w:rPr>
                          <w:t>105</w:t>
                        </w:r>
                      </w:p>
                    </w:tc>
                  </w:tr>
                  <w:tr>
                    <w:trPr>
                      <w:trHeight w:val="907" w:hRule="exact"/>
                    </w:trPr>
                    <w:tc>
                      <w:tcPr>
                        <w:tcW w:w="378" w:type="dxa"/>
                        <w:tcBorders>
                          <w:top w:val="nil"/>
                          <w:left w:val="nil"/>
                          <w:bottom w:val="single" w:sz="6" w:space="0" w:color="000000"/>
                          <w:right w:val="single" w:sz="6" w:space="0" w:color="000000"/>
                        </w:tcBorders>
                      </w:tcPr>
                      <w:p>
                        <w:pPr>
                          <w:pStyle w:val="TableParagraph"/>
                          <w:spacing w:line="199" w:lineRule="exact"/>
                          <w:ind w:left="68" w:right="-6"/>
                          <w:rPr>
                            <w:sz w:val="19"/>
                          </w:rPr>
                        </w:pPr>
                        <w:r>
                          <w:rPr>
                            <w:spacing w:val="-12"/>
                            <w:w w:val="90"/>
                            <w:sz w:val="19"/>
                          </w:rPr>
                          <w:t>106</w:t>
                        </w:r>
                      </w:p>
                      <w:p>
                        <w:pPr>
                          <w:pStyle w:val="TableParagraph"/>
                          <w:spacing w:line="197" w:lineRule="exact"/>
                          <w:ind w:left="72" w:right="-6"/>
                          <w:rPr>
                            <w:sz w:val="19"/>
                          </w:rPr>
                        </w:pPr>
                        <w:r>
                          <w:rPr>
                            <w:spacing w:val="-8"/>
                            <w:w w:val="90"/>
                            <w:sz w:val="19"/>
                          </w:rPr>
                          <w:t>107</w:t>
                        </w:r>
                      </w:p>
                      <w:p>
                        <w:pPr>
                          <w:pStyle w:val="TableParagraph"/>
                          <w:spacing w:line="195" w:lineRule="exact"/>
                          <w:ind w:left="68" w:right="-15"/>
                          <w:rPr>
                            <w:rFonts w:ascii="Times New Roman"/>
                            <w:sz w:val="18"/>
                          </w:rPr>
                        </w:pPr>
                        <w:r>
                          <w:rPr>
                            <w:rFonts w:ascii="Times New Roman"/>
                            <w:w w:val="110"/>
                            <w:sz w:val="18"/>
                          </w:rPr>
                          <w:t>108</w:t>
                        </w:r>
                      </w:p>
                      <w:p>
                        <w:pPr>
                          <w:pStyle w:val="TableParagraph"/>
                          <w:spacing w:before="4"/>
                          <w:ind w:left="68" w:right="-6"/>
                          <w:rPr>
                            <w:sz w:val="19"/>
                          </w:rPr>
                        </w:pPr>
                        <w:r>
                          <w:rPr>
                            <w:spacing w:val="-9"/>
                            <w:w w:val="90"/>
                            <w:sz w:val="19"/>
                          </w:rPr>
                          <w:t>109</w:t>
                        </w:r>
                      </w:p>
                    </w:tc>
                    <w:tc>
                      <w:tcPr>
                        <w:tcW w:w="833" w:type="dxa"/>
                        <w:tcBorders>
                          <w:top w:val="nil"/>
                          <w:left w:val="single" w:sz="6" w:space="0" w:color="000000"/>
                          <w:bottom w:val="single" w:sz="6" w:space="0" w:color="000000"/>
                        </w:tcBorders>
                      </w:tcPr>
                      <w:p>
                        <w:pPr>
                          <w:pStyle w:val="TableParagraph"/>
                          <w:spacing w:line="201" w:lineRule="exact"/>
                          <w:ind w:left="201" w:right="-17"/>
                          <w:rPr>
                            <w:sz w:val="19"/>
                          </w:rPr>
                        </w:pPr>
                        <w:r>
                          <w:rPr>
                            <w:spacing w:val="-26"/>
                            <w:sz w:val="19"/>
                          </w:rPr>
                          <w:t>.49378</w:t>
                        </w:r>
                      </w:p>
                      <w:p>
                        <w:pPr>
                          <w:pStyle w:val="TableParagraph"/>
                          <w:spacing w:line="200" w:lineRule="exact"/>
                          <w:ind w:left="198" w:right="-17"/>
                          <w:rPr>
                            <w:sz w:val="19"/>
                          </w:rPr>
                        </w:pPr>
                        <w:r>
                          <w:rPr>
                            <w:spacing w:val="-16"/>
                            <w:w w:val="95"/>
                            <w:sz w:val="19"/>
                          </w:rPr>
                          <w:t>.51095</w:t>
                        </w:r>
                      </w:p>
                      <w:p>
                        <w:pPr>
                          <w:pStyle w:val="TableParagraph"/>
                          <w:spacing w:line="200" w:lineRule="exact"/>
                          <w:ind w:left="201" w:right="-17"/>
                          <w:rPr>
                            <w:sz w:val="19"/>
                          </w:rPr>
                        </w:pPr>
                        <w:r>
                          <w:rPr>
                            <w:spacing w:val="-22"/>
                            <w:sz w:val="19"/>
                          </w:rPr>
                          <w:t>.52810</w:t>
                        </w:r>
                      </w:p>
                      <w:p>
                        <w:pPr>
                          <w:pStyle w:val="TableParagraph"/>
                          <w:spacing w:line="207" w:lineRule="exact"/>
                          <w:ind w:left="201" w:right="-17"/>
                          <w:rPr>
                            <w:sz w:val="19"/>
                          </w:rPr>
                        </w:pPr>
                        <w:r>
                          <w:rPr>
                            <w:spacing w:val="-15"/>
                            <w:w w:val="95"/>
                            <w:sz w:val="19"/>
                          </w:rPr>
                          <w:t>.54519</w:t>
                        </w:r>
                      </w:p>
                    </w:tc>
                    <w:tc>
                      <w:tcPr>
                        <w:tcW w:w="832" w:type="dxa"/>
                        <w:tcBorders>
                          <w:top w:val="nil"/>
                          <w:bottom w:val="single" w:sz="6" w:space="0" w:color="000000"/>
                        </w:tcBorders>
                      </w:tcPr>
                      <w:p>
                        <w:pPr>
                          <w:pStyle w:val="TableParagraph"/>
                          <w:spacing w:line="186" w:lineRule="exact"/>
                          <w:ind w:right="160"/>
                          <w:jc w:val="right"/>
                          <w:rPr>
                            <w:rFonts w:ascii="Times New Roman"/>
                            <w:sz w:val="17"/>
                          </w:rPr>
                        </w:pPr>
                        <w:r>
                          <w:rPr>
                            <w:rFonts w:ascii="Times New Roman"/>
                            <w:w w:val="97"/>
                            <w:sz w:val="17"/>
                          </w:rPr>
                          <w:t>4</w:t>
                        </w:r>
                      </w:p>
                      <w:p>
                        <w:pPr>
                          <w:pStyle w:val="TableParagraph"/>
                          <w:spacing w:line="208" w:lineRule="exact" w:before="3"/>
                          <w:ind w:right="119"/>
                          <w:jc w:val="right"/>
                          <w:rPr>
                            <w:sz w:val="19"/>
                          </w:rPr>
                        </w:pPr>
                        <w:r>
                          <w:rPr>
                            <w:w w:val="107"/>
                            <w:sz w:val="19"/>
                          </w:rPr>
                          <w:t>2</w:t>
                        </w:r>
                      </w:p>
                      <w:p>
                        <w:pPr>
                          <w:pStyle w:val="TableParagraph"/>
                          <w:spacing w:line="169" w:lineRule="exact"/>
                          <w:ind w:right="114"/>
                          <w:jc w:val="right"/>
                          <w:rPr>
                            <w:rFonts w:ascii="Times New Roman"/>
                            <w:sz w:val="17"/>
                          </w:rPr>
                        </w:pPr>
                        <w:r>
                          <w:rPr>
                            <w:rFonts w:ascii="Times New Roman"/>
                            <w:w w:val="143"/>
                            <w:sz w:val="17"/>
                          </w:rPr>
                          <w:t>1</w:t>
                        </w:r>
                      </w:p>
                      <w:p>
                        <w:pPr>
                          <w:pStyle w:val="TableParagraph"/>
                          <w:spacing w:line="234" w:lineRule="exact"/>
                          <w:ind w:right="149"/>
                          <w:jc w:val="right"/>
                          <w:rPr>
                            <w:rFonts w:ascii="Arial"/>
                            <w:sz w:val="22"/>
                          </w:rPr>
                        </w:pPr>
                        <w:r>
                          <w:rPr>
                            <w:rFonts w:ascii="Arial"/>
                            <w:w w:val="78"/>
                            <w:sz w:val="22"/>
                          </w:rPr>
                          <w:t>o</w:t>
                        </w:r>
                      </w:p>
                    </w:tc>
                    <w:tc>
                      <w:tcPr>
                        <w:tcW w:w="679" w:type="dxa"/>
                        <w:tcBorders>
                          <w:top w:val="nil"/>
                          <w:bottom w:val="single" w:sz="6" w:space="0" w:color="000000"/>
                        </w:tcBorders>
                      </w:tcPr>
                      <w:p>
                        <w:pPr>
                          <w:pStyle w:val="TableParagraph"/>
                          <w:spacing w:line="182" w:lineRule="exact"/>
                          <w:ind w:right="108"/>
                          <w:jc w:val="right"/>
                          <w:rPr>
                            <w:rFonts w:ascii="Times New Roman"/>
                            <w:sz w:val="17"/>
                          </w:rPr>
                        </w:pPr>
                        <w:r>
                          <w:rPr>
                            <w:rFonts w:ascii="Times New Roman"/>
                            <w:w w:val="105"/>
                            <w:sz w:val="17"/>
                          </w:rPr>
                          <w:t>2</w:t>
                        </w:r>
                      </w:p>
                      <w:p>
                        <w:pPr>
                          <w:pStyle w:val="TableParagraph"/>
                          <w:spacing w:line="207" w:lineRule="exact" w:before="10"/>
                          <w:ind w:right="101"/>
                          <w:jc w:val="right"/>
                          <w:rPr>
                            <w:sz w:val="19"/>
                          </w:rPr>
                        </w:pPr>
                        <w:r>
                          <w:rPr>
                            <w:w w:val="77"/>
                            <w:sz w:val="19"/>
                          </w:rPr>
                          <w:t>1</w:t>
                        </w:r>
                      </w:p>
                      <w:p>
                        <w:pPr>
                          <w:pStyle w:val="TableParagraph"/>
                          <w:spacing w:line="176" w:lineRule="exact"/>
                          <w:ind w:right="95"/>
                          <w:jc w:val="right"/>
                          <w:rPr>
                            <w:sz w:val="19"/>
                          </w:rPr>
                        </w:pPr>
                        <w:r>
                          <w:rPr>
                            <w:w w:val="82"/>
                            <w:sz w:val="19"/>
                          </w:rPr>
                          <w:t>1</w:t>
                        </w:r>
                      </w:p>
                      <w:p>
                        <w:pPr>
                          <w:pStyle w:val="TableParagraph"/>
                          <w:spacing w:line="222" w:lineRule="exact"/>
                          <w:ind w:right="104"/>
                          <w:jc w:val="right"/>
                          <w:rPr>
                            <w:rFonts w:ascii="Arial"/>
                            <w:sz w:val="22"/>
                          </w:rPr>
                        </w:pPr>
                        <w:r>
                          <w:rPr>
                            <w:rFonts w:ascii="Arial"/>
                            <w:w w:val="78"/>
                            <w:sz w:val="22"/>
                          </w:rPr>
                          <w:t>o</w:t>
                        </w:r>
                      </w:p>
                    </w:tc>
                    <w:tc>
                      <w:tcPr>
                        <w:tcW w:w="833" w:type="dxa"/>
                        <w:tcBorders>
                          <w:top w:val="nil"/>
                          <w:bottom w:val="single" w:sz="6" w:space="0" w:color="000000"/>
                        </w:tcBorders>
                      </w:tcPr>
                      <w:p>
                        <w:pPr>
                          <w:pStyle w:val="TableParagraph"/>
                          <w:spacing w:line="182" w:lineRule="exact"/>
                          <w:ind w:right="150"/>
                          <w:jc w:val="right"/>
                          <w:rPr>
                            <w:rFonts w:ascii="Times New Roman"/>
                            <w:sz w:val="17"/>
                          </w:rPr>
                        </w:pPr>
                        <w:r>
                          <w:rPr>
                            <w:rFonts w:ascii="Times New Roman"/>
                            <w:w w:val="109"/>
                            <w:sz w:val="17"/>
                          </w:rPr>
                          <w:t>2</w:t>
                        </w:r>
                      </w:p>
                      <w:p>
                        <w:pPr>
                          <w:pStyle w:val="TableParagraph"/>
                          <w:spacing w:line="175" w:lineRule="exact" w:before="2"/>
                          <w:ind w:right="153"/>
                          <w:jc w:val="right"/>
                          <w:rPr>
                            <w:rFonts w:ascii="Times New Roman"/>
                            <w:sz w:val="17"/>
                          </w:rPr>
                        </w:pPr>
                        <w:r>
                          <w:rPr>
                            <w:rFonts w:ascii="Times New Roman"/>
                            <w:w w:val="105"/>
                            <w:sz w:val="17"/>
                          </w:rPr>
                          <w:t>2</w:t>
                        </w:r>
                      </w:p>
                      <w:p>
                        <w:pPr>
                          <w:pStyle w:val="TableParagraph"/>
                          <w:spacing w:line="230" w:lineRule="exact"/>
                          <w:ind w:right="149"/>
                          <w:jc w:val="right"/>
                          <w:rPr>
                            <w:rFonts w:ascii="Arial"/>
                            <w:sz w:val="22"/>
                          </w:rPr>
                        </w:pPr>
                        <w:r>
                          <w:rPr>
                            <w:rFonts w:ascii="Arial"/>
                            <w:w w:val="78"/>
                            <w:sz w:val="22"/>
                          </w:rPr>
                          <w:t>o</w:t>
                        </w:r>
                      </w:p>
                      <w:p>
                        <w:pPr>
                          <w:pStyle w:val="TableParagraph"/>
                          <w:spacing w:line="194" w:lineRule="exact"/>
                          <w:ind w:right="127"/>
                          <w:jc w:val="right"/>
                          <w:rPr>
                            <w:rFonts w:ascii="Times New Roman"/>
                            <w:sz w:val="17"/>
                          </w:rPr>
                        </w:pPr>
                        <w:r>
                          <w:rPr>
                            <w:rFonts w:ascii="Times New Roman"/>
                            <w:w w:val="127"/>
                            <w:sz w:val="17"/>
                          </w:rPr>
                          <w:t>1</w:t>
                        </w:r>
                      </w:p>
                    </w:tc>
                    <w:tc>
                      <w:tcPr>
                        <w:tcW w:w="994" w:type="dxa"/>
                        <w:tcBorders>
                          <w:top w:val="nil"/>
                          <w:bottom w:val="single" w:sz="6" w:space="0" w:color="000000"/>
                        </w:tcBorders>
                      </w:tcPr>
                      <w:p>
                        <w:pPr>
                          <w:pStyle w:val="TableParagraph"/>
                          <w:spacing w:line="172" w:lineRule="exact"/>
                          <w:ind w:right="104"/>
                          <w:jc w:val="right"/>
                          <w:rPr>
                            <w:rFonts w:ascii="Arial"/>
                            <w:sz w:val="16"/>
                          </w:rPr>
                        </w:pPr>
                        <w:r>
                          <w:rPr>
                            <w:rFonts w:ascii="Arial"/>
                            <w:w w:val="106"/>
                            <w:sz w:val="16"/>
                          </w:rPr>
                          <w:t>5</w:t>
                        </w:r>
                      </w:p>
                      <w:p>
                        <w:pPr>
                          <w:pStyle w:val="TableParagraph"/>
                          <w:spacing w:line="209" w:lineRule="exact" w:before="9"/>
                          <w:ind w:right="84"/>
                          <w:jc w:val="right"/>
                          <w:rPr>
                            <w:sz w:val="19"/>
                          </w:rPr>
                        </w:pPr>
                        <w:r>
                          <w:rPr>
                            <w:w w:val="100"/>
                            <w:sz w:val="19"/>
                          </w:rPr>
                          <w:t>3</w:t>
                        </w:r>
                      </w:p>
                      <w:p>
                        <w:pPr>
                          <w:pStyle w:val="TableParagraph"/>
                          <w:spacing w:line="192" w:lineRule="exact"/>
                          <w:ind w:right="93"/>
                          <w:jc w:val="right"/>
                          <w:rPr>
                            <w:sz w:val="18"/>
                          </w:rPr>
                        </w:pPr>
                        <w:r>
                          <w:rPr>
                            <w:w w:val="87"/>
                            <w:sz w:val="18"/>
                          </w:rPr>
                          <w:t>1</w:t>
                        </w:r>
                      </w:p>
                      <w:p>
                        <w:pPr>
                          <w:pStyle w:val="TableParagraph"/>
                          <w:spacing w:line="210" w:lineRule="exact"/>
                          <w:ind w:right="99"/>
                          <w:jc w:val="right"/>
                          <w:rPr>
                            <w:sz w:val="19"/>
                          </w:rPr>
                        </w:pPr>
                        <w:r>
                          <w:rPr>
                            <w:w w:val="77"/>
                            <w:sz w:val="19"/>
                          </w:rPr>
                          <w:t>1</w:t>
                        </w:r>
                      </w:p>
                    </w:tc>
                    <w:tc>
                      <w:tcPr>
                        <w:tcW w:w="758" w:type="dxa"/>
                        <w:tcBorders>
                          <w:top w:val="nil"/>
                          <w:bottom w:val="single" w:sz="6" w:space="0" w:color="000000"/>
                        </w:tcBorders>
                      </w:tcPr>
                      <w:p>
                        <w:pPr>
                          <w:pStyle w:val="TableParagraph"/>
                          <w:spacing w:line="182" w:lineRule="exact"/>
                          <w:ind w:left="262" w:right="-20"/>
                          <w:rPr>
                            <w:sz w:val="19"/>
                          </w:rPr>
                        </w:pPr>
                        <w:r>
                          <w:rPr>
                            <w:w w:val="85"/>
                            <w:sz w:val="19"/>
                          </w:rPr>
                          <w:t>1.46</w:t>
                        </w:r>
                      </w:p>
                      <w:p>
                        <w:pPr>
                          <w:pStyle w:val="TableParagraph"/>
                          <w:spacing w:line="191" w:lineRule="exact"/>
                          <w:ind w:left="266" w:right="-20"/>
                          <w:rPr>
                            <w:rFonts w:ascii="Times New Roman"/>
                            <w:sz w:val="18"/>
                          </w:rPr>
                        </w:pPr>
                        <w:r>
                          <w:rPr>
                            <w:rFonts w:ascii="Times New Roman"/>
                            <w:w w:val="105"/>
                            <w:sz w:val="18"/>
                          </w:rPr>
                          <w:t>1.40</w:t>
                        </w:r>
                      </w:p>
                      <w:p>
                        <w:pPr>
                          <w:pStyle w:val="TableParagraph"/>
                          <w:spacing w:line="204" w:lineRule="exact"/>
                          <w:ind w:left="262" w:right="-20"/>
                          <w:rPr>
                            <w:rFonts w:ascii="Times New Roman"/>
                            <w:sz w:val="18"/>
                          </w:rPr>
                        </w:pPr>
                        <w:r>
                          <w:rPr>
                            <w:rFonts w:ascii="Times New Roman"/>
                            <w:w w:val="110"/>
                            <w:sz w:val="18"/>
                          </w:rPr>
                          <w:t>1.35</w:t>
                        </w:r>
                      </w:p>
                      <w:p>
                        <w:pPr>
                          <w:pStyle w:val="TableParagraph"/>
                          <w:spacing w:before="22"/>
                          <w:ind w:left="262" w:right="-20"/>
                          <w:rPr>
                            <w:rFonts w:ascii="Arial"/>
                            <w:sz w:val="15"/>
                          </w:rPr>
                        </w:pPr>
                        <w:r>
                          <w:rPr>
                            <w:rFonts w:ascii="Arial"/>
                            <w:w w:val="110"/>
                            <w:sz w:val="15"/>
                          </w:rPr>
                          <w:t>1.29</w:t>
                        </w:r>
                      </w:p>
                    </w:tc>
                    <w:tc>
                      <w:tcPr>
                        <w:tcW w:w="403" w:type="dxa"/>
                        <w:tcBorders>
                          <w:top w:val="nil"/>
                          <w:bottom w:val="single" w:sz="6" w:space="0" w:color="000000"/>
                          <w:right w:val="nil"/>
                        </w:tcBorders>
                      </w:tcPr>
                      <w:p>
                        <w:pPr>
                          <w:pStyle w:val="TableParagraph"/>
                          <w:spacing w:line="180" w:lineRule="exact"/>
                          <w:ind w:left="98" w:right="-5"/>
                          <w:rPr>
                            <w:sz w:val="18"/>
                          </w:rPr>
                        </w:pPr>
                        <w:r>
                          <w:rPr>
                            <w:spacing w:val="-9"/>
                            <w:w w:val="95"/>
                            <w:sz w:val="18"/>
                          </w:rPr>
                          <w:t>106</w:t>
                        </w:r>
                      </w:p>
                      <w:p>
                        <w:pPr>
                          <w:pStyle w:val="TableParagraph"/>
                          <w:spacing w:line="203" w:lineRule="exact"/>
                          <w:ind w:left="102" w:right="-9"/>
                          <w:rPr>
                            <w:sz w:val="19"/>
                          </w:rPr>
                        </w:pPr>
                        <w:r>
                          <w:rPr>
                            <w:spacing w:val="-9"/>
                            <w:w w:val="90"/>
                            <w:sz w:val="19"/>
                          </w:rPr>
                          <w:t>107</w:t>
                        </w:r>
                      </w:p>
                      <w:p>
                        <w:pPr>
                          <w:pStyle w:val="TableParagraph"/>
                          <w:spacing w:line="188" w:lineRule="exact"/>
                          <w:ind w:left="98" w:right="-18"/>
                          <w:rPr>
                            <w:rFonts w:ascii="Times New Roman"/>
                            <w:sz w:val="17"/>
                          </w:rPr>
                        </w:pPr>
                        <w:r>
                          <w:rPr>
                            <w:rFonts w:ascii="Times New Roman"/>
                            <w:w w:val="115"/>
                            <w:sz w:val="17"/>
                          </w:rPr>
                          <w:t>108</w:t>
                        </w:r>
                      </w:p>
                      <w:p>
                        <w:pPr>
                          <w:pStyle w:val="TableParagraph"/>
                          <w:spacing w:before="3"/>
                          <w:ind w:left="98" w:right="-5"/>
                          <w:rPr>
                            <w:sz w:val="19"/>
                          </w:rPr>
                        </w:pPr>
                        <w:r>
                          <w:rPr>
                            <w:spacing w:val="-9"/>
                            <w:w w:val="90"/>
                            <w:sz w:val="19"/>
                          </w:rPr>
                          <w:t>109</w:t>
                        </w:r>
                      </w:p>
                    </w:tc>
                  </w:tr>
                </w:tbl>
                <w:p>
                  <w:pPr>
                    <w:pStyle w:val="BodyText"/>
                  </w:pPr>
                </w:p>
              </w:txbxContent>
            </v:textbox>
            <w10:wrap type="none"/>
          </v:shape>
        </w:pict>
      </w:r>
      <w:r>
        <w:rPr>
          <w:w w:val="180"/>
          <w:sz w:val="28"/>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spacing w:line="232" w:lineRule="auto" w:before="82"/>
        <w:ind w:left="122" w:right="140" w:firstLine="198"/>
        <w:jc w:val="both"/>
        <w:rPr>
          <w:sz w:val="18"/>
        </w:rPr>
      </w:pPr>
      <w:r>
        <w:rPr>
          <w:w w:val="105"/>
          <w:sz w:val="18"/>
        </w:rPr>
        <w:t>At the oldest </w:t>
      </w:r>
      <w:r>
        <w:rPr>
          <w:b/>
          <w:w w:val="105"/>
          <w:sz w:val="17"/>
        </w:rPr>
        <w:t>ages, </w:t>
      </w:r>
      <w:r>
        <w:rPr>
          <w:w w:val="105"/>
          <w:sz w:val="18"/>
        </w:rPr>
        <w:t>where the av&amp;ilable data are scanty and unreliable, the life table functions have been adjusted in a special way. The student will note that the usual mathematical relationshipe do not hold consistently at  the end  of  the</w:t>
      </w:r>
      <w:r>
        <w:rPr>
          <w:spacing w:val="4"/>
          <w:w w:val="105"/>
          <w:sz w:val="18"/>
        </w:rPr>
        <w:t> </w:t>
      </w:r>
      <w:r>
        <w:rPr>
          <w:w w:val="105"/>
          <w:sz w:val="18"/>
        </w:rPr>
        <w:t>table.</w:t>
      </w:r>
    </w:p>
    <w:p>
      <w:pPr>
        <w:spacing w:after="0" w:line="232" w:lineRule="auto"/>
        <w:jc w:val="both"/>
        <w:rPr>
          <w:sz w:val="18"/>
        </w:rPr>
        <w:sectPr>
          <w:pgSz w:w="7200" w:h="11340"/>
          <w:pgMar w:top="620" w:bottom="280" w:left="680" w:right="540"/>
        </w:sectPr>
      </w:pPr>
    </w:p>
    <w:p>
      <w:pPr>
        <w:pStyle w:val="BodyText"/>
      </w:pPr>
    </w:p>
    <w:p>
      <w:pPr>
        <w:pStyle w:val="BodyText"/>
        <w:spacing w:before="3"/>
        <w:rPr>
          <w:sz w:val="16"/>
        </w:rPr>
      </w:pPr>
    </w:p>
    <w:p>
      <w:pPr>
        <w:spacing w:before="72"/>
        <w:ind w:left="2390" w:right="0" w:firstLine="0"/>
        <w:jc w:val="left"/>
        <w:rPr>
          <w:sz w:val="22"/>
        </w:rPr>
      </w:pPr>
      <w:bookmarkStart w:name="Appendix II. Derivatives of Actuarial Fu" w:id="27"/>
      <w:bookmarkEnd w:id="27"/>
      <w:r>
        <w:rPr/>
      </w:r>
      <w:r>
        <w:rPr>
          <w:color w:val="010101"/>
          <w:w w:val="110"/>
          <w:sz w:val="22"/>
        </w:rPr>
        <w:t>APPENDIX II</w:t>
      </w:r>
    </w:p>
    <w:p>
      <w:pPr>
        <w:spacing w:before="106"/>
        <w:ind w:left="839" w:right="0" w:firstLine="0"/>
        <w:jc w:val="left"/>
        <w:rPr>
          <w:sz w:val="22"/>
        </w:rPr>
      </w:pPr>
      <w:r>
        <w:rPr>
          <w:color w:val="010101"/>
          <w:sz w:val="22"/>
        </w:rPr>
        <w:t>DERIVATIVES  OF ACTUARIAL FUNCTIONS</w:t>
      </w:r>
    </w:p>
    <w:p>
      <w:pPr>
        <w:pStyle w:val="BodyText"/>
        <w:spacing w:before="11"/>
        <w:rPr>
          <w:sz w:val="24"/>
        </w:rPr>
      </w:pPr>
    </w:p>
    <w:p>
      <w:pPr>
        <w:tabs>
          <w:tab w:pos="2009" w:val="left" w:leader="none"/>
        </w:tabs>
        <w:spacing w:line="263" w:lineRule="exact" w:before="0"/>
        <w:ind w:left="340" w:right="0" w:firstLine="0"/>
        <w:jc w:val="left"/>
        <w:rPr>
          <w:sz w:val="20"/>
        </w:rPr>
      </w:pPr>
      <w:r>
        <w:rPr/>
        <w:pict>
          <v:line style="position:absolute;mso-position-horizontal-relative:page;mso-position-vertical-relative:paragraph;z-index:-709120" from="81.834503pt,12.73783pt" to="83.629113pt,12.73783pt" stroked="true" strokeweight=".358923pt" strokecolor="#000000">
            <w10:wrap type="none"/>
          </v:line>
        </w:pict>
      </w:r>
      <w:r>
        <w:rPr>
          <w:color w:val="010101"/>
          <w:w w:val="115"/>
          <w:sz w:val="20"/>
        </w:rPr>
        <w:t>l.  </w:t>
      </w:r>
      <w:r>
        <w:rPr>
          <w:rFonts w:ascii="Arial"/>
          <w:i/>
          <w:color w:val="010101"/>
          <w:w w:val="110"/>
          <w:position w:val="3"/>
          <w:sz w:val="22"/>
        </w:rPr>
        <w:t>dl.</w:t>
      </w:r>
      <w:r>
        <w:rPr>
          <w:rFonts w:ascii="Arial"/>
          <w:i/>
          <w:color w:val="010101"/>
          <w:spacing w:val="-35"/>
          <w:w w:val="110"/>
          <w:position w:val="3"/>
          <w:sz w:val="22"/>
        </w:rPr>
        <w:t> </w:t>
      </w:r>
      <w:r>
        <w:rPr>
          <w:color w:val="010101"/>
          <w:w w:val="110"/>
          <w:position w:val="3"/>
          <w:sz w:val="26"/>
        </w:rPr>
        <w:t>=</w:t>
      </w:r>
      <w:r>
        <w:rPr>
          <w:color w:val="010101"/>
          <w:spacing w:val="46"/>
          <w:w w:val="110"/>
          <w:position w:val="3"/>
          <w:sz w:val="26"/>
        </w:rPr>
        <w:t> </w:t>
      </w:r>
      <w:r>
        <w:rPr>
          <w:b/>
          <w:i/>
          <w:color w:val="010101"/>
          <w:w w:val="110"/>
          <w:position w:val="3"/>
          <w:sz w:val="21"/>
        </w:rPr>
        <w:t>-lJJ,.</w:t>
        <w:tab/>
      </w:r>
      <w:r>
        <w:rPr>
          <w:color w:val="010101"/>
          <w:w w:val="105"/>
          <w:position w:val="1"/>
          <w:sz w:val="22"/>
        </w:rPr>
        <w:t>See</w:t>
      </w:r>
      <w:r>
        <w:rPr>
          <w:color w:val="010101"/>
          <w:spacing w:val="3"/>
          <w:w w:val="105"/>
          <w:position w:val="1"/>
          <w:sz w:val="22"/>
        </w:rPr>
        <w:t> </w:t>
      </w:r>
      <w:r>
        <w:rPr>
          <w:color w:val="010101"/>
          <w:w w:val="105"/>
          <w:position w:val="1"/>
          <w:sz w:val="20"/>
        </w:rPr>
        <w:t>(1.9).</w:t>
      </w:r>
    </w:p>
    <w:p>
      <w:pPr>
        <w:spacing w:line="188" w:lineRule="exact" w:before="0"/>
        <w:ind w:left="595" w:right="0" w:firstLine="0"/>
        <w:jc w:val="left"/>
        <w:rPr>
          <w:i/>
          <w:sz w:val="21"/>
        </w:rPr>
      </w:pPr>
      <w:r>
        <w:rPr>
          <w:i/>
          <w:color w:val="010101"/>
          <w:sz w:val="21"/>
        </w:rPr>
        <w:t>dx</w:t>
      </w:r>
    </w:p>
    <w:p>
      <w:pPr>
        <w:spacing w:after="0" w:line="188" w:lineRule="exact"/>
        <w:jc w:val="left"/>
        <w:rPr>
          <w:sz w:val="21"/>
        </w:rPr>
        <w:sectPr>
          <w:pgSz w:w="7200" w:h="11340"/>
          <w:pgMar w:top="1060" w:bottom="280" w:left="980" w:right="780"/>
        </w:sectPr>
      </w:pPr>
    </w:p>
    <w:p>
      <w:pPr>
        <w:spacing w:line="486" w:lineRule="exact" w:before="0"/>
        <w:ind w:left="322" w:right="-16" w:firstLine="0"/>
        <w:jc w:val="left"/>
        <w:rPr>
          <w:i/>
          <w:sz w:val="18"/>
        </w:rPr>
      </w:pPr>
      <w:r>
        <w:rPr>
          <w:color w:val="010101"/>
          <w:position w:val="-11"/>
          <w:sz w:val="22"/>
        </w:rPr>
        <w:t>2.  </w:t>
      </w:r>
      <w:r>
        <w:rPr>
          <w:i/>
          <w:color w:val="010101"/>
          <w:sz w:val="21"/>
        </w:rPr>
        <w:t>d </w:t>
      </w:r>
      <w:r>
        <w:rPr>
          <w:color w:val="010101"/>
          <w:sz w:val="22"/>
        </w:rPr>
        <w:t>log </w:t>
      </w:r>
      <w:r>
        <w:rPr>
          <w:i/>
          <w:color w:val="010101"/>
          <w:sz w:val="34"/>
        </w:rPr>
        <w:t>z. </w:t>
      </w:r>
      <w:r>
        <w:rPr>
          <w:i/>
          <w:color w:val="010101"/>
          <w:w w:val="105"/>
          <w:position w:val="-13"/>
          <w:sz w:val="18"/>
        </w:rPr>
        <w:t>=</w:t>
      </w:r>
      <w:r>
        <w:rPr>
          <w:i/>
          <w:color w:val="010101"/>
          <w:spacing w:val="-21"/>
          <w:w w:val="105"/>
          <w:position w:val="-13"/>
          <w:sz w:val="18"/>
        </w:rPr>
        <w:t> </w:t>
      </w:r>
      <w:r>
        <w:rPr>
          <w:i/>
          <w:color w:val="010101"/>
          <w:position w:val="-13"/>
          <w:sz w:val="18"/>
        </w:rPr>
        <w:t>-µ:,e</w:t>
      </w:r>
    </w:p>
    <w:p>
      <w:pPr>
        <w:pStyle w:val="BodyText"/>
        <w:spacing w:before="9"/>
        <w:rPr>
          <w:i/>
          <w:sz w:val="18"/>
        </w:rPr>
      </w:pPr>
      <w:r>
        <w:rPr/>
        <w:br w:type="column"/>
      </w:r>
      <w:r>
        <w:rPr>
          <w:i/>
          <w:sz w:val="18"/>
        </w:rPr>
      </w:r>
    </w:p>
    <w:p>
      <w:pPr>
        <w:spacing w:before="0"/>
        <w:ind w:left="322" w:right="0" w:firstLine="0"/>
        <w:jc w:val="left"/>
        <w:rPr>
          <w:sz w:val="20"/>
        </w:rPr>
      </w:pPr>
      <w:r>
        <w:rPr>
          <w:color w:val="010101"/>
          <w:w w:val="105"/>
          <w:sz w:val="22"/>
        </w:rPr>
        <w:t>See </w:t>
      </w:r>
      <w:r>
        <w:rPr>
          <w:color w:val="010101"/>
          <w:w w:val="105"/>
          <w:sz w:val="20"/>
        </w:rPr>
        <w:t>(1.10).</w:t>
      </w:r>
    </w:p>
    <w:p>
      <w:pPr>
        <w:spacing w:after="0"/>
        <w:jc w:val="left"/>
        <w:rPr>
          <w:sz w:val="20"/>
        </w:rPr>
        <w:sectPr>
          <w:type w:val="continuous"/>
          <w:pgSz w:w="7200" w:h="11340"/>
          <w:pgMar w:top="1100" w:bottom="0" w:left="980" w:right="780"/>
          <w:cols w:num="2" w:equalWidth="0">
            <w:col w:w="1900" w:space="71"/>
            <w:col w:w="3469"/>
          </w:cols>
        </w:sectPr>
      </w:pPr>
    </w:p>
    <w:p>
      <w:pPr>
        <w:pStyle w:val="BodyText"/>
        <w:spacing w:before="9"/>
        <w:rPr>
          <w:sz w:val="12"/>
        </w:rPr>
      </w:pPr>
    </w:p>
    <w:p>
      <w:pPr>
        <w:spacing w:before="63"/>
        <w:ind w:left="322" w:right="0" w:firstLine="0"/>
        <w:jc w:val="left"/>
        <w:rPr>
          <w:sz w:val="27"/>
        </w:rPr>
      </w:pPr>
      <w:r>
        <w:rPr>
          <w:rFonts w:ascii="Arial"/>
          <w:color w:val="010101"/>
          <w:spacing w:val="-5"/>
          <w:w w:val="93"/>
          <w:position w:val="3"/>
          <w:sz w:val="20"/>
        </w:rPr>
        <w:t>3</w:t>
      </w:r>
      <w:r>
        <w:rPr>
          <w:color w:val="010101"/>
          <w:w w:val="113"/>
          <w:sz w:val="26"/>
        </w:rPr>
        <w:t>.</w:t>
      </w:r>
      <w:r>
        <w:rPr>
          <w:color w:val="010101"/>
          <w:sz w:val="26"/>
        </w:rPr>
        <w:t> </w:t>
      </w:r>
      <w:r>
        <w:rPr>
          <w:color w:val="010101"/>
          <w:spacing w:val="-24"/>
          <w:sz w:val="26"/>
        </w:rPr>
        <w:t> </w:t>
      </w:r>
      <w:r>
        <w:rPr>
          <w:b/>
          <w:i/>
          <w:color w:val="010101"/>
          <w:spacing w:val="-79"/>
          <w:w w:val="69"/>
          <w:position w:val="11"/>
          <w:sz w:val="27"/>
        </w:rPr>
        <w:t>a</w:t>
      </w:r>
      <w:r>
        <w:rPr>
          <w:i/>
          <w:color w:val="010101"/>
          <w:spacing w:val="-54"/>
          <w:w w:val="102"/>
          <w:sz w:val="26"/>
        </w:rPr>
        <w:t>7</w:t>
      </w:r>
      <w:r>
        <w:rPr>
          <w:b/>
          <w:i/>
          <w:color w:val="010101"/>
          <w:w w:val="69"/>
          <w:position w:val="11"/>
          <w:sz w:val="27"/>
        </w:rPr>
        <w:t>,</w:t>
      </w:r>
      <w:r>
        <w:rPr>
          <w:b/>
          <w:i/>
          <w:color w:val="010101"/>
          <w:spacing w:val="-107"/>
          <w:w w:val="68"/>
          <w:position w:val="11"/>
          <w:sz w:val="27"/>
        </w:rPr>
        <w:t>P</w:t>
      </w:r>
      <w:r>
        <w:rPr>
          <w:i/>
          <w:color w:val="010101"/>
          <w:w w:val="101"/>
          <w:sz w:val="26"/>
        </w:rPr>
        <w:t>i</w:t>
      </w:r>
      <w:r>
        <w:rPr>
          <w:i/>
          <w:color w:val="010101"/>
          <w:spacing w:val="-85"/>
          <w:w w:val="101"/>
          <w:sz w:val="26"/>
        </w:rPr>
        <w:t>x</w:t>
      </w:r>
      <w:r>
        <w:rPr>
          <w:b/>
          <w:i/>
          <w:color w:val="010101"/>
          <w:w w:val="68"/>
          <w:position w:val="11"/>
          <w:sz w:val="27"/>
        </w:rPr>
        <w:t>s</w:t>
      </w:r>
      <w:r>
        <w:rPr>
          <w:b/>
          <w:i/>
          <w:color w:val="010101"/>
          <w:spacing w:val="23"/>
          <w:position w:val="11"/>
          <w:sz w:val="27"/>
        </w:rPr>
        <w:t> </w:t>
      </w:r>
      <w:r>
        <w:rPr>
          <w:color w:val="010101"/>
          <w:w w:val="94"/>
          <w:sz w:val="26"/>
        </w:rPr>
        <w:t>=</w:t>
      </w:r>
      <w:r>
        <w:rPr>
          <w:color w:val="010101"/>
          <w:sz w:val="26"/>
        </w:rPr>
        <w:t> </w:t>
      </w:r>
      <w:r>
        <w:rPr>
          <w:color w:val="010101"/>
          <w:spacing w:val="-29"/>
          <w:sz w:val="26"/>
        </w:rPr>
        <w:t> </w:t>
      </w:r>
      <w:r>
        <w:rPr>
          <w:b/>
          <w:i/>
          <w:color w:val="010101"/>
          <w:w w:val="73"/>
          <w:sz w:val="18"/>
        </w:rPr>
        <w:t>,P:c</w:t>
      </w:r>
      <w:r>
        <w:rPr>
          <w:b/>
          <w:i/>
          <w:color w:val="010101"/>
          <w:spacing w:val="-19"/>
          <w:sz w:val="18"/>
        </w:rPr>
        <w:t> </w:t>
      </w:r>
      <w:r>
        <w:rPr>
          <w:color w:val="010101"/>
          <w:spacing w:val="17"/>
          <w:w w:val="71"/>
          <w:position w:val="11"/>
          <w:sz w:val="27"/>
        </w:rPr>
        <w:t>(</w:t>
      </w:r>
      <w:r>
        <w:rPr>
          <w:b/>
          <w:i/>
          <w:color w:val="010101"/>
          <w:w w:val="58"/>
          <w:sz w:val="16"/>
        </w:rPr>
        <w:t>P.:c</w:t>
      </w:r>
      <w:r>
        <w:rPr>
          <w:b/>
          <w:i/>
          <w:color w:val="010101"/>
          <w:sz w:val="16"/>
        </w:rPr>
        <w:t>  </w:t>
      </w:r>
      <w:r>
        <w:rPr>
          <w:b/>
          <w:i/>
          <w:color w:val="010101"/>
          <w:spacing w:val="-16"/>
          <w:sz w:val="16"/>
        </w:rPr>
        <w:t> </w:t>
      </w:r>
      <w:r>
        <w:rPr>
          <w:color w:val="010101"/>
          <w:w w:val="343"/>
          <w:sz w:val="16"/>
        </w:rPr>
        <w:t>-</w:t>
      </w:r>
      <w:r>
        <w:rPr>
          <w:color w:val="010101"/>
          <w:spacing w:val="6"/>
          <w:sz w:val="16"/>
        </w:rPr>
        <w:t> </w:t>
      </w:r>
      <w:r>
        <w:rPr>
          <w:b/>
          <w:color w:val="010101"/>
          <w:w w:val="83"/>
          <w:sz w:val="16"/>
        </w:rPr>
        <w:t>l":cH</w:t>
      </w:r>
      <w:r>
        <w:rPr>
          <w:b/>
          <w:color w:val="010101"/>
          <w:spacing w:val="-9"/>
          <w:sz w:val="16"/>
        </w:rPr>
        <w:t> </w:t>
      </w:r>
      <w:r>
        <w:rPr>
          <w:color w:val="010101"/>
          <w:w w:val="71"/>
          <w:position w:val="11"/>
          <w:sz w:val="27"/>
        </w:rPr>
        <w:t>)</w:t>
      </w:r>
    </w:p>
    <w:p>
      <w:pPr>
        <w:pStyle w:val="BodyText"/>
        <w:spacing w:before="9"/>
        <w:rPr>
          <w:sz w:val="10"/>
        </w:rPr>
      </w:pPr>
    </w:p>
    <w:p>
      <w:pPr>
        <w:spacing w:before="73"/>
        <w:ind w:left="814" w:right="0" w:firstLine="0"/>
        <w:jc w:val="left"/>
        <w:rPr>
          <w:sz w:val="21"/>
        </w:rPr>
      </w:pPr>
      <w:r>
        <w:rPr>
          <w:color w:val="010101"/>
          <w:sz w:val="21"/>
        </w:rPr>
        <w:t>See Exercise  11(d )  in Chapter 1.</w:t>
      </w:r>
    </w:p>
    <w:p>
      <w:pPr>
        <w:spacing w:before="46"/>
        <w:ind w:left="319" w:right="0" w:firstLine="0"/>
        <w:jc w:val="left"/>
        <w:rPr>
          <w:b/>
          <w:i/>
          <w:sz w:val="18"/>
        </w:rPr>
      </w:pPr>
      <w:r>
        <w:rPr/>
        <w:pict>
          <v:shape style="position:absolute;margin-left:76.450638pt;margin-top:13.474028pt;width:17pt;height:13.5pt;mso-position-horizontal-relative:page;mso-position-vertical-relative:paragraph;z-index:-709072" type="#_x0000_t202" filled="false" stroked="false">
            <v:textbox inset="0,0,0,0">
              <w:txbxContent>
                <w:p>
                  <w:pPr>
                    <w:spacing w:line="270" w:lineRule="exact" w:before="0"/>
                    <w:ind w:left="0" w:right="-18" w:firstLine="0"/>
                    <w:jc w:val="left"/>
                    <w:rPr>
                      <w:i/>
                      <w:sz w:val="27"/>
                    </w:rPr>
                  </w:pPr>
                  <w:r>
                    <w:rPr>
                      <w:i/>
                      <w:color w:val="010101"/>
                      <w:w w:val="150"/>
                      <w:sz w:val="27"/>
                    </w:rPr>
                    <w:t>Tt</w:t>
                  </w:r>
                </w:p>
              </w:txbxContent>
            </v:textbox>
            <w10:wrap type="none"/>
          </v:shape>
        </w:pict>
      </w:r>
      <w:r>
        <w:rPr>
          <w:color w:val="010101"/>
          <w:spacing w:val="2"/>
          <w:w w:val="107"/>
          <w:position w:val="4"/>
          <w:sz w:val="19"/>
        </w:rPr>
        <w:t>4</w:t>
      </w:r>
      <w:r>
        <w:rPr>
          <w:color w:val="010101"/>
          <w:w w:val="100"/>
          <w:sz w:val="27"/>
        </w:rPr>
        <w:t>·</w:t>
      </w:r>
      <w:r>
        <w:rPr>
          <w:color w:val="010101"/>
          <w:spacing w:val="-40"/>
          <w:sz w:val="27"/>
        </w:rPr>
        <w:t> </w:t>
      </w:r>
      <w:r>
        <w:rPr>
          <w:i/>
          <w:color w:val="010101"/>
          <w:w w:val="68"/>
          <w:position w:val="17"/>
          <w:sz w:val="29"/>
        </w:rPr>
        <w:t>a,ps</w:t>
      </w:r>
      <w:r>
        <w:rPr>
          <w:i/>
          <w:color w:val="010101"/>
          <w:spacing w:val="19"/>
          <w:position w:val="17"/>
          <w:sz w:val="29"/>
        </w:rPr>
        <w:t> </w:t>
      </w:r>
      <w:r>
        <w:rPr>
          <w:color w:val="010101"/>
          <w:w w:val="87"/>
          <w:sz w:val="28"/>
        </w:rPr>
        <w:t>=</w:t>
      </w:r>
      <w:r>
        <w:rPr>
          <w:color w:val="010101"/>
          <w:sz w:val="28"/>
        </w:rPr>
        <w:t> </w:t>
      </w:r>
      <w:r>
        <w:rPr>
          <w:color w:val="010101"/>
          <w:spacing w:val="-17"/>
          <w:sz w:val="28"/>
        </w:rPr>
        <w:t> </w:t>
      </w:r>
      <w:r>
        <w:rPr>
          <w:color w:val="010101"/>
          <w:spacing w:val="-8"/>
          <w:w w:val="200"/>
          <w:sz w:val="28"/>
        </w:rPr>
        <w:t>-</w:t>
      </w:r>
      <w:r>
        <w:rPr>
          <w:b/>
          <w:i/>
          <w:color w:val="010101"/>
          <w:w w:val="73"/>
          <w:sz w:val="18"/>
        </w:rPr>
        <w:t>ePJl.:c</w:t>
      </w:r>
      <w:r>
        <w:rPr>
          <w:b/>
          <w:i/>
          <w:color w:val="010101"/>
          <w:spacing w:val="-20"/>
          <w:sz w:val="18"/>
        </w:rPr>
        <w:t> </w:t>
      </w:r>
      <w:r>
        <w:rPr>
          <w:b/>
          <w:i/>
          <w:color w:val="010101"/>
          <w:w w:val="84"/>
          <w:sz w:val="18"/>
        </w:rPr>
        <w:t>H</w:t>
      </w:r>
    </w:p>
    <w:p>
      <w:pPr>
        <w:spacing w:before="178"/>
        <w:ind w:left="811" w:right="0" w:firstLine="0"/>
        <w:jc w:val="left"/>
        <w:rPr>
          <w:rFonts w:ascii="Arial"/>
          <w:b/>
          <w:sz w:val="19"/>
        </w:rPr>
      </w:pPr>
      <w:r>
        <w:rPr>
          <w:color w:val="010101"/>
          <w:sz w:val="21"/>
        </w:rPr>
        <w:t>See Exercise  11(e)  in  Chapter </w:t>
      </w:r>
      <w:r>
        <w:rPr>
          <w:rFonts w:ascii="Arial"/>
          <w:b/>
          <w:color w:val="010101"/>
          <w:sz w:val="19"/>
        </w:rPr>
        <w:t>1.</w:t>
      </w:r>
    </w:p>
    <w:p>
      <w:pPr>
        <w:pStyle w:val="BodyText"/>
        <w:spacing w:before="8"/>
        <w:rPr>
          <w:rFonts w:ascii="Arial"/>
          <w:b/>
          <w:sz w:val="19"/>
        </w:rPr>
      </w:pPr>
    </w:p>
    <w:p>
      <w:pPr>
        <w:spacing w:before="1"/>
        <w:ind w:left="2738" w:right="0" w:firstLine="0"/>
        <w:jc w:val="left"/>
        <w:rPr>
          <w:sz w:val="20"/>
        </w:rPr>
      </w:pPr>
      <w:r>
        <w:rPr/>
        <w:drawing>
          <wp:anchor distT="0" distB="0" distL="0" distR="0" allowOverlap="1" layoutInCell="1" locked="0" behindDoc="0" simplePos="0" relativeHeight="26920">
            <wp:simplePos x="0" y="0"/>
            <wp:positionH relativeFrom="page">
              <wp:posOffset>822960</wp:posOffset>
            </wp:positionH>
            <wp:positionV relativeFrom="paragraph">
              <wp:posOffset>-37958</wp:posOffset>
            </wp:positionV>
            <wp:extent cx="1289304" cy="265175"/>
            <wp:effectExtent l="0" t="0" r="0" b="0"/>
            <wp:wrapNone/>
            <wp:docPr id="817" name="image417.png" descr=""/>
            <wp:cNvGraphicFramePr>
              <a:graphicFrameLocks noChangeAspect="1"/>
            </wp:cNvGraphicFramePr>
            <a:graphic>
              <a:graphicData uri="http://schemas.openxmlformats.org/drawingml/2006/picture">
                <pic:pic>
                  <pic:nvPicPr>
                    <pic:cNvPr id="818" name="image417.png"/>
                    <pic:cNvPicPr/>
                  </pic:nvPicPr>
                  <pic:blipFill>
                    <a:blip r:embed="rId421" cstate="print"/>
                    <a:stretch>
                      <a:fillRect/>
                    </a:stretch>
                  </pic:blipFill>
                  <pic:spPr>
                    <a:xfrm>
                      <a:off x="0" y="0"/>
                      <a:ext cx="1289304" cy="265175"/>
                    </a:xfrm>
                    <a:prstGeom prst="rect">
                      <a:avLst/>
                    </a:prstGeom>
                  </pic:spPr>
                </pic:pic>
              </a:graphicData>
            </a:graphic>
          </wp:anchor>
        </w:drawing>
      </w:r>
      <w:r>
        <w:rPr>
          <w:color w:val="010101"/>
          <w:w w:val="105"/>
          <w:sz w:val="22"/>
        </w:rPr>
        <w:t>See </w:t>
      </w:r>
      <w:r>
        <w:rPr>
          <w:color w:val="010101"/>
          <w:w w:val="105"/>
          <w:sz w:val="20"/>
        </w:rPr>
        <w:t>(2.17).</w:t>
      </w:r>
    </w:p>
    <w:p>
      <w:pPr>
        <w:pStyle w:val="BodyText"/>
        <w:spacing w:before="5"/>
        <w:rPr>
          <w:sz w:val="17"/>
        </w:rPr>
      </w:pPr>
    </w:p>
    <w:p>
      <w:pPr>
        <w:tabs>
          <w:tab w:pos="1988" w:val="left" w:leader="none"/>
        </w:tabs>
        <w:spacing w:before="66"/>
        <w:ind w:left="301" w:right="0" w:firstLine="0"/>
        <w:jc w:val="left"/>
        <w:rPr>
          <w:sz w:val="20"/>
        </w:rPr>
      </w:pPr>
      <w:r>
        <w:rPr>
          <w:color w:val="010101"/>
          <w:w w:val="105"/>
          <w:sz w:val="20"/>
        </w:rPr>
        <w:t>6. d   </w:t>
      </w:r>
      <w:r>
        <w:rPr>
          <w:color w:val="010101"/>
          <w:w w:val="95"/>
          <w:sz w:val="20"/>
        </w:rPr>
        <w:t>:c</w:t>
      </w:r>
      <w:r>
        <w:rPr>
          <w:color w:val="010101"/>
          <w:spacing w:val="33"/>
          <w:w w:val="95"/>
          <w:sz w:val="20"/>
        </w:rPr>
        <w:t> </w:t>
      </w:r>
      <w:r>
        <w:rPr>
          <w:color w:val="010101"/>
          <w:w w:val="105"/>
          <w:sz w:val="26"/>
        </w:rPr>
        <w:t>=</w:t>
      </w:r>
      <w:r>
        <w:rPr>
          <w:color w:val="010101"/>
          <w:spacing w:val="53"/>
          <w:w w:val="105"/>
          <w:sz w:val="26"/>
        </w:rPr>
        <w:t> </w:t>
      </w:r>
      <w:r>
        <w:rPr>
          <w:rFonts w:ascii="Arial"/>
          <w:i/>
          <w:color w:val="010101"/>
          <w:w w:val="130"/>
          <w:sz w:val="21"/>
        </w:rPr>
        <w:t>-D.</w:t>
        <w:tab/>
      </w:r>
      <w:r>
        <w:rPr>
          <w:color w:val="010101"/>
          <w:w w:val="105"/>
          <w:sz w:val="22"/>
        </w:rPr>
        <w:t>See</w:t>
      </w:r>
      <w:r>
        <w:rPr>
          <w:color w:val="010101"/>
          <w:spacing w:val="14"/>
          <w:w w:val="105"/>
          <w:sz w:val="22"/>
        </w:rPr>
        <w:t> </w:t>
      </w:r>
      <w:r>
        <w:rPr>
          <w:color w:val="010101"/>
          <w:spacing w:val="-3"/>
          <w:w w:val="105"/>
          <w:sz w:val="20"/>
        </w:rPr>
        <w:t>(2.36).</w:t>
      </w:r>
    </w:p>
    <w:p>
      <w:pPr>
        <w:tabs>
          <w:tab w:pos="4181" w:val="left" w:leader="none"/>
        </w:tabs>
        <w:spacing w:before="80"/>
        <w:ind w:left="312" w:right="0" w:firstLine="0"/>
        <w:jc w:val="left"/>
        <w:rPr>
          <w:sz w:val="20"/>
        </w:rPr>
      </w:pPr>
      <w:r>
        <w:rPr>
          <w:color w:val="010101"/>
          <w:sz w:val="20"/>
        </w:rPr>
        <w:t>7. </w:t>
      </w:r>
      <w:r>
        <w:rPr>
          <w:rFonts w:ascii="Arial" w:hAnsi="Arial"/>
          <w:i/>
          <w:color w:val="010101"/>
          <w:w w:val="95"/>
          <w:sz w:val="46"/>
        </w:rPr>
        <w:t>':t;</w:t>
      </w:r>
      <w:r>
        <w:rPr>
          <w:rFonts w:ascii="Arial" w:hAnsi="Arial"/>
          <w:i/>
          <w:color w:val="010101"/>
          <w:spacing w:val="-78"/>
          <w:w w:val="95"/>
          <w:sz w:val="46"/>
        </w:rPr>
        <w:t> </w:t>
      </w:r>
      <w:r>
        <w:rPr>
          <w:rFonts w:ascii="Arial" w:hAnsi="Arial"/>
          <w:color w:val="010101"/>
          <w:w w:val="150"/>
          <w:sz w:val="16"/>
        </w:rPr>
        <w:t>=</w:t>
      </w:r>
      <w:r>
        <w:rPr>
          <w:rFonts w:ascii="Arial" w:hAnsi="Arial"/>
          <w:color w:val="010101"/>
          <w:spacing w:val="-13"/>
          <w:w w:val="150"/>
          <w:sz w:val="16"/>
        </w:rPr>
        <w:t> </w:t>
      </w:r>
      <w:r>
        <w:rPr>
          <w:rFonts w:ascii="Arial" w:hAnsi="Arial"/>
          <w:i/>
          <w:color w:val="010101"/>
          <w:w w:val="95"/>
          <w:sz w:val="20"/>
        </w:rPr>
        <w:t>a:c(</w:t>
      </w:r>
      <w:r>
        <w:rPr>
          <w:rFonts w:ascii="Arial" w:hAnsi="Arial"/>
          <w:i/>
          <w:color w:val="010101"/>
          <w:spacing w:val="-29"/>
          <w:w w:val="95"/>
          <w:sz w:val="20"/>
        </w:rPr>
        <w:t> </w:t>
      </w:r>
      <w:r>
        <w:rPr>
          <w:rFonts w:ascii="Arial" w:hAnsi="Arial"/>
          <w:i/>
          <w:color w:val="010101"/>
          <w:sz w:val="20"/>
        </w:rPr>
        <w:t>µ. </w:t>
      </w:r>
      <w:r>
        <w:rPr>
          <w:rFonts w:ascii="Arial" w:hAnsi="Arial"/>
          <w:color w:val="010101"/>
          <w:sz w:val="31"/>
        </w:rPr>
        <w:t>+</w:t>
      </w:r>
      <w:r>
        <w:rPr>
          <w:rFonts w:ascii="Arial" w:hAnsi="Arial"/>
          <w:color w:val="010101"/>
          <w:spacing w:val="-43"/>
          <w:sz w:val="31"/>
        </w:rPr>
        <w:t> </w:t>
      </w:r>
      <w:r>
        <w:rPr>
          <w:b/>
          <w:color w:val="010101"/>
          <w:spacing w:val="8"/>
          <w:sz w:val="21"/>
        </w:rPr>
        <w:t>a)</w:t>
      </w:r>
      <w:r>
        <w:rPr>
          <w:b/>
          <w:color w:val="010101"/>
          <w:spacing w:val="30"/>
          <w:sz w:val="21"/>
        </w:rPr>
        <w:t> </w:t>
      </w:r>
      <w:r>
        <w:rPr>
          <w:color w:val="010101"/>
          <w:w w:val="240"/>
          <w:sz w:val="21"/>
        </w:rPr>
        <w:t>-</w:t>
      </w:r>
      <w:r>
        <w:rPr>
          <w:color w:val="010101"/>
          <w:spacing w:val="-74"/>
          <w:w w:val="240"/>
          <w:sz w:val="21"/>
        </w:rPr>
        <w:t> </w:t>
      </w:r>
      <w:r>
        <w:rPr>
          <w:color w:val="010101"/>
          <w:w w:val="130"/>
          <w:sz w:val="20"/>
        </w:rPr>
        <w:t>1</w:t>
      </w:r>
      <w:r>
        <w:rPr>
          <w:color w:val="010101"/>
          <w:spacing w:val="-27"/>
          <w:w w:val="130"/>
          <w:sz w:val="20"/>
        </w:rPr>
        <w:t> </w:t>
      </w:r>
      <w:r>
        <w:rPr>
          <w:rFonts w:ascii="Arial" w:hAnsi="Arial"/>
          <w:color w:val="010101"/>
          <w:w w:val="150"/>
          <w:sz w:val="16"/>
        </w:rPr>
        <w:t>=</w:t>
      </w:r>
      <w:r>
        <w:rPr>
          <w:rFonts w:ascii="Arial" w:hAnsi="Arial"/>
          <w:color w:val="010101"/>
          <w:spacing w:val="-16"/>
          <w:w w:val="150"/>
          <w:sz w:val="16"/>
        </w:rPr>
        <w:t> </w:t>
      </w:r>
      <w:r>
        <w:rPr>
          <w:rFonts w:ascii="Arial" w:hAnsi="Arial"/>
          <w:color w:val="010101"/>
          <w:w w:val="95"/>
          <w:sz w:val="15"/>
        </w:rPr>
        <w:t>µ.z&lt;i,s</w:t>
      </w:r>
      <w:r>
        <w:rPr>
          <w:rFonts w:ascii="Arial" w:hAnsi="Arial"/>
          <w:color w:val="010101"/>
          <w:spacing w:val="26"/>
          <w:w w:val="95"/>
          <w:sz w:val="15"/>
        </w:rPr>
        <w:t> </w:t>
      </w:r>
      <w:r>
        <w:rPr>
          <w:rFonts w:ascii="Arial" w:hAnsi="Arial"/>
          <w:color w:val="010101"/>
          <w:w w:val="320"/>
          <w:sz w:val="15"/>
        </w:rPr>
        <w:t>-</w:t>
      </w:r>
      <w:r>
        <w:rPr>
          <w:rFonts w:ascii="Arial" w:hAnsi="Arial"/>
          <w:color w:val="010101"/>
          <w:spacing w:val="-79"/>
          <w:w w:val="320"/>
          <w:sz w:val="15"/>
        </w:rPr>
        <w:t> </w:t>
      </w:r>
      <w:r>
        <w:rPr>
          <w:i/>
          <w:color w:val="010101"/>
          <w:sz w:val="20"/>
        </w:rPr>
        <w:t>Á</w:t>
      </w:r>
      <w:r>
        <w:rPr>
          <w:i/>
          <w:color w:val="010101"/>
          <w:spacing w:val="-20"/>
          <w:sz w:val="20"/>
        </w:rPr>
        <w:t> </w:t>
      </w:r>
      <w:r>
        <w:rPr>
          <w:i/>
          <w:color w:val="010101"/>
          <w:sz w:val="20"/>
        </w:rPr>
        <w:t>s</w:t>
      </w:r>
      <w:r>
        <w:rPr>
          <w:i/>
          <w:color w:val="010101"/>
          <w:spacing w:val="-16"/>
          <w:sz w:val="20"/>
        </w:rPr>
        <w:t> </w:t>
      </w:r>
      <w:r>
        <w:rPr>
          <w:i/>
          <w:color w:val="010101"/>
          <w:w w:val="150"/>
          <w:sz w:val="20"/>
        </w:rPr>
        <w:t>.</w:t>
        <w:tab/>
      </w:r>
      <w:r>
        <w:rPr>
          <w:color w:val="010101"/>
          <w:sz w:val="21"/>
        </w:rPr>
        <w:t>See </w:t>
      </w:r>
      <w:r>
        <w:rPr>
          <w:color w:val="010101"/>
          <w:spacing w:val="1"/>
          <w:sz w:val="21"/>
        </w:rPr>
        <w:t> </w:t>
      </w:r>
      <w:r>
        <w:rPr>
          <w:color w:val="010101"/>
          <w:sz w:val="20"/>
        </w:rPr>
        <w:t>(2.37).</w:t>
      </w:r>
    </w:p>
    <w:p>
      <w:pPr>
        <w:tabs>
          <w:tab w:pos="742" w:val="left" w:leader="none"/>
        </w:tabs>
        <w:spacing w:before="238"/>
        <w:ind w:left="322" w:right="0" w:firstLine="0"/>
        <w:jc w:val="left"/>
        <w:rPr>
          <w:i/>
          <w:sz w:val="20"/>
        </w:rPr>
      </w:pPr>
      <w:r>
        <w:rPr>
          <w:color w:val="010101"/>
          <w:w w:val="111"/>
          <w:sz w:val="20"/>
        </w:rPr>
        <w:t>8.</w:t>
      </w:r>
      <w:r>
        <w:rPr>
          <w:color w:val="010101"/>
          <w:sz w:val="20"/>
        </w:rPr>
        <w:tab/>
      </w:r>
      <w:r>
        <w:rPr>
          <w:color w:val="010101"/>
          <w:spacing w:val="-50"/>
          <w:w w:val="311"/>
          <w:sz w:val="20"/>
        </w:rPr>
        <w:t>·</w:t>
      </w:r>
      <w:r>
        <w:rPr>
          <w:color w:val="010101"/>
          <w:w w:val="94"/>
          <w:sz w:val="26"/>
        </w:rPr>
        <w:t>=</w:t>
      </w:r>
      <w:r>
        <w:rPr>
          <w:color w:val="010101"/>
          <w:sz w:val="26"/>
        </w:rPr>
        <w:t> </w:t>
      </w:r>
      <w:r>
        <w:rPr>
          <w:color w:val="010101"/>
          <w:spacing w:val="-11"/>
          <w:sz w:val="26"/>
        </w:rPr>
        <w:t> </w:t>
      </w:r>
      <w:r>
        <w:rPr>
          <w:i/>
          <w:color w:val="010101"/>
          <w:w w:val="141"/>
          <w:sz w:val="20"/>
        </w:rPr>
        <w:t>-v</w:t>
      </w:r>
      <w:r>
        <w:rPr>
          <w:i/>
          <w:color w:val="010101"/>
          <w:w w:val="141"/>
          <w:sz w:val="20"/>
        </w:rPr>
        <w:t>(I</w:t>
      </w:r>
      <w:r>
        <w:rPr>
          <w:i/>
          <w:color w:val="010101"/>
          <w:spacing w:val="19"/>
          <w:w w:val="141"/>
          <w:sz w:val="20"/>
        </w:rPr>
        <w:t>a</w:t>
      </w:r>
      <w:r>
        <w:rPr>
          <w:i/>
          <w:color w:val="010101"/>
          <w:w w:val="55"/>
          <w:sz w:val="20"/>
        </w:rPr>
        <w:t>)</w:t>
      </w:r>
      <w:r>
        <w:rPr>
          <w:i/>
          <w:color w:val="010101"/>
          <w:w w:val="55"/>
          <w:sz w:val="20"/>
        </w:rPr>
        <w:t>:c</w:t>
      </w:r>
    </w:p>
    <w:p>
      <w:pPr>
        <w:spacing w:line="178" w:lineRule="exact" w:before="164"/>
        <w:ind w:left="793" w:right="0" w:firstLine="0"/>
        <w:jc w:val="left"/>
        <w:rPr>
          <w:sz w:val="20"/>
        </w:rPr>
      </w:pPr>
      <w:r>
        <w:rPr>
          <w:color w:val="010101"/>
          <w:w w:val="105"/>
          <w:sz w:val="21"/>
        </w:rPr>
        <w:t>See </w:t>
      </w:r>
      <w:r>
        <w:rPr>
          <w:color w:val="010101"/>
          <w:w w:val="105"/>
          <w:sz w:val="20"/>
        </w:rPr>
        <w:t>(2.48).</w:t>
      </w:r>
    </w:p>
    <w:p>
      <w:pPr>
        <w:spacing w:line="581" w:lineRule="exact" w:before="0"/>
        <w:ind w:left="297" w:right="0" w:firstLine="0"/>
        <w:jc w:val="left"/>
        <w:rPr>
          <w:i/>
          <w:sz w:val="18"/>
        </w:rPr>
      </w:pPr>
      <w:r>
        <w:rPr>
          <w:color w:val="010101"/>
          <w:w w:val="70"/>
          <w:sz w:val="56"/>
        </w:rPr>
        <w:t>9. d </w:t>
      </w:r>
      <w:r>
        <w:rPr>
          <w:color w:val="010101"/>
          <w:w w:val="90"/>
          <w:sz w:val="56"/>
        </w:rPr>
        <w:t>·</w:t>
      </w:r>
      <w:r>
        <w:rPr>
          <w:color w:val="010101"/>
          <w:w w:val="90"/>
          <w:sz w:val="28"/>
        </w:rPr>
        <w:t>=  </w:t>
      </w:r>
      <w:r>
        <w:rPr>
          <w:i/>
          <w:color w:val="010101"/>
          <w:w w:val="125"/>
          <w:sz w:val="18"/>
        </w:rPr>
        <w:t>-µJ):,</w:t>
      </w:r>
    </w:p>
    <w:p>
      <w:pPr>
        <w:spacing w:before="118"/>
        <w:ind w:left="793" w:right="0" w:firstLine="0"/>
        <w:jc w:val="left"/>
        <w:rPr>
          <w:sz w:val="21"/>
        </w:rPr>
      </w:pPr>
      <w:r>
        <w:rPr>
          <w:color w:val="010101"/>
          <w:sz w:val="21"/>
        </w:rPr>
        <w:t>See Exercise  lO{a)  in Chapter 3.</w:t>
      </w:r>
    </w:p>
    <w:p>
      <w:pPr>
        <w:tabs>
          <w:tab w:pos="1223" w:val="left" w:leader="none"/>
        </w:tabs>
        <w:spacing w:line="231" w:lineRule="exact" w:before="41"/>
        <w:ind w:left="491" w:right="0" w:firstLine="0"/>
        <w:jc w:val="left"/>
        <w:rPr>
          <w:sz w:val="25"/>
        </w:rPr>
      </w:pPr>
      <w:r>
        <w:rPr/>
        <w:pict>
          <v:shape style="position:absolute;margin-left:94.576271pt;margin-top:7.226585pt;width:50.1pt;height:16pt;mso-position-horizontal-relative:page;mso-position-vertical-relative:paragraph;z-index:-709048" type="#_x0000_t202" filled="false" stroked="false">
            <v:textbox inset="0,0,0,0">
              <w:txbxContent>
                <w:p>
                  <w:pPr>
                    <w:tabs>
                      <w:tab w:pos="811" w:val="left" w:leader="none"/>
                    </w:tabs>
                    <w:spacing w:line="320" w:lineRule="exact" w:before="0"/>
                    <w:ind w:left="0" w:right="0" w:firstLine="0"/>
                    <w:jc w:val="left"/>
                    <w:rPr>
                      <w:rFonts w:ascii="Arial"/>
                      <w:sz w:val="32"/>
                    </w:rPr>
                  </w:pPr>
                  <w:r>
                    <w:rPr>
                      <w:color w:val="010101"/>
                      <w:sz w:val="26"/>
                    </w:rPr>
                    <w:t>=</w:t>
                    <w:tab/>
                  </w:r>
                  <w:r>
                    <w:rPr>
                      <w:rFonts w:ascii="Arial"/>
                      <w:color w:val="010101"/>
                      <w:sz w:val="32"/>
                    </w:rPr>
                    <w:t>+</w:t>
                  </w:r>
                </w:p>
              </w:txbxContent>
            </v:textbox>
            <w10:wrap type="none"/>
          </v:shape>
        </w:pict>
      </w:r>
      <w:r>
        <w:rPr>
          <w:i/>
          <w:color w:val="010101"/>
          <w:sz w:val="25"/>
        </w:rPr>
        <w:t>d.A.</w:t>
        <w:tab/>
      </w:r>
      <w:r>
        <w:rPr>
          <w:color w:val="010101"/>
          <w:sz w:val="25"/>
        </w:rPr>
        <w:t>-</w:t>
      </w:r>
    </w:p>
    <w:p>
      <w:pPr>
        <w:tabs>
          <w:tab w:pos="1155" w:val="left" w:leader="none"/>
          <w:tab w:pos="1970" w:val="left" w:leader="none"/>
        </w:tabs>
        <w:spacing w:line="175" w:lineRule="exact" w:before="0"/>
        <w:ind w:left="208" w:right="0" w:firstLine="0"/>
        <w:jc w:val="left"/>
        <w:rPr>
          <w:i/>
          <w:sz w:val="20"/>
        </w:rPr>
      </w:pPr>
      <w:r>
        <w:rPr/>
        <w:pict>
          <v:line style="position:absolute;mso-position-horizontal-relative:page;mso-position-vertical-relative:paragraph;z-index:26968" from="76.271187pt,9.360363pt" to="86.500497pt,9.360363pt" stroked="true" strokeweight="4.845464pt" strokecolor="#000000">
            <w10:wrap type="none"/>
          </v:line>
        </w:pict>
      </w:r>
      <w:r>
        <w:rPr>
          <w:color w:val="010101"/>
          <w:spacing w:val="-56"/>
          <w:w w:val="142"/>
          <w:sz w:val="19"/>
        </w:rPr>
        <w:t>1</w:t>
      </w:r>
      <w:r>
        <w:rPr>
          <w:color w:val="010101"/>
          <w:w w:val="113"/>
          <w:sz w:val="19"/>
        </w:rPr>
        <w:t>0.</w:t>
      </w:r>
      <w:r>
        <w:rPr>
          <w:color w:val="010101"/>
          <w:sz w:val="19"/>
        </w:rPr>
        <w:t> </w:t>
      </w:r>
      <w:r>
        <w:rPr>
          <w:color w:val="010101"/>
          <w:spacing w:val="2"/>
          <w:sz w:val="19"/>
        </w:rPr>
        <w:t> </w:t>
      </w:r>
      <w:r>
        <w:rPr>
          <w:rFonts w:ascii="Arial" w:hAnsi="Arial"/>
          <w:i/>
          <w:color w:val="010101"/>
          <w:w w:val="95"/>
          <w:sz w:val="20"/>
        </w:rPr>
        <w:t>dx</w:t>
      </w:r>
      <w:r>
        <w:rPr>
          <w:rFonts w:ascii="Arial" w:hAnsi="Arial"/>
          <w:i/>
          <w:color w:val="010101"/>
          <w:sz w:val="20"/>
        </w:rPr>
        <w:tab/>
      </w:r>
      <w:r>
        <w:rPr>
          <w:i/>
          <w:color w:val="010101"/>
          <w:w w:val="137"/>
          <w:sz w:val="20"/>
        </w:rPr>
        <w:t>A</w:t>
      </w:r>
      <w:r>
        <w:rPr>
          <w:i/>
          <w:color w:val="010101"/>
          <w:spacing w:val="6"/>
          <w:w w:val="137"/>
          <w:sz w:val="20"/>
        </w:rPr>
        <w:t>.</w:t>
      </w:r>
      <w:r>
        <w:rPr>
          <w:i/>
          <w:color w:val="010101"/>
          <w:w w:val="64"/>
          <w:sz w:val="20"/>
        </w:rPr>
        <w:t>(</w:t>
      </w:r>
      <w:r>
        <w:rPr>
          <w:i/>
          <w:color w:val="010101"/>
          <w:spacing w:val="-18"/>
          <w:sz w:val="20"/>
        </w:rPr>
        <w:t> </w:t>
      </w:r>
      <w:r>
        <w:rPr>
          <w:i/>
          <w:color w:val="010101"/>
          <w:w w:val="115"/>
          <w:sz w:val="20"/>
        </w:rPr>
        <w:t>µ.</w:t>
      </w:r>
      <w:r>
        <w:rPr>
          <w:i/>
          <w:color w:val="010101"/>
          <w:sz w:val="20"/>
        </w:rPr>
        <w:tab/>
      </w:r>
      <w:r>
        <w:rPr>
          <w:color w:val="010101"/>
          <w:w w:val="85"/>
          <w:sz w:val="20"/>
        </w:rPr>
        <w:t>a</w:t>
      </w:r>
      <w:r>
        <w:rPr>
          <w:color w:val="010101"/>
          <w:spacing w:val="-26"/>
          <w:sz w:val="20"/>
        </w:rPr>
        <w:t> </w:t>
      </w:r>
      <w:r>
        <w:rPr>
          <w:color w:val="010101"/>
          <w:w w:val="103"/>
          <w:sz w:val="20"/>
        </w:rPr>
        <w:t>)</w:t>
      </w:r>
      <w:r>
        <w:rPr>
          <w:color w:val="010101"/>
          <w:sz w:val="20"/>
        </w:rPr>
        <w:t> </w:t>
      </w:r>
      <w:r>
        <w:rPr>
          <w:color w:val="010101"/>
          <w:spacing w:val="3"/>
          <w:sz w:val="20"/>
        </w:rPr>
        <w:t> </w:t>
      </w:r>
      <w:r>
        <w:rPr>
          <w:color w:val="010101"/>
          <w:w w:val="281"/>
          <w:sz w:val="20"/>
        </w:rPr>
        <w:t>-</w:t>
      </w:r>
      <w:r>
        <w:rPr>
          <w:color w:val="010101"/>
          <w:spacing w:val="-9"/>
          <w:sz w:val="20"/>
        </w:rPr>
        <w:t> </w:t>
      </w:r>
      <w:r>
        <w:rPr>
          <w:i/>
          <w:color w:val="010101"/>
          <w:w w:val="63"/>
          <w:sz w:val="20"/>
        </w:rPr>
        <w:t>P</w:t>
      </w:r>
      <w:r>
        <w:rPr>
          <w:i/>
          <w:color w:val="010101"/>
          <w:spacing w:val="-6"/>
          <w:w w:val="63"/>
          <w:sz w:val="20"/>
        </w:rPr>
        <w:t>.</w:t>
      </w:r>
      <w:r>
        <w:rPr>
          <w:i/>
          <w:color w:val="010101"/>
          <w:w w:val="46"/>
          <w:sz w:val="20"/>
        </w:rPr>
        <w:t>:c</w:t>
      </w:r>
    </w:p>
    <w:p>
      <w:pPr>
        <w:pStyle w:val="BodyText"/>
        <w:spacing w:before="8"/>
        <w:rPr>
          <w:i/>
          <w:sz w:val="15"/>
        </w:rPr>
      </w:pPr>
    </w:p>
    <w:p>
      <w:pPr>
        <w:spacing w:before="1"/>
        <w:ind w:left="789" w:right="0" w:firstLine="0"/>
        <w:jc w:val="left"/>
        <w:rPr>
          <w:sz w:val="21"/>
        </w:rPr>
      </w:pPr>
      <w:r>
        <w:rPr>
          <w:color w:val="010101"/>
          <w:sz w:val="21"/>
        </w:rPr>
        <w:t>See Exercise 10(b) in Cha.pter  3.</w:t>
      </w:r>
    </w:p>
    <w:p>
      <w:pPr>
        <w:numPr>
          <w:ilvl w:val="0"/>
          <w:numId w:val="152"/>
        </w:numPr>
        <w:tabs>
          <w:tab w:pos="496" w:val="left" w:leader="none"/>
        </w:tabs>
        <w:spacing w:before="129"/>
        <w:ind w:left="470" w:right="0" w:hanging="255"/>
        <w:jc w:val="left"/>
        <w:rPr>
          <w:i/>
          <w:color w:val="010101"/>
          <w:sz w:val="21"/>
        </w:rPr>
      </w:pPr>
      <w:r>
        <w:rPr>
          <w:i/>
          <w:color w:val="010101"/>
          <w:w w:val="110"/>
          <w:sz w:val="21"/>
        </w:rPr>
        <w:t>dt:c </w:t>
      </w:r>
      <w:r>
        <w:rPr>
          <w:color w:val="010101"/>
          <w:w w:val="115"/>
          <w:sz w:val="26"/>
        </w:rPr>
        <w:t>=  </w:t>
      </w:r>
      <w:r>
        <w:rPr>
          <w:i/>
          <w:color w:val="010101"/>
          <w:spacing w:val="3"/>
          <w:w w:val="115"/>
          <w:sz w:val="21"/>
        </w:rPr>
        <w:t>-v(IA</w:t>
      </w:r>
      <w:r>
        <w:rPr>
          <w:i/>
          <w:color w:val="010101"/>
          <w:spacing w:val="-11"/>
          <w:w w:val="115"/>
          <w:sz w:val="21"/>
        </w:rPr>
        <w:t> </w:t>
      </w:r>
      <w:r>
        <w:rPr>
          <w:i/>
          <w:color w:val="010101"/>
          <w:w w:val="115"/>
          <w:sz w:val="21"/>
        </w:rPr>
        <w:t>).</w:t>
      </w:r>
    </w:p>
    <w:p>
      <w:pPr>
        <w:spacing w:before="193"/>
        <w:ind w:left="789" w:right="0" w:firstLine="0"/>
        <w:jc w:val="left"/>
        <w:rPr>
          <w:sz w:val="21"/>
        </w:rPr>
      </w:pPr>
      <w:r>
        <w:rPr>
          <w:color w:val="010101"/>
          <w:sz w:val="21"/>
        </w:rPr>
        <w:t>See Exercise  15(a) in Chapter 3.</w:t>
      </w:r>
    </w:p>
    <w:p>
      <w:pPr>
        <w:spacing w:before="98"/>
        <w:ind w:left="2909" w:right="2236" w:firstLine="0"/>
        <w:jc w:val="center"/>
        <w:rPr>
          <w:sz w:val="17"/>
        </w:rPr>
      </w:pPr>
      <w:r>
        <w:rPr>
          <w:color w:val="010101"/>
          <w:sz w:val="17"/>
        </w:rPr>
        <w:t>349</w:t>
      </w:r>
    </w:p>
    <w:p>
      <w:pPr>
        <w:spacing w:after="0"/>
        <w:jc w:val="center"/>
        <w:rPr>
          <w:sz w:val="17"/>
        </w:rPr>
        <w:sectPr>
          <w:type w:val="continuous"/>
          <w:pgSz w:w="7200" w:h="11340"/>
          <w:pgMar w:top="1100" w:bottom="0" w:left="980" w:right="780"/>
        </w:sectPr>
      </w:pPr>
    </w:p>
    <w:p>
      <w:pPr>
        <w:tabs>
          <w:tab w:pos="2399" w:val="left" w:leader="none"/>
        </w:tabs>
        <w:spacing w:before="47"/>
        <w:ind w:left="103" w:right="0" w:firstLine="0"/>
        <w:jc w:val="left"/>
        <w:rPr>
          <w:sz w:val="15"/>
        </w:rPr>
      </w:pPr>
      <w:r>
        <w:rPr>
          <w:w w:val="120"/>
          <w:sz w:val="20"/>
        </w:rPr>
        <w:t>350</w:t>
        <w:tab/>
      </w:r>
      <w:r>
        <w:rPr>
          <w:w w:val="120"/>
          <w:sz w:val="15"/>
        </w:rPr>
        <w:t>APPENDIX</w:t>
      </w:r>
      <w:r>
        <w:rPr>
          <w:spacing w:val="25"/>
          <w:w w:val="120"/>
          <w:sz w:val="15"/>
        </w:rPr>
        <w:t> </w:t>
      </w:r>
      <w:r>
        <w:rPr>
          <w:w w:val="120"/>
          <w:sz w:val="15"/>
        </w:rPr>
        <w:t>II</w:t>
      </w:r>
    </w:p>
    <w:p>
      <w:pPr>
        <w:pStyle w:val="BodyText"/>
        <w:spacing w:before="6"/>
        <w:rPr>
          <w:sz w:val="25"/>
        </w:rPr>
      </w:pPr>
    </w:p>
    <w:p>
      <w:pPr>
        <w:pStyle w:val="ListParagraph"/>
        <w:numPr>
          <w:ilvl w:val="0"/>
          <w:numId w:val="152"/>
        </w:numPr>
        <w:tabs>
          <w:tab w:pos="413" w:val="left" w:leader="none"/>
          <w:tab w:pos="1805" w:val="left" w:leader="none"/>
        </w:tabs>
        <w:spacing w:line="248" w:lineRule="exact" w:before="0" w:after="0"/>
        <w:ind w:left="412" w:right="0" w:hanging="284"/>
        <w:jc w:val="left"/>
        <w:rPr>
          <w:sz w:val="19"/>
        </w:rPr>
      </w:pPr>
      <w:r>
        <w:rPr/>
        <w:pict>
          <v:line style="position:absolute;mso-position-horizontal-relative:page;mso-position-vertical-relative:paragraph;z-index:-709024" from="58.860001pt,12.316707pt" to="60.840001pt,12.316707pt" stroked="true" strokeweight=".36pt" strokecolor="#000000">
            <w10:wrap type="none"/>
          </v:line>
        </w:pict>
      </w:r>
      <w:r>
        <w:rPr>
          <w:sz w:val="19"/>
        </w:rPr>
        <w:t>dLs </w:t>
      </w:r>
      <w:r>
        <w:rPr>
          <w:spacing w:val="20"/>
          <w:sz w:val="19"/>
        </w:rPr>
        <w:t> </w:t>
      </w:r>
      <w:r>
        <w:rPr>
          <w:sz w:val="26"/>
        </w:rPr>
        <w:t>= </w:t>
      </w:r>
      <w:r>
        <w:rPr>
          <w:spacing w:val="31"/>
          <w:sz w:val="26"/>
        </w:rPr>
        <w:t> </w:t>
      </w:r>
      <w:r>
        <w:rPr>
          <w:rFonts w:ascii="Arial"/>
          <w:i/>
          <w:w w:val="140"/>
          <w:sz w:val="20"/>
        </w:rPr>
        <w:t>-d.</w:t>
        <w:tab/>
      </w:r>
      <w:r>
        <w:rPr>
          <w:sz w:val="22"/>
        </w:rPr>
        <w:t>See </w:t>
      </w:r>
      <w:r>
        <w:rPr>
          <w:sz w:val="20"/>
        </w:rPr>
        <w:t>pe.ge</w:t>
      </w:r>
      <w:r>
        <w:rPr>
          <w:spacing w:val="29"/>
          <w:sz w:val="20"/>
        </w:rPr>
        <w:t> </w:t>
      </w:r>
      <w:r>
        <w:rPr>
          <w:spacing w:val="-9"/>
          <w:sz w:val="19"/>
        </w:rPr>
        <w:t>170.</w:t>
      </w:r>
    </w:p>
    <w:p>
      <w:pPr>
        <w:spacing w:line="191" w:lineRule="exact" w:before="0"/>
        <w:ind w:left="459" w:right="0" w:firstLine="0"/>
        <w:jc w:val="left"/>
        <w:rPr>
          <w:i/>
          <w:sz w:val="21"/>
        </w:rPr>
      </w:pPr>
      <w:r>
        <w:rPr>
          <w:i/>
          <w:w w:val="105"/>
          <w:sz w:val="21"/>
        </w:rPr>
        <w:t>dx</w:t>
      </w:r>
    </w:p>
    <w:p>
      <w:pPr>
        <w:spacing w:after="0" w:line="191" w:lineRule="exact"/>
        <w:jc w:val="left"/>
        <w:rPr>
          <w:sz w:val="21"/>
        </w:rPr>
        <w:sectPr>
          <w:pgSz w:w="7200" w:h="11340"/>
          <w:pgMar w:top="500" w:bottom="280" w:left="660" w:right="980"/>
        </w:sectPr>
      </w:pPr>
    </w:p>
    <w:p>
      <w:pPr>
        <w:pStyle w:val="BodyText"/>
        <w:spacing w:before="8"/>
        <w:rPr>
          <w:i/>
        </w:rPr>
      </w:pPr>
    </w:p>
    <w:p>
      <w:pPr>
        <w:numPr>
          <w:ilvl w:val="0"/>
          <w:numId w:val="152"/>
        </w:numPr>
        <w:tabs>
          <w:tab w:pos="417" w:val="left" w:leader="none"/>
        </w:tabs>
        <w:spacing w:line="160" w:lineRule="auto" w:before="0"/>
        <w:ind w:left="470" w:right="78" w:hanging="342"/>
        <w:jc w:val="left"/>
        <w:rPr>
          <w:i/>
          <w:sz w:val="20"/>
        </w:rPr>
      </w:pPr>
      <w:r>
        <w:rPr/>
        <w:pict>
          <v:line style="position:absolute;mso-position-horizontal-relative:page;mso-position-vertical-relative:paragraph;z-index:-709000" from="59.580002pt,8.401615pt" to="61.380002pt,8.401615pt" stroked="true" strokeweight=".18pt" strokecolor="#000000">
            <w10:wrap type="none"/>
          </v:line>
        </w:pict>
      </w:r>
      <w:r>
        <w:rPr/>
        <w:pict>
          <v:shape style="position:absolute;margin-left:98.639999pt;margin-top:6.870356pt;width:3.75pt;height:4pt;mso-position-horizontal-relative:page;mso-position-vertical-relative:paragraph;z-index:27256" type="#_x0000_t202" filled="false" stroked="false">
            <v:textbox inset="0,0,0,0">
              <w:txbxContent>
                <w:p>
                  <w:pPr>
                    <w:spacing w:line="80" w:lineRule="exact" w:before="0"/>
                    <w:ind w:left="0" w:right="-17" w:firstLine="0"/>
                    <w:jc w:val="left"/>
                    <w:rPr>
                      <w:rFonts w:ascii="Arial"/>
                      <w:i/>
                      <w:sz w:val="8"/>
                    </w:rPr>
                  </w:pPr>
                  <w:r>
                    <w:rPr>
                      <w:rFonts w:ascii="Arial"/>
                      <w:i/>
                      <w:w w:val="80"/>
                      <w:sz w:val="8"/>
                    </w:rPr>
                    <w:t>11</w:t>
                  </w:r>
                </w:p>
              </w:txbxContent>
            </v:textbox>
            <w10:wrap type="none"/>
          </v:shape>
        </w:pict>
      </w:r>
      <w:r>
        <w:rPr>
          <w:i/>
          <w:w w:val="115"/>
          <w:sz w:val="21"/>
        </w:rPr>
        <w:t>dTs </w:t>
      </w:r>
      <w:r>
        <w:rPr>
          <w:w w:val="115"/>
          <w:sz w:val="26"/>
        </w:rPr>
        <w:t>= </w:t>
      </w:r>
      <w:r>
        <w:rPr>
          <w:i/>
          <w:w w:val="155"/>
          <w:sz w:val="21"/>
        </w:rPr>
        <w:t>-l </w:t>
      </w:r>
      <w:r>
        <w:rPr>
          <w:i/>
          <w:w w:val="115"/>
          <w:sz w:val="21"/>
        </w:rPr>
        <w:t>dx</w:t>
      </w:r>
    </w:p>
    <w:p>
      <w:pPr>
        <w:spacing w:before="195"/>
        <w:ind w:left="128" w:right="0" w:firstLine="0"/>
        <w:jc w:val="left"/>
        <w:rPr>
          <w:sz w:val="19"/>
        </w:rPr>
      </w:pPr>
      <w:r>
        <w:rPr/>
        <w:br w:type="column"/>
      </w:r>
      <w:r>
        <w:rPr>
          <w:w w:val="105"/>
          <w:sz w:val="22"/>
        </w:rPr>
        <w:t>See </w:t>
      </w:r>
      <w:r>
        <w:rPr>
          <w:w w:val="105"/>
          <w:sz w:val="19"/>
        </w:rPr>
        <w:t>page </w:t>
      </w:r>
      <w:r>
        <w:rPr>
          <w:spacing w:val="-10"/>
          <w:w w:val="105"/>
          <w:sz w:val="19"/>
        </w:rPr>
        <w:t>170.</w:t>
      </w:r>
    </w:p>
    <w:p>
      <w:pPr>
        <w:spacing w:after="0"/>
        <w:jc w:val="left"/>
        <w:rPr>
          <w:sz w:val="19"/>
        </w:rPr>
        <w:sectPr>
          <w:type w:val="continuous"/>
          <w:pgSz w:w="7200" w:h="11340"/>
          <w:pgMar w:top="1100" w:bottom="0" w:left="660" w:right="980"/>
          <w:cols w:num="2" w:equalWidth="0">
            <w:col w:w="1388" w:space="254"/>
            <w:col w:w="3918"/>
          </w:cols>
        </w:sectPr>
      </w:pPr>
    </w:p>
    <w:p>
      <w:pPr>
        <w:pStyle w:val="ListParagraph"/>
        <w:numPr>
          <w:ilvl w:val="0"/>
          <w:numId w:val="152"/>
        </w:numPr>
        <w:tabs>
          <w:tab w:pos="413" w:val="left" w:leader="none"/>
          <w:tab w:pos="1859" w:val="left" w:leader="none"/>
        </w:tabs>
        <w:spacing w:line="269" w:lineRule="exact" w:before="158" w:after="0"/>
        <w:ind w:left="412" w:right="0" w:hanging="284"/>
        <w:jc w:val="left"/>
        <w:rPr>
          <w:sz w:val="20"/>
        </w:rPr>
      </w:pPr>
      <w:r>
        <w:rPr/>
        <w:pict>
          <v:line style="position:absolute;mso-position-horizontal-relative:page;mso-position-vertical-relative:paragraph;z-index:-708976" from="59.400002pt,21.150305pt" to="61.560002pt,21.150305pt" stroked="true" strokeweight=".36pt" strokecolor="#000000">
            <w10:wrap type="none"/>
          </v:line>
        </w:pict>
      </w:r>
      <w:r>
        <w:rPr>
          <w:i/>
          <w:spacing w:val="9"/>
          <w:sz w:val="21"/>
        </w:rPr>
        <w:t>dYs</w:t>
      </w:r>
      <w:r>
        <w:rPr>
          <w:i/>
          <w:spacing w:val="46"/>
          <w:sz w:val="21"/>
        </w:rPr>
        <w:t> </w:t>
      </w:r>
      <w:r>
        <w:rPr>
          <w:sz w:val="28"/>
        </w:rPr>
        <w:t>=</w:t>
      </w:r>
      <w:r>
        <w:rPr>
          <w:spacing w:val="69"/>
          <w:sz w:val="28"/>
        </w:rPr>
        <w:t> </w:t>
      </w:r>
      <w:r>
        <w:rPr>
          <w:i/>
          <w:w w:val="125"/>
          <w:sz w:val="21"/>
        </w:rPr>
        <w:t>-Ts</w:t>
        <w:tab/>
      </w:r>
      <w:r>
        <w:rPr>
          <w:sz w:val="22"/>
        </w:rPr>
        <w:t>See </w:t>
      </w:r>
      <w:r>
        <w:rPr>
          <w:sz w:val="20"/>
        </w:rPr>
        <w:t>pe.ge</w:t>
      </w:r>
      <w:r>
        <w:rPr>
          <w:spacing w:val="32"/>
          <w:sz w:val="20"/>
        </w:rPr>
        <w:t> </w:t>
      </w:r>
      <w:r>
        <w:rPr>
          <w:spacing w:val="-10"/>
          <w:sz w:val="19"/>
        </w:rPr>
        <w:t>170.</w:t>
      </w:r>
    </w:p>
    <w:p>
      <w:pPr>
        <w:spacing w:line="189" w:lineRule="exact" w:before="0"/>
        <w:ind w:left="470" w:right="0" w:firstLine="0"/>
        <w:jc w:val="left"/>
        <w:rPr>
          <w:i/>
          <w:sz w:val="21"/>
        </w:rPr>
      </w:pPr>
      <w:r>
        <w:rPr>
          <w:i/>
          <w:w w:val="105"/>
          <w:sz w:val="21"/>
        </w:rPr>
        <w:t>dx</w:t>
      </w:r>
    </w:p>
    <w:p>
      <w:pPr>
        <w:spacing w:before="175"/>
        <w:ind w:left="124" w:right="0" w:firstLine="0"/>
        <w:jc w:val="left"/>
        <w:rPr>
          <w:sz w:val="20"/>
        </w:rPr>
      </w:pPr>
      <w:r>
        <w:rPr>
          <w:spacing w:val="-25"/>
          <w:w w:val="150"/>
          <w:sz w:val="20"/>
        </w:rPr>
        <w:t>15. </w:t>
      </w:r>
      <w:r>
        <w:rPr>
          <w:i/>
          <w:spacing w:val="4"/>
          <w:w w:val="150"/>
          <w:sz w:val="20"/>
        </w:rPr>
        <w:t>':;</w:t>
      </w:r>
      <w:r>
        <w:rPr>
          <w:spacing w:val="4"/>
          <w:w w:val="150"/>
          <w:sz w:val="28"/>
        </w:rPr>
        <w:t>=</w:t>
      </w:r>
      <w:r>
        <w:rPr>
          <w:spacing w:val="-75"/>
          <w:w w:val="150"/>
          <w:sz w:val="28"/>
        </w:rPr>
        <w:t> </w:t>
      </w:r>
      <w:r>
        <w:rPr>
          <w:rFonts w:ascii="Arial"/>
          <w:b/>
          <w:w w:val="95"/>
          <w:sz w:val="18"/>
        </w:rPr>
        <w:t>p.,,As </w:t>
      </w:r>
      <w:r>
        <w:rPr>
          <w:rFonts w:ascii="Arial"/>
          <w:w w:val="180"/>
          <w:sz w:val="18"/>
        </w:rPr>
        <w:t>-</w:t>
      </w:r>
      <w:r>
        <w:rPr>
          <w:rFonts w:ascii="Arial"/>
          <w:spacing w:val="-64"/>
          <w:w w:val="180"/>
          <w:sz w:val="18"/>
        </w:rPr>
        <w:t> </w:t>
      </w:r>
      <w:r>
        <w:rPr>
          <w:w w:val="150"/>
          <w:sz w:val="20"/>
        </w:rPr>
        <w:t>1</w:t>
      </w:r>
    </w:p>
    <w:p>
      <w:pPr>
        <w:pStyle w:val="BodyText"/>
        <w:spacing w:before="211"/>
        <w:ind w:left="700"/>
      </w:pPr>
      <w:r>
        <w:rPr>
          <w:w w:val="110"/>
        </w:rPr>
        <w:t>See Exercise </w:t>
      </w:r>
      <w:r>
        <w:rPr>
          <w:w w:val="110"/>
          <w:sz w:val="21"/>
        </w:rPr>
        <w:t>1</w:t>
      </w:r>
      <w:r>
        <w:rPr>
          <w:w w:val="110"/>
          <w:sz w:val="19"/>
        </w:rPr>
        <w:t>in </w:t>
      </w:r>
      <w:r>
        <w:rPr>
          <w:w w:val="110"/>
        </w:rPr>
        <w:t>Chapter 8.</w:t>
      </w:r>
    </w:p>
    <w:p>
      <w:pPr>
        <w:spacing w:after="0"/>
        <w:sectPr>
          <w:type w:val="continuous"/>
          <w:pgSz w:w="7200" w:h="11340"/>
          <w:pgMar w:top="1100" w:bottom="0" w:left="660" w:right="980"/>
        </w:sectPr>
      </w:pPr>
    </w:p>
    <w:p>
      <w:pPr>
        <w:spacing w:before="170"/>
        <w:ind w:left="124" w:right="-16" w:firstLine="0"/>
        <w:jc w:val="left"/>
        <w:rPr>
          <w:rFonts w:ascii="Arial" w:hAnsi="Arial"/>
          <w:i/>
          <w:sz w:val="18"/>
        </w:rPr>
      </w:pPr>
      <w:r>
        <w:rPr/>
        <w:pict>
          <v:line style="position:absolute;mso-position-horizontal-relative:page;mso-position-vertical-relative:paragraph;z-index:27112" from="56.16pt,25.87188pt" to="66.06pt,25.87188pt" stroked="true" strokeweight="4.860pt" strokecolor="#000000">
            <w10:wrap type="none"/>
          </v:line>
        </w:pict>
      </w:r>
      <w:r>
        <w:rPr/>
        <w:pict>
          <v:shape style="position:absolute;margin-left:56.16pt;margin-top:14.992805pt;width:10.95pt;height:10.5pt;mso-position-horizontal-relative:page;mso-position-vertical-relative:paragraph;z-index:-708904" type="#_x0000_t202" filled="false" stroked="false">
            <v:textbox inset="0,0,0,0">
              <w:txbxContent>
                <w:p>
                  <w:pPr>
                    <w:spacing w:line="210" w:lineRule="exact" w:before="0"/>
                    <w:ind w:left="0" w:right="-14" w:firstLine="0"/>
                    <w:jc w:val="left"/>
                    <w:rPr>
                      <w:i/>
                      <w:sz w:val="21"/>
                    </w:rPr>
                  </w:pPr>
                  <w:r>
                    <w:rPr>
                      <w:i/>
                      <w:w w:val="130"/>
                      <w:sz w:val="21"/>
                    </w:rPr>
                    <w:t>in</w:t>
                  </w:r>
                </w:p>
              </w:txbxContent>
            </v:textbox>
            <w10:wrap type="none"/>
          </v:shape>
        </w:pict>
      </w:r>
      <w:r>
        <w:rPr>
          <w:spacing w:val="-53"/>
          <w:w w:val="122"/>
          <w:sz w:val="21"/>
        </w:rPr>
        <w:t>1</w:t>
      </w:r>
      <w:r>
        <w:rPr>
          <w:rFonts w:ascii="Arial" w:hAnsi="Arial"/>
          <w:spacing w:val="-1"/>
          <w:w w:val="105"/>
          <w:position w:val="3"/>
          <w:sz w:val="19"/>
        </w:rPr>
        <w:t>6</w:t>
      </w:r>
      <w:r>
        <w:rPr>
          <w:w w:val="53"/>
          <w:sz w:val="21"/>
        </w:rPr>
        <w:t>•</w:t>
      </w:r>
      <w:r>
        <w:rPr>
          <w:spacing w:val="8"/>
          <w:sz w:val="21"/>
        </w:rPr>
        <w:t> </w:t>
      </w:r>
      <w:r>
        <w:rPr>
          <w:rFonts w:ascii="Arial" w:hAnsi="Arial"/>
          <w:i/>
          <w:w w:val="134"/>
          <w:position w:val="13"/>
          <w:sz w:val="18"/>
        </w:rPr>
        <w:t>O</w:t>
      </w:r>
    </w:p>
    <w:p>
      <w:pPr>
        <w:pStyle w:val="BodyText"/>
        <w:rPr>
          <w:rFonts w:ascii="Arial"/>
          <w:i/>
          <w:sz w:val="10"/>
        </w:rPr>
      </w:pPr>
      <w:r>
        <w:rPr/>
        <w:br w:type="column"/>
      </w:r>
      <w:r>
        <w:rPr>
          <w:rFonts w:ascii="Arial"/>
          <w:i/>
          <w:sz w:val="10"/>
        </w:rPr>
      </w:r>
    </w:p>
    <w:p>
      <w:pPr>
        <w:pStyle w:val="BodyText"/>
        <w:spacing w:before="6"/>
        <w:rPr>
          <w:rFonts w:ascii="Arial"/>
          <w:i/>
          <w:sz w:val="10"/>
        </w:rPr>
      </w:pPr>
    </w:p>
    <w:p>
      <w:pPr>
        <w:spacing w:line="109" w:lineRule="exact" w:before="0"/>
        <w:ind w:left="89" w:right="0" w:firstLine="0"/>
        <w:jc w:val="center"/>
        <w:rPr>
          <w:rFonts w:ascii="Arial"/>
          <w:i/>
          <w:sz w:val="11"/>
        </w:rPr>
      </w:pPr>
      <w:r>
        <w:rPr/>
        <w:pict>
          <v:shape style="position:absolute;margin-left:73.440002pt;margin-top:.3735pt;width:6.95pt;height:14pt;mso-position-horizontal-relative:page;mso-position-vertical-relative:paragraph;z-index:-708784" type="#_x0000_t202" filled="false" stroked="false">
            <v:textbox inset="0,0,0,0">
              <w:txbxContent>
                <w:p>
                  <w:pPr>
                    <w:spacing w:line="280" w:lineRule="exact" w:before="0"/>
                    <w:ind w:left="0" w:right="0" w:firstLine="0"/>
                    <w:jc w:val="left"/>
                    <w:rPr>
                      <w:sz w:val="28"/>
                    </w:rPr>
                  </w:pPr>
                  <w:r>
                    <w:rPr>
                      <w:w w:val="87"/>
                      <w:sz w:val="28"/>
                    </w:rPr>
                    <w:t>=</w:t>
                  </w:r>
                </w:p>
              </w:txbxContent>
            </v:textbox>
            <w10:wrap type="none"/>
          </v:shape>
        </w:pict>
      </w:r>
      <w:r>
        <w:rPr>
          <w:rFonts w:ascii="Arial"/>
          <w:i/>
          <w:w w:val="100"/>
          <w:sz w:val="11"/>
        </w:rPr>
        <w:t>A</w:t>
      </w:r>
    </w:p>
    <w:p>
      <w:pPr>
        <w:spacing w:line="155" w:lineRule="exact" w:before="0"/>
        <w:ind w:left="317" w:right="-3" w:firstLine="0"/>
        <w:jc w:val="left"/>
        <w:rPr>
          <w:rFonts w:ascii="Arial"/>
          <w:sz w:val="15"/>
        </w:rPr>
      </w:pPr>
      <w:r>
        <w:rPr>
          <w:rFonts w:ascii="Arial"/>
          <w:i/>
          <w:w w:val="160"/>
          <w:sz w:val="15"/>
        </w:rPr>
        <w:t>p.,,. </w:t>
      </w:r>
      <w:r>
        <w:rPr>
          <w:rFonts w:ascii="Arial"/>
          <w:w w:val="330"/>
          <w:sz w:val="15"/>
        </w:rPr>
        <w:t>-</w:t>
      </w:r>
    </w:p>
    <w:p>
      <w:pPr>
        <w:pStyle w:val="BodyText"/>
        <w:rPr>
          <w:rFonts w:ascii="Arial"/>
          <w:sz w:val="12"/>
        </w:rPr>
      </w:pPr>
      <w:r>
        <w:rPr/>
        <w:br w:type="column"/>
      </w:r>
      <w:r>
        <w:rPr>
          <w:rFonts w:ascii="Arial"/>
          <w:sz w:val="12"/>
        </w:rPr>
      </w:r>
    </w:p>
    <w:p>
      <w:pPr>
        <w:spacing w:line="107" w:lineRule="exact" w:before="80"/>
        <w:ind w:left="0" w:right="3340" w:firstLine="0"/>
        <w:jc w:val="center"/>
        <w:rPr>
          <w:sz w:val="13"/>
        </w:rPr>
      </w:pPr>
      <w:r>
        <w:rPr>
          <w:w w:val="143"/>
          <w:sz w:val="13"/>
        </w:rPr>
        <w:t>l</w:t>
      </w:r>
    </w:p>
    <w:p>
      <w:pPr>
        <w:pStyle w:val="BodyText"/>
        <w:spacing w:line="187" w:lineRule="exact"/>
        <w:ind w:right="3461"/>
        <w:jc w:val="center"/>
      </w:pPr>
      <w:r>
        <w:rPr/>
        <w:t>-'l.sr</w:t>
      </w:r>
    </w:p>
    <w:p>
      <w:pPr>
        <w:spacing w:after="0" w:line="187" w:lineRule="exact"/>
        <w:jc w:val="center"/>
        <w:sectPr>
          <w:type w:val="continuous"/>
          <w:pgSz w:w="7200" w:h="11340"/>
          <w:pgMar w:top="1100" w:bottom="0" w:left="660" w:right="980"/>
          <w:cols w:num="3" w:equalWidth="0">
            <w:col w:w="682" w:space="40"/>
            <w:col w:w="966" w:space="40"/>
            <w:col w:w="3832"/>
          </w:cols>
        </w:sectPr>
      </w:pPr>
    </w:p>
    <w:p>
      <w:pPr>
        <w:spacing w:line="635" w:lineRule="exact" w:before="6"/>
        <w:ind w:left="747" w:right="0" w:firstLine="0"/>
        <w:jc w:val="left"/>
        <w:rPr>
          <w:i/>
          <w:sz w:val="21"/>
        </w:rPr>
      </w:pPr>
      <w:r>
        <w:rPr>
          <w:w w:val="108"/>
          <w:sz w:val="20"/>
        </w:rPr>
        <w:t>Write</w:t>
      </w:r>
      <w:r>
        <w:rPr>
          <w:spacing w:val="16"/>
          <w:sz w:val="20"/>
        </w:rPr>
        <w:t> </w:t>
      </w:r>
      <w:r>
        <w:rPr>
          <w:i/>
          <w:w w:val="71"/>
          <w:sz w:val="21"/>
        </w:rPr>
        <w:t>lzw</w:t>
      </w:r>
      <w:r>
        <w:rPr>
          <w:i/>
          <w:sz w:val="21"/>
        </w:rPr>
        <w:t> </w:t>
      </w:r>
      <w:r>
        <w:rPr>
          <w:i/>
          <w:spacing w:val="-4"/>
          <w:sz w:val="21"/>
        </w:rPr>
        <w:t> </w:t>
      </w:r>
      <w:r>
        <w:rPr>
          <w:w w:val="90"/>
          <w:sz w:val="28"/>
        </w:rPr>
        <w:t>=</w:t>
      </w:r>
      <w:r>
        <w:rPr>
          <w:spacing w:val="20"/>
          <w:sz w:val="28"/>
        </w:rPr>
        <w:t> </w:t>
      </w:r>
      <w:r>
        <w:rPr>
          <w:rFonts w:ascii="Arial" w:hAnsi="Arial"/>
          <w:i/>
          <w:spacing w:val="-86"/>
          <w:w w:val="77"/>
          <w:sz w:val="57"/>
        </w:rPr>
        <w:t>1</w:t>
      </w:r>
      <w:r>
        <w:rPr>
          <w:rFonts w:ascii="Arial" w:hAnsi="Arial"/>
          <w:i/>
          <w:spacing w:val="-95"/>
          <w:w w:val="132"/>
          <w:sz w:val="57"/>
        </w:rPr>
        <w:t>·</w:t>
      </w:r>
      <w:r>
        <w:rPr>
          <w:i/>
          <w:w w:val="51"/>
          <w:sz w:val="20"/>
        </w:rPr>
        <w:t>,'f&gt;ZII</w:t>
      </w:r>
      <w:r>
        <w:rPr>
          <w:i/>
          <w:sz w:val="20"/>
        </w:rPr>
        <w:t> </w:t>
      </w:r>
      <w:r>
        <w:rPr>
          <w:i/>
          <w:spacing w:val="-15"/>
          <w:sz w:val="20"/>
        </w:rPr>
        <w:t> </w:t>
      </w:r>
      <w:r>
        <w:rPr>
          <w:i/>
          <w:w w:val="101"/>
          <w:sz w:val="21"/>
        </w:rPr>
        <w:t>dt.</w:t>
      </w:r>
    </w:p>
    <w:p>
      <w:pPr>
        <w:spacing w:after="0" w:line="635" w:lineRule="exact"/>
        <w:jc w:val="left"/>
        <w:rPr>
          <w:sz w:val="21"/>
        </w:rPr>
        <w:sectPr>
          <w:type w:val="continuous"/>
          <w:pgSz w:w="7200" w:h="11340"/>
          <w:pgMar w:top="1100" w:bottom="0" w:left="660" w:right="980"/>
        </w:sectPr>
      </w:pPr>
    </w:p>
    <w:p>
      <w:pPr>
        <w:pStyle w:val="BodyText"/>
        <w:spacing w:before="1"/>
        <w:rPr>
          <w:i/>
          <w:sz w:val="26"/>
        </w:rPr>
      </w:pPr>
    </w:p>
    <w:p>
      <w:pPr>
        <w:spacing w:before="0"/>
        <w:ind w:left="704" w:right="-5" w:firstLine="0"/>
        <w:jc w:val="left"/>
        <w:rPr>
          <w:sz w:val="21"/>
        </w:rPr>
      </w:pPr>
      <w:r>
        <w:rPr>
          <w:w w:val="105"/>
          <w:position w:val="1"/>
          <w:sz w:val="20"/>
        </w:rPr>
        <w:t>Th</w:t>
      </w:r>
      <w:r>
        <w:rPr>
          <w:w w:val="105"/>
          <w:sz w:val="21"/>
        </w:rPr>
        <w:t>en</w:t>
      </w:r>
    </w:p>
    <w:p>
      <w:pPr>
        <w:spacing w:line="472" w:lineRule="exact" w:before="0"/>
        <w:ind w:left="135" w:right="0" w:firstLine="0"/>
        <w:jc w:val="left"/>
        <w:rPr>
          <w:i/>
          <w:sz w:val="20"/>
        </w:rPr>
      </w:pPr>
      <w:r>
        <w:rPr/>
        <w:br w:type="column"/>
      </w:r>
      <w:r>
        <w:rPr>
          <w:spacing w:val="-454"/>
          <w:w w:val="260"/>
          <w:sz w:val="20"/>
        </w:rPr>
        <w:t>-</w:t>
      </w:r>
      <w:r>
        <w:rPr>
          <w:w w:val="248"/>
          <w:position w:val="-7"/>
          <w:sz w:val="21"/>
        </w:rPr>
        <w:t>-</w:t>
      </w:r>
      <w:r>
        <w:rPr>
          <w:spacing w:val="7"/>
          <w:position w:val="-7"/>
          <w:sz w:val="21"/>
        </w:rPr>
        <w:t> </w:t>
      </w:r>
      <w:r>
        <w:rPr>
          <w:rFonts w:ascii="Arial" w:hAnsi="Arial"/>
          <w:i/>
          <w:spacing w:val="-89"/>
          <w:w w:val="83"/>
          <w:sz w:val="52"/>
        </w:rPr>
        <w:t>1</w:t>
      </w:r>
      <w:r>
        <w:rPr>
          <w:rFonts w:ascii="Arial" w:hAnsi="Arial"/>
          <w:i/>
          <w:spacing w:val="-102"/>
          <w:w w:val="151"/>
          <w:sz w:val="52"/>
        </w:rPr>
        <w:t>·</w:t>
      </w:r>
      <w:r>
        <w:rPr>
          <w:i/>
          <w:w w:val="106"/>
          <w:sz w:val="29"/>
        </w:rPr>
        <w:t>a</w:t>
      </w:r>
      <w:r>
        <w:rPr>
          <w:i/>
          <w:spacing w:val="-2"/>
          <w:w w:val="106"/>
          <w:sz w:val="29"/>
        </w:rPr>
        <w:t>,</w:t>
      </w:r>
      <w:r>
        <w:rPr>
          <w:i/>
          <w:spacing w:val="-149"/>
          <w:w w:val="106"/>
          <w:sz w:val="29"/>
        </w:rPr>
        <w:t>p</w:t>
      </w:r>
      <w:r>
        <w:rPr>
          <w:w w:val="227"/>
          <w:position w:val="-7"/>
          <w:sz w:val="21"/>
        </w:rPr>
        <w:t>-</w:t>
      </w:r>
      <w:r>
        <w:rPr>
          <w:spacing w:val="4"/>
          <w:position w:val="-7"/>
          <w:sz w:val="21"/>
        </w:rPr>
        <w:t> </w:t>
      </w:r>
      <w:r>
        <w:rPr>
          <w:i/>
          <w:w w:val="92"/>
          <w:sz w:val="20"/>
        </w:rPr>
        <w:t>dt</w:t>
      </w:r>
    </w:p>
    <w:p>
      <w:pPr>
        <w:tabs>
          <w:tab w:pos="735" w:val="left" w:leader="none"/>
          <w:tab w:pos="1059" w:val="left" w:leader="none"/>
        </w:tabs>
        <w:spacing w:line="202" w:lineRule="exact" w:before="0"/>
        <w:ind w:left="69" w:right="0" w:firstLine="0"/>
        <w:jc w:val="left"/>
        <w:rPr>
          <w:rFonts w:ascii="Arial"/>
          <w:i/>
          <w:sz w:val="24"/>
        </w:rPr>
      </w:pPr>
      <w:r>
        <w:rPr/>
        <w:pict>
          <v:shape style="position:absolute;margin-left:125.279999pt;margin-top:3.744133pt;width:57.7pt;height:37.7pt;mso-position-horizontal-relative:page;mso-position-vertical-relative:paragraph;z-index:-708880" type="#_x0000_t202" filled="false" stroked="false">
            <v:textbox inset="0,0,0,0">
              <w:txbxContent>
                <w:p>
                  <w:pPr>
                    <w:tabs>
                      <w:tab w:pos="1101" w:val="left" w:leader="none"/>
                    </w:tabs>
                    <w:spacing w:line="754" w:lineRule="exact" w:before="0"/>
                    <w:ind w:left="0" w:right="0" w:firstLine="0"/>
                    <w:jc w:val="left"/>
                    <w:rPr>
                      <w:rFonts w:ascii="Arial"/>
                      <w:i/>
                      <w:sz w:val="17"/>
                    </w:rPr>
                  </w:pPr>
                  <w:r>
                    <w:rPr>
                      <w:rFonts w:ascii="Arial"/>
                      <w:i/>
                      <w:spacing w:val="-83"/>
                      <w:w w:val="81"/>
                      <w:position w:val="-9"/>
                      <w:sz w:val="52"/>
                    </w:rPr>
                    <w:t>1</w:t>
                  </w:r>
                  <w:r>
                    <w:rPr>
                      <w:rFonts w:ascii="Arial"/>
                      <w:i/>
                      <w:spacing w:val="-59"/>
                      <w:w w:val="152"/>
                      <w:position w:val="13"/>
                      <w:sz w:val="52"/>
                    </w:rPr>
                    <w:t>.</w:t>
                  </w:r>
                  <w:r>
                    <w:rPr>
                      <w:rFonts w:ascii="Arial"/>
                      <w:i/>
                      <w:w w:val="56"/>
                      <w:sz w:val="34"/>
                    </w:rPr>
                    <w:t>,</w:t>
                  </w:r>
                  <w:r>
                    <w:rPr>
                      <w:rFonts w:ascii="Arial"/>
                      <w:i/>
                      <w:spacing w:val="-4"/>
                      <w:w w:val="56"/>
                      <w:sz w:val="34"/>
                    </w:rPr>
                    <w:t>p</w:t>
                  </w:r>
                  <w:r>
                    <w:rPr>
                      <w:rFonts w:ascii="Arial"/>
                      <w:i/>
                      <w:w w:val="163"/>
                      <w:sz w:val="34"/>
                    </w:rPr>
                    <w:t>.</w:t>
                  </w:r>
                  <w:r>
                    <w:rPr>
                      <w:rFonts w:ascii="Arial"/>
                      <w:i/>
                      <w:sz w:val="34"/>
                    </w:rPr>
                    <w:tab/>
                  </w:r>
                  <w:r>
                    <w:rPr>
                      <w:rFonts w:ascii="Arial"/>
                      <w:i/>
                      <w:w w:val="109"/>
                      <w:sz w:val="17"/>
                    </w:rPr>
                    <w:t>t</w:t>
                  </w:r>
                </w:p>
              </w:txbxContent>
            </v:textbox>
            <w10:wrap type="none"/>
          </v:shape>
        </w:pict>
      </w:r>
      <w:r>
        <w:rPr>
          <w:rFonts w:ascii="Arial"/>
          <w:i/>
          <w:w w:val="90"/>
          <w:sz w:val="24"/>
        </w:rPr>
        <w:t>az</w:t>
        <w:tab/>
      </w:r>
      <w:r>
        <w:rPr>
          <w:rFonts w:ascii="Arial"/>
          <w:w w:val="90"/>
          <w:sz w:val="16"/>
        </w:rPr>
        <w:t>o</w:t>
        <w:tab/>
      </w:r>
      <w:r>
        <w:rPr>
          <w:rFonts w:ascii="Arial"/>
          <w:i/>
          <w:w w:val="90"/>
          <w:sz w:val="24"/>
        </w:rPr>
        <w:t>az</w:t>
      </w:r>
    </w:p>
    <w:p>
      <w:pPr>
        <w:tabs>
          <w:tab w:pos="1261" w:val="left" w:leader="none"/>
        </w:tabs>
        <w:spacing w:line="381" w:lineRule="exact" w:before="24"/>
        <w:ind w:left="407" w:right="0" w:firstLine="0"/>
        <w:jc w:val="left"/>
        <w:rPr>
          <w:i/>
          <w:sz w:val="20"/>
        </w:rPr>
      </w:pPr>
      <w:r>
        <w:rPr>
          <w:w w:val="95"/>
          <w:position w:val="-12"/>
          <w:sz w:val="26"/>
        </w:rPr>
        <w:t>=</w:t>
        <w:tab/>
      </w:r>
      <w:r>
        <w:rPr>
          <w:i/>
          <w:w w:val="75"/>
          <w:sz w:val="29"/>
        </w:rPr>
        <w:t>a,pz</w:t>
      </w:r>
      <w:r>
        <w:rPr>
          <w:i/>
          <w:spacing w:val="-16"/>
          <w:w w:val="75"/>
          <w:sz w:val="29"/>
        </w:rPr>
        <w:t> </w:t>
      </w:r>
      <w:r>
        <w:rPr>
          <w:i/>
          <w:w w:val="75"/>
          <w:sz w:val="20"/>
        </w:rPr>
        <w:t>d</w:t>
      </w:r>
    </w:p>
    <w:p>
      <w:pPr>
        <w:tabs>
          <w:tab w:pos="593" w:val="left" w:leader="none"/>
        </w:tabs>
        <w:spacing w:line="129" w:lineRule="exact" w:before="0"/>
        <w:ind w:left="0" w:right="2109" w:firstLine="0"/>
        <w:jc w:val="center"/>
        <w:rPr>
          <w:rFonts w:ascii="Arial"/>
          <w:i/>
          <w:sz w:val="24"/>
        </w:rPr>
      </w:pPr>
      <w:r>
        <w:rPr>
          <w:rFonts w:ascii="Arial"/>
          <w:w w:val="85"/>
          <w:sz w:val="16"/>
        </w:rPr>
        <w:t>o</w:t>
        <w:tab/>
      </w:r>
      <w:r>
        <w:rPr>
          <w:rFonts w:ascii="Arial"/>
          <w:i/>
          <w:w w:val="85"/>
          <w:sz w:val="24"/>
        </w:rPr>
        <w:t>az</w:t>
      </w:r>
    </w:p>
    <w:p>
      <w:pPr>
        <w:spacing w:line="631" w:lineRule="exact" w:before="0"/>
        <w:ind w:left="404" w:right="0" w:firstLine="0"/>
        <w:jc w:val="left"/>
        <w:rPr>
          <w:i/>
          <w:sz w:val="21"/>
        </w:rPr>
      </w:pPr>
      <w:r>
        <w:rPr>
          <w:w w:val="105"/>
          <w:sz w:val="24"/>
        </w:rPr>
        <w:t>=</w:t>
      </w:r>
      <w:r>
        <w:rPr>
          <w:sz w:val="24"/>
        </w:rPr>
        <w:t> </w:t>
      </w:r>
      <w:r>
        <w:rPr>
          <w:spacing w:val="-26"/>
          <w:sz w:val="24"/>
        </w:rPr>
        <w:t> </w:t>
      </w:r>
      <w:r>
        <w:rPr>
          <w:i/>
          <w:spacing w:val="-44"/>
          <w:w w:val="64"/>
          <w:sz w:val="61"/>
        </w:rPr>
        <w:t>1</w:t>
      </w:r>
      <w:r>
        <w:rPr>
          <w:i/>
          <w:spacing w:val="35"/>
          <w:w w:val="60"/>
          <w:sz w:val="61"/>
        </w:rPr>
        <w:t>•</w:t>
      </w:r>
      <w:r>
        <w:rPr>
          <w:i/>
          <w:w w:val="58"/>
          <w:sz w:val="21"/>
        </w:rPr>
        <w:t>cPw</w:t>
      </w:r>
      <w:r>
        <w:rPr>
          <w:i/>
          <w:spacing w:val="-10"/>
          <w:sz w:val="21"/>
        </w:rPr>
        <w:t> </w:t>
      </w:r>
      <w:r>
        <w:rPr>
          <w:w w:val="53"/>
          <w:sz w:val="21"/>
        </w:rPr>
        <w:t>•</w:t>
      </w:r>
      <w:r>
        <w:rPr>
          <w:spacing w:val="-21"/>
          <w:sz w:val="21"/>
        </w:rPr>
        <w:t> </w:t>
      </w:r>
      <w:r>
        <w:rPr>
          <w:i/>
          <w:w w:val="88"/>
          <w:sz w:val="20"/>
        </w:rPr>
        <w:t>,pz{</w:t>
      </w:r>
      <w:r>
        <w:rPr>
          <w:i/>
          <w:spacing w:val="-4"/>
          <w:sz w:val="20"/>
        </w:rPr>
        <w:t> </w:t>
      </w:r>
      <w:r>
        <w:rPr>
          <w:i/>
          <w:w w:val="56"/>
          <w:sz w:val="20"/>
        </w:rPr>
        <w:t>µ:,:</w:t>
      </w:r>
      <w:r>
        <w:rPr>
          <w:i/>
          <w:sz w:val="20"/>
        </w:rPr>
        <w:t> </w:t>
      </w:r>
      <w:r>
        <w:rPr>
          <w:i/>
          <w:spacing w:val="-11"/>
          <w:sz w:val="20"/>
        </w:rPr>
        <w:t> </w:t>
      </w:r>
      <w:r>
        <w:rPr>
          <w:w w:val="282"/>
          <w:sz w:val="20"/>
        </w:rPr>
        <w:t>-</w:t>
      </w:r>
      <w:r>
        <w:rPr>
          <w:spacing w:val="-5"/>
          <w:sz w:val="20"/>
        </w:rPr>
        <w:t> </w:t>
      </w:r>
      <w:r>
        <w:rPr>
          <w:w w:val="107"/>
          <w:sz w:val="16"/>
        </w:rPr>
        <w:t>P.s+i</w:t>
      </w:r>
      <w:r>
        <w:rPr>
          <w:w w:val="107"/>
          <w:sz w:val="16"/>
        </w:rPr>
        <w:t>)</w:t>
      </w:r>
      <w:r>
        <w:rPr>
          <w:sz w:val="16"/>
        </w:rPr>
        <w:t> </w:t>
      </w:r>
      <w:r>
        <w:rPr>
          <w:spacing w:val="-11"/>
          <w:sz w:val="16"/>
        </w:rPr>
        <w:t> </w:t>
      </w:r>
      <w:r>
        <w:rPr>
          <w:i/>
          <w:w w:val="96"/>
          <w:sz w:val="21"/>
        </w:rPr>
        <w:t>dt</w:t>
      </w:r>
    </w:p>
    <w:p>
      <w:pPr>
        <w:spacing w:after="0" w:line="631" w:lineRule="exact"/>
        <w:jc w:val="left"/>
        <w:rPr>
          <w:sz w:val="21"/>
        </w:rPr>
        <w:sectPr>
          <w:type w:val="continuous"/>
          <w:pgSz w:w="7200" w:h="11340"/>
          <w:pgMar w:top="1100" w:bottom="0" w:left="660" w:right="980"/>
          <w:cols w:num="2" w:equalWidth="0">
            <w:col w:w="1161" w:space="40"/>
            <w:col w:w="4359"/>
          </w:cols>
        </w:sectPr>
      </w:pPr>
    </w:p>
    <w:p>
      <w:pPr>
        <w:spacing w:before="107"/>
        <w:ind w:left="1608" w:right="-19" w:firstLine="0"/>
        <w:jc w:val="left"/>
        <w:rPr>
          <w:rFonts w:ascii="Arial"/>
          <w:sz w:val="16"/>
        </w:rPr>
      </w:pPr>
      <w:r>
        <w:rPr>
          <w:w w:val="90"/>
          <w:sz w:val="28"/>
        </w:rPr>
        <w:t>=</w:t>
      </w:r>
      <w:r>
        <w:rPr>
          <w:spacing w:val="20"/>
          <w:sz w:val="28"/>
        </w:rPr>
        <w:t> </w:t>
      </w:r>
      <w:r>
        <w:rPr>
          <w:rFonts w:ascii="Arial"/>
          <w:i/>
          <w:w w:val="164"/>
          <w:sz w:val="16"/>
        </w:rPr>
        <w:t>P</w:t>
      </w:r>
      <w:r>
        <w:rPr>
          <w:rFonts w:ascii="Arial"/>
          <w:i/>
          <w:spacing w:val="-8"/>
          <w:w w:val="164"/>
          <w:sz w:val="16"/>
        </w:rPr>
        <w:t>.</w:t>
      </w:r>
      <w:r>
        <w:rPr>
          <w:rFonts w:ascii="Arial"/>
          <w:i/>
          <w:w w:val="58"/>
          <w:sz w:val="16"/>
        </w:rPr>
        <w:t>1/f/</w:t>
      </w:r>
      <w:r>
        <w:rPr>
          <w:rFonts w:ascii="Arial"/>
          <w:i/>
          <w:sz w:val="16"/>
        </w:rPr>
        <w:t> </w:t>
      </w:r>
      <w:r>
        <w:rPr>
          <w:rFonts w:ascii="Arial"/>
          <w:i/>
          <w:spacing w:val="6"/>
          <w:sz w:val="16"/>
        </w:rPr>
        <w:t> </w:t>
      </w:r>
      <w:r>
        <w:rPr>
          <w:rFonts w:ascii="Arial"/>
          <w:w w:val="344"/>
          <w:sz w:val="16"/>
        </w:rPr>
        <w:t>-</w:t>
      </w:r>
    </w:p>
    <w:p>
      <w:pPr>
        <w:tabs>
          <w:tab w:pos="1265" w:val="left" w:leader="none"/>
          <w:tab w:pos="1867" w:val="left" w:leader="none"/>
        </w:tabs>
        <w:spacing w:line="182" w:lineRule="exact" w:before="71"/>
        <w:ind w:left="409" w:right="0" w:firstLine="0"/>
        <w:jc w:val="left"/>
        <w:rPr>
          <w:rFonts w:ascii="Arial"/>
          <w:sz w:val="12"/>
        </w:rPr>
      </w:pPr>
      <w:r>
        <w:rPr/>
        <w:pict>
          <v:shape style="position:absolute;margin-left:53.099998pt;margin-top:9.580103pt;width:15.7pt;height:14.5pt;mso-position-horizontal-relative:page;mso-position-vertical-relative:paragraph;z-index:-708856" type="#_x0000_t202" filled="false" stroked="false">
            <v:textbox inset="0,0,0,0">
              <w:txbxContent>
                <w:p>
                  <w:pPr>
                    <w:spacing w:line="290" w:lineRule="exact" w:before="0"/>
                    <w:ind w:left="0" w:right="-11" w:firstLine="0"/>
                    <w:jc w:val="left"/>
                    <w:rPr>
                      <w:i/>
                      <w:sz w:val="29"/>
                    </w:rPr>
                  </w:pPr>
                  <w:r>
                    <w:rPr>
                      <w:i/>
                      <w:w w:val="135"/>
                      <w:sz w:val="29"/>
                    </w:rPr>
                    <w:t>ai</w:t>
                  </w:r>
                </w:p>
              </w:txbxContent>
            </v:textbox>
            <w10:wrap type="none"/>
          </v:shape>
        </w:pict>
      </w:r>
      <w:r>
        <w:rPr>
          <w:rFonts w:ascii="Arial"/>
          <w:i/>
          <w:w w:val="85"/>
          <w:sz w:val="22"/>
        </w:rPr>
        <w:t>a4a.</w:t>
        <w:tab/>
      </w:r>
      <w:r>
        <w:rPr>
          <w:rFonts w:ascii="Arial"/>
          <w:w w:val="85"/>
          <w:sz w:val="22"/>
        </w:rPr>
        <w:t>_</w:t>
        <w:tab/>
      </w:r>
      <w:r>
        <w:rPr>
          <w:rFonts w:ascii="Arial"/>
          <w:w w:val="160"/>
          <w:sz w:val="12"/>
        </w:rPr>
        <w:t>-1</w:t>
      </w:r>
    </w:p>
    <w:p>
      <w:pPr>
        <w:tabs>
          <w:tab w:pos="830" w:val="left" w:leader="none"/>
        </w:tabs>
        <w:spacing w:line="228" w:lineRule="exact" w:before="0"/>
        <w:ind w:left="121" w:right="0" w:firstLine="0"/>
        <w:jc w:val="left"/>
        <w:rPr>
          <w:i/>
          <w:sz w:val="22"/>
        </w:rPr>
      </w:pPr>
      <w:r>
        <w:rPr>
          <w:spacing w:val="-14"/>
          <w:w w:val="115"/>
          <w:sz w:val="22"/>
        </w:rPr>
        <w:t>17.</w:t>
        <w:tab/>
      </w:r>
      <w:r>
        <w:rPr>
          <w:w w:val="115"/>
          <w:sz w:val="26"/>
        </w:rPr>
        <w:t>= </w:t>
      </w:r>
      <w:r>
        <w:rPr>
          <w:i/>
          <w:w w:val="205"/>
          <w:sz w:val="17"/>
        </w:rPr>
        <w:t>µ.- </w:t>
      </w:r>
      <w:r>
        <w:rPr>
          <w:w w:val="320"/>
          <w:sz w:val="17"/>
        </w:rPr>
        <w:t>-</w:t>
      </w:r>
      <w:r>
        <w:rPr>
          <w:spacing w:val="-98"/>
          <w:w w:val="320"/>
          <w:sz w:val="17"/>
        </w:rPr>
        <w:t> </w:t>
      </w:r>
      <w:r>
        <w:rPr>
          <w:i/>
          <w:w w:val="205"/>
          <w:sz w:val="22"/>
        </w:rPr>
        <w:t>A</w:t>
      </w:r>
    </w:p>
    <w:p>
      <w:pPr>
        <w:pStyle w:val="BodyText"/>
        <w:spacing w:before="9"/>
        <w:rPr>
          <w:i/>
          <w:sz w:val="10"/>
        </w:rPr>
      </w:pPr>
      <w:r>
        <w:rPr/>
        <w:br w:type="column"/>
      </w:r>
      <w:r>
        <w:rPr>
          <w:i/>
          <w:sz w:val="10"/>
        </w:rPr>
      </w:r>
    </w:p>
    <w:p>
      <w:pPr>
        <w:spacing w:line="103" w:lineRule="exact" w:before="0"/>
        <w:ind w:left="0" w:right="2529" w:firstLine="0"/>
        <w:jc w:val="center"/>
        <w:rPr>
          <w:sz w:val="13"/>
        </w:rPr>
      </w:pPr>
      <w:r>
        <w:rPr>
          <w:w w:val="156"/>
          <w:sz w:val="13"/>
        </w:rPr>
        <w:t>l</w:t>
      </w:r>
    </w:p>
    <w:p>
      <w:pPr>
        <w:pStyle w:val="BodyText"/>
        <w:spacing w:line="184" w:lineRule="exact"/>
        <w:ind w:right="2550"/>
        <w:jc w:val="center"/>
      </w:pPr>
      <w:r>
        <w:rPr>
          <w:w w:val="85"/>
        </w:rPr>
        <w:t>-'l.sw •</w:t>
      </w:r>
    </w:p>
    <w:p>
      <w:pPr>
        <w:spacing w:after="0" w:line="184" w:lineRule="exact"/>
        <w:jc w:val="center"/>
        <w:sectPr>
          <w:type w:val="continuous"/>
          <w:pgSz w:w="7200" w:h="11340"/>
          <w:pgMar w:top="1100" w:bottom="0" w:left="660" w:right="980"/>
          <w:cols w:num="2" w:equalWidth="0">
            <w:col w:w="2494" w:space="40"/>
            <w:col w:w="3026"/>
          </w:cols>
        </w:sectPr>
      </w:pPr>
    </w:p>
    <w:p>
      <w:pPr>
        <w:pStyle w:val="BodyText"/>
        <w:spacing w:before="9"/>
        <w:rPr>
          <w:sz w:val="11"/>
        </w:rPr>
      </w:pPr>
    </w:p>
    <w:p>
      <w:pPr>
        <w:pStyle w:val="BodyText"/>
        <w:spacing w:before="75"/>
        <w:ind w:left="700"/>
        <w:rPr>
          <w:sz w:val="19"/>
        </w:rPr>
      </w:pPr>
      <w:r>
        <w:rPr>
          <w:w w:val="110"/>
        </w:rPr>
        <w:t>See Exercise 19  in Chapter </w:t>
      </w:r>
      <w:r>
        <w:rPr>
          <w:w w:val="110"/>
          <w:sz w:val="19"/>
        </w:rPr>
        <w:t>11.</w:t>
      </w:r>
    </w:p>
    <w:p>
      <w:pPr>
        <w:spacing w:before="179"/>
        <w:ind w:left="121" w:right="0" w:firstLine="0"/>
        <w:jc w:val="left"/>
        <w:rPr>
          <w:rFonts w:ascii="Arial"/>
          <w:i/>
          <w:sz w:val="20"/>
        </w:rPr>
      </w:pPr>
      <w:r>
        <w:rPr/>
        <w:pict>
          <v:rect style="position:absolute;margin-left:58.5pt;margin-top:23.729881pt;width:9.720pt;height:4.860pt;mso-position-horizontal-relative:page;mso-position-vertical-relative:paragraph;z-index:-708928" filled="true" fillcolor="#000000" stroked="false">
            <v:fill type="solid"/>
            <w10:wrap type="none"/>
          </v:rect>
        </w:pict>
      </w:r>
      <w:r>
        <w:rPr/>
        <w:pict>
          <v:shape style="position:absolute;margin-left:135.899994pt;margin-top:18.778309pt;width:7.55pt;height:5pt;mso-position-horizontal-relative:page;mso-position-vertical-relative:paragraph;z-index:-708832" type="#_x0000_t202" filled="false" stroked="false">
            <v:textbox inset="0,0,0,0">
              <w:txbxContent>
                <w:p>
                  <w:pPr>
                    <w:spacing w:line="100" w:lineRule="exact" w:before="0"/>
                    <w:ind w:left="0" w:right="0" w:firstLine="0"/>
                    <w:jc w:val="left"/>
                    <w:rPr>
                      <w:rFonts w:ascii="Arial"/>
                      <w:sz w:val="10"/>
                    </w:rPr>
                  </w:pPr>
                  <w:r>
                    <w:rPr>
                      <w:rFonts w:ascii="Arial"/>
                      <w:w w:val="193"/>
                      <w:sz w:val="10"/>
                    </w:rPr>
                    <w:t>Q</w:t>
                  </w:r>
                </w:p>
              </w:txbxContent>
            </v:textbox>
            <w10:wrap type="none"/>
          </v:shape>
        </w:pict>
      </w:r>
      <w:r>
        <w:rPr>
          <w:spacing w:val="-20"/>
          <w:w w:val="115"/>
          <w:sz w:val="21"/>
        </w:rPr>
        <w:t>1</w:t>
      </w:r>
      <w:r>
        <w:rPr>
          <w:rFonts w:ascii="Arial"/>
          <w:spacing w:val="-20"/>
          <w:w w:val="115"/>
          <w:position w:val="1"/>
          <w:sz w:val="19"/>
        </w:rPr>
        <w:t>8</w:t>
      </w:r>
      <w:r>
        <w:rPr>
          <w:spacing w:val="-20"/>
          <w:w w:val="115"/>
          <w:sz w:val="21"/>
        </w:rPr>
        <w:t>.   </w:t>
      </w:r>
      <w:r>
        <w:rPr>
          <w:i/>
          <w:spacing w:val="-9"/>
          <w:w w:val="115"/>
          <w:sz w:val="21"/>
        </w:rPr>
        <w:t>in</w:t>
      </w:r>
      <w:r>
        <w:rPr>
          <w:rFonts w:ascii="Arial"/>
          <w:spacing w:val="-9"/>
          <w:w w:val="115"/>
          <w:position w:val="9"/>
          <w:sz w:val="16"/>
        </w:rPr>
        <w:t>Is  </w:t>
      </w:r>
      <w:r>
        <w:rPr>
          <w:w w:val="115"/>
          <w:sz w:val="23"/>
        </w:rPr>
        <w:t>=  </w:t>
      </w:r>
      <w:r>
        <w:rPr>
          <w:spacing w:val="-13"/>
          <w:w w:val="150"/>
          <w:sz w:val="23"/>
        </w:rPr>
        <w:t>,,</w:t>
      </w:r>
      <w:r>
        <w:rPr>
          <w:rFonts w:ascii="Arial"/>
          <w:spacing w:val="-13"/>
          <w:w w:val="150"/>
          <w:position w:val="9"/>
          <w:sz w:val="16"/>
        </w:rPr>
        <w:t>-</w:t>
      </w:r>
      <w:r>
        <w:rPr>
          <w:spacing w:val="-13"/>
          <w:w w:val="150"/>
          <w:sz w:val="23"/>
        </w:rPr>
        <w:t>.,. </w:t>
      </w:r>
      <w:r>
        <w:rPr>
          <w:w w:val="215"/>
          <w:sz w:val="23"/>
        </w:rPr>
        <w:t>-</w:t>
      </w:r>
      <w:r>
        <w:rPr>
          <w:spacing w:val="-89"/>
          <w:w w:val="215"/>
          <w:sz w:val="23"/>
        </w:rPr>
        <w:t> </w:t>
      </w:r>
      <w:r>
        <w:rPr>
          <w:rFonts w:ascii="Arial"/>
          <w:i/>
          <w:spacing w:val="-23"/>
          <w:w w:val="115"/>
          <w:position w:val="9"/>
          <w:sz w:val="20"/>
        </w:rPr>
        <w:t>A-1</w:t>
      </w:r>
    </w:p>
    <w:p>
      <w:pPr>
        <w:pStyle w:val="BodyText"/>
        <w:spacing w:before="4"/>
        <w:rPr>
          <w:rFonts w:ascii="Arial"/>
          <w:i/>
          <w:sz w:val="13"/>
        </w:rPr>
      </w:pPr>
    </w:p>
    <w:p>
      <w:pPr>
        <w:pStyle w:val="BodyText"/>
        <w:spacing w:before="74"/>
        <w:ind w:left="700"/>
      </w:pPr>
      <w:r>
        <w:rPr>
          <w:w w:val="110"/>
        </w:rPr>
        <w:t>See Exercise 5(a) in Chapter 13.</w:t>
      </w:r>
    </w:p>
    <w:p>
      <w:pPr>
        <w:spacing w:after="0"/>
        <w:sectPr>
          <w:type w:val="continuous"/>
          <w:pgSz w:w="7200" w:h="11340"/>
          <w:pgMar w:top="1100" w:bottom="0" w:left="660" w:right="980"/>
        </w:sectPr>
      </w:pPr>
    </w:p>
    <w:p>
      <w:pPr>
        <w:pStyle w:val="BodyText"/>
      </w:pPr>
    </w:p>
    <w:p>
      <w:pPr>
        <w:pStyle w:val="BodyText"/>
        <w:spacing w:before="10"/>
        <w:rPr>
          <w:sz w:val="21"/>
        </w:rPr>
      </w:pPr>
    </w:p>
    <w:p>
      <w:pPr>
        <w:spacing w:after="0"/>
        <w:rPr>
          <w:sz w:val="21"/>
        </w:rPr>
        <w:sectPr>
          <w:pgSz w:w="7200" w:h="11340"/>
          <w:pgMar w:top="1060" w:bottom="280" w:left="740" w:right="980"/>
        </w:sectPr>
      </w:pPr>
    </w:p>
    <w:p>
      <w:pPr>
        <w:pStyle w:val="BodyText"/>
        <w:rPr>
          <w:sz w:val="26"/>
        </w:rPr>
      </w:pPr>
    </w:p>
    <w:p>
      <w:pPr>
        <w:pStyle w:val="BodyText"/>
        <w:rPr>
          <w:sz w:val="26"/>
        </w:rPr>
      </w:pPr>
    </w:p>
    <w:p>
      <w:pPr>
        <w:pStyle w:val="BodyText"/>
        <w:spacing w:before="10"/>
        <w:rPr>
          <w:sz w:val="23"/>
        </w:rPr>
      </w:pPr>
    </w:p>
    <w:p>
      <w:pPr>
        <w:spacing w:before="0"/>
        <w:ind w:left="221" w:right="-4" w:firstLine="0"/>
        <w:jc w:val="left"/>
        <w:rPr>
          <w:b/>
          <w:sz w:val="19"/>
        </w:rPr>
      </w:pPr>
      <w:bookmarkStart w:name="Answers to the Exercises" w:id="28"/>
      <w:bookmarkEnd w:id="28"/>
      <w:r>
        <w:rPr/>
      </w:r>
      <w:r>
        <w:rPr>
          <w:w w:val="135"/>
          <w:sz w:val="19"/>
        </w:rPr>
        <w:t>l. </w:t>
      </w:r>
      <w:r>
        <w:rPr>
          <w:rFonts w:ascii="Arial"/>
          <w:i/>
          <w:w w:val="110"/>
          <w:sz w:val="15"/>
        </w:rPr>
        <w:t>w  </w:t>
      </w:r>
      <w:r>
        <w:rPr>
          <w:w w:val="110"/>
          <w:sz w:val="26"/>
        </w:rPr>
        <w:t>= </w:t>
      </w:r>
      <w:r>
        <w:rPr>
          <w:b/>
          <w:w w:val="110"/>
          <w:sz w:val="19"/>
        </w:rPr>
        <w:t>100</w:t>
      </w:r>
    </w:p>
    <w:p>
      <w:pPr>
        <w:spacing w:before="72"/>
        <w:ind w:left="99" w:right="886" w:firstLine="0"/>
        <w:jc w:val="center"/>
        <w:rPr>
          <w:sz w:val="22"/>
        </w:rPr>
      </w:pPr>
      <w:bookmarkStart w:name="_TOC_250001" w:id="29"/>
      <w:r>
        <w:rPr/>
        <w:br w:type="column"/>
      </w:r>
      <w:bookmarkEnd w:id="29"/>
      <w:r>
        <w:rPr>
          <w:sz w:val="22"/>
        </w:rPr>
        <w:t>ANSWERS  TO  THE EXERCISES</w:t>
      </w:r>
    </w:p>
    <w:p>
      <w:pPr>
        <w:spacing w:before="129"/>
        <w:ind w:left="99" w:right="840" w:firstLine="0"/>
        <w:jc w:val="center"/>
        <w:rPr>
          <w:sz w:val="20"/>
        </w:rPr>
      </w:pPr>
      <w:r>
        <w:rPr>
          <w:w w:val="120"/>
          <w:sz w:val="15"/>
        </w:rPr>
        <w:t>CHAPTER </w:t>
      </w:r>
      <w:r>
        <w:rPr>
          <w:w w:val="120"/>
          <w:sz w:val="20"/>
        </w:rPr>
        <w:t>1</w:t>
      </w:r>
    </w:p>
    <w:p>
      <w:pPr>
        <w:spacing w:after="0"/>
        <w:jc w:val="center"/>
        <w:rPr>
          <w:sz w:val="20"/>
        </w:rPr>
        <w:sectPr>
          <w:type w:val="continuous"/>
          <w:pgSz w:w="7200" w:h="11340"/>
          <w:pgMar w:top="1100" w:bottom="0" w:left="740" w:right="980"/>
          <w:cols w:num="2" w:equalWidth="0">
            <w:col w:w="1194" w:space="40"/>
            <w:col w:w="4246"/>
          </w:cols>
        </w:sectPr>
      </w:pPr>
    </w:p>
    <w:p>
      <w:pPr>
        <w:spacing w:before="81"/>
        <w:ind w:left="207" w:right="0" w:firstLine="0"/>
        <w:jc w:val="left"/>
        <w:rPr>
          <w:rFonts w:ascii="Arial"/>
          <w:i/>
          <w:sz w:val="19"/>
        </w:rPr>
      </w:pPr>
      <w:r>
        <w:rPr>
          <w:w w:val="105"/>
          <w:sz w:val="19"/>
        </w:rPr>
        <w:t>3.  </w:t>
      </w:r>
      <w:r>
        <w:rPr>
          <w:w w:val="105"/>
          <w:sz w:val="20"/>
        </w:rPr>
        <w:t>(a) </w:t>
      </w:r>
      <w:r>
        <w:rPr>
          <w:rFonts w:ascii="Arial"/>
          <w:i/>
          <w:w w:val="105"/>
          <w:sz w:val="19"/>
        </w:rPr>
        <w:t>s (x </w:t>
      </w:r>
      <w:r>
        <w:rPr>
          <w:rFonts w:ascii="Arial"/>
          <w:i/>
          <w:sz w:val="19"/>
        </w:rPr>
        <w:t>) </w:t>
      </w:r>
      <w:r>
        <w:rPr>
          <w:w w:val="105"/>
          <w:sz w:val="23"/>
        </w:rPr>
        <w:t>= </w:t>
      </w:r>
      <w:r>
        <w:rPr>
          <w:rFonts w:ascii="Arial"/>
          <w:w w:val="105"/>
          <w:sz w:val="24"/>
        </w:rPr>
        <w:t>%</w:t>
      </w:r>
      <w:r>
        <w:rPr>
          <w:rFonts w:ascii="Arial"/>
          <w:w w:val="105"/>
          <w:position w:val="-4"/>
          <w:sz w:val="15"/>
        </w:rPr>
        <w:t>8 </w:t>
      </w:r>
      <w:r>
        <w:rPr>
          <w:w w:val="105"/>
          <w:sz w:val="19"/>
        </w:rPr>
        <w:t>(98 </w:t>
      </w:r>
      <w:r>
        <w:rPr>
          <w:w w:val="265"/>
          <w:sz w:val="19"/>
        </w:rPr>
        <w:t>- </w:t>
      </w:r>
      <w:r>
        <w:rPr>
          <w:rFonts w:ascii="Arial"/>
          <w:i/>
          <w:w w:val="105"/>
          <w:sz w:val="19"/>
        </w:rPr>
        <w:t>x )</w:t>
      </w:r>
    </w:p>
    <w:p>
      <w:pPr>
        <w:spacing w:line="122" w:lineRule="exact" w:before="65"/>
        <w:ind w:left="286" w:right="1682" w:firstLine="0"/>
        <w:jc w:val="center"/>
        <w:rPr>
          <w:rFonts w:ascii="Arial"/>
          <w:i/>
          <w:sz w:val="15"/>
        </w:rPr>
      </w:pPr>
      <w:r>
        <w:rPr>
          <w:rFonts w:ascii="Arial"/>
          <w:i/>
          <w:w w:val="90"/>
          <w:sz w:val="15"/>
        </w:rPr>
        <w:t>x21a</w:t>
      </w:r>
    </w:p>
    <w:p>
      <w:pPr>
        <w:spacing w:after="0" w:line="122" w:lineRule="exact"/>
        <w:jc w:val="center"/>
        <w:rPr>
          <w:rFonts w:ascii="Arial"/>
          <w:sz w:val="15"/>
        </w:rPr>
        <w:sectPr>
          <w:type w:val="continuous"/>
          <w:pgSz w:w="7200" w:h="11340"/>
          <w:pgMar w:top="1100" w:bottom="0" w:left="740" w:right="980"/>
        </w:sectPr>
      </w:pPr>
    </w:p>
    <w:p>
      <w:pPr>
        <w:spacing w:line="210" w:lineRule="exact" w:before="0"/>
        <w:ind w:left="200" w:right="0" w:firstLine="0"/>
        <w:jc w:val="left"/>
        <w:rPr>
          <w:sz w:val="20"/>
        </w:rPr>
      </w:pPr>
      <w:r>
        <w:rPr>
          <w:w w:val="105"/>
          <w:sz w:val="20"/>
        </w:rPr>
        <w:t>4.  (d) </w:t>
      </w:r>
      <w:r>
        <w:rPr>
          <w:rFonts w:ascii="Arial"/>
          <w:i/>
          <w:w w:val="105"/>
          <w:sz w:val="19"/>
        </w:rPr>
        <w:t>s( x ) </w:t>
      </w:r>
      <w:r>
        <w:rPr>
          <w:w w:val="105"/>
          <w:sz w:val="26"/>
        </w:rPr>
        <w:t>= </w:t>
      </w:r>
      <w:r>
        <w:rPr>
          <w:w w:val="125"/>
          <w:sz w:val="20"/>
        </w:rPr>
        <w:t>1 </w:t>
      </w:r>
      <w:r>
        <w:rPr>
          <w:w w:val="260"/>
          <w:sz w:val="20"/>
        </w:rPr>
        <w:t>-</w:t>
      </w:r>
    </w:p>
    <w:p>
      <w:pPr>
        <w:pStyle w:val="BodyText"/>
        <w:spacing w:line="175" w:lineRule="exact"/>
        <w:jc w:val="right"/>
      </w:pPr>
      <w:r>
        <w:rPr/>
        <w:pict>
          <v:shape style="position:absolute;margin-left:45.26894pt;margin-top:3.262011pt;width:129.8pt;height:119.3pt;mso-position-horizontal-relative:page;mso-position-vertical-relative:paragraph;z-index:2737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691"/>
                    <w:gridCol w:w="1071"/>
                    <w:gridCol w:w="835"/>
                  </w:tblGrid>
                  <w:tr>
                    <w:trPr>
                      <w:trHeight w:val="545" w:hRule="exact"/>
                    </w:trPr>
                    <w:tc>
                      <w:tcPr>
                        <w:tcW w:w="691" w:type="dxa"/>
                      </w:tcPr>
                      <w:p>
                        <w:pPr>
                          <w:pStyle w:val="TableParagraph"/>
                          <w:spacing w:before="4"/>
                          <w:rPr>
                            <w:rFonts w:ascii="Times New Roman"/>
                            <w:b/>
                            <w:sz w:val="19"/>
                          </w:rPr>
                        </w:pPr>
                      </w:p>
                      <w:p>
                        <w:pPr>
                          <w:pStyle w:val="TableParagraph"/>
                          <w:ind w:right="38"/>
                          <w:jc w:val="right"/>
                          <w:rPr>
                            <w:rFonts w:ascii="Arial"/>
                            <w:sz w:val="17"/>
                          </w:rPr>
                        </w:pPr>
                        <w:r>
                          <w:rPr>
                            <w:rFonts w:ascii="Times New Roman"/>
                            <w:w w:val="115"/>
                            <w:sz w:val="20"/>
                          </w:rPr>
                          <w:t>5. </w:t>
                        </w:r>
                        <w:r>
                          <w:rPr>
                            <w:rFonts w:ascii="Times New Roman"/>
                            <w:sz w:val="21"/>
                          </w:rPr>
                          <w:t>lo </w:t>
                        </w:r>
                        <w:r>
                          <w:rPr>
                            <w:rFonts w:ascii="Arial"/>
                            <w:w w:val="145"/>
                            <w:sz w:val="17"/>
                          </w:rPr>
                          <w:t>=</w:t>
                        </w:r>
                      </w:p>
                    </w:tc>
                    <w:tc>
                      <w:tcPr>
                        <w:tcW w:w="1071" w:type="dxa"/>
                      </w:tcPr>
                      <w:p>
                        <w:pPr>
                          <w:pStyle w:val="TableParagraph"/>
                          <w:rPr>
                            <w:rFonts w:ascii="Times New Roman"/>
                            <w:b/>
                            <w:sz w:val="21"/>
                          </w:rPr>
                        </w:pPr>
                      </w:p>
                      <w:p>
                        <w:pPr>
                          <w:pStyle w:val="TableParagraph"/>
                          <w:ind w:left="40"/>
                          <w:rPr>
                            <w:rFonts w:ascii="Times New Roman"/>
                            <w:b/>
                            <w:sz w:val="19"/>
                          </w:rPr>
                        </w:pPr>
                        <w:r>
                          <w:rPr>
                            <w:rFonts w:ascii="Times New Roman"/>
                            <w:b/>
                            <w:w w:val="105"/>
                            <w:sz w:val="19"/>
                          </w:rPr>
                          <w:t>100,000</w:t>
                        </w:r>
                      </w:p>
                    </w:tc>
                    <w:tc>
                      <w:tcPr>
                        <w:tcW w:w="835" w:type="dxa"/>
                        <w:tcBorders>
                          <w:top w:val="single" w:sz="53" w:space="0" w:color="000000"/>
                        </w:tcBorders>
                      </w:tcPr>
                      <w:p>
                        <w:pPr>
                          <w:pStyle w:val="TableParagraph"/>
                          <w:spacing w:before="139"/>
                          <w:ind w:right="40"/>
                          <w:jc w:val="right"/>
                          <w:rPr>
                            <w:rFonts w:ascii="Arial"/>
                            <w:sz w:val="20"/>
                          </w:rPr>
                        </w:pPr>
                        <w:r>
                          <w:rPr>
                            <w:rFonts w:ascii="Times New Roman"/>
                            <w:w w:val="95"/>
                            <w:sz w:val="24"/>
                          </w:rPr>
                          <w:t>do = </w:t>
                        </w:r>
                        <w:r>
                          <w:rPr>
                            <w:rFonts w:ascii="Arial"/>
                            <w:w w:val="95"/>
                            <w:sz w:val="20"/>
                          </w:rPr>
                          <w:t>505</w:t>
                        </w:r>
                      </w:p>
                    </w:tc>
                  </w:tr>
                  <w:tr>
                    <w:trPr>
                      <w:trHeight w:val="346" w:hRule="exact"/>
                    </w:trPr>
                    <w:tc>
                      <w:tcPr>
                        <w:tcW w:w="691" w:type="dxa"/>
                      </w:tcPr>
                      <w:p>
                        <w:pPr>
                          <w:pStyle w:val="TableParagraph"/>
                          <w:spacing w:before="44"/>
                          <w:ind w:right="43"/>
                          <w:jc w:val="right"/>
                          <w:rPr>
                            <w:rFonts w:ascii="Arial"/>
                            <w:sz w:val="17"/>
                          </w:rPr>
                        </w:pPr>
                        <w:r>
                          <w:rPr>
                            <w:rFonts w:ascii="Times New Roman"/>
                            <w:w w:val="110"/>
                            <w:sz w:val="21"/>
                          </w:rPr>
                          <w:t>l1 </w:t>
                        </w:r>
                        <w:r>
                          <w:rPr>
                            <w:rFonts w:ascii="Arial"/>
                            <w:w w:val="140"/>
                            <w:sz w:val="17"/>
                          </w:rPr>
                          <w:t>=</w:t>
                        </w:r>
                      </w:p>
                    </w:tc>
                    <w:tc>
                      <w:tcPr>
                        <w:tcW w:w="1071" w:type="dxa"/>
                      </w:tcPr>
                      <w:p>
                        <w:pPr>
                          <w:pStyle w:val="TableParagraph"/>
                          <w:spacing w:before="47"/>
                          <w:ind w:left="126"/>
                          <w:rPr>
                            <w:rFonts w:ascii="Times New Roman"/>
                            <w:sz w:val="20"/>
                          </w:rPr>
                        </w:pPr>
                        <w:r>
                          <w:rPr>
                            <w:rFonts w:ascii="Times New Roman"/>
                            <w:sz w:val="20"/>
                          </w:rPr>
                          <w:t>99,495</w:t>
                        </w:r>
                      </w:p>
                    </w:tc>
                    <w:tc>
                      <w:tcPr>
                        <w:tcW w:w="835" w:type="dxa"/>
                      </w:tcPr>
                      <w:p>
                        <w:pPr>
                          <w:pStyle w:val="TableParagraph"/>
                          <w:spacing w:before="41"/>
                          <w:ind w:right="33"/>
                          <w:jc w:val="right"/>
                          <w:rPr>
                            <w:rFonts w:ascii="Times New Roman"/>
                            <w:sz w:val="19"/>
                          </w:rPr>
                        </w:pPr>
                        <w:r>
                          <w:rPr>
                            <w:rFonts w:ascii="Times New Roman"/>
                            <w:sz w:val="21"/>
                          </w:rPr>
                          <w:t>d1 </w:t>
                        </w:r>
                        <w:r>
                          <w:rPr>
                            <w:rFonts w:ascii="Arial"/>
                            <w:w w:val="130"/>
                            <w:sz w:val="18"/>
                          </w:rPr>
                          <w:t>= </w:t>
                        </w:r>
                        <w:r>
                          <w:rPr>
                            <w:rFonts w:ascii="Times New Roman"/>
                            <w:w w:val="115"/>
                            <w:sz w:val="19"/>
                          </w:rPr>
                          <w:t>515</w:t>
                        </w:r>
                      </w:p>
                    </w:tc>
                  </w:tr>
                  <w:tr>
                    <w:trPr>
                      <w:trHeight w:val="364" w:hRule="exact"/>
                    </w:trPr>
                    <w:tc>
                      <w:tcPr>
                        <w:tcW w:w="691" w:type="dxa"/>
                      </w:tcPr>
                      <w:p>
                        <w:pPr>
                          <w:pStyle w:val="TableParagraph"/>
                          <w:spacing w:before="58"/>
                          <w:ind w:right="43"/>
                          <w:jc w:val="right"/>
                          <w:rPr>
                            <w:rFonts w:ascii="Arial"/>
                            <w:sz w:val="18"/>
                          </w:rPr>
                        </w:pPr>
                        <w:r>
                          <w:rPr>
                            <w:rFonts w:ascii="Times New Roman"/>
                            <w:i/>
                            <w:sz w:val="21"/>
                          </w:rPr>
                          <w:t>l2 </w:t>
                        </w:r>
                        <w:r>
                          <w:rPr>
                            <w:rFonts w:ascii="Arial"/>
                            <w:w w:val="130"/>
                            <w:sz w:val="18"/>
                          </w:rPr>
                          <w:t>=</w:t>
                        </w:r>
                      </w:p>
                    </w:tc>
                    <w:tc>
                      <w:tcPr>
                        <w:tcW w:w="1071" w:type="dxa"/>
                      </w:tcPr>
                      <w:p>
                        <w:pPr>
                          <w:pStyle w:val="TableParagraph"/>
                          <w:spacing w:before="73"/>
                          <w:ind w:left="123"/>
                          <w:rPr>
                            <w:rFonts w:ascii="Times New Roman"/>
                            <w:sz w:val="19"/>
                          </w:rPr>
                        </w:pPr>
                        <w:r>
                          <w:rPr>
                            <w:rFonts w:ascii="Times New Roman"/>
                            <w:w w:val="110"/>
                            <w:sz w:val="19"/>
                          </w:rPr>
                          <w:t>98,980</w:t>
                        </w:r>
                      </w:p>
                    </w:tc>
                    <w:tc>
                      <w:tcPr>
                        <w:tcW w:w="835" w:type="dxa"/>
                      </w:tcPr>
                      <w:p>
                        <w:pPr>
                          <w:pStyle w:val="TableParagraph"/>
                          <w:spacing w:before="33"/>
                          <w:ind w:right="40"/>
                          <w:jc w:val="right"/>
                          <w:rPr>
                            <w:rFonts w:ascii="Times New Roman"/>
                            <w:sz w:val="20"/>
                          </w:rPr>
                        </w:pPr>
                        <w:r>
                          <w:rPr>
                            <w:rFonts w:ascii="Times New Roman"/>
                            <w:w w:val="105"/>
                            <w:sz w:val="24"/>
                          </w:rPr>
                          <w:t>= </w:t>
                        </w:r>
                        <w:r>
                          <w:rPr>
                            <w:rFonts w:ascii="Times New Roman"/>
                            <w:w w:val="105"/>
                            <w:sz w:val="20"/>
                          </w:rPr>
                          <w:t>525</w:t>
                        </w:r>
                      </w:p>
                    </w:tc>
                  </w:tr>
                  <w:tr>
                    <w:trPr>
                      <w:trHeight w:val="357" w:hRule="exact"/>
                    </w:trPr>
                    <w:tc>
                      <w:tcPr>
                        <w:tcW w:w="691" w:type="dxa"/>
                      </w:tcPr>
                      <w:p>
                        <w:pPr>
                          <w:pStyle w:val="TableParagraph"/>
                          <w:spacing w:before="49"/>
                          <w:ind w:right="38"/>
                          <w:jc w:val="right"/>
                          <w:rPr>
                            <w:rFonts w:ascii="Arial"/>
                            <w:sz w:val="17"/>
                          </w:rPr>
                        </w:pPr>
                        <w:r>
                          <w:rPr>
                            <w:rFonts w:ascii="Times New Roman"/>
                            <w:w w:val="115"/>
                            <w:sz w:val="20"/>
                          </w:rPr>
                          <w:t>6. </w:t>
                        </w:r>
                        <w:r>
                          <w:rPr>
                            <w:rFonts w:ascii="Times New Roman"/>
                            <w:sz w:val="21"/>
                          </w:rPr>
                          <w:t>lo </w:t>
                        </w:r>
                        <w:r>
                          <w:rPr>
                            <w:rFonts w:ascii="Arial"/>
                            <w:w w:val="145"/>
                            <w:sz w:val="17"/>
                          </w:rPr>
                          <w:t>=</w:t>
                        </w:r>
                      </w:p>
                    </w:tc>
                    <w:tc>
                      <w:tcPr>
                        <w:tcW w:w="1071" w:type="dxa"/>
                      </w:tcPr>
                      <w:p>
                        <w:pPr>
                          <w:pStyle w:val="TableParagraph"/>
                          <w:spacing w:before="68"/>
                          <w:ind w:left="44"/>
                          <w:rPr>
                            <w:rFonts w:ascii="Times New Roman"/>
                            <w:b/>
                            <w:sz w:val="19"/>
                          </w:rPr>
                        </w:pPr>
                        <w:r>
                          <w:rPr>
                            <w:rFonts w:ascii="Times New Roman"/>
                            <w:b/>
                            <w:w w:val="105"/>
                            <w:sz w:val="19"/>
                          </w:rPr>
                          <w:t>10,000</w:t>
                        </w:r>
                      </w:p>
                    </w:tc>
                    <w:tc>
                      <w:tcPr>
                        <w:tcW w:w="835" w:type="dxa"/>
                      </w:tcPr>
                      <w:p>
                        <w:pPr>
                          <w:pStyle w:val="TableParagraph"/>
                          <w:spacing w:before="29"/>
                          <w:ind w:right="39"/>
                          <w:jc w:val="right"/>
                          <w:rPr>
                            <w:rFonts w:ascii="Times New Roman"/>
                            <w:sz w:val="19"/>
                          </w:rPr>
                        </w:pPr>
                        <w:r>
                          <w:rPr>
                            <w:rFonts w:ascii="Times New Roman"/>
                            <w:sz w:val="24"/>
                          </w:rPr>
                          <w:t>do = </w:t>
                        </w:r>
                        <w:r>
                          <w:rPr>
                            <w:rFonts w:ascii="Times New Roman"/>
                            <w:spacing w:val="-12"/>
                            <w:sz w:val="19"/>
                          </w:rPr>
                          <w:t>110</w:t>
                        </w:r>
                      </w:p>
                    </w:tc>
                  </w:tr>
                  <w:tr>
                    <w:trPr>
                      <w:trHeight w:val="375" w:hRule="exact"/>
                    </w:trPr>
                    <w:tc>
                      <w:tcPr>
                        <w:tcW w:w="691" w:type="dxa"/>
                      </w:tcPr>
                      <w:p>
                        <w:pPr>
                          <w:pStyle w:val="TableParagraph"/>
                          <w:spacing w:before="23"/>
                          <w:ind w:right="62"/>
                          <w:jc w:val="right"/>
                          <w:rPr>
                            <w:rFonts w:ascii="Times New Roman"/>
                            <w:sz w:val="26"/>
                          </w:rPr>
                        </w:pPr>
                        <w:r>
                          <w:rPr>
                            <w:rFonts w:ascii="Times New Roman"/>
                            <w:b/>
                            <w:w w:val="90"/>
                            <w:sz w:val="22"/>
                          </w:rPr>
                          <w:t>l1 </w:t>
                        </w:r>
                        <w:r>
                          <w:rPr>
                            <w:rFonts w:ascii="Times New Roman"/>
                            <w:w w:val="90"/>
                            <w:sz w:val="26"/>
                          </w:rPr>
                          <w:t>=</w:t>
                        </w:r>
                      </w:p>
                    </w:tc>
                    <w:tc>
                      <w:tcPr>
                        <w:tcW w:w="1071" w:type="dxa"/>
                      </w:tcPr>
                      <w:p>
                        <w:pPr>
                          <w:pStyle w:val="TableParagraph"/>
                          <w:spacing w:before="74"/>
                          <w:ind w:left="130"/>
                          <w:rPr>
                            <w:rFonts w:ascii="Times New Roman"/>
                            <w:sz w:val="19"/>
                          </w:rPr>
                        </w:pPr>
                        <w:r>
                          <w:rPr>
                            <w:rFonts w:ascii="Times New Roman"/>
                            <w:w w:val="105"/>
                            <w:sz w:val="19"/>
                          </w:rPr>
                          <w:t>9,890</w:t>
                        </w:r>
                      </w:p>
                    </w:tc>
                    <w:tc>
                      <w:tcPr>
                        <w:tcW w:w="835" w:type="dxa"/>
                      </w:tcPr>
                      <w:p>
                        <w:pPr>
                          <w:pStyle w:val="TableParagraph"/>
                          <w:spacing w:before="38"/>
                          <w:ind w:right="49"/>
                          <w:jc w:val="right"/>
                          <w:rPr>
                            <w:rFonts w:ascii="Times New Roman"/>
                            <w:sz w:val="20"/>
                          </w:rPr>
                        </w:pPr>
                        <w:r>
                          <w:rPr>
                            <w:rFonts w:ascii="Times New Roman"/>
                            <w:b/>
                            <w:sz w:val="22"/>
                          </w:rPr>
                          <w:t>d1 </w:t>
                        </w:r>
                        <w:r>
                          <w:rPr>
                            <w:rFonts w:ascii="Times New Roman"/>
                            <w:sz w:val="24"/>
                          </w:rPr>
                          <w:t>=  </w:t>
                        </w:r>
                        <w:r>
                          <w:rPr>
                            <w:rFonts w:ascii="Times New Roman"/>
                            <w:position w:val="1"/>
                            <w:sz w:val="20"/>
                          </w:rPr>
                          <w:t>49</w:t>
                        </w:r>
                      </w:p>
                    </w:tc>
                  </w:tr>
                  <w:tr>
                    <w:trPr>
                      <w:trHeight w:val="398" w:hRule="exact"/>
                    </w:trPr>
                    <w:tc>
                      <w:tcPr>
                        <w:tcW w:w="691" w:type="dxa"/>
                      </w:tcPr>
                      <w:p>
                        <w:pPr>
                          <w:pStyle w:val="TableParagraph"/>
                          <w:spacing w:before="36"/>
                          <w:ind w:right="69"/>
                          <w:jc w:val="right"/>
                          <w:rPr>
                            <w:rFonts w:ascii="Times New Roman"/>
                            <w:sz w:val="23"/>
                          </w:rPr>
                        </w:pPr>
                        <w:r>
                          <w:rPr>
                            <w:rFonts w:ascii="Arial"/>
                            <w:w w:val="80"/>
                            <w:sz w:val="18"/>
                          </w:rPr>
                          <w:t>Z2 </w:t>
                        </w:r>
                        <w:r>
                          <w:rPr>
                            <w:rFonts w:ascii="Times New Roman"/>
                            <w:w w:val="90"/>
                            <w:sz w:val="23"/>
                          </w:rPr>
                          <w:t>=</w:t>
                        </w:r>
                      </w:p>
                    </w:tc>
                    <w:tc>
                      <w:tcPr>
                        <w:tcW w:w="1071" w:type="dxa"/>
                      </w:tcPr>
                      <w:p>
                        <w:pPr>
                          <w:pStyle w:val="TableParagraph"/>
                          <w:spacing w:before="59"/>
                          <w:ind w:left="126"/>
                          <w:rPr>
                            <w:rFonts w:ascii="Times New Roman"/>
                            <w:sz w:val="19"/>
                          </w:rPr>
                        </w:pPr>
                        <w:r>
                          <w:rPr>
                            <w:rFonts w:ascii="Times New Roman"/>
                            <w:w w:val="105"/>
                            <w:sz w:val="19"/>
                          </w:rPr>
                          <w:t>9,841</w:t>
                        </w:r>
                      </w:p>
                    </w:tc>
                    <w:tc>
                      <w:tcPr>
                        <w:tcW w:w="835" w:type="dxa"/>
                      </w:tcPr>
                      <w:p>
                        <w:pPr>
                          <w:pStyle w:val="TableParagraph"/>
                          <w:spacing w:before="27"/>
                          <w:ind w:right="45"/>
                          <w:jc w:val="right"/>
                          <w:rPr>
                            <w:rFonts w:ascii="Times New Roman"/>
                            <w:sz w:val="19"/>
                          </w:rPr>
                        </w:pPr>
                        <w:r>
                          <w:rPr>
                            <w:rFonts w:ascii="Arial"/>
                            <w:b/>
                            <w:i/>
                            <w:w w:val="95"/>
                            <w:sz w:val="20"/>
                          </w:rPr>
                          <w:t>d2 </w:t>
                        </w:r>
                        <w:r>
                          <w:rPr>
                            <w:rFonts w:ascii="Times New Roman"/>
                            <w:sz w:val="24"/>
                          </w:rPr>
                          <w:t>=   </w:t>
                        </w:r>
                        <w:r>
                          <w:rPr>
                            <w:rFonts w:ascii="Times New Roman"/>
                            <w:position w:val="1"/>
                            <w:sz w:val="19"/>
                          </w:rPr>
                          <w:t>30</w:t>
                        </w:r>
                      </w:p>
                    </w:tc>
                  </w:tr>
                </w:tbl>
                <w:p>
                  <w:pPr>
                    <w:pStyle w:val="BodyText"/>
                  </w:pPr>
                </w:p>
              </w:txbxContent>
            </v:textbox>
            <w10:wrap type="none"/>
          </v:shape>
        </w:pict>
      </w:r>
      <w:r>
        <w:rPr/>
        <w:t>25</w:t>
      </w:r>
    </w:p>
    <w:p>
      <w:pPr>
        <w:tabs>
          <w:tab w:pos="494" w:val="left" w:leader="none"/>
        </w:tabs>
        <w:spacing w:line="265" w:lineRule="exact" w:before="0"/>
        <w:ind w:left="57" w:right="0" w:firstLine="0"/>
        <w:jc w:val="left"/>
        <w:rPr>
          <w:sz w:val="20"/>
        </w:rPr>
      </w:pPr>
      <w:r>
        <w:rPr/>
        <w:br w:type="column"/>
      </w:r>
      <w:r>
        <w:rPr>
          <w:w w:val="115"/>
          <w:sz w:val="20"/>
        </w:rPr>
        <w:t>,</w:t>
        <w:tab/>
      </w:r>
      <w:r>
        <w:rPr>
          <w:rFonts w:ascii="Arial"/>
          <w:i/>
          <w:w w:val="115"/>
          <w:sz w:val="15"/>
        </w:rPr>
        <w:t>w  </w:t>
      </w:r>
      <w:r>
        <w:rPr>
          <w:w w:val="115"/>
          <w:sz w:val="26"/>
        </w:rPr>
        <w:t>=</w:t>
      </w:r>
      <w:r>
        <w:rPr>
          <w:spacing w:val="-10"/>
          <w:w w:val="115"/>
          <w:sz w:val="26"/>
        </w:rPr>
        <w:t> </w:t>
      </w:r>
      <w:r>
        <w:rPr>
          <w:spacing w:val="-17"/>
          <w:w w:val="115"/>
          <w:sz w:val="20"/>
        </w:rPr>
        <w:t>125</w:t>
      </w:r>
    </w:p>
    <w:p>
      <w:pPr>
        <w:spacing w:after="0" w:line="265" w:lineRule="exact"/>
        <w:jc w:val="left"/>
        <w:rPr>
          <w:sz w:val="20"/>
        </w:rPr>
        <w:sectPr>
          <w:type w:val="continuous"/>
          <w:pgSz w:w="7200" w:h="11340"/>
          <w:pgMar w:top="1100" w:bottom="0" w:left="740" w:right="980"/>
          <w:cols w:num="2" w:equalWidth="0">
            <w:col w:w="2153" w:space="40"/>
            <w:col w:w="328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9"/>
        </w:rPr>
      </w:pPr>
    </w:p>
    <w:p>
      <w:pPr>
        <w:spacing w:line="198" w:lineRule="exact" w:before="1"/>
        <w:ind w:left="286" w:right="3665" w:firstLine="0"/>
        <w:jc w:val="center"/>
        <w:rPr>
          <w:sz w:val="19"/>
        </w:rPr>
      </w:pPr>
      <w:r>
        <w:rPr/>
        <w:pict>
          <v:shape style="position:absolute;margin-left:47.01894pt;margin-top:6.180023pt;width:5.1pt;height:11pt;mso-position-horizontal-relative:page;mso-position-vertical-relative:paragraph;z-index:-708712" type="#_x0000_t202" filled="false" stroked="false">
            <v:textbox inset="0,0,0,0">
              <w:txbxContent>
                <w:p>
                  <w:pPr>
                    <w:spacing w:line="220" w:lineRule="exact" w:before="0"/>
                    <w:ind w:left="0" w:right="0" w:firstLine="0"/>
                    <w:jc w:val="left"/>
                    <w:rPr>
                      <w:sz w:val="22"/>
                    </w:rPr>
                  </w:pPr>
                  <w:r>
                    <w:rPr>
                      <w:w w:val="92"/>
                      <w:sz w:val="22"/>
                    </w:rPr>
                    <w:t>7</w:t>
                  </w:r>
                </w:p>
              </w:txbxContent>
            </v:textbox>
            <w10:wrap type="none"/>
          </v:shape>
        </w:pict>
      </w:r>
      <w:r>
        <w:rPr>
          <w:w w:val="105"/>
          <w:sz w:val="19"/>
        </w:rPr>
        <w:t>65,834</w:t>
      </w:r>
    </w:p>
    <w:p>
      <w:pPr>
        <w:spacing w:line="232" w:lineRule="exact" w:before="0"/>
        <w:ind w:left="283" w:right="4135" w:firstLine="0"/>
        <w:jc w:val="center"/>
        <w:rPr>
          <w:sz w:val="19"/>
        </w:rPr>
      </w:pPr>
      <w:r>
        <w:rPr>
          <w:w w:val="110"/>
          <w:sz w:val="22"/>
        </w:rPr>
        <w:t>· </w:t>
      </w:r>
      <w:r>
        <w:rPr>
          <w:w w:val="110"/>
          <w:sz w:val="20"/>
        </w:rPr>
        <w:t>(a) </w:t>
      </w:r>
      <w:r>
        <w:rPr>
          <w:w w:val="110"/>
          <w:sz w:val="19"/>
          <w:u w:val="thick"/>
        </w:rPr>
        <w:t>93,589</w:t>
      </w:r>
    </w:p>
    <w:p>
      <w:pPr>
        <w:spacing w:before="161"/>
        <w:ind w:left="451" w:right="0" w:firstLine="0"/>
        <w:jc w:val="left"/>
        <w:rPr>
          <w:rFonts w:ascii="Arial"/>
          <w:sz w:val="19"/>
        </w:rPr>
      </w:pPr>
      <w:r>
        <w:rPr>
          <w:w w:val="120"/>
          <w:sz w:val="20"/>
        </w:rPr>
        <w:t>(b)  1 </w:t>
      </w:r>
      <w:r>
        <w:rPr>
          <w:w w:val="255"/>
          <w:sz w:val="20"/>
        </w:rPr>
        <w:t>-</w:t>
      </w:r>
      <w:r>
        <w:rPr>
          <w:spacing w:val="-69"/>
          <w:w w:val="255"/>
          <w:sz w:val="20"/>
        </w:rPr>
        <w:t> </w:t>
      </w:r>
      <w:r>
        <w:rPr>
          <w:rFonts w:ascii="Arial"/>
          <w:w w:val="120"/>
          <w:sz w:val="19"/>
        </w:rPr>
        <w:t>(a)</w:t>
      </w:r>
    </w:p>
    <w:p>
      <w:pPr>
        <w:pStyle w:val="BodyText"/>
        <w:spacing w:line="216" w:lineRule="exact" w:before="136"/>
        <w:ind w:left="286" w:right="3652"/>
        <w:jc w:val="center"/>
      </w:pPr>
      <w:r>
        <w:rPr>
          <w:w w:val="105"/>
        </w:rPr>
        <w:t>2,136</w:t>
      </w:r>
    </w:p>
    <w:p>
      <w:pPr>
        <w:spacing w:line="197" w:lineRule="exact" w:before="0"/>
        <w:ind w:left="444" w:right="0" w:firstLine="0"/>
        <w:jc w:val="left"/>
        <w:rPr>
          <w:sz w:val="19"/>
        </w:rPr>
      </w:pPr>
      <w:r>
        <w:rPr>
          <w:w w:val="115"/>
          <w:sz w:val="20"/>
        </w:rPr>
        <w:t>(e) </w:t>
      </w:r>
      <w:r>
        <w:rPr>
          <w:w w:val="115"/>
          <w:sz w:val="19"/>
          <w:u w:val="thick"/>
        </w:rPr>
        <w:t>93 589</w:t>
      </w:r>
    </w:p>
    <w:p>
      <w:pPr>
        <w:spacing w:line="85" w:lineRule="exact" w:before="0"/>
        <w:ind w:left="0" w:right="3478" w:firstLine="0"/>
        <w:jc w:val="center"/>
        <w:rPr>
          <w:rFonts w:ascii="Arial"/>
          <w:b/>
          <w:sz w:val="9"/>
        </w:rPr>
      </w:pPr>
      <w:r>
        <w:rPr>
          <w:rFonts w:ascii="Arial"/>
          <w:b/>
          <w:w w:val="84"/>
          <w:sz w:val="9"/>
        </w:rPr>
        <w:t>J</w:t>
      </w:r>
    </w:p>
    <w:p>
      <w:pPr>
        <w:pStyle w:val="BodyText"/>
        <w:spacing w:before="7"/>
        <w:rPr>
          <w:rFonts w:ascii="Arial"/>
          <w:b/>
          <w:sz w:val="11"/>
        </w:rPr>
      </w:pPr>
    </w:p>
    <w:p>
      <w:pPr>
        <w:spacing w:before="1"/>
        <w:ind w:left="451" w:right="0" w:firstLine="0"/>
        <w:jc w:val="left"/>
        <w:rPr>
          <w:sz w:val="19"/>
        </w:rPr>
      </w:pPr>
      <w:r>
        <w:rPr>
          <w:w w:val="115"/>
          <w:sz w:val="19"/>
        </w:rPr>
        <w:t>( d) </w:t>
      </w:r>
      <w:r>
        <w:rPr>
          <w:w w:val="115"/>
          <w:sz w:val="19"/>
          <w:u w:val="single"/>
        </w:rPr>
        <w:t>82,463 </w:t>
      </w:r>
      <w:r>
        <w:rPr>
          <w:w w:val="275"/>
          <w:sz w:val="19"/>
          <w:u w:val="single"/>
        </w:rPr>
        <w:t>-</w:t>
      </w:r>
      <w:r>
        <w:rPr>
          <w:spacing w:val="-62"/>
          <w:w w:val="275"/>
          <w:sz w:val="19"/>
          <w:u w:val="single"/>
        </w:rPr>
        <w:t> </w:t>
      </w:r>
      <w:r>
        <w:rPr>
          <w:w w:val="115"/>
          <w:sz w:val="19"/>
          <w:u w:val="single"/>
        </w:rPr>
        <w:t>65,834</w:t>
      </w:r>
    </w:p>
    <w:p>
      <w:pPr>
        <w:spacing w:before="8"/>
        <w:ind w:left="1205" w:right="0" w:firstLine="0"/>
        <w:jc w:val="left"/>
        <w:rPr>
          <w:sz w:val="19"/>
        </w:rPr>
      </w:pPr>
      <w:r>
        <w:rPr>
          <w:w w:val="105"/>
          <w:sz w:val="19"/>
        </w:rPr>
        <w:t>93,589</w:t>
      </w:r>
    </w:p>
    <w:p>
      <w:pPr>
        <w:spacing w:before="113"/>
        <w:ind w:left="480" w:right="0" w:firstLine="0"/>
        <w:jc w:val="left"/>
        <w:rPr>
          <w:rFonts w:ascii="Arial"/>
          <w:sz w:val="19"/>
        </w:rPr>
      </w:pPr>
      <w:r>
        <w:rPr>
          <w:w w:val="120"/>
          <w:sz w:val="20"/>
        </w:rPr>
        <w:t>(e) </w:t>
      </w:r>
      <w:r>
        <w:rPr>
          <w:rFonts w:ascii="Arial"/>
          <w:w w:val="155"/>
          <w:sz w:val="19"/>
        </w:rPr>
        <w:t>1 </w:t>
      </w:r>
      <w:r>
        <w:rPr>
          <w:rFonts w:ascii="Arial"/>
          <w:w w:val="240"/>
          <w:sz w:val="19"/>
        </w:rPr>
        <w:t>-</w:t>
      </w:r>
      <w:r>
        <w:rPr>
          <w:rFonts w:ascii="Arial"/>
          <w:spacing w:val="-59"/>
          <w:w w:val="240"/>
          <w:sz w:val="19"/>
        </w:rPr>
        <w:t> </w:t>
      </w:r>
      <w:r>
        <w:rPr>
          <w:rFonts w:ascii="Arial"/>
          <w:w w:val="120"/>
          <w:sz w:val="19"/>
        </w:rPr>
        <w:t>(d)</w:t>
      </w:r>
    </w:p>
    <w:p>
      <w:pPr>
        <w:pStyle w:val="ListParagraph"/>
        <w:numPr>
          <w:ilvl w:val="0"/>
          <w:numId w:val="153"/>
        </w:numPr>
        <w:tabs>
          <w:tab w:pos="445" w:val="left" w:leader="none"/>
        </w:tabs>
        <w:spacing w:line="240" w:lineRule="auto" w:before="73" w:after="0"/>
        <w:ind w:left="444" w:right="0" w:hanging="251"/>
        <w:jc w:val="left"/>
        <w:rPr>
          <w:sz w:val="19"/>
        </w:rPr>
      </w:pPr>
      <w:r>
        <w:rPr>
          <w:rFonts w:ascii="Arial"/>
          <w:sz w:val="15"/>
        </w:rPr>
        <w:t>/J:i: </w:t>
      </w:r>
      <w:r>
        <w:rPr>
          <w:w w:val="110"/>
          <w:sz w:val="26"/>
        </w:rPr>
        <w:t>= </w:t>
      </w:r>
      <w:r>
        <w:rPr>
          <w:w w:val="120"/>
          <w:sz w:val="26"/>
        </w:rPr>
        <w:t>-</w:t>
      </w:r>
      <w:r>
        <w:rPr>
          <w:w w:val="120"/>
          <w:sz w:val="19"/>
        </w:rPr>
        <w:t>log </w:t>
      </w:r>
      <w:r>
        <w:rPr>
          <w:i/>
          <w:w w:val="120"/>
          <w:sz w:val="19"/>
        </w:rPr>
        <w:t>s </w:t>
      </w:r>
      <w:r>
        <w:rPr>
          <w:w w:val="255"/>
          <w:sz w:val="19"/>
        </w:rPr>
        <w:t>- </w:t>
      </w:r>
      <w:r>
        <w:rPr>
          <w:i/>
          <w:w w:val="110"/>
          <w:sz w:val="19"/>
        </w:rPr>
        <w:t>2x </w:t>
      </w:r>
      <w:r>
        <w:rPr>
          <w:w w:val="110"/>
          <w:sz w:val="19"/>
        </w:rPr>
        <w:t>log </w:t>
      </w:r>
      <w:r>
        <w:rPr>
          <w:rFonts w:ascii="Arial"/>
          <w:i/>
          <w:w w:val="120"/>
          <w:sz w:val="18"/>
        </w:rPr>
        <w:t>w </w:t>
      </w:r>
      <w:r>
        <w:rPr>
          <w:rFonts w:ascii="Arial"/>
          <w:w w:val="255"/>
          <w:sz w:val="18"/>
        </w:rPr>
        <w:t>-</w:t>
      </w:r>
      <w:r>
        <w:rPr>
          <w:rFonts w:ascii="Arial"/>
          <w:spacing w:val="-97"/>
          <w:w w:val="255"/>
          <w:sz w:val="18"/>
        </w:rPr>
        <w:t> </w:t>
      </w:r>
      <w:r>
        <w:rPr>
          <w:sz w:val="19"/>
        </w:rPr>
        <w:t>c:i: </w:t>
      </w:r>
      <w:r>
        <w:rPr>
          <w:w w:val="110"/>
          <w:sz w:val="19"/>
        </w:rPr>
        <w:t>log </w:t>
      </w:r>
      <w:r>
        <w:rPr>
          <w:rFonts w:ascii="Arial"/>
          <w:i/>
          <w:w w:val="110"/>
          <w:sz w:val="18"/>
        </w:rPr>
        <w:t>g </w:t>
      </w:r>
      <w:r>
        <w:rPr>
          <w:w w:val="110"/>
          <w:sz w:val="19"/>
        </w:rPr>
        <w:t>log </w:t>
      </w:r>
      <w:r>
        <w:rPr>
          <w:w w:val="120"/>
          <w:sz w:val="19"/>
        </w:rPr>
        <w:t>e</w:t>
      </w:r>
    </w:p>
    <w:p>
      <w:pPr>
        <w:pStyle w:val="ListParagraph"/>
        <w:numPr>
          <w:ilvl w:val="0"/>
          <w:numId w:val="153"/>
        </w:numPr>
        <w:tabs>
          <w:tab w:pos="445" w:val="left" w:leader="none"/>
        </w:tabs>
        <w:spacing w:line="240" w:lineRule="auto" w:before="95" w:after="0"/>
        <w:ind w:left="444" w:right="0" w:hanging="334"/>
        <w:jc w:val="left"/>
        <w:rPr>
          <w:rFonts w:ascii="Arial"/>
          <w:i/>
          <w:sz w:val="20"/>
        </w:rPr>
      </w:pPr>
      <w:r>
        <w:rPr>
          <w:i/>
          <w:sz w:val="20"/>
        </w:rPr>
        <w:t>lz</w:t>
      </w:r>
      <w:r>
        <w:rPr>
          <w:i/>
          <w:spacing w:val="5"/>
          <w:sz w:val="20"/>
        </w:rPr>
        <w:t> </w:t>
      </w:r>
      <w:r>
        <w:rPr>
          <w:w w:val="115"/>
          <w:sz w:val="23"/>
        </w:rPr>
        <w:t>=</w:t>
      </w:r>
      <w:r>
        <w:rPr>
          <w:spacing w:val="-3"/>
          <w:w w:val="115"/>
          <w:sz w:val="23"/>
        </w:rPr>
        <w:t> </w:t>
      </w:r>
      <w:r>
        <w:rPr>
          <w:b/>
          <w:sz w:val="21"/>
        </w:rPr>
        <w:t>k</w:t>
      </w:r>
      <w:r>
        <w:rPr>
          <w:b/>
          <w:spacing w:val="-27"/>
          <w:sz w:val="21"/>
        </w:rPr>
        <w:t> </w:t>
      </w:r>
      <w:r>
        <w:rPr>
          <w:b/>
          <w:sz w:val="21"/>
        </w:rPr>
        <w:t>(lOO</w:t>
      </w:r>
      <w:r>
        <w:rPr>
          <w:b/>
          <w:spacing w:val="9"/>
          <w:sz w:val="21"/>
        </w:rPr>
        <w:t> </w:t>
      </w:r>
      <w:r>
        <w:rPr>
          <w:w w:val="235"/>
          <w:sz w:val="21"/>
        </w:rPr>
        <w:t>-</w:t>
      </w:r>
      <w:r>
        <w:rPr>
          <w:spacing w:val="-92"/>
          <w:w w:val="235"/>
          <w:sz w:val="21"/>
        </w:rPr>
        <w:t> </w:t>
      </w:r>
      <w:r>
        <w:rPr>
          <w:rFonts w:ascii="Arial"/>
          <w:i/>
          <w:sz w:val="19"/>
        </w:rPr>
        <w:t>x</w:t>
      </w:r>
      <w:r>
        <w:rPr>
          <w:rFonts w:ascii="Arial"/>
          <w:i/>
          <w:spacing w:val="-27"/>
          <w:sz w:val="19"/>
        </w:rPr>
        <w:t> </w:t>
      </w:r>
      <w:r>
        <w:rPr>
          <w:rFonts w:ascii="Arial"/>
          <w:i/>
          <w:sz w:val="19"/>
        </w:rPr>
        <w:t>)</w:t>
      </w:r>
    </w:p>
    <w:p>
      <w:pPr>
        <w:pStyle w:val="BodyText"/>
        <w:spacing w:before="93"/>
        <w:ind w:left="114"/>
        <w:rPr>
          <w:sz w:val="12"/>
        </w:rPr>
      </w:pPr>
      <w:r>
        <w:rPr>
          <w:w w:val="110"/>
        </w:rPr>
        <w:t>12. </w:t>
      </w:r>
      <w:r>
        <w:rPr>
          <w:w w:val="140"/>
        </w:rPr>
        <w:t>1 </w:t>
      </w:r>
      <w:r>
        <w:rPr>
          <w:w w:val="240"/>
        </w:rPr>
        <w:t>-</w:t>
      </w:r>
      <w:r>
        <w:rPr>
          <w:spacing w:val="-84"/>
          <w:w w:val="240"/>
        </w:rPr>
        <w:t> </w:t>
      </w:r>
      <w:r>
        <w:rPr>
          <w:w w:val="110"/>
        </w:rPr>
        <w:t>.992 </w:t>
      </w:r>
      <w:r>
        <w:rPr>
          <w:i/>
          <w:w w:val="110"/>
        </w:rPr>
        <w:t>e</w:t>
      </w:r>
      <w:r>
        <w:rPr>
          <w:w w:val="110"/>
        </w:rPr>
        <w:t>-,</w:t>
      </w:r>
      <w:r>
        <w:rPr>
          <w:w w:val="110"/>
          <w:position w:val="9"/>
          <w:sz w:val="12"/>
        </w:rPr>
        <w:t>03</w:t>
      </w:r>
    </w:p>
    <w:p>
      <w:pPr>
        <w:pStyle w:val="BodyText"/>
        <w:spacing w:before="1"/>
        <w:rPr>
          <w:sz w:val="18"/>
        </w:rPr>
      </w:pPr>
    </w:p>
    <w:p>
      <w:pPr>
        <w:spacing w:before="0"/>
        <w:ind w:left="117" w:right="0" w:firstLine="0"/>
        <w:jc w:val="left"/>
        <w:rPr>
          <w:sz w:val="20"/>
        </w:rPr>
      </w:pPr>
      <w:r>
        <w:rPr/>
        <w:pict>
          <v:shape style="position:absolute;margin-left:90.269203pt;margin-top:8.702641pt;width:27.15pt;height:9.5pt;mso-position-horizontal-relative:page;mso-position-vertical-relative:paragraph;z-index:-708736" type="#_x0000_t202" filled="false" stroked="false">
            <v:textbox inset="0,0,0,0">
              <w:txbxContent>
                <w:p>
                  <w:pPr>
                    <w:spacing w:line="190" w:lineRule="exact" w:before="0"/>
                    <w:ind w:left="0" w:right="-8" w:firstLine="0"/>
                    <w:jc w:val="left"/>
                    <w:rPr>
                      <w:sz w:val="19"/>
                    </w:rPr>
                  </w:pPr>
                  <w:r>
                    <w:rPr>
                      <w:spacing w:val="-3"/>
                      <w:w w:val="105"/>
                      <w:sz w:val="19"/>
                      <w:u w:val="thick"/>
                    </w:rPr>
                    <w:t>95,106</w:t>
                  </w:r>
                </w:p>
              </w:txbxContent>
            </v:textbox>
            <w10:wrap type="none"/>
          </v:shape>
        </w:pict>
      </w:r>
      <w:r>
        <w:rPr>
          <w:w w:val="106"/>
          <w:position w:val="-5"/>
          <w:sz w:val="19"/>
        </w:rPr>
        <w:t>1</w:t>
      </w:r>
      <w:r>
        <w:rPr>
          <w:spacing w:val="-19"/>
          <w:w w:val="106"/>
          <w:position w:val="-5"/>
          <w:sz w:val="19"/>
        </w:rPr>
        <w:t>7</w:t>
      </w:r>
      <w:r>
        <w:rPr>
          <w:w w:val="144"/>
          <w:position w:val="-13"/>
          <w:sz w:val="19"/>
        </w:rPr>
        <w:t>·</w:t>
      </w:r>
      <w:r>
        <w:rPr>
          <w:spacing w:val="7"/>
          <w:position w:val="-13"/>
          <w:sz w:val="19"/>
        </w:rPr>
        <w:t> </w:t>
      </w:r>
      <w:r>
        <w:rPr>
          <w:w w:val="123"/>
          <w:position w:val="-13"/>
          <w:sz w:val="20"/>
        </w:rPr>
        <w:t>(</w:t>
      </w:r>
      <w:r>
        <w:rPr>
          <w:w w:val="123"/>
          <w:position w:val="-13"/>
          <w:sz w:val="20"/>
        </w:rPr>
        <w:t>a</w:t>
      </w:r>
      <w:r>
        <w:rPr>
          <w:w w:val="123"/>
          <w:position w:val="-13"/>
          <w:sz w:val="20"/>
        </w:rPr>
        <w:t>)</w:t>
      </w:r>
      <w:r>
        <w:rPr>
          <w:spacing w:val="5"/>
          <w:position w:val="-13"/>
          <w:sz w:val="20"/>
        </w:rPr>
        <w:t> </w:t>
      </w:r>
      <w:r>
        <w:rPr>
          <w:spacing w:val="-92"/>
          <w:w w:val="90"/>
          <w:position w:val="-13"/>
          <w:sz w:val="26"/>
        </w:rPr>
        <w:t>4</w:t>
      </w:r>
      <w:r>
        <w:rPr>
          <w:w w:val="128"/>
          <w:sz w:val="20"/>
        </w:rPr>
        <w:t>1</w:t>
      </w:r>
      <w:r>
        <w:rPr>
          <w:spacing w:val="-28"/>
          <w:sz w:val="20"/>
        </w:rPr>
        <w:t> </w:t>
      </w:r>
      <w:r>
        <w:rPr>
          <w:w w:val="183"/>
          <w:sz w:val="20"/>
        </w:rPr>
        <w:t>(</w:t>
      </w:r>
      <w:r>
        <w:rPr>
          <w:sz w:val="20"/>
        </w:rPr>
        <w:t>  </w:t>
      </w:r>
      <w:r>
        <w:rPr>
          <w:spacing w:val="-25"/>
          <w:sz w:val="20"/>
        </w:rPr>
        <w:t> </w:t>
      </w:r>
      <w:r>
        <w:rPr>
          <w:spacing w:val="-50"/>
          <w:w w:val="128"/>
          <w:sz w:val="20"/>
        </w:rPr>
        <w:t>1</w:t>
      </w:r>
      <w:r>
        <w:rPr>
          <w:w w:val="103"/>
          <w:sz w:val="20"/>
        </w:rPr>
        <w:t>49</w:t>
      </w:r>
      <w:r>
        <w:rPr>
          <w:sz w:val="20"/>
        </w:rPr>
        <w:t> </w:t>
      </w:r>
      <w:r>
        <w:rPr>
          <w:spacing w:val="13"/>
          <w:sz w:val="20"/>
        </w:rPr>
        <w:t> </w:t>
      </w:r>
      <w:r>
        <w:rPr>
          <w:w w:val="196"/>
          <w:sz w:val="20"/>
        </w:rPr>
        <w:t>)</w:t>
      </w:r>
    </w:p>
    <w:p>
      <w:pPr>
        <w:spacing w:line="357" w:lineRule="exact" w:before="57"/>
        <w:ind w:left="462" w:right="0" w:firstLine="0"/>
        <w:jc w:val="left"/>
        <w:rPr>
          <w:sz w:val="19"/>
        </w:rPr>
      </w:pPr>
      <w:r>
        <w:rPr/>
        <w:pict>
          <v:line style="position:absolute;mso-position-horizontal-relative:page;mso-position-vertical-relative:paragraph;z-index:-708760" from="78.783653pt,18.127474pt" to="81.475573pt,18.127474pt" stroked="true" strokeweight=".538385pt" strokecolor="#000000">
            <w10:wrap type="none"/>
          </v:line>
        </w:pict>
      </w:r>
      <w:r>
        <w:rPr>
          <w:w w:val="90"/>
          <w:sz w:val="24"/>
        </w:rPr>
        <w:t>e </w:t>
      </w:r>
      <w:r>
        <w:rPr>
          <w:sz w:val="20"/>
        </w:rPr>
        <w:t>b)  </w:t>
      </w:r>
      <w:r>
        <w:rPr>
          <w:rFonts w:ascii="Arial"/>
          <w:sz w:val="26"/>
        </w:rPr>
        <w:t>H</w:t>
      </w:r>
      <w:r>
        <w:rPr>
          <w:sz w:val="19"/>
        </w:rPr>
        <w:t>90,533  </w:t>
      </w:r>
      <w:r>
        <w:rPr>
          <w:rFonts w:ascii="Arial"/>
          <w:sz w:val="32"/>
        </w:rPr>
        <w:t>+ </w:t>
      </w:r>
      <w:r>
        <w:rPr>
          <w:sz w:val="19"/>
        </w:rPr>
        <w:t>00,02s)</w:t>
      </w:r>
    </w:p>
    <w:p>
      <w:pPr>
        <w:spacing w:line="207" w:lineRule="exact" w:before="0"/>
        <w:ind w:left="1402" w:right="0" w:firstLine="0"/>
        <w:jc w:val="left"/>
        <w:rPr>
          <w:sz w:val="19"/>
        </w:rPr>
      </w:pPr>
      <w:r>
        <w:rPr>
          <w:sz w:val="19"/>
        </w:rPr>
        <w:t>92,427</w:t>
      </w:r>
    </w:p>
    <w:p>
      <w:pPr>
        <w:spacing w:before="77"/>
        <w:ind w:left="2810" w:right="2374" w:firstLine="0"/>
        <w:jc w:val="center"/>
        <w:rPr>
          <w:b/>
          <w:sz w:val="17"/>
        </w:rPr>
      </w:pPr>
      <w:r>
        <w:rPr>
          <w:b/>
          <w:sz w:val="17"/>
        </w:rPr>
        <w:t>351</w:t>
      </w:r>
    </w:p>
    <w:p>
      <w:pPr>
        <w:spacing w:after="0"/>
        <w:jc w:val="center"/>
        <w:rPr>
          <w:sz w:val="17"/>
        </w:rPr>
        <w:sectPr>
          <w:type w:val="continuous"/>
          <w:pgSz w:w="7200" w:h="11340"/>
          <w:pgMar w:top="1100" w:bottom="0" w:left="740" w:right="980"/>
        </w:sectPr>
      </w:pPr>
    </w:p>
    <w:p>
      <w:pPr>
        <w:tabs>
          <w:tab w:pos="2612" w:val="left" w:leader="none"/>
          <w:tab w:pos="5359" w:val="left" w:leader="none"/>
        </w:tabs>
        <w:spacing w:before="48"/>
        <w:ind w:left="135" w:right="0" w:firstLine="0"/>
        <w:jc w:val="left"/>
        <w:rPr>
          <w:sz w:val="21"/>
        </w:rPr>
      </w:pPr>
      <w:r>
        <w:rPr>
          <w:spacing w:val="-8"/>
          <w:position w:val="1"/>
          <w:sz w:val="20"/>
        </w:rPr>
        <w:t>352</w:t>
        <w:tab/>
      </w:r>
      <w:r>
        <w:rPr>
          <w:b/>
          <w:position w:val="1"/>
          <w:sz w:val="15"/>
        </w:rPr>
        <w:t>ANSWERS</w:t>
        <w:tab/>
      </w:r>
      <w:r>
        <w:rPr>
          <w:w w:val="95"/>
          <w:sz w:val="20"/>
        </w:rPr>
        <w:t>[CH. </w:t>
      </w:r>
      <w:r>
        <w:rPr>
          <w:w w:val="95"/>
          <w:sz w:val="21"/>
        </w:rPr>
        <w:t>2</w:t>
      </w:r>
    </w:p>
    <w:p>
      <w:pPr>
        <w:pStyle w:val="BodyText"/>
        <w:spacing w:before="8"/>
        <w:rPr>
          <w:sz w:val="13"/>
        </w:rPr>
      </w:pPr>
    </w:p>
    <w:p>
      <w:pPr>
        <w:pStyle w:val="BodyText"/>
        <w:spacing w:line="227" w:lineRule="exact" w:before="74"/>
        <w:ind w:left="1402"/>
      </w:pPr>
      <w:r>
        <w:rPr>
          <w:w w:val="105"/>
        </w:rPr>
        <w:t>835</w:t>
      </w:r>
    </w:p>
    <w:p>
      <w:pPr>
        <w:pStyle w:val="BodyText"/>
        <w:spacing w:line="227" w:lineRule="exact"/>
        <w:ind w:left="492"/>
      </w:pPr>
      <w:r>
        <w:rPr>
          <w:w w:val="110"/>
        </w:rPr>
        <w:t>(e) </w:t>
      </w:r>
      <w:r>
        <w:rPr>
          <w:w w:val="110"/>
          <w:u w:val="thick"/>
        </w:rPr>
        <w:t>87,424 </w:t>
      </w:r>
      <w:r>
        <w:rPr>
          <w:w w:val="260"/>
        </w:rPr>
        <w:t>- </w:t>
      </w:r>
      <w:r>
        <w:rPr>
          <w:w w:val="110"/>
        </w:rPr>
        <w:t>(835)</w:t>
      </w:r>
    </w:p>
    <w:p>
      <w:pPr>
        <w:tabs>
          <w:tab w:pos="736" w:val="left" w:leader="none"/>
        </w:tabs>
        <w:spacing w:line="261" w:lineRule="exact" w:before="147"/>
        <w:ind w:left="146" w:right="0" w:firstLine="0"/>
        <w:jc w:val="left"/>
        <w:rPr>
          <w:i/>
          <w:sz w:val="20"/>
        </w:rPr>
      </w:pPr>
      <w:r>
        <w:rPr>
          <w:spacing w:val="-24"/>
          <w:w w:val="115"/>
          <w:sz w:val="20"/>
        </w:rPr>
        <w:t>18</w:t>
        <w:tab/>
      </w:r>
      <w:r>
        <w:rPr>
          <w:i/>
          <w:w w:val="115"/>
          <w:position w:val="12"/>
          <w:sz w:val="20"/>
        </w:rPr>
        <w:t>k</w:t>
      </w:r>
    </w:p>
    <w:p>
      <w:pPr>
        <w:spacing w:after="0" w:line="261" w:lineRule="exact"/>
        <w:jc w:val="left"/>
        <w:rPr>
          <w:sz w:val="20"/>
        </w:rPr>
        <w:sectPr>
          <w:pgSz w:w="7200" w:h="11340"/>
          <w:pgMar w:top="500" w:bottom="280" w:left="660" w:right="540"/>
        </w:sectPr>
      </w:pPr>
    </w:p>
    <w:p>
      <w:pPr>
        <w:pStyle w:val="BodyText"/>
        <w:spacing w:line="204" w:lineRule="exact"/>
        <w:ind w:left="337"/>
      </w:pPr>
      <w:r>
        <w:rPr>
          <w:w w:val="140"/>
        </w:rPr>
        <w:t>· 1 </w:t>
      </w:r>
      <w:r>
        <w:rPr>
          <w:w w:val="265"/>
        </w:rPr>
        <w:t>-</w:t>
      </w:r>
      <w:r>
        <w:rPr>
          <w:spacing w:val="-87"/>
          <w:w w:val="265"/>
        </w:rPr>
        <w:t> </w:t>
      </w:r>
      <w:r>
        <w:rPr>
          <w:w w:val="105"/>
          <w:u w:val="single"/>
        </w:rPr>
        <w:t>2k</w:t>
      </w:r>
    </w:p>
    <w:p>
      <w:pPr>
        <w:pStyle w:val="ListParagraph"/>
        <w:numPr>
          <w:ilvl w:val="0"/>
          <w:numId w:val="154"/>
        </w:numPr>
        <w:tabs>
          <w:tab w:pos="478" w:val="left" w:leader="none"/>
        </w:tabs>
        <w:spacing w:line="240" w:lineRule="auto" w:before="124" w:after="0"/>
        <w:ind w:left="477" w:right="0" w:hanging="353"/>
        <w:jc w:val="left"/>
        <w:rPr>
          <w:i/>
          <w:sz w:val="21"/>
        </w:rPr>
      </w:pPr>
      <w:r>
        <w:rPr>
          <w:sz w:val="20"/>
        </w:rPr>
        <w:t>log </w:t>
      </w:r>
      <w:r>
        <w:rPr>
          <w:i/>
          <w:sz w:val="21"/>
        </w:rPr>
        <w:t>e</w:t>
      </w:r>
    </w:p>
    <w:p>
      <w:pPr>
        <w:pStyle w:val="ListParagraph"/>
        <w:numPr>
          <w:ilvl w:val="0"/>
          <w:numId w:val="154"/>
        </w:numPr>
        <w:tabs>
          <w:tab w:pos="478" w:val="left" w:leader="none"/>
        </w:tabs>
        <w:spacing w:line="240" w:lineRule="auto" w:before="56" w:after="0"/>
        <w:ind w:left="477" w:right="0" w:hanging="353"/>
        <w:jc w:val="left"/>
        <w:rPr>
          <w:i/>
          <w:sz w:val="22"/>
        </w:rPr>
      </w:pPr>
      <w:r>
        <w:rPr>
          <w:rFonts w:ascii="Arial"/>
          <w:i/>
          <w:w w:val="105"/>
          <w:sz w:val="20"/>
        </w:rPr>
        <w:t>A  </w:t>
      </w:r>
      <w:r>
        <w:rPr>
          <w:w w:val="105"/>
          <w:sz w:val="28"/>
        </w:rPr>
        <w:t>=  </w:t>
      </w:r>
      <w:r>
        <w:rPr>
          <w:w w:val="115"/>
          <w:sz w:val="20"/>
        </w:rPr>
        <w:t>-log</w:t>
      </w:r>
      <w:r>
        <w:rPr>
          <w:spacing w:val="-15"/>
          <w:w w:val="115"/>
          <w:sz w:val="20"/>
        </w:rPr>
        <w:t> </w:t>
      </w:r>
      <w:r>
        <w:rPr>
          <w:i/>
          <w:w w:val="105"/>
          <w:sz w:val="22"/>
        </w:rPr>
        <w:t>s</w:t>
      </w:r>
    </w:p>
    <w:p>
      <w:pPr>
        <w:spacing w:line="82" w:lineRule="exact" w:before="124"/>
        <w:ind w:left="0" w:right="118" w:firstLine="0"/>
        <w:jc w:val="right"/>
        <w:rPr>
          <w:b/>
          <w:i/>
          <w:sz w:val="8"/>
        </w:rPr>
      </w:pPr>
      <w:r>
        <w:rPr/>
        <w:pict>
          <v:shape style="position:absolute;margin-left:74.519997pt;margin-top:5.339028pt;width:8.450pt;height:17pt;mso-position-horizontal-relative:page;mso-position-vertical-relative:paragraph;z-index:-708592" type="#_x0000_t202" filled="false" stroked="false">
            <v:textbox inset="0,0,0,0">
              <w:txbxContent>
                <w:p>
                  <w:pPr>
                    <w:spacing w:line="340" w:lineRule="exact" w:before="0"/>
                    <w:ind w:left="0" w:right="0" w:firstLine="0"/>
                    <w:jc w:val="left"/>
                    <w:rPr>
                      <w:rFonts w:ascii="Arial"/>
                      <w:sz w:val="34"/>
                    </w:rPr>
                  </w:pPr>
                  <w:r>
                    <w:rPr>
                      <w:rFonts w:ascii="Arial"/>
                      <w:w w:val="84"/>
                      <w:sz w:val="34"/>
                    </w:rPr>
                    <w:t>+</w:t>
                  </w:r>
                </w:p>
              </w:txbxContent>
            </v:textbox>
            <w10:wrap type="none"/>
          </v:shape>
        </w:pict>
      </w:r>
      <w:r>
        <w:rPr>
          <w:b/>
          <w:i/>
          <w:w w:val="121"/>
          <w:sz w:val="8"/>
        </w:rPr>
        <w:t>Á</w:t>
      </w:r>
    </w:p>
    <w:p>
      <w:pPr>
        <w:tabs>
          <w:tab w:pos="1075" w:val="left" w:leader="none"/>
        </w:tabs>
        <w:spacing w:line="220" w:lineRule="exact" w:before="0"/>
        <w:ind w:left="121" w:right="0" w:firstLine="0"/>
        <w:jc w:val="left"/>
        <w:rPr>
          <w:b/>
          <w:i/>
          <w:sz w:val="20"/>
        </w:rPr>
      </w:pPr>
      <w:r>
        <w:rPr>
          <w:rFonts w:ascii="Arial"/>
          <w:b/>
          <w:sz w:val="19"/>
        </w:rPr>
        <w:t>23.</w:t>
      </w:r>
      <w:r>
        <w:rPr>
          <w:rFonts w:ascii="Arial"/>
          <w:b/>
          <w:spacing w:val="23"/>
          <w:sz w:val="19"/>
        </w:rPr>
        <w:t> </w:t>
      </w:r>
      <w:r>
        <w:rPr>
          <w:b/>
          <w:i/>
          <w:sz w:val="20"/>
        </w:rPr>
        <w:t>k(</w:t>
      </w:r>
      <w:r>
        <w:rPr>
          <w:b/>
          <w:i/>
          <w:spacing w:val="5"/>
          <w:sz w:val="20"/>
        </w:rPr>
        <w:t> </w:t>
      </w:r>
      <w:r>
        <w:rPr>
          <w:b/>
          <w:i/>
          <w:sz w:val="20"/>
        </w:rPr>
        <w:t>l</w:t>
        <w:tab/>
      </w:r>
      <w:r>
        <w:rPr>
          <w:b/>
          <w:i/>
          <w:w w:val="85"/>
          <w:sz w:val="20"/>
          <w:u w:val="single"/>
        </w:rPr>
        <w:t>Bc</w:t>
      </w:r>
      <w:r>
        <w:rPr>
          <w:b/>
          <w:i/>
          <w:w w:val="85"/>
          <w:sz w:val="20"/>
        </w:rPr>
        <w:t>s</w:t>
      </w:r>
      <w:r>
        <w:rPr>
          <w:b/>
          <w:i/>
          <w:spacing w:val="-4"/>
          <w:w w:val="85"/>
          <w:sz w:val="20"/>
        </w:rPr>
        <w:t> </w:t>
      </w:r>
      <w:r>
        <w:rPr>
          <w:b/>
          <w:i/>
          <w:w w:val="85"/>
          <w:sz w:val="20"/>
        </w:rPr>
        <w:t>)-Blocc</w:t>
      </w:r>
    </w:p>
    <w:p>
      <w:pPr>
        <w:pStyle w:val="BodyText"/>
        <w:rPr>
          <w:b/>
          <w:i/>
          <w:sz w:val="26"/>
        </w:rPr>
      </w:pPr>
      <w:r>
        <w:rPr/>
        <w:br w:type="column"/>
      </w:r>
      <w:r>
        <w:rPr>
          <w:b/>
          <w:i/>
          <w:sz w:val="26"/>
        </w:rPr>
      </w:r>
    </w:p>
    <w:p>
      <w:pPr>
        <w:pStyle w:val="BodyText"/>
        <w:spacing w:before="1"/>
        <w:rPr>
          <w:b/>
          <w:i/>
          <w:sz w:val="30"/>
        </w:rPr>
      </w:pPr>
    </w:p>
    <w:p>
      <w:pPr>
        <w:spacing w:before="0"/>
        <w:ind w:left="34" w:right="-18" w:firstLine="0"/>
        <w:jc w:val="left"/>
        <w:rPr>
          <w:rFonts w:ascii="Arial"/>
          <w:i/>
          <w:sz w:val="17"/>
        </w:rPr>
      </w:pPr>
      <w:r>
        <w:rPr>
          <w:rFonts w:ascii="Arial"/>
          <w:i/>
          <w:w w:val="110"/>
          <w:sz w:val="20"/>
        </w:rPr>
        <w:t>H </w:t>
      </w:r>
      <w:r>
        <w:rPr>
          <w:w w:val="110"/>
          <w:sz w:val="26"/>
        </w:rPr>
        <w:t>=  </w:t>
      </w:r>
      <w:r>
        <w:rPr>
          <w:w w:val="155"/>
          <w:sz w:val="20"/>
        </w:rPr>
        <w:t>-2 </w:t>
      </w:r>
      <w:r>
        <w:rPr>
          <w:w w:val="110"/>
          <w:sz w:val="20"/>
        </w:rPr>
        <w:t>log</w:t>
      </w:r>
      <w:r>
        <w:rPr>
          <w:spacing w:val="-25"/>
          <w:w w:val="110"/>
          <w:sz w:val="20"/>
        </w:rPr>
        <w:t> </w:t>
      </w:r>
      <w:r>
        <w:rPr>
          <w:rFonts w:ascii="Arial"/>
          <w:i/>
          <w:w w:val="110"/>
          <w:sz w:val="17"/>
        </w:rPr>
        <w:t>w</w:t>
      </w:r>
    </w:p>
    <w:p>
      <w:pPr>
        <w:pStyle w:val="BodyText"/>
        <w:rPr>
          <w:rFonts w:ascii="Arial"/>
          <w:i/>
          <w:sz w:val="26"/>
        </w:rPr>
      </w:pPr>
      <w:r>
        <w:rPr/>
        <w:br w:type="column"/>
      </w:r>
      <w:r>
        <w:rPr>
          <w:rFonts w:ascii="Arial"/>
          <w:i/>
          <w:sz w:val="26"/>
        </w:rPr>
      </w:r>
    </w:p>
    <w:p>
      <w:pPr>
        <w:pStyle w:val="BodyText"/>
        <w:spacing w:before="8"/>
        <w:rPr>
          <w:rFonts w:ascii="Arial"/>
          <w:i/>
          <w:sz w:val="30"/>
        </w:rPr>
      </w:pPr>
    </w:p>
    <w:p>
      <w:pPr>
        <w:spacing w:before="0"/>
        <w:ind w:left="121" w:right="0" w:firstLine="0"/>
        <w:jc w:val="left"/>
        <w:rPr>
          <w:rFonts w:ascii="Arial" w:hAnsi="Arial"/>
          <w:i/>
          <w:sz w:val="18"/>
        </w:rPr>
      </w:pPr>
      <w:r>
        <w:rPr>
          <w:i/>
          <w:w w:val="115"/>
          <w:sz w:val="21"/>
        </w:rPr>
        <w:t>B </w:t>
      </w:r>
      <w:r>
        <w:rPr>
          <w:w w:val="105"/>
          <w:sz w:val="26"/>
        </w:rPr>
        <w:t>=  </w:t>
      </w:r>
      <w:r>
        <w:rPr>
          <w:w w:val="115"/>
          <w:sz w:val="20"/>
        </w:rPr>
        <w:t>-log c·log </w:t>
      </w:r>
      <w:r>
        <w:rPr>
          <w:rFonts w:ascii="Arial" w:hAnsi="Arial"/>
          <w:i/>
          <w:w w:val="105"/>
          <w:sz w:val="18"/>
        </w:rPr>
        <w:t>g</w:t>
      </w:r>
    </w:p>
    <w:p>
      <w:pPr>
        <w:spacing w:after="0"/>
        <w:jc w:val="left"/>
        <w:rPr>
          <w:rFonts w:ascii="Arial" w:hAnsi="Arial"/>
          <w:sz w:val="18"/>
        </w:rPr>
        <w:sectPr>
          <w:type w:val="continuous"/>
          <w:pgSz w:w="7200" w:h="11340"/>
          <w:pgMar w:top="1100" w:bottom="0" w:left="660" w:right="540"/>
          <w:cols w:num="3" w:equalWidth="0">
            <w:col w:w="1880" w:space="40"/>
            <w:col w:w="1343" w:space="280"/>
            <w:col w:w="2457"/>
          </w:cols>
        </w:sectPr>
      </w:pPr>
    </w:p>
    <w:p>
      <w:pPr>
        <w:pStyle w:val="BodyText"/>
        <w:spacing w:before="1"/>
        <w:rPr>
          <w:rFonts w:ascii="Arial"/>
          <w:i/>
          <w:sz w:val="10"/>
        </w:rPr>
      </w:pPr>
    </w:p>
    <w:p>
      <w:pPr>
        <w:spacing w:line="322" w:lineRule="exact" w:before="73"/>
        <w:ind w:left="117" w:right="0" w:firstLine="0"/>
        <w:jc w:val="left"/>
        <w:rPr>
          <w:i/>
          <w:sz w:val="20"/>
        </w:rPr>
      </w:pPr>
      <w:r>
        <w:rPr>
          <w:w w:val="96"/>
          <w:position w:val="-8"/>
          <w:sz w:val="21"/>
        </w:rPr>
        <w:t>2</w:t>
      </w:r>
      <w:r>
        <w:rPr>
          <w:spacing w:val="3"/>
          <w:w w:val="96"/>
          <w:position w:val="-8"/>
          <w:sz w:val="21"/>
        </w:rPr>
        <w:t>4</w:t>
      </w:r>
      <w:r>
        <w:rPr>
          <w:w w:val="25"/>
          <w:sz w:val="21"/>
        </w:rPr>
        <w:t>_</w:t>
      </w:r>
      <w:r>
        <w:rPr>
          <w:sz w:val="21"/>
        </w:rPr>
        <w:t> </w:t>
      </w:r>
      <w:r>
        <w:rPr>
          <w:spacing w:val="9"/>
          <w:sz w:val="21"/>
        </w:rPr>
        <w:t> </w:t>
      </w:r>
      <w:r>
        <w:rPr>
          <w:w w:val="62"/>
          <w:sz w:val="21"/>
          <w:u w:val="thick"/>
        </w:rPr>
        <w:t>lrao</w:t>
      </w:r>
      <w:r>
        <w:rPr>
          <w:w w:val="62"/>
          <w:sz w:val="21"/>
          <w:u w:val="thick"/>
        </w:rPr>
        <w:t>J</w:t>
      </w:r>
      <w:r>
        <w:rPr>
          <w:spacing w:val="-31"/>
          <w:sz w:val="21"/>
          <w:u w:val="thick"/>
        </w:rPr>
        <w:t> </w:t>
      </w:r>
      <w:r>
        <w:rPr>
          <w:spacing w:val="-4"/>
          <w:w w:val="106"/>
          <w:sz w:val="14"/>
          <w:u w:val="thick"/>
        </w:rPr>
        <w:t>+</w:t>
      </w:r>
      <w:r>
        <w:rPr>
          <w:spacing w:val="-72"/>
          <w:w w:val="107"/>
          <w:sz w:val="14"/>
          <w:u w:val="thick"/>
        </w:rPr>
        <w:t>4</w:t>
      </w:r>
      <w:r>
        <w:rPr>
          <w:spacing w:val="-115"/>
          <w:w w:val="404"/>
          <w:sz w:val="14"/>
          <w:u w:val="thick"/>
        </w:rPr>
        <w:t>-</w:t>
      </w:r>
      <w:r>
        <w:rPr>
          <w:i/>
          <w:w w:val="96"/>
          <w:sz w:val="20"/>
          <w:u w:val="thick"/>
        </w:rPr>
        <w:t>l'°</w:t>
      </w:r>
    </w:p>
    <w:p>
      <w:pPr>
        <w:spacing w:line="140" w:lineRule="exact" w:before="0"/>
        <w:ind w:left="98" w:right="4236" w:firstLine="0"/>
        <w:jc w:val="center"/>
        <w:rPr>
          <w:sz w:val="13"/>
        </w:rPr>
      </w:pPr>
      <w:r>
        <w:rPr>
          <w:w w:val="125"/>
          <w:sz w:val="13"/>
        </w:rPr>
        <w:t>l¡IO]+I</w:t>
      </w:r>
    </w:p>
    <w:p>
      <w:pPr>
        <w:pStyle w:val="BodyText"/>
        <w:rPr>
          <w:sz w:val="11"/>
        </w:rPr>
      </w:pPr>
    </w:p>
    <w:p>
      <w:pPr>
        <w:pStyle w:val="BodyText"/>
        <w:spacing w:line="167" w:lineRule="exact"/>
        <w:ind w:left="39" w:right="2798"/>
        <w:jc w:val="center"/>
      </w:pPr>
      <w:r>
        <w:rPr>
          <w:spacing w:val="-5"/>
          <w:w w:val="110"/>
        </w:rPr>
        <w:t>941,143 </w:t>
      </w:r>
      <w:r>
        <w:rPr>
          <w:w w:val="230"/>
        </w:rPr>
        <w:t>-</w:t>
      </w:r>
      <w:r>
        <w:rPr>
          <w:spacing w:val="-97"/>
          <w:w w:val="230"/>
        </w:rPr>
        <w:t> </w:t>
      </w:r>
      <w:r>
        <w:rPr>
          <w:w w:val="110"/>
        </w:rPr>
        <w:t>934</w:t>
      </w:r>
      <w:r>
        <w:rPr>
          <w:w w:val="110"/>
          <w:u w:val="thick"/>
        </w:rPr>
        <w:t>,5</w:t>
      </w:r>
      <w:r>
        <w:rPr>
          <w:w w:val="110"/>
        </w:rPr>
        <w:t>72</w:t>
      </w:r>
    </w:p>
    <w:p>
      <w:pPr>
        <w:tabs>
          <w:tab w:pos="1291" w:val="left" w:leader="none"/>
        </w:tabs>
        <w:spacing w:line="331" w:lineRule="exact" w:before="0"/>
        <w:ind w:left="117" w:right="0" w:firstLine="0"/>
        <w:jc w:val="left"/>
        <w:rPr>
          <w:sz w:val="20"/>
        </w:rPr>
      </w:pPr>
      <w:r>
        <w:rPr>
          <w:w w:val="105"/>
          <w:position w:val="13"/>
          <w:sz w:val="20"/>
        </w:rPr>
        <w:t>25</w:t>
      </w:r>
      <w:r>
        <w:rPr>
          <w:w w:val="105"/>
          <w:sz w:val="31"/>
        </w:rPr>
        <w:t>·</w:t>
      </w:r>
      <w:r>
        <w:rPr>
          <w:spacing w:val="-23"/>
          <w:w w:val="105"/>
          <w:sz w:val="31"/>
        </w:rPr>
        <w:t> </w:t>
      </w:r>
      <w:r>
        <w:rPr>
          <w:spacing w:val="9"/>
          <w:w w:val="105"/>
          <w:position w:val="14"/>
          <w:sz w:val="20"/>
        </w:rPr>
        <w:t>(</w:t>
      </w:r>
      <w:r>
        <w:rPr>
          <w:spacing w:val="9"/>
          <w:w w:val="105"/>
          <w:sz w:val="31"/>
        </w:rPr>
        <w:t>ª</w:t>
      </w:r>
      <w:r>
        <w:rPr>
          <w:spacing w:val="-55"/>
          <w:w w:val="105"/>
          <w:sz w:val="31"/>
        </w:rPr>
        <w:t> </w:t>
      </w:r>
      <w:r>
        <w:rPr>
          <w:w w:val="105"/>
          <w:position w:val="14"/>
          <w:sz w:val="20"/>
        </w:rPr>
        <w:t>)</w:t>
        <w:tab/>
      </w:r>
      <w:r>
        <w:rPr>
          <w:spacing w:val="-10"/>
          <w:w w:val="105"/>
          <w:sz w:val="20"/>
        </w:rPr>
        <w:t>941,143</w:t>
      </w:r>
    </w:p>
    <w:p>
      <w:pPr>
        <w:spacing w:line="236" w:lineRule="exact" w:before="115"/>
        <w:ind w:left="477" w:right="0" w:firstLine="0"/>
        <w:jc w:val="left"/>
        <w:rPr>
          <w:sz w:val="21"/>
        </w:rPr>
      </w:pPr>
      <w:r>
        <w:rPr>
          <w:w w:val="105"/>
          <w:sz w:val="21"/>
        </w:rPr>
        <w:t>( b) </w:t>
      </w:r>
      <w:r>
        <w:rPr>
          <w:w w:val="105"/>
          <w:sz w:val="21"/>
          <w:u w:val="single"/>
        </w:rPr>
        <w:t>942,001 </w:t>
      </w:r>
      <w:r>
        <w:rPr>
          <w:w w:val="235"/>
          <w:sz w:val="21"/>
          <w:u w:val="single"/>
        </w:rPr>
        <w:t>-</w:t>
      </w:r>
      <w:r>
        <w:rPr>
          <w:spacing w:val="-54"/>
          <w:w w:val="235"/>
          <w:sz w:val="21"/>
          <w:u w:val="single"/>
        </w:rPr>
        <w:t> </w:t>
      </w:r>
      <w:r>
        <w:rPr>
          <w:w w:val="105"/>
          <w:sz w:val="21"/>
          <w:u w:val="single"/>
        </w:rPr>
        <w:t>934,572</w:t>
      </w:r>
    </w:p>
    <w:p>
      <w:pPr>
        <w:spacing w:line="236" w:lineRule="exact" w:before="0"/>
        <w:ind w:left="75" w:right="2798" w:firstLine="0"/>
        <w:jc w:val="center"/>
        <w:rPr>
          <w:sz w:val="21"/>
        </w:rPr>
      </w:pPr>
      <w:r>
        <w:rPr>
          <w:sz w:val="21"/>
        </w:rPr>
        <w:t>942,001</w:t>
      </w:r>
    </w:p>
    <w:p>
      <w:pPr>
        <w:spacing w:line="256" w:lineRule="exact" w:before="72"/>
        <w:ind w:left="114" w:right="0" w:firstLine="0"/>
        <w:jc w:val="left"/>
        <w:rPr>
          <w:b/>
          <w:i/>
          <w:sz w:val="20"/>
        </w:rPr>
      </w:pPr>
      <w:r>
        <w:rPr>
          <w:b/>
          <w:sz w:val="19"/>
        </w:rPr>
        <w:t>26.  </w:t>
      </w:r>
      <w:r>
        <w:rPr>
          <w:b/>
          <w:sz w:val="21"/>
        </w:rPr>
        <w:t>(a) </w:t>
      </w:r>
      <w:r>
        <w:rPr>
          <w:b/>
          <w:i/>
          <w:sz w:val="20"/>
        </w:rPr>
        <w:t>nP1sJ  </w:t>
      </w:r>
      <w:r>
        <w:rPr>
          <w:rFonts w:ascii="Arial"/>
          <w:sz w:val="27"/>
        </w:rPr>
        <w:t>&gt; </w:t>
      </w:r>
      <w:r>
        <w:rPr>
          <w:b/>
          <w:i/>
          <w:sz w:val="20"/>
        </w:rPr>
        <w:t>nP:</w:t>
      </w:r>
    </w:p>
    <w:p>
      <w:pPr>
        <w:spacing w:line="387" w:lineRule="exact" w:before="0"/>
        <w:ind w:left="466" w:right="0" w:firstLine="0"/>
        <w:jc w:val="left"/>
        <w:rPr>
          <w:b/>
          <w:i/>
          <w:sz w:val="23"/>
        </w:rPr>
      </w:pPr>
      <w:r>
        <w:rPr>
          <w:rFonts w:ascii="Arial"/>
          <w:w w:val="120"/>
          <w:sz w:val="19"/>
        </w:rPr>
        <w:t>(</w:t>
      </w:r>
      <w:r>
        <w:rPr>
          <w:rFonts w:ascii="Arial"/>
          <w:w w:val="120"/>
          <w:sz w:val="19"/>
        </w:rPr>
        <w:t>b</w:t>
      </w:r>
      <w:r>
        <w:rPr>
          <w:rFonts w:ascii="Arial"/>
          <w:w w:val="120"/>
          <w:sz w:val="19"/>
        </w:rPr>
        <w:t>)</w:t>
      </w:r>
      <w:r>
        <w:rPr>
          <w:rFonts w:ascii="Arial"/>
          <w:spacing w:val="15"/>
          <w:sz w:val="19"/>
        </w:rPr>
        <w:t> </w:t>
      </w:r>
      <w:r>
        <w:rPr>
          <w:i/>
          <w:spacing w:val="-9"/>
          <w:w w:val="44"/>
          <w:sz w:val="43"/>
        </w:rPr>
        <w:t>q</w:t>
      </w:r>
      <w:r>
        <w:rPr>
          <w:i/>
          <w:spacing w:val="34"/>
          <w:w w:val="108"/>
          <w:sz w:val="43"/>
        </w:rPr>
        <w:t>:</w:t>
      </w:r>
      <w:r>
        <w:rPr>
          <w:rFonts w:ascii="Arial"/>
          <w:w w:val="107"/>
          <w:sz w:val="27"/>
        </w:rPr>
        <w:t>&gt;</w:t>
      </w:r>
      <w:r>
        <w:rPr>
          <w:rFonts w:ascii="Arial"/>
          <w:spacing w:val="-4"/>
          <w:sz w:val="27"/>
        </w:rPr>
        <w:t> </w:t>
      </w:r>
      <w:r>
        <w:rPr>
          <w:b/>
          <w:i/>
          <w:w w:val="96"/>
          <w:sz w:val="23"/>
        </w:rPr>
        <w:t>q;</w:t>
      </w:r>
      <w:r>
        <w:rPr>
          <w:b/>
          <w:i/>
          <w:sz w:val="23"/>
        </w:rPr>
        <w:t> </w:t>
      </w:r>
      <w:r>
        <w:rPr>
          <w:b/>
          <w:i/>
          <w:spacing w:val="-24"/>
          <w:sz w:val="23"/>
        </w:rPr>
        <w:t> </w:t>
      </w:r>
      <w:r>
        <w:rPr>
          <w:rFonts w:ascii="Arial"/>
          <w:w w:val="104"/>
          <w:sz w:val="27"/>
        </w:rPr>
        <w:t>&gt;</w:t>
      </w:r>
      <w:r>
        <w:rPr>
          <w:rFonts w:ascii="Arial"/>
          <w:spacing w:val="-3"/>
          <w:sz w:val="27"/>
        </w:rPr>
        <w:t> </w:t>
      </w:r>
      <w:r>
        <w:rPr>
          <w:b/>
          <w:i/>
          <w:spacing w:val="12"/>
          <w:w w:val="80"/>
          <w:sz w:val="23"/>
        </w:rPr>
        <w:t>q</w:t>
      </w:r>
      <w:r>
        <w:rPr>
          <w:b/>
          <w:i/>
          <w:w w:val="60"/>
          <w:sz w:val="23"/>
        </w:rPr>
        <w:t>f.1</w:t>
      </w:r>
    </w:p>
    <w:p>
      <w:pPr>
        <w:tabs>
          <w:tab w:pos="1093" w:val="left" w:leader="none"/>
        </w:tabs>
        <w:spacing w:line="407" w:lineRule="exact" w:before="0"/>
        <w:ind w:left="466" w:right="0" w:firstLine="0"/>
        <w:jc w:val="left"/>
        <w:rPr>
          <w:rFonts w:ascii="Arial" w:hAnsi="Arial"/>
          <w:i/>
          <w:sz w:val="29"/>
        </w:rPr>
      </w:pPr>
      <w:r>
        <w:rPr>
          <w:w w:val="114"/>
          <w:sz w:val="20"/>
        </w:rPr>
        <w:t>(</w:t>
      </w:r>
      <w:r>
        <w:rPr>
          <w:w w:val="114"/>
          <w:sz w:val="20"/>
        </w:rPr>
        <w:t>e</w:t>
      </w:r>
      <w:r>
        <w:rPr>
          <w:w w:val="114"/>
          <w:sz w:val="20"/>
        </w:rPr>
        <w:t>)</w:t>
      </w:r>
      <w:r>
        <w:rPr>
          <w:sz w:val="20"/>
        </w:rPr>
        <w:tab/>
      </w:r>
      <w:r>
        <w:rPr>
          <w:w w:val="87"/>
          <w:sz w:val="28"/>
        </w:rPr>
        <w:t>=</w:t>
      </w:r>
      <w:r>
        <w:rPr>
          <w:spacing w:val="21"/>
          <w:sz w:val="28"/>
        </w:rPr>
        <w:t> </w:t>
      </w:r>
      <w:r>
        <w:rPr>
          <w:i/>
          <w:spacing w:val="-5"/>
          <w:w w:val="43"/>
          <w:sz w:val="40"/>
        </w:rPr>
        <w:t>µ</w:t>
      </w:r>
      <w:r>
        <w:rPr>
          <w:i/>
          <w:w w:val="103"/>
          <w:sz w:val="40"/>
        </w:rPr>
        <w:t>:</w:t>
      </w:r>
      <w:r>
        <w:rPr>
          <w:i/>
          <w:spacing w:val="-48"/>
          <w:sz w:val="40"/>
        </w:rPr>
        <w:t> </w:t>
      </w:r>
      <w:r>
        <w:rPr>
          <w:w w:val="100"/>
          <w:sz w:val="26"/>
        </w:rPr>
        <w:t>&gt;</w:t>
      </w:r>
      <w:r>
        <w:rPr>
          <w:spacing w:val="28"/>
          <w:sz w:val="26"/>
        </w:rPr>
        <w:t> </w:t>
      </w:r>
      <w:r>
        <w:rPr>
          <w:rFonts w:ascii="Arial" w:hAnsi="Arial"/>
          <w:i/>
          <w:w w:val="71"/>
          <w:sz w:val="29"/>
        </w:rPr>
        <w:t>µ;</w:t>
      </w:r>
    </w:p>
    <w:p>
      <w:pPr>
        <w:spacing w:before="104"/>
        <w:ind w:left="106" w:right="0" w:firstLine="0"/>
        <w:jc w:val="left"/>
        <w:rPr>
          <w:sz w:val="16"/>
        </w:rPr>
      </w:pPr>
      <w:r>
        <w:rPr>
          <w:sz w:val="20"/>
        </w:rPr>
        <w:t>27.  (a) </w:t>
      </w:r>
      <w:r>
        <w:rPr>
          <w:sz w:val="16"/>
        </w:rPr>
        <w:t>a1ql47J</w:t>
      </w:r>
    </w:p>
    <w:p>
      <w:pPr>
        <w:spacing w:before="126"/>
        <w:ind w:left="495" w:right="0" w:firstLine="0"/>
        <w:jc w:val="left"/>
        <w:rPr>
          <w:i/>
          <w:sz w:val="19"/>
        </w:rPr>
      </w:pPr>
      <w:r>
        <w:rPr>
          <w:w w:val="115"/>
          <w:sz w:val="20"/>
        </w:rPr>
        <w:t>(b)</w:t>
      </w:r>
      <w:r>
        <w:rPr>
          <w:sz w:val="20"/>
        </w:rPr>
        <w:t> </w:t>
      </w:r>
      <w:r>
        <w:rPr>
          <w:spacing w:val="-4"/>
          <w:sz w:val="20"/>
        </w:rPr>
        <w:t> </w:t>
      </w:r>
      <w:r>
        <w:rPr>
          <w:i/>
          <w:w w:val="54"/>
          <w:sz w:val="19"/>
        </w:rPr>
        <w:t>11</w:t>
      </w:r>
      <w:r>
        <w:rPr>
          <w:i/>
          <w:spacing w:val="8"/>
          <w:w w:val="54"/>
          <w:sz w:val="19"/>
        </w:rPr>
        <w:t>1</w:t>
      </w:r>
      <w:r>
        <w:rPr>
          <w:i/>
          <w:spacing w:val="-45"/>
          <w:w w:val="223"/>
          <w:sz w:val="19"/>
        </w:rPr>
        <w:t>,</w:t>
      </w:r>
      <w:r>
        <w:rPr>
          <w:i/>
          <w:w w:val="79"/>
          <w:sz w:val="19"/>
        </w:rPr>
        <w:t>qo</w:t>
      </w:r>
    </w:p>
    <w:p>
      <w:pPr>
        <w:spacing w:before="128"/>
        <w:ind w:left="492" w:right="0" w:firstLine="0"/>
        <w:jc w:val="left"/>
        <w:rPr>
          <w:sz w:val="16"/>
        </w:rPr>
      </w:pPr>
      <w:r>
        <w:rPr>
          <w:w w:val="90"/>
          <w:sz w:val="21"/>
        </w:rPr>
        <w:t>(e) </w:t>
      </w:r>
      <w:r>
        <w:rPr>
          <w:w w:val="90"/>
          <w:sz w:val="16"/>
        </w:rPr>
        <w:t>d12"11+2</w:t>
      </w:r>
    </w:p>
    <w:p>
      <w:pPr>
        <w:spacing w:after="0"/>
        <w:jc w:val="left"/>
        <w:rPr>
          <w:sz w:val="16"/>
        </w:rPr>
        <w:sectPr>
          <w:type w:val="continuous"/>
          <w:pgSz w:w="7200" w:h="11340"/>
          <w:pgMar w:top="1100" w:bottom="0" w:left="660" w:right="540"/>
        </w:sectPr>
      </w:pPr>
    </w:p>
    <w:p>
      <w:pPr>
        <w:spacing w:line="230" w:lineRule="exact" w:before="151"/>
        <w:ind w:left="103" w:right="-10" w:firstLine="0"/>
        <w:jc w:val="left"/>
        <w:rPr>
          <w:sz w:val="26"/>
        </w:rPr>
      </w:pPr>
      <w:r>
        <w:rPr>
          <w:sz w:val="21"/>
        </w:rPr>
        <w:t>28</w:t>
      </w:r>
      <w:r>
        <w:rPr>
          <w:rFonts w:ascii="Arial"/>
          <w:sz w:val="19"/>
        </w:rPr>
        <w:t>. </w:t>
      </w:r>
      <w:r>
        <w:rPr>
          <w:rFonts w:ascii="Arial"/>
          <w:i/>
          <w:sz w:val="19"/>
        </w:rPr>
        <w:t>q.. </w:t>
      </w:r>
      <w:r>
        <w:rPr>
          <w:sz w:val="26"/>
        </w:rPr>
        <w:t>=</w:t>
      </w:r>
    </w:p>
    <w:p>
      <w:pPr>
        <w:spacing w:line="161" w:lineRule="exact" w:before="0"/>
        <w:ind w:left="553" w:right="0" w:firstLine="0"/>
        <w:jc w:val="left"/>
        <w:rPr>
          <w:sz w:val="28"/>
        </w:rPr>
      </w:pPr>
      <w:r>
        <w:rPr/>
        <w:pict>
          <v:shape style="position:absolute;margin-left:193.860001pt;margin-top:-4.232734pt;width:3.7pt;height:6pt;mso-position-horizontal-relative:page;mso-position-vertical-relative:paragraph;z-index:-708568" type="#_x0000_t202" filled="false" stroked="false">
            <v:textbox inset="0,0,0,0">
              <w:txbxContent>
                <w:p>
                  <w:pPr>
                    <w:spacing w:line="120" w:lineRule="exact" w:before="0"/>
                    <w:ind w:left="0" w:right="0" w:firstLine="0"/>
                    <w:jc w:val="left"/>
                    <w:rPr>
                      <w:rFonts w:ascii="Arial"/>
                      <w:sz w:val="12"/>
                    </w:rPr>
                  </w:pPr>
                  <w:r>
                    <w:rPr>
                      <w:rFonts w:ascii="Arial"/>
                      <w:w w:val="123"/>
                      <w:sz w:val="12"/>
                    </w:rPr>
                    <w:t>s</w:t>
                  </w:r>
                </w:p>
              </w:txbxContent>
            </v:textbox>
            <w10:wrap type="none"/>
          </v:shape>
        </w:pict>
      </w:r>
      <w:r>
        <w:rPr>
          <w:w w:val="104"/>
          <w:sz w:val="28"/>
        </w:rPr>
        <w:t>,</w:t>
      </w:r>
    </w:p>
    <w:p>
      <w:pPr>
        <w:spacing w:before="22"/>
        <w:ind w:left="76" w:right="-16" w:firstLine="0"/>
        <w:jc w:val="left"/>
        <w:rPr>
          <w:sz w:val="21"/>
        </w:rPr>
      </w:pPr>
      <w:r>
        <w:rPr/>
        <w:br w:type="column"/>
      </w:r>
      <w:r>
        <w:rPr>
          <w:w w:val="116"/>
          <w:position w:val="-6"/>
          <w:sz w:val="21"/>
        </w:rPr>
        <w:t>1</w:t>
      </w:r>
      <w:r>
        <w:rPr>
          <w:spacing w:val="2"/>
          <w:position w:val="-6"/>
          <w:sz w:val="21"/>
        </w:rPr>
        <w:t> </w:t>
      </w:r>
      <w:r>
        <w:rPr>
          <w:w w:val="205"/>
          <w:position w:val="-7"/>
          <w:sz w:val="26"/>
        </w:rPr>
        <w:t>-</w:t>
      </w:r>
      <w:r>
        <w:rPr>
          <w:spacing w:val="-6"/>
          <w:position w:val="-7"/>
          <w:sz w:val="26"/>
        </w:rPr>
        <w:t> </w:t>
      </w:r>
      <w:r>
        <w:rPr>
          <w:i/>
          <w:spacing w:val="-3"/>
          <w:w w:val="83"/>
          <w:position w:val="-7"/>
          <w:sz w:val="21"/>
        </w:rPr>
        <w:t>e</w:t>
      </w:r>
      <w:r>
        <w:rPr>
          <w:spacing w:val="-25"/>
          <w:w w:val="173"/>
          <w:sz w:val="21"/>
        </w:rPr>
        <w:t>-</w:t>
      </w:r>
      <w:r>
        <w:rPr>
          <w:spacing w:val="2"/>
          <w:w w:val="93"/>
          <w:position w:val="-2"/>
          <w:sz w:val="28"/>
        </w:rPr>
        <w:t>J</w:t>
      </w:r>
      <w:r>
        <w:rPr>
          <w:spacing w:val="-81"/>
          <w:w w:val="80"/>
          <w:sz w:val="21"/>
        </w:rPr>
        <w:t>o</w:t>
      </w:r>
      <w:r>
        <w:rPr>
          <w:w w:val="88"/>
          <w:position w:val="10"/>
          <w:sz w:val="21"/>
        </w:rPr>
        <w:t>l</w:t>
      </w:r>
      <w:r>
        <w:rPr>
          <w:spacing w:val="-24"/>
          <w:position w:val="10"/>
          <w:sz w:val="21"/>
        </w:rPr>
        <w:t> </w:t>
      </w:r>
      <w:r>
        <w:rPr>
          <w:w w:val="79"/>
          <w:sz w:val="21"/>
        </w:rPr>
        <w:t>"•+,</w:t>
      </w:r>
      <w:r>
        <w:rPr>
          <w:spacing w:val="6"/>
          <w:sz w:val="21"/>
        </w:rPr>
        <w:t> </w:t>
      </w:r>
      <w:r>
        <w:rPr>
          <w:spacing w:val="-27"/>
          <w:w w:val="209"/>
          <w:position w:val="10"/>
          <w:sz w:val="21"/>
        </w:rPr>
        <w:t>,</w:t>
      </w:r>
      <w:r>
        <w:rPr>
          <w:w w:val="104"/>
          <w:position w:val="10"/>
          <w:sz w:val="21"/>
        </w:rPr>
        <w:t>,</w:t>
      </w:r>
      <w:r>
        <w:rPr>
          <w:position w:val="10"/>
          <w:sz w:val="21"/>
        </w:rPr>
        <w:t> </w:t>
      </w:r>
      <w:r>
        <w:rPr>
          <w:spacing w:val="-16"/>
          <w:position w:val="10"/>
          <w:sz w:val="21"/>
        </w:rPr>
        <w:t> </w:t>
      </w:r>
      <w:r>
        <w:rPr>
          <w:w w:val="87"/>
          <w:position w:val="-7"/>
          <w:sz w:val="28"/>
        </w:rPr>
        <w:t>=</w:t>
      </w:r>
      <w:r>
        <w:rPr>
          <w:position w:val="-7"/>
          <w:sz w:val="28"/>
        </w:rPr>
        <w:t> </w:t>
      </w:r>
      <w:r>
        <w:rPr>
          <w:spacing w:val="-27"/>
          <w:position w:val="-7"/>
          <w:sz w:val="28"/>
        </w:rPr>
        <w:t> </w:t>
      </w:r>
      <w:r>
        <w:rPr>
          <w:spacing w:val="-99"/>
          <w:w w:val="129"/>
          <w:sz w:val="21"/>
        </w:rPr>
        <w:t>1</w:t>
      </w:r>
    </w:p>
    <w:p>
      <w:pPr>
        <w:pStyle w:val="ListParagraph"/>
        <w:numPr>
          <w:ilvl w:val="0"/>
          <w:numId w:val="155"/>
        </w:numPr>
        <w:tabs>
          <w:tab w:pos="334" w:val="left" w:leader="none"/>
        </w:tabs>
        <w:spacing w:line="240" w:lineRule="auto" w:before="117" w:after="0"/>
        <w:ind w:left="333" w:right="0" w:hanging="234"/>
        <w:jc w:val="left"/>
        <w:rPr>
          <w:sz w:val="28"/>
        </w:rPr>
      </w:pPr>
      <w:r>
        <w:rPr>
          <w:i/>
          <w:spacing w:val="-4"/>
          <w:w w:val="92"/>
          <w:sz w:val="21"/>
        </w:rPr>
        <w:br w:type="column"/>
      </w:r>
      <w:r>
        <w:rPr>
          <w:i/>
          <w:spacing w:val="-37"/>
          <w:w w:val="135"/>
          <w:sz w:val="21"/>
        </w:rPr>
        <w:t>e</w:t>
      </w:r>
      <w:r>
        <w:rPr>
          <w:spacing w:val="-37"/>
          <w:w w:val="135"/>
          <w:position w:val="8"/>
          <w:sz w:val="21"/>
        </w:rPr>
        <w:t>-</w:t>
      </w:r>
    </w:p>
    <w:p>
      <w:pPr>
        <w:spacing w:before="17"/>
        <w:ind w:left="83" w:right="0" w:firstLine="0"/>
        <w:jc w:val="left"/>
        <w:rPr>
          <w:sz w:val="21"/>
        </w:rPr>
      </w:pPr>
      <w:r>
        <w:rPr/>
        <w:br w:type="column"/>
      </w:r>
      <w:r>
        <w:rPr>
          <w:spacing w:val="-10"/>
          <w:w w:val="88"/>
          <w:sz w:val="21"/>
        </w:rPr>
        <w:t>n</w:t>
      </w:r>
      <w:r>
        <w:rPr>
          <w:spacing w:val="-31"/>
          <w:w w:val="77"/>
          <w:position w:val="-9"/>
          <w:sz w:val="21"/>
        </w:rPr>
        <w:t>.</w:t>
      </w:r>
      <w:r>
        <w:rPr>
          <w:w w:val="87"/>
          <w:sz w:val="21"/>
        </w:rPr>
        <w:t>-</w:t>
      </w:r>
      <w:r>
        <w:rPr>
          <w:spacing w:val="-2"/>
          <w:w w:val="87"/>
          <w:sz w:val="21"/>
        </w:rPr>
        <w:t>1</w:t>
      </w:r>
      <w:r>
        <w:rPr>
          <w:w w:val="88"/>
          <w:position w:val="-9"/>
          <w:sz w:val="21"/>
        </w:rPr>
        <w:t>"•</w:t>
      </w:r>
      <w:r>
        <w:rPr>
          <w:spacing w:val="-18"/>
          <w:position w:val="-9"/>
          <w:sz w:val="21"/>
        </w:rPr>
        <w:t> </w:t>
      </w:r>
      <w:r>
        <w:rPr>
          <w:spacing w:val="-33"/>
          <w:w w:val="186"/>
          <w:sz w:val="21"/>
        </w:rPr>
        <w:t>,</w:t>
      </w:r>
      <w:r>
        <w:rPr>
          <w:spacing w:val="-73"/>
          <w:w w:val="102"/>
          <w:position w:val="-9"/>
          <w:sz w:val="21"/>
        </w:rPr>
        <w:t>•</w:t>
      </w:r>
      <w:r>
        <w:rPr>
          <w:w w:val="75"/>
          <w:sz w:val="21"/>
        </w:rPr>
        <w:t>..</w:t>
      </w:r>
    </w:p>
    <w:p>
      <w:pPr>
        <w:spacing w:after="0"/>
        <w:jc w:val="left"/>
        <w:rPr>
          <w:sz w:val="21"/>
        </w:rPr>
        <w:sectPr>
          <w:type w:val="continuous"/>
          <w:pgSz w:w="7200" w:h="11340"/>
          <w:pgMar w:top="1100" w:bottom="0" w:left="660" w:right="540"/>
          <w:cols w:num="4" w:equalWidth="0">
            <w:col w:w="840" w:space="40"/>
            <w:col w:w="1691" w:space="40"/>
            <w:col w:w="483" w:space="40"/>
            <w:col w:w="2866"/>
          </w:cols>
        </w:sectPr>
      </w:pPr>
    </w:p>
    <w:p>
      <w:pPr>
        <w:spacing w:line="276" w:lineRule="exact" w:before="0"/>
        <w:ind w:left="103" w:right="0" w:firstLine="0"/>
        <w:jc w:val="left"/>
        <w:rPr>
          <w:i/>
          <w:sz w:val="20"/>
        </w:rPr>
      </w:pPr>
      <w:r>
        <w:rPr>
          <w:sz w:val="20"/>
        </w:rPr>
        <w:t>30. </w:t>
      </w:r>
      <w:r>
        <w:rPr>
          <w:i/>
          <w:w w:val="90"/>
          <w:sz w:val="21"/>
        </w:rPr>
        <w:t>q;s  </w:t>
      </w:r>
      <w:r>
        <w:rPr>
          <w:rFonts w:ascii="Arial"/>
          <w:sz w:val="27"/>
        </w:rPr>
        <w:t>&lt; </w:t>
      </w:r>
      <w:r>
        <w:rPr>
          <w:i/>
          <w:sz w:val="20"/>
        </w:rPr>
        <w:t>2q..</w:t>
      </w:r>
    </w:p>
    <w:p>
      <w:pPr>
        <w:pStyle w:val="BodyText"/>
        <w:spacing w:before="1"/>
        <w:rPr>
          <w:i/>
          <w:sz w:val="11"/>
        </w:rPr>
      </w:pPr>
    </w:p>
    <w:p>
      <w:pPr>
        <w:spacing w:before="76"/>
        <w:ind w:left="48" w:right="87" w:firstLine="0"/>
        <w:jc w:val="center"/>
        <w:rPr>
          <w:rFonts w:ascii="Arial"/>
          <w:sz w:val="19"/>
        </w:rPr>
      </w:pPr>
      <w:r>
        <w:rPr>
          <w:w w:val="105"/>
          <w:sz w:val="16"/>
        </w:rPr>
        <w:t>CHAPTER  </w:t>
      </w:r>
      <w:r>
        <w:rPr>
          <w:rFonts w:ascii="Arial"/>
          <w:w w:val="105"/>
          <w:sz w:val="19"/>
        </w:rPr>
        <w:t>2</w:t>
      </w:r>
    </w:p>
    <w:p>
      <w:pPr>
        <w:spacing w:before="123" w:after="3"/>
        <w:ind w:left="114" w:right="0" w:firstLine="0"/>
        <w:jc w:val="left"/>
        <w:rPr>
          <w:b/>
          <w:sz w:val="21"/>
        </w:rPr>
      </w:pPr>
      <w:r>
        <w:rPr/>
        <w:pict>
          <v:shape style="position:absolute;margin-left:54.900002pt;margin-top:13.601324pt;width:13.3pt;height:11pt;mso-position-horizontal-relative:page;mso-position-vertical-relative:paragraph;z-index:-708544" type="#_x0000_t202" filled="false" stroked="false">
            <v:textbox inset="0,0,0,0">
              <w:txbxContent>
                <w:p>
                  <w:pPr>
                    <w:spacing w:line="220" w:lineRule="exact" w:before="0"/>
                    <w:ind w:left="0" w:right="-20" w:firstLine="0"/>
                    <w:jc w:val="left"/>
                    <w:rPr>
                      <w:i/>
                      <w:sz w:val="22"/>
                    </w:rPr>
                  </w:pPr>
                  <w:r>
                    <w:rPr>
                      <w:i/>
                      <w:w w:val="75"/>
                      <w:sz w:val="22"/>
                    </w:rPr>
                    <w:t>Dro</w:t>
                  </w:r>
                </w:p>
              </w:txbxContent>
            </v:textbox>
            <w10:wrap type="none"/>
          </v:shape>
        </w:pict>
      </w:r>
      <w:r>
        <w:rPr>
          <w:spacing w:val="-18"/>
          <w:w w:val="135"/>
          <w:sz w:val="20"/>
        </w:rPr>
        <w:t>10.  </w:t>
      </w:r>
      <w:r>
        <w:rPr>
          <w:w w:val="135"/>
          <w:position w:val="13"/>
          <w:sz w:val="21"/>
        </w:rPr>
        <w:t>1 </w:t>
      </w:r>
      <w:r>
        <w:rPr>
          <w:w w:val="105"/>
          <w:sz w:val="20"/>
        </w:rPr>
        <w:t>[120(N</w:t>
      </w:r>
      <w:r>
        <w:rPr>
          <w:i/>
          <w:w w:val="105"/>
          <w:sz w:val="13"/>
        </w:rPr>
        <w:t>40 </w:t>
      </w:r>
      <w:r>
        <w:rPr>
          <w:w w:val="405"/>
          <w:sz w:val="13"/>
        </w:rPr>
        <w:t>-</w:t>
      </w:r>
      <w:r>
        <w:rPr>
          <w:spacing w:val="-105"/>
          <w:w w:val="405"/>
          <w:sz w:val="13"/>
        </w:rPr>
        <w:t> </w:t>
      </w:r>
      <w:r>
        <w:rPr>
          <w:i/>
          <w:w w:val="105"/>
          <w:sz w:val="22"/>
        </w:rPr>
        <w:t>N </w:t>
      </w:r>
      <w:r>
        <w:rPr>
          <w:w w:val="135"/>
          <w:sz w:val="20"/>
        </w:rPr>
        <w:t>'°) </w:t>
      </w:r>
      <w:r>
        <w:rPr>
          <w:w w:val="275"/>
          <w:sz w:val="20"/>
        </w:rPr>
        <w:t>-</w:t>
      </w:r>
      <w:r>
        <w:rPr>
          <w:spacing w:val="-112"/>
          <w:w w:val="275"/>
          <w:sz w:val="20"/>
        </w:rPr>
        <w:t> </w:t>
      </w:r>
      <w:r>
        <w:rPr>
          <w:i/>
          <w:w w:val="105"/>
          <w:sz w:val="22"/>
        </w:rPr>
        <w:t>55( D,o </w:t>
      </w:r>
      <w:r>
        <w:rPr>
          <w:w w:val="240"/>
          <w:sz w:val="22"/>
        </w:rPr>
        <w:t>-</w:t>
      </w:r>
      <w:r>
        <w:rPr>
          <w:spacing w:val="-110"/>
          <w:w w:val="240"/>
          <w:sz w:val="22"/>
        </w:rPr>
        <w:t> </w:t>
      </w:r>
      <w:r>
        <w:rPr>
          <w:b/>
          <w:w w:val="105"/>
          <w:sz w:val="21"/>
        </w:rPr>
        <w:t>D¡o))</w:t>
      </w:r>
    </w:p>
    <w:p>
      <w:pPr>
        <w:pStyle w:val="BodyText"/>
        <w:spacing w:line="87" w:lineRule="exact"/>
        <w:ind w:left="394"/>
        <w:rPr>
          <w:sz w:val="8"/>
        </w:rPr>
      </w:pPr>
      <w:r>
        <w:rPr>
          <w:position w:val="-1"/>
          <w:sz w:val="8"/>
        </w:rPr>
        <w:pict>
          <v:group style="width:17.850pt;height:4.350pt;mso-position-horizontal-relative:char;mso-position-vertical-relative:line" coordorigin="0,0" coordsize="357,87">
            <v:line style="position:absolute" from="43,43" to="313,43" stroked="true" strokeweight="4.32pt" strokecolor="#000000"/>
          </v:group>
        </w:pict>
      </w:r>
      <w:r>
        <w:rPr>
          <w:position w:val="-1"/>
          <w:sz w:val="8"/>
        </w:rPr>
      </w:r>
    </w:p>
    <w:p>
      <w:pPr>
        <w:pStyle w:val="BodyText"/>
        <w:spacing w:before="1"/>
        <w:rPr>
          <w:b/>
          <w:sz w:val="14"/>
        </w:rPr>
      </w:pPr>
      <w:r>
        <w:rPr/>
        <w:drawing>
          <wp:anchor distT="0" distB="0" distL="0" distR="0" allowOverlap="1" layoutInCell="1" locked="0" behindDoc="0" simplePos="0" relativeHeight="27424">
            <wp:simplePos x="0" y="0"/>
            <wp:positionH relativeFrom="page">
              <wp:posOffset>484631</wp:posOffset>
            </wp:positionH>
            <wp:positionV relativeFrom="paragraph">
              <wp:posOffset>127825</wp:posOffset>
            </wp:positionV>
            <wp:extent cx="1920240" cy="137159"/>
            <wp:effectExtent l="0" t="0" r="0" b="0"/>
            <wp:wrapTopAndBottom/>
            <wp:docPr id="819" name="image418.png" descr=""/>
            <wp:cNvGraphicFramePr>
              <a:graphicFrameLocks noChangeAspect="1"/>
            </wp:cNvGraphicFramePr>
            <a:graphic>
              <a:graphicData uri="http://schemas.openxmlformats.org/drawingml/2006/picture">
                <pic:pic>
                  <pic:nvPicPr>
                    <pic:cNvPr id="820" name="image418.png"/>
                    <pic:cNvPicPr/>
                  </pic:nvPicPr>
                  <pic:blipFill>
                    <a:blip r:embed="rId422" cstate="print"/>
                    <a:stretch>
                      <a:fillRect/>
                    </a:stretch>
                  </pic:blipFill>
                  <pic:spPr>
                    <a:xfrm>
                      <a:off x="0" y="0"/>
                      <a:ext cx="1920240" cy="137159"/>
                    </a:xfrm>
                    <a:prstGeom prst="rect">
                      <a:avLst/>
                    </a:prstGeom>
                  </pic:spPr>
                </pic:pic>
              </a:graphicData>
            </a:graphic>
          </wp:anchor>
        </w:drawing>
      </w:r>
    </w:p>
    <w:p>
      <w:pPr>
        <w:pStyle w:val="BodyText"/>
        <w:spacing w:line="179" w:lineRule="exact" w:before="144"/>
        <w:ind w:left="884"/>
      </w:pPr>
      <w:r>
        <w:rPr>
          <w:w w:val="129"/>
        </w:rPr>
        <w:t>1</w:t>
      </w:r>
    </w:p>
    <w:p>
      <w:pPr>
        <w:spacing w:line="190" w:lineRule="exact" w:before="0"/>
        <w:ind w:left="459" w:right="0" w:firstLine="0"/>
        <w:jc w:val="left"/>
        <w:rPr>
          <w:b/>
          <w:sz w:val="21"/>
        </w:rPr>
      </w:pPr>
      <w:r>
        <w:rPr/>
        <w:pict>
          <v:rect style="position:absolute;margin-left:73.440002pt;margin-top:7.239825pt;width:10.8pt;height:6.3pt;mso-position-horizontal-relative:page;mso-position-vertical-relative:paragraph;z-index:-708616" filled="true" fillcolor="#000000" stroked="false">
            <v:fill type="solid"/>
            <w10:wrap type="none"/>
          </v:rect>
        </w:pict>
      </w:r>
      <w:r>
        <w:rPr>
          <w:w w:val="140"/>
          <w:sz w:val="20"/>
        </w:rPr>
        <w:t>(b)</w:t>
      </w:r>
      <w:r>
        <w:rPr>
          <w:spacing w:val="-50"/>
          <w:w w:val="140"/>
          <w:sz w:val="20"/>
        </w:rPr>
        <w:t> </w:t>
      </w:r>
      <w:r>
        <w:rPr>
          <w:rFonts w:ascii="Arial"/>
          <w:i/>
          <w:w w:val="140"/>
          <w:sz w:val="20"/>
        </w:rPr>
        <w:t>D.</w:t>
      </w:r>
      <w:r>
        <w:rPr>
          <w:rFonts w:ascii="Arial"/>
          <w:i/>
          <w:spacing w:val="-61"/>
          <w:w w:val="140"/>
          <w:sz w:val="20"/>
        </w:rPr>
        <w:t> </w:t>
      </w:r>
      <w:r>
        <w:rPr>
          <w:spacing w:val="-6"/>
          <w:w w:val="140"/>
          <w:sz w:val="20"/>
        </w:rPr>
        <w:t>(Ss </w:t>
      </w:r>
      <w:r>
        <w:rPr>
          <w:w w:val="195"/>
          <w:sz w:val="20"/>
        </w:rPr>
        <w:t>-</w:t>
      </w:r>
      <w:r>
        <w:rPr>
          <w:spacing w:val="-82"/>
          <w:w w:val="195"/>
          <w:sz w:val="20"/>
        </w:rPr>
        <w:t> </w:t>
      </w:r>
      <w:r>
        <w:rPr>
          <w:rFonts w:ascii="Arial"/>
          <w:b/>
          <w:sz w:val="18"/>
        </w:rPr>
        <w:t>Ss+r&amp; </w:t>
      </w:r>
      <w:r>
        <w:rPr>
          <w:rFonts w:ascii="Arial"/>
          <w:w w:val="195"/>
          <w:sz w:val="18"/>
        </w:rPr>
        <w:t>-</w:t>
      </w:r>
      <w:r>
        <w:rPr>
          <w:rFonts w:ascii="Arial"/>
          <w:spacing w:val="-78"/>
          <w:w w:val="195"/>
          <w:sz w:val="18"/>
        </w:rPr>
        <w:t> </w:t>
      </w:r>
      <w:r>
        <w:rPr>
          <w:b/>
          <w:sz w:val="21"/>
        </w:rPr>
        <w:t>nNs+,a )</w:t>
      </w:r>
    </w:p>
    <w:p>
      <w:pPr>
        <w:spacing w:after="0" w:line="190" w:lineRule="exact"/>
        <w:jc w:val="left"/>
        <w:rPr>
          <w:sz w:val="21"/>
        </w:rPr>
        <w:sectPr>
          <w:type w:val="continuous"/>
          <w:pgSz w:w="7200" w:h="11340"/>
          <w:pgMar w:top="1100" w:bottom="0" w:left="660" w:right="540"/>
        </w:sectPr>
      </w:pPr>
    </w:p>
    <w:p>
      <w:pPr>
        <w:tabs>
          <w:tab w:pos="2595" w:val="left" w:leader="none"/>
          <w:tab w:pos="5898" w:val="right" w:leader="none"/>
        </w:tabs>
        <w:spacing w:before="59"/>
        <w:ind w:left="122" w:right="0" w:firstLine="0"/>
        <w:jc w:val="left"/>
        <w:rPr>
          <w:rFonts w:ascii="Courier New"/>
          <w:sz w:val="23"/>
        </w:rPr>
      </w:pPr>
      <w:r>
        <w:rPr/>
        <w:drawing>
          <wp:anchor distT="0" distB="0" distL="0" distR="0" allowOverlap="1" layoutInCell="1" locked="0" behindDoc="0" simplePos="0" relativeHeight="27544">
            <wp:simplePos x="0" y="0"/>
            <wp:positionH relativeFrom="page">
              <wp:posOffset>713231</wp:posOffset>
            </wp:positionH>
            <wp:positionV relativeFrom="paragraph">
              <wp:posOffset>335076</wp:posOffset>
            </wp:positionV>
            <wp:extent cx="1792224" cy="320040"/>
            <wp:effectExtent l="0" t="0" r="0" b="0"/>
            <wp:wrapNone/>
            <wp:docPr id="821" name="image419.png" descr=""/>
            <wp:cNvGraphicFramePr>
              <a:graphicFrameLocks noChangeAspect="1"/>
            </wp:cNvGraphicFramePr>
            <a:graphic>
              <a:graphicData uri="http://schemas.openxmlformats.org/drawingml/2006/picture">
                <pic:pic>
                  <pic:nvPicPr>
                    <pic:cNvPr id="822" name="image419.png"/>
                    <pic:cNvPicPr/>
                  </pic:nvPicPr>
                  <pic:blipFill>
                    <a:blip r:embed="rId423" cstate="print"/>
                    <a:stretch>
                      <a:fillRect/>
                    </a:stretch>
                  </pic:blipFill>
                  <pic:spPr>
                    <a:xfrm>
                      <a:off x="0" y="0"/>
                      <a:ext cx="1792224" cy="320040"/>
                    </a:xfrm>
                    <a:prstGeom prst="rect">
                      <a:avLst/>
                    </a:prstGeom>
                  </pic:spPr>
                </pic:pic>
              </a:graphicData>
            </a:graphic>
          </wp:anchor>
        </w:drawing>
      </w:r>
      <w:r>
        <w:rPr>
          <w:sz w:val="16"/>
        </w:rPr>
        <w:t>CH. </w:t>
      </w:r>
      <w:r>
        <w:rPr>
          <w:spacing w:val="8"/>
          <w:sz w:val="16"/>
        </w:rPr>
        <w:t> </w:t>
      </w:r>
      <w:r>
        <w:rPr>
          <w:rFonts w:ascii="Arial"/>
          <w:sz w:val="20"/>
        </w:rPr>
        <w:t>2)</w:t>
        <w:tab/>
      </w:r>
      <w:r>
        <w:rPr>
          <w:b/>
          <w:sz w:val="15"/>
        </w:rPr>
        <w:t>ANSWERS</w:t>
      </w:r>
      <w:r>
        <w:rPr>
          <w:rFonts w:ascii="Courier New"/>
          <w:sz w:val="23"/>
        </w:rPr>
        <w:tab/>
      </w:r>
      <w:r>
        <w:rPr>
          <w:rFonts w:ascii="Courier New"/>
          <w:spacing w:val="-23"/>
          <w:sz w:val="23"/>
        </w:rPr>
        <w:t>353</w:t>
      </w:r>
    </w:p>
    <w:p>
      <w:pPr>
        <w:spacing w:line="193" w:lineRule="exact" w:before="816"/>
        <w:ind w:left="780" w:right="0" w:firstLine="0"/>
        <w:jc w:val="center"/>
        <w:rPr>
          <w:sz w:val="22"/>
        </w:rPr>
      </w:pPr>
      <w:r>
        <w:rPr>
          <w:w w:val="135"/>
          <w:sz w:val="22"/>
        </w:rPr>
        <w:t>1</w:t>
      </w:r>
    </w:p>
    <w:p>
      <w:pPr>
        <w:tabs>
          <w:tab w:pos="3467" w:val="left" w:leader="none"/>
        </w:tabs>
        <w:spacing w:line="193" w:lineRule="exact" w:before="0"/>
        <w:ind w:left="2581" w:right="0" w:firstLine="0"/>
        <w:jc w:val="left"/>
        <w:rPr>
          <w:rFonts w:ascii="Arial"/>
          <w:sz w:val="22"/>
        </w:rPr>
      </w:pPr>
      <w:r>
        <w:rPr/>
        <w:pict>
          <v:line style="position:absolute;mso-position-horizontal-relative:page;mso-position-vertical-relative:paragraph;z-index:27568" from="183.419998pt,10.17925pt" to="195.659998pt,10.17925pt" stroked="true" strokeweight="5.04pt" strokecolor="#000000">
            <w10:wrap type="none"/>
          </v:line>
        </w:pict>
      </w:r>
      <w:r>
        <w:rPr>
          <w:rFonts w:ascii="Arial"/>
          <w:w w:val="288"/>
          <w:sz w:val="20"/>
        </w:rPr>
        <w:t>-</w:t>
      </w:r>
      <w:r>
        <w:rPr>
          <w:rFonts w:ascii="Arial"/>
          <w:spacing w:val="-18"/>
          <w:sz w:val="20"/>
        </w:rPr>
        <w:t> </w:t>
      </w:r>
      <w:r>
        <w:rPr>
          <w:rFonts w:ascii="Arial"/>
          <w:i/>
          <w:w w:val="103"/>
          <w:sz w:val="20"/>
        </w:rPr>
        <w:t>m</w:t>
      </w:r>
      <w:r>
        <w:rPr>
          <w:rFonts w:ascii="Arial"/>
          <w:i/>
          <w:sz w:val="20"/>
        </w:rPr>
        <w:tab/>
      </w:r>
      <w:r>
        <w:rPr>
          <w:rFonts w:ascii="Arial"/>
          <w:spacing w:val="-28"/>
          <w:w w:val="127"/>
          <w:sz w:val="20"/>
        </w:rPr>
        <w:t>[</w:t>
      </w:r>
      <w:r>
        <w:rPr>
          <w:rFonts w:ascii="Arial"/>
          <w:w w:val="115"/>
          <w:sz w:val="20"/>
        </w:rPr>
        <w:t>n</w:t>
      </w:r>
      <w:r>
        <w:rPr>
          <w:rFonts w:ascii="Arial"/>
          <w:spacing w:val="-23"/>
          <w:w w:val="115"/>
          <w:sz w:val="20"/>
        </w:rPr>
        <w:t>D</w:t>
      </w:r>
      <w:r>
        <w:rPr>
          <w:rFonts w:ascii="Arial"/>
          <w:spacing w:val="-40"/>
          <w:w w:val="356"/>
          <w:sz w:val="20"/>
        </w:rPr>
        <w:t>.</w:t>
      </w:r>
      <w:r>
        <w:rPr>
          <w:rFonts w:ascii="Arial"/>
          <w:w w:val="275"/>
          <w:sz w:val="20"/>
        </w:rPr>
        <w:t>-</w:t>
      </w:r>
      <w:r>
        <w:rPr>
          <w:rFonts w:ascii="Arial"/>
          <w:spacing w:val="19"/>
          <w:sz w:val="20"/>
        </w:rPr>
        <w:t> </w:t>
      </w:r>
      <w:r>
        <w:rPr>
          <w:rFonts w:ascii="Arial"/>
          <w:w w:val="119"/>
          <w:sz w:val="22"/>
        </w:rPr>
        <w:t>(</w:t>
      </w:r>
      <w:r>
        <w:rPr>
          <w:rFonts w:ascii="Arial"/>
          <w:w w:val="119"/>
          <w:sz w:val="22"/>
        </w:rPr>
        <w:t>N</w:t>
      </w:r>
      <w:r>
        <w:rPr>
          <w:rFonts w:ascii="Arial"/>
          <w:spacing w:val="-9"/>
          <w:sz w:val="22"/>
        </w:rPr>
        <w:t> </w:t>
      </w:r>
      <w:r>
        <w:rPr>
          <w:rFonts w:ascii="Arial"/>
          <w:spacing w:val="-29"/>
          <w:w w:val="94"/>
          <w:sz w:val="22"/>
        </w:rPr>
        <w:t>+</w:t>
      </w:r>
      <w:r>
        <w:rPr>
          <w:rFonts w:ascii="Arial"/>
          <w:spacing w:val="16"/>
          <w:w w:val="109"/>
          <w:sz w:val="22"/>
        </w:rPr>
        <w:t>1</w:t>
      </w:r>
      <w:r>
        <w:rPr>
          <w:rFonts w:ascii="Arial"/>
          <w:w w:val="250"/>
          <w:sz w:val="22"/>
        </w:rPr>
        <w:t>-</w:t>
      </w:r>
      <w:r>
        <w:rPr>
          <w:rFonts w:ascii="Arial"/>
          <w:spacing w:val="-270"/>
          <w:w w:val="136"/>
          <w:sz w:val="22"/>
        </w:rPr>
        <w:t>N</w:t>
      </w:r>
      <w:r>
        <w:rPr>
          <w:rFonts w:ascii="Arial"/>
          <w:spacing w:val="-277"/>
          <w:w w:val="324"/>
          <w:sz w:val="22"/>
        </w:rPr>
        <w:t>.</w:t>
      </w:r>
      <w:r>
        <w:rPr>
          <w:rFonts w:ascii="Arial"/>
          <w:w w:val="78"/>
          <w:sz w:val="22"/>
        </w:rPr>
        <w:t>...</w:t>
      </w:r>
      <w:r>
        <w:rPr>
          <w:rFonts w:ascii="Arial"/>
          <w:spacing w:val="-6"/>
          <w:w w:val="78"/>
          <w:sz w:val="22"/>
        </w:rPr>
        <w:t>.</w:t>
      </w:r>
      <w:r>
        <w:rPr>
          <w:rFonts w:ascii="Arial"/>
          <w:w w:val="93"/>
          <w:sz w:val="22"/>
        </w:rPr>
        <w:t>+</w:t>
      </w:r>
      <w:r>
        <w:rPr>
          <w:rFonts w:ascii="Arial"/>
          <w:spacing w:val="-6"/>
          <w:w w:val="93"/>
          <w:sz w:val="22"/>
        </w:rPr>
        <w:t>,</w:t>
      </w:r>
      <w:r>
        <w:rPr>
          <w:rFonts w:ascii="Arial"/>
          <w:w w:val="116"/>
          <w:sz w:val="22"/>
        </w:rPr>
        <w:t>)</w:t>
      </w:r>
      <w:r>
        <w:rPr>
          <w:rFonts w:ascii="Arial"/>
          <w:w w:val="116"/>
          <w:sz w:val="22"/>
        </w:rPr>
        <w:t>I}</w:t>
      </w:r>
    </w:p>
    <w:p>
      <w:pPr>
        <w:spacing w:before="287"/>
        <w:ind w:left="130" w:right="0" w:firstLine="0"/>
        <w:jc w:val="left"/>
        <w:rPr>
          <w:sz w:val="19"/>
        </w:rPr>
      </w:pPr>
      <w:r>
        <w:rPr/>
        <w:pict>
          <v:rect style="position:absolute;margin-left:56.52pt;margin-top:27.887098pt;width:10.98pt;height:6.12pt;mso-position-horizontal-relative:page;mso-position-vertical-relative:paragraph;z-index:-708472" filled="true" fillcolor="#000000" stroked="false">
            <v:fill type="solid"/>
            <w10:wrap type="none"/>
          </v:rect>
        </w:pict>
      </w:r>
      <w:r>
        <w:rPr/>
        <w:pict>
          <v:shape style="position:absolute;margin-left:60.84pt;margin-top:12.418024pt;width:6.45pt;height:10.5pt;mso-position-horizontal-relative:page;mso-position-vertical-relative:paragraph;z-index:-708328" type="#_x0000_t202" filled="false" stroked="false">
            <v:textbox inset="0,0,0,0">
              <w:txbxContent>
                <w:p>
                  <w:pPr>
                    <w:spacing w:line="210" w:lineRule="exact" w:before="0"/>
                    <w:ind w:left="0" w:right="0" w:firstLine="0"/>
                    <w:jc w:val="left"/>
                    <w:rPr>
                      <w:sz w:val="21"/>
                    </w:rPr>
                  </w:pPr>
                  <w:r>
                    <w:rPr>
                      <w:w w:val="122"/>
                      <w:sz w:val="21"/>
                    </w:rPr>
                    <w:t>1</w:t>
                  </w:r>
                </w:p>
              </w:txbxContent>
            </v:textbox>
            <w10:wrap type="none"/>
          </v:shape>
        </w:pict>
      </w:r>
      <w:r>
        <w:rPr>
          <w:spacing w:val="-18"/>
          <w:w w:val="120"/>
          <w:sz w:val="20"/>
        </w:rPr>
        <w:t>16. </w:t>
      </w:r>
      <w:r>
        <w:rPr>
          <w:i/>
          <w:sz w:val="21"/>
        </w:rPr>
        <w:t>Dz [N z </w:t>
      </w:r>
      <w:r>
        <w:rPr>
          <w:w w:val="120"/>
          <w:sz w:val="29"/>
        </w:rPr>
        <w:t>+ </w:t>
      </w:r>
      <w:r>
        <w:rPr>
          <w:spacing w:val="-5"/>
          <w:w w:val="120"/>
          <w:sz w:val="20"/>
        </w:rPr>
        <w:t>.l(Sz+l </w:t>
      </w:r>
      <w:r>
        <w:rPr>
          <w:w w:val="255"/>
          <w:sz w:val="20"/>
        </w:rPr>
        <w:t>-</w:t>
      </w:r>
      <w:r>
        <w:rPr>
          <w:spacing w:val="-97"/>
          <w:w w:val="255"/>
          <w:sz w:val="20"/>
        </w:rPr>
        <w:t> </w:t>
      </w:r>
      <w:r>
        <w:rPr>
          <w:i/>
          <w:spacing w:val="3"/>
          <w:sz w:val="21"/>
        </w:rPr>
        <w:t>S:+a) </w:t>
      </w:r>
      <w:r>
        <w:rPr>
          <w:w w:val="255"/>
          <w:sz w:val="21"/>
        </w:rPr>
        <w:t>-</w:t>
      </w:r>
      <w:r>
        <w:rPr>
          <w:spacing w:val="-96"/>
          <w:w w:val="255"/>
          <w:sz w:val="21"/>
        </w:rPr>
        <w:t> </w:t>
      </w:r>
      <w:r>
        <w:rPr>
          <w:w w:val="120"/>
          <w:sz w:val="19"/>
        </w:rPr>
        <w:t>l.5N:+u1</w:t>
      </w:r>
    </w:p>
    <w:p>
      <w:pPr>
        <w:spacing w:before="245"/>
        <w:ind w:left="133" w:right="0" w:firstLine="0"/>
        <w:jc w:val="left"/>
        <w:rPr>
          <w:sz w:val="21"/>
        </w:rPr>
      </w:pPr>
      <w:r>
        <w:rPr/>
        <w:pict>
          <v:rect style="position:absolute;margin-left:56.52pt;margin-top:27.257818pt;width:11.16pt;height:6.12pt;mso-position-horizontal-relative:page;mso-position-vertical-relative:paragraph;z-index:-708448" filled="true" fillcolor="#000000" stroked="false">
            <v:fill type="solid"/>
            <w10:wrap type="none"/>
          </v:rect>
        </w:pict>
      </w:r>
      <w:r>
        <w:rPr/>
        <w:pict>
          <v:shape style="position:absolute;margin-left:60.299999pt;margin-top:11.608745pt;width:6.45pt;height:10.5pt;mso-position-horizontal-relative:page;mso-position-vertical-relative:paragraph;z-index:-708304" type="#_x0000_t202" filled="false" stroked="false">
            <v:textbox inset="0,0,0,0">
              <w:txbxContent>
                <w:p>
                  <w:pPr>
                    <w:spacing w:line="210" w:lineRule="exact" w:before="0"/>
                    <w:ind w:left="0" w:right="0" w:firstLine="0"/>
                    <w:jc w:val="left"/>
                    <w:rPr>
                      <w:sz w:val="21"/>
                    </w:rPr>
                  </w:pPr>
                  <w:r>
                    <w:rPr>
                      <w:w w:val="122"/>
                      <w:sz w:val="21"/>
                    </w:rPr>
                    <w:t>1</w:t>
                  </w:r>
                </w:p>
              </w:txbxContent>
            </v:textbox>
            <w10:wrap type="none"/>
          </v:shape>
        </w:pict>
      </w:r>
      <w:r>
        <w:rPr>
          <w:spacing w:val="-43"/>
          <w:w w:val="116"/>
          <w:sz w:val="21"/>
        </w:rPr>
        <w:t>1</w:t>
      </w:r>
      <w:r>
        <w:rPr>
          <w:w w:val="97"/>
          <w:sz w:val="21"/>
        </w:rPr>
        <w:t>7.</w:t>
      </w:r>
      <w:r>
        <w:rPr>
          <w:sz w:val="21"/>
        </w:rPr>
        <w:t> </w:t>
      </w:r>
      <w:r>
        <w:rPr>
          <w:spacing w:val="-21"/>
          <w:sz w:val="21"/>
        </w:rPr>
        <w:t> </w:t>
      </w:r>
      <w:r>
        <w:rPr>
          <w:i/>
          <w:w w:val="90"/>
          <w:sz w:val="21"/>
        </w:rPr>
        <w:t>Dz</w:t>
      </w:r>
      <w:r>
        <w:rPr>
          <w:i/>
          <w:sz w:val="21"/>
        </w:rPr>
        <w:t> </w:t>
      </w:r>
      <w:r>
        <w:rPr>
          <w:i/>
          <w:spacing w:val="-26"/>
          <w:sz w:val="21"/>
        </w:rPr>
        <w:t> </w:t>
      </w:r>
      <w:r>
        <w:rPr>
          <w:w w:val="91"/>
          <w:sz w:val="21"/>
        </w:rPr>
        <w:t>[lOON</w:t>
      </w:r>
      <w:r>
        <w:rPr>
          <w:spacing w:val="-4"/>
          <w:w w:val="91"/>
          <w:sz w:val="21"/>
        </w:rPr>
        <w:t>:</w:t>
      </w:r>
      <w:r>
        <w:rPr>
          <w:w w:val="73"/>
          <w:sz w:val="21"/>
        </w:rPr>
        <w:t>+1</w:t>
      </w:r>
      <w:r>
        <w:rPr>
          <w:spacing w:val="12"/>
          <w:sz w:val="21"/>
        </w:rPr>
        <w:t> </w:t>
      </w:r>
      <w:r>
        <w:rPr>
          <w:rFonts w:ascii="Arial"/>
          <w:w w:val="104"/>
          <w:sz w:val="32"/>
        </w:rPr>
        <w:t>+</w:t>
      </w:r>
      <w:r>
        <w:rPr>
          <w:rFonts w:ascii="Arial"/>
          <w:spacing w:val="-33"/>
          <w:sz w:val="32"/>
        </w:rPr>
        <w:t> </w:t>
      </w:r>
      <w:r>
        <w:rPr>
          <w:spacing w:val="-24"/>
          <w:w w:val="112"/>
          <w:sz w:val="21"/>
        </w:rPr>
        <w:t>3</w:t>
      </w:r>
      <w:r>
        <w:rPr>
          <w:w w:val="103"/>
          <w:sz w:val="21"/>
        </w:rPr>
        <w:t>00</w:t>
      </w:r>
      <w:r>
        <w:rPr>
          <w:spacing w:val="-83"/>
          <w:w w:val="102"/>
          <w:sz w:val="21"/>
        </w:rPr>
        <w:t>S</w:t>
      </w:r>
      <w:r>
        <w:rPr>
          <w:spacing w:val="-158"/>
          <w:w w:val="280"/>
          <w:sz w:val="21"/>
        </w:rPr>
        <w:t>:</w:t>
      </w:r>
      <w:r>
        <w:rPr>
          <w:w w:val="69"/>
          <w:sz w:val="21"/>
        </w:rPr>
        <w:t>+2</w:t>
      </w:r>
      <w:r>
        <w:rPr>
          <w:sz w:val="21"/>
        </w:rPr>
        <w:t> </w:t>
      </w:r>
      <w:r>
        <w:rPr>
          <w:spacing w:val="-17"/>
          <w:sz w:val="21"/>
        </w:rPr>
        <w:t> </w:t>
      </w:r>
      <w:r>
        <w:rPr>
          <w:w w:val="275"/>
          <w:sz w:val="21"/>
        </w:rPr>
        <w:t>-</w:t>
      </w:r>
      <w:r>
        <w:rPr>
          <w:spacing w:val="-8"/>
          <w:sz w:val="21"/>
        </w:rPr>
        <w:t> </w:t>
      </w:r>
      <w:r>
        <w:rPr>
          <w:w w:val="98"/>
          <w:sz w:val="21"/>
        </w:rPr>
        <w:t>700</w:t>
      </w:r>
      <w:r>
        <w:rPr>
          <w:spacing w:val="-7"/>
          <w:w w:val="98"/>
          <w:sz w:val="21"/>
        </w:rPr>
        <w:t>S</w:t>
      </w:r>
      <w:r>
        <w:rPr>
          <w:w w:val="59"/>
          <w:sz w:val="21"/>
        </w:rPr>
        <w:t>.i:+7</w:t>
      </w:r>
      <w:r>
        <w:rPr>
          <w:spacing w:val="25"/>
          <w:sz w:val="21"/>
        </w:rPr>
        <w:t> </w:t>
      </w:r>
      <w:r>
        <w:rPr>
          <w:rFonts w:ascii="Arial"/>
          <w:w w:val="102"/>
          <w:sz w:val="32"/>
        </w:rPr>
        <w:t>+</w:t>
      </w:r>
      <w:r>
        <w:rPr>
          <w:rFonts w:ascii="Arial"/>
          <w:spacing w:val="-37"/>
          <w:sz w:val="32"/>
        </w:rPr>
        <w:t> </w:t>
      </w:r>
      <w:r>
        <w:rPr>
          <w:w w:val="101"/>
          <w:sz w:val="21"/>
        </w:rPr>
        <w:t>400</w:t>
      </w:r>
      <w:r>
        <w:rPr>
          <w:spacing w:val="-34"/>
          <w:w w:val="100"/>
          <w:sz w:val="21"/>
        </w:rPr>
        <w:t>S</w:t>
      </w:r>
      <w:r>
        <w:rPr>
          <w:spacing w:val="-99"/>
          <w:w w:val="249"/>
          <w:sz w:val="21"/>
        </w:rPr>
        <w:t>:</w:t>
      </w:r>
      <w:r>
        <w:rPr>
          <w:w w:val="73"/>
          <w:sz w:val="21"/>
        </w:rPr>
        <w:t>+</w:t>
      </w:r>
      <w:r>
        <w:rPr>
          <w:spacing w:val="-14"/>
          <w:w w:val="73"/>
          <w:sz w:val="21"/>
        </w:rPr>
        <w:t>1</w:t>
      </w:r>
      <w:r>
        <w:rPr>
          <w:w w:val="63"/>
          <w:sz w:val="21"/>
        </w:rPr>
        <w:t>ol</w:t>
      </w:r>
    </w:p>
    <w:p>
      <w:pPr>
        <w:spacing w:line="187" w:lineRule="exact" w:before="200"/>
        <w:ind w:left="533" w:right="0" w:firstLine="0"/>
        <w:jc w:val="left"/>
        <w:rPr>
          <w:sz w:val="21"/>
        </w:rPr>
      </w:pPr>
      <w:r>
        <w:rPr>
          <w:w w:val="129"/>
          <w:sz w:val="21"/>
        </w:rPr>
        <w:t>1</w:t>
      </w:r>
    </w:p>
    <w:p>
      <w:pPr>
        <w:spacing w:line="187" w:lineRule="exact" w:before="0"/>
        <w:ind w:left="130" w:right="0" w:firstLine="0"/>
        <w:jc w:val="left"/>
        <w:rPr>
          <w:b/>
          <w:i/>
          <w:sz w:val="21"/>
        </w:rPr>
      </w:pPr>
      <w:r>
        <w:rPr/>
        <w:pict>
          <v:rect style="position:absolute;margin-left:56.34pt;margin-top:7.09575pt;width:10.98pt;height:6.66pt;mso-position-horizontal-relative:page;mso-position-vertical-relative:paragraph;z-index:-708424" filled="true" fillcolor="#000000" stroked="false">
            <v:fill type="solid"/>
            <w10:wrap type="none"/>
          </v:rect>
        </w:pict>
      </w:r>
      <w:r>
        <w:rPr>
          <w:rFonts w:ascii="Arial"/>
          <w:b/>
          <w:spacing w:val="-11"/>
          <w:sz w:val="19"/>
        </w:rPr>
        <w:t>18. </w:t>
      </w:r>
      <w:r>
        <w:rPr>
          <w:b/>
          <w:i/>
          <w:sz w:val="21"/>
        </w:rPr>
        <w:t>Dz [hN, </w:t>
      </w:r>
      <w:r>
        <w:rPr>
          <w:w w:val="250"/>
          <w:sz w:val="21"/>
        </w:rPr>
        <w:t>-</w:t>
      </w:r>
      <w:r>
        <w:rPr>
          <w:spacing w:val="-100"/>
          <w:w w:val="250"/>
          <w:sz w:val="21"/>
        </w:rPr>
        <w:t> </w:t>
      </w:r>
      <w:r>
        <w:rPr>
          <w:b/>
          <w:i/>
          <w:sz w:val="21"/>
        </w:rPr>
        <w:t>k( SH1 </w:t>
      </w:r>
      <w:r>
        <w:rPr>
          <w:w w:val="250"/>
          <w:sz w:val="21"/>
        </w:rPr>
        <w:t>-</w:t>
      </w:r>
      <w:r>
        <w:rPr>
          <w:spacing w:val="-103"/>
          <w:w w:val="250"/>
          <w:sz w:val="21"/>
        </w:rPr>
        <w:t> </w:t>
      </w:r>
      <w:r>
        <w:rPr>
          <w:rFonts w:ascii="Arial"/>
          <w:b/>
          <w:sz w:val="19"/>
        </w:rPr>
        <w:t>Sv+n+1) </w:t>
      </w:r>
      <w:r>
        <w:rPr>
          <w:rFonts w:ascii="Arial"/>
          <w:w w:val="250"/>
          <w:sz w:val="19"/>
        </w:rPr>
        <w:t>-</w:t>
      </w:r>
      <w:r>
        <w:rPr>
          <w:rFonts w:ascii="Arial"/>
          <w:spacing w:val="-75"/>
          <w:w w:val="250"/>
          <w:sz w:val="19"/>
        </w:rPr>
        <w:t> </w:t>
      </w:r>
      <w:r>
        <w:rPr>
          <w:b/>
          <w:i/>
          <w:sz w:val="21"/>
        </w:rPr>
        <w:t>( h </w:t>
      </w:r>
      <w:r>
        <w:rPr>
          <w:w w:val="250"/>
          <w:sz w:val="21"/>
        </w:rPr>
        <w:t>-</w:t>
      </w:r>
      <w:r>
        <w:rPr>
          <w:spacing w:val="-100"/>
          <w:w w:val="250"/>
          <w:sz w:val="21"/>
        </w:rPr>
        <w:t> </w:t>
      </w:r>
      <w:r>
        <w:rPr>
          <w:b/>
          <w:i/>
          <w:sz w:val="21"/>
        </w:rPr>
        <w:t>nk )NHn </w:t>
      </w:r>
      <w:r>
        <w:rPr>
          <w:b/>
          <w:i/>
          <w:w w:val="80"/>
          <w:sz w:val="21"/>
        </w:rPr>
        <w:t>]</w:t>
      </w:r>
    </w:p>
    <w:p>
      <w:pPr>
        <w:pStyle w:val="BodyText"/>
        <w:spacing w:before="1"/>
        <w:rPr>
          <w:b/>
          <w:i/>
          <w:sz w:val="11"/>
        </w:rPr>
      </w:pPr>
    </w:p>
    <w:p>
      <w:pPr>
        <w:spacing w:before="139"/>
        <w:ind w:left="457" w:right="0" w:firstLine="0"/>
        <w:jc w:val="left"/>
        <w:rPr>
          <w:rFonts w:ascii="Arial"/>
          <w:sz w:val="19"/>
        </w:rPr>
      </w:pPr>
      <w:r>
        <w:rPr/>
        <w:pict>
          <v:rect style="position:absolute;margin-left:56.880001pt;margin-top:21.957808pt;width:11.16pt;height:5.94pt;mso-position-horizontal-relative:page;mso-position-vertical-relative:paragraph;z-index:-708400" filled="true" fillcolor="#000000" stroked="false">
            <v:fill type="solid"/>
            <w10:wrap type="none"/>
          </v:rect>
        </w:pict>
      </w:r>
      <w:r>
        <w:rPr/>
        <w:pict>
          <v:shape style="position:absolute;margin-left:60.299999pt;margin-top:5.048734pt;width:6.45pt;height:10.5pt;mso-position-horizontal-relative:page;mso-position-vertical-relative:paragraph;z-index:-708280" type="#_x0000_t202" filled="false" stroked="false">
            <v:textbox inset="0,0,0,0">
              <w:txbxContent>
                <w:p>
                  <w:pPr>
                    <w:spacing w:line="210" w:lineRule="exact" w:before="0"/>
                    <w:ind w:left="0" w:right="0" w:firstLine="0"/>
                    <w:jc w:val="left"/>
                    <w:rPr>
                      <w:sz w:val="21"/>
                    </w:rPr>
                  </w:pPr>
                  <w:r>
                    <w:rPr>
                      <w:w w:val="122"/>
                      <w:sz w:val="21"/>
                    </w:rPr>
                    <w:t>1</w:t>
                  </w:r>
                </w:p>
              </w:txbxContent>
            </v:textbox>
            <w10:wrap type="none"/>
          </v:shape>
        </w:pict>
      </w:r>
      <w:r>
        <w:rPr>
          <w:rFonts w:ascii="Arial"/>
          <w:i/>
          <w:w w:val="115"/>
          <w:sz w:val="20"/>
        </w:rPr>
        <w:t>D:</w:t>
      </w:r>
      <w:r>
        <w:rPr>
          <w:rFonts w:ascii="Arial"/>
          <w:i/>
          <w:sz w:val="20"/>
        </w:rPr>
        <w:t> </w:t>
      </w:r>
      <w:r>
        <w:rPr>
          <w:rFonts w:ascii="Arial"/>
          <w:i/>
          <w:w w:val="103"/>
          <w:sz w:val="20"/>
        </w:rPr>
        <w:t>[hN,</w:t>
      </w:r>
      <w:r>
        <w:rPr>
          <w:rFonts w:ascii="Arial"/>
          <w:i/>
          <w:spacing w:val="20"/>
          <w:sz w:val="20"/>
        </w:rPr>
        <w:t> </w:t>
      </w:r>
      <w:r>
        <w:rPr>
          <w:rFonts w:ascii="Arial"/>
          <w:w w:val="102"/>
          <w:sz w:val="32"/>
        </w:rPr>
        <w:t>+</w:t>
      </w:r>
      <w:r>
        <w:rPr>
          <w:rFonts w:ascii="Arial"/>
          <w:spacing w:val="-30"/>
          <w:sz w:val="32"/>
        </w:rPr>
        <w:t> </w:t>
      </w:r>
      <w:r>
        <w:rPr>
          <w:rFonts w:ascii="Arial"/>
          <w:i/>
          <w:w w:val="107"/>
          <w:sz w:val="18"/>
        </w:rPr>
        <w:t>k(</w:t>
      </w:r>
      <w:r>
        <w:rPr>
          <w:rFonts w:ascii="Arial"/>
          <w:i/>
          <w:spacing w:val="-17"/>
          <w:sz w:val="18"/>
        </w:rPr>
        <w:t> </w:t>
      </w:r>
      <w:r>
        <w:rPr>
          <w:rFonts w:ascii="Arial"/>
          <w:i/>
          <w:w w:val="110"/>
          <w:sz w:val="18"/>
        </w:rPr>
        <w:t>Sr</w:t>
      </w:r>
      <w:r>
        <w:rPr>
          <w:rFonts w:ascii="Arial"/>
          <w:i/>
          <w:spacing w:val="-11"/>
          <w:w w:val="110"/>
          <w:sz w:val="18"/>
        </w:rPr>
        <w:t>+</w:t>
      </w:r>
      <w:r>
        <w:rPr>
          <w:rFonts w:ascii="Arial"/>
          <w:i/>
          <w:w w:val="82"/>
          <w:sz w:val="18"/>
        </w:rPr>
        <w:t>1</w:t>
      </w:r>
      <w:r>
        <w:rPr>
          <w:rFonts w:ascii="Arial"/>
          <w:i/>
          <w:spacing w:val="10"/>
          <w:sz w:val="18"/>
        </w:rPr>
        <w:t> </w:t>
      </w:r>
      <w:r>
        <w:rPr>
          <w:rFonts w:ascii="Arial"/>
          <w:w w:val="298"/>
          <w:sz w:val="18"/>
        </w:rPr>
        <w:t>-</w:t>
      </w:r>
      <w:r>
        <w:rPr>
          <w:rFonts w:ascii="Arial"/>
          <w:spacing w:val="8"/>
          <w:sz w:val="18"/>
        </w:rPr>
        <w:t> </w:t>
      </w:r>
      <w:r>
        <w:rPr>
          <w:rFonts w:ascii="Arial"/>
          <w:spacing w:val="-116"/>
          <w:w w:val="110"/>
          <w:sz w:val="19"/>
        </w:rPr>
        <w:t>S</w:t>
      </w:r>
      <w:r>
        <w:rPr>
          <w:rFonts w:ascii="Arial"/>
          <w:spacing w:val="-177"/>
          <w:w w:val="319"/>
          <w:sz w:val="19"/>
        </w:rPr>
        <w:t>,</w:t>
      </w:r>
      <w:r>
        <w:rPr>
          <w:rFonts w:ascii="Arial"/>
          <w:w w:val="99"/>
          <w:sz w:val="19"/>
        </w:rPr>
        <w:t>+n</w:t>
      </w:r>
      <w:r>
        <w:rPr>
          <w:rFonts w:ascii="Arial"/>
          <w:w w:val="99"/>
          <w:sz w:val="19"/>
        </w:rPr>
        <w:t>)</w:t>
      </w:r>
      <w:r>
        <w:rPr>
          <w:rFonts w:ascii="Arial"/>
          <w:w w:val="99"/>
          <w:sz w:val="19"/>
        </w:rPr>
        <w:t>]</w:t>
      </w:r>
    </w:p>
    <w:p>
      <w:pPr>
        <w:spacing w:line="195" w:lineRule="exact" w:before="197"/>
        <w:ind w:left="108" w:right="0" w:firstLine="0"/>
        <w:jc w:val="left"/>
        <w:rPr>
          <w:b/>
          <w:i/>
          <w:sz w:val="21"/>
        </w:rPr>
      </w:pPr>
      <w:r>
        <w:rPr>
          <w:rFonts w:ascii="Arial" w:hAnsi="Arial"/>
          <w:b/>
          <w:sz w:val="20"/>
        </w:rPr>
        <w:t>20. </w:t>
      </w:r>
      <w:r>
        <w:rPr>
          <w:rFonts w:ascii="Arial" w:hAnsi="Arial"/>
          <w:w w:val="235"/>
          <w:sz w:val="20"/>
        </w:rPr>
        <w:t>-</w:t>
      </w:r>
      <w:r>
        <w:rPr>
          <w:rFonts w:ascii="Arial" w:hAnsi="Arial"/>
          <w:spacing w:val="-101"/>
          <w:w w:val="235"/>
          <w:sz w:val="20"/>
        </w:rPr>
        <w:t> </w:t>
      </w:r>
      <w:r>
        <w:rPr>
          <w:b/>
          <w:i/>
          <w:spacing w:val="4"/>
          <w:sz w:val="21"/>
        </w:rPr>
        <w:t>(]á </w:t>
      </w:r>
      <w:r>
        <w:rPr>
          <w:b/>
          <w:i/>
          <w:sz w:val="21"/>
        </w:rPr>
        <w:t>)z</w:t>
      </w:r>
    </w:p>
    <w:p>
      <w:pPr>
        <w:tabs>
          <w:tab w:pos="1695" w:val="left" w:leader="none"/>
          <w:tab w:pos="2153" w:val="left" w:leader="none"/>
        </w:tabs>
        <w:spacing w:line="620" w:lineRule="exact" w:before="0"/>
        <w:ind w:left="108" w:right="0" w:firstLine="0"/>
        <w:jc w:val="left"/>
        <w:rPr>
          <w:sz w:val="20"/>
        </w:rPr>
      </w:pPr>
      <w:r>
        <w:rPr>
          <w:w w:val="99"/>
          <w:sz w:val="20"/>
        </w:rPr>
        <w:t>21.</w:t>
      </w:r>
      <w:r>
        <w:rPr>
          <w:sz w:val="20"/>
        </w:rPr>
        <w:t> </w:t>
      </w:r>
      <w:r>
        <w:rPr>
          <w:spacing w:val="12"/>
          <w:sz w:val="20"/>
        </w:rPr>
        <w:t> </w:t>
      </w:r>
      <w:r>
        <w:rPr>
          <w:w w:val="90"/>
          <w:sz w:val="20"/>
        </w:rPr>
        <w:t>(</w:t>
      </w:r>
      <w:r>
        <w:rPr>
          <w:spacing w:val="-28"/>
          <w:sz w:val="20"/>
        </w:rPr>
        <w:t> </w:t>
      </w:r>
      <w:r>
        <w:rPr>
          <w:sz w:val="20"/>
        </w:rPr>
        <w:t>b) </w:t>
      </w:r>
      <w:r>
        <w:rPr>
          <w:spacing w:val="-19"/>
          <w:sz w:val="20"/>
        </w:rPr>
        <w:t> </w:t>
      </w:r>
      <w:r>
        <w:rPr>
          <w:i/>
          <w:w w:val="106"/>
          <w:sz w:val="23"/>
        </w:rPr>
        <w:t>(I</w:t>
      </w:r>
      <w:r>
        <w:rPr>
          <w:i/>
          <w:spacing w:val="15"/>
          <w:w w:val="106"/>
          <w:sz w:val="23"/>
        </w:rPr>
        <w:t>a</w:t>
      </w:r>
      <w:r>
        <w:rPr>
          <w:i/>
          <w:w w:val="71"/>
          <w:sz w:val="23"/>
        </w:rPr>
        <w:t>)!</w:t>
      </w:r>
      <w:r>
        <w:rPr>
          <w:i/>
          <w:spacing w:val="-24"/>
          <w:sz w:val="23"/>
        </w:rPr>
        <w:t> </w:t>
      </w:r>
      <w:r>
        <w:rPr>
          <w:i/>
          <w:w w:val="52"/>
          <w:sz w:val="23"/>
        </w:rPr>
        <w:t>fo</w:t>
      </w:r>
      <w:r>
        <w:rPr>
          <w:i/>
          <w:sz w:val="23"/>
        </w:rPr>
        <w:tab/>
      </w:r>
      <w:r>
        <w:rPr>
          <w:w w:val="244"/>
          <w:sz w:val="23"/>
        </w:rPr>
        <w:t>-</w:t>
      </w:r>
      <w:r>
        <w:rPr>
          <w:sz w:val="23"/>
        </w:rPr>
        <w:tab/>
      </w:r>
      <w:r>
        <w:rPr>
          <w:spacing w:val="-154"/>
          <w:w w:val="155"/>
          <w:sz w:val="58"/>
        </w:rPr>
        <w:t>!</w:t>
      </w:r>
      <w:r>
        <w:rPr>
          <w:w w:val="118"/>
          <w:sz w:val="20"/>
        </w:rPr>
        <w:t>[(</w:t>
      </w:r>
      <w:r>
        <w:rPr>
          <w:w w:val="118"/>
          <w:sz w:val="20"/>
        </w:rPr>
        <w:t>a</w:t>
      </w:r>
      <w:r>
        <w:rPr>
          <w:spacing w:val="-27"/>
          <w:w w:val="118"/>
          <w:sz w:val="20"/>
        </w:rPr>
        <w:t>!</w:t>
      </w:r>
      <w:r>
        <w:rPr>
          <w:w w:val="81"/>
          <w:sz w:val="20"/>
        </w:rPr>
        <w:t>i%</w:t>
      </w:r>
      <w:r>
        <w:rPr>
          <w:sz w:val="20"/>
        </w:rPr>
        <w:t> </w:t>
      </w:r>
      <w:r>
        <w:rPr>
          <w:spacing w:val="-13"/>
          <w:sz w:val="20"/>
        </w:rPr>
        <w:t> </w:t>
      </w:r>
      <w:r>
        <w:rPr>
          <w:w w:val="274"/>
          <w:sz w:val="20"/>
        </w:rPr>
        <w:t>-</w:t>
      </w:r>
      <w:r>
        <w:rPr>
          <w:spacing w:val="-7"/>
          <w:sz w:val="20"/>
        </w:rPr>
        <w:t> </w:t>
      </w:r>
      <w:r>
        <w:rPr>
          <w:i/>
          <w:w w:val="66"/>
          <w:sz w:val="23"/>
        </w:rPr>
        <w:t>a:6"</w:t>
      </w:r>
      <w:r>
        <w:rPr>
          <w:i/>
          <w:spacing w:val="-22"/>
          <w:sz w:val="23"/>
        </w:rPr>
        <w:t> </w:t>
      </w:r>
      <w:r>
        <w:rPr>
          <w:i/>
          <w:w w:val="64"/>
          <w:sz w:val="23"/>
        </w:rPr>
        <w:t>)</w:t>
      </w:r>
      <w:r>
        <w:rPr>
          <w:i/>
          <w:sz w:val="23"/>
        </w:rPr>
        <w:t> </w:t>
      </w:r>
      <w:r>
        <w:rPr>
          <w:i/>
          <w:spacing w:val="-3"/>
          <w:sz w:val="23"/>
        </w:rPr>
        <w:t> </w:t>
      </w:r>
      <w:r>
        <w:rPr>
          <w:w w:val="244"/>
          <w:sz w:val="23"/>
        </w:rPr>
        <w:t>-</w:t>
      </w:r>
      <w:r>
        <w:rPr>
          <w:spacing w:val="-1"/>
          <w:sz w:val="23"/>
        </w:rPr>
        <w:t> </w:t>
      </w:r>
      <w:r>
        <w:rPr>
          <w:w w:val="140"/>
          <w:sz w:val="20"/>
        </w:rPr>
        <w:t>i</w:t>
      </w:r>
      <w:r>
        <w:rPr>
          <w:w w:val="140"/>
          <w:sz w:val="20"/>
        </w:rPr>
        <w:t>(</w:t>
      </w:r>
      <w:r>
        <w:rPr>
          <w:w w:val="140"/>
          <w:sz w:val="20"/>
        </w:rPr>
        <w:t>a</w:t>
      </w:r>
      <w:r>
        <w:rPr>
          <w:spacing w:val="-28"/>
          <w:w w:val="140"/>
          <w:sz w:val="20"/>
        </w:rPr>
        <w:t>!</w:t>
      </w:r>
      <w:r>
        <w:rPr>
          <w:w w:val="69"/>
          <w:sz w:val="20"/>
        </w:rPr>
        <w:t>6"</w:t>
      </w:r>
      <w:r>
        <w:rPr>
          <w:sz w:val="20"/>
        </w:rPr>
        <w:t> </w:t>
      </w:r>
      <w:r>
        <w:rPr>
          <w:spacing w:val="10"/>
          <w:sz w:val="20"/>
        </w:rPr>
        <w:t> </w:t>
      </w:r>
      <w:r>
        <w:rPr>
          <w:w w:val="274"/>
          <w:sz w:val="20"/>
        </w:rPr>
        <w:t>-</w:t>
      </w:r>
      <w:r>
        <w:rPr>
          <w:spacing w:val="11"/>
          <w:sz w:val="20"/>
        </w:rPr>
        <w:t> </w:t>
      </w:r>
      <w:r>
        <w:rPr>
          <w:w w:val="110"/>
          <w:sz w:val="20"/>
        </w:rPr>
        <w:t>2a</w:t>
      </w:r>
      <w:r>
        <w:rPr>
          <w:spacing w:val="-14"/>
          <w:w w:val="110"/>
          <w:sz w:val="20"/>
        </w:rPr>
        <w:t>!</w:t>
      </w:r>
      <w:r>
        <w:rPr>
          <w:w w:val="81"/>
          <w:sz w:val="20"/>
        </w:rPr>
        <w:t>t%</w:t>
      </w:r>
      <w:r>
        <w:rPr>
          <w:sz w:val="20"/>
        </w:rPr>
        <w:t> </w:t>
      </w:r>
      <w:r>
        <w:rPr>
          <w:spacing w:val="2"/>
          <w:sz w:val="20"/>
        </w:rPr>
        <w:t> </w:t>
      </w:r>
      <w:r>
        <w:rPr>
          <w:w w:val="142"/>
          <w:sz w:val="20"/>
        </w:rPr>
        <w:t>+a</w:t>
      </w:r>
      <w:r>
        <w:rPr>
          <w:spacing w:val="-11"/>
          <w:w w:val="142"/>
          <w:sz w:val="20"/>
        </w:rPr>
        <w:t>:</w:t>
      </w:r>
      <w:r>
        <w:rPr>
          <w:w w:val="86"/>
          <w:sz w:val="20"/>
        </w:rPr>
        <w:t>6"</w:t>
      </w:r>
      <w:r>
        <w:rPr>
          <w:w w:val="86"/>
          <w:sz w:val="20"/>
        </w:rPr>
        <w:t>)]</w:t>
      </w:r>
    </w:p>
    <w:p>
      <w:pPr>
        <w:spacing w:before="189"/>
        <w:ind w:left="101" w:right="0" w:firstLine="0"/>
        <w:jc w:val="left"/>
        <w:rPr>
          <w:rFonts w:ascii="Arial" w:hAnsi="Arial"/>
          <w:i/>
          <w:sz w:val="17"/>
        </w:rPr>
      </w:pPr>
      <w:r>
        <w:rPr>
          <w:w w:val="110"/>
          <w:sz w:val="19"/>
        </w:rPr>
        <w:t>26.  </w:t>
      </w:r>
      <w:r>
        <w:rPr>
          <w:rFonts w:ascii="Arial" w:hAnsi="Arial"/>
          <w:w w:val="110"/>
          <w:sz w:val="19"/>
        </w:rPr>
        <w:t>(a)  </w:t>
      </w:r>
      <w:r>
        <w:rPr>
          <w:rFonts w:ascii="Arial" w:hAnsi="Arial"/>
          <w:i/>
          <w:w w:val="95"/>
          <w:sz w:val="17"/>
        </w:rPr>
        <w:t>•1 </w:t>
      </w:r>
      <w:r>
        <w:rPr>
          <w:rFonts w:ascii="Arial" w:hAnsi="Arial"/>
          <w:i/>
          <w:w w:val="125"/>
          <w:sz w:val="17"/>
        </w:rPr>
        <w:t>ªn</w:t>
      </w:r>
    </w:p>
    <w:p>
      <w:pPr>
        <w:spacing w:line="379" w:lineRule="exact" w:before="5"/>
        <w:ind w:left="450" w:right="0" w:firstLine="0"/>
        <w:jc w:val="left"/>
        <w:rPr>
          <w:rFonts w:ascii="Arial"/>
          <w:sz w:val="33"/>
        </w:rPr>
      </w:pPr>
      <w:r>
        <w:rPr>
          <w:sz w:val="20"/>
        </w:rPr>
        <w:t>(b)  120 </w:t>
      </w:r>
      <w:r>
        <w:rPr>
          <w:rFonts w:ascii="Arial"/>
          <w:sz w:val="33"/>
        </w:rPr>
        <w:t>d hi</w:t>
      </w:r>
    </w:p>
    <w:p>
      <w:pPr>
        <w:spacing w:line="354" w:lineRule="exact" w:before="0"/>
        <w:ind w:left="457" w:right="0" w:firstLine="0"/>
        <w:jc w:val="left"/>
        <w:rPr>
          <w:sz w:val="30"/>
        </w:rPr>
      </w:pPr>
      <w:r>
        <w:rPr>
          <w:sz w:val="20"/>
        </w:rPr>
        <w:t>(e) </w:t>
      </w:r>
      <w:r>
        <w:rPr>
          <w:sz w:val="19"/>
        </w:rPr>
        <w:t>2·1</w:t>
      </w:r>
      <w:r>
        <w:rPr>
          <w:position w:val="-3"/>
          <w:sz w:val="16"/>
        </w:rPr>
        <w:t>1</w:t>
      </w:r>
      <w:r>
        <w:rPr>
          <w:sz w:val="30"/>
        </w:rPr>
        <w:t>,,aW</w:t>
      </w:r>
    </w:p>
    <w:p>
      <w:pPr>
        <w:spacing w:before="6"/>
        <w:ind w:left="454" w:right="0" w:firstLine="0"/>
        <w:jc w:val="left"/>
        <w:rPr>
          <w:rFonts w:ascii="Arial" w:hAnsi="Arial"/>
          <w:sz w:val="15"/>
        </w:rPr>
      </w:pPr>
      <w:r>
        <w:rPr>
          <w:w w:val="41"/>
          <w:sz w:val="22"/>
        </w:rPr>
        <w:t>C</w:t>
      </w:r>
      <w:r>
        <w:rPr>
          <w:spacing w:val="-31"/>
          <w:sz w:val="22"/>
        </w:rPr>
        <w:t> </w:t>
      </w:r>
      <w:r>
        <w:rPr>
          <w:w w:val="95"/>
          <w:sz w:val="22"/>
        </w:rPr>
        <w:t>tl</w:t>
      </w:r>
      <w:r>
        <w:rPr>
          <w:w w:val="95"/>
          <w:sz w:val="22"/>
        </w:rPr>
        <w:t>)</w:t>
      </w:r>
      <w:r>
        <w:rPr>
          <w:sz w:val="22"/>
        </w:rPr>
        <w:t> </w:t>
      </w:r>
      <w:r>
        <w:rPr>
          <w:spacing w:val="-13"/>
          <w:sz w:val="22"/>
        </w:rPr>
        <w:t> </w:t>
      </w:r>
      <w:r>
        <w:rPr>
          <w:spacing w:val="-60"/>
          <w:w w:val="129"/>
          <w:sz w:val="21"/>
        </w:rPr>
        <w:t>1</w:t>
      </w:r>
      <w:r>
        <w:rPr>
          <w:w w:val="95"/>
          <w:sz w:val="21"/>
        </w:rPr>
        <w:t>44(</w:t>
      </w:r>
      <w:r>
        <w:rPr>
          <w:w w:val="94"/>
          <w:sz w:val="21"/>
        </w:rPr>
        <w:t>¡</w:t>
      </w:r>
      <w:r>
        <w:rPr>
          <w:spacing w:val="12"/>
          <w:w w:val="94"/>
          <w:sz w:val="21"/>
        </w:rPr>
        <w:t>&lt;</w:t>
      </w:r>
      <w:r>
        <w:rPr>
          <w:spacing w:val="-38"/>
          <w:w w:val="135"/>
          <w:position w:val="9"/>
          <w:sz w:val="13"/>
        </w:rPr>
        <w:t>1</w:t>
      </w:r>
      <w:r>
        <w:rPr>
          <w:spacing w:val="-7"/>
          <w:w w:val="99"/>
          <w:position w:val="9"/>
          <w:sz w:val="13"/>
        </w:rPr>
        <w:t>2</w:t>
      </w:r>
      <w:r>
        <w:rPr>
          <w:rFonts w:ascii="Arial" w:hAnsi="Arial"/>
          <w:w w:val="72"/>
          <w:sz w:val="29"/>
        </w:rPr>
        <w:t>&gt;a</w:t>
      </w:r>
      <w:r>
        <w:rPr>
          <w:rFonts w:ascii="Arial" w:hAnsi="Arial"/>
          <w:spacing w:val="5"/>
          <w:w w:val="72"/>
          <w:sz w:val="29"/>
        </w:rPr>
        <w:t>H</w:t>
      </w:r>
      <w:r>
        <w:rPr>
          <w:w w:val="93"/>
          <w:position w:val="9"/>
          <w:sz w:val="13"/>
        </w:rPr>
        <w:t>2</w:t>
      </w:r>
      <w:r>
        <w:rPr>
          <w:spacing w:val="-21"/>
          <w:position w:val="9"/>
          <w:sz w:val="13"/>
        </w:rPr>
        <w:t> </w:t>
      </w:r>
      <w:r>
        <w:rPr>
          <w:rFonts w:ascii="Arial" w:hAnsi="Arial"/>
          <w:w w:val="53"/>
          <w:sz w:val="15"/>
        </w:rPr>
        <w:t>&gt;</w:t>
      </w:r>
    </w:p>
    <w:p>
      <w:pPr>
        <w:spacing w:before="140"/>
        <w:ind w:left="472" w:right="0" w:firstLine="0"/>
        <w:jc w:val="left"/>
        <w:rPr>
          <w:sz w:val="13"/>
        </w:rPr>
      </w:pPr>
      <w:r>
        <w:rPr>
          <w:w w:val="120"/>
          <w:sz w:val="20"/>
        </w:rPr>
        <w:t>(e) </w:t>
      </w:r>
      <w:r>
        <w:rPr>
          <w:w w:val="120"/>
          <w:sz w:val="13"/>
        </w:rPr>
        <w:t>1111oáto</w:t>
      </w:r>
    </w:p>
    <w:p>
      <w:pPr>
        <w:pStyle w:val="BodyText"/>
        <w:spacing w:before="2"/>
        <w:rPr>
          <w:sz w:val="19"/>
        </w:rPr>
      </w:pPr>
    </w:p>
    <w:p>
      <w:pPr>
        <w:spacing w:line="240" w:lineRule="exact" w:before="0"/>
        <w:ind w:left="104" w:right="0" w:firstLine="0"/>
        <w:jc w:val="left"/>
        <w:rPr>
          <w:rFonts w:ascii="Arial" w:hAnsi="Arial"/>
          <w:i/>
          <w:sz w:val="21"/>
        </w:rPr>
      </w:pPr>
      <w:r>
        <w:rPr>
          <w:w w:val="106"/>
          <w:sz w:val="19"/>
        </w:rPr>
        <w:t>27.</w:t>
      </w:r>
      <w:r>
        <w:rPr>
          <w:sz w:val="19"/>
        </w:rPr>
        <w:t> </w:t>
      </w:r>
      <w:r>
        <w:rPr>
          <w:spacing w:val="13"/>
          <w:sz w:val="19"/>
        </w:rPr>
        <w:t> </w:t>
      </w:r>
      <w:r>
        <w:rPr>
          <w:rFonts w:ascii="Arial" w:hAnsi="Arial"/>
          <w:w w:val="117"/>
          <w:sz w:val="19"/>
        </w:rPr>
        <w:t>(</w:t>
      </w:r>
      <w:r>
        <w:rPr>
          <w:rFonts w:ascii="Arial" w:hAnsi="Arial"/>
          <w:w w:val="117"/>
          <w:sz w:val="19"/>
        </w:rPr>
        <w:t>a</w:t>
      </w:r>
      <w:r>
        <w:rPr>
          <w:rFonts w:ascii="Arial" w:hAnsi="Arial"/>
          <w:w w:val="117"/>
          <w:sz w:val="19"/>
        </w:rPr>
        <w:t>)</w:t>
      </w:r>
      <w:r>
        <w:rPr>
          <w:rFonts w:ascii="Arial" w:hAnsi="Arial"/>
          <w:spacing w:val="-11"/>
          <w:sz w:val="19"/>
        </w:rPr>
        <w:t> </w:t>
      </w:r>
      <w:r>
        <w:rPr>
          <w:rFonts w:ascii="Arial" w:hAnsi="Arial"/>
          <w:i/>
          <w:spacing w:val="-180"/>
          <w:w w:val="110"/>
          <w:sz w:val="21"/>
        </w:rPr>
        <w:t>D</w:t>
      </w:r>
      <w:r>
        <w:rPr>
          <w:rFonts w:ascii="Arial" w:hAnsi="Arial"/>
          <w:i/>
          <w:w w:val="133"/>
          <w:sz w:val="21"/>
        </w:rPr>
        <w:t>N•</w:t>
      </w:r>
    </w:p>
    <w:p>
      <w:pPr>
        <w:spacing w:line="148" w:lineRule="exact" w:before="0"/>
        <w:ind w:left="98" w:right="3959" w:firstLine="0"/>
        <w:jc w:val="center"/>
        <w:rPr>
          <w:sz w:val="13"/>
        </w:rPr>
      </w:pPr>
      <w:r>
        <w:rPr>
          <w:w w:val="95"/>
          <w:sz w:val="13"/>
        </w:rPr>
        <w:t>[IOJ</w:t>
      </w:r>
    </w:p>
    <w:p>
      <w:pPr>
        <w:spacing w:line="348" w:lineRule="exact" w:before="10"/>
        <w:ind w:left="454" w:right="0" w:firstLine="0"/>
        <w:jc w:val="left"/>
        <w:rPr>
          <w:sz w:val="19"/>
        </w:rPr>
      </w:pPr>
      <w:r>
        <w:rPr>
          <w:w w:val="95"/>
          <w:sz w:val="19"/>
        </w:rPr>
        <w:t>(</w:t>
      </w:r>
      <w:r>
        <w:rPr>
          <w:spacing w:val="-30"/>
          <w:sz w:val="19"/>
        </w:rPr>
        <w:t> </w:t>
      </w:r>
      <w:r>
        <w:rPr>
          <w:w w:val="120"/>
          <w:sz w:val="19"/>
        </w:rPr>
        <w:t>b)</w:t>
      </w:r>
      <w:r>
        <w:rPr>
          <w:sz w:val="19"/>
        </w:rPr>
        <w:t> </w:t>
      </w:r>
      <w:r>
        <w:rPr>
          <w:spacing w:val="3"/>
          <w:sz w:val="19"/>
        </w:rPr>
        <w:t> </w:t>
      </w:r>
      <w:r>
        <w:rPr>
          <w:rFonts w:ascii="Arial"/>
          <w:i/>
          <w:w w:val="128"/>
          <w:sz w:val="20"/>
          <w:u w:val="thick"/>
        </w:rPr>
        <w:t>N</w:t>
      </w:r>
      <w:r>
        <w:rPr>
          <w:rFonts w:ascii="Arial"/>
          <w:i/>
          <w:spacing w:val="-31"/>
          <w:w w:val="128"/>
          <w:sz w:val="20"/>
          <w:u w:val="thick"/>
        </w:rPr>
        <w:t>,</w:t>
      </w:r>
      <w:r>
        <w:rPr>
          <w:rFonts w:ascii="Arial"/>
          <w:i/>
          <w:w w:val="59"/>
          <w:sz w:val="20"/>
          <w:u w:val="thick"/>
        </w:rPr>
        <w:t>,.</w:t>
      </w:r>
      <w:r>
        <w:rPr>
          <w:rFonts w:ascii="Arial"/>
          <w:i/>
          <w:spacing w:val="-7"/>
          <w:sz w:val="20"/>
          <w:u w:val="thick"/>
        </w:rPr>
        <w:t> </w:t>
      </w:r>
      <w:r>
        <w:rPr>
          <w:rFonts w:ascii="Arial"/>
          <w:i/>
          <w:spacing w:val="-24"/>
          <w:sz w:val="20"/>
        </w:rPr>
        <w:t> </w:t>
      </w:r>
      <w:r>
        <w:rPr>
          <w:rFonts w:ascii="Arial"/>
          <w:w w:val="255"/>
          <w:sz w:val="20"/>
          <w:u w:val="thick"/>
        </w:rPr>
        <w:t>-</w:t>
      </w:r>
      <w:r>
        <w:rPr>
          <w:rFonts w:ascii="Arial"/>
          <w:sz w:val="20"/>
        </w:rPr>
        <w:t>  </w:t>
      </w:r>
      <w:r>
        <w:rPr>
          <w:rFonts w:ascii="Arial"/>
          <w:spacing w:val="-4"/>
          <w:sz w:val="20"/>
        </w:rPr>
        <w:t> </w:t>
      </w:r>
      <w:r>
        <w:rPr>
          <w:rFonts w:ascii="Arial"/>
          <w:i/>
          <w:w w:val="110"/>
          <w:sz w:val="20"/>
          <w:u w:val="thick"/>
        </w:rPr>
        <w:t>Nu</w:t>
      </w:r>
      <w:r>
        <w:rPr>
          <w:rFonts w:ascii="Arial"/>
          <w:i/>
          <w:sz w:val="20"/>
          <w:u w:val="thick"/>
        </w:rPr>
        <w:t> </w:t>
      </w:r>
      <w:r>
        <w:rPr>
          <w:rFonts w:ascii="Arial"/>
          <w:i/>
          <w:spacing w:val="-23"/>
          <w:sz w:val="20"/>
          <w:u w:val="thick"/>
        </w:rPr>
        <w:t> </w:t>
      </w:r>
      <w:r>
        <w:rPr>
          <w:rFonts w:ascii="Arial"/>
          <w:w w:val="102"/>
          <w:sz w:val="32"/>
          <w:u w:val="thick"/>
        </w:rPr>
        <w:t>+</w:t>
      </w:r>
      <w:r>
        <w:rPr>
          <w:rFonts w:ascii="Arial"/>
          <w:spacing w:val="-28"/>
          <w:sz w:val="32"/>
          <w:u w:val="thick"/>
        </w:rPr>
        <w:t> </w:t>
      </w:r>
      <w:r>
        <w:rPr>
          <w:rFonts w:ascii="Arial"/>
          <w:i/>
          <w:w w:val="108"/>
          <w:sz w:val="20"/>
          <w:u w:val="thick"/>
        </w:rPr>
        <w:t>%</w:t>
      </w:r>
      <w:r>
        <w:rPr>
          <w:rFonts w:ascii="Arial"/>
          <w:i/>
          <w:w w:val="108"/>
          <w:sz w:val="20"/>
          <w:u w:val="thick"/>
        </w:rPr>
        <w:t>(</w:t>
      </w:r>
      <w:r>
        <w:rPr>
          <w:rFonts w:ascii="Arial"/>
          <w:i/>
          <w:spacing w:val="-29"/>
          <w:sz w:val="20"/>
          <w:u w:val="thick"/>
        </w:rPr>
        <w:t> </w:t>
      </w:r>
      <w:r>
        <w:rPr>
          <w:rFonts w:ascii="Arial"/>
          <w:i/>
          <w:w w:val="108"/>
          <w:sz w:val="20"/>
          <w:u w:val="thick"/>
        </w:rPr>
        <w:t>Do</w:t>
      </w:r>
      <w:r>
        <w:rPr>
          <w:rFonts w:ascii="Arial"/>
          <w:i/>
          <w:sz w:val="20"/>
          <w:u w:val="thick"/>
        </w:rPr>
        <w:t> </w:t>
      </w:r>
      <w:r>
        <w:rPr>
          <w:rFonts w:ascii="Arial"/>
          <w:i/>
          <w:spacing w:val="-19"/>
          <w:sz w:val="20"/>
          <w:u w:val="thick"/>
        </w:rPr>
        <w:t> </w:t>
      </w:r>
      <w:r>
        <w:rPr>
          <w:rFonts w:ascii="Arial"/>
          <w:w w:val="262"/>
          <w:sz w:val="20"/>
          <w:u w:val="thick"/>
        </w:rPr>
        <w:t>-</w:t>
      </w:r>
      <w:r>
        <w:rPr>
          <w:rFonts w:ascii="Arial"/>
          <w:sz w:val="20"/>
        </w:rPr>
        <w:t>  </w:t>
      </w:r>
      <w:r>
        <w:rPr>
          <w:rFonts w:ascii="Arial"/>
          <w:spacing w:val="-11"/>
          <w:sz w:val="20"/>
        </w:rPr>
        <w:t> </w:t>
      </w:r>
      <w:r>
        <w:rPr>
          <w:w w:val="120"/>
          <w:sz w:val="19"/>
          <w:u w:val="thick"/>
        </w:rPr>
        <w:t>Du</w:t>
      </w:r>
      <w:r>
        <w:rPr>
          <w:w w:val="120"/>
          <w:sz w:val="19"/>
          <w:u w:val="thick"/>
        </w:rPr>
        <w:t>)</w:t>
      </w:r>
    </w:p>
    <w:p>
      <w:pPr>
        <w:spacing w:line="221" w:lineRule="exact" w:before="0"/>
        <w:ind w:left="1930" w:right="0" w:firstLine="0"/>
        <w:jc w:val="left"/>
        <w:rPr>
          <w:b/>
          <w:i/>
          <w:sz w:val="21"/>
        </w:rPr>
      </w:pPr>
      <w:r>
        <w:rPr>
          <w:b/>
          <w:i/>
          <w:w w:val="95"/>
          <w:sz w:val="21"/>
        </w:rPr>
        <w:t>Da,</w:t>
      </w:r>
    </w:p>
    <w:p>
      <w:pPr>
        <w:tabs>
          <w:tab w:pos="1281" w:val="left" w:leader="none"/>
        </w:tabs>
        <w:spacing w:line="505" w:lineRule="exact" w:before="0"/>
        <w:ind w:left="446" w:right="0" w:firstLine="0"/>
        <w:jc w:val="left"/>
        <w:rPr>
          <w:rFonts w:ascii="Arial" w:hAnsi="Arial"/>
          <w:i/>
          <w:sz w:val="44"/>
        </w:rPr>
      </w:pPr>
      <w:r>
        <w:rPr/>
        <w:pict>
          <v:rect style="position:absolute;margin-left:90.540001pt;margin-top:20.948753pt;width:13.14pt;height:8.1pt;mso-position-horizontal-relative:page;mso-position-vertical-relative:paragraph;z-index:-708376" filled="true" fillcolor="#000000" stroked="false">
            <v:fill type="solid"/>
            <w10:wrap type="none"/>
          </v:rect>
        </w:pict>
      </w:r>
      <w:r>
        <w:rPr>
          <w:sz w:val="20"/>
        </w:rPr>
        <w:t>(e)</w:t>
      </w:r>
      <w:r>
        <w:rPr>
          <w:spacing w:val="11"/>
          <w:sz w:val="20"/>
        </w:rPr>
        <w:t> </w:t>
      </w:r>
      <w:r>
        <w:rPr>
          <w:i/>
          <w:w w:val="75"/>
          <w:sz w:val="23"/>
        </w:rPr>
        <w:t>N</w:t>
      </w:r>
      <w:r>
        <w:rPr>
          <w:i/>
          <w:spacing w:val="-6"/>
          <w:w w:val="75"/>
          <w:sz w:val="23"/>
        </w:rPr>
        <w:t> </w:t>
      </w:r>
      <w:r>
        <w:rPr>
          <w:i/>
          <w:w w:val="75"/>
          <w:sz w:val="23"/>
        </w:rPr>
        <w:t>S5</w:t>
        <w:tab/>
      </w:r>
      <w:r>
        <w:rPr>
          <w:rFonts w:ascii="Arial" w:hAnsi="Arial"/>
          <w:i/>
          <w:spacing w:val="11"/>
          <w:w w:val="75"/>
          <w:sz w:val="44"/>
        </w:rPr>
        <w:t>}D•</w:t>
      </w:r>
    </w:p>
    <w:p>
      <w:pPr>
        <w:tabs>
          <w:tab w:pos="1512" w:val="left" w:leader="none"/>
        </w:tabs>
        <w:spacing w:line="243" w:lineRule="exact" w:before="248"/>
        <w:ind w:left="450" w:right="0" w:firstLine="0"/>
        <w:jc w:val="left"/>
        <w:rPr>
          <w:i/>
          <w:sz w:val="22"/>
        </w:rPr>
      </w:pPr>
      <w:r>
        <w:rPr>
          <w:rFonts w:ascii="Arial"/>
          <w:w w:val="130"/>
          <w:sz w:val="19"/>
        </w:rPr>
        <w:t>(d)</w:t>
      </w:r>
      <w:r>
        <w:rPr>
          <w:rFonts w:ascii="Arial"/>
          <w:spacing w:val="-29"/>
          <w:w w:val="130"/>
          <w:sz w:val="19"/>
        </w:rPr>
        <w:t> </w:t>
      </w:r>
      <w:r>
        <w:rPr>
          <w:i/>
          <w:w w:val="110"/>
          <w:sz w:val="22"/>
          <w:u w:val="single"/>
        </w:rPr>
        <w:t>N</w:t>
      </w:r>
      <w:r>
        <w:rPr>
          <w:i/>
          <w:spacing w:val="-38"/>
          <w:w w:val="110"/>
          <w:sz w:val="22"/>
          <w:u w:val="single"/>
        </w:rPr>
        <w:t> </w:t>
      </w:r>
      <w:r>
        <w:rPr>
          <w:i/>
          <w:w w:val="85"/>
          <w:sz w:val="22"/>
          <w:u w:val="single"/>
        </w:rPr>
        <w:t>.,,,</w:t>
      </w:r>
      <w:r>
        <w:rPr>
          <w:i/>
          <w:spacing w:val="-20"/>
          <w:w w:val="85"/>
          <w:sz w:val="22"/>
          <w:u w:val="single"/>
        </w:rPr>
        <w:t> </w:t>
      </w:r>
      <w:r>
        <w:rPr>
          <w:w w:val="230"/>
          <w:sz w:val="22"/>
          <w:u w:val="single"/>
        </w:rPr>
        <w:t>-</w:t>
      </w:r>
      <w:r>
        <w:rPr>
          <w:w w:val="230"/>
          <w:sz w:val="22"/>
        </w:rPr>
        <w:tab/>
      </w:r>
      <w:r>
        <w:rPr>
          <w:i/>
          <w:w w:val="130"/>
          <w:sz w:val="22"/>
          <w:u w:val="single"/>
        </w:rPr>
        <w:t>iDn</w:t>
      </w:r>
    </w:p>
    <w:p>
      <w:pPr>
        <w:spacing w:line="220" w:lineRule="exact" w:before="0"/>
        <w:ind w:left="1206" w:right="0" w:firstLine="0"/>
        <w:jc w:val="left"/>
        <w:rPr>
          <w:rFonts w:ascii="Arial"/>
          <w:b/>
          <w:i/>
          <w:sz w:val="20"/>
        </w:rPr>
      </w:pPr>
      <w:r>
        <w:rPr>
          <w:rFonts w:ascii="Arial"/>
          <w:b/>
          <w:i/>
          <w:w w:val="105"/>
          <w:sz w:val="20"/>
        </w:rPr>
        <w:t>Da</w:t>
      </w:r>
    </w:p>
    <w:p>
      <w:pPr>
        <w:pStyle w:val="BodyText"/>
        <w:rPr>
          <w:rFonts w:ascii="Arial"/>
          <w:b/>
          <w:i/>
          <w:sz w:val="16"/>
        </w:rPr>
      </w:pPr>
    </w:p>
    <w:p>
      <w:pPr>
        <w:tabs>
          <w:tab w:pos="1544" w:val="left" w:leader="none"/>
        </w:tabs>
        <w:spacing w:before="0"/>
        <w:ind w:left="446" w:right="0" w:firstLine="0"/>
        <w:jc w:val="left"/>
        <w:rPr>
          <w:sz w:val="19"/>
        </w:rPr>
      </w:pPr>
      <w:r>
        <w:rPr/>
        <w:pict>
          <v:rect style="position:absolute;margin-left:91.980003pt;margin-top:10.449533pt;width:13.14pt;height:8.280pt;mso-position-horizontal-relative:page;mso-position-vertical-relative:paragraph;z-index:-708352" filled="true" fillcolor="#000000" stroked="false">
            <v:fill type="solid"/>
            <w10:wrap type="none"/>
          </v:rect>
        </w:pict>
      </w:r>
      <w:r>
        <w:rPr>
          <w:w w:val="115"/>
          <w:sz w:val="20"/>
        </w:rPr>
        <w:t>(e)</w:t>
      </w:r>
      <w:r>
        <w:rPr>
          <w:spacing w:val="10"/>
          <w:w w:val="115"/>
          <w:sz w:val="20"/>
        </w:rPr>
        <w:t> </w:t>
      </w:r>
      <w:r>
        <w:rPr>
          <w:i/>
          <w:w w:val="115"/>
          <w:sz w:val="22"/>
        </w:rPr>
        <w:t>Su</w:t>
        <w:tab/>
      </w:r>
      <w:r>
        <w:rPr>
          <w:w w:val="115"/>
          <w:sz w:val="19"/>
        </w:rPr>
        <w:t>Nu</w:t>
      </w:r>
    </w:p>
    <w:p>
      <w:pPr>
        <w:spacing w:after="0"/>
        <w:jc w:val="left"/>
        <w:rPr>
          <w:sz w:val="19"/>
        </w:rPr>
        <w:sectPr>
          <w:pgSz w:w="7200" w:h="11340"/>
          <w:pgMar w:top="480" w:bottom="280" w:left="680" w:right="520"/>
        </w:sectPr>
      </w:pPr>
    </w:p>
    <w:p>
      <w:pPr>
        <w:tabs>
          <w:tab w:pos="2605" w:val="left" w:leader="none"/>
          <w:tab w:pos="5351" w:val="left" w:leader="none"/>
        </w:tabs>
        <w:spacing w:before="51"/>
        <w:ind w:left="128" w:right="0" w:firstLine="0"/>
        <w:jc w:val="left"/>
        <w:rPr>
          <w:rFonts w:ascii="Arial"/>
          <w:sz w:val="19"/>
        </w:rPr>
      </w:pPr>
      <w:r>
        <w:rPr>
          <w:w w:val="105"/>
          <w:position w:val="2"/>
          <w:sz w:val="19"/>
        </w:rPr>
        <w:t>354</w:t>
        <w:tab/>
      </w:r>
      <w:r>
        <w:rPr>
          <w:b/>
          <w:w w:val="105"/>
          <w:position w:val="1"/>
          <w:sz w:val="15"/>
        </w:rPr>
        <w:t>ANSWERS</w:t>
        <w:tab/>
      </w:r>
      <w:r>
        <w:rPr>
          <w:sz w:val="19"/>
        </w:rPr>
        <w:t>(CH.</w:t>
      </w:r>
      <w:r>
        <w:rPr>
          <w:spacing w:val="-3"/>
          <w:sz w:val="19"/>
        </w:rPr>
        <w:t> </w:t>
      </w:r>
      <w:r>
        <w:rPr>
          <w:rFonts w:ascii="Arial"/>
          <w:sz w:val="19"/>
        </w:rPr>
        <w:t>3</w:t>
      </w:r>
    </w:p>
    <w:p>
      <w:pPr>
        <w:pStyle w:val="BodyText"/>
        <w:spacing w:before="3"/>
        <w:rPr>
          <w:rFonts w:ascii="Arial"/>
          <w:sz w:val="19"/>
        </w:rPr>
      </w:pPr>
      <w:r>
        <w:rPr/>
        <w:drawing>
          <wp:anchor distT="0" distB="0" distL="0" distR="0" allowOverlap="1" layoutInCell="1" locked="0" behindDoc="0" simplePos="0" relativeHeight="27808">
            <wp:simplePos x="0" y="0"/>
            <wp:positionH relativeFrom="page">
              <wp:posOffset>493776</wp:posOffset>
            </wp:positionH>
            <wp:positionV relativeFrom="paragraph">
              <wp:posOffset>165926</wp:posOffset>
            </wp:positionV>
            <wp:extent cx="1709927" cy="685800"/>
            <wp:effectExtent l="0" t="0" r="0" b="0"/>
            <wp:wrapTopAndBottom/>
            <wp:docPr id="823" name="image420.png" descr=""/>
            <wp:cNvGraphicFramePr>
              <a:graphicFrameLocks noChangeAspect="1"/>
            </wp:cNvGraphicFramePr>
            <a:graphic>
              <a:graphicData uri="http://schemas.openxmlformats.org/drawingml/2006/picture">
                <pic:pic>
                  <pic:nvPicPr>
                    <pic:cNvPr id="824" name="image420.png"/>
                    <pic:cNvPicPr/>
                  </pic:nvPicPr>
                  <pic:blipFill>
                    <a:blip r:embed="rId424" cstate="print"/>
                    <a:stretch>
                      <a:fillRect/>
                    </a:stretch>
                  </pic:blipFill>
                  <pic:spPr>
                    <a:xfrm>
                      <a:off x="0" y="0"/>
                      <a:ext cx="1709927" cy="685800"/>
                    </a:xfrm>
                    <a:prstGeom prst="rect">
                      <a:avLst/>
                    </a:prstGeom>
                  </pic:spPr>
                </pic:pic>
              </a:graphicData>
            </a:graphic>
          </wp:anchor>
        </w:drawing>
      </w:r>
    </w:p>
    <w:p>
      <w:pPr>
        <w:spacing w:line="346" w:lineRule="exact" w:before="33"/>
        <w:ind w:left="128" w:right="739" w:firstLine="0"/>
        <w:jc w:val="left"/>
        <w:rPr>
          <w:rFonts w:ascii="Arial"/>
          <w:i/>
          <w:sz w:val="19"/>
        </w:rPr>
      </w:pPr>
      <w:r>
        <w:rPr>
          <w:w w:val="105"/>
          <w:sz w:val="20"/>
        </w:rPr>
        <w:t>30.  </w:t>
      </w:r>
      <w:r>
        <w:rPr>
          <w:w w:val="105"/>
          <w:sz w:val="20"/>
          <w:u w:val="single"/>
        </w:rPr>
        <w:t>log </w:t>
      </w:r>
      <w:r>
        <w:rPr>
          <w:w w:val="105"/>
          <w:sz w:val="19"/>
          <w:u w:val="single"/>
        </w:rPr>
        <w:t>(1 </w:t>
      </w:r>
      <w:r>
        <w:rPr>
          <w:rFonts w:ascii="Arial"/>
          <w:w w:val="105"/>
          <w:sz w:val="31"/>
          <w:u w:val="single"/>
        </w:rPr>
        <w:t>+ </w:t>
      </w:r>
      <w:r>
        <w:rPr>
          <w:rFonts w:ascii="Arial"/>
          <w:i/>
          <w:w w:val="105"/>
          <w:sz w:val="19"/>
          <w:u w:val="single"/>
        </w:rPr>
        <w:t>k )</w:t>
      </w:r>
    </w:p>
    <w:p>
      <w:pPr>
        <w:spacing w:line="231" w:lineRule="exact" w:before="0"/>
        <w:ind w:left="794" w:right="739" w:firstLine="0"/>
        <w:jc w:val="left"/>
        <w:rPr>
          <w:i/>
          <w:sz w:val="21"/>
        </w:rPr>
      </w:pPr>
      <w:r>
        <w:rPr>
          <w:sz w:val="19"/>
        </w:rPr>
        <w:t>log </w:t>
      </w:r>
      <w:r>
        <w:rPr>
          <w:i/>
          <w:sz w:val="21"/>
        </w:rPr>
        <w:t>e</w:t>
      </w:r>
    </w:p>
    <w:p>
      <w:pPr>
        <w:spacing w:before="153"/>
        <w:ind w:left="74" w:right="48" w:firstLine="0"/>
        <w:jc w:val="center"/>
        <w:rPr>
          <w:rFonts w:ascii="Arial"/>
          <w:sz w:val="18"/>
        </w:rPr>
      </w:pPr>
      <w:r>
        <w:rPr>
          <w:rFonts w:ascii="Arial"/>
          <w:b/>
          <w:w w:val="105"/>
          <w:sz w:val="15"/>
        </w:rPr>
        <w:t>CIIA.PTER  </w:t>
      </w:r>
      <w:r>
        <w:rPr>
          <w:rFonts w:ascii="Arial"/>
          <w:w w:val="105"/>
          <w:sz w:val="18"/>
        </w:rPr>
        <w:t>3</w:t>
      </w:r>
    </w:p>
    <w:p>
      <w:pPr>
        <w:spacing w:line="336" w:lineRule="exact" w:before="92"/>
        <w:ind w:left="225" w:right="739" w:firstLine="0"/>
        <w:jc w:val="left"/>
        <w:rPr>
          <w:sz w:val="16"/>
        </w:rPr>
      </w:pPr>
      <w:r>
        <w:rPr>
          <w:rFonts w:ascii="Arial"/>
          <w:w w:val="105"/>
          <w:position w:val="-5"/>
          <w:sz w:val="18"/>
        </w:rPr>
        <w:t>3</w:t>
      </w:r>
      <w:r>
        <w:rPr>
          <w:rFonts w:ascii="Arial"/>
          <w:w w:val="105"/>
          <w:sz w:val="18"/>
        </w:rPr>
        <w:t>.  </w:t>
      </w:r>
      <w:r>
        <w:rPr>
          <w:rFonts w:ascii="Arial"/>
          <w:i/>
          <w:w w:val="95"/>
          <w:sz w:val="18"/>
        </w:rPr>
        <w:t>v20 </w:t>
      </w:r>
      <w:r>
        <w:rPr>
          <w:i/>
          <w:w w:val="105"/>
          <w:sz w:val="22"/>
        </w:rPr>
        <w:t>( </w:t>
      </w:r>
      <w:r>
        <w:rPr>
          <w:i/>
          <w:w w:val="95"/>
          <w:sz w:val="22"/>
        </w:rPr>
        <w:t>l </w:t>
      </w:r>
      <w:r>
        <w:rPr>
          <w:i/>
          <w:w w:val="95"/>
          <w:sz w:val="22"/>
          <w:u w:val="single"/>
        </w:rPr>
        <w:t>z </w:t>
      </w:r>
      <w:r>
        <w:rPr>
          <w:w w:val="230"/>
          <w:sz w:val="22"/>
          <w:u w:val="single"/>
        </w:rPr>
        <w:t>- </w:t>
      </w:r>
      <w:r>
        <w:rPr>
          <w:w w:val="105"/>
          <w:sz w:val="16"/>
          <w:u w:val="single"/>
        </w:rPr>
        <w:t>lz+2</w:t>
      </w:r>
      <w:r>
        <w:rPr>
          <w:w w:val="105"/>
          <w:sz w:val="16"/>
        </w:rPr>
        <w:t>0) </w:t>
      </w:r>
      <w:r>
        <w:rPr>
          <w:rFonts w:ascii="Arial"/>
          <w:w w:val="105"/>
          <w:sz w:val="31"/>
        </w:rPr>
        <w:t>+ </w:t>
      </w:r>
      <w:r>
        <w:rPr>
          <w:i/>
          <w:w w:val="105"/>
          <w:sz w:val="22"/>
          <w:u w:val="single"/>
        </w:rPr>
        <w:t>M </w:t>
      </w:r>
      <w:r>
        <w:rPr>
          <w:w w:val="105"/>
          <w:sz w:val="16"/>
          <w:u w:val="single"/>
        </w:rPr>
        <w:t>z+20</w:t>
      </w:r>
    </w:p>
    <w:p>
      <w:pPr>
        <w:tabs>
          <w:tab w:pos="2338" w:val="left" w:leader="none"/>
        </w:tabs>
        <w:spacing w:line="200" w:lineRule="exact" w:before="0"/>
        <w:ind w:left="1280" w:right="739" w:firstLine="0"/>
        <w:jc w:val="left"/>
        <w:rPr>
          <w:i/>
          <w:sz w:val="22"/>
        </w:rPr>
      </w:pPr>
      <w:r>
        <w:rPr>
          <w:i/>
          <w:spacing w:val="5"/>
          <w:w w:val="90"/>
          <w:sz w:val="22"/>
        </w:rPr>
        <w:t>lz</w:t>
        <w:tab/>
      </w:r>
      <w:r>
        <w:rPr>
          <w:i/>
          <w:w w:val="90"/>
          <w:sz w:val="22"/>
        </w:rPr>
        <w:t>Dz</w:t>
      </w:r>
    </w:p>
    <w:p>
      <w:pPr>
        <w:tabs>
          <w:tab w:pos="1582" w:val="left" w:leader="none"/>
          <w:tab w:pos="3044" w:val="left" w:leader="none"/>
        </w:tabs>
        <w:spacing w:line="238" w:lineRule="exact" w:before="147"/>
        <w:ind w:left="225" w:right="739" w:firstLine="0"/>
        <w:jc w:val="left"/>
        <w:rPr>
          <w:rFonts w:ascii="Courier New"/>
          <w:i/>
          <w:sz w:val="24"/>
        </w:rPr>
      </w:pPr>
      <w:r>
        <w:rPr/>
        <w:pict>
          <v:line style="position:absolute;mso-position-horizontal-relative:page;mso-position-vertical-relative:paragraph;z-index:-708112" from="136.080002pt,18.485933pt" to="159.660002pt,18.485933pt" stroked="true" strokeweight=".72pt" strokecolor="#000000">
            <w10:wrap type="none"/>
          </v:line>
        </w:pict>
      </w:r>
      <w:r>
        <w:rPr>
          <w:w w:val="111"/>
          <w:position w:val="1"/>
          <w:sz w:val="19"/>
        </w:rPr>
        <w:t>6.</w:t>
      </w:r>
      <w:r>
        <w:rPr>
          <w:position w:val="1"/>
          <w:sz w:val="19"/>
        </w:rPr>
        <w:t>   </w:t>
      </w:r>
      <w:r>
        <w:rPr>
          <w:spacing w:val="-3"/>
          <w:position w:val="1"/>
          <w:sz w:val="19"/>
        </w:rPr>
        <w:t> </w:t>
      </w:r>
      <w:r>
        <w:rPr>
          <w:rFonts w:ascii="Arial"/>
          <w:i/>
          <w:w w:val="101"/>
          <w:position w:val="1"/>
          <w:sz w:val="20"/>
        </w:rPr>
        <w:t>P</w:t>
      </w:r>
      <w:r>
        <w:rPr>
          <w:rFonts w:ascii="Arial"/>
          <w:i/>
          <w:position w:val="1"/>
          <w:sz w:val="20"/>
        </w:rPr>
        <w:t> </w:t>
      </w:r>
      <w:r>
        <w:rPr>
          <w:rFonts w:ascii="Arial"/>
          <w:i/>
          <w:spacing w:val="-10"/>
          <w:position w:val="1"/>
          <w:sz w:val="20"/>
        </w:rPr>
        <w:t> </w:t>
      </w:r>
      <w:r>
        <w:rPr>
          <w:w w:val="100"/>
          <w:position w:val="1"/>
          <w:sz w:val="24"/>
        </w:rPr>
        <w:t>=</w:t>
      </w:r>
      <w:r>
        <w:rPr>
          <w:position w:val="1"/>
          <w:sz w:val="24"/>
        </w:rPr>
        <w:t> </w:t>
      </w:r>
      <w:r>
        <w:rPr>
          <w:spacing w:val="-9"/>
          <w:position w:val="1"/>
          <w:sz w:val="24"/>
        </w:rPr>
        <w:t> </w:t>
      </w:r>
      <w:r>
        <w:rPr>
          <w:w w:val="112"/>
          <w:position w:val="1"/>
          <w:sz w:val="19"/>
        </w:rPr>
        <w:t>1,</w:t>
      </w:r>
      <w:r>
        <w:rPr>
          <w:position w:val="1"/>
          <w:sz w:val="19"/>
        </w:rPr>
        <w:tab/>
      </w:r>
      <w:r>
        <w:rPr>
          <w:rFonts w:ascii="Courier New"/>
          <w:w w:val="102"/>
          <w:position w:val="1"/>
          <w:sz w:val="24"/>
        </w:rPr>
        <w:t>Q</w:t>
      </w:r>
      <w:r>
        <w:rPr>
          <w:rFonts w:ascii="Courier New"/>
          <w:spacing w:val="-62"/>
          <w:position w:val="1"/>
          <w:sz w:val="24"/>
        </w:rPr>
        <w:t> </w:t>
      </w:r>
      <w:r>
        <w:rPr>
          <w:w w:val="117"/>
          <w:position w:val="9"/>
          <w:sz w:val="20"/>
        </w:rPr>
        <w:t>=</w:t>
      </w:r>
      <w:r>
        <w:rPr>
          <w:position w:val="9"/>
          <w:sz w:val="20"/>
        </w:rPr>
        <w:t> </w:t>
      </w:r>
      <w:r>
        <w:rPr>
          <w:spacing w:val="15"/>
          <w:position w:val="9"/>
          <w:sz w:val="20"/>
        </w:rPr>
        <w:t> </w:t>
      </w:r>
      <w:r>
        <w:rPr>
          <w:w w:val="140"/>
          <w:position w:val="9"/>
          <w:sz w:val="20"/>
        </w:rPr>
        <w:t>l</w:t>
      </w:r>
      <w:r>
        <w:rPr>
          <w:position w:val="9"/>
          <w:sz w:val="20"/>
        </w:rPr>
        <w:t> </w:t>
      </w:r>
      <w:r>
        <w:rPr>
          <w:spacing w:val="-17"/>
          <w:position w:val="9"/>
          <w:sz w:val="20"/>
        </w:rPr>
        <w:t> </w:t>
      </w:r>
      <w:r>
        <w:rPr>
          <w:spacing w:val="-84"/>
          <w:w w:val="147"/>
          <w:position w:val="9"/>
          <w:sz w:val="20"/>
        </w:rPr>
        <w:t>+</w:t>
      </w:r>
      <w:r>
        <w:rPr>
          <w:rFonts w:ascii="Arial"/>
          <w:w w:val="87"/>
          <w:position w:val="1"/>
          <w:sz w:val="24"/>
        </w:rPr>
        <w:t>.</w:t>
      </w:r>
      <w:r>
        <w:rPr>
          <w:rFonts w:ascii="Arial"/>
          <w:position w:val="1"/>
          <w:sz w:val="24"/>
        </w:rPr>
        <w:t> </w:t>
      </w:r>
      <w:r>
        <w:rPr>
          <w:rFonts w:ascii="Arial"/>
          <w:spacing w:val="-23"/>
          <w:position w:val="1"/>
          <w:sz w:val="24"/>
        </w:rPr>
        <w:t> </w:t>
      </w:r>
      <w:r>
        <w:rPr>
          <w:w w:val="142"/>
          <w:position w:val="9"/>
          <w:sz w:val="20"/>
        </w:rPr>
        <w:t>i</w:t>
      </w:r>
      <w:r>
        <w:rPr>
          <w:spacing w:val="3"/>
          <w:position w:val="9"/>
          <w:sz w:val="20"/>
        </w:rPr>
        <w:t> </w:t>
      </w:r>
      <w:r>
        <w:rPr>
          <w:w w:val="99"/>
          <w:position w:val="1"/>
          <w:sz w:val="22"/>
        </w:rPr>
        <w:t>,</w:t>
      </w:r>
      <w:r>
        <w:rPr>
          <w:position w:val="1"/>
          <w:sz w:val="22"/>
        </w:rPr>
        <w:tab/>
      </w:r>
      <w:r>
        <w:rPr>
          <w:rFonts w:ascii="Courier New"/>
          <w:i/>
          <w:w w:val="103"/>
          <w:sz w:val="24"/>
        </w:rPr>
        <w:t>R</w:t>
      </w:r>
      <w:r>
        <w:rPr>
          <w:rFonts w:ascii="Courier New"/>
          <w:i/>
          <w:spacing w:val="-53"/>
          <w:sz w:val="24"/>
        </w:rPr>
        <w:t> </w:t>
      </w:r>
      <w:r>
        <w:rPr>
          <w:rFonts w:ascii="Courier New"/>
          <w:i/>
          <w:w w:val="98"/>
          <w:sz w:val="24"/>
        </w:rPr>
        <w:t>=</w:t>
      </w:r>
    </w:p>
    <w:p>
      <w:pPr>
        <w:tabs>
          <w:tab w:pos="1800" w:val="left" w:leader="none"/>
        </w:tabs>
        <w:spacing w:line="204" w:lineRule="exact" w:before="0"/>
        <w:ind w:left="216" w:right="0" w:firstLine="0"/>
        <w:jc w:val="center"/>
        <w:rPr>
          <w:sz w:val="20"/>
        </w:rPr>
      </w:pPr>
      <w:r>
        <w:rPr>
          <w:i/>
          <w:w w:val="165"/>
          <w:sz w:val="14"/>
        </w:rPr>
        <w:t>i</w:t>
      </w:r>
      <w:r>
        <w:rPr>
          <w:w w:val="165"/>
          <w:sz w:val="20"/>
        </w:rPr>
        <w:tab/>
      </w:r>
      <w:r>
        <w:rPr>
          <w:w w:val="160"/>
          <w:sz w:val="20"/>
        </w:rPr>
        <w:t>i</w:t>
      </w:r>
    </w:p>
    <w:p>
      <w:pPr>
        <w:spacing w:line="324" w:lineRule="exact" w:before="105"/>
        <w:ind w:left="146" w:right="739" w:firstLine="0"/>
        <w:jc w:val="left"/>
        <w:rPr>
          <w:sz w:val="20"/>
        </w:rPr>
      </w:pPr>
      <w:r>
        <w:rPr>
          <w:w w:val="110"/>
          <w:sz w:val="20"/>
        </w:rPr>
        <w:t>11. </w:t>
      </w:r>
      <w:r>
        <w:rPr>
          <w:rFonts w:ascii="Arial"/>
          <w:w w:val="110"/>
          <w:sz w:val="23"/>
        </w:rPr>
        <w:t>i" </w:t>
      </w:r>
      <w:r>
        <w:rPr>
          <w:w w:val="110"/>
          <w:sz w:val="26"/>
        </w:rPr>
        <w:t>= </w:t>
      </w:r>
      <w:r>
        <w:rPr>
          <w:w w:val="130"/>
          <w:sz w:val="20"/>
        </w:rPr>
        <w:t>1 </w:t>
      </w:r>
      <w:r>
        <w:rPr>
          <w:rFonts w:ascii="Arial"/>
          <w:w w:val="110"/>
          <w:sz w:val="31"/>
        </w:rPr>
        <w:t>+ </w:t>
      </w:r>
      <w:r>
        <w:rPr>
          <w:i/>
          <w:w w:val="130"/>
          <w:sz w:val="22"/>
        </w:rPr>
        <w:t>i </w:t>
      </w:r>
      <w:r>
        <w:rPr>
          <w:w w:val="230"/>
          <w:sz w:val="22"/>
        </w:rPr>
        <w:t>-</w:t>
      </w:r>
      <w:r>
        <w:rPr>
          <w:spacing w:val="-88"/>
          <w:w w:val="230"/>
          <w:sz w:val="22"/>
        </w:rPr>
        <w:t> </w:t>
      </w:r>
      <w:r>
        <w:rPr>
          <w:w w:val="130"/>
          <w:sz w:val="20"/>
        </w:rPr>
        <w:t>1</w:t>
      </w:r>
    </w:p>
    <w:p>
      <w:pPr>
        <w:spacing w:line="174" w:lineRule="exact" w:before="0"/>
        <w:ind w:left="1129" w:right="0" w:firstLine="0"/>
        <w:jc w:val="left"/>
        <w:rPr>
          <w:rFonts w:ascii="Arial"/>
          <w:i/>
          <w:sz w:val="18"/>
        </w:rPr>
      </w:pPr>
      <w:r>
        <w:rPr>
          <w:rFonts w:ascii="Arial"/>
          <w:i/>
          <w:w w:val="84"/>
          <w:sz w:val="18"/>
        </w:rPr>
        <w:t>e</w:t>
      </w:r>
    </w:p>
    <w:p>
      <w:pPr>
        <w:pStyle w:val="BodyText"/>
        <w:spacing w:line="191" w:lineRule="exact" w:before="99"/>
        <w:ind w:left="571"/>
      </w:pPr>
      <w:r>
        <w:rPr>
          <w:w w:val="129"/>
        </w:rPr>
        <w:t>1</w:t>
      </w:r>
    </w:p>
    <w:p>
      <w:pPr>
        <w:spacing w:line="203" w:lineRule="exact" w:before="0"/>
        <w:ind w:left="142" w:right="739" w:firstLine="0"/>
        <w:jc w:val="left"/>
        <w:rPr>
          <w:b/>
          <w:i/>
          <w:sz w:val="20"/>
        </w:rPr>
      </w:pPr>
      <w:r>
        <w:rPr>
          <w:spacing w:val="-13"/>
          <w:sz w:val="19"/>
        </w:rPr>
        <w:t>12. </w:t>
      </w:r>
      <w:r>
        <w:rPr>
          <w:i/>
          <w:sz w:val="21"/>
        </w:rPr>
        <w:t>D.o </w:t>
      </w:r>
      <w:r>
        <w:rPr>
          <w:i/>
          <w:w w:val="85"/>
          <w:sz w:val="20"/>
        </w:rPr>
        <w:t>( </w:t>
      </w:r>
      <w:r>
        <w:rPr>
          <w:i/>
          <w:sz w:val="20"/>
        </w:rPr>
        <w:t>2M </w:t>
      </w:r>
      <w:r>
        <w:rPr>
          <w:i/>
          <w:w w:val="85"/>
          <w:sz w:val="20"/>
        </w:rPr>
        <w:t>40 </w:t>
      </w:r>
      <w:r>
        <w:rPr>
          <w:w w:val="255"/>
          <w:sz w:val="20"/>
        </w:rPr>
        <w:t>-</w:t>
      </w:r>
      <w:r>
        <w:rPr>
          <w:spacing w:val="-96"/>
          <w:w w:val="255"/>
          <w:sz w:val="20"/>
        </w:rPr>
        <w:t> </w:t>
      </w:r>
      <w:r>
        <w:rPr>
          <w:b/>
          <w:i/>
          <w:w w:val="85"/>
          <w:sz w:val="20"/>
        </w:rPr>
        <w:t>M&amp;r, )</w:t>
      </w:r>
    </w:p>
    <w:p>
      <w:pPr>
        <w:pStyle w:val="BodyText"/>
        <w:spacing w:line="83" w:lineRule="exact"/>
        <w:ind w:left="421"/>
        <w:rPr>
          <w:sz w:val="8"/>
        </w:rPr>
      </w:pPr>
      <w:r>
        <w:rPr>
          <w:position w:val="-1"/>
          <w:sz w:val="8"/>
        </w:rPr>
        <w:pict>
          <v:group style="width:17.850pt;height:4.150pt;mso-position-horizontal-relative:char;mso-position-vertical-relative:line" coordorigin="0,0" coordsize="357,83">
            <v:line style="position:absolute" from="42,42" to="315,42" stroked="true" strokeweight="4.140pt" strokecolor="#000000"/>
          </v:group>
        </w:pict>
      </w:r>
      <w:r>
        <w:rPr>
          <w:position w:val="-1"/>
          <w:sz w:val="8"/>
        </w:rPr>
      </w:r>
    </w:p>
    <w:p>
      <w:pPr>
        <w:spacing w:line="186" w:lineRule="exact" w:before="129"/>
        <w:ind w:left="481" w:right="739" w:firstLine="0"/>
        <w:jc w:val="left"/>
        <w:rPr>
          <w:sz w:val="19"/>
        </w:rPr>
      </w:pPr>
      <w:r>
        <w:rPr/>
        <w:pict>
          <v:shape style="position:absolute;margin-left:90.540001pt;margin-top:10.859264pt;width:77.8pt;height:15.5pt;mso-position-horizontal-relative:page;mso-position-vertical-relative:paragraph;z-index:-708040" type="#_x0000_t202" filled="false" stroked="false">
            <v:textbox inset="0,0,0,0">
              <w:txbxContent>
                <w:p>
                  <w:pPr>
                    <w:tabs>
                      <w:tab w:pos="1364" w:val="left" w:leader="none"/>
                    </w:tabs>
                    <w:spacing w:line="310" w:lineRule="exact" w:before="0"/>
                    <w:ind w:left="0" w:right="0" w:firstLine="0"/>
                    <w:jc w:val="left"/>
                    <w:rPr>
                      <w:rFonts w:ascii="Arial"/>
                      <w:sz w:val="31"/>
                    </w:rPr>
                  </w:pPr>
                  <w:r>
                    <w:rPr>
                      <w:rFonts w:ascii="Arial"/>
                      <w:w w:val="105"/>
                      <w:sz w:val="31"/>
                    </w:rPr>
                    <w:t>+</w:t>
                    <w:tab/>
                    <w:t>+</w:t>
                  </w:r>
                </w:p>
              </w:txbxContent>
            </v:textbox>
            <w10:wrap type="none"/>
          </v:shape>
        </w:pict>
      </w:r>
      <w:r>
        <w:rPr>
          <w:w w:val="115"/>
          <w:sz w:val="19"/>
        </w:rPr>
        <w:t>100</w:t>
      </w:r>
    </w:p>
    <w:p>
      <w:pPr>
        <w:tabs>
          <w:tab w:pos="1399" w:val="left" w:leader="none"/>
          <w:tab w:pos="2763" w:val="left" w:leader="none"/>
        </w:tabs>
        <w:spacing w:line="197" w:lineRule="exact" w:before="0"/>
        <w:ind w:left="139" w:right="739" w:firstLine="0"/>
        <w:jc w:val="left"/>
        <w:rPr>
          <w:sz w:val="12"/>
        </w:rPr>
      </w:pPr>
      <w:r>
        <w:rPr/>
        <w:pict>
          <v:line style="position:absolute;mso-position-horizontal-relative:page;mso-position-vertical-relative:paragraph;z-index:27976" from="58.32pt,10.550497pt" to="69.12pt,10.550497pt" stroked="true" strokeweight="5.4pt" strokecolor="#000000">
            <w10:wrap type="none"/>
          </v:line>
        </w:pict>
      </w:r>
      <w:r>
        <w:rPr>
          <w:spacing w:val="-14"/>
          <w:position w:val="1"/>
          <w:sz w:val="20"/>
        </w:rPr>
        <w:t>13.  </w:t>
      </w:r>
      <w:r>
        <w:rPr>
          <w:spacing w:val="-10"/>
          <w:position w:val="1"/>
          <w:sz w:val="20"/>
        </w:rPr>
        <w:t> </w:t>
      </w:r>
      <w:r>
        <w:rPr>
          <w:position w:val="1"/>
          <w:sz w:val="20"/>
        </w:rPr>
        <w:t>Do</w:t>
      </w:r>
      <w:r>
        <w:rPr>
          <w:spacing w:val="35"/>
          <w:position w:val="1"/>
          <w:sz w:val="20"/>
        </w:rPr>
        <w:t> </w:t>
      </w:r>
      <w:r>
        <w:rPr>
          <w:position w:val="1"/>
          <w:sz w:val="20"/>
        </w:rPr>
        <w:t>(Co</w:t>
        <w:tab/>
        <w:t>2( R1</w:t>
      </w:r>
      <w:r>
        <w:rPr>
          <w:spacing w:val="-2"/>
          <w:position w:val="1"/>
          <w:sz w:val="20"/>
        </w:rPr>
        <w:t> </w:t>
      </w:r>
      <w:r>
        <w:rPr>
          <w:w w:val="255"/>
          <w:position w:val="1"/>
          <w:sz w:val="20"/>
        </w:rPr>
        <w:t>-</w:t>
      </w:r>
      <w:r>
        <w:rPr>
          <w:spacing w:val="-85"/>
          <w:w w:val="255"/>
          <w:position w:val="1"/>
          <w:sz w:val="20"/>
        </w:rPr>
        <w:t> </w:t>
      </w:r>
      <w:r>
        <w:rPr>
          <w:i/>
          <w:spacing w:val="2"/>
          <w:position w:val="1"/>
          <w:sz w:val="20"/>
        </w:rPr>
        <w:t>Rt,)</w:t>
        <w:tab/>
      </w:r>
      <w:r>
        <w:rPr>
          <w:position w:val="1"/>
          <w:sz w:val="20"/>
        </w:rPr>
        <w:t>40M</w:t>
      </w:r>
      <w:r>
        <w:rPr>
          <w:sz w:val="12"/>
        </w:rPr>
        <w:t>21]</w:t>
      </w:r>
    </w:p>
    <w:p>
      <w:pPr>
        <w:pStyle w:val="BodyText"/>
        <w:spacing w:before="8"/>
        <w:rPr>
          <w:sz w:val="21"/>
        </w:rPr>
      </w:pPr>
    </w:p>
    <w:p>
      <w:pPr>
        <w:spacing w:line="162" w:lineRule="exact" w:before="0"/>
        <w:ind w:left="488" w:right="739" w:firstLine="0"/>
        <w:jc w:val="left"/>
        <w:rPr>
          <w:sz w:val="19"/>
        </w:rPr>
      </w:pPr>
      <w:r>
        <w:rPr/>
        <w:pict>
          <v:shape style="position:absolute;margin-left:103.68pt;margin-top:2.969256pt;width:78.7pt;height:15.5pt;mso-position-horizontal-relative:page;mso-position-vertical-relative:paragraph;z-index:-708016" type="#_x0000_t202" filled="false" stroked="false">
            <v:textbox inset="0,0,0,0">
              <w:txbxContent>
                <w:p>
                  <w:pPr>
                    <w:tabs>
                      <w:tab w:pos="1385" w:val="left" w:leader="none"/>
                    </w:tabs>
                    <w:spacing w:line="310" w:lineRule="exact" w:before="0"/>
                    <w:ind w:left="0" w:right="0" w:firstLine="0"/>
                    <w:jc w:val="left"/>
                    <w:rPr>
                      <w:rFonts w:ascii="Arial"/>
                      <w:sz w:val="31"/>
                    </w:rPr>
                  </w:pPr>
                  <w:r>
                    <w:rPr>
                      <w:rFonts w:ascii="Arial"/>
                      <w:w w:val="105"/>
                      <w:sz w:val="31"/>
                    </w:rPr>
                    <w:t>+</w:t>
                    <w:tab/>
                  </w:r>
                  <w:r>
                    <w:rPr>
                      <w:rFonts w:ascii="Arial"/>
                      <w:sz w:val="31"/>
                    </w:rPr>
                    <w:t>+</w:t>
                  </w:r>
                </w:p>
              </w:txbxContent>
            </v:textbox>
            <w10:wrap type="none"/>
          </v:shape>
        </w:pict>
      </w:r>
      <w:r>
        <w:rPr>
          <w:w w:val="110"/>
          <w:sz w:val="19"/>
        </w:rPr>
        <w:t>1000</w:t>
      </w:r>
    </w:p>
    <w:p>
      <w:pPr>
        <w:tabs>
          <w:tab w:pos="1665" w:val="left" w:leader="none"/>
          <w:tab w:pos="3040" w:val="left" w:leader="none"/>
        </w:tabs>
        <w:spacing w:line="196" w:lineRule="exact" w:before="0" w:after="2"/>
        <w:ind w:left="142" w:right="739" w:firstLine="0"/>
        <w:jc w:val="left"/>
        <w:rPr>
          <w:sz w:val="19"/>
        </w:rPr>
      </w:pPr>
      <w:r>
        <w:rPr>
          <w:spacing w:val="-43"/>
          <w:w w:val="128"/>
          <w:sz w:val="19"/>
        </w:rPr>
        <w:t>1</w:t>
      </w:r>
      <w:r>
        <w:rPr>
          <w:w w:val="107"/>
          <w:sz w:val="19"/>
        </w:rPr>
        <w:t>4.</w:t>
      </w:r>
      <w:r>
        <w:rPr>
          <w:sz w:val="19"/>
        </w:rPr>
        <w:t>  </w:t>
      </w:r>
      <w:r>
        <w:rPr>
          <w:spacing w:val="18"/>
          <w:sz w:val="19"/>
        </w:rPr>
        <w:t> </w:t>
      </w:r>
      <w:r>
        <w:rPr>
          <w:rFonts w:ascii="Arial" w:hAnsi="Arial"/>
          <w:i/>
          <w:w w:val="61"/>
          <w:sz w:val="19"/>
        </w:rPr>
        <w:t>Df¡</w:t>
      </w:r>
      <w:r>
        <w:rPr>
          <w:rFonts w:ascii="Arial" w:hAnsi="Arial"/>
          <w:i/>
          <w:w w:val="61"/>
          <w:sz w:val="19"/>
        </w:rPr>
        <w:t>(J</w:t>
      </w:r>
      <w:r>
        <w:rPr>
          <w:rFonts w:ascii="Arial" w:hAnsi="Arial"/>
          <w:i/>
          <w:sz w:val="19"/>
        </w:rPr>
        <w:t>  </w:t>
      </w:r>
      <w:r>
        <w:rPr>
          <w:rFonts w:ascii="Arial" w:hAnsi="Arial"/>
          <w:i/>
          <w:spacing w:val="-7"/>
          <w:sz w:val="19"/>
        </w:rPr>
        <w:t> </w:t>
      </w:r>
      <w:r>
        <w:rPr>
          <w:rFonts w:ascii="Arial" w:hAnsi="Arial"/>
          <w:i/>
          <w:w w:val="83"/>
          <w:sz w:val="19"/>
        </w:rPr>
        <w:t>(</w:t>
      </w:r>
      <w:r>
        <w:rPr>
          <w:rFonts w:ascii="Arial" w:hAnsi="Arial"/>
          <w:i/>
          <w:spacing w:val="-24"/>
          <w:sz w:val="19"/>
        </w:rPr>
        <w:t> </w:t>
      </w:r>
      <w:r>
        <w:rPr>
          <w:rFonts w:ascii="Arial" w:hAnsi="Arial"/>
          <w:i/>
          <w:w w:val="133"/>
          <w:sz w:val="19"/>
        </w:rPr>
        <w:t>M</w:t>
      </w:r>
      <w:r>
        <w:rPr>
          <w:rFonts w:ascii="Arial" w:hAnsi="Arial"/>
          <w:i/>
          <w:spacing w:val="-31"/>
          <w:w w:val="133"/>
          <w:sz w:val="19"/>
        </w:rPr>
        <w:t>.</w:t>
      </w:r>
      <w:r>
        <w:rPr>
          <w:rFonts w:ascii="Arial" w:hAnsi="Arial"/>
          <w:i/>
          <w:w w:val="55"/>
          <w:sz w:val="19"/>
        </w:rPr>
        <w:t>o</w:t>
      </w:r>
      <w:r>
        <w:rPr>
          <w:rFonts w:ascii="Arial" w:hAnsi="Arial"/>
          <w:i/>
          <w:sz w:val="19"/>
        </w:rPr>
        <w:tab/>
      </w:r>
      <w:r>
        <w:rPr>
          <w:w w:val="84"/>
          <w:sz w:val="20"/>
        </w:rPr>
        <w:t>3R41</w:t>
      </w:r>
      <w:r>
        <w:rPr>
          <w:sz w:val="20"/>
        </w:rPr>
        <w:t> </w:t>
      </w:r>
      <w:r>
        <w:rPr>
          <w:spacing w:val="-19"/>
          <w:sz w:val="20"/>
        </w:rPr>
        <w:t> </w:t>
      </w:r>
      <w:r>
        <w:rPr>
          <w:w w:val="274"/>
          <w:sz w:val="20"/>
        </w:rPr>
        <w:t>-</w:t>
      </w:r>
      <w:r>
        <w:rPr>
          <w:spacing w:val="8"/>
          <w:sz w:val="20"/>
        </w:rPr>
        <w:t> </w:t>
      </w:r>
      <w:r>
        <w:rPr>
          <w:spacing w:val="2"/>
          <w:w w:val="107"/>
          <w:sz w:val="19"/>
        </w:rPr>
        <w:t>7</w:t>
      </w:r>
      <w:r>
        <w:rPr>
          <w:i/>
          <w:w w:val="110"/>
          <w:sz w:val="22"/>
        </w:rPr>
        <w:t>R</w:t>
      </w:r>
      <w:r>
        <w:rPr>
          <w:i/>
          <w:spacing w:val="-12"/>
          <w:w w:val="110"/>
          <w:sz w:val="22"/>
        </w:rPr>
        <w:t>.</w:t>
      </w:r>
      <w:r>
        <w:rPr>
          <w:i/>
          <w:w w:val="48"/>
          <w:sz w:val="22"/>
        </w:rPr>
        <w:t>6</w:t>
      </w:r>
      <w:r>
        <w:rPr>
          <w:i/>
          <w:sz w:val="22"/>
        </w:rPr>
        <w:tab/>
      </w:r>
      <w:r>
        <w:rPr>
          <w:w w:val="114"/>
          <w:sz w:val="19"/>
        </w:rPr>
        <w:t>4R</w:t>
      </w:r>
      <w:r>
        <w:rPr>
          <w:spacing w:val="-11"/>
          <w:w w:val="114"/>
          <w:sz w:val="19"/>
        </w:rPr>
        <w:t>.</w:t>
      </w:r>
      <w:r>
        <w:rPr>
          <w:w w:val="90"/>
          <w:sz w:val="19"/>
        </w:rPr>
        <w:t>g)</w:t>
      </w:r>
    </w:p>
    <w:p>
      <w:pPr>
        <w:pStyle w:val="BodyText"/>
        <w:spacing w:line="80" w:lineRule="exact"/>
        <w:ind w:left="495"/>
        <w:rPr>
          <w:sz w:val="8"/>
        </w:rPr>
      </w:pPr>
      <w:r>
        <w:rPr>
          <w:position w:val="-1"/>
          <w:sz w:val="8"/>
        </w:rPr>
        <w:pict>
          <v:group style="width:17.150pt;height:4pt;mso-position-horizontal-relative:char;mso-position-vertical-relative:line" coordorigin="0,0" coordsize="343,80">
            <v:line style="position:absolute" from="40,40" to="303,40" stroked="true" strokeweight="3.96pt" strokecolor="#000000"/>
          </v:group>
        </w:pict>
      </w:r>
      <w:r>
        <w:rPr>
          <w:position w:val="-1"/>
          <w:sz w:val="8"/>
        </w:rPr>
      </w:r>
    </w:p>
    <w:p>
      <w:pPr>
        <w:spacing w:before="138"/>
        <w:ind w:left="139" w:right="739" w:firstLine="0"/>
        <w:jc w:val="left"/>
        <w:rPr>
          <w:i/>
          <w:sz w:val="21"/>
        </w:rPr>
      </w:pPr>
      <w:r>
        <w:rPr/>
        <w:drawing>
          <wp:anchor distT="0" distB="0" distL="0" distR="0" allowOverlap="1" layoutInCell="1" locked="0" behindDoc="0" simplePos="0" relativeHeight="27880">
            <wp:simplePos x="0" y="0"/>
            <wp:positionH relativeFrom="page">
              <wp:posOffset>502919</wp:posOffset>
            </wp:positionH>
            <wp:positionV relativeFrom="paragraph">
              <wp:posOffset>324138</wp:posOffset>
            </wp:positionV>
            <wp:extent cx="2258567" cy="146304"/>
            <wp:effectExtent l="0" t="0" r="0" b="0"/>
            <wp:wrapTopAndBottom/>
            <wp:docPr id="825" name="image421.png" descr=""/>
            <wp:cNvGraphicFramePr>
              <a:graphicFrameLocks noChangeAspect="1"/>
            </wp:cNvGraphicFramePr>
            <a:graphic>
              <a:graphicData uri="http://schemas.openxmlformats.org/drawingml/2006/picture">
                <pic:pic>
                  <pic:nvPicPr>
                    <pic:cNvPr id="826" name="image421.png"/>
                    <pic:cNvPicPr/>
                  </pic:nvPicPr>
                  <pic:blipFill>
                    <a:blip r:embed="rId425" cstate="print"/>
                    <a:stretch>
                      <a:fillRect/>
                    </a:stretch>
                  </pic:blipFill>
                  <pic:spPr>
                    <a:xfrm>
                      <a:off x="0" y="0"/>
                      <a:ext cx="2258567" cy="146304"/>
                    </a:xfrm>
                    <a:prstGeom prst="rect">
                      <a:avLst/>
                    </a:prstGeom>
                  </pic:spPr>
                </pic:pic>
              </a:graphicData>
            </a:graphic>
          </wp:anchor>
        </w:drawing>
      </w:r>
      <w:r>
        <w:rPr>
          <w:w w:val="110"/>
          <w:sz w:val="20"/>
        </w:rPr>
        <w:t>15.  (b)   </w:t>
      </w:r>
      <w:r>
        <w:rPr>
          <w:i/>
          <w:w w:val="110"/>
          <w:sz w:val="21"/>
        </w:rPr>
        <w:t>-v( lA)z</w:t>
      </w:r>
    </w:p>
    <w:p>
      <w:pPr>
        <w:tabs>
          <w:tab w:pos="2914" w:val="left" w:leader="none"/>
        </w:tabs>
        <w:spacing w:line="98" w:lineRule="exact" w:before="85"/>
        <w:ind w:left="1867" w:right="739" w:firstLine="0"/>
        <w:jc w:val="left"/>
        <w:rPr>
          <w:sz w:val="12"/>
        </w:rPr>
      </w:pPr>
      <w:r>
        <w:rPr>
          <w:b/>
          <w:w w:val="125"/>
          <w:sz w:val="12"/>
        </w:rPr>
        <w:t>4</w:t>
        <w:tab/>
      </w:r>
      <w:r>
        <w:rPr>
          <w:spacing w:val="-4"/>
          <w:w w:val="160"/>
          <w:sz w:val="12"/>
        </w:rPr>
        <w:t>"'-z-1</w:t>
      </w:r>
    </w:p>
    <w:p>
      <w:pPr>
        <w:tabs>
          <w:tab w:pos="3015" w:val="left" w:leader="none"/>
        </w:tabs>
        <w:spacing w:line="285" w:lineRule="exact" w:before="0"/>
        <w:ind w:left="484" w:right="739" w:firstLine="0"/>
        <w:jc w:val="left"/>
        <w:rPr>
          <w:sz w:val="16"/>
        </w:rPr>
      </w:pPr>
      <w:r>
        <w:rPr>
          <w:w w:val="105"/>
          <w:sz w:val="20"/>
        </w:rPr>
        <w:t>and </w:t>
      </w:r>
      <w:r>
        <w:rPr>
          <w:w w:val="105"/>
          <w:sz w:val="16"/>
        </w:rPr>
        <w:t>M{z] + </w:t>
      </w:r>
      <w:r>
        <w:rPr>
          <w:sz w:val="16"/>
        </w:rPr>
        <w:t>t  </w:t>
      </w:r>
      <w:r>
        <w:rPr>
          <w:w w:val="105"/>
          <w:sz w:val="24"/>
        </w:rPr>
        <w:t>= </w:t>
      </w:r>
      <w:r>
        <w:rPr>
          <w:rFonts w:ascii="Arial"/>
          <w:b/>
          <w:i/>
          <w:w w:val="135"/>
          <w:sz w:val="31"/>
        </w:rPr>
        <w:t>L</w:t>
      </w:r>
      <w:r>
        <w:rPr>
          <w:rFonts w:ascii="Arial"/>
          <w:b/>
          <w:i/>
          <w:spacing w:val="-46"/>
          <w:w w:val="135"/>
          <w:sz w:val="31"/>
        </w:rPr>
        <w:t> </w:t>
      </w:r>
      <w:r>
        <w:rPr>
          <w:w w:val="105"/>
          <w:sz w:val="16"/>
        </w:rPr>
        <w:t>CczJ +r</w:t>
      </w:r>
      <w:r>
        <w:rPr>
          <w:spacing w:val="40"/>
          <w:w w:val="105"/>
          <w:sz w:val="16"/>
        </w:rPr>
        <w:t> </w:t>
      </w:r>
      <w:r>
        <w:rPr>
          <w:rFonts w:ascii="Arial"/>
          <w:w w:val="105"/>
          <w:sz w:val="31"/>
        </w:rPr>
        <w:t>+</w:t>
        <w:tab/>
      </w:r>
      <w:r>
        <w:rPr>
          <w:rFonts w:ascii="Arial"/>
          <w:b/>
          <w:i/>
          <w:w w:val="135"/>
          <w:sz w:val="31"/>
        </w:rPr>
        <w:t>L </w:t>
      </w:r>
      <w:r>
        <w:rPr>
          <w:w w:val="105"/>
          <w:sz w:val="16"/>
        </w:rPr>
        <w:t>Cz+r </w:t>
      </w:r>
      <w:r>
        <w:rPr>
          <w:spacing w:val="26"/>
          <w:w w:val="105"/>
          <w:sz w:val="16"/>
        </w:rPr>
        <w:t> </w:t>
      </w:r>
      <w:r>
        <w:rPr>
          <w:w w:val="135"/>
          <w:sz w:val="16"/>
        </w:rPr>
        <w:t>.</w:t>
      </w:r>
    </w:p>
    <w:p>
      <w:pPr>
        <w:tabs>
          <w:tab w:pos="3015" w:val="left" w:leader="none"/>
        </w:tabs>
        <w:spacing w:line="128" w:lineRule="exact" w:before="0"/>
        <w:ind w:left="1788" w:right="739" w:firstLine="0"/>
        <w:jc w:val="left"/>
        <w:rPr>
          <w:rFonts w:ascii="Courier New"/>
          <w:sz w:val="13"/>
        </w:rPr>
      </w:pPr>
      <w:r>
        <w:rPr/>
        <w:drawing>
          <wp:anchor distT="0" distB="0" distL="0" distR="0" allowOverlap="1" layoutInCell="1" locked="0" behindDoc="0" simplePos="0" relativeHeight="27904">
            <wp:simplePos x="0" y="0"/>
            <wp:positionH relativeFrom="page">
              <wp:posOffset>722376</wp:posOffset>
            </wp:positionH>
            <wp:positionV relativeFrom="paragraph">
              <wp:posOffset>150264</wp:posOffset>
            </wp:positionV>
            <wp:extent cx="1636775" cy="146304"/>
            <wp:effectExtent l="0" t="0" r="0" b="0"/>
            <wp:wrapTopAndBottom/>
            <wp:docPr id="827" name="image422.png" descr=""/>
            <wp:cNvGraphicFramePr>
              <a:graphicFrameLocks noChangeAspect="1"/>
            </wp:cNvGraphicFramePr>
            <a:graphic>
              <a:graphicData uri="http://schemas.openxmlformats.org/drawingml/2006/picture">
                <pic:pic>
                  <pic:nvPicPr>
                    <pic:cNvPr id="828" name="image422.png"/>
                    <pic:cNvPicPr/>
                  </pic:nvPicPr>
                  <pic:blipFill>
                    <a:blip r:embed="rId426" cstate="print"/>
                    <a:stretch>
                      <a:fillRect/>
                    </a:stretch>
                  </pic:blipFill>
                  <pic:spPr>
                    <a:xfrm>
                      <a:off x="0" y="0"/>
                      <a:ext cx="1636775" cy="146304"/>
                    </a:xfrm>
                    <a:prstGeom prst="rect">
                      <a:avLst/>
                    </a:prstGeom>
                  </pic:spPr>
                </pic:pic>
              </a:graphicData>
            </a:graphic>
          </wp:anchor>
        </w:drawing>
      </w:r>
      <w:r>
        <w:rPr>
          <w:i/>
          <w:w w:val="145"/>
          <w:sz w:val="13"/>
        </w:rPr>
        <w:t>r-t</w:t>
        <w:tab/>
      </w:r>
      <w:r>
        <w:rPr>
          <w:rFonts w:ascii="Courier New"/>
          <w:spacing w:val="-5"/>
          <w:w w:val="130"/>
          <w:sz w:val="13"/>
        </w:rPr>
        <w:t>r-6</w:t>
      </w:r>
    </w:p>
    <w:p>
      <w:pPr>
        <w:spacing w:line="121" w:lineRule="exact" w:before="93"/>
        <w:ind w:left="74" w:right="2381" w:firstLine="0"/>
        <w:jc w:val="center"/>
        <w:rPr>
          <w:sz w:val="12"/>
        </w:rPr>
      </w:pPr>
      <w:r>
        <w:rPr>
          <w:w w:val="180"/>
          <w:sz w:val="12"/>
        </w:rPr>
        <w:t>"'-z-1</w:t>
      </w:r>
    </w:p>
    <w:p>
      <w:pPr>
        <w:tabs>
          <w:tab w:pos="2104" w:val="left" w:leader="none"/>
        </w:tabs>
        <w:spacing w:line="246" w:lineRule="exact" w:before="0"/>
        <w:ind w:left="481" w:right="739" w:firstLine="0"/>
        <w:jc w:val="left"/>
        <w:rPr>
          <w:rFonts w:ascii="Arial"/>
          <w:sz w:val="25"/>
        </w:rPr>
      </w:pPr>
      <w:r>
        <w:rPr/>
        <w:pict>
          <v:shape style="position:absolute;margin-left:118.980003pt;margin-top:-2.795949pt;width:10.7pt;height:17pt;mso-position-horizontal-relative:page;mso-position-vertical-relative:paragraph;z-index:-707992" type="#_x0000_t202" filled="false" stroked="false">
            <v:textbox inset="0,0,0,0">
              <w:txbxContent>
                <w:p>
                  <w:pPr>
                    <w:spacing w:line="340" w:lineRule="exact" w:before="0"/>
                    <w:ind w:left="0" w:right="0" w:firstLine="0"/>
                    <w:jc w:val="left"/>
                    <w:rPr>
                      <w:b/>
                      <w:i/>
                      <w:sz w:val="34"/>
                    </w:rPr>
                  </w:pPr>
                  <w:r>
                    <w:rPr>
                      <w:b/>
                      <w:i/>
                      <w:w w:val="102"/>
                      <w:sz w:val="34"/>
                    </w:rPr>
                    <w:t>L</w:t>
                  </w:r>
                </w:p>
              </w:txbxContent>
            </v:textbox>
            <w10:wrap type="none"/>
          </v:shape>
        </w:pict>
      </w:r>
      <w:r>
        <w:rPr>
          <w:sz w:val="20"/>
        </w:rPr>
        <w:t>and </w:t>
      </w:r>
      <w:r>
        <w:rPr>
          <w:i/>
          <w:sz w:val="17"/>
        </w:rPr>
        <w:t>M</w:t>
      </w:r>
      <w:r>
        <w:rPr>
          <w:i/>
          <w:spacing w:val="11"/>
          <w:sz w:val="17"/>
        </w:rPr>
        <w:t> </w:t>
      </w:r>
      <w:r>
        <w:rPr>
          <w:i/>
          <w:sz w:val="17"/>
        </w:rPr>
        <w:t>z+t </w:t>
      </w:r>
      <w:r>
        <w:rPr>
          <w:i/>
          <w:spacing w:val="15"/>
          <w:sz w:val="17"/>
        </w:rPr>
        <w:t> </w:t>
      </w:r>
      <w:r>
        <w:rPr>
          <w:sz w:val="24"/>
        </w:rPr>
        <w:t>=</w:t>
        <w:tab/>
      </w:r>
      <w:r>
        <w:rPr>
          <w:rFonts w:ascii="Arial"/>
          <w:w w:val="65"/>
          <w:sz w:val="25"/>
        </w:rPr>
        <w:t>c%-ti"</w:t>
      </w:r>
      <w:r>
        <w:rPr>
          <w:rFonts w:ascii="Arial"/>
          <w:spacing w:val="-13"/>
          <w:w w:val="65"/>
          <w:sz w:val="25"/>
        </w:rPr>
        <w:t> </w:t>
      </w:r>
      <w:r>
        <w:rPr>
          <w:rFonts w:ascii="Arial"/>
          <w:w w:val="65"/>
          <w:sz w:val="25"/>
        </w:rPr>
        <w:t>.</w:t>
      </w:r>
    </w:p>
    <w:p>
      <w:pPr>
        <w:spacing w:line="115" w:lineRule="exact" w:before="0"/>
        <w:ind w:left="74" w:right="2396" w:firstLine="0"/>
        <w:jc w:val="center"/>
        <w:rPr>
          <w:i/>
          <w:sz w:val="13"/>
        </w:rPr>
      </w:pPr>
      <w:r>
        <w:rPr>
          <w:i/>
          <w:w w:val="160"/>
          <w:sz w:val="13"/>
        </w:rPr>
        <w:t>r-t</w:t>
      </w:r>
    </w:p>
    <w:p>
      <w:pPr>
        <w:spacing w:line="547" w:lineRule="exact" w:before="0"/>
        <w:ind w:left="74" w:right="1808" w:firstLine="0"/>
        <w:jc w:val="center"/>
        <w:rPr>
          <w:rFonts w:ascii="Arial"/>
          <w:i/>
          <w:sz w:val="20"/>
        </w:rPr>
      </w:pPr>
      <w:r>
        <w:rPr>
          <w:spacing w:val="-2"/>
          <w:w w:val="82"/>
          <w:sz w:val="50"/>
        </w:rPr>
        <w:t>(</w:t>
      </w:r>
      <w:r>
        <w:rPr>
          <w:spacing w:val="33"/>
          <w:w w:val="53"/>
          <w:sz w:val="50"/>
        </w:rPr>
        <w:t>1</w:t>
      </w:r>
      <w:r>
        <w:rPr>
          <w:rFonts w:ascii="Arial"/>
          <w:spacing w:val="-162"/>
          <w:w w:val="105"/>
          <w:sz w:val="31"/>
        </w:rPr>
        <w:t>+</w:t>
      </w:r>
      <w:r>
        <w:rPr>
          <w:rFonts w:ascii="Arial"/>
          <w:spacing w:val="-362"/>
          <w:w w:val="304"/>
          <w:sz w:val="31"/>
        </w:rPr>
        <w:t>;</w:t>
      </w:r>
      <w:r>
        <w:rPr>
          <w:rFonts w:ascii="Arial"/>
          <w:w w:val="135"/>
          <w:sz w:val="31"/>
        </w:rPr>
        <w:t>)</w:t>
      </w:r>
      <w:r>
        <w:rPr>
          <w:rFonts w:ascii="Arial"/>
          <w:spacing w:val="-40"/>
          <w:sz w:val="31"/>
        </w:rPr>
        <w:t> </w:t>
      </w:r>
      <w:r>
        <w:rPr>
          <w:rFonts w:ascii="Arial"/>
          <w:i/>
          <w:w w:val="85"/>
          <w:sz w:val="20"/>
        </w:rPr>
        <w:t>(</w:t>
      </w:r>
      <w:r>
        <w:rPr>
          <w:rFonts w:ascii="Arial"/>
          <w:i/>
          <w:spacing w:val="-34"/>
          <w:sz w:val="20"/>
        </w:rPr>
        <w:t> </w:t>
      </w:r>
      <w:r>
        <w:rPr>
          <w:rFonts w:ascii="Arial"/>
          <w:i/>
          <w:spacing w:val="13"/>
          <w:w w:val="116"/>
          <w:sz w:val="20"/>
        </w:rPr>
        <w:t>M</w:t>
      </w:r>
      <w:r>
        <w:rPr>
          <w:rFonts w:ascii="Arial"/>
          <w:i/>
          <w:w w:val="133"/>
          <w:sz w:val="20"/>
        </w:rPr>
        <w:t>..</w:t>
      </w:r>
      <w:r>
        <w:rPr>
          <w:rFonts w:ascii="Arial"/>
          <w:i/>
          <w:spacing w:val="-3"/>
          <w:sz w:val="20"/>
        </w:rPr>
        <w:t> </w:t>
      </w:r>
      <w:r>
        <w:rPr>
          <w:rFonts w:ascii="Arial"/>
          <w:w w:val="262"/>
          <w:sz w:val="20"/>
        </w:rPr>
        <w:t>-</w:t>
      </w:r>
      <w:r>
        <w:rPr>
          <w:rFonts w:ascii="Arial"/>
          <w:spacing w:val="-1"/>
          <w:sz w:val="20"/>
        </w:rPr>
        <w:t> </w:t>
      </w:r>
      <w:r>
        <w:rPr>
          <w:rFonts w:ascii="Arial"/>
          <w:b/>
          <w:i/>
          <w:w w:val="122"/>
          <w:sz w:val="19"/>
        </w:rPr>
        <w:t>M,.</w:t>
      </w:r>
      <w:r>
        <w:rPr>
          <w:rFonts w:ascii="Arial"/>
          <w:b/>
          <w:i/>
          <w:w w:val="122"/>
          <w:sz w:val="19"/>
        </w:rPr>
        <w:t>)</w:t>
      </w:r>
      <w:r>
        <w:rPr>
          <w:rFonts w:ascii="Arial"/>
          <w:b/>
          <w:i/>
          <w:sz w:val="19"/>
        </w:rPr>
        <w:t> </w:t>
      </w:r>
      <w:r>
        <w:rPr>
          <w:rFonts w:ascii="Arial"/>
          <w:b/>
          <w:i/>
          <w:spacing w:val="-18"/>
          <w:sz w:val="19"/>
        </w:rPr>
        <w:t> </w:t>
      </w:r>
      <w:r>
        <w:rPr>
          <w:rFonts w:ascii="Arial"/>
          <w:w w:val="110"/>
          <w:sz w:val="31"/>
        </w:rPr>
        <w:t>+</w:t>
      </w:r>
      <w:r>
        <w:rPr>
          <w:rFonts w:ascii="Arial"/>
          <w:spacing w:val="-42"/>
          <w:sz w:val="31"/>
        </w:rPr>
        <w:t> </w:t>
      </w:r>
      <w:r>
        <w:rPr>
          <w:rFonts w:ascii="Arial"/>
          <w:i/>
          <w:w w:val="114"/>
          <w:sz w:val="20"/>
        </w:rPr>
        <w:t>D,.</w:t>
      </w:r>
    </w:p>
    <w:p>
      <w:pPr>
        <w:tabs>
          <w:tab w:pos="1975" w:val="left" w:leader="none"/>
        </w:tabs>
        <w:spacing w:line="212" w:lineRule="exact" w:before="0"/>
        <w:ind w:left="153" w:right="739" w:firstLine="0"/>
        <w:jc w:val="left"/>
        <w:rPr>
          <w:rFonts w:ascii="Arial"/>
          <w:i/>
          <w:sz w:val="20"/>
        </w:rPr>
      </w:pPr>
      <w:r>
        <w:rPr>
          <w:spacing w:val="-15"/>
          <w:w w:val="115"/>
          <w:sz w:val="19"/>
        </w:rPr>
        <w:t>19. </w:t>
      </w:r>
      <w:r>
        <w:rPr>
          <w:spacing w:val="16"/>
          <w:w w:val="115"/>
          <w:sz w:val="19"/>
        </w:rPr>
        <w:t> </w:t>
      </w:r>
      <w:r>
        <w:rPr>
          <w:rFonts w:ascii="Arial"/>
          <w:w w:val="115"/>
          <w:sz w:val="19"/>
        </w:rPr>
        <w:t>(a)</w:t>
        <w:tab/>
      </w:r>
      <w:r>
        <w:rPr>
          <w:rFonts w:ascii="Arial"/>
          <w:i/>
          <w:w w:val="115"/>
          <w:sz w:val="20"/>
        </w:rPr>
        <w:t>D.,</w:t>
      </w:r>
    </w:p>
    <w:p>
      <w:pPr>
        <w:pStyle w:val="BodyText"/>
        <w:spacing w:line="80" w:lineRule="exact"/>
        <w:ind w:left="1935"/>
        <w:rPr>
          <w:rFonts w:ascii="Arial"/>
          <w:sz w:val="8"/>
        </w:rPr>
      </w:pPr>
      <w:r>
        <w:rPr>
          <w:rFonts w:ascii="Arial"/>
          <w:position w:val="-1"/>
          <w:sz w:val="8"/>
        </w:rPr>
        <w:pict>
          <v:group style="width:17.350pt;height:4pt;mso-position-horizontal-relative:char;mso-position-vertical-relative:line" coordorigin="0,0" coordsize="347,80">
            <v:line style="position:absolute" from="40,40" to="306,40" stroked="true" strokeweight="3.96pt" strokecolor="#000000"/>
          </v:group>
        </w:pict>
      </w:r>
      <w:r>
        <w:rPr>
          <w:rFonts w:ascii="Arial"/>
          <w:position w:val="-1"/>
          <w:sz w:val="8"/>
        </w:rPr>
      </w:r>
    </w:p>
    <w:p>
      <w:pPr>
        <w:spacing w:line="217" w:lineRule="exact" w:before="171"/>
        <w:ind w:left="495" w:right="739" w:firstLine="0"/>
        <w:jc w:val="left"/>
        <w:rPr>
          <w:sz w:val="19"/>
        </w:rPr>
      </w:pPr>
      <w:r>
        <w:rPr>
          <w:w w:val="140"/>
          <w:sz w:val="19"/>
        </w:rPr>
        <w:t>(b) </w:t>
      </w:r>
      <w:r>
        <w:rPr>
          <w:w w:val="105"/>
          <w:sz w:val="19"/>
        </w:rPr>
        <w:t>lOMao </w:t>
      </w:r>
      <w:r>
        <w:rPr>
          <w:w w:val="260"/>
          <w:sz w:val="19"/>
        </w:rPr>
        <w:t>-</w:t>
      </w:r>
      <w:r>
        <w:rPr>
          <w:spacing w:val="-77"/>
          <w:w w:val="260"/>
          <w:sz w:val="19"/>
        </w:rPr>
        <w:t> </w:t>
      </w:r>
      <w:r>
        <w:rPr>
          <w:rFonts w:ascii="Arial"/>
          <w:i/>
          <w:w w:val="105"/>
          <w:sz w:val="19"/>
        </w:rPr>
        <w:t>( Ru </w:t>
      </w:r>
      <w:r>
        <w:rPr>
          <w:rFonts w:ascii="Arial"/>
          <w:w w:val="260"/>
          <w:sz w:val="19"/>
        </w:rPr>
        <w:t>-</w:t>
      </w:r>
      <w:r>
        <w:rPr>
          <w:rFonts w:ascii="Arial"/>
          <w:spacing w:val="-96"/>
          <w:w w:val="260"/>
          <w:sz w:val="19"/>
        </w:rPr>
        <w:t> </w:t>
      </w:r>
      <w:r>
        <w:rPr>
          <w:w w:val="140"/>
          <w:sz w:val="19"/>
        </w:rPr>
        <w:t>Ru)</w:t>
      </w:r>
    </w:p>
    <w:p>
      <w:pPr>
        <w:spacing w:line="227" w:lineRule="exact" w:before="0"/>
        <w:ind w:left="74" w:right="2458" w:firstLine="0"/>
        <w:jc w:val="center"/>
        <w:rPr>
          <w:rFonts w:ascii="Arial"/>
          <w:i/>
          <w:sz w:val="20"/>
        </w:rPr>
      </w:pPr>
      <w:r>
        <w:rPr/>
        <w:pict>
          <v:line style="position:absolute;mso-position-horizontal-relative:page;mso-position-vertical-relative:paragraph;z-index:-708064" from="76.320pt,.692474pt" to="168.48pt,.692474pt" stroked="true" strokeweight=".9pt" strokecolor="#000000">
            <w10:wrap type="none"/>
          </v:line>
        </w:pict>
      </w:r>
      <w:r>
        <w:rPr>
          <w:rFonts w:ascii="Arial"/>
          <w:i/>
          <w:w w:val="115"/>
          <w:sz w:val="20"/>
        </w:rPr>
        <w:t>D.,</w:t>
      </w:r>
    </w:p>
    <w:p>
      <w:pPr>
        <w:spacing w:after="0" w:line="227" w:lineRule="exact"/>
        <w:jc w:val="center"/>
        <w:rPr>
          <w:rFonts w:ascii="Arial"/>
          <w:sz w:val="20"/>
        </w:rPr>
        <w:sectPr>
          <w:pgSz w:w="7200" w:h="11340"/>
          <w:pgMar w:top="500" w:bottom="280" w:left="660" w:right="560"/>
        </w:sectPr>
      </w:pPr>
    </w:p>
    <w:p>
      <w:pPr>
        <w:tabs>
          <w:tab w:pos="2601" w:val="left" w:leader="none"/>
        </w:tabs>
        <w:spacing w:before="65"/>
        <w:ind w:left="132" w:right="0" w:firstLine="0"/>
        <w:jc w:val="left"/>
        <w:rPr>
          <w:sz w:val="15"/>
        </w:rPr>
      </w:pPr>
      <w:r>
        <w:rPr>
          <w:w w:val="105"/>
          <w:position w:val="1"/>
          <w:sz w:val="15"/>
        </w:rPr>
        <w:t>CH. </w:t>
      </w:r>
      <w:r>
        <w:rPr>
          <w:spacing w:val="13"/>
          <w:w w:val="105"/>
          <w:position w:val="1"/>
          <w:sz w:val="15"/>
        </w:rPr>
        <w:t> </w:t>
      </w:r>
      <w:r>
        <w:rPr>
          <w:w w:val="105"/>
          <w:position w:val="1"/>
          <w:sz w:val="20"/>
        </w:rPr>
        <w:t>4]</w:t>
        <w:tab/>
      </w:r>
      <w:r>
        <w:rPr>
          <w:w w:val="105"/>
          <w:sz w:val="15"/>
        </w:rPr>
        <w:t>ANSWERS</w:t>
      </w:r>
    </w:p>
    <w:p>
      <w:pPr>
        <w:pStyle w:val="BodyText"/>
        <w:spacing w:before="8"/>
        <w:rPr>
          <w:sz w:val="29"/>
        </w:rPr>
      </w:pPr>
    </w:p>
    <w:p>
      <w:pPr>
        <w:tabs>
          <w:tab w:pos="1589" w:val="left" w:leader="none"/>
        </w:tabs>
        <w:spacing w:before="1"/>
        <w:ind w:left="488" w:right="0" w:firstLine="0"/>
        <w:jc w:val="left"/>
        <w:rPr>
          <w:i/>
          <w:sz w:val="23"/>
        </w:rPr>
      </w:pPr>
      <w:r>
        <w:rPr/>
        <w:pict>
          <v:rect style="position:absolute;margin-left:94.5pt;margin-top:10.786322pt;width:13.14pt;height:7.2pt;mso-position-horizontal-relative:page;mso-position-vertical-relative:paragraph;z-index:-707920" filled="true" fillcolor="#000000" stroked="false">
            <v:fill type="solid"/>
            <w10:wrap type="none"/>
          </v:rect>
        </w:pict>
      </w:r>
      <w:r>
        <w:rPr>
          <w:sz w:val="20"/>
        </w:rPr>
        <w:t>(e)</w:t>
      </w:r>
      <w:r>
        <w:rPr>
          <w:spacing w:val="23"/>
          <w:sz w:val="20"/>
        </w:rPr>
        <w:t> </w:t>
      </w:r>
      <w:r>
        <w:rPr>
          <w:i/>
          <w:sz w:val="23"/>
        </w:rPr>
        <w:t>R</w:t>
      </w:r>
      <w:r>
        <w:rPr>
          <w:i/>
          <w:position w:val="9"/>
          <w:sz w:val="13"/>
        </w:rPr>
        <w:t>46</w:t>
        <w:tab/>
      </w:r>
      <w:r>
        <w:rPr>
          <w:i/>
          <w:sz w:val="23"/>
        </w:rPr>
        <w:t>M'°</w:t>
      </w:r>
    </w:p>
    <w:p>
      <w:pPr>
        <w:spacing w:line="548" w:lineRule="exact" w:before="113"/>
        <w:ind w:left="0" w:right="651" w:firstLine="0"/>
        <w:jc w:val="center"/>
        <w:rPr>
          <w:rFonts w:ascii="Arial"/>
          <w:sz w:val="34"/>
        </w:rPr>
      </w:pPr>
      <w:r>
        <w:rPr>
          <w:rFonts w:ascii="Arial"/>
          <w:spacing w:val="-20"/>
          <w:w w:val="115"/>
          <w:sz w:val="34"/>
        </w:rPr>
        <w:t>(1+</w:t>
      </w:r>
      <w:r>
        <w:rPr>
          <w:rFonts w:ascii="Arial"/>
          <w:spacing w:val="-97"/>
          <w:w w:val="115"/>
          <w:sz w:val="34"/>
        </w:rPr>
        <w:t> </w:t>
      </w:r>
      <w:r>
        <w:rPr>
          <w:spacing w:val="-20"/>
          <w:sz w:val="50"/>
        </w:rPr>
        <w:t>i)</w:t>
      </w:r>
      <w:r>
        <w:rPr>
          <w:spacing w:val="-104"/>
          <w:sz w:val="50"/>
        </w:rPr>
        <w:t> </w:t>
      </w:r>
      <w:r>
        <w:rPr>
          <w:rFonts w:ascii="Arial"/>
          <w:w w:val="115"/>
          <w:sz w:val="20"/>
        </w:rPr>
        <w:t>(R,. - </w:t>
      </w:r>
      <w:r>
        <w:rPr>
          <w:rFonts w:ascii="Arial"/>
          <w:spacing w:val="-10"/>
          <w:sz w:val="34"/>
        </w:rPr>
        <w:t>fM..)</w:t>
      </w:r>
    </w:p>
    <w:p>
      <w:pPr>
        <w:tabs>
          <w:tab w:pos="1676" w:val="left" w:leader="none"/>
        </w:tabs>
        <w:spacing w:line="226" w:lineRule="exact" w:before="0"/>
        <w:ind w:left="488" w:right="0" w:firstLine="0"/>
        <w:jc w:val="left"/>
        <w:rPr>
          <w:i/>
          <w:sz w:val="22"/>
        </w:rPr>
      </w:pPr>
      <w:r>
        <w:rPr/>
        <w:pict>
          <v:line style="position:absolute;mso-position-horizontal-relative:page;mso-position-vertical-relative:paragraph;z-index:28168" from="116.82pt,12.060906pt" to="129.96pt,12.060906pt" stroked="true" strokeweight="4.140pt" strokecolor="#000000">
            <w10:wrap type="none"/>
          </v:line>
        </w:pict>
      </w:r>
      <w:r>
        <w:rPr>
          <w:spacing w:val="8"/>
          <w:sz w:val="20"/>
        </w:rPr>
        <w:t>(d)</w:t>
        <w:tab/>
      </w:r>
      <w:r>
        <w:rPr>
          <w:i/>
          <w:w w:val="95"/>
          <w:sz w:val="22"/>
        </w:rPr>
        <w:t>Dar,</w:t>
      </w:r>
    </w:p>
    <w:p>
      <w:pPr>
        <w:pStyle w:val="BodyText"/>
        <w:spacing w:before="8"/>
        <w:rPr>
          <w:i/>
          <w:sz w:val="22"/>
        </w:rPr>
      </w:pPr>
    </w:p>
    <w:p>
      <w:pPr>
        <w:pStyle w:val="ListParagraph"/>
        <w:numPr>
          <w:ilvl w:val="0"/>
          <w:numId w:val="156"/>
        </w:numPr>
        <w:tabs>
          <w:tab w:pos="492" w:val="left" w:leader="none"/>
        </w:tabs>
        <w:spacing w:line="240" w:lineRule="auto" w:before="1" w:after="0"/>
        <w:ind w:left="492" w:right="0" w:hanging="360"/>
        <w:jc w:val="left"/>
        <w:rPr>
          <w:i/>
          <w:sz w:val="22"/>
        </w:rPr>
      </w:pPr>
      <w:r>
        <w:rPr>
          <w:rFonts w:ascii="Arial" w:hAnsi="Arial"/>
          <w:w w:val="90"/>
          <w:sz w:val="19"/>
        </w:rPr>
        <w:t>(a)</w:t>
      </w:r>
      <w:r>
        <w:rPr>
          <w:rFonts w:ascii="Arial" w:hAnsi="Arial"/>
          <w:spacing w:val="-8"/>
          <w:w w:val="90"/>
          <w:sz w:val="19"/>
        </w:rPr>
        <w:t> </w:t>
      </w:r>
      <w:r>
        <w:rPr>
          <w:i/>
          <w:w w:val="90"/>
          <w:sz w:val="22"/>
          <w:u w:val="single"/>
        </w:rPr>
        <w:t>M</w:t>
      </w:r>
      <w:r>
        <w:rPr>
          <w:i/>
          <w:spacing w:val="-31"/>
          <w:w w:val="90"/>
          <w:sz w:val="22"/>
          <w:u w:val="single"/>
        </w:rPr>
        <w:t> </w:t>
      </w:r>
      <w:r>
        <w:rPr>
          <w:i/>
          <w:w w:val="90"/>
          <w:sz w:val="22"/>
          <w:u w:val="single"/>
        </w:rPr>
        <w:t>ar,-¡;</w:t>
      </w:r>
      <w:r>
        <w:rPr>
          <w:i/>
          <w:spacing w:val="-2"/>
          <w:w w:val="90"/>
          <w:sz w:val="22"/>
          <w:u w:val="single"/>
        </w:rPr>
        <w:t> </w:t>
      </w:r>
      <w:r>
        <w:rPr>
          <w:i/>
          <w:w w:val="90"/>
          <w:sz w:val="22"/>
          <w:u w:val="single"/>
        </w:rPr>
        <w:t>M</w:t>
      </w:r>
      <w:r>
        <w:rPr>
          <w:i/>
          <w:spacing w:val="-29"/>
          <w:w w:val="90"/>
          <w:sz w:val="22"/>
          <w:u w:val="single"/>
        </w:rPr>
        <w:t> </w:t>
      </w:r>
      <w:r>
        <w:rPr>
          <w:i/>
          <w:w w:val="90"/>
          <w:sz w:val="22"/>
          <w:u w:val="single"/>
        </w:rPr>
        <w:t>eo</w:t>
      </w:r>
    </w:p>
    <w:p>
      <w:pPr>
        <w:spacing w:before="38"/>
        <w:ind w:left="1323" w:right="0" w:firstLine="0"/>
        <w:jc w:val="left"/>
        <w:rPr>
          <w:b/>
          <w:sz w:val="12"/>
        </w:rPr>
      </w:pPr>
      <w:r>
        <w:rPr>
          <w:b/>
          <w:sz w:val="12"/>
        </w:rPr>
        <w:t>25</w:t>
      </w:r>
    </w:p>
    <w:p>
      <w:pPr>
        <w:pStyle w:val="BodyText"/>
        <w:spacing w:before="7"/>
        <w:rPr>
          <w:b/>
          <w:sz w:val="11"/>
        </w:rPr>
      </w:pPr>
    </w:p>
    <w:p>
      <w:pPr>
        <w:spacing w:line="249" w:lineRule="exact" w:before="0"/>
        <w:ind w:left="474" w:right="0" w:firstLine="0"/>
        <w:jc w:val="left"/>
        <w:rPr>
          <w:rFonts w:ascii="Arial" w:hAnsi="Arial"/>
          <w:i/>
          <w:sz w:val="20"/>
        </w:rPr>
      </w:pPr>
      <w:r>
        <w:rPr>
          <w:w w:val="115"/>
          <w:sz w:val="20"/>
        </w:rPr>
        <w:t>(b) </w:t>
      </w:r>
      <w:r>
        <w:rPr>
          <w:i/>
          <w:sz w:val="23"/>
          <w:u w:val="single"/>
        </w:rPr>
        <w:t>R'° </w:t>
      </w:r>
      <w:r>
        <w:rPr>
          <w:w w:val="230"/>
          <w:sz w:val="23"/>
          <w:u w:val="single"/>
        </w:rPr>
        <w:t>- </w:t>
      </w:r>
      <w:r>
        <w:rPr>
          <w:i/>
          <w:w w:val="115"/>
          <w:sz w:val="23"/>
          <w:u w:val="single"/>
        </w:rPr>
        <w:t>Ru </w:t>
      </w:r>
      <w:r>
        <w:rPr>
          <w:w w:val="230"/>
          <w:sz w:val="23"/>
          <w:u w:val="single"/>
        </w:rPr>
        <w:t>-</w:t>
      </w:r>
      <w:r>
        <w:rPr>
          <w:spacing w:val="-52"/>
          <w:w w:val="230"/>
          <w:sz w:val="23"/>
          <w:u w:val="single"/>
        </w:rPr>
        <w:t> </w:t>
      </w:r>
      <w:r>
        <w:rPr>
          <w:rFonts w:ascii="Arial" w:hAnsi="Arial"/>
          <w:i/>
          <w:sz w:val="20"/>
          <w:u w:val="single"/>
        </w:rPr>
        <w:t>5MM</w:t>
      </w:r>
    </w:p>
    <w:p>
      <w:pPr>
        <w:spacing w:line="237" w:lineRule="exact" w:before="0"/>
        <w:ind w:left="0" w:right="1043" w:firstLine="0"/>
        <w:jc w:val="center"/>
        <w:rPr>
          <w:i/>
          <w:sz w:val="22"/>
        </w:rPr>
      </w:pPr>
      <w:r>
        <w:rPr>
          <w:i/>
          <w:w w:val="80"/>
          <w:sz w:val="22"/>
        </w:rPr>
        <w:t>Deo</w:t>
      </w:r>
    </w:p>
    <w:p>
      <w:pPr>
        <w:tabs>
          <w:tab w:pos="1341" w:val="left" w:leader="none"/>
          <w:tab w:pos="3303" w:val="left" w:leader="none"/>
        </w:tabs>
        <w:spacing w:before="91"/>
        <w:ind w:left="470" w:right="0" w:firstLine="0"/>
        <w:jc w:val="left"/>
        <w:rPr>
          <w:sz w:val="26"/>
        </w:rPr>
      </w:pPr>
      <w:r>
        <w:rPr>
          <w:w w:val="116"/>
          <w:sz w:val="20"/>
        </w:rPr>
        <w:t>(</w:t>
      </w:r>
      <w:r>
        <w:rPr>
          <w:w w:val="116"/>
          <w:sz w:val="20"/>
        </w:rPr>
        <w:t>e</w:t>
      </w:r>
      <w:r>
        <w:rPr>
          <w:w w:val="116"/>
          <w:sz w:val="20"/>
        </w:rPr>
        <w:t>)</w:t>
      </w:r>
      <w:r>
        <w:rPr>
          <w:sz w:val="20"/>
        </w:rPr>
        <w:t> </w:t>
      </w:r>
      <w:r>
        <w:rPr>
          <w:spacing w:val="-22"/>
          <w:sz w:val="20"/>
        </w:rPr>
        <w:t> </w:t>
      </w:r>
      <w:r>
        <w:rPr>
          <w:i/>
          <w:w w:val="72"/>
          <w:sz w:val="26"/>
          <w:u w:val="thick"/>
        </w:rPr>
        <w:t>Rs</w:t>
      </w:r>
      <w:r>
        <w:rPr>
          <w:i/>
          <w:spacing w:val="11"/>
          <w:sz w:val="26"/>
        </w:rPr>
        <w:t> </w:t>
      </w:r>
      <w:r>
        <w:rPr>
          <w:w w:val="210"/>
          <w:sz w:val="26"/>
          <w:u w:val="thick"/>
        </w:rPr>
        <w:t>-</w:t>
      </w:r>
      <w:r>
        <w:rPr>
          <w:sz w:val="26"/>
        </w:rPr>
        <w:tab/>
      </w:r>
      <w:r>
        <w:rPr>
          <w:spacing w:val="-156"/>
          <w:w w:val="287"/>
          <w:sz w:val="26"/>
          <w:u w:val="thick"/>
        </w:rPr>
        <w:t>!</w:t>
      </w:r>
      <w:r>
        <w:rPr>
          <w:w w:val="79"/>
          <w:sz w:val="26"/>
          <w:u w:val="thick"/>
        </w:rPr>
        <w:t>M</w:t>
      </w:r>
      <w:r>
        <w:rPr>
          <w:w w:val="79"/>
          <w:sz w:val="26"/>
          <w:u w:val="thick"/>
        </w:rPr>
        <w:t>s</w:t>
      </w:r>
      <w:r>
        <w:rPr>
          <w:spacing w:val="7"/>
          <w:sz w:val="26"/>
          <w:u w:val="thick"/>
        </w:rPr>
        <w:t> </w:t>
      </w:r>
      <w:r>
        <w:rPr>
          <w:w w:val="221"/>
          <w:sz w:val="26"/>
          <w:u w:val="thick"/>
        </w:rPr>
        <w:t>-</w:t>
      </w:r>
      <w:r>
        <w:rPr>
          <w:spacing w:val="7"/>
          <w:sz w:val="26"/>
        </w:rPr>
        <w:t> </w:t>
      </w:r>
      <w:r>
        <w:rPr>
          <w:w w:val="69"/>
          <w:sz w:val="26"/>
          <w:u w:val="thick"/>
        </w:rPr>
        <w:t>Rs"i;</w:t>
      </w:r>
      <w:r>
        <w:rPr>
          <w:w w:val="69"/>
          <w:sz w:val="26"/>
          <w:u w:val="thick"/>
        </w:rPr>
        <w:t>z</w:t>
      </w:r>
      <w:r>
        <w:rPr>
          <w:spacing w:val="-39"/>
          <w:sz w:val="26"/>
          <w:u w:val="thick"/>
        </w:rPr>
        <w:t> </w:t>
      </w:r>
      <w:r>
        <w:rPr>
          <w:w w:val="216"/>
          <w:sz w:val="26"/>
          <w:u w:val="thick"/>
        </w:rPr>
        <w:t>-</w:t>
      </w:r>
      <w:r>
        <w:rPr>
          <w:spacing w:val="27"/>
          <w:sz w:val="26"/>
        </w:rPr>
        <w:t> </w:t>
      </w:r>
      <w:r>
        <w:rPr>
          <w:rFonts w:ascii="Arial"/>
          <w:i/>
          <w:w w:val="83"/>
          <w:sz w:val="19"/>
          <w:u w:val="thick"/>
        </w:rPr>
        <w:t>(</w:t>
      </w:r>
      <w:r>
        <w:rPr>
          <w:rFonts w:ascii="Arial"/>
          <w:i/>
          <w:spacing w:val="-31"/>
          <w:sz w:val="19"/>
          <w:u w:val="thick"/>
        </w:rPr>
        <w:t> </w:t>
      </w:r>
      <w:r>
        <w:rPr>
          <w:rFonts w:ascii="Arial"/>
          <w:i/>
          <w:w w:val="115"/>
          <w:sz w:val="19"/>
          <w:u w:val="thick"/>
        </w:rPr>
        <w:t>n</w:t>
      </w:r>
      <w:r>
        <w:rPr>
          <w:rFonts w:ascii="Arial"/>
          <w:i/>
          <w:sz w:val="19"/>
          <w:u w:val="thick"/>
        </w:rPr>
        <w:t> </w:t>
      </w:r>
      <w:r>
        <w:rPr>
          <w:rFonts w:ascii="Arial"/>
          <w:i/>
          <w:spacing w:val="-6"/>
          <w:sz w:val="19"/>
          <w:u w:val="thick"/>
        </w:rPr>
        <w:t> </w:t>
      </w:r>
      <w:r>
        <w:rPr>
          <w:rFonts w:ascii="Arial"/>
          <w:w w:val="269"/>
          <w:sz w:val="19"/>
          <w:u w:val="thick"/>
        </w:rPr>
        <w:t>-</w:t>
      </w:r>
      <w:r>
        <w:rPr>
          <w:rFonts w:ascii="Arial"/>
          <w:sz w:val="19"/>
        </w:rPr>
        <w:tab/>
      </w:r>
      <w:r>
        <w:rPr>
          <w:rFonts w:ascii="Arial"/>
          <w:spacing w:val="18"/>
          <w:w w:val="158"/>
          <w:sz w:val="19"/>
          <w:u w:val="thick"/>
        </w:rPr>
        <w:t>}</w:t>
      </w:r>
      <w:r>
        <w:rPr>
          <w:w w:val="71"/>
          <w:sz w:val="26"/>
          <w:u w:val="thick"/>
        </w:rPr>
        <w:t>)</w:t>
      </w:r>
      <w:r>
        <w:rPr>
          <w:w w:val="71"/>
          <w:sz w:val="26"/>
          <w:u w:val="thick"/>
        </w:rPr>
        <w:t>Mz+n</w:t>
      </w:r>
    </w:p>
    <w:p>
      <w:pPr>
        <w:pStyle w:val="BodyText"/>
        <w:spacing w:before="9"/>
        <w:rPr>
          <w:sz w:val="25"/>
        </w:rPr>
      </w:pPr>
      <w:r>
        <w:rPr/>
        <w:drawing>
          <wp:anchor distT="0" distB="0" distL="0" distR="0" allowOverlap="1" layoutInCell="1" locked="0" behindDoc="0" simplePos="0" relativeHeight="28096">
            <wp:simplePos x="0" y="0"/>
            <wp:positionH relativeFrom="page">
              <wp:posOffset>713231</wp:posOffset>
            </wp:positionH>
            <wp:positionV relativeFrom="paragraph">
              <wp:posOffset>213461</wp:posOffset>
            </wp:positionV>
            <wp:extent cx="868680" cy="283463"/>
            <wp:effectExtent l="0" t="0" r="0" b="0"/>
            <wp:wrapTopAndBottom/>
            <wp:docPr id="829" name="image423.png" descr=""/>
            <wp:cNvGraphicFramePr>
              <a:graphicFrameLocks noChangeAspect="1"/>
            </wp:cNvGraphicFramePr>
            <a:graphic>
              <a:graphicData uri="http://schemas.openxmlformats.org/drawingml/2006/picture">
                <pic:pic>
                  <pic:nvPicPr>
                    <pic:cNvPr id="830" name="image423.png"/>
                    <pic:cNvPicPr/>
                  </pic:nvPicPr>
                  <pic:blipFill>
                    <a:blip r:embed="rId427" cstate="print"/>
                    <a:stretch>
                      <a:fillRect/>
                    </a:stretch>
                  </pic:blipFill>
                  <pic:spPr>
                    <a:xfrm>
                      <a:off x="0" y="0"/>
                      <a:ext cx="868680" cy="283463"/>
                    </a:xfrm>
                    <a:prstGeom prst="rect">
                      <a:avLst/>
                    </a:prstGeom>
                  </pic:spPr>
                </pic:pic>
              </a:graphicData>
            </a:graphic>
          </wp:anchor>
        </w:drawing>
      </w:r>
    </w:p>
    <w:p>
      <w:pPr>
        <w:pStyle w:val="ListParagraph"/>
        <w:numPr>
          <w:ilvl w:val="0"/>
          <w:numId w:val="156"/>
        </w:numPr>
        <w:tabs>
          <w:tab w:pos="503" w:val="left" w:leader="none"/>
        </w:tabs>
        <w:spacing w:line="240" w:lineRule="auto" w:before="104" w:after="0"/>
        <w:ind w:left="502" w:right="0" w:hanging="385"/>
        <w:jc w:val="left"/>
        <w:rPr>
          <w:sz w:val="20"/>
        </w:rPr>
      </w:pPr>
      <w:r>
        <w:rPr>
          <w:w w:val="110"/>
          <w:sz w:val="20"/>
        </w:rPr>
        <w:t>(a)</w:t>
      </w:r>
      <w:r>
        <w:rPr>
          <w:spacing w:val="11"/>
          <w:w w:val="110"/>
          <w:sz w:val="20"/>
        </w:rPr>
        <w:t> </w:t>
      </w:r>
      <w:r>
        <w:rPr>
          <w:w w:val="110"/>
          <w:sz w:val="20"/>
        </w:rPr>
        <w:t>No.</w:t>
      </w:r>
    </w:p>
    <w:p>
      <w:pPr>
        <w:spacing w:line="210" w:lineRule="exact" w:before="102"/>
        <w:ind w:left="0" w:right="2953" w:firstLine="0"/>
        <w:jc w:val="center"/>
        <w:rPr>
          <w:sz w:val="21"/>
        </w:rPr>
      </w:pPr>
      <w:r>
        <w:rPr/>
        <w:pict>
          <v:shape style="position:absolute;margin-left:156.240005pt;margin-top:10.802855pt;width:57.3pt;height:15.5pt;mso-position-horizontal-relative:page;mso-position-vertical-relative:paragraph;z-index:-707848" type="#_x0000_t202" filled="false" stroked="false">
            <v:textbox inset="0,0,0,0">
              <w:txbxContent>
                <w:p>
                  <w:pPr>
                    <w:tabs>
                      <w:tab w:pos="953" w:val="left" w:leader="none"/>
                    </w:tabs>
                    <w:spacing w:line="310" w:lineRule="exact" w:before="0"/>
                    <w:ind w:left="0" w:right="0" w:firstLine="0"/>
                    <w:jc w:val="left"/>
                    <w:rPr>
                      <w:rFonts w:ascii="Arial"/>
                      <w:sz w:val="31"/>
                    </w:rPr>
                  </w:pPr>
                  <w:r>
                    <w:rPr>
                      <w:rFonts w:ascii="Arial"/>
                      <w:w w:val="105"/>
                      <w:sz w:val="31"/>
                    </w:rPr>
                    <w:t>+</w:t>
                    <w:tab/>
                    <w:t>+</w:t>
                  </w:r>
                </w:p>
              </w:txbxContent>
            </v:textbox>
            <w10:wrap type="none"/>
          </v:shape>
        </w:pict>
      </w:r>
      <w:r>
        <w:rPr>
          <w:w w:val="122"/>
          <w:sz w:val="21"/>
        </w:rPr>
        <w:t>1</w:t>
      </w:r>
    </w:p>
    <w:p>
      <w:pPr>
        <w:pStyle w:val="ListParagraph"/>
        <w:numPr>
          <w:ilvl w:val="0"/>
          <w:numId w:val="156"/>
        </w:numPr>
        <w:tabs>
          <w:tab w:pos="568" w:val="left" w:leader="none"/>
          <w:tab w:pos="2713" w:val="left" w:leader="none"/>
          <w:tab w:pos="3667" w:val="left" w:leader="none"/>
        </w:tabs>
        <w:spacing w:line="139" w:lineRule="exact" w:before="0" w:after="0"/>
        <w:ind w:left="567" w:right="0" w:hanging="450"/>
        <w:jc w:val="left"/>
        <w:rPr>
          <w:i/>
          <w:sz w:val="19"/>
        </w:rPr>
      </w:pPr>
      <w:r>
        <w:rPr>
          <w:i/>
          <w:sz w:val="19"/>
        </w:rPr>
        <w:t>D  </w:t>
      </w:r>
      <w:r>
        <w:rPr>
          <w:w w:val="115"/>
          <w:sz w:val="19"/>
        </w:rPr>
        <w:t>[dñ](Mz </w:t>
      </w:r>
      <w:r>
        <w:rPr>
          <w:w w:val="270"/>
          <w:sz w:val="19"/>
        </w:rPr>
        <w:t>-</w:t>
      </w:r>
      <w:r>
        <w:rPr>
          <w:spacing w:val="-89"/>
          <w:w w:val="270"/>
          <w:sz w:val="19"/>
        </w:rPr>
        <w:t> </w:t>
      </w:r>
      <w:r>
        <w:rPr>
          <w:i/>
          <w:sz w:val="19"/>
        </w:rPr>
        <w:t>M z+e</w:t>
      </w:r>
      <w:r>
        <w:rPr>
          <w:i/>
          <w:spacing w:val="-18"/>
          <w:sz w:val="19"/>
        </w:rPr>
        <w:t> </w:t>
      </w:r>
      <w:r>
        <w:rPr>
          <w:i/>
          <w:sz w:val="19"/>
        </w:rPr>
        <w:t>)</w:t>
        <w:tab/>
      </w:r>
      <w:r>
        <w:rPr>
          <w:i/>
          <w:spacing w:val="-3"/>
          <w:w w:val="90"/>
          <w:sz w:val="19"/>
        </w:rPr>
        <w:t>ci";¡Dz+c</w:t>
        <w:tab/>
      </w:r>
      <w:r>
        <w:rPr>
          <w:i/>
          <w:w w:val="90"/>
          <w:sz w:val="19"/>
        </w:rPr>
        <w:t>N</w:t>
      </w:r>
      <w:r>
        <w:rPr>
          <w:i/>
          <w:spacing w:val="-27"/>
          <w:w w:val="90"/>
          <w:sz w:val="19"/>
        </w:rPr>
        <w:t> </w:t>
      </w:r>
      <w:r>
        <w:rPr>
          <w:i/>
          <w:w w:val="90"/>
          <w:sz w:val="19"/>
        </w:rPr>
        <w:t>z+t+nl</w:t>
      </w:r>
    </w:p>
    <w:p>
      <w:pPr>
        <w:spacing w:line="190" w:lineRule="exact" w:before="0"/>
        <w:ind w:left="455" w:right="0" w:firstLine="0"/>
        <w:jc w:val="left"/>
        <w:rPr>
          <w:rFonts w:ascii="Courier New"/>
          <w:i/>
          <w:sz w:val="13"/>
        </w:rPr>
      </w:pPr>
      <w:r>
        <w:rPr>
          <w:rFonts w:ascii="Courier New"/>
          <w:i/>
          <w:w w:val="105"/>
          <w:sz w:val="22"/>
        </w:rPr>
        <w:t>n </w:t>
      </w:r>
      <w:r>
        <w:rPr>
          <w:rFonts w:ascii="Courier New"/>
          <w:i/>
          <w:w w:val="105"/>
          <w:sz w:val="13"/>
        </w:rPr>
        <w:t>z</w:t>
      </w:r>
    </w:p>
    <w:p>
      <w:pPr>
        <w:spacing w:line="297" w:lineRule="exact" w:before="39"/>
        <w:ind w:left="455" w:right="0" w:firstLine="0"/>
        <w:jc w:val="left"/>
        <w:rPr>
          <w:i/>
          <w:sz w:val="22"/>
        </w:rPr>
      </w:pPr>
      <w:r>
        <w:rPr/>
        <w:pict>
          <v:shape style="position:absolute;margin-left:38.700001pt;margin-top:11.568899pt;width:9.9pt;height:11pt;mso-position-horizontal-relative:page;mso-position-vertical-relative:paragraph;z-index:28240" type="#_x0000_t202" filled="false" stroked="false">
            <v:textbox inset="0,0,0,0">
              <w:txbxContent>
                <w:p>
                  <w:pPr>
                    <w:spacing w:line="220" w:lineRule="exact" w:before="0"/>
                    <w:ind w:left="0" w:right="-20" w:firstLine="0"/>
                    <w:jc w:val="left"/>
                    <w:rPr>
                      <w:sz w:val="22"/>
                    </w:rPr>
                  </w:pPr>
                  <w:r>
                    <w:rPr>
                      <w:w w:val="90"/>
                      <w:sz w:val="22"/>
                    </w:rPr>
                    <w:t>24</w:t>
                  </w:r>
                </w:p>
              </w:txbxContent>
            </v:textbox>
            <w10:wrap type="none"/>
          </v:shape>
        </w:pict>
      </w:r>
      <w:r>
        <w:rPr>
          <w:w w:val="140"/>
          <w:sz w:val="21"/>
          <w:u w:val="single"/>
        </w:rPr>
        <w:t>i </w:t>
      </w:r>
      <w:r>
        <w:rPr>
          <w:w w:val="250"/>
          <w:sz w:val="21"/>
          <w:u w:val="single"/>
        </w:rPr>
        <w:t>-</w:t>
      </w:r>
      <w:r>
        <w:rPr>
          <w:spacing w:val="-90"/>
          <w:w w:val="250"/>
          <w:sz w:val="21"/>
          <w:u w:val="single"/>
        </w:rPr>
        <w:t> </w:t>
      </w:r>
      <w:r>
        <w:rPr>
          <w:w w:val="90"/>
          <w:sz w:val="28"/>
          <w:u w:val="single"/>
        </w:rPr>
        <w:t>a </w:t>
      </w:r>
      <w:r>
        <w:rPr>
          <w:spacing w:val="5"/>
          <w:w w:val="90"/>
          <w:sz w:val="28"/>
        </w:rPr>
        <w:t>.</w:t>
      </w:r>
      <w:r>
        <w:rPr>
          <w:i/>
          <w:spacing w:val="5"/>
          <w:w w:val="90"/>
          <w:sz w:val="22"/>
        </w:rPr>
        <w:t>Cz</w:t>
      </w:r>
    </w:p>
    <w:p>
      <w:pPr>
        <w:tabs>
          <w:tab w:pos="295" w:val="left" w:leader="none"/>
          <w:tab w:pos="698" w:val="left" w:leader="none"/>
        </w:tabs>
        <w:spacing w:line="205" w:lineRule="exact" w:before="0"/>
        <w:ind w:left="0" w:right="2716" w:firstLine="0"/>
        <w:jc w:val="center"/>
        <w:rPr>
          <w:rFonts w:ascii="Arial" w:hAnsi="Arial"/>
          <w:i/>
          <w:sz w:val="20"/>
        </w:rPr>
      </w:pPr>
      <w:r>
        <w:rPr>
          <w:rFonts w:ascii="Arial" w:hAnsi="Arial"/>
          <w:w w:val="95"/>
          <w:sz w:val="15"/>
        </w:rPr>
        <w:t>•</w:t>
        <w:tab/>
      </w:r>
      <w:r>
        <w:rPr>
          <w:rFonts w:ascii="Arial" w:hAnsi="Arial"/>
          <w:i/>
          <w:spacing w:val="-8"/>
          <w:w w:val="95"/>
          <w:sz w:val="15"/>
        </w:rPr>
        <w:t>t,2</w:t>
        <w:tab/>
      </w:r>
      <w:r>
        <w:rPr>
          <w:rFonts w:ascii="Arial" w:hAnsi="Arial"/>
          <w:i/>
          <w:w w:val="95"/>
          <w:sz w:val="20"/>
        </w:rPr>
        <w:t>D:i:</w:t>
      </w:r>
    </w:p>
    <w:p>
      <w:pPr>
        <w:spacing w:before="88"/>
        <w:ind w:left="113" w:right="0" w:firstLine="0"/>
        <w:jc w:val="left"/>
        <w:rPr>
          <w:rFonts w:ascii="Arial"/>
          <w:sz w:val="20"/>
        </w:rPr>
      </w:pPr>
      <w:r>
        <w:rPr/>
        <w:br w:type="column"/>
      </w:r>
      <w:r>
        <w:rPr>
          <w:rFonts w:ascii="Arial"/>
          <w:sz w:val="20"/>
        </w:rPr>
        <w:t>355</w:t>
      </w:r>
    </w:p>
    <w:p>
      <w:pPr>
        <w:spacing w:after="0"/>
        <w:jc w:val="left"/>
        <w:rPr>
          <w:rFonts w:ascii="Arial"/>
          <w:sz w:val="20"/>
        </w:rPr>
        <w:sectPr>
          <w:pgSz w:w="7200" w:h="11340"/>
          <w:pgMar w:top="480" w:bottom="0" w:left="660" w:right="560"/>
          <w:cols w:num="2" w:equalWidth="0">
            <w:col w:w="4277" w:space="1181"/>
            <w:col w:w="522"/>
          </w:cols>
        </w:sectPr>
      </w:pPr>
    </w:p>
    <w:p>
      <w:pPr>
        <w:pStyle w:val="BodyText"/>
        <w:spacing w:before="1"/>
        <w:rPr>
          <w:rFonts w:ascii="Arial"/>
          <w:sz w:val="12"/>
        </w:rPr>
      </w:pPr>
    </w:p>
    <w:p>
      <w:pPr>
        <w:spacing w:after="0"/>
        <w:rPr>
          <w:rFonts w:ascii="Arial"/>
          <w:sz w:val="12"/>
        </w:rPr>
        <w:sectPr>
          <w:type w:val="continuous"/>
          <w:pgSz w:w="7200" w:h="11340"/>
          <w:pgMar w:top="1100" w:bottom="0" w:left="660" w:right="560"/>
        </w:sectPr>
      </w:pPr>
    </w:p>
    <w:p>
      <w:pPr>
        <w:pStyle w:val="BodyText"/>
        <w:spacing w:before="9"/>
        <w:rPr>
          <w:rFonts w:ascii="Arial"/>
          <w:sz w:val="36"/>
        </w:rPr>
      </w:pPr>
    </w:p>
    <w:p>
      <w:pPr>
        <w:spacing w:line="255" w:lineRule="exact" w:before="1"/>
        <w:ind w:left="211" w:right="20" w:firstLine="0"/>
        <w:jc w:val="left"/>
        <w:rPr>
          <w:sz w:val="19"/>
        </w:rPr>
      </w:pPr>
      <w:r>
        <w:rPr>
          <w:spacing w:val="1"/>
          <w:w w:val="63"/>
          <w:position w:val="-7"/>
          <w:sz w:val="20"/>
        </w:rPr>
        <w:t>2</w:t>
      </w:r>
      <w:r>
        <w:rPr>
          <w:spacing w:val="1"/>
          <w:w w:val="63"/>
          <w:sz w:val="20"/>
        </w:rPr>
        <w:t>_</w:t>
      </w:r>
      <w:r>
        <w:rPr>
          <w:w w:val="63"/>
          <w:sz w:val="20"/>
        </w:rPr>
        <w:t>     </w:t>
      </w:r>
      <w:r>
        <w:rPr>
          <w:w w:val="126"/>
          <w:sz w:val="19"/>
        </w:rPr>
        <w:t>(a) </w:t>
      </w:r>
      <w:r>
        <w:rPr>
          <w:spacing w:val="-1"/>
          <w:w w:val="114"/>
          <w:sz w:val="19"/>
          <w:u w:val="single"/>
        </w:rPr>
        <w:t>N,1</w:t>
      </w:r>
      <w:r>
        <w:rPr>
          <w:w w:val="114"/>
          <w:sz w:val="19"/>
          <w:u w:val="single"/>
        </w:rPr>
        <w:t> </w:t>
      </w:r>
      <w:r>
        <w:rPr>
          <w:w w:val="289"/>
          <w:sz w:val="19"/>
          <w:u w:val="single"/>
        </w:rPr>
        <w:t>- </w:t>
      </w:r>
      <w:r>
        <w:rPr>
          <w:w w:val="95"/>
          <w:sz w:val="19"/>
          <w:u w:val="single"/>
        </w:rPr>
        <w:t>Ne1</w:t>
      </w:r>
    </w:p>
    <w:p>
      <w:pPr>
        <w:spacing w:line="198" w:lineRule="exact" w:before="0"/>
        <w:ind w:left="805" w:right="-16" w:firstLine="0"/>
        <w:jc w:val="left"/>
        <w:rPr>
          <w:i/>
          <w:sz w:val="22"/>
        </w:rPr>
      </w:pPr>
      <w:r>
        <w:rPr>
          <w:i/>
          <w:w w:val="95"/>
          <w:sz w:val="22"/>
        </w:rPr>
        <w:t>Nao</w:t>
      </w:r>
      <w:r>
        <w:rPr>
          <w:i/>
          <w:spacing w:val="-17"/>
          <w:w w:val="95"/>
          <w:sz w:val="22"/>
        </w:rPr>
        <w:t> </w:t>
      </w:r>
      <w:r>
        <w:rPr>
          <w:w w:val="155"/>
          <w:sz w:val="22"/>
        </w:rPr>
        <w:t>-</w:t>
      </w:r>
      <w:r>
        <w:rPr>
          <w:spacing w:val="-67"/>
          <w:w w:val="155"/>
          <w:sz w:val="22"/>
        </w:rPr>
        <w:t> </w:t>
      </w:r>
      <w:r>
        <w:rPr>
          <w:i/>
          <w:w w:val="95"/>
          <w:sz w:val="22"/>
        </w:rPr>
        <w:t>Nar,</w:t>
      </w:r>
    </w:p>
    <w:p>
      <w:pPr>
        <w:spacing w:before="76"/>
        <w:ind w:left="211" w:right="0" w:firstLine="0"/>
        <w:jc w:val="left"/>
        <w:rPr>
          <w:rFonts w:ascii="Arial"/>
          <w:sz w:val="19"/>
        </w:rPr>
      </w:pPr>
      <w:r>
        <w:rPr/>
        <w:br w:type="column"/>
      </w:r>
      <w:r>
        <w:rPr>
          <w:w w:val="110"/>
          <w:sz w:val="15"/>
        </w:rPr>
        <w:t>CHAPTER  </w:t>
      </w:r>
      <w:r>
        <w:rPr>
          <w:rFonts w:ascii="Arial"/>
          <w:w w:val="110"/>
          <w:sz w:val="19"/>
        </w:rPr>
        <w:t>4</w:t>
      </w:r>
    </w:p>
    <w:p>
      <w:pPr>
        <w:spacing w:after="0"/>
        <w:jc w:val="left"/>
        <w:rPr>
          <w:rFonts w:ascii="Arial"/>
          <w:sz w:val="19"/>
        </w:rPr>
        <w:sectPr>
          <w:type w:val="continuous"/>
          <w:pgSz w:w="7200" w:h="11340"/>
          <w:pgMar w:top="1100" w:bottom="0" w:left="660" w:right="560"/>
          <w:cols w:num="2" w:equalWidth="0">
            <w:col w:w="1702" w:space="580"/>
            <w:col w:w="3698"/>
          </w:cols>
        </w:sectPr>
      </w:pPr>
    </w:p>
    <w:p>
      <w:pPr>
        <w:tabs>
          <w:tab w:pos="1303" w:val="left" w:leader="none"/>
        </w:tabs>
        <w:spacing w:line="199" w:lineRule="exact" w:before="114"/>
        <w:ind w:left="0" w:right="2848" w:firstLine="0"/>
        <w:jc w:val="center"/>
        <w:rPr>
          <w:rFonts w:ascii="Arial"/>
          <w:i/>
          <w:sz w:val="21"/>
        </w:rPr>
      </w:pPr>
      <w:r>
        <w:rPr>
          <w:w w:val="105"/>
          <w:sz w:val="20"/>
        </w:rPr>
        <w:t>(</w:t>
      </w:r>
      <w:r>
        <w:rPr>
          <w:spacing w:val="-37"/>
          <w:w w:val="105"/>
          <w:sz w:val="20"/>
        </w:rPr>
        <w:t> </w:t>
      </w:r>
      <w:r>
        <w:rPr>
          <w:w w:val="135"/>
          <w:sz w:val="20"/>
        </w:rPr>
        <w:t>b)</w:t>
        <w:tab/>
      </w:r>
      <w:r>
        <w:rPr>
          <w:w w:val="105"/>
          <w:sz w:val="22"/>
          <w:u w:val="single"/>
        </w:rPr>
        <w:t>N,1 </w:t>
      </w:r>
      <w:r>
        <w:rPr>
          <w:w w:val="235"/>
          <w:sz w:val="22"/>
          <w:u w:val="single"/>
        </w:rPr>
        <w:t>-</w:t>
      </w:r>
      <w:r>
        <w:rPr>
          <w:spacing w:val="-29"/>
          <w:w w:val="235"/>
          <w:sz w:val="22"/>
          <w:u w:val="single"/>
        </w:rPr>
        <w:t> </w:t>
      </w:r>
      <w:r>
        <w:rPr>
          <w:rFonts w:ascii="Arial"/>
          <w:i/>
          <w:w w:val="105"/>
          <w:sz w:val="21"/>
          <w:u w:val="single"/>
        </w:rPr>
        <w:t>Nu</w:t>
      </w:r>
    </w:p>
    <w:p>
      <w:pPr>
        <w:spacing w:line="302" w:lineRule="exact" w:before="0"/>
        <w:ind w:left="816" w:right="739" w:firstLine="0"/>
        <w:jc w:val="left"/>
        <w:rPr>
          <w:i/>
          <w:sz w:val="21"/>
        </w:rPr>
      </w:pPr>
      <w:r>
        <w:rPr>
          <w:i/>
          <w:w w:val="90"/>
          <w:sz w:val="21"/>
        </w:rPr>
        <w:t>Nao </w:t>
      </w:r>
      <w:r>
        <w:rPr>
          <w:w w:val="245"/>
          <w:sz w:val="21"/>
        </w:rPr>
        <w:t>-</w:t>
      </w:r>
      <w:r>
        <w:rPr>
          <w:spacing w:val="-102"/>
          <w:w w:val="245"/>
          <w:sz w:val="21"/>
        </w:rPr>
        <w:t> </w:t>
      </w:r>
      <w:r>
        <w:rPr>
          <w:i/>
          <w:w w:val="90"/>
          <w:sz w:val="21"/>
        </w:rPr>
        <w:t>N11 </w:t>
      </w:r>
      <w:r>
        <w:rPr>
          <w:w w:val="245"/>
          <w:sz w:val="21"/>
        </w:rPr>
        <w:t>-</w:t>
      </w:r>
      <w:r>
        <w:rPr>
          <w:spacing w:val="-104"/>
          <w:w w:val="245"/>
          <w:sz w:val="21"/>
        </w:rPr>
        <w:t> </w:t>
      </w:r>
      <w:r>
        <w:rPr>
          <w:i/>
          <w:w w:val="90"/>
          <w:sz w:val="22"/>
        </w:rPr>
        <w:t>Rao </w:t>
      </w:r>
      <w:r>
        <w:rPr>
          <w:rFonts w:ascii="Arial"/>
          <w:w w:val="105"/>
          <w:sz w:val="31"/>
        </w:rPr>
        <w:t>+</w:t>
      </w:r>
      <w:r>
        <w:rPr>
          <w:rFonts w:ascii="Arial"/>
          <w:spacing w:val="-62"/>
          <w:w w:val="105"/>
          <w:sz w:val="31"/>
        </w:rPr>
        <w:t> </w:t>
      </w:r>
      <w:r>
        <w:rPr>
          <w:i/>
          <w:w w:val="90"/>
          <w:sz w:val="22"/>
        </w:rPr>
        <w:t>Rar, </w:t>
      </w:r>
      <w:r>
        <w:rPr>
          <w:rFonts w:ascii="Arial"/>
          <w:w w:val="105"/>
          <w:sz w:val="31"/>
        </w:rPr>
        <w:t>+</w:t>
      </w:r>
      <w:r>
        <w:rPr>
          <w:rFonts w:ascii="Arial"/>
          <w:spacing w:val="-62"/>
          <w:w w:val="105"/>
          <w:sz w:val="31"/>
        </w:rPr>
        <w:t> </w:t>
      </w:r>
      <w:r>
        <w:rPr>
          <w:i/>
          <w:w w:val="105"/>
          <w:sz w:val="21"/>
        </w:rPr>
        <w:t>5M </w:t>
      </w:r>
      <w:r>
        <w:rPr>
          <w:i/>
          <w:w w:val="90"/>
          <w:sz w:val="21"/>
        </w:rPr>
        <w:t>co</w:t>
      </w:r>
    </w:p>
    <w:p>
      <w:pPr>
        <w:pStyle w:val="BodyText"/>
        <w:spacing w:before="7"/>
        <w:rPr>
          <w:i/>
          <w:sz w:val="10"/>
        </w:rPr>
      </w:pPr>
      <w:r>
        <w:rPr/>
        <w:drawing>
          <wp:anchor distT="0" distB="0" distL="0" distR="0" allowOverlap="1" layoutInCell="1" locked="0" behindDoc="0" simplePos="0" relativeHeight="28120">
            <wp:simplePos x="0" y="0"/>
            <wp:positionH relativeFrom="page">
              <wp:posOffset>548640</wp:posOffset>
            </wp:positionH>
            <wp:positionV relativeFrom="paragraph">
              <wp:posOffset>102302</wp:posOffset>
            </wp:positionV>
            <wp:extent cx="1170432" cy="274319"/>
            <wp:effectExtent l="0" t="0" r="0" b="0"/>
            <wp:wrapTopAndBottom/>
            <wp:docPr id="831" name="image424.png" descr=""/>
            <wp:cNvGraphicFramePr>
              <a:graphicFrameLocks noChangeAspect="1"/>
            </wp:cNvGraphicFramePr>
            <a:graphic>
              <a:graphicData uri="http://schemas.openxmlformats.org/drawingml/2006/picture">
                <pic:pic>
                  <pic:nvPicPr>
                    <pic:cNvPr id="832" name="image424.png"/>
                    <pic:cNvPicPr/>
                  </pic:nvPicPr>
                  <pic:blipFill>
                    <a:blip r:embed="rId428" cstate="print"/>
                    <a:stretch>
                      <a:fillRect/>
                    </a:stretch>
                  </pic:blipFill>
                  <pic:spPr>
                    <a:xfrm>
                      <a:off x="0" y="0"/>
                      <a:ext cx="1170432" cy="274319"/>
                    </a:xfrm>
                    <a:prstGeom prst="rect">
                      <a:avLst/>
                    </a:prstGeom>
                  </pic:spPr>
                </pic:pic>
              </a:graphicData>
            </a:graphic>
          </wp:anchor>
        </w:drawing>
      </w:r>
    </w:p>
    <w:p>
      <w:pPr>
        <w:tabs>
          <w:tab w:pos="2032" w:val="left" w:leader="none"/>
        </w:tabs>
        <w:spacing w:line="196" w:lineRule="exact" w:before="170"/>
        <w:ind w:left="668" w:right="739" w:firstLine="0"/>
        <w:jc w:val="left"/>
        <w:rPr>
          <w:i/>
          <w:sz w:val="19"/>
        </w:rPr>
      </w:pPr>
      <w:r>
        <w:rPr>
          <w:rFonts w:ascii="Arial" w:hAnsi="Arial"/>
          <w:w w:val="70"/>
          <w:sz w:val="21"/>
        </w:rPr>
        <w:t>&lt;"'&gt;</w:t>
      </w:r>
      <w:r>
        <w:rPr>
          <w:rFonts w:ascii="Arial" w:hAnsi="Arial"/>
          <w:spacing w:val="9"/>
          <w:w w:val="70"/>
          <w:sz w:val="21"/>
        </w:rPr>
        <w:t> </w:t>
      </w:r>
      <w:r>
        <w:rPr>
          <w:rFonts w:ascii="Arial" w:hAnsi="Arial"/>
          <w:w w:val="70"/>
          <w:sz w:val="21"/>
        </w:rPr>
        <w:t>:..,_</w:t>
        <w:tab/>
      </w:r>
      <w:r>
        <w:rPr>
          <w:i/>
          <w:w w:val="75"/>
          <w:sz w:val="19"/>
          <w:u w:val="thick"/>
        </w:rPr>
        <w:t>,Pz:'ñ]</w:t>
      </w:r>
    </w:p>
    <w:p>
      <w:pPr>
        <w:spacing w:line="88" w:lineRule="exact" w:before="0"/>
        <w:ind w:left="654" w:right="739" w:firstLine="0"/>
        <w:jc w:val="left"/>
        <w:rPr>
          <w:sz w:val="18"/>
        </w:rPr>
      </w:pPr>
      <w:r>
        <w:rPr/>
        <w:pict>
          <v:shape style="position:absolute;margin-left:43.200001pt;margin-top:-3.878116pt;width:22.75pt;height:11.7pt;mso-position-horizontal-relative:page;mso-position-vertical-relative:paragraph;z-index:-707800" type="#_x0000_t202" filled="false" stroked="false">
            <v:textbox inset="0,0,0,0">
              <w:txbxContent>
                <w:p>
                  <w:pPr>
                    <w:spacing w:line="234" w:lineRule="exact" w:before="0"/>
                    <w:ind w:left="0" w:right="0" w:firstLine="0"/>
                    <w:jc w:val="left"/>
                    <w:rPr>
                      <w:sz w:val="20"/>
                    </w:rPr>
                  </w:pPr>
                  <w:r>
                    <w:rPr>
                      <w:w w:val="85"/>
                      <w:position w:val="4"/>
                      <w:sz w:val="20"/>
                    </w:rPr>
                    <w:t>6</w:t>
                  </w:r>
                  <w:r>
                    <w:rPr>
                      <w:w w:val="85"/>
                      <w:sz w:val="17"/>
                    </w:rPr>
                    <w:t>•  e </w:t>
                  </w:r>
                  <w:r>
                    <w:rPr>
                      <w:w w:val="110"/>
                      <w:position w:val="4"/>
                      <w:sz w:val="20"/>
                    </w:rPr>
                    <w:t>P</w:t>
                  </w:r>
                </w:p>
              </w:txbxContent>
            </v:textbox>
            <w10:wrap type="none"/>
          </v:shape>
        </w:pict>
      </w:r>
      <w:r>
        <w:rPr>
          <w:w w:val="110"/>
          <w:sz w:val="18"/>
        </w:rPr>
        <w:t>z:ñl </w:t>
      </w:r>
      <w:r>
        <w:rPr>
          <w:w w:val="125"/>
          <w:sz w:val="18"/>
        </w:rPr>
        <w:t>-;</w:t>
      </w:r>
    </w:p>
    <w:p>
      <w:pPr>
        <w:tabs>
          <w:tab w:pos="2515" w:val="left" w:leader="none"/>
        </w:tabs>
        <w:spacing w:line="157" w:lineRule="exact" w:before="0"/>
        <w:ind w:left="1676" w:right="739" w:firstLine="0"/>
        <w:jc w:val="left"/>
        <w:rPr>
          <w:sz w:val="12"/>
        </w:rPr>
      </w:pPr>
      <w:r>
        <w:rPr/>
        <w:pict>
          <v:shape style="position:absolute;margin-left:174.240005pt;margin-top:2.326859pt;width:9.6pt;height:15.5pt;mso-position-horizontal-relative:page;mso-position-vertical-relative:paragraph;z-index:-707776" type="#_x0000_t202" filled="false" stroked="false">
            <v:textbox inset="0,0,0,0">
              <w:txbxContent>
                <w:p>
                  <w:pPr>
                    <w:spacing w:line="310" w:lineRule="exact" w:before="0"/>
                    <w:ind w:left="0" w:right="0" w:firstLine="0"/>
                    <w:jc w:val="left"/>
                    <w:rPr>
                      <w:rFonts w:ascii="Arial"/>
                      <w:sz w:val="31"/>
                    </w:rPr>
                  </w:pPr>
                  <w:r>
                    <w:rPr>
                      <w:rFonts w:ascii="Arial"/>
                      <w:w w:val="105"/>
                      <w:sz w:val="31"/>
                    </w:rPr>
                    <w:t>+</w:t>
                  </w:r>
                </w:p>
              </w:txbxContent>
            </v:textbox>
            <w10:wrap type="none"/>
          </v:shape>
        </w:pict>
      </w:r>
      <w:r>
        <w:rPr>
          <w:rFonts w:ascii="Arial"/>
          <w:i/>
          <w:w w:val="120"/>
          <w:sz w:val="18"/>
        </w:rPr>
        <w:t>m</w:t>
      </w:r>
      <w:r>
        <w:rPr>
          <w:rFonts w:ascii="Arial"/>
          <w:i/>
          <w:spacing w:val="28"/>
          <w:w w:val="120"/>
          <w:sz w:val="18"/>
        </w:rPr>
        <w:t> </w:t>
      </w:r>
      <w:r>
        <w:rPr>
          <w:rFonts w:ascii="Arial"/>
          <w:w w:val="265"/>
          <w:sz w:val="18"/>
        </w:rPr>
        <w:t>-</w:t>
      </w:r>
      <w:r>
        <w:rPr>
          <w:rFonts w:ascii="Arial"/>
          <w:spacing w:val="-53"/>
          <w:w w:val="265"/>
          <w:sz w:val="18"/>
        </w:rPr>
        <w:t> </w:t>
      </w:r>
      <w:r>
        <w:rPr>
          <w:w w:val="120"/>
          <w:sz w:val="20"/>
        </w:rPr>
        <w:t>1</w:t>
        <w:tab/>
      </w:r>
      <w:r>
        <w:rPr>
          <w:w w:val="120"/>
          <w:sz w:val="12"/>
        </w:rPr>
        <w:t>1</w:t>
      </w:r>
    </w:p>
    <w:p>
      <w:pPr>
        <w:tabs>
          <w:tab w:pos="3073" w:val="left" w:leader="none"/>
        </w:tabs>
        <w:spacing w:line="184" w:lineRule="exact" w:before="0"/>
        <w:ind w:left="1266" w:right="739" w:firstLine="0"/>
        <w:jc w:val="left"/>
        <w:rPr>
          <w:rFonts w:ascii="Arial"/>
          <w:i/>
          <w:sz w:val="20"/>
        </w:rPr>
      </w:pPr>
      <w:r>
        <w:rPr>
          <w:w w:val="135"/>
          <w:sz w:val="20"/>
        </w:rPr>
        <w:t>1</w:t>
      </w:r>
      <w:r>
        <w:rPr>
          <w:spacing w:val="-27"/>
          <w:w w:val="135"/>
          <w:sz w:val="20"/>
        </w:rPr>
        <w:t> </w:t>
      </w:r>
      <w:r>
        <w:rPr>
          <w:w w:val="255"/>
          <w:sz w:val="20"/>
        </w:rPr>
        <w:t>-</w:t>
      </w:r>
      <w:r>
        <w:rPr>
          <w:spacing w:val="-88"/>
          <w:w w:val="255"/>
          <w:sz w:val="20"/>
        </w:rPr>
        <w:t> </w:t>
      </w:r>
      <w:r>
        <w:rPr>
          <w:rFonts w:ascii="Arial"/>
          <w:i/>
          <w:w w:val="150"/>
          <w:sz w:val="20"/>
        </w:rPr>
        <w:t>27n(</w:t>
      </w:r>
      <w:r>
        <w:rPr>
          <w:rFonts w:ascii="Arial"/>
          <w:i/>
          <w:spacing w:val="-48"/>
          <w:w w:val="150"/>
          <w:sz w:val="20"/>
        </w:rPr>
        <w:t> </w:t>
      </w:r>
      <w:r>
        <w:rPr>
          <w:rFonts w:ascii="Arial"/>
          <w:i/>
          <w:sz w:val="20"/>
        </w:rPr>
        <w:t>Pz:tJ</w:t>
        <w:tab/>
      </w:r>
      <w:r>
        <w:rPr>
          <w:rFonts w:ascii="Arial"/>
          <w:i/>
          <w:w w:val="90"/>
          <w:sz w:val="20"/>
        </w:rPr>
        <w:t>d</w:t>
      </w:r>
      <w:r>
        <w:rPr>
          <w:rFonts w:ascii="Arial"/>
          <w:i/>
          <w:spacing w:val="-35"/>
          <w:w w:val="90"/>
          <w:sz w:val="20"/>
        </w:rPr>
        <w:t> </w:t>
      </w:r>
      <w:r>
        <w:rPr>
          <w:rFonts w:ascii="Arial"/>
          <w:i/>
          <w:w w:val="90"/>
          <w:sz w:val="20"/>
        </w:rPr>
        <w:t>)</w:t>
      </w:r>
    </w:p>
    <w:p>
      <w:pPr>
        <w:pStyle w:val="BodyText"/>
        <w:spacing w:before="9"/>
        <w:rPr>
          <w:rFonts w:ascii="Arial"/>
          <w:i/>
          <w:sz w:val="19"/>
        </w:rPr>
      </w:pPr>
    </w:p>
    <w:p>
      <w:pPr>
        <w:spacing w:before="1"/>
        <w:ind w:left="200" w:right="739" w:firstLine="0"/>
        <w:jc w:val="left"/>
        <w:rPr>
          <w:rFonts w:ascii="Arial"/>
          <w:sz w:val="24"/>
        </w:rPr>
      </w:pPr>
      <w:r>
        <w:rPr>
          <w:w w:val="105"/>
          <w:sz w:val="20"/>
        </w:rPr>
        <w:t>7. Limit is </w:t>
      </w:r>
      <w:r>
        <w:rPr>
          <w:rFonts w:ascii="Arial"/>
          <w:w w:val="95"/>
          <w:sz w:val="24"/>
        </w:rPr>
        <w:t>P:i: </w:t>
      </w:r>
      <w:r>
        <w:rPr>
          <w:rFonts w:ascii="Arial"/>
          <w:w w:val="105"/>
          <w:sz w:val="24"/>
        </w:rPr>
        <w:t>.</w:t>
      </w:r>
    </w:p>
    <w:p>
      <w:pPr>
        <w:spacing w:line="300" w:lineRule="exact" w:before="163"/>
        <w:ind w:left="128" w:right="739" w:firstLine="0"/>
        <w:jc w:val="left"/>
        <w:rPr>
          <w:i/>
          <w:sz w:val="19"/>
        </w:rPr>
      </w:pPr>
      <w:r>
        <w:rPr>
          <w:w w:val="112"/>
          <w:sz w:val="19"/>
        </w:rPr>
        <w:t>1</w:t>
      </w:r>
      <w:r>
        <w:rPr>
          <w:spacing w:val="-30"/>
          <w:w w:val="112"/>
          <w:sz w:val="19"/>
        </w:rPr>
        <w:t>1</w:t>
      </w:r>
      <w:r>
        <w:rPr>
          <w:w w:val="156"/>
          <w:sz w:val="19"/>
        </w:rPr>
        <w:t>.</w:t>
      </w:r>
      <w:r>
        <w:rPr>
          <w:sz w:val="19"/>
        </w:rPr>
        <w:t> </w:t>
      </w:r>
      <w:r>
        <w:rPr>
          <w:spacing w:val="-15"/>
          <w:sz w:val="19"/>
        </w:rPr>
        <w:t> </w:t>
      </w:r>
      <w:r>
        <w:rPr>
          <w:w w:val="128"/>
          <w:sz w:val="19"/>
        </w:rPr>
        <w:t>(b)</w:t>
      </w:r>
      <w:r>
        <w:rPr>
          <w:sz w:val="19"/>
        </w:rPr>
        <w:t> </w:t>
      </w:r>
      <w:r>
        <w:rPr>
          <w:spacing w:val="-21"/>
          <w:sz w:val="19"/>
        </w:rPr>
        <w:t> </w:t>
      </w:r>
      <w:r>
        <w:rPr>
          <w:i/>
          <w:w w:val="109"/>
          <w:sz w:val="19"/>
        </w:rPr>
        <w:t>P</w:t>
      </w:r>
      <w:r>
        <w:rPr>
          <w:i/>
          <w:sz w:val="19"/>
        </w:rPr>
        <w:t> </w:t>
      </w:r>
      <w:r>
        <w:rPr>
          <w:i/>
          <w:spacing w:val="15"/>
          <w:sz w:val="19"/>
        </w:rPr>
        <w:t> </w:t>
      </w:r>
      <w:r>
        <w:rPr>
          <w:spacing w:val="-108"/>
          <w:w w:val="92"/>
          <w:sz w:val="26"/>
        </w:rPr>
        <w:t>=</w:t>
      </w:r>
      <w:r>
        <w:rPr>
          <w:spacing w:val="-407"/>
          <w:w w:val="243"/>
          <w:sz w:val="26"/>
        </w:rPr>
        <w:t>-</w:t>
      </w:r>
      <w:r>
        <w:rPr>
          <w:i/>
          <w:w w:val="84"/>
          <w:position w:val="12"/>
          <w:sz w:val="19"/>
        </w:rPr>
        <w:t>l</w:t>
      </w:r>
      <w:r>
        <w:rPr>
          <w:i/>
          <w:spacing w:val="-11"/>
          <w:w w:val="84"/>
          <w:position w:val="12"/>
          <w:sz w:val="19"/>
        </w:rPr>
        <w:t>l</w:t>
      </w:r>
      <w:r>
        <w:rPr>
          <w:spacing w:val="-47"/>
          <w:w w:val="88"/>
          <w:sz w:val="26"/>
        </w:rPr>
        <w:t>.</w:t>
      </w:r>
      <w:r>
        <w:rPr>
          <w:i/>
          <w:spacing w:val="-41"/>
          <w:w w:val="84"/>
          <w:position w:val="12"/>
          <w:sz w:val="19"/>
        </w:rPr>
        <w:t>z</w:t>
      </w:r>
      <w:r>
        <w:rPr>
          <w:spacing w:val="-9"/>
          <w:w w:val="75"/>
          <w:sz w:val="26"/>
        </w:rPr>
        <w:t>.</w:t>
      </w:r>
      <w:r>
        <w:rPr>
          <w:i/>
          <w:w w:val="84"/>
          <w:position w:val="12"/>
          <w:sz w:val="19"/>
        </w:rPr>
        <w:t>+</w:t>
      </w:r>
      <w:r>
        <w:rPr>
          <w:i/>
          <w:w w:val="85"/>
          <w:position w:val="12"/>
          <w:sz w:val="19"/>
        </w:rPr>
        <w:t>n</w:t>
      </w:r>
    </w:p>
    <w:p>
      <w:pPr>
        <w:spacing w:line="165" w:lineRule="exact" w:before="0"/>
        <w:ind w:left="1341" w:right="739" w:firstLine="0"/>
        <w:jc w:val="left"/>
        <w:rPr>
          <w:i/>
          <w:sz w:val="19"/>
        </w:rPr>
      </w:pPr>
      <w:r>
        <w:rPr>
          <w:i/>
          <w:w w:val="105"/>
          <w:sz w:val="19"/>
        </w:rPr>
        <w:t>s;¡</w:t>
      </w:r>
    </w:p>
    <w:p>
      <w:pPr>
        <w:spacing w:line="451" w:lineRule="exact" w:before="81"/>
        <w:ind w:left="139" w:right="739" w:firstLine="0"/>
        <w:jc w:val="left"/>
        <w:rPr>
          <w:i/>
          <w:sz w:val="19"/>
        </w:rPr>
      </w:pPr>
      <w:r>
        <w:rPr/>
        <w:pict>
          <v:line style="position:absolute;mso-position-horizontal-relative:page;mso-position-vertical-relative:paragraph;z-index:-707872" from="57.959999pt,25.759064pt" to="60.479999pt,25.759064pt" stroked="true" strokeweight="2.34pt" strokecolor="#000000">
            <w10:wrap type="none"/>
          </v:line>
        </w:pict>
      </w:r>
      <w:r>
        <w:rPr>
          <w:w w:val="44"/>
          <w:sz w:val="44"/>
        </w:rPr>
        <w:t>1</w:t>
      </w:r>
      <w:r>
        <w:rPr>
          <w:spacing w:val="-10"/>
          <w:w w:val="44"/>
          <w:sz w:val="44"/>
        </w:rPr>
        <w:t>2</w:t>
      </w:r>
      <w:r>
        <w:rPr>
          <w:w w:val="59"/>
          <w:sz w:val="44"/>
        </w:rPr>
        <w:t>.</w:t>
      </w:r>
      <w:r>
        <w:rPr>
          <w:spacing w:val="30"/>
          <w:sz w:val="44"/>
        </w:rPr>
        <w:t> </w:t>
      </w:r>
      <w:r>
        <w:rPr>
          <w:i/>
          <w:spacing w:val="-24"/>
          <w:w w:val="48"/>
          <w:sz w:val="44"/>
        </w:rPr>
        <w:t>.</w:t>
      </w:r>
      <w:r>
        <w:rPr>
          <w:i/>
          <w:w w:val="85"/>
          <w:sz w:val="19"/>
        </w:rPr>
        <w:t>vn</w:t>
      </w:r>
      <w:r>
        <w:rPr>
          <w:i/>
          <w:sz w:val="19"/>
        </w:rPr>
        <w:t>   </w:t>
      </w:r>
      <w:r>
        <w:rPr>
          <w:i/>
          <w:spacing w:val="1"/>
          <w:sz w:val="19"/>
        </w:rPr>
        <w:t> </w:t>
      </w:r>
      <w:r>
        <w:rPr>
          <w:spacing w:val="3"/>
          <w:w w:val="85"/>
          <w:sz w:val="44"/>
        </w:rPr>
        <w:t>(</w:t>
      </w:r>
      <w:r>
        <w:rPr>
          <w:w w:val="51"/>
          <w:sz w:val="44"/>
        </w:rPr>
        <w:t>1</w:t>
      </w:r>
      <w:r>
        <w:rPr>
          <w:spacing w:val="-50"/>
          <w:sz w:val="44"/>
        </w:rPr>
        <w:t> </w:t>
      </w:r>
      <w:r>
        <w:rPr>
          <w:w w:val="126"/>
          <w:sz w:val="44"/>
        </w:rPr>
        <w:t>-</w:t>
      </w:r>
      <w:r>
        <w:rPr>
          <w:spacing w:val="-48"/>
          <w:sz w:val="44"/>
        </w:rPr>
        <w:t> </w:t>
      </w:r>
      <w:r>
        <w:rPr>
          <w:i/>
          <w:w w:val="72"/>
          <w:sz w:val="19"/>
        </w:rPr>
        <w:t>Zz+n</w:t>
      </w:r>
      <w:r>
        <w:rPr>
          <w:i/>
          <w:spacing w:val="-29"/>
          <w:sz w:val="19"/>
        </w:rPr>
        <w:t> </w:t>
      </w:r>
      <w:r>
        <w:rPr>
          <w:i/>
          <w:w w:val="144"/>
          <w:sz w:val="19"/>
        </w:rPr>
        <w:t>)</w:t>
      </w:r>
    </w:p>
    <w:p>
      <w:pPr>
        <w:tabs>
          <w:tab w:pos="1094" w:val="left" w:leader="none"/>
        </w:tabs>
        <w:spacing w:line="163" w:lineRule="exact" w:before="0"/>
        <w:ind w:left="0" w:right="3845" w:firstLine="0"/>
        <w:jc w:val="center"/>
        <w:rPr>
          <w:i/>
          <w:sz w:val="19"/>
        </w:rPr>
      </w:pPr>
      <w:r>
        <w:rPr>
          <w:i/>
          <w:sz w:val="16"/>
        </w:rPr>
        <w:t>az:ñ]</w:t>
        <w:tab/>
      </w:r>
      <w:r>
        <w:rPr>
          <w:i/>
          <w:sz w:val="19"/>
        </w:rPr>
        <w:t>lz</w:t>
      </w:r>
    </w:p>
    <w:p>
      <w:pPr>
        <w:spacing w:after="0" w:line="163" w:lineRule="exact"/>
        <w:jc w:val="center"/>
        <w:rPr>
          <w:sz w:val="19"/>
        </w:rPr>
        <w:sectPr>
          <w:type w:val="continuous"/>
          <w:pgSz w:w="7200" w:h="11340"/>
          <w:pgMar w:top="1100" w:bottom="0" w:left="660" w:right="560"/>
        </w:sectPr>
      </w:pPr>
    </w:p>
    <w:p>
      <w:pPr>
        <w:tabs>
          <w:tab w:pos="2607" w:val="left" w:leader="none"/>
          <w:tab w:pos="5338" w:val="left" w:leader="none"/>
        </w:tabs>
        <w:spacing w:before="58"/>
        <w:ind w:left="142" w:right="0" w:firstLine="0"/>
        <w:jc w:val="left"/>
        <w:rPr>
          <w:rFonts w:ascii="Arial"/>
          <w:sz w:val="18"/>
        </w:rPr>
      </w:pPr>
      <w:r>
        <w:rPr>
          <w:color w:val="010101"/>
          <w:sz w:val="21"/>
        </w:rPr>
        <w:t>356</w:t>
        <w:tab/>
      </w:r>
      <w:r>
        <w:rPr>
          <w:rFonts w:ascii="Arial"/>
          <w:b/>
          <w:color w:val="010101"/>
          <w:sz w:val="14"/>
        </w:rPr>
        <w:t>A.NSWERS</w:t>
        <w:tab/>
      </w:r>
      <w:r>
        <w:rPr>
          <w:color w:val="010101"/>
          <w:sz w:val="17"/>
        </w:rPr>
        <w:t>[CH. </w:t>
      </w:r>
      <w:r>
        <w:rPr>
          <w:color w:val="010101"/>
          <w:spacing w:val="1"/>
          <w:sz w:val="17"/>
        </w:rPr>
        <w:t> </w:t>
      </w:r>
      <w:r>
        <w:rPr>
          <w:rFonts w:ascii="Arial"/>
          <w:color w:val="010101"/>
          <w:sz w:val="18"/>
        </w:rPr>
        <w:t>5</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3"/>
        <w:rPr>
          <w:rFonts w:ascii="Arial"/>
          <w:sz w:val="19"/>
        </w:rPr>
      </w:pPr>
    </w:p>
    <w:p>
      <w:pPr>
        <w:spacing w:line="138" w:lineRule="exact" w:before="0"/>
        <w:ind w:left="1072" w:right="0" w:firstLine="0"/>
        <w:jc w:val="left"/>
        <w:rPr>
          <w:sz w:val="17"/>
        </w:rPr>
      </w:pPr>
      <w:r>
        <w:rPr/>
        <w:pict>
          <v:group style="position:absolute;margin-left:37.439999pt;margin-top:-95.540947pt;width:284.05pt;height:103.3pt;mso-position-horizontal-relative:page;mso-position-vertical-relative:paragraph;z-index:-707752" coordorigin="749,-1911" coordsize="5681,2066">
            <v:shape style="position:absolute;left:749;top:-1911;width:4853;height:2030" type="#_x0000_t75" stroked="false">
              <v:imagedata r:id="rId429" o:title=""/>
            </v:shape>
            <v:line style="position:absolute" from="2934,146" to="6420,146" stroked="true" strokeweight=".894632pt" strokecolor="#000000"/>
            <w10:wrap type="none"/>
          </v:group>
        </w:pict>
      </w:r>
      <w:r>
        <w:rPr>
          <w:color w:val="010101"/>
          <w:w w:val="75"/>
          <w:sz w:val="17"/>
        </w:rPr>
        <w:t>1121</w:t>
      </w:r>
    </w:p>
    <w:p>
      <w:pPr>
        <w:tabs>
          <w:tab w:pos="1305" w:val="left" w:leader="none"/>
          <w:tab w:pos="5263" w:val="left" w:leader="none"/>
        </w:tabs>
        <w:spacing w:line="303" w:lineRule="exact" w:before="0"/>
        <w:ind w:left="471" w:right="0" w:firstLine="0"/>
        <w:jc w:val="left"/>
        <w:rPr>
          <w:rFonts w:ascii="Arial"/>
          <w:i/>
          <w:sz w:val="20"/>
        </w:rPr>
      </w:pPr>
      <w:r>
        <w:rPr>
          <w:color w:val="010101"/>
          <w:w w:val="119"/>
          <w:sz w:val="20"/>
        </w:rPr>
        <w:t>(</w:t>
      </w:r>
      <w:r>
        <w:rPr>
          <w:color w:val="010101"/>
          <w:w w:val="119"/>
          <w:sz w:val="20"/>
        </w:rPr>
        <w:t>e</w:t>
      </w:r>
      <w:r>
        <w:rPr>
          <w:color w:val="010101"/>
          <w:w w:val="119"/>
          <w:sz w:val="20"/>
        </w:rPr>
        <w:t>)</w:t>
      </w:r>
      <w:r>
        <w:rPr>
          <w:color w:val="010101"/>
          <w:spacing w:val="23"/>
          <w:sz w:val="20"/>
        </w:rPr>
        <w:t> </w:t>
      </w:r>
      <w:r>
        <w:rPr>
          <w:rFonts w:ascii="Arial"/>
          <w:color w:val="010101"/>
          <w:w w:val="117"/>
          <w:sz w:val="18"/>
        </w:rPr>
        <w:t>u</w:t>
      </w:r>
      <w:r>
        <w:rPr>
          <w:rFonts w:ascii="Arial"/>
          <w:color w:val="010101"/>
          <w:spacing w:val="-28"/>
          <w:w w:val="118"/>
          <w:sz w:val="18"/>
        </w:rPr>
        <w:t>J</w:t>
      </w:r>
      <w:r>
        <w:rPr>
          <w:rFonts w:ascii="Arial"/>
          <w:color w:val="010101"/>
          <w:w w:val="56"/>
          <w:sz w:val="18"/>
        </w:rPr>
        <w:t>&gt;</w:t>
      </w:r>
      <w:r>
        <w:rPr>
          <w:rFonts w:ascii="Arial"/>
          <w:color w:val="010101"/>
          <w:sz w:val="18"/>
        </w:rPr>
        <w:tab/>
      </w:r>
      <w:r>
        <w:rPr>
          <w:color w:val="010101"/>
          <w:w w:val="91"/>
          <w:sz w:val="20"/>
        </w:rPr>
        <w:t>U3i:20]</w:t>
      </w:r>
      <w:r>
        <w:rPr>
          <w:color w:val="010101"/>
          <w:spacing w:val="-21"/>
          <w:sz w:val="20"/>
        </w:rPr>
        <w:t> </w:t>
      </w:r>
      <w:r>
        <w:rPr>
          <w:color w:val="010101"/>
          <w:w w:val="96"/>
          <w:sz w:val="20"/>
        </w:rPr>
        <w:t>)</w:t>
      </w:r>
      <w:r>
        <w:rPr>
          <w:color w:val="010101"/>
          <w:sz w:val="20"/>
        </w:rPr>
        <w:t> </w:t>
      </w:r>
      <w:r>
        <w:rPr>
          <w:color w:val="010101"/>
          <w:spacing w:val="7"/>
          <w:sz w:val="20"/>
        </w:rPr>
        <w:t> </w:t>
      </w:r>
      <w:r>
        <w:rPr>
          <w:rFonts w:ascii="Arial"/>
          <w:color w:val="010101"/>
          <w:w w:val="68"/>
          <w:sz w:val="26"/>
        </w:rPr>
        <w:t>=:</w:t>
      </w:r>
      <w:r>
        <w:rPr>
          <w:rFonts w:ascii="Arial"/>
          <w:color w:val="010101"/>
          <w:spacing w:val="-16"/>
          <w:sz w:val="26"/>
        </w:rPr>
        <w:t> </w:t>
      </w:r>
      <w:r>
        <w:rPr>
          <w:i/>
          <w:color w:val="010101"/>
          <w:w w:val="111"/>
          <w:sz w:val="21"/>
        </w:rPr>
        <w:t>Nu</w:t>
      </w:r>
      <w:r>
        <w:rPr>
          <w:i/>
          <w:color w:val="010101"/>
          <w:sz w:val="21"/>
        </w:rPr>
        <w:t> </w:t>
      </w:r>
      <w:r>
        <w:rPr>
          <w:i/>
          <w:color w:val="010101"/>
          <w:spacing w:val="-22"/>
          <w:sz w:val="21"/>
        </w:rPr>
        <w:t> </w:t>
      </w:r>
      <w:r>
        <w:rPr>
          <w:color w:val="010101"/>
          <w:w w:val="130"/>
          <w:sz w:val="21"/>
        </w:rPr>
        <w:t>_</w:t>
      </w:r>
      <w:r>
        <w:rPr>
          <w:color w:val="010101"/>
          <w:sz w:val="21"/>
        </w:rPr>
        <w:t> </w:t>
      </w:r>
      <w:r>
        <w:rPr>
          <w:color w:val="010101"/>
          <w:spacing w:val="-20"/>
          <w:sz w:val="21"/>
        </w:rPr>
        <w:t> </w:t>
      </w:r>
      <w:r>
        <w:rPr>
          <w:i/>
          <w:color w:val="010101"/>
          <w:w w:val="106"/>
          <w:sz w:val="21"/>
        </w:rPr>
        <w:t>Na</w:t>
      </w:r>
      <w:r>
        <w:rPr>
          <w:i/>
          <w:color w:val="010101"/>
          <w:sz w:val="21"/>
        </w:rPr>
        <w:t> </w:t>
      </w:r>
      <w:r>
        <w:rPr>
          <w:i/>
          <w:color w:val="010101"/>
          <w:spacing w:val="-13"/>
          <w:sz w:val="21"/>
        </w:rPr>
        <w:t> </w:t>
      </w:r>
      <w:r>
        <w:rPr>
          <w:color w:val="010101"/>
          <w:w w:val="378"/>
          <w:sz w:val="16"/>
        </w:rPr>
        <w:t>-</w:t>
      </w:r>
      <w:r>
        <w:rPr>
          <w:color w:val="010101"/>
          <w:spacing w:val="-15"/>
          <w:w w:val="378"/>
          <w:sz w:val="16"/>
        </w:rPr>
        <w:t>1</w:t>
      </w:r>
      <w:r>
        <w:rPr>
          <w:color w:val="010101"/>
          <w:spacing w:val="5"/>
          <w:w w:val="120"/>
          <w:position w:val="-7"/>
          <w:sz w:val="17"/>
        </w:rPr>
        <w:t>4</w:t>
      </w:r>
      <w:r>
        <w:rPr>
          <w:rFonts w:ascii="Arial"/>
          <w:color w:val="010101"/>
          <w:spacing w:val="-28"/>
          <w:w w:val="140"/>
          <w:sz w:val="18"/>
        </w:rPr>
        <w:t>(</w:t>
      </w:r>
      <w:r>
        <w:rPr>
          <w:rFonts w:ascii="Arial"/>
          <w:color w:val="010101"/>
          <w:spacing w:val="-20"/>
          <w:w w:val="138"/>
          <w:sz w:val="18"/>
        </w:rPr>
        <w:t>D</w:t>
      </w:r>
      <w:r>
        <w:rPr>
          <w:color w:val="010101"/>
          <w:w w:val="104"/>
          <w:position w:val="-5"/>
          <w:sz w:val="12"/>
        </w:rPr>
        <w:t>16</w:t>
      </w:r>
      <w:r>
        <w:rPr>
          <w:color w:val="010101"/>
          <w:position w:val="-5"/>
          <w:sz w:val="12"/>
        </w:rPr>
        <w:t> </w:t>
      </w:r>
      <w:r>
        <w:rPr>
          <w:color w:val="010101"/>
          <w:spacing w:val="-10"/>
          <w:position w:val="-5"/>
          <w:sz w:val="12"/>
        </w:rPr>
        <w:t> </w:t>
      </w:r>
      <w:r>
        <w:rPr>
          <w:color w:val="010101"/>
          <w:w w:val="468"/>
          <w:sz w:val="12"/>
        </w:rPr>
        <w:t>-</w:t>
      </w:r>
      <w:r>
        <w:rPr>
          <w:color w:val="010101"/>
          <w:spacing w:val="-7"/>
          <w:sz w:val="12"/>
        </w:rPr>
        <w:t> </w:t>
      </w:r>
      <w:r>
        <w:rPr>
          <w:rFonts w:ascii="Arial"/>
          <w:color w:val="010101"/>
          <w:w w:val="118"/>
          <w:sz w:val="18"/>
        </w:rPr>
        <w:t>Da</w:t>
      </w:r>
      <w:r>
        <w:rPr>
          <w:rFonts w:ascii="Arial"/>
          <w:color w:val="010101"/>
          <w:w w:val="118"/>
          <w:sz w:val="18"/>
        </w:rPr>
        <w:t>)</w:t>
      </w:r>
      <w:r>
        <w:rPr>
          <w:rFonts w:ascii="Arial"/>
          <w:color w:val="010101"/>
          <w:spacing w:val="9"/>
          <w:sz w:val="18"/>
        </w:rPr>
        <w:t> </w:t>
      </w:r>
      <w:r>
        <w:rPr>
          <w:rFonts w:ascii="Arial"/>
          <w:color w:val="010101"/>
          <w:w w:val="297"/>
          <w:sz w:val="18"/>
        </w:rPr>
        <w:t>-</w:t>
      </w:r>
      <w:r>
        <w:rPr>
          <w:rFonts w:ascii="Arial"/>
          <w:color w:val="010101"/>
          <w:sz w:val="18"/>
        </w:rPr>
        <w:tab/>
      </w:r>
      <w:r>
        <w:rPr>
          <w:color w:val="010101"/>
          <w:spacing w:val="-48"/>
          <w:w w:val="317"/>
          <w:sz w:val="20"/>
        </w:rPr>
        <w:t>,</w:t>
      </w:r>
      <w:r>
        <w:rPr>
          <w:color w:val="010101"/>
          <w:w w:val="107"/>
          <w:sz w:val="20"/>
        </w:rPr>
        <w:t>(Mu</w:t>
      </w:r>
      <w:r>
        <w:rPr>
          <w:color w:val="010101"/>
          <w:spacing w:val="-11"/>
          <w:sz w:val="20"/>
        </w:rPr>
        <w:t> </w:t>
      </w:r>
      <w:r>
        <w:rPr>
          <w:color w:val="010101"/>
          <w:w w:val="280"/>
          <w:sz w:val="20"/>
        </w:rPr>
        <w:t>-</w:t>
      </w:r>
      <w:r>
        <w:rPr>
          <w:color w:val="010101"/>
          <w:spacing w:val="-23"/>
          <w:sz w:val="20"/>
        </w:rPr>
        <w:t> </w:t>
      </w:r>
      <w:r>
        <w:rPr>
          <w:rFonts w:ascii="Arial"/>
          <w:i/>
          <w:color w:val="010101"/>
          <w:w w:val="112"/>
          <w:sz w:val="20"/>
        </w:rPr>
        <w:t>Ma</w:t>
      </w:r>
      <w:r>
        <w:rPr>
          <w:rFonts w:ascii="Arial"/>
          <w:i/>
          <w:color w:val="010101"/>
          <w:w w:val="112"/>
          <w:sz w:val="20"/>
        </w:rPr>
        <w:t>)</w:t>
      </w:r>
    </w:p>
    <w:p>
      <w:pPr>
        <w:tabs>
          <w:tab w:pos="2014" w:val="left" w:leader="none"/>
          <w:tab w:pos="2565" w:val="left" w:leader="none"/>
          <w:tab w:pos="3206" w:val="left" w:leader="none"/>
        </w:tabs>
        <w:spacing w:line="182" w:lineRule="exact" w:before="57"/>
        <w:ind w:left="0" w:right="414" w:firstLine="0"/>
        <w:jc w:val="center"/>
        <w:rPr>
          <w:rFonts w:ascii="Arial"/>
          <w:i/>
          <w:sz w:val="20"/>
        </w:rPr>
      </w:pPr>
      <w:r>
        <w:rPr/>
        <w:pict>
          <v:shape style="position:absolute;margin-left:247.992096pt;margin-top:6.730369pt;width:20.2pt;height:14.5pt;mso-position-horizontal-relative:page;mso-position-vertical-relative:paragraph;z-index:-707704" type="#_x0000_t202" filled="false" stroked="false">
            <v:textbox inset="0,0,0,0">
              <w:txbxContent>
                <w:p>
                  <w:pPr>
                    <w:tabs>
                      <w:tab w:pos="403" w:val="left" w:leader="none"/>
                    </w:tabs>
                    <w:spacing w:line="290" w:lineRule="exact" w:before="0"/>
                    <w:ind w:left="0" w:right="0" w:firstLine="0"/>
                    <w:jc w:val="left"/>
                    <w:rPr>
                      <w:sz w:val="29"/>
                    </w:rPr>
                  </w:pPr>
                  <w:r>
                    <w:rPr>
                      <w:color w:val="010101"/>
                      <w:sz w:val="29"/>
                      <w:u w:val="single" w:color="000000"/>
                    </w:rPr>
                    <w:t>+</w:t>
                    <w:tab/>
                  </w:r>
                </w:p>
              </w:txbxContent>
            </v:textbox>
            <w10:wrap type="none"/>
          </v:shape>
        </w:pict>
      </w:r>
      <w:r>
        <w:rPr>
          <w:color w:val="010101"/>
          <w:w w:val="94"/>
          <w:sz w:val="21"/>
        </w:rPr>
        <w:t>or</w:t>
      </w:r>
      <w:r>
        <w:rPr>
          <w:color w:val="010101"/>
          <w:sz w:val="21"/>
        </w:rPr>
        <w:tab/>
      </w:r>
      <w:r>
        <w:rPr>
          <w:color w:val="010101"/>
          <w:w w:val="118"/>
          <w:sz w:val="21"/>
        </w:rPr>
        <w:t>-</w:t>
      </w:r>
      <w:r>
        <w:rPr>
          <w:color w:val="010101"/>
          <w:sz w:val="21"/>
        </w:rPr>
        <w:tab/>
      </w:r>
      <w:r>
        <w:rPr>
          <w:rFonts w:ascii="Arial"/>
          <w:i/>
          <w:color w:val="010101"/>
          <w:spacing w:val="-108"/>
          <w:w w:val="117"/>
          <w:sz w:val="20"/>
        </w:rPr>
        <w:t>M</w:t>
      </w:r>
      <w:r>
        <w:rPr>
          <w:rFonts w:ascii="Arial"/>
          <w:i/>
          <w:color w:val="010101"/>
          <w:w w:val="109"/>
          <w:sz w:val="20"/>
        </w:rPr>
        <w:t>-</w:t>
      </w:r>
      <w:r>
        <w:rPr>
          <w:rFonts w:ascii="Arial"/>
          <w:i/>
          <w:color w:val="010101"/>
          <w:sz w:val="20"/>
        </w:rPr>
        <w:tab/>
      </w:r>
      <w:r>
        <w:rPr>
          <w:rFonts w:ascii="Arial"/>
          <w:i/>
          <w:color w:val="010101"/>
          <w:w w:val="112"/>
          <w:sz w:val="20"/>
        </w:rPr>
        <w:t>D</w:t>
      </w:r>
    </w:p>
    <w:p>
      <w:pPr>
        <w:tabs>
          <w:tab w:pos="2088" w:val="left" w:leader="none"/>
          <w:tab w:pos="3305" w:val="left" w:leader="none"/>
          <w:tab w:pos="4740" w:val="left" w:leader="none"/>
        </w:tabs>
        <w:spacing w:line="164" w:lineRule="exact" w:before="0"/>
        <w:ind w:left="1083" w:right="0" w:firstLine="0"/>
        <w:jc w:val="left"/>
        <w:rPr>
          <w:sz w:val="17"/>
        </w:rPr>
      </w:pPr>
      <w:r>
        <w:rPr>
          <w:color w:val="010101"/>
          <w:w w:val="90"/>
          <w:position w:val="-3"/>
          <w:sz w:val="17"/>
        </w:rPr>
        <w:t>1121  </w:t>
      </w:r>
      <w:r>
        <w:rPr>
          <w:color w:val="010101"/>
          <w:spacing w:val="4"/>
          <w:w w:val="90"/>
          <w:position w:val="-3"/>
          <w:sz w:val="17"/>
        </w:rPr>
        <w:t> </w:t>
      </w:r>
      <w:r>
        <w:rPr>
          <w:color w:val="010101"/>
          <w:w w:val="145"/>
          <w:sz w:val="17"/>
        </w:rPr>
        <w:t>-</w:t>
        <w:tab/>
      </w:r>
      <w:r>
        <w:rPr>
          <w:color w:val="010101"/>
          <w:w w:val="90"/>
          <w:sz w:val="17"/>
        </w:rPr>
        <w:t>•</w:t>
        <w:tab/>
      </w:r>
      <w:r>
        <w:rPr>
          <w:rFonts w:ascii="Arial" w:hAnsi="Arial"/>
          <w:i/>
          <w:color w:val="010101"/>
          <w:sz w:val="20"/>
          <w:u w:val="single" w:color="000000"/>
        </w:rPr>
        <w:t>Mu</w:t>
      </w:r>
      <w:r>
        <w:rPr>
          <w:rFonts w:ascii="Arial" w:hAnsi="Arial"/>
          <w:i/>
          <w:color w:val="010101"/>
          <w:sz w:val="20"/>
        </w:rPr>
        <w:tab/>
      </w:r>
      <w:r>
        <w:rPr>
          <w:color w:val="010101"/>
          <w:w w:val="90"/>
          <w:sz w:val="17"/>
          <w:u w:val="single" w:color="000000"/>
        </w:rPr>
        <w:t>M</w:t>
      </w:r>
    </w:p>
    <w:p>
      <w:pPr>
        <w:spacing w:after="0" w:line="164" w:lineRule="exact"/>
        <w:jc w:val="left"/>
        <w:rPr>
          <w:sz w:val="17"/>
        </w:rPr>
        <w:sectPr>
          <w:pgSz w:w="7200" w:h="11340"/>
          <w:pgMar w:top="500" w:bottom="280" w:left="620" w:right="40"/>
        </w:sectPr>
      </w:pPr>
    </w:p>
    <w:p>
      <w:pPr>
        <w:tabs>
          <w:tab w:pos="1312" w:val="left" w:leader="none"/>
          <w:tab w:pos="2321" w:val="left" w:leader="none"/>
        </w:tabs>
        <w:spacing w:line="261" w:lineRule="exact" w:before="0"/>
        <w:ind w:left="822" w:right="0" w:firstLine="0"/>
        <w:jc w:val="left"/>
        <w:rPr>
          <w:sz w:val="15"/>
        </w:rPr>
      </w:pPr>
      <w:r>
        <w:rPr>
          <w:color w:val="010101"/>
          <w:spacing w:val="-14"/>
          <w:w w:val="120"/>
          <w:position w:val="10"/>
          <w:sz w:val="13"/>
        </w:rPr>
        <w:t>1</w:t>
      </w:r>
      <w:r>
        <w:rPr>
          <w:color w:val="010101"/>
          <w:spacing w:val="-14"/>
          <w:w w:val="120"/>
          <w:sz w:val="24"/>
        </w:rPr>
        <w:t>oP</w:t>
        <w:tab/>
      </w:r>
      <w:r>
        <w:rPr>
          <w:color w:val="010101"/>
          <w:sz w:val="19"/>
        </w:rPr>
        <w:t>(</w:t>
      </w:r>
      <w:r>
        <w:rPr>
          <w:color w:val="010101"/>
          <w:spacing w:val="-38"/>
          <w:sz w:val="19"/>
        </w:rPr>
        <w:t> </w:t>
      </w:r>
      <w:r>
        <w:rPr>
          <w:color w:val="010101"/>
          <w:sz w:val="19"/>
        </w:rPr>
        <w:t>A</w:t>
      </w:r>
      <w:r>
        <w:rPr>
          <w:color w:val="010101"/>
          <w:spacing w:val="-36"/>
          <w:sz w:val="19"/>
        </w:rPr>
        <w:t> </w:t>
      </w:r>
      <w:r>
        <w:rPr>
          <w:color w:val="010101"/>
          <w:position w:val="10"/>
          <w:sz w:val="13"/>
        </w:rPr>
        <w:t>31</w:t>
      </w:r>
      <w:r>
        <w:rPr>
          <w:color w:val="010101"/>
          <w:sz w:val="20"/>
        </w:rPr>
        <w:t>:ioJ</w:t>
      </w:r>
      <w:r>
        <w:rPr>
          <w:color w:val="010101"/>
          <w:spacing w:val="-36"/>
          <w:sz w:val="20"/>
        </w:rPr>
        <w:t> </w:t>
      </w:r>
      <w:r>
        <w:rPr>
          <w:color w:val="010101"/>
          <w:sz w:val="20"/>
        </w:rPr>
        <w:t>)</w:t>
        <w:tab/>
      </w:r>
      <w:r>
        <w:rPr>
          <w:i/>
          <w:color w:val="010101"/>
          <w:sz w:val="21"/>
        </w:rPr>
        <w:t>Nu  </w:t>
      </w:r>
      <w:r>
        <w:rPr>
          <w:color w:val="010101"/>
          <w:w w:val="250"/>
          <w:sz w:val="21"/>
        </w:rPr>
        <w:t>- </w:t>
      </w:r>
      <w:r>
        <w:rPr>
          <w:i/>
          <w:color w:val="010101"/>
          <w:sz w:val="21"/>
        </w:rPr>
        <w:t>Na  </w:t>
      </w:r>
      <w:r>
        <w:rPr>
          <w:color w:val="010101"/>
          <w:w w:val="250"/>
          <w:sz w:val="21"/>
        </w:rPr>
        <w:t>-</w:t>
      </w:r>
      <w:r>
        <w:rPr>
          <w:color w:val="010101"/>
          <w:spacing w:val="-101"/>
          <w:w w:val="250"/>
          <w:sz w:val="21"/>
        </w:rPr>
        <w:t> </w:t>
      </w:r>
      <w:r>
        <w:rPr>
          <w:color w:val="010101"/>
          <w:w w:val="150"/>
          <w:sz w:val="15"/>
        </w:rPr>
        <w:t>1</w:t>
      </w:r>
    </w:p>
    <w:p>
      <w:pPr>
        <w:spacing w:line="318" w:lineRule="exact" w:before="18"/>
        <w:ind w:left="1069" w:right="0" w:firstLine="0"/>
        <w:jc w:val="left"/>
        <w:rPr>
          <w:i/>
          <w:sz w:val="22"/>
        </w:rPr>
      </w:pPr>
      <w:r>
        <w:rPr>
          <w:i/>
          <w:color w:val="010101"/>
          <w:sz w:val="22"/>
        </w:rPr>
        <w:t>M </w:t>
      </w:r>
      <w:r>
        <w:rPr>
          <w:i/>
          <w:color w:val="010101"/>
          <w:w w:val="75"/>
          <w:sz w:val="22"/>
        </w:rPr>
        <w:t>ao </w:t>
      </w:r>
      <w:r>
        <w:rPr>
          <w:color w:val="010101"/>
          <w:w w:val="235"/>
          <w:sz w:val="22"/>
        </w:rPr>
        <w:t>-</w:t>
      </w:r>
      <w:r>
        <w:rPr>
          <w:color w:val="010101"/>
          <w:spacing w:val="-108"/>
          <w:w w:val="235"/>
          <w:sz w:val="22"/>
        </w:rPr>
        <w:t> </w:t>
      </w:r>
      <w:r>
        <w:rPr>
          <w:i/>
          <w:color w:val="010101"/>
          <w:sz w:val="22"/>
        </w:rPr>
        <w:t>M </w:t>
      </w:r>
      <w:r>
        <w:rPr>
          <w:i/>
          <w:color w:val="010101"/>
          <w:w w:val="75"/>
          <w:sz w:val="22"/>
          <w:u w:val="single" w:color="000000"/>
        </w:rPr>
        <w:t>r,</w:t>
      </w:r>
      <w:r>
        <w:rPr>
          <w:i/>
          <w:color w:val="010101"/>
          <w:w w:val="75"/>
          <w:sz w:val="22"/>
        </w:rPr>
        <w:t>o </w:t>
      </w:r>
      <w:r>
        <w:rPr>
          <w:color w:val="010101"/>
          <w:sz w:val="29"/>
        </w:rPr>
        <w:t>+ </w:t>
      </w:r>
      <w:r>
        <w:rPr>
          <w:i/>
          <w:color w:val="010101"/>
          <w:w w:val="75"/>
          <w:sz w:val="22"/>
        </w:rPr>
        <w:t>Dr,o</w:t>
      </w:r>
    </w:p>
    <w:p>
      <w:pPr>
        <w:spacing w:line="215" w:lineRule="exact" w:before="0"/>
        <w:ind w:left="0" w:right="753" w:firstLine="0"/>
        <w:jc w:val="center"/>
        <w:rPr>
          <w:sz w:val="20"/>
        </w:rPr>
      </w:pPr>
      <w:r>
        <w:rPr>
          <w:color w:val="010101"/>
          <w:spacing w:val="-16"/>
          <w:w w:val="110"/>
          <w:sz w:val="19"/>
        </w:rPr>
        <w:t>16.  </w:t>
      </w:r>
      <w:r>
        <w:rPr>
          <w:color w:val="010101"/>
          <w:w w:val="110"/>
          <w:sz w:val="20"/>
        </w:rPr>
        <w:t>(a) (1 </w:t>
      </w:r>
      <w:r>
        <w:rPr>
          <w:color w:val="010101"/>
          <w:w w:val="265"/>
          <w:sz w:val="20"/>
        </w:rPr>
        <w:t>-</w:t>
      </w:r>
      <w:r>
        <w:rPr>
          <w:color w:val="010101"/>
          <w:spacing w:val="-91"/>
          <w:w w:val="265"/>
          <w:sz w:val="20"/>
        </w:rPr>
        <w:t> </w:t>
      </w:r>
      <w:r>
        <w:rPr>
          <w:rFonts w:ascii="Arial"/>
          <w:i/>
          <w:color w:val="010101"/>
          <w:w w:val="95"/>
          <w:sz w:val="20"/>
        </w:rPr>
        <w:t>7-4d </w:t>
      </w:r>
      <w:r>
        <w:rPr>
          <w:rFonts w:ascii="Arial"/>
          <w:i/>
          <w:color w:val="010101"/>
          <w:w w:val="110"/>
          <w:sz w:val="20"/>
        </w:rPr>
        <w:t>)( </w:t>
      </w:r>
      <w:r>
        <w:rPr>
          <w:rFonts w:ascii="Arial"/>
          <w:i/>
          <w:color w:val="010101"/>
          <w:spacing w:val="2"/>
          <w:w w:val="95"/>
          <w:sz w:val="20"/>
        </w:rPr>
        <w:t>N</w:t>
      </w:r>
      <w:r>
        <w:rPr>
          <w:color w:val="010101"/>
          <w:spacing w:val="2"/>
          <w:w w:val="95"/>
          <w:sz w:val="20"/>
        </w:rPr>
        <w:t>ao </w:t>
      </w:r>
      <w:r>
        <w:rPr>
          <w:color w:val="010101"/>
          <w:w w:val="265"/>
          <w:sz w:val="20"/>
        </w:rPr>
        <w:t>-</w:t>
      </w:r>
      <w:r>
        <w:rPr>
          <w:color w:val="010101"/>
          <w:spacing w:val="-96"/>
          <w:w w:val="265"/>
          <w:sz w:val="20"/>
        </w:rPr>
        <w:t> </w:t>
      </w:r>
      <w:r>
        <w:rPr>
          <w:color w:val="010101"/>
          <w:w w:val="110"/>
          <w:sz w:val="20"/>
        </w:rPr>
        <w:t>N.o)</w:t>
      </w:r>
    </w:p>
    <w:p>
      <w:pPr>
        <w:spacing w:line="290" w:lineRule="exact" w:before="148"/>
        <w:ind w:left="0" w:right="692" w:firstLine="0"/>
        <w:jc w:val="center"/>
        <w:rPr>
          <w:sz w:val="19"/>
        </w:rPr>
      </w:pPr>
      <w:r>
        <w:rPr>
          <w:color w:val="010101"/>
          <w:w w:val="102"/>
          <w:sz w:val="19"/>
        </w:rPr>
        <w:t>(</w:t>
      </w:r>
      <w:r>
        <w:rPr>
          <w:color w:val="010101"/>
          <w:spacing w:val="-27"/>
          <w:sz w:val="19"/>
        </w:rPr>
        <w:t> </w:t>
      </w:r>
      <w:r>
        <w:rPr>
          <w:color w:val="010101"/>
          <w:w w:val="121"/>
          <w:sz w:val="19"/>
        </w:rPr>
        <w:t>b)</w:t>
      </w:r>
      <w:r>
        <w:rPr>
          <w:color w:val="010101"/>
          <w:sz w:val="19"/>
        </w:rPr>
        <w:t> </w:t>
      </w:r>
      <w:r>
        <w:rPr>
          <w:color w:val="010101"/>
          <w:spacing w:val="-22"/>
          <w:sz w:val="19"/>
        </w:rPr>
        <w:t> </w:t>
      </w:r>
      <w:r>
        <w:rPr>
          <w:i/>
          <w:color w:val="010101"/>
          <w:w w:val="83"/>
          <w:sz w:val="26"/>
          <w:u w:val="single" w:color="000000"/>
        </w:rPr>
        <w:t>R</w:t>
      </w:r>
      <w:r>
        <w:rPr>
          <w:i/>
          <w:color w:val="010101"/>
          <w:w w:val="84"/>
          <w:sz w:val="26"/>
          <w:u w:val="single" w:color="000000"/>
        </w:rPr>
        <w:t>u</w:t>
      </w:r>
      <w:r>
        <w:rPr>
          <w:i/>
          <w:color w:val="010101"/>
          <w:spacing w:val="19"/>
          <w:sz w:val="26"/>
          <w:u w:val="single" w:color="000000"/>
        </w:rPr>
        <w:t> </w:t>
      </w:r>
      <w:r>
        <w:rPr>
          <w:color w:val="010101"/>
          <w:w w:val="215"/>
          <w:sz w:val="26"/>
          <w:u w:val="single" w:color="000000"/>
        </w:rPr>
        <w:t>-</w:t>
      </w:r>
      <w:r>
        <w:rPr>
          <w:color w:val="010101"/>
          <w:spacing w:val="-4"/>
          <w:sz w:val="26"/>
        </w:rPr>
        <w:t> </w:t>
      </w:r>
      <w:r>
        <w:rPr>
          <w:i/>
          <w:color w:val="010101"/>
          <w:w w:val="70"/>
          <w:sz w:val="26"/>
          <w:u w:val="single" w:color="000000"/>
        </w:rPr>
        <w:t>R.</w:t>
      </w:r>
      <w:r>
        <w:rPr>
          <w:i/>
          <w:color w:val="010101"/>
          <w:w w:val="71"/>
          <w:sz w:val="26"/>
          <w:u w:val="single" w:color="000000"/>
        </w:rPr>
        <w:t>o</w:t>
      </w:r>
      <w:r>
        <w:rPr>
          <w:i/>
          <w:color w:val="010101"/>
          <w:spacing w:val="3"/>
          <w:sz w:val="26"/>
          <w:u w:val="single" w:color="000000"/>
        </w:rPr>
        <w:t> </w:t>
      </w:r>
      <w:r>
        <w:rPr>
          <w:i/>
          <w:color w:val="010101"/>
          <w:spacing w:val="-38"/>
          <w:sz w:val="26"/>
        </w:rPr>
        <w:t> </w:t>
      </w:r>
      <w:r>
        <w:rPr>
          <w:color w:val="010101"/>
          <w:w w:val="215"/>
          <w:sz w:val="26"/>
          <w:u w:val="single" w:color="000000"/>
        </w:rPr>
        <w:t>-</w:t>
      </w:r>
      <w:r>
        <w:rPr>
          <w:color w:val="010101"/>
          <w:spacing w:val="30"/>
          <w:sz w:val="26"/>
        </w:rPr>
        <w:t> </w:t>
      </w:r>
      <w:r>
        <w:rPr>
          <w:color w:val="010101"/>
          <w:spacing w:val="-43"/>
          <w:w w:val="135"/>
          <w:sz w:val="19"/>
          <w:u w:val="single" w:color="000000"/>
        </w:rPr>
        <w:t>1</w:t>
      </w:r>
      <w:r>
        <w:rPr>
          <w:color w:val="010101"/>
          <w:w w:val="114"/>
          <w:sz w:val="19"/>
          <w:u w:val="single" w:color="000000"/>
        </w:rPr>
        <w:t>5M</w:t>
      </w:r>
      <w:r>
        <w:rPr>
          <w:color w:val="010101"/>
          <w:spacing w:val="-8"/>
          <w:w w:val="114"/>
          <w:sz w:val="19"/>
          <w:u w:val="single" w:color="000000"/>
        </w:rPr>
        <w:t>,</w:t>
      </w:r>
      <w:r>
        <w:rPr>
          <w:color w:val="010101"/>
          <w:w w:val="63"/>
          <w:sz w:val="19"/>
        </w:rPr>
        <w:t>o</w:t>
      </w:r>
    </w:p>
    <w:p>
      <w:pPr>
        <w:spacing w:line="221" w:lineRule="exact" w:before="0"/>
        <w:ind w:left="1237" w:right="0" w:firstLine="0"/>
        <w:jc w:val="left"/>
        <w:rPr>
          <w:rFonts w:ascii="Arial" w:hAnsi="Arial"/>
          <w:i/>
          <w:sz w:val="20"/>
        </w:rPr>
      </w:pPr>
      <w:r>
        <w:rPr>
          <w:rFonts w:ascii="Arial" w:hAnsi="Arial"/>
          <w:i/>
          <w:color w:val="010101"/>
          <w:w w:val="125"/>
          <w:sz w:val="20"/>
        </w:rPr>
        <w:t>N» </w:t>
      </w:r>
      <w:r>
        <w:rPr>
          <w:rFonts w:ascii="Arial" w:hAnsi="Arial"/>
          <w:i/>
          <w:color w:val="010101"/>
          <w:w w:val="225"/>
          <w:sz w:val="20"/>
        </w:rPr>
        <w:t>-</w:t>
      </w:r>
      <w:r>
        <w:rPr>
          <w:rFonts w:ascii="Arial" w:hAnsi="Arial"/>
          <w:i/>
          <w:color w:val="010101"/>
          <w:spacing w:val="-85"/>
          <w:w w:val="225"/>
          <w:sz w:val="20"/>
        </w:rPr>
        <w:t> </w:t>
      </w:r>
      <w:r>
        <w:rPr>
          <w:rFonts w:ascii="Arial" w:hAnsi="Arial"/>
          <w:i/>
          <w:color w:val="010101"/>
          <w:w w:val="125"/>
          <w:sz w:val="20"/>
        </w:rPr>
        <w:t>N-,</w:t>
      </w:r>
    </w:p>
    <w:p>
      <w:pPr>
        <w:tabs>
          <w:tab w:pos="2156" w:val="left" w:leader="none"/>
        </w:tabs>
        <w:spacing w:line="189" w:lineRule="exact" w:before="140"/>
        <w:ind w:left="492" w:right="0" w:firstLine="0"/>
        <w:jc w:val="left"/>
        <w:rPr>
          <w:rFonts w:ascii="Arial"/>
          <w:i/>
          <w:sz w:val="20"/>
        </w:rPr>
      </w:pPr>
      <w:r>
        <w:rPr>
          <w:color w:val="010101"/>
          <w:w w:val="125"/>
          <w:sz w:val="20"/>
        </w:rPr>
        <w:t>(e)</w:t>
        <w:tab/>
      </w:r>
      <w:r>
        <w:rPr>
          <w:rFonts w:ascii="Arial"/>
          <w:i/>
          <w:color w:val="010101"/>
          <w:w w:val="125"/>
          <w:sz w:val="20"/>
          <w:u w:val="single" w:color="000000"/>
        </w:rPr>
        <w:t>M</w:t>
      </w:r>
      <w:r>
        <w:rPr>
          <w:rFonts w:ascii="Arial"/>
          <w:i/>
          <w:color w:val="010101"/>
          <w:w w:val="125"/>
          <w:sz w:val="20"/>
        </w:rPr>
        <w:t>.</w:t>
      </w:r>
    </w:p>
    <w:p>
      <w:pPr>
        <w:tabs>
          <w:tab w:pos="1831" w:val="left" w:leader="none"/>
        </w:tabs>
        <w:spacing w:line="246" w:lineRule="exact" w:before="0"/>
        <w:ind w:left="854" w:right="0" w:firstLine="0"/>
        <w:jc w:val="left"/>
        <w:rPr>
          <w:sz w:val="20"/>
        </w:rPr>
      </w:pPr>
      <w:r>
        <w:rPr>
          <w:rFonts w:ascii="Arial"/>
          <w:i/>
          <w:color w:val="010101"/>
          <w:w w:val="90"/>
          <w:sz w:val="21"/>
        </w:rPr>
        <w:t>( N:r.</w:t>
      </w:r>
      <w:r>
        <w:rPr>
          <w:rFonts w:ascii="Arial"/>
          <w:i/>
          <w:color w:val="010101"/>
          <w:spacing w:val="-25"/>
          <w:w w:val="90"/>
          <w:sz w:val="21"/>
        </w:rPr>
        <w:t> </w:t>
      </w:r>
      <w:r>
        <w:rPr>
          <w:rFonts w:ascii="Arial"/>
          <w:color w:val="010101"/>
          <w:w w:val="220"/>
          <w:sz w:val="21"/>
        </w:rPr>
        <w:t>-</w:t>
      </w:r>
      <w:r>
        <w:rPr>
          <w:rFonts w:ascii="Arial"/>
          <w:color w:val="010101"/>
          <w:spacing w:val="-79"/>
          <w:w w:val="220"/>
          <w:sz w:val="21"/>
        </w:rPr>
        <w:t> </w:t>
      </w:r>
      <w:r>
        <w:rPr>
          <w:i/>
          <w:color w:val="010101"/>
          <w:w w:val="105"/>
          <w:sz w:val="20"/>
        </w:rPr>
        <w:t>N</w:t>
        <w:tab/>
      </w:r>
      <w:r>
        <w:rPr>
          <w:i/>
          <w:color w:val="010101"/>
          <w:w w:val="90"/>
          <w:sz w:val="20"/>
        </w:rPr>
        <w:t>10) </w:t>
      </w:r>
      <w:r>
        <w:rPr>
          <w:i/>
          <w:color w:val="010101"/>
          <w:spacing w:val="9"/>
          <w:w w:val="90"/>
          <w:sz w:val="20"/>
        </w:rPr>
        <w:t> </w:t>
      </w:r>
      <w:r>
        <w:rPr>
          <w:color w:val="010101"/>
          <w:w w:val="260"/>
          <w:sz w:val="20"/>
        </w:rPr>
        <w:t>-</w:t>
      </w:r>
      <w:r>
        <w:rPr>
          <w:color w:val="010101"/>
          <w:spacing w:val="-94"/>
          <w:w w:val="260"/>
          <w:sz w:val="20"/>
        </w:rPr>
        <w:t> </w:t>
      </w:r>
      <w:r>
        <w:rPr>
          <w:rFonts w:ascii="Arial"/>
          <w:i/>
          <w:color w:val="010101"/>
          <w:w w:val="105"/>
          <w:sz w:val="25"/>
        </w:rPr>
        <w:t>HM.</w:t>
      </w:r>
      <w:r>
        <w:rPr>
          <w:rFonts w:ascii="Arial"/>
          <w:i/>
          <w:color w:val="010101"/>
          <w:spacing w:val="-26"/>
          <w:w w:val="105"/>
          <w:sz w:val="25"/>
        </w:rPr>
        <w:t> </w:t>
      </w:r>
      <w:r>
        <w:rPr>
          <w:rFonts w:ascii="Arial"/>
          <w:color w:val="010101"/>
          <w:w w:val="180"/>
          <w:sz w:val="25"/>
        </w:rPr>
        <w:t>-</w:t>
      </w:r>
      <w:r>
        <w:rPr>
          <w:rFonts w:ascii="Arial"/>
          <w:color w:val="010101"/>
          <w:spacing w:val="-80"/>
          <w:w w:val="180"/>
          <w:sz w:val="25"/>
        </w:rPr>
        <w:t> </w:t>
      </w:r>
      <w:r>
        <w:rPr>
          <w:color w:val="010101"/>
          <w:spacing w:val="-5"/>
          <w:w w:val="105"/>
          <w:sz w:val="20"/>
        </w:rPr>
        <w:t>M.+10)</w:t>
      </w:r>
    </w:p>
    <w:p>
      <w:pPr>
        <w:tabs>
          <w:tab w:pos="357" w:val="left" w:leader="none"/>
          <w:tab w:pos="1063" w:val="left" w:leader="none"/>
        </w:tabs>
        <w:spacing w:line="167" w:lineRule="exact" w:before="36"/>
        <w:ind w:left="0" w:right="784" w:firstLine="0"/>
        <w:jc w:val="center"/>
        <w:rPr>
          <w:rFonts w:ascii="Arial"/>
          <w:i/>
          <w:sz w:val="20"/>
        </w:rPr>
      </w:pPr>
      <w:r>
        <w:rPr>
          <w:rFonts w:ascii="Arial"/>
          <w:i/>
          <w:color w:val="010101"/>
          <w:w w:val="99"/>
          <w:sz w:val="20"/>
          <w:u w:val="single" w:color="000000"/>
        </w:rPr>
        <w:t> </w:t>
      </w:r>
      <w:r>
        <w:rPr>
          <w:rFonts w:ascii="Arial"/>
          <w:i/>
          <w:color w:val="010101"/>
          <w:sz w:val="20"/>
          <w:u w:val="single" w:color="000000"/>
        </w:rPr>
        <w:tab/>
      </w:r>
      <w:r>
        <w:rPr>
          <w:rFonts w:ascii="Arial"/>
          <w:i/>
          <w:color w:val="010101"/>
          <w:w w:val="110"/>
          <w:sz w:val="20"/>
          <w:u w:val="single" w:color="000000"/>
        </w:rPr>
        <w:t>Mu</w:t>
      </w:r>
      <w:r>
        <w:rPr>
          <w:rFonts w:ascii="Arial"/>
          <w:i/>
          <w:color w:val="010101"/>
          <w:sz w:val="20"/>
          <w:u w:val="single" w:color="000000"/>
        </w:rPr>
        <w:tab/>
      </w:r>
    </w:p>
    <w:p>
      <w:pPr>
        <w:spacing w:line="343" w:lineRule="exact" w:before="0"/>
        <w:ind w:left="117" w:right="0" w:firstLine="0"/>
        <w:jc w:val="left"/>
        <w:rPr>
          <w:sz w:val="13"/>
        </w:rPr>
      </w:pPr>
      <w:r>
        <w:rPr>
          <w:color w:val="010101"/>
          <w:sz w:val="20"/>
        </w:rPr>
        <w:t>21. </w:t>
      </w:r>
      <w:r>
        <w:rPr>
          <w:color w:val="010101"/>
          <w:spacing w:val="-3"/>
          <w:sz w:val="20"/>
        </w:rPr>
        <w:t> </w:t>
      </w:r>
      <w:r>
        <w:rPr>
          <w:i/>
          <w:color w:val="010101"/>
          <w:w w:val="107"/>
          <w:sz w:val="22"/>
        </w:rPr>
        <w:t>p</w:t>
      </w:r>
      <w:r>
        <w:rPr>
          <w:i/>
          <w:color w:val="010101"/>
          <w:sz w:val="22"/>
        </w:rPr>
        <w:t> </w:t>
      </w:r>
      <w:r>
        <w:rPr>
          <w:i/>
          <w:color w:val="010101"/>
          <w:spacing w:val="12"/>
          <w:sz w:val="22"/>
        </w:rPr>
        <w:t> </w:t>
      </w:r>
      <w:r>
        <w:rPr>
          <w:color w:val="010101"/>
          <w:w w:val="84"/>
          <w:sz w:val="28"/>
        </w:rPr>
        <w:t>=</w:t>
      </w:r>
      <w:r>
        <w:rPr>
          <w:color w:val="010101"/>
          <w:spacing w:val="14"/>
          <w:sz w:val="28"/>
        </w:rPr>
        <w:t> </w:t>
      </w:r>
      <w:r>
        <w:rPr>
          <w:color w:val="010101"/>
          <w:spacing w:val="-47"/>
          <w:w w:val="86"/>
          <w:position w:val="-8"/>
          <w:sz w:val="21"/>
        </w:rPr>
        <w:t>s</w:t>
      </w:r>
      <w:r>
        <w:rPr>
          <w:color w:val="010101"/>
          <w:spacing w:val="-6"/>
          <w:w w:val="144"/>
          <w:sz w:val="4"/>
        </w:rPr>
        <w:t>M</w:t>
      </w:r>
      <w:r>
        <w:rPr>
          <w:color w:val="010101"/>
          <w:w w:val="86"/>
          <w:position w:val="-8"/>
          <w:sz w:val="21"/>
        </w:rPr>
        <w:t>¡</w:t>
      </w:r>
      <w:r>
        <w:rPr>
          <w:color w:val="010101"/>
          <w:spacing w:val="-11"/>
          <w:w w:val="86"/>
          <w:position w:val="-8"/>
          <w:sz w:val="21"/>
        </w:rPr>
        <w:t>¡</w:t>
      </w:r>
      <w:r>
        <w:rPr>
          <w:i/>
          <w:color w:val="010101"/>
          <w:spacing w:val="16"/>
          <w:w w:val="90"/>
          <w:sz w:val="22"/>
        </w:rPr>
        <w:t>D</w:t>
      </w:r>
      <w:r>
        <w:rPr>
          <w:rFonts w:ascii="Arial" w:hAnsi="Arial"/>
          <w:color w:val="010101"/>
          <w:w w:val="106"/>
          <w:position w:val="-8"/>
          <w:sz w:val="12"/>
        </w:rPr>
        <w:t>11</w:t>
      </w:r>
      <w:r>
        <w:rPr>
          <w:rFonts w:ascii="Arial" w:hAnsi="Arial"/>
          <w:color w:val="010101"/>
          <w:spacing w:val="9"/>
          <w:position w:val="-8"/>
          <w:sz w:val="12"/>
        </w:rPr>
        <w:t> </w:t>
      </w:r>
      <w:r>
        <w:rPr>
          <w:color w:val="010101"/>
          <w:w w:val="100"/>
          <w:sz w:val="29"/>
        </w:rPr>
        <w:t>+</w:t>
      </w:r>
      <w:r>
        <w:rPr>
          <w:color w:val="010101"/>
          <w:spacing w:val="5"/>
          <w:sz w:val="29"/>
        </w:rPr>
        <w:t> </w:t>
      </w:r>
      <w:r>
        <w:rPr>
          <w:i/>
          <w:color w:val="010101"/>
          <w:w w:val="90"/>
          <w:sz w:val="22"/>
        </w:rPr>
        <w:t>N</w:t>
      </w:r>
      <w:r>
        <w:rPr>
          <w:i/>
          <w:color w:val="010101"/>
          <w:spacing w:val="-17"/>
          <w:sz w:val="22"/>
        </w:rPr>
        <w:t> </w:t>
      </w:r>
      <w:r>
        <w:rPr>
          <w:color w:val="010101"/>
          <w:w w:val="126"/>
          <w:position w:val="-8"/>
          <w:sz w:val="13"/>
        </w:rPr>
        <w:t>1i</w:t>
      </w:r>
    </w:p>
    <w:p>
      <w:pPr>
        <w:tabs>
          <w:tab w:pos="1230" w:val="left" w:leader="none"/>
        </w:tabs>
        <w:spacing w:line="369" w:lineRule="exact" w:before="8"/>
        <w:ind w:left="0" w:right="735" w:firstLine="0"/>
        <w:jc w:val="center"/>
        <w:rPr>
          <w:rFonts w:ascii="Arial" w:hAnsi="Arial"/>
          <w:i/>
          <w:sz w:val="21"/>
        </w:rPr>
      </w:pPr>
      <w:r>
        <w:rPr>
          <w:color w:val="010101"/>
          <w:w w:val="99"/>
          <w:position w:val="-6"/>
          <w:sz w:val="20"/>
        </w:rPr>
        <w:t>2</w:t>
      </w:r>
      <w:r>
        <w:rPr>
          <w:color w:val="010101"/>
          <w:spacing w:val="2"/>
          <w:w w:val="99"/>
          <w:position w:val="-6"/>
          <w:sz w:val="20"/>
        </w:rPr>
        <w:t>2</w:t>
      </w:r>
      <w:r>
        <w:rPr>
          <w:color w:val="010101"/>
          <w:w w:val="29"/>
          <w:sz w:val="20"/>
        </w:rPr>
        <w:t>_</w:t>
      </w:r>
      <w:r>
        <w:rPr>
          <w:color w:val="010101"/>
          <w:sz w:val="20"/>
        </w:rPr>
        <w:tab/>
      </w:r>
      <w:r>
        <w:rPr>
          <w:rFonts w:ascii="Arial" w:hAnsi="Arial"/>
          <w:i/>
          <w:color w:val="010101"/>
          <w:spacing w:val="-20"/>
          <w:w w:val="92"/>
          <w:sz w:val="21"/>
          <w:u w:val="single" w:color="000000"/>
        </w:rPr>
        <w:t>a</w:t>
      </w:r>
      <w:r>
        <w:rPr>
          <w:rFonts w:ascii="Arial" w:hAnsi="Arial"/>
          <w:i/>
          <w:color w:val="010101"/>
          <w:w w:val="86"/>
          <w:sz w:val="21"/>
          <w:u w:val="single" w:color="000000"/>
        </w:rPr>
        <w:t>'iJD•+</w:t>
      </w:r>
      <w:r>
        <w:rPr>
          <w:rFonts w:ascii="Arial" w:hAnsi="Arial"/>
          <w:i/>
          <w:color w:val="010101"/>
          <w:w w:val="86"/>
          <w:sz w:val="21"/>
          <w:u w:val="single" w:color="000000"/>
        </w:rPr>
        <w:t>•</w:t>
      </w:r>
      <w:r>
        <w:rPr>
          <w:rFonts w:ascii="Arial" w:hAnsi="Arial"/>
          <w:i/>
          <w:color w:val="010101"/>
          <w:spacing w:val="1"/>
          <w:sz w:val="21"/>
          <w:u w:val="single" w:color="000000"/>
        </w:rPr>
        <w:t> </w:t>
      </w:r>
      <w:r>
        <w:rPr>
          <w:rFonts w:ascii="Arial" w:hAnsi="Arial"/>
          <w:color w:val="010101"/>
          <w:w w:val="104"/>
          <w:sz w:val="31"/>
          <w:u w:val="single" w:color="000000"/>
        </w:rPr>
        <w:t>+</w:t>
      </w:r>
      <w:r>
        <w:rPr>
          <w:rFonts w:ascii="Arial" w:hAnsi="Arial"/>
          <w:color w:val="010101"/>
          <w:spacing w:val="-30"/>
          <w:sz w:val="31"/>
          <w:u w:val="single" w:color="000000"/>
        </w:rPr>
        <w:t> </w:t>
      </w:r>
      <w:r>
        <w:rPr>
          <w:rFonts w:ascii="Arial" w:hAnsi="Arial"/>
          <w:i/>
          <w:color w:val="010101"/>
          <w:spacing w:val="7"/>
          <w:w w:val="105"/>
          <w:sz w:val="21"/>
          <w:u w:val="single" w:color="000000"/>
        </w:rPr>
        <w:t>N</w:t>
      </w:r>
      <w:r>
        <w:rPr>
          <w:rFonts w:ascii="Arial" w:hAnsi="Arial"/>
          <w:i/>
          <w:color w:val="010101"/>
          <w:w w:val="70"/>
          <w:sz w:val="21"/>
          <w:u w:val="single" w:color="000000"/>
        </w:rPr>
        <w:t>:r.+•+•</w:t>
      </w:r>
    </w:p>
    <w:p>
      <w:pPr>
        <w:spacing w:line="194" w:lineRule="exact" w:before="0"/>
        <w:ind w:left="449" w:right="0" w:firstLine="0"/>
        <w:jc w:val="left"/>
        <w:rPr>
          <w:rFonts w:ascii="Arial" w:hAnsi="Arial"/>
          <w:i/>
          <w:sz w:val="19"/>
        </w:rPr>
      </w:pPr>
      <w:r>
        <w:rPr>
          <w:rFonts w:ascii="Arial" w:hAnsi="Arial"/>
          <w:i/>
          <w:color w:val="010101"/>
          <w:w w:val="133"/>
          <w:sz w:val="20"/>
        </w:rPr>
        <w:t>N.</w:t>
      </w:r>
      <w:r>
        <w:rPr>
          <w:rFonts w:ascii="Arial" w:hAnsi="Arial"/>
          <w:i/>
          <w:color w:val="010101"/>
          <w:spacing w:val="2"/>
          <w:sz w:val="20"/>
        </w:rPr>
        <w:t> </w:t>
      </w:r>
      <w:r>
        <w:rPr>
          <w:rFonts w:ascii="Arial" w:hAnsi="Arial"/>
          <w:color w:val="010101"/>
          <w:w w:val="260"/>
          <w:sz w:val="20"/>
        </w:rPr>
        <w:t>-</w:t>
      </w:r>
      <w:r>
        <w:rPr>
          <w:rFonts w:ascii="Arial" w:hAnsi="Arial"/>
          <w:color w:val="010101"/>
          <w:spacing w:val="3"/>
          <w:sz w:val="20"/>
        </w:rPr>
        <w:t> </w:t>
      </w:r>
      <w:r>
        <w:rPr>
          <w:rFonts w:ascii="Arial" w:hAnsi="Arial"/>
          <w:i/>
          <w:color w:val="010101"/>
          <w:spacing w:val="-11"/>
          <w:w w:val="239"/>
          <w:sz w:val="20"/>
        </w:rPr>
        <w:t>N</w:t>
      </w:r>
      <w:r>
        <w:rPr>
          <w:rFonts w:ascii="Arial" w:hAnsi="Arial"/>
          <w:i/>
          <w:color w:val="010101"/>
          <w:w w:val="93"/>
          <w:sz w:val="8"/>
        </w:rPr>
        <w:t>11</w:t>
      </w:r>
      <w:r>
        <w:rPr>
          <w:rFonts w:ascii="Arial" w:hAnsi="Arial"/>
          <w:i/>
          <w:color w:val="010101"/>
          <w:sz w:val="8"/>
        </w:rPr>
        <w:t>   </w:t>
      </w:r>
      <w:r>
        <w:rPr>
          <w:rFonts w:ascii="Arial" w:hAnsi="Arial"/>
          <w:i/>
          <w:color w:val="010101"/>
          <w:spacing w:val="-8"/>
          <w:sz w:val="8"/>
        </w:rPr>
        <w:t> </w:t>
      </w:r>
      <w:r>
        <w:rPr>
          <w:rFonts w:ascii="Arial" w:hAnsi="Arial"/>
          <w:color w:val="010101"/>
          <w:w w:val="600"/>
          <w:sz w:val="8"/>
        </w:rPr>
        <w:t>-</w:t>
      </w:r>
      <w:r>
        <w:rPr>
          <w:rFonts w:ascii="Arial" w:hAnsi="Arial"/>
          <w:color w:val="010101"/>
          <w:sz w:val="8"/>
        </w:rPr>
        <w:t>   </w:t>
      </w:r>
      <w:r>
        <w:rPr>
          <w:rFonts w:ascii="Arial" w:hAnsi="Arial"/>
          <w:color w:val="010101"/>
          <w:spacing w:val="-6"/>
          <w:sz w:val="8"/>
        </w:rPr>
        <w:t> </w:t>
      </w:r>
      <w:r>
        <w:rPr>
          <w:rFonts w:ascii="Arial" w:hAnsi="Arial"/>
          <w:i/>
          <w:color w:val="010101"/>
          <w:w w:val="79"/>
          <w:sz w:val="20"/>
        </w:rPr>
        <w:t>(</w:t>
      </w:r>
      <w:r>
        <w:rPr>
          <w:rFonts w:ascii="Arial" w:hAnsi="Arial"/>
          <w:i/>
          <w:color w:val="010101"/>
          <w:spacing w:val="-34"/>
          <w:sz w:val="20"/>
        </w:rPr>
        <w:t> </w:t>
      </w:r>
      <w:r>
        <w:rPr>
          <w:rFonts w:ascii="Arial" w:hAnsi="Arial"/>
          <w:i/>
          <w:color w:val="010101"/>
          <w:w w:val="123"/>
          <w:sz w:val="20"/>
        </w:rPr>
        <w:t>R.</w:t>
      </w:r>
      <w:r>
        <w:rPr>
          <w:rFonts w:ascii="Arial" w:hAnsi="Arial"/>
          <w:i/>
          <w:color w:val="010101"/>
          <w:spacing w:val="4"/>
          <w:sz w:val="20"/>
        </w:rPr>
        <w:t> </w:t>
      </w:r>
      <w:r>
        <w:rPr>
          <w:rFonts w:ascii="Arial" w:hAnsi="Arial"/>
          <w:color w:val="010101"/>
          <w:w w:val="260"/>
          <w:sz w:val="20"/>
        </w:rPr>
        <w:t>-</w:t>
      </w:r>
      <w:r>
        <w:rPr>
          <w:rFonts w:ascii="Arial" w:hAnsi="Arial"/>
          <w:color w:val="010101"/>
          <w:spacing w:val="13"/>
          <w:sz w:val="20"/>
        </w:rPr>
        <w:t> </w:t>
      </w:r>
      <w:r>
        <w:rPr>
          <w:rFonts w:ascii="Arial" w:hAnsi="Arial"/>
          <w:i/>
          <w:color w:val="010101"/>
          <w:w w:val="107"/>
          <w:sz w:val="20"/>
        </w:rPr>
        <w:t>R</w:t>
      </w:r>
      <w:r>
        <w:rPr>
          <w:rFonts w:ascii="Arial" w:hAnsi="Arial"/>
          <w:i/>
          <w:color w:val="010101"/>
          <w:spacing w:val="-17"/>
          <w:w w:val="107"/>
          <w:sz w:val="20"/>
        </w:rPr>
        <w:t>•</w:t>
      </w:r>
      <w:r>
        <w:rPr>
          <w:rFonts w:ascii="Arial" w:hAnsi="Arial"/>
          <w:i/>
          <w:color w:val="010101"/>
          <w:w w:val="105"/>
          <w:sz w:val="20"/>
        </w:rPr>
        <w:t>+•</w:t>
      </w:r>
      <w:r>
        <w:rPr>
          <w:rFonts w:ascii="Arial" w:hAnsi="Arial"/>
          <w:i/>
          <w:color w:val="010101"/>
          <w:spacing w:val="11"/>
          <w:sz w:val="20"/>
        </w:rPr>
        <w:t> </w:t>
      </w:r>
      <w:r>
        <w:rPr>
          <w:rFonts w:ascii="Arial" w:hAnsi="Arial"/>
          <w:color w:val="010101"/>
          <w:w w:val="260"/>
          <w:sz w:val="20"/>
        </w:rPr>
        <w:t>-</w:t>
      </w:r>
      <w:r>
        <w:rPr>
          <w:rFonts w:ascii="Arial" w:hAnsi="Arial"/>
          <w:color w:val="010101"/>
          <w:spacing w:val="3"/>
          <w:sz w:val="20"/>
        </w:rPr>
        <w:t> </w:t>
      </w:r>
      <w:r>
        <w:rPr>
          <w:rFonts w:ascii="Arial" w:hAnsi="Arial"/>
          <w:i/>
          <w:color w:val="010101"/>
          <w:w w:val="126"/>
          <w:sz w:val="19"/>
        </w:rPr>
        <w:t>nM</w:t>
      </w:r>
      <w:r>
        <w:rPr>
          <w:rFonts w:ascii="Arial" w:hAnsi="Arial"/>
          <w:i/>
          <w:color w:val="010101"/>
          <w:spacing w:val="-20"/>
          <w:w w:val="126"/>
          <w:sz w:val="19"/>
        </w:rPr>
        <w:t>.</w:t>
      </w:r>
      <w:r>
        <w:rPr>
          <w:rFonts w:ascii="Arial" w:hAnsi="Arial"/>
          <w:i/>
          <w:color w:val="010101"/>
          <w:w w:val="54"/>
          <w:sz w:val="19"/>
        </w:rPr>
        <w:t>+1</w:t>
      </w:r>
      <w:r>
        <w:rPr>
          <w:rFonts w:ascii="Arial" w:hAnsi="Arial"/>
          <w:i/>
          <w:color w:val="010101"/>
          <w:spacing w:val="-2"/>
          <w:w w:val="54"/>
          <w:sz w:val="19"/>
        </w:rPr>
        <w:t>1</w:t>
      </w:r>
      <w:r>
        <w:rPr>
          <w:rFonts w:ascii="Arial" w:hAnsi="Arial"/>
          <w:i/>
          <w:color w:val="010101"/>
          <w:w w:val="77"/>
          <w:sz w:val="19"/>
        </w:rPr>
        <w:t>)</w:t>
      </w:r>
    </w:p>
    <w:p>
      <w:pPr>
        <w:spacing w:before="145"/>
        <w:ind w:left="0" w:right="244" w:firstLine="0"/>
        <w:jc w:val="right"/>
        <w:rPr>
          <w:rFonts w:ascii="Arial"/>
          <w:sz w:val="19"/>
        </w:rPr>
      </w:pPr>
      <w:r>
        <w:rPr>
          <w:color w:val="010101"/>
          <w:w w:val="110"/>
          <w:sz w:val="15"/>
        </w:rPr>
        <w:t>CHAPTER  </w:t>
      </w:r>
      <w:r>
        <w:rPr>
          <w:rFonts w:ascii="Arial"/>
          <w:color w:val="010101"/>
          <w:w w:val="110"/>
          <w:sz w:val="19"/>
        </w:rPr>
        <w:t>5</w:t>
      </w:r>
    </w:p>
    <w:p>
      <w:pPr>
        <w:spacing w:line="291" w:lineRule="exact" w:before="0"/>
        <w:ind w:left="47" w:right="0" w:firstLine="0"/>
        <w:jc w:val="left"/>
        <w:rPr>
          <w:rFonts w:ascii="Arial"/>
          <w:i/>
          <w:sz w:val="24"/>
        </w:rPr>
      </w:pPr>
      <w:r>
        <w:rPr/>
        <w:br w:type="column"/>
      </w:r>
      <w:r>
        <w:rPr>
          <w:color w:val="010101"/>
          <w:spacing w:val="-6"/>
          <w:w w:val="136"/>
          <w:position w:val="-4"/>
          <w:sz w:val="15"/>
        </w:rPr>
        <w:t>4</w:t>
      </w:r>
      <w:r>
        <w:rPr>
          <w:rFonts w:ascii="Arial"/>
          <w:color w:val="010101"/>
          <w:w w:val="87"/>
          <w:sz w:val="23"/>
        </w:rPr>
        <w:t>a</w:t>
      </w:r>
      <w:r>
        <w:rPr>
          <w:rFonts w:ascii="Arial"/>
          <w:color w:val="010101"/>
          <w:w w:val="87"/>
          <w:sz w:val="23"/>
        </w:rPr>
        <w:t>(</w:t>
      </w:r>
      <w:r>
        <w:rPr>
          <w:rFonts w:ascii="Arial"/>
          <w:color w:val="010101"/>
          <w:spacing w:val="-16"/>
          <w:w w:val="87"/>
          <w:sz w:val="23"/>
        </w:rPr>
        <w:t>G</w:t>
      </w:r>
      <w:r>
        <w:rPr>
          <w:rFonts w:ascii="Arial"/>
          <w:color w:val="010101"/>
          <w:w w:val="175"/>
          <w:sz w:val="23"/>
        </w:rPr>
        <w:t>"</w:t>
      </w:r>
      <w:r>
        <w:rPr>
          <w:rFonts w:ascii="Arial"/>
          <w:color w:val="010101"/>
          <w:spacing w:val="-11"/>
          <w:sz w:val="23"/>
        </w:rPr>
        <w:t> </w:t>
      </w:r>
      <w:r>
        <w:rPr>
          <w:rFonts w:ascii="Arial"/>
          <w:color w:val="010101"/>
          <w:w w:val="226"/>
          <w:sz w:val="23"/>
        </w:rPr>
        <w:t>-</w:t>
      </w:r>
      <w:r>
        <w:rPr>
          <w:rFonts w:ascii="Arial"/>
          <w:color w:val="010101"/>
          <w:spacing w:val="16"/>
          <w:sz w:val="23"/>
        </w:rPr>
        <w:t> </w:t>
      </w:r>
      <w:r>
        <w:rPr>
          <w:rFonts w:ascii="Arial"/>
          <w:color w:val="010101"/>
          <w:w w:val="121"/>
          <w:sz w:val="23"/>
        </w:rPr>
        <w:t>D</w:t>
      </w:r>
      <w:r>
        <w:rPr>
          <w:rFonts w:ascii="Arial"/>
          <w:color w:val="010101"/>
          <w:spacing w:val="5"/>
          <w:sz w:val="23"/>
        </w:rPr>
        <w:t> </w:t>
      </w:r>
      <w:r>
        <w:rPr>
          <w:rFonts w:ascii="Arial"/>
          <w:color w:val="010101"/>
          <w:spacing w:val="24"/>
          <w:w w:val="102"/>
          <w:sz w:val="23"/>
        </w:rPr>
        <w:t>)</w:t>
      </w:r>
      <w:r>
        <w:rPr>
          <w:rFonts w:ascii="Arial"/>
          <w:color w:val="010101"/>
          <w:w w:val="220"/>
          <w:sz w:val="23"/>
        </w:rPr>
        <w:t>-</w:t>
      </w:r>
      <w:r>
        <w:rPr>
          <w:rFonts w:ascii="Arial"/>
          <w:color w:val="010101"/>
          <w:spacing w:val="6"/>
          <w:sz w:val="23"/>
        </w:rPr>
        <w:t> </w:t>
      </w:r>
      <w:r>
        <w:rPr>
          <w:rFonts w:ascii="Arial"/>
          <w:color w:val="010101"/>
          <w:w w:val="115"/>
          <w:sz w:val="25"/>
        </w:rPr>
        <w:t>t</w:t>
      </w:r>
      <w:r>
        <w:rPr>
          <w:rFonts w:ascii="Arial"/>
          <w:color w:val="010101"/>
          <w:spacing w:val="-9"/>
          <w:w w:val="115"/>
          <w:sz w:val="25"/>
        </w:rPr>
        <w:t>(</w:t>
      </w:r>
      <w:r>
        <w:rPr>
          <w:rFonts w:ascii="Arial"/>
          <w:color w:val="010101"/>
          <w:w w:val="80"/>
          <w:sz w:val="25"/>
        </w:rPr>
        <w:t>.</w:t>
      </w:r>
      <w:r>
        <w:rPr>
          <w:rFonts w:ascii="Arial"/>
          <w:color w:val="010101"/>
          <w:spacing w:val="-32"/>
          <w:w w:val="80"/>
          <w:sz w:val="25"/>
        </w:rPr>
        <w:t>M</w:t>
      </w:r>
      <w:r>
        <w:rPr>
          <w:rFonts w:ascii="Arial"/>
          <w:color w:val="010101"/>
          <w:w w:val="166"/>
          <w:sz w:val="25"/>
        </w:rPr>
        <w:t>"</w:t>
      </w:r>
      <w:r>
        <w:rPr>
          <w:rFonts w:ascii="Arial"/>
          <w:color w:val="010101"/>
          <w:spacing w:val="-24"/>
          <w:sz w:val="25"/>
        </w:rPr>
        <w:t> </w:t>
      </w:r>
      <w:r>
        <w:rPr>
          <w:rFonts w:ascii="Arial"/>
          <w:color w:val="010101"/>
          <w:w w:val="208"/>
          <w:sz w:val="25"/>
        </w:rPr>
        <w:t>-</w:t>
      </w:r>
      <w:r>
        <w:rPr>
          <w:rFonts w:ascii="Arial"/>
          <w:color w:val="010101"/>
          <w:spacing w:val="-18"/>
          <w:sz w:val="25"/>
        </w:rPr>
        <w:t> </w:t>
      </w:r>
      <w:r>
        <w:rPr>
          <w:rFonts w:ascii="Arial"/>
          <w:i/>
          <w:color w:val="010101"/>
          <w:w w:val="129"/>
          <w:sz w:val="24"/>
        </w:rPr>
        <w:t>M</w:t>
      </w:r>
      <w:r>
        <w:rPr>
          <w:rFonts w:ascii="Arial"/>
          <w:i/>
          <w:color w:val="010101"/>
          <w:spacing w:val="-43"/>
          <w:w w:val="129"/>
          <w:sz w:val="24"/>
        </w:rPr>
        <w:t>.</w:t>
      </w:r>
      <w:r>
        <w:rPr>
          <w:rFonts w:ascii="Arial"/>
          <w:i/>
          <w:color w:val="010101"/>
          <w:w w:val="79"/>
          <w:sz w:val="24"/>
        </w:rPr>
        <w:t>)</w:t>
      </w:r>
    </w:p>
    <w:p>
      <w:pPr>
        <w:spacing w:after="0" w:line="291" w:lineRule="exact"/>
        <w:jc w:val="left"/>
        <w:rPr>
          <w:rFonts w:ascii="Arial"/>
          <w:sz w:val="24"/>
        </w:rPr>
        <w:sectPr>
          <w:type w:val="continuous"/>
          <w:pgSz w:w="7200" w:h="11340"/>
          <w:pgMar w:top="1100" w:bottom="0" w:left="620" w:right="40"/>
          <w:cols w:num="2" w:equalWidth="0">
            <w:col w:w="3716" w:space="40"/>
            <w:col w:w="2784"/>
          </w:cols>
        </w:sectPr>
      </w:pPr>
    </w:p>
    <w:p>
      <w:pPr>
        <w:tabs>
          <w:tab w:pos="983" w:val="left" w:leader="none"/>
        </w:tabs>
        <w:spacing w:before="121"/>
        <w:ind w:left="231" w:right="0" w:firstLine="0"/>
        <w:jc w:val="left"/>
        <w:rPr>
          <w:sz w:val="20"/>
        </w:rPr>
      </w:pPr>
      <w:r>
        <w:rPr/>
        <w:pict>
          <v:line style="position:absolute;mso-position-horizontal-relative:page;mso-position-vertical-relative:paragraph;z-index:-707728" from="56.182899pt,23.820612pt" to="85.526839pt,23.820612pt" stroked="true" strokeweight="6.441352pt" strokecolor="#000000">
            <w10:wrap type="none"/>
          </v:line>
        </w:pict>
      </w:r>
      <w:r>
        <w:rPr>
          <w:color w:val="010101"/>
          <w:w w:val="115"/>
          <w:sz w:val="20"/>
        </w:rPr>
        <w:t>1.</w:t>
      </w:r>
      <w:r>
        <w:rPr>
          <w:color w:val="010101"/>
          <w:spacing w:val="23"/>
          <w:w w:val="115"/>
          <w:sz w:val="20"/>
        </w:rPr>
        <w:t> </w:t>
      </w:r>
      <w:r>
        <w:rPr>
          <w:color w:val="010101"/>
          <w:spacing w:val="8"/>
          <w:w w:val="115"/>
          <w:sz w:val="19"/>
        </w:rPr>
        <w:t>(a)</w:t>
        <w:tab/>
      </w:r>
      <w:r>
        <w:rPr>
          <w:color w:val="010101"/>
          <w:w w:val="150"/>
          <w:sz w:val="19"/>
        </w:rPr>
        <w:t>.,</w:t>
      </w:r>
      <w:r>
        <w:rPr>
          <w:color w:val="010101"/>
          <w:spacing w:val="-29"/>
          <w:w w:val="150"/>
          <w:sz w:val="19"/>
        </w:rPr>
        <w:t> </w:t>
      </w:r>
      <w:r>
        <w:rPr>
          <w:color w:val="010101"/>
          <w:w w:val="115"/>
          <w:sz w:val="20"/>
        </w:rPr>
        <w:t>{M.o</w:t>
      </w:r>
      <w:r>
        <w:rPr>
          <w:color w:val="010101"/>
          <w:spacing w:val="-7"/>
          <w:w w:val="115"/>
          <w:sz w:val="20"/>
        </w:rPr>
        <w:t> </w:t>
      </w:r>
      <w:r>
        <w:rPr>
          <w:color w:val="010101"/>
          <w:w w:val="245"/>
          <w:sz w:val="20"/>
        </w:rPr>
        <w:t>-</w:t>
      </w:r>
      <w:r>
        <w:rPr>
          <w:color w:val="010101"/>
          <w:spacing w:val="-85"/>
          <w:w w:val="245"/>
          <w:sz w:val="20"/>
        </w:rPr>
        <w:t> </w:t>
      </w:r>
      <w:r>
        <w:rPr>
          <w:rFonts w:ascii="Arial" w:hAnsi="Arial"/>
          <w:i/>
          <w:color w:val="010101"/>
          <w:w w:val="115"/>
          <w:sz w:val="20"/>
        </w:rPr>
        <w:t>M¡¡</w:t>
      </w:r>
      <w:r>
        <w:rPr>
          <w:rFonts w:ascii="Arial" w:hAnsi="Arial"/>
          <w:i/>
          <w:color w:val="010101"/>
          <w:spacing w:val="-7"/>
          <w:w w:val="115"/>
          <w:sz w:val="20"/>
        </w:rPr>
        <w:t> </w:t>
      </w:r>
      <w:r>
        <w:rPr>
          <w:rFonts w:ascii="Arial" w:hAnsi="Arial"/>
          <w:color w:val="010101"/>
          <w:w w:val="115"/>
          <w:sz w:val="31"/>
        </w:rPr>
        <w:t>+</w:t>
      </w:r>
      <w:r>
        <w:rPr>
          <w:rFonts w:ascii="Arial" w:hAnsi="Arial"/>
          <w:color w:val="010101"/>
          <w:spacing w:val="-56"/>
          <w:w w:val="115"/>
          <w:sz w:val="31"/>
        </w:rPr>
        <w:t> </w:t>
      </w:r>
      <w:r>
        <w:rPr>
          <w:rFonts w:ascii="Arial" w:hAnsi="Arial"/>
          <w:i/>
          <w:color w:val="010101"/>
          <w:w w:val="115"/>
          <w:sz w:val="20"/>
        </w:rPr>
        <w:t>Da</w:t>
      </w:r>
      <w:r>
        <w:rPr>
          <w:rFonts w:ascii="Arial" w:hAnsi="Arial"/>
          <w:i/>
          <w:color w:val="010101"/>
          <w:spacing w:val="-6"/>
          <w:w w:val="115"/>
          <w:sz w:val="20"/>
        </w:rPr>
        <w:t> </w:t>
      </w:r>
      <w:r>
        <w:rPr>
          <w:rFonts w:ascii="Arial" w:hAnsi="Arial"/>
          <w:color w:val="010101"/>
          <w:w w:val="245"/>
          <w:sz w:val="20"/>
        </w:rPr>
        <w:t>-</w:t>
      </w:r>
      <w:r>
        <w:rPr>
          <w:rFonts w:ascii="Arial" w:hAnsi="Arial"/>
          <w:color w:val="010101"/>
          <w:spacing w:val="-90"/>
          <w:w w:val="245"/>
          <w:sz w:val="20"/>
        </w:rPr>
        <w:t> </w:t>
      </w:r>
      <w:r>
        <w:rPr>
          <w:color w:val="010101"/>
          <w:w w:val="115"/>
          <w:sz w:val="20"/>
        </w:rPr>
        <w:t>P(N.o</w:t>
      </w:r>
      <w:r>
        <w:rPr>
          <w:color w:val="010101"/>
          <w:spacing w:val="12"/>
          <w:w w:val="115"/>
          <w:sz w:val="20"/>
        </w:rPr>
        <w:t> </w:t>
      </w:r>
      <w:r>
        <w:rPr>
          <w:color w:val="010101"/>
          <w:w w:val="245"/>
          <w:sz w:val="20"/>
        </w:rPr>
        <w:t>-</w:t>
      </w:r>
      <w:r>
        <w:rPr>
          <w:color w:val="010101"/>
          <w:spacing w:val="-84"/>
          <w:w w:val="245"/>
          <w:sz w:val="20"/>
        </w:rPr>
        <w:t> </w:t>
      </w:r>
      <w:r>
        <w:rPr>
          <w:color w:val="010101"/>
          <w:w w:val="115"/>
          <w:sz w:val="20"/>
        </w:rPr>
        <w:t>N'°)}</w:t>
      </w:r>
    </w:p>
    <w:p>
      <w:pPr>
        <w:tabs>
          <w:tab w:pos="3799" w:val="left" w:leader="none"/>
        </w:tabs>
        <w:spacing w:line="295" w:lineRule="exact" w:before="152"/>
        <w:ind w:left="2901" w:right="0" w:firstLine="0"/>
        <w:jc w:val="left"/>
        <w:rPr>
          <w:i/>
          <w:sz w:val="22"/>
        </w:rPr>
      </w:pPr>
      <w:r>
        <w:rPr>
          <w:color w:val="010101"/>
          <w:sz w:val="21"/>
        </w:rPr>
        <w:t>where</w:t>
        <w:tab/>
      </w:r>
      <w:r>
        <w:rPr>
          <w:i/>
          <w:color w:val="010101"/>
          <w:w w:val="115"/>
          <w:sz w:val="22"/>
        </w:rPr>
        <w:t>p </w:t>
      </w:r>
      <w:r>
        <w:rPr>
          <w:color w:val="010101"/>
          <w:sz w:val="25"/>
        </w:rPr>
        <w:t>= </w:t>
      </w:r>
      <w:r>
        <w:rPr>
          <w:color w:val="010101"/>
          <w:sz w:val="21"/>
          <w:u w:val="single" w:color="000000"/>
        </w:rPr>
        <w:t>Mao </w:t>
      </w:r>
      <w:r>
        <w:rPr>
          <w:color w:val="010101"/>
          <w:w w:val="255"/>
          <w:sz w:val="21"/>
          <w:u w:val="single" w:color="000000"/>
        </w:rPr>
        <w:t>-</w:t>
      </w:r>
      <w:r>
        <w:rPr>
          <w:color w:val="010101"/>
          <w:spacing w:val="-79"/>
          <w:w w:val="255"/>
          <w:sz w:val="21"/>
          <w:u w:val="single" w:color="000000"/>
        </w:rPr>
        <w:t> </w:t>
      </w:r>
      <w:r>
        <w:rPr>
          <w:b/>
          <w:i/>
          <w:color w:val="010101"/>
          <w:sz w:val="22"/>
          <w:u w:val="single" w:color="000000"/>
        </w:rPr>
        <w:t>M11 </w:t>
      </w:r>
      <w:r>
        <w:rPr>
          <w:color w:val="010101"/>
          <w:sz w:val="29"/>
          <w:u w:val="single" w:color="000000"/>
        </w:rPr>
        <w:t>+ </w:t>
      </w:r>
      <w:r>
        <w:rPr>
          <w:i/>
          <w:color w:val="010101"/>
          <w:sz w:val="22"/>
          <w:u w:val="single" w:color="000000"/>
        </w:rPr>
        <w:t>D11</w:t>
      </w:r>
    </w:p>
    <w:p>
      <w:pPr>
        <w:spacing w:line="214" w:lineRule="exact" w:before="0"/>
        <w:ind w:left="0" w:right="1054" w:firstLine="0"/>
        <w:jc w:val="right"/>
        <w:rPr>
          <w:i/>
          <w:sz w:val="22"/>
        </w:rPr>
      </w:pPr>
      <w:r>
        <w:rPr>
          <w:i/>
          <w:color w:val="010101"/>
          <w:w w:val="130"/>
          <w:sz w:val="22"/>
        </w:rPr>
        <w:t>N., </w:t>
      </w:r>
      <w:r>
        <w:rPr>
          <w:color w:val="010101"/>
          <w:w w:val="175"/>
          <w:sz w:val="22"/>
        </w:rPr>
        <w:t>-</w:t>
      </w:r>
      <w:r>
        <w:rPr>
          <w:color w:val="010101"/>
          <w:spacing w:val="-80"/>
          <w:w w:val="175"/>
          <w:sz w:val="22"/>
        </w:rPr>
        <w:t> </w:t>
      </w:r>
      <w:r>
        <w:rPr>
          <w:i/>
          <w:color w:val="010101"/>
          <w:w w:val="95"/>
          <w:sz w:val="22"/>
        </w:rPr>
        <w:t>Nr,o</w:t>
      </w:r>
    </w:p>
    <w:p>
      <w:pPr>
        <w:spacing w:line="221" w:lineRule="exact" w:before="158"/>
        <w:ind w:left="485" w:right="0" w:firstLine="0"/>
        <w:jc w:val="left"/>
        <w:rPr>
          <w:rFonts w:ascii="Arial"/>
          <w:sz w:val="20"/>
        </w:rPr>
      </w:pPr>
      <w:r>
        <w:rPr>
          <w:color w:val="010101"/>
          <w:w w:val="135"/>
          <w:sz w:val="20"/>
        </w:rPr>
        <w:t>(b) </w:t>
      </w:r>
      <w:r>
        <w:rPr>
          <w:color w:val="010101"/>
          <w:sz w:val="24"/>
        </w:rPr>
        <w:t>_!_ </w:t>
      </w:r>
      <w:r>
        <w:rPr>
          <w:rFonts w:ascii="Arial"/>
          <w:color w:val="010101"/>
          <w:w w:val="110"/>
          <w:sz w:val="20"/>
        </w:rPr>
        <w:t>{.Ma </w:t>
      </w:r>
      <w:r>
        <w:rPr>
          <w:rFonts w:ascii="Arial"/>
          <w:color w:val="010101"/>
          <w:w w:val="235"/>
          <w:sz w:val="20"/>
        </w:rPr>
        <w:t>-</w:t>
      </w:r>
      <w:r>
        <w:rPr>
          <w:rFonts w:ascii="Arial"/>
          <w:color w:val="010101"/>
          <w:spacing w:val="-87"/>
          <w:w w:val="235"/>
          <w:sz w:val="20"/>
        </w:rPr>
        <w:t> </w:t>
      </w:r>
      <w:r>
        <w:rPr>
          <w:rFonts w:ascii="Arial"/>
          <w:i/>
          <w:color w:val="010101"/>
          <w:w w:val="110"/>
          <w:sz w:val="24"/>
        </w:rPr>
        <w:t>M" </w:t>
      </w:r>
      <w:r>
        <w:rPr>
          <w:rFonts w:ascii="Arial"/>
          <w:color w:val="010101"/>
          <w:w w:val="220"/>
          <w:sz w:val="24"/>
        </w:rPr>
        <w:t>-</w:t>
      </w:r>
      <w:r>
        <w:rPr>
          <w:rFonts w:ascii="Arial"/>
          <w:color w:val="010101"/>
          <w:spacing w:val="-94"/>
          <w:w w:val="220"/>
          <w:sz w:val="24"/>
        </w:rPr>
        <w:t> </w:t>
      </w:r>
      <w:r>
        <w:rPr>
          <w:rFonts w:ascii="Arial"/>
          <w:i/>
          <w:color w:val="010101"/>
          <w:w w:val="110"/>
          <w:sz w:val="21"/>
        </w:rPr>
        <w:t>P( </w:t>
      </w:r>
      <w:r>
        <w:rPr>
          <w:rFonts w:ascii="Arial"/>
          <w:i/>
          <w:color w:val="010101"/>
          <w:w w:val="150"/>
          <w:sz w:val="21"/>
        </w:rPr>
        <w:t>N.</w:t>
      </w:r>
      <w:r>
        <w:rPr>
          <w:rFonts w:ascii="Arial"/>
          <w:i/>
          <w:color w:val="010101"/>
          <w:spacing w:val="-51"/>
          <w:w w:val="150"/>
          <w:sz w:val="21"/>
        </w:rPr>
        <w:t> </w:t>
      </w:r>
      <w:r>
        <w:rPr>
          <w:rFonts w:ascii="Arial"/>
          <w:color w:val="010101"/>
          <w:w w:val="220"/>
          <w:sz w:val="21"/>
        </w:rPr>
        <w:t>-</w:t>
      </w:r>
      <w:r>
        <w:rPr>
          <w:rFonts w:ascii="Arial"/>
          <w:color w:val="010101"/>
          <w:spacing w:val="-86"/>
          <w:w w:val="220"/>
          <w:sz w:val="21"/>
        </w:rPr>
        <w:t> </w:t>
      </w:r>
      <w:r>
        <w:rPr>
          <w:rFonts w:ascii="Arial"/>
          <w:color w:val="010101"/>
          <w:spacing w:val="-13"/>
          <w:w w:val="135"/>
          <w:sz w:val="20"/>
        </w:rPr>
        <w:t>Nu) </w:t>
      </w:r>
      <w:r>
        <w:rPr>
          <w:rFonts w:ascii="Arial"/>
          <w:color w:val="010101"/>
          <w:w w:val="150"/>
          <w:sz w:val="20"/>
        </w:rPr>
        <w:t>I</w:t>
      </w:r>
    </w:p>
    <w:p>
      <w:pPr>
        <w:spacing w:line="186" w:lineRule="exact" w:before="0"/>
        <w:ind w:left="829" w:right="0" w:firstLine="0"/>
        <w:jc w:val="left"/>
        <w:rPr>
          <w:sz w:val="21"/>
        </w:rPr>
      </w:pPr>
      <w:r>
        <w:rPr>
          <w:color w:val="010101"/>
          <w:w w:val="105"/>
          <w:sz w:val="21"/>
        </w:rPr>
        <w:t>Du</w:t>
      </w:r>
    </w:p>
    <w:p>
      <w:pPr>
        <w:spacing w:after="0" w:line="186" w:lineRule="exact"/>
        <w:jc w:val="left"/>
        <w:rPr>
          <w:sz w:val="21"/>
        </w:rPr>
        <w:sectPr>
          <w:type w:val="continuous"/>
          <w:pgSz w:w="7200" w:h="11340"/>
          <w:pgMar w:top="1100" w:bottom="0" w:left="620" w:right="40"/>
        </w:sectPr>
      </w:pPr>
    </w:p>
    <w:p>
      <w:pPr>
        <w:pStyle w:val="BodyText"/>
        <w:rPr>
          <w:sz w:val="43"/>
        </w:rPr>
      </w:pPr>
    </w:p>
    <w:p>
      <w:pPr>
        <w:spacing w:before="1"/>
        <w:ind w:left="210" w:right="0" w:firstLine="0"/>
        <w:jc w:val="left"/>
        <w:rPr>
          <w:rFonts w:ascii="Arial" w:hAnsi="Arial"/>
          <w:i/>
          <w:sz w:val="20"/>
        </w:rPr>
      </w:pPr>
      <w:r>
        <w:rPr>
          <w:rFonts w:ascii="Arial" w:hAnsi="Arial"/>
          <w:color w:val="010101"/>
          <w:spacing w:val="-8"/>
          <w:w w:val="42"/>
          <w:sz w:val="48"/>
        </w:rPr>
        <w:t>3</w:t>
      </w:r>
      <w:r>
        <w:rPr>
          <w:rFonts w:ascii="Arial" w:hAnsi="Arial"/>
          <w:color w:val="010101"/>
          <w:w w:val="72"/>
          <w:sz w:val="48"/>
        </w:rPr>
        <w:t>.</w:t>
      </w:r>
      <w:r>
        <w:rPr>
          <w:rFonts w:ascii="Arial" w:hAnsi="Arial"/>
          <w:color w:val="010101"/>
          <w:spacing w:val="-88"/>
          <w:sz w:val="48"/>
        </w:rPr>
        <w:t> </w:t>
      </w:r>
      <w:r>
        <w:rPr>
          <w:rFonts w:ascii="Arial" w:hAnsi="Arial"/>
          <w:color w:val="010101"/>
          <w:spacing w:val="-30"/>
          <w:w w:val="98"/>
          <w:sz w:val="48"/>
        </w:rPr>
        <w:t>(</w:t>
      </w:r>
      <w:r>
        <w:rPr>
          <w:rFonts w:ascii="Arial" w:hAnsi="Arial"/>
          <w:color w:val="010101"/>
          <w:spacing w:val="4"/>
          <w:w w:val="59"/>
          <w:sz w:val="48"/>
        </w:rPr>
        <w:t>1</w:t>
      </w:r>
      <w:r>
        <w:rPr>
          <w:rFonts w:ascii="Arial" w:hAnsi="Arial"/>
          <w:color w:val="010101"/>
          <w:spacing w:val="-45"/>
          <w:w w:val="66"/>
          <w:sz w:val="48"/>
        </w:rPr>
        <w:t>+</w:t>
      </w:r>
      <w:r>
        <w:rPr>
          <w:rFonts w:ascii="Arial" w:hAnsi="Arial"/>
          <w:color w:val="010101"/>
          <w:spacing w:val="-272"/>
          <w:w w:val="208"/>
          <w:sz w:val="48"/>
        </w:rPr>
        <w:t>;</w:t>
      </w:r>
      <w:r>
        <w:rPr>
          <w:rFonts w:ascii="Arial" w:hAnsi="Arial"/>
          <w:color w:val="010101"/>
          <w:w w:val="66"/>
          <w:sz w:val="48"/>
        </w:rPr>
        <w:t>)</w:t>
      </w:r>
      <w:r>
        <w:rPr>
          <w:rFonts w:ascii="Arial" w:hAnsi="Arial"/>
          <w:color w:val="010101"/>
          <w:w w:val="66"/>
          <w:sz w:val="48"/>
        </w:rPr>
        <w:t>,</w:t>
      </w:r>
      <w:r>
        <w:rPr>
          <w:rFonts w:ascii="Arial" w:hAnsi="Arial"/>
          <w:color w:val="010101"/>
          <w:spacing w:val="-10"/>
          <w:w w:val="66"/>
          <w:sz w:val="48"/>
        </w:rPr>
        <w:t>V</w:t>
      </w:r>
      <w:r>
        <w:rPr>
          <w:rFonts w:ascii="Arial" w:hAnsi="Arial"/>
          <w:color w:val="010101"/>
          <w:spacing w:val="-94"/>
          <w:w w:val="134"/>
          <w:sz w:val="48"/>
        </w:rPr>
        <w:t>!</w:t>
      </w:r>
      <w:r>
        <w:rPr>
          <w:rFonts w:ascii="Arial" w:hAnsi="Arial"/>
          <w:color w:val="010101"/>
          <w:spacing w:val="-44"/>
          <w:w w:val="53"/>
          <w:sz w:val="48"/>
        </w:rPr>
        <w:t>,</w:t>
      </w:r>
      <w:r>
        <w:rPr>
          <w:rFonts w:ascii="Arial" w:hAnsi="Arial"/>
          <w:color w:val="010101"/>
          <w:w w:val="61"/>
          <w:sz w:val="48"/>
        </w:rPr>
        <w:t>;</w:t>
      </w:r>
      <w:r>
        <w:rPr>
          <w:rFonts w:ascii="Arial" w:hAnsi="Arial"/>
          <w:color w:val="010101"/>
          <w:spacing w:val="18"/>
          <w:w w:val="61"/>
          <w:sz w:val="48"/>
        </w:rPr>
        <w:t>¡</w:t>
      </w:r>
      <w:r>
        <w:rPr>
          <w:rFonts w:ascii="Arial" w:hAnsi="Arial"/>
          <w:color w:val="010101"/>
          <w:w w:val="70"/>
          <w:sz w:val="48"/>
        </w:rPr>
        <w:t>+</w:t>
      </w:r>
      <w:r>
        <w:rPr>
          <w:rFonts w:ascii="Arial" w:hAnsi="Arial"/>
          <w:color w:val="010101"/>
          <w:spacing w:val="-75"/>
          <w:sz w:val="48"/>
        </w:rPr>
        <w:t> </w:t>
      </w:r>
      <w:r>
        <w:rPr>
          <w:rFonts w:ascii="Arial" w:hAnsi="Arial"/>
          <w:i/>
          <w:color w:val="010101"/>
          <w:spacing w:val="-6"/>
          <w:w w:val="139"/>
          <w:sz w:val="20"/>
        </w:rPr>
        <w:t>,</w:t>
      </w:r>
      <w:r>
        <w:rPr>
          <w:rFonts w:ascii="Arial" w:hAnsi="Arial"/>
          <w:i/>
          <w:color w:val="010101"/>
          <w:spacing w:val="-6"/>
          <w:w w:val="105"/>
          <w:sz w:val="20"/>
        </w:rPr>
        <w:t>V</w:t>
      </w:r>
      <w:r>
        <w:rPr>
          <w:rFonts w:ascii="Arial" w:hAnsi="Arial"/>
          <w:i/>
          <w:color w:val="010101"/>
          <w:w w:val="132"/>
          <w:sz w:val="20"/>
        </w:rPr>
        <w:t>..</w:t>
      </w:r>
    </w:p>
    <w:p>
      <w:pPr>
        <w:spacing w:before="175"/>
        <w:ind w:left="210" w:right="-10" w:firstLine="0"/>
        <w:jc w:val="left"/>
        <w:rPr>
          <w:sz w:val="21"/>
        </w:rPr>
      </w:pPr>
      <w:r>
        <w:rPr/>
        <w:br w:type="column"/>
      </w:r>
      <w:r>
        <w:rPr>
          <w:color w:val="010101"/>
          <w:w w:val="95"/>
          <w:sz w:val="21"/>
        </w:rPr>
        <w:t>where</w:t>
      </w:r>
    </w:p>
    <w:p>
      <w:pPr>
        <w:spacing w:line="278" w:lineRule="exact" w:before="53"/>
        <w:ind w:left="210" w:right="0" w:firstLine="0"/>
        <w:jc w:val="left"/>
        <w:rPr>
          <w:rFonts w:ascii="Arial"/>
          <w:i/>
          <w:sz w:val="24"/>
        </w:rPr>
      </w:pPr>
      <w:r>
        <w:rPr/>
        <w:br w:type="column"/>
      </w:r>
      <w:r>
        <w:rPr>
          <w:i/>
          <w:color w:val="010101"/>
          <w:w w:val="105"/>
          <w:sz w:val="21"/>
        </w:rPr>
        <w:t>P  </w:t>
      </w:r>
      <w:r>
        <w:rPr>
          <w:color w:val="010101"/>
          <w:w w:val="105"/>
          <w:sz w:val="26"/>
        </w:rPr>
        <w:t>= </w:t>
      </w:r>
      <w:r>
        <w:rPr>
          <w:rFonts w:ascii="Arial"/>
          <w:i/>
          <w:color w:val="010101"/>
          <w:w w:val="125"/>
          <w:sz w:val="24"/>
          <w:u w:val="thick" w:color="000000"/>
        </w:rPr>
        <w:t>M. </w:t>
      </w:r>
      <w:r>
        <w:rPr>
          <w:rFonts w:ascii="Arial"/>
          <w:color w:val="010101"/>
          <w:w w:val="195"/>
          <w:sz w:val="24"/>
          <w:u w:val="thick" w:color="000000"/>
        </w:rPr>
        <w:t>-</w:t>
      </w:r>
      <w:r>
        <w:rPr>
          <w:rFonts w:ascii="Arial"/>
          <w:color w:val="010101"/>
          <w:spacing w:val="-66"/>
          <w:w w:val="195"/>
          <w:sz w:val="24"/>
          <w:u w:val="thick" w:color="000000"/>
        </w:rPr>
        <w:t> </w:t>
      </w:r>
      <w:r>
        <w:rPr>
          <w:rFonts w:ascii="Arial"/>
          <w:i/>
          <w:color w:val="010101"/>
          <w:w w:val="105"/>
          <w:sz w:val="24"/>
          <w:u w:val="thick" w:color="000000"/>
        </w:rPr>
        <w:t>Mu</w:t>
      </w:r>
    </w:p>
    <w:p>
      <w:pPr>
        <w:spacing w:line="232" w:lineRule="exact" w:before="0"/>
        <w:ind w:left="725" w:right="0" w:firstLine="0"/>
        <w:jc w:val="left"/>
        <w:rPr>
          <w:rFonts w:ascii="Arial"/>
          <w:b/>
          <w:i/>
          <w:sz w:val="21"/>
        </w:rPr>
      </w:pPr>
      <w:r>
        <w:rPr>
          <w:i/>
          <w:color w:val="010101"/>
          <w:sz w:val="22"/>
        </w:rPr>
        <w:t>Nto  </w:t>
      </w:r>
      <w:r>
        <w:rPr>
          <w:color w:val="010101"/>
          <w:w w:val="240"/>
          <w:sz w:val="22"/>
        </w:rPr>
        <w:t>-</w:t>
      </w:r>
      <w:r>
        <w:rPr>
          <w:color w:val="010101"/>
          <w:spacing w:val="-104"/>
          <w:w w:val="240"/>
          <w:sz w:val="22"/>
        </w:rPr>
        <w:t> </w:t>
      </w:r>
      <w:r>
        <w:rPr>
          <w:rFonts w:ascii="Arial"/>
          <w:b/>
          <w:i/>
          <w:color w:val="010101"/>
          <w:sz w:val="21"/>
        </w:rPr>
        <w:t>Na</w:t>
      </w:r>
    </w:p>
    <w:p>
      <w:pPr>
        <w:spacing w:after="0" w:line="232" w:lineRule="exact"/>
        <w:jc w:val="left"/>
        <w:rPr>
          <w:rFonts w:ascii="Arial"/>
          <w:sz w:val="21"/>
        </w:rPr>
        <w:sectPr>
          <w:type w:val="continuous"/>
          <w:pgSz w:w="7200" w:h="11340"/>
          <w:pgMar w:top="1100" w:bottom="0" w:left="620" w:right="40"/>
          <w:cols w:num="3" w:equalWidth="0">
            <w:col w:w="2419" w:space="877"/>
            <w:col w:w="708" w:space="197"/>
            <w:col w:w="2339"/>
          </w:cols>
        </w:sectPr>
      </w:pPr>
    </w:p>
    <w:p>
      <w:pPr>
        <w:pStyle w:val="BodyText"/>
        <w:spacing w:before="6"/>
        <w:rPr>
          <w:rFonts w:ascii="Arial"/>
          <w:b/>
          <w:i/>
          <w:sz w:val="13"/>
        </w:rPr>
      </w:pPr>
    </w:p>
    <w:p>
      <w:pPr>
        <w:spacing w:after="0"/>
        <w:rPr>
          <w:rFonts w:ascii="Arial"/>
          <w:sz w:val="13"/>
        </w:rPr>
        <w:sectPr>
          <w:type w:val="continuous"/>
          <w:pgSz w:w="7200" w:h="11340"/>
          <w:pgMar w:top="1100" w:bottom="0" w:left="620" w:right="40"/>
        </w:sectPr>
      </w:pPr>
    </w:p>
    <w:p>
      <w:pPr>
        <w:spacing w:line="184" w:lineRule="exact" w:before="78"/>
        <w:ind w:left="210" w:right="0" w:firstLine="0"/>
        <w:jc w:val="left"/>
        <w:rPr>
          <w:sz w:val="20"/>
        </w:rPr>
      </w:pPr>
      <w:r>
        <w:rPr>
          <w:color w:val="010101"/>
          <w:w w:val="96"/>
          <w:sz w:val="21"/>
        </w:rPr>
        <w:t>4.</w:t>
      </w:r>
      <w:r>
        <w:rPr>
          <w:color w:val="010101"/>
          <w:sz w:val="21"/>
        </w:rPr>
        <w:t> </w:t>
      </w:r>
      <w:r>
        <w:rPr>
          <w:color w:val="010101"/>
          <w:spacing w:val="5"/>
          <w:sz w:val="21"/>
        </w:rPr>
        <w:t> </w:t>
      </w:r>
      <w:r>
        <w:rPr>
          <w:color w:val="010101"/>
          <w:spacing w:val="-36"/>
          <w:w w:val="163"/>
          <w:sz w:val="21"/>
        </w:rPr>
        <w:t>_</w:t>
      </w:r>
      <w:r>
        <w:rPr>
          <w:color w:val="010101"/>
          <w:spacing w:val="-40"/>
          <w:w w:val="140"/>
          <w:sz w:val="21"/>
        </w:rPr>
        <w:t>l</w:t>
      </w:r>
      <w:r>
        <w:rPr>
          <w:color w:val="010101"/>
          <w:w w:val="166"/>
          <w:sz w:val="21"/>
        </w:rPr>
        <w:t>_</w:t>
      </w:r>
      <w:r>
        <w:rPr>
          <w:color w:val="010101"/>
          <w:sz w:val="21"/>
        </w:rPr>
        <w:t> </w:t>
      </w:r>
      <w:r>
        <w:rPr>
          <w:color w:val="010101"/>
          <w:spacing w:val="-8"/>
          <w:sz w:val="21"/>
        </w:rPr>
        <w:t> </w:t>
      </w:r>
      <w:r>
        <w:rPr>
          <w:color w:val="010101"/>
          <w:w w:val="135"/>
          <w:sz w:val="20"/>
        </w:rPr>
        <w:t>{</w:t>
      </w:r>
      <w:r>
        <w:rPr>
          <w:color w:val="010101"/>
          <w:spacing w:val="-45"/>
          <w:w w:val="136"/>
          <w:sz w:val="20"/>
        </w:rPr>
        <w:t>.</w:t>
      </w:r>
      <w:r>
        <w:rPr>
          <w:color w:val="010101"/>
          <w:spacing w:val="-92"/>
          <w:w w:val="139"/>
          <w:sz w:val="20"/>
        </w:rPr>
        <w:t>P</w:t>
      </w:r>
      <w:r>
        <w:rPr>
          <w:color w:val="010101"/>
          <w:spacing w:val="-150"/>
          <w:w w:val="313"/>
          <w:sz w:val="20"/>
        </w:rPr>
        <w:t>.</w:t>
      </w:r>
      <w:r>
        <w:rPr>
          <w:color w:val="010101"/>
          <w:w w:val="127"/>
          <w:sz w:val="20"/>
        </w:rPr>
        <w:t>(</w:t>
      </w:r>
      <w:r>
        <w:rPr>
          <w:color w:val="010101"/>
          <w:w w:val="127"/>
          <w:sz w:val="20"/>
        </w:rPr>
        <w:t>N.</w:t>
      </w:r>
      <w:r>
        <w:rPr>
          <w:color w:val="010101"/>
          <w:spacing w:val="9"/>
          <w:sz w:val="20"/>
        </w:rPr>
        <w:t> </w:t>
      </w:r>
      <w:r>
        <w:rPr>
          <w:color w:val="010101"/>
          <w:w w:val="273"/>
          <w:sz w:val="20"/>
        </w:rPr>
        <w:t>-</w:t>
      </w:r>
      <w:r>
        <w:rPr>
          <w:color w:val="010101"/>
          <w:spacing w:val="-8"/>
          <w:sz w:val="20"/>
        </w:rPr>
        <w:t> </w:t>
      </w:r>
      <w:r>
        <w:rPr>
          <w:rFonts w:ascii="Arial"/>
          <w:i/>
          <w:color w:val="010101"/>
          <w:w w:val="135"/>
          <w:sz w:val="20"/>
        </w:rPr>
        <w:t>N</w:t>
      </w:r>
      <w:r>
        <w:rPr>
          <w:rFonts w:ascii="Arial"/>
          <w:i/>
          <w:color w:val="010101"/>
          <w:spacing w:val="-25"/>
          <w:w w:val="135"/>
          <w:sz w:val="20"/>
        </w:rPr>
        <w:t>.</w:t>
      </w:r>
      <w:r>
        <w:rPr>
          <w:rFonts w:ascii="Arial"/>
          <w:i/>
          <w:color w:val="010101"/>
          <w:w w:val="83"/>
          <w:sz w:val="20"/>
        </w:rPr>
        <w:t>+,&gt;</w:t>
      </w:r>
      <w:r>
        <w:rPr>
          <w:rFonts w:ascii="Arial"/>
          <w:i/>
          <w:color w:val="010101"/>
          <w:sz w:val="20"/>
        </w:rPr>
        <w:t> </w:t>
      </w:r>
      <w:r>
        <w:rPr>
          <w:rFonts w:ascii="Arial"/>
          <w:i/>
          <w:color w:val="010101"/>
          <w:spacing w:val="-10"/>
          <w:sz w:val="20"/>
        </w:rPr>
        <w:t> </w:t>
      </w:r>
      <w:r>
        <w:rPr>
          <w:rFonts w:ascii="Arial"/>
          <w:color w:val="010101"/>
          <w:w w:val="260"/>
          <w:sz w:val="20"/>
        </w:rPr>
        <w:t>-</w:t>
      </w:r>
      <w:r>
        <w:rPr>
          <w:rFonts w:ascii="Arial"/>
          <w:color w:val="010101"/>
          <w:spacing w:val="24"/>
          <w:sz w:val="20"/>
        </w:rPr>
        <w:t> </w:t>
      </w:r>
      <w:r>
        <w:rPr>
          <w:rFonts w:ascii="Arial"/>
          <w:i/>
          <w:color w:val="010101"/>
          <w:w w:val="79"/>
          <w:sz w:val="20"/>
        </w:rPr>
        <w:t>(</w:t>
      </w:r>
      <w:r>
        <w:rPr>
          <w:rFonts w:ascii="Arial"/>
          <w:i/>
          <w:color w:val="010101"/>
          <w:spacing w:val="-34"/>
          <w:sz w:val="20"/>
        </w:rPr>
        <w:t> </w:t>
      </w:r>
      <w:r>
        <w:rPr>
          <w:rFonts w:ascii="Arial"/>
          <w:i/>
          <w:color w:val="010101"/>
          <w:w w:val="135"/>
          <w:sz w:val="20"/>
        </w:rPr>
        <w:t>M.</w:t>
      </w:r>
      <w:r>
        <w:rPr>
          <w:rFonts w:ascii="Arial"/>
          <w:i/>
          <w:color w:val="010101"/>
          <w:spacing w:val="-4"/>
          <w:sz w:val="20"/>
        </w:rPr>
        <w:t> </w:t>
      </w:r>
      <w:r>
        <w:rPr>
          <w:rFonts w:ascii="Arial"/>
          <w:color w:val="010101"/>
          <w:w w:val="267"/>
          <w:sz w:val="20"/>
        </w:rPr>
        <w:t>-</w:t>
      </w:r>
      <w:r>
        <w:rPr>
          <w:rFonts w:ascii="Arial"/>
          <w:color w:val="010101"/>
          <w:spacing w:val="-2"/>
          <w:sz w:val="20"/>
        </w:rPr>
        <w:t> </w:t>
      </w:r>
      <w:r>
        <w:rPr>
          <w:color w:val="010101"/>
          <w:w w:val="123"/>
          <w:sz w:val="20"/>
        </w:rPr>
        <w:t>M.</w:t>
      </w:r>
      <w:r>
        <w:rPr>
          <w:color w:val="010101"/>
          <w:w w:val="107"/>
          <w:sz w:val="20"/>
        </w:rPr>
        <w:t>H</w:t>
      </w:r>
      <w:r>
        <w:rPr>
          <w:color w:val="010101"/>
          <w:w w:val="107"/>
          <w:sz w:val="20"/>
        </w:rPr>
        <w:t>)</w:t>
      </w:r>
      <w:r>
        <w:rPr>
          <w:color w:val="010101"/>
          <w:w w:val="107"/>
          <w:sz w:val="20"/>
        </w:rPr>
        <w:t>}</w:t>
      </w:r>
    </w:p>
    <w:p>
      <w:pPr>
        <w:spacing w:line="196" w:lineRule="exact" w:before="0"/>
        <w:ind w:left="449" w:right="0" w:firstLine="0"/>
        <w:jc w:val="left"/>
        <w:rPr>
          <w:i/>
          <w:sz w:val="22"/>
        </w:rPr>
      </w:pPr>
      <w:r>
        <w:rPr>
          <w:i/>
          <w:color w:val="010101"/>
          <w:w w:val="155"/>
          <w:sz w:val="22"/>
        </w:rPr>
        <w:t>D,</w:t>
      </w:r>
    </w:p>
    <w:p>
      <w:pPr>
        <w:tabs>
          <w:tab w:pos="857" w:val="left" w:leader="none"/>
          <w:tab w:pos="1237" w:val="left" w:leader="none"/>
        </w:tabs>
        <w:spacing w:before="76"/>
        <w:ind w:left="210" w:right="0" w:firstLine="0"/>
        <w:jc w:val="left"/>
        <w:rPr>
          <w:i/>
          <w:sz w:val="20"/>
        </w:rPr>
      </w:pPr>
      <w:r>
        <w:rPr/>
        <w:br w:type="column"/>
      </w:r>
      <w:r>
        <w:rPr>
          <w:color w:val="010101"/>
          <w:w w:val="110"/>
          <w:sz w:val="20"/>
        </w:rPr>
        <w:t>for</w:t>
        <w:tab/>
      </w:r>
      <w:r>
        <w:rPr>
          <w:i/>
          <w:color w:val="010101"/>
          <w:w w:val="110"/>
          <w:sz w:val="22"/>
        </w:rPr>
        <w:t>t</w:t>
        <w:tab/>
      </w:r>
      <w:r>
        <w:rPr>
          <w:i/>
          <w:color w:val="010101"/>
          <w:w w:val="110"/>
          <w:sz w:val="20"/>
        </w:rPr>
        <w:t>n</w:t>
      </w:r>
    </w:p>
    <w:p>
      <w:pPr>
        <w:spacing w:after="0"/>
        <w:jc w:val="left"/>
        <w:rPr>
          <w:sz w:val="20"/>
        </w:rPr>
        <w:sectPr>
          <w:type w:val="continuous"/>
          <w:pgSz w:w="7200" w:h="11340"/>
          <w:pgMar w:top="1100" w:bottom="0" w:left="620" w:right="40"/>
          <w:cols w:num="2" w:equalWidth="0">
            <w:col w:w="4038" w:space="195"/>
            <w:col w:w="2307"/>
          </w:cols>
        </w:sectPr>
      </w:pPr>
    </w:p>
    <w:p>
      <w:pPr>
        <w:tabs>
          <w:tab w:pos="2663" w:val="left" w:leader="none"/>
          <w:tab w:pos="5938" w:val="right" w:leader="none"/>
        </w:tabs>
        <w:spacing w:before="52"/>
        <w:ind w:left="197" w:right="0" w:firstLine="0"/>
        <w:jc w:val="left"/>
        <w:rPr>
          <w:sz w:val="21"/>
        </w:rPr>
      </w:pPr>
      <w:r>
        <w:rPr>
          <w:position w:val="2"/>
          <w:sz w:val="16"/>
        </w:rPr>
        <w:t>CH. </w:t>
      </w:r>
      <w:r>
        <w:rPr>
          <w:spacing w:val="14"/>
          <w:position w:val="2"/>
          <w:sz w:val="16"/>
        </w:rPr>
        <w:t> </w:t>
      </w:r>
      <w:r>
        <w:rPr>
          <w:rFonts w:ascii="Arial"/>
          <w:position w:val="2"/>
          <w:sz w:val="19"/>
        </w:rPr>
        <w:t>5)</w:t>
        <w:tab/>
      </w:r>
      <w:r>
        <w:rPr>
          <w:b/>
          <w:sz w:val="15"/>
        </w:rPr>
        <w:t>ANSWERS</w:t>
      </w:r>
      <w:r>
        <w:rPr>
          <w:position w:val="-1"/>
          <w:sz w:val="21"/>
        </w:rPr>
        <w:tab/>
        <w:t>357</w:t>
      </w:r>
    </w:p>
    <w:p>
      <w:pPr>
        <w:pStyle w:val="BodyText"/>
        <w:spacing w:before="10"/>
      </w:pPr>
    </w:p>
    <w:p>
      <w:pPr>
        <w:tabs>
          <w:tab w:pos="5193" w:val="left" w:leader="none"/>
        </w:tabs>
        <w:spacing w:before="0"/>
        <w:ind w:left="503" w:right="0" w:firstLine="0"/>
        <w:jc w:val="left"/>
        <w:rPr>
          <w:i/>
          <w:sz w:val="21"/>
        </w:rPr>
      </w:pPr>
      <w:r>
        <w:rPr>
          <w:position w:val="-13"/>
        </w:rPr>
        <w:drawing>
          <wp:inline distT="0" distB="0" distL="0" distR="0">
            <wp:extent cx="2304288" cy="292607"/>
            <wp:effectExtent l="0" t="0" r="0" b="0"/>
            <wp:docPr id="833" name="image426.png" descr=""/>
            <wp:cNvGraphicFramePr>
              <a:graphicFrameLocks noChangeAspect="1"/>
            </wp:cNvGraphicFramePr>
            <a:graphic>
              <a:graphicData uri="http://schemas.openxmlformats.org/drawingml/2006/picture">
                <pic:pic>
                  <pic:nvPicPr>
                    <pic:cNvPr id="834" name="image426.png"/>
                    <pic:cNvPicPr/>
                  </pic:nvPicPr>
                  <pic:blipFill>
                    <a:blip r:embed="rId430" cstate="print"/>
                    <a:stretch>
                      <a:fillRect/>
                    </a:stretch>
                  </pic:blipFill>
                  <pic:spPr>
                    <a:xfrm>
                      <a:off x="0" y="0"/>
                      <a:ext cx="2304288" cy="292607"/>
                    </a:xfrm>
                    <a:prstGeom prst="rect">
                      <a:avLst/>
                    </a:prstGeom>
                  </pic:spPr>
                </pic:pic>
              </a:graphicData>
            </a:graphic>
          </wp:inline>
        </w:drawing>
      </w:r>
      <w:r>
        <w:rPr>
          <w:position w:val="-13"/>
        </w:rPr>
      </w:r>
      <w:r>
        <w:rPr>
          <w:position w:val="1"/>
          <w:sz w:val="20"/>
        </w:rPr>
        <w:t>       </w:t>
      </w:r>
      <w:r>
        <w:rPr>
          <w:position w:val="1"/>
          <w:sz w:val="21"/>
        </w:rPr>
        <w:t>for</w:t>
        <w:tab/>
      </w:r>
      <w:r>
        <w:rPr>
          <w:i/>
          <w:sz w:val="23"/>
        </w:rPr>
        <w:t>t </w:t>
      </w:r>
      <w:r>
        <w:rPr>
          <w:sz w:val="26"/>
        </w:rPr>
        <w:t>&gt;</w:t>
      </w:r>
      <w:r>
        <w:rPr>
          <w:spacing w:val="64"/>
          <w:sz w:val="26"/>
        </w:rPr>
        <w:t> </w:t>
      </w:r>
      <w:r>
        <w:rPr>
          <w:i/>
          <w:sz w:val="21"/>
        </w:rPr>
        <w:t>n</w:t>
      </w:r>
    </w:p>
    <w:p>
      <w:pPr>
        <w:spacing w:line="250" w:lineRule="exact" w:before="144"/>
        <w:ind w:left="280" w:right="0" w:firstLine="0"/>
        <w:jc w:val="left"/>
        <w:rPr>
          <w:sz w:val="22"/>
        </w:rPr>
      </w:pPr>
      <w:r>
        <w:rPr>
          <w:w w:val="105"/>
          <w:sz w:val="17"/>
        </w:rPr>
        <w:t>Q. </w:t>
      </w:r>
      <w:r>
        <w:rPr>
          <w:w w:val="125"/>
          <w:sz w:val="20"/>
        </w:rPr>
        <w:t>(b) </w:t>
      </w:r>
      <w:r>
        <w:rPr>
          <w:w w:val="85"/>
          <w:sz w:val="22"/>
          <w:u w:val="single"/>
        </w:rPr>
        <w:t>11</w:t>
      </w:r>
      <w:r>
        <w:rPr>
          <w:w w:val="85"/>
          <w:sz w:val="22"/>
        </w:rPr>
        <w:t>V61:ioJ </w:t>
      </w:r>
      <w:r>
        <w:rPr>
          <w:w w:val="165"/>
          <w:sz w:val="22"/>
        </w:rPr>
        <w:t>-</w:t>
      </w:r>
      <w:r>
        <w:rPr>
          <w:spacing w:val="-75"/>
          <w:w w:val="165"/>
          <w:sz w:val="22"/>
        </w:rPr>
        <w:t> </w:t>
      </w:r>
      <w:r>
        <w:rPr>
          <w:spacing w:val="-4"/>
          <w:w w:val="105"/>
          <w:sz w:val="22"/>
        </w:rPr>
        <w:t>,Vu:iol</w:t>
      </w:r>
    </w:p>
    <w:p>
      <w:pPr>
        <w:spacing w:line="261" w:lineRule="exact" w:before="0"/>
        <w:ind w:left="193" w:right="0" w:firstLine="961"/>
        <w:jc w:val="left"/>
        <w:rPr>
          <w:sz w:val="23"/>
        </w:rPr>
      </w:pPr>
      <w:r>
        <w:rPr>
          <w:w w:val="129"/>
          <w:sz w:val="21"/>
        </w:rPr>
        <w:t>1</w:t>
      </w:r>
      <w:r>
        <w:rPr>
          <w:spacing w:val="-12"/>
          <w:sz w:val="21"/>
        </w:rPr>
        <w:t> </w:t>
      </w:r>
      <w:r>
        <w:rPr>
          <w:w w:val="275"/>
          <w:sz w:val="21"/>
        </w:rPr>
        <w:t>-</w:t>
      </w:r>
      <w:r>
        <w:rPr>
          <w:spacing w:val="-5"/>
          <w:sz w:val="21"/>
        </w:rPr>
        <w:t> </w:t>
      </w:r>
      <w:r>
        <w:rPr>
          <w:rFonts w:ascii="Arial"/>
          <w:i/>
          <w:spacing w:val="-26"/>
          <w:w w:val="175"/>
          <w:sz w:val="20"/>
        </w:rPr>
        <w:t>,</w:t>
      </w:r>
      <w:r>
        <w:rPr>
          <w:rFonts w:ascii="Arial"/>
          <w:i/>
          <w:spacing w:val="-9"/>
          <w:w w:val="108"/>
          <w:sz w:val="20"/>
        </w:rPr>
        <w:t>V</w:t>
      </w:r>
      <w:r>
        <w:rPr>
          <w:w w:val="111"/>
          <w:sz w:val="23"/>
        </w:rPr>
        <w:t>a</w:t>
      </w:r>
      <w:r>
        <w:rPr>
          <w:spacing w:val="-28"/>
          <w:w w:val="111"/>
          <w:sz w:val="23"/>
        </w:rPr>
        <w:t>:</w:t>
      </w:r>
      <w:r>
        <w:rPr>
          <w:w w:val="66"/>
          <w:sz w:val="23"/>
        </w:rPr>
        <w:t>ioJ</w:t>
      </w:r>
    </w:p>
    <w:p>
      <w:pPr>
        <w:spacing w:line="364" w:lineRule="exact" w:before="8"/>
        <w:ind w:left="193" w:right="0" w:firstLine="0"/>
        <w:jc w:val="left"/>
        <w:rPr>
          <w:sz w:val="20"/>
        </w:rPr>
      </w:pPr>
      <w:r>
        <w:rPr>
          <w:spacing w:val="-54"/>
          <w:w w:val="129"/>
          <w:position w:val="-10"/>
          <w:sz w:val="20"/>
        </w:rPr>
        <w:t>1</w:t>
      </w:r>
      <w:r>
        <w:rPr>
          <w:spacing w:val="2"/>
          <w:w w:val="106"/>
          <w:position w:val="-10"/>
          <w:sz w:val="20"/>
        </w:rPr>
        <w:t>4</w:t>
      </w:r>
      <w:r>
        <w:rPr>
          <w:w w:val="29"/>
          <w:sz w:val="20"/>
        </w:rPr>
        <w:t>_</w:t>
      </w:r>
      <w:r>
        <w:rPr>
          <w:sz w:val="20"/>
        </w:rPr>
        <w:t> </w:t>
      </w:r>
      <w:r>
        <w:rPr>
          <w:spacing w:val="18"/>
          <w:sz w:val="20"/>
        </w:rPr>
        <w:t> </w:t>
      </w:r>
      <w:r>
        <w:rPr>
          <w:rFonts w:ascii="Arial"/>
          <w:i/>
          <w:spacing w:val="-32"/>
          <w:w w:val="91"/>
          <w:sz w:val="21"/>
        </w:rPr>
        <w:t>(</w:t>
      </w:r>
      <w:r>
        <w:rPr>
          <w:rFonts w:ascii="Arial"/>
          <w:i/>
          <w:spacing w:val="3"/>
          <w:w w:val="99"/>
          <w:sz w:val="21"/>
          <w:u w:val="single"/>
        </w:rPr>
        <w:t> </w:t>
      </w:r>
      <w:r>
        <w:rPr>
          <w:rFonts w:ascii="Arial"/>
          <w:i/>
          <w:spacing w:val="-18"/>
          <w:w w:val="110"/>
          <w:sz w:val="21"/>
        </w:rPr>
        <w:t>,</w:t>
      </w:r>
      <w:r>
        <w:rPr>
          <w:rFonts w:ascii="Arial"/>
          <w:i/>
          <w:w w:val="114"/>
          <w:sz w:val="21"/>
        </w:rPr>
        <w:t>R.</w:t>
      </w:r>
      <w:r>
        <w:rPr>
          <w:rFonts w:ascii="Arial"/>
          <w:i/>
          <w:spacing w:val="-5"/>
          <w:sz w:val="21"/>
        </w:rPr>
        <w:t> </w:t>
      </w:r>
      <w:r>
        <w:rPr>
          <w:rFonts w:ascii="Arial"/>
          <w:w w:val="249"/>
          <w:sz w:val="21"/>
        </w:rPr>
        <w:t>-</w:t>
      </w:r>
      <w:r>
        <w:rPr>
          <w:rFonts w:ascii="Arial"/>
          <w:spacing w:val="18"/>
          <w:sz w:val="21"/>
        </w:rPr>
        <w:t> </w:t>
      </w:r>
      <w:r>
        <w:rPr>
          <w:w w:val="128"/>
          <w:sz w:val="20"/>
        </w:rPr>
        <w:t>1)(1</w:t>
      </w:r>
      <w:r>
        <w:rPr>
          <w:spacing w:val="-16"/>
          <w:sz w:val="20"/>
        </w:rPr>
        <w:t> </w:t>
      </w:r>
      <w:r>
        <w:rPr>
          <w:rFonts w:ascii="Arial"/>
          <w:w w:val="105"/>
          <w:sz w:val="31"/>
        </w:rPr>
        <w:t>+</w:t>
      </w:r>
      <w:r>
        <w:rPr>
          <w:rFonts w:ascii="Arial"/>
          <w:spacing w:val="-30"/>
          <w:sz w:val="31"/>
        </w:rPr>
        <w:t> </w:t>
      </w:r>
      <w:r>
        <w:rPr>
          <w:w w:val="134"/>
          <w:sz w:val="20"/>
        </w:rPr>
        <w:t>i</w:t>
      </w:r>
      <w:r>
        <w:rPr>
          <w:w w:val="134"/>
          <w:sz w:val="20"/>
        </w:rPr>
        <w:t>)</w:t>
      </w:r>
    </w:p>
    <w:p>
      <w:pPr>
        <w:spacing w:line="277" w:lineRule="exact" w:before="0"/>
        <w:ind w:left="762" w:right="0" w:firstLine="0"/>
        <w:jc w:val="left"/>
        <w:rPr>
          <w:sz w:val="28"/>
        </w:rPr>
      </w:pPr>
      <w:r>
        <w:rPr>
          <w:rFonts w:ascii="Arial"/>
          <w:w w:val="85"/>
          <w:sz w:val="16"/>
        </w:rPr>
        <w:t>P:r+a </w:t>
      </w:r>
      <w:r>
        <w:rPr>
          <w:rFonts w:ascii="Arial"/>
          <w:w w:val="85"/>
          <w:sz w:val="31"/>
        </w:rPr>
        <w:t>+</w:t>
      </w:r>
      <w:r>
        <w:rPr>
          <w:rFonts w:ascii="Arial"/>
          <w:spacing w:val="-60"/>
          <w:w w:val="85"/>
          <w:sz w:val="31"/>
        </w:rPr>
        <w:t> </w:t>
      </w:r>
      <w:r>
        <w:rPr>
          <w:w w:val="85"/>
          <w:sz w:val="28"/>
        </w:rPr>
        <w:t>h.z+e</w:t>
      </w:r>
    </w:p>
    <w:p>
      <w:pPr>
        <w:spacing w:before="58"/>
        <w:ind w:left="186" w:right="0" w:firstLine="0"/>
        <w:jc w:val="left"/>
        <w:rPr>
          <w:sz w:val="21"/>
        </w:rPr>
      </w:pPr>
      <w:r>
        <w:rPr/>
        <w:pict>
          <v:shape style="position:absolute;margin-left:40.32pt;margin-top:15.837568pt;width:147.6pt;height:22.6pt;mso-position-horizontal-relative:page;mso-position-vertical-relative:paragraph;z-index:-707608" type="#_x0000_t202" filled="false" stroked="false">
            <v:textbox inset="0,0,0,0">
              <w:txbxContent>
                <w:p>
                  <w:pPr>
                    <w:tabs>
                      <w:tab w:pos="1209" w:val="left" w:leader="none"/>
                      <w:tab w:pos="1738" w:val="left" w:leader="none"/>
                    </w:tabs>
                    <w:spacing w:line="452" w:lineRule="exact" w:before="0"/>
                    <w:ind w:left="0" w:right="0" w:firstLine="0"/>
                    <w:jc w:val="left"/>
                    <w:rPr>
                      <w:sz w:val="45"/>
                    </w:rPr>
                  </w:pPr>
                  <w:r>
                    <w:rPr>
                      <w:spacing w:val="-24"/>
                      <w:w w:val="125"/>
                      <w:position w:val="-4"/>
                      <w:sz w:val="20"/>
                    </w:rPr>
                    <w:t>1</w:t>
                  </w:r>
                  <w:r>
                    <w:rPr>
                      <w:spacing w:val="-24"/>
                      <w:w w:val="125"/>
                      <w:sz w:val="20"/>
                    </w:rPr>
                    <w:t>7   </w:t>
                  </w:r>
                  <w:r>
                    <w:rPr>
                      <w:w w:val="125"/>
                      <w:sz w:val="20"/>
                    </w:rPr>
                    <w:t>(</w:t>
                  </w:r>
                  <w:r>
                    <w:rPr>
                      <w:spacing w:val="56"/>
                      <w:w w:val="125"/>
                      <w:sz w:val="20"/>
                    </w:rPr>
                    <w:t> </w:t>
                  </w:r>
                  <w:r>
                    <w:rPr>
                      <w:w w:val="105"/>
                      <w:sz w:val="20"/>
                    </w:rPr>
                    <w:t>) </w:t>
                  </w:r>
                  <w:r>
                    <w:rPr>
                      <w:spacing w:val="47"/>
                      <w:w w:val="105"/>
                      <w:sz w:val="20"/>
                    </w:rPr>
                    <w:t> </w:t>
                  </w:r>
                  <w:r>
                    <w:rPr>
                      <w:i/>
                      <w:w w:val="105"/>
                      <w:sz w:val="32"/>
                    </w:rPr>
                    <w:t>vi</w:t>
                    <w:tab/>
                  </w:r>
                  <w:r>
                    <w:rPr>
                      <w:w w:val="125"/>
                      <w:sz w:val="32"/>
                    </w:rPr>
                    <w:t>(</w:t>
                    <w:tab/>
                  </w:r>
                  <w:r>
                    <w:rPr>
                      <w:rFonts w:ascii="Arial" w:hAnsi="Arial"/>
                      <w:i/>
                      <w:w w:val="125"/>
                      <w:sz w:val="18"/>
                    </w:rPr>
                    <w:t>m</w:t>
                  </w:r>
                  <w:r>
                    <w:rPr>
                      <w:rFonts w:ascii="Arial" w:hAnsi="Arial"/>
                      <w:i/>
                      <w:spacing w:val="-28"/>
                      <w:w w:val="125"/>
                      <w:sz w:val="18"/>
                    </w:rPr>
                    <w:t> </w:t>
                  </w:r>
                  <w:r>
                    <w:rPr>
                      <w:rFonts w:ascii="Arial" w:hAnsi="Arial"/>
                      <w:w w:val="265"/>
                      <w:sz w:val="18"/>
                    </w:rPr>
                    <w:t>-</w:t>
                  </w:r>
                  <w:r>
                    <w:rPr>
                      <w:rFonts w:ascii="Arial" w:hAnsi="Arial"/>
                      <w:spacing w:val="-101"/>
                      <w:w w:val="265"/>
                      <w:sz w:val="18"/>
                    </w:rPr>
                    <w:t> </w:t>
                  </w:r>
                  <w:r>
                    <w:rPr>
                      <w:w w:val="125"/>
                      <w:sz w:val="20"/>
                    </w:rPr>
                    <w:t>1</w:t>
                  </w:r>
                  <w:r>
                    <w:rPr>
                      <w:spacing w:val="6"/>
                      <w:w w:val="125"/>
                      <w:sz w:val="20"/>
                    </w:rPr>
                    <w:t> </w:t>
                  </w:r>
                  <w:r>
                    <w:rPr>
                      <w:spacing w:val="-4"/>
                      <w:w w:val="75"/>
                      <w:sz w:val="45"/>
                    </w:rPr>
                    <w:t>1(•))</w:t>
                  </w:r>
                </w:p>
              </w:txbxContent>
            </v:textbox>
            <w10:wrap type="none"/>
          </v:shape>
        </w:pict>
      </w:r>
      <w:r>
        <w:rPr>
          <w:sz w:val="21"/>
        </w:rPr>
        <w:t>16.   .0604, .0600,  .0607, .0607.</w:t>
      </w:r>
    </w:p>
    <w:p>
      <w:pPr>
        <w:tabs>
          <w:tab w:pos="2203" w:val="left" w:leader="none"/>
        </w:tabs>
        <w:spacing w:before="178"/>
        <w:ind w:left="0" w:right="2712" w:firstLine="0"/>
        <w:jc w:val="center"/>
        <w:rPr>
          <w:sz w:val="15"/>
        </w:rPr>
      </w:pPr>
      <w:r>
        <w:rPr>
          <w:rFonts w:ascii="Arial"/>
          <w:w w:val="155"/>
          <w:sz w:val="18"/>
        </w:rPr>
        <w:t>.  </w:t>
      </w:r>
      <w:r>
        <w:rPr>
          <w:rFonts w:ascii="Arial"/>
          <w:w w:val="130"/>
          <w:sz w:val="18"/>
        </w:rPr>
        <w:t>a   </w:t>
      </w:r>
      <w:r>
        <w:rPr>
          <w:rFonts w:ascii="Arial"/>
          <w:w w:val="195"/>
          <w:sz w:val="18"/>
        </w:rPr>
        <w:t>,</w:t>
      </w:r>
      <w:r>
        <w:rPr>
          <w:rFonts w:ascii="Arial"/>
          <w:spacing w:val="-57"/>
          <w:w w:val="195"/>
          <w:sz w:val="18"/>
        </w:rPr>
        <w:t> </w:t>
      </w:r>
      <w:r>
        <w:rPr>
          <w:w w:val="130"/>
          <w:sz w:val="15"/>
        </w:rPr>
        <w:t>s:il  </w:t>
      </w:r>
      <w:r>
        <w:rPr>
          <w:spacing w:val="41"/>
          <w:w w:val="130"/>
          <w:sz w:val="15"/>
        </w:rPr>
        <w:t> </w:t>
      </w:r>
      <w:r>
        <w:rPr>
          <w:spacing w:val="9"/>
          <w:w w:val="130"/>
          <w:sz w:val="21"/>
        </w:rPr>
        <w:t>1</w:t>
      </w:r>
      <w:r>
        <w:rPr>
          <w:rFonts w:ascii="Arial"/>
          <w:spacing w:val="9"/>
          <w:w w:val="130"/>
          <w:sz w:val="31"/>
        </w:rPr>
        <w:t>+</w:t>
        <w:tab/>
      </w:r>
      <w:r>
        <w:rPr>
          <w:w w:val="130"/>
          <w:sz w:val="15"/>
        </w:rPr>
        <w:t>ps:;;J</w:t>
      </w:r>
    </w:p>
    <w:p>
      <w:pPr>
        <w:spacing w:before="115"/>
        <w:ind w:left="481" w:right="0" w:firstLine="0"/>
        <w:jc w:val="left"/>
        <w:rPr>
          <w:sz w:val="22"/>
        </w:rPr>
      </w:pPr>
      <w:r>
        <w:rPr>
          <w:rFonts w:ascii="Arial" w:hAnsi="Arial"/>
          <w:w w:val="115"/>
          <w:sz w:val="20"/>
        </w:rPr>
        <w:t>(</w:t>
      </w:r>
      <w:r>
        <w:rPr>
          <w:rFonts w:ascii="Arial" w:hAnsi="Arial"/>
          <w:w w:val="115"/>
          <w:sz w:val="20"/>
        </w:rPr>
        <w:t>b</w:t>
      </w:r>
      <w:r>
        <w:rPr>
          <w:rFonts w:ascii="Arial" w:hAnsi="Arial"/>
          <w:w w:val="115"/>
          <w:sz w:val="20"/>
        </w:rPr>
        <w:t>)</w:t>
      </w:r>
      <w:r>
        <w:rPr>
          <w:rFonts w:ascii="Arial" w:hAnsi="Arial"/>
          <w:sz w:val="20"/>
        </w:rPr>
        <w:t> </w:t>
      </w:r>
      <w:r>
        <w:rPr>
          <w:rFonts w:ascii="Arial" w:hAnsi="Arial"/>
          <w:spacing w:val="-14"/>
          <w:sz w:val="20"/>
        </w:rPr>
        <w:t> </w:t>
      </w:r>
      <w:r>
        <w:rPr>
          <w:i/>
          <w:w w:val="101"/>
          <w:sz w:val="28"/>
        </w:rPr>
        <w:t>!V.</w:t>
      </w:r>
      <w:r>
        <w:rPr>
          <w:i/>
          <w:spacing w:val="-40"/>
          <w:sz w:val="28"/>
        </w:rPr>
        <w:t> </w:t>
      </w:r>
      <w:r>
        <w:rPr>
          <w:rFonts w:ascii="Arial" w:hAnsi="Arial"/>
          <w:w w:val="107"/>
          <w:sz w:val="31"/>
        </w:rPr>
        <w:t>+</w:t>
      </w:r>
      <w:r>
        <w:rPr>
          <w:rFonts w:ascii="Arial" w:hAnsi="Arial"/>
          <w:spacing w:val="-26"/>
          <w:sz w:val="31"/>
        </w:rPr>
        <w:t> </w:t>
      </w:r>
      <w:r>
        <w:rPr>
          <w:spacing w:val="24"/>
          <w:w w:val="144"/>
          <w:sz w:val="27"/>
        </w:rPr>
        <w:t>l</w:t>
      </w:r>
      <w:r>
        <w:rPr>
          <w:spacing w:val="-19"/>
          <w:w w:val="88"/>
          <w:sz w:val="27"/>
        </w:rPr>
        <w:t>·</w:t>
      </w:r>
      <w:r>
        <w:rPr>
          <w:rFonts w:ascii="Arial" w:hAnsi="Arial"/>
          <w:w w:val="77"/>
          <w:sz w:val="20"/>
        </w:rPr>
        <w:t>1</w:t>
      </w:r>
      <w:r>
        <w:rPr>
          <w:rFonts w:ascii="Arial" w:hAnsi="Arial"/>
          <w:w w:val="77"/>
          <w:sz w:val="20"/>
        </w:rPr>
        <w:t>:</w:t>
      </w:r>
      <w:r>
        <w:rPr>
          <w:rFonts w:ascii="Arial" w:hAnsi="Arial"/>
          <w:w w:val="77"/>
          <w:sz w:val="20"/>
        </w:rPr>
        <w:t>P</w:t>
      </w:r>
      <w:r>
        <w:rPr>
          <w:rFonts w:ascii="Arial" w:hAnsi="Arial"/>
          <w:spacing w:val="-13"/>
          <w:sz w:val="20"/>
        </w:rPr>
        <w:t> </w:t>
      </w:r>
      <w:r>
        <w:rPr>
          <w:rFonts w:ascii="Arial" w:hAnsi="Arial"/>
          <w:w w:val="112"/>
          <w:sz w:val="20"/>
        </w:rPr>
        <w:t>"</w:t>
      </w:r>
      <w:r>
        <w:rPr>
          <w:rFonts w:ascii="Arial" w:hAnsi="Arial"/>
          <w:spacing w:val="-8"/>
          <w:w w:val="112"/>
          <w:sz w:val="20"/>
        </w:rPr>
        <w:t>'</w:t>
      </w:r>
      <w:r>
        <w:rPr>
          <w:rFonts w:ascii="Arial" w:hAnsi="Arial"/>
          <w:w w:val="61"/>
          <w:position w:val="8"/>
          <w:sz w:val="17"/>
        </w:rPr>
        <w:t>1</w:t>
      </w:r>
      <w:r>
        <w:rPr>
          <w:rFonts w:ascii="Arial" w:hAnsi="Arial"/>
          <w:spacing w:val="-27"/>
          <w:position w:val="8"/>
          <w:sz w:val="17"/>
        </w:rPr>
        <w:t> </w:t>
      </w:r>
      <w:r>
        <w:rPr>
          <w:rFonts w:ascii="Arial" w:hAnsi="Arial"/>
          <w:spacing w:val="-32"/>
          <w:w w:val="188"/>
          <w:sz w:val="17"/>
        </w:rPr>
        <w:t>·</w:t>
      </w:r>
      <w:r>
        <w:rPr>
          <w:rFonts w:ascii="Arial" w:hAnsi="Arial"/>
          <w:spacing w:val="-42"/>
          <w:w w:val="217"/>
          <w:sz w:val="17"/>
        </w:rPr>
        <w:t>,</w:t>
      </w:r>
      <w:r>
        <w:rPr>
          <w:spacing w:val="-145"/>
          <w:w w:val="90"/>
          <w:sz w:val="22"/>
        </w:rPr>
        <w:t>V</w:t>
      </w:r>
      <w:r>
        <w:rPr>
          <w:spacing w:val="-263"/>
          <w:w w:val="280"/>
          <w:sz w:val="22"/>
        </w:rPr>
        <w:t>!</w:t>
      </w:r>
      <w:r>
        <w:rPr>
          <w:spacing w:val="-38"/>
          <w:w w:val="102"/>
          <w:sz w:val="22"/>
        </w:rPr>
        <w:t>:</w:t>
      </w:r>
      <w:r>
        <w:rPr>
          <w:w w:val="88"/>
          <w:sz w:val="22"/>
        </w:rPr>
        <w:t>il</w:t>
      </w:r>
    </w:p>
    <w:p>
      <w:pPr>
        <w:spacing w:before="93"/>
        <w:ind w:left="499" w:right="0" w:firstLine="0"/>
        <w:jc w:val="left"/>
        <w:rPr>
          <w:sz w:val="18"/>
        </w:rPr>
      </w:pPr>
      <w:r>
        <w:rPr>
          <w:sz w:val="20"/>
        </w:rPr>
        <w:t>(e)   </w:t>
      </w:r>
      <w:r>
        <w:rPr>
          <w:w w:val="95"/>
          <w:sz w:val="18"/>
        </w:rPr>
        <w:t>c </w:t>
      </w:r>
      <w:r>
        <w:rPr>
          <w:sz w:val="18"/>
        </w:rPr>
        <w:t>Ys:i]</w:t>
      </w:r>
    </w:p>
    <w:p>
      <w:pPr>
        <w:spacing w:before="51"/>
        <w:ind w:left="492" w:right="0" w:firstLine="0"/>
        <w:jc w:val="left"/>
        <w:rPr>
          <w:sz w:val="21"/>
        </w:rPr>
      </w:pPr>
      <w:r>
        <w:rPr>
          <w:spacing w:val="12"/>
          <w:w w:val="99"/>
          <w:sz w:val="21"/>
        </w:rPr>
        <w:t>(</w:t>
      </w:r>
      <w:r>
        <w:rPr>
          <w:w w:val="118"/>
          <w:sz w:val="21"/>
        </w:rPr>
        <w:t>d)</w:t>
      </w:r>
      <w:r>
        <w:rPr>
          <w:sz w:val="21"/>
        </w:rPr>
        <w:t> </w:t>
      </w:r>
      <w:r>
        <w:rPr>
          <w:spacing w:val="1"/>
          <w:sz w:val="21"/>
        </w:rPr>
        <w:t> </w:t>
      </w:r>
      <w:r>
        <w:rPr>
          <w:w w:val="60"/>
          <w:sz w:val="18"/>
        </w:rPr>
        <w:t>e</w:t>
      </w:r>
      <w:r>
        <w:rPr>
          <w:spacing w:val="-22"/>
          <w:sz w:val="18"/>
        </w:rPr>
        <w:t> </w:t>
      </w:r>
      <w:r>
        <w:rPr>
          <w:spacing w:val="-5"/>
          <w:w w:val="90"/>
          <w:sz w:val="21"/>
        </w:rPr>
        <w:t>Y</w:t>
      </w:r>
      <w:r>
        <w:rPr>
          <w:w w:val="65"/>
          <w:sz w:val="21"/>
        </w:rPr>
        <w:t>:r:-</w:t>
      </w:r>
      <w:r>
        <w:rPr>
          <w:w w:val="65"/>
          <w:sz w:val="21"/>
        </w:rPr>
        <w:t>;</w:t>
      </w:r>
      <w:r>
        <w:rPr>
          <w:w w:val="65"/>
          <w:sz w:val="21"/>
        </w:rPr>
        <w:t>J</w:t>
      </w:r>
      <w:r>
        <w:rPr>
          <w:sz w:val="21"/>
        </w:rPr>
        <w:t> </w:t>
      </w:r>
      <w:r>
        <w:rPr>
          <w:spacing w:val="-25"/>
          <w:sz w:val="21"/>
        </w:rPr>
        <w:t> </w:t>
      </w:r>
      <w:r>
        <w:rPr>
          <w:rFonts w:ascii="Arial" w:hAnsi="Arial"/>
          <w:w w:val="110"/>
          <w:sz w:val="31"/>
        </w:rPr>
        <w:t>+</w:t>
      </w:r>
      <w:r>
        <w:rPr>
          <w:rFonts w:ascii="Arial" w:hAnsi="Arial"/>
          <w:spacing w:val="-32"/>
          <w:sz w:val="31"/>
        </w:rPr>
        <w:t> </w:t>
      </w:r>
      <w:r>
        <w:rPr>
          <w:b/>
          <w:w w:val="131"/>
          <w:sz w:val="27"/>
        </w:rPr>
        <w:t>l</w:t>
      </w:r>
      <w:r>
        <w:rPr>
          <w:b/>
          <w:spacing w:val="-34"/>
          <w:sz w:val="27"/>
        </w:rPr>
        <w:t> </w:t>
      </w:r>
      <w:r>
        <w:rPr>
          <w:spacing w:val="-35"/>
          <w:w w:val="101"/>
          <w:sz w:val="27"/>
        </w:rPr>
        <w:t>·</w:t>
      </w:r>
      <w:r>
        <w:rPr>
          <w:i/>
          <w:w w:val="140"/>
          <w:sz w:val="21"/>
        </w:rPr>
        <w:t>l</w:t>
      </w:r>
      <w:r>
        <w:rPr>
          <w:i/>
          <w:sz w:val="21"/>
        </w:rPr>
        <w:t>  </w:t>
      </w:r>
      <w:r>
        <w:rPr>
          <w:i/>
          <w:spacing w:val="-6"/>
          <w:sz w:val="21"/>
        </w:rPr>
        <w:t> </w:t>
      </w:r>
      <w:r>
        <w:rPr>
          <w:i/>
          <w:w w:val="70"/>
          <w:sz w:val="21"/>
        </w:rPr>
        <w:t>:ñl</w:t>
      </w:r>
      <w:r>
        <w:rPr>
          <w:i/>
          <w:spacing w:val="-10"/>
          <w:sz w:val="21"/>
        </w:rPr>
        <w:t> </w:t>
      </w:r>
      <w:r>
        <w:rPr>
          <w:spacing w:val="-36"/>
          <w:w w:val="147"/>
          <w:sz w:val="21"/>
        </w:rPr>
        <w:t>·</w:t>
      </w:r>
      <w:r>
        <w:rPr>
          <w:w w:val="60"/>
          <w:sz w:val="18"/>
        </w:rPr>
        <w:t>e</w:t>
      </w:r>
      <w:r>
        <w:rPr>
          <w:spacing w:val="-22"/>
          <w:sz w:val="18"/>
        </w:rPr>
        <w:t> </w:t>
      </w:r>
      <w:r>
        <w:rPr>
          <w:w w:val="90"/>
          <w:sz w:val="21"/>
        </w:rPr>
        <w:t>V</w:t>
      </w:r>
      <w:r>
        <w:rPr>
          <w:spacing w:val="18"/>
          <w:sz w:val="21"/>
        </w:rPr>
        <w:t> </w:t>
      </w:r>
      <w:r>
        <w:rPr>
          <w:w w:val="74"/>
          <w:sz w:val="21"/>
        </w:rPr>
        <w:t>:iil</w:t>
      </w:r>
    </w:p>
    <w:p>
      <w:pPr>
        <w:tabs>
          <w:tab w:pos="2234" w:val="left" w:leader="none"/>
        </w:tabs>
        <w:spacing w:line="346" w:lineRule="exact" w:before="3"/>
        <w:ind w:left="164" w:right="0" w:firstLine="0"/>
        <w:jc w:val="left"/>
        <w:rPr>
          <w:sz w:val="22"/>
        </w:rPr>
      </w:pPr>
      <w:r>
        <w:rPr>
          <w:spacing w:val="-53"/>
          <w:w w:val="129"/>
          <w:sz w:val="21"/>
        </w:rPr>
        <w:t>1</w:t>
      </w:r>
      <w:r>
        <w:rPr>
          <w:sz w:val="21"/>
        </w:rPr>
        <w:t>8. </w:t>
      </w:r>
      <w:r>
        <w:rPr>
          <w:spacing w:val="-22"/>
          <w:sz w:val="21"/>
        </w:rPr>
        <w:t> </w:t>
      </w:r>
      <w:r>
        <w:rPr>
          <w:rFonts w:ascii="Arial" w:hAnsi="Arial"/>
          <w:w w:val="117"/>
          <w:sz w:val="19"/>
        </w:rPr>
        <w:t>(</w:t>
      </w:r>
      <w:r>
        <w:rPr>
          <w:rFonts w:ascii="Arial" w:hAnsi="Arial"/>
          <w:w w:val="117"/>
          <w:sz w:val="19"/>
        </w:rPr>
        <w:t>a</w:t>
      </w:r>
      <w:r>
        <w:rPr>
          <w:rFonts w:ascii="Arial" w:hAnsi="Arial"/>
          <w:w w:val="117"/>
          <w:sz w:val="19"/>
        </w:rPr>
        <w:t>)</w:t>
      </w:r>
      <w:r>
        <w:rPr>
          <w:rFonts w:ascii="Arial" w:hAnsi="Arial"/>
          <w:sz w:val="19"/>
        </w:rPr>
        <w:t> </w:t>
      </w:r>
      <w:r>
        <w:rPr>
          <w:rFonts w:ascii="Arial" w:hAnsi="Arial"/>
          <w:spacing w:val="-9"/>
          <w:sz w:val="19"/>
        </w:rPr>
        <w:t> </w:t>
      </w:r>
      <w:r>
        <w:rPr>
          <w:spacing w:val="27"/>
          <w:w w:val="108"/>
          <w:sz w:val="22"/>
        </w:rPr>
        <w:t>%</w:t>
      </w:r>
      <w:r>
        <w:rPr>
          <w:w w:val="49"/>
          <w:sz w:val="22"/>
        </w:rPr>
        <w:t>-</w:t>
      </w:r>
      <w:r>
        <w:rPr>
          <w:spacing w:val="-25"/>
          <w:sz w:val="22"/>
        </w:rPr>
        <w:t> </w:t>
      </w:r>
      <w:r>
        <w:rPr>
          <w:rFonts w:ascii="Arial" w:hAnsi="Arial"/>
          <w:spacing w:val="-90"/>
          <w:w w:val="145"/>
          <w:position w:val="12"/>
          <w:sz w:val="12"/>
        </w:rPr>
        <w:t>1</w:t>
      </w:r>
      <w:r>
        <w:rPr>
          <w:spacing w:val="-133"/>
          <w:w w:val="267"/>
          <w:sz w:val="22"/>
        </w:rPr>
        <w:t>:</w:t>
      </w:r>
      <w:r>
        <w:rPr>
          <w:w w:val="97"/>
          <w:sz w:val="22"/>
        </w:rPr>
        <w:t>vc</w:t>
      </w:r>
      <w:r>
        <w:rPr>
          <w:spacing w:val="-6"/>
          <w:w w:val="97"/>
          <w:sz w:val="22"/>
        </w:rPr>
        <w:t>,</w:t>
      </w:r>
      <w:r>
        <w:rPr>
          <w:spacing w:val="-4"/>
          <w:w w:val="59"/>
          <w:sz w:val="22"/>
        </w:rPr>
        <w:t>0</w:t>
      </w:r>
      <w:r>
        <w:rPr>
          <w:w w:val="54"/>
          <w:sz w:val="22"/>
        </w:rPr>
        <w:t>1</w:t>
      </w:r>
      <w:r>
        <w:rPr>
          <w:spacing w:val="18"/>
          <w:sz w:val="22"/>
        </w:rPr>
        <w:t> </w:t>
      </w:r>
      <w:r>
        <w:rPr>
          <w:rFonts w:ascii="Arial" w:hAnsi="Arial"/>
          <w:w w:val="107"/>
          <w:sz w:val="31"/>
        </w:rPr>
        <w:t>+</w:t>
      </w:r>
      <w:r>
        <w:rPr>
          <w:rFonts w:ascii="Arial" w:hAnsi="Arial"/>
          <w:sz w:val="31"/>
        </w:rPr>
        <w:tab/>
      </w:r>
      <w:r>
        <w:rPr>
          <w:rFonts w:ascii="Arial" w:hAnsi="Arial"/>
          <w:w w:val="35"/>
          <w:sz w:val="31"/>
        </w:rPr>
        <w:t>-</w:t>
      </w:r>
      <w:r>
        <w:rPr>
          <w:rFonts w:ascii="Arial" w:hAnsi="Arial"/>
          <w:spacing w:val="-48"/>
          <w:sz w:val="31"/>
        </w:rPr>
        <w:t> </w:t>
      </w:r>
      <w:r>
        <w:rPr>
          <w:rFonts w:ascii="Arial" w:hAnsi="Arial"/>
          <w:w w:val="145"/>
          <w:position w:val="11"/>
          <w:sz w:val="12"/>
        </w:rPr>
        <w:t>1</w:t>
      </w:r>
      <w:r>
        <w:rPr>
          <w:rFonts w:ascii="Arial" w:hAnsi="Arial"/>
          <w:spacing w:val="13"/>
          <w:position w:val="11"/>
          <w:sz w:val="12"/>
        </w:rPr>
        <w:t> </w:t>
      </w:r>
      <w:r>
        <w:rPr>
          <w:w w:val="80"/>
          <w:sz w:val="22"/>
        </w:rPr>
        <w:t>Vc</w:t>
      </w:r>
      <w:r>
        <w:rPr>
          <w:spacing w:val="-1"/>
          <w:w w:val="80"/>
          <w:sz w:val="22"/>
        </w:rPr>
        <w:t>,</w:t>
      </w:r>
      <w:r>
        <w:rPr>
          <w:spacing w:val="-7"/>
          <w:w w:val="55"/>
          <w:sz w:val="22"/>
        </w:rPr>
        <w:t>0</w:t>
      </w:r>
      <w:r>
        <w:rPr>
          <w:w w:val="67"/>
          <w:sz w:val="22"/>
        </w:rPr>
        <w:t>1</w:t>
      </w:r>
      <w:r>
        <w:rPr>
          <w:spacing w:val="4"/>
          <w:sz w:val="22"/>
        </w:rPr>
        <w:t> </w:t>
      </w:r>
      <w:r>
        <w:rPr>
          <w:rFonts w:ascii="Arial" w:hAnsi="Arial"/>
          <w:w w:val="107"/>
          <w:sz w:val="31"/>
        </w:rPr>
        <w:t>+</w:t>
      </w:r>
      <w:r>
        <w:rPr>
          <w:rFonts w:ascii="Arial" w:hAnsi="Arial"/>
          <w:spacing w:val="-30"/>
          <w:sz w:val="31"/>
        </w:rPr>
        <w:t> </w:t>
      </w:r>
      <w:r>
        <w:rPr>
          <w:w w:val="115"/>
          <w:sz w:val="22"/>
        </w:rPr>
        <w:t>%</w:t>
      </w:r>
      <w:r>
        <w:rPr>
          <w:spacing w:val="-3"/>
          <w:w w:val="115"/>
          <w:sz w:val="22"/>
        </w:rPr>
        <w:t>·</w:t>
      </w:r>
      <w:r>
        <w:rPr>
          <w:spacing w:val="-44"/>
          <w:w w:val="92"/>
          <w:sz w:val="22"/>
        </w:rPr>
        <w:t>1</w:t>
      </w:r>
      <w:r>
        <w:rPr>
          <w:w w:val="82"/>
          <w:sz w:val="22"/>
        </w:rPr>
        <w:t>0Pc'</w:t>
      </w:r>
      <w:r>
        <w:rPr>
          <w:spacing w:val="-6"/>
          <w:w w:val="82"/>
          <w:sz w:val="22"/>
        </w:rPr>
        <w:t>°</w:t>
      </w:r>
      <w:r>
        <w:rPr>
          <w:w w:val="54"/>
          <w:sz w:val="22"/>
        </w:rPr>
        <w:t>1</w:t>
      </w:r>
    </w:p>
    <w:p>
      <w:pPr>
        <w:tabs>
          <w:tab w:pos="2241" w:val="left" w:leader="none"/>
        </w:tabs>
        <w:spacing w:line="378" w:lineRule="exact" w:before="0"/>
        <w:ind w:left="492" w:right="0" w:firstLine="0"/>
        <w:jc w:val="left"/>
        <w:rPr>
          <w:sz w:val="22"/>
        </w:rPr>
      </w:pPr>
      <w:r>
        <w:rPr>
          <w:w w:val="115"/>
          <w:sz w:val="20"/>
        </w:rPr>
        <w:t>{b</w:t>
      </w:r>
      <w:r>
        <w:rPr>
          <w:w w:val="115"/>
          <w:sz w:val="20"/>
        </w:rPr>
        <w:t>)</w:t>
      </w:r>
      <w:r>
        <w:rPr>
          <w:spacing w:val="20"/>
          <w:sz w:val="20"/>
        </w:rPr>
        <w:t> </w:t>
      </w:r>
      <w:r>
        <w:rPr>
          <w:w w:val="89"/>
          <w:sz w:val="27"/>
        </w:rPr>
        <w:t>%</w:t>
      </w:r>
      <w:r>
        <w:rPr>
          <w:spacing w:val="-36"/>
          <w:sz w:val="27"/>
        </w:rPr>
        <w:t> </w:t>
      </w:r>
      <w:r>
        <w:rPr>
          <w:w w:val="39"/>
          <w:sz w:val="27"/>
        </w:rPr>
        <w:t>-</w:t>
      </w:r>
      <w:r>
        <w:rPr>
          <w:spacing w:val="-32"/>
          <w:sz w:val="27"/>
        </w:rPr>
        <w:t> </w:t>
      </w:r>
      <w:r>
        <w:rPr>
          <w:spacing w:val="-47"/>
          <w:w w:val="135"/>
          <w:position w:val="13"/>
          <w:sz w:val="12"/>
        </w:rPr>
        <w:t>1</w:t>
      </w:r>
      <w:r>
        <w:rPr>
          <w:spacing w:val="-98"/>
          <w:w w:val="252"/>
          <w:sz w:val="22"/>
        </w:rPr>
        <w:t>:</w:t>
      </w:r>
      <w:r>
        <w:rPr>
          <w:w w:val="81"/>
          <w:sz w:val="22"/>
        </w:rPr>
        <w:t>Vc'</w:t>
      </w:r>
      <w:r>
        <w:rPr>
          <w:spacing w:val="-5"/>
          <w:w w:val="81"/>
          <w:sz w:val="22"/>
        </w:rPr>
        <w:t>°</w:t>
      </w:r>
      <w:r>
        <w:rPr>
          <w:w w:val="60"/>
          <w:sz w:val="22"/>
        </w:rPr>
        <w:t>1</w:t>
      </w:r>
      <w:r>
        <w:rPr>
          <w:spacing w:val="15"/>
          <w:sz w:val="22"/>
        </w:rPr>
        <w:t> </w:t>
      </w:r>
      <w:r>
        <w:rPr>
          <w:w w:val="101"/>
          <w:sz w:val="29"/>
        </w:rPr>
        <w:t>+</w:t>
      </w:r>
      <w:r>
        <w:rPr>
          <w:sz w:val="29"/>
        </w:rPr>
        <w:tab/>
      </w:r>
      <w:r>
        <w:rPr>
          <w:spacing w:val="-19"/>
          <w:w w:val="93"/>
          <w:sz w:val="29"/>
        </w:rPr>
        <w:t>·</w:t>
      </w:r>
      <w:r>
        <w:rPr>
          <w:w w:val="79"/>
          <w:position w:val="12"/>
          <w:sz w:val="22"/>
        </w:rPr>
        <w:t>1</w:t>
      </w:r>
      <w:r>
        <w:rPr>
          <w:spacing w:val="2"/>
          <w:position w:val="12"/>
          <w:sz w:val="22"/>
        </w:rPr>
        <w:t> </w:t>
      </w:r>
      <w:r>
        <w:rPr>
          <w:w w:val="85"/>
          <w:sz w:val="22"/>
        </w:rPr>
        <w:t>Vr'</w:t>
      </w:r>
      <w:r>
        <w:rPr>
          <w:spacing w:val="-4"/>
          <w:w w:val="85"/>
          <w:sz w:val="22"/>
        </w:rPr>
        <w:t>°</w:t>
      </w:r>
      <w:r>
        <w:rPr>
          <w:w w:val="60"/>
          <w:sz w:val="22"/>
        </w:rPr>
        <w:t>1</w:t>
      </w:r>
    </w:p>
    <w:p>
      <w:pPr>
        <w:tabs>
          <w:tab w:pos="5024" w:val="left" w:leader="none"/>
        </w:tabs>
        <w:spacing w:line="355" w:lineRule="exact" w:before="17"/>
        <w:ind w:left="2299" w:right="0" w:firstLine="0"/>
        <w:jc w:val="left"/>
        <w:rPr>
          <w:sz w:val="22"/>
        </w:rPr>
      </w:pPr>
      <w:r>
        <w:rPr>
          <w:rFonts w:ascii="Arial" w:hAnsi="Arial"/>
          <w:w w:val="105"/>
          <w:sz w:val="31"/>
        </w:rPr>
        <w:t>+</w:t>
      </w:r>
      <w:r>
        <w:rPr>
          <w:rFonts w:ascii="Arial" w:hAnsi="Arial"/>
          <w:spacing w:val="-26"/>
          <w:sz w:val="31"/>
        </w:rPr>
        <w:t> </w:t>
      </w:r>
      <w:r>
        <w:rPr>
          <w:w w:val="111"/>
          <w:sz w:val="22"/>
        </w:rPr>
        <w:t>%</w:t>
      </w:r>
      <w:r>
        <w:rPr>
          <w:spacing w:val="7"/>
          <w:w w:val="111"/>
          <w:sz w:val="22"/>
        </w:rPr>
        <w:t>·</w:t>
      </w:r>
      <w:r>
        <w:rPr>
          <w:spacing w:val="-40"/>
          <w:w w:val="85"/>
          <w:sz w:val="22"/>
        </w:rPr>
        <w:t>1</w:t>
      </w:r>
      <w:r>
        <w:rPr>
          <w:w w:val="96"/>
          <w:sz w:val="22"/>
        </w:rPr>
        <w:t>oP</w:t>
      </w:r>
      <w:r>
        <w:rPr>
          <w:w w:val="96"/>
          <w:sz w:val="22"/>
        </w:rPr>
        <w:t>\</w:t>
      </w:r>
      <w:r>
        <w:rPr>
          <w:w w:val="96"/>
          <w:sz w:val="22"/>
        </w:rPr>
        <w:t>!</w:t>
      </w:r>
      <w:r>
        <w:rPr>
          <w:spacing w:val="3"/>
          <w:sz w:val="22"/>
        </w:rPr>
        <w:t> </w:t>
      </w:r>
      <w:r>
        <w:rPr>
          <w:spacing w:val="9"/>
          <w:w w:val="60"/>
          <w:sz w:val="22"/>
        </w:rPr>
        <w:t>1</w:t>
      </w:r>
      <w:r>
        <w:rPr>
          <w:w w:val="113"/>
          <w:sz w:val="22"/>
        </w:rPr>
        <w:t>(%</w:t>
      </w:r>
      <w:r>
        <w:rPr>
          <w:spacing w:val="5"/>
          <w:w w:val="113"/>
          <w:sz w:val="22"/>
        </w:rPr>
        <w:t>·</w:t>
      </w:r>
      <w:r>
        <w:rPr>
          <w:w w:val="84"/>
          <w:sz w:val="22"/>
        </w:rPr>
        <w:t>1Vc</w:t>
      </w:r>
      <w:r>
        <w:rPr>
          <w:spacing w:val="-29"/>
          <w:w w:val="84"/>
          <w:sz w:val="22"/>
        </w:rPr>
        <w:t>!</w:t>
      </w:r>
      <w:r>
        <w:rPr>
          <w:spacing w:val="-3"/>
          <w:w w:val="55"/>
          <w:sz w:val="22"/>
        </w:rPr>
        <w:t>o</w:t>
      </w:r>
      <w:r>
        <w:rPr>
          <w:w w:val="63"/>
          <w:sz w:val="22"/>
        </w:rPr>
        <w:t>1:'íol</w:t>
      </w:r>
      <w:r>
        <w:rPr>
          <w:sz w:val="22"/>
        </w:rPr>
        <w:t> </w:t>
      </w:r>
      <w:r>
        <w:rPr>
          <w:spacing w:val="-23"/>
          <w:sz w:val="22"/>
        </w:rPr>
        <w:t> </w:t>
      </w:r>
      <w:r>
        <w:rPr>
          <w:rFonts w:ascii="Arial" w:hAnsi="Arial"/>
          <w:w w:val="105"/>
          <w:sz w:val="31"/>
        </w:rPr>
        <w:t>+</w:t>
      </w:r>
      <w:r>
        <w:rPr>
          <w:rFonts w:ascii="Arial" w:hAnsi="Arial"/>
          <w:sz w:val="31"/>
        </w:rPr>
        <w:tab/>
      </w:r>
      <w:r>
        <w:rPr>
          <w:w w:val="81"/>
          <w:sz w:val="22"/>
        </w:rPr>
        <w:t>-1Vc</w:t>
      </w:r>
      <w:r>
        <w:rPr>
          <w:spacing w:val="-7"/>
          <w:w w:val="81"/>
          <w:sz w:val="22"/>
        </w:rPr>
        <w:t>!</w:t>
      </w:r>
      <w:r>
        <w:rPr>
          <w:spacing w:val="-4"/>
          <w:w w:val="59"/>
          <w:sz w:val="22"/>
        </w:rPr>
        <w:t>o</w:t>
      </w:r>
      <w:r>
        <w:rPr>
          <w:w w:val="75"/>
          <w:sz w:val="22"/>
        </w:rPr>
        <w:t>1:Io¡</w:t>
      </w:r>
      <w:r>
        <w:rPr>
          <w:w w:val="75"/>
          <w:sz w:val="22"/>
        </w:rPr>
        <w:t>)</w:t>
      </w:r>
    </w:p>
    <w:p>
      <w:pPr>
        <w:tabs>
          <w:tab w:pos="2205" w:val="left" w:leader="none"/>
        </w:tabs>
        <w:spacing w:line="355" w:lineRule="exact" w:before="0"/>
        <w:ind w:left="481" w:right="0" w:firstLine="0"/>
        <w:jc w:val="left"/>
        <w:rPr>
          <w:b/>
          <w:sz w:val="22"/>
        </w:rPr>
      </w:pPr>
      <w:r>
        <w:rPr>
          <w:w w:val="105"/>
          <w:sz w:val="22"/>
        </w:rPr>
        <w:t>(</w:t>
      </w:r>
      <w:r>
        <w:rPr>
          <w:w w:val="105"/>
          <w:sz w:val="22"/>
        </w:rPr>
        <w:t>e</w:t>
      </w:r>
      <w:r>
        <w:rPr>
          <w:w w:val="105"/>
          <w:sz w:val="22"/>
        </w:rPr>
        <w:t>)</w:t>
      </w:r>
      <w:r>
        <w:rPr>
          <w:sz w:val="22"/>
        </w:rPr>
        <w:t> </w:t>
      </w:r>
      <w:r>
        <w:rPr>
          <w:spacing w:val="-9"/>
          <w:sz w:val="22"/>
        </w:rPr>
        <w:t> </w:t>
      </w:r>
      <w:r>
        <w:rPr>
          <w:w w:val="111"/>
          <w:sz w:val="22"/>
        </w:rPr>
        <w:t>%</w:t>
      </w:r>
      <w:r>
        <w:rPr>
          <w:spacing w:val="11"/>
          <w:w w:val="111"/>
          <w:sz w:val="22"/>
        </w:rPr>
        <w:t>·</w:t>
      </w:r>
      <w:r>
        <w:rPr>
          <w:spacing w:val="-47"/>
          <w:w w:val="135"/>
          <w:position w:val="12"/>
          <w:sz w:val="12"/>
        </w:rPr>
        <w:t>1</w:t>
      </w:r>
      <w:r>
        <w:rPr>
          <w:spacing w:val="-98"/>
          <w:w w:val="252"/>
          <w:sz w:val="22"/>
        </w:rPr>
        <w:t>:</w:t>
      </w:r>
      <w:r>
        <w:rPr>
          <w:w w:val="78"/>
          <w:sz w:val="22"/>
        </w:rPr>
        <w:t>vc'°J</w:t>
      </w:r>
      <w:r>
        <w:rPr>
          <w:sz w:val="22"/>
        </w:rPr>
        <w:t> </w:t>
      </w:r>
      <w:r>
        <w:rPr>
          <w:spacing w:val="-3"/>
          <w:sz w:val="22"/>
        </w:rPr>
        <w:t> </w:t>
      </w:r>
      <w:r>
        <w:rPr>
          <w:rFonts w:ascii="Arial" w:hAnsi="Arial"/>
          <w:w w:val="105"/>
          <w:sz w:val="31"/>
        </w:rPr>
        <w:t>+</w:t>
      </w:r>
      <w:r>
        <w:rPr>
          <w:rFonts w:ascii="Arial" w:hAnsi="Arial"/>
          <w:sz w:val="31"/>
        </w:rPr>
        <w:tab/>
      </w:r>
      <w:r>
        <w:rPr>
          <w:rFonts w:ascii="Arial" w:hAnsi="Arial"/>
          <w:b/>
          <w:w w:val="36"/>
          <w:sz w:val="31"/>
        </w:rPr>
        <w:t>-</w:t>
      </w:r>
      <w:r>
        <w:rPr>
          <w:rFonts w:ascii="Arial" w:hAnsi="Arial"/>
          <w:b/>
          <w:spacing w:val="-53"/>
          <w:sz w:val="31"/>
        </w:rPr>
        <w:t> </w:t>
      </w:r>
      <w:r>
        <w:rPr>
          <w:b/>
          <w:w w:val="99"/>
          <w:position w:val="12"/>
          <w:sz w:val="13"/>
        </w:rPr>
        <w:t>1</w:t>
      </w:r>
      <w:r>
        <w:rPr>
          <w:b/>
          <w:w w:val="72"/>
          <w:sz w:val="22"/>
        </w:rPr>
        <w:t>:Vc.01</w:t>
      </w:r>
    </w:p>
    <w:p>
      <w:pPr>
        <w:tabs>
          <w:tab w:pos="2540" w:val="left" w:leader="none"/>
          <w:tab w:pos="3861" w:val="left" w:leader="none"/>
          <w:tab w:pos="5287" w:val="left" w:leader="none"/>
        </w:tabs>
        <w:spacing w:before="18"/>
        <w:ind w:left="1234" w:right="0" w:firstLine="0"/>
        <w:jc w:val="left"/>
        <w:rPr>
          <w:sz w:val="25"/>
        </w:rPr>
      </w:pPr>
      <w:r>
        <w:rPr>
          <w:rFonts w:ascii="Arial" w:hAnsi="Arial"/>
          <w:spacing w:val="-53"/>
          <w:w w:val="103"/>
          <w:sz w:val="31"/>
        </w:rPr>
        <w:t>+</w:t>
      </w:r>
      <w:r>
        <w:rPr>
          <w:spacing w:val="-247"/>
          <w:w w:val="288"/>
          <w:sz w:val="27"/>
        </w:rPr>
        <w:t>!</w:t>
      </w:r>
      <w:r>
        <w:rPr>
          <w:spacing w:val="-27"/>
          <w:w w:val="101"/>
          <w:sz w:val="27"/>
        </w:rPr>
        <w:t>·</w:t>
      </w:r>
      <w:r>
        <w:rPr>
          <w:spacing w:val="-44"/>
          <w:w w:val="75"/>
          <w:sz w:val="25"/>
        </w:rPr>
        <w:t>1</w:t>
      </w:r>
      <w:r>
        <w:rPr>
          <w:w w:val="78"/>
          <w:sz w:val="25"/>
        </w:rPr>
        <w:t>oPfü1</w:t>
      </w:r>
      <w:r>
        <w:rPr>
          <w:spacing w:val="-42"/>
          <w:sz w:val="25"/>
        </w:rPr>
        <w:t> </w:t>
      </w:r>
      <w:r>
        <w:rPr>
          <w:w w:val="77"/>
          <w:sz w:val="25"/>
        </w:rPr>
        <w:t>(</w:t>
      </w:r>
      <w:r>
        <w:rPr>
          <w:sz w:val="25"/>
        </w:rPr>
        <w:tab/>
      </w:r>
      <w:r>
        <w:rPr>
          <w:spacing w:val="-19"/>
          <w:w w:val="95"/>
          <w:sz w:val="25"/>
        </w:rPr>
        <w:t>·</w:t>
      </w:r>
      <w:r>
        <w:rPr>
          <w:b/>
          <w:spacing w:val="1"/>
          <w:w w:val="114"/>
          <w:sz w:val="13"/>
        </w:rPr>
        <w:t>1</w:t>
      </w:r>
      <w:r>
        <w:rPr>
          <w:i/>
          <w:spacing w:val="17"/>
          <w:w w:val="106"/>
          <w:sz w:val="21"/>
        </w:rPr>
        <w:t>V</w:t>
      </w:r>
      <w:r>
        <w:rPr>
          <w:w w:val="66"/>
          <w:sz w:val="25"/>
        </w:rPr>
        <w:t>c</w:t>
      </w:r>
      <w:r>
        <w:rPr>
          <w:spacing w:val="-15"/>
          <w:w w:val="66"/>
          <w:sz w:val="25"/>
        </w:rPr>
        <w:t>!</w:t>
      </w:r>
      <w:r>
        <w:rPr>
          <w:spacing w:val="-3"/>
          <w:w w:val="51"/>
          <w:sz w:val="25"/>
        </w:rPr>
        <w:t>o</w:t>
      </w:r>
      <w:r>
        <w:rPr>
          <w:spacing w:val="9"/>
          <w:w w:val="47"/>
          <w:sz w:val="25"/>
        </w:rPr>
        <w:t>1</w:t>
      </w:r>
      <w:r>
        <w:rPr>
          <w:spacing w:val="-40"/>
          <w:w w:val="162"/>
          <w:sz w:val="16"/>
        </w:rPr>
        <w:t>:</w:t>
      </w:r>
      <w:r>
        <w:rPr>
          <w:w w:val="90"/>
          <w:sz w:val="16"/>
        </w:rPr>
        <w:t>10)</w:t>
      </w:r>
      <w:r>
        <w:rPr>
          <w:sz w:val="16"/>
        </w:rPr>
        <w:t> </w:t>
      </w:r>
      <w:r>
        <w:rPr>
          <w:spacing w:val="-6"/>
          <w:sz w:val="16"/>
        </w:rPr>
        <w:t> </w:t>
      </w:r>
      <w:r>
        <w:rPr>
          <w:rFonts w:ascii="Arial" w:hAnsi="Arial"/>
          <w:w w:val="105"/>
          <w:sz w:val="31"/>
        </w:rPr>
        <w:t>+</w:t>
      </w:r>
      <w:r>
        <w:rPr>
          <w:rFonts w:ascii="Arial" w:hAnsi="Arial"/>
          <w:sz w:val="31"/>
        </w:rPr>
        <w:tab/>
      </w:r>
      <w:r>
        <w:rPr>
          <w:b/>
          <w:w w:val="92"/>
          <w:sz w:val="18"/>
        </w:rPr>
        <w:t>·</w:t>
      </w:r>
      <w:r>
        <w:rPr>
          <w:b/>
          <w:spacing w:val="6"/>
          <w:w w:val="92"/>
          <w:sz w:val="18"/>
        </w:rPr>
        <w:t>e</w:t>
      </w:r>
      <w:r>
        <w:rPr>
          <w:i/>
          <w:w w:val="106"/>
          <w:sz w:val="21"/>
        </w:rPr>
        <w:t>V</w:t>
      </w:r>
      <w:r>
        <w:rPr>
          <w:i/>
          <w:spacing w:val="-32"/>
          <w:sz w:val="21"/>
        </w:rPr>
        <w:t> </w:t>
      </w:r>
      <w:r>
        <w:rPr>
          <w:w w:val="112"/>
          <w:sz w:val="22"/>
        </w:rPr>
        <w:t>,</w:t>
      </w:r>
      <w:r>
        <w:rPr>
          <w:spacing w:val="-33"/>
          <w:w w:val="112"/>
          <w:sz w:val="22"/>
        </w:rPr>
        <w:t>!</w:t>
      </w:r>
      <w:r>
        <w:rPr>
          <w:w w:val="49"/>
          <w:sz w:val="22"/>
        </w:rPr>
        <w:t>01</w:t>
      </w:r>
      <w:r>
        <w:rPr>
          <w:spacing w:val="-30"/>
          <w:sz w:val="22"/>
        </w:rPr>
        <w:t> </w:t>
      </w:r>
      <w:r>
        <w:rPr>
          <w:spacing w:val="-35"/>
          <w:w w:val="141"/>
          <w:sz w:val="16"/>
        </w:rPr>
        <w:t>:</w:t>
      </w:r>
      <w:r>
        <w:rPr>
          <w:w w:val="90"/>
          <w:sz w:val="16"/>
        </w:rPr>
        <w:t>10)</w:t>
      </w:r>
      <w:r>
        <w:rPr>
          <w:spacing w:val="-24"/>
          <w:sz w:val="16"/>
        </w:rPr>
        <w:t> </w:t>
      </w:r>
      <w:r>
        <w:rPr>
          <w:w w:val="130"/>
          <w:sz w:val="16"/>
        </w:rPr>
        <w:t>)</w:t>
      </w:r>
      <w:r>
        <w:rPr>
          <w:sz w:val="16"/>
        </w:rPr>
        <w:t> </w:t>
      </w:r>
      <w:r>
        <w:rPr>
          <w:spacing w:val="12"/>
          <w:sz w:val="16"/>
        </w:rPr>
        <w:t> </w:t>
      </w:r>
      <w:r>
        <w:rPr>
          <w:rFonts w:ascii="Arial" w:hAnsi="Arial"/>
          <w:w w:val="105"/>
          <w:sz w:val="31"/>
        </w:rPr>
        <w:t>+</w:t>
      </w:r>
      <w:r>
        <w:rPr>
          <w:rFonts w:ascii="Arial" w:hAnsi="Arial"/>
          <w:sz w:val="31"/>
        </w:rPr>
        <w:tab/>
      </w:r>
      <w:r>
        <w:rPr>
          <w:rFonts w:ascii="Arial" w:hAnsi="Arial"/>
          <w:spacing w:val="-21"/>
          <w:w w:val="78"/>
          <w:sz w:val="31"/>
        </w:rPr>
        <w:t>·</w:t>
      </w:r>
      <w:r>
        <w:rPr>
          <w:spacing w:val="-40"/>
          <w:w w:val="75"/>
          <w:sz w:val="25"/>
        </w:rPr>
        <w:t>1</w:t>
      </w:r>
      <w:r>
        <w:rPr>
          <w:w w:val="85"/>
          <w:sz w:val="25"/>
        </w:rPr>
        <w:t>oP</w:t>
      </w:r>
      <w:r>
        <w:rPr>
          <w:spacing w:val="-9"/>
          <w:sz w:val="25"/>
        </w:rPr>
        <w:t> </w:t>
      </w:r>
      <w:r>
        <w:rPr>
          <w:spacing w:val="-11"/>
          <w:w w:val="85"/>
          <w:sz w:val="25"/>
        </w:rPr>
        <w:t>!</w:t>
      </w:r>
      <w:r>
        <w:rPr>
          <w:w w:val="48"/>
          <w:sz w:val="25"/>
        </w:rPr>
        <w:t>h1</w:t>
      </w:r>
    </w:p>
    <w:p>
      <w:pPr>
        <w:spacing w:before="88"/>
        <w:ind w:left="146" w:right="0" w:firstLine="0"/>
        <w:jc w:val="left"/>
        <w:rPr>
          <w:sz w:val="19"/>
        </w:rPr>
      </w:pPr>
      <w:r>
        <w:rPr>
          <w:w w:val="105"/>
          <w:sz w:val="19"/>
        </w:rPr>
        <w:t>19.   $242.38, $262.57,  $255.84, $257.56.</w:t>
      </w:r>
    </w:p>
    <w:p>
      <w:pPr>
        <w:spacing w:before="138"/>
        <w:ind w:left="128" w:right="0" w:firstLine="0"/>
        <w:jc w:val="left"/>
        <w:rPr>
          <w:sz w:val="19"/>
        </w:rPr>
      </w:pPr>
      <w:r>
        <w:rPr>
          <w:w w:val="115"/>
          <w:sz w:val="19"/>
        </w:rPr>
        <w:t>24. .0108.</w:t>
      </w:r>
    </w:p>
    <w:p>
      <w:pPr>
        <w:pStyle w:val="BodyText"/>
        <w:spacing w:before="2"/>
        <w:rPr>
          <w:sz w:val="10"/>
        </w:rPr>
      </w:pPr>
      <w:r>
        <w:rPr/>
        <w:drawing>
          <wp:anchor distT="0" distB="0" distL="0" distR="0" allowOverlap="1" layoutInCell="1" locked="0" behindDoc="0" simplePos="0" relativeHeight="28384">
            <wp:simplePos x="0" y="0"/>
            <wp:positionH relativeFrom="page">
              <wp:posOffset>466344</wp:posOffset>
            </wp:positionH>
            <wp:positionV relativeFrom="paragraph">
              <wp:posOffset>99632</wp:posOffset>
            </wp:positionV>
            <wp:extent cx="905255" cy="137160"/>
            <wp:effectExtent l="0" t="0" r="0" b="0"/>
            <wp:wrapTopAndBottom/>
            <wp:docPr id="835" name="image427.png" descr=""/>
            <wp:cNvGraphicFramePr>
              <a:graphicFrameLocks noChangeAspect="1"/>
            </wp:cNvGraphicFramePr>
            <a:graphic>
              <a:graphicData uri="http://schemas.openxmlformats.org/drawingml/2006/picture">
                <pic:pic>
                  <pic:nvPicPr>
                    <pic:cNvPr id="836" name="image427.png"/>
                    <pic:cNvPicPr/>
                  </pic:nvPicPr>
                  <pic:blipFill>
                    <a:blip r:embed="rId431" cstate="print"/>
                    <a:stretch>
                      <a:fillRect/>
                    </a:stretch>
                  </pic:blipFill>
                  <pic:spPr>
                    <a:xfrm>
                      <a:off x="0" y="0"/>
                      <a:ext cx="905255" cy="137160"/>
                    </a:xfrm>
                    <a:prstGeom prst="rect">
                      <a:avLst/>
                    </a:prstGeom>
                  </pic:spPr>
                </pic:pic>
              </a:graphicData>
            </a:graphic>
          </wp:anchor>
        </w:drawing>
      </w:r>
    </w:p>
    <w:p>
      <w:pPr>
        <w:spacing w:before="94"/>
        <w:ind w:left="117" w:right="0" w:firstLine="0"/>
        <w:jc w:val="left"/>
        <w:rPr>
          <w:rFonts w:ascii="Arial"/>
          <w:b/>
          <w:i/>
          <w:sz w:val="21"/>
        </w:rPr>
      </w:pPr>
      <w:r>
        <w:rPr>
          <w:w w:val="120"/>
          <w:sz w:val="19"/>
        </w:rPr>
        <w:t>27.  </w:t>
      </w:r>
      <w:r>
        <w:rPr>
          <w:rFonts w:ascii="Arial"/>
          <w:b/>
          <w:i/>
          <w:w w:val="120"/>
          <w:sz w:val="21"/>
        </w:rPr>
        <w:t>-M.+-</w:t>
      </w:r>
    </w:p>
    <w:p>
      <w:pPr>
        <w:spacing w:before="111"/>
        <w:ind w:left="114" w:right="0" w:firstLine="0"/>
        <w:jc w:val="left"/>
        <w:rPr>
          <w:rFonts w:ascii="Arial"/>
          <w:i/>
          <w:sz w:val="21"/>
        </w:rPr>
      </w:pPr>
      <w:r>
        <w:rPr>
          <w:w w:val="110"/>
          <w:sz w:val="21"/>
        </w:rPr>
        <w:t>28. </w:t>
      </w:r>
      <w:r>
        <w:rPr>
          <w:rFonts w:ascii="Arial"/>
          <w:i/>
          <w:w w:val="110"/>
          <w:sz w:val="21"/>
        </w:rPr>
        <w:t>PN.</w:t>
      </w:r>
    </w:p>
    <w:p>
      <w:pPr>
        <w:spacing w:before="55"/>
        <w:ind w:left="114" w:right="0" w:firstLine="0"/>
        <w:jc w:val="left"/>
        <w:rPr>
          <w:sz w:val="22"/>
        </w:rPr>
      </w:pPr>
      <w:r>
        <w:rPr>
          <w:w w:val="96"/>
          <w:sz w:val="21"/>
        </w:rPr>
        <w:t>33.</w:t>
      </w:r>
      <w:r>
        <w:rPr>
          <w:sz w:val="21"/>
        </w:rPr>
        <w:t> </w:t>
      </w:r>
      <w:r>
        <w:rPr>
          <w:spacing w:val="-15"/>
          <w:sz w:val="21"/>
        </w:rPr>
        <w:t> </w:t>
      </w:r>
      <w:r>
        <w:rPr>
          <w:w w:val="73"/>
          <w:sz w:val="22"/>
        </w:rPr>
        <w:t>10</w:t>
      </w:r>
      <w:r>
        <w:rPr>
          <w:spacing w:val="-14"/>
          <w:w w:val="73"/>
          <w:sz w:val="22"/>
        </w:rPr>
        <w:t>V</w:t>
      </w:r>
      <w:r>
        <w:rPr>
          <w:spacing w:val="-40"/>
          <w:w w:val="85"/>
          <w:sz w:val="22"/>
        </w:rPr>
        <w:t>1</w:t>
      </w:r>
      <w:r>
        <w:rPr>
          <w:w w:val="59"/>
          <w:sz w:val="22"/>
        </w:rPr>
        <w:t>0</w:t>
      </w:r>
      <w:r>
        <w:rPr>
          <w:sz w:val="22"/>
        </w:rPr>
        <w:t> </w:t>
      </w:r>
      <w:r>
        <w:rPr>
          <w:spacing w:val="-24"/>
          <w:sz w:val="22"/>
        </w:rPr>
        <w:t> </w:t>
      </w:r>
      <w:r>
        <w:rPr>
          <w:w w:val="101"/>
          <w:sz w:val="25"/>
        </w:rPr>
        <w:t>&lt;</w:t>
      </w:r>
      <w:r>
        <w:rPr>
          <w:spacing w:val="20"/>
          <w:sz w:val="25"/>
        </w:rPr>
        <w:t> </w:t>
      </w:r>
      <w:r>
        <w:rPr>
          <w:spacing w:val="-44"/>
          <w:w w:val="92"/>
          <w:sz w:val="22"/>
        </w:rPr>
        <w:t>1</w:t>
      </w:r>
      <w:r>
        <w:rPr>
          <w:w w:val="69"/>
          <w:sz w:val="22"/>
        </w:rPr>
        <w:t>0V</w:t>
      </w:r>
      <w:r>
        <w:rPr>
          <w:spacing w:val="-37"/>
          <w:w w:val="69"/>
          <w:sz w:val="22"/>
        </w:rPr>
        <w:t>a</w:t>
      </w:r>
      <w:r>
        <w:rPr>
          <w:rFonts w:ascii="Arial"/>
          <w:spacing w:val="-45"/>
          <w:w w:val="163"/>
          <w:position w:val="2"/>
          <w:sz w:val="26"/>
        </w:rPr>
        <w:t>'</w:t>
      </w:r>
      <w:r>
        <w:rPr>
          <w:w w:val="70"/>
          <w:sz w:val="22"/>
        </w:rPr>
        <w:t>o</w:t>
      </w:r>
      <w:r>
        <w:rPr>
          <w:sz w:val="22"/>
        </w:rPr>
        <w:t> </w:t>
      </w:r>
      <w:r>
        <w:rPr>
          <w:spacing w:val="-12"/>
          <w:sz w:val="22"/>
        </w:rPr>
        <w:t> </w:t>
      </w:r>
      <w:r>
        <w:rPr>
          <w:w w:val="101"/>
          <w:sz w:val="25"/>
        </w:rPr>
        <w:t>&lt;</w:t>
      </w:r>
      <w:r>
        <w:rPr>
          <w:spacing w:val="20"/>
          <w:sz w:val="25"/>
        </w:rPr>
        <w:t> </w:t>
      </w:r>
      <w:r>
        <w:rPr>
          <w:w w:val="80"/>
          <w:sz w:val="22"/>
        </w:rPr>
        <w:t>10</w:t>
      </w:r>
      <w:r>
        <w:rPr>
          <w:spacing w:val="-42"/>
          <w:w w:val="79"/>
          <w:sz w:val="22"/>
        </w:rPr>
        <w:t>V</w:t>
      </w:r>
      <w:r>
        <w:rPr>
          <w:rFonts w:ascii="Arial"/>
          <w:spacing w:val="-71"/>
          <w:w w:val="170"/>
          <w:position w:val="2"/>
          <w:sz w:val="27"/>
        </w:rPr>
        <w:t>'</w:t>
      </w:r>
      <w:r>
        <w:rPr>
          <w:spacing w:val="-16"/>
          <w:w w:val="80"/>
          <w:sz w:val="22"/>
        </w:rPr>
        <w:t>,</w:t>
      </w:r>
      <w:r>
        <w:rPr>
          <w:w w:val="59"/>
          <w:sz w:val="22"/>
        </w:rPr>
        <w:t>o</w:t>
      </w:r>
      <w:r>
        <w:rPr>
          <w:sz w:val="22"/>
        </w:rPr>
        <w:t> </w:t>
      </w:r>
      <w:r>
        <w:rPr>
          <w:spacing w:val="-10"/>
          <w:sz w:val="22"/>
        </w:rPr>
        <w:t> </w:t>
      </w:r>
      <w:r>
        <w:rPr>
          <w:w w:val="101"/>
          <w:sz w:val="25"/>
        </w:rPr>
        <w:t>&lt;</w:t>
      </w:r>
      <w:r>
        <w:rPr>
          <w:spacing w:val="17"/>
          <w:sz w:val="25"/>
        </w:rPr>
        <w:t> </w:t>
      </w:r>
      <w:r>
        <w:rPr>
          <w:spacing w:val="-44"/>
          <w:w w:val="92"/>
          <w:sz w:val="22"/>
        </w:rPr>
        <w:t>1</w:t>
      </w:r>
      <w:r>
        <w:rPr>
          <w:w w:val="83"/>
          <w:sz w:val="22"/>
        </w:rPr>
        <w:t>0V</w:t>
      </w:r>
      <w:r>
        <w:rPr>
          <w:spacing w:val="-6"/>
          <w:w w:val="83"/>
          <w:sz w:val="22"/>
        </w:rPr>
        <w:t>,</w:t>
      </w:r>
      <w:r>
        <w:rPr>
          <w:w w:val="59"/>
          <w:sz w:val="22"/>
        </w:rPr>
        <w:t>o</w:t>
      </w:r>
    </w:p>
    <w:p>
      <w:pPr>
        <w:spacing w:after="0"/>
        <w:jc w:val="left"/>
        <w:rPr>
          <w:sz w:val="22"/>
        </w:rPr>
        <w:sectPr>
          <w:pgSz w:w="7200" w:h="11340"/>
          <w:pgMar w:top="480" w:bottom="280" w:left="620" w:right="540"/>
        </w:sectPr>
      </w:pPr>
    </w:p>
    <w:p>
      <w:pPr>
        <w:spacing w:line="357" w:lineRule="exact" w:before="47"/>
        <w:ind w:left="107" w:right="0" w:firstLine="0"/>
        <w:jc w:val="left"/>
        <w:rPr>
          <w:sz w:val="19"/>
        </w:rPr>
      </w:pPr>
      <w:r>
        <w:rPr/>
        <w:pict>
          <v:line style="position:absolute;mso-position-horizontal-relative:page;mso-position-vertical-relative:paragraph;z-index:-707632" from="77.580002pt,18.418821pt" to="206.820002pt,18.418821pt" stroked="true" strokeweight=".9pt" strokecolor="#000000">
            <w10:wrap type="none"/>
          </v:line>
        </w:pict>
      </w:r>
      <w:r>
        <w:rPr/>
        <w:pict>
          <v:shape style="position:absolute;margin-left:124.739998pt;margin-top:10.853768pt;width:40.950pt;height:7.5pt;mso-position-horizontal-relative:page;mso-position-vertical-relative:paragraph;z-index:-707584" type="#_x0000_t202" filled="false" stroked="false">
            <v:textbox inset="0,0,0,0">
              <w:txbxContent>
                <w:p>
                  <w:pPr>
                    <w:tabs>
                      <w:tab w:pos="741" w:val="left" w:leader="none"/>
                    </w:tabs>
                    <w:spacing w:line="150" w:lineRule="exact" w:before="0"/>
                    <w:ind w:left="0" w:right="0" w:firstLine="0"/>
                    <w:jc w:val="left"/>
                    <w:rPr>
                      <w:i/>
                      <w:sz w:val="15"/>
                    </w:rPr>
                  </w:pPr>
                  <w:r>
                    <w:rPr>
                      <w:i/>
                      <w:w w:val="185"/>
                      <w:sz w:val="15"/>
                    </w:rPr>
                    <w:t>i</w:t>
                    <w:tab/>
                  </w:r>
                  <w:r>
                    <w:rPr>
                      <w:i/>
                      <w:w w:val="55"/>
                      <w:sz w:val="15"/>
                    </w:rPr>
                    <w:t>:,:</w:t>
                  </w:r>
                </w:p>
              </w:txbxContent>
            </v:textbox>
            <w10:wrap type="none"/>
          </v:shape>
        </w:pict>
      </w:r>
      <w:r>
        <w:rPr>
          <w:b/>
          <w:position w:val="-8"/>
          <w:sz w:val="20"/>
        </w:rPr>
        <w:t>3</w:t>
      </w:r>
      <w:r>
        <w:rPr>
          <w:b/>
          <w:position w:val="-16"/>
          <w:sz w:val="17"/>
        </w:rPr>
        <w:t>60   </w:t>
      </w:r>
      <w:r>
        <w:rPr>
          <w:b/>
          <w:i/>
          <w:position w:val="-8"/>
          <w:sz w:val="22"/>
        </w:rPr>
        <w:t>p  </w:t>
      </w:r>
      <w:r>
        <w:rPr>
          <w:position w:val="-8"/>
          <w:sz w:val="28"/>
        </w:rPr>
        <w:t>= </w:t>
      </w:r>
      <w:r>
        <w:rPr>
          <w:b/>
          <w:position w:val="-8"/>
          <w:sz w:val="20"/>
        </w:rPr>
        <w:t>1 </w:t>
      </w:r>
      <w:r>
        <w:rPr>
          <w:rFonts w:ascii="Arial" w:hAnsi="Arial"/>
          <w:position w:val="-8"/>
          <w:sz w:val="31"/>
        </w:rPr>
        <w:t>+ </w:t>
      </w:r>
      <w:r>
        <w:rPr>
          <w:position w:val="-2"/>
          <w:sz w:val="19"/>
        </w:rPr>
        <w:t>( </w:t>
      </w:r>
      <w:r>
        <w:rPr>
          <w:b/>
          <w:position w:val="-8"/>
          <w:sz w:val="20"/>
        </w:rPr>
        <w:t>1 </w:t>
      </w:r>
      <w:r>
        <w:rPr>
          <w:rFonts w:ascii="Arial" w:hAnsi="Arial"/>
          <w:position w:val="-8"/>
          <w:sz w:val="31"/>
        </w:rPr>
        <w:t>+ </w:t>
      </w:r>
      <w:r>
        <w:rPr>
          <w:sz w:val="19"/>
        </w:rPr>
        <w:t>")•+2o(M'</w:t>
      </w:r>
    </w:p>
    <w:p>
      <w:pPr>
        <w:spacing w:line="248" w:lineRule="exact" w:before="0"/>
        <w:ind w:left="0" w:right="344" w:firstLine="0"/>
        <w:jc w:val="right"/>
        <w:rPr>
          <w:rFonts w:ascii="Arial"/>
          <w:i/>
          <w:sz w:val="26"/>
        </w:rPr>
      </w:pPr>
      <w:r>
        <w:rPr/>
        <w:drawing>
          <wp:anchor distT="0" distB="0" distL="0" distR="0" allowOverlap="1" layoutInCell="1" locked="0" behindDoc="0" simplePos="0" relativeHeight="28408">
            <wp:simplePos x="0" y="0"/>
            <wp:positionH relativeFrom="page">
              <wp:posOffset>3218688</wp:posOffset>
            </wp:positionH>
            <wp:positionV relativeFrom="paragraph">
              <wp:posOffset>195803</wp:posOffset>
            </wp:positionV>
            <wp:extent cx="896112" cy="301752"/>
            <wp:effectExtent l="0" t="0" r="0" b="0"/>
            <wp:wrapNone/>
            <wp:docPr id="837" name="image428.png" descr=""/>
            <wp:cNvGraphicFramePr>
              <a:graphicFrameLocks noChangeAspect="1"/>
            </wp:cNvGraphicFramePr>
            <a:graphic>
              <a:graphicData uri="http://schemas.openxmlformats.org/drawingml/2006/picture">
                <pic:pic>
                  <pic:nvPicPr>
                    <pic:cNvPr id="838" name="image428.png"/>
                    <pic:cNvPicPr/>
                  </pic:nvPicPr>
                  <pic:blipFill>
                    <a:blip r:embed="rId432" cstate="print"/>
                    <a:stretch>
                      <a:fillRect/>
                    </a:stretch>
                  </pic:blipFill>
                  <pic:spPr>
                    <a:xfrm>
                      <a:off x="0" y="0"/>
                      <a:ext cx="896112" cy="301752"/>
                    </a:xfrm>
                    <a:prstGeom prst="rect">
                      <a:avLst/>
                    </a:prstGeom>
                  </pic:spPr>
                </pic:pic>
              </a:graphicData>
            </a:graphic>
          </wp:anchor>
        </w:drawing>
      </w:r>
      <w:r>
        <w:rPr>
          <w:rFonts w:ascii="Arial"/>
          <w:i/>
          <w:w w:val="45"/>
          <w:sz w:val="26"/>
        </w:rPr>
        <w:t>8ioJ</w:t>
      </w:r>
    </w:p>
    <w:p>
      <w:pPr>
        <w:spacing w:before="52"/>
        <w:ind w:left="55" w:right="0" w:firstLine="0"/>
        <w:jc w:val="left"/>
        <w:rPr>
          <w:sz w:val="21"/>
        </w:rPr>
      </w:pPr>
      <w:r>
        <w:rPr/>
        <w:br w:type="column"/>
      </w:r>
      <w:r>
        <w:rPr>
          <w:w w:val="360"/>
          <w:sz w:val="15"/>
        </w:rPr>
        <w:t>-</w:t>
      </w:r>
      <w:r>
        <w:rPr>
          <w:spacing w:val="-117"/>
          <w:w w:val="360"/>
          <w:sz w:val="15"/>
        </w:rPr>
        <w:t> </w:t>
      </w:r>
      <w:r>
        <w:rPr>
          <w:i/>
          <w:spacing w:val="-7"/>
          <w:w w:val="105"/>
          <w:position w:val="9"/>
          <w:sz w:val="21"/>
        </w:rPr>
        <w:t>M'</w:t>
      </w:r>
      <w:r>
        <w:rPr>
          <w:b/>
          <w:spacing w:val="-7"/>
          <w:w w:val="105"/>
          <w:sz w:val="17"/>
        </w:rPr>
        <w:t>s+20 </w:t>
      </w:r>
      <w:r>
        <w:rPr>
          <w:w w:val="105"/>
          <w:position w:val="9"/>
          <w:sz w:val="21"/>
        </w:rPr>
        <w:t>)</w:t>
      </w:r>
    </w:p>
    <w:p>
      <w:pPr>
        <w:spacing w:after="0"/>
        <w:jc w:val="left"/>
        <w:rPr>
          <w:sz w:val="21"/>
        </w:rPr>
        <w:sectPr>
          <w:type w:val="continuous"/>
          <w:pgSz w:w="7200" w:h="11340"/>
          <w:pgMar w:top="1100" w:bottom="0" w:left="620" w:right="540"/>
          <w:cols w:num="2" w:equalWidth="0">
            <w:col w:w="2694" w:space="40"/>
            <w:col w:w="3306"/>
          </w:cols>
        </w:sectPr>
      </w:pPr>
    </w:p>
    <w:p>
      <w:pPr>
        <w:pStyle w:val="BodyText"/>
        <w:spacing w:before="6"/>
        <w:rPr>
          <w:sz w:val="9"/>
        </w:rPr>
      </w:pPr>
    </w:p>
    <w:p>
      <w:pPr>
        <w:spacing w:after="0"/>
        <w:rPr>
          <w:sz w:val="9"/>
        </w:rPr>
        <w:sectPr>
          <w:type w:val="continuous"/>
          <w:pgSz w:w="7200" w:h="11340"/>
          <w:pgMar w:top="1100" w:bottom="0" w:left="620" w:right="540"/>
        </w:sectPr>
      </w:pPr>
    </w:p>
    <w:p>
      <w:pPr>
        <w:pStyle w:val="BodyText"/>
        <w:rPr>
          <w:sz w:val="26"/>
        </w:rPr>
      </w:pPr>
    </w:p>
    <w:p>
      <w:pPr>
        <w:pStyle w:val="BodyText"/>
        <w:spacing w:before="11"/>
        <w:rPr>
          <w:sz w:val="28"/>
        </w:rPr>
      </w:pPr>
    </w:p>
    <w:p>
      <w:pPr>
        <w:spacing w:before="0"/>
        <w:ind w:left="434" w:right="-20" w:firstLine="0"/>
        <w:jc w:val="left"/>
        <w:rPr>
          <w:rFonts w:ascii="Arial"/>
          <w:sz w:val="26"/>
        </w:rPr>
      </w:pPr>
      <w:r>
        <w:rPr>
          <w:i/>
          <w:sz w:val="21"/>
        </w:rPr>
        <w:t>P </w:t>
      </w:r>
      <w:r>
        <w:rPr>
          <w:rFonts w:ascii="Arial"/>
          <w:sz w:val="26"/>
        </w:rPr>
        <w:t>=:</w:t>
      </w:r>
    </w:p>
    <w:p>
      <w:pPr>
        <w:pStyle w:val="BodyText"/>
        <w:rPr>
          <w:rFonts w:ascii="Arial"/>
          <w:sz w:val="22"/>
        </w:rPr>
      </w:pPr>
      <w:r>
        <w:rPr/>
        <w:br w:type="column"/>
      </w:r>
      <w:r>
        <w:rPr>
          <w:rFonts w:ascii="Arial"/>
          <w:sz w:val="22"/>
        </w:rPr>
      </w:r>
    </w:p>
    <w:p>
      <w:pPr>
        <w:pStyle w:val="BodyText"/>
        <w:spacing w:before="4"/>
        <w:rPr>
          <w:rFonts w:ascii="Arial"/>
          <w:sz w:val="25"/>
        </w:rPr>
      </w:pPr>
    </w:p>
    <w:p>
      <w:pPr>
        <w:spacing w:line="229" w:lineRule="exact" w:before="0"/>
        <w:ind w:left="121" w:right="0" w:firstLine="0"/>
        <w:jc w:val="left"/>
        <w:rPr>
          <w:rFonts w:ascii="Courier New"/>
          <w:sz w:val="22"/>
        </w:rPr>
      </w:pPr>
      <w:r>
        <w:rPr>
          <w:rFonts w:ascii="Courier New"/>
          <w:w w:val="79"/>
          <w:sz w:val="22"/>
        </w:rPr>
        <w:t>1</w:t>
      </w:r>
    </w:p>
    <w:p>
      <w:pPr>
        <w:spacing w:line="90" w:lineRule="exact" w:before="0"/>
        <w:ind w:left="35" w:right="-19" w:firstLine="0"/>
        <w:jc w:val="left"/>
        <w:rPr>
          <w:i/>
          <w:sz w:val="13"/>
        </w:rPr>
      </w:pPr>
      <w:r>
        <w:rPr>
          <w:i/>
          <w:w w:val="125"/>
          <w:sz w:val="13"/>
          <w:u w:val="thick"/>
        </w:rPr>
        <w:t>a=i</w:t>
      </w:r>
    </w:p>
    <w:p>
      <w:pPr>
        <w:spacing w:line="156" w:lineRule="exact" w:before="0"/>
        <w:ind w:left="24" w:right="-8" w:firstLine="0"/>
        <w:jc w:val="left"/>
        <w:rPr>
          <w:b/>
          <w:sz w:val="17"/>
        </w:rPr>
      </w:pPr>
      <w:r>
        <w:rPr>
          <w:b/>
          <w:w w:val="85"/>
          <w:sz w:val="17"/>
        </w:rPr>
        <w:t>vso,</w:t>
      </w:r>
    </w:p>
    <w:p>
      <w:pPr>
        <w:pStyle w:val="BodyText"/>
        <w:rPr>
          <w:b/>
          <w:sz w:val="12"/>
        </w:rPr>
      </w:pPr>
      <w:r>
        <w:rPr/>
        <w:br w:type="column"/>
      </w:r>
      <w:r>
        <w:rPr>
          <w:b/>
          <w:sz w:val="12"/>
        </w:rPr>
      </w:r>
    </w:p>
    <w:p>
      <w:pPr>
        <w:pStyle w:val="BodyText"/>
        <w:rPr>
          <w:b/>
          <w:sz w:val="12"/>
        </w:rPr>
      </w:pPr>
    </w:p>
    <w:p>
      <w:pPr>
        <w:pStyle w:val="BodyText"/>
        <w:rPr>
          <w:b/>
          <w:sz w:val="12"/>
        </w:rPr>
      </w:pPr>
    </w:p>
    <w:p>
      <w:pPr>
        <w:pStyle w:val="BodyText"/>
        <w:spacing w:before="10"/>
        <w:rPr>
          <w:b/>
          <w:sz w:val="17"/>
        </w:rPr>
      </w:pPr>
    </w:p>
    <w:p>
      <w:pPr>
        <w:spacing w:line="122" w:lineRule="exact" w:before="0"/>
        <w:ind w:left="223" w:right="0" w:firstLine="0"/>
        <w:jc w:val="center"/>
        <w:rPr>
          <w:rFonts w:ascii="Courier New"/>
          <w:sz w:val="13"/>
        </w:rPr>
      </w:pPr>
      <w:r>
        <w:rPr>
          <w:rFonts w:ascii="Courier New"/>
          <w:w w:val="92"/>
          <w:sz w:val="13"/>
        </w:rPr>
        <w:t>1</w:t>
      </w:r>
    </w:p>
    <w:p>
      <w:pPr>
        <w:spacing w:line="170" w:lineRule="exact" w:before="0"/>
        <w:ind w:left="305" w:right="0" w:firstLine="0"/>
        <w:jc w:val="center"/>
        <w:rPr>
          <w:rFonts w:ascii="Arial"/>
          <w:sz w:val="17"/>
        </w:rPr>
      </w:pPr>
      <w:r>
        <w:rPr/>
        <w:pict>
          <v:shape style="position:absolute;margin-left:93.059998pt;margin-top:-5.859379pt;width:9.8pt;height:15.5pt;mso-position-horizontal-relative:page;mso-position-vertical-relative:paragraph;z-index:28504" type="#_x0000_t202" filled="false" stroked="false">
            <v:textbox inset="0,0,0,0">
              <w:txbxContent>
                <w:p>
                  <w:pPr>
                    <w:spacing w:line="310" w:lineRule="exact" w:before="0"/>
                    <w:ind w:left="0" w:right="0" w:firstLine="0"/>
                    <w:jc w:val="left"/>
                    <w:rPr>
                      <w:rFonts w:ascii="Arial"/>
                      <w:sz w:val="31"/>
                    </w:rPr>
                  </w:pPr>
                  <w:r>
                    <w:rPr>
                      <w:rFonts w:ascii="Arial"/>
                      <w:w w:val="107"/>
                      <w:sz w:val="31"/>
                    </w:rPr>
                    <w:t>+</w:t>
                  </w:r>
                </w:p>
              </w:txbxContent>
            </v:textbox>
            <w10:wrap type="none"/>
          </v:shape>
        </w:pict>
      </w:r>
      <w:r>
        <w:rPr>
          <w:rFonts w:ascii="Arial"/>
          <w:w w:val="125"/>
          <w:sz w:val="17"/>
        </w:rPr>
        <w:t>P</w:t>
      </w:r>
      <w:r>
        <w:rPr>
          <w:rFonts w:ascii="Arial"/>
          <w:spacing w:val="-15"/>
          <w:w w:val="125"/>
          <w:sz w:val="17"/>
        </w:rPr>
        <w:t> </w:t>
      </w:r>
      <w:r>
        <w:rPr>
          <w:rFonts w:ascii="Arial"/>
          <w:spacing w:val="-10"/>
          <w:w w:val="125"/>
          <w:sz w:val="17"/>
        </w:rPr>
        <w:t>:io)</w:t>
      </w:r>
    </w:p>
    <w:p>
      <w:pPr>
        <w:spacing w:before="75"/>
        <w:ind w:left="434" w:right="0" w:firstLine="0"/>
        <w:jc w:val="left"/>
        <w:rPr>
          <w:sz w:val="19"/>
        </w:rPr>
      </w:pPr>
      <w:r>
        <w:rPr/>
        <w:br w:type="column"/>
      </w:r>
      <w:r>
        <w:rPr>
          <w:w w:val="110"/>
          <w:sz w:val="19"/>
        </w:rPr>
        <w:t>where</w:t>
      </w:r>
    </w:p>
    <w:p>
      <w:pPr>
        <w:spacing w:after="0"/>
        <w:jc w:val="left"/>
        <w:rPr>
          <w:sz w:val="19"/>
        </w:rPr>
        <w:sectPr>
          <w:type w:val="continuous"/>
          <w:pgSz w:w="7200" w:h="11340"/>
          <w:pgMar w:top="1100" w:bottom="0" w:left="620" w:right="540"/>
          <w:cols w:num="4" w:equalWidth="0">
            <w:col w:w="839" w:space="40"/>
            <w:col w:w="273" w:space="40"/>
            <w:col w:w="749" w:space="1174"/>
            <w:col w:w="2925"/>
          </w:cols>
        </w:sectPr>
      </w:pPr>
    </w:p>
    <w:p>
      <w:pPr>
        <w:tabs>
          <w:tab w:pos="2584" w:val="left" w:leader="none"/>
          <w:tab w:pos="5325" w:val="left" w:leader="none"/>
        </w:tabs>
        <w:spacing w:before="55"/>
        <w:ind w:left="109" w:right="0" w:firstLine="0"/>
        <w:jc w:val="left"/>
        <w:rPr>
          <w:rFonts w:ascii="Arial"/>
          <w:sz w:val="20"/>
        </w:rPr>
      </w:pPr>
      <w:r>
        <w:rPr>
          <w:color w:val="010101"/>
          <w:sz w:val="20"/>
        </w:rPr>
        <w:t>358</w:t>
        <w:tab/>
      </w:r>
      <w:r>
        <w:rPr>
          <w:b/>
          <w:color w:val="010101"/>
          <w:sz w:val="15"/>
        </w:rPr>
        <w:t>A.N8WKBS</w:t>
        <w:tab/>
      </w:r>
      <w:r>
        <w:rPr>
          <w:color w:val="010101"/>
          <w:sz w:val="20"/>
        </w:rPr>
        <w:t>(CH.</w:t>
      </w:r>
      <w:r>
        <w:rPr>
          <w:color w:val="010101"/>
          <w:spacing w:val="-17"/>
          <w:sz w:val="20"/>
        </w:rPr>
        <w:t> </w:t>
      </w:r>
      <w:r>
        <w:rPr>
          <w:rFonts w:ascii="Arial"/>
          <w:color w:val="010101"/>
          <w:sz w:val="20"/>
        </w:rPr>
        <w:t>6</w:t>
      </w:r>
    </w:p>
    <w:p>
      <w:pPr>
        <w:pStyle w:val="BodyText"/>
        <w:spacing w:before="9"/>
        <w:rPr>
          <w:rFonts w:ascii="Arial"/>
          <w:sz w:val="19"/>
        </w:rPr>
      </w:pPr>
    </w:p>
    <w:p>
      <w:pPr>
        <w:spacing w:before="0"/>
        <w:ind w:left="109" w:right="739" w:firstLine="0"/>
        <w:jc w:val="left"/>
        <w:rPr>
          <w:sz w:val="21"/>
        </w:rPr>
      </w:pPr>
      <w:r>
        <w:rPr>
          <w:color w:val="010101"/>
          <w:w w:val="105"/>
          <w:sz w:val="21"/>
        </w:rPr>
        <w:t>38.  3% %.</w:t>
      </w:r>
    </w:p>
    <w:p>
      <w:pPr>
        <w:tabs>
          <w:tab w:pos="1759" w:val="left" w:leader="none"/>
        </w:tabs>
        <w:spacing w:line="391" w:lineRule="exact" w:before="56"/>
        <w:ind w:left="112" w:right="739" w:firstLine="0"/>
        <w:jc w:val="left"/>
        <w:rPr>
          <w:i/>
          <w:sz w:val="18"/>
        </w:rPr>
      </w:pPr>
      <w:r>
        <w:rPr>
          <w:color w:val="010101"/>
          <w:w w:val="125"/>
          <w:position w:val="-7"/>
          <w:sz w:val="20"/>
        </w:rPr>
        <w:t>40</w:t>
      </w:r>
      <w:r>
        <w:rPr>
          <w:color w:val="010101"/>
          <w:w w:val="125"/>
          <w:sz w:val="20"/>
        </w:rPr>
        <w:t>. </w:t>
      </w:r>
      <w:r>
        <w:rPr>
          <w:rFonts w:ascii="Arial"/>
          <w:color w:val="010101"/>
          <w:w w:val="125"/>
          <w:sz w:val="18"/>
        </w:rPr>
        <w:t>(a) </w:t>
      </w:r>
      <w:r>
        <w:rPr>
          <w:i/>
          <w:color w:val="010101"/>
          <w:spacing w:val="4"/>
          <w:w w:val="125"/>
          <w:sz w:val="18"/>
          <w:u w:val="single" w:color="000000"/>
        </w:rPr>
        <w:t>Pj{</w:t>
      </w:r>
      <w:r>
        <w:rPr>
          <w:i/>
          <w:color w:val="010101"/>
          <w:spacing w:val="15"/>
          <w:w w:val="125"/>
          <w:sz w:val="18"/>
          <w:u w:val="single" w:color="000000"/>
        </w:rPr>
        <w:t> </w:t>
      </w:r>
      <w:r>
        <w:rPr>
          <w:i/>
          <w:color w:val="010101"/>
          <w:w w:val="105"/>
          <w:sz w:val="18"/>
          <w:u w:val="single" w:color="000000"/>
        </w:rPr>
        <w:t>z+i</w:t>
      </w:r>
      <w:r>
        <w:rPr>
          <w:i/>
          <w:color w:val="010101"/>
          <w:spacing w:val="27"/>
          <w:w w:val="105"/>
          <w:sz w:val="18"/>
          <w:u w:val="single" w:color="000000"/>
        </w:rPr>
        <w:t> </w:t>
      </w:r>
      <w:r>
        <w:rPr>
          <w:color w:val="010101"/>
          <w:w w:val="285"/>
          <w:sz w:val="18"/>
          <w:u w:val="single" w:color="000000"/>
        </w:rPr>
        <w:t>-</w:t>
      </w:r>
      <w:r>
        <w:rPr>
          <w:color w:val="010101"/>
          <w:w w:val="285"/>
          <w:sz w:val="18"/>
        </w:rPr>
        <w:tab/>
      </w:r>
      <w:r>
        <w:rPr>
          <w:i/>
          <w:color w:val="010101"/>
          <w:sz w:val="20"/>
          <w:u w:val="single" w:color="000000"/>
        </w:rPr>
        <w:t>M</w:t>
      </w:r>
      <w:r>
        <w:rPr>
          <w:i/>
          <w:color w:val="010101"/>
          <w:spacing w:val="-35"/>
          <w:sz w:val="20"/>
          <w:u w:val="single" w:color="000000"/>
        </w:rPr>
        <w:t> </w:t>
      </w:r>
      <w:r>
        <w:rPr>
          <w:i/>
          <w:color w:val="010101"/>
          <w:w w:val="80"/>
          <w:sz w:val="20"/>
          <w:u w:val="single" w:color="000000"/>
        </w:rPr>
        <w:t>z+11</w:t>
      </w:r>
      <w:r>
        <w:rPr>
          <w:i/>
          <w:color w:val="010101"/>
          <w:spacing w:val="-3"/>
          <w:w w:val="80"/>
          <w:sz w:val="20"/>
          <w:u w:val="single" w:color="000000"/>
        </w:rPr>
        <w:t> </w:t>
      </w:r>
      <w:r>
        <w:rPr>
          <w:rFonts w:ascii="Arial"/>
          <w:color w:val="010101"/>
          <w:sz w:val="31"/>
          <w:u w:val="single" w:color="000000"/>
        </w:rPr>
        <w:t>+</w:t>
      </w:r>
      <w:r>
        <w:rPr>
          <w:rFonts w:ascii="Arial"/>
          <w:color w:val="010101"/>
          <w:spacing w:val="-63"/>
          <w:sz w:val="31"/>
          <w:u w:val="single" w:color="000000"/>
        </w:rPr>
        <w:t> </w:t>
      </w:r>
      <w:r>
        <w:rPr>
          <w:i/>
          <w:color w:val="010101"/>
          <w:sz w:val="18"/>
          <w:u w:val="single" w:color="000000"/>
        </w:rPr>
        <w:t>Dz+n</w:t>
      </w:r>
    </w:p>
    <w:p>
      <w:pPr>
        <w:spacing w:line="161" w:lineRule="exact" w:before="0"/>
        <w:ind w:left="1321" w:right="739" w:firstLine="0"/>
        <w:jc w:val="left"/>
        <w:rPr>
          <w:b/>
          <w:i/>
          <w:sz w:val="16"/>
        </w:rPr>
      </w:pPr>
      <w:r>
        <w:rPr>
          <w:i/>
          <w:color w:val="010101"/>
          <w:w w:val="140"/>
          <w:sz w:val="15"/>
        </w:rPr>
        <w:t>N </w:t>
      </w:r>
      <w:r>
        <w:rPr>
          <w:i/>
          <w:color w:val="010101"/>
          <w:w w:val="95"/>
          <w:sz w:val="15"/>
        </w:rPr>
        <w:t>z+I  </w:t>
      </w:r>
      <w:r>
        <w:rPr>
          <w:color w:val="010101"/>
          <w:w w:val="355"/>
          <w:sz w:val="15"/>
        </w:rPr>
        <w:t>-</w:t>
      </w:r>
      <w:r>
        <w:rPr>
          <w:color w:val="010101"/>
          <w:spacing w:val="-103"/>
          <w:w w:val="355"/>
          <w:sz w:val="15"/>
        </w:rPr>
        <w:t> </w:t>
      </w:r>
      <w:r>
        <w:rPr>
          <w:b/>
          <w:i/>
          <w:color w:val="010101"/>
          <w:w w:val="140"/>
          <w:sz w:val="16"/>
        </w:rPr>
        <w:t>N </w:t>
      </w:r>
      <w:r>
        <w:rPr>
          <w:b/>
          <w:i/>
          <w:color w:val="010101"/>
          <w:w w:val="95"/>
          <w:sz w:val="16"/>
        </w:rPr>
        <w:t>z+11</w:t>
      </w:r>
    </w:p>
    <w:p>
      <w:pPr>
        <w:pStyle w:val="BodyText"/>
        <w:spacing w:before="109"/>
        <w:ind w:left="109" w:right="739"/>
      </w:pPr>
      <w:r>
        <w:rPr>
          <w:color w:val="010101"/>
          <w:w w:val="105"/>
        </w:rPr>
        <w:t>41. 2</w:t>
      </w:r>
    </w:p>
    <w:p>
      <w:pPr>
        <w:pStyle w:val="BodyText"/>
        <w:spacing w:before="2"/>
        <w:rPr>
          <w:sz w:val="10"/>
        </w:rPr>
      </w:pPr>
    </w:p>
    <w:p>
      <w:pPr>
        <w:spacing w:after="0"/>
        <w:rPr>
          <w:sz w:val="10"/>
        </w:rPr>
        <w:sectPr>
          <w:pgSz w:w="7200" w:h="11340"/>
          <w:pgMar w:top="520" w:bottom="280" w:left="680" w:right="540"/>
        </w:sectPr>
      </w:pPr>
    </w:p>
    <w:p>
      <w:pPr>
        <w:pStyle w:val="BodyText"/>
        <w:spacing w:before="6"/>
        <w:rPr>
          <w:sz w:val="25"/>
        </w:rPr>
      </w:pPr>
    </w:p>
    <w:p>
      <w:pPr>
        <w:spacing w:before="0"/>
        <w:ind w:left="467" w:right="0" w:firstLine="0"/>
        <w:jc w:val="center"/>
        <w:rPr>
          <w:i/>
          <w:sz w:val="20"/>
        </w:rPr>
      </w:pPr>
      <w:r>
        <w:rPr/>
        <w:pict>
          <v:line style="position:absolute;mso-position-horizontal-relative:page;mso-position-vertical-relative:paragraph;z-index:-707512" from="119.103104pt,15.078213pt" to="121.973104pt,15.078213pt" stroked="true" strokeweight="1.076233pt" strokecolor="#000000">
            <w10:wrap type="none"/>
          </v:line>
        </w:pict>
      </w:r>
      <w:r>
        <w:rPr>
          <w:color w:val="010101"/>
          <w:w w:val="155"/>
          <w:sz w:val="17"/>
        </w:rPr>
        <w:t>1</w:t>
      </w:r>
      <w:r>
        <w:rPr>
          <w:color w:val="010101"/>
          <w:spacing w:val="-22"/>
          <w:w w:val="155"/>
          <w:sz w:val="17"/>
        </w:rPr>
        <w:t> </w:t>
      </w:r>
      <w:r>
        <w:rPr>
          <w:color w:val="010101"/>
          <w:w w:val="310"/>
          <w:sz w:val="17"/>
        </w:rPr>
        <w:t>-</w:t>
      </w:r>
      <w:r>
        <w:rPr>
          <w:color w:val="010101"/>
          <w:spacing w:val="-54"/>
          <w:w w:val="310"/>
          <w:sz w:val="17"/>
        </w:rPr>
        <w:t> </w:t>
      </w:r>
      <w:r>
        <w:rPr>
          <w:rFonts w:ascii="Arial"/>
          <w:color w:val="010101"/>
          <w:w w:val="125"/>
          <w:sz w:val="19"/>
        </w:rPr>
        <w:t>(d</w:t>
      </w:r>
      <w:r>
        <w:rPr>
          <w:rFonts w:ascii="Arial"/>
          <w:color w:val="010101"/>
          <w:spacing w:val="-14"/>
          <w:w w:val="125"/>
          <w:sz w:val="19"/>
        </w:rPr>
        <w:t> </w:t>
      </w:r>
      <w:r>
        <w:rPr>
          <w:rFonts w:ascii="Arial"/>
          <w:color w:val="010101"/>
          <w:w w:val="255"/>
          <w:sz w:val="19"/>
        </w:rPr>
        <w:t>-</w:t>
      </w:r>
      <w:r>
        <w:rPr>
          <w:rFonts w:ascii="Arial"/>
          <w:color w:val="010101"/>
          <w:spacing w:val="-84"/>
          <w:w w:val="255"/>
          <w:sz w:val="19"/>
        </w:rPr>
        <w:t> </w:t>
      </w:r>
      <w:r>
        <w:rPr>
          <w:rFonts w:ascii="Arial"/>
          <w:i/>
          <w:color w:val="010101"/>
          <w:sz w:val="18"/>
        </w:rPr>
        <w:t>h)</w:t>
      </w:r>
      <w:r>
        <w:rPr>
          <w:rFonts w:ascii="Arial"/>
          <w:i/>
          <w:color w:val="010101"/>
          <w:spacing w:val="-26"/>
          <w:sz w:val="18"/>
        </w:rPr>
        <w:t> </w:t>
      </w:r>
      <w:r>
        <w:rPr>
          <w:color w:val="010101"/>
          <w:sz w:val="17"/>
        </w:rPr>
        <w:t>d:t</w:t>
      </w:r>
      <w:r>
        <w:rPr>
          <w:color w:val="010101"/>
          <w:spacing w:val="38"/>
          <w:sz w:val="17"/>
        </w:rPr>
        <w:t> </w:t>
      </w:r>
      <w:r>
        <w:rPr>
          <w:rFonts w:ascii="Arial"/>
          <w:color w:val="010101"/>
          <w:sz w:val="31"/>
        </w:rPr>
        <w:t>+</w:t>
      </w:r>
      <w:r>
        <w:rPr>
          <w:rFonts w:ascii="Arial"/>
          <w:color w:val="010101"/>
          <w:spacing w:val="-33"/>
          <w:sz w:val="31"/>
        </w:rPr>
        <w:t> </w:t>
      </w:r>
      <w:r>
        <w:rPr>
          <w:i/>
          <w:color w:val="010101"/>
          <w:w w:val="95"/>
          <w:sz w:val="20"/>
        </w:rPr>
        <w:t>le</w:t>
      </w:r>
    </w:p>
    <w:p>
      <w:pPr>
        <w:tabs>
          <w:tab w:pos="675" w:val="left" w:leader="none"/>
          <w:tab w:pos="1357" w:val="left" w:leader="none"/>
        </w:tabs>
        <w:spacing w:line="189" w:lineRule="exact" w:before="30"/>
        <w:ind w:left="227" w:right="0" w:firstLine="0"/>
        <w:jc w:val="left"/>
        <w:rPr>
          <w:sz w:val="19"/>
        </w:rPr>
      </w:pPr>
      <w:r>
        <w:rPr>
          <w:color w:val="010101"/>
          <w:w w:val="140"/>
          <w:sz w:val="19"/>
        </w:rPr>
        <w:t>l.</w:t>
        <w:tab/>
      </w:r>
      <w:r>
        <w:rPr>
          <w:color w:val="010101"/>
          <w:w w:val="185"/>
          <w:sz w:val="19"/>
        </w:rPr>
        <w:t>(</w:t>
        <w:tab/>
      </w:r>
      <w:r>
        <w:rPr>
          <w:color w:val="010101"/>
          <w:w w:val="140"/>
          <w:sz w:val="19"/>
        </w:rPr>
        <w:t>.</w:t>
      </w:r>
      <w:r>
        <w:rPr>
          <w:color w:val="010101"/>
          <w:spacing w:val="18"/>
          <w:w w:val="140"/>
          <w:sz w:val="19"/>
        </w:rPr>
        <w:t> </w:t>
      </w:r>
      <w:r>
        <w:rPr>
          <w:color w:val="010101"/>
          <w:spacing w:val="7"/>
          <w:w w:val="140"/>
          <w:sz w:val="19"/>
        </w:rPr>
        <w:t>\..</w:t>
      </w:r>
    </w:p>
    <w:p>
      <w:pPr>
        <w:pStyle w:val="BodyText"/>
        <w:spacing w:line="201" w:lineRule="exact"/>
        <w:ind w:left="593"/>
        <w:jc w:val="center"/>
      </w:pPr>
      <w:r>
        <w:rPr>
          <w:color w:val="010101"/>
          <w:w w:val="140"/>
        </w:rPr>
        <w:t>1 </w:t>
      </w:r>
      <w:r>
        <w:rPr>
          <w:color w:val="010101"/>
          <w:w w:val="260"/>
        </w:rPr>
        <w:t>-</w:t>
      </w:r>
      <w:r>
        <w:rPr>
          <w:color w:val="010101"/>
          <w:spacing w:val="-87"/>
          <w:w w:val="260"/>
        </w:rPr>
        <w:t> </w:t>
      </w:r>
      <w:r>
        <w:rPr>
          <w:color w:val="010101"/>
          <w:w w:val="140"/>
          <w:u w:val="thick" w:color="000000"/>
        </w:rPr>
        <w:t>1 </w:t>
      </w:r>
      <w:r>
        <w:rPr>
          <w:color w:val="010101"/>
          <w:w w:val="260"/>
          <w:u w:val="thick" w:color="000000"/>
        </w:rPr>
        <w:t>f</w:t>
      </w:r>
      <w:r>
        <w:rPr>
          <w:color w:val="010101"/>
          <w:spacing w:val="-98"/>
          <w:w w:val="260"/>
          <w:u w:val="thick" w:color="000000"/>
        </w:rPr>
        <w:t> </w:t>
      </w:r>
      <w:r>
        <w:rPr>
          <w:color w:val="010101"/>
        </w:rPr>
        <w:t>z:,i¡</w:t>
      </w:r>
    </w:p>
    <w:p>
      <w:pPr>
        <w:spacing w:before="77"/>
        <w:ind w:left="227" w:right="0" w:firstLine="0"/>
        <w:jc w:val="left"/>
        <w:rPr>
          <w:rFonts w:ascii="Arial"/>
          <w:sz w:val="18"/>
        </w:rPr>
      </w:pPr>
      <w:r>
        <w:rPr/>
        <w:br w:type="column"/>
      </w:r>
      <w:r>
        <w:rPr>
          <w:rFonts w:ascii="Arial"/>
          <w:color w:val="010101"/>
          <w:sz w:val="14"/>
        </w:rPr>
        <w:t>CHAPTER     </w:t>
      </w:r>
      <w:r>
        <w:rPr>
          <w:rFonts w:ascii="Arial"/>
          <w:color w:val="010101"/>
          <w:sz w:val="18"/>
        </w:rPr>
        <w:t>G</w:t>
      </w:r>
    </w:p>
    <w:p>
      <w:pPr>
        <w:spacing w:after="0"/>
        <w:jc w:val="left"/>
        <w:rPr>
          <w:rFonts w:ascii="Arial"/>
          <w:sz w:val="18"/>
        </w:rPr>
        <w:sectPr>
          <w:type w:val="continuous"/>
          <w:pgSz w:w="7200" w:h="11340"/>
          <w:pgMar w:top="1100" w:bottom="0" w:left="680" w:right="540"/>
          <w:cols w:num="2" w:equalWidth="0">
            <w:col w:w="2194" w:space="73"/>
            <w:col w:w="3713"/>
          </w:cols>
        </w:sectPr>
      </w:pPr>
    </w:p>
    <w:p>
      <w:pPr>
        <w:pStyle w:val="BodyText"/>
        <w:spacing w:before="4"/>
        <w:rPr>
          <w:rFonts w:ascii="Arial"/>
          <w:sz w:val="15"/>
        </w:rPr>
      </w:pPr>
    </w:p>
    <w:p>
      <w:pPr>
        <w:spacing w:before="59"/>
        <w:ind w:left="202" w:right="133" w:firstLine="0"/>
        <w:jc w:val="left"/>
        <w:rPr>
          <w:rFonts w:ascii="Arial" w:hAnsi="Arial"/>
          <w:i/>
          <w:sz w:val="20"/>
        </w:rPr>
      </w:pPr>
      <w:r>
        <w:rPr/>
        <w:pict>
          <v:line style="position:absolute;mso-position-horizontal-relative:page;mso-position-vertical-relative:paragraph;z-index:-707488" from="56.322868pt,20.745218pt" to="92.017938pt,20.745218pt" stroked="true" strokeweight="5.560538pt" strokecolor="#000000">
            <w10:wrap type="none"/>
          </v:line>
        </w:pict>
      </w:r>
      <w:r>
        <w:rPr>
          <w:color w:val="010101"/>
          <w:spacing w:val="-6"/>
          <w:w w:val="98"/>
          <w:sz w:val="23"/>
        </w:rPr>
        <w:t>2</w:t>
      </w:r>
      <w:r>
        <w:rPr>
          <w:color w:val="0F0F0F"/>
          <w:w w:val="142"/>
          <w:sz w:val="23"/>
        </w:rPr>
        <w:t>.</w:t>
      </w:r>
      <w:r>
        <w:rPr>
          <w:color w:val="0F0F0F"/>
          <w:spacing w:val="-3"/>
          <w:sz w:val="23"/>
        </w:rPr>
        <w:t> </w:t>
      </w:r>
      <w:r>
        <w:rPr>
          <w:color w:val="0F0F0F"/>
          <w:spacing w:val="-39"/>
          <w:w w:val="142"/>
          <w:sz w:val="23"/>
        </w:rPr>
        <w:t>.</w:t>
      </w:r>
      <w:r>
        <w:rPr>
          <w:color w:val="010101"/>
          <w:w w:val="111"/>
          <w:sz w:val="23"/>
        </w:rPr>
        <w:t>9a</w:t>
      </w:r>
      <w:r>
        <w:rPr>
          <w:color w:val="010101"/>
          <w:spacing w:val="-28"/>
          <w:w w:val="111"/>
          <w:sz w:val="23"/>
        </w:rPr>
        <w:t>!</w:t>
      </w:r>
      <w:r>
        <w:rPr>
          <w:color w:val="010101"/>
          <w:w w:val="127"/>
          <w:sz w:val="23"/>
        </w:rPr>
        <w:t>D,</w:t>
      </w:r>
      <w:r>
        <w:rPr>
          <w:color w:val="010101"/>
          <w:spacing w:val="10"/>
          <w:w w:val="127"/>
          <w:sz w:val="23"/>
        </w:rPr>
        <w:t>[</w:t>
      </w:r>
      <w:r>
        <w:rPr>
          <w:color w:val="010101"/>
          <w:spacing w:val="-56"/>
          <w:w w:val="117"/>
          <w:sz w:val="23"/>
        </w:rPr>
        <w:t>1</w:t>
      </w:r>
      <w:r>
        <w:rPr>
          <w:color w:val="010101"/>
          <w:w w:val="90"/>
          <w:sz w:val="23"/>
        </w:rPr>
        <w:t>000</w:t>
      </w:r>
      <w:r>
        <w:rPr>
          <w:color w:val="010101"/>
          <w:spacing w:val="-24"/>
          <w:sz w:val="23"/>
        </w:rPr>
        <w:t> </w:t>
      </w:r>
      <w:r>
        <w:rPr>
          <w:color w:val="010101"/>
          <w:spacing w:val="-4"/>
          <w:w w:val="182"/>
          <w:sz w:val="23"/>
        </w:rPr>
        <w:t>(</w:t>
      </w:r>
      <w:r>
        <w:rPr>
          <w:color w:val="010101"/>
          <w:w w:val="105"/>
          <w:sz w:val="23"/>
        </w:rPr>
        <w:t>1</w:t>
      </w:r>
      <w:r>
        <w:rPr>
          <w:color w:val="010101"/>
          <w:spacing w:val="-28"/>
          <w:sz w:val="23"/>
        </w:rPr>
        <w:t> </w:t>
      </w:r>
      <w:r>
        <w:rPr>
          <w:rFonts w:ascii="Arial" w:hAnsi="Arial"/>
          <w:color w:val="010101"/>
          <w:w w:val="106"/>
          <w:sz w:val="32"/>
        </w:rPr>
        <w:t>+</w:t>
      </w:r>
      <w:r>
        <w:rPr>
          <w:rFonts w:ascii="Arial" w:hAnsi="Arial"/>
          <w:color w:val="010101"/>
          <w:sz w:val="32"/>
        </w:rPr>
        <w:t> </w:t>
      </w:r>
      <w:r>
        <w:rPr>
          <w:rFonts w:ascii="Arial" w:hAnsi="Arial"/>
          <w:color w:val="010101"/>
          <w:spacing w:val="-34"/>
          <w:sz w:val="32"/>
        </w:rPr>
        <w:t> </w:t>
      </w:r>
      <w:r>
        <w:rPr>
          <w:rFonts w:ascii="Arial" w:hAnsi="Arial"/>
          <w:color w:val="010101"/>
          <w:spacing w:val="19"/>
          <w:w w:val="149"/>
          <w:sz w:val="32"/>
        </w:rPr>
        <w:t>)</w:t>
      </w:r>
      <w:r>
        <w:rPr>
          <w:rFonts w:ascii="Arial" w:hAnsi="Arial"/>
          <w:i/>
          <w:color w:val="010101"/>
          <w:w w:val="84"/>
          <w:sz w:val="20"/>
        </w:rPr>
        <w:t>(</w:t>
      </w:r>
      <w:r>
        <w:rPr>
          <w:rFonts w:ascii="Arial" w:hAnsi="Arial"/>
          <w:i/>
          <w:color w:val="010101"/>
          <w:spacing w:val="-34"/>
          <w:sz w:val="20"/>
        </w:rPr>
        <w:t> </w:t>
      </w:r>
      <w:r>
        <w:rPr>
          <w:rFonts w:ascii="Arial" w:hAnsi="Arial"/>
          <w:i/>
          <w:color w:val="010101"/>
          <w:w w:val="136"/>
          <w:sz w:val="20"/>
        </w:rPr>
        <w:t>M,</w:t>
      </w:r>
      <w:r>
        <w:rPr>
          <w:rFonts w:ascii="Arial" w:hAnsi="Arial"/>
          <w:i/>
          <w:color w:val="010101"/>
          <w:spacing w:val="-1"/>
          <w:sz w:val="20"/>
        </w:rPr>
        <w:t> </w:t>
      </w:r>
      <w:r>
        <w:rPr>
          <w:rFonts w:ascii="Arial" w:hAnsi="Arial"/>
          <w:color w:val="010101"/>
          <w:w w:val="261"/>
          <w:sz w:val="20"/>
        </w:rPr>
        <w:t>-</w:t>
      </w:r>
      <w:r>
        <w:rPr>
          <w:rFonts w:ascii="Arial" w:hAnsi="Arial"/>
          <w:color w:val="010101"/>
          <w:spacing w:val="6"/>
          <w:sz w:val="20"/>
        </w:rPr>
        <w:t> </w:t>
      </w:r>
      <w:r>
        <w:rPr>
          <w:rFonts w:ascii="Arial" w:hAnsi="Arial"/>
          <w:i/>
          <w:color w:val="010101"/>
          <w:w w:val="136"/>
          <w:sz w:val="20"/>
        </w:rPr>
        <w:t>M</w:t>
      </w:r>
      <w:r>
        <w:rPr>
          <w:rFonts w:ascii="Arial" w:hAnsi="Arial"/>
          <w:i/>
          <w:color w:val="010101"/>
          <w:spacing w:val="-25"/>
          <w:w w:val="136"/>
          <w:sz w:val="20"/>
        </w:rPr>
        <w:t>,</w:t>
      </w:r>
      <w:r>
        <w:rPr>
          <w:rFonts w:ascii="Arial" w:hAnsi="Arial"/>
          <w:i/>
          <w:color w:val="010101"/>
          <w:w w:val="120"/>
          <w:sz w:val="20"/>
        </w:rPr>
        <w:t>+</w:t>
      </w:r>
      <w:r>
        <w:rPr>
          <w:rFonts w:ascii="Arial" w:hAnsi="Arial"/>
          <w:i/>
          <w:color w:val="010101"/>
          <w:spacing w:val="-8"/>
          <w:w w:val="120"/>
          <w:sz w:val="20"/>
        </w:rPr>
        <w:t>.</w:t>
      </w:r>
      <w:r>
        <w:rPr>
          <w:rFonts w:ascii="Arial" w:hAnsi="Arial"/>
          <w:i/>
          <w:color w:val="010101"/>
          <w:w w:val="73"/>
          <w:sz w:val="20"/>
        </w:rPr>
        <w:t>)</w:t>
      </w:r>
      <w:r>
        <w:rPr>
          <w:rFonts w:ascii="Arial" w:hAnsi="Arial"/>
          <w:i/>
          <w:color w:val="010101"/>
          <w:sz w:val="20"/>
        </w:rPr>
        <w:t> </w:t>
      </w:r>
      <w:r>
        <w:rPr>
          <w:rFonts w:ascii="Arial" w:hAnsi="Arial"/>
          <w:i/>
          <w:color w:val="010101"/>
          <w:spacing w:val="-10"/>
          <w:sz w:val="20"/>
        </w:rPr>
        <w:t> </w:t>
      </w:r>
      <w:r>
        <w:rPr>
          <w:rFonts w:ascii="Arial" w:hAnsi="Arial"/>
          <w:color w:val="010101"/>
          <w:spacing w:val="19"/>
          <w:w w:val="106"/>
          <w:sz w:val="32"/>
        </w:rPr>
        <w:t>+</w:t>
      </w:r>
      <w:r>
        <w:rPr>
          <w:color w:val="010101"/>
          <w:spacing w:val="-155"/>
          <w:w w:val="224"/>
          <w:sz w:val="23"/>
        </w:rPr>
        <w:t>!</w:t>
      </w:r>
      <w:r>
        <w:rPr>
          <w:color w:val="010101"/>
          <w:w w:val="69"/>
          <w:sz w:val="23"/>
        </w:rPr>
        <w:t>OOOD&lt;+•</w:t>
      </w:r>
      <w:r>
        <w:rPr>
          <w:color w:val="010101"/>
          <w:sz w:val="23"/>
        </w:rPr>
        <w:t> </w:t>
      </w:r>
      <w:r>
        <w:rPr>
          <w:color w:val="010101"/>
          <w:spacing w:val="-22"/>
          <w:sz w:val="23"/>
        </w:rPr>
        <w:t> </w:t>
      </w:r>
      <w:r>
        <w:rPr>
          <w:rFonts w:ascii="Arial" w:hAnsi="Arial"/>
          <w:color w:val="010101"/>
          <w:w w:val="101"/>
          <w:sz w:val="32"/>
        </w:rPr>
        <w:t>+</w:t>
      </w:r>
      <w:r>
        <w:rPr>
          <w:rFonts w:ascii="Arial" w:hAnsi="Arial"/>
          <w:color w:val="010101"/>
          <w:spacing w:val="-29"/>
          <w:sz w:val="32"/>
        </w:rPr>
        <w:t> </w:t>
      </w:r>
      <w:r>
        <w:rPr>
          <w:rFonts w:ascii="Arial" w:hAnsi="Arial"/>
          <w:i/>
          <w:color w:val="010101"/>
          <w:w w:val="111"/>
          <w:sz w:val="20"/>
        </w:rPr>
        <w:t>5D,</w:t>
      </w:r>
    </w:p>
    <w:p>
      <w:pPr>
        <w:spacing w:before="5"/>
        <w:ind w:left="3890" w:right="0" w:firstLine="0"/>
        <w:jc w:val="left"/>
        <w:rPr>
          <w:sz w:val="55"/>
        </w:rPr>
      </w:pPr>
      <w:r>
        <w:rPr>
          <w:rFonts w:ascii="Arial"/>
          <w:color w:val="010101"/>
          <w:w w:val="115"/>
          <w:sz w:val="32"/>
        </w:rPr>
        <w:t>+</w:t>
      </w:r>
      <w:r>
        <w:rPr>
          <w:rFonts w:ascii="Arial"/>
          <w:color w:val="010101"/>
          <w:spacing w:val="-88"/>
          <w:w w:val="115"/>
          <w:sz w:val="32"/>
        </w:rPr>
        <w:t> </w:t>
      </w:r>
      <w:r>
        <w:rPr>
          <w:color w:val="010101"/>
          <w:spacing w:val="-3"/>
          <w:w w:val="115"/>
          <w:sz w:val="21"/>
        </w:rPr>
        <w:t>2.5(N,+1 </w:t>
      </w:r>
      <w:r>
        <w:rPr>
          <w:color w:val="010101"/>
          <w:w w:val="175"/>
          <w:sz w:val="21"/>
        </w:rPr>
        <w:t>-</w:t>
      </w:r>
      <w:r>
        <w:rPr>
          <w:color w:val="010101"/>
          <w:spacing w:val="-81"/>
          <w:w w:val="175"/>
          <w:sz w:val="21"/>
        </w:rPr>
        <w:t> </w:t>
      </w:r>
      <w:r>
        <w:rPr>
          <w:rFonts w:ascii="Arial"/>
          <w:i/>
          <w:color w:val="010101"/>
          <w:spacing w:val="-4"/>
          <w:w w:val="115"/>
          <w:sz w:val="20"/>
        </w:rPr>
        <w:t>N,+.)</w:t>
      </w:r>
      <w:r>
        <w:rPr>
          <w:rFonts w:ascii="Arial"/>
          <w:i/>
          <w:color w:val="010101"/>
          <w:spacing w:val="-54"/>
          <w:w w:val="115"/>
          <w:sz w:val="20"/>
        </w:rPr>
        <w:t> </w:t>
      </w:r>
      <w:r>
        <w:rPr>
          <w:color w:val="010101"/>
          <w:w w:val="90"/>
          <w:sz w:val="55"/>
        </w:rPr>
        <w:t>J</w:t>
      </w:r>
    </w:p>
    <w:p>
      <w:pPr>
        <w:pStyle w:val="BodyText"/>
        <w:spacing w:before="9"/>
        <w:rPr>
          <w:sz w:val="8"/>
        </w:rPr>
      </w:pPr>
    </w:p>
    <w:p>
      <w:pPr>
        <w:spacing w:line="353" w:lineRule="exact" w:before="61"/>
        <w:ind w:left="457" w:right="739" w:firstLine="0"/>
        <w:jc w:val="left"/>
        <w:rPr>
          <w:sz w:val="19"/>
        </w:rPr>
      </w:pPr>
      <w:r>
        <w:rPr/>
        <w:pict>
          <v:rect style="position:absolute;margin-left:125.560501pt;margin-top:18.136517pt;width:12.1973pt;height:6.457399pt;mso-position-horizontal-relative:page;mso-position-vertical-relative:paragraph;z-index:-707464" filled="true" fillcolor="#000000" stroked="false">
            <v:fill type="solid"/>
            <w10:wrap type="none"/>
          </v:rect>
        </w:pict>
      </w:r>
      <w:r>
        <w:rPr>
          <w:color w:val="010101"/>
          <w:w w:val="125"/>
          <w:sz w:val="19"/>
        </w:rPr>
        <w:t>(1 </w:t>
      </w:r>
      <w:r>
        <w:rPr>
          <w:rFonts w:ascii="Arial"/>
          <w:color w:val="010101"/>
          <w:w w:val="125"/>
          <w:sz w:val="31"/>
        </w:rPr>
        <w:t>+</w:t>
      </w:r>
      <w:r>
        <w:rPr>
          <w:rFonts w:ascii="Arial"/>
          <w:color w:val="010101"/>
          <w:spacing w:val="-73"/>
          <w:w w:val="125"/>
          <w:sz w:val="31"/>
        </w:rPr>
        <w:t> </w:t>
      </w:r>
      <w:r>
        <w:rPr>
          <w:i/>
          <w:color w:val="010101"/>
          <w:w w:val="95"/>
          <w:sz w:val="26"/>
        </w:rPr>
        <w:t>h )az </w:t>
      </w:r>
      <w:r>
        <w:rPr>
          <w:color w:val="010101"/>
          <w:w w:val="190"/>
          <w:sz w:val="26"/>
        </w:rPr>
        <w:t>-</w:t>
      </w:r>
      <w:r>
        <w:rPr>
          <w:color w:val="010101"/>
          <w:spacing w:val="-95"/>
          <w:w w:val="190"/>
          <w:sz w:val="26"/>
        </w:rPr>
        <w:t> </w:t>
      </w:r>
      <w:r>
        <w:rPr>
          <w:i/>
          <w:color w:val="010101"/>
          <w:w w:val="125"/>
          <w:sz w:val="26"/>
        </w:rPr>
        <w:t>m;: </w:t>
      </w:r>
      <w:r>
        <w:rPr>
          <w:color w:val="010101"/>
          <w:w w:val="125"/>
          <w:sz w:val="19"/>
        </w:rPr>
        <w:t>l</w:t>
      </w:r>
    </w:p>
    <w:p>
      <w:pPr>
        <w:tabs>
          <w:tab w:pos="2089" w:val="left" w:leader="none"/>
        </w:tabs>
        <w:spacing w:line="187" w:lineRule="exact" w:before="0"/>
        <w:ind w:left="198" w:right="739" w:firstLine="0"/>
        <w:jc w:val="left"/>
        <w:rPr>
          <w:rFonts w:ascii="Courier New"/>
          <w:sz w:val="22"/>
        </w:rPr>
      </w:pPr>
      <w:r>
        <w:rPr>
          <w:rFonts w:ascii="Courier New"/>
          <w:color w:val="010101"/>
          <w:spacing w:val="-14"/>
          <w:w w:val="110"/>
          <w:sz w:val="22"/>
        </w:rPr>
        <w:t>3.</w:t>
        <w:tab/>
      </w:r>
      <w:r>
        <w:rPr>
          <w:rFonts w:ascii="Courier New"/>
          <w:color w:val="010101"/>
          <w:w w:val="140"/>
          <w:sz w:val="22"/>
        </w:rPr>
        <w:t>-</w:t>
      </w:r>
    </w:p>
    <w:p>
      <w:pPr>
        <w:spacing w:line="153" w:lineRule="exact" w:before="0"/>
        <w:ind w:left="1501" w:right="0" w:firstLine="0"/>
        <w:jc w:val="left"/>
        <w:rPr>
          <w:i/>
          <w:sz w:val="20"/>
        </w:rPr>
      </w:pPr>
      <w:r>
        <w:rPr>
          <w:i/>
          <w:color w:val="010101"/>
          <w:w w:val="87"/>
          <w:sz w:val="20"/>
        </w:rPr>
        <w:t>k</w:t>
      </w:r>
    </w:p>
    <w:p>
      <w:pPr>
        <w:spacing w:line="120" w:lineRule="exact" w:before="0"/>
        <w:ind w:left="998" w:right="739" w:firstLine="0"/>
        <w:jc w:val="left"/>
        <w:rPr>
          <w:rFonts w:ascii="Arial"/>
          <w:sz w:val="19"/>
        </w:rPr>
      </w:pPr>
      <w:r>
        <w:rPr>
          <w:rFonts w:ascii="Arial"/>
          <w:color w:val="010101"/>
          <w:w w:val="155"/>
          <w:sz w:val="19"/>
        </w:rPr>
        <w:t>1</w:t>
      </w:r>
      <w:r>
        <w:rPr>
          <w:rFonts w:ascii="Arial"/>
          <w:color w:val="010101"/>
          <w:spacing w:val="-61"/>
          <w:w w:val="155"/>
          <w:sz w:val="19"/>
        </w:rPr>
        <w:t> </w:t>
      </w:r>
      <w:r>
        <w:rPr>
          <w:rFonts w:ascii="Arial"/>
          <w:color w:val="010101"/>
          <w:w w:val="290"/>
          <w:sz w:val="19"/>
        </w:rPr>
        <w:t>-</w:t>
      </w:r>
      <w:r>
        <w:rPr>
          <w:rFonts w:ascii="Arial"/>
          <w:color w:val="010101"/>
          <w:spacing w:val="-99"/>
          <w:w w:val="290"/>
          <w:sz w:val="19"/>
        </w:rPr>
        <w:t> </w:t>
      </w:r>
      <w:r>
        <w:rPr>
          <w:rFonts w:ascii="Arial"/>
          <w:color w:val="010101"/>
          <w:w w:val="550"/>
          <w:sz w:val="19"/>
        </w:rPr>
        <w:t>-</w:t>
      </w:r>
    </w:p>
    <w:p>
      <w:pPr>
        <w:pStyle w:val="BodyText"/>
        <w:spacing w:line="183" w:lineRule="exact"/>
        <w:ind w:left="1411" w:right="739"/>
      </w:pPr>
      <w:r>
        <w:rPr>
          <w:color w:val="010101"/>
          <w:w w:val="115"/>
        </w:rPr>
        <w:t>100</w:t>
      </w:r>
    </w:p>
    <w:p>
      <w:pPr>
        <w:spacing w:line="306" w:lineRule="exact" w:before="67"/>
        <w:ind w:left="198" w:right="739" w:firstLine="0"/>
        <w:jc w:val="left"/>
        <w:rPr>
          <w:i/>
          <w:sz w:val="20"/>
        </w:rPr>
      </w:pPr>
      <w:r>
        <w:rPr>
          <w:color w:val="010101"/>
          <w:w w:val="115"/>
          <w:position w:val="-8"/>
          <w:sz w:val="19"/>
        </w:rPr>
        <w:t>4</w:t>
      </w:r>
      <w:r>
        <w:rPr>
          <w:color w:val="010101"/>
          <w:w w:val="115"/>
          <w:sz w:val="19"/>
        </w:rPr>
        <w:t>. </w:t>
      </w:r>
      <w:r>
        <w:rPr>
          <w:i/>
          <w:color w:val="010101"/>
          <w:sz w:val="22"/>
        </w:rPr>
        <w:t>p  </w:t>
      </w:r>
      <w:r>
        <w:rPr>
          <w:color w:val="010101"/>
          <w:sz w:val="24"/>
        </w:rPr>
        <w:t>=  </w:t>
      </w:r>
      <w:r>
        <w:rPr>
          <w:i/>
          <w:color w:val="010101"/>
          <w:sz w:val="20"/>
          <w:u w:val="single" w:color="000000"/>
        </w:rPr>
        <w:t>M z  </w:t>
      </w:r>
      <w:r>
        <w:rPr>
          <w:color w:val="010101"/>
          <w:sz w:val="29"/>
          <w:u w:val="single" w:color="000000"/>
        </w:rPr>
        <w:t>+ </w:t>
      </w:r>
      <w:r>
        <w:rPr>
          <w:color w:val="010101"/>
          <w:w w:val="115"/>
          <w:sz w:val="19"/>
          <w:u w:val="single" w:color="000000"/>
        </w:rPr>
        <w:t>c(l  </w:t>
      </w:r>
      <w:r>
        <w:rPr>
          <w:color w:val="010101"/>
          <w:sz w:val="29"/>
          <w:u w:val="single" w:color="000000"/>
        </w:rPr>
        <w:t>+ </w:t>
      </w:r>
      <w:r>
        <w:rPr>
          <w:i/>
          <w:color w:val="010101"/>
          <w:sz w:val="20"/>
          <w:u w:val="single" w:color="000000"/>
        </w:rPr>
        <w:t>k )Rz</w:t>
      </w:r>
    </w:p>
    <w:p>
      <w:pPr>
        <w:spacing w:line="261" w:lineRule="exact" w:before="0"/>
        <w:ind w:left="977" w:right="739" w:firstLine="0"/>
        <w:jc w:val="left"/>
        <w:rPr>
          <w:i/>
          <w:sz w:val="20"/>
        </w:rPr>
      </w:pPr>
      <w:r>
        <w:rPr>
          <w:i/>
          <w:color w:val="010101"/>
          <w:w w:val="110"/>
          <w:sz w:val="20"/>
        </w:rPr>
        <w:t>N </w:t>
      </w:r>
      <w:r>
        <w:rPr>
          <w:i/>
          <w:color w:val="010101"/>
          <w:sz w:val="20"/>
        </w:rPr>
        <w:t>z </w:t>
      </w:r>
      <w:r>
        <w:rPr>
          <w:color w:val="010101"/>
          <w:w w:val="255"/>
          <w:sz w:val="20"/>
        </w:rPr>
        <w:t>-</w:t>
      </w:r>
      <w:r>
        <w:rPr>
          <w:color w:val="010101"/>
          <w:spacing w:val="-58"/>
          <w:w w:val="255"/>
          <w:sz w:val="20"/>
        </w:rPr>
        <w:t> </w:t>
      </w:r>
      <w:r>
        <w:rPr>
          <w:color w:val="010101"/>
          <w:w w:val="110"/>
          <w:sz w:val="20"/>
        </w:rPr>
        <w:t>(I </w:t>
      </w:r>
      <w:r>
        <w:rPr>
          <w:rFonts w:ascii="Arial"/>
          <w:color w:val="010101"/>
          <w:w w:val="110"/>
          <w:sz w:val="31"/>
        </w:rPr>
        <w:t>+ </w:t>
      </w:r>
      <w:r>
        <w:rPr>
          <w:i/>
          <w:color w:val="010101"/>
          <w:w w:val="110"/>
          <w:sz w:val="20"/>
        </w:rPr>
        <w:t>k </w:t>
      </w:r>
      <w:r>
        <w:rPr>
          <w:i/>
          <w:color w:val="010101"/>
          <w:sz w:val="20"/>
        </w:rPr>
        <w:t>) </w:t>
      </w:r>
      <w:r>
        <w:rPr>
          <w:i/>
          <w:color w:val="010101"/>
          <w:w w:val="110"/>
          <w:sz w:val="20"/>
        </w:rPr>
        <w:t>Rz</w:t>
      </w:r>
    </w:p>
    <w:p>
      <w:pPr>
        <w:spacing w:before="9"/>
        <w:ind w:left="202" w:right="739" w:firstLine="0"/>
        <w:jc w:val="left"/>
        <w:rPr>
          <w:b/>
          <w:i/>
          <w:sz w:val="22"/>
        </w:rPr>
      </w:pPr>
      <w:r>
        <w:rPr>
          <w:color w:val="010101"/>
          <w:spacing w:val="3"/>
          <w:sz w:val="22"/>
        </w:rPr>
        <w:t>7</w:t>
      </w:r>
      <w:r>
        <w:rPr>
          <w:color w:val="1F1F1F"/>
          <w:spacing w:val="3"/>
          <w:sz w:val="22"/>
        </w:rPr>
        <w:t>.· </w:t>
      </w:r>
      <w:r>
        <w:rPr>
          <w:i/>
          <w:color w:val="010101"/>
          <w:sz w:val="19"/>
        </w:rPr>
        <w:t>aDz </w:t>
      </w:r>
      <w:r>
        <w:rPr>
          <w:rFonts w:ascii="Arial" w:hAnsi="Arial"/>
          <w:color w:val="010101"/>
          <w:sz w:val="30"/>
        </w:rPr>
        <w:t>+ </w:t>
      </w:r>
      <w:r>
        <w:rPr>
          <w:i/>
          <w:color w:val="010101"/>
          <w:spacing w:val="2"/>
          <w:sz w:val="18"/>
        </w:rPr>
        <w:t>{jNz+l  </w:t>
      </w:r>
      <w:r>
        <w:rPr>
          <w:color w:val="010101"/>
          <w:w w:val="270"/>
          <w:sz w:val="18"/>
        </w:rPr>
        <w:t>-</w:t>
      </w:r>
      <w:r>
        <w:rPr>
          <w:color w:val="010101"/>
          <w:spacing w:val="-70"/>
          <w:w w:val="270"/>
          <w:sz w:val="18"/>
        </w:rPr>
        <w:t> </w:t>
      </w:r>
      <w:r>
        <w:rPr>
          <w:b/>
          <w:i/>
          <w:color w:val="010101"/>
          <w:sz w:val="22"/>
        </w:rPr>
        <w:t>M z</w:t>
      </w:r>
    </w:p>
    <w:p>
      <w:pPr>
        <w:tabs>
          <w:tab w:pos="693" w:val="left" w:leader="none"/>
        </w:tabs>
        <w:spacing w:line="335" w:lineRule="exact" w:before="78"/>
        <w:ind w:left="195" w:right="739" w:firstLine="0"/>
        <w:jc w:val="left"/>
        <w:rPr>
          <w:sz w:val="30"/>
        </w:rPr>
      </w:pPr>
      <w:r>
        <w:rPr>
          <w:color w:val="010101"/>
          <w:spacing w:val="-7"/>
          <w:w w:val="115"/>
          <w:sz w:val="30"/>
        </w:rPr>
        <w:t>s.</w:t>
        <w:tab/>
      </w:r>
      <w:r>
        <w:rPr>
          <w:rFonts w:ascii="Arial"/>
          <w:color w:val="010101"/>
          <w:w w:val="115"/>
          <w:position w:val="14"/>
          <w:sz w:val="19"/>
        </w:rPr>
        <w:t>3</w:t>
      </w:r>
      <w:r>
        <w:rPr>
          <w:rFonts w:ascii="Arial"/>
          <w:color w:val="010101"/>
          <w:spacing w:val="-22"/>
          <w:w w:val="115"/>
          <w:position w:val="14"/>
          <w:sz w:val="19"/>
        </w:rPr>
        <w:t> </w:t>
      </w:r>
      <w:r>
        <w:rPr>
          <w:color w:val="010101"/>
          <w:w w:val="240"/>
          <w:sz w:val="30"/>
        </w:rPr>
        <w:t>-</w:t>
      </w:r>
    </w:p>
    <w:p>
      <w:pPr>
        <w:spacing w:line="171" w:lineRule="exact" w:before="0"/>
        <w:ind w:left="435" w:right="739" w:firstLine="0"/>
        <w:jc w:val="left"/>
        <w:rPr>
          <w:rFonts w:ascii="Arial" w:hAnsi="Arial"/>
          <w:sz w:val="19"/>
        </w:rPr>
      </w:pPr>
      <w:r>
        <w:rPr>
          <w:rFonts w:ascii="Arial" w:hAnsi="Arial"/>
          <w:color w:val="010101"/>
          <w:sz w:val="19"/>
        </w:rPr>
        <w:t>4az:ñ=il</w:t>
      </w:r>
    </w:p>
    <w:p>
      <w:pPr>
        <w:spacing w:before="31"/>
        <w:ind w:left="116" w:right="739" w:firstLine="0"/>
        <w:jc w:val="left"/>
        <w:rPr>
          <w:rFonts w:ascii="Arial"/>
          <w:i/>
          <w:sz w:val="43"/>
        </w:rPr>
      </w:pPr>
      <w:r>
        <w:rPr>
          <w:color w:val="010101"/>
          <w:w w:val="106"/>
          <w:sz w:val="19"/>
        </w:rPr>
        <w:t>11.</w:t>
      </w:r>
      <w:r>
        <w:rPr>
          <w:color w:val="010101"/>
          <w:sz w:val="19"/>
        </w:rPr>
        <w:t> </w:t>
      </w:r>
      <w:r>
        <w:rPr>
          <w:color w:val="010101"/>
          <w:spacing w:val="-21"/>
          <w:sz w:val="19"/>
        </w:rPr>
        <w:t> </w:t>
      </w:r>
      <w:r>
        <w:rPr>
          <w:rFonts w:ascii="Arial"/>
          <w:color w:val="010101"/>
          <w:w w:val="133"/>
          <w:sz w:val="11"/>
        </w:rPr>
        <w:t>QF</w:t>
      </w:r>
      <w:r>
        <w:rPr>
          <w:rFonts w:ascii="Arial"/>
          <w:color w:val="010101"/>
          <w:sz w:val="11"/>
        </w:rPr>
        <w:t>  </w:t>
      </w:r>
      <w:r>
        <w:rPr>
          <w:rFonts w:ascii="Arial"/>
          <w:color w:val="010101"/>
          <w:spacing w:val="-2"/>
          <w:sz w:val="11"/>
        </w:rPr>
        <w:t> </w:t>
      </w:r>
      <w:r>
        <w:rPr>
          <w:color w:val="010101"/>
          <w:w w:val="91"/>
          <w:sz w:val="26"/>
        </w:rPr>
        <w:t>=</w:t>
      </w:r>
      <w:r>
        <w:rPr>
          <w:color w:val="010101"/>
          <w:spacing w:val="29"/>
          <w:sz w:val="26"/>
        </w:rPr>
        <w:t> </w:t>
      </w:r>
      <w:r>
        <w:rPr>
          <w:rFonts w:ascii="Arial"/>
          <w:i/>
          <w:color w:val="010101"/>
          <w:w w:val="48"/>
          <w:sz w:val="43"/>
        </w:rPr>
        <w:t>5</w:t>
      </w:r>
      <w:r>
        <w:rPr>
          <w:rFonts w:ascii="Arial"/>
          <w:i/>
          <w:color w:val="010101"/>
          <w:spacing w:val="-45"/>
          <w:w w:val="48"/>
          <w:sz w:val="43"/>
        </w:rPr>
        <w:t>g</w:t>
      </w:r>
      <w:r>
        <w:rPr>
          <w:rFonts w:ascii="Arial"/>
          <w:i/>
          <w:color w:val="010101"/>
          <w:w w:val="139"/>
          <w:sz w:val="43"/>
        </w:rPr>
        <w:t>;</w:t>
      </w:r>
    </w:p>
    <w:p>
      <w:pPr>
        <w:spacing w:line="281" w:lineRule="exact" w:before="177"/>
        <w:ind w:left="428" w:right="739" w:firstLine="0"/>
        <w:jc w:val="left"/>
        <w:rPr>
          <w:i/>
          <w:sz w:val="22"/>
        </w:rPr>
      </w:pPr>
      <w:r>
        <w:rPr>
          <w:color w:val="010101"/>
          <w:sz w:val="18"/>
        </w:rPr>
        <w:t>fjF </w:t>
      </w:r>
      <w:r>
        <w:rPr>
          <w:color w:val="010101"/>
          <w:sz w:val="26"/>
        </w:rPr>
        <w:t>= </w:t>
      </w:r>
      <w:r>
        <w:rPr>
          <w:i/>
          <w:color w:val="010101"/>
          <w:sz w:val="22"/>
          <w:u w:val="single" w:color="000000"/>
        </w:rPr>
        <w:t>5M ü </w:t>
      </w:r>
      <w:r>
        <w:rPr>
          <w:color w:val="010101"/>
          <w:w w:val="235"/>
          <w:sz w:val="22"/>
          <w:u w:val="single" w:color="000000"/>
        </w:rPr>
        <w:t>-</w:t>
      </w:r>
      <w:r>
        <w:rPr>
          <w:color w:val="010101"/>
          <w:spacing w:val="-59"/>
          <w:w w:val="235"/>
          <w:sz w:val="22"/>
          <w:u w:val="single" w:color="000000"/>
        </w:rPr>
        <w:t> </w:t>
      </w:r>
      <w:r>
        <w:rPr>
          <w:i/>
          <w:color w:val="010101"/>
          <w:sz w:val="22"/>
          <w:u w:val="single" w:color="000000"/>
        </w:rPr>
        <w:t>4M .,</w:t>
      </w:r>
      <w:r>
        <w:rPr>
          <w:i/>
          <w:color w:val="010101"/>
          <w:sz w:val="22"/>
        </w:rPr>
        <w:t>,</w:t>
      </w:r>
    </w:p>
    <w:p>
      <w:pPr>
        <w:spacing w:line="235" w:lineRule="exact" w:before="0"/>
        <w:ind w:left="74" w:right="3060" w:firstLine="0"/>
        <w:jc w:val="center"/>
        <w:rPr>
          <w:i/>
          <w:sz w:val="22"/>
        </w:rPr>
      </w:pPr>
      <w:r>
        <w:rPr>
          <w:i/>
          <w:color w:val="010101"/>
          <w:w w:val="110"/>
          <w:sz w:val="22"/>
        </w:rPr>
        <w:t>N a </w:t>
      </w:r>
      <w:r>
        <w:rPr>
          <w:color w:val="010101"/>
          <w:w w:val="230"/>
          <w:sz w:val="22"/>
        </w:rPr>
        <w:t>-</w:t>
      </w:r>
      <w:r>
        <w:rPr>
          <w:color w:val="010101"/>
          <w:spacing w:val="-104"/>
          <w:w w:val="230"/>
          <w:sz w:val="22"/>
        </w:rPr>
        <w:t> </w:t>
      </w:r>
      <w:r>
        <w:rPr>
          <w:i/>
          <w:color w:val="010101"/>
          <w:w w:val="110"/>
          <w:sz w:val="22"/>
        </w:rPr>
        <w:t>Na</w:t>
      </w:r>
    </w:p>
    <w:p>
      <w:pPr>
        <w:spacing w:before="44"/>
        <w:ind w:left="120" w:right="739" w:firstLine="0"/>
        <w:jc w:val="left"/>
        <w:rPr>
          <w:sz w:val="16"/>
        </w:rPr>
      </w:pPr>
      <w:r>
        <w:rPr>
          <w:color w:val="010101"/>
          <w:sz w:val="20"/>
        </w:rPr>
        <w:t>12. </w:t>
      </w:r>
      <w:r>
        <w:rPr>
          <w:color w:val="010101"/>
          <w:sz w:val="18"/>
        </w:rPr>
        <w:t>acora  </w:t>
      </w:r>
      <w:r>
        <w:rPr>
          <w:color w:val="010101"/>
          <w:w w:val="275"/>
          <w:sz w:val="18"/>
        </w:rPr>
        <w:t>- </w:t>
      </w:r>
      <w:r>
        <w:rPr>
          <w:rFonts w:ascii="Arial"/>
          <w:i/>
          <w:color w:val="010101"/>
          <w:sz w:val="13"/>
        </w:rPr>
        <w:t>Cz  </w:t>
      </w:r>
      <w:r>
        <w:rPr>
          <w:color w:val="010101"/>
          <w:sz w:val="26"/>
        </w:rPr>
        <w:t>= </w:t>
      </w:r>
      <w:r>
        <w:rPr>
          <w:color w:val="010101"/>
          <w:spacing w:val="-5"/>
          <w:sz w:val="18"/>
        </w:rPr>
        <w:t>fjcom.  </w:t>
      </w:r>
      <w:r>
        <w:rPr>
          <w:color w:val="010101"/>
          <w:w w:val="275"/>
          <w:sz w:val="18"/>
        </w:rPr>
        <w:t>-</w:t>
      </w:r>
      <w:r>
        <w:rPr>
          <w:color w:val="010101"/>
          <w:spacing w:val="-89"/>
          <w:w w:val="275"/>
          <w:sz w:val="18"/>
        </w:rPr>
        <w:t> </w:t>
      </w:r>
      <w:r>
        <w:rPr>
          <w:color w:val="010101"/>
          <w:sz w:val="16"/>
        </w:rPr>
        <w:t>11Pz+1</w:t>
      </w:r>
    </w:p>
    <w:p>
      <w:pPr>
        <w:tabs>
          <w:tab w:pos="1271" w:val="left" w:leader="none"/>
        </w:tabs>
        <w:spacing w:line="299" w:lineRule="exact" w:before="81"/>
        <w:ind w:left="446" w:right="739" w:firstLine="0"/>
        <w:jc w:val="left"/>
        <w:rPr>
          <w:sz w:val="14"/>
        </w:rPr>
      </w:pPr>
      <w:r>
        <w:rPr/>
        <w:pict>
          <v:shape style="position:absolute;margin-left:39.820629pt;margin-top:14.359478pt;width:9.8pt;height:9.5pt;mso-position-horizontal-relative:page;mso-position-vertical-relative:paragraph;z-index:-707440" type="#_x0000_t202" filled="false" stroked="false">
            <v:textbox inset="0,0,0,0">
              <w:txbxContent>
                <w:p>
                  <w:pPr>
                    <w:spacing w:line="190" w:lineRule="exact" w:before="0"/>
                    <w:ind w:left="0" w:right="-18" w:firstLine="0"/>
                    <w:jc w:val="left"/>
                    <w:rPr>
                      <w:sz w:val="19"/>
                    </w:rPr>
                  </w:pPr>
                  <w:r>
                    <w:rPr>
                      <w:color w:val="010101"/>
                      <w:spacing w:val="-22"/>
                      <w:w w:val="125"/>
                      <w:sz w:val="19"/>
                    </w:rPr>
                    <w:t>13</w:t>
                  </w:r>
                </w:p>
              </w:txbxContent>
            </v:textbox>
            <w10:wrap type="none"/>
          </v:shape>
        </w:pict>
      </w:r>
      <w:r>
        <w:rPr>
          <w:i/>
          <w:color w:val="010101"/>
          <w:w w:val="136"/>
          <w:position w:val="2"/>
          <w:sz w:val="18"/>
        </w:rPr>
        <w:t>Re-</w:t>
      </w:r>
      <w:r>
        <w:rPr>
          <w:i/>
          <w:color w:val="010101"/>
          <w:position w:val="2"/>
          <w:sz w:val="18"/>
        </w:rPr>
        <w:t>  </w:t>
      </w:r>
      <w:r>
        <w:rPr>
          <w:i/>
          <w:color w:val="010101"/>
          <w:spacing w:val="-22"/>
          <w:position w:val="2"/>
          <w:sz w:val="18"/>
        </w:rPr>
        <w:t> </w:t>
      </w:r>
      <w:r>
        <w:rPr>
          <w:color w:val="010101"/>
          <w:w w:val="137"/>
          <w:position w:val="2"/>
          <w:sz w:val="18"/>
        </w:rPr>
        <w:t>_</w:t>
      </w:r>
      <w:r>
        <w:rPr>
          <w:color w:val="010101"/>
          <w:position w:val="2"/>
          <w:sz w:val="18"/>
        </w:rPr>
        <w:tab/>
      </w:r>
      <w:r>
        <w:rPr>
          <w:rFonts w:ascii="Arial"/>
          <w:color w:val="010101"/>
          <w:w w:val="221"/>
          <w:sz w:val="11"/>
        </w:rPr>
        <w:t>0</w:t>
      </w:r>
      <w:r>
        <w:rPr>
          <w:rFonts w:ascii="Arial"/>
          <w:color w:val="010101"/>
          <w:sz w:val="11"/>
        </w:rPr>
        <w:t>    </w:t>
      </w:r>
      <w:r>
        <w:rPr>
          <w:rFonts w:ascii="Arial"/>
          <w:color w:val="010101"/>
          <w:spacing w:val="2"/>
          <w:sz w:val="11"/>
        </w:rPr>
        <w:t> </w:t>
      </w:r>
      <w:r>
        <w:rPr>
          <w:color w:val="010101"/>
          <w:w w:val="164"/>
          <w:position w:val="2"/>
          <w:sz w:val="9"/>
        </w:rPr>
        <w:t>;-;i</w:t>
      </w:r>
      <w:r>
        <w:rPr>
          <w:color w:val="010101"/>
          <w:position w:val="2"/>
          <w:sz w:val="9"/>
        </w:rPr>
        <w:t>  </w:t>
      </w:r>
      <w:r>
        <w:rPr>
          <w:color w:val="010101"/>
          <w:spacing w:val="10"/>
          <w:position w:val="2"/>
          <w:sz w:val="9"/>
        </w:rPr>
        <w:t> </w:t>
      </w:r>
      <w:r>
        <w:rPr>
          <w:color w:val="010101"/>
          <w:w w:val="100"/>
          <w:position w:val="2"/>
          <w:sz w:val="29"/>
        </w:rPr>
        <w:t>+</w:t>
      </w:r>
      <w:r>
        <w:rPr>
          <w:color w:val="010101"/>
          <w:spacing w:val="10"/>
          <w:position w:val="2"/>
          <w:sz w:val="29"/>
        </w:rPr>
        <w:t> </w:t>
      </w:r>
      <w:r>
        <w:rPr>
          <w:color w:val="010101"/>
          <w:w w:val="132"/>
          <w:position w:val="2"/>
          <w:sz w:val="16"/>
          <w:u w:val="single" w:color="000000"/>
        </w:rPr>
        <w:t>1t</w:t>
      </w:r>
      <w:r>
        <w:rPr>
          <w:color w:val="010101"/>
          <w:spacing w:val="-33"/>
          <w:w w:val="132"/>
          <w:position w:val="2"/>
          <w:sz w:val="16"/>
          <w:u w:val="single" w:color="000000"/>
        </w:rPr>
        <w:t>P</w:t>
      </w:r>
      <w:r>
        <w:rPr>
          <w:color w:val="010101"/>
          <w:w w:val="109"/>
          <w:position w:val="2"/>
          <w:sz w:val="16"/>
          <w:u w:val="single" w:color="000000"/>
        </w:rPr>
        <w:t>,,</w:t>
      </w:r>
      <w:r>
        <w:rPr>
          <w:color w:val="010101"/>
          <w:spacing w:val="-14"/>
          <w:w w:val="109"/>
          <w:position w:val="2"/>
          <w:sz w:val="16"/>
          <w:u w:val="single" w:color="000000"/>
        </w:rPr>
        <w:t>.</w:t>
      </w:r>
      <w:r>
        <w:rPr>
          <w:color w:val="010101"/>
          <w:spacing w:val="-39"/>
          <w:w w:val="360"/>
          <w:position w:val="2"/>
          <w:sz w:val="16"/>
          <w:u w:val="single" w:color="000000"/>
        </w:rPr>
        <w:t>-</w:t>
      </w:r>
      <w:r>
        <w:rPr>
          <w:color w:val="010101"/>
          <w:w w:val="120"/>
          <w:position w:val="2"/>
          <w:sz w:val="14"/>
          <w:u w:val="single" w:color="000000"/>
        </w:rPr>
        <w:t>Cu</w:t>
      </w:r>
    </w:p>
    <w:p>
      <w:pPr>
        <w:tabs>
          <w:tab w:pos="602" w:val="left" w:leader="none"/>
          <w:tab w:pos="2252" w:val="left" w:leader="none"/>
        </w:tabs>
        <w:spacing w:line="76" w:lineRule="exact" w:before="0"/>
        <w:ind w:left="0" w:right="2975" w:firstLine="0"/>
        <w:jc w:val="center"/>
        <w:rPr>
          <w:sz w:val="12"/>
        </w:rPr>
      </w:pPr>
      <w:r>
        <w:rPr>
          <w:rFonts w:ascii="Arial" w:hAnsi="Arial"/>
          <w:color w:val="010101"/>
          <w:w w:val="120"/>
          <w:sz w:val="12"/>
        </w:rPr>
        <w:t>•</w:t>
      </w:r>
      <w:r>
        <w:rPr>
          <w:rFonts w:ascii="Arial" w:hAnsi="Arial"/>
          <w:color w:val="010101"/>
          <w:spacing w:val="38"/>
          <w:w w:val="120"/>
          <w:sz w:val="12"/>
        </w:rPr>
        <w:t> </w:t>
      </w:r>
      <w:r>
        <w:rPr>
          <w:rFonts w:ascii="Arial" w:hAnsi="Arial"/>
          <w:i/>
          <w:color w:val="010101"/>
          <w:w w:val="120"/>
          <w:sz w:val="12"/>
        </w:rPr>
        <w:t>r,,</w:t>
        <w:tab/>
      </w:r>
      <w:r>
        <w:rPr>
          <w:rFonts w:ascii="Arial" w:hAnsi="Arial"/>
          <w:color w:val="010101"/>
          <w:w w:val="355"/>
          <w:sz w:val="12"/>
        </w:rPr>
        <w:t>-</w:t>
      </w:r>
      <w:r>
        <w:rPr>
          <w:rFonts w:ascii="Arial" w:hAnsi="Arial"/>
          <w:color w:val="010101"/>
          <w:spacing w:val="-43"/>
          <w:w w:val="355"/>
          <w:sz w:val="12"/>
        </w:rPr>
        <w:t> </w:t>
      </w:r>
      <w:r>
        <w:rPr>
          <w:color w:val="010101"/>
          <w:w w:val="120"/>
          <w:sz w:val="12"/>
        </w:rPr>
        <w:t>1f.l</w:t>
      </w:r>
      <w:r>
        <w:rPr>
          <w:color w:val="010101"/>
          <w:spacing w:val="30"/>
          <w:w w:val="120"/>
          <w:sz w:val="12"/>
        </w:rPr>
        <w:t> </w:t>
      </w:r>
      <w:r>
        <w:rPr>
          <w:color w:val="010101"/>
          <w:w w:val="120"/>
          <w:sz w:val="12"/>
        </w:rPr>
        <w:t>H:201</w:t>
        <w:tab/>
      </w:r>
      <w:r>
        <w:rPr>
          <w:color w:val="010101"/>
          <w:w w:val="230"/>
          <w:sz w:val="12"/>
        </w:rPr>
        <w:t>_</w:t>
      </w:r>
    </w:p>
    <w:p>
      <w:pPr>
        <w:spacing w:line="168" w:lineRule="exact" w:before="0"/>
        <w:ind w:left="2276" w:right="739" w:firstLine="0"/>
        <w:jc w:val="left"/>
        <w:rPr>
          <w:sz w:val="17"/>
        </w:rPr>
      </w:pPr>
      <w:r>
        <w:rPr>
          <w:color w:val="010101"/>
          <w:sz w:val="17"/>
        </w:rPr>
        <w:t>dn:101</w:t>
      </w:r>
    </w:p>
    <w:p>
      <w:pPr>
        <w:spacing w:before="59"/>
        <w:ind w:left="446" w:right="739" w:firstLine="0"/>
        <w:jc w:val="left"/>
        <w:rPr>
          <w:sz w:val="18"/>
        </w:rPr>
      </w:pPr>
      <w:r>
        <w:rPr>
          <w:color w:val="010101"/>
          <w:sz w:val="18"/>
        </w:rPr>
        <w:t>acom </w:t>
      </w:r>
      <w:r>
        <w:rPr>
          <w:color w:val="010101"/>
          <w:sz w:val="24"/>
        </w:rPr>
        <w:t>= </w:t>
      </w:r>
      <w:r>
        <w:rPr>
          <w:color w:val="010101"/>
          <w:spacing w:val="-6"/>
          <w:sz w:val="18"/>
        </w:rPr>
        <w:t>fjcom </w:t>
      </w:r>
      <w:r>
        <w:rPr>
          <w:color w:val="010101"/>
          <w:w w:val="270"/>
          <w:sz w:val="18"/>
        </w:rPr>
        <w:t>-</w:t>
      </w:r>
      <w:r>
        <w:rPr>
          <w:color w:val="010101"/>
          <w:spacing w:val="-55"/>
          <w:w w:val="270"/>
          <w:sz w:val="18"/>
        </w:rPr>
        <w:t> </w:t>
      </w:r>
      <w:r>
        <w:rPr>
          <w:color w:val="010101"/>
          <w:spacing w:val="-5"/>
          <w:w w:val="155"/>
          <w:sz w:val="19"/>
        </w:rPr>
        <w:t>(nP• </w:t>
      </w:r>
      <w:r>
        <w:rPr>
          <w:color w:val="010101"/>
          <w:w w:val="270"/>
          <w:sz w:val="19"/>
        </w:rPr>
        <w:t>-</w:t>
      </w:r>
      <w:r>
        <w:rPr>
          <w:color w:val="010101"/>
          <w:spacing w:val="-90"/>
          <w:w w:val="270"/>
          <w:sz w:val="19"/>
        </w:rPr>
        <w:t> </w:t>
      </w:r>
      <w:r>
        <w:rPr>
          <w:color w:val="010101"/>
          <w:sz w:val="18"/>
        </w:rPr>
        <w:t>C21)</w:t>
      </w:r>
    </w:p>
    <w:p>
      <w:pPr>
        <w:pStyle w:val="BodyText"/>
        <w:spacing w:before="3"/>
        <w:rPr>
          <w:sz w:val="13"/>
        </w:rPr>
      </w:pPr>
      <w:r>
        <w:rPr/>
        <w:drawing>
          <wp:anchor distT="0" distB="0" distL="0" distR="0" allowOverlap="1" layoutInCell="1" locked="0" behindDoc="0" simplePos="0" relativeHeight="28528">
            <wp:simplePos x="0" y="0"/>
            <wp:positionH relativeFrom="page">
              <wp:posOffset>804672</wp:posOffset>
            </wp:positionH>
            <wp:positionV relativeFrom="paragraph">
              <wp:posOffset>121582</wp:posOffset>
            </wp:positionV>
            <wp:extent cx="1435607" cy="265175"/>
            <wp:effectExtent l="0" t="0" r="0" b="0"/>
            <wp:wrapTopAndBottom/>
            <wp:docPr id="839" name="image429.png" descr=""/>
            <wp:cNvGraphicFramePr>
              <a:graphicFrameLocks noChangeAspect="1"/>
            </wp:cNvGraphicFramePr>
            <a:graphic>
              <a:graphicData uri="http://schemas.openxmlformats.org/drawingml/2006/picture">
                <pic:pic>
                  <pic:nvPicPr>
                    <pic:cNvPr id="840" name="image429.png"/>
                    <pic:cNvPicPr/>
                  </pic:nvPicPr>
                  <pic:blipFill>
                    <a:blip r:embed="rId433" cstate="print"/>
                    <a:stretch>
                      <a:fillRect/>
                    </a:stretch>
                  </pic:blipFill>
                  <pic:spPr>
                    <a:xfrm>
                      <a:off x="0" y="0"/>
                      <a:ext cx="1435607" cy="265175"/>
                    </a:xfrm>
                    <a:prstGeom prst="rect">
                      <a:avLst/>
                    </a:prstGeom>
                  </pic:spPr>
                </pic:pic>
              </a:graphicData>
            </a:graphic>
          </wp:anchor>
        </w:drawing>
      </w:r>
    </w:p>
    <w:p>
      <w:pPr>
        <w:spacing w:after="0"/>
        <w:rPr>
          <w:sz w:val="13"/>
        </w:rPr>
        <w:sectPr>
          <w:type w:val="continuous"/>
          <w:pgSz w:w="7200" w:h="11340"/>
          <w:pgMar w:top="1100" w:bottom="0" w:left="680" w:right="540"/>
        </w:sectPr>
      </w:pPr>
    </w:p>
    <w:p>
      <w:pPr>
        <w:tabs>
          <w:tab w:pos="2585" w:val="left" w:leader="none"/>
          <w:tab w:pos="5863" w:val="right" w:leader="none"/>
        </w:tabs>
        <w:spacing w:before="49"/>
        <w:ind w:left="115" w:right="0" w:firstLine="0"/>
        <w:jc w:val="left"/>
        <w:rPr>
          <w:sz w:val="21"/>
        </w:rPr>
      </w:pPr>
      <w:r>
        <w:rPr>
          <w:b/>
          <w:sz w:val="15"/>
        </w:rPr>
        <w:t>CH. </w:t>
      </w:r>
      <w:r>
        <w:rPr>
          <w:b/>
          <w:spacing w:val="24"/>
          <w:sz w:val="15"/>
        </w:rPr>
        <w:t> </w:t>
      </w:r>
      <w:r>
        <w:rPr>
          <w:rFonts w:ascii="Arial"/>
          <w:b/>
          <w:sz w:val="19"/>
        </w:rPr>
        <w:t>6)</w:t>
        <w:tab/>
      </w:r>
      <w:r>
        <w:rPr>
          <w:b/>
          <w:sz w:val="15"/>
        </w:rPr>
        <w:t>ANSWERS</w:t>
      </w:r>
      <w:r>
        <w:rPr>
          <w:sz w:val="21"/>
        </w:rPr>
        <w:tab/>
        <w:t>359</w:t>
      </w:r>
    </w:p>
    <w:p>
      <w:pPr>
        <w:pStyle w:val="BodyText"/>
        <w:spacing w:before="1"/>
        <w:rPr>
          <w:sz w:val="22"/>
        </w:rPr>
      </w:pPr>
    </w:p>
    <w:p>
      <w:pPr>
        <w:spacing w:line="305" w:lineRule="exact" w:before="0"/>
        <w:ind w:left="601" w:right="0" w:firstLine="0"/>
        <w:jc w:val="left"/>
        <w:rPr>
          <w:sz w:val="20"/>
        </w:rPr>
      </w:pPr>
      <w:r>
        <w:rPr>
          <w:rFonts w:ascii="Arial"/>
          <w:i/>
          <w:sz w:val="20"/>
        </w:rPr>
        <w:t>1V </w:t>
      </w:r>
      <w:r>
        <w:rPr>
          <w:sz w:val="28"/>
        </w:rPr>
        <w:t>= </w:t>
      </w:r>
      <w:r>
        <w:rPr>
          <w:sz w:val="25"/>
        </w:rPr>
        <w:t>_!_ </w:t>
      </w:r>
      <w:r>
        <w:rPr>
          <w:sz w:val="20"/>
        </w:rPr>
        <w:t>[aComDu </w:t>
      </w:r>
      <w:r>
        <w:rPr>
          <w:rFonts w:ascii="Arial"/>
          <w:sz w:val="31"/>
        </w:rPr>
        <w:t>+</w:t>
      </w:r>
      <w:r>
        <w:rPr>
          <w:rFonts w:ascii="Arial"/>
          <w:spacing w:val="-50"/>
          <w:sz w:val="31"/>
        </w:rPr>
        <w:t> </w:t>
      </w:r>
      <w:r>
        <w:rPr>
          <w:sz w:val="20"/>
        </w:rPr>
        <w:t>(JCom(N"' </w:t>
      </w:r>
      <w:r>
        <w:rPr>
          <w:w w:val="260"/>
          <w:sz w:val="20"/>
        </w:rPr>
        <w:t>-</w:t>
      </w:r>
      <w:r>
        <w:rPr>
          <w:spacing w:val="-102"/>
          <w:w w:val="260"/>
          <w:sz w:val="20"/>
        </w:rPr>
        <w:t> </w:t>
      </w:r>
      <w:r>
        <w:rPr>
          <w:sz w:val="20"/>
        </w:rPr>
        <w:t>Nn) </w:t>
      </w:r>
      <w:r>
        <w:rPr>
          <w:w w:val="260"/>
          <w:sz w:val="20"/>
        </w:rPr>
        <w:t>-</w:t>
      </w:r>
      <w:r>
        <w:rPr>
          <w:spacing w:val="-87"/>
          <w:w w:val="260"/>
          <w:sz w:val="20"/>
        </w:rPr>
        <w:t> </w:t>
      </w:r>
      <w:r>
        <w:rPr>
          <w:rFonts w:ascii="Arial"/>
          <w:b/>
          <w:i/>
          <w:sz w:val="20"/>
        </w:rPr>
        <w:t>( Mu </w:t>
      </w:r>
      <w:r>
        <w:rPr>
          <w:rFonts w:ascii="Arial"/>
          <w:w w:val="260"/>
          <w:sz w:val="20"/>
        </w:rPr>
        <w:t>-</w:t>
      </w:r>
      <w:r>
        <w:rPr>
          <w:rFonts w:ascii="Arial"/>
          <w:spacing w:val="-105"/>
          <w:w w:val="260"/>
          <w:sz w:val="20"/>
        </w:rPr>
        <w:t> </w:t>
      </w:r>
      <w:r>
        <w:rPr>
          <w:sz w:val="20"/>
        </w:rPr>
        <w:t>M12)]</w:t>
      </w:r>
    </w:p>
    <w:p>
      <w:pPr>
        <w:spacing w:line="179" w:lineRule="exact" w:before="0"/>
        <w:ind w:left="1138" w:right="0" w:firstLine="0"/>
        <w:jc w:val="left"/>
        <w:rPr>
          <w:rFonts w:ascii="Arial"/>
          <w:i/>
          <w:sz w:val="20"/>
        </w:rPr>
      </w:pPr>
      <w:r>
        <w:rPr>
          <w:rFonts w:ascii="Arial"/>
          <w:i/>
          <w:w w:val="105"/>
          <w:sz w:val="20"/>
        </w:rPr>
        <w:t>Dn</w:t>
      </w:r>
    </w:p>
    <w:p>
      <w:pPr>
        <w:spacing w:before="64"/>
        <w:ind w:left="540" w:right="0" w:firstLine="0"/>
        <w:jc w:val="left"/>
        <w:rPr>
          <w:sz w:val="18"/>
        </w:rPr>
      </w:pPr>
      <w:r>
        <w:rPr>
          <w:i/>
          <w:w w:val="100"/>
          <w:sz w:val="21"/>
        </w:rPr>
        <w:t>uV</w:t>
      </w:r>
      <w:r>
        <w:rPr>
          <w:i/>
          <w:sz w:val="21"/>
        </w:rPr>
        <w:t> </w:t>
      </w:r>
      <w:r>
        <w:rPr>
          <w:i/>
          <w:spacing w:val="15"/>
          <w:sz w:val="21"/>
        </w:rPr>
        <w:t> </w:t>
      </w:r>
      <w:r>
        <w:rPr>
          <w:w w:val="92"/>
          <w:sz w:val="26"/>
        </w:rPr>
        <w:t>=</w:t>
      </w:r>
      <w:r>
        <w:rPr>
          <w:sz w:val="26"/>
        </w:rPr>
        <w:t> </w:t>
      </w:r>
      <w:r>
        <w:rPr>
          <w:spacing w:val="-29"/>
          <w:sz w:val="26"/>
        </w:rPr>
        <w:t> </w:t>
      </w:r>
      <w:r>
        <w:rPr>
          <w:w w:val="126"/>
          <w:sz w:val="18"/>
        </w:rPr>
        <w:t>A</w:t>
      </w:r>
      <w:r>
        <w:rPr>
          <w:spacing w:val="-10"/>
          <w:w w:val="126"/>
          <w:sz w:val="18"/>
        </w:rPr>
        <w:t>,</w:t>
      </w:r>
      <w:r>
        <w:rPr>
          <w:w w:val="111"/>
          <w:sz w:val="18"/>
        </w:rPr>
        <w:t>o:</w:t>
      </w:r>
      <w:r>
        <w:rPr>
          <w:spacing w:val="-15"/>
          <w:w w:val="111"/>
          <w:sz w:val="18"/>
        </w:rPr>
        <w:t>í</w:t>
      </w:r>
      <w:r>
        <w:rPr>
          <w:w w:val="32"/>
          <w:sz w:val="18"/>
        </w:rPr>
        <w:t>l</w:t>
      </w:r>
    </w:p>
    <w:p>
      <w:pPr>
        <w:tabs>
          <w:tab w:pos="3488" w:val="left" w:leader="none"/>
        </w:tabs>
        <w:spacing w:line="317" w:lineRule="exact" w:before="52"/>
        <w:ind w:left="137" w:right="0" w:firstLine="0"/>
        <w:jc w:val="left"/>
        <w:rPr>
          <w:sz w:val="20"/>
        </w:rPr>
      </w:pPr>
      <w:r>
        <w:rPr>
          <w:w w:val="105"/>
          <w:sz w:val="20"/>
        </w:rPr>
        <w:t>l6.  </w:t>
      </w:r>
      <w:r>
        <w:rPr>
          <w:i/>
          <w:w w:val="105"/>
          <w:sz w:val="22"/>
        </w:rPr>
        <w:t>pA  </w:t>
      </w:r>
      <w:r>
        <w:rPr>
          <w:w w:val="105"/>
          <w:sz w:val="24"/>
        </w:rPr>
        <w:t>= </w:t>
      </w:r>
      <w:r>
        <w:rPr>
          <w:i/>
          <w:w w:val="105"/>
          <w:sz w:val="22"/>
          <w:u w:val="single"/>
        </w:rPr>
        <w:t>A  </w:t>
      </w:r>
      <w:r>
        <w:rPr>
          <w:rFonts w:ascii="Arial"/>
          <w:w w:val="105"/>
          <w:sz w:val="31"/>
          <w:u w:val="single"/>
        </w:rPr>
        <w:t>+ </w:t>
      </w:r>
      <w:r>
        <w:rPr>
          <w:i/>
          <w:spacing w:val="-6"/>
          <w:w w:val="105"/>
          <w:sz w:val="22"/>
          <w:u w:val="single"/>
        </w:rPr>
        <w:t>.25P:  </w:t>
      </w:r>
      <w:r>
        <w:rPr>
          <w:rFonts w:ascii="Arial"/>
          <w:w w:val="105"/>
          <w:sz w:val="31"/>
          <w:u w:val="single"/>
        </w:rPr>
        <w:t>+</w:t>
      </w:r>
      <w:r>
        <w:rPr>
          <w:rFonts w:ascii="Arial"/>
          <w:spacing w:val="-63"/>
          <w:w w:val="105"/>
          <w:sz w:val="31"/>
          <w:u w:val="single"/>
        </w:rPr>
        <w:t> </w:t>
      </w:r>
      <w:r>
        <w:rPr>
          <w:spacing w:val="-12"/>
          <w:w w:val="105"/>
          <w:sz w:val="20"/>
          <w:u w:val="single"/>
        </w:rPr>
        <w:t>.02   </w:t>
      </w:r>
      <w:r>
        <w:rPr>
          <w:spacing w:val="12"/>
          <w:w w:val="105"/>
          <w:sz w:val="20"/>
          <w:u w:val="single"/>
        </w:rPr>
        <w:t> </w:t>
      </w:r>
      <w:r>
        <w:rPr>
          <w:w w:val="105"/>
          <w:sz w:val="20"/>
        </w:rPr>
        <w:t>where</w:t>
        <w:tab/>
      </w:r>
      <w:r>
        <w:rPr>
          <w:i/>
          <w:w w:val="105"/>
          <w:sz w:val="22"/>
        </w:rPr>
        <w:t>P:  </w:t>
      </w:r>
      <w:r>
        <w:rPr>
          <w:w w:val="105"/>
          <w:sz w:val="26"/>
        </w:rPr>
        <w:t>=    </w:t>
      </w:r>
      <w:r>
        <w:rPr>
          <w:w w:val="105"/>
          <w:sz w:val="12"/>
          <w:u w:val="single"/>
        </w:rPr>
        <w:t>z   </w:t>
      </w:r>
      <w:r>
        <w:rPr>
          <w:rFonts w:ascii="Arial"/>
          <w:w w:val="105"/>
          <w:sz w:val="31"/>
          <w:u w:val="single"/>
        </w:rPr>
        <w:t>+</w:t>
      </w:r>
      <w:r>
        <w:rPr>
          <w:rFonts w:ascii="Arial"/>
          <w:spacing w:val="-8"/>
          <w:w w:val="105"/>
          <w:sz w:val="31"/>
          <w:u w:val="single"/>
        </w:rPr>
        <w:t> </w:t>
      </w:r>
      <w:r>
        <w:rPr>
          <w:spacing w:val="-10"/>
          <w:w w:val="105"/>
          <w:sz w:val="20"/>
          <w:u w:val="single"/>
        </w:rPr>
        <w:t>.02</w:t>
      </w:r>
    </w:p>
    <w:p>
      <w:pPr>
        <w:tabs>
          <w:tab w:pos="4097" w:val="left" w:leader="none"/>
        </w:tabs>
        <w:spacing w:line="225" w:lineRule="exact" w:before="0"/>
        <w:ind w:left="1523" w:right="0" w:firstLine="0"/>
        <w:jc w:val="left"/>
        <w:rPr>
          <w:sz w:val="20"/>
        </w:rPr>
      </w:pPr>
      <w:r>
        <w:rPr>
          <w:rFonts w:ascii="Arial"/>
          <w:i/>
          <w:w w:val="105"/>
          <w:sz w:val="23"/>
        </w:rPr>
        <w:t>a</w:t>
      </w:r>
      <w:r>
        <w:rPr>
          <w:rFonts w:ascii="Arial"/>
          <w:i/>
          <w:spacing w:val="6"/>
          <w:w w:val="105"/>
          <w:sz w:val="23"/>
        </w:rPr>
        <w:t> </w:t>
      </w:r>
      <w:r>
        <w:rPr>
          <w:rFonts w:ascii="Arial"/>
          <w:w w:val="200"/>
          <w:sz w:val="23"/>
        </w:rPr>
        <w:t>-</w:t>
      </w:r>
      <w:r>
        <w:rPr>
          <w:rFonts w:ascii="Arial"/>
          <w:spacing w:val="-63"/>
          <w:w w:val="200"/>
          <w:sz w:val="23"/>
        </w:rPr>
        <w:t> </w:t>
      </w:r>
      <w:r>
        <w:rPr>
          <w:w w:val="105"/>
          <w:sz w:val="21"/>
        </w:rPr>
        <w:t>.4</w:t>
        <w:tab/>
      </w:r>
      <w:r>
        <w:rPr>
          <w:i/>
          <w:w w:val="105"/>
          <w:sz w:val="20"/>
        </w:rPr>
        <w:t>ax </w:t>
      </w:r>
      <w:r>
        <w:rPr>
          <w:w w:val="255"/>
          <w:sz w:val="20"/>
        </w:rPr>
        <w:t>-</w:t>
      </w:r>
      <w:r>
        <w:rPr>
          <w:spacing w:val="-61"/>
          <w:w w:val="255"/>
          <w:sz w:val="20"/>
        </w:rPr>
        <w:t> </w:t>
      </w:r>
      <w:r>
        <w:rPr>
          <w:w w:val="105"/>
          <w:sz w:val="20"/>
        </w:rPr>
        <w:t>.65</w:t>
      </w:r>
    </w:p>
    <w:p>
      <w:pPr>
        <w:spacing w:before="79"/>
        <w:ind w:left="137" w:right="0" w:firstLine="0"/>
        <w:jc w:val="left"/>
        <w:rPr>
          <w:rFonts w:ascii="Arial" w:hAnsi="Arial"/>
          <w:i/>
          <w:sz w:val="19"/>
        </w:rPr>
      </w:pPr>
      <w:r>
        <w:rPr>
          <w:rFonts w:ascii="Arial" w:hAnsi="Arial"/>
          <w:spacing w:val="-23"/>
          <w:w w:val="125"/>
          <w:sz w:val="18"/>
        </w:rPr>
        <w:t>18. </w:t>
      </w:r>
      <w:r>
        <w:rPr>
          <w:rFonts w:ascii="Arial" w:hAnsi="Arial"/>
          <w:i/>
          <w:sz w:val="20"/>
        </w:rPr>
        <w:t>(iCV </w:t>
      </w:r>
      <w:r>
        <w:rPr>
          <w:sz w:val="26"/>
        </w:rPr>
        <w:t>= </w:t>
      </w:r>
      <w:r>
        <w:rPr>
          <w:rFonts w:ascii="Arial" w:hAnsi="Arial"/>
          <w:sz w:val="18"/>
        </w:rPr>
        <w:t>A'°:ioj </w:t>
      </w:r>
      <w:r>
        <w:rPr>
          <w:rFonts w:ascii="Arial" w:hAnsi="Arial"/>
          <w:w w:val="255"/>
          <w:sz w:val="18"/>
        </w:rPr>
        <w:t>-</w:t>
      </w:r>
      <w:r>
        <w:rPr>
          <w:rFonts w:ascii="Arial" w:hAnsi="Arial"/>
          <w:spacing w:val="-78"/>
          <w:w w:val="255"/>
          <w:sz w:val="18"/>
        </w:rPr>
        <w:t> </w:t>
      </w:r>
      <w:r>
        <w:rPr>
          <w:sz w:val="24"/>
        </w:rPr>
        <w:t>1oPat¡¡¡</w:t>
      </w:r>
      <w:r>
        <w:rPr>
          <w:rFonts w:ascii="Arial" w:hAnsi="Arial"/>
          <w:i/>
          <w:sz w:val="19"/>
        </w:rPr>
        <w:t>' ª'°=il</w:t>
      </w:r>
    </w:p>
    <w:p>
      <w:pPr>
        <w:spacing w:before="57"/>
        <w:ind w:left="443" w:right="0" w:firstLine="0"/>
        <w:jc w:val="left"/>
        <w:rPr>
          <w:i/>
          <w:sz w:val="22"/>
        </w:rPr>
      </w:pPr>
      <w:r>
        <w:rPr>
          <w:w w:val="80"/>
          <w:sz w:val="22"/>
        </w:rPr>
        <w:t>12CV </w:t>
      </w:r>
      <w:r>
        <w:rPr>
          <w:w w:val="80"/>
          <w:sz w:val="26"/>
        </w:rPr>
        <w:t>= </w:t>
      </w:r>
      <w:r>
        <w:rPr>
          <w:i/>
          <w:w w:val="80"/>
          <w:sz w:val="22"/>
        </w:rPr>
        <w:t>A41:iJ</w:t>
      </w:r>
    </w:p>
    <w:p>
      <w:pPr>
        <w:spacing w:before="50"/>
        <w:ind w:left="112" w:right="0" w:firstLine="0"/>
        <w:jc w:val="left"/>
        <w:rPr>
          <w:sz w:val="20"/>
        </w:rPr>
      </w:pPr>
      <w:r>
        <w:rPr>
          <w:w w:val="102"/>
          <w:sz w:val="20"/>
        </w:rPr>
        <w:t>20.</w:t>
      </w:r>
      <w:r>
        <w:rPr>
          <w:sz w:val="20"/>
        </w:rPr>
        <w:t> </w:t>
      </w:r>
      <w:r>
        <w:rPr>
          <w:spacing w:val="8"/>
          <w:sz w:val="20"/>
        </w:rPr>
        <w:t> </w:t>
      </w:r>
      <w:r>
        <w:rPr>
          <w:w w:val="106"/>
          <w:sz w:val="20"/>
        </w:rPr>
        <w:t>Net</w:t>
      </w:r>
      <w:r>
        <w:rPr>
          <w:sz w:val="20"/>
        </w:rPr>
        <w:t> </w:t>
      </w:r>
      <w:r>
        <w:rPr>
          <w:spacing w:val="-24"/>
          <w:sz w:val="20"/>
        </w:rPr>
        <w:t> </w:t>
      </w:r>
      <w:r>
        <w:rPr>
          <w:rFonts w:ascii="Arial" w:hAnsi="Arial"/>
          <w:i/>
          <w:w w:val="104"/>
          <w:sz w:val="19"/>
        </w:rPr>
        <w:t>CV</w:t>
      </w:r>
      <w:r>
        <w:rPr>
          <w:rFonts w:ascii="Arial" w:hAnsi="Arial"/>
          <w:i/>
          <w:sz w:val="19"/>
        </w:rPr>
        <w:t> </w:t>
      </w:r>
      <w:r>
        <w:rPr>
          <w:rFonts w:ascii="Arial" w:hAnsi="Arial"/>
          <w:i/>
          <w:spacing w:val="-9"/>
          <w:sz w:val="19"/>
        </w:rPr>
        <w:t> </w:t>
      </w:r>
      <w:r>
        <w:rPr>
          <w:w w:val="92"/>
          <w:sz w:val="26"/>
        </w:rPr>
        <w:t>=</w:t>
      </w:r>
      <w:r>
        <w:rPr>
          <w:sz w:val="26"/>
        </w:rPr>
        <w:t> </w:t>
      </w:r>
      <w:r>
        <w:rPr>
          <w:spacing w:val="-33"/>
          <w:sz w:val="26"/>
        </w:rPr>
        <w:t> </w:t>
      </w:r>
      <w:r>
        <w:rPr>
          <w:rFonts w:ascii="Arial" w:hAnsi="Arial"/>
          <w:b/>
          <w:w w:val="91"/>
          <w:sz w:val="20"/>
        </w:rPr>
        <w:t>2000[Ao</w:t>
      </w:r>
      <w:r>
        <w:rPr>
          <w:rFonts w:ascii="Arial" w:hAnsi="Arial"/>
          <w:b/>
          <w:spacing w:val="-3"/>
          <w:w w:val="91"/>
          <w:sz w:val="20"/>
        </w:rPr>
        <w:t>:</w:t>
      </w:r>
      <w:r>
        <w:rPr>
          <w:rFonts w:ascii="Arial" w:hAnsi="Arial"/>
          <w:b/>
          <w:w w:val="78"/>
          <w:sz w:val="20"/>
        </w:rPr>
        <w:t>i1</w:t>
      </w:r>
      <w:r>
        <w:rPr>
          <w:rFonts w:ascii="Arial" w:hAnsi="Arial"/>
          <w:b/>
          <w:spacing w:val="18"/>
          <w:sz w:val="20"/>
        </w:rPr>
        <w:t> </w:t>
      </w:r>
      <w:r>
        <w:rPr>
          <w:rFonts w:ascii="Arial" w:hAnsi="Arial"/>
          <w:w w:val="255"/>
          <w:sz w:val="20"/>
        </w:rPr>
        <w:t>-</w:t>
      </w:r>
      <w:r>
        <w:rPr>
          <w:rFonts w:ascii="Arial" w:hAnsi="Arial"/>
          <w:spacing w:val="18"/>
          <w:sz w:val="20"/>
        </w:rPr>
        <w:t> </w:t>
      </w:r>
      <w:r>
        <w:rPr>
          <w:w w:val="84"/>
          <w:sz w:val="18"/>
        </w:rPr>
        <w:t>¡3com</w:t>
      </w:r>
      <w:r>
        <w:rPr>
          <w:spacing w:val="21"/>
          <w:sz w:val="18"/>
        </w:rPr>
        <w:t> </w:t>
      </w:r>
      <w:r>
        <w:rPr>
          <w:w w:val="76"/>
          <w:sz w:val="20"/>
        </w:rPr>
        <w:t>069</w:t>
      </w:r>
      <w:r>
        <w:rPr>
          <w:spacing w:val="-11"/>
          <w:w w:val="76"/>
          <w:sz w:val="20"/>
        </w:rPr>
        <w:t>:</w:t>
      </w:r>
      <w:r>
        <w:rPr>
          <w:spacing w:val="-29"/>
          <w:w w:val="156"/>
          <w:sz w:val="20"/>
        </w:rPr>
        <w:t>s</w:t>
      </w:r>
      <w:r>
        <w:rPr>
          <w:w w:val="58"/>
          <w:sz w:val="20"/>
        </w:rPr>
        <w:t>J]</w:t>
      </w:r>
      <w:r>
        <w:rPr>
          <w:sz w:val="20"/>
        </w:rPr>
        <w:t> </w:t>
      </w:r>
      <w:r>
        <w:rPr>
          <w:spacing w:val="-6"/>
          <w:sz w:val="20"/>
        </w:rPr>
        <w:t> </w:t>
      </w:r>
      <w:r>
        <w:rPr>
          <w:w w:val="267"/>
          <w:sz w:val="20"/>
        </w:rPr>
        <w:t>-</w:t>
      </w:r>
      <w:r>
        <w:rPr>
          <w:spacing w:val="23"/>
          <w:sz w:val="20"/>
        </w:rPr>
        <w:t> </w:t>
      </w:r>
      <w:r>
        <w:rPr>
          <w:w w:val="102"/>
          <w:sz w:val="20"/>
        </w:rPr>
        <w:t>100</w:t>
      </w:r>
    </w:p>
    <w:p>
      <w:pPr>
        <w:pStyle w:val="BodyText"/>
        <w:rPr>
          <w:sz w:val="14"/>
        </w:rPr>
      </w:pPr>
    </w:p>
    <w:p>
      <w:pPr>
        <w:spacing w:after="0"/>
        <w:rPr>
          <w:sz w:val="14"/>
        </w:rPr>
        <w:sectPr>
          <w:pgSz w:w="7200" w:h="11340"/>
          <w:pgMar w:top="500" w:bottom="280" w:left="680" w:right="520"/>
        </w:sectPr>
      </w:pPr>
    </w:p>
    <w:p>
      <w:pPr>
        <w:pStyle w:val="BodyText"/>
        <w:rPr>
          <w:sz w:val="24"/>
        </w:rPr>
      </w:pPr>
    </w:p>
    <w:p>
      <w:pPr>
        <w:pStyle w:val="BodyText"/>
        <w:spacing w:before="7"/>
        <w:rPr>
          <w:sz w:val="31"/>
        </w:rPr>
      </w:pPr>
    </w:p>
    <w:p>
      <w:pPr>
        <w:pStyle w:val="BodyText"/>
        <w:ind w:left="468"/>
        <w:rPr>
          <w:sz w:val="24"/>
        </w:rPr>
      </w:pPr>
      <w:r>
        <w:rPr>
          <w:rFonts w:ascii="Arial"/>
          <w:w w:val="105"/>
          <w:position w:val="1"/>
        </w:rPr>
        <w:t>P</w:t>
      </w:r>
      <w:r>
        <w:rPr>
          <w:w w:val="105"/>
          <w:position w:val="1"/>
        </w:rPr>
        <w:t>ure en</w:t>
      </w:r>
      <w:r>
        <w:rPr>
          <w:rFonts w:ascii="Arial"/>
          <w:w w:val="105"/>
          <w:position w:val="1"/>
        </w:rPr>
        <w:t>d</w:t>
      </w:r>
      <w:r>
        <w:rPr>
          <w:w w:val="105"/>
          <w:position w:val="1"/>
        </w:rPr>
        <w:t>owmen</w:t>
      </w:r>
      <w:r>
        <w:rPr>
          <w:w w:val="105"/>
          <w:sz w:val="23"/>
        </w:rPr>
        <w:t>t </w:t>
      </w:r>
      <w:r>
        <w:rPr>
          <w:w w:val="105"/>
          <w:position w:val="1"/>
          <w:sz w:val="24"/>
        </w:rPr>
        <w:t>=</w:t>
      </w:r>
    </w:p>
    <w:p>
      <w:pPr>
        <w:pStyle w:val="BodyText"/>
        <w:spacing w:before="75"/>
        <w:ind w:left="305"/>
      </w:pPr>
      <w:r>
        <w:rPr/>
        <w:br w:type="column"/>
      </w:r>
      <w:r>
        <w:rPr>
          <w:w w:val="105"/>
        </w:rPr>
        <w:t>where</w:t>
      </w:r>
    </w:p>
    <w:p>
      <w:pPr>
        <w:pStyle w:val="BodyText"/>
        <w:spacing w:before="5"/>
        <w:rPr>
          <w:sz w:val="22"/>
        </w:rPr>
      </w:pPr>
    </w:p>
    <w:p>
      <w:pPr>
        <w:spacing w:before="0"/>
        <w:ind w:left="11" w:right="1723" w:firstLine="0"/>
        <w:jc w:val="center"/>
        <w:rPr>
          <w:sz w:val="20"/>
        </w:rPr>
      </w:pPr>
      <w:r>
        <w:rPr/>
        <w:drawing>
          <wp:anchor distT="0" distB="0" distL="0" distR="0" allowOverlap="1" layoutInCell="1" locked="0" behindDoc="0" simplePos="0" relativeHeight="28648">
            <wp:simplePos x="0" y="0"/>
            <wp:positionH relativeFrom="page">
              <wp:posOffset>2596895</wp:posOffset>
            </wp:positionH>
            <wp:positionV relativeFrom="paragraph">
              <wp:posOffset>-367793</wp:posOffset>
            </wp:positionV>
            <wp:extent cx="1563624" cy="283463"/>
            <wp:effectExtent l="0" t="0" r="0" b="0"/>
            <wp:wrapNone/>
            <wp:docPr id="841" name="image430.png" descr=""/>
            <wp:cNvGraphicFramePr>
              <a:graphicFrameLocks noChangeAspect="1"/>
            </wp:cNvGraphicFramePr>
            <a:graphic>
              <a:graphicData uri="http://schemas.openxmlformats.org/drawingml/2006/picture">
                <pic:pic>
                  <pic:nvPicPr>
                    <pic:cNvPr id="842" name="image430.png"/>
                    <pic:cNvPicPr/>
                  </pic:nvPicPr>
                  <pic:blipFill>
                    <a:blip r:embed="rId434" cstate="print"/>
                    <a:stretch>
                      <a:fillRect/>
                    </a:stretch>
                  </pic:blipFill>
                  <pic:spPr>
                    <a:xfrm>
                      <a:off x="0" y="0"/>
                      <a:ext cx="1563624" cy="283463"/>
                    </a:xfrm>
                    <a:prstGeom prst="rect">
                      <a:avLst/>
                    </a:prstGeom>
                  </pic:spPr>
                </pic:pic>
              </a:graphicData>
            </a:graphic>
          </wp:anchor>
        </w:drawing>
      </w:r>
      <w:r>
        <w:rPr>
          <w:w w:val="115"/>
          <w:sz w:val="20"/>
        </w:rPr>
        <w:t>(</w:t>
      </w:r>
      <w:r>
        <w:rPr>
          <w:spacing w:val="-50"/>
          <w:w w:val="115"/>
          <w:sz w:val="20"/>
        </w:rPr>
        <w:t> </w:t>
      </w:r>
      <w:r>
        <w:rPr>
          <w:w w:val="115"/>
          <w:sz w:val="20"/>
        </w:rPr>
        <w:t>net </w:t>
      </w:r>
      <w:r>
        <w:rPr>
          <w:rFonts w:ascii="Arial"/>
          <w:i/>
          <w:w w:val="115"/>
          <w:sz w:val="20"/>
        </w:rPr>
        <w:t>CV </w:t>
      </w:r>
      <w:r>
        <w:rPr>
          <w:rFonts w:ascii="Arial"/>
          <w:i/>
          <w:w w:val="90"/>
          <w:sz w:val="20"/>
        </w:rPr>
        <w:t>) </w:t>
      </w:r>
      <w:r>
        <w:rPr>
          <w:rFonts w:ascii="Arial"/>
          <w:w w:val="230"/>
          <w:sz w:val="20"/>
        </w:rPr>
        <w:t>-</w:t>
      </w:r>
      <w:r>
        <w:rPr>
          <w:rFonts w:ascii="Arial"/>
          <w:spacing w:val="-89"/>
          <w:w w:val="230"/>
          <w:sz w:val="20"/>
        </w:rPr>
        <w:t> </w:t>
      </w:r>
      <w:r>
        <w:rPr>
          <w:spacing w:val="-10"/>
          <w:w w:val="115"/>
          <w:sz w:val="20"/>
        </w:rPr>
        <w:t>1900A </w:t>
      </w:r>
      <w:r>
        <w:rPr>
          <w:w w:val="90"/>
          <w:sz w:val="20"/>
        </w:rPr>
        <w:t>9:6J</w:t>
      </w:r>
    </w:p>
    <w:p>
      <w:pPr>
        <w:spacing w:line="128" w:lineRule="exact" w:before="24"/>
        <w:ind w:left="1158" w:right="0" w:firstLine="0"/>
        <w:jc w:val="left"/>
        <w:rPr>
          <w:sz w:val="12"/>
        </w:rPr>
      </w:pPr>
      <w:r>
        <w:rPr>
          <w:w w:val="147"/>
          <w:sz w:val="12"/>
        </w:rPr>
        <w:t>1</w:t>
      </w:r>
    </w:p>
    <w:p>
      <w:pPr>
        <w:spacing w:line="174" w:lineRule="exact" w:before="0"/>
        <w:ind w:left="6" w:right="1723" w:firstLine="0"/>
        <w:jc w:val="center"/>
        <w:rPr>
          <w:sz w:val="16"/>
        </w:rPr>
      </w:pPr>
      <w:r>
        <w:rPr>
          <w:w w:val="105"/>
          <w:sz w:val="16"/>
        </w:rPr>
        <w:t>A69:ij</w:t>
      </w:r>
    </w:p>
    <w:p>
      <w:pPr>
        <w:spacing w:after="0" w:line="174" w:lineRule="exact"/>
        <w:jc w:val="center"/>
        <w:rPr>
          <w:sz w:val="16"/>
        </w:rPr>
        <w:sectPr>
          <w:type w:val="continuous"/>
          <w:pgSz w:w="7200" w:h="11340"/>
          <w:pgMar w:top="1100" w:bottom="0" w:left="680" w:right="520"/>
          <w:cols w:num="2" w:equalWidth="0">
            <w:col w:w="2154" w:space="40"/>
            <w:col w:w="3806"/>
          </w:cols>
        </w:sectPr>
      </w:pPr>
    </w:p>
    <w:p>
      <w:pPr>
        <w:tabs>
          <w:tab w:pos="2163" w:val="left" w:leader="none"/>
        </w:tabs>
        <w:spacing w:line="153" w:lineRule="exact" w:before="136"/>
        <w:ind w:left="130" w:right="0" w:firstLine="0"/>
        <w:jc w:val="left"/>
        <w:rPr>
          <w:i/>
          <w:sz w:val="22"/>
        </w:rPr>
      </w:pPr>
      <w:r>
        <w:rPr>
          <w:rFonts w:ascii="Arial"/>
          <w:w w:val="101"/>
          <w:position w:val="-7"/>
          <w:sz w:val="20"/>
        </w:rPr>
        <w:t>2</w:t>
      </w:r>
      <w:r>
        <w:rPr>
          <w:rFonts w:ascii="Arial"/>
          <w:spacing w:val="-22"/>
          <w:w w:val="101"/>
          <w:position w:val="-7"/>
          <w:sz w:val="20"/>
        </w:rPr>
        <w:t>1</w:t>
      </w:r>
      <w:r>
        <w:rPr>
          <w:w w:val="131"/>
          <w:position w:val="-11"/>
          <w:sz w:val="20"/>
        </w:rPr>
        <w:t>.</w:t>
      </w:r>
      <w:r>
        <w:rPr>
          <w:position w:val="-11"/>
          <w:sz w:val="20"/>
        </w:rPr>
        <w:t>  </w:t>
      </w:r>
      <w:r>
        <w:rPr>
          <w:spacing w:val="-4"/>
          <w:position w:val="-11"/>
          <w:sz w:val="20"/>
        </w:rPr>
        <w:t> </w:t>
      </w:r>
      <w:r>
        <w:rPr>
          <w:rFonts w:ascii="Arial"/>
          <w:spacing w:val="13"/>
          <w:w w:val="119"/>
          <w:position w:val="-5"/>
          <w:sz w:val="20"/>
        </w:rPr>
        <w:t>(</w:t>
      </w:r>
      <w:r>
        <w:rPr>
          <w:rFonts w:ascii="Arial"/>
          <w:w w:val="131"/>
          <w:sz w:val="20"/>
        </w:rPr>
        <w:t>'</w:t>
      </w:r>
      <w:r>
        <w:rPr>
          <w:rFonts w:ascii="Arial"/>
          <w:w w:val="131"/>
          <w:sz w:val="20"/>
        </w:rPr>
        <w:t>)</w:t>
      </w:r>
      <w:r>
        <w:rPr>
          <w:rFonts w:ascii="Arial"/>
          <w:spacing w:val="7"/>
          <w:sz w:val="20"/>
        </w:rPr>
        <w:t> </w:t>
      </w:r>
      <w:r>
        <w:rPr>
          <w:w w:val="120"/>
          <w:sz w:val="22"/>
        </w:rPr>
        <w:t>p</w:t>
      </w:r>
      <w:r>
        <w:rPr>
          <w:sz w:val="22"/>
        </w:rPr>
        <w:t> </w:t>
      </w:r>
      <w:r>
        <w:rPr>
          <w:spacing w:val="-1"/>
          <w:sz w:val="22"/>
        </w:rPr>
        <w:t> </w:t>
      </w:r>
      <w:r>
        <w:rPr>
          <w:rFonts w:ascii="Arial"/>
          <w:w w:val="115"/>
          <w:sz w:val="20"/>
        </w:rPr>
        <w:t>'d</w:t>
      </w:r>
      <w:r>
        <w:rPr>
          <w:rFonts w:ascii="Arial"/>
          <w:sz w:val="20"/>
        </w:rPr>
        <w:tab/>
      </w:r>
      <w:r>
        <w:rPr>
          <w:w w:val="119"/>
          <w:sz w:val="23"/>
        </w:rPr>
        <w:t>t</w:t>
      </w:r>
      <w:r>
        <w:rPr>
          <w:sz w:val="23"/>
        </w:rPr>
        <w:t> </w:t>
      </w:r>
      <w:r>
        <w:rPr>
          <w:spacing w:val="-19"/>
          <w:sz w:val="23"/>
        </w:rPr>
        <w:t> </w:t>
      </w:r>
      <w:r>
        <w:rPr>
          <w:w w:val="92"/>
          <w:position w:val="-11"/>
          <w:sz w:val="26"/>
        </w:rPr>
        <w:t>=</w:t>
      </w:r>
      <w:r>
        <w:rPr>
          <w:spacing w:val="25"/>
          <w:position w:val="-11"/>
          <w:sz w:val="26"/>
        </w:rPr>
        <w:t> </w:t>
      </w:r>
      <w:r>
        <w:rPr>
          <w:i/>
          <w:w w:val="85"/>
          <w:position w:val="-11"/>
          <w:sz w:val="22"/>
        </w:rPr>
        <w:t>M</w:t>
      </w:r>
      <w:r>
        <w:rPr>
          <w:i/>
          <w:position w:val="-11"/>
          <w:sz w:val="22"/>
        </w:rPr>
        <w:t> </w:t>
      </w:r>
      <w:r>
        <w:rPr>
          <w:i/>
          <w:spacing w:val="-12"/>
          <w:position w:val="-11"/>
          <w:sz w:val="22"/>
        </w:rPr>
        <w:t> </w:t>
      </w:r>
      <w:r>
        <w:rPr>
          <w:rFonts w:ascii="Arial"/>
          <w:w w:val="108"/>
          <w:sz w:val="20"/>
        </w:rPr>
        <w:t>(</w:t>
      </w:r>
      <w:r>
        <w:rPr>
          <w:rFonts w:ascii="Arial"/>
          <w:w w:val="108"/>
          <w:sz w:val="20"/>
        </w:rPr>
        <w:t>C</w:t>
      </w:r>
      <w:r>
        <w:rPr>
          <w:rFonts w:ascii="Arial"/>
          <w:spacing w:val="24"/>
          <w:sz w:val="20"/>
        </w:rPr>
        <w:t> </w:t>
      </w:r>
      <w:r>
        <w:rPr>
          <w:rFonts w:ascii="Arial"/>
          <w:w w:val="262"/>
          <w:sz w:val="20"/>
        </w:rPr>
        <w:t>-</w:t>
      </w:r>
      <w:r>
        <w:rPr>
          <w:rFonts w:ascii="Arial"/>
          <w:spacing w:val="10"/>
          <w:sz w:val="20"/>
        </w:rPr>
        <w:t> </w:t>
      </w:r>
      <w:r>
        <w:rPr>
          <w:w w:val="92"/>
          <w:sz w:val="20"/>
        </w:rPr>
        <w:t>L</w:t>
      </w:r>
      <w:r>
        <w:rPr>
          <w:w w:val="92"/>
          <w:sz w:val="20"/>
        </w:rPr>
        <w:t>)</w:t>
      </w:r>
      <w:r>
        <w:rPr>
          <w:spacing w:val="-87"/>
          <w:w w:val="92"/>
          <w:sz w:val="20"/>
        </w:rPr>
        <w:t>D</w:t>
      </w:r>
      <w:r>
        <w:rPr>
          <w:rFonts w:ascii="Arial"/>
          <w:spacing w:val="-102"/>
          <w:w w:val="103"/>
          <w:position w:val="-11"/>
          <w:sz w:val="31"/>
        </w:rPr>
        <w:t>+</w:t>
      </w:r>
      <w:r>
        <w:rPr>
          <w:w w:val="93"/>
          <w:sz w:val="20"/>
        </w:rPr>
        <w:t>4</w:t>
      </w:r>
      <w:r>
        <w:rPr>
          <w:spacing w:val="-25"/>
          <w:w w:val="93"/>
          <w:sz w:val="20"/>
        </w:rPr>
        <w:t>0</w:t>
      </w:r>
      <w:r>
        <w:rPr>
          <w:i/>
          <w:w w:val="88"/>
          <w:position w:val="-11"/>
          <w:sz w:val="22"/>
        </w:rPr>
        <w:t>D</w:t>
      </w:r>
    </w:p>
    <w:p>
      <w:pPr>
        <w:spacing w:after="0" w:line="153" w:lineRule="exact"/>
        <w:jc w:val="left"/>
        <w:rPr>
          <w:sz w:val="22"/>
        </w:rPr>
        <w:sectPr>
          <w:type w:val="continuous"/>
          <w:pgSz w:w="7200" w:h="11340"/>
          <w:pgMar w:top="1100" w:bottom="0" w:left="680" w:right="520"/>
        </w:sectPr>
      </w:pPr>
    </w:p>
    <w:p>
      <w:pPr>
        <w:pStyle w:val="BodyText"/>
        <w:tabs>
          <w:tab w:pos="972" w:val="left" w:leader="none"/>
        </w:tabs>
        <w:spacing w:line="220" w:lineRule="exact"/>
        <w:ind w:left="626"/>
      </w:pPr>
      <w:r>
        <w:rPr/>
        <w:pict>
          <v:line style="position:absolute;mso-position-horizontal-relative:page;mso-position-vertical-relative:paragraph;z-index:-707368" from="174.960007pt,4.711411pt" to="227.340007pt,4.711411pt" stroked="true" strokeweight=".72pt" strokecolor="#000000">
            <w10:wrap type="none"/>
          </v:line>
        </w:pict>
      </w:r>
      <w:r>
        <w:rPr>
          <w:w w:val="105"/>
        </w:rPr>
        <w:t>1</w:t>
        <w:tab/>
        <w:t>a1  -up</w:t>
      </w:r>
      <w:r>
        <w:rPr>
          <w:spacing w:val="-16"/>
          <w:w w:val="105"/>
        </w:rPr>
        <w:t> </w:t>
      </w:r>
      <w:r>
        <w:rPr>
          <w:w w:val="105"/>
        </w:rPr>
        <w:t>amoun</w:t>
      </w:r>
    </w:p>
    <w:p>
      <w:pPr>
        <w:pStyle w:val="BodyText"/>
        <w:spacing w:before="2"/>
        <w:rPr>
          <w:sz w:val="17"/>
        </w:rPr>
      </w:pPr>
    </w:p>
    <w:p>
      <w:pPr>
        <w:spacing w:before="0"/>
        <w:ind w:left="839" w:right="-18" w:firstLine="0"/>
        <w:jc w:val="left"/>
        <w:rPr>
          <w:sz w:val="20"/>
        </w:rPr>
      </w:pPr>
      <w:r>
        <w:rPr>
          <w:w w:val="105"/>
          <w:sz w:val="22"/>
        </w:rPr>
        <w:t>Pure</w:t>
      </w:r>
      <w:r>
        <w:rPr>
          <w:spacing w:val="-6"/>
          <w:w w:val="105"/>
          <w:sz w:val="22"/>
        </w:rPr>
        <w:t> </w:t>
      </w:r>
      <w:r>
        <w:rPr>
          <w:w w:val="105"/>
          <w:sz w:val="20"/>
        </w:rPr>
        <w:t>endowment</w:t>
      </w:r>
    </w:p>
    <w:p>
      <w:pPr>
        <w:spacing w:line="201" w:lineRule="exact" w:before="0"/>
        <w:ind w:left="861" w:right="0" w:firstLine="0"/>
        <w:jc w:val="left"/>
        <w:rPr>
          <w:i/>
          <w:sz w:val="22"/>
        </w:rPr>
      </w:pPr>
      <w:r>
        <w:rPr/>
        <w:br w:type="column"/>
      </w:r>
      <w:r>
        <w:rPr>
          <w:i/>
          <w:w w:val="95"/>
          <w:sz w:val="22"/>
        </w:rPr>
        <w:t>M</w:t>
      </w:r>
    </w:p>
    <w:p>
      <w:pPr>
        <w:tabs>
          <w:tab w:pos="1066" w:val="left" w:leader="none"/>
          <w:tab w:pos="1667" w:val="left" w:leader="none"/>
        </w:tabs>
        <w:spacing w:line="114" w:lineRule="exact" w:before="0"/>
        <w:ind w:left="433" w:right="0" w:firstLine="0"/>
        <w:jc w:val="left"/>
        <w:rPr>
          <w:rFonts w:ascii="Arial" w:hAnsi="Arial"/>
          <w:b/>
          <w:sz w:val="11"/>
        </w:rPr>
      </w:pPr>
      <w:r>
        <w:rPr>
          <w:b/>
          <w:w w:val="105"/>
          <w:sz w:val="12"/>
        </w:rPr>
        <w:t>40 </w:t>
      </w:r>
      <w:r>
        <w:rPr>
          <w:b/>
          <w:spacing w:val="18"/>
          <w:w w:val="105"/>
          <w:sz w:val="12"/>
        </w:rPr>
        <w:t> </w:t>
      </w:r>
      <w:r>
        <w:rPr>
          <w:w w:val="440"/>
          <w:sz w:val="12"/>
        </w:rPr>
        <w:t>-</w:t>
        <w:tab/>
      </w:r>
      <w:r>
        <w:rPr>
          <w:b/>
          <w:w w:val="105"/>
          <w:sz w:val="12"/>
        </w:rPr>
        <w:t>46</w:t>
        <w:tab/>
      </w:r>
      <w:r>
        <w:rPr>
          <w:rFonts w:ascii="Arial" w:hAnsi="Arial"/>
          <w:b/>
          <w:w w:val="105"/>
          <w:sz w:val="11"/>
        </w:rPr>
        <w:t>tó</w:t>
      </w:r>
    </w:p>
    <w:p>
      <w:pPr>
        <w:spacing w:after="0" w:line="114" w:lineRule="exact"/>
        <w:jc w:val="left"/>
        <w:rPr>
          <w:rFonts w:ascii="Arial" w:hAnsi="Arial"/>
          <w:sz w:val="11"/>
        </w:rPr>
        <w:sectPr>
          <w:type w:val="continuous"/>
          <w:pgSz w:w="7200" w:h="11340"/>
          <w:pgMar w:top="1100" w:bottom="0" w:left="680" w:right="520"/>
          <w:cols w:num="2" w:equalWidth="0">
            <w:col w:w="2296" w:space="40"/>
            <w:col w:w="3664"/>
          </w:cols>
        </w:sectPr>
      </w:pPr>
    </w:p>
    <w:p>
      <w:pPr>
        <w:pStyle w:val="BodyText"/>
        <w:spacing w:before="9"/>
        <w:rPr>
          <w:rFonts w:ascii="Arial"/>
          <w:b/>
          <w:sz w:val="8"/>
        </w:rPr>
      </w:pPr>
    </w:p>
    <w:p>
      <w:pPr>
        <w:spacing w:line="223" w:lineRule="exact" w:before="75"/>
        <w:ind w:left="2113" w:right="0" w:firstLine="0"/>
        <w:jc w:val="left"/>
        <w:rPr>
          <w:sz w:val="18"/>
        </w:rPr>
      </w:pPr>
      <w:r>
        <w:rPr>
          <w:i/>
          <w:w w:val="125"/>
          <w:sz w:val="20"/>
        </w:rPr>
        <w:t>E = </w:t>
      </w:r>
      <w:r>
        <w:rPr>
          <w:i/>
          <w:sz w:val="20"/>
        </w:rPr>
        <w:t>( C </w:t>
      </w:r>
      <w:r>
        <w:rPr>
          <w:w w:val="270"/>
          <w:sz w:val="20"/>
        </w:rPr>
        <w:t>-</w:t>
      </w:r>
      <w:r>
        <w:rPr>
          <w:spacing w:val="-97"/>
          <w:w w:val="270"/>
          <w:sz w:val="20"/>
        </w:rPr>
        <w:t> </w:t>
      </w:r>
      <w:r>
        <w:rPr>
          <w:i/>
          <w:w w:val="125"/>
          <w:sz w:val="20"/>
        </w:rPr>
        <w:t>L </w:t>
      </w:r>
      <w:r>
        <w:rPr>
          <w:i/>
          <w:sz w:val="20"/>
        </w:rPr>
        <w:t>)D4</w:t>
      </w:r>
      <w:r>
        <w:rPr>
          <w:i/>
          <w:sz w:val="20"/>
          <w:u w:val="single"/>
        </w:rPr>
        <w:t>0 </w:t>
      </w:r>
      <w:r>
        <w:rPr>
          <w:w w:val="270"/>
          <w:sz w:val="20"/>
        </w:rPr>
        <w:t>-</w:t>
      </w:r>
      <w:r>
        <w:rPr>
          <w:spacing w:val="-82"/>
          <w:w w:val="270"/>
          <w:sz w:val="20"/>
        </w:rPr>
        <w:t> </w:t>
      </w:r>
      <w:r>
        <w:rPr>
          <w:w w:val="125"/>
          <w:sz w:val="19"/>
        </w:rPr>
        <w:t>(1 </w:t>
      </w:r>
      <w:r>
        <w:rPr>
          <w:w w:val="270"/>
          <w:sz w:val="19"/>
        </w:rPr>
        <w:t>-</w:t>
      </w:r>
      <w:r>
        <w:rPr>
          <w:spacing w:val="-90"/>
          <w:w w:val="270"/>
          <w:sz w:val="19"/>
        </w:rPr>
        <w:t> </w:t>
      </w:r>
      <w:r>
        <w:rPr>
          <w:i/>
          <w:w w:val="125"/>
          <w:sz w:val="20"/>
        </w:rPr>
        <w:t>L </w:t>
      </w:r>
      <w:r>
        <w:rPr>
          <w:i/>
          <w:sz w:val="20"/>
        </w:rPr>
        <w:t>)( M </w:t>
      </w:r>
      <w:r>
        <w:rPr>
          <w:i/>
          <w:w w:val="90"/>
          <w:sz w:val="20"/>
        </w:rPr>
        <w:t>40 </w:t>
      </w:r>
      <w:r>
        <w:rPr>
          <w:w w:val="270"/>
          <w:sz w:val="20"/>
        </w:rPr>
        <w:t>-</w:t>
      </w:r>
      <w:r>
        <w:rPr>
          <w:spacing w:val="-97"/>
          <w:w w:val="270"/>
          <w:sz w:val="20"/>
        </w:rPr>
        <w:t> </w:t>
      </w:r>
      <w:r>
        <w:rPr>
          <w:sz w:val="18"/>
        </w:rPr>
        <w:t>M46)</w:t>
      </w:r>
    </w:p>
    <w:p>
      <w:pPr>
        <w:spacing w:line="246" w:lineRule="exact" w:before="0"/>
        <w:ind w:left="0" w:right="1636" w:firstLine="0"/>
        <w:jc w:val="right"/>
        <w:rPr>
          <w:i/>
          <w:sz w:val="22"/>
        </w:rPr>
      </w:pPr>
      <w:r>
        <w:rPr>
          <w:i/>
          <w:w w:val="60"/>
          <w:sz w:val="22"/>
        </w:rPr>
        <w:t>D41,</w:t>
      </w:r>
    </w:p>
    <w:p>
      <w:pPr>
        <w:pStyle w:val="BodyText"/>
        <w:spacing w:before="161"/>
        <w:ind w:left="518"/>
      </w:pPr>
      <w:r>
        <w:rPr>
          <w:w w:val="105"/>
        </w:rPr>
        <w:t>(ii)  Retrospective reserve</w:t>
      </w:r>
    </w:p>
    <w:p>
      <w:pPr>
        <w:tabs>
          <w:tab w:pos="5458" w:val="left" w:leader="none"/>
        </w:tabs>
        <w:spacing w:line="330" w:lineRule="exact" w:before="149"/>
        <w:ind w:left="2297" w:right="0" w:firstLine="0"/>
        <w:jc w:val="center"/>
        <w:rPr>
          <w:sz w:val="12"/>
        </w:rPr>
      </w:pPr>
      <w:r>
        <w:rPr>
          <w:w w:val="87"/>
          <w:sz w:val="28"/>
        </w:rPr>
        <w:t>=</w:t>
      </w:r>
      <w:r>
        <w:rPr>
          <w:sz w:val="28"/>
        </w:rPr>
        <w:t> </w:t>
      </w:r>
      <w:r>
        <w:rPr>
          <w:spacing w:val="-27"/>
          <w:sz w:val="28"/>
        </w:rPr>
        <w:t> </w:t>
      </w:r>
      <w:r>
        <w:rPr>
          <w:spacing w:val="18"/>
          <w:w w:val="68"/>
          <w:sz w:val="28"/>
        </w:rPr>
        <w:t>(</w:t>
      </w:r>
      <w:r>
        <w:rPr>
          <w:i/>
          <w:w w:val="90"/>
          <w:sz w:val="22"/>
        </w:rPr>
        <w:t>C</w:t>
      </w:r>
      <w:r>
        <w:rPr>
          <w:i/>
          <w:sz w:val="22"/>
        </w:rPr>
        <w:t> </w:t>
      </w:r>
      <w:r>
        <w:rPr>
          <w:i/>
          <w:spacing w:val="-17"/>
          <w:sz w:val="22"/>
        </w:rPr>
        <w:t> </w:t>
      </w:r>
      <w:r>
        <w:rPr>
          <w:w w:val="125"/>
          <w:sz w:val="22"/>
        </w:rPr>
        <w:t>_</w:t>
      </w:r>
      <w:r>
        <w:rPr>
          <w:sz w:val="22"/>
        </w:rPr>
        <w:t>  </w:t>
      </w:r>
      <w:r>
        <w:rPr>
          <w:i/>
          <w:w w:val="103"/>
          <w:sz w:val="22"/>
        </w:rPr>
        <w:t>L</w:t>
      </w:r>
      <w:r>
        <w:rPr>
          <w:i/>
          <w:spacing w:val="-28"/>
          <w:sz w:val="22"/>
        </w:rPr>
        <w:t> </w:t>
      </w:r>
      <w:r>
        <w:rPr>
          <w:i/>
          <w:w w:val="58"/>
          <w:sz w:val="22"/>
        </w:rPr>
        <w:t>)</w:t>
      </w:r>
      <w:r>
        <w:rPr>
          <w:i/>
          <w:sz w:val="22"/>
        </w:rPr>
        <w:t> </w:t>
      </w:r>
      <w:r>
        <w:rPr>
          <w:i/>
          <w:spacing w:val="-21"/>
          <w:sz w:val="22"/>
        </w:rPr>
        <w:t> </w:t>
      </w:r>
      <w:r>
        <w:rPr>
          <w:i/>
          <w:w w:val="106"/>
          <w:sz w:val="22"/>
          <w:u w:val="single"/>
        </w:rPr>
        <w:t>D</w:t>
      </w:r>
      <w:r>
        <w:rPr>
          <w:i/>
          <w:spacing w:val="-13"/>
          <w:w w:val="106"/>
          <w:sz w:val="22"/>
          <w:u w:val="single"/>
        </w:rPr>
        <w:t>,</w:t>
      </w:r>
      <w:r>
        <w:rPr>
          <w:i/>
          <w:w w:val="58"/>
          <w:sz w:val="22"/>
        </w:rPr>
        <w:t>o</w:t>
      </w:r>
      <w:r>
        <w:rPr>
          <w:i/>
          <w:spacing w:val="25"/>
          <w:sz w:val="22"/>
        </w:rPr>
        <w:t> </w:t>
      </w:r>
      <w:r>
        <w:rPr>
          <w:w w:val="121"/>
          <w:sz w:val="22"/>
        </w:rPr>
        <w:t>_</w:t>
      </w:r>
      <w:r>
        <w:rPr>
          <w:sz w:val="22"/>
        </w:rPr>
        <w:t> </w:t>
      </w:r>
      <w:r>
        <w:rPr>
          <w:spacing w:val="12"/>
          <w:sz w:val="22"/>
        </w:rPr>
        <w:t> </w:t>
      </w:r>
      <w:r>
        <w:rPr>
          <w:w w:val="88"/>
          <w:sz w:val="22"/>
        </w:rPr>
        <w:t>(</w:t>
      </w:r>
      <w:r>
        <w:rPr>
          <w:spacing w:val="-20"/>
          <w:sz w:val="22"/>
        </w:rPr>
        <w:t> </w:t>
      </w:r>
      <w:r>
        <w:rPr>
          <w:w w:val="128"/>
          <w:position w:val="-6"/>
          <w:sz w:val="19"/>
        </w:rPr>
        <w:t>1</w:t>
      </w:r>
      <w:r>
        <w:rPr>
          <w:spacing w:val="7"/>
          <w:position w:val="-6"/>
          <w:sz w:val="19"/>
        </w:rPr>
        <w:t> </w:t>
      </w:r>
      <w:r>
        <w:rPr>
          <w:w w:val="141"/>
          <w:sz w:val="19"/>
        </w:rPr>
        <w:t>_</w:t>
      </w:r>
      <w:r>
        <w:rPr>
          <w:sz w:val="19"/>
        </w:rPr>
        <w:t> </w:t>
      </w:r>
      <w:r>
        <w:rPr>
          <w:spacing w:val="5"/>
          <w:sz w:val="19"/>
        </w:rPr>
        <w:t> </w:t>
      </w:r>
      <w:r>
        <w:rPr>
          <w:i/>
          <w:w w:val="100"/>
          <w:sz w:val="22"/>
        </w:rPr>
        <w:t>L</w:t>
      </w:r>
      <w:r>
        <w:rPr>
          <w:i/>
          <w:spacing w:val="-17"/>
          <w:sz w:val="22"/>
        </w:rPr>
        <w:t> </w:t>
      </w:r>
      <w:r>
        <w:rPr>
          <w:i/>
          <w:w w:val="58"/>
          <w:sz w:val="22"/>
        </w:rPr>
        <w:t>)</w:t>
      </w:r>
      <w:r>
        <w:rPr>
          <w:i/>
          <w:sz w:val="22"/>
        </w:rPr>
        <w:t> </w:t>
      </w:r>
      <w:r>
        <w:rPr>
          <w:i/>
          <w:spacing w:val="-21"/>
          <w:sz w:val="22"/>
        </w:rPr>
        <w:t> </w:t>
      </w:r>
      <w:r>
        <w:rPr>
          <w:i/>
          <w:w w:val="85"/>
          <w:sz w:val="22"/>
          <w:u w:val="single"/>
        </w:rPr>
        <w:t>M</w:t>
      </w:r>
      <w:r>
        <w:rPr>
          <w:i/>
          <w:spacing w:val="-24"/>
          <w:sz w:val="22"/>
          <w:u w:val="single"/>
        </w:rPr>
        <w:t> </w:t>
      </w:r>
      <w:r>
        <w:rPr>
          <w:spacing w:val="-31"/>
          <w:w w:val="203"/>
          <w:sz w:val="18"/>
          <w:u w:val="single"/>
        </w:rPr>
        <w:t>,</w:t>
      </w:r>
      <w:r>
        <w:rPr>
          <w:w w:val="67"/>
          <w:sz w:val="18"/>
          <w:u w:val="single"/>
        </w:rPr>
        <w:t>o</w:t>
      </w:r>
      <w:r>
        <w:rPr>
          <w:spacing w:val="15"/>
          <w:sz w:val="18"/>
          <w:u w:val="single"/>
        </w:rPr>
        <w:t> </w:t>
      </w:r>
      <w:r>
        <w:rPr>
          <w:spacing w:val="-15"/>
          <w:sz w:val="18"/>
        </w:rPr>
        <w:t> </w:t>
      </w:r>
      <w:r>
        <w:rPr>
          <w:w w:val="305"/>
          <w:sz w:val="18"/>
          <w:u w:val="single"/>
        </w:rPr>
        <w:t>-</w:t>
      </w:r>
      <w:r>
        <w:rPr>
          <w:sz w:val="18"/>
        </w:rPr>
        <w:tab/>
      </w:r>
      <w:r>
        <w:rPr>
          <w:i/>
          <w:w w:val="85"/>
          <w:sz w:val="22"/>
          <w:u w:val="single"/>
        </w:rPr>
        <w:t>M</w:t>
      </w:r>
      <w:r>
        <w:rPr>
          <w:i/>
          <w:spacing w:val="-21"/>
          <w:sz w:val="22"/>
          <w:u w:val="single"/>
        </w:rPr>
        <w:t> </w:t>
      </w:r>
      <w:r>
        <w:rPr>
          <w:w w:val="101"/>
          <w:position w:val="3"/>
          <w:sz w:val="12"/>
          <w:u w:val="single"/>
        </w:rPr>
        <w:t>43</w:t>
      </w:r>
    </w:p>
    <w:p>
      <w:pPr>
        <w:tabs>
          <w:tab w:pos="5270" w:val="left" w:leader="none"/>
        </w:tabs>
        <w:spacing w:line="187" w:lineRule="exact" w:before="0"/>
        <w:ind w:left="3510" w:right="0" w:firstLine="0"/>
        <w:jc w:val="left"/>
        <w:rPr>
          <w:sz w:val="20"/>
        </w:rPr>
      </w:pPr>
      <w:r>
        <w:rPr>
          <w:i/>
          <w:sz w:val="20"/>
        </w:rPr>
        <w:t>Du</w:t>
        <w:tab/>
      </w:r>
      <w:r>
        <w:rPr>
          <w:sz w:val="20"/>
        </w:rPr>
        <w:t>D43</w:t>
      </w:r>
    </w:p>
    <w:p>
      <w:pPr>
        <w:tabs>
          <w:tab w:pos="3031" w:val="left" w:leader="none"/>
          <w:tab w:pos="3639" w:val="left" w:leader="none"/>
          <w:tab w:pos="4287" w:val="left" w:leader="none"/>
        </w:tabs>
        <w:spacing w:line="169" w:lineRule="exact" w:before="169"/>
        <w:ind w:left="1627" w:right="0" w:firstLine="0"/>
        <w:jc w:val="left"/>
        <w:rPr>
          <w:i/>
          <w:sz w:val="20"/>
        </w:rPr>
      </w:pPr>
      <w:r>
        <w:rPr/>
        <w:pict>
          <v:shape style="position:absolute;margin-left:165.059998pt;margin-top:10.626064pt;width:47.2pt;height:15.5pt;mso-position-horizontal-relative:page;mso-position-vertical-relative:paragraph;z-index:-707296" type="#_x0000_t202" filled="false" stroked="false">
            <v:textbox inset="0,0,0,0">
              <w:txbxContent>
                <w:p>
                  <w:pPr>
                    <w:tabs>
                      <w:tab w:pos="752" w:val="left" w:leader="none"/>
                    </w:tabs>
                    <w:spacing w:line="310" w:lineRule="exact" w:before="0"/>
                    <w:ind w:left="0" w:right="0" w:firstLine="0"/>
                    <w:jc w:val="left"/>
                    <w:rPr>
                      <w:rFonts w:ascii="Arial"/>
                      <w:sz w:val="31"/>
                    </w:rPr>
                  </w:pPr>
                  <w:r>
                    <w:rPr>
                      <w:w w:val="105"/>
                      <w:sz w:val="24"/>
                    </w:rPr>
                    <w:t>=</w:t>
                    <w:tab/>
                  </w:r>
                  <w:r>
                    <w:rPr>
                      <w:rFonts w:ascii="Arial"/>
                      <w:w w:val="105"/>
                      <w:sz w:val="31"/>
                    </w:rPr>
                    <w:t>+</w:t>
                  </w:r>
                </w:p>
              </w:txbxContent>
            </v:textbox>
            <w10:wrap type="none"/>
          </v:shape>
        </w:pict>
      </w:r>
      <w:r>
        <w:rPr>
          <w:w w:val="105"/>
          <w:sz w:val="20"/>
        </w:rPr>
        <w:t>.</w:t>
        <w:tab/>
      </w:r>
      <w:r>
        <w:rPr>
          <w:i/>
          <w:w w:val="90"/>
          <w:sz w:val="20"/>
        </w:rPr>
        <w:t>D46</w:t>
        <w:tab/>
      </w:r>
      <w:r>
        <w:rPr>
          <w:w w:val="105"/>
          <w:sz w:val="20"/>
        </w:rPr>
        <w:t>(</w:t>
        <w:tab/>
      </w:r>
      <w:r>
        <w:rPr>
          <w:i/>
          <w:w w:val="90"/>
          <w:sz w:val="20"/>
        </w:rPr>
        <w:t>) M43 </w:t>
      </w:r>
      <w:r>
        <w:rPr>
          <w:i/>
          <w:w w:val="235"/>
          <w:sz w:val="20"/>
        </w:rPr>
        <w:t>-</w:t>
      </w:r>
      <w:r>
        <w:rPr>
          <w:i/>
          <w:spacing w:val="-83"/>
          <w:w w:val="235"/>
          <w:sz w:val="20"/>
        </w:rPr>
        <w:t> </w:t>
      </w:r>
      <w:r>
        <w:rPr>
          <w:i/>
          <w:w w:val="105"/>
          <w:sz w:val="20"/>
        </w:rPr>
        <w:t>M </w:t>
      </w:r>
      <w:r>
        <w:rPr>
          <w:i/>
          <w:w w:val="85"/>
          <w:sz w:val="20"/>
        </w:rPr>
        <w:t>46</w:t>
      </w:r>
    </w:p>
    <w:p>
      <w:pPr>
        <w:tabs>
          <w:tab w:pos="1965" w:val="left" w:leader="none"/>
          <w:tab w:pos="2872" w:val="left" w:leader="none"/>
          <w:tab w:pos="3895" w:val="left" w:leader="none"/>
        </w:tabs>
        <w:spacing w:line="158" w:lineRule="exact" w:before="0"/>
        <w:ind w:left="0" w:right="210" w:firstLine="0"/>
        <w:jc w:val="center"/>
        <w:rPr>
          <w:rFonts w:ascii="Arial"/>
          <w:i/>
          <w:sz w:val="20"/>
        </w:rPr>
      </w:pPr>
      <w:r>
        <w:rPr/>
        <w:pict>
          <v:rect style="position:absolute;margin-left:272.160004pt;margin-top:6.308398pt;width:7.38pt;height:5.76pt;mso-position-horizontal-relative:page;mso-position-vertical-relative:paragraph;z-index:-707344" filled="true" fillcolor="#000000" stroked="false">
            <v:fill type="solid"/>
            <w10:wrap type="none"/>
          </v:rect>
        </w:pict>
      </w:r>
      <w:r>
        <w:rPr>
          <w:w w:val="105"/>
          <w:sz w:val="20"/>
        </w:rPr>
        <w:t>Prospect1ve</w:t>
      </w:r>
      <w:r>
        <w:rPr>
          <w:spacing w:val="-1"/>
          <w:w w:val="105"/>
          <w:sz w:val="20"/>
        </w:rPr>
        <w:t> </w:t>
      </w:r>
      <w:r>
        <w:rPr>
          <w:w w:val="105"/>
          <w:sz w:val="20"/>
        </w:rPr>
        <w:t>reserve</w:t>
        <w:tab/>
      </w:r>
      <w:r>
        <w:rPr>
          <w:rFonts w:ascii="Arial"/>
          <w:i/>
          <w:w w:val="110"/>
          <w:sz w:val="20"/>
        </w:rPr>
        <w:t>E</w:t>
      </w:r>
      <w:r>
        <w:rPr>
          <w:rFonts w:ascii="Arial"/>
          <w:i/>
          <w:spacing w:val="1"/>
          <w:w w:val="110"/>
          <w:sz w:val="20"/>
        </w:rPr>
        <w:t> </w:t>
      </w:r>
      <w:r>
        <w:rPr>
          <w:rFonts w:ascii="Arial"/>
          <w:i/>
          <w:w w:val="110"/>
          <w:sz w:val="20"/>
        </w:rPr>
        <w:t>D</w:t>
        <w:tab/>
      </w:r>
      <w:r>
        <w:rPr>
          <w:w w:val="130"/>
          <w:sz w:val="20"/>
        </w:rPr>
        <w:t>1</w:t>
      </w:r>
      <w:r>
        <w:rPr>
          <w:spacing w:val="-30"/>
          <w:w w:val="130"/>
          <w:sz w:val="20"/>
        </w:rPr>
        <w:t> </w:t>
      </w:r>
      <w:r>
        <w:rPr>
          <w:w w:val="255"/>
          <w:sz w:val="20"/>
        </w:rPr>
        <w:t>-</w:t>
      </w:r>
      <w:r>
        <w:rPr>
          <w:spacing w:val="-84"/>
          <w:w w:val="255"/>
          <w:sz w:val="20"/>
        </w:rPr>
        <w:t> </w:t>
      </w:r>
      <w:r>
        <w:rPr>
          <w:rFonts w:ascii="Arial"/>
          <w:i/>
          <w:w w:val="130"/>
          <w:sz w:val="20"/>
        </w:rPr>
        <w:t>L</w:t>
        <w:tab/>
      </w:r>
      <w:r>
        <w:rPr>
          <w:rFonts w:ascii="Arial"/>
          <w:i/>
          <w:w w:val="110"/>
          <w:sz w:val="20"/>
        </w:rPr>
        <w:t>D</w:t>
      </w:r>
    </w:p>
    <w:p>
      <w:pPr>
        <w:tabs>
          <w:tab w:pos="3954" w:val="left" w:leader="none"/>
        </w:tabs>
        <w:spacing w:line="127" w:lineRule="exact" w:before="0"/>
        <w:ind w:left="2230" w:right="0" w:firstLine="0"/>
        <w:jc w:val="center"/>
        <w:rPr>
          <w:b/>
          <w:sz w:val="12"/>
        </w:rPr>
      </w:pPr>
      <w:r>
        <w:rPr>
          <w:b/>
          <w:sz w:val="12"/>
        </w:rPr>
        <w:t>43</w:t>
        <w:tab/>
        <w:t>43</w:t>
      </w:r>
    </w:p>
    <w:p>
      <w:pPr>
        <w:pStyle w:val="BodyText"/>
        <w:spacing w:before="3"/>
        <w:rPr>
          <w:b/>
          <w:sz w:val="12"/>
        </w:rPr>
      </w:pPr>
    </w:p>
    <w:p>
      <w:pPr>
        <w:pStyle w:val="BodyText"/>
        <w:ind w:left="1184"/>
      </w:pPr>
      <w:r>
        <w:rPr>
          <w:w w:val="105"/>
        </w:rPr>
        <w:t>where </w:t>
      </w:r>
      <w:r>
        <w:rPr>
          <w:i/>
          <w:w w:val="105"/>
          <w:sz w:val="21"/>
        </w:rPr>
        <w:t>E  </w:t>
      </w:r>
      <w:r>
        <w:rPr>
          <w:w w:val="105"/>
        </w:rPr>
        <w:t>is the pure endowment given in  (i ).</w:t>
      </w:r>
    </w:p>
    <w:p>
      <w:pPr>
        <w:tabs>
          <w:tab w:pos="1191" w:val="left" w:leader="none"/>
          <w:tab w:pos="3367" w:val="left" w:leader="none"/>
        </w:tabs>
        <w:spacing w:before="52"/>
        <w:ind w:left="493" w:right="0" w:firstLine="0"/>
        <w:jc w:val="left"/>
        <w:rPr>
          <w:b/>
          <w:sz w:val="19"/>
        </w:rPr>
      </w:pPr>
      <w:r>
        <w:rPr/>
        <w:drawing>
          <wp:anchor distT="0" distB="0" distL="0" distR="0" allowOverlap="1" layoutInCell="1" locked="0" behindDoc="1" simplePos="0" relativeHeight="267728063">
            <wp:simplePos x="0" y="0"/>
            <wp:positionH relativeFrom="page">
              <wp:posOffset>512063</wp:posOffset>
            </wp:positionH>
            <wp:positionV relativeFrom="paragraph">
              <wp:posOffset>213090</wp:posOffset>
            </wp:positionV>
            <wp:extent cx="2057400" cy="192024"/>
            <wp:effectExtent l="0" t="0" r="0" b="0"/>
            <wp:wrapNone/>
            <wp:docPr id="843" name="image431.png" descr=""/>
            <wp:cNvGraphicFramePr>
              <a:graphicFrameLocks noChangeAspect="1"/>
            </wp:cNvGraphicFramePr>
            <a:graphic>
              <a:graphicData uri="http://schemas.openxmlformats.org/drawingml/2006/picture">
                <pic:pic>
                  <pic:nvPicPr>
                    <pic:cNvPr id="844" name="image431.png"/>
                    <pic:cNvPicPr/>
                  </pic:nvPicPr>
                  <pic:blipFill>
                    <a:blip r:embed="rId435" cstate="print"/>
                    <a:stretch>
                      <a:fillRect/>
                    </a:stretch>
                  </pic:blipFill>
                  <pic:spPr>
                    <a:xfrm>
                      <a:off x="0" y="0"/>
                      <a:ext cx="2057400" cy="192024"/>
                    </a:xfrm>
                    <a:prstGeom prst="rect">
                      <a:avLst/>
                    </a:prstGeom>
                  </pic:spPr>
                </pic:pic>
              </a:graphicData>
            </a:graphic>
          </wp:anchor>
        </w:drawing>
      </w:r>
      <w:r>
        <w:rPr>
          <w:b/>
          <w:i/>
          <w:sz w:val="21"/>
          <w:u w:val="single"/>
        </w:rPr>
        <w:t> </w:t>
        <w:tab/>
      </w:r>
      <w:r>
        <w:rPr>
          <w:b/>
          <w:i/>
          <w:w w:val="95"/>
          <w:sz w:val="21"/>
          <w:u w:val="single"/>
        </w:rPr>
        <w:t>1200M</w:t>
      </w:r>
      <w:r>
        <w:rPr>
          <w:b/>
          <w:i/>
          <w:spacing w:val="-30"/>
          <w:w w:val="95"/>
          <w:sz w:val="21"/>
          <w:u w:val="single"/>
        </w:rPr>
        <w:t> </w:t>
      </w:r>
      <w:r>
        <w:rPr>
          <w:b/>
          <w:i/>
          <w:w w:val="95"/>
          <w:sz w:val="21"/>
          <w:u w:val="single"/>
        </w:rPr>
        <w:t>x+n</w:t>
      </w:r>
      <w:r>
        <w:rPr>
          <w:b/>
          <w:i/>
          <w:spacing w:val="2"/>
          <w:w w:val="95"/>
          <w:sz w:val="21"/>
          <w:u w:val="single"/>
        </w:rPr>
        <w:t> </w:t>
      </w:r>
      <w:r>
        <w:rPr>
          <w:rFonts w:ascii="Arial"/>
          <w:w w:val="95"/>
          <w:sz w:val="31"/>
          <w:u w:val="single"/>
        </w:rPr>
        <w:t>+</w:t>
      </w:r>
      <w:r>
        <w:rPr>
          <w:rFonts w:ascii="Arial"/>
          <w:spacing w:val="-51"/>
          <w:w w:val="95"/>
          <w:sz w:val="31"/>
          <w:u w:val="single"/>
        </w:rPr>
        <w:t> </w:t>
      </w:r>
      <w:r>
        <w:rPr>
          <w:b/>
          <w:w w:val="95"/>
          <w:sz w:val="19"/>
          <w:u w:val="single"/>
        </w:rPr>
        <w:t>3Nz</w:t>
      </w:r>
      <w:r>
        <w:rPr>
          <w:b/>
          <w:sz w:val="19"/>
          <w:u w:val="single"/>
        </w:rPr>
        <w:tab/>
      </w:r>
    </w:p>
    <w:p>
      <w:pPr>
        <w:pStyle w:val="BodyText"/>
        <w:spacing w:before="4"/>
        <w:rPr>
          <w:b/>
          <w:sz w:val="26"/>
        </w:rPr>
      </w:pPr>
    </w:p>
    <w:p>
      <w:pPr>
        <w:tabs>
          <w:tab w:pos="727" w:val="left" w:leader="none"/>
          <w:tab w:pos="1691" w:val="left" w:leader="none"/>
          <w:tab w:pos="2404" w:val="left" w:leader="none"/>
        </w:tabs>
        <w:spacing w:line="294" w:lineRule="exact" w:before="0"/>
        <w:ind w:left="0" w:right="391" w:firstLine="0"/>
        <w:jc w:val="center"/>
        <w:rPr>
          <w:sz w:val="31"/>
        </w:rPr>
      </w:pPr>
      <w:r>
        <w:rPr/>
        <w:pict>
          <v:shape style="position:absolute;margin-left:58.860001pt;margin-top:10.75462pt;width:122.3pt;height:12pt;mso-position-horizontal-relative:page;mso-position-vertical-relative:paragraph;z-index:-707248" type="#_x0000_t202" filled="false" stroked="false">
            <v:textbox inset="0,0,0,0">
              <w:txbxContent>
                <w:p>
                  <w:pPr>
                    <w:tabs>
                      <w:tab w:pos="1461" w:val="left" w:leader="none"/>
                      <w:tab w:pos="2138" w:val="left" w:leader="none"/>
                    </w:tabs>
                    <w:spacing w:line="240" w:lineRule="exact" w:before="0"/>
                    <w:ind w:left="0" w:right="0" w:firstLine="0"/>
                    <w:jc w:val="left"/>
                    <w:rPr>
                      <w:sz w:val="24"/>
                    </w:rPr>
                  </w:pPr>
                  <w:r>
                    <w:rPr>
                      <w:rFonts w:ascii="Arial"/>
                      <w:w w:val="117"/>
                      <w:sz w:val="19"/>
                    </w:rPr>
                    <w:t>(</w:t>
                  </w:r>
                  <w:r>
                    <w:rPr>
                      <w:rFonts w:ascii="Arial"/>
                      <w:w w:val="117"/>
                      <w:sz w:val="19"/>
                    </w:rPr>
                    <w:t>a</w:t>
                  </w:r>
                  <w:r>
                    <w:rPr>
                      <w:rFonts w:ascii="Arial"/>
                      <w:w w:val="117"/>
                      <w:sz w:val="19"/>
                    </w:rPr>
                    <w:t>)</w:t>
                  </w:r>
                  <w:r>
                    <w:rPr>
                      <w:rFonts w:ascii="Arial"/>
                      <w:spacing w:val="22"/>
                      <w:sz w:val="19"/>
                    </w:rPr>
                    <w:t> </w:t>
                  </w:r>
                  <w:r>
                    <w:rPr>
                      <w:rFonts w:ascii="Arial"/>
                      <w:spacing w:val="-31"/>
                      <w:w w:val="194"/>
                      <w:sz w:val="19"/>
                    </w:rPr>
                    <w:t>,</w:t>
                  </w:r>
                  <w:r>
                    <w:rPr>
                      <w:rFonts w:ascii="Arial"/>
                      <w:i/>
                      <w:w w:val="102"/>
                      <w:sz w:val="20"/>
                    </w:rPr>
                    <w:t>V</w:t>
                  </w:r>
                  <w:r>
                    <w:rPr>
                      <w:rFonts w:ascii="Arial"/>
                      <w:i/>
                      <w:sz w:val="20"/>
                    </w:rPr>
                    <w:t> </w:t>
                  </w:r>
                  <w:r>
                    <w:rPr>
                      <w:rFonts w:ascii="Arial"/>
                      <w:i/>
                      <w:spacing w:val="-22"/>
                      <w:sz w:val="20"/>
                    </w:rPr>
                    <w:t> </w:t>
                  </w:r>
                  <w:r>
                    <w:rPr>
                      <w:rFonts w:ascii="Arial"/>
                      <w:w w:val="255"/>
                      <w:sz w:val="20"/>
                    </w:rPr>
                    <w:t>-</w:t>
                  </w:r>
                  <w:r>
                    <w:rPr>
                      <w:rFonts w:ascii="Arial"/>
                      <w:spacing w:val="15"/>
                      <w:sz w:val="20"/>
                    </w:rPr>
                    <w:t> </w:t>
                  </w:r>
                  <w:r>
                    <w:rPr>
                      <w:rFonts w:ascii="Arial"/>
                      <w:spacing w:val="-13"/>
                      <w:w w:val="184"/>
                      <w:sz w:val="20"/>
                    </w:rPr>
                    <w:t>,</w:t>
                  </w:r>
                  <w:r>
                    <w:rPr>
                      <w:i/>
                      <w:w w:val="87"/>
                      <w:sz w:val="20"/>
                    </w:rPr>
                    <w:t>v</w:t>
                  </w:r>
                  <w:r>
                    <w:rPr>
                      <w:i/>
                      <w:sz w:val="20"/>
                    </w:rPr>
                    <w:tab/>
                  </w:r>
                  <w:r>
                    <w:rPr>
                      <w:w w:val="103"/>
                      <w:sz w:val="24"/>
                    </w:rPr>
                    <w:t>=</w:t>
                  </w:r>
                  <w:r>
                    <w:rPr>
                      <w:sz w:val="24"/>
                    </w:rPr>
                    <w:tab/>
                  </w:r>
                  <w:r>
                    <w:rPr>
                      <w:w w:val="57"/>
                      <w:sz w:val="24"/>
                    </w:rPr>
                    <w:t>..</w:t>
                  </w:r>
                  <w:r>
                    <w:rPr>
                      <w:sz w:val="24"/>
                    </w:rPr>
                    <w:t> </w:t>
                  </w:r>
                  <w:r>
                    <w:rPr>
                      <w:spacing w:val="6"/>
                      <w:sz w:val="24"/>
                    </w:rPr>
                    <w:t> </w:t>
                  </w:r>
                  <w:r>
                    <w:rPr>
                      <w:w w:val="94"/>
                      <w:sz w:val="24"/>
                    </w:rPr>
                    <w:t>_</w:t>
                  </w:r>
                </w:p>
              </w:txbxContent>
            </v:textbox>
            <w10:wrap type="none"/>
          </v:shape>
        </w:pict>
      </w:r>
      <w:r>
        <w:rPr>
          <w:w w:val="110"/>
          <w:sz w:val="12"/>
        </w:rPr>
        <w:t>y,.Com</w:t>
      </w:r>
      <w:r>
        <w:rPr>
          <w:sz w:val="12"/>
        </w:rPr>
        <w:tab/>
      </w:r>
      <w:r>
        <w:rPr>
          <w:b/>
          <w:w w:val="59"/>
          <w:sz w:val="31"/>
        </w:rPr>
        <w:t>(1</w:t>
      </w:r>
      <w:r>
        <w:rPr>
          <w:b/>
          <w:w w:val="59"/>
          <w:sz w:val="31"/>
          <w:u w:val="single"/>
        </w:rPr>
        <w:t>9</w:t>
      </w:r>
      <w:r>
        <w:rPr>
          <w:b/>
          <w:spacing w:val="13"/>
          <w:w w:val="59"/>
          <w:sz w:val="31"/>
          <w:u w:val="single"/>
        </w:rPr>
        <w:t>P</w:t>
      </w:r>
      <w:r>
        <w:rPr>
          <w:w w:val="137"/>
          <w:sz w:val="12"/>
          <w:u w:val="single"/>
        </w:rPr>
        <w:t>z+</w:t>
      </w:r>
      <w:r>
        <w:rPr>
          <w:w w:val="137"/>
          <w:sz w:val="12"/>
          <w:u w:val="single"/>
        </w:rPr>
        <w:t>l</w:t>
      </w:r>
      <w:r>
        <w:rPr>
          <w:sz w:val="12"/>
          <w:u w:val="single"/>
        </w:rPr>
        <w:t>  </w:t>
      </w:r>
      <w:r>
        <w:rPr>
          <w:spacing w:val="14"/>
          <w:sz w:val="12"/>
          <w:u w:val="single"/>
        </w:rPr>
        <w:t> </w:t>
      </w:r>
      <w:r>
        <w:rPr>
          <w:sz w:val="12"/>
        </w:rPr>
        <w:tab/>
      </w:r>
      <w:r>
        <w:rPr>
          <w:b/>
          <w:spacing w:val="-4"/>
          <w:w w:val="36"/>
          <w:sz w:val="31"/>
          <w:u w:val="single"/>
        </w:rPr>
        <w:t>C</w:t>
      </w:r>
      <w:r>
        <w:rPr>
          <w:b/>
          <w:w w:val="48"/>
          <w:sz w:val="31"/>
          <w:u w:val="single"/>
        </w:rPr>
        <w:t>:</w:t>
      </w:r>
      <w:r>
        <w:rPr>
          <w:b/>
          <w:w w:val="48"/>
          <w:sz w:val="31"/>
        </w:rPr>
        <w:t>,:)</w:t>
      </w:r>
      <w:r>
        <w:rPr>
          <w:b/>
          <w:spacing w:val="17"/>
          <w:sz w:val="31"/>
        </w:rPr>
        <w:t> </w:t>
      </w:r>
      <w:r>
        <w:rPr>
          <w:w w:val="43"/>
          <w:sz w:val="31"/>
        </w:rPr>
        <w:t>..</w:t>
      </w:r>
      <w:r>
        <w:rPr>
          <w:sz w:val="31"/>
        </w:rPr>
        <w:tab/>
      </w:r>
      <w:r>
        <w:rPr>
          <w:w w:val="184"/>
          <w:sz w:val="31"/>
        </w:rPr>
        <w:t>_</w:t>
      </w:r>
    </w:p>
    <w:p>
      <w:pPr>
        <w:tabs>
          <w:tab w:pos="2599" w:val="left" w:leader="none"/>
          <w:tab w:pos="3474" w:val="left" w:leader="none"/>
        </w:tabs>
        <w:spacing w:line="288" w:lineRule="exact" w:before="0"/>
        <w:ind w:left="140" w:right="0" w:firstLine="0"/>
        <w:jc w:val="left"/>
        <w:rPr>
          <w:sz w:val="13"/>
        </w:rPr>
      </w:pPr>
      <w:r>
        <w:rPr>
          <w:sz w:val="19"/>
        </w:rPr>
        <w:t>23.</w:t>
        <w:tab/>
      </w:r>
      <w:r>
        <w:rPr>
          <w:w w:val="90"/>
          <w:position w:val="-12"/>
          <w:sz w:val="20"/>
        </w:rPr>
        <w:t>llz:30J</w:t>
        <w:tab/>
      </w:r>
      <w:r>
        <w:rPr>
          <w:w w:val="125"/>
          <w:sz w:val="13"/>
        </w:rPr>
        <w:t>ªz+t:3o-tl</w:t>
      </w:r>
    </w:p>
    <w:p>
      <w:pPr>
        <w:tabs>
          <w:tab w:pos="2199" w:val="left" w:leader="none"/>
          <w:tab w:pos="3859" w:val="left" w:leader="none"/>
          <w:tab w:pos="4366" w:val="left" w:leader="none"/>
        </w:tabs>
        <w:spacing w:line="288" w:lineRule="exact" w:before="52"/>
        <w:ind w:left="1602" w:right="0" w:firstLine="0"/>
        <w:jc w:val="left"/>
        <w:rPr>
          <w:sz w:val="26"/>
        </w:rPr>
      </w:pPr>
      <w:r>
        <w:rPr/>
        <w:pict>
          <v:shape style="position:absolute;margin-left:132.479996pt;margin-top:13.71462pt;width:53.95pt;height:12pt;mso-position-horizontal-relative:page;mso-position-vertical-relative:paragraph;z-index:-707272" type="#_x0000_t202" filled="false" stroked="false">
            <v:textbox inset="0,0,0,0">
              <w:txbxContent>
                <w:p>
                  <w:pPr>
                    <w:tabs>
                      <w:tab w:pos="604" w:val="left" w:leader="none"/>
                    </w:tabs>
                    <w:spacing w:line="240" w:lineRule="exact" w:before="0"/>
                    <w:ind w:left="0" w:right="0" w:firstLine="0"/>
                    <w:jc w:val="left"/>
                    <w:rPr>
                      <w:sz w:val="24"/>
                    </w:rPr>
                  </w:pPr>
                  <w:r>
                    <w:rPr>
                      <w:w w:val="120"/>
                      <w:sz w:val="24"/>
                    </w:rPr>
                    <w:t>=</w:t>
                    <w:tab/>
                  </w:r>
                  <w:r>
                    <w:rPr>
                      <w:w w:val="85"/>
                      <w:sz w:val="24"/>
                    </w:rPr>
                    <w:t>..</w:t>
                  </w:r>
                  <w:r>
                    <w:rPr>
                      <w:spacing w:val="50"/>
                      <w:w w:val="85"/>
                      <w:sz w:val="24"/>
                    </w:rPr>
                    <w:t> </w:t>
                  </w:r>
                  <w:r>
                    <w:rPr>
                      <w:w w:val="225"/>
                      <w:sz w:val="24"/>
                    </w:rPr>
                    <w:t>_</w:t>
                  </w:r>
                </w:p>
              </w:txbxContent>
            </v:textbox>
            <w10:wrap type="none"/>
          </v:shape>
        </w:pict>
      </w:r>
      <w:r>
        <w:rPr>
          <w:w w:val="111"/>
          <w:sz w:val="12"/>
        </w:rPr>
        <w:t>Com</w:t>
      </w:r>
      <w:r>
        <w:rPr>
          <w:sz w:val="12"/>
        </w:rPr>
        <w:tab/>
      </w:r>
      <w:r>
        <w:rPr>
          <w:b/>
          <w:spacing w:val="-16"/>
          <w:w w:val="129"/>
          <w:sz w:val="31"/>
        </w:rPr>
        <w:t>(</w:t>
      </w:r>
      <w:r>
        <w:rPr>
          <w:b/>
          <w:w w:val="51"/>
          <w:sz w:val="31"/>
        </w:rPr>
        <w:t>19</w:t>
      </w:r>
      <w:r>
        <w:rPr>
          <w:b/>
          <w:spacing w:val="4"/>
          <w:w w:val="51"/>
          <w:sz w:val="31"/>
        </w:rPr>
        <w:t>p</w:t>
      </w:r>
      <w:r>
        <w:rPr>
          <w:w w:val="137"/>
          <w:sz w:val="12"/>
        </w:rPr>
        <w:t>z+l</w:t>
      </w:r>
      <w:r>
        <w:rPr>
          <w:sz w:val="12"/>
        </w:rPr>
        <w:t>   </w:t>
      </w:r>
      <w:r>
        <w:rPr>
          <w:spacing w:val="5"/>
          <w:sz w:val="12"/>
        </w:rPr>
        <w:t> </w:t>
      </w:r>
      <w:r>
        <w:rPr>
          <w:w w:val="448"/>
          <w:sz w:val="12"/>
        </w:rPr>
        <w:t>-</w:t>
      </w:r>
      <w:r>
        <w:rPr>
          <w:sz w:val="12"/>
        </w:rPr>
        <w:t> </w:t>
      </w:r>
      <w:r>
        <w:rPr>
          <w:spacing w:val="5"/>
          <w:sz w:val="12"/>
        </w:rPr>
        <w:t> </w:t>
      </w:r>
      <w:r>
        <w:rPr>
          <w:i/>
          <w:w w:val="38"/>
          <w:sz w:val="26"/>
        </w:rPr>
        <w:t>C.</w:t>
      </w:r>
      <w:r>
        <w:rPr>
          <w:i/>
          <w:spacing w:val="15"/>
          <w:w w:val="38"/>
          <w:sz w:val="26"/>
        </w:rPr>
        <w:t>r</w:t>
      </w:r>
      <w:r>
        <w:rPr>
          <w:i/>
          <w:w w:val="101"/>
          <w:sz w:val="26"/>
        </w:rPr>
        <w:t>)</w:t>
      </w:r>
      <w:r>
        <w:rPr>
          <w:i/>
          <w:sz w:val="26"/>
        </w:rPr>
        <w:t> </w:t>
      </w:r>
      <w:r>
        <w:rPr>
          <w:i/>
          <w:spacing w:val="-6"/>
          <w:sz w:val="26"/>
        </w:rPr>
        <w:t> </w:t>
      </w:r>
      <w:r>
        <w:rPr>
          <w:w w:val="52"/>
          <w:sz w:val="26"/>
        </w:rPr>
        <w:t>..</w:t>
      </w:r>
      <w:r>
        <w:rPr>
          <w:sz w:val="26"/>
        </w:rPr>
        <w:tab/>
      </w:r>
      <w:r>
        <w:rPr>
          <w:sz w:val="26"/>
          <w:u w:val="single"/>
        </w:rPr>
        <w:t> </w:t>
        <w:tab/>
      </w:r>
    </w:p>
    <w:p>
      <w:pPr>
        <w:tabs>
          <w:tab w:pos="3477" w:val="left" w:leader="none"/>
        </w:tabs>
        <w:spacing w:line="154" w:lineRule="exact" w:before="0"/>
        <w:ind w:left="490" w:right="0" w:firstLine="0"/>
        <w:jc w:val="left"/>
        <w:rPr>
          <w:sz w:val="13"/>
        </w:rPr>
      </w:pPr>
      <w:r>
        <w:rPr/>
        <w:pict>
          <v:line style="position:absolute;mso-position-horizontal-relative:page;mso-position-vertical-relative:paragraph;z-index:-707320" from="162.720001pt,6.644975pt" to="165.240001pt,6.644975pt" stroked="true" strokeweight=".54pt" strokecolor="#000000">
            <w10:wrap type="none"/>
          </v:line>
        </w:pict>
      </w:r>
      <w:r>
        <w:rPr>
          <w:b/>
          <w:w w:val="115"/>
          <w:sz w:val="19"/>
        </w:rPr>
        <w:t>(b) </w:t>
      </w:r>
      <w:r>
        <w:rPr>
          <w:b/>
          <w:w w:val="75"/>
          <w:sz w:val="16"/>
        </w:rPr>
        <w:t>e </w:t>
      </w:r>
      <w:r>
        <w:rPr>
          <w:b/>
          <w:i/>
          <w:w w:val="115"/>
          <w:sz w:val="21"/>
        </w:rPr>
        <w:t>V </w:t>
      </w:r>
      <w:r>
        <w:rPr>
          <w:w w:val="235"/>
          <w:sz w:val="21"/>
        </w:rPr>
        <w:t>-</w:t>
      </w:r>
      <w:r>
        <w:rPr>
          <w:spacing w:val="-35"/>
          <w:w w:val="235"/>
          <w:sz w:val="21"/>
        </w:rPr>
        <w:t> </w:t>
      </w:r>
      <w:r>
        <w:rPr>
          <w:b/>
          <w:i/>
          <w:w w:val="115"/>
          <w:sz w:val="13"/>
        </w:rPr>
        <w:t>t</w:t>
      </w:r>
      <w:r>
        <w:rPr>
          <w:b/>
          <w:i/>
          <w:spacing w:val="-4"/>
          <w:w w:val="115"/>
          <w:sz w:val="13"/>
        </w:rPr>
        <w:t> </w:t>
      </w:r>
      <w:r>
        <w:rPr>
          <w:b/>
          <w:i/>
          <w:w w:val="115"/>
          <w:sz w:val="21"/>
        </w:rPr>
        <w:t>V</w:t>
        <w:tab/>
      </w:r>
      <w:r>
        <w:rPr>
          <w:w w:val="115"/>
          <w:sz w:val="13"/>
        </w:rPr>
        <w:t>O.z+t </w:t>
      </w:r>
      <w:r>
        <w:rPr>
          <w:w w:val="130"/>
          <w:sz w:val="13"/>
        </w:rPr>
        <w:t>:66-x-t</w:t>
      </w:r>
      <w:r>
        <w:rPr>
          <w:spacing w:val="-31"/>
          <w:w w:val="130"/>
          <w:sz w:val="13"/>
        </w:rPr>
        <w:t> </w:t>
      </w:r>
      <w:r>
        <w:rPr>
          <w:w w:val="75"/>
          <w:sz w:val="13"/>
        </w:rPr>
        <w:t>J</w:t>
      </w:r>
    </w:p>
    <w:p>
      <w:pPr>
        <w:spacing w:line="131" w:lineRule="exact" w:before="0"/>
        <w:ind w:left="98" w:right="481" w:firstLine="0"/>
        <w:jc w:val="center"/>
        <w:rPr>
          <w:sz w:val="13"/>
        </w:rPr>
      </w:pPr>
      <w:r>
        <w:rPr>
          <w:w w:val="130"/>
          <w:sz w:val="13"/>
        </w:rPr>
        <w:t>az:66-xl</w:t>
      </w:r>
    </w:p>
    <w:p>
      <w:pPr>
        <w:spacing w:after="0" w:line="131" w:lineRule="exact"/>
        <w:jc w:val="center"/>
        <w:rPr>
          <w:sz w:val="13"/>
        </w:rPr>
        <w:sectPr>
          <w:type w:val="continuous"/>
          <w:pgSz w:w="7200" w:h="11340"/>
          <w:pgMar w:top="1100" w:bottom="0" w:left="680" w:right="520"/>
        </w:sectPr>
      </w:pPr>
    </w:p>
    <w:p>
      <w:pPr>
        <w:tabs>
          <w:tab w:pos="2594" w:val="left" w:leader="none"/>
          <w:tab w:pos="5341" w:val="left" w:leader="none"/>
        </w:tabs>
        <w:spacing w:before="52"/>
        <w:ind w:left="110" w:right="0" w:firstLine="0"/>
        <w:jc w:val="left"/>
        <w:rPr>
          <w:sz w:val="22"/>
        </w:rPr>
      </w:pPr>
      <w:r>
        <w:rPr>
          <w:rFonts w:ascii="Arial"/>
          <w:sz w:val="21"/>
        </w:rPr>
        <w:t>360</w:t>
        <w:tab/>
      </w:r>
      <w:r>
        <w:rPr>
          <w:b/>
          <w:sz w:val="16"/>
        </w:rPr>
        <w:t>ANSWEBS</w:t>
        <w:tab/>
      </w:r>
      <w:r>
        <w:rPr>
          <w:sz w:val="19"/>
        </w:rPr>
        <w:t>(CH.</w:t>
      </w:r>
      <w:r>
        <w:rPr>
          <w:spacing w:val="-3"/>
          <w:sz w:val="19"/>
        </w:rPr>
        <w:t> </w:t>
      </w:r>
      <w:r>
        <w:rPr>
          <w:sz w:val="22"/>
        </w:rPr>
        <w:t>7</w:t>
      </w:r>
    </w:p>
    <w:p>
      <w:pPr>
        <w:pStyle w:val="BodyText"/>
        <w:spacing w:before="1"/>
        <w:rPr>
          <w:sz w:val="19"/>
        </w:rPr>
      </w:pPr>
    </w:p>
    <w:p>
      <w:pPr>
        <w:tabs>
          <w:tab w:pos="718" w:val="left" w:leader="none"/>
        </w:tabs>
        <w:spacing w:line="311" w:lineRule="exact" w:before="0"/>
        <w:ind w:left="114" w:right="0" w:firstLine="0"/>
        <w:jc w:val="left"/>
        <w:rPr>
          <w:rFonts w:ascii="Arial"/>
          <w:i/>
          <w:sz w:val="21"/>
        </w:rPr>
      </w:pPr>
      <w:r>
        <w:rPr>
          <w:w w:val="103"/>
          <w:position w:val="-5"/>
          <w:sz w:val="20"/>
        </w:rPr>
        <w:t>2</w:t>
      </w:r>
      <w:r>
        <w:rPr>
          <w:spacing w:val="6"/>
          <w:w w:val="103"/>
          <w:position w:val="-5"/>
          <w:sz w:val="20"/>
        </w:rPr>
        <w:t>4</w:t>
      </w:r>
      <w:r>
        <w:rPr>
          <w:w w:val="115"/>
          <w:sz w:val="20"/>
        </w:rPr>
        <w:t>.</w:t>
      </w:r>
      <w:r>
        <w:rPr>
          <w:sz w:val="20"/>
        </w:rPr>
        <w:tab/>
      </w:r>
      <w:r>
        <w:rPr>
          <w:rFonts w:ascii="Arial"/>
          <w:i/>
          <w:w w:val="128"/>
          <w:sz w:val="21"/>
        </w:rPr>
        <w:t>V.</w:t>
      </w:r>
      <w:r>
        <w:rPr>
          <w:rFonts w:ascii="Arial"/>
          <w:i/>
          <w:spacing w:val="6"/>
          <w:sz w:val="21"/>
        </w:rPr>
        <w:t> </w:t>
      </w:r>
      <w:r>
        <w:rPr>
          <w:w w:val="85"/>
          <w:sz w:val="28"/>
        </w:rPr>
        <w:t>=</w:t>
      </w:r>
      <w:r>
        <w:rPr>
          <w:sz w:val="28"/>
        </w:rPr>
        <w:t> </w:t>
      </w:r>
      <w:r>
        <w:rPr>
          <w:spacing w:val="-20"/>
          <w:sz w:val="28"/>
        </w:rPr>
        <w:t> </w:t>
      </w:r>
      <w:r>
        <w:rPr>
          <w:w w:val="109"/>
          <w:sz w:val="25"/>
        </w:rPr>
        <w:t>J</w:t>
      </w:r>
      <w:r>
        <w:rPr>
          <w:spacing w:val="-10"/>
          <w:w w:val="109"/>
          <w:sz w:val="25"/>
        </w:rPr>
        <w:t>&gt;</w:t>
      </w:r>
      <w:r>
        <w:rPr>
          <w:spacing w:val="-2"/>
          <w:w w:val="238"/>
          <w:sz w:val="25"/>
        </w:rPr>
        <w:t>.</w:t>
      </w:r>
      <w:r>
        <w:rPr>
          <w:rFonts w:ascii="Arial"/>
          <w:i/>
          <w:spacing w:val="-147"/>
          <w:w w:val="105"/>
          <w:sz w:val="21"/>
        </w:rPr>
        <w:t>N</w:t>
      </w:r>
      <w:r>
        <w:rPr>
          <w:rFonts w:ascii="Arial"/>
          <w:i/>
          <w:spacing w:val="-84"/>
          <w:w w:val="203"/>
          <w:sz w:val="21"/>
        </w:rPr>
        <w:t>_</w:t>
      </w:r>
      <w:r>
        <w:rPr>
          <w:rFonts w:ascii="Arial"/>
          <w:i/>
          <w:spacing w:val="-50"/>
          <w:w w:val="252"/>
          <w:sz w:val="21"/>
        </w:rPr>
        <w:t>.</w:t>
      </w:r>
      <w:r>
        <w:rPr>
          <w:rFonts w:ascii="Arial"/>
          <w:i/>
          <w:spacing w:val="8"/>
          <w:w w:val="103"/>
          <w:sz w:val="21"/>
        </w:rPr>
        <w:t>_</w:t>
      </w:r>
      <w:r>
        <w:rPr>
          <w:rFonts w:ascii="Arial"/>
          <w:i/>
          <w:spacing w:val="-80"/>
          <w:w w:val="209"/>
          <w:sz w:val="21"/>
        </w:rPr>
        <w:t>_</w:t>
      </w:r>
      <w:r>
        <w:rPr>
          <w:rFonts w:ascii="Arial"/>
          <w:i/>
          <w:spacing w:val="-68"/>
          <w:w w:val="105"/>
          <w:sz w:val="21"/>
        </w:rPr>
        <w:t>N</w:t>
      </w:r>
      <w:r>
        <w:rPr>
          <w:rFonts w:ascii="Arial"/>
          <w:i/>
          <w:spacing w:val="-57"/>
          <w:w w:val="109"/>
          <w:sz w:val="21"/>
        </w:rPr>
        <w:t>_</w:t>
      </w:r>
      <w:r>
        <w:rPr>
          <w:rFonts w:ascii="Arial"/>
          <w:i/>
          <w:w w:val="73"/>
          <w:sz w:val="21"/>
        </w:rPr>
        <w:t>,,</w:t>
      </w:r>
      <w:r>
        <w:rPr>
          <w:rFonts w:ascii="Arial"/>
          <w:i/>
          <w:spacing w:val="10"/>
          <w:sz w:val="21"/>
        </w:rPr>
        <w:t> </w:t>
      </w:r>
      <w:r>
        <w:rPr>
          <w:rFonts w:ascii="Arial"/>
          <w:w w:val="124"/>
          <w:sz w:val="21"/>
        </w:rPr>
        <w:t>_</w:t>
      </w:r>
      <w:r>
        <w:rPr>
          <w:rFonts w:ascii="Arial"/>
          <w:sz w:val="21"/>
        </w:rPr>
        <w:t> </w:t>
      </w:r>
      <w:r>
        <w:rPr>
          <w:rFonts w:ascii="Arial"/>
          <w:spacing w:val="-26"/>
          <w:sz w:val="21"/>
        </w:rPr>
        <w:t> </w:t>
      </w:r>
      <w:r>
        <w:rPr>
          <w:rFonts w:ascii="Arial"/>
          <w:i/>
          <w:w w:val="127"/>
          <w:sz w:val="21"/>
        </w:rPr>
        <w:t>M.</w:t>
      </w:r>
      <w:r>
        <w:rPr>
          <w:rFonts w:ascii="Arial"/>
          <w:i/>
          <w:spacing w:val="3"/>
          <w:sz w:val="21"/>
        </w:rPr>
        <w:t> </w:t>
      </w:r>
      <w:r>
        <w:rPr>
          <w:rFonts w:ascii="Arial"/>
          <w:w w:val="249"/>
          <w:sz w:val="21"/>
        </w:rPr>
        <w:t>-</w:t>
      </w:r>
      <w:r>
        <w:rPr>
          <w:rFonts w:ascii="Arial"/>
          <w:spacing w:val="4"/>
          <w:sz w:val="21"/>
        </w:rPr>
        <w:t> </w:t>
      </w:r>
      <w:r>
        <w:rPr>
          <w:rFonts w:ascii="Arial"/>
          <w:i/>
          <w:w w:val="97"/>
          <w:sz w:val="21"/>
        </w:rPr>
        <w:t>M,,</w:t>
      </w:r>
    </w:p>
    <w:p>
      <w:pPr>
        <w:tabs>
          <w:tab w:pos="3134" w:val="left" w:leader="none"/>
        </w:tabs>
        <w:spacing w:line="199" w:lineRule="exact" w:before="0"/>
        <w:ind w:left="1986" w:right="0" w:firstLine="0"/>
        <w:jc w:val="left"/>
        <w:rPr>
          <w:i/>
          <w:sz w:val="22"/>
        </w:rPr>
      </w:pPr>
      <w:r>
        <w:rPr>
          <w:i/>
          <w:w w:val="95"/>
          <w:sz w:val="22"/>
        </w:rPr>
        <w:t>D,,</w:t>
        <w:tab/>
        <w:t>D,,</w:t>
      </w:r>
    </w:p>
    <w:p>
      <w:pPr>
        <w:spacing w:line="313" w:lineRule="exact" w:before="105"/>
        <w:ind w:left="452" w:right="0" w:firstLine="0"/>
        <w:jc w:val="left"/>
        <w:rPr>
          <w:sz w:val="12"/>
        </w:rPr>
      </w:pPr>
      <w:r>
        <w:rPr>
          <w:w w:val="102"/>
          <w:sz w:val="21"/>
        </w:rPr>
        <w:t>Paid-up</w:t>
      </w:r>
      <w:r>
        <w:rPr>
          <w:spacing w:val="23"/>
          <w:sz w:val="21"/>
        </w:rPr>
        <w:t> </w:t>
      </w:r>
      <w:r>
        <w:rPr>
          <w:w w:val="102"/>
          <w:sz w:val="20"/>
        </w:rPr>
        <w:t>reserve</w:t>
      </w:r>
      <w:r>
        <w:rPr>
          <w:sz w:val="20"/>
        </w:rPr>
        <w:t> </w:t>
      </w:r>
      <w:r>
        <w:rPr>
          <w:spacing w:val="7"/>
          <w:sz w:val="20"/>
        </w:rPr>
        <w:t> </w:t>
      </w:r>
      <w:r>
        <w:rPr>
          <w:w w:val="92"/>
          <w:sz w:val="26"/>
        </w:rPr>
        <w:t>=</w:t>
      </w:r>
      <w:r>
        <w:rPr>
          <w:sz w:val="26"/>
        </w:rPr>
        <w:t> </w:t>
      </w:r>
      <w:r>
        <w:rPr>
          <w:spacing w:val="-33"/>
          <w:sz w:val="26"/>
        </w:rPr>
        <w:t> </w:t>
      </w:r>
      <w:r>
        <w:rPr>
          <w:i/>
          <w:w w:val="120"/>
          <w:sz w:val="21"/>
        </w:rPr>
        <w:t>,.P.</w:t>
      </w:r>
      <w:r>
        <w:rPr>
          <w:i/>
          <w:spacing w:val="-21"/>
          <w:sz w:val="21"/>
        </w:rPr>
        <w:t> </w:t>
      </w:r>
      <w:r>
        <w:rPr>
          <w:rFonts w:ascii="Arial" w:hAnsi="Arial"/>
          <w:i/>
          <w:spacing w:val="7"/>
          <w:w w:val="108"/>
          <w:position w:val="10"/>
          <w:sz w:val="21"/>
        </w:rPr>
        <w:t>N</w:t>
      </w:r>
      <w:r>
        <w:rPr>
          <w:w w:val="123"/>
          <w:sz w:val="21"/>
        </w:rPr>
        <w:t>•</w:t>
      </w:r>
      <w:r>
        <w:rPr>
          <w:spacing w:val="7"/>
          <w:sz w:val="21"/>
        </w:rPr>
        <w:t> </w:t>
      </w:r>
      <w:r>
        <w:rPr>
          <w:rFonts w:ascii="Arial" w:hAnsi="Arial"/>
          <w:i/>
          <w:w w:val="241"/>
          <w:position w:val="10"/>
          <w:sz w:val="21"/>
        </w:rPr>
        <w:t>-</w:t>
      </w:r>
      <w:r>
        <w:rPr>
          <w:rFonts w:ascii="Arial" w:hAnsi="Arial"/>
          <w:i/>
          <w:spacing w:val="10"/>
          <w:position w:val="10"/>
          <w:sz w:val="21"/>
        </w:rPr>
        <w:t> </w:t>
      </w:r>
      <w:r>
        <w:rPr>
          <w:rFonts w:ascii="Arial" w:hAnsi="Arial"/>
          <w:i/>
          <w:spacing w:val="8"/>
          <w:w w:val="105"/>
          <w:position w:val="10"/>
          <w:sz w:val="21"/>
        </w:rPr>
        <w:t>N</w:t>
      </w:r>
      <w:r>
        <w:rPr>
          <w:rFonts w:ascii="Arial" w:hAnsi="Arial"/>
          <w:i/>
          <w:w w:val="101"/>
          <w:sz w:val="19"/>
        </w:rPr>
        <w:t>•</w:t>
      </w:r>
      <w:r>
        <w:rPr>
          <w:rFonts w:ascii="Arial" w:hAnsi="Arial"/>
          <w:i/>
          <w:spacing w:val="-1"/>
          <w:w w:val="101"/>
          <w:sz w:val="19"/>
        </w:rPr>
        <w:t>+</w:t>
      </w:r>
      <w:r>
        <w:rPr>
          <w:i/>
          <w:w w:val="91"/>
          <w:position w:val="8"/>
          <w:sz w:val="12"/>
        </w:rPr>
        <w:t>1</w:t>
      </w:r>
      <w:r>
        <w:rPr>
          <w:i/>
          <w:position w:val="8"/>
          <w:sz w:val="12"/>
        </w:rPr>
        <w:t>  </w:t>
      </w:r>
      <w:r>
        <w:rPr>
          <w:i/>
          <w:spacing w:val="-8"/>
          <w:position w:val="8"/>
          <w:sz w:val="12"/>
        </w:rPr>
        <w:t> </w:t>
      </w:r>
      <w:r>
        <w:rPr>
          <w:w w:val="459"/>
          <w:sz w:val="12"/>
        </w:rPr>
        <w:t>-</w:t>
      </w:r>
      <w:r>
        <w:rPr>
          <w:sz w:val="12"/>
        </w:rPr>
        <w:t> </w:t>
      </w:r>
      <w:r>
        <w:rPr>
          <w:spacing w:val="-14"/>
          <w:sz w:val="12"/>
        </w:rPr>
        <w:t> </w:t>
      </w:r>
      <w:r>
        <w:rPr>
          <w:rFonts w:ascii="Arial" w:hAnsi="Arial"/>
          <w:i/>
          <w:spacing w:val="7"/>
          <w:w w:val="108"/>
          <w:position w:val="10"/>
          <w:sz w:val="21"/>
        </w:rPr>
        <w:t>M</w:t>
      </w:r>
      <w:r>
        <w:rPr>
          <w:w w:val="230"/>
          <w:sz w:val="12"/>
        </w:rPr>
        <w:t>•</w:t>
      </w:r>
      <w:r>
        <w:rPr>
          <w:sz w:val="12"/>
        </w:rPr>
        <w:t> </w:t>
      </w:r>
      <w:r>
        <w:rPr>
          <w:spacing w:val="4"/>
          <w:sz w:val="12"/>
        </w:rPr>
        <w:t> </w:t>
      </w:r>
      <w:r>
        <w:rPr>
          <w:rFonts w:ascii="Arial" w:hAnsi="Arial"/>
          <w:i/>
          <w:w w:val="235"/>
          <w:position w:val="10"/>
          <w:sz w:val="21"/>
        </w:rPr>
        <w:t>-</w:t>
      </w:r>
      <w:r>
        <w:rPr>
          <w:rFonts w:ascii="Arial" w:hAnsi="Arial"/>
          <w:i/>
          <w:spacing w:val="10"/>
          <w:position w:val="10"/>
          <w:sz w:val="21"/>
        </w:rPr>
        <w:t> </w:t>
      </w:r>
      <w:r>
        <w:rPr>
          <w:rFonts w:ascii="Arial" w:hAnsi="Arial"/>
          <w:i/>
          <w:spacing w:val="3"/>
          <w:w w:val="110"/>
          <w:position w:val="10"/>
          <w:sz w:val="21"/>
        </w:rPr>
        <w:t>M</w:t>
      </w:r>
      <w:r>
        <w:rPr>
          <w:w w:val="134"/>
          <w:sz w:val="12"/>
        </w:rPr>
        <w:t>,,</w:t>
      </w:r>
    </w:p>
    <w:p>
      <w:pPr>
        <w:tabs>
          <w:tab w:pos="4109" w:val="left" w:leader="none"/>
        </w:tabs>
        <w:spacing w:line="224" w:lineRule="exact" w:before="0"/>
        <w:ind w:left="2878" w:right="0" w:firstLine="0"/>
        <w:jc w:val="left"/>
        <w:rPr>
          <w:rFonts w:ascii="Arial"/>
          <w:i/>
          <w:sz w:val="11"/>
        </w:rPr>
      </w:pPr>
      <w:r>
        <w:rPr>
          <w:i/>
          <w:spacing w:val="5"/>
          <w:w w:val="87"/>
          <w:sz w:val="23"/>
        </w:rPr>
        <w:t>D</w:t>
      </w:r>
      <w:r>
        <w:rPr>
          <w:i/>
          <w:w w:val="47"/>
          <w:sz w:val="23"/>
        </w:rPr>
        <w:t>"'</w:t>
      </w:r>
      <w:r>
        <w:rPr>
          <w:i/>
          <w:sz w:val="23"/>
        </w:rPr>
        <w:tab/>
      </w:r>
      <w:r>
        <w:rPr>
          <w:i/>
          <w:spacing w:val="-3"/>
          <w:w w:val="87"/>
          <w:sz w:val="23"/>
        </w:rPr>
        <w:t>D</w:t>
      </w:r>
      <w:r>
        <w:rPr>
          <w:rFonts w:ascii="Arial"/>
          <w:i/>
          <w:w w:val="67"/>
          <w:sz w:val="11"/>
        </w:rPr>
        <w:t>11</w:t>
      </w:r>
    </w:p>
    <w:p>
      <w:pPr>
        <w:spacing w:line="180" w:lineRule="exact" w:before="138"/>
        <w:ind w:left="455" w:right="0" w:firstLine="0"/>
        <w:jc w:val="left"/>
        <w:rPr>
          <w:rFonts w:ascii="Arial" w:hAnsi="Arial"/>
          <w:i/>
          <w:sz w:val="21"/>
        </w:rPr>
      </w:pPr>
      <w:r>
        <w:rPr>
          <w:w w:val="115"/>
          <w:sz w:val="20"/>
        </w:rPr>
        <w:t>Difference is  </w:t>
      </w:r>
      <w:r>
        <w:rPr>
          <w:sz w:val="20"/>
        </w:rPr>
        <w:t>· </w:t>
      </w:r>
      <w:r>
        <w:rPr>
          <w:rFonts w:ascii="Arial" w:hAnsi="Arial"/>
          <w:w w:val="200"/>
          <w:position w:val="3"/>
          <w:sz w:val="11"/>
        </w:rPr>
        <w:t>0 </w:t>
      </w:r>
      <w:r>
        <w:rPr>
          <w:rFonts w:ascii="Arial" w:hAnsi="Arial"/>
          <w:i/>
          <w:w w:val="115"/>
          <w:sz w:val="21"/>
          <w:u w:val="single"/>
        </w:rPr>
        <w:t>N</w:t>
      </w:r>
      <w:r>
        <w:rPr>
          <w:w w:val="115"/>
          <w:sz w:val="14"/>
          <w:u w:val="single"/>
        </w:rPr>
        <w:t>•+e  </w:t>
      </w:r>
      <w:r>
        <w:rPr>
          <w:w w:val="375"/>
          <w:sz w:val="14"/>
        </w:rPr>
        <w:t>-</w:t>
      </w:r>
      <w:r>
        <w:rPr>
          <w:spacing w:val="-107"/>
          <w:w w:val="375"/>
          <w:sz w:val="14"/>
        </w:rPr>
        <w:t> </w:t>
      </w:r>
      <w:r>
        <w:rPr>
          <w:rFonts w:ascii="Arial" w:hAnsi="Arial"/>
          <w:i/>
          <w:w w:val="115"/>
          <w:sz w:val="21"/>
        </w:rPr>
        <w:t>N,</w:t>
      </w:r>
    </w:p>
    <w:p>
      <w:pPr>
        <w:tabs>
          <w:tab w:pos="2363" w:val="left" w:leader="none"/>
        </w:tabs>
        <w:spacing w:line="191" w:lineRule="exact" w:before="0"/>
        <w:ind w:left="1622" w:right="0" w:firstLine="0"/>
        <w:jc w:val="left"/>
        <w:rPr>
          <w:i/>
          <w:sz w:val="22"/>
        </w:rPr>
      </w:pPr>
      <w:r>
        <w:rPr>
          <w:i/>
          <w:w w:val="140"/>
          <w:sz w:val="13"/>
        </w:rPr>
        <w:t>mi</w:t>
      </w:r>
      <w:r>
        <w:rPr>
          <w:i/>
          <w:spacing w:val="34"/>
          <w:w w:val="140"/>
          <w:sz w:val="13"/>
        </w:rPr>
        <w:t> </w:t>
      </w:r>
      <w:r>
        <w:rPr>
          <w:i/>
          <w:w w:val="175"/>
          <w:sz w:val="13"/>
        </w:rPr>
        <w:t>•</w:t>
        <w:tab/>
      </w:r>
      <w:r>
        <w:rPr>
          <w:i/>
          <w:sz w:val="22"/>
        </w:rPr>
        <w:t>D,,</w:t>
      </w:r>
    </w:p>
    <w:p>
      <w:pPr>
        <w:spacing w:line="175" w:lineRule="exact" w:before="120"/>
        <w:ind w:left="1093" w:right="0" w:firstLine="0"/>
        <w:jc w:val="left"/>
        <w:rPr>
          <w:sz w:val="21"/>
        </w:rPr>
      </w:pPr>
      <w:r>
        <w:rPr>
          <w:sz w:val="21"/>
        </w:rPr>
        <w:t>13,500D6</w:t>
      </w:r>
      <w:r>
        <w:rPr>
          <w:sz w:val="21"/>
          <w:u w:val="single"/>
        </w:rPr>
        <w:t>0</w:t>
      </w:r>
    </w:p>
    <w:p>
      <w:pPr>
        <w:spacing w:line="153" w:lineRule="exact" w:before="0"/>
        <w:ind w:left="103" w:right="0" w:firstLine="0"/>
        <w:jc w:val="left"/>
        <w:rPr>
          <w:sz w:val="21"/>
        </w:rPr>
      </w:pPr>
      <w:r>
        <w:rPr>
          <w:sz w:val="21"/>
        </w:rPr>
        <w:t>27</w:t>
      </w:r>
    </w:p>
    <w:p>
      <w:pPr>
        <w:spacing w:line="177" w:lineRule="exact" w:before="0"/>
        <w:ind w:left="304" w:right="0" w:firstLine="0"/>
        <w:jc w:val="left"/>
        <w:rPr>
          <w:sz w:val="19"/>
        </w:rPr>
      </w:pPr>
      <w:r>
        <w:rPr>
          <w:w w:val="157"/>
          <w:sz w:val="21"/>
        </w:rPr>
        <w:t>.</w:t>
      </w:r>
      <w:r>
        <w:rPr>
          <w:sz w:val="21"/>
        </w:rPr>
        <w:t> </w:t>
      </w:r>
      <w:r>
        <w:rPr>
          <w:spacing w:val="-26"/>
          <w:sz w:val="21"/>
        </w:rPr>
        <w:t> </w:t>
      </w:r>
      <w:r>
        <w:rPr>
          <w:spacing w:val="-53"/>
          <w:w w:val="122"/>
          <w:sz w:val="21"/>
        </w:rPr>
        <w:t>1</w:t>
      </w:r>
      <w:r>
        <w:rPr>
          <w:spacing w:val="-16"/>
          <w:w w:val="114"/>
          <w:sz w:val="21"/>
        </w:rPr>
        <w:t>0</w:t>
      </w:r>
      <w:r>
        <w:rPr>
          <w:w w:val="68"/>
          <w:sz w:val="21"/>
        </w:rPr>
        <w:t>8ao1Dao</w:t>
      </w:r>
      <w:r>
        <w:rPr>
          <w:sz w:val="21"/>
        </w:rPr>
        <w:t> </w:t>
      </w:r>
      <w:r>
        <w:rPr>
          <w:spacing w:val="-13"/>
          <w:sz w:val="21"/>
        </w:rPr>
        <w:t> </w:t>
      </w:r>
      <w:r>
        <w:rPr>
          <w:spacing w:val="4"/>
          <w:w w:val="261"/>
          <w:sz w:val="21"/>
        </w:rPr>
        <w:t>-</w:t>
      </w:r>
      <w:r>
        <w:rPr>
          <w:rFonts w:ascii="Arial"/>
          <w:i/>
          <w:w w:val="70"/>
          <w:sz w:val="21"/>
        </w:rPr>
        <w:t>(</w:t>
      </w:r>
      <w:r>
        <w:rPr>
          <w:rFonts w:ascii="Arial"/>
          <w:i/>
          <w:spacing w:val="-36"/>
          <w:sz w:val="21"/>
        </w:rPr>
        <w:t> </w:t>
      </w:r>
      <w:r>
        <w:rPr>
          <w:rFonts w:ascii="Arial"/>
          <w:i/>
          <w:spacing w:val="12"/>
          <w:w w:val="105"/>
          <w:sz w:val="21"/>
        </w:rPr>
        <w:t>N</w:t>
      </w:r>
      <w:r>
        <w:rPr>
          <w:w w:val="105"/>
          <w:sz w:val="15"/>
        </w:rPr>
        <w:t>to</w:t>
      </w:r>
      <w:r>
        <w:rPr>
          <w:sz w:val="15"/>
        </w:rPr>
        <w:t> </w:t>
      </w:r>
      <w:r>
        <w:rPr>
          <w:spacing w:val="3"/>
          <w:sz w:val="15"/>
        </w:rPr>
        <w:t> </w:t>
      </w:r>
      <w:r>
        <w:rPr>
          <w:w w:val="376"/>
          <w:sz w:val="15"/>
        </w:rPr>
        <w:t>-</w:t>
      </w:r>
      <w:r>
        <w:rPr>
          <w:spacing w:val="15"/>
          <w:sz w:val="15"/>
        </w:rPr>
        <w:t> </w:t>
      </w:r>
      <w:r>
        <w:rPr>
          <w:rFonts w:ascii="Arial"/>
          <w:i/>
          <w:spacing w:val="7"/>
          <w:w w:val="108"/>
          <w:sz w:val="21"/>
        </w:rPr>
        <w:t>N</w:t>
      </w:r>
      <w:r>
        <w:rPr>
          <w:w w:val="90"/>
          <w:sz w:val="19"/>
        </w:rPr>
        <w:t>to</w:t>
      </w:r>
      <w:r>
        <w:rPr>
          <w:w w:val="90"/>
          <w:sz w:val="19"/>
        </w:rPr>
        <w:t>)</w:t>
      </w:r>
    </w:p>
    <w:p>
      <w:pPr>
        <w:spacing w:line="159" w:lineRule="exact" w:before="169"/>
        <w:ind w:left="69" w:right="87" w:firstLine="0"/>
        <w:jc w:val="center"/>
        <w:rPr>
          <w:sz w:val="21"/>
        </w:rPr>
      </w:pPr>
      <w:r>
        <w:rPr>
          <w:w w:val="105"/>
          <w:sz w:val="16"/>
        </w:rPr>
        <w:t>CHAPTER  </w:t>
      </w:r>
      <w:r>
        <w:rPr>
          <w:w w:val="105"/>
          <w:sz w:val="21"/>
        </w:rPr>
        <w:t>7</w:t>
      </w:r>
    </w:p>
    <w:p>
      <w:pPr>
        <w:spacing w:line="619" w:lineRule="exact" w:before="0"/>
        <w:ind w:left="232" w:right="0" w:firstLine="0"/>
        <w:jc w:val="left"/>
        <w:rPr>
          <w:i/>
          <w:sz w:val="21"/>
        </w:rPr>
      </w:pPr>
      <w:r>
        <w:rPr>
          <w:w w:val="125"/>
          <w:sz w:val="19"/>
        </w:rPr>
        <w:t>l. </w:t>
      </w:r>
      <w:r>
        <w:rPr>
          <w:sz w:val="19"/>
        </w:rPr>
        <w:t>d,, </w:t>
      </w:r>
      <w:r>
        <w:rPr>
          <w:rFonts w:ascii="Arial" w:hAnsi="Arial"/>
          <w:sz w:val="32"/>
        </w:rPr>
        <w:t>+ </w:t>
      </w:r>
      <w:r>
        <w:rPr>
          <w:rFonts w:ascii="Arial" w:hAnsi="Arial"/>
          <w:w w:val="125"/>
          <w:sz w:val="61"/>
        </w:rPr>
        <w:t>f</w:t>
      </w:r>
      <w:r>
        <w:rPr>
          <w:rFonts w:ascii="Arial" w:hAnsi="Arial"/>
          <w:spacing w:val="-137"/>
          <w:w w:val="125"/>
          <w:sz w:val="61"/>
        </w:rPr>
        <w:t> </w:t>
      </w:r>
      <w:r>
        <w:rPr>
          <w:i/>
          <w:sz w:val="21"/>
        </w:rPr>
        <w:t>( k </w:t>
      </w:r>
      <w:r>
        <w:rPr>
          <w:w w:val="240"/>
          <w:sz w:val="21"/>
        </w:rPr>
        <w:t>-</w:t>
      </w:r>
      <w:r>
        <w:rPr>
          <w:spacing w:val="-83"/>
          <w:w w:val="240"/>
          <w:sz w:val="21"/>
        </w:rPr>
        <w:t> </w:t>
      </w:r>
      <w:r>
        <w:rPr>
          <w:rFonts w:ascii="Arial" w:hAnsi="Arial"/>
          <w:w w:val="125"/>
          <w:sz w:val="19"/>
        </w:rPr>
        <w:t>t} </w:t>
      </w:r>
      <w:r>
        <w:rPr>
          <w:i/>
          <w:sz w:val="22"/>
        </w:rPr>
        <w:t>v' </w:t>
      </w:r>
      <w:r>
        <w:rPr>
          <w:rFonts w:ascii="Arial" w:hAnsi="Arial"/>
          <w:i/>
          <w:sz w:val="19"/>
        </w:rPr>
        <w:t>,p</w:t>
      </w:r>
      <w:r>
        <w:rPr>
          <w:i/>
          <w:position w:val="-2"/>
          <w:sz w:val="11"/>
        </w:rPr>
        <w:t>11</w:t>
      </w:r>
      <w:r>
        <w:rPr>
          <w:i/>
          <w:sz w:val="18"/>
        </w:rPr>
        <w:t>µ,,+c </w:t>
      </w:r>
      <w:r>
        <w:rPr>
          <w:i/>
          <w:sz w:val="21"/>
        </w:rPr>
        <w:t>dt</w:t>
      </w:r>
    </w:p>
    <w:p>
      <w:pPr>
        <w:spacing w:before="151"/>
        <w:ind w:left="369" w:right="0" w:firstLine="0"/>
        <w:jc w:val="left"/>
        <w:rPr>
          <w:rFonts w:ascii="Arial" w:hAnsi="Arial"/>
          <w:i/>
          <w:sz w:val="19"/>
        </w:rPr>
      </w:pPr>
      <w:r>
        <w:rPr/>
        <w:pict>
          <v:rect style="position:absolute;margin-left:134.100006pt;margin-top:23.026819pt;width:10.8pt;height:6.84pt;mso-position-horizontal-relative:page;mso-position-vertical-relative:paragraph;z-index:-707176" filled="true" fillcolor="#000000" stroked="false">
            <v:fill type="solid"/>
            <w10:wrap type="none"/>
          </v:rect>
        </w:pict>
      </w:r>
      <w:r>
        <w:rPr>
          <w:rFonts w:ascii="Arial" w:hAnsi="Arial"/>
          <w:w w:val="93"/>
          <w:sz w:val="20"/>
        </w:rPr>
        <w:t>=;</w:t>
      </w:r>
      <w:r>
        <w:rPr>
          <w:rFonts w:ascii="Arial" w:hAnsi="Arial"/>
          <w:spacing w:val="13"/>
          <w:sz w:val="20"/>
        </w:rPr>
        <w:t> </w:t>
      </w:r>
      <w:r>
        <w:rPr>
          <w:rFonts w:ascii="Arial" w:hAnsi="Arial"/>
          <w:i/>
          <w:spacing w:val="-71"/>
          <w:w w:val="68"/>
          <w:sz w:val="33"/>
        </w:rPr>
        <w:t>N</w:t>
      </w:r>
      <w:r>
        <w:rPr>
          <w:rFonts w:ascii="Arial" w:hAnsi="Arial"/>
          <w:i/>
          <w:spacing w:val="-35"/>
          <w:w w:val="123"/>
          <w:sz w:val="33"/>
        </w:rPr>
        <w:t>Í</w:t>
      </w:r>
      <w:r>
        <w:rPr>
          <w:rFonts w:ascii="Arial" w:hAnsi="Arial"/>
          <w:i/>
          <w:w w:val="253"/>
          <w:sz w:val="33"/>
        </w:rPr>
        <w:t>t</w:t>
      </w:r>
      <w:r>
        <w:rPr>
          <w:rFonts w:ascii="Arial" w:hAnsi="Arial"/>
          <w:i/>
          <w:spacing w:val="-22"/>
          <w:sz w:val="33"/>
        </w:rPr>
        <w:t> </w:t>
      </w:r>
      <w:r>
        <w:rPr>
          <w:rFonts w:ascii="Arial" w:hAnsi="Arial"/>
          <w:w w:val="106"/>
          <w:sz w:val="32"/>
        </w:rPr>
        <w:t>+</w:t>
      </w:r>
      <w:r>
        <w:rPr>
          <w:rFonts w:ascii="Arial" w:hAnsi="Arial"/>
          <w:spacing w:val="-30"/>
          <w:sz w:val="32"/>
        </w:rPr>
        <w:t> </w:t>
      </w:r>
      <w:r>
        <w:rPr>
          <w:w w:val="128"/>
          <w:sz w:val="27"/>
        </w:rPr>
        <w:t>i</w:t>
      </w:r>
      <w:r>
        <w:rPr>
          <w:spacing w:val="8"/>
          <w:sz w:val="27"/>
        </w:rPr>
        <w:t> </w:t>
      </w:r>
      <w:r>
        <w:rPr>
          <w:rFonts w:ascii="Arial" w:hAnsi="Arial"/>
          <w:w w:val="106"/>
          <w:sz w:val="32"/>
        </w:rPr>
        <w:t>+</w:t>
      </w:r>
      <w:r>
        <w:rPr>
          <w:rFonts w:ascii="Arial" w:hAnsi="Arial"/>
          <w:spacing w:val="-23"/>
          <w:sz w:val="32"/>
        </w:rPr>
        <w:t> </w:t>
      </w:r>
      <w:r>
        <w:rPr>
          <w:w w:val="121"/>
          <w:sz w:val="20"/>
        </w:rPr>
        <w:t>(1</w:t>
      </w:r>
      <w:r>
        <w:rPr>
          <w:sz w:val="20"/>
        </w:rPr>
        <w:t>   </w:t>
      </w:r>
      <w:r>
        <w:rPr>
          <w:spacing w:val="-9"/>
          <w:sz w:val="20"/>
        </w:rPr>
        <w:t> </w:t>
      </w:r>
      <w:r>
        <w:rPr>
          <w:spacing w:val="-52"/>
          <w:w w:val="331"/>
          <w:sz w:val="20"/>
        </w:rPr>
        <w:t>.</w:t>
      </w:r>
      <w:r>
        <w:rPr>
          <w:w w:val="118"/>
          <w:sz w:val="20"/>
        </w:rPr>
        <w:t>i</w:t>
      </w:r>
      <w:r>
        <w:rPr>
          <w:w w:val="118"/>
          <w:sz w:val="20"/>
        </w:rPr>
        <w:t>)I</w:t>
      </w:r>
      <w:r>
        <w:rPr>
          <w:spacing w:val="20"/>
          <w:sz w:val="20"/>
        </w:rPr>
        <w:t> </w:t>
      </w:r>
      <w:r>
        <w:rPr>
          <w:rFonts w:ascii="Arial" w:hAnsi="Arial"/>
          <w:w w:val="111"/>
          <w:sz w:val="20"/>
        </w:rPr>
        <w:t>[</w:t>
      </w:r>
      <w:r>
        <w:rPr>
          <w:rFonts w:ascii="Arial" w:hAnsi="Arial"/>
          <w:w w:val="111"/>
          <w:sz w:val="20"/>
        </w:rPr>
        <w:t>(k</w:t>
      </w:r>
      <w:r>
        <w:rPr>
          <w:rFonts w:ascii="Arial" w:hAnsi="Arial"/>
          <w:spacing w:val="27"/>
          <w:sz w:val="20"/>
        </w:rPr>
        <w:t> </w:t>
      </w:r>
      <w:r>
        <w:rPr>
          <w:rFonts w:ascii="Arial" w:hAnsi="Arial"/>
          <w:w w:val="102"/>
          <w:sz w:val="32"/>
        </w:rPr>
        <w:t>+</w:t>
      </w:r>
      <w:r>
        <w:rPr>
          <w:rFonts w:ascii="Arial" w:hAnsi="Arial"/>
          <w:spacing w:val="-30"/>
          <w:sz w:val="32"/>
        </w:rPr>
        <w:t> </w:t>
      </w:r>
      <w:r>
        <w:rPr>
          <w:rFonts w:ascii="Arial" w:hAnsi="Arial"/>
          <w:i/>
          <w:w w:val="81"/>
          <w:sz w:val="33"/>
        </w:rPr>
        <w:t>t</w:t>
      </w:r>
      <w:r>
        <w:rPr>
          <w:rFonts w:ascii="Arial" w:hAnsi="Arial"/>
          <w:i/>
          <w:w w:val="81"/>
          <w:sz w:val="33"/>
        </w:rPr>
        <w:t>)(</w:t>
      </w:r>
      <w:r>
        <w:rPr>
          <w:rFonts w:ascii="Arial" w:hAnsi="Arial"/>
          <w:i/>
          <w:spacing w:val="-52"/>
          <w:sz w:val="33"/>
        </w:rPr>
        <w:t> </w:t>
      </w:r>
      <w:r>
        <w:rPr>
          <w:rFonts w:ascii="Arial" w:hAnsi="Arial"/>
          <w:i/>
          <w:w w:val="79"/>
          <w:sz w:val="33"/>
        </w:rPr>
        <w:t>M,</w:t>
      </w:r>
      <w:r>
        <w:rPr>
          <w:rFonts w:ascii="Arial" w:hAnsi="Arial"/>
          <w:i/>
          <w:spacing w:val="-40"/>
          <w:sz w:val="33"/>
        </w:rPr>
        <w:t> </w:t>
      </w:r>
      <w:r>
        <w:rPr>
          <w:rFonts w:ascii="Arial" w:hAnsi="Arial"/>
          <w:w w:val="165"/>
          <w:sz w:val="33"/>
        </w:rPr>
        <w:t>-</w:t>
      </w:r>
      <w:r>
        <w:rPr>
          <w:rFonts w:ascii="Arial" w:hAnsi="Arial"/>
          <w:spacing w:val="-30"/>
          <w:sz w:val="33"/>
        </w:rPr>
        <w:t> </w:t>
      </w:r>
      <w:r>
        <w:rPr>
          <w:rFonts w:ascii="Arial" w:hAnsi="Arial"/>
          <w:i/>
          <w:w w:val="121"/>
          <w:sz w:val="19"/>
        </w:rPr>
        <w:t>M.+,</w:t>
      </w:r>
      <w:r>
        <w:rPr>
          <w:rFonts w:ascii="Arial" w:hAnsi="Arial"/>
          <w:i/>
          <w:w w:val="121"/>
          <w:sz w:val="19"/>
        </w:rPr>
        <w:t>)</w:t>
      </w:r>
    </w:p>
    <w:p>
      <w:pPr>
        <w:pStyle w:val="BodyText"/>
        <w:rPr>
          <w:rFonts w:ascii="Arial"/>
          <w:i/>
          <w:sz w:val="14"/>
        </w:rPr>
      </w:pPr>
    </w:p>
    <w:p>
      <w:pPr>
        <w:spacing w:before="74"/>
        <w:ind w:left="3544" w:right="0" w:firstLine="0"/>
        <w:jc w:val="left"/>
        <w:rPr>
          <w:rFonts w:ascii="Arial"/>
          <w:i/>
          <w:sz w:val="19"/>
        </w:rPr>
      </w:pPr>
      <w:r>
        <w:rPr>
          <w:rFonts w:ascii="Arial"/>
          <w:w w:val="250"/>
          <w:sz w:val="20"/>
        </w:rPr>
        <w:t>-</w:t>
      </w:r>
      <w:r>
        <w:rPr>
          <w:rFonts w:ascii="Arial"/>
          <w:spacing w:val="-87"/>
          <w:w w:val="250"/>
          <w:sz w:val="20"/>
        </w:rPr>
        <w:t> </w:t>
      </w:r>
      <w:r>
        <w:rPr>
          <w:rFonts w:ascii="Arial"/>
          <w:i/>
          <w:sz w:val="20"/>
        </w:rPr>
        <w:t>( R,, </w:t>
      </w:r>
      <w:r>
        <w:rPr>
          <w:rFonts w:ascii="Arial"/>
          <w:w w:val="250"/>
          <w:sz w:val="20"/>
        </w:rPr>
        <w:t>-</w:t>
      </w:r>
      <w:r>
        <w:rPr>
          <w:rFonts w:ascii="Arial"/>
          <w:spacing w:val="-96"/>
          <w:w w:val="250"/>
          <w:sz w:val="20"/>
        </w:rPr>
        <w:t> </w:t>
      </w:r>
      <w:r>
        <w:rPr>
          <w:rFonts w:ascii="Arial"/>
          <w:i/>
          <w:sz w:val="20"/>
        </w:rPr>
        <w:t>R</w:t>
      </w:r>
      <w:r>
        <w:rPr>
          <w:i/>
          <w:position w:val="-2"/>
          <w:sz w:val="11"/>
        </w:rPr>
        <w:t>11 </w:t>
      </w:r>
      <w:r>
        <w:rPr>
          <w:rFonts w:ascii="Arial"/>
          <w:i/>
          <w:sz w:val="14"/>
        </w:rPr>
        <w:t>+1: </w:t>
      </w:r>
      <w:r>
        <w:rPr>
          <w:rFonts w:ascii="Arial"/>
          <w:w w:val="355"/>
          <w:sz w:val="14"/>
        </w:rPr>
        <w:t>-</w:t>
      </w:r>
      <w:r>
        <w:rPr>
          <w:rFonts w:ascii="Arial"/>
          <w:spacing w:val="-95"/>
          <w:w w:val="355"/>
          <w:sz w:val="14"/>
        </w:rPr>
        <w:t> </w:t>
      </w:r>
      <w:r>
        <w:rPr>
          <w:rFonts w:ascii="Arial"/>
          <w:i/>
          <w:spacing w:val="3"/>
          <w:sz w:val="20"/>
        </w:rPr>
        <w:t>kM</w:t>
      </w:r>
      <w:r>
        <w:rPr>
          <w:i/>
          <w:spacing w:val="3"/>
          <w:position w:val="-3"/>
          <w:sz w:val="11"/>
        </w:rPr>
        <w:t>11 </w:t>
      </w:r>
      <w:r>
        <w:rPr>
          <w:rFonts w:ascii="Arial"/>
          <w:i/>
          <w:sz w:val="19"/>
        </w:rPr>
        <w:t>+1) </w:t>
      </w:r>
      <w:r>
        <w:rPr>
          <w:rFonts w:ascii="Arial"/>
          <w:i/>
          <w:w w:val="90"/>
          <w:sz w:val="19"/>
        </w:rPr>
        <w:t>]</w:t>
      </w:r>
    </w:p>
    <w:p>
      <w:pPr>
        <w:tabs>
          <w:tab w:pos="988" w:val="left" w:leader="none"/>
        </w:tabs>
        <w:spacing w:before="46"/>
        <w:ind w:left="200" w:right="0" w:firstLine="0"/>
        <w:jc w:val="left"/>
        <w:rPr>
          <w:sz w:val="22"/>
        </w:rPr>
      </w:pPr>
      <w:r>
        <w:rPr>
          <w:rFonts w:ascii="Arial" w:hAnsi="Arial"/>
          <w:w w:val="104"/>
          <w:sz w:val="18"/>
        </w:rPr>
        <w:t>3</w:t>
      </w:r>
      <w:r>
        <w:rPr>
          <w:rFonts w:ascii="Arial" w:hAnsi="Arial"/>
          <w:sz w:val="18"/>
        </w:rPr>
        <w:tab/>
      </w:r>
      <w:r>
        <w:rPr>
          <w:i/>
          <w:w w:val="88"/>
          <w:position w:val="3"/>
          <w:sz w:val="22"/>
        </w:rPr>
        <w:t>N</w:t>
      </w:r>
      <w:r>
        <w:rPr>
          <w:i/>
          <w:spacing w:val="-6"/>
          <w:position w:val="3"/>
          <w:sz w:val="22"/>
        </w:rPr>
        <w:t> </w:t>
      </w:r>
      <w:r>
        <w:rPr>
          <w:rFonts w:ascii="Arial" w:hAnsi="Arial"/>
          <w:i/>
          <w:spacing w:val="-22"/>
          <w:w w:val="86"/>
          <w:position w:val="7"/>
          <w:sz w:val="21"/>
        </w:rPr>
        <w:t>&lt;</w:t>
      </w:r>
      <w:r>
        <w:rPr>
          <w:rFonts w:ascii="Arial" w:hAnsi="Arial"/>
          <w:spacing w:val="-128"/>
          <w:w w:val="307"/>
          <w:sz w:val="13"/>
        </w:rPr>
        <w:t>l</w:t>
      </w:r>
      <w:r>
        <w:rPr>
          <w:rFonts w:ascii="Arial" w:hAnsi="Arial"/>
          <w:i/>
          <w:spacing w:val="-5"/>
          <w:w w:val="86"/>
          <w:position w:val="7"/>
          <w:sz w:val="21"/>
        </w:rPr>
        <w:t>•</w:t>
      </w:r>
      <w:r>
        <w:rPr>
          <w:rFonts w:ascii="Arial" w:hAnsi="Arial"/>
          <w:i/>
          <w:spacing w:val="-39"/>
          <w:w w:val="33"/>
          <w:position w:val="7"/>
          <w:sz w:val="21"/>
        </w:rPr>
        <w:t>&gt;</w:t>
      </w:r>
      <w:r>
        <w:rPr>
          <w:rFonts w:ascii="Arial" w:hAnsi="Arial"/>
          <w:w w:val="312"/>
          <w:sz w:val="13"/>
        </w:rPr>
        <w:t>l</w:t>
      </w:r>
      <w:r>
        <w:rPr>
          <w:rFonts w:ascii="Arial" w:hAnsi="Arial"/>
          <w:spacing w:val="13"/>
          <w:sz w:val="13"/>
        </w:rPr>
        <w:t> </w:t>
      </w:r>
      <w:r>
        <w:rPr>
          <w:rFonts w:ascii="Arial" w:hAnsi="Arial"/>
          <w:w w:val="404"/>
          <w:sz w:val="13"/>
        </w:rPr>
        <w:t>-</w:t>
      </w:r>
      <w:r>
        <w:rPr>
          <w:rFonts w:ascii="Arial" w:hAnsi="Arial"/>
          <w:sz w:val="13"/>
        </w:rPr>
        <w:t> </w:t>
      </w:r>
      <w:r>
        <w:rPr>
          <w:rFonts w:ascii="Arial" w:hAnsi="Arial"/>
          <w:spacing w:val="11"/>
          <w:sz w:val="13"/>
        </w:rPr>
        <w:t> </w:t>
      </w:r>
      <w:r>
        <w:rPr>
          <w:rFonts w:ascii="Arial" w:hAnsi="Arial"/>
          <w:w w:val="96"/>
          <w:position w:val="7"/>
          <w:sz w:val="21"/>
        </w:rPr>
        <w:t>(</w:t>
      </w:r>
      <w:r>
        <w:rPr>
          <w:rFonts w:ascii="Arial" w:hAnsi="Arial"/>
          <w:w w:val="96"/>
          <w:position w:val="7"/>
          <w:sz w:val="21"/>
        </w:rPr>
        <w:t>R</w:t>
      </w:r>
      <w:r>
        <w:rPr>
          <w:rFonts w:ascii="Arial" w:hAnsi="Arial"/>
          <w:spacing w:val="-111"/>
          <w:w w:val="96"/>
          <w:position w:val="7"/>
          <w:sz w:val="21"/>
        </w:rPr>
        <w:t>&lt;</w:t>
      </w:r>
      <w:r>
        <w:rPr>
          <w:rFonts w:ascii="Arial" w:hAnsi="Arial"/>
          <w:spacing w:val="-23"/>
          <w:w w:val="307"/>
          <w:sz w:val="13"/>
        </w:rPr>
        <w:t>r</w:t>
      </w:r>
      <w:r>
        <w:rPr>
          <w:rFonts w:ascii="Arial" w:hAnsi="Arial"/>
          <w:spacing w:val="1"/>
          <w:w w:val="96"/>
          <w:position w:val="7"/>
          <w:sz w:val="21"/>
        </w:rPr>
        <w:t>•</w:t>
      </w:r>
      <w:r>
        <w:rPr>
          <w:rFonts w:ascii="Arial" w:hAnsi="Arial"/>
          <w:spacing w:val="-35"/>
          <w:w w:val="33"/>
          <w:position w:val="7"/>
          <w:sz w:val="21"/>
        </w:rPr>
        <w:t>&gt;</w:t>
      </w:r>
      <w:r>
        <w:rPr>
          <w:rFonts w:ascii="Arial" w:hAnsi="Arial"/>
          <w:w w:val="280"/>
          <w:sz w:val="13"/>
        </w:rPr>
        <w:t>l</w:t>
      </w:r>
      <w:r>
        <w:rPr>
          <w:rFonts w:ascii="Arial" w:hAnsi="Arial"/>
          <w:sz w:val="13"/>
        </w:rPr>
        <w:t> </w:t>
      </w:r>
      <w:r>
        <w:rPr>
          <w:rFonts w:ascii="Arial" w:hAnsi="Arial"/>
          <w:spacing w:val="-13"/>
          <w:sz w:val="13"/>
        </w:rPr>
        <w:t> </w:t>
      </w:r>
      <w:r>
        <w:rPr>
          <w:rFonts w:ascii="Arial" w:hAnsi="Arial"/>
          <w:w w:val="404"/>
          <w:sz w:val="13"/>
        </w:rPr>
        <w:t>-</w:t>
      </w:r>
      <w:r>
        <w:rPr>
          <w:rFonts w:ascii="Arial" w:hAnsi="Arial"/>
          <w:sz w:val="13"/>
        </w:rPr>
        <w:t> </w:t>
      </w:r>
      <w:r>
        <w:rPr>
          <w:rFonts w:ascii="Arial" w:hAnsi="Arial"/>
          <w:spacing w:val="-7"/>
          <w:sz w:val="13"/>
        </w:rPr>
        <w:t> </w:t>
      </w:r>
      <w:r>
        <w:rPr>
          <w:rFonts w:ascii="Arial" w:hAnsi="Arial"/>
          <w:spacing w:val="-24"/>
          <w:w w:val="92"/>
          <w:position w:val="7"/>
          <w:sz w:val="21"/>
        </w:rPr>
        <w:t>R</w:t>
      </w:r>
      <w:r>
        <w:rPr>
          <w:spacing w:val="-87"/>
          <w:w w:val="133"/>
          <w:sz w:val="15"/>
        </w:rPr>
        <w:t>s</w:t>
      </w:r>
      <w:r>
        <w:rPr>
          <w:rFonts w:ascii="Arial" w:hAnsi="Arial"/>
          <w:spacing w:val="-44"/>
          <w:w w:val="92"/>
          <w:position w:val="7"/>
          <w:sz w:val="21"/>
        </w:rPr>
        <w:t>&lt;</w:t>
      </w:r>
      <w:r>
        <w:rPr>
          <w:spacing w:val="-70"/>
          <w:w w:val="133"/>
          <w:sz w:val="15"/>
        </w:rPr>
        <w:t>+</w:t>
      </w:r>
      <w:r>
        <w:rPr>
          <w:rFonts w:ascii="Arial" w:hAnsi="Arial"/>
          <w:w w:val="92"/>
          <w:position w:val="7"/>
          <w:sz w:val="21"/>
        </w:rPr>
        <w:t>•</w:t>
      </w:r>
      <w:r>
        <w:rPr>
          <w:rFonts w:ascii="Arial" w:hAnsi="Arial"/>
          <w:spacing w:val="-50"/>
          <w:w w:val="70"/>
          <w:position w:val="7"/>
          <w:sz w:val="21"/>
        </w:rPr>
        <w:t>)</w:t>
      </w:r>
      <w:r>
        <w:rPr>
          <w:w w:val="133"/>
          <w:sz w:val="15"/>
        </w:rPr>
        <w:t>a+.</w:t>
      </w:r>
      <w:r>
        <w:rPr>
          <w:sz w:val="15"/>
        </w:rPr>
        <w:t> </w:t>
      </w:r>
      <w:r>
        <w:rPr>
          <w:spacing w:val="10"/>
          <w:sz w:val="15"/>
        </w:rPr>
        <w:t> </w:t>
      </w:r>
      <w:r>
        <w:rPr>
          <w:w w:val="376"/>
          <w:sz w:val="15"/>
        </w:rPr>
        <w:t>-</w:t>
      </w:r>
      <w:r>
        <w:rPr>
          <w:spacing w:val="8"/>
          <w:sz w:val="15"/>
        </w:rPr>
        <w:t> </w:t>
      </w:r>
      <w:r>
        <w:rPr>
          <w:i/>
          <w:spacing w:val="-12"/>
          <w:w w:val="121"/>
          <w:sz w:val="21"/>
        </w:rPr>
        <w:t>n</w:t>
      </w:r>
      <w:r>
        <w:rPr>
          <w:i/>
          <w:w w:val="85"/>
          <w:position w:val="7"/>
          <w:sz w:val="22"/>
        </w:rPr>
        <w:t>M</w:t>
      </w:r>
      <w:r>
        <w:rPr>
          <w:i/>
          <w:spacing w:val="-19"/>
          <w:position w:val="7"/>
          <w:sz w:val="22"/>
        </w:rPr>
        <w:t> </w:t>
      </w:r>
      <w:r>
        <w:rPr>
          <w:b/>
          <w:w w:val="82"/>
          <w:sz w:val="17"/>
        </w:rPr>
        <w:t>s+c+1</w:t>
      </w:r>
      <w:r>
        <w:rPr>
          <w:b/>
          <w:spacing w:val="5"/>
          <w:w w:val="82"/>
          <w:sz w:val="17"/>
        </w:rPr>
        <w:t>1</w:t>
      </w:r>
      <w:r>
        <w:rPr>
          <w:w w:val="93"/>
          <w:position w:val="7"/>
          <w:sz w:val="22"/>
        </w:rPr>
        <w:t>}</w:t>
      </w:r>
    </w:p>
    <w:p>
      <w:pPr>
        <w:spacing w:line="236" w:lineRule="exact" w:before="0"/>
        <w:ind w:left="304" w:right="0" w:firstLine="0"/>
        <w:jc w:val="left"/>
        <w:rPr>
          <w:i/>
          <w:sz w:val="22"/>
        </w:rPr>
      </w:pPr>
      <w:r>
        <w:rPr>
          <w:w w:val="130"/>
          <w:sz w:val="20"/>
        </w:rPr>
        <w:t>. (1 </w:t>
      </w:r>
      <w:r>
        <w:rPr>
          <w:w w:val="255"/>
          <w:sz w:val="20"/>
        </w:rPr>
        <w:t>-</w:t>
      </w:r>
      <w:r>
        <w:rPr>
          <w:spacing w:val="-103"/>
          <w:w w:val="255"/>
          <w:sz w:val="20"/>
        </w:rPr>
        <w:t> </w:t>
      </w:r>
      <w:r>
        <w:rPr>
          <w:i/>
          <w:sz w:val="22"/>
        </w:rPr>
        <w:t>r )( </w:t>
      </w:r>
      <w:r>
        <w:rPr>
          <w:i/>
          <w:w w:val="130"/>
          <w:sz w:val="22"/>
        </w:rPr>
        <w:t>N. </w:t>
      </w:r>
      <w:r>
        <w:rPr>
          <w:w w:val="255"/>
          <w:sz w:val="22"/>
        </w:rPr>
        <w:t>-</w:t>
      </w:r>
      <w:r>
        <w:rPr>
          <w:spacing w:val="-113"/>
          <w:w w:val="255"/>
          <w:sz w:val="22"/>
        </w:rPr>
        <w:t> </w:t>
      </w:r>
      <w:r>
        <w:rPr>
          <w:i/>
          <w:sz w:val="22"/>
        </w:rPr>
        <w:t>N s+, </w:t>
      </w:r>
      <w:r>
        <w:rPr>
          <w:i/>
          <w:w w:val="95"/>
          <w:sz w:val="22"/>
        </w:rPr>
        <w:t>) </w:t>
      </w:r>
      <w:r>
        <w:rPr>
          <w:w w:val="255"/>
          <w:sz w:val="22"/>
        </w:rPr>
        <w:t>-</w:t>
      </w:r>
      <w:r>
        <w:rPr>
          <w:spacing w:val="-106"/>
          <w:w w:val="255"/>
          <w:sz w:val="22"/>
        </w:rPr>
        <w:t> </w:t>
      </w:r>
      <w:r>
        <w:rPr>
          <w:b/>
          <w:w w:val="130"/>
          <w:sz w:val="21"/>
        </w:rPr>
        <w:t>(R. </w:t>
      </w:r>
      <w:r>
        <w:rPr>
          <w:w w:val="255"/>
          <w:sz w:val="21"/>
        </w:rPr>
        <w:t>-</w:t>
      </w:r>
      <w:r>
        <w:rPr>
          <w:spacing w:val="-106"/>
          <w:w w:val="255"/>
          <w:sz w:val="21"/>
        </w:rPr>
        <w:t> </w:t>
      </w:r>
      <w:r>
        <w:rPr>
          <w:i/>
          <w:sz w:val="22"/>
        </w:rPr>
        <w:t>Rz+, </w:t>
      </w:r>
      <w:r>
        <w:rPr>
          <w:w w:val="255"/>
          <w:sz w:val="22"/>
        </w:rPr>
        <w:t>-</w:t>
      </w:r>
      <w:r>
        <w:rPr>
          <w:spacing w:val="-114"/>
          <w:w w:val="255"/>
          <w:sz w:val="22"/>
        </w:rPr>
        <w:t> </w:t>
      </w:r>
      <w:r>
        <w:rPr>
          <w:i/>
          <w:sz w:val="22"/>
        </w:rPr>
        <w:t>tM•+c+• )</w:t>
      </w:r>
    </w:p>
    <w:p>
      <w:pPr>
        <w:spacing w:line="294" w:lineRule="exact" w:before="19"/>
        <w:ind w:left="98" w:right="913" w:firstLine="0"/>
        <w:jc w:val="center"/>
        <w:rPr>
          <w:rFonts w:ascii="Arial" w:hAnsi="Arial"/>
          <w:sz w:val="12"/>
        </w:rPr>
      </w:pPr>
      <w:r>
        <w:rPr/>
        <w:pict>
          <v:shape style="position:absolute;margin-left:42.84pt;margin-top:12.759747pt;width:5.75pt;height:10.5pt;mso-position-horizontal-relative:page;mso-position-vertical-relative:paragraph;z-index:-707128" type="#_x0000_t202" filled="false" stroked="false">
            <v:textbox inset="0,0,0,0">
              <w:txbxContent>
                <w:p>
                  <w:pPr>
                    <w:spacing w:line="210" w:lineRule="exact" w:before="0"/>
                    <w:ind w:left="0" w:right="0" w:firstLine="0"/>
                    <w:jc w:val="left"/>
                    <w:rPr>
                      <w:sz w:val="21"/>
                    </w:rPr>
                  </w:pPr>
                  <w:r>
                    <w:rPr>
                      <w:w w:val="109"/>
                      <w:sz w:val="21"/>
                    </w:rPr>
                    <w:t>6</w:t>
                  </w:r>
                </w:p>
              </w:txbxContent>
            </v:textbox>
            <w10:wrap type="none"/>
          </v:shape>
        </w:pict>
      </w:r>
      <w:r>
        <w:rPr>
          <w:i/>
          <w:w w:val="145"/>
          <w:position w:val="1"/>
          <w:sz w:val="21"/>
          <w:u w:val="single"/>
        </w:rPr>
        <w:t>d§D" </w:t>
      </w:r>
      <w:r>
        <w:rPr>
          <w:rFonts w:ascii="Arial" w:hAnsi="Arial"/>
          <w:position w:val="1"/>
          <w:sz w:val="31"/>
          <w:u w:val="single"/>
        </w:rPr>
        <w:t>+ </w:t>
      </w:r>
      <w:r>
        <w:rPr>
          <w:i/>
          <w:position w:val="1"/>
          <w:sz w:val="22"/>
          <w:u w:val="single"/>
        </w:rPr>
        <w:t>Nn  </w:t>
      </w:r>
      <w:r>
        <w:rPr>
          <w:rFonts w:ascii="Arial" w:hAnsi="Arial"/>
          <w:position w:val="1"/>
          <w:sz w:val="31"/>
          <w:u w:val="single"/>
        </w:rPr>
        <w:t>+ </w:t>
      </w:r>
      <w:r>
        <w:rPr>
          <w:i/>
          <w:position w:val="1"/>
          <w:sz w:val="22"/>
          <w:u w:val="single"/>
        </w:rPr>
        <w:t>c[R. </w:t>
      </w:r>
      <w:r>
        <w:rPr>
          <w:w w:val="240"/>
          <w:position w:val="1"/>
          <w:sz w:val="22"/>
          <w:u w:val="single"/>
        </w:rPr>
        <w:t>- </w:t>
      </w:r>
      <w:r>
        <w:rPr>
          <w:b/>
          <w:i/>
          <w:position w:val="1"/>
          <w:sz w:val="23"/>
          <w:u w:val="single"/>
        </w:rPr>
        <w:t>Ru </w:t>
      </w:r>
      <w:r>
        <w:rPr>
          <w:w w:val="240"/>
          <w:position w:val="1"/>
          <w:sz w:val="23"/>
          <w:u w:val="single"/>
        </w:rPr>
        <w:t>- </w:t>
      </w:r>
      <w:r>
        <w:rPr>
          <w:i/>
          <w:position w:val="1"/>
          <w:sz w:val="21"/>
          <w:u w:val="single"/>
        </w:rPr>
        <w:t>( 65 </w:t>
      </w:r>
      <w:r>
        <w:rPr>
          <w:w w:val="240"/>
          <w:position w:val="1"/>
          <w:sz w:val="21"/>
          <w:u w:val="single"/>
        </w:rPr>
        <w:t>-</w:t>
      </w:r>
      <w:r>
        <w:rPr>
          <w:spacing w:val="-58"/>
          <w:w w:val="240"/>
          <w:position w:val="1"/>
          <w:sz w:val="21"/>
          <w:u w:val="single"/>
        </w:rPr>
        <w:t> </w:t>
      </w:r>
      <w:r>
        <w:rPr>
          <w:position w:val="1"/>
          <w:sz w:val="21"/>
          <w:u w:val="single"/>
        </w:rPr>
        <w:t>x)M</w:t>
      </w:r>
      <w:r>
        <w:rPr>
          <w:rFonts w:ascii="Arial" w:hAnsi="Arial"/>
          <w:sz w:val="12"/>
          <w:u w:val="single"/>
        </w:rPr>
        <w:t>16</w:t>
      </w:r>
      <w:r>
        <w:rPr>
          <w:rFonts w:ascii="Arial" w:hAnsi="Arial"/>
          <w:sz w:val="12"/>
        </w:rPr>
        <w:t>]</w:t>
      </w:r>
    </w:p>
    <w:p>
      <w:pPr>
        <w:spacing w:line="302" w:lineRule="exact" w:before="0"/>
        <w:ind w:left="308" w:right="0" w:firstLine="0"/>
        <w:jc w:val="left"/>
        <w:rPr>
          <w:rFonts w:ascii="Arial"/>
          <w:i/>
          <w:sz w:val="20"/>
        </w:rPr>
      </w:pPr>
      <w:r>
        <w:rPr>
          <w:w w:val="135"/>
          <w:sz w:val="23"/>
        </w:rPr>
        <w:t>. </w:t>
      </w:r>
      <w:r>
        <w:rPr>
          <w:b/>
          <w:i/>
          <w:sz w:val="23"/>
        </w:rPr>
        <w:t>N. </w:t>
      </w:r>
      <w:r>
        <w:rPr>
          <w:w w:val="250"/>
          <w:sz w:val="23"/>
        </w:rPr>
        <w:t>-</w:t>
      </w:r>
      <w:r>
        <w:rPr>
          <w:spacing w:val="-111"/>
          <w:w w:val="250"/>
          <w:sz w:val="23"/>
        </w:rPr>
        <w:t> </w:t>
      </w:r>
      <w:r>
        <w:rPr>
          <w:b/>
          <w:i/>
          <w:sz w:val="23"/>
        </w:rPr>
        <w:t>N.,, </w:t>
      </w:r>
      <w:r>
        <w:rPr>
          <w:w w:val="250"/>
          <w:sz w:val="23"/>
        </w:rPr>
        <w:t>-</w:t>
      </w:r>
      <w:r>
        <w:rPr>
          <w:spacing w:val="-87"/>
          <w:w w:val="250"/>
          <w:sz w:val="23"/>
        </w:rPr>
        <w:t> </w:t>
      </w:r>
      <w:r>
        <w:rPr>
          <w:rFonts w:ascii="Arial"/>
          <w:w w:val="135"/>
          <w:sz w:val="19"/>
        </w:rPr>
        <w:t>(1 </w:t>
      </w:r>
      <w:r>
        <w:rPr>
          <w:rFonts w:ascii="Arial"/>
          <w:sz w:val="32"/>
        </w:rPr>
        <w:t>+ </w:t>
      </w:r>
      <w:r>
        <w:rPr>
          <w:rFonts w:ascii="Arial"/>
          <w:i/>
          <w:sz w:val="21"/>
        </w:rPr>
        <w:t>k )[Rz </w:t>
      </w:r>
      <w:r>
        <w:rPr>
          <w:rFonts w:ascii="Arial"/>
          <w:w w:val="250"/>
          <w:sz w:val="21"/>
        </w:rPr>
        <w:t>-</w:t>
      </w:r>
      <w:r>
        <w:rPr>
          <w:rFonts w:ascii="Arial"/>
          <w:spacing w:val="-100"/>
          <w:w w:val="250"/>
          <w:sz w:val="21"/>
        </w:rPr>
        <w:t> </w:t>
      </w:r>
      <w:r>
        <w:rPr>
          <w:b/>
          <w:i/>
          <w:sz w:val="23"/>
        </w:rPr>
        <w:t>Ru </w:t>
      </w:r>
      <w:r>
        <w:rPr>
          <w:w w:val="250"/>
          <w:sz w:val="23"/>
        </w:rPr>
        <w:t>-</w:t>
      </w:r>
      <w:r>
        <w:rPr>
          <w:spacing w:val="-85"/>
          <w:w w:val="250"/>
          <w:sz w:val="23"/>
        </w:rPr>
        <w:t> </w:t>
      </w:r>
      <w:r>
        <w:rPr>
          <w:rFonts w:ascii="Arial"/>
          <w:sz w:val="19"/>
        </w:rPr>
        <w:t>(65 </w:t>
      </w:r>
      <w:r>
        <w:rPr>
          <w:rFonts w:ascii="Arial"/>
          <w:w w:val="250"/>
          <w:sz w:val="19"/>
        </w:rPr>
        <w:t>-</w:t>
      </w:r>
      <w:r>
        <w:rPr>
          <w:rFonts w:ascii="Arial"/>
          <w:spacing w:val="-85"/>
          <w:w w:val="250"/>
          <w:sz w:val="19"/>
        </w:rPr>
        <w:t> </w:t>
      </w:r>
      <w:r>
        <w:rPr>
          <w:rFonts w:ascii="Arial"/>
          <w:i/>
          <w:sz w:val="20"/>
        </w:rPr>
        <w:t>x )MuJ</w:t>
      </w:r>
    </w:p>
    <w:p>
      <w:pPr>
        <w:spacing w:line="225" w:lineRule="auto" w:before="14"/>
        <w:ind w:left="1053" w:right="0" w:hanging="18"/>
        <w:jc w:val="left"/>
        <w:rPr>
          <w:i/>
          <w:sz w:val="20"/>
        </w:rPr>
      </w:pPr>
      <w:r>
        <w:rPr>
          <w:sz w:val="21"/>
        </w:rPr>
        <w:t>where the gross premium equals (1 </w:t>
      </w:r>
      <w:r>
        <w:rPr>
          <w:rFonts w:ascii="Arial"/>
          <w:sz w:val="31"/>
        </w:rPr>
        <w:t>+ </w:t>
      </w:r>
      <w:r>
        <w:rPr>
          <w:rFonts w:ascii="Arial"/>
          <w:i/>
          <w:sz w:val="19"/>
        </w:rPr>
        <w:t>k ) </w:t>
      </w:r>
      <w:r>
        <w:rPr>
          <w:sz w:val="21"/>
        </w:rPr>
        <w:t>times the net premium  plus </w:t>
      </w:r>
      <w:r>
        <w:rPr>
          <w:i/>
          <w:sz w:val="20"/>
        </w:rPr>
        <w:t>c.</w:t>
      </w:r>
    </w:p>
    <w:p>
      <w:pPr>
        <w:spacing w:before="140"/>
        <w:ind w:left="114" w:right="0" w:firstLine="0"/>
        <w:jc w:val="left"/>
        <w:rPr>
          <w:rFonts w:ascii="Arial"/>
          <w:sz w:val="25"/>
        </w:rPr>
      </w:pPr>
      <w:r>
        <w:rPr>
          <w:w w:val="95"/>
          <w:sz w:val="20"/>
        </w:rPr>
        <w:t>10. </w:t>
      </w:r>
      <w:r>
        <w:rPr>
          <w:rFonts w:ascii="Arial"/>
          <w:w w:val="95"/>
          <w:sz w:val="25"/>
        </w:rPr>
        <w:t>.%</w:t>
      </w:r>
    </w:p>
    <w:p>
      <w:pPr>
        <w:spacing w:before="43"/>
        <w:ind w:left="466" w:right="0" w:firstLine="0"/>
        <w:jc w:val="left"/>
        <w:rPr>
          <w:i/>
          <w:sz w:val="22"/>
        </w:rPr>
      </w:pPr>
      <w:r>
        <w:rPr/>
        <w:pict>
          <v:shape style="position:absolute;margin-left:39.060001pt;margin-top:15.359336pt;width:105.2pt;height:14.5pt;mso-position-horizontal-relative:page;mso-position-vertical-relative:paragraph;z-index:-707104" type="#_x0000_t202" filled="false" stroked="false">
            <v:textbox inset="0,0,0,0">
              <w:txbxContent>
                <w:p>
                  <w:pPr>
                    <w:tabs>
                      <w:tab w:pos="539" w:val="left" w:leader="none"/>
                      <w:tab w:pos="1144" w:val="left" w:leader="none"/>
                      <w:tab w:pos="1511" w:val="left" w:leader="none"/>
                    </w:tabs>
                    <w:spacing w:line="290" w:lineRule="exact" w:before="0"/>
                    <w:ind w:left="0" w:right="0" w:firstLine="0"/>
                    <w:jc w:val="left"/>
                    <w:rPr>
                      <w:i/>
                      <w:sz w:val="23"/>
                    </w:rPr>
                  </w:pPr>
                  <w:r>
                    <w:rPr>
                      <w:w w:val="135"/>
                      <w:sz w:val="20"/>
                    </w:rPr>
                    <w:t>ll.</w:t>
                    <w:tab/>
                  </w:r>
                  <w:r>
                    <w:rPr>
                      <w:i/>
                      <w:sz w:val="23"/>
                    </w:rPr>
                    <w:t>N</w:t>
                    <w:tab/>
                    <w:t>N</w:t>
                    <w:tab/>
                  </w:r>
                  <w:r>
                    <w:rPr>
                      <w:sz w:val="29"/>
                    </w:rPr>
                    <w:t>+ </w:t>
                  </w:r>
                  <w:r>
                    <w:rPr>
                      <w:imprint/>
                      <w:sz w:val="29"/>
                    </w:rPr>
                    <w:t>·</w:t>
                  </w:r>
                  <w:r>
                    <w:rPr>
                      <w:imprint/>
                      <w:spacing w:val="19"/>
                      <w:sz w:val="29"/>
                    </w:rPr>
                    <w:t> </w:t>
                  </w:r>
                  <w:r>
                    <w:rPr>
                      <w:i/>
                      <w:shadow w:val="0"/>
                      <w:sz w:val="23"/>
                    </w:rPr>
                    <w:t>D</w:t>
                  </w:r>
                </w:p>
              </w:txbxContent>
            </v:textbox>
            <w10:wrap type="none"/>
          </v:shape>
        </w:pict>
      </w:r>
      <w:r>
        <w:rPr>
          <w:i/>
          <w:w w:val="95"/>
          <w:sz w:val="22"/>
        </w:rPr>
        <w:t>M </w:t>
      </w:r>
      <w:r>
        <w:rPr>
          <w:i/>
          <w:w w:val="95"/>
          <w:sz w:val="22"/>
          <w:u w:val="single"/>
        </w:rPr>
        <w:t>.,</w:t>
      </w:r>
      <w:r>
        <w:rPr>
          <w:i/>
          <w:w w:val="95"/>
          <w:sz w:val="22"/>
        </w:rPr>
        <w:t>, </w:t>
      </w:r>
      <w:r>
        <w:rPr>
          <w:w w:val="230"/>
          <w:sz w:val="22"/>
        </w:rPr>
        <w:t>-</w:t>
      </w:r>
      <w:r>
        <w:rPr>
          <w:spacing w:val="-96"/>
          <w:w w:val="230"/>
          <w:sz w:val="22"/>
        </w:rPr>
        <w:t> </w:t>
      </w:r>
      <w:r>
        <w:rPr>
          <w:i/>
          <w:w w:val="95"/>
          <w:sz w:val="22"/>
        </w:rPr>
        <w:t>M </w:t>
      </w:r>
      <w:r>
        <w:rPr>
          <w:rFonts w:ascii="Arial" w:hAnsi="Arial"/>
          <w:w w:val="105"/>
          <w:sz w:val="11"/>
        </w:rPr>
        <w:t>67 </w:t>
      </w:r>
      <w:r>
        <w:rPr>
          <w:w w:val="105"/>
          <w:sz w:val="29"/>
        </w:rPr>
        <w:t>+ </w:t>
      </w:r>
      <w:r>
        <w:rPr>
          <w:rFonts w:ascii="Arial" w:hAnsi="Arial"/>
          <w:w w:val="95"/>
          <w:sz w:val="20"/>
        </w:rPr>
        <w:t>1.5 </w:t>
      </w:r>
      <w:r>
        <w:rPr>
          <w:i/>
          <w:w w:val="95"/>
          <w:sz w:val="21"/>
        </w:rPr>
        <w:t>v8 </w:t>
      </w:r>
      <w:r>
        <w:rPr>
          <w:i/>
          <w:w w:val="95"/>
          <w:sz w:val="22"/>
        </w:rPr>
        <w:t>D•1</w:t>
      </w:r>
    </w:p>
    <w:p>
      <w:pPr>
        <w:tabs>
          <w:tab w:pos="1881" w:val="left" w:leader="none"/>
        </w:tabs>
        <w:spacing w:before="32"/>
        <w:ind w:left="826" w:right="0" w:firstLine="0"/>
        <w:jc w:val="left"/>
        <w:rPr>
          <w:sz w:val="13"/>
        </w:rPr>
      </w:pPr>
      <w:r>
        <w:rPr>
          <w:b/>
          <w:sz w:val="12"/>
        </w:rPr>
        <w:t>40  </w:t>
      </w:r>
      <w:r>
        <w:rPr>
          <w:b/>
          <w:spacing w:val="-5"/>
          <w:sz w:val="12"/>
        </w:rPr>
        <w:t> </w:t>
      </w:r>
      <w:r>
        <w:rPr>
          <w:spacing w:val="-28"/>
          <w:w w:val="471"/>
          <w:sz w:val="12"/>
        </w:rPr>
        <w:t>-</w:t>
      </w:r>
      <w:r>
        <w:rPr>
          <w:spacing w:val="-355"/>
          <w:w w:val="375"/>
          <w:sz w:val="13"/>
        </w:rPr>
        <w:t>¡</w:t>
      </w:r>
      <w:r>
        <w:rPr>
          <w:w w:val="97"/>
          <w:sz w:val="13"/>
        </w:rPr>
        <w:t>7</w:t>
      </w:r>
      <w:r>
        <w:rPr>
          <w:sz w:val="13"/>
        </w:rPr>
        <w:tab/>
      </w:r>
      <w:r>
        <w:rPr>
          <w:rFonts w:ascii="Arial" w:hAnsi="Arial"/>
          <w:w w:val="123"/>
          <w:sz w:val="21"/>
        </w:rPr>
        <w:t>ªil</w:t>
      </w:r>
      <w:r>
        <w:rPr>
          <w:rFonts w:ascii="Arial" w:hAnsi="Arial"/>
          <w:sz w:val="21"/>
        </w:rPr>
        <w:t>  </w:t>
      </w:r>
      <w:r>
        <w:rPr>
          <w:rFonts w:ascii="Arial" w:hAnsi="Arial"/>
          <w:spacing w:val="-24"/>
          <w:sz w:val="21"/>
        </w:rPr>
        <w:t> </w:t>
      </w:r>
      <w:r>
        <w:rPr>
          <w:w w:val="111"/>
          <w:sz w:val="13"/>
        </w:rPr>
        <w:t>i7</w:t>
      </w:r>
    </w:p>
    <w:p>
      <w:pPr>
        <w:pStyle w:val="BodyText"/>
        <w:spacing w:before="8"/>
        <w:rPr>
          <w:sz w:val="8"/>
        </w:rPr>
      </w:pPr>
      <w:r>
        <w:rPr/>
        <w:drawing>
          <wp:anchor distT="0" distB="0" distL="0" distR="0" allowOverlap="1" layoutInCell="1" locked="0" behindDoc="0" simplePos="0" relativeHeight="28840">
            <wp:simplePos x="0" y="0"/>
            <wp:positionH relativeFrom="page">
              <wp:posOffset>484631</wp:posOffset>
            </wp:positionH>
            <wp:positionV relativeFrom="paragraph">
              <wp:posOffset>88327</wp:posOffset>
            </wp:positionV>
            <wp:extent cx="2240280" cy="292607"/>
            <wp:effectExtent l="0" t="0" r="0" b="0"/>
            <wp:wrapTopAndBottom/>
            <wp:docPr id="845" name="image432.png" descr=""/>
            <wp:cNvGraphicFramePr>
              <a:graphicFrameLocks noChangeAspect="1"/>
            </wp:cNvGraphicFramePr>
            <a:graphic>
              <a:graphicData uri="http://schemas.openxmlformats.org/drawingml/2006/picture">
                <pic:pic>
                  <pic:nvPicPr>
                    <pic:cNvPr id="846" name="image432.png"/>
                    <pic:cNvPicPr/>
                  </pic:nvPicPr>
                  <pic:blipFill>
                    <a:blip r:embed="rId436" cstate="print"/>
                    <a:stretch>
                      <a:fillRect/>
                    </a:stretch>
                  </pic:blipFill>
                  <pic:spPr>
                    <a:xfrm>
                      <a:off x="0" y="0"/>
                      <a:ext cx="2240280" cy="292607"/>
                    </a:xfrm>
                    <a:prstGeom prst="rect">
                      <a:avLst/>
                    </a:prstGeom>
                  </pic:spPr>
                </pic:pic>
              </a:graphicData>
            </a:graphic>
          </wp:anchor>
        </w:drawing>
      </w:r>
    </w:p>
    <w:p>
      <w:pPr>
        <w:tabs>
          <w:tab w:pos="4937" w:val="left" w:leader="none"/>
        </w:tabs>
        <w:spacing w:before="62"/>
        <w:ind w:left="481" w:right="0" w:firstLine="0"/>
        <w:jc w:val="left"/>
        <w:rPr>
          <w:sz w:val="19"/>
        </w:rPr>
      </w:pPr>
      <w:r>
        <w:rPr>
          <w:w w:val="110"/>
          <w:sz w:val="20"/>
        </w:rPr>
        <w:t>where </w:t>
      </w:r>
      <w:r>
        <w:rPr>
          <w:i/>
          <w:w w:val="110"/>
          <w:sz w:val="21"/>
        </w:rPr>
        <w:t>e </w:t>
      </w:r>
      <w:r>
        <w:rPr>
          <w:w w:val="110"/>
          <w:sz w:val="21"/>
        </w:rPr>
        <w:t>is </w:t>
      </w:r>
      <w:r>
        <w:rPr>
          <w:w w:val="110"/>
          <w:sz w:val="20"/>
        </w:rPr>
        <w:t>the greatest </w:t>
      </w:r>
      <w:r>
        <w:rPr>
          <w:w w:val="110"/>
          <w:sz w:val="21"/>
        </w:rPr>
        <w:t>integer for </w:t>
      </w:r>
      <w:r>
        <w:rPr>
          <w:w w:val="110"/>
          <w:sz w:val="20"/>
        </w:rPr>
        <w:t>which </w:t>
      </w:r>
      <w:r>
        <w:rPr>
          <w:w w:val="110"/>
          <w:sz w:val="21"/>
        </w:rPr>
        <w:t>1</w:t>
      </w:r>
      <w:r>
        <w:rPr>
          <w:spacing w:val="-39"/>
          <w:w w:val="110"/>
          <w:sz w:val="21"/>
        </w:rPr>
        <w:t> </w:t>
      </w:r>
      <w:r>
        <w:rPr>
          <w:w w:val="110"/>
          <w:sz w:val="29"/>
        </w:rPr>
        <w:t>+</w:t>
      </w:r>
      <w:r>
        <w:rPr>
          <w:spacing w:val="-21"/>
          <w:w w:val="110"/>
          <w:sz w:val="29"/>
        </w:rPr>
        <w:t> </w:t>
      </w:r>
      <w:r>
        <w:rPr>
          <w:i/>
          <w:w w:val="110"/>
          <w:sz w:val="19"/>
        </w:rPr>
        <w:t>k</w:t>
        <w:tab/>
      </w:r>
      <w:r>
        <w:rPr>
          <w:w w:val="110"/>
          <w:sz w:val="21"/>
        </w:rPr>
        <w:t>(1 </w:t>
      </w:r>
      <w:r>
        <w:rPr>
          <w:rFonts w:ascii="Arial"/>
          <w:w w:val="110"/>
          <w:sz w:val="31"/>
        </w:rPr>
        <w:t>+ </w:t>
      </w:r>
      <w:r>
        <w:rPr>
          <w:w w:val="125"/>
          <w:sz w:val="19"/>
        </w:rPr>
        <w:t>i)</w:t>
      </w:r>
      <w:r>
        <w:rPr>
          <w:spacing w:val="13"/>
          <w:w w:val="125"/>
          <w:sz w:val="19"/>
        </w:rPr>
        <w:t> </w:t>
      </w:r>
      <w:r>
        <w:rPr>
          <w:w w:val="285"/>
          <w:sz w:val="19"/>
        </w:rPr>
        <w:t>-</w:t>
      </w:r>
    </w:p>
    <w:p>
      <w:pPr>
        <w:spacing w:line="125" w:lineRule="exact" w:before="105"/>
        <w:ind w:left="891" w:right="0" w:firstLine="0"/>
        <w:jc w:val="left"/>
        <w:rPr>
          <w:sz w:val="21"/>
        </w:rPr>
      </w:pPr>
      <w:r>
        <w:rPr>
          <w:w w:val="122"/>
          <w:sz w:val="21"/>
        </w:rPr>
        <w:t>1</w:t>
      </w:r>
    </w:p>
    <w:p>
      <w:pPr>
        <w:spacing w:after="0" w:line="125" w:lineRule="exact"/>
        <w:jc w:val="left"/>
        <w:rPr>
          <w:sz w:val="21"/>
        </w:rPr>
        <w:sectPr>
          <w:pgSz w:w="7200" w:h="11340"/>
          <w:pgMar w:top="480" w:bottom="280" w:left="660" w:right="540"/>
        </w:sectPr>
      </w:pPr>
    </w:p>
    <w:p>
      <w:pPr>
        <w:spacing w:line="238" w:lineRule="exact" w:before="28"/>
        <w:ind w:left="121" w:right="0" w:firstLine="0"/>
        <w:jc w:val="left"/>
        <w:rPr>
          <w:sz w:val="22"/>
        </w:rPr>
      </w:pPr>
      <w:r>
        <w:rPr>
          <w:spacing w:val="-16"/>
          <w:w w:val="105"/>
          <w:sz w:val="21"/>
        </w:rPr>
        <w:t>13.  </w:t>
      </w:r>
      <w:r>
        <w:rPr>
          <w:i/>
          <w:w w:val="105"/>
          <w:sz w:val="22"/>
        </w:rPr>
        <w:t>N   </w:t>
      </w:r>
      <w:r>
        <w:rPr>
          <w:w w:val="105"/>
          <w:sz w:val="22"/>
        </w:rPr>
        <w:t>_</w:t>
      </w:r>
    </w:p>
    <w:p>
      <w:pPr>
        <w:tabs>
          <w:tab w:pos="521" w:val="left" w:leader="none"/>
        </w:tabs>
        <w:spacing w:line="266" w:lineRule="exact" w:before="0"/>
        <w:ind w:left="60" w:right="0" w:firstLine="0"/>
        <w:jc w:val="left"/>
        <w:rPr>
          <w:i/>
          <w:sz w:val="22"/>
        </w:rPr>
      </w:pPr>
      <w:r>
        <w:rPr/>
        <w:br w:type="column"/>
      </w:r>
      <w:r>
        <w:rPr>
          <w:i/>
          <w:w w:val="90"/>
          <w:sz w:val="22"/>
        </w:rPr>
        <w:t>N</w:t>
      </w:r>
      <w:r>
        <w:rPr>
          <w:i/>
          <w:sz w:val="22"/>
        </w:rPr>
        <w:tab/>
      </w:r>
      <w:r>
        <w:rPr>
          <w:rFonts w:ascii="Arial"/>
          <w:w w:val="109"/>
          <w:sz w:val="21"/>
        </w:rPr>
        <w:t>(</w:t>
      </w:r>
      <w:r>
        <w:rPr>
          <w:rFonts w:ascii="Arial"/>
          <w:spacing w:val="-21"/>
          <w:w w:val="109"/>
          <w:sz w:val="21"/>
        </w:rPr>
        <w:t>M</w:t>
      </w:r>
      <w:r>
        <w:rPr>
          <w:rFonts w:ascii="Arial"/>
          <w:spacing w:val="-24"/>
          <w:w w:val="306"/>
          <w:sz w:val="21"/>
        </w:rPr>
        <w:t>.</w:t>
      </w:r>
      <w:r>
        <w:rPr>
          <w:rFonts w:ascii="Arial"/>
          <w:w w:val="255"/>
          <w:sz w:val="21"/>
        </w:rPr>
        <w:t>-</w:t>
      </w:r>
      <w:r>
        <w:rPr>
          <w:rFonts w:ascii="Arial"/>
          <w:spacing w:val="3"/>
          <w:sz w:val="21"/>
        </w:rPr>
        <w:t> </w:t>
      </w:r>
      <w:r>
        <w:rPr>
          <w:rFonts w:ascii="Arial"/>
          <w:b/>
          <w:i/>
          <w:spacing w:val="6"/>
          <w:w w:val="116"/>
          <w:sz w:val="20"/>
        </w:rPr>
        <w:t>M</w:t>
      </w:r>
      <w:r>
        <w:rPr>
          <w:rFonts w:ascii="Arial"/>
          <w:b/>
          <w:i/>
          <w:spacing w:val="-34"/>
          <w:w w:val="203"/>
          <w:sz w:val="20"/>
        </w:rPr>
        <w:t>.</w:t>
      </w:r>
      <w:r>
        <w:rPr>
          <w:rFonts w:ascii="Arial"/>
          <w:b/>
          <w:i/>
          <w:w w:val="76"/>
          <w:sz w:val="20"/>
        </w:rPr>
        <w:t>....</w:t>
      </w:r>
      <w:r>
        <w:rPr>
          <w:rFonts w:ascii="Arial"/>
          <w:b/>
          <w:i/>
          <w:spacing w:val="22"/>
          <w:sz w:val="20"/>
        </w:rPr>
        <w:t> </w:t>
      </w:r>
      <w:r>
        <w:rPr>
          <w:w w:val="101"/>
          <w:sz w:val="29"/>
        </w:rPr>
        <w:t>+</w:t>
      </w:r>
      <w:r>
        <w:rPr>
          <w:spacing w:val="23"/>
          <w:sz w:val="29"/>
        </w:rPr>
        <w:t> </w:t>
      </w:r>
      <w:r>
        <w:rPr>
          <w:w w:val="66"/>
          <w:sz w:val="29"/>
        </w:rPr>
        <w:t>(</w:t>
      </w:r>
      <w:r>
        <w:rPr>
          <w:spacing w:val="-40"/>
          <w:sz w:val="29"/>
        </w:rPr>
        <w:t> </w:t>
      </w:r>
      <w:r>
        <w:rPr>
          <w:w w:val="122"/>
          <w:sz w:val="21"/>
        </w:rPr>
        <w:t>1</w:t>
      </w:r>
      <w:r>
        <w:rPr>
          <w:spacing w:val="-12"/>
          <w:sz w:val="21"/>
        </w:rPr>
        <w:t> </w:t>
      </w:r>
      <w:r>
        <w:rPr>
          <w:w w:val="98"/>
          <w:sz w:val="29"/>
        </w:rPr>
        <w:t>+</w:t>
      </w:r>
      <w:r>
        <w:rPr>
          <w:spacing w:val="14"/>
          <w:sz w:val="29"/>
        </w:rPr>
        <w:t> </w:t>
      </w:r>
      <w:r>
        <w:rPr>
          <w:i/>
          <w:w w:val="83"/>
          <w:sz w:val="22"/>
        </w:rPr>
        <w:t>k</w:t>
      </w:r>
      <w:r>
        <w:rPr>
          <w:i/>
          <w:spacing w:val="-22"/>
          <w:sz w:val="22"/>
        </w:rPr>
        <w:t> </w:t>
      </w:r>
      <w:r>
        <w:rPr>
          <w:i/>
          <w:w w:val="73"/>
          <w:sz w:val="22"/>
        </w:rPr>
        <w:t>)</w:t>
      </w:r>
      <w:r>
        <w:rPr>
          <w:i/>
          <w:w w:val="73"/>
          <w:sz w:val="22"/>
        </w:rPr>
        <w:t>v'</w:t>
      </w:r>
      <w:r>
        <w:rPr>
          <w:i/>
          <w:spacing w:val="-26"/>
          <w:sz w:val="22"/>
        </w:rPr>
        <w:t> </w:t>
      </w:r>
      <w:r>
        <w:rPr>
          <w:i/>
          <w:w w:val="152"/>
          <w:sz w:val="22"/>
        </w:rPr>
        <w:t>'-</w:t>
      </w:r>
      <w:r>
        <w:rPr>
          <w:i/>
          <w:spacing w:val="-10"/>
          <w:w w:val="152"/>
          <w:sz w:val="22"/>
        </w:rPr>
        <w:t>D</w:t>
      </w:r>
      <w:r>
        <w:rPr>
          <w:i/>
          <w:spacing w:val="-71"/>
          <w:w w:val="153"/>
          <w:sz w:val="22"/>
        </w:rPr>
        <w:t>.</w:t>
      </w:r>
      <w:r>
        <w:rPr>
          <w:i/>
          <w:w w:val="45"/>
          <w:sz w:val="22"/>
        </w:rPr>
        <w:t>-tca1</w:t>
      </w:r>
    </w:p>
    <w:p>
      <w:pPr>
        <w:spacing w:after="0" w:line="266" w:lineRule="exact"/>
        <w:jc w:val="left"/>
        <w:rPr>
          <w:sz w:val="22"/>
        </w:rPr>
        <w:sectPr>
          <w:type w:val="continuous"/>
          <w:pgSz w:w="7200" w:h="11340"/>
          <w:pgMar w:top="1100" w:bottom="0" w:left="660" w:right="540"/>
          <w:cols w:num="2" w:equalWidth="0">
            <w:col w:w="899" w:space="40"/>
            <w:col w:w="5061"/>
          </w:cols>
        </w:sectPr>
      </w:pPr>
    </w:p>
    <w:p>
      <w:pPr>
        <w:tabs>
          <w:tab w:pos="1172" w:val="left" w:leader="none"/>
        </w:tabs>
        <w:spacing w:line="133" w:lineRule="exact" w:before="0"/>
        <w:ind w:left="614" w:right="0" w:firstLine="0"/>
        <w:jc w:val="left"/>
        <w:rPr>
          <w:b/>
          <w:sz w:val="13"/>
        </w:rPr>
      </w:pPr>
      <w:r>
        <w:rPr/>
        <w:pict>
          <v:line style="position:absolute;mso-position-horizontal-relative:page;mso-position-vertical-relative:paragraph;z-index:-707152" from="55.080002pt,1.090379pt" to="89.820002pt,1.090379pt" stroked="true" strokeweight="5.4pt" strokecolor="#000000">
            <w10:wrap type="none"/>
          </v:line>
        </w:pict>
      </w:r>
      <w:r>
        <w:rPr>
          <w:b/>
          <w:w w:val="140"/>
          <w:sz w:val="13"/>
        </w:rPr>
        <w:t>s</w:t>
        <w:tab/>
        <w:t>s+r</w:t>
      </w:r>
    </w:p>
    <w:p>
      <w:pPr>
        <w:pStyle w:val="BodyText"/>
        <w:rPr>
          <w:b/>
          <w:sz w:val="12"/>
        </w:rPr>
      </w:pPr>
    </w:p>
    <w:p>
      <w:pPr>
        <w:pStyle w:val="BodyText"/>
        <w:spacing w:before="3"/>
        <w:rPr>
          <w:b/>
          <w:sz w:val="13"/>
        </w:rPr>
      </w:pPr>
    </w:p>
    <w:p>
      <w:pPr>
        <w:spacing w:before="0"/>
        <w:ind w:left="128" w:right="0" w:firstLine="0"/>
        <w:jc w:val="left"/>
        <w:rPr>
          <w:rFonts w:ascii="Arial" w:hAnsi="Arial"/>
          <w:i/>
          <w:sz w:val="20"/>
        </w:rPr>
      </w:pPr>
      <w:r>
        <w:rPr/>
        <w:pict>
          <v:group style="position:absolute;margin-left:56.685001pt;margin-top:-7.13086pt;width:224.85pt;height:13pt;mso-position-horizontal-relative:page;mso-position-vertical-relative:paragraph;z-index:-707200" coordorigin="1134,-143" coordsize="4497,260">
            <v:shape style="position:absolute;left:1872;top:-143;width:3758;height:259" type="#_x0000_t75" stroked="false">
              <v:imagedata r:id="rId437" o:title=""/>
            </v:shape>
            <v:line style="position:absolute" from="1141,90" to="1901,90" stroked="true" strokeweight=".72pt" strokecolor="#000000"/>
            <w10:wrap type="none"/>
          </v:group>
        </w:pict>
      </w:r>
      <w:r>
        <w:rPr/>
        <w:pict>
          <v:shape style="position:absolute;margin-left:151.559998pt;margin-top:12.667881pt;width:4.2pt;height:4pt;mso-position-horizontal-relative:page;mso-position-vertical-relative:paragraph;z-index:-707080" type="#_x0000_t202" filled="false" stroked="false">
            <v:textbox inset="0,0,0,0">
              <w:txbxContent>
                <w:p>
                  <w:pPr>
                    <w:spacing w:line="80" w:lineRule="exact" w:before="0"/>
                    <w:ind w:left="0" w:right="-17" w:firstLine="0"/>
                    <w:jc w:val="left"/>
                    <w:rPr>
                      <w:rFonts w:ascii="Arial"/>
                      <w:i/>
                      <w:sz w:val="8"/>
                    </w:rPr>
                  </w:pPr>
                  <w:r>
                    <w:rPr>
                      <w:rFonts w:ascii="Arial"/>
                      <w:i/>
                      <w:w w:val="90"/>
                      <w:sz w:val="8"/>
                    </w:rPr>
                    <w:t>11</w:t>
                  </w:r>
                </w:p>
              </w:txbxContent>
            </v:textbox>
            <w10:wrap type="none"/>
          </v:shape>
        </w:pict>
      </w:r>
      <w:r>
        <w:rPr>
          <w:spacing w:val="-57"/>
          <w:w w:val="135"/>
          <w:position w:val="13"/>
          <w:sz w:val="19"/>
        </w:rPr>
        <w:t>1</w:t>
      </w:r>
      <w:r>
        <w:rPr>
          <w:spacing w:val="8"/>
          <w:w w:val="112"/>
          <w:position w:val="13"/>
          <w:sz w:val="19"/>
        </w:rPr>
        <w:t>4</w:t>
      </w:r>
      <w:r>
        <w:rPr>
          <w:w w:val="144"/>
          <w:sz w:val="19"/>
        </w:rPr>
        <w:t>·</w:t>
      </w:r>
      <w:r>
        <w:rPr>
          <w:spacing w:val="11"/>
          <w:sz w:val="19"/>
        </w:rPr>
        <w:t> </w:t>
      </w:r>
      <w:r>
        <w:rPr>
          <w:rFonts w:ascii="Arial" w:hAnsi="Arial"/>
          <w:i/>
          <w:w w:val="127"/>
          <w:sz w:val="21"/>
        </w:rPr>
        <w:t>N.</w:t>
      </w:r>
      <w:r>
        <w:rPr>
          <w:rFonts w:ascii="Arial" w:hAnsi="Arial"/>
          <w:i/>
          <w:spacing w:val="-3"/>
          <w:sz w:val="21"/>
        </w:rPr>
        <w:t> </w:t>
      </w:r>
      <w:r>
        <w:rPr>
          <w:rFonts w:ascii="Arial" w:hAnsi="Arial"/>
          <w:w w:val="255"/>
          <w:sz w:val="21"/>
        </w:rPr>
        <w:t>-</w:t>
      </w:r>
      <w:r>
        <w:rPr>
          <w:rFonts w:ascii="Arial" w:hAnsi="Arial"/>
          <w:spacing w:val="-4"/>
          <w:sz w:val="21"/>
        </w:rPr>
        <w:t> </w:t>
      </w:r>
      <w:r>
        <w:rPr>
          <w:rFonts w:ascii="Arial" w:hAnsi="Arial"/>
          <w:i/>
          <w:spacing w:val="-27"/>
          <w:w w:val="108"/>
          <w:sz w:val="21"/>
        </w:rPr>
        <w:t>N</w:t>
      </w:r>
      <w:r>
        <w:rPr>
          <w:rFonts w:ascii="Arial" w:hAnsi="Arial"/>
          <w:i/>
          <w:spacing w:val="-106"/>
          <w:w w:val="252"/>
          <w:sz w:val="21"/>
        </w:rPr>
        <w:t>.</w:t>
      </w:r>
      <w:r>
        <w:rPr>
          <w:rFonts w:ascii="Arial" w:hAnsi="Arial"/>
          <w:i/>
          <w:w w:val="78"/>
          <w:sz w:val="21"/>
        </w:rPr>
        <w:t>....</w:t>
      </w:r>
      <w:r>
        <w:rPr>
          <w:rFonts w:ascii="Arial" w:hAnsi="Arial"/>
          <w:i/>
          <w:spacing w:val="2"/>
          <w:sz w:val="21"/>
        </w:rPr>
        <w:t> </w:t>
      </w:r>
      <w:r>
        <w:rPr>
          <w:rFonts w:ascii="Arial" w:hAnsi="Arial"/>
          <w:w w:val="105"/>
          <w:sz w:val="31"/>
        </w:rPr>
        <w:t>+</w:t>
      </w:r>
      <w:r>
        <w:rPr>
          <w:rFonts w:ascii="Arial" w:hAnsi="Arial"/>
          <w:spacing w:val="-41"/>
          <w:sz w:val="31"/>
        </w:rPr>
        <w:t> </w:t>
      </w:r>
      <w:r>
        <w:rPr>
          <w:rFonts w:ascii="Arial" w:hAnsi="Arial"/>
          <w:i/>
          <w:spacing w:val="-32"/>
          <w:w w:val="110"/>
          <w:sz w:val="21"/>
        </w:rPr>
        <w:t>D</w:t>
      </w:r>
      <w:r>
        <w:rPr>
          <w:rFonts w:ascii="Arial" w:hAnsi="Arial"/>
          <w:i/>
          <w:spacing w:val="-93"/>
          <w:w w:val="252"/>
          <w:sz w:val="21"/>
        </w:rPr>
        <w:t>.</w:t>
      </w:r>
      <w:r>
        <w:rPr>
          <w:rFonts w:ascii="Arial" w:hAnsi="Arial"/>
          <w:i/>
          <w:w w:val="76"/>
          <w:sz w:val="21"/>
        </w:rPr>
        <w:t>....</w:t>
      </w:r>
      <w:r>
        <w:rPr>
          <w:rFonts w:ascii="Arial" w:hAnsi="Arial"/>
          <w:i/>
          <w:spacing w:val="-44"/>
          <w:sz w:val="21"/>
        </w:rPr>
        <w:t> </w:t>
      </w:r>
      <w:r>
        <w:rPr>
          <w:i/>
          <w:w w:val="144"/>
          <w:sz w:val="18"/>
        </w:rPr>
        <w:t>·ü</w:t>
      </w:r>
      <w:r>
        <w:rPr>
          <w:i/>
          <w:sz w:val="18"/>
        </w:rPr>
        <w:t> </w:t>
      </w:r>
      <w:r>
        <w:rPr>
          <w:i/>
          <w:spacing w:val="-22"/>
          <w:sz w:val="18"/>
        </w:rPr>
        <w:t> </w:t>
      </w:r>
      <w:r>
        <w:rPr>
          <w:rFonts w:ascii="Arial" w:hAnsi="Arial"/>
          <w:i/>
          <w:spacing w:val="-18"/>
          <w:w w:val="306"/>
          <w:sz w:val="19"/>
        </w:rPr>
        <w:t>-</w:t>
      </w:r>
      <w:r>
        <w:rPr>
          <w:rFonts w:ascii="Arial" w:hAnsi="Arial"/>
          <w:i/>
          <w:w w:val="31"/>
          <w:sz w:val="19"/>
        </w:rPr>
        <w:t>1</w:t>
      </w:r>
      <w:r>
        <w:rPr>
          <w:rFonts w:ascii="Arial" w:hAnsi="Arial"/>
          <w:i/>
          <w:sz w:val="19"/>
        </w:rPr>
        <w:t> </w:t>
      </w:r>
      <w:r>
        <w:rPr>
          <w:rFonts w:ascii="Arial" w:hAnsi="Arial"/>
          <w:i/>
          <w:spacing w:val="-14"/>
          <w:sz w:val="19"/>
        </w:rPr>
        <w:t> </w:t>
      </w:r>
      <w:r>
        <w:rPr>
          <w:rFonts w:ascii="Arial" w:hAnsi="Arial"/>
          <w:w w:val="262"/>
          <w:sz w:val="19"/>
        </w:rPr>
        <w:t>-</w:t>
      </w:r>
      <w:r>
        <w:rPr>
          <w:rFonts w:ascii="Arial" w:hAnsi="Arial"/>
          <w:sz w:val="19"/>
        </w:rPr>
        <w:t> </w:t>
      </w:r>
      <w:r>
        <w:rPr>
          <w:rFonts w:ascii="Arial" w:hAnsi="Arial"/>
          <w:spacing w:val="-17"/>
          <w:sz w:val="19"/>
        </w:rPr>
        <w:t> </w:t>
      </w:r>
      <w:r>
        <w:rPr>
          <w:w w:val="124"/>
          <w:sz w:val="19"/>
        </w:rPr>
        <w:t>(1</w:t>
      </w:r>
      <w:r>
        <w:rPr>
          <w:spacing w:val="21"/>
          <w:sz w:val="19"/>
        </w:rPr>
        <w:t> </w:t>
      </w:r>
      <w:r>
        <w:rPr>
          <w:rFonts w:ascii="Arial" w:hAnsi="Arial"/>
          <w:w w:val="103"/>
          <w:sz w:val="31"/>
        </w:rPr>
        <w:t>+</w:t>
      </w:r>
      <w:r>
        <w:rPr>
          <w:rFonts w:ascii="Arial" w:hAnsi="Arial"/>
          <w:spacing w:val="-33"/>
          <w:sz w:val="31"/>
        </w:rPr>
        <w:t> </w:t>
      </w:r>
      <w:r>
        <w:rPr>
          <w:rFonts w:ascii="Arial" w:hAnsi="Arial"/>
          <w:i/>
          <w:w w:val="84"/>
          <w:sz w:val="21"/>
        </w:rPr>
        <w:t>k</w:t>
      </w:r>
      <w:r>
        <w:rPr>
          <w:rFonts w:ascii="Arial" w:hAnsi="Arial"/>
          <w:i/>
          <w:spacing w:val="-28"/>
          <w:sz w:val="21"/>
        </w:rPr>
        <w:t> </w:t>
      </w:r>
      <w:r>
        <w:rPr>
          <w:rFonts w:ascii="Arial" w:hAnsi="Arial"/>
          <w:i/>
          <w:w w:val="85"/>
          <w:sz w:val="21"/>
        </w:rPr>
        <w:t>)(</w:t>
      </w:r>
      <w:r>
        <w:rPr>
          <w:rFonts w:ascii="Arial" w:hAnsi="Arial"/>
          <w:i/>
          <w:spacing w:val="-3"/>
          <w:sz w:val="21"/>
        </w:rPr>
        <w:t> </w:t>
      </w:r>
      <w:r>
        <w:rPr>
          <w:rFonts w:ascii="Arial" w:hAnsi="Arial"/>
          <w:i/>
          <w:w w:val="112"/>
          <w:sz w:val="21"/>
        </w:rPr>
        <w:t>R.</w:t>
      </w:r>
      <w:r>
        <w:rPr>
          <w:rFonts w:ascii="Arial" w:hAnsi="Arial"/>
          <w:i/>
          <w:spacing w:val="3"/>
          <w:sz w:val="21"/>
        </w:rPr>
        <w:t> </w:t>
      </w:r>
      <w:r>
        <w:rPr>
          <w:rFonts w:ascii="Arial" w:hAnsi="Arial"/>
          <w:w w:val="249"/>
          <w:sz w:val="21"/>
        </w:rPr>
        <w:t>-</w:t>
      </w:r>
      <w:r>
        <w:rPr>
          <w:rFonts w:ascii="Arial" w:hAnsi="Arial"/>
          <w:spacing w:val="8"/>
          <w:sz w:val="21"/>
        </w:rPr>
        <w:t> </w:t>
      </w:r>
      <w:r>
        <w:rPr>
          <w:rFonts w:ascii="Arial" w:hAnsi="Arial"/>
          <w:i/>
          <w:spacing w:val="-15"/>
          <w:w w:val="95"/>
          <w:sz w:val="21"/>
        </w:rPr>
        <w:t>R</w:t>
      </w:r>
      <w:r>
        <w:rPr>
          <w:rFonts w:ascii="Arial" w:hAnsi="Arial"/>
          <w:i/>
          <w:spacing w:val="-76"/>
          <w:w w:val="238"/>
          <w:sz w:val="21"/>
        </w:rPr>
        <w:t>.</w:t>
      </w:r>
      <w:r>
        <w:rPr>
          <w:rFonts w:ascii="Arial" w:hAnsi="Arial"/>
          <w:i/>
          <w:w w:val="76"/>
          <w:sz w:val="21"/>
        </w:rPr>
        <w:t>....</w:t>
      </w:r>
      <w:r>
        <w:rPr>
          <w:rFonts w:ascii="Arial" w:hAnsi="Arial"/>
          <w:i/>
          <w:spacing w:val="18"/>
          <w:sz w:val="21"/>
        </w:rPr>
        <w:t> </w:t>
      </w:r>
      <w:r>
        <w:rPr>
          <w:rFonts w:ascii="Arial" w:hAnsi="Arial"/>
          <w:w w:val="249"/>
          <w:sz w:val="21"/>
        </w:rPr>
        <w:t>-</w:t>
      </w:r>
      <w:r>
        <w:rPr>
          <w:rFonts w:ascii="Arial" w:hAnsi="Arial"/>
          <w:spacing w:val="15"/>
          <w:sz w:val="21"/>
        </w:rPr>
        <w:t> </w:t>
      </w:r>
      <w:r>
        <w:rPr>
          <w:rFonts w:ascii="Arial" w:hAnsi="Arial"/>
          <w:i/>
          <w:w w:val="102"/>
          <w:sz w:val="20"/>
        </w:rPr>
        <w:t>a</w:t>
      </w:r>
      <w:r>
        <w:rPr>
          <w:rFonts w:ascii="Arial" w:hAnsi="Arial"/>
          <w:i/>
          <w:spacing w:val="-51"/>
          <w:w w:val="102"/>
          <w:sz w:val="20"/>
        </w:rPr>
        <w:t>M</w:t>
      </w:r>
      <w:r>
        <w:rPr>
          <w:rFonts w:ascii="Arial" w:hAnsi="Arial"/>
          <w:i/>
          <w:spacing w:val="-136"/>
          <w:w w:val="280"/>
          <w:sz w:val="20"/>
        </w:rPr>
        <w:t>.</w:t>
      </w:r>
      <w:r>
        <w:rPr>
          <w:rFonts w:ascii="Arial" w:hAnsi="Arial"/>
          <w:i/>
          <w:w w:val="80"/>
          <w:sz w:val="20"/>
        </w:rPr>
        <w:t>...</w:t>
      </w:r>
      <w:r>
        <w:rPr>
          <w:rFonts w:ascii="Arial" w:hAnsi="Arial"/>
          <w:i/>
          <w:spacing w:val="7"/>
          <w:w w:val="80"/>
          <w:sz w:val="20"/>
        </w:rPr>
        <w:t>.</w:t>
      </w:r>
      <w:r>
        <w:rPr>
          <w:rFonts w:ascii="Arial" w:hAnsi="Arial"/>
          <w:i/>
          <w:w w:val="79"/>
          <w:sz w:val="20"/>
        </w:rPr>
        <w:t>)</w:t>
      </w:r>
    </w:p>
    <w:p>
      <w:pPr>
        <w:spacing w:after="0"/>
        <w:jc w:val="left"/>
        <w:rPr>
          <w:rFonts w:ascii="Arial" w:hAnsi="Arial"/>
          <w:sz w:val="20"/>
        </w:rPr>
        <w:sectPr>
          <w:type w:val="continuous"/>
          <w:pgSz w:w="7200" w:h="11340"/>
          <w:pgMar w:top="1100" w:bottom="0" w:left="660" w:right="540"/>
        </w:sectPr>
      </w:pPr>
    </w:p>
    <w:p>
      <w:pPr>
        <w:tabs>
          <w:tab w:pos="2580" w:val="left" w:leader="none"/>
        </w:tabs>
        <w:spacing w:before="62"/>
        <w:ind w:left="104" w:right="0" w:firstLine="0"/>
        <w:jc w:val="left"/>
        <w:rPr>
          <w:b/>
          <w:sz w:val="15"/>
        </w:rPr>
      </w:pPr>
      <w:r>
        <w:rPr>
          <w:color w:val="010101"/>
          <w:w w:val="105"/>
          <w:sz w:val="15"/>
        </w:rPr>
        <w:t>CH. </w:t>
      </w:r>
      <w:r>
        <w:rPr>
          <w:color w:val="010101"/>
          <w:spacing w:val="25"/>
          <w:w w:val="105"/>
          <w:sz w:val="15"/>
        </w:rPr>
        <w:t> </w:t>
      </w:r>
      <w:r>
        <w:rPr>
          <w:rFonts w:ascii="Arial"/>
          <w:color w:val="010101"/>
          <w:w w:val="105"/>
          <w:sz w:val="19"/>
        </w:rPr>
        <w:t>8]</w:t>
        <w:tab/>
      </w:r>
      <w:r>
        <w:rPr>
          <w:b/>
          <w:color w:val="010101"/>
          <w:w w:val="105"/>
          <w:sz w:val="15"/>
        </w:rPr>
        <w:t>ANSWERS</w:t>
      </w:r>
    </w:p>
    <w:p>
      <w:pPr>
        <w:pStyle w:val="BodyText"/>
        <w:spacing w:before="7"/>
        <w:rPr>
          <w:b/>
          <w:sz w:val="21"/>
        </w:rPr>
      </w:pPr>
    </w:p>
    <w:p>
      <w:pPr>
        <w:spacing w:line="241" w:lineRule="exact" w:before="0"/>
        <w:ind w:left="660" w:right="0" w:firstLine="0"/>
        <w:jc w:val="left"/>
        <w:rPr>
          <w:i/>
          <w:sz w:val="21"/>
        </w:rPr>
      </w:pPr>
      <w:r>
        <w:rPr>
          <w:color w:val="010101"/>
          <w:w w:val="110"/>
          <w:sz w:val="21"/>
        </w:rPr>
        <w:t>where P' =  </w:t>
      </w:r>
      <w:r>
        <w:rPr>
          <w:i/>
          <w:color w:val="010101"/>
          <w:sz w:val="21"/>
        </w:rPr>
        <w:t>( </w:t>
      </w:r>
      <w:r>
        <w:rPr>
          <w:i/>
          <w:color w:val="010101"/>
          <w:w w:val="110"/>
          <w:sz w:val="21"/>
        </w:rPr>
        <w:t>l </w:t>
      </w:r>
      <w:r>
        <w:rPr>
          <w:i/>
          <w:color w:val="010101"/>
          <w:w w:val="120"/>
          <w:sz w:val="21"/>
        </w:rPr>
        <w:t>+ </w:t>
      </w:r>
      <w:r>
        <w:rPr>
          <w:i/>
          <w:color w:val="010101"/>
          <w:sz w:val="21"/>
        </w:rPr>
        <w:t>k </w:t>
      </w:r>
      <w:r>
        <w:rPr>
          <w:i/>
          <w:color w:val="010101"/>
          <w:w w:val="110"/>
          <w:sz w:val="21"/>
        </w:rPr>
        <w:t>)P  </w:t>
      </w:r>
      <w:r>
        <w:rPr>
          <w:i/>
          <w:color w:val="010101"/>
          <w:w w:val="120"/>
          <w:sz w:val="21"/>
        </w:rPr>
        <w:t>+ </w:t>
      </w:r>
      <w:r>
        <w:rPr>
          <w:i/>
          <w:color w:val="010101"/>
          <w:w w:val="110"/>
          <w:sz w:val="21"/>
        </w:rPr>
        <w:t>c</w:t>
      </w:r>
    </w:p>
    <w:p>
      <w:pPr>
        <w:spacing w:line="241" w:lineRule="exact" w:before="0"/>
        <w:ind w:left="664" w:right="0" w:firstLine="0"/>
        <w:jc w:val="left"/>
        <w:rPr>
          <w:sz w:val="21"/>
        </w:rPr>
      </w:pPr>
      <w:r>
        <w:rPr>
          <w:color w:val="010101"/>
          <w:w w:val="105"/>
          <w:sz w:val="21"/>
        </w:rPr>
        <w:t>and a is the greatest integer for which</w:t>
      </w:r>
    </w:p>
    <w:p>
      <w:pPr>
        <w:tabs>
          <w:tab w:pos="2214" w:val="left" w:leader="none"/>
          <w:tab w:pos="3338" w:val="left" w:leader="none"/>
        </w:tabs>
        <w:spacing w:before="30"/>
        <w:ind w:left="1238" w:right="0" w:firstLine="0"/>
        <w:jc w:val="left"/>
        <w:rPr>
          <w:sz w:val="21"/>
        </w:rPr>
      </w:pPr>
      <w:r>
        <w:rPr>
          <w:b/>
          <w:i/>
          <w:color w:val="010101"/>
          <w:w w:val="107"/>
          <w:sz w:val="19"/>
        </w:rPr>
        <w:t>l</w:t>
      </w:r>
      <w:r>
        <w:rPr>
          <w:b/>
          <w:i/>
          <w:color w:val="010101"/>
          <w:spacing w:val="-15"/>
          <w:sz w:val="19"/>
        </w:rPr>
        <w:t> </w:t>
      </w:r>
      <w:r>
        <w:rPr>
          <w:b/>
          <w:i/>
          <w:color w:val="010101"/>
          <w:w w:val="99"/>
          <w:sz w:val="19"/>
        </w:rPr>
        <w:t>2v"-ª</w:t>
      </w:r>
      <w:r>
        <w:rPr>
          <w:b/>
          <w:i/>
          <w:color w:val="010101"/>
          <w:sz w:val="19"/>
        </w:rPr>
        <w:tab/>
      </w:r>
      <w:r>
        <w:rPr>
          <w:color w:val="010101"/>
          <w:w w:val="281"/>
          <w:sz w:val="19"/>
        </w:rPr>
        <w:t>-</w:t>
      </w:r>
      <w:r>
        <w:rPr>
          <w:color w:val="010101"/>
          <w:spacing w:val="10"/>
          <w:sz w:val="19"/>
        </w:rPr>
        <w:t> </w:t>
      </w:r>
      <w:r>
        <w:rPr>
          <w:b/>
          <w:i/>
          <w:color w:val="010101"/>
          <w:w w:val="99"/>
          <w:sz w:val="19"/>
        </w:rPr>
        <w:t>Pit</w:t>
      </w:r>
      <w:r>
        <w:rPr>
          <w:b/>
          <w:i/>
          <w:color w:val="010101"/>
          <w:spacing w:val="-14"/>
          <w:sz w:val="19"/>
        </w:rPr>
        <w:t> </w:t>
      </w:r>
      <w:r>
        <w:rPr>
          <w:b/>
          <w:i/>
          <w:color w:val="010101"/>
          <w:w w:val="110"/>
          <w:sz w:val="19"/>
        </w:rPr>
        <w:t>,.</w:t>
      </w:r>
      <w:r>
        <w:rPr>
          <w:b/>
          <w:i/>
          <w:color w:val="010101"/>
          <w:spacing w:val="3"/>
          <w:w w:val="110"/>
          <w:sz w:val="19"/>
        </w:rPr>
        <w:t>-</w:t>
      </w:r>
      <w:r>
        <w:rPr>
          <w:rFonts w:ascii="Arial" w:hAnsi="Arial"/>
          <w:b/>
          <w:i/>
          <w:color w:val="010101"/>
          <w:spacing w:val="8"/>
          <w:w w:val="165"/>
          <w:position w:val="-1"/>
          <w:sz w:val="8"/>
          <w:u w:val="thick" w:color="000000"/>
        </w:rPr>
        <w:t>0</w:t>
      </w:r>
      <w:r>
        <w:rPr>
          <w:rFonts w:ascii="Arial" w:hAnsi="Arial"/>
          <w:b/>
          <w:i/>
          <w:color w:val="010101"/>
          <w:w w:val="58"/>
          <w:sz w:val="12"/>
        </w:rPr>
        <w:t>¡</w:t>
      </w:r>
      <w:r>
        <w:rPr>
          <w:rFonts w:ascii="Arial" w:hAnsi="Arial"/>
          <w:b/>
          <w:i/>
          <w:color w:val="010101"/>
          <w:sz w:val="12"/>
        </w:rPr>
        <w:tab/>
      </w:r>
      <w:r>
        <w:rPr>
          <w:b/>
          <w:color w:val="010101"/>
          <w:w w:val="98"/>
          <w:sz w:val="21"/>
        </w:rPr>
        <w:t>a[P</w:t>
      </w:r>
      <w:r>
        <w:rPr>
          <w:b/>
          <w:color w:val="010101"/>
          <w:spacing w:val="-19"/>
          <w:sz w:val="21"/>
        </w:rPr>
        <w:t> </w:t>
      </w:r>
      <w:r>
        <w:rPr>
          <w:b/>
          <w:color w:val="010101"/>
          <w:w w:val="116"/>
          <w:sz w:val="21"/>
        </w:rPr>
        <w:t>(</w:t>
      </w:r>
      <w:r>
        <w:rPr>
          <w:b/>
          <w:color w:val="010101"/>
          <w:w w:val="116"/>
          <w:sz w:val="21"/>
        </w:rPr>
        <w:t>l</w:t>
      </w:r>
      <w:r>
        <w:rPr>
          <w:b/>
          <w:color w:val="010101"/>
          <w:sz w:val="21"/>
        </w:rPr>
        <w:t> </w:t>
      </w:r>
      <w:r>
        <w:rPr>
          <w:b/>
          <w:color w:val="010101"/>
          <w:spacing w:val="-11"/>
          <w:sz w:val="21"/>
        </w:rPr>
        <w:t> </w:t>
      </w:r>
      <w:r>
        <w:rPr>
          <w:rFonts w:ascii="Arial" w:hAnsi="Arial"/>
          <w:color w:val="010101"/>
          <w:w w:val="105"/>
          <w:sz w:val="31"/>
        </w:rPr>
        <w:t>+</w:t>
      </w:r>
      <w:r>
        <w:rPr>
          <w:rFonts w:ascii="Arial" w:hAnsi="Arial"/>
          <w:color w:val="010101"/>
          <w:spacing w:val="-31"/>
          <w:sz w:val="31"/>
        </w:rPr>
        <w:t> </w:t>
      </w:r>
      <w:r>
        <w:rPr>
          <w:rFonts w:ascii="Arial" w:hAnsi="Arial"/>
          <w:i/>
          <w:color w:val="010101"/>
          <w:w w:val="89"/>
          <w:sz w:val="19"/>
        </w:rPr>
        <w:t>k</w:t>
      </w:r>
      <w:r>
        <w:rPr>
          <w:rFonts w:ascii="Arial" w:hAnsi="Arial"/>
          <w:i/>
          <w:color w:val="010101"/>
          <w:spacing w:val="-16"/>
          <w:sz w:val="19"/>
        </w:rPr>
        <w:t> </w:t>
      </w:r>
      <w:r>
        <w:rPr>
          <w:rFonts w:ascii="Arial" w:hAnsi="Arial"/>
          <w:i/>
          <w:color w:val="010101"/>
          <w:w w:val="89"/>
          <w:sz w:val="19"/>
        </w:rPr>
        <w:t>)</w:t>
      </w:r>
      <w:r>
        <w:rPr>
          <w:rFonts w:ascii="Arial" w:hAnsi="Arial"/>
          <w:i/>
          <w:color w:val="010101"/>
          <w:sz w:val="19"/>
        </w:rPr>
        <w:t> </w:t>
      </w:r>
      <w:r>
        <w:rPr>
          <w:rFonts w:ascii="Arial" w:hAnsi="Arial"/>
          <w:i/>
          <w:color w:val="010101"/>
          <w:spacing w:val="-1"/>
          <w:sz w:val="19"/>
        </w:rPr>
        <w:t> </w:t>
      </w:r>
      <w:r>
        <w:rPr>
          <w:rFonts w:ascii="Arial" w:hAnsi="Arial"/>
          <w:color w:val="010101"/>
          <w:w w:val="102"/>
          <w:sz w:val="31"/>
        </w:rPr>
        <w:t>+</w:t>
      </w:r>
      <w:r>
        <w:rPr>
          <w:rFonts w:ascii="Arial" w:hAnsi="Arial"/>
          <w:color w:val="010101"/>
          <w:spacing w:val="-32"/>
          <w:sz w:val="31"/>
        </w:rPr>
        <w:t> </w:t>
      </w:r>
      <w:r>
        <w:rPr>
          <w:color w:val="010101"/>
          <w:w w:val="88"/>
          <w:sz w:val="21"/>
        </w:rPr>
        <w:t>e]</w:t>
      </w:r>
    </w:p>
    <w:p>
      <w:pPr>
        <w:tabs>
          <w:tab w:pos="1547" w:val="left" w:leader="none"/>
          <w:tab w:pos="2469" w:val="left" w:leader="none"/>
          <w:tab w:pos="2785" w:val="left" w:leader="none"/>
          <w:tab w:pos="3575" w:val="left" w:leader="none"/>
        </w:tabs>
        <w:spacing w:line="279" w:lineRule="exact" w:before="24"/>
        <w:ind w:left="449" w:right="0" w:firstLine="0"/>
        <w:jc w:val="left"/>
        <w:rPr>
          <w:rFonts w:ascii="Arial"/>
          <w:sz w:val="11"/>
        </w:rPr>
      </w:pPr>
      <w:r>
        <w:rPr/>
        <w:pict>
          <v:shape style="position:absolute;margin-left:142.492493pt;margin-top:9.520883pt;width:9.1pt;height:15pt;mso-position-horizontal-relative:page;mso-position-vertical-relative:paragraph;z-index:-707032" type="#_x0000_t202" filled="false" stroked="false">
            <v:textbox inset="0,0,0,0">
              <w:txbxContent>
                <w:p>
                  <w:pPr>
                    <w:spacing w:line="300" w:lineRule="exact" w:before="0"/>
                    <w:ind w:left="0" w:right="0" w:firstLine="0"/>
                    <w:jc w:val="left"/>
                    <w:rPr>
                      <w:rFonts w:ascii="Arial"/>
                      <w:sz w:val="30"/>
                    </w:rPr>
                  </w:pPr>
                  <w:r>
                    <w:rPr>
                      <w:rFonts w:ascii="Arial"/>
                      <w:color w:val="010101"/>
                      <w:w w:val="103"/>
                      <w:sz w:val="30"/>
                    </w:rPr>
                    <w:t>+</w:t>
                  </w:r>
                </w:p>
              </w:txbxContent>
            </v:textbox>
            <w10:wrap type="none"/>
          </v:shape>
        </w:pict>
      </w:r>
      <w:r>
        <w:rPr>
          <w:color w:val="010101"/>
          <w:w w:val="235"/>
          <w:sz w:val="30"/>
        </w:rPr>
        <w:t>!</w:t>
      </w:r>
      <w:r>
        <w:rPr>
          <w:color w:val="010101"/>
          <w:spacing w:val="-116"/>
          <w:w w:val="235"/>
          <w:sz w:val="30"/>
        </w:rPr>
        <w:t> </w:t>
      </w:r>
      <w:r>
        <w:rPr>
          <w:rFonts w:ascii="Arial"/>
          <w:color w:val="010101"/>
          <w:w w:val="195"/>
          <w:sz w:val="11"/>
        </w:rPr>
        <w:t>-1</w:t>
      </w:r>
      <w:r>
        <w:rPr>
          <w:rFonts w:ascii="Arial"/>
          <w:color w:val="010101"/>
          <w:spacing w:val="-46"/>
          <w:w w:val="195"/>
          <w:sz w:val="11"/>
        </w:rPr>
        <w:t> </w:t>
      </w:r>
      <w:r>
        <w:rPr>
          <w:rFonts w:ascii="Arial"/>
          <w:color w:val="010101"/>
          <w:w w:val="235"/>
          <w:sz w:val="11"/>
        </w:rPr>
        <w:t>_</w:t>
        <w:tab/>
      </w:r>
      <w:r>
        <w:rPr>
          <w:rFonts w:ascii="Arial"/>
          <w:b/>
          <w:color w:val="010101"/>
          <w:w w:val="110"/>
          <w:sz w:val="11"/>
        </w:rPr>
        <w:t>20</w:t>
        <w:tab/>
      </w:r>
      <w:r>
        <w:rPr>
          <w:rFonts w:ascii="Arial"/>
          <w:color w:val="010101"/>
          <w:w w:val="195"/>
          <w:sz w:val="11"/>
        </w:rPr>
        <w:t>-</w:t>
        <w:tab/>
      </w:r>
      <w:r>
        <w:rPr>
          <w:rFonts w:ascii="Arial"/>
          <w:b/>
          <w:color w:val="010101"/>
          <w:w w:val="195"/>
          <w:sz w:val="11"/>
        </w:rPr>
        <w:t>-1</w:t>
      </w:r>
      <w:r>
        <w:rPr>
          <w:rFonts w:ascii="Arial"/>
          <w:b/>
          <w:color w:val="010101"/>
          <w:spacing w:val="-29"/>
          <w:w w:val="195"/>
          <w:sz w:val="11"/>
        </w:rPr>
        <w:t> </w:t>
      </w:r>
      <w:r>
        <w:rPr>
          <w:rFonts w:ascii="Arial"/>
          <w:color w:val="010101"/>
          <w:w w:val="235"/>
          <w:sz w:val="11"/>
        </w:rPr>
        <w:t>_</w:t>
        <w:tab/>
      </w:r>
      <w:r>
        <w:rPr>
          <w:rFonts w:ascii="Arial"/>
          <w:b/>
          <w:color w:val="010101"/>
          <w:w w:val="195"/>
          <w:sz w:val="11"/>
        </w:rPr>
        <w:t>-1</w:t>
      </w:r>
      <w:r>
        <w:rPr>
          <w:rFonts w:ascii="Arial"/>
          <w:b/>
          <w:color w:val="010101"/>
          <w:spacing w:val="-23"/>
          <w:w w:val="195"/>
          <w:sz w:val="11"/>
        </w:rPr>
        <w:t> </w:t>
      </w:r>
      <w:r>
        <w:rPr>
          <w:rFonts w:ascii="Arial"/>
          <w:color w:val="010101"/>
          <w:w w:val="195"/>
          <w:sz w:val="11"/>
        </w:rPr>
        <w:t>_</w:t>
      </w:r>
    </w:p>
    <w:p>
      <w:pPr>
        <w:tabs>
          <w:tab w:pos="621" w:val="left" w:leader="none"/>
          <w:tab w:pos="2430" w:val="left" w:leader="none"/>
        </w:tabs>
        <w:spacing w:line="176" w:lineRule="exact" w:before="0"/>
        <w:ind w:left="126" w:right="0" w:firstLine="0"/>
        <w:jc w:val="left"/>
        <w:rPr>
          <w:b/>
          <w:sz w:val="16"/>
        </w:rPr>
      </w:pPr>
      <w:r>
        <w:rPr>
          <w:rFonts w:ascii="Arial" w:hAnsi="Arial"/>
          <w:b/>
          <w:color w:val="010101"/>
          <w:sz w:val="20"/>
        </w:rPr>
        <w:t>16.</w:t>
        <w:tab/>
      </w:r>
      <w:r>
        <w:rPr>
          <w:b/>
          <w:i/>
          <w:color w:val="010101"/>
          <w:w w:val="85"/>
          <w:sz w:val="21"/>
        </w:rPr>
        <w:t>(</w:t>
      </w:r>
      <w:r>
        <w:rPr>
          <w:b/>
          <w:i/>
          <w:color w:val="010101"/>
          <w:spacing w:val="-27"/>
          <w:w w:val="85"/>
          <w:sz w:val="21"/>
        </w:rPr>
        <w:t> </w:t>
      </w:r>
      <w:r>
        <w:rPr>
          <w:b/>
          <w:i/>
          <w:color w:val="010101"/>
          <w:sz w:val="21"/>
        </w:rPr>
        <w:t>Az</w:t>
      </w:r>
      <w:r>
        <w:rPr>
          <w:b/>
          <w:i/>
          <w:color w:val="010101"/>
          <w:spacing w:val="-10"/>
          <w:sz w:val="21"/>
        </w:rPr>
        <w:t> </w:t>
      </w:r>
      <w:r>
        <w:rPr>
          <w:b/>
          <w:color w:val="232323"/>
          <w:w w:val="85"/>
          <w:sz w:val="16"/>
        </w:rPr>
        <w:t>:</w:t>
      </w:r>
      <w:r>
        <w:rPr>
          <w:b/>
          <w:color w:val="232323"/>
          <w:spacing w:val="-26"/>
          <w:w w:val="85"/>
          <w:sz w:val="16"/>
        </w:rPr>
        <w:t> </w:t>
      </w:r>
      <w:r>
        <w:rPr>
          <w:b/>
          <w:color w:val="010101"/>
          <w:sz w:val="16"/>
        </w:rPr>
        <w:t>I6j</w:t>
      </w:r>
      <w:r>
        <w:rPr>
          <w:b/>
          <w:color w:val="010101"/>
          <w:spacing w:val="30"/>
          <w:sz w:val="16"/>
        </w:rPr>
        <w:t> </w:t>
      </w:r>
      <w:r>
        <w:rPr>
          <w:color w:val="010101"/>
          <w:w w:val="305"/>
          <w:sz w:val="16"/>
        </w:rPr>
        <w:t>-</w:t>
      </w:r>
      <w:r>
        <w:rPr>
          <w:color w:val="010101"/>
          <w:spacing w:val="-83"/>
          <w:w w:val="305"/>
          <w:sz w:val="16"/>
        </w:rPr>
        <w:t> </w:t>
      </w:r>
      <w:r>
        <w:rPr>
          <w:rFonts w:ascii="Arial" w:hAnsi="Arial"/>
          <w:b/>
          <w:i/>
          <w:color w:val="010101"/>
          <w:w w:val="85"/>
          <w:sz w:val="13"/>
        </w:rPr>
        <w:t>V    </w:t>
      </w:r>
      <w:r>
        <w:rPr>
          <w:b/>
          <w:color w:val="010101"/>
          <w:sz w:val="16"/>
        </w:rPr>
        <w:t>'</w:t>
      </w:r>
      <w:r>
        <w:rPr>
          <w:b/>
          <w:color w:val="010101"/>
          <w:spacing w:val="-24"/>
          <w:sz w:val="16"/>
        </w:rPr>
        <w:t> </w:t>
      </w:r>
      <w:r>
        <w:rPr>
          <w:b/>
          <w:color w:val="010101"/>
          <w:w w:val="85"/>
          <w:sz w:val="16"/>
        </w:rPr>
        <w:t>l6'/:1J</w:t>
        <w:tab/>
      </w:r>
      <w:r>
        <w:rPr>
          <w:b/>
          <w:color w:val="010101"/>
          <w:sz w:val="20"/>
        </w:rPr>
        <w:t>a¡¡(A </w:t>
      </w:r>
      <w:r>
        <w:rPr>
          <w:b/>
          <w:color w:val="010101"/>
          <w:w w:val="85"/>
          <w:sz w:val="20"/>
        </w:rPr>
        <w:t>z:20/ </w:t>
      </w:r>
      <w:r>
        <w:rPr>
          <w:color w:val="010101"/>
          <w:w w:val="245"/>
          <w:sz w:val="20"/>
        </w:rPr>
        <w:t>-</w:t>
      </w:r>
      <w:r>
        <w:rPr>
          <w:color w:val="010101"/>
          <w:spacing w:val="-107"/>
          <w:w w:val="245"/>
          <w:sz w:val="20"/>
        </w:rPr>
        <w:t> </w:t>
      </w:r>
      <w:r>
        <w:rPr>
          <w:b/>
          <w:color w:val="010101"/>
          <w:sz w:val="16"/>
        </w:rPr>
        <w:t>Á.r:I6j)</w:t>
      </w:r>
    </w:p>
    <w:p>
      <w:pPr>
        <w:pStyle w:val="BodyText"/>
        <w:spacing w:before="11"/>
        <w:rPr>
          <w:b/>
          <w:sz w:val="17"/>
        </w:rPr>
      </w:pPr>
    </w:p>
    <w:p>
      <w:pPr>
        <w:tabs>
          <w:tab w:pos="1076" w:val="left" w:leader="none"/>
          <w:tab w:pos="2017" w:val="left" w:leader="none"/>
          <w:tab w:pos="2713" w:val="left" w:leader="none"/>
        </w:tabs>
        <w:spacing w:line="189" w:lineRule="exact" w:before="0"/>
        <w:ind w:left="0" w:right="632" w:firstLine="0"/>
        <w:jc w:val="center"/>
        <w:rPr>
          <w:sz w:val="11"/>
        </w:rPr>
      </w:pPr>
      <w:r>
        <w:rPr/>
        <w:pict>
          <v:shape style="position:absolute;margin-left:127.238297pt;margin-top:4.685956pt;width:9.35pt;height:15.5pt;mso-position-horizontal-relative:page;mso-position-vertical-relative:paragraph;z-index:-707008" type="#_x0000_t202" filled="false" stroked="false">
            <v:textbox inset="0,0,0,0">
              <w:txbxContent>
                <w:p>
                  <w:pPr>
                    <w:spacing w:line="310" w:lineRule="exact" w:before="0"/>
                    <w:ind w:left="0" w:right="0" w:firstLine="0"/>
                    <w:jc w:val="left"/>
                    <w:rPr>
                      <w:rFonts w:ascii="Arial"/>
                      <w:sz w:val="31"/>
                    </w:rPr>
                  </w:pPr>
                  <w:r>
                    <w:rPr>
                      <w:rFonts w:ascii="Arial"/>
                      <w:color w:val="010101"/>
                      <w:w w:val="102"/>
                      <w:sz w:val="31"/>
                    </w:rPr>
                    <w:t>+</w:t>
                  </w:r>
                </w:p>
              </w:txbxContent>
            </v:textbox>
            <w10:wrap type="none"/>
          </v:shape>
        </w:pict>
      </w:r>
      <w:r>
        <w:rPr>
          <w:color w:val="010101"/>
          <w:w w:val="135"/>
          <w:sz w:val="20"/>
        </w:rPr>
        <w:t>1</w:t>
        <w:tab/>
      </w:r>
      <w:r>
        <w:rPr>
          <w:color w:val="010101"/>
          <w:w w:val="135"/>
          <w:sz w:val="11"/>
        </w:rPr>
        <w:t>1</w:t>
        <w:tab/>
        <w:t>(12)</w:t>
        <w:tab/>
        <w:t>(12)</w:t>
      </w:r>
    </w:p>
    <w:p>
      <w:pPr>
        <w:tabs>
          <w:tab w:pos="2150" w:val="left" w:leader="none"/>
        </w:tabs>
        <w:spacing w:line="179" w:lineRule="exact" w:before="0"/>
        <w:ind w:left="129" w:right="0" w:firstLine="0"/>
        <w:jc w:val="left"/>
        <w:rPr>
          <w:sz w:val="21"/>
        </w:rPr>
      </w:pPr>
      <w:r>
        <w:rPr>
          <w:color w:val="010101"/>
          <w:spacing w:val="-40"/>
          <w:w w:val="109"/>
          <w:sz w:val="21"/>
        </w:rPr>
        <w:t>1</w:t>
      </w:r>
      <w:r>
        <w:rPr>
          <w:color w:val="010101"/>
          <w:w w:val="103"/>
          <w:sz w:val="21"/>
        </w:rPr>
        <w:t>8.</w:t>
      </w:r>
      <w:r>
        <w:rPr>
          <w:color w:val="010101"/>
          <w:sz w:val="21"/>
        </w:rPr>
        <w:t> </w:t>
      </w:r>
      <w:r>
        <w:rPr>
          <w:color w:val="010101"/>
          <w:spacing w:val="16"/>
          <w:sz w:val="21"/>
        </w:rPr>
        <w:t> </w:t>
      </w:r>
      <w:r>
        <w:rPr>
          <w:color w:val="010101"/>
          <w:w w:val="98"/>
          <w:sz w:val="21"/>
        </w:rPr>
        <w:t>-</w:t>
      </w:r>
      <w:r>
        <w:rPr>
          <w:color w:val="010101"/>
          <w:sz w:val="21"/>
        </w:rPr>
        <w:t> </w:t>
      </w:r>
      <w:r>
        <w:rPr>
          <w:color w:val="010101"/>
          <w:spacing w:val="-13"/>
          <w:sz w:val="21"/>
        </w:rPr>
        <w:t> </w:t>
      </w:r>
      <w:r>
        <w:rPr>
          <w:color w:val="010101"/>
          <w:spacing w:val="3"/>
          <w:w w:val="369"/>
          <w:sz w:val="21"/>
        </w:rPr>
        <w:t>-</w:t>
      </w:r>
      <w:r>
        <w:rPr>
          <w:color w:val="010101"/>
          <w:w w:val="75"/>
          <w:sz w:val="21"/>
        </w:rPr>
        <w:t>[IOOOA.r:iol</w:t>
      </w:r>
      <w:r>
        <w:rPr>
          <w:color w:val="010101"/>
          <w:sz w:val="21"/>
        </w:rPr>
        <w:tab/>
      </w:r>
      <w:r>
        <w:rPr>
          <w:color w:val="010101"/>
          <w:w w:val="89"/>
          <w:sz w:val="21"/>
        </w:rPr>
        <w:t>120(</w:t>
      </w:r>
      <w:r>
        <w:rPr>
          <w:color w:val="010101"/>
          <w:w w:val="88"/>
          <w:sz w:val="21"/>
        </w:rPr>
        <w:t>aioJ</w:t>
      </w:r>
      <w:r>
        <w:rPr>
          <w:color w:val="010101"/>
          <w:sz w:val="21"/>
        </w:rPr>
        <w:t>   </w:t>
      </w:r>
      <w:r>
        <w:rPr>
          <w:color w:val="010101"/>
          <w:spacing w:val="-25"/>
          <w:sz w:val="21"/>
        </w:rPr>
        <w:t> </w:t>
      </w:r>
      <w:r>
        <w:rPr>
          <w:color w:val="010101"/>
          <w:w w:val="267"/>
          <w:sz w:val="21"/>
        </w:rPr>
        <w:t>-</w:t>
      </w:r>
      <w:r>
        <w:rPr>
          <w:color w:val="010101"/>
          <w:sz w:val="21"/>
        </w:rPr>
        <w:t> </w:t>
      </w:r>
      <w:r>
        <w:rPr>
          <w:color w:val="010101"/>
          <w:w w:val="74"/>
          <w:sz w:val="21"/>
        </w:rPr>
        <w:t>a.r</w:t>
      </w:r>
      <w:r>
        <w:rPr>
          <w:color w:val="010101"/>
          <w:spacing w:val="-21"/>
          <w:sz w:val="21"/>
        </w:rPr>
        <w:t> </w:t>
      </w:r>
      <w:r>
        <w:rPr>
          <w:color w:val="232323"/>
          <w:spacing w:val="-23"/>
          <w:w w:val="75"/>
          <w:sz w:val="21"/>
        </w:rPr>
        <w:t>:</w:t>
      </w:r>
      <w:r>
        <w:rPr>
          <w:color w:val="010101"/>
          <w:w w:val="53"/>
          <w:sz w:val="21"/>
        </w:rPr>
        <w:t>"ioJ</w:t>
      </w:r>
      <w:r>
        <w:rPr>
          <w:color w:val="010101"/>
          <w:spacing w:val="-23"/>
          <w:sz w:val="21"/>
        </w:rPr>
        <w:t> </w:t>
      </w:r>
      <w:r>
        <w:rPr>
          <w:color w:val="010101"/>
          <w:w w:val="91"/>
          <w:sz w:val="21"/>
        </w:rPr>
        <w:t>))</w:t>
      </w:r>
    </w:p>
    <w:p>
      <w:pPr>
        <w:spacing w:line="139" w:lineRule="exact" w:before="0"/>
        <w:ind w:left="449" w:right="0" w:firstLine="0"/>
        <w:jc w:val="left"/>
        <w:rPr>
          <w:sz w:val="14"/>
        </w:rPr>
      </w:pPr>
      <w:r>
        <w:rPr>
          <w:color w:val="010101"/>
          <w:w w:val="105"/>
          <w:sz w:val="14"/>
        </w:rPr>
        <w:t>O.r:iol</w:t>
      </w:r>
    </w:p>
    <w:p>
      <w:pPr>
        <w:tabs>
          <w:tab w:pos="1593" w:val="left" w:leader="none"/>
          <w:tab w:pos="3535" w:val="left" w:leader="none"/>
        </w:tabs>
        <w:spacing w:before="53"/>
        <w:ind w:left="129" w:right="0" w:firstLine="0"/>
        <w:jc w:val="left"/>
        <w:rPr>
          <w:rFonts w:ascii="Arial"/>
          <w:i/>
          <w:sz w:val="24"/>
        </w:rPr>
      </w:pPr>
      <w:r>
        <w:rPr>
          <w:color w:val="010101"/>
          <w:spacing w:val="-40"/>
          <w:w w:val="128"/>
          <w:sz w:val="19"/>
        </w:rPr>
        <w:t>1</w:t>
      </w:r>
      <w:r>
        <w:rPr>
          <w:color w:val="010101"/>
          <w:w w:val="107"/>
          <w:sz w:val="19"/>
        </w:rPr>
        <w:t>9.</w:t>
      </w:r>
      <w:r>
        <w:rPr>
          <w:color w:val="010101"/>
          <w:sz w:val="19"/>
        </w:rPr>
        <w:t> </w:t>
      </w:r>
      <w:r>
        <w:rPr>
          <w:color w:val="010101"/>
          <w:spacing w:val="-7"/>
          <w:sz w:val="19"/>
        </w:rPr>
        <w:t> </w:t>
      </w:r>
      <w:r>
        <w:rPr>
          <w:rFonts w:ascii="Arial"/>
          <w:i/>
          <w:color w:val="010101"/>
          <w:w w:val="101"/>
          <w:sz w:val="20"/>
        </w:rPr>
        <w:t>A</w:t>
      </w:r>
      <w:r>
        <w:rPr>
          <w:rFonts w:ascii="Arial"/>
          <w:i/>
          <w:color w:val="010101"/>
          <w:sz w:val="20"/>
        </w:rPr>
        <w:t> </w:t>
      </w:r>
      <w:r>
        <w:rPr>
          <w:rFonts w:ascii="Arial"/>
          <w:i/>
          <w:color w:val="010101"/>
          <w:spacing w:val="4"/>
          <w:sz w:val="20"/>
        </w:rPr>
        <w:t> </w:t>
      </w:r>
      <w:r>
        <w:rPr>
          <w:rFonts w:ascii="Arial"/>
          <w:color w:val="010101"/>
          <w:w w:val="66"/>
          <w:sz w:val="26"/>
        </w:rPr>
        <w:t>=:</w:t>
      </w:r>
      <w:r>
        <w:rPr>
          <w:rFonts w:ascii="Arial"/>
          <w:color w:val="010101"/>
          <w:sz w:val="26"/>
        </w:rPr>
        <w:tab/>
      </w:r>
      <w:r>
        <w:rPr>
          <w:i/>
          <w:color w:val="010101"/>
          <w:w w:val="92"/>
          <w:sz w:val="22"/>
          <w:u w:val="thick" w:color="000000"/>
        </w:rPr>
        <w:t>K</w:t>
      </w:r>
      <w:r>
        <w:rPr>
          <w:i/>
          <w:color w:val="010101"/>
          <w:spacing w:val="-9"/>
          <w:sz w:val="22"/>
          <w:u w:val="thick" w:color="000000"/>
        </w:rPr>
        <w:t> </w:t>
      </w:r>
      <w:r>
        <w:rPr>
          <w:i/>
          <w:color w:val="010101"/>
          <w:w w:val="58"/>
          <w:sz w:val="22"/>
          <w:u w:val="thick" w:color="000000"/>
        </w:rPr>
        <w:t>(</w:t>
      </w:r>
      <w:r>
        <w:rPr>
          <w:i/>
          <w:color w:val="010101"/>
          <w:spacing w:val="-34"/>
          <w:sz w:val="22"/>
          <w:u w:val="thick" w:color="000000"/>
        </w:rPr>
        <w:t> </w:t>
      </w:r>
      <w:r>
        <w:rPr>
          <w:i/>
          <w:color w:val="010101"/>
          <w:w w:val="88"/>
          <w:sz w:val="22"/>
          <w:u w:val="thick" w:color="000000"/>
        </w:rPr>
        <w:t>N</w:t>
      </w:r>
      <w:r>
        <w:rPr>
          <w:i/>
          <w:color w:val="010101"/>
          <w:spacing w:val="-18"/>
          <w:sz w:val="22"/>
          <w:u w:val="thick" w:color="000000"/>
        </w:rPr>
        <w:t> </w:t>
      </w:r>
      <w:r>
        <w:rPr>
          <w:i/>
          <w:color w:val="010101"/>
          <w:w w:val="117"/>
          <w:sz w:val="22"/>
          <w:u w:val="thick" w:color="000000"/>
        </w:rPr>
        <w:t>z</w:t>
      </w:r>
      <w:r>
        <w:rPr>
          <w:i/>
          <w:color w:val="010101"/>
          <w:spacing w:val="-19"/>
          <w:w w:val="117"/>
          <w:sz w:val="22"/>
          <w:u w:val="thick" w:color="000000"/>
        </w:rPr>
        <w:t>:</w:t>
      </w:r>
      <w:r>
        <w:rPr>
          <w:i/>
          <w:color w:val="010101"/>
          <w:w w:val="57"/>
          <w:sz w:val="22"/>
          <w:u w:val="thick" w:color="000000"/>
        </w:rPr>
        <w:t>1</w:t>
      </w:r>
      <w:r>
        <w:rPr>
          <w:i/>
          <w:color w:val="010101"/>
          <w:spacing w:val="-16"/>
          <w:sz w:val="22"/>
          <w:u w:val="thick" w:color="000000"/>
        </w:rPr>
        <w:t> </w:t>
      </w:r>
      <w:r>
        <w:rPr>
          <w:i/>
          <w:color w:val="010101"/>
          <w:spacing w:val="-25"/>
          <w:sz w:val="22"/>
        </w:rPr>
        <w:t> </w:t>
      </w:r>
      <w:r>
        <w:rPr>
          <w:rFonts w:ascii="Arial"/>
          <w:color w:val="010101"/>
          <w:w w:val="105"/>
          <w:sz w:val="31"/>
          <w:u w:val="thick" w:color="000000"/>
        </w:rPr>
        <w:t>+</w:t>
      </w:r>
      <w:r>
        <w:rPr>
          <w:rFonts w:ascii="Arial"/>
          <w:color w:val="010101"/>
          <w:spacing w:val="-20"/>
          <w:sz w:val="31"/>
          <w:u w:val="thick" w:color="000000"/>
        </w:rPr>
        <w:t> </w:t>
      </w:r>
      <w:r>
        <w:rPr>
          <w:i/>
          <w:color w:val="010101"/>
          <w:w w:val="97"/>
          <w:sz w:val="22"/>
          <w:u w:val="thick" w:color="000000"/>
        </w:rPr>
        <w:t>%D</w:t>
      </w:r>
      <w:r>
        <w:rPr>
          <w:i/>
          <w:color w:val="010101"/>
          <w:w w:val="97"/>
          <w:sz w:val="22"/>
          <w:u w:val="thick" w:color="000000"/>
        </w:rPr>
        <w:t>z</w:t>
      </w:r>
      <w:r>
        <w:rPr>
          <w:i/>
          <w:color w:val="010101"/>
          <w:spacing w:val="23"/>
          <w:sz w:val="22"/>
          <w:u w:val="thick" w:color="000000"/>
        </w:rPr>
        <w:t> </w:t>
      </w:r>
      <w:r>
        <w:rPr>
          <w:rFonts w:ascii="Arial"/>
          <w:color w:val="010101"/>
          <w:w w:val="105"/>
          <w:sz w:val="31"/>
          <w:u w:val="thick" w:color="000000"/>
        </w:rPr>
        <w:t>+</w:t>
      </w:r>
      <w:r>
        <w:rPr>
          <w:rFonts w:ascii="Arial"/>
          <w:color w:val="010101"/>
          <w:sz w:val="31"/>
          <w:u w:val="thick" w:color="000000"/>
        </w:rPr>
        <w:tab/>
      </w:r>
      <w:r>
        <w:rPr>
          <w:rFonts w:ascii="Arial"/>
          <w:i/>
          <w:color w:val="010101"/>
          <w:w w:val="102"/>
          <w:sz w:val="24"/>
          <w:u w:val="thick" w:color="000000"/>
        </w:rPr>
        <w:t>M</w:t>
      </w:r>
      <w:r>
        <w:rPr>
          <w:rFonts w:ascii="Arial"/>
          <w:i/>
          <w:color w:val="010101"/>
          <w:spacing w:val="-45"/>
          <w:w w:val="102"/>
          <w:sz w:val="24"/>
          <w:u w:val="thick" w:color="000000"/>
        </w:rPr>
        <w:t>,</w:t>
      </w:r>
      <w:r>
        <w:rPr>
          <w:rFonts w:ascii="Arial"/>
          <w:i/>
          <w:color w:val="010101"/>
          <w:w w:val="91"/>
          <w:sz w:val="24"/>
          <w:u w:val="thick" w:color="000000"/>
        </w:rPr>
        <w:t>:</w:t>
      </w:r>
      <w:r>
        <w:rPr>
          <w:rFonts w:ascii="Arial"/>
          <w:i/>
          <w:color w:val="010101"/>
          <w:w w:val="91"/>
          <w:sz w:val="24"/>
          <w:u w:val="thick" w:color="000000"/>
        </w:rPr>
        <w:t>)</w:t>
      </w:r>
    </w:p>
    <w:p>
      <w:pPr>
        <w:spacing w:before="57"/>
        <w:ind w:left="104" w:right="0" w:firstLine="0"/>
        <w:jc w:val="left"/>
        <w:rPr>
          <w:sz w:val="20"/>
        </w:rPr>
      </w:pPr>
      <w:r>
        <w:rPr/>
        <w:br w:type="column"/>
      </w:r>
      <w:r>
        <w:rPr>
          <w:color w:val="010101"/>
          <w:w w:val="110"/>
          <w:sz w:val="20"/>
        </w:rPr>
        <w:t>361</w:t>
      </w:r>
    </w:p>
    <w:p>
      <w:pPr>
        <w:spacing w:after="0"/>
        <w:jc w:val="left"/>
        <w:rPr>
          <w:sz w:val="20"/>
        </w:rPr>
        <w:sectPr>
          <w:pgSz w:w="7200" w:h="11340"/>
          <w:pgMar w:top="500" w:bottom="280" w:left="660" w:right="580"/>
          <w:cols w:num="2" w:equalWidth="0">
            <w:col w:w="4833" w:space="601"/>
            <w:col w:w="526"/>
          </w:cols>
        </w:sectPr>
      </w:pPr>
    </w:p>
    <w:p>
      <w:pPr>
        <w:spacing w:line="436" w:lineRule="exact" w:before="0"/>
        <w:ind w:left="926" w:right="-7" w:firstLine="0"/>
        <w:jc w:val="left"/>
        <w:rPr>
          <w:sz w:val="20"/>
        </w:rPr>
      </w:pPr>
      <w:r>
        <w:rPr/>
        <w:pict>
          <v:shape style="position:absolute;margin-left:148.594193pt;margin-top:6.106409pt;width:6.6pt;height:10pt;mso-position-horizontal-relative:page;mso-position-vertical-relative:paragraph;z-index:-706984" type="#_x0000_t202" filled="false" stroked="false">
            <v:textbox inset="0,0,0,0">
              <w:txbxContent>
                <w:p>
                  <w:pPr>
                    <w:pStyle w:val="BodyText"/>
                    <w:spacing w:line="200" w:lineRule="exact"/>
                  </w:pPr>
                  <w:r>
                    <w:rPr>
                      <w:color w:val="010101"/>
                      <w:w w:val="196"/>
                    </w:rPr>
                    <w:t>)</w:t>
                  </w:r>
                </w:p>
              </w:txbxContent>
            </v:textbox>
            <w10:wrap type="none"/>
          </v:shape>
        </w:pict>
      </w:r>
      <w:r>
        <w:rPr>
          <w:rFonts w:ascii="Arial"/>
          <w:i/>
          <w:color w:val="010101"/>
          <w:w w:val="120"/>
          <w:sz w:val="21"/>
        </w:rPr>
        <w:t>D. </w:t>
      </w:r>
      <w:r>
        <w:rPr>
          <w:rFonts w:ascii="Arial"/>
          <w:color w:val="010101"/>
          <w:w w:val="225"/>
          <w:sz w:val="21"/>
        </w:rPr>
        <w:t>-</w:t>
      </w:r>
      <w:r>
        <w:rPr>
          <w:rFonts w:ascii="Arial"/>
          <w:color w:val="010101"/>
          <w:spacing w:val="-75"/>
          <w:w w:val="225"/>
          <w:sz w:val="21"/>
        </w:rPr>
        <w:t> </w:t>
      </w:r>
      <w:r>
        <w:rPr>
          <w:rFonts w:ascii="Arial"/>
          <w:color w:val="010101"/>
          <w:spacing w:val="-13"/>
          <w:w w:val="170"/>
          <w:sz w:val="21"/>
        </w:rPr>
        <w:t>(</w:t>
      </w:r>
      <w:r>
        <w:rPr>
          <w:color w:val="010101"/>
          <w:spacing w:val="-13"/>
          <w:w w:val="170"/>
          <w:sz w:val="20"/>
        </w:rPr>
        <w:t>1 </w:t>
      </w:r>
      <w:r>
        <w:rPr>
          <w:rFonts w:ascii="Arial"/>
          <w:color w:val="010101"/>
          <w:w w:val="120"/>
          <w:sz w:val="32"/>
        </w:rPr>
        <w:t>+ </w:t>
      </w:r>
      <w:r>
        <w:rPr>
          <w:color w:val="010101"/>
          <w:spacing w:val="-19"/>
          <w:w w:val="120"/>
          <w:position w:val="-10"/>
          <w:sz w:val="20"/>
        </w:rPr>
        <w:t>100</w:t>
      </w:r>
    </w:p>
    <w:p>
      <w:pPr>
        <w:spacing w:before="86"/>
        <w:ind w:left="15" w:right="0" w:firstLine="0"/>
        <w:jc w:val="left"/>
        <w:rPr>
          <w:sz w:val="20"/>
        </w:rPr>
      </w:pPr>
      <w:r>
        <w:rPr/>
        <w:br w:type="column"/>
      </w:r>
      <w:r>
        <w:rPr>
          <w:rFonts w:ascii="Arial"/>
          <w:color w:val="010101"/>
          <w:w w:val="130"/>
          <w:sz w:val="19"/>
        </w:rPr>
        <w:t>[</w:t>
      </w:r>
      <w:r>
        <w:rPr>
          <w:rFonts w:ascii="Arial"/>
          <w:color w:val="010101"/>
          <w:spacing w:val="-33"/>
          <w:w w:val="130"/>
          <w:sz w:val="19"/>
        </w:rPr>
        <w:t>M</w:t>
      </w:r>
      <w:r>
        <w:rPr>
          <w:rFonts w:ascii="Arial"/>
          <w:color w:val="010101"/>
          <w:spacing w:val="-40"/>
          <w:w w:val="374"/>
          <w:sz w:val="19"/>
        </w:rPr>
        <w:t>.</w:t>
      </w:r>
      <w:r>
        <w:rPr>
          <w:rFonts w:ascii="Arial"/>
          <w:color w:val="010101"/>
          <w:w w:val="275"/>
          <w:sz w:val="19"/>
        </w:rPr>
        <w:t>-</w:t>
      </w:r>
      <w:r>
        <w:rPr>
          <w:rFonts w:ascii="Arial"/>
          <w:color w:val="010101"/>
          <w:spacing w:val="9"/>
          <w:sz w:val="19"/>
        </w:rPr>
        <w:t> </w:t>
      </w:r>
      <w:r>
        <w:rPr>
          <w:rFonts w:ascii="Arial"/>
          <w:i/>
          <w:color w:val="010101"/>
          <w:w w:val="108"/>
          <w:sz w:val="21"/>
        </w:rPr>
        <w:t>%</w:t>
      </w:r>
      <w:r>
        <w:rPr>
          <w:rFonts w:ascii="Arial"/>
          <w:i/>
          <w:color w:val="010101"/>
          <w:w w:val="108"/>
          <w:sz w:val="21"/>
        </w:rPr>
        <w:t>(</w:t>
      </w:r>
      <w:r>
        <w:rPr>
          <w:rFonts w:ascii="Arial"/>
          <w:i/>
          <w:color w:val="010101"/>
          <w:spacing w:val="-30"/>
          <w:sz w:val="21"/>
        </w:rPr>
        <w:t> </w:t>
      </w:r>
      <w:r>
        <w:rPr>
          <w:rFonts w:ascii="Arial"/>
          <w:i/>
          <w:color w:val="010101"/>
          <w:w w:val="113"/>
          <w:sz w:val="21"/>
        </w:rPr>
        <w:t>R.</w:t>
      </w:r>
      <w:r>
        <w:rPr>
          <w:rFonts w:ascii="Arial"/>
          <w:i/>
          <w:color w:val="010101"/>
          <w:spacing w:val="-4"/>
          <w:sz w:val="21"/>
        </w:rPr>
        <w:t> </w:t>
      </w:r>
      <w:r>
        <w:rPr>
          <w:rFonts w:ascii="Arial"/>
          <w:color w:val="010101"/>
          <w:w w:val="248"/>
          <w:sz w:val="21"/>
        </w:rPr>
        <w:t>-</w:t>
      </w:r>
      <w:r>
        <w:rPr>
          <w:rFonts w:ascii="Arial"/>
          <w:color w:val="010101"/>
          <w:spacing w:val="11"/>
          <w:sz w:val="21"/>
        </w:rPr>
        <w:t> </w:t>
      </w:r>
      <w:r>
        <w:rPr>
          <w:color w:val="010101"/>
          <w:w w:val="120"/>
          <w:sz w:val="20"/>
        </w:rPr>
        <w:t>R,</w:t>
      </w:r>
      <w:r>
        <w:rPr>
          <w:color w:val="010101"/>
          <w:w w:val="85"/>
          <w:sz w:val="20"/>
        </w:rPr>
        <w:t>+1</w:t>
      </w:r>
      <w:r>
        <w:rPr>
          <w:color w:val="010101"/>
          <w:w w:val="85"/>
          <w:sz w:val="20"/>
        </w:rPr>
        <w:t>))</w:t>
      </w:r>
    </w:p>
    <w:p>
      <w:pPr>
        <w:spacing w:after="0"/>
        <w:jc w:val="left"/>
        <w:rPr>
          <w:sz w:val="20"/>
        </w:rPr>
        <w:sectPr>
          <w:type w:val="continuous"/>
          <w:pgSz w:w="7200" w:h="11340"/>
          <w:pgMar w:top="1100" w:bottom="0" w:left="660" w:right="580"/>
          <w:cols w:num="2" w:equalWidth="0">
            <w:col w:w="2444" w:space="40"/>
            <w:col w:w="3476"/>
          </w:cols>
        </w:sectPr>
      </w:pPr>
    </w:p>
    <w:p>
      <w:pPr>
        <w:tabs>
          <w:tab w:pos="965" w:val="left" w:leader="none"/>
          <w:tab w:pos="1766" w:val="left" w:leader="none"/>
          <w:tab w:pos="2914" w:val="left" w:leader="none"/>
          <w:tab w:pos="3216" w:val="left" w:leader="none"/>
        </w:tabs>
        <w:spacing w:line="207" w:lineRule="exact" w:before="108"/>
        <w:ind w:left="459" w:right="0" w:firstLine="0"/>
        <w:jc w:val="left"/>
        <w:rPr>
          <w:sz w:val="12"/>
        </w:rPr>
      </w:pPr>
      <w:r>
        <w:rPr/>
        <w:pict>
          <v:shape style="position:absolute;margin-left:149.671005pt;margin-top:10.66004pt;width:9.8pt;height:15.5pt;mso-position-horizontal-relative:page;mso-position-vertical-relative:paragraph;z-index:-706960" type="#_x0000_t202" filled="false" stroked="false">
            <v:textbox inset="0,0,0,0">
              <w:txbxContent>
                <w:p>
                  <w:pPr>
                    <w:spacing w:line="310" w:lineRule="exact" w:before="0"/>
                    <w:ind w:left="0" w:right="0" w:firstLine="0"/>
                    <w:jc w:val="left"/>
                    <w:rPr>
                      <w:rFonts w:ascii="Arial"/>
                      <w:sz w:val="31"/>
                    </w:rPr>
                  </w:pPr>
                  <w:r>
                    <w:rPr>
                      <w:rFonts w:ascii="Arial"/>
                      <w:color w:val="010101"/>
                      <w:w w:val="107"/>
                      <w:sz w:val="31"/>
                    </w:rPr>
                    <w:t>+</w:t>
                  </w:r>
                </w:p>
              </w:txbxContent>
            </v:textbox>
            <w10:wrap type="none"/>
          </v:shape>
        </w:pict>
      </w:r>
      <w:r>
        <w:rPr>
          <w:b/>
          <w:color w:val="010101"/>
          <w:w w:val="115"/>
          <w:sz w:val="19"/>
          <w:u w:val="single" w:color="000000"/>
        </w:rPr>
        <w:t>100</w:t>
      </w:r>
      <w:r>
        <w:rPr>
          <w:b/>
          <w:color w:val="010101"/>
          <w:w w:val="115"/>
          <w:sz w:val="19"/>
        </w:rPr>
        <w:tab/>
      </w:r>
      <w:r>
        <w:rPr>
          <w:color w:val="010101"/>
          <w:w w:val="155"/>
          <w:sz w:val="12"/>
        </w:rPr>
        <w:t>-1</w:t>
      </w:r>
      <w:r>
        <w:rPr>
          <w:color w:val="010101"/>
          <w:spacing w:val="-10"/>
          <w:w w:val="155"/>
          <w:sz w:val="12"/>
        </w:rPr>
        <w:t> </w:t>
      </w:r>
      <w:r>
        <w:rPr>
          <w:color w:val="010101"/>
          <w:w w:val="95"/>
          <w:sz w:val="12"/>
        </w:rPr>
        <w:t>_</w:t>
        <w:tab/>
        <w:t>20</w:t>
        <w:tab/>
        <w:t>_</w:t>
        <w:tab/>
      </w:r>
      <w:r>
        <w:rPr>
          <w:i/>
          <w:color w:val="010101"/>
          <w:w w:val="95"/>
          <w:sz w:val="22"/>
        </w:rPr>
        <w:t>Dz+lO </w:t>
      </w:r>
      <w:r>
        <w:rPr>
          <w:color w:val="010101"/>
          <w:w w:val="115"/>
          <w:sz w:val="22"/>
        </w:rPr>
        <w:t>-</w:t>
      </w:r>
      <w:r>
        <w:rPr>
          <w:color w:val="010101"/>
          <w:spacing w:val="18"/>
          <w:w w:val="115"/>
          <w:sz w:val="22"/>
        </w:rPr>
        <w:t> </w:t>
      </w:r>
      <w:r>
        <w:rPr>
          <w:color w:val="010101"/>
          <w:w w:val="115"/>
          <w:sz w:val="12"/>
        </w:rPr>
        <w:t>1</w:t>
      </w:r>
    </w:p>
    <w:p>
      <w:pPr>
        <w:tabs>
          <w:tab w:pos="822" w:val="left" w:leader="none"/>
          <w:tab w:pos="2598" w:val="left" w:leader="none"/>
        </w:tabs>
        <w:spacing w:line="195" w:lineRule="exact" w:before="0"/>
        <w:ind w:left="108" w:right="0" w:firstLine="0"/>
        <w:jc w:val="left"/>
        <w:rPr>
          <w:sz w:val="17"/>
        </w:rPr>
      </w:pPr>
      <w:r>
        <w:rPr/>
        <w:pict>
          <v:line style="position:absolute;mso-position-horizontal-relative:page;mso-position-vertical-relative:paragraph;z-index:29008" from="226.480606pt,10.003664pt" to="252.502506pt,10.003664pt" stroked="true" strokeweight="5.024925pt" strokecolor="#000000">
            <w10:wrap type="none"/>
          </v:line>
        </w:pict>
      </w:r>
      <w:r>
        <w:rPr>
          <w:color w:val="010101"/>
          <w:w w:val="94"/>
          <w:sz w:val="21"/>
        </w:rPr>
        <w:t>20.</w:t>
      </w:r>
      <w:r>
        <w:rPr>
          <w:color w:val="010101"/>
          <w:sz w:val="21"/>
        </w:rPr>
        <w:tab/>
      </w:r>
      <w:r>
        <w:rPr>
          <w:color w:val="010101"/>
          <w:w w:val="86"/>
          <w:sz w:val="21"/>
        </w:rPr>
        <w:t>(</w:t>
      </w:r>
      <w:r>
        <w:rPr>
          <w:color w:val="010101"/>
          <w:spacing w:val="-35"/>
          <w:sz w:val="21"/>
        </w:rPr>
        <w:t> </w:t>
      </w:r>
      <w:r>
        <w:rPr>
          <w:color w:val="010101"/>
          <w:w w:val="78"/>
          <w:sz w:val="21"/>
        </w:rPr>
        <w:t>A.r:tol</w:t>
      </w:r>
      <w:r>
        <w:rPr>
          <w:color w:val="010101"/>
          <w:sz w:val="21"/>
        </w:rPr>
        <w:t> </w:t>
      </w:r>
      <w:r>
        <w:rPr>
          <w:color w:val="010101"/>
          <w:spacing w:val="6"/>
          <w:sz w:val="21"/>
        </w:rPr>
        <w:t> </w:t>
      </w:r>
      <w:r>
        <w:rPr>
          <w:color w:val="010101"/>
          <w:w w:val="260"/>
          <w:sz w:val="21"/>
        </w:rPr>
        <w:t>-</w:t>
      </w:r>
      <w:r>
        <w:rPr>
          <w:color w:val="010101"/>
          <w:spacing w:val="1"/>
          <w:sz w:val="21"/>
        </w:rPr>
        <w:t> </w:t>
      </w:r>
      <w:r>
        <w:rPr>
          <w:i/>
          <w:color w:val="010101"/>
          <w:w w:val="87"/>
          <w:sz w:val="14"/>
        </w:rPr>
        <w:t>V</w:t>
      </w:r>
      <w:r>
        <w:rPr>
          <w:i/>
          <w:color w:val="010101"/>
          <w:sz w:val="14"/>
        </w:rPr>
        <w:t>  </w:t>
      </w:r>
      <w:r>
        <w:rPr>
          <w:i/>
          <w:color w:val="010101"/>
          <w:spacing w:val="17"/>
          <w:sz w:val="14"/>
        </w:rPr>
        <w:t> </w:t>
      </w:r>
      <w:r>
        <w:rPr>
          <w:color w:val="010101"/>
          <w:w w:val="66"/>
          <w:sz w:val="17"/>
        </w:rPr>
        <w:t>1&lt;</w:t>
      </w:r>
      <w:r>
        <w:rPr>
          <w:color w:val="010101"/>
          <w:spacing w:val="-53"/>
          <w:w w:val="67"/>
          <w:sz w:val="17"/>
        </w:rPr>
        <w:t>1</w:t>
      </w:r>
      <w:r>
        <w:rPr>
          <w:color w:val="010101"/>
          <w:w w:val="157"/>
          <w:sz w:val="17"/>
        </w:rPr>
        <w:t>b)</w:t>
      </w:r>
      <w:r>
        <w:rPr>
          <w:color w:val="010101"/>
          <w:sz w:val="17"/>
        </w:rPr>
        <w:tab/>
      </w:r>
      <w:r>
        <w:rPr>
          <w:color w:val="010101"/>
          <w:w w:val="80"/>
          <w:sz w:val="21"/>
        </w:rPr>
        <w:t>lOOaio]</w:t>
      </w:r>
      <w:r>
        <w:rPr>
          <w:color w:val="010101"/>
          <w:spacing w:val="15"/>
          <w:sz w:val="21"/>
        </w:rPr>
        <w:t> </w:t>
      </w:r>
      <w:r>
        <w:rPr>
          <w:color w:val="010101"/>
          <w:w w:val="186"/>
          <w:sz w:val="17"/>
        </w:rPr>
        <w:t>-n:-</w:t>
      </w:r>
      <w:r>
        <w:rPr>
          <w:color w:val="010101"/>
          <w:spacing w:val="-10"/>
          <w:sz w:val="17"/>
        </w:rPr>
        <w:t> </w:t>
      </w:r>
      <w:r>
        <w:rPr>
          <w:color w:val="010101"/>
          <w:w w:val="96"/>
          <w:sz w:val="17"/>
        </w:rPr>
        <w:t>Az+lO</w:t>
      </w:r>
      <w:r>
        <w:rPr>
          <w:color w:val="010101"/>
          <w:spacing w:val="-12"/>
          <w:sz w:val="17"/>
        </w:rPr>
        <w:t> </w:t>
      </w:r>
      <w:r>
        <w:rPr>
          <w:color w:val="232323"/>
          <w:spacing w:val="-9"/>
          <w:w w:val="94"/>
          <w:sz w:val="17"/>
        </w:rPr>
        <w:t>:</w:t>
      </w:r>
      <w:r>
        <w:rPr>
          <w:color w:val="010101"/>
          <w:w w:val="75"/>
          <w:sz w:val="17"/>
        </w:rPr>
        <w:t>IOj</w:t>
      </w:r>
    </w:p>
    <w:p>
      <w:pPr>
        <w:pStyle w:val="BodyText"/>
        <w:spacing w:before="6"/>
        <w:rPr>
          <w:sz w:val="15"/>
        </w:rPr>
      </w:pPr>
    </w:p>
    <w:p>
      <w:pPr>
        <w:spacing w:after="0"/>
        <w:rPr>
          <w:sz w:val="15"/>
        </w:rPr>
        <w:sectPr>
          <w:type w:val="continuous"/>
          <w:pgSz w:w="7200" w:h="11340"/>
          <w:pgMar w:top="1100" w:bottom="0" w:left="660" w:right="580"/>
        </w:sectPr>
      </w:pPr>
    </w:p>
    <w:p>
      <w:pPr>
        <w:spacing w:line="311" w:lineRule="exact" w:before="78"/>
        <w:ind w:left="825" w:right="-13" w:firstLine="0"/>
        <w:jc w:val="left"/>
        <w:rPr>
          <w:rFonts w:ascii="Courier New"/>
          <w:sz w:val="13"/>
        </w:rPr>
      </w:pPr>
      <w:r>
        <w:rPr>
          <w:i/>
          <w:color w:val="010101"/>
          <w:w w:val="95"/>
          <w:sz w:val="19"/>
        </w:rPr>
        <w:t>ak,e </w:t>
      </w:r>
      <w:r>
        <w:rPr>
          <w:rFonts w:ascii="Arial"/>
          <w:color w:val="010101"/>
          <w:w w:val="120"/>
          <w:sz w:val="31"/>
        </w:rPr>
        <w:t>+</w:t>
      </w:r>
      <w:r>
        <w:rPr>
          <w:rFonts w:ascii="Arial"/>
          <w:color w:val="010101"/>
          <w:spacing w:val="-90"/>
          <w:w w:val="120"/>
          <w:sz w:val="31"/>
        </w:rPr>
        <w:t> </w:t>
      </w:r>
      <w:r>
        <w:rPr>
          <w:rFonts w:ascii="Courier New"/>
          <w:color w:val="010101"/>
          <w:spacing w:val="-195"/>
          <w:w w:val="220"/>
          <w:position w:val="3"/>
          <w:sz w:val="13"/>
        </w:rPr>
        <w:t>(</w:t>
      </w:r>
    </w:p>
    <w:p>
      <w:pPr>
        <w:tabs>
          <w:tab w:pos="1704" w:val="left" w:leader="none"/>
        </w:tabs>
        <w:spacing w:line="141" w:lineRule="exact" w:before="79"/>
        <w:ind w:left="817" w:right="0" w:firstLine="0"/>
        <w:jc w:val="left"/>
        <w:rPr>
          <w:i/>
          <w:sz w:val="16"/>
        </w:rPr>
      </w:pPr>
      <w:r>
        <w:rPr/>
        <w:br w:type="column"/>
      </w:r>
      <w:r>
        <w:rPr>
          <w:rFonts w:ascii="Courier New"/>
          <w:color w:val="010101"/>
          <w:spacing w:val="-5"/>
          <w:w w:val="115"/>
          <w:sz w:val="13"/>
        </w:rPr>
        <w:t>n-o</w:t>
        <w:tab/>
      </w:r>
      <w:r>
        <w:rPr>
          <w:i/>
          <w:color w:val="010101"/>
          <w:w w:val="115"/>
          <w:sz w:val="16"/>
        </w:rPr>
        <w:t>[)z</w:t>
      </w:r>
    </w:p>
    <w:p>
      <w:pPr>
        <w:tabs>
          <w:tab w:pos="476" w:val="left" w:leader="none"/>
          <w:tab w:pos="1392" w:val="left" w:leader="none"/>
        </w:tabs>
        <w:spacing w:line="169" w:lineRule="exact" w:before="0"/>
        <w:ind w:left="60" w:right="0" w:firstLine="0"/>
        <w:jc w:val="left"/>
        <w:rPr>
          <w:i/>
          <w:sz w:val="19"/>
        </w:rPr>
      </w:pPr>
      <w:r>
        <w:rPr/>
        <w:pict>
          <v:shape style="position:absolute;margin-left:116.470596pt;margin-top:-5.128914pt;width:55.7pt;height:15.5pt;mso-position-horizontal-relative:page;mso-position-vertical-relative:paragraph;z-index:-706936" type="#_x0000_t202" filled="false" stroked="false">
            <v:textbox inset="0,0,0,0">
              <w:txbxContent>
                <w:p>
                  <w:pPr>
                    <w:tabs>
                      <w:tab w:pos="922" w:val="left" w:leader="none"/>
                    </w:tabs>
                    <w:spacing w:line="310" w:lineRule="exact" w:before="0"/>
                    <w:ind w:left="0" w:right="0" w:firstLine="0"/>
                    <w:jc w:val="left"/>
                    <w:rPr>
                      <w:rFonts w:ascii="Arial"/>
                      <w:sz w:val="31"/>
                    </w:rPr>
                  </w:pPr>
                  <w:r>
                    <w:rPr>
                      <w:rFonts w:ascii="Arial"/>
                      <w:color w:val="010101"/>
                      <w:w w:val="105"/>
                      <w:sz w:val="31"/>
                    </w:rPr>
                    <w:t>+</w:t>
                    <w:tab/>
                    <w:t>+</w:t>
                  </w:r>
                </w:p>
              </w:txbxContent>
            </v:textbox>
            <w10:wrap type="none"/>
          </v:shape>
        </w:pict>
      </w:r>
      <w:r>
        <w:rPr>
          <w:color w:val="010101"/>
          <w:w w:val="128"/>
          <w:sz w:val="20"/>
        </w:rPr>
        <w:t>1</w:t>
      </w:r>
      <w:r>
        <w:rPr>
          <w:color w:val="010101"/>
          <w:sz w:val="20"/>
        </w:rPr>
        <w:tab/>
      </w:r>
      <w:r>
        <w:rPr>
          <w:i/>
          <w:color w:val="010101"/>
          <w:w w:val="100"/>
          <w:sz w:val="19"/>
        </w:rPr>
        <w:t>k</w:t>
      </w:r>
      <w:r>
        <w:rPr>
          <w:i/>
          <w:color w:val="010101"/>
          <w:spacing w:val="-11"/>
          <w:sz w:val="19"/>
        </w:rPr>
        <w:t> </w:t>
      </w:r>
      <w:r>
        <w:rPr>
          <w:rFonts w:ascii="Courier New"/>
          <w:color w:val="010101"/>
          <w:spacing w:val="-58"/>
          <w:w w:val="248"/>
          <w:position w:val="3"/>
          <w:sz w:val="13"/>
        </w:rPr>
        <w:t>)</w:t>
      </w:r>
      <w:r>
        <w:rPr>
          <w:i/>
          <w:color w:val="010101"/>
          <w:w w:val="87"/>
          <w:sz w:val="14"/>
        </w:rPr>
        <w:t>V</w:t>
      </w:r>
      <w:r>
        <w:rPr>
          <w:i/>
          <w:color w:val="010101"/>
          <w:sz w:val="14"/>
        </w:rPr>
        <w:tab/>
      </w:r>
      <w:r>
        <w:rPr>
          <w:i/>
          <w:color w:val="010101"/>
          <w:w w:val="59"/>
          <w:sz w:val="21"/>
        </w:rPr>
        <w:t>gz;</w:t>
      </w:r>
      <w:r>
        <w:rPr>
          <w:i/>
          <w:color w:val="010101"/>
          <w:spacing w:val="7"/>
          <w:sz w:val="21"/>
        </w:rPr>
        <w:t> </w:t>
      </w:r>
      <w:r>
        <w:rPr>
          <w:i/>
          <w:color w:val="010101"/>
          <w:spacing w:val="-147"/>
          <w:w w:val="105"/>
          <w:sz w:val="19"/>
        </w:rPr>
        <w:t>D</w:t>
      </w:r>
      <w:r>
        <w:rPr>
          <w:i/>
          <w:color w:val="010101"/>
          <w:w w:val="600"/>
          <w:sz w:val="19"/>
        </w:rPr>
        <w:t>-</w:t>
      </w:r>
    </w:p>
    <w:p>
      <w:pPr>
        <w:spacing w:after="0" w:line="169" w:lineRule="exact"/>
        <w:jc w:val="left"/>
        <w:rPr>
          <w:sz w:val="19"/>
        </w:rPr>
        <w:sectPr>
          <w:type w:val="continuous"/>
          <w:pgSz w:w="7200" w:h="11340"/>
          <w:pgMar w:top="1100" w:bottom="0" w:left="660" w:right="580"/>
          <w:cols w:num="2" w:equalWidth="0">
            <w:col w:w="1404" w:space="40"/>
            <w:col w:w="4516"/>
          </w:cols>
        </w:sectPr>
      </w:pPr>
    </w:p>
    <w:p>
      <w:pPr>
        <w:spacing w:before="21"/>
        <w:ind w:left="108" w:right="-19" w:firstLine="0"/>
        <w:jc w:val="left"/>
        <w:rPr>
          <w:i/>
          <w:sz w:val="21"/>
        </w:rPr>
      </w:pPr>
      <w:r>
        <w:rPr>
          <w:color w:val="010101"/>
          <w:sz w:val="19"/>
        </w:rPr>
        <w:t>21.</w:t>
      </w:r>
      <w:r>
        <w:rPr>
          <w:color w:val="010101"/>
          <w:spacing w:val="-18"/>
          <w:sz w:val="19"/>
        </w:rPr>
        <w:t> </w:t>
      </w:r>
      <w:r>
        <w:rPr>
          <w:i/>
          <w:color w:val="010101"/>
          <w:w w:val="85"/>
          <w:sz w:val="21"/>
        </w:rPr>
        <w:t>13</w:t>
      </w:r>
    </w:p>
    <w:p>
      <w:pPr>
        <w:tabs>
          <w:tab w:pos="2383" w:val="left" w:leader="none"/>
        </w:tabs>
        <w:spacing w:line="125" w:lineRule="exact" w:before="0"/>
        <w:ind w:left="0" w:right="2286" w:firstLine="0"/>
        <w:jc w:val="center"/>
        <w:rPr>
          <w:i/>
          <w:sz w:val="14"/>
        </w:rPr>
      </w:pPr>
      <w:r>
        <w:rPr/>
        <w:br w:type="column"/>
      </w:r>
      <w:r>
        <w:rPr>
          <w:i/>
          <w:color w:val="010101"/>
          <w:sz w:val="14"/>
          <w:u w:val="single" w:color="000000"/>
        </w:rPr>
        <w:t> </w:t>
        <w:tab/>
      </w:r>
      <w:r>
        <w:rPr>
          <w:i/>
          <w:color w:val="010101"/>
          <w:w w:val="105"/>
          <w:sz w:val="14"/>
          <w:u w:val="single" w:color="000000"/>
        </w:rPr>
        <w:t>z+a</w:t>
      </w:r>
    </w:p>
    <w:p>
      <w:pPr>
        <w:spacing w:line="316" w:lineRule="exact" w:before="0"/>
        <w:ind w:left="0" w:right="2281" w:firstLine="0"/>
        <w:jc w:val="center"/>
        <w:rPr>
          <w:i/>
          <w:sz w:val="20"/>
        </w:rPr>
      </w:pPr>
      <w:r>
        <w:rPr>
          <w:color w:val="010101"/>
          <w:spacing w:val="-4"/>
          <w:sz w:val="17"/>
        </w:rPr>
        <w:t>8.r:a} </w:t>
      </w:r>
      <w:r>
        <w:rPr>
          <w:color w:val="010101"/>
          <w:sz w:val="29"/>
        </w:rPr>
        <w:t>+</w:t>
      </w:r>
      <w:r>
        <w:rPr>
          <w:color w:val="010101"/>
          <w:spacing w:val="-51"/>
          <w:sz w:val="29"/>
        </w:rPr>
        <w:t> </w:t>
      </w:r>
      <w:r>
        <w:rPr>
          <w:i/>
          <w:color w:val="010101"/>
          <w:sz w:val="20"/>
        </w:rPr>
        <w:t>ti;=;¡</w:t>
      </w:r>
    </w:p>
    <w:p>
      <w:pPr>
        <w:pStyle w:val="BodyText"/>
        <w:spacing w:before="99"/>
        <w:ind w:left="62"/>
      </w:pPr>
      <w:r>
        <w:rPr>
          <w:color w:val="010101"/>
          <w:w w:val="105"/>
        </w:rPr>
        <w:t>where </w:t>
      </w:r>
      <w:r>
        <w:rPr>
          <w:i/>
          <w:color w:val="010101"/>
          <w:w w:val="105"/>
          <w:sz w:val="19"/>
        </w:rPr>
        <w:t>a </w:t>
      </w:r>
      <w:r>
        <w:rPr>
          <w:color w:val="010101"/>
          <w:w w:val="105"/>
        </w:rPr>
        <w:t>is the greatest  integer for  which</w:t>
      </w:r>
    </w:p>
    <w:p>
      <w:pPr>
        <w:spacing w:after="0"/>
        <w:sectPr>
          <w:type w:val="continuous"/>
          <w:pgSz w:w="7200" w:h="11340"/>
          <w:pgMar w:top="1100" w:bottom="0" w:left="660" w:right="580"/>
          <w:cols w:num="2" w:equalWidth="0">
            <w:col w:w="555" w:space="40"/>
            <w:col w:w="5365"/>
          </w:cols>
        </w:sectPr>
      </w:pPr>
    </w:p>
    <w:p>
      <w:pPr>
        <w:pStyle w:val="BodyText"/>
        <w:spacing w:before="1"/>
        <w:rPr>
          <w:sz w:val="9"/>
        </w:rPr>
      </w:pPr>
    </w:p>
    <w:p>
      <w:pPr>
        <w:tabs>
          <w:tab w:pos="710" w:val="left" w:leader="none"/>
        </w:tabs>
        <w:spacing w:line="205" w:lineRule="exact" w:before="74"/>
        <w:ind w:left="0" w:right="42" w:firstLine="0"/>
        <w:jc w:val="center"/>
        <w:rPr>
          <w:rFonts w:ascii="Arial"/>
          <w:i/>
          <w:sz w:val="20"/>
        </w:rPr>
      </w:pPr>
      <w:r>
        <w:rPr>
          <w:color w:val="010101"/>
          <w:w w:val="120"/>
          <w:sz w:val="18"/>
          <w:u w:val="single" w:color="000000"/>
        </w:rPr>
        <w:t>s;::;</w:t>
      </w:r>
      <w:r>
        <w:rPr>
          <w:color w:val="010101"/>
          <w:w w:val="120"/>
          <w:sz w:val="18"/>
        </w:rPr>
        <w:t>i</w:t>
      </w:r>
      <w:r>
        <w:rPr>
          <w:color w:val="010101"/>
          <w:sz w:val="18"/>
        </w:rPr>
        <w:tab/>
      </w:r>
      <w:r>
        <w:rPr>
          <w:rFonts w:ascii="Arial"/>
          <w:i/>
          <w:color w:val="010101"/>
          <w:spacing w:val="-26"/>
          <w:w w:val="238"/>
          <w:sz w:val="20"/>
        </w:rPr>
        <w:t>_</w:t>
      </w:r>
      <w:r>
        <w:rPr>
          <w:rFonts w:ascii="Arial"/>
          <w:i/>
          <w:color w:val="010101"/>
          <w:spacing w:val="-45"/>
          <w:w w:val="84"/>
          <w:sz w:val="20"/>
        </w:rPr>
        <w:t>k</w:t>
      </w:r>
      <w:r>
        <w:rPr>
          <w:rFonts w:ascii="Arial"/>
          <w:i/>
          <w:color w:val="010101"/>
          <w:w w:val="244"/>
          <w:sz w:val="20"/>
        </w:rPr>
        <w:t>_</w:t>
      </w:r>
    </w:p>
    <w:p>
      <w:pPr>
        <w:tabs>
          <w:tab w:pos="724" w:val="left" w:leader="none"/>
        </w:tabs>
        <w:spacing w:line="308" w:lineRule="exact" w:before="0"/>
        <w:ind w:left="0" w:right="26" w:firstLine="0"/>
        <w:jc w:val="center"/>
        <w:rPr>
          <w:i/>
          <w:sz w:val="20"/>
        </w:rPr>
      </w:pPr>
      <w:r>
        <w:rPr>
          <w:color w:val="010101"/>
          <w:sz w:val="19"/>
        </w:rPr>
        <w:t>4.r:al</w:t>
        <w:tab/>
      </w:r>
      <w:r>
        <w:rPr>
          <w:color w:val="010101"/>
          <w:sz w:val="20"/>
        </w:rPr>
        <w:t>1</w:t>
      </w:r>
      <w:r>
        <w:rPr>
          <w:color w:val="010101"/>
          <w:spacing w:val="-31"/>
          <w:sz w:val="20"/>
        </w:rPr>
        <w:t> </w:t>
      </w:r>
      <w:r>
        <w:rPr>
          <w:color w:val="010101"/>
          <w:sz w:val="29"/>
        </w:rPr>
        <w:t>+</w:t>
      </w:r>
      <w:r>
        <w:rPr>
          <w:color w:val="010101"/>
          <w:spacing w:val="-29"/>
          <w:sz w:val="29"/>
        </w:rPr>
        <w:t> </w:t>
      </w:r>
      <w:r>
        <w:rPr>
          <w:i/>
          <w:color w:val="010101"/>
          <w:spacing w:val="2"/>
          <w:sz w:val="20"/>
        </w:rPr>
        <w:t>Uz</w:t>
      </w:r>
    </w:p>
    <w:p>
      <w:pPr>
        <w:spacing w:before="140"/>
        <w:ind w:left="130" w:right="131" w:firstLine="0"/>
        <w:jc w:val="center"/>
        <w:rPr>
          <w:rFonts w:ascii="Arial"/>
          <w:sz w:val="19"/>
        </w:rPr>
      </w:pPr>
      <w:r>
        <w:rPr>
          <w:color w:val="010101"/>
          <w:w w:val="110"/>
          <w:sz w:val="15"/>
        </w:rPr>
        <w:t>CHAPTER  </w:t>
      </w:r>
      <w:r>
        <w:rPr>
          <w:rFonts w:ascii="Arial"/>
          <w:color w:val="010101"/>
          <w:w w:val="110"/>
          <w:sz w:val="19"/>
        </w:rPr>
        <w:t>8</w:t>
      </w:r>
    </w:p>
    <w:p>
      <w:pPr>
        <w:spacing w:before="74"/>
        <w:ind w:left="205" w:right="0" w:firstLine="0"/>
        <w:jc w:val="left"/>
        <w:rPr>
          <w:i/>
          <w:sz w:val="22"/>
        </w:rPr>
      </w:pPr>
      <w:r>
        <w:rPr>
          <w:b/>
          <w:color w:val="010101"/>
          <w:sz w:val="19"/>
        </w:rPr>
        <w:t>2.  </w:t>
      </w:r>
      <w:r>
        <w:rPr>
          <w:b/>
          <w:color w:val="010101"/>
          <w:sz w:val="20"/>
        </w:rPr>
        <w:t>(a) </w:t>
      </w:r>
      <w:r>
        <w:rPr>
          <w:i/>
          <w:color w:val="010101"/>
          <w:sz w:val="22"/>
        </w:rPr>
        <w:t>lz  </w:t>
      </w:r>
      <w:r>
        <w:rPr>
          <w:color w:val="010101"/>
          <w:sz w:val="20"/>
        </w:rPr>
        <w:t>{b) </w:t>
      </w:r>
      <w:r>
        <w:rPr>
          <w:i/>
          <w:color w:val="010101"/>
          <w:sz w:val="22"/>
        </w:rPr>
        <w:t>Lz  </w:t>
      </w:r>
      <w:r>
        <w:rPr>
          <w:color w:val="010101"/>
          <w:sz w:val="20"/>
        </w:rPr>
        <w:t>(e) </w:t>
      </w:r>
      <w:r>
        <w:rPr>
          <w:i/>
          <w:color w:val="010101"/>
          <w:sz w:val="22"/>
        </w:rPr>
        <w:t>Tz  </w:t>
      </w:r>
      <w:r>
        <w:rPr>
          <w:color w:val="010101"/>
          <w:sz w:val="20"/>
        </w:rPr>
        <w:t>(d) </w:t>
      </w:r>
      <w:r>
        <w:rPr>
          <w:i/>
          <w:color w:val="010101"/>
          <w:sz w:val="22"/>
        </w:rPr>
        <w:t>Tz  </w:t>
      </w:r>
      <w:r>
        <w:rPr>
          <w:color w:val="010101"/>
          <w:sz w:val="20"/>
        </w:rPr>
        <w:t>(e)  </w:t>
      </w:r>
      <w:r>
        <w:rPr>
          <w:i/>
          <w:color w:val="010101"/>
          <w:w w:val="90"/>
          <w:sz w:val="22"/>
        </w:rPr>
        <w:t>T:,;  </w:t>
      </w:r>
      <w:r>
        <w:rPr>
          <w:rFonts w:ascii="Arial"/>
          <w:color w:val="010101"/>
          <w:w w:val="110"/>
          <w:sz w:val="19"/>
        </w:rPr>
        <w:t>(f) </w:t>
      </w:r>
      <w:r>
        <w:rPr>
          <w:i/>
          <w:color w:val="010101"/>
          <w:sz w:val="22"/>
        </w:rPr>
        <w:t>Yz</w:t>
      </w:r>
    </w:p>
    <w:p>
      <w:pPr>
        <w:spacing w:before="121"/>
        <w:ind w:left="201" w:right="0" w:firstLine="0"/>
        <w:jc w:val="left"/>
        <w:rPr>
          <w:i/>
          <w:sz w:val="22"/>
        </w:rPr>
      </w:pPr>
      <w:r>
        <w:rPr>
          <w:color w:val="010101"/>
          <w:w w:val="130"/>
          <w:sz w:val="21"/>
        </w:rPr>
        <w:t>3. </w:t>
      </w:r>
      <w:r>
        <w:rPr>
          <w:color w:val="010101"/>
          <w:w w:val="130"/>
          <w:sz w:val="20"/>
        </w:rPr>
        <w:t>(a) </w:t>
      </w:r>
      <w:r>
        <w:rPr>
          <w:i/>
          <w:color w:val="010101"/>
          <w:spacing w:val="5"/>
          <w:w w:val="85"/>
          <w:sz w:val="22"/>
        </w:rPr>
        <w:t>Tz </w:t>
      </w:r>
      <w:r>
        <w:rPr>
          <w:color w:val="010101"/>
          <w:w w:val="220"/>
          <w:sz w:val="22"/>
        </w:rPr>
        <w:t>-</w:t>
      </w:r>
      <w:r>
        <w:rPr>
          <w:color w:val="010101"/>
          <w:spacing w:val="-77"/>
          <w:w w:val="220"/>
          <w:sz w:val="22"/>
        </w:rPr>
        <w:t> </w:t>
      </w:r>
      <w:r>
        <w:rPr>
          <w:i/>
          <w:color w:val="010101"/>
          <w:spacing w:val="3"/>
          <w:w w:val="85"/>
          <w:sz w:val="22"/>
        </w:rPr>
        <w:t>Tz+.. </w:t>
      </w:r>
      <w:r>
        <w:rPr>
          <w:color w:val="010101"/>
          <w:w w:val="220"/>
          <w:sz w:val="22"/>
        </w:rPr>
        <w:t>-</w:t>
      </w:r>
      <w:r>
        <w:rPr>
          <w:color w:val="010101"/>
          <w:spacing w:val="-86"/>
          <w:w w:val="220"/>
          <w:sz w:val="22"/>
        </w:rPr>
        <w:t> </w:t>
      </w:r>
      <w:r>
        <w:rPr>
          <w:i/>
          <w:color w:val="010101"/>
          <w:w w:val="85"/>
          <w:sz w:val="22"/>
        </w:rPr>
        <w:t>nl:ie+,.</w:t>
      </w:r>
    </w:p>
    <w:p>
      <w:pPr>
        <w:spacing w:before="95"/>
        <w:ind w:left="492" w:right="0" w:firstLine="0"/>
        <w:jc w:val="left"/>
        <w:rPr>
          <w:i/>
          <w:sz w:val="22"/>
        </w:rPr>
      </w:pPr>
      <w:r>
        <w:rPr>
          <w:color w:val="010101"/>
          <w:sz w:val="20"/>
        </w:rPr>
        <w:t>(b) </w:t>
      </w:r>
      <w:r>
        <w:rPr>
          <w:i/>
          <w:color w:val="010101"/>
          <w:w w:val="85"/>
          <w:sz w:val="22"/>
        </w:rPr>
        <w:t>Y:ie</w:t>
      </w:r>
    </w:p>
    <w:p>
      <w:pPr>
        <w:spacing w:before="129"/>
        <w:ind w:left="484" w:right="0" w:firstLine="0"/>
        <w:jc w:val="left"/>
        <w:rPr>
          <w:b/>
          <w:i/>
          <w:sz w:val="17"/>
        </w:rPr>
      </w:pPr>
      <w:r>
        <w:rPr>
          <w:color w:val="010101"/>
          <w:w w:val="105"/>
          <w:sz w:val="20"/>
        </w:rPr>
        <w:t>{e)  </w:t>
      </w:r>
      <w:r>
        <w:rPr>
          <w:b/>
          <w:i/>
          <w:color w:val="010101"/>
          <w:w w:val="105"/>
          <w:sz w:val="17"/>
        </w:rPr>
        <w:t>Tz+n</w:t>
      </w:r>
    </w:p>
    <w:p>
      <w:pPr>
        <w:spacing w:before="103"/>
        <w:ind w:left="197" w:right="0" w:firstLine="0"/>
        <w:jc w:val="left"/>
        <w:rPr>
          <w:rFonts w:ascii="Arial"/>
          <w:i/>
          <w:sz w:val="14"/>
        </w:rPr>
      </w:pPr>
      <w:r>
        <w:rPr>
          <w:b/>
          <w:color w:val="010101"/>
          <w:sz w:val="19"/>
        </w:rPr>
        <w:t>4.  </w:t>
      </w:r>
      <w:r>
        <w:rPr>
          <w:b/>
          <w:color w:val="010101"/>
          <w:sz w:val="14"/>
        </w:rPr>
        <w:t>fflz   </w:t>
      </w:r>
      <w:r>
        <w:rPr>
          <w:color w:val="010101"/>
          <w:sz w:val="11"/>
        </w:rPr>
        <w:t>:s::    </w:t>
      </w:r>
      <w:r>
        <w:rPr>
          <w:b/>
          <w:color w:val="010101"/>
          <w:sz w:val="19"/>
        </w:rPr>
        <w:t>1    </w:t>
      </w:r>
      <w:r>
        <w:rPr>
          <w:b/>
          <w:color w:val="010101"/>
          <w:sz w:val="22"/>
        </w:rPr>
        <w:t>for </w:t>
      </w:r>
      <w:r>
        <w:rPr>
          <w:b/>
          <w:color w:val="010101"/>
          <w:sz w:val="19"/>
        </w:rPr>
        <w:t>all </w:t>
      </w:r>
      <w:r>
        <w:rPr>
          <w:rFonts w:ascii="Arial"/>
          <w:i/>
          <w:color w:val="010101"/>
          <w:sz w:val="14"/>
        </w:rPr>
        <w:t>X</w:t>
      </w:r>
    </w:p>
    <w:p>
      <w:pPr>
        <w:spacing w:before="123"/>
        <w:ind w:left="197" w:right="0" w:firstLine="0"/>
        <w:jc w:val="left"/>
        <w:rPr>
          <w:sz w:val="21"/>
        </w:rPr>
      </w:pPr>
      <w:r>
        <w:rPr>
          <w:color w:val="010101"/>
          <w:w w:val="125"/>
          <w:sz w:val="21"/>
        </w:rPr>
        <w:t>5. .015</w:t>
      </w:r>
    </w:p>
    <w:p>
      <w:pPr>
        <w:spacing w:line="210" w:lineRule="exact" w:before="107"/>
        <w:ind w:left="1001" w:right="0" w:firstLine="0"/>
        <w:jc w:val="left"/>
        <w:rPr>
          <w:rFonts w:ascii="Arial"/>
          <w:sz w:val="19"/>
        </w:rPr>
      </w:pPr>
      <w:r>
        <w:rPr>
          <w:rFonts w:ascii="Arial"/>
          <w:color w:val="010101"/>
          <w:w w:val="104"/>
          <w:sz w:val="19"/>
        </w:rPr>
        <w:t>2</w:t>
      </w:r>
    </w:p>
    <w:p>
      <w:pPr>
        <w:spacing w:line="256" w:lineRule="exact" w:before="0"/>
        <w:ind w:left="201" w:right="0" w:firstLine="0"/>
        <w:jc w:val="left"/>
        <w:rPr>
          <w:sz w:val="20"/>
        </w:rPr>
      </w:pPr>
      <w:r>
        <w:rPr>
          <w:color w:val="010101"/>
          <w:spacing w:val="-7"/>
          <w:w w:val="120"/>
          <w:sz w:val="23"/>
        </w:rPr>
        <w:t>7. </w:t>
      </w:r>
      <w:r>
        <w:rPr>
          <w:rFonts w:ascii="Arial"/>
          <w:color w:val="010101"/>
          <w:sz w:val="19"/>
        </w:rPr>
        <w:t>2w </w:t>
      </w:r>
      <w:r>
        <w:rPr>
          <w:rFonts w:ascii="Arial"/>
          <w:color w:val="010101"/>
          <w:w w:val="275"/>
          <w:sz w:val="19"/>
        </w:rPr>
        <w:t>- </w:t>
      </w:r>
      <w:r>
        <w:rPr>
          <w:i/>
          <w:color w:val="010101"/>
          <w:w w:val="120"/>
          <w:sz w:val="19"/>
        </w:rPr>
        <w:t>2x </w:t>
      </w:r>
      <w:r>
        <w:rPr>
          <w:color w:val="010101"/>
          <w:w w:val="275"/>
          <w:sz w:val="19"/>
        </w:rPr>
        <w:t>-</w:t>
      </w:r>
      <w:r>
        <w:rPr>
          <w:color w:val="010101"/>
          <w:spacing w:val="-109"/>
          <w:w w:val="275"/>
          <w:sz w:val="19"/>
        </w:rPr>
        <w:t> </w:t>
      </w:r>
      <w:r>
        <w:rPr>
          <w:color w:val="010101"/>
          <w:w w:val="155"/>
          <w:sz w:val="20"/>
        </w:rPr>
        <w:t>1</w:t>
      </w:r>
    </w:p>
    <w:p>
      <w:pPr>
        <w:pStyle w:val="BodyText"/>
        <w:spacing w:before="155"/>
        <w:ind w:left="194"/>
      </w:pPr>
      <w:r>
        <w:rPr>
          <w:color w:val="010101"/>
          <w:w w:val="105"/>
        </w:rPr>
        <w:t>8. 2.48, 2.98</w:t>
      </w:r>
    </w:p>
    <w:p>
      <w:pPr>
        <w:spacing w:line="299" w:lineRule="exact" w:before="136"/>
        <w:ind w:left="201" w:right="0" w:firstLine="0"/>
        <w:jc w:val="left"/>
        <w:rPr>
          <w:rFonts w:ascii="Courier New"/>
          <w:i/>
          <w:sz w:val="22"/>
        </w:rPr>
      </w:pPr>
      <w:r>
        <w:rPr>
          <w:color w:val="010101"/>
          <w:position w:val="-11"/>
          <w:sz w:val="21"/>
        </w:rPr>
        <w:t>9. </w:t>
      </w:r>
      <w:r>
        <w:rPr>
          <w:rFonts w:ascii="Courier New"/>
          <w:i/>
          <w:color w:val="010101"/>
          <w:sz w:val="22"/>
        </w:rPr>
        <w:t>w </w:t>
      </w:r>
      <w:r>
        <w:rPr>
          <w:rFonts w:ascii="Courier New"/>
          <w:i/>
          <w:color w:val="010101"/>
          <w:w w:val="125"/>
          <w:sz w:val="22"/>
        </w:rPr>
        <w:t>-</w:t>
      </w:r>
      <w:r>
        <w:rPr>
          <w:rFonts w:ascii="Courier New"/>
          <w:i/>
          <w:color w:val="010101"/>
          <w:spacing w:val="-127"/>
          <w:w w:val="125"/>
          <w:sz w:val="22"/>
        </w:rPr>
        <w:t> </w:t>
      </w:r>
      <w:r>
        <w:rPr>
          <w:rFonts w:ascii="Courier New"/>
          <w:i/>
          <w:color w:val="010101"/>
          <w:sz w:val="22"/>
        </w:rPr>
        <w:t>x</w:t>
      </w:r>
    </w:p>
    <w:p>
      <w:pPr>
        <w:spacing w:line="169" w:lineRule="exact" w:before="0"/>
        <w:ind w:left="0" w:right="4482" w:firstLine="0"/>
        <w:jc w:val="center"/>
        <w:rPr>
          <w:rFonts w:ascii="Arial"/>
          <w:sz w:val="19"/>
        </w:rPr>
      </w:pPr>
      <w:r>
        <w:rPr>
          <w:rFonts w:ascii="Arial"/>
          <w:color w:val="010101"/>
          <w:w w:val="104"/>
          <w:sz w:val="19"/>
        </w:rPr>
        <w:t>2</w:t>
      </w:r>
    </w:p>
    <w:p>
      <w:pPr>
        <w:spacing w:after="0" w:line="169" w:lineRule="exact"/>
        <w:jc w:val="center"/>
        <w:rPr>
          <w:rFonts w:ascii="Arial"/>
          <w:sz w:val="19"/>
        </w:rPr>
        <w:sectPr>
          <w:type w:val="continuous"/>
          <w:pgSz w:w="7200" w:h="11340"/>
          <w:pgMar w:top="1100" w:bottom="0" w:left="660" w:right="580"/>
        </w:sectPr>
      </w:pPr>
    </w:p>
    <w:p>
      <w:pPr>
        <w:tabs>
          <w:tab w:pos="2587" w:val="left" w:leader="none"/>
          <w:tab w:pos="5305" w:val="left" w:leader="none"/>
        </w:tabs>
        <w:spacing w:before="49"/>
        <w:ind w:left="130" w:right="19" w:firstLine="0"/>
        <w:jc w:val="left"/>
        <w:rPr>
          <w:rFonts w:ascii="Arial"/>
          <w:b/>
          <w:sz w:val="20"/>
        </w:rPr>
      </w:pPr>
      <w:r>
        <w:rPr>
          <w:rFonts w:ascii="Arial"/>
          <w:color w:val="010101"/>
          <w:sz w:val="20"/>
        </w:rPr>
        <w:t>362</w:t>
        <w:tab/>
      </w:r>
      <w:r>
        <w:rPr>
          <w:color w:val="010101"/>
          <w:sz w:val="15"/>
        </w:rPr>
        <w:t>ANSWERS</w:t>
        <w:tab/>
      </w:r>
      <w:r>
        <w:rPr>
          <w:b/>
          <w:color w:val="010101"/>
          <w:w w:val="95"/>
          <w:sz w:val="19"/>
        </w:rPr>
        <w:t>[CH.</w:t>
      </w:r>
      <w:r>
        <w:rPr>
          <w:b/>
          <w:color w:val="010101"/>
          <w:spacing w:val="2"/>
          <w:w w:val="95"/>
          <w:sz w:val="19"/>
        </w:rPr>
        <w:t> </w:t>
      </w:r>
      <w:r>
        <w:rPr>
          <w:rFonts w:ascii="Arial"/>
          <w:b/>
          <w:color w:val="010101"/>
          <w:w w:val="95"/>
          <w:sz w:val="20"/>
        </w:rPr>
        <w:t>8</w:t>
      </w:r>
    </w:p>
    <w:p>
      <w:pPr>
        <w:pStyle w:val="BodyText"/>
        <w:spacing w:before="9"/>
        <w:rPr>
          <w:rFonts w:ascii="Arial"/>
          <w:b/>
          <w:sz w:val="14"/>
        </w:rPr>
      </w:pPr>
    </w:p>
    <w:p>
      <w:pPr>
        <w:spacing w:before="74"/>
        <w:ind w:left="145" w:right="19" w:firstLine="0"/>
        <w:jc w:val="left"/>
        <w:rPr>
          <w:i/>
          <w:sz w:val="20"/>
        </w:rPr>
      </w:pPr>
      <w:r>
        <w:rPr>
          <w:color w:val="010101"/>
          <w:w w:val="105"/>
          <w:sz w:val="19"/>
        </w:rPr>
        <w:t>12.   </w:t>
      </w:r>
      <w:r>
        <w:rPr>
          <w:rFonts w:ascii="Arial"/>
          <w:color w:val="010101"/>
          <w:w w:val="105"/>
          <w:sz w:val="19"/>
        </w:rPr>
        <w:t>(a)  </w:t>
      </w:r>
      <w:r>
        <w:rPr>
          <w:i/>
          <w:color w:val="010101"/>
          <w:sz w:val="20"/>
        </w:rPr>
        <w:t>(x  </w:t>
      </w:r>
      <w:r>
        <w:rPr>
          <w:color w:val="010101"/>
          <w:w w:val="250"/>
          <w:sz w:val="20"/>
        </w:rPr>
        <w:t>- </w:t>
      </w:r>
      <w:r>
        <w:rPr>
          <w:i/>
          <w:color w:val="010101"/>
          <w:w w:val="105"/>
          <w:sz w:val="20"/>
        </w:rPr>
        <w:t>y </w:t>
      </w:r>
      <w:r>
        <w:rPr>
          <w:i/>
          <w:color w:val="010101"/>
          <w:sz w:val="20"/>
        </w:rPr>
        <w:t>)ls</w:t>
      </w:r>
    </w:p>
    <w:p>
      <w:pPr>
        <w:spacing w:before="95"/>
        <w:ind w:left="519" w:right="19" w:firstLine="0"/>
        <w:jc w:val="left"/>
        <w:rPr>
          <w:b/>
          <w:sz w:val="17"/>
        </w:rPr>
      </w:pPr>
      <w:r>
        <w:rPr>
          <w:color w:val="010101"/>
          <w:w w:val="105"/>
          <w:sz w:val="20"/>
        </w:rPr>
        <w:t>(b) </w:t>
      </w:r>
      <w:r>
        <w:rPr>
          <w:i/>
          <w:color w:val="010101"/>
          <w:sz w:val="21"/>
        </w:rPr>
        <w:t>T:s </w:t>
      </w:r>
      <w:r>
        <w:rPr>
          <w:color w:val="010101"/>
          <w:w w:val="230"/>
          <w:sz w:val="21"/>
        </w:rPr>
        <w:t>-</w:t>
      </w:r>
      <w:r>
        <w:rPr>
          <w:color w:val="010101"/>
          <w:spacing w:val="-66"/>
          <w:w w:val="230"/>
          <w:sz w:val="21"/>
        </w:rPr>
        <w:t> </w:t>
      </w:r>
      <w:r>
        <w:rPr>
          <w:i/>
          <w:color w:val="010101"/>
          <w:spacing w:val="7"/>
          <w:sz w:val="21"/>
        </w:rPr>
        <w:t>Tz </w:t>
      </w:r>
      <w:r>
        <w:rPr>
          <w:color w:val="010101"/>
          <w:w w:val="105"/>
          <w:sz w:val="24"/>
        </w:rPr>
        <w:t>= </w:t>
      </w:r>
      <w:r>
        <w:rPr>
          <w:i/>
          <w:color w:val="010101"/>
          <w:w w:val="105"/>
          <w:sz w:val="21"/>
        </w:rPr>
        <w:t>lz </w:t>
      </w:r>
      <w:r>
        <w:rPr>
          <w:b/>
          <w:color w:val="010101"/>
          <w:w w:val="105"/>
          <w:sz w:val="17"/>
        </w:rPr>
        <w:t>f!:s:i=i}</w:t>
      </w:r>
    </w:p>
    <w:p>
      <w:pPr>
        <w:tabs>
          <w:tab w:pos="3732" w:val="left" w:leader="none"/>
        </w:tabs>
        <w:spacing w:line="296" w:lineRule="exact" w:before="34"/>
        <w:ind w:left="851" w:right="19" w:firstLine="0"/>
        <w:jc w:val="left"/>
        <w:rPr>
          <w:sz w:val="29"/>
        </w:rPr>
      </w:pPr>
      <w:r>
        <w:rPr/>
        <w:pict>
          <v:shape style="position:absolute;margin-left:60.44577pt;margin-top:12.487024pt;width:177.35pt;height:9.7pt;mso-position-horizontal-relative:page;mso-position-vertical-relative:paragraph;z-index:-706864" type="#_x0000_t202" filled="false" stroked="false">
            <v:textbox inset="0,0,0,0">
              <w:txbxContent>
                <w:p>
                  <w:pPr>
                    <w:tabs>
                      <w:tab w:pos="3476" w:val="left" w:leader="none"/>
                    </w:tabs>
                    <w:spacing w:line="194" w:lineRule="exact" w:before="0"/>
                    <w:ind w:left="0" w:right="0" w:firstLine="0"/>
                    <w:jc w:val="left"/>
                    <w:rPr>
                      <w:rFonts w:ascii="Arial"/>
                      <w:i/>
                      <w:sz w:val="9"/>
                    </w:rPr>
                  </w:pPr>
                  <w:r>
                    <w:rPr>
                      <w:rFonts w:ascii="Arial"/>
                      <w:color w:val="010101"/>
                      <w:w w:val="120"/>
                      <w:sz w:val="19"/>
                    </w:rPr>
                    <w:t>(</w:t>
                  </w:r>
                  <w:r>
                    <w:rPr>
                      <w:rFonts w:ascii="Arial"/>
                      <w:color w:val="010101"/>
                      <w:spacing w:val="51"/>
                      <w:w w:val="120"/>
                      <w:sz w:val="19"/>
                    </w:rPr>
                    <w:t> </w:t>
                  </w:r>
                  <w:r>
                    <w:rPr>
                      <w:rFonts w:ascii="Arial"/>
                      <w:color w:val="010101"/>
                      <w:w w:val="120"/>
                      <w:sz w:val="19"/>
                    </w:rPr>
                    <w:t>)</w:t>
                    <w:tab/>
                  </w:r>
                  <w:r>
                    <w:rPr>
                      <w:rFonts w:ascii="Arial"/>
                      <w:i/>
                      <w:color w:val="010101"/>
                      <w:w w:val="115"/>
                      <w:position w:val="8"/>
                      <w:sz w:val="9"/>
                    </w:rPr>
                    <w:t>A</w:t>
                  </w:r>
                </w:p>
              </w:txbxContent>
            </v:textbox>
            <w10:wrap type="none"/>
          </v:shape>
        </w:pict>
      </w:r>
      <w:r>
        <w:rPr>
          <w:rFonts w:ascii="Arial"/>
          <w:i/>
          <w:color w:val="010101"/>
          <w:sz w:val="19"/>
          <w:u w:val="single" w:color="000000"/>
        </w:rPr>
        <w:t>( x  </w:t>
      </w:r>
      <w:r>
        <w:rPr>
          <w:rFonts w:ascii="Arial"/>
          <w:color w:val="010101"/>
          <w:w w:val="245"/>
          <w:sz w:val="19"/>
          <w:u w:val="single" w:color="000000"/>
        </w:rPr>
        <w:t>- </w:t>
      </w:r>
      <w:r>
        <w:rPr>
          <w:rFonts w:ascii="Arial"/>
          <w:i/>
          <w:color w:val="010101"/>
          <w:sz w:val="19"/>
          <w:u w:val="single" w:color="000000"/>
        </w:rPr>
        <w:t>Y)  </w:t>
      </w:r>
      <w:r>
        <w:rPr>
          <w:i/>
          <w:color w:val="010101"/>
          <w:w w:val="90"/>
          <w:sz w:val="21"/>
          <w:u w:val="single" w:color="000000"/>
        </w:rPr>
        <w:t>l:s </w:t>
      </w:r>
      <w:r>
        <w:rPr>
          <w:rFonts w:ascii="Arial"/>
          <w:color w:val="010101"/>
          <w:sz w:val="31"/>
          <w:u w:val="single" w:color="000000"/>
        </w:rPr>
        <w:t>+ </w:t>
      </w:r>
      <w:r>
        <w:rPr>
          <w:i/>
          <w:color w:val="010101"/>
          <w:spacing w:val="4"/>
          <w:sz w:val="21"/>
          <w:u w:val="single" w:color="000000"/>
        </w:rPr>
        <w:t>Ts </w:t>
      </w:r>
      <w:r>
        <w:rPr>
          <w:color w:val="010101"/>
          <w:w w:val="245"/>
          <w:sz w:val="21"/>
          <w:u w:val="single" w:color="000000"/>
        </w:rPr>
        <w:t>-</w:t>
      </w:r>
      <w:r>
        <w:rPr>
          <w:color w:val="010101"/>
          <w:spacing w:val="23"/>
          <w:w w:val="245"/>
          <w:sz w:val="21"/>
          <w:u w:val="single" w:color="000000"/>
        </w:rPr>
        <w:t> </w:t>
      </w:r>
      <w:r>
        <w:rPr>
          <w:i/>
          <w:color w:val="010101"/>
          <w:w w:val="125"/>
          <w:sz w:val="21"/>
          <w:u w:val="single" w:color="000000"/>
        </w:rPr>
        <w:t>T</w:t>
      </w:r>
      <w:r>
        <w:rPr>
          <w:i/>
          <w:color w:val="010101"/>
          <w:w w:val="125"/>
          <w:sz w:val="21"/>
        </w:rPr>
        <w:t>.</w:t>
      </w:r>
      <w:r>
        <w:rPr>
          <w:i/>
          <w:color w:val="010101"/>
          <w:spacing w:val="-29"/>
          <w:w w:val="125"/>
          <w:sz w:val="21"/>
        </w:rPr>
        <w:t> </w:t>
      </w:r>
      <w:r>
        <w:rPr>
          <w:color w:val="010101"/>
          <w:w w:val="125"/>
          <w:sz w:val="21"/>
        </w:rPr>
        <w:t>_</w:t>
        <w:tab/>
      </w:r>
      <w:r>
        <w:rPr>
          <w:color w:val="010101"/>
          <w:sz w:val="29"/>
        </w:rPr>
        <w:t>+</w:t>
      </w:r>
    </w:p>
    <w:p>
      <w:pPr>
        <w:tabs>
          <w:tab w:pos="1756" w:val="left" w:leader="none"/>
          <w:tab w:pos="2894" w:val="left" w:leader="none"/>
          <w:tab w:pos="3975" w:val="left" w:leader="none"/>
        </w:tabs>
        <w:spacing w:line="181" w:lineRule="exact" w:before="0"/>
        <w:ind w:left="590" w:right="19" w:firstLine="0"/>
        <w:jc w:val="left"/>
        <w:rPr>
          <w:sz w:val="18"/>
        </w:rPr>
      </w:pPr>
      <w:r>
        <w:rPr>
          <w:rFonts w:ascii="Arial"/>
          <w:color w:val="010101"/>
          <w:w w:val="105"/>
          <w:sz w:val="13"/>
        </w:rPr>
        <w:t>C</w:t>
        <w:tab/>
      </w:r>
      <w:r>
        <w:rPr>
          <w:b/>
          <w:i/>
          <w:color w:val="010101"/>
          <w:w w:val="105"/>
          <w:sz w:val="21"/>
        </w:rPr>
        <w:t>ls</w:t>
        <w:tab/>
      </w:r>
      <w:r>
        <w:rPr>
          <w:color w:val="010101"/>
          <w:w w:val="220"/>
          <w:sz w:val="21"/>
        </w:rPr>
        <w:t>- </w:t>
      </w:r>
      <w:r>
        <w:rPr>
          <w:rFonts w:ascii="Arial"/>
          <w:i/>
          <w:color w:val="010101"/>
          <w:w w:val="105"/>
          <w:sz w:val="14"/>
        </w:rPr>
        <w:t>X</w:t>
      </w:r>
      <w:r>
        <w:rPr>
          <w:rFonts w:ascii="Arial"/>
          <w:i/>
          <w:color w:val="010101"/>
          <w:spacing w:val="12"/>
          <w:w w:val="105"/>
          <w:sz w:val="14"/>
        </w:rPr>
        <w:t> </w:t>
      </w:r>
      <w:r>
        <w:rPr>
          <w:rFonts w:ascii="Arial"/>
          <w:color w:val="010101"/>
          <w:w w:val="345"/>
          <w:sz w:val="14"/>
        </w:rPr>
        <w:t>-</w:t>
      </w:r>
      <w:r>
        <w:rPr>
          <w:rFonts w:ascii="Arial"/>
          <w:color w:val="010101"/>
          <w:spacing w:val="-69"/>
          <w:w w:val="345"/>
          <w:sz w:val="14"/>
        </w:rPr>
        <w:t> </w:t>
      </w:r>
      <w:r>
        <w:rPr>
          <w:rFonts w:ascii="Arial"/>
          <w:i/>
          <w:color w:val="010101"/>
          <w:w w:val="105"/>
          <w:sz w:val="18"/>
        </w:rPr>
        <w:t>y</w:t>
        <w:tab/>
      </w:r>
      <w:r>
        <w:rPr>
          <w:color w:val="010101"/>
          <w:spacing w:val="-6"/>
          <w:w w:val="105"/>
          <w:sz w:val="18"/>
        </w:rPr>
        <w:t>"s:'i=il</w:t>
      </w:r>
    </w:p>
    <w:p>
      <w:pPr>
        <w:pStyle w:val="BodyText"/>
        <w:spacing w:before="6"/>
        <w:rPr>
          <w:sz w:val="17"/>
        </w:rPr>
      </w:pPr>
    </w:p>
    <w:p>
      <w:pPr>
        <w:pStyle w:val="BodyText"/>
        <w:ind w:left="145" w:right="19"/>
      </w:pPr>
      <w:r>
        <w:rPr>
          <w:color w:val="010101"/>
          <w:spacing w:val="-13"/>
          <w:w w:val="135"/>
        </w:rPr>
        <w:t>13. </w:t>
      </w:r>
      <w:r>
        <w:rPr>
          <w:color w:val="010101"/>
          <w:w w:val="135"/>
        </w:rPr>
        <w:t>(a) </w:t>
      </w:r>
      <w:r>
        <w:rPr>
          <w:color w:val="010101"/>
        </w:rPr>
        <w:t>20(lao </w:t>
      </w:r>
      <w:r>
        <w:rPr>
          <w:color w:val="010101"/>
          <w:w w:val="245"/>
        </w:rPr>
        <w:t>-</w:t>
      </w:r>
      <w:r>
        <w:rPr>
          <w:color w:val="010101"/>
          <w:spacing w:val="-64"/>
          <w:w w:val="245"/>
        </w:rPr>
        <w:t> </w:t>
      </w:r>
      <w:r>
        <w:rPr>
          <w:color w:val="010101"/>
          <w:spacing w:val="-3"/>
        </w:rPr>
        <w:t>l¡o)</w:t>
      </w:r>
    </w:p>
    <w:p>
      <w:pPr>
        <w:spacing w:line="242" w:lineRule="exact" w:before="149"/>
        <w:ind w:left="494" w:right="19" w:firstLine="0"/>
        <w:jc w:val="left"/>
        <w:rPr>
          <w:rFonts w:ascii="Arial"/>
          <w:b/>
          <w:sz w:val="20"/>
        </w:rPr>
      </w:pPr>
      <w:r>
        <w:rPr>
          <w:rFonts w:ascii="Arial"/>
          <w:color w:val="010101"/>
          <w:w w:val="145"/>
          <w:sz w:val="19"/>
        </w:rPr>
        <w:t>(b) </w:t>
      </w:r>
      <w:r>
        <w:rPr>
          <w:i/>
          <w:color w:val="010101"/>
          <w:sz w:val="22"/>
          <w:u w:val="single" w:color="000000"/>
        </w:rPr>
        <w:t>Tao </w:t>
      </w:r>
      <w:r>
        <w:rPr>
          <w:color w:val="010101"/>
          <w:w w:val="225"/>
          <w:sz w:val="22"/>
          <w:u w:val="single" w:color="000000"/>
        </w:rPr>
        <w:t>- </w:t>
      </w:r>
      <w:r>
        <w:rPr>
          <w:b/>
          <w:color w:val="010101"/>
          <w:sz w:val="22"/>
          <w:u w:val="single" w:color="000000"/>
        </w:rPr>
        <w:t>Tto </w:t>
      </w:r>
      <w:r>
        <w:rPr>
          <w:color w:val="010101"/>
          <w:w w:val="225"/>
          <w:sz w:val="22"/>
          <w:u w:val="single" w:color="000000"/>
        </w:rPr>
        <w:t>-</w:t>
      </w:r>
      <w:r>
        <w:rPr>
          <w:color w:val="010101"/>
          <w:spacing w:val="-62"/>
          <w:w w:val="225"/>
          <w:sz w:val="22"/>
          <w:u w:val="single" w:color="000000"/>
        </w:rPr>
        <w:t> </w:t>
      </w:r>
      <w:r>
        <w:rPr>
          <w:rFonts w:ascii="Arial"/>
          <w:b/>
          <w:color w:val="010101"/>
          <w:sz w:val="20"/>
          <w:u w:val="single" w:color="000000"/>
        </w:rPr>
        <w:t>20ll0</w:t>
      </w:r>
    </w:p>
    <w:p>
      <w:pPr>
        <w:spacing w:line="231" w:lineRule="exact" w:before="0"/>
        <w:ind w:left="1275" w:right="19" w:firstLine="0"/>
        <w:jc w:val="left"/>
        <w:rPr>
          <w:i/>
          <w:sz w:val="21"/>
        </w:rPr>
      </w:pPr>
      <w:r>
        <w:rPr>
          <w:b/>
          <w:i/>
          <w:color w:val="010101"/>
          <w:w w:val="85"/>
          <w:sz w:val="21"/>
        </w:rPr>
        <w:t>lao </w:t>
      </w:r>
      <w:r>
        <w:rPr>
          <w:color w:val="010101"/>
          <w:w w:val="220"/>
          <w:sz w:val="21"/>
        </w:rPr>
        <w:t>-</w:t>
      </w:r>
      <w:r>
        <w:rPr>
          <w:color w:val="010101"/>
          <w:spacing w:val="-99"/>
          <w:w w:val="220"/>
          <w:sz w:val="21"/>
        </w:rPr>
        <w:t> </w:t>
      </w:r>
      <w:r>
        <w:rPr>
          <w:i/>
          <w:color w:val="010101"/>
          <w:w w:val="85"/>
          <w:sz w:val="21"/>
        </w:rPr>
        <w:t>l50</w:t>
      </w:r>
    </w:p>
    <w:p>
      <w:pPr>
        <w:pStyle w:val="BodyText"/>
        <w:spacing w:line="183" w:lineRule="exact" w:before="72"/>
        <w:ind w:left="822" w:right="19"/>
        <w:rPr>
          <w:rFonts w:ascii="Arial"/>
        </w:rPr>
      </w:pPr>
      <w:r>
        <w:rPr>
          <w:rFonts w:ascii="Arial"/>
          <w:color w:val="010101"/>
        </w:rPr>
        <w:t>300</w:t>
      </w:r>
    </w:p>
    <w:p>
      <w:pPr>
        <w:spacing w:line="206" w:lineRule="exact" w:before="0"/>
        <w:ind w:left="152" w:right="19" w:firstLine="0"/>
        <w:jc w:val="left"/>
        <w:rPr>
          <w:sz w:val="21"/>
        </w:rPr>
      </w:pPr>
      <w:r>
        <w:rPr>
          <w:color w:val="010101"/>
          <w:spacing w:val="-16"/>
          <w:sz w:val="21"/>
        </w:rPr>
        <w:t>14.  </w:t>
      </w:r>
      <w:r>
        <w:rPr>
          <w:color w:val="010101"/>
          <w:spacing w:val="7"/>
          <w:sz w:val="20"/>
        </w:rPr>
        <w:t>(a) </w:t>
      </w:r>
      <w:r>
        <w:rPr>
          <w:color w:val="010101"/>
          <w:w w:val="155"/>
          <w:sz w:val="20"/>
        </w:rPr>
        <w:t>-¡; </w:t>
      </w:r>
      <w:r>
        <w:rPr>
          <w:color w:val="010101"/>
          <w:sz w:val="20"/>
        </w:rPr>
        <w:t>( </w:t>
      </w:r>
      <w:r>
        <w:rPr>
          <w:i/>
          <w:color w:val="010101"/>
          <w:sz w:val="22"/>
        </w:rPr>
        <w:t>T20 </w:t>
      </w:r>
      <w:r>
        <w:rPr>
          <w:color w:val="010101"/>
          <w:w w:val="245"/>
          <w:sz w:val="22"/>
        </w:rPr>
        <w:t>-</w:t>
      </w:r>
      <w:r>
        <w:rPr>
          <w:color w:val="010101"/>
          <w:spacing w:val="-80"/>
          <w:w w:val="245"/>
          <w:sz w:val="22"/>
        </w:rPr>
        <w:t> </w:t>
      </w:r>
      <w:r>
        <w:rPr>
          <w:color w:val="010101"/>
          <w:sz w:val="21"/>
        </w:rPr>
        <w:t>.lTu </w:t>
      </w:r>
      <w:r>
        <w:rPr>
          <w:color w:val="010101"/>
          <w:w w:val="245"/>
          <w:sz w:val="21"/>
        </w:rPr>
        <w:t>-</w:t>
      </w:r>
      <w:r>
        <w:rPr>
          <w:color w:val="010101"/>
          <w:spacing w:val="-77"/>
          <w:w w:val="245"/>
          <w:sz w:val="21"/>
        </w:rPr>
        <w:t> </w:t>
      </w:r>
      <w:r>
        <w:rPr>
          <w:color w:val="010101"/>
          <w:spacing w:val="-6"/>
          <w:sz w:val="21"/>
        </w:rPr>
        <w:t>.045Tao </w:t>
      </w:r>
      <w:r>
        <w:rPr>
          <w:color w:val="010101"/>
          <w:w w:val="245"/>
          <w:sz w:val="21"/>
        </w:rPr>
        <w:t>-</w:t>
      </w:r>
      <w:r>
        <w:rPr>
          <w:color w:val="010101"/>
          <w:spacing w:val="-73"/>
          <w:w w:val="245"/>
          <w:sz w:val="21"/>
        </w:rPr>
        <w:t> </w:t>
      </w:r>
      <w:r>
        <w:rPr>
          <w:color w:val="010101"/>
          <w:sz w:val="21"/>
        </w:rPr>
        <w:t>.855Teo)</w:t>
      </w:r>
    </w:p>
    <w:p>
      <w:pPr>
        <w:pStyle w:val="BodyText"/>
        <w:spacing w:before="7"/>
        <w:rPr>
          <w:sz w:val="18"/>
        </w:rPr>
      </w:pPr>
    </w:p>
    <w:p>
      <w:pPr>
        <w:spacing w:before="0"/>
        <w:ind w:left="476" w:right="19" w:firstLine="0"/>
        <w:jc w:val="left"/>
        <w:rPr>
          <w:sz w:val="21"/>
        </w:rPr>
      </w:pPr>
      <w:r>
        <w:rPr>
          <w:color w:val="010101"/>
          <w:w w:val="85"/>
          <w:sz w:val="21"/>
        </w:rPr>
        <w:t>(</w:t>
      </w:r>
      <w:r>
        <w:rPr>
          <w:color w:val="010101"/>
          <w:spacing w:val="-35"/>
          <w:sz w:val="21"/>
        </w:rPr>
        <w:t> </w:t>
      </w:r>
      <w:r>
        <w:rPr>
          <w:color w:val="010101"/>
          <w:w w:val="111"/>
          <w:sz w:val="21"/>
        </w:rPr>
        <w:t>b)</w:t>
      </w:r>
      <w:r>
        <w:rPr>
          <w:color w:val="010101"/>
          <w:spacing w:val="24"/>
          <w:sz w:val="21"/>
        </w:rPr>
        <w:t> </w:t>
      </w:r>
      <w:r>
        <w:rPr>
          <w:rFonts w:ascii="Arial" w:hAnsi="Arial"/>
          <w:i/>
          <w:color w:val="010101"/>
          <w:spacing w:val="-107"/>
          <w:sz w:val="33"/>
        </w:rPr>
        <w:t>-</w:t>
      </w:r>
      <w:r>
        <w:rPr>
          <w:rFonts w:ascii="Courier New" w:hAnsi="Courier New"/>
          <w:color w:val="010101"/>
          <w:spacing w:val="-28"/>
          <w:w w:val="93"/>
          <w:position w:val="15"/>
          <w:sz w:val="22"/>
        </w:rPr>
        <w:t>3</w:t>
      </w:r>
      <w:r>
        <w:rPr>
          <w:rFonts w:ascii="Courier New" w:hAnsi="Courier New"/>
          <w:color w:val="010101"/>
          <w:spacing w:val="-113"/>
          <w:w w:val="92"/>
          <w:position w:val="15"/>
          <w:sz w:val="22"/>
        </w:rPr>
        <w:t>0</w:t>
      </w:r>
      <w:r>
        <w:rPr>
          <w:rFonts w:ascii="Arial" w:hAnsi="Arial"/>
          <w:i/>
          <w:color w:val="010101"/>
          <w:w w:val="99"/>
          <w:sz w:val="33"/>
        </w:rPr>
        <w:t>¡</w:t>
      </w:r>
      <w:r>
        <w:rPr>
          <w:rFonts w:ascii="Arial" w:hAnsi="Arial"/>
          <w:i/>
          <w:color w:val="010101"/>
          <w:spacing w:val="-89"/>
          <w:w w:val="99"/>
          <w:sz w:val="33"/>
        </w:rPr>
        <w:t>;</w:t>
      </w:r>
      <w:r>
        <w:rPr>
          <w:rFonts w:ascii="Courier New" w:hAnsi="Courier New"/>
          <w:color w:val="010101"/>
          <w:w w:val="92"/>
          <w:position w:val="15"/>
          <w:sz w:val="22"/>
        </w:rPr>
        <w:t>0</w:t>
      </w:r>
      <w:r>
        <w:rPr>
          <w:rFonts w:ascii="Courier New" w:hAnsi="Courier New"/>
          <w:color w:val="010101"/>
          <w:spacing w:val="-100"/>
          <w:position w:val="15"/>
          <w:sz w:val="22"/>
        </w:rPr>
        <w:t> </w:t>
      </w:r>
      <w:r>
        <w:rPr>
          <w:rFonts w:ascii="Arial" w:hAnsi="Arial"/>
          <w:color w:val="010101"/>
          <w:spacing w:val="11"/>
          <w:w w:val="66"/>
          <w:sz w:val="33"/>
        </w:rPr>
        <w:t>(</w:t>
      </w:r>
      <w:r>
        <w:rPr>
          <w:color w:val="010101"/>
          <w:spacing w:val="-35"/>
          <w:w w:val="140"/>
          <w:sz w:val="21"/>
        </w:rPr>
        <w:t>.</w:t>
      </w:r>
      <w:r>
        <w:rPr>
          <w:color w:val="010101"/>
          <w:w w:val="84"/>
          <w:sz w:val="21"/>
        </w:rPr>
        <w:t>045lao</w:t>
      </w:r>
      <w:r>
        <w:rPr>
          <w:color w:val="010101"/>
          <w:w w:val="84"/>
          <w:sz w:val="21"/>
        </w:rPr>
        <w:t>)</w:t>
      </w:r>
    </w:p>
    <w:p>
      <w:pPr>
        <w:pStyle w:val="BodyText"/>
        <w:spacing w:before="5"/>
        <w:rPr>
          <w:sz w:val="12"/>
        </w:rPr>
      </w:pPr>
    </w:p>
    <w:p>
      <w:pPr>
        <w:spacing w:before="143"/>
        <w:ind w:left="480" w:right="19" w:firstLine="0"/>
        <w:jc w:val="left"/>
        <w:rPr>
          <w:sz w:val="20"/>
        </w:rPr>
      </w:pPr>
      <w:r>
        <w:rPr/>
        <w:pict>
          <v:shape style="position:absolute;margin-left:75.066856pt;margin-top:4.98632pt;width:15.8pt;height:9pt;mso-position-horizontal-relative:page;mso-position-vertical-relative:paragraph;z-index:-706840" type="#_x0000_t202" filled="false" stroked="false">
            <v:textbox inset="0,0,0,0">
              <w:txbxContent>
                <w:p>
                  <w:pPr>
                    <w:spacing w:line="180" w:lineRule="exact" w:before="0"/>
                    <w:ind w:left="0" w:right="-20" w:firstLine="0"/>
                    <w:jc w:val="left"/>
                    <w:rPr>
                      <w:rFonts w:ascii="Arial"/>
                      <w:sz w:val="18"/>
                    </w:rPr>
                  </w:pPr>
                  <w:r>
                    <w:rPr>
                      <w:rFonts w:ascii="Arial"/>
                      <w:color w:val="010101"/>
                      <w:w w:val="105"/>
                      <w:sz w:val="18"/>
                    </w:rPr>
                    <w:t>300</w:t>
                  </w:r>
                </w:p>
              </w:txbxContent>
            </v:textbox>
            <w10:wrap type="none"/>
          </v:shape>
        </w:pict>
      </w:r>
      <w:r>
        <w:rPr>
          <w:color w:val="010101"/>
          <w:sz w:val="20"/>
        </w:rPr>
        <w:t>(e) </w:t>
      </w:r>
      <w:r>
        <w:rPr>
          <w:rFonts w:ascii="Arial"/>
          <w:i/>
          <w:color w:val="010101"/>
          <w:sz w:val="27"/>
        </w:rPr>
        <w:t>Ti;; </w:t>
      </w:r>
      <w:r>
        <w:rPr>
          <w:rFonts w:ascii="Arial"/>
          <w:color w:val="010101"/>
          <w:sz w:val="27"/>
        </w:rPr>
        <w:t>(</w:t>
      </w:r>
      <w:r>
        <w:rPr>
          <w:rFonts w:ascii="Arial"/>
          <w:color w:val="010101"/>
          <w:spacing w:val="-65"/>
          <w:sz w:val="27"/>
        </w:rPr>
        <w:t> </w:t>
      </w:r>
      <w:r>
        <w:rPr>
          <w:color w:val="010101"/>
          <w:sz w:val="19"/>
        </w:rPr>
        <w:t>.855</w:t>
      </w:r>
      <w:r>
        <w:rPr>
          <w:i/>
          <w:color w:val="010101"/>
          <w:sz w:val="21"/>
        </w:rPr>
        <w:t>T</w:t>
      </w:r>
      <w:r>
        <w:rPr>
          <w:color w:val="010101"/>
          <w:sz w:val="20"/>
        </w:rPr>
        <w:t>eo)</w:t>
      </w:r>
    </w:p>
    <w:p>
      <w:pPr>
        <w:pStyle w:val="BodyText"/>
        <w:spacing w:before="6"/>
        <w:rPr>
          <w:sz w:val="22"/>
        </w:rPr>
      </w:pPr>
    </w:p>
    <w:p>
      <w:pPr>
        <w:tabs>
          <w:tab w:pos="1806" w:val="left" w:leader="none"/>
        </w:tabs>
        <w:spacing w:line="267" w:lineRule="exact" w:before="0"/>
        <w:ind w:left="134" w:right="19" w:firstLine="0"/>
        <w:jc w:val="left"/>
        <w:rPr>
          <w:sz w:val="21"/>
        </w:rPr>
      </w:pPr>
      <w:r>
        <w:rPr>
          <w:color w:val="010101"/>
          <w:position w:val="-8"/>
          <w:sz w:val="21"/>
        </w:rPr>
        <w:t>15 </w:t>
      </w:r>
      <w:r>
        <w:rPr>
          <w:color w:val="010101"/>
          <w:spacing w:val="4"/>
          <w:position w:val="-8"/>
          <w:sz w:val="21"/>
        </w:rPr>
        <w:t> </w:t>
      </w:r>
      <w:r>
        <w:rPr>
          <w:color w:val="010101"/>
          <w:sz w:val="21"/>
        </w:rPr>
        <w:t>( </w:t>
      </w:r>
      <w:r>
        <w:rPr>
          <w:color w:val="010101"/>
          <w:spacing w:val="29"/>
          <w:sz w:val="21"/>
        </w:rPr>
        <w:t> </w:t>
      </w:r>
      <w:r>
        <w:rPr>
          <w:color w:val="010101"/>
          <w:sz w:val="21"/>
        </w:rPr>
        <w:t>)</w:t>
        <w:tab/>
      </w:r>
      <w:r>
        <w:rPr>
          <w:color w:val="010101"/>
          <w:sz w:val="21"/>
          <w:u w:val="single" w:color="000000"/>
        </w:rPr>
        <w:t>lOOOl.,</w:t>
      </w:r>
    </w:p>
    <w:p>
      <w:pPr>
        <w:tabs>
          <w:tab w:pos="1617" w:val="left" w:leader="none"/>
          <w:tab w:pos="2398" w:val="left" w:leader="none"/>
        </w:tabs>
        <w:spacing w:line="188" w:lineRule="exact" w:before="0"/>
        <w:ind w:left="319" w:right="19" w:firstLine="0"/>
        <w:jc w:val="left"/>
        <w:rPr>
          <w:i/>
          <w:sz w:val="22"/>
        </w:rPr>
      </w:pPr>
      <w:r>
        <w:rPr>
          <w:rFonts w:ascii="Arial"/>
          <w:color w:val="010101"/>
          <w:w w:val="145"/>
          <w:sz w:val="18"/>
        </w:rPr>
        <w:t>.  </w:t>
      </w:r>
      <w:r>
        <w:rPr>
          <w:rFonts w:ascii="Arial"/>
          <w:color w:val="010101"/>
          <w:w w:val="110"/>
          <w:sz w:val="18"/>
        </w:rPr>
        <w:t>a </w:t>
      </w:r>
      <w:r>
        <w:rPr>
          <w:rFonts w:ascii="Arial"/>
          <w:color w:val="010101"/>
          <w:spacing w:val="50"/>
          <w:w w:val="110"/>
          <w:sz w:val="18"/>
        </w:rPr>
        <w:t> </w:t>
      </w:r>
      <w:r>
        <w:rPr>
          <w:i/>
          <w:color w:val="010101"/>
          <w:w w:val="95"/>
          <w:sz w:val="22"/>
        </w:rPr>
        <w:t>Tao</w:t>
      </w:r>
      <w:r>
        <w:rPr>
          <w:i/>
          <w:color w:val="010101"/>
          <w:spacing w:val="14"/>
          <w:w w:val="95"/>
          <w:sz w:val="22"/>
        </w:rPr>
        <w:t> </w:t>
      </w:r>
      <w:r>
        <w:rPr>
          <w:color w:val="010101"/>
          <w:w w:val="230"/>
          <w:sz w:val="22"/>
        </w:rPr>
        <w:t>-</w:t>
        <w:tab/>
      </w:r>
      <w:r>
        <w:rPr>
          <w:i/>
          <w:color w:val="010101"/>
          <w:w w:val="95"/>
          <w:sz w:val="22"/>
        </w:rPr>
        <w:t>Tw;</w:t>
      </w:r>
      <w:r>
        <w:rPr>
          <w:i/>
          <w:color w:val="010101"/>
          <w:spacing w:val="4"/>
          <w:w w:val="95"/>
          <w:sz w:val="22"/>
        </w:rPr>
        <w:t> </w:t>
      </w:r>
      <w:r>
        <w:rPr>
          <w:color w:val="010101"/>
          <w:w w:val="230"/>
          <w:sz w:val="22"/>
        </w:rPr>
        <w:t>-</w:t>
        <w:tab/>
      </w:r>
      <w:r>
        <w:rPr>
          <w:i/>
          <w:color w:val="010101"/>
          <w:spacing w:val="4"/>
          <w:w w:val="95"/>
          <w:sz w:val="22"/>
        </w:rPr>
        <w:t>Tao</w:t>
      </w:r>
      <w:r>
        <w:rPr>
          <w:i/>
          <w:color w:val="010101"/>
          <w:spacing w:val="-23"/>
          <w:w w:val="95"/>
          <w:sz w:val="22"/>
        </w:rPr>
        <w:t> </w:t>
      </w:r>
      <w:r>
        <w:rPr>
          <w:color w:val="010101"/>
          <w:w w:val="185"/>
          <w:sz w:val="22"/>
        </w:rPr>
        <w:t>-</w:t>
      </w:r>
      <w:r>
        <w:rPr>
          <w:color w:val="010101"/>
          <w:spacing w:val="-83"/>
          <w:w w:val="185"/>
          <w:sz w:val="22"/>
        </w:rPr>
        <w:t> </w:t>
      </w:r>
      <w:r>
        <w:rPr>
          <w:i/>
          <w:color w:val="010101"/>
          <w:w w:val="110"/>
          <w:sz w:val="22"/>
        </w:rPr>
        <w:t>}Te.</w:t>
      </w:r>
    </w:p>
    <w:p>
      <w:pPr>
        <w:tabs>
          <w:tab w:pos="2010" w:val="left" w:leader="none"/>
          <w:tab w:pos="2702" w:val="left" w:leader="none"/>
        </w:tabs>
        <w:spacing w:line="261" w:lineRule="exact" w:before="118"/>
        <w:ind w:left="444" w:right="19" w:firstLine="0"/>
        <w:jc w:val="left"/>
        <w:rPr>
          <w:sz w:val="11"/>
        </w:rPr>
      </w:pPr>
      <w:r>
        <w:rPr/>
        <w:pict>
          <v:line style="position:absolute;mso-position-horizontal-relative:page;mso-position-vertical-relative:paragraph;z-index:-706912" from="195.601807pt,16.905338pt" to="198.098107pt,16.905338pt" stroked="true" strokeweight=".534918pt" strokecolor="#000000">
            <w10:wrap type="none"/>
          </v:line>
        </w:pict>
      </w:r>
      <w:r>
        <w:rPr>
          <w:color w:val="010101"/>
          <w:w w:val="90"/>
          <w:sz w:val="20"/>
        </w:rPr>
        <w:t>( </w:t>
      </w:r>
      <w:r>
        <w:rPr>
          <w:color w:val="010101"/>
          <w:w w:val="135"/>
          <w:sz w:val="20"/>
        </w:rPr>
        <w:t>b)</w:t>
      </w:r>
      <w:r>
        <w:rPr>
          <w:color w:val="010101"/>
          <w:spacing w:val="31"/>
          <w:w w:val="135"/>
          <w:sz w:val="20"/>
        </w:rPr>
        <w:t> </w:t>
      </w:r>
      <w:r>
        <w:rPr>
          <w:color w:val="010101"/>
          <w:w w:val="90"/>
          <w:sz w:val="20"/>
        </w:rPr>
        <w:t>lOOO(l.,</w:t>
      </w:r>
      <w:r>
        <w:rPr>
          <w:color w:val="010101"/>
          <w:spacing w:val="34"/>
          <w:w w:val="90"/>
          <w:sz w:val="20"/>
        </w:rPr>
        <w:t> </w:t>
      </w:r>
      <w:r>
        <w:rPr>
          <w:color w:val="010101"/>
          <w:w w:val="250"/>
          <w:sz w:val="20"/>
        </w:rPr>
        <w:t>-</w:t>
        <w:tab/>
      </w:r>
      <w:r>
        <w:rPr>
          <w:i/>
          <w:color w:val="010101"/>
          <w:w w:val="135"/>
          <w:sz w:val="20"/>
        </w:rPr>
        <w:t>la</w:t>
      </w:r>
      <w:r>
        <w:rPr>
          <w:i/>
          <w:color w:val="010101"/>
          <w:spacing w:val="5"/>
          <w:w w:val="135"/>
          <w:sz w:val="20"/>
        </w:rPr>
        <w:t> </w:t>
      </w:r>
      <w:r>
        <w:rPr>
          <w:color w:val="010101"/>
          <w:w w:val="250"/>
          <w:sz w:val="20"/>
        </w:rPr>
        <w:t>-</w:t>
        <w:tab/>
      </w:r>
      <w:r>
        <w:rPr>
          <w:i/>
          <w:color w:val="010101"/>
          <w:w w:val="90"/>
          <w:sz w:val="23"/>
        </w:rPr>
        <w:t>leo</w:t>
      </w:r>
      <w:r>
        <w:rPr>
          <w:i/>
          <w:color w:val="010101"/>
          <w:spacing w:val="-24"/>
          <w:w w:val="90"/>
          <w:sz w:val="23"/>
        </w:rPr>
        <w:t> </w:t>
      </w:r>
      <w:r>
        <w:rPr>
          <w:color w:val="010101"/>
          <w:w w:val="200"/>
          <w:sz w:val="23"/>
        </w:rPr>
        <w:t>-</w:t>
      </w:r>
      <w:r>
        <w:rPr>
          <w:color w:val="010101"/>
          <w:spacing w:val="-93"/>
          <w:w w:val="200"/>
          <w:sz w:val="23"/>
        </w:rPr>
        <w:t> </w:t>
      </w:r>
      <w:r>
        <w:rPr>
          <w:color w:val="010101"/>
          <w:w w:val="135"/>
          <w:sz w:val="20"/>
        </w:rPr>
        <w:t>Jl</w:t>
      </w:r>
      <w:r>
        <w:rPr>
          <w:color w:val="010101"/>
          <w:w w:val="135"/>
          <w:sz w:val="11"/>
        </w:rPr>
        <w:t>66)</w:t>
      </w:r>
    </w:p>
    <w:p>
      <w:pPr>
        <w:tabs>
          <w:tab w:pos="1735" w:val="left" w:leader="none"/>
          <w:tab w:pos="2516" w:val="left" w:leader="none"/>
        </w:tabs>
        <w:spacing w:line="249" w:lineRule="exact" w:before="0"/>
        <w:ind w:left="961" w:right="19" w:firstLine="0"/>
        <w:jc w:val="left"/>
        <w:rPr>
          <w:i/>
          <w:sz w:val="22"/>
        </w:rPr>
      </w:pPr>
      <w:r>
        <w:rPr>
          <w:i/>
          <w:color w:val="010101"/>
          <w:sz w:val="22"/>
        </w:rPr>
        <w:t>Tao</w:t>
      </w:r>
      <w:r>
        <w:rPr>
          <w:i/>
          <w:color w:val="010101"/>
          <w:spacing w:val="-12"/>
          <w:sz w:val="22"/>
        </w:rPr>
        <w:t> </w:t>
      </w:r>
      <w:r>
        <w:rPr>
          <w:color w:val="010101"/>
          <w:w w:val="240"/>
          <w:sz w:val="22"/>
        </w:rPr>
        <w:t>-</w:t>
        <w:tab/>
      </w:r>
      <w:r>
        <w:rPr>
          <w:rFonts w:ascii="Arial"/>
          <w:i/>
          <w:color w:val="010101"/>
          <w:sz w:val="20"/>
        </w:rPr>
        <w:t>TN</w:t>
      </w:r>
      <w:r>
        <w:rPr>
          <w:rFonts w:ascii="Arial"/>
          <w:i/>
          <w:color w:val="010101"/>
          <w:spacing w:val="27"/>
          <w:sz w:val="20"/>
        </w:rPr>
        <w:t> </w:t>
      </w:r>
      <w:r>
        <w:rPr>
          <w:rFonts w:ascii="Arial"/>
          <w:color w:val="010101"/>
          <w:w w:val="240"/>
          <w:sz w:val="20"/>
        </w:rPr>
        <w:t>-</w:t>
        <w:tab/>
      </w:r>
      <w:r>
        <w:rPr>
          <w:i/>
          <w:color w:val="010101"/>
          <w:sz w:val="22"/>
        </w:rPr>
        <w:t>Teo</w:t>
      </w:r>
      <w:r>
        <w:rPr>
          <w:i/>
          <w:color w:val="010101"/>
          <w:spacing w:val="-29"/>
          <w:sz w:val="22"/>
        </w:rPr>
        <w:t> </w:t>
      </w:r>
      <w:r>
        <w:rPr>
          <w:color w:val="010101"/>
          <w:w w:val="220"/>
          <w:sz w:val="22"/>
        </w:rPr>
        <w:t>-</w:t>
      </w:r>
      <w:r>
        <w:rPr>
          <w:color w:val="010101"/>
          <w:spacing w:val="-100"/>
          <w:w w:val="220"/>
          <w:sz w:val="22"/>
        </w:rPr>
        <w:t> </w:t>
      </w:r>
      <w:r>
        <w:rPr>
          <w:i/>
          <w:color w:val="010101"/>
          <w:w w:val="135"/>
          <w:sz w:val="22"/>
        </w:rPr>
        <w:t>!T"</w:t>
      </w:r>
    </w:p>
    <w:p>
      <w:pPr>
        <w:spacing w:after="0" w:line="249" w:lineRule="exact"/>
        <w:jc w:val="left"/>
        <w:rPr>
          <w:sz w:val="22"/>
        </w:rPr>
        <w:sectPr>
          <w:pgSz w:w="7200" w:h="11340"/>
          <w:pgMar w:top="520" w:bottom="280" w:left="700" w:right="560"/>
        </w:sectPr>
      </w:pPr>
    </w:p>
    <w:p>
      <w:pPr>
        <w:pStyle w:val="BodyText"/>
        <w:spacing w:before="10"/>
        <w:rPr>
          <w:i/>
          <w:sz w:val="18"/>
        </w:rPr>
      </w:pPr>
    </w:p>
    <w:p>
      <w:pPr>
        <w:spacing w:before="0"/>
        <w:ind w:left="127" w:right="0" w:firstLine="0"/>
        <w:jc w:val="left"/>
        <w:rPr>
          <w:sz w:val="20"/>
        </w:rPr>
      </w:pPr>
      <w:r>
        <w:rPr>
          <w:color w:val="010101"/>
          <w:w w:val="105"/>
          <w:sz w:val="19"/>
        </w:rPr>
        <w:t>16. </w:t>
      </w:r>
      <w:r>
        <w:rPr>
          <w:color w:val="010101"/>
          <w:w w:val="105"/>
          <w:sz w:val="20"/>
        </w:rPr>
        <w:t>(a)</w:t>
      </w:r>
    </w:p>
    <w:p>
      <w:pPr>
        <w:spacing w:before="88"/>
        <w:ind w:left="64" w:right="0" w:firstLine="0"/>
        <w:jc w:val="left"/>
        <w:rPr>
          <w:rFonts w:ascii="Arial" w:hAnsi="Arial"/>
          <w:sz w:val="12"/>
        </w:rPr>
      </w:pPr>
      <w:r>
        <w:rPr/>
        <w:br w:type="column"/>
      </w:r>
      <w:r>
        <w:rPr>
          <w:color w:val="010101"/>
          <w:spacing w:val="-82"/>
          <w:w w:val="95"/>
          <w:position w:val="12"/>
          <w:sz w:val="21"/>
        </w:rPr>
        <w:t>5</w:t>
      </w:r>
      <w:r>
        <w:rPr>
          <w:color w:val="010101"/>
          <w:spacing w:val="-14"/>
          <w:w w:val="101"/>
          <w:sz w:val="28"/>
        </w:rPr>
        <w:t>-</w:t>
      </w:r>
      <w:r>
        <w:rPr>
          <w:color w:val="010101"/>
          <w:spacing w:val="-87"/>
          <w:w w:val="95"/>
          <w:position w:val="12"/>
          <w:sz w:val="21"/>
        </w:rPr>
        <w:t>0</w:t>
      </w:r>
      <w:r>
        <w:rPr>
          <w:color w:val="010101"/>
          <w:spacing w:val="-9"/>
          <w:w w:val="101"/>
          <w:sz w:val="28"/>
        </w:rPr>
        <w:t>¡</w:t>
      </w:r>
      <w:r>
        <w:rPr>
          <w:color w:val="010101"/>
          <w:spacing w:val="-92"/>
          <w:w w:val="95"/>
          <w:position w:val="12"/>
          <w:sz w:val="21"/>
        </w:rPr>
        <w:t>0</w:t>
      </w:r>
      <w:r>
        <w:rPr>
          <w:color w:val="010101"/>
          <w:w w:val="101"/>
          <w:sz w:val="28"/>
        </w:rPr>
        <w:t>;</w:t>
      </w:r>
      <w:r>
        <w:rPr>
          <w:color w:val="010101"/>
          <w:spacing w:val="-83"/>
          <w:w w:val="101"/>
          <w:sz w:val="28"/>
        </w:rPr>
        <w:t>-</w:t>
      </w:r>
      <w:r>
        <w:rPr>
          <w:color w:val="010101"/>
          <w:w w:val="95"/>
          <w:position w:val="12"/>
          <w:sz w:val="21"/>
        </w:rPr>
        <w:t>0</w:t>
      </w:r>
      <w:r>
        <w:rPr>
          <w:color w:val="010101"/>
          <w:spacing w:val="15"/>
          <w:position w:val="12"/>
          <w:sz w:val="21"/>
        </w:rPr>
        <w:t> </w:t>
      </w:r>
      <w:r>
        <w:rPr>
          <w:rFonts w:ascii="Arial" w:hAnsi="Arial"/>
          <w:i/>
          <w:color w:val="010101"/>
          <w:w w:val="83"/>
          <w:sz w:val="19"/>
        </w:rPr>
        <w:t>(</w:t>
      </w:r>
      <w:r>
        <w:rPr>
          <w:rFonts w:ascii="Arial" w:hAnsi="Arial"/>
          <w:i/>
          <w:color w:val="010101"/>
          <w:spacing w:val="-10"/>
          <w:sz w:val="19"/>
        </w:rPr>
        <w:t> </w:t>
      </w:r>
      <w:r>
        <w:rPr>
          <w:rFonts w:ascii="Arial" w:hAnsi="Arial"/>
          <w:i/>
          <w:color w:val="010101"/>
          <w:w w:val="119"/>
          <w:sz w:val="19"/>
        </w:rPr>
        <w:t>Tu</w:t>
      </w:r>
      <w:r>
        <w:rPr>
          <w:rFonts w:ascii="Arial" w:hAnsi="Arial"/>
          <w:i/>
          <w:color w:val="010101"/>
          <w:spacing w:val="5"/>
          <w:sz w:val="19"/>
        </w:rPr>
        <w:t> </w:t>
      </w:r>
      <w:r>
        <w:rPr>
          <w:rFonts w:ascii="Arial" w:hAnsi="Arial"/>
          <w:color w:val="010101"/>
          <w:w w:val="273"/>
          <w:sz w:val="19"/>
        </w:rPr>
        <w:t>-</w:t>
      </w:r>
      <w:r>
        <w:rPr>
          <w:rFonts w:ascii="Arial" w:hAnsi="Arial"/>
          <w:color w:val="010101"/>
          <w:sz w:val="19"/>
        </w:rPr>
        <w:t> </w:t>
      </w:r>
      <w:r>
        <w:rPr>
          <w:rFonts w:ascii="Arial" w:hAnsi="Arial"/>
          <w:color w:val="010101"/>
          <w:spacing w:val="-23"/>
          <w:sz w:val="19"/>
        </w:rPr>
        <w:t> </w:t>
      </w:r>
      <w:r>
        <w:rPr>
          <w:color w:val="010101"/>
          <w:w w:val="122"/>
          <w:sz w:val="19"/>
        </w:rPr>
        <w:t>T</w:t>
      </w:r>
      <w:r>
        <w:rPr>
          <w:color w:val="010101"/>
          <w:sz w:val="19"/>
        </w:rPr>
        <w:t>  </w:t>
      </w:r>
      <w:r>
        <w:rPr>
          <w:color w:val="010101"/>
          <w:spacing w:val="-18"/>
          <w:sz w:val="19"/>
        </w:rPr>
        <w:t> </w:t>
      </w:r>
      <w:r>
        <w:rPr>
          <w:rFonts w:ascii="Arial" w:hAnsi="Arial"/>
          <w:color w:val="010101"/>
          <w:w w:val="161"/>
          <w:sz w:val="12"/>
        </w:rPr>
        <w:t>)</w:t>
      </w:r>
    </w:p>
    <w:p>
      <w:pPr>
        <w:spacing w:after="0"/>
        <w:jc w:val="left"/>
        <w:rPr>
          <w:rFonts w:ascii="Arial" w:hAnsi="Arial"/>
          <w:sz w:val="12"/>
        </w:rPr>
        <w:sectPr>
          <w:type w:val="continuous"/>
          <w:pgSz w:w="7200" w:h="11340"/>
          <w:pgMar w:top="1100" w:bottom="0" w:left="700" w:right="560"/>
          <w:cols w:num="2" w:equalWidth="0">
            <w:col w:w="719" w:space="40"/>
            <w:col w:w="5181"/>
          </w:cols>
        </w:sectPr>
      </w:pPr>
    </w:p>
    <w:p>
      <w:pPr>
        <w:pStyle w:val="BodyText"/>
        <w:spacing w:before="4"/>
        <w:rPr>
          <w:rFonts w:ascii="Arial"/>
          <w:sz w:val="16"/>
        </w:rPr>
      </w:pPr>
    </w:p>
    <w:p>
      <w:pPr>
        <w:spacing w:before="76"/>
        <w:ind w:left="444" w:right="19" w:firstLine="0"/>
        <w:jc w:val="left"/>
        <w:rPr>
          <w:sz w:val="19"/>
        </w:rPr>
      </w:pPr>
      <w:r>
        <w:rPr/>
        <w:pict>
          <v:shape style="position:absolute;margin-left:139.792007pt;margin-top:-16.04944pt;width:6.7pt;height:6pt;mso-position-horizontal-relative:page;mso-position-vertical-relative:paragraph;z-index:-706816" type="#_x0000_t202" filled="false" stroked="false">
            <v:textbox inset="0,0,0,0">
              <w:txbxContent>
                <w:p>
                  <w:pPr>
                    <w:spacing w:line="120" w:lineRule="exact" w:before="0"/>
                    <w:ind w:left="0" w:right="-20" w:firstLine="0"/>
                    <w:jc w:val="left"/>
                    <w:rPr>
                      <w:rFonts w:ascii="Arial"/>
                      <w:sz w:val="12"/>
                    </w:rPr>
                  </w:pPr>
                  <w:r>
                    <w:rPr>
                      <w:rFonts w:ascii="Arial"/>
                      <w:color w:val="010101"/>
                      <w:sz w:val="12"/>
                    </w:rPr>
                    <w:t>16</w:t>
                  </w:r>
                </w:p>
              </w:txbxContent>
            </v:textbox>
            <w10:wrap type="none"/>
          </v:shape>
        </w:pict>
      </w:r>
      <w:r>
        <w:rPr/>
        <w:pict>
          <v:shape style="position:absolute;margin-left:92.71917pt;margin-top:9.854385pt;width:6.2pt;height:11pt;mso-position-horizontal-relative:page;mso-position-vertical-relative:paragraph;z-index:-706792" type="#_x0000_t202" filled="false" stroked="false">
            <v:textbox inset="0,0,0,0">
              <w:txbxContent>
                <w:p>
                  <w:pPr>
                    <w:spacing w:line="220" w:lineRule="exact" w:before="0"/>
                    <w:ind w:left="0" w:right="-16" w:firstLine="0"/>
                    <w:jc w:val="left"/>
                    <w:rPr>
                      <w:rFonts w:ascii="Arial"/>
                      <w:sz w:val="22"/>
                    </w:rPr>
                  </w:pPr>
                  <w:r>
                    <w:rPr>
                      <w:rFonts w:ascii="Arial"/>
                      <w:color w:val="010101"/>
                      <w:w w:val="70"/>
                      <w:sz w:val="22"/>
                    </w:rPr>
                    <w:t>lo</w:t>
                  </w:r>
                </w:p>
              </w:txbxContent>
            </v:textbox>
            <w10:wrap type="none"/>
          </v:shape>
        </w:pict>
      </w:r>
      <w:r>
        <w:rPr>
          <w:color w:val="010101"/>
          <w:position w:val="-7"/>
          <w:sz w:val="19"/>
        </w:rPr>
        <w:t>( </w:t>
      </w:r>
      <w:r>
        <w:rPr>
          <w:color w:val="010101"/>
          <w:position w:val="-11"/>
          <w:sz w:val="19"/>
        </w:rPr>
        <w:t>b </w:t>
      </w:r>
      <w:r>
        <w:rPr>
          <w:color w:val="010101"/>
          <w:position w:val="-6"/>
          <w:sz w:val="19"/>
        </w:rPr>
        <w:t>)  </w:t>
      </w:r>
      <w:r>
        <w:rPr>
          <w:color w:val="010101"/>
          <w:sz w:val="19"/>
        </w:rPr>
        <w:t>50,000 lu (</w:t>
      </w:r>
      <w:r>
        <w:rPr>
          <w:color w:val="010101"/>
          <w:position w:val="-11"/>
          <w:sz w:val="19"/>
        </w:rPr>
        <w:t>20 </w:t>
      </w:r>
      <w:r>
        <w:rPr>
          <w:rFonts w:ascii="Arial" w:hAnsi="Arial"/>
          <w:color w:val="010101"/>
          <w:position w:val="-11"/>
          <w:sz w:val="31"/>
        </w:rPr>
        <w:t>+ </w:t>
      </w:r>
      <w:r>
        <w:rPr>
          <w:color w:val="010101"/>
          <w:position w:val="-11"/>
          <w:sz w:val="20"/>
        </w:rPr>
        <w:t>e21:üi </w:t>
      </w:r>
      <w:r>
        <w:rPr>
          <w:color w:val="010101"/>
          <w:sz w:val="19"/>
        </w:rPr>
        <w:t>)</w:t>
      </w:r>
    </w:p>
    <w:p>
      <w:pPr>
        <w:pStyle w:val="BodyText"/>
        <w:spacing w:before="3"/>
        <w:rPr>
          <w:sz w:val="14"/>
        </w:rPr>
      </w:pPr>
    </w:p>
    <w:p>
      <w:pPr>
        <w:spacing w:before="70"/>
        <w:ind w:left="455" w:right="19" w:firstLine="0"/>
        <w:jc w:val="left"/>
        <w:rPr>
          <w:i/>
          <w:sz w:val="20"/>
        </w:rPr>
      </w:pPr>
      <w:r>
        <w:rPr>
          <w:color w:val="010101"/>
          <w:w w:val="120"/>
          <w:sz w:val="19"/>
        </w:rPr>
        <w:t>(e) </w:t>
      </w:r>
      <w:r>
        <w:rPr>
          <w:color w:val="010101"/>
          <w:w w:val="170"/>
          <w:sz w:val="19"/>
          <w:u w:val="single" w:color="000000"/>
        </w:rPr>
        <w:t>750, </w:t>
      </w:r>
      <w:r>
        <w:rPr>
          <w:i/>
          <w:color w:val="010101"/>
          <w:w w:val="120"/>
          <w:sz w:val="23"/>
          <w:u w:val="single" w:color="000000"/>
        </w:rPr>
        <w:t>Z. </w:t>
      </w:r>
      <w:r>
        <w:rPr>
          <w:i/>
          <w:color w:val="010101"/>
          <w:w w:val="120"/>
          <w:sz w:val="20"/>
          <w:u w:val="single" w:color="000000"/>
        </w:rPr>
        <w:t>ea</w:t>
      </w:r>
    </w:p>
    <w:p>
      <w:pPr>
        <w:pStyle w:val="BodyText"/>
        <w:spacing w:before="4"/>
        <w:rPr>
          <w:i/>
          <w:sz w:val="25"/>
        </w:rPr>
      </w:pPr>
    </w:p>
    <w:p>
      <w:pPr>
        <w:spacing w:line="306" w:lineRule="exact" w:before="0"/>
        <w:ind w:left="434" w:right="19" w:firstLine="0"/>
        <w:jc w:val="left"/>
        <w:rPr>
          <w:b/>
          <w:sz w:val="21"/>
        </w:rPr>
      </w:pPr>
      <w:r>
        <w:rPr/>
        <w:pict>
          <v:line style="position:absolute;mso-position-horizontal-relative:page;mso-position-vertical-relative:paragraph;z-index:-706888" from="89.687958pt,15.3676pt" to="91.471018pt,15.3676pt" stroked="true" strokeweight=".713224pt" strokecolor="#000000">
            <w10:wrap type="none"/>
          </v:line>
        </w:pict>
      </w:r>
      <w:r>
        <w:rPr>
          <w:color w:val="010101"/>
          <w:spacing w:val="5"/>
          <w:w w:val="110"/>
          <w:sz w:val="19"/>
        </w:rPr>
        <w:t>(d) </w:t>
      </w:r>
      <w:r>
        <w:rPr>
          <w:color w:val="010101"/>
          <w:w w:val="95"/>
          <w:position w:val="9"/>
          <w:sz w:val="19"/>
        </w:rPr>
        <w:t>250</w:t>
      </w:r>
      <w:r>
        <w:rPr>
          <w:color w:val="010101"/>
          <w:w w:val="95"/>
          <w:sz w:val="31"/>
        </w:rPr>
        <w:t>,ooo </w:t>
      </w:r>
      <w:r>
        <w:rPr>
          <w:color w:val="010101"/>
          <w:spacing w:val="3"/>
          <w:w w:val="95"/>
          <w:sz w:val="31"/>
        </w:rPr>
        <w:t>(</w:t>
      </w:r>
      <w:r>
        <w:rPr>
          <w:i/>
          <w:color w:val="010101"/>
          <w:spacing w:val="3"/>
          <w:w w:val="95"/>
          <w:sz w:val="21"/>
        </w:rPr>
        <w:t>l21 </w:t>
      </w:r>
      <w:r>
        <w:rPr>
          <w:color w:val="010101"/>
          <w:w w:val="110"/>
          <w:sz w:val="21"/>
        </w:rPr>
        <w:t>- </w:t>
      </w:r>
      <w:r>
        <w:rPr>
          <w:b/>
          <w:color w:val="010101"/>
          <w:w w:val="95"/>
          <w:sz w:val="21"/>
        </w:rPr>
        <w:t>lea)</w:t>
      </w:r>
    </w:p>
    <w:p>
      <w:pPr>
        <w:spacing w:line="203" w:lineRule="exact" w:before="0"/>
        <w:ind w:left="1083" w:right="19" w:firstLine="0"/>
        <w:jc w:val="left"/>
        <w:rPr>
          <w:i/>
          <w:sz w:val="22"/>
        </w:rPr>
      </w:pPr>
      <w:r>
        <w:rPr>
          <w:i/>
          <w:color w:val="010101"/>
          <w:w w:val="80"/>
          <w:sz w:val="22"/>
        </w:rPr>
        <w:t>lo</w:t>
      </w:r>
    </w:p>
    <w:p>
      <w:pPr>
        <w:pStyle w:val="ListParagraph"/>
        <w:numPr>
          <w:ilvl w:val="0"/>
          <w:numId w:val="157"/>
        </w:numPr>
        <w:tabs>
          <w:tab w:pos="495" w:val="left" w:leader="none"/>
        </w:tabs>
        <w:spacing w:line="240" w:lineRule="auto" w:before="97" w:after="0"/>
        <w:ind w:left="494" w:right="0" w:hanging="371"/>
        <w:jc w:val="left"/>
        <w:rPr>
          <w:i/>
          <w:color w:val="010101"/>
          <w:sz w:val="19"/>
        </w:rPr>
      </w:pPr>
      <w:r>
        <w:rPr>
          <w:rFonts w:ascii="Arial"/>
          <w:color w:val="010101"/>
          <w:w w:val="130"/>
          <w:sz w:val="19"/>
        </w:rPr>
        <w:t>(a)</w:t>
      </w:r>
      <w:r>
        <w:rPr>
          <w:rFonts w:ascii="Arial"/>
          <w:color w:val="010101"/>
          <w:spacing w:val="7"/>
          <w:w w:val="130"/>
          <w:sz w:val="19"/>
        </w:rPr>
        <w:t> </w:t>
      </w:r>
      <w:r>
        <w:rPr>
          <w:i/>
          <w:color w:val="010101"/>
          <w:spacing w:val="5"/>
          <w:sz w:val="21"/>
        </w:rPr>
        <w:t>Yz</w:t>
      </w:r>
      <w:r>
        <w:rPr>
          <w:i/>
          <w:color w:val="010101"/>
          <w:spacing w:val="6"/>
          <w:sz w:val="21"/>
        </w:rPr>
        <w:t> </w:t>
      </w:r>
      <w:r>
        <w:rPr>
          <w:color w:val="010101"/>
          <w:w w:val="230"/>
          <w:sz w:val="21"/>
        </w:rPr>
        <w:t>-</w:t>
      </w:r>
      <w:r>
        <w:rPr>
          <w:color w:val="010101"/>
          <w:spacing w:val="-73"/>
          <w:w w:val="230"/>
          <w:sz w:val="21"/>
        </w:rPr>
        <w:t> </w:t>
      </w:r>
      <w:r>
        <w:rPr>
          <w:i/>
          <w:color w:val="010101"/>
          <w:spacing w:val="3"/>
          <w:sz w:val="21"/>
        </w:rPr>
        <w:t>Yz+"</w:t>
      </w:r>
      <w:r>
        <w:rPr>
          <w:i/>
          <w:color w:val="010101"/>
          <w:spacing w:val="-2"/>
          <w:sz w:val="21"/>
        </w:rPr>
        <w:t> </w:t>
      </w:r>
      <w:r>
        <w:rPr>
          <w:color w:val="010101"/>
          <w:w w:val="230"/>
          <w:sz w:val="21"/>
        </w:rPr>
        <w:t>-</w:t>
      </w:r>
      <w:r>
        <w:rPr>
          <w:color w:val="010101"/>
          <w:spacing w:val="-90"/>
          <w:w w:val="230"/>
          <w:sz w:val="21"/>
        </w:rPr>
        <w:t> </w:t>
      </w:r>
      <w:r>
        <w:rPr>
          <w:i/>
          <w:color w:val="010101"/>
          <w:spacing w:val="4"/>
          <w:sz w:val="21"/>
        </w:rPr>
        <w:t>nTz+n</w:t>
      </w:r>
    </w:p>
    <w:p>
      <w:pPr>
        <w:spacing w:before="33"/>
        <w:ind w:left="494" w:right="19" w:firstLine="0"/>
        <w:jc w:val="left"/>
        <w:rPr>
          <w:b/>
          <w:sz w:val="17"/>
        </w:rPr>
      </w:pPr>
      <w:r>
        <w:rPr>
          <w:rFonts w:ascii="Arial" w:hAnsi="Arial"/>
          <w:color w:val="010101"/>
          <w:w w:val="135"/>
          <w:sz w:val="19"/>
        </w:rPr>
        <w:t>(b) </w:t>
      </w:r>
      <w:r>
        <w:rPr>
          <w:i/>
          <w:color w:val="010101"/>
          <w:spacing w:val="5"/>
          <w:w w:val="105"/>
          <w:sz w:val="21"/>
        </w:rPr>
        <w:t>Yz </w:t>
      </w:r>
      <w:r>
        <w:rPr>
          <w:color w:val="010101"/>
          <w:w w:val="240"/>
          <w:sz w:val="21"/>
        </w:rPr>
        <w:t>-</w:t>
      </w:r>
      <w:r>
        <w:rPr>
          <w:color w:val="010101"/>
          <w:spacing w:val="-93"/>
          <w:w w:val="240"/>
          <w:sz w:val="21"/>
        </w:rPr>
        <w:t> </w:t>
      </w:r>
      <w:r>
        <w:rPr>
          <w:b/>
          <w:color w:val="010101"/>
          <w:sz w:val="17"/>
        </w:rPr>
        <w:t>Y:s+11 </w:t>
      </w:r>
      <w:r>
        <w:rPr>
          <w:color w:val="010101"/>
          <w:w w:val="295"/>
          <w:sz w:val="17"/>
        </w:rPr>
        <w:t>-</w:t>
      </w:r>
      <w:r>
        <w:rPr>
          <w:color w:val="010101"/>
          <w:spacing w:val="-92"/>
          <w:w w:val="295"/>
          <w:sz w:val="17"/>
        </w:rPr>
        <w:t> </w:t>
      </w:r>
      <w:r>
        <w:rPr>
          <w:i/>
          <w:color w:val="010101"/>
          <w:w w:val="105"/>
          <w:sz w:val="21"/>
        </w:rPr>
        <w:t>Y:s+• </w:t>
      </w:r>
      <w:r>
        <w:rPr>
          <w:rFonts w:ascii="Arial" w:hAnsi="Arial"/>
          <w:color w:val="010101"/>
          <w:w w:val="105"/>
          <w:sz w:val="31"/>
        </w:rPr>
        <w:t>+</w:t>
      </w:r>
      <w:r>
        <w:rPr>
          <w:rFonts w:ascii="Arial" w:hAnsi="Arial"/>
          <w:color w:val="010101"/>
          <w:spacing w:val="-57"/>
          <w:w w:val="105"/>
          <w:sz w:val="31"/>
        </w:rPr>
        <w:t> </w:t>
      </w:r>
      <w:r>
        <w:rPr>
          <w:b/>
          <w:color w:val="010101"/>
          <w:w w:val="105"/>
          <w:sz w:val="17"/>
        </w:rPr>
        <w:t>Y:s+•+n</w:t>
      </w:r>
    </w:p>
    <w:p>
      <w:pPr>
        <w:pStyle w:val="ListParagraph"/>
        <w:numPr>
          <w:ilvl w:val="0"/>
          <w:numId w:val="157"/>
        </w:numPr>
        <w:tabs>
          <w:tab w:pos="470" w:val="left" w:leader="none"/>
          <w:tab w:pos="1995" w:val="left" w:leader="none"/>
        </w:tabs>
        <w:spacing w:line="342" w:lineRule="exact" w:before="27" w:after="0"/>
        <w:ind w:left="469" w:right="0" w:hanging="353"/>
        <w:jc w:val="left"/>
        <w:rPr>
          <w:i/>
          <w:color w:val="010101"/>
          <w:sz w:val="20"/>
        </w:rPr>
      </w:pPr>
      <w:r>
        <w:rPr>
          <w:rFonts w:ascii="Arial"/>
          <w:color w:val="010101"/>
          <w:w w:val="117"/>
          <w:sz w:val="19"/>
        </w:rPr>
        <w:t>(</w:t>
      </w:r>
      <w:r>
        <w:rPr>
          <w:rFonts w:ascii="Arial"/>
          <w:color w:val="010101"/>
          <w:w w:val="117"/>
          <w:sz w:val="19"/>
        </w:rPr>
        <w:t>a</w:t>
      </w:r>
      <w:r>
        <w:rPr>
          <w:rFonts w:ascii="Arial"/>
          <w:color w:val="010101"/>
          <w:w w:val="117"/>
          <w:sz w:val="19"/>
        </w:rPr>
        <w:t>)</w:t>
      </w:r>
      <w:r>
        <w:rPr>
          <w:rFonts w:ascii="Arial"/>
          <w:color w:val="010101"/>
          <w:spacing w:val="26"/>
          <w:sz w:val="19"/>
        </w:rPr>
        <w:t> </w:t>
      </w:r>
      <w:r>
        <w:rPr>
          <w:rFonts w:ascii="Arial"/>
          <w:i/>
          <w:color w:val="010101"/>
          <w:w w:val="89"/>
          <w:sz w:val="19"/>
        </w:rPr>
        <w:t>x</w:t>
      </w:r>
      <w:r>
        <w:rPr>
          <w:rFonts w:ascii="Arial"/>
          <w:i/>
          <w:color w:val="010101"/>
          <w:sz w:val="19"/>
        </w:rPr>
        <w:t> </w:t>
      </w:r>
      <w:r>
        <w:rPr>
          <w:rFonts w:ascii="Arial"/>
          <w:i/>
          <w:color w:val="010101"/>
          <w:spacing w:val="-19"/>
          <w:sz w:val="19"/>
        </w:rPr>
        <w:t> </w:t>
      </w:r>
      <w:r>
        <w:rPr>
          <w:rFonts w:ascii="Arial"/>
          <w:color w:val="010101"/>
          <w:w w:val="102"/>
          <w:sz w:val="31"/>
        </w:rPr>
        <w:t>+</w:t>
      </w:r>
      <w:r>
        <w:rPr>
          <w:rFonts w:ascii="Arial"/>
          <w:color w:val="010101"/>
          <w:spacing w:val="-34"/>
          <w:sz w:val="31"/>
        </w:rPr>
        <w:t> </w:t>
      </w:r>
      <w:r>
        <w:rPr>
          <w:color w:val="010101"/>
          <w:w w:val="102"/>
          <w:sz w:val="20"/>
          <w:u w:val="single" w:color="000000"/>
        </w:rPr>
        <w:t>2(</w:t>
      </w:r>
      <w:r>
        <w:rPr>
          <w:color w:val="010101"/>
          <w:spacing w:val="-2"/>
          <w:sz w:val="20"/>
          <w:u w:val="single" w:color="000000"/>
        </w:rPr>
        <w:t> </w:t>
      </w:r>
      <w:r>
        <w:rPr>
          <w:i/>
          <w:color w:val="010101"/>
          <w:spacing w:val="10"/>
          <w:w w:val="100"/>
          <w:sz w:val="21"/>
          <w:u w:val="single" w:color="000000"/>
        </w:rPr>
        <w:t>Y</w:t>
      </w:r>
      <w:r>
        <w:rPr>
          <w:i/>
          <w:color w:val="010101"/>
          <w:w w:val="69"/>
          <w:sz w:val="21"/>
          <w:u w:val="single" w:color="000000"/>
        </w:rPr>
        <w:t>z</w:t>
      </w:r>
      <w:r>
        <w:rPr>
          <w:i/>
          <w:color w:val="010101"/>
          <w:spacing w:val="14"/>
          <w:sz w:val="21"/>
          <w:u w:val="single" w:color="000000"/>
        </w:rPr>
        <w:t> </w:t>
      </w:r>
      <w:r>
        <w:rPr>
          <w:i/>
          <w:color w:val="010101"/>
          <w:spacing w:val="-24"/>
          <w:sz w:val="21"/>
        </w:rPr>
        <w:t> </w:t>
      </w:r>
      <w:r>
        <w:rPr>
          <w:color w:val="010101"/>
          <w:w w:val="259"/>
          <w:sz w:val="21"/>
          <w:u w:val="single" w:color="000000"/>
        </w:rPr>
        <w:t>-</w:t>
      </w:r>
      <w:r>
        <w:rPr>
          <w:color w:val="010101"/>
          <w:sz w:val="21"/>
        </w:rPr>
        <w:tab/>
      </w:r>
      <w:r>
        <w:rPr>
          <w:color w:val="010101"/>
          <w:w w:val="77"/>
          <w:sz w:val="20"/>
          <w:u w:val="single" w:color="000000"/>
        </w:rPr>
        <w:t>Y:s+</w:t>
      </w:r>
      <w:r>
        <w:rPr>
          <w:color w:val="010101"/>
          <w:spacing w:val="-9"/>
          <w:w w:val="77"/>
          <w:sz w:val="20"/>
          <w:u w:val="single" w:color="000000"/>
        </w:rPr>
        <w:t>,</w:t>
      </w:r>
      <w:r>
        <w:rPr>
          <w:color w:val="010101"/>
          <w:w w:val="174"/>
          <w:sz w:val="20"/>
          <w:u w:val="single" w:color="000000"/>
        </w:rPr>
        <w:t>J</w:t>
      </w:r>
      <w:r>
        <w:rPr>
          <w:color w:val="010101"/>
          <w:spacing w:val="-7"/>
          <w:sz w:val="20"/>
          <w:u w:val="single" w:color="000000"/>
        </w:rPr>
        <w:t> </w:t>
      </w:r>
      <w:r>
        <w:rPr>
          <w:color w:val="010101"/>
          <w:spacing w:val="5"/>
          <w:sz w:val="20"/>
        </w:rPr>
        <w:t> </w:t>
      </w:r>
      <w:r>
        <w:rPr>
          <w:color w:val="010101"/>
          <w:w w:val="265"/>
          <w:sz w:val="20"/>
          <w:u w:val="single" w:color="000000"/>
        </w:rPr>
        <w:t>-</w:t>
      </w:r>
      <w:r>
        <w:rPr>
          <w:color w:val="010101"/>
          <w:sz w:val="20"/>
        </w:rPr>
        <w:t>  </w:t>
      </w:r>
      <w:r>
        <w:rPr>
          <w:color w:val="010101"/>
          <w:spacing w:val="20"/>
          <w:sz w:val="20"/>
        </w:rPr>
        <w:t> </w:t>
      </w:r>
      <w:r>
        <w:rPr>
          <w:i/>
          <w:color w:val="010101"/>
          <w:w w:val="103"/>
          <w:sz w:val="21"/>
          <w:u w:val="single" w:color="000000"/>
        </w:rPr>
        <w:t>n</w:t>
      </w:r>
      <w:r>
        <w:rPr>
          <w:i/>
          <w:color w:val="010101"/>
          <w:spacing w:val="21"/>
          <w:w w:val="102"/>
          <w:sz w:val="21"/>
          <w:u w:val="single" w:color="000000"/>
        </w:rPr>
        <w:t>T</w:t>
      </w:r>
      <w:r>
        <w:rPr>
          <w:i/>
          <w:color w:val="010101"/>
          <w:w w:val="65"/>
          <w:sz w:val="21"/>
          <w:u w:val="single" w:color="000000"/>
        </w:rPr>
        <w:t>z+tt</w:t>
      </w:r>
    </w:p>
    <w:p>
      <w:pPr>
        <w:spacing w:line="227" w:lineRule="exact" w:before="0"/>
        <w:ind w:left="1824" w:right="19" w:firstLine="0"/>
        <w:jc w:val="left"/>
        <w:rPr>
          <w:sz w:val="20"/>
        </w:rPr>
      </w:pPr>
      <w:r>
        <w:rPr>
          <w:i/>
          <w:color w:val="010101"/>
          <w:sz w:val="21"/>
        </w:rPr>
        <w:t>T:s </w:t>
      </w:r>
      <w:r>
        <w:rPr>
          <w:color w:val="010101"/>
          <w:w w:val="225"/>
          <w:sz w:val="21"/>
        </w:rPr>
        <w:t>-</w:t>
      </w:r>
      <w:r>
        <w:rPr>
          <w:color w:val="010101"/>
          <w:spacing w:val="-96"/>
          <w:w w:val="225"/>
          <w:sz w:val="21"/>
        </w:rPr>
        <w:t> </w:t>
      </w:r>
      <w:r>
        <w:rPr>
          <w:color w:val="010101"/>
          <w:spacing w:val="-3"/>
          <w:sz w:val="20"/>
        </w:rPr>
        <w:t>T:s+"</w:t>
      </w:r>
    </w:p>
    <w:p>
      <w:pPr>
        <w:tabs>
          <w:tab w:pos="1995" w:val="left" w:leader="none"/>
          <w:tab w:pos="3622" w:val="left" w:leader="none"/>
        </w:tabs>
        <w:spacing w:before="26"/>
        <w:ind w:left="437" w:right="19" w:firstLine="0"/>
        <w:jc w:val="left"/>
        <w:rPr>
          <w:i/>
          <w:sz w:val="16"/>
        </w:rPr>
      </w:pPr>
      <w:r>
        <w:rPr/>
        <w:pict>
          <v:shape style="position:absolute;margin-left:221.634506pt;margin-top:4.197784pt;width:2.7pt;height:6pt;mso-position-horizontal-relative:page;mso-position-vertical-relative:paragraph;z-index:-706768" type="#_x0000_t202" filled="false" stroked="false">
            <v:textbox inset="0,0,0,0">
              <w:txbxContent>
                <w:p>
                  <w:pPr>
                    <w:spacing w:line="120" w:lineRule="exact" w:before="0"/>
                    <w:ind w:left="0" w:right="0" w:firstLine="0"/>
                    <w:jc w:val="left"/>
                    <w:rPr>
                      <w:i/>
                      <w:sz w:val="12"/>
                    </w:rPr>
                  </w:pPr>
                  <w:r>
                    <w:rPr>
                      <w:i/>
                      <w:color w:val="010101"/>
                      <w:w w:val="90"/>
                      <w:sz w:val="12"/>
                    </w:rPr>
                    <w:t>2</w:t>
                  </w:r>
                </w:p>
              </w:txbxContent>
            </v:textbox>
            <w10:wrap type="none"/>
          </v:shape>
        </w:pict>
      </w:r>
      <w:r>
        <w:rPr>
          <w:color w:val="010101"/>
          <w:w w:val="115"/>
          <w:sz w:val="19"/>
        </w:rPr>
        <w:t>( b) </w:t>
      </w:r>
      <w:r>
        <w:rPr>
          <w:i/>
          <w:color w:val="010101"/>
          <w:w w:val="75"/>
          <w:sz w:val="30"/>
        </w:rPr>
        <w:t>X </w:t>
      </w:r>
      <w:r>
        <w:rPr>
          <w:i/>
          <w:color w:val="010101"/>
          <w:w w:val="115"/>
          <w:sz w:val="30"/>
        </w:rPr>
        <w:t>+</w:t>
      </w:r>
      <w:r>
        <w:rPr>
          <w:i/>
          <w:color w:val="010101"/>
          <w:spacing w:val="-71"/>
          <w:w w:val="115"/>
          <w:sz w:val="30"/>
        </w:rPr>
        <w:t> </w:t>
      </w:r>
      <w:r>
        <w:rPr>
          <w:rFonts w:ascii="Arial"/>
          <w:color w:val="010101"/>
          <w:w w:val="115"/>
          <w:sz w:val="18"/>
          <w:u w:val="thick" w:color="000000"/>
        </w:rPr>
        <w:t>2( </w:t>
      </w:r>
      <w:r>
        <w:rPr>
          <w:i/>
          <w:color w:val="010101"/>
          <w:spacing w:val="5"/>
          <w:sz w:val="21"/>
          <w:u w:val="thick" w:color="000000"/>
        </w:rPr>
        <w:t>Yz</w:t>
      </w:r>
      <w:r>
        <w:rPr>
          <w:i/>
          <w:color w:val="010101"/>
          <w:spacing w:val="16"/>
          <w:sz w:val="21"/>
          <w:u w:val="thick" w:color="000000"/>
        </w:rPr>
        <w:t> </w:t>
      </w:r>
      <w:r>
        <w:rPr>
          <w:color w:val="010101"/>
          <w:w w:val="245"/>
          <w:sz w:val="21"/>
          <w:u w:val="thick" w:color="000000"/>
        </w:rPr>
        <w:t>-</w:t>
      </w:r>
      <w:r>
        <w:rPr>
          <w:color w:val="010101"/>
          <w:w w:val="245"/>
          <w:sz w:val="21"/>
        </w:rPr>
        <w:tab/>
      </w:r>
      <w:r>
        <w:rPr>
          <w:i/>
          <w:color w:val="010101"/>
          <w:sz w:val="21"/>
          <w:u w:val="thick" w:color="000000"/>
        </w:rPr>
        <w:t>Yz+,. </w:t>
      </w:r>
      <w:r>
        <w:rPr>
          <w:color w:val="010101"/>
          <w:w w:val="245"/>
          <w:sz w:val="21"/>
          <w:u w:val="thick" w:color="000000"/>
        </w:rPr>
        <w:t>- </w:t>
      </w:r>
      <w:r>
        <w:rPr>
          <w:rFonts w:ascii="Arial"/>
          <w:i/>
          <w:color w:val="010101"/>
          <w:w w:val="115"/>
          <w:sz w:val="18"/>
          <w:u w:val="thick" w:color="000000"/>
        </w:rPr>
        <w:t>nT,,+.)</w:t>
      </w:r>
      <w:r>
        <w:rPr>
          <w:rFonts w:ascii="Arial"/>
          <w:i/>
          <w:color w:val="010101"/>
          <w:spacing w:val="35"/>
          <w:w w:val="115"/>
          <w:sz w:val="18"/>
          <w:u w:val="thick" w:color="000000"/>
        </w:rPr>
        <w:t> </w:t>
      </w:r>
      <w:r>
        <w:rPr>
          <w:rFonts w:ascii="Arial"/>
          <w:color w:val="010101"/>
          <w:w w:val="245"/>
          <w:sz w:val="18"/>
          <w:u w:val="thick" w:color="000000"/>
        </w:rPr>
        <w:t>-</w:t>
      </w:r>
      <w:r>
        <w:rPr>
          <w:rFonts w:ascii="Arial"/>
          <w:color w:val="010101"/>
          <w:w w:val="245"/>
          <w:sz w:val="18"/>
        </w:rPr>
        <w:tab/>
      </w:r>
      <w:r>
        <w:rPr>
          <w:rFonts w:ascii="Arial"/>
          <w:i/>
          <w:color w:val="010101"/>
          <w:w w:val="95"/>
          <w:sz w:val="18"/>
          <w:u w:val="thick" w:color="000000"/>
        </w:rPr>
        <w:t>n</w:t>
      </w:r>
      <w:r>
        <w:rPr>
          <w:rFonts w:ascii="Arial"/>
          <w:i/>
          <w:color w:val="010101"/>
          <w:spacing w:val="-25"/>
          <w:w w:val="95"/>
          <w:sz w:val="18"/>
          <w:u w:val="thick" w:color="000000"/>
        </w:rPr>
        <w:t> </w:t>
      </w:r>
      <w:r>
        <w:rPr>
          <w:i/>
          <w:color w:val="010101"/>
          <w:w w:val="95"/>
          <w:sz w:val="16"/>
          <w:u w:val="thick" w:color="000000"/>
        </w:rPr>
        <w:t>lz+1</w:t>
      </w:r>
      <w:r>
        <w:rPr>
          <w:i/>
          <w:color w:val="010101"/>
          <w:w w:val="95"/>
          <w:sz w:val="16"/>
        </w:rPr>
        <w:t>1</w:t>
      </w:r>
    </w:p>
    <w:p>
      <w:pPr>
        <w:spacing w:before="32"/>
        <w:ind w:left="1856" w:right="19" w:firstLine="0"/>
        <w:jc w:val="left"/>
        <w:rPr>
          <w:b/>
          <w:i/>
          <w:sz w:val="15"/>
        </w:rPr>
      </w:pPr>
      <w:r>
        <w:rPr>
          <w:b/>
          <w:i/>
          <w:color w:val="010101"/>
          <w:w w:val="165"/>
          <w:sz w:val="15"/>
        </w:rPr>
        <w:t>Ts </w:t>
      </w:r>
      <w:r>
        <w:rPr>
          <w:color w:val="010101"/>
          <w:w w:val="345"/>
          <w:sz w:val="15"/>
        </w:rPr>
        <w:t>-</w:t>
      </w:r>
      <w:r>
        <w:rPr>
          <w:color w:val="010101"/>
          <w:spacing w:val="-84"/>
          <w:w w:val="345"/>
          <w:sz w:val="15"/>
        </w:rPr>
        <w:t> </w:t>
      </w:r>
      <w:r>
        <w:rPr>
          <w:b/>
          <w:i/>
          <w:color w:val="010101"/>
          <w:w w:val="115"/>
          <w:sz w:val="15"/>
        </w:rPr>
        <w:t>Ts+n </w:t>
      </w:r>
      <w:r>
        <w:rPr>
          <w:color w:val="010101"/>
          <w:w w:val="345"/>
          <w:sz w:val="15"/>
        </w:rPr>
        <w:t>-</w:t>
      </w:r>
      <w:r>
        <w:rPr>
          <w:color w:val="010101"/>
          <w:spacing w:val="-100"/>
          <w:w w:val="345"/>
          <w:sz w:val="15"/>
        </w:rPr>
        <w:t> </w:t>
      </w:r>
      <w:r>
        <w:rPr>
          <w:b/>
          <w:i/>
          <w:color w:val="010101"/>
          <w:w w:val="115"/>
          <w:sz w:val="15"/>
        </w:rPr>
        <w:t>1Uz+tt</w:t>
      </w:r>
    </w:p>
    <w:p>
      <w:pPr>
        <w:spacing w:after="0"/>
        <w:jc w:val="left"/>
        <w:rPr>
          <w:sz w:val="15"/>
        </w:rPr>
        <w:sectPr>
          <w:type w:val="continuous"/>
          <w:pgSz w:w="7200" w:h="11340"/>
          <w:pgMar w:top="1100" w:bottom="0" w:left="700" w:right="560"/>
        </w:sectPr>
      </w:pPr>
    </w:p>
    <w:p>
      <w:pPr>
        <w:spacing w:before="62"/>
        <w:ind w:left="110" w:right="-4" w:firstLine="0"/>
        <w:jc w:val="left"/>
        <w:rPr>
          <w:rFonts w:ascii="Arial"/>
          <w:sz w:val="19"/>
        </w:rPr>
      </w:pPr>
      <w:r>
        <w:rPr>
          <w:color w:val="010101"/>
          <w:w w:val="105"/>
          <w:sz w:val="16"/>
        </w:rPr>
        <w:t>CH. </w:t>
      </w:r>
      <w:r>
        <w:rPr>
          <w:rFonts w:ascii="Arial"/>
          <w:color w:val="010101"/>
          <w:w w:val="105"/>
          <w:sz w:val="19"/>
        </w:rPr>
        <w:t>9)</w:t>
      </w:r>
    </w:p>
    <w:p>
      <w:pPr>
        <w:spacing w:before="104"/>
        <w:ind w:left="110" w:right="0" w:firstLine="0"/>
        <w:jc w:val="left"/>
        <w:rPr>
          <w:b/>
          <w:sz w:val="15"/>
        </w:rPr>
      </w:pPr>
      <w:r>
        <w:rPr/>
        <w:br w:type="column"/>
      </w:r>
      <w:r>
        <w:rPr>
          <w:b/>
          <w:color w:val="010101"/>
          <w:sz w:val="15"/>
        </w:rPr>
        <w:t>ANSWERS</w:t>
      </w:r>
    </w:p>
    <w:p>
      <w:pPr>
        <w:spacing w:before="61"/>
        <w:ind w:left="110" w:right="0" w:firstLine="0"/>
        <w:jc w:val="left"/>
        <w:rPr>
          <w:sz w:val="20"/>
        </w:rPr>
      </w:pPr>
      <w:r>
        <w:rPr/>
        <w:br w:type="column"/>
      </w:r>
      <w:r>
        <w:rPr>
          <w:color w:val="010101"/>
          <w:w w:val="105"/>
          <w:sz w:val="20"/>
        </w:rPr>
        <w:t>363</w:t>
      </w:r>
    </w:p>
    <w:p>
      <w:pPr>
        <w:spacing w:after="0"/>
        <w:jc w:val="left"/>
        <w:rPr>
          <w:sz w:val="20"/>
        </w:rPr>
        <w:sectPr>
          <w:pgSz w:w="7200" w:h="11340"/>
          <w:pgMar w:top="500" w:bottom="280" w:left="700" w:right="540"/>
          <w:cols w:num="3" w:equalWidth="0">
            <w:col w:w="638" w:space="1834"/>
            <w:col w:w="883" w:space="2077"/>
            <w:col w:w="528"/>
          </w:cols>
        </w:sectPr>
      </w:pPr>
    </w:p>
    <w:p>
      <w:pPr>
        <w:pStyle w:val="BodyText"/>
        <w:rPr>
          <w:sz w:val="14"/>
        </w:rPr>
      </w:pPr>
    </w:p>
    <w:p>
      <w:pPr>
        <w:tabs>
          <w:tab w:pos="469" w:val="left" w:leader="none"/>
        </w:tabs>
        <w:spacing w:line="272" w:lineRule="exact" w:before="72"/>
        <w:ind w:left="110" w:right="0" w:firstLine="0"/>
        <w:jc w:val="left"/>
        <w:rPr>
          <w:sz w:val="20"/>
        </w:rPr>
      </w:pPr>
      <w:r>
        <w:rPr>
          <w:rFonts w:ascii="Arial"/>
          <w:color w:val="010101"/>
          <w:w w:val="110"/>
          <w:position w:val="-9"/>
          <w:sz w:val="18"/>
        </w:rPr>
        <w:t>2</w:t>
        <w:tab/>
      </w:r>
      <w:r>
        <w:rPr>
          <w:i/>
          <w:color w:val="010101"/>
          <w:w w:val="110"/>
          <w:sz w:val="22"/>
        </w:rPr>
        <w:t>Yo</w:t>
      </w:r>
      <w:r>
        <w:rPr>
          <w:i/>
          <w:color w:val="010101"/>
          <w:spacing w:val="-12"/>
          <w:w w:val="110"/>
          <w:sz w:val="22"/>
        </w:rPr>
        <w:t> </w:t>
      </w:r>
      <w:r>
        <w:rPr>
          <w:color w:val="010101"/>
          <w:w w:val="230"/>
          <w:sz w:val="22"/>
        </w:rPr>
        <w:t>-</w:t>
      </w:r>
      <w:r>
        <w:rPr>
          <w:color w:val="010101"/>
          <w:spacing w:val="-73"/>
          <w:w w:val="230"/>
          <w:sz w:val="22"/>
        </w:rPr>
        <w:t> </w:t>
      </w:r>
      <w:r>
        <w:rPr>
          <w:i/>
          <w:color w:val="010101"/>
          <w:sz w:val="22"/>
        </w:rPr>
        <w:t>Yao</w:t>
      </w:r>
      <w:r>
        <w:rPr>
          <w:i/>
          <w:color w:val="010101"/>
          <w:spacing w:val="-5"/>
          <w:sz w:val="22"/>
        </w:rPr>
        <w:t> </w:t>
      </w:r>
      <w:r>
        <w:rPr>
          <w:color w:val="010101"/>
          <w:w w:val="230"/>
          <w:sz w:val="22"/>
        </w:rPr>
        <w:t>-</w:t>
      </w:r>
      <w:r>
        <w:rPr>
          <w:color w:val="010101"/>
          <w:spacing w:val="-92"/>
          <w:w w:val="230"/>
          <w:sz w:val="22"/>
        </w:rPr>
        <w:t> </w:t>
      </w:r>
      <w:r>
        <w:rPr>
          <w:color w:val="010101"/>
          <w:w w:val="110"/>
          <w:sz w:val="20"/>
        </w:rPr>
        <w:t>30T.,</w:t>
      </w:r>
    </w:p>
    <w:p>
      <w:pPr>
        <w:pStyle w:val="ListParagraph"/>
        <w:numPr>
          <w:ilvl w:val="0"/>
          <w:numId w:val="158"/>
        </w:numPr>
        <w:tabs>
          <w:tab w:pos="865" w:val="left" w:leader="none"/>
        </w:tabs>
        <w:spacing w:line="228" w:lineRule="exact" w:before="0" w:after="0"/>
        <w:ind w:left="864" w:right="0" w:hanging="643"/>
        <w:jc w:val="left"/>
        <w:rPr>
          <w:rFonts w:ascii="Arial"/>
          <w:b/>
          <w:sz w:val="11"/>
        </w:rPr>
      </w:pPr>
      <w:r>
        <w:rPr/>
        <w:pict>
          <v:line style="position:absolute;mso-position-horizontal-relative:page;mso-position-vertical-relative:paragraph;z-index:-706696" from="78.385651pt,7.885266pt" to="87.533631pt,7.885266pt" stroked="true" strokeweight="2.331839pt" strokecolor="#000000">
            <w10:wrap type="none"/>
          </v:line>
        </w:pict>
      </w:r>
      <w:r>
        <w:rPr>
          <w:i/>
          <w:color w:val="010101"/>
          <w:sz w:val="22"/>
        </w:rPr>
        <w:t>T</w:t>
      </w:r>
      <w:r>
        <w:rPr>
          <w:rFonts w:ascii="Arial"/>
          <w:color w:val="010101"/>
          <w:position w:val="-5"/>
          <w:sz w:val="16"/>
        </w:rPr>
        <w:t>o </w:t>
      </w:r>
      <w:r>
        <w:rPr>
          <w:rFonts w:ascii="Arial"/>
          <w:color w:val="010101"/>
          <w:w w:val="325"/>
          <w:position w:val="-5"/>
          <w:sz w:val="16"/>
        </w:rPr>
        <w:t>-</w:t>
      </w:r>
      <w:r>
        <w:rPr>
          <w:rFonts w:ascii="Arial"/>
          <w:color w:val="010101"/>
          <w:spacing w:val="-72"/>
          <w:w w:val="325"/>
          <w:position w:val="-5"/>
          <w:sz w:val="16"/>
        </w:rPr>
        <w:t> </w:t>
      </w:r>
      <w:r>
        <w:rPr>
          <w:i/>
          <w:color w:val="010101"/>
          <w:sz w:val="22"/>
        </w:rPr>
        <w:t>T</w:t>
      </w:r>
      <w:r>
        <w:rPr>
          <w:rFonts w:ascii="Arial"/>
          <w:b/>
          <w:color w:val="010101"/>
          <w:position w:val="-5"/>
          <w:sz w:val="11"/>
        </w:rPr>
        <w:t>JO</w:t>
      </w:r>
    </w:p>
    <w:p>
      <w:pPr>
        <w:spacing w:line="343" w:lineRule="exact" w:before="48"/>
        <w:ind w:left="110" w:right="0" w:firstLine="0"/>
        <w:jc w:val="left"/>
        <w:rPr>
          <w:sz w:val="20"/>
        </w:rPr>
      </w:pPr>
      <w:r>
        <w:rPr>
          <w:color w:val="010101"/>
          <w:sz w:val="20"/>
        </w:rPr>
        <w:t>22.  30 </w:t>
      </w:r>
      <w:r>
        <w:rPr>
          <w:rFonts w:ascii="Arial" w:hAnsi="Arial"/>
          <w:color w:val="010101"/>
          <w:sz w:val="32"/>
        </w:rPr>
        <w:t>+ </w:t>
      </w:r>
      <w:r>
        <w:rPr>
          <w:i/>
          <w:color w:val="010101"/>
          <w:w w:val="230"/>
          <w:sz w:val="22"/>
          <w:u w:val="thick" w:color="000000"/>
        </w:rPr>
        <w:t>T </w:t>
      </w:r>
      <w:r>
        <w:rPr>
          <w:color w:val="010101"/>
          <w:w w:val="230"/>
          <w:sz w:val="22"/>
          <w:u w:val="thick" w:color="000000"/>
        </w:rPr>
        <w:t>- </w:t>
      </w:r>
      <w:r>
        <w:rPr>
          <w:i/>
          <w:color w:val="010101"/>
          <w:sz w:val="22"/>
          <w:u w:val="thick" w:color="000000"/>
        </w:rPr>
        <w:t>T,,. </w:t>
      </w:r>
      <w:r>
        <w:rPr>
          <w:color w:val="010101"/>
          <w:w w:val="230"/>
          <w:sz w:val="22"/>
          <w:u w:val="thick" w:color="000000"/>
        </w:rPr>
        <w:t>- </w:t>
      </w:r>
      <w:r>
        <w:rPr>
          <w:color w:val="010101"/>
          <w:sz w:val="20"/>
          <w:u w:val="thick" w:color="000000"/>
        </w:rPr>
        <w:t>20l¡o</w:t>
      </w:r>
    </w:p>
    <w:p>
      <w:pPr>
        <w:spacing w:line="205" w:lineRule="exact" w:before="0"/>
        <w:ind w:left="1413" w:right="0" w:firstLine="0"/>
        <w:jc w:val="left"/>
        <w:rPr>
          <w:i/>
          <w:sz w:val="20"/>
        </w:rPr>
      </w:pPr>
      <w:r>
        <w:rPr>
          <w:i/>
          <w:color w:val="010101"/>
          <w:w w:val="145"/>
          <w:sz w:val="20"/>
        </w:rPr>
        <w:t>l.,</w:t>
      </w:r>
      <w:r>
        <w:rPr>
          <w:i/>
          <w:color w:val="010101"/>
          <w:spacing w:val="-55"/>
          <w:w w:val="145"/>
          <w:sz w:val="20"/>
        </w:rPr>
        <w:t> </w:t>
      </w:r>
      <w:r>
        <w:rPr>
          <w:color w:val="010101"/>
          <w:w w:val="240"/>
          <w:sz w:val="20"/>
        </w:rPr>
        <w:t>-</w:t>
      </w:r>
      <w:r>
        <w:rPr>
          <w:color w:val="010101"/>
          <w:spacing w:val="-104"/>
          <w:w w:val="240"/>
          <w:sz w:val="20"/>
        </w:rPr>
        <w:t> </w:t>
      </w:r>
      <w:r>
        <w:rPr>
          <w:i/>
          <w:color w:val="010101"/>
          <w:w w:val="95"/>
          <w:sz w:val="20"/>
        </w:rPr>
        <w:t>liO</w:t>
      </w:r>
    </w:p>
    <w:p>
      <w:pPr>
        <w:pStyle w:val="BodyText"/>
        <w:spacing w:line="323" w:lineRule="exact" w:before="94"/>
        <w:ind w:left="110"/>
        <w:rPr>
          <w:i/>
          <w:sz w:val="21"/>
        </w:rPr>
      </w:pPr>
      <w:r>
        <w:rPr>
          <w:color w:val="010101"/>
          <w:w w:val="110"/>
        </w:rPr>
        <w:t>23. </w:t>
      </w:r>
      <w:r>
        <w:rPr>
          <w:color w:val="010101"/>
          <w:w w:val="140"/>
        </w:rPr>
        <w:t>(a) 1 </w:t>
      </w:r>
      <w:r>
        <w:rPr>
          <w:color w:val="010101"/>
          <w:w w:val="245"/>
        </w:rPr>
        <w:t>-</w:t>
      </w:r>
      <w:r>
        <w:rPr>
          <w:color w:val="010101"/>
          <w:spacing w:val="-66"/>
          <w:w w:val="245"/>
        </w:rPr>
        <w:t> </w:t>
      </w:r>
      <w:r>
        <w:rPr>
          <w:i/>
          <w:color w:val="010101"/>
          <w:w w:val="140"/>
          <w:position w:val="13"/>
          <w:sz w:val="21"/>
        </w:rPr>
        <w:t>n</w:t>
      </w:r>
    </w:p>
    <w:p>
      <w:pPr>
        <w:pStyle w:val="BodyText"/>
        <w:spacing w:line="183" w:lineRule="exact"/>
        <w:ind w:left="1226"/>
      </w:pPr>
      <w:r>
        <w:rPr/>
        <w:pict>
          <v:rect style="position:absolute;margin-left:96.322868pt;margin-top:.178405pt;width:9.506730pt;height:6.816143pt;mso-position-horizontal-relative:page;mso-position-vertical-relative:paragraph;z-index:-706672" filled="true" fillcolor="#000000" stroked="false">
            <v:fill type="solid"/>
            <w10:wrap type="none"/>
          </v:rect>
        </w:pict>
      </w:r>
      <w:r>
        <w:rPr>
          <w:color w:val="010101"/>
          <w:w w:val="105"/>
        </w:rPr>
        <w:t>75</w:t>
      </w:r>
    </w:p>
    <w:p>
      <w:pPr>
        <w:spacing w:before="176"/>
        <w:ind w:left="430" w:right="0" w:firstLine="0"/>
        <w:jc w:val="left"/>
        <w:rPr>
          <w:rFonts w:ascii="Arial"/>
          <w:b/>
          <w:i/>
          <w:sz w:val="15"/>
        </w:rPr>
      </w:pPr>
      <w:r>
        <w:rPr>
          <w:color w:val="010101"/>
          <w:w w:val="120"/>
          <w:sz w:val="20"/>
        </w:rPr>
        <w:t>( b)  </w:t>
      </w:r>
      <w:r>
        <w:rPr>
          <w:color w:val="010101"/>
          <w:w w:val="120"/>
          <w:sz w:val="20"/>
          <w:u w:val="single" w:color="000000"/>
        </w:rPr>
        <w:t>1 </w:t>
      </w:r>
      <w:r>
        <w:rPr>
          <w:color w:val="010101"/>
          <w:w w:val="255"/>
          <w:sz w:val="20"/>
          <w:u w:val="single" w:color="000000"/>
        </w:rPr>
        <w:t>- </w:t>
      </w:r>
      <w:r>
        <w:rPr>
          <w:rFonts w:ascii="Arial"/>
          <w:b/>
          <w:i/>
          <w:color w:val="010101"/>
          <w:w w:val="120"/>
          <w:sz w:val="15"/>
          <w:u w:val="single" w:color="000000"/>
        </w:rPr>
        <w:t>IJ.z</w:t>
      </w:r>
    </w:p>
    <w:p>
      <w:pPr>
        <w:spacing w:before="54"/>
        <w:ind w:left="1039" w:right="0" w:firstLine="0"/>
        <w:jc w:val="left"/>
        <w:rPr>
          <w:b/>
          <w:sz w:val="13"/>
        </w:rPr>
      </w:pPr>
      <w:r>
        <w:rPr>
          <w:b/>
          <w:color w:val="010101"/>
          <w:sz w:val="13"/>
        </w:rPr>
        <w:t>1,1Jz</w:t>
      </w:r>
    </w:p>
    <w:p>
      <w:pPr>
        <w:pStyle w:val="BodyText"/>
        <w:spacing w:before="1"/>
        <w:rPr>
          <w:b/>
          <w:sz w:val="10"/>
        </w:rPr>
      </w:pPr>
    </w:p>
    <w:p>
      <w:pPr>
        <w:pStyle w:val="BodyText"/>
        <w:ind w:left="103"/>
      </w:pPr>
      <w:r>
        <w:rPr>
          <w:color w:val="010101"/>
          <w:w w:val="105"/>
        </w:rPr>
        <w:t>24.  8000, 16</w:t>
      </w:r>
    </w:p>
    <w:p>
      <w:pPr>
        <w:spacing w:line="367" w:lineRule="exact" w:before="27"/>
        <w:ind w:left="100" w:right="0" w:firstLine="0"/>
        <w:jc w:val="left"/>
        <w:rPr>
          <w:i/>
          <w:sz w:val="20"/>
        </w:rPr>
      </w:pPr>
      <w:r>
        <w:rPr>
          <w:color w:val="010101"/>
          <w:w w:val="110"/>
          <w:sz w:val="20"/>
        </w:rPr>
        <w:t>25. 2400 </w:t>
      </w:r>
      <w:r>
        <w:rPr>
          <w:i/>
          <w:color w:val="010101"/>
          <w:w w:val="95"/>
          <w:sz w:val="20"/>
        </w:rPr>
        <w:t>lso </w:t>
      </w:r>
      <w:r>
        <w:rPr>
          <w:color w:val="010101"/>
          <w:w w:val="245"/>
          <w:sz w:val="20"/>
        </w:rPr>
        <w:t>-</w:t>
      </w:r>
      <w:r>
        <w:rPr>
          <w:color w:val="010101"/>
          <w:spacing w:val="-96"/>
          <w:w w:val="245"/>
          <w:sz w:val="20"/>
        </w:rPr>
        <w:t> </w:t>
      </w:r>
      <w:r>
        <w:rPr>
          <w:color w:val="010101"/>
          <w:w w:val="110"/>
          <w:sz w:val="20"/>
        </w:rPr>
        <w:t>3200 </w:t>
      </w:r>
      <w:r>
        <w:rPr>
          <w:i/>
          <w:color w:val="010101"/>
          <w:w w:val="95"/>
          <w:sz w:val="20"/>
        </w:rPr>
        <w:t>lao </w:t>
      </w:r>
      <w:r>
        <w:rPr>
          <w:rFonts w:ascii="Arial"/>
          <w:color w:val="010101"/>
          <w:w w:val="110"/>
          <w:sz w:val="32"/>
        </w:rPr>
        <w:t>+</w:t>
      </w:r>
      <w:r>
        <w:rPr>
          <w:rFonts w:ascii="Arial"/>
          <w:color w:val="010101"/>
          <w:spacing w:val="-64"/>
          <w:w w:val="110"/>
          <w:sz w:val="32"/>
        </w:rPr>
        <w:t> </w:t>
      </w:r>
      <w:r>
        <w:rPr>
          <w:color w:val="010101"/>
          <w:spacing w:val="-16"/>
          <w:w w:val="110"/>
          <w:sz w:val="20"/>
        </w:rPr>
        <w:t>100 </w:t>
      </w:r>
      <w:r>
        <w:rPr>
          <w:i/>
          <w:color w:val="010101"/>
          <w:w w:val="95"/>
          <w:sz w:val="20"/>
        </w:rPr>
        <w:t>Tr,o </w:t>
      </w:r>
      <w:r>
        <w:rPr>
          <w:color w:val="010101"/>
          <w:w w:val="245"/>
          <w:sz w:val="20"/>
        </w:rPr>
        <w:t>-</w:t>
      </w:r>
      <w:r>
        <w:rPr>
          <w:color w:val="010101"/>
          <w:spacing w:val="-91"/>
          <w:w w:val="245"/>
          <w:sz w:val="20"/>
        </w:rPr>
        <w:t> </w:t>
      </w:r>
      <w:r>
        <w:rPr>
          <w:color w:val="010101"/>
          <w:w w:val="110"/>
          <w:sz w:val="20"/>
        </w:rPr>
        <w:t>140 </w:t>
      </w:r>
      <w:r>
        <w:rPr>
          <w:i/>
          <w:color w:val="010101"/>
          <w:spacing w:val="4"/>
          <w:w w:val="95"/>
          <w:sz w:val="20"/>
        </w:rPr>
        <w:t>Tro</w:t>
      </w:r>
    </w:p>
    <w:p>
      <w:pPr>
        <w:spacing w:line="367" w:lineRule="exact" w:before="0"/>
        <w:ind w:left="871" w:right="0" w:firstLine="0"/>
        <w:jc w:val="left"/>
        <w:rPr>
          <w:sz w:val="19"/>
        </w:rPr>
      </w:pPr>
      <w:r>
        <w:rPr>
          <w:rFonts w:ascii="Arial"/>
          <w:color w:val="010101"/>
          <w:sz w:val="32"/>
        </w:rPr>
        <w:t>+</w:t>
      </w:r>
      <w:r>
        <w:rPr>
          <w:rFonts w:ascii="Arial"/>
          <w:color w:val="010101"/>
          <w:spacing w:val="-53"/>
          <w:sz w:val="32"/>
        </w:rPr>
        <w:t> </w:t>
      </w:r>
      <w:r>
        <w:rPr>
          <w:color w:val="010101"/>
          <w:sz w:val="19"/>
        </w:rPr>
        <w:t>40 </w:t>
      </w:r>
      <w:r>
        <w:rPr>
          <w:i/>
          <w:color w:val="010101"/>
          <w:spacing w:val="3"/>
          <w:sz w:val="22"/>
        </w:rPr>
        <w:t>Tso </w:t>
      </w:r>
      <w:r>
        <w:rPr>
          <w:rFonts w:ascii="Arial"/>
          <w:color w:val="010101"/>
          <w:sz w:val="32"/>
        </w:rPr>
        <w:t>+ </w:t>
      </w:r>
      <w:r>
        <w:rPr>
          <w:color w:val="010101"/>
          <w:sz w:val="19"/>
        </w:rPr>
        <w:t>2 </w:t>
      </w:r>
      <w:r>
        <w:rPr>
          <w:i/>
          <w:color w:val="010101"/>
          <w:sz w:val="21"/>
        </w:rPr>
        <w:t>Yeo </w:t>
      </w:r>
      <w:r>
        <w:rPr>
          <w:color w:val="010101"/>
          <w:w w:val="235"/>
          <w:sz w:val="21"/>
        </w:rPr>
        <w:t>-</w:t>
      </w:r>
      <w:r>
        <w:rPr>
          <w:color w:val="010101"/>
          <w:spacing w:val="-79"/>
          <w:w w:val="235"/>
          <w:sz w:val="21"/>
        </w:rPr>
        <w:t> </w:t>
      </w:r>
      <w:r>
        <w:rPr>
          <w:i/>
          <w:color w:val="010101"/>
          <w:spacing w:val="-6"/>
          <w:sz w:val="21"/>
        </w:rPr>
        <w:t>4Y10 </w:t>
      </w:r>
      <w:r>
        <w:rPr>
          <w:rFonts w:ascii="Arial"/>
          <w:color w:val="010101"/>
          <w:sz w:val="32"/>
        </w:rPr>
        <w:t>+ </w:t>
      </w:r>
      <w:r>
        <w:rPr>
          <w:color w:val="010101"/>
          <w:sz w:val="19"/>
        </w:rPr>
        <w:t>2Y,o</w:t>
      </w:r>
    </w:p>
    <w:p>
      <w:pPr>
        <w:spacing w:before="136"/>
        <w:ind w:left="118" w:right="131" w:firstLine="0"/>
        <w:jc w:val="center"/>
        <w:rPr>
          <w:rFonts w:ascii="Arial"/>
          <w:sz w:val="20"/>
        </w:rPr>
      </w:pPr>
      <w:r>
        <w:rPr>
          <w:rFonts w:ascii="Arial"/>
          <w:color w:val="010101"/>
          <w:w w:val="105"/>
          <w:sz w:val="15"/>
        </w:rPr>
        <w:t>CHAPTER  </w:t>
      </w:r>
      <w:r>
        <w:rPr>
          <w:rFonts w:ascii="Arial"/>
          <w:color w:val="010101"/>
          <w:w w:val="105"/>
          <w:sz w:val="20"/>
        </w:rPr>
        <w:t>9</w:t>
      </w:r>
    </w:p>
    <w:p>
      <w:pPr>
        <w:spacing w:before="155"/>
        <w:ind w:left="211" w:right="0" w:firstLine="0"/>
        <w:jc w:val="left"/>
        <w:rPr>
          <w:i/>
          <w:sz w:val="20"/>
        </w:rPr>
      </w:pPr>
      <w:r>
        <w:rPr>
          <w:color w:val="010101"/>
          <w:w w:val="125"/>
          <w:sz w:val="20"/>
        </w:rPr>
        <w:t>l.  </w:t>
      </w:r>
      <w:r>
        <w:rPr>
          <w:color w:val="010101"/>
          <w:w w:val="110"/>
          <w:sz w:val="20"/>
        </w:rPr>
        <w:t>(a) </w:t>
      </w:r>
      <w:r>
        <w:rPr>
          <w:i/>
          <w:color w:val="010101"/>
          <w:sz w:val="20"/>
        </w:rPr>
        <w:t>nPz </w:t>
      </w:r>
      <w:r>
        <w:rPr>
          <w:i/>
          <w:color w:val="010101"/>
          <w:w w:val="110"/>
          <w:sz w:val="20"/>
        </w:rPr>
        <w:t>·"p"</w:t>
      </w:r>
    </w:p>
    <w:p>
      <w:pPr>
        <w:spacing w:line="343" w:lineRule="exact" w:before="25"/>
        <w:ind w:left="491" w:right="0" w:firstLine="0"/>
        <w:jc w:val="left"/>
        <w:rPr>
          <w:b/>
          <w:i/>
          <w:sz w:val="13"/>
        </w:rPr>
      </w:pPr>
      <w:r>
        <w:rPr>
          <w:rFonts w:ascii="Arial"/>
          <w:color w:val="010101"/>
          <w:w w:val="110"/>
          <w:sz w:val="19"/>
        </w:rPr>
        <w:t>(b) </w:t>
      </w:r>
      <w:r>
        <w:rPr>
          <w:color w:val="010101"/>
          <w:w w:val="95"/>
          <w:sz w:val="20"/>
        </w:rPr>
        <w:t>flPz </w:t>
      </w:r>
      <w:r>
        <w:rPr>
          <w:rFonts w:ascii="Arial"/>
          <w:color w:val="010101"/>
          <w:w w:val="95"/>
          <w:sz w:val="31"/>
        </w:rPr>
        <w:t>+</w:t>
      </w:r>
      <w:r>
        <w:rPr>
          <w:rFonts w:ascii="Arial"/>
          <w:color w:val="010101"/>
          <w:spacing w:val="-50"/>
          <w:w w:val="95"/>
          <w:sz w:val="31"/>
        </w:rPr>
        <w:t> </w:t>
      </w:r>
      <w:r>
        <w:rPr>
          <w:rFonts w:ascii="Arial"/>
          <w:b/>
          <w:color w:val="010101"/>
          <w:w w:val="95"/>
          <w:sz w:val="18"/>
        </w:rPr>
        <w:t>flpJI </w:t>
      </w:r>
      <w:r>
        <w:rPr>
          <w:rFonts w:ascii="Arial"/>
          <w:color w:val="010101"/>
          <w:w w:val="255"/>
          <w:sz w:val="18"/>
        </w:rPr>
        <w:t>-</w:t>
      </w:r>
      <w:r>
        <w:rPr>
          <w:rFonts w:ascii="Arial"/>
          <w:color w:val="010101"/>
          <w:spacing w:val="-99"/>
          <w:w w:val="255"/>
          <w:sz w:val="18"/>
        </w:rPr>
        <w:t> </w:t>
      </w:r>
      <w:r>
        <w:rPr>
          <w:b/>
          <w:i/>
          <w:color w:val="010101"/>
          <w:w w:val="95"/>
          <w:sz w:val="20"/>
        </w:rPr>
        <w:t>2,.p:,:' </w:t>
      </w:r>
      <w:r>
        <w:rPr>
          <w:b/>
          <w:i/>
          <w:color w:val="010101"/>
          <w:w w:val="95"/>
          <w:sz w:val="13"/>
        </w:rPr>
        <w:t>nP11</w:t>
      </w:r>
    </w:p>
    <w:p>
      <w:pPr>
        <w:spacing w:line="354" w:lineRule="exact" w:before="0"/>
        <w:ind w:left="487" w:right="0" w:firstLine="0"/>
        <w:jc w:val="left"/>
        <w:rPr>
          <w:i/>
          <w:sz w:val="20"/>
        </w:rPr>
      </w:pPr>
      <w:r>
        <w:rPr>
          <w:color w:val="010101"/>
          <w:spacing w:val="7"/>
          <w:w w:val="120"/>
          <w:sz w:val="20"/>
        </w:rPr>
        <w:t>(e) </w:t>
      </w:r>
      <w:r>
        <w:rPr>
          <w:i/>
          <w:color w:val="010101"/>
          <w:w w:val="95"/>
          <w:sz w:val="20"/>
        </w:rPr>
        <w:t>,.,pz </w:t>
      </w:r>
      <w:r>
        <w:rPr>
          <w:rFonts w:ascii="Arial" w:hAnsi="Arial"/>
          <w:color w:val="010101"/>
          <w:w w:val="120"/>
          <w:sz w:val="32"/>
        </w:rPr>
        <w:t>+</w:t>
      </w:r>
      <w:r>
        <w:rPr>
          <w:rFonts w:ascii="Arial" w:hAnsi="Arial"/>
          <w:color w:val="010101"/>
          <w:spacing w:val="-87"/>
          <w:w w:val="120"/>
          <w:sz w:val="32"/>
        </w:rPr>
        <w:t> </w:t>
      </w:r>
      <w:r>
        <w:rPr>
          <w:i/>
          <w:color w:val="010101"/>
          <w:w w:val="95"/>
          <w:sz w:val="20"/>
        </w:rPr>
        <w:t>,.p,, </w:t>
      </w:r>
      <w:r>
        <w:rPr>
          <w:color w:val="010101"/>
          <w:w w:val="200"/>
          <w:sz w:val="20"/>
        </w:rPr>
        <w:t>-</w:t>
      </w:r>
      <w:r>
        <w:rPr>
          <w:color w:val="010101"/>
          <w:spacing w:val="-80"/>
          <w:w w:val="200"/>
          <w:sz w:val="20"/>
        </w:rPr>
        <w:t> </w:t>
      </w:r>
      <w:r>
        <w:rPr>
          <w:i/>
          <w:color w:val="010101"/>
          <w:w w:val="95"/>
          <w:sz w:val="20"/>
        </w:rPr>
        <w:t>,.ps·,.,p11</w:t>
      </w:r>
    </w:p>
    <w:p>
      <w:pPr>
        <w:spacing w:before="92"/>
        <w:ind w:left="483" w:right="0" w:firstLine="0"/>
        <w:jc w:val="left"/>
        <w:rPr>
          <w:b/>
          <w:sz w:val="20"/>
        </w:rPr>
      </w:pPr>
      <w:r>
        <w:rPr>
          <w:b/>
          <w:color w:val="010101"/>
          <w:w w:val="125"/>
          <w:sz w:val="21"/>
        </w:rPr>
        <w:t>{d) </w:t>
      </w:r>
      <w:r>
        <w:rPr>
          <w:b/>
          <w:color w:val="010101"/>
          <w:sz w:val="20"/>
        </w:rPr>
        <w:t>1 </w:t>
      </w:r>
      <w:r>
        <w:rPr>
          <w:color w:val="010101"/>
          <w:w w:val="165"/>
          <w:sz w:val="20"/>
        </w:rPr>
        <w:t>-</w:t>
      </w:r>
      <w:r>
        <w:rPr>
          <w:color w:val="010101"/>
          <w:spacing w:val="-63"/>
          <w:w w:val="165"/>
          <w:sz w:val="20"/>
        </w:rPr>
        <w:t> </w:t>
      </w:r>
      <w:r>
        <w:rPr>
          <w:b/>
          <w:color w:val="010101"/>
          <w:sz w:val="20"/>
        </w:rPr>
        <w:t>nPz·,.,p,,</w:t>
      </w:r>
    </w:p>
    <w:p>
      <w:pPr>
        <w:spacing w:before="124"/>
        <w:ind w:left="483" w:right="0" w:firstLine="0"/>
        <w:jc w:val="left"/>
        <w:rPr>
          <w:i/>
          <w:sz w:val="20"/>
        </w:rPr>
      </w:pPr>
      <w:r>
        <w:rPr>
          <w:color w:val="010101"/>
          <w:w w:val="130"/>
          <w:sz w:val="20"/>
        </w:rPr>
        <w:t>(e) 1 </w:t>
      </w:r>
      <w:r>
        <w:rPr>
          <w:color w:val="010101"/>
          <w:w w:val="240"/>
          <w:sz w:val="20"/>
        </w:rPr>
        <w:t>-</w:t>
      </w:r>
      <w:r>
        <w:rPr>
          <w:color w:val="010101"/>
          <w:spacing w:val="-103"/>
          <w:w w:val="240"/>
          <w:sz w:val="20"/>
        </w:rPr>
        <w:t> </w:t>
      </w:r>
      <w:r>
        <w:rPr>
          <w:i/>
          <w:color w:val="010101"/>
          <w:sz w:val="20"/>
        </w:rPr>
        <w:t>,.,ps·,.,p,,</w:t>
      </w:r>
    </w:p>
    <w:p>
      <w:pPr>
        <w:pStyle w:val="BodyText"/>
        <w:spacing w:before="7"/>
        <w:rPr>
          <w:i/>
          <w:sz w:val="9"/>
        </w:rPr>
      </w:pPr>
      <w:r>
        <w:rPr/>
        <w:drawing>
          <wp:anchor distT="0" distB="0" distL="0" distR="0" allowOverlap="1" layoutInCell="1" locked="0" behindDoc="0" simplePos="0" relativeHeight="29320">
            <wp:simplePos x="0" y="0"/>
            <wp:positionH relativeFrom="page">
              <wp:posOffset>749808</wp:posOffset>
            </wp:positionH>
            <wp:positionV relativeFrom="paragraph">
              <wp:posOffset>95368</wp:posOffset>
            </wp:positionV>
            <wp:extent cx="1344167" cy="137160"/>
            <wp:effectExtent l="0" t="0" r="0" b="0"/>
            <wp:wrapTopAndBottom/>
            <wp:docPr id="847" name="image434.png" descr=""/>
            <wp:cNvGraphicFramePr>
              <a:graphicFrameLocks noChangeAspect="1"/>
            </wp:cNvGraphicFramePr>
            <a:graphic>
              <a:graphicData uri="http://schemas.openxmlformats.org/drawingml/2006/picture">
                <pic:pic>
                  <pic:nvPicPr>
                    <pic:cNvPr id="848" name="image434.png"/>
                    <pic:cNvPicPr/>
                  </pic:nvPicPr>
                  <pic:blipFill>
                    <a:blip r:embed="rId438" cstate="print"/>
                    <a:stretch>
                      <a:fillRect/>
                    </a:stretch>
                  </pic:blipFill>
                  <pic:spPr>
                    <a:xfrm>
                      <a:off x="0" y="0"/>
                      <a:ext cx="1344167" cy="137160"/>
                    </a:xfrm>
                    <a:prstGeom prst="rect">
                      <a:avLst/>
                    </a:prstGeom>
                  </pic:spPr>
                </pic:pic>
              </a:graphicData>
            </a:graphic>
          </wp:anchor>
        </w:drawing>
      </w:r>
      <w:r>
        <w:rPr/>
        <w:drawing>
          <wp:anchor distT="0" distB="0" distL="0" distR="0" allowOverlap="1" layoutInCell="1" locked="0" behindDoc="0" simplePos="0" relativeHeight="29344">
            <wp:simplePos x="0" y="0"/>
            <wp:positionH relativeFrom="page">
              <wp:posOffset>566927</wp:posOffset>
            </wp:positionH>
            <wp:positionV relativeFrom="paragraph">
              <wp:posOffset>333112</wp:posOffset>
            </wp:positionV>
            <wp:extent cx="1097279" cy="137160"/>
            <wp:effectExtent l="0" t="0" r="0" b="0"/>
            <wp:wrapTopAndBottom/>
            <wp:docPr id="849" name="image435.png" descr=""/>
            <wp:cNvGraphicFramePr>
              <a:graphicFrameLocks noChangeAspect="1"/>
            </wp:cNvGraphicFramePr>
            <a:graphic>
              <a:graphicData uri="http://schemas.openxmlformats.org/drawingml/2006/picture">
                <pic:pic>
                  <pic:nvPicPr>
                    <pic:cNvPr id="850" name="image435.png"/>
                    <pic:cNvPicPr/>
                  </pic:nvPicPr>
                  <pic:blipFill>
                    <a:blip r:embed="rId439" cstate="print"/>
                    <a:stretch>
                      <a:fillRect/>
                    </a:stretch>
                  </pic:blipFill>
                  <pic:spPr>
                    <a:xfrm>
                      <a:off x="0" y="0"/>
                      <a:ext cx="1097279" cy="137160"/>
                    </a:xfrm>
                    <a:prstGeom prst="rect">
                      <a:avLst/>
                    </a:prstGeom>
                  </pic:spPr>
                </pic:pic>
              </a:graphicData>
            </a:graphic>
          </wp:anchor>
        </w:drawing>
      </w:r>
    </w:p>
    <w:p>
      <w:pPr>
        <w:pStyle w:val="BodyText"/>
        <w:spacing w:before="9"/>
        <w:rPr>
          <w:i/>
          <w:sz w:val="7"/>
        </w:rPr>
      </w:pPr>
    </w:p>
    <w:p>
      <w:pPr>
        <w:pStyle w:val="BodyText"/>
        <w:spacing w:before="83"/>
        <w:ind w:left="483"/>
      </w:pPr>
      <w:r>
        <w:rPr>
          <w:color w:val="010101"/>
          <w:w w:val="115"/>
        </w:rPr>
        <w:t>(b) (1 </w:t>
      </w:r>
      <w:r>
        <w:rPr>
          <w:color w:val="010101"/>
          <w:w w:val="255"/>
        </w:rPr>
        <w:t>-</w:t>
      </w:r>
      <w:r>
        <w:rPr>
          <w:color w:val="010101"/>
          <w:spacing w:val="-97"/>
          <w:w w:val="255"/>
        </w:rPr>
        <w:t> </w:t>
      </w:r>
      <w:r>
        <w:rPr>
          <w:color w:val="010101"/>
          <w:w w:val="90"/>
        </w:rPr>
        <w:t>,.,¡q:,: </w:t>
      </w:r>
      <w:r>
        <w:rPr>
          <w:color w:val="010101"/>
          <w:w w:val="115"/>
        </w:rPr>
        <w:t>)(1 </w:t>
      </w:r>
      <w:r>
        <w:rPr>
          <w:color w:val="010101"/>
          <w:w w:val="255"/>
        </w:rPr>
        <w:t>-</w:t>
      </w:r>
      <w:r>
        <w:rPr>
          <w:color w:val="010101"/>
          <w:spacing w:val="-97"/>
          <w:w w:val="255"/>
        </w:rPr>
        <w:t> </w:t>
      </w:r>
      <w:r>
        <w:rPr>
          <w:color w:val="010101"/>
          <w:w w:val="115"/>
        </w:rPr>
        <w:t>fl,q,,)(l </w:t>
      </w:r>
      <w:r>
        <w:rPr>
          <w:color w:val="010101"/>
          <w:w w:val="255"/>
        </w:rPr>
        <w:t>-</w:t>
      </w:r>
      <w:r>
        <w:rPr>
          <w:color w:val="010101"/>
          <w:spacing w:val="-100"/>
          <w:w w:val="255"/>
        </w:rPr>
        <w:t> </w:t>
      </w:r>
      <w:r>
        <w:rPr>
          <w:color w:val="010101"/>
          <w:w w:val="115"/>
        </w:rPr>
        <w:t>,.,q.)</w:t>
      </w:r>
    </w:p>
    <w:p>
      <w:pPr>
        <w:pStyle w:val="BodyText"/>
        <w:spacing w:before="165"/>
        <w:ind w:left="473"/>
      </w:pPr>
      <w:r>
        <w:rPr>
          <w:color w:val="010101"/>
          <w:w w:val="125"/>
        </w:rPr>
        <w:t>(e)  1 </w:t>
      </w:r>
      <w:r>
        <w:rPr>
          <w:color w:val="010101"/>
          <w:w w:val="260"/>
        </w:rPr>
        <w:t>-</w:t>
      </w:r>
      <w:r>
        <w:rPr>
          <w:color w:val="010101"/>
          <w:spacing w:val="-92"/>
          <w:w w:val="260"/>
        </w:rPr>
        <w:t> </w:t>
      </w:r>
      <w:r>
        <w:rPr>
          <w:color w:val="010101"/>
          <w:w w:val="125"/>
        </w:rPr>
        <w:t>(b)</w:t>
      </w:r>
    </w:p>
    <w:p>
      <w:pPr>
        <w:spacing w:before="127"/>
        <w:ind w:left="182" w:right="0" w:firstLine="0"/>
        <w:jc w:val="left"/>
        <w:rPr>
          <w:sz w:val="17"/>
        </w:rPr>
      </w:pPr>
      <w:r>
        <w:rPr>
          <w:color w:val="010101"/>
          <w:w w:val="106"/>
          <w:sz w:val="21"/>
        </w:rPr>
        <w:t>5.</w:t>
      </w:r>
      <w:r>
        <w:rPr>
          <w:color w:val="010101"/>
          <w:sz w:val="21"/>
        </w:rPr>
        <w:t> </w:t>
      </w:r>
      <w:r>
        <w:rPr>
          <w:color w:val="010101"/>
          <w:spacing w:val="15"/>
          <w:sz w:val="21"/>
        </w:rPr>
        <w:t> </w:t>
      </w:r>
      <w:r>
        <w:rPr>
          <w:color w:val="010101"/>
          <w:w w:val="116"/>
          <w:sz w:val="20"/>
        </w:rPr>
        <w:t>(</w:t>
      </w:r>
      <w:r>
        <w:rPr>
          <w:color w:val="010101"/>
          <w:w w:val="116"/>
          <w:sz w:val="20"/>
        </w:rPr>
        <w:t>a</w:t>
      </w:r>
      <w:r>
        <w:rPr>
          <w:color w:val="010101"/>
          <w:w w:val="116"/>
          <w:sz w:val="20"/>
        </w:rPr>
        <w:t>)</w:t>
      </w:r>
      <w:r>
        <w:rPr>
          <w:color w:val="010101"/>
          <w:sz w:val="20"/>
        </w:rPr>
        <w:t> </w:t>
      </w:r>
      <w:r>
        <w:rPr>
          <w:color w:val="010101"/>
          <w:spacing w:val="-1"/>
          <w:sz w:val="20"/>
        </w:rPr>
        <w:t> </w:t>
      </w:r>
      <w:r>
        <w:rPr>
          <w:i/>
          <w:color w:val="010101"/>
          <w:w w:val="59"/>
          <w:sz w:val="20"/>
        </w:rPr>
        <w:t>dSJI</w:t>
      </w:r>
      <w:r>
        <w:rPr>
          <w:i/>
          <w:color w:val="010101"/>
          <w:sz w:val="20"/>
        </w:rPr>
        <w:t> </w:t>
      </w:r>
      <w:r>
        <w:rPr>
          <w:i/>
          <w:color w:val="010101"/>
          <w:spacing w:val="9"/>
          <w:sz w:val="20"/>
        </w:rPr>
        <w:t> </w:t>
      </w:r>
      <w:r>
        <w:rPr>
          <w:color w:val="010101"/>
          <w:w w:val="94"/>
          <w:sz w:val="26"/>
        </w:rPr>
        <w:t>=</w:t>
      </w:r>
      <w:r>
        <w:rPr>
          <w:color w:val="010101"/>
          <w:spacing w:val="29"/>
          <w:sz w:val="26"/>
        </w:rPr>
        <w:t> </w:t>
      </w:r>
      <w:r>
        <w:rPr>
          <w:i/>
          <w:color w:val="010101"/>
          <w:w w:val="101"/>
          <w:sz w:val="20"/>
        </w:rPr>
        <w:t>l</w:t>
      </w:r>
      <w:r>
        <w:rPr>
          <w:i/>
          <w:color w:val="010101"/>
          <w:spacing w:val="-14"/>
          <w:w w:val="101"/>
          <w:sz w:val="20"/>
        </w:rPr>
        <w:t>s</w:t>
      </w:r>
      <w:r>
        <w:rPr>
          <w:i/>
          <w:color w:val="010101"/>
          <w:w w:val="48"/>
          <w:sz w:val="20"/>
        </w:rPr>
        <w:t>¡¡</w:t>
      </w:r>
      <w:r>
        <w:rPr>
          <w:i/>
          <w:color w:val="010101"/>
          <w:sz w:val="20"/>
        </w:rPr>
        <w:t> </w:t>
      </w:r>
      <w:r>
        <w:rPr>
          <w:i/>
          <w:color w:val="010101"/>
          <w:spacing w:val="-15"/>
          <w:sz w:val="20"/>
        </w:rPr>
        <w:t> </w:t>
      </w:r>
      <w:r>
        <w:rPr>
          <w:color w:val="010101"/>
          <w:w w:val="274"/>
          <w:sz w:val="20"/>
        </w:rPr>
        <w:t>-</w:t>
      </w:r>
      <w:r>
        <w:rPr>
          <w:color w:val="010101"/>
          <w:spacing w:val="-4"/>
          <w:sz w:val="20"/>
        </w:rPr>
        <w:t> </w:t>
      </w:r>
      <w:r>
        <w:rPr>
          <w:color w:val="010101"/>
          <w:w w:val="113"/>
          <w:sz w:val="17"/>
        </w:rPr>
        <w:t>lz+l</w:t>
      </w:r>
      <w:r>
        <w:rPr>
          <w:color w:val="010101"/>
          <w:spacing w:val="-5"/>
          <w:w w:val="113"/>
          <w:sz w:val="17"/>
        </w:rPr>
        <w:t>:</w:t>
      </w:r>
      <w:r>
        <w:rPr>
          <w:color w:val="010101"/>
          <w:w w:val="70"/>
          <w:sz w:val="17"/>
        </w:rPr>
        <w:t>11+1</w:t>
      </w:r>
    </w:p>
    <w:p>
      <w:pPr>
        <w:spacing w:before="79"/>
        <w:ind w:left="469" w:right="0" w:firstLine="0"/>
        <w:jc w:val="left"/>
        <w:rPr>
          <w:b/>
          <w:i/>
          <w:sz w:val="15"/>
        </w:rPr>
      </w:pPr>
      <w:r>
        <w:rPr>
          <w:color w:val="010101"/>
          <w:sz w:val="20"/>
        </w:rPr>
        <w:t>(b) </w:t>
      </w:r>
      <w:r>
        <w:rPr>
          <w:i/>
          <w:color w:val="010101"/>
          <w:w w:val="85"/>
          <w:sz w:val="16"/>
        </w:rPr>
        <w:t>l-' zt1  </w:t>
      </w:r>
      <w:r>
        <w:rPr>
          <w:color w:val="010101"/>
          <w:w w:val="85"/>
          <w:sz w:val="28"/>
        </w:rPr>
        <w:t>= </w:t>
      </w:r>
      <w:r>
        <w:rPr>
          <w:rFonts w:ascii="Arial"/>
          <w:b/>
          <w:color w:val="010101"/>
          <w:w w:val="85"/>
          <w:sz w:val="16"/>
        </w:rPr>
        <w:t>P.z </w:t>
      </w:r>
      <w:r>
        <w:rPr>
          <w:color w:val="010101"/>
          <w:sz w:val="29"/>
        </w:rPr>
        <w:t>+ </w:t>
      </w:r>
      <w:r>
        <w:rPr>
          <w:b/>
          <w:i/>
          <w:color w:val="010101"/>
          <w:w w:val="85"/>
          <w:sz w:val="15"/>
        </w:rPr>
        <w:t>P.11</w:t>
      </w:r>
    </w:p>
    <w:p>
      <w:pPr>
        <w:spacing w:before="122"/>
        <w:ind w:left="473" w:right="0" w:firstLine="0"/>
        <w:jc w:val="left"/>
        <w:rPr>
          <w:sz w:val="21"/>
        </w:rPr>
      </w:pPr>
      <w:r>
        <w:rPr>
          <w:color w:val="010101"/>
          <w:sz w:val="21"/>
        </w:rPr>
        <w:t>(e ) Correct.</w:t>
      </w:r>
    </w:p>
    <w:p>
      <w:pPr>
        <w:spacing w:before="64"/>
        <w:ind w:left="462" w:right="0" w:firstLine="0"/>
        <w:jc w:val="left"/>
        <w:rPr>
          <w:rFonts w:ascii="Arial" w:hAnsi="Arial"/>
          <w:i/>
          <w:sz w:val="18"/>
        </w:rPr>
      </w:pPr>
      <w:r>
        <w:rPr>
          <w:color w:val="010101"/>
          <w:w w:val="105"/>
          <w:sz w:val="20"/>
        </w:rPr>
        <w:t>(d </w:t>
      </w:r>
      <w:r>
        <w:rPr>
          <w:color w:val="010101"/>
          <w:w w:val="90"/>
          <w:sz w:val="20"/>
        </w:rPr>
        <w:t>) </w:t>
      </w:r>
      <w:r>
        <w:rPr>
          <w:rFonts w:ascii="Arial" w:hAnsi="Arial"/>
          <w:i/>
          <w:color w:val="010101"/>
          <w:w w:val="90"/>
          <w:sz w:val="18"/>
        </w:rPr>
        <w:t>qSJI </w:t>
      </w:r>
      <w:r>
        <w:rPr>
          <w:color w:val="010101"/>
          <w:w w:val="90"/>
          <w:sz w:val="28"/>
        </w:rPr>
        <w:t>= </w:t>
      </w:r>
      <w:r>
        <w:rPr>
          <w:rFonts w:ascii="Arial" w:hAnsi="Arial"/>
          <w:i/>
          <w:color w:val="010101"/>
          <w:w w:val="90"/>
          <w:sz w:val="18"/>
        </w:rPr>
        <w:t>q:,: </w:t>
      </w:r>
      <w:r>
        <w:rPr>
          <w:rFonts w:ascii="Arial" w:hAnsi="Arial"/>
          <w:color w:val="010101"/>
          <w:w w:val="105"/>
          <w:sz w:val="32"/>
        </w:rPr>
        <w:t>+</w:t>
      </w:r>
      <w:r>
        <w:rPr>
          <w:rFonts w:ascii="Arial" w:hAnsi="Arial"/>
          <w:color w:val="010101"/>
          <w:spacing w:val="-64"/>
          <w:w w:val="105"/>
          <w:sz w:val="32"/>
        </w:rPr>
        <w:t> </w:t>
      </w:r>
      <w:r>
        <w:rPr>
          <w:rFonts w:ascii="Arial" w:hAnsi="Arial"/>
          <w:i/>
          <w:color w:val="010101"/>
          <w:w w:val="90"/>
          <w:sz w:val="18"/>
        </w:rPr>
        <w:t>q., </w:t>
      </w:r>
      <w:r>
        <w:rPr>
          <w:rFonts w:ascii="Arial" w:hAnsi="Arial"/>
          <w:color w:val="010101"/>
          <w:w w:val="250"/>
          <w:sz w:val="18"/>
        </w:rPr>
        <w:t>-</w:t>
      </w:r>
      <w:r>
        <w:rPr>
          <w:rFonts w:ascii="Arial" w:hAnsi="Arial"/>
          <w:color w:val="010101"/>
          <w:spacing w:val="-84"/>
          <w:w w:val="250"/>
          <w:sz w:val="18"/>
        </w:rPr>
        <w:t> </w:t>
      </w:r>
      <w:r>
        <w:rPr>
          <w:rFonts w:ascii="Arial" w:hAnsi="Arial"/>
          <w:i/>
          <w:color w:val="010101"/>
          <w:w w:val="90"/>
          <w:sz w:val="18"/>
        </w:rPr>
        <w:t>q:,:·q,,</w:t>
      </w:r>
    </w:p>
    <w:p>
      <w:pPr>
        <w:spacing w:before="148"/>
        <w:ind w:left="175" w:right="0" w:firstLine="0"/>
        <w:jc w:val="left"/>
        <w:rPr>
          <w:sz w:val="17"/>
        </w:rPr>
      </w:pPr>
      <w:r>
        <w:rPr>
          <w:color w:val="010101"/>
          <w:w w:val="135"/>
          <w:sz w:val="20"/>
        </w:rPr>
        <w:t>8. </w:t>
      </w:r>
      <w:r>
        <w:rPr>
          <w:rFonts w:ascii="Arial"/>
          <w:color w:val="010101"/>
          <w:w w:val="105"/>
          <w:sz w:val="19"/>
        </w:rPr>
        <w:t>(a) </w:t>
      </w:r>
      <w:r>
        <w:rPr>
          <w:color w:val="010101"/>
          <w:w w:val="105"/>
          <w:sz w:val="20"/>
        </w:rPr>
        <w:t>2 </w:t>
      </w:r>
      <w:r>
        <w:rPr>
          <w:color w:val="010101"/>
          <w:w w:val="105"/>
          <w:sz w:val="17"/>
        </w:rPr>
        <w:t>(P.z  </w:t>
      </w:r>
      <w:r>
        <w:rPr>
          <w:color w:val="010101"/>
          <w:w w:val="285"/>
          <w:sz w:val="17"/>
        </w:rPr>
        <w:t>- </w:t>
      </w:r>
      <w:r>
        <w:rPr>
          <w:color w:val="010101"/>
          <w:w w:val="105"/>
          <w:sz w:val="17"/>
        </w:rPr>
        <w:t>J'z+,&gt;</w:t>
      </w:r>
    </w:p>
    <w:p>
      <w:pPr>
        <w:spacing w:before="162"/>
        <w:ind w:left="469" w:right="0" w:firstLine="0"/>
        <w:jc w:val="left"/>
        <w:rPr>
          <w:b/>
          <w:sz w:val="20"/>
        </w:rPr>
      </w:pPr>
      <w:r>
        <w:rPr>
          <w:color w:val="010101"/>
          <w:w w:val="115"/>
          <w:sz w:val="20"/>
        </w:rPr>
        <w:t>(b) </w:t>
      </w:r>
      <w:r>
        <w:rPr>
          <w:b/>
          <w:color w:val="010101"/>
          <w:w w:val="95"/>
          <w:sz w:val="20"/>
        </w:rPr>
        <w:t>2/Jz  </w:t>
      </w:r>
      <w:r>
        <w:rPr>
          <w:b/>
          <w:color w:val="010101"/>
          <w:w w:val="210"/>
          <w:sz w:val="9"/>
        </w:rPr>
        <w:t>H </w:t>
      </w:r>
      <w:r>
        <w:rPr>
          <w:color w:val="010101"/>
          <w:w w:val="575"/>
          <w:sz w:val="9"/>
        </w:rPr>
        <w:t>- </w:t>
      </w:r>
      <w:r>
        <w:rPr>
          <w:b/>
          <w:color w:val="010101"/>
          <w:w w:val="95"/>
          <w:sz w:val="20"/>
        </w:rPr>
        <w:t>1</w:t>
      </w:r>
    </w:p>
    <w:p>
      <w:pPr>
        <w:spacing w:after="0"/>
        <w:jc w:val="left"/>
        <w:rPr>
          <w:sz w:val="20"/>
        </w:rPr>
        <w:sectPr>
          <w:type w:val="continuous"/>
          <w:pgSz w:w="7200" w:h="11340"/>
          <w:pgMar w:top="1100" w:bottom="0" w:left="700" w:right="540"/>
        </w:sectPr>
      </w:pPr>
    </w:p>
    <w:p>
      <w:pPr>
        <w:tabs>
          <w:tab w:pos="2643" w:val="left" w:leader="none"/>
          <w:tab w:pos="5265" w:val="left" w:leader="none"/>
        </w:tabs>
        <w:spacing w:before="64"/>
        <w:ind w:left="179" w:right="0" w:firstLine="0"/>
        <w:jc w:val="left"/>
        <w:rPr>
          <w:rFonts w:ascii="Arial"/>
          <w:b/>
          <w:sz w:val="19"/>
        </w:rPr>
      </w:pPr>
      <w:r>
        <w:rPr>
          <w:rFonts w:ascii="Arial"/>
          <w:color w:val="010101"/>
          <w:sz w:val="20"/>
        </w:rPr>
        <w:t>364</w:t>
        <w:tab/>
      </w:r>
      <w:r>
        <w:rPr>
          <w:b/>
          <w:color w:val="010101"/>
          <w:sz w:val="15"/>
        </w:rPr>
        <w:t>AN8WEB8</w:t>
        <w:tab/>
      </w:r>
      <w:r>
        <w:rPr>
          <w:rFonts w:ascii="Arial"/>
          <w:b/>
          <w:color w:val="010101"/>
          <w:sz w:val="19"/>
        </w:rPr>
        <w:t>[CH.</w:t>
      </w:r>
      <w:r>
        <w:rPr>
          <w:rFonts w:ascii="Arial"/>
          <w:b/>
          <w:color w:val="010101"/>
          <w:spacing w:val="13"/>
          <w:sz w:val="19"/>
        </w:rPr>
        <w:t> </w:t>
      </w:r>
      <w:r>
        <w:rPr>
          <w:rFonts w:ascii="Arial"/>
          <w:b/>
          <w:color w:val="010101"/>
          <w:spacing w:val="-20"/>
          <w:sz w:val="19"/>
        </w:rPr>
        <w:t>10</w:t>
      </w:r>
    </w:p>
    <w:p>
      <w:pPr>
        <w:spacing w:line="379" w:lineRule="exact" w:before="155"/>
        <w:ind w:left="189" w:right="0" w:firstLine="0"/>
        <w:jc w:val="left"/>
        <w:rPr>
          <w:i/>
          <w:sz w:val="20"/>
        </w:rPr>
      </w:pPr>
      <w:r>
        <w:rPr>
          <w:color w:val="010101"/>
          <w:w w:val="105"/>
          <w:position w:val="-8"/>
          <w:sz w:val="20"/>
        </w:rPr>
        <w:t>15</w:t>
      </w:r>
      <w:r>
        <w:rPr>
          <w:color w:val="010101"/>
          <w:w w:val="105"/>
          <w:sz w:val="20"/>
        </w:rPr>
        <w:t>. </w:t>
      </w:r>
      <w:r>
        <w:rPr>
          <w:rFonts w:ascii="Arial"/>
          <w:i/>
          <w:color w:val="010101"/>
          <w:w w:val="105"/>
          <w:sz w:val="17"/>
        </w:rPr>
        <w:t>t </w:t>
      </w:r>
      <w:r>
        <w:rPr>
          <w:color w:val="010101"/>
          <w:w w:val="105"/>
          <w:sz w:val="28"/>
        </w:rPr>
        <w:t>= </w:t>
      </w:r>
      <w:r>
        <w:rPr>
          <w:color w:val="010101"/>
          <w:w w:val="105"/>
          <w:sz w:val="20"/>
        </w:rPr>
        <w:t>lo</w:t>
      </w:r>
      <w:r>
        <w:rPr>
          <w:color w:val="010101"/>
          <w:w w:val="105"/>
          <w:sz w:val="20"/>
          <w:u w:val="single" w:color="000000"/>
        </w:rPr>
        <w:t>g </w:t>
      </w:r>
      <w:r>
        <w:rPr>
          <w:color w:val="010101"/>
          <w:w w:val="105"/>
          <w:sz w:val="20"/>
        </w:rPr>
        <w:t>(1 </w:t>
      </w:r>
      <w:r>
        <w:rPr>
          <w:rFonts w:ascii="Arial"/>
          <w:color w:val="010101"/>
          <w:w w:val="105"/>
          <w:sz w:val="31"/>
        </w:rPr>
        <w:t>+ </w:t>
      </w:r>
      <w:r>
        <w:rPr>
          <w:i/>
          <w:color w:val="010101"/>
          <w:w w:val="105"/>
          <w:sz w:val="20"/>
        </w:rPr>
        <w:t>kc")  </w:t>
      </w:r>
      <w:r>
        <w:rPr>
          <w:color w:val="010101"/>
          <w:w w:val="260"/>
          <w:sz w:val="20"/>
        </w:rPr>
        <w:t>- </w:t>
      </w:r>
      <w:r>
        <w:rPr>
          <w:color w:val="010101"/>
          <w:w w:val="105"/>
          <w:sz w:val="20"/>
        </w:rPr>
        <w:t>log (1 </w:t>
      </w:r>
      <w:r>
        <w:rPr>
          <w:rFonts w:ascii="Arial"/>
          <w:color w:val="010101"/>
          <w:w w:val="105"/>
          <w:sz w:val="31"/>
        </w:rPr>
        <w:t>+ </w:t>
      </w:r>
      <w:r>
        <w:rPr>
          <w:i/>
          <w:color w:val="010101"/>
          <w:w w:val="105"/>
          <w:sz w:val="20"/>
        </w:rPr>
        <w:t>k </w:t>
      </w:r>
      <w:r>
        <w:rPr>
          <w:i/>
          <w:color w:val="010101"/>
          <w:sz w:val="20"/>
        </w:rPr>
        <w:t>)</w:t>
      </w:r>
    </w:p>
    <w:p>
      <w:pPr>
        <w:pStyle w:val="BodyText"/>
        <w:spacing w:line="185" w:lineRule="exact"/>
        <w:ind w:left="11" w:right="1648"/>
        <w:jc w:val="center"/>
      </w:pPr>
      <w:r>
        <w:rPr>
          <w:color w:val="010101"/>
        </w:rPr>
        <w:t>log e</w:t>
      </w:r>
    </w:p>
    <w:p>
      <w:pPr>
        <w:spacing w:before="127"/>
        <w:ind w:left="89" w:right="1748" w:firstLine="0"/>
        <w:jc w:val="center"/>
        <w:rPr>
          <w:i/>
          <w:sz w:val="22"/>
        </w:rPr>
      </w:pPr>
      <w:r>
        <w:rPr>
          <w:color w:val="010101"/>
          <w:w w:val="100"/>
          <w:sz w:val="20"/>
        </w:rPr>
        <w:t>where</w:t>
      </w:r>
      <w:r>
        <w:rPr>
          <w:color w:val="010101"/>
          <w:sz w:val="20"/>
        </w:rPr>
        <w:t> </w:t>
      </w:r>
      <w:r>
        <w:rPr>
          <w:color w:val="010101"/>
          <w:spacing w:val="-25"/>
          <w:sz w:val="20"/>
        </w:rPr>
        <w:t> </w:t>
      </w:r>
      <w:r>
        <w:rPr>
          <w:rFonts w:ascii="Arial"/>
          <w:i/>
          <w:color w:val="010101"/>
          <w:w w:val="108"/>
          <w:sz w:val="17"/>
        </w:rPr>
        <w:t>t</w:t>
      </w:r>
      <w:r>
        <w:rPr>
          <w:rFonts w:ascii="Arial"/>
          <w:i/>
          <w:color w:val="010101"/>
          <w:sz w:val="17"/>
        </w:rPr>
        <w:t> </w:t>
      </w:r>
      <w:r>
        <w:rPr>
          <w:rFonts w:ascii="Arial"/>
          <w:i/>
          <w:color w:val="010101"/>
          <w:spacing w:val="-3"/>
          <w:sz w:val="17"/>
        </w:rPr>
        <w:t> </w:t>
      </w:r>
      <w:r>
        <w:rPr>
          <w:color w:val="010101"/>
          <w:w w:val="99"/>
          <w:sz w:val="24"/>
        </w:rPr>
        <w:t>=</w:t>
      </w:r>
      <w:r>
        <w:rPr>
          <w:color w:val="010101"/>
          <w:sz w:val="24"/>
        </w:rPr>
        <w:t> </w:t>
      </w:r>
      <w:r>
        <w:rPr>
          <w:color w:val="010101"/>
          <w:spacing w:val="-27"/>
          <w:sz w:val="24"/>
        </w:rPr>
        <w:t> </w:t>
      </w:r>
      <w:r>
        <w:rPr>
          <w:rFonts w:ascii="Arial"/>
          <w:i/>
          <w:color w:val="010101"/>
          <w:w w:val="102"/>
          <w:sz w:val="18"/>
        </w:rPr>
        <w:t>w</w:t>
      </w:r>
      <w:r>
        <w:rPr>
          <w:rFonts w:ascii="Arial"/>
          <w:i/>
          <w:color w:val="010101"/>
          <w:sz w:val="18"/>
        </w:rPr>
        <w:t> </w:t>
      </w:r>
      <w:r>
        <w:rPr>
          <w:rFonts w:ascii="Arial"/>
          <w:i/>
          <w:color w:val="010101"/>
          <w:spacing w:val="-5"/>
          <w:sz w:val="18"/>
        </w:rPr>
        <w:t> </w:t>
      </w:r>
      <w:r>
        <w:rPr>
          <w:rFonts w:ascii="Arial"/>
          <w:color w:val="010101"/>
          <w:w w:val="275"/>
          <w:sz w:val="18"/>
        </w:rPr>
        <w:t>-</w:t>
      </w:r>
      <w:r>
        <w:rPr>
          <w:rFonts w:ascii="Arial"/>
          <w:color w:val="010101"/>
          <w:spacing w:val="20"/>
          <w:sz w:val="18"/>
        </w:rPr>
        <w:t> </w:t>
      </w:r>
      <w:r>
        <w:rPr>
          <w:i/>
          <w:color w:val="010101"/>
          <w:w w:val="90"/>
          <w:sz w:val="22"/>
        </w:rPr>
        <w:t>x</w:t>
      </w:r>
      <w:r>
        <w:rPr>
          <w:i/>
          <w:color w:val="010101"/>
          <w:spacing w:val="24"/>
          <w:sz w:val="22"/>
        </w:rPr>
        <w:t> </w:t>
      </w:r>
      <w:r>
        <w:rPr>
          <w:color w:val="010101"/>
          <w:w w:val="110"/>
          <w:sz w:val="20"/>
        </w:rPr>
        <w:t>and</w:t>
      </w:r>
      <w:r>
        <w:rPr>
          <w:color w:val="010101"/>
          <w:spacing w:val="8"/>
          <w:sz w:val="20"/>
        </w:rPr>
        <w:t> </w:t>
      </w:r>
      <w:r>
        <w:rPr>
          <w:i/>
          <w:color w:val="010101"/>
          <w:w w:val="115"/>
          <w:sz w:val="22"/>
        </w:rPr>
        <w:t>n</w:t>
      </w:r>
      <w:r>
        <w:rPr>
          <w:i/>
          <w:color w:val="010101"/>
          <w:spacing w:val="25"/>
          <w:sz w:val="22"/>
        </w:rPr>
        <w:t> </w:t>
      </w:r>
      <w:r>
        <w:rPr>
          <w:color w:val="010101"/>
          <w:w w:val="102"/>
          <w:sz w:val="24"/>
        </w:rPr>
        <w:t>=</w:t>
      </w:r>
      <w:r>
        <w:rPr>
          <w:color w:val="010101"/>
          <w:spacing w:val="29"/>
          <w:sz w:val="24"/>
        </w:rPr>
        <w:t> </w:t>
      </w:r>
      <w:r>
        <w:rPr>
          <w:rFonts w:ascii="Arial"/>
          <w:i/>
          <w:color w:val="010101"/>
          <w:w w:val="89"/>
          <w:sz w:val="19"/>
        </w:rPr>
        <w:t>y</w:t>
      </w:r>
      <w:r>
        <w:rPr>
          <w:rFonts w:ascii="Arial"/>
          <w:i/>
          <w:color w:val="010101"/>
          <w:sz w:val="19"/>
        </w:rPr>
        <w:t> </w:t>
      </w:r>
      <w:r>
        <w:rPr>
          <w:rFonts w:ascii="Arial"/>
          <w:i/>
          <w:color w:val="010101"/>
          <w:spacing w:val="3"/>
          <w:sz w:val="19"/>
        </w:rPr>
        <w:t> </w:t>
      </w:r>
      <w:r>
        <w:rPr>
          <w:rFonts w:ascii="Arial"/>
          <w:color w:val="010101"/>
          <w:spacing w:val="-6"/>
          <w:w w:val="267"/>
          <w:sz w:val="19"/>
        </w:rPr>
        <w:t>-</w:t>
      </w:r>
      <w:r>
        <w:rPr>
          <w:rFonts w:ascii="Arial"/>
          <w:color w:val="111111"/>
          <w:spacing w:val="3"/>
          <w:w w:val="121"/>
          <w:sz w:val="19"/>
        </w:rPr>
        <w:t>,</w:t>
      </w:r>
      <w:r>
        <w:rPr>
          <w:i/>
          <w:color w:val="010101"/>
          <w:w w:val="86"/>
          <w:sz w:val="22"/>
        </w:rPr>
        <w:t>x</w:t>
      </w:r>
    </w:p>
    <w:p>
      <w:pPr>
        <w:spacing w:before="100"/>
        <w:ind w:left="182" w:right="0" w:firstLine="0"/>
        <w:jc w:val="left"/>
        <w:rPr>
          <w:rFonts w:ascii="Arial"/>
          <w:b/>
          <w:sz w:val="13"/>
        </w:rPr>
      </w:pPr>
      <w:r>
        <w:rPr>
          <w:b/>
          <w:color w:val="010101"/>
          <w:w w:val="115"/>
          <w:sz w:val="20"/>
        </w:rPr>
        <w:t>17. </w:t>
      </w:r>
      <w:r>
        <w:rPr>
          <w:b/>
          <w:i/>
          <w:color w:val="010101"/>
          <w:w w:val="115"/>
          <w:sz w:val="20"/>
        </w:rPr>
        <w:t>a, </w:t>
      </w:r>
      <w:r>
        <w:rPr>
          <w:color w:val="010101"/>
          <w:w w:val="115"/>
          <w:sz w:val="26"/>
        </w:rPr>
        <w:t>= </w:t>
      </w:r>
      <w:r>
        <w:rPr>
          <w:rFonts w:ascii="Arial"/>
          <w:b/>
          <w:color w:val="010101"/>
          <w:w w:val="115"/>
          <w:sz w:val="13"/>
        </w:rPr>
        <w:t>Ozi,:;=.]</w:t>
      </w:r>
    </w:p>
    <w:p>
      <w:pPr>
        <w:spacing w:before="55"/>
        <w:ind w:left="164" w:right="0" w:firstLine="0"/>
        <w:jc w:val="left"/>
        <w:rPr>
          <w:b/>
          <w:i/>
          <w:sz w:val="14"/>
        </w:rPr>
      </w:pPr>
      <w:r>
        <w:rPr>
          <w:b/>
          <w:color w:val="010101"/>
          <w:sz w:val="20"/>
        </w:rPr>
        <w:t>22.  </w:t>
      </w:r>
      <w:r>
        <w:rPr>
          <w:b/>
          <w:color w:val="010101"/>
          <w:sz w:val="17"/>
        </w:rPr>
        <w:t>ev+2 </w:t>
      </w:r>
      <w:r>
        <w:rPr>
          <w:color w:val="010101"/>
          <w:w w:val="115"/>
          <w:sz w:val="17"/>
        </w:rPr>
        <w:t>, </w:t>
      </w:r>
      <w:r>
        <w:rPr>
          <w:b/>
          <w:color w:val="010101"/>
          <w:sz w:val="20"/>
        </w:rPr>
        <w:t>where </w:t>
      </w:r>
      <w:r>
        <w:rPr>
          <w:b/>
          <w:i/>
          <w:color w:val="010101"/>
          <w:sz w:val="21"/>
        </w:rPr>
        <w:t>e• </w:t>
      </w:r>
      <w:r>
        <w:rPr>
          <w:color w:val="010101"/>
          <w:sz w:val="26"/>
        </w:rPr>
        <w:t>= </w:t>
      </w:r>
      <w:r>
        <w:rPr>
          <w:b/>
          <w:i/>
          <w:color w:val="010101"/>
          <w:sz w:val="17"/>
        </w:rPr>
        <w:t>CS  </w:t>
      </w:r>
      <w:r>
        <w:rPr>
          <w:rFonts w:ascii="Arial" w:hAnsi="Arial"/>
          <w:color w:val="010101"/>
          <w:sz w:val="31"/>
        </w:rPr>
        <w:t>+ </w:t>
      </w:r>
      <w:r>
        <w:rPr>
          <w:b/>
          <w:i/>
          <w:color w:val="010101"/>
          <w:sz w:val="14"/>
        </w:rPr>
        <w:t>C"</w:t>
      </w:r>
    </w:p>
    <w:p>
      <w:pPr>
        <w:spacing w:before="146"/>
        <w:ind w:left="98" w:right="53" w:firstLine="0"/>
        <w:jc w:val="center"/>
        <w:rPr>
          <w:sz w:val="20"/>
        </w:rPr>
      </w:pPr>
      <w:r>
        <w:rPr>
          <w:color w:val="010101"/>
          <w:w w:val="110"/>
          <w:sz w:val="16"/>
        </w:rPr>
        <w:t>CHAPTER  </w:t>
      </w:r>
      <w:r>
        <w:rPr>
          <w:color w:val="010101"/>
          <w:w w:val="110"/>
          <w:sz w:val="20"/>
        </w:rPr>
        <w:t>10</w:t>
      </w:r>
    </w:p>
    <w:p>
      <w:pPr>
        <w:spacing w:before="36"/>
        <w:ind w:left="275" w:right="0" w:firstLine="0"/>
        <w:jc w:val="left"/>
        <w:rPr>
          <w:rFonts w:ascii="Arial"/>
          <w:b/>
          <w:i/>
          <w:sz w:val="19"/>
        </w:rPr>
      </w:pPr>
      <w:r>
        <w:rPr>
          <w:b/>
          <w:color w:val="010101"/>
          <w:w w:val="120"/>
          <w:sz w:val="21"/>
        </w:rPr>
        <w:t>l. </w:t>
      </w:r>
      <w:r>
        <w:rPr>
          <w:rFonts w:ascii="Arial"/>
          <w:b/>
          <w:i/>
          <w:color w:val="010101"/>
          <w:w w:val="90"/>
          <w:sz w:val="19"/>
        </w:rPr>
        <w:t>qz </w:t>
      </w:r>
      <w:r>
        <w:rPr>
          <w:rFonts w:ascii="Arial"/>
          <w:color w:val="010101"/>
          <w:w w:val="120"/>
          <w:sz w:val="31"/>
        </w:rPr>
        <w:t>+</w:t>
      </w:r>
      <w:r>
        <w:rPr>
          <w:rFonts w:ascii="Arial"/>
          <w:color w:val="010101"/>
          <w:spacing w:val="-71"/>
          <w:w w:val="120"/>
          <w:sz w:val="31"/>
        </w:rPr>
        <w:t> </w:t>
      </w:r>
      <w:r>
        <w:rPr>
          <w:rFonts w:ascii="Arial"/>
          <w:b/>
          <w:i/>
          <w:color w:val="010101"/>
          <w:w w:val="90"/>
          <w:sz w:val="19"/>
        </w:rPr>
        <w:t>q,, </w:t>
      </w:r>
      <w:r>
        <w:rPr>
          <w:rFonts w:ascii="Arial"/>
          <w:color w:val="010101"/>
          <w:w w:val="245"/>
          <w:sz w:val="19"/>
        </w:rPr>
        <w:t>-</w:t>
      </w:r>
      <w:r>
        <w:rPr>
          <w:rFonts w:ascii="Arial"/>
          <w:color w:val="010101"/>
          <w:spacing w:val="-90"/>
          <w:w w:val="245"/>
          <w:sz w:val="19"/>
        </w:rPr>
        <w:t> </w:t>
      </w:r>
      <w:r>
        <w:rPr>
          <w:rFonts w:ascii="Arial"/>
          <w:b/>
          <w:i/>
          <w:color w:val="010101"/>
          <w:w w:val="90"/>
          <w:sz w:val="19"/>
        </w:rPr>
        <w:t>qzi,</w:t>
      </w:r>
    </w:p>
    <w:p>
      <w:pPr>
        <w:tabs>
          <w:tab w:pos="2153" w:val="left" w:leader="none"/>
        </w:tabs>
        <w:spacing w:before="26"/>
        <w:ind w:left="257" w:right="0" w:firstLine="0"/>
        <w:jc w:val="left"/>
        <w:rPr>
          <w:b/>
          <w:i/>
          <w:sz w:val="17"/>
        </w:rPr>
      </w:pPr>
      <w:r>
        <w:rPr>
          <w:rFonts w:ascii="Arial" w:hAnsi="Arial"/>
          <w:b/>
          <w:color w:val="010101"/>
          <w:w w:val="95"/>
          <w:sz w:val="19"/>
        </w:rPr>
        <w:t>2.  </w:t>
      </w:r>
      <w:r>
        <w:rPr>
          <w:b/>
          <w:color w:val="010101"/>
          <w:w w:val="115"/>
          <w:sz w:val="20"/>
        </w:rPr>
        <w:t>(a)  </w:t>
      </w:r>
      <w:r>
        <w:rPr>
          <w:rFonts w:ascii="Arial" w:hAnsi="Arial"/>
          <w:i/>
          <w:color w:val="010101"/>
          <w:w w:val="95"/>
          <w:sz w:val="17"/>
        </w:rPr>
        <w:t>ci., </w:t>
      </w:r>
      <w:r>
        <w:rPr>
          <w:color w:val="010101"/>
          <w:w w:val="115"/>
          <w:sz w:val="29"/>
        </w:rPr>
        <w:t>+</w:t>
      </w:r>
      <w:r>
        <w:rPr>
          <w:color w:val="010101"/>
          <w:spacing w:val="1"/>
          <w:w w:val="115"/>
          <w:sz w:val="29"/>
        </w:rPr>
        <w:t> </w:t>
      </w:r>
      <w:r>
        <w:rPr>
          <w:b/>
          <w:i/>
          <w:color w:val="010101"/>
          <w:w w:val="95"/>
          <w:sz w:val="17"/>
        </w:rPr>
        <w:t>á:,</w:t>
      </w:r>
      <w:r>
        <w:rPr>
          <w:b/>
          <w:i/>
          <w:color w:val="010101"/>
          <w:spacing w:val="22"/>
          <w:w w:val="95"/>
          <w:sz w:val="17"/>
        </w:rPr>
        <w:t> </w:t>
      </w:r>
      <w:r>
        <w:rPr>
          <w:color w:val="010101"/>
          <w:w w:val="115"/>
          <w:sz w:val="29"/>
        </w:rPr>
        <w:t>+</w:t>
        <w:tab/>
        <w:t>+</w:t>
      </w:r>
      <w:r>
        <w:rPr>
          <w:color w:val="010101"/>
          <w:spacing w:val="-24"/>
          <w:w w:val="115"/>
          <w:sz w:val="29"/>
        </w:rPr>
        <w:t> </w:t>
      </w:r>
      <w:r>
        <w:rPr>
          <w:b/>
          <w:i/>
          <w:color w:val="010101"/>
          <w:w w:val="145"/>
          <w:sz w:val="17"/>
        </w:rPr>
        <w:t>á,</w:t>
      </w:r>
      <w:r>
        <w:rPr>
          <w:b/>
          <w:i/>
          <w:color w:val="010101"/>
          <w:spacing w:val="-6"/>
          <w:w w:val="145"/>
          <w:sz w:val="17"/>
        </w:rPr>
        <w:t> </w:t>
      </w:r>
      <w:r>
        <w:rPr>
          <w:color w:val="010101"/>
          <w:w w:val="310"/>
          <w:sz w:val="17"/>
        </w:rPr>
        <w:t>-</w:t>
      </w:r>
      <w:r>
        <w:rPr>
          <w:color w:val="010101"/>
          <w:spacing w:val="-95"/>
          <w:w w:val="310"/>
          <w:sz w:val="17"/>
        </w:rPr>
        <w:t> </w:t>
      </w:r>
      <w:r>
        <w:rPr>
          <w:rFonts w:ascii="Arial" w:hAnsi="Arial"/>
          <w:b/>
          <w:color w:val="010101"/>
          <w:w w:val="95"/>
          <w:sz w:val="17"/>
        </w:rPr>
        <w:t>Ovz</w:t>
      </w:r>
      <w:r>
        <w:rPr>
          <w:rFonts w:ascii="Arial" w:hAnsi="Arial"/>
          <w:b/>
          <w:color w:val="010101"/>
          <w:spacing w:val="21"/>
          <w:w w:val="95"/>
          <w:sz w:val="17"/>
        </w:rPr>
        <w:t> </w:t>
      </w:r>
      <w:r>
        <w:rPr>
          <w:rFonts w:ascii="Arial" w:hAnsi="Arial"/>
          <w:color w:val="010101"/>
          <w:w w:val="285"/>
          <w:sz w:val="17"/>
        </w:rPr>
        <w:t>-</w:t>
      </w:r>
      <w:r>
        <w:rPr>
          <w:rFonts w:ascii="Arial" w:hAnsi="Arial"/>
          <w:color w:val="010101"/>
          <w:spacing w:val="-81"/>
          <w:w w:val="285"/>
          <w:sz w:val="17"/>
        </w:rPr>
        <w:t> </w:t>
      </w:r>
      <w:r>
        <w:rPr>
          <w:rFonts w:ascii="Arial" w:hAnsi="Arial"/>
          <w:b/>
          <w:color w:val="010101"/>
          <w:w w:val="95"/>
          <w:sz w:val="17"/>
        </w:rPr>
        <w:t>4'°1f</w:t>
      </w:r>
      <w:r>
        <w:rPr>
          <w:rFonts w:ascii="Arial" w:hAnsi="Arial"/>
          <w:b/>
          <w:color w:val="010101"/>
          <w:spacing w:val="31"/>
          <w:w w:val="95"/>
          <w:sz w:val="17"/>
        </w:rPr>
        <w:t> </w:t>
      </w:r>
      <w:r>
        <w:rPr>
          <w:rFonts w:ascii="Arial" w:hAnsi="Arial"/>
          <w:color w:val="010101"/>
          <w:w w:val="285"/>
          <w:sz w:val="17"/>
        </w:rPr>
        <w:t>-</w:t>
      </w:r>
      <w:r>
        <w:rPr>
          <w:rFonts w:ascii="Arial" w:hAnsi="Arial"/>
          <w:color w:val="010101"/>
          <w:spacing w:val="-85"/>
          <w:w w:val="285"/>
          <w:sz w:val="17"/>
        </w:rPr>
        <w:t> </w:t>
      </w:r>
      <w:r>
        <w:rPr>
          <w:b/>
          <w:i/>
          <w:color w:val="010101"/>
          <w:w w:val="115"/>
          <w:sz w:val="17"/>
        </w:rPr>
        <w:t>áw,</w:t>
      </w:r>
    </w:p>
    <w:p>
      <w:pPr>
        <w:pStyle w:val="BodyText"/>
        <w:rPr>
          <w:b/>
          <w:i/>
          <w:sz w:val="10"/>
        </w:rPr>
      </w:pPr>
      <w:r>
        <w:rPr/>
        <w:drawing>
          <wp:anchor distT="0" distB="0" distL="0" distR="0" allowOverlap="1" layoutInCell="1" locked="0" behindDoc="0" simplePos="0" relativeHeight="29416">
            <wp:simplePos x="0" y="0"/>
            <wp:positionH relativeFrom="page">
              <wp:posOffset>1097280</wp:posOffset>
            </wp:positionH>
            <wp:positionV relativeFrom="paragraph">
              <wp:posOffset>98138</wp:posOffset>
            </wp:positionV>
            <wp:extent cx="1865375" cy="118872"/>
            <wp:effectExtent l="0" t="0" r="0" b="0"/>
            <wp:wrapTopAndBottom/>
            <wp:docPr id="851" name="image436.png" descr=""/>
            <wp:cNvGraphicFramePr>
              <a:graphicFrameLocks noChangeAspect="1"/>
            </wp:cNvGraphicFramePr>
            <a:graphic>
              <a:graphicData uri="http://schemas.openxmlformats.org/drawingml/2006/picture">
                <pic:pic>
                  <pic:nvPicPr>
                    <pic:cNvPr id="852" name="image436.png"/>
                    <pic:cNvPicPr/>
                  </pic:nvPicPr>
                  <pic:blipFill>
                    <a:blip r:embed="rId440" cstate="print"/>
                    <a:stretch>
                      <a:fillRect/>
                    </a:stretch>
                  </pic:blipFill>
                  <pic:spPr>
                    <a:xfrm>
                      <a:off x="0" y="0"/>
                      <a:ext cx="1865375" cy="118872"/>
                    </a:xfrm>
                    <a:prstGeom prst="rect">
                      <a:avLst/>
                    </a:prstGeom>
                  </pic:spPr>
                </pic:pic>
              </a:graphicData>
            </a:graphic>
          </wp:anchor>
        </w:drawing>
      </w:r>
      <w:r>
        <w:rPr/>
        <w:drawing>
          <wp:anchor distT="0" distB="0" distL="0" distR="0" allowOverlap="1" layoutInCell="1" locked="0" behindDoc="0" simplePos="0" relativeHeight="29440">
            <wp:simplePos x="0" y="0"/>
            <wp:positionH relativeFrom="page">
              <wp:posOffset>1088136</wp:posOffset>
            </wp:positionH>
            <wp:positionV relativeFrom="paragraph">
              <wp:posOffset>326738</wp:posOffset>
            </wp:positionV>
            <wp:extent cx="1234440" cy="128015"/>
            <wp:effectExtent l="0" t="0" r="0" b="0"/>
            <wp:wrapTopAndBottom/>
            <wp:docPr id="853" name="image437.png" descr=""/>
            <wp:cNvGraphicFramePr>
              <a:graphicFrameLocks noChangeAspect="1"/>
            </wp:cNvGraphicFramePr>
            <a:graphic>
              <a:graphicData uri="http://schemas.openxmlformats.org/drawingml/2006/picture">
                <pic:pic>
                  <pic:nvPicPr>
                    <pic:cNvPr id="854" name="image437.png"/>
                    <pic:cNvPicPr/>
                  </pic:nvPicPr>
                  <pic:blipFill>
                    <a:blip r:embed="rId441" cstate="print"/>
                    <a:stretch>
                      <a:fillRect/>
                    </a:stretch>
                  </pic:blipFill>
                  <pic:spPr>
                    <a:xfrm>
                      <a:off x="0" y="0"/>
                      <a:ext cx="1234440" cy="128015"/>
                    </a:xfrm>
                    <a:prstGeom prst="rect">
                      <a:avLst/>
                    </a:prstGeom>
                  </pic:spPr>
                </pic:pic>
              </a:graphicData>
            </a:graphic>
          </wp:anchor>
        </w:drawing>
      </w:r>
    </w:p>
    <w:p>
      <w:pPr>
        <w:pStyle w:val="BodyText"/>
        <w:spacing w:before="1"/>
        <w:rPr>
          <w:b/>
          <w:i/>
          <w:sz w:val="9"/>
        </w:rPr>
      </w:pPr>
    </w:p>
    <w:p>
      <w:pPr>
        <w:pStyle w:val="BodyText"/>
        <w:spacing w:line="321" w:lineRule="exact" w:before="15"/>
        <w:ind w:left="475"/>
      </w:pPr>
      <w:r>
        <w:rPr>
          <w:color w:val="010101"/>
          <w:w w:val="110"/>
        </w:rPr>
        <w:t>( b) A!:;i </w:t>
      </w:r>
      <w:r>
        <w:rPr>
          <w:rFonts w:ascii="Arial"/>
          <w:color w:val="010101"/>
          <w:w w:val="110"/>
          <w:sz w:val="31"/>
        </w:rPr>
        <w:t>+ </w:t>
      </w:r>
      <w:r>
        <w:rPr>
          <w:color w:val="010101"/>
          <w:w w:val="110"/>
        </w:rPr>
        <w:t>A!:;i </w:t>
      </w:r>
      <w:r>
        <w:rPr>
          <w:color w:val="010101"/>
          <w:w w:val="255"/>
        </w:rPr>
        <w:t>-</w:t>
      </w:r>
      <w:r>
        <w:rPr>
          <w:color w:val="010101"/>
          <w:spacing w:val="-80"/>
          <w:w w:val="255"/>
        </w:rPr>
        <w:t> </w:t>
      </w:r>
      <w:r>
        <w:rPr>
          <w:color w:val="010101"/>
          <w:w w:val="110"/>
        </w:rPr>
        <w:t>A</w:t>
      </w:r>
      <w:r>
        <w:rPr>
          <w:color w:val="010101"/>
          <w:w w:val="110"/>
          <w:u w:val="single" w:color="000000"/>
        </w:rPr>
        <w:t>;;</w:t>
      </w:r>
      <w:r>
        <w:rPr>
          <w:color w:val="010101"/>
          <w:w w:val="110"/>
        </w:rPr>
        <w:t>:;;i</w:t>
      </w:r>
    </w:p>
    <w:p>
      <w:pPr>
        <w:tabs>
          <w:tab w:pos="869" w:val="left" w:leader="none"/>
        </w:tabs>
        <w:spacing w:line="310" w:lineRule="exact" w:before="0"/>
        <w:ind w:left="0" w:right="2326" w:firstLine="0"/>
        <w:jc w:val="center"/>
        <w:rPr>
          <w:rFonts w:ascii="Arial" w:hAnsi="Arial"/>
          <w:b/>
          <w:sz w:val="21"/>
        </w:rPr>
      </w:pPr>
      <w:r>
        <w:rPr>
          <w:color w:val="010101"/>
          <w:sz w:val="18"/>
        </w:rPr>
        <w:t>&lt;lz:ñl</w:t>
      </w:r>
      <w:r>
        <w:rPr>
          <w:color w:val="010101"/>
          <w:spacing w:val="9"/>
          <w:sz w:val="18"/>
        </w:rPr>
        <w:t> </w:t>
      </w:r>
      <w:r>
        <w:rPr>
          <w:rFonts w:ascii="Arial" w:hAnsi="Arial"/>
          <w:color w:val="010101"/>
          <w:w w:val="125"/>
          <w:sz w:val="30"/>
        </w:rPr>
        <w:t>+</w:t>
        <w:tab/>
      </w:r>
      <w:r>
        <w:rPr>
          <w:color w:val="282828"/>
          <w:spacing w:val="-9"/>
          <w:w w:val="125"/>
          <w:sz w:val="16"/>
        </w:rPr>
        <w:t>:</w:t>
      </w:r>
      <w:r>
        <w:rPr>
          <w:color w:val="010101"/>
          <w:spacing w:val="-9"/>
          <w:w w:val="125"/>
          <w:sz w:val="16"/>
        </w:rPr>
        <w:t>ñj </w:t>
      </w:r>
      <w:r>
        <w:rPr>
          <w:color w:val="010101"/>
          <w:w w:val="250"/>
          <w:sz w:val="16"/>
        </w:rPr>
        <w:t>-</w:t>
      </w:r>
      <w:r>
        <w:rPr>
          <w:color w:val="010101"/>
          <w:spacing w:val="-94"/>
          <w:w w:val="250"/>
          <w:sz w:val="16"/>
        </w:rPr>
        <w:t> </w:t>
      </w:r>
      <w:r>
        <w:rPr>
          <w:rFonts w:ascii="Arial" w:hAnsi="Arial"/>
          <w:b/>
          <w:color w:val="010101"/>
          <w:sz w:val="21"/>
        </w:rPr>
        <w:t>d•:ii'J</w:t>
      </w:r>
    </w:p>
    <w:p>
      <w:pPr>
        <w:spacing w:before="7"/>
        <w:ind w:left="243" w:right="0" w:firstLine="0"/>
        <w:jc w:val="left"/>
        <w:rPr>
          <w:rFonts w:ascii="Arial" w:hAnsi="Arial"/>
          <w:b/>
          <w:i/>
          <w:sz w:val="15"/>
        </w:rPr>
      </w:pPr>
      <w:r>
        <w:rPr>
          <w:color w:val="010101"/>
          <w:sz w:val="20"/>
        </w:rPr>
        <w:t>3. </w:t>
      </w:r>
      <w:r>
        <w:rPr>
          <w:b/>
          <w:color w:val="010101"/>
          <w:sz w:val="16"/>
        </w:rPr>
        <w:t>nlqz </w:t>
      </w:r>
      <w:r>
        <w:rPr>
          <w:rFonts w:ascii="Arial" w:hAnsi="Arial"/>
          <w:color w:val="010101"/>
          <w:sz w:val="30"/>
        </w:rPr>
        <w:t>+ </w:t>
      </w:r>
      <w:r>
        <w:rPr>
          <w:rFonts w:ascii="Arial" w:hAnsi="Arial"/>
          <w:b/>
          <w:i/>
          <w:color w:val="010101"/>
          <w:sz w:val="15"/>
        </w:rPr>
        <w:t>nlqll </w:t>
      </w:r>
      <w:r>
        <w:rPr>
          <w:rFonts w:ascii="Arial" w:hAnsi="Arial"/>
          <w:color w:val="010101"/>
          <w:w w:val="305"/>
          <w:sz w:val="15"/>
        </w:rPr>
        <w:t>-</w:t>
      </w:r>
      <w:r>
        <w:rPr>
          <w:rFonts w:ascii="Arial" w:hAnsi="Arial"/>
          <w:color w:val="010101"/>
          <w:spacing w:val="-68"/>
          <w:w w:val="305"/>
          <w:sz w:val="15"/>
        </w:rPr>
        <w:t> </w:t>
      </w:r>
      <w:r>
        <w:rPr>
          <w:color w:val="010101"/>
          <w:sz w:val="20"/>
        </w:rPr>
        <w:t>,.lqz· </w:t>
      </w:r>
      <w:r>
        <w:rPr>
          <w:rFonts w:ascii="Arial" w:hAnsi="Arial"/>
          <w:b/>
          <w:i/>
          <w:color w:val="010101"/>
          <w:sz w:val="15"/>
        </w:rPr>
        <w:t>nlqll</w:t>
      </w:r>
    </w:p>
    <w:p>
      <w:pPr>
        <w:pStyle w:val="BodyText"/>
        <w:spacing w:before="94"/>
        <w:ind w:left="511"/>
      </w:pPr>
      <w:r>
        <w:rPr>
          <w:color w:val="010101"/>
        </w:rPr>
        <w:t>No</w:t>
      </w:r>
    </w:p>
    <w:p>
      <w:pPr>
        <w:spacing w:before="43"/>
        <w:ind w:left="236" w:right="0" w:firstLine="0"/>
        <w:jc w:val="left"/>
        <w:rPr>
          <w:rFonts w:ascii="Arial" w:hAnsi="Arial"/>
          <w:b/>
          <w:sz w:val="13"/>
        </w:rPr>
      </w:pPr>
      <w:r>
        <w:rPr>
          <w:b/>
          <w:color w:val="010101"/>
          <w:sz w:val="20"/>
        </w:rPr>
        <w:t>4. </w:t>
      </w:r>
      <w:r>
        <w:rPr>
          <w:b/>
          <w:color w:val="010101"/>
          <w:sz w:val="16"/>
        </w:rPr>
        <w:t>,a¡az </w:t>
      </w:r>
      <w:r>
        <w:rPr>
          <w:rFonts w:ascii="Arial" w:hAnsi="Arial"/>
          <w:color w:val="010101"/>
          <w:sz w:val="31"/>
        </w:rPr>
        <w:t>+ </w:t>
      </w:r>
      <w:r>
        <w:rPr>
          <w:b/>
          <w:color w:val="010101"/>
          <w:sz w:val="16"/>
        </w:rPr>
        <w:t>,a¡Oi,  </w:t>
      </w:r>
      <w:r>
        <w:rPr>
          <w:color w:val="010101"/>
          <w:w w:val="305"/>
          <w:sz w:val="16"/>
        </w:rPr>
        <w:t>-</w:t>
      </w:r>
      <w:r>
        <w:rPr>
          <w:color w:val="010101"/>
          <w:spacing w:val="-76"/>
          <w:w w:val="305"/>
          <w:sz w:val="16"/>
        </w:rPr>
        <w:t> </w:t>
      </w:r>
      <w:r>
        <w:rPr>
          <w:rFonts w:ascii="Arial" w:hAnsi="Arial"/>
          <w:b/>
          <w:color w:val="010101"/>
          <w:sz w:val="13"/>
        </w:rPr>
        <w:t>n!Ozi,</w:t>
      </w:r>
    </w:p>
    <w:p>
      <w:pPr>
        <w:tabs>
          <w:tab w:pos="3004" w:val="left" w:leader="none"/>
        </w:tabs>
        <w:spacing w:before="82"/>
        <w:ind w:left="236" w:right="0" w:firstLine="0"/>
        <w:jc w:val="left"/>
        <w:rPr>
          <w:rFonts w:ascii="Arial" w:hAnsi="Arial"/>
          <w:sz w:val="20"/>
        </w:rPr>
      </w:pPr>
      <w:r>
        <w:rPr/>
        <w:drawing>
          <wp:anchor distT="0" distB="0" distL="0" distR="0" allowOverlap="1" layoutInCell="1" locked="0" behindDoc="0" simplePos="0" relativeHeight="29464">
            <wp:simplePos x="0" y="0"/>
            <wp:positionH relativeFrom="page">
              <wp:posOffset>493776</wp:posOffset>
            </wp:positionH>
            <wp:positionV relativeFrom="paragraph">
              <wp:posOffset>323787</wp:posOffset>
            </wp:positionV>
            <wp:extent cx="3200399" cy="128016"/>
            <wp:effectExtent l="0" t="0" r="0" b="0"/>
            <wp:wrapTopAndBottom/>
            <wp:docPr id="855" name="image438.png" descr=""/>
            <wp:cNvGraphicFramePr>
              <a:graphicFrameLocks noChangeAspect="1"/>
            </wp:cNvGraphicFramePr>
            <a:graphic>
              <a:graphicData uri="http://schemas.openxmlformats.org/drawingml/2006/picture">
                <pic:pic>
                  <pic:nvPicPr>
                    <pic:cNvPr id="856" name="image438.png"/>
                    <pic:cNvPicPr/>
                  </pic:nvPicPr>
                  <pic:blipFill>
                    <a:blip r:embed="rId442" cstate="print"/>
                    <a:stretch>
                      <a:fillRect/>
                    </a:stretch>
                  </pic:blipFill>
                  <pic:spPr>
                    <a:xfrm>
                      <a:off x="0" y="0"/>
                      <a:ext cx="3200399" cy="128016"/>
                    </a:xfrm>
                    <a:prstGeom prst="rect">
                      <a:avLst/>
                    </a:prstGeom>
                  </pic:spPr>
                </pic:pic>
              </a:graphicData>
            </a:graphic>
          </wp:anchor>
        </w:drawing>
      </w:r>
      <w:r>
        <w:rPr>
          <w:color w:val="010101"/>
          <w:w w:val="110"/>
          <w:sz w:val="20"/>
        </w:rPr>
        <w:t>6. </w:t>
      </w:r>
      <w:r>
        <w:rPr>
          <w:i/>
          <w:color w:val="010101"/>
          <w:w w:val="110"/>
          <w:sz w:val="21"/>
        </w:rPr>
        <w:t>au </w:t>
      </w:r>
      <w:r>
        <w:rPr>
          <w:rFonts w:ascii="Arial" w:hAnsi="Arial"/>
          <w:color w:val="010101"/>
          <w:w w:val="110"/>
          <w:sz w:val="26"/>
        </w:rPr>
        <w:t>&lt; </w:t>
      </w:r>
      <w:r>
        <w:rPr>
          <w:rFonts w:ascii="Arial" w:hAnsi="Arial"/>
          <w:i/>
          <w:color w:val="010101"/>
          <w:w w:val="110"/>
          <w:sz w:val="8"/>
        </w:rPr>
        <w:t>ª1D1D    </w:t>
      </w:r>
      <w:r>
        <w:rPr>
          <w:rFonts w:ascii="Arial" w:hAnsi="Arial"/>
          <w:color w:val="010101"/>
          <w:w w:val="110"/>
          <w:sz w:val="26"/>
        </w:rPr>
        <w:t>&lt; </w:t>
      </w:r>
      <w:r>
        <w:rPr>
          <w:rFonts w:ascii="Arial" w:hAnsi="Arial"/>
          <w:i/>
          <w:color w:val="010101"/>
          <w:w w:val="110"/>
          <w:sz w:val="26"/>
        </w:rPr>
        <w:t>ª" </w:t>
      </w:r>
      <w:r>
        <w:rPr>
          <w:rFonts w:ascii="Arial" w:hAnsi="Arial"/>
          <w:color w:val="010101"/>
          <w:w w:val="110"/>
          <w:sz w:val="26"/>
        </w:rPr>
        <w:t>&lt;</w:t>
      </w:r>
      <w:r>
        <w:rPr>
          <w:rFonts w:ascii="Arial" w:hAnsi="Arial"/>
          <w:color w:val="010101"/>
          <w:spacing w:val="-1"/>
          <w:w w:val="110"/>
          <w:sz w:val="26"/>
        </w:rPr>
        <w:t> </w:t>
      </w:r>
      <w:r>
        <w:rPr>
          <w:i/>
          <w:color w:val="010101"/>
          <w:sz w:val="19"/>
        </w:rPr>
        <w:t>ª11</w:t>
      </w:r>
      <w:r>
        <w:rPr>
          <w:i/>
          <w:color w:val="010101"/>
          <w:spacing w:val="28"/>
          <w:sz w:val="19"/>
        </w:rPr>
        <w:t> </w:t>
      </w:r>
      <w:r>
        <w:rPr>
          <w:rFonts w:ascii="Arial" w:hAnsi="Arial"/>
          <w:color w:val="010101"/>
          <w:w w:val="110"/>
          <w:sz w:val="26"/>
        </w:rPr>
        <w:t>&lt;</w:t>
        <w:tab/>
        <w:t>&lt;</w:t>
      </w:r>
      <w:r>
        <w:rPr>
          <w:rFonts w:ascii="Arial" w:hAnsi="Arial"/>
          <w:color w:val="010101"/>
          <w:spacing w:val="-47"/>
          <w:w w:val="110"/>
          <w:sz w:val="26"/>
        </w:rPr>
        <w:t> </w:t>
      </w:r>
      <w:r>
        <w:rPr>
          <w:rFonts w:ascii="Arial" w:hAnsi="Arial"/>
          <w:color w:val="010101"/>
          <w:sz w:val="20"/>
        </w:rPr>
        <w:t>&lt;in</w:t>
      </w:r>
    </w:p>
    <w:p>
      <w:pPr>
        <w:tabs>
          <w:tab w:pos="719" w:val="left" w:leader="none"/>
        </w:tabs>
        <w:spacing w:before="2"/>
        <w:ind w:left="146" w:right="0" w:firstLine="0"/>
        <w:jc w:val="left"/>
        <w:rPr>
          <w:sz w:val="18"/>
        </w:rPr>
      </w:pPr>
      <w:r>
        <w:rPr>
          <w:color w:val="010101"/>
          <w:spacing w:val="-9"/>
          <w:w w:val="115"/>
          <w:sz w:val="20"/>
        </w:rPr>
        <w:t>11.</w:t>
        <w:tab/>
      </w:r>
      <w:r>
        <w:rPr>
          <w:color w:val="111111"/>
          <w:w w:val="115"/>
          <w:sz w:val="17"/>
        </w:rPr>
        <w:t>:ii]</w:t>
      </w:r>
      <w:r>
        <w:rPr>
          <w:color w:val="111111"/>
          <w:spacing w:val="-13"/>
          <w:w w:val="115"/>
          <w:sz w:val="17"/>
        </w:rPr>
        <w:t> </w:t>
      </w:r>
      <w:r>
        <w:rPr>
          <w:rFonts w:ascii="Arial"/>
          <w:color w:val="010101"/>
          <w:w w:val="115"/>
          <w:sz w:val="31"/>
        </w:rPr>
        <w:t>+</w:t>
      </w:r>
      <w:r>
        <w:rPr>
          <w:rFonts w:ascii="Arial"/>
          <w:color w:val="010101"/>
          <w:spacing w:val="-69"/>
          <w:w w:val="115"/>
          <w:sz w:val="31"/>
        </w:rPr>
        <w:t> </w:t>
      </w:r>
      <w:r>
        <w:rPr>
          <w:color w:val="010101"/>
          <w:w w:val="90"/>
          <w:sz w:val="18"/>
        </w:rPr>
        <w:t>aao</w:t>
      </w:r>
      <w:r>
        <w:rPr>
          <w:color w:val="010101"/>
          <w:spacing w:val="-31"/>
          <w:w w:val="90"/>
          <w:sz w:val="18"/>
        </w:rPr>
        <w:t> </w:t>
      </w:r>
      <w:r>
        <w:rPr>
          <w:color w:val="111111"/>
          <w:w w:val="90"/>
          <w:sz w:val="18"/>
        </w:rPr>
        <w:t>:2oJ</w:t>
      </w:r>
      <w:r>
        <w:rPr>
          <w:color w:val="111111"/>
          <w:spacing w:val="12"/>
          <w:w w:val="90"/>
          <w:sz w:val="18"/>
        </w:rPr>
        <w:t> </w:t>
      </w:r>
      <w:r>
        <w:rPr>
          <w:color w:val="010101"/>
          <w:w w:val="280"/>
          <w:sz w:val="18"/>
        </w:rPr>
        <w:t>-</w:t>
      </w:r>
      <w:r>
        <w:rPr>
          <w:color w:val="010101"/>
          <w:spacing w:val="-97"/>
          <w:w w:val="280"/>
          <w:sz w:val="18"/>
        </w:rPr>
        <w:t> </w:t>
      </w:r>
      <w:r>
        <w:rPr>
          <w:rFonts w:ascii="Arial"/>
          <w:i/>
          <w:color w:val="010101"/>
          <w:w w:val="115"/>
          <w:sz w:val="17"/>
        </w:rPr>
        <w:t>au</w:t>
      </w:r>
      <w:r>
        <w:rPr>
          <w:rFonts w:ascii="Arial"/>
          <w:i/>
          <w:color w:val="010101"/>
          <w:spacing w:val="-42"/>
          <w:w w:val="115"/>
          <w:sz w:val="17"/>
        </w:rPr>
        <w:t> </w:t>
      </w:r>
      <w:r>
        <w:rPr>
          <w:color w:val="111111"/>
          <w:w w:val="90"/>
          <w:sz w:val="18"/>
        </w:rPr>
        <w:t>:ao</w:t>
      </w:r>
      <w:r>
        <w:rPr>
          <w:color w:val="111111"/>
          <w:spacing w:val="-31"/>
          <w:w w:val="90"/>
          <w:sz w:val="18"/>
        </w:rPr>
        <w:t> </w:t>
      </w:r>
      <w:r>
        <w:rPr>
          <w:color w:val="282828"/>
          <w:spacing w:val="-4"/>
          <w:w w:val="90"/>
          <w:sz w:val="18"/>
        </w:rPr>
        <w:t>:</w:t>
      </w:r>
      <w:r>
        <w:rPr>
          <w:color w:val="010101"/>
          <w:spacing w:val="-4"/>
          <w:w w:val="90"/>
          <w:sz w:val="18"/>
        </w:rPr>
        <w:t>20]</w:t>
      </w:r>
    </w:p>
    <w:p>
      <w:pPr>
        <w:spacing w:before="19"/>
        <w:ind w:left="143" w:right="0" w:firstLine="0"/>
        <w:jc w:val="left"/>
        <w:rPr>
          <w:sz w:val="18"/>
        </w:rPr>
      </w:pPr>
      <w:r>
        <w:rPr>
          <w:color w:val="010101"/>
          <w:sz w:val="20"/>
        </w:rPr>
        <w:t>12. </w:t>
      </w:r>
      <w:r>
        <w:rPr>
          <w:color w:val="010101"/>
          <w:sz w:val="16"/>
        </w:rPr>
        <w:t>21110u </w:t>
      </w:r>
      <w:r>
        <w:rPr>
          <w:rFonts w:ascii="Arial" w:hAnsi="Arial"/>
          <w:color w:val="010101"/>
          <w:sz w:val="30"/>
        </w:rPr>
        <w:t>+</w:t>
      </w:r>
      <w:r>
        <w:rPr>
          <w:rFonts w:ascii="Arial" w:hAnsi="Arial"/>
          <w:color w:val="010101"/>
          <w:spacing w:val="-55"/>
          <w:sz w:val="30"/>
        </w:rPr>
        <w:t> </w:t>
      </w:r>
      <w:r>
        <w:rPr>
          <w:color w:val="010101"/>
          <w:sz w:val="18"/>
        </w:rPr>
        <w:t>20,aao </w:t>
      </w:r>
      <w:r>
        <w:rPr>
          <w:color w:val="010101"/>
          <w:w w:val="275"/>
          <w:sz w:val="18"/>
        </w:rPr>
        <w:t>-</w:t>
      </w:r>
      <w:r>
        <w:rPr>
          <w:color w:val="010101"/>
          <w:spacing w:val="-96"/>
          <w:w w:val="275"/>
          <w:sz w:val="18"/>
        </w:rPr>
        <w:t> </w:t>
      </w:r>
      <w:r>
        <w:rPr>
          <w:color w:val="010101"/>
          <w:sz w:val="18"/>
        </w:rPr>
        <w:t>u¡au:ao</w:t>
      </w:r>
    </w:p>
    <w:p>
      <w:pPr>
        <w:spacing w:before="18"/>
        <w:ind w:left="136" w:right="0" w:firstLine="0"/>
        <w:jc w:val="left"/>
        <w:rPr>
          <w:sz w:val="14"/>
        </w:rPr>
      </w:pPr>
      <w:r>
        <w:rPr>
          <w:color w:val="010101"/>
          <w:spacing w:val="-13"/>
          <w:w w:val="130"/>
          <w:sz w:val="20"/>
        </w:rPr>
        <w:t>13. </w:t>
      </w:r>
      <w:r>
        <w:rPr>
          <w:rFonts w:ascii="Arial" w:hAnsi="Arial"/>
          <w:i/>
          <w:color w:val="010101"/>
          <w:w w:val="130"/>
          <w:sz w:val="18"/>
        </w:rPr>
        <w:t>a;¡ </w:t>
      </w:r>
      <w:r>
        <w:rPr>
          <w:color w:val="010101"/>
          <w:sz w:val="29"/>
        </w:rPr>
        <w:t>+ </w:t>
      </w:r>
      <w:r>
        <w:rPr>
          <w:i/>
          <w:color w:val="010101"/>
          <w:sz w:val="21"/>
        </w:rPr>
        <w:t>az </w:t>
      </w:r>
      <w:r>
        <w:rPr>
          <w:color w:val="010101"/>
          <w:sz w:val="29"/>
        </w:rPr>
        <w:t>+ </w:t>
      </w:r>
      <w:r>
        <w:rPr>
          <w:color w:val="010101"/>
          <w:sz w:val="16"/>
        </w:rPr>
        <w:t>0i, </w:t>
      </w:r>
      <w:r>
        <w:rPr>
          <w:color w:val="010101"/>
          <w:w w:val="320"/>
          <w:sz w:val="16"/>
        </w:rPr>
        <w:t>-</w:t>
      </w:r>
      <w:r>
        <w:rPr>
          <w:color w:val="010101"/>
          <w:spacing w:val="-83"/>
          <w:w w:val="320"/>
          <w:sz w:val="16"/>
        </w:rPr>
        <w:t> </w:t>
      </w:r>
      <w:r>
        <w:rPr>
          <w:rFonts w:ascii="Arial" w:hAnsi="Arial"/>
          <w:i/>
          <w:color w:val="010101"/>
          <w:sz w:val="18"/>
        </w:rPr>
        <w:t>aZlf </w:t>
      </w:r>
      <w:r>
        <w:rPr>
          <w:rFonts w:ascii="Arial" w:hAnsi="Arial"/>
          <w:color w:val="010101"/>
          <w:w w:val="270"/>
          <w:sz w:val="18"/>
        </w:rPr>
        <w:t>-</w:t>
      </w:r>
      <w:r>
        <w:rPr>
          <w:rFonts w:ascii="Arial" w:hAnsi="Arial"/>
          <w:color w:val="010101"/>
          <w:spacing w:val="-80"/>
          <w:w w:val="270"/>
          <w:sz w:val="18"/>
        </w:rPr>
        <w:t> </w:t>
      </w:r>
      <w:r>
        <w:rPr>
          <w:color w:val="010101"/>
          <w:sz w:val="14"/>
        </w:rPr>
        <w:t>Oa </w:t>
      </w:r>
      <w:r>
        <w:rPr>
          <w:color w:val="010101"/>
          <w:spacing w:val="-11"/>
          <w:w w:val="155"/>
          <w:sz w:val="14"/>
        </w:rPr>
        <w:t>:i] </w:t>
      </w:r>
      <w:r>
        <w:rPr>
          <w:color w:val="010101"/>
          <w:w w:val="375"/>
          <w:sz w:val="14"/>
        </w:rPr>
        <w:t>-</w:t>
      </w:r>
      <w:r>
        <w:rPr>
          <w:color w:val="010101"/>
          <w:spacing w:val="-91"/>
          <w:w w:val="375"/>
          <w:sz w:val="14"/>
        </w:rPr>
        <w:t> </w:t>
      </w:r>
      <w:r>
        <w:rPr>
          <w:color w:val="010101"/>
          <w:sz w:val="16"/>
        </w:rPr>
        <w:t>Oi,:'i] </w:t>
      </w:r>
      <w:r>
        <w:rPr>
          <w:rFonts w:ascii="Arial" w:hAnsi="Arial"/>
          <w:color w:val="010101"/>
          <w:sz w:val="30"/>
        </w:rPr>
        <w:t>+ </w:t>
      </w:r>
      <w:r>
        <w:rPr>
          <w:color w:val="010101"/>
          <w:spacing w:val="-3"/>
          <w:w w:val="130"/>
          <w:sz w:val="14"/>
        </w:rPr>
        <w:t>OsN:.J</w:t>
      </w:r>
    </w:p>
    <w:p>
      <w:pPr>
        <w:spacing w:before="1"/>
        <w:ind w:left="136" w:right="0" w:firstLine="0"/>
        <w:jc w:val="left"/>
        <w:rPr>
          <w:i/>
          <w:sz w:val="20"/>
        </w:rPr>
      </w:pPr>
      <w:r>
        <w:rPr>
          <w:color w:val="010101"/>
          <w:spacing w:val="-12"/>
          <w:w w:val="105"/>
          <w:sz w:val="20"/>
        </w:rPr>
        <w:t>15.  </w:t>
      </w:r>
      <w:r>
        <w:rPr>
          <w:color w:val="010101"/>
          <w:w w:val="105"/>
          <w:sz w:val="20"/>
        </w:rPr>
        <w:t>(a) </w:t>
      </w:r>
      <w:r>
        <w:rPr>
          <w:i/>
          <w:color w:val="010101"/>
          <w:w w:val="95"/>
          <w:sz w:val="20"/>
        </w:rPr>
        <w:t>nPZj¡ </w:t>
      </w:r>
      <w:r>
        <w:rPr>
          <w:rFonts w:ascii="Arial" w:hAnsi="Arial"/>
          <w:color w:val="010101"/>
          <w:w w:val="105"/>
          <w:sz w:val="31"/>
        </w:rPr>
        <w:t>+ </w:t>
      </w:r>
      <w:r>
        <w:rPr>
          <w:i/>
          <w:color w:val="010101"/>
          <w:w w:val="105"/>
          <w:sz w:val="20"/>
        </w:rPr>
        <w:t>nPu </w:t>
      </w:r>
      <w:r>
        <w:rPr>
          <w:rFonts w:ascii="Arial" w:hAnsi="Arial"/>
          <w:color w:val="010101"/>
          <w:w w:val="105"/>
          <w:sz w:val="31"/>
        </w:rPr>
        <w:t>+ </w:t>
      </w:r>
      <w:r>
        <w:rPr>
          <w:i/>
          <w:color w:val="010101"/>
          <w:w w:val="105"/>
          <w:sz w:val="20"/>
        </w:rPr>
        <w:t>,.p.,, </w:t>
      </w:r>
      <w:r>
        <w:rPr>
          <w:color w:val="010101"/>
          <w:w w:val="240"/>
          <w:sz w:val="20"/>
        </w:rPr>
        <w:t>-</w:t>
      </w:r>
      <w:r>
        <w:rPr>
          <w:color w:val="010101"/>
          <w:spacing w:val="-78"/>
          <w:w w:val="240"/>
          <w:sz w:val="20"/>
        </w:rPr>
        <w:t> </w:t>
      </w:r>
      <w:r>
        <w:rPr>
          <w:i/>
          <w:color w:val="010101"/>
          <w:w w:val="105"/>
          <w:sz w:val="20"/>
        </w:rPr>
        <w:t>2,.pzi,,</w:t>
      </w:r>
    </w:p>
    <w:p>
      <w:pPr>
        <w:spacing w:before="10"/>
        <w:ind w:left="504" w:right="0" w:firstLine="0"/>
        <w:jc w:val="left"/>
        <w:rPr>
          <w:i/>
          <w:sz w:val="20"/>
        </w:rPr>
      </w:pPr>
      <w:r>
        <w:rPr>
          <w:color w:val="010101"/>
          <w:w w:val="106"/>
          <w:sz w:val="20"/>
        </w:rPr>
        <w:t>(</w:t>
      </w:r>
      <w:r>
        <w:rPr>
          <w:color w:val="010101"/>
          <w:spacing w:val="22"/>
          <w:w w:val="106"/>
          <w:sz w:val="20"/>
        </w:rPr>
        <w:t>b</w:t>
      </w:r>
      <w:r>
        <w:rPr>
          <w:color w:val="010101"/>
          <w:w w:val="83"/>
          <w:sz w:val="20"/>
        </w:rPr>
        <w:t>)</w:t>
      </w:r>
      <w:r>
        <w:rPr>
          <w:color w:val="010101"/>
          <w:sz w:val="20"/>
        </w:rPr>
        <w:t> </w:t>
      </w:r>
      <w:r>
        <w:rPr>
          <w:color w:val="010101"/>
          <w:spacing w:val="1"/>
          <w:sz w:val="20"/>
        </w:rPr>
        <w:t> </w:t>
      </w:r>
      <w:r>
        <w:rPr>
          <w:i/>
          <w:color w:val="010101"/>
          <w:w w:val="80"/>
          <w:sz w:val="20"/>
        </w:rPr>
        <w:t>nPz</w:t>
      </w:r>
      <w:r>
        <w:rPr>
          <w:i/>
          <w:color w:val="010101"/>
          <w:sz w:val="20"/>
        </w:rPr>
        <w:t> </w:t>
      </w:r>
      <w:r>
        <w:rPr>
          <w:i/>
          <w:color w:val="010101"/>
          <w:spacing w:val="-11"/>
          <w:sz w:val="20"/>
        </w:rPr>
        <w:t> </w:t>
      </w:r>
      <w:r>
        <w:rPr>
          <w:rFonts w:ascii="Arial" w:hAnsi="Arial"/>
          <w:color w:val="010101"/>
          <w:w w:val="105"/>
          <w:sz w:val="30"/>
        </w:rPr>
        <w:t>+</w:t>
      </w:r>
      <w:r>
        <w:rPr>
          <w:rFonts w:ascii="Arial" w:hAnsi="Arial"/>
          <w:color w:val="010101"/>
          <w:spacing w:val="-15"/>
          <w:sz w:val="30"/>
        </w:rPr>
        <w:t> </w:t>
      </w:r>
      <w:r>
        <w:rPr>
          <w:i/>
          <w:color w:val="010101"/>
          <w:w w:val="57"/>
          <w:sz w:val="20"/>
        </w:rPr>
        <w:t>nP11</w:t>
      </w:r>
      <w:r>
        <w:rPr>
          <w:i/>
          <w:color w:val="010101"/>
          <w:sz w:val="20"/>
        </w:rPr>
        <w:t> </w:t>
      </w:r>
      <w:r>
        <w:rPr>
          <w:i/>
          <w:color w:val="010101"/>
          <w:spacing w:val="-20"/>
          <w:sz w:val="20"/>
        </w:rPr>
        <w:t> </w:t>
      </w:r>
      <w:r>
        <w:rPr>
          <w:rFonts w:ascii="Arial" w:hAnsi="Arial"/>
          <w:color w:val="010101"/>
          <w:w w:val="102"/>
          <w:sz w:val="31"/>
        </w:rPr>
        <w:t>+</w:t>
      </w:r>
      <w:r>
        <w:rPr>
          <w:rFonts w:ascii="Arial" w:hAnsi="Arial"/>
          <w:color w:val="010101"/>
          <w:spacing w:val="-26"/>
          <w:sz w:val="31"/>
        </w:rPr>
        <w:t> </w:t>
      </w:r>
      <w:r>
        <w:rPr>
          <w:i/>
          <w:color w:val="010101"/>
          <w:w w:val="87"/>
          <w:sz w:val="20"/>
        </w:rPr>
        <w:t>,.p</w:t>
      </w:r>
      <w:r>
        <w:rPr>
          <w:i/>
          <w:color w:val="010101"/>
          <w:spacing w:val="-24"/>
          <w:sz w:val="20"/>
        </w:rPr>
        <w:t> </w:t>
      </w:r>
      <w:r>
        <w:rPr>
          <w:rFonts w:ascii="Arial" w:hAnsi="Arial"/>
          <w:color w:val="010101"/>
          <w:w w:val="110"/>
          <w:sz w:val="8"/>
        </w:rPr>
        <w:t>2</w:t>
      </w:r>
      <w:r>
        <w:rPr>
          <w:rFonts w:ascii="Arial" w:hAnsi="Arial"/>
          <w:color w:val="010101"/>
          <w:sz w:val="8"/>
        </w:rPr>
        <w:t>   </w:t>
      </w:r>
      <w:r>
        <w:rPr>
          <w:rFonts w:ascii="Arial" w:hAnsi="Arial"/>
          <w:color w:val="010101"/>
          <w:spacing w:val="4"/>
          <w:sz w:val="8"/>
        </w:rPr>
        <w:t> </w:t>
      </w:r>
      <w:r>
        <w:rPr>
          <w:rFonts w:ascii="Arial" w:hAnsi="Arial"/>
          <w:color w:val="010101"/>
          <w:w w:val="600"/>
          <w:sz w:val="8"/>
        </w:rPr>
        <w:t>-</w:t>
      </w:r>
      <w:r>
        <w:rPr>
          <w:rFonts w:ascii="Arial" w:hAnsi="Arial"/>
          <w:color w:val="010101"/>
          <w:sz w:val="8"/>
        </w:rPr>
        <w:t>   </w:t>
      </w:r>
      <w:r>
        <w:rPr>
          <w:rFonts w:ascii="Arial" w:hAnsi="Arial"/>
          <w:color w:val="010101"/>
          <w:spacing w:val="-11"/>
          <w:sz w:val="8"/>
        </w:rPr>
        <w:t> </w:t>
      </w:r>
      <w:r>
        <w:rPr>
          <w:color w:val="010101"/>
          <w:sz w:val="20"/>
        </w:rPr>
        <w:t>2</w:t>
      </w:r>
      <w:r>
        <w:rPr>
          <w:color w:val="010101"/>
          <w:spacing w:val="-18"/>
          <w:sz w:val="20"/>
        </w:rPr>
        <w:t> </w:t>
      </w:r>
      <w:r>
        <w:rPr>
          <w:i/>
          <w:color w:val="010101"/>
          <w:w w:val="69"/>
          <w:sz w:val="20"/>
        </w:rPr>
        <w:t>(</w:t>
      </w:r>
      <w:r>
        <w:rPr>
          <w:i/>
          <w:color w:val="010101"/>
          <w:spacing w:val="-33"/>
          <w:sz w:val="20"/>
        </w:rPr>
        <w:t> </w:t>
      </w:r>
      <w:r>
        <w:rPr>
          <w:i/>
          <w:color w:val="010101"/>
          <w:spacing w:val="-3"/>
          <w:w w:val="70"/>
          <w:sz w:val="20"/>
        </w:rPr>
        <w:t>n</w:t>
      </w:r>
      <w:r>
        <w:rPr>
          <w:i/>
          <w:color w:val="010101"/>
          <w:w w:val="109"/>
          <w:sz w:val="20"/>
        </w:rPr>
        <w:t>pq</w:t>
      </w:r>
      <w:r>
        <w:rPr>
          <w:i/>
          <w:color w:val="010101"/>
          <w:sz w:val="20"/>
        </w:rPr>
        <w:t> </w:t>
      </w:r>
      <w:r>
        <w:rPr>
          <w:i/>
          <w:color w:val="010101"/>
          <w:spacing w:val="7"/>
          <w:sz w:val="20"/>
        </w:rPr>
        <w:t> </w:t>
      </w:r>
      <w:r>
        <w:rPr>
          <w:rFonts w:ascii="Arial" w:hAnsi="Arial"/>
          <w:color w:val="010101"/>
          <w:w w:val="105"/>
          <w:sz w:val="30"/>
        </w:rPr>
        <w:t>+</w:t>
      </w:r>
      <w:r>
        <w:rPr>
          <w:rFonts w:ascii="Arial" w:hAnsi="Arial"/>
          <w:color w:val="010101"/>
          <w:spacing w:val="-26"/>
          <w:sz w:val="30"/>
        </w:rPr>
        <w:t> </w:t>
      </w:r>
      <w:r>
        <w:rPr>
          <w:i/>
          <w:color w:val="010101"/>
          <w:w w:val="43"/>
          <w:sz w:val="20"/>
        </w:rPr>
        <w:t>,</w:t>
      </w:r>
      <w:r>
        <w:rPr>
          <w:i/>
          <w:color w:val="010101"/>
          <w:spacing w:val="10"/>
          <w:w w:val="43"/>
          <w:sz w:val="20"/>
        </w:rPr>
        <w:t>a</w:t>
      </w:r>
      <w:r>
        <w:rPr>
          <w:i/>
          <w:color w:val="010101"/>
          <w:w w:val="87"/>
          <w:sz w:val="20"/>
        </w:rPr>
        <w:t>p:,,</w:t>
      </w:r>
      <w:r>
        <w:rPr>
          <w:i/>
          <w:color w:val="010101"/>
          <w:sz w:val="20"/>
        </w:rPr>
        <w:t> </w:t>
      </w:r>
      <w:r>
        <w:rPr>
          <w:i/>
          <w:color w:val="010101"/>
          <w:spacing w:val="-13"/>
          <w:sz w:val="20"/>
        </w:rPr>
        <w:t> </w:t>
      </w:r>
      <w:r>
        <w:rPr>
          <w:rFonts w:ascii="Arial" w:hAnsi="Arial"/>
          <w:color w:val="010101"/>
          <w:w w:val="104"/>
          <w:sz w:val="31"/>
        </w:rPr>
        <w:t>+</w:t>
      </w:r>
      <w:r>
        <w:rPr>
          <w:rFonts w:ascii="Arial" w:hAnsi="Arial"/>
          <w:color w:val="010101"/>
          <w:spacing w:val="-26"/>
          <w:sz w:val="31"/>
        </w:rPr>
        <w:t> </w:t>
      </w:r>
      <w:r>
        <w:rPr>
          <w:i/>
          <w:color w:val="010101"/>
          <w:w w:val="62"/>
          <w:sz w:val="20"/>
        </w:rPr>
        <w:t>nP11•</w:t>
      </w:r>
      <w:r>
        <w:rPr>
          <w:i/>
          <w:color w:val="010101"/>
          <w:spacing w:val="-17"/>
          <w:sz w:val="20"/>
        </w:rPr>
        <w:t> </w:t>
      </w:r>
      <w:r>
        <w:rPr>
          <w:i/>
          <w:color w:val="010101"/>
          <w:w w:val="69"/>
          <w:sz w:val="20"/>
        </w:rPr>
        <w:t>)</w:t>
      </w:r>
      <w:r>
        <w:rPr>
          <w:i/>
          <w:color w:val="010101"/>
          <w:sz w:val="20"/>
        </w:rPr>
        <w:t> </w:t>
      </w:r>
      <w:r>
        <w:rPr>
          <w:i/>
          <w:color w:val="010101"/>
          <w:spacing w:val="3"/>
          <w:sz w:val="20"/>
        </w:rPr>
        <w:t> </w:t>
      </w:r>
      <w:r>
        <w:rPr>
          <w:rFonts w:ascii="Arial" w:hAnsi="Arial"/>
          <w:color w:val="010101"/>
          <w:w w:val="104"/>
          <w:sz w:val="31"/>
        </w:rPr>
        <w:t>+</w:t>
      </w:r>
      <w:r>
        <w:rPr>
          <w:rFonts w:ascii="Arial" w:hAnsi="Arial"/>
          <w:color w:val="010101"/>
          <w:spacing w:val="-30"/>
          <w:sz w:val="31"/>
        </w:rPr>
        <w:t> </w:t>
      </w:r>
      <w:r>
        <w:rPr>
          <w:i/>
          <w:color w:val="010101"/>
          <w:w w:val="87"/>
          <w:sz w:val="20"/>
        </w:rPr>
        <w:t>3,.pz¡;,</w:t>
      </w:r>
    </w:p>
    <w:p>
      <w:pPr>
        <w:spacing w:line="292" w:lineRule="auto" w:before="77"/>
        <w:ind w:left="139" w:right="1466" w:firstLine="10"/>
        <w:jc w:val="left"/>
        <w:rPr>
          <w:sz w:val="20"/>
        </w:rPr>
      </w:pPr>
      <w:r>
        <w:rPr>
          <w:color w:val="010101"/>
          <w:w w:val="90"/>
          <w:sz w:val="20"/>
        </w:rPr>
        <w:t>L6.</w:t>
      </w:r>
      <w:r>
        <w:rPr>
          <w:color w:val="010101"/>
          <w:spacing w:val="19"/>
          <w:w w:val="90"/>
          <w:sz w:val="20"/>
        </w:rPr>
        <w:t> </w:t>
      </w:r>
      <w:r>
        <w:rPr>
          <w:color w:val="010101"/>
          <w:w w:val="115"/>
          <w:sz w:val="20"/>
        </w:rPr>
        <w:t>Exactly</w:t>
      </w:r>
      <w:r>
        <w:rPr>
          <w:color w:val="010101"/>
          <w:spacing w:val="-9"/>
          <w:w w:val="115"/>
          <w:sz w:val="20"/>
        </w:rPr>
        <w:t> </w:t>
      </w:r>
      <w:r>
        <w:rPr>
          <w:color w:val="010101"/>
          <w:w w:val="115"/>
          <w:sz w:val="20"/>
        </w:rPr>
        <w:t>2</w:t>
      </w:r>
      <w:r>
        <w:rPr>
          <w:color w:val="010101"/>
          <w:spacing w:val="-17"/>
          <w:w w:val="115"/>
          <w:sz w:val="20"/>
        </w:rPr>
        <w:t> </w:t>
      </w:r>
      <w:r>
        <w:rPr>
          <w:color w:val="010101"/>
          <w:w w:val="90"/>
          <w:sz w:val="20"/>
        </w:rPr>
        <w:t>of</w:t>
      </w:r>
      <w:r>
        <w:rPr>
          <w:color w:val="010101"/>
          <w:spacing w:val="6"/>
          <w:w w:val="90"/>
          <w:sz w:val="20"/>
        </w:rPr>
        <w:t> </w:t>
      </w:r>
      <w:r>
        <w:rPr>
          <w:color w:val="010101"/>
          <w:w w:val="115"/>
          <w:sz w:val="20"/>
        </w:rPr>
        <w:t>the</w:t>
      </w:r>
      <w:r>
        <w:rPr>
          <w:color w:val="010101"/>
          <w:spacing w:val="-16"/>
          <w:w w:val="115"/>
          <w:sz w:val="20"/>
        </w:rPr>
        <w:t> </w:t>
      </w:r>
      <w:r>
        <w:rPr>
          <w:color w:val="010101"/>
          <w:w w:val="115"/>
          <w:sz w:val="20"/>
        </w:rPr>
        <w:t>4</w:t>
      </w:r>
      <w:r>
        <w:rPr>
          <w:color w:val="010101"/>
          <w:spacing w:val="-20"/>
          <w:w w:val="115"/>
          <w:sz w:val="20"/>
        </w:rPr>
        <w:t> </w:t>
      </w:r>
      <w:r>
        <w:rPr>
          <w:color w:val="010101"/>
          <w:w w:val="115"/>
          <w:sz w:val="20"/>
        </w:rPr>
        <w:t>lives</w:t>
      </w:r>
      <w:r>
        <w:rPr>
          <w:color w:val="010101"/>
          <w:spacing w:val="-19"/>
          <w:w w:val="115"/>
          <w:sz w:val="20"/>
        </w:rPr>
        <w:t> </w:t>
      </w:r>
      <w:r>
        <w:rPr>
          <w:color w:val="010101"/>
          <w:w w:val="90"/>
          <w:sz w:val="21"/>
        </w:rPr>
        <w:t>will</w:t>
      </w:r>
      <w:r>
        <w:rPr>
          <w:color w:val="010101"/>
          <w:spacing w:val="-2"/>
          <w:w w:val="90"/>
          <w:sz w:val="21"/>
        </w:rPr>
        <w:t> </w:t>
      </w:r>
      <w:r>
        <w:rPr>
          <w:color w:val="010101"/>
          <w:w w:val="115"/>
          <w:sz w:val="20"/>
        </w:rPr>
        <w:t>survive</w:t>
      </w:r>
      <w:r>
        <w:rPr>
          <w:color w:val="010101"/>
          <w:spacing w:val="-17"/>
          <w:w w:val="115"/>
          <w:sz w:val="20"/>
        </w:rPr>
        <w:t> </w:t>
      </w:r>
      <w:r>
        <w:rPr>
          <w:color w:val="010101"/>
          <w:w w:val="115"/>
          <w:sz w:val="20"/>
        </w:rPr>
        <w:t>for</w:t>
      </w:r>
      <w:r>
        <w:rPr>
          <w:color w:val="010101"/>
          <w:spacing w:val="-19"/>
          <w:w w:val="115"/>
          <w:sz w:val="20"/>
        </w:rPr>
        <w:t> </w:t>
      </w:r>
      <w:r>
        <w:rPr>
          <w:i/>
          <w:color w:val="010101"/>
          <w:w w:val="90"/>
          <w:sz w:val="22"/>
        </w:rPr>
        <w:t>t</w:t>
      </w:r>
      <w:r>
        <w:rPr>
          <w:i/>
          <w:color w:val="010101"/>
          <w:spacing w:val="-11"/>
          <w:w w:val="90"/>
          <w:sz w:val="22"/>
        </w:rPr>
        <w:t> </w:t>
      </w:r>
      <w:r>
        <w:rPr>
          <w:color w:val="010101"/>
          <w:w w:val="115"/>
          <w:sz w:val="20"/>
        </w:rPr>
        <w:t>years. </w:t>
      </w:r>
      <w:r>
        <w:rPr>
          <w:color w:val="010101"/>
          <w:w w:val="90"/>
          <w:sz w:val="20"/>
        </w:rPr>
        <w:t>17•</w:t>
      </w:r>
      <w:r>
        <w:rPr>
          <w:color w:val="010101"/>
          <w:spacing w:val="18"/>
          <w:w w:val="90"/>
          <w:sz w:val="20"/>
        </w:rPr>
        <w:t> </w:t>
      </w:r>
      <w:r>
        <w:rPr>
          <w:rFonts w:ascii="Arial" w:hAnsi="Arial"/>
          <w:i/>
          <w:color w:val="010101"/>
          <w:w w:val="90"/>
          <w:sz w:val="21"/>
        </w:rPr>
        <w:t>ª'°Zlf</w:t>
      </w:r>
      <w:r>
        <w:rPr>
          <w:rFonts w:ascii="Arial" w:hAnsi="Arial"/>
          <w:i/>
          <w:color w:val="010101"/>
          <w:spacing w:val="15"/>
          <w:w w:val="90"/>
          <w:sz w:val="21"/>
        </w:rPr>
        <w:t> </w:t>
      </w:r>
      <w:r>
        <w:rPr>
          <w:rFonts w:ascii="Arial" w:hAnsi="Arial"/>
          <w:color w:val="010101"/>
          <w:w w:val="115"/>
          <w:sz w:val="30"/>
        </w:rPr>
        <w:t>+</w:t>
      </w:r>
      <w:r>
        <w:rPr>
          <w:rFonts w:ascii="Arial" w:hAnsi="Arial"/>
          <w:color w:val="010101"/>
          <w:spacing w:val="-58"/>
          <w:w w:val="115"/>
          <w:sz w:val="30"/>
        </w:rPr>
        <w:t> </w:t>
      </w:r>
      <w:r>
        <w:rPr>
          <w:rFonts w:ascii="Arial" w:hAnsi="Arial"/>
          <w:i/>
          <w:color w:val="010101"/>
          <w:w w:val="155"/>
          <w:sz w:val="8"/>
        </w:rPr>
        <w:t>atDU</w:t>
      </w:r>
      <w:r>
        <w:rPr>
          <w:rFonts w:ascii="Arial" w:hAnsi="Arial"/>
          <w:i/>
          <w:color w:val="010101"/>
          <w:spacing w:val="25"/>
          <w:w w:val="155"/>
          <w:sz w:val="8"/>
        </w:rPr>
        <w:t> </w:t>
      </w:r>
      <w:r>
        <w:rPr>
          <w:rFonts w:ascii="Arial" w:hAnsi="Arial"/>
          <w:color w:val="010101"/>
          <w:w w:val="115"/>
          <w:sz w:val="31"/>
        </w:rPr>
        <w:t>+</w:t>
      </w:r>
      <w:r>
        <w:rPr>
          <w:rFonts w:ascii="Arial" w:hAnsi="Arial"/>
          <w:color w:val="010101"/>
          <w:spacing w:val="-60"/>
          <w:w w:val="115"/>
          <w:sz w:val="31"/>
        </w:rPr>
        <w:t> </w:t>
      </w:r>
      <w:r>
        <w:rPr>
          <w:rFonts w:ascii="Arial" w:hAnsi="Arial"/>
          <w:color w:val="010101"/>
          <w:w w:val="115"/>
          <w:sz w:val="10"/>
        </w:rPr>
        <w:t>ªWJ/Z</w:t>
      </w:r>
      <w:r>
        <w:rPr>
          <w:rFonts w:ascii="Arial" w:hAnsi="Arial"/>
          <w:color w:val="010101"/>
          <w:spacing w:val="24"/>
          <w:w w:val="115"/>
          <w:sz w:val="10"/>
        </w:rPr>
        <w:t> </w:t>
      </w:r>
      <w:r>
        <w:rPr>
          <w:rFonts w:ascii="Arial" w:hAnsi="Arial"/>
          <w:color w:val="010101"/>
          <w:w w:val="115"/>
          <w:sz w:val="31"/>
        </w:rPr>
        <w:t>+</w:t>
      </w:r>
      <w:r>
        <w:rPr>
          <w:rFonts w:ascii="Arial" w:hAnsi="Arial"/>
          <w:color w:val="010101"/>
          <w:spacing w:val="-62"/>
          <w:w w:val="115"/>
          <w:sz w:val="31"/>
        </w:rPr>
        <w:t> </w:t>
      </w:r>
      <w:r>
        <w:rPr>
          <w:rFonts w:ascii="Arial" w:hAnsi="Arial"/>
          <w:color w:val="010101"/>
          <w:w w:val="155"/>
          <w:sz w:val="10"/>
        </w:rPr>
        <w:t>ªZl/1</w:t>
      </w:r>
      <w:r>
        <w:rPr>
          <w:rFonts w:ascii="Arial" w:hAnsi="Arial"/>
          <w:color w:val="010101"/>
          <w:spacing w:val="2"/>
          <w:w w:val="155"/>
          <w:sz w:val="10"/>
        </w:rPr>
        <w:t> </w:t>
      </w:r>
      <w:r>
        <w:rPr>
          <w:rFonts w:ascii="Arial" w:hAnsi="Arial"/>
          <w:color w:val="010101"/>
          <w:w w:val="470"/>
          <w:sz w:val="10"/>
        </w:rPr>
        <w:t>-</w:t>
      </w:r>
      <w:r>
        <w:rPr>
          <w:rFonts w:ascii="Arial" w:hAnsi="Arial"/>
          <w:color w:val="010101"/>
          <w:spacing w:val="-87"/>
          <w:w w:val="470"/>
          <w:sz w:val="10"/>
        </w:rPr>
        <w:t> </w:t>
      </w:r>
      <w:r>
        <w:rPr>
          <w:color w:val="010101"/>
          <w:w w:val="90"/>
          <w:sz w:val="20"/>
        </w:rPr>
        <w:t>4a»Zl(.S</w:t>
      </w:r>
    </w:p>
    <w:p>
      <w:pPr>
        <w:spacing w:line="246" w:lineRule="exact" w:before="0"/>
        <w:ind w:left="118" w:right="0" w:firstLine="0"/>
        <w:jc w:val="left"/>
        <w:rPr>
          <w:b/>
          <w:sz w:val="17"/>
        </w:rPr>
      </w:pPr>
      <w:r>
        <w:rPr>
          <w:rFonts w:ascii="Arial"/>
          <w:color w:val="010101"/>
          <w:w w:val="115"/>
          <w:sz w:val="19"/>
        </w:rPr>
        <w:t>20. 1 </w:t>
      </w:r>
      <w:r>
        <w:rPr>
          <w:rFonts w:ascii="Arial"/>
          <w:color w:val="010101"/>
          <w:w w:val="245"/>
          <w:sz w:val="19"/>
        </w:rPr>
        <w:t>-</w:t>
      </w:r>
      <w:r>
        <w:rPr>
          <w:rFonts w:ascii="Arial"/>
          <w:color w:val="010101"/>
          <w:spacing w:val="-92"/>
          <w:w w:val="245"/>
          <w:sz w:val="19"/>
        </w:rPr>
        <w:t> </w:t>
      </w:r>
      <w:r>
        <w:rPr>
          <w:i/>
          <w:color w:val="010101"/>
          <w:w w:val="85"/>
          <w:sz w:val="20"/>
        </w:rPr>
        <w:t>d </w:t>
      </w:r>
      <w:r>
        <w:rPr>
          <w:color w:val="010101"/>
          <w:w w:val="85"/>
          <w:sz w:val="18"/>
        </w:rPr>
        <w:t>(&lt;iwz </w:t>
      </w:r>
      <w:r>
        <w:rPr>
          <w:rFonts w:ascii="Arial"/>
          <w:color w:val="010101"/>
          <w:w w:val="115"/>
          <w:sz w:val="31"/>
        </w:rPr>
        <w:t>+</w:t>
      </w:r>
      <w:r>
        <w:rPr>
          <w:rFonts w:ascii="Arial"/>
          <w:color w:val="010101"/>
          <w:spacing w:val="-70"/>
          <w:w w:val="115"/>
          <w:sz w:val="31"/>
        </w:rPr>
        <w:t> </w:t>
      </w:r>
      <w:r>
        <w:rPr>
          <w:i/>
          <w:color w:val="010101"/>
          <w:w w:val="85"/>
          <w:sz w:val="19"/>
        </w:rPr>
        <w:t>iiw11 </w:t>
      </w:r>
      <w:r>
        <w:rPr>
          <w:rFonts w:ascii="Arial"/>
          <w:color w:val="010101"/>
          <w:w w:val="115"/>
          <w:sz w:val="30"/>
        </w:rPr>
        <w:t>+</w:t>
      </w:r>
      <w:r>
        <w:rPr>
          <w:rFonts w:ascii="Arial"/>
          <w:color w:val="010101"/>
          <w:spacing w:val="-68"/>
          <w:w w:val="115"/>
          <w:sz w:val="30"/>
        </w:rPr>
        <w:t> </w:t>
      </w:r>
      <w:r>
        <w:rPr>
          <w:color w:val="010101"/>
          <w:w w:val="85"/>
          <w:sz w:val="17"/>
        </w:rPr>
        <w:t>&lt;lu,z </w:t>
      </w:r>
      <w:r>
        <w:rPr>
          <w:rFonts w:ascii="Arial"/>
          <w:color w:val="010101"/>
          <w:w w:val="115"/>
          <w:sz w:val="31"/>
        </w:rPr>
        <w:t>+</w:t>
      </w:r>
      <w:r>
        <w:rPr>
          <w:rFonts w:ascii="Arial"/>
          <w:color w:val="010101"/>
          <w:spacing w:val="-70"/>
          <w:w w:val="115"/>
          <w:sz w:val="31"/>
        </w:rPr>
        <w:t> </w:t>
      </w:r>
      <w:r>
        <w:rPr>
          <w:i/>
          <w:color w:val="010101"/>
          <w:spacing w:val="4"/>
          <w:w w:val="85"/>
          <w:sz w:val="14"/>
        </w:rPr>
        <w:t>dz11 </w:t>
      </w:r>
      <w:r>
        <w:rPr>
          <w:rFonts w:ascii="Arial"/>
          <w:color w:val="010101"/>
          <w:w w:val="115"/>
          <w:sz w:val="31"/>
        </w:rPr>
        <w:t>+</w:t>
      </w:r>
      <w:r>
        <w:rPr>
          <w:rFonts w:ascii="Arial"/>
          <w:color w:val="010101"/>
          <w:spacing w:val="-70"/>
          <w:w w:val="115"/>
          <w:sz w:val="31"/>
        </w:rPr>
        <w:t> </w:t>
      </w:r>
      <w:r>
        <w:rPr>
          <w:color w:val="010101"/>
          <w:w w:val="115"/>
          <w:sz w:val="16"/>
        </w:rPr>
        <w:t>dzz </w:t>
      </w:r>
      <w:r>
        <w:rPr>
          <w:rFonts w:ascii="Arial"/>
          <w:color w:val="010101"/>
          <w:w w:val="115"/>
          <w:sz w:val="31"/>
        </w:rPr>
        <w:t>+</w:t>
      </w:r>
      <w:r>
        <w:rPr>
          <w:rFonts w:ascii="Arial"/>
          <w:color w:val="010101"/>
          <w:spacing w:val="-70"/>
          <w:w w:val="115"/>
          <w:sz w:val="31"/>
        </w:rPr>
        <w:t> </w:t>
      </w:r>
      <w:r>
        <w:rPr>
          <w:color w:val="010101"/>
          <w:w w:val="85"/>
          <w:sz w:val="17"/>
        </w:rPr>
        <w:t>d11z </w:t>
      </w:r>
      <w:r>
        <w:rPr>
          <w:color w:val="010101"/>
          <w:w w:val="285"/>
          <w:sz w:val="17"/>
        </w:rPr>
        <w:t>-</w:t>
      </w:r>
      <w:r>
        <w:rPr>
          <w:color w:val="010101"/>
          <w:spacing w:val="-91"/>
          <w:w w:val="285"/>
          <w:sz w:val="17"/>
        </w:rPr>
        <w:t> </w:t>
      </w:r>
      <w:r>
        <w:rPr>
          <w:rFonts w:ascii="Arial"/>
          <w:color w:val="010101"/>
          <w:w w:val="85"/>
          <w:sz w:val="19"/>
        </w:rPr>
        <w:t>2c.i.,ZI/ </w:t>
      </w:r>
      <w:r>
        <w:rPr>
          <w:rFonts w:ascii="Arial"/>
          <w:color w:val="010101"/>
          <w:w w:val="245"/>
          <w:sz w:val="19"/>
        </w:rPr>
        <w:t>-</w:t>
      </w:r>
      <w:r>
        <w:rPr>
          <w:rFonts w:ascii="Arial"/>
          <w:color w:val="010101"/>
          <w:spacing w:val="-97"/>
          <w:w w:val="245"/>
          <w:sz w:val="19"/>
        </w:rPr>
        <w:t> </w:t>
      </w:r>
      <w:r>
        <w:rPr>
          <w:b/>
          <w:color w:val="010101"/>
          <w:w w:val="115"/>
          <w:sz w:val="17"/>
        </w:rPr>
        <w:t>2dv;u</w:t>
      </w:r>
    </w:p>
    <w:p>
      <w:pPr>
        <w:spacing w:line="441" w:lineRule="exact" w:before="0"/>
        <w:ind w:left="3509" w:right="0" w:firstLine="0"/>
        <w:jc w:val="left"/>
        <w:rPr>
          <w:sz w:val="41"/>
        </w:rPr>
      </w:pPr>
      <w:r>
        <w:rPr>
          <w:color w:val="010101"/>
          <w:w w:val="421"/>
          <w:sz w:val="13"/>
        </w:rPr>
        <w:t>-</w:t>
      </w:r>
      <w:r>
        <w:rPr>
          <w:color w:val="010101"/>
          <w:sz w:val="13"/>
        </w:rPr>
        <w:t> </w:t>
      </w:r>
      <w:r>
        <w:rPr>
          <w:color w:val="010101"/>
          <w:spacing w:val="-12"/>
          <w:sz w:val="13"/>
        </w:rPr>
        <w:t> </w:t>
      </w:r>
      <w:r>
        <w:rPr>
          <w:color w:val="010101"/>
          <w:w w:val="84"/>
          <w:sz w:val="13"/>
        </w:rPr>
        <w:t>2&lt;iw11.z</w:t>
      </w:r>
      <w:r>
        <w:rPr>
          <w:color w:val="010101"/>
          <w:sz w:val="13"/>
        </w:rPr>
        <w:t>  </w:t>
      </w:r>
      <w:r>
        <w:rPr>
          <w:color w:val="010101"/>
          <w:spacing w:val="2"/>
          <w:sz w:val="13"/>
        </w:rPr>
        <w:t> </w:t>
      </w:r>
      <w:r>
        <w:rPr>
          <w:color w:val="010101"/>
          <w:w w:val="410"/>
          <w:sz w:val="13"/>
        </w:rPr>
        <w:t>-</w:t>
      </w:r>
      <w:r>
        <w:rPr>
          <w:color w:val="010101"/>
          <w:sz w:val="13"/>
        </w:rPr>
        <w:t> </w:t>
      </w:r>
      <w:r>
        <w:rPr>
          <w:color w:val="010101"/>
          <w:spacing w:val="-7"/>
          <w:sz w:val="13"/>
        </w:rPr>
        <w:t> </w:t>
      </w:r>
      <w:r>
        <w:rPr>
          <w:i/>
          <w:color w:val="010101"/>
          <w:w w:val="103"/>
          <w:sz w:val="21"/>
        </w:rPr>
        <w:t>2az,,</w:t>
      </w:r>
      <w:r>
        <w:rPr>
          <w:i/>
          <w:color w:val="010101"/>
          <w:spacing w:val="10"/>
          <w:sz w:val="21"/>
        </w:rPr>
        <w:t> </w:t>
      </w:r>
      <w:r>
        <w:rPr>
          <w:rFonts w:ascii="Arial" w:hAnsi="Arial"/>
          <w:color w:val="010101"/>
          <w:w w:val="102"/>
          <w:sz w:val="31"/>
        </w:rPr>
        <w:t>+</w:t>
      </w:r>
      <w:r>
        <w:rPr>
          <w:rFonts w:ascii="Arial" w:hAnsi="Arial"/>
          <w:color w:val="010101"/>
          <w:spacing w:val="-33"/>
          <w:sz w:val="31"/>
        </w:rPr>
        <w:t> </w:t>
      </w:r>
      <w:r>
        <w:rPr>
          <w:color w:val="010101"/>
          <w:w w:val="82"/>
          <w:sz w:val="41"/>
        </w:rPr>
        <w:t>ª</w:t>
      </w:r>
      <w:r>
        <w:rPr>
          <w:color w:val="010101"/>
          <w:spacing w:val="16"/>
          <w:w w:val="82"/>
          <w:sz w:val="41"/>
        </w:rPr>
        <w:t>ª</w:t>
      </w:r>
      <w:r>
        <w:rPr>
          <w:color w:val="010101"/>
          <w:spacing w:val="-48"/>
          <w:w w:val="209"/>
          <w:sz w:val="41"/>
        </w:rPr>
        <w:t>·</w:t>
      </w:r>
      <w:r>
        <w:rPr>
          <w:color w:val="010101"/>
          <w:spacing w:val="-69"/>
          <w:w w:val="107"/>
          <w:sz w:val="41"/>
        </w:rPr>
        <w:t>·</w:t>
      </w:r>
      <w:r>
        <w:rPr>
          <w:color w:val="010101"/>
          <w:w w:val="45"/>
          <w:sz w:val="41"/>
        </w:rPr>
        <w:t>}</w:t>
      </w:r>
    </w:p>
    <w:p>
      <w:pPr>
        <w:spacing w:after="0" w:line="441" w:lineRule="exact"/>
        <w:jc w:val="left"/>
        <w:rPr>
          <w:sz w:val="41"/>
        </w:rPr>
        <w:sectPr>
          <w:pgSz w:w="7200" w:h="11340"/>
          <w:pgMar w:top="520" w:bottom="280" w:left="640" w:right="560"/>
        </w:sectPr>
      </w:pPr>
    </w:p>
    <w:p>
      <w:pPr>
        <w:tabs>
          <w:tab w:pos="2615" w:val="left" w:leader="none"/>
          <w:tab w:pos="5882" w:val="right" w:leader="none"/>
        </w:tabs>
        <w:spacing w:before="49"/>
        <w:ind w:left="136" w:right="0" w:firstLine="0"/>
        <w:jc w:val="left"/>
        <w:rPr>
          <w:rFonts w:ascii="Arial"/>
          <w:sz w:val="20"/>
        </w:rPr>
      </w:pPr>
      <w:r>
        <w:rPr>
          <w:b/>
          <w:color w:val="010101"/>
          <w:sz w:val="15"/>
        </w:rPr>
        <w:t>CH. </w:t>
      </w:r>
      <w:r>
        <w:rPr>
          <w:b/>
          <w:color w:val="010101"/>
          <w:spacing w:val="32"/>
          <w:sz w:val="15"/>
        </w:rPr>
        <w:t> </w:t>
      </w:r>
      <w:r>
        <w:rPr>
          <w:rFonts w:ascii="Arial"/>
          <w:b/>
          <w:color w:val="010101"/>
          <w:sz w:val="19"/>
        </w:rPr>
        <w:t>11)</w:t>
        <w:tab/>
      </w:r>
      <w:r>
        <w:rPr>
          <w:b/>
          <w:color w:val="010101"/>
          <w:sz w:val="15"/>
        </w:rPr>
        <w:t>ANSWERS</w:t>
      </w:r>
      <w:r>
        <w:rPr>
          <w:rFonts w:ascii="Arial"/>
          <w:color w:val="010101"/>
          <w:sz w:val="20"/>
        </w:rPr>
        <w:tab/>
        <w:t>365</w:t>
      </w:r>
    </w:p>
    <w:p>
      <w:pPr>
        <w:pStyle w:val="BodyText"/>
        <w:spacing w:before="2"/>
        <w:rPr>
          <w:rFonts w:ascii="Arial"/>
        </w:rPr>
      </w:pPr>
      <w:r>
        <w:rPr/>
        <w:drawing>
          <wp:anchor distT="0" distB="0" distL="0" distR="0" allowOverlap="1" layoutInCell="1" locked="0" behindDoc="0" simplePos="0" relativeHeight="29488">
            <wp:simplePos x="0" y="0"/>
            <wp:positionH relativeFrom="page">
              <wp:posOffset>502919</wp:posOffset>
            </wp:positionH>
            <wp:positionV relativeFrom="paragraph">
              <wp:posOffset>172414</wp:posOffset>
            </wp:positionV>
            <wp:extent cx="1810511" cy="128015"/>
            <wp:effectExtent l="0" t="0" r="0" b="0"/>
            <wp:wrapTopAndBottom/>
            <wp:docPr id="857" name="image439.png" descr=""/>
            <wp:cNvGraphicFramePr>
              <a:graphicFrameLocks noChangeAspect="1"/>
            </wp:cNvGraphicFramePr>
            <a:graphic>
              <a:graphicData uri="http://schemas.openxmlformats.org/drawingml/2006/picture">
                <pic:pic>
                  <pic:nvPicPr>
                    <pic:cNvPr id="858" name="image439.png"/>
                    <pic:cNvPicPr/>
                  </pic:nvPicPr>
                  <pic:blipFill>
                    <a:blip r:embed="rId443" cstate="print"/>
                    <a:stretch>
                      <a:fillRect/>
                    </a:stretch>
                  </pic:blipFill>
                  <pic:spPr>
                    <a:xfrm>
                      <a:off x="0" y="0"/>
                      <a:ext cx="1810511" cy="128015"/>
                    </a:xfrm>
                    <a:prstGeom prst="rect">
                      <a:avLst/>
                    </a:prstGeom>
                  </pic:spPr>
                </pic:pic>
              </a:graphicData>
            </a:graphic>
          </wp:anchor>
        </w:drawing>
      </w:r>
    </w:p>
    <w:p>
      <w:pPr>
        <w:spacing w:before="42"/>
        <w:ind w:left="136" w:right="0" w:firstLine="0"/>
        <w:jc w:val="left"/>
        <w:rPr>
          <w:b/>
          <w:sz w:val="20"/>
        </w:rPr>
      </w:pPr>
      <w:r>
        <w:rPr>
          <w:b/>
          <w:color w:val="010101"/>
          <w:w w:val="115"/>
          <w:sz w:val="20"/>
        </w:rPr>
        <w:t>22. </w:t>
      </w:r>
      <w:r>
        <w:rPr>
          <w:b/>
          <w:color w:val="010101"/>
          <w:w w:val="115"/>
          <w:sz w:val="21"/>
        </w:rPr>
        <w:t>(a) </w:t>
      </w:r>
      <w:r>
        <w:rPr>
          <w:b/>
          <w:color w:val="010101"/>
          <w:sz w:val="20"/>
        </w:rPr>
        <w:t>1 </w:t>
      </w:r>
      <w:r>
        <w:rPr>
          <w:color w:val="010101"/>
          <w:w w:val="255"/>
          <w:sz w:val="20"/>
        </w:rPr>
        <w:t>-</w:t>
      </w:r>
      <w:r>
        <w:rPr>
          <w:color w:val="010101"/>
          <w:spacing w:val="-96"/>
          <w:w w:val="255"/>
          <w:sz w:val="20"/>
        </w:rPr>
        <w:t> </w:t>
      </w:r>
      <w:r>
        <w:rPr>
          <w:b/>
          <w:color w:val="010101"/>
          <w:sz w:val="20"/>
        </w:rPr>
        <w:t>5 (,.pz </w:t>
      </w:r>
      <w:r>
        <w:rPr>
          <w:b/>
          <w:color w:val="010101"/>
          <w:spacing w:val="6"/>
          <w:sz w:val="20"/>
        </w:rPr>
        <w:t>)</w:t>
      </w:r>
      <w:r>
        <w:rPr>
          <w:rFonts w:ascii="Arial"/>
          <w:b/>
          <w:color w:val="010101"/>
          <w:spacing w:val="6"/>
          <w:position w:val="10"/>
          <w:sz w:val="11"/>
        </w:rPr>
        <w:t>4 </w:t>
      </w:r>
      <w:r>
        <w:rPr>
          <w:rFonts w:ascii="Arial"/>
          <w:color w:val="010101"/>
          <w:sz w:val="31"/>
        </w:rPr>
        <w:t>+</w:t>
      </w:r>
      <w:r>
        <w:rPr>
          <w:rFonts w:ascii="Arial"/>
          <w:color w:val="010101"/>
          <w:spacing w:val="-52"/>
          <w:sz w:val="31"/>
        </w:rPr>
        <w:t> </w:t>
      </w:r>
      <w:r>
        <w:rPr>
          <w:b/>
          <w:color w:val="010101"/>
          <w:sz w:val="20"/>
        </w:rPr>
        <w:t>4 (,.pa:}6</w:t>
      </w:r>
    </w:p>
    <w:p>
      <w:pPr>
        <w:tabs>
          <w:tab w:pos="3242" w:val="left" w:leader="none"/>
        </w:tabs>
        <w:spacing w:before="64"/>
        <w:ind w:left="527" w:right="0" w:firstLine="0"/>
        <w:jc w:val="left"/>
        <w:rPr>
          <w:b/>
          <w:sz w:val="20"/>
        </w:rPr>
      </w:pPr>
      <w:r>
        <w:rPr>
          <w:b/>
          <w:color w:val="010101"/>
          <w:w w:val="115"/>
          <w:sz w:val="20"/>
        </w:rPr>
        <w:t>(b)</w:t>
      </w:r>
      <w:r>
        <w:rPr>
          <w:b/>
          <w:color w:val="010101"/>
          <w:spacing w:val="-15"/>
          <w:w w:val="115"/>
          <w:sz w:val="20"/>
        </w:rPr>
        <w:t> </w:t>
      </w:r>
      <w:r>
        <w:rPr>
          <w:b/>
          <w:color w:val="010101"/>
          <w:w w:val="115"/>
          <w:sz w:val="20"/>
        </w:rPr>
        <w:t>[1</w:t>
      </w:r>
      <w:r>
        <w:rPr>
          <w:b/>
          <w:color w:val="010101"/>
          <w:spacing w:val="-29"/>
          <w:w w:val="115"/>
          <w:sz w:val="20"/>
        </w:rPr>
        <w:t> </w:t>
      </w:r>
      <w:r>
        <w:rPr>
          <w:rFonts w:ascii="Arial"/>
          <w:color w:val="010101"/>
          <w:w w:val="115"/>
          <w:sz w:val="31"/>
        </w:rPr>
        <w:t>+</w:t>
      </w:r>
      <w:r>
        <w:rPr>
          <w:rFonts w:ascii="Arial"/>
          <w:color w:val="010101"/>
          <w:spacing w:val="-77"/>
          <w:w w:val="115"/>
          <w:sz w:val="31"/>
        </w:rPr>
        <w:t> </w:t>
      </w:r>
      <w:r>
        <w:rPr>
          <w:b/>
          <w:color w:val="010101"/>
          <w:w w:val="115"/>
          <w:sz w:val="20"/>
        </w:rPr>
        <w:t>4</w:t>
      </w:r>
      <w:r>
        <w:rPr>
          <w:b/>
          <w:color w:val="010101"/>
          <w:spacing w:val="-44"/>
          <w:w w:val="115"/>
          <w:sz w:val="20"/>
        </w:rPr>
        <w:t> </w:t>
      </w:r>
      <w:r>
        <w:rPr>
          <w:b/>
          <w:color w:val="010101"/>
          <w:w w:val="80"/>
          <w:sz w:val="20"/>
        </w:rPr>
        <w:t>(11-IPz</w:t>
      </w:r>
      <w:r>
        <w:rPr>
          <w:b/>
          <w:color w:val="010101"/>
          <w:spacing w:val="-2"/>
          <w:w w:val="80"/>
          <w:sz w:val="20"/>
        </w:rPr>
        <w:t> </w:t>
      </w:r>
      <w:r>
        <w:rPr>
          <w:color w:val="010101"/>
          <w:w w:val="245"/>
          <w:sz w:val="20"/>
        </w:rPr>
        <w:t>-</w:t>
      </w:r>
      <w:r>
        <w:rPr>
          <w:color w:val="010101"/>
          <w:spacing w:val="-101"/>
          <w:w w:val="245"/>
          <w:sz w:val="20"/>
        </w:rPr>
        <w:t> </w:t>
      </w:r>
      <w:r>
        <w:rPr>
          <w:b/>
          <w:color w:val="010101"/>
          <w:w w:val="80"/>
          <w:sz w:val="20"/>
        </w:rPr>
        <w:t>11Pa:</w:t>
      </w:r>
      <w:r>
        <w:rPr>
          <w:b/>
          <w:color w:val="010101"/>
          <w:spacing w:val="-32"/>
          <w:w w:val="80"/>
          <w:sz w:val="20"/>
        </w:rPr>
        <w:t> </w:t>
      </w:r>
      <w:r>
        <w:rPr>
          <w:b/>
          <w:color w:val="010101"/>
          <w:w w:val="115"/>
          <w:sz w:val="20"/>
        </w:rPr>
        <w:t>)][l</w:t>
        <w:tab/>
      </w:r>
      <w:r>
        <w:rPr>
          <w:b/>
          <w:color w:val="010101"/>
          <w:position w:val="-3"/>
          <w:sz w:val="20"/>
        </w:rPr>
        <w:drawing>
          <wp:inline distT="0" distB="0" distL="0" distR="0">
            <wp:extent cx="813815" cy="155448"/>
            <wp:effectExtent l="0" t="0" r="0" b="0"/>
            <wp:docPr id="859" name="image440.png" descr=""/>
            <wp:cNvGraphicFramePr>
              <a:graphicFrameLocks noChangeAspect="1"/>
            </wp:cNvGraphicFramePr>
            <a:graphic>
              <a:graphicData uri="http://schemas.openxmlformats.org/drawingml/2006/picture">
                <pic:pic>
                  <pic:nvPicPr>
                    <pic:cNvPr id="860" name="image440.png"/>
                    <pic:cNvPicPr/>
                  </pic:nvPicPr>
                  <pic:blipFill>
                    <a:blip r:embed="rId444" cstate="print"/>
                    <a:stretch>
                      <a:fillRect/>
                    </a:stretch>
                  </pic:blipFill>
                  <pic:spPr>
                    <a:xfrm>
                      <a:off x="0" y="0"/>
                      <a:ext cx="813815" cy="155448"/>
                    </a:xfrm>
                    <a:prstGeom prst="rect">
                      <a:avLst/>
                    </a:prstGeom>
                  </pic:spPr>
                </pic:pic>
              </a:graphicData>
            </a:graphic>
          </wp:inline>
        </w:drawing>
      </w:r>
      <w:r>
        <w:rPr>
          <w:b/>
          <w:color w:val="010101"/>
          <w:position w:val="-3"/>
          <w:sz w:val="20"/>
        </w:rPr>
      </w:r>
    </w:p>
    <w:p>
      <w:pPr>
        <w:spacing w:before="50"/>
        <w:ind w:left="136" w:right="0" w:firstLine="0"/>
        <w:jc w:val="left"/>
        <w:rPr>
          <w:i/>
          <w:sz w:val="21"/>
        </w:rPr>
      </w:pPr>
      <w:r>
        <w:rPr>
          <w:color w:val="010101"/>
          <w:w w:val="97"/>
          <w:sz w:val="21"/>
        </w:rPr>
        <w:t>27.</w:t>
      </w:r>
      <w:r>
        <w:rPr>
          <w:color w:val="010101"/>
          <w:sz w:val="21"/>
        </w:rPr>
        <w:t> </w:t>
      </w:r>
      <w:r>
        <w:rPr>
          <w:color w:val="010101"/>
          <w:spacing w:val="-9"/>
          <w:sz w:val="21"/>
        </w:rPr>
        <w:t> </w:t>
      </w:r>
      <w:r>
        <w:rPr>
          <w:i/>
          <w:color w:val="010101"/>
          <w:w w:val="90"/>
          <w:sz w:val="20"/>
        </w:rPr>
        <w:t>}tiz</w:t>
      </w:r>
      <w:r>
        <w:rPr>
          <w:i/>
          <w:color w:val="010101"/>
          <w:spacing w:val="3"/>
          <w:sz w:val="20"/>
        </w:rPr>
        <w:t> </w:t>
      </w:r>
      <w:r>
        <w:rPr>
          <w:i/>
          <w:color w:val="1A1A1A"/>
          <w:spacing w:val="-2"/>
          <w:w w:val="50"/>
          <w:sz w:val="20"/>
        </w:rPr>
        <w:t>:</w:t>
      </w:r>
      <w:r>
        <w:rPr>
          <w:i/>
          <w:color w:val="010101"/>
          <w:w w:val="79"/>
          <w:sz w:val="20"/>
        </w:rPr>
        <w:t>nl</w:t>
      </w:r>
      <w:r>
        <w:rPr>
          <w:i/>
          <w:color w:val="010101"/>
          <w:sz w:val="20"/>
        </w:rPr>
        <w:t> </w:t>
      </w:r>
      <w:r>
        <w:rPr>
          <w:i/>
          <w:color w:val="010101"/>
          <w:spacing w:val="-2"/>
          <w:sz w:val="20"/>
        </w:rPr>
        <w:t> </w:t>
      </w:r>
      <w:r>
        <w:rPr>
          <w:rFonts w:ascii="Arial" w:hAnsi="Arial"/>
          <w:color w:val="010101"/>
          <w:w w:val="105"/>
          <w:sz w:val="31"/>
        </w:rPr>
        <w:t>+</w:t>
      </w:r>
      <w:r>
        <w:rPr>
          <w:rFonts w:ascii="Arial" w:hAnsi="Arial"/>
          <w:color w:val="010101"/>
          <w:sz w:val="31"/>
        </w:rPr>
        <w:t> </w:t>
      </w:r>
      <w:r>
        <w:rPr>
          <w:rFonts w:ascii="Arial" w:hAnsi="Arial"/>
          <w:color w:val="010101"/>
          <w:spacing w:val="-27"/>
          <w:sz w:val="31"/>
        </w:rPr>
        <w:t> </w:t>
      </w:r>
      <w:r>
        <w:rPr>
          <w:i/>
          <w:color w:val="010101"/>
          <w:w w:val="128"/>
          <w:sz w:val="21"/>
        </w:rPr>
        <w:t>í</w:t>
      </w:r>
      <w:r>
        <w:rPr>
          <w:i/>
          <w:color w:val="010101"/>
          <w:spacing w:val="-14"/>
          <w:w w:val="128"/>
          <w:sz w:val="21"/>
        </w:rPr>
        <w:t>a</w:t>
      </w:r>
      <w:r>
        <w:rPr>
          <w:i/>
          <w:color w:val="010101"/>
          <w:w w:val="91"/>
          <w:sz w:val="21"/>
        </w:rPr>
        <w:t>.</w:t>
      </w:r>
      <w:r>
        <w:rPr>
          <w:i/>
          <w:color w:val="010101"/>
          <w:spacing w:val="8"/>
          <w:w w:val="91"/>
          <w:sz w:val="21"/>
        </w:rPr>
        <w:t>.</w:t>
      </w:r>
      <w:r>
        <w:rPr>
          <w:i/>
          <w:color w:val="2A2A2A"/>
          <w:spacing w:val="5"/>
          <w:w w:val="47"/>
          <w:sz w:val="21"/>
        </w:rPr>
        <w:t>:</w:t>
      </w:r>
      <w:r>
        <w:rPr>
          <w:i/>
          <w:color w:val="010101"/>
          <w:w w:val="56"/>
          <w:sz w:val="21"/>
        </w:rPr>
        <w:t>;;¡</w:t>
      </w:r>
      <w:r>
        <w:rPr>
          <w:i/>
          <w:color w:val="010101"/>
          <w:sz w:val="21"/>
        </w:rPr>
        <w:t> </w:t>
      </w:r>
      <w:r>
        <w:rPr>
          <w:i/>
          <w:color w:val="010101"/>
          <w:spacing w:val="-17"/>
          <w:sz w:val="21"/>
        </w:rPr>
        <w:t> </w:t>
      </w:r>
      <w:r>
        <w:rPr>
          <w:rFonts w:ascii="Arial" w:hAnsi="Arial"/>
          <w:color w:val="010101"/>
          <w:w w:val="102"/>
          <w:sz w:val="31"/>
        </w:rPr>
        <w:t>+</w:t>
      </w:r>
      <w:r>
        <w:rPr>
          <w:rFonts w:ascii="Arial" w:hAnsi="Arial"/>
          <w:color w:val="010101"/>
          <w:spacing w:val="-36"/>
          <w:sz w:val="31"/>
        </w:rPr>
        <w:t> </w:t>
      </w:r>
      <w:r>
        <w:rPr>
          <w:i/>
          <w:color w:val="010101"/>
          <w:w w:val="66"/>
          <w:sz w:val="21"/>
        </w:rPr>
        <w:t>_%aZJ1:;¡</w:t>
      </w:r>
    </w:p>
    <w:p>
      <w:pPr>
        <w:spacing w:before="68"/>
        <w:ind w:left="136" w:right="0" w:firstLine="0"/>
        <w:jc w:val="left"/>
        <w:rPr>
          <w:rFonts w:ascii="Arial" w:hAnsi="Arial"/>
          <w:i/>
          <w:sz w:val="26"/>
        </w:rPr>
      </w:pPr>
      <w:r>
        <w:rPr>
          <w:color w:val="010101"/>
          <w:w w:val="97"/>
          <w:sz w:val="21"/>
        </w:rPr>
        <w:t>28.</w:t>
      </w:r>
      <w:r>
        <w:rPr>
          <w:color w:val="010101"/>
          <w:sz w:val="21"/>
        </w:rPr>
        <w:t> </w:t>
      </w:r>
      <w:r>
        <w:rPr>
          <w:color w:val="010101"/>
          <w:spacing w:val="-5"/>
          <w:sz w:val="21"/>
        </w:rPr>
        <w:t> </w:t>
      </w:r>
      <w:r>
        <w:rPr>
          <w:color w:val="010101"/>
          <w:w w:val="104"/>
          <w:sz w:val="26"/>
        </w:rPr>
        <w:t>H</w:t>
      </w:r>
      <w:r>
        <w:rPr>
          <w:color w:val="010101"/>
          <w:spacing w:val="-26"/>
          <w:sz w:val="26"/>
        </w:rPr>
        <w:t> </w:t>
      </w:r>
      <w:r>
        <w:rPr>
          <w:i/>
          <w:color w:val="010101"/>
          <w:w w:val="79"/>
          <w:sz w:val="21"/>
        </w:rPr>
        <w:t>(a,o</w:t>
      </w:r>
      <w:r>
        <w:rPr>
          <w:i/>
          <w:color w:val="010101"/>
          <w:spacing w:val="22"/>
          <w:sz w:val="21"/>
        </w:rPr>
        <w:t> </w:t>
      </w:r>
      <w:r>
        <w:rPr>
          <w:color w:val="010101"/>
          <w:w w:val="103"/>
          <w:sz w:val="29"/>
        </w:rPr>
        <w:t>+</w:t>
      </w:r>
      <w:r>
        <w:rPr>
          <w:color w:val="010101"/>
          <w:spacing w:val="8"/>
          <w:sz w:val="29"/>
        </w:rPr>
        <w:t> </w:t>
      </w:r>
      <w:r>
        <w:rPr>
          <w:i/>
          <w:color w:val="010101"/>
          <w:w w:val="85"/>
          <w:sz w:val="21"/>
        </w:rPr>
        <w:t>az</w:t>
      </w:r>
      <w:r>
        <w:rPr>
          <w:i/>
          <w:color w:val="010101"/>
          <w:sz w:val="21"/>
        </w:rPr>
        <w:t> </w:t>
      </w:r>
      <w:r>
        <w:rPr>
          <w:i/>
          <w:color w:val="010101"/>
          <w:spacing w:val="-22"/>
          <w:sz w:val="21"/>
        </w:rPr>
        <w:t> </w:t>
      </w:r>
      <w:r>
        <w:rPr>
          <w:color w:val="010101"/>
          <w:w w:val="100"/>
          <w:sz w:val="29"/>
        </w:rPr>
        <w:t>+</w:t>
      </w:r>
      <w:r>
        <w:rPr>
          <w:color w:val="010101"/>
          <w:spacing w:val="10"/>
          <w:sz w:val="29"/>
        </w:rPr>
        <w:t> </w:t>
      </w:r>
      <w:r>
        <w:rPr>
          <w:i/>
          <w:color w:val="010101"/>
          <w:w w:val="53"/>
          <w:sz w:val="21"/>
        </w:rPr>
        <w:t>a11</w:t>
      </w:r>
      <w:r>
        <w:rPr>
          <w:i/>
          <w:color w:val="010101"/>
          <w:sz w:val="21"/>
        </w:rPr>
        <w:t> </w:t>
      </w:r>
      <w:r>
        <w:rPr>
          <w:i/>
          <w:color w:val="010101"/>
          <w:spacing w:val="-25"/>
          <w:sz w:val="21"/>
        </w:rPr>
        <w:t> </w:t>
      </w:r>
      <w:r>
        <w:rPr>
          <w:rFonts w:ascii="Arial" w:hAnsi="Arial"/>
          <w:color w:val="010101"/>
          <w:w w:val="105"/>
          <w:sz w:val="31"/>
        </w:rPr>
        <w:t>+</w:t>
      </w:r>
      <w:r>
        <w:rPr>
          <w:rFonts w:ascii="Arial" w:hAnsi="Arial"/>
          <w:color w:val="010101"/>
          <w:spacing w:val="-34"/>
          <w:sz w:val="31"/>
        </w:rPr>
        <w:t> </w:t>
      </w:r>
      <w:r>
        <w:rPr>
          <w:i/>
          <w:color w:val="010101"/>
          <w:w w:val="124"/>
          <w:sz w:val="21"/>
        </w:rPr>
        <w:t>a.</w:t>
      </w:r>
      <w:r>
        <w:rPr>
          <w:i/>
          <w:color w:val="010101"/>
          <w:spacing w:val="-1"/>
          <w:sz w:val="21"/>
        </w:rPr>
        <w:t> </w:t>
      </w:r>
      <w:r>
        <w:rPr>
          <w:rFonts w:ascii="Arial" w:hAnsi="Arial"/>
          <w:color w:val="010101"/>
          <w:w w:val="105"/>
          <w:sz w:val="31"/>
        </w:rPr>
        <w:t>+</w:t>
      </w:r>
      <w:r>
        <w:rPr>
          <w:rFonts w:ascii="Arial" w:hAnsi="Arial"/>
          <w:color w:val="010101"/>
          <w:spacing w:val="-31"/>
          <w:sz w:val="31"/>
        </w:rPr>
        <w:t> </w:t>
      </w:r>
      <w:r>
        <w:rPr>
          <w:rFonts w:ascii="Arial" w:hAnsi="Arial"/>
          <w:i/>
          <w:color w:val="010101"/>
          <w:w w:val="81"/>
          <w:sz w:val="25"/>
        </w:rPr>
        <w:t>ª"</w:t>
      </w:r>
      <w:r>
        <w:rPr>
          <w:rFonts w:ascii="Arial" w:hAnsi="Arial"/>
          <w:i/>
          <w:color w:val="010101"/>
          <w:spacing w:val="9"/>
          <w:w w:val="81"/>
          <w:sz w:val="25"/>
        </w:rPr>
        <w:t>'</w:t>
      </w:r>
      <w:r>
        <w:rPr>
          <w:rFonts w:ascii="Arial" w:hAnsi="Arial"/>
          <w:i/>
          <w:color w:val="010101"/>
          <w:w w:val="34"/>
          <w:sz w:val="25"/>
        </w:rPr>
        <w:t>ZJI</w:t>
      </w:r>
      <w:r>
        <w:rPr>
          <w:rFonts w:ascii="Arial" w:hAnsi="Arial"/>
          <w:i/>
          <w:color w:val="010101"/>
          <w:spacing w:val="20"/>
          <w:sz w:val="25"/>
        </w:rPr>
        <w:t> </w:t>
      </w:r>
      <w:r>
        <w:rPr>
          <w:rFonts w:ascii="Arial" w:hAnsi="Arial"/>
          <w:color w:val="010101"/>
          <w:w w:val="105"/>
          <w:sz w:val="31"/>
        </w:rPr>
        <w:t>+</w:t>
      </w:r>
      <w:r>
        <w:rPr>
          <w:rFonts w:ascii="Arial" w:hAnsi="Arial"/>
          <w:color w:val="010101"/>
          <w:spacing w:val="-34"/>
          <w:sz w:val="31"/>
        </w:rPr>
        <w:t> </w:t>
      </w:r>
      <w:r>
        <w:rPr>
          <w:i/>
          <w:color w:val="010101"/>
          <w:w w:val="79"/>
          <w:sz w:val="21"/>
        </w:rPr>
        <w:t>a10u</w:t>
      </w:r>
      <w:r>
        <w:rPr>
          <w:i/>
          <w:color w:val="010101"/>
          <w:sz w:val="21"/>
        </w:rPr>
        <w:t> </w:t>
      </w:r>
      <w:r>
        <w:rPr>
          <w:i/>
          <w:color w:val="010101"/>
          <w:spacing w:val="-18"/>
          <w:sz w:val="21"/>
        </w:rPr>
        <w:t> </w:t>
      </w:r>
      <w:r>
        <w:rPr>
          <w:rFonts w:ascii="Arial" w:hAnsi="Arial"/>
          <w:color w:val="010101"/>
          <w:w w:val="107"/>
          <w:sz w:val="31"/>
        </w:rPr>
        <w:t>+</w:t>
      </w:r>
      <w:r>
        <w:rPr>
          <w:rFonts w:ascii="Arial" w:hAnsi="Arial"/>
          <w:color w:val="010101"/>
          <w:spacing w:val="-34"/>
          <w:sz w:val="31"/>
        </w:rPr>
        <w:t> </w:t>
      </w:r>
      <w:r>
        <w:rPr>
          <w:i/>
          <w:color w:val="010101"/>
          <w:w w:val="114"/>
          <w:sz w:val="21"/>
        </w:rPr>
        <w:t>a..,.</w:t>
      </w:r>
      <w:r>
        <w:rPr>
          <w:i/>
          <w:color w:val="010101"/>
          <w:spacing w:val="4"/>
          <w:sz w:val="21"/>
        </w:rPr>
        <w:t> </w:t>
      </w:r>
      <w:r>
        <w:rPr>
          <w:rFonts w:ascii="Arial" w:hAnsi="Arial"/>
          <w:color w:val="010101"/>
          <w:w w:val="105"/>
          <w:sz w:val="31"/>
        </w:rPr>
        <w:t>+</w:t>
      </w:r>
      <w:r>
        <w:rPr>
          <w:rFonts w:ascii="Arial" w:hAnsi="Arial"/>
          <w:color w:val="010101"/>
          <w:spacing w:val="-38"/>
          <w:sz w:val="31"/>
        </w:rPr>
        <w:t> </w:t>
      </w:r>
      <w:r>
        <w:rPr>
          <w:rFonts w:ascii="Arial" w:hAnsi="Arial"/>
          <w:i/>
          <w:color w:val="010101"/>
          <w:w w:val="54"/>
          <w:sz w:val="26"/>
        </w:rPr>
        <w:t>ªZJI•&gt;</w:t>
      </w:r>
    </w:p>
    <w:p>
      <w:pPr>
        <w:pStyle w:val="BodyText"/>
        <w:spacing w:before="6"/>
        <w:rPr>
          <w:rFonts w:ascii="Arial"/>
          <w:i/>
          <w:sz w:val="9"/>
        </w:rPr>
      </w:pPr>
      <w:r>
        <w:rPr/>
        <w:drawing>
          <wp:anchor distT="0" distB="0" distL="0" distR="0" allowOverlap="1" layoutInCell="1" locked="0" behindDoc="0" simplePos="0" relativeHeight="29512">
            <wp:simplePos x="0" y="0"/>
            <wp:positionH relativeFrom="page">
              <wp:posOffset>493776</wp:posOffset>
            </wp:positionH>
            <wp:positionV relativeFrom="paragraph">
              <wp:posOffset>94892</wp:posOffset>
            </wp:positionV>
            <wp:extent cx="2093976" cy="128015"/>
            <wp:effectExtent l="0" t="0" r="0" b="0"/>
            <wp:wrapTopAndBottom/>
            <wp:docPr id="861" name="image441.png" descr=""/>
            <wp:cNvGraphicFramePr>
              <a:graphicFrameLocks noChangeAspect="1"/>
            </wp:cNvGraphicFramePr>
            <a:graphic>
              <a:graphicData uri="http://schemas.openxmlformats.org/drawingml/2006/picture">
                <pic:pic>
                  <pic:nvPicPr>
                    <pic:cNvPr id="862" name="image441.png"/>
                    <pic:cNvPicPr/>
                  </pic:nvPicPr>
                  <pic:blipFill>
                    <a:blip r:embed="rId445" cstate="print"/>
                    <a:stretch>
                      <a:fillRect/>
                    </a:stretch>
                  </pic:blipFill>
                  <pic:spPr>
                    <a:xfrm>
                      <a:off x="0" y="0"/>
                      <a:ext cx="2093976" cy="128015"/>
                    </a:xfrm>
                    <a:prstGeom prst="rect">
                      <a:avLst/>
                    </a:prstGeom>
                  </pic:spPr>
                </pic:pic>
              </a:graphicData>
            </a:graphic>
          </wp:anchor>
        </w:drawing>
      </w:r>
    </w:p>
    <w:p>
      <w:pPr>
        <w:spacing w:before="144" w:after="129"/>
        <w:ind w:left="98" w:right="80" w:firstLine="0"/>
        <w:jc w:val="center"/>
        <w:rPr>
          <w:b/>
          <w:sz w:val="20"/>
        </w:rPr>
      </w:pPr>
      <w:r>
        <w:rPr>
          <w:b/>
          <w:color w:val="010101"/>
          <w:w w:val="110"/>
          <w:sz w:val="15"/>
        </w:rPr>
        <w:t>ÜIAPTER  </w:t>
      </w:r>
      <w:r>
        <w:rPr>
          <w:b/>
          <w:color w:val="010101"/>
          <w:w w:val="110"/>
          <w:sz w:val="20"/>
        </w:rPr>
        <w:t>11</w:t>
      </w:r>
    </w:p>
    <w:p>
      <w:pPr>
        <w:pStyle w:val="BodyText"/>
        <w:ind w:left="232"/>
      </w:pPr>
      <w:r>
        <w:rPr/>
        <w:drawing>
          <wp:inline distT="0" distB="0" distL="0" distR="0">
            <wp:extent cx="1929383" cy="384048"/>
            <wp:effectExtent l="0" t="0" r="0" b="0"/>
            <wp:docPr id="863" name="image442.png" descr=""/>
            <wp:cNvGraphicFramePr>
              <a:graphicFrameLocks noChangeAspect="1"/>
            </wp:cNvGraphicFramePr>
            <a:graphic>
              <a:graphicData uri="http://schemas.openxmlformats.org/drawingml/2006/picture">
                <pic:pic>
                  <pic:nvPicPr>
                    <pic:cNvPr id="864" name="image442.png"/>
                    <pic:cNvPicPr/>
                  </pic:nvPicPr>
                  <pic:blipFill>
                    <a:blip r:embed="rId446" cstate="print"/>
                    <a:stretch>
                      <a:fillRect/>
                    </a:stretch>
                  </pic:blipFill>
                  <pic:spPr>
                    <a:xfrm>
                      <a:off x="0" y="0"/>
                      <a:ext cx="1929383" cy="384048"/>
                    </a:xfrm>
                    <a:prstGeom prst="rect">
                      <a:avLst/>
                    </a:prstGeom>
                  </pic:spPr>
                </pic:pic>
              </a:graphicData>
            </a:graphic>
          </wp:inline>
        </w:drawing>
      </w:r>
      <w:r>
        <w:rPr/>
      </w:r>
    </w:p>
    <w:p>
      <w:pPr>
        <w:tabs>
          <w:tab w:pos="1223" w:val="left" w:leader="none"/>
        </w:tabs>
        <w:spacing w:before="112"/>
        <w:ind w:left="233" w:right="0" w:firstLine="0"/>
        <w:jc w:val="left"/>
        <w:rPr>
          <w:rFonts w:ascii="Arial"/>
          <w:i/>
          <w:sz w:val="19"/>
        </w:rPr>
      </w:pPr>
      <w:r>
        <w:rPr>
          <w:color w:val="010101"/>
          <w:w w:val="105"/>
          <w:sz w:val="20"/>
        </w:rPr>
        <w:t>6. </w:t>
      </w:r>
      <w:r>
        <w:rPr>
          <w:color w:val="010101"/>
          <w:spacing w:val="34"/>
          <w:w w:val="105"/>
          <w:sz w:val="20"/>
        </w:rPr>
        <w:t> </w:t>
      </w:r>
      <w:r>
        <w:rPr>
          <w:color w:val="010101"/>
          <w:w w:val="105"/>
          <w:sz w:val="20"/>
        </w:rPr>
        <w:t>(b)</w:t>
        <w:tab/>
      </w:r>
      <w:r>
        <w:rPr>
          <w:rFonts w:ascii="Arial"/>
          <w:i/>
          <w:color w:val="010101"/>
          <w:w w:val="105"/>
          <w:sz w:val="19"/>
        </w:rPr>
        <w:t>(x ) </w:t>
      </w:r>
      <w:r>
        <w:rPr>
          <w:color w:val="010101"/>
          <w:w w:val="105"/>
          <w:sz w:val="21"/>
        </w:rPr>
        <w:t>is older than </w:t>
      </w:r>
      <w:r>
        <w:rPr>
          <w:rFonts w:ascii="Arial"/>
          <w:i/>
          <w:color w:val="010101"/>
          <w:w w:val="105"/>
          <w:sz w:val="19"/>
        </w:rPr>
        <w:t>(y</w:t>
      </w:r>
      <w:r>
        <w:rPr>
          <w:rFonts w:ascii="Arial"/>
          <w:i/>
          <w:color w:val="010101"/>
          <w:spacing w:val="-19"/>
          <w:w w:val="105"/>
          <w:sz w:val="19"/>
        </w:rPr>
        <w:t> </w:t>
      </w:r>
      <w:r>
        <w:rPr>
          <w:rFonts w:ascii="Arial"/>
          <w:i/>
          <w:color w:val="010101"/>
          <w:w w:val="105"/>
          <w:sz w:val="19"/>
        </w:rPr>
        <w:t>)</w:t>
      </w:r>
    </w:p>
    <w:p>
      <w:pPr>
        <w:spacing w:before="45"/>
        <w:ind w:left="147" w:right="0" w:firstLine="0"/>
        <w:jc w:val="left"/>
        <w:rPr>
          <w:rFonts w:ascii="Arial"/>
          <w:sz w:val="24"/>
        </w:rPr>
      </w:pPr>
      <w:r>
        <w:rPr>
          <w:color w:val="010101"/>
          <w:spacing w:val="-39"/>
          <w:w w:val="121"/>
          <w:sz w:val="20"/>
        </w:rPr>
        <w:t>1</w:t>
      </w:r>
      <w:r>
        <w:rPr>
          <w:color w:val="010101"/>
          <w:w w:val="110"/>
          <w:sz w:val="20"/>
        </w:rPr>
        <w:t>3.</w:t>
      </w:r>
      <w:r>
        <w:rPr>
          <w:color w:val="010101"/>
          <w:sz w:val="20"/>
        </w:rPr>
        <w:t> </w:t>
      </w:r>
      <w:r>
        <w:rPr>
          <w:color w:val="010101"/>
          <w:spacing w:val="-4"/>
          <w:sz w:val="20"/>
        </w:rPr>
        <w:t> </w:t>
      </w:r>
      <w:r>
        <w:rPr>
          <w:i/>
          <w:color w:val="010101"/>
          <w:w w:val="61"/>
          <w:sz w:val="29"/>
        </w:rPr>
        <w:t>A,.</w:t>
      </w:r>
      <w:r>
        <w:rPr>
          <w:i/>
          <w:color w:val="010101"/>
          <w:spacing w:val="-5"/>
          <w:w w:val="61"/>
          <w:sz w:val="29"/>
        </w:rPr>
        <w:t>,</w:t>
      </w:r>
      <w:r>
        <w:rPr>
          <w:i/>
          <w:color w:val="010101"/>
          <w:w w:val="94"/>
          <w:sz w:val="29"/>
        </w:rPr>
        <w:t>!</w:t>
      </w:r>
      <w:r>
        <w:rPr>
          <w:i/>
          <w:color w:val="010101"/>
          <w:spacing w:val="-7"/>
          <w:sz w:val="29"/>
        </w:rPr>
        <w:t> </w:t>
      </w:r>
      <w:r>
        <w:rPr>
          <w:i/>
          <w:color w:val="010101"/>
          <w:w w:val="100"/>
          <w:sz w:val="29"/>
        </w:rPr>
        <w:t>+</w:t>
      </w:r>
      <w:r>
        <w:rPr>
          <w:i/>
          <w:color w:val="010101"/>
          <w:spacing w:val="-26"/>
          <w:sz w:val="29"/>
        </w:rPr>
        <w:t> </w:t>
      </w:r>
      <w:r>
        <w:rPr>
          <w:i/>
          <w:color w:val="010101"/>
          <w:spacing w:val="6"/>
          <w:w w:val="99"/>
          <w:sz w:val="23"/>
        </w:rPr>
        <w:t>A</w:t>
      </w:r>
      <w:r>
        <w:rPr>
          <w:i/>
          <w:color w:val="010101"/>
          <w:w w:val="49"/>
          <w:sz w:val="23"/>
        </w:rPr>
        <w:t>!11</w:t>
      </w:r>
      <w:r>
        <w:rPr>
          <w:i/>
          <w:color w:val="010101"/>
          <w:spacing w:val="15"/>
          <w:sz w:val="23"/>
        </w:rPr>
        <w:t> </w:t>
      </w:r>
      <w:r>
        <w:rPr>
          <w:rFonts w:ascii="Arial"/>
          <w:color w:val="010101"/>
          <w:w w:val="105"/>
          <w:sz w:val="31"/>
        </w:rPr>
        <w:t>+</w:t>
      </w:r>
      <w:r>
        <w:rPr>
          <w:rFonts w:ascii="Arial"/>
          <w:color w:val="010101"/>
          <w:spacing w:val="-31"/>
          <w:sz w:val="31"/>
        </w:rPr>
        <w:t> </w:t>
      </w:r>
      <w:r>
        <w:rPr>
          <w:i/>
          <w:color w:val="010101"/>
          <w:spacing w:val="10"/>
          <w:w w:val="76"/>
          <w:sz w:val="29"/>
        </w:rPr>
        <w:t>A</w:t>
      </w:r>
      <w:r>
        <w:rPr>
          <w:i/>
          <w:color w:val="010101"/>
          <w:w w:val="117"/>
          <w:sz w:val="29"/>
        </w:rPr>
        <w:t>!.</w:t>
      </w:r>
      <w:r>
        <w:rPr>
          <w:i/>
          <w:color w:val="010101"/>
          <w:spacing w:val="-39"/>
          <w:sz w:val="29"/>
        </w:rPr>
        <w:t> </w:t>
      </w:r>
      <w:r>
        <w:rPr>
          <w:color w:val="010101"/>
          <w:w w:val="183"/>
          <w:sz w:val="29"/>
        </w:rPr>
        <w:t>-</w:t>
      </w:r>
      <w:r>
        <w:rPr>
          <w:color w:val="010101"/>
          <w:spacing w:val="-14"/>
          <w:sz w:val="29"/>
        </w:rPr>
        <w:t> </w:t>
      </w:r>
      <w:r>
        <w:rPr>
          <w:rFonts w:ascii="Arial"/>
          <w:color w:val="010101"/>
          <w:w w:val="93"/>
          <w:sz w:val="24"/>
        </w:rPr>
        <w:t>2</w:t>
      </w:r>
      <w:r>
        <w:rPr>
          <w:rFonts w:ascii="Arial"/>
          <w:color w:val="010101"/>
          <w:spacing w:val="-4"/>
          <w:w w:val="93"/>
          <w:sz w:val="24"/>
        </w:rPr>
        <w:t>(</w:t>
      </w:r>
      <w:r>
        <w:rPr>
          <w:rFonts w:ascii="Arial"/>
          <w:color w:val="010101"/>
          <w:w w:val="96"/>
          <w:sz w:val="24"/>
        </w:rPr>
        <w:t>.</w:t>
      </w:r>
      <w:r>
        <w:rPr>
          <w:rFonts w:ascii="Arial"/>
          <w:color w:val="010101"/>
          <w:w w:val="96"/>
          <w:sz w:val="24"/>
        </w:rPr>
        <w:t>A</w:t>
      </w:r>
      <w:r>
        <w:rPr>
          <w:rFonts w:ascii="Arial"/>
          <w:color w:val="010101"/>
          <w:w w:val="96"/>
          <w:sz w:val="24"/>
        </w:rPr>
        <w:t>.</w:t>
      </w:r>
      <w:r>
        <w:rPr>
          <w:rFonts w:ascii="Arial"/>
          <w:color w:val="010101"/>
          <w:spacing w:val="-28"/>
          <w:sz w:val="24"/>
        </w:rPr>
        <w:t> </w:t>
      </w:r>
      <w:r>
        <w:rPr>
          <w:rFonts w:ascii="Arial"/>
          <w:color w:val="010101"/>
          <w:w w:val="28"/>
          <w:sz w:val="24"/>
        </w:rPr>
        <w:t>11</w:t>
      </w:r>
      <w:r>
        <w:rPr>
          <w:rFonts w:ascii="Arial"/>
          <w:color w:val="010101"/>
          <w:spacing w:val="3"/>
          <w:sz w:val="24"/>
        </w:rPr>
        <w:t> </w:t>
      </w:r>
      <w:r>
        <w:rPr>
          <w:rFonts w:ascii="Arial"/>
          <w:color w:val="010101"/>
          <w:w w:val="105"/>
          <w:sz w:val="31"/>
        </w:rPr>
        <w:t>+</w:t>
      </w:r>
      <w:r>
        <w:rPr>
          <w:rFonts w:ascii="Arial"/>
          <w:color w:val="010101"/>
          <w:spacing w:val="-34"/>
          <w:sz w:val="31"/>
        </w:rPr>
        <w:t> </w:t>
      </w:r>
      <w:r>
        <w:rPr>
          <w:rFonts w:ascii="Arial"/>
          <w:color w:val="010101"/>
          <w:w w:val="61"/>
          <w:sz w:val="24"/>
        </w:rPr>
        <w:t>.AID</w:t>
      </w:r>
      <w:r>
        <w:rPr>
          <w:rFonts w:ascii="Arial"/>
          <w:color w:val="010101"/>
          <w:spacing w:val="7"/>
          <w:w w:val="61"/>
          <w:sz w:val="24"/>
        </w:rPr>
        <w:t>!</w:t>
      </w:r>
      <w:r>
        <w:rPr>
          <w:rFonts w:ascii="Arial"/>
          <w:color w:val="010101"/>
          <w:spacing w:val="8"/>
          <w:w w:val="191"/>
          <w:sz w:val="24"/>
        </w:rPr>
        <w:t>.</w:t>
      </w:r>
      <w:r>
        <w:rPr>
          <w:color w:val="010101"/>
          <w:w w:val="100"/>
          <w:sz w:val="29"/>
        </w:rPr>
        <w:t>+</w:t>
      </w:r>
      <w:r>
        <w:rPr>
          <w:color w:val="010101"/>
          <w:spacing w:val="6"/>
          <w:sz w:val="29"/>
        </w:rPr>
        <w:t> </w:t>
      </w:r>
      <w:r>
        <w:rPr>
          <w:rFonts w:ascii="Arial"/>
          <w:color w:val="010101"/>
          <w:w w:val="90"/>
          <w:sz w:val="24"/>
        </w:rPr>
        <w:t>.</w:t>
      </w:r>
      <w:r>
        <w:rPr>
          <w:rFonts w:ascii="Arial"/>
          <w:color w:val="010101"/>
          <w:spacing w:val="-102"/>
          <w:w w:val="91"/>
          <w:sz w:val="24"/>
        </w:rPr>
        <w:t>J</w:t>
      </w:r>
      <w:r>
        <w:rPr>
          <w:rFonts w:ascii="Arial"/>
          <w:color w:val="010101"/>
          <w:spacing w:val="-176"/>
          <w:w w:val="258"/>
          <w:sz w:val="24"/>
        </w:rPr>
        <w:t>!</w:t>
      </w:r>
      <w:r>
        <w:rPr>
          <w:rFonts w:ascii="Arial"/>
          <w:color w:val="010101"/>
          <w:w w:val="77"/>
          <w:sz w:val="24"/>
        </w:rPr>
        <w:t>..</w:t>
      </w:r>
      <w:r>
        <w:rPr>
          <w:rFonts w:ascii="Arial"/>
          <w:color w:val="010101"/>
          <w:spacing w:val="-2"/>
          <w:w w:val="77"/>
          <w:sz w:val="24"/>
        </w:rPr>
        <w:t>.</w:t>
      </w:r>
      <w:r>
        <w:rPr>
          <w:rFonts w:ascii="Arial"/>
          <w:color w:val="010101"/>
          <w:w w:val="98"/>
          <w:sz w:val="24"/>
        </w:rPr>
        <w:t>)</w:t>
      </w:r>
      <w:r>
        <w:rPr>
          <w:rFonts w:ascii="Arial"/>
          <w:color w:val="010101"/>
          <w:spacing w:val="12"/>
          <w:sz w:val="24"/>
        </w:rPr>
        <w:t> </w:t>
      </w:r>
      <w:r>
        <w:rPr>
          <w:rFonts w:ascii="Arial"/>
          <w:color w:val="010101"/>
          <w:w w:val="105"/>
          <w:sz w:val="31"/>
        </w:rPr>
        <w:t>+</w:t>
      </w:r>
      <w:r>
        <w:rPr>
          <w:rFonts w:ascii="Arial"/>
          <w:color w:val="010101"/>
          <w:spacing w:val="-27"/>
          <w:sz w:val="31"/>
        </w:rPr>
        <w:t> </w:t>
      </w:r>
      <w:r>
        <w:rPr>
          <w:rFonts w:ascii="Arial"/>
          <w:color w:val="010101"/>
          <w:w w:val="71"/>
          <w:sz w:val="24"/>
        </w:rPr>
        <w:t>3.J,.,</w:t>
      </w:r>
      <w:r>
        <w:rPr>
          <w:rFonts w:ascii="Arial"/>
          <w:color w:val="010101"/>
          <w:spacing w:val="-6"/>
          <w:w w:val="71"/>
          <w:sz w:val="24"/>
        </w:rPr>
        <w:t>!</w:t>
      </w:r>
      <w:r>
        <w:rPr>
          <w:rFonts w:ascii="Arial"/>
          <w:color w:val="010101"/>
          <w:w w:val="79"/>
          <w:sz w:val="24"/>
        </w:rPr>
        <w:t>...</w:t>
      </w:r>
    </w:p>
    <w:p>
      <w:pPr>
        <w:spacing w:line="238" w:lineRule="exact" w:before="83"/>
        <w:ind w:left="147" w:right="0" w:firstLine="0"/>
        <w:jc w:val="left"/>
        <w:rPr>
          <w:rFonts w:ascii="Arial"/>
          <w:i/>
          <w:sz w:val="19"/>
        </w:rPr>
      </w:pPr>
      <w:r>
        <w:rPr>
          <w:color w:val="010101"/>
          <w:sz w:val="21"/>
        </w:rPr>
        <w:t>14.  Insurance  payable  upon  death  of   </w:t>
      </w:r>
      <w:r>
        <w:rPr>
          <w:rFonts w:ascii="Arial"/>
          <w:i/>
          <w:color w:val="010101"/>
          <w:sz w:val="19"/>
        </w:rPr>
        <w:t>(y )   </w:t>
      </w:r>
      <w:r>
        <w:rPr>
          <w:color w:val="010101"/>
          <w:sz w:val="21"/>
        </w:rPr>
        <w:t>before   </w:t>
      </w:r>
      <w:r>
        <w:rPr>
          <w:rFonts w:ascii="Arial"/>
          <w:i/>
          <w:color w:val="010101"/>
          <w:sz w:val="19"/>
        </w:rPr>
        <w:t>(x )  </w:t>
      </w:r>
      <w:r>
        <w:rPr>
          <w:color w:val="010101"/>
          <w:sz w:val="21"/>
        </w:rPr>
        <w:t>within  </w:t>
      </w:r>
      <w:r>
        <w:rPr>
          <w:rFonts w:ascii="Arial"/>
          <w:i/>
          <w:color w:val="010101"/>
          <w:sz w:val="19"/>
        </w:rPr>
        <w:t>n</w:t>
      </w:r>
    </w:p>
    <w:p>
      <w:pPr>
        <w:spacing w:line="250" w:lineRule="exact" w:before="0"/>
        <w:ind w:left="98" w:right="924" w:firstLine="0"/>
        <w:jc w:val="center"/>
        <w:rPr>
          <w:sz w:val="21"/>
        </w:rPr>
      </w:pPr>
      <w:r>
        <w:rPr/>
        <w:drawing>
          <wp:anchor distT="0" distB="0" distL="0" distR="0" allowOverlap="1" layoutInCell="1" locked="0" behindDoc="0" simplePos="0" relativeHeight="29536">
            <wp:simplePos x="0" y="0"/>
            <wp:positionH relativeFrom="page">
              <wp:posOffset>1252727</wp:posOffset>
            </wp:positionH>
            <wp:positionV relativeFrom="paragraph">
              <wp:posOffset>239328</wp:posOffset>
            </wp:positionV>
            <wp:extent cx="2148839" cy="338327"/>
            <wp:effectExtent l="0" t="0" r="0" b="0"/>
            <wp:wrapTopAndBottom/>
            <wp:docPr id="865" name="image443.png" descr=""/>
            <wp:cNvGraphicFramePr>
              <a:graphicFrameLocks noChangeAspect="1"/>
            </wp:cNvGraphicFramePr>
            <a:graphic>
              <a:graphicData uri="http://schemas.openxmlformats.org/drawingml/2006/picture">
                <pic:pic>
                  <pic:nvPicPr>
                    <pic:cNvPr id="866" name="image443.png"/>
                    <pic:cNvPicPr/>
                  </pic:nvPicPr>
                  <pic:blipFill>
                    <a:blip r:embed="rId447" cstate="print"/>
                    <a:stretch>
                      <a:fillRect/>
                    </a:stretch>
                  </pic:blipFill>
                  <pic:spPr>
                    <a:xfrm>
                      <a:off x="0" y="0"/>
                      <a:ext cx="2148839" cy="338327"/>
                    </a:xfrm>
                    <a:prstGeom prst="rect">
                      <a:avLst/>
                    </a:prstGeom>
                  </pic:spPr>
                </pic:pic>
              </a:graphicData>
            </a:graphic>
          </wp:anchor>
        </w:drawing>
      </w:r>
      <w:r>
        <w:rPr>
          <w:color w:val="010101"/>
          <w:sz w:val="21"/>
        </w:rPr>
        <w:t>years,  or at end of  </w:t>
      </w:r>
      <w:r>
        <w:rPr>
          <w:i/>
          <w:color w:val="010101"/>
          <w:sz w:val="22"/>
        </w:rPr>
        <w:t>n </w:t>
      </w:r>
      <w:r>
        <w:rPr>
          <w:color w:val="010101"/>
          <w:sz w:val="21"/>
        </w:rPr>
        <w:t>years  if  both are surviving.</w:t>
      </w:r>
    </w:p>
    <w:p>
      <w:pPr>
        <w:spacing w:before="10"/>
        <w:ind w:left="143" w:right="0" w:firstLine="0"/>
        <w:jc w:val="left"/>
        <w:rPr>
          <w:b/>
          <w:sz w:val="20"/>
        </w:rPr>
      </w:pPr>
      <w:r>
        <w:rPr>
          <w:color w:val="010101"/>
          <w:spacing w:val="-35"/>
          <w:w w:val="121"/>
          <w:sz w:val="20"/>
        </w:rPr>
        <w:t>1</w:t>
      </w:r>
      <w:r>
        <w:rPr>
          <w:color w:val="010101"/>
          <w:spacing w:val="-3"/>
          <w:w w:val="110"/>
          <w:sz w:val="20"/>
        </w:rPr>
        <w:t>5</w:t>
      </w:r>
      <w:r>
        <w:rPr>
          <w:color w:val="010101"/>
          <w:w w:val="147"/>
          <w:sz w:val="20"/>
        </w:rPr>
        <w:t>.</w:t>
      </w:r>
      <w:r>
        <w:rPr>
          <w:color w:val="010101"/>
          <w:spacing w:val="23"/>
          <w:sz w:val="20"/>
        </w:rPr>
        <w:t> </w:t>
      </w:r>
      <w:r>
        <w:rPr>
          <w:color w:val="010101"/>
          <w:spacing w:val="-23"/>
          <w:w w:val="131"/>
          <w:sz w:val="20"/>
        </w:rPr>
        <w:t>.</w:t>
      </w:r>
      <w:r>
        <w:rPr>
          <w:rFonts w:ascii="Arial"/>
          <w:color w:val="010101"/>
          <w:w w:val="91"/>
          <w:sz w:val="19"/>
        </w:rPr>
        <w:t>25.A</w:t>
      </w:r>
      <w:r>
        <w:rPr>
          <w:rFonts w:ascii="Arial"/>
          <w:color w:val="010101"/>
          <w:spacing w:val="-6"/>
          <w:w w:val="91"/>
          <w:sz w:val="19"/>
        </w:rPr>
        <w:t>,</w:t>
      </w:r>
      <w:r>
        <w:rPr>
          <w:rFonts w:ascii="Arial"/>
          <w:color w:val="010101"/>
          <w:w w:val="59"/>
          <w:sz w:val="19"/>
        </w:rPr>
        <w:t>o</w:t>
      </w:r>
      <w:r>
        <w:rPr>
          <w:rFonts w:ascii="Arial"/>
          <w:color w:val="010101"/>
          <w:spacing w:val="-27"/>
          <w:sz w:val="19"/>
        </w:rPr>
        <w:t> </w:t>
      </w:r>
      <w:r>
        <w:rPr>
          <w:rFonts w:ascii="Arial"/>
          <w:color w:val="3D3D3D"/>
          <w:spacing w:val="-7"/>
          <w:w w:val="73"/>
          <w:sz w:val="19"/>
        </w:rPr>
        <w:t>:</w:t>
      </w:r>
      <w:r>
        <w:rPr>
          <w:rFonts w:ascii="Arial"/>
          <w:color w:val="010101"/>
          <w:w w:val="50"/>
          <w:sz w:val="19"/>
        </w:rPr>
        <w:t>liO</w:t>
      </w:r>
      <w:r>
        <w:rPr>
          <w:rFonts w:ascii="Arial"/>
          <w:color w:val="010101"/>
          <w:spacing w:val="19"/>
          <w:sz w:val="19"/>
        </w:rPr>
        <w:t> </w:t>
      </w:r>
      <w:r>
        <w:rPr>
          <w:color w:val="010101"/>
          <w:w w:val="100"/>
          <w:sz w:val="29"/>
        </w:rPr>
        <w:t>+</w:t>
      </w:r>
      <w:r>
        <w:rPr>
          <w:color w:val="010101"/>
          <w:spacing w:val="13"/>
          <w:sz w:val="29"/>
        </w:rPr>
        <w:t> </w:t>
      </w:r>
      <w:r>
        <w:rPr>
          <w:b/>
          <w:color w:val="010101"/>
          <w:w w:val="72"/>
          <w:sz w:val="20"/>
        </w:rPr>
        <w:t>.001Cl4o</w:t>
      </w:r>
      <w:r>
        <w:rPr>
          <w:b/>
          <w:color w:val="010101"/>
          <w:spacing w:val="-20"/>
          <w:sz w:val="20"/>
        </w:rPr>
        <w:t> </w:t>
      </w:r>
      <w:r>
        <w:rPr>
          <w:b/>
          <w:color w:val="2A2A2A"/>
          <w:spacing w:val="-7"/>
          <w:w w:val="63"/>
          <w:sz w:val="20"/>
        </w:rPr>
        <w:t>:</w:t>
      </w:r>
      <w:r>
        <w:rPr>
          <w:b/>
          <w:color w:val="010101"/>
          <w:w w:val="80"/>
          <w:sz w:val="20"/>
        </w:rPr>
        <w:t>,o</w:t>
      </w:r>
    </w:p>
    <w:p>
      <w:pPr>
        <w:spacing w:line="274" w:lineRule="exact" w:before="146"/>
        <w:ind w:left="129" w:right="0" w:firstLine="0"/>
        <w:jc w:val="left"/>
        <w:rPr>
          <w:b/>
          <w:sz w:val="18"/>
        </w:rPr>
      </w:pPr>
      <w:r>
        <w:rPr>
          <w:rFonts w:ascii="Arial" w:hAnsi="Arial"/>
          <w:b/>
          <w:color w:val="010101"/>
          <w:w w:val="92"/>
          <w:sz w:val="19"/>
        </w:rPr>
        <w:t>20.</w:t>
      </w:r>
      <w:r>
        <w:rPr>
          <w:rFonts w:ascii="Arial" w:hAnsi="Arial"/>
          <w:b/>
          <w:color w:val="010101"/>
          <w:sz w:val="19"/>
        </w:rPr>
        <w:t>  </w:t>
      </w:r>
      <w:r>
        <w:rPr>
          <w:b/>
          <w:color w:val="010101"/>
          <w:w w:val="82"/>
          <w:sz w:val="26"/>
        </w:rPr>
        <w:t>A</w:t>
      </w:r>
      <w:r>
        <w:rPr>
          <w:b/>
          <w:color w:val="010101"/>
          <w:spacing w:val="12"/>
          <w:w w:val="82"/>
          <w:sz w:val="26"/>
        </w:rPr>
        <w:t>!</w:t>
      </w:r>
      <w:r>
        <w:rPr>
          <w:b/>
          <w:color w:val="010101"/>
          <w:w w:val="51"/>
          <w:sz w:val="26"/>
        </w:rPr>
        <w:t>:iiz</w:t>
      </w:r>
      <w:r>
        <w:rPr>
          <w:b/>
          <w:color w:val="010101"/>
          <w:spacing w:val="20"/>
          <w:sz w:val="26"/>
        </w:rPr>
        <w:t> </w:t>
      </w:r>
      <w:r>
        <w:rPr>
          <w:rFonts w:ascii="Arial" w:hAnsi="Arial"/>
          <w:color w:val="010101"/>
          <w:w w:val="68"/>
          <w:sz w:val="26"/>
        </w:rPr>
        <w:t>=:</w:t>
      </w:r>
      <w:r>
        <w:rPr>
          <w:rFonts w:ascii="Arial" w:hAnsi="Arial"/>
          <w:color w:val="010101"/>
          <w:spacing w:val="-30"/>
          <w:sz w:val="26"/>
        </w:rPr>
        <w:t> </w:t>
      </w:r>
      <w:r>
        <w:rPr>
          <w:rFonts w:ascii="Arial" w:hAnsi="Arial"/>
          <w:color w:val="010101"/>
          <w:spacing w:val="-130"/>
          <w:w w:val="144"/>
          <w:sz w:val="26"/>
        </w:rPr>
        <w:t>-</w:t>
      </w:r>
      <w:r>
        <w:rPr>
          <w:color w:val="010101"/>
          <w:w w:val="152"/>
          <w:position w:val="12"/>
          <w:sz w:val="16"/>
        </w:rPr>
        <w:t>1</w:t>
      </w:r>
      <w:r>
        <w:rPr>
          <w:color w:val="010101"/>
          <w:spacing w:val="-15"/>
          <w:position w:val="12"/>
          <w:sz w:val="16"/>
        </w:rPr>
        <w:t> </w:t>
      </w:r>
      <w:r>
        <w:rPr>
          <w:b/>
          <w:color w:val="010101"/>
          <w:w w:val="171"/>
          <w:sz w:val="18"/>
        </w:rPr>
        <w:t>(</w:t>
      </w:r>
      <w:r>
        <w:rPr>
          <w:b/>
          <w:color w:val="010101"/>
          <w:w w:val="171"/>
          <w:sz w:val="18"/>
        </w:rPr>
        <w:t>ªz-l:</w:t>
      </w:r>
      <w:r>
        <w:rPr>
          <w:b/>
          <w:color w:val="010101"/>
          <w:sz w:val="18"/>
        </w:rPr>
        <w:t> </w:t>
      </w:r>
      <w:r>
        <w:rPr>
          <w:b/>
          <w:color w:val="010101"/>
          <w:spacing w:val="-1"/>
          <w:sz w:val="18"/>
        </w:rPr>
        <w:t> </w:t>
      </w:r>
      <w:r>
        <w:rPr>
          <w:color w:val="010101"/>
          <w:w w:val="312"/>
          <w:sz w:val="18"/>
        </w:rPr>
        <w:t>-</w:t>
      </w:r>
      <w:r>
        <w:rPr>
          <w:color w:val="010101"/>
          <w:spacing w:val="11"/>
          <w:sz w:val="18"/>
        </w:rPr>
        <w:t> </w:t>
      </w:r>
      <w:r>
        <w:rPr>
          <w:b/>
          <w:color w:val="010101"/>
          <w:w w:val="111"/>
          <w:sz w:val="18"/>
        </w:rPr>
        <w:t>Pz·&lt;iz+l</w:t>
      </w:r>
      <w:r>
        <w:rPr>
          <w:b/>
          <w:color w:val="010101"/>
          <w:spacing w:val="15"/>
          <w:w w:val="111"/>
          <w:sz w:val="18"/>
        </w:rPr>
        <w:t>:</w:t>
      </w:r>
      <w:r>
        <w:rPr>
          <w:b/>
          <w:color w:val="010101"/>
          <w:w w:val="209"/>
          <w:sz w:val="18"/>
        </w:rPr>
        <w:t>)</w:t>
      </w:r>
    </w:p>
    <w:p>
      <w:pPr>
        <w:tabs>
          <w:tab w:pos="1589" w:val="left" w:leader="none"/>
        </w:tabs>
        <w:spacing w:line="191" w:lineRule="exact" w:before="0"/>
        <w:ind w:left="1219" w:right="0" w:firstLine="0"/>
        <w:jc w:val="left"/>
        <w:rPr>
          <w:b/>
          <w:sz w:val="17"/>
        </w:rPr>
      </w:pPr>
      <w:r>
        <w:rPr/>
        <w:pict>
          <v:line style="position:absolute;mso-position-horizontal-relative:page;mso-position-vertical-relative:paragraph;z-index:-706456" from="102.780296pt,4.459190pt" to="128.968596pt,4.459190pt" stroked="true" strokeweight="5.73991pt" strokecolor="#000000">
            <w10:wrap type="none"/>
          </v:line>
        </w:pict>
      </w:r>
      <w:r>
        <w:rPr>
          <w:color w:val="010101"/>
          <w:w w:val="120"/>
          <w:position w:val="3"/>
          <w:sz w:val="16"/>
        </w:rPr>
        <w:t>2</w:t>
        <w:tab/>
      </w:r>
      <w:r>
        <w:rPr>
          <w:b/>
          <w:color w:val="010101"/>
          <w:w w:val="120"/>
          <w:sz w:val="17"/>
        </w:rPr>
        <w:t>Ps-1</w:t>
      </w:r>
    </w:p>
    <w:p>
      <w:pPr>
        <w:spacing w:before="87"/>
        <w:ind w:left="129" w:right="0" w:firstLine="0"/>
        <w:jc w:val="left"/>
        <w:rPr>
          <w:sz w:val="21"/>
        </w:rPr>
      </w:pPr>
      <w:r>
        <w:rPr>
          <w:color w:val="010101"/>
          <w:sz w:val="21"/>
        </w:rPr>
        <w:t>22.  </w:t>
      </w:r>
      <w:r>
        <w:rPr>
          <w:color w:val="010101"/>
          <w:sz w:val="20"/>
        </w:rPr>
        <w:t>If  </w:t>
      </w:r>
      <w:r>
        <w:rPr>
          <w:color w:val="010101"/>
          <w:sz w:val="21"/>
        </w:rPr>
        <w:t>all 3 Jives are surviving;</w:t>
      </w:r>
    </w:p>
    <w:p>
      <w:pPr>
        <w:spacing w:line="120" w:lineRule="exact" w:before="104"/>
        <w:ind w:left="0" w:right="1885" w:firstLine="0"/>
        <w:jc w:val="center"/>
        <w:rPr>
          <w:rFonts w:ascii="Arial"/>
          <w:sz w:val="12"/>
        </w:rPr>
      </w:pPr>
      <w:r>
        <w:rPr>
          <w:rFonts w:ascii="Arial"/>
          <w:color w:val="010101"/>
          <w:w w:val="98"/>
          <w:sz w:val="12"/>
        </w:rPr>
        <w:t>2</w:t>
      </w:r>
    </w:p>
    <w:p>
      <w:pPr>
        <w:spacing w:line="189" w:lineRule="exact" w:before="0"/>
        <w:ind w:left="1790" w:right="0" w:firstLine="0"/>
        <w:jc w:val="left"/>
        <w:rPr>
          <w:b/>
          <w:sz w:val="18"/>
        </w:rPr>
      </w:pPr>
      <w:r>
        <w:rPr/>
        <w:pict>
          <v:line style="position:absolute;mso-position-horizontal-relative:page;mso-position-vertical-relative:paragraph;z-index:-706432" from="143.139008pt,7.88128pt" to="146.726508pt,7.88128pt" stroked="true" strokeweight=".717489pt" strokecolor="#000000">
            <w10:wrap type="none"/>
          </v:line>
        </w:pict>
      </w:r>
      <w:r>
        <w:rPr/>
        <w:pict>
          <v:line style="position:absolute;mso-position-horizontal-relative:page;mso-position-vertical-relative:paragraph;z-index:-706408" from="217.578506pt,7.79138pt" to="219.910306pt,7.79138pt" stroked="true" strokeweight=".538117pt" strokecolor="#000000">
            <w10:wrap type="none"/>
          </v:line>
        </w:pict>
      </w:r>
      <w:r>
        <w:rPr>
          <w:b/>
          <w:i/>
          <w:color w:val="010101"/>
          <w:w w:val="120"/>
          <w:sz w:val="15"/>
        </w:rPr>
        <w:t>Az+ </w:t>
      </w:r>
      <w:r>
        <w:rPr>
          <w:b/>
          <w:i/>
          <w:color w:val="010101"/>
          <w:sz w:val="15"/>
        </w:rPr>
        <w:t>l :a,+t </w:t>
      </w:r>
      <w:r>
        <w:rPr>
          <w:b/>
          <w:i/>
          <w:color w:val="1A1A1A"/>
          <w:sz w:val="15"/>
        </w:rPr>
        <w:t>:</w:t>
      </w:r>
      <w:r>
        <w:rPr>
          <w:b/>
          <w:i/>
          <w:color w:val="010101"/>
          <w:sz w:val="15"/>
        </w:rPr>
        <w:t>s+I </w:t>
      </w:r>
      <w:r>
        <w:rPr>
          <w:color w:val="010101"/>
          <w:w w:val="345"/>
          <w:sz w:val="15"/>
        </w:rPr>
        <w:t>-</w:t>
      </w:r>
      <w:r>
        <w:rPr>
          <w:color w:val="010101"/>
          <w:spacing w:val="-110"/>
          <w:w w:val="345"/>
          <w:sz w:val="15"/>
        </w:rPr>
        <w:t> </w:t>
      </w:r>
      <w:r>
        <w:rPr>
          <w:b/>
          <w:color w:val="010101"/>
          <w:w w:val="120"/>
          <w:sz w:val="18"/>
        </w:rPr>
        <w:t>P·dz+l </w:t>
      </w:r>
      <w:r>
        <w:rPr>
          <w:b/>
          <w:color w:val="1A1A1A"/>
          <w:sz w:val="18"/>
        </w:rPr>
        <w:t>:</w:t>
      </w:r>
      <w:r>
        <w:rPr>
          <w:b/>
          <w:color w:val="010101"/>
          <w:sz w:val="18"/>
        </w:rPr>
        <w:t>a,+t:s+t</w:t>
      </w:r>
    </w:p>
    <w:p>
      <w:pPr>
        <w:spacing w:before="99"/>
        <w:ind w:left="98" w:right="2155" w:firstLine="0"/>
        <w:jc w:val="center"/>
        <w:rPr>
          <w:sz w:val="21"/>
        </w:rPr>
      </w:pPr>
      <w:r>
        <w:rPr/>
        <w:drawing>
          <wp:anchor distT="0" distB="0" distL="0" distR="0" allowOverlap="1" layoutInCell="1" locked="0" behindDoc="0" simplePos="0" relativeHeight="29560">
            <wp:simplePos x="0" y="0"/>
            <wp:positionH relativeFrom="page">
              <wp:posOffset>1728216</wp:posOffset>
            </wp:positionH>
            <wp:positionV relativeFrom="paragraph">
              <wp:posOffset>302185</wp:posOffset>
            </wp:positionV>
            <wp:extent cx="1188720" cy="173736"/>
            <wp:effectExtent l="0" t="0" r="0" b="0"/>
            <wp:wrapTopAndBottom/>
            <wp:docPr id="867" name="image444.png" descr=""/>
            <wp:cNvGraphicFramePr>
              <a:graphicFrameLocks noChangeAspect="1"/>
            </wp:cNvGraphicFramePr>
            <a:graphic>
              <a:graphicData uri="http://schemas.openxmlformats.org/drawingml/2006/picture">
                <pic:pic>
                  <pic:nvPicPr>
                    <pic:cNvPr id="868" name="image444.png"/>
                    <pic:cNvPicPr/>
                  </pic:nvPicPr>
                  <pic:blipFill>
                    <a:blip r:embed="rId448" cstate="print"/>
                    <a:stretch>
                      <a:fillRect/>
                    </a:stretch>
                  </pic:blipFill>
                  <pic:spPr>
                    <a:xfrm>
                      <a:off x="0" y="0"/>
                      <a:ext cx="1188720" cy="173736"/>
                    </a:xfrm>
                    <a:prstGeom prst="rect">
                      <a:avLst/>
                    </a:prstGeom>
                  </pic:spPr>
                </pic:pic>
              </a:graphicData>
            </a:graphic>
          </wp:anchor>
        </w:drawing>
      </w:r>
      <w:r>
        <w:rPr>
          <w:color w:val="010101"/>
          <w:sz w:val="21"/>
        </w:rPr>
        <w:t>If only  </w:t>
      </w:r>
      <w:r>
        <w:rPr>
          <w:rFonts w:ascii="Arial"/>
          <w:i/>
          <w:color w:val="010101"/>
          <w:sz w:val="19"/>
        </w:rPr>
        <w:t>(x ) </w:t>
      </w:r>
      <w:r>
        <w:rPr>
          <w:color w:val="010101"/>
          <w:sz w:val="21"/>
        </w:rPr>
        <w:t>and  </w:t>
      </w:r>
      <w:r>
        <w:rPr>
          <w:rFonts w:ascii="Arial"/>
          <w:i/>
          <w:color w:val="010101"/>
          <w:sz w:val="19"/>
        </w:rPr>
        <w:t>(y ) </w:t>
      </w:r>
      <w:r>
        <w:rPr>
          <w:color w:val="010101"/>
          <w:sz w:val="21"/>
        </w:rPr>
        <w:t>are  surviving:</w:t>
      </w:r>
    </w:p>
    <w:p>
      <w:pPr>
        <w:spacing w:before="86"/>
        <w:ind w:left="98" w:right="2180" w:firstLine="0"/>
        <w:jc w:val="center"/>
        <w:rPr>
          <w:sz w:val="21"/>
        </w:rPr>
      </w:pPr>
      <w:r>
        <w:rPr>
          <w:color w:val="010101"/>
          <w:sz w:val="19"/>
        </w:rPr>
        <w:t>If </w:t>
      </w:r>
      <w:r>
        <w:rPr>
          <w:color w:val="010101"/>
          <w:sz w:val="21"/>
        </w:rPr>
        <w:t>only  </w:t>
      </w:r>
      <w:r>
        <w:rPr>
          <w:rFonts w:ascii="Arial"/>
          <w:i/>
          <w:color w:val="010101"/>
          <w:sz w:val="19"/>
        </w:rPr>
        <w:t>(x ) </w:t>
      </w:r>
      <w:r>
        <w:rPr>
          <w:color w:val="010101"/>
          <w:sz w:val="21"/>
        </w:rPr>
        <w:t>and  (z ) are surviving:</w:t>
      </w:r>
    </w:p>
    <w:p>
      <w:pPr>
        <w:pStyle w:val="BodyText"/>
        <w:spacing w:before="5"/>
        <w:rPr>
          <w:sz w:val="9"/>
        </w:rPr>
      </w:pPr>
    </w:p>
    <w:p>
      <w:pPr>
        <w:spacing w:line="109" w:lineRule="exact" w:before="0"/>
        <w:ind w:left="0" w:right="1284" w:firstLine="0"/>
        <w:jc w:val="center"/>
        <w:rPr>
          <w:b/>
          <w:sz w:val="12"/>
        </w:rPr>
      </w:pPr>
      <w:r>
        <w:rPr>
          <w:b/>
          <w:color w:val="010101"/>
          <w:w w:val="107"/>
          <w:sz w:val="12"/>
        </w:rPr>
        <w:t>1</w:t>
      </w:r>
    </w:p>
    <w:p>
      <w:pPr>
        <w:spacing w:line="201" w:lineRule="exact" w:before="0"/>
        <w:ind w:left="85" w:right="87" w:firstLine="0"/>
        <w:jc w:val="center"/>
        <w:rPr>
          <w:b/>
          <w:sz w:val="13"/>
        </w:rPr>
      </w:pPr>
      <w:r>
        <w:rPr/>
        <w:pict>
          <v:line style="position:absolute;mso-position-horizontal-relative:page;mso-position-vertical-relative:paragraph;z-index:-706384" from="144.932693pt,8.177095pt" to="147.623293pt,8.177095pt" stroked="true" strokeweight=".538117pt" strokecolor="#000000">
            <w10:wrap type="none"/>
          </v:line>
        </w:pict>
      </w:r>
      <w:r>
        <w:rPr>
          <w:b/>
          <w:i/>
          <w:color w:val="010101"/>
          <w:w w:val="120"/>
          <w:sz w:val="15"/>
        </w:rPr>
        <w:t>Az+t </w:t>
      </w:r>
      <w:r>
        <w:rPr>
          <w:b/>
          <w:color w:val="1A1A1A"/>
          <w:w w:val="120"/>
          <w:sz w:val="13"/>
        </w:rPr>
        <w:t>:</w:t>
      </w:r>
      <w:r>
        <w:rPr>
          <w:b/>
          <w:color w:val="010101"/>
          <w:w w:val="120"/>
          <w:sz w:val="13"/>
        </w:rPr>
        <w:t>s+t  </w:t>
      </w:r>
      <w:r>
        <w:rPr>
          <w:color w:val="010101"/>
          <w:w w:val="375"/>
          <w:sz w:val="13"/>
        </w:rPr>
        <w:t>-</w:t>
      </w:r>
      <w:r>
        <w:rPr>
          <w:color w:val="010101"/>
          <w:spacing w:val="-72"/>
          <w:w w:val="375"/>
          <w:sz w:val="13"/>
        </w:rPr>
        <w:t> </w:t>
      </w:r>
      <w:r>
        <w:rPr>
          <w:rFonts w:ascii="Arial"/>
          <w:b/>
          <w:i/>
          <w:color w:val="010101"/>
          <w:w w:val="120"/>
          <w:sz w:val="20"/>
        </w:rPr>
        <w:t>P' </w:t>
      </w:r>
      <w:r>
        <w:rPr>
          <w:b/>
          <w:i/>
          <w:color w:val="010101"/>
          <w:w w:val="120"/>
          <w:sz w:val="15"/>
        </w:rPr>
        <w:t>tiz+t </w:t>
      </w:r>
      <w:r>
        <w:rPr>
          <w:b/>
          <w:color w:val="1A1A1A"/>
          <w:w w:val="120"/>
          <w:sz w:val="13"/>
        </w:rPr>
        <w:t>:</w:t>
      </w:r>
      <w:r>
        <w:rPr>
          <w:b/>
          <w:color w:val="010101"/>
          <w:w w:val="120"/>
          <w:sz w:val="13"/>
        </w:rPr>
        <w:t>sH</w:t>
      </w:r>
    </w:p>
    <w:p>
      <w:pPr>
        <w:spacing w:before="19"/>
        <w:ind w:left="98" w:right="815" w:firstLine="0"/>
        <w:jc w:val="center"/>
        <w:rPr>
          <w:sz w:val="18"/>
        </w:rPr>
      </w:pPr>
      <w:r>
        <w:rPr/>
        <w:pict>
          <v:shape style="position:absolute;margin-left:39.641251pt;margin-top:12.614432pt;width:13.55pt;height:10.5pt;mso-position-horizontal-relative:page;mso-position-vertical-relative:paragraph;z-index:29704" type="#_x0000_t202" filled="false" stroked="false">
            <v:textbox inset="0,0,0,0">
              <w:txbxContent>
                <w:p>
                  <w:pPr>
                    <w:spacing w:line="210" w:lineRule="exact" w:before="0"/>
                    <w:ind w:left="0" w:right="-17" w:firstLine="0"/>
                    <w:jc w:val="left"/>
                    <w:rPr>
                      <w:sz w:val="21"/>
                    </w:rPr>
                  </w:pPr>
                  <w:r>
                    <w:rPr>
                      <w:color w:val="010101"/>
                      <w:spacing w:val="-7"/>
                      <w:w w:val="110"/>
                      <w:sz w:val="21"/>
                    </w:rPr>
                    <w:t>23</w:t>
                  </w:r>
                  <w:r>
                    <w:rPr>
                      <w:color w:val="1A1A1A"/>
                      <w:spacing w:val="-7"/>
                      <w:w w:val="110"/>
                      <w:sz w:val="21"/>
                    </w:rPr>
                    <w:t>.</w:t>
                  </w:r>
                </w:p>
              </w:txbxContent>
            </v:textbox>
            <w10:wrap type="none"/>
          </v:shape>
        </w:pict>
      </w:r>
      <w:r>
        <w:rPr>
          <w:color w:val="010101"/>
          <w:sz w:val="21"/>
        </w:rPr>
        <w:t>I,OOOMa </w:t>
      </w:r>
      <w:r>
        <w:rPr>
          <w:color w:val="010101"/>
          <w:spacing w:val="-8"/>
          <w:sz w:val="21"/>
        </w:rPr>
        <w:t>:,o </w:t>
      </w:r>
      <w:r>
        <w:rPr>
          <w:rFonts w:ascii="Arial"/>
          <w:color w:val="010101"/>
          <w:sz w:val="31"/>
        </w:rPr>
        <w:t>+</w:t>
      </w:r>
      <w:r>
        <w:rPr>
          <w:rFonts w:ascii="Arial"/>
          <w:color w:val="010101"/>
          <w:spacing w:val="-71"/>
          <w:sz w:val="31"/>
        </w:rPr>
        <w:t> </w:t>
      </w:r>
      <w:r>
        <w:rPr>
          <w:color w:val="010101"/>
          <w:spacing w:val="-5"/>
          <w:sz w:val="21"/>
        </w:rPr>
        <w:t>10,000.Mlli:,</w:t>
      </w:r>
      <w:r>
        <w:rPr>
          <w:color w:val="010101"/>
          <w:spacing w:val="-5"/>
          <w:position w:val="10"/>
          <w:sz w:val="18"/>
        </w:rPr>
        <w:t>1</w:t>
      </w:r>
      <w:r>
        <w:rPr>
          <w:color w:val="010101"/>
          <w:spacing w:val="-5"/>
          <w:sz w:val="21"/>
        </w:rPr>
        <w:t>o </w:t>
      </w:r>
      <w:r>
        <w:rPr>
          <w:color w:val="010101"/>
          <w:sz w:val="21"/>
        </w:rPr>
        <w:t>--- lOO( </w:t>
      </w:r>
      <w:r>
        <w:rPr>
          <w:color w:val="010101"/>
          <w:spacing w:val="-6"/>
          <w:sz w:val="21"/>
        </w:rPr>
        <w:t>R11}1 </w:t>
      </w:r>
      <w:r>
        <w:rPr>
          <w:color w:val="010101"/>
          <w:sz w:val="21"/>
        </w:rPr>
        <w:t>- </w:t>
      </w:r>
      <w:r>
        <w:rPr>
          <w:color w:val="010101"/>
          <w:spacing w:val="-8"/>
          <w:sz w:val="21"/>
        </w:rPr>
        <w:t>R..</w:t>
      </w:r>
      <w:r>
        <w:rPr>
          <w:color w:val="010101"/>
          <w:spacing w:val="-8"/>
          <w:sz w:val="18"/>
        </w:rPr>
        <w:t>:l1)</w:t>
      </w:r>
    </w:p>
    <w:p>
      <w:pPr>
        <w:pStyle w:val="BodyText"/>
        <w:spacing w:line="20" w:lineRule="exact"/>
        <w:ind w:left="466"/>
        <w:rPr>
          <w:sz w:val="2"/>
        </w:rPr>
      </w:pPr>
      <w:r>
        <w:rPr>
          <w:sz w:val="2"/>
        </w:rPr>
        <w:pict>
          <v:group style="width:214.6pt;height:.75pt;mso-position-horizontal-relative:char;mso-position-vertical-relative:line" coordorigin="0,0" coordsize="4292,15">
            <v:line style="position:absolute" from="8,8" to="4284,8" stroked="true" strokeweight=".717489pt" strokecolor="#000000"/>
          </v:group>
        </w:pict>
      </w:r>
      <w:r>
        <w:rPr>
          <w:sz w:val="2"/>
        </w:rPr>
      </w:r>
    </w:p>
    <w:p>
      <w:pPr>
        <w:spacing w:before="3"/>
        <w:ind w:left="98" w:right="818" w:firstLine="0"/>
        <w:jc w:val="center"/>
        <w:rPr>
          <w:i/>
          <w:sz w:val="29"/>
        </w:rPr>
      </w:pPr>
      <w:r>
        <w:rPr>
          <w:i/>
          <w:color w:val="010101"/>
          <w:w w:val="81"/>
          <w:sz w:val="29"/>
        </w:rPr>
        <w:t>N"</w:t>
      </w:r>
      <w:r>
        <w:rPr>
          <w:i/>
          <w:color w:val="010101"/>
          <w:spacing w:val="-30"/>
          <w:sz w:val="29"/>
        </w:rPr>
        <w:t> </w:t>
      </w:r>
      <w:r>
        <w:rPr>
          <w:i/>
          <w:color w:val="2A2A2A"/>
          <w:spacing w:val="12"/>
          <w:w w:val="9"/>
          <w:sz w:val="29"/>
        </w:rPr>
        <w:t>=</w:t>
      </w:r>
      <w:r>
        <w:rPr>
          <w:i/>
          <w:color w:val="010101"/>
          <w:w w:val="76"/>
          <w:sz w:val="29"/>
        </w:rPr>
        <w:t>'°</w:t>
      </w:r>
    </w:p>
    <w:p>
      <w:pPr>
        <w:spacing w:after="0"/>
        <w:jc w:val="center"/>
        <w:rPr>
          <w:sz w:val="29"/>
        </w:rPr>
        <w:sectPr>
          <w:pgSz w:w="7200" w:h="11340"/>
          <w:pgMar w:top="500" w:bottom="280" w:left="660" w:right="540"/>
        </w:sectPr>
      </w:pPr>
    </w:p>
    <w:p>
      <w:pPr>
        <w:tabs>
          <w:tab w:pos="2587" w:val="left" w:leader="none"/>
          <w:tab w:pos="5202" w:val="left" w:leader="none"/>
        </w:tabs>
        <w:spacing w:before="48"/>
        <w:ind w:left="122" w:right="0" w:firstLine="0"/>
        <w:jc w:val="left"/>
        <w:rPr>
          <w:sz w:val="20"/>
        </w:rPr>
      </w:pPr>
      <w:r>
        <w:rPr>
          <w:i/>
          <w:color w:val="010101"/>
          <w:sz w:val="21"/>
        </w:rPr>
        <w:t>866</w:t>
        <w:tab/>
      </w:r>
      <w:r>
        <w:rPr>
          <w:b/>
          <w:color w:val="010101"/>
          <w:sz w:val="16"/>
        </w:rPr>
        <w:t>ANSW.ERS</w:t>
        <w:tab/>
      </w:r>
      <w:r>
        <w:rPr>
          <w:color w:val="010101"/>
          <w:sz w:val="19"/>
        </w:rPr>
        <w:t>{CH.</w:t>
      </w:r>
      <w:r>
        <w:rPr>
          <w:color w:val="010101"/>
          <w:spacing w:val="-10"/>
          <w:sz w:val="19"/>
        </w:rPr>
        <w:t> </w:t>
      </w:r>
      <w:r>
        <w:rPr>
          <w:color w:val="010101"/>
          <w:sz w:val="20"/>
        </w:rPr>
        <w:t>12</w:t>
      </w:r>
    </w:p>
    <w:p>
      <w:pPr>
        <w:pStyle w:val="BodyText"/>
        <w:spacing w:before="1"/>
        <w:rPr>
          <w:sz w:val="21"/>
        </w:rPr>
      </w:pPr>
    </w:p>
    <w:p>
      <w:pPr>
        <w:spacing w:line="181" w:lineRule="exact" w:before="1"/>
        <w:ind w:left="453" w:right="0" w:firstLine="0"/>
        <w:jc w:val="left"/>
        <w:rPr>
          <w:rFonts w:ascii="Arial"/>
          <w:i/>
          <w:sz w:val="20"/>
        </w:rPr>
      </w:pPr>
      <w:r>
        <w:rPr>
          <w:rFonts w:ascii="Arial"/>
          <w:i/>
          <w:color w:val="010101"/>
          <w:w w:val="105"/>
          <w:sz w:val="20"/>
        </w:rPr>
        <w:t>Dffllt</w:t>
      </w:r>
    </w:p>
    <w:p>
      <w:pPr>
        <w:spacing w:line="227" w:lineRule="exact" w:before="0"/>
        <w:ind w:left="126" w:right="0" w:firstLine="0"/>
        <w:jc w:val="left"/>
        <w:rPr>
          <w:rFonts w:ascii="Arial" w:hAnsi="Arial"/>
          <w:sz w:val="20"/>
        </w:rPr>
      </w:pPr>
      <w:r>
        <w:rPr>
          <w:color w:val="010101"/>
          <w:w w:val="110"/>
          <w:sz w:val="21"/>
        </w:rPr>
        <w:t>26.   </w:t>
      </w:r>
      <w:r>
        <w:rPr>
          <w:rFonts w:ascii="Arial" w:hAnsi="Arial"/>
          <w:i/>
          <w:color w:val="010101"/>
          <w:w w:val="110"/>
          <w:sz w:val="22"/>
          <w:u w:val="thick" w:color="000000"/>
        </w:rPr>
        <w:t>D</w:t>
      </w:r>
      <w:r>
        <w:rPr>
          <w:rFonts w:ascii="Arial" w:hAnsi="Arial"/>
          <w:i/>
          <w:color w:val="010101"/>
          <w:w w:val="110"/>
          <w:sz w:val="22"/>
        </w:rPr>
        <w:t>.  </w:t>
      </w:r>
      <w:r>
        <w:rPr>
          <w:i/>
          <w:color w:val="010101"/>
          <w:w w:val="110"/>
          <w:sz w:val="24"/>
        </w:rPr>
        <w:t>•-P• </w:t>
      </w:r>
      <w:r>
        <w:rPr>
          <w:rFonts w:ascii="Arial" w:hAnsi="Arial"/>
          <w:color w:val="010101"/>
          <w:w w:val="110"/>
          <w:sz w:val="20"/>
        </w:rPr>
        <w:t>d•+-=•+•-"</w:t>
      </w:r>
    </w:p>
    <w:p>
      <w:pPr>
        <w:spacing w:after="0" w:line="227" w:lineRule="exact"/>
        <w:jc w:val="left"/>
        <w:rPr>
          <w:rFonts w:ascii="Arial" w:hAnsi="Arial"/>
          <w:sz w:val="20"/>
        </w:rPr>
        <w:sectPr>
          <w:pgSz w:w="7200" w:h="11340"/>
          <w:pgMar w:top="540" w:bottom="280" w:left="660" w:right="580"/>
        </w:sectPr>
      </w:pPr>
    </w:p>
    <w:p>
      <w:pPr>
        <w:pStyle w:val="ListParagraph"/>
        <w:numPr>
          <w:ilvl w:val="0"/>
          <w:numId w:val="159"/>
        </w:numPr>
        <w:tabs>
          <w:tab w:pos="468" w:val="left" w:leader="none"/>
        </w:tabs>
        <w:spacing w:line="240" w:lineRule="auto" w:before="141" w:after="0"/>
        <w:ind w:left="467" w:right="0" w:hanging="352"/>
        <w:jc w:val="left"/>
        <w:rPr>
          <w:i/>
          <w:color w:val="010101"/>
          <w:sz w:val="20"/>
        </w:rPr>
      </w:pPr>
      <w:r>
        <w:rPr/>
        <w:pict>
          <v:shape style="position:absolute;margin-left:59.58498pt;margin-top:6.364283pt;width:4.650pt;height:6pt;mso-position-horizontal-relative:page;mso-position-vertical-relative:paragraph;z-index:-706192" type="#_x0000_t202" filled="false" stroked="false">
            <v:textbox inset="0,0,0,0">
              <w:txbxContent>
                <w:p>
                  <w:pPr>
                    <w:spacing w:line="120" w:lineRule="exact" w:before="0"/>
                    <w:ind w:left="0" w:right="0" w:firstLine="0"/>
                    <w:jc w:val="left"/>
                    <w:rPr>
                      <w:sz w:val="12"/>
                    </w:rPr>
                  </w:pPr>
                  <w:r>
                    <w:rPr>
                      <w:color w:val="010101"/>
                      <w:w w:val="231"/>
                      <w:sz w:val="12"/>
                    </w:rPr>
                    <w:t>-</w:t>
                  </w:r>
                </w:p>
              </w:txbxContent>
            </v:textbox>
            <w10:wrap type="none"/>
          </v:shape>
        </w:pict>
      </w:r>
      <w:r>
        <w:rPr>
          <w:i/>
          <w:color w:val="010101"/>
          <w:w w:val="105"/>
          <w:sz w:val="16"/>
        </w:rPr>
        <w:t>A¡o</w:t>
      </w:r>
    </w:p>
    <w:p>
      <w:pPr>
        <w:pStyle w:val="BodyText"/>
        <w:spacing w:before="8"/>
        <w:rPr>
          <w:i/>
          <w:sz w:val="9"/>
        </w:rPr>
      </w:pPr>
      <w:r>
        <w:rPr/>
        <w:br w:type="column"/>
      </w:r>
      <w:r>
        <w:rPr>
          <w:i/>
          <w:sz w:val="9"/>
        </w:rPr>
      </w:r>
    </w:p>
    <w:p>
      <w:pPr>
        <w:spacing w:line="102" w:lineRule="exact" w:before="0"/>
        <w:ind w:left="333" w:right="4616" w:firstLine="0"/>
        <w:jc w:val="center"/>
        <w:rPr>
          <w:sz w:val="12"/>
        </w:rPr>
      </w:pPr>
      <w:r>
        <w:rPr>
          <w:color w:val="010101"/>
          <w:w w:val="205"/>
          <w:sz w:val="12"/>
        </w:rPr>
        <w:t>- </w:t>
      </w:r>
      <w:r>
        <w:rPr>
          <w:color w:val="010101"/>
          <w:w w:val="185"/>
          <w:sz w:val="12"/>
        </w:rPr>
        <w:t>l</w:t>
      </w:r>
    </w:p>
    <w:p>
      <w:pPr>
        <w:pStyle w:val="ListParagraph"/>
        <w:numPr>
          <w:ilvl w:val="0"/>
          <w:numId w:val="155"/>
        </w:numPr>
        <w:tabs>
          <w:tab w:pos="287" w:val="left" w:leader="none"/>
        </w:tabs>
        <w:spacing w:line="148" w:lineRule="exact" w:before="0" w:after="0"/>
        <w:ind w:left="286" w:right="4183" w:hanging="234"/>
        <w:jc w:val="center"/>
        <w:rPr>
          <w:color w:val="010101"/>
          <w:sz w:val="16"/>
        </w:rPr>
      </w:pPr>
      <w:r>
        <w:rPr>
          <w:i/>
          <w:color w:val="010101"/>
          <w:w w:val="107"/>
          <w:sz w:val="16"/>
        </w:rPr>
        <w:t>Á¡o</w:t>
      </w:r>
      <w:r>
        <w:rPr>
          <w:i/>
          <w:color w:val="010101"/>
          <w:spacing w:val="6"/>
          <w:sz w:val="16"/>
        </w:rPr>
        <w:t> </w:t>
      </w:r>
      <w:r>
        <w:rPr>
          <w:color w:val="010101"/>
          <w:w w:val="88"/>
          <w:sz w:val="13"/>
        </w:rPr>
        <w:t>:IO</w:t>
      </w:r>
      <w:r>
        <w:rPr>
          <w:color w:val="010101"/>
          <w:spacing w:val="-13"/>
          <w:sz w:val="13"/>
        </w:rPr>
        <w:t> </w:t>
      </w:r>
      <w:r>
        <w:rPr>
          <w:color w:val="010101"/>
          <w:w w:val="97"/>
          <w:sz w:val="13"/>
          <w:u w:val="single" w:color="000000"/>
        </w:rPr>
        <w:t>:I</w:t>
      </w:r>
      <w:r>
        <w:rPr>
          <w:color w:val="010101"/>
          <w:spacing w:val="4"/>
          <w:w w:val="97"/>
          <w:sz w:val="13"/>
          <w:u w:val="single" w:color="000000"/>
        </w:rPr>
        <w:t>O</w:t>
      </w:r>
      <w:r>
        <w:rPr>
          <w:color w:val="010101"/>
          <w:w w:val="47"/>
          <w:sz w:val="13"/>
        </w:rPr>
        <w:t>j</w:t>
      </w:r>
    </w:p>
    <w:p>
      <w:pPr>
        <w:spacing w:after="0" w:line="148" w:lineRule="exact"/>
        <w:jc w:val="center"/>
        <w:rPr>
          <w:sz w:val="16"/>
        </w:rPr>
        <w:sectPr>
          <w:type w:val="continuous"/>
          <w:pgSz w:w="7200" w:h="11340"/>
          <w:pgMar w:top="1100" w:bottom="0" w:left="660" w:right="580"/>
          <w:cols w:num="2" w:equalWidth="0">
            <w:col w:w="725" w:space="40"/>
            <w:col w:w="5195"/>
          </w:cols>
        </w:sectPr>
      </w:pPr>
    </w:p>
    <w:p>
      <w:pPr>
        <w:pStyle w:val="BodyText"/>
        <w:spacing w:before="11"/>
        <w:rPr>
          <w:sz w:val="14"/>
        </w:rPr>
      </w:pPr>
    </w:p>
    <w:p>
      <w:pPr>
        <w:spacing w:line="85" w:lineRule="exact" w:before="0"/>
        <w:ind w:left="0" w:right="2" w:firstLine="0"/>
        <w:jc w:val="right"/>
        <w:rPr>
          <w:rFonts w:ascii="Arial"/>
          <w:sz w:val="11"/>
        </w:rPr>
      </w:pPr>
      <w:r>
        <w:rPr>
          <w:rFonts w:ascii="Arial"/>
          <w:color w:val="010101"/>
          <w:w w:val="200"/>
          <w:sz w:val="11"/>
        </w:rPr>
        <w:t>-1</w:t>
      </w:r>
    </w:p>
    <w:p>
      <w:pPr>
        <w:pStyle w:val="ListParagraph"/>
        <w:numPr>
          <w:ilvl w:val="0"/>
          <w:numId w:val="159"/>
        </w:numPr>
        <w:tabs>
          <w:tab w:pos="472" w:val="left" w:leader="none"/>
        </w:tabs>
        <w:spacing w:line="200" w:lineRule="exact" w:before="0" w:after="0"/>
        <w:ind w:left="471" w:right="0" w:hanging="349"/>
        <w:jc w:val="right"/>
        <w:rPr>
          <w:rFonts w:ascii="Arial"/>
          <w:i/>
          <w:color w:val="010101"/>
          <w:sz w:val="21"/>
        </w:rPr>
      </w:pPr>
      <w:r>
        <w:rPr>
          <w:rFonts w:ascii="Arial"/>
          <w:i/>
          <w:color w:val="010101"/>
          <w:spacing w:val="-1"/>
          <w:w w:val="75"/>
          <w:sz w:val="19"/>
        </w:rPr>
        <w:t>AZII</w:t>
      </w:r>
    </w:p>
    <w:p>
      <w:pPr>
        <w:spacing w:line="199" w:lineRule="exact" w:before="70"/>
        <w:ind w:left="297" w:right="-16" w:firstLine="0"/>
        <w:jc w:val="left"/>
        <w:rPr>
          <w:i/>
          <w:sz w:val="22"/>
        </w:rPr>
      </w:pPr>
      <w:r>
        <w:rPr/>
        <w:br w:type="column"/>
      </w:r>
      <w:r>
        <w:rPr>
          <w:i/>
          <w:color w:val="010101"/>
          <w:sz w:val="22"/>
        </w:rPr>
        <w:t>Dstt</w:t>
      </w:r>
    </w:p>
    <w:p>
      <w:pPr>
        <w:spacing w:line="187" w:lineRule="exact" w:before="0"/>
        <w:ind w:left="69" w:right="-16" w:firstLine="0"/>
        <w:jc w:val="left"/>
        <w:rPr>
          <w:rFonts w:ascii="Arial"/>
          <w:i/>
          <w:sz w:val="21"/>
        </w:rPr>
      </w:pPr>
      <w:r>
        <w:rPr/>
        <w:pict>
          <v:rect style="position:absolute;margin-left:91.422928pt;margin-top:7.157664pt;width:10.84977pt;height:5.869565pt;mso-position-horizontal-relative:page;mso-position-vertical-relative:paragraph;z-index:-706336" filled="true" fillcolor="#000000" stroked="false">
            <v:fill type="solid"/>
            <w10:wrap type="none"/>
          </v:rect>
        </w:pict>
      </w:r>
      <w:r>
        <w:rPr>
          <w:rFonts w:ascii="Arial"/>
          <w:color w:val="010101"/>
          <w:w w:val="245"/>
          <w:sz w:val="19"/>
        </w:rPr>
        <w:t>- </w:t>
      </w:r>
      <w:r>
        <w:rPr>
          <w:rFonts w:ascii="Arial"/>
          <w:i/>
          <w:color w:val="010101"/>
          <w:w w:val="135"/>
          <w:sz w:val="21"/>
        </w:rPr>
        <w:t>D.</w:t>
      </w:r>
    </w:p>
    <w:p>
      <w:pPr>
        <w:spacing w:line="208" w:lineRule="exact" w:before="70"/>
        <w:ind w:left="11" w:right="0" w:firstLine="0"/>
        <w:jc w:val="center"/>
        <w:rPr>
          <w:sz w:val="22"/>
        </w:rPr>
      </w:pPr>
      <w:r>
        <w:rPr/>
        <w:br w:type="column"/>
      </w:r>
      <w:r>
        <w:rPr>
          <w:color w:val="010101"/>
          <w:w w:val="125"/>
          <w:sz w:val="22"/>
        </w:rPr>
        <w:t>-</w:t>
      </w:r>
    </w:p>
    <w:p>
      <w:pPr>
        <w:spacing w:line="174" w:lineRule="exact" w:before="0"/>
        <w:ind w:left="84" w:right="0" w:firstLine="0"/>
        <w:jc w:val="center"/>
        <w:rPr>
          <w:rFonts w:ascii="Arial"/>
          <w:i/>
          <w:sz w:val="19"/>
        </w:rPr>
      </w:pPr>
      <w:r>
        <w:rPr>
          <w:rFonts w:ascii="Arial"/>
          <w:i/>
          <w:color w:val="010101"/>
          <w:w w:val="90"/>
          <w:sz w:val="19"/>
        </w:rPr>
        <w:t>(</w:t>
      </w:r>
      <w:r>
        <w:rPr>
          <w:rFonts w:ascii="Arial"/>
          <w:i/>
          <w:color w:val="010101"/>
          <w:spacing w:val="-22"/>
          <w:w w:val="90"/>
          <w:sz w:val="19"/>
        </w:rPr>
        <w:t> </w:t>
      </w:r>
      <w:r>
        <w:rPr>
          <w:rFonts w:ascii="Arial"/>
          <w:i/>
          <w:color w:val="010101"/>
          <w:w w:val="90"/>
          <w:sz w:val="19"/>
        </w:rPr>
        <w:t>Az+,.</w:t>
      </w:r>
    </w:p>
    <w:p>
      <w:pPr>
        <w:tabs>
          <w:tab w:pos="844" w:val="left" w:leader="none"/>
        </w:tabs>
        <w:spacing w:line="208" w:lineRule="exact" w:before="70"/>
        <w:ind w:left="370" w:right="0" w:firstLine="0"/>
        <w:jc w:val="left"/>
        <w:rPr>
          <w:sz w:val="12"/>
        </w:rPr>
      </w:pPr>
      <w:r>
        <w:rPr/>
        <w:br w:type="column"/>
      </w:r>
      <w:r>
        <w:rPr>
          <w:color w:val="010101"/>
          <w:w w:val="130"/>
          <w:sz w:val="22"/>
        </w:rPr>
        <w:t>-</w:t>
      </w:r>
      <w:r>
        <w:rPr>
          <w:color w:val="010101"/>
          <w:spacing w:val="30"/>
          <w:w w:val="130"/>
          <w:sz w:val="22"/>
        </w:rPr>
        <w:t> </w:t>
      </w:r>
      <w:r>
        <w:rPr>
          <w:color w:val="010101"/>
          <w:w w:val="130"/>
          <w:sz w:val="12"/>
        </w:rPr>
        <w:t>1</w:t>
      </w:r>
      <w:r>
        <w:rPr>
          <w:color w:val="010101"/>
          <w:sz w:val="12"/>
        </w:rPr>
        <w:t>  </w:t>
      </w:r>
      <w:r>
        <w:rPr>
          <w:color w:val="010101"/>
          <w:spacing w:val="3"/>
          <w:sz w:val="12"/>
        </w:rPr>
        <w:t> </w:t>
      </w:r>
      <w:r>
        <w:rPr>
          <w:color w:val="010101"/>
          <w:sz w:val="12"/>
          <w:u w:val="single" w:color="000000"/>
        </w:rPr>
        <w:t> </w:t>
        <w:tab/>
      </w:r>
    </w:p>
    <w:p>
      <w:pPr>
        <w:spacing w:line="174" w:lineRule="exact" w:before="0"/>
        <w:ind w:left="54" w:right="0" w:firstLine="0"/>
        <w:jc w:val="left"/>
        <w:rPr>
          <w:b/>
          <w:sz w:val="16"/>
        </w:rPr>
      </w:pPr>
      <w:r>
        <w:rPr>
          <w:rFonts w:ascii="Arial" w:hAnsi="Arial"/>
          <w:color w:val="010101"/>
          <w:w w:val="245"/>
          <w:sz w:val="19"/>
        </w:rPr>
        <w:t>-</w:t>
      </w:r>
      <w:r>
        <w:rPr>
          <w:rFonts w:ascii="Arial" w:hAnsi="Arial"/>
          <w:color w:val="010101"/>
          <w:spacing w:val="-96"/>
          <w:w w:val="245"/>
          <w:sz w:val="19"/>
        </w:rPr>
        <w:t> </w:t>
      </w:r>
      <w:r>
        <w:rPr>
          <w:b/>
          <w:color w:val="010101"/>
          <w:sz w:val="16"/>
        </w:rPr>
        <w:t>Áz+11:r, </w:t>
      </w:r>
      <w:r>
        <w:rPr>
          <w:b/>
          <w:color w:val="010101"/>
          <w:w w:val="145"/>
          <w:sz w:val="16"/>
        </w:rPr>
        <w:t>)</w:t>
      </w:r>
    </w:p>
    <w:p>
      <w:pPr>
        <w:spacing w:after="0" w:line="174" w:lineRule="exact"/>
        <w:jc w:val="left"/>
        <w:rPr>
          <w:sz w:val="16"/>
        </w:rPr>
        <w:sectPr>
          <w:type w:val="continuous"/>
          <w:pgSz w:w="7200" w:h="11340"/>
          <w:pgMar w:top="1100" w:bottom="0" w:left="660" w:right="580"/>
          <w:cols w:num="4" w:equalWidth="0">
            <w:col w:w="743" w:space="40"/>
            <w:col w:w="668" w:space="40"/>
            <w:col w:w="563" w:space="40"/>
            <w:col w:w="3866"/>
          </w:cols>
        </w:sectPr>
      </w:pPr>
    </w:p>
    <w:p>
      <w:pPr>
        <w:pStyle w:val="BodyText"/>
        <w:spacing w:before="11"/>
        <w:rPr>
          <w:b/>
          <w:sz w:val="8"/>
        </w:rPr>
      </w:pPr>
    </w:p>
    <w:p>
      <w:pPr>
        <w:tabs>
          <w:tab w:pos="1218" w:val="left" w:leader="none"/>
        </w:tabs>
        <w:spacing w:line="195" w:lineRule="exact" w:before="73"/>
        <w:ind w:left="531" w:right="0" w:firstLine="0"/>
        <w:jc w:val="left"/>
        <w:rPr>
          <w:rFonts w:ascii="Arial"/>
          <w:sz w:val="12"/>
        </w:rPr>
      </w:pPr>
      <w:r>
        <w:rPr/>
        <w:pict>
          <v:shape style="position:absolute;margin-left:82.351784pt;margin-top:8.818897pt;width:9.7pt;height:15.5pt;mso-position-horizontal-relative:page;mso-position-vertical-relative:paragraph;z-index:-706264" type="#_x0000_t202" filled="false" stroked="false">
            <v:textbox inset="0,0,0,0">
              <w:txbxContent>
                <w:p>
                  <w:pPr>
                    <w:spacing w:line="310" w:lineRule="exact" w:before="0"/>
                    <w:ind w:left="0" w:right="0" w:firstLine="0"/>
                    <w:jc w:val="left"/>
                    <w:rPr>
                      <w:rFonts w:ascii="Arial"/>
                      <w:sz w:val="31"/>
                    </w:rPr>
                  </w:pPr>
                  <w:r>
                    <w:rPr>
                      <w:rFonts w:ascii="Arial"/>
                      <w:color w:val="010101"/>
                      <w:w w:val="106"/>
                      <w:sz w:val="31"/>
                    </w:rPr>
                    <w:t>+</w:t>
                  </w:r>
                </w:p>
              </w:txbxContent>
            </v:textbox>
            <w10:wrap type="none"/>
          </v:shape>
        </w:pict>
      </w:r>
      <w:r>
        <w:rPr>
          <w:rFonts w:ascii="Arial"/>
          <w:color w:val="010101"/>
          <w:w w:val="185"/>
          <w:sz w:val="12"/>
        </w:rPr>
        <w:t>-1</w:t>
        <w:tab/>
      </w:r>
      <w:r>
        <w:rPr>
          <w:rFonts w:ascii="Arial"/>
          <w:i/>
          <w:color w:val="010101"/>
          <w:w w:val="165"/>
          <w:sz w:val="21"/>
        </w:rPr>
        <w:t>D.</w:t>
      </w:r>
      <w:r>
        <w:rPr>
          <w:rFonts w:ascii="Arial"/>
          <w:i/>
          <w:color w:val="010101"/>
          <w:spacing w:val="-60"/>
          <w:w w:val="165"/>
          <w:sz w:val="21"/>
        </w:rPr>
        <w:t> </w:t>
      </w:r>
      <w:r>
        <w:rPr>
          <w:rFonts w:ascii="Arial"/>
          <w:color w:val="010101"/>
          <w:w w:val="185"/>
          <w:sz w:val="12"/>
        </w:rPr>
        <w:t>- </w:t>
      </w:r>
      <w:r>
        <w:rPr>
          <w:rFonts w:ascii="Arial"/>
          <w:color w:val="010101"/>
          <w:w w:val="165"/>
          <w:sz w:val="12"/>
        </w:rPr>
        <w:t>1</w:t>
      </w:r>
    </w:p>
    <w:p>
      <w:pPr>
        <w:tabs>
          <w:tab w:pos="1221" w:val="left" w:leader="none"/>
        </w:tabs>
        <w:spacing w:line="182" w:lineRule="exact" w:before="0"/>
        <w:ind w:left="467" w:right="0" w:firstLine="0"/>
        <w:jc w:val="left"/>
        <w:rPr>
          <w:sz w:val="18"/>
        </w:rPr>
      </w:pPr>
      <w:r>
        <w:rPr/>
        <w:pict>
          <v:line style="position:absolute;mso-position-horizontal-relative:page;mso-position-vertical-relative:paragraph;z-index:29752" from="94.090912pt,11.030943pt" to="107.608702pt,11.030943pt" stroked="true" strokeweight="4.268775pt" strokecolor="#000000">
            <w10:wrap type="none"/>
          </v:line>
        </w:pict>
      </w:r>
      <w:r>
        <w:rPr>
          <w:color w:val="010101"/>
          <w:sz w:val="18"/>
        </w:rPr>
        <w:t>Aio:i]</w:t>
        <w:tab/>
      </w:r>
      <w:r>
        <w:rPr>
          <w:rFonts w:ascii="Arial"/>
          <w:i/>
          <w:color w:val="010101"/>
          <w:sz w:val="22"/>
        </w:rPr>
        <w:t>D., </w:t>
      </w:r>
      <w:r>
        <w:rPr>
          <w:color w:val="010101"/>
          <w:sz w:val="18"/>
        </w:rPr>
        <w:t>A</w:t>
      </w:r>
      <w:r>
        <w:rPr>
          <w:color w:val="010101"/>
          <w:spacing w:val="-27"/>
          <w:sz w:val="18"/>
        </w:rPr>
        <w:t> </w:t>
      </w:r>
      <w:r>
        <w:rPr>
          <w:color w:val="010101"/>
          <w:sz w:val="18"/>
        </w:rPr>
        <w:t>u:ao</w:t>
      </w:r>
    </w:p>
    <w:p>
      <w:pPr>
        <w:spacing w:line="183" w:lineRule="exact" w:before="0"/>
        <w:ind w:left="119" w:right="0" w:firstLine="0"/>
        <w:jc w:val="left"/>
        <w:rPr>
          <w:sz w:val="21"/>
        </w:rPr>
      </w:pPr>
      <w:r>
        <w:rPr>
          <w:color w:val="010101"/>
          <w:sz w:val="21"/>
        </w:rPr>
        <w:t>29.</w:t>
      </w:r>
    </w:p>
    <w:p>
      <w:pPr>
        <w:tabs>
          <w:tab w:pos="1196" w:val="left" w:leader="none"/>
          <w:tab w:pos="1915" w:val="left" w:leader="none"/>
        </w:tabs>
        <w:spacing w:line="179" w:lineRule="exact" w:before="0"/>
        <w:ind w:left="631" w:right="0" w:firstLine="0"/>
        <w:jc w:val="left"/>
        <w:rPr>
          <w:sz w:val="12"/>
        </w:rPr>
      </w:pPr>
      <w:r>
        <w:rPr>
          <w:color w:val="010101"/>
          <w:w w:val="130"/>
          <w:sz w:val="20"/>
        </w:rPr>
        <w:t>1</w:t>
        <w:tab/>
      </w:r>
      <w:r>
        <w:rPr>
          <w:rFonts w:ascii="Arial"/>
          <w:i/>
          <w:color w:val="010101"/>
          <w:w w:val="130"/>
          <w:sz w:val="21"/>
        </w:rPr>
        <w:t>D.</w:t>
      </w:r>
      <w:r>
        <w:rPr>
          <w:rFonts w:ascii="Arial"/>
          <w:i/>
          <w:color w:val="010101"/>
          <w:spacing w:val="34"/>
          <w:w w:val="130"/>
          <w:sz w:val="21"/>
        </w:rPr>
        <w:t> </w:t>
      </w:r>
      <w:r>
        <w:rPr>
          <w:rFonts w:ascii="Arial"/>
          <w:color w:val="010101"/>
          <w:w w:val="130"/>
          <w:sz w:val="21"/>
        </w:rPr>
        <w:t>-</w:t>
        <w:tab/>
      </w:r>
      <w:r>
        <w:rPr>
          <w:color w:val="010101"/>
          <w:w w:val="130"/>
          <w:sz w:val="12"/>
        </w:rPr>
        <w:t>1</w:t>
      </w:r>
    </w:p>
    <w:p>
      <w:pPr>
        <w:spacing w:line="213" w:lineRule="exact" w:before="0"/>
        <w:ind w:left="464" w:right="0" w:firstLine="0"/>
        <w:jc w:val="left"/>
        <w:rPr>
          <w:sz w:val="18"/>
        </w:rPr>
      </w:pPr>
      <w:r>
        <w:rPr>
          <w:color w:val="010101"/>
          <w:spacing w:val="-7"/>
          <w:w w:val="110"/>
          <w:sz w:val="21"/>
          <w:u w:val="thick" w:color="000000"/>
        </w:rPr>
        <w:t>1.075 </w:t>
      </w:r>
      <w:r>
        <w:rPr>
          <w:color w:val="010101"/>
          <w:w w:val="230"/>
          <w:sz w:val="21"/>
        </w:rPr>
        <w:t>-</w:t>
      </w:r>
      <w:r>
        <w:rPr>
          <w:color w:val="010101"/>
          <w:spacing w:val="-98"/>
          <w:w w:val="230"/>
          <w:sz w:val="21"/>
        </w:rPr>
        <w:t> </w:t>
      </w:r>
      <w:r>
        <w:rPr>
          <w:rFonts w:ascii="Arial"/>
          <w:i/>
          <w:color w:val="010101"/>
          <w:w w:val="110"/>
          <w:sz w:val="21"/>
          <w:u w:val="thick" w:color="000000"/>
        </w:rPr>
        <w:t>D.</w:t>
      </w:r>
      <w:r>
        <w:rPr>
          <w:rFonts w:ascii="Arial"/>
          <w:i/>
          <w:color w:val="010101"/>
          <w:w w:val="110"/>
          <w:sz w:val="21"/>
        </w:rPr>
        <w:t>, </w:t>
      </w:r>
      <w:r>
        <w:rPr>
          <w:color w:val="010101"/>
          <w:w w:val="110"/>
          <w:sz w:val="18"/>
        </w:rPr>
        <w:t>A u:10</w:t>
      </w:r>
    </w:p>
    <w:p>
      <w:pPr>
        <w:spacing w:line="172" w:lineRule="exact" w:before="131"/>
        <w:ind w:left="111" w:right="0" w:firstLine="0"/>
        <w:jc w:val="left"/>
        <w:rPr>
          <w:sz w:val="21"/>
        </w:rPr>
      </w:pPr>
      <w:r>
        <w:rPr>
          <w:color w:val="010101"/>
          <w:spacing w:val="-8"/>
          <w:w w:val="110"/>
          <w:sz w:val="21"/>
        </w:rPr>
        <w:t>30. </w:t>
      </w:r>
      <w:r>
        <w:rPr>
          <w:color w:val="010101"/>
          <w:spacing w:val="-19"/>
          <w:w w:val="110"/>
          <w:sz w:val="21"/>
        </w:rPr>
        <w:t>}24</w:t>
      </w:r>
    </w:p>
    <w:p>
      <w:pPr>
        <w:spacing w:line="586" w:lineRule="exact" w:before="0"/>
        <w:ind w:left="108" w:right="0" w:firstLine="0"/>
        <w:jc w:val="left"/>
        <w:rPr>
          <w:i/>
          <w:sz w:val="21"/>
        </w:rPr>
      </w:pPr>
      <w:r>
        <w:rPr>
          <w:rFonts w:ascii="Arial" w:hAnsi="Arial"/>
          <w:color w:val="010101"/>
          <w:w w:val="100"/>
          <w:sz w:val="18"/>
        </w:rPr>
        <w:t>31.</w:t>
      </w:r>
      <w:r>
        <w:rPr>
          <w:rFonts w:ascii="Arial" w:hAnsi="Arial"/>
          <w:color w:val="010101"/>
          <w:sz w:val="18"/>
        </w:rPr>
        <w:t> </w:t>
      </w:r>
      <w:r>
        <w:rPr>
          <w:rFonts w:ascii="Arial" w:hAnsi="Arial"/>
          <w:color w:val="010101"/>
          <w:spacing w:val="-1"/>
          <w:sz w:val="18"/>
        </w:rPr>
        <w:t> </w:t>
      </w:r>
      <w:r>
        <w:rPr>
          <w:rFonts w:ascii="Arial" w:hAnsi="Arial"/>
          <w:i/>
          <w:color w:val="010101"/>
          <w:spacing w:val="-86"/>
          <w:w w:val="72"/>
          <w:sz w:val="57"/>
        </w:rPr>
        <w:t>1</w:t>
      </w:r>
      <w:r>
        <w:rPr>
          <w:rFonts w:ascii="Arial" w:hAnsi="Arial"/>
          <w:i/>
          <w:color w:val="010101"/>
          <w:spacing w:val="-100"/>
          <w:w w:val="136"/>
          <w:sz w:val="57"/>
        </w:rPr>
        <w:t>·</w:t>
      </w:r>
      <w:r>
        <w:rPr>
          <w:i/>
          <w:color w:val="010101"/>
          <w:w w:val="78"/>
          <w:sz w:val="23"/>
        </w:rPr>
        <w:t>tv'</w:t>
      </w:r>
      <w:r>
        <w:rPr>
          <w:i/>
          <w:color w:val="010101"/>
          <w:sz w:val="23"/>
        </w:rPr>
        <w:t> </w:t>
      </w:r>
      <w:r>
        <w:rPr>
          <w:i/>
          <w:color w:val="010101"/>
          <w:spacing w:val="-29"/>
          <w:sz w:val="23"/>
        </w:rPr>
        <w:t> </w:t>
      </w:r>
      <w:r>
        <w:rPr>
          <w:rFonts w:ascii="Arial" w:hAnsi="Arial"/>
          <w:i/>
          <w:color w:val="010101"/>
          <w:w w:val="107"/>
          <w:sz w:val="19"/>
        </w:rPr>
        <w:t>,pq</w:t>
      </w:r>
      <w:r>
        <w:rPr>
          <w:rFonts w:ascii="Arial" w:hAnsi="Arial"/>
          <w:i/>
          <w:color w:val="010101"/>
          <w:spacing w:val="17"/>
          <w:sz w:val="19"/>
        </w:rPr>
        <w:t> </w:t>
      </w:r>
      <w:r>
        <w:rPr>
          <w:color w:val="010101"/>
          <w:w w:val="103"/>
          <w:sz w:val="17"/>
        </w:rPr>
        <w:t>l't,+,</w:t>
      </w:r>
      <w:r>
        <w:rPr>
          <w:color w:val="010101"/>
          <w:sz w:val="17"/>
        </w:rPr>
        <w:t> </w:t>
      </w:r>
      <w:r>
        <w:rPr>
          <w:color w:val="010101"/>
          <w:spacing w:val="-5"/>
          <w:sz w:val="17"/>
        </w:rPr>
        <w:t> </w:t>
      </w:r>
      <w:r>
        <w:rPr>
          <w:color w:val="010101"/>
          <w:w w:val="82"/>
          <w:sz w:val="20"/>
        </w:rPr>
        <w:t>Áz+c</w:t>
      </w:r>
      <w:r>
        <w:rPr>
          <w:color w:val="010101"/>
          <w:sz w:val="20"/>
        </w:rPr>
        <w:t> </w:t>
      </w:r>
      <w:r>
        <w:rPr>
          <w:color w:val="010101"/>
          <w:spacing w:val="-9"/>
          <w:sz w:val="20"/>
        </w:rPr>
        <w:t> </w:t>
      </w:r>
      <w:r>
        <w:rPr>
          <w:i/>
          <w:color w:val="010101"/>
          <w:w w:val="88"/>
          <w:sz w:val="21"/>
        </w:rPr>
        <w:t>dt</w:t>
      </w:r>
    </w:p>
    <w:p>
      <w:pPr>
        <w:tabs>
          <w:tab w:pos="1915" w:val="left" w:leader="none"/>
          <w:tab w:pos="3156" w:val="left" w:leader="none"/>
          <w:tab w:pos="4462" w:val="left" w:leader="none"/>
        </w:tabs>
        <w:spacing w:line="110" w:lineRule="exact" w:before="73"/>
        <w:ind w:left="545" w:right="0" w:firstLine="0"/>
        <w:jc w:val="left"/>
        <w:rPr>
          <w:sz w:val="13"/>
        </w:rPr>
      </w:pPr>
      <w:r>
        <w:rPr/>
        <w:pict>
          <v:shape style="position:absolute;margin-left:220.019806pt;margin-top:4.855997pt;width:8.2pt;height:14.5pt;mso-position-horizontal-relative:page;mso-position-vertical-relative:paragraph;z-index:-706240" type="#_x0000_t202" filled="false" stroked="false">
            <v:textbox inset="0,0,0,0">
              <w:txbxContent>
                <w:p>
                  <w:pPr>
                    <w:spacing w:line="290" w:lineRule="exact" w:before="0"/>
                    <w:ind w:left="0" w:right="0" w:firstLine="0"/>
                    <w:jc w:val="left"/>
                    <w:rPr>
                      <w:sz w:val="29"/>
                    </w:rPr>
                  </w:pPr>
                  <w:r>
                    <w:rPr>
                      <w:color w:val="010101"/>
                      <w:w w:val="99"/>
                      <w:sz w:val="29"/>
                    </w:rPr>
                    <w:t>+</w:t>
                  </w:r>
                </w:p>
              </w:txbxContent>
            </v:textbox>
            <w10:wrap type="none"/>
          </v:shape>
        </w:pict>
      </w:r>
      <w:r>
        <w:rPr>
          <w:color w:val="010101"/>
          <w:w w:val="120"/>
          <w:sz w:val="13"/>
        </w:rPr>
        <w:t>10  </w:t>
      </w:r>
      <w:r>
        <w:rPr>
          <w:color w:val="010101"/>
          <w:spacing w:val="15"/>
          <w:w w:val="120"/>
          <w:sz w:val="13"/>
        </w:rPr>
        <w:t> </w:t>
      </w:r>
      <w:r>
        <w:rPr>
          <w:color w:val="010101"/>
          <w:w w:val="145"/>
          <w:sz w:val="13"/>
        </w:rPr>
        <w:t>-1</w:t>
        <w:tab/>
        <w:t>-1</w:t>
        <w:tab/>
        <w:t>-1</w:t>
        <w:tab/>
        <w:t>-1</w:t>
      </w:r>
    </w:p>
    <w:p>
      <w:pPr>
        <w:tabs>
          <w:tab w:pos="3982" w:val="left" w:leader="none"/>
        </w:tabs>
        <w:spacing w:line="195" w:lineRule="exact" w:before="0"/>
        <w:ind w:left="111" w:right="0" w:firstLine="0"/>
        <w:jc w:val="left"/>
        <w:rPr>
          <w:sz w:val="13"/>
        </w:rPr>
      </w:pPr>
      <w:r>
        <w:rPr>
          <w:color w:val="010101"/>
          <w:w w:val="105"/>
          <w:sz w:val="20"/>
        </w:rPr>
        <w:t>32.</w:t>
      </w:r>
      <w:r>
        <w:rPr>
          <w:color w:val="010101"/>
          <w:spacing w:val="34"/>
          <w:w w:val="105"/>
          <w:sz w:val="20"/>
        </w:rPr>
        <w:t> </w:t>
      </w:r>
      <w:r>
        <w:rPr>
          <w:i/>
          <w:color w:val="010101"/>
          <w:w w:val="105"/>
          <w:sz w:val="14"/>
        </w:rPr>
        <w:t>V    </w:t>
      </w:r>
      <w:r>
        <w:rPr>
          <w:i/>
          <w:color w:val="010101"/>
          <w:w w:val="95"/>
          <w:sz w:val="20"/>
        </w:rPr>
        <w:t>(</w:t>
      </w:r>
      <w:r>
        <w:rPr>
          <w:i/>
          <w:color w:val="010101"/>
          <w:spacing w:val="-32"/>
          <w:w w:val="95"/>
          <w:sz w:val="20"/>
        </w:rPr>
        <w:t> </w:t>
      </w:r>
      <w:r>
        <w:rPr>
          <w:i/>
          <w:color w:val="010101"/>
          <w:w w:val="105"/>
          <w:sz w:val="20"/>
        </w:rPr>
        <w:t>As</w:t>
      </w:r>
      <w:r>
        <w:rPr>
          <w:i/>
          <w:color w:val="010101"/>
          <w:spacing w:val="-7"/>
          <w:w w:val="105"/>
          <w:sz w:val="20"/>
        </w:rPr>
        <w:t> </w:t>
      </w:r>
      <w:r>
        <w:rPr>
          <w:color w:val="010101"/>
          <w:w w:val="105"/>
          <w:sz w:val="19"/>
        </w:rPr>
        <w:t>:ií</w:t>
      </w:r>
      <w:r>
        <w:rPr>
          <w:color w:val="010101"/>
          <w:spacing w:val="20"/>
          <w:w w:val="105"/>
          <w:sz w:val="19"/>
        </w:rPr>
        <w:t> </w:t>
      </w:r>
      <w:r>
        <w:rPr>
          <w:color w:val="010101"/>
          <w:w w:val="255"/>
          <w:sz w:val="19"/>
        </w:rPr>
        <w:t>-</w:t>
      </w:r>
      <w:r>
        <w:rPr>
          <w:color w:val="010101"/>
          <w:spacing w:val="-75"/>
          <w:w w:val="255"/>
          <w:sz w:val="19"/>
        </w:rPr>
        <w:t> </w:t>
      </w:r>
      <w:r>
        <w:rPr>
          <w:color w:val="010101"/>
          <w:spacing w:val="-7"/>
          <w:w w:val="105"/>
          <w:sz w:val="13"/>
        </w:rPr>
        <w:t>10P11</w:t>
      </w:r>
      <w:r>
        <w:rPr>
          <w:color w:val="010101"/>
          <w:spacing w:val="14"/>
          <w:w w:val="105"/>
          <w:sz w:val="13"/>
        </w:rPr>
        <w:t> </w:t>
      </w:r>
      <w:r>
        <w:rPr>
          <w:i/>
          <w:color w:val="010101"/>
          <w:w w:val="130"/>
          <w:sz w:val="20"/>
        </w:rPr>
        <w:t>A.</w:t>
      </w:r>
      <w:r>
        <w:rPr>
          <w:i/>
          <w:color w:val="010101"/>
          <w:spacing w:val="-36"/>
          <w:w w:val="130"/>
          <w:sz w:val="20"/>
        </w:rPr>
        <w:t> </w:t>
      </w:r>
      <w:r>
        <w:rPr>
          <w:color w:val="010101"/>
          <w:spacing w:val="-3"/>
          <w:w w:val="105"/>
          <w:sz w:val="20"/>
        </w:rPr>
        <w:t>:</w:t>
      </w:r>
      <w:r>
        <w:rPr>
          <w:color w:val="010101"/>
          <w:spacing w:val="-3"/>
          <w:w w:val="105"/>
          <w:position w:val="-1"/>
          <w:sz w:val="13"/>
        </w:rPr>
        <w:t>11+10 </w:t>
      </w:r>
      <w:r>
        <w:rPr>
          <w:color w:val="010101"/>
          <w:spacing w:val="8"/>
          <w:w w:val="105"/>
          <w:position w:val="-1"/>
          <w:sz w:val="13"/>
        </w:rPr>
        <w:t> </w:t>
      </w:r>
      <w:r>
        <w:rPr>
          <w:color w:val="010101"/>
          <w:w w:val="390"/>
          <w:sz w:val="13"/>
        </w:rPr>
        <w:t>-</w:t>
      </w:r>
      <w:r>
        <w:rPr>
          <w:color w:val="010101"/>
          <w:spacing w:val="-82"/>
          <w:w w:val="390"/>
          <w:sz w:val="13"/>
        </w:rPr>
        <w:t> </w:t>
      </w:r>
      <w:r>
        <w:rPr>
          <w:color w:val="010101"/>
          <w:w w:val="105"/>
          <w:sz w:val="13"/>
        </w:rPr>
        <w:t>10Ps</w:t>
      </w:r>
      <w:r>
        <w:rPr>
          <w:color w:val="010101"/>
          <w:spacing w:val="12"/>
          <w:w w:val="105"/>
          <w:sz w:val="13"/>
        </w:rPr>
        <w:t> </w:t>
      </w:r>
      <w:r>
        <w:rPr>
          <w:i/>
          <w:color w:val="010101"/>
          <w:w w:val="105"/>
          <w:sz w:val="20"/>
        </w:rPr>
        <w:t>Á</w:t>
      </w:r>
      <w:r>
        <w:rPr>
          <w:i/>
          <w:color w:val="010101"/>
          <w:spacing w:val="-20"/>
          <w:w w:val="105"/>
          <w:sz w:val="20"/>
        </w:rPr>
        <w:t> </w:t>
      </w:r>
      <w:r>
        <w:rPr>
          <w:i/>
          <w:color w:val="010101"/>
          <w:w w:val="95"/>
          <w:sz w:val="20"/>
        </w:rPr>
        <w:t>z</w:t>
      </w:r>
      <w:r>
        <w:rPr>
          <w:i/>
          <w:color w:val="010101"/>
          <w:spacing w:val="-3"/>
          <w:w w:val="95"/>
          <w:sz w:val="20"/>
        </w:rPr>
        <w:t> </w:t>
      </w:r>
      <w:r>
        <w:rPr>
          <w:color w:val="010101"/>
          <w:w w:val="105"/>
          <w:sz w:val="13"/>
        </w:rPr>
        <w:t>:z+lO</w:t>
        <w:tab/>
      </w:r>
      <w:r>
        <w:rPr>
          <w:color w:val="010101"/>
          <w:spacing w:val="-6"/>
          <w:w w:val="105"/>
          <w:sz w:val="13"/>
        </w:rPr>
        <w:t>10P11,  </w:t>
      </w:r>
      <w:r>
        <w:rPr>
          <w:i/>
          <w:color w:val="010101"/>
          <w:w w:val="105"/>
          <w:sz w:val="20"/>
        </w:rPr>
        <w:t>As</w:t>
      </w:r>
      <w:r>
        <w:rPr>
          <w:i/>
          <w:color w:val="010101"/>
          <w:spacing w:val="-27"/>
          <w:w w:val="105"/>
          <w:sz w:val="20"/>
        </w:rPr>
        <w:t> </w:t>
      </w:r>
      <w:r>
        <w:rPr>
          <w:color w:val="010101"/>
          <w:w w:val="105"/>
          <w:sz w:val="13"/>
        </w:rPr>
        <w:t>:11+10:.r+IO)</w:t>
      </w:r>
    </w:p>
    <w:p>
      <w:pPr>
        <w:spacing w:line="194" w:lineRule="exact" w:before="148"/>
        <w:ind w:left="119" w:right="131" w:firstLine="0"/>
        <w:jc w:val="center"/>
        <w:rPr>
          <w:sz w:val="20"/>
        </w:rPr>
      </w:pPr>
      <w:r>
        <w:rPr>
          <w:rFonts w:ascii="Arial"/>
          <w:color w:val="010101"/>
          <w:w w:val="115"/>
          <w:sz w:val="15"/>
        </w:rPr>
        <w:t>CJuPTER </w:t>
      </w:r>
      <w:r>
        <w:rPr>
          <w:color w:val="010101"/>
          <w:w w:val="115"/>
          <w:sz w:val="20"/>
        </w:rPr>
        <w:t>12</w:t>
      </w:r>
    </w:p>
    <w:p>
      <w:pPr>
        <w:spacing w:line="619" w:lineRule="exact" w:before="0"/>
        <w:ind w:left="225" w:right="0" w:firstLine="0"/>
        <w:jc w:val="left"/>
        <w:rPr>
          <w:i/>
          <w:sz w:val="21"/>
        </w:rPr>
      </w:pPr>
      <w:r>
        <w:rPr>
          <w:color w:val="010101"/>
          <w:w w:val="135"/>
          <w:sz w:val="20"/>
        </w:rPr>
        <w:t>l.</w:t>
      </w:r>
      <w:r>
        <w:rPr>
          <w:color w:val="010101"/>
          <w:sz w:val="20"/>
        </w:rPr>
        <w:t> </w:t>
      </w:r>
      <w:r>
        <w:rPr>
          <w:color w:val="010101"/>
          <w:spacing w:val="-2"/>
          <w:sz w:val="20"/>
        </w:rPr>
        <w:t> </w:t>
      </w:r>
      <w:r>
        <w:rPr>
          <w:rFonts w:ascii="Arial" w:hAnsi="Arial"/>
          <w:color w:val="010101"/>
          <w:w w:val="117"/>
          <w:sz w:val="19"/>
        </w:rPr>
        <w:t>(</w:t>
      </w:r>
      <w:r>
        <w:rPr>
          <w:rFonts w:ascii="Arial" w:hAnsi="Arial"/>
          <w:color w:val="010101"/>
          <w:w w:val="117"/>
          <w:sz w:val="19"/>
        </w:rPr>
        <w:t>a</w:t>
      </w:r>
      <w:r>
        <w:rPr>
          <w:rFonts w:ascii="Arial" w:hAnsi="Arial"/>
          <w:color w:val="010101"/>
          <w:w w:val="117"/>
          <w:sz w:val="19"/>
        </w:rPr>
        <w:t>)</w:t>
      </w:r>
      <w:r>
        <w:rPr>
          <w:rFonts w:ascii="Arial" w:hAnsi="Arial"/>
          <w:color w:val="010101"/>
          <w:sz w:val="19"/>
        </w:rPr>
        <w:t> </w:t>
      </w:r>
      <w:r>
        <w:rPr>
          <w:rFonts w:ascii="Arial" w:hAnsi="Arial"/>
          <w:color w:val="010101"/>
          <w:spacing w:val="-21"/>
          <w:sz w:val="19"/>
        </w:rPr>
        <w:t> </w:t>
      </w:r>
      <w:r>
        <w:rPr>
          <w:rFonts w:ascii="Arial" w:hAnsi="Arial"/>
          <w:i/>
          <w:color w:val="010101"/>
          <w:spacing w:val="-82"/>
          <w:w w:val="74"/>
          <w:sz w:val="57"/>
        </w:rPr>
        <w:t>1</w:t>
      </w:r>
      <w:r>
        <w:rPr>
          <w:rFonts w:ascii="Arial" w:hAnsi="Arial"/>
          <w:i/>
          <w:color w:val="010101"/>
          <w:spacing w:val="-69"/>
          <w:w w:val="125"/>
          <w:sz w:val="57"/>
        </w:rPr>
        <w:t>·</w:t>
      </w:r>
      <w:r>
        <w:rPr>
          <w:color w:val="010101"/>
          <w:w w:val="114"/>
          <w:sz w:val="20"/>
        </w:rPr>
        <w:t>(1</w:t>
      </w:r>
      <w:r>
        <w:rPr>
          <w:color w:val="010101"/>
          <w:sz w:val="20"/>
        </w:rPr>
        <w:t> </w:t>
      </w:r>
      <w:r>
        <w:rPr>
          <w:color w:val="010101"/>
          <w:spacing w:val="-22"/>
          <w:sz w:val="20"/>
        </w:rPr>
        <w:t> </w:t>
      </w:r>
      <w:r>
        <w:rPr>
          <w:color w:val="010101"/>
          <w:w w:val="278"/>
          <w:sz w:val="20"/>
        </w:rPr>
        <w:t>-</w:t>
      </w:r>
      <w:r>
        <w:rPr>
          <w:color w:val="010101"/>
          <w:spacing w:val="20"/>
          <w:sz w:val="20"/>
        </w:rPr>
        <w:t> </w:t>
      </w:r>
      <w:r>
        <w:rPr>
          <w:color w:val="010101"/>
          <w:spacing w:val="-4"/>
          <w:w w:val="89"/>
          <w:sz w:val="20"/>
        </w:rPr>
        <w:t>t</w:t>
      </w:r>
      <w:r>
        <w:rPr>
          <w:color w:val="010101"/>
          <w:spacing w:val="-105"/>
          <w:w w:val="96"/>
          <w:sz w:val="20"/>
        </w:rPr>
        <w:t>P</w:t>
      </w:r>
      <w:r>
        <w:rPr>
          <w:color w:val="010101"/>
          <w:w w:val="89"/>
          <w:sz w:val="20"/>
        </w:rPr>
        <w:t>'</w:t>
      </w:r>
      <w:r>
        <w:rPr>
          <w:color w:val="010101"/>
          <w:spacing w:val="21"/>
          <w:sz w:val="20"/>
        </w:rPr>
        <w:t> </w:t>
      </w:r>
      <w:r>
        <w:rPr>
          <w:color w:val="010101"/>
          <w:w w:val="97"/>
          <w:sz w:val="20"/>
        </w:rPr>
        <w:t>v)</w:t>
      </w:r>
      <w:r>
        <w:rPr>
          <w:color w:val="010101"/>
          <w:spacing w:val="-28"/>
          <w:sz w:val="20"/>
        </w:rPr>
        <w:t> </w:t>
      </w:r>
      <w:r>
        <w:rPr>
          <w:b/>
          <w:i/>
          <w:color w:val="010101"/>
          <w:w w:val="69"/>
          <w:sz w:val="21"/>
        </w:rPr>
        <w:t>•Pzw•</w:t>
      </w:r>
      <w:r>
        <w:rPr>
          <w:b/>
          <w:i/>
          <w:color w:val="010101"/>
          <w:spacing w:val="16"/>
          <w:sz w:val="21"/>
        </w:rPr>
        <w:t> </w:t>
      </w:r>
      <w:r>
        <w:rPr>
          <w:i/>
          <w:color w:val="010101"/>
          <w:w w:val="113"/>
          <w:sz w:val="16"/>
        </w:rPr>
        <w:t>l'z+,</w:t>
      </w:r>
      <w:r>
        <w:rPr>
          <w:i/>
          <w:color w:val="010101"/>
          <w:spacing w:val="8"/>
          <w:sz w:val="16"/>
        </w:rPr>
        <w:t> </w:t>
      </w:r>
      <w:r>
        <w:rPr>
          <w:i/>
          <w:color w:val="010101"/>
          <w:w w:val="91"/>
          <w:sz w:val="21"/>
        </w:rPr>
        <w:t>dt</w:t>
      </w:r>
    </w:p>
    <w:p>
      <w:pPr>
        <w:spacing w:before="78"/>
        <w:ind w:left="496" w:right="0" w:firstLine="0"/>
        <w:jc w:val="left"/>
        <w:rPr>
          <w:i/>
          <w:sz w:val="24"/>
        </w:rPr>
      </w:pPr>
      <w:r>
        <w:rPr>
          <w:rFonts w:ascii="Arial"/>
          <w:color w:val="010101"/>
          <w:w w:val="112"/>
          <w:sz w:val="19"/>
        </w:rPr>
        <w:t>(</w:t>
      </w:r>
      <w:r>
        <w:rPr>
          <w:rFonts w:ascii="Arial"/>
          <w:color w:val="010101"/>
          <w:w w:val="112"/>
          <w:sz w:val="19"/>
        </w:rPr>
        <w:t>b</w:t>
      </w:r>
      <w:r>
        <w:rPr>
          <w:rFonts w:ascii="Arial"/>
          <w:color w:val="010101"/>
          <w:w w:val="112"/>
          <w:sz w:val="19"/>
        </w:rPr>
        <w:t>)</w:t>
      </w:r>
      <w:r>
        <w:rPr>
          <w:rFonts w:ascii="Arial"/>
          <w:color w:val="010101"/>
          <w:sz w:val="19"/>
        </w:rPr>
        <w:t> </w:t>
      </w:r>
      <w:r>
        <w:rPr>
          <w:rFonts w:ascii="Arial"/>
          <w:color w:val="010101"/>
          <w:spacing w:val="-13"/>
          <w:sz w:val="19"/>
        </w:rPr>
        <w:t> </w:t>
      </w:r>
      <w:r>
        <w:rPr>
          <w:b/>
          <w:color w:val="010101"/>
          <w:w w:val="37"/>
          <w:sz w:val="23"/>
        </w:rPr>
        <w:t>111</w:t>
      </w:r>
      <w:r>
        <w:rPr>
          <w:b/>
          <w:color w:val="010101"/>
          <w:spacing w:val="-2"/>
          <w:w w:val="37"/>
          <w:sz w:val="23"/>
        </w:rPr>
        <w:t>q</w:t>
      </w:r>
      <w:r>
        <w:rPr>
          <w:b/>
          <w:color w:val="010101"/>
          <w:spacing w:val="-59"/>
          <w:w w:val="168"/>
          <w:sz w:val="23"/>
        </w:rPr>
        <w:t>!</w:t>
      </w:r>
      <w:r>
        <w:rPr>
          <w:b/>
          <w:color w:val="010101"/>
          <w:w w:val="79"/>
          <w:sz w:val="23"/>
        </w:rPr>
        <w:t>,,,</w:t>
      </w:r>
      <w:r>
        <w:rPr>
          <w:b/>
          <w:color w:val="010101"/>
          <w:sz w:val="23"/>
        </w:rPr>
        <w:t> </w:t>
      </w:r>
      <w:r>
        <w:rPr>
          <w:b/>
          <w:color w:val="010101"/>
          <w:spacing w:val="-28"/>
          <w:sz w:val="23"/>
        </w:rPr>
        <w:t> </w:t>
      </w:r>
      <w:r>
        <w:rPr>
          <w:color w:val="010101"/>
          <w:w w:val="229"/>
          <w:sz w:val="23"/>
        </w:rPr>
        <w:t>-</w:t>
      </w:r>
      <w:r>
        <w:rPr>
          <w:color w:val="010101"/>
          <w:sz w:val="23"/>
        </w:rPr>
        <w:t>  </w:t>
      </w:r>
      <w:r>
        <w:rPr>
          <w:color w:val="010101"/>
          <w:spacing w:val="-18"/>
          <w:sz w:val="23"/>
        </w:rPr>
        <w:t> </w:t>
      </w:r>
      <w:r>
        <w:rPr>
          <w:i/>
          <w:color w:val="010101"/>
          <w:w w:val="91"/>
          <w:sz w:val="24"/>
        </w:rPr>
        <w:t>q.!_.</w:t>
      </w:r>
    </w:p>
    <w:p>
      <w:pPr>
        <w:spacing w:line="133" w:lineRule="exact" w:before="67"/>
        <w:ind w:left="207" w:right="0" w:firstLine="0"/>
        <w:jc w:val="left"/>
        <w:rPr>
          <w:sz w:val="20"/>
        </w:rPr>
      </w:pPr>
      <w:r>
        <w:rPr>
          <w:color w:val="010101"/>
          <w:w w:val="105"/>
          <w:sz w:val="21"/>
        </w:rPr>
        <w:t>6. Both are incorrect. Should </w:t>
      </w:r>
      <w:r>
        <w:rPr>
          <w:color w:val="010101"/>
          <w:w w:val="105"/>
          <w:sz w:val="20"/>
        </w:rPr>
        <w:t>be</w:t>
      </w:r>
    </w:p>
    <w:p>
      <w:pPr>
        <w:spacing w:after="0" w:line="133" w:lineRule="exact"/>
        <w:jc w:val="left"/>
        <w:rPr>
          <w:sz w:val="20"/>
        </w:rPr>
        <w:sectPr>
          <w:type w:val="continuous"/>
          <w:pgSz w:w="7200" w:h="11340"/>
          <w:pgMar w:top="1100" w:bottom="0" w:left="660" w:right="580"/>
        </w:sectPr>
      </w:pPr>
    </w:p>
    <w:p>
      <w:pPr>
        <w:spacing w:line="580" w:lineRule="exact" w:before="0"/>
        <w:ind w:left="1687" w:right="-16" w:firstLine="0"/>
        <w:jc w:val="left"/>
        <w:rPr>
          <w:rFonts w:ascii="Arial" w:hAnsi="Arial"/>
          <w:i/>
          <w:sz w:val="16"/>
        </w:rPr>
      </w:pPr>
      <w:r>
        <w:rPr>
          <w:rFonts w:ascii="Arial" w:hAnsi="Arial"/>
          <w:i/>
          <w:color w:val="010101"/>
          <w:spacing w:val="-152"/>
          <w:w w:val="82"/>
          <w:position w:val="-8"/>
          <w:sz w:val="52"/>
        </w:rPr>
        <w:t>1</w:t>
      </w:r>
      <w:r>
        <w:rPr>
          <w:rFonts w:ascii="Arial" w:hAnsi="Arial"/>
          <w:color w:val="010101"/>
          <w:spacing w:val="-3"/>
          <w:w w:val="70"/>
          <w:sz w:val="16"/>
        </w:rPr>
        <w:t>o</w:t>
      </w:r>
      <w:r>
        <w:rPr>
          <w:rFonts w:ascii="Arial" w:hAnsi="Arial"/>
          <w:i/>
          <w:color w:val="010101"/>
          <w:spacing w:val="29"/>
          <w:w w:val="69"/>
          <w:position w:val="14"/>
          <w:sz w:val="52"/>
        </w:rPr>
        <w:t>•</w:t>
      </w:r>
      <w:r>
        <w:rPr>
          <w:i/>
          <w:color w:val="010101"/>
          <w:spacing w:val="7"/>
          <w:w w:val="82"/>
          <w:sz w:val="16"/>
        </w:rPr>
        <w:t>V</w:t>
      </w:r>
      <w:r>
        <w:rPr>
          <w:color w:val="010101"/>
          <w:w w:val="56"/>
          <w:position w:val="14"/>
          <w:sz w:val="16"/>
        </w:rPr>
        <w:t>e</w:t>
      </w:r>
      <w:r>
        <w:rPr>
          <w:color w:val="010101"/>
          <w:spacing w:val="-20"/>
          <w:position w:val="14"/>
          <w:sz w:val="16"/>
        </w:rPr>
        <w:t> </w:t>
      </w:r>
      <w:r>
        <w:rPr>
          <w:color w:val="010101"/>
          <w:w w:val="74"/>
          <w:sz w:val="31"/>
        </w:rPr>
        <w:t>,P-,</w:t>
      </w:r>
      <w:r>
        <w:rPr>
          <w:color w:val="010101"/>
          <w:spacing w:val="-15"/>
          <w:w w:val="74"/>
          <w:sz w:val="31"/>
        </w:rPr>
        <w:t>,</w:t>
      </w:r>
      <w:r>
        <w:rPr>
          <w:color w:val="010101"/>
          <w:spacing w:val="6"/>
          <w:w w:val="157"/>
          <w:sz w:val="31"/>
        </w:rPr>
        <w:t>.</w:t>
      </w:r>
      <w:r>
        <w:rPr>
          <w:rFonts w:ascii="Arial" w:hAnsi="Arial"/>
          <w:i/>
          <w:color w:val="010101"/>
          <w:w w:val="85"/>
          <w:sz w:val="16"/>
        </w:rPr>
        <w:t>P.z+,</w:t>
      </w:r>
    </w:p>
    <w:p>
      <w:pPr>
        <w:pStyle w:val="BodyText"/>
        <w:spacing w:before="7"/>
        <w:rPr>
          <w:rFonts w:ascii="Arial"/>
          <w:i/>
          <w:sz w:val="23"/>
        </w:rPr>
      </w:pPr>
      <w:r>
        <w:rPr/>
        <w:br w:type="column"/>
      </w:r>
      <w:r>
        <w:rPr>
          <w:rFonts w:ascii="Arial"/>
          <w:i/>
          <w:sz w:val="23"/>
        </w:rPr>
      </w:r>
    </w:p>
    <w:p>
      <w:pPr>
        <w:spacing w:line="140" w:lineRule="exact" w:before="0"/>
        <w:ind w:left="94" w:right="0" w:firstLine="0"/>
        <w:jc w:val="left"/>
        <w:rPr>
          <w:sz w:val="13"/>
        </w:rPr>
      </w:pPr>
      <w:r>
        <w:rPr>
          <w:color w:val="010101"/>
          <w:w w:val="155"/>
          <w:sz w:val="16"/>
        </w:rPr>
        <w:t>- </w:t>
      </w:r>
      <w:r>
        <w:rPr>
          <w:color w:val="010101"/>
          <w:w w:val="155"/>
          <w:sz w:val="13"/>
        </w:rPr>
        <w:t>1</w:t>
      </w:r>
    </w:p>
    <w:p>
      <w:pPr>
        <w:spacing w:line="168" w:lineRule="exact" w:before="0"/>
        <w:ind w:left="34" w:right="0" w:firstLine="0"/>
        <w:jc w:val="left"/>
        <w:rPr>
          <w:i/>
          <w:sz w:val="21"/>
        </w:rPr>
      </w:pPr>
      <w:r>
        <w:rPr>
          <w:i/>
          <w:color w:val="010101"/>
          <w:sz w:val="16"/>
        </w:rPr>
        <w:t>A;:¡:;:z+l:l/+I  </w:t>
      </w:r>
      <w:r>
        <w:rPr>
          <w:i/>
          <w:color w:val="010101"/>
          <w:sz w:val="21"/>
        </w:rPr>
        <w:t>dt</w:t>
      </w:r>
    </w:p>
    <w:p>
      <w:pPr>
        <w:spacing w:after="0" w:line="168" w:lineRule="exact"/>
        <w:jc w:val="left"/>
        <w:rPr>
          <w:sz w:val="21"/>
        </w:rPr>
        <w:sectPr>
          <w:type w:val="continuous"/>
          <w:pgSz w:w="7200" w:h="11340"/>
          <w:pgMar w:top="1100" w:bottom="0" w:left="660" w:right="580"/>
          <w:cols w:num="2" w:equalWidth="0">
            <w:col w:w="2955" w:space="40"/>
            <w:col w:w="2965"/>
          </w:cols>
        </w:sectPr>
      </w:pPr>
    </w:p>
    <w:p>
      <w:pPr>
        <w:spacing w:line="422" w:lineRule="exact" w:before="0"/>
        <w:ind w:left="805" w:right="-17" w:firstLine="0"/>
        <w:jc w:val="left"/>
        <w:rPr>
          <w:rFonts w:ascii="Arial"/>
          <w:i/>
          <w:sz w:val="20"/>
        </w:rPr>
      </w:pPr>
      <w:r>
        <w:rPr>
          <w:color w:val="010101"/>
          <w:w w:val="100"/>
          <w:sz w:val="21"/>
        </w:rPr>
        <w:t>or</w:t>
      </w:r>
      <w:r>
        <w:rPr>
          <w:color w:val="010101"/>
          <w:spacing w:val="19"/>
          <w:sz w:val="21"/>
        </w:rPr>
        <w:t> </w:t>
      </w:r>
      <w:r>
        <w:rPr>
          <w:rFonts w:ascii="Arial"/>
          <w:i/>
          <w:color w:val="010101"/>
          <w:spacing w:val="-77"/>
          <w:w w:val="76"/>
          <w:position w:val="-9"/>
          <w:sz w:val="52"/>
        </w:rPr>
        <w:t>1</w:t>
      </w:r>
      <w:r>
        <w:rPr>
          <w:rFonts w:ascii="Arial"/>
          <w:i/>
          <w:color w:val="010101"/>
          <w:spacing w:val="29"/>
          <w:w w:val="144"/>
          <w:position w:val="15"/>
          <w:sz w:val="52"/>
        </w:rPr>
        <w:t>.</w:t>
      </w:r>
      <w:r>
        <w:rPr>
          <w:i/>
          <w:color w:val="010101"/>
          <w:w w:val="89"/>
          <w:position w:val="11"/>
          <w:sz w:val="11"/>
        </w:rPr>
        <w:t>1</w:t>
      </w:r>
      <w:r>
        <w:rPr>
          <w:i/>
          <w:color w:val="010101"/>
          <w:w w:val="94"/>
          <w:sz w:val="22"/>
        </w:rPr>
        <w:t>,q.</w:t>
      </w:r>
      <w:r>
        <w:rPr>
          <w:i/>
          <w:color w:val="010101"/>
          <w:spacing w:val="5"/>
          <w:sz w:val="22"/>
        </w:rPr>
        <w:t> </w:t>
      </w:r>
      <w:r>
        <w:rPr>
          <w:rFonts w:ascii="Arial"/>
          <w:i/>
          <w:color w:val="010101"/>
          <w:w w:val="83"/>
          <w:sz w:val="20"/>
        </w:rPr>
        <w:t>,ptfffl</w:t>
      </w:r>
    </w:p>
    <w:p>
      <w:pPr>
        <w:pStyle w:val="BodyText"/>
        <w:spacing w:before="4"/>
        <w:rPr>
          <w:rFonts w:ascii="Arial"/>
          <w:i/>
          <w:sz w:val="24"/>
        </w:rPr>
      </w:pPr>
      <w:r>
        <w:rPr/>
        <w:br w:type="column"/>
      </w:r>
      <w:r>
        <w:rPr>
          <w:rFonts w:ascii="Arial"/>
          <w:i/>
          <w:sz w:val="24"/>
        </w:rPr>
      </w:r>
    </w:p>
    <w:p>
      <w:pPr>
        <w:tabs>
          <w:tab w:pos="1296" w:val="left" w:leader="none"/>
        </w:tabs>
        <w:spacing w:line="142" w:lineRule="exact" w:before="0"/>
        <w:ind w:left="596" w:right="0" w:firstLine="0"/>
        <w:jc w:val="left"/>
        <w:rPr>
          <w:rFonts w:ascii="Arial"/>
          <w:sz w:val="31"/>
        </w:rPr>
      </w:pPr>
      <w:r>
        <w:rPr>
          <w:color w:val="010101"/>
          <w:w w:val="235"/>
          <w:sz w:val="11"/>
        </w:rPr>
        <w:t>-</w:t>
      </w:r>
      <w:r>
        <w:rPr>
          <w:color w:val="010101"/>
          <w:spacing w:val="22"/>
          <w:w w:val="235"/>
          <w:sz w:val="11"/>
        </w:rPr>
        <w:t> </w:t>
      </w:r>
      <w:r>
        <w:rPr>
          <w:rFonts w:ascii="Arial"/>
          <w:b/>
          <w:color w:val="010101"/>
          <w:w w:val="160"/>
          <w:sz w:val="12"/>
        </w:rPr>
        <w:t>1</w:t>
        <w:tab/>
      </w:r>
      <w:r>
        <w:rPr>
          <w:rFonts w:ascii="Arial"/>
          <w:color w:val="010101"/>
          <w:position w:val="-14"/>
          <w:sz w:val="31"/>
        </w:rPr>
        <w:t>+</w:t>
      </w:r>
    </w:p>
    <w:p>
      <w:pPr>
        <w:pStyle w:val="BodyText"/>
        <w:rPr>
          <w:rFonts w:ascii="Arial"/>
          <w:sz w:val="12"/>
        </w:rPr>
      </w:pPr>
      <w:r>
        <w:rPr/>
        <w:br w:type="column"/>
      </w:r>
      <w:r>
        <w:rPr>
          <w:rFonts w:ascii="Arial"/>
          <w:sz w:val="12"/>
        </w:rPr>
      </w:r>
    </w:p>
    <w:p>
      <w:pPr>
        <w:pStyle w:val="BodyText"/>
        <w:spacing w:before="9"/>
        <w:rPr>
          <w:rFonts w:ascii="Arial"/>
          <w:sz w:val="14"/>
        </w:rPr>
      </w:pPr>
    </w:p>
    <w:p>
      <w:pPr>
        <w:spacing w:line="104" w:lineRule="exact" w:before="1"/>
        <w:ind w:left="483" w:right="0" w:firstLine="0"/>
        <w:jc w:val="left"/>
        <w:rPr>
          <w:rFonts w:ascii="Arial"/>
          <w:b/>
          <w:sz w:val="12"/>
        </w:rPr>
      </w:pPr>
      <w:r>
        <w:rPr>
          <w:rFonts w:ascii="Arial"/>
          <w:color w:val="010101"/>
          <w:w w:val="185"/>
          <w:sz w:val="12"/>
        </w:rPr>
        <w:t>- </w:t>
      </w:r>
      <w:r>
        <w:rPr>
          <w:rFonts w:ascii="Arial"/>
          <w:b/>
          <w:color w:val="010101"/>
          <w:w w:val="160"/>
          <w:sz w:val="12"/>
        </w:rPr>
        <w:t>1</w:t>
      </w:r>
    </w:p>
    <w:p>
      <w:pPr>
        <w:spacing w:line="9" w:lineRule="exact" w:before="0"/>
        <w:ind w:left="1097" w:right="867" w:firstLine="0"/>
        <w:jc w:val="center"/>
        <w:rPr>
          <w:i/>
          <w:sz w:val="21"/>
        </w:rPr>
      </w:pPr>
      <w:r>
        <w:rPr>
          <w:color w:val="010101"/>
          <w:sz w:val="19"/>
        </w:rPr>
        <w:t>) </w:t>
      </w:r>
      <w:r>
        <w:rPr>
          <w:i/>
          <w:color w:val="010101"/>
          <w:sz w:val="21"/>
        </w:rPr>
        <w:t>dt</w:t>
      </w:r>
    </w:p>
    <w:p>
      <w:pPr>
        <w:spacing w:after="0" w:line="9" w:lineRule="exact"/>
        <w:jc w:val="center"/>
        <w:rPr>
          <w:sz w:val="21"/>
        </w:rPr>
        <w:sectPr>
          <w:type w:val="continuous"/>
          <w:pgSz w:w="7200" w:h="11340"/>
          <w:pgMar w:top="1100" w:bottom="0" w:left="660" w:right="580"/>
          <w:cols w:num="3" w:equalWidth="0">
            <w:col w:w="2119" w:space="40"/>
            <w:col w:w="1482" w:space="40"/>
            <w:col w:w="2279"/>
          </w:cols>
        </w:sectPr>
      </w:pPr>
    </w:p>
    <w:p>
      <w:pPr>
        <w:tabs>
          <w:tab w:pos="2214" w:val="left" w:leader="none"/>
          <w:tab w:pos="3701" w:val="left" w:leader="none"/>
        </w:tabs>
        <w:spacing w:line="194" w:lineRule="exact" w:before="0"/>
        <w:ind w:left="1140" w:right="0" w:firstLine="0"/>
        <w:jc w:val="left"/>
        <w:rPr>
          <w:sz w:val="19"/>
        </w:rPr>
      </w:pPr>
      <w:r>
        <w:rPr/>
        <w:pict>
          <v:line style="position:absolute;mso-position-horizontal-relative:page;mso-position-vertical-relative:paragraph;z-index:-706288" from="246.166pt,7.8235pt" to="249.0119pt,7.8235pt" stroked="true" strokeweight=".355731pt" strokecolor="#000000">
            <w10:wrap type="none"/>
          </v:line>
        </w:pict>
      </w:r>
      <w:r>
        <w:rPr>
          <w:rFonts w:ascii="Arial" w:hAnsi="Arial"/>
          <w:i/>
          <w:color w:val="010101"/>
          <w:sz w:val="16"/>
        </w:rPr>
        <w:t>o </w:t>
      </w:r>
      <w:r>
        <w:rPr>
          <w:rFonts w:ascii="Arial" w:hAnsi="Arial"/>
          <w:i/>
          <w:color w:val="010101"/>
          <w:spacing w:val="33"/>
          <w:sz w:val="16"/>
        </w:rPr>
        <w:t> </w:t>
      </w:r>
      <w:r>
        <w:rPr>
          <w:rFonts w:ascii="Arial" w:hAnsi="Arial"/>
          <w:i/>
          <w:color w:val="010101"/>
          <w:sz w:val="14"/>
        </w:rPr>
        <w:t>V</w:t>
        <w:tab/>
      </w:r>
      <w:r>
        <w:rPr>
          <w:i/>
          <w:color w:val="010101"/>
          <w:sz w:val="16"/>
        </w:rPr>
        <w:t>(</w:t>
      </w:r>
      <w:r>
        <w:rPr>
          <w:i/>
          <w:color w:val="010101"/>
          <w:spacing w:val="-27"/>
          <w:sz w:val="16"/>
        </w:rPr>
        <w:t> </w:t>
      </w:r>
      <w:r>
        <w:rPr>
          <w:i/>
          <w:color w:val="010101"/>
          <w:sz w:val="16"/>
        </w:rPr>
        <w:t>µz+,</w:t>
      </w:r>
      <w:r>
        <w:rPr>
          <w:i/>
          <w:color w:val="010101"/>
          <w:spacing w:val="-13"/>
          <w:sz w:val="16"/>
        </w:rPr>
        <w:t> </w:t>
      </w:r>
      <w:r>
        <w:rPr>
          <w:color w:val="010101"/>
          <w:sz w:val="19"/>
        </w:rPr>
        <w:t>A;:¡:¡:,,+C</w:t>
        <w:tab/>
      </w:r>
      <w:r>
        <w:rPr>
          <w:color w:val="010101"/>
          <w:sz w:val="14"/>
        </w:rPr>
        <w:t>l't,+c  </w:t>
      </w:r>
      <w:r>
        <w:rPr>
          <w:color w:val="010101"/>
          <w:sz w:val="19"/>
        </w:rPr>
        <w:t>A</w:t>
      </w:r>
      <w:r>
        <w:rPr>
          <w:color w:val="010101"/>
          <w:spacing w:val="-25"/>
          <w:sz w:val="19"/>
        </w:rPr>
        <w:t> </w:t>
      </w:r>
      <w:r>
        <w:rPr>
          <w:color w:val="010101"/>
          <w:sz w:val="19"/>
        </w:rPr>
        <w:t>v+c:z+,</w:t>
      </w:r>
    </w:p>
    <w:p>
      <w:pPr>
        <w:pStyle w:val="BodyText"/>
        <w:spacing w:before="11"/>
        <w:rPr>
          <w:sz w:val="11"/>
        </w:rPr>
      </w:pPr>
    </w:p>
    <w:p>
      <w:pPr>
        <w:spacing w:after="0"/>
        <w:rPr>
          <w:sz w:val="11"/>
        </w:rPr>
        <w:sectPr>
          <w:type w:val="continuous"/>
          <w:pgSz w:w="7200" w:h="11340"/>
          <w:pgMar w:top="1100" w:bottom="0" w:left="660" w:right="580"/>
        </w:sectPr>
      </w:pPr>
    </w:p>
    <w:p>
      <w:pPr>
        <w:tabs>
          <w:tab w:pos="1353" w:val="left" w:leader="none"/>
        </w:tabs>
        <w:spacing w:line="278" w:lineRule="exact" w:before="108"/>
        <w:ind w:left="207" w:right="0" w:firstLine="0"/>
        <w:jc w:val="center"/>
        <w:rPr>
          <w:sz w:val="20"/>
        </w:rPr>
      </w:pPr>
      <w:r>
        <w:rPr>
          <w:color w:val="010101"/>
          <w:w w:val="95"/>
          <w:sz w:val="22"/>
        </w:rPr>
        <w:t>7.</w:t>
      </w:r>
      <w:r>
        <w:rPr>
          <w:color w:val="010101"/>
          <w:spacing w:val="17"/>
          <w:w w:val="95"/>
          <w:sz w:val="22"/>
        </w:rPr>
        <w:t> </w:t>
      </w:r>
      <w:r>
        <w:rPr>
          <w:color w:val="010101"/>
          <w:w w:val="95"/>
          <w:sz w:val="26"/>
        </w:rPr>
        <w:t>2.A!</w:t>
      </w:r>
      <w:r>
        <w:rPr>
          <w:color w:val="010101"/>
          <w:spacing w:val="24"/>
          <w:w w:val="95"/>
          <w:sz w:val="26"/>
        </w:rPr>
        <w:t> </w:t>
      </w:r>
      <w:r>
        <w:rPr>
          <w:color w:val="010101"/>
          <w:w w:val="160"/>
          <w:sz w:val="26"/>
        </w:rPr>
        <w:t>.</w:t>
        <w:tab/>
      </w:r>
      <w:r>
        <w:rPr>
          <w:color w:val="010101"/>
          <w:w w:val="105"/>
          <w:position w:val="1"/>
          <w:sz w:val="20"/>
        </w:rPr>
        <w:t>or</w:t>
      </w:r>
    </w:p>
    <w:p>
      <w:pPr>
        <w:spacing w:line="129" w:lineRule="exact" w:before="0"/>
        <w:ind w:left="262" w:right="0" w:firstLine="0"/>
        <w:jc w:val="center"/>
        <w:rPr>
          <w:sz w:val="13"/>
        </w:rPr>
      </w:pPr>
      <w:r>
        <w:rPr>
          <w:color w:val="010101"/>
          <w:w w:val="123"/>
          <w:sz w:val="13"/>
        </w:rPr>
        <w:t>1</w:t>
      </w:r>
    </w:p>
    <w:p>
      <w:pPr>
        <w:pStyle w:val="BodyText"/>
        <w:spacing w:before="5"/>
        <w:rPr>
          <w:sz w:val="9"/>
        </w:rPr>
      </w:pPr>
    </w:p>
    <w:p>
      <w:pPr>
        <w:spacing w:before="0"/>
        <w:ind w:left="197" w:right="0" w:firstLine="0"/>
        <w:jc w:val="left"/>
        <w:rPr>
          <w:sz w:val="19"/>
        </w:rPr>
      </w:pPr>
      <w:r>
        <w:rPr>
          <w:color w:val="010101"/>
          <w:w w:val="120"/>
          <w:sz w:val="21"/>
        </w:rPr>
        <w:t>8.  </w:t>
      </w:r>
      <w:r>
        <w:rPr>
          <w:rFonts w:ascii="Arial"/>
          <w:color w:val="010101"/>
          <w:w w:val="120"/>
          <w:sz w:val="19"/>
        </w:rPr>
        <w:t>(a) </w:t>
      </w:r>
      <w:r>
        <w:rPr>
          <w:color w:val="010101"/>
          <w:w w:val="120"/>
          <w:sz w:val="19"/>
        </w:rPr>
        <w:t>4.,</w:t>
      </w:r>
    </w:p>
    <w:p>
      <w:pPr>
        <w:spacing w:before="94"/>
        <w:ind w:left="132" w:right="0" w:firstLine="0"/>
        <w:jc w:val="center"/>
        <w:rPr>
          <w:sz w:val="23"/>
        </w:rPr>
      </w:pPr>
      <w:r>
        <w:rPr>
          <w:color w:val="010101"/>
          <w:sz w:val="20"/>
        </w:rPr>
        <w:t>(b) </w:t>
      </w:r>
      <w:r>
        <w:rPr>
          <w:color w:val="010101"/>
          <w:sz w:val="23"/>
        </w:rPr>
        <w:t>d.,.,,</w:t>
      </w:r>
    </w:p>
    <w:p>
      <w:pPr>
        <w:spacing w:line="249" w:lineRule="exact" w:before="122"/>
        <w:ind w:left="197" w:right="0" w:firstLine="0"/>
        <w:jc w:val="left"/>
        <w:rPr>
          <w:i/>
          <w:sz w:val="23"/>
        </w:rPr>
      </w:pPr>
      <w:r>
        <w:rPr/>
        <w:br w:type="column"/>
      </w:r>
      <w:r>
        <w:rPr>
          <w:i/>
          <w:color w:val="010101"/>
          <w:w w:val="110"/>
          <w:sz w:val="23"/>
        </w:rPr>
        <w:t>A;;.,</w:t>
      </w:r>
    </w:p>
    <w:p>
      <w:pPr>
        <w:spacing w:line="134" w:lineRule="exact" w:before="0"/>
        <w:ind w:left="478" w:right="0" w:firstLine="0"/>
        <w:jc w:val="left"/>
        <w:rPr>
          <w:sz w:val="13"/>
        </w:rPr>
      </w:pPr>
      <w:r>
        <w:rPr/>
        <w:pict>
          <v:shape style="position:absolute;margin-left:133.3992pt;margin-top:-13.548227pt;width:10.9pt;height:6pt;mso-position-horizontal-relative:page;mso-position-vertical-relative:paragraph;z-index:-706216" type="#_x0000_t202" filled="false" stroked="false">
            <v:textbox inset="0,0,0,0">
              <w:txbxContent>
                <w:p>
                  <w:pPr>
                    <w:spacing w:line="120" w:lineRule="exact" w:before="0"/>
                    <w:ind w:left="0" w:right="-20" w:firstLine="0"/>
                    <w:jc w:val="left"/>
                    <w:rPr>
                      <w:rFonts w:ascii="Arial"/>
                      <w:b/>
                      <w:sz w:val="12"/>
                    </w:rPr>
                  </w:pPr>
                  <w:r>
                    <w:rPr>
                      <w:rFonts w:ascii="Arial"/>
                      <w:b/>
                      <w:color w:val="010101"/>
                      <w:w w:val="190"/>
                      <w:sz w:val="12"/>
                    </w:rPr>
                    <w:t>-</w:t>
                  </w:r>
                  <w:r>
                    <w:rPr>
                      <w:rFonts w:ascii="Arial"/>
                      <w:b/>
                      <w:color w:val="010101"/>
                      <w:spacing w:val="-29"/>
                      <w:w w:val="190"/>
                      <w:sz w:val="12"/>
                    </w:rPr>
                    <w:t> </w:t>
                  </w:r>
                  <w:r>
                    <w:rPr>
                      <w:rFonts w:ascii="Arial"/>
                      <w:b/>
                      <w:color w:val="010101"/>
                      <w:w w:val="160"/>
                      <w:sz w:val="12"/>
                    </w:rPr>
                    <w:t>1</w:t>
                  </w:r>
                </w:p>
              </w:txbxContent>
            </v:textbox>
            <w10:wrap type="none"/>
          </v:shape>
        </w:pict>
      </w:r>
      <w:r>
        <w:rPr>
          <w:color w:val="010101"/>
          <w:w w:val="144"/>
          <w:sz w:val="13"/>
        </w:rPr>
        <w:t>1</w:t>
      </w:r>
    </w:p>
    <w:p>
      <w:pPr>
        <w:spacing w:after="0" w:line="134" w:lineRule="exact"/>
        <w:jc w:val="left"/>
        <w:rPr>
          <w:sz w:val="13"/>
        </w:rPr>
        <w:sectPr>
          <w:type w:val="continuous"/>
          <w:pgSz w:w="7200" w:h="11340"/>
          <w:pgMar w:top="1100" w:bottom="0" w:left="660" w:right="580"/>
          <w:cols w:num="2" w:equalWidth="0">
            <w:col w:w="1536" w:space="204"/>
            <w:col w:w="4220"/>
          </w:cols>
        </w:sectPr>
      </w:pPr>
    </w:p>
    <w:p>
      <w:pPr>
        <w:pStyle w:val="BodyText"/>
        <w:spacing w:before="6"/>
        <w:rPr>
          <w:sz w:val="15"/>
        </w:rPr>
      </w:pPr>
    </w:p>
    <w:p>
      <w:pPr>
        <w:tabs>
          <w:tab w:pos="3231" w:val="left" w:leader="none"/>
        </w:tabs>
        <w:spacing w:before="73"/>
        <w:ind w:left="211" w:right="0" w:firstLine="0"/>
        <w:jc w:val="left"/>
        <w:rPr>
          <w:i/>
          <w:sz w:val="21"/>
        </w:rPr>
      </w:pPr>
      <w:r>
        <w:rPr>
          <w:color w:val="010101"/>
          <w:w w:val="93"/>
          <w:sz w:val="21"/>
        </w:rPr>
        <w:t>9.</w:t>
      </w:r>
      <w:r>
        <w:rPr>
          <w:color w:val="010101"/>
          <w:sz w:val="21"/>
        </w:rPr>
        <w:t> </w:t>
      </w:r>
      <w:r>
        <w:rPr>
          <w:color w:val="010101"/>
          <w:spacing w:val="-17"/>
          <w:sz w:val="21"/>
        </w:rPr>
        <w:t> </w:t>
      </w:r>
      <w:r>
        <w:rPr>
          <w:rFonts w:ascii="Arial" w:hAnsi="Arial"/>
          <w:color w:val="010101"/>
          <w:w w:val="115"/>
          <w:sz w:val="19"/>
        </w:rPr>
        <w:t>(</w:t>
      </w:r>
      <w:r>
        <w:rPr>
          <w:rFonts w:ascii="Arial" w:hAnsi="Arial"/>
          <w:color w:val="010101"/>
          <w:w w:val="115"/>
          <w:sz w:val="19"/>
        </w:rPr>
        <w:t>a</w:t>
      </w:r>
      <w:r>
        <w:rPr>
          <w:rFonts w:ascii="Arial" w:hAnsi="Arial"/>
          <w:color w:val="010101"/>
          <w:w w:val="115"/>
          <w:sz w:val="19"/>
        </w:rPr>
        <w:t>)</w:t>
      </w:r>
      <w:r>
        <w:rPr>
          <w:rFonts w:ascii="Arial" w:hAnsi="Arial"/>
          <w:color w:val="010101"/>
          <w:sz w:val="19"/>
        </w:rPr>
        <w:t> </w:t>
      </w:r>
      <w:r>
        <w:rPr>
          <w:rFonts w:ascii="Arial" w:hAnsi="Arial"/>
          <w:color w:val="010101"/>
          <w:spacing w:val="2"/>
          <w:sz w:val="19"/>
        </w:rPr>
        <w:t> </w:t>
      </w:r>
      <w:r>
        <w:rPr>
          <w:rFonts w:ascii="Arial" w:hAnsi="Arial"/>
          <w:i/>
          <w:color w:val="010101"/>
          <w:w w:val="236"/>
          <w:sz w:val="19"/>
        </w:rPr>
        <w:t>{'</w:t>
      </w:r>
      <w:r>
        <w:rPr>
          <w:rFonts w:ascii="Arial" w:hAnsi="Arial"/>
          <w:i/>
          <w:color w:val="010101"/>
          <w:sz w:val="19"/>
        </w:rPr>
        <w:t> </w:t>
      </w:r>
      <w:r>
        <w:rPr>
          <w:rFonts w:ascii="Arial" w:hAnsi="Arial"/>
          <w:i/>
          <w:color w:val="010101"/>
          <w:spacing w:val="-14"/>
          <w:sz w:val="19"/>
        </w:rPr>
        <w:t> </w:t>
      </w:r>
      <w:r>
        <w:rPr>
          <w:color w:val="010101"/>
          <w:w w:val="114"/>
          <w:sz w:val="19"/>
        </w:rPr>
        <w:t>(1</w:t>
      </w:r>
      <w:r>
        <w:rPr>
          <w:color w:val="010101"/>
          <w:sz w:val="19"/>
        </w:rPr>
        <w:t> </w:t>
      </w:r>
      <w:r>
        <w:rPr>
          <w:color w:val="010101"/>
          <w:spacing w:val="-7"/>
          <w:sz w:val="19"/>
        </w:rPr>
        <w:t> </w:t>
      </w:r>
      <w:r>
        <w:rPr>
          <w:color w:val="010101"/>
          <w:w w:val="293"/>
          <w:sz w:val="19"/>
        </w:rPr>
        <w:t>-</w:t>
      </w:r>
      <w:r>
        <w:rPr>
          <w:color w:val="010101"/>
          <w:spacing w:val="11"/>
          <w:sz w:val="19"/>
        </w:rPr>
        <w:t> </w:t>
      </w:r>
      <w:r>
        <w:rPr>
          <w:color w:val="010101"/>
          <w:w w:val="104"/>
          <w:sz w:val="20"/>
        </w:rPr>
        <w:t>,p..),p,,</w:t>
      </w:r>
      <w:r>
        <w:rPr>
          <w:color w:val="010101"/>
          <w:spacing w:val="-9"/>
          <w:w w:val="104"/>
          <w:sz w:val="20"/>
        </w:rPr>
        <w:t>.</w:t>
      </w:r>
      <w:r>
        <w:rPr>
          <w:color w:val="010101"/>
          <w:spacing w:val="6"/>
          <w:w w:val="229"/>
          <w:sz w:val="20"/>
        </w:rPr>
        <w:t>.</w:t>
      </w:r>
      <w:r>
        <w:rPr>
          <w:color w:val="010101"/>
          <w:w w:val="78"/>
          <w:sz w:val="17"/>
        </w:rPr>
        <w:t>1o1s+,·</w:t>
      </w:r>
      <w:r>
        <w:rPr>
          <w:color w:val="010101"/>
          <w:sz w:val="17"/>
        </w:rPr>
        <w:tab/>
      </w:r>
      <w:r>
        <w:rPr>
          <w:color w:val="010101"/>
          <w:spacing w:val="-27"/>
          <w:w w:val="131"/>
          <w:sz w:val="17"/>
        </w:rPr>
        <w:t>:</w:t>
      </w:r>
      <w:r>
        <w:rPr>
          <w:color w:val="010101"/>
          <w:spacing w:val="-32"/>
          <w:w w:val="199"/>
          <w:sz w:val="17"/>
        </w:rPr>
        <w:t>,</w:t>
      </w:r>
      <w:r>
        <w:rPr>
          <w:color w:val="010101"/>
          <w:w w:val="92"/>
          <w:sz w:val="17"/>
        </w:rPr>
        <w:t>+1</w:t>
      </w:r>
      <w:r>
        <w:rPr>
          <w:color w:val="010101"/>
          <w:spacing w:val="-1"/>
          <w:sz w:val="17"/>
        </w:rPr>
        <w:t> </w:t>
      </w:r>
      <w:r>
        <w:rPr>
          <w:i/>
          <w:color w:val="010101"/>
          <w:w w:val="88"/>
          <w:sz w:val="21"/>
        </w:rPr>
        <w:t>dt</w:t>
      </w:r>
    </w:p>
    <w:p>
      <w:pPr>
        <w:spacing w:before="169"/>
        <w:ind w:left="428" w:right="0" w:firstLine="0"/>
        <w:jc w:val="left"/>
        <w:rPr>
          <w:sz w:val="22"/>
        </w:rPr>
      </w:pPr>
      <w:r>
        <w:rPr>
          <w:rFonts w:ascii="Arial" w:hAnsi="Arial"/>
          <w:color w:val="010101"/>
          <w:spacing w:val="-1"/>
          <w:w w:val="124"/>
          <w:sz w:val="19"/>
        </w:rPr>
        <w:t>(</w:t>
      </w:r>
      <w:r>
        <w:rPr>
          <w:rFonts w:ascii="Arial" w:hAnsi="Arial"/>
          <w:color w:val="010101"/>
          <w:w w:val="125"/>
          <w:sz w:val="19"/>
        </w:rPr>
        <w:t>b</w:t>
      </w:r>
      <w:r>
        <w:rPr>
          <w:rFonts w:ascii="Arial" w:hAnsi="Arial"/>
          <w:color w:val="010101"/>
          <w:w w:val="125"/>
          <w:sz w:val="19"/>
        </w:rPr>
        <w:t>)</w:t>
      </w:r>
      <w:r>
        <w:rPr>
          <w:rFonts w:ascii="Arial" w:hAnsi="Arial"/>
          <w:color w:val="010101"/>
          <w:sz w:val="19"/>
        </w:rPr>
        <w:t> </w:t>
      </w:r>
      <w:r>
        <w:rPr>
          <w:rFonts w:ascii="Arial" w:hAnsi="Arial"/>
          <w:color w:val="010101"/>
          <w:spacing w:val="1"/>
          <w:sz w:val="19"/>
        </w:rPr>
        <w:t> </w:t>
      </w:r>
      <w:r>
        <w:rPr>
          <w:color w:val="010101"/>
          <w:w w:val="146"/>
          <w:sz w:val="20"/>
        </w:rPr>
        <w:t>(</w:t>
      </w:r>
      <w:r>
        <w:rPr>
          <w:color w:val="010101"/>
          <w:w w:val="146"/>
          <w:sz w:val="20"/>
        </w:rPr>
        <w:t>l</w:t>
      </w:r>
      <w:r>
        <w:rPr>
          <w:color w:val="010101"/>
          <w:sz w:val="20"/>
        </w:rPr>
        <w:t> </w:t>
      </w:r>
      <w:r>
        <w:rPr>
          <w:color w:val="010101"/>
          <w:spacing w:val="-9"/>
          <w:sz w:val="20"/>
        </w:rPr>
        <w:t> </w:t>
      </w:r>
      <w:r>
        <w:rPr>
          <w:color w:val="010101"/>
          <w:w w:val="278"/>
          <w:sz w:val="20"/>
        </w:rPr>
        <w:t>-</w:t>
      </w:r>
      <w:r>
        <w:rPr>
          <w:color w:val="010101"/>
          <w:spacing w:val="-9"/>
          <w:sz w:val="20"/>
        </w:rPr>
        <w:t> </w:t>
      </w:r>
      <w:r>
        <w:rPr>
          <w:color w:val="010101"/>
          <w:w w:val="109"/>
          <w:sz w:val="20"/>
        </w:rPr>
        <w:t>¡.p,.)</w:t>
      </w:r>
      <w:r>
        <w:rPr>
          <w:color w:val="010101"/>
          <w:spacing w:val="-55"/>
          <w:w w:val="109"/>
          <w:sz w:val="20"/>
        </w:rPr>
        <w:t>,</w:t>
      </w:r>
      <w:r>
        <w:rPr>
          <w:color w:val="010101"/>
          <w:spacing w:val="-78"/>
          <w:w w:val="217"/>
          <w:sz w:val="20"/>
        </w:rPr>
        <w:t>,</w:t>
      </w:r>
      <w:r>
        <w:rPr>
          <w:color w:val="010101"/>
          <w:spacing w:val="-7"/>
          <w:w w:val="127"/>
          <w:sz w:val="20"/>
        </w:rPr>
        <w:t>p</w:t>
      </w:r>
      <w:r>
        <w:rPr>
          <w:color w:val="010101"/>
          <w:w w:val="177"/>
          <w:sz w:val="20"/>
        </w:rPr>
        <w:t>.</w:t>
      </w:r>
      <w:r>
        <w:rPr>
          <w:color w:val="010101"/>
          <w:spacing w:val="-49"/>
          <w:w w:val="177"/>
          <w:sz w:val="20"/>
        </w:rPr>
        <w:t>.</w:t>
      </w:r>
      <w:r>
        <w:rPr>
          <w:color w:val="010101"/>
          <w:spacing w:val="17"/>
          <w:w w:val="193"/>
          <w:sz w:val="20"/>
        </w:rPr>
        <w:t>,</w:t>
      </w:r>
      <w:r>
        <w:rPr>
          <w:color w:val="010101"/>
          <w:spacing w:val="-48"/>
          <w:w w:val="262"/>
          <w:sz w:val="20"/>
        </w:rPr>
        <w:t>[</w:t>
      </w:r>
      <w:r>
        <w:rPr>
          <w:rFonts w:ascii="Arial" w:hAnsi="Arial"/>
          <w:i/>
          <w:color w:val="010101"/>
          <w:w w:val="49"/>
          <w:sz w:val="42"/>
        </w:rPr>
        <w:t>J.'</w:t>
      </w:r>
      <w:r>
        <w:rPr>
          <w:rFonts w:ascii="Arial" w:hAnsi="Arial"/>
          <w:i/>
          <w:color w:val="010101"/>
          <w:spacing w:val="-29"/>
          <w:sz w:val="42"/>
        </w:rPr>
        <w:t> </w:t>
      </w:r>
      <w:r>
        <w:rPr>
          <w:rFonts w:ascii="Arial" w:hAnsi="Arial"/>
          <w:color w:val="010101"/>
          <w:spacing w:val="15"/>
          <w:w w:val="54"/>
          <w:sz w:val="42"/>
        </w:rPr>
        <w:t>(</w:t>
      </w:r>
      <w:r>
        <w:rPr>
          <w:rFonts w:ascii="Arial" w:hAnsi="Arial"/>
          <w:color w:val="010101"/>
          <w:w w:val="139"/>
          <w:sz w:val="19"/>
        </w:rPr>
        <w:t>1</w:t>
      </w:r>
      <w:r>
        <w:rPr>
          <w:rFonts w:ascii="Arial" w:hAnsi="Arial"/>
          <w:color w:val="010101"/>
          <w:spacing w:val="-23"/>
          <w:sz w:val="19"/>
        </w:rPr>
        <w:t> </w:t>
      </w:r>
      <w:r>
        <w:rPr>
          <w:rFonts w:ascii="Arial" w:hAnsi="Arial"/>
          <w:color w:val="010101"/>
          <w:w w:val="272"/>
          <w:sz w:val="19"/>
        </w:rPr>
        <w:t>-</w:t>
      </w:r>
      <w:r>
        <w:rPr>
          <w:rFonts w:ascii="Arial" w:hAnsi="Arial"/>
          <w:color w:val="010101"/>
          <w:spacing w:val="23"/>
          <w:sz w:val="19"/>
        </w:rPr>
        <w:t> </w:t>
      </w:r>
      <w:r>
        <w:rPr>
          <w:color w:val="010101"/>
          <w:spacing w:val="-30"/>
          <w:w w:val="131"/>
          <w:sz w:val="22"/>
        </w:rPr>
        <w:t>,</w:t>
      </w:r>
      <w:r>
        <w:rPr>
          <w:color w:val="010101"/>
          <w:w w:val="111"/>
          <w:sz w:val="22"/>
        </w:rPr>
        <w:t>P</w:t>
      </w:r>
      <w:r>
        <w:rPr>
          <w:color w:val="010101"/>
          <w:spacing w:val="-7"/>
          <w:w w:val="111"/>
          <w:sz w:val="22"/>
        </w:rPr>
        <w:t>,</w:t>
      </w:r>
      <w:r>
        <w:rPr>
          <w:color w:val="010101"/>
          <w:w w:val="83"/>
          <w:sz w:val="22"/>
        </w:rPr>
        <w:t>+10l,P.</w:t>
      </w:r>
      <w:r>
        <w:rPr>
          <w:color w:val="010101"/>
          <w:spacing w:val="8"/>
          <w:w w:val="83"/>
          <w:sz w:val="22"/>
        </w:rPr>
        <w:t>+</w:t>
      </w:r>
      <w:r>
        <w:rPr>
          <w:color w:val="010101"/>
          <w:w w:val="70"/>
          <w:sz w:val="22"/>
        </w:rPr>
        <w:t>11</w:t>
      </w:r>
      <w:r>
        <w:rPr>
          <w:color w:val="010101"/>
          <w:spacing w:val="-32"/>
          <w:sz w:val="22"/>
        </w:rPr>
        <w:t> </w:t>
      </w:r>
      <w:r>
        <w:rPr>
          <w:color w:val="010101"/>
          <w:w w:val="78"/>
          <w:sz w:val="22"/>
        </w:rPr>
        <w:t>,._....,..,</w:t>
      </w:r>
    </w:p>
    <w:p>
      <w:pPr>
        <w:spacing w:before="207"/>
        <w:ind w:left="106" w:right="131" w:firstLine="0"/>
        <w:jc w:val="center"/>
        <w:rPr>
          <w:rFonts w:ascii="Arial"/>
          <w:i/>
          <w:sz w:val="20"/>
        </w:rPr>
      </w:pPr>
      <w:r>
        <w:rPr>
          <w:color w:val="010101"/>
          <w:spacing w:val="-4"/>
          <w:w w:val="155"/>
          <w:sz w:val="13"/>
        </w:rPr>
        <w:t>(,P,+10 </w:t>
      </w:r>
      <w:r>
        <w:rPr>
          <w:color w:val="010101"/>
          <w:w w:val="330"/>
          <w:sz w:val="13"/>
        </w:rPr>
        <w:t>-</w:t>
      </w:r>
      <w:r>
        <w:rPr>
          <w:color w:val="010101"/>
          <w:spacing w:val="-81"/>
          <w:w w:val="330"/>
          <w:sz w:val="13"/>
        </w:rPr>
        <w:t> </w:t>
      </w:r>
      <w:r>
        <w:rPr>
          <w:color w:val="010101"/>
          <w:sz w:val="20"/>
        </w:rPr>
        <w:t>c+IP,+10) </w:t>
      </w:r>
      <w:r>
        <w:rPr>
          <w:rFonts w:ascii="Arial"/>
          <w:i/>
          <w:color w:val="010101"/>
          <w:sz w:val="20"/>
        </w:rPr>
        <w:t>dt</w:t>
      </w:r>
    </w:p>
    <w:p>
      <w:pPr>
        <w:spacing w:after="0"/>
        <w:jc w:val="center"/>
        <w:rPr>
          <w:rFonts w:ascii="Arial"/>
          <w:sz w:val="20"/>
        </w:rPr>
        <w:sectPr>
          <w:type w:val="continuous"/>
          <w:pgSz w:w="7200" w:h="11340"/>
          <w:pgMar w:top="1100" w:bottom="0" w:left="660" w:right="580"/>
        </w:sectPr>
      </w:pPr>
    </w:p>
    <w:p>
      <w:pPr>
        <w:tabs>
          <w:tab w:pos="2605" w:val="left" w:leader="none"/>
          <w:tab w:pos="5876" w:val="right" w:leader="none"/>
        </w:tabs>
        <w:spacing w:before="46"/>
        <w:ind w:left="121" w:right="0" w:firstLine="0"/>
        <w:jc w:val="left"/>
        <w:rPr>
          <w:rFonts w:ascii="Arial"/>
          <w:sz w:val="21"/>
        </w:rPr>
      </w:pPr>
      <w:r>
        <w:rPr>
          <w:w w:val="105"/>
          <w:position w:val="1"/>
          <w:sz w:val="15"/>
        </w:rPr>
        <w:t>CH.  </w:t>
      </w:r>
      <w:r>
        <w:rPr>
          <w:spacing w:val="14"/>
          <w:w w:val="105"/>
          <w:position w:val="1"/>
          <w:sz w:val="15"/>
        </w:rPr>
        <w:t> </w:t>
      </w:r>
      <w:r>
        <w:rPr>
          <w:spacing w:val="-12"/>
          <w:w w:val="105"/>
          <w:position w:val="1"/>
          <w:sz w:val="18"/>
        </w:rPr>
        <w:t>13)</w:t>
        <w:tab/>
      </w:r>
      <w:r>
        <w:rPr>
          <w:b/>
          <w:w w:val="105"/>
          <w:position w:val="1"/>
          <w:sz w:val="15"/>
        </w:rPr>
        <w:t>ANSWERS</w:t>
      </w:r>
      <w:r>
        <w:rPr>
          <w:rFonts w:ascii="Arial"/>
          <w:w w:val="105"/>
          <w:sz w:val="21"/>
        </w:rPr>
        <w:tab/>
        <w:t>367</w:t>
      </w:r>
    </w:p>
    <w:p>
      <w:pPr>
        <w:spacing w:after="0"/>
        <w:jc w:val="left"/>
        <w:rPr>
          <w:rFonts w:ascii="Arial"/>
          <w:sz w:val="21"/>
        </w:rPr>
        <w:sectPr>
          <w:pgSz w:w="7200" w:h="11340"/>
          <w:pgMar w:top="520" w:bottom="280" w:left="660" w:right="560"/>
        </w:sectPr>
      </w:pPr>
    </w:p>
    <w:p>
      <w:pPr>
        <w:pStyle w:val="BodyText"/>
        <w:rPr>
          <w:rFonts w:ascii="Arial"/>
        </w:rPr>
      </w:pPr>
    </w:p>
    <w:p>
      <w:pPr>
        <w:pStyle w:val="BodyText"/>
        <w:rPr>
          <w:rFonts w:ascii="Arial"/>
        </w:rPr>
      </w:pPr>
    </w:p>
    <w:p>
      <w:pPr>
        <w:pStyle w:val="BodyText"/>
        <w:rPr>
          <w:rFonts w:ascii="Arial"/>
        </w:rPr>
      </w:pPr>
    </w:p>
    <w:p>
      <w:pPr>
        <w:pStyle w:val="BodyText"/>
        <w:spacing w:before="2"/>
        <w:rPr>
          <w:rFonts w:ascii="Arial"/>
          <w:sz w:val="28"/>
        </w:rPr>
      </w:pPr>
    </w:p>
    <w:p>
      <w:pPr>
        <w:spacing w:before="0"/>
        <w:ind w:left="132" w:right="-20" w:firstLine="0"/>
        <w:jc w:val="left"/>
        <w:rPr>
          <w:rFonts w:ascii="Arial"/>
          <w:sz w:val="19"/>
        </w:rPr>
      </w:pPr>
      <w:r>
        <w:rPr>
          <w:w w:val="115"/>
          <w:sz w:val="20"/>
        </w:rPr>
        <w:t>10.</w:t>
      </w:r>
      <w:r>
        <w:rPr>
          <w:spacing w:val="-9"/>
          <w:w w:val="115"/>
          <w:sz w:val="20"/>
        </w:rPr>
        <w:t> </w:t>
      </w:r>
      <w:r>
        <w:rPr>
          <w:rFonts w:ascii="Arial"/>
          <w:w w:val="115"/>
          <w:sz w:val="19"/>
        </w:rPr>
        <w:t>(a)</w:t>
      </w:r>
    </w:p>
    <w:p>
      <w:pPr>
        <w:pStyle w:val="BodyText"/>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spacing w:before="3"/>
        <w:rPr>
          <w:rFonts w:ascii="Arial"/>
          <w:sz w:val="15"/>
        </w:rPr>
      </w:pPr>
    </w:p>
    <w:p>
      <w:pPr>
        <w:spacing w:line="213" w:lineRule="exact" w:before="0"/>
        <w:ind w:left="234" w:right="0" w:firstLine="0"/>
        <w:jc w:val="left"/>
        <w:rPr>
          <w:b/>
          <w:i/>
          <w:sz w:val="19"/>
        </w:rPr>
      </w:pPr>
      <w:r>
        <w:rPr/>
        <w:drawing>
          <wp:anchor distT="0" distB="0" distL="0" distR="0" allowOverlap="1" layoutInCell="1" locked="0" behindDoc="0" simplePos="0" relativeHeight="29968">
            <wp:simplePos x="0" y="0"/>
            <wp:positionH relativeFrom="page">
              <wp:posOffset>877824</wp:posOffset>
            </wp:positionH>
            <wp:positionV relativeFrom="paragraph">
              <wp:posOffset>-360563</wp:posOffset>
            </wp:positionV>
            <wp:extent cx="3273552" cy="320039"/>
            <wp:effectExtent l="0" t="0" r="0" b="0"/>
            <wp:wrapNone/>
            <wp:docPr id="869" name="image445.png" descr=""/>
            <wp:cNvGraphicFramePr>
              <a:graphicFrameLocks noChangeAspect="1"/>
            </wp:cNvGraphicFramePr>
            <a:graphic>
              <a:graphicData uri="http://schemas.openxmlformats.org/drawingml/2006/picture">
                <pic:pic>
                  <pic:nvPicPr>
                    <pic:cNvPr id="870" name="image445.png"/>
                    <pic:cNvPicPr/>
                  </pic:nvPicPr>
                  <pic:blipFill>
                    <a:blip r:embed="rId449" cstate="print"/>
                    <a:stretch>
                      <a:fillRect/>
                    </a:stretch>
                  </pic:blipFill>
                  <pic:spPr>
                    <a:xfrm>
                      <a:off x="0" y="0"/>
                      <a:ext cx="3273552" cy="320039"/>
                    </a:xfrm>
                    <a:prstGeom prst="rect">
                      <a:avLst/>
                    </a:prstGeom>
                  </pic:spPr>
                </pic:pic>
              </a:graphicData>
            </a:graphic>
          </wp:anchor>
        </w:drawing>
      </w:r>
      <w:r>
        <w:rPr>
          <w:b/>
          <w:i/>
          <w:w w:val="80"/>
          <w:sz w:val="19"/>
        </w:rPr>
        <w:t>ao</w:t>
      </w:r>
    </w:p>
    <w:p>
      <w:pPr>
        <w:spacing w:line="350" w:lineRule="exact" w:before="0"/>
        <w:ind w:left="162" w:right="0" w:firstLine="0"/>
        <w:jc w:val="left"/>
        <w:rPr>
          <w:i/>
          <w:sz w:val="19"/>
        </w:rPr>
      </w:pPr>
      <w:r>
        <w:rPr/>
        <w:pict>
          <v:shape style="position:absolute;margin-left:75.599998pt;margin-top:-6.844285pt;width:4.45pt;height:26pt;mso-position-horizontal-relative:page;mso-position-vertical-relative:paragraph;z-index:-706072" type="#_x0000_t202" filled="false" stroked="false">
            <v:textbox inset="0,0,0,0">
              <w:txbxContent>
                <w:p>
                  <w:pPr>
                    <w:spacing w:line="520" w:lineRule="exact" w:before="0"/>
                    <w:ind w:left="0" w:right="0" w:firstLine="0"/>
                    <w:jc w:val="left"/>
                    <w:rPr>
                      <w:rFonts w:ascii="Arial"/>
                      <w:b/>
                      <w:i/>
                      <w:sz w:val="52"/>
                    </w:rPr>
                  </w:pPr>
                  <w:r>
                    <w:rPr>
                      <w:rFonts w:ascii="Arial"/>
                      <w:b/>
                      <w:i/>
                      <w:spacing w:val="-50"/>
                      <w:w w:val="95"/>
                      <w:sz w:val="52"/>
                    </w:rPr>
                    <w:t>l</w:t>
                  </w:r>
                </w:p>
              </w:txbxContent>
            </v:textbox>
            <w10:wrap type="none"/>
          </v:shape>
        </w:pict>
      </w:r>
      <w:r>
        <w:rPr>
          <w:w w:val="110"/>
          <w:position w:val="-12"/>
          <w:sz w:val="17"/>
        </w:rPr>
        <w:t>0 </w:t>
      </w:r>
      <w:r>
        <w:rPr>
          <w:w w:val="130"/>
          <w:sz w:val="17"/>
        </w:rPr>
        <w:t>( </w:t>
      </w:r>
      <w:r>
        <w:rPr>
          <w:w w:val="130"/>
          <w:sz w:val="20"/>
        </w:rPr>
        <w:t>1 </w:t>
      </w:r>
      <w:r>
        <w:rPr>
          <w:w w:val="260"/>
          <w:sz w:val="20"/>
        </w:rPr>
        <w:t>-</w:t>
      </w:r>
      <w:r>
        <w:rPr>
          <w:spacing w:val="-104"/>
          <w:w w:val="260"/>
          <w:sz w:val="20"/>
        </w:rPr>
        <w:t> </w:t>
      </w:r>
      <w:r>
        <w:rPr>
          <w:spacing w:val="-11"/>
          <w:w w:val="110"/>
          <w:sz w:val="20"/>
        </w:rPr>
        <w:t>,P10) </w:t>
      </w:r>
      <w:r>
        <w:rPr>
          <w:w w:val="110"/>
          <w:sz w:val="19"/>
        </w:rPr>
        <w:t>,fho </w:t>
      </w:r>
      <w:r>
        <w:rPr>
          <w:w w:val="85"/>
          <w:sz w:val="17"/>
        </w:rPr>
        <w:t>1.&amp;20+a&lt; </w:t>
      </w:r>
      <w:r>
        <w:rPr>
          <w:i/>
          <w:w w:val="85"/>
          <w:sz w:val="21"/>
        </w:rPr>
        <w:t>,pao </w:t>
      </w:r>
      <w:r>
        <w:rPr>
          <w:w w:val="260"/>
          <w:sz w:val="21"/>
        </w:rPr>
        <w:t>-</w:t>
      </w:r>
      <w:r>
        <w:rPr>
          <w:spacing w:val="-116"/>
          <w:w w:val="260"/>
          <w:sz w:val="21"/>
        </w:rPr>
        <w:t> </w:t>
      </w:r>
      <w:r>
        <w:rPr>
          <w:b/>
          <w:w w:val="85"/>
          <w:sz w:val="20"/>
        </w:rPr>
        <w:t>aopao) </w:t>
      </w:r>
      <w:r>
        <w:rPr>
          <w:i/>
          <w:w w:val="110"/>
          <w:sz w:val="19"/>
        </w:rPr>
        <w:t>dt</w:t>
      </w:r>
    </w:p>
    <w:p>
      <w:pPr>
        <w:spacing w:line="613" w:lineRule="exact" w:before="0"/>
        <w:ind w:left="83" w:right="0" w:firstLine="0"/>
        <w:jc w:val="left"/>
        <w:rPr>
          <w:i/>
          <w:sz w:val="19"/>
        </w:rPr>
      </w:pPr>
      <w:r>
        <w:rPr>
          <w:rFonts w:ascii="Arial" w:hAnsi="Arial"/>
          <w:w w:val="105"/>
          <w:sz w:val="31"/>
        </w:rPr>
        <w:t>+</w:t>
      </w:r>
      <w:r>
        <w:rPr>
          <w:rFonts w:ascii="Arial" w:hAnsi="Arial"/>
          <w:spacing w:val="-30"/>
          <w:sz w:val="31"/>
        </w:rPr>
        <w:t> </w:t>
      </w:r>
      <w:r>
        <w:rPr>
          <w:i/>
          <w:spacing w:val="-39"/>
          <w:w w:val="73"/>
          <w:sz w:val="54"/>
        </w:rPr>
        <w:t>1</w:t>
      </w:r>
      <w:r>
        <w:rPr>
          <w:i/>
          <w:w w:val="44"/>
          <w:sz w:val="54"/>
        </w:rPr>
        <w:t>'°</w:t>
      </w:r>
      <w:r>
        <w:rPr>
          <w:i/>
          <w:spacing w:val="-79"/>
          <w:sz w:val="54"/>
        </w:rPr>
        <w:t> </w:t>
      </w:r>
      <w:r>
        <w:rPr>
          <w:spacing w:val="30"/>
          <w:w w:val="32"/>
          <w:sz w:val="54"/>
        </w:rPr>
        <w:t>(</w:t>
      </w:r>
      <w:r>
        <w:rPr>
          <w:w w:val="129"/>
          <w:sz w:val="20"/>
        </w:rPr>
        <w:t>1</w:t>
      </w:r>
      <w:r>
        <w:rPr>
          <w:spacing w:val="8"/>
          <w:sz w:val="20"/>
        </w:rPr>
        <w:t> </w:t>
      </w:r>
      <w:r>
        <w:rPr>
          <w:w w:val="274"/>
          <w:sz w:val="20"/>
        </w:rPr>
        <w:t>-</w:t>
      </w:r>
      <w:r>
        <w:rPr>
          <w:spacing w:val="15"/>
          <w:sz w:val="20"/>
        </w:rPr>
        <w:t> </w:t>
      </w:r>
      <w:r>
        <w:rPr>
          <w:i/>
          <w:w w:val="72"/>
          <w:sz w:val="21"/>
        </w:rPr>
        <w:t>,pao</w:t>
      </w:r>
      <w:r>
        <w:rPr>
          <w:i/>
          <w:spacing w:val="-33"/>
          <w:sz w:val="21"/>
        </w:rPr>
        <w:t> </w:t>
      </w:r>
      <w:r>
        <w:rPr>
          <w:i/>
          <w:w w:val="66"/>
          <w:sz w:val="21"/>
        </w:rPr>
        <w:t>)</w:t>
      </w:r>
      <w:r>
        <w:rPr>
          <w:i/>
          <w:spacing w:val="-10"/>
          <w:sz w:val="21"/>
        </w:rPr>
        <w:t> </w:t>
      </w:r>
      <w:r>
        <w:rPr>
          <w:w w:val="66"/>
          <w:sz w:val="20"/>
        </w:rPr>
        <w:t>cP20</w:t>
      </w:r>
      <w:r>
        <w:rPr>
          <w:spacing w:val="13"/>
          <w:sz w:val="20"/>
        </w:rPr>
        <w:t> </w:t>
      </w:r>
      <w:r>
        <w:rPr>
          <w:w w:val="77"/>
          <w:sz w:val="20"/>
        </w:rPr>
        <w:t>µ,,o+c</w:t>
      </w:r>
      <w:r>
        <w:rPr>
          <w:w w:val="77"/>
          <w:sz w:val="20"/>
        </w:rPr>
        <w:t>(</w:t>
      </w:r>
      <w:r>
        <w:rPr>
          <w:spacing w:val="-19"/>
          <w:sz w:val="20"/>
        </w:rPr>
        <w:t> </w:t>
      </w:r>
      <w:r>
        <w:rPr>
          <w:w w:val="112"/>
          <w:sz w:val="20"/>
        </w:rPr>
        <w:t>,</w:t>
      </w:r>
      <w:r>
        <w:rPr>
          <w:spacing w:val="-10"/>
          <w:w w:val="112"/>
          <w:sz w:val="20"/>
        </w:rPr>
        <w:t>p</w:t>
      </w:r>
      <w:r>
        <w:rPr>
          <w:spacing w:val="-47"/>
          <w:w w:val="101"/>
          <w:sz w:val="20"/>
        </w:rPr>
        <w:t>1</w:t>
      </w:r>
      <w:r>
        <w:rPr>
          <w:w w:val="65"/>
          <w:sz w:val="20"/>
        </w:rPr>
        <w:t>0</w:t>
      </w:r>
      <w:r>
        <w:rPr>
          <w:sz w:val="20"/>
        </w:rPr>
        <w:t> </w:t>
      </w:r>
      <w:r>
        <w:rPr>
          <w:spacing w:val="-14"/>
          <w:sz w:val="20"/>
        </w:rPr>
        <w:t> </w:t>
      </w:r>
      <w:r>
        <w:rPr>
          <w:w w:val="282"/>
          <w:sz w:val="20"/>
        </w:rPr>
        <w:t>-</w:t>
      </w:r>
      <w:r>
        <w:rPr>
          <w:spacing w:val="-1"/>
          <w:sz w:val="20"/>
        </w:rPr>
        <w:t> </w:t>
      </w:r>
      <w:r>
        <w:rPr>
          <w:w w:val="59"/>
          <w:sz w:val="20"/>
        </w:rPr>
        <w:t>&amp;0</w:t>
      </w:r>
      <w:r>
        <w:rPr>
          <w:spacing w:val="6"/>
          <w:w w:val="59"/>
          <w:sz w:val="20"/>
        </w:rPr>
        <w:t>P</w:t>
      </w:r>
      <w:r>
        <w:rPr>
          <w:spacing w:val="-44"/>
          <w:w w:val="94"/>
          <w:sz w:val="20"/>
        </w:rPr>
        <w:t>1</w:t>
      </w:r>
      <w:r>
        <w:rPr>
          <w:w w:val="88"/>
          <w:sz w:val="20"/>
        </w:rPr>
        <w:t>0)</w:t>
      </w:r>
      <w:r>
        <w:rPr>
          <w:sz w:val="20"/>
        </w:rPr>
        <w:t> </w:t>
      </w:r>
      <w:r>
        <w:rPr>
          <w:spacing w:val="-24"/>
          <w:sz w:val="20"/>
        </w:rPr>
        <w:t> </w:t>
      </w:r>
      <w:r>
        <w:rPr>
          <w:i/>
          <w:w w:val="102"/>
          <w:sz w:val="19"/>
        </w:rPr>
        <w:t>dt</w:t>
      </w:r>
    </w:p>
    <w:p>
      <w:pPr>
        <w:spacing w:line="317" w:lineRule="exact" w:before="48"/>
        <w:ind w:left="79" w:right="0" w:firstLine="0"/>
        <w:jc w:val="left"/>
        <w:rPr>
          <w:i/>
          <w:sz w:val="13"/>
        </w:rPr>
      </w:pPr>
      <w:r>
        <w:rPr>
          <w:rFonts w:ascii="Arial"/>
          <w:w w:val="103"/>
          <w:position w:val="-24"/>
          <w:sz w:val="31"/>
        </w:rPr>
        <w:t>+</w:t>
      </w:r>
      <w:r>
        <w:rPr>
          <w:rFonts w:ascii="Arial"/>
          <w:spacing w:val="-26"/>
          <w:position w:val="-24"/>
          <w:sz w:val="31"/>
        </w:rPr>
        <w:t> </w:t>
      </w:r>
      <w:r>
        <w:rPr>
          <w:rFonts w:ascii="Arial"/>
          <w:i/>
          <w:spacing w:val="-79"/>
          <w:w w:val="81"/>
          <w:position w:val="-24"/>
          <w:sz w:val="52"/>
        </w:rPr>
        <w:t>1</w:t>
      </w:r>
      <w:r>
        <w:rPr>
          <w:i/>
          <w:w w:val="96"/>
          <w:sz w:val="13"/>
        </w:rPr>
        <w:t>40</w:t>
      </w:r>
    </w:p>
    <w:p>
      <w:pPr>
        <w:spacing w:after="0" w:line="317" w:lineRule="exact"/>
        <w:jc w:val="left"/>
        <w:rPr>
          <w:sz w:val="13"/>
        </w:rPr>
        <w:sectPr>
          <w:type w:val="continuous"/>
          <w:pgSz w:w="7200" w:h="11340"/>
          <w:pgMar w:top="1100" w:bottom="0" w:left="660" w:right="560"/>
          <w:cols w:num="2" w:equalWidth="0">
            <w:col w:w="736" w:space="40"/>
            <w:col w:w="5204"/>
          </w:cols>
        </w:sectPr>
      </w:pPr>
    </w:p>
    <w:p>
      <w:pPr>
        <w:spacing w:line="167" w:lineRule="exact" w:before="0"/>
        <w:ind w:left="1464" w:right="739" w:firstLine="0"/>
        <w:jc w:val="left"/>
        <w:rPr>
          <w:i/>
          <w:sz w:val="21"/>
        </w:rPr>
      </w:pPr>
      <w:r>
        <w:rPr>
          <w:rFonts w:ascii="Arial"/>
          <w:w w:val="135"/>
          <w:sz w:val="20"/>
        </w:rPr>
        <w:t>(1</w:t>
      </w:r>
      <w:r>
        <w:rPr>
          <w:rFonts w:ascii="Arial"/>
          <w:spacing w:val="-57"/>
          <w:w w:val="135"/>
          <w:sz w:val="20"/>
        </w:rPr>
        <w:t> </w:t>
      </w:r>
      <w:r>
        <w:rPr>
          <w:rFonts w:ascii="Arial"/>
          <w:w w:val="195"/>
          <w:sz w:val="20"/>
        </w:rPr>
        <w:t>-</w:t>
      </w:r>
      <w:r>
        <w:rPr>
          <w:rFonts w:ascii="Arial"/>
          <w:spacing w:val="-87"/>
          <w:w w:val="195"/>
          <w:sz w:val="20"/>
        </w:rPr>
        <w:t> </w:t>
      </w:r>
      <w:r>
        <w:rPr>
          <w:w w:val="95"/>
          <w:sz w:val="19"/>
        </w:rPr>
        <w:t>aoPao) </w:t>
      </w:r>
      <w:r>
        <w:rPr>
          <w:i/>
          <w:w w:val="115"/>
          <w:sz w:val="13"/>
        </w:rPr>
        <w:t>,p20 </w:t>
      </w:r>
      <w:r>
        <w:rPr>
          <w:w w:val="95"/>
          <w:sz w:val="17"/>
        </w:rPr>
        <w:t>1.&amp;20+,( </w:t>
      </w:r>
      <w:r>
        <w:rPr>
          <w:spacing w:val="-14"/>
          <w:w w:val="115"/>
          <w:sz w:val="19"/>
        </w:rPr>
        <w:t>,P10 </w:t>
      </w:r>
      <w:r>
        <w:rPr>
          <w:w w:val="195"/>
          <w:sz w:val="19"/>
        </w:rPr>
        <w:t>-</w:t>
      </w:r>
      <w:r>
        <w:rPr>
          <w:spacing w:val="-77"/>
          <w:w w:val="195"/>
          <w:sz w:val="19"/>
        </w:rPr>
        <w:t> </w:t>
      </w:r>
      <w:r>
        <w:rPr>
          <w:spacing w:val="-6"/>
          <w:w w:val="95"/>
          <w:sz w:val="19"/>
        </w:rPr>
        <w:t>&amp;0P10) </w:t>
      </w:r>
      <w:r>
        <w:rPr>
          <w:i/>
          <w:w w:val="95"/>
          <w:sz w:val="21"/>
        </w:rPr>
        <w:t>dt</w:t>
      </w:r>
    </w:p>
    <w:p>
      <w:pPr>
        <w:spacing w:line="297" w:lineRule="exact" w:before="0" w:after="4"/>
        <w:ind w:left="1194" w:right="739" w:firstLine="0"/>
        <w:jc w:val="left"/>
        <w:rPr>
          <w:sz w:val="30"/>
        </w:rPr>
      </w:pPr>
      <w:r>
        <w:rPr>
          <w:w w:val="75"/>
          <w:sz w:val="30"/>
        </w:rPr>
        <w:t>ªº</w:t>
      </w:r>
    </w:p>
    <w:p>
      <w:pPr>
        <w:pStyle w:val="BodyText"/>
        <w:ind w:left="434"/>
      </w:pPr>
      <w:r>
        <w:rPr/>
        <w:drawing>
          <wp:inline distT="0" distB="0" distL="0" distR="0">
            <wp:extent cx="3154680" cy="301751"/>
            <wp:effectExtent l="0" t="0" r="0" b="0"/>
            <wp:docPr id="871" name="image446.png" descr=""/>
            <wp:cNvGraphicFramePr>
              <a:graphicFrameLocks noChangeAspect="1"/>
            </wp:cNvGraphicFramePr>
            <a:graphic>
              <a:graphicData uri="http://schemas.openxmlformats.org/drawingml/2006/picture">
                <pic:pic>
                  <pic:nvPicPr>
                    <pic:cNvPr id="872" name="image446.png"/>
                    <pic:cNvPicPr/>
                  </pic:nvPicPr>
                  <pic:blipFill>
                    <a:blip r:embed="rId450" cstate="print"/>
                    <a:stretch>
                      <a:fillRect/>
                    </a:stretch>
                  </pic:blipFill>
                  <pic:spPr>
                    <a:xfrm>
                      <a:off x="0" y="0"/>
                      <a:ext cx="3154680" cy="301751"/>
                    </a:xfrm>
                    <a:prstGeom prst="rect">
                      <a:avLst/>
                    </a:prstGeom>
                  </pic:spPr>
                </pic:pic>
              </a:graphicData>
            </a:graphic>
          </wp:inline>
        </w:drawing>
      </w:r>
      <w:r>
        <w:rPr/>
      </w:r>
    </w:p>
    <w:p>
      <w:pPr>
        <w:pStyle w:val="BodyText"/>
        <w:spacing w:before="6"/>
        <w:rPr>
          <w:sz w:val="11"/>
        </w:rPr>
      </w:pPr>
      <w:r>
        <w:rPr/>
        <w:drawing>
          <wp:anchor distT="0" distB="0" distL="0" distR="0" allowOverlap="1" layoutInCell="1" locked="0" behindDoc="0" simplePos="0" relativeHeight="29896">
            <wp:simplePos x="0" y="0"/>
            <wp:positionH relativeFrom="page">
              <wp:posOffset>950975</wp:posOffset>
            </wp:positionH>
            <wp:positionV relativeFrom="paragraph">
              <wp:posOffset>109220</wp:posOffset>
            </wp:positionV>
            <wp:extent cx="3200400" cy="301751"/>
            <wp:effectExtent l="0" t="0" r="0" b="0"/>
            <wp:wrapTopAndBottom/>
            <wp:docPr id="873" name="image447.png" descr=""/>
            <wp:cNvGraphicFramePr>
              <a:graphicFrameLocks noChangeAspect="1"/>
            </wp:cNvGraphicFramePr>
            <a:graphic>
              <a:graphicData uri="http://schemas.openxmlformats.org/drawingml/2006/picture">
                <pic:pic>
                  <pic:nvPicPr>
                    <pic:cNvPr id="874" name="image447.png"/>
                    <pic:cNvPicPr/>
                  </pic:nvPicPr>
                  <pic:blipFill>
                    <a:blip r:embed="rId451" cstate="print"/>
                    <a:stretch>
                      <a:fillRect/>
                    </a:stretch>
                  </pic:blipFill>
                  <pic:spPr>
                    <a:xfrm>
                      <a:off x="0" y="0"/>
                      <a:ext cx="3200400" cy="301751"/>
                    </a:xfrm>
                    <a:prstGeom prst="rect">
                      <a:avLst/>
                    </a:prstGeom>
                  </pic:spPr>
                </pic:pic>
              </a:graphicData>
            </a:graphic>
          </wp:anchor>
        </w:drawing>
      </w:r>
    </w:p>
    <w:p>
      <w:pPr>
        <w:pStyle w:val="BodyText"/>
        <w:rPr>
          <w:sz w:val="8"/>
        </w:rPr>
      </w:pPr>
    </w:p>
    <w:p>
      <w:pPr>
        <w:tabs>
          <w:tab w:pos="439" w:val="left" w:leader="none"/>
          <w:tab w:pos="935" w:val="left" w:leader="none"/>
          <w:tab w:pos="1609" w:val="left" w:leader="none"/>
          <w:tab w:pos="2523" w:val="left" w:leader="none"/>
          <w:tab w:pos="3445" w:val="left" w:leader="none"/>
        </w:tabs>
        <w:spacing w:line="171" w:lineRule="exact" w:before="76"/>
        <w:ind w:left="0" w:right="1210" w:firstLine="0"/>
        <w:jc w:val="center"/>
        <w:rPr>
          <w:rFonts w:ascii="Arial"/>
          <w:sz w:val="12"/>
        </w:rPr>
      </w:pPr>
      <w:r>
        <w:rPr/>
        <w:pict>
          <v:shape style="position:absolute;margin-left:94.68pt;margin-top:6.769257pt;width:85.55pt;height:15.5pt;mso-position-horizontal-relative:page;mso-position-vertical-relative:paragraph;z-index:-706048" type="#_x0000_t202" filled="false" stroked="false">
            <v:textbox inset="0,0,0,0">
              <w:txbxContent>
                <w:p>
                  <w:pPr>
                    <w:tabs>
                      <w:tab w:pos="1519" w:val="left" w:leader="none"/>
                    </w:tabs>
                    <w:spacing w:line="310" w:lineRule="exact" w:before="0"/>
                    <w:ind w:left="0" w:right="0" w:firstLine="0"/>
                    <w:jc w:val="left"/>
                    <w:rPr>
                      <w:rFonts w:ascii="Arial"/>
                      <w:sz w:val="31"/>
                    </w:rPr>
                  </w:pPr>
                  <w:r>
                    <w:rPr>
                      <w:rFonts w:ascii="Arial"/>
                      <w:w w:val="105"/>
                      <w:sz w:val="31"/>
                    </w:rPr>
                    <w:t>+</w:t>
                    <w:tab/>
                    <w:t>+</w:t>
                  </w:r>
                </w:p>
              </w:txbxContent>
            </v:textbox>
            <w10:wrap type="none"/>
          </v:shape>
        </w:pict>
      </w:r>
      <w:r>
        <w:rPr>
          <w:rFonts w:ascii="Arial"/>
          <w:w w:val="180"/>
          <w:sz w:val="12"/>
        </w:rPr>
        <w:t>-1</w:t>
        <w:tab/>
      </w:r>
      <w:r>
        <w:rPr>
          <w:rFonts w:ascii="Arial"/>
          <w:w w:val="220"/>
          <w:sz w:val="12"/>
        </w:rPr>
        <w:t>_</w:t>
        <w:tab/>
      </w:r>
      <w:r>
        <w:rPr>
          <w:w w:val="95"/>
          <w:sz w:val="19"/>
        </w:rPr>
        <w:t>D40:u.</w:t>
        <w:tab/>
      </w:r>
      <w:r>
        <w:rPr>
          <w:rFonts w:ascii="Arial"/>
          <w:w w:val="180"/>
          <w:sz w:val="12"/>
        </w:rPr>
        <w:t>-1</w:t>
        <w:tab/>
      </w:r>
      <w:r>
        <w:rPr>
          <w:rFonts w:ascii="Arial"/>
          <w:w w:val="220"/>
          <w:sz w:val="12"/>
        </w:rPr>
        <w:t>-</w:t>
      </w:r>
      <w:r>
        <w:rPr>
          <w:rFonts w:ascii="Arial"/>
          <w:spacing w:val="-21"/>
          <w:w w:val="220"/>
          <w:sz w:val="12"/>
        </w:rPr>
        <w:t> </w:t>
      </w:r>
      <w:r>
        <w:rPr>
          <w:rFonts w:ascii="Arial"/>
          <w:w w:val="155"/>
          <w:sz w:val="12"/>
        </w:rPr>
        <w:t>1</w:t>
        <w:tab/>
      </w:r>
      <w:r>
        <w:rPr>
          <w:rFonts w:ascii="Arial"/>
          <w:w w:val="220"/>
          <w:sz w:val="12"/>
        </w:rPr>
        <w:t>-</w:t>
      </w:r>
      <w:r>
        <w:rPr>
          <w:rFonts w:ascii="Arial"/>
          <w:spacing w:val="-13"/>
          <w:w w:val="220"/>
          <w:sz w:val="12"/>
        </w:rPr>
        <w:t> </w:t>
      </w:r>
      <w:r>
        <w:rPr>
          <w:rFonts w:ascii="Arial"/>
          <w:w w:val="155"/>
          <w:sz w:val="12"/>
        </w:rPr>
        <w:t>1</w:t>
      </w:r>
    </w:p>
    <w:p>
      <w:pPr>
        <w:tabs>
          <w:tab w:pos="1320" w:val="left" w:leader="none"/>
          <w:tab w:pos="2865" w:val="left" w:leader="none"/>
        </w:tabs>
        <w:spacing w:line="183" w:lineRule="exact" w:before="0"/>
        <w:ind w:left="0" w:right="1109" w:firstLine="0"/>
        <w:jc w:val="center"/>
        <w:rPr>
          <w:sz w:val="19"/>
        </w:rPr>
      </w:pPr>
      <w:r>
        <w:rPr>
          <w:spacing w:val="-22"/>
          <w:w w:val="122"/>
          <w:sz w:val="20"/>
        </w:rPr>
        <w:t>1</w:t>
      </w:r>
      <w:r>
        <w:rPr>
          <w:w w:val="110"/>
          <w:sz w:val="20"/>
        </w:rPr>
        <w:t>1.</w:t>
      </w:r>
      <w:r>
        <w:rPr>
          <w:sz w:val="20"/>
        </w:rPr>
        <w:t> </w:t>
      </w:r>
      <w:r>
        <w:rPr>
          <w:spacing w:val="-21"/>
          <w:sz w:val="20"/>
        </w:rPr>
        <w:t> </w:t>
      </w:r>
      <w:r>
        <w:rPr>
          <w:w w:val="110"/>
          <w:sz w:val="12"/>
        </w:rPr>
        <w:t>Aa&amp;:30:101</w:t>
      </w:r>
      <w:r>
        <w:rPr>
          <w:sz w:val="12"/>
        </w:rPr>
        <w:tab/>
      </w:r>
      <w:r>
        <w:rPr>
          <w:rFonts w:ascii="Arial"/>
          <w:i/>
          <w:spacing w:val="-180"/>
          <w:w w:val="113"/>
          <w:sz w:val="20"/>
        </w:rPr>
        <w:t>D</w:t>
      </w:r>
      <w:r>
        <w:rPr>
          <w:rFonts w:ascii="Arial"/>
          <w:i/>
          <w:w w:val="600"/>
          <w:sz w:val="20"/>
        </w:rPr>
        <w:t>-</w:t>
      </w:r>
      <w:r>
        <w:rPr>
          <w:rFonts w:ascii="Arial"/>
          <w:i/>
          <w:spacing w:val="-19"/>
          <w:sz w:val="20"/>
        </w:rPr>
        <w:t> </w:t>
      </w:r>
      <w:r>
        <w:rPr>
          <w:w w:val="95"/>
          <w:sz w:val="19"/>
        </w:rPr>
        <w:t>(</w:t>
      </w:r>
      <w:r>
        <w:rPr>
          <w:spacing w:val="-22"/>
          <w:sz w:val="19"/>
        </w:rPr>
        <w:t> </w:t>
      </w:r>
      <w:r>
        <w:rPr>
          <w:w w:val="80"/>
          <w:sz w:val="19"/>
        </w:rPr>
        <w:t>A'6:40:40</w:t>
      </w:r>
      <w:r>
        <w:rPr>
          <w:sz w:val="19"/>
        </w:rPr>
        <w:tab/>
      </w:r>
      <w:r>
        <w:rPr>
          <w:w w:val="77"/>
          <w:sz w:val="19"/>
        </w:rPr>
        <w:t>An:40:&amp;0</w:t>
      </w:r>
      <w:r>
        <w:rPr>
          <w:sz w:val="19"/>
        </w:rPr>
        <w:t> </w:t>
      </w:r>
      <w:r>
        <w:rPr>
          <w:spacing w:val="-5"/>
          <w:sz w:val="19"/>
        </w:rPr>
        <w:t> </w:t>
      </w:r>
      <w:r>
        <w:rPr>
          <w:w w:val="297"/>
          <w:sz w:val="19"/>
        </w:rPr>
        <w:t>-</w:t>
      </w:r>
      <w:r>
        <w:rPr>
          <w:spacing w:val="-10"/>
          <w:sz w:val="19"/>
        </w:rPr>
        <w:t> </w:t>
      </w:r>
      <w:r>
        <w:rPr>
          <w:w w:val="76"/>
          <w:sz w:val="19"/>
        </w:rPr>
        <w:t>Au:40:40:&amp;0</w:t>
      </w:r>
      <w:r>
        <w:rPr>
          <w:w w:val="76"/>
          <w:sz w:val="19"/>
        </w:rPr>
        <w:t>)</w:t>
      </w:r>
    </w:p>
    <w:p>
      <w:pPr>
        <w:spacing w:before="3"/>
        <w:ind w:left="1629" w:right="739" w:firstLine="0"/>
        <w:jc w:val="left"/>
        <w:rPr>
          <w:b/>
          <w:sz w:val="12"/>
        </w:rPr>
      </w:pPr>
      <w:r>
        <w:rPr>
          <w:b/>
          <w:sz w:val="12"/>
        </w:rPr>
        <w:t>30:16</w:t>
      </w:r>
    </w:p>
    <w:p>
      <w:pPr>
        <w:spacing w:line="336" w:lineRule="exact" w:before="97"/>
        <w:ind w:left="124" w:right="739" w:firstLine="0"/>
        <w:jc w:val="left"/>
        <w:rPr>
          <w:rFonts w:ascii="Arial"/>
          <w:i/>
          <w:sz w:val="19"/>
        </w:rPr>
      </w:pPr>
      <w:r>
        <w:rPr>
          <w:w w:val="105"/>
          <w:sz w:val="20"/>
        </w:rPr>
        <w:t>14.  </w:t>
      </w:r>
      <w:r>
        <w:rPr>
          <w:spacing w:val="2"/>
          <w:w w:val="105"/>
          <w:sz w:val="20"/>
          <w:u w:val="single"/>
        </w:rPr>
        <w:t>1.l(a  </w:t>
      </w:r>
      <w:r>
        <w:rPr>
          <w:rFonts w:ascii="Arial"/>
          <w:w w:val="105"/>
          <w:sz w:val="31"/>
          <w:u w:val="single"/>
        </w:rPr>
        <w:t>+ </w:t>
      </w:r>
      <w:r>
        <w:rPr>
          <w:rFonts w:ascii="Arial"/>
          <w:i/>
          <w:spacing w:val="9"/>
          <w:w w:val="105"/>
          <w:sz w:val="19"/>
          <w:u w:val="single"/>
        </w:rPr>
        <w:t>b)</w:t>
      </w:r>
    </w:p>
    <w:p>
      <w:pPr>
        <w:pStyle w:val="BodyText"/>
        <w:spacing w:line="210" w:lineRule="exact"/>
        <w:ind w:left="571" w:right="739"/>
      </w:pPr>
      <w:r>
        <w:rPr>
          <w:w w:val="125"/>
        </w:rPr>
        <w:t>1 </w:t>
      </w:r>
      <w:r>
        <w:rPr>
          <w:w w:val="260"/>
        </w:rPr>
        <w:t>-</w:t>
      </w:r>
      <w:r>
        <w:rPr>
          <w:spacing w:val="-93"/>
          <w:w w:val="260"/>
        </w:rPr>
        <w:t> </w:t>
      </w:r>
      <w:r>
        <w:rPr>
          <w:w w:val="125"/>
        </w:rPr>
        <w:t>1.lc</w:t>
      </w:r>
    </w:p>
    <w:p>
      <w:pPr>
        <w:pStyle w:val="BodyText"/>
        <w:spacing w:before="7"/>
        <w:rPr>
          <w:sz w:val="10"/>
        </w:rPr>
      </w:pPr>
      <w:r>
        <w:rPr/>
        <w:drawing>
          <wp:anchor distT="0" distB="0" distL="0" distR="0" allowOverlap="1" layoutInCell="1" locked="0" behindDoc="0" simplePos="0" relativeHeight="29920">
            <wp:simplePos x="0" y="0"/>
            <wp:positionH relativeFrom="page">
              <wp:posOffset>859536</wp:posOffset>
            </wp:positionH>
            <wp:positionV relativeFrom="paragraph">
              <wp:posOffset>102830</wp:posOffset>
            </wp:positionV>
            <wp:extent cx="2322576" cy="283463"/>
            <wp:effectExtent l="0" t="0" r="0" b="0"/>
            <wp:wrapTopAndBottom/>
            <wp:docPr id="875" name="image448.png" descr=""/>
            <wp:cNvGraphicFramePr>
              <a:graphicFrameLocks noChangeAspect="1"/>
            </wp:cNvGraphicFramePr>
            <a:graphic>
              <a:graphicData uri="http://schemas.openxmlformats.org/drawingml/2006/picture">
                <pic:pic>
                  <pic:nvPicPr>
                    <pic:cNvPr id="876" name="image448.png"/>
                    <pic:cNvPicPr/>
                  </pic:nvPicPr>
                  <pic:blipFill>
                    <a:blip r:embed="rId452" cstate="print"/>
                    <a:stretch>
                      <a:fillRect/>
                    </a:stretch>
                  </pic:blipFill>
                  <pic:spPr>
                    <a:xfrm>
                      <a:off x="0" y="0"/>
                      <a:ext cx="2322576" cy="283463"/>
                    </a:xfrm>
                    <a:prstGeom prst="rect">
                      <a:avLst/>
                    </a:prstGeom>
                  </pic:spPr>
                </pic:pic>
              </a:graphicData>
            </a:graphic>
          </wp:anchor>
        </w:drawing>
      </w:r>
    </w:p>
    <w:p>
      <w:pPr>
        <w:spacing w:after="0"/>
        <w:rPr>
          <w:sz w:val="10"/>
        </w:rPr>
        <w:sectPr>
          <w:type w:val="continuous"/>
          <w:pgSz w:w="7200" w:h="11340"/>
          <w:pgMar w:top="1100" w:bottom="0" w:left="660" w:right="560"/>
        </w:sectPr>
      </w:pPr>
    </w:p>
    <w:p>
      <w:pPr>
        <w:pStyle w:val="BodyText"/>
        <w:rPr>
          <w:sz w:val="23"/>
        </w:rPr>
      </w:pPr>
    </w:p>
    <w:p>
      <w:pPr>
        <w:spacing w:before="1"/>
        <w:ind w:left="1291" w:right="0" w:firstLine="0"/>
        <w:jc w:val="left"/>
        <w:rPr>
          <w:sz w:val="20"/>
        </w:rPr>
      </w:pPr>
      <w:r>
        <w:rPr>
          <w:i/>
          <w:w w:val="105"/>
          <w:sz w:val="21"/>
        </w:rPr>
        <w:t>b  </w:t>
      </w:r>
      <w:r>
        <w:rPr>
          <w:w w:val="105"/>
          <w:sz w:val="24"/>
        </w:rPr>
        <w:t>= </w:t>
      </w:r>
      <w:r>
        <w:rPr>
          <w:spacing w:val="-14"/>
          <w:w w:val="105"/>
          <w:sz w:val="20"/>
        </w:rPr>
        <w:t>.75</w:t>
      </w:r>
    </w:p>
    <w:p>
      <w:pPr>
        <w:pStyle w:val="BodyText"/>
        <w:rPr>
          <w:sz w:val="8"/>
        </w:rPr>
      </w:pPr>
      <w:r>
        <w:rPr/>
        <w:br w:type="column"/>
      </w:r>
      <w:r>
        <w:rPr>
          <w:sz w:val="8"/>
        </w:rPr>
      </w:r>
    </w:p>
    <w:p>
      <w:pPr>
        <w:pStyle w:val="BodyText"/>
        <w:spacing w:before="4"/>
        <w:rPr>
          <w:sz w:val="6"/>
        </w:rPr>
      </w:pPr>
    </w:p>
    <w:p>
      <w:pPr>
        <w:tabs>
          <w:tab w:pos="1702" w:val="left" w:leader="none"/>
          <w:tab w:pos="1972" w:val="left" w:leader="none"/>
        </w:tabs>
        <w:spacing w:before="1"/>
        <w:ind w:left="169" w:right="0" w:firstLine="0"/>
        <w:jc w:val="left"/>
        <w:rPr>
          <w:rFonts w:ascii="Arial"/>
          <w:sz w:val="8"/>
        </w:rPr>
      </w:pPr>
      <w:r>
        <w:rPr>
          <w:rFonts w:ascii="Arial"/>
          <w:w w:val="110"/>
          <w:sz w:val="8"/>
        </w:rPr>
        <w:t>00</w:t>
      </w:r>
      <w:r>
        <w:rPr>
          <w:rFonts w:ascii="Arial"/>
          <w:sz w:val="8"/>
        </w:rPr>
        <w:tab/>
      </w:r>
      <w:r>
        <w:rPr>
          <w:rFonts w:ascii="Arial"/>
          <w:w w:val="99"/>
          <w:sz w:val="8"/>
          <w:u w:val="single"/>
        </w:rPr>
        <w:t> </w:t>
      </w:r>
      <w:r>
        <w:rPr>
          <w:rFonts w:ascii="Arial"/>
          <w:sz w:val="8"/>
          <w:u w:val="single"/>
        </w:rPr>
        <w:tab/>
      </w:r>
    </w:p>
    <w:p>
      <w:pPr>
        <w:spacing w:line="218" w:lineRule="exact" w:before="44"/>
        <w:ind w:left="167" w:right="0" w:firstLine="0"/>
        <w:jc w:val="left"/>
        <w:rPr>
          <w:i/>
          <w:sz w:val="14"/>
        </w:rPr>
      </w:pPr>
      <w:r>
        <w:rPr/>
        <w:pict>
          <v:shape style="position:absolute;margin-left:134.100006pt;margin-top:-5.063971pt;width:7.7pt;height:26.5pt;mso-position-horizontal-relative:page;mso-position-vertical-relative:paragraph;z-index:-706024" type="#_x0000_t202" filled="false" stroked="false">
            <v:textbox inset="0,0,0,0">
              <w:txbxContent>
                <w:p>
                  <w:pPr>
                    <w:spacing w:line="530" w:lineRule="exact" w:before="0"/>
                    <w:ind w:left="0" w:right="0" w:firstLine="0"/>
                    <w:jc w:val="left"/>
                    <w:rPr>
                      <w:sz w:val="53"/>
                    </w:rPr>
                  </w:pPr>
                  <w:r>
                    <w:rPr>
                      <w:spacing w:val="-122"/>
                      <w:w w:val="104"/>
                      <w:sz w:val="53"/>
                    </w:rPr>
                    <w:t>1</w:t>
                  </w:r>
                </w:p>
              </w:txbxContent>
            </v:textbox>
            <w10:wrap type="none"/>
          </v:shape>
        </w:pict>
      </w:r>
      <w:r>
        <w:rPr/>
        <w:pict>
          <v:shape style="position:absolute;margin-left:198.539993pt;margin-top:.229504pt;width:10.9pt;height:6.5pt;mso-position-horizontal-relative:page;mso-position-vertical-relative:paragraph;z-index:-706000" type="#_x0000_t202" filled="false" stroked="false">
            <v:textbox inset="0,0,0,0">
              <w:txbxContent>
                <w:p>
                  <w:pPr>
                    <w:spacing w:line="130" w:lineRule="exact" w:before="0"/>
                    <w:ind w:left="0" w:right="-19" w:firstLine="0"/>
                    <w:jc w:val="left"/>
                    <w:rPr>
                      <w:i/>
                      <w:sz w:val="13"/>
                    </w:rPr>
                  </w:pPr>
                  <w:r>
                    <w:rPr>
                      <w:sz w:val="12"/>
                    </w:rPr>
                    <w:t>2    </w:t>
                  </w:r>
                  <w:r>
                    <w:rPr>
                      <w:i/>
                      <w:sz w:val="13"/>
                    </w:rPr>
                    <w:t>t</w:t>
                  </w:r>
                </w:p>
              </w:txbxContent>
            </v:textbox>
            <w10:wrap type="none"/>
          </v:shape>
        </w:pict>
      </w:r>
      <w:r>
        <w:rPr>
          <w:rFonts w:ascii="Arial"/>
          <w:spacing w:val="-259"/>
          <w:w w:val="376"/>
          <w:sz w:val="20"/>
        </w:rPr>
        <w:t>!</w:t>
      </w:r>
      <w:r>
        <w:rPr>
          <w:rFonts w:ascii="Arial"/>
          <w:w w:val="123"/>
          <w:sz w:val="20"/>
        </w:rPr>
        <w:t>(</w:t>
      </w:r>
      <w:r>
        <w:rPr>
          <w:rFonts w:ascii="Arial"/>
          <w:w w:val="123"/>
          <w:sz w:val="20"/>
        </w:rPr>
        <w:t>1</w:t>
      </w:r>
      <w:r>
        <w:rPr>
          <w:rFonts w:ascii="Arial"/>
          <w:spacing w:val="1"/>
          <w:sz w:val="20"/>
        </w:rPr>
        <w:t> </w:t>
      </w:r>
      <w:r>
        <w:rPr>
          <w:rFonts w:ascii="Arial"/>
          <w:w w:val="262"/>
          <w:sz w:val="20"/>
        </w:rPr>
        <w:t>-</w:t>
      </w:r>
      <w:r>
        <w:rPr>
          <w:rFonts w:ascii="Arial"/>
          <w:spacing w:val="-8"/>
          <w:sz w:val="20"/>
        </w:rPr>
        <w:t> </w:t>
      </w:r>
      <w:r>
        <w:rPr>
          <w:i/>
          <w:w w:val="74"/>
          <w:sz w:val="20"/>
        </w:rPr>
        <w:t>,p40</w:t>
      </w:r>
      <w:r>
        <w:rPr>
          <w:i/>
          <w:spacing w:val="-25"/>
          <w:sz w:val="20"/>
        </w:rPr>
        <w:t> </w:t>
      </w:r>
      <w:r>
        <w:rPr>
          <w:i/>
          <w:w w:val="69"/>
          <w:sz w:val="20"/>
        </w:rPr>
        <w:t>)</w:t>
      </w:r>
      <w:r>
        <w:rPr>
          <w:i/>
          <w:sz w:val="20"/>
        </w:rPr>
        <w:t> </w:t>
      </w:r>
      <w:r>
        <w:rPr>
          <w:i/>
          <w:spacing w:val="22"/>
          <w:sz w:val="20"/>
        </w:rPr>
        <w:t> </w:t>
      </w:r>
      <w:r>
        <w:rPr>
          <w:i/>
          <w:w w:val="87"/>
          <w:sz w:val="14"/>
        </w:rPr>
        <w:t>V</w:t>
      </w:r>
      <w:r>
        <w:rPr>
          <w:i/>
          <w:sz w:val="14"/>
        </w:rPr>
        <w:t> </w:t>
      </w:r>
      <w:r>
        <w:rPr>
          <w:i/>
          <w:spacing w:val="6"/>
          <w:sz w:val="14"/>
        </w:rPr>
        <w:t> </w:t>
      </w:r>
      <w:r>
        <w:rPr>
          <w:i/>
          <w:w w:val="88"/>
          <w:sz w:val="14"/>
        </w:rPr>
        <w:t>1Pao:a6</w:t>
      </w:r>
    </w:p>
    <w:p>
      <w:pPr>
        <w:spacing w:line="125" w:lineRule="exact" w:before="0"/>
        <w:ind w:left="100" w:right="0" w:firstLine="0"/>
        <w:jc w:val="left"/>
        <w:rPr>
          <w:rFonts w:ascii="Arial"/>
          <w:sz w:val="12"/>
        </w:rPr>
      </w:pPr>
      <w:r>
        <w:rPr>
          <w:rFonts w:ascii="Arial"/>
          <w:w w:val="100"/>
          <w:sz w:val="12"/>
        </w:rPr>
        <w:t>0</w:t>
      </w:r>
    </w:p>
    <w:p>
      <w:pPr>
        <w:pStyle w:val="BodyText"/>
        <w:rPr>
          <w:rFonts w:ascii="Arial"/>
          <w:sz w:val="12"/>
        </w:rPr>
      </w:pPr>
      <w:r>
        <w:rPr/>
        <w:br w:type="column"/>
      </w:r>
      <w:r>
        <w:rPr>
          <w:rFonts w:ascii="Arial"/>
          <w:sz w:val="12"/>
        </w:rPr>
      </w:r>
    </w:p>
    <w:p>
      <w:pPr>
        <w:spacing w:line="131" w:lineRule="exact" w:before="107"/>
        <w:ind w:left="456" w:right="-17" w:firstLine="0"/>
        <w:jc w:val="left"/>
        <w:rPr>
          <w:sz w:val="12"/>
        </w:rPr>
      </w:pPr>
      <w:r>
        <w:rPr>
          <w:w w:val="200"/>
          <w:sz w:val="13"/>
        </w:rPr>
        <w:t>-</w:t>
      </w:r>
      <w:r>
        <w:rPr>
          <w:spacing w:val="61"/>
          <w:w w:val="200"/>
          <w:sz w:val="13"/>
        </w:rPr>
        <w:t> </w:t>
      </w:r>
      <w:r>
        <w:rPr>
          <w:w w:val="175"/>
          <w:sz w:val="12"/>
        </w:rPr>
        <w:t>l</w:t>
      </w:r>
    </w:p>
    <w:p>
      <w:pPr>
        <w:spacing w:line="143" w:lineRule="exact" w:before="0"/>
        <w:ind w:left="-1" w:right="-17" w:firstLine="0"/>
        <w:jc w:val="left"/>
        <w:rPr>
          <w:i/>
          <w:sz w:val="14"/>
        </w:rPr>
      </w:pPr>
      <w:r>
        <w:rPr>
          <w:i/>
          <w:w w:val="110"/>
          <w:sz w:val="14"/>
        </w:rPr>
        <w:t>µai+1Á ao+t</w:t>
      </w:r>
    </w:p>
    <w:p>
      <w:pPr>
        <w:pStyle w:val="BodyText"/>
        <w:spacing w:before="5"/>
        <w:rPr>
          <w:i/>
          <w:sz w:val="25"/>
        </w:rPr>
      </w:pPr>
      <w:r>
        <w:rPr/>
        <w:br w:type="column"/>
      </w:r>
      <w:r>
        <w:rPr>
          <w:i/>
          <w:sz w:val="25"/>
        </w:rPr>
      </w:r>
    </w:p>
    <w:p>
      <w:pPr>
        <w:spacing w:before="1"/>
        <w:ind w:left="-2" w:right="0" w:firstLine="0"/>
        <w:jc w:val="left"/>
        <w:rPr>
          <w:i/>
          <w:sz w:val="21"/>
        </w:rPr>
      </w:pPr>
      <w:r>
        <w:rPr>
          <w:i/>
          <w:sz w:val="14"/>
        </w:rPr>
        <w:t>:i1 </w:t>
      </w:r>
      <w:r>
        <w:rPr>
          <w:i/>
          <w:sz w:val="21"/>
        </w:rPr>
        <w:t>dt</w:t>
      </w:r>
    </w:p>
    <w:p>
      <w:pPr>
        <w:spacing w:after="0"/>
        <w:jc w:val="left"/>
        <w:rPr>
          <w:sz w:val="21"/>
        </w:rPr>
        <w:sectPr>
          <w:type w:val="continuous"/>
          <w:pgSz w:w="7200" w:h="11340"/>
          <w:pgMar w:top="1100" w:bottom="0" w:left="660" w:right="560"/>
          <w:cols w:num="4" w:equalWidth="0">
            <w:col w:w="1972" w:space="40"/>
            <w:col w:w="1974" w:space="40"/>
            <w:col w:w="825" w:space="40"/>
            <w:col w:w="1089"/>
          </w:cols>
        </w:sectPr>
      </w:pPr>
    </w:p>
    <w:p>
      <w:pPr>
        <w:pStyle w:val="BodyText"/>
        <w:rPr>
          <w:i/>
          <w:sz w:val="8"/>
        </w:rPr>
      </w:pPr>
    </w:p>
    <w:p>
      <w:pPr>
        <w:pStyle w:val="BodyText"/>
        <w:spacing w:before="4"/>
        <w:rPr>
          <w:i/>
          <w:sz w:val="6"/>
        </w:rPr>
      </w:pPr>
    </w:p>
    <w:p>
      <w:pPr>
        <w:spacing w:line="65" w:lineRule="exact" w:before="1"/>
        <w:ind w:left="74" w:right="2210" w:firstLine="0"/>
        <w:jc w:val="center"/>
        <w:rPr>
          <w:rFonts w:ascii="Arial"/>
          <w:sz w:val="8"/>
        </w:rPr>
      </w:pPr>
      <w:r>
        <w:rPr/>
        <w:pict>
          <v:shape style="position:absolute;margin-left:118.620003pt;margin-top:-5.206232pt;width:6.35pt;height:26pt;mso-position-horizontal-relative:page;mso-position-vertical-relative:paragraph;z-index:-705976" type="#_x0000_t202" filled="false" stroked="false">
            <v:textbox inset="0,0,0,0">
              <w:txbxContent>
                <w:p>
                  <w:pPr>
                    <w:spacing w:line="520" w:lineRule="exact" w:before="0"/>
                    <w:ind w:left="0" w:right="0" w:firstLine="0"/>
                    <w:jc w:val="left"/>
                    <w:rPr>
                      <w:rFonts w:ascii="Arial"/>
                      <w:sz w:val="52"/>
                    </w:rPr>
                  </w:pPr>
                  <w:r>
                    <w:rPr>
                      <w:rFonts w:ascii="Arial"/>
                      <w:spacing w:val="-180"/>
                      <w:w w:val="105"/>
                      <w:sz w:val="52"/>
                    </w:rPr>
                    <w:t>1</w:t>
                  </w:r>
                </w:p>
              </w:txbxContent>
            </v:textbox>
            <w10:wrap type="none"/>
          </v:shape>
        </w:pict>
      </w:r>
      <w:r>
        <w:rPr>
          <w:rFonts w:ascii="Arial"/>
          <w:w w:val="110"/>
          <w:sz w:val="8"/>
        </w:rPr>
        <w:t>00</w:t>
      </w:r>
    </w:p>
    <w:p>
      <w:pPr>
        <w:tabs>
          <w:tab w:pos="1849" w:val="left" w:leader="none"/>
        </w:tabs>
        <w:spacing w:line="303" w:lineRule="exact" w:before="0"/>
        <w:ind w:left="1284" w:right="739" w:firstLine="0"/>
        <w:jc w:val="left"/>
        <w:rPr>
          <w:i/>
          <w:sz w:val="21"/>
        </w:rPr>
      </w:pPr>
      <w:r>
        <w:rPr>
          <w:w w:val="108"/>
          <w:sz w:val="18"/>
        </w:rPr>
        <w:t>e</w:t>
      </w:r>
      <w:r>
        <w:rPr>
          <w:sz w:val="18"/>
        </w:rPr>
        <w:t> </w:t>
      </w:r>
      <w:r>
        <w:rPr>
          <w:spacing w:val="13"/>
          <w:sz w:val="18"/>
        </w:rPr>
        <w:t> </w:t>
      </w:r>
      <w:r>
        <w:rPr>
          <w:w w:val="103"/>
          <w:sz w:val="24"/>
        </w:rPr>
        <w:t>=</w:t>
      </w:r>
      <w:r>
        <w:rPr>
          <w:sz w:val="24"/>
        </w:rPr>
        <w:tab/>
      </w:r>
      <w:r>
        <w:rPr>
          <w:rFonts w:ascii="Arial" w:hAnsi="Arial"/>
          <w:spacing w:val="-278"/>
          <w:w w:val="396"/>
          <w:sz w:val="19"/>
        </w:rPr>
        <w:t>!</w:t>
      </w:r>
      <w:r>
        <w:rPr>
          <w:rFonts w:ascii="Arial" w:hAnsi="Arial"/>
          <w:w w:val="189"/>
          <w:sz w:val="19"/>
        </w:rPr>
        <w:t>(</w:t>
      </w:r>
      <w:r>
        <w:rPr>
          <w:rFonts w:ascii="Arial" w:hAnsi="Arial"/>
          <w:w w:val="189"/>
          <w:sz w:val="19"/>
        </w:rPr>
        <w:t>l</w:t>
      </w:r>
      <w:r>
        <w:rPr>
          <w:rFonts w:ascii="Arial" w:hAnsi="Arial"/>
          <w:spacing w:val="-9"/>
          <w:sz w:val="19"/>
        </w:rPr>
        <w:t> </w:t>
      </w:r>
      <w:r>
        <w:rPr>
          <w:rFonts w:ascii="Arial" w:hAnsi="Arial"/>
          <w:w w:val="276"/>
          <w:sz w:val="19"/>
        </w:rPr>
        <w:t>-</w:t>
      </w:r>
      <w:r>
        <w:rPr>
          <w:rFonts w:ascii="Arial" w:hAnsi="Arial"/>
          <w:spacing w:val="-5"/>
          <w:sz w:val="19"/>
        </w:rPr>
        <w:t> </w:t>
      </w:r>
      <w:r>
        <w:rPr>
          <w:w w:val="93"/>
          <w:sz w:val="18"/>
        </w:rPr>
        <w:t>,p40)</w:t>
      </w:r>
      <w:r>
        <w:rPr>
          <w:spacing w:val="-31"/>
          <w:sz w:val="18"/>
        </w:rPr>
        <w:t> </w:t>
      </w:r>
      <w:r>
        <w:rPr>
          <w:w w:val="62"/>
          <w:position w:val="11"/>
          <w:sz w:val="18"/>
        </w:rPr>
        <w:t>2</w:t>
      </w:r>
      <w:r>
        <w:rPr>
          <w:spacing w:val="7"/>
          <w:position w:val="11"/>
          <w:sz w:val="18"/>
        </w:rPr>
        <w:t> </w:t>
      </w:r>
      <w:r>
        <w:rPr>
          <w:w w:val="117"/>
          <w:sz w:val="18"/>
        </w:rPr>
        <w:t>t/H,pa¡</w:t>
      </w:r>
      <w:r>
        <w:rPr>
          <w:sz w:val="18"/>
        </w:rPr>
        <w:t> </w:t>
      </w:r>
      <w:r>
        <w:rPr>
          <w:w w:val="126"/>
          <w:sz w:val="15"/>
        </w:rPr>
        <w:t>l'li+c</w:t>
      </w:r>
      <w:r>
        <w:rPr>
          <w:spacing w:val="-12"/>
          <w:sz w:val="15"/>
        </w:rPr>
        <w:t> </w:t>
      </w:r>
      <w:r>
        <w:rPr>
          <w:w w:val="73"/>
          <w:sz w:val="15"/>
        </w:rPr>
        <w:t>º</w:t>
      </w:r>
      <w:r>
        <w:rPr>
          <w:spacing w:val="10"/>
          <w:sz w:val="15"/>
        </w:rPr>
        <w:t> </w:t>
      </w:r>
      <w:r>
        <w:rPr>
          <w:w w:val="77"/>
          <w:sz w:val="19"/>
        </w:rPr>
        <w:t>c+aPao</w:t>
      </w:r>
      <w:r>
        <w:rPr>
          <w:spacing w:val="16"/>
          <w:sz w:val="19"/>
        </w:rPr>
        <w:t> </w:t>
      </w:r>
      <w:r>
        <w:rPr>
          <w:i/>
          <w:w w:val="92"/>
          <w:sz w:val="21"/>
        </w:rPr>
        <w:t>dt</w:t>
      </w:r>
    </w:p>
    <w:p>
      <w:pPr>
        <w:spacing w:before="172"/>
        <w:ind w:left="114" w:right="739" w:firstLine="0"/>
        <w:jc w:val="left"/>
        <w:rPr>
          <w:i/>
          <w:sz w:val="21"/>
        </w:rPr>
      </w:pPr>
      <w:r>
        <w:rPr>
          <w:spacing w:val="-39"/>
          <w:w w:val="129"/>
          <w:sz w:val="20"/>
        </w:rPr>
        <w:t>1</w:t>
      </w:r>
      <w:r>
        <w:rPr>
          <w:w w:val="106"/>
          <w:sz w:val="20"/>
        </w:rPr>
        <w:t>5.</w:t>
      </w:r>
      <w:r>
        <w:rPr>
          <w:sz w:val="20"/>
        </w:rPr>
        <w:t> </w:t>
      </w:r>
      <w:r>
        <w:rPr>
          <w:spacing w:val="-11"/>
          <w:sz w:val="20"/>
        </w:rPr>
        <w:t> </w:t>
      </w:r>
      <w:r>
        <w:rPr>
          <w:w w:val="98"/>
          <w:sz w:val="20"/>
        </w:rPr>
        <w:t>200,000</w:t>
      </w:r>
      <w:r>
        <w:rPr>
          <w:sz w:val="20"/>
        </w:rPr>
        <w:t> </w:t>
      </w:r>
      <w:r>
        <w:rPr>
          <w:spacing w:val="-7"/>
          <w:sz w:val="20"/>
        </w:rPr>
        <w:t> </w:t>
      </w:r>
      <w:r>
        <w:rPr>
          <w:i/>
          <w:w w:val="38"/>
          <w:sz w:val="21"/>
        </w:rPr>
        <w:t>[</w:t>
      </w:r>
      <w:r>
        <w:rPr>
          <w:i/>
          <w:spacing w:val="-38"/>
          <w:sz w:val="21"/>
        </w:rPr>
        <w:t> </w:t>
      </w:r>
      <w:r>
        <w:rPr>
          <w:i/>
          <w:spacing w:val="35"/>
          <w:w w:val="171"/>
          <w:sz w:val="21"/>
        </w:rPr>
        <w:t>A</w:t>
      </w:r>
      <w:r>
        <w:rPr>
          <w:i/>
          <w:w w:val="66"/>
          <w:sz w:val="21"/>
        </w:rPr>
        <w:t>z</w:t>
      </w:r>
      <w:r>
        <w:rPr>
          <w:i/>
          <w:sz w:val="21"/>
        </w:rPr>
        <w:t> </w:t>
      </w:r>
      <w:r>
        <w:rPr>
          <w:i/>
          <w:spacing w:val="2"/>
          <w:sz w:val="21"/>
        </w:rPr>
        <w:t> </w:t>
      </w:r>
      <w:r>
        <w:rPr>
          <w:w w:val="261"/>
          <w:sz w:val="21"/>
        </w:rPr>
        <w:t>-</w:t>
      </w:r>
      <w:r>
        <w:rPr>
          <w:spacing w:val="19"/>
          <w:sz w:val="21"/>
        </w:rPr>
        <w:t> </w:t>
      </w:r>
      <w:r>
        <w:rPr>
          <w:rFonts w:ascii="Arial"/>
          <w:w w:val="103"/>
          <w:sz w:val="23"/>
        </w:rPr>
        <w:t>%</w:t>
      </w:r>
      <w:r>
        <w:rPr>
          <w:rFonts w:ascii="Arial"/>
          <w:spacing w:val="-43"/>
          <w:sz w:val="23"/>
        </w:rPr>
        <w:t> </w:t>
      </w:r>
      <w:r>
        <w:rPr>
          <w:i/>
          <w:spacing w:val="10"/>
          <w:w w:val="71"/>
          <w:sz w:val="21"/>
        </w:rPr>
        <w:t>(</w:t>
      </w:r>
      <w:r>
        <w:rPr>
          <w:i/>
          <w:w w:val="171"/>
          <w:sz w:val="21"/>
        </w:rPr>
        <w:t>A</w:t>
      </w:r>
      <w:r>
        <w:rPr>
          <w:i/>
          <w:spacing w:val="-18"/>
          <w:sz w:val="21"/>
        </w:rPr>
        <w:t> </w:t>
      </w:r>
      <w:r>
        <w:rPr>
          <w:i/>
          <w:w w:val="43"/>
          <w:sz w:val="21"/>
        </w:rPr>
        <w:t>:i:i,</w:t>
      </w:r>
      <w:r>
        <w:rPr>
          <w:i/>
          <w:sz w:val="21"/>
        </w:rPr>
        <w:t> </w:t>
      </w:r>
      <w:r>
        <w:rPr>
          <w:i/>
          <w:spacing w:val="-25"/>
          <w:sz w:val="21"/>
        </w:rPr>
        <w:t> </w:t>
      </w:r>
      <w:r>
        <w:rPr>
          <w:rFonts w:ascii="Arial"/>
          <w:w w:val="107"/>
          <w:sz w:val="31"/>
        </w:rPr>
        <w:t>+</w:t>
      </w:r>
      <w:r>
        <w:rPr>
          <w:rFonts w:ascii="Arial"/>
          <w:spacing w:val="-23"/>
          <w:sz w:val="31"/>
        </w:rPr>
        <w:t> </w:t>
      </w:r>
      <w:r>
        <w:rPr>
          <w:i/>
          <w:spacing w:val="34"/>
          <w:w w:val="169"/>
          <w:sz w:val="21"/>
        </w:rPr>
        <w:t>A</w:t>
      </w:r>
      <w:r>
        <w:rPr>
          <w:i/>
          <w:w w:val="63"/>
          <w:sz w:val="21"/>
        </w:rPr>
        <w:t>zd</w:t>
      </w:r>
      <w:r>
        <w:rPr>
          <w:i/>
          <w:sz w:val="21"/>
        </w:rPr>
        <w:t> </w:t>
      </w:r>
      <w:r>
        <w:rPr>
          <w:i/>
          <w:spacing w:val="5"/>
          <w:sz w:val="21"/>
        </w:rPr>
        <w:t> </w:t>
      </w:r>
      <w:r>
        <w:rPr>
          <w:rFonts w:ascii="Arial"/>
          <w:w w:val="105"/>
          <w:sz w:val="31"/>
        </w:rPr>
        <w:t>+</w:t>
      </w:r>
      <w:r>
        <w:rPr>
          <w:rFonts w:ascii="Arial"/>
          <w:spacing w:val="-26"/>
          <w:sz w:val="31"/>
        </w:rPr>
        <w:t> </w:t>
      </w:r>
      <w:r>
        <w:rPr>
          <w:i/>
          <w:spacing w:val="35"/>
          <w:w w:val="174"/>
          <w:sz w:val="21"/>
        </w:rPr>
        <w:t>A</w:t>
      </w:r>
      <w:r>
        <w:rPr>
          <w:i/>
          <w:spacing w:val="14"/>
          <w:w w:val="134"/>
          <w:sz w:val="21"/>
        </w:rPr>
        <w:t>u</w:t>
      </w:r>
      <w:r>
        <w:rPr>
          <w:i/>
          <w:w w:val="71"/>
          <w:sz w:val="21"/>
        </w:rPr>
        <w:t>)</w:t>
      </w:r>
    </w:p>
    <w:p>
      <w:pPr>
        <w:spacing w:before="49"/>
        <w:ind w:left="1759" w:right="0" w:firstLine="0"/>
        <w:jc w:val="left"/>
        <w:rPr>
          <w:b/>
          <w:sz w:val="19"/>
        </w:rPr>
      </w:pPr>
      <w:r>
        <w:rPr>
          <w:w w:val="100"/>
          <w:sz w:val="27"/>
        </w:rPr>
        <w:t>+%</w:t>
      </w:r>
      <w:r>
        <w:rPr>
          <w:spacing w:val="-24"/>
          <w:sz w:val="27"/>
        </w:rPr>
        <w:t> </w:t>
      </w:r>
      <w:r>
        <w:rPr>
          <w:b/>
          <w:i/>
          <w:spacing w:val="12"/>
          <w:w w:val="67"/>
          <w:sz w:val="20"/>
        </w:rPr>
        <w:t>(</w:t>
      </w:r>
      <w:r>
        <w:rPr>
          <w:b/>
          <w:i/>
          <w:w w:val="169"/>
          <w:sz w:val="20"/>
        </w:rPr>
        <w:t>A</w:t>
      </w:r>
      <w:r>
        <w:rPr>
          <w:b/>
          <w:i/>
          <w:spacing w:val="-14"/>
          <w:sz w:val="20"/>
        </w:rPr>
        <w:t> </w:t>
      </w:r>
      <w:r>
        <w:rPr>
          <w:b/>
          <w:i/>
          <w:w w:val="49"/>
          <w:sz w:val="20"/>
        </w:rPr>
        <w:t>:i:i,d</w:t>
      </w:r>
      <w:r>
        <w:rPr>
          <w:b/>
          <w:i/>
          <w:sz w:val="20"/>
        </w:rPr>
        <w:t> </w:t>
      </w:r>
      <w:r>
        <w:rPr>
          <w:b/>
          <w:i/>
          <w:spacing w:val="16"/>
          <w:sz w:val="20"/>
        </w:rPr>
        <w:t> </w:t>
      </w:r>
      <w:r>
        <w:rPr>
          <w:w w:val="111"/>
          <w:sz w:val="27"/>
        </w:rPr>
        <w:t>+</w:t>
      </w:r>
      <w:r>
        <w:rPr>
          <w:sz w:val="27"/>
        </w:rPr>
        <w:t> </w:t>
      </w:r>
      <w:r>
        <w:rPr>
          <w:spacing w:val="-32"/>
          <w:sz w:val="27"/>
        </w:rPr>
        <w:t> </w:t>
      </w:r>
      <w:r>
        <w:rPr>
          <w:b/>
          <w:spacing w:val="15"/>
          <w:w w:val="177"/>
          <w:sz w:val="19"/>
        </w:rPr>
        <w:t>Á</w:t>
      </w:r>
      <w:r>
        <w:rPr>
          <w:b/>
          <w:w w:val="54"/>
          <w:sz w:val="19"/>
        </w:rPr>
        <w:t>:i:i,e</w:t>
      </w:r>
      <w:r>
        <w:rPr>
          <w:b/>
          <w:spacing w:val="-25"/>
          <w:sz w:val="19"/>
        </w:rPr>
        <w:t> </w:t>
      </w:r>
      <w:r>
        <w:rPr>
          <w:b/>
          <w:w w:val="98"/>
          <w:sz w:val="19"/>
        </w:rPr>
        <w:t>)</w:t>
      </w:r>
      <w:r>
        <w:rPr>
          <w:b/>
          <w:sz w:val="19"/>
        </w:rPr>
        <w:t>  </w:t>
      </w:r>
      <w:r>
        <w:rPr>
          <w:b/>
          <w:spacing w:val="-22"/>
          <w:sz w:val="19"/>
        </w:rPr>
        <w:t> </w:t>
      </w:r>
      <w:r>
        <w:rPr>
          <w:w w:val="108"/>
          <w:sz w:val="27"/>
        </w:rPr>
        <w:t>+</w:t>
      </w:r>
      <w:r>
        <w:rPr>
          <w:sz w:val="27"/>
        </w:rPr>
        <w:t> </w:t>
      </w:r>
      <w:r>
        <w:rPr>
          <w:spacing w:val="-31"/>
          <w:sz w:val="27"/>
        </w:rPr>
        <w:t> </w:t>
      </w:r>
      <w:r>
        <w:rPr>
          <w:i/>
          <w:w w:val="104"/>
          <w:sz w:val="24"/>
        </w:rPr>
        <w:t>%</w:t>
      </w:r>
      <w:r>
        <w:rPr>
          <w:i/>
          <w:spacing w:val="-29"/>
          <w:sz w:val="24"/>
        </w:rPr>
        <w:t> </w:t>
      </w:r>
      <w:r>
        <w:rPr>
          <w:b/>
          <w:w w:val="156"/>
          <w:sz w:val="19"/>
        </w:rPr>
        <w:t>(</w:t>
      </w:r>
      <w:r>
        <w:rPr>
          <w:b/>
          <w:spacing w:val="2"/>
          <w:w w:val="156"/>
          <w:sz w:val="19"/>
        </w:rPr>
        <w:t>A</w:t>
      </w:r>
      <w:r>
        <w:rPr>
          <w:b/>
          <w:w w:val="76"/>
          <w:sz w:val="19"/>
        </w:rPr>
        <w:t>zde</w:t>
      </w:r>
      <w:r>
        <w:rPr>
          <w:b/>
          <w:sz w:val="19"/>
        </w:rPr>
        <w:t>  </w:t>
      </w:r>
      <w:r>
        <w:rPr>
          <w:b/>
          <w:spacing w:val="-23"/>
          <w:sz w:val="19"/>
        </w:rPr>
        <w:t> </w:t>
      </w:r>
      <w:r>
        <w:rPr>
          <w:w w:val="289"/>
          <w:sz w:val="19"/>
        </w:rPr>
        <w:t>-</w:t>
      </w:r>
      <w:r>
        <w:rPr>
          <w:sz w:val="19"/>
        </w:rPr>
        <w:t> </w:t>
      </w:r>
      <w:r>
        <w:rPr>
          <w:spacing w:val="-16"/>
          <w:sz w:val="19"/>
        </w:rPr>
        <w:t> </w:t>
      </w:r>
      <w:r>
        <w:rPr>
          <w:b/>
          <w:spacing w:val="11"/>
          <w:w w:val="177"/>
          <w:sz w:val="19"/>
        </w:rPr>
        <w:t>Á</w:t>
      </w:r>
      <w:r>
        <w:rPr>
          <w:b/>
          <w:w w:val="74"/>
          <w:sz w:val="19"/>
        </w:rPr>
        <w:t>:i:i,ci.</w:t>
      </w:r>
      <w:r>
        <w:rPr>
          <w:b/>
          <w:w w:val="74"/>
          <w:sz w:val="19"/>
        </w:rPr>
        <w:t>)]</w:t>
      </w:r>
    </w:p>
    <w:p>
      <w:pPr>
        <w:spacing w:before="176"/>
        <w:ind w:left="74" w:right="83" w:firstLine="0"/>
        <w:jc w:val="center"/>
        <w:rPr>
          <w:sz w:val="20"/>
        </w:rPr>
      </w:pPr>
      <w:r>
        <w:rPr>
          <w:b/>
          <w:w w:val="115"/>
          <w:sz w:val="15"/>
        </w:rPr>
        <w:t>CIIAPTER </w:t>
      </w:r>
      <w:r>
        <w:rPr>
          <w:w w:val="115"/>
          <w:sz w:val="20"/>
        </w:rPr>
        <w:t>13</w:t>
      </w:r>
    </w:p>
    <w:p>
      <w:pPr>
        <w:spacing w:before="90"/>
        <w:ind w:left="200" w:right="739" w:firstLine="0"/>
        <w:jc w:val="left"/>
        <w:rPr>
          <w:i/>
          <w:sz w:val="21"/>
        </w:rPr>
      </w:pPr>
      <w:r>
        <w:rPr>
          <w:w w:val="105"/>
          <w:sz w:val="20"/>
        </w:rPr>
        <w:t>2.</w:t>
      </w:r>
      <w:r>
        <w:rPr>
          <w:sz w:val="20"/>
        </w:rPr>
        <w:t> </w:t>
      </w:r>
      <w:r>
        <w:rPr>
          <w:spacing w:val="12"/>
          <w:sz w:val="20"/>
        </w:rPr>
        <w:t> </w:t>
      </w:r>
      <w:r>
        <w:rPr>
          <w:w w:val="116"/>
          <w:sz w:val="20"/>
        </w:rPr>
        <w:t>(</w:t>
      </w:r>
      <w:r>
        <w:rPr>
          <w:w w:val="116"/>
          <w:sz w:val="20"/>
        </w:rPr>
        <w:t>a</w:t>
      </w:r>
      <w:r>
        <w:rPr>
          <w:w w:val="116"/>
          <w:sz w:val="20"/>
        </w:rPr>
        <w:t>)</w:t>
      </w:r>
      <w:r>
        <w:rPr>
          <w:sz w:val="20"/>
        </w:rPr>
        <w:t>  </w:t>
      </w:r>
      <w:r>
        <w:rPr>
          <w:i/>
          <w:spacing w:val="12"/>
          <w:w w:val="152"/>
          <w:sz w:val="21"/>
        </w:rPr>
        <w:t>ª</w:t>
      </w:r>
      <w:r>
        <w:rPr>
          <w:i/>
          <w:w w:val="66"/>
          <w:sz w:val="21"/>
        </w:rPr>
        <w:t>z</w:t>
      </w:r>
      <w:r>
        <w:rPr>
          <w:i/>
          <w:sz w:val="21"/>
        </w:rPr>
        <w:t> </w:t>
      </w:r>
      <w:r>
        <w:rPr>
          <w:i/>
          <w:spacing w:val="-13"/>
          <w:sz w:val="21"/>
        </w:rPr>
        <w:t> </w:t>
      </w:r>
      <w:r>
        <w:rPr>
          <w:rFonts w:ascii="Arial" w:hAnsi="Arial"/>
          <w:w w:val="105"/>
          <w:sz w:val="31"/>
        </w:rPr>
        <w:t>+</w:t>
      </w:r>
      <w:r>
        <w:rPr>
          <w:rFonts w:ascii="Arial" w:hAnsi="Arial"/>
          <w:spacing w:val="-30"/>
          <w:sz w:val="31"/>
        </w:rPr>
        <w:t> </w:t>
      </w:r>
      <w:r>
        <w:rPr>
          <w:rFonts w:ascii="Arial" w:hAnsi="Arial"/>
          <w:i/>
          <w:w w:val="83"/>
          <w:sz w:val="20"/>
        </w:rPr>
        <w:t>a,,</w:t>
      </w:r>
      <w:r>
        <w:rPr>
          <w:rFonts w:ascii="Arial" w:hAnsi="Arial"/>
          <w:i/>
          <w:spacing w:val="17"/>
          <w:sz w:val="20"/>
        </w:rPr>
        <w:t> </w:t>
      </w:r>
      <w:r>
        <w:rPr>
          <w:rFonts w:ascii="Arial" w:hAnsi="Arial"/>
          <w:w w:val="255"/>
          <w:sz w:val="20"/>
        </w:rPr>
        <w:t>-</w:t>
      </w:r>
      <w:r>
        <w:rPr>
          <w:rFonts w:ascii="Arial" w:hAnsi="Arial"/>
          <w:spacing w:val="15"/>
          <w:sz w:val="20"/>
        </w:rPr>
        <w:t> </w:t>
      </w:r>
      <w:r>
        <w:rPr>
          <w:i/>
          <w:w w:val="45"/>
          <w:sz w:val="21"/>
        </w:rPr>
        <w:t>ª:1:11</w:t>
      </w:r>
      <w:r>
        <w:rPr>
          <w:i/>
          <w:sz w:val="21"/>
        </w:rPr>
        <w:t> </w:t>
      </w:r>
      <w:r>
        <w:rPr>
          <w:i/>
          <w:spacing w:val="-17"/>
          <w:sz w:val="21"/>
        </w:rPr>
        <w:t> </w:t>
      </w:r>
      <w:r>
        <w:rPr>
          <w:w w:val="254"/>
          <w:sz w:val="21"/>
        </w:rPr>
        <w:t>-</w:t>
      </w:r>
      <w:r>
        <w:rPr>
          <w:spacing w:val="6"/>
          <w:sz w:val="21"/>
        </w:rPr>
        <w:t> </w:t>
      </w:r>
      <w:r>
        <w:rPr>
          <w:i/>
          <w:w w:val="83"/>
          <w:sz w:val="21"/>
        </w:rPr>
        <w:t>azz</w:t>
      </w:r>
      <w:r>
        <w:rPr>
          <w:i/>
          <w:sz w:val="21"/>
        </w:rPr>
        <w:t> </w:t>
      </w:r>
      <w:r>
        <w:rPr>
          <w:i/>
          <w:spacing w:val="-14"/>
          <w:sz w:val="21"/>
        </w:rPr>
        <w:t> </w:t>
      </w:r>
      <w:r>
        <w:rPr>
          <w:w w:val="261"/>
          <w:sz w:val="21"/>
        </w:rPr>
        <w:t>-</w:t>
      </w:r>
      <w:r>
        <w:rPr>
          <w:spacing w:val="5"/>
          <w:sz w:val="21"/>
        </w:rPr>
        <w:t> </w:t>
      </w:r>
      <w:r>
        <w:rPr>
          <w:w w:val="71"/>
          <w:sz w:val="16"/>
        </w:rPr>
        <w:t>U.,,z</w:t>
      </w:r>
      <w:r>
        <w:rPr>
          <w:sz w:val="16"/>
        </w:rPr>
        <w:t> </w:t>
      </w:r>
      <w:r>
        <w:rPr>
          <w:spacing w:val="12"/>
          <w:sz w:val="16"/>
        </w:rPr>
        <w:t> </w:t>
      </w:r>
      <w:r>
        <w:rPr>
          <w:rFonts w:ascii="Arial" w:hAnsi="Arial"/>
          <w:w w:val="105"/>
          <w:sz w:val="31"/>
        </w:rPr>
        <w:t>+</w:t>
      </w:r>
      <w:r>
        <w:rPr>
          <w:rFonts w:ascii="Arial" w:hAnsi="Arial"/>
          <w:spacing w:val="-37"/>
          <w:sz w:val="31"/>
        </w:rPr>
        <w:t> </w:t>
      </w:r>
      <w:r>
        <w:rPr>
          <w:i/>
          <w:w w:val="78"/>
          <w:sz w:val="21"/>
        </w:rPr>
        <w:t>ª:zvz</w:t>
      </w:r>
    </w:p>
    <w:p>
      <w:pPr>
        <w:pStyle w:val="BodyText"/>
        <w:spacing w:before="4"/>
        <w:rPr>
          <w:i/>
          <w:sz w:val="9"/>
        </w:rPr>
      </w:pPr>
      <w:r>
        <w:rPr/>
        <w:drawing>
          <wp:anchor distT="0" distB="0" distL="0" distR="0" allowOverlap="1" layoutInCell="1" locked="0" behindDoc="0" simplePos="0" relativeHeight="29944">
            <wp:simplePos x="0" y="0"/>
            <wp:positionH relativeFrom="page">
              <wp:posOffset>704087</wp:posOffset>
            </wp:positionH>
            <wp:positionV relativeFrom="paragraph">
              <wp:posOffset>93158</wp:posOffset>
            </wp:positionV>
            <wp:extent cx="1709928" cy="137159"/>
            <wp:effectExtent l="0" t="0" r="0" b="0"/>
            <wp:wrapTopAndBottom/>
            <wp:docPr id="877" name="image449.png" descr=""/>
            <wp:cNvGraphicFramePr>
              <a:graphicFrameLocks noChangeAspect="1"/>
            </wp:cNvGraphicFramePr>
            <a:graphic>
              <a:graphicData uri="http://schemas.openxmlformats.org/drawingml/2006/picture">
                <pic:pic>
                  <pic:nvPicPr>
                    <pic:cNvPr id="878" name="image449.png"/>
                    <pic:cNvPicPr/>
                  </pic:nvPicPr>
                  <pic:blipFill>
                    <a:blip r:embed="rId453" cstate="print"/>
                    <a:stretch>
                      <a:fillRect/>
                    </a:stretch>
                  </pic:blipFill>
                  <pic:spPr>
                    <a:xfrm>
                      <a:off x="0" y="0"/>
                      <a:ext cx="1709928" cy="137159"/>
                    </a:xfrm>
                    <a:prstGeom prst="rect">
                      <a:avLst/>
                    </a:prstGeom>
                  </pic:spPr>
                </pic:pic>
              </a:graphicData>
            </a:graphic>
          </wp:anchor>
        </w:drawing>
      </w:r>
    </w:p>
    <w:p>
      <w:pPr>
        <w:spacing w:before="0"/>
        <w:ind w:left="189" w:right="739" w:firstLine="0"/>
        <w:jc w:val="left"/>
        <w:rPr>
          <w:i/>
          <w:sz w:val="21"/>
        </w:rPr>
      </w:pPr>
      <w:r>
        <w:rPr>
          <w:w w:val="105"/>
          <w:sz w:val="20"/>
        </w:rPr>
        <w:t>3. Share of </w:t>
      </w:r>
      <w:r>
        <w:rPr>
          <w:i/>
          <w:spacing w:val="5"/>
          <w:w w:val="90"/>
          <w:sz w:val="20"/>
        </w:rPr>
        <w:t>(x </w:t>
      </w:r>
      <w:r>
        <w:rPr>
          <w:i/>
          <w:w w:val="90"/>
          <w:sz w:val="20"/>
        </w:rPr>
        <w:t>) </w:t>
      </w:r>
      <w:r>
        <w:rPr>
          <w:w w:val="105"/>
          <w:sz w:val="20"/>
        </w:rPr>
        <w:t>: </w:t>
      </w:r>
      <w:r>
        <w:rPr>
          <w:i/>
          <w:w w:val="90"/>
          <w:sz w:val="21"/>
        </w:rPr>
        <w:t>a:z </w:t>
      </w:r>
      <w:r>
        <w:rPr>
          <w:w w:val="240"/>
          <w:sz w:val="21"/>
        </w:rPr>
        <w:t>- </w:t>
      </w:r>
      <w:r>
        <w:rPr>
          <w:i/>
          <w:w w:val="105"/>
          <w:sz w:val="20"/>
        </w:rPr>
        <w:t>!azv </w:t>
      </w:r>
      <w:r>
        <w:rPr>
          <w:w w:val="240"/>
          <w:sz w:val="20"/>
        </w:rPr>
        <w:t>- </w:t>
      </w:r>
      <w:r>
        <w:rPr>
          <w:i/>
          <w:spacing w:val="2"/>
          <w:w w:val="90"/>
          <w:sz w:val="21"/>
        </w:rPr>
        <w:t>%a:zz </w:t>
      </w:r>
      <w:r>
        <w:rPr>
          <w:rFonts w:ascii="Arial"/>
          <w:w w:val="105"/>
          <w:sz w:val="31"/>
        </w:rPr>
        <w:t>+</w:t>
      </w:r>
      <w:r>
        <w:rPr>
          <w:rFonts w:ascii="Arial"/>
          <w:spacing w:val="-57"/>
          <w:w w:val="105"/>
          <w:sz w:val="31"/>
        </w:rPr>
        <w:t> </w:t>
      </w:r>
      <w:r>
        <w:rPr>
          <w:i/>
          <w:w w:val="105"/>
          <w:sz w:val="21"/>
        </w:rPr>
        <w:t>%azvz</w:t>
      </w:r>
    </w:p>
    <w:p>
      <w:pPr>
        <w:spacing w:after="0"/>
        <w:jc w:val="left"/>
        <w:rPr>
          <w:sz w:val="21"/>
        </w:rPr>
        <w:sectPr>
          <w:type w:val="continuous"/>
          <w:pgSz w:w="7200" w:h="11340"/>
          <w:pgMar w:top="1100" w:bottom="0" w:left="660" w:right="560"/>
        </w:sectPr>
      </w:pPr>
    </w:p>
    <w:p>
      <w:pPr>
        <w:tabs>
          <w:tab w:pos="2642" w:val="left" w:leader="none"/>
          <w:tab w:pos="5299" w:val="left" w:leader="none"/>
        </w:tabs>
        <w:spacing w:before="50"/>
        <w:ind w:left="162" w:right="0" w:firstLine="0"/>
        <w:jc w:val="left"/>
        <w:rPr>
          <w:sz w:val="20"/>
        </w:rPr>
      </w:pPr>
      <w:r>
        <w:rPr>
          <w:rFonts w:ascii="Arial"/>
          <w:position w:val="2"/>
          <w:sz w:val="20"/>
        </w:rPr>
        <w:t>368</w:t>
        <w:tab/>
      </w:r>
      <w:r>
        <w:rPr>
          <w:b/>
          <w:position w:val="1"/>
          <w:sz w:val="15"/>
        </w:rPr>
        <w:t>ANSWERS</w:t>
        <w:tab/>
      </w:r>
      <w:r>
        <w:rPr>
          <w:sz w:val="20"/>
        </w:rPr>
        <w:t>[CH.</w:t>
      </w:r>
      <w:r>
        <w:rPr>
          <w:spacing w:val="39"/>
          <w:sz w:val="20"/>
        </w:rPr>
        <w:t> </w:t>
      </w:r>
      <w:r>
        <w:rPr>
          <w:spacing w:val="-23"/>
          <w:sz w:val="20"/>
        </w:rPr>
        <w:t>13</w:t>
      </w:r>
    </w:p>
    <w:p>
      <w:pPr>
        <w:tabs>
          <w:tab w:pos="1962" w:val="left" w:leader="none"/>
          <w:tab w:pos="3722" w:val="left" w:leader="none"/>
        </w:tabs>
        <w:spacing w:line="353" w:lineRule="exact" w:before="144"/>
        <w:ind w:left="493" w:right="0" w:firstLine="0"/>
        <w:jc w:val="left"/>
        <w:rPr>
          <w:rFonts w:ascii="Arial" w:hAnsi="Arial"/>
          <w:i/>
          <w:sz w:val="24"/>
        </w:rPr>
      </w:pPr>
      <w:r>
        <w:rPr>
          <w:w w:val="105"/>
          <w:sz w:val="20"/>
        </w:rPr>
        <w:t>Share</w:t>
      </w:r>
      <w:r>
        <w:rPr>
          <w:spacing w:val="3"/>
          <w:w w:val="105"/>
          <w:sz w:val="20"/>
        </w:rPr>
        <w:t> </w:t>
      </w:r>
      <w:r>
        <w:rPr>
          <w:w w:val="105"/>
          <w:sz w:val="20"/>
        </w:rPr>
        <w:t>of </w:t>
      </w:r>
      <w:r>
        <w:rPr>
          <w:spacing w:val="17"/>
          <w:w w:val="105"/>
          <w:sz w:val="20"/>
        </w:rPr>
        <w:t> </w:t>
      </w:r>
      <w:r>
        <w:rPr>
          <w:spacing w:val="5"/>
          <w:w w:val="105"/>
          <w:sz w:val="20"/>
        </w:rPr>
        <w:t>(y):</w:t>
        <w:tab/>
      </w:r>
      <w:r>
        <w:rPr>
          <w:w w:val="245"/>
          <w:sz w:val="20"/>
        </w:rPr>
        <w:t>-</w:t>
      </w:r>
      <w:r>
        <w:rPr>
          <w:spacing w:val="-63"/>
          <w:w w:val="245"/>
          <w:sz w:val="20"/>
        </w:rPr>
        <w:t> </w:t>
      </w:r>
      <w:r>
        <w:rPr>
          <w:spacing w:val="18"/>
          <w:w w:val="210"/>
          <w:sz w:val="26"/>
        </w:rPr>
        <w:t>!.-</w:t>
      </w:r>
      <w:r>
        <w:rPr>
          <w:spacing w:val="-83"/>
          <w:w w:val="210"/>
          <w:sz w:val="26"/>
        </w:rPr>
        <w:t> </w:t>
      </w:r>
      <w:r>
        <w:rPr>
          <w:i/>
          <w:w w:val="105"/>
          <w:sz w:val="20"/>
        </w:rPr>
        <w:t>}asi,</w:t>
      </w:r>
      <w:r>
        <w:rPr>
          <w:i/>
          <w:spacing w:val="36"/>
          <w:w w:val="105"/>
          <w:sz w:val="20"/>
        </w:rPr>
        <w:t> </w:t>
      </w:r>
      <w:r>
        <w:rPr>
          <w:rFonts w:ascii="Arial" w:hAnsi="Arial"/>
          <w:w w:val="105"/>
          <w:sz w:val="31"/>
        </w:rPr>
        <w:t>+</w:t>
        <w:tab/>
      </w:r>
      <w:r>
        <w:rPr>
          <w:rFonts w:ascii="Arial" w:hAnsi="Arial"/>
          <w:i/>
          <w:w w:val="105"/>
          <w:sz w:val="24"/>
        </w:rPr>
        <w:t>ªQ•</w:t>
      </w:r>
    </w:p>
    <w:p>
      <w:pPr>
        <w:spacing w:line="276" w:lineRule="exact" w:before="0"/>
        <w:ind w:left="490" w:right="0" w:firstLine="0"/>
        <w:jc w:val="left"/>
        <w:rPr>
          <w:sz w:val="20"/>
        </w:rPr>
      </w:pPr>
      <w:r>
        <w:rPr>
          <w:w w:val="115"/>
          <w:sz w:val="20"/>
        </w:rPr>
        <w:t>Share of (z): </w:t>
      </w:r>
      <w:r>
        <w:rPr>
          <w:i/>
          <w:w w:val="115"/>
          <w:sz w:val="27"/>
        </w:rPr>
        <w:t>a.</w:t>
      </w:r>
      <w:r>
        <w:rPr>
          <w:i/>
          <w:spacing w:val="-56"/>
          <w:w w:val="115"/>
          <w:sz w:val="27"/>
        </w:rPr>
        <w:t> </w:t>
      </w:r>
      <w:r>
        <w:rPr>
          <w:w w:val="175"/>
          <w:sz w:val="27"/>
        </w:rPr>
        <w:t>-</w:t>
      </w:r>
      <w:r>
        <w:rPr>
          <w:spacing w:val="-92"/>
          <w:w w:val="175"/>
          <w:sz w:val="27"/>
        </w:rPr>
        <w:t> </w:t>
      </w:r>
      <w:r>
        <w:rPr>
          <w:i/>
          <w:spacing w:val="-3"/>
          <w:w w:val="90"/>
          <w:sz w:val="27"/>
        </w:rPr>
        <w:t>%a•• </w:t>
      </w:r>
      <w:r>
        <w:rPr>
          <w:w w:val="175"/>
          <w:sz w:val="27"/>
        </w:rPr>
        <w:t>-</w:t>
      </w:r>
      <w:r>
        <w:rPr>
          <w:spacing w:val="-97"/>
          <w:w w:val="175"/>
          <w:sz w:val="27"/>
        </w:rPr>
        <w:t> </w:t>
      </w:r>
      <w:r>
        <w:rPr>
          <w:w w:val="115"/>
          <w:sz w:val="22"/>
        </w:rPr>
        <w:t>ia.,, </w:t>
      </w:r>
      <w:r>
        <w:rPr>
          <w:rFonts w:ascii="Arial" w:hAnsi="Arial"/>
          <w:w w:val="115"/>
          <w:sz w:val="31"/>
        </w:rPr>
        <w:t>+</w:t>
      </w:r>
      <w:r>
        <w:rPr>
          <w:rFonts w:ascii="Arial" w:hAnsi="Arial"/>
          <w:spacing w:val="-73"/>
          <w:w w:val="115"/>
          <w:sz w:val="31"/>
        </w:rPr>
        <w:t> </w:t>
      </w:r>
      <w:r>
        <w:rPr>
          <w:w w:val="90"/>
          <w:sz w:val="20"/>
        </w:rPr>
        <w:t>%ass,.11</w:t>
      </w:r>
    </w:p>
    <w:p>
      <w:pPr>
        <w:spacing w:line="613" w:lineRule="exact" w:before="0"/>
        <w:ind w:left="245" w:right="0" w:firstLine="0"/>
        <w:jc w:val="left"/>
        <w:rPr>
          <w:i/>
          <w:sz w:val="21"/>
        </w:rPr>
      </w:pPr>
      <w:r>
        <w:rPr>
          <w:w w:val="104"/>
          <w:sz w:val="20"/>
        </w:rPr>
        <w:t>4.</w:t>
      </w:r>
      <w:r>
        <w:rPr>
          <w:sz w:val="20"/>
        </w:rPr>
        <w:t> </w:t>
      </w:r>
      <w:r>
        <w:rPr>
          <w:spacing w:val="-22"/>
          <w:sz w:val="20"/>
        </w:rPr>
        <w:t> </w:t>
      </w:r>
      <w:r>
        <w:rPr>
          <w:spacing w:val="27"/>
          <w:w w:val="88"/>
          <w:sz w:val="60"/>
        </w:rPr>
        <w:t>f</w:t>
      </w:r>
      <w:r>
        <w:rPr>
          <w:w w:val="27"/>
          <w:sz w:val="60"/>
        </w:rPr>
        <w:t>º</w:t>
      </w:r>
      <w:r>
        <w:rPr>
          <w:spacing w:val="-105"/>
          <w:sz w:val="60"/>
        </w:rPr>
        <w:t> </w:t>
      </w:r>
      <w:r>
        <w:rPr>
          <w:i/>
          <w:w w:val="105"/>
          <w:sz w:val="19"/>
        </w:rPr>
        <w:t>v'</w:t>
      </w:r>
      <w:r>
        <w:rPr>
          <w:i/>
          <w:spacing w:val="-18"/>
          <w:sz w:val="19"/>
        </w:rPr>
        <w:t> </w:t>
      </w:r>
      <w:r>
        <w:rPr>
          <w:i/>
          <w:w w:val="117"/>
          <w:sz w:val="20"/>
        </w:rPr>
        <w:t>,p.</w:t>
      </w:r>
      <w:r>
        <w:rPr>
          <w:i/>
          <w:w w:val="113"/>
          <w:sz w:val="20"/>
        </w:rPr>
        <w:t>(1</w:t>
      </w:r>
      <w:r>
        <w:rPr>
          <w:i/>
          <w:sz w:val="20"/>
        </w:rPr>
        <w:t> </w:t>
      </w:r>
      <w:r>
        <w:rPr>
          <w:i/>
          <w:spacing w:val="-20"/>
          <w:sz w:val="20"/>
        </w:rPr>
        <w:t> </w:t>
      </w:r>
      <w:r>
        <w:rPr>
          <w:w w:val="282"/>
          <w:sz w:val="20"/>
        </w:rPr>
        <w:t>-</w:t>
      </w:r>
      <w:r>
        <w:rPr>
          <w:spacing w:val="6"/>
          <w:sz w:val="20"/>
        </w:rPr>
        <w:t> </w:t>
      </w:r>
      <w:r>
        <w:rPr>
          <w:w w:val="105"/>
          <w:sz w:val="23"/>
        </w:rPr>
        <w:t>,p;.</w:t>
      </w:r>
      <w:r>
        <w:rPr>
          <w:w w:val="105"/>
          <w:sz w:val="23"/>
        </w:rPr>
        <w:t>)</w:t>
      </w:r>
      <w:r>
        <w:rPr>
          <w:spacing w:val="10"/>
          <w:sz w:val="23"/>
        </w:rPr>
        <w:t> </w:t>
      </w:r>
      <w:r>
        <w:rPr>
          <w:i/>
          <w:w w:val="92"/>
          <w:sz w:val="21"/>
        </w:rPr>
        <w:t>dt</w:t>
      </w:r>
    </w:p>
    <w:p>
      <w:pPr>
        <w:pStyle w:val="BodyText"/>
        <w:spacing w:before="3"/>
        <w:rPr>
          <w:i/>
          <w:sz w:val="11"/>
        </w:rPr>
      </w:pPr>
      <w:r>
        <w:rPr/>
        <w:drawing>
          <wp:anchor distT="0" distB="0" distL="0" distR="0" allowOverlap="1" layoutInCell="1" locked="0" behindDoc="0" simplePos="0" relativeHeight="30112">
            <wp:simplePos x="0" y="0"/>
            <wp:positionH relativeFrom="page">
              <wp:posOffset>731519</wp:posOffset>
            </wp:positionH>
            <wp:positionV relativeFrom="paragraph">
              <wp:posOffset>107324</wp:posOffset>
            </wp:positionV>
            <wp:extent cx="2843784" cy="283463"/>
            <wp:effectExtent l="0" t="0" r="0" b="0"/>
            <wp:wrapTopAndBottom/>
            <wp:docPr id="879" name="image450.png" descr=""/>
            <wp:cNvGraphicFramePr>
              <a:graphicFrameLocks noChangeAspect="1"/>
            </wp:cNvGraphicFramePr>
            <a:graphic>
              <a:graphicData uri="http://schemas.openxmlformats.org/drawingml/2006/picture">
                <pic:pic>
                  <pic:nvPicPr>
                    <pic:cNvPr id="880" name="image450.png"/>
                    <pic:cNvPicPr/>
                  </pic:nvPicPr>
                  <pic:blipFill>
                    <a:blip r:embed="rId454" cstate="print"/>
                    <a:stretch>
                      <a:fillRect/>
                    </a:stretch>
                  </pic:blipFill>
                  <pic:spPr>
                    <a:xfrm>
                      <a:off x="0" y="0"/>
                      <a:ext cx="2843784" cy="283463"/>
                    </a:xfrm>
                    <a:prstGeom prst="rect">
                      <a:avLst/>
                    </a:prstGeom>
                  </pic:spPr>
                </pic:pic>
              </a:graphicData>
            </a:graphic>
          </wp:anchor>
        </w:drawing>
      </w:r>
      <w:r>
        <w:rPr/>
        <w:drawing>
          <wp:anchor distT="0" distB="0" distL="0" distR="0" allowOverlap="1" layoutInCell="1" locked="0" behindDoc="0" simplePos="0" relativeHeight="30136">
            <wp:simplePos x="0" y="0"/>
            <wp:positionH relativeFrom="page">
              <wp:posOffset>722376</wp:posOffset>
            </wp:positionH>
            <wp:positionV relativeFrom="paragraph">
              <wp:posOffset>509660</wp:posOffset>
            </wp:positionV>
            <wp:extent cx="1389888" cy="128015"/>
            <wp:effectExtent l="0" t="0" r="0" b="0"/>
            <wp:wrapTopAndBottom/>
            <wp:docPr id="881" name="image451.png" descr=""/>
            <wp:cNvGraphicFramePr>
              <a:graphicFrameLocks noChangeAspect="1"/>
            </wp:cNvGraphicFramePr>
            <a:graphic>
              <a:graphicData uri="http://schemas.openxmlformats.org/drawingml/2006/picture">
                <pic:pic>
                  <pic:nvPicPr>
                    <pic:cNvPr id="882" name="image451.png"/>
                    <pic:cNvPicPr/>
                  </pic:nvPicPr>
                  <pic:blipFill>
                    <a:blip r:embed="rId455" cstate="print"/>
                    <a:stretch>
                      <a:fillRect/>
                    </a:stretch>
                  </pic:blipFill>
                  <pic:spPr>
                    <a:xfrm>
                      <a:off x="0" y="0"/>
                      <a:ext cx="1389888" cy="128015"/>
                    </a:xfrm>
                    <a:prstGeom prst="rect">
                      <a:avLst/>
                    </a:prstGeom>
                  </pic:spPr>
                </pic:pic>
              </a:graphicData>
            </a:graphic>
          </wp:anchor>
        </w:drawing>
      </w:r>
    </w:p>
    <w:p>
      <w:pPr>
        <w:pStyle w:val="BodyText"/>
        <w:spacing w:before="4"/>
        <w:rPr>
          <w:i/>
          <w:sz w:val="10"/>
        </w:rPr>
      </w:pPr>
    </w:p>
    <w:p>
      <w:pPr>
        <w:spacing w:before="180"/>
        <w:ind w:left="241" w:right="0" w:firstLine="0"/>
        <w:jc w:val="left"/>
        <w:rPr>
          <w:rFonts w:ascii="Arial" w:hAnsi="Arial"/>
          <w:i/>
          <w:sz w:val="21"/>
        </w:rPr>
      </w:pPr>
      <w:r>
        <w:rPr>
          <w:w w:val="105"/>
          <w:sz w:val="20"/>
        </w:rPr>
        <w:t>7.</w:t>
      </w:r>
      <w:r>
        <w:rPr>
          <w:spacing w:val="22"/>
          <w:sz w:val="20"/>
        </w:rPr>
        <w:t> </w:t>
      </w:r>
      <w:r>
        <w:rPr>
          <w:rFonts w:ascii="Arial" w:hAnsi="Arial"/>
          <w:w w:val="117"/>
          <w:sz w:val="19"/>
        </w:rPr>
        <w:t>(</w:t>
      </w:r>
      <w:r>
        <w:rPr>
          <w:rFonts w:ascii="Arial" w:hAnsi="Arial"/>
          <w:w w:val="117"/>
          <w:sz w:val="19"/>
        </w:rPr>
        <w:t>a</w:t>
      </w:r>
      <w:r>
        <w:rPr>
          <w:rFonts w:ascii="Arial" w:hAnsi="Arial"/>
          <w:w w:val="117"/>
          <w:sz w:val="19"/>
        </w:rPr>
        <w:t>)</w:t>
      </w:r>
      <w:r>
        <w:rPr>
          <w:rFonts w:ascii="Arial" w:hAnsi="Arial"/>
          <w:spacing w:val="4"/>
          <w:sz w:val="19"/>
        </w:rPr>
        <w:t> </w:t>
      </w:r>
      <w:r>
        <w:rPr>
          <w:rFonts w:ascii="Arial" w:hAnsi="Arial"/>
          <w:i/>
          <w:spacing w:val="-81"/>
          <w:w w:val="80"/>
          <w:sz w:val="28"/>
        </w:rPr>
        <w:t>D</w:t>
      </w:r>
      <w:r>
        <w:rPr>
          <w:rFonts w:ascii="Arial" w:hAnsi="Arial"/>
          <w:i/>
          <w:spacing w:val="-91"/>
          <w:w w:val="108"/>
          <w:sz w:val="28"/>
        </w:rPr>
        <w:t>n</w:t>
      </w:r>
      <w:r>
        <w:rPr>
          <w:rFonts w:ascii="Arial" w:hAnsi="Arial"/>
          <w:i/>
          <w:spacing w:val="-48"/>
          <w:w w:val="269"/>
          <w:sz w:val="28"/>
        </w:rPr>
        <w:t>:</w:t>
      </w:r>
      <w:r>
        <w:rPr>
          <w:rFonts w:ascii="Arial" w:hAnsi="Arial"/>
          <w:i/>
          <w:w w:val="80"/>
          <w:sz w:val="28"/>
        </w:rPr>
        <w:t>"</w:t>
      </w:r>
      <w:r>
        <w:rPr>
          <w:rFonts w:ascii="Arial" w:hAnsi="Arial"/>
          <w:i/>
          <w:spacing w:val="-4"/>
          <w:sz w:val="28"/>
        </w:rPr>
        <w:t> </w:t>
      </w:r>
      <w:r>
        <w:rPr>
          <w:rFonts w:ascii="Arial" w:hAnsi="Arial"/>
          <w:i/>
          <w:w w:val="75"/>
          <w:sz w:val="21"/>
        </w:rPr>
        <w:t>(</w:t>
      </w:r>
      <w:r>
        <w:rPr>
          <w:rFonts w:ascii="Arial" w:hAnsi="Arial"/>
          <w:i/>
          <w:spacing w:val="-33"/>
          <w:sz w:val="21"/>
        </w:rPr>
        <w:t> </w:t>
      </w:r>
      <w:r>
        <w:rPr>
          <w:rFonts w:ascii="Arial" w:hAnsi="Arial"/>
          <w:i/>
          <w:w w:val="84"/>
          <w:sz w:val="21"/>
        </w:rPr>
        <w:t>az+n:•</w:t>
      </w:r>
      <w:r>
        <w:rPr>
          <w:rFonts w:ascii="Arial" w:hAnsi="Arial"/>
          <w:i/>
          <w:w w:val="114"/>
          <w:sz w:val="21"/>
        </w:rPr>
        <w:t>-"</w:t>
      </w:r>
      <w:r>
        <w:rPr>
          <w:rFonts w:ascii="Arial" w:hAnsi="Arial"/>
          <w:i/>
          <w:spacing w:val="-20"/>
          <w:sz w:val="21"/>
        </w:rPr>
        <w:t> </w:t>
      </w:r>
      <w:r>
        <w:rPr>
          <w:rFonts w:ascii="Arial" w:hAnsi="Arial"/>
          <w:i/>
          <w:w w:val="46"/>
          <w:sz w:val="21"/>
        </w:rPr>
        <w:t>I</w:t>
      </w:r>
      <w:r>
        <w:rPr>
          <w:rFonts w:ascii="Arial" w:hAnsi="Arial"/>
          <w:i/>
          <w:sz w:val="21"/>
        </w:rPr>
        <w:t> </w:t>
      </w:r>
      <w:r>
        <w:rPr>
          <w:rFonts w:ascii="Arial" w:hAnsi="Arial"/>
          <w:i/>
          <w:spacing w:val="-19"/>
          <w:sz w:val="21"/>
        </w:rPr>
        <w:t> </w:t>
      </w:r>
      <w:r>
        <w:rPr>
          <w:rFonts w:ascii="Arial" w:hAnsi="Arial"/>
          <w:w w:val="255"/>
          <w:sz w:val="21"/>
        </w:rPr>
        <w:t>-</w:t>
      </w:r>
      <w:r>
        <w:rPr>
          <w:rFonts w:ascii="Arial" w:hAnsi="Arial"/>
          <w:spacing w:val="3"/>
          <w:sz w:val="21"/>
        </w:rPr>
        <w:t> </w:t>
      </w:r>
      <w:r>
        <w:rPr>
          <w:rFonts w:ascii="Arial" w:hAnsi="Arial"/>
          <w:i/>
          <w:w w:val="80"/>
          <w:sz w:val="21"/>
        </w:rPr>
        <w:t>ªz+•=•=</w:t>
      </w:r>
      <w:r>
        <w:rPr>
          <w:rFonts w:ascii="Arial" w:hAnsi="Arial"/>
          <w:i/>
          <w:spacing w:val="2"/>
          <w:w w:val="80"/>
          <w:sz w:val="21"/>
        </w:rPr>
        <w:t>•</w:t>
      </w:r>
      <w:r>
        <w:rPr>
          <w:rFonts w:ascii="Arial" w:hAnsi="Arial"/>
          <w:i/>
          <w:w w:val="114"/>
          <w:sz w:val="21"/>
        </w:rPr>
        <w:t>-•I</w:t>
      </w:r>
      <w:r>
        <w:rPr>
          <w:rFonts w:ascii="Arial" w:hAnsi="Arial"/>
          <w:i/>
          <w:spacing w:val="-24"/>
          <w:sz w:val="21"/>
        </w:rPr>
        <w:t> </w:t>
      </w:r>
      <w:r>
        <w:rPr>
          <w:rFonts w:ascii="Arial" w:hAnsi="Arial"/>
          <w:i/>
          <w:w w:val="75"/>
          <w:sz w:val="21"/>
        </w:rPr>
        <w:t>)</w:t>
      </w:r>
    </w:p>
    <w:p>
      <w:pPr>
        <w:spacing w:before="240"/>
        <w:ind w:left="464" w:right="0" w:firstLine="0"/>
        <w:jc w:val="left"/>
        <w:rPr>
          <w:rFonts w:ascii="Arial" w:hAnsi="Arial"/>
          <w:b/>
          <w:sz w:val="15"/>
        </w:rPr>
      </w:pPr>
      <w:r>
        <w:rPr/>
        <w:pict>
          <v:line style="position:absolute;mso-position-horizontal-relative:page;mso-position-vertical-relative:paragraph;z-index:-705904" from="78.300003pt,-.371185pt" to="89.280003pt,-.371185pt" stroked="true" strokeweight="5.22pt" strokecolor="#000000">
            <w10:wrap type="none"/>
          </v:line>
        </w:pict>
      </w:r>
      <w:r>
        <w:rPr/>
        <w:pict>
          <v:line style="position:absolute;mso-position-horizontal-relative:page;mso-position-vertical-relative:paragraph;z-index:-705880" from="165.960007pt,-2.441185pt" to="166.860007pt,-2.441185pt" stroked="true" strokeweight="1.08pt" strokecolor="#000000">
            <w10:wrap type="none"/>
          </v:line>
        </w:pict>
      </w:r>
      <w:r>
        <w:rPr/>
        <w:pict>
          <v:line style="position:absolute;mso-position-horizontal-relative:page;mso-position-vertical-relative:paragraph;z-index:-705856" from="137.520004pt,29.238815pt" to="174.420004pt,29.238815pt" stroked="true" strokeweight="5.4pt" strokecolor="#000000">
            <w10:wrap type="none"/>
          </v:line>
        </w:pict>
      </w:r>
      <w:r>
        <w:rPr>
          <w:rFonts w:ascii="Arial" w:hAnsi="Arial"/>
          <w:w w:val="122"/>
          <w:sz w:val="19"/>
        </w:rPr>
        <w:t>(</w:t>
      </w:r>
      <w:r>
        <w:rPr>
          <w:rFonts w:ascii="Arial" w:hAnsi="Arial"/>
          <w:w w:val="122"/>
          <w:sz w:val="19"/>
        </w:rPr>
        <w:t>b</w:t>
      </w:r>
      <w:r>
        <w:rPr>
          <w:rFonts w:ascii="Arial" w:hAnsi="Arial"/>
          <w:w w:val="122"/>
          <w:sz w:val="19"/>
        </w:rPr>
        <w:t>)</w:t>
      </w:r>
      <w:r>
        <w:rPr>
          <w:rFonts w:ascii="Arial" w:hAnsi="Arial"/>
          <w:spacing w:val="14"/>
          <w:sz w:val="19"/>
        </w:rPr>
        <w:t> </w:t>
      </w:r>
      <w:r>
        <w:rPr>
          <w:rFonts w:ascii="Arial" w:hAnsi="Arial"/>
          <w:i/>
          <w:w w:val="78"/>
          <w:sz w:val="21"/>
        </w:rPr>
        <w:t>ª•</w:t>
      </w:r>
      <w:r>
        <w:rPr>
          <w:rFonts w:ascii="Arial" w:hAnsi="Arial"/>
          <w:i/>
          <w:spacing w:val="7"/>
          <w:w w:val="78"/>
          <w:sz w:val="21"/>
        </w:rPr>
        <w:t>=</w:t>
      </w:r>
      <w:r>
        <w:rPr>
          <w:rFonts w:ascii="Arial" w:hAnsi="Arial"/>
          <w:i/>
          <w:w w:val="87"/>
          <w:sz w:val="21"/>
        </w:rPr>
        <w:t>i'I</w:t>
      </w:r>
      <w:r>
        <w:rPr>
          <w:rFonts w:ascii="Arial" w:hAnsi="Arial"/>
          <w:i/>
          <w:sz w:val="21"/>
        </w:rPr>
        <w:t> </w:t>
      </w:r>
      <w:r>
        <w:rPr>
          <w:rFonts w:ascii="Arial" w:hAnsi="Arial"/>
          <w:i/>
          <w:spacing w:val="-25"/>
          <w:sz w:val="21"/>
        </w:rPr>
        <w:t> </w:t>
      </w:r>
      <w:r>
        <w:rPr>
          <w:rFonts w:ascii="Arial" w:hAnsi="Arial"/>
          <w:w w:val="105"/>
          <w:sz w:val="31"/>
        </w:rPr>
        <w:t>+</w:t>
      </w:r>
      <w:r>
        <w:rPr>
          <w:rFonts w:ascii="Arial" w:hAnsi="Arial"/>
          <w:spacing w:val="-41"/>
          <w:sz w:val="31"/>
        </w:rPr>
        <w:t> </w:t>
      </w:r>
      <w:r>
        <w:rPr>
          <w:i/>
          <w:w w:val="100"/>
          <w:sz w:val="20"/>
        </w:rPr>
        <w:t>D</w:t>
      </w:r>
      <w:r>
        <w:rPr>
          <w:i/>
          <w:sz w:val="20"/>
        </w:rPr>
        <w:t>   </w:t>
      </w:r>
      <w:r>
        <w:rPr>
          <w:i/>
          <w:spacing w:val="-22"/>
          <w:sz w:val="20"/>
        </w:rPr>
        <w:t> </w:t>
      </w:r>
      <w:r>
        <w:rPr>
          <w:i/>
          <w:spacing w:val="-48"/>
          <w:w w:val="362"/>
          <w:sz w:val="20"/>
        </w:rPr>
        <w:t>.</w:t>
      </w:r>
      <w:r>
        <w:rPr>
          <w:rFonts w:ascii="Arial" w:hAnsi="Arial"/>
          <w:b/>
          <w:w w:val="93"/>
          <w:sz w:val="15"/>
        </w:rPr>
        <w:t>az+n:w</w:t>
      </w:r>
      <w:r>
        <w:rPr>
          <w:rFonts w:ascii="Arial" w:hAnsi="Arial"/>
          <w:b/>
          <w:spacing w:val="1"/>
          <w:w w:val="93"/>
          <w:sz w:val="15"/>
        </w:rPr>
        <w:t>:</w:t>
      </w:r>
      <w:r>
        <w:rPr>
          <w:rFonts w:ascii="Arial" w:hAnsi="Arial"/>
          <w:b/>
          <w:spacing w:val="-41"/>
          <w:w w:val="513"/>
          <w:sz w:val="15"/>
        </w:rPr>
        <w:t>-</w:t>
      </w:r>
      <w:r>
        <w:rPr>
          <w:rFonts w:ascii="Arial" w:hAnsi="Arial"/>
          <w:b/>
          <w:w w:val="53"/>
          <w:sz w:val="15"/>
        </w:rPr>
        <w:t>111</w:t>
      </w:r>
    </w:p>
    <w:p>
      <w:pPr>
        <w:spacing w:before="121"/>
        <w:ind w:left="230" w:right="0" w:firstLine="0"/>
        <w:jc w:val="left"/>
        <w:rPr>
          <w:i/>
          <w:sz w:val="32"/>
        </w:rPr>
      </w:pPr>
      <w:r>
        <w:rPr/>
        <w:pict>
          <v:line style="position:absolute;mso-position-horizontal-relative:page;mso-position-vertical-relative:paragraph;z-index:-705832" from="174.960007pt,49.427509pt" to="186.120007pt,49.427509pt" stroked="true" strokeweight="5.04pt" strokecolor="#000000">
            <w10:wrap type="none"/>
          </v:line>
        </w:pict>
      </w:r>
      <w:r>
        <w:rPr>
          <w:w w:val="109"/>
          <w:sz w:val="20"/>
        </w:rPr>
        <w:t>8.</w:t>
      </w:r>
      <w:r>
        <w:rPr>
          <w:spacing w:val="16"/>
          <w:sz w:val="20"/>
        </w:rPr>
        <w:t> </w:t>
      </w:r>
      <w:r>
        <w:rPr>
          <w:w w:val="115"/>
          <w:sz w:val="20"/>
        </w:rPr>
        <w:t>(</w:t>
      </w:r>
      <w:r>
        <w:rPr>
          <w:spacing w:val="21"/>
          <w:w w:val="115"/>
          <w:sz w:val="20"/>
        </w:rPr>
        <w:t>a</w:t>
      </w:r>
      <w:r>
        <w:rPr>
          <w:w w:val="97"/>
          <w:sz w:val="20"/>
        </w:rPr>
        <w:t>)</w:t>
      </w:r>
      <w:r>
        <w:rPr>
          <w:sz w:val="20"/>
        </w:rPr>
        <w:t> </w:t>
      </w:r>
      <w:r>
        <w:rPr>
          <w:spacing w:val="-25"/>
          <w:sz w:val="20"/>
        </w:rPr>
        <w:t> </w:t>
      </w:r>
      <w:r>
        <w:rPr>
          <w:rFonts w:ascii="Arial" w:hAnsi="Arial"/>
          <w:i/>
          <w:w w:val="88"/>
          <w:sz w:val="19"/>
        </w:rPr>
        <w:t>ª•lw</w:t>
      </w:r>
      <w:r>
        <w:rPr>
          <w:rFonts w:ascii="Arial" w:hAnsi="Arial"/>
          <w:i/>
          <w:sz w:val="19"/>
        </w:rPr>
        <w:t> </w:t>
      </w:r>
      <w:r>
        <w:rPr>
          <w:rFonts w:ascii="Arial" w:hAnsi="Arial"/>
          <w:i/>
          <w:spacing w:val="-17"/>
          <w:sz w:val="19"/>
        </w:rPr>
        <w:t> </w:t>
      </w:r>
      <w:r>
        <w:rPr>
          <w:rFonts w:ascii="Arial" w:hAnsi="Arial"/>
          <w:w w:val="103"/>
          <w:sz w:val="31"/>
        </w:rPr>
        <w:t>+</w:t>
      </w:r>
      <w:r>
        <w:rPr>
          <w:rFonts w:ascii="Arial" w:hAnsi="Arial"/>
          <w:spacing w:val="-33"/>
          <w:sz w:val="31"/>
        </w:rPr>
        <w:t> </w:t>
      </w:r>
      <w:r>
        <w:rPr>
          <w:w w:val="108"/>
          <w:sz w:val="17"/>
        </w:rPr>
        <w:t>dñ]</w:t>
      </w:r>
      <w:r>
        <w:rPr>
          <w:spacing w:val="-13"/>
          <w:sz w:val="17"/>
        </w:rPr>
        <w:t> </w:t>
      </w:r>
      <w:r>
        <w:rPr>
          <w:spacing w:val="-27"/>
          <w:w w:val="161"/>
          <w:sz w:val="17"/>
        </w:rPr>
        <w:t>·</w:t>
      </w:r>
      <w:r>
        <w:rPr>
          <w:i/>
          <w:w w:val="63"/>
          <w:sz w:val="32"/>
        </w:rPr>
        <w:t>Az!</w:t>
      </w:r>
    </w:p>
    <w:p>
      <w:pPr>
        <w:spacing w:after="0"/>
        <w:jc w:val="left"/>
        <w:rPr>
          <w:sz w:val="32"/>
        </w:rPr>
        <w:sectPr>
          <w:pgSz w:w="7200" w:h="11340"/>
          <w:pgMar w:top="520" w:bottom="280" w:left="680" w:right="480"/>
        </w:sectPr>
      </w:pPr>
    </w:p>
    <w:p>
      <w:pPr>
        <w:spacing w:before="88"/>
        <w:ind w:left="461" w:right="-15" w:firstLine="0"/>
        <w:jc w:val="left"/>
        <w:rPr>
          <w:rFonts w:ascii="Arial" w:hAnsi="Arial"/>
          <w:i/>
          <w:sz w:val="21"/>
        </w:rPr>
      </w:pPr>
      <w:r>
        <w:rPr>
          <w:rFonts w:ascii="Arial" w:hAnsi="Arial"/>
          <w:spacing w:val="11"/>
          <w:position w:val="7"/>
          <w:sz w:val="31"/>
        </w:rPr>
        <w:t>(</w:t>
      </w:r>
      <w:r>
        <w:rPr>
          <w:spacing w:val="11"/>
          <w:sz w:val="20"/>
        </w:rPr>
        <w:t>b</w:t>
      </w:r>
      <w:r>
        <w:rPr>
          <w:rFonts w:ascii="Arial" w:hAnsi="Arial"/>
          <w:spacing w:val="11"/>
          <w:position w:val="7"/>
          <w:sz w:val="31"/>
        </w:rPr>
        <w:t>)</w:t>
      </w:r>
      <w:r>
        <w:rPr>
          <w:rFonts w:ascii="Arial" w:hAnsi="Arial"/>
          <w:spacing w:val="-56"/>
          <w:position w:val="7"/>
          <w:sz w:val="31"/>
        </w:rPr>
        <w:t> </w:t>
      </w:r>
      <w:r>
        <w:rPr>
          <w:rFonts w:ascii="Arial" w:hAnsi="Arial"/>
          <w:i/>
          <w:w w:val="135"/>
          <w:sz w:val="21"/>
        </w:rPr>
        <w:t>ªil</w:t>
      </w:r>
      <w:r>
        <w:rPr>
          <w:rFonts w:ascii="Arial" w:hAnsi="Arial"/>
          <w:i/>
          <w:spacing w:val="-34"/>
          <w:w w:val="135"/>
          <w:sz w:val="21"/>
        </w:rPr>
        <w:t> </w:t>
      </w:r>
      <w:r>
        <w:rPr>
          <w:rFonts w:ascii="Arial" w:hAnsi="Arial"/>
          <w:w w:val="220"/>
          <w:sz w:val="21"/>
        </w:rPr>
        <w:t>-</w:t>
      </w:r>
      <w:r>
        <w:rPr>
          <w:rFonts w:ascii="Arial" w:hAnsi="Arial"/>
          <w:spacing w:val="-99"/>
          <w:w w:val="220"/>
          <w:sz w:val="21"/>
        </w:rPr>
        <w:t> </w:t>
      </w:r>
      <w:r>
        <w:rPr>
          <w:rFonts w:ascii="Arial" w:hAnsi="Arial"/>
          <w:i/>
          <w:sz w:val="21"/>
        </w:rPr>
        <w:t>ª•=ñl</w:t>
      </w:r>
    </w:p>
    <w:p>
      <w:pPr>
        <w:spacing w:before="45"/>
        <w:ind w:left="61" w:right="0" w:firstLine="0"/>
        <w:jc w:val="left"/>
        <w:rPr>
          <w:rFonts w:ascii="Arial" w:hAnsi="Arial"/>
          <w:sz w:val="12"/>
        </w:rPr>
      </w:pPr>
      <w:r>
        <w:rPr/>
        <w:br w:type="column"/>
      </w:r>
      <w:r>
        <w:rPr>
          <w:rFonts w:ascii="Arial" w:hAnsi="Arial"/>
          <w:w w:val="105"/>
          <w:sz w:val="31"/>
        </w:rPr>
        <w:t>+</w:t>
      </w:r>
      <w:r>
        <w:rPr>
          <w:rFonts w:ascii="Arial" w:hAnsi="Arial"/>
          <w:spacing w:val="-33"/>
          <w:sz w:val="31"/>
        </w:rPr>
        <w:t> </w:t>
      </w:r>
      <w:r>
        <w:rPr>
          <w:i/>
          <w:spacing w:val="7"/>
          <w:w w:val="87"/>
          <w:position w:val="1"/>
          <w:sz w:val="14"/>
        </w:rPr>
        <w:t>V</w:t>
      </w:r>
      <w:r>
        <w:rPr>
          <w:rFonts w:ascii="Arial" w:hAnsi="Arial"/>
          <w:spacing w:val="-20"/>
          <w:w w:val="86"/>
          <w:position w:val="12"/>
          <w:sz w:val="31"/>
        </w:rPr>
        <w:t>"</w:t>
      </w:r>
      <w:r>
        <w:rPr>
          <w:rFonts w:ascii="Arial" w:hAnsi="Arial"/>
          <w:i/>
          <w:w w:val="50"/>
          <w:position w:val="1"/>
          <w:sz w:val="24"/>
        </w:rPr>
        <w:t>aw</w:t>
      </w:r>
      <w:r>
        <w:rPr>
          <w:rFonts w:ascii="Arial" w:hAnsi="Arial"/>
          <w:i/>
          <w:position w:val="1"/>
          <w:sz w:val="24"/>
        </w:rPr>
        <w:t> </w:t>
      </w:r>
      <w:r>
        <w:rPr>
          <w:rFonts w:ascii="Arial" w:hAnsi="Arial"/>
          <w:i/>
          <w:spacing w:val="-27"/>
          <w:position w:val="1"/>
          <w:sz w:val="24"/>
        </w:rPr>
        <w:t> </w:t>
      </w:r>
      <w:r>
        <w:rPr>
          <w:rFonts w:ascii="Arial" w:hAnsi="Arial"/>
          <w:w w:val="218"/>
          <w:position w:val="1"/>
          <w:sz w:val="24"/>
        </w:rPr>
        <w:t>-</w:t>
      </w:r>
      <w:r>
        <w:rPr>
          <w:rFonts w:ascii="Arial" w:hAnsi="Arial"/>
          <w:spacing w:val="-15"/>
          <w:position w:val="1"/>
          <w:sz w:val="24"/>
        </w:rPr>
        <w:t> </w:t>
      </w:r>
      <w:r>
        <w:rPr>
          <w:i/>
          <w:spacing w:val="-37"/>
          <w:w w:val="71"/>
          <w:position w:val="12"/>
          <w:sz w:val="22"/>
        </w:rPr>
        <w:t>D</w:t>
      </w:r>
      <w:r>
        <w:rPr>
          <w:rFonts w:ascii="Arial" w:hAnsi="Arial"/>
          <w:i/>
          <w:spacing w:val="-180"/>
          <w:w w:val="121"/>
          <w:position w:val="1"/>
          <w:sz w:val="21"/>
        </w:rPr>
        <w:t>D</w:t>
      </w:r>
      <w:r>
        <w:rPr>
          <w:i/>
          <w:w w:val="71"/>
          <w:position w:val="12"/>
          <w:sz w:val="22"/>
        </w:rPr>
        <w:t>s.t</w:t>
      </w:r>
      <w:r>
        <w:rPr>
          <w:i/>
          <w:spacing w:val="-34"/>
          <w:w w:val="71"/>
          <w:position w:val="12"/>
          <w:sz w:val="22"/>
        </w:rPr>
        <w:t>-</w:t>
      </w:r>
      <w:r>
        <w:rPr>
          <w:rFonts w:ascii="Arial" w:hAnsi="Arial"/>
          <w:i/>
          <w:spacing w:val="-30"/>
          <w:w w:val="121"/>
          <w:position w:val="1"/>
          <w:sz w:val="21"/>
        </w:rPr>
        <w:t>.</w:t>
      </w:r>
      <w:r>
        <w:rPr>
          <w:i/>
          <w:w w:val="131"/>
          <w:position w:val="12"/>
          <w:sz w:val="22"/>
        </w:rPr>
        <w:t>•</w:t>
      </w:r>
      <w:r>
        <w:rPr>
          <w:i/>
          <w:spacing w:val="-20"/>
          <w:position w:val="12"/>
          <w:sz w:val="22"/>
        </w:rPr>
        <w:t> </w:t>
      </w:r>
      <w:r>
        <w:rPr>
          <w:rFonts w:ascii="Arial" w:hAnsi="Arial"/>
          <w:i/>
          <w:w w:val="81"/>
          <w:position w:val="1"/>
          <w:sz w:val="21"/>
        </w:rPr>
        <w:t>ªz+n</w:t>
      </w:r>
      <w:r>
        <w:rPr>
          <w:rFonts w:ascii="Arial" w:hAnsi="Arial"/>
          <w:i/>
          <w:spacing w:val="-38"/>
          <w:position w:val="1"/>
          <w:sz w:val="21"/>
        </w:rPr>
        <w:t> </w:t>
      </w:r>
      <w:r>
        <w:rPr>
          <w:rFonts w:ascii="Arial" w:hAnsi="Arial"/>
          <w:spacing w:val="-31"/>
          <w:w w:val="177"/>
          <w:position w:val="1"/>
          <w:sz w:val="12"/>
        </w:rPr>
        <w:t>:</w:t>
      </w:r>
      <w:r>
        <w:rPr>
          <w:rFonts w:ascii="Arial" w:hAnsi="Arial"/>
          <w:w w:val="179"/>
          <w:position w:val="1"/>
          <w:sz w:val="12"/>
        </w:rPr>
        <w:t>I'</w:t>
      </w:r>
    </w:p>
    <w:p>
      <w:pPr>
        <w:spacing w:after="0"/>
        <w:jc w:val="left"/>
        <w:rPr>
          <w:rFonts w:ascii="Arial" w:hAnsi="Arial"/>
          <w:sz w:val="12"/>
        </w:rPr>
        <w:sectPr>
          <w:type w:val="continuous"/>
          <w:pgSz w:w="7200" w:h="11340"/>
          <w:pgMar w:top="1100" w:bottom="0" w:left="680" w:right="480"/>
          <w:cols w:num="2" w:equalWidth="0">
            <w:col w:w="1732" w:space="40"/>
            <w:col w:w="4268"/>
          </w:cols>
        </w:sectPr>
      </w:pPr>
    </w:p>
    <w:p>
      <w:pPr>
        <w:pStyle w:val="BodyText"/>
        <w:spacing w:before="9"/>
        <w:rPr>
          <w:rFonts w:ascii="Arial"/>
          <w:sz w:val="16"/>
        </w:rPr>
      </w:pPr>
    </w:p>
    <w:p>
      <w:pPr>
        <w:pStyle w:val="BodyText"/>
        <w:ind w:left="212"/>
        <w:rPr>
          <w:rFonts w:ascii="Arial"/>
        </w:rPr>
      </w:pPr>
      <w:r>
        <w:rPr>
          <w:rFonts w:ascii="Arial"/>
        </w:rPr>
        <w:drawing>
          <wp:inline distT="0" distB="0" distL="0" distR="0">
            <wp:extent cx="2322575" cy="292608"/>
            <wp:effectExtent l="0" t="0" r="0" b="0"/>
            <wp:docPr id="883" name="image452.png" descr=""/>
            <wp:cNvGraphicFramePr>
              <a:graphicFrameLocks noChangeAspect="1"/>
            </wp:cNvGraphicFramePr>
            <a:graphic>
              <a:graphicData uri="http://schemas.openxmlformats.org/drawingml/2006/picture">
                <pic:pic>
                  <pic:nvPicPr>
                    <pic:cNvPr id="884" name="image452.png"/>
                    <pic:cNvPicPr/>
                  </pic:nvPicPr>
                  <pic:blipFill>
                    <a:blip r:embed="rId456" cstate="print"/>
                    <a:stretch>
                      <a:fillRect/>
                    </a:stretch>
                  </pic:blipFill>
                  <pic:spPr>
                    <a:xfrm>
                      <a:off x="0" y="0"/>
                      <a:ext cx="2322575" cy="292608"/>
                    </a:xfrm>
                    <a:prstGeom prst="rect">
                      <a:avLst/>
                    </a:prstGeom>
                  </pic:spPr>
                </pic:pic>
              </a:graphicData>
            </a:graphic>
          </wp:inline>
        </w:drawing>
      </w:r>
      <w:r>
        <w:rPr>
          <w:rFonts w:ascii="Arial"/>
        </w:rPr>
      </w:r>
    </w:p>
    <w:p>
      <w:pPr>
        <w:tabs>
          <w:tab w:pos="3301" w:val="left" w:leader="none"/>
        </w:tabs>
        <w:spacing w:before="44"/>
        <w:ind w:left="133" w:right="0" w:firstLine="0"/>
        <w:jc w:val="left"/>
        <w:rPr>
          <w:sz w:val="17"/>
        </w:rPr>
      </w:pPr>
      <w:r>
        <w:rPr>
          <w:w w:val="125"/>
          <w:sz w:val="20"/>
        </w:rPr>
        <w:t>10.</w:t>
      </w:r>
      <w:r>
        <w:rPr>
          <w:spacing w:val="7"/>
          <w:w w:val="125"/>
          <w:sz w:val="20"/>
        </w:rPr>
        <w:t> </w:t>
      </w:r>
      <w:r>
        <w:rPr>
          <w:rFonts w:ascii="Arial" w:hAnsi="Arial"/>
          <w:w w:val="125"/>
          <w:sz w:val="19"/>
        </w:rPr>
        <w:t>(a)</w:t>
      </w:r>
      <w:r>
        <w:rPr>
          <w:rFonts w:ascii="Arial" w:hAnsi="Arial"/>
          <w:spacing w:val="-10"/>
          <w:w w:val="125"/>
          <w:sz w:val="19"/>
        </w:rPr>
        <w:t> </w:t>
      </w:r>
      <w:r>
        <w:rPr>
          <w:i/>
          <w:sz w:val="20"/>
        </w:rPr>
        <w:t>az</w:t>
      </w:r>
      <w:r>
        <w:rPr>
          <w:i/>
          <w:spacing w:val="-1"/>
          <w:sz w:val="20"/>
        </w:rPr>
        <w:t> </w:t>
      </w:r>
      <w:r>
        <w:rPr>
          <w:rFonts w:ascii="Arial" w:hAnsi="Arial"/>
          <w:w w:val="125"/>
          <w:sz w:val="31"/>
        </w:rPr>
        <w:t>+</w:t>
      </w:r>
      <w:r>
        <w:rPr>
          <w:rFonts w:ascii="Arial" w:hAnsi="Arial"/>
          <w:spacing w:val="-80"/>
          <w:w w:val="125"/>
          <w:sz w:val="31"/>
        </w:rPr>
        <w:t> </w:t>
      </w:r>
      <w:r>
        <w:rPr>
          <w:i/>
          <w:w w:val="125"/>
          <w:sz w:val="19"/>
        </w:rPr>
        <w:t>a;i</w:t>
      </w:r>
      <w:r>
        <w:rPr>
          <w:i/>
          <w:spacing w:val="6"/>
          <w:w w:val="125"/>
          <w:sz w:val="19"/>
        </w:rPr>
        <w:t> </w:t>
      </w:r>
      <w:r>
        <w:rPr>
          <w:w w:val="270"/>
          <w:sz w:val="19"/>
        </w:rPr>
        <w:t>-</w:t>
      </w:r>
      <w:r>
        <w:rPr>
          <w:spacing w:val="-105"/>
          <w:w w:val="270"/>
          <w:sz w:val="19"/>
        </w:rPr>
        <w:t> </w:t>
      </w:r>
      <w:r>
        <w:rPr>
          <w:rFonts w:ascii="Arial" w:hAnsi="Arial"/>
          <w:sz w:val="19"/>
        </w:rPr>
        <w:t>a.i::i'J</w:t>
      </w:r>
      <w:r>
        <w:rPr>
          <w:rFonts w:ascii="Arial" w:hAnsi="Arial"/>
          <w:spacing w:val="-5"/>
          <w:sz w:val="19"/>
        </w:rPr>
        <w:t> </w:t>
      </w:r>
      <w:r>
        <w:rPr>
          <w:rFonts w:ascii="Arial" w:hAnsi="Arial"/>
          <w:w w:val="270"/>
          <w:sz w:val="19"/>
        </w:rPr>
        <w:t>-</w:t>
      </w:r>
      <w:r>
        <w:rPr>
          <w:rFonts w:ascii="Arial" w:hAnsi="Arial"/>
          <w:spacing w:val="-111"/>
          <w:w w:val="270"/>
          <w:sz w:val="19"/>
        </w:rPr>
        <w:t> </w:t>
      </w:r>
      <w:r>
        <w:rPr>
          <w:sz w:val="17"/>
        </w:rPr>
        <w:t>Oza,</w:t>
      </w:r>
      <w:r>
        <w:rPr>
          <w:spacing w:val="10"/>
          <w:sz w:val="17"/>
        </w:rPr>
        <w:t> </w:t>
      </w:r>
      <w:r>
        <w:rPr>
          <w:w w:val="305"/>
          <w:sz w:val="17"/>
        </w:rPr>
        <w:t>-</w:t>
        <w:tab/>
      </w:r>
      <w:r>
        <w:rPr>
          <w:spacing w:val="-9"/>
          <w:sz w:val="20"/>
        </w:rPr>
        <w:t>:í.l </w:t>
      </w:r>
      <w:r>
        <w:rPr>
          <w:sz w:val="29"/>
        </w:rPr>
        <w:t>+</w:t>
      </w:r>
      <w:r>
        <w:rPr>
          <w:spacing w:val="-62"/>
          <w:sz w:val="29"/>
        </w:rPr>
        <w:t> </w:t>
      </w:r>
      <w:r>
        <w:rPr>
          <w:sz w:val="17"/>
        </w:rPr>
        <w:t>Ozw:i.]</w:t>
      </w:r>
    </w:p>
    <w:p>
      <w:pPr>
        <w:spacing w:after="0"/>
        <w:jc w:val="left"/>
        <w:rPr>
          <w:sz w:val="17"/>
        </w:rPr>
        <w:sectPr>
          <w:type w:val="continuous"/>
          <w:pgSz w:w="7200" w:h="11340"/>
          <w:pgMar w:top="1100" w:bottom="0" w:left="680" w:right="480"/>
        </w:sectPr>
      </w:pPr>
    </w:p>
    <w:p>
      <w:pPr>
        <w:spacing w:before="206"/>
        <w:ind w:left="508" w:right="-18" w:firstLine="0"/>
        <w:jc w:val="left"/>
        <w:rPr>
          <w:rFonts w:ascii="Arial" w:hAnsi="Arial"/>
          <w:i/>
          <w:sz w:val="10"/>
        </w:rPr>
      </w:pPr>
      <w:r>
        <w:rPr>
          <w:rFonts w:ascii="Arial" w:hAnsi="Arial"/>
          <w:w w:val="115"/>
          <w:sz w:val="19"/>
        </w:rPr>
        <w:t>(</w:t>
      </w:r>
      <w:r>
        <w:rPr>
          <w:rFonts w:ascii="Arial" w:hAnsi="Arial"/>
          <w:w w:val="115"/>
          <w:sz w:val="19"/>
        </w:rPr>
        <w:t>b</w:t>
      </w:r>
      <w:r>
        <w:rPr>
          <w:rFonts w:ascii="Arial" w:hAnsi="Arial"/>
          <w:w w:val="115"/>
          <w:sz w:val="19"/>
        </w:rPr>
        <w:t>)</w:t>
      </w:r>
      <w:r>
        <w:rPr>
          <w:rFonts w:ascii="Arial" w:hAnsi="Arial"/>
          <w:sz w:val="19"/>
        </w:rPr>
        <w:t> </w:t>
      </w:r>
      <w:r>
        <w:rPr>
          <w:rFonts w:ascii="Arial" w:hAnsi="Arial"/>
          <w:spacing w:val="-23"/>
          <w:sz w:val="19"/>
        </w:rPr>
        <w:t> </w:t>
      </w:r>
      <w:r>
        <w:rPr>
          <w:i/>
          <w:spacing w:val="12"/>
          <w:w w:val="144"/>
          <w:position w:val="-9"/>
          <w:sz w:val="23"/>
        </w:rPr>
        <w:t>ª</w:t>
      </w:r>
      <w:r>
        <w:rPr>
          <w:rFonts w:ascii="Arial" w:hAnsi="Arial"/>
          <w:i/>
          <w:w w:val="62"/>
          <w:position w:val="-3"/>
          <w:sz w:val="10"/>
        </w:rPr>
        <w:t>11</w:t>
      </w:r>
    </w:p>
    <w:p>
      <w:pPr>
        <w:spacing w:line="198" w:lineRule="exact" w:before="116"/>
        <w:ind w:left="1002" w:right="0" w:firstLine="0"/>
        <w:jc w:val="left"/>
        <w:rPr>
          <w:i/>
          <w:sz w:val="21"/>
        </w:rPr>
      </w:pPr>
      <w:r>
        <w:rPr/>
        <w:br w:type="column"/>
      </w:r>
      <w:r>
        <w:rPr>
          <w:rFonts w:ascii="Arial" w:hAnsi="Arial"/>
          <w:w w:val="105"/>
          <w:sz w:val="19"/>
          <w:u w:val="single"/>
        </w:rPr>
        <w:t>3 </w:t>
      </w:r>
      <w:r>
        <w:rPr>
          <w:i/>
          <w:w w:val="105"/>
          <w:sz w:val="21"/>
          <w:u w:val="single"/>
        </w:rPr>
        <w:t>D.+•:tt•</w:t>
      </w:r>
    </w:p>
    <w:p>
      <w:pPr>
        <w:tabs>
          <w:tab w:pos="1211" w:val="left" w:leader="none"/>
        </w:tabs>
        <w:spacing w:line="221" w:lineRule="exact" w:before="0"/>
        <w:ind w:left="41" w:right="0" w:firstLine="0"/>
        <w:jc w:val="left"/>
        <w:rPr>
          <w:i/>
          <w:sz w:val="22"/>
        </w:rPr>
      </w:pPr>
      <w:r>
        <w:rPr/>
        <w:pict>
          <v:shape style="position:absolute;margin-left:125.639999pt;margin-top:-6.257653pt;width:10.050pt;height:16.5pt;mso-position-horizontal-relative:page;mso-position-vertical-relative:paragraph;z-index:-705808" type="#_x0000_t202" filled="false" stroked="false">
            <v:textbox inset="0,0,0,0">
              <w:txbxContent>
                <w:p>
                  <w:pPr>
                    <w:spacing w:line="330" w:lineRule="exact" w:before="0"/>
                    <w:ind w:left="0" w:right="0" w:firstLine="0"/>
                    <w:jc w:val="left"/>
                    <w:rPr>
                      <w:rFonts w:ascii="Arial"/>
                      <w:sz w:val="33"/>
                    </w:rPr>
                  </w:pPr>
                  <w:r>
                    <w:rPr>
                      <w:rFonts w:ascii="Arial"/>
                      <w:w w:val="103"/>
                      <w:sz w:val="33"/>
                    </w:rPr>
                    <w:t>+</w:t>
                  </w:r>
                </w:p>
              </w:txbxContent>
            </v:textbox>
            <w10:wrap type="none"/>
          </v:shape>
        </w:pict>
      </w:r>
      <w:r>
        <w:rPr>
          <w:rFonts w:ascii="Arial" w:hAnsi="Arial"/>
          <w:w w:val="320"/>
          <w:sz w:val="10"/>
        </w:rPr>
        <w:t>-</w:t>
      </w:r>
      <w:r>
        <w:rPr>
          <w:rFonts w:ascii="Arial" w:hAnsi="Arial"/>
          <w:spacing w:val="-72"/>
          <w:w w:val="320"/>
          <w:sz w:val="10"/>
        </w:rPr>
        <w:t> </w:t>
      </w:r>
      <w:r>
        <w:rPr>
          <w:i/>
          <w:w w:val="85"/>
          <w:sz w:val="23"/>
        </w:rPr>
        <w:t>ª%11:</w:t>
      </w:r>
      <w:r>
        <w:rPr>
          <w:rFonts w:ascii="Arial" w:hAnsi="Arial"/>
          <w:w w:val="85"/>
          <w:sz w:val="20"/>
        </w:rPr>
        <w:t>;;¡</w:t>
        <w:tab/>
      </w:r>
      <w:r>
        <w:rPr>
          <w:rFonts w:ascii="Arial" w:hAnsi="Arial"/>
          <w:w w:val="70"/>
          <w:sz w:val="20"/>
        </w:rPr>
        <w:t>8</w:t>
      </w:r>
      <w:r>
        <w:rPr>
          <w:rFonts w:ascii="Arial" w:hAnsi="Arial"/>
          <w:spacing w:val="-2"/>
          <w:w w:val="70"/>
          <w:sz w:val="20"/>
        </w:rPr>
        <w:t> </w:t>
      </w:r>
      <w:r>
        <w:rPr>
          <w:i/>
          <w:w w:val="70"/>
          <w:sz w:val="22"/>
        </w:rPr>
        <w:t>Dz11</w:t>
      </w:r>
    </w:p>
    <w:p>
      <w:pPr>
        <w:spacing w:after="0" w:line="221" w:lineRule="exact"/>
        <w:jc w:val="left"/>
        <w:rPr>
          <w:sz w:val="22"/>
        </w:rPr>
        <w:sectPr>
          <w:type w:val="continuous"/>
          <w:pgSz w:w="7200" w:h="11340"/>
          <w:pgMar w:top="1100" w:bottom="0" w:left="680" w:right="480"/>
          <w:cols w:num="2" w:equalWidth="0">
            <w:col w:w="1036" w:space="40"/>
            <w:col w:w="4964"/>
          </w:cols>
        </w:sectPr>
      </w:pPr>
    </w:p>
    <w:p>
      <w:pPr>
        <w:spacing w:before="88"/>
        <w:ind w:left="130" w:right="0" w:firstLine="0"/>
        <w:jc w:val="left"/>
        <w:rPr>
          <w:rFonts w:ascii="Arial" w:hAnsi="Arial"/>
          <w:i/>
          <w:sz w:val="19"/>
        </w:rPr>
      </w:pPr>
      <w:r>
        <w:rPr>
          <w:spacing w:val="-12"/>
          <w:sz w:val="20"/>
        </w:rPr>
        <w:t>13. </w:t>
      </w:r>
      <w:r>
        <w:rPr>
          <w:sz w:val="20"/>
        </w:rPr>
        <w:t>All alive: </w:t>
      </w:r>
      <w:r>
        <w:rPr>
          <w:rFonts w:ascii="Arial" w:hAnsi="Arial"/>
          <w:i/>
          <w:sz w:val="19"/>
        </w:rPr>
        <w:t>ª•+I </w:t>
      </w:r>
      <w:r>
        <w:rPr>
          <w:rFonts w:ascii="Arial" w:hAnsi="Arial"/>
          <w:w w:val="250"/>
          <w:sz w:val="19"/>
        </w:rPr>
        <w:t>-</w:t>
      </w:r>
      <w:r>
        <w:rPr>
          <w:rFonts w:ascii="Arial" w:hAnsi="Arial"/>
          <w:spacing w:val="-84"/>
          <w:w w:val="250"/>
          <w:sz w:val="19"/>
        </w:rPr>
        <w:t> </w:t>
      </w:r>
      <w:r>
        <w:rPr>
          <w:rFonts w:ascii="Arial" w:hAnsi="Arial"/>
          <w:i/>
          <w:sz w:val="19"/>
        </w:rPr>
        <w:t>ª•+•=•+I </w:t>
      </w:r>
      <w:r>
        <w:rPr>
          <w:rFonts w:ascii="Arial" w:hAnsi="Arial"/>
          <w:w w:val="250"/>
          <w:sz w:val="19"/>
        </w:rPr>
        <w:t>-</w:t>
      </w:r>
      <w:r>
        <w:rPr>
          <w:rFonts w:ascii="Arial" w:hAnsi="Arial"/>
          <w:spacing w:val="-80"/>
          <w:w w:val="250"/>
          <w:sz w:val="19"/>
        </w:rPr>
        <w:t> </w:t>
      </w:r>
      <w:r>
        <w:rPr>
          <w:rFonts w:ascii="Arial" w:hAnsi="Arial"/>
          <w:i/>
          <w:sz w:val="19"/>
        </w:rPr>
        <w:t>Oi,+1: z+I </w:t>
      </w:r>
      <w:r>
        <w:rPr>
          <w:rFonts w:ascii="Arial" w:hAnsi="Arial"/>
          <w:sz w:val="31"/>
        </w:rPr>
        <w:t>+ </w:t>
      </w:r>
      <w:r>
        <w:rPr>
          <w:rFonts w:ascii="Arial" w:hAnsi="Arial"/>
          <w:i/>
          <w:sz w:val="19"/>
        </w:rPr>
        <w:t>ª•+•=w+t :.e+I</w:t>
      </w:r>
    </w:p>
    <w:p>
      <w:pPr>
        <w:spacing w:before="65"/>
        <w:ind w:left="508" w:right="0" w:firstLine="0"/>
        <w:jc w:val="left"/>
        <w:rPr>
          <w:rFonts w:ascii="Arial" w:hAnsi="Arial"/>
          <w:i/>
          <w:sz w:val="19"/>
        </w:rPr>
      </w:pPr>
      <w:r>
        <w:rPr>
          <w:rFonts w:ascii="Arial" w:hAnsi="Arial"/>
          <w:i/>
          <w:spacing w:val="6"/>
          <w:w w:val="115"/>
          <w:sz w:val="18"/>
        </w:rPr>
        <w:t>(x) </w:t>
      </w:r>
      <w:r>
        <w:rPr>
          <w:w w:val="115"/>
          <w:sz w:val="20"/>
        </w:rPr>
        <w:t>dead: </w:t>
      </w:r>
      <w:r>
        <w:rPr>
          <w:rFonts w:ascii="Arial" w:hAnsi="Arial"/>
          <w:i/>
          <w:sz w:val="24"/>
        </w:rPr>
        <w:t>ª•+1 </w:t>
      </w:r>
      <w:r>
        <w:rPr>
          <w:rFonts w:ascii="Arial" w:hAnsi="Arial"/>
          <w:w w:val="140"/>
          <w:sz w:val="24"/>
        </w:rPr>
        <w:t>-</w:t>
      </w:r>
      <w:r>
        <w:rPr>
          <w:rFonts w:ascii="Arial" w:hAnsi="Arial"/>
          <w:spacing w:val="-72"/>
          <w:w w:val="140"/>
          <w:sz w:val="24"/>
        </w:rPr>
        <w:t> </w:t>
      </w:r>
      <w:r>
        <w:rPr>
          <w:rFonts w:ascii="Arial" w:hAnsi="Arial"/>
          <w:i/>
          <w:sz w:val="19"/>
        </w:rPr>
        <w:t>llw+•= </w:t>
      </w:r>
      <w:r>
        <w:rPr>
          <w:rFonts w:ascii="Arial" w:hAnsi="Arial"/>
          <w:i/>
          <w:w w:val="115"/>
          <w:sz w:val="19"/>
        </w:rPr>
        <w:t>•+I</w:t>
      </w:r>
    </w:p>
    <w:p>
      <w:pPr>
        <w:spacing w:before="108"/>
        <w:ind w:left="500" w:right="0" w:firstLine="0"/>
        <w:jc w:val="left"/>
        <w:rPr>
          <w:sz w:val="14"/>
        </w:rPr>
      </w:pPr>
      <w:r>
        <w:rPr>
          <w:w w:val="110"/>
          <w:sz w:val="20"/>
        </w:rPr>
        <w:t>(y </w:t>
      </w:r>
      <w:r>
        <w:rPr>
          <w:w w:val="130"/>
          <w:sz w:val="20"/>
        </w:rPr>
        <w:t>) dead: </w:t>
      </w:r>
      <w:r>
        <w:rPr>
          <w:rFonts w:ascii="Arial"/>
          <w:i/>
          <w:w w:val="110"/>
          <w:sz w:val="19"/>
        </w:rPr>
        <w:t>az+I </w:t>
      </w:r>
      <w:r>
        <w:rPr>
          <w:rFonts w:ascii="Arial"/>
          <w:w w:val="235"/>
          <w:sz w:val="19"/>
        </w:rPr>
        <w:t>-</w:t>
      </w:r>
      <w:r>
        <w:rPr>
          <w:rFonts w:ascii="Arial"/>
          <w:spacing w:val="-84"/>
          <w:w w:val="235"/>
          <w:sz w:val="19"/>
        </w:rPr>
        <w:t> </w:t>
      </w:r>
      <w:r>
        <w:rPr>
          <w:w w:val="130"/>
          <w:sz w:val="14"/>
        </w:rPr>
        <w:t>az+l:1+1</w:t>
      </w:r>
    </w:p>
    <w:p>
      <w:pPr>
        <w:pStyle w:val="BodyText"/>
        <w:spacing w:before="137"/>
        <w:ind w:left="497"/>
        <w:rPr>
          <w:rFonts w:ascii="Arial" w:hAnsi="Arial"/>
          <w:i/>
          <w:sz w:val="19"/>
        </w:rPr>
      </w:pPr>
      <w:r>
        <w:rPr>
          <w:w w:val="105"/>
        </w:rPr>
        <w:t>(x )  and  (y ) dead: </w:t>
      </w:r>
      <w:r>
        <w:rPr>
          <w:rFonts w:ascii="Arial" w:hAnsi="Arial"/>
          <w:i/>
          <w:w w:val="105"/>
          <w:sz w:val="19"/>
        </w:rPr>
        <w:t>ª•+'</w:t>
      </w:r>
    </w:p>
    <w:p>
      <w:pPr>
        <w:pStyle w:val="BodyText"/>
        <w:spacing w:before="6"/>
        <w:rPr>
          <w:rFonts w:ascii="Arial"/>
          <w:i/>
          <w:sz w:val="9"/>
        </w:rPr>
      </w:pPr>
    </w:p>
    <w:p>
      <w:pPr>
        <w:spacing w:after="0"/>
        <w:rPr>
          <w:rFonts w:ascii="Arial"/>
          <w:sz w:val="9"/>
        </w:rPr>
        <w:sectPr>
          <w:type w:val="continuous"/>
          <w:pgSz w:w="7200" w:h="11340"/>
          <w:pgMar w:top="1100" w:bottom="0" w:left="680" w:right="480"/>
        </w:sectPr>
      </w:pPr>
    </w:p>
    <w:p>
      <w:pPr>
        <w:tabs>
          <w:tab w:pos="1379" w:val="left" w:leader="none"/>
          <w:tab w:pos="1991" w:val="left" w:leader="none"/>
        </w:tabs>
        <w:spacing w:line="186" w:lineRule="exact" w:before="67"/>
        <w:ind w:left="387" w:right="0" w:firstLine="0"/>
        <w:jc w:val="left"/>
        <w:rPr>
          <w:rFonts w:ascii="Arial" w:hAnsi="Arial"/>
          <w:sz w:val="31"/>
        </w:rPr>
      </w:pPr>
      <w:r>
        <w:rPr>
          <w:spacing w:val="-96"/>
          <w:w w:val="178"/>
          <w:sz w:val="26"/>
        </w:rPr>
        <w:t>,</w:t>
      </w:r>
      <w:r>
        <w:rPr>
          <w:w w:val="69"/>
          <w:sz w:val="26"/>
        </w:rPr>
        <w:t>¡</w:t>
      </w:r>
      <w:r>
        <w:rPr>
          <w:spacing w:val="-1"/>
          <w:w w:val="69"/>
          <w:sz w:val="26"/>
        </w:rPr>
        <w:t>e</w:t>
      </w:r>
      <w:r>
        <w:rPr>
          <w:w w:val="60"/>
          <w:sz w:val="26"/>
        </w:rPr>
        <w:t>n&gt;</w:t>
      </w:r>
      <w:r>
        <w:rPr>
          <w:spacing w:val="-18"/>
          <w:sz w:val="26"/>
        </w:rPr>
        <w:t> </w:t>
      </w:r>
      <w:r>
        <w:rPr>
          <w:spacing w:val="6"/>
          <w:w w:val="101"/>
          <w:sz w:val="26"/>
        </w:rPr>
        <w:t>.</w:t>
      </w:r>
      <w:r>
        <w:rPr>
          <w:i/>
          <w:w w:val="103"/>
          <w:sz w:val="19"/>
        </w:rPr>
        <w:t>Á</w:t>
      </w:r>
      <w:r>
        <w:rPr>
          <w:i/>
          <w:sz w:val="19"/>
        </w:rPr>
        <w:tab/>
      </w:r>
      <w:r>
        <w:rPr>
          <w:rFonts w:ascii="Arial" w:hAnsi="Arial"/>
          <w:w w:val="103"/>
          <w:sz w:val="31"/>
        </w:rPr>
        <w:t>+</w:t>
      </w:r>
      <w:r>
        <w:rPr>
          <w:rFonts w:ascii="Arial" w:hAnsi="Arial"/>
          <w:sz w:val="31"/>
        </w:rPr>
        <w:tab/>
      </w:r>
      <w:r>
        <w:rPr>
          <w:rFonts w:ascii="Arial" w:hAnsi="Arial"/>
          <w:spacing w:val="-36"/>
          <w:w w:val="78"/>
          <w:sz w:val="31"/>
        </w:rPr>
        <w:t>.</w:t>
      </w:r>
      <w:r>
        <w:rPr>
          <w:rFonts w:ascii="Arial" w:hAnsi="Arial"/>
          <w:w w:val="67"/>
          <w:sz w:val="31"/>
        </w:rPr>
        <w:t>.</w:t>
      </w:r>
    </w:p>
    <w:p>
      <w:pPr>
        <w:pStyle w:val="BodyText"/>
        <w:spacing w:before="3"/>
        <w:rPr>
          <w:rFonts w:ascii="Arial"/>
          <w:sz w:val="10"/>
        </w:rPr>
      </w:pPr>
      <w:r>
        <w:rPr/>
        <w:br w:type="column"/>
      </w:r>
      <w:r>
        <w:rPr>
          <w:rFonts w:ascii="Arial"/>
          <w:sz w:val="10"/>
        </w:rPr>
      </w:r>
    </w:p>
    <w:p>
      <w:pPr>
        <w:tabs>
          <w:tab w:pos="1359" w:val="left" w:leader="none"/>
        </w:tabs>
        <w:spacing w:before="1"/>
        <w:ind w:left="387" w:right="0" w:firstLine="0"/>
        <w:jc w:val="left"/>
        <w:rPr>
          <w:sz w:val="11"/>
        </w:rPr>
      </w:pPr>
      <w:r>
        <w:rPr>
          <w:w w:val="105"/>
          <w:sz w:val="11"/>
        </w:rPr>
        <w:t>••</w:t>
      </w:r>
      <w:r>
        <w:rPr>
          <w:spacing w:val="-12"/>
          <w:w w:val="105"/>
          <w:sz w:val="11"/>
        </w:rPr>
        <w:t> </w:t>
      </w:r>
      <w:r>
        <w:rPr>
          <w:w w:val="105"/>
          <w:sz w:val="11"/>
        </w:rPr>
        <w:t>(12)</w:t>
        <w:tab/>
      </w:r>
      <w:r>
        <w:rPr>
          <w:sz w:val="11"/>
        </w:rPr>
        <w:t>..:1(12)</w:t>
      </w:r>
    </w:p>
    <w:p>
      <w:pPr>
        <w:spacing w:line="172" w:lineRule="exact" w:before="81"/>
        <w:ind w:left="182" w:right="0" w:firstLine="0"/>
        <w:jc w:val="left"/>
        <w:rPr>
          <w:sz w:val="11"/>
        </w:rPr>
      </w:pPr>
      <w:r>
        <w:rPr/>
        <w:br w:type="column"/>
      </w:r>
      <w:r>
        <w:rPr>
          <w:i/>
          <w:spacing w:val="-489"/>
          <w:w w:val="188"/>
          <w:position w:val="-13"/>
          <w:sz w:val="27"/>
        </w:rPr>
        <w:t>D</w:t>
      </w:r>
      <w:r>
        <w:rPr>
          <w:b/>
          <w:i/>
          <w:spacing w:val="-4"/>
          <w:w w:val="102"/>
          <w:sz w:val="15"/>
        </w:rPr>
        <w:t>D</w:t>
      </w:r>
      <w:r>
        <w:rPr>
          <w:b/>
          <w:i/>
          <w:w w:val="102"/>
          <w:sz w:val="15"/>
        </w:rPr>
        <w:t>w+n</w:t>
      </w:r>
      <w:r>
        <w:rPr>
          <w:b/>
          <w:i/>
          <w:sz w:val="15"/>
        </w:rPr>
        <w:t>  </w:t>
      </w:r>
      <w:r>
        <w:rPr>
          <w:b/>
          <w:i/>
          <w:spacing w:val="3"/>
          <w:sz w:val="15"/>
        </w:rPr>
        <w:t> </w:t>
      </w:r>
      <w:r>
        <w:rPr>
          <w:w w:val="144"/>
          <w:sz w:val="11"/>
        </w:rPr>
        <w:t>-(12)</w:t>
      </w:r>
    </w:p>
    <w:p>
      <w:pPr>
        <w:spacing w:after="0" w:line="172" w:lineRule="exact"/>
        <w:jc w:val="left"/>
        <w:rPr>
          <w:sz w:val="11"/>
        </w:rPr>
        <w:sectPr>
          <w:type w:val="continuous"/>
          <w:pgSz w:w="7200" w:h="11340"/>
          <w:pgMar w:top="1100" w:bottom="0" w:left="680" w:right="480"/>
          <w:cols w:num="3" w:equalWidth="0">
            <w:col w:w="2082" w:space="317"/>
            <w:col w:w="1693" w:space="40"/>
            <w:col w:w="1908"/>
          </w:cols>
        </w:sectPr>
      </w:pPr>
    </w:p>
    <w:p>
      <w:pPr>
        <w:tabs>
          <w:tab w:pos="2613" w:val="left" w:leader="none"/>
          <w:tab w:pos="3179" w:val="left" w:leader="none"/>
          <w:tab w:pos="4201" w:val="left" w:leader="none"/>
        </w:tabs>
        <w:spacing w:line="115" w:lineRule="exact" w:before="0"/>
        <w:ind w:left="2073" w:right="0" w:firstLine="0"/>
        <w:jc w:val="left"/>
        <w:rPr>
          <w:sz w:val="13"/>
        </w:rPr>
      </w:pPr>
      <w:r>
        <w:rPr/>
        <w:pict>
          <v:shape style="position:absolute;margin-left:152.639999pt;margin-top:.22261pt;width:8.35pt;height:14.5pt;mso-position-horizontal-relative:page;mso-position-vertical-relative:paragraph;z-index:-705784" type="#_x0000_t202" filled="false" stroked="false">
            <v:textbox inset="0,0,0,0">
              <w:txbxContent>
                <w:p>
                  <w:pPr>
                    <w:spacing w:line="290" w:lineRule="exact" w:before="0"/>
                    <w:ind w:left="0" w:right="0" w:firstLine="0"/>
                    <w:jc w:val="left"/>
                    <w:rPr>
                      <w:sz w:val="29"/>
                    </w:rPr>
                  </w:pPr>
                  <w:r>
                    <w:rPr>
                      <w:w w:val="101"/>
                      <w:sz w:val="29"/>
                    </w:rPr>
                    <w:t>+</w:t>
                  </w:r>
                </w:p>
              </w:txbxContent>
            </v:textbox>
            <w10:wrap type="none"/>
          </v:shape>
        </w:pict>
      </w:r>
      <w:r>
        <w:rPr>
          <w:w w:val="110"/>
          <w:sz w:val="11"/>
        </w:rPr>
        <w:t>(12)</w:t>
        <w:tab/>
      </w:r>
      <w:r>
        <w:rPr>
          <w:w w:val="485"/>
          <w:sz w:val="11"/>
        </w:rPr>
        <w:t>-,</w:t>
        <w:tab/>
      </w:r>
      <w:r>
        <w:rPr>
          <w:w w:val="470"/>
          <w:sz w:val="11"/>
        </w:rPr>
        <w:t>-</w:t>
      </w:r>
      <w:r>
        <w:rPr>
          <w:spacing w:val="-113"/>
          <w:w w:val="470"/>
          <w:sz w:val="11"/>
        </w:rPr>
        <w:t> </w:t>
      </w:r>
      <w:r>
        <w:rPr>
          <w:w w:val="110"/>
          <w:sz w:val="13"/>
        </w:rPr>
        <w:t>1fl-tt1lUzw</w:t>
        <w:tab/>
      </w:r>
      <w:r>
        <w:rPr>
          <w:w w:val="415"/>
          <w:sz w:val="13"/>
        </w:rPr>
        <w:t>-</w:t>
      </w:r>
    </w:p>
    <w:p>
      <w:pPr>
        <w:tabs>
          <w:tab w:pos="1037" w:val="left" w:leader="none"/>
          <w:tab w:pos="1615" w:val="left" w:leader="none"/>
          <w:tab w:pos="4755" w:val="right" w:leader="none"/>
        </w:tabs>
        <w:spacing w:line="155" w:lineRule="exact" w:before="0"/>
        <w:ind w:left="122" w:right="0" w:firstLine="0"/>
        <w:jc w:val="left"/>
        <w:rPr>
          <w:rFonts w:ascii="Arial"/>
          <w:i/>
          <w:sz w:val="10"/>
        </w:rPr>
      </w:pPr>
      <w:r>
        <w:rPr>
          <w:rFonts w:ascii="Arial"/>
          <w:spacing w:val="-18"/>
          <w:w w:val="120"/>
          <w:sz w:val="15"/>
        </w:rPr>
        <w:t>16.    </w:t>
      </w:r>
      <w:r>
        <w:rPr>
          <w:rFonts w:ascii="Arial"/>
          <w:spacing w:val="-10"/>
          <w:w w:val="120"/>
          <w:sz w:val="15"/>
        </w:rPr>
        <w:t> </w:t>
      </w:r>
      <w:r>
        <w:rPr>
          <w:w w:val="120"/>
          <w:sz w:val="14"/>
        </w:rPr>
        <w:t>,il</w:t>
        <w:tab/>
      </w:r>
      <w:r>
        <w:rPr>
          <w:rFonts w:ascii="Arial"/>
          <w:w w:val="120"/>
          <w:sz w:val="15"/>
          <w:u w:val="single"/>
        </w:rPr>
        <w:t>z:iiij</w:t>
        <w:tab/>
      </w:r>
      <w:r>
        <w:rPr>
          <w:w w:val="120"/>
          <w:sz w:val="14"/>
          <w:u w:val="single"/>
        </w:rPr>
        <w:t>-+nlOz</w:t>
      </w:r>
      <w:r>
        <w:rPr>
          <w:rFonts w:ascii="Arial"/>
          <w:i/>
          <w:w w:val="120"/>
          <w:sz w:val="10"/>
        </w:rPr>
        <w:tab/>
      </w:r>
      <w:r>
        <w:rPr>
          <w:rFonts w:ascii="Arial"/>
          <w:i/>
          <w:sz w:val="10"/>
        </w:rPr>
        <w:t>11</w:t>
      </w:r>
    </w:p>
    <w:p>
      <w:pPr>
        <w:tabs>
          <w:tab w:pos="3873" w:val="left" w:leader="none"/>
        </w:tabs>
        <w:spacing w:before="68"/>
        <w:ind w:left="1163" w:right="0" w:firstLine="0"/>
        <w:jc w:val="left"/>
        <w:rPr>
          <w:rFonts w:ascii="Arial"/>
          <w:sz w:val="15"/>
        </w:rPr>
      </w:pPr>
      <w:r>
        <w:rPr>
          <w:rFonts w:ascii="Arial"/>
          <w:w w:val="125"/>
          <w:sz w:val="15"/>
        </w:rPr>
        <w:t>dz:-]</w:t>
        <w:tab/>
        <w:t>dq:iiij</w:t>
      </w:r>
    </w:p>
    <w:p>
      <w:pPr>
        <w:pStyle w:val="BodyText"/>
        <w:rPr>
          <w:rFonts w:ascii="Arial"/>
          <w:sz w:val="11"/>
        </w:rPr>
      </w:pPr>
    </w:p>
    <w:p>
      <w:pPr>
        <w:pStyle w:val="BodyText"/>
        <w:ind w:left="108"/>
      </w:pPr>
      <w:r>
        <w:rPr>
          <w:w w:val="105"/>
        </w:rPr>
        <w:t>reducing upon  the death of  the beneficiary  to</w:t>
      </w:r>
    </w:p>
    <w:p>
      <w:pPr>
        <w:tabs>
          <w:tab w:pos="3560" w:val="left" w:leader="none"/>
        </w:tabs>
        <w:spacing w:line="103" w:lineRule="exact" w:before="152"/>
        <w:ind w:left="2110" w:right="0" w:firstLine="0"/>
        <w:jc w:val="left"/>
        <w:rPr>
          <w:sz w:val="11"/>
        </w:rPr>
      </w:pPr>
      <w:r>
        <w:rPr/>
        <w:pict>
          <v:shape style="position:absolute;margin-left:181.080002pt;margin-top:7.399056pt;width:38.5pt;height:15.5pt;mso-position-horizontal-relative:page;mso-position-vertical-relative:paragraph;z-index:-705760" type="#_x0000_t202" filled="false" stroked="false">
            <v:textbox inset="0,0,0,0">
              <w:txbxContent>
                <w:p>
                  <w:pPr>
                    <w:spacing w:line="310" w:lineRule="exact" w:before="0"/>
                    <w:ind w:left="0" w:right="-19" w:firstLine="0"/>
                    <w:jc w:val="left"/>
                    <w:rPr>
                      <w:rFonts w:ascii="Arial" w:hAnsi="Arial"/>
                      <w:sz w:val="24"/>
                    </w:rPr>
                  </w:pPr>
                  <w:r>
                    <w:rPr>
                      <w:rFonts w:ascii="Arial" w:hAnsi="Arial"/>
                      <w:w w:val="105"/>
                      <w:sz w:val="31"/>
                    </w:rPr>
                    <w:t>+</w:t>
                  </w:r>
                  <w:r>
                    <w:rPr>
                      <w:rFonts w:ascii="Arial" w:hAnsi="Arial"/>
                      <w:spacing w:val="-53"/>
                      <w:w w:val="105"/>
                      <w:sz w:val="31"/>
                    </w:rPr>
                    <w:t> </w:t>
                  </w:r>
                  <w:r>
                    <w:rPr>
                      <w:rFonts w:ascii="Arial" w:hAnsi="Arial"/>
                      <w:spacing w:val="-5"/>
                      <w:w w:val="105"/>
                      <w:sz w:val="24"/>
                    </w:rPr>
                    <w:t>-+•Iª•</w:t>
                  </w:r>
                </w:p>
              </w:txbxContent>
            </v:textbox>
            <w10:wrap type="none"/>
          </v:shape>
        </w:pict>
      </w:r>
      <w:r>
        <w:rPr>
          <w:rFonts w:ascii="Arial"/>
          <w:spacing w:val="-8"/>
          <w:w w:val="120"/>
          <w:sz w:val="11"/>
        </w:rPr>
        <w:t>(12)      </w:t>
      </w:r>
      <w:r>
        <w:rPr>
          <w:rFonts w:ascii="Arial"/>
          <w:spacing w:val="-7"/>
          <w:w w:val="120"/>
          <w:sz w:val="11"/>
        </w:rPr>
        <w:t> </w:t>
      </w:r>
      <w:r>
        <w:rPr>
          <w:rFonts w:ascii="Arial"/>
          <w:w w:val="225"/>
          <w:sz w:val="11"/>
        </w:rPr>
        <w:t>-</w:t>
        <w:tab/>
      </w:r>
      <w:r>
        <w:rPr>
          <w:rFonts w:ascii="Arial"/>
          <w:w w:val="120"/>
          <w:sz w:val="11"/>
        </w:rPr>
        <w:t>.</w:t>
      </w:r>
      <w:r>
        <w:rPr>
          <w:rFonts w:ascii="Arial"/>
          <w:spacing w:val="-10"/>
          <w:w w:val="120"/>
          <w:sz w:val="11"/>
        </w:rPr>
        <w:t> </w:t>
      </w:r>
      <w:r>
        <w:rPr>
          <w:w w:val="120"/>
          <w:sz w:val="11"/>
        </w:rPr>
        <w:t>(12)</w:t>
      </w:r>
    </w:p>
    <w:p>
      <w:pPr>
        <w:spacing w:line="183" w:lineRule="exact" w:before="0"/>
        <w:ind w:left="1958" w:right="1850" w:firstLine="0"/>
        <w:jc w:val="center"/>
        <w:rPr>
          <w:rFonts w:ascii="Arial" w:hAnsi="Arial"/>
          <w:sz w:val="15"/>
        </w:rPr>
      </w:pPr>
      <w:r>
        <w:rPr>
          <w:b/>
          <w:w w:val="95"/>
          <w:sz w:val="18"/>
        </w:rPr>
        <w:t>d11    </w:t>
      </w:r>
      <w:r>
        <w:rPr>
          <w:w w:val="95"/>
          <w:sz w:val="18"/>
        </w:rPr>
        <w:t>• </w:t>
      </w:r>
      <w:r>
        <w:rPr>
          <w:rFonts w:ascii="Arial" w:hAnsi="Arial"/>
          <w:w w:val="105"/>
          <w:sz w:val="15"/>
        </w:rPr>
        <w:t>Az:iiij</w:t>
      </w:r>
    </w:p>
    <w:p>
      <w:pPr>
        <w:spacing w:line="133" w:lineRule="exact" w:before="0"/>
        <w:ind w:left="97" w:right="0" w:firstLine="0"/>
        <w:jc w:val="left"/>
        <w:rPr>
          <w:sz w:val="13"/>
        </w:rPr>
      </w:pPr>
      <w:r>
        <w:rPr/>
        <w:br w:type="column"/>
      </w:r>
      <w:r>
        <w:rPr>
          <w:w w:val="135"/>
          <w:sz w:val="13"/>
        </w:rPr>
        <w:t>az:i,+n :-1</w:t>
      </w:r>
    </w:p>
    <w:p>
      <w:pPr>
        <w:spacing w:after="0" w:line="133" w:lineRule="exact"/>
        <w:jc w:val="left"/>
        <w:rPr>
          <w:sz w:val="13"/>
        </w:rPr>
        <w:sectPr>
          <w:type w:val="continuous"/>
          <w:pgSz w:w="7200" w:h="11340"/>
          <w:pgMar w:top="1100" w:bottom="0" w:left="680" w:right="480"/>
          <w:cols w:num="2" w:equalWidth="0">
            <w:col w:w="4756" w:space="40"/>
            <w:col w:w="1244"/>
          </w:cols>
        </w:sectPr>
      </w:pPr>
    </w:p>
    <w:p>
      <w:pPr>
        <w:spacing w:before="83"/>
        <w:ind w:left="355" w:right="543" w:firstLine="0"/>
        <w:jc w:val="center"/>
        <w:rPr>
          <w:rFonts w:ascii="Arial" w:hAnsi="Arial"/>
          <w:i/>
          <w:sz w:val="20"/>
        </w:rPr>
      </w:pPr>
      <w:r>
        <w:rPr>
          <w:rFonts w:ascii="Arial" w:hAnsi="Arial"/>
          <w:i/>
          <w:w w:val="95"/>
          <w:sz w:val="20"/>
        </w:rPr>
        <w:t>ª•=-1</w:t>
      </w:r>
    </w:p>
    <w:p>
      <w:pPr>
        <w:spacing w:after="0"/>
        <w:jc w:val="center"/>
        <w:rPr>
          <w:rFonts w:ascii="Arial" w:hAnsi="Arial"/>
          <w:sz w:val="20"/>
        </w:rPr>
        <w:sectPr>
          <w:type w:val="continuous"/>
          <w:pgSz w:w="7200" w:h="11340"/>
          <w:pgMar w:top="1100" w:bottom="0" w:left="680" w:right="480"/>
        </w:sectPr>
      </w:pPr>
    </w:p>
    <w:p>
      <w:pPr>
        <w:tabs>
          <w:tab w:pos="2602" w:val="left" w:leader="none"/>
          <w:tab w:pos="5914" w:val="right" w:leader="none"/>
        </w:tabs>
        <w:spacing w:before="51"/>
        <w:ind w:left="120" w:right="0" w:firstLine="0"/>
        <w:jc w:val="left"/>
        <w:rPr>
          <w:rFonts w:ascii="Courier New"/>
          <w:sz w:val="22"/>
        </w:rPr>
      </w:pPr>
      <w:r>
        <w:rPr>
          <w:color w:val="010101"/>
          <w:w w:val="105"/>
          <w:position w:val="1"/>
          <w:sz w:val="15"/>
        </w:rPr>
        <w:t>CH.  </w:t>
      </w:r>
      <w:r>
        <w:rPr>
          <w:color w:val="010101"/>
          <w:spacing w:val="2"/>
          <w:w w:val="105"/>
          <w:position w:val="1"/>
          <w:sz w:val="15"/>
        </w:rPr>
        <w:t> </w:t>
      </w:r>
      <w:r>
        <w:rPr>
          <w:color w:val="010101"/>
          <w:spacing w:val="-14"/>
          <w:w w:val="105"/>
          <w:position w:val="1"/>
          <w:sz w:val="20"/>
        </w:rPr>
        <w:t>14]</w:t>
        <w:tab/>
      </w:r>
      <w:r>
        <w:rPr>
          <w:b/>
          <w:color w:val="010101"/>
          <w:w w:val="105"/>
          <w:position w:val="1"/>
          <w:sz w:val="15"/>
        </w:rPr>
        <w:t>ANSWERS</w:t>
      </w:r>
      <w:r>
        <w:rPr>
          <w:rFonts w:ascii="Courier New"/>
          <w:color w:val="010101"/>
          <w:w w:val="105"/>
          <w:sz w:val="22"/>
        </w:rPr>
        <w:tab/>
      </w:r>
      <w:r>
        <w:rPr>
          <w:rFonts w:ascii="Courier New"/>
          <w:color w:val="010101"/>
          <w:spacing w:val="-27"/>
          <w:w w:val="105"/>
          <w:sz w:val="22"/>
        </w:rPr>
        <w:t>369</w:t>
      </w:r>
    </w:p>
    <w:p>
      <w:pPr>
        <w:spacing w:before="101"/>
        <w:ind w:left="134" w:right="0" w:firstLine="0"/>
        <w:jc w:val="left"/>
        <w:rPr>
          <w:i/>
          <w:sz w:val="20"/>
        </w:rPr>
      </w:pPr>
      <w:r>
        <w:rPr>
          <w:color w:val="010101"/>
          <w:w w:val="88"/>
          <w:sz w:val="29"/>
        </w:rPr>
        <w:t>is.</w:t>
      </w:r>
      <w:r>
        <w:rPr>
          <w:color w:val="010101"/>
          <w:spacing w:val="-22"/>
          <w:sz w:val="29"/>
        </w:rPr>
        <w:t> </w:t>
      </w:r>
      <w:r>
        <w:rPr>
          <w:rFonts w:ascii="Arial" w:hAnsi="Arial"/>
          <w:i/>
          <w:color w:val="010101"/>
          <w:w w:val="38"/>
          <w:sz w:val="45"/>
        </w:rPr>
        <w:t>f</w:t>
      </w:r>
      <w:r>
        <w:rPr>
          <w:rFonts w:ascii="Arial" w:hAnsi="Arial"/>
          <w:i/>
          <w:color w:val="010101"/>
          <w:spacing w:val="15"/>
          <w:w w:val="38"/>
          <w:sz w:val="45"/>
        </w:rPr>
        <w:t>u</w:t>
      </w:r>
      <w:r>
        <w:rPr>
          <w:rFonts w:ascii="Arial" w:hAnsi="Arial"/>
          <w:i/>
          <w:color w:val="010101"/>
          <w:spacing w:val="-107"/>
          <w:w w:val="168"/>
          <w:sz w:val="45"/>
        </w:rPr>
        <w:t>·</w:t>
      </w:r>
      <w:r>
        <w:rPr>
          <w:i/>
          <w:color w:val="010101"/>
          <w:w w:val="109"/>
          <w:sz w:val="23"/>
        </w:rPr>
        <w:t>v'</w:t>
      </w:r>
      <w:r>
        <w:rPr>
          <w:i/>
          <w:color w:val="010101"/>
          <w:spacing w:val="-22"/>
          <w:w w:val="110"/>
          <w:sz w:val="23"/>
        </w:rPr>
        <w:t>,</w:t>
      </w:r>
      <w:r>
        <w:rPr>
          <w:i/>
          <w:color w:val="010101"/>
          <w:w w:val="98"/>
          <w:sz w:val="23"/>
        </w:rPr>
        <w:t>p;..</w:t>
      </w:r>
      <w:r>
        <w:rPr>
          <w:i/>
          <w:color w:val="010101"/>
          <w:spacing w:val="-3"/>
          <w:sz w:val="23"/>
        </w:rPr>
        <w:t> </w:t>
      </w:r>
      <w:r>
        <w:rPr>
          <w:color w:val="010101"/>
          <w:w w:val="70"/>
          <w:sz w:val="29"/>
        </w:rPr>
        <w:t>,q</w:t>
      </w:r>
      <w:r>
        <w:rPr>
          <w:color w:val="010101"/>
          <w:spacing w:val="-19"/>
          <w:w w:val="70"/>
          <w:sz w:val="29"/>
        </w:rPr>
        <w:t>!</w:t>
      </w:r>
      <w:r>
        <w:rPr>
          <w:color w:val="010101"/>
          <w:w w:val="40"/>
          <w:sz w:val="29"/>
        </w:rPr>
        <w:t>u,</w:t>
      </w:r>
      <w:r>
        <w:rPr>
          <w:color w:val="010101"/>
          <w:spacing w:val="-6"/>
          <w:sz w:val="29"/>
        </w:rPr>
        <w:t> </w:t>
      </w:r>
      <w:r>
        <w:rPr>
          <w:i/>
          <w:color w:val="010101"/>
          <w:w w:val="94"/>
          <w:sz w:val="20"/>
        </w:rPr>
        <w:t>dt</w:t>
      </w:r>
    </w:p>
    <w:p>
      <w:pPr>
        <w:spacing w:after="0"/>
        <w:jc w:val="left"/>
        <w:rPr>
          <w:sz w:val="20"/>
        </w:rPr>
        <w:sectPr>
          <w:pgSz w:w="7200" w:h="11340"/>
          <w:pgMar w:top="500" w:bottom="280" w:left="680" w:right="500"/>
        </w:sectPr>
      </w:pPr>
    </w:p>
    <w:p>
      <w:pPr>
        <w:spacing w:before="50"/>
        <w:ind w:left="421" w:right="-19" w:firstLine="0"/>
        <w:jc w:val="left"/>
        <w:rPr>
          <w:rFonts w:ascii="Arial" w:hAnsi="Arial"/>
          <w:i/>
          <w:sz w:val="11"/>
        </w:rPr>
      </w:pPr>
      <w:r>
        <w:rPr/>
        <w:pict>
          <v:shape style="position:absolute;margin-left:59.551571pt;margin-top:26.744722pt;width:3.25pt;height:7.5pt;mso-position-horizontal-relative:page;mso-position-vertical-relative:paragraph;z-index:-705640" type="#_x0000_t202" filled="false" stroked="false">
            <v:textbox inset="0,0,0,0">
              <w:txbxContent>
                <w:p>
                  <w:pPr>
                    <w:spacing w:line="150" w:lineRule="exact" w:before="0"/>
                    <w:ind w:left="0" w:right="0" w:firstLine="0"/>
                    <w:jc w:val="left"/>
                    <w:rPr>
                      <w:rFonts w:ascii="Arial"/>
                      <w:sz w:val="15"/>
                    </w:rPr>
                  </w:pPr>
                  <w:r>
                    <w:rPr>
                      <w:rFonts w:ascii="Arial"/>
                      <w:color w:val="010101"/>
                      <w:w w:val="76"/>
                      <w:sz w:val="15"/>
                    </w:rPr>
                    <w:t>o</w:t>
                  </w:r>
                </w:p>
              </w:txbxContent>
            </v:textbox>
            <w10:wrap type="none"/>
          </v:shape>
        </w:pict>
      </w:r>
      <w:r>
        <w:rPr>
          <w:rFonts w:ascii="Arial" w:hAnsi="Arial"/>
          <w:i/>
          <w:color w:val="010101"/>
          <w:spacing w:val="-65"/>
          <w:w w:val="76"/>
          <w:sz w:val="52"/>
        </w:rPr>
        <w:t>1</w:t>
      </w:r>
      <w:r>
        <w:rPr>
          <w:rFonts w:ascii="Arial" w:hAnsi="Arial"/>
          <w:i/>
          <w:color w:val="010101"/>
          <w:spacing w:val="-99"/>
          <w:w w:val="145"/>
          <w:sz w:val="52"/>
        </w:rPr>
        <w:t>·</w:t>
      </w:r>
      <w:r>
        <w:rPr>
          <w:i/>
          <w:color w:val="010101"/>
          <w:w w:val="87"/>
          <w:sz w:val="14"/>
        </w:rPr>
        <w:t>V</w:t>
      </w:r>
      <w:r>
        <w:rPr>
          <w:i/>
          <w:color w:val="010101"/>
          <w:spacing w:val="-10"/>
          <w:sz w:val="14"/>
        </w:rPr>
        <w:t> </w:t>
      </w:r>
      <w:r>
        <w:rPr>
          <w:rFonts w:ascii="Arial" w:hAnsi="Arial"/>
          <w:i/>
          <w:color w:val="010101"/>
          <w:w w:val="76"/>
          <w:position w:val="13"/>
          <w:sz w:val="11"/>
        </w:rPr>
        <w:t>1</w:t>
      </w:r>
    </w:p>
    <w:p>
      <w:pPr>
        <w:spacing w:before="434"/>
        <w:ind w:left="-23" w:right="-19" w:firstLine="0"/>
        <w:jc w:val="left"/>
        <w:rPr>
          <w:rFonts w:ascii="Arial"/>
          <w:i/>
          <w:sz w:val="11"/>
        </w:rPr>
      </w:pPr>
      <w:r>
        <w:rPr/>
        <w:br w:type="column"/>
      </w:r>
      <w:r>
        <w:rPr>
          <w:rFonts w:ascii="Arial"/>
          <w:i/>
          <w:color w:val="010101"/>
          <w:w w:val="135"/>
          <w:sz w:val="11"/>
        </w:rPr>
        <w:t>1</w:t>
      </w:r>
      <w:r>
        <w:rPr>
          <w:rFonts w:ascii="Arial"/>
          <w:i/>
          <w:color w:val="010101"/>
          <w:spacing w:val="-9"/>
          <w:w w:val="135"/>
          <w:sz w:val="11"/>
        </w:rPr>
        <w:t>p</w:t>
      </w:r>
      <w:r>
        <w:rPr>
          <w:rFonts w:ascii="Arial"/>
          <w:i/>
          <w:color w:val="010101"/>
          <w:w w:val="308"/>
          <w:sz w:val="11"/>
        </w:rPr>
        <w:t>..</w:t>
      </w:r>
    </w:p>
    <w:p>
      <w:pPr>
        <w:spacing w:before="341"/>
        <w:ind w:left="-24" w:right="0" w:firstLine="0"/>
        <w:jc w:val="left"/>
        <w:rPr>
          <w:i/>
          <w:sz w:val="20"/>
        </w:rPr>
      </w:pPr>
      <w:r>
        <w:rPr/>
        <w:br w:type="column"/>
      </w:r>
      <w:r>
        <w:rPr>
          <w:i/>
          <w:color w:val="010101"/>
          <w:w w:val="115"/>
          <w:sz w:val="21"/>
        </w:rPr>
        <w:t>J.'+itP:A, </w:t>
      </w:r>
      <w:r>
        <w:rPr>
          <w:color w:val="010101"/>
          <w:w w:val="145"/>
          <w:sz w:val="21"/>
        </w:rPr>
        <w:t>+ </w:t>
      </w:r>
      <w:r>
        <w:rPr>
          <w:color w:val="010101"/>
          <w:w w:val="115"/>
          <w:sz w:val="20"/>
        </w:rPr>
        <w:t>1PA+• </w:t>
      </w:r>
      <w:r>
        <w:rPr>
          <w:color w:val="010101"/>
          <w:w w:val="255"/>
          <w:sz w:val="20"/>
        </w:rPr>
        <w:t>-</w:t>
      </w:r>
      <w:r>
        <w:rPr>
          <w:color w:val="010101"/>
          <w:spacing w:val="-104"/>
          <w:w w:val="255"/>
          <w:sz w:val="20"/>
        </w:rPr>
        <w:t> </w:t>
      </w:r>
      <w:r>
        <w:rPr>
          <w:color w:val="010101"/>
          <w:w w:val="255"/>
          <w:sz w:val="20"/>
        </w:rPr>
        <w:t>,p </w:t>
      </w:r>
      <w:r>
        <w:rPr>
          <w:color w:val="010101"/>
          <w:w w:val="85"/>
          <w:sz w:val="20"/>
        </w:rPr>
        <w:t>•=11+e </w:t>
      </w:r>
      <w:r>
        <w:rPr>
          <w:color w:val="010101"/>
          <w:w w:val="115"/>
          <w:sz w:val="20"/>
        </w:rPr>
        <w:t>) </w:t>
      </w:r>
      <w:r>
        <w:rPr>
          <w:i/>
          <w:color w:val="010101"/>
          <w:w w:val="115"/>
          <w:sz w:val="20"/>
        </w:rPr>
        <w:t>dt</w:t>
      </w:r>
    </w:p>
    <w:p>
      <w:pPr>
        <w:spacing w:after="0"/>
        <w:jc w:val="left"/>
        <w:rPr>
          <w:sz w:val="20"/>
        </w:rPr>
        <w:sectPr>
          <w:type w:val="continuous"/>
          <w:pgSz w:w="7200" w:h="11340"/>
          <w:pgMar w:top="1100" w:bottom="0" w:left="680" w:right="500"/>
          <w:cols w:num="3" w:equalWidth="0">
            <w:col w:w="881" w:space="40"/>
            <w:col w:w="324" w:space="40"/>
            <w:col w:w="4735"/>
          </w:cols>
        </w:sectPr>
      </w:pPr>
    </w:p>
    <w:p>
      <w:pPr>
        <w:spacing w:line="371" w:lineRule="exact" w:before="95"/>
        <w:ind w:left="112" w:right="0" w:firstLine="0"/>
        <w:jc w:val="left"/>
        <w:rPr>
          <w:i/>
          <w:sz w:val="35"/>
        </w:rPr>
      </w:pPr>
      <w:r>
        <w:rPr>
          <w:color w:val="010101"/>
          <w:sz w:val="20"/>
        </w:rPr>
        <w:t>20. </w:t>
      </w:r>
      <w:r>
        <w:rPr>
          <w:i/>
          <w:color w:val="111111"/>
          <w:sz w:val="26"/>
        </w:rPr>
        <w:t>%( </w:t>
      </w:r>
      <w:r>
        <w:rPr>
          <w:i/>
          <w:color w:val="111111"/>
          <w:w w:val="70"/>
          <w:sz w:val="26"/>
        </w:rPr>
        <w:t>a., </w:t>
      </w:r>
      <w:r>
        <w:rPr>
          <w:color w:val="010101"/>
          <w:w w:val="185"/>
          <w:sz w:val="26"/>
          <w:u w:val="single" w:color="000000"/>
        </w:rPr>
        <w:t>- </w:t>
      </w:r>
      <w:r>
        <w:rPr>
          <w:rFonts w:ascii="Arial" w:hAnsi="Arial"/>
          <w:i/>
          <w:color w:val="010101"/>
          <w:w w:val="70"/>
          <w:sz w:val="28"/>
          <w:u w:val="single" w:color="000000"/>
        </w:rPr>
        <w:t>ª:iw </w:t>
      </w:r>
      <w:r>
        <w:rPr>
          <w:rFonts w:ascii="Arial" w:hAnsi="Arial"/>
          <w:color w:val="010101"/>
          <w:sz w:val="31"/>
          <w:u w:val="single" w:color="000000"/>
        </w:rPr>
        <w:t>+ </w:t>
      </w:r>
      <w:r>
        <w:rPr>
          <w:color w:val="010101"/>
          <w:sz w:val="20"/>
          <w:u w:val="single" w:color="000000"/>
        </w:rPr>
        <w:t>"'ªz)2 </w:t>
      </w:r>
      <w:r>
        <w:rPr>
          <w:rFonts w:ascii="Arial" w:hAnsi="Arial"/>
          <w:color w:val="010101"/>
          <w:sz w:val="31"/>
          <w:u w:val="single" w:color="000000"/>
        </w:rPr>
        <w:t>+ </w:t>
      </w:r>
      <w:r>
        <w:rPr>
          <w:color w:val="010101"/>
          <w:sz w:val="26"/>
          <w:u w:val="single" w:color="000000"/>
        </w:rPr>
        <w:t>H </w:t>
      </w:r>
      <w:r>
        <w:rPr>
          <w:i/>
          <w:color w:val="010101"/>
          <w:w w:val="50"/>
          <w:sz w:val="35"/>
          <w:u w:val="single" w:color="000000"/>
        </w:rPr>
        <w:t>"'ªza</w:t>
      </w:r>
      <w:r>
        <w:rPr>
          <w:i/>
          <w:color w:val="010101"/>
          <w:w w:val="50"/>
          <w:sz w:val="35"/>
        </w:rPr>
        <w:t>,</w:t>
      </w:r>
    </w:p>
    <w:p>
      <w:pPr>
        <w:spacing w:line="210" w:lineRule="exact" w:before="0"/>
        <w:ind w:left="1224" w:right="0" w:firstLine="0"/>
        <w:jc w:val="left"/>
        <w:rPr>
          <w:i/>
          <w:sz w:val="21"/>
        </w:rPr>
      </w:pPr>
      <w:r>
        <w:rPr>
          <w:color w:val="111111"/>
          <w:w w:val="115"/>
          <w:sz w:val="20"/>
        </w:rPr>
        <w:t>.935 </w:t>
      </w:r>
      <w:r>
        <w:rPr>
          <w:color w:val="010101"/>
          <w:w w:val="260"/>
          <w:sz w:val="20"/>
        </w:rPr>
        <w:t>-</w:t>
      </w:r>
      <w:r>
        <w:rPr>
          <w:color w:val="010101"/>
          <w:spacing w:val="-121"/>
          <w:w w:val="260"/>
          <w:sz w:val="20"/>
        </w:rPr>
        <w:t> </w:t>
      </w:r>
      <w:r>
        <w:rPr>
          <w:i/>
          <w:color w:val="010101"/>
          <w:w w:val="115"/>
          <w:sz w:val="21"/>
        </w:rPr>
        <w:t>nAq</w:t>
      </w:r>
    </w:p>
    <w:p>
      <w:pPr>
        <w:pStyle w:val="BodyText"/>
        <w:spacing w:line="252" w:lineRule="auto" w:before="156"/>
        <w:ind w:left="130" w:right="335" w:hanging="18"/>
      </w:pPr>
      <w:r>
        <w:rPr/>
        <w:br w:type="column"/>
      </w:r>
      <w:r>
        <w:rPr>
          <w:color w:val="010101"/>
          <w:w w:val="105"/>
        </w:rPr>
        <w:t>where (z) is husband  and ( y ) is wife</w:t>
      </w:r>
    </w:p>
    <w:p>
      <w:pPr>
        <w:spacing w:after="0" w:line="252" w:lineRule="auto"/>
        <w:sectPr>
          <w:type w:val="continuous"/>
          <w:pgSz w:w="7200" w:h="11340"/>
          <w:pgMar w:top="1100" w:bottom="0" w:left="680" w:right="500"/>
          <w:cols w:num="2" w:equalWidth="0">
            <w:col w:w="3061" w:space="290"/>
            <w:col w:w="2669"/>
          </w:cols>
        </w:sectPr>
      </w:pPr>
    </w:p>
    <w:p>
      <w:pPr>
        <w:spacing w:before="45"/>
        <w:ind w:left="0" w:right="1244" w:firstLine="0"/>
        <w:jc w:val="center"/>
        <w:rPr>
          <w:sz w:val="20"/>
        </w:rPr>
      </w:pPr>
      <w:r>
        <w:rPr>
          <w:color w:val="010101"/>
          <w:w w:val="103"/>
          <w:sz w:val="20"/>
        </w:rPr>
        <w:t>21.</w:t>
      </w:r>
      <w:r>
        <w:rPr>
          <w:color w:val="010101"/>
          <w:sz w:val="20"/>
        </w:rPr>
        <w:t> </w:t>
      </w:r>
      <w:r>
        <w:rPr>
          <w:color w:val="010101"/>
          <w:spacing w:val="-6"/>
          <w:sz w:val="20"/>
        </w:rPr>
        <w:t> </w:t>
      </w:r>
      <w:r>
        <w:rPr>
          <w:color w:val="010101"/>
          <w:w w:val="103"/>
          <w:sz w:val="20"/>
        </w:rPr>
        <w:t>360</w:t>
      </w:r>
      <w:r>
        <w:rPr>
          <w:color w:val="010101"/>
          <w:spacing w:val="-19"/>
          <w:sz w:val="20"/>
        </w:rPr>
        <w:t> </w:t>
      </w:r>
      <w:r>
        <w:rPr>
          <w:color w:val="010101"/>
          <w:w w:val="90"/>
          <w:sz w:val="20"/>
        </w:rPr>
        <w:t>(</w:t>
      </w:r>
      <w:r>
        <w:rPr>
          <w:color w:val="010101"/>
          <w:w w:val="98"/>
          <w:sz w:val="17"/>
        </w:rPr>
        <w:t>dio</w:t>
      </w:r>
      <w:r>
        <w:rPr>
          <w:color w:val="010101"/>
          <w:spacing w:val="-18"/>
          <w:sz w:val="17"/>
        </w:rPr>
        <w:t> </w:t>
      </w:r>
      <w:r>
        <w:rPr>
          <w:color w:val="111111"/>
          <w:w w:val="74"/>
          <w:sz w:val="17"/>
        </w:rPr>
        <w:t>:ao</w:t>
      </w:r>
      <w:r>
        <w:rPr>
          <w:color w:val="111111"/>
          <w:spacing w:val="-23"/>
          <w:sz w:val="17"/>
        </w:rPr>
        <w:t> </w:t>
      </w:r>
      <w:r>
        <w:rPr>
          <w:color w:val="111111"/>
          <w:w w:val="90"/>
          <w:sz w:val="17"/>
        </w:rPr>
        <w:t>:sj</w:t>
      </w:r>
      <w:r>
        <w:rPr>
          <w:color w:val="111111"/>
          <w:sz w:val="17"/>
        </w:rPr>
        <w:t> </w:t>
      </w:r>
      <w:r>
        <w:rPr>
          <w:color w:val="111111"/>
          <w:spacing w:val="-5"/>
          <w:sz w:val="17"/>
        </w:rPr>
        <w:t> </w:t>
      </w:r>
      <w:r>
        <w:rPr>
          <w:color w:val="010101"/>
          <w:w w:val="322"/>
          <w:sz w:val="17"/>
        </w:rPr>
        <w:t>-</w:t>
      </w:r>
      <w:r>
        <w:rPr>
          <w:color w:val="010101"/>
          <w:spacing w:val="18"/>
          <w:sz w:val="17"/>
        </w:rPr>
        <w:t> </w:t>
      </w:r>
      <w:r>
        <w:rPr>
          <w:i/>
          <w:color w:val="010101"/>
          <w:w w:val="135"/>
          <w:sz w:val="18"/>
        </w:rPr>
        <w:t>á</w:t>
      </w:r>
      <w:r>
        <w:rPr>
          <w:i/>
          <w:color w:val="010101"/>
          <w:spacing w:val="4"/>
          <w:w w:val="135"/>
          <w:sz w:val="18"/>
        </w:rPr>
        <w:t>,</w:t>
      </w:r>
      <w:r>
        <w:rPr>
          <w:color w:val="111111"/>
          <w:spacing w:val="-22"/>
          <w:w w:val="149"/>
          <w:sz w:val="13"/>
        </w:rPr>
        <w:t>:</w:t>
      </w:r>
      <w:r>
        <w:rPr>
          <w:color w:val="111111"/>
          <w:spacing w:val="-41"/>
          <w:w w:val="145"/>
          <w:sz w:val="13"/>
        </w:rPr>
        <w:t>1</w:t>
      </w:r>
      <w:r>
        <w:rPr>
          <w:color w:val="111111"/>
          <w:w w:val="101"/>
          <w:sz w:val="13"/>
        </w:rPr>
        <w:t>0</w:t>
      </w:r>
      <w:r>
        <w:rPr>
          <w:color w:val="111111"/>
          <w:spacing w:val="-9"/>
          <w:sz w:val="13"/>
        </w:rPr>
        <w:t> </w:t>
      </w:r>
      <w:r>
        <w:rPr>
          <w:color w:val="242424"/>
          <w:spacing w:val="-13"/>
          <w:w w:val="94"/>
          <w:sz w:val="17"/>
        </w:rPr>
        <w:t>:</w:t>
      </w:r>
      <w:r>
        <w:rPr>
          <w:color w:val="010101"/>
          <w:w w:val="72"/>
          <w:sz w:val="17"/>
        </w:rPr>
        <w:t>ao</w:t>
      </w:r>
      <w:r>
        <w:rPr>
          <w:color w:val="010101"/>
          <w:spacing w:val="-17"/>
          <w:sz w:val="17"/>
        </w:rPr>
        <w:t> </w:t>
      </w:r>
      <w:r>
        <w:rPr>
          <w:color w:val="242424"/>
          <w:spacing w:val="-20"/>
          <w:w w:val="94"/>
          <w:sz w:val="17"/>
        </w:rPr>
        <w:t>:</w:t>
      </w:r>
      <w:r>
        <w:rPr>
          <w:color w:val="010101"/>
          <w:w w:val="79"/>
          <w:sz w:val="17"/>
        </w:rPr>
        <w:t>8]</w:t>
      </w:r>
      <w:r>
        <w:rPr>
          <w:color w:val="010101"/>
          <w:sz w:val="17"/>
        </w:rPr>
        <w:t> </w:t>
      </w:r>
      <w:r>
        <w:rPr>
          <w:color w:val="010101"/>
          <w:spacing w:val="6"/>
          <w:sz w:val="17"/>
        </w:rPr>
        <w:t> </w:t>
      </w:r>
      <w:r>
        <w:rPr>
          <w:color w:val="010101"/>
          <w:w w:val="314"/>
          <w:sz w:val="17"/>
        </w:rPr>
        <w:t>-</w:t>
      </w:r>
      <w:r>
        <w:rPr>
          <w:color w:val="010101"/>
          <w:spacing w:val="19"/>
          <w:sz w:val="17"/>
        </w:rPr>
        <w:t> </w:t>
      </w:r>
      <w:r>
        <w:rPr>
          <w:color w:val="010101"/>
          <w:w w:val="98"/>
          <w:sz w:val="17"/>
        </w:rPr>
        <w:t>dio</w:t>
      </w:r>
      <w:r>
        <w:rPr>
          <w:color w:val="010101"/>
          <w:spacing w:val="-18"/>
          <w:sz w:val="17"/>
        </w:rPr>
        <w:t> </w:t>
      </w:r>
      <w:r>
        <w:rPr>
          <w:color w:val="111111"/>
          <w:w w:val="74"/>
          <w:sz w:val="17"/>
        </w:rPr>
        <w:t>:ao</w:t>
      </w:r>
      <w:r>
        <w:rPr>
          <w:color w:val="111111"/>
          <w:spacing w:val="-23"/>
          <w:sz w:val="17"/>
        </w:rPr>
        <w:t> </w:t>
      </w:r>
      <w:r>
        <w:rPr>
          <w:color w:val="111111"/>
          <w:w w:val="90"/>
          <w:sz w:val="13"/>
        </w:rPr>
        <w:t>:36</w:t>
      </w:r>
      <w:r>
        <w:rPr>
          <w:color w:val="111111"/>
          <w:spacing w:val="-5"/>
          <w:sz w:val="13"/>
        </w:rPr>
        <w:t> </w:t>
      </w:r>
      <w:r>
        <w:rPr>
          <w:color w:val="242424"/>
          <w:spacing w:val="-16"/>
          <w:w w:val="75"/>
          <w:sz w:val="21"/>
        </w:rPr>
        <w:t>:</w:t>
      </w:r>
      <w:r>
        <w:rPr>
          <w:color w:val="010101"/>
          <w:w w:val="71"/>
          <w:sz w:val="21"/>
        </w:rPr>
        <w:t>sl</w:t>
      </w:r>
      <w:r>
        <w:rPr>
          <w:color w:val="010101"/>
          <w:sz w:val="21"/>
        </w:rPr>
        <w:t> </w:t>
      </w:r>
      <w:r>
        <w:rPr>
          <w:color w:val="010101"/>
          <w:spacing w:val="-16"/>
          <w:sz w:val="21"/>
        </w:rPr>
        <w:t> </w:t>
      </w:r>
      <w:r>
        <w:rPr>
          <w:rFonts w:ascii="Arial" w:hAnsi="Arial"/>
          <w:color w:val="010101"/>
          <w:w w:val="105"/>
          <w:sz w:val="31"/>
        </w:rPr>
        <w:t>+</w:t>
      </w:r>
      <w:r>
        <w:rPr>
          <w:rFonts w:ascii="Arial" w:hAnsi="Arial"/>
          <w:color w:val="010101"/>
          <w:spacing w:val="-27"/>
          <w:sz w:val="31"/>
        </w:rPr>
        <w:t> </w:t>
      </w:r>
      <w:r>
        <w:rPr>
          <w:i/>
          <w:color w:val="010101"/>
          <w:w w:val="106"/>
          <w:sz w:val="18"/>
        </w:rPr>
        <w:t>á</w:t>
      </w:r>
      <w:r>
        <w:rPr>
          <w:i/>
          <w:color w:val="010101"/>
          <w:spacing w:val="15"/>
          <w:w w:val="106"/>
          <w:sz w:val="18"/>
        </w:rPr>
        <w:t>¡</w:t>
      </w:r>
      <w:r>
        <w:rPr>
          <w:color w:val="111111"/>
          <w:spacing w:val="-19"/>
          <w:w w:val="149"/>
          <w:sz w:val="13"/>
        </w:rPr>
        <w:t>:</w:t>
      </w:r>
      <w:r>
        <w:rPr>
          <w:color w:val="111111"/>
          <w:spacing w:val="-34"/>
          <w:w w:val="135"/>
          <w:sz w:val="13"/>
        </w:rPr>
        <w:t>1</w:t>
      </w:r>
      <w:r>
        <w:rPr>
          <w:color w:val="111111"/>
          <w:w w:val="108"/>
          <w:sz w:val="13"/>
        </w:rPr>
        <w:t>0</w:t>
      </w:r>
      <w:r>
        <w:rPr>
          <w:color w:val="111111"/>
          <w:spacing w:val="-17"/>
          <w:sz w:val="13"/>
        </w:rPr>
        <w:t> </w:t>
      </w:r>
      <w:r>
        <w:rPr>
          <w:color w:val="111111"/>
          <w:w w:val="76"/>
          <w:sz w:val="17"/>
        </w:rPr>
        <w:t>:ao</w:t>
      </w:r>
      <w:r>
        <w:rPr>
          <w:color w:val="111111"/>
          <w:spacing w:val="-23"/>
          <w:sz w:val="17"/>
        </w:rPr>
        <w:t> </w:t>
      </w:r>
      <w:r>
        <w:rPr>
          <w:color w:val="111111"/>
          <w:w w:val="90"/>
          <w:sz w:val="13"/>
        </w:rPr>
        <w:t>:36</w:t>
      </w:r>
      <w:r>
        <w:rPr>
          <w:color w:val="111111"/>
          <w:spacing w:val="-5"/>
          <w:sz w:val="13"/>
        </w:rPr>
        <w:t> </w:t>
      </w:r>
      <w:r>
        <w:rPr>
          <w:color w:val="111111"/>
          <w:w w:val="122"/>
          <w:sz w:val="20"/>
        </w:rPr>
        <w:t>:</w:t>
      </w:r>
      <w:r>
        <w:rPr>
          <w:color w:val="111111"/>
          <w:spacing w:val="-33"/>
          <w:w w:val="122"/>
          <w:sz w:val="20"/>
        </w:rPr>
        <w:t>i</w:t>
      </w:r>
      <w:r>
        <w:rPr>
          <w:color w:val="111111"/>
          <w:w w:val="29"/>
          <w:sz w:val="20"/>
        </w:rPr>
        <w:t>l</w:t>
      </w:r>
    </w:p>
    <w:p>
      <w:pPr>
        <w:spacing w:before="10"/>
        <w:ind w:left="482" w:right="0" w:firstLine="0"/>
        <w:jc w:val="left"/>
        <w:rPr>
          <w:b/>
          <w:sz w:val="17"/>
        </w:rPr>
      </w:pPr>
      <w:r>
        <w:rPr>
          <w:rFonts w:ascii="Arial" w:hAnsi="Arial"/>
          <w:color w:val="010101"/>
          <w:w w:val="105"/>
          <w:sz w:val="31"/>
        </w:rPr>
        <w:t>+ </w:t>
      </w:r>
      <w:r>
        <w:rPr>
          <w:color w:val="010101"/>
          <w:w w:val="105"/>
          <w:sz w:val="15"/>
        </w:rPr>
        <w:t>(l¡:ao :ÜI  </w:t>
      </w:r>
      <w:r>
        <w:rPr>
          <w:color w:val="010101"/>
          <w:w w:val="340"/>
          <w:sz w:val="15"/>
        </w:rPr>
        <w:t>-</w:t>
      </w:r>
      <w:r>
        <w:rPr>
          <w:color w:val="010101"/>
          <w:spacing w:val="-85"/>
          <w:w w:val="340"/>
          <w:sz w:val="15"/>
        </w:rPr>
        <w:t> </w:t>
      </w:r>
      <w:r>
        <w:rPr>
          <w:color w:val="010101"/>
          <w:w w:val="135"/>
          <w:sz w:val="13"/>
        </w:rPr>
        <w:t>Ói </w:t>
      </w:r>
      <w:r>
        <w:rPr>
          <w:color w:val="242424"/>
          <w:spacing w:val="-7"/>
          <w:w w:val="105"/>
          <w:sz w:val="13"/>
        </w:rPr>
        <w:t>:</w:t>
      </w:r>
      <w:r>
        <w:rPr>
          <w:color w:val="010101"/>
          <w:spacing w:val="-7"/>
          <w:w w:val="105"/>
          <w:sz w:val="13"/>
        </w:rPr>
        <w:t>80 </w:t>
      </w:r>
      <w:r>
        <w:rPr>
          <w:color w:val="242424"/>
          <w:spacing w:val="-3"/>
          <w:w w:val="135"/>
          <w:sz w:val="13"/>
        </w:rPr>
        <w:t>:</w:t>
      </w:r>
      <w:r>
        <w:rPr>
          <w:color w:val="010101"/>
          <w:spacing w:val="-3"/>
          <w:w w:val="135"/>
          <w:sz w:val="13"/>
        </w:rPr>
        <w:t>36:iil </w:t>
      </w:r>
      <w:r>
        <w:rPr>
          <w:color w:val="010101"/>
          <w:w w:val="135"/>
          <w:sz w:val="13"/>
        </w:rPr>
        <w:t>) </w:t>
      </w:r>
      <w:r>
        <w:rPr>
          <w:rFonts w:ascii="Arial" w:hAnsi="Arial"/>
          <w:color w:val="010101"/>
          <w:w w:val="105"/>
          <w:sz w:val="31"/>
        </w:rPr>
        <w:t>+ </w:t>
      </w:r>
      <w:r>
        <w:rPr>
          <w:color w:val="010101"/>
          <w:w w:val="105"/>
          <w:sz w:val="20"/>
        </w:rPr>
        <w:t>240 (a¡:iil </w:t>
      </w:r>
      <w:r>
        <w:rPr>
          <w:color w:val="010101"/>
          <w:w w:val="245"/>
          <w:sz w:val="20"/>
        </w:rPr>
        <w:t>-</w:t>
      </w:r>
      <w:r>
        <w:rPr>
          <w:color w:val="010101"/>
          <w:spacing w:val="-76"/>
          <w:w w:val="245"/>
          <w:sz w:val="20"/>
        </w:rPr>
        <w:t> </w:t>
      </w:r>
      <w:r>
        <w:rPr>
          <w:b/>
          <w:color w:val="010101"/>
          <w:w w:val="105"/>
          <w:sz w:val="17"/>
        </w:rPr>
        <w:t>a.:36 :ii]</w:t>
      </w:r>
    </w:p>
    <w:p>
      <w:pPr>
        <w:spacing w:line="308" w:lineRule="exact" w:before="3"/>
        <w:ind w:left="478" w:right="0" w:firstLine="0"/>
        <w:jc w:val="left"/>
        <w:rPr>
          <w:sz w:val="17"/>
        </w:rPr>
      </w:pPr>
      <w:r>
        <w:rPr>
          <w:rFonts w:ascii="Arial" w:hAnsi="Arial"/>
          <w:color w:val="010101"/>
          <w:sz w:val="31"/>
        </w:rPr>
        <w:t>+</w:t>
      </w:r>
      <w:r>
        <w:rPr>
          <w:rFonts w:ascii="Arial" w:hAnsi="Arial"/>
          <w:color w:val="010101"/>
          <w:spacing w:val="-54"/>
          <w:sz w:val="31"/>
        </w:rPr>
        <w:t> </w:t>
      </w:r>
      <w:r>
        <w:rPr>
          <w:color w:val="010101"/>
          <w:w w:val="135"/>
          <w:sz w:val="13"/>
        </w:rPr>
        <w:t>á10:sj </w:t>
      </w:r>
      <w:r>
        <w:rPr>
          <w:color w:val="010101"/>
          <w:w w:val="385"/>
          <w:sz w:val="13"/>
        </w:rPr>
        <w:t>-</w:t>
      </w:r>
      <w:r>
        <w:rPr>
          <w:color w:val="010101"/>
          <w:spacing w:val="-92"/>
          <w:w w:val="385"/>
          <w:sz w:val="13"/>
        </w:rPr>
        <w:t> </w:t>
      </w:r>
      <w:r>
        <w:rPr>
          <w:color w:val="010101"/>
          <w:sz w:val="17"/>
        </w:rPr>
        <w:t>dio:36:8] </w:t>
      </w:r>
      <w:r>
        <w:rPr>
          <w:color w:val="010101"/>
          <w:w w:val="135"/>
          <w:sz w:val="17"/>
        </w:rPr>
        <w:t>)</w:t>
      </w:r>
    </w:p>
    <w:p>
      <w:pPr>
        <w:spacing w:after="0" w:line="308" w:lineRule="exact"/>
        <w:jc w:val="left"/>
        <w:rPr>
          <w:sz w:val="17"/>
        </w:rPr>
        <w:sectPr>
          <w:type w:val="continuous"/>
          <w:pgSz w:w="7200" w:h="11340"/>
          <w:pgMar w:top="1100" w:bottom="0" w:left="680" w:right="500"/>
        </w:sectPr>
      </w:pPr>
    </w:p>
    <w:p>
      <w:pPr>
        <w:pStyle w:val="BodyText"/>
        <w:spacing w:before="7"/>
        <w:rPr>
          <w:sz w:val="22"/>
        </w:rPr>
      </w:pPr>
    </w:p>
    <w:p>
      <w:pPr>
        <w:spacing w:line="203" w:lineRule="exact" w:before="0"/>
        <w:ind w:left="105" w:right="-12" w:firstLine="0"/>
        <w:jc w:val="left"/>
        <w:rPr>
          <w:sz w:val="23"/>
        </w:rPr>
      </w:pPr>
      <w:r>
        <w:rPr>
          <w:color w:val="010101"/>
          <w:w w:val="95"/>
          <w:sz w:val="21"/>
        </w:rPr>
        <w:t>22. </w:t>
      </w:r>
      <w:r>
        <w:rPr>
          <w:rFonts w:ascii="Arial"/>
          <w:i/>
          <w:color w:val="010101"/>
          <w:w w:val="95"/>
          <w:sz w:val="20"/>
        </w:rPr>
        <w:t>P  </w:t>
      </w:r>
      <w:r>
        <w:rPr>
          <w:color w:val="010101"/>
          <w:w w:val="95"/>
          <w:sz w:val="23"/>
        </w:rPr>
        <w:t>=  </w:t>
      </w:r>
      <w:r>
        <w:rPr>
          <w:color w:val="111111"/>
          <w:w w:val="80"/>
          <w:sz w:val="23"/>
        </w:rPr>
        <w:t>_</w:t>
      </w:r>
    </w:p>
    <w:p>
      <w:pPr>
        <w:tabs>
          <w:tab w:pos="618" w:val="left" w:leader="none"/>
          <w:tab w:pos="2620" w:val="left" w:leader="none"/>
        </w:tabs>
        <w:spacing w:line="463" w:lineRule="exact" w:before="0"/>
        <w:ind w:left="105" w:right="0" w:firstLine="0"/>
        <w:jc w:val="left"/>
        <w:rPr>
          <w:sz w:val="12"/>
        </w:rPr>
      </w:pPr>
      <w:r>
        <w:rPr/>
        <w:br w:type="column"/>
      </w:r>
      <w:r>
        <w:rPr>
          <w:color w:val="010101"/>
          <w:w w:val="111"/>
          <w:sz w:val="20"/>
        </w:rPr>
        <w:t>I</w:t>
      </w:r>
      <w:r>
        <w:rPr>
          <w:color w:val="010101"/>
          <w:sz w:val="20"/>
        </w:rPr>
        <w:tab/>
      </w:r>
      <w:r>
        <w:rPr>
          <w:b/>
          <w:color w:val="010101"/>
          <w:w w:val="48"/>
          <w:sz w:val="47"/>
        </w:rPr>
        <w:t>(</w:t>
      </w:r>
      <w:r>
        <w:rPr>
          <w:b/>
          <w:color w:val="010101"/>
          <w:spacing w:val="-31"/>
          <w:w w:val="48"/>
          <w:sz w:val="47"/>
        </w:rPr>
        <w:t>5</w:t>
      </w:r>
      <w:r>
        <w:rPr>
          <w:color w:val="010101"/>
          <w:spacing w:val="-4"/>
          <w:w w:val="59"/>
          <w:position w:val="-9"/>
          <w:sz w:val="23"/>
        </w:rPr>
        <w:t>.</w:t>
      </w:r>
      <w:r>
        <w:rPr>
          <w:b/>
          <w:color w:val="010101"/>
          <w:spacing w:val="-112"/>
          <w:w w:val="49"/>
          <w:sz w:val="47"/>
        </w:rPr>
        <w:t>0</w:t>
      </w:r>
      <w:r>
        <w:rPr>
          <w:color w:val="010101"/>
          <w:spacing w:val="7"/>
          <w:w w:val="59"/>
          <w:position w:val="-9"/>
          <w:sz w:val="23"/>
        </w:rPr>
        <w:t>.</w:t>
      </w:r>
      <w:r>
        <w:rPr>
          <w:rFonts w:ascii="Arial"/>
          <w:color w:val="010101"/>
          <w:spacing w:val="-74"/>
          <w:w w:val="90"/>
          <w:position w:val="-9"/>
          <w:sz w:val="19"/>
        </w:rPr>
        <w:t>m</w:t>
      </w:r>
      <w:r>
        <w:rPr>
          <w:b/>
          <w:color w:val="010101"/>
          <w:spacing w:val="-42"/>
          <w:w w:val="49"/>
          <w:sz w:val="47"/>
        </w:rPr>
        <w:t>0</w:t>
      </w:r>
      <w:r>
        <w:rPr>
          <w:rFonts w:ascii="Arial"/>
          <w:color w:val="010101"/>
          <w:spacing w:val="-60"/>
          <w:w w:val="90"/>
          <w:position w:val="-9"/>
          <w:sz w:val="19"/>
        </w:rPr>
        <w:t>&gt;</w:t>
      </w:r>
      <w:r>
        <w:rPr>
          <w:b/>
          <w:color w:val="010101"/>
          <w:w w:val="49"/>
          <w:sz w:val="47"/>
        </w:rPr>
        <w:t>0)</w:t>
      </w:r>
      <w:r>
        <w:rPr>
          <w:b/>
          <w:color w:val="010101"/>
          <w:spacing w:val="-29"/>
          <w:sz w:val="47"/>
        </w:rPr>
        <w:t> </w:t>
      </w:r>
      <w:r>
        <w:rPr>
          <w:color w:val="010101"/>
          <w:w w:val="50"/>
          <w:sz w:val="34"/>
        </w:rPr>
        <w:t>(D</w:t>
      </w:r>
      <w:r>
        <w:rPr>
          <w:color w:val="010101"/>
          <w:spacing w:val="-17"/>
          <w:w w:val="50"/>
          <w:sz w:val="34"/>
        </w:rPr>
        <w:t>,</w:t>
      </w:r>
      <w:r>
        <w:rPr>
          <w:rFonts w:ascii="Arial"/>
          <w:i/>
          <w:color w:val="010101"/>
          <w:spacing w:val="-155"/>
          <w:w w:val="110"/>
          <w:position w:val="-9"/>
          <w:sz w:val="20"/>
        </w:rPr>
        <w:t>D</w:t>
      </w:r>
      <w:r>
        <w:rPr>
          <w:color w:val="010101"/>
          <w:w w:val="50"/>
          <w:sz w:val="34"/>
        </w:rPr>
        <w:t>,+20</w:t>
      </w:r>
      <w:r>
        <w:rPr>
          <w:color w:val="010101"/>
          <w:spacing w:val="23"/>
          <w:sz w:val="34"/>
        </w:rPr>
        <w:t> </w:t>
      </w:r>
      <w:r>
        <w:rPr>
          <w:color w:val="010101"/>
          <w:w w:val="93"/>
          <w:sz w:val="12"/>
        </w:rPr>
        <w:t>t1c12&gt;</w:t>
      </w:r>
      <w:r>
        <w:rPr>
          <w:color w:val="010101"/>
          <w:sz w:val="12"/>
        </w:rPr>
        <w:tab/>
      </w:r>
      <w:r>
        <w:rPr>
          <w:color w:val="010101"/>
          <w:w w:val="351"/>
          <w:sz w:val="12"/>
        </w:rPr>
        <w:t>)</w:t>
      </w:r>
    </w:p>
    <w:p>
      <w:pPr>
        <w:spacing w:after="0" w:line="463" w:lineRule="exact"/>
        <w:jc w:val="left"/>
        <w:rPr>
          <w:sz w:val="12"/>
        </w:rPr>
        <w:sectPr>
          <w:type w:val="continuous"/>
          <w:pgSz w:w="7200" w:h="11340"/>
          <w:pgMar w:top="1100" w:bottom="0" w:left="680" w:right="500"/>
          <w:cols w:num="2" w:equalWidth="0">
            <w:col w:w="970" w:space="192"/>
            <w:col w:w="4858"/>
          </w:cols>
        </w:sectPr>
      </w:pPr>
    </w:p>
    <w:p>
      <w:pPr>
        <w:tabs>
          <w:tab w:pos="2936" w:val="right" w:leader="none"/>
        </w:tabs>
        <w:spacing w:line="174" w:lineRule="exact" w:before="0"/>
        <w:ind w:left="884" w:right="0" w:firstLine="0"/>
        <w:jc w:val="left"/>
        <w:rPr>
          <w:rFonts w:ascii="Arial" w:hAnsi="Arial"/>
          <w:b/>
          <w:sz w:val="11"/>
        </w:rPr>
      </w:pPr>
      <w:r>
        <w:rPr/>
        <w:pict>
          <v:line style="position:absolute;mso-position-horizontal-relative:page;mso-position-vertical-relative:paragraph;z-index:-705736" from="141.345306pt,.953275pt" to="145.650206pt,.953275pt" stroked="true" strokeweight=".717489pt" strokecolor="#000000">
            <w10:wrap type="none"/>
          </v:line>
        </w:pict>
      </w:r>
      <w:r>
        <w:rPr/>
        <w:pict>
          <v:line style="position:absolute;mso-position-horizontal-relative:page;mso-position-vertical-relative:paragraph;z-index:-705712" from="96.860992pt,7.247275pt" to="99.013452pt,7.247275pt" stroked="true" strokeweight=".717489pt" strokecolor="#000000">
            <w10:wrap type="none"/>
          </v:line>
        </w:pict>
      </w:r>
      <w:r>
        <w:rPr/>
        <w:pict>
          <v:shape style="position:absolute;margin-left:188.6996pt;margin-top:-5.843715pt;width:34.5pt;height:8pt;mso-position-horizontal-relative:page;mso-position-vertical-relative:paragraph;z-index:-705616" type="#_x0000_t202" filled="false" stroked="false">
            <v:textbox inset="0,0,0,0">
              <w:txbxContent>
                <w:p>
                  <w:pPr>
                    <w:spacing w:line="160" w:lineRule="exact" w:before="0"/>
                    <w:ind w:left="0" w:right="-13" w:firstLine="0"/>
                    <w:jc w:val="left"/>
                    <w:rPr>
                      <w:sz w:val="16"/>
                    </w:rPr>
                  </w:pPr>
                  <w:r>
                    <w:rPr>
                      <w:color w:val="010101"/>
                      <w:w w:val="85"/>
                      <w:sz w:val="16"/>
                    </w:rPr>
                    <w:t>az+6111+20</w:t>
                  </w:r>
                </w:p>
              </w:txbxContent>
            </v:textbox>
            <w10:wrap type="none"/>
          </v:shape>
        </w:pict>
      </w:r>
      <w:r>
        <w:rPr>
          <w:b/>
          <w:color w:val="010101"/>
          <w:sz w:val="13"/>
        </w:rPr>
        <w:t>az.+6:a,</w:t>
      </w:r>
      <w:r>
        <w:rPr>
          <w:b/>
          <w:color w:val="010101"/>
          <w:spacing w:val="-4"/>
          <w:sz w:val="13"/>
        </w:rPr>
        <w:t> </w:t>
      </w:r>
      <w:r>
        <w:rPr>
          <w:b/>
          <w:color w:val="242424"/>
          <w:sz w:val="13"/>
        </w:rPr>
        <w:t>:</w:t>
      </w:r>
      <w:r>
        <w:rPr>
          <w:b/>
          <w:color w:val="010101"/>
          <w:sz w:val="13"/>
        </w:rPr>
        <w:t>80-zl    </w:t>
      </w:r>
      <w:r>
        <w:rPr>
          <w:b/>
          <w:color w:val="010101"/>
          <w:spacing w:val="29"/>
          <w:sz w:val="13"/>
        </w:rPr>
        <w:t> </w:t>
      </w:r>
      <w:r>
        <w:rPr>
          <w:rFonts w:ascii="Arial" w:hAnsi="Arial"/>
          <w:i/>
          <w:color w:val="010101"/>
          <w:sz w:val="17"/>
        </w:rPr>
        <w:t>ªiol</w:t>
      </w:r>
      <w:r>
        <w:rPr>
          <w:rFonts w:ascii="Arial" w:hAnsi="Arial"/>
          <w:b/>
          <w:color w:val="010101"/>
          <w:sz w:val="11"/>
        </w:rPr>
        <w:tab/>
        <w:t>11</w:t>
      </w:r>
    </w:p>
    <w:p>
      <w:pPr>
        <w:tabs>
          <w:tab w:pos="2749" w:val="left" w:leader="none"/>
          <w:tab w:pos="3506" w:val="left" w:leader="none"/>
        </w:tabs>
        <w:spacing w:line="351" w:lineRule="exact" w:before="10"/>
        <w:ind w:left="948" w:right="0" w:firstLine="0"/>
        <w:jc w:val="left"/>
        <w:rPr>
          <w:rFonts w:ascii="Arial" w:hAnsi="Arial"/>
          <w:sz w:val="14"/>
        </w:rPr>
      </w:pPr>
      <w:r>
        <w:rPr/>
        <w:pict>
          <v:shape style="position:absolute;margin-left:58.475342pt;margin-top:12.871957pt;width:144.550pt;height:11.5pt;mso-position-horizontal-relative:page;mso-position-vertical-relative:paragraph;z-index:-705592" type="#_x0000_t202" filled="false" stroked="false">
            <v:textbox inset="0,0,0,0">
              <w:txbxContent>
                <w:p>
                  <w:pPr>
                    <w:tabs>
                      <w:tab w:pos="1033" w:val="left" w:leader="none"/>
                      <w:tab w:pos="1485" w:val="left" w:leader="none"/>
                      <w:tab w:pos="2704" w:val="left" w:leader="none"/>
                    </w:tabs>
                    <w:spacing w:line="230" w:lineRule="exact" w:before="0"/>
                    <w:ind w:left="0" w:right="0" w:firstLine="0"/>
                    <w:jc w:val="left"/>
                    <w:rPr>
                      <w:rFonts w:ascii="Arial"/>
                      <w:b/>
                      <w:i/>
                      <w:sz w:val="20"/>
                    </w:rPr>
                  </w:pPr>
                  <w:r>
                    <w:rPr>
                      <w:rFonts w:ascii="Arial"/>
                      <w:i/>
                      <w:color w:val="010101"/>
                      <w:sz w:val="20"/>
                    </w:rPr>
                    <w:t>V</w:t>
                  </w:r>
                  <w:r>
                    <w:rPr>
                      <w:rFonts w:ascii="Arial"/>
                      <w:i/>
                      <w:color w:val="010101"/>
                      <w:spacing w:val="29"/>
                      <w:sz w:val="20"/>
                    </w:rPr>
                    <w:t> </w:t>
                  </w:r>
                  <w:r>
                    <w:rPr>
                      <w:color w:val="010101"/>
                      <w:sz w:val="23"/>
                    </w:rPr>
                    <w:t>= </w:t>
                  </w:r>
                  <w:r>
                    <w:rPr>
                      <w:color w:val="010101"/>
                      <w:spacing w:val="7"/>
                      <w:sz w:val="23"/>
                    </w:rPr>
                    <w:t> </w:t>
                  </w:r>
                  <w:r>
                    <w:rPr>
                      <w:color w:val="111111"/>
                      <w:w w:val="90"/>
                      <w:sz w:val="23"/>
                      <w:shd w:fill="000000" w:color="auto" w:val="clear"/>
                    </w:rPr>
                    <w:t>..</w:t>
                  </w:r>
                  <w:r>
                    <w:rPr>
                      <w:color w:val="111111"/>
                      <w:w w:val="90"/>
                      <w:sz w:val="23"/>
                    </w:rPr>
                    <w:tab/>
                  </w:r>
                  <w:r>
                    <w:rPr>
                      <w:rFonts w:ascii="Arial"/>
                      <w:i/>
                      <w:color w:val="010101"/>
                      <w:sz w:val="20"/>
                      <w:shd w:fill="000000" w:color="auto" w:val="clear"/>
                    </w:rPr>
                    <w:t>D</w:t>
                    <w:tab/>
                  </w:r>
                  <w:r>
                    <w:rPr>
                      <w:rFonts w:ascii="Arial"/>
                      <w:i/>
                      <w:color w:val="010101"/>
                      <w:sz w:val="20"/>
                    </w:rPr>
                    <w:tab/>
                  </w:r>
                  <w:r>
                    <w:rPr>
                      <w:rFonts w:ascii="Arial"/>
                      <w:b/>
                      <w:i/>
                      <w:color w:val="010101"/>
                      <w:sz w:val="20"/>
                    </w:rPr>
                    <w:t>P'</w:t>
                  </w:r>
                </w:p>
              </w:txbxContent>
            </v:textbox>
            <w10:wrap type="none"/>
          </v:shape>
        </w:pict>
      </w:r>
      <w:r>
        <w:rPr>
          <w:color w:val="010101"/>
          <w:w w:val="101"/>
          <w:sz w:val="20"/>
        </w:rPr>
        <w:t>5000</w:t>
      </w:r>
      <w:r>
        <w:rPr>
          <w:color w:val="010101"/>
          <w:spacing w:val="5"/>
          <w:sz w:val="20"/>
        </w:rPr>
        <w:t> </w:t>
      </w:r>
      <w:r>
        <w:rPr>
          <w:color w:val="010101"/>
          <w:w w:val="49"/>
          <w:sz w:val="34"/>
        </w:rPr>
        <w:t>(</w:t>
      </w:r>
      <w:r>
        <w:rPr>
          <w:color w:val="010101"/>
          <w:w w:val="49"/>
          <w:sz w:val="34"/>
        </w:rPr>
        <w:t>D,rt-26</w:t>
      </w:r>
      <w:r>
        <w:rPr>
          <w:color w:val="010101"/>
          <w:spacing w:val="15"/>
          <w:sz w:val="34"/>
        </w:rPr>
        <w:t> </w:t>
      </w:r>
      <w:r>
        <w:rPr>
          <w:color w:val="010101"/>
          <w:w w:val="42"/>
          <w:sz w:val="34"/>
        </w:rPr>
        <w:t>.</w:t>
      </w:r>
      <w:r>
        <w:rPr>
          <w:color w:val="010101"/>
          <w:spacing w:val="11"/>
          <w:w w:val="42"/>
          <w:sz w:val="34"/>
        </w:rPr>
        <w:t>.</w:t>
      </w:r>
      <w:r>
        <w:rPr>
          <w:color w:val="010101"/>
          <w:w w:val="53"/>
          <w:sz w:val="17"/>
        </w:rPr>
        <w:t>c</w:t>
      </w:r>
      <w:r>
        <w:rPr>
          <w:color w:val="010101"/>
          <w:spacing w:val="-30"/>
          <w:sz w:val="17"/>
        </w:rPr>
        <w:t> </w:t>
      </w:r>
      <w:r>
        <w:rPr>
          <w:color w:val="010101"/>
          <w:w w:val="112"/>
          <w:position w:val="1"/>
          <w:sz w:val="12"/>
        </w:rPr>
        <w:t>1</w:t>
      </w:r>
      <w:r>
        <w:rPr>
          <w:color w:val="010101"/>
          <w:spacing w:val="5"/>
          <w:w w:val="112"/>
          <w:position w:val="1"/>
          <w:sz w:val="12"/>
        </w:rPr>
        <w:t>2</w:t>
      </w:r>
      <w:r>
        <w:rPr>
          <w:rFonts w:ascii="Arial" w:hAnsi="Arial"/>
          <w:color w:val="010101"/>
          <w:w w:val="51"/>
          <w:sz w:val="14"/>
        </w:rPr>
        <w:t>&gt;</w:t>
      </w:r>
      <w:r>
        <w:rPr>
          <w:rFonts w:ascii="Arial" w:hAnsi="Arial"/>
          <w:color w:val="010101"/>
          <w:sz w:val="14"/>
        </w:rPr>
        <w:tab/>
      </w:r>
      <w:r>
        <w:rPr>
          <w:rFonts w:ascii="Arial" w:hAnsi="Arial"/>
          <w:color w:val="010101"/>
          <w:w w:val="323"/>
          <w:sz w:val="14"/>
        </w:rPr>
        <w:t>)</w:t>
      </w:r>
      <w:r>
        <w:rPr>
          <w:rFonts w:ascii="Arial" w:hAnsi="Arial"/>
          <w:color w:val="010101"/>
          <w:sz w:val="14"/>
        </w:rPr>
        <w:tab/>
      </w:r>
      <w:r>
        <w:rPr>
          <w:rFonts w:ascii="Arial" w:hAnsi="Arial"/>
          <w:color w:val="111111"/>
          <w:w w:val="49"/>
          <w:sz w:val="14"/>
        </w:rPr>
        <w:t>•</w:t>
      </w:r>
    </w:p>
    <w:p>
      <w:pPr>
        <w:tabs>
          <w:tab w:pos="1063" w:val="left" w:leader="none"/>
          <w:tab w:pos="2021" w:val="left" w:leader="none"/>
          <w:tab w:pos="2954" w:val="left" w:leader="none"/>
          <w:tab w:pos="3434" w:val="left" w:leader="none"/>
        </w:tabs>
        <w:spacing w:line="84" w:lineRule="exact" w:before="0"/>
        <w:ind w:left="414" w:right="0" w:firstLine="0"/>
        <w:jc w:val="left"/>
        <w:rPr>
          <w:b/>
          <w:sz w:val="13"/>
        </w:rPr>
      </w:pPr>
      <w:r>
        <w:rPr/>
        <w:pict>
          <v:line style="position:absolute;mso-position-horizontal-relative:page;mso-position-vertical-relative:paragraph;z-index:30376" from="227.264603pt,4.432464pt" to="229.775803pt,4.432464pt" stroked="true" strokeweight=".717489pt" strokecolor="#000000">
            <w10:wrap type="none"/>
          </v:line>
        </w:pict>
      </w:r>
      <w:r>
        <w:rPr>
          <w:color w:val="010101"/>
          <w:w w:val="90"/>
          <w:sz w:val="13"/>
        </w:rPr>
        <w:t>6</w:t>
      </w:r>
      <w:r>
        <w:rPr>
          <w:color w:val="010101"/>
          <w:sz w:val="13"/>
        </w:rPr>
        <w:tab/>
      </w:r>
      <w:r>
        <w:rPr>
          <w:color w:val="010101"/>
          <w:w w:val="110"/>
          <w:sz w:val="13"/>
        </w:rPr>
        <w:t>(12)</w:t>
      </w:r>
      <w:r>
        <w:rPr>
          <w:color w:val="010101"/>
          <w:sz w:val="13"/>
        </w:rPr>
        <w:tab/>
      </w:r>
      <w:r>
        <w:rPr>
          <w:color w:val="010101"/>
          <w:w w:val="115"/>
          <w:sz w:val="13"/>
        </w:rPr>
        <w:t>az+lOli,+26</w:t>
      </w:r>
      <w:r>
        <w:rPr>
          <w:color w:val="010101"/>
          <w:sz w:val="13"/>
        </w:rPr>
        <w:tab/>
      </w:r>
      <w:r>
        <w:rPr>
          <w:color w:val="010101"/>
          <w:w w:val="433"/>
          <w:sz w:val="13"/>
        </w:rPr>
        <w:t>-</w:t>
      </w:r>
      <w:r>
        <w:rPr>
          <w:color w:val="010101"/>
          <w:sz w:val="13"/>
        </w:rPr>
        <w:tab/>
      </w:r>
      <w:r>
        <w:rPr>
          <w:b/>
          <w:color w:val="010101"/>
          <w:spacing w:val="-8"/>
          <w:w w:val="426"/>
          <w:sz w:val="13"/>
        </w:rPr>
        <w:t>0</w:t>
      </w:r>
      <w:r>
        <w:rPr>
          <w:b/>
          <w:color w:val="010101"/>
          <w:w w:val="90"/>
          <w:sz w:val="13"/>
        </w:rPr>
        <w:t>10</w:t>
      </w:r>
      <w:r>
        <w:rPr>
          <w:b/>
          <w:color w:val="010101"/>
          <w:spacing w:val="-21"/>
          <w:sz w:val="13"/>
        </w:rPr>
        <w:t> </w:t>
      </w:r>
      <w:r>
        <w:rPr>
          <w:b/>
          <w:color w:val="242424"/>
          <w:spacing w:val="-4"/>
          <w:w w:val="82"/>
          <w:sz w:val="13"/>
        </w:rPr>
        <w:t>:</w:t>
      </w:r>
      <w:r>
        <w:rPr>
          <w:b/>
          <w:color w:val="010101"/>
          <w:w w:val="119"/>
          <w:sz w:val="13"/>
        </w:rPr>
        <w:t>r,+6:H-z!</w:t>
      </w:r>
    </w:p>
    <w:p>
      <w:pPr>
        <w:tabs>
          <w:tab w:pos="1684" w:val="left" w:leader="none"/>
        </w:tabs>
        <w:spacing w:line="170" w:lineRule="exact" w:before="0"/>
        <w:ind w:left="948" w:right="0" w:firstLine="0"/>
        <w:jc w:val="left"/>
        <w:rPr>
          <w:b/>
          <w:sz w:val="12"/>
        </w:rPr>
      </w:pPr>
      <w:r>
        <w:rPr>
          <w:rFonts w:ascii="Arial" w:hAnsi="Arial"/>
          <w:color w:val="010101"/>
          <w:w w:val="95"/>
          <w:sz w:val="17"/>
        </w:rPr>
        <w:t>ª201</w:t>
        <w:tab/>
      </w:r>
      <w:r>
        <w:rPr>
          <w:b/>
          <w:color w:val="010101"/>
          <w:sz w:val="12"/>
        </w:rPr>
        <w:t>r,+6</w:t>
      </w:r>
    </w:p>
    <w:p>
      <w:pPr>
        <w:spacing w:after="0" w:line="170" w:lineRule="exact"/>
        <w:jc w:val="left"/>
        <w:rPr>
          <w:sz w:val="12"/>
        </w:rPr>
        <w:sectPr>
          <w:type w:val="continuous"/>
          <w:pgSz w:w="7200" w:h="11340"/>
          <w:pgMar w:top="1100" w:bottom="0" w:left="680" w:right="500"/>
        </w:sectPr>
      </w:pPr>
    </w:p>
    <w:p>
      <w:pPr>
        <w:pStyle w:val="BodyText"/>
        <w:rPr>
          <w:b/>
        </w:rPr>
      </w:pPr>
    </w:p>
    <w:p>
      <w:pPr>
        <w:pStyle w:val="BodyText"/>
        <w:spacing w:before="5"/>
        <w:rPr>
          <w:b/>
          <w:sz w:val="24"/>
        </w:rPr>
      </w:pPr>
    </w:p>
    <w:p>
      <w:pPr>
        <w:pStyle w:val="BodyText"/>
        <w:spacing w:line="214" w:lineRule="exact"/>
        <w:ind w:left="918" w:right="939"/>
        <w:jc w:val="center"/>
      </w:pPr>
      <w:r>
        <w:rPr>
          <w:color w:val="010101"/>
        </w:rPr>
        <w:t>324</w:t>
      </w:r>
    </w:p>
    <w:p>
      <w:pPr>
        <w:spacing w:line="214" w:lineRule="exact" w:before="0"/>
        <w:ind w:left="213" w:right="0" w:firstLine="0"/>
        <w:jc w:val="left"/>
        <w:rPr>
          <w:sz w:val="20"/>
        </w:rPr>
      </w:pPr>
      <w:r>
        <w:rPr>
          <w:color w:val="010101"/>
          <w:w w:val="115"/>
          <w:sz w:val="19"/>
        </w:rPr>
        <w:t>l. </w:t>
      </w:r>
      <w:r>
        <w:rPr>
          <w:rFonts w:ascii="Arial"/>
          <w:color w:val="010101"/>
          <w:w w:val="115"/>
          <w:sz w:val="19"/>
        </w:rPr>
        <w:t>(a) </w:t>
      </w:r>
      <w:r>
        <w:rPr>
          <w:color w:val="010101"/>
          <w:w w:val="115"/>
          <w:sz w:val="20"/>
          <w:u w:val="thick" w:color="000000"/>
        </w:rPr>
        <w:t>721,013</w:t>
      </w:r>
    </w:p>
    <w:p>
      <w:pPr>
        <w:pStyle w:val="BodyText"/>
        <w:spacing w:line="322" w:lineRule="exact" w:before="114"/>
        <w:ind w:left="421"/>
      </w:pPr>
      <w:r>
        <w:rPr>
          <w:color w:val="010101"/>
          <w:w w:val="105"/>
        </w:rPr>
        <w:t>( b)  </w:t>
      </w:r>
      <w:r>
        <w:rPr>
          <w:color w:val="010101"/>
          <w:w w:val="105"/>
          <w:u w:val="single" w:color="000000"/>
        </w:rPr>
        <w:t>80,385  </w:t>
      </w:r>
      <w:r>
        <w:rPr>
          <w:color w:val="010101"/>
          <w:w w:val="105"/>
          <w:sz w:val="29"/>
          <w:u w:val="single" w:color="000000"/>
        </w:rPr>
        <w:t>+ </w:t>
      </w:r>
      <w:r>
        <w:rPr>
          <w:color w:val="010101"/>
          <w:w w:val="105"/>
          <w:u w:val="single" w:color="000000"/>
        </w:rPr>
        <w:t>74,117</w:t>
      </w:r>
    </w:p>
    <w:p>
      <w:pPr>
        <w:pStyle w:val="BodyText"/>
        <w:spacing w:line="219" w:lineRule="exact"/>
        <w:ind w:left="1156"/>
      </w:pPr>
      <w:r>
        <w:rPr>
          <w:color w:val="010101"/>
        </w:rPr>
        <w:t>901,020</w:t>
      </w:r>
    </w:p>
    <w:p>
      <w:pPr>
        <w:spacing w:before="140"/>
        <w:ind w:left="201" w:right="0" w:firstLine="0"/>
        <w:jc w:val="left"/>
        <w:rPr>
          <w:sz w:val="20"/>
        </w:rPr>
      </w:pPr>
      <w:r>
        <w:rPr/>
        <w:br w:type="column"/>
      </w:r>
      <w:r>
        <w:rPr>
          <w:b/>
          <w:color w:val="010101"/>
          <w:w w:val="110"/>
          <w:sz w:val="16"/>
        </w:rPr>
        <w:t>ÜIAPTER  </w:t>
      </w:r>
      <w:r>
        <w:rPr>
          <w:color w:val="010101"/>
          <w:w w:val="110"/>
          <w:sz w:val="20"/>
        </w:rPr>
        <w:t>14</w:t>
      </w:r>
    </w:p>
    <w:p>
      <w:pPr>
        <w:spacing w:after="0"/>
        <w:jc w:val="left"/>
        <w:rPr>
          <w:sz w:val="20"/>
        </w:rPr>
        <w:sectPr>
          <w:type w:val="continuous"/>
          <w:pgSz w:w="7200" w:h="11340"/>
          <w:pgMar w:top="1100" w:bottom="0" w:left="680" w:right="500"/>
          <w:cols w:num="2" w:equalWidth="0">
            <w:col w:w="2197" w:space="40"/>
            <w:col w:w="3783"/>
          </w:cols>
        </w:sectPr>
      </w:pPr>
    </w:p>
    <w:p>
      <w:pPr>
        <w:pStyle w:val="BodyText"/>
        <w:spacing w:before="119"/>
        <w:ind w:left="191"/>
      </w:pPr>
      <w:r>
        <w:rPr>
          <w:color w:val="010101"/>
          <w:w w:val="105"/>
        </w:rPr>
        <w:t>2.   (a) 400</w:t>
      </w:r>
    </w:p>
    <w:p>
      <w:pPr>
        <w:pStyle w:val="BodyText"/>
        <w:spacing w:line="370" w:lineRule="exact" w:before="24"/>
        <w:ind w:left="188" w:right="4806" w:firstLine="294"/>
      </w:pPr>
      <w:r>
        <w:rPr>
          <w:color w:val="010101"/>
          <w:w w:val="110"/>
        </w:rPr>
        <w:t>(b) 500 </w:t>
      </w:r>
      <w:r>
        <w:rPr>
          <w:color w:val="010101"/>
          <w:w w:val="110"/>
          <w:position w:val="-11"/>
        </w:rPr>
        <w:t>3  </w:t>
      </w:r>
      <w:r>
        <w:rPr>
          <w:color w:val="010101"/>
          <w:w w:val="110"/>
        </w:rPr>
        <w:t>8</w:t>
      </w:r>
      <w:r>
        <w:rPr>
          <w:color w:val="010101"/>
          <w:w w:val="110"/>
          <w:u w:val="thick" w:color="000000"/>
        </w:rPr>
        <w:t>6</w:t>
      </w:r>
      <w:r>
        <w:rPr>
          <w:color w:val="010101"/>
          <w:w w:val="110"/>
        </w:rPr>
        <w:t>,632</w:t>
      </w:r>
    </w:p>
    <w:p>
      <w:pPr>
        <w:pStyle w:val="BodyText"/>
        <w:spacing w:line="207" w:lineRule="exact"/>
        <w:ind w:left="295"/>
      </w:pPr>
      <w:r>
        <w:rPr>
          <w:color w:val="111111"/>
          <w:w w:val="105"/>
        </w:rPr>
        <w:t>' 764,486</w:t>
      </w:r>
    </w:p>
    <w:p>
      <w:pPr>
        <w:spacing w:before="50"/>
        <w:ind w:left="0" w:right="4136" w:firstLine="0"/>
        <w:jc w:val="center"/>
        <w:rPr>
          <w:sz w:val="20"/>
        </w:rPr>
      </w:pPr>
      <w:r>
        <w:rPr>
          <w:color w:val="010101"/>
          <w:w w:val="105"/>
          <w:sz w:val="20"/>
        </w:rPr>
        <w:t>4.  </w:t>
      </w:r>
      <w:r>
        <w:rPr>
          <w:rFonts w:ascii="Arial"/>
          <w:i/>
          <w:color w:val="010101"/>
          <w:w w:val="170"/>
          <w:sz w:val="28"/>
        </w:rPr>
        <w:t>lt </w:t>
      </w:r>
      <w:r>
        <w:rPr>
          <w:color w:val="010101"/>
          <w:w w:val="105"/>
          <w:sz w:val="23"/>
        </w:rPr>
        <w:t>= </w:t>
      </w:r>
      <w:r>
        <w:rPr>
          <w:color w:val="010101"/>
          <w:w w:val="105"/>
          <w:sz w:val="20"/>
        </w:rPr>
        <w:t>4:35,457</w:t>
      </w:r>
    </w:p>
    <w:p>
      <w:pPr>
        <w:spacing w:before="64"/>
        <w:ind w:left="428" w:right="0" w:firstLine="0"/>
        <w:jc w:val="left"/>
        <w:rPr>
          <w:rFonts w:ascii="Arial"/>
          <w:sz w:val="18"/>
        </w:rPr>
      </w:pPr>
      <w:r>
        <w:rPr>
          <w:rFonts w:ascii="Arial"/>
          <w:i/>
          <w:color w:val="010101"/>
          <w:w w:val="135"/>
          <w:sz w:val="20"/>
        </w:rPr>
        <w:t>d </w:t>
      </w:r>
      <w:r>
        <w:rPr>
          <w:rFonts w:ascii="Arial"/>
          <w:i/>
          <w:color w:val="010101"/>
          <w:w w:val="80"/>
          <w:sz w:val="20"/>
        </w:rPr>
        <w:t>&gt;  </w:t>
      </w:r>
      <w:r>
        <w:rPr>
          <w:color w:val="010101"/>
          <w:sz w:val="26"/>
        </w:rPr>
        <w:t>= </w:t>
      </w:r>
      <w:r>
        <w:rPr>
          <w:rFonts w:ascii="Arial"/>
          <w:color w:val="010101"/>
          <w:sz w:val="18"/>
        </w:rPr>
        <w:t>326</w:t>
      </w:r>
    </w:p>
    <w:p>
      <w:pPr>
        <w:spacing w:before="60"/>
        <w:ind w:left="432" w:right="0" w:firstLine="0"/>
        <w:jc w:val="left"/>
        <w:rPr>
          <w:sz w:val="21"/>
        </w:rPr>
      </w:pPr>
      <w:r>
        <w:rPr>
          <w:rFonts w:ascii="Arial"/>
          <w:i/>
          <w:color w:val="010101"/>
          <w:w w:val="125"/>
          <w:sz w:val="20"/>
        </w:rPr>
        <w:t>d </w:t>
      </w:r>
      <w:r>
        <w:rPr>
          <w:rFonts w:ascii="Arial"/>
          <w:i/>
          <w:color w:val="010101"/>
          <w:w w:val="75"/>
          <w:sz w:val="20"/>
        </w:rPr>
        <w:t>&gt;  </w:t>
      </w:r>
      <w:r>
        <w:rPr>
          <w:color w:val="010101"/>
          <w:sz w:val="26"/>
        </w:rPr>
        <w:t>= </w:t>
      </w:r>
      <w:r>
        <w:rPr>
          <w:color w:val="010101"/>
          <w:sz w:val="21"/>
        </w:rPr>
        <w:t>55,964</w:t>
      </w:r>
    </w:p>
    <w:p>
      <w:pPr>
        <w:spacing w:line="375" w:lineRule="exact" w:before="40"/>
        <w:ind w:left="184" w:right="0" w:firstLine="0"/>
        <w:jc w:val="left"/>
        <w:rPr>
          <w:rFonts w:ascii="Arial"/>
          <w:i/>
          <w:sz w:val="19"/>
        </w:rPr>
      </w:pPr>
      <w:r>
        <w:rPr>
          <w:color w:val="010101"/>
          <w:w w:val="120"/>
          <w:position w:val="-11"/>
          <w:sz w:val="20"/>
        </w:rPr>
        <w:t>5 </w:t>
      </w:r>
      <w:r>
        <w:rPr>
          <w:color w:val="010101"/>
          <w:w w:val="120"/>
          <w:sz w:val="20"/>
        </w:rPr>
        <w:t>1 </w:t>
      </w:r>
      <w:r>
        <w:rPr>
          <w:color w:val="010101"/>
          <w:w w:val="260"/>
          <w:sz w:val="20"/>
        </w:rPr>
        <w:t>-</w:t>
      </w:r>
      <w:r>
        <w:rPr>
          <w:color w:val="010101"/>
          <w:spacing w:val="-84"/>
          <w:w w:val="260"/>
          <w:sz w:val="20"/>
        </w:rPr>
        <w:t> </w:t>
      </w:r>
      <w:r>
        <w:rPr>
          <w:i/>
          <w:color w:val="010101"/>
          <w:w w:val="120"/>
          <w:sz w:val="21"/>
          <w:u w:val="thick" w:color="000000"/>
        </w:rPr>
        <w:t>l( </w:t>
      </w:r>
      <w:r>
        <w:rPr>
          <w:i/>
          <w:color w:val="010101"/>
          <w:w w:val="120"/>
          <w:sz w:val="21"/>
        </w:rPr>
        <w:t>a </w:t>
      </w:r>
      <w:r>
        <w:rPr>
          <w:color w:val="010101"/>
          <w:w w:val="120"/>
          <w:sz w:val="29"/>
        </w:rPr>
        <w:t>+ </w:t>
      </w:r>
      <w:r>
        <w:rPr>
          <w:rFonts w:ascii="Arial"/>
          <w:i/>
          <w:color w:val="010101"/>
          <w:sz w:val="19"/>
        </w:rPr>
        <w:t>b )</w:t>
      </w:r>
    </w:p>
    <w:p>
      <w:pPr>
        <w:spacing w:line="133" w:lineRule="exact" w:before="0"/>
        <w:ind w:left="164" w:right="4272" w:firstLine="0"/>
        <w:jc w:val="center"/>
        <w:rPr>
          <w:sz w:val="21"/>
        </w:rPr>
      </w:pPr>
      <w:r>
        <w:rPr>
          <w:color w:val="111111"/>
          <w:w w:val="135"/>
          <w:sz w:val="21"/>
        </w:rPr>
        <w:t>·1 + !(a + </w:t>
      </w:r>
      <w:r>
        <w:rPr>
          <w:color w:val="111111"/>
          <w:w w:val="120"/>
          <w:sz w:val="21"/>
        </w:rPr>
        <w:t>b)</w:t>
      </w:r>
    </w:p>
    <w:p>
      <w:pPr>
        <w:spacing w:line="641" w:lineRule="exact" w:before="0"/>
        <w:ind w:left="173" w:right="0" w:firstLine="0"/>
        <w:jc w:val="left"/>
        <w:rPr>
          <w:sz w:val="18"/>
        </w:rPr>
      </w:pPr>
      <w:r>
        <w:rPr/>
        <w:pict>
          <v:line style="position:absolute;mso-position-horizontal-relative:page;mso-position-vertical-relative:paragraph;z-index:-705664" from="53.63229pt,29.052866pt" to="77.66816pt,29.052866pt" stroked="true" strokeweight="4.484305pt" strokecolor="#000000">
            <w10:wrap type="none"/>
          </v:line>
        </w:pict>
      </w:r>
      <w:r>
        <w:rPr>
          <w:color w:val="010101"/>
          <w:w w:val="108"/>
          <w:sz w:val="20"/>
        </w:rPr>
        <w:t>6.</w:t>
      </w:r>
      <w:r>
        <w:rPr>
          <w:color w:val="010101"/>
          <w:spacing w:val="-19"/>
          <w:sz w:val="20"/>
        </w:rPr>
        <w:t> </w:t>
      </w:r>
      <w:r>
        <w:rPr>
          <w:i/>
          <w:color w:val="010101"/>
          <w:w w:val="93"/>
          <w:sz w:val="20"/>
        </w:rPr>
        <w:t>j</w:t>
      </w:r>
      <w:r>
        <w:rPr>
          <w:i/>
          <w:color w:val="010101"/>
          <w:spacing w:val="-5"/>
          <w:sz w:val="20"/>
        </w:rPr>
        <w:t> </w:t>
      </w:r>
      <w:r>
        <w:rPr>
          <w:color w:val="010101"/>
          <w:spacing w:val="-301"/>
          <w:w w:val="236"/>
          <w:sz w:val="60"/>
        </w:rPr>
        <w:t>!</w:t>
      </w:r>
      <w:r>
        <w:rPr>
          <w:i/>
          <w:color w:val="010101"/>
          <w:w w:val="95"/>
          <w:sz w:val="20"/>
        </w:rPr>
        <w:t>k</w:t>
      </w:r>
      <w:r>
        <w:rPr>
          <w:i/>
          <w:color w:val="010101"/>
          <w:sz w:val="20"/>
        </w:rPr>
        <w:t> </w:t>
      </w:r>
      <w:r>
        <w:rPr>
          <w:i/>
          <w:color w:val="010101"/>
          <w:spacing w:val="-17"/>
          <w:sz w:val="20"/>
        </w:rPr>
        <w:t> </w:t>
      </w:r>
      <w:r>
        <w:rPr>
          <w:color w:val="010101"/>
          <w:w w:val="88"/>
          <w:sz w:val="20"/>
        </w:rPr>
        <w:t>(1</w:t>
      </w:r>
      <w:r>
        <w:rPr>
          <w:color w:val="010101"/>
          <w:sz w:val="20"/>
        </w:rPr>
        <w:t> </w:t>
      </w:r>
      <w:r>
        <w:rPr>
          <w:color w:val="010101"/>
          <w:spacing w:val="-8"/>
          <w:sz w:val="20"/>
        </w:rPr>
        <w:t> </w:t>
      </w:r>
      <w:r>
        <w:rPr>
          <w:color w:val="010101"/>
          <w:w w:val="266"/>
          <w:sz w:val="20"/>
        </w:rPr>
        <w:t>-</w:t>
      </w:r>
      <w:r>
        <w:rPr>
          <w:color w:val="010101"/>
          <w:spacing w:val="1"/>
          <w:sz w:val="20"/>
        </w:rPr>
        <w:t> </w:t>
      </w:r>
      <w:r>
        <w:rPr>
          <w:color w:val="010101"/>
          <w:w w:val="102"/>
          <w:sz w:val="18"/>
        </w:rPr>
        <w:t>e-UH&gt;]</w:t>
      </w:r>
    </w:p>
    <w:p>
      <w:pPr>
        <w:spacing w:after="0" w:line="641" w:lineRule="exact"/>
        <w:jc w:val="left"/>
        <w:rPr>
          <w:sz w:val="18"/>
        </w:rPr>
        <w:sectPr>
          <w:type w:val="continuous"/>
          <w:pgSz w:w="7200" w:h="11340"/>
          <w:pgMar w:top="1100" w:bottom="0" w:left="680" w:right="500"/>
        </w:sectPr>
      </w:pPr>
    </w:p>
    <w:p>
      <w:pPr>
        <w:tabs>
          <w:tab w:pos="2631" w:val="left" w:leader="none"/>
          <w:tab w:pos="5277" w:val="left" w:leader="none"/>
        </w:tabs>
        <w:spacing w:before="56"/>
        <w:ind w:left="155" w:right="0" w:firstLine="0"/>
        <w:jc w:val="left"/>
        <w:rPr>
          <w:sz w:val="20"/>
        </w:rPr>
      </w:pPr>
      <w:r>
        <w:rPr>
          <w:color w:val="010101"/>
          <w:position w:val="1"/>
          <w:sz w:val="21"/>
        </w:rPr>
        <w:t>370</w:t>
        <w:tab/>
      </w:r>
      <w:r>
        <w:rPr>
          <w:b/>
          <w:color w:val="010101"/>
          <w:sz w:val="15"/>
        </w:rPr>
        <w:t>ANSWEB8</w:t>
        <w:tab/>
      </w:r>
      <w:r>
        <w:rPr>
          <w:color w:val="010101"/>
          <w:sz w:val="20"/>
        </w:rPr>
        <w:t>[CH.</w:t>
      </w:r>
      <w:r>
        <w:rPr>
          <w:color w:val="010101"/>
          <w:spacing w:val="-3"/>
          <w:sz w:val="20"/>
        </w:rPr>
        <w:t> </w:t>
      </w:r>
      <w:r>
        <w:rPr>
          <w:color w:val="010101"/>
          <w:sz w:val="20"/>
        </w:rPr>
        <w:t>14</w:t>
      </w:r>
    </w:p>
    <w:p>
      <w:pPr>
        <w:pStyle w:val="BodyText"/>
        <w:spacing w:before="5"/>
        <w:rPr>
          <w:sz w:val="14"/>
        </w:rPr>
      </w:pPr>
    </w:p>
    <w:p>
      <w:pPr>
        <w:tabs>
          <w:tab w:pos="1264" w:val="left" w:leader="none"/>
        </w:tabs>
        <w:spacing w:line="222" w:lineRule="exact" w:before="78"/>
        <w:ind w:left="255" w:right="0" w:firstLine="0"/>
        <w:jc w:val="left"/>
        <w:rPr>
          <w:rFonts w:ascii="Arial"/>
          <w:i/>
          <w:sz w:val="19"/>
        </w:rPr>
      </w:pPr>
      <w:r>
        <w:rPr>
          <w:color w:val="010101"/>
          <w:w w:val="115"/>
          <w:sz w:val="20"/>
        </w:rPr>
        <w:t>8.</w:t>
      </w:r>
      <w:r>
        <w:rPr>
          <w:color w:val="010101"/>
          <w:spacing w:val="-24"/>
          <w:w w:val="115"/>
          <w:sz w:val="20"/>
        </w:rPr>
        <w:t> </w:t>
      </w:r>
      <w:r>
        <w:rPr>
          <w:color w:val="010101"/>
          <w:w w:val="85"/>
          <w:sz w:val="24"/>
        </w:rPr>
        <w:t>,.i!l)</w:t>
      </w:r>
      <w:r>
        <w:rPr>
          <w:color w:val="010101"/>
          <w:spacing w:val="29"/>
          <w:w w:val="85"/>
          <w:sz w:val="24"/>
        </w:rPr>
        <w:t> </w:t>
      </w:r>
      <w:r>
        <w:rPr>
          <w:color w:val="010101"/>
          <w:w w:val="185"/>
          <w:sz w:val="24"/>
        </w:rPr>
        <w:t>-</w:t>
        <w:tab/>
      </w:r>
      <w:r>
        <w:rPr>
          <w:rFonts w:ascii="Arial"/>
          <w:i/>
          <w:color w:val="010101"/>
          <w:w w:val="115"/>
          <w:position w:val="7"/>
          <w:sz w:val="19"/>
        </w:rPr>
        <w:t>2x</w:t>
      </w:r>
    </w:p>
    <w:p>
      <w:pPr>
        <w:spacing w:line="225" w:lineRule="exact" w:before="0"/>
        <w:ind w:left="293" w:right="3808" w:firstLine="0"/>
        <w:jc w:val="center"/>
        <w:rPr>
          <w:sz w:val="12"/>
        </w:rPr>
      </w:pPr>
      <w:r>
        <w:rPr>
          <w:color w:val="010101"/>
          <w:w w:val="215"/>
          <w:sz w:val="21"/>
        </w:rPr>
        <w:t>-</w:t>
      </w:r>
      <w:r>
        <w:rPr>
          <w:color w:val="010101"/>
          <w:spacing w:val="-55"/>
          <w:w w:val="215"/>
          <w:sz w:val="21"/>
        </w:rPr>
        <w:t> </w:t>
      </w:r>
      <w:r>
        <w:rPr>
          <w:i/>
          <w:color w:val="010101"/>
          <w:w w:val="110"/>
          <w:sz w:val="21"/>
          <w:u w:val="thick" w:color="000000"/>
        </w:rPr>
        <w:t>a </w:t>
      </w:r>
      <w:r>
        <w:rPr>
          <w:color w:val="010101"/>
          <w:w w:val="255"/>
          <w:sz w:val="21"/>
        </w:rPr>
        <w:t>-</w:t>
      </w:r>
      <w:r>
        <w:rPr>
          <w:color w:val="010101"/>
          <w:spacing w:val="-97"/>
          <w:w w:val="255"/>
          <w:sz w:val="21"/>
        </w:rPr>
        <w:t> </w:t>
      </w:r>
      <w:r>
        <w:rPr>
          <w:color w:val="010101"/>
          <w:spacing w:val="3"/>
          <w:w w:val="110"/>
          <w:sz w:val="22"/>
        </w:rPr>
        <w:t>x</w:t>
      </w:r>
      <w:r>
        <w:rPr>
          <w:color w:val="010101"/>
          <w:spacing w:val="3"/>
          <w:w w:val="110"/>
          <w:position w:val="3"/>
          <w:sz w:val="12"/>
        </w:rPr>
        <w:t>2</w:t>
      </w:r>
    </w:p>
    <w:p>
      <w:pPr>
        <w:spacing w:before="39"/>
        <w:ind w:left="248" w:right="0" w:firstLine="0"/>
        <w:jc w:val="left"/>
        <w:rPr>
          <w:sz w:val="20"/>
        </w:rPr>
      </w:pPr>
      <w:r>
        <w:rPr/>
        <w:drawing>
          <wp:anchor distT="0" distB="0" distL="0" distR="0" allowOverlap="1" layoutInCell="1" locked="0" behindDoc="0" simplePos="0" relativeHeight="30496">
            <wp:simplePos x="0" y="0"/>
            <wp:positionH relativeFrom="page">
              <wp:posOffset>704087</wp:posOffset>
            </wp:positionH>
            <wp:positionV relativeFrom="paragraph">
              <wp:posOffset>301935</wp:posOffset>
            </wp:positionV>
            <wp:extent cx="1060704" cy="146303"/>
            <wp:effectExtent l="0" t="0" r="0" b="0"/>
            <wp:wrapTopAndBottom/>
            <wp:docPr id="885" name="image453.png" descr=""/>
            <wp:cNvGraphicFramePr>
              <a:graphicFrameLocks noChangeAspect="1"/>
            </wp:cNvGraphicFramePr>
            <a:graphic>
              <a:graphicData uri="http://schemas.openxmlformats.org/drawingml/2006/picture">
                <pic:pic>
                  <pic:nvPicPr>
                    <pic:cNvPr id="886" name="image453.png"/>
                    <pic:cNvPicPr/>
                  </pic:nvPicPr>
                  <pic:blipFill>
                    <a:blip r:embed="rId457" cstate="print"/>
                    <a:stretch>
                      <a:fillRect/>
                    </a:stretch>
                  </pic:blipFill>
                  <pic:spPr>
                    <a:xfrm>
                      <a:off x="0" y="0"/>
                      <a:ext cx="1060704" cy="146303"/>
                    </a:xfrm>
                    <a:prstGeom prst="rect">
                      <a:avLst/>
                    </a:prstGeom>
                  </pic:spPr>
                </pic:pic>
              </a:graphicData>
            </a:graphic>
          </wp:anchor>
        </w:drawing>
      </w:r>
      <w:r>
        <w:rPr>
          <w:color w:val="010101"/>
          <w:w w:val="120"/>
          <w:sz w:val="21"/>
        </w:rPr>
        <w:t>9. </w:t>
      </w:r>
      <w:r>
        <w:rPr>
          <w:rFonts w:ascii="Arial"/>
          <w:color w:val="010101"/>
          <w:w w:val="70"/>
          <w:sz w:val="25"/>
        </w:rPr>
        <w:t>z!.,.&gt; </w:t>
      </w:r>
      <w:r>
        <w:rPr>
          <w:color w:val="010101"/>
          <w:w w:val="105"/>
          <w:sz w:val="28"/>
        </w:rPr>
        <w:t>= </w:t>
      </w:r>
      <w:r>
        <w:rPr>
          <w:rFonts w:ascii="Arial"/>
          <w:i/>
          <w:color w:val="010101"/>
          <w:w w:val="120"/>
          <w:sz w:val="18"/>
        </w:rPr>
        <w:t>(a </w:t>
      </w:r>
      <w:r>
        <w:rPr>
          <w:rFonts w:ascii="Arial"/>
          <w:color w:val="010101"/>
          <w:w w:val="255"/>
          <w:sz w:val="18"/>
        </w:rPr>
        <w:t>-</w:t>
      </w:r>
      <w:r>
        <w:rPr>
          <w:rFonts w:ascii="Arial"/>
          <w:color w:val="010101"/>
          <w:spacing w:val="-92"/>
          <w:w w:val="255"/>
          <w:sz w:val="18"/>
        </w:rPr>
        <w:t> </w:t>
      </w:r>
      <w:r>
        <w:rPr>
          <w:rFonts w:ascii="Arial"/>
          <w:i/>
          <w:color w:val="010101"/>
          <w:w w:val="120"/>
          <w:sz w:val="18"/>
        </w:rPr>
        <w:t>x </w:t>
      </w:r>
      <w:r>
        <w:rPr>
          <w:color w:val="010101"/>
          <w:w w:val="120"/>
          <w:sz w:val="20"/>
        </w:rPr>
        <w:t>)e-z</w:t>
      </w:r>
    </w:p>
    <w:p>
      <w:pPr>
        <w:spacing w:before="21"/>
        <w:ind w:left="499" w:right="0" w:firstLine="0"/>
        <w:jc w:val="left"/>
        <w:rPr>
          <w:rFonts w:ascii="Arial"/>
          <w:sz w:val="19"/>
        </w:rPr>
      </w:pPr>
      <w:r>
        <w:rPr>
          <w:rFonts w:ascii="Arial"/>
          <w:i/>
          <w:color w:val="010101"/>
          <w:w w:val="66"/>
          <w:sz w:val="30"/>
        </w:rPr>
        <w:t>d</w:t>
      </w:r>
      <w:r>
        <w:rPr>
          <w:rFonts w:ascii="Arial"/>
          <w:i/>
          <w:color w:val="010101"/>
          <w:spacing w:val="1"/>
          <w:w w:val="66"/>
          <w:sz w:val="30"/>
        </w:rPr>
        <w:t>;</w:t>
      </w:r>
      <w:r>
        <w:rPr>
          <w:i/>
          <w:color w:val="010101"/>
          <w:w w:val="89"/>
          <w:position w:val="9"/>
          <w:sz w:val="13"/>
        </w:rPr>
        <w:t>2</w:t>
      </w:r>
      <w:r>
        <w:rPr>
          <w:i/>
          <w:color w:val="010101"/>
          <w:spacing w:val="-23"/>
          <w:position w:val="9"/>
          <w:sz w:val="13"/>
        </w:rPr>
        <w:t> </w:t>
      </w:r>
      <w:r>
        <w:rPr>
          <w:rFonts w:ascii="Arial"/>
          <w:i/>
          <w:color w:val="010101"/>
          <w:w w:val="53"/>
          <w:sz w:val="15"/>
        </w:rPr>
        <w:t>&gt;</w:t>
      </w:r>
      <w:r>
        <w:rPr>
          <w:rFonts w:ascii="Arial"/>
          <w:i/>
          <w:color w:val="010101"/>
          <w:sz w:val="15"/>
        </w:rPr>
        <w:t>  </w:t>
      </w:r>
      <w:r>
        <w:rPr>
          <w:rFonts w:ascii="Arial"/>
          <w:i/>
          <w:color w:val="010101"/>
          <w:spacing w:val="14"/>
          <w:sz w:val="15"/>
        </w:rPr>
        <w:t> </w:t>
      </w:r>
      <w:r>
        <w:rPr>
          <w:color w:val="010101"/>
          <w:w w:val="91"/>
          <w:sz w:val="26"/>
        </w:rPr>
        <w:t>=</w:t>
      </w:r>
      <w:r>
        <w:rPr>
          <w:color w:val="010101"/>
          <w:sz w:val="26"/>
        </w:rPr>
        <w:t> </w:t>
      </w:r>
      <w:r>
        <w:rPr>
          <w:color w:val="010101"/>
          <w:spacing w:val="-32"/>
          <w:sz w:val="26"/>
        </w:rPr>
        <w:t> </w:t>
      </w:r>
      <w:r>
        <w:rPr>
          <w:color w:val="010101"/>
          <w:w w:val="123"/>
          <w:sz w:val="20"/>
        </w:rPr>
        <w:t>e</w:t>
      </w:r>
      <w:r>
        <w:rPr>
          <w:color w:val="010101"/>
          <w:spacing w:val="-3"/>
          <w:w w:val="123"/>
          <w:sz w:val="20"/>
        </w:rPr>
        <w:t>-</w:t>
      </w:r>
      <w:r>
        <w:rPr>
          <w:color w:val="010101"/>
          <w:w w:val="61"/>
          <w:sz w:val="20"/>
        </w:rPr>
        <w:t>:r</w:t>
      </w:r>
      <w:r>
        <w:rPr>
          <w:color w:val="010101"/>
          <w:spacing w:val="-26"/>
          <w:sz w:val="20"/>
        </w:rPr>
        <w:t> </w:t>
      </w:r>
      <w:r>
        <w:rPr>
          <w:color w:val="010101"/>
          <w:w w:val="105"/>
          <w:sz w:val="20"/>
        </w:rPr>
        <w:t>(</w:t>
      </w:r>
      <w:r>
        <w:rPr>
          <w:color w:val="010101"/>
          <w:w w:val="105"/>
          <w:sz w:val="20"/>
        </w:rPr>
        <w:t>a</w:t>
      </w:r>
      <w:r>
        <w:rPr>
          <w:color w:val="010101"/>
          <w:sz w:val="20"/>
        </w:rPr>
        <w:t> </w:t>
      </w:r>
      <w:r>
        <w:rPr>
          <w:color w:val="010101"/>
          <w:spacing w:val="-10"/>
          <w:sz w:val="20"/>
        </w:rPr>
        <w:t> </w:t>
      </w:r>
      <w:r>
        <w:rPr>
          <w:color w:val="010101"/>
          <w:w w:val="274"/>
          <w:sz w:val="20"/>
        </w:rPr>
        <w:t>-</w:t>
      </w:r>
      <w:r>
        <w:rPr>
          <w:color w:val="010101"/>
          <w:sz w:val="20"/>
        </w:rPr>
        <w:t> </w:t>
      </w:r>
      <w:r>
        <w:rPr>
          <w:i/>
          <w:color w:val="010101"/>
          <w:w w:val="98"/>
          <w:sz w:val="21"/>
        </w:rPr>
        <w:t>x</w:t>
      </w:r>
      <w:r>
        <w:rPr>
          <w:i/>
          <w:color w:val="010101"/>
          <w:sz w:val="21"/>
        </w:rPr>
        <w:t>  </w:t>
      </w:r>
      <w:r>
        <w:rPr>
          <w:color w:val="010101"/>
          <w:w w:val="254"/>
          <w:sz w:val="21"/>
        </w:rPr>
        <w:t>-</w:t>
      </w:r>
      <w:r>
        <w:rPr>
          <w:color w:val="010101"/>
          <w:spacing w:val="20"/>
          <w:sz w:val="21"/>
        </w:rPr>
        <w:t> </w:t>
      </w:r>
      <w:r>
        <w:rPr>
          <w:rFonts w:ascii="Arial"/>
          <w:color w:val="010101"/>
          <w:w w:val="111"/>
          <w:sz w:val="19"/>
        </w:rPr>
        <w:t>1</w:t>
      </w:r>
      <w:r>
        <w:rPr>
          <w:rFonts w:ascii="Arial"/>
          <w:color w:val="010101"/>
          <w:w w:val="111"/>
          <w:sz w:val="19"/>
        </w:rPr>
        <w:t>)</w:t>
      </w:r>
      <w:r>
        <w:rPr>
          <w:rFonts w:ascii="Arial"/>
          <w:color w:val="010101"/>
          <w:sz w:val="19"/>
        </w:rPr>
        <w:t> </w:t>
      </w:r>
      <w:r>
        <w:rPr>
          <w:rFonts w:ascii="Arial"/>
          <w:color w:val="010101"/>
          <w:spacing w:val="-22"/>
          <w:sz w:val="19"/>
        </w:rPr>
        <w:t> </w:t>
      </w:r>
      <w:r>
        <w:rPr>
          <w:rFonts w:ascii="Arial"/>
          <w:color w:val="010101"/>
          <w:w w:val="275"/>
          <w:sz w:val="19"/>
        </w:rPr>
        <w:t>-</w:t>
      </w:r>
      <w:r>
        <w:rPr>
          <w:rFonts w:ascii="Arial"/>
          <w:color w:val="010101"/>
          <w:spacing w:val="9"/>
          <w:sz w:val="19"/>
        </w:rPr>
        <w:t> </w:t>
      </w:r>
      <w:r>
        <w:rPr>
          <w:i/>
          <w:color w:val="010101"/>
          <w:w w:val="157"/>
          <w:sz w:val="21"/>
        </w:rPr>
        <w:t>e-</w:t>
      </w:r>
      <w:r>
        <w:rPr>
          <w:i/>
          <w:color w:val="010101"/>
          <w:spacing w:val="-6"/>
          <w:w w:val="157"/>
          <w:sz w:val="21"/>
        </w:rPr>
        <w:t>-</w:t>
      </w:r>
      <w:r>
        <w:rPr>
          <w:i/>
          <w:color w:val="010101"/>
          <w:w w:val="83"/>
          <w:position w:val="8"/>
          <w:sz w:val="13"/>
        </w:rPr>
        <w:t>1</w:t>
      </w:r>
      <w:r>
        <w:rPr>
          <w:i/>
          <w:color w:val="010101"/>
          <w:spacing w:val="-4"/>
          <w:position w:val="8"/>
          <w:sz w:val="13"/>
        </w:rPr>
        <w:t> </w:t>
      </w:r>
      <w:r>
        <w:rPr>
          <w:i/>
          <w:color w:val="010101"/>
          <w:w w:val="70"/>
          <w:sz w:val="21"/>
        </w:rPr>
        <w:t>(</w:t>
      </w:r>
      <w:r>
        <w:rPr>
          <w:i/>
          <w:color w:val="010101"/>
          <w:spacing w:val="-38"/>
          <w:sz w:val="21"/>
        </w:rPr>
        <w:t> </w:t>
      </w:r>
      <w:r>
        <w:rPr>
          <w:i/>
          <w:color w:val="010101"/>
          <w:w w:val="92"/>
          <w:sz w:val="21"/>
        </w:rPr>
        <w:t>a</w:t>
      </w:r>
      <w:r>
        <w:rPr>
          <w:i/>
          <w:color w:val="010101"/>
          <w:sz w:val="21"/>
        </w:rPr>
        <w:t> </w:t>
      </w:r>
      <w:r>
        <w:rPr>
          <w:i/>
          <w:color w:val="010101"/>
          <w:spacing w:val="-12"/>
          <w:sz w:val="21"/>
        </w:rPr>
        <w:t> </w:t>
      </w:r>
      <w:r>
        <w:rPr>
          <w:color w:val="010101"/>
          <w:w w:val="254"/>
          <w:sz w:val="21"/>
        </w:rPr>
        <w:t>-</w:t>
      </w:r>
      <w:r>
        <w:rPr>
          <w:color w:val="010101"/>
          <w:spacing w:val="-2"/>
          <w:sz w:val="21"/>
        </w:rPr>
        <w:t> </w:t>
      </w:r>
      <w:r>
        <w:rPr>
          <w:i/>
          <w:color w:val="010101"/>
          <w:w w:val="98"/>
          <w:sz w:val="21"/>
        </w:rPr>
        <w:t>x</w:t>
      </w:r>
      <w:r>
        <w:rPr>
          <w:i/>
          <w:color w:val="010101"/>
          <w:sz w:val="21"/>
        </w:rPr>
        <w:t>  </w:t>
      </w:r>
      <w:r>
        <w:rPr>
          <w:color w:val="010101"/>
          <w:w w:val="260"/>
          <w:sz w:val="21"/>
        </w:rPr>
        <w:t>-</w:t>
      </w:r>
      <w:r>
        <w:rPr>
          <w:color w:val="010101"/>
          <w:spacing w:val="5"/>
          <w:sz w:val="21"/>
        </w:rPr>
        <w:t> </w:t>
      </w:r>
      <w:r>
        <w:rPr>
          <w:rFonts w:ascii="Arial"/>
          <w:color w:val="010101"/>
          <w:w w:val="109"/>
          <w:sz w:val="19"/>
        </w:rPr>
        <w:t>2</w:t>
      </w:r>
      <w:r>
        <w:rPr>
          <w:rFonts w:ascii="Arial"/>
          <w:color w:val="010101"/>
          <w:w w:val="109"/>
          <w:sz w:val="19"/>
        </w:rPr>
        <w:t>)</w:t>
      </w:r>
    </w:p>
    <w:p>
      <w:pPr>
        <w:pStyle w:val="BodyText"/>
        <w:spacing w:before="120"/>
        <w:ind w:left="162"/>
      </w:pPr>
      <w:r>
        <w:rPr>
          <w:color w:val="010101"/>
        </w:rPr>
        <w:t>10.   315; 92,777</w:t>
      </w:r>
    </w:p>
    <w:p>
      <w:pPr>
        <w:tabs>
          <w:tab w:pos="1009" w:val="left" w:leader="none"/>
        </w:tabs>
        <w:spacing w:line="206" w:lineRule="exact" w:before="62"/>
        <w:ind w:left="446" w:right="0" w:firstLine="0"/>
        <w:jc w:val="left"/>
        <w:rPr>
          <w:rFonts w:ascii="Arial"/>
          <w:sz w:val="11"/>
        </w:rPr>
      </w:pPr>
      <w:r>
        <w:rPr>
          <w:rFonts w:ascii="Arial"/>
          <w:color w:val="010101"/>
          <w:w w:val="120"/>
          <w:sz w:val="19"/>
        </w:rPr>
        <w:t>2</w:t>
        <w:tab/>
      </w:r>
      <w:r>
        <w:rPr>
          <w:rFonts w:ascii="Arial"/>
          <w:color w:val="010101"/>
          <w:w w:val="120"/>
          <w:sz w:val="11"/>
        </w:rPr>
        <w:t>('I')</w:t>
      </w:r>
    </w:p>
    <w:p>
      <w:pPr>
        <w:tabs>
          <w:tab w:pos="650" w:val="left" w:leader="none"/>
          <w:tab w:pos="1824" w:val="left" w:leader="none"/>
          <w:tab w:pos="2165" w:val="left" w:leader="none"/>
        </w:tabs>
        <w:spacing w:line="184" w:lineRule="exact" w:before="0"/>
        <w:ind w:left="158" w:right="0" w:firstLine="0"/>
        <w:jc w:val="left"/>
        <w:rPr>
          <w:sz w:val="20"/>
        </w:rPr>
      </w:pPr>
      <w:r>
        <w:rPr>
          <w:color w:val="010101"/>
          <w:w w:val="110"/>
          <w:sz w:val="19"/>
        </w:rPr>
        <w:t>11.</w:t>
        <w:tab/>
      </w:r>
      <w:r>
        <w:rPr>
          <w:color w:val="010101"/>
          <w:w w:val="180"/>
          <w:sz w:val="19"/>
        </w:rPr>
        <w:t>-</w:t>
      </w:r>
      <w:r>
        <w:rPr>
          <w:color w:val="010101"/>
          <w:spacing w:val="-64"/>
          <w:w w:val="180"/>
          <w:sz w:val="19"/>
        </w:rPr>
        <w:t> </w:t>
      </w:r>
      <w:r>
        <w:rPr>
          <w:rFonts w:ascii="Arial" w:hAnsi="Arial"/>
          <w:i/>
          <w:color w:val="010101"/>
          <w:spacing w:val="-3"/>
          <w:sz w:val="21"/>
        </w:rPr>
        <w:t>q:u&gt;</w:t>
      </w:r>
      <w:r>
        <w:rPr>
          <w:rFonts w:ascii="Arial" w:hAnsi="Arial"/>
          <w:i/>
          <w:color w:val="010101"/>
          <w:spacing w:val="-42"/>
          <w:sz w:val="21"/>
        </w:rPr>
        <w:t> </w:t>
      </w:r>
      <w:r>
        <w:rPr>
          <w:color w:val="010101"/>
          <w:spacing w:val="-3"/>
          <w:w w:val="110"/>
          <w:sz w:val="21"/>
        </w:rPr>
        <w:t>·q;o&gt;</w:t>
        <w:tab/>
      </w:r>
      <w:r>
        <w:rPr>
          <w:color w:val="010101"/>
          <w:w w:val="110"/>
          <w:sz w:val="20"/>
        </w:rPr>
        <w:t>if</w:t>
        <w:tab/>
      </w:r>
      <w:r>
        <w:rPr>
          <w:color w:val="010101"/>
          <w:spacing w:val="-6"/>
          <w:w w:val="110"/>
          <w:sz w:val="20"/>
        </w:rPr>
        <w:t>(14.31b) </w:t>
      </w:r>
      <w:r>
        <w:rPr>
          <w:color w:val="010101"/>
          <w:w w:val="110"/>
          <w:sz w:val="20"/>
        </w:rPr>
        <w:t>is</w:t>
      </w:r>
      <w:r>
        <w:rPr>
          <w:color w:val="010101"/>
          <w:spacing w:val="15"/>
          <w:w w:val="110"/>
          <w:sz w:val="20"/>
        </w:rPr>
        <w:t> </w:t>
      </w:r>
      <w:r>
        <w:rPr>
          <w:color w:val="010101"/>
          <w:w w:val="110"/>
          <w:sz w:val="20"/>
        </w:rPr>
        <w:t>used.</w:t>
      </w:r>
    </w:p>
    <w:p>
      <w:pPr>
        <w:tabs>
          <w:tab w:pos="1148" w:val="left" w:leader="none"/>
        </w:tabs>
        <w:spacing w:line="206" w:lineRule="exact" w:before="0"/>
        <w:ind w:left="446" w:right="0" w:firstLine="0"/>
        <w:jc w:val="left"/>
        <w:rPr>
          <w:rFonts w:ascii="Arial"/>
          <w:b/>
          <w:i/>
          <w:sz w:val="19"/>
        </w:rPr>
      </w:pPr>
      <w:r>
        <w:rPr>
          <w:color w:val="010101"/>
          <w:w w:val="125"/>
          <w:position w:val="2"/>
          <w:sz w:val="19"/>
          <w:shd w:fill="000000" w:color="auto" w:val="clear"/>
        </w:rPr>
        <w:t>2 </w:t>
      </w:r>
      <w:r>
        <w:rPr>
          <w:rFonts w:ascii="Arial"/>
          <w:color w:val="010101"/>
          <w:w w:val="250"/>
          <w:sz w:val="19"/>
          <w:shd w:fill="000000" w:color="auto" w:val="clear"/>
        </w:rPr>
        <w:t>-</w:t>
      </w:r>
      <w:r>
        <w:rPr>
          <w:rFonts w:ascii="Arial"/>
          <w:color w:val="010101"/>
          <w:spacing w:val="36"/>
          <w:w w:val="250"/>
          <w:sz w:val="19"/>
          <w:shd w:fill="000000" w:color="auto" w:val="clear"/>
        </w:rPr>
        <w:t> </w:t>
      </w:r>
      <w:r>
        <w:rPr>
          <w:rFonts w:ascii="Arial"/>
          <w:b/>
          <w:i/>
          <w:color w:val="010101"/>
          <w:sz w:val="19"/>
          <w:shd w:fill="000000" w:color="auto" w:val="clear"/>
        </w:rPr>
        <w:t>qz</w:t>
        <w:tab/>
      </w:r>
    </w:p>
    <w:p>
      <w:pPr>
        <w:pStyle w:val="BodyText"/>
        <w:spacing w:before="129"/>
        <w:ind w:left="485"/>
      </w:pPr>
      <w:r>
        <w:rPr>
          <w:color w:val="010101"/>
        </w:rPr>
        <w:t>Answer  is diff erent if   (14.36)  is used.</w:t>
      </w:r>
    </w:p>
    <w:p>
      <w:pPr>
        <w:pStyle w:val="BodyText"/>
        <w:spacing w:line="362" w:lineRule="auto" w:before="111"/>
        <w:ind w:left="148" w:right="3558" w:hanging="4"/>
      </w:pPr>
      <w:r>
        <w:rPr>
          <w:color w:val="010101"/>
          <w:w w:val="105"/>
        </w:rPr>
        <w:t>13. Same </w:t>
      </w:r>
      <w:r>
        <w:rPr>
          <w:color w:val="010101"/>
          <w:w w:val="105"/>
          <w:sz w:val="22"/>
        </w:rPr>
        <w:t>a.s </w:t>
      </w:r>
      <w:r>
        <w:rPr>
          <w:color w:val="010101"/>
          <w:w w:val="105"/>
        </w:rPr>
        <w:t>Exercise 9. 14. 3,520; 80;  120; 280.</w:t>
      </w:r>
    </w:p>
    <w:p>
      <w:pPr>
        <w:tabs>
          <w:tab w:pos="876" w:val="left" w:leader="none"/>
          <w:tab w:pos="1371" w:val="left" w:leader="none"/>
          <w:tab w:pos="1899" w:val="left" w:leader="none"/>
        </w:tabs>
        <w:spacing w:line="237" w:lineRule="exact" w:before="0"/>
        <w:ind w:left="144" w:right="0" w:firstLine="0"/>
        <w:jc w:val="left"/>
        <w:rPr>
          <w:sz w:val="21"/>
        </w:rPr>
      </w:pPr>
      <w:r>
        <w:rPr/>
        <w:pict>
          <v:shape style="position:absolute;margin-left:53.165249pt;margin-top:17.793310pt;width:89.9pt;height:35.85pt;mso-position-horizontal-relative:page;mso-position-vertical-relative:paragraph;z-index:3073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336"/>
                    <w:gridCol w:w="453"/>
                    <w:gridCol w:w="564"/>
                    <w:gridCol w:w="445"/>
                  </w:tblGrid>
                  <w:tr>
                    <w:trPr>
                      <w:trHeight w:val="358" w:hRule="exact"/>
                    </w:trPr>
                    <w:tc>
                      <w:tcPr>
                        <w:tcW w:w="336" w:type="dxa"/>
                      </w:tcPr>
                      <w:p>
                        <w:pPr>
                          <w:pStyle w:val="TableParagraph"/>
                          <w:spacing w:before="74"/>
                          <w:ind w:left="15" w:right="69"/>
                          <w:jc w:val="center"/>
                          <w:rPr>
                            <w:rFonts w:ascii="Times New Roman"/>
                            <w:sz w:val="20"/>
                          </w:rPr>
                        </w:pPr>
                        <w:r>
                          <w:rPr>
                            <w:rFonts w:ascii="Times New Roman"/>
                            <w:color w:val="010101"/>
                            <w:sz w:val="20"/>
                          </w:rPr>
                          <w:t>20</w:t>
                        </w:r>
                      </w:p>
                    </w:tc>
                    <w:tc>
                      <w:tcPr>
                        <w:tcW w:w="453" w:type="dxa"/>
                      </w:tcPr>
                      <w:p>
                        <w:pPr>
                          <w:pStyle w:val="TableParagraph"/>
                          <w:spacing w:before="74"/>
                          <w:ind w:left="74" w:right="121"/>
                          <w:jc w:val="center"/>
                          <w:rPr>
                            <w:rFonts w:ascii="Times New Roman"/>
                            <w:sz w:val="20"/>
                          </w:rPr>
                        </w:pPr>
                        <w:r>
                          <w:rPr>
                            <w:rFonts w:ascii="Times New Roman"/>
                            <w:color w:val="010101"/>
                            <w:w w:val="105"/>
                            <w:sz w:val="20"/>
                          </w:rPr>
                          <w:t>93</w:t>
                        </w:r>
                      </w:p>
                    </w:tc>
                    <w:tc>
                      <w:tcPr>
                        <w:tcW w:w="564" w:type="dxa"/>
                      </w:tcPr>
                      <w:p>
                        <w:pPr>
                          <w:pStyle w:val="TableParagraph"/>
                          <w:spacing w:before="74"/>
                          <w:ind w:right="101"/>
                          <w:jc w:val="right"/>
                          <w:rPr>
                            <w:rFonts w:ascii="Times New Roman"/>
                            <w:sz w:val="20"/>
                          </w:rPr>
                        </w:pPr>
                        <w:r>
                          <w:rPr>
                            <w:rFonts w:ascii="Times New Roman"/>
                            <w:color w:val="010101"/>
                            <w:sz w:val="20"/>
                          </w:rPr>
                          <w:t>979</w:t>
                        </w:r>
                      </w:p>
                    </w:tc>
                    <w:tc>
                      <w:tcPr>
                        <w:tcW w:w="445" w:type="dxa"/>
                      </w:tcPr>
                      <w:p>
                        <w:pPr>
                          <w:pStyle w:val="TableParagraph"/>
                          <w:spacing w:before="74"/>
                          <w:ind w:left="83" w:right="15"/>
                          <w:jc w:val="center"/>
                          <w:rPr>
                            <w:rFonts w:ascii="Times New Roman"/>
                            <w:sz w:val="20"/>
                          </w:rPr>
                        </w:pPr>
                        <w:r>
                          <w:rPr>
                            <w:rFonts w:ascii="Times New Roman"/>
                            <w:color w:val="010101"/>
                            <w:sz w:val="20"/>
                          </w:rPr>
                          <w:t>328</w:t>
                        </w:r>
                      </w:p>
                    </w:tc>
                  </w:tr>
                  <w:tr>
                    <w:trPr>
                      <w:trHeight w:val="358" w:hRule="exact"/>
                    </w:trPr>
                    <w:tc>
                      <w:tcPr>
                        <w:tcW w:w="336" w:type="dxa"/>
                      </w:tcPr>
                      <w:p>
                        <w:pPr>
                          <w:pStyle w:val="TableParagraph"/>
                          <w:spacing w:before="32"/>
                          <w:ind w:left="16" w:right="69"/>
                          <w:jc w:val="center"/>
                          <w:rPr>
                            <w:rFonts w:ascii="Times New Roman"/>
                            <w:sz w:val="20"/>
                          </w:rPr>
                        </w:pPr>
                        <w:r>
                          <w:rPr>
                            <w:rFonts w:ascii="Times New Roman"/>
                            <w:color w:val="010101"/>
                            <w:w w:val="105"/>
                            <w:sz w:val="20"/>
                          </w:rPr>
                          <w:t>21</w:t>
                        </w:r>
                      </w:p>
                    </w:tc>
                    <w:tc>
                      <w:tcPr>
                        <w:tcW w:w="453" w:type="dxa"/>
                      </w:tcPr>
                      <w:p>
                        <w:pPr>
                          <w:pStyle w:val="TableParagraph"/>
                          <w:spacing w:before="32"/>
                          <w:ind w:left="70" w:right="125"/>
                          <w:jc w:val="center"/>
                          <w:rPr>
                            <w:rFonts w:ascii="Times New Roman"/>
                            <w:sz w:val="20"/>
                          </w:rPr>
                        </w:pPr>
                        <w:r>
                          <w:rPr>
                            <w:rFonts w:ascii="Times New Roman"/>
                            <w:color w:val="010101"/>
                            <w:w w:val="105"/>
                            <w:sz w:val="20"/>
                          </w:rPr>
                          <w:t>80</w:t>
                        </w:r>
                      </w:p>
                    </w:tc>
                    <w:tc>
                      <w:tcPr>
                        <w:tcW w:w="564" w:type="dxa"/>
                      </w:tcPr>
                      <w:p>
                        <w:pPr>
                          <w:pStyle w:val="TableParagraph"/>
                          <w:spacing w:before="32"/>
                          <w:ind w:right="105"/>
                          <w:jc w:val="right"/>
                          <w:rPr>
                            <w:rFonts w:ascii="Times New Roman"/>
                            <w:sz w:val="20"/>
                          </w:rPr>
                        </w:pPr>
                        <w:r>
                          <w:rPr>
                            <w:rFonts w:ascii="Times New Roman"/>
                            <w:color w:val="010101"/>
                            <w:sz w:val="20"/>
                          </w:rPr>
                          <w:t>842</w:t>
                        </w:r>
                      </w:p>
                    </w:tc>
                    <w:tc>
                      <w:tcPr>
                        <w:tcW w:w="445" w:type="dxa"/>
                      </w:tcPr>
                      <w:p>
                        <w:pPr>
                          <w:pStyle w:val="TableParagraph"/>
                          <w:spacing w:before="32"/>
                          <w:ind w:left="80" w:right="18"/>
                          <w:jc w:val="center"/>
                          <w:rPr>
                            <w:rFonts w:ascii="Times New Roman"/>
                            <w:sz w:val="20"/>
                          </w:rPr>
                        </w:pPr>
                        <w:r>
                          <w:rPr>
                            <w:rFonts w:ascii="Times New Roman"/>
                            <w:color w:val="010101"/>
                            <w:sz w:val="20"/>
                          </w:rPr>
                          <w:t>278</w:t>
                        </w:r>
                      </w:p>
                    </w:tc>
                  </w:tr>
                </w:tbl>
                <w:p>
                  <w:pPr>
                    <w:pStyle w:val="BodyText"/>
                  </w:pPr>
                </w:p>
              </w:txbxContent>
            </v:textbox>
            <w10:wrap type="none"/>
          </v:shape>
        </w:pict>
      </w:r>
      <w:r>
        <w:rPr>
          <w:b/>
          <w:color w:val="010101"/>
          <w:w w:val="90"/>
          <w:sz w:val="22"/>
        </w:rPr>
        <w:t>15.</w:t>
      </w:r>
      <w:r>
        <w:rPr>
          <w:b/>
          <w:color w:val="010101"/>
          <w:sz w:val="22"/>
        </w:rPr>
        <w:t> </w:t>
      </w:r>
      <w:r>
        <w:rPr>
          <w:b/>
          <w:color w:val="010101"/>
          <w:spacing w:val="-24"/>
          <w:sz w:val="22"/>
        </w:rPr>
        <w:t> </w:t>
      </w:r>
      <w:r>
        <w:rPr>
          <w:rFonts w:ascii="Arial" w:hAnsi="Arial"/>
          <w:b/>
          <w:i/>
          <w:color w:val="010101"/>
          <w:w w:val="89"/>
          <w:sz w:val="13"/>
        </w:rPr>
        <w:t>X</w:t>
      </w:r>
      <w:r>
        <w:rPr>
          <w:rFonts w:ascii="Arial" w:hAnsi="Arial"/>
          <w:b/>
          <w:i/>
          <w:color w:val="010101"/>
          <w:sz w:val="13"/>
        </w:rPr>
        <w:tab/>
      </w:r>
      <w:r>
        <w:rPr>
          <w:b/>
          <w:color w:val="010101"/>
          <w:spacing w:val="-14"/>
          <w:w w:val="86"/>
          <w:sz w:val="22"/>
        </w:rPr>
        <w:t>d</w:t>
      </w:r>
      <w:r>
        <w:rPr>
          <w:b/>
          <w:color w:val="010101"/>
          <w:spacing w:val="-63"/>
          <w:w w:val="177"/>
          <w:sz w:val="22"/>
        </w:rPr>
        <w:t>!</w:t>
      </w:r>
      <w:r>
        <w:rPr>
          <w:b/>
          <w:color w:val="010101"/>
          <w:w w:val="52"/>
          <w:sz w:val="22"/>
        </w:rPr>
        <w:t>cl</w:t>
      </w:r>
      <w:r>
        <w:rPr>
          <w:b/>
          <w:color w:val="010101"/>
          <w:w w:val="52"/>
          <w:sz w:val="22"/>
        </w:rPr>
        <w:t>)</w:t>
      </w:r>
      <w:r>
        <w:rPr>
          <w:b/>
          <w:color w:val="010101"/>
          <w:sz w:val="22"/>
        </w:rPr>
        <w:tab/>
      </w:r>
      <w:r>
        <w:rPr>
          <w:rFonts w:ascii="Arial" w:hAnsi="Arial"/>
          <w:color w:val="010101"/>
          <w:w w:val="80"/>
          <w:sz w:val="28"/>
        </w:rPr>
        <w:t>ti</w:t>
      </w:r>
      <w:r>
        <w:rPr>
          <w:rFonts w:ascii="Arial" w:hAnsi="Arial"/>
          <w:color w:val="010101"/>
          <w:spacing w:val="-19"/>
          <w:w w:val="80"/>
          <w:sz w:val="28"/>
        </w:rPr>
        <w:t>!</w:t>
      </w:r>
      <w:r>
        <w:rPr>
          <w:rFonts w:ascii="Arial" w:hAnsi="Arial"/>
          <w:color w:val="010101"/>
          <w:spacing w:val="-36"/>
          <w:w w:val="152"/>
          <w:sz w:val="28"/>
        </w:rPr>
        <w:t>•</w:t>
      </w:r>
      <w:r>
        <w:rPr>
          <w:rFonts w:ascii="Arial" w:hAnsi="Arial"/>
          <w:color w:val="010101"/>
          <w:w w:val="57"/>
          <w:sz w:val="28"/>
        </w:rPr>
        <w:t>)</w:t>
      </w:r>
      <w:r>
        <w:rPr>
          <w:rFonts w:ascii="Arial" w:hAnsi="Arial"/>
          <w:color w:val="010101"/>
          <w:sz w:val="28"/>
        </w:rPr>
        <w:tab/>
      </w:r>
      <w:r>
        <w:rPr>
          <w:color w:val="010101"/>
          <w:w w:val="96"/>
          <w:sz w:val="21"/>
        </w:rPr>
        <w:t>d</w:t>
      </w:r>
      <w:r>
        <w:rPr>
          <w:color w:val="010101"/>
          <w:spacing w:val="19"/>
          <w:sz w:val="21"/>
        </w:rPr>
        <w:t> </w:t>
      </w:r>
      <w:r>
        <w:rPr>
          <w:color w:val="010101"/>
          <w:w w:val="81"/>
          <w:sz w:val="21"/>
        </w:rPr>
        <w:t>"'</w:t>
      </w:r>
      <w:r>
        <w:rPr>
          <w:color w:val="010101"/>
          <w:w w:val="81"/>
          <w:sz w:val="21"/>
        </w:rPr>
        <w:t>)</w:t>
      </w:r>
    </w:p>
    <w:p>
      <w:pPr>
        <w:pStyle w:val="BodyText"/>
      </w:pPr>
    </w:p>
    <w:p>
      <w:pPr>
        <w:pStyle w:val="BodyText"/>
      </w:pPr>
    </w:p>
    <w:p>
      <w:pPr>
        <w:pStyle w:val="BodyText"/>
        <w:spacing w:before="4"/>
        <w:rPr>
          <w:sz w:val="21"/>
        </w:rPr>
      </w:pPr>
    </w:p>
    <w:p>
      <w:pPr>
        <w:spacing w:after="0"/>
        <w:rPr>
          <w:sz w:val="21"/>
        </w:rPr>
        <w:sectPr>
          <w:pgSz w:w="7200" w:h="11340"/>
          <w:pgMar w:top="500" w:bottom="280" w:left="620" w:right="560"/>
        </w:sectPr>
      </w:pPr>
    </w:p>
    <w:p>
      <w:pPr>
        <w:spacing w:before="166"/>
        <w:ind w:left="144" w:right="-12" w:firstLine="0"/>
        <w:jc w:val="left"/>
        <w:rPr>
          <w:rFonts w:ascii="Arial" w:hAnsi="Arial"/>
          <w:sz w:val="18"/>
        </w:rPr>
      </w:pPr>
      <w:r>
        <w:rPr>
          <w:rFonts w:ascii="Arial" w:hAnsi="Arial"/>
          <w:b/>
          <w:color w:val="010101"/>
          <w:spacing w:val="-11"/>
          <w:w w:val="95"/>
          <w:sz w:val="18"/>
        </w:rPr>
        <w:t>1</w:t>
      </w:r>
      <w:r>
        <w:rPr>
          <w:color w:val="010101"/>
          <w:spacing w:val="-11"/>
          <w:w w:val="95"/>
          <w:position w:val="2"/>
          <w:sz w:val="21"/>
        </w:rPr>
        <w:t>7</w:t>
      </w:r>
      <w:r>
        <w:rPr>
          <w:rFonts w:ascii="Arial" w:hAnsi="Arial"/>
          <w:color w:val="010101"/>
          <w:spacing w:val="-11"/>
          <w:w w:val="95"/>
          <w:sz w:val="18"/>
        </w:rPr>
        <w:t>•</w:t>
      </w:r>
    </w:p>
    <w:p>
      <w:pPr>
        <w:spacing w:before="146"/>
        <w:ind w:left="68" w:right="-16" w:firstLine="0"/>
        <w:jc w:val="left"/>
        <w:rPr>
          <w:sz w:val="21"/>
        </w:rPr>
      </w:pPr>
      <w:r>
        <w:rPr/>
        <w:br w:type="column"/>
      </w:r>
      <w:r>
        <w:rPr>
          <w:color w:val="010101"/>
          <w:position w:val="3"/>
          <w:sz w:val="21"/>
        </w:rPr>
        <w:t>(</w:t>
      </w:r>
      <w:r>
        <w:rPr>
          <w:rFonts w:ascii="Arial"/>
          <w:color w:val="010101"/>
          <w:sz w:val="13"/>
        </w:rPr>
        <w:t>8.</w:t>
      </w:r>
      <w:r>
        <w:rPr>
          <w:color w:val="010101"/>
          <w:position w:val="4"/>
          <w:sz w:val="21"/>
        </w:rPr>
        <w:t>)</w:t>
      </w:r>
    </w:p>
    <w:p>
      <w:pPr>
        <w:spacing w:before="158"/>
        <w:ind w:left="60" w:right="-13" w:firstLine="0"/>
        <w:jc w:val="left"/>
        <w:rPr>
          <w:b/>
          <w:sz w:val="12"/>
        </w:rPr>
      </w:pPr>
      <w:r>
        <w:rPr/>
        <w:br w:type="column"/>
      </w:r>
      <w:r>
        <w:rPr>
          <w:i/>
          <w:color w:val="010101"/>
          <w:spacing w:val="-12"/>
          <w:position w:val="-10"/>
          <w:sz w:val="20"/>
        </w:rPr>
        <w:t>Pz</w:t>
      </w:r>
      <w:r>
        <w:rPr>
          <w:b/>
          <w:color w:val="010101"/>
          <w:spacing w:val="-12"/>
          <w:sz w:val="12"/>
        </w:rPr>
        <w:t>( </w:t>
      </w:r>
      <w:r>
        <w:rPr>
          <w:b/>
          <w:color w:val="010101"/>
          <w:sz w:val="12"/>
        </w:rPr>
        <w:t>f')</w:t>
      </w:r>
    </w:p>
    <w:p>
      <w:pPr>
        <w:spacing w:before="139"/>
        <w:ind w:left="62" w:right="-15" w:firstLine="0"/>
        <w:jc w:val="left"/>
        <w:rPr>
          <w:sz w:val="20"/>
        </w:rPr>
      </w:pPr>
      <w:r>
        <w:rPr/>
        <w:br w:type="column"/>
      </w:r>
      <w:r>
        <w:rPr>
          <w:color w:val="010101"/>
          <w:w w:val="110"/>
          <w:sz w:val="26"/>
        </w:rPr>
        <w:t>= </w:t>
      </w:r>
      <w:r>
        <w:rPr>
          <w:i/>
          <w:color w:val="010101"/>
          <w:w w:val="110"/>
          <w:sz w:val="20"/>
        </w:rPr>
        <w:t>Pz </w:t>
      </w:r>
      <w:r>
        <w:rPr>
          <w:rFonts w:ascii="Arial" w:hAnsi="Arial"/>
          <w:color w:val="010101"/>
          <w:w w:val="125"/>
          <w:position w:val="11"/>
          <w:sz w:val="11"/>
        </w:rPr>
        <w:t>(1) </w:t>
      </w:r>
      <w:r>
        <w:rPr>
          <w:color w:val="010101"/>
          <w:spacing w:val="-11"/>
          <w:w w:val="125"/>
          <w:sz w:val="20"/>
        </w:rPr>
        <w:t>·</w:t>
      </w:r>
      <w:r>
        <w:rPr>
          <w:b/>
          <w:i/>
          <w:color w:val="010101"/>
          <w:spacing w:val="-11"/>
          <w:w w:val="125"/>
          <w:sz w:val="20"/>
        </w:rPr>
        <w:t>Pz</w:t>
      </w:r>
      <w:r>
        <w:rPr>
          <w:b/>
          <w:color w:val="010101"/>
          <w:spacing w:val="-11"/>
          <w:w w:val="125"/>
          <w:position w:val="11"/>
          <w:sz w:val="12"/>
        </w:rPr>
        <w:t>'(2)  </w:t>
      </w:r>
      <w:r>
        <w:rPr>
          <w:color w:val="010101"/>
          <w:w w:val="125"/>
          <w:sz w:val="20"/>
        </w:rPr>
        <w:t>'</w:t>
      </w:r>
      <w:r>
        <w:rPr>
          <w:color w:val="010101"/>
          <w:spacing w:val="-48"/>
          <w:w w:val="125"/>
          <w:sz w:val="20"/>
        </w:rPr>
        <w:t> </w:t>
      </w:r>
      <w:r>
        <w:rPr>
          <w:color w:val="010101"/>
          <w:w w:val="125"/>
          <w:sz w:val="20"/>
        </w:rPr>
        <w:t>··</w:t>
      </w:r>
    </w:p>
    <w:p>
      <w:pPr>
        <w:spacing w:line="182" w:lineRule="exact" w:before="73"/>
        <w:ind w:left="105" w:right="0" w:firstLine="0"/>
        <w:jc w:val="left"/>
        <w:rPr>
          <w:rFonts w:ascii="Arial" w:hAnsi="Arial"/>
          <w:sz w:val="21"/>
        </w:rPr>
      </w:pPr>
      <w:r>
        <w:rPr/>
        <w:br w:type="column"/>
      </w:r>
      <w:r>
        <w:rPr>
          <w:rFonts w:ascii="Arial" w:hAnsi="Arial"/>
          <w:color w:val="010101"/>
          <w:w w:val="100"/>
          <w:sz w:val="21"/>
        </w:rPr>
        <w:t>'&lt;</w:t>
      </w:r>
      <w:r>
        <w:rPr>
          <w:rFonts w:ascii="Arial" w:hAnsi="Arial"/>
          <w:color w:val="010101"/>
          <w:spacing w:val="-2"/>
          <w:w w:val="100"/>
          <w:sz w:val="21"/>
        </w:rPr>
        <w:t>•</w:t>
      </w:r>
      <w:r>
        <w:rPr>
          <w:rFonts w:ascii="Arial" w:hAnsi="Arial"/>
          <w:color w:val="010101"/>
          <w:w w:val="37"/>
          <w:sz w:val="21"/>
        </w:rPr>
        <w:t>&gt;</w:t>
      </w:r>
    </w:p>
    <w:p>
      <w:pPr>
        <w:spacing w:line="170" w:lineRule="exact" w:before="0"/>
        <w:ind w:left="-17" w:right="0" w:firstLine="0"/>
        <w:jc w:val="left"/>
        <w:rPr>
          <w:b/>
          <w:i/>
          <w:sz w:val="20"/>
        </w:rPr>
      </w:pPr>
      <w:r>
        <w:rPr>
          <w:b/>
          <w:i/>
          <w:color w:val="010101"/>
          <w:w w:val="95"/>
          <w:sz w:val="20"/>
        </w:rPr>
        <w:t>Pz</w:t>
      </w:r>
    </w:p>
    <w:p>
      <w:pPr>
        <w:spacing w:after="0" w:line="170" w:lineRule="exact"/>
        <w:jc w:val="left"/>
        <w:rPr>
          <w:sz w:val="20"/>
        </w:rPr>
        <w:sectPr>
          <w:type w:val="continuous"/>
          <w:pgSz w:w="7200" w:h="11340"/>
          <w:pgMar w:top="1100" w:bottom="0" w:left="620" w:right="560"/>
          <w:cols w:num="5" w:equalWidth="0">
            <w:col w:w="374" w:space="40"/>
            <w:col w:w="321" w:space="40"/>
            <w:col w:w="403" w:space="40"/>
            <w:col w:w="1533" w:space="40"/>
            <w:col w:w="3229"/>
          </w:cols>
        </w:sectPr>
      </w:pPr>
    </w:p>
    <w:p>
      <w:pPr>
        <w:pStyle w:val="BodyText"/>
        <w:spacing w:before="3"/>
        <w:rPr>
          <w:b/>
          <w:i/>
          <w:sz w:val="11"/>
        </w:rPr>
      </w:pPr>
    </w:p>
    <w:p>
      <w:pPr>
        <w:tabs>
          <w:tab w:pos="1666" w:val="left" w:leader="none"/>
        </w:tabs>
        <w:spacing w:line="189" w:lineRule="auto" w:before="0"/>
        <w:ind w:left="808" w:right="3429" w:firstLine="168"/>
        <w:jc w:val="left"/>
        <w:rPr>
          <w:rFonts w:ascii="Arial" w:hAnsi="Arial"/>
          <w:b/>
          <w:sz w:val="11"/>
        </w:rPr>
      </w:pPr>
      <w:r>
        <w:rPr/>
        <w:pict>
          <v:shape style="position:absolute;margin-left:112.5224pt;margin-top:-21.221262pt;width:4.05pt;height:5pt;mso-position-horizontal-relative:page;mso-position-vertical-relative:paragraph;z-index:-705472" type="#_x0000_t202" filled="false" stroked="false">
            <v:textbox inset="0,0,0,0">
              <w:txbxContent>
                <w:p>
                  <w:pPr>
                    <w:spacing w:line="100" w:lineRule="exact" w:before="0"/>
                    <w:ind w:left="0" w:right="0" w:firstLine="0"/>
                    <w:jc w:val="left"/>
                    <w:rPr>
                      <w:sz w:val="10"/>
                    </w:rPr>
                  </w:pPr>
                  <w:r>
                    <w:rPr>
                      <w:color w:val="010101"/>
                      <w:w w:val="162"/>
                      <w:sz w:val="10"/>
                    </w:rPr>
                    <w:t>1</w:t>
                  </w:r>
                </w:p>
              </w:txbxContent>
            </v:textbox>
            <w10:wrap type="none"/>
          </v:shape>
        </w:pict>
      </w:r>
      <w:r>
        <w:rPr/>
        <w:pict>
          <v:shape style="position:absolute;margin-left:53.659019pt;margin-top:5.13677pt;width:13.75pt;height:10pt;mso-position-horizontal-relative:page;mso-position-vertical-relative:paragraph;z-index:30616" type="#_x0000_t202" filled="false" stroked="false">
            <v:textbox inset="0,0,0,0">
              <w:txbxContent>
                <w:p>
                  <w:pPr>
                    <w:pStyle w:val="BodyText"/>
                    <w:spacing w:line="200" w:lineRule="exact"/>
                    <w:ind w:right="-19"/>
                  </w:pPr>
                  <w:r>
                    <w:rPr>
                      <w:color w:val="010101"/>
                      <w:w w:val="110"/>
                    </w:rPr>
                    <w:t>(</w:t>
                  </w:r>
                  <w:r>
                    <w:rPr>
                      <w:color w:val="010101"/>
                      <w:spacing w:val="-38"/>
                      <w:w w:val="110"/>
                    </w:rPr>
                    <w:t> </w:t>
                  </w:r>
                  <w:r>
                    <w:rPr>
                      <w:color w:val="010101"/>
                      <w:w w:val="110"/>
                    </w:rPr>
                    <w:t>b)</w:t>
                  </w:r>
                </w:p>
              </w:txbxContent>
            </v:textbox>
            <w10:wrap type="none"/>
          </v:shape>
        </w:pict>
      </w:r>
      <w:r>
        <w:rPr>
          <w:color w:val="010101"/>
          <w:w w:val="135"/>
          <w:sz w:val="12"/>
        </w:rPr>
        <w:t>1</w:t>
        <w:tab/>
      </w:r>
      <w:r>
        <w:rPr>
          <w:color w:val="010101"/>
          <w:w w:val="120"/>
          <w:sz w:val="26"/>
        </w:rPr>
        <w:t>=</w:t>
      </w:r>
      <w:r>
        <w:rPr>
          <w:color w:val="010101"/>
          <w:spacing w:val="-29"/>
          <w:w w:val="120"/>
          <w:sz w:val="26"/>
        </w:rPr>
        <w:t> </w:t>
      </w:r>
      <w:r>
        <w:rPr>
          <w:rFonts w:ascii="Arial" w:hAnsi="Arial"/>
          <w:b/>
          <w:color w:val="010101"/>
          <w:w w:val="130"/>
          <w:sz w:val="11"/>
        </w:rPr>
        <w:t>d!1:r1·••za</w:t>
      </w:r>
      <w:r>
        <w:rPr>
          <w:rFonts w:ascii="Arial" w:hAnsi="Arial"/>
          <w:b/>
          <w:color w:val="010101"/>
          <w:w w:val="129"/>
          <w:sz w:val="11"/>
        </w:rPr>
        <w:t> </w:t>
      </w:r>
      <w:r>
        <w:rPr>
          <w:rFonts w:ascii="Arial" w:hAnsi="Arial"/>
          <w:b/>
          <w:color w:val="010101"/>
          <w:spacing w:val="-4"/>
          <w:w w:val="135"/>
          <w:sz w:val="11"/>
        </w:rPr>
        <w:t>fflz </w:t>
      </w:r>
      <w:r>
        <w:rPr>
          <w:rFonts w:ascii="Arial" w:hAnsi="Arial"/>
          <w:b/>
          <w:color w:val="010101"/>
          <w:spacing w:val="7"/>
          <w:w w:val="135"/>
          <w:sz w:val="11"/>
        </w:rPr>
        <w:t> </w:t>
      </w:r>
      <w:r>
        <w:rPr>
          <w:rFonts w:ascii="Arial" w:hAnsi="Arial"/>
          <w:b/>
          <w:color w:val="010101"/>
          <w:spacing w:val="-3"/>
          <w:w w:val="135"/>
          <w:position w:val="-2"/>
          <w:sz w:val="11"/>
        </w:rPr>
        <w:t>1</w:t>
      </w:r>
      <w:r>
        <w:rPr>
          <w:rFonts w:ascii="Arial" w:hAnsi="Arial"/>
          <w:b/>
          <w:color w:val="010101"/>
          <w:spacing w:val="-3"/>
          <w:w w:val="135"/>
          <w:sz w:val="11"/>
        </w:rPr>
        <w:t>z1..,z..</w:t>
      </w:r>
    </w:p>
    <w:p>
      <w:pPr>
        <w:spacing w:after="0" w:line="189" w:lineRule="auto"/>
        <w:jc w:val="left"/>
        <w:rPr>
          <w:rFonts w:ascii="Arial" w:hAnsi="Arial"/>
          <w:sz w:val="11"/>
        </w:rPr>
        <w:sectPr>
          <w:type w:val="continuous"/>
          <w:pgSz w:w="7200" w:h="11340"/>
          <w:pgMar w:top="1100" w:bottom="0" w:left="620" w:right="560"/>
        </w:sectPr>
      </w:pPr>
    </w:p>
    <w:p>
      <w:pPr>
        <w:spacing w:before="19"/>
        <w:ind w:left="1899" w:right="0" w:firstLine="0"/>
        <w:jc w:val="left"/>
        <w:rPr>
          <w:b/>
          <w:i/>
          <w:sz w:val="12"/>
        </w:rPr>
      </w:pPr>
      <w:r>
        <w:rPr/>
        <w:pict>
          <v:shape style="position:absolute;margin-left:166.360901pt;margin-top:6.363788pt;width:9.2pt;height:29.5pt;mso-position-horizontal-relative:page;mso-position-vertical-relative:paragraph;z-index:-705424" type="#_x0000_t202" filled="false" stroked="false">
            <v:textbox inset="0,0,0,0">
              <w:txbxContent>
                <w:p>
                  <w:pPr>
                    <w:spacing w:line="590" w:lineRule="exact" w:before="0"/>
                    <w:ind w:left="0" w:right="0" w:firstLine="0"/>
                    <w:jc w:val="left"/>
                    <w:rPr>
                      <w:sz w:val="59"/>
                    </w:rPr>
                  </w:pPr>
                  <w:r>
                    <w:rPr>
                      <w:color w:val="010101"/>
                      <w:w w:val="111"/>
                      <w:sz w:val="59"/>
                    </w:rPr>
                    <w:t>i</w:t>
                  </w:r>
                </w:p>
              </w:txbxContent>
            </v:textbox>
            <w10:wrap type="none"/>
          </v:shape>
        </w:pict>
      </w:r>
      <w:r>
        <w:rPr>
          <w:b/>
          <w:i/>
          <w:color w:val="010101"/>
          <w:w w:val="120"/>
          <w:sz w:val="12"/>
        </w:rPr>
        <w:t>LZJ S!"º Z..</w:t>
      </w:r>
    </w:p>
    <w:p>
      <w:pPr>
        <w:spacing w:before="88"/>
        <w:ind w:left="0" w:right="0" w:firstLine="0"/>
        <w:jc w:val="right"/>
        <w:rPr>
          <w:sz w:val="12"/>
        </w:rPr>
      </w:pPr>
      <w:r>
        <w:rPr>
          <w:color w:val="010101"/>
          <w:w w:val="169"/>
          <w:sz w:val="12"/>
        </w:rPr>
        <w:t>1</w:t>
      </w:r>
    </w:p>
    <w:p>
      <w:pPr>
        <w:spacing w:before="4"/>
        <w:ind w:left="1074" w:right="0" w:firstLine="0"/>
        <w:jc w:val="left"/>
        <w:rPr>
          <w:sz w:val="23"/>
        </w:rPr>
      </w:pPr>
      <w:r>
        <w:rPr>
          <w:color w:val="010101"/>
          <w:w w:val="96"/>
          <w:sz w:val="21"/>
        </w:rPr>
        <w:t>where</w:t>
      </w:r>
      <w:r>
        <w:rPr>
          <w:color w:val="010101"/>
          <w:spacing w:val="24"/>
          <w:sz w:val="21"/>
        </w:rPr>
        <w:t> </w:t>
      </w:r>
      <w:r>
        <w:rPr>
          <w:rFonts w:ascii="Arial"/>
          <w:i/>
          <w:color w:val="010101"/>
          <w:spacing w:val="-19"/>
          <w:w w:val="135"/>
          <w:sz w:val="20"/>
        </w:rPr>
        <w:t>L</w:t>
      </w:r>
      <w:r>
        <w:rPr>
          <w:rFonts w:ascii="Arial"/>
          <w:i/>
          <w:color w:val="010101"/>
          <w:w w:val="42"/>
          <w:sz w:val="20"/>
        </w:rPr>
        <w:t>:ii</w:t>
      </w:r>
      <w:r>
        <w:rPr>
          <w:rFonts w:ascii="Arial"/>
          <w:i/>
          <w:color w:val="010101"/>
          <w:spacing w:val="-39"/>
          <w:sz w:val="20"/>
        </w:rPr>
        <w:t> </w:t>
      </w:r>
      <w:r>
        <w:rPr>
          <w:i/>
          <w:color w:val="010101"/>
          <w:w w:val="89"/>
          <w:position w:val="-2"/>
          <w:sz w:val="10"/>
        </w:rPr>
        <w:t>1</w:t>
      </w:r>
      <w:r>
        <w:rPr>
          <w:i/>
          <w:color w:val="010101"/>
          <w:spacing w:val="-16"/>
          <w:position w:val="-2"/>
          <w:sz w:val="10"/>
        </w:rPr>
        <w:t> </w:t>
      </w:r>
      <w:r>
        <w:rPr>
          <w:i/>
          <w:color w:val="010101"/>
          <w:w w:val="99"/>
          <w:sz w:val="15"/>
        </w:rPr>
        <w:t>z</w:t>
      </w:r>
      <w:r>
        <w:rPr>
          <w:i/>
          <w:color w:val="010101"/>
          <w:spacing w:val="-25"/>
          <w:sz w:val="15"/>
        </w:rPr>
        <w:t> </w:t>
      </w:r>
      <w:r>
        <w:rPr>
          <w:i/>
          <w:color w:val="010101"/>
          <w:spacing w:val="7"/>
          <w:w w:val="117"/>
          <w:position w:val="-2"/>
          <w:sz w:val="11"/>
        </w:rPr>
        <w:t>1</w:t>
      </w:r>
      <w:r>
        <w:rPr>
          <w:i/>
          <w:color w:val="010101"/>
          <w:w w:val="205"/>
          <w:sz w:val="11"/>
        </w:rPr>
        <w:t>..</w:t>
      </w:r>
      <w:r>
        <w:rPr>
          <w:i/>
          <w:color w:val="010101"/>
          <w:spacing w:val="-15"/>
          <w:w w:val="205"/>
          <w:sz w:val="11"/>
        </w:rPr>
        <w:t>.</w:t>
      </w:r>
      <w:r>
        <w:rPr>
          <w:i/>
          <w:color w:val="010101"/>
          <w:w w:val="193"/>
          <w:sz w:val="15"/>
        </w:rPr>
        <w:t>z.</w:t>
      </w:r>
      <w:r>
        <w:rPr>
          <w:i/>
          <w:color w:val="010101"/>
          <w:sz w:val="15"/>
        </w:rPr>
        <w:t> </w:t>
      </w:r>
      <w:r>
        <w:rPr>
          <w:i/>
          <w:color w:val="010101"/>
          <w:spacing w:val="4"/>
          <w:sz w:val="15"/>
        </w:rPr>
        <w:t> </w:t>
      </w:r>
      <w:r>
        <w:rPr>
          <w:color w:val="010101"/>
          <w:w w:val="101"/>
          <w:sz w:val="23"/>
        </w:rPr>
        <w:t>=</w:t>
      </w:r>
    </w:p>
    <w:p>
      <w:pPr>
        <w:pStyle w:val="BodyText"/>
      </w:pPr>
      <w:r>
        <w:rPr/>
        <w:br w:type="column"/>
      </w:r>
      <w:r>
        <w:rPr/>
      </w:r>
    </w:p>
    <w:p>
      <w:pPr>
        <w:pStyle w:val="BodyText"/>
        <w:rPr>
          <w:sz w:val="16"/>
        </w:rPr>
      </w:pPr>
    </w:p>
    <w:p>
      <w:pPr>
        <w:spacing w:before="0"/>
        <w:ind w:left="-23" w:right="0" w:firstLine="0"/>
        <w:jc w:val="left"/>
        <w:rPr>
          <w:rFonts w:ascii="Arial" w:hAnsi="Arial"/>
          <w:i/>
          <w:sz w:val="20"/>
        </w:rPr>
      </w:pPr>
      <w:r>
        <w:rPr>
          <w:color w:val="010101"/>
          <w:w w:val="105"/>
          <w:sz w:val="16"/>
        </w:rPr>
        <w:t>la</w:t>
      </w:r>
      <w:r>
        <w:rPr>
          <w:color w:val="010101"/>
          <w:w w:val="105"/>
          <w:position w:val="-2"/>
          <w:sz w:val="11"/>
        </w:rPr>
        <w:t>1</w:t>
      </w:r>
      <w:r>
        <w:rPr>
          <w:color w:val="010101"/>
          <w:w w:val="105"/>
          <w:sz w:val="16"/>
        </w:rPr>
        <w:t>+e:z,+e:..</w:t>
      </w:r>
      <w:r>
        <w:rPr>
          <w:color w:val="010101"/>
          <w:w w:val="105"/>
          <w:sz w:val="17"/>
        </w:rPr>
        <w:t>·</w:t>
      </w:r>
      <w:r>
        <w:rPr>
          <w:color w:val="1A1A1A"/>
          <w:w w:val="105"/>
          <w:sz w:val="17"/>
        </w:rPr>
        <w:t>:</w:t>
      </w:r>
      <w:r>
        <w:rPr>
          <w:color w:val="010101"/>
          <w:w w:val="105"/>
          <w:sz w:val="17"/>
        </w:rPr>
        <w:t>s...+' </w:t>
      </w:r>
      <w:r>
        <w:rPr>
          <w:rFonts w:ascii="Arial" w:hAnsi="Arial"/>
          <w:i/>
          <w:color w:val="010101"/>
          <w:w w:val="105"/>
          <w:sz w:val="20"/>
        </w:rPr>
        <w:t>dt</w:t>
      </w:r>
    </w:p>
    <w:p>
      <w:pPr>
        <w:spacing w:after="0"/>
        <w:jc w:val="left"/>
        <w:rPr>
          <w:rFonts w:ascii="Arial" w:hAnsi="Arial"/>
          <w:sz w:val="20"/>
        </w:rPr>
        <w:sectPr>
          <w:type w:val="continuous"/>
          <w:pgSz w:w="7200" w:h="11340"/>
          <w:pgMar w:top="1100" w:bottom="0" w:left="620" w:right="560"/>
          <w:cols w:num="2" w:equalWidth="0">
            <w:col w:w="2971" w:space="40"/>
            <w:col w:w="3009"/>
          </w:cols>
        </w:sectPr>
      </w:pPr>
    </w:p>
    <w:p>
      <w:pPr>
        <w:pStyle w:val="BodyText"/>
        <w:spacing w:before="4"/>
        <w:rPr>
          <w:rFonts w:ascii="Arial"/>
          <w:i/>
          <w:sz w:val="15"/>
        </w:rPr>
      </w:pPr>
    </w:p>
    <w:p>
      <w:pPr>
        <w:tabs>
          <w:tab w:pos="1562" w:val="left" w:leader="none"/>
          <w:tab w:pos="2319" w:val="left" w:leader="none"/>
        </w:tabs>
        <w:spacing w:line="108" w:lineRule="exact" w:before="0"/>
        <w:ind w:left="980" w:right="0" w:firstLine="0"/>
        <w:jc w:val="left"/>
        <w:rPr>
          <w:sz w:val="12"/>
        </w:rPr>
      </w:pPr>
      <w:r>
        <w:rPr/>
        <w:pict>
          <v:shape style="position:absolute;margin-left:92.781647pt;margin-top:.519588pt;width:50.25pt;height:15.5pt;mso-position-horizontal-relative:page;mso-position-vertical-relative:paragraph;z-index:-705400" type="#_x0000_t202" filled="false" stroked="false">
            <v:textbox inset="0,0,0,0">
              <w:txbxContent>
                <w:p>
                  <w:pPr>
                    <w:tabs>
                      <w:tab w:pos="757" w:val="left" w:leader="none"/>
                      <w:tab w:pos="1004" w:val="left" w:leader="none"/>
                    </w:tabs>
                    <w:spacing w:line="310" w:lineRule="exact" w:before="0"/>
                    <w:ind w:left="0" w:right="0" w:firstLine="0"/>
                    <w:jc w:val="left"/>
                    <w:rPr>
                      <w:rFonts w:ascii="Arial"/>
                      <w:sz w:val="31"/>
                    </w:rPr>
                  </w:pPr>
                  <w:r>
                    <w:rPr>
                      <w:rFonts w:ascii="Arial"/>
                      <w:color w:val="010101"/>
                      <w:w w:val="105"/>
                      <w:sz w:val="31"/>
                      <w:u w:val="single" w:color="000000"/>
                    </w:rPr>
                    <w:t>+</w:t>
                  </w:r>
                  <w:r>
                    <w:rPr>
                      <w:rFonts w:ascii="Arial"/>
                      <w:color w:val="010101"/>
                      <w:w w:val="105"/>
                      <w:sz w:val="31"/>
                    </w:rPr>
                    <w:tab/>
                  </w:r>
                  <w:r>
                    <w:rPr>
                      <w:rFonts w:ascii="Arial"/>
                      <w:color w:val="010101"/>
                      <w:w w:val="105"/>
                      <w:sz w:val="31"/>
                      <w:u w:val="single" w:color="000000"/>
                    </w:rPr>
                    <w:t>+</w:t>
                  </w:r>
                  <w:r>
                    <w:rPr>
                      <w:rFonts w:ascii="Arial"/>
                      <w:color w:val="010101"/>
                      <w:sz w:val="31"/>
                      <w:u w:val="single" w:color="000000"/>
                    </w:rPr>
                    <w:tab/>
                  </w:r>
                </w:p>
              </w:txbxContent>
            </v:textbox>
            <w10:wrap type="none"/>
          </v:shape>
        </w:pict>
      </w:r>
      <w:r>
        <w:rPr>
          <w:color w:val="010101"/>
          <w:w w:val="155"/>
          <w:sz w:val="12"/>
        </w:rPr>
        <w:t>(i)</w:t>
        <w:tab/>
      </w:r>
      <w:r>
        <w:rPr>
          <w:color w:val="010101"/>
          <w:w w:val="120"/>
          <w:sz w:val="13"/>
        </w:rPr>
        <w:t>2 </w:t>
      </w:r>
      <w:r>
        <w:rPr>
          <w:color w:val="010101"/>
          <w:spacing w:val="32"/>
          <w:w w:val="120"/>
          <w:sz w:val="13"/>
        </w:rPr>
        <w:t> </w:t>
      </w:r>
      <w:r>
        <w:rPr>
          <w:color w:val="010101"/>
          <w:w w:val="155"/>
          <w:sz w:val="11"/>
        </w:rPr>
        <w:t>(i)</w:t>
        <w:tab/>
      </w:r>
      <w:r>
        <w:rPr>
          <w:color w:val="010101"/>
          <w:w w:val="155"/>
          <w:sz w:val="13"/>
        </w:rPr>
        <w:t>1</w:t>
      </w:r>
      <w:r>
        <w:rPr>
          <w:color w:val="010101"/>
          <w:spacing w:val="19"/>
          <w:w w:val="155"/>
          <w:sz w:val="13"/>
        </w:rPr>
        <w:t> </w:t>
      </w:r>
      <w:r>
        <w:rPr>
          <w:color w:val="010101"/>
          <w:w w:val="155"/>
          <w:sz w:val="12"/>
        </w:rPr>
        <w:t>(i)</w:t>
      </w:r>
    </w:p>
    <w:p>
      <w:pPr>
        <w:tabs>
          <w:tab w:pos="1479" w:val="left" w:leader="none"/>
          <w:tab w:pos="2236" w:val="left" w:leader="none"/>
        </w:tabs>
        <w:spacing w:line="146" w:lineRule="exact" w:before="0"/>
        <w:ind w:left="449" w:right="0" w:firstLine="0"/>
        <w:jc w:val="left"/>
        <w:rPr>
          <w:i/>
          <w:sz w:val="19"/>
        </w:rPr>
      </w:pPr>
      <w:r>
        <w:rPr/>
        <w:pict>
          <v:shape style="position:absolute;margin-left:37.866402pt;margin-top:3.928842pt;width:10.15pt;height:10.5pt;mso-position-horizontal-relative:page;mso-position-vertical-relative:paragraph;z-index:-705376" type="#_x0000_t202" filled="false" stroked="false">
            <v:textbox inset="0,0,0,0">
              <w:txbxContent>
                <w:p>
                  <w:pPr>
                    <w:spacing w:line="210" w:lineRule="exact" w:before="0"/>
                    <w:ind w:left="0" w:right="-19" w:firstLine="0"/>
                    <w:jc w:val="left"/>
                    <w:rPr>
                      <w:sz w:val="21"/>
                    </w:rPr>
                  </w:pPr>
                  <w:r>
                    <w:rPr>
                      <w:color w:val="010101"/>
                      <w:spacing w:val="-20"/>
                      <w:w w:val="115"/>
                      <w:sz w:val="21"/>
                    </w:rPr>
                    <w:t>18</w:t>
                  </w:r>
                </w:p>
              </w:txbxContent>
            </v:textbox>
            <w10:wrap type="none"/>
          </v:shape>
        </w:pict>
      </w:r>
      <w:r>
        <w:rPr>
          <w:color w:val="010101"/>
          <w:w w:val="105"/>
          <w:sz w:val="21"/>
        </w:rPr>
        <w:t>( </w:t>
      </w:r>
      <w:r>
        <w:rPr>
          <w:color w:val="010101"/>
          <w:spacing w:val="10"/>
          <w:w w:val="105"/>
          <w:sz w:val="21"/>
        </w:rPr>
        <w:t> </w:t>
      </w:r>
      <w:r>
        <w:rPr>
          <w:color w:val="010101"/>
          <w:w w:val="105"/>
          <w:sz w:val="21"/>
        </w:rPr>
        <w:t>)</w:t>
      </w:r>
      <w:r>
        <w:rPr>
          <w:color w:val="010101"/>
          <w:spacing w:val="1"/>
          <w:w w:val="105"/>
          <w:sz w:val="21"/>
        </w:rPr>
        <w:t> </w:t>
      </w:r>
      <w:r>
        <w:rPr>
          <w:i/>
          <w:color w:val="010101"/>
          <w:spacing w:val="4"/>
          <w:w w:val="105"/>
          <w:sz w:val="19"/>
          <w:u w:val="single" w:color="000000"/>
        </w:rPr>
        <w:t>vd</w:t>
      </w:r>
      <w:r>
        <w:rPr>
          <w:i/>
          <w:color w:val="010101"/>
          <w:spacing w:val="4"/>
          <w:w w:val="105"/>
          <w:sz w:val="13"/>
          <w:u w:val="single" w:color="000000"/>
        </w:rPr>
        <w:t>12</w:t>
      </w:r>
      <w:r>
        <w:rPr>
          <w:i/>
          <w:color w:val="010101"/>
          <w:spacing w:val="4"/>
          <w:w w:val="105"/>
          <w:sz w:val="13"/>
        </w:rPr>
        <w:tab/>
      </w:r>
      <w:r>
        <w:rPr>
          <w:i/>
          <w:color w:val="010101"/>
          <w:w w:val="105"/>
          <w:sz w:val="19"/>
          <w:u w:val="single" w:color="000000"/>
        </w:rPr>
        <w:t>v</w:t>
      </w:r>
      <w:r>
        <w:rPr>
          <w:i/>
          <w:color w:val="010101"/>
          <w:spacing w:val="14"/>
          <w:w w:val="105"/>
          <w:sz w:val="19"/>
          <w:u w:val="single" w:color="000000"/>
        </w:rPr>
        <w:t> </w:t>
      </w:r>
      <w:r>
        <w:rPr>
          <w:i/>
          <w:color w:val="010101"/>
          <w:w w:val="105"/>
          <w:sz w:val="19"/>
          <w:u w:val="single" w:color="000000"/>
        </w:rPr>
        <w:t>du</w:t>
      </w:r>
      <w:r>
        <w:rPr>
          <w:i/>
          <w:color w:val="010101"/>
          <w:w w:val="105"/>
          <w:sz w:val="19"/>
        </w:rPr>
        <w:tab/>
      </w:r>
      <w:r>
        <w:rPr>
          <w:i/>
          <w:color w:val="010101"/>
          <w:w w:val="105"/>
          <w:sz w:val="19"/>
          <w:u w:val="single" w:color="000000"/>
        </w:rPr>
        <w:t>v</w:t>
      </w:r>
      <w:r>
        <w:rPr>
          <w:i/>
          <w:color w:val="010101"/>
          <w:spacing w:val="-1"/>
          <w:w w:val="105"/>
          <w:sz w:val="19"/>
          <w:u w:val="single" w:color="000000"/>
        </w:rPr>
        <w:t> </w:t>
      </w:r>
      <w:r>
        <w:rPr>
          <w:i/>
          <w:color w:val="010101"/>
          <w:w w:val="105"/>
          <w:sz w:val="19"/>
          <w:u w:val="single" w:color="000000"/>
        </w:rPr>
        <w:t>du</w:t>
      </w:r>
      <w:r>
        <w:rPr>
          <w:i/>
          <w:color w:val="010101"/>
          <w:w w:val="105"/>
          <w:sz w:val="19"/>
        </w:rPr>
        <w:t>.</w:t>
      </w:r>
    </w:p>
    <w:p>
      <w:pPr>
        <w:pStyle w:val="ListParagraph"/>
        <w:numPr>
          <w:ilvl w:val="0"/>
          <w:numId w:val="160"/>
        </w:numPr>
        <w:tabs>
          <w:tab w:pos="529" w:val="left" w:leader="none"/>
          <w:tab w:pos="873" w:val="left" w:leader="none"/>
        </w:tabs>
        <w:spacing w:line="305" w:lineRule="exact" w:before="0" w:after="0"/>
        <w:ind w:left="528" w:right="0" w:hanging="201"/>
        <w:jc w:val="left"/>
        <w:rPr>
          <w:b/>
          <w:sz w:val="31"/>
        </w:rPr>
      </w:pPr>
      <w:r>
        <w:rPr>
          <w:b/>
          <w:color w:val="010101"/>
          <w:w w:val="108"/>
          <w:sz w:val="20"/>
        </w:rPr>
        <w:t>a</w:t>
      </w:r>
      <w:r>
        <w:rPr>
          <w:b/>
          <w:color w:val="010101"/>
          <w:sz w:val="20"/>
        </w:rPr>
        <w:tab/>
      </w:r>
      <w:r>
        <w:rPr>
          <w:b/>
          <w:color w:val="010101"/>
          <w:w w:val="53"/>
          <w:sz w:val="31"/>
        </w:rPr>
        <w:t>z</w:t>
      </w:r>
      <w:r>
        <w:rPr>
          <w:b/>
          <w:color w:val="010101"/>
          <w:spacing w:val="-5"/>
          <w:w w:val="53"/>
          <w:sz w:val="31"/>
        </w:rPr>
        <w:t>¡</w:t>
      </w:r>
      <w:r>
        <w:rPr>
          <w:b/>
          <w:color w:val="010101"/>
          <w:w w:val="45"/>
          <w:sz w:val="31"/>
        </w:rPr>
        <w:t>r&gt;</w:t>
      </w:r>
      <w:r>
        <w:rPr>
          <w:b/>
          <w:color w:val="010101"/>
          <w:spacing w:val="15"/>
          <w:sz w:val="31"/>
        </w:rPr>
        <w:t> </w:t>
      </w:r>
      <w:r>
        <w:rPr>
          <w:rFonts w:ascii="Arial" w:hAnsi="Arial"/>
          <w:color w:val="010101"/>
          <w:w w:val="110"/>
          <w:sz w:val="31"/>
        </w:rPr>
        <w:t>+</w:t>
      </w:r>
      <w:r>
        <w:rPr>
          <w:rFonts w:ascii="Arial" w:hAnsi="Arial"/>
          <w:color w:val="010101"/>
          <w:spacing w:val="-40"/>
          <w:sz w:val="31"/>
        </w:rPr>
        <w:t> </w:t>
      </w:r>
      <w:r>
        <w:rPr>
          <w:b/>
          <w:color w:val="010101"/>
          <w:w w:val="82"/>
          <w:sz w:val="23"/>
        </w:rPr>
        <w:t>vl</w:t>
      </w:r>
      <w:r>
        <w:rPr>
          <w:b/>
          <w:color w:val="010101"/>
          <w:spacing w:val="-4"/>
          <w:w w:val="82"/>
          <w:sz w:val="23"/>
        </w:rPr>
        <w:t>¡</w:t>
      </w:r>
      <w:r>
        <w:rPr>
          <w:b/>
          <w:color w:val="010101"/>
          <w:w w:val="59"/>
          <w:sz w:val="23"/>
        </w:rPr>
        <w:t>r&gt;</w:t>
      </w:r>
      <w:r>
        <w:rPr>
          <w:b/>
          <w:color w:val="010101"/>
          <w:sz w:val="23"/>
        </w:rPr>
        <w:t> </w:t>
      </w:r>
      <w:r>
        <w:rPr>
          <w:b/>
          <w:color w:val="010101"/>
          <w:spacing w:val="-18"/>
          <w:sz w:val="23"/>
        </w:rPr>
        <w:t> </w:t>
      </w:r>
      <w:r>
        <w:rPr>
          <w:rFonts w:ascii="Arial" w:hAnsi="Arial"/>
          <w:color w:val="010101"/>
          <w:w w:val="105"/>
          <w:sz w:val="31"/>
        </w:rPr>
        <w:t>+</w:t>
      </w:r>
      <w:r>
        <w:rPr>
          <w:rFonts w:ascii="Arial" w:hAnsi="Arial"/>
          <w:color w:val="010101"/>
          <w:spacing w:val="-34"/>
          <w:sz w:val="31"/>
        </w:rPr>
        <w:t> </w:t>
      </w:r>
      <w:r>
        <w:rPr>
          <w:b/>
          <w:color w:val="010101"/>
          <w:spacing w:val="6"/>
          <w:w w:val="66"/>
          <w:sz w:val="23"/>
        </w:rPr>
        <w:t>v</w:t>
      </w:r>
      <w:r>
        <w:rPr>
          <w:rFonts w:ascii="Arial" w:hAnsi="Arial"/>
          <w:b/>
          <w:color w:val="010101"/>
          <w:spacing w:val="-7"/>
          <w:w w:val="90"/>
          <w:position w:val="8"/>
          <w:sz w:val="12"/>
        </w:rPr>
        <w:t>2</w:t>
      </w:r>
      <w:r>
        <w:rPr>
          <w:b/>
          <w:color w:val="010101"/>
          <w:spacing w:val="11"/>
          <w:w w:val="85"/>
          <w:sz w:val="31"/>
        </w:rPr>
        <w:t>z</w:t>
      </w:r>
      <w:r>
        <w:rPr>
          <w:b/>
          <w:color w:val="010101"/>
          <w:w w:val="60"/>
          <w:sz w:val="31"/>
        </w:rPr>
        <w:t>r</w:t>
      </w:r>
      <w:r>
        <w:rPr>
          <w:b/>
          <w:color w:val="010101"/>
          <w:w w:val="60"/>
          <w:sz w:val="31"/>
        </w:rPr>
        <w:t>)</w:t>
      </w:r>
    </w:p>
    <w:p>
      <w:pPr>
        <w:spacing w:line="320" w:lineRule="exact" w:before="35"/>
        <w:ind w:left="293" w:right="3653" w:firstLine="0"/>
        <w:jc w:val="center"/>
        <w:rPr>
          <w:i/>
          <w:sz w:val="31"/>
        </w:rPr>
      </w:pPr>
      <w:r>
        <w:rPr>
          <w:i/>
          <w:color w:val="010101"/>
          <w:w w:val="85"/>
          <w:sz w:val="31"/>
        </w:rPr>
        <w:t>MW </w:t>
      </w:r>
      <w:r>
        <w:rPr>
          <w:i/>
          <w:color w:val="010101"/>
          <w:w w:val="110"/>
          <w:sz w:val="31"/>
        </w:rPr>
        <w:t>-</w:t>
      </w:r>
      <w:r>
        <w:rPr>
          <w:i/>
          <w:color w:val="010101"/>
          <w:spacing w:val="-63"/>
          <w:w w:val="110"/>
          <w:sz w:val="31"/>
        </w:rPr>
        <w:t> </w:t>
      </w:r>
      <w:r>
        <w:rPr>
          <w:i/>
          <w:color w:val="010101"/>
          <w:w w:val="85"/>
          <w:sz w:val="31"/>
        </w:rPr>
        <w:t>MW</w:t>
      </w:r>
    </w:p>
    <w:p>
      <w:pPr>
        <w:tabs>
          <w:tab w:pos="1511" w:val="left" w:leader="none"/>
        </w:tabs>
        <w:spacing w:line="175" w:lineRule="exact" w:before="0"/>
        <w:ind w:left="446" w:right="0" w:firstLine="0"/>
        <w:jc w:val="left"/>
        <w:rPr>
          <w:sz w:val="21"/>
        </w:rPr>
      </w:pPr>
      <w:r>
        <w:rPr/>
        <w:pict>
          <v:line style="position:absolute;mso-position-horizontal-relative:page;mso-position-vertical-relative:paragraph;z-index:-705544" from="94.935188pt,10.146225pt" to="121.674998pt,10.146225pt" stroked="true" strokeweight="4.307079pt" strokecolor="#000000">
            <w10:wrap type="none"/>
          </v:line>
        </w:pict>
      </w:r>
      <w:r>
        <w:rPr>
          <w:color w:val="010101"/>
          <w:spacing w:val="5"/>
          <w:sz w:val="21"/>
        </w:rPr>
        <w:t>(b)</w:t>
      </w:r>
      <w:r>
        <w:rPr>
          <w:color w:val="010101"/>
          <w:spacing w:val="-5"/>
          <w:sz w:val="21"/>
        </w:rPr>
        <w:t> </w:t>
      </w:r>
      <w:r>
        <w:rPr>
          <w:color w:val="010101"/>
          <w:sz w:val="21"/>
        </w:rPr>
        <w:t>Ne"&gt;</w:t>
        <w:tab/>
      </w:r>
      <w:r>
        <w:rPr>
          <w:color w:val="010101"/>
          <w:w w:val="85"/>
          <w:sz w:val="21"/>
        </w:rPr>
        <w:t>Nc</w:t>
      </w:r>
      <w:r>
        <w:rPr>
          <w:color w:val="010101"/>
          <w:spacing w:val="-33"/>
          <w:w w:val="85"/>
          <w:sz w:val="21"/>
        </w:rPr>
        <w:t> </w:t>
      </w:r>
      <w:r>
        <w:rPr>
          <w:color w:val="010101"/>
          <w:w w:val="85"/>
          <w:sz w:val="21"/>
        </w:rPr>
        <w:t>r&gt;</w:t>
      </w:r>
    </w:p>
    <w:p>
      <w:pPr>
        <w:tabs>
          <w:tab w:pos="1687" w:val="left" w:leader="none"/>
        </w:tabs>
        <w:spacing w:line="120" w:lineRule="exact" w:before="0"/>
        <w:ind w:left="970" w:right="0" w:firstLine="0"/>
        <w:jc w:val="left"/>
        <w:rPr>
          <w:rFonts w:ascii="Arial"/>
          <w:b/>
          <w:sz w:val="13"/>
        </w:rPr>
      </w:pPr>
      <w:r>
        <w:rPr>
          <w:rFonts w:ascii="Arial"/>
          <w:b/>
          <w:color w:val="010101"/>
          <w:w w:val="170"/>
          <w:sz w:val="13"/>
        </w:rPr>
        <w:t>H </w:t>
      </w:r>
      <w:r>
        <w:rPr>
          <w:rFonts w:ascii="Arial"/>
          <w:b/>
          <w:color w:val="010101"/>
          <w:spacing w:val="34"/>
          <w:w w:val="170"/>
          <w:sz w:val="13"/>
        </w:rPr>
        <w:t> </w:t>
      </w:r>
      <w:r>
        <w:rPr>
          <w:rFonts w:ascii="Arial"/>
          <w:color w:val="010101"/>
          <w:w w:val="385"/>
          <w:sz w:val="13"/>
        </w:rPr>
        <w:t>-</w:t>
        <w:tab/>
      </w:r>
      <w:r>
        <w:rPr>
          <w:rFonts w:ascii="Arial"/>
          <w:b/>
          <w:color w:val="010101"/>
          <w:w w:val="170"/>
          <w:sz w:val="13"/>
        </w:rPr>
        <w:t>H</w:t>
      </w:r>
    </w:p>
    <w:p>
      <w:pPr>
        <w:pStyle w:val="BodyText"/>
        <w:rPr>
          <w:rFonts w:ascii="Arial"/>
          <w:b/>
          <w:sz w:val="11"/>
        </w:rPr>
      </w:pPr>
    </w:p>
    <w:p>
      <w:pPr>
        <w:pStyle w:val="BodyText"/>
        <w:spacing w:before="1"/>
        <w:ind w:left="144"/>
      </w:pPr>
      <w:r>
        <w:rPr>
          <w:color w:val="010101"/>
        </w:rPr>
        <w:t>19. $53.26.</w:t>
      </w:r>
    </w:p>
    <w:p>
      <w:pPr>
        <w:spacing w:line="290" w:lineRule="exact" w:before="56"/>
        <w:ind w:left="122" w:right="0" w:firstLine="0"/>
        <w:jc w:val="left"/>
        <w:rPr>
          <w:rFonts w:ascii="Arial" w:hAnsi="Arial"/>
          <w:i/>
          <w:sz w:val="19"/>
        </w:rPr>
      </w:pPr>
      <w:r>
        <w:rPr/>
        <w:pict>
          <v:line style="position:absolute;mso-position-horizontal-relative:page;mso-position-vertical-relative:paragraph;z-index:-705520" from="270.448700pt,16.786568pt" to="276.5503pt,16.786568pt" stroked="true" strokeweight=".897308pt" strokecolor="#000000">
            <w10:wrap type="none"/>
          </v:line>
        </w:pict>
      </w:r>
      <w:r>
        <w:rPr>
          <w:color w:val="010101"/>
          <w:w w:val="97"/>
          <w:sz w:val="21"/>
        </w:rPr>
        <w:t>20.</w:t>
      </w:r>
      <w:r>
        <w:rPr>
          <w:color w:val="010101"/>
          <w:spacing w:val="12"/>
          <w:sz w:val="21"/>
        </w:rPr>
        <w:t> </w:t>
      </w:r>
      <w:r>
        <w:rPr>
          <w:i/>
          <w:color w:val="010101"/>
          <w:w w:val="106"/>
          <w:sz w:val="21"/>
        </w:rPr>
        <w:t>p</w:t>
      </w:r>
      <w:r>
        <w:rPr>
          <w:i/>
          <w:color w:val="010101"/>
          <w:sz w:val="21"/>
        </w:rPr>
        <w:t> </w:t>
      </w:r>
      <w:r>
        <w:rPr>
          <w:i/>
          <w:color w:val="010101"/>
          <w:spacing w:val="13"/>
          <w:sz w:val="21"/>
        </w:rPr>
        <w:t> </w:t>
      </w:r>
      <w:r>
        <w:rPr>
          <w:color w:val="010101"/>
          <w:w w:val="89"/>
          <w:sz w:val="26"/>
        </w:rPr>
        <w:t>=</w:t>
      </w:r>
      <w:r>
        <w:rPr>
          <w:color w:val="010101"/>
          <w:sz w:val="26"/>
        </w:rPr>
        <w:t> </w:t>
      </w:r>
      <w:r>
        <w:rPr>
          <w:color w:val="010101"/>
          <w:spacing w:val="-33"/>
          <w:sz w:val="26"/>
        </w:rPr>
        <w:t> </w:t>
      </w:r>
      <w:r>
        <w:rPr>
          <w:color w:val="010101"/>
          <w:w w:val="99"/>
          <w:sz w:val="20"/>
        </w:rPr>
        <w:t>c</w:t>
      </w:r>
      <w:r>
        <w:rPr>
          <w:color w:val="010101"/>
          <w:w w:val="99"/>
          <w:sz w:val="20"/>
        </w:rPr>
        <w:t>(</w:t>
      </w:r>
      <w:r>
        <w:rPr>
          <w:color w:val="010101"/>
          <w:spacing w:val="-15"/>
          <w:w w:val="99"/>
          <w:sz w:val="20"/>
        </w:rPr>
        <w:t> </w:t>
      </w:r>
      <w:r>
        <w:rPr>
          <w:color w:val="010101"/>
          <w:w w:val="139"/>
          <w:sz w:val="20"/>
        </w:rPr>
        <w:t>l</w:t>
      </w:r>
      <w:r>
        <w:rPr>
          <w:color w:val="010101"/>
          <w:sz w:val="20"/>
        </w:rPr>
        <w:t> </w:t>
      </w:r>
      <w:r>
        <w:rPr>
          <w:color w:val="010101"/>
          <w:spacing w:val="-13"/>
          <w:sz w:val="20"/>
        </w:rPr>
        <w:t> </w:t>
      </w:r>
      <w:r>
        <w:rPr>
          <w:color w:val="010101"/>
          <w:w w:val="103"/>
          <w:sz w:val="29"/>
        </w:rPr>
        <w:t>+</w:t>
      </w:r>
      <w:r>
        <w:rPr>
          <w:color w:val="010101"/>
          <w:spacing w:val="1"/>
          <w:sz w:val="29"/>
        </w:rPr>
        <w:t> </w:t>
      </w:r>
      <w:r>
        <w:rPr>
          <w:color w:val="010101"/>
          <w:w w:val="91"/>
          <w:sz w:val="21"/>
        </w:rPr>
        <w:t>k</w:t>
      </w:r>
      <w:r>
        <w:rPr>
          <w:color w:val="010101"/>
          <w:spacing w:val="-23"/>
          <w:sz w:val="21"/>
        </w:rPr>
        <w:t> </w:t>
      </w:r>
      <w:r>
        <w:rPr>
          <w:color w:val="010101"/>
          <w:w w:val="110"/>
          <w:sz w:val="21"/>
        </w:rPr>
        <w:t>)</w:t>
      </w:r>
      <w:r>
        <w:rPr>
          <w:color w:val="010101"/>
          <w:w w:val="110"/>
          <w:sz w:val="21"/>
        </w:rPr>
        <w:t>R</w:t>
      </w:r>
      <w:r>
        <w:rPr>
          <w:color w:val="010101"/>
          <w:spacing w:val="-20"/>
          <w:w w:val="110"/>
          <w:sz w:val="21"/>
        </w:rPr>
        <w:t>!</w:t>
      </w:r>
      <w:r>
        <w:rPr>
          <w:color w:val="010101"/>
          <w:w w:val="68"/>
          <w:sz w:val="21"/>
        </w:rPr>
        <w:t>•&gt;</w:t>
      </w:r>
      <w:r>
        <w:rPr>
          <w:color w:val="010101"/>
          <w:sz w:val="21"/>
        </w:rPr>
        <w:t> </w:t>
      </w:r>
      <w:r>
        <w:rPr>
          <w:color w:val="010101"/>
          <w:spacing w:val="-8"/>
          <w:sz w:val="21"/>
        </w:rPr>
        <w:t> </w:t>
      </w:r>
      <w:r>
        <w:rPr>
          <w:color w:val="010101"/>
          <w:w w:val="100"/>
          <w:sz w:val="29"/>
        </w:rPr>
        <w:t>+</w:t>
      </w:r>
      <w:r>
        <w:rPr>
          <w:color w:val="010101"/>
          <w:spacing w:val="21"/>
          <w:sz w:val="29"/>
        </w:rPr>
        <w:t> </w:t>
      </w:r>
      <w:r>
        <w:rPr>
          <w:color w:val="010101"/>
          <w:spacing w:val="-39"/>
          <w:w w:val="115"/>
          <w:sz w:val="21"/>
        </w:rPr>
        <w:t>1</w:t>
      </w:r>
      <w:r>
        <w:rPr>
          <w:color w:val="010101"/>
          <w:w w:val="101"/>
          <w:sz w:val="21"/>
        </w:rPr>
        <w:t>000M</w:t>
      </w:r>
      <w:r>
        <w:rPr>
          <w:color w:val="010101"/>
          <w:spacing w:val="-15"/>
          <w:w w:val="101"/>
          <w:sz w:val="21"/>
        </w:rPr>
        <w:t>;</w:t>
      </w:r>
      <w:r>
        <w:rPr>
          <w:rFonts w:ascii="Arial" w:hAnsi="Arial"/>
          <w:color w:val="010101"/>
          <w:spacing w:val="3"/>
          <w:w w:val="112"/>
          <w:position w:val="10"/>
          <w:sz w:val="12"/>
        </w:rPr>
        <w:t>4</w:t>
      </w:r>
      <w:r>
        <w:rPr>
          <w:rFonts w:ascii="Arial" w:hAnsi="Arial"/>
          <w:color w:val="010101"/>
          <w:w w:val="51"/>
          <w:sz w:val="14"/>
        </w:rPr>
        <w:t>&gt;</w:t>
      </w:r>
      <w:r>
        <w:rPr>
          <w:rFonts w:ascii="Arial" w:hAnsi="Arial"/>
          <w:color w:val="010101"/>
          <w:sz w:val="14"/>
        </w:rPr>
        <w:t> </w:t>
      </w:r>
      <w:r>
        <w:rPr>
          <w:rFonts w:ascii="Arial" w:hAnsi="Arial"/>
          <w:color w:val="010101"/>
          <w:spacing w:val="16"/>
          <w:sz w:val="14"/>
        </w:rPr>
        <w:t> </w:t>
      </w:r>
      <w:r>
        <w:rPr>
          <w:color w:val="010101"/>
          <w:w w:val="100"/>
          <w:sz w:val="29"/>
        </w:rPr>
        <w:t>+</w:t>
      </w:r>
      <w:r>
        <w:rPr>
          <w:color w:val="010101"/>
          <w:spacing w:val="13"/>
          <w:sz w:val="29"/>
        </w:rPr>
        <w:t> </w:t>
      </w:r>
      <w:r>
        <w:rPr>
          <w:color w:val="010101"/>
          <w:w w:val="101"/>
          <w:sz w:val="21"/>
        </w:rPr>
        <w:t>500(65</w:t>
      </w:r>
      <w:r>
        <w:rPr>
          <w:color w:val="010101"/>
          <w:sz w:val="21"/>
        </w:rPr>
        <w:t> </w:t>
      </w:r>
      <w:r>
        <w:rPr>
          <w:color w:val="010101"/>
          <w:spacing w:val="-24"/>
          <w:sz w:val="21"/>
        </w:rPr>
        <w:t> </w:t>
      </w:r>
      <w:r>
        <w:rPr>
          <w:color w:val="010101"/>
          <w:w w:val="267"/>
          <w:sz w:val="21"/>
        </w:rPr>
        <w:t>-</w:t>
      </w:r>
      <w:r>
        <w:rPr>
          <w:color w:val="010101"/>
          <w:spacing w:val="-11"/>
          <w:sz w:val="21"/>
        </w:rPr>
        <w:t> </w:t>
      </w:r>
      <w:r>
        <w:rPr>
          <w:rFonts w:ascii="Arial" w:hAnsi="Arial"/>
          <w:i/>
          <w:color w:val="010101"/>
          <w:w w:val="96"/>
          <w:sz w:val="19"/>
        </w:rPr>
        <w:t>x</w:t>
      </w:r>
      <w:r>
        <w:rPr>
          <w:rFonts w:ascii="Arial" w:hAnsi="Arial"/>
          <w:i/>
          <w:color w:val="010101"/>
          <w:spacing w:val="-19"/>
          <w:sz w:val="19"/>
        </w:rPr>
        <w:t> </w:t>
      </w:r>
      <w:r>
        <w:rPr>
          <w:rFonts w:ascii="Arial" w:hAnsi="Arial"/>
          <w:i/>
          <w:color w:val="010101"/>
          <w:w w:val="135"/>
          <w:sz w:val="19"/>
        </w:rPr>
        <w:t>)</w:t>
      </w:r>
      <w:r>
        <w:rPr>
          <w:rFonts w:ascii="Arial" w:hAnsi="Arial"/>
          <w:i/>
          <w:color w:val="010101"/>
          <w:spacing w:val="32"/>
          <w:w w:val="135"/>
          <w:sz w:val="19"/>
        </w:rPr>
        <w:t>D</w:t>
      </w:r>
      <w:r>
        <w:rPr>
          <w:rFonts w:ascii="Arial" w:hAnsi="Arial"/>
          <w:i/>
          <w:color w:val="010101"/>
          <w:spacing w:val="-15"/>
          <w:w w:val="187"/>
          <w:sz w:val="19"/>
        </w:rPr>
        <w:t>¡</w:t>
      </w:r>
      <w:r>
        <w:rPr>
          <w:rFonts w:ascii="Arial" w:hAnsi="Arial"/>
          <w:i/>
          <w:color w:val="010101"/>
          <w:w w:val="37"/>
          <w:sz w:val="19"/>
        </w:rPr>
        <w:t>&gt;</w:t>
      </w:r>
    </w:p>
    <w:p>
      <w:pPr>
        <w:spacing w:line="313" w:lineRule="exact" w:before="0"/>
        <w:ind w:left="1695" w:right="0" w:firstLine="0"/>
        <w:jc w:val="left"/>
        <w:rPr>
          <w:sz w:val="21"/>
        </w:rPr>
      </w:pPr>
      <w:r>
        <w:rPr>
          <w:color w:val="010101"/>
          <w:w w:val="95"/>
          <w:sz w:val="21"/>
        </w:rPr>
        <w:t>N!'°&gt; </w:t>
      </w:r>
      <w:r>
        <w:rPr>
          <w:color w:val="010101"/>
          <w:w w:val="255"/>
          <w:sz w:val="21"/>
        </w:rPr>
        <w:t>-</w:t>
      </w:r>
      <w:r>
        <w:rPr>
          <w:color w:val="010101"/>
          <w:spacing w:val="-96"/>
          <w:w w:val="255"/>
          <w:sz w:val="21"/>
        </w:rPr>
        <w:t> </w:t>
      </w:r>
      <w:r>
        <w:rPr>
          <w:color w:val="010101"/>
          <w:w w:val="110"/>
          <w:sz w:val="21"/>
        </w:rPr>
        <w:t>N¡¡l </w:t>
      </w:r>
      <w:r>
        <w:rPr>
          <w:color w:val="010101"/>
          <w:w w:val="255"/>
          <w:sz w:val="21"/>
        </w:rPr>
        <w:t>-</w:t>
      </w:r>
      <w:r>
        <w:rPr>
          <w:color w:val="010101"/>
          <w:spacing w:val="-85"/>
          <w:w w:val="255"/>
          <w:sz w:val="21"/>
        </w:rPr>
        <w:t> </w:t>
      </w:r>
      <w:r>
        <w:rPr>
          <w:color w:val="010101"/>
          <w:w w:val="110"/>
          <w:sz w:val="20"/>
        </w:rPr>
        <w:t>(1 </w:t>
      </w:r>
      <w:r>
        <w:rPr>
          <w:rFonts w:ascii="Arial" w:hAnsi="Arial"/>
          <w:color w:val="010101"/>
          <w:w w:val="110"/>
          <w:sz w:val="31"/>
        </w:rPr>
        <w:t>+</w:t>
      </w:r>
      <w:r>
        <w:rPr>
          <w:rFonts w:ascii="Arial" w:hAnsi="Arial"/>
          <w:color w:val="010101"/>
          <w:spacing w:val="-51"/>
          <w:w w:val="110"/>
          <w:sz w:val="31"/>
        </w:rPr>
        <w:t> </w:t>
      </w:r>
      <w:r>
        <w:rPr>
          <w:color w:val="010101"/>
          <w:w w:val="110"/>
          <w:sz w:val="21"/>
        </w:rPr>
        <w:t>k )R </w:t>
      </w:r>
      <w:r>
        <w:rPr>
          <w:color w:val="010101"/>
          <w:w w:val="95"/>
          <w:sz w:val="21"/>
        </w:rPr>
        <w:t>•&gt;</w:t>
      </w:r>
    </w:p>
    <w:p>
      <w:pPr>
        <w:spacing w:after="0" w:line="313" w:lineRule="exact"/>
        <w:jc w:val="left"/>
        <w:rPr>
          <w:sz w:val="21"/>
        </w:rPr>
        <w:sectPr>
          <w:type w:val="continuous"/>
          <w:pgSz w:w="7200" w:h="11340"/>
          <w:pgMar w:top="1100" w:bottom="0" w:left="620" w:right="560"/>
        </w:sectPr>
      </w:pPr>
    </w:p>
    <w:p>
      <w:pPr>
        <w:spacing w:line="159" w:lineRule="exact" w:before="128"/>
        <w:ind w:left="119" w:right="-18" w:firstLine="0"/>
        <w:jc w:val="left"/>
        <w:rPr>
          <w:rFonts w:ascii="Arial"/>
          <w:i/>
          <w:sz w:val="18"/>
        </w:rPr>
      </w:pPr>
      <w:r>
        <w:rPr>
          <w:rFonts w:ascii="Arial"/>
          <w:color w:val="010101"/>
          <w:sz w:val="20"/>
        </w:rPr>
        <w:t>23  </w:t>
      </w:r>
      <w:r>
        <w:rPr>
          <w:rFonts w:ascii="Arial"/>
          <w:color w:val="010101"/>
          <w:w w:val="120"/>
          <w:sz w:val="11"/>
        </w:rPr>
        <w:t>q(w)  </w:t>
      </w:r>
      <w:r>
        <w:rPr>
          <w:rFonts w:ascii="Arial"/>
          <w:color w:val="010101"/>
          <w:w w:val="85"/>
          <w:sz w:val="23"/>
        </w:rPr>
        <w:t>==</w:t>
      </w:r>
      <w:r>
        <w:rPr>
          <w:rFonts w:ascii="Arial"/>
          <w:color w:val="010101"/>
          <w:spacing w:val="-3"/>
          <w:w w:val="85"/>
          <w:sz w:val="23"/>
        </w:rPr>
        <w:t> </w:t>
      </w:r>
      <w:r>
        <w:rPr>
          <w:rFonts w:ascii="Arial"/>
          <w:i/>
          <w:color w:val="010101"/>
          <w:sz w:val="18"/>
        </w:rPr>
        <w:t>m</w:t>
      </w:r>
    </w:p>
    <w:p>
      <w:pPr>
        <w:spacing w:line="203" w:lineRule="exact" w:before="46"/>
        <w:ind w:left="821" w:right="-15" w:firstLine="0"/>
        <w:jc w:val="left"/>
        <w:rPr>
          <w:sz w:val="20"/>
        </w:rPr>
      </w:pPr>
      <w:r>
        <w:rPr/>
        <w:br w:type="column"/>
      </w:r>
      <w:r>
        <w:rPr>
          <w:color w:val="010101"/>
          <w:sz w:val="13"/>
        </w:rPr>
        <w:t>l. </w:t>
      </w:r>
      <w:r>
        <w:rPr>
          <w:color w:val="010101"/>
          <w:sz w:val="20"/>
        </w:rPr>
        <w:t>(cl)](l</w:t>
      </w:r>
    </w:p>
    <w:p>
      <w:pPr>
        <w:pStyle w:val="ListParagraph"/>
        <w:numPr>
          <w:ilvl w:val="0"/>
          <w:numId w:val="161"/>
        </w:numPr>
        <w:tabs>
          <w:tab w:pos="585" w:val="left" w:leader="none"/>
        </w:tabs>
        <w:spacing w:line="38" w:lineRule="exact" w:before="0" w:after="0"/>
        <w:ind w:left="584" w:right="0" w:hanging="610"/>
        <w:jc w:val="left"/>
        <w:rPr>
          <w:rFonts w:ascii="Arial"/>
          <w:i/>
          <w:sz w:val="13"/>
        </w:rPr>
      </w:pPr>
      <w:r>
        <w:rPr/>
        <w:pict>
          <v:shape style="position:absolute;margin-left:111.0867pt;margin-top:-5.450611pt;width:7.2pt;height:10pt;mso-position-horizontal-relative:page;mso-position-vertical-relative:paragraph;z-index:-705352" type="#_x0000_t202" filled="false" stroked="false">
            <v:textbox inset="0,0,0,0">
              <w:txbxContent>
                <w:p>
                  <w:pPr>
                    <w:pStyle w:val="BodyText"/>
                    <w:spacing w:line="200" w:lineRule="exact"/>
                    <w:ind w:right="-17"/>
                  </w:pPr>
                  <w:r>
                    <w:rPr>
                      <w:color w:val="010101"/>
                      <w:w w:val="115"/>
                    </w:rPr>
                    <w:t>[l</w:t>
                  </w:r>
                </w:p>
              </w:txbxContent>
            </v:textbox>
            <w10:wrap type="none"/>
          </v:shape>
        </w:pict>
      </w:r>
      <w:r>
        <w:rPr>
          <w:rFonts w:ascii="Arial"/>
          <w:color w:val="010101"/>
          <w:w w:val="475"/>
          <w:sz w:val="10"/>
        </w:rPr>
        <w:t>-</w:t>
      </w:r>
      <w:r>
        <w:rPr>
          <w:rFonts w:ascii="Arial"/>
          <w:color w:val="010101"/>
          <w:spacing w:val="-86"/>
          <w:w w:val="475"/>
          <w:sz w:val="10"/>
        </w:rPr>
        <w:t> </w:t>
      </w:r>
      <w:r>
        <w:rPr>
          <w:rFonts w:ascii="Arial"/>
          <w:i/>
          <w:color w:val="010101"/>
          <w:w w:val="155"/>
          <w:sz w:val="13"/>
        </w:rPr>
        <w:t>'lqz</w:t>
      </w:r>
    </w:p>
    <w:p>
      <w:pPr>
        <w:pStyle w:val="BodyText"/>
        <w:spacing w:before="7"/>
        <w:rPr>
          <w:rFonts w:ascii="Arial"/>
          <w:i/>
          <w:sz w:val="9"/>
        </w:rPr>
      </w:pPr>
      <w:r>
        <w:rPr/>
        <w:br w:type="column"/>
      </w:r>
      <w:r>
        <w:rPr>
          <w:rFonts w:ascii="Arial"/>
          <w:i/>
          <w:sz w:val="9"/>
        </w:rPr>
      </w:r>
    </w:p>
    <w:p>
      <w:pPr>
        <w:spacing w:line="130" w:lineRule="exact" w:before="1"/>
        <w:ind w:left="302" w:right="0" w:firstLine="0"/>
        <w:jc w:val="left"/>
        <w:rPr>
          <w:sz w:val="12"/>
        </w:rPr>
      </w:pPr>
      <w:r>
        <w:rPr>
          <w:color w:val="010101"/>
          <w:w w:val="130"/>
          <w:sz w:val="13"/>
        </w:rPr>
        <w:t>.l.  </w:t>
      </w:r>
      <w:r>
        <w:rPr>
          <w:color w:val="010101"/>
          <w:w w:val="145"/>
          <w:sz w:val="12"/>
        </w:rPr>
        <w:t>'(r)]</w:t>
      </w:r>
    </w:p>
    <w:p>
      <w:pPr>
        <w:spacing w:line="46" w:lineRule="exact" w:before="0"/>
        <w:ind w:left="69" w:right="0" w:firstLine="0"/>
        <w:jc w:val="left"/>
        <w:rPr>
          <w:rFonts w:ascii="Arial" w:hAnsi="Arial"/>
          <w:i/>
          <w:sz w:val="13"/>
        </w:rPr>
      </w:pPr>
      <w:r>
        <w:rPr>
          <w:rFonts w:ascii="Arial" w:hAnsi="Arial"/>
          <w:color w:val="010101"/>
          <w:w w:val="380"/>
          <w:sz w:val="13"/>
        </w:rPr>
        <w:t>-</w:t>
      </w:r>
      <w:r>
        <w:rPr>
          <w:rFonts w:ascii="Arial" w:hAnsi="Arial"/>
          <w:color w:val="010101"/>
          <w:spacing w:val="-114"/>
          <w:w w:val="380"/>
          <w:sz w:val="13"/>
        </w:rPr>
        <w:t> </w:t>
      </w:r>
      <w:r>
        <w:rPr>
          <w:rFonts w:ascii="Arial" w:hAnsi="Arial"/>
          <w:i/>
          <w:color w:val="010101"/>
          <w:w w:val="115"/>
          <w:sz w:val="13"/>
        </w:rPr>
        <w:t>,¡q:;i</w:t>
      </w:r>
    </w:p>
    <w:p>
      <w:pPr>
        <w:spacing w:after="0" w:line="46" w:lineRule="exact"/>
        <w:jc w:val="left"/>
        <w:rPr>
          <w:rFonts w:ascii="Arial" w:hAnsi="Arial"/>
          <w:sz w:val="13"/>
        </w:rPr>
        <w:sectPr>
          <w:type w:val="continuous"/>
          <w:pgSz w:w="7200" w:h="11340"/>
          <w:pgMar w:top="1100" w:bottom="0" w:left="620" w:right="560"/>
          <w:cols w:num="3" w:equalWidth="0">
            <w:col w:w="1215" w:space="40"/>
            <w:col w:w="1394" w:space="40"/>
            <w:col w:w="3331"/>
          </w:cols>
        </w:sectPr>
      </w:pPr>
    </w:p>
    <w:p>
      <w:pPr>
        <w:tabs>
          <w:tab w:pos="926" w:val="left" w:leader="none"/>
          <w:tab w:pos="1210" w:val="left" w:leader="none"/>
          <w:tab w:pos="1497" w:val="left" w:leader="none"/>
          <w:tab w:pos="2900" w:val="left" w:leader="none"/>
        </w:tabs>
        <w:spacing w:line="317" w:lineRule="exact" w:before="0"/>
        <w:ind w:left="323" w:right="0" w:firstLine="0"/>
        <w:jc w:val="left"/>
        <w:rPr>
          <w:rFonts w:ascii="Arial" w:hAnsi="Arial"/>
          <w:sz w:val="24"/>
        </w:rPr>
      </w:pPr>
      <w:r>
        <w:rPr/>
        <w:pict>
          <v:line style="position:absolute;mso-position-horizontal-relative:page;mso-position-vertical-relative:paragraph;z-index:-705496" from="122.931198pt,4.560078pt" to="193.280198pt,4.560078pt" stroked="true" strokeweight=".897308pt" strokecolor="#000000">
            <w10:wrap type="none"/>
          </v:line>
        </w:pict>
      </w:r>
      <w:r>
        <w:rPr>
          <w:color w:val="010101"/>
          <w:w w:val="81"/>
          <w:sz w:val="14"/>
        </w:rPr>
        <w:t>•</w:t>
      </w:r>
      <w:r>
        <w:rPr>
          <w:color w:val="010101"/>
          <w:sz w:val="14"/>
        </w:rPr>
        <w:t>   </w:t>
      </w:r>
      <w:r>
        <w:rPr>
          <w:color w:val="010101"/>
          <w:spacing w:val="6"/>
          <w:sz w:val="14"/>
        </w:rPr>
        <w:t> </w:t>
      </w:r>
      <w:r>
        <w:rPr>
          <w:i/>
          <w:color w:val="010101"/>
          <w:w w:val="112"/>
          <w:sz w:val="14"/>
        </w:rPr>
        <w:t>z</w:t>
      </w:r>
      <w:r>
        <w:rPr>
          <w:i/>
          <w:color w:val="010101"/>
          <w:sz w:val="14"/>
        </w:rPr>
        <w:tab/>
      </w:r>
      <w:r>
        <w:rPr>
          <w:color w:val="010101"/>
          <w:w w:val="70"/>
          <w:sz w:val="14"/>
        </w:rPr>
        <w:t>•</w:t>
      </w:r>
      <w:r>
        <w:rPr>
          <w:color w:val="010101"/>
          <w:sz w:val="14"/>
        </w:rPr>
        <w:tab/>
      </w:r>
      <w:r>
        <w:rPr>
          <w:i/>
          <w:color w:val="010101"/>
          <w:w w:val="100"/>
          <w:sz w:val="14"/>
        </w:rPr>
        <w:t>z</w:t>
      </w:r>
      <w:r>
        <w:rPr>
          <w:i/>
          <w:color w:val="010101"/>
          <w:sz w:val="14"/>
        </w:rPr>
        <w:tab/>
      </w:r>
      <w:r>
        <w:rPr>
          <w:color w:val="010101"/>
          <w:w w:val="121"/>
          <w:sz w:val="20"/>
        </w:rPr>
        <w:t>1</w:t>
      </w:r>
      <w:r>
        <w:rPr>
          <w:color w:val="010101"/>
          <w:spacing w:val="-6"/>
          <w:sz w:val="20"/>
        </w:rPr>
        <w:t> </w:t>
      </w:r>
      <w:r>
        <w:rPr>
          <w:rFonts w:ascii="Arial" w:hAnsi="Arial"/>
          <w:color w:val="010101"/>
          <w:spacing w:val="-63"/>
          <w:w w:val="105"/>
          <w:sz w:val="31"/>
        </w:rPr>
        <w:t>+</w:t>
      </w:r>
      <w:r>
        <w:rPr>
          <w:rFonts w:ascii="Arial" w:hAnsi="Arial"/>
          <w:color w:val="010101"/>
          <w:spacing w:val="-226"/>
          <w:w w:val="299"/>
          <w:sz w:val="24"/>
        </w:rPr>
        <w:t>!</w:t>
      </w:r>
      <w:r>
        <w:rPr>
          <w:rFonts w:ascii="Arial" w:hAnsi="Arial"/>
          <w:color w:val="010101"/>
          <w:spacing w:val="-89"/>
          <w:w w:val="86"/>
          <w:sz w:val="24"/>
        </w:rPr>
        <w:t>m</w:t>
      </w:r>
      <w:r>
        <w:rPr>
          <w:rFonts w:ascii="Arial" w:hAnsi="Arial"/>
          <w:color w:val="010101"/>
          <w:spacing w:val="-164"/>
          <w:w w:val="244"/>
          <w:sz w:val="24"/>
        </w:rPr>
        <w:t>!</w:t>
      </w:r>
      <w:r>
        <w:rPr>
          <w:rFonts w:ascii="Arial" w:hAnsi="Arial"/>
          <w:color w:val="010101"/>
          <w:spacing w:val="-27"/>
          <w:w w:val="142"/>
          <w:sz w:val="24"/>
        </w:rPr>
        <w:t>•</w:t>
      </w:r>
      <w:r>
        <w:rPr>
          <w:rFonts w:ascii="Arial" w:hAnsi="Arial"/>
          <w:color w:val="010101"/>
          <w:w w:val="60"/>
          <w:sz w:val="24"/>
        </w:rPr>
        <w:t>)</w:t>
      </w:r>
      <w:r>
        <w:rPr>
          <w:rFonts w:ascii="Arial" w:hAnsi="Arial"/>
          <w:color w:val="010101"/>
          <w:spacing w:val="28"/>
          <w:sz w:val="24"/>
        </w:rPr>
        <w:t> </w:t>
      </w:r>
      <w:r>
        <w:rPr>
          <w:rFonts w:ascii="Arial" w:hAnsi="Arial"/>
          <w:color w:val="010101"/>
          <w:w w:val="217"/>
          <w:sz w:val="24"/>
        </w:rPr>
        <w:t>-</w:t>
      </w:r>
      <w:r>
        <w:rPr>
          <w:rFonts w:ascii="Arial" w:hAnsi="Arial"/>
          <w:color w:val="010101"/>
          <w:sz w:val="24"/>
        </w:rPr>
        <w:tab/>
      </w:r>
      <w:r>
        <w:rPr>
          <w:rFonts w:ascii="Arial" w:hAnsi="Arial"/>
          <w:color w:val="010101"/>
          <w:spacing w:val="-65"/>
          <w:w w:val="77"/>
          <w:sz w:val="24"/>
        </w:rPr>
        <w:t>q</w:t>
      </w:r>
      <w:r>
        <w:rPr>
          <w:rFonts w:ascii="Arial" w:hAnsi="Arial"/>
          <w:color w:val="010101"/>
          <w:spacing w:val="-132"/>
          <w:w w:val="251"/>
          <w:sz w:val="24"/>
        </w:rPr>
        <w:t>;</w:t>
      </w:r>
      <w:r>
        <w:rPr>
          <w:rFonts w:ascii="Arial" w:hAnsi="Arial"/>
          <w:color w:val="010101"/>
          <w:w w:val="56"/>
          <w:sz w:val="24"/>
        </w:rPr>
        <w:t>&lt;r&gt;</w:t>
      </w:r>
      <w:r>
        <w:rPr>
          <w:rFonts w:ascii="Arial" w:hAnsi="Arial"/>
          <w:color w:val="010101"/>
          <w:spacing w:val="-60"/>
          <w:w w:val="56"/>
          <w:sz w:val="24"/>
        </w:rPr>
        <w:t>m</w:t>
      </w:r>
      <w:r>
        <w:rPr>
          <w:rFonts w:ascii="Arial" w:hAnsi="Arial"/>
          <w:color w:val="010101"/>
          <w:spacing w:val="-147"/>
          <w:w w:val="237"/>
          <w:sz w:val="24"/>
        </w:rPr>
        <w:t>;</w:t>
      </w:r>
      <w:r>
        <w:rPr>
          <w:rFonts w:ascii="Arial" w:hAnsi="Arial"/>
          <w:color w:val="010101"/>
          <w:spacing w:val="-27"/>
          <w:w w:val="142"/>
          <w:sz w:val="24"/>
        </w:rPr>
        <w:t>•</w:t>
      </w:r>
      <w:r>
        <w:rPr>
          <w:rFonts w:ascii="Arial" w:hAnsi="Arial"/>
          <w:color w:val="010101"/>
          <w:w w:val="26"/>
          <w:sz w:val="24"/>
        </w:rPr>
        <w:t>&gt;</w:t>
      </w:r>
    </w:p>
    <w:p>
      <w:pPr>
        <w:spacing w:after="0" w:line="317" w:lineRule="exact"/>
        <w:jc w:val="left"/>
        <w:rPr>
          <w:rFonts w:ascii="Arial" w:hAnsi="Arial"/>
          <w:sz w:val="24"/>
        </w:rPr>
        <w:sectPr>
          <w:type w:val="continuous"/>
          <w:pgSz w:w="7200" w:h="11340"/>
          <w:pgMar w:top="1100" w:bottom="0" w:left="620" w:right="560"/>
        </w:sectPr>
      </w:pPr>
    </w:p>
    <w:p>
      <w:pPr>
        <w:tabs>
          <w:tab w:pos="2595" w:val="left" w:leader="none"/>
          <w:tab w:pos="5893" w:val="right" w:leader="none"/>
        </w:tabs>
        <w:spacing w:before="58"/>
        <w:ind w:left="115" w:right="0" w:firstLine="0"/>
        <w:jc w:val="left"/>
        <w:rPr>
          <w:rFonts w:ascii="Arial"/>
          <w:sz w:val="19"/>
        </w:rPr>
      </w:pPr>
      <w:r>
        <w:rPr>
          <w:w w:val="105"/>
          <w:position w:val="1"/>
          <w:sz w:val="16"/>
        </w:rPr>
        <w:t>CH.  </w:t>
      </w:r>
      <w:r>
        <w:rPr>
          <w:spacing w:val="1"/>
          <w:w w:val="105"/>
          <w:position w:val="1"/>
          <w:sz w:val="16"/>
        </w:rPr>
        <w:t> </w:t>
      </w:r>
      <w:r>
        <w:rPr>
          <w:spacing w:val="-17"/>
          <w:w w:val="105"/>
          <w:position w:val="1"/>
          <w:sz w:val="19"/>
        </w:rPr>
        <w:t>15]</w:t>
        <w:tab/>
      </w:r>
      <w:r>
        <w:rPr>
          <w:rFonts w:ascii="Courier New"/>
          <w:b/>
          <w:w w:val="105"/>
          <w:sz w:val="17"/>
        </w:rPr>
        <w:t>ANSWJDBS</w:t>
      </w:r>
      <w:r>
        <w:rPr>
          <w:rFonts w:ascii="Arial"/>
          <w:w w:val="105"/>
          <w:sz w:val="19"/>
        </w:rPr>
        <w:tab/>
        <w:t>371</w:t>
      </w:r>
    </w:p>
    <w:p>
      <w:pPr>
        <w:pStyle w:val="BodyText"/>
        <w:rPr>
          <w:rFonts w:ascii="Arial"/>
          <w:sz w:val="15"/>
        </w:rPr>
      </w:pPr>
      <w:r>
        <w:rPr/>
        <w:drawing>
          <wp:anchor distT="0" distB="0" distL="0" distR="0" allowOverlap="1" layoutInCell="1" locked="0" behindDoc="0" simplePos="0" relativeHeight="30760">
            <wp:simplePos x="0" y="0"/>
            <wp:positionH relativeFrom="page">
              <wp:posOffset>694944</wp:posOffset>
            </wp:positionH>
            <wp:positionV relativeFrom="paragraph">
              <wp:posOffset>134461</wp:posOffset>
            </wp:positionV>
            <wp:extent cx="2011679" cy="338327"/>
            <wp:effectExtent l="0" t="0" r="0" b="0"/>
            <wp:wrapTopAndBottom/>
            <wp:docPr id="887" name="image454.png" descr=""/>
            <wp:cNvGraphicFramePr>
              <a:graphicFrameLocks noChangeAspect="1"/>
            </wp:cNvGraphicFramePr>
            <a:graphic>
              <a:graphicData uri="http://schemas.openxmlformats.org/drawingml/2006/picture">
                <pic:pic>
                  <pic:nvPicPr>
                    <pic:cNvPr id="888" name="image454.png"/>
                    <pic:cNvPicPr/>
                  </pic:nvPicPr>
                  <pic:blipFill>
                    <a:blip r:embed="rId458" cstate="print"/>
                    <a:stretch>
                      <a:fillRect/>
                    </a:stretch>
                  </pic:blipFill>
                  <pic:spPr>
                    <a:xfrm>
                      <a:off x="0" y="0"/>
                      <a:ext cx="2011679" cy="338327"/>
                    </a:xfrm>
                    <a:prstGeom prst="rect">
                      <a:avLst/>
                    </a:prstGeom>
                  </pic:spPr>
                </pic:pic>
              </a:graphicData>
            </a:graphic>
          </wp:anchor>
        </w:drawing>
      </w:r>
    </w:p>
    <w:p>
      <w:pPr>
        <w:spacing w:before="104"/>
        <w:ind w:left="108" w:right="0" w:firstLine="0"/>
        <w:jc w:val="left"/>
        <w:rPr>
          <w:sz w:val="19"/>
        </w:rPr>
      </w:pPr>
      <w:r>
        <w:rPr>
          <w:w w:val="110"/>
          <w:sz w:val="19"/>
        </w:rPr>
        <w:t>24.   </w:t>
      </w:r>
      <w:r>
        <w:rPr>
          <w:w w:val="110"/>
          <w:sz w:val="20"/>
        </w:rPr>
        <w:t>(a)  </w:t>
      </w:r>
      <w:r>
        <w:rPr>
          <w:w w:val="110"/>
          <w:sz w:val="19"/>
        </w:rPr>
        <w:t>859, 732, 40</w:t>
      </w:r>
    </w:p>
    <w:p>
      <w:pPr>
        <w:spacing w:line="308" w:lineRule="exact" w:before="95"/>
        <w:ind w:left="446" w:right="0" w:firstLine="0"/>
        <w:jc w:val="left"/>
        <w:rPr>
          <w:sz w:val="21"/>
        </w:rPr>
      </w:pPr>
      <w:r>
        <w:rPr>
          <w:w w:val="105"/>
          <w:position w:val="-12"/>
          <w:sz w:val="21"/>
        </w:rPr>
        <w:t>(   )  </w:t>
      </w:r>
      <w:r>
        <w:rPr>
          <w:w w:val="105"/>
          <w:sz w:val="21"/>
        </w:rPr>
        <w:t>1</w:t>
      </w:r>
      <w:r>
        <w:rPr>
          <w:w w:val="105"/>
          <w:sz w:val="21"/>
          <w:u w:val="thick"/>
        </w:rPr>
        <w:t>,5</w:t>
      </w:r>
      <w:r>
        <w:rPr>
          <w:w w:val="105"/>
          <w:sz w:val="21"/>
        </w:rPr>
        <w:t>91</w:t>
      </w:r>
    </w:p>
    <w:p>
      <w:pPr>
        <w:spacing w:line="178" w:lineRule="exact" w:before="0"/>
        <w:ind w:left="98" w:right="4217" w:firstLine="0"/>
        <w:jc w:val="center"/>
        <w:rPr>
          <w:sz w:val="21"/>
        </w:rPr>
      </w:pPr>
      <w:r>
        <w:rPr>
          <w:w w:val="105"/>
          <w:sz w:val="21"/>
        </w:rPr>
        <w:t>b </w:t>
      </w:r>
      <w:r>
        <w:rPr>
          <w:spacing w:val="50"/>
          <w:w w:val="105"/>
          <w:sz w:val="21"/>
        </w:rPr>
        <w:t> </w:t>
      </w:r>
      <w:r>
        <w:rPr>
          <w:spacing w:val="-11"/>
          <w:w w:val="105"/>
          <w:sz w:val="21"/>
        </w:rPr>
        <w:t>10,000</w:t>
      </w:r>
    </w:p>
    <w:p>
      <w:pPr>
        <w:pStyle w:val="BodyText"/>
        <w:spacing w:before="10"/>
        <w:rPr>
          <w:sz w:val="19"/>
        </w:rPr>
      </w:pPr>
    </w:p>
    <w:p>
      <w:pPr>
        <w:tabs>
          <w:tab w:pos="1127" w:val="left" w:leader="none"/>
          <w:tab w:pos="1872" w:val="left" w:leader="none"/>
        </w:tabs>
        <w:spacing w:line="34" w:lineRule="exact" w:before="73"/>
        <w:ind w:left="464" w:right="0" w:firstLine="0"/>
        <w:jc w:val="left"/>
        <w:rPr>
          <w:sz w:val="21"/>
        </w:rPr>
      </w:pPr>
      <w:r>
        <w:rPr>
          <w:sz w:val="21"/>
        </w:rPr>
        <w:t>(e)</w:t>
      </w:r>
      <w:r>
        <w:rPr>
          <w:spacing w:val="10"/>
          <w:sz w:val="21"/>
        </w:rPr>
        <w:t> </w:t>
      </w:r>
      <w:r>
        <w:rPr>
          <w:rFonts w:ascii="Arial"/>
          <w:position w:val="-11"/>
          <w:sz w:val="20"/>
        </w:rPr>
        <w:t>8</w:t>
        <w:tab/>
        <w:t>4</w:t>
      </w:r>
      <w:r>
        <w:rPr>
          <w:rFonts w:ascii="Arial"/>
          <w:spacing w:val="-1"/>
          <w:position w:val="-11"/>
          <w:sz w:val="20"/>
        </w:rPr>
        <w:t> </w:t>
      </w:r>
      <w:r>
        <w:rPr>
          <w:sz w:val="21"/>
        </w:rPr>
        <w:t>or</w:t>
      </w:r>
      <w:r>
        <w:rPr>
          <w:spacing w:val="2"/>
          <w:sz w:val="21"/>
        </w:rPr>
        <w:t> </w:t>
      </w:r>
      <w:r>
        <w:rPr>
          <w:rFonts w:ascii="Arial"/>
          <w:position w:val="-12"/>
          <w:sz w:val="20"/>
        </w:rPr>
        <w:t>9</w:t>
        <w:tab/>
        <w:t>7 </w:t>
      </w:r>
      <w:r>
        <w:rPr>
          <w:sz w:val="21"/>
        </w:rPr>
        <w:t>depending  on formula</w:t>
      </w:r>
      <w:r>
        <w:rPr>
          <w:spacing w:val="4"/>
          <w:sz w:val="21"/>
        </w:rPr>
        <w:t> </w:t>
      </w:r>
      <w:r>
        <w:rPr>
          <w:sz w:val="21"/>
        </w:rPr>
        <w:t>used</w:t>
      </w:r>
    </w:p>
    <w:p>
      <w:pPr>
        <w:pStyle w:val="BodyText"/>
        <w:spacing w:line="204" w:lineRule="exact"/>
        <w:ind w:left="1634"/>
        <w:rPr>
          <w:rFonts w:ascii="Arial"/>
        </w:rPr>
      </w:pPr>
      <w:r>
        <w:rPr/>
        <w:pict>
          <v:line style="position:absolute;mso-position-horizontal-relative:page;mso-position-vertical-relative:paragraph;z-index:30808" from="73.440002pt,11.073147pt" to="95.580002pt,11.073147pt" stroked="true" strokeweight="5.94pt" strokecolor="#000000">
            <w10:wrap type="none"/>
          </v:line>
        </w:pict>
      </w:r>
      <w:r>
        <w:rPr/>
        <w:pict>
          <v:line style="position:absolute;mso-position-horizontal-relative:page;mso-position-vertical-relative:paragraph;z-index:30832" from="110.339996pt,11.253147pt" to="131.939996pt,11.253147pt" stroked="true" strokeweight="6.3pt" strokecolor="#000000">
            <w10:wrap type="none"/>
          </v:line>
        </w:pict>
      </w:r>
      <w:r>
        <w:rPr>
          <w:rFonts w:ascii="Arial"/>
          <w:w w:val="600"/>
        </w:rPr>
        <w:t>:</w:t>
      </w:r>
    </w:p>
    <w:p>
      <w:pPr>
        <w:pStyle w:val="BodyText"/>
        <w:rPr>
          <w:rFonts w:ascii="Arial"/>
          <w:sz w:val="18"/>
        </w:rPr>
      </w:pPr>
    </w:p>
    <w:p>
      <w:pPr>
        <w:pStyle w:val="BodyText"/>
        <w:spacing w:line="211" w:lineRule="exact" w:before="75"/>
        <w:ind w:left="439"/>
      </w:pPr>
      <w:r>
        <w:rPr>
          <w:w w:val="115"/>
        </w:rPr>
        <w:t>(d)  </w:t>
      </w:r>
      <w:r>
        <w:rPr>
          <w:w w:val="115"/>
          <w:u w:val="single"/>
        </w:rPr>
        <w:t>732</w:t>
      </w:r>
    </w:p>
    <w:p>
      <w:pPr>
        <w:spacing w:line="223" w:lineRule="exact" w:before="0"/>
        <w:ind w:left="788" w:right="0" w:firstLine="0"/>
        <w:jc w:val="left"/>
        <w:rPr>
          <w:sz w:val="21"/>
        </w:rPr>
      </w:pPr>
      <w:r>
        <w:rPr>
          <w:sz w:val="21"/>
        </w:rPr>
        <w:t>9,080</w:t>
      </w:r>
    </w:p>
    <w:p>
      <w:pPr>
        <w:pStyle w:val="BodyText"/>
        <w:spacing w:before="112"/>
        <w:ind w:left="486"/>
        <w:rPr>
          <w:rFonts w:ascii="Arial"/>
        </w:rPr>
      </w:pPr>
      <w:r>
        <w:rPr/>
        <w:t>(e)  </w:t>
      </w:r>
      <w:r>
        <w:rPr>
          <w:rFonts w:ascii="Arial"/>
        </w:rPr>
        <w:t>1.83</w:t>
      </w:r>
    </w:p>
    <w:p>
      <w:pPr>
        <w:pStyle w:val="BodyText"/>
        <w:spacing w:before="10"/>
        <w:rPr>
          <w:rFonts w:ascii="Arial"/>
          <w:sz w:val="8"/>
        </w:rPr>
      </w:pPr>
    </w:p>
    <w:p>
      <w:pPr>
        <w:spacing w:before="75"/>
        <w:ind w:left="81" w:right="87" w:firstLine="0"/>
        <w:jc w:val="center"/>
        <w:rPr>
          <w:sz w:val="20"/>
        </w:rPr>
      </w:pPr>
      <w:r>
        <w:rPr>
          <w:w w:val="115"/>
          <w:sz w:val="16"/>
        </w:rPr>
        <w:t>CIIAPTER </w:t>
      </w:r>
      <w:r>
        <w:rPr>
          <w:spacing w:val="-23"/>
          <w:w w:val="115"/>
          <w:sz w:val="20"/>
        </w:rPr>
        <w:t>15</w:t>
      </w:r>
    </w:p>
    <w:p>
      <w:pPr>
        <w:pStyle w:val="BodyText"/>
        <w:spacing w:before="133"/>
        <w:ind w:left="220"/>
      </w:pPr>
      <w:r>
        <w:rPr>
          <w:w w:val="125"/>
        </w:rPr>
        <w:t>l. .0003.</w:t>
      </w:r>
    </w:p>
    <w:p>
      <w:pPr>
        <w:pStyle w:val="BodyText"/>
        <w:spacing w:before="4"/>
        <w:rPr>
          <w:sz w:val="9"/>
        </w:rPr>
      </w:pPr>
    </w:p>
    <w:p>
      <w:pPr>
        <w:tabs>
          <w:tab w:pos="1731" w:val="left" w:leader="none"/>
        </w:tabs>
        <w:spacing w:line="291" w:lineRule="exact" w:before="63"/>
        <w:ind w:left="191" w:right="0" w:firstLine="0"/>
        <w:jc w:val="left"/>
        <w:rPr>
          <w:sz w:val="20"/>
        </w:rPr>
      </w:pPr>
      <w:r>
        <w:rPr>
          <w:w w:val="105"/>
          <w:sz w:val="20"/>
        </w:rPr>
        <w:t>2.</w:t>
      </w:r>
      <w:r>
        <w:rPr>
          <w:spacing w:val="-37"/>
          <w:w w:val="105"/>
          <w:sz w:val="20"/>
        </w:rPr>
        <w:t> </w:t>
      </w:r>
      <w:r>
        <w:rPr>
          <w:rFonts w:ascii="Arial"/>
          <w:i/>
          <w:w w:val="95"/>
          <w:sz w:val="29"/>
        </w:rPr>
        <w:t>p!:"&gt;</w:t>
      </w:r>
      <w:r>
        <w:rPr>
          <w:rFonts w:ascii="Arial"/>
          <w:i/>
          <w:spacing w:val="-57"/>
          <w:w w:val="95"/>
          <w:sz w:val="29"/>
        </w:rPr>
        <w:t> </w:t>
      </w:r>
      <w:r>
        <w:rPr>
          <w:rFonts w:ascii="Arial"/>
          <w:i/>
          <w:w w:val="95"/>
          <w:sz w:val="29"/>
        </w:rPr>
        <w:t>.</w:t>
      </w:r>
      <w:r>
        <w:rPr>
          <w:w w:val="95"/>
          <w:sz w:val="20"/>
        </w:rPr>
        <w:t>(hq)11</w:t>
        <w:tab/>
      </w:r>
      <w:r>
        <w:rPr>
          <w:rFonts w:ascii="Arial"/>
          <w:spacing w:val="3"/>
          <w:w w:val="95"/>
          <w:sz w:val="21"/>
        </w:rPr>
        <w:t>z&lt;) </w:t>
      </w:r>
      <w:r>
        <w:rPr>
          <w:w w:val="115"/>
          <w:sz w:val="20"/>
        </w:rPr>
        <w:t>{d </w:t>
      </w:r>
      <w:r>
        <w:rPr>
          <w:w w:val="95"/>
          <w:sz w:val="20"/>
        </w:rPr>
        <w:t>&gt;[1 </w:t>
      </w:r>
      <w:r>
        <w:rPr>
          <w:w w:val="270"/>
          <w:sz w:val="20"/>
        </w:rPr>
        <w:t>-</w:t>
      </w:r>
      <w:r>
        <w:rPr>
          <w:spacing w:val="-48"/>
          <w:w w:val="270"/>
          <w:sz w:val="20"/>
        </w:rPr>
        <w:t> </w:t>
      </w:r>
      <w:r>
        <w:rPr>
          <w:w w:val="95"/>
          <w:sz w:val="20"/>
        </w:rPr>
        <w:t>+(hq)ao1(hq)ail</w:t>
      </w:r>
    </w:p>
    <w:p>
      <w:pPr>
        <w:spacing w:line="241" w:lineRule="exact" w:before="0"/>
        <w:ind w:left="98" w:right="2384" w:firstLine="0"/>
        <w:jc w:val="center"/>
        <w:rPr>
          <w:sz w:val="30"/>
        </w:rPr>
      </w:pPr>
      <w:r>
        <w:rPr>
          <w:w w:val="75"/>
          <w:sz w:val="30"/>
        </w:rPr>
        <w:t>ªº</w:t>
      </w:r>
    </w:p>
    <w:p>
      <w:pPr>
        <w:spacing w:line="284" w:lineRule="exact" w:before="0"/>
        <w:ind w:left="194" w:right="0" w:firstLine="0"/>
        <w:jc w:val="left"/>
        <w:rPr>
          <w:sz w:val="19"/>
        </w:rPr>
      </w:pPr>
      <w:r>
        <w:rPr>
          <w:w w:val="114"/>
          <w:sz w:val="19"/>
        </w:rPr>
        <w:t>3.</w:t>
      </w:r>
      <w:r>
        <w:rPr>
          <w:sz w:val="19"/>
        </w:rPr>
        <w:t> </w:t>
      </w:r>
      <w:r>
        <w:rPr>
          <w:spacing w:val="-10"/>
          <w:sz w:val="19"/>
        </w:rPr>
        <w:t> </w:t>
      </w:r>
      <w:r>
        <w:rPr>
          <w:w w:val="59"/>
          <w:sz w:val="30"/>
        </w:rPr>
        <w:t>zff</w:t>
      </w:r>
      <w:r>
        <w:rPr>
          <w:spacing w:val="-38"/>
          <w:sz w:val="30"/>
        </w:rPr>
        <w:t> </w:t>
      </w:r>
      <w:r>
        <w:rPr>
          <w:w w:val="22"/>
          <w:sz w:val="30"/>
        </w:rPr>
        <w:t>&gt;</w:t>
      </w:r>
      <w:r>
        <w:rPr>
          <w:spacing w:val="33"/>
          <w:sz w:val="30"/>
        </w:rPr>
        <w:t> </w:t>
      </w:r>
      <w:r>
        <w:rPr>
          <w:rFonts w:ascii="Arial"/>
          <w:w w:val="142"/>
          <w:sz w:val="19"/>
        </w:rPr>
        <w:t>=</w:t>
      </w:r>
      <w:r>
        <w:rPr>
          <w:rFonts w:ascii="Arial"/>
          <w:sz w:val="19"/>
        </w:rPr>
        <w:t> </w:t>
      </w:r>
      <w:r>
        <w:rPr>
          <w:rFonts w:ascii="Arial"/>
          <w:spacing w:val="-23"/>
          <w:sz w:val="19"/>
        </w:rPr>
        <w:t> </w:t>
      </w:r>
      <w:r>
        <w:rPr>
          <w:w w:val="106"/>
          <w:sz w:val="19"/>
        </w:rPr>
        <w:t>26,959;</w:t>
      </w:r>
      <w:r>
        <w:rPr>
          <w:sz w:val="19"/>
        </w:rPr>
        <w:t> </w:t>
      </w:r>
      <w:r>
        <w:rPr>
          <w:spacing w:val="-16"/>
          <w:sz w:val="19"/>
        </w:rPr>
        <w:t> </w:t>
      </w:r>
      <w:r>
        <w:rPr>
          <w:rFonts w:ascii="Arial"/>
          <w:i/>
          <w:spacing w:val="1"/>
          <w:w w:val="63"/>
          <w:sz w:val="29"/>
        </w:rPr>
        <w:t>d</w:t>
      </w:r>
      <w:r>
        <w:rPr>
          <w:rFonts w:ascii="Arial"/>
          <w:i/>
          <w:w w:val="65"/>
          <w:sz w:val="29"/>
        </w:rPr>
        <w:t>W</w:t>
      </w:r>
      <w:r>
        <w:rPr>
          <w:rFonts w:ascii="Arial"/>
          <w:i/>
          <w:sz w:val="29"/>
        </w:rPr>
        <w:t> </w:t>
      </w:r>
      <w:r>
        <w:rPr>
          <w:rFonts w:ascii="Arial"/>
          <w:i/>
          <w:spacing w:val="-33"/>
          <w:sz w:val="29"/>
        </w:rPr>
        <w:t> </w:t>
      </w:r>
      <w:r>
        <w:rPr>
          <w:w w:val="91"/>
          <w:sz w:val="27"/>
        </w:rPr>
        <w:t>=</w:t>
      </w:r>
      <w:r>
        <w:rPr>
          <w:sz w:val="27"/>
        </w:rPr>
        <w:t> </w:t>
      </w:r>
      <w:r>
        <w:rPr>
          <w:spacing w:val="-20"/>
          <w:sz w:val="27"/>
        </w:rPr>
        <w:t> </w:t>
      </w:r>
      <w:r>
        <w:rPr>
          <w:w w:val="114"/>
          <w:sz w:val="19"/>
        </w:rPr>
        <w:t>5</w:t>
      </w:r>
      <w:r>
        <w:rPr>
          <w:spacing w:val="-19"/>
          <w:w w:val="114"/>
          <w:sz w:val="19"/>
        </w:rPr>
        <w:t>3</w:t>
      </w:r>
      <w:r>
        <w:rPr>
          <w:w w:val="123"/>
          <w:sz w:val="19"/>
        </w:rPr>
        <w:t>9;</w:t>
      </w:r>
      <w:r>
        <w:rPr>
          <w:spacing w:val="17"/>
          <w:sz w:val="19"/>
        </w:rPr>
        <w:t> </w:t>
      </w:r>
      <w:r>
        <w:rPr>
          <w:rFonts w:ascii="Arial"/>
          <w:i/>
          <w:spacing w:val="-7"/>
          <w:w w:val="140"/>
          <w:sz w:val="22"/>
        </w:rPr>
        <w:t>d</w:t>
      </w:r>
      <w:r>
        <w:rPr>
          <w:rFonts w:ascii="Arial"/>
          <w:i/>
          <w:spacing w:val="-14"/>
          <w:w w:val="146"/>
          <w:sz w:val="22"/>
        </w:rPr>
        <w:t>:</w:t>
      </w:r>
      <w:r>
        <w:rPr>
          <w:rFonts w:ascii="Arial"/>
          <w:i/>
          <w:w w:val="38"/>
          <w:sz w:val="22"/>
        </w:rPr>
        <w:t>&gt;</w:t>
      </w:r>
      <w:r>
        <w:rPr>
          <w:rFonts w:ascii="Arial"/>
          <w:i/>
          <w:sz w:val="22"/>
        </w:rPr>
        <w:t> </w:t>
      </w:r>
      <w:r>
        <w:rPr>
          <w:rFonts w:ascii="Arial"/>
          <w:i/>
          <w:spacing w:val="-4"/>
          <w:sz w:val="22"/>
        </w:rPr>
        <w:t> </w:t>
      </w:r>
      <w:r>
        <w:rPr>
          <w:rFonts w:ascii="Arial"/>
          <w:w w:val="150"/>
          <w:sz w:val="19"/>
        </w:rPr>
        <w:t>=</w:t>
      </w:r>
      <w:r>
        <w:rPr>
          <w:rFonts w:ascii="Arial"/>
          <w:sz w:val="19"/>
        </w:rPr>
        <w:t> </w:t>
      </w:r>
      <w:r>
        <w:rPr>
          <w:rFonts w:ascii="Arial"/>
          <w:spacing w:val="-3"/>
          <w:sz w:val="19"/>
        </w:rPr>
        <w:t> </w:t>
      </w:r>
      <w:r>
        <w:rPr>
          <w:sz w:val="21"/>
        </w:rPr>
        <w:t>1,6</w:t>
      </w:r>
      <w:r>
        <w:rPr>
          <w:spacing w:val="-33"/>
          <w:sz w:val="21"/>
        </w:rPr>
        <w:t>1</w:t>
      </w:r>
      <w:r>
        <w:rPr>
          <w:w w:val="117"/>
          <w:sz w:val="21"/>
        </w:rPr>
        <w:t>8;</w:t>
      </w:r>
      <w:r>
        <w:rPr>
          <w:sz w:val="21"/>
        </w:rPr>
        <w:t> </w:t>
      </w:r>
      <w:r>
        <w:rPr>
          <w:spacing w:val="4"/>
          <w:sz w:val="21"/>
        </w:rPr>
        <w:t> </w:t>
      </w:r>
      <w:r>
        <w:rPr>
          <w:w w:val="116"/>
          <w:sz w:val="19"/>
        </w:rPr>
        <w:t>(</w:t>
      </w:r>
      <w:r>
        <w:rPr>
          <w:w w:val="116"/>
          <w:sz w:val="19"/>
        </w:rPr>
        <w:t>hl</w:t>
      </w:r>
      <w:r>
        <w:rPr>
          <w:w w:val="116"/>
          <w:sz w:val="19"/>
        </w:rPr>
        <w:t>)u</w:t>
      </w:r>
      <w:r>
        <w:rPr>
          <w:sz w:val="19"/>
        </w:rPr>
        <w:t> </w:t>
      </w:r>
      <w:r>
        <w:rPr>
          <w:spacing w:val="5"/>
          <w:sz w:val="19"/>
        </w:rPr>
        <w:t> </w:t>
      </w:r>
      <w:r>
        <w:rPr>
          <w:w w:val="93"/>
          <w:sz w:val="27"/>
        </w:rPr>
        <w:t>=</w:t>
      </w:r>
      <w:r>
        <w:rPr>
          <w:sz w:val="27"/>
        </w:rPr>
        <w:t> </w:t>
      </w:r>
      <w:r>
        <w:rPr>
          <w:spacing w:val="-23"/>
          <w:sz w:val="27"/>
        </w:rPr>
        <w:t> </w:t>
      </w:r>
      <w:r>
        <w:rPr>
          <w:spacing w:val="-24"/>
          <w:w w:val="131"/>
          <w:sz w:val="19"/>
        </w:rPr>
        <w:t>5</w:t>
      </w:r>
      <w:r>
        <w:rPr>
          <w:w w:val="108"/>
          <w:sz w:val="19"/>
        </w:rPr>
        <w:t>5,267;</w:t>
      </w:r>
    </w:p>
    <w:p>
      <w:pPr>
        <w:spacing w:before="28"/>
        <w:ind w:left="457" w:right="0" w:firstLine="0"/>
        <w:jc w:val="left"/>
        <w:rPr>
          <w:sz w:val="21"/>
        </w:rPr>
      </w:pPr>
      <w:r>
        <w:rPr>
          <w:b/>
          <w:sz w:val="20"/>
        </w:rPr>
        <w:t>(hd)n  </w:t>
      </w:r>
      <w:r>
        <w:rPr>
          <w:sz w:val="29"/>
        </w:rPr>
        <w:t>= </w:t>
      </w:r>
      <w:r>
        <w:rPr>
          <w:sz w:val="21"/>
        </w:rPr>
        <w:t>1,156</w:t>
      </w:r>
    </w:p>
    <w:p>
      <w:pPr>
        <w:spacing w:before="75"/>
        <w:ind w:left="184" w:right="0" w:firstLine="0"/>
        <w:jc w:val="left"/>
        <w:rPr>
          <w:sz w:val="21"/>
        </w:rPr>
      </w:pPr>
      <w:r>
        <w:rPr>
          <w:w w:val="105"/>
          <w:sz w:val="21"/>
        </w:rPr>
        <w:t>4. </w:t>
      </w:r>
      <w:r>
        <w:rPr>
          <w:w w:val="105"/>
          <w:sz w:val="23"/>
        </w:rPr>
        <w:t>p!"l&gt;, </w:t>
      </w:r>
      <w:r>
        <w:rPr>
          <w:w w:val="105"/>
          <w:sz w:val="21"/>
        </w:rPr>
        <w:t>formula (15.8)</w:t>
      </w:r>
    </w:p>
    <w:p>
      <w:pPr>
        <w:tabs>
          <w:tab w:pos="1745" w:val="left" w:leader="none"/>
        </w:tabs>
        <w:spacing w:line="197" w:lineRule="exact" w:before="90"/>
        <w:ind w:left="0" w:right="2259" w:firstLine="0"/>
        <w:jc w:val="center"/>
        <w:rPr>
          <w:rFonts w:ascii="Courier New"/>
          <w:sz w:val="23"/>
        </w:rPr>
      </w:pPr>
      <w:r>
        <w:rPr/>
        <w:pict>
          <v:shape style="position:absolute;margin-left:112.5pt;margin-top:10.334098pt;width:9.6pt;height:15.5pt;mso-position-horizontal-relative:page;mso-position-vertical-relative:paragraph;z-index:-705160" type="#_x0000_t202" filled="false" stroked="false">
            <v:textbox inset="0,0,0,0">
              <w:txbxContent>
                <w:p>
                  <w:pPr>
                    <w:spacing w:line="310" w:lineRule="exact" w:before="0"/>
                    <w:ind w:left="0" w:right="0" w:firstLine="0"/>
                    <w:jc w:val="left"/>
                    <w:rPr>
                      <w:rFonts w:ascii="Arial"/>
                      <w:sz w:val="31"/>
                    </w:rPr>
                  </w:pPr>
                  <w:r>
                    <w:rPr>
                      <w:rFonts w:ascii="Arial"/>
                      <w:w w:val="105"/>
                      <w:sz w:val="31"/>
                    </w:rPr>
                    <w:t>+</w:t>
                  </w:r>
                </w:p>
              </w:txbxContent>
            </v:textbox>
            <w10:wrap type="none"/>
          </v:shape>
        </w:pict>
      </w:r>
      <w:r>
        <w:rPr>
          <w:rFonts w:ascii="Courier New"/>
          <w:w w:val="85"/>
          <w:sz w:val="23"/>
        </w:rPr>
        <w:t>1</w:t>
        <w:tab/>
        <w:t>.</w:t>
      </w:r>
    </w:p>
    <w:p>
      <w:pPr>
        <w:tabs>
          <w:tab w:pos="1814" w:val="left" w:leader="none"/>
          <w:tab w:pos="3279" w:val="left" w:leader="none"/>
        </w:tabs>
        <w:spacing w:line="224" w:lineRule="exact" w:before="0"/>
        <w:ind w:left="184" w:right="0" w:firstLine="0"/>
        <w:jc w:val="left"/>
        <w:rPr>
          <w:sz w:val="22"/>
        </w:rPr>
      </w:pPr>
      <w:r>
        <w:rPr/>
        <w:pict>
          <v:rect style="position:absolute;margin-left:78.480003pt;margin-top:8.54574pt;width:9.36pt;height:6.3pt;mso-position-horizontal-relative:page;mso-position-vertical-relative:paragraph;z-index:-705208" filled="true" fillcolor="#000000" stroked="false">
            <v:fill type="solid"/>
            <w10:wrap type="none"/>
          </v:rect>
        </w:pict>
      </w:r>
      <w:r>
        <w:rPr>
          <w:w w:val="106"/>
          <w:sz w:val="20"/>
        </w:rPr>
        <w:t>6.</w:t>
      </w:r>
      <w:r>
        <w:rPr>
          <w:spacing w:val="-4"/>
          <w:sz w:val="20"/>
        </w:rPr>
        <w:t> </w:t>
      </w:r>
      <w:r>
        <w:rPr>
          <w:rFonts w:ascii="Arial"/>
          <w:spacing w:val="-25"/>
          <w:w w:val="128"/>
          <w:sz w:val="19"/>
        </w:rPr>
        <w:t>p</w:t>
      </w:r>
      <w:r>
        <w:rPr>
          <w:rFonts w:ascii="Arial"/>
          <w:w w:val="394"/>
          <w:sz w:val="19"/>
        </w:rPr>
        <w:t>:</w:t>
      </w:r>
      <w:r>
        <w:rPr>
          <w:rFonts w:ascii="Arial"/>
          <w:sz w:val="19"/>
        </w:rPr>
        <w:t>  </w:t>
      </w:r>
      <w:r>
        <w:rPr>
          <w:rFonts w:ascii="Arial"/>
          <w:spacing w:val="22"/>
          <w:sz w:val="19"/>
        </w:rPr>
        <w:t> </w:t>
      </w:r>
      <w:r>
        <w:rPr>
          <w:rFonts w:ascii="Arial"/>
          <w:b/>
          <w:w w:val="78"/>
          <w:sz w:val="25"/>
        </w:rPr>
        <w:t>C-</w:t>
      </w:r>
      <w:r>
        <w:rPr>
          <w:rFonts w:ascii="Arial"/>
          <w:b/>
          <w:spacing w:val="-32"/>
          <w:sz w:val="25"/>
        </w:rPr>
        <w:t> </w:t>
      </w:r>
      <w:r>
        <w:rPr>
          <w:spacing w:val="-94"/>
          <w:w w:val="496"/>
          <w:sz w:val="21"/>
        </w:rPr>
        <w:t>[</w:t>
      </w:r>
      <w:r>
        <w:rPr>
          <w:w w:val="96"/>
          <w:sz w:val="21"/>
        </w:rPr>
        <w:t>1</w:t>
      </w:r>
      <w:r>
        <w:rPr>
          <w:sz w:val="21"/>
        </w:rPr>
        <w:tab/>
      </w:r>
      <w:r>
        <w:rPr>
          <w:i/>
          <w:w w:val="77"/>
          <w:sz w:val="20"/>
        </w:rPr>
        <w:t>i.s</w:t>
      </w:r>
      <w:r>
        <w:rPr>
          <w:i/>
          <w:w w:val="77"/>
          <w:sz w:val="20"/>
        </w:rPr>
        <w:t>(</w:t>
      </w:r>
      <w:r>
        <w:rPr>
          <w:i/>
          <w:spacing w:val="3"/>
          <w:sz w:val="20"/>
        </w:rPr>
        <w:t> </w:t>
      </w:r>
      <w:r>
        <w:rPr>
          <w:w w:val="129"/>
          <w:sz w:val="20"/>
        </w:rPr>
        <w:t>1</w:t>
      </w:r>
      <w:r>
        <w:rPr>
          <w:spacing w:val="1"/>
          <w:sz w:val="20"/>
        </w:rPr>
        <w:t> </w:t>
      </w:r>
      <w:r>
        <w:rPr>
          <w:w w:val="282"/>
          <w:sz w:val="20"/>
        </w:rPr>
        <w:t>-</w:t>
      </w:r>
      <w:r>
        <w:rPr>
          <w:sz w:val="20"/>
        </w:rPr>
        <w:t>  </w:t>
      </w:r>
      <w:r>
        <w:rPr>
          <w:spacing w:val="-4"/>
          <w:sz w:val="20"/>
        </w:rPr>
        <w:t> </w:t>
      </w:r>
      <w:r>
        <w:rPr>
          <w:rFonts w:ascii="Arial"/>
          <w:w w:val="102"/>
          <w:sz w:val="19"/>
        </w:rPr>
        <w:t>q</w:t>
      </w:r>
      <w:r>
        <w:rPr>
          <w:rFonts w:ascii="Arial"/>
          <w:spacing w:val="14"/>
          <w:sz w:val="19"/>
        </w:rPr>
        <w:t> </w:t>
      </w:r>
      <w:r>
        <w:rPr>
          <w:rFonts w:ascii="Arial"/>
          <w:w w:val="110"/>
          <w:sz w:val="19"/>
        </w:rPr>
        <w:t>))</w:t>
      </w:r>
      <w:r>
        <w:rPr>
          <w:rFonts w:ascii="Arial"/>
          <w:sz w:val="19"/>
        </w:rPr>
        <w:tab/>
      </w:r>
      <w:r>
        <w:rPr>
          <w:w w:val="105"/>
          <w:sz w:val="22"/>
        </w:rPr>
        <w:t>or</w:t>
      </w:r>
    </w:p>
    <w:p>
      <w:pPr>
        <w:pStyle w:val="BodyText"/>
        <w:spacing w:before="5"/>
        <w:rPr>
          <w:sz w:val="11"/>
        </w:rPr>
      </w:pPr>
    </w:p>
    <w:p>
      <w:pPr>
        <w:spacing w:after="0"/>
        <w:rPr>
          <w:sz w:val="11"/>
        </w:rPr>
        <w:sectPr>
          <w:pgSz w:w="7200" w:h="11340"/>
          <w:pgMar w:top="500" w:bottom="280" w:left="680" w:right="520"/>
        </w:sectPr>
      </w:pPr>
    </w:p>
    <w:p>
      <w:pPr>
        <w:spacing w:before="64"/>
        <w:ind w:left="389" w:right="0" w:firstLine="0"/>
        <w:jc w:val="left"/>
        <w:rPr>
          <w:b/>
          <w:i/>
          <w:sz w:val="22"/>
        </w:rPr>
      </w:pPr>
      <w:r>
        <w:rPr/>
        <w:pict>
          <v:shape style="position:absolute;margin-left:127.980003pt;margin-top:16.20376pt;width:11.65pt;height:7.5pt;mso-position-horizontal-relative:page;mso-position-vertical-relative:paragraph;z-index:-705136" type="#_x0000_t202" filled="false" stroked="false">
            <v:textbox inset="0,0,0,0">
              <w:txbxContent>
                <w:p>
                  <w:pPr>
                    <w:spacing w:line="150" w:lineRule="exact" w:before="0"/>
                    <w:ind w:left="0" w:right="-18" w:firstLine="0"/>
                    <w:jc w:val="left"/>
                    <w:rPr>
                      <w:sz w:val="15"/>
                    </w:rPr>
                  </w:pPr>
                  <w:r>
                    <w:rPr>
                      <w:sz w:val="15"/>
                    </w:rPr>
                    <w:t>.z+i</w:t>
                  </w:r>
                </w:p>
              </w:txbxContent>
            </v:textbox>
            <w10:wrap type="none"/>
          </v:shape>
        </w:pict>
      </w:r>
      <w:r>
        <w:rPr>
          <w:rFonts w:ascii="Arial" w:hAnsi="Arial"/>
          <w:i/>
          <w:spacing w:val="-24"/>
          <w:w w:val="134"/>
          <w:sz w:val="18"/>
        </w:rPr>
        <w:t>p</w:t>
      </w:r>
      <w:r>
        <w:rPr>
          <w:rFonts w:ascii="Arial" w:hAnsi="Arial"/>
          <w:spacing w:val="-77"/>
          <w:w w:val="91"/>
          <w:position w:val="9"/>
          <w:sz w:val="31"/>
        </w:rPr>
        <w:t>•</w:t>
      </w:r>
      <w:r>
        <w:rPr>
          <w:rFonts w:ascii="Arial" w:hAnsi="Arial"/>
          <w:i/>
          <w:w w:val="134"/>
          <w:sz w:val="18"/>
        </w:rPr>
        <w:t>.</w:t>
      </w:r>
      <w:r>
        <w:rPr>
          <w:rFonts w:ascii="Arial" w:hAnsi="Arial"/>
          <w:i/>
          <w:sz w:val="18"/>
        </w:rPr>
        <w:t> </w:t>
      </w:r>
      <w:r>
        <w:rPr>
          <w:rFonts w:ascii="Arial" w:hAnsi="Arial"/>
          <w:i/>
          <w:spacing w:val="-19"/>
          <w:sz w:val="18"/>
        </w:rPr>
        <w:t> </w:t>
      </w:r>
      <w:r>
        <w:rPr>
          <w:w w:val="85"/>
          <w:sz w:val="28"/>
        </w:rPr>
        <w:t>=</w:t>
      </w:r>
      <w:r>
        <w:rPr>
          <w:spacing w:val="21"/>
          <w:sz w:val="28"/>
        </w:rPr>
        <w:t> </w:t>
      </w:r>
      <w:r>
        <w:rPr>
          <w:rFonts w:ascii="Arial" w:hAnsi="Arial"/>
          <w:i/>
          <w:spacing w:val="-22"/>
          <w:w w:val="131"/>
          <w:sz w:val="24"/>
        </w:rPr>
        <w:t>'</w:t>
      </w:r>
      <w:r>
        <w:rPr>
          <w:rFonts w:ascii="Arial" w:hAnsi="Arial"/>
          <w:i/>
          <w:spacing w:val="-106"/>
          <w:w w:val="131"/>
          <w:sz w:val="24"/>
        </w:rPr>
        <w:t>f</w:t>
      </w:r>
      <w:r>
        <w:rPr>
          <w:rFonts w:ascii="Arial" w:hAnsi="Arial"/>
          <w:spacing w:val="4"/>
          <w:w w:val="75"/>
          <w:position w:val="9"/>
          <w:sz w:val="31"/>
        </w:rPr>
        <w:t>}</w:t>
      </w:r>
      <w:r>
        <w:rPr>
          <w:rFonts w:ascii="Arial" w:hAnsi="Arial"/>
          <w:i/>
          <w:w w:val="131"/>
          <w:sz w:val="24"/>
        </w:rPr>
        <w:t>:</w:t>
      </w:r>
      <w:r>
        <w:rPr>
          <w:rFonts w:ascii="Arial" w:hAnsi="Arial"/>
          <w:i/>
          <w:spacing w:val="-40"/>
          <w:sz w:val="24"/>
        </w:rPr>
        <w:t> </w:t>
      </w:r>
      <w:r>
        <w:rPr>
          <w:rFonts w:ascii="Arial" w:hAnsi="Arial"/>
          <w:spacing w:val="-2"/>
          <w:w w:val="55"/>
          <w:position w:val="9"/>
          <w:sz w:val="31"/>
        </w:rPr>
        <w:t>[</w:t>
      </w:r>
      <w:r>
        <w:rPr>
          <w:spacing w:val="-59"/>
          <w:w w:val="97"/>
          <w:sz w:val="15"/>
        </w:rPr>
        <w:t>"</w:t>
      </w:r>
      <w:r>
        <w:rPr>
          <w:rFonts w:ascii="Arial" w:hAnsi="Arial"/>
          <w:w w:val="55"/>
          <w:position w:val="9"/>
          <w:sz w:val="31"/>
        </w:rPr>
        <w:t>,</w:t>
      </w:r>
      <w:r>
        <w:rPr>
          <w:rFonts w:ascii="Arial" w:hAnsi="Arial"/>
          <w:spacing w:val="-38"/>
          <w:w w:val="55"/>
          <w:position w:val="9"/>
          <w:sz w:val="31"/>
        </w:rPr>
        <w:t>,</w:t>
      </w:r>
      <w:r>
        <w:rPr>
          <w:w w:val="98"/>
          <w:sz w:val="15"/>
        </w:rPr>
        <w:t>.</w:t>
      </w:r>
      <w:r>
        <w:rPr>
          <w:spacing w:val="-65"/>
          <w:w w:val="97"/>
          <w:sz w:val="15"/>
        </w:rPr>
        <w:t>z</w:t>
      </w:r>
      <w:r>
        <w:rPr>
          <w:rFonts w:ascii="Arial" w:hAnsi="Arial"/>
          <w:spacing w:val="-33"/>
          <w:w w:val="55"/>
          <w:position w:val="9"/>
          <w:sz w:val="31"/>
        </w:rPr>
        <w:t>_</w:t>
      </w:r>
      <w:r>
        <w:rPr>
          <w:w w:val="97"/>
          <w:sz w:val="15"/>
        </w:rPr>
        <w:t>+l</w:t>
      </w:r>
      <w:r>
        <w:rPr>
          <w:sz w:val="15"/>
        </w:rPr>
        <w:t> </w:t>
      </w:r>
      <w:r>
        <w:rPr>
          <w:spacing w:val="3"/>
          <w:sz w:val="15"/>
        </w:rPr>
        <w:t> </w:t>
      </w:r>
      <w:r>
        <w:rPr>
          <w:rFonts w:ascii="Arial" w:hAnsi="Arial"/>
          <w:w w:val="107"/>
          <w:position w:val="9"/>
          <w:sz w:val="31"/>
        </w:rPr>
        <w:t>+</w:t>
      </w:r>
      <w:r>
        <w:rPr>
          <w:rFonts w:ascii="Arial" w:hAnsi="Arial"/>
          <w:spacing w:val="-33"/>
          <w:position w:val="9"/>
          <w:sz w:val="31"/>
        </w:rPr>
        <w:t> </w:t>
      </w:r>
      <w:r>
        <w:rPr>
          <w:b/>
          <w:i/>
          <w:w w:val="97"/>
          <w:position w:val="9"/>
          <w:sz w:val="22"/>
        </w:rPr>
        <w:t>l"</w:t>
      </w:r>
    </w:p>
    <w:p>
      <w:pPr>
        <w:spacing w:line="206" w:lineRule="exact" w:before="146"/>
        <w:ind w:left="282" w:right="0" w:firstLine="0"/>
        <w:jc w:val="left"/>
        <w:rPr>
          <w:rFonts w:ascii="Arial" w:hAnsi="Arial"/>
          <w:b/>
          <w:sz w:val="13"/>
        </w:rPr>
      </w:pPr>
      <w:r>
        <w:rPr/>
        <w:br w:type="column"/>
      </w:r>
      <w:r>
        <w:rPr>
          <w:b/>
          <w:i/>
          <w:sz w:val="22"/>
        </w:rPr>
        <w:t>l </w:t>
      </w:r>
      <w:r>
        <w:rPr>
          <w:b/>
          <w:i/>
          <w:w w:val="90"/>
          <w:sz w:val="22"/>
        </w:rPr>
        <w:t>H </w:t>
      </w:r>
      <w:r>
        <w:rPr>
          <w:rFonts w:ascii="Arial" w:hAnsi="Arial"/>
          <w:b/>
          <w:sz w:val="13"/>
        </w:rPr>
        <w:t>•1</w:t>
      </w:r>
    </w:p>
    <w:p>
      <w:pPr>
        <w:spacing w:line="125" w:lineRule="exact" w:before="0"/>
        <w:ind w:left="44" w:right="0" w:firstLine="0"/>
        <w:jc w:val="left"/>
        <w:rPr>
          <w:sz w:val="15"/>
        </w:rPr>
      </w:pPr>
      <w:r>
        <w:rPr/>
        <w:pict>
          <v:shape style="position:absolute;margin-left:165.059998pt;margin-top:-3.39546pt;width:9.2pt;height:10pt;mso-position-horizontal-relative:page;mso-position-vertical-relative:paragraph;z-index:-705112" type="#_x0000_t202" filled="false" stroked="false">
            <v:textbox inset="0,0,0,0">
              <w:txbxContent>
                <w:p>
                  <w:pPr>
                    <w:spacing w:line="200" w:lineRule="exact" w:before="0"/>
                    <w:ind w:left="0" w:right="-20" w:firstLine="0"/>
                    <w:jc w:val="left"/>
                    <w:rPr>
                      <w:i/>
                      <w:sz w:val="20"/>
                    </w:rPr>
                  </w:pPr>
                  <w:r>
                    <w:rPr>
                      <w:i/>
                      <w:spacing w:val="-16"/>
                      <w:w w:val="85"/>
                      <w:sz w:val="20"/>
                    </w:rPr>
                    <w:t>P.1</w:t>
                  </w:r>
                </w:p>
              </w:txbxContent>
            </v:textbox>
            <w10:wrap type="none"/>
          </v:shape>
        </w:pict>
      </w:r>
      <w:r>
        <w:rPr>
          <w:w w:val="360"/>
          <w:sz w:val="15"/>
        </w:rPr>
        <w:t>- </w:t>
      </w:r>
      <w:r>
        <w:rPr>
          <w:w w:val="205"/>
          <w:sz w:val="15"/>
        </w:rPr>
        <w:t>•</w:t>
      </w:r>
    </w:p>
    <w:p>
      <w:pPr>
        <w:spacing w:after="0" w:line="125" w:lineRule="exact"/>
        <w:jc w:val="left"/>
        <w:rPr>
          <w:sz w:val="15"/>
        </w:rPr>
        <w:sectPr>
          <w:type w:val="continuous"/>
          <w:pgSz w:w="7200" w:h="11340"/>
          <w:pgMar w:top="1100" w:bottom="0" w:left="680" w:right="520"/>
          <w:cols w:num="2" w:equalWidth="0">
            <w:col w:w="2112" w:space="40"/>
            <w:col w:w="3848"/>
          </w:cols>
        </w:sectPr>
      </w:pPr>
    </w:p>
    <w:p>
      <w:pPr>
        <w:pStyle w:val="BodyText"/>
        <w:spacing w:line="58" w:lineRule="exact"/>
        <w:ind w:left="871"/>
        <w:rPr>
          <w:sz w:val="5"/>
        </w:rPr>
      </w:pPr>
      <w:r>
        <w:rPr>
          <w:position w:val="0"/>
          <w:sz w:val="5"/>
        </w:rPr>
        <w:pict>
          <v:group style="width:9.050pt;height:2.9pt;mso-position-horizontal-relative:char;mso-position-vertical-relative:line" coordorigin="0,0" coordsize="181,58">
            <v:line style="position:absolute" from="29,29" to="151,29" stroked="true" strokeweight="2.88pt" strokecolor="#000000"/>
          </v:group>
        </w:pict>
      </w:r>
      <w:r>
        <w:rPr>
          <w:position w:val="0"/>
          <w:sz w:val="5"/>
        </w:rPr>
      </w:r>
    </w:p>
    <w:p>
      <w:pPr>
        <w:spacing w:before="120"/>
        <w:ind w:left="176" w:right="0" w:firstLine="0"/>
        <w:jc w:val="left"/>
        <w:rPr>
          <w:sz w:val="19"/>
        </w:rPr>
      </w:pPr>
      <w:r>
        <w:rPr>
          <w:w w:val="110"/>
          <w:sz w:val="19"/>
        </w:rPr>
        <w:t>7.  </w:t>
      </w:r>
      <w:r>
        <w:rPr>
          <w:rFonts w:ascii="Arial"/>
          <w:i/>
          <w:w w:val="110"/>
          <w:sz w:val="21"/>
        </w:rPr>
        <w:t>7Zl, </w:t>
      </w:r>
      <w:r>
        <w:rPr>
          <w:w w:val="110"/>
          <w:sz w:val="19"/>
        </w:rPr>
        <w:t>20, 85</w:t>
      </w:r>
    </w:p>
    <w:p>
      <w:pPr>
        <w:spacing w:before="112"/>
        <w:ind w:left="176" w:right="0" w:firstLine="0"/>
        <w:jc w:val="left"/>
        <w:rPr>
          <w:sz w:val="21"/>
        </w:rPr>
      </w:pPr>
      <w:r>
        <w:rPr>
          <w:w w:val="110"/>
          <w:sz w:val="20"/>
        </w:rPr>
        <w:t>8. </w:t>
      </w:r>
      <w:r>
        <w:rPr>
          <w:rFonts w:ascii="Arial"/>
          <w:w w:val="110"/>
          <w:sz w:val="19"/>
        </w:rPr>
        <w:t>(a) </w:t>
      </w:r>
      <w:r>
        <w:rPr>
          <w:w w:val="110"/>
          <w:sz w:val="21"/>
        </w:rPr>
        <w:t>and  (b)</w:t>
      </w:r>
    </w:p>
    <w:p>
      <w:pPr>
        <w:spacing w:line="180" w:lineRule="exact" w:before="121"/>
        <w:ind w:left="1364" w:right="0" w:firstLine="0"/>
        <w:jc w:val="left"/>
        <w:rPr>
          <w:rFonts w:ascii="Arial"/>
          <w:i/>
          <w:sz w:val="21"/>
        </w:rPr>
      </w:pPr>
      <w:r>
        <w:rPr/>
        <w:pict>
          <v:shape style="position:absolute;margin-left:43.200001pt;margin-top:14.73448pt;width:5.75pt;height:9.5pt;mso-position-horizontal-relative:page;mso-position-vertical-relative:paragraph;z-index:-705088" type="#_x0000_t202" filled="false" stroked="false">
            <v:textbox inset="0,0,0,0">
              <w:txbxContent>
                <w:p>
                  <w:pPr>
                    <w:spacing w:line="190" w:lineRule="exact" w:before="0"/>
                    <w:ind w:left="0" w:right="0" w:firstLine="0"/>
                    <w:jc w:val="left"/>
                    <w:rPr>
                      <w:sz w:val="19"/>
                    </w:rPr>
                  </w:pPr>
                  <w:r>
                    <w:rPr>
                      <w:w w:val="121"/>
                      <w:sz w:val="19"/>
                    </w:rPr>
                    <w:t>9</w:t>
                  </w:r>
                </w:p>
              </w:txbxContent>
            </v:textbox>
            <w10:wrap type="none"/>
          </v:shape>
        </w:pict>
      </w:r>
      <w:r>
        <w:rPr>
          <w:rFonts w:ascii="Arial"/>
          <w:i/>
          <w:w w:val="115"/>
          <w:sz w:val="21"/>
        </w:rPr>
        <w:t>ro1</w:t>
      </w:r>
    </w:p>
    <w:p>
      <w:pPr>
        <w:spacing w:line="318" w:lineRule="exact" w:before="0"/>
        <w:ind w:left="292" w:right="0" w:firstLine="0"/>
        <w:jc w:val="left"/>
        <w:rPr>
          <w:sz w:val="19"/>
        </w:rPr>
      </w:pPr>
      <w:r>
        <w:rPr>
          <w:spacing w:val="10"/>
          <w:w w:val="181"/>
          <w:sz w:val="19"/>
        </w:rPr>
        <w:t>·</w:t>
      </w:r>
      <w:r>
        <w:rPr>
          <w:w w:val="117"/>
          <w:sz w:val="20"/>
        </w:rPr>
        <w:t>(</w:t>
      </w:r>
      <w:r>
        <w:rPr>
          <w:w w:val="117"/>
          <w:sz w:val="20"/>
        </w:rPr>
        <w:t>a}</w:t>
      </w:r>
      <w:r>
        <w:rPr>
          <w:spacing w:val="-1"/>
          <w:sz w:val="20"/>
        </w:rPr>
        <w:t> </w:t>
      </w:r>
      <w:r>
        <w:rPr>
          <w:w w:val="103"/>
          <w:sz w:val="19"/>
        </w:rPr>
        <w:t>29,711</w:t>
      </w:r>
      <w:r>
        <w:rPr>
          <w:sz w:val="19"/>
        </w:rPr>
        <w:t> </w:t>
      </w:r>
      <w:r>
        <w:rPr>
          <w:spacing w:val="-14"/>
          <w:sz w:val="19"/>
        </w:rPr>
        <w:t> </w:t>
      </w:r>
      <w:r>
        <w:rPr>
          <w:rFonts w:ascii="Arial" w:hAnsi="Arial"/>
          <w:spacing w:val="-178"/>
          <w:w w:val="103"/>
          <w:sz w:val="33"/>
        </w:rPr>
        <w:t>+</w:t>
      </w:r>
      <w:r>
        <w:rPr>
          <w:spacing w:val="-360"/>
          <w:w w:val="393"/>
          <w:sz w:val="19"/>
        </w:rPr>
        <w:t>!</w:t>
      </w:r>
      <w:r>
        <w:rPr>
          <w:w w:val="115"/>
          <w:sz w:val="19"/>
        </w:rPr>
        <w:t>·</w:t>
      </w:r>
      <w:r>
        <w:rPr>
          <w:w w:val="115"/>
          <w:sz w:val="19"/>
          <w:u w:val="thick"/>
        </w:rPr>
        <w:t>4,</w:t>
      </w:r>
      <w:r>
        <w:rPr>
          <w:spacing w:val="-33"/>
          <w:w w:val="115"/>
          <w:sz w:val="19"/>
          <w:u w:val="thick"/>
        </w:rPr>
        <w:t>3</w:t>
      </w:r>
      <w:r>
        <w:rPr>
          <w:spacing w:val="-22"/>
          <w:w w:val="129"/>
          <w:sz w:val="19"/>
          <w:u w:val="thick"/>
        </w:rPr>
        <w:t>3</w:t>
      </w:r>
      <w:r>
        <w:rPr>
          <w:w w:val="126"/>
          <w:sz w:val="19"/>
          <w:u w:val="thick"/>
        </w:rPr>
        <w:t>5</w:t>
      </w:r>
    </w:p>
    <w:p>
      <w:pPr>
        <w:spacing w:before="166"/>
        <w:ind w:left="439" w:right="0" w:firstLine="0"/>
        <w:jc w:val="left"/>
        <w:rPr>
          <w:rFonts w:ascii="Arial"/>
          <w:sz w:val="19"/>
        </w:rPr>
      </w:pPr>
      <w:r>
        <w:rPr>
          <w:rFonts w:ascii="Arial"/>
          <w:w w:val="125"/>
          <w:sz w:val="19"/>
        </w:rPr>
        <w:t>(b) 1 </w:t>
      </w:r>
      <w:r>
        <w:rPr>
          <w:rFonts w:ascii="Arial"/>
          <w:w w:val="270"/>
          <w:sz w:val="19"/>
        </w:rPr>
        <w:t>-</w:t>
      </w:r>
      <w:r>
        <w:rPr>
          <w:rFonts w:ascii="Arial"/>
          <w:spacing w:val="-73"/>
          <w:w w:val="270"/>
          <w:sz w:val="19"/>
        </w:rPr>
        <w:t> </w:t>
      </w:r>
      <w:r>
        <w:rPr>
          <w:rFonts w:ascii="Arial"/>
          <w:w w:val="125"/>
          <w:sz w:val="19"/>
        </w:rPr>
        <w:t>(a)</w:t>
      </w:r>
    </w:p>
    <w:p>
      <w:pPr>
        <w:spacing w:line="309" w:lineRule="exact" w:before="155"/>
        <w:ind w:left="1181" w:right="0" w:firstLine="0"/>
        <w:jc w:val="left"/>
        <w:rPr>
          <w:sz w:val="20"/>
        </w:rPr>
      </w:pPr>
      <w:r>
        <w:rPr/>
        <w:pict>
          <v:line style="position:absolute;mso-position-horizontal-relative:page;mso-position-vertical-relative:paragraph;z-index:-705184" from="157.139999pt,23.458817pt" to="160.919999pt,23.458817pt" stroked="true" strokeweight=".9pt" strokecolor="#000000">
            <w10:wrap type="none"/>
          </v:line>
        </w:pict>
      </w:r>
      <w:r>
        <w:rPr>
          <w:w w:val="110"/>
          <w:sz w:val="19"/>
        </w:rPr>
        <w:t>376  </w:t>
      </w:r>
      <w:r>
        <w:rPr>
          <w:rFonts w:ascii="Arial" w:hAnsi="Arial"/>
          <w:w w:val="110"/>
          <w:sz w:val="31"/>
        </w:rPr>
        <w:t>+</w:t>
      </w:r>
      <w:r>
        <w:rPr>
          <w:rFonts w:ascii="Arial" w:hAnsi="Arial"/>
          <w:spacing w:val="-54"/>
          <w:w w:val="110"/>
          <w:sz w:val="31"/>
        </w:rPr>
        <w:t> </w:t>
      </w:r>
      <w:r>
        <w:rPr>
          <w:w w:val="110"/>
          <w:sz w:val="19"/>
        </w:rPr>
        <w:t>4,335·</w:t>
      </w:r>
      <w:r>
        <w:rPr>
          <w:w w:val="110"/>
          <w:sz w:val="20"/>
        </w:rPr>
        <w:t>(a}</w:t>
      </w:r>
    </w:p>
    <w:p>
      <w:pPr>
        <w:pStyle w:val="BodyText"/>
        <w:spacing w:line="63" w:lineRule="exact"/>
        <w:ind w:right="990"/>
        <w:jc w:val="center"/>
      </w:pPr>
      <w:r>
        <w:rPr>
          <w:w w:val="105"/>
        </w:rPr>
        <w:t>2</w:t>
      </w:r>
    </w:p>
    <w:p>
      <w:pPr>
        <w:pStyle w:val="BodyText"/>
        <w:tabs>
          <w:tab w:pos="2627" w:val="left" w:leader="none"/>
        </w:tabs>
        <w:spacing w:line="189" w:lineRule="exact"/>
        <w:ind w:right="2347"/>
        <w:jc w:val="center"/>
        <w:rPr>
          <w:sz w:val="22"/>
        </w:rPr>
      </w:pPr>
      <w:r>
        <w:rPr>
          <w:w w:val="120"/>
        </w:rPr>
        <w:t>(</w:t>
      </w:r>
      <w:r>
        <w:rPr>
          <w:spacing w:val="-9"/>
          <w:w w:val="120"/>
        </w:rPr>
        <w:t>e</w:t>
      </w:r>
      <w:r>
        <w:rPr>
          <w:w w:val="120"/>
        </w:rPr>
        <w:t>)</w:t>
      </w:r>
      <w:r>
        <w:rPr>
          <w:spacing w:val="22"/>
        </w:rPr>
        <w:t> </w:t>
      </w:r>
      <w:r>
        <w:rPr>
          <w:w w:val="122"/>
        </w:rPr>
        <w:t>1</w:t>
      </w:r>
      <w:r>
        <w:rPr>
          <w:spacing w:val="19"/>
        </w:rPr>
        <w:t> </w:t>
      </w:r>
      <w:r>
        <w:rPr>
          <w:spacing w:val="-539"/>
          <w:w w:val="600"/>
        </w:rPr>
        <w:t>---</w:t>
      </w:r>
      <w:r>
        <w:rPr>
          <w:spacing w:val="-320"/>
          <w:w w:val="600"/>
        </w:rPr>
        <w:t>-</w:t>
      </w:r>
      <w:r>
        <w:rPr>
          <w:w w:val="353"/>
        </w:rPr>
        <w:t>-</w:t>
      </w:r>
      <w:r>
        <w:rPr/>
        <w:tab/>
      </w:r>
      <w:r>
        <w:rPr>
          <w:w w:val="101"/>
          <w:position w:val="2"/>
          <w:sz w:val="22"/>
        </w:rPr>
        <w:t>or</w:t>
      </w:r>
    </w:p>
    <w:p>
      <w:pPr>
        <w:spacing w:line="169" w:lineRule="exact" w:before="0"/>
        <w:ind w:left="98" w:right="2254" w:firstLine="0"/>
        <w:jc w:val="center"/>
        <w:rPr>
          <w:sz w:val="19"/>
        </w:rPr>
      </w:pPr>
      <w:r>
        <w:rPr>
          <w:w w:val="120"/>
          <w:sz w:val="19"/>
        </w:rPr>
        <w:t>51,002</w:t>
      </w:r>
    </w:p>
    <w:p>
      <w:pPr>
        <w:spacing w:after="0" w:line="169" w:lineRule="exact"/>
        <w:jc w:val="center"/>
        <w:rPr>
          <w:sz w:val="19"/>
        </w:rPr>
        <w:sectPr>
          <w:type w:val="continuous"/>
          <w:pgSz w:w="7200" w:h="11340"/>
          <w:pgMar w:top="1100" w:bottom="0" w:left="680" w:right="520"/>
        </w:sectPr>
      </w:pPr>
    </w:p>
    <w:p>
      <w:pPr>
        <w:tabs>
          <w:tab w:pos="2605" w:val="left" w:leader="none"/>
          <w:tab w:pos="5265" w:val="left" w:leader="none"/>
        </w:tabs>
        <w:spacing w:before="45"/>
        <w:ind w:left="121" w:right="0" w:firstLine="0"/>
        <w:jc w:val="left"/>
        <w:rPr>
          <w:sz w:val="20"/>
        </w:rPr>
      </w:pPr>
      <w:r>
        <w:rPr>
          <w:spacing w:val="-8"/>
          <w:w w:val="105"/>
          <w:sz w:val="21"/>
        </w:rPr>
        <w:t>372</w:t>
        <w:tab/>
      </w:r>
      <w:r>
        <w:rPr>
          <w:rFonts w:ascii="Arial"/>
          <w:b/>
          <w:w w:val="105"/>
          <w:sz w:val="15"/>
        </w:rPr>
        <w:t>AN8WEll8</w:t>
        <w:tab/>
      </w:r>
      <w:r>
        <w:rPr>
          <w:w w:val="105"/>
          <w:sz w:val="20"/>
        </w:rPr>
        <w:t>[CH.</w:t>
      </w:r>
      <w:r>
        <w:rPr>
          <w:spacing w:val="-5"/>
          <w:w w:val="105"/>
          <w:sz w:val="20"/>
        </w:rPr>
        <w:t> </w:t>
      </w:r>
      <w:r>
        <w:rPr>
          <w:spacing w:val="-22"/>
          <w:w w:val="105"/>
          <w:sz w:val="20"/>
        </w:rPr>
        <w:t>16</w:t>
      </w:r>
    </w:p>
    <w:p>
      <w:pPr>
        <w:pStyle w:val="BodyText"/>
        <w:spacing w:before="7"/>
        <w:rPr>
          <w:sz w:val="13"/>
        </w:rPr>
      </w:pPr>
    </w:p>
    <w:p>
      <w:pPr>
        <w:tabs>
          <w:tab w:pos="1057" w:val="left" w:leader="none"/>
        </w:tabs>
        <w:spacing w:before="76"/>
        <w:ind w:left="664" w:right="0" w:firstLine="0"/>
        <w:jc w:val="left"/>
        <w:rPr>
          <w:sz w:val="20"/>
        </w:rPr>
      </w:pPr>
      <w:r>
        <w:rPr/>
        <w:pict>
          <v:line style="position:absolute;mso-position-horizontal-relative:page;mso-position-vertical-relative:paragraph;z-index:-704992" from="54.540001pt,22.752735pt" to="81.360001pt,22.752735pt" stroked="true" strokeweight="6.3pt" strokecolor="#000000">
            <w10:wrap type="none"/>
          </v:line>
        </w:pict>
      </w:r>
      <w:r>
        <w:rPr/>
        <w:pict>
          <v:shape style="position:absolute;margin-left:64.800003pt;margin-top:16.246651pt;width:2.7pt;height:12pt;mso-position-horizontal-relative:page;mso-position-vertical-relative:paragraph;z-index:-704800" type="#_x0000_t202" filled="false" stroked="false">
            <v:textbox inset="0,0,0,0">
              <w:txbxContent>
                <w:p>
                  <w:pPr>
                    <w:spacing w:line="240" w:lineRule="exact" w:before="0"/>
                    <w:ind w:left="0" w:right="0" w:firstLine="0"/>
                    <w:jc w:val="left"/>
                    <w:rPr>
                      <w:sz w:val="24"/>
                    </w:rPr>
                  </w:pPr>
                  <w:r>
                    <w:rPr>
                      <w:w w:val="90"/>
                      <w:sz w:val="24"/>
                    </w:rPr>
                    <w:t>,</w:t>
                  </w:r>
                </w:p>
              </w:txbxContent>
            </v:textbox>
            <w10:wrap type="none"/>
          </v:shape>
        </w:pict>
      </w:r>
      <w:r>
        <w:rPr>
          <w:w w:val="110"/>
          <w:position w:val="12"/>
          <w:sz w:val="21"/>
        </w:rPr>
        <w:t>1</w:t>
        <w:tab/>
      </w:r>
      <w:r>
        <w:rPr>
          <w:rFonts w:ascii="Arial"/>
          <w:sz w:val="18"/>
        </w:rPr>
        <w:t>{</w:t>
      </w:r>
      <w:r>
        <w:rPr>
          <w:rFonts w:ascii="Arial"/>
          <w:spacing w:val="-35"/>
          <w:sz w:val="18"/>
        </w:rPr>
        <w:t> </w:t>
      </w:r>
      <w:r>
        <w:rPr>
          <w:rFonts w:ascii="Arial"/>
          <w:w w:val="110"/>
          <w:sz w:val="18"/>
        </w:rPr>
        <w:t>46,291</w:t>
      </w:r>
      <w:r>
        <w:rPr>
          <w:rFonts w:ascii="Arial"/>
          <w:spacing w:val="-7"/>
          <w:w w:val="110"/>
          <w:sz w:val="18"/>
        </w:rPr>
        <w:t> </w:t>
      </w:r>
      <w:r>
        <w:rPr>
          <w:rFonts w:ascii="Arial"/>
          <w:w w:val="110"/>
          <w:sz w:val="31"/>
        </w:rPr>
        <w:t>+</w:t>
      </w:r>
      <w:r>
        <w:rPr>
          <w:rFonts w:ascii="Arial"/>
          <w:spacing w:val="-56"/>
          <w:w w:val="110"/>
          <w:sz w:val="31"/>
        </w:rPr>
        <w:t> </w:t>
      </w:r>
      <w:r>
        <w:rPr>
          <w:rFonts w:ascii="Arial"/>
          <w:w w:val="110"/>
          <w:sz w:val="18"/>
        </w:rPr>
        <w:t>33,839</w:t>
      </w:r>
      <w:r>
        <w:rPr>
          <w:rFonts w:ascii="Arial"/>
          <w:spacing w:val="7"/>
          <w:w w:val="110"/>
          <w:sz w:val="18"/>
        </w:rPr>
        <w:t> </w:t>
      </w:r>
      <w:r>
        <w:rPr>
          <w:rFonts w:ascii="Arial"/>
          <w:w w:val="265"/>
          <w:sz w:val="18"/>
        </w:rPr>
        <w:t>-</w:t>
      </w:r>
      <w:r>
        <w:rPr>
          <w:rFonts w:ascii="Arial"/>
          <w:spacing w:val="-90"/>
          <w:w w:val="265"/>
          <w:sz w:val="18"/>
        </w:rPr>
        <w:t> </w:t>
      </w:r>
      <w:r>
        <w:rPr>
          <w:rFonts w:ascii="Arial"/>
          <w:w w:val="110"/>
          <w:sz w:val="18"/>
        </w:rPr>
        <w:t>29,711(1</w:t>
      </w:r>
      <w:r>
        <w:rPr>
          <w:rFonts w:ascii="Arial"/>
          <w:spacing w:val="-5"/>
          <w:w w:val="110"/>
          <w:sz w:val="18"/>
        </w:rPr>
        <w:t> </w:t>
      </w:r>
      <w:r>
        <w:rPr>
          <w:rFonts w:ascii="Arial"/>
          <w:w w:val="265"/>
          <w:sz w:val="18"/>
        </w:rPr>
        <w:t>-</w:t>
      </w:r>
      <w:r>
        <w:rPr>
          <w:rFonts w:ascii="Arial"/>
          <w:spacing w:val="-81"/>
          <w:w w:val="265"/>
          <w:sz w:val="18"/>
        </w:rPr>
        <w:t> </w:t>
      </w:r>
      <w:r>
        <w:rPr>
          <w:w w:val="110"/>
          <w:sz w:val="20"/>
        </w:rPr>
        <w:t>(a)]}</w:t>
      </w:r>
    </w:p>
    <w:p>
      <w:pPr>
        <w:tabs>
          <w:tab w:pos="3037" w:val="left" w:leader="none"/>
        </w:tabs>
        <w:spacing w:line="291" w:lineRule="exact" w:before="66"/>
        <w:ind w:left="218" w:right="0" w:firstLine="0"/>
        <w:jc w:val="left"/>
        <w:rPr>
          <w:rFonts w:ascii="Arial"/>
          <w:sz w:val="11"/>
        </w:rPr>
      </w:pPr>
      <w:r>
        <w:rPr>
          <w:rFonts w:ascii="Arial"/>
          <w:w w:val="74"/>
          <w:position w:val="-8"/>
          <w:sz w:val="19"/>
        </w:rPr>
        <w:t>O</w:t>
      </w:r>
      <w:r>
        <w:rPr>
          <w:rFonts w:ascii="Arial"/>
          <w:position w:val="-8"/>
          <w:sz w:val="19"/>
        </w:rPr>
        <w:t>  </w:t>
      </w:r>
      <w:r>
        <w:rPr>
          <w:rFonts w:ascii="Arial"/>
          <w:spacing w:val="-3"/>
          <w:position w:val="-8"/>
          <w:sz w:val="19"/>
        </w:rPr>
        <w:t> </w:t>
      </w:r>
      <w:r>
        <w:rPr>
          <w:rFonts w:ascii="Arial"/>
          <w:b/>
          <w:i/>
          <w:w w:val="87"/>
          <w:sz w:val="40"/>
        </w:rPr>
        <w:t>r</w:t>
      </w:r>
      <w:r>
        <w:rPr>
          <w:rFonts w:ascii="Arial"/>
          <w:b/>
          <w:i/>
          <w:spacing w:val="-7"/>
          <w:sz w:val="40"/>
        </w:rPr>
        <w:t> </w:t>
      </w:r>
      <w:r>
        <w:rPr>
          <w:rFonts w:ascii="Arial"/>
          <w:spacing w:val="9"/>
          <w:w w:val="54"/>
          <w:sz w:val="40"/>
        </w:rPr>
        <w:t>(</w:t>
      </w:r>
      <w:r>
        <w:rPr>
          <w:w w:val="122"/>
          <w:sz w:val="16"/>
        </w:rPr>
        <w:t>bl</w:t>
      </w:r>
      <w:r>
        <w:rPr>
          <w:w w:val="122"/>
          <w:sz w:val="16"/>
        </w:rPr>
        <w:t>)</w:t>
      </w:r>
      <w:r>
        <w:rPr>
          <w:spacing w:val="-15"/>
          <w:w w:val="122"/>
          <w:sz w:val="16"/>
        </w:rPr>
        <w:t>1</w:t>
      </w:r>
      <w:r>
        <w:rPr>
          <w:w w:val="82"/>
          <w:sz w:val="16"/>
        </w:rPr>
        <w:t>4+a</w:t>
      </w:r>
      <w:r>
        <w:rPr>
          <w:sz w:val="16"/>
        </w:rPr>
        <w:t> </w:t>
      </w:r>
      <w:r>
        <w:rPr>
          <w:spacing w:val="8"/>
          <w:sz w:val="16"/>
        </w:rPr>
        <w:t> </w:t>
      </w:r>
      <w:r>
        <w:rPr>
          <w:w w:val="122"/>
          <w:sz w:val="16"/>
        </w:rPr>
        <w:t>(</w:t>
      </w:r>
      <w:r>
        <w:rPr>
          <w:sz w:val="16"/>
        </w:rPr>
        <w:t>  </w:t>
      </w:r>
      <w:r>
        <w:rPr>
          <w:spacing w:val="12"/>
          <w:sz w:val="16"/>
        </w:rPr>
        <w:t> </w:t>
      </w:r>
      <w:r>
        <w:rPr>
          <w:rFonts w:ascii="Arial"/>
          <w:b/>
          <w:w w:val="132"/>
          <w:sz w:val="11"/>
        </w:rPr>
        <w:t>Od</w:t>
      </w:r>
      <w:r>
        <w:rPr>
          <w:rFonts w:ascii="Arial"/>
          <w:b/>
          <w:w w:val="132"/>
          <w:sz w:val="11"/>
        </w:rPr>
        <w:t>)</w:t>
      </w:r>
      <w:r>
        <w:rPr>
          <w:rFonts w:ascii="Arial"/>
          <w:b/>
          <w:sz w:val="11"/>
        </w:rPr>
        <w:t>   </w:t>
      </w:r>
      <w:r>
        <w:rPr>
          <w:rFonts w:ascii="Arial"/>
          <w:b/>
          <w:spacing w:val="-7"/>
          <w:sz w:val="11"/>
        </w:rPr>
        <w:t> </w:t>
      </w:r>
      <w:r>
        <w:rPr>
          <w:rFonts w:ascii="Arial"/>
          <w:w w:val="105"/>
          <w:sz w:val="31"/>
        </w:rPr>
        <w:t>+</w:t>
      </w:r>
      <w:r>
        <w:rPr>
          <w:rFonts w:ascii="Arial"/>
          <w:sz w:val="31"/>
        </w:rPr>
        <w:t> </w:t>
      </w:r>
      <w:r>
        <w:rPr>
          <w:rFonts w:ascii="Arial"/>
          <w:spacing w:val="6"/>
          <w:sz w:val="31"/>
        </w:rPr>
        <w:t> </w:t>
      </w:r>
      <w:r>
        <w:rPr>
          <w:rFonts w:ascii="Arial"/>
          <w:b/>
          <w:w w:val="166"/>
          <w:sz w:val="11"/>
        </w:rPr>
        <w:t>(</w:t>
      </w:r>
      <w:r>
        <w:rPr>
          <w:rFonts w:ascii="Arial"/>
          <w:b/>
          <w:w w:val="166"/>
          <w:sz w:val="11"/>
        </w:rPr>
        <w:t>hl</w:t>
      </w:r>
      <w:r>
        <w:rPr>
          <w:rFonts w:ascii="Arial"/>
          <w:b/>
          <w:w w:val="166"/>
          <w:sz w:val="11"/>
        </w:rPr>
        <w:t>)</w:t>
      </w:r>
      <w:r>
        <w:rPr>
          <w:rFonts w:ascii="Arial"/>
          <w:b/>
          <w:sz w:val="11"/>
        </w:rPr>
        <w:tab/>
      </w:r>
      <w:r>
        <w:rPr>
          <w:rFonts w:ascii="Arial"/>
          <w:b/>
          <w:w w:val="133"/>
          <w:sz w:val="11"/>
        </w:rPr>
        <w:t>(M)</w:t>
      </w:r>
      <w:r>
        <w:rPr>
          <w:rFonts w:ascii="Arial"/>
          <w:b/>
          <w:sz w:val="11"/>
        </w:rPr>
        <w:t> </w:t>
      </w:r>
      <w:r>
        <w:rPr>
          <w:rFonts w:ascii="Arial"/>
          <w:b/>
          <w:spacing w:val="13"/>
          <w:sz w:val="11"/>
        </w:rPr>
        <w:t> </w:t>
      </w:r>
      <w:r>
        <w:rPr>
          <w:rFonts w:ascii="Arial"/>
          <w:w w:val="205"/>
          <w:sz w:val="11"/>
        </w:rPr>
        <w:t>)</w:t>
      </w:r>
    </w:p>
    <w:p>
      <w:pPr>
        <w:spacing w:after="0" w:line="291" w:lineRule="exact"/>
        <w:jc w:val="left"/>
        <w:rPr>
          <w:rFonts w:ascii="Arial"/>
          <w:sz w:val="11"/>
        </w:rPr>
        <w:sectPr>
          <w:pgSz w:w="7200" w:h="11340"/>
          <w:pgMar w:top="500" w:bottom="280" w:left="660" w:right="540"/>
        </w:sectPr>
      </w:pPr>
    </w:p>
    <w:p>
      <w:pPr>
        <w:spacing w:line="237" w:lineRule="exact" w:before="0"/>
        <w:ind w:left="0" w:right="61" w:firstLine="0"/>
        <w:jc w:val="right"/>
        <w:rPr>
          <w:sz w:val="27"/>
        </w:rPr>
      </w:pPr>
      <w:r>
        <w:rPr/>
        <w:pict>
          <v:line style="position:absolute;mso-position-horizontal-relative:page;mso-position-vertical-relative:paragraph;z-index:31096" from="73.260002pt,13.293096pt" to="95.220002pt,13.293096pt" stroked="true" strokeweight="4.860pt" strokecolor="#000000">
            <w10:wrap type="none"/>
          </v:line>
        </w:pict>
      </w:r>
      <w:r>
        <w:rPr>
          <w:w w:val="130"/>
          <w:sz w:val="18"/>
        </w:rPr>
        <w:t>1 ·</w:t>
      </w:r>
      <w:r>
        <w:rPr>
          <w:w w:val="130"/>
          <w:sz w:val="27"/>
        </w:rPr>
        <w:t>J</w:t>
      </w:r>
    </w:p>
    <w:p>
      <w:pPr>
        <w:spacing w:line="99" w:lineRule="exact" w:before="0"/>
        <w:ind w:left="0" w:right="0" w:firstLine="0"/>
        <w:jc w:val="right"/>
        <w:rPr>
          <w:rFonts w:ascii="Arial"/>
          <w:sz w:val="12"/>
        </w:rPr>
      </w:pPr>
      <w:r>
        <w:rPr>
          <w:rFonts w:ascii="Arial"/>
          <w:w w:val="106"/>
          <w:sz w:val="12"/>
        </w:rPr>
        <w:t>0</w:t>
      </w:r>
    </w:p>
    <w:p>
      <w:pPr>
        <w:tabs>
          <w:tab w:pos="808" w:val="left" w:leader="none"/>
          <w:tab w:pos="1543" w:val="left" w:leader="none"/>
        </w:tabs>
        <w:spacing w:before="29"/>
        <w:ind w:left="135" w:right="0" w:firstLine="0"/>
        <w:jc w:val="left"/>
        <w:rPr>
          <w:rFonts w:ascii="Arial" w:hAnsi="Arial"/>
          <w:i/>
          <w:sz w:val="20"/>
        </w:rPr>
      </w:pPr>
      <w:r>
        <w:rPr/>
        <w:br w:type="column"/>
      </w:r>
      <w:r>
        <w:rPr>
          <w:w w:val="110"/>
          <w:sz w:val="18"/>
        </w:rPr>
        <w:t>(bl)M</w:t>
        <w:tab/>
      </w:r>
      <w:r>
        <w:rPr>
          <w:spacing w:val="-5"/>
          <w:w w:val="110"/>
          <w:sz w:val="16"/>
        </w:rPr>
        <w:t>1'14+,</w:t>
        <w:tab/>
      </w:r>
      <w:r>
        <w:rPr>
          <w:rFonts w:ascii="Arial" w:hAnsi="Arial"/>
          <w:i/>
          <w:w w:val="125"/>
          <w:sz w:val="16"/>
        </w:rPr>
        <w:t>l'l'+I </w:t>
      </w:r>
      <w:r>
        <w:rPr>
          <w:rFonts w:ascii="Arial" w:hAnsi="Arial"/>
          <w:i/>
          <w:spacing w:val="-5"/>
          <w:w w:val="110"/>
          <w:sz w:val="19"/>
        </w:rPr>
        <w:t>·2-,qu+1</w:t>
      </w:r>
      <w:r>
        <w:rPr>
          <w:rFonts w:ascii="Arial" w:hAnsi="Arial"/>
          <w:i/>
          <w:spacing w:val="29"/>
          <w:w w:val="110"/>
          <w:sz w:val="19"/>
        </w:rPr>
        <w:t> </w:t>
      </w:r>
      <w:r>
        <w:rPr>
          <w:rFonts w:ascii="Arial" w:hAnsi="Arial"/>
          <w:i/>
          <w:w w:val="110"/>
          <w:sz w:val="20"/>
        </w:rPr>
        <w:t>dt</w:t>
      </w:r>
    </w:p>
    <w:p>
      <w:pPr>
        <w:spacing w:after="0"/>
        <w:jc w:val="left"/>
        <w:rPr>
          <w:rFonts w:ascii="Arial" w:hAnsi="Arial"/>
          <w:sz w:val="20"/>
        </w:rPr>
        <w:sectPr>
          <w:type w:val="continuous"/>
          <w:pgSz w:w="7200" w:h="11340"/>
          <w:pgMar w:top="1100" w:bottom="0" w:left="660" w:right="540"/>
          <w:cols w:num="2" w:equalWidth="0">
            <w:col w:w="585" w:space="84"/>
            <w:col w:w="5331"/>
          </w:cols>
        </w:sectPr>
      </w:pPr>
    </w:p>
    <w:p>
      <w:pPr>
        <w:pStyle w:val="BodyText"/>
        <w:spacing w:before="4"/>
        <w:rPr>
          <w:rFonts w:ascii="Arial"/>
          <w:i/>
          <w:sz w:val="9"/>
        </w:rPr>
      </w:pPr>
    </w:p>
    <w:p>
      <w:pPr>
        <w:pStyle w:val="BodyText"/>
        <w:ind w:left="117"/>
        <w:rPr>
          <w:rFonts w:ascii="Arial"/>
        </w:rPr>
      </w:pPr>
      <w:r>
        <w:rPr>
          <w:rFonts w:ascii="Arial"/>
        </w:rPr>
        <w:drawing>
          <wp:inline distT="0" distB="0" distL="0" distR="0">
            <wp:extent cx="2285999" cy="329184"/>
            <wp:effectExtent l="0" t="0" r="0" b="0"/>
            <wp:docPr id="889" name="image455.png" descr=""/>
            <wp:cNvGraphicFramePr>
              <a:graphicFrameLocks noChangeAspect="1"/>
            </wp:cNvGraphicFramePr>
            <a:graphic>
              <a:graphicData uri="http://schemas.openxmlformats.org/drawingml/2006/picture">
                <pic:pic>
                  <pic:nvPicPr>
                    <pic:cNvPr id="890" name="image455.png"/>
                    <pic:cNvPicPr/>
                  </pic:nvPicPr>
                  <pic:blipFill>
                    <a:blip r:embed="rId459" cstate="print"/>
                    <a:stretch>
                      <a:fillRect/>
                    </a:stretch>
                  </pic:blipFill>
                  <pic:spPr>
                    <a:xfrm>
                      <a:off x="0" y="0"/>
                      <a:ext cx="2285999" cy="329184"/>
                    </a:xfrm>
                    <a:prstGeom prst="rect">
                      <a:avLst/>
                    </a:prstGeom>
                  </pic:spPr>
                </pic:pic>
              </a:graphicData>
            </a:graphic>
          </wp:inline>
        </w:drawing>
      </w:r>
      <w:r>
        <w:rPr>
          <w:rFonts w:ascii="Arial"/>
        </w:rPr>
      </w:r>
    </w:p>
    <w:p>
      <w:pPr>
        <w:pStyle w:val="BodyText"/>
        <w:spacing w:before="3"/>
        <w:rPr>
          <w:rFonts w:ascii="Arial"/>
          <w:i/>
          <w:sz w:val="11"/>
        </w:rPr>
      </w:pPr>
    </w:p>
    <w:p>
      <w:pPr>
        <w:spacing w:line="93" w:lineRule="exact" w:before="0"/>
        <w:ind w:left="502" w:right="0" w:firstLine="0"/>
        <w:jc w:val="left"/>
        <w:rPr>
          <w:rFonts w:ascii="Arial"/>
          <w:b/>
          <w:sz w:val="11"/>
        </w:rPr>
      </w:pPr>
      <w:r>
        <w:rPr/>
        <w:pict>
          <v:shape style="position:absolute;margin-left:54.720001pt;margin-top:2.819484pt;width:10.4pt;height:17pt;mso-position-horizontal-relative:page;mso-position-vertical-relative:paragraph;z-index:-704872" type="#_x0000_t202" filled="false" stroked="false">
            <v:textbox inset="0,0,0,0">
              <w:txbxContent>
                <w:p>
                  <w:pPr>
                    <w:spacing w:line="340" w:lineRule="exact" w:before="0"/>
                    <w:ind w:left="0" w:right="0" w:firstLine="0"/>
                    <w:jc w:val="left"/>
                    <w:rPr>
                      <w:i/>
                      <w:sz w:val="34"/>
                    </w:rPr>
                  </w:pPr>
                  <w:r>
                    <w:rPr>
                      <w:i/>
                      <w:w w:val="109"/>
                      <w:sz w:val="34"/>
                    </w:rPr>
                    <w:t>L</w:t>
                  </w:r>
                </w:p>
              </w:txbxContent>
            </v:textbox>
            <w10:wrap type="none"/>
          </v:shape>
        </w:pict>
      </w:r>
      <w:r>
        <w:rPr>
          <w:rFonts w:ascii="Arial"/>
          <w:b/>
          <w:w w:val="106"/>
          <w:sz w:val="11"/>
        </w:rPr>
        <w:t>2</w:t>
      </w:r>
    </w:p>
    <w:p>
      <w:pPr>
        <w:spacing w:line="244" w:lineRule="exact" w:before="0"/>
        <w:ind w:left="722" w:right="0" w:firstLine="0"/>
        <w:jc w:val="left"/>
        <w:rPr>
          <w:rFonts w:ascii="Arial"/>
          <w:i/>
          <w:sz w:val="19"/>
        </w:rPr>
      </w:pPr>
      <w:r>
        <w:rPr>
          <w:sz w:val="20"/>
        </w:rPr>
        <w:t>v1+</w:t>
      </w:r>
      <w:r>
        <w:rPr>
          <w:position w:val="11"/>
          <w:sz w:val="12"/>
        </w:rPr>
        <w:t>1</w:t>
      </w:r>
      <w:r>
        <w:rPr>
          <w:sz w:val="20"/>
        </w:rPr>
        <w:t>[2(3d)67+1 </w:t>
      </w:r>
      <w:r>
        <w:rPr>
          <w:sz w:val="29"/>
        </w:rPr>
        <w:t>+ </w:t>
      </w:r>
      <w:r>
        <w:rPr>
          <w:rFonts w:ascii="Arial"/>
          <w:i/>
          <w:sz w:val="19"/>
        </w:rPr>
        <w:t>( sm),1+1 </w:t>
      </w:r>
      <w:r>
        <w:rPr>
          <w:sz w:val="29"/>
        </w:rPr>
        <w:t>+ </w:t>
      </w:r>
      <w:r>
        <w:rPr>
          <w:rFonts w:ascii="Arial"/>
          <w:i/>
          <w:sz w:val="19"/>
        </w:rPr>
        <w:t>( mdh1+11</w:t>
      </w:r>
    </w:p>
    <w:p>
      <w:pPr>
        <w:spacing w:line="103" w:lineRule="exact" w:before="0"/>
        <w:ind w:left="441" w:right="0" w:firstLine="0"/>
        <w:jc w:val="left"/>
        <w:rPr>
          <w:sz w:val="18"/>
        </w:rPr>
      </w:pPr>
      <w:r>
        <w:rPr>
          <w:w w:val="115"/>
          <w:sz w:val="18"/>
        </w:rPr>
        <w:t>,-o</w:t>
      </w:r>
    </w:p>
    <w:p>
      <w:pPr>
        <w:tabs>
          <w:tab w:pos="3062" w:val="left" w:leader="none"/>
          <w:tab w:pos="5470" w:val="left" w:leader="none"/>
        </w:tabs>
        <w:spacing w:line="178" w:lineRule="exact" w:before="0"/>
        <w:ind w:left="139" w:right="0" w:firstLine="0"/>
        <w:jc w:val="left"/>
        <w:rPr>
          <w:sz w:val="20"/>
        </w:rPr>
      </w:pPr>
      <w:r>
        <w:rPr>
          <w:spacing w:val="-15"/>
          <w:w w:val="125"/>
          <w:position w:val="-2"/>
          <w:sz w:val="19"/>
        </w:rPr>
        <w:t>14.</w:t>
        <w:tab/>
      </w:r>
      <w:r>
        <w:rPr>
          <w:rFonts w:ascii="Arial"/>
          <w:sz w:val="31"/>
        </w:rPr>
        <w:t>+</w:t>
      </w:r>
      <w:r>
        <w:rPr>
          <w:rFonts w:ascii="Arial"/>
          <w:spacing w:val="-44"/>
          <w:sz w:val="31"/>
        </w:rPr>
        <w:t> </w:t>
      </w:r>
      <w:r>
        <w:rPr>
          <w:spacing w:val="-3"/>
          <w:sz w:val="20"/>
        </w:rPr>
        <w:t>v</w:t>
      </w:r>
      <w:r>
        <w:rPr>
          <w:spacing w:val="-3"/>
          <w:position w:val="10"/>
          <w:sz w:val="13"/>
        </w:rPr>
        <w:t>1</w:t>
      </w:r>
      <w:r>
        <w:rPr>
          <w:spacing w:val="-3"/>
          <w:sz w:val="20"/>
        </w:rPr>
        <w:t>[2</w:t>
      </w:r>
      <w:r>
        <w:rPr>
          <w:spacing w:val="-3"/>
          <w:sz w:val="20"/>
          <w:u w:val="single"/>
        </w:rPr>
        <w:t>(3Z)eo</w:t>
      </w:r>
      <w:r>
        <w:rPr>
          <w:spacing w:val="7"/>
          <w:sz w:val="20"/>
          <w:u w:val="single"/>
        </w:rPr>
        <w:t> </w:t>
      </w:r>
      <w:r>
        <w:rPr>
          <w:rFonts w:ascii="Arial"/>
          <w:sz w:val="31"/>
          <w:u w:val="single"/>
        </w:rPr>
        <w:t>+</w:t>
      </w:r>
      <w:r>
        <w:rPr>
          <w:rFonts w:ascii="Arial"/>
          <w:spacing w:val="-16"/>
          <w:sz w:val="31"/>
          <w:u w:val="single"/>
        </w:rPr>
        <w:t> </w:t>
      </w:r>
      <w:r>
        <w:rPr>
          <w:sz w:val="19"/>
          <w:u w:val="single"/>
        </w:rPr>
        <w:t>(</w:t>
      </w:r>
      <w:r>
        <w:rPr>
          <w:spacing w:val="-33"/>
          <w:sz w:val="19"/>
          <w:u w:val="single"/>
        </w:rPr>
        <w:t> </w:t>
      </w:r>
      <w:r>
        <w:rPr>
          <w:sz w:val="19"/>
          <w:u w:val="single"/>
        </w:rPr>
        <w:t>ml)eo](l </w:t>
      </w:r>
      <w:r>
        <w:rPr>
          <w:spacing w:val="9"/>
          <w:sz w:val="19"/>
          <w:u w:val="single"/>
        </w:rPr>
        <w:t> </w:t>
      </w:r>
      <w:r>
        <w:rPr>
          <w:w w:val="275"/>
          <w:sz w:val="19"/>
          <w:u w:val="single"/>
        </w:rPr>
        <w:t>-</w:t>
      </w:r>
      <w:r>
        <w:rPr>
          <w:w w:val="275"/>
          <w:sz w:val="19"/>
        </w:rPr>
        <w:tab/>
      </w:r>
      <w:r>
        <w:rPr>
          <w:sz w:val="20"/>
          <w:u w:val="single"/>
        </w:rPr>
        <w:t>d</w:t>
      </w:r>
      <w:r>
        <w:rPr>
          <w:sz w:val="20"/>
        </w:rPr>
        <w:t>iieo)</w:t>
      </w:r>
    </w:p>
    <w:p>
      <w:pPr>
        <w:tabs>
          <w:tab w:pos="3465" w:val="left" w:leader="none"/>
          <w:tab w:pos="5593" w:val="left" w:leader="none"/>
        </w:tabs>
        <w:spacing w:line="123" w:lineRule="exact" w:before="0"/>
        <w:ind w:left="2716" w:right="0" w:firstLine="0"/>
        <w:jc w:val="left"/>
        <w:rPr>
          <w:rFonts w:ascii="Arial"/>
          <w:b/>
          <w:sz w:val="12"/>
        </w:rPr>
      </w:pPr>
      <w:r>
        <w:rPr/>
        <w:pict>
          <v:group style="position:absolute;margin-left:54.599998pt;margin-top:5.507893pt;width:151.950pt;height:1.45pt;mso-position-horizontal-relative:page;mso-position-vertical-relative:paragraph;z-index:-704896" coordorigin="1092,110" coordsize="3039,29">
            <v:line style="position:absolute" from="1098,132" to="3454,132" stroked="true" strokeweight=".5985pt" strokecolor="#000000"/>
            <v:shape style="position:absolute;left:3481;top:116;width:645;height:2" coordorigin="3481,116" coordsize="645,0" path="m3481,116l3976,116m3985,116l4125,116e" filled="false" stroked="true" strokeweight=".534pt" strokecolor="#000000">
              <v:path arrowok="t"/>
            </v:shape>
            <w10:wrap type="none"/>
          </v:group>
        </w:pict>
      </w:r>
      <w:r>
        <w:rPr>
          <w:rFonts w:ascii="Arial"/>
          <w:b/>
          <w:w w:val="125"/>
          <w:sz w:val="12"/>
        </w:rPr>
        <w:t>2</w:t>
        <w:tab/>
      </w:r>
      <w:r>
        <w:rPr>
          <w:rFonts w:ascii="Arial"/>
          <w:b/>
          <w:sz w:val="12"/>
        </w:rPr>
        <w:t>;;_</w:t>
        <w:tab/>
      </w:r>
      <w:r>
        <w:rPr>
          <w:rFonts w:ascii="Arial"/>
          <w:b/>
          <w:w w:val="355"/>
          <w:sz w:val="12"/>
        </w:rPr>
        <w:t>_</w:t>
      </w:r>
    </w:p>
    <w:p>
      <w:pPr>
        <w:spacing w:after="0" w:line="123" w:lineRule="exact"/>
        <w:jc w:val="left"/>
        <w:rPr>
          <w:rFonts w:ascii="Arial"/>
          <w:sz w:val="12"/>
        </w:rPr>
        <w:sectPr>
          <w:type w:val="continuous"/>
          <w:pgSz w:w="7200" w:h="11340"/>
          <w:pgMar w:top="1100" w:bottom="0" w:left="660" w:right="540"/>
        </w:sectPr>
      </w:pPr>
    </w:p>
    <w:p>
      <w:pPr>
        <w:pStyle w:val="BodyText"/>
        <w:rPr>
          <w:rFonts w:ascii="Arial"/>
          <w:b/>
          <w:sz w:val="22"/>
        </w:rPr>
      </w:pPr>
    </w:p>
    <w:p>
      <w:pPr>
        <w:pStyle w:val="BodyText"/>
        <w:rPr>
          <w:rFonts w:ascii="Arial"/>
          <w:b/>
          <w:sz w:val="22"/>
        </w:rPr>
      </w:pPr>
    </w:p>
    <w:p>
      <w:pPr>
        <w:pStyle w:val="BodyText"/>
        <w:rPr>
          <w:rFonts w:ascii="Arial"/>
          <w:b/>
          <w:sz w:val="21"/>
        </w:rPr>
      </w:pPr>
    </w:p>
    <w:p>
      <w:pPr>
        <w:tabs>
          <w:tab w:pos="563" w:val="left" w:leader="none"/>
        </w:tabs>
        <w:spacing w:line="188" w:lineRule="exact" w:before="0"/>
        <w:ind w:left="139" w:right="0" w:firstLine="0"/>
        <w:jc w:val="left"/>
        <w:rPr>
          <w:sz w:val="21"/>
        </w:rPr>
      </w:pPr>
      <w:r>
        <w:rPr>
          <w:spacing w:val="-18"/>
          <w:w w:val="125"/>
          <w:sz w:val="21"/>
        </w:rPr>
        <w:t>15</w:t>
        <w:tab/>
      </w:r>
      <w:r>
        <w:rPr>
          <w:w w:val="125"/>
          <w:position w:val="1"/>
          <w:sz w:val="21"/>
        </w:rPr>
        <w:t>1</w:t>
      </w:r>
    </w:p>
    <w:p>
      <w:pPr>
        <w:spacing w:line="178" w:lineRule="exact" w:before="0"/>
        <w:ind w:left="326" w:right="-17" w:firstLine="0"/>
        <w:jc w:val="left"/>
        <w:rPr>
          <w:sz w:val="21"/>
        </w:rPr>
      </w:pPr>
      <w:r>
        <w:rPr>
          <w:spacing w:val="-4"/>
          <w:w w:val="185"/>
          <w:sz w:val="21"/>
        </w:rPr>
        <w:t>·[ </w:t>
      </w:r>
      <w:r>
        <w:rPr>
          <w:w w:val="240"/>
          <w:sz w:val="21"/>
        </w:rPr>
        <w:t>-</w:t>
      </w:r>
      <w:r>
        <w:rPr>
          <w:spacing w:val="-78"/>
          <w:w w:val="240"/>
          <w:sz w:val="21"/>
        </w:rPr>
        <w:t> </w:t>
      </w:r>
      <w:r>
        <w:rPr>
          <w:spacing w:val="-10"/>
          <w:w w:val="120"/>
          <w:sz w:val="21"/>
        </w:rPr>
        <w:t>10,000</w:t>
      </w:r>
    </w:p>
    <w:p>
      <w:pPr>
        <w:pStyle w:val="BodyText"/>
        <w:spacing w:before="9"/>
        <w:rPr>
          <w:sz w:val="15"/>
        </w:rPr>
      </w:pPr>
      <w:r>
        <w:rPr/>
        <w:br w:type="column"/>
      </w:r>
      <w:r>
        <w:rPr>
          <w:sz w:val="15"/>
        </w:rPr>
      </w:r>
    </w:p>
    <w:p>
      <w:pPr>
        <w:spacing w:line="170" w:lineRule="exact" w:before="0"/>
        <w:ind w:left="1287" w:right="0" w:firstLine="0"/>
        <w:jc w:val="left"/>
        <w:rPr>
          <w:rFonts w:ascii="Arial"/>
          <w:i/>
          <w:sz w:val="19"/>
        </w:rPr>
      </w:pPr>
      <w:r>
        <w:rPr>
          <w:rFonts w:ascii="Arial"/>
          <w:i/>
          <w:w w:val="95"/>
          <w:sz w:val="19"/>
        </w:rPr>
        <w:t>v'( s011+1</w:t>
      </w:r>
    </w:p>
    <w:p>
      <w:pPr>
        <w:spacing w:line="159" w:lineRule="exact" w:before="0"/>
        <w:ind w:left="1013" w:right="0" w:firstLine="0"/>
        <w:jc w:val="left"/>
        <w:rPr>
          <w:b/>
          <w:sz w:val="18"/>
        </w:rPr>
      </w:pPr>
      <w:r>
        <w:rPr/>
        <w:pict>
          <v:shape style="position:absolute;margin-left:165.419998pt;margin-top:-12.560463pt;width:12.7pt;height:16pt;mso-position-horizontal-relative:page;mso-position-vertical-relative:paragraph;z-index:-704848" type="#_x0000_t202" filled="false" stroked="false">
            <v:textbox inset="0,0,0,0">
              <w:txbxContent>
                <w:p>
                  <w:pPr>
                    <w:spacing w:line="320" w:lineRule="exact" w:before="0"/>
                    <w:ind w:left="0" w:right="-8" w:firstLine="0"/>
                    <w:jc w:val="left"/>
                    <w:rPr>
                      <w:rFonts w:ascii="Arial"/>
                      <w:sz w:val="32"/>
                    </w:rPr>
                  </w:pPr>
                  <w:r>
                    <w:rPr>
                      <w:rFonts w:ascii="Arial"/>
                      <w:w w:val="80"/>
                      <w:sz w:val="32"/>
                    </w:rPr>
                    <w:t>:E</w:t>
                  </w:r>
                </w:p>
              </w:txbxContent>
            </v:textbox>
            <w10:wrap type="none"/>
          </v:shape>
        </w:pict>
      </w:r>
      <w:r>
        <w:rPr>
          <w:b/>
          <w:w w:val="115"/>
          <w:sz w:val="18"/>
        </w:rPr>
        <w:t>,-o</w:t>
      </w:r>
    </w:p>
    <w:p>
      <w:pPr>
        <w:spacing w:line="240" w:lineRule="exact" w:before="125"/>
        <w:ind w:left="139" w:right="0" w:firstLine="0"/>
        <w:jc w:val="left"/>
        <w:rPr>
          <w:sz w:val="21"/>
        </w:rPr>
      </w:pPr>
      <w:r>
        <w:rPr>
          <w:w w:val="113"/>
          <w:sz w:val="21"/>
        </w:rPr>
        <w:t>6</w:t>
      </w:r>
    </w:p>
    <w:p>
      <w:pPr>
        <w:spacing w:line="240" w:lineRule="exact" w:before="0"/>
        <w:ind w:left="211" w:right="0" w:firstLine="0"/>
        <w:jc w:val="left"/>
        <w:rPr>
          <w:sz w:val="21"/>
        </w:rPr>
      </w:pPr>
      <w:r>
        <w:rPr>
          <w:w w:val="137"/>
          <w:sz w:val="21"/>
          <w:u w:val="thick"/>
        </w:rPr>
        <w:t>t</w:t>
      </w:r>
      <w:r>
        <w:rPr>
          <w:w w:val="137"/>
          <w:sz w:val="21"/>
          <w:u w:val="thick"/>
        </w:rPr>
        <w:t>(</w:t>
      </w:r>
      <w:r>
        <w:rPr>
          <w:spacing w:val="-13"/>
          <w:w w:val="137"/>
          <w:sz w:val="21"/>
          <w:u w:val="thick"/>
        </w:rPr>
        <w:t>1</w:t>
      </w:r>
      <w:r>
        <w:rPr>
          <w:w w:val="127"/>
          <w:sz w:val="21"/>
          <w:u w:val="thick"/>
        </w:rPr>
        <w:t>,200</w:t>
      </w:r>
      <w:r>
        <w:rPr>
          <w:spacing w:val="15"/>
          <w:w w:val="126"/>
          <w:sz w:val="21"/>
          <w:u w:val="thick"/>
        </w:rPr>
        <w:t>J</w:t>
      </w:r>
      <w:r>
        <w:rPr>
          <w:spacing w:val="-99"/>
          <w:w w:val="236"/>
          <w:sz w:val="21"/>
          <w:u w:val="thick"/>
        </w:rPr>
        <w:t>[</w:t>
      </w:r>
      <w:r>
        <w:rPr>
          <w:w w:val="130"/>
          <w:sz w:val="21"/>
          <w:u w:val="thick"/>
        </w:rPr>
        <w:t>s</w:t>
      </w:r>
      <w:r>
        <w:rPr>
          <w:spacing w:val="-25"/>
          <w:w w:val="131"/>
          <w:sz w:val="21"/>
          <w:u w:val="thick"/>
        </w:rPr>
        <w:t>,</w:t>
      </w:r>
      <w:r>
        <w:rPr>
          <w:w w:val="97"/>
          <w:sz w:val="21"/>
          <w:u w:val="thick"/>
        </w:rPr>
        <w:t>634</w:t>
      </w:r>
      <w:r>
        <w:rPr>
          <w:sz w:val="21"/>
        </w:rPr>
        <w:t> </w:t>
      </w:r>
      <w:r>
        <w:rPr>
          <w:spacing w:val="-22"/>
          <w:sz w:val="21"/>
        </w:rPr>
        <w:t> </w:t>
      </w:r>
      <w:r>
        <w:rPr>
          <w:w w:val="282"/>
          <w:sz w:val="21"/>
        </w:rPr>
        <w:t>-</w:t>
      </w:r>
      <w:r>
        <w:rPr>
          <w:sz w:val="21"/>
        </w:rPr>
        <w:t>  </w:t>
      </w:r>
      <w:r>
        <w:rPr>
          <w:spacing w:val="-3"/>
          <w:sz w:val="21"/>
        </w:rPr>
        <w:t> </w:t>
      </w:r>
      <w:r>
        <w:rPr>
          <w:w w:val="120"/>
          <w:sz w:val="21"/>
        </w:rPr>
        <w:t>(</w:t>
      </w:r>
      <w:r>
        <w:rPr>
          <w:spacing w:val="-18"/>
          <w:w w:val="120"/>
          <w:sz w:val="21"/>
        </w:rPr>
        <w:t>1</w:t>
      </w:r>
      <w:r>
        <w:rPr>
          <w:w w:val="114"/>
          <w:sz w:val="21"/>
        </w:rPr>
        <w:t>,268)]</w:t>
      </w:r>
    </w:p>
    <w:p>
      <w:pPr>
        <w:spacing w:after="0" w:line="240" w:lineRule="exact"/>
        <w:jc w:val="left"/>
        <w:rPr>
          <w:sz w:val="21"/>
        </w:rPr>
        <w:sectPr>
          <w:type w:val="continuous"/>
          <w:pgSz w:w="7200" w:h="11340"/>
          <w:pgMar w:top="1100" w:bottom="0" w:left="660" w:right="540"/>
          <w:cols w:num="2" w:equalWidth="0">
            <w:col w:w="1522" w:space="119"/>
            <w:col w:w="4359"/>
          </w:cols>
        </w:sectPr>
      </w:pPr>
    </w:p>
    <w:p>
      <w:pPr>
        <w:spacing w:line="347" w:lineRule="exact" w:before="81"/>
        <w:ind w:left="142" w:right="0" w:firstLine="0"/>
        <w:jc w:val="left"/>
        <w:rPr>
          <w:sz w:val="23"/>
        </w:rPr>
      </w:pPr>
      <w:r>
        <w:rPr/>
        <w:pict>
          <v:line style="position:absolute;mso-position-horizontal-relative:page;mso-position-vertical-relative:paragraph;z-index:-704944" from="133.919998pt,18.858807pt" to="137.159998pt,18.858807pt" stroked="true" strokeweight=".54pt" strokecolor="#000000">
            <w10:wrap type="none"/>
          </v:line>
        </w:pict>
      </w:r>
      <w:r>
        <w:rPr>
          <w:spacing w:val="-46"/>
          <w:w w:val="112"/>
          <w:sz w:val="23"/>
        </w:rPr>
        <w:t>1</w:t>
      </w:r>
      <w:r>
        <w:rPr>
          <w:w w:val="92"/>
          <w:sz w:val="23"/>
        </w:rPr>
        <w:t>6.</w:t>
      </w:r>
      <w:r>
        <w:rPr>
          <w:spacing w:val="10"/>
          <w:sz w:val="23"/>
        </w:rPr>
        <w:t> </w:t>
      </w:r>
      <w:r>
        <w:rPr>
          <w:w w:val="84"/>
          <w:sz w:val="23"/>
        </w:rPr>
        <w:t>(</w:t>
      </w:r>
      <w:r>
        <w:rPr>
          <w:spacing w:val="-37"/>
          <w:sz w:val="23"/>
        </w:rPr>
        <w:t> </w:t>
      </w:r>
      <w:r>
        <w:rPr>
          <w:sz w:val="23"/>
        </w:rPr>
        <w:t>b) </w:t>
      </w:r>
      <w:r>
        <w:rPr>
          <w:spacing w:val="-1"/>
          <w:sz w:val="23"/>
        </w:rPr>
        <w:t> </w:t>
      </w:r>
      <w:r>
        <w:rPr>
          <w:w w:val="87"/>
          <w:sz w:val="23"/>
        </w:rPr>
        <w:t>lOM:°</w:t>
      </w:r>
      <w:r>
        <w:rPr>
          <w:spacing w:val="17"/>
          <w:sz w:val="23"/>
        </w:rPr>
        <w:t> </w:t>
      </w:r>
      <w:r>
        <w:rPr>
          <w:w w:val="125"/>
          <w:sz w:val="23"/>
        </w:rPr>
        <w:t>+</w:t>
      </w:r>
      <w:r>
        <w:rPr>
          <w:spacing w:val="27"/>
          <w:sz w:val="23"/>
        </w:rPr>
        <w:t> </w:t>
      </w:r>
      <w:r>
        <w:rPr>
          <w:spacing w:val="18"/>
          <w:w w:val="103"/>
          <w:sz w:val="23"/>
        </w:rPr>
        <w:t>5</w:t>
      </w:r>
      <w:r>
        <w:rPr>
          <w:w w:val="107"/>
          <w:sz w:val="23"/>
        </w:rPr>
        <w:t>Af:+</w:t>
      </w:r>
      <w:r>
        <w:rPr>
          <w:sz w:val="23"/>
        </w:rPr>
        <w:t> </w:t>
      </w:r>
      <w:r>
        <w:rPr>
          <w:spacing w:val="-10"/>
          <w:sz w:val="23"/>
        </w:rPr>
        <w:t> </w:t>
      </w:r>
      <w:r>
        <w:rPr>
          <w:spacing w:val="13"/>
          <w:w w:val="90"/>
          <w:sz w:val="23"/>
        </w:rPr>
        <w:t>(</w:t>
      </w:r>
      <w:r>
        <w:rPr>
          <w:spacing w:val="-130"/>
          <w:w w:val="95"/>
          <w:sz w:val="23"/>
        </w:rPr>
        <w:t>N</w:t>
      </w:r>
      <w:r>
        <w:rPr>
          <w:spacing w:val="-259"/>
          <w:w w:val="267"/>
          <w:sz w:val="23"/>
        </w:rPr>
        <w:t>!</w:t>
      </w:r>
      <w:r>
        <w:rPr>
          <w:w w:val="196"/>
          <w:sz w:val="23"/>
        </w:rPr>
        <w:t>¡</w:t>
      </w:r>
      <w:r>
        <w:rPr>
          <w:w w:val="244"/>
          <w:sz w:val="23"/>
        </w:rPr>
        <w:t>-</w:t>
      </w:r>
      <w:r>
        <w:rPr>
          <w:spacing w:val="-26"/>
          <w:sz w:val="23"/>
        </w:rPr>
        <w:t> </w:t>
      </w:r>
      <w:r>
        <w:rPr>
          <w:spacing w:val="-149"/>
          <w:w w:val="96"/>
          <w:sz w:val="23"/>
        </w:rPr>
        <w:t>D</w:t>
      </w:r>
      <w:r>
        <w:rPr>
          <w:spacing w:val="-272"/>
          <w:w w:val="267"/>
          <w:sz w:val="23"/>
        </w:rPr>
        <w:t>!</w:t>
      </w:r>
      <w:r>
        <w:rPr>
          <w:w w:val="118"/>
          <w:sz w:val="23"/>
        </w:rPr>
        <w:t>'·</w:t>
      </w:r>
      <w:r>
        <w:rPr>
          <w:spacing w:val="-44"/>
          <w:w w:val="118"/>
          <w:sz w:val="23"/>
        </w:rPr>
        <w:t>a</w:t>
      </w:r>
      <w:r>
        <w:rPr>
          <w:spacing w:val="-136"/>
          <w:w w:val="239"/>
          <w:sz w:val="23"/>
        </w:rPr>
        <w:t>!</w:t>
      </w:r>
      <w:r>
        <w:rPr>
          <w:w w:val="84"/>
          <w:sz w:val="23"/>
        </w:rPr>
        <w:t>)</w:t>
      </w:r>
      <w:r>
        <w:rPr>
          <w:spacing w:val="21"/>
          <w:sz w:val="23"/>
        </w:rPr>
        <w:t> </w:t>
      </w:r>
      <w:r>
        <w:rPr>
          <w:rFonts w:ascii="Arial" w:hAnsi="Arial"/>
          <w:w w:val="105"/>
          <w:sz w:val="31"/>
        </w:rPr>
        <w:t>+</w:t>
      </w:r>
      <w:r>
        <w:rPr>
          <w:rFonts w:ascii="Arial" w:hAnsi="Arial"/>
          <w:spacing w:val="-48"/>
          <w:sz w:val="31"/>
        </w:rPr>
        <w:t> </w:t>
      </w:r>
      <w:r>
        <w:rPr>
          <w:w w:val="102"/>
          <w:sz w:val="23"/>
        </w:rPr>
        <w:t>5(</w:t>
      </w:r>
      <w:r>
        <w:rPr>
          <w:spacing w:val="-141"/>
          <w:w w:val="101"/>
          <w:sz w:val="23"/>
        </w:rPr>
        <w:t>M</w:t>
      </w:r>
      <w:r>
        <w:rPr>
          <w:spacing w:val="-259"/>
          <w:w w:val="267"/>
          <w:sz w:val="23"/>
        </w:rPr>
        <w:t>!</w:t>
      </w:r>
      <w:r>
        <w:rPr>
          <w:w w:val="218"/>
          <w:sz w:val="23"/>
        </w:rPr>
        <w:t>'</w:t>
      </w:r>
      <w:r>
        <w:rPr>
          <w:spacing w:val="-15"/>
          <w:sz w:val="23"/>
        </w:rPr>
        <w:t> </w:t>
      </w:r>
      <w:r>
        <w:rPr>
          <w:w w:val="244"/>
          <w:sz w:val="23"/>
        </w:rPr>
        <w:t>-</w:t>
      </w:r>
      <w:r>
        <w:rPr>
          <w:spacing w:val="-22"/>
          <w:sz w:val="23"/>
        </w:rPr>
        <w:t> </w:t>
      </w:r>
      <w:r>
        <w:rPr>
          <w:spacing w:val="-143"/>
          <w:w w:val="96"/>
          <w:sz w:val="23"/>
        </w:rPr>
        <w:t>D</w:t>
      </w:r>
      <w:r>
        <w:rPr>
          <w:spacing w:val="-259"/>
          <w:w w:val="267"/>
          <w:sz w:val="23"/>
        </w:rPr>
        <w:t>!</w:t>
      </w:r>
      <w:r>
        <w:rPr>
          <w:w w:val="112"/>
          <w:sz w:val="23"/>
        </w:rPr>
        <w:t>'·A</w:t>
      </w:r>
      <w:r>
        <w:rPr>
          <w:spacing w:val="-8"/>
          <w:w w:val="112"/>
          <w:sz w:val="23"/>
        </w:rPr>
        <w:t>!</w:t>
      </w:r>
      <w:r>
        <w:rPr>
          <w:w w:val="84"/>
          <w:sz w:val="23"/>
        </w:rPr>
        <w:t>)</w:t>
      </w:r>
    </w:p>
    <w:p>
      <w:pPr>
        <w:spacing w:line="290" w:lineRule="exact" w:before="0"/>
        <w:ind w:left="492" w:right="87" w:firstLine="0"/>
        <w:jc w:val="center"/>
        <w:rPr>
          <w:rFonts w:ascii="Arial"/>
          <w:i/>
          <w:sz w:val="26"/>
        </w:rPr>
      </w:pPr>
      <w:r>
        <w:rPr>
          <w:rFonts w:ascii="Arial"/>
          <w:i/>
          <w:sz w:val="26"/>
        </w:rPr>
        <w:t>N:'</w:t>
      </w:r>
    </w:p>
    <w:p>
      <w:pPr>
        <w:pStyle w:val="BodyText"/>
        <w:rPr>
          <w:rFonts w:ascii="Arial"/>
          <w:i/>
          <w:sz w:val="26"/>
        </w:rPr>
      </w:pPr>
    </w:p>
    <w:p>
      <w:pPr>
        <w:pStyle w:val="BodyText"/>
        <w:spacing w:before="7"/>
        <w:rPr>
          <w:rFonts w:ascii="Arial"/>
          <w:i/>
          <w:sz w:val="34"/>
        </w:rPr>
      </w:pPr>
    </w:p>
    <w:p>
      <w:pPr>
        <w:spacing w:line="215" w:lineRule="exact" w:before="1"/>
        <w:ind w:left="88" w:right="87" w:firstLine="0"/>
        <w:jc w:val="center"/>
        <w:rPr>
          <w:sz w:val="20"/>
        </w:rPr>
      </w:pPr>
      <w:r>
        <w:rPr>
          <w:w w:val="115"/>
          <w:sz w:val="16"/>
        </w:rPr>
        <w:t>CHAPTER </w:t>
      </w:r>
      <w:r>
        <w:rPr>
          <w:w w:val="115"/>
          <w:sz w:val="20"/>
        </w:rPr>
        <w:t>16</w:t>
      </w:r>
    </w:p>
    <w:p>
      <w:pPr>
        <w:spacing w:line="286" w:lineRule="exact" w:before="0"/>
        <w:ind w:left="247" w:right="0" w:firstLine="0"/>
        <w:jc w:val="left"/>
        <w:rPr>
          <w:sz w:val="15"/>
        </w:rPr>
      </w:pPr>
      <w:r>
        <w:rPr/>
        <w:pict>
          <v:shape style="position:absolute;margin-left:78.480003pt;margin-top:9.799426pt;width:123.35pt;height:8pt;mso-position-horizontal-relative:page;mso-position-vertical-relative:paragraph;z-index:-704824" type="#_x0000_t202" filled="false" stroked="false">
            <v:textbox inset="0,0,0,0">
              <w:txbxContent>
                <w:p>
                  <w:pPr>
                    <w:tabs>
                      <w:tab w:pos="917" w:val="left" w:leader="none"/>
                      <w:tab w:pos="1839" w:val="left" w:leader="none"/>
                    </w:tabs>
                    <w:spacing w:line="160" w:lineRule="exact" w:before="0"/>
                    <w:ind w:left="0" w:right="0" w:firstLine="0"/>
                    <w:jc w:val="left"/>
                    <w:rPr>
                      <w:b/>
                      <w:sz w:val="16"/>
                    </w:rPr>
                  </w:pPr>
                  <w:r>
                    <w:rPr>
                      <w:w w:val="115"/>
                      <w:sz w:val="16"/>
                    </w:rPr>
                    <w:t>\.,• </w:t>
                  </w:r>
                  <w:r>
                    <w:rPr>
                      <w:spacing w:val="12"/>
                      <w:w w:val="115"/>
                      <w:sz w:val="16"/>
                    </w:rPr>
                    <w:t> </w:t>
                  </w:r>
                  <w:r>
                    <w:rPr>
                      <w:w w:val="290"/>
                      <w:sz w:val="16"/>
                    </w:rPr>
                    <w:t>-</w:t>
                    <w:tab/>
                  </w:r>
                  <w:r>
                    <w:rPr>
                      <w:w w:val="145"/>
                      <w:sz w:val="16"/>
                    </w:rPr>
                    <w:t>•</w:t>
                  </w:r>
                  <w:r>
                    <w:rPr>
                      <w:spacing w:val="3"/>
                      <w:w w:val="145"/>
                      <w:sz w:val="16"/>
                    </w:rPr>
                    <w:t> </w:t>
                  </w:r>
                  <w:r>
                    <w:rPr>
                      <w:b/>
                      <w:w w:val="115"/>
                      <w:sz w:val="16"/>
                    </w:rPr>
                    <w:t>"'•+l</w:t>
                    <w:tab/>
                  </w:r>
                  <w:r>
                    <w:rPr>
                      <w:w w:val="115"/>
                      <w:sz w:val="16"/>
                    </w:rPr>
                    <w:t>\.,•</w:t>
                  </w:r>
                  <w:r>
                    <w:rPr>
                      <w:spacing w:val="2"/>
                      <w:w w:val="115"/>
                      <w:sz w:val="16"/>
                    </w:rPr>
                    <w:t> </w:t>
                  </w:r>
                  <w:r>
                    <w:rPr>
                      <w:b/>
                      <w:w w:val="115"/>
                      <w:sz w:val="16"/>
                    </w:rPr>
                    <w:t>ua+I</w:t>
                  </w:r>
                </w:p>
              </w:txbxContent>
            </v:textbox>
            <w10:wrap type="none"/>
          </v:shape>
        </w:pict>
      </w:r>
      <w:r>
        <w:rPr>
          <w:spacing w:val="-29"/>
          <w:w w:val="122"/>
          <w:position w:val="-5"/>
          <w:sz w:val="20"/>
        </w:rPr>
        <w:t>1</w:t>
      </w:r>
      <w:r>
        <w:rPr>
          <w:w w:val="194"/>
          <w:position w:val="-9"/>
          <w:sz w:val="16"/>
        </w:rPr>
        <w:t>·</w:t>
      </w:r>
      <w:r>
        <w:rPr>
          <w:spacing w:val="-8"/>
          <w:position w:val="-9"/>
          <w:sz w:val="16"/>
        </w:rPr>
        <w:t> </w:t>
      </w:r>
      <w:r>
        <w:rPr>
          <w:rFonts w:ascii="Arial" w:hAnsi="Arial"/>
          <w:w w:val="140"/>
          <w:position w:val="-7"/>
          <w:sz w:val="19"/>
        </w:rPr>
        <w:t>(</w:t>
      </w:r>
      <w:r>
        <w:rPr>
          <w:rFonts w:ascii="Arial" w:hAnsi="Arial"/>
          <w:w w:val="140"/>
          <w:position w:val="-7"/>
          <w:sz w:val="19"/>
        </w:rPr>
        <w:t>ª</w:t>
      </w:r>
      <w:r>
        <w:rPr>
          <w:rFonts w:ascii="Arial" w:hAnsi="Arial"/>
          <w:w w:val="140"/>
          <w:position w:val="-7"/>
          <w:sz w:val="19"/>
        </w:rPr>
        <w:t>)</w:t>
      </w:r>
      <w:r>
        <w:rPr>
          <w:rFonts w:ascii="Arial" w:hAnsi="Arial"/>
          <w:position w:val="-7"/>
          <w:sz w:val="19"/>
        </w:rPr>
        <w:t> </w:t>
      </w:r>
      <w:r>
        <w:rPr>
          <w:rFonts w:ascii="Arial" w:hAnsi="Arial"/>
          <w:spacing w:val="-16"/>
          <w:position w:val="-7"/>
          <w:sz w:val="19"/>
        </w:rPr>
        <w:t> </w:t>
      </w:r>
      <w:r>
        <w:rPr>
          <w:i/>
          <w:w w:val="121"/>
          <w:sz w:val="22"/>
        </w:rPr>
        <w:t>•m</w:t>
      </w:r>
      <w:r>
        <w:rPr>
          <w:i/>
          <w:spacing w:val="20"/>
          <w:sz w:val="22"/>
        </w:rPr>
        <w:t> </w:t>
      </w:r>
      <w:r>
        <w:rPr>
          <w:w w:val="112"/>
          <w:sz w:val="22"/>
        </w:rPr>
        <w:t>_</w:t>
      </w:r>
      <w:r>
        <w:rPr>
          <w:sz w:val="22"/>
        </w:rPr>
        <w:t> </w:t>
      </w:r>
      <w:r>
        <w:rPr>
          <w:spacing w:val="-3"/>
          <w:sz w:val="22"/>
        </w:rPr>
        <w:t> </w:t>
      </w:r>
      <w:r>
        <w:rPr>
          <w:i/>
          <w:spacing w:val="4"/>
          <w:w w:val="87"/>
          <w:sz w:val="21"/>
        </w:rPr>
        <w:t>v</w:t>
      </w:r>
      <w:r>
        <w:rPr>
          <w:i/>
          <w:w w:val="88"/>
          <w:sz w:val="21"/>
        </w:rPr>
        <w:t>""•g</w:t>
      </w:r>
      <w:r>
        <w:rPr>
          <w:i/>
          <w:spacing w:val="20"/>
          <w:sz w:val="21"/>
        </w:rPr>
        <w:t> </w:t>
      </w:r>
      <w:r>
        <w:rPr>
          <w:spacing w:val="6"/>
          <w:w w:val="125"/>
          <w:sz w:val="21"/>
        </w:rPr>
        <w:t>.</w:t>
      </w:r>
      <w:r>
        <w:rPr>
          <w:w w:val="74"/>
          <w:sz w:val="15"/>
        </w:rPr>
        <w:t>..r:1&lt;12&gt;</w:t>
      </w:r>
      <w:r>
        <w:rPr>
          <w:sz w:val="15"/>
        </w:rPr>
        <w:t>  </w:t>
      </w:r>
      <w:r>
        <w:rPr>
          <w:spacing w:val="-4"/>
          <w:sz w:val="15"/>
        </w:rPr>
        <w:t> </w:t>
      </w:r>
      <w:r>
        <w:rPr>
          <w:w w:val="92"/>
          <w:sz w:val="26"/>
        </w:rPr>
        <w:t>=</w:t>
      </w:r>
      <w:r>
        <w:rPr>
          <w:sz w:val="26"/>
        </w:rPr>
        <w:t> </w:t>
      </w:r>
      <w:r>
        <w:rPr>
          <w:spacing w:val="-29"/>
          <w:sz w:val="26"/>
        </w:rPr>
        <w:t> </w:t>
      </w:r>
      <w:r>
        <w:rPr>
          <w:rFonts w:ascii="Arial" w:hAnsi="Arial"/>
          <w:w w:val="165"/>
          <w:sz w:val="13"/>
        </w:rPr>
        <w:t>fff</w:t>
      </w:r>
      <w:r>
        <w:rPr>
          <w:rFonts w:ascii="Arial" w:hAnsi="Arial"/>
          <w:spacing w:val="14"/>
          <w:sz w:val="13"/>
        </w:rPr>
        <w:t> </w:t>
      </w:r>
      <w:r>
        <w:rPr>
          <w:rFonts w:ascii="Arial" w:hAnsi="Arial"/>
          <w:spacing w:val="-11"/>
          <w:w w:val="219"/>
          <w:sz w:val="13"/>
        </w:rPr>
        <w:t>.</w:t>
      </w:r>
      <w:r>
        <w:rPr>
          <w:w w:val="118"/>
          <w:sz w:val="15"/>
        </w:rPr>
        <w:t>A</w:t>
      </w:r>
      <w:r>
        <w:rPr>
          <w:spacing w:val="-1"/>
          <w:w w:val="118"/>
          <w:sz w:val="15"/>
        </w:rPr>
        <w:t>,</w:t>
      </w:r>
      <w:r>
        <w:rPr>
          <w:w w:val="84"/>
          <w:sz w:val="15"/>
        </w:rPr>
        <w:t>&lt;U&gt;</w:t>
      </w:r>
    </w:p>
    <w:p>
      <w:pPr>
        <w:spacing w:line="464" w:lineRule="exact" w:before="0"/>
        <w:ind w:left="470" w:right="0" w:firstLine="0"/>
        <w:jc w:val="left"/>
        <w:rPr>
          <w:sz w:val="30"/>
        </w:rPr>
      </w:pPr>
      <w:r>
        <w:rPr>
          <w:spacing w:val="16"/>
          <w:w w:val="104"/>
          <w:sz w:val="20"/>
        </w:rPr>
        <w:t>(</w:t>
      </w:r>
      <w:r>
        <w:rPr>
          <w:w w:val="118"/>
          <w:sz w:val="20"/>
        </w:rPr>
        <w:t>b)</w:t>
      </w:r>
      <w:r>
        <w:rPr>
          <w:sz w:val="20"/>
        </w:rPr>
        <w:t> </w:t>
      </w:r>
      <w:r>
        <w:rPr>
          <w:spacing w:val="-13"/>
          <w:sz w:val="20"/>
        </w:rPr>
        <w:t> </w:t>
      </w:r>
      <w:r>
        <w:rPr>
          <w:i/>
          <w:spacing w:val="-80"/>
          <w:w w:val="126"/>
          <w:sz w:val="47"/>
        </w:rPr>
        <w:t>·</w:t>
      </w:r>
      <w:r>
        <w:rPr>
          <w:i/>
          <w:w w:val="58"/>
          <w:sz w:val="47"/>
        </w:rPr>
        <w:t>e:</w:t>
      </w:r>
      <w:r>
        <w:rPr>
          <w:i/>
          <w:spacing w:val="-31"/>
          <w:sz w:val="47"/>
        </w:rPr>
        <w:t> </w:t>
      </w:r>
      <w:r>
        <w:rPr>
          <w:w w:val="88"/>
          <w:sz w:val="27"/>
        </w:rPr>
        <w:t>=</w:t>
      </w:r>
      <w:r>
        <w:rPr>
          <w:spacing w:val="27"/>
          <w:sz w:val="27"/>
        </w:rPr>
        <w:t> </w:t>
      </w:r>
      <w:r>
        <w:rPr>
          <w:w w:val="89"/>
          <w:sz w:val="21"/>
        </w:rPr>
        <w:t>v•+lg,·¡¡</w:t>
      </w:r>
      <w:r>
        <w:rPr>
          <w:spacing w:val="7"/>
          <w:w w:val="89"/>
          <w:sz w:val="21"/>
        </w:rPr>
        <w:t>4</w:t>
      </w:r>
      <w:r>
        <w:rPr>
          <w:spacing w:val="-27"/>
          <w:w w:val="175"/>
          <w:sz w:val="21"/>
        </w:rPr>
        <w:t>:</w:t>
      </w:r>
      <w:r>
        <w:rPr>
          <w:spacing w:val="-112"/>
          <w:w w:val="175"/>
          <w:sz w:val="21"/>
        </w:rPr>
        <w:t>¡</w:t>
      </w:r>
      <w:r>
        <w:rPr>
          <w:w w:val="110"/>
          <w:sz w:val="21"/>
        </w:rPr>
        <w:t>y</w:t>
      </w:r>
      <w:r>
        <w:rPr>
          <w:sz w:val="21"/>
        </w:rPr>
        <w:t> </w:t>
      </w:r>
      <w:r>
        <w:rPr>
          <w:spacing w:val="6"/>
          <w:sz w:val="21"/>
        </w:rPr>
        <w:t> </w:t>
      </w:r>
      <w:r>
        <w:rPr>
          <w:w w:val="88"/>
          <w:sz w:val="27"/>
        </w:rPr>
        <w:t>=</w:t>
      </w:r>
      <w:r>
        <w:rPr>
          <w:spacing w:val="31"/>
          <w:sz w:val="27"/>
        </w:rPr>
        <w:t> </w:t>
      </w:r>
      <w:r>
        <w:rPr>
          <w:w w:val="90"/>
          <w:sz w:val="30"/>
        </w:rPr>
        <w:t>0</w:t>
      </w:r>
      <w:r>
        <w:rPr>
          <w:spacing w:val="6"/>
          <w:w w:val="90"/>
          <w:sz w:val="30"/>
        </w:rPr>
        <w:t>!</w:t>
      </w:r>
      <w:r>
        <w:rPr>
          <w:w w:val="61"/>
          <w:sz w:val="30"/>
        </w:rPr>
        <w:t>·1,</w:t>
      </w:r>
      <w:r>
        <w:rPr>
          <w:spacing w:val="-74"/>
          <w:w w:val="61"/>
          <w:sz w:val="30"/>
        </w:rPr>
        <w:t>a</w:t>
      </w:r>
      <w:r>
        <w:rPr>
          <w:spacing w:val="-197"/>
          <w:w w:val="193"/>
          <w:sz w:val="30"/>
        </w:rPr>
        <w:t>!</w:t>
      </w:r>
      <w:r>
        <w:rPr>
          <w:spacing w:val="-40"/>
          <w:w w:val="138"/>
          <w:sz w:val="30"/>
        </w:rPr>
        <w:t>í</w:t>
      </w:r>
      <w:r>
        <w:rPr>
          <w:spacing w:val="-29"/>
          <w:w w:val="191"/>
          <w:sz w:val="30"/>
        </w:rPr>
        <w:t>'</w:t>
      </w:r>
      <w:r>
        <w:rPr>
          <w:w w:val="150"/>
          <w:sz w:val="30"/>
        </w:rPr>
        <w:t>¡</w:t>
      </w:r>
    </w:p>
    <w:p>
      <w:pPr>
        <w:tabs>
          <w:tab w:pos="1730" w:val="left" w:leader="none"/>
        </w:tabs>
        <w:spacing w:line="370" w:lineRule="exact" w:before="43"/>
        <w:ind w:left="492" w:right="0" w:firstLine="0"/>
        <w:jc w:val="left"/>
        <w:rPr>
          <w:sz w:val="21"/>
        </w:rPr>
      </w:pPr>
      <w:r>
        <w:rPr/>
        <w:pict>
          <v:line style="position:absolute;mso-position-horizontal-relative:page;mso-position-vertical-relative:paragraph;z-index:-704920" from="81pt,22.614853pt" to="99.54pt,22.614853pt" stroked="true" strokeweight="6.48pt" strokecolor="#000000">
            <w10:wrap type="none"/>
          </v:line>
        </w:pict>
      </w:r>
      <w:r>
        <w:rPr>
          <w:w w:val="104"/>
          <w:sz w:val="21"/>
        </w:rPr>
        <w:t>(</w:t>
      </w:r>
      <w:r>
        <w:rPr>
          <w:spacing w:val="23"/>
          <w:w w:val="104"/>
          <w:sz w:val="21"/>
        </w:rPr>
        <w:t>e</w:t>
      </w:r>
      <w:r>
        <w:rPr>
          <w:spacing w:val="-3"/>
          <w:w w:val="99"/>
          <w:sz w:val="21"/>
        </w:rPr>
        <w:t>)</w:t>
      </w:r>
      <w:r>
        <w:rPr>
          <w:rFonts w:ascii="Arial" w:hAnsi="Arial"/>
          <w:spacing w:val="-291"/>
          <w:w w:val="256"/>
          <w:position w:val="11"/>
          <w:sz w:val="25"/>
        </w:rPr>
        <w:t>:</w:t>
      </w:r>
      <w:r>
        <w:rPr>
          <w:spacing w:val="-152"/>
          <w:w w:val="99"/>
          <w:sz w:val="24"/>
        </w:rPr>
        <w:t>D</w:t>
      </w:r>
      <w:r>
        <w:rPr>
          <w:rFonts w:ascii="Arial" w:hAnsi="Arial"/>
          <w:spacing w:val="-86"/>
          <w:w w:val="113"/>
          <w:position w:val="11"/>
          <w:sz w:val="25"/>
        </w:rPr>
        <w:t>M</w:t>
      </w:r>
      <w:r>
        <w:rPr>
          <w:spacing w:val="-56"/>
          <w:w w:val="99"/>
          <w:sz w:val="24"/>
        </w:rPr>
        <w:t>"</w:t>
      </w:r>
      <w:r>
        <w:rPr>
          <w:rFonts w:ascii="Arial" w:hAnsi="Arial"/>
          <w:spacing w:val="-51"/>
          <w:w w:val="248"/>
          <w:position w:val="11"/>
          <w:sz w:val="25"/>
        </w:rPr>
        <w:t>!</w:t>
      </w:r>
      <w:r>
        <w:rPr>
          <w:w w:val="90"/>
          <w:sz w:val="24"/>
        </w:rPr>
        <w:t>,</w:t>
      </w:r>
      <w:r>
        <w:rPr>
          <w:sz w:val="24"/>
        </w:rPr>
        <w:tab/>
      </w:r>
      <w:r>
        <w:rPr>
          <w:w w:val="97"/>
          <w:sz w:val="21"/>
        </w:rPr>
        <w:t>where</w:t>
      </w:r>
      <w:r>
        <w:rPr>
          <w:spacing w:val="24"/>
          <w:sz w:val="21"/>
        </w:rPr>
        <w:t> </w:t>
      </w:r>
      <w:r>
        <w:rPr>
          <w:rFonts w:ascii="Arial" w:hAnsi="Arial"/>
          <w:i/>
          <w:spacing w:val="-21"/>
          <w:w w:val="76"/>
          <w:sz w:val="33"/>
        </w:rPr>
        <w:t>•</w:t>
      </w:r>
      <w:r>
        <w:rPr>
          <w:rFonts w:ascii="Arial" w:hAnsi="Arial"/>
          <w:i/>
          <w:w w:val="74"/>
          <w:sz w:val="33"/>
        </w:rPr>
        <w:t>e:</w:t>
      </w:r>
      <w:r>
        <w:rPr>
          <w:rFonts w:ascii="Arial" w:hAnsi="Arial"/>
          <w:i/>
          <w:spacing w:val="-32"/>
          <w:sz w:val="33"/>
        </w:rPr>
        <w:t> </w:t>
      </w:r>
      <w:r>
        <w:rPr>
          <w:w w:val="105"/>
          <w:sz w:val="21"/>
        </w:rPr>
        <w:t>is</w:t>
      </w:r>
      <w:r>
        <w:rPr>
          <w:sz w:val="21"/>
        </w:rPr>
        <w:t> </w:t>
      </w:r>
      <w:r>
        <w:rPr>
          <w:w w:val="96"/>
          <w:sz w:val="21"/>
        </w:rPr>
        <w:t>defined</w:t>
      </w:r>
      <w:r>
        <w:rPr>
          <w:spacing w:val="24"/>
          <w:sz w:val="21"/>
        </w:rPr>
        <w:t> </w:t>
      </w:r>
      <w:r>
        <w:rPr>
          <w:w w:val="109"/>
          <w:sz w:val="21"/>
        </w:rPr>
        <w:t>as</w:t>
      </w:r>
      <w:r>
        <w:rPr>
          <w:sz w:val="21"/>
        </w:rPr>
        <w:t> </w:t>
      </w:r>
      <w:r>
        <w:rPr>
          <w:w w:val="103"/>
          <w:sz w:val="21"/>
        </w:rPr>
        <w:t>in</w:t>
      </w:r>
      <w:r>
        <w:rPr>
          <w:sz w:val="21"/>
        </w:rPr>
        <w:t> </w:t>
      </w:r>
      <w:r>
        <w:rPr>
          <w:spacing w:val="-23"/>
          <w:sz w:val="21"/>
        </w:rPr>
        <w:t> </w:t>
      </w:r>
      <w:r>
        <w:rPr>
          <w:w w:val="92"/>
          <w:sz w:val="21"/>
        </w:rPr>
        <w:t>(</w:t>
      </w:r>
      <w:r>
        <w:rPr>
          <w:spacing w:val="-32"/>
          <w:sz w:val="21"/>
        </w:rPr>
        <w:t> </w:t>
      </w:r>
      <w:r>
        <w:rPr>
          <w:w w:val="108"/>
          <w:sz w:val="21"/>
        </w:rPr>
        <w:t>b</w:t>
      </w:r>
      <w:r>
        <w:rPr>
          <w:spacing w:val="16"/>
          <w:w w:val="108"/>
          <w:sz w:val="21"/>
        </w:rPr>
        <w:t>)</w:t>
      </w:r>
      <w:r>
        <w:rPr>
          <w:w w:val="141"/>
          <w:sz w:val="21"/>
        </w:rPr>
        <w:t>.</w:t>
      </w:r>
    </w:p>
    <w:p>
      <w:pPr>
        <w:spacing w:line="236" w:lineRule="exact" w:before="0"/>
        <w:ind w:left="1118" w:right="0" w:firstLine="0"/>
        <w:jc w:val="left"/>
        <w:rPr>
          <w:rFonts w:ascii="Arial" w:hAnsi="Arial"/>
          <w:sz w:val="27"/>
        </w:rPr>
      </w:pPr>
      <w:r>
        <w:rPr>
          <w:rFonts w:ascii="Arial" w:hAnsi="Arial"/>
          <w:w w:val="94"/>
          <w:sz w:val="27"/>
        </w:rPr>
        <w:t>•</w:t>
      </w:r>
    </w:p>
    <w:p>
      <w:pPr>
        <w:spacing w:after="0" w:line="236" w:lineRule="exact"/>
        <w:jc w:val="left"/>
        <w:rPr>
          <w:rFonts w:ascii="Arial" w:hAnsi="Arial"/>
          <w:sz w:val="27"/>
        </w:rPr>
        <w:sectPr>
          <w:type w:val="continuous"/>
          <w:pgSz w:w="7200" w:h="11340"/>
          <w:pgMar w:top="1100" w:bottom="0" w:left="660" w:right="540"/>
        </w:sectPr>
      </w:pPr>
    </w:p>
    <w:p>
      <w:pPr>
        <w:spacing w:line="376" w:lineRule="exact" w:before="0"/>
        <w:ind w:left="240" w:right="-19" w:firstLine="0"/>
        <w:jc w:val="left"/>
        <w:rPr>
          <w:rFonts w:ascii="Arial"/>
          <w:sz w:val="34"/>
        </w:rPr>
      </w:pPr>
      <w:r>
        <w:rPr>
          <w:spacing w:val="-18"/>
          <w:w w:val="116"/>
          <w:sz w:val="21"/>
        </w:rPr>
        <w:t>3</w:t>
      </w:r>
      <w:r>
        <w:rPr>
          <w:w w:val="157"/>
          <w:sz w:val="21"/>
        </w:rPr>
        <w:t>.</w:t>
      </w:r>
      <w:r>
        <w:rPr>
          <w:sz w:val="21"/>
        </w:rPr>
        <w:t> </w:t>
      </w:r>
      <w:r>
        <w:rPr>
          <w:spacing w:val="-19"/>
          <w:sz w:val="21"/>
        </w:rPr>
        <w:t> </w:t>
      </w:r>
      <w:r>
        <w:rPr>
          <w:i/>
          <w:spacing w:val="-180"/>
          <w:w w:val="109"/>
          <w:sz w:val="34"/>
        </w:rPr>
        <w:t>L</w:t>
      </w:r>
      <w:r>
        <w:rPr>
          <w:rFonts w:ascii="Arial"/>
          <w:w w:val="138"/>
          <w:position w:val="5"/>
          <w:sz w:val="34"/>
        </w:rPr>
        <w:t>"</w:t>
      </w:r>
    </w:p>
    <w:p>
      <w:pPr>
        <w:spacing w:line="122" w:lineRule="exact" w:before="0"/>
        <w:ind w:left="459" w:right="-19" w:firstLine="0"/>
        <w:jc w:val="left"/>
        <w:rPr>
          <w:sz w:val="13"/>
        </w:rPr>
      </w:pPr>
      <w:r>
        <w:rPr>
          <w:w w:val="202"/>
          <w:sz w:val="13"/>
        </w:rPr>
        <w:t>s</w:t>
      </w:r>
      <w:r>
        <w:rPr>
          <w:spacing w:val="-18"/>
          <w:w w:val="202"/>
          <w:sz w:val="13"/>
        </w:rPr>
        <w:t>-</w:t>
      </w:r>
      <w:r>
        <w:rPr>
          <w:w w:val="101"/>
          <w:sz w:val="13"/>
        </w:rPr>
        <w:t>20</w:t>
      </w:r>
    </w:p>
    <w:p>
      <w:pPr>
        <w:spacing w:before="133"/>
        <w:ind w:left="41" w:right="0" w:firstLine="0"/>
        <w:jc w:val="left"/>
        <w:rPr>
          <w:sz w:val="21"/>
        </w:rPr>
      </w:pPr>
      <w:r>
        <w:rPr/>
        <w:br w:type="column"/>
      </w:r>
      <w:r>
        <w:rPr>
          <w:rFonts w:ascii="Arial" w:hAnsi="Arial"/>
          <w:i/>
          <w:sz w:val="19"/>
        </w:rPr>
        <w:t>( x </w:t>
      </w:r>
      <w:r>
        <w:rPr>
          <w:rFonts w:ascii="Arial" w:hAnsi="Arial"/>
          <w:w w:val="250"/>
          <w:sz w:val="19"/>
        </w:rPr>
        <w:t>-</w:t>
      </w:r>
      <w:r>
        <w:rPr>
          <w:rFonts w:ascii="Arial" w:hAnsi="Arial"/>
          <w:spacing w:val="-87"/>
          <w:w w:val="250"/>
          <w:sz w:val="19"/>
        </w:rPr>
        <w:t> </w:t>
      </w:r>
      <w:r>
        <w:rPr>
          <w:w w:val="135"/>
          <w:sz w:val="21"/>
        </w:rPr>
        <w:t>19.- </w:t>
      </w:r>
      <w:r>
        <w:rPr>
          <w:sz w:val="21"/>
        </w:rPr>
        <w:t>i)v:r+tg:r·d!+t</w:t>
      </w:r>
    </w:p>
    <w:p>
      <w:pPr>
        <w:spacing w:after="0"/>
        <w:jc w:val="left"/>
        <w:rPr>
          <w:sz w:val="21"/>
        </w:rPr>
        <w:sectPr>
          <w:type w:val="continuous"/>
          <w:pgSz w:w="7200" w:h="11340"/>
          <w:pgMar w:top="1100" w:bottom="0" w:left="660" w:right="540"/>
          <w:cols w:num="2" w:equalWidth="0">
            <w:col w:w="764" w:space="40"/>
            <w:col w:w="5196"/>
          </w:cols>
        </w:sectPr>
      </w:pPr>
    </w:p>
    <w:p>
      <w:pPr>
        <w:pStyle w:val="BodyText"/>
        <w:spacing w:before="8"/>
        <w:rPr>
          <w:sz w:val="27"/>
        </w:rPr>
      </w:pPr>
    </w:p>
    <w:p>
      <w:pPr>
        <w:spacing w:before="164"/>
        <w:ind w:left="0" w:right="793" w:firstLine="0"/>
        <w:jc w:val="right"/>
        <w:rPr>
          <w:rFonts w:ascii="Arial"/>
          <w:i/>
          <w:sz w:val="20"/>
        </w:rPr>
      </w:pPr>
      <w:r>
        <w:rPr/>
        <w:pict>
          <v:group style="position:absolute;margin-left:43.919998pt;margin-top:-10.140117pt;width:227.55pt;height:44.45pt;mso-position-horizontal-relative:page;mso-position-vertical-relative:paragraph;z-index:31048" coordorigin="878,-203" coordsize="4551,889">
            <v:shape style="position:absolute;left:878;top:-203;width:4550;height:864" type="#_x0000_t75" stroked="false">
              <v:imagedata r:id="rId460" o:title=""/>
            </v:shape>
            <v:shape style="position:absolute;left:878;top:-203;width:4551;height:889" type="#_x0000_t202" filled="false" stroked="false">
              <v:textbox inset="0,0,0,0">
                <w:txbxContent>
                  <w:p>
                    <w:pPr>
                      <w:spacing w:line="293" w:lineRule="exact" w:before="263"/>
                      <w:ind w:left="2757" w:right="-13" w:firstLine="0"/>
                      <w:jc w:val="left"/>
                      <w:rPr>
                        <w:rFonts w:ascii="Arial"/>
                        <w:sz w:val="31"/>
                      </w:rPr>
                    </w:pPr>
                    <w:r>
                      <w:rPr>
                        <w:rFonts w:ascii="Arial"/>
                        <w:i/>
                        <w:w w:val="105"/>
                        <w:sz w:val="27"/>
                      </w:rPr>
                      <w:t>M; </w:t>
                    </w:r>
                    <w:r>
                      <w:rPr>
                        <w:rFonts w:ascii="Arial"/>
                        <w:w w:val="165"/>
                        <w:sz w:val="27"/>
                      </w:rPr>
                      <w:t>-</w:t>
                    </w:r>
                    <w:r>
                      <w:rPr>
                        <w:rFonts w:ascii="Arial"/>
                        <w:spacing w:val="-67"/>
                        <w:w w:val="165"/>
                        <w:sz w:val="27"/>
                      </w:rPr>
                      <w:t> </w:t>
                    </w:r>
                    <w:r>
                      <w:rPr>
                        <w:rFonts w:ascii="Arial"/>
                        <w:i/>
                        <w:w w:val="105"/>
                        <w:sz w:val="27"/>
                        <w:u w:val="thick"/>
                      </w:rPr>
                      <w:t>M;</w:t>
                    </w:r>
                    <w:r>
                      <w:rPr>
                        <w:rFonts w:ascii="Arial"/>
                        <w:i/>
                        <w:w w:val="105"/>
                        <w:sz w:val="27"/>
                      </w:rPr>
                      <w:t>, </w:t>
                    </w:r>
                    <w:r>
                      <w:rPr>
                        <w:rFonts w:ascii="Arial"/>
                        <w:w w:val="105"/>
                        <w:sz w:val="31"/>
                      </w:rPr>
                      <w:t>+ </w:t>
                    </w:r>
                    <w:r>
                      <w:rPr>
                        <w:w w:val="105"/>
                        <w:sz w:val="20"/>
                      </w:rPr>
                      <w:t>( I </w:t>
                    </w:r>
                    <w:r>
                      <w:rPr>
                        <w:rFonts w:ascii="Arial"/>
                        <w:w w:val="105"/>
                        <w:sz w:val="31"/>
                      </w:rPr>
                      <w:t>+</w:t>
                    </w:r>
                  </w:p>
                  <w:p>
                    <w:pPr>
                      <w:spacing w:line="125" w:lineRule="exact" w:before="0"/>
                      <w:ind w:left="2163" w:right="2163" w:firstLine="0"/>
                      <w:jc w:val="center"/>
                      <w:rPr>
                        <w:sz w:val="20"/>
                      </w:rPr>
                    </w:pPr>
                    <w:r>
                      <w:rPr>
                        <w:w w:val="110"/>
                        <w:sz w:val="20"/>
                      </w:rPr>
                      <w:t>or</w:t>
                    </w:r>
                  </w:p>
                  <w:p>
                    <w:pPr>
                      <w:spacing w:line="207" w:lineRule="exact" w:before="0"/>
                      <w:ind w:left="0" w:right="569" w:firstLine="0"/>
                      <w:jc w:val="right"/>
                      <w:rPr>
                        <w:i/>
                        <w:sz w:val="22"/>
                      </w:rPr>
                    </w:pPr>
                    <w:r>
                      <w:rPr>
                        <w:i/>
                        <w:w w:val="149"/>
                        <w:sz w:val="22"/>
                      </w:rPr>
                      <w:t>D</w:t>
                    </w:r>
                  </w:p>
                </w:txbxContent>
              </v:textbox>
              <w10:wrap type="none"/>
            </v:shape>
            <w10:wrap type="none"/>
          </v:group>
        </w:pict>
      </w:r>
      <w:r>
        <w:rPr>
          <w:rFonts w:ascii="Arial"/>
          <w:i/>
          <w:w w:val="110"/>
          <w:sz w:val="20"/>
        </w:rPr>
        <w:t>i )C;,</w:t>
      </w:r>
    </w:p>
    <w:p>
      <w:pPr>
        <w:pStyle w:val="BodyText"/>
        <w:rPr>
          <w:rFonts w:ascii="Arial"/>
          <w:i/>
        </w:rPr>
      </w:pPr>
    </w:p>
    <w:p>
      <w:pPr>
        <w:pStyle w:val="BodyText"/>
        <w:spacing w:before="4"/>
        <w:rPr>
          <w:rFonts w:ascii="Arial"/>
          <w:i/>
          <w:sz w:val="12"/>
        </w:rPr>
      </w:pPr>
      <w:r>
        <w:rPr/>
        <w:drawing>
          <wp:anchor distT="0" distB="0" distL="0" distR="0" allowOverlap="1" layoutInCell="1" locked="0" behindDoc="0" simplePos="0" relativeHeight="31000">
            <wp:simplePos x="0" y="0"/>
            <wp:positionH relativeFrom="page">
              <wp:posOffset>566927</wp:posOffset>
            </wp:positionH>
            <wp:positionV relativeFrom="paragraph">
              <wp:posOffset>115085</wp:posOffset>
            </wp:positionV>
            <wp:extent cx="1673352" cy="548640"/>
            <wp:effectExtent l="0" t="0" r="0" b="0"/>
            <wp:wrapTopAndBottom/>
            <wp:docPr id="891" name="image457.png" descr=""/>
            <wp:cNvGraphicFramePr>
              <a:graphicFrameLocks noChangeAspect="1"/>
            </wp:cNvGraphicFramePr>
            <a:graphic>
              <a:graphicData uri="http://schemas.openxmlformats.org/drawingml/2006/picture">
                <pic:pic>
                  <pic:nvPicPr>
                    <pic:cNvPr id="892" name="image457.png"/>
                    <pic:cNvPicPr/>
                  </pic:nvPicPr>
                  <pic:blipFill>
                    <a:blip r:embed="rId461" cstate="print"/>
                    <a:stretch>
                      <a:fillRect/>
                    </a:stretch>
                  </pic:blipFill>
                  <pic:spPr>
                    <a:xfrm>
                      <a:off x="0" y="0"/>
                      <a:ext cx="1673352" cy="548640"/>
                    </a:xfrm>
                    <a:prstGeom prst="rect">
                      <a:avLst/>
                    </a:prstGeom>
                  </pic:spPr>
                </pic:pic>
              </a:graphicData>
            </a:graphic>
          </wp:anchor>
        </w:drawing>
      </w:r>
    </w:p>
    <w:p>
      <w:pPr>
        <w:spacing w:after="0"/>
        <w:rPr>
          <w:rFonts w:ascii="Arial"/>
          <w:sz w:val="12"/>
        </w:rPr>
        <w:sectPr>
          <w:type w:val="continuous"/>
          <w:pgSz w:w="7200" w:h="11340"/>
          <w:pgMar w:top="1100" w:bottom="0" w:left="660" w:right="540"/>
        </w:sectPr>
      </w:pPr>
    </w:p>
    <w:p>
      <w:pPr>
        <w:tabs>
          <w:tab w:pos="2602" w:val="left" w:leader="none"/>
          <w:tab w:pos="5855" w:val="right" w:leader="none"/>
        </w:tabs>
        <w:spacing w:before="65"/>
        <w:ind w:left="115" w:right="0" w:firstLine="0"/>
        <w:jc w:val="left"/>
        <w:rPr>
          <w:rFonts w:ascii="Arial"/>
          <w:sz w:val="19"/>
        </w:rPr>
      </w:pPr>
      <w:r>
        <w:rPr>
          <w:color w:val="010101"/>
          <w:w w:val="105"/>
          <w:position w:val="1"/>
          <w:sz w:val="15"/>
        </w:rPr>
        <w:t>CH. </w:t>
      </w:r>
      <w:r>
        <w:rPr>
          <w:color w:val="010101"/>
          <w:spacing w:val="34"/>
          <w:w w:val="105"/>
          <w:position w:val="1"/>
          <w:sz w:val="15"/>
        </w:rPr>
        <w:t> </w:t>
      </w:r>
      <w:r>
        <w:rPr>
          <w:rFonts w:ascii="Arial"/>
          <w:color w:val="010101"/>
          <w:w w:val="105"/>
          <w:position w:val="1"/>
          <w:sz w:val="19"/>
        </w:rPr>
        <w:t>16]</w:t>
        <w:tab/>
      </w:r>
      <w:r>
        <w:rPr>
          <w:rFonts w:ascii="Arial"/>
          <w:color w:val="010101"/>
          <w:w w:val="105"/>
          <w:position w:val="1"/>
          <w:sz w:val="14"/>
        </w:rPr>
        <w:t>ANSWERS</w:t>
      </w:r>
      <w:r>
        <w:rPr>
          <w:rFonts w:ascii="Arial"/>
          <w:color w:val="010101"/>
          <w:w w:val="105"/>
          <w:sz w:val="19"/>
        </w:rPr>
        <w:tab/>
        <w:t>373</w:t>
      </w:r>
    </w:p>
    <w:p>
      <w:pPr>
        <w:spacing w:after="0"/>
        <w:jc w:val="left"/>
        <w:rPr>
          <w:rFonts w:ascii="Arial"/>
          <w:sz w:val="19"/>
        </w:rPr>
        <w:sectPr>
          <w:pgSz w:w="7200" w:h="11340"/>
          <w:pgMar w:top="480" w:bottom="280" w:left="660" w:right="560"/>
        </w:sectPr>
      </w:pPr>
    </w:p>
    <w:p>
      <w:pPr>
        <w:spacing w:line="247" w:lineRule="exact" w:before="259"/>
        <w:ind w:left="215" w:right="0" w:firstLine="0"/>
        <w:jc w:val="left"/>
        <w:rPr>
          <w:rFonts w:ascii="Arial"/>
          <w:sz w:val="19"/>
        </w:rPr>
      </w:pPr>
      <w:r>
        <w:rPr>
          <w:rFonts w:ascii="Arial"/>
          <w:color w:val="010101"/>
          <w:w w:val="105"/>
          <w:position w:val="-11"/>
          <w:sz w:val="19"/>
        </w:rPr>
        <w:t>9  </w:t>
      </w:r>
      <w:r>
        <w:rPr>
          <w:rFonts w:ascii="Arial"/>
          <w:color w:val="010101"/>
          <w:w w:val="105"/>
          <w:sz w:val="19"/>
        </w:rPr>
        <w:t>.Ol(AS)A 2</w:t>
      </w:r>
    </w:p>
    <w:p>
      <w:pPr>
        <w:spacing w:before="213"/>
        <w:ind w:left="7" w:right="-18" w:firstLine="0"/>
        <w:jc w:val="left"/>
        <w:rPr>
          <w:rFonts w:ascii="Arial"/>
          <w:sz w:val="24"/>
        </w:rPr>
      </w:pPr>
      <w:r>
        <w:rPr/>
        <w:br w:type="column"/>
      </w:r>
      <w:r>
        <w:rPr>
          <w:i/>
          <w:color w:val="010101"/>
          <w:w w:val="131"/>
          <w:position w:val="10"/>
          <w:sz w:val="11"/>
        </w:rPr>
        <w:t>8</w:t>
      </w:r>
      <w:r>
        <w:rPr>
          <w:i/>
          <w:color w:val="010101"/>
          <w:spacing w:val="-1"/>
          <w:w w:val="131"/>
          <w:position w:val="10"/>
          <w:sz w:val="11"/>
        </w:rPr>
        <w:t>0</w:t>
      </w:r>
      <w:r>
        <w:rPr>
          <w:rFonts w:ascii="Arial"/>
          <w:i/>
          <w:color w:val="010101"/>
          <w:w w:val="79"/>
          <w:sz w:val="24"/>
        </w:rPr>
        <w:t>R;+l</w:t>
      </w:r>
      <w:r>
        <w:rPr>
          <w:rFonts w:ascii="Arial"/>
          <w:i/>
          <w:color w:val="010101"/>
          <w:spacing w:val="24"/>
          <w:sz w:val="24"/>
        </w:rPr>
        <w:t> </w:t>
      </w:r>
      <w:r>
        <w:rPr>
          <w:rFonts w:ascii="Arial"/>
          <w:color w:val="010101"/>
          <w:w w:val="217"/>
          <w:sz w:val="24"/>
        </w:rPr>
        <w:t>-</w:t>
      </w:r>
    </w:p>
    <w:p>
      <w:pPr>
        <w:spacing w:before="213"/>
        <w:ind w:left="11" w:right="-18" w:firstLine="0"/>
        <w:jc w:val="left"/>
        <w:rPr>
          <w:rFonts w:ascii="Arial" w:hAnsi="Arial"/>
          <w:sz w:val="24"/>
        </w:rPr>
      </w:pPr>
      <w:r>
        <w:rPr/>
        <w:br w:type="column"/>
      </w:r>
      <w:r>
        <w:rPr>
          <w:i/>
          <w:color w:val="010101"/>
          <w:spacing w:val="-3"/>
          <w:w w:val="135"/>
          <w:position w:val="11"/>
          <w:sz w:val="11"/>
        </w:rPr>
        <w:t>8</w:t>
      </w:r>
      <w:r>
        <w:rPr>
          <w:rFonts w:ascii="Arial" w:hAnsi="Arial"/>
          <w:i/>
          <w:color w:val="010101"/>
          <w:w w:val="71"/>
          <w:sz w:val="24"/>
        </w:rPr>
        <w:t>ªR:+2l</w:t>
      </w:r>
      <w:r>
        <w:rPr>
          <w:rFonts w:ascii="Arial" w:hAnsi="Arial"/>
          <w:i/>
          <w:color w:val="010101"/>
          <w:spacing w:val="25"/>
          <w:sz w:val="24"/>
        </w:rPr>
        <w:t> </w:t>
      </w:r>
      <w:r>
        <w:rPr>
          <w:rFonts w:ascii="Arial" w:hAnsi="Arial"/>
          <w:color w:val="010101"/>
          <w:w w:val="217"/>
          <w:sz w:val="24"/>
        </w:rPr>
        <w:t>-</w:t>
      </w:r>
    </w:p>
    <w:p>
      <w:pPr>
        <w:spacing w:before="213"/>
        <w:ind w:left="22" w:right="0" w:firstLine="0"/>
        <w:jc w:val="left"/>
        <w:rPr>
          <w:rFonts w:ascii="Arial" w:hAnsi="Arial"/>
          <w:i/>
          <w:sz w:val="24"/>
        </w:rPr>
      </w:pPr>
      <w:r>
        <w:rPr/>
        <w:br w:type="column"/>
      </w:r>
      <w:r>
        <w:rPr>
          <w:i/>
          <w:color w:val="010101"/>
          <w:spacing w:val="4"/>
          <w:w w:val="135"/>
          <w:position w:val="10"/>
          <w:sz w:val="11"/>
        </w:rPr>
        <w:t>8</w:t>
      </w:r>
      <w:r>
        <w:rPr>
          <w:rFonts w:ascii="Arial" w:hAnsi="Arial"/>
          <w:i/>
          <w:color w:val="010101"/>
          <w:w w:val="71"/>
          <w:sz w:val="24"/>
        </w:rPr>
        <w:t>ºR;+3</w:t>
      </w:r>
      <w:r>
        <w:rPr>
          <w:rFonts w:ascii="Arial" w:hAnsi="Arial"/>
          <w:i/>
          <w:color w:val="010101"/>
          <w:w w:val="71"/>
          <w:sz w:val="24"/>
          <w:u w:val="single" w:color="000000"/>
        </w:rPr>
        <w:t>l</w:t>
      </w:r>
      <w:r>
        <w:rPr>
          <w:rFonts w:ascii="Arial" w:hAnsi="Arial"/>
          <w:i/>
          <w:color w:val="010101"/>
          <w:spacing w:val="-37"/>
          <w:sz w:val="24"/>
          <w:u w:val="single" w:color="000000"/>
        </w:rPr>
        <w:t> </w:t>
      </w:r>
      <w:r>
        <w:rPr>
          <w:rFonts w:ascii="Arial" w:hAnsi="Arial"/>
          <w:i/>
          <w:color w:val="010101"/>
          <w:w w:val="56"/>
          <w:sz w:val="24"/>
        </w:rPr>
        <w:t>)</w:t>
      </w:r>
    </w:p>
    <w:p>
      <w:pPr>
        <w:spacing w:after="0"/>
        <w:jc w:val="left"/>
        <w:rPr>
          <w:rFonts w:ascii="Arial" w:hAnsi="Arial"/>
          <w:sz w:val="24"/>
        </w:rPr>
        <w:sectPr>
          <w:type w:val="continuous"/>
          <w:pgSz w:w="7200" w:h="11340"/>
          <w:pgMar w:top="1100" w:bottom="0" w:left="660" w:right="560"/>
          <w:cols w:num="4" w:equalWidth="0">
            <w:col w:w="1425" w:space="40"/>
            <w:col w:w="764" w:space="40"/>
            <w:col w:w="822" w:space="40"/>
            <w:col w:w="2849"/>
          </w:cols>
        </w:sectPr>
      </w:pPr>
    </w:p>
    <w:p>
      <w:pPr>
        <w:tabs>
          <w:tab w:pos="1967" w:val="left" w:leader="none"/>
        </w:tabs>
        <w:spacing w:line="258" w:lineRule="exact" w:before="0"/>
        <w:ind w:left="319" w:right="739" w:firstLine="0"/>
        <w:jc w:val="left"/>
        <w:rPr>
          <w:i/>
          <w:sz w:val="12"/>
        </w:rPr>
      </w:pPr>
      <w:r>
        <w:rPr>
          <w:color w:val="010101"/>
          <w:w w:val="180"/>
          <w:sz w:val="12"/>
        </w:rPr>
        <w:t>'</w:t>
        <w:tab/>
      </w:r>
      <w:r>
        <w:rPr>
          <w:i/>
          <w:color w:val="010101"/>
          <w:spacing w:val="-6"/>
          <w:w w:val="110"/>
          <w:sz w:val="12"/>
        </w:rPr>
        <w:t>S</w:t>
      </w:r>
      <w:r>
        <w:rPr>
          <w:i/>
          <w:color w:val="010101"/>
          <w:spacing w:val="-6"/>
          <w:w w:val="110"/>
          <w:position w:val="-11"/>
          <w:sz w:val="22"/>
        </w:rPr>
        <w:t>Dx</w:t>
      </w:r>
      <w:r>
        <w:rPr>
          <w:i/>
          <w:color w:val="010101"/>
          <w:spacing w:val="-6"/>
          <w:w w:val="110"/>
          <w:sz w:val="12"/>
        </w:rPr>
        <w:t>T</w:t>
      </w:r>
    </w:p>
    <w:p>
      <w:pPr>
        <w:pStyle w:val="BodyText"/>
        <w:spacing w:line="291" w:lineRule="exact"/>
        <w:ind w:left="851" w:right="739"/>
      </w:pPr>
      <w:r>
        <w:rPr/>
        <w:pict>
          <v:line style="position:absolute;mso-position-horizontal-relative:page;mso-position-vertical-relative:paragraph;z-index:-704752" from="155.772705pt,14.405298pt" to="158.464605pt,14.405298pt" stroked="true" strokeweight=".358923pt" strokecolor="#000000">
            <w10:wrap type="none"/>
          </v:line>
        </w:pict>
      </w:r>
      <w:r>
        <w:rPr>
          <w:rFonts w:ascii="Arial" w:hAnsi="Arial"/>
          <w:color w:val="010101"/>
          <w:w w:val="105"/>
          <w:sz w:val="31"/>
        </w:rPr>
        <w:t>+</w:t>
      </w:r>
      <w:r>
        <w:rPr>
          <w:rFonts w:ascii="Arial" w:hAnsi="Arial"/>
          <w:color w:val="010101"/>
          <w:spacing w:val="-20"/>
          <w:sz w:val="31"/>
        </w:rPr>
        <w:t> </w:t>
      </w:r>
      <w:r>
        <w:rPr>
          <w:color w:val="010101"/>
          <w:w w:val="86"/>
        </w:rPr>
        <w:t>lOO</w:t>
      </w:r>
      <w:r>
        <w:rPr>
          <w:color w:val="010101"/>
          <w:w w:val="86"/>
        </w:rPr>
        <w:t>(</w:t>
      </w:r>
      <w:r>
        <w:rPr>
          <w:color w:val="010101"/>
          <w:spacing w:val="-24"/>
        </w:rPr>
        <w:t> </w:t>
      </w:r>
      <w:r>
        <w:rPr>
          <w:color w:val="010101"/>
          <w:w w:val="111"/>
        </w:rPr>
        <w:t>ªR</w:t>
      </w:r>
      <w:r>
        <w:rPr>
          <w:color w:val="010101"/>
          <w:spacing w:val="-9"/>
          <w:w w:val="111"/>
        </w:rPr>
        <w:t>!</w:t>
      </w:r>
      <w:r>
        <w:rPr>
          <w:color w:val="010101"/>
          <w:w w:val="75"/>
        </w:rPr>
        <w:t>+1</w:t>
      </w:r>
      <w:r>
        <w:rPr>
          <w:color w:val="010101"/>
        </w:rPr>
        <w:t> </w:t>
      </w:r>
      <w:r>
        <w:rPr>
          <w:color w:val="010101"/>
          <w:spacing w:val="-18"/>
        </w:rPr>
        <w:t> </w:t>
      </w:r>
      <w:r>
        <w:rPr>
          <w:color w:val="010101"/>
          <w:w w:val="274"/>
        </w:rPr>
        <w:t>-</w:t>
      </w:r>
      <w:r>
        <w:rPr>
          <w:color w:val="010101"/>
          <w:spacing w:val="7"/>
        </w:rPr>
        <w:t> </w:t>
      </w:r>
      <w:r>
        <w:rPr>
          <w:color w:val="010101"/>
          <w:spacing w:val="-29"/>
          <w:w w:val="113"/>
        </w:rPr>
        <w:t>"</w:t>
      </w:r>
      <w:r>
        <w:rPr>
          <w:color w:val="010101"/>
          <w:w w:val="80"/>
        </w:rPr>
        <w:t>.</w:t>
      </w:r>
      <w:r>
        <w:rPr>
          <w:color w:val="010101"/>
          <w:spacing w:val="-104"/>
          <w:w w:val="79"/>
        </w:rPr>
        <w:t>R</w:t>
      </w:r>
      <w:r>
        <w:rPr>
          <w:color w:val="010101"/>
          <w:spacing w:val="-195"/>
          <w:w w:val="274"/>
        </w:rPr>
        <w:t>!</w:t>
      </w:r>
      <w:r>
        <w:rPr>
          <w:color w:val="010101"/>
          <w:w w:val="73"/>
        </w:rPr>
        <w:t>+31</w:t>
      </w:r>
      <w:r>
        <w:rPr>
          <w:color w:val="010101"/>
          <w:w w:val="73"/>
        </w:rPr>
        <w:t>)</w:t>
      </w:r>
    </w:p>
    <w:p>
      <w:pPr>
        <w:pStyle w:val="Heading3"/>
        <w:ind w:left="1845" w:right="739"/>
        <w:rPr>
          <w:i/>
        </w:rPr>
      </w:pPr>
      <w:r>
        <w:rPr>
          <w:i/>
          <w:color w:val="010101"/>
          <w:w w:val="85"/>
        </w:rPr>
        <w:t>D;</w:t>
      </w:r>
    </w:p>
    <w:p>
      <w:pPr>
        <w:pStyle w:val="ListParagraph"/>
        <w:numPr>
          <w:ilvl w:val="0"/>
          <w:numId w:val="162"/>
        </w:numPr>
        <w:tabs>
          <w:tab w:pos="373" w:val="left" w:leader="none"/>
        </w:tabs>
        <w:spacing w:line="616" w:lineRule="exact" w:before="0" w:after="0"/>
        <w:ind w:left="372" w:right="3124" w:hanging="246"/>
        <w:jc w:val="center"/>
        <w:rPr>
          <w:i/>
          <w:color w:val="010101"/>
          <w:sz w:val="20"/>
        </w:rPr>
      </w:pPr>
      <w:r>
        <w:rPr>
          <w:i/>
          <w:color w:val="010101"/>
          <w:spacing w:val="-325"/>
          <w:w w:val="147"/>
          <w:sz w:val="55"/>
        </w:rPr>
        <w:t>t</w:t>
      </w:r>
      <w:r>
        <w:rPr>
          <w:color w:val="010101"/>
          <w:w w:val="114"/>
          <w:position w:val="-12"/>
          <w:sz w:val="26"/>
        </w:rPr>
        <w:t>,</w:t>
      </w:r>
      <w:r>
        <w:rPr>
          <w:color w:val="010101"/>
          <w:spacing w:val="-23"/>
          <w:w w:val="114"/>
          <w:position w:val="-12"/>
          <w:sz w:val="26"/>
        </w:rPr>
        <w:t>-</w:t>
      </w:r>
      <w:r>
        <w:rPr>
          <w:color w:val="010101"/>
          <w:w w:val="52"/>
          <w:position w:val="-12"/>
          <w:sz w:val="26"/>
        </w:rPr>
        <w:t>o</w:t>
      </w:r>
      <w:r>
        <w:rPr>
          <w:color w:val="010101"/>
          <w:spacing w:val="-4"/>
          <w:position w:val="-12"/>
          <w:sz w:val="26"/>
        </w:rPr>
        <w:t> </w:t>
      </w:r>
      <w:r>
        <w:rPr>
          <w:i/>
          <w:color w:val="010101"/>
          <w:w w:val="167"/>
          <w:sz w:val="17"/>
        </w:rPr>
        <w:t>(</w:t>
      </w:r>
      <w:r>
        <w:rPr>
          <w:i/>
          <w:color w:val="010101"/>
          <w:spacing w:val="-23"/>
          <w:sz w:val="17"/>
        </w:rPr>
        <w:t> </w:t>
      </w:r>
      <w:r>
        <w:rPr>
          <w:i/>
          <w:color w:val="010101"/>
          <w:w w:val="107"/>
          <w:sz w:val="17"/>
        </w:rPr>
        <w:t>sz+t</w:t>
      </w:r>
      <w:r>
        <w:rPr>
          <w:i/>
          <w:color w:val="010101"/>
          <w:sz w:val="17"/>
        </w:rPr>
        <w:t> </w:t>
      </w:r>
      <w:r>
        <w:rPr>
          <w:i/>
          <w:color w:val="010101"/>
          <w:spacing w:val="3"/>
          <w:sz w:val="17"/>
        </w:rPr>
        <w:t> </w:t>
      </w:r>
      <w:r>
        <w:rPr>
          <w:i/>
          <w:color w:val="010101"/>
          <w:spacing w:val="7"/>
          <w:w w:val="68"/>
          <w:sz w:val="17"/>
        </w:rPr>
        <w:t>V</w:t>
      </w:r>
      <w:r>
        <w:rPr>
          <w:i/>
          <w:color w:val="010101"/>
          <w:w w:val="88"/>
          <w:sz w:val="17"/>
        </w:rPr>
        <w:t>z+t</w:t>
      </w:r>
      <w:r>
        <w:rPr>
          <w:i/>
          <w:color w:val="010101"/>
          <w:spacing w:val="-5"/>
          <w:sz w:val="17"/>
        </w:rPr>
        <w:t> </w:t>
      </w:r>
      <w:r>
        <w:rPr>
          <w:i/>
          <w:color w:val="010101"/>
          <w:spacing w:val="6"/>
          <w:w w:val="98"/>
          <w:sz w:val="17"/>
        </w:rPr>
        <w:t>H</w:t>
      </w:r>
      <w:r>
        <w:rPr>
          <w:i/>
          <w:color w:val="010101"/>
          <w:spacing w:val="-312"/>
          <w:w w:val="144"/>
          <w:sz w:val="55"/>
        </w:rPr>
        <w:t>t</w:t>
      </w:r>
      <w:r>
        <w:rPr>
          <w:rFonts w:ascii="Arial"/>
          <w:color w:val="010101"/>
          <w:w w:val="162"/>
          <w:position w:val="-12"/>
          <w:sz w:val="12"/>
        </w:rPr>
        <w:t>n-1</w:t>
      </w:r>
      <w:r>
        <w:rPr>
          <w:rFonts w:ascii="Arial"/>
          <w:color w:val="010101"/>
          <w:spacing w:val="-11"/>
          <w:position w:val="-12"/>
          <w:sz w:val="12"/>
        </w:rPr>
        <w:t> </w:t>
      </w:r>
      <w:r>
        <w:rPr>
          <w:i/>
          <w:color w:val="010101"/>
          <w:spacing w:val="8"/>
          <w:w w:val="87"/>
          <w:sz w:val="17"/>
        </w:rPr>
        <w:t>W</w:t>
      </w:r>
      <w:r>
        <w:rPr>
          <w:i/>
          <w:color w:val="010101"/>
          <w:w w:val="102"/>
          <w:sz w:val="17"/>
        </w:rPr>
        <w:t>z+t+n</w:t>
      </w:r>
      <w:r>
        <w:rPr>
          <w:i/>
          <w:color w:val="010101"/>
          <w:w w:val="102"/>
          <w:sz w:val="17"/>
        </w:rPr>
        <w:t>)</w:t>
      </w:r>
    </w:p>
    <w:p>
      <w:pPr>
        <w:spacing w:before="18"/>
        <w:ind w:left="1310" w:right="739" w:firstLine="0"/>
        <w:jc w:val="left"/>
        <w:rPr>
          <w:b/>
          <w:sz w:val="12"/>
        </w:rPr>
      </w:pPr>
      <w:r>
        <w:rPr>
          <w:b/>
          <w:color w:val="010101"/>
          <w:w w:val="95"/>
          <w:sz w:val="12"/>
        </w:rPr>
        <w:t>ao</w:t>
      </w:r>
    </w:p>
    <w:p>
      <w:pPr>
        <w:spacing w:before="81"/>
        <w:ind w:left="1253" w:right="739" w:firstLine="0"/>
        <w:jc w:val="left"/>
        <w:rPr>
          <w:i/>
          <w:sz w:val="17"/>
        </w:rPr>
      </w:pPr>
      <w:r>
        <w:rPr>
          <w:i/>
          <w:color w:val="010101"/>
          <w:w w:val="150"/>
          <w:sz w:val="17"/>
        </w:rPr>
        <w:t>L </w:t>
      </w:r>
      <w:r>
        <w:rPr>
          <w:i/>
          <w:color w:val="010101"/>
          <w:sz w:val="17"/>
        </w:rPr>
        <w:t>W:i:+t</w:t>
      </w:r>
    </w:p>
    <w:p>
      <w:pPr>
        <w:spacing w:after="0"/>
        <w:jc w:val="left"/>
        <w:rPr>
          <w:sz w:val="17"/>
        </w:rPr>
        <w:sectPr>
          <w:type w:val="continuous"/>
          <w:pgSz w:w="7200" w:h="11340"/>
          <w:pgMar w:top="1100" w:bottom="0" w:left="660" w:right="560"/>
        </w:sectPr>
      </w:pPr>
    </w:p>
    <w:p>
      <w:pPr>
        <w:numPr>
          <w:ilvl w:val="0"/>
          <w:numId w:val="162"/>
        </w:numPr>
        <w:tabs>
          <w:tab w:pos="439" w:val="left" w:leader="none"/>
        </w:tabs>
        <w:spacing w:line="221" w:lineRule="exact" w:before="0"/>
        <w:ind w:left="438" w:right="0" w:hanging="316"/>
        <w:jc w:val="left"/>
        <w:rPr>
          <w:i/>
          <w:color w:val="010101"/>
          <w:sz w:val="19"/>
        </w:rPr>
      </w:pPr>
      <w:r>
        <w:rPr>
          <w:i/>
          <w:color w:val="010101"/>
          <w:sz w:val="21"/>
        </w:rPr>
        <w:t>'(</w:t>
      </w:r>
      <w:r>
        <w:rPr>
          <w:i/>
          <w:color w:val="010101"/>
          <w:spacing w:val="-30"/>
          <w:sz w:val="21"/>
        </w:rPr>
        <w:t> </w:t>
      </w:r>
      <w:r>
        <w:rPr>
          <w:i/>
          <w:color w:val="010101"/>
          <w:spacing w:val="4"/>
          <w:sz w:val="21"/>
        </w:rPr>
        <w:t>TPC</w:t>
      </w:r>
      <w:r>
        <w:rPr>
          <w:i/>
          <w:color w:val="010101"/>
          <w:spacing w:val="-28"/>
          <w:sz w:val="21"/>
        </w:rPr>
        <w:t> </w:t>
      </w:r>
      <w:r>
        <w:rPr>
          <w:i/>
          <w:color w:val="010101"/>
          <w:sz w:val="21"/>
        </w:rPr>
        <w:t>)z</w:t>
      </w:r>
    </w:p>
    <w:p>
      <w:pPr>
        <w:spacing w:before="175"/>
        <w:ind w:left="122" w:right="0" w:firstLine="0"/>
        <w:jc w:val="left"/>
        <w:rPr>
          <w:i/>
          <w:sz w:val="20"/>
        </w:rPr>
      </w:pPr>
      <w:r>
        <w:rPr/>
        <w:br w:type="column"/>
      </w:r>
      <w:r>
        <w:rPr>
          <w:i/>
          <w:color w:val="010101"/>
          <w:w w:val="75"/>
          <w:sz w:val="20"/>
        </w:rPr>
        <w:t>l:i:</w:t>
      </w:r>
    </w:p>
    <w:p>
      <w:pPr>
        <w:spacing w:after="0"/>
        <w:jc w:val="left"/>
        <w:rPr>
          <w:sz w:val="20"/>
        </w:rPr>
        <w:sectPr>
          <w:type w:val="continuous"/>
          <w:pgSz w:w="7200" w:h="11340"/>
          <w:pgMar w:top="1100" w:bottom="0" w:left="660" w:right="560"/>
          <w:cols w:num="2" w:equalWidth="0">
            <w:col w:w="1153" w:space="204"/>
            <w:col w:w="4623"/>
          </w:cols>
        </w:sectPr>
      </w:pPr>
    </w:p>
    <w:p>
      <w:pPr>
        <w:tabs>
          <w:tab w:pos="1929" w:val="left" w:leader="none"/>
        </w:tabs>
        <w:spacing w:before="97"/>
        <w:ind w:left="126" w:right="739" w:firstLine="0"/>
        <w:jc w:val="left"/>
        <w:rPr>
          <w:rFonts w:ascii="Arial"/>
          <w:i/>
          <w:sz w:val="19"/>
        </w:rPr>
      </w:pPr>
      <w:r>
        <w:rPr>
          <w:color w:val="010101"/>
          <w:w w:val="98"/>
          <w:sz w:val="20"/>
        </w:rPr>
        <w:t>12.</w:t>
      </w:r>
      <w:r>
        <w:rPr>
          <w:color w:val="010101"/>
          <w:spacing w:val="20"/>
          <w:sz w:val="20"/>
        </w:rPr>
        <w:t> </w:t>
      </w:r>
      <w:r>
        <w:rPr>
          <w:color w:val="010101"/>
          <w:w w:val="114"/>
          <w:sz w:val="20"/>
        </w:rPr>
        <w:t>(</w:t>
      </w:r>
      <w:r>
        <w:rPr>
          <w:color w:val="010101"/>
          <w:spacing w:val="26"/>
          <w:w w:val="114"/>
          <w:sz w:val="20"/>
        </w:rPr>
        <w:t>a</w:t>
      </w:r>
      <w:r>
        <w:rPr>
          <w:color w:val="010101"/>
          <w:w w:val="97"/>
          <w:sz w:val="20"/>
        </w:rPr>
        <w:t>)</w:t>
      </w:r>
      <w:r>
        <w:rPr>
          <w:color w:val="010101"/>
          <w:sz w:val="20"/>
        </w:rPr>
        <w:t> </w:t>
      </w:r>
      <w:r>
        <w:rPr>
          <w:color w:val="010101"/>
          <w:spacing w:val="-15"/>
          <w:sz w:val="20"/>
        </w:rPr>
        <w:t> </w:t>
      </w:r>
      <w:r>
        <w:rPr>
          <w:i/>
          <w:color w:val="010101"/>
          <w:w w:val="134"/>
          <w:sz w:val="19"/>
          <w:u w:val="single" w:color="000000"/>
        </w:rPr>
        <w:t>180(</w:t>
      </w:r>
      <w:r>
        <w:rPr>
          <w:i/>
          <w:color w:val="010101"/>
          <w:w w:val="133"/>
          <w:sz w:val="19"/>
          <w:u w:val="single" w:color="000000"/>
        </w:rPr>
        <w:t>!s</w:t>
      </w:r>
      <w:r>
        <w:rPr>
          <w:i/>
          <w:color w:val="010101"/>
          <w:w w:val="133"/>
          <w:sz w:val="19"/>
          <w:u w:val="single" w:color="000000"/>
        </w:rPr>
        <w:t>C</w:t>
      </w:r>
      <w:r>
        <w:rPr>
          <w:i/>
          <w:color w:val="010101"/>
          <w:sz w:val="19"/>
          <w:u w:val="single" w:color="000000"/>
        </w:rPr>
        <w:tab/>
      </w:r>
      <w:r>
        <w:rPr>
          <w:i/>
          <w:color w:val="010101"/>
          <w:spacing w:val="-7"/>
          <w:sz w:val="19"/>
        </w:rPr>
        <w:t> </w:t>
      </w:r>
      <w:r>
        <w:rPr>
          <w:rFonts w:ascii="Arial"/>
          <w:i/>
          <w:color w:val="010101"/>
          <w:w w:val="74"/>
          <w:sz w:val="19"/>
          <w:u w:val="single" w:color="000000"/>
        </w:rPr>
        <w:t>B</w:t>
      </w:r>
      <w:r>
        <w:rPr>
          <w:rFonts w:ascii="Arial"/>
          <w:i/>
          <w:color w:val="010101"/>
          <w:w w:val="74"/>
          <w:sz w:val="19"/>
          <w:u w:val="single" w:color="000000"/>
        </w:rPr>
        <w:t>"</w:t>
      </w:r>
      <w:r>
        <w:rPr>
          <w:rFonts w:ascii="Arial"/>
          <w:i/>
          <w:color w:val="010101"/>
          <w:spacing w:val="-33"/>
          <w:sz w:val="19"/>
          <w:u w:val="single" w:color="000000"/>
        </w:rPr>
        <w:t> </w:t>
      </w:r>
      <w:r>
        <w:rPr>
          <w:rFonts w:ascii="Arial"/>
          <w:i/>
          <w:color w:val="010101"/>
          <w:w w:val="137"/>
          <w:sz w:val="19"/>
          <w:u w:val="single" w:color="000000"/>
        </w:rPr>
        <w:t>iM</w:t>
      </w:r>
      <w:r>
        <w:rPr>
          <w:rFonts w:ascii="Arial"/>
          <w:i/>
          <w:color w:val="010101"/>
          <w:spacing w:val="-20"/>
          <w:w w:val="137"/>
          <w:sz w:val="19"/>
          <w:u w:val="single" w:color="000000"/>
        </w:rPr>
        <w:t>;</w:t>
      </w:r>
      <w:r>
        <w:rPr>
          <w:rFonts w:ascii="Arial"/>
          <w:i/>
          <w:color w:val="010101"/>
          <w:spacing w:val="9"/>
          <w:w w:val="65"/>
          <w:sz w:val="19"/>
          <w:u w:val="single" w:color="000000"/>
        </w:rPr>
        <w:t>1</w:t>
      </w:r>
      <w:r>
        <w:rPr>
          <w:rFonts w:ascii="Arial"/>
          <w:i/>
          <w:color w:val="010101"/>
          <w:w w:val="83"/>
          <w:sz w:val="19"/>
          <w:u w:val="single" w:color="000000"/>
        </w:rPr>
        <w:t>)</w:t>
      </w:r>
    </w:p>
    <w:p>
      <w:pPr>
        <w:spacing w:line="233" w:lineRule="exact" w:before="16"/>
        <w:ind w:left="1615" w:right="739" w:firstLine="0"/>
        <w:jc w:val="left"/>
        <w:rPr>
          <w:i/>
          <w:sz w:val="21"/>
        </w:rPr>
      </w:pPr>
      <w:r>
        <w:rPr>
          <w:i/>
          <w:color w:val="010101"/>
          <w:sz w:val="21"/>
        </w:rPr>
        <w:t>D,o</w:t>
      </w:r>
    </w:p>
    <w:p>
      <w:pPr>
        <w:spacing w:line="348" w:lineRule="exact" w:before="0"/>
        <w:ind w:left="431" w:right="739" w:firstLine="0"/>
        <w:jc w:val="left"/>
        <w:rPr>
          <w:i/>
          <w:sz w:val="19"/>
        </w:rPr>
      </w:pPr>
      <w:r>
        <w:rPr>
          <w:color w:val="010101"/>
          <w:w w:val="90"/>
          <w:sz w:val="20"/>
        </w:rPr>
        <w:t>(</w:t>
      </w:r>
      <w:r>
        <w:rPr>
          <w:color w:val="010101"/>
          <w:spacing w:val="-18"/>
          <w:sz w:val="20"/>
        </w:rPr>
        <w:t> </w:t>
      </w:r>
      <w:r>
        <w:rPr>
          <w:color w:val="010101"/>
          <w:w w:val="98"/>
          <w:sz w:val="20"/>
        </w:rPr>
        <w:t>b</w:t>
      </w:r>
      <w:r>
        <w:rPr>
          <w:color w:val="010101"/>
          <w:spacing w:val="-19"/>
          <w:sz w:val="20"/>
        </w:rPr>
        <w:t> </w:t>
      </w:r>
      <w:r>
        <w:rPr>
          <w:color w:val="010101"/>
          <w:w w:val="90"/>
          <w:sz w:val="20"/>
        </w:rPr>
        <w:t>)</w:t>
      </w:r>
      <w:r>
        <w:rPr>
          <w:color w:val="010101"/>
          <w:sz w:val="20"/>
        </w:rPr>
        <w:t> </w:t>
      </w:r>
      <w:r>
        <w:rPr>
          <w:color w:val="010101"/>
          <w:spacing w:val="-14"/>
          <w:sz w:val="20"/>
        </w:rPr>
        <w:t> </w:t>
      </w:r>
      <w:r>
        <w:rPr>
          <w:color w:val="010101"/>
          <w:w w:val="117"/>
          <w:sz w:val="20"/>
        </w:rPr>
        <w:t>180(</w:t>
      </w:r>
      <w:r>
        <w:rPr>
          <w:color w:val="010101"/>
          <w:spacing w:val="-26"/>
          <w:w w:val="117"/>
          <w:sz w:val="20"/>
        </w:rPr>
        <w:t>!</w:t>
      </w:r>
      <w:r>
        <w:rPr>
          <w:rFonts w:ascii="Arial"/>
          <w:color w:val="010101"/>
          <w:spacing w:val="3"/>
          <w:w w:val="134"/>
          <w:position w:val="11"/>
          <w:sz w:val="10"/>
        </w:rPr>
        <w:t>8</w:t>
      </w:r>
      <w:r>
        <w:rPr>
          <w:color w:val="010101"/>
          <w:w w:val="84"/>
          <w:sz w:val="26"/>
        </w:rPr>
        <w:t>.M</w:t>
      </w:r>
      <w:r>
        <w:rPr>
          <w:color w:val="010101"/>
          <w:spacing w:val="-44"/>
          <w:w w:val="84"/>
          <w:sz w:val="26"/>
        </w:rPr>
        <w:t>:</w:t>
      </w:r>
      <w:r>
        <w:rPr>
          <w:color w:val="010101"/>
          <w:w w:val="46"/>
          <w:sz w:val="26"/>
        </w:rPr>
        <w:t>o</w:t>
      </w:r>
      <w:r>
        <w:rPr>
          <w:color w:val="010101"/>
          <w:spacing w:val="22"/>
          <w:sz w:val="26"/>
        </w:rPr>
        <w:t> </w:t>
      </w:r>
      <w:r>
        <w:rPr>
          <w:rFonts w:ascii="Arial"/>
          <w:color w:val="010101"/>
          <w:w w:val="102"/>
          <w:sz w:val="31"/>
        </w:rPr>
        <w:t>+</w:t>
      </w:r>
      <w:r>
        <w:rPr>
          <w:rFonts w:ascii="Arial"/>
          <w:color w:val="010101"/>
          <w:spacing w:val="-4"/>
          <w:sz w:val="31"/>
        </w:rPr>
        <w:t> </w:t>
      </w:r>
      <w:r>
        <w:rPr>
          <w:i/>
          <w:color w:val="010101"/>
          <w:w w:val="86"/>
          <w:sz w:val="19"/>
        </w:rPr>
        <w:t>s"</w:t>
      </w:r>
      <w:r>
        <w:rPr>
          <w:i/>
          <w:color w:val="010101"/>
          <w:spacing w:val="-16"/>
          <w:sz w:val="19"/>
        </w:rPr>
        <w:t> </w:t>
      </w:r>
      <w:r>
        <w:rPr>
          <w:i/>
          <w:color w:val="010101"/>
          <w:w w:val="123"/>
          <w:sz w:val="19"/>
        </w:rPr>
        <w:t>;R</w:t>
      </w:r>
      <w:r>
        <w:rPr>
          <w:i/>
          <w:color w:val="010101"/>
          <w:spacing w:val="-25"/>
          <w:w w:val="123"/>
          <w:sz w:val="19"/>
          <w:u w:val="single" w:color="000000"/>
        </w:rPr>
        <w:t>:</w:t>
      </w:r>
      <w:r>
        <w:rPr>
          <w:i/>
          <w:color w:val="010101"/>
          <w:w w:val="67"/>
          <w:sz w:val="19"/>
          <w:u w:val="single" w:color="000000"/>
        </w:rPr>
        <w:t>1</w:t>
      </w:r>
      <w:r>
        <w:rPr>
          <w:i/>
          <w:color w:val="010101"/>
          <w:spacing w:val="-33"/>
          <w:sz w:val="19"/>
        </w:rPr>
        <w:t> </w:t>
      </w:r>
      <w:r>
        <w:rPr>
          <w:i/>
          <w:color w:val="010101"/>
          <w:w w:val="68"/>
          <w:sz w:val="19"/>
        </w:rPr>
        <w:t>)</w:t>
      </w:r>
    </w:p>
    <w:p>
      <w:pPr>
        <w:spacing w:before="8"/>
        <w:ind w:left="1547" w:right="739" w:firstLine="0"/>
        <w:jc w:val="left"/>
        <w:rPr>
          <w:sz w:val="22"/>
        </w:rPr>
      </w:pPr>
      <w:r>
        <w:rPr>
          <w:rFonts w:ascii="Arial"/>
          <w:color w:val="010101"/>
          <w:spacing w:val="6"/>
          <w:w w:val="142"/>
          <w:position w:val="12"/>
          <w:sz w:val="10"/>
        </w:rPr>
        <w:t>8</w:t>
      </w:r>
      <w:r>
        <w:rPr>
          <w:color w:val="010101"/>
          <w:w w:val="80"/>
          <w:sz w:val="22"/>
        </w:rPr>
        <w:t>Dro</w:t>
      </w:r>
    </w:p>
    <w:p>
      <w:pPr>
        <w:tabs>
          <w:tab w:pos="2458" w:val="left" w:leader="none"/>
        </w:tabs>
        <w:spacing w:line="39" w:lineRule="exact" w:before="17"/>
        <w:ind w:left="833" w:right="739" w:firstLine="0"/>
        <w:jc w:val="left"/>
        <w:rPr>
          <w:i/>
          <w:sz w:val="14"/>
        </w:rPr>
      </w:pPr>
      <w:r>
        <w:rPr>
          <w:color w:val="010101"/>
          <w:w w:val="110"/>
          <w:sz w:val="20"/>
        </w:rPr>
        <w:t>100</w:t>
      </w:r>
      <w:r>
        <w:rPr>
          <w:color w:val="010101"/>
          <w:spacing w:val="54"/>
          <w:w w:val="110"/>
          <w:sz w:val="20"/>
        </w:rPr>
        <w:t> </w:t>
      </w:r>
      <w:r>
        <w:rPr>
          <w:color w:val="010101"/>
          <w:w w:val="110"/>
          <w:sz w:val="12"/>
        </w:rPr>
        <w:t>69</w:t>
        <w:tab/>
      </w:r>
      <w:r>
        <w:rPr>
          <w:color w:val="010101"/>
          <w:spacing w:val="-14"/>
          <w:w w:val="110"/>
          <w:sz w:val="20"/>
        </w:rPr>
        <w:t>100  </w:t>
      </w:r>
      <w:r>
        <w:rPr>
          <w:color w:val="010101"/>
          <w:w w:val="110"/>
          <w:sz w:val="16"/>
        </w:rPr>
        <w:t>l  </w:t>
      </w:r>
      <w:r>
        <w:rPr>
          <w:color w:val="010101"/>
          <w:spacing w:val="12"/>
          <w:w w:val="110"/>
          <w:sz w:val="16"/>
        </w:rPr>
        <w:t> </w:t>
      </w:r>
      <w:r>
        <w:rPr>
          <w:i/>
          <w:color w:val="010101"/>
          <w:w w:val="110"/>
          <w:sz w:val="14"/>
        </w:rPr>
        <w:t>:11i</w:t>
      </w:r>
    </w:p>
    <w:p>
      <w:pPr>
        <w:spacing w:after="0" w:line="39" w:lineRule="exact"/>
        <w:jc w:val="left"/>
        <w:rPr>
          <w:sz w:val="14"/>
        </w:rPr>
        <w:sectPr>
          <w:type w:val="continuous"/>
          <w:pgSz w:w="7200" w:h="11340"/>
          <w:pgMar w:top="1100" w:bottom="0" w:left="660" w:right="560"/>
        </w:sectPr>
      </w:pPr>
    </w:p>
    <w:p>
      <w:pPr>
        <w:spacing w:before="87"/>
        <w:ind w:left="122" w:right="0" w:firstLine="0"/>
        <w:jc w:val="left"/>
        <w:rPr>
          <w:sz w:val="20"/>
        </w:rPr>
      </w:pPr>
      <w:r>
        <w:rPr/>
        <w:pict>
          <v:shape style="position:absolute;margin-left:76.809570pt;margin-top:7.385732pt;width:13pt;height:19pt;mso-position-horizontal-relative:page;mso-position-vertical-relative:paragraph;z-index:31384" type="#_x0000_t202" filled="false" stroked="false">
            <v:textbox inset="0,0,0,0">
              <w:txbxContent>
                <w:p>
                  <w:pPr>
                    <w:spacing w:line="380" w:lineRule="exact" w:before="0"/>
                    <w:ind w:left="0" w:right="-19" w:firstLine="0"/>
                    <w:jc w:val="left"/>
                    <w:rPr>
                      <w:i/>
                      <w:sz w:val="38"/>
                    </w:rPr>
                  </w:pPr>
                  <w:r>
                    <w:rPr>
                      <w:i/>
                      <w:color w:val="010101"/>
                      <w:spacing w:val="7"/>
                      <w:w w:val="28"/>
                      <w:sz w:val="38"/>
                    </w:rPr>
                    <w:t>z</w:t>
                  </w:r>
                  <w:r>
                    <w:rPr>
                      <w:i/>
                      <w:color w:val="010101"/>
                      <w:w w:val="164"/>
                      <w:sz w:val="38"/>
                    </w:rPr>
                    <w:t>:</w:t>
                  </w:r>
                </w:p>
              </w:txbxContent>
            </v:textbox>
            <w10:wrap type="none"/>
          </v:shape>
        </w:pict>
      </w:r>
      <w:r>
        <w:rPr>
          <w:color w:val="010101"/>
          <w:w w:val="110"/>
          <w:sz w:val="19"/>
        </w:rPr>
        <w:t>13. </w:t>
      </w:r>
      <w:r>
        <w:rPr>
          <w:color w:val="010101"/>
          <w:w w:val="110"/>
          <w:sz w:val="20"/>
        </w:rPr>
        <w:t>(a)</w:t>
      </w:r>
    </w:p>
    <w:p>
      <w:pPr>
        <w:spacing w:line="326" w:lineRule="exact" w:before="0"/>
        <w:ind w:left="459" w:right="0" w:firstLine="0"/>
        <w:jc w:val="left"/>
        <w:rPr>
          <w:sz w:val="23"/>
        </w:rPr>
      </w:pPr>
      <w:r>
        <w:rPr/>
        <w:br w:type="column"/>
      </w:r>
      <w:r>
        <w:rPr>
          <w:i/>
          <w:color w:val="010101"/>
          <w:w w:val="125"/>
          <w:sz w:val="34"/>
        </w:rPr>
        <w:t>L </w:t>
      </w:r>
      <w:r>
        <w:rPr>
          <w:color w:val="010101"/>
          <w:w w:val="125"/>
          <w:sz w:val="12"/>
        </w:rPr>
        <w:t>vz-34l  </w:t>
      </w:r>
      <w:r>
        <w:rPr>
          <w:color w:val="010101"/>
          <w:w w:val="125"/>
          <w:sz w:val="20"/>
        </w:rPr>
        <w:t>i </w:t>
      </w:r>
      <w:r>
        <w:rPr>
          <w:color w:val="010101"/>
          <w:w w:val="125"/>
          <w:sz w:val="23"/>
        </w:rPr>
        <w:t>=</w:t>
      </w:r>
    </w:p>
    <w:p>
      <w:pPr>
        <w:tabs>
          <w:tab w:pos="1313" w:val="left" w:leader="none"/>
        </w:tabs>
        <w:spacing w:line="162" w:lineRule="exact" w:before="0"/>
        <w:ind w:left="423" w:right="0" w:firstLine="0"/>
        <w:jc w:val="left"/>
        <w:rPr>
          <w:i/>
          <w:sz w:val="12"/>
        </w:rPr>
      </w:pPr>
      <w:r>
        <w:rPr>
          <w:color w:val="010101"/>
          <w:w w:val="110"/>
          <w:sz w:val="16"/>
        </w:rPr>
        <w:t>z-as</w:t>
        <w:tab/>
      </w:r>
      <w:r>
        <w:rPr>
          <w:i/>
          <w:color w:val="010101"/>
          <w:w w:val="110"/>
          <w:sz w:val="12"/>
        </w:rPr>
        <w:t>z</w:t>
      </w:r>
    </w:p>
    <w:p>
      <w:pPr>
        <w:spacing w:before="87"/>
        <w:ind w:left="122" w:right="0" w:firstLine="0"/>
        <w:jc w:val="left"/>
        <w:rPr>
          <w:sz w:val="20"/>
        </w:rPr>
      </w:pPr>
      <w:r>
        <w:rPr/>
        <w:br w:type="column"/>
      </w:r>
      <w:r>
        <w:rPr>
          <w:rFonts w:ascii="Arial" w:hAnsi="Arial"/>
          <w:i/>
          <w:color w:val="010101"/>
          <w:spacing w:val="-213"/>
          <w:w w:val="87"/>
          <w:position w:val="-17"/>
          <w:sz w:val="34"/>
        </w:rPr>
        <w:t>D</w:t>
      </w:r>
      <w:r>
        <w:rPr>
          <w:i/>
          <w:color w:val="010101"/>
          <w:w w:val="87"/>
          <w:sz w:val="14"/>
        </w:rPr>
        <w:t>V</w:t>
      </w:r>
      <w:r>
        <w:rPr>
          <w:i/>
          <w:color w:val="010101"/>
          <w:sz w:val="14"/>
        </w:rPr>
        <w:t> </w:t>
      </w:r>
      <w:r>
        <w:rPr>
          <w:i/>
          <w:color w:val="010101"/>
          <w:spacing w:val="-9"/>
          <w:sz w:val="14"/>
        </w:rPr>
        <w:t> </w:t>
      </w:r>
      <w:r>
        <w:rPr>
          <w:rFonts w:ascii="Arial" w:hAnsi="Arial"/>
          <w:i/>
          <w:color w:val="010101"/>
          <w:w w:val="100"/>
          <w:sz w:val="9"/>
        </w:rPr>
        <w:t>S</w:t>
      </w:r>
      <w:r>
        <w:rPr>
          <w:rFonts w:ascii="Arial" w:hAnsi="Arial"/>
          <w:i/>
          <w:color w:val="010101"/>
          <w:spacing w:val="-15"/>
          <w:w w:val="100"/>
          <w:sz w:val="9"/>
        </w:rPr>
        <w:t>(</w:t>
      </w:r>
      <w:r>
        <w:rPr>
          <w:rFonts w:ascii="Arial" w:hAnsi="Arial"/>
          <w:i/>
          <w:color w:val="010101"/>
          <w:spacing w:val="-69"/>
          <w:w w:val="87"/>
          <w:position w:val="-17"/>
          <w:sz w:val="34"/>
        </w:rPr>
        <w:t>:</w:t>
      </w:r>
      <w:r>
        <w:rPr>
          <w:rFonts w:ascii="Arial" w:hAnsi="Arial"/>
          <w:i/>
          <w:color w:val="010101"/>
          <w:w w:val="100"/>
          <w:sz w:val="9"/>
        </w:rPr>
        <w:t>µY.L</w:t>
      </w:r>
      <w:r>
        <w:rPr>
          <w:rFonts w:ascii="Arial" w:hAnsi="Arial"/>
          <w:i/>
          <w:color w:val="010101"/>
          <w:sz w:val="9"/>
        </w:rPr>
        <w:t> </w:t>
      </w:r>
      <w:r>
        <w:rPr>
          <w:rFonts w:ascii="Arial" w:hAnsi="Arial"/>
          <w:i/>
          <w:color w:val="010101"/>
          <w:spacing w:val="-10"/>
          <w:sz w:val="9"/>
        </w:rPr>
        <w:t> </w:t>
      </w:r>
      <w:r>
        <w:rPr>
          <w:color w:val="010101"/>
          <w:w w:val="113"/>
          <w:sz w:val="20"/>
        </w:rPr>
        <w:t>u</w:t>
      </w:r>
    </w:p>
    <w:p>
      <w:pPr>
        <w:spacing w:after="0"/>
        <w:jc w:val="left"/>
        <w:rPr>
          <w:sz w:val="20"/>
        </w:rPr>
        <w:sectPr>
          <w:type w:val="continuous"/>
          <w:pgSz w:w="7200" w:h="11340"/>
          <w:pgMar w:top="1100" w:bottom="0" w:left="660" w:right="560"/>
          <w:cols w:num="3" w:equalWidth="0">
            <w:col w:w="722" w:space="40"/>
            <w:col w:w="1590" w:space="287"/>
            <w:col w:w="3341"/>
          </w:cols>
        </w:sectPr>
      </w:pPr>
    </w:p>
    <w:p>
      <w:pPr>
        <w:tabs>
          <w:tab w:pos="1712" w:val="left" w:leader="none"/>
          <w:tab w:pos="3169" w:val="left" w:leader="none"/>
        </w:tabs>
        <w:spacing w:line="207" w:lineRule="exact" w:before="61"/>
        <w:ind w:left="829" w:right="739" w:firstLine="0"/>
        <w:jc w:val="left"/>
        <w:rPr>
          <w:sz w:val="21"/>
        </w:rPr>
      </w:pPr>
      <w:r>
        <w:rPr/>
        <w:pict>
          <v:shape style="position:absolute;margin-left:98.883347pt;margin-top:7.483224pt;width:10.6pt;height:17pt;mso-position-horizontal-relative:page;mso-position-vertical-relative:paragraph;z-index:-704656" type="#_x0000_t202" filled="false" stroked="false">
            <v:textbox inset="0,0,0,0">
              <w:txbxContent>
                <w:p>
                  <w:pPr>
                    <w:spacing w:line="340" w:lineRule="exact" w:before="0"/>
                    <w:ind w:left="0" w:right="0" w:firstLine="0"/>
                    <w:jc w:val="left"/>
                    <w:rPr>
                      <w:i/>
                      <w:sz w:val="34"/>
                    </w:rPr>
                  </w:pPr>
                  <w:r>
                    <w:rPr>
                      <w:i/>
                      <w:color w:val="010101"/>
                      <w:w w:val="111"/>
                      <w:sz w:val="34"/>
                    </w:rPr>
                    <w:t>L</w:t>
                  </w:r>
                </w:p>
              </w:txbxContent>
            </v:textbox>
            <w10:wrap type="none"/>
          </v:shape>
        </w:pict>
      </w:r>
      <w:r>
        <w:rPr>
          <w:color w:val="010101"/>
          <w:spacing w:val="-11"/>
          <w:sz w:val="21"/>
        </w:rPr>
        <w:t>1000 </w:t>
      </w:r>
      <w:r>
        <w:rPr>
          <w:color w:val="010101"/>
          <w:spacing w:val="29"/>
          <w:sz w:val="21"/>
        </w:rPr>
        <w:t> </w:t>
      </w:r>
      <w:r>
        <w:rPr>
          <w:color w:val="010101"/>
          <w:position w:val="11"/>
          <w:sz w:val="12"/>
        </w:rPr>
        <w:t>611</w:t>
        <w:tab/>
      </w:r>
      <w:r>
        <w:rPr>
          <w:color w:val="010101"/>
          <w:sz w:val="12"/>
        </w:rPr>
        <w:t>z-34  </w:t>
      </w:r>
      <w:r>
        <w:rPr>
          <w:color w:val="010101"/>
          <w:spacing w:val="23"/>
          <w:sz w:val="12"/>
        </w:rPr>
        <w:t> </w:t>
      </w:r>
      <w:r>
        <w:rPr>
          <w:color w:val="1D1D1D"/>
          <w:sz w:val="12"/>
        </w:rPr>
        <w:t>•     </w:t>
      </w:r>
      <w:r>
        <w:rPr>
          <w:color w:val="1D1D1D"/>
          <w:spacing w:val="14"/>
          <w:sz w:val="12"/>
        </w:rPr>
        <w:t> </w:t>
      </w:r>
      <w:r>
        <w:rPr>
          <w:color w:val="010101"/>
          <w:sz w:val="12"/>
        </w:rPr>
        <w:t>_,:</w:t>
        <w:tab/>
      </w:r>
      <w:r>
        <w:rPr>
          <w:color w:val="010101"/>
          <w:sz w:val="21"/>
        </w:rPr>
        <w:t>lOOOtoM;s</w:t>
      </w:r>
    </w:p>
    <w:p>
      <w:pPr>
        <w:tabs>
          <w:tab w:pos="1629" w:val="left" w:leader="none"/>
          <w:tab w:pos="2039" w:val="left" w:leader="none"/>
          <w:tab w:pos="3367" w:val="left" w:leader="none"/>
        </w:tabs>
        <w:spacing w:line="181" w:lineRule="exact" w:before="0"/>
        <w:ind w:left="434" w:right="739" w:firstLine="0"/>
        <w:jc w:val="left"/>
        <w:rPr>
          <w:rFonts w:ascii="Arial" w:hAnsi="Arial"/>
          <w:i/>
          <w:sz w:val="19"/>
        </w:rPr>
      </w:pPr>
      <w:r>
        <w:rPr/>
        <w:pict>
          <v:line style="position:absolute;mso-position-horizontal-relative:page;mso-position-vertical-relative:paragraph;z-index:-704728" from="201.355896pt,10.434705pt" to="215.892296pt,10.434705pt" stroked="true" strokeweight="5.383848pt" strokecolor="#000000">
            <w10:wrap type="none"/>
          </v:line>
        </w:pict>
      </w:r>
      <w:r>
        <w:rPr>
          <w:rFonts w:ascii="Arial" w:hAnsi="Arial"/>
          <w:color w:val="010101"/>
          <w:sz w:val="19"/>
        </w:rPr>
        <w:t>(b)   </w:t>
      </w:r>
      <w:r>
        <w:rPr>
          <w:rFonts w:ascii="Arial" w:hAnsi="Arial"/>
          <w:color w:val="010101"/>
          <w:spacing w:val="16"/>
          <w:sz w:val="19"/>
        </w:rPr>
        <w:t> </w:t>
      </w:r>
      <w:r>
        <w:rPr>
          <w:rFonts w:ascii="Arial" w:hAnsi="Arial"/>
          <w:i/>
          <w:color w:val="010101"/>
          <w:sz w:val="19"/>
        </w:rPr>
        <w:t>l""</w:t>
        <w:tab/>
      </w:r>
      <w:r>
        <w:rPr>
          <w:i/>
          <w:color w:val="010101"/>
          <w:sz w:val="14"/>
        </w:rPr>
        <w:t>V</w:t>
        <w:tab/>
      </w:r>
      <w:r>
        <w:rPr>
          <w:color w:val="010101"/>
          <w:sz w:val="16"/>
        </w:rPr>
        <w:t>tz </w:t>
      </w:r>
      <w:r>
        <w:rPr>
          <w:color w:val="1D1D1D"/>
          <w:spacing w:val="-5"/>
          <w:sz w:val="16"/>
        </w:rPr>
        <w:t>·</w:t>
      </w:r>
      <w:r>
        <w:rPr>
          <w:color w:val="010101"/>
          <w:spacing w:val="-5"/>
          <w:sz w:val="16"/>
        </w:rPr>
        <w:t>Ocz+t</w:t>
      </w:r>
      <w:r>
        <w:rPr>
          <w:color w:val="010101"/>
          <w:spacing w:val="-4"/>
          <w:sz w:val="16"/>
        </w:rPr>
        <w:t> </w:t>
      </w:r>
      <w:r>
        <w:rPr>
          <w:color w:val="010101"/>
          <w:sz w:val="16"/>
        </w:rPr>
        <w:t>J+t  </w:t>
      </w:r>
      <w:r>
        <w:rPr>
          <w:color w:val="010101"/>
          <w:spacing w:val="10"/>
          <w:sz w:val="16"/>
        </w:rPr>
        <w:t> </w:t>
      </w:r>
      <w:r>
        <w:rPr>
          <w:color w:val="010101"/>
          <w:sz w:val="23"/>
        </w:rPr>
        <w:t>=</w:t>
        <w:tab/>
      </w:r>
      <w:r>
        <w:rPr>
          <w:rFonts w:ascii="Arial" w:hAnsi="Arial"/>
          <w:i/>
          <w:color w:val="010101"/>
          <w:sz w:val="19"/>
        </w:rPr>
        <w:t>Daa</w:t>
      </w:r>
    </w:p>
    <w:p>
      <w:pPr>
        <w:tabs>
          <w:tab w:pos="3665" w:val="right" w:leader="none"/>
        </w:tabs>
        <w:spacing w:line="115" w:lineRule="exact" w:before="0"/>
        <w:ind w:left="980" w:right="0" w:firstLine="0"/>
        <w:jc w:val="left"/>
        <w:rPr>
          <w:b/>
          <w:sz w:val="12"/>
        </w:rPr>
      </w:pPr>
      <w:r>
        <w:rPr>
          <w:color w:val="010101"/>
          <w:w w:val="120"/>
          <w:sz w:val="12"/>
        </w:rPr>
        <w:t>35   </w:t>
      </w:r>
      <w:r>
        <w:rPr>
          <w:color w:val="010101"/>
          <w:spacing w:val="19"/>
          <w:w w:val="120"/>
          <w:sz w:val="12"/>
        </w:rPr>
        <w:t> </w:t>
      </w:r>
      <w:r>
        <w:rPr>
          <w:color w:val="010101"/>
          <w:w w:val="130"/>
          <w:sz w:val="12"/>
        </w:rPr>
        <w:t>z-35</w:t>
      </w:r>
      <w:r>
        <w:rPr>
          <w:b/>
          <w:color w:val="010101"/>
          <w:w w:val="130"/>
          <w:sz w:val="12"/>
        </w:rPr>
        <w:tab/>
      </w:r>
      <w:r>
        <w:rPr>
          <w:b/>
          <w:color w:val="010101"/>
          <w:w w:val="120"/>
          <w:sz w:val="12"/>
        </w:rPr>
        <w:t>15</w:t>
      </w:r>
    </w:p>
    <w:p>
      <w:pPr>
        <w:pStyle w:val="BodyText"/>
        <w:spacing w:before="6"/>
        <w:rPr>
          <w:b/>
          <w:sz w:val="10"/>
        </w:rPr>
      </w:pPr>
    </w:p>
    <w:p>
      <w:pPr>
        <w:tabs>
          <w:tab w:pos="1723" w:val="left" w:leader="none"/>
          <w:tab w:pos="2753" w:val="left" w:leader="none"/>
        </w:tabs>
        <w:spacing w:line="198" w:lineRule="exact" w:before="0"/>
        <w:ind w:left="825" w:right="739" w:firstLine="0"/>
        <w:jc w:val="left"/>
        <w:rPr>
          <w:rFonts w:ascii="Arial" w:hAnsi="Arial"/>
          <w:sz w:val="12"/>
        </w:rPr>
      </w:pPr>
      <w:r>
        <w:rPr/>
        <w:pict>
          <v:shape style="position:absolute;margin-left:55.274181pt;margin-top:6.322811pt;width:12.8pt;height:10.2pt;mso-position-horizontal-relative:page;mso-position-vertical-relative:paragraph;z-index:-704632" type="#_x0000_t202" filled="false" stroked="false">
            <v:textbox inset="0,0,0,0">
              <w:txbxContent>
                <w:p>
                  <w:pPr>
                    <w:pStyle w:val="BodyText"/>
                    <w:spacing w:line="204" w:lineRule="exact"/>
                  </w:pPr>
                  <w:r>
                    <w:rPr>
                      <w:color w:val="010101"/>
                    </w:rPr>
                    <w:t>(  )</w:t>
                  </w:r>
                </w:p>
              </w:txbxContent>
            </v:textbox>
            <w10:wrap type="none"/>
          </v:shape>
        </w:pict>
      </w:r>
      <w:r>
        <w:rPr>
          <w:color w:val="010101"/>
          <w:w w:val="110"/>
          <w:sz w:val="20"/>
        </w:rPr>
        <w:t>2000</w:t>
        <w:tab/>
      </w:r>
      <w:r>
        <w:rPr>
          <w:rFonts w:ascii="Arial" w:hAnsi="Arial"/>
          <w:color w:val="010101"/>
          <w:w w:val="110"/>
          <w:sz w:val="12"/>
        </w:rPr>
        <w:t>.i-34t   •    </w:t>
      </w:r>
      <w:r>
        <w:rPr>
          <w:rFonts w:ascii="Arial" w:hAnsi="Arial"/>
          <w:color w:val="010101"/>
          <w:spacing w:val="19"/>
          <w:w w:val="110"/>
          <w:sz w:val="12"/>
        </w:rPr>
        <w:t> </w:t>
      </w:r>
      <w:r>
        <w:rPr>
          <w:rFonts w:ascii="Arial" w:hAnsi="Arial"/>
          <w:color w:val="010101"/>
          <w:w w:val="110"/>
          <w:sz w:val="12"/>
        </w:rPr>
        <w:t>_,</w:t>
      </w:r>
      <w:r>
        <w:rPr>
          <w:rFonts w:ascii="Arial" w:hAnsi="Arial"/>
          <w:color w:val="010101"/>
          <w:sz w:val="12"/>
        </w:rPr>
        <w:t>    </w:t>
      </w:r>
      <w:r>
        <w:rPr>
          <w:rFonts w:ascii="Arial" w:hAnsi="Arial"/>
          <w:color w:val="010101"/>
          <w:spacing w:val="-8"/>
          <w:sz w:val="12"/>
        </w:rPr>
        <w:t> </w:t>
      </w:r>
      <w:r>
        <w:rPr>
          <w:rFonts w:ascii="Arial" w:hAnsi="Arial"/>
          <w:color w:val="010101"/>
          <w:w w:val="99"/>
          <w:sz w:val="12"/>
          <w:u w:val="thick" w:color="000000"/>
        </w:rPr>
        <w:t> </w:t>
      </w:r>
      <w:r>
        <w:rPr>
          <w:rFonts w:ascii="Arial" w:hAnsi="Arial"/>
          <w:color w:val="010101"/>
          <w:sz w:val="12"/>
          <w:u w:val="thick" w:color="000000"/>
        </w:rPr>
        <w:tab/>
      </w:r>
    </w:p>
    <w:p>
      <w:pPr>
        <w:tabs>
          <w:tab w:pos="405" w:val="left" w:leader="none"/>
          <w:tab w:pos="796" w:val="left" w:leader="none"/>
          <w:tab w:pos="1579" w:val="left" w:leader="none"/>
        </w:tabs>
        <w:spacing w:line="157" w:lineRule="exact" w:before="0"/>
        <w:ind w:left="0" w:right="2119" w:firstLine="0"/>
        <w:jc w:val="center"/>
        <w:rPr>
          <w:b/>
          <w:sz w:val="16"/>
        </w:rPr>
      </w:pPr>
      <w:r>
        <w:rPr>
          <w:rFonts w:ascii="Arial" w:hAnsi="Arial"/>
          <w:color w:val="010101"/>
          <w:sz w:val="13"/>
        </w:rPr>
        <w:t>C</w:t>
        <w:tab/>
      </w:r>
      <w:r>
        <w:rPr>
          <w:rFonts w:ascii="Arial" w:hAnsi="Arial"/>
          <w:b/>
          <w:i/>
          <w:color w:val="010101"/>
          <w:sz w:val="18"/>
        </w:rPr>
        <w:t>l""</w:t>
        <w:tab/>
      </w:r>
      <w:r>
        <w:rPr>
          <w:b/>
          <w:i/>
          <w:color w:val="010101"/>
          <w:sz w:val="16"/>
        </w:rPr>
        <w:t>LJ  </w:t>
      </w:r>
      <w:r>
        <w:rPr>
          <w:b/>
          <w:i/>
          <w:color w:val="010101"/>
          <w:spacing w:val="1"/>
          <w:sz w:val="16"/>
        </w:rPr>
        <w:t> </w:t>
      </w:r>
      <w:r>
        <w:rPr>
          <w:rFonts w:ascii="Arial" w:hAnsi="Arial"/>
          <w:b/>
          <w:i/>
          <w:color w:val="010101"/>
          <w:sz w:val="13"/>
        </w:rPr>
        <w:t>V</w:t>
        <w:tab/>
      </w:r>
      <w:r>
        <w:rPr>
          <w:b/>
          <w:color w:val="010101"/>
          <w:sz w:val="16"/>
        </w:rPr>
        <w:t>tz·q1,+tl+t:64t-zl</w:t>
      </w:r>
    </w:p>
    <w:p>
      <w:pPr>
        <w:spacing w:line="120" w:lineRule="exact" w:before="0"/>
        <w:ind w:left="994" w:right="739" w:firstLine="0"/>
        <w:jc w:val="left"/>
        <w:rPr>
          <w:b/>
          <w:sz w:val="12"/>
        </w:rPr>
      </w:pPr>
      <w:r>
        <w:rPr>
          <w:b/>
          <w:color w:val="010101"/>
          <w:w w:val="125"/>
          <w:sz w:val="12"/>
        </w:rPr>
        <w:t>36    z-36</w:t>
      </w:r>
    </w:p>
    <w:p>
      <w:pPr>
        <w:pStyle w:val="Heading9"/>
        <w:spacing w:line="316" w:lineRule="exact" w:before="6"/>
        <w:ind w:left="74" w:right="2272"/>
        <w:jc w:val="center"/>
      </w:pPr>
      <w:r>
        <w:rPr>
          <w:color w:val="010101"/>
          <w:w w:val="80"/>
        </w:rPr>
        <w:t>2000:tMilí</w:t>
      </w:r>
    </w:p>
    <w:p>
      <w:pPr>
        <w:spacing w:line="266" w:lineRule="exact" w:before="0"/>
        <w:ind w:left="74" w:right="2331" w:firstLine="0"/>
        <w:jc w:val="center"/>
        <w:rPr>
          <w:rFonts w:ascii="Arial"/>
          <w:i/>
          <w:sz w:val="26"/>
        </w:rPr>
      </w:pPr>
      <w:r>
        <w:rPr/>
        <w:pict>
          <v:line style="position:absolute;mso-position-horizontal-relative:page;mso-position-vertical-relative:paragraph;z-index:-704704" from="106.600197pt,1.148907pt" to="148.773697pt,1.148907pt" stroked="true" strokeweight=".897308pt" strokecolor="#000000">
            <w10:wrap type="none"/>
          </v:line>
        </w:pict>
      </w:r>
      <w:r>
        <w:rPr>
          <w:rFonts w:ascii="Arial"/>
          <w:i/>
          <w:color w:val="010101"/>
          <w:sz w:val="26"/>
        </w:rPr>
        <w:t>D;:</w:t>
      </w:r>
    </w:p>
    <w:p>
      <w:pPr>
        <w:tabs>
          <w:tab w:pos="602" w:val="left" w:leader="none"/>
        </w:tabs>
        <w:spacing w:line="536" w:lineRule="exact" w:before="0"/>
        <w:ind w:left="0" w:right="3351" w:firstLine="0"/>
        <w:jc w:val="center"/>
        <w:rPr>
          <w:sz w:val="26"/>
        </w:rPr>
      </w:pPr>
      <w:r>
        <w:rPr>
          <w:color w:val="010101"/>
          <w:w w:val="70"/>
          <w:sz w:val="47"/>
        </w:rPr>
        <w:t>14.</w:t>
        <w:tab/>
      </w:r>
      <w:r>
        <w:rPr>
          <w:color w:val="010101"/>
          <w:w w:val="80"/>
          <w:sz w:val="47"/>
        </w:rPr>
        <w:t>(1</w:t>
      </w:r>
      <w:r>
        <w:rPr>
          <w:color w:val="010101"/>
          <w:spacing w:val="-41"/>
          <w:w w:val="80"/>
          <w:sz w:val="47"/>
        </w:rPr>
        <w:t> </w:t>
      </w:r>
      <w:r>
        <w:rPr>
          <w:color w:val="010101"/>
          <w:w w:val="105"/>
          <w:sz w:val="47"/>
        </w:rPr>
        <w:t>-</w:t>
      </w:r>
      <w:r>
        <w:rPr>
          <w:color w:val="010101"/>
          <w:spacing w:val="-74"/>
          <w:w w:val="105"/>
          <w:sz w:val="47"/>
        </w:rPr>
        <w:t> </w:t>
      </w:r>
      <w:r>
        <w:rPr>
          <w:color w:val="010101"/>
          <w:w w:val="80"/>
          <w:sz w:val="26"/>
        </w:rPr>
        <w:t>v',pÍ,+11</w:t>
      </w:r>
      <w:r>
        <w:rPr>
          <w:color w:val="010101"/>
          <w:spacing w:val="-39"/>
          <w:w w:val="80"/>
          <w:sz w:val="26"/>
        </w:rPr>
        <w:t> </w:t>
      </w:r>
      <w:r>
        <w:rPr>
          <w:color w:val="010101"/>
          <w:spacing w:val="-7"/>
          <w:w w:val="105"/>
          <w:sz w:val="26"/>
        </w:rPr>
        <w:t>+•'")</w:t>
      </w:r>
    </w:p>
    <w:p>
      <w:pPr>
        <w:spacing w:after="0" w:line="536" w:lineRule="exact"/>
        <w:jc w:val="center"/>
        <w:rPr>
          <w:sz w:val="26"/>
        </w:rPr>
        <w:sectPr>
          <w:type w:val="continuous"/>
          <w:pgSz w:w="7200" w:h="11340"/>
          <w:pgMar w:top="1100" w:bottom="0" w:left="660" w:right="560"/>
        </w:sectPr>
      </w:pPr>
    </w:p>
    <w:p>
      <w:pPr>
        <w:pStyle w:val="BodyText"/>
        <w:spacing w:before="6"/>
        <w:rPr>
          <w:sz w:val="54"/>
        </w:rPr>
      </w:pPr>
    </w:p>
    <w:p>
      <w:pPr>
        <w:tabs>
          <w:tab w:pos="1960" w:val="left" w:leader="none"/>
        </w:tabs>
        <w:spacing w:line="432" w:lineRule="exact" w:before="0"/>
        <w:ind w:left="797" w:right="0" w:firstLine="0"/>
        <w:jc w:val="center"/>
        <w:rPr>
          <w:i/>
          <w:sz w:val="39"/>
        </w:rPr>
      </w:pPr>
      <w:r>
        <w:rPr>
          <w:color w:val="010101"/>
          <w:spacing w:val="-25"/>
          <w:w w:val="134"/>
          <w:sz w:val="31"/>
        </w:rPr>
        <w:t>(</w:t>
      </w:r>
      <w:r>
        <w:rPr>
          <w:color w:val="010101"/>
          <w:w w:val="67"/>
          <w:sz w:val="31"/>
        </w:rPr>
        <w:t>'°M]</w:t>
      </w:r>
      <w:r>
        <w:rPr>
          <w:color w:val="010101"/>
          <w:w w:val="125"/>
          <w:sz w:val="31"/>
        </w:rPr>
        <w:t>,</w:t>
      </w:r>
      <w:r>
        <w:rPr>
          <w:color w:val="010101"/>
          <w:spacing w:val="-24"/>
          <w:sz w:val="31"/>
        </w:rPr>
        <w:t> </w:t>
      </w:r>
      <w:r>
        <w:rPr>
          <w:rFonts w:ascii="Arial" w:hAnsi="Arial"/>
          <w:color w:val="010101"/>
          <w:w w:val="103"/>
          <w:sz w:val="30"/>
        </w:rPr>
        <w:t>+</w:t>
      </w:r>
      <w:r>
        <w:rPr>
          <w:rFonts w:ascii="Arial" w:hAnsi="Arial"/>
          <w:color w:val="010101"/>
          <w:sz w:val="30"/>
        </w:rPr>
        <w:tab/>
      </w:r>
      <w:r>
        <w:rPr>
          <w:rFonts w:ascii="Arial" w:hAnsi="Arial"/>
          <w:i/>
          <w:color w:val="010101"/>
          <w:spacing w:val="5"/>
          <w:w w:val="85"/>
          <w:sz w:val="19"/>
        </w:rPr>
        <w:t>v</w:t>
      </w:r>
      <w:r>
        <w:rPr>
          <w:rFonts w:ascii="Arial" w:hAnsi="Arial"/>
          <w:i/>
          <w:color w:val="010101"/>
          <w:spacing w:val="-33"/>
          <w:w w:val="92"/>
          <w:position w:val="10"/>
          <w:sz w:val="16"/>
        </w:rPr>
        <w:t>1</w:t>
      </w:r>
      <w:r>
        <w:rPr>
          <w:i/>
          <w:color w:val="010101"/>
          <w:w w:val="55"/>
          <w:sz w:val="39"/>
        </w:rPr>
        <w:t>..M</w:t>
      </w:r>
      <w:r>
        <w:rPr>
          <w:i/>
          <w:color w:val="010101"/>
          <w:spacing w:val="16"/>
          <w:w w:val="55"/>
          <w:sz w:val="39"/>
        </w:rPr>
        <w:t>!</w:t>
      </w:r>
      <w:r>
        <w:rPr>
          <w:i/>
          <w:color w:val="010101"/>
          <w:w w:val="82"/>
          <w:sz w:val="39"/>
        </w:rPr>
        <w:t>,)</w:t>
      </w:r>
    </w:p>
    <w:p>
      <w:pPr>
        <w:tabs>
          <w:tab w:pos="1425" w:val="left" w:leader="none"/>
          <w:tab w:pos="1920" w:val="left" w:leader="none"/>
        </w:tabs>
        <w:spacing w:line="169" w:lineRule="exact" w:before="0"/>
        <w:ind w:left="118" w:right="0" w:firstLine="0"/>
        <w:jc w:val="left"/>
        <w:rPr>
          <w:b/>
          <w:i/>
          <w:sz w:val="13"/>
        </w:rPr>
      </w:pPr>
      <w:r>
        <w:rPr>
          <w:color w:val="010101"/>
          <w:sz w:val="20"/>
        </w:rPr>
        <w:t>15.</w:t>
      </w:r>
      <w:r>
        <w:rPr>
          <w:color w:val="010101"/>
          <w:spacing w:val="38"/>
          <w:sz w:val="20"/>
        </w:rPr>
        <w:t> </w:t>
      </w:r>
      <w:r>
        <w:rPr>
          <w:color w:val="010101"/>
          <w:sz w:val="20"/>
        </w:rPr>
        <w:t>120</w:t>
        <w:tab/>
      </w:r>
      <w:r>
        <w:rPr>
          <w:i/>
          <w:color w:val="010101"/>
          <w:sz w:val="12"/>
        </w:rPr>
        <w:t>aa</w:t>
        <w:tab/>
      </w:r>
      <w:r>
        <w:rPr>
          <w:b/>
          <w:i/>
          <w:color w:val="010101"/>
          <w:sz w:val="13"/>
          <w:u w:val="thick" w:color="000000"/>
        </w:rPr>
        <w:t>aa</w:t>
      </w:r>
    </w:p>
    <w:p>
      <w:pPr>
        <w:spacing w:line="197" w:lineRule="exact" w:before="0"/>
        <w:ind w:left="783" w:right="0" w:firstLine="0"/>
        <w:jc w:val="center"/>
        <w:rPr>
          <w:sz w:val="21"/>
        </w:rPr>
      </w:pPr>
      <w:r>
        <w:rPr>
          <w:color w:val="010101"/>
          <w:sz w:val="21"/>
        </w:rPr>
        <w:t>Nao </w:t>
      </w:r>
      <w:r>
        <w:rPr>
          <w:color w:val="010101"/>
          <w:w w:val="240"/>
          <w:sz w:val="21"/>
        </w:rPr>
        <w:t>-</w:t>
      </w:r>
      <w:r>
        <w:rPr>
          <w:color w:val="010101"/>
          <w:spacing w:val="-116"/>
          <w:w w:val="240"/>
          <w:sz w:val="21"/>
        </w:rPr>
        <w:t> </w:t>
      </w:r>
      <w:r>
        <w:rPr>
          <w:color w:val="010101"/>
          <w:sz w:val="21"/>
        </w:rPr>
        <w:t>Nso</w:t>
      </w:r>
    </w:p>
    <w:p>
      <w:pPr>
        <w:spacing w:line="306" w:lineRule="exact" w:before="120"/>
        <w:ind w:left="118" w:right="0" w:firstLine="0"/>
        <w:jc w:val="left"/>
        <w:rPr>
          <w:sz w:val="21"/>
        </w:rPr>
      </w:pPr>
      <w:r>
        <w:rPr/>
        <w:br w:type="column"/>
      </w:r>
      <w:r>
        <w:rPr>
          <w:color w:val="010101"/>
          <w:w w:val="101"/>
          <w:sz w:val="20"/>
        </w:rPr>
        <w:t>where</w:t>
      </w:r>
      <w:r>
        <w:rPr>
          <w:color w:val="010101"/>
          <w:sz w:val="20"/>
        </w:rPr>
        <w:t> </w:t>
      </w:r>
      <w:r>
        <w:rPr>
          <w:color w:val="010101"/>
          <w:spacing w:val="-13"/>
          <w:sz w:val="20"/>
        </w:rPr>
        <w:t> </w:t>
      </w:r>
      <w:r>
        <w:rPr>
          <w:i/>
          <w:color w:val="010101"/>
          <w:w w:val="90"/>
          <w:sz w:val="21"/>
        </w:rPr>
        <w:t>t</w:t>
      </w:r>
      <w:r>
        <w:rPr>
          <w:i/>
          <w:color w:val="010101"/>
          <w:sz w:val="21"/>
        </w:rPr>
        <w:t> </w:t>
      </w:r>
      <w:r>
        <w:rPr>
          <w:i/>
          <w:color w:val="010101"/>
          <w:spacing w:val="-11"/>
          <w:sz w:val="21"/>
        </w:rPr>
        <w:t> </w:t>
      </w:r>
      <w:r>
        <w:rPr>
          <w:color w:val="010101"/>
          <w:w w:val="104"/>
          <w:sz w:val="23"/>
        </w:rPr>
        <w:t>=</w:t>
      </w:r>
      <w:r>
        <w:rPr>
          <w:color w:val="010101"/>
          <w:sz w:val="23"/>
        </w:rPr>
        <w:t> </w:t>
      </w:r>
      <w:r>
        <w:rPr>
          <w:color w:val="010101"/>
          <w:spacing w:val="-15"/>
          <w:sz w:val="23"/>
        </w:rPr>
        <w:t> </w:t>
      </w:r>
      <w:r>
        <w:rPr>
          <w:i/>
          <w:color w:val="010101"/>
          <w:w w:val="91"/>
          <w:sz w:val="21"/>
        </w:rPr>
        <w:t>x</w:t>
      </w:r>
      <w:r>
        <w:rPr>
          <w:i/>
          <w:color w:val="010101"/>
          <w:sz w:val="21"/>
        </w:rPr>
        <w:t> </w:t>
      </w:r>
      <w:r>
        <w:rPr>
          <w:i/>
          <w:color w:val="010101"/>
          <w:spacing w:val="-8"/>
          <w:sz w:val="21"/>
        </w:rPr>
        <w:t> </w:t>
      </w:r>
      <w:r>
        <w:rPr>
          <w:rFonts w:ascii="Arial"/>
          <w:color w:val="010101"/>
          <w:w w:val="105"/>
          <w:sz w:val="31"/>
        </w:rPr>
        <w:t>+</w:t>
      </w:r>
      <w:r>
        <w:rPr>
          <w:rFonts w:ascii="Arial"/>
          <w:color w:val="010101"/>
          <w:spacing w:val="-31"/>
          <w:sz w:val="31"/>
        </w:rPr>
        <w:t> </w:t>
      </w:r>
      <w:r>
        <w:rPr>
          <w:i/>
          <w:color w:val="010101"/>
          <w:w w:val="117"/>
          <w:sz w:val="21"/>
        </w:rPr>
        <w:t>n</w:t>
      </w:r>
      <w:r>
        <w:rPr>
          <w:i/>
          <w:color w:val="010101"/>
          <w:sz w:val="21"/>
        </w:rPr>
        <w:t> </w:t>
      </w:r>
      <w:r>
        <w:rPr>
          <w:i/>
          <w:color w:val="010101"/>
          <w:spacing w:val="-17"/>
          <w:sz w:val="21"/>
        </w:rPr>
        <w:t> </w:t>
      </w:r>
      <w:r>
        <w:rPr>
          <w:color w:val="010101"/>
          <w:w w:val="260"/>
          <w:sz w:val="21"/>
        </w:rPr>
        <w:t>-</w:t>
      </w:r>
      <w:r>
        <w:rPr>
          <w:color w:val="010101"/>
          <w:spacing w:val="-2"/>
          <w:sz w:val="21"/>
        </w:rPr>
        <w:t> </w:t>
      </w:r>
      <w:r>
        <w:rPr>
          <w:i/>
          <w:color w:val="010101"/>
          <w:w w:val="82"/>
          <w:sz w:val="21"/>
        </w:rPr>
        <w:t>z</w:t>
      </w:r>
      <w:r>
        <w:rPr>
          <w:i/>
          <w:color w:val="010101"/>
          <w:sz w:val="21"/>
        </w:rPr>
        <w:t>  </w:t>
      </w:r>
      <w:r>
        <w:rPr>
          <w:i/>
          <w:color w:val="010101"/>
          <w:spacing w:val="-10"/>
          <w:sz w:val="21"/>
        </w:rPr>
        <w:t> </w:t>
      </w:r>
      <w:r>
        <w:rPr>
          <w:color w:val="010101"/>
          <w:spacing w:val="-495"/>
          <w:w w:val="429"/>
          <w:sz w:val="21"/>
        </w:rPr>
        <w:t>-</w:t>
      </w:r>
      <w:r>
        <w:rPr>
          <w:rFonts w:ascii="Courier New"/>
          <w:i/>
          <w:color w:val="010101"/>
          <w:w w:val="91"/>
          <w:position w:val="12"/>
          <w:sz w:val="22"/>
        </w:rPr>
        <w:t>6</w:t>
      </w:r>
      <w:r>
        <w:rPr>
          <w:rFonts w:ascii="Courier New"/>
          <w:i/>
          <w:color w:val="010101"/>
          <w:spacing w:val="-100"/>
          <w:position w:val="12"/>
          <w:sz w:val="22"/>
        </w:rPr>
        <w:t> </w:t>
      </w:r>
      <w:r>
        <w:rPr>
          <w:rFonts w:ascii="Courier New"/>
          <w:i/>
          <w:color w:val="010101"/>
          <w:spacing w:val="11"/>
          <w:w w:val="150"/>
          <w:position w:val="12"/>
          <w:sz w:val="22"/>
        </w:rPr>
        <w:t>+</w:t>
      </w:r>
      <w:r>
        <w:rPr>
          <w:rFonts w:ascii="Courier New"/>
          <w:i/>
          <w:color w:val="010101"/>
          <w:spacing w:val="-127"/>
          <w:w w:val="114"/>
          <w:position w:val="12"/>
          <w:sz w:val="22"/>
        </w:rPr>
        <w:t>m</w:t>
      </w:r>
      <w:r>
        <w:rPr>
          <w:color w:val="010101"/>
          <w:w w:val="213"/>
          <w:sz w:val="21"/>
        </w:rPr>
        <w:t>-</w:t>
      </w:r>
    </w:p>
    <w:p>
      <w:pPr>
        <w:pStyle w:val="BodyText"/>
        <w:spacing w:line="167" w:lineRule="exact"/>
        <w:ind w:right="311"/>
        <w:jc w:val="right"/>
      </w:pPr>
      <w:r>
        <w:rPr>
          <w:color w:val="010101"/>
          <w:w w:val="105"/>
        </w:rPr>
        <w:t>12</w:t>
      </w:r>
    </w:p>
    <w:p>
      <w:pPr>
        <w:spacing w:after="0" w:line="167" w:lineRule="exact"/>
        <w:jc w:val="right"/>
        <w:sectPr>
          <w:type w:val="continuous"/>
          <w:pgSz w:w="7200" w:h="11340"/>
          <w:pgMar w:top="1100" w:bottom="0" w:left="660" w:right="560"/>
          <w:cols w:num="2" w:equalWidth="0">
            <w:col w:w="2664" w:space="218"/>
            <w:col w:w="3098"/>
          </w:cols>
        </w:sectPr>
      </w:pPr>
    </w:p>
    <w:p>
      <w:pPr>
        <w:spacing w:line="228" w:lineRule="exact" w:before="151"/>
        <w:ind w:left="854" w:right="-15" w:firstLine="0"/>
        <w:jc w:val="left"/>
        <w:rPr>
          <w:rFonts w:ascii="Arial"/>
          <w:sz w:val="30"/>
        </w:rPr>
      </w:pPr>
      <w:r>
        <w:rPr/>
        <w:pict>
          <v:group style="position:absolute;margin-left:75.098877pt;margin-top:21.624647pt;width:105.4pt;height:9.35pt;mso-position-horizontal-relative:page;mso-position-vertical-relative:paragraph;z-index:-704776" coordorigin="1502,432" coordsize="2108,187">
            <v:line style="position:absolute" from="1507,614" to="3604,614" stroked="true" strokeweight=".538385pt" strokecolor="#000000"/>
            <v:rect style="position:absolute;left:2703;top:432;width:183;height:111" filled="true" fillcolor="#000000" stroked="false">
              <v:fill type="solid"/>
            </v:rect>
            <w10:wrap type="none"/>
          </v:group>
        </w:pict>
      </w:r>
      <w:r>
        <w:rPr>
          <w:color w:val="010101"/>
          <w:w w:val="102"/>
          <w:sz w:val="20"/>
        </w:rPr>
        <w:t>120</w:t>
      </w:r>
      <w:r>
        <w:rPr>
          <w:color w:val="010101"/>
          <w:spacing w:val="16"/>
          <w:w w:val="102"/>
          <w:sz w:val="20"/>
        </w:rPr>
        <w:t>(</w:t>
      </w:r>
      <w:r>
        <w:rPr>
          <w:color w:val="010101"/>
          <w:spacing w:val="-63"/>
          <w:w w:val="102"/>
          <w:position w:val="11"/>
          <w:sz w:val="12"/>
        </w:rPr>
        <w:t>6</w:t>
      </w:r>
      <w:r>
        <w:rPr>
          <w:color w:val="010101"/>
          <w:spacing w:val="-35"/>
          <w:w w:val="96"/>
          <w:sz w:val="20"/>
        </w:rPr>
        <w:t>6</w:t>
      </w:r>
      <w:r>
        <w:rPr>
          <w:color w:val="010101"/>
          <w:spacing w:val="-27"/>
          <w:w w:val="102"/>
          <w:position w:val="11"/>
          <w:sz w:val="12"/>
        </w:rPr>
        <w:t>6</w:t>
      </w:r>
      <w:r>
        <w:rPr>
          <w:color w:val="010101"/>
          <w:w w:val="96"/>
          <w:sz w:val="20"/>
        </w:rPr>
        <w:t>o</w:t>
      </w:r>
      <w:r>
        <w:rPr>
          <w:color w:val="010101"/>
          <w:spacing w:val="-151"/>
          <w:w w:val="95"/>
          <w:sz w:val="20"/>
        </w:rPr>
        <w:t>M</w:t>
      </w:r>
      <w:r>
        <w:rPr>
          <w:color w:val="010101"/>
          <w:w w:val="198"/>
          <w:position w:val="11"/>
          <w:sz w:val="12"/>
        </w:rPr>
        <w:t>-</w:t>
      </w:r>
      <w:r>
        <w:rPr>
          <w:color w:val="010101"/>
          <w:position w:val="11"/>
          <w:sz w:val="12"/>
        </w:rPr>
        <w:t> </w:t>
      </w:r>
      <w:r>
        <w:rPr>
          <w:color w:val="010101"/>
          <w:spacing w:val="-11"/>
          <w:position w:val="11"/>
          <w:sz w:val="12"/>
        </w:rPr>
        <w:t> </w:t>
      </w:r>
      <w:r>
        <w:rPr>
          <w:i/>
          <w:color w:val="010101"/>
          <w:spacing w:val="-23"/>
          <w:w w:val="132"/>
          <w:position w:val="11"/>
          <w:sz w:val="12"/>
        </w:rPr>
        <w:t>i</w:t>
      </w:r>
      <w:r>
        <w:rPr>
          <w:color w:val="010101"/>
          <w:w w:val="96"/>
          <w:sz w:val="20"/>
        </w:rPr>
        <w:t>o</w:t>
      </w:r>
      <w:r>
        <w:rPr>
          <w:color w:val="010101"/>
          <w:sz w:val="20"/>
        </w:rPr>
        <w:t> </w:t>
      </w:r>
      <w:r>
        <w:rPr>
          <w:color w:val="010101"/>
          <w:spacing w:val="-14"/>
          <w:sz w:val="20"/>
        </w:rPr>
        <w:t> </w:t>
      </w:r>
      <w:r>
        <w:rPr>
          <w:rFonts w:ascii="Arial"/>
          <w:color w:val="010101"/>
          <w:w w:val="103"/>
          <w:sz w:val="30"/>
        </w:rPr>
        <w:t>+</w:t>
      </w:r>
    </w:p>
    <w:p>
      <w:pPr>
        <w:spacing w:line="171" w:lineRule="exact" w:before="208"/>
        <w:ind w:left="273" w:right="0" w:firstLine="0"/>
        <w:jc w:val="left"/>
        <w:rPr>
          <w:sz w:val="24"/>
        </w:rPr>
      </w:pPr>
      <w:r>
        <w:rPr/>
        <w:br w:type="column"/>
      </w:r>
      <w:r>
        <w:rPr>
          <w:rFonts w:ascii="Arial"/>
          <w:i/>
          <w:color w:val="010101"/>
          <w:w w:val="75"/>
          <w:sz w:val="13"/>
        </w:rPr>
        <w:t>V </w:t>
      </w:r>
      <w:r>
        <w:rPr>
          <w:color w:val="010101"/>
          <w:w w:val="75"/>
          <w:sz w:val="24"/>
        </w:rPr>
        <w:t>eoM,6</w:t>
      </w:r>
    </w:p>
    <w:p>
      <w:pPr>
        <w:spacing w:after="0" w:line="171" w:lineRule="exact"/>
        <w:jc w:val="left"/>
        <w:rPr>
          <w:sz w:val="24"/>
        </w:rPr>
        <w:sectPr>
          <w:type w:val="continuous"/>
          <w:pgSz w:w="7200" w:h="11340"/>
          <w:pgMar w:top="1100" w:bottom="0" w:left="660" w:right="560"/>
          <w:cols w:num="2" w:equalWidth="0">
            <w:col w:w="1974" w:space="40"/>
            <w:col w:w="3966"/>
          </w:cols>
        </w:sectPr>
      </w:pPr>
    </w:p>
    <w:p>
      <w:pPr>
        <w:pStyle w:val="BodyText"/>
        <w:spacing w:line="154" w:lineRule="exact"/>
        <w:ind w:left="74" w:right="1776"/>
        <w:jc w:val="center"/>
      </w:pPr>
      <w:r>
        <w:rPr/>
        <w:pict>
          <v:shape style="position:absolute;margin-left:138.544403pt;margin-top:-10.96607pt;width:42.6pt;height:10pt;mso-position-horizontal-relative:page;mso-position-vertical-relative:paragraph;z-index:-704608" type="#_x0000_t202" filled="false" stroked="false">
            <v:textbox inset="0,0,0,0">
              <w:txbxContent>
                <w:p>
                  <w:pPr>
                    <w:spacing w:line="200" w:lineRule="exact" w:before="0"/>
                    <w:ind w:left="0" w:right="-3" w:firstLine="0"/>
                    <w:jc w:val="left"/>
                    <w:rPr>
                      <w:sz w:val="13"/>
                    </w:rPr>
                  </w:pPr>
                  <w:r>
                    <w:rPr>
                      <w:color w:val="010101"/>
                      <w:w w:val="130"/>
                      <w:sz w:val="20"/>
                    </w:rPr>
                    <w:t>1  </w:t>
                  </w:r>
                  <w:r>
                    <w:rPr>
                      <w:color w:val="010101"/>
                      <w:w w:val="130"/>
                      <w:sz w:val="16"/>
                    </w:rPr>
                    <w:t>l    - </w:t>
                  </w:r>
                  <w:r>
                    <w:rPr>
                      <w:i/>
                      <w:color w:val="010101"/>
                      <w:w w:val="130"/>
                      <w:sz w:val="13"/>
                    </w:rPr>
                    <w:t>i  </w:t>
                  </w:r>
                  <w:r>
                    <w:rPr>
                      <w:color w:val="010101"/>
                      <w:w w:val="130"/>
                      <w:sz w:val="13"/>
                    </w:rPr>
                    <w:t>)</w:t>
                  </w:r>
                </w:p>
              </w:txbxContent>
            </v:textbox>
            <w10:wrap type="none"/>
          </v:shape>
        </w:pict>
      </w:r>
      <w:r>
        <w:rPr>
          <w:color w:val="010101"/>
        </w:rPr>
        <w:t>24</w:t>
      </w:r>
    </w:p>
    <w:p>
      <w:pPr>
        <w:tabs>
          <w:tab w:pos="1439" w:val="left" w:leader="none"/>
        </w:tabs>
        <w:spacing w:line="364" w:lineRule="exact" w:before="0"/>
        <w:ind w:left="115" w:right="739" w:firstLine="0"/>
        <w:jc w:val="left"/>
        <w:rPr>
          <w:rFonts w:ascii="Arial"/>
          <w:i/>
          <w:sz w:val="34"/>
        </w:rPr>
      </w:pPr>
      <w:r>
        <w:rPr>
          <w:color w:val="010101"/>
          <w:w w:val="103"/>
          <w:position w:val="17"/>
          <w:sz w:val="19"/>
        </w:rPr>
        <w:t>16.</w:t>
      </w:r>
      <w:r>
        <w:rPr>
          <w:color w:val="010101"/>
          <w:position w:val="17"/>
          <w:sz w:val="19"/>
        </w:rPr>
        <w:tab/>
      </w:r>
      <w:r>
        <w:rPr>
          <w:rFonts w:ascii="Arial"/>
          <w:color w:val="010101"/>
          <w:spacing w:val="-53"/>
          <w:w w:val="83"/>
          <w:sz w:val="32"/>
        </w:rPr>
        <w:t>N</w:t>
      </w:r>
      <w:r>
        <w:rPr>
          <w:rFonts w:ascii="Arial"/>
          <w:color w:val="010101"/>
          <w:spacing w:val="-120"/>
          <w:w w:val="188"/>
          <w:sz w:val="32"/>
        </w:rPr>
        <w:t>:</w:t>
      </w:r>
      <w:r>
        <w:rPr>
          <w:rFonts w:ascii="Arial"/>
          <w:color w:val="010101"/>
          <w:spacing w:val="-6"/>
          <w:w w:val="188"/>
          <w:sz w:val="32"/>
        </w:rPr>
        <w:t>:</w:t>
      </w:r>
      <w:r>
        <w:rPr>
          <w:rFonts w:ascii="Arial"/>
          <w:color w:val="010101"/>
          <w:w w:val="162"/>
          <w:sz w:val="32"/>
        </w:rPr>
        <w:t>-</w:t>
      </w:r>
      <w:r>
        <w:rPr>
          <w:rFonts w:ascii="Arial"/>
          <w:color w:val="010101"/>
          <w:spacing w:val="-30"/>
          <w:sz w:val="32"/>
        </w:rPr>
        <w:t> </w:t>
      </w:r>
      <w:r>
        <w:rPr>
          <w:rFonts w:ascii="Arial"/>
          <w:i/>
          <w:color w:val="010101"/>
          <w:w w:val="88"/>
          <w:sz w:val="34"/>
        </w:rPr>
        <w:t>N:</w:t>
      </w:r>
    </w:p>
    <w:p>
      <w:pPr>
        <w:spacing w:line="232" w:lineRule="exact" w:before="0"/>
        <w:ind w:left="815" w:right="739" w:firstLine="0"/>
        <w:jc w:val="left"/>
        <w:rPr>
          <w:sz w:val="26"/>
        </w:rPr>
      </w:pPr>
      <w:r>
        <w:rPr>
          <w:rFonts w:ascii="Arial"/>
          <w:color w:val="010101"/>
          <w:w w:val="75"/>
          <w:sz w:val="18"/>
        </w:rPr>
        <w:t>50( 2   </w:t>
      </w:r>
      <w:r>
        <w:rPr>
          <w:color w:val="010101"/>
          <w:w w:val="75"/>
          <w:sz w:val="26"/>
        </w:rPr>
        <w:t>.M;o </w:t>
      </w:r>
      <w:r>
        <w:rPr>
          <w:rFonts w:ascii="Arial"/>
          <w:color w:val="010101"/>
          <w:w w:val="75"/>
          <w:sz w:val="31"/>
        </w:rPr>
        <w:t>+ </w:t>
      </w:r>
      <w:r>
        <w:rPr>
          <w:rFonts w:ascii="Arial"/>
          <w:color w:val="010101"/>
          <w:w w:val="75"/>
          <w:sz w:val="18"/>
        </w:rPr>
        <w:t>v</w:t>
      </w:r>
      <w:r>
        <w:rPr>
          <w:color w:val="010101"/>
          <w:w w:val="75"/>
          <w:position w:val="9"/>
          <w:sz w:val="16"/>
        </w:rPr>
        <w:t>4</w:t>
      </w:r>
      <w:r>
        <w:rPr>
          <w:color w:val="010101"/>
          <w:w w:val="75"/>
          <w:sz w:val="26"/>
        </w:rPr>
        <w:t>6&amp;M"!o )</w:t>
      </w:r>
    </w:p>
    <w:p>
      <w:pPr>
        <w:pStyle w:val="BodyText"/>
        <w:spacing w:line="143" w:lineRule="exact"/>
        <w:ind w:left="122" w:right="739"/>
      </w:pPr>
      <w:r>
        <w:rPr>
          <w:color w:val="010101"/>
        </w:rPr>
        <w:t>17.</w:t>
      </w:r>
    </w:p>
    <w:p>
      <w:pPr>
        <w:spacing w:line="238" w:lineRule="exact" w:before="0"/>
        <w:ind w:left="1285" w:right="739" w:firstLine="0"/>
        <w:jc w:val="left"/>
        <w:rPr>
          <w:rFonts w:ascii="Arial"/>
          <w:i/>
          <w:sz w:val="26"/>
        </w:rPr>
      </w:pPr>
      <w:r>
        <w:rPr>
          <w:rFonts w:ascii="Arial"/>
          <w:i/>
          <w:color w:val="010101"/>
          <w:w w:val="130"/>
          <w:sz w:val="26"/>
        </w:rPr>
        <w:t>N; </w:t>
      </w:r>
      <w:r>
        <w:rPr>
          <w:rFonts w:ascii="Arial"/>
          <w:color w:val="010101"/>
          <w:w w:val="175"/>
          <w:sz w:val="26"/>
        </w:rPr>
        <w:t>-</w:t>
      </w:r>
      <w:r>
        <w:rPr>
          <w:rFonts w:ascii="Arial"/>
          <w:color w:val="010101"/>
          <w:spacing w:val="-87"/>
          <w:w w:val="175"/>
          <w:sz w:val="26"/>
        </w:rPr>
        <w:t> </w:t>
      </w:r>
      <w:r>
        <w:rPr>
          <w:rFonts w:ascii="Arial"/>
          <w:i/>
          <w:color w:val="010101"/>
          <w:w w:val="130"/>
          <w:sz w:val="26"/>
        </w:rPr>
        <w:t>N:</w:t>
      </w:r>
    </w:p>
    <w:p>
      <w:pPr>
        <w:spacing w:after="0" w:line="238" w:lineRule="exact"/>
        <w:jc w:val="left"/>
        <w:rPr>
          <w:rFonts w:ascii="Arial"/>
          <w:sz w:val="26"/>
        </w:rPr>
        <w:sectPr>
          <w:type w:val="continuous"/>
          <w:pgSz w:w="7200" w:h="11340"/>
          <w:pgMar w:top="1100" w:bottom="0" w:left="660" w:right="560"/>
        </w:sectPr>
      </w:pPr>
    </w:p>
    <w:p>
      <w:pPr>
        <w:tabs>
          <w:tab w:pos="2625" w:val="left" w:leader="none"/>
          <w:tab w:pos="5258" w:val="left" w:leader="none"/>
        </w:tabs>
        <w:spacing w:before="65"/>
        <w:ind w:left="159" w:right="0" w:firstLine="0"/>
        <w:jc w:val="left"/>
        <w:rPr>
          <w:rFonts w:ascii="Arial"/>
          <w:b/>
          <w:sz w:val="20"/>
        </w:rPr>
      </w:pPr>
      <w:r>
        <w:rPr>
          <w:rFonts w:ascii="Courier New"/>
          <w:color w:val="010101"/>
          <w:spacing w:val="-27"/>
          <w:position w:val="1"/>
          <w:sz w:val="23"/>
        </w:rPr>
        <w:t>374</w:t>
        <w:tab/>
      </w:r>
      <w:r>
        <w:rPr>
          <w:b/>
          <w:color w:val="010101"/>
          <w:sz w:val="15"/>
        </w:rPr>
        <w:t>ANSWl:R8</w:t>
        <w:tab/>
      </w:r>
      <w:r>
        <w:rPr>
          <w:b/>
          <w:color w:val="010101"/>
          <w:w w:val="95"/>
          <w:sz w:val="21"/>
        </w:rPr>
        <w:t>[CB.</w:t>
      </w:r>
      <w:r>
        <w:rPr>
          <w:b/>
          <w:color w:val="010101"/>
          <w:spacing w:val="8"/>
          <w:w w:val="95"/>
          <w:sz w:val="21"/>
        </w:rPr>
        <w:t> </w:t>
      </w:r>
      <w:r>
        <w:rPr>
          <w:rFonts w:ascii="Arial"/>
          <w:b/>
          <w:color w:val="010101"/>
          <w:spacing w:val="-17"/>
          <w:w w:val="95"/>
          <w:sz w:val="20"/>
        </w:rPr>
        <w:t>16</w:t>
      </w:r>
    </w:p>
    <w:p>
      <w:pPr>
        <w:pStyle w:val="BodyText"/>
        <w:spacing w:before="2"/>
        <w:rPr>
          <w:rFonts w:ascii="Arial"/>
          <w:b/>
          <w:sz w:val="14"/>
        </w:rPr>
      </w:pPr>
      <w:r>
        <w:rPr/>
        <w:drawing>
          <wp:anchor distT="0" distB="0" distL="0" distR="0" allowOverlap="1" layoutInCell="1" locked="0" behindDoc="0" simplePos="0" relativeHeight="31480">
            <wp:simplePos x="0" y="0"/>
            <wp:positionH relativeFrom="page">
              <wp:posOffset>512063</wp:posOffset>
            </wp:positionH>
            <wp:positionV relativeFrom="paragraph">
              <wp:posOffset>128287</wp:posOffset>
            </wp:positionV>
            <wp:extent cx="2889503" cy="1289303"/>
            <wp:effectExtent l="0" t="0" r="0" b="0"/>
            <wp:wrapTopAndBottom/>
            <wp:docPr id="893" name="image458.png" descr=""/>
            <wp:cNvGraphicFramePr>
              <a:graphicFrameLocks noChangeAspect="1"/>
            </wp:cNvGraphicFramePr>
            <a:graphic>
              <a:graphicData uri="http://schemas.openxmlformats.org/drawingml/2006/picture">
                <pic:pic>
                  <pic:nvPicPr>
                    <pic:cNvPr id="894" name="image458.png"/>
                    <pic:cNvPicPr/>
                  </pic:nvPicPr>
                  <pic:blipFill>
                    <a:blip r:embed="rId462" cstate="print"/>
                    <a:stretch>
                      <a:fillRect/>
                    </a:stretch>
                  </pic:blipFill>
                  <pic:spPr>
                    <a:xfrm>
                      <a:off x="0" y="0"/>
                      <a:ext cx="2889503" cy="1289303"/>
                    </a:xfrm>
                    <a:prstGeom prst="rect">
                      <a:avLst/>
                    </a:prstGeom>
                  </pic:spPr>
                </pic:pic>
              </a:graphicData>
            </a:graphic>
          </wp:anchor>
        </w:drawing>
      </w:r>
    </w:p>
    <w:p>
      <w:pPr>
        <w:tabs>
          <w:tab w:pos="2124" w:val="left" w:leader="none"/>
          <w:tab w:pos="2993" w:val="left" w:leader="none"/>
          <w:tab w:pos="4807" w:val="left" w:leader="none"/>
        </w:tabs>
        <w:spacing w:line="189" w:lineRule="exact" w:before="152"/>
        <w:ind w:left="1118" w:right="0" w:firstLine="0"/>
        <w:jc w:val="left"/>
        <w:rPr>
          <w:rFonts w:ascii="Arial" w:hAnsi="Arial"/>
          <w:sz w:val="20"/>
        </w:rPr>
      </w:pPr>
      <w:r>
        <w:rPr>
          <w:b/>
          <w:color w:val="010101"/>
          <w:w w:val="98"/>
          <w:sz w:val="15"/>
        </w:rPr>
        <w:t>s+11</w:t>
      </w:r>
      <w:r>
        <w:rPr>
          <w:b/>
          <w:color w:val="010101"/>
          <w:spacing w:val="-102"/>
          <w:w w:val="98"/>
          <w:sz w:val="15"/>
        </w:rPr>
        <w:t>M</w:t>
      </w:r>
      <w:r>
        <w:rPr>
          <w:b/>
          <w:color w:val="010101"/>
          <w:w w:val="139"/>
          <w:sz w:val="15"/>
        </w:rPr>
        <w:t>-</w:t>
      </w:r>
      <w:r>
        <w:rPr>
          <w:b/>
          <w:color w:val="010101"/>
          <w:spacing w:val="14"/>
          <w:sz w:val="15"/>
        </w:rPr>
        <w:t> </w:t>
      </w:r>
      <w:r>
        <w:rPr>
          <w:color w:val="010101"/>
          <w:w w:val="194"/>
          <w:sz w:val="15"/>
        </w:rPr>
        <w:t>,</w:t>
      </w:r>
      <w:r>
        <w:rPr>
          <w:color w:val="010101"/>
          <w:sz w:val="15"/>
        </w:rPr>
        <w:tab/>
      </w:r>
      <w:r>
        <w:rPr>
          <w:b/>
          <w:i/>
          <w:color w:val="010101"/>
          <w:w w:val="100"/>
          <w:sz w:val="20"/>
        </w:rPr>
        <w:t>m</w:t>
      </w:r>
      <w:r>
        <w:rPr>
          <w:b/>
          <w:i/>
          <w:color w:val="010101"/>
          <w:sz w:val="20"/>
        </w:rPr>
        <w:t>   </w:t>
      </w:r>
      <w:r>
        <w:rPr>
          <w:b/>
          <w:i/>
          <w:color w:val="010101"/>
          <w:spacing w:val="-10"/>
          <w:sz w:val="20"/>
        </w:rPr>
        <w:t> </w:t>
      </w:r>
      <w:r>
        <w:rPr>
          <w:i/>
          <w:color w:val="010101"/>
          <w:w w:val="116"/>
          <w:sz w:val="13"/>
        </w:rPr>
        <w:t>•112</w:t>
      </w:r>
      <w:r>
        <w:rPr>
          <w:i/>
          <w:color w:val="010101"/>
          <w:sz w:val="13"/>
        </w:rPr>
        <w:tab/>
      </w:r>
      <w:r>
        <w:rPr>
          <w:rFonts w:ascii="Arial" w:hAnsi="Arial"/>
          <w:b/>
          <w:i/>
          <w:color w:val="010101"/>
          <w:spacing w:val="-105"/>
          <w:w w:val="113"/>
          <w:sz w:val="20"/>
        </w:rPr>
        <w:t>M</w:t>
      </w:r>
      <w:r>
        <w:rPr>
          <w:rFonts w:ascii="Arial" w:hAnsi="Arial"/>
          <w:b/>
          <w:i/>
          <w:color w:val="010101"/>
          <w:w w:val="105"/>
          <w:sz w:val="20"/>
        </w:rPr>
        <w:t>-</w:t>
      </w:r>
      <w:r>
        <w:rPr>
          <w:rFonts w:ascii="Arial" w:hAnsi="Arial"/>
          <w:b/>
          <w:i/>
          <w:color w:val="010101"/>
          <w:spacing w:val="-1"/>
          <w:sz w:val="20"/>
        </w:rPr>
        <w:t> </w:t>
      </w:r>
      <w:r>
        <w:rPr>
          <w:rFonts w:ascii="Arial" w:hAnsi="Arial"/>
          <w:color w:val="010101"/>
          <w:w w:val="200"/>
          <w:sz w:val="20"/>
        </w:rPr>
        <w:t>,</w:t>
      </w:r>
      <w:r>
        <w:rPr>
          <w:rFonts w:ascii="Arial" w:hAnsi="Arial"/>
          <w:color w:val="010101"/>
          <w:sz w:val="20"/>
        </w:rPr>
        <w:tab/>
      </w:r>
      <w:r>
        <w:rPr>
          <w:rFonts w:ascii="Arial" w:hAnsi="Arial"/>
          <w:color w:val="010101"/>
          <w:w w:val="311"/>
          <w:sz w:val="20"/>
        </w:rPr>
        <w:t>]</w:t>
      </w:r>
    </w:p>
    <w:p>
      <w:pPr>
        <w:tabs>
          <w:tab w:pos="2134" w:val="left" w:leader="none"/>
          <w:tab w:pos="2743" w:val="left" w:leader="none"/>
        </w:tabs>
        <w:spacing w:line="167" w:lineRule="exact" w:before="0"/>
        <w:ind w:left="1551" w:right="0" w:firstLine="0"/>
        <w:jc w:val="left"/>
        <w:rPr>
          <w:b/>
          <w:sz w:val="15"/>
        </w:rPr>
      </w:pPr>
      <w:r>
        <w:rPr/>
        <w:pict>
          <v:rect style="position:absolute;margin-left:139.741592pt;margin-top:4.941332pt;width:9.1252pt;height:4.831014pt;mso-position-horizontal-relative:page;mso-position-vertical-relative:paragraph;z-index:-704512" filled="true" fillcolor="#000000" stroked="false">
            <v:fill type="solid"/>
            <w10:wrap type="none"/>
          </v:rect>
        </w:pict>
      </w:r>
      <w:r>
        <w:rPr/>
        <w:pict>
          <v:shape style="position:absolute;margin-left:127.216698pt;margin-top:-7.626838pt;width:9.35pt;height:15.5pt;mso-position-horizontal-relative:page;mso-position-vertical-relative:paragraph;z-index:-704488" type="#_x0000_t202" filled="false" stroked="false">
            <v:textbox inset="0,0,0,0">
              <w:txbxContent>
                <w:p>
                  <w:pPr>
                    <w:spacing w:line="310" w:lineRule="exact" w:before="0"/>
                    <w:ind w:left="0" w:right="0" w:firstLine="0"/>
                    <w:jc w:val="left"/>
                    <w:rPr>
                      <w:rFonts w:ascii="Arial"/>
                      <w:sz w:val="31"/>
                    </w:rPr>
                  </w:pPr>
                  <w:r>
                    <w:rPr>
                      <w:rFonts w:ascii="Arial"/>
                      <w:color w:val="010101"/>
                      <w:w w:val="102"/>
                      <w:sz w:val="31"/>
                    </w:rPr>
                    <w:t>+</w:t>
                  </w:r>
                </w:p>
              </w:txbxContent>
            </v:textbox>
            <w10:wrap type="none"/>
          </v:shape>
        </w:pict>
      </w:r>
      <w:r>
        <w:rPr>
          <w:b/>
          <w:color w:val="010101"/>
          <w:w w:val="115"/>
          <w:sz w:val="15"/>
        </w:rPr>
        <w:t>s+t</w:t>
        <w:tab/>
      </w:r>
      <w:r>
        <w:rPr>
          <w:color w:val="010101"/>
          <w:w w:val="115"/>
          <w:position w:val="-9"/>
          <w:sz w:val="20"/>
        </w:rPr>
        <w:t>12</w:t>
      </w:r>
      <w:r>
        <w:rPr>
          <w:color w:val="010101"/>
          <w:spacing w:val="-27"/>
          <w:w w:val="115"/>
          <w:position w:val="-9"/>
          <w:sz w:val="20"/>
        </w:rPr>
        <w:t> </w:t>
      </w:r>
      <w:r>
        <w:rPr>
          <w:rFonts w:ascii="Arial" w:hAnsi="Arial"/>
          <w:b/>
          <w:i/>
          <w:color w:val="010101"/>
          <w:w w:val="115"/>
          <w:sz w:val="14"/>
        </w:rPr>
        <w:t>V</w:t>
        <w:tab/>
      </w:r>
      <w:r>
        <w:rPr>
          <w:b/>
          <w:color w:val="010101"/>
          <w:w w:val="115"/>
          <w:sz w:val="15"/>
        </w:rPr>
        <w:t>s+•   </w:t>
      </w:r>
      <w:r>
        <w:rPr>
          <w:b/>
          <w:color w:val="010101"/>
          <w:spacing w:val="42"/>
          <w:w w:val="115"/>
          <w:sz w:val="15"/>
        </w:rPr>
        <w:t> </w:t>
      </w:r>
      <w:r>
        <w:rPr>
          <w:b/>
          <w:color w:val="010101"/>
          <w:w w:val="115"/>
          <w:sz w:val="15"/>
        </w:rPr>
        <w:t>s+c</w:t>
      </w:r>
    </w:p>
    <w:p>
      <w:pPr>
        <w:spacing w:after="0" w:line="167" w:lineRule="exact"/>
        <w:jc w:val="left"/>
        <w:rPr>
          <w:sz w:val="15"/>
        </w:rPr>
        <w:sectPr>
          <w:pgSz w:w="7200" w:h="11340"/>
          <w:pgMar w:top="480" w:bottom="280" w:left="660" w:right="540"/>
        </w:sectPr>
      </w:pPr>
    </w:p>
    <w:p>
      <w:pPr>
        <w:spacing w:line="194" w:lineRule="exact" w:before="0"/>
        <w:ind w:left="474" w:right="-12" w:firstLine="0"/>
        <w:jc w:val="left"/>
        <w:rPr>
          <w:b/>
          <w:sz w:val="15"/>
        </w:rPr>
      </w:pPr>
      <w:r>
        <w:rPr>
          <w:rFonts w:ascii="Arial"/>
          <w:color w:val="010101"/>
          <w:w w:val="140"/>
          <w:sz w:val="19"/>
        </w:rPr>
        <w:t>(b) </w:t>
      </w:r>
      <w:r>
        <w:rPr>
          <w:b/>
          <w:color w:val="010101"/>
          <w:w w:val="580"/>
          <w:position w:val="1"/>
          <w:sz w:val="15"/>
        </w:rPr>
        <w:t>{</w:t>
      </w:r>
    </w:p>
    <w:p>
      <w:pPr>
        <w:tabs>
          <w:tab w:pos="1930" w:val="left" w:leader="none"/>
          <w:tab w:pos="2793" w:val="left" w:leader="none"/>
        </w:tabs>
        <w:spacing w:line="145" w:lineRule="exact" w:before="0"/>
        <w:ind w:left="631" w:right="0" w:firstLine="0"/>
        <w:jc w:val="left"/>
        <w:rPr>
          <w:rFonts w:ascii="Arial"/>
          <w:sz w:val="19"/>
        </w:rPr>
      </w:pPr>
      <w:r>
        <w:rPr/>
        <w:br w:type="column"/>
      </w:r>
      <w:r>
        <w:rPr>
          <w:rFonts w:ascii="Arial"/>
          <w:color w:val="010101"/>
          <w:w w:val="180"/>
          <w:sz w:val="19"/>
          <w:u w:val="thick" w:color="000000"/>
        </w:rPr>
        <w:t>.</w:t>
      </w:r>
      <w:r>
        <w:rPr>
          <w:rFonts w:ascii="Arial"/>
          <w:color w:val="010101"/>
          <w:w w:val="180"/>
          <w:sz w:val="19"/>
        </w:rPr>
        <w:t>.</w:t>
        <w:tab/>
      </w:r>
      <w:r>
        <w:rPr>
          <w:rFonts w:ascii="Arial"/>
          <w:color w:val="010101"/>
          <w:w w:val="245"/>
          <w:sz w:val="19"/>
        </w:rPr>
        <w:t>-</w:t>
      </w:r>
      <w:r>
        <w:rPr>
          <w:rFonts w:ascii="Arial"/>
          <w:color w:val="010101"/>
          <w:spacing w:val="-100"/>
          <w:w w:val="245"/>
          <w:sz w:val="19"/>
        </w:rPr>
        <w:t> </w:t>
      </w:r>
      <w:r>
        <w:rPr>
          <w:rFonts w:ascii="Arial"/>
          <w:color w:val="010101"/>
          <w:spacing w:val="-13"/>
          <w:w w:val="180"/>
          <w:sz w:val="19"/>
        </w:rPr>
        <w:t>P!'</w:t>
        <w:tab/>
      </w:r>
      <w:r>
        <w:rPr>
          <w:rFonts w:ascii="Arial"/>
          <w:color w:val="010101"/>
          <w:spacing w:val="-4"/>
          <w:sz w:val="19"/>
        </w:rPr>
        <w:t>,:ii="i'J</w:t>
      </w:r>
    </w:p>
    <w:p>
      <w:pPr>
        <w:spacing w:line="204" w:lineRule="exact" w:before="0"/>
        <w:ind w:left="474" w:right="0" w:firstLine="0"/>
        <w:jc w:val="left"/>
        <w:rPr>
          <w:sz w:val="22"/>
        </w:rPr>
      </w:pPr>
      <w:r>
        <w:rPr>
          <w:color w:val="010101"/>
          <w:sz w:val="22"/>
        </w:rPr>
        <w:t>Ds+,</w:t>
      </w:r>
    </w:p>
    <w:p>
      <w:pPr>
        <w:spacing w:after="0" w:line="204" w:lineRule="exact"/>
        <w:jc w:val="left"/>
        <w:rPr>
          <w:sz w:val="22"/>
        </w:rPr>
        <w:sectPr>
          <w:type w:val="continuous"/>
          <w:pgSz w:w="7200" w:h="11340"/>
          <w:pgMar w:top="1100" w:bottom="0" w:left="660" w:right="540"/>
          <w:cols w:num="2" w:equalWidth="0">
            <w:col w:w="1224" w:space="375"/>
            <w:col w:w="4401"/>
          </w:cols>
        </w:sectPr>
      </w:pPr>
    </w:p>
    <w:p>
      <w:pPr>
        <w:pStyle w:val="BodyText"/>
        <w:spacing w:line="252" w:lineRule="auto" w:before="107"/>
        <w:ind w:left="138" w:right="241" w:hanging="8"/>
      </w:pPr>
      <w:r>
        <w:rPr>
          <w:color w:val="010101"/>
        </w:rPr>
        <w:t>21. The present value is equa.l to the sum of the four expressions below:</w:t>
      </w:r>
    </w:p>
    <w:p>
      <w:pPr>
        <w:spacing w:after="0" w:line="252" w:lineRule="auto"/>
        <w:sectPr>
          <w:type w:val="continuous"/>
          <w:pgSz w:w="7200" w:h="11340"/>
          <w:pgMar w:top="1100" w:bottom="0" w:left="660" w:right="540"/>
        </w:sectPr>
      </w:pPr>
    </w:p>
    <w:p>
      <w:pPr>
        <w:pStyle w:val="BodyText"/>
        <w:rPr>
          <w:sz w:val="18"/>
        </w:rPr>
      </w:pPr>
    </w:p>
    <w:p>
      <w:pPr>
        <w:pStyle w:val="BodyText"/>
        <w:spacing w:before="6"/>
        <w:rPr>
          <w:sz w:val="23"/>
        </w:rPr>
      </w:pPr>
    </w:p>
    <w:p>
      <w:pPr>
        <w:spacing w:before="1"/>
        <w:ind w:left="442" w:right="-20" w:firstLine="0"/>
        <w:jc w:val="left"/>
        <w:rPr>
          <w:rFonts w:ascii="Arial"/>
          <w:sz w:val="19"/>
        </w:rPr>
      </w:pPr>
      <w:r>
        <w:rPr>
          <w:rFonts w:ascii="Arial"/>
          <w:color w:val="010101"/>
          <w:w w:val="120"/>
          <w:sz w:val="19"/>
        </w:rPr>
        <w:t>(1)</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15"/>
        <w:ind w:left="123" w:right="-20"/>
      </w:pPr>
      <w:r>
        <w:rPr>
          <w:color w:val="010101"/>
        </w:rPr>
        <w:t>where</w:t>
      </w:r>
    </w:p>
    <w:p>
      <w:pPr>
        <w:pStyle w:val="BodyText"/>
      </w:pPr>
    </w:p>
    <w:p>
      <w:pPr>
        <w:pStyle w:val="BodyText"/>
        <w:spacing w:before="4"/>
        <w:rPr>
          <w:sz w:val="25"/>
        </w:rPr>
      </w:pPr>
    </w:p>
    <w:p>
      <w:pPr>
        <w:spacing w:before="0"/>
        <w:ind w:left="438" w:right="-20" w:firstLine="0"/>
        <w:jc w:val="left"/>
        <w:rPr>
          <w:rFonts w:ascii="Arial"/>
          <w:sz w:val="19"/>
        </w:rPr>
      </w:pPr>
      <w:r>
        <w:rPr>
          <w:rFonts w:ascii="Arial"/>
          <w:color w:val="010101"/>
          <w:w w:val="105"/>
          <w:sz w:val="19"/>
        </w:rPr>
        <w:t>(</w:t>
      </w:r>
      <w:r>
        <w:rPr>
          <w:rFonts w:ascii="Arial"/>
          <w:color w:val="010101"/>
          <w:spacing w:val="-40"/>
          <w:w w:val="105"/>
          <w:sz w:val="19"/>
        </w:rPr>
        <w:t> </w:t>
      </w:r>
      <w:r>
        <w:rPr>
          <w:rFonts w:ascii="Arial"/>
          <w:color w:val="010101"/>
          <w:w w:val="105"/>
          <w:sz w:val="19"/>
        </w:rPr>
        <w:t>2)</w:t>
      </w:r>
    </w:p>
    <w:p>
      <w:pPr>
        <w:spacing w:line="207" w:lineRule="exact" w:before="25"/>
        <w:ind w:left="653" w:right="0" w:firstLine="0"/>
        <w:jc w:val="left"/>
        <w:rPr>
          <w:rFonts w:ascii="Arial" w:hAnsi="Arial"/>
          <w:sz w:val="24"/>
        </w:rPr>
      </w:pPr>
      <w:r>
        <w:rPr/>
        <w:br w:type="column"/>
      </w:r>
      <w:r>
        <w:rPr>
          <w:rFonts w:ascii="Arial" w:hAnsi="Arial"/>
          <w:color w:val="010101"/>
          <w:w w:val="155"/>
          <w:sz w:val="24"/>
        </w:rPr>
        <w:t>•</w:t>
      </w:r>
    </w:p>
    <w:p>
      <w:pPr>
        <w:spacing w:line="249" w:lineRule="exact" w:before="0"/>
        <w:ind w:left="588" w:right="0" w:firstLine="0"/>
        <w:jc w:val="left"/>
        <w:rPr>
          <w:sz w:val="27"/>
        </w:rPr>
      </w:pPr>
      <w:r>
        <w:rPr>
          <w:rFonts w:ascii="Arial" w:hAnsi="Arial"/>
          <w:i/>
          <w:color w:val="010101"/>
          <w:w w:val="100"/>
          <w:sz w:val="31"/>
        </w:rPr>
        <w:t>E</w:t>
      </w:r>
      <w:r>
        <w:rPr>
          <w:rFonts w:ascii="Arial" w:hAnsi="Arial"/>
          <w:i/>
          <w:color w:val="010101"/>
          <w:spacing w:val="-16"/>
          <w:sz w:val="31"/>
        </w:rPr>
        <w:t> </w:t>
      </w:r>
      <w:r>
        <w:rPr>
          <w:rFonts w:ascii="Arial" w:hAnsi="Arial"/>
          <w:i/>
          <w:color w:val="010101"/>
          <w:w w:val="77"/>
          <w:sz w:val="19"/>
        </w:rPr>
        <w:t>S:r+c</w:t>
      </w:r>
      <w:r>
        <w:rPr>
          <w:rFonts w:ascii="Arial" w:hAnsi="Arial"/>
          <w:i/>
          <w:color w:val="010101"/>
          <w:sz w:val="19"/>
        </w:rPr>
        <w:t> </w:t>
      </w:r>
      <w:r>
        <w:rPr>
          <w:rFonts w:ascii="Arial" w:hAnsi="Arial"/>
          <w:i/>
          <w:color w:val="010101"/>
          <w:spacing w:val="-5"/>
          <w:sz w:val="19"/>
        </w:rPr>
        <w:t> </w:t>
      </w:r>
      <w:r>
        <w:rPr>
          <w:rFonts w:ascii="Arial" w:hAnsi="Arial"/>
          <w:color w:val="010101"/>
          <w:w w:val="74"/>
          <w:sz w:val="27"/>
        </w:rPr>
        <w:t>C:+,</w:t>
      </w:r>
      <w:r>
        <w:rPr>
          <w:rFonts w:ascii="Arial" w:hAnsi="Arial"/>
          <w:color w:val="010101"/>
          <w:spacing w:val="24"/>
          <w:sz w:val="27"/>
        </w:rPr>
        <w:t> </w:t>
      </w:r>
      <w:r>
        <w:rPr>
          <w:rFonts w:ascii="Arial" w:hAnsi="Arial"/>
          <w:color w:val="010101"/>
          <w:spacing w:val="5"/>
          <w:w w:val="81"/>
          <w:sz w:val="27"/>
        </w:rPr>
        <w:t>(</w:t>
      </w:r>
      <w:r>
        <w:rPr>
          <w:rFonts w:ascii="Arial" w:hAnsi="Arial"/>
          <w:color w:val="010101"/>
          <w:spacing w:val="-12"/>
          <w:w w:val="141"/>
          <w:sz w:val="22"/>
        </w:rPr>
        <w:t>ª</w:t>
      </w:r>
      <w:r>
        <w:rPr>
          <w:rFonts w:ascii="Arial" w:hAnsi="Arial"/>
          <w:color w:val="010101"/>
          <w:w w:val="134"/>
          <w:sz w:val="22"/>
        </w:rPr>
        <w:t>il</w:t>
      </w:r>
      <w:r>
        <w:rPr>
          <w:rFonts w:ascii="Arial" w:hAnsi="Arial"/>
          <w:color w:val="010101"/>
          <w:spacing w:val="18"/>
          <w:sz w:val="22"/>
        </w:rPr>
        <w:t> </w:t>
      </w:r>
      <w:r>
        <w:rPr>
          <w:rFonts w:ascii="Arial" w:hAnsi="Arial"/>
          <w:color w:val="010101"/>
          <w:w w:val="104"/>
          <w:sz w:val="31"/>
        </w:rPr>
        <w:t>+</w:t>
      </w:r>
      <w:r>
        <w:rPr>
          <w:rFonts w:ascii="Arial" w:hAnsi="Arial"/>
          <w:color w:val="010101"/>
          <w:spacing w:val="-8"/>
          <w:sz w:val="31"/>
        </w:rPr>
        <w:t> </w:t>
      </w:r>
      <w:r>
        <w:rPr>
          <w:color w:val="010101"/>
          <w:spacing w:val="-55"/>
          <w:w w:val="182"/>
          <w:sz w:val="27"/>
        </w:rPr>
        <w:t>.</w:t>
      </w:r>
      <w:r>
        <w:rPr>
          <w:color w:val="010101"/>
          <w:w w:val="79"/>
          <w:sz w:val="27"/>
        </w:rPr>
        <w:t>,</w:t>
      </w:r>
      <w:r>
        <w:rPr>
          <w:color w:val="010101"/>
          <w:spacing w:val="-33"/>
          <w:w w:val="78"/>
          <w:sz w:val="27"/>
        </w:rPr>
        <w:t>a</w:t>
      </w:r>
      <w:r>
        <w:rPr>
          <w:color w:val="010101"/>
          <w:spacing w:val="-110"/>
          <w:w w:val="228"/>
          <w:sz w:val="27"/>
        </w:rPr>
        <w:t>:</w:t>
      </w:r>
      <w:r>
        <w:rPr>
          <w:color w:val="010101"/>
          <w:w w:val="61"/>
          <w:sz w:val="27"/>
        </w:rPr>
        <w:t>+a+t</w:t>
      </w:r>
      <w:r>
        <w:rPr>
          <w:color w:val="010101"/>
          <w:spacing w:val="-33"/>
          <w:sz w:val="27"/>
        </w:rPr>
        <w:t> </w:t>
      </w:r>
      <w:r>
        <w:rPr>
          <w:color w:val="010101"/>
          <w:w w:val="71"/>
          <w:sz w:val="27"/>
        </w:rPr>
        <w:t>)</w:t>
      </w:r>
    </w:p>
    <w:p>
      <w:pPr>
        <w:spacing w:line="212" w:lineRule="exact" w:before="0"/>
        <w:ind w:left="121" w:right="2021" w:firstLine="0"/>
        <w:jc w:val="center"/>
        <w:rPr>
          <w:rFonts w:ascii="Courier New" w:hAnsi="Courier New"/>
          <w:sz w:val="29"/>
        </w:rPr>
      </w:pPr>
      <w:r>
        <w:rPr>
          <w:b/>
          <w:color w:val="010101"/>
          <w:w w:val="99"/>
          <w:sz w:val="20"/>
        </w:rPr>
        <w:t>1000</w:t>
      </w:r>
      <w:r>
        <w:rPr>
          <w:b/>
          <w:color w:val="010101"/>
          <w:spacing w:val="2"/>
          <w:sz w:val="20"/>
        </w:rPr>
        <w:t> </w:t>
      </w:r>
      <w:r>
        <w:rPr>
          <w:b/>
          <w:color w:val="010101"/>
          <w:spacing w:val="-74"/>
          <w:w w:val="120"/>
          <w:sz w:val="20"/>
        </w:rPr>
        <w:t>'</w:t>
      </w:r>
      <w:r>
        <w:rPr>
          <w:rFonts w:ascii="Courier New" w:hAnsi="Courier New"/>
          <w:color w:val="010101"/>
          <w:spacing w:val="-90"/>
          <w:w w:val="79"/>
          <w:sz w:val="29"/>
        </w:rPr>
        <w:t>-</w:t>
      </w:r>
      <w:r>
        <w:rPr>
          <w:rFonts w:ascii="Courier New" w:hAnsi="Courier New"/>
          <w:color w:val="010101"/>
          <w:spacing w:val="-86"/>
          <w:w w:val="77"/>
          <w:sz w:val="29"/>
        </w:rPr>
        <w:t>-</w:t>
      </w:r>
      <w:r>
        <w:rPr>
          <w:rFonts w:ascii="Courier New" w:hAnsi="Courier New"/>
          <w:color w:val="010101"/>
          <w:spacing w:val="-110"/>
          <w:w w:val="91"/>
          <w:sz w:val="29"/>
        </w:rPr>
        <w:t>-</w:t>
      </w:r>
      <w:r>
        <w:rPr>
          <w:rFonts w:ascii="Courier New" w:hAnsi="Courier New"/>
          <w:color w:val="010101"/>
          <w:spacing w:val="-37"/>
          <w:w w:val="57"/>
          <w:sz w:val="29"/>
        </w:rPr>
        <w:t>º</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46"/>
          <w:sz w:val="29"/>
        </w:rPr>
        <w:t>-=</w:t>
      </w:r>
      <w:r>
        <w:rPr>
          <w:rFonts w:ascii="Courier New" w:hAnsi="Courier New"/>
          <w:color w:val="010101"/>
          <w:spacing w:val="-17"/>
          <w:w w:val="46"/>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75"/>
          <w:sz w:val="29"/>
        </w:rPr>
        <w:t>-</w:t>
      </w:r>
      <w:r>
        <w:rPr>
          <w:rFonts w:ascii="Courier New" w:hAnsi="Courier New"/>
          <w:color w:val="010101"/>
          <w:spacing w:val="-36"/>
          <w:w w:val="75"/>
          <w:sz w:val="29"/>
        </w:rPr>
        <w:t>-</w:t>
      </w:r>
      <w:r>
        <w:rPr>
          <w:rFonts w:ascii="Courier New" w:hAnsi="Courier New"/>
          <w:color w:val="010101"/>
          <w:w w:val="148"/>
          <w:sz w:val="29"/>
        </w:rPr>
        <w:t>--</w:t>
      </w:r>
    </w:p>
    <w:p>
      <w:pPr>
        <w:spacing w:line="206" w:lineRule="exact" w:before="0"/>
        <w:ind w:left="121" w:right="1498" w:firstLine="0"/>
        <w:jc w:val="center"/>
        <w:rPr>
          <w:rFonts w:ascii="Courier New"/>
          <w:i/>
          <w:sz w:val="25"/>
        </w:rPr>
      </w:pPr>
      <w:r>
        <w:rPr>
          <w:rFonts w:ascii="Courier New"/>
          <w:i/>
          <w:color w:val="010101"/>
          <w:sz w:val="25"/>
        </w:rPr>
        <w:t>SJ);</w:t>
      </w:r>
    </w:p>
    <w:p>
      <w:pPr>
        <w:pStyle w:val="BodyText"/>
        <w:spacing w:before="9"/>
        <w:rPr>
          <w:rFonts w:ascii="Courier New"/>
          <w:i/>
          <w:sz w:val="8"/>
        </w:rPr>
      </w:pPr>
    </w:p>
    <w:p>
      <w:pPr>
        <w:pStyle w:val="BodyText"/>
        <w:ind w:left="547"/>
        <w:rPr>
          <w:rFonts w:ascii="Courier New"/>
        </w:rPr>
      </w:pPr>
      <w:r>
        <w:rPr>
          <w:rFonts w:ascii="Courier New"/>
        </w:rPr>
        <w:drawing>
          <wp:inline distT="0" distB="0" distL="0" distR="0">
            <wp:extent cx="1728215" cy="566927"/>
            <wp:effectExtent l="0" t="0" r="0" b="0"/>
            <wp:docPr id="895" name="image459.png" descr=""/>
            <wp:cNvGraphicFramePr>
              <a:graphicFrameLocks noChangeAspect="1"/>
            </wp:cNvGraphicFramePr>
            <a:graphic>
              <a:graphicData uri="http://schemas.openxmlformats.org/drawingml/2006/picture">
                <pic:pic>
                  <pic:nvPicPr>
                    <pic:cNvPr id="896" name="image459.png"/>
                    <pic:cNvPicPr/>
                  </pic:nvPicPr>
                  <pic:blipFill>
                    <a:blip r:embed="rId463" cstate="print"/>
                    <a:stretch>
                      <a:fillRect/>
                    </a:stretch>
                  </pic:blipFill>
                  <pic:spPr>
                    <a:xfrm>
                      <a:off x="0" y="0"/>
                      <a:ext cx="1728215" cy="566927"/>
                    </a:xfrm>
                    <a:prstGeom prst="rect">
                      <a:avLst/>
                    </a:prstGeom>
                  </pic:spPr>
                </pic:pic>
              </a:graphicData>
            </a:graphic>
          </wp:inline>
        </w:drawing>
      </w:r>
      <w:r>
        <w:rPr>
          <w:rFonts w:ascii="Courier New"/>
        </w:rPr>
      </w:r>
    </w:p>
    <w:p>
      <w:pPr>
        <w:spacing w:line="68" w:lineRule="exact" w:before="107"/>
        <w:ind w:left="463" w:right="0" w:firstLine="0"/>
        <w:jc w:val="left"/>
        <w:rPr>
          <w:rFonts w:ascii="Arial"/>
          <w:sz w:val="8"/>
        </w:rPr>
      </w:pPr>
      <w:r>
        <w:rPr/>
        <w:pict>
          <v:shape style="position:absolute;margin-left:91.867249pt;margin-top:7.451897pt;width:.85pt;height:17pt;mso-position-horizontal-relative:page;mso-position-vertical-relative:paragraph;z-index:-704464" type="#_x0000_t202" filled="false" stroked="false">
            <v:textbox inset="0,0,0,0">
              <w:txbxContent>
                <w:p>
                  <w:pPr>
                    <w:spacing w:line="340" w:lineRule="exact" w:before="0"/>
                    <w:ind w:left="0" w:right="0" w:firstLine="0"/>
                    <w:jc w:val="left"/>
                    <w:rPr>
                      <w:i/>
                      <w:sz w:val="34"/>
                    </w:rPr>
                  </w:pPr>
                  <w:r>
                    <w:rPr>
                      <w:i/>
                      <w:color w:val="010101"/>
                      <w:spacing w:val="-221"/>
                      <w:w w:val="107"/>
                      <w:sz w:val="34"/>
                    </w:rPr>
                    <w:t>L</w:t>
                  </w:r>
                </w:p>
              </w:txbxContent>
            </v:textbox>
            <w10:wrap type="none"/>
          </v:shape>
        </w:pict>
      </w:r>
      <w:r>
        <w:rPr>
          <w:rFonts w:ascii="Arial"/>
          <w:color w:val="010101"/>
          <w:sz w:val="8"/>
        </w:rPr>
        <w:t>IIO</w:t>
      </w:r>
    </w:p>
    <w:p>
      <w:pPr>
        <w:spacing w:line="426" w:lineRule="exact" w:before="0"/>
        <w:ind w:left="121" w:right="2203" w:firstLine="0"/>
        <w:jc w:val="center"/>
        <w:rPr>
          <w:sz w:val="20"/>
        </w:rPr>
      </w:pPr>
      <w:r>
        <w:rPr/>
        <w:pict>
          <v:line style="position:absolute;mso-position-horizontal-relative:page;mso-position-vertical-relative:paragraph;z-index:-704560" from="78.548714pt,21.605923pt" to="220.795204pt,21.605923pt" stroked="true" strokeweight=".715706pt" strokecolor="#000000">
            <w10:wrap type="none"/>
          </v:line>
        </w:pict>
      </w:r>
      <w:r>
        <w:rPr>
          <w:color w:val="010101"/>
          <w:sz w:val="21"/>
        </w:rPr>
        <w:t>50</w:t>
      </w:r>
      <w:r>
        <w:rPr>
          <w:color w:val="010101"/>
          <w:spacing w:val="13"/>
          <w:sz w:val="21"/>
        </w:rPr>
        <w:t> </w:t>
      </w:r>
      <w:r>
        <w:rPr>
          <w:color w:val="010101"/>
          <w:w w:val="107"/>
          <w:position w:val="-11"/>
          <w:sz w:val="28"/>
        </w:rPr>
        <w:t>,</w:t>
      </w:r>
      <w:r>
        <w:rPr>
          <w:color w:val="010101"/>
          <w:spacing w:val="-12"/>
          <w:w w:val="107"/>
          <w:position w:val="-11"/>
          <w:sz w:val="28"/>
        </w:rPr>
        <w:t>-</w:t>
      </w:r>
      <w:r>
        <w:rPr>
          <w:color w:val="010101"/>
          <w:w w:val="52"/>
          <w:position w:val="-11"/>
          <w:sz w:val="28"/>
        </w:rPr>
        <w:t>1</w:t>
      </w:r>
      <w:r>
        <w:rPr>
          <w:color w:val="010101"/>
          <w:spacing w:val="-32"/>
          <w:position w:val="-11"/>
          <w:sz w:val="28"/>
        </w:rPr>
        <w:t> </w:t>
      </w:r>
      <w:r>
        <w:rPr>
          <w:i/>
          <w:color w:val="010101"/>
          <w:w w:val="110"/>
          <w:sz w:val="22"/>
        </w:rPr>
        <w:t>t</w:t>
      </w:r>
      <w:r>
        <w:rPr>
          <w:i/>
          <w:color w:val="010101"/>
          <w:spacing w:val="18"/>
          <w:w w:val="110"/>
          <w:sz w:val="22"/>
        </w:rPr>
        <w:t>·</w:t>
      </w:r>
      <w:r>
        <w:rPr>
          <w:i/>
          <w:color w:val="010101"/>
          <w:w w:val="129"/>
          <w:sz w:val="22"/>
        </w:rPr>
        <w:t>.</w:t>
      </w:r>
      <w:r>
        <w:rPr>
          <w:i/>
          <w:color w:val="010101"/>
          <w:spacing w:val="-35"/>
          <w:w w:val="129"/>
          <w:sz w:val="22"/>
        </w:rPr>
        <w:t>.</w:t>
      </w:r>
      <w:r>
        <w:rPr>
          <w:i/>
          <w:color w:val="010101"/>
          <w:w w:val="123"/>
          <w:sz w:val="15"/>
        </w:rPr>
        <w:t>Zs+i</w:t>
      </w:r>
      <w:r>
        <w:rPr>
          <w:i/>
          <w:color w:val="010101"/>
          <w:sz w:val="15"/>
        </w:rPr>
        <w:t> </w:t>
      </w:r>
      <w:r>
        <w:rPr>
          <w:i/>
          <w:color w:val="010101"/>
          <w:spacing w:val="-17"/>
          <w:sz w:val="15"/>
        </w:rPr>
        <w:t> </w:t>
      </w:r>
      <w:r>
        <w:rPr>
          <w:color w:val="010101"/>
          <w:spacing w:val="-8"/>
          <w:w w:val="128"/>
          <w:sz w:val="19"/>
        </w:rPr>
        <w:t>é</w:t>
      </w:r>
      <w:r>
        <w:rPr>
          <w:color w:val="010101"/>
          <w:spacing w:val="-91"/>
          <w:w w:val="128"/>
          <w:sz w:val="19"/>
        </w:rPr>
        <w:t>"</w:t>
      </w:r>
      <w:r>
        <w:rPr>
          <w:color w:val="010101"/>
          <w:w w:val="125"/>
          <w:sz w:val="19"/>
        </w:rPr>
        <w:t>rl,</w:t>
      </w:r>
      <w:r>
        <w:rPr>
          <w:color w:val="010101"/>
          <w:w w:val="125"/>
          <w:sz w:val="19"/>
        </w:rPr>
        <w:t>(</w:t>
      </w:r>
      <w:r>
        <w:rPr>
          <w:color w:val="010101"/>
          <w:w w:val="125"/>
          <w:sz w:val="19"/>
        </w:rPr>
        <w:t>a¡¡</w:t>
      </w:r>
      <w:r>
        <w:rPr>
          <w:color w:val="010101"/>
          <w:spacing w:val="9"/>
          <w:sz w:val="19"/>
        </w:rPr>
        <w:t> </w:t>
      </w:r>
      <w:r>
        <w:rPr>
          <w:color w:val="010101"/>
          <w:w w:val="100"/>
          <w:sz w:val="29"/>
        </w:rPr>
        <w:t>+</w:t>
      </w:r>
      <w:r>
        <w:rPr>
          <w:color w:val="010101"/>
          <w:spacing w:val="-9"/>
          <w:sz w:val="29"/>
        </w:rPr>
        <w:t> </w:t>
      </w:r>
      <w:r>
        <w:rPr>
          <w:color w:val="010101"/>
          <w:spacing w:val="-26"/>
          <w:w w:val="194"/>
          <w:sz w:val="20"/>
        </w:rPr>
        <w:t>,</w:t>
      </w:r>
      <w:r>
        <w:rPr>
          <w:color w:val="010101"/>
          <w:w w:val="119"/>
          <w:sz w:val="20"/>
        </w:rPr>
        <w:t>,a</w:t>
      </w:r>
      <w:r>
        <w:rPr>
          <w:color w:val="010101"/>
          <w:spacing w:val="-35"/>
          <w:w w:val="119"/>
          <w:sz w:val="20"/>
        </w:rPr>
        <w:t>:</w:t>
      </w:r>
      <w:r>
        <w:rPr>
          <w:color w:val="010101"/>
          <w:spacing w:val="-59"/>
          <w:w w:val="164"/>
          <w:sz w:val="20"/>
        </w:rPr>
        <w:t>.</w:t>
      </w:r>
      <w:r>
        <w:rPr>
          <w:color w:val="010101"/>
          <w:w w:val="110"/>
          <w:sz w:val="20"/>
        </w:rPr>
        <w:t>t,+</w:t>
      </w:r>
      <w:r>
        <w:rPr>
          <w:color w:val="010101"/>
          <w:spacing w:val="9"/>
          <w:w w:val="110"/>
          <w:sz w:val="20"/>
        </w:rPr>
        <w:t>¡</w:t>
      </w:r>
      <w:r>
        <w:rPr>
          <w:color w:val="010101"/>
          <w:w w:val="96"/>
          <w:sz w:val="20"/>
        </w:rPr>
        <w:t>)</w:t>
      </w:r>
    </w:p>
    <w:p>
      <w:pPr>
        <w:spacing w:line="281" w:lineRule="exact" w:before="0"/>
        <w:ind w:left="23" w:right="2029" w:firstLine="0"/>
        <w:jc w:val="center"/>
        <w:rPr>
          <w:rFonts w:ascii="Courier New"/>
          <w:i/>
          <w:sz w:val="25"/>
        </w:rPr>
      </w:pPr>
      <w:r>
        <w:rPr>
          <w:rFonts w:ascii="Courier New"/>
          <w:i/>
          <w:color w:val="010101"/>
          <w:sz w:val="25"/>
        </w:rPr>
        <w:t>SJ);</w:t>
      </w:r>
    </w:p>
    <w:p>
      <w:pPr>
        <w:spacing w:before="24"/>
        <w:ind w:left="121" w:right="3010" w:firstLine="0"/>
        <w:jc w:val="center"/>
        <w:rPr>
          <w:b/>
          <w:sz w:val="27"/>
        </w:rPr>
      </w:pPr>
      <w:r>
        <w:rPr>
          <w:b/>
          <w:color w:val="010101"/>
          <w:w w:val="104"/>
          <w:sz w:val="20"/>
        </w:rPr>
        <w:t>50</w:t>
      </w:r>
      <w:r>
        <w:rPr>
          <w:b/>
          <w:color w:val="010101"/>
          <w:spacing w:val="3"/>
          <w:sz w:val="20"/>
        </w:rPr>
        <w:t> </w:t>
      </w:r>
      <w:r>
        <w:rPr>
          <w:b/>
          <w:color w:val="010101"/>
          <w:w w:val="76"/>
          <w:sz w:val="27"/>
        </w:rPr>
        <w:t>S</w:t>
      </w:r>
      <w:r>
        <w:rPr>
          <w:b/>
          <w:color w:val="010101"/>
          <w:w w:val="76"/>
          <w:sz w:val="27"/>
          <w:u w:val="thick" w:color="000000"/>
        </w:rPr>
        <w:t>•</w:t>
      </w:r>
      <w:r>
        <w:rPr>
          <w:b/>
          <w:color w:val="010101"/>
          <w:spacing w:val="-15"/>
          <w:w w:val="76"/>
          <w:sz w:val="27"/>
          <w:u w:val="thick" w:color="000000"/>
        </w:rPr>
        <w:t>ñ</w:t>
      </w:r>
      <w:r>
        <w:rPr>
          <w:b/>
          <w:color w:val="010101"/>
          <w:spacing w:val="-44"/>
          <w:w w:val="143"/>
          <w:sz w:val="27"/>
          <w:u w:val="thick" w:color="000000"/>
        </w:rPr>
        <w:t>:</w:t>
      </w:r>
      <w:r>
        <w:rPr>
          <w:b/>
          <w:color w:val="010101"/>
          <w:w w:val="51"/>
          <w:sz w:val="27"/>
          <w:u w:val="thick" w:color="000000"/>
        </w:rPr>
        <w:t>+1</w:t>
      </w:r>
    </w:p>
    <w:p>
      <w:pPr>
        <w:spacing w:before="2"/>
        <w:ind w:left="121" w:right="2869" w:firstLine="0"/>
        <w:jc w:val="center"/>
        <w:rPr>
          <w:rFonts w:ascii="Courier New" w:hAnsi="Courier New"/>
          <w:i/>
          <w:sz w:val="29"/>
        </w:rPr>
      </w:pPr>
      <w:r>
        <w:rPr>
          <w:rFonts w:ascii="Courier New" w:hAnsi="Courier New"/>
          <w:i/>
          <w:color w:val="010101"/>
          <w:w w:val="110"/>
          <w:sz w:val="29"/>
        </w:rPr>
        <w:t>ªD!</w:t>
      </w:r>
    </w:p>
    <w:p>
      <w:pPr>
        <w:spacing w:after="0"/>
        <w:jc w:val="center"/>
        <w:rPr>
          <w:rFonts w:ascii="Courier New" w:hAnsi="Courier New"/>
          <w:sz w:val="29"/>
        </w:rPr>
        <w:sectPr>
          <w:type w:val="continuous"/>
          <w:pgSz w:w="7200" w:h="11340"/>
          <w:pgMar w:top="1100" w:bottom="0" w:left="660" w:right="540"/>
          <w:cols w:num="2" w:equalWidth="0">
            <w:col w:w="721" w:space="73"/>
            <w:col w:w="5206"/>
          </w:cols>
        </w:sectPr>
      </w:pPr>
    </w:p>
    <w:p>
      <w:pPr>
        <w:spacing w:line="327" w:lineRule="exact" w:before="0"/>
        <w:ind w:left="0" w:right="1658" w:firstLine="0"/>
        <w:jc w:val="center"/>
        <w:rPr>
          <w:sz w:val="20"/>
        </w:rPr>
      </w:pPr>
      <w:r>
        <w:rPr>
          <w:color w:val="010101"/>
          <w:sz w:val="20"/>
        </w:rPr>
        <w:t>where </w:t>
      </w:r>
      <w:r>
        <w:rPr>
          <w:color w:val="010101"/>
          <w:w w:val="95"/>
          <w:sz w:val="32"/>
        </w:rPr>
        <w:t>.rae; </w:t>
      </w:r>
      <w:r>
        <w:rPr>
          <w:color w:val="010101"/>
          <w:sz w:val="20"/>
        </w:rPr>
        <w:t>is defined analogously to </w:t>
      </w:r>
      <w:r>
        <w:rPr>
          <w:rFonts w:ascii="Arial"/>
          <w:i/>
          <w:color w:val="010101"/>
          <w:w w:val="95"/>
          <w:sz w:val="26"/>
        </w:rPr>
        <w:t>&amp;ac; </w:t>
      </w:r>
      <w:r>
        <w:rPr>
          <w:color w:val="010101"/>
          <w:sz w:val="20"/>
        </w:rPr>
        <w:t>in (1).</w:t>
      </w:r>
    </w:p>
    <w:p>
      <w:pPr>
        <w:spacing w:line="335" w:lineRule="exact" w:before="98"/>
        <w:ind w:left="98" w:right="1954" w:firstLine="0"/>
        <w:jc w:val="center"/>
        <w:rPr>
          <w:i/>
          <w:sz w:val="19"/>
        </w:rPr>
      </w:pPr>
      <w:r>
        <w:rPr/>
        <w:pict>
          <v:shape style="position:absolute;margin-left:93.578529pt;margin-top:4.768108pt;width:6.7pt;height:6.5pt;mso-position-horizontal-relative:page;mso-position-vertical-relative:paragraph;z-index:-704440" type="#_x0000_t202" filled="false" stroked="false">
            <v:textbox inset="0,0,0,0">
              <w:txbxContent>
                <w:p>
                  <w:pPr>
                    <w:spacing w:line="130" w:lineRule="exact" w:before="0"/>
                    <w:ind w:left="0" w:right="0" w:firstLine="0"/>
                    <w:jc w:val="left"/>
                    <w:rPr>
                      <w:b/>
                      <w:sz w:val="13"/>
                    </w:rPr>
                  </w:pPr>
                  <w:r>
                    <w:rPr>
                      <w:b/>
                      <w:color w:val="010101"/>
                      <w:w w:val="131"/>
                      <w:sz w:val="13"/>
                    </w:rPr>
                    <w:t>H</w:t>
                  </w:r>
                </w:p>
              </w:txbxContent>
            </v:textbox>
            <w10:wrap type="none"/>
          </v:shape>
        </w:pict>
      </w:r>
      <w:r>
        <w:rPr>
          <w:rFonts w:ascii="Arial" w:hAnsi="Arial"/>
          <w:color w:val="010101"/>
          <w:w w:val="90"/>
          <w:sz w:val="19"/>
        </w:rPr>
        <w:t>25 </w:t>
      </w:r>
      <w:r>
        <w:rPr>
          <w:i/>
          <w:color w:val="010101"/>
          <w:w w:val="90"/>
          <w:sz w:val="34"/>
        </w:rPr>
        <w:t>L </w:t>
      </w:r>
      <w:r>
        <w:rPr>
          <w:i/>
          <w:color w:val="010101"/>
          <w:w w:val="90"/>
          <w:sz w:val="28"/>
        </w:rPr>
        <w:t>UªC:+, </w:t>
      </w:r>
      <w:r>
        <w:rPr>
          <w:rFonts w:ascii="Arial" w:hAnsi="Arial"/>
          <w:color w:val="010101"/>
          <w:w w:val="90"/>
          <w:sz w:val="32"/>
        </w:rPr>
        <w:t>+</w:t>
      </w:r>
      <w:r>
        <w:rPr>
          <w:rFonts w:ascii="Arial" w:hAnsi="Arial"/>
          <w:color w:val="010101"/>
          <w:spacing w:val="-55"/>
          <w:w w:val="90"/>
          <w:sz w:val="32"/>
        </w:rPr>
        <w:t> </w:t>
      </w:r>
      <w:r>
        <w:rPr>
          <w:i/>
          <w:color w:val="010101"/>
          <w:w w:val="90"/>
          <w:sz w:val="19"/>
        </w:rPr>
        <w:t>S" jM:+1+1 )</w:t>
      </w:r>
    </w:p>
    <w:p>
      <w:pPr>
        <w:spacing w:line="94" w:lineRule="exact" w:before="0"/>
        <w:ind w:left="1172" w:right="0" w:firstLine="0"/>
        <w:jc w:val="left"/>
        <w:rPr>
          <w:sz w:val="18"/>
        </w:rPr>
      </w:pPr>
      <w:r>
        <w:rPr>
          <w:color w:val="010101"/>
          <w:w w:val="115"/>
          <w:sz w:val="18"/>
        </w:rPr>
        <w:t>,-o</w:t>
      </w:r>
    </w:p>
    <w:p>
      <w:pPr>
        <w:spacing w:after="0" w:line="94" w:lineRule="exact"/>
        <w:jc w:val="left"/>
        <w:rPr>
          <w:sz w:val="18"/>
        </w:rPr>
        <w:sectPr>
          <w:type w:val="continuous"/>
          <w:pgSz w:w="7200" w:h="11340"/>
          <w:pgMar w:top="1100" w:bottom="0" w:left="660" w:right="540"/>
        </w:sectPr>
      </w:pPr>
    </w:p>
    <w:p>
      <w:pPr>
        <w:spacing w:line="194" w:lineRule="exact" w:before="0"/>
        <w:ind w:left="320" w:right="-12" w:firstLine="0"/>
        <w:jc w:val="left"/>
        <w:rPr>
          <w:rFonts w:ascii="Arial"/>
          <w:sz w:val="19"/>
        </w:rPr>
      </w:pPr>
      <w:r>
        <w:rPr/>
        <w:pict>
          <v:line style="position:absolute;mso-position-horizontal-relative:page;mso-position-vertical-relative:paragraph;z-index:-704536" from="78.727631pt,4.286590pt" to="196.819101pt,4.286590pt" stroked="true" strokeweight=".715706pt" strokecolor="#000000">
            <w10:wrap type="none"/>
          </v:line>
        </w:pict>
      </w:r>
      <w:r>
        <w:rPr>
          <w:rFonts w:ascii="Arial"/>
          <w:color w:val="010101"/>
          <w:w w:val="115"/>
          <w:sz w:val="19"/>
        </w:rPr>
        <w:t>(3)</w:t>
      </w:r>
    </w:p>
    <w:p>
      <w:pPr>
        <w:pStyle w:val="BodyText"/>
        <w:spacing w:before="1"/>
        <w:rPr>
          <w:rFonts w:ascii="Arial"/>
          <w:sz w:val="18"/>
        </w:rPr>
      </w:pPr>
    </w:p>
    <w:p>
      <w:pPr>
        <w:spacing w:before="1"/>
        <w:ind w:left="0" w:right="0" w:firstLine="0"/>
        <w:jc w:val="right"/>
        <w:rPr>
          <w:sz w:val="26"/>
        </w:rPr>
      </w:pPr>
      <w:r>
        <w:rPr>
          <w:color w:val="010101"/>
          <w:w w:val="91"/>
          <w:sz w:val="26"/>
        </w:rPr>
        <w:t>=</w:t>
      </w:r>
    </w:p>
    <w:p>
      <w:pPr>
        <w:spacing w:line="313" w:lineRule="exact" w:before="49"/>
        <w:ind w:left="440" w:right="0" w:firstLine="0"/>
        <w:jc w:val="left"/>
        <w:rPr>
          <w:rFonts w:ascii="Courier New" w:hAnsi="Courier New"/>
          <w:i/>
          <w:sz w:val="29"/>
        </w:rPr>
      </w:pPr>
      <w:r>
        <w:rPr/>
        <w:br w:type="column"/>
      </w:r>
      <w:r>
        <w:rPr>
          <w:rFonts w:ascii="Courier New" w:hAnsi="Courier New"/>
          <w:i/>
          <w:color w:val="010101"/>
          <w:sz w:val="29"/>
        </w:rPr>
        <w:t>ªD;</w:t>
      </w:r>
    </w:p>
    <w:p>
      <w:pPr>
        <w:spacing w:line="290" w:lineRule="exact" w:before="0"/>
        <w:ind w:left="240" w:right="453" w:firstLine="0"/>
        <w:jc w:val="center"/>
        <w:rPr>
          <w:rFonts w:ascii="Arial" w:hAnsi="Arial"/>
          <w:i/>
          <w:sz w:val="19"/>
        </w:rPr>
      </w:pPr>
      <w:r>
        <w:rPr>
          <w:i/>
          <w:color w:val="010101"/>
          <w:sz w:val="27"/>
        </w:rPr>
        <w:t>l( </w:t>
      </w:r>
      <w:r>
        <w:rPr>
          <w:i/>
          <w:color w:val="010101"/>
          <w:spacing w:val="2"/>
          <w:sz w:val="27"/>
        </w:rPr>
        <w:t>ªM: </w:t>
      </w:r>
      <w:r>
        <w:rPr>
          <w:color w:val="010101"/>
          <w:w w:val="185"/>
          <w:sz w:val="27"/>
        </w:rPr>
        <w:t>-</w:t>
      </w:r>
      <w:r>
        <w:rPr>
          <w:color w:val="010101"/>
          <w:spacing w:val="-89"/>
          <w:w w:val="185"/>
          <w:sz w:val="27"/>
        </w:rPr>
        <w:t> </w:t>
      </w:r>
      <w:r>
        <w:rPr>
          <w:i/>
          <w:color w:val="010101"/>
          <w:w w:val="80"/>
          <w:sz w:val="27"/>
        </w:rPr>
        <w:t>ª</w:t>
      </w:r>
      <w:r>
        <w:rPr>
          <w:i/>
          <w:color w:val="010101"/>
          <w:w w:val="80"/>
          <w:sz w:val="27"/>
          <w:u w:val="thick" w:color="000000"/>
        </w:rPr>
        <w:t>M:.+ao </w:t>
      </w:r>
      <w:r>
        <w:rPr>
          <w:i/>
          <w:color w:val="010101"/>
          <w:w w:val="80"/>
          <w:sz w:val="27"/>
        </w:rPr>
        <w:t>) </w:t>
      </w:r>
      <w:r>
        <w:rPr>
          <w:rFonts w:ascii="Arial" w:hAnsi="Arial"/>
          <w:color w:val="010101"/>
          <w:sz w:val="32"/>
        </w:rPr>
        <w:t>+ </w:t>
      </w:r>
      <w:r>
        <w:rPr>
          <w:rFonts w:ascii="Arial" w:hAnsi="Arial"/>
          <w:i/>
          <w:color w:val="010101"/>
          <w:sz w:val="19"/>
        </w:rPr>
        <w:t>( </w:t>
      </w:r>
      <w:r>
        <w:rPr>
          <w:rFonts w:ascii="Arial" w:hAnsi="Arial"/>
          <w:i/>
          <w:color w:val="010101"/>
          <w:spacing w:val="-3"/>
          <w:sz w:val="19"/>
        </w:rPr>
        <w:t>ª";R:+1 </w:t>
      </w:r>
      <w:r>
        <w:rPr>
          <w:rFonts w:ascii="Arial" w:hAnsi="Arial"/>
          <w:color w:val="010101"/>
          <w:w w:val="240"/>
          <w:sz w:val="19"/>
        </w:rPr>
        <w:t>-</w:t>
      </w:r>
      <w:r>
        <w:rPr>
          <w:rFonts w:ascii="Arial" w:hAnsi="Arial"/>
          <w:color w:val="010101"/>
          <w:spacing w:val="-88"/>
          <w:w w:val="240"/>
          <w:sz w:val="19"/>
        </w:rPr>
        <w:t> </w:t>
      </w:r>
      <w:r>
        <w:rPr>
          <w:rFonts w:ascii="Arial" w:hAnsi="Arial"/>
          <w:i/>
          <w:color w:val="010101"/>
          <w:spacing w:val="-3"/>
          <w:sz w:val="19"/>
        </w:rPr>
        <w:t>s";R:+ai </w:t>
      </w:r>
      <w:r>
        <w:rPr>
          <w:rFonts w:ascii="Arial" w:hAnsi="Arial"/>
          <w:i/>
          <w:color w:val="010101"/>
          <w:sz w:val="19"/>
        </w:rPr>
        <w:t>)</w:t>
      </w:r>
    </w:p>
    <w:p>
      <w:pPr>
        <w:spacing w:line="114" w:lineRule="exact" w:before="0"/>
        <w:ind w:left="65" w:right="0" w:firstLine="0"/>
        <w:jc w:val="left"/>
        <w:rPr>
          <w:rFonts w:ascii="Arial"/>
          <w:sz w:val="19"/>
        </w:rPr>
      </w:pPr>
      <w:r>
        <w:rPr>
          <w:rFonts w:ascii="Arial"/>
          <w:color w:val="010101"/>
          <w:sz w:val="19"/>
        </w:rPr>
        <w:t>25</w:t>
      </w:r>
    </w:p>
    <w:p>
      <w:pPr>
        <w:spacing w:line="210" w:lineRule="exact" w:before="0"/>
        <w:ind w:left="240" w:right="382" w:firstLine="0"/>
        <w:jc w:val="center"/>
        <w:rPr>
          <w:rFonts w:ascii="Arial" w:hAnsi="Arial"/>
          <w:i/>
          <w:sz w:val="22"/>
        </w:rPr>
      </w:pPr>
      <w:r>
        <w:rPr>
          <w:rFonts w:ascii="Arial" w:hAnsi="Arial"/>
          <w:i/>
          <w:color w:val="010101"/>
          <w:w w:val="110"/>
          <w:sz w:val="22"/>
        </w:rPr>
        <w:t>ªD/'</w:t>
      </w:r>
    </w:p>
    <w:p>
      <w:pPr>
        <w:spacing w:after="0" w:line="210" w:lineRule="exact"/>
        <w:jc w:val="center"/>
        <w:rPr>
          <w:rFonts w:ascii="Arial" w:hAnsi="Arial"/>
          <w:sz w:val="22"/>
        </w:rPr>
        <w:sectPr>
          <w:type w:val="continuous"/>
          <w:pgSz w:w="7200" w:h="11340"/>
          <w:pgMar w:top="1100" w:bottom="0" w:left="660" w:right="540"/>
          <w:cols w:num="2" w:equalWidth="0">
            <w:col w:w="1458" w:space="40"/>
            <w:col w:w="4502"/>
          </w:cols>
        </w:sectPr>
      </w:pPr>
    </w:p>
    <w:p>
      <w:pPr>
        <w:pStyle w:val="BodyText"/>
        <w:spacing w:line="247" w:lineRule="auto" w:before="125"/>
        <w:ind w:left="703" w:hanging="369"/>
      </w:pPr>
      <w:r>
        <w:rPr>
          <w:i/>
          <w:color w:val="010101"/>
        </w:rPr>
        <w:t>( </w:t>
      </w:r>
      <w:r>
        <w:rPr>
          <w:color w:val="010101"/>
        </w:rPr>
        <w:t>4) Se.me as (3) with the superscrihed </w:t>
      </w:r>
      <w:r>
        <w:rPr>
          <w:rFonts w:ascii="Arial"/>
          <w:i/>
          <w:color w:val="010101"/>
          <w:sz w:val="18"/>
        </w:rPr>
        <w:t>w </w:t>
      </w:r>
      <w:r>
        <w:rPr>
          <w:color w:val="010101"/>
        </w:rPr>
        <w:t>replaced by </w:t>
      </w:r>
      <w:r>
        <w:rPr>
          <w:i/>
          <w:color w:val="010101"/>
          <w:sz w:val="19"/>
        </w:rPr>
        <w:t>d </w:t>
      </w:r>
      <w:r>
        <w:rPr>
          <w:color w:val="010101"/>
        </w:rPr>
        <w:t>in the commuta.tion  symbols.</w:t>
      </w:r>
    </w:p>
    <w:p>
      <w:pPr>
        <w:spacing w:line="240" w:lineRule="exact" w:before="0"/>
        <w:ind w:left="109" w:right="0" w:firstLine="0"/>
        <w:jc w:val="left"/>
        <w:rPr>
          <w:b/>
          <w:sz w:val="21"/>
        </w:rPr>
      </w:pPr>
      <w:r>
        <w:rPr>
          <w:color w:val="010101"/>
          <w:sz w:val="20"/>
        </w:rPr>
        <w:t>22. </w:t>
      </w:r>
      <w:r>
        <w:rPr>
          <w:b/>
          <w:color w:val="010101"/>
          <w:sz w:val="21"/>
        </w:rPr>
        <w:t>$120, $280.</w:t>
      </w:r>
    </w:p>
    <w:p>
      <w:pPr>
        <w:spacing w:after="0" w:line="240" w:lineRule="exact"/>
        <w:jc w:val="left"/>
        <w:rPr>
          <w:sz w:val="21"/>
        </w:rPr>
        <w:sectPr>
          <w:type w:val="continuous"/>
          <w:pgSz w:w="7200" w:h="11340"/>
          <w:pgMar w:top="1100" w:bottom="0" w:left="660" w:right="540"/>
        </w:sectPr>
      </w:pPr>
    </w:p>
    <w:p>
      <w:pPr>
        <w:pStyle w:val="BodyText"/>
        <w:rPr>
          <w:b/>
        </w:rPr>
      </w:pPr>
    </w:p>
    <w:p>
      <w:pPr>
        <w:pStyle w:val="BodyText"/>
        <w:spacing w:before="3"/>
        <w:rPr>
          <w:b/>
        </w:rPr>
      </w:pPr>
    </w:p>
    <w:p>
      <w:pPr>
        <w:spacing w:before="0"/>
        <w:ind w:left="139" w:right="131" w:firstLine="0"/>
        <w:jc w:val="center"/>
        <w:rPr>
          <w:sz w:val="21"/>
        </w:rPr>
      </w:pPr>
      <w:bookmarkStart w:name="_TOC_250000" w:id="30"/>
      <w:bookmarkStart w:name="Bibilography" w:id="31"/>
      <w:r>
        <w:rPr/>
      </w:r>
      <w:bookmarkEnd w:id="30"/>
      <w:r>
        <w:rPr>
          <w:color w:val="010101"/>
          <w:w w:val="105"/>
          <w:sz w:val="21"/>
        </w:rPr>
        <w:t>BIBLIOGRAPHY</w:t>
      </w:r>
    </w:p>
    <w:p>
      <w:pPr>
        <w:spacing w:before="78"/>
        <w:ind w:left="307" w:right="125" w:hanging="173"/>
        <w:jc w:val="both"/>
        <w:rPr>
          <w:rFonts w:ascii="Arial"/>
          <w:sz w:val="17"/>
        </w:rPr>
      </w:pPr>
      <w:r>
        <w:rPr>
          <w:color w:val="010101"/>
          <w:w w:val="110"/>
          <w:sz w:val="17"/>
        </w:rPr>
        <w:t>Allen, </w:t>
      </w:r>
      <w:r>
        <w:rPr>
          <w:color w:val="010101"/>
          <w:w w:val="110"/>
          <w:sz w:val="18"/>
        </w:rPr>
        <w:t>J. </w:t>
      </w:r>
      <w:r>
        <w:rPr>
          <w:color w:val="010101"/>
          <w:w w:val="110"/>
          <w:sz w:val="17"/>
        </w:rPr>
        <w:t>M. (1907) </w:t>
      </w:r>
      <w:r>
        <w:rPr>
          <w:color w:val="010101"/>
          <w:w w:val="125"/>
          <w:sz w:val="17"/>
        </w:rPr>
        <w:t>: </w:t>
      </w:r>
      <w:r>
        <w:rPr>
          <w:color w:val="010101"/>
          <w:w w:val="110"/>
          <w:sz w:val="17"/>
        </w:rPr>
        <w:t>On the Rela.tion between the Theories of Compound lnterest and Life Contingencies, </w:t>
      </w:r>
      <w:r>
        <w:rPr>
          <w:i/>
          <w:color w:val="010101"/>
          <w:w w:val="110"/>
          <w:sz w:val="17"/>
        </w:rPr>
        <w:t>J IA </w:t>
      </w:r>
      <w:r>
        <w:rPr>
          <w:rFonts w:ascii="Arial"/>
          <w:color w:val="010101"/>
          <w:w w:val="110"/>
          <w:sz w:val="17"/>
        </w:rPr>
        <w:t>41.</w:t>
      </w:r>
    </w:p>
    <w:p>
      <w:pPr>
        <w:spacing w:line="247" w:lineRule="auto" w:before="6"/>
        <w:ind w:left="292" w:right="133" w:hanging="158"/>
        <w:jc w:val="both"/>
        <w:rPr>
          <w:sz w:val="17"/>
        </w:rPr>
      </w:pPr>
      <w:r>
        <w:rPr>
          <w:color w:val="010101"/>
          <w:sz w:val="17"/>
        </w:rPr>
        <w:t>Bailey,  W.  G.  and  Haycocks,  11.  W.  (1946) </w:t>
      </w:r>
      <w:r>
        <w:rPr>
          <w:color w:val="010101"/>
          <w:w w:val="105"/>
          <w:sz w:val="17"/>
        </w:rPr>
        <w:t>: </w:t>
      </w:r>
      <w:r>
        <w:rPr>
          <w:i/>
          <w:color w:val="010101"/>
          <w:sz w:val="17"/>
        </w:rPr>
        <w:t>Sorne  Theoretical  </w:t>
      </w:r>
      <w:r>
        <w:rPr>
          <w:i/>
          <w:color w:val="010101"/>
          <w:spacing w:val="4"/>
          <w:sz w:val="17"/>
        </w:rPr>
        <w:t>Aspects  </w:t>
      </w:r>
      <w:r>
        <w:rPr>
          <w:i/>
          <w:color w:val="010101"/>
          <w:sz w:val="17"/>
        </w:rPr>
        <w:t>of  </w:t>
      </w:r>
      <w:r>
        <w:rPr>
          <w:i/>
          <w:color w:val="010101"/>
          <w:sz w:val="17"/>
        </w:rPr>
        <w:t>M ultiple  DecreTM nt  </w:t>
      </w:r>
      <w:r>
        <w:rPr>
          <w:i/>
          <w:color w:val="010101"/>
          <w:spacing w:val="2"/>
          <w:sz w:val="17"/>
        </w:rPr>
        <w:t>Tables, </w:t>
      </w:r>
      <w:r>
        <w:rPr>
          <w:color w:val="010101"/>
          <w:sz w:val="17"/>
        </w:rPr>
        <w:t>Consta.ble, </w:t>
      </w:r>
      <w:r>
        <w:rPr>
          <w:color w:val="010101"/>
          <w:spacing w:val="16"/>
          <w:sz w:val="17"/>
        </w:rPr>
        <w:t> </w:t>
      </w:r>
      <w:r>
        <w:rPr>
          <w:color w:val="010101"/>
          <w:sz w:val="17"/>
        </w:rPr>
        <w:t>Edinburgh.</w:t>
      </w:r>
    </w:p>
    <w:p>
      <w:pPr>
        <w:spacing w:before="0"/>
        <w:ind w:left="134" w:right="0" w:firstLine="0"/>
        <w:jc w:val="left"/>
        <w:rPr>
          <w:sz w:val="17"/>
        </w:rPr>
      </w:pPr>
      <w:r>
        <w:rPr>
          <w:color w:val="010101"/>
          <w:w w:val="110"/>
          <w:sz w:val="17"/>
        </w:rPr>
        <w:t>Baillie, D. C. (1951): The Equation of  Equilibrium,  </w:t>
      </w:r>
      <w:r>
        <w:rPr>
          <w:i/>
          <w:color w:val="010101"/>
          <w:w w:val="110"/>
          <w:sz w:val="17"/>
        </w:rPr>
        <w:t>TSA </w:t>
      </w:r>
      <w:r>
        <w:rPr>
          <w:color w:val="010101"/>
          <w:w w:val="110"/>
          <w:sz w:val="17"/>
        </w:rPr>
        <w:t>3.</w:t>
      </w:r>
    </w:p>
    <w:p>
      <w:pPr>
        <w:spacing w:line="247" w:lineRule="auto" w:before="5"/>
        <w:ind w:left="289" w:right="154" w:hanging="158"/>
        <w:jc w:val="both"/>
        <w:rPr>
          <w:sz w:val="17"/>
        </w:rPr>
      </w:pPr>
      <w:r>
        <w:rPr>
          <w:color w:val="010101"/>
          <w:w w:val="105"/>
          <w:sz w:val="17"/>
        </w:rPr>
        <w:t>Bartleson, </w:t>
      </w:r>
      <w:r>
        <w:rPr>
          <w:rFonts w:ascii="Arial"/>
          <w:color w:val="010101"/>
          <w:w w:val="105"/>
          <w:sz w:val="17"/>
        </w:rPr>
        <w:t>E. </w:t>
      </w:r>
      <w:r>
        <w:rPr>
          <w:color w:val="010101"/>
          <w:w w:val="105"/>
          <w:sz w:val="17"/>
        </w:rPr>
        <w:t>L. (1963) : </w:t>
      </w:r>
      <w:r>
        <w:rPr>
          <w:i/>
          <w:color w:val="010101"/>
          <w:w w:val="105"/>
          <w:sz w:val="17"/>
        </w:rPr>
        <w:t>Health Insumnce Provided through Individual </w:t>
      </w:r>
      <w:r>
        <w:rPr>
          <w:i/>
          <w:color w:val="010101"/>
          <w:w w:val="105"/>
          <w:sz w:val="17"/>
        </w:rPr>
        <w:t>Policies,  </w:t>
      </w:r>
      <w:r>
        <w:rPr>
          <w:color w:val="010101"/>
          <w:w w:val="105"/>
          <w:sz w:val="17"/>
        </w:rPr>
        <w:t>8ociety  of  Actuaries, Chicago.</w:t>
      </w:r>
    </w:p>
    <w:p>
      <w:pPr>
        <w:spacing w:line="242" w:lineRule="auto" w:before="0"/>
        <w:ind w:left="285" w:right="127" w:hanging="155"/>
        <w:jc w:val="both"/>
        <w:rPr>
          <w:sz w:val="16"/>
        </w:rPr>
      </w:pPr>
      <w:r>
        <w:rPr>
          <w:color w:val="010101"/>
          <w:w w:val="110"/>
          <w:sz w:val="17"/>
        </w:rPr>
        <w:t>Baughman, C. B. (1965) : Sorne Instances of the Superiority of Geometric Methods over Arithmetic Methods of Interpolation and Extrapolation, </w:t>
      </w:r>
      <w:r>
        <w:rPr>
          <w:i/>
          <w:color w:val="010101"/>
          <w:w w:val="110"/>
          <w:sz w:val="17"/>
        </w:rPr>
        <w:t>TSA </w:t>
      </w:r>
      <w:r>
        <w:rPr>
          <w:color w:val="010101"/>
          <w:w w:val="110"/>
          <w:sz w:val="16"/>
        </w:rPr>
        <w:t>17.</w:t>
      </w:r>
    </w:p>
    <w:p>
      <w:pPr>
        <w:spacing w:line="195" w:lineRule="exact" w:before="7"/>
        <w:ind w:left="127" w:right="0" w:firstLine="0"/>
        <w:jc w:val="left"/>
        <w:rPr>
          <w:sz w:val="17"/>
        </w:rPr>
      </w:pPr>
      <w:r>
        <w:rPr>
          <w:color w:val="010101"/>
          <w:w w:val="110"/>
          <w:sz w:val="17"/>
        </w:rPr>
        <w:t>Bergstresser,   R.  L.   (1941) :  Formulas  for  Continuous-Income Policies,</w:t>
      </w:r>
    </w:p>
    <w:p>
      <w:pPr>
        <w:spacing w:line="195" w:lineRule="exact" w:before="0"/>
        <w:ind w:left="289" w:right="0" w:firstLine="0"/>
        <w:jc w:val="left"/>
        <w:rPr>
          <w:sz w:val="17"/>
        </w:rPr>
      </w:pPr>
      <w:r>
        <w:rPr>
          <w:i/>
          <w:color w:val="010101"/>
          <w:w w:val="110"/>
          <w:sz w:val="17"/>
        </w:rPr>
        <w:t>RAI A </w:t>
      </w:r>
      <w:r>
        <w:rPr>
          <w:color w:val="010101"/>
          <w:w w:val="110"/>
          <w:sz w:val="17"/>
        </w:rPr>
        <w:t>30.</w:t>
      </w:r>
    </w:p>
    <w:p>
      <w:pPr>
        <w:spacing w:before="0"/>
        <w:ind w:left="285" w:right="116" w:hanging="158"/>
        <w:jc w:val="both"/>
        <w:rPr>
          <w:sz w:val="17"/>
        </w:rPr>
      </w:pPr>
      <w:r>
        <w:rPr>
          <w:color w:val="010101"/>
          <w:w w:val="110"/>
          <w:sz w:val="17"/>
        </w:rPr>
        <w:t>Bicknell, W. S. and Nesbitt, C. </w:t>
      </w:r>
      <w:r>
        <w:rPr>
          <w:color w:val="010101"/>
          <w:w w:val="110"/>
          <w:sz w:val="18"/>
        </w:rPr>
        <w:t>J. </w:t>
      </w:r>
      <w:r>
        <w:rPr>
          <w:color w:val="010101"/>
          <w:w w:val="110"/>
          <w:sz w:val="17"/>
        </w:rPr>
        <w:t>(1956): Premiums and Reserves in Multi­ ple  Decrement  Theory,  </w:t>
      </w:r>
      <w:r>
        <w:rPr>
          <w:i/>
          <w:color w:val="010101"/>
          <w:w w:val="110"/>
          <w:sz w:val="17"/>
        </w:rPr>
        <w:t>TSA </w:t>
      </w:r>
      <w:r>
        <w:rPr>
          <w:color w:val="010101"/>
          <w:w w:val="110"/>
          <w:sz w:val="17"/>
        </w:rPr>
        <w:t>8.</w:t>
      </w:r>
    </w:p>
    <w:p>
      <w:pPr>
        <w:spacing w:line="249" w:lineRule="auto" w:before="6"/>
        <w:ind w:left="124" w:right="0" w:firstLine="3"/>
        <w:jc w:val="left"/>
        <w:rPr>
          <w:sz w:val="17"/>
        </w:rPr>
      </w:pPr>
      <w:r>
        <w:rPr>
          <w:color w:val="010101"/>
          <w:w w:val="110"/>
          <w:sz w:val="17"/>
        </w:rPr>
        <w:t>Bizley, M. T. L. (1957): </w:t>
      </w:r>
      <w:r>
        <w:rPr>
          <w:i/>
          <w:color w:val="010101"/>
          <w:w w:val="110"/>
          <w:sz w:val="17"/>
        </w:rPr>
        <w:t>Probabilit y, </w:t>
      </w:r>
      <w:r>
        <w:rPr>
          <w:color w:val="010101"/>
          <w:w w:val="110"/>
          <w:sz w:val="17"/>
        </w:rPr>
        <w:t>Cambridge University Press. Boermeester,  </w:t>
      </w:r>
      <w:r>
        <w:rPr>
          <w:rFonts w:ascii="Arial"/>
          <w:b/>
          <w:color w:val="010101"/>
          <w:w w:val="110"/>
          <w:sz w:val="17"/>
        </w:rPr>
        <w:t>J.  M.  </w:t>
      </w:r>
      <w:r>
        <w:rPr>
          <w:color w:val="010101"/>
          <w:w w:val="110"/>
          <w:sz w:val="17"/>
        </w:rPr>
        <w:t>(1956) : Frequency  Distribution  of  Mortality  Costs,</w:t>
      </w:r>
    </w:p>
    <w:p>
      <w:pPr>
        <w:spacing w:line="187" w:lineRule="exact" w:before="0"/>
        <w:ind w:left="292" w:right="0" w:firstLine="0"/>
        <w:jc w:val="left"/>
        <w:rPr>
          <w:sz w:val="17"/>
        </w:rPr>
      </w:pPr>
      <w:r>
        <w:rPr>
          <w:i/>
          <w:color w:val="010101"/>
          <w:w w:val="115"/>
          <w:sz w:val="17"/>
        </w:rPr>
        <w:t>TSA </w:t>
      </w:r>
      <w:r>
        <w:rPr>
          <w:color w:val="010101"/>
          <w:w w:val="115"/>
          <w:sz w:val="17"/>
        </w:rPr>
        <w:t>8.</w:t>
      </w:r>
    </w:p>
    <w:p>
      <w:pPr>
        <w:spacing w:line="242" w:lineRule="auto" w:before="6"/>
        <w:ind w:left="285" w:right="118" w:hanging="162"/>
        <w:jc w:val="both"/>
        <w:rPr>
          <w:sz w:val="17"/>
        </w:rPr>
      </w:pPr>
      <w:r>
        <w:rPr>
          <w:color w:val="010101"/>
          <w:w w:val="105"/>
          <w:sz w:val="17"/>
        </w:rPr>
        <w:t>Brillinger, D. R. (1961) : A Justification of Sorne Common Laws  of  Mor­ tality,   </w:t>
      </w:r>
      <w:r>
        <w:rPr>
          <w:i/>
          <w:color w:val="010101"/>
          <w:w w:val="105"/>
          <w:sz w:val="17"/>
        </w:rPr>
        <w:t>TSA  </w:t>
      </w:r>
      <w:r>
        <w:rPr>
          <w:color w:val="010101"/>
          <w:w w:val="105"/>
          <w:sz w:val="17"/>
        </w:rPr>
        <w:t>13.</w:t>
      </w:r>
    </w:p>
    <w:p>
      <w:pPr>
        <w:spacing w:line="240" w:lineRule="auto" w:before="0"/>
        <w:ind w:left="285" w:right="130" w:hanging="162"/>
        <w:jc w:val="both"/>
        <w:rPr>
          <w:sz w:val="17"/>
        </w:rPr>
      </w:pPr>
      <w:r>
        <w:rPr>
          <w:color w:val="010101"/>
          <w:w w:val="110"/>
          <w:sz w:val="17"/>
        </w:rPr>
        <w:t>Brodie, N. and November, W. </w:t>
      </w:r>
      <w:r>
        <w:rPr>
          <w:color w:val="010101"/>
          <w:w w:val="110"/>
          <w:sz w:val="18"/>
        </w:rPr>
        <w:t>J. </w:t>
      </w:r>
      <w:r>
        <w:rPr>
          <w:color w:val="010101"/>
          <w:w w:val="110"/>
          <w:sz w:val="17"/>
        </w:rPr>
        <w:t>(1959): A New Table for Accidental Death Benefits,  </w:t>
      </w:r>
      <w:r>
        <w:rPr>
          <w:i/>
          <w:color w:val="010101"/>
          <w:w w:val="110"/>
          <w:sz w:val="17"/>
        </w:rPr>
        <w:t>TSA </w:t>
      </w:r>
      <w:r>
        <w:rPr>
          <w:color w:val="010101"/>
          <w:w w:val="110"/>
          <w:sz w:val="17"/>
        </w:rPr>
        <w:t>11.</w:t>
      </w:r>
    </w:p>
    <w:p>
      <w:pPr>
        <w:spacing w:line="242" w:lineRule="auto" w:before="6"/>
        <w:ind w:left="127" w:right="0" w:firstLine="3"/>
        <w:jc w:val="left"/>
        <w:rPr>
          <w:sz w:val="17"/>
        </w:rPr>
      </w:pPr>
      <w:r>
        <w:rPr>
          <w:color w:val="010101"/>
          <w:w w:val="110"/>
          <w:sz w:val="17"/>
        </w:rPr>
        <w:t>Chapman, F. </w:t>
      </w:r>
      <w:r>
        <w:rPr>
          <w:color w:val="363636"/>
          <w:w w:val="110"/>
          <w:sz w:val="17"/>
        </w:rPr>
        <w:t>·</w:t>
      </w:r>
      <w:r>
        <w:rPr>
          <w:color w:val="010101"/>
          <w:w w:val="110"/>
          <w:sz w:val="17"/>
        </w:rPr>
        <w:t>P. (1943) : Adjusted Premium Surrender Values, </w:t>
      </w:r>
      <w:r>
        <w:rPr>
          <w:i/>
          <w:color w:val="010101"/>
          <w:w w:val="110"/>
          <w:sz w:val="17"/>
        </w:rPr>
        <w:t>TASA </w:t>
      </w:r>
      <w:r>
        <w:rPr>
          <w:color w:val="010101"/>
          <w:w w:val="110"/>
          <w:sz w:val="17"/>
        </w:rPr>
        <w:t>44. Cody, D. D. (1948) : Family Income Formulas Assuming Uniform Distribu­</w:t>
      </w:r>
    </w:p>
    <w:p>
      <w:pPr>
        <w:spacing w:before="4"/>
        <w:ind w:left="281" w:right="0" w:firstLine="0"/>
        <w:jc w:val="left"/>
        <w:rPr>
          <w:sz w:val="17"/>
        </w:rPr>
      </w:pPr>
      <w:r>
        <w:rPr>
          <w:color w:val="010101"/>
          <w:w w:val="105"/>
          <w:sz w:val="17"/>
        </w:rPr>
        <w:t>tion  of  Deaths,  </w:t>
      </w:r>
      <w:r>
        <w:rPr>
          <w:i/>
          <w:color w:val="010101"/>
          <w:w w:val="105"/>
          <w:sz w:val="17"/>
        </w:rPr>
        <w:t>TASA  </w:t>
      </w:r>
      <w:r>
        <w:rPr>
          <w:color w:val="010101"/>
          <w:w w:val="105"/>
          <w:sz w:val="17"/>
        </w:rPr>
        <w:t>49.</w:t>
      </w:r>
    </w:p>
    <w:p>
      <w:pPr>
        <w:spacing w:line="249" w:lineRule="auto" w:before="6"/>
        <w:ind w:left="281" w:right="118" w:hanging="158"/>
        <w:jc w:val="both"/>
        <w:rPr>
          <w:sz w:val="17"/>
        </w:rPr>
      </w:pPr>
      <w:r>
        <w:rPr>
          <w:color w:val="010101"/>
          <w:w w:val="110"/>
          <w:sz w:val="17"/>
        </w:rPr>
        <w:t>Cueto, Manuel R. (1954) : Monetary Values for Ordinary Disability Bene­ fits, Based on Period 2 of the 1952 Intercompa.ny Study of the Society's Committee,  with  </w:t>
      </w:r>
      <w:r>
        <w:rPr>
          <w:color w:val="010101"/>
          <w:w w:val="125"/>
          <w:sz w:val="17"/>
        </w:rPr>
        <w:t>2í%  </w:t>
      </w:r>
      <w:r>
        <w:rPr>
          <w:color w:val="010101"/>
          <w:w w:val="110"/>
          <w:sz w:val="17"/>
        </w:rPr>
        <w:t>lnterest,  </w:t>
      </w:r>
      <w:r>
        <w:rPr>
          <w:i/>
          <w:color w:val="010101"/>
          <w:w w:val="110"/>
          <w:sz w:val="17"/>
        </w:rPr>
        <w:t>TSA  </w:t>
      </w:r>
      <w:r>
        <w:rPr>
          <w:color w:val="010101"/>
          <w:w w:val="110"/>
          <w:sz w:val="17"/>
        </w:rPr>
        <w:t>6.</w:t>
      </w:r>
    </w:p>
    <w:p>
      <w:pPr>
        <w:spacing w:line="189" w:lineRule="exact" w:before="0"/>
        <w:ind w:left="281" w:right="0" w:hanging="155"/>
        <w:jc w:val="left"/>
        <w:rPr>
          <w:sz w:val="17"/>
        </w:rPr>
      </w:pPr>
      <w:r>
        <w:rPr>
          <w:color w:val="010101"/>
          <w:w w:val="115"/>
          <w:sz w:val="17"/>
        </w:rPr>
        <w:t>Da.vidson, </w:t>
      </w:r>
      <w:r>
        <w:rPr>
          <w:color w:val="010101"/>
          <w:w w:val="115"/>
          <w:sz w:val="18"/>
        </w:rPr>
        <w:t>J. </w:t>
      </w:r>
      <w:r>
        <w:rPr>
          <w:color w:val="010101"/>
          <w:w w:val="115"/>
          <w:sz w:val="17"/>
        </w:rPr>
        <w:t>C. and Birkenshaw, </w:t>
      </w:r>
      <w:r>
        <w:rPr>
          <w:color w:val="010101"/>
          <w:w w:val="115"/>
          <w:sz w:val="18"/>
        </w:rPr>
        <w:t>J. </w:t>
      </w:r>
      <w:r>
        <w:rPr>
          <w:color w:val="010101"/>
          <w:w w:val="115"/>
          <w:sz w:val="17"/>
        </w:rPr>
        <w:t>T. (1958): The Preparation of lnterim</w:t>
      </w:r>
    </w:p>
    <w:p>
      <w:pPr>
        <w:spacing w:line="195" w:lineRule="exact" w:before="3"/>
        <w:ind w:left="152" w:right="13" w:firstLine="0"/>
        <w:jc w:val="center"/>
        <w:rPr>
          <w:sz w:val="17"/>
        </w:rPr>
      </w:pPr>
      <w:r>
        <w:rPr>
          <w:color w:val="010101"/>
          <w:w w:val="105"/>
          <w:sz w:val="17"/>
        </w:rPr>
        <w:t>Accounting   Statements   Using   Electronic   Da.ta.  Processing  Equipment,</w:t>
      </w:r>
    </w:p>
    <w:p>
      <w:pPr>
        <w:spacing w:line="195" w:lineRule="exact" w:before="0"/>
        <w:ind w:left="289" w:right="0" w:firstLine="0"/>
        <w:jc w:val="left"/>
        <w:rPr>
          <w:sz w:val="17"/>
        </w:rPr>
      </w:pPr>
      <w:r>
        <w:rPr>
          <w:i/>
          <w:color w:val="010101"/>
          <w:w w:val="110"/>
          <w:sz w:val="17"/>
        </w:rPr>
        <w:t>TSA </w:t>
      </w:r>
      <w:r>
        <w:rPr>
          <w:color w:val="010101"/>
          <w:w w:val="110"/>
          <w:sz w:val="17"/>
        </w:rPr>
        <w:t>10.</w:t>
      </w:r>
    </w:p>
    <w:p>
      <w:pPr>
        <w:spacing w:before="2"/>
        <w:ind w:left="274" w:right="132" w:hanging="144"/>
        <w:jc w:val="both"/>
        <w:rPr>
          <w:sz w:val="17"/>
        </w:rPr>
      </w:pPr>
      <w:r>
        <w:rPr>
          <w:color w:val="010101"/>
          <w:w w:val="110"/>
          <w:sz w:val="17"/>
        </w:rPr>
        <w:t>Dona.Id, D. W. A. (1956): </w:t>
      </w:r>
      <w:r>
        <w:rPr>
          <w:i/>
          <w:color w:val="010101"/>
          <w:w w:val="110"/>
          <w:sz w:val="17"/>
        </w:rPr>
        <w:t>Compound Interest and Annuities-Certain, </w:t>
      </w:r>
      <w:r>
        <w:rPr>
          <w:color w:val="010101"/>
          <w:w w:val="110"/>
          <w:sz w:val="17"/>
        </w:rPr>
        <w:t>2nd ed., Cambridge University Press.</w:t>
      </w:r>
    </w:p>
    <w:p>
      <w:pPr>
        <w:spacing w:line="242" w:lineRule="auto" w:before="6"/>
        <w:ind w:left="278" w:right="129" w:hanging="148"/>
        <w:jc w:val="both"/>
        <w:rPr>
          <w:sz w:val="17"/>
        </w:rPr>
      </w:pPr>
      <w:r>
        <w:rPr>
          <w:color w:val="010101"/>
          <w:w w:val="110"/>
          <w:sz w:val="17"/>
        </w:rPr>
        <w:t>Elston, J. S. (1923) : Survey of Mathema.tical Formulas that Ha.ve Been Used to Express a Law of Mortality, </w:t>
      </w:r>
      <w:r>
        <w:rPr>
          <w:i/>
          <w:color w:val="010101"/>
          <w:w w:val="110"/>
          <w:sz w:val="17"/>
        </w:rPr>
        <w:t>RAI A   </w:t>
      </w:r>
      <w:r>
        <w:rPr>
          <w:color w:val="010101"/>
          <w:w w:val="110"/>
          <w:sz w:val="17"/>
        </w:rPr>
        <w:t>12.</w:t>
      </w:r>
    </w:p>
    <w:p>
      <w:pPr>
        <w:spacing w:line="242" w:lineRule="auto" w:before="4"/>
        <w:ind w:left="131" w:right="126" w:firstLine="3"/>
        <w:jc w:val="center"/>
        <w:rPr>
          <w:sz w:val="17"/>
        </w:rPr>
      </w:pPr>
      <w:r>
        <w:rPr>
          <w:color w:val="010101"/>
          <w:w w:val="110"/>
          <w:sz w:val="17"/>
        </w:rPr>
        <w:t>Eva.ns, A. W. </w:t>
      </w:r>
      <w:r>
        <w:rPr>
          <w:color w:val="010101"/>
          <w:spacing w:val="-3"/>
          <w:w w:val="110"/>
          <w:sz w:val="17"/>
        </w:rPr>
        <w:t>(1925) </w:t>
      </w:r>
      <w:r>
        <w:rPr>
          <w:color w:val="010101"/>
          <w:w w:val="110"/>
          <w:sz w:val="17"/>
        </w:rPr>
        <w:t>: On the Calculation of Contingent Assurances and</w:t>
      </w:r>
      <w:r>
        <w:rPr>
          <w:color w:val="010101"/>
          <w:spacing w:val="-10"/>
          <w:w w:val="110"/>
          <w:sz w:val="17"/>
        </w:rPr>
        <w:t> </w:t>
      </w:r>
      <w:r>
        <w:rPr>
          <w:color w:val="010101"/>
          <w:w w:val="110"/>
          <w:sz w:val="17"/>
        </w:rPr>
        <w:t>the Compound Survivorship Annuity when Ma.keham's Law Holds, </w:t>
      </w:r>
      <w:r>
        <w:rPr>
          <w:i/>
          <w:color w:val="010101"/>
          <w:w w:val="110"/>
          <w:sz w:val="17"/>
        </w:rPr>
        <w:t>J </w:t>
      </w:r>
      <w:r>
        <w:rPr>
          <w:i/>
          <w:color w:val="010101"/>
          <w:spacing w:val="11"/>
          <w:w w:val="110"/>
          <w:sz w:val="17"/>
        </w:rPr>
        <w:t>IA </w:t>
      </w:r>
      <w:r>
        <w:rPr>
          <w:color w:val="010101"/>
          <w:w w:val="110"/>
          <w:sz w:val="17"/>
        </w:rPr>
        <w:t>56. </w:t>
      </w:r>
      <w:r>
        <w:rPr>
          <w:color w:val="010101"/>
          <w:w w:val="101"/>
          <w:sz w:val="17"/>
        </w:rPr>
        <w:t>Eva.ns, </w:t>
      </w:r>
      <w:r>
        <w:rPr>
          <w:color w:val="010101"/>
          <w:w w:val="103"/>
          <w:sz w:val="17"/>
        </w:rPr>
        <w:t>A. </w:t>
      </w:r>
      <w:r>
        <w:rPr>
          <w:color w:val="010101"/>
          <w:w w:val="95"/>
          <w:sz w:val="17"/>
        </w:rPr>
        <w:t>W   </w:t>
      </w:r>
      <w:r>
        <w:rPr>
          <w:color w:val="010101"/>
          <w:spacing w:val="-2"/>
          <w:w w:val="113"/>
          <w:sz w:val="17"/>
        </w:rPr>
        <w:t>'1929)</w:t>
      </w:r>
      <w:r>
        <w:rPr>
          <w:color w:val="010101"/>
          <w:w w:val="113"/>
          <w:sz w:val="17"/>
        </w:rPr>
        <w:t> </w:t>
      </w:r>
      <w:r>
        <w:rPr>
          <w:color w:val="010101"/>
          <w:w w:val="133"/>
          <w:sz w:val="17"/>
        </w:rPr>
        <w:t>: </w:t>
      </w:r>
      <w:r>
        <w:rPr>
          <w:color w:val="010101"/>
          <w:w w:val="90"/>
          <w:sz w:val="17"/>
        </w:rPr>
        <w:t>A  </w:t>
      </w:r>
      <w:r>
        <w:rPr>
          <w:color w:val="010101"/>
          <w:w w:val="107"/>
          <w:sz w:val="17"/>
        </w:rPr>
        <w:t>Method </w:t>
      </w:r>
      <w:r>
        <w:rPr>
          <w:color w:val="010101"/>
          <w:w w:val="88"/>
          <w:sz w:val="17"/>
        </w:rPr>
        <w:t>of  </w:t>
      </w:r>
      <w:r>
        <w:rPr>
          <w:color w:val="010101"/>
          <w:w w:val="108"/>
          <w:sz w:val="17"/>
        </w:rPr>
        <w:t>Approximating  </w:t>
      </w:r>
      <w:r>
        <w:rPr>
          <w:color w:val="010101"/>
          <w:w w:val="115"/>
          <w:sz w:val="17"/>
        </w:rPr>
        <w:t>to </w:t>
      </w:r>
      <w:r>
        <w:rPr>
          <w:color w:val="010101"/>
          <w:w w:val="107"/>
          <w:sz w:val="17"/>
        </w:rPr>
        <w:t>Increasing</w:t>
      </w:r>
      <w:r>
        <w:rPr>
          <w:color w:val="010101"/>
          <w:spacing w:val="-21"/>
          <w:w w:val="107"/>
          <w:sz w:val="17"/>
        </w:rPr>
        <w:t> </w:t>
      </w:r>
      <w:r>
        <w:rPr>
          <w:color w:val="010101"/>
          <w:w w:val="110"/>
          <w:sz w:val="17"/>
        </w:rPr>
        <w:t>Annuities,</w:t>
      </w:r>
    </w:p>
    <w:p>
      <w:pPr>
        <w:spacing w:line="195" w:lineRule="exact" w:before="7"/>
        <w:ind w:left="271" w:right="0" w:firstLine="0"/>
        <w:jc w:val="left"/>
        <w:rPr>
          <w:sz w:val="17"/>
        </w:rPr>
      </w:pPr>
      <w:r>
        <w:rPr>
          <w:i/>
          <w:color w:val="010101"/>
          <w:w w:val="105"/>
          <w:sz w:val="17"/>
        </w:rPr>
        <w:t>J IA </w:t>
      </w:r>
      <w:r>
        <w:rPr>
          <w:color w:val="010101"/>
          <w:w w:val="105"/>
          <w:sz w:val="17"/>
        </w:rPr>
        <w:t>60.</w:t>
      </w:r>
    </w:p>
    <w:p>
      <w:pPr>
        <w:spacing w:line="247" w:lineRule="auto" w:before="0"/>
        <w:ind w:left="278" w:right="116" w:hanging="155"/>
        <w:jc w:val="both"/>
        <w:rPr>
          <w:sz w:val="17"/>
        </w:rPr>
      </w:pPr>
      <w:r>
        <w:rPr>
          <w:color w:val="010101"/>
          <w:w w:val="110"/>
          <w:sz w:val="17"/>
        </w:rPr>
        <w:t>Eva.ns, A. W. J931): On the Relationship between Life Annuities at Dif ­ ferent  Rates of  Interest, </w:t>
      </w:r>
      <w:r>
        <w:rPr>
          <w:i/>
          <w:color w:val="010101"/>
          <w:w w:val="110"/>
          <w:sz w:val="17"/>
        </w:rPr>
        <w:t>J IA </w:t>
      </w:r>
      <w:r>
        <w:rPr>
          <w:color w:val="010101"/>
          <w:w w:val="110"/>
          <w:sz w:val="17"/>
        </w:rPr>
        <w:t>62.</w:t>
      </w:r>
    </w:p>
    <w:p>
      <w:pPr>
        <w:spacing w:line="191" w:lineRule="exact" w:before="0"/>
        <w:ind w:left="120" w:right="0" w:firstLine="0"/>
        <w:jc w:val="left"/>
        <w:rPr>
          <w:sz w:val="17"/>
        </w:rPr>
      </w:pPr>
      <w:r>
        <w:rPr>
          <w:color w:val="010101"/>
          <w:w w:val="105"/>
          <w:sz w:val="17"/>
        </w:rPr>
        <w:t>Fassel,  </w:t>
      </w:r>
      <w:r>
        <w:rPr>
          <w:rFonts w:ascii="Arial"/>
          <w:color w:val="010101"/>
          <w:w w:val="105"/>
          <w:sz w:val="17"/>
        </w:rPr>
        <w:t>E. </w:t>
      </w:r>
      <w:r>
        <w:rPr>
          <w:color w:val="010101"/>
          <w:w w:val="105"/>
          <w:sz w:val="17"/>
        </w:rPr>
        <w:t>G.  (1930):  Insurance  for  Fa.ce  Amount  or  Reserve  </w:t>
      </w:r>
      <w:r>
        <w:rPr>
          <w:color w:val="010101"/>
          <w:w w:val="105"/>
          <w:sz w:val="18"/>
        </w:rPr>
        <w:t>if   </w:t>
      </w:r>
      <w:r>
        <w:rPr>
          <w:color w:val="010101"/>
          <w:w w:val="105"/>
          <w:sz w:val="17"/>
        </w:rPr>
        <w:t>Orea.ter,</w:t>
      </w:r>
    </w:p>
    <w:p>
      <w:pPr>
        <w:spacing w:before="0"/>
        <w:ind w:left="274" w:right="0" w:firstLine="0"/>
        <w:jc w:val="left"/>
        <w:rPr>
          <w:sz w:val="17"/>
        </w:rPr>
      </w:pPr>
      <w:r>
        <w:rPr>
          <w:i/>
          <w:color w:val="010101"/>
          <w:w w:val="110"/>
          <w:sz w:val="17"/>
        </w:rPr>
        <w:t>RAI A </w:t>
      </w:r>
      <w:r>
        <w:rPr>
          <w:color w:val="010101"/>
          <w:w w:val="110"/>
          <w:sz w:val="17"/>
        </w:rPr>
        <w:t>19.</w:t>
      </w:r>
    </w:p>
    <w:p>
      <w:pPr>
        <w:spacing w:line="242" w:lineRule="auto" w:before="2"/>
        <w:ind w:left="278" w:right="137" w:hanging="162"/>
        <w:jc w:val="both"/>
        <w:rPr>
          <w:sz w:val="17"/>
        </w:rPr>
      </w:pPr>
      <w:r>
        <w:rPr>
          <w:color w:val="010101"/>
          <w:w w:val="105"/>
          <w:sz w:val="17"/>
        </w:rPr>
        <w:t>Freeman, H. (1960): </w:t>
      </w:r>
      <w:r>
        <w:rPr>
          <w:i/>
          <w:color w:val="010101"/>
          <w:w w:val="105"/>
          <w:sz w:val="17"/>
        </w:rPr>
        <w:t>Finite Differences for Actuarial Students , </w:t>
      </w:r>
      <w:r>
        <w:rPr>
          <w:color w:val="010101"/>
          <w:w w:val="105"/>
          <w:sz w:val="17"/>
        </w:rPr>
        <w:t>Cambridge University   Press.</w:t>
      </w:r>
    </w:p>
    <w:p>
      <w:pPr>
        <w:spacing w:before="99"/>
        <w:ind w:left="146" w:right="131" w:firstLine="0"/>
        <w:jc w:val="center"/>
        <w:rPr>
          <w:rFonts w:ascii="Courier New"/>
          <w:sz w:val="18"/>
        </w:rPr>
      </w:pPr>
      <w:r>
        <w:rPr>
          <w:rFonts w:ascii="Courier New"/>
          <w:color w:val="010101"/>
          <w:sz w:val="18"/>
        </w:rPr>
        <w:t>375</w:t>
      </w:r>
    </w:p>
    <w:p>
      <w:pPr>
        <w:spacing w:after="0"/>
        <w:jc w:val="center"/>
        <w:rPr>
          <w:rFonts w:ascii="Courier New"/>
          <w:sz w:val="18"/>
        </w:rPr>
        <w:sectPr>
          <w:pgSz w:w="7200" w:h="11340"/>
          <w:pgMar w:top="1060" w:bottom="280" w:left="640" w:right="600"/>
        </w:sectPr>
      </w:pPr>
    </w:p>
    <w:p>
      <w:pPr>
        <w:tabs>
          <w:tab w:pos="2407" w:val="left" w:leader="none"/>
        </w:tabs>
        <w:spacing w:before="55"/>
        <w:ind w:left="143" w:right="0" w:firstLine="0"/>
        <w:jc w:val="left"/>
        <w:rPr>
          <w:b/>
          <w:sz w:val="14"/>
        </w:rPr>
      </w:pPr>
      <w:r>
        <w:rPr>
          <w:rFonts w:ascii="Courier New"/>
          <w:color w:val="030303"/>
          <w:spacing w:val="-22"/>
          <w:w w:val="105"/>
          <w:sz w:val="22"/>
        </w:rPr>
        <w:t>376</w:t>
        <w:tab/>
      </w:r>
      <w:r>
        <w:rPr>
          <w:b/>
          <w:color w:val="030303"/>
          <w:w w:val="105"/>
          <w:sz w:val="14"/>
        </w:rPr>
        <w:t>BIBLIOGRAPHY</w:t>
      </w:r>
    </w:p>
    <w:p>
      <w:pPr>
        <w:pStyle w:val="BodyText"/>
        <w:spacing w:before="10"/>
        <w:rPr>
          <w:b/>
          <w:sz w:val="18"/>
        </w:rPr>
      </w:pPr>
    </w:p>
    <w:p>
      <w:pPr>
        <w:spacing w:before="0"/>
        <w:ind w:left="150" w:right="0" w:firstLine="0"/>
        <w:jc w:val="left"/>
        <w:rPr>
          <w:sz w:val="17"/>
        </w:rPr>
      </w:pPr>
      <w:r>
        <w:rPr>
          <w:color w:val="030303"/>
          <w:w w:val="105"/>
          <w:sz w:val="17"/>
        </w:rPr>
        <w:t>Froberg,   C.-E.   (1965) :  </w:t>
      </w:r>
      <w:r>
        <w:rPr>
          <w:i/>
          <w:color w:val="030303"/>
          <w:w w:val="105"/>
          <w:sz w:val="17"/>
        </w:rPr>
        <w:t>Numerical    Anal ysis ,   </w:t>
      </w:r>
      <w:r>
        <w:rPr>
          <w:color w:val="030303"/>
          <w:w w:val="105"/>
          <w:sz w:val="17"/>
        </w:rPr>
        <w:t>Addison-Wesley,  Reading,</w:t>
      </w:r>
    </w:p>
    <w:p>
      <w:pPr>
        <w:spacing w:line="192" w:lineRule="exact" w:before="6"/>
        <w:ind w:left="312" w:right="0" w:firstLine="0"/>
        <w:jc w:val="left"/>
        <w:rPr>
          <w:b/>
          <w:sz w:val="17"/>
        </w:rPr>
      </w:pPr>
      <w:r>
        <w:rPr>
          <w:b/>
          <w:color w:val="030303"/>
          <w:sz w:val="17"/>
        </w:rPr>
        <w:t>Mass.</w:t>
      </w:r>
    </w:p>
    <w:p>
      <w:pPr>
        <w:spacing w:line="242" w:lineRule="auto" w:before="0"/>
        <w:ind w:left="297" w:right="125" w:hanging="144"/>
        <w:jc w:val="both"/>
        <w:rPr>
          <w:i/>
          <w:sz w:val="17"/>
        </w:rPr>
      </w:pPr>
      <w:r>
        <w:rPr>
          <w:color w:val="030303"/>
          <w:w w:val="110"/>
          <w:sz w:val="17"/>
        </w:rPr>
        <w:t>G. </w:t>
      </w:r>
      <w:r>
        <w:rPr>
          <w:color w:val="030303"/>
          <w:w w:val="110"/>
          <w:sz w:val="18"/>
        </w:rPr>
        <w:t>J. </w:t>
      </w:r>
      <w:r>
        <w:rPr>
          <w:color w:val="030303"/>
          <w:w w:val="110"/>
          <w:sz w:val="17"/>
        </w:rPr>
        <w:t>L. and S. E. M </w:t>
      </w:r>
      <w:r>
        <w:rPr>
          <w:color w:val="1C1C1C"/>
          <w:w w:val="110"/>
          <w:sz w:val="17"/>
        </w:rPr>
        <w:t>. </w:t>
      </w:r>
      <w:r>
        <w:rPr>
          <w:color w:val="030303"/>
          <w:w w:val="110"/>
          <w:sz w:val="17"/>
        </w:rPr>
        <w:t>(1910) : Practical Hints to Students on the Application of the Formula  for  Integration  by Parts to Life Contingency  Problems,  </w:t>
      </w:r>
      <w:r>
        <w:rPr>
          <w:i/>
          <w:color w:val="030303"/>
          <w:w w:val="110"/>
          <w:sz w:val="17"/>
        </w:rPr>
        <w:t>J I</w:t>
      </w:r>
      <w:r>
        <w:rPr>
          <w:i/>
          <w:color w:val="030303"/>
          <w:spacing w:val="-40"/>
          <w:w w:val="110"/>
          <w:sz w:val="17"/>
        </w:rPr>
        <w:t> </w:t>
      </w:r>
      <w:r>
        <w:rPr>
          <w:i/>
          <w:color w:val="030303"/>
          <w:w w:val="110"/>
          <w:sz w:val="17"/>
        </w:rPr>
        <w:t>A 44.</w:t>
      </w:r>
    </w:p>
    <w:p>
      <w:pPr>
        <w:spacing w:line="242" w:lineRule="auto" w:before="4"/>
        <w:ind w:left="143" w:right="0" w:firstLine="3"/>
        <w:jc w:val="left"/>
        <w:rPr>
          <w:sz w:val="17"/>
        </w:rPr>
      </w:pPr>
      <w:r>
        <w:rPr>
          <w:color w:val="030303"/>
          <w:w w:val="105"/>
          <w:sz w:val="17"/>
        </w:rPr>
        <w:t>Gershenson, H. (1951) : Reserves by Different Mortality Tables, </w:t>
      </w:r>
      <w:r>
        <w:rPr>
          <w:i/>
          <w:color w:val="030303"/>
          <w:w w:val="105"/>
          <w:sz w:val="17"/>
        </w:rPr>
        <w:t>TSA </w:t>
      </w:r>
      <w:r>
        <w:rPr>
          <w:color w:val="030303"/>
          <w:w w:val="105"/>
          <w:sz w:val="17"/>
        </w:rPr>
        <w:t>3. Gershenson, H.  (1957) : Review of Hooker and Longley-Cook  (1957), </w:t>
      </w:r>
      <w:r>
        <w:rPr>
          <w:i/>
          <w:color w:val="030303"/>
          <w:w w:val="105"/>
          <w:sz w:val="17"/>
        </w:rPr>
        <w:t>TSA  </w:t>
      </w:r>
      <w:r>
        <w:rPr>
          <w:color w:val="030303"/>
          <w:w w:val="105"/>
          <w:sz w:val="17"/>
        </w:rPr>
        <w:t>9,</w:t>
      </w:r>
    </w:p>
    <w:p>
      <w:pPr>
        <w:spacing w:before="0"/>
        <w:ind w:left="301" w:right="0" w:firstLine="0"/>
        <w:jc w:val="left"/>
        <w:rPr>
          <w:sz w:val="16"/>
        </w:rPr>
      </w:pPr>
      <w:r>
        <w:rPr>
          <w:color w:val="030303"/>
          <w:w w:val="110"/>
          <w:sz w:val="17"/>
        </w:rPr>
        <w:t>p. </w:t>
      </w:r>
      <w:r>
        <w:rPr>
          <w:color w:val="030303"/>
          <w:w w:val="110"/>
          <w:sz w:val="16"/>
        </w:rPr>
        <w:t>459.</w:t>
      </w:r>
    </w:p>
    <w:p>
      <w:pPr>
        <w:spacing w:line="247" w:lineRule="auto" w:before="6"/>
        <w:ind w:left="297" w:right="0" w:hanging="158"/>
        <w:jc w:val="left"/>
        <w:rPr>
          <w:sz w:val="17"/>
        </w:rPr>
      </w:pPr>
      <w:r>
        <w:rPr>
          <w:color w:val="030303"/>
          <w:w w:val="105"/>
          <w:sz w:val="17"/>
        </w:rPr>
        <w:t>Gershenson, H. (1961) </w:t>
      </w:r>
      <w:r>
        <w:rPr>
          <w:color w:val="1C1C1C"/>
          <w:w w:val="105"/>
          <w:sz w:val="17"/>
        </w:rPr>
        <w:t>: </w:t>
      </w:r>
      <w:r>
        <w:rPr>
          <w:i/>
          <w:color w:val="030303"/>
          <w:w w:val="105"/>
          <w:sz w:val="17"/>
        </w:rPr>
        <w:t>Measurement of M ortality, </w:t>
      </w:r>
      <w:r>
        <w:rPr>
          <w:color w:val="030303"/>
          <w:w w:val="105"/>
          <w:sz w:val="17"/>
        </w:rPr>
        <w:t>Society of Actuaries, Chicago.</w:t>
      </w:r>
    </w:p>
    <w:p>
      <w:pPr>
        <w:spacing w:line="247" w:lineRule="auto" w:before="0"/>
        <w:ind w:left="301" w:right="37" w:hanging="162"/>
        <w:jc w:val="left"/>
        <w:rPr>
          <w:sz w:val="17"/>
        </w:rPr>
      </w:pPr>
      <w:r>
        <w:rPr>
          <w:color w:val="030303"/>
          <w:w w:val="110"/>
          <w:sz w:val="17"/>
        </w:rPr>
        <w:t>Gold, M</w:t>
      </w:r>
      <w:r>
        <w:rPr>
          <w:color w:val="1C1C1C"/>
          <w:w w:val="110"/>
          <w:sz w:val="17"/>
        </w:rPr>
        <w:t>. </w:t>
      </w:r>
      <w:r>
        <w:rPr>
          <w:color w:val="030303"/>
          <w:w w:val="110"/>
          <w:sz w:val="17"/>
        </w:rPr>
        <w:t>L</w:t>
      </w:r>
      <w:r>
        <w:rPr>
          <w:color w:val="1C1C1C"/>
          <w:w w:val="110"/>
          <w:sz w:val="17"/>
        </w:rPr>
        <w:t>. </w:t>
      </w:r>
      <w:r>
        <w:rPr>
          <w:color w:val="030303"/>
          <w:w w:val="110"/>
          <w:sz w:val="17"/>
        </w:rPr>
        <w:t>a.nd Wilson, D. T. </w:t>
      </w:r>
      <w:r>
        <w:rPr>
          <w:color w:val="030303"/>
          <w:w w:val="110"/>
          <w:sz w:val="15"/>
        </w:rPr>
        <w:t>(1963) : </w:t>
      </w:r>
      <w:r>
        <w:rPr>
          <w:color w:val="030303"/>
          <w:w w:val="110"/>
          <w:sz w:val="17"/>
        </w:rPr>
        <w:t>Payment of Cash Value in Addition to Face Amount, </w:t>
      </w:r>
      <w:r>
        <w:rPr>
          <w:i/>
          <w:color w:val="030303"/>
          <w:w w:val="110"/>
          <w:sz w:val="17"/>
        </w:rPr>
        <w:t>TSA  </w:t>
      </w:r>
      <w:r>
        <w:rPr>
          <w:color w:val="030303"/>
          <w:w w:val="110"/>
          <w:sz w:val="17"/>
        </w:rPr>
        <w:t>15</w:t>
      </w:r>
      <w:r>
        <w:rPr>
          <w:color w:val="1C1C1C"/>
          <w:w w:val="110"/>
          <w:sz w:val="17"/>
        </w:rPr>
        <w:t>.</w:t>
      </w:r>
    </w:p>
    <w:p>
      <w:pPr>
        <w:spacing w:line="237" w:lineRule="auto" w:before="0"/>
        <w:ind w:left="297" w:right="140" w:hanging="158"/>
        <w:jc w:val="both"/>
        <w:rPr>
          <w:sz w:val="17"/>
        </w:rPr>
      </w:pPr>
      <w:r>
        <w:rPr>
          <w:color w:val="030303"/>
          <w:w w:val="105"/>
          <w:sz w:val="17"/>
        </w:rPr>
        <w:t>Gompertz, </w:t>
      </w:r>
      <w:r>
        <w:rPr>
          <w:color w:val="030303"/>
          <w:w w:val="105"/>
          <w:sz w:val="18"/>
        </w:rPr>
        <w:t>B. </w:t>
      </w:r>
      <w:r>
        <w:rPr>
          <w:color w:val="030303"/>
          <w:w w:val="105"/>
          <w:sz w:val="17"/>
        </w:rPr>
        <w:t>(1825) : On the N ature of the Function Expressive  of  the Law  of Human Mortality </w:t>
      </w:r>
      <w:r>
        <w:rPr>
          <w:color w:val="030303"/>
          <w:w w:val="110"/>
          <w:position w:val="-2"/>
          <w:sz w:val="7"/>
        </w:rPr>
        <w:t>I </w:t>
      </w:r>
      <w:r>
        <w:rPr>
          <w:i/>
          <w:color w:val="030303"/>
          <w:w w:val="105"/>
          <w:sz w:val="17"/>
        </w:rPr>
        <w:t>Philosophical Transactions ,  </w:t>
      </w:r>
      <w:r>
        <w:rPr>
          <w:color w:val="030303"/>
          <w:w w:val="105"/>
          <w:sz w:val="17"/>
        </w:rPr>
        <w:t>Royal  Society  of London.</w:t>
      </w:r>
    </w:p>
    <w:p>
      <w:pPr>
        <w:spacing w:line="204" w:lineRule="exact" w:before="0"/>
        <w:ind w:left="132" w:right="0" w:firstLine="0"/>
        <w:jc w:val="left"/>
        <w:rPr>
          <w:sz w:val="17"/>
        </w:rPr>
      </w:pPr>
      <w:r>
        <w:rPr>
          <w:color w:val="030303"/>
          <w:w w:val="110"/>
          <w:sz w:val="17"/>
        </w:rPr>
        <w:t>Ora.ce, W. L. a.nd Nesbitt, C. </w:t>
      </w:r>
      <w:r>
        <w:rPr>
          <w:color w:val="030303"/>
          <w:w w:val="110"/>
          <w:sz w:val="18"/>
        </w:rPr>
        <w:t>J. </w:t>
      </w:r>
      <w:r>
        <w:rPr>
          <w:color w:val="030303"/>
          <w:w w:val="110"/>
          <w:sz w:val="17"/>
        </w:rPr>
        <w:t>(1950): On Average Age at Death Problems,</w:t>
      </w:r>
    </w:p>
    <w:p>
      <w:pPr>
        <w:spacing w:before="3"/>
        <w:ind w:left="305" w:right="0" w:firstLine="0"/>
        <w:jc w:val="left"/>
        <w:rPr>
          <w:sz w:val="16"/>
        </w:rPr>
      </w:pPr>
      <w:r>
        <w:rPr>
          <w:i/>
          <w:color w:val="030303"/>
          <w:w w:val="120"/>
          <w:sz w:val="17"/>
        </w:rPr>
        <w:t>TSA </w:t>
      </w:r>
      <w:r>
        <w:rPr>
          <w:color w:val="030303"/>
          <w:w w:val="120"/>
          <w:sz w:val="16"/>
        </w:rPr>
        <w:t>2.</w:t>
      </w:r>
    </w:p>
    <w:p>
      <w:pPr>
        <w:spacing w:before="2"/>
        <w:ind w:left="136" w:right="0" w:firstLine="0"/>
        <w:jc w:val="left"/>
        <w:rPr>
          <w:sz w:val="17"/>
        </w:rPr>
      </w:pPr>
      <w:r>
        <w:rPr>
          <w:color w:val="030303"/>
          <w:w w:val="110"/>
          <w:sz w:val="17"/>
        </w:rPr>
        <w:t>Greville, T. N </w:t>
      </w:r>
      <w:r>
        <w:rPr>
          <w:color w:val="1C1C1C"/>
          <w:w w:val="110"/>
          <w:sz w:val="17"/>
        </w:rPr>
        <w:t>. </w:t>
      </w:r>
      <w:r>
        <w:rPr>
          <w:color w:val="030303"/>
          <w:w w:val="110"/>
          <w:sz w:val="17"/>
        </w:rPr>
        <w:t>E</w:t>
      </w:r>
      <w:r>
        <w:rPr>
          <w:color w:val="1C1C1C"/>
          <w:w w:val="110"/>
          <w:sz w:val="17"/>
        </w:rPr>
        <w:t>. </w:t>
      </w:r>
      <w:r>
        <w:rPr>
          <w:color w:val="030303"/>
          <w:w w:val="110"/>
          <w:sz w:val="17"/>
        </w:rPr>
        <w:t>(1948) </w:t>
      </w:r>
      <w:r>
        <w:rPr>
          <w:color w:val="1C1C1C"/>
          <w:w w:val="110"/>
          <w:sz w:val="17"/>
        </w:rPr>
        <w:t>: </w:t>
      </w:r>
      <w:r>
        <w:rPr>
          <w:color w:val="030303"/>
          <w:w w:val="110"/>
          <w:sz w:val="17"/>
        </w:rPr>
        <w:t>Mortality Tables Ana.lyzed  by Cause of Dea.th </w:t>
      </w:r>
      <w:r>
        <w:rPr>
          <w:color w:val="1C1C1C"/>
          <w:w w:val="110"/>
          <w:sz w:val="17"/>
        </w:rPr>
        <w:t>,</w:t>
      </w:r>
    </w:p>
    <w:p>
      <w:pPr>
        <w:spacing w:before="6"/>
        <w:ind w:left="294" w:right="0" w:firstLine="0"/>
        <w:jc w:val="left"/>
        <w:rPr>
          <w:sz w:val="17"/>
        </w:rPr>
      </w:pPr>
      <w:r>
        <w:rPr>
          <w:i/>
          <w:color w:val="030303"/>
          <w:w w:val="105"/>
          <w:sz w:val="17"/>
        </w:rPr>
        <w:t>RAI A </w:t>
      </w:r>
      <w:r>
        <w:rPr>
          <w:color w:val="030303"/>
          <w:w w:val="105"/>
          <w:sz w:val="17"/>
        </w:rPr>
        <w:t>37.</w:t>
      </w:r>
    </w:p>
    <w:p>
      <w:pPr>
        <w:spacing w:line="247" w:lineRule="auto" w:before="2"/>
        <w:ind w:left="290" w:right="0" w:hanging="158"/>
        <w:jc w:val="left"/>
        <w:rPr>
          <w:sz w:val="17"/>
        </w:rPr>
      </w:pPr>
      <w:r>
        <w:rPr>
          <w:color w:val="030303"/>
          <w:w w:val="110"/>
          <w:sz w:val="17"/>
        </w:rPr>
        <w:t>Oreville, T. </w:t>
      </w:r>
      <w:r>
        <w:rPr>
          <w:rFonts w:ascii="Arial"/>
          <w:color w:val="030303"/>
          <w:w w:val="110"/>
          <w:sz w:val="16"/>
        </w:rPr>
        <w:t>N. </w:t>
      </w:r>
      <w:r>
        <w:rPr>
          <w:color w:val="030303"/>
          <w:w w:val="110"/>
          <w:sz w:val="17"/>
        </w:rPr>
        <w:t>E. (1954) : On the Formula for the L-Function in a Special Mortality  Table Eliminating  a Given Cause of  Death,  </w:t>
      </w:r>
      <w:r>
        <w:rPr>
          <w:i/>
          <w:color w:val="030303"/>
          <w:w w:val="110"/>
          <w:sz w:val="17"/>
        </w:rPr>
        <w:t>TSA  </w:t>
      </w:r>
      <w:r>
        <w:rPr>
          <w:color w:val="030303"/>
          <w:w w:val="110"/>
          <w:sz w:val="17"/>
        </w:rPr>
        <w:t>6.</w:t>
      </w:r>
    </w:p>
    <w:p>
      <w:pPr>
        <w:spacing w:line="242" w:lineRule="auto" w:before="0"/>
        <w:ind w:left="287" w:right="0" w:hanging="162"/>
        <w:jc w:val="left"/>
        <w:rPr>
          <w:sz w:val="17"/>
        </w:rPr>
      </w:pPr>
      <w:r>
        <w:rPr>
          <w:color w:val="030303"/>
          <w:w w:val="110"/>
          <w:sz w:val="17"/>
        </w:rPr>
        <w:t>Oreville, T. </w:t>
      </w:r>
      <w:r>
        <w:rPr>
          <w:rFonts w:ascii="Arial"/>
          <w:color w:val="030303"/>
          <w:w w:val="110"/>
          <w:sz w:val="16"/>
        </w:rPr>
        <w:t>N. </w:t>
      </w:r>
      <w:r>
        <w:rPr>
          <w:color w:val="030303"/>
          <w:w w:val="110"/>
          <w:sz w:val="17"/>
        </w:rPr>
        <w:t>E. (1956) : Laws of Mortality which Satisfy a Uniform Seniority  Principie, </w:t>
      </w:r>
      <w:r>
        <w:rPr>
          <w:i/>
          <w:color w:val="030303"/>
          <w:w w:val="110"/>
          <w:sz w:val="17"/>
        </w:rPr>
        <w:t>J IA </w:t>
      </w:r>
      <w:r>
        <w:rPr>
          <w:color w:val="030303"/>
          <w:w w:val="110"/>
          <w:sz w:val="17"/>
        </w:rPr>
        <w:t>82.</w:t>
      </w:r>
    </w:p>
    <w:p>
      <w:pPr>
        <w:spacing w:line="247" w:lineRule="auto" w:before="4"/>
        <w:ind w:left="106" w:right="122" w:firstLine="0"/>
        <w:jc w:val="center"/>
        <w:rPr>
          <w:sz w:val="17"/>
        </w:rPr>
      </w:pPr>
      <w:r>
        <w:rPr>
          <w:color w:val="030303"/>
          <w:w w:val="110"/>
          <w:sz w:val="17"/>
        </w:rPr>
        <w:t>Oroeschell, C. G. and Snell , </w:t>
      </w:r>
      <w:r>
        <w:rPr>
          <w:color w:val="030303"/>
          <w:w w:val="110"/>
          <w:sz w:val="16"/>
        </w:rPr>
        <w:t>W. M. (1951) : </w:t>
      </w:r>
      <w:r>
        <w:rPr>
          <w:color w:val="030303"/>
          <w:w w:val="110"/>
          <w:sz w:val="17"/>
        </w:rPr>
        <w:t>Valuation of Reversionary In­ terests Involving Two or More Lives for Federal Ta.x Purposes, </w:t>
      </w:r>
      <w:r>
        <w:rPr>
          <w:i/>
          <w:color w:val="030303"/>
          <w:w w:val="110"/>
          <w:sz w:val="17"/>
        </w:rPr>
        <w:t>TSA </w:t>
      </w:r>
      <w:r>
        <w:rPr>
          <w:color w:val="030303"/>
          <w:w w:val="110"/>
          <w:sz w:val="17"/>
        </w:rPr>
        <w:t>3. Ha.hn, </w:t>
      </w:r>
      <w:r>
        <w:rPr>
          <w:rFonts w:ascii="Arial" w:hAnsi="Arial"/>
          <w:b/>
          <w:color w:val="030303"/>
          <w:w w:val="110"/>
          <w:sz w:val="16"/>
        </w:rPr>
        <w:t>J. </w:t>
      </w:r>
      <w:r>
        <w:rPr>
          <w:b/>
          <w:color w:val="030303"/>
          <w:w w:val="110"/>
          <w:sz w:val="17"/>
        </w:rPr>
        <w:t>W. </w:t>
      </w:r>
      <w:r>
        <w:rPr>
          <w:color w:val="030303"/>
          <w:w w:val="110"/>
          <w:sz w:val="16"/>
        </w:rPr>
        <w:t>(1946) : </w:t>
      </w:r>
      <w:r>
        <w:rPr>
          <w:color w:val="030303"/>
          <w:w w:val="110"/>
          <w:sz w:val="17"/>
        </w:rPr>
        <w:t>Actuaria.! Note: Insura.nce for Face Amount or Mi ni­</w:t>
      </w:r>
    </w:p>
    <w:p>
      <w:pPr>
        <w:spacing w:line="190" w:lineRule="exact" w:before="0"/>
        <w:ind w:left="283" w:right="0" w:firstLine="0"/>
        <w:jc w:val="left"/>
        <w:rPr>
          <w:sz w:val="17"/>
        </w:rPr>
      </w:pPr>
      <w:r>
        <w:rPr>
          <w:color w:val="030303"/>
          <w:w w:val="105"/>
          <w:sz w:val="17"/>
        </w:rPr>
        <w:t>mum  Caah Value  if  Orea.ter, </w:t>
      </w:r>
      <w:r>
        <w:rPr>
          <w:i/>
          <w:color w:val="030303"/>
          <w:w w:val="105"/>
          <w:sz w:val="17"/>
        </w:rPr>
        <w:t>RAI A </w:t>
      </w:r>
      <w:r>
        <w:rPr>
          <w:color w:val="030303"/>
          <w:w w:val="105"/>
          <w:sz w:val="17"/>
        </w:rPr>
        <w:t>35.</w:t>
      </w:r>
    </w:p>
    <w:p>
      <w:pPr>
        <w:spacing w:line="244" w:lineRule="auto" w:before="0"/>
        <w:ind w:left="279" w:right="0" w:hanging="155"/>
        <w:jc w:val="left"/>
        <w:rPr>
          <w:sz w:val="16"/>
        </w:rPr>
      </w:pPr>
      <w:r>
        <w:rPr>
          <w:color w:val="030303"/>
          <w:w w:val="110"/>
          <w:sz w:val="17"/>
        </w:rPr>
        <w:t>Heckman, </w:t>
      </w:r>
      <w:r>
        <w:rPr>
          <w:color w:val="030303"/>
          <w:w w:val="110"/>
          <w:sz w:val="18"/>
        </w:rPr>
        <w:t>J </w:t>
      </w:r>
      <w:r>
        <w:rPr>
          <w:color w:val="1C1C1C"/>
          <w:w w:val="110"/>
          <w:sz w:val="18"/>
        </w:rPr>
        <w:t>. </w:t>
      </w:r>
      <w:r>
        <w:rPr>
          <w:color w:val="030303"/>
          <w:w w:val="110"/>
          <w:sz w:val="17"/>
        </w:rPr>
        <w:t>F., Jr. </w:t>
      </w:r>
      <w:r>
        <w:rPr>
          <w:color w:val="030303"/>
          <w:w w:val="110"/>
          <w:sz w:val="16"/>
        </w:rPr>
        <w:t>(1946) : </w:t>
      </w:r>
      <w:r>
        <w:rPr>
          <w:color w:val="030303"/>
          <w:w w:val="110"/>
          <w:sz w:val="17"/>
        </w:rPr>
        <w:t>Commissioners </w:t>
      </w:r>
      <w:r>
        <w:rPr>
          <w:color w:val="030303"/>
          <w:w w:val="110"/>
          <w:sz w:val="16"/>
        </w:rPr>
        <w:t>1941 </w:t>
      </w:r>
      <w:r>
        <w:rPr>
          <w:color w:val="030303"/>
          <w:w w:val="110"/>
          <w:sz w:val="17"/>
        </w:rPr>
        <w:t>Standard Ordinary Mor­ tality  Table for Joint  Lives,  </w:t>
      </w:r>
      <w:r>
        <w:rPr>
          <w:i/>
          <w:color w:val="030303"/>
          <w:w w:val="110"/>
          <w:sz w:val="17"/>
        </w:rPr>
        <w:t>RAI A </w:t>
      </w:r>
      <w:r>
        <w:rPr>
          <w:color w:val="030303"/>
          <w:w w:val="110"/>
          <w:sz w:val="16"/>
        </w:rPr>
        <w:t>35.</w:t>
      </w:r>
    </w:p>
    <w:p>
      <w:pPr>
        <w:spacing w:line="247" w:lineRule="auto" w:before="0"/>
        <w:ind w:left="279" w:right="60" w:hanging="158"/>
        <w:jc w:val="left"/>
        <w:rPr>
          <w:sz w:val="16"/>
        </w:rPr>
      </w:pPr>
      <w:r>
        <w:rPr>
          <w:color w:val="030303"/>
          <w:w w:val="110"/>
          <w:sz w:val="17"/>
        </w:rPr>
        <w:t>Hickma.n, </w:t>
      </w:r>
      <w:r>
        <w:rPr>
          <w:rFonts w:ascii="Arial"/>
          <w:b/>
          <w:color w:val="030303"/>
          <w:w w:val="110"/>
          <w:sz w:val="17"/>
        </w:rPr>
        <w:t>J. </w:t>
      </w:r>
      <w:r>
        <w:rPr>
          <w:color w:val="030303"/>
          <w:w w:val="110"/>
          <w:sz w:val="17"/>
        </w:rPr>
        <w:t>C. </w:t>
      </w:r>
      <w:r>
        <w:rPr>
          <w:color w:val="030303"/>
          <w:w w:val="110"/>
          <w:sz w:val="15"/>
        </w:rPr>
        <w:t>(1964) : </w:t>
      </w:r>
      <w:r>
        <w:rPr>
          <w:color w:val="030303"/>
          <w:w w:val="110"/>
          <w:sz w:val="17"/>
        </w:rPr>
        <w:t>A Statistical Approach to Premiums a.nd Reserves in Multiple  Decrement  Theory,  </w:t>
      </w:r>
      <w:r>
        <w:rPr>
          <w:i/>
          <w:color w:val="030303"/>
          <w:w w:val="110"/>
          <w:sz w:val="17"/>
        </w:rPr>
        <w:t>TSA </w:t>
      </w:r>
      <w:r>
        <w:rPr>
          <w:color w:val="030303"/>
          <w:w w:val="110"/>
          <w:sz w:val="16"/>
        </w:rPr>
        <w:t>16.</w:t>
      </w:r>
    </w:p>
    <w:p>
      <w:pPr>
        <w:spacing w:line="194" w:lineRule="exact" w:before="0"/>
        <w:ind w:left="122" w:right="0" w:firstLine="0"/>
        <w:jc w:val="left"/>
        <w:rPr>
          <w:i/>
          <w:sz w:val="17"/>
        </w:rPr>
      </w:pPr>
      <w:r>
        <w:rPr>
          <w:color w:val="030303"/>
          <w:w w:val="105"/>
          <w:sz w:val="17"/>
        </w:rPr>
        <w:t>Hooker, P. </w:t>
      </w:r>
      <w:r>
        <w:rPr>
          <w:color w:val="030303"/>
          <w:w w:val="105"/>
          <w:sz w:val="18"/>
        </w:rPr>
        <w:t>F. </w:t>
      </w:r>
      <w:r>
        <w:rPr>
          <w:color w:val="030303"/>
          <w:w w:val="105"/>
          <w:sz w:val="17"/>
        </w:rPr>
        <w:t>and Longley-Cook, L. H.  (1953): </w:t>
      </w:r>
      <w:r>
        <w:rPr>
          <w:i/>
          <w:color w:val="030303"/>
          <w:w w:val="105"/>
          <w:sz w:val="17"/>
        </w:rPr>
        <w:t>Life and  Other Contingencies ,</w:t>
      </w:r>
    </w:p>
    <w:p>
      <w:pPr>
        <w:spacing w:before="14"/>
        <w:ind w:left="283" w:right="0" w:firstLine="0"/>
        <w:jc w:val="left"/>
        <w:rPr>
          <w:sz w:val="17"/>
        </w:rPr>
      </w:pPr>
      <w:r>
        <w:rPr>
          <w:color w:val="030303"/>
          <w:w w:val="110"/>
          <w:sz w:val="17"/>
        </w:rPr>
        <w:t>vol. 1, Cambridge University Press.</w:t>
      </w:r>
    </w:p>
    <w:p>
      <w:pPr>
        <w:spacing w:before="3"/>
        <w:ind w:left="122" w:right="0" w:firstLine="0"/>
        <w:jc w:val="left"/>
        <w:rPr>
          <w:i/>
          <w:sz w:val="17"/>
        </w:rPr>
      </w:pPr>
      <w:r>
        <w:rPr>
          <w:color w:val="030303"/>
          <w:w w:val="105"/>
          <w:sz w:val="17"/>
        </w:rPr>
        <w:t>Hooker, P. </w:t>
      </w:r>
      <w:r>
        <w:rPr>
          <w:color w:val="030303"/>
          <w:w w:val="105"/>
          <w:sz w:val="18"/>
        </w:rPr>
        <w:t>F. </w:t>
      </w:r>
      <w:r>
        <w:rPr>
          <w:color w:val="030303"/>
          <w:w w:val="105"/>
          <w:sz w:val="17"/>
        </w:rPr>
        <w:t>and Longley-Cook, L. H.  (1957) : </w:t>
      </w:r>
      <w:r>
        <w:rPr>
          <w:i/>
          <w:color w:val="030303"/>
          <w:w w:val="105"/>
          <w:sz w:val="17"/>
        </w:rPr>
        <w:t>Lije and Other Contingencies ,</w:t>
      </w:r>
    </w:p>
    <w:p>
      <w:pPr>
        <w:spacing w:before="14"/>
        <w:ind w:left="283" w:right="0" w:firstLine="0"/>
        <w:jc w:val="left"/>
        <w:rPr>
          <w:sz w:val="17"/>
        </w:rPr>
      </w:pPr>
      <w:r>
        <w:rPr>
          <w:color w:val="030303"/>
          <w:w w:val="110"/>
          <w:sz w:val="17"/>
        </w:rPr>
        <w:t>vol. </w:t>
      </w:r>
      <w:r>
        <w:rPr>
          <w:color w:val="030303"/>
          <w:w w:val="110"/>
          <w:sz w:val="16"/>
        </w:rPr>
        <w:t>2, </w:t>
      </w:r>
      <w:r>
        <w:rPr>
          <w:color w:val="030303"/>
          <w:w w:val="110"/>
          <w:sz w:val="17"/>
        </w:rPr>
        <w:t>Cambridge Universíty Press.</w:t>
      </w:r>
    </w:p>
    <w:p>
      <w:pPr>
        <w:spacing w:line="256" w:lineRule="auto" w:before="13"/>
        <w:ind w:left="276" w:right="0" w:hanging="151"/>
        <w:jc w:val="left"/>
        <w:rPr>
          <w:sz w:val="17"/>
        </w:rPr>
      </w:pPr>
      <w:r>
        <w:rPr>
          <w:color w:val="030303"/>
          <w:w w:val="110"/>
          <w:sz w:val="17"/>
        </w:rPr>
        <w:t>Hume, A </w:t>
      </w:r>
      <w:r>
        <w:rPr>
          <w:color w:val="1C1C1C"/>
          <w:w w:val="110"/>
          <w:sz w:val="17"/>
        </w:rPr>
        <w:t>. </w:t>
      </w:r>
      <w:r>
        <w:rPr>
          <w:color w:val="030303"/>
          <w:w w:val="110"/>
          <w:sz w:val="16"/>
        </w:rPr>
        <w:t>S. </w:t>
      </w:r>
      <w:r>
        <w:rPr>
          <w:color w:val="030303"/>
          <w:w w:val="110"/>
          <w:sz w:val="17"/>
        </w:rPr>
        <w:t>and Stott, W. </w:t>
      </w:r>
      <w:r>
        <w:rPr>
          <w:color w:val="030303"/>
          <w:w w:val="110"/>
          <w:sz w:val="16"/>
        </w:rPr>
        <w:t>(1906): </w:t>
      </w:r>
      <w:r>
        <w:rPr>
          <w:color w:val="030303"/>
          <w:w w:val="110"/>
          <w:sz w:val="17"/>
        </w:rPr>
        <w:t>On the Calculation of Conti ngent As</w:t>
      </w:r>
      <w:r>
        <w:rPr>
          <w:color w:val="1C1C1C"/>
          <w:w w:val="110"/>
          <w:sz w:val="17"/>
        </w:rPr>
        <w:t>­ </w:t>
      </w:r>
      <w:r>
        <w:rPr>
          <w:color w:val="030303"/>
          <w:w w:val="110"/>
          <w:sz w:val="17"/>
        </w:rPr>
        <w:t>surance Premiums when Makeham </w:t>
      </w:r>
      <w:r>
        <w:rPr>
          <w:color w:val="1C1C1C"/>
          <w:w w:val="110"/>
          <w:sz w:val="17"/>
        </w:rPr>
        <w:t>'</w:t>
      </w:r>
      <w:r>
        <w:rPr>
          <w:color w:val="030303"/>
          <w:w w:val="110"/>
          <w:sz w:val="17"/>
        </w:rPr>
        <w:t>s Law Holds, </w:t>
      </w:r>
      <w:r>
        <w:rPr>
          <w:i/>
          <w:color w:val="030303"/>
          <w:w w:val="110"/>
          <w:sz w:val="17"/>
        </w:rPr>
        <w:t>J I A </w:t>
      </w:r>
      <w:r>
        <w:rPr>
          <w:color w:val="030303"/>
          <w:w w:val="110"/>
          <w:sz w:val="17"/>
        </w:rPr>
        <w:t>39.</w:t>
      </w:r>
    </w:p>
    <w:p>
      <w:pPr>
        <w:spacing w:line="203" w:lineRule="exact" w:before="0"/>
        <w:ind w:left="122" w:right="0" w:firstLine="0"/>
        <w:jc w:val="left"/>
        <w:rPr>
          <w:sz w:val="17"/>
        </w:rPr>
      </w:pPr>
      <w:r>
        <w:rPr>
          <w:color w:val="030303"/>
          <w:w w:val="110"/>
          <w:sz w:val="17"/>
        </w:rPr>
        <w:t>Hummel,</w:t>
      </w:r>
      <w:r>
        <w:rPr>
          <w:color w:val="030303"/>
          <w:spacing w:val="-12"/>
          <w:w w:val="110"/>
          <w:sz w:val="17"/>
        </w:rPr>
        <w:t> </w:t>
      </w:r>
      <w:r>
        <w:rPr>
          <w:color w:val="030303"/>
          <w:w w:val="110"/>
          <w:sz w:val="17"/>
        </w:rPr>
        <w:t>T.</w:t>
      </w:r>
      <w:r>
        <w:rPr>
          <w:color w:val="030303"/>
          <w:spacing w:val="-21"/>
          <w:w w:val="110"/>
          <w:sz w:val="17"/>
        </w:rPr>
        <w:t> </w:t>
      </w:r>
      <w:r>
        <w:rPr>
          <w:color w:val="030303"/>
          <w:w w:val="110"/>
          <w:sz w:val="18"/>
        </w:rPr>
        <w:t>J.</w:t>
      </w:r>
      <w:r>
        <w:rPr>
          <w:color w:val="030303"/>
          <w:spacing w:val="-19"/>
          <w:w w:val="110"/>
          <w:sz w:val="18"/>
        </w:rPr>
        <w:t> </w:t>
      </w:r>
      <w:r>
        <w:rPr>
          <w:color w:val="030303"/>
          <w:w w:val="110"/>
          <w:sz w:val="17"/>
        </w:rPr>
        <w:t>and</w:t>
      </w:r>
      <w:r>
        <w:rPr>
          <w:color w:val="030303"/>
          <w:spacing w:val="-17"/>
          <w:w w:val="110"/>
          <w:sz w:val="17"/>
        </w:rPr>
        <w:t> </w:t>
      </w:r>
      <w:r>
        <w:rPr>
          <w:color w:val="030303"/>
          <w:w w:val="110"/>
          <w:sz w:val="17"/>
        </w:rPr>
        <w:t>Stedman,</w:t>
      </w:r>
      <w:r>
        <w:rPr>
          <w:color w:val="030303"/>
          <w:spacing w:val="-17"/>
          <w:w w:val="110"/>
          <w:sz w:val="17"/>
        </w:rPr>
        <w:t> </w:t>
      </w:r>
      <w:r>
        <w:rPr>
          <w:color w:val="030303"/>
          <w:w w:val="110"/>
          <w:sz w:val="19"/>
        </w:rPr>
        <w:t>J.</w:t>
      </w:r>
      <w:r>
        <w:rPr>
          <w:color w:val="030303"/>
          <w:spacing w:val="-24"/>
          <w:w w:val="110"/>
          <w:sz w:val="19"/>
        </w:rPr>
        <w:t> </w:t>
      </w:r>
      <w:r>
        <w:rPr>
          <w:color w:val="030303"/>
          <w:w w:val="110"/>
          <w:sz w:val="17"/>
        </w:rPr>
        <w:t>A.</w:t>
      </w:r>
      <w:r>
        <w:rPr>
          <w:color w:val="030303"/>
          <w:spacing w:val="-4"/>
          <w:w w:val="110"/>
          <w:sz w:val="17"/>
        </w:rPr>
        <w:t> </w:t>
      </w:r>
      <w:r>
        <w:rPr>
          <w:color w:val="030303"/>
          <w:w w:val="110"/>
          <w:sz w:val="17"/>
        </w:rPr>
        <w:t>(1958)</w:t>
      </w:r>
      <w:r>
        <w:rPr>
          <w:color w:val="030303"/>
          <w:spacing w:val="-16"/>
          <w:w w:val="110"/>
          <w:sz w:val="17"/>
        </w:rPr>
        <w:t> </w:t>
      </w:r>
      <w:r>
        <w:rPr>
          <w:color w:val="030303"/>
          <w:w w:val="110"/>
          <w:sz w:val="17"/>
        </w:rPr>
        <w:t>:</w:t>
      </w:r>
      <w:r>
        <w:rPr>
          <w:color w:val="030303"/>
          <w:spacing w:val="-34"/>
          <w:w w:val="110"/>
          <w:sz w:val="17"/>
        </w:rPr>
        <w:t> </w:t>
      </w:r>
      <w:r>
        <w:rPr>
          <w:color w:val="030303"/>
          <w:w w:val="110"/>
          <w:sz w:val="17"/>
        </w:rPr>
        <w:t>Cash</w:t>
      </w:r>
      <w:r>
        <w:rPr>
          <w:color w:val="030303"/>
          <w:spacing w:val="-13"/>
          <w:w w:val="110"/>
          <w:sz w:val="17"/>
        </w:rPr>
        <w:t> </w:t>
      </w:r>
      <w:r>
        <w:rPr>
          <w:color w:val="030303"/>
          <w:w w:val="110"/>
          <w:sz w:val="17"/>
        </w:rPr>
        <w:t>Va.lues</w:t>
      </w:r>
      <w:r>
        <w:rPr>
          <w:color w:val="030303"/>
          <w:spacing w:val="-7"/>
          <w:w w:val="110"/>
          <w:sz w:val="17"/>
        </w:rPr>
        <w:t> </w:t>
      </w:r>
      <w:r>
        <w:rPr>
          <w:color w:val="030303"/>
          <w:w w:val="110"/>
          <w:sz w:val="17"/>
        </w:rPr>
        <w:t>and</w:t>
      </w:r>
      <w:r>
        <w:rPr>
          <w:color w:val="030303"/>
          <w:spacing w:val="-6"/>
          <w:w w:val="110"/>
          <w:sz w:val="17"/>
        </w:rPr>
        <w:t> </w:t>
      </w:r>
      <w:r>
        <w:rPr>
          <w:color w:val="030303"/>
          <w:w w:val="110"/>
          <w:sz w:val="17"/>
        </w:rPr>
        <w:t>Reduced</w:t>
      </w:r>
      <w:r>
        <w:rPr>
          <w:color w:val="030303"/>
          <w:spacing w:val="-1"/>
          <w:w w:val="110"/>
          <w:sz w:val="17"/>
        </w:rPr>
        <w:t> </w:t>
      </w:r>
      <w:r>
        <w:rPr>
          <w:color w:val="030303"/>
          <w:w w:val="110"/>
          <w:sz w:val="17"/>
        </w:rPr>
        <w:t>Paid-up</w:t>
      </w:r>
    </w:p>
    <w:p>
      <w:pPr>
        <w:spacing w:line="194" w:lineRule="exact" w:before="12"/>
        <w:ind w:left="294" w:right="0" w:firstLine="0"/>
        <w:jc w:val="left"/>
        <w:rPr>
          <w:sz w:val="16"/>
        </w:rPr>
      </w:pPr>
      <w:r>
        <w:rPr>
          <w:color w:val="030303"/>
          <w:w w:val="115"/>
          <w:sz w:val="17"/>
        </w:rPr>
        <w:t>Insurance, </w:t>
      </w:r>
      <w:r>
        <w:rPr>
          <w:i/>
          <w:color w:val="030303"/>
          <w:spacing w:val="3"/>
          <w:w w:val="115"/>
          <w:sz w:val="17"/>
        </w:rPr>
        <w:t>TSA </w:t>
      </w:r>
      <w:r>
        <w:rPr>
          <w:color w:val="030303"/>
          <w:spacing w:val="-13"/>
          <w:w w:val="115"/>
          <w:sz w:val="16"/>
        </w:rPr>
        <w:t>10</w:t>
      </w:r>
      <w:r>
        <w:rPr>
          <w:color w:val="1C1C1C"/>
          <w:spacing w:val="-13"/>
          <w:w w:val="115"/>
          <w:sz w:val="16"/>
        </w:rPr>
        <w:t>.</w:t>
      </w:r>
    </w:p>
    <w:p>
      <w:pPr>
        <w:spacing w:line="256" w:lineRule="auto" w:before="0"/>
        <w:ind w:left="276" w:right="0" w:hanging="155"/>
        <w:jc w:val="left"/>
        <w:rPr>
          <w:sz w:val="17"/>
        </w:rPr>
      </w:pPr>
      <w:r>
        <w:rPr>
          <w:color w:val="030303"/>
          <w:w w:val="110"/>
          <w:sz w:val="17"/>
        </w:rPr>
        <w:t>Hunter, A. and Phillips, </w:t>
      </w:r>
      <w:r>
        <w:rPr>
          <w:color w:val="030303"/>
          <w:w w:val="110"/>
          <w:sz w:val="18"/>
        </w:rPr>
        <w:t>J. </w:t>
      </w:r>
      <w:r>
        <w:rPr>
          <w:color w:val="030303"/>
          <w:w w:val="110"/>
          <w:sz w:val="17"/>
        </w:rPr>
        <w:t>T. (1932) : </w:t>
      </w:r>
      <w:r>
        <w:rPr>
          <w:i/>
          <w:color w:val="030303"/>
          <w:w w:val="110"/>
          <w:sz w:val="17"/>
        </w:rPr>
        <w:t>Disabilit y </w:t>
      </w:r>
      <w:r>
        <w:rPr>
          <w:i/>
          <w:color w:val="030303"/>
          <w:w w:val="110"/>
          <w:sz w:val="18"/>
        </w:rPr>
        <w:t>Benefits </w:t>
      </w:r>
      <w:r>
        <w:rPr>
          <w:i/>
          <w:color w:val="030303"/>
          <w:w w:val="110"/>
          <w:sz w:val="17"/>
        </w:rPr>
        <w:t>in Life Insurance </w:t>
      </w:r>
      <w:r>
        <w:rPr>
          <w:i/>
          <w:color w:val="030303"/>
          <w:w w:val="110"/>
          <w:sz w:val="17"/>
        </w:rPr>
        <w:t>Policies , </w:t>
      </w:r>
      <w:r>
        <w:rPr>
          <w:color w:val="030303"/>
          <w:w w:val="110"/>
          <w:sz w:val="17"/>
        </w:rPr>
        <w:t>(Actuaria! Studies No. 5), 2d ed.</w:t>
      </w:r>
    </w:p>
    <w:p>
      <w:pPr>
        <w:spacing w:line="256" w:lineRule="auto" w:before="0"/>
        <w:ind w:left="98" w:right="165" w:firstLine="0"/>
        <w:jc w:val="center"/>
        <w:rPr>
          <w:sz w:val="16"/>
        </w:rPr>
      </w:pPr>
      <w:r>
        <w:rPr>
          <w:color w:val="030303"/>
          <w:w w:val="105"/>
          <w:sz w:val="17"/>
        </w:rPr>
        <w:t>Jenkins, </w:t>
      </w:r>
      <w:r>
        <w:rPr>
          <w:rFonts w:ascii="Arial" w:hAnsi="Arial"/>
          <w:b/>
          <w:color w:val="030303"/>
          <w:w w:val="105"/>
          <w:sz w:val="16"/>
        </w:rPr>
        <w:t>W. A. </w:t>
      </w:r>
      <w:r>
        <w:rPr>
          <w:color w:val="030303"/>
          <w:w w:val="105"/>
          <w:sz w:val="16"/>
        </w:rPr>
        <w:t>(1943): </w:t>
      </w:r>
      <w:r>
        <w:rPr>
          <w:color w:val="030303"/>
          <w:w w:val="105"/>
          <w:sz w:val="17"/>
        </w:rPr>
        <w:t>An Analysis of Self -Selection among Annuitants, including  Comparisons  wíth  Selection  among  Insured  Lives,  </w:t>
      </w:r>
      <w:r>
        <w:rPr>
          <w:i/>
          <w:color w:val="030303"/>
          <w:w w:val="105"/>
          <w:sz w:val="17"/>
        </w:rPr>
        <w:t>TASA </w:t>
      </w:r>
      <w:r>
        <w:rPr>
          <w:color w:val="030303"/>
          <w:w w:val="105"/>
          <w:sz w:val="16"/>
        </w:rPr>
        <w:t>44.</w:t>
      </w:r>
    </w:p>
    <w:p>
      <w:pPr>
        <w:spacing w:line="198" w:lineRule="exact" w:before="0"/>
        <w:ind w:left="114" w:right="0" w:firstLine="0"/>
        <w:jc w:val="left"/>
        <w:rPr>
          <w:sz w:val="16"/>
        </w:rPr>
      </w:pPr>
      <w:r>
        <w:rPr>
          <w:color w:val="030303"/>
          <w:w w:val="110"/>
          <w:sz w:val="17"/>
        </w:rPr>
        <w:t>Jones, </w:t>
      </w:r>
      <w:r>
        <w:rPr>
          <w:color w:val="030303"/>
          <w:w w:val="110"/>
          <w:sz w:val="16"/>
        </w:rPr>
        <w:t>W </w:t>
      </w:r>
      <w:r>
        <w:rPr>
          <w:color w:val="1C1C1C"/>
          <w:w w:val="110"/>
          <w:sz w:val="16"/>
        </w:rPr>
        <w:t>. </w:t>
      </w:r>
      <w:r>
        <w:rPr>
          <w:color w:val="030303"/>
          <w:w w:val="110"/>
          <w:sz w:val="18"/>
        </w:rPr>
        <w:t>R.  </w:t>
      </w:r>
      <w:r>
        <w:rPr>
          <w:color w:val="030303"/>
          <w:w w:val="110"/>
          <w:sz w:val="16"/>
        </w:rPr>
        <w:t>(1930) </w:t>
      </w:r>
      <w:r>
        <w:rPr>
          <w:color w:val="1C1C1C"/>
          <w:w w:val="110"/>
          <w:sz w:val="16"/>
        </w:rPr>
        <w:t>: </w:t>
      </w:r>
      <w:r>
        <w:rPr>
          <w:color w:val="030303"/>
          <w:w w:val="110"/>
          <w:sz w:val="17"/>
        </w:rPr>
        <w:t>Notes  on the Computation  oí Joint-Life  Annuitie </w:t>
      </w:r>
      <w:r>
        <w:rPr>
          <w:color w:val="030303"/>
          <w:w w:val="110"/>
          <w:sz w:val="16"/>
        </w:rPr>
        <w:t>by</w:t>
      </w:r>
    </w:p>
    <w:p>
      <w:pPr>
        <w:spacing w:before="1"/>
        <w:ind w:left="276" w:right="0" w:firstLine="0"/>
        <w:jc w:val="left"/>
        <w:rPr>
          <w:sz w:val="17"/>
        </w:rPr>
      </w:pPr>
      <w:r>
        <w:rPr>
          <w:color w:val="030303"/>
          <w:w w:val="105"/>
          <w:sz w:val="17"/>
        </w:rPr>
        <w:t>the Single-Life Method </w:t>
      </w:r>
      <w:r>
        <w:rPr>
          <w:b/>
          <w:color w:val="030303"/>
          <w:w w:val="105"/>
          <w:sz w:val="17"/>
        </w:rPr>
        <w:t>when Makeham's Law </w:t>
      </w:r>
      <w:r>
        <w:rPr>
          <w:color w:val="030303"/>
          <w:w w:val="105"/>
          <w:sz w:val="17"/>
        </w:rPr>
        <w:t>Holds, </w:t>
      </w:r>
      <w:r>
        <w:rPr>
          <w:b/>
          <w:i/>
          <w:color w:val="030303"/>
          <w:w w:val="105"/>
          <w:sz w:val="18"/>
        </w:rPr>
        <w:t>RAI A  </w:t>
      </w:r>
      <w:r>
        <w:rPr>
          <w:color w:val="030303"/>
          <w:w w:val="105"/>
          <w:sz w:val="17"/>
        </w:rPr>
        <w:t>19.</w:t>
      </w:r>
    </w:p>
    <w:p>
      <w:pPr>
        <w:spacing w:before="14"/>
        <w:ind w:left="114" w:right="0" w:firstLine="0"/>
        <w:jc w:val="left"/>
        <w:rPr>
          <w:sz w:val="17"/>
        </w:rPr>
      </w:pPr>
      <w:r>
        <w:rPr>
          <w:b/>
          <w:color w:val="030303"/>
          <w:w w:val="105"/>
          <w:sz w:val="17"/>
        </w:rPr>
        <w:t>Kineke, F. </w:t>
      </w:r>
      <w:r>
        <w:rPr>
          <w:color w:val="030303"/>
          <w:w w:val="105"/>
          <w:sz w:val="17"/>
        </w:rPr>
        <w:t>D.  (1938): </w:t>
      </w:r>
      <w:r>
        <w:rPr>
          <w:b/>
          <w:color w:val="030303"/>
          <w:w w:val="105"/>
          <w:sz w:val="17"/>
        </w:rPr>
        <w:t>A New  </w:t>
      </w:r>
      <w:r>
        <w:rPr>
          <w:color w:val="030303"/>
          <w:w w:val="105"/>
          <w:sz w:val="17"/>
        </w:rPr>
        <w:t>Annuity  Table, </w:t>
      </w:r>
      <w:r>
        <w:rPr>
          <w:i/>
          <w:color w:val="030303"/>
          <w:w w:val="105"/>
          <w:sz w:val="17"/>
        </w:rPr>
        <w:t>TASA   </w:t>
      </w:r>
      <w:r>
        <w:rPr>
          <w:color w:val="030303"/>
          <w:w w:val="105"/>
          <w:sz w:val="17"/>
        </w:rPr>
        <w:t>39.</w:t>
      </w:r>
    </w:p>
    <w:p>
      <w:pPr>
        <w:spacing w:after="0"/>
        <w:jc w:val="left"/>
        <w:rPr>
          <w:sz w:val="17"/>
        </w:rPr>
        <w:sectPr>
          <w:pgSz w:w="7200" w:h="11340"/>
          <w:pgMar w:top="520" w:bottom="280" w:left="660" w:right="540"/>
        </w:sectPr>
      </w:pPr>
    </w:p>
    <w:p>
      <w:pPr>
        <w:tabs>
          <w:tab w:pos="5868" w:val="right" w:leader="none"/>
        </w:tabs>
        <w:spacing w:before="50"/>
        <w:ind w:left="2389" w:right="0" w:firstLine="0"/>
        <w:jc w:val="left"/>
        <w:rPr>
          <w:rFonts w:ascii="Arial"/>
          <w:sz w:val="20"/>
        </w:rPr>
      </w:pPr>
      <w:r>
        <w:rPr>
          <w:b/>
          <w:position w:val="1"/>
          <w:sz w:val="15"/>
        </w:rPr>
        <w:t>BIBLIOGRAPHY</w:t>
      </w:r>
      <w:r>
        <w:rPr>
          <w:rFonts w:ascii="Arial"/>
          <w:sz w:val="20"/>
        </w:rPr>
        <w:tab/>
        <w:t>377</w:t>
      </w:r>
    </w:p>
    <w:p>
      <w:pPr>
        <w:pStyle w:val="BodyText"/>
        <w:spacing w:before="7"/>
        <w:rPr>
          <w:rFonts w:ascii="Arial"/>
          <w:sz w:val="16"/>
        </w:rPr>
      </w:pPr>
    </w:p>
    <w:p>
      <w:pPr>
        <w:spacing w:line="235" w:lineRule="auto" w:before="1"/>
        <w:ind w:left="283" w:right="0" w:hanging="166"/>
        <w:jc w:val="left"/>
        <w:rPr>
          <w:sz w:val="17"/>
        </w:rPr>
      </w:pPr>
      <w:r>
        <w:rPr>
          <w:w w:val="115"/>
          <w:sz w:val="17"/>
        </w:rPr>
        <w:t>King, G. </w:t>
      </w:r>
      <w:r>
        <w:rPr>
          <w:w w:val="110"/>
          <w:sz w:val="17"/>
        </w:rPr>
        <w:t>(1902) </w:t>
      </w:r>
      <w:r>
        <w:rPr>
          <w:w w:val="115"/>
          <w:sz w:val="17"/>
        </w:rPr>
        <w:t>: </w:t>
      </w:r>
      <w:r>
        <w:rPr>
          <w:i/>
          <w:w w:val="115"/>
          <w:sz w:val="17"/>
        </w:rPr>
        <w:t>lnstitut </w:t>
      </w:r>
      <w:r>
        <w:rPr>
          <w:w w:val="110"/>
          <w:sz w:val="22"/>
        </w:rPr>
        <w:t>of </w:t>
      </w:r>
      <w:r>
        <w:rPr>
          <w:i/>
          <w:w w:val="115"/>
          <w:sz w:val="17"/>
        </w:rPr>
        <w:t>Actuariu' Text </w:t>
      </w:r>
      <w:r>
        <w:rPr>
          <w:i/>
          <w:w w:val="110"/>
          <w:sz w:val="17"/>
        </w:rPr>
        <w:t>Book </w:t>
      </w:r>
      <w:r>
        <w:rPr>
          <w:i/>
          <w:w w:val="115"/>
          <w:sz w:val="17"/>
        </w:rPr>
        <w:t>, </w:t>
      </w:r>
      <w:r>
        <w:rPr>
          <w:i/>
          <w:w w:val="110"/>
          <w:sz w:val="17"/>
        </w:rPr>
        <w:t>Part </w:t>
      </w:r>
      <w:r>
        <w:rPr>
          <w:i/>
          <w:w w:val="115"/>
          <w:sz w:val="17"/>
        </w:rPr>
        <w:t>11, </w:t>
      </w:r>
      <w:r>
        <w:rPr>
          <w:w w:val="115"/>
          <w:sz w:val="17"/>
        </w:rPr>
        <w:t>2d ed., Charles and Edwin Layton, London.</w:t>
      </w:r>
    </w:p>
    <w:p>
      <w:pPr>
        <w:spacing w:line="242" w:lineRule="auto" w:before="3"/>
        <w:ind w:left="283" w:right="241" w:hanging="162"/>
        <w:jc w:val="left"/>
        <w:rPr>
          <w:sz w:val="16"/>
        </w:rPr>
      </w:pPr>
      <w:r>
        <w:rPr>
          <w:w w:val="110"/>
          <w:sz w:val="17"/>
        </w:rPr>
        <w:t>Lever, E. </w:t>
      </w:r>
      <w:r>
        <w:rPr>
          <w:w w:val="110"/>
          <w:sz w:val="16"/>
        </w:rPr>
        <w:t>H. (1920): </w:t>
      </w:r>
      <w:r>
        <w:rPr>
          <w:w w:val="110"/>
          <w:sz w:val="17"/>
        </w:rPr>
        <w:t>On Obtaining Values of Life Annuities at  Isolated  Ratea  of  Interest, </w:t>
      </w:r>
      <w:r>
        <w:rPr>
          <w:i/>
          <w:w w:val="110"/>
          <w:sz w:val="17"/>
        </w:rPr>
        <w:t>J </w:t>
      </w:r>
      <w:r>
        <w:rPr>
          <w:i/>
          <w:spacing w:val="10"/>
          <w:w w:val="110"/>
          <w:sz w:val="17"/>
        </w:rPr>
        <w:t>IA</w:t>
      </w:r>
      <w:r>
        <w:rPr>
          <w:i/>
          <w:spacing w:val="17"/>
          <w:w w:val="110"/>
          <w:sz w:val="17"/>
        </w:rPr>
        <w:t> </w:t>
      </w:r>
      <w:r>
        <w:rPr>
          <w:w w:val="110"/>
          <w:sz w:val="16"/>
        </w:rPr>
        <w:t>52.</w:t>
      </w:r>
    </w:p>
    <w:p>
      <w:pPr>
        <w:spacing w:line="198" w:lineRule="exact" w:before="4"/>
        <w:ind w:left="297" w:right="0" w:hanging="177"/>
        <w:jc w:val="left"/>
        <w:rPr>
          <w:rFonts w:ascii="Arial"/>
          <w:sz w:val="15"/>
        </w:rPr>
      </w:pPr>
      <w:r>
        <w:rPr>
          <w:w w:val="110"/>
          <w:sz w:val="17"/>
        </w:rPr>
        <w:t>Lidstone, G. </w:t>
      </w:r>
      <w:r>
        <w:rPr>
          <w:w w:val="110"/>
          <w:sz w:val="19"/>
        </w:rPr>
        <w:t>J. </w:t>
      </w:r>
      <w:r>
        <w:rPr>
          <w:w w:val="110"/>
          <w:sz w:val="17"/>
        </w:rPr>
        <w:t>(1893): On the Approximate Calculation of the Values of lncreasing Annuities a.nd Insurances, </w:t>
      </w:r>
      <w:r>
        <w:rPr>
          <w:i/>
          <w:w w:val="110"/>
          <w:sz w:val="17"/>
        </w:rPr>
        <w:t>J </w:t>
      </w:r>
      <w:r>
        <w:rPr>
          <w:i/>
          <w:spacing w:val="10"/>
          <w:w w:val="110"/>
          <w:sz w:val="17"/>
        </w:rPr>
        <w:t>IA </w:t>
      </w:r>
      <w:r>
        <w:rPr>
          <w:rFonts w:ascii="Arial"/>
          <w:w w:val="110"/>
          <w:sz w:val="15"/>
        </w:rPr>
        <w:t>31.</w:t>
      </w:r>
    </w:p>
    <w:p>
      <w:pPr>
        <w:spacing w:line="198" w:lineRule="exact" w:before="7"/>
        <w:ind w:left="283" w:right="0" w:hanging="162"/>
        <w:jc w:val="left"/>
        <w:rPr>
          <w:sz w:val="17"/>
        </w:rPr>
      </w:pPr>
      <w:r>
        <w:rPr>
          <w:w w:val="110"/>
          <w:sz w:val="17"/>
        </w:rPr>
        <w:t>Lidstone, </w:t>
      </w:r>
      <w:r>
        <w:rPr>
          <w:w w:val="110"/>
          <w:sz w:val="16"/>
        </w:rPr>
        <w:t>G. </w:t>
      </w:r>
      <w:r>
        <w:rPr>
          <w:w w:val="110"/>
          <w:sz w:val="19"/>
        </w:rPr>
        <w:t>J. </w:t>
      </w:r>
      <w:r>
        <w:rPr>
          <w:w w:val="110"/>
          <w:sz w:val="16"/>
        </w:rPr>
        <w:t>(1905): </w:t>
      </w:r>
      <w:r>
        <w:rPr>
          <w:w w:val="110"/>
          <w:sz w:val="17"/>
        </w:rPr>
        <w:t>Changes in Pure Premium Policy Values Consequent upon Variations in the </w:t>
      </w:r>
      <w:r>
        <w:rPr>
          <w:w w:val="110"/>
          <w:sz w:val="19"/>
        </w:rPr>
        <w:t>Rate </w:t>
      </w:r>
      <w:r>
        <w:rPr>
          <w:w w:val="110"/>
          <w:sz w:val="17"/>
        </w:rPr>
        <w:t>of  Interest  or Rate of Morta.lity, </w:t>
      </w:r>
      <w:r>
        <w:rPr>
          <w:i/>
          <w:w w:val="110"/>
          <w:sz w:val="17"/>
        </w:rPr>
        <w:t>J </w:t>
      </w:r>
      <w:r>
        <w:rPr>
          <w:i/>
          <w:spacing w:val="12"/>
          <w:w w:val="110"/>
          <w:sz w:val="17"/>
        </w:rPr>
        <w:t>IA</w:t>
      </w:r>
      <w:r>
        <w:rPr>
          <w:i/>
          <w:spacing w:val="64"/>
          <w:w w:val="110"/>
          <w:sz w:val="17"/>
        </w:rPr>
        <w:t> </w:t>
      </w:r>
      <w:r>
        <w:rPr>
          <w:spacing w:val="-7"/>
          <w:w w:val="110"/>
          <w:sz w:val="17"/>
        </w:rPr>
        <w:t>39.</w:t>
      </w:r>
    </w:p>
    <w:p>
      <w:pPr>
        <w:spacing w:line="202" w:lineRule="exact" w:before="0"/>
        <w:ind w:left="128" w:right="53" w:firstLine="0"/>
        <w:jc w:val="left"/>
        <w:rPr>
          <w:sz w:val="17"/>
        </w:rPr>
      </w:pPr>
      <w:r>
        <w:rPr>
          <w:w w:val="110"/>
          <w:sz w:val="17"/>
        </w:rPr>
        <w:t>Linton, </w:t>
      </w:r>
      <w:r>
        <w:rPr>
          <w:b/>
          <w:w w:val="110"/>
          <w:sz w:val="18"/>
        </w:rPr>
        <w:t>M. A. </w:t>
      </w:r>
      <w:r>
        <w:rPr>
          <w:w w:val="110"/>
          <w:sz w:val="17"/>
        </w:rPr>
        <w:t>(1919) : Analysis </w:t>
      </w:r>
      <w:r>
        <w:rPr>
          <w:rFonts w:ascii="Arial"/>
          <w:w w:val="110"/>
          <w:sz w:val="17"/>
        </w:rPr>
        <w:t>of </w:t>
      </w:r>
      <w:r>
        <w:rPr>
          <w:w w:val="110"/>
          <w:sz w:val="17"/>
        </w:rPr>
        <w:t>the Endowment Premium, </w:t>
      </w:r>
      <w:r>
        <w:rPr>
          <w:i/>
          <w:w w:val="110"/>
          <w:sz w:val="18"/>
        </w:rPr>
        <w:t>TASA </w:t>
      </w:r>
      <w:r>
        <w:rPr>
          <w:w w:val="110"/>
          <w:sz w:val="17"/>
        </w:rPr>
        <w:t>20. Lotka, A. </w:t>
      </w:r>
      <w:r>
        <w:rPr>
          <w:w w:val="110"/>
          <w:sz w:val="19"/>
        </w:rPr>
        <w:t>J. </w:t>
      </w:r>
      <w:r>
        <w:rPr>
          <w:w w:val="110"/>
          <w:sz w:val="17"/>
        </w:rPr>
        <w:t>(1956) : </w:t>
      </w:r>
      <w:r>
        <w:rPr>
          <w:i/>
          <w:w w:val="110"/>
          <w:sz w:val="17"/>
        </w:rPr>
        <w:t>Elements of Mathematical </w:t>
      </w:r>
      <w:r>
        <w:rPr>
          <w:i/>
          <w:w w:val="110"/>
          <w:sz w:val="18"/>
        </w:rPr>
        <w:t>Biology, </w:t>
      </w:r>
      <w:r>
        <w:rPr>
          <w:w w:val="110"/>
          <w:sz w:val="17"/>
        </w:rPr>
        <w:t>Dover Publications,</w:t>
      </w:r>
    </w:p>
    <w:p>
      <w:pPr>
        <w:spacing w:before="2"/>
        <w:ind w:left="283" w:right="0" w:firstLine="0"/>
        <w:jc w:val="left"/>
        <w:rPr>
          <w:sz w:val="17"/>
        </w:rPr>
      </w:pPr>
      <w:r>
        <w:rPr>
          <w:w w:val="105"/>
          <w:sz w:val="17"/>
        </w:rPr>
        <w:t>New York.</w:t>
      </w:r>
    </w:p>
    <w:p>
      <w:pPr>
        <w:spacing w:line="247" w:lineRule="auto" w:before="9"/>
        <w:ind w:left="283" w:right="0" w:hanging="162"/>
        <w:jc w:val="left"/>
        <w:rPr>
          <w:sz w:val="17"/>
        </w:rPr>
      </w:pPr>
      <w:r>
        <w:rPr>
          <w:w w:val="110"/>
          <w:sz w:val="17"/>
        </w:rPr>
        <w:t>Makeham, W. M. (1860): On the Law of Mortality, and the Construction of Annuity  Tables,  </w:t>
      </w:r>
      <w:r>
        <w:rPr>
          <w:i/>
          <w:w w:val="110"/>
          <w:sz w:val="17"/>
        </w:rPr>
        <w:t>J IA </w:t>
      </w:r>
      <w:r>
        <w:rPr>
          <w:w w:val="110"/>
          <w:sz w:val="17"/>
        </w:rPr>
        <w:t>8.</w:t>
      </w:r>
    </w:p>
    <w:p>
      <w:pPr>
        <w:spacing w:line="192" w:lineRule="exact" w:before="0"/>
        <w:ind w:left="128" w:right="0" w:firstLine="0"/>
        <w:jc w:val="left"/>
        <w:rPr>
          <w:b/>
          <w:sz w:val="17"/>
        </w:rPr>
      </w:pPr>
      <w:r>
        <w:rPr>
          <w:w w:val="110"/>
          <w:sz w:val="17"/>
        </w:rPr>
        <w:t>Makeham, W. M. (1889): On the Further Development of Gompertz 's </w:t>
      </w:r>
      <w:r>
        <w:rPr>
          <w:b/>
          <w:w w:val="110"/>
          <w:sz w:val="17"/>
        </w:rPr>
        <w:t>Law,</w:t>
      </w:r>
    </w:p>
    <w:p>
      <w:pPr>
        <w:spacing w:before="6"/>
        <w:ind w:left="283" w:right="0" w:firstLine="0"/>
        <w:jc w:val="left"/>
        <w:rPr>
          <w:sz w:val="16"/>
        </w:rPr>
      </w:pPr>
      <w:r>
        <w:rPr>
          <w:i/>
          <w:w w:val="110"/>
          <w:sz w:val="17"/>
        </w:rPr>
        <w:t>J IA </w:t>
      </w:r>
      <w:r>
        <w:rPr>
          <w:w w:val="110"/>
          <w:sz w:val="16"/>
        </w:rPr>
        <w:t>28.</w:t>
      </w:r>
    </w:p>
    <w:p>
      <w:pPr>
        <w:spacing w:before="2"/>
        <w:ind w:left="124" w:right="0" w:firstLine="0"/>
        <w:jc w:val="left"/>
        <w:rPr>
          <w:sz w:val="17"/>
        </w:rPr>
      </w:pPr>
      <w:r>
        <w:rPr>
          <w:w w:val="110"/>
          <w:sz w:val="17"/>
        </w:rPr>
        <w:t>Marples, William F. (1962) : Salary Sea.les, </w:t>
      </w:r>
      <w:r>
        <w:rPr>
          <w:i/>
          <w:w w:val="110"/>
          <w:sz w:val="17"/>
        </w:rPr>
        <w:t>TSA </w:t>
      </w:r>
      <w:r>
        <w:rPr>
          <w:w w:val="110"/>
          <w:sz w:val="17"/>
        </w:rPr>
        <w:t>14.</w:t>
      </w:r>
    </w:p>
    <w:p>
      <w:pPr>
        <w:spacing w:line="202" w:lineRule="exact" w:before="3"/>
        <w:ind w:left="294" w:right="163" w:hanging="162"/>
        <w:jc w:val="left"/>
        <w:rPr>
          <w:sz w:val="17"/>
        </w:rPr>
      </w:pPr>
      <w:r>
        <w:rPr>
          <w:w w:val="110"/>
          <w:sz w:val="17"/>
        </w:rPr>
        <w:t>Marshall, E. L. (1933): Payment of Reserve in Addition to Face Amount as  a Death Benefit, </w:t>
      </w:r>
      <w:r>
        <w:rPr>
          <w:i/>
          <w:spacing w:val="6"/>
          <w:w w:val="110"/>
          <w:sz w:val="18"/>
        </w:rPr>
        <w:t>RAIA </w:t>
      </w:r>
      <w:r>
        <w:rPr>
          <w:i/>
          <w:spacing w:val="21"/>
          <w:w w:val="110"/>
          <w:sz w:val="18"/>
        </w:rPr>
        <w:t> </w:t>
      </w:r>
      <w:r>
        <w:rPr>
          <w:w w:val="110"/>
          <w:sz w:val="17"/>
        </w:rPr>
        <w:t>22.</w:t>
      </w:r>
    </w:p>
    <w:p>
      <w:pPr>
        <w:spacing w:line="194" w:lineRule="exact" w:before="0"/>
        <w:ind w:left="128" w:right="0" w:firstLine="0"/>
        <w:jc w:val="left"/>
        <w:rPr>
          <w:sz w:val="17"/>
        </w:rPr>
      </w:pPr>
      <w:r>
        <w:rPr>
          <w:w w:val="105"/>
          <w:sz w:val="17"/>
        </w:rPr>
        <w:t>Menge, W. O.  (1932): Forces  of  Decrement  in  a Multiple-Decrement  Table,</w:t>
      </w:r>
    </w:p>
    <w:p>
      <w:pPr>
        <w:spacing w:before="6"/>
        <w:ind w:left="294" w:right="0" w:firstLine="0"/>
        <w:jc w:val="left"/>
        <w:rPr>
          <w:rFonts w:ascii="Arial"/>
          <w:sz w:val="16"/>
        </w:rPr>
      </w:pPr>
      <w:r>
        <w:rPr>
          <w:i/>
          <w:w w:val="105"/>
          <w:sz w:val="17"/>
        </w:rPr>
        <w:t>RAI A </w:t>
      </w:r>
      <w:r>
        <w:rPr>
          <w:rFonts w:ascii="Arial"/>
          <w:w w:val="105"/>
          <w:sz w:val="16"/>
        </w:rPr>
        <w:t>21.</w:t>
      </w:r>
    </w:p>
    <w:p>
      <w:pPr>
        <w:spacing w:line="192" w:lineRule="exact" w:before="6"/>
        <w:ind w:left="128" w:right="0" w:firstLine="0"/>
        <w:jc w:val="left"/>
        <w:rPr>
          <w:sz w:val="17"/>
        </w:rPr>
      </w:pPr>
      <w:r>
        <w:rPr>
          <w:w w:val="110"/>
          <w:sz w:val="17"/>
        </w:rPr>
        <w:t>Menge, W. O. (1935) </w:t>
      </w:r>
      <w:r>
        <w:rPr>
          <w:w w:val="125"/>
          <w:sz w:val="17"/>
        </w:rPr>
        <w:t>: </w:t>
      </w:r>
      <w:r>
        <w:rPr>
          <w:w w:val="110"/>
          <w:sz w:val="17"/>
        </w:rPr>
        <w:t>lncreasing or Decreasing Annuities and  Assurances,</w:t>
      </w:r>
    </w:p>
    <w:p>
      <w:pPr>
        <w:spacing w:line="201" w:lineRule="exact" w:before="0"/>
        <w:ind w:left="290" w:right="0" w:firstLine="0"/>
        <w:jc w:val="left"/>
        <w:rPr>
          <w:i/>
          <w:sz w:val="18"/>
        </w:rPr>
      </w:pPr>
      <w:r>
        <w:rPr>
          <w:i/>
          <w:w w:val="105"/>
          <w:sz w:val="18"/>
        </w:rPr>
        <w:t>RAI A 24.</w:t>
      </w:r>
    </w:p>
    <w:p>
      <w:pPr>
        <w:spacing w:line="202" w:lineRule="exact" w:before="3"/>
        <w:ind w:left="132" w:right="51" w:firstLine="3"/>
        <w:jc w:val="left"/>
        <w:rPr>
          <w:i/>
          <w:sz w:val="18"/>
        </w:rPr>
      </w:pPr>
      <w:r>
        <w:rPr>
          <w:w w:val="105"/>
          <w:sz w:val="17"/>
        </w:rPr>
        <w:t>Menge, W. O. (1936): Preliminary  Term Valuation  Methods,  </w:t>
      </w:r>
      <w:r>
        <w:rPr>
          <w:i/>
          <w:w w:val="105"/>
          <w:sz w:val="18"/>
        </w:rPr>
        <w:t>RAI A  </w:t>
      </w:r>
      <w:r>
        <w:rPr>
          <w:w w:val="105"/>
          <w:sz w:val="17"/>
        </w:rPr>
        <w:t>25. Menge, W. O. (1946): Commissioners Reserve Valuation Method, </w:t>
      </w:r>
      <w:r>
        <w:rPr>
          <w:i/>
          <w:w w:val="105"/>
          <w:sz w:val="18"/>
        </w:rPr>
        <w:t>RAJ A </w:t>
      </w:r>
      <w:r>
        <w:rPr>
          <w:w w:val="105"/>
          <w:sz w:val="17"/>
        </w:rPr>
        <w:t>35. Menge, W. O. and Fischer, C. H. (1965) : </w:t>
      </w:r>
      <w:r>
        <w:rPr>
          <w:i/>
          <w:w w:val="105"/>
          <w:sz w:val="18"/>
        </w:rPr>
        <w:t>The M athematics o/ Lije lnsurance ,</w:t>
      </w:r>
    </w:p>
    <w:p>
      <w:pPr>
        <w:spacing w:line="188" w:lineRule="exact" w:before="0"/>
        <w:ind w:left="286" w:right="0" w:firstLine="0"/>
        <w:jc w:val="left"/>
        <w:rPr>
          <w:sz w:val="17"/>
        </w:rPr>
      </w:pPr>
      <w:r>
        <w:rPr>
          <w:w w:val="110"/>
          <w:sz w:val="17"/>
        </w:rPr>
        <w:t>Macmillan, New York.</w:t>
      </w:r>
    </w:p>
    <w:p>
      <w:pPr>
        <w:spacing w:line="211" w:lineRule="exact" w:before="0"/>
        <w:ind w:left="128" w:right="0" w:firstLine="0"/>
        <w:jc w:val="left"/>
        <w:rPr>
          <w:i/>
          <w:sz w:val="18"/>
        </w:rPr>
      </w:pPr>
      <w:r>
        <w:rPr>
          <w:w w:val="110"/>
          <w:sz w:val="17"/>
        </w:rPr>
        <w:t>Mereu, </w:t>
      </w:r>
      <w:r>
        <w:rPr>
          <w:w w:val="110"/>
          <w:sz w:val="19"/>
        </w:rPr>
        <w:t>J. </w:t>
      </w:r>
      <w:r>
        <w:rPr>
          <w:w w:val="110"/>
          <w:sz w:val="17"/>
        </w:rPr>
        <w:t>A. (1961) :Sorne Ohservations on Actuaria} Approximations, </w:t>
      </w:r>
      <w:r>
        <w:rPr>
          <w:i/>
          <w:w w:val="110"/>
          <w:sz w:val="18"/>
        </w:rPr>
        <w:t>TSA</w:t>
      </w:r>
    </w:p>
    <w:p>
      <w:pPr>
        <w:spacing w:line="193" w:lineRule="exact" w:before="0"/>
        <w:ind w:left="297" w:right="0" w:firstLine="0"/>
        <w:jc w:val="left"/>
        <w:rPr>
          <w:sz w:val="17"/>
        </w:rPr>
      </w:pPr>
      <w:r>
        <w:rPr>
          <w:sz w:val="17"/>
        </w:rPr>
        <w:t>13.</w:t>
      </w:r>
    </w:p>
    <w:p>
      <w:pPr>
        <w:spacing w:line="203" w:lineRule="exact" w:before="0"/>
        <w:ind w:left="132" w:right="0" w:firstLine="0"/>
        <w:jc w:val="left"/>
        <w:rPr>
          <w:sz w:val="17"/>
        </w:rPr>
      </w:pPr>
      <w:r>
        <w:rPr>
          <w:w w:val="110"/>
          <w:sz w:val="17"/>
        </w:rPr>
        <w:t>Mereu, </w:t>
      </w:r>
      <w:r>
        <w:rPr>
          <w:w w:val="110"/>
          <w:sz w:val="18"/>
        </w:rPr>
        <w:t>J. </w:t>
      </w:r>
      <w:r>
        <w:rPr>
          <w:w w:val="110"/>
          <w:sz w:val="17"/>
        </w:rPr>
        <w:t>A. (1962) :Annuity Values Directly from the Makeham Constants,</w:t>
      </w:r>
    </w:p>
    <w:p>
      <w:pPr>
        <w:spacing w:line="204" w:lineRule="exact" w:before="0"/>
        <w:ind w:left="301" w:right="0" w:firstLine="0"/>
        <w:jc w:val="left"/>
        <w:rPr>
          <w:sz w:val="17"/>
        </w:rPr>
      </w:pPr>
      <w:r>
        <w:rPr>
          <w:i/>
          <w:w w:val="110"/>
          <w:sz w:val="18"/>
        </w:rPr>
        <w:t>TSA </w:t>
      </w:r>
      <w:r>
        <w:rPr>
          <w:w w:val="110"/>
          <w:sz w:val="17"/>
        </w:rPr>
        <w:t>14.</w:t>
      </w:r>
    </w:p>
    <w:p>
      <w:pPr>
        <w:spacing w:before="3"/>
        <w:ind w:left="128" w:right="0" w:firstLine="0"/>
        <w:jc w:val="left"/>
        <w:rPr>
          <w:i/>
          <w:sz w:val="17"/>
        </w:rPr>
      </w:pPr>
      <w:r>
        <w:rPr>
          <w:w w:val="110"/>
          <w:sz w:val="17"/>
        </w:rPr>
        <w:t>Mereu, </w:t>
      </w:r>
      <w:r>
        <w:rPr>
          <w:rFonts w:ascii="Arial"/>
          <w:b/>
          <w:w w:val="110"/>
          <w:sz w:val="17"/>
        </w:rPr>
        <w:t>J. </w:t>
      </w:r>
      <w:r>
        <w:rPr>
          <w:rFonts w:ascii="Arial"/>
          <w:b/>
          <w:w w:val="110"/>
          <w:sz w:val="16"/>
        </w:rPr>
        <w:t>A. </w:t>
      </w:r>
      <w:r>
        <w:rPr>
          <w:w w:val="110"/>
          <w:sz w:val="17"/>
        </w:rPr>
        <w:t>(1963): The Mathematical Forces Operating on Reserves,  </w:t>
      </w:r>
      <w:r>
        <w:rPr>
          <w:i/>
          <w:w w:val="110"/>
          <w:sz w:val="17"/>
        </w:rPr>
        <w:t>TSA</w:t>
      </w:r>
    </w:p>
    <w:p>
      <w:pPr>
        <w:spacing w:line="192" w:lineRule="exact" w:before="6"/>
        <w:ind w:left="297" w:right="0" w:firstLine="0"/>
        <w:jc w:val="left"/>
        <w:rPr>
          <w:sz w:val="17"/>
        </w:rPr>
      </w:pPr>
      <w:r>
        <w:rPr>
          <w:w w:val="105"/>
          <w:sz w:val="17"/>
        </w:rPr>
        <w:t>15.</w:t>
      </w:r>
    </w:p>
    <w:p>
      <w:pPr>
        <w:spacing w:line="199" w:lineRule="exact" w:before="0"/>
        <w:ind w:left="132" w:right="0" w:firstLine="0"/>
        <w:jc w:val="left"/>
        <w:rPr>
          <w:sz w:val="17"/>
        </w:rPr>
      </w:pPr>
      <w:r>
        <w:rPr>
          <w:w w:val="110"/>
          <w:sz w:val="17"/>
        </w:rPr>
        <w:t>Myers,  R. </w:t>
      </w:r>
      <w:r>
        <w:rPr>
          <w:w w:val="110"/>
          <w:sz w:val="18"/>
        </w:rPr>
        <w:t>J. </w:t>
      </w:r>
      <w:r>
        <w:rPr>
          <w:w w:val="110"/>
          <w:sz w:val="17"/>
        </w:rPr>
        <w:t>and  Bayo,  F.  (1964): United  States Life Tables  for 1959-61,</w:t>
      </w:r>
    </w:p>
    <w:p>
      <w:pPr>
        <w:spacing w:line="198" w:lineRule="exact" w:before="0"/>
        <w:ind w:left="301" w:right="0" w:firstLine="0"/>
        <w:jc w:val="left"/>
        <w:rPr>
          <w:sz w:val="17"/>
        </w:rPr>
      </w:pPr>
      <w:r>
        <w:rPr>
          <w:i/>
          <w:w w:val="115"/>
          <w:sz w:val="18"/>
        </w:rPr>
        <w:t>TSA </w:t>
      </w:r>
      <w:r>
        <w:rPr>
          <w:w w:val="115"/>
          <w:sz w:val="17"/>
        </w:rPr>
        <w:t>16.</w:t>
      </w:r>
    </w:p>
    <w:p>
      <w:pPr>
        <w:spacing w:line="194" w:lineRule="exact" w:before="8"/>
        <w:ind w:left="294" w:right="241" w:hanging="162"/>
        <w:jc w:val="left"/>
        <w:rPr>
          <w:sz w:val="17"/>
        </w:rPr>
      </w:pPr>
      <w:r>
        <w:rPr>
          <w:w w:val="110"/>
          <w:sz w:val="17"/>
        </w:rPr>
        <w:t>Nesbitt , C. </w:t>
      </w:r>
      <w:r>
        <w:rPr>
          <w:w w:val="110"/>
          <w:sz w:val="18"/>
        </w:rPr>
        <w:t>J. </w:t>
      </w:r>
      <w:r>
        <w:rPr>
          <w:w w:val="110"/>
          <w:sz w:val="17"/>
        </w:rPr>
        <w:t>and Van Eenam, M. L. (1948) : Rate Functions and Their Role in Actuarial Mathematics, </w:t>
      </w:r>
      <w:r>
        <w:rPr>
          <w:i/>
          <w:w w:val="110"/>
          <w:sz w:val="17"/>
        </w:rPr>
        <w:t>RAJ A</w:t>
      </w:r>
      <w:r>
        <w:rPr>
          <w:i/>
          <w:spacing w:val="42"/>
          <w:w w:val="110"/>
          <w:sz w:val="17"/>
        </w:rPr>
        <w:t> </w:t>
      </w:r>
      <w:r>
        <w:rPr>
          <w:w w:val="110"/>
          <w:sz w:val="17"/>
        </w:rPr>
        <w:t>37.</w:t>
      </w:r>
    </w:p>
    <w:p>
      <w:pPr>
        <w:spacing w:line="194" w:lineRule="exact" w:before="7"/>
        <w:ind w:left="290" w:right="128" w:hanging="162"/>
        <w:jc w:val="left"/>
        <w:rPr>
          <w:sz w:val="17"/>
        </w:rPr>
      </w:pPr>
      <w:r>
        <w:rPr>
          <w:w w:val="110"/>
          <w:sz w:val="17"/>
        </w:rPr>
        <w:t>Nesbitt, C. </w:t>
      </w:r>
      <w:r>
        <w:rPr>
          <w:w w:val="110"/>
          <w:sz w:val="18"/>
        </w:rPr>
        <w:t>J. </w:t>
      </w:r>
      <w:r>
        <w:rPr>
          <w:w w:val="110"/>
          <w:sz w:val="17"/>
        </w:rPr>
        <w:t>and Van Eenam, M. L. (1952) : Insurance for Fa.ce Amount or Paid-up Insurance Amount  if Greater, </w:t>
      </w:r>
      <w:r>
        <w:rPr>
          <w:i/>
          <w:w w:val="110"/>
          <w:sz w:val="18"/>
        </w:rPr>
        <w:t>TSA </w:t>
      </w:r>
      <w:r>
        <w:rPr>
          <w:w w:val="110"/>
          <w:sz w:val="17"/>
        </w:rPr>
        <w:t>4.</w:t>
      </w:r>
    </w:p>
    <w:p>
      <w:pPr>
        <w:spacing w:line="202" w:lineRule="exact" w:before="0"/>
        <w:ind w:left="132" w:right="0" w:firstLine="0"/>
        <w:jc w:val="left"/>
        <w:rPr>
          <w:sz w:val="17"/>
        </w:rPr>
      </w:pPr>
      <w:r>
        <w:rPr>
          <w:w w:val="105"/>
          <w:sz w:val="17"/>
        </w:rPr>
        <w:t>Niessen,  A. M.  (1949) : A  Revised  American  Remarriage Table, </w:t>
      </w:r>
      <w:r>
        <w:rPr>
          <w:i/>
          <w:w w:val="105"/>
          <w:sz w:val="18"/>
        </w:rPr>
        <w:t>RAI A </w:t>
      </w:r>
      <w:r>
        <w:rPr>
          <w:w w:val="105"/>
          <w:sz w:val="17"/>
        </w:rPr>
        <w:t>38.</w:t>
      </w:r>
    </w:p>
    <w:p>
      <w:pPr>
        <w:spacing w:line="247" w:lineRule="auto" w:before="0"/>
        <w:ind w:left="294" w:right="113" w:hanging="159"/>
        <w:jc w:val="left"/>
        <w:rPr>
          <w:sz w:val="17"/>
        </w:rPr>
      </w:pPr>
      <w:r>
        <w:rPr>
          <w:w w:val="110"/>
          <w:sz w:val="17"/>
        </w:rPr>
        <w:t>Niessen, A. M. (1963) : Commutation Functions and Net Single Premiums for Widows' Monthly Benefits, </w:t>
      </w:r>
      <w:r>
        <w:rPr>
          <w:i/>
          <w:w w:val="110"/>
          <w:sz w:val="17"/>
        </w:rPr>
        <w:t>TSA  </w:t>
      </w:r>
      <w:r>
        <w:rPr>
          <w:w w:val="110"/>
          <w:sz w:val="17"/>
        </w:rPr>
        <w:t>15.</w:t>
      </w:r>
    </w:p>
    <w:p>
      <w:pPr>
        <w:spacing w:line="195" w:lineRule="exact" w:before="0"/>
        <w:ind w:left="135" w:right="0" w:firstLine="0"/>
        <w:jc w:val="left"/>
        <w:rPr>
          <w:i/>
          <w:sz w:val="18"/>
        </w:rPr>
      </w:pPr>
      <w:r>
        <w:rPr>
          <w:w w:val="110"/>
          <w:sz w:val="17"/>
        </w:rPr>
        <w:t>Noback, </w:t>
      </w:r>
      <w:r>
        <w:rPr>
          <w:w w:val="110"/>
          <w:sz w:val="18"/>
        </w:rPr>
        <w:t>J. </w:t>
      </w:r>
      <w:r>
        <w:rPr>
          <w:w w:val="110"/>
          <w:sz w:val="17"/>
        </w:rPr>
        <w:t>C. (1950) : The Valuation of Self -lnsured Retirement Plans, </w:t>
      </w:r>
      <w:r>
        <w:rPr>
          <w:i/>
          <w:w w:val="110"/>
          <w:sz w:val="18"/>
        </w:rPr>
        <w:t>TSA</w:t>
      </w:r>
    </w:p>
    <w:p>
      <w:pPr>
        <w:spacing w:line="195" w:lineRule="exact" w:before="7"/>
        <w:ind w:left="290" w:right="0" w:firstLine="0"/>
        <w:jc w:val="left"/>
        <w:rPr>
          <w:sz w:val="17"/>
        </w:rPr>
      </w:pPr>
      <w:r>
        <w:rPr>
          <w:sz w:val="17"/>
        </w:rPr>
        <w:t>2.</w:t>
      </w:r>
    </w:p>
    <w:p>
      <w:pPr>
        <w:spacing w:line="247" w:lineRule="auto" w:before="0"/>
        <w:ind w:left="290" w:right="241" w:hanging="155"/>
        <w:jc w:val="left"/>
        <w:rPr>
          <w:sz w:val="17"/>
        </w:rPr>
      </w:pPr>
      <w:r>
        <w:rPr>
          <w:w w:val="110"/>
          <w:sz w:val="17"/>
        </w:rPr>
        <w:t>Nowlin, P. W. and Greville, T. N. E. (1956): Payment of Reserve in Addi­ tion to Fa.ce Amount,  </w:t>
      </w:r>
      <w:r>
        <w:rPr>
          <w:i/>
          <w:w w:val="110"/>
          <w:sz w:val="17"/>
        </w:rPr>
        <w:t>TSA </w:t>
      </w:r>
      <w:r>
        <w:rPr>
          <w:w w:val="110"/>
          <w:sz w:val="17"/>
        </w:rPr>
        <w:t>8.</w:t>
      </w:r>
    </w:p>
    <w:p>
      <w:pPr>
        <w:spacing w:line="188" w:lineRule="exact" w:before="0"/>
        <w:ind w:left="139" w:right="0" w:firstLine="0"/>
        <w:jc w:val="left"/>
        <w:rPr>
          <w:sz w:val="17"/>
        </w:rPr>
      </w:pPr>
      <w:r>
        <w:rPr>
          <w:w w:val="115"/>
          <w:sz w:val="17"/>
        </w:rPr>
        <w:t>Phillips, </w:t>
      </w:r>
      <w:r>
        <w:rPr>
          <w:w w:val="115"/>
          <w:sz w:val="18"/>
        </w:rPr>
        <w:t>J. </w:t>
      </w:r>
      <w:r>
        <w:rPr>
          <w:w w:val="115"/>
          <w:sz w:val="17"/>
        </w:rPr>
        <w:t>T. (1929) : Sorne Practical Problems in a Disability Investiga­</w:t>
      </w:r>
    </w:p>
    <w:p>
      <w:pPr>
        <w:spacing w:line="204" w:lineRule="exact" w:before="0"/>
        <w:ind w:left="297" w:right="0" w:firstLine="0"/>
        <w:jc w:val="left"/>
        <w:rPr>
          <w:sz w:val="17"/>
        </w:rPr>
      </w:pPr>
      <w:r>
        <w:rPr>
          <w:w w:val="110"/>
          <w:sz w:val="17"/>
        </w:rPr>
        <w:t>tion, </w:t>
      </w:r>
      <w:r>
        <w:rPr>
          <w:i/>
          <w:w w:val="110"/>
          <w:sz w:val="18"/>
        </w:rPr>
        <w:t>TAS A </w:t>
      </w:r>
      <w:r>
        <w:rPr>
          <w:w w:val="110"/>
          <w:sz w:val="17"/>
        </w:rPr>
        <w:t>30.</w:t>
      </w:r>
    </w:p>
    <w:p>
      <w:pPr>
        <w:spacing w:after="0" w:line="204" w:lineRule="exact"/>
        <w:jc w:val="left"/>
        <w:rPr>
          <w:sz w:val="17"/>
        </w:rPr>
        <w:sectPr>
          <w:pgSz w:w="7200" w:h="11340"/>
          <w:pgMar w:top="500" w:bottom="280" w:left="660" w:right="540"/>
        </w:sectPr>
      </w:pPr>
    </w:p>
    <w:p>
      <w:pPr>
        <w:tabs>
          <w:tab w:pos="2400" w:val="left" w:leader="none"/>
        </w:tabs>
        <w:spacing w:before="57"/>
        <w:ind w:left="140" w:right="739" w:firstLine="0"/>
        <w:jc w:val="left"/>
        <w:rPr>
          <w:b/>
          <w:sz w:val="15"/>
        </w:rPr>
      </w:pPr>
      <w:r>
        <w:rPr>
          <w:color w:val="010101"/>
          <w:spacing w:val="-8"/>
          <w:w w:val="105"/>
          <w:sz w:val="20"/>
        </w:rPr>
        <w:t>378</w:t>
        <w:tab/>
      </w:r>
      <w:r>
        <w:rPr>
          <w:b/>
          <w:color w:val="010101"/>
          <w:w w:val="105"/>
          <w:sz w:val="15"/>
        </w:rPr>
        <w:t>BIBLIOGRAPHY</w:t>
      </w:r>
    </w:p>
    <w:p>
      <w:pPr>
        <w:pStyle w:val="BodyText"/>
        <w:spacing w:before="7"/>
        <w:rPr>
          <w:b/>
        </w:rPr>
      </w:pPr>
    </w:p>
    <w:p>
      <w:pPr>
        <w:spacing w:line="198" w:lineRule="exact" w:before="0"/>
        <w:ind w:left="147" w:right="0" w:firstLine="0"/>
        <w:jc w:val="left"/>
        <w:rPr>
          <w:sz w:val="18"/>
        </w:rPr>
      </w:pPr>
      <w:r>
        <w:rPr>
          <w:color w:val="010101"/>
          <w:w w:val="105"/>
          <w:sz w:val="18"/>
        </w:rPr>
        <w:t>Rasor, E. A. and Greville, T. N </w:t>
      </w:r>
      <w:r>
        <w:rPr>
          <w:color w:val="1A1A1A"/>
          <w:w w:val="105"/>
          <w:sz w:val="18"/>
        </w:rPr>
        <w:t>. </w:t>
      </w:r>
      <w:r>
        <w:rPr>
          <w:color w:val="010101"/>
          <w:w w:val="105"/>
          <w:sz w:val="18"/>
        </w:rPr>
        <w:t>E. (1962): Complete Annuities, </w:t>
      </w:r>
      <w:r>
        <w:rPr>
          <w:i/>
          <w:color w:val="010101"/>
          <w:w w:val="105"/>
          <w:sz w:val="18"/>
        </w:rPr>
        <w:t>TSA </w:t>
      </w:r>
      <w:r>
        <w:rPr>
          <w:color w:val="010101"/>
          <w:w w:val="105"/>
          <w:sz w:val="18"/>
        </w:rPr>
        <w:t>4. Rasor, E. A. and Myers, R. J. (1952): Valuation  of  the Shares in a   Share­</w:t>
      </w:r>
    </w:p>
    <w:p>
      <w:pPr>
        <w:spacing w:line="196" w:lineRule="exact" w:before="0"/>
        <w:ind w:left="308" w:right="739" w:firstLine="0"/>
        <w:jc w:val="left"/>
        <w:rPr>
          <w:sz w:val="17"/>
        </w:rPr>
      </w:pPr>
      <w:r>
        <w:rPr>
          <w:color w:val="010101"/>
          <w:sz w:val="18"/>
        </w:rPr>
        <w:t>and-Share-Alike  Last  Survivor  Annuity,  </w:t>
      </w:r>
      <w:r>
        <w:rPr>
          <w:i/>
          <w:color w:val="010101"/>
          <w:sz w:val="18"/>
        </w:rPr>
        <w:t>TSA </w:t>
      </w:r>
      <w:r>
        <w:rPr>
          <w:color w:val="010101"/>
          <w:sz w:val="17"/>
        </w:rPr>
        <w:t>4</w:t>
      </w:r>
      <w:r>
        <w:rPr>
          <w:color w:val="1A1A1A"/>
          <w:sz w:val="17"/>
        </w:rPr>
        <w:t>.</w:t>
      </w:r>
    </w:p>
    <w:p>
      <w:pPr>
        <w:spacing w:line="198" w:lineRule="exact" w:before="0"/>
        <w:ind w:left="143" w:right="0" w:firstLine="0"/>
        <w:jc w:val="left"/>
        <w:rPr>
          <w:sz w:val="18"/>
        </w:rPr>
      </w:pPr>
      <w:r>
        <w:rPr>
          <w:color w:val="010101"/>
          <w:w w:val="105"/>
          <w:sz w:val="18"/>
        </w:rPr>
        <w:t>Sarason, H. M. </w:t>
      </w:r>
      <w:r>
        <w:rPr>
          <w:color w:val="010101"/>
          <w:w w:val="105"/>
          <w:sz w:val="16"/>
        </w:rPr>
        <w:t>(1960) :</w:t>
      </w:r>
      <w:r>
        <w:rPr>
          <w:color w:val="010101"/>
          <w:w w:val="105"/>
          <w:sz w:val="18"/>
        </w:rPr>
        <w:t>A Layman's Explanation of the Expectancy Annuity,</w:t>
      </w:r>
    </w:p>
    <w:p>
      <w:pPr>
        <w:spacing w:line="198" w:lineRule="exact" w:before="0"/>
        <w:ind w:left="312" w:right="739" w:firstLine="0"/>
        <w:jc w:val="left"/>
        <w:rPr>
          <w:sz w:val="17"/>
        </w:rPr>
      </w:pPr>
      <w:r>
        <w:rPr>
          <w:i/>
          <w:color w:val="010101"/>
          <w:w w:val="105"/>
          <w:sz w:val="18"/>
        </w:rPr>
        <w:t>TSA </w:t>
      </w:r>
      <w:r>
        <w:rPr>
          <w:color w:val="010101"/>
          <w:w w:val="105"/>
          <w:sz w:val="17"/>
        </w:rPr>
        <w:t>12.</w:t>
      </w:r>
    </w:p>
    <w:p>
      <w:pPr>
        <w:spacing w:line="200" w:lineRule="exact" w:before="0"/>
        <w:ind w:left="136" w:right="133" w:firstLine="0"/>
        <w:jc w:val="left"/>
        <w:rPr>
          <w:sz w:val="17"/>
        </w:rPr>
      </w:pPr>
      <w:r>
        <w:rPr>
          <w:color w:val="010101"/>
          <w:w w:val="105"/>
          <w:sz w:val="18"/>
        </w:rPr>
        <w:t>Sarnoff , </w:t>
      </w:r>
      <w:r>
        <w:rPr>
          <w:color w:val="010101"/>
          <w:w w:val="105"/>
          <w:sz w:val="17"/>
        </w:rPr>
        <w:t>P. </w:t>
      </w:r>
      <w:r>
        <w:rPr>
          <w:color w:val="010101"/>
          <w:w w:val="105"/>
          <w:sz w:val="18"/>
        </w:rPr>
        <w:t>E. </w:t>
      </w:r>
      <w:r>
        <w:rPr>
          <w:color w:val="010101"/>
          <w:w w:val="105"/>
          <w:sz w:val="17"/>
        </w:rPr>
        <w:t>(1958) : </w:t>
      </w:r>
      <w:r>
        <w:rPr>
          <w:color w:val="010101"/>
          <w:w w:val="105"/>
          <w:sz w:val="18"/>
        </w:rPr>
        <w:t>The Valuation of the Family Policy, </w:t>
      </w:r>
      <w:r>
        <w:rPr>
          <w:i/>
          <w:color w:val="010101"/>
          <w:w w:val="105"/>
          <w:sz w:val="18"/>
        </w:rPr>
        <w:t>TSA   </w:t>
      </w:r>
      <w:r>
        <w:rPr>
          <w:color w:val="010101"/>
          <w:w w:val="105"/>
          <w:sz w:val="17"/>
        </w:rPr>
        <w:t>10.</w:t>
      </w:r>
    </w:p>
    <w:p>
      <w:pPr>
        <w:spacing w:line="198" w:lineRule="exact" w:before="7"/>
        <w:ind w:left="290" w:right="739" w:hanging="151"/>
        <w:jc w:val="left"/>
        <w:rPr>
          <w:sz w:val="18"/>
        </w:rPr>
      </w:pPr>
      <w:r>
        <w:rPr>
          <w:color w:val="010101"/>
          <w:w w:val="105"/>
          <w:sz w:val="18"/>
        </w:rPr>
        <w:t>Smith, </w:t>
      </w:r>
      <w:r>
        <w:rPr>
          <w:color w:val="010101"/>
          <w:w w:val="105"/>
          <w:sz w:val="16"/>
        </w:rPr>
        <w:t>F. </w:t>
      </w:r>
      <w:r>
        <w:rPr>
          <w:color w:val="010101"/>
          <w:w w:val="105"/>
          <w:sz w:val="18"/>
        </w:rPr>
        <w:t>C. </w:t>
      </w:r>
      <w:r>
        <w:rPr>
          <w:color w:val="010101"/>
          <w:w w:val="105"/>
          <w:sz w:val="16"/>
        </w:rPr>
        <w:t>{1948): </w:t>
      </w:r>
      <w:r>
        <w:rPr>
          <w:color w:val="010101"/>
          <w:w w:val="105"/>
          <w:sz w:val="18"/>
        </w:rPr>
        <w:t>The Force of Mortality Function, </w:t>
      </w:r>
      <w:r>
        <w:rPr>
          <w:i/>
          <w:color w:val="010101"/>
          <w:w w:val="105"/>
          <w:sz w:val="17"/>
        </w:rPr>
        <w:t>TM American </w:t>
      </w:r>
      <w:r>
        <w:rPr>
          <w:i/>
          <w:color w:val="010101"/>
          <w:w w:val="105"/>
          <w:sz w:val="17"/>
        </w:rPr>
        <w:t>Jlatltematical M onthl11, </w:t>
      </w:r>
      <w:r>
        <w:rPr>
          <w:color w:val="010101"/>
          <w:w w:val="105"/>
          <w:sz w:val="18"/>
        </w:rPr>
        <w:t>May 1948.</w:t>
      </w:r>
    </w:p>
    <w:p>
      <w:pPr>
        <w:spacing w:line="198" w:lineRule="exact" w:before="0"/>
        <w:ind w:left="297" w:right="133" w:hanging="166"/>
        <w:jc w:val="left"/>
        <w:rPr>
          <w:sz w:val="18"/>
        </w:rPr>
      </w:pPr>
      <w:r>
        <w:rPr>
          <w:color w:val="010101"/>
          <w:w w:val="105"/>
          <w:sz w:val="18"/>
        </w:rPr>
        <w:t>Smith, </w:t>
      </w:r>
      <w:r>
        <w:rPr>
          <w:color w:val="010101"/>
          <w:w w:val="115"/>
          <w:sz w:val="17"/>
        </w:rPr>
        <w:t>F</w:t>
      </w:r>
      <w:r>
        <w:rPr>
          <w:color w:val="1A1A1A"/>
          <w:w w:val="115"/>
          <w:sz w:val="17"/>
        </w:rPr>
        <w:t>. </w:t>
      </w:r>
      <w:r>
        <w:rPr>
          <w:color w:val="010101"/>
          <w:w w:val="105"/>
          <w:sz w:val="18"/>
        </w:rPr>
        <w:t>C. </w:t>
      </w:r>
      <w:r>
        <w:rPr>
          <w:color w:val="010101"/>
          <w:w w:val="105"/>
          <w:sz w:val="17"/>
        </w:rPr>
        <w:t>(1961): </w:t>
      </w:r>
      <w:r>
        <w:rPr>
          <w:color w:val="010101"/>
          <w:w w:val="105"/>
          <w:sz w:val="18"/>
        </w:rPr>
        <w:t>Commi88ioners Reserves and Minimum Cash Values Ueing Continuous  Functions,  </w:t>
      </w:r>
      <w:r>
        <w:rPr>
          <w:i/>
          <w:color w:val="010101"/>
          <w:w w:val="105"/>
          <w:sz w:val="18"/>
        </w:rPr>
        <w:t>TSA </w:t>
      </w:r>
      <w:r>
        <w:rPr>
          <w:color w:val="010101"/>
          <w:w w:val="105"/>
          <w:sz w:val="18"/>
        </w:rPr>
        <w:t>13.</w:t>
      </w:r>
    </w:p>
    <w:p>
      <w:pPr>
        <w:spacing w:line="198" w:lineRule="exact" w:before="0"/>
        <w:ind w:left="132" w:right="123" w:firstLine="0"/>
        <w:jc w:val="left"/>
        <w:rPr>
          <w:sz w:val="18"/>
        </w:rPr>
      </w:pPr>
      <w:r>
        <w:rPr>
          <w:color w:val="010101"/>
          <w:w w:val="105"/>
          <w:sz w:val="18"/>
        </w:rPr>
        <w:t>Smith, </w:t>
      </w:r>
      <w:r>
        <w:rPr>
          <w:color w:val="010101"/>
          <w:w w:val="105"/>
          <w:sz w:val="17"/>
        </w:rPr>
        <w:t>F. </w:t>
      </w:r>
      <w:r>
        <w:rPr>
          <w:color w:val="010101"/>
          <w:w w:val="105"/>
          <w:sz w:val="18"/>
        </w:rPr>
        <w:t>C.  </w:t>
      </w:r>
      <w:r>
        <w:rPr>
          <w:color w:val="010101"/>
          <w:w w:val="105"/>
          <w:sz w:val="17"/>
        </w:rPr>
        <w:t>(1964): </w:t>
      </w:r>
      <w:r>
        <w:rPr>
          <w:color w:val="010101"/>
          <w:w w:val="105"/>
          <w:sz w:val="18"/>
        </w:rPr>
        <w:t>A General  Treatment  of  lnsurance  for Faee Amount</w:t>
      </w:r>
    </w:p>
    <w:p>
      <w:pPr>
        <w:spacing w:line="200" w:lineRule="exact" w:before="0"/>
        <w:ind w:left="290" w:right="739" w:firstLine="0"/>
        <w:jc w:val="left"/>
        <w:rPr>
          <w:sz w:val="17"/>
        </w:rPr>
      </w:pPr>
      <w:r>
        <w:rPr>
          <w:color w:val="010101"/>
          <w:w w:val="105"/>
          <w:sz w:val="17"/>
        </w:rPr>
        <w:t>plus </w:t>
      </w:r>
      <w:r>
        <w:rPr>
          <w:color w:val="010101"/>
          <w:w w:val="105"/>
          <w:sz w:val="18"/>
        </w:rPr>
        <w:t>Reserve or Cash Value, </w:t>
      </w:r>
      <w:r>
        <w:rPr>
          <w:i/>
          <w:color w:val="010101"/>
          <w:w w:val="105"/>
          <w:sz w:val="18"/>
        </w:rPr>
        <w:t>TSA  </w:t>
      </w:r>
      <w:r>
        <w:rPr>
          <w:color w:val="010101"/>
          <w:w w:val="105"/>
          <w:sz w:val="17"/>
        </w:rPr>
        <w:t>16.</w:t>
      </w:r>
    </w:p>
    <w:p>
      <w:pPr>
        <w:spacing w:line="200" w:lineRule="exact" w:before="0"/>
        <w:ind w:left="132" w:right="0" w:firstLine="0"/>
        <w:jc w:val="left"/>
        <w:rPr>
          <w:b/>
          <w:sz w:val="17"/>
        </w:rPr>
      </w:pPr>
      <w:r>
        <w:rPr>
          <w:color w:val="010101"/>
          <w:w w:val="105"/>
          <w:sz w:val="18"/>
        </w:rPr>
        <w:t>Smith, T. C. and Griffin, F. L., Jr. (1952): Work Life Expectancy </w:t>
      </w:r>
      <w:r>
        <w:rPr>
          <w:b/>
          <w:color w:val="010101"/>
          <w:w w:val="105"/>
          <w:sz w:val="17"/>
        </w:rPr>
        <w:t>as a Meas­</w:t>
      </w:r>
    </w:p>
    <w:p>
      <w:pPr>
        <w:spacing w:line="197" w:lineRule="exact" w:before="0"/>
        <w:ind w:left="290" w:right="739" w:firstLine="0"/>
        <w:jc w:val="left"/>
        <w:rPr>
          <w:sz w:val="17"/>
        </w:rPr>
      </w:pPr>
      <w:r>
        <w:rPr>
          <w:color w:val="010101"/>
          <w:w w:val="105"/>
          <w:sz w:val="17"/>
        </w:rPr>
        <w:t>ure of  </w:t>
      </w:r>
      <w:r>
        <w:rPr>
          <w:b/>
          <w:color w:val="010101"/>
          <w:w w:val="105"/>
          <w:sz w:val="17"/>
        </w:rPr>
        <w:t>Damages,  </w:t>
      </w:r>
      <w:r>
        <w:rPr>
          <w:i/>
          <w:color w:val="010101"/>
          <w:w w:val="105"/>
          <w:sz w:val="18"/>
        </w:rPr>
        <w:t>TSA </w:t>
      </w:r>
      <w:r>
        <w:rPr>
          <w:color w:val="010101"/>
          <w:w w:val="105"/>
          <w:sz w:val="17"/>
        </w:rPr>
        <w:t>4.</w:t>
      </w:r>
    </w:p>
    <w:p>
      <w:pPr>
        <w:spacing w:line="202" w:lineRule="exact" w:before="8"/>
        <w:ind w:left="290" w:right="133" w:hanging="162"/>
        <w:jc w:val="left"/>
        <w:rPr>
          <w:sz w:val="18"/>
        </w:rPr>
      </w:pPr>
      <w:r>
        <w:rPr>
          <w:color w:val="010101"/>
          <w:sz w:val="18"/>
        </w:rPr>
        <w:t>Spiegelman, M. </w:t>
      </w:r>
      <w:r>
        <w:rPr>
          <w:color w:val="010101"/>
          <w:sz w:val="16"/>
        </w:rPr>
        <w:t>(1955) : </w:t>
      </w:r>
      <w:r>
        <w:rPr>
          <w:i/>
          <w:color w:val="010101"/>
          <w:sz w:val="17"/>
        </w:rPr>
        <w:t>Introduction </w:t>
      </w:r>
      <w:r>
        <w:rPr>
          <w:i/>
          <w:color w:val="010101"/>
          <w:sz w:val="19"/>
        </w:rPr>
        <w:t>to </w:t>
      </w:r>
      <w:r>
        <w:rPr>
          <w:i/>
          <w:color w:val="010101"/>
          <w:sz w:val="17"/>
        </w:rPr>
        <w:t>Demogra phy, </w:t>
      </w:r>
      <w:r>
        <w:rPr>
          <w:color w:val="010101"/>
          <w:sz w:val="18"/>
        </w:rPr>
        <w:t>Society of Actuaries, Chicago.</w:t>
      </w:r>
    </w:p>
    <w:p>
      <w:pPr>
        <w:spacing w:line="196" w:lineRule="exact" w:before="0"/>
        <w:ind w:left="125" w:right="133" w:firstLine="0"/>
        <w:jc w:val="left"/>
        <w:rPr>
          <w:sz w:val="18"/>
        </w:rPr>
      </w:pPr>
      <w:r>
        <w:rPr>
          <w:color w:val="010101"/>
          <w:w w:val="105"/>
          <w:sz w:val="18"/>
        </w:rPr>
        <w:t>Spurgeon, E. F</w:t>
      </w:r>
      <w:r>
        <w:rPr>
          <w:color w:val="1A1A1A"/>
          <w:w w:val="105"/>
          <w:sz w:val="18"/>
        </w:rPr>
        <w:t>. </w:t>
      </w:r>
      <w:r>
        <w:rPr>
          <w:color w:val="010101"/>
          <w:w w:val="105"/>
          <w:sz w:val="18"/>
        </w:rPr>
        <w:t>(1932): </w:t>
      </w:r>
      <w:r>
        <w:rPr>
          <w:i/>
          <w:color w:val="010101"/>
          <w:w w:val="105"/>
          <w:sz w:val="17"/>
        </w:rPr>
        <w:t>Lije  Contingencies, </w:t>
      </w:r>
      <w:r>
        <w:rPr>
          <w:color w:val="010101"/>
          <w:w w:val="105"/>
          <w:sz w:val="18"/>
        </w:rPr>
        <w:t>3rd ed., Cambridge  University</w:t>
      </w:r>
    </w:p>
    <w:p>
      <w:pPr>
        <w:spacing w:line="186" w:lineRule="exact" w:before="7"/>
        <w:ind w:left="290" w:right="739" w:firstLine="0"/>
        <w:jc w:val="left"/>
        <w:rPr>
          <w:b/>
          <w:sz w:val="17"/>
        </w:rPr>
      </w:pPr>
      <w:r>
        <w:rPr>
          <w:b/>
          <w:color w:val="010101"/>
          <w:w w:val="105"/>
          <w:sz w:val="17"/>
        </w:rPr>
        <w:t>Press.</w:t>
      </w:r>
    </w:p>
    <w:p>
      <w:pPr>
        <w:spacing w:line="202" w:lineRule="exact" w:before="6"/>
        <w:ind w:left="301" w:right="133" w:hanging="173"/>
        <w:jc w:val="left"/>
        <w:rPr>
          <w:sz w:val="18"/>
        </w:rPr>
      </w:pPr>
      <w:r>
        <w:rPr>
          <w:color w:val="010101"/>
          <w:sz w:val="18"/>
        </w:rPr>
        <w:t>Thompeon, </w:t>
      </w:r>
      <w:r>
        <w:rPr>
          <w:color w:val="010101"/>
          <w:sz w:val="19"/>
        </w:rPr>
        <w:t>J. </w:t>
      </w:r>
      <w:r>
        <w:rPr>
          <w:color w:val="010101"/>
          <w:sz w:val="18"/>
        </w:rPr>
        <w:t>S. </w:t>
      </w:r>
      <w:r>
        <w:rPr>
          <w:color w:val="010101"/>
          <w:sz w:val="16"/>
        </w:rPr>
        <w:t>(1934): </w:t>
      </w:r>
      <w:r>
        <w:rPr>
          <w:color w:val="010101"/>
          <w:sz w:val="18"/>
        </w:rPr>
        <w:t>Select and Ultimate Mortality, </w:t>
      </w:r>
      <w:r>
        <w:rPr>
          <w:i/>
          <w:color w:val="010101"/>
          <w:sz w:val="17"/>
        </w:rPr>
        <w:t>Proceedings  </w:t>
      </w:r>
      <w:r>
        <w:rPr>
          <w:i/>
          <w:color w:val="010101"/>
          <w:sz w:val="18"/>
        </w:rPr>
        <w:t>of  the </w:t>
      </w:r>
      <w:r>
        <w:rPr>
          <w:i/>
          <w:color w:val="010101"/>
          <w:sz w:val="18"/>
        </w:rPr>
        <w:t>Tenth Intemational   Congrus of  Actuariu,  </w:t>
      </w:r>
      <w:r>
        <w:rPr>
          <w:color w:val="010101"/>
          <w:sz w:val="18"/>
        </w:rPr>
        <w:t>vol. 2</w:t>
      </w:r>
      <w:r>
        <w:rPr>
          <w:color w:val="1A1A1A"/>
          <w:sz w:val="18"/>
        </w:rPr>
        <w:t>.</w:t>
      </w:r>
    </w:p>
    <w:p>
      <w:pPr>
        <w:spacing w:line="202" w:lineRule="exact" w:before="0"/>
        <w:ind w:left="287" w:right="123" w:hanging="158"/>
        <w:jc w:val="left"/>
        <w:rPr>
          <w:sz w:val="18"/>
        </w:rPr>
      </w:pPr>
      <w:r>
        <w:rPr>
          <w:color w:val="010101"/>
          <w:w w:val="105"/>
          <w:sz w:val="18"/>
        </w:rPr>
        <w:t>Thompson, J. S. (1941): The Commissioners 1941 Standard Ordinary Mor­ tality Table,  </w:t>
      </w:r>
      <w:r>
        <w:rPr>
          <w:i/>
          <w:color w:val="010101"/>
          <w:w w:val="105"/>
          <w:sz w:val="18"/>
        </w:rPr>
        <w:t>TASA  </w:t>
      </w:r>
      <w:r>
        <w:rPr>
          <w:color w:val="010101"/>
          <w:w w:val="105"/>
          <w:sz w:val="18"/>
        </w:rPr>
        <w:t>42.</w:t>
      </w:r>
    </w:p>
    <w:p>
      <w:pPr>
        <w:spacing w:line="192" w:lineRule="exact" w:before="0"/>
        <w:ind w:left="125" w:right="739" w:firstLine="0"/>
        <w:jc w:val="left"/>
        <w:rPr>
          <w:sz w:val="17"/>
        </w:rPr>
      </w:pPr>
      <w:r>
        <w:rPr>
          <w:color w:val="010101"/>
          <w:w w:val="110"/>
          <w:sz w:val="18"/>
        </w:rPr>
        <w:t>Veit, K. P. </w:t>
      </w:r>
      <w:r>
        <w:rPr>
          <w:color w:val="010101"/>
          <w:w w:val="110"/>
          <w:sz w:val="17"/>
        </w:rPr>
        <w:t>(1964): </w:t>
      </w:r>
      <w:r>
        <w:rPr>
          <w:color w:val="010101"/>
          <w:w w:val="110"/>
          <w:sz w:val="18"/>
        </w:rPr>
        <w:t>Stationary Population Methods, </w:t>
      </w:r>
      <w:r>
        <w:rPr>
          <w:i/>
          <w:color w:val="010101"/>
          <w:w w:val="110"/>
          <w:sz w:val="18"/>
        </w:rPr>
        <w:t>TSA </w:t>
      </w:r>
      <w:r>
        <w:rPr>
          <w:color w:val="010101"/>
          <w:w w:val="110"/>
          <w:sz w:val="17"/>
        </w:rPr>
        <w:t>16.</w:t>
      </w:r>
    </w:p>
    <w:p>
      <w:pPr>
        <w:spacing w:line="244" w:lineRule="auto" w:before="0"/>
        <w:ind w:left="290" w:right="133" w:hanging="169"/>
        <w:jc w:val="both"/>
        <w:rPr>
          <w:sz w:val="16"/>
        </w:rPr>
      </w:pPr>
      <w:r>
        <w:rPr>
          <w:color w:val="010101"/>
          <w:w w:val="105"/>
          <w:sz w:val="18"/>
        </w:rPr>
        <w:t>Walker,</w:t>
      </w:r>
      <w:r>
        <w:rPr>
          <w:color w:val="010101"/>
          <w:spacing w:val="-2"/>
          <w:w w:val="105"/>
          <w:sz w:val="18"/>
        </w:rPr>
        <w:t> </w:t>
      </w:r>
      <w:r>
        <w:rPr>
          <w:color w:val="010101"/>
          <w:w w:val="105"/>
          <w:sz w:val="18"/>
        </w:rPr>
        <w:t>C.</w:t>
      </w:r>
      <w:r>
        <w:rPr>
          <w:color w:val="010101"/>
          <w:spacing w:val="-15"/>
          <w:w w:val="105"/>
          <w:sz w:val="18"/>
        </w:rPr>
        <w:t> </w:t>
      </w:r>
      <w:r>
        <w:rPr>
          <w:color w:val="010101"/>
          <w:w w:val="105"/>
          <w:sz w:val="18"/>
        </w:rPr>
        <w:t>N.</w:t>
      </w:r>
      <w:r>
        <w:rPr>
          <w:color w:val="010101"/>
          <w:spacing w:val="-6"/>
          <w:w w:val="105"/>
          <w:sz w:val="18"/>
        </w:rPr>
        <w:t> </w:t>
      </w:r>
      <w:r>
        <w:rPr>
          <w:color w:val="010101"/>
          <w:w w:val="105"/>
          <w:sz w:val="18"/>
        </w:rPr>
        <w:t>and</w:t>
      </w:r>
      <w:r>
        <w:rPr>
          <w:color w:val="010101"/>
          <w:spacing w:val="-8"/>
          <w:w w:val="105"/>
          <w:sz w:val="18"/>
        </w:rPr>
        <w:t> </w:t>
      </w:r>
      <w:r>
        <w:rPr>
          <w:color w:val="010101"/>
          <w:w w:val="105"/>
          <w:sz w:val="18"/>
        </w:rPr>
        <w:t>Lewis,</w:t>
      </w:r>
      <w:r>
        <w:rPr>
          <w:color w:val="010101"/>
          <w:spacing w:val="-15"/>
          <w:w w:val="105"/>
          <w:sz w:val="18"/>
        </w:rPr>
        <w:t> </w:t>
      </w:r>
      <w:r>
        <w:rPr>
          <w:color w:val="010101"/>
          <w:w w:val="105"/>
          <w:sz w:val="18"/>
        </w:rPr>
        <w:t>W.</w:t>
      </w:r>
      <w:r>
        <w:rPr>
          <w:color w:val="010101"/>
          <w:spacing w:val="-12"/>
          <w:w w:val="105"/>
          <w:sz w:val="18"/>
        </w:rPr>
        <w:t> </w:t>
      </w:r>
      <w:r>
        <w:rPr>
          <w:color w:val="010101"/>
          <w:w w:val="105"/>
          <w:sz w:val="18"/>
        </w:rPr>
        <w:t>E.</w:t>
      </w:r>
      <w:r>
        <w:rPr>
          <w:color w:val="010101"/>
          <w:spacing w:val="1"/>
          <w:w w:val="105"/>
          <w:sz w:val="18"/>
        </w:rPr>
        <w:t> </w:t>
      </w:r>
      <w:r>
        <w:rPr>
          <w:color w:val="010101"/>
          <w:w w:val="105"/>
          <w:sz w:val="18"/>
        </w:rPr>
        <w:t>(1949):</w:t>
      </w:r>
      <w:r>
        <w:rPr>
          <w:color w:val="010101"/>
          <w:spacing w:val="-15"/>
          <w:w w:val="105"/>
          <w:sz w:val="18"/>
        </w:rPr>
        <w:t> </w:t>
      </w:r>
      <w:r>
        <w:rPr>
          <w:color w:val="010101"/>
          <w:w w:val="105"/>
          <w:sz w:val="18"/>
        </w:rPr>
        <w:t>A</w:t>
      </w:r>
      <w:r>
        <w:rPr>
          <w:color w:val="010101"/>
          <w:spacing w:val="-8"/>
          <w:w w:val="105"/>
          <w:sz w:val="18"/>
        </w:rPr>
        <w:t> </w:t>
      </w:r>
      <w:r>
        <w:rPr>
          <w:color w:val="010101"/>
          <w:w w:val="105"/>
          <w:sz w:val="18"/>
        </w:rPr>
        <w:t>Valuation</w:t>
      </w:r>
      <w:r>
        <w:rPr>
          <w:color w:val="010101"/>
          <w:spacing w:val="-2"/>
          <w:w w:val="105"/>
          <w:sz w:val="18"/>
        </w:rPr>
        <w:t> </w:t>
      </w:r>
      <w:r>
        <w:rPr>
          <w:color w:val="010101"/>
          <w:w w:val="105"/>
          <w:sz w:val="18"/>
        </w:rPr>
        <w:t>Method</w:t>
      </w:r>
      <w:r>
        <w:rPr>
          <w:color w:val="010101"/>
          <w:spacing w:val="1"/>
          <w:w w:val="105"/>
          <w:sz w:val="18"/>
        </w:rPr>
        <w:t> </w:t>
      </w:r>
      <w:r>
        <w:rPr>
          <w:color w:val="010101"/>
          <w:w w:val="105"/>
          <w:sz w:val="18"/>
        </w:rPr>
        <w:t>for</w:t>
      </w:r>
      <w:r>
        <w:rPr>
          <w:color w:val="010101"/>
          <w:spacing w:val="-4"/>
          <w:w w:val="105"/>
          <w:sz w:val="18"/>
        </w:rPr>
        <w:t> </w:t>
      </w:r>
      <w:r>
        <w:rPr>
          <w:color w:val="010101"/>
          <w:w w:val="105"/>
          <w:sz w:val="18"/>
        </w:rPr>
        <w:t>Retirement lnoome Endowment Policies after Life Contingencies Have Ceased, </w:t>
      </w:r>
      <w:r>
        <w:rPr>
          <w:i/>
          <w:color w:val="010101"/>
          <w:w w:val="105"/>
          <w:sz w:val="18"/>
        </w:rPr>
        <w:t>TSA </w:t>
      </w:r>
      <w:r>
        <w:rPr>
          <w:color w:val="010101"/>
          <w:w w:val="125"/>
          <w:sz w:val="16"/>
        </w:rPr>
        <w:t>l.</w:t>
      </w:r>
    </w:p>
    <w:p>
      <w:pPr>
        <w:spacing w:line="232" w:lineRule="auto" w:before="0"/>
        <w:ind w:left="279" w:right="133" w:hanging="158"/>
        <w:jc w:val="left"/>
        <w:rPr>
          <w:sz w:val="18"/>
        </w:rPr>
      </w:pPr>
      <w:r>
        <w:rPr>
          <w:color w:val="010101"/>
          <w:w w:val="105"/>
          <w:sz w:val="18"/>
        </w:rPr>
        <w:t>Weck, F. A. (1947): The Mortality Rate and Ita Derivation from Actual Experience, </w:t>
      </w:r>
      <w:r>
        <w:rPr>
          <w:i/>
          <w:color w:val="010101"/>
          <w:w w:val="105"/>
          <w:sz w:val="18"/>
        </w:rPr>
        <w:t>RAJ A </w:t>
      </w:r>
      <w:r>
        <w:rPr>
          <w:color w:val="010101"/>
          <w:w w:val="105"/>
          <w:sz w:val="18"/>
        </w:rPr>
        <w:t>36</w:t>
      </w:r>
      <w:r>
        <w:rPr>
          <w:color w:val="1A1A1A"/>
          <w:w w:val="105"/>
          <w:sz w:val="18"/>
        </w:rPr>
        <w:t>.</w:t>
      </w:r>
    </w:p>
    <w:p>
      <w:pPr>
        <w:spacing w:line="232" w:lineRule="auto" w:before="0"/>
        <w:ind w:left="279" w:right="133" w:hanging="158"/>
        <w:jc w:val="left"/>
        <w:rPr>
          <w:sz w:val="18"/>
        </w:rPr>
      </w:pPr>
      <w:r>
        <w:rPr>
          <w:color w:val="010101"/>
          <w:w w:val="105"/>
          <w:sz w:val="18"/>
        </w:rPr>
        <w:t>White, R. P. and Greville, T. N. E. (1959): On Computing the Probability that Exactly k of n lndependent Events Will Occur, </w:t>
      </w:r>
      <w:r>
        <w:rPr>
          <w:i/>
          <w:color w:val="010101"/>
          <w:w w:val="105"/>
          <w:sz w:val="18"/>
        </w:rPr>
        <w:t>TSA  </w:t>
      </w:r>
      <w:r>
        <w:rPr>
          <w:color w:val="010101"/>
          <w:w w:val="105"/>
          <w:sz w:val="18"/>
        </w:rPr>
        <w:t>11.</w:t>
      </w:r>
    </w:p>
    <w:p>
      <w:pPr>
        <w:spacing w:line="194" w:lineRule="exact" w:before="0"/>
        <w:ind w:left="122" w:right="739" w:firstLine="0"/>
        <w:jc w:val="left"/>
        <w:rPr>
          <w:sz w:val="18"/>
        </w:rPr>
      </w:pPr>
      <w:r>
        <w:rPr>
          <w:color w:val="010101"/>
          <w:sz w:val="18"/>
        </w:rPr>
        <w:t>Williamson, W. R.  (1942): Selection, </w:t>
      </w:r>
      <w:r>
        <w:rPr>
          <w:i/>
          <w:color w:val="010101"/>
          <w:sz w:val="18"/>
        </w:rPr>
        <w:t>TASA  </w:t>
      </w:r>
      <w:r>
        <w:rPr>
          <w:color w:val="010101"/>
          <w:sz w:val="18"/>
        </w:rPr>
        <w:t>43.</w:t>
      </w:r>
    </w:p>
    <w:p>
      <w:pPr>
        <w:spacing w:line="201" w:lineRule="exact" w:before="0"/>
        <w:ind w:left="118" w:right="133" w:firstLine="0"/>
        <w:jc w:val="left"/>
        <w:rPr>
          <w:i/>
          <w:sz w:val="17"/>
        </w:rPr>
      </w:pPr>
      <w:r>
        <w:rPr>
          <w:color w:val="010101"/>
          <w:sz w:val="18"/>
        </w:rPr>
        <w:t>Wolfenden,   H.  H.   (1942) </w:t>
      </w:r>
      <w:r>
        <w:rPr>
          <w:color w:val="1A1A1A"/>
          <w:sz w:val="18"/>
        </w:rPr>
        <w:t>:  </w:t>
      </w:r>
      <w:r>
        <w:rPr>
          <w:i/>
          <w:color w:val="010101"/>
          <w:sz w:val="17"/>
        </w:rPr>
        <w:t>The  Fundamental   Principlu   of    M athematical</w:t>
      </w:r>
    </w:p>
    <w:p>
      <w:pPr>
        <w:spacing w:line="201" w:lineRule="exact" w:before="0"/>
        <w:ind w:left="279" w:right="739" w:firstLine="0"/>
        <w:jc w:val="left"/>
        <w:rPr>
          <w:sz w:val="18"/>
        </w:rPr>
      </w:pPr>
      <w:r>
        <w:rPr>
          <w:i/>
          <w:color w:val="010101"/>
          <w:w w:val="105"/>
          <w:sz w:val="18"/>
        </w:rPr>
        <w:t>Statistics, </w:t>
      </w:r>
      <w:r>
        <w:rPr>
          <w:color w:val="010101"/>
          <w:w w:val="105"/>
          <w:sz w:val="18"/>
        </w:rPr>
        <w:t>Macmillan, Toronto.</w:t>
      </w:r>
    </w:p>
    <w:p>
      <w:pPr>
        <w:spacing w:line="202" w:lineRule="exact" w:before="0"/>
        <w:ind w:left="125" w:right="133" w:firstLine="0"/>
        <w:jc w:val="left"/>
        <w:rPr>
          <w:sz w:val="18"/>
        </w:rPr>
      </w:pPr>
      <w:r>
        <w:rPr>
          <w:b/>
          <w:color w:val="010101"/>
          <w:w w:val="105"/>
          <w:sz w:val="17"/>
        </w:rPr>
        <w:t>Zwinggi, </w:t>
      </w:r>
      <w:r>
        <w:rPr>
          <w:color w:val="010101"/>
          <w:w w:val="105"/>
          <w:sz w:val="18"/>
        </w:rPr>
        <w:t>E. (1945): </w:t>
      </w:r>
      <w:r>
        <w:rPr>
          <w:i/>
          <w:color w:val="010101"/>
          <w:w w:val="105"/>
          <w:sz w:val="18"/>
        </w:rPr>
        <w:t>Versicrungsmathematik , </w:t>
      </w:r>
      <w:r>
        <w:rPr>
          <w:b/>
          <w:color w:val="010101"/>
          <w:w w:val="105"/>
          <w:sz w:val="17"/>
        </w:rPr>
        <w:t>Verlag </w:t>
      </w:r>
      <w:r>
        <w:rPr>
          <w:color w:val="010101"/>
          <w:w w:val="105"/>
          <w:sz w:val="18"/>
        </w:rPr>
        <w:t>Birkhauser, Basel.</w:t>
      </w:r>
    </w:p>
    <w:p>
      <w:pPr>
        <w:spacing w:after="0" w:line="202" w:lineRule="exact"/>
        <w:jc w:val="left"/>
        <w:rPr>
          <w:sz w:val="18"/>
        </w:rPr>
        <w:sectPr>
          <w:pgSz w:w="7200" w:h="11340"/>
          <w:pgMar w:top="500" w:bottom="280" w:left="660" w:right="560"/>
        </w:sectPr>
      </w:pPr>
    </w:p>
    <w:p>
      <w:pPr>
        <w:pStyle w:val="BodyText"/>
        <w:spacing w:before="5"/>
        <w:rPr>
          <w:sz w:val="27"/>
        </w:rPr>
      </w:pPr>
    </w:p>
    <w:p>
      <w:pPr>
        <w:spacing w:before="73"/>
        <w:ind w:left="481" w:right="167" w:firstLine="0"/>
        <w:jc w:val="center"/>
        <w:rPr>
          <w:sz w:val="21"/>
        </w:rPr>
      </w:pPr>
      <w:bookmarkStart w:name="Index to Notation" w:id="32"/>
      <w:bookmarkEnd w:id="32"/>
      <w:r>
        <w:rPr/>
      </w:r>
      <w:r>
        <w:rPr>
          <w:w w:val="105"/>
          <w:sz w:val="21"/>
        </w:rPr>
        <w:t>INDEX  TO NOTATION</w:t>
      </w:r>
    </w:p>
    <w:p>
      <w:pPr>
        <w:pStyle w:val="BodyText"/>
        <w:spacing w:before="7"/>
      </w:pPr>
    </w:p>
    <w:p>
      <w:pPr>
        <w:spacing w:before="0"/>
        <w:ind w:left="529" w:right="167" w:firstLine="0"/>
        <w:jc w:val="center"/>
        <w:rPr>
          <w:sz w:val="20"/>
        </w:rPr>
      </w:pPr>
      <w:r>
        <w:rPr>
          <w:sz w:val="21"/>
        </w:rPr>
        <w:t>(The  number  indicates   the  page   upon   which   the  symbol  </w:t>
      </w:r>
      <w:r>
        <w:rPr>
          <w:sz w:val="20"/>
        </w:rPr>
        <w:t>first</w:t>
      </w:r>
    </w:p>
    <w:p>
      <w:pPr>
        <w:spacing w:before="7"/>
        <w:ind w:left="496" w:right="167" w:firstLine="0"/>
        <w:jc w:val="center"/>
        <w:rPr>
          <w:b/>
          <w:sz w:val="21"/>
        </w:rPr>
      </w:pPr>
      <w:r>
        <w:rPr>
          <w:b/>
          <w:sz w:val="21"/>
        </w:rPr>
        <w:t>appears.)</w:t>
      </w:r>
    </w:p>
    <w:p>
      <w:pPr>
        <w:spacing w:before="151"/>
        <w:ind w:left="919" w:right="0" w:firstLine="0"/>
        <w:jc w:val="left"/>
        <w:rPr>
          <w:sz w:val="21"/>
        </w:rPr>
      </w:pPr>
      <w:r>
        <w:rPr>
          <w:w w:val="120"/>
          <w:sz w:val="20"/>
        </w:rPr>
        <w:t>l. </w:t>
      </w:r>
      <w:r>
        <w:rPr>
          <w:w w:val="110"/>
          <w:sz w:val="21"/>
        </w:rPr>
        <w:t>Symbols introduced in Part I, Single-Life Functions</w:t>
      </w:r>
    </w:p>
    <w:p>
      <w:pPr>
        <w:tabs>
          <w:tab w:pos="6286" w:val="right" w:leader="none"/>
        </w:tabs>
        <w:spacing w:line="299" w:lineRule="exact" w:before="55"/>
        <w:ind w:left="3622" w:right="0" w:firstLine="0"/>
        <w:jc w:val="left"/>
        <w:rPr>
          <w:sz w:val="19"/>
        </w:rPr>
      </w:pPr>
      <w:r>
        <w:rPr/>
        <w:pict>
          <v:shape style="position:absolute;margin-left:35.869999pt;margin-top:5.120794pt;width:138.9pt;height:81.75pt;mso-position-horizontal-relative:page;mso-position-vertical-relative:paragraph;z-index:3169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58"/>
                    <w:gridCol w:w="1319"/>
                  </w:tblGrid>
                  <w:tr>
                    <w:trPr>
                      <w:trHeight w:val="261" w:hRule="exact"/>
                    </w:trPr>
                    <w:tc>
                      <w:tcPr>
                        <w:tcW w:w="1458" w:type="dxa"/>
                      </w:tcPr>
                      <w:p>
                        <w:pPr>
                          <w:pStyle w:val="TableParagraph"/>
                          <w:spacing w:line="214" w:lineRule="exact"/>
                          <w:ind w:left="35"/>
                          <w:rPr>
                            <w:rFonts w:ascii="Times New Roman"/>
                            <w:i/>
                            <w:sz w:val="21"/>
                          </w:rPr>
                        </w:pPr>
                        <w:r>
                          <w:rPr>
                            <w:rFonts w:ascii="Times New Roman"/>
                            <w:i/>
                            <w:sz w:val="21"/>
                          </w:rPr>
                          <w:t>Az</w:t>
                        </w:r>
                      </w:p>
                    </w:tc>
                    <w:tc>
                      <w:tcPr>
                        <w:tcW w:w="1319" w:type="dxa"/>
                      </w:tcPr>
                      <w:p>
                        <w:pPr>
                          <w:pStyle w:val="TableParagraph"/>
                          <w:ind w:right="70"/>
                          <w:jc w:val="right"/>
                          <w:rPr>
                            <w:sz w:val="22"/>
                          </w:rPr>
                        </w:pPr>
                        <w:r>
                          <w:rPr>
                            <w:w w:val="85"/>
                            <w:sz w:val="22"/>
                          </w:rPr>
                          <w:t>66</w:t>
                        </w:r>
                      </w:p>
                    </w:tc>
                  </w:tr>
                  <w:tr>
                    <w:trPr>
                      <w:trHeight w:val="256" w:hRule="exact"/>
                    </w:trPr>
                    <w:tc>
                      <w:tcPr>
                        <w:tcW w:w="1458" w:type="dxa"/>
                      </w:tcPr>
                      <w:p>
                        <w:pPr>
                          <w:pStyle w:val="TableParagraph"/>
                          <w:spacing w:line="234" w:lineRule="exact"/>
                          <w:ind w:left="35"/>
                          <w:rPr>
                            <w:rFonts w:ascii="Times New Roman"/>
                            <w:i/>
                            <w:sz w:val="21"/>
                          </w:rPr>
                        </w:pPr>
                        <w:r>
                          <w:rPr>
                            <w:rFonts w:ascii="Times New Roman"/>
                            <w:i/>
                            <w:sz w:val="21"/>
                          </w:rPr>
                          <w:t>Az</w:t>
                        </w:r>
                      </w:p>
                    </w:tc>
                    <w:tc>
                      <w:tcPr>
                        <w:tcW w:w="1319" w:type="dxa"/>
                      </w:tcPr>
                      <w:p>
                        <w:pPr>
                          <w:pStyle w:val="TableParagraph"/>
                          <w:spacing w:before="12"/>
                          <w:ind w:right="46"/>
                          <w:jc w:val="right"/>
                          <w:rPr>
                            <w:sz w:val="22"/>
                          </w:rPr>
                        </w:pPr>
                        <w:r>
                          <w:rPr>
                            <w:w w:val="110"/>
                            <w:sz w:val="22"/>
                          </w:rPr>
                          <w:t>69</w:t>
                        </w:r>
                      </w:p>
                    </w:tc>
                  </w:tr>
                  <w:tr>
                    <w:trPr>
                      <w:trHeight w:val="297" w:hRule="exact"/>
                    </w:trPr>
                    <w:tc>
                      <w:tcPr>
                        <w:tcW w:w="1458" w:type="dxa"/>
                      </w:tcPr>
                      <w:p>
                        <w:pPr>
                          <w:pStyle w:val="TableParagraph"/>
                          <w:spacing w:line="216" w:lineRule="exact"/>
                          <w:ind w:left="35"/>
                          <w:rPr>
                            <w:rFonts w:ascii="Times New Roman"/>
                            <w:i/>
                            <w:sz w:val="21"/>
                          </w:rPr>
                        </w:pPr>
                        <w:r>
                          <w:rPr>
                            <w:rFonts w:ascii="Times New Roman"/>
                            <w:i/>
                            <w:w w:val="85"/>
                            <w:sz w:val="21"/>
                          </w:rPr>
                          <w:t>A!m&gt;</w:t>
                        </w:r>
                      </w:p>
                    </w:tc>
                    <w:tc>
                      <w:tcPr>
                        <w:tcW w:w="1319" w:type="dxa"/>
                      </w:tcPr>
                      <w:p>
                        <w:pPr>
                          <w:pStyle w:val="TableParagraph"/>
                          <w:spacing w:before="43"/>
                          <w:ind w:right="84"/>
                          <w:jc w:val="right"/>
                          <w:rPr>
                            <w:rFonts w:ascii="Times New Roman"/>
                            <w:sz w:val="19"/>
                          </w:rPr>
                        </w:pPr>
                        <w:r>
                          <w:rPr>
                            <w:rFonts w:ascii="Times New Roman"/>
                            <w:w w:val="110"/>
                            <w:sz w:val="19"/>
                          </w:rPr>
                          <w:t>68</w:t>
                        </w:r>
                      </w:p>
                    </w:tc>
                  </w:tr>
                  <w:tr>
                    <w:trPr>
                      <w:trHeight w:val="288" w:hRule="exact"/>
                    </w:trPr>
                    <w:tc>
                      <w:tcPr>
                        <w:tcW w:w="1458" w:type="dxa"/>
                      </w:tcPr>
                      <w:p>
                        <w:pPr>
                          <w:pStyle w:val="TableParagraph"/>
                          <w:spacing w:before="15"/>
                          <w:ind w:left="38"/>
                          <w:rPr>
                            <w:rFonts w:ascii="Times New Roman" w:hAnsi="Times New Roman"/>
                            <w:i/>
                            <w:sz w:val="21"/>
                          </w:rPr>
                        </w:pPr>
                        <w:r>
                          <w:rPr>
                            <w:rFonts w:ascii="Times New Roman" w:hAnsi="Times New Roman"/>
                            <w:i/>
                            <w:w w:val="85"/>
                            <w:sz w:val="21"/>
                          </w:rPr>
                          <w:t>Az:"ñl</w:t>
                        </w:r>
                      </w:p>
                    </w:tc>
                    <w:tc>
                      <w:tcPr>
                        <w:tcW w:w="1319" w:type="dxa"/>
                      </w:tcPr>
                      <w:p>
                        <w:pPr>
                          <w:pStyle w:val="TableParagraph"/>
                          <w:spacing w:before="17"/>
                          <w:ind w:right="40"/>
                          <w:jc w:val="right"/>
                          <w:rPr>
                            <w:sz w:val="22"/>
                          </w:rPr>
                        </w:pPr>
                        <w:r>
                          <w:rPr>
                            <w:w w:val="110"/>
                            <w:sz w:val="22"/>
                          </w:rPr>
                          <w:t>66</w:t>
                        </w:r>
                      </w:p>
                    </w:tc>
                  </w:tr>
                  <w:tr>
                    <w:trPr>
                      <w:trHeight w:val="281" w:hRule="exact"/>
                    </w:trPr>
                    <w:tc>
                      <w:tcPr>
                        <w:tcW w:w="1458" w:type="dxa"/>
                      </w:tcPr>
                      <w:p>
                        <w:pPr>
                          <w:pStyle w:val="TableParagraph"/>
                          <w:spacing w:before="21"/>
                          <w:ind w:left="38"/>
                          <w:rPr>
                            <w:rFonts w:ascii="Times New Roman" w:hAnsi="Times New Roman"/>
                            <w:sz w:val="20"/>
                          </w:rPr>
                        </w:pPr>
                        <w:r>
                          <w:rPr>
                            <w:rFonts w:ascii="Times New Roman" w:hAnsi="Times New Roman"/>
                            <w:sz w:val="20"/>
                          </w:rPr>
                          <w:t>Áz:nl</w:t>
                        </w:r>
                      </w:p>
                    </w:tc>
                    <w:tc>
                      <w:tcPr>
                        <w:tcW w:w="1319" w:type="dxa"/>
                      </w:tcPr>
                      <w:p>
                        <w:pPr>
                          <w:pStyle w:val="TableParagraph"/>
                          <w:spacing w:before="7"/>
                          <w:ind w:right="33"/>
                          <w:jc w:val="right"/>
                          <w:rPr>
                            <w:sz w:val="22"/>
                          </w:rPr>
                        </w:pPr>
                        <w:r>
                          <w:rPr>
                            <w:w w:val="115"/>
                            <w:sz w:val="22"/>
                          </w:rPr>
                          <w:t>69</w:t>
                        </w:r>
                      </w:p>
                    </w:tc>
                  </w:tr>
                  <w:tr>
                    <w:trPr>
                      <w:trHeight w:val="252" w:hRule="exact"/>
                    </w:trPr>
                    <w:tc>
                      <w:tcPr>
                        <w:tcW w:w="1458" w:type="dxa"/>
                      </w:tcPr>
                      <w:p>
                        <w:pPr>
                          <w:pStyle w:val="TableParagraph"/>
                          <w:spacing w:before="18"/>
                          <w:ind w:left="38"/>
                          <w:rPr>
                            <w:rFonts w:ascii="Times New Roman"/>
                            <w:sz w:val="20"/>
                          </w:rPr>
                        </w:pPr>
                        <w:r>
                          <w:rPr>
                            <w:rFonts w:ascii="Times New Roman"/>
                            <w:w w:val="95"/>
                            <w:sz w:val="20"/>
                          </w:rPr>
                          <w:t>A!:nJ</w:t>
                        </w:r>
                      </w:p>
                    </w:tc>
                    <w:tc>
                      <w:tcPr>
                        <w:tcW w:w="1319" w:type="dxa"/>
                      </w:tcPr>
                      <w:p>
                        <w:pPr>
                          <w:pStyle w:val="TableParagraph"/>
                          <w:spacing w:before="10"/>
                          <w:ind w:right="49"/>
                          <w:jc w:val="right"/>
                          <w:rPr>
                            <w:sz w:val="22"/>
                          </w:rPr>
                        </w:pPr>
                        <w:r>
                          <w:rPr>
                            <w:sz w:val="22"/>
                          </w:rPr>
                          <w:t>65</w:t>
                        </w:r>
                      </w:p>
                    </w:tc>
                  </w:tr>
                </w:tbl>
                <w:p>
                  <w:pPr>
                    <w:pStyle w:val="BodyText"/>
                  </w:pPr>
                </w:p>
              </w:txbxContent>
            </v:textbox>
            <w10:wrap type="none"/>
          </v:shape>
        </w:pict>
      </w:r>
      <w:r>
        <w:rPr>
          <w:rFonts w:ascii="Arial"/>
          <w:w w:val="140"/>
          <w:position w:val="-5"/>
          <w:sz w:val="14"/>
        </w:rPr>
        <w:t>"I   </w:t>
      </w:r>
      <w:r>
        <w:rPr>
          <w:rFonts w:ascii="Arial"/>
          <w:w w:val="105"/>
          <w:position w:val="3"/>
          <w:sz w:val="20"/>
        </w:rPr>
        <w:t>-&gt;</w:t>
      </w:r>
      <w:r>
        <w:rPr>
          <w:w w:val="105"/>
          <w:sz w:val="19"/>
        </w:rPr>
        <w:tab/>
        <w:t>46</w:t>
      </w:r>
    </w:p>
    <w:p>
      <w:pPr>
        <w:spacing w:line="112" w:lineRule="exact" w:before="0"/>
        <w:ind w:left="1609" w:right="167" w:firstLine="0"/>
        <w:jc w:val="center"/>
        <w:rPr>
          <w:b/>
          <w:sz w:val="11"/>
        </w:rPr>
      </w:pPr>
      <w:r>
        <w:rPr/>
        <w:pict>
          <v:shape style="position:absolute;margin-left:316.260010pt;margin-top:2.201627pt;width:12.15pt;height:11pt;mso-position-horizontal-relative:page;mso-position-vertical-relative:paragraph;z-index:31648" type="#_x0000_t202" filled="false" stroked="false">
            <v:textbox inset="0,0,0,0">
              <w:txbxContent>
                <w:p>
                  <w:pPr>
                    <w:spacing w:line="220" w:lineRule="exact" w:before="0"/>
                    <w:ind w:left="0" w:right="-14" w:firstLine="0"/>
                    <w:jc w:val="left"/>
                    <w:rPr>
                      <w:rFonts w:ascii="Courier New"/>
                      <w:sz w:val="22"/>
                    </w:rPr>
                  </w:pPr>
                  <w:r>
                    <w:rPr>
                      <w:rFonts w:ascii="Courier New"/>
                      <w:spacing w:val="-27"/>
                      <w:w w:val="110"/>
                      <w:sz w:val="22"/>
                    </w:rPr>
                    <w:t>47</w:t>
                  </w:r>
                </w:p>
              </w:txbxContent>
            </v:textbox>
            <w10:wrap type="none"/>
          </v:shape>
        </w:pict>
      </w:r>
      <w:r>
        <w:rPr>
          <w:b/>
          <w:sz w:val="11"/>
        </w:rPr>
        <w:t>N </w:t>
      </w:r>
      <w:r>
        <w:rPr>
          <w:b/>
          <w:w w:val="110"/>
          <w:sz w:val="11"/>
        </w:rPr>
        <w:t>(tn)</w:t>
      </w:r>
    </w:p>
    <w:p>
      <w:pPr>
        <w:spacing w:after="0" w:line="112" w:lineRule="exact"/>
        <w:jc w:val="center"/>
        <w:rPr>
          <w:sz w:val="11"/>
        </w:rPr>
        <w:sectPr>
          <w:pgSz w:w="7200" w:h="11340"/>
          <w:pgMar w:top="1060" w:bottom="280" w:left="240" w:right="500"/>
        </w:sect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spacing w:before="7"/>
        <w:rPr>
          <w:b/>
          <w:sz w:val="9"/>
        </w:rPr>
      </w:pPr>
    </w:p>
    <w:p>
      <w:pPr>
        <w:spacing w:line="93" w:lineRule="exact" w:before="0"/>
        <w:ind w:left="0" w:right="146" w:firstLine="0"/>
        <w:jc w:val="right"/>
        <w:rPr>
          <w:rFonts w:ascii="Arial"/>
          <w:sz w:val="11"/>
        </w:rPr>
      </w:pPr>
      <w:r>
        <w:rPr>
          <w:rFonts w:ascii="Arial"/>
          <w:w w:val="180"/>
          <w:sz w:val="11"/>
        </w:rPr>
        <w:t>-1</w:t>
      </w:r>
    </w:p>
    <w:p>
      <w:pPr>
        <w:pStyle w:val="BodyText"/>
        <w:spacing w:line="197" w:lineRule="exact"/>
        <w:jc w:val="right"/>
      </w:pPr>
      <w:r>
        <w:rPr>
          <w:w w:val="70"/>
        </w:rPr>
        <w:t>Az:ñ"J</w:t>
      </w:r>
    </w:p>
    <w:p>
      <w:pPr>
        <w:spacing w:line="89" w:lineRule="exact" w:before="12"/>
        <w:ind w:left="0" w:right="58" w:firstLine="0"/>
        <w:jc w:val="right"/>
        <w:rPr>
          <w:sz w:val="11"/>
        </w:rPr>
      </w:pPr>
      <w:r>
        <w:rPr>
          <w:w w:val="156"/>
          <w:sz w:val="11"/>
        </w:rPr>
        <w:t>l</w:t>
      </w:r>
    </w:p>
    <w:p>
      <w:pPr>
        <w:spacing w:line="202" w:lineRule="exact" w:before="0"/>
        <w:ind w:left="1174" w:right="0" w:firstLine="0"/>
        <w:jc w:val="left"/>
        <w:rPr>
          <w:i/>
          <w:sz w:val="21"/>
        </w:rPr>
      </w:pPr>
      <w:r>
        <w:rPr/>
        <w:br w:type="column"/>
      </w:r>
      <w:r>
        <w:rPr>
          <w:i/>
          <w:w w:val="110"/>
          <w:sz w:val="21"/>
        </w:rPr>
        <w:t>"'ªz</w:t>
      </w:r>
    </w:p>
    <w:p>
      <w:pPr>
        <w:tabs>
          <w:tab w:pos="3633" w:val="left" w:leader="none"/>
        </w:tabs>
        <w:spacing w:line="237" w:lineRule="exact" w:before="0"/>
        <w:ind w:left="1178" w:right="0" w:firstLine="0"/>
        <w:jc w:val="left"/>
        <w:rPr>
          <w:rFonts w:ascii="Courier New" w:hAnsi="Courier New"/>
          <w:sz w:val="22"/>
        </w:rPr>
      </w:pPr>
      <w:r>
        <w:rPr>
          <w:rFonts w:ascii="Arial" w:hAnsi="Arial"/>
          <w:spacing w:val="-4"/>
          <w:w w:val="125"/>
          <w:sz w:val="15"/>
        </w:rPr>
        <w:t>nl•ªz</w:t>
      </w:r>
      <w:r>
        <w:rPr>
          <w:rFonts w:ascii="Courier New" w:hAnsi="Courier New"/>
          <w:spacing w:val="-4"/>
          <w:w w:val="125"/>
          <w:position w:val="3"/>
          <w:sz w:val="22"/>
        </w:rPr>
        <w:tab/>
      </w:r>
      <w:r>
        <w:rPr>
          <w:rFonts w:ascii="Courier New" w:hAnsi="Courier New"/>
          <w:spacing w:val="-16"/>
          <w:w w:val="115"/>
          <w:position w:val="3"/>
          <w:sz w:val="22"/>
        </w:rPr>
        <w:t>41</w:t>
      </w:r>
    </w:p>
    <w:p>
      <w:pPr>
        <w:tabs>
          <w:tab w:pos="3633" w:val="left" w:leader="none"/>
        </w:tabs>
        <w:spacing w:before="35"/>
        <w:ind w:left="1178" w:right="0" w:firstLine="0"/>
        <w:jc w:val="left"/>
        <w:rPr>
          <w:rFonts w:ascii="Courier New" w:hAnsi="Courier New"/>
          <w:sz w:val="22"/>
        </w:rPr>
      </w:pPr>
      <w:r>
        <w:rPr>
          <w:w w:val="110"/>
          <w:sz w:val="20"/>
        </w:rPr>
        <w:t>nl•ªz</w:t>
      </w:r>
      <w:r>
        <w:rPr>
          <w:rFonts w:ascii="Courier New" w:hAnsi="Courier New"/>
          <w:w w:val="110"/>
          <w:position w:val="3"/>
          <w:sz w:val="22"/>
        </w:rPr>
        <w:tab/>
      </w:r>
      <w:r>
        <w:rPr>
          <w:rFonts w:ascii="Courier New" w:hAnsi="Courier New"/>
          <w:spacing w:val="-25"/>
          <w:w w:val="110"/>
          <w:position w:val="3"/>
          <w:sz w:val="22"/>
        </w:rPr>
        <w:t>42</w:t>
      </w:r>
    </w:p>
    <w:p>
      <w:pPr>
        <w:tabs>
          <w:tab w:pos="3633" w:val="left" w:leader="none"/>
        </w:tabs>
        <w:spacing w:before="88"/>
        <w:ind w:left="1192" w:right="0" w:firstLine="0"/>
        <w:jc w:val="left"/>
        <w:rPr>
          <w:rFonts w:ascii="Courier New"/>
          <w:sz w:val="23"/>
        </w:rPr>
      </w:pPr>
      <w:r>
        <w:rPr>
          <w:i/>
          <w:w w:val="95"/>
          <w:sz w:val="21"/>
        </w:rPr>
        <w:t>Cz</w:t>
        <w:tab/>
      </w:r>
      <w:r>
        <w:rPr>
          <w:rFonts w:ascii="Courier New"/>
          <w:w w:val="95"/>
          <w:sz w:val="23"/>
        </w:rPr>
        <w:t>GG</w:t>
      </w:r>
    </w:p>
    <w:p>
      <w:pPr>
        <w:tabs>
          <w:tab w:pos="3633" w:val="left" w:leader="none"/>
        </w:tabs>
        <w:spacing w:line="229" w:lineRule="exact" w:before="15"/>
        <w:ind w:left="1196" w:right="0" w:firstLine="0"/>
        <w:jc w:val="left"/>
        <w:rPr>
          <w:rFonts w:ascii="Courier New" w:hAnsi="Courier New"/>
          <w:sz w:val="22"/>
        </w:rPr>
      </w:pPr>
      <w:r>
        <w:rPr>
          <w:i/>
          <w:w w:val="110"/>
          <w:sz w:val="21"/>
        </w:rPr>
        <w:t>éz</w:t>
      </w:r>
      <w:r>
        <w:rPr>
          <w:rFonts w:ascii="Courier New" w:hAnsi="Courier New"/>
          <w:w w:val="110"/>
          <w:position w:val="1"/>
          <w:sz w:val="22"/>
        </w:rPr>
        <w:tab/>
      </w:r>
      <w:r>
        <w:rPr>
          <w:rFonts w:ascii="Courier New" w:hAnsi="Courier New"/>
          <w:spacing w:val="-21"/>
          <w:w w:val="110"/>
          <w:position w:val="1"/>
          <w:sz w:val="22"/>
        </w:rPr>
        <w:t>72</w:t>
      </w:r>
    </w:p>
    <w:p>
      <w:pPr>
        <w:tabs>
          <w:tab w:pos="1207" w:val="left" w:leader="none"/>
          <w:tab w:pos="3554" w:val="left" w:leader="none"/>
        </w:tabs>
        <w:spacing w:line="306" w:lineRule="exact" w:before="0"/>
        <w:ind w:left="516" w:right="0" w:firstLine="0"/>
        <w:jc w:val="left"/>
        <w:rPr>
          <w:rFonts w:ascii="Courier New"/>
          <w:sz w:val="22"/>
        </w:rPr>
      </w:pPr>
      <w:r>
        <w:rPr>
          <w:rFonts w:ascii="Courier New"/>
          <w:spacing w:val="-25"/>
          <w:position w:val="8"/>
          <w:sz w:val="22"/>
        </w:rPr>
        <w:t>69</w:t>
        <w:tab/>
      </w:r>
      <w:r>
        <w:rPr>
          <w:i/>
          <w:spacing w:val="-9"/>
          <w:sz w:val="21"/>
        </w:rPr>
        <w:t>,CV</w:t>
      </w:r>
      <w:r>
        <w:rPr>
          <w:i/>
          <w:spacing w:val="-35"/>
          <w:sz w:val="21"/>
        </w:rPr>
        <w:t> </w:t>
      </w:r>
      <w:r>
        <w:rPr>
          <w:i/>
          <w:sz w:val="21"/>
        </w:rPr>
        <w:t>z</w:t>
      </w:r>
      <w:r>
        <w:rPr>
          <w:rFonts w:ascii="Courier New"/>
          <w:sz w:val="22"/>
        </w:rPr>
        <w:tab/>
      </w:r>
      <w:r>
        <w:rPr>
          <w:rFonts w:ascii="Courier New"/>
          <w:spacing w:val="-8"/>
          <w:sz w:val="22"/>
        </w:rPr>
        <w:t>140</w:t>
      </w:r>
    </w:p>
    <w:p>
      <w:pPr>
        <w:spacing w:after="0" w:line="306" w:lineRule="exact"/>
        <w:jc w:val="left"/>
        <w:rPr>
          <w:rFonts w:ascii="Courier New"/>
          <w:sz w:val="22"/>
        </w:rPr>
        <w:sectPr>
          <w:type w:val="continuous"/>
          <w:pgSz w:w="7200" w:h="11340"/>
          <w:pgMar w:top="1100" w:bottom="0" w:left="240" w:right="500"/>
          <w:cols w:num="2" w:equalWidth="0">
            <w:col w:w="905" w:space="1550"/>
            <w:col w:w="4005"/>
          </w:cols>
        </w:sectPr>
      </w:pPr>
    </w:p>
    <w:p>
      <w:pPr>
        <w:tabs>
          <w:tab w:pos="2974" w:val="left" w:leader="none"/>
          <w:tab w:pos="3647" w:val="left" w:leader="none"/>
        </w:tabs>
        <w:spacing w:line="294" w:lineRule="exact" w:before="0"/>
        <w:ind w:left="512" w:right="0" w:firstLine="0"/>
        <w:jc w:val="left"/>
        <w:rPr>
          <w:i/>
          <w:sz w:val="21"/>
        </w:rPr>
      </w:pPr>
      <w:r>
        <w:rPr>
          <w:sz w:val="20"/>
        </w:rPr>
        <w:t>Az:nl</w:t>
        <w:tab/>
      </w:r>
      <w:r>
        <w:rPr>
          <w:rFonts w:ascii="Courier New"/>
          <w:spacing w:val="-24"/>
          <w:position w:val="1"/>
          <w:sz w:val="22"/>
        </w:rPr>
        <w:t>67</w:t>
        <w:tab/>
      </w:r>
      <w:r>
        <w:rPr>
          <w:i/>
          <w:w w:val="65"/>
          <w:position w:val="-10"/>
          <w:sz w:val="21"/>
        </w:rPr>
        <w:t>Cz</w:t>
      </w:r>
    </w:p>
    <w:p>
      <w:pPr>
        <w:tabs>
          <w:tab w:pos="2974" w:val="left" w:leader="none"/>
        </w:tabs>
        <w:spacing w:line="181" w:lineRule="exact" w:before="0"/>
        <w:ind w:left="512" w:right="0" w:firstLine="0"/>
        <w:jc w:val="left"/>
        <w:rPr>
          <w:rFonts w:ascii="Courier New" w:hAnsi="Courier New"/>
          <w:sz w:val="22"/>
        </w:rPr>
      </w:pPr>
      <w:r>
        <w:rPr>
          <w:w w:val="85"/>
          <w:sz w:val="20"/>
        </w:rPr>
        <w:t>n</w:t>
      </w:r>
      <w:r>
        <w:rPr>
          <w:spacing w:val="-23"/>
          <w:w w:val="85"/>
          <w:sz w:val="20"/>
        </w:rPr>
        <w:t> </w:t>
      </w:r>
      <w:r>
        <w:rPr>
          <w:w w:val="60"/>
          <w:sz w:val="20"/>
        </w:rPr>
        <w:t>l</w:t>
      </w:r>
      <w:r>
        <w:rPr>
          <w:spacing w:val="-17"/>
          <w:w w:val="60"/>
          <w:sz w:val="20"/>
        </w:rPr>
        <w:t> </w:t>
      </w:r>
      <w:r>
        <w:rPr>
          <w:sz w:val="20"/>
        </w:rPr>
        <w:t>Á</w:t>
      </w:r>
      <w:r>
        <w:rPr>
          <w:spacing w:val="-31"/>
          <w:sz w:val="20"/>
        </w:rPr>
        <w:t> </w:t>
      </w:r>
      <w:r>
        <w:rPr>
          <w:w w:val="85"/>
          <w:sz w:val="20"/>
        </w:rPr>
        <w:t>z</w:t>
      </w:r>
      <w:r>
        <w:rPr>
          <w:rFonts w:ascii="Courier New" w:hAnsi="Courier New"/>
          <w:w w:val="85"/>
          <w:position w:val="1"/>
          <w:sz w:val="22"/>
        </w:rPr>
        <w:tab/>
      </w:r>
      <w:r>
        <w:rPr>
          <w:rFonts w:ascii="Courier New" w:hAnsi="Courier New"/>
          <w:spacing w:val="-21"/>
          <w:position w:val="1"/>
          <w:sz w:val="22"/>
        </w:rPr>
        <w:t>66</w:t>
      </w:r>
    </w:p>
    <w:p>
      <w:pPr>
        <w:spacing w:before="90"/>
        <w:ind w:left="512" w:right="-3" w:firstLine="0"/>
        <w:jc w:val="left"/>
        <w:rPr>
          <w:rFonts w:ascii="Courier New"/>
          <w:sz w:val="22"/>
        </w:rPr>
      </w:pPr>
      <w:r>
        <w:rPr/>
        <w:br w:type="column"/>
      </w:r>
      <w:r>
        <w:rPr>
          <w:rFonts w:ascii="Courier New"/>
          <w:w w:val="95"/>
          <w:sz w:val="22"/>
        </w:rPr>
        <w:t>136</w:t>
      </w:r>
    </w:p>
    <w:p>
      <w:pPr>
        <w:spacing w:after="0"/>
        <w:jc w:val="left"/>
        <w:rPr>
          <w:rFonts w:ascii="Courier New"/>
          <w:sz w:val="22"/>
        </w:rPr>
        <w:sectPr>
          <w:type w:val="continuous"/>
          <w:pgSz w:w="7200" w:h="11340"/>
          <w:pgMar w:top="1100" w:bottom="0" w:left="240" w:right="500"/>
          <w:cols w:num="2" w:equalWidth="0">
            <w:col w:w="3797" w:space="1697"/>
            <w:col w:w="966"/>
          </w:cols>
        </w:sectPr>
      </w:pPr>
    </w:p>
    <w:p>
      <w:pPr>
        <w:tabs>
          <w:tab w:pos="2974" w:val="left" w:leader="none"/>
          <w:tab w:pos="3644" w:val="left" w:leader="none"/>
          <w:tab w:pos="6088" w:val="left" w:leader="none"/>
        </w:tabs>
        <w:spacing w:line="255" w:lineRule="exact" w:before="0"/>
        <w:ind w:left="512" w:right="0" w:firstLine="0"/>
        <w:jc w:val="left"/>
        <w:rPr>
          <w:rFonts w:ascii="Courier New" w:hAnsi="Courier New"/>
          <w:sz w:val="22"/>
        </w:rPr>
      </w:pPr>
      <w:r>
        <w:rPr>
          <w:sz w:val="20"/>
        </w:rPr>
        <w:t>nlÁz</w:t>
        <w:tab/>
      </w:r>
      <w:r>
        <w:rPr>
          <w:position w:val="1"/>
          <w:sz w:val="19"/>
        </w:rPr>
        <w:t>72</w:t>
        <w:tab/>
      </w:r>
      <w:r>
        <w:rPr>
          <w:i/>
          <w:position w:val="9"/>
          <w:sz w:val="21"/>
        </w:rPr>
        <w:t>Dz</w:t>
      </w:r>
      <w:r>
        <w:rPr>
          <w:rFonts w:ascii="Courier New" w:hAnsi="Courier New"/>
          <w:position w:val="10"/>
          <w:sz w:val="22"/>
        </w:rPr>
        <w:tab/>
      </w:r>
      <w:r>
        <w:rPr>
          <w:rFonts w:ascii="Courier New" w:hAnsi="Courier New"/>
          <w:spacing w:val="-15"/>
          <w:position w:val="10"/>
          <w:sz w:val="22"/>
        </w:rPr>
        <w:t>37</w:t>
      </w:r>
    </w:p>
    <w:p>
      <w:pPr>
        <w:tabs>
          <w:tab w:pos="6085" w:val="left" w:leader="none"/>
        </w:tabs>
        <w:spacing w:line="204" w:lineRule="exact" w:before="0"/>
        <w:ind w:left="3651" w:right="0" w:firstLine="0"/>
        <w:jc w:val="left"/>
        <w:rPr>
          <w:rFonts w:ascii="Courier New"/>
          <w:sz w:val="22"/>
        </w:rPr>
      </w:pPr>
      <w:r>
        <w:rPr>
          <w:sz w:val="26"/>
        </w:rPr>
        <w:t>Dz</w:t>
      </w:r>
      <w:r>
        <w:rPr>
          <w:rFonts w:ascii="Courier New"/>
          <w:position w:val="1"/>
          <w:sz w:val="22"/>
        </w:rPr>
        <w:tab/>
      </w:r>
      <w:r>
        <w:rPr>
          <w:rFonts w:ascii="Courier New"/>
          <w:spacing w:val="-23"/>
          <w:position w:val="1"/>
          <w:sz w:val="22"/>
        </w:rPr>
        <w:t>49</w:t>
      </w:r>
    </w:p>
    <w:p>
      <w:pPr>
        <w:tabs>
          <w:tab w:pos="2967" w:val="left" w:leader="none"/>
          <w:tab w:pos="3680" w:val="left" w:leader="none"/>
          <w:tab w:pos="6088" w:val="left" w:leader="none"/>
        </w:tabs>
        <w:spacing w:line="279" w:lineRule="exact" w:before="0"/>
        <w:ind w:left="519" w:right="0" w:firstLine="0"/>
        <w:jc w:val="left"/>
        <w:rPr>
          <w:rFonts w:ascii="Courier New" w:hAnsi="Courier New"/>
          <w:sz w:val="22"/>
        </w:rPr>
      </w:pPr>
      <w:r>
        <w:rPr>
          <w:i/>
          <w:position w:val="12"/>
          <w:sz w:val="21"/>
        </w:rPr>
        <w:t>az</w:t>
        <w:tab/>
      </w:r>
      <w:r>
        <w:rPr>
          <w:rFonts w:ascii="Courier New" w:hAnsi="Courier New"/>
          <w:spacing w:val="-17"/>
          <w:position w:val="12"/>
          <w:sz w:val="22"/>
        </w:rPr>
        <w:t>39</w:t>
        <w:tab/>
      </w:r>
      <w:r>
        <w:rPr>
          <w:i/>
          <w:spacing w:val="4"/>
          <w:sz w:val="21"/>
        </w:rPr>
        <w:t>(DA</w:t>
      </w:r>
      <w:r>
        <w:rPr>
          <w:i/>
          <w:spacing w:val="-18"/>
          <w:sz w:val="21"/>
        </w:rPr>
        <w:t> </w:t>
      </w:r>
      <w:r>
        <w:rPr>
          <w:sz w:val="20"/>
        </w:rPr>
        <w:t>)!:ñJ</w:t>
      </w:r>
      <w:r>
        <w:rPr>
          <w:rFonts w:ascii="Courier New" w:hAnsi="Courier New"/>
          <w:position w:val="1"/>
          <w:sz w:val="22"/>
        </w:rPr>
        <w:tab/>
      </w:r>
      <w:r>
        <w:rPr>
          <w:rFonts w:ascii="Courier New" w:hAnsi="Courier New"/>
          <w:spacing w:val="-21"/>
          <w:position w:val="1"/>
          <w:sz w:val="22"/>
        </w:rPr>
        <w:t>73</w:t>
      </w:r>
    </w:p>
    <w:p>
      <w:pPr>
        <w:tabs>
          <w:tab w:pos="2963" w:val="left" w:leader="none"/>
          <w:tab w:pos="3680" w:val="left" w:leader="none"/>
          <w:tab w:pos="6092" w:val="left" w:leader="none"/>
        </w:tabs>
        <w:spacing w:line="252" w:lineRule="exact" w:before="0"/>
        <w:ind w:left="515" w:right="0" w:firstLine="0"/>
        <w:jc w:val="left"/>
        <w:rPr>
          <w:rFonts w:ascii="Courier New"/>
          <w:sz w:val="22"/>
        </w:rPr>
      </w:pPr>
      <w:r>
        <w:rPr>
          <w:i/>
          <w:position w:val="12"/>
          <w:sz w:val="21"/>
        </w:rPr>
        <w:t>az</w:t>
        <w:tab/>
      </w:r>
      <w:r>
        <w:rPr>
          <w:rFonts w:ascii="Courier New"/>
          <w:spacing w:val="-14"/>
          <w:position w:val="13"/>
          <w:sz w:val="22"/>
        </w:rPr>
        <w:t>41</w:t>
        <w:tab/>
      </w:r>
      <w:r>
        <w:rPr>
          <w:sz w:val="20"/>
        </w:rPr>
        <w:t>(Da</w:t>
      </w:r>
      <w:r>
        <w:rPr>
          <w:spacing w:val="-29"/>
          <w:sz w:val="20"/>
        </w:rPr>
        <w:t> </w:t>
      </w:r>
      <w:r>
        <w:rPr>
          <w:sz w:val="20"/>
        </w:rPr>
        <w:t>)z:nl</w:t>
      </w:r>
      <w:r>
        <w:rPr>
          <w:rFonts w:ascii="Courier New"/>
          <w:position w:val="1"/>
          <w:sz w:val="22"/>
        </w:rPr>
        <w:tab/>
      </w:r>
      <w:r>
        <w:rPr>
          <w:rFonts w:ascii="Courier New"/>
          <w:spacing w:val="-20"/>
          <w:position w:val="1"/>
          <w:sz w:val="22"/>
        </w:rPr>
        <w:t>52</w:t>
      </w:r>
    </w:p>
    <w:p>
      <w:pPr>
        <w:tabs>
          <w:tab w:pos="2963" w:val="left" w:leader="none"/>
          <w:tab w:pos="3676" w:val="left" w:leader="none"/>
          <w:tab w:pos="6092" w:val="left" w:leader="none"/>
        </w:tabs>
        <w:spacing w:line="314" w:lineRule="exact" w:before="0"/>
        <w:ind w:left="515" w:right="0" w:firstLine="0"/>
        <w:jc w:val="left"/>
        <w:rPr>
          <w:rFonts w:ascii="Courier New" w:hAnsi="Courier New"/>
          <w:sz w:val="22"/>
        </w:rPr>
      </w:pPr>
      <w:r>
        <w:rPr>
          <w:i/>
          <w:position w:val="13"/>
          <w:sz w:val="26"/>
        </w:rPr>
        <w:t>ax</w:t>
        <w:tab/>
      </w:r>
      <w:r>
        <w:rPr>
          <w:rFonts w:ascii="Courier New" w:hAnsi="Courier New"/>
          <w:spacing w:val="-23"/>
          <w:position w:val="13"/>
          <w:sz w:val="22"/>
        </w:rPr>
        <w:t>48</w:t>
        <w:tab/>
      </w:r>
      <w:r>
        <w:rPr>
          <w:sz w:val="20"/>
        </w:rPr>
        <w:t>(Da)z:"ñJ</w:t>
      </w:r>
      <w:r>
        <w:rPr>
          <w:rFonts w:ascii="Courier New" w:hAnsi="Courier New"/>
          <w:position w:val="1"/>
          <w:sz w:val="22"/>
        </w:rPr>
        <w:tab/>
      </w:r>
      <w:r>
        <w:rPr>
          <w:rFonts w:ascii="Courier New" w:hAnsi="Courier New"/>
          <w:spacing w:val="-14"/>
          <w:position w:val="1"/>
          <w:sz w:val="22"/>
        </w:rPr>
        <w:t>53</w:t>
      </w:r>
    </w:p>
    <w:p>
      <w:pPr>
        <w:tabs>
          <w:tab w:pos="2891" w:val="left" w:leader="none"/>
          <w:tab w:pos="4108" w:val="left" w:leader="none"/>
          <w:tab w:pos="6088" w:val="left" w:leader="none"/>
        </w:tabs>
        <w:spacing w:line="137" w:lineRule="exact" w:before="0"/>
        <w:ind w:left="515" w:right="0" w:firstLine="0"/>
        <w:jc w:val="left"/>
        <w:rPr>
          <w:sz w:val="20"/>
        </w:rPr>
      </w:pPr>
      <w:r>
        <w:rPr>
          <w:rFonts w:ascii="Courier New" w:hAnsi="Courier New"/>
          <w:b/>
          <w:w w:val="77"/>
          <w:sz w:val="19"/>
        </w:rPr>
        <w:t>dz</w:t>
      </w:r>
      <w:r>
        <w:rPr>
          <w:rFonts w:ascii="Courier New" w:hAnsi="Courier New"/>
          <w:b/>
          <w:sz w:val="19"/>
        </w:rPr>
        <w:tab/>
      </w:r>
      <w:r>
        <w:rPr>
          <w:rFonts w:ascii="Courier New" w:hAnsi="Courier New"/>
          <w:spacing w:val="-18"/>
          <w:w w:val="75"/>
          <w:sz w:val="22"/>
        </w:rPr>
        <w:t>1</w:t>
      </w:r>
      <w:r>
        <w:rPr>
          <w:rFonts w:ascii="Courier New" w:hAnsi="Courier New"/>
          <w:w w:val="86"/>
          <w:sz w:val="22"/>
        </w:rPr>
        <w:t>66</w:t>
      </w:r>
      <w:r>
        <w:rPr>
          <w:rFonts w:ascii="Courier New" w:hAnsi="Courier New"/>
          <w:sz w:val="22"/>
        </w:rPr>
        <w:tab/>
      </w:r>
      <w:r>
        <w:rPr>
          <w:rFonts w:ascii="Arial" w:hAnsi="Arial"/>
          <w:w w:val="73"/>
          <w:position w:val="-4"/>
          <w:sz w:val="24"/>
        </w:rPr>
        <w:t>&lt;</w:t>
      </w:r>
      <w:r>
        <w:rPr>
          <w:rFonts w:ascii="Arial" w:hAnsi="Arial"/>
          <w:spacing w:val="3"/>
          <w:w w:val="73"/>
          <w:position w:val="-4"/>
          <w:sz w:val="24"/>
        </w:rPr>
        <w:t>•</w:t>
      </w:r>
      <w:r>
        <w:rPr>
          <w:rFonts w:ascii="Arial" w:hAnsi="Arial"/>
          <w:w w:val="29"/>
          <w:position w:val="-4"/>
          <w:sz w:val="24"/>
        </w:rPr>
        <w:t>&gt;</w:t>
      </w:r>
      <w:r>
        <w:rPr>
          <w:position w:val="-10"/>
          <w:sz w:val="20"/>
        </w:rPr>
        <w:t> </w:t>
        <w:tab/>
      </w:r>
      <w:r>
        <w:rPr>
          <w:w w:val="106"/>
          <w:position w:val="-10"/>
          <w:sz w:val="20"/>
        </w:rPr>
        <w:t>61</w:t>
      </w:r>
    </w:p>
    <w:p>
      <w:pPr>
        <w:spacing w:after="0" w:line="137" w:lineRule="exact"/>
        <w:jc w:val="left"/>
        <w:rPr>
          <w:sz w:val="20"/>
        </w:rPr>
        <w:sectPr>
          <w:type w:val="continuous"/>
          <w:pgSz w:w="7200" w:h="11340"/>
          <w:pgMar w:top="1100" w:bottom="0" w:left="240" w:right="500"/>
        </w:sectPr>
      </w:pPr>
    </w:p>
    <w:p>
      <w:pPr>
        <w:spacing w:before="72"/>
        <w:ind w:left="515" w:right="-19" w:firstLine="0"/>
        <w:jc w:val="left"/>
        <w:rPr>
          <w:rFonts w:ascii="Arial"/>
          <w:b/>
          <w:sz w:val="11"/>
        </w:rPr>
      </w:pPr>
      <w:r>
        <w:rPr>
          <w:i/>
          <w:w w:val="91"/>
          <w:position w:val="-10"/>
          <w:sz w:val="20"/>
        </w:rPr>
        <w:t>a</w:t>
      </w:r>
      <w:r>
        <w:rPr>
          <w:i/>
          <w:spacing w:val="-47"/>
          <w:w w:val="90"/>
          <w:position w:val="-10"/>
          <w:sz w:val="20"/>
        </w:rPr>
        <w:t>z</w:t>
      </w:r>
      <w:r>
        <w:rPr>
          <w:rFonts w:ascii="Arial"/>
          <w:b/>
          <w:w w:val="106"/>
          <w:sz w:val="11"/>
        </w:rPr>
        <w:t>&lt;m</w:t>
      </w:r>
      <w:r>
        <w:rPr>
          <w:rFonts w:ascii="Arial"/>
          <w:b/>
          <w:w w:val="106"/>
          <w:sz w:val="11"/>
        </w:rPr>
        <w:t>)</w:t>
      </w:r>
    </w:p>
    <w:p>
      <w:pPr>
        <w:tabs>
          <w:tab w:pos="1225" w:val="left" w:leader="none"/>
        </w:tabs>
        <w:spacing w:line="336" w:lineRule="exact" w:before="0"/>
        <w:ind w:left="516" w:right="0" w:firstLine="0"/>
        <w:jc w:val="left"/>
        <w:rPr>
          <w:sz w:val="20"/>
        </w:rPr>
      </w:pPr>
      <w:r>
        <w:rPr/>
        <w:br w:type="column"/>
      </w:r>
      <w:r>
        <w:rPr>
          <w:rFonts w:ascii="Courier New"/>
          <w:spacing w:val="-25"/>
          <w:position w:val="-11"/>
          <w:sz w:val="22"/>
        </w:rPr>
        <w:t>45</w:t>
        <w:tab/>
      </w:r>
      <w:r>
        <w:rPr>
          <w:w w:val="95"/>
          <w:sz w:val="20"/>
        </w:rPr>
        <w:t>(Dd</w:t>
      </w:r>
      <w:r>
        <w:rPr>
          <w:spacing w:val="-29"/>
          <w:w w:val="95"/>
          <w:sz w:val="20"/>
        </w:rPr>
        <w:t> </w:t>
      </w:r>
      <w:r>
        <w:rPr>
          <w:w w:val="95"/>
          <w:sz w:val="20"/>
        </w:rPr>
        <w:t>)z:n]</w:t>
      </w:r>
    </w:p>
    <w:p>
      <w:pPr>
        <w:tabs>
          <w:tab w:pos="3730" w:val="left" w:leader="none"/>
        </w:tabs>
        <w:spacing w:line="230" w:lineRule="exact" w:before="0"/>
        <w:ind w:left="1189" w:right="0" w:firstLine="0"/>
        <w:jc w:val="left"/>
        <w:rPr>
          <w:rFonts w:ascii="Arial"/>
          <w:sz w:val="20"/>
        </w:rPr>
      </w:pPr>
      <w:r>
        <w:rPr/>
        <w:pict>
          <v:shape style="position:absolute;margin-left:35.869999pt;margin-top:.831138pt;width:139.1pt;height:142.4pt;mso-position-horizontal-relative:page;mso-position-vertical-relative:paragraph;z-index:3167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05"/>
                    <w:gridCol w:w="1376"/>
                  </w:tblGrid>
                  <w:tr>
                    <w:trPr>
                      <w:trHeight w:val="271" w:hRule="exact"/>
                    </w:trPr>
                    <w:tc>
                      <w:tcPr>
                        <w:tcW w:w="1405" w:type="dxa"/>
                      </w:tcPr>
                      <w:p>
                        <w:pPr>
                          <w:pStyle w:val="TableParagraph"/>
                          <w:spacing w:line="235" w:lineRule="exact"/>
                          <w:ind w:left="42"/>
                          <w:rPr>
                            <w:rFonts w:ascii="Arial"/>
                            <w:i/>
                            <w:sz w:val="23"/>
                          </w:rPr>
                        </w:pPr>
                        <w:r>
                          <w:rPr>
                            <w:rFonts w:ascii="Arial"/>
                            <w:i/>
                            <w:w w:val="85"/>
                            <w:sz w:val="23"/>
                          </w:rPr>
                          <w:t>a;"'&gt;</w:t>
                        </w:r>
                      </w:p>
                    </w:tc>
                    <w:tc>
                      <w:tcPr>
                        <w:tcW w:w="1376" w:type="dxa"/>
                      </w:tcPr>
                      <w:p>
                        <w:pPr>
                          <w:pStyle w:val="TableParagraph"/>
                          <w:spacing w:before="25"/>
                          <w:ind w:right="50"/>
                          <w:jc w:val="right"/>
                          <w:rPr>
                            <w:sz w:val="22"/>
                          </w:rPr>
                        </w:pPr>
                        <w:r>
                          <w:rPr>
                            <w:w w:val="105"/>
                            <w:sz w:val="22"/>
                          </w:rPr>
                          <w:t>47</w:t>
                        </w:r>
                      </w:p>
                    </w:tc>
                  </w:tr>
                  <w:tr>
                    <w:trPr>
                      <w:trHeight w:val="303" w:hRule="exact"/>
                    </w:trPr>
                    <w:tc>
                      <w:tcPr>
                        <w:tcW w:w="1405" w:type="dxa"/>
                      </w:tcPr>
                      <w:p>
                        <w:pPr>
                          <w:pStyle w:val="TableParagraph"/>
                          <w:spacing w:line="250" w:lineRule="exact"/>
                          <w:ind w:left="38"/>
                          <w:rPr>
                            <w:rFonts w:ascii="Arial"/>
                            <w:sz w:val="24"/>
                          </w:rPr>
                        </w:pPr>
                        <w:r>
                          <w:rPr>
                            <w:rFonts w:ascii="Arial"/>
                            <w:w w:val="80"/>
                            <w:sz w:val="24"/>
                          </w:rPr>
                          <w:t>et"'&gt;</w:t>
                        </w:r>
                      </w:p>
                    </w:tc>
                    <w:tc>
                      <w:tcPr>
                        <w:tcW w:w="1376" w:type="dxa"/>
                      </w:tcPr>
                      <w:p>
                        <w:pPr>
                          <w:pStyle w:val="TableParagraph"/>
                          <w:spacing w:before="30"/>
                          <w:ind w:right="43"/>
                          <w:jc w:val="right"/>
                          <w:rPr>
                            <w:sz w:val="22"/>
                          </w:rPr>
                        </w:pPr>
                        <w:r>
                          <w:rPr>
                            <w:w w:val="85"/>
                            <w:sz w:val="22"/>
                          </w:rPr>
                          <w:t>157</w:t>
                        </w:r>
                      </w:p>
                    </w:tc>
                  </w:tr>
                  <w:tr>
                    <w:trPr>
                      <w:trHeight w:val="273" w:hRule="exact"/>
                    </w:trPr>
                    <w:tc>
                      <w:tcPr>
                        <w:tcW w:w="1405" w:type="dxa"/>
                      </w:tcPr>
                      <w:p>
                        <w:pPr>
                          <w:pStyle w:val="TableParagraph"/>
                          <w:spacing w:before="15"/>
                          <w:ind w:left="35"/>
                          <w:rPr>
                            <w:rFonts w:ascii="Times New Roman" w:hAnsi="Times New Roman"/>
                            <w:sz w:val="20"/>
                          </w:rPr>
                        </w:pPr>
                        <w:r>
                          <w:rPr>
                            <w:rFonts w:ascii="Times New Roman" w:hAnsi="Times New Roman"/>
                            <w:w w:val="95"/>
                            <w:sz w:val="20"/>
                          </w:rPr>
                          <w:t>az:ñJ</w:t>
                        </w:r>
                      </w:p>
                    </w:tc>
                    <w:tc>
                      <w:tcPr>
                        <w:tcW w:w="1376" w:type="dxa"/>
                      </w:tcPr>
                      <w:p>
                        <w:pPr>
                          <w:pStyle w:val="TableParagraph"/>
                          <w:spacing w:before="5"/>
                          <w:ind w:right="81"/>
                          <w:jc w:val="right"/>
                          <w:rPr>
                            <w:rFonts w:ascii="Times New Roman"/>
                            <w:sz w:val="20"/>
                          </w:rPr>
                        </w:pPr>
                        <w:r>
                          <w:rPr>
                            <w:rFonts w:ascii="Times New Roman"/>
                            <w:sz w:val="20"/>
                          </w:rPr>
                          <w:t>40</w:t>
                        </w:r>
                      </w:p>
                    </w:tc>
                  </w:tr>
                  <w:tr>
                    <w:trPr>
                      <w:trHeight w:val="284" w:hRule="exact"/>
                    </w:trPr>
                    <w:tc>
                      <w:tcPr>
                        <w:tcW w:w="1405" w:type="dxa"/>
                      </w:tcPr>
                      <w:p>
                        <w:pPr>
                          <w:pStyle w:val="TableParagraph"/>
                          <w:spacing w:before="24"/>
                          <w:ind w:left="35"/>
                          <w:rPr>
                            <w:rFonts w:ascii="Times New Roman" w:hAnsi="Times New Roman"/>
                            <w:sz w:val="20"/>
                          </w:rPr>
                        </w:pPr>
                        <w:r>
                          <w:rPr>
                            <w:rFonts w:ascii="Times New Roman" w:hAnsi="Times New Roman"/>
                            <w:w w:val="90"/>
                            <w:sz w:val="20"/>
                          </w:rPr>
                          <w:t>llz:ñJ</w:t>
                        </w:r>
                      </w:p>
                    </w:tc>
                    <w:tc>
                      <w:tcPr>
                        <w:tcW w:w="1376" w:type="dxa"/>
                      </w:tcPr>
                      <w:p>
                        <w:pPr>
                          <w:pStyle w:val="TableParagraph"/>
                          <w:spacing w:before="9"/>
                          <w:ind w:right="44"/>
                          <w:jc w:val="right"/>
                          <w:rPr>
                            <w:sz w:val="22"/>
                          </w:rPr>
                        </w:pPr>
                        <w:r>
                          <w:rPr>
                            <w:w w:val="110"/>
                            <w:sz w:val="22"/>
                          </w:rPr>
                          <w:t>42</w:t>
                        </w:r>
                      </w:p>
                    </w:tc>
                  </w:tr>
                  <w:tr>
                    <w:trPr>
                      <w:trHeight w:val="236" w:hRule="exact"/>
                    </w:trPr>
                    <w:tc>
                      <w:tcPr>
                        <w:tcW w:w="1405" w:type="dxa"/>
                      </w:tcPr>
                      <w:p>
                        <w:pPr>
                          <w:pStyle w:val="TableParagraph"/>
                          <w:spacing w:before="10"/>
                          <w:ind w:left="35"/>
                          <w:rPr>
                            <w:rFonts w:ascii="Times New Roman"/>
                            <w:sz w:val="20"/>
                          </w:rPr>
                        </w:pPr>
                        <w:r>
                          <w:rPr>
                            <w:rFonts w:ascii="Times New Roman"/>
                            <w:sz w:val="20"/>
                          </w:rPr>
                          <w:t>az:nj</w:t>
                        </w:r>
                      </w:p>
                    </w:tc>
                    <w:tc>
                      <w:tcPr>
                        <w:tcW w:w="1376" w:type="dxa"/>
                      </w:tcPr>
                      <w:p>
                        <w:pPr>
                          <w:pStyle w:val="TableParagraph"/>
                          <w:spacing w:before="8"/>
                          <w:ind w:right="76"/>
                          <w:jc w:val="right"/>
                          <w:rPr>
                            <w:rFonts w:ascii="Times New Roman"/>
                            <w:sz w:val="19"/>
                          </w:rPr>
                        </w:pPr>
                        <w:r>
                          <w:rPr>
                            <w:rFonts w:ascii="Times New Roman"/>
                            <w:w w:val="110"/>
                            <w:sz w:val="19"/>
                          </w:rPr>
                          <w:t>50</w:t>
                        </w:r>
                      </w:p>
                    </w:tc>
                  </w:tr>
                  <w:tr>
                    <w:trPr>
                      <w:trHeight w:val="412" w:hRule="exact"/>
                    </w:trPr>
                    <w:tc>
                      <w:tcPr>
                        <w:tcW w:w="1405" w:type="dxa"/>
                      </w:tcPr>
                      <w:p>
                        <w:pPr>
                          <w:pStyle w:val="TableParagraph"/>
                          <w:spacing w:line="85" w:lineRule="exact" w:before="32"/>
                          <w:ind w:left="13" w:right="873"/>
                          <w:jc w:val="center"/>
                          <w:rPr>
                            <w:rFonts w:ascii="Arial"/>
                            <w:sz w:val="10"/>
                          </w:rPr>
                        </w:pPr>
                        <w:r>
                          <w:rPr>
                            <w:rFonts w:ascii="Arial"/>
                            <w:w w:val="150"/>
                            <w:sz w:val="10"/>
                          </w:rPr>
                          <w:t>(m)</w:t>
                        </w:r>
                      </w:p>
                      <w:p>
                        <w:pPr>
                          <w:pStyle w:val="TableParagraph"/>
                          <w:spacing w:line="200" w:lineRule="exact"/>
                          <w:ind w:left="13" w:right="982"/>
                          <w:jc w:val="center"/>
                          <w:rPr>
                            <w:rFonts w:ascii="Times New Roman"/>
                            <w:sz w:val="20"/>
                          </w:rPr>
                        </w:pPr>
                        <w:r>
                          <w:rPr>
                            <w:rFonts w:ascii="Times New Roman"/>
                            <w:w w:val="95"/>
                            <w:sz w:val="20"/>
                          </w:rPr>
                          <w:t>az:nj</w:t>
                        </w:r>
                      </w:p>
                    </w:tc>
                    <w:tc>
                      <w:tcPr>
                        <w:tcW w:w="1376" w:type="dxa"/>
                      </w:tcPr>
                      <w:p>
                        <w:pPr>
                          <w:pStyle w:val="TableParagraph"/>
                          <w:spacing w:before="86"/>
                          <w:ind w:right="91"/>
                          <w:jc w:val="right"/>
                          <w:rPr>
                            <w:rFonts w:ascii="Times New Roman"/>
                            <w:sz w:val="19"/>
                          </w:rPr>
                        </w:pPr>
                        <w:r>
                          <w:rPr>
                            <w:rFonts w:ascii="Times New Roman"/>
                            <w:w w:val="105"/>
                            <w:sz w:val="19"/>
                          </w:rPr>
                          <w:t>46</w:t>
                        </w:r>
                      </w:p>
                    </w:tc>
                  </w:tr>
                  <w:tr>
                    <w:trPr>
                      <w:trHeight w:val="262" w:hRule="exact"/>
                    </w:trPr>
                    <w:tc>
                      <w:tcPr>
                        <w:tcW w:w="1405" w:type="dxa"/>
                      </w:tcPr>
                      <w:p>
                        <w:pPr>
                          <w:pStyle w:val="TableParagraph"/>
                          <w:spacing w:line="227" w:lineRule="exact"/>
                          <w:ind w:left="38"/>
                          <w:rPr>
                            <w:rFonts w:ascii="Times New Roman"/>
                            <w:sz w:val="20"/>
                          </w:rPr>
                        </w:pPr>
                        <w:r>
                          <w:rPr>
                            <w:rFonts w:ascii="Times New Roman"/>
                            <w:sz w:val="20"/>
                          </w:rPr>
                          <w:t>az:nl</w:t>
                        </w:r>
                      </w:p>
                    </w:tc>
                    <w:tc>
                      <w:tcPr>
                        <w:tcW w:w="1376" w:type="dxa"/>
                      </w:tcPr>
                      <w:p>
                        <w:pPr>
                          <w:pStyle w:val="TableParagraph"/>
                          <w:spacing w:line="228" w:lineRule="exact"/>
                          <w:ind w:right="50"/>
                          <w:jc w:val="right"/>
                          <w:rPr>
                            <w:sz w:val="22"/>
                          </w:rPr>
                        </w:pPr>
                        <w:r>
                          <w:rPr>
                            <w:w w:val="105"/>
                            <w:sz w:val="22"/>
                          </w:rPr>
                          <w:t>47</w:t>
                        </w:r>
                      </w:p>
                    </w:tc>
                  </w:tr>
                  <w:tr>
                    <w:trPr>
                      <w:trHeight w:val="278" w:hRule="exact"/>
                    </w:trPr>
                    <w:tc>
                      <w:tcPr>
                        <w:tcW w:w="1405" w:type="dxa"/>
                      </w:tcPr>
                      <w:p>
                        <w:pPr>
                          <w:pStyle w:val="TableParagraph"/>
                          <w:spacing w:before="9"/>
                          <w:ind w:left="42"/>
                          <w:rPr>
                            <w:rFonts w:ascii="Times New Roman"/>
                            <w:i/>
                            <w:sz w:val="21"/>
                          </w:rPr>
                        </w:pPr>
                        <w:r>
                          <w:rPr>
                            <w:rFonts w:ascii="Times New Roman"/>
                            <w:i/>
                            <w:w w:val="90"/>
                            <w:sz w:val="21"/>
                          </w:rPr>
                          <w:t>naz</w:t>
                        </w:r>
                      </w:p>
                    </w:tc>
                    <w:tc>
                      <w:tcPr>
                        <w:tcW w:w="1376" w:type="dxa"/>
                      </w:tcPr>
                      <w:p>
                        <w:pPr>
                          <w:pStyle w:val="TableParagraph"/>
                          <w:spacing w:before="7"/>
                          <w:ind w:right="33"/>
                          <w:jc w:val="right"/>
                          <w:rPr>
                            <w:sz w:val="22"/>
                          </w:rPr>
                        </w:pPr>
                        <w:r>
                          <w:rPr>
                            <w:spacing w:val="-98"/>
                            <w:w w:val="84"/>
                            <w:sz w:val="22"/>
                          </w:rPr>
                          <w:t>.</w:t>
                        </w:r>
                        <w:r>
                          <w:rPr>
                            <w:spacing w:val="-31"/>
                            <w:w w:val="82"/>
                            <w:sz w:val="22"/>
                          </w:rPr>
                          <w:t>5</w:t>
                        </w:r>
                        <w:r>
                          <w:rPr>
                            <w:w w:val="114"/>
                            <w:sz w:val="22"/>
                          </w:rPr>
                          <w:t>9</w:t>
                        </w:r>
                      </w:p>
                    </w:tc>
                  </w:tr>
                  <w:tr>
                    <w:trPr>
                      <w:trHeight w:val="281" w:hRule="exact"/>
                    </w:trPr>
                    <w:tc>
                      <w:tcPr>
                        <w:tcW w:w="1405" w:type="dxa"/>
                      </w:tcPr>
                      <w:p>
                        <w:pPr>
                          <w:pStyle w:val="TableParagraph"/>
                          <w:spacing w:before="16"/>
                          <w:ind w:left="42"/>
                          <w:rPr>
                            <w:rFonts w:ascii="Times New Roman"/>
                            <w:i/>
                            <w:sz w:val="21"/>
                          </w:rPr>
                        </w:pPr>
                        <w:r>
                          <w:rPr>
                            <w:rFonts w:ascii="Times New Roman"/>
                            <w:i/>
                            <w:w w:val="80"/>
                            <w:sz w:val="21"/>
                          </w:rPr>
                          <w:t>nl az</w:t>
                        </w:r>
                      </w:p>
                    </w:tc>
                    <w:tc>
                      <w:tcPr>
                        <w:tcW w:w="1376" w:type="dxa"/>
                      </w:tcPr>
                      <w:p>
                        <w:pPr>
                          <w:pStyle w:val="TableParagraph"/>
                          <w:spacing w:before="7"/>
                          <w:ind w:right="68"/>
                          <w:jc w:val="right"/>
                          <w:rPr>
                            <w:sz w:val="22"/>
                          </w:rPr>
                        </w:pPr>
                        <w:r>
                          <w:rPr>
                            <w:w w:val="90"/>
                            <w:sz w:val="22"/>
                          </w:rPr>
                          <w:t>41</w:t>
                        </w:r>
                      </w:p>
                    </w:tc>
                  </w:tr>
                  <w:tr>
                    <w:trPr>
                      <w:trHeight w:val="248" w:hRule="exact"/>
                    </w:trPr>
                    <w:tc>
                      <w:tcPr>
                        <w:tcW w:w="1405" w:type="dxa"/>
                      </w:tcPr>
                      <w:p>
                        <w:pPr>
                          <w:pStyle w:val="TableParagraph"/>
                          <w:spacing w:before="7"/>
                          <w:ind w:left="42"/>
                          <w:rPr>
                            <w:rFonts w:ascii="Times New Roman"/>
                            <w:sz w:val="20"/>
                          </w:rPr>
                        </w:pPr>
                        <w:r>
                          <w:rPr>
                            <w:rFonts w:ascii="Times New Roman"/>
                            <w:w w:val="60"/>
                            <w:sz w:val="20"/>
                          </w:rPr>
                          <w:t>n jClz</w:t>
                        </w:r>
                      </w:p>
                    </w:tc>
                    <w:tc>
                      <w:tcPr>
                        <w:tcW w:w="1376" w:type="dxa"/>
                      </w:tcPr>
                      <w:p>
                        <w:pPr>
                          <w:pStyle w:val="TableParagraph"/>
                          <w:spacing w:before="6"/>
                          <w:ind w:right="46"/>
                          <w:jc w:val="right"/>
                          <w:rPr>
                            <w:sz w:val="22"/>
                          </w:rPr>
                        </w:pPr>
                        <w:r>
                          <w:rPr>
                            <w:w w:val="110"/>
                            <w:sz w:val="22"/>
                          </w:rPr>
                          <w:t>42</w:t>
                        </w:r>
                      </w:p>
                    </w:tc>
                  </w:tr>
                </w:tbl>
                <w:p>
                  <w:pPr>
                    <w:pStyle w:val="BodyText"/>
                  </w:pPr>
                </w:p>
              </w:txbxContent>
            </v:textbox>
            <w10:wrap type="none"/>
          </v:shape>
        </w:pict>
      </w:r>
      <w:r>
        <w:rPr>
          <w:b/>
          <w:i/>
          <w:sz w:val="21"/>
        </w:rPr>
        <w:t>dz</w:t>
      </w:r>
      <w:r>
        <w:rPr>
          <w:rFonts w:ascii="Arial"/>
          <w:sz w:val="20"/>
        </w:rPr>
        <w:tab/>
        <w:t>8</w:t>
      </w:r>
    </w:p>
    <w:p>
      <w:pPr>
        <w:tabs>
          <w:tab w:pos="3640" w:val="left" w:leader="none"/>
        </w:tabs>
        <w:spacing w:before="109"/>
        <w:ind w:left="1192" w:right="0" w:firstLine="0"/>
        <w:jc w:val="left"/>
        <w:rPr>
          <w:rFonts w:ascii="Courier New"/>
          <w:sz w:val="22"/>
        </w:rPr>
      </w:pPr>
      <w:r>
        <w:rPr>
          <w:b/>
          <w:i/>
          <w:sz w:val="22"/>
        </w:rPr>
        <w:t>nEz</w:t>
      </w:r>
      <w:r>
        <w:rPr>
          <w:rFonts w:ascii="Courier New"/>
          <w:sz w:val="22"/>
        </w:rPr>
        <w:tab/>
      </w:r>
      <w:r>
        <w:rPr>
          <w:rFonts w:ascii="Courier New"/>
          <w:spacing w:val="-17"/>
          <w:sz w:val="22"/>
        </w:rPr>
        <w:t>37</w:t>
      </w:r>
    </w:p>
    <w:p>
      <w:pPr>
        <w:spacing w:after="0"/>
        <w:jc w:val="left"/>
        <w:rPr>
          <w:rFonts w:ascii="Courier New"/>
          <w:sz w:val="22"/>
        </w:rPr>
        <w:sectPr>
          <w:type w:val="continuous"/>
          <w:pgSz w:w="7200" w:h="11340"/>
          <w:pgMar w:top="1100" w:bottom="0" w:left="240" w:right="500"/>
          <w:cols w:num="2" w:equalWidth="0">
            <w:col w:w="844" w:space="1611"/>
            <w:col w:w="4005"/>
          </w:cols>
        </w:sectPr>
      </w:pPr>
    </w:p>
    <w:p>
      <w:pPr>
        <w:tabs>
          <w:tab w:pos="6323" w:val="right" w:leader="none"/>
        </w:tabs>
        <w:spacing w:before="110"/>
        <w:ind w:left="3644" w:right="0" w:firstLine="0"/>
        <w:jc w:val="left"/>
        <w:rPr>
          <w:rFonts w:ascii="Courier New"/>
          <w:sz w:val="22"/>
        </w:rPr>
      </w:pPr>
      <w:r>
        <w:rPr>
          <w:rFonts w:ascii="Courier New"/>
          <w:b/>
          <w:i/>
          <w:w w:val="85"/>
          <w:sz w:val="20"/>
        </w:rPr>
        <w:t>ez</w:t>
      </w:r>
      <w:r>
        <w:rPr>
          <w:rFonts w:ascii="Courier New"/>
          <w:w w:val="85"/>
          <w:sz w:val="22"/>
        </w:rPr>
        <w:tab/>
      </w:r>
      <w:r>
        <w:rPr>
          <w:rFonts w:ascii="Courier New"/>
          <w:spacing w:val="-9"/>
          <w:w w:val="85"/>
          <w:sz w:val="22"/>
        </w:rPr>
        <w:t>173</w:t>
      </w:r>
    </w:p>
    <w:p>
      <w:pPr>
        <w:tabs>
          <w:tab w:pos="6325" w:val="right" w:leader="none"/>
        </w:tabs>
        <w:spacing w:before="28"/>
        <w:ind w:left="3644" w:right="0" w:firstLine="0"/>
        <w:jc w:val="left"/>
        <w:rPr>
          <w:rFonts w:ascii="Courier New" w:hAnsi="Courier New"/>
          <w:sz w:val="22"/>
        </w:rPr>
      </w:pPr>
      <w:r>
        <w:rPr>
          <w:rFonts w:ascii="Courier New" w:hAnsi="Courier New"/>
          <w:b/>
          <w:w w:val="90"/>
          <w:sz w:val="19"/>
        </w:rPr>
        <w:t>éz</w:t>
      </w:r>
      <w:r>
        <w:rPr>
          <w:rFonts w:ascii="Courier New" w:hAnsi="Courier New"/>
          <w:w w:val="90"/>
          <w:sz w:val="22"/>
        </w:rPr>
        <w:tab/>
      </w:r>
      <w:r>
        <w:rPr>
          <w:rFonts w:ascii="Courier New" w:hAnsi="Courier New"/>
          <w:spacing w:val="-9"/>
          <w:w w:val="90"/>
          <w:sz w:val="22"/>
        </w:rPr>
        <w:t>173</w:t>
      </w:r>
    </w:p>
    <w:p>
      <w:pPr>
        <w:spacing w:after="0"/>
        <w:jc w:val="left"/>
        <w:rPr>
          <w:rFonts w:ascii="Courier New" w:hAnsi="Courier New"/>
          <w:sz w:val="22"/>
        </w:rPr>
        <w:sectPr>
          <w:type w:val="continuous"/>
          <w:pgSz w:w="7200" w:h="11340"/>
          <w:pgMar w:top="1100" w:bottom="0" w:left="240" w:right="500"/>
        </w:sectPr>
      </w:pPr>
    </w:p>
    <w:p>
      <w:pPr>
        <w:spacing w:before="61"/>
        <w:ind w:left="0" w:right="0" w:firstLine="0"/>
        <w:jc w:val="right"/>
        <w:rPr>
          <w:sz w:val="16"/>
        </w:rPr>
      </w:pPr>
      <w:r>
        <w:rPr>
          <w:w w:val="105"/>
          <w:sz w:val="16"/>
        </w:rPr>
        <w:t>ez:ñj</w:t>
      </w:r>
    </w:p>
    <w:p>
      <w:pPr>
        <w:spacing w:before="28"/>
        <w:ind w:left="0" w:right="134" w:firstLine="0"/>
        <w:jc w:val="right"/>
        <w:rPr>
          <w:rFonts w:ascii="Courier New"/>
          <w:sz w:val="22"/>
        </w:rPr>
      </w:pPr>
      <w:r>
        <w:rPr/>
        <w:br w:type="column"/>
      </w:r>
      <w:r>
        <w:rPr>
          <w:rFonts w:ascii="Courier New"/>
          <w:w w:val="95"/>
          <w:sz w:val="22"/>
        </w:rPr>
        <w:t>173</w:t>
      </w:r>
    </w:p>
    <w:p>
      <w:pPr>
        <w:spacing w:after="0"/>
        <w:jc w:val="right"/>
        <w:rPr>
          <w:rFonts w:ascii="Courier New"/>
          <w:sz w:val="22"/>
        </w:rPr>
        <w:sectPr>
          <w:type w:val="continuous"/>
          <w:pgSz w:w="7200" w:h="11340"/>
          <w:pgMar w:top="1100" w:bottom="0" w:left="240" w:right="500"/>
          <w:cols w:num="2" w:equalWidth="0">
            <w:col w:w="3980" w:space="40"/>
            <w:col w:w="2440"/>
          </w:cols>
        </w:sectPr>
      </w:pPr>
    </w:p>
    <w:p>
      <w:pPr>
        <w:spacing w:before="207"/>
        <w:ind w:left="559" w:right="-18" w:firstLine="0"/>
        <w:jc w:val="left"/>
        <w:rPr>
          <w:rFonts w:ascii="Arial"/>
          <w:b/>
          <w:sz w:val="10"/>
        </w:rPr>
      </w:pPr>
      <w:r>
        <w:rPr>
          <w:rFonts w:ascii="Arial"/>
          <w:b/>
          <w:w w:val="125"/>
          <w:sz w:val="10"/>
        </w:rPr>
        <w:t>..</w:t>
      </w:r>
      <w:r>
        <w:rPr>
          <w:rFonts w:ascii="Arial"/>
          <w:b/>
          <w:spacing w:val="-5"/>
          <w:w w:val="125"/>
          <w:sz w:val="10"/>
        </w:rPr>
        <w:t> </w:t>
      </w:r>
      <w:r>
        <w:rPr>
          <w:rFonts w:ascii="Arial"/>
          <w:b/>
          <w:w w:val="125"/>
          <w:sz w:val="10"/>
        </w:rPr>
        <w:t>(m)</w:t>
      </w:r>
    </w:p>
    <w:p>
      <w:pPr>
        <w:spacing w:before="991"/>
        <w:ind w:left="108" w:right="-18" w:firstLine="0"/>
        <w:jc w:val="left"/>
        <w:rPr>
          <w:i/>
          <w:sz w:val="21"/>
        </w:rPr>
      </w:pPr>
      <w:r>
        <w:rPr>
          <w:spacing w:val="-574"/>
          <w:w w:val="345"/>
          <w:position w:val="-3"/>
          <w:sz w:val="16"/>
        </w:rPr>
        <w:t>¡</w:t>
      </w:r>
      <w:r>
        <w:rPr>
          <w:w w:val="66"/>
          <w:sz w:val="23"/>
        </w:rPr>
        <w:t>1</w:t>
      </w:r>
      <w:r>
        <w:rPr>
          <w:spacing w:val="-15"/>
          <w:w w:val="66"/>
          <w:sz w:val="23"/>
        </w:rPr>
        <w:t>¡</w:t>
      </w:r>
      <w:r>
        <w:rPr>
          <w:i/>
          <w:spacing w:val="-77"/>
          <w:w w:val="87"/>
          <w:position w:val="-3"/>
          <w:sz w:val="21"/>
        </w:rPr>
        <w:t>a</w:t>
      </w:r>
      <w:r>
        <w:rPr>
          <w:w w:val="65"/>
          <w:sz w:val="23"/>
        </w:rPr>
        <w:t>-</w:t>
      </w:r>
      <w:r>
        <w:rPr>
          <w:spacing w:val="-25"/>
          <w:w w:val="65"/>
          <w:sz w:val="23"/>
        </w:rPr>
        <w:t>·</w:t>
      </w:r>
      <w:r>
        <w:rPr>
          <w:i/>
          <w:w w:val="86"/>
          <w:position w:val="-3"/>
          <w:sz w:val="21"/>
        </w:rPr>
        <w:t>z</w:t>
      </w:r>
    </w:p>
    <w:p>
      <w:pPr>
        <w:tabs>
          <w:tab w:pos="3139" w:val="left" w:leader="none"/>
        </w:tabs>
        <w:spacing w:before="24"/>
        <w:ind w:left="850" w:right="0" w:firstLine="0"/>
        <w:jc w:val="left"/>
        <w:rPr>
          <w:rFonts w:ascii="Courier New" w:hAnsi="Courier New"/>
          <w:sz w:val="22"/>
        </w:rPr>
      </w:pPr>
      <w:r>
        <w:rPr/>
        <w:br w:type="column"/>
      </w:r>
      <w:r>
        <w:rPr>
          <w:spacing w:val="-3"/>
          <w:w w:val="90"/>
          <w:sz w:val="20"/>
        </w:rPr>
        <w:t>z:"ñ]</w:t>
      </w:r>
      <w:r>
        <w:rPr>
          <w:rFonts w:ascii="Courier New" w:hAnsi="Courier New"/>
          <w:spacing w:val="-3"/>
          <w:w w:val="90"/>
          <w:sz w:val="22"/>
        </w:rPr>
        <w:tab/>
      </w:r>
      <w:r>
        <w:rPr>
          <w:rFonts w:ascii="Courier New" w:hAnsi="Courier New"/>
          <w:spacing w:val="-10"/>
          <w:w w:val="90"/>
          <w:sz w:val="22"/>
        </w:rPr>
        <w:t>174</w:t>
      </w:r>
    </w:p>
    <w:p>
      <w:pPr>
        <w:tabs>
          <w:tab w:pos="3139" w:val="left" w:leader="none"/>
        </w:tabs>
        <w:spacing w:before="88"/>
        <w:ind w:left="774" w:right="0" w:firstLine="0"/>
        <w:jc w:val="left"/>
        <w:rPr>
          <w:rFonts w:ascii="Courier New"/>
          <w:sz w:val="22"/>
        </w:rPr>
      </w:pPr>
      <w:r>
        <w:rPr>
          <w:i/>
          <w:w w:val="90"/>
          <w:position w:val="1"/>
          <w:sz w:val="21"/>
        </w:rPr>
        <w:t>F</w:t>
      </w:r>
      <w:r>
        <w:rPr>
          <w:i/>
          <w:spacing w:val="-28"/>
          <w:w w:val="90"/>
          <w:position w:val="1"/>
          <w:sz w:val="21"/>
        </w:rPr>
        <w:t> </w:t>
      </w:r>
      <w:r>
        <w:rPr>
          <w:i/>
          <w:w w:val="90"/>
          <w:position w:val="1"/>
          <w:sz w:val="21"/>
        </w:rPr>
        <w:t>z</w:t>
      </w:r>
      <w:r>
        <w:rPr>
          <w:rFonts w:ascii="Courier New"/>
          <w:w w:val="90"/>
          <w:sz w:val="22"/>
        </w:rPr>
        <w:tab/>
      </w:r>
      <w:r>
        <w:rPr>
          <w:rFonts w:ascii="Courier New"/>
          <w:spacing w:val="-8"/>
          <w:w w:val="90"/>
          <w:sz w:val="22"/>
        </w:rPr>
        <w:t>185</w:t>
      </w:r>
    </w:p>
    <w:p>
      <w:pPr>
        <w:tabs>
          <w:tab w:pos="3139" w:val="left" w:leader="none"/>
        </w:tabs>
        <w:spacing w:before="11"/>
        <w:ind w:left="778" w:right="0" w:firstLine="0"/>
        <w:jc w:val="left"/>
        <w:rPr>
          <w:rFonts w:ascii="Courier New"/>
          <w:sz w:val="22"/>
        </w:rPr>
      </w:pPr>
      <w:r>
        <w:rPr>
          <w:i/>
          <w:spacing w:val="6"/>
          <w:w w:val="90"/>
          <w:sz w:val="21"/>
        </w:rPr>
        <w:t>nFz</w:t>
      </w:r>
      <w:r>
        <w:rPr>
          <w:rFonts w:ascii="Courier New"/>
          <w:spacing w:val="6"/>
          <w:w w:val="90"/>
          <w:sz w:val="22"/>
        </w:rPr>
        <w:tab/>
      </w:r>
      <w:r>
        <w:rPr>
          <w:rFonts w:ascii="Courier New"/>
          <w:spacing w:val="-16"/>
          <w:w w:val="90"/>
          <w:sz w:val="22"/>
        </w:rPr>
        <w:t>161</w:t>
      </w:r>
    </w:p>
    <w:p>
      <w:pPr>
        <w:tabs>
          <w:tab w:pos="3139" w:val="left" w:leader="none"/>
        </w:tabs>
        <w:spacing w:before="28"/>
        <w:ind w:left="774" w:right="0" w:firstLine="0"/>
        <w:jc w:val="left"/>
        <w:rPr>
          <w:rFonts w:ascii="Courier New"/>
          <w:sz w:val="22"/>
        </w:rPr>
      </w:pPr>
      <w:r>
        <w:rPr>
          <w:i/>
          <w:spacing w:val="-3"/>
          <w:position w:val="-2"/>
          <w:sz w:val="21"/>
        </w:rPr>
        <w:t>"Fz</w:t>
      </w:r>
      <w:r>
        <w:rPr>
          <w:rFonts w:ascii="Courier New"/>
          <w:spacing w:val="-3"/>
          <w:sz w:val="22"/>
        </w:rPr>
        <w:tab/>
      </w:r>
      <w:r>
        <w:rPr>
          <w:rFonts w:ascii="Courier New"/>
          <w:spacing w:val="-22"/>
          <w:sz w:val="22"/>
        </w:rPr>
        <w:t>167</w:t>
      </w:r>
    </w:p>
    <w:p>
      <w:pPr>
        <w:tabs>
          <w:tab w:pos="778" w:val="left" w:leader="none"/>
          <w:tab w:pos="3132" w:val="left" w:leader="none"/>
        </w:tabs>
        <w:spacing w:before="118"/>
        <w:ind w:left="108" w:right="0" w:firstLine="0"/>
        <w:jc w:val="left"/>
        <w:rPr>
          <w:rFonts w:ascii="Courier New"/>
          <w:sz w:val="22"/>
        </w:rPr>
      </w:pPr>
      <w:r>
        <w:rPr>
          <w:rFonts w:ascii="Courier New"/>
          <w:spacing w:val="-23"/>
          <w:position w:val="-3"/>
          <w:sz w:val="22"/>
        </w:rPr>
        <w:t>42</w:t>
        <w:tab/>
      </w:r>
      <w:r>
        <w:rPr>
          <w:i/>
          <w:position w:val="1"/>
          <w:sz w:val="21"/>
        </w:rPr>
        <w:t>Gz</w:t>
      </w:r>
      <w:r>
        <w:rPr>
          <w:rFonts w:ascii="Courier New"/>
          <w:sz w:val="22"/>
        </w:rPr>
        <w:tab/>
      </w:r>
      <w:r>
        <w:rPr>
          <w:rFonts w:ascii="Courier New"/>
          <w:spacing w:val="-22"/>
          <w:sz w:val="22"/>
        </w:rPr>
        <w:t>185</w:t>
      </w:r>
    </w:p>
    <w:p>
      <w:pPr>
        <w:spacing w:after="0"/>
        <w:jc w:val="left"/>
        <w:rPr>
          <w:rFonts w:ascii="Courier New"/>
          <w:sz w:val="22"/>
        </w:rPr>
        <w:sectPr>
          <w:type w:val="continuous"/>
          <w:pgSz w:w="7200" w:h="11340"/>
          <w:pgMar w:top="1100" w:bottom="0" w:left="240" w:right="500"/>
          <w:cols w:num="2" w:equalWidth="0">
            <w:col w:w="855" w:space="2015"/>
            <w:col w:w="3590"/>
          </w:cols>
        </w:sectPr>
      </w:pPr>
    </w:p>
    <w:p>
      <w:pPr>
        <w:tabs>
          <w:tab w:pos="2978" w:val="left" w:leader="none"/>
          <w:tab w:pos="3683" w:val="left" w:leader="none"/>
          <w:tab w:pos="6320" w:val="right" w:leader="none"/>
        </w:tabs>
        <w:spacing w:before="44"/>
        <w:ind w:left="519" w:right="0" w:firstLine="0"/>
        <w:jc w:val="left"/>
        <w:rPr>
          <w:rFonts w:ascii="Courier New"/>
          <w:sz w:val="22"/>
        </w:rPr>
      </w:pPr>
      <w:r>
        <w:rPr>
          <w:sz w:val="20"/>
        </w:rPr>
        <w:t>n</w:t>
      </w:r>
      <w:r>
        <w:rPr>
          <w:spacing w:val="-34"/>
          <w:sz w:val="20"/>
        </w:rPr>
        <w:t> </w:t>
      </w:r>
      <w:r>
        <w:rPr>
          <w:sz w:val="20"/>
        </w:rPr>
        <w:t>ldz</w:t>
        <w:tab/>
      </w:r>
      <w:r>
        <w:rPr>
          <w:sz w:val="19"/>
        </w:rPr>
        <w:t>50</w:t>
        <w:tab/>
      </w:r>
      <w:r>
        <w:rPr>
          <w:i/>
          <w:spacing w:val="3"/>
          <w:position w:val="1"/>
          <w:sz w:val="21"/>
        </w:rPr>
        <w:t>(IA</w:t>
      </w:r>
      <w:r>
        <w:rPr>
          <w:i/>
          <w:spacing w:val="-8"/>
          <w:position w:val="1"/>
          <w:sz w:val="21"/>
        </w:rPr>
        <w:t> </w:t>
      </w:r>
      <w:r>
        <w:rPr>
          <w:i/>
          <w:position w:val="1"/>
          <w:sz w:val="21"/>
        </w:rPr>
        <w:t>)z</w:t>
      </w:r>
      <w:r>
        <w:rPr>
          <w:rFonts w:ascii="Courier New"/>
          <w:sz w:val="22"/>
        </w:rPr>
        <w:tab/>
      </w:r>
      <w:r>
        <w:rPr>
          <w:rFonts w:ascii="Courier New"/>
          <w:spacing w:val="-19"/>
          <w:sz w:val="22"/>
        </w:rPr>
        <w:t>72</w:t>
      </w:r>
    </w:p>
    <w:p>
      <w:pPr>
        <w:spacing w:before="68"/>
        <w:ind w:left="496" w:right="167" w:firstLine="0"/>
        <w:jc w:val="center"/>
        <w:rPr>
          <w:rFonts w:ascii="Courier New"/>
          <w:sz w:val="18"/>
        </w:rPr>
      </w:pPr>
      <w:r>
        <w:rPr>
          <w:rFonts w:ascii="Courier New"/>
          <w:sz w:val="18"/>
        </w:rPr>
        <w:t>379</w:t>
      </w:r>
    </w:p>
    <w:p>
      <w:pPr>
        <w:spacing w:after="0"/>
        <w:jc w:val="center"/>
        <w:rPr>
          <w:rFonts w:ascii="Courier New"/>
          <w:sz w:val="18"/>
        </w:rPr>
        <w:sectPr>
          <w:type w:val="continuous"/>
          <w:pgSz w:w="7200" w:h="11340"/>
          <w:pgMar w:top="1100" w:bottom="0" w:left="240" w:right="500"/>
        </w:sectPr>
      </w:pPr>
    </w:p>
    <w:p>
      <w:pPr>
        <w:tabs>
          <w:tab w:pos="2133" w:val="left" w:leader="none"/>
        </w:tabs>
        <w:spacing w:before="51"/>
        <w:ind w:left="143" w:right="0" w:firstLine="0"/>
        <w:jc w:val="left"/>
        <w:rPr>
          <w:sz w:val="15"/>
        </w:rPr>
      </w:pPr>
      <w:r>
        <w:rPr>
          <w:rFonts w:ascii="Courier New"/>
          <w:spacing w:val="-11"/>
          <w:w w:val="105"/>
          <w:sz w:val="22"/>
        </w:rPr>
        <w:t>380</w:t>
        <w:tab/>
      </w:r>
      <w:r>
        <w:rPr>
          <w:w w:val="105"/>
          <w:position w:val="1"/>
          <w:sz w:val="15"/>
        </w:rPr>
        <w:t>INDEX   TO </w:t>
      </w:r>
      <w:r>
        <w:rPr>
          <w:spacing w:val="24"/>
          <w:w w:val="105"/>
          <w:position w:val="1"/>
          <w:sz w:val="15"/>
        </w:rPr>
        <w:t> </w:t>
      </w:r>
      <w:r>
        <w:rPr>
          <w:w w:val="105"/>
          <w:position w:val="1"/>
          <w:sz w:val="15"/>
        </w:rPr>
        <w:t>NOTATION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9"/>
        </w:rPr>
      </w:pPr>
    </w:p>
    <w:p>
      <w:pPr>
        <w:pStyle w:val="BodyText"/>
        <w:spacing w:before="74"/>
        <w:ind w:left="953" w:right="165"/>
        <w:jc w:val="center"/>
      </w:pPr>
      <w:r>
        <w:rPr/>
        <w:pict>
          <v:shape style="position:absolute;margin-left:37.077042pt;margin-top:-142.606018pt;width:292.95pt;height:282.75pt;mso-position-horizontal-relative:page;mso-position-vertical-relative:paragraph;z-index:31720"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2377"/>
                    <w:gridCol w:w="686"/>
                    <w:gridCol w:w="1494"/>
                    <w:gridCol w:w="1301"/>
                  </w:tblGrid>
                  <w:tr>
                    <w:trPr>
                      <w:trHeight w:val="352" w:hRule="exact"/>
                    </w:trPr>
                    <w:tc>
                      <w:tcPr>
                        <w:tcW w:w="2377" w:type="dxa"/>
                      </w:tcPr>
                      <w:p>
                        <w:pPr>
                          <w:pStyle w:val="TableParagraph"/>
                          <w:spacing w:before="85"/>
                          <w:ind w:left="70"/>
                          <w:rPr>
                            <w:rFonts w:ascii="Times New Roman"/>
                            <w:i/>
                            <w:sz w:val="20"/>
                          </w:rPr>
                        </w:pPr>
                        <w:r>
                          <w:rPr>
                            <w:rFonts w:ascii="Times New Roman"/>
                            <w:i/>
                            <w:sz w:val="20"/>
                          </w:rPr>
                          <w:t>(IA )z</w:t>
                        </w:r>
                      </w:p>
                    </w:tc>
                    <w:tc>
                      <w:tcPr>
                        <w:tcW w:w="686" w:type="dxa"/>
                      </w:tcPr>
                      <w:p>
                        <w:pPr>
                          <w:pStyle w:val="TableParagraph"/>
                          <w:spacing w:before="85"/>
                          <w:ind w:left="87"/>
                          <w:rPr>
                            <w:sz w:val="22"/>
                          </w:rPr>
                        </w:pPr>
                        <w:r>
                          <w:rPr>
                            <w:sz w:val="22"/>
                          </w:rPr>
                          <w:t>73</w:t>
                        </w:r>
                      </w:p>
                    </w:tc>
                    <w:tc>
                      <w:tcPr>
                        <w:tcW w:w="1494" w:type="dxa"/>
                      </w:tcPr>
                      <w:p>
                        <w:pPr>
                          <w:pStyle w:val="TableParagraph"/>
                          <w:spacing w:before="89"/>
                          <w:ind w:left="81"/>
                          <w:rPr>
                            <w:rFonts w:ascii="Times New Roman"/>
                            <w:i/>
                            <w:sz w:val="20"/>
                          </w:rPr>
                        </w:pPr>
                        <w:r>
                          <w:rPr>
                            <w:rFonts w:ascii="Times New Roman"/>
                            <w:i/>
                            <w:sz w:val="20"/>
                          </w:rPr>
                          <w:t>Pz</w:t>
                        </w:r>
                      </w:p>
                    </w:tc>
                    <w:tc>
                      <w:tcPr>
                        <w:tcW w:w="1301" w:type="dxa"/>
                      </w:tcPr>
                      <w:p>
                        <w:pPr>
                          <w:pStyle w:val="TableParagraph"/>
                          <w:spacing w:before="78"/>
                          <w:ind w:right="70"/>
                          <w:jc w:val="right"/>
                          <w:rPr>
                            <w:sz w:val="22"/>
                          </w:rPr>
                        </w:pPr>
                        <w:r>
                          <w:rPr>
                            <w:w w:val="90"/>
                            <w:sz w:val="22"/>
                          </w:rPr>
                          <w:t>81</w:t>
                        </w:r>
                      </w:p>
                    </w:tc>
                  </w:tr>
                  <w:tr>
                    <w:trPr>
                      <w:trHeight w:val="268" w:hRule="exact"/>
                    </w:trPr>
                    <w:tc>
                      <w:tcPr>
                        <w:tcW w:w="2377" w:type="dxa"/>
                      </w:tcPr>
                      <w:p>
                        <w:pPr>
                          <w:pStyle w:val="TableParagraph"/>
                          <w:spacing w:before="10"/>
                          <w:ind w:left="74"/>
                          <w:rPr>
                            <w:rFonts w:ascii="Times New Roman"/>
                            <w:i/>
                            <w:sz w:val="20"/>
                          </w:rPr>
                        </w:pPr>
                        <w:r>
                          <w:rPr>
                            <w:rFonts w:ascii="Times New Roman"/>
                            <w:i/>
                            <w:w w:val="105"/>
                            <w:sz w:val="20"/>
                          </w:rPr>
                          <w:t>(]A)z</w:t>
                        </w:r>
                      </w:p>
                    </w:tc>
                    <w:tc>
                      <w:tcPr>
                        <w:tcW w:w="686" w:type="dxa"/>
                      </w:tcPr>
                      <w:p>
                        <w:pPr>
                          <w:pStyle w:val="TableParagraph"/>
                          <w:spacing w:before="10"/>
                          <w:ind w:left="87"/>
                          <w:rPr>
                            <w:sz w:val="22"/>
                          </w:rPr>
                        </w:pPr>
                        <w:r>
                          <w:rPr>
                            <w:w w:val="105"/>
                            <w:sz w:val="22"/>
                          </w:rPr>
                          <w:t>75</w:t>
                        </w:r>
                      </w:p>
                    </w:tc>
                    <w:tc>
                      <w:tcPr>
                        <w:tcW w:w="1494" w:type="dxa"/>
                      </w:tcPr>
                      <w:p>
                        <w:pPr>
                          <w:pStyle w:val="TableParagraph"/>
                          <w:spacing w:before="7"/>
                          <w:ind w:left="77"/>
                          <w:rPr>
                            <w:rFonts w:ascii="Times New Roman" w:hAnsi="Times New Roman"/>
                            <w:b/>
                            <w:i/>
                            <w:sz w:val="20"/>
                          </w:rPr>
                        </w:pPr>
                        <w:r>
                          <w:rPr>
                            <w:rFonts w:ascii="Times New Roman" w:hAnsi="Times New Roman"/>
                            <w:b/>
                            <w:i/>
                            <w:sz w:val="20"/>
                          </w:rPr>
                          <w:t>Í'z</w:t>
                        </w:r>
                      </w:p>
                    </w:tc>
                    <w:tc>
                      <w:tcPr>
                        <w:tcW w:w="1301" w:type="dxa"/>
                      </w:tcPr>
                      <w:p>
                        <w:pPr>
                          <w:pStyle w:val="TableParagraph"/>
                          <w:spacing w:before="3"/>
                          <w:ind w:right="38"/>
                          <w:jc w:val="right"/>
                          <w:rPr>
                            <w:sz w:val="22"/>
                          </w:rPr>
                        </w:pPr>
                        <w:r>
                          <w:rPr>
                            <w:w w:val="110"/>
                            <w:sz w:val="22"/>
                          </w:rPr>
                          <w:t>84</w:t>
                        </w:r>
                      </w:p>
                    </w:tc>
                  </w:tr>
                  <w:tr>
                    <w:trPr>
                      <w:trHeight w:val="273" w:hRule="exact"/>
                    </w:trPr>
                    <w:tc>
                      <w:tcPr>
                        <w:tcW w:w="2377" w:type="dxa"/>
                      </w:tcPr>
                      <w:p>
                        <w:pPr>
                          <w:pStyle w:val="TableParagraph"/>
                          <w:spacing w:line="227" w:lineRule="exact"/>
                          <w:ind w:left="74"/>
                          <w:rPr>
                            <w:rFonts w:ascii="Times New Roman"/>
                            <w:sz w:val="20"/>
                          </w:rPr>
                        </w:pPr>
                        <w:r>
                          <w:rPr>
                            <w:rFonts w:ascii="Times New Roman"/>
                            <w:i/>
                            <w:w w:val="102"/>
                            <w:sz w:val="20"/>
                          </w:rPr>
                          <w:t>(</w:t>
                        </w:r>
                        <w:r>
                          <w:rPr>
                            <w:rFonts w:ascii="Times New Roman"/>
                            <w:i/>
                            <w:w w:val="102"/>
                            <w:sz w:val="20"/>
                          </w:rPr>
                          <w:t>[</w:t>
                        </w:r>
                        <w:r>
                          <w:rPr>
                            <w:rFonts w:ascii="Times New Roman"/>
                            <w:i/>
                            <w:spacing w:val="-24"/>
                            <w:sz w:val="20"/>
                          </w:rPr>
                          <w:t> </w:t>
                        </w:r>
                        <w:r>
                          <w:rPr>
                            <w:rFonts w:ascii="Times New Roman"/>
                            <w:i/>
                            <w:w w:val="47"/>
                            <w:sz w:val="20"/>
                          </w:rPr>
                          <w:t>&lt;"'</w:t>
                        </w:r>
                        <w:r>
                          <w:rPr>
                            <w:rFonts w:ascii="Times New Roman"/>
                            <w:i/>
                            <w:spacing w:val="10"/>
                            <w:w w:val="47"/>
                            <w:sz w:val="20"/>
                          </w:rPr>
                          <w:t>&gt;</w:t>
                        </w:r>
                        <w:r>
                          <w:rPr>
                            <w:rFonts w:ascii="Times New Roman"/>
                            <w:i/>
                            <w:w w:val="105"/>
                            <w:sz w:val="20"/>
                          </w:rPr>
                          <w:t>A</w:t>
                        </w:r>
                        <w:r>
                          <w:rPr>
                            <w:rFonts w:ascii="Times New Roman"/>
                            <w:i/>
                            <w:spacing w:val="3"/>
                            <w:sz w:val="20"/>
                          </w:rPr>
                          <w:t> </w:t>
                        </w:r>
                        <w:r>
                          <w:rPr>
                            <w:rFonts w:ascii="Times New Roman"/>
                            <w:w w:val="87"/>
                            <w:sz w:val="20"/>
                          </w:rPr>
                          <w:t>)</w:t>
                        </w:r>
                        <w:r>
                          <w:rPr>
                            <w:rFonts w:ascii="Times New Roman"/>
                            <w:w w:val="87"/>
                            <w:sz w:val="20"/>
                          </w:rPr>
                          <w:t>z</w:t>
                        </w:r>
                      </w:p>
                    </w:tc>
                    <w:tc>
                      <w:tcPr>
                        <w:tcW w:w="686" w:type="dxa"/>
                      </w:tcPr>
                      <w:p>
                        <w:pPr>
                          <w:pStyle w:val="TableParagraph"/>
                          <w:spacing w:before="19"/>
                          <w:ind w:left="87"/>
                          <w:rPr>
                            <w:sz w:val="22"/>
                          </w:rPr>
                        </w:pPr>
                        <w:r>
                          <w:rPr>
                            <w:w w:val="105"/>
                            <w:sz w:val="22"/>
                          </w:rPr>
                          <w:t>74</w:t>
                        </w:r>
                      </w:p>
                    </w:tc>
                    <w:tc>
                      <w:tcPr>
                        <w:tcW w:w="1494" w:type="dxa"/>
                      </w:tcPr>
                      <w:p>
                        <w:pPr>
                          <w:pStyle w:val="TableParagraph"/>
                          <w:spacing w:line="220" w:lineRule="exact"/>
                          <w:ind w:left="85"/>
                          <w:rPr>
                            <w:rFonts w:ascii="Times New Roman"/>
                            <w:i/>
                            <w:sz w:val="20"/>
                          </w:rPr>
                        </w:pPr>
                        <w:r>
                          <w:rPr>
                            <w:rFonts w:ascii="Times New Roman"/>
                            <w:i/>
                            <w:w w:val="95"/>
                            <w:sz w:val="20"/>
                          </w:rPr>
                          <w:t>P;"'&gt;</w:t>
                        </w:r>
                      </w:p>
                    </w:tc>
                    <w:tc>
                      <w:tcPr>
                        <w:tcW w:w="1301" w:type="dxa"/>
                      </w:tcPr>
                      <w:p>
                        <w:pPr>
                          <w:pStyle w:val="TableParagraph"/>
                          <w:spacing w:before="11"/>
                          <w:ind w:right="34"/>
                          <w:jc w:val="right"/>
                          <w:rPr>
                            <w:sz w:val="22"/>
                          </w:rPr>
                        </w:pPr>
                        <w:r>
                          <w:rPr>
                            <w:w w:val="105"/>
                            <w:sz w:val="22"/>
                          </w:rPr>
                          <w:t>84</w:t>
                        </w:r>
                      </w:p>
                    </w:tc>
                  </w:tr>
                  <w:tr>
                    <w:trPr>
                      <w:trHeight w:val="287" w:hRule="exact"/>
                    </w:trPr>
                    <w:tc>
                      <w:tcPr>
                        <w:tcW w:w="2377" w:type="dxa"/>
                      </w:tcPr>
                      <w:p>
                        <w:pPr>
                          <w:pStyle w:val="TableParagraph"/>
                          <w:spacing w:before="8"/>
                          <w:ind w:left="70"/>
                          <w:rPr>
                            <w:rFonts w:ascii="Times New Roman"/>
                            <w:sz w:val="20"/>
                          </w:rPr>
                        </w:pPr>
                        <w:r>
                          <w:rPr>
                            <w:rFonts w:ascii="Times New Roman"/>
                            <w:i/>
                            <w:w w:val="90"/>
                            <w:sz w:val="20"/>
                          </w:rPr>
                          <w:t>(['"'&gt;A </w:t>
                        </w:r>
                        <w:r>
                          <w:rPr>
                            <w:rFonts w:ascii="Times New Roman"/>
                            <w:w w:val="90"/>
                            <w:sz w:val="20"/>
                          </w:rPr>
                          <w:t>)z</w:t>
                        </w:r>
                      </w:p>
                    </w:tc>
                    <w:tc>
                      <w:tcPr>
                        <w:tcW w:w="686" w:type="dxa"/>
                      </w:tcPr>
                      <w:p>
                        <w:pPr>
                          <w:pStyle w:val="TableParagraph"/>
                          <w:spacing w:before="30"/>
                          <w:ind w:left="84"/>
                          <w:rPr>
                            <w:sz w:val="22"/>
                          </w:rPr>
                        </w:pPr>
                        <w:r>
                          <w:rPr>
                            <w:sz w:val="22"/>
                          </w:rPr>
                          <w:t>75</w:t>
                        </w:r>
                      </w:p>
                    </w:tc>
                    <w:tc>
                      <w:tcPr>
                        <w:tcW w:w="1494" w:type="dxa"/>
                      </w:tcPr>
                      <w:p>
                        <w:pPr>
                          <w:pStyle w:val="TableParagraph"/>
                          <w:spacing w:line="207" w:lineRule="exact"/>
                          <w:ind w:left="85"/>
                          <w:rPr>
                            <w:rFonts w:ascii="Arial" w:hAnsi="Arial"/>
                            <w:i/>
                            <w:sz w:val="19"/>
                          </w:rPr>
                        </w:pPr>
                        <w:r>
                          <w:rPr>
                            <w:rFonts w:ascii="Arial" w:hAnsi="Arial"/>
                            <w:i/>
                            <w:spacing w:val="15"/>
                            <w:w w:val="177"/>
                            <w:sz w:val="19"/>
                          </w:rPr>
                          <w:t>p</w:t>
                        </w:r>
                        <w:r>
                          <w:rPr>
                            <w:rFonts w:ascii="Arial" w:hAnsi="Arial"/>
                            <w:i/>
                            <w:spacing w:val="-26"/>
                            <w:w w:val="210"/>
                            <w:sz w:val="19"/>
                          </w:rPr>
                          <w:t>•</w:t>
                        </w:r>
                        <w:r>
                          <w:rPr>
                            <w:rFonts w:ascii="Arial" w:hAnsi="Arial"/>
                            <w:i/>
                            <w:w w:val="61"/>
                            <w:sz w:val="19"/>
                          </w:rPr>
                          <w:t>l</w:t>
                        </w:r>
                      </w:p>
                    </w:tc>
                    <w:tc>
                      <w:tcPr>
                        <w:tcW w:w="1301" w:type="dxa"/>
                      </w:tcPr>
                      <w:p>
                        <w:pPr>
                          <w:pStyle w:val="TableParagraph"/>
                          <w:spacing w:before="33"/>
                          <w:ind w:right="73"/>
                          <w:jc w:val="right"/>
                          <w:rPr>
                            <w:rFonts w:ascii="Arial"/>
                            <w:sz w:val="18"/>
                          </w:rPr>
                        </w:pPr>
                        <w:r>
                          <w:rPr>
                            <w:rFonts w:ascii="Arial"/>
                            <w:sz w:val="18"/>
                          </w:rPr>
                          <w:t>88</w:t>
                        </w:r>
                      </w:p>
                    </w:tc>
                  </w:tr>
                  <w:tr>
                    <w:trPr>
                      <w:trHeight w:val="282" w:hRule="exact"/>
                    </w:trPr>
                    <w:tc>
                      <w:tcPr>
                        <w:tcW w:w="2377" w:type="dxa"/>
                      </w:tcPr>
                      <w:p>
                        <w:pPr>
                          <w:pStyle w:val="TableParagraph"/>
                          <w:spacing w:before="22"/>
                          <w:ind w:left="63"/>
                          <w:rPr>
                            <w:rFonts w:ascii="Times New Roman"/>
                            <w:sz w:val="20"/>
                          </w:rPr>
                        </w:pPr>
                        <w:r>
                          <w:rPr>
                            <w:rFonts w:ascii="Times New Roman"/>
                            <w:sz w:val="20"/>
                          </w:rPr>
                          <w:t>(IA )!:a1</w:t>
                        </w:r>
                      </w:p>
                    </w:tc>
                    <w:tc>
                      <w:tcPr>
                        <w:tcW w:w="686" w:type="dxa"/>
                      </w:tcPr>
                      <w:p>
                        <w:pPr>
                          <w:pStyle w:val="TableParagraph"/>
                          <w:spacing w:before="19"/>
                          <w:ind w:left="91"/>
                          <w:rPr>
                            <w:sz w:val="22"/>
                          </w:rPr>
                        </w:pPr>
                        <w:r>
                          <w:rPr>
                            <w:sz w:val="22"/>
                          </w:rPr>
                          <w:t>73</w:t>
                        </w:r>
                      </w:p>
                    </w:tc>
                    <w:tc>
                      <w:tcPr>
                        <w:tcW w:w="1494" w:type="dxa"/>
                      </w:tcPr>
                      <w:p>
                        <w:pPr>
                          <w:pStyle w:val="TableParagraph"/>
                          <w:spacing w:line="220" w:lineRule="exact"/>
                          <w:ind w:left="77"/>
                          <w:rPr>
                            <w:rFonts w:ascii="Times New Roman"/>
                            <w:sz w:val="20"/>
                          </w:rPr>
                        </w:pPr>
                        <w:r>
                          <w:rPr>
                            <w:rFonts w:ascii="Times New Roman"/>
                            <w:w w:val="110"/>
                            <w:sz w:val="20"/>
                          </w:rPr>
                          <w:t>P </w:t>
                        </w:r>
                        <w:r>
                          <w:rPr>
                            <w:rFonts w:ascii="Times New Roman"/>
                            <w:sz w:val="20"/>
                          </w:rPr>
                          <w:t>"'I</w:t>
                        </w:r>
                      </w:p>
                    </w:tc>
                    <w:tc>
                      <w:tcPr>
                        <w:tcW w:w="1301" w:type="dxa"/>
                      </w:tcPr>
                      <w:p>
                        <w:pPr>
                          <w:pStyle w:val="TableParagraph"/>
                          <w:spacing w:before="4"/>
                          <w:ind w:right="33"/>
                          <w:jc w:val="right"/>
                          <w:rPr>
                            <w:sz w:val="22"/>
                          </w:rPr>
                        </w:pPr>
                        <w:r>
                          <w:rPr>
                            <w:w w:val="110"/>
                            <w:sz w:val="22"/>
                          </w:rPr>
                          <w:t>89</w:t>
                        </w:r>
                      </w:p>
                    </w:tc>
                  </w:tr>
                  <w:tr>
                    <w:trPr>
                      <w:trHeight w:val="273" w:hRule="exact"/>
                    </w:trPr>
                    <w:tc>
                      <w:tcPr>
                        <w:tcW w:w="2377" w:type="dxa"/>
                      </w:tcPr>
                      <w:p>
                        <w:pPr>
                          <w:pStyle w:val="TableParagraph"/>
                          <w:spacing w:before="14"/>
                          <w:ind w:left="70"/>
                          <w:rPr>
                            <w:rFonts w:ascii="Times New Roman" w:hAnsi="Times New Roman"/>
                            <w:i/>
                            <w:sz w:val="20"/>
                          </w:rPr>
                        </w:pPr>
                        <w:r>
                          <w:rPr>
                            <w:rFonts w:ascii="Arial" w:hAnsi="Arial"/>
                            <w:i/>
                            <w:sz w:val="19"/>
                          </w:rPr>
                          <w:t>(l,;¡A </w:t>
                        </w:r>
                        <w:r>
                          <w:rPr>
                            <w:rFonts w:ascii="Times New Roman" w:hAnsi="Times New Roman"/>
                            <w:i/>
                            <w:sz w:val="20"/>
                          </w:rPr>
                          <w:t>)z</w:t>
                        </w:r>
                      </w:p>
                    </w:tc>
                    <w:tc>
                      <w:tcPr>
                        <w:tcW w:w="686" w:type="dxa"/>
                      </w:tcPr>
                      <w:p>
                        <w:pPr>
                          <w:pStyle w:val="TableParagraph"/>
                          <w:spacing w:before="10"/>
                          <w:ind w:left="87"/>
                          <w:rPr>
                            <w:sz w:val="22"/>
                          </w:rPr>
                        </w:pPr>
                        <w:r>
                          <w:rPr>
                            <w:sz w:val="22"/>
                          </w:rPr>
                          <w:t>73</w:t>
                        </w:r>
                      </w:p>
                    </w:tc>
                    <w:tc>
                      <w:tcPr>
                        <w:tcW w:w="1494" w:type="dxa"/>
                      </w:tcPr>
                      <w:p>
                        <w:pPr>
                          <w:pStyle w:val="TableParagraph"/>
                          <w:spacing w:before="10"/>
                          <w:ind w:left="77"/>
                          <w:rPr>
                            <w:rFonts w:ascii="Times New Roman"/>
                            <w:i/>
                            <w:sz w:val="20"/>
                          </w:rPr>
                        </w:pPr>
                        <w:r>
                          <w:rPr>
                            <w:rFonts w:ascii="Times New Roman"/>
                            <w:i/>
                            <w:w w:val="120"/>
                            <w:sz w:val="20"/>
                          </w:rPr>
                          <w:t>P:</w:t>
                        </w:r>
                      </w:p>
                    </w:tc>
                    <w:tc>
                      <w:tcPr>
                        <w:tcW w:w="1301" w:type="dxa"/>
                      </w:tcPr>
                      <w:p>
                        <w:pPr>
                          <w:pStyle w:val="TableParagraph"/>
                          <w:spacing w:line="249" w:lineRule="exact"/>
                          <w:ind w:right="43"/>
                          <w:jc w:val="right"/>
                          <w:rPr>
                            <w:sz w:val="22"/>
                          </w:rPr>
                        </w:pPr>
                        <w:r>
                          <w:rPr>
                            <w:w w:val="85"/>
                            <w:sz w:val="22"/>
                          </w:rPr>
                          <w:t>140</w:t>
                        </w:r>
                      </w:p>
                    </w:tc>
                  </w:tr>
                  <w:tr>
                    <w:trPr>
                      <w:trHeight w:val="282" w:hRule="exact"/>
                    </w:trPr>
                    <w:tc>
                      <w:tcPr>
                        <w:tcW w:w="2377" w:type="dxa"/>
                      </w:tcPr>
                      <w:p>
                        <w:pPr>
                          <w:pStyle w:val="TableParagraph"/>
                          <w:spacing w:line="239" w:lineRule="exact"/>
                          <w:ind w:left="70"/>
                          <w:rPr>
                            <w:rFonts w:ascii="Times New Roman"/>
                            <w:b/>
                            <w:i/>
                            <w:sz w:val="21"/>
                          </w:rPr>
                        </w:pPr>
                        <w:r>
                          <w:rPr>
                            <w:rFonts w:ascii="Times New Roman"/>
                            <w:b/>
                            <w:i/>
                            <w:w w:val="85"/>
                            <w:sz w:val="21"/>
                          </w:rPr>
                          <w:t>( fa )z</w:t>
                        </w:r>
                      </w:p>
                    </w:tc>
                    <w:tc>
                      <w:tcPr>
                        <w:tcW w:w="686" w:type="dxa"/>
                      </w:tcPr>
                      <w:p>
                        <w:pPr>
                          <w:pStyle w:val="TableParagraph"/>
                          <w:spacing w:before="10"/>
                          <w:ind w:left="87"/>
                          <w:rPr>
                            <w:sz w:val="22"/>
                          </w:rPr>
                        </w:pPr>
                        <w:r>
                          <w:rPr>
                            <w:w w:val="90"/>
                            <w:sz w:val="22"/>
                          </w:rPr>
                          <w:t>51</w:t>
                        </w:r>
                      </w:p>
                    </w:tc>
                    <w:tc>
                      <w:tcPr>
                        <w:tcW w:w="1494" w:type="dxa"/>
                      </w:tcPr>
                      <w:p>
                        <w:pPr>
                          <w:pStyle w:val="TableParagraph"/>
                          <w:spacing w:line="235" w:lineRule="exact"/>
                          <w:ind w:left="88"/>
                          <w:rPr>
                            <w:rFonts w:ascii="Times New Roman"/>
                            <w:b/>
                            <w:i/>
                            <w:sz w:val="21"/>
                          </w:rPr>
                        </w:pPr>
                        <w:r>
                          <w:rPr>
                            <w:rFonts w:ascii="Times New Roman"/>
                            <w:b/>
                            <w:i/>
                            <w:sz w:val="21"/>
                          </w:rPr>
                          <w:t>,Pz</w:t>
                        </w:r>
                      </w:p>
                    </w:tc>
                    <w:tc>
                      <w:tcPr>
                        <w:tcW w:w="1301" w:type="dxa"/>
                      </w:tcPr>
                      <w:p>
                        <w:pPr>
                          <w:pStyle w:val="TableParagraph"/>
                          <w:spacing w:before="7"/>
                          <w:ind w:right="39"/>
                          <w:jc w:val="right"/>
                          <w:rPr>
                            <w:sz w:val="22"/>
                          </w:rPr>
                        </w:pPr>
                        <w:r>
                          <w:rPr>
                            <w:w w:val="110"/>
                            <w:sz w:val="22"/>
                          </w:rPr>
                          <w:t>82</w:t>
                        </w:r>
                      </w:p>
                    </w:tc>
                  </w:tr>
                  <w:tr>
                    <w:trPr>
                      <w:trHeight w:val="282" w:hRule="exact"/>
                    </w:trPr>
                    <w:tc>
                      <w:tcPr>
                        <w:tcW w:w="2377" w:type="dxa"/>
                      </w:tcPr>
                      <w:p>
                        <w:pPr>
                          <w:pStyle w:val="TableParagraph"/>
                          <w:spacing w:before="19"/>
                          <w:ind w:left="74"/>
                          <w:rPr>
                            <w:rFonts w:ascii="Times New Roman"/>
                            <w:i/>
                            <w:sz w:val="20"/>
                          </w:rPr>
                        </w:pPr>
                        <w:r>
                          <w:rPr>
                            <w:rFonts w:ascii="Times New Roman"/>
                            <w:i/>
                            <w:w w:val="90"/>
                            <w:sz w:val="20"/>
                          </w:rPr>
                          <w:t>( Jii )z</w:t>
                        </w:r>
                      </w:p>
                    </w:tc>
                    <w:tc>
                      <w:tcPr>
                        <w:tcW w:w="686" w:type="dxa"/>
                      </w:tcPr>
                      <w:p>
                        <w:pPr>
                          <w:pStyle w:val="TableParagraph"/>
                          <w:spacing w:before="8"/>
                          <w:ind w:left="84"/>
                          <w:rPr>
                            <w:sz w:val="22"/>
                          </w:rPr>
                        </w:pPr>
                        <w:r>
                          <w:rPr>
                            <w:sz w:val="22"/>
                          </w:rPr>
                          <w:t>52</w:t>
                        </w:r>
                      </w:p>
                    </w:tc>
                    <w:tc>
                      <w:tcPr>
                        <w:tcW w:w="1494" w:type="dxa"/>
                      </w:tcPr>
                      <w:p>
                        <w:pPr>
                          <w:pStyle w:val="TableParagraph"/>
                          <w:spacing w:line="204" w:lineRule="exact"/>
                          <w:ind w:left="88"/>
                          <w:rPr>
                            <w:rFonts w:ascii="Times New Roman" w:hAnsi="Times New Roman"/>
                            <w:sz w:val="24"/>
                          </w:rPr>
                        </w:pPr>
                        <w:r>
                          <w:rPr>
                            <w:rFonts w:ascii="Times New Roman" w:hAnsi="Times New Roman"/>
                            <w:sz w:val="24"/>
                          </w:rPr>
                          <w:t>tP •)</w:t>
                        </w:r>
                      </w:p>
                    </w:tc>
                    <w:tc>
                      <w:tcPr>
                        <w:tcW w:w="1301" w:type="dxa"/>
                      </w:tcPr>
                      <w:p>
                        <w:pPr>
                          <w:pStyle w:val="TableParagraph"/>
                          <w:spacing w:before="8"/>
                          <w:ind w:right="41"/>
                          <w:jc w:val="right"/>
                          <w:rPr>
                            <w:sz w:val="22"/>
                          </w:rPr>
                        </w:pPr>
                        <w:r>
                          <w:rPr>
                            <w:w w:val="105"/>
                            <w:sz w:val="22"/>
                          </w:rPr>
                          <w:t>87</w:t>
                        </w:r>
                      </w:p>
                    </w:tc>
                  </w:tr>
                  <w:tr>
                    <w:trPr>
                      <w:trHeight w:val="276" w:hRule="exact"/>
                    </w:trPr>
                    <w:tc>
                      <w:tcPr>
                        <w:tcW w:w="2377" w:type="dxa"/>
                      </w:tcPr>
                      <w:p>
                        <w:pPr>
                          <w:pStyle w:val="TableParagraph"/>
                          <w:spacing w:before="26"/>
                          <w:ind w:left="74"/>
                          <w:rPr>
                            <w:rFonts w:ascii="Arial" w:hAnsi="Arial"/>
                            <w:b/>
                            <w:i/>
                            <w:sz w:val="19"/>
                          </w:rPr>
                        </w:pPr>
                        <w:r>
                          <w:rPr>
                            <w:rFonts w:ascii="Arial" w:hAnsi="Arial"/>
                            <w:b/>
                            <w:i/>
                            <w:w w:val="85"/>
                            <w:sz w:val="19"/>
                          </w:rPr>
                          <w:t>( Já)z</w:t>
                        </w:r>
                      </w:p>
                    </w:tc>
                    <w:tc>
                      <w:tcPr>
                        <w:tcW w:w="686" w:type="dxa"/>
                      </w:tcPr>
                      <w:p>
                        <w:pPr>
                          <w:pStyle w:val="TableParagraph"/>
                          <w:spacing w:before="10"/>
                          <w:ind w:left="91"/>
                          <w:rPr>
                            <w:sz w:val="22"/>
                          </w:rPr>
                        </w:pPr>
                        <w:r>
                          <w:rPr>
                            <w:w w:val="95"/>
                            <w:sz w:val="22"/>
                          </w:rPr>
                          <w:t>54</w:t>
                        </w:r>
                      </w:p>
                    </w:tc>
                    <w:tc>
                      <w:tcPr>
                        <w:tcW w:w="1494" w:type="dxa"/>
                      </w:tcPr>
                      <w:p>
                        <w:pPr>
                          <w:pStyle w:val="TableParagraph"/>
                          <w:spacing w:line="97" w:lineRule="exact"/>
                          <w:ind w:left="135"/>
                          <w:rPr>
                            <w:rFonts w:ascii="Arial" w:hAnsi="Arial"/>
                            <w:i/>
                            <w:sz w:val="19"/>
                          </w:rPr>
                        </w:pPr>
                        <w:r>
                          <w:rPr>
                            <w:rFonts w:ascii="Arial" w:hAnsi="Arial"/>
                            <w:i/>
                            <w:w w:val="137"/>
                            <w:sz w:val="19"/>
                          </w:rPr>
                          <w:t>p</w:t>
                        </w:r>
                        <w:r>
                          <w:rPr>
                            <w:rFonts w:ascii="Arial" w:hAnsi="Arial"/>
                            <w:i/>
                            <w:w w:val="137"/>
                            <w:sz w:val="19"/>
                          </w:rPr>
                          <w:t>l</w:t>
                        </w:r>
                        <w:r>
                          <w:rPr>
                            <w:rFonts w:ascii="Arial" w:hAnsi="Arial"/>
                            <w:i/>
                            <w:spacing w:val="12"/>
                            <w:w w:val="137"/>
                            <w:sz w:val="19"/>
                          </w:rPr>
                          <w:t>•</w:t>
                        </w:r>
                        <w:r>
                          <w:rPr>
                            <w:rFonts w:ascii="Arial" w:hAnsi="Arial"/>
                            <w:i/>
                            <w:w w:val="51"/>
                            <w:sz w:val="19"/>
                          </w:rPr>
                          <w:t>I</w:t>
                        </w:r>
                      </w:p>
                      <w:p>
                        <w:pPr>
                          <w:pStyle w:val="TableParagraph"/>
                          <w:spacing w:line="158" w:lineRule="exact"/>
                          <w:ind w:left="92"/>
                          <w:rPr>
                            <w:rFonts w:ascii="Times New Roman"/>
                            <w:sz w:val="20"/>
                          </w:rPr>
                        </w:pPr>
                        <w:r>
                          <w:rPr>
                            <w:rFonts w:ascii="Times New Roman"/>
                            <w:i/>
                            <w:sz w:val="12"/>
                          </w:rPr>
                          <w:t>t    </w:t>
                        </w:r>
                        <w:r>
                          <w:rPr>
                            <w:rFonts w:ascii="Times New Roman"/>
                            <w:sz w:val="20"/>
                          </w:rPr>
                          <w:t>z</w:t>
                        </w:r>
                      </w:p>
                    </w:tc>
                    <w:tc>
                      <w:tcPr>
                        <w:tcW w:w="1301" w:type="dxa"/>
                      </w:tcPr>
                      <w:p>
                        <w:pPr>
                          <w:pStyle w:val="TableParagraph"/>
                          <w:spacing w:before="9"/>
                          <w:ind w:right="73"/>
                          <w:jc w:val="right"/>
                          <w:rPr>
                            <w:rFonts w:ascii="Times New Roman"/>
                            <w:sz w:val="19"/>
                          </w:rPr>
                        </w:pPr>
                        <w:r>
                          <w:rPr>
                            <w:rFonts w:ascii="Times New Roman"/>
                            <w:w w:val="105"/>
                            <w:sz w:val="19"/>
                          </w:rPr>
                          <w:t>90</w:t>
                        </w:r>
                      </w:p>
                    </w:tc>
                  </w:tr>
                  <w:tr>
                    <w:trPr>
                      <w:trHeight w:val="306" w:hRule="exact"/>
                    </w:trPr>
                    <w:tc>
                      <w:tcPr>
                        <w:tcW w:w="2377" w:type="dxa"/>
                      </w:tcPr>
                      <w:p>
                        <w:pPr>
                          <w:pStyle w:val="TableParagraph"/>
                          <w:spacing w:before="17"/>
                          <w:ind w:left="74"/>
                          <w:rPr>
                            <w:rFonts w:ascii="Times New Roman"/>
                            <w:i/>
                            <w:sz w:val="20"/>
                          </w:rPr>
                        </w:pPr>
                        <w:r>
                          <w:rPr>
                            <w:rFonts w:ascii="Times New Roman"/>
                            <w:i/>
                            <w:w w:val="105"/>
                            <w:sz w:val="20"/>
                          </w:rPr>
                          <w:t>(la)z</w:t>
                        </w:r>
                      </w:p>
                    </w:tc>
                    <w:tc>
                      <w:tcPr>
                        <w:tcW w:w="686" w:type="dxa"/>
                      </w:tcPr>
                      <w:p>
                        <w:pPr>
                          <w:pStyle w:val="TableParagraph"/>
                          <w:spacing w:before="14"/>
                          <w:ind w:left="84"/>
                          <w:rPr>
                            <w:sz w:val="22"/>
                          </w:rPr>
                        </w:pPr>
                        <w:r>
                          <w:rPr>
                            <w:sz w:val="22"/>
                          </w:rPr>
                          <w:t>55</w:t>
                        </w:r>
                      </w:p>
                    </w:tc>
                    <w:tc>
                      <w:tcPr>
                        <w:tcW w:w="1494" w:type="dxa"/>
                      </w:tcPr>
                      <w:p>
                        <w:pPr>
                          <w:pStyle w:val="TableParagraph"/>
                          <w:spacing w:before="1"/>
                          <w:ind w:left="81"/>
                          <w:rPr>
                            <w:rFonts w:ascii="Times New Roman"/>
                            <w:b/>
                            <w:sz w:val="20"/>
                          </w:rPr>
                        </w:pPr>
                        <w:r>
                          <w:rPr>
                            <w:rFonts w:ascii="Times New Roman"/>
                            <w:b/>
                            <w:i/>
                            <w:w w:val="80"/>
                            <w:sz w:val="21"/>
                          </w:rPr>
                          <w:t>p </w:t>
                        </w:r>
                        <w:r>
                          <w:rPr>
                            <w:rFonts w:ascii="Times New Roman"/>
                            <w:b/>
                            <w:w w:val="80"/>
                            <w:sz w:val="20"/>
                          </w:rPr>
                          <w:t>z:';l</w:t>
                        </w:r>
                      </w:p>
                    </w:tc>
                    <w:tc>
                      <w:tcPr>
                        <w:tcW w:w="1301" w:type="dxa"/>
                      </w:tcPr>
                      <w:p>
                        <w:pPr>
                          <w:pStyle w:val="TableParagraph"/>
                          <w:spacing w:before="3"/>
                          <w:ind w:right="70"/>
                          <w:jc w:val="right"/>
                          <w:rPr>
                            <w:sz w:val="22"/>
                          </w:rPr>
                        </w:pPr>
                        <w:r>
                          <w:rPr>
                            <w:w w:val="95"/>
                            <w:sz w:val="22"/>
                          </w:rPr>
                          <w:t>81</w:t>
                        </w:r>
                      </w:p>
                    </w:tc>
                  </w:tr>
                  <w:tr>
                    <w:trPr>
                      <w:trHeight w:val="280" w:hRule="exact"/>
                    </w:trPr>
                    <w:tc>
                      <w:tcPr>
                        <w:tcW w:w="3063" w:type="dxa"/>
                        <w:gridSpan w:val="2"/>
                      </w:tcPr>
                      <w:p>
                        <w:pPr>
                          <w:pStyle w:val="TableParagraph"/>
                          <w:tabs>
                            <w:tab w:pos="2697" w:val="right" w:leader="none"/>
                          </w:tabs>
                          <w:spacing w:line="237" w:lineRule="exact"/>
                          <w:ind w:left="67"/>
                          <w:rPr>
                            <w:sz w:val="22"/>
                          </w:rPr>
                        </w:pPr>
                        <w:r>
                          <w:rPr>
                            <w:rFonts w:ascii="Times New Roman"/>
                            <w:i/>
                            <w:position w:val="1"/>
                            <w:sz w:val="20"/>
                          </w:rPr>
                          <w:t>(</w:t>
                        </w:r>
                        <w:r>
                          <w:rPr>
                            <w:rFonts w:ascii="Times New Roman"/>
                            <w:i/>
                            <w:spacing w:val="-34"/>
                            <w:position w:val="1"/>
                            <w:sz w:val="20"/>
                          </w:rPr>
                          <w:t> </w:t>
                        </w:r>
                        <w:r>
                          <w:rPr>
                            <w:rFonts w:ascii="Times New Roman"/>
                            <w:i/>
                            <w:spacing w:val="4"/>
                            <w:position w:val="1"/>
                            <w:sz w:val="20"/>
                          </w:rPr>
                          <w:t>la)!</w:t>
                        </w:r>
                        <w:r>
                          <w:rPr>
                            <w:rFonts w:ascii="Times New Roman"/>
                            <w:i/>
                            <w:spacing w:val="-25"/>
                            <w:position w:val="1"/>
                            <w:sz w:val="20"/>
                          </w:rPr>
                          <w:t> </w:t>
                        </w:r>
                        <w:r>
                          <w:rPr>
                            <w:rFonts w:ascii="Times New Roman"/>
                            <w:i/>
                            <w:position w:val="1"/>
                            <w:sz w:val="20"/>
                          </w:rPr>
                          <w:t>"'&gt;</w:t>
                        </w:r>
                        <w:r>
                          <w:rPr>
                            <w:sz w:val="22"/>
                          </w:rPr>
                          <w:tab/>
                        </w:r>
                        <w:r>
                          <w:rPr>
                            <w:spacing w:val="-18"/>
                            <w:sz w:val="22"/>
                          </w:rPr>
                          <w:t>53</w:t>
                        </w:r>
                      </w:p>
                    </w:tc>
                    <w:tc>
                      <w:tcPr>
                        <w:tcW w:w="1494" w:type="dxa"/>
                      </w:tcPr>
                      <w:p>
                        <w:pPr>
                          <w:pStyle w:val="TableParagraph"/>
                          <w:spacing w:line="133" w:lineRule="exact"/>
                          <w:ind w:left="249"/>
                          <w:rPr>
                            <w:rFonts w:ascii="Arial" w:hAnsi="Arial"/>
                            <w:sz w:val="16"/>
                          </w:rPr>
                        </w:pPr>
                        <w:r>
                          <w:rPr>
                            <w:rFonts w:ascii="Arial" w:hAnsi="Arial"/>
                            <w:w w:val="195"/>
                            <w:sz w:val="16"/>
                          </w:rPr>
                          <w:t>l•I</w:t>
                        </w:r>
                      </w:p>
                    </w:tc>
                    <w:tc>
                      <w:tcPr>
                        <w:tcW w:w="1301" w:type="dxa"/>
                      </w:tcPr>
                      <w:p>
                        <w:pPr>
                          <w:pStyle w:val="TableParagraph"/>
                          <w:spacing w:before="26"/>
                          <w:ind w:right="72"/>
                          <w:jc w:val="right"/>
                          <w:rPr>
                            <w:rFonts w:ascii="Times New Roman"/>
                            <w:sz w:val="19"/>
                          </w:rPr>
                        </w:pPr>
                        <w:r>
                          <w:rPr>
                            <w:rFonts w:ascii="Times New Roman"/>
                            <w:w w:val="110"/>
                            <w:sz w:val="19"/>
                          </w:rPr>
                          <w:t>90</w:t>
                        </w:r>
                      </w:p>
                    </w:tc>
                  </w:tr>
                  <w:tr>
                    <w:trPr>
                      <w:trHeight w:val="319" w:hRule="exact"/>
                    </w:trPr>
                    <w:tc>
                      <w:tcPr>
                        <w:tcW w:w="3063" w:type="dxa"/>
                        <w:gridSpan w:val="2"/>
                      </w:tcPr>
                      <w:p>
                        <w:pPr>
                          <w:pStyle w:val="TableParagraph"/>
                          <w:tabs>
                            <w:tab w:pos="2697" w:val="right" w:leader="none"/>
                          </w:tabs>
                          <w:spacing w:line="242" w:lineRule="exact"/>
                          <w:ind w:left="70"/>
                          <w:rPr>
                            <w:sz w:val="22"/>
                          </w:rPr>
                        </w:pPr>
                        <w:r>
                          <w:rPr>
                            <w:rFonts w:ascii="Times New Roman"/>
                            <w:w w:val="95"/>
                            <w:sz w:val="20"/>
                          </w:rPr>
                          <w:t>(</w:t>
                        </w:r>
                        <w:r>
                          <w:rPr>
                            <w:rFonts w:ascii="Times New Roman"/>
                            <w:w w:val="95"/>
                            <w:sz w:val="20"/>
                          </w:rPr>
                          <w:t>]'"'&gt;a</w:t>
                        </w:r>
                        <w:r>
                          <w:rPr>
                            <w:rFonts w:ascii="Times New Roman"/>
                            <w:spacing w:val="-18"/>
                            <w:sz w:val="20"/>
                          </w:rPr>
                          <w:t> </w:t>
                        </w:r>
                        <w:r>
                          <w:rPr>
                            <w:rFonts w:ascii="Times New Roman"/>
                            <w:spacing w:val="-9"/>
                            <w:w w:val="216"/>
                            <w:sz w:val="20"/>
                          </w:rPr>
                          <w:t>)</w:t>
                        </w:r>
                        <w:r>
                          <w:rPr>
                            <w:rFonts w:ascii="Times New Roman"/>
                            <w:w w:val="89"/>
                            <w:sz w:val="20"/>
                          </w:rPr>
                          <w:t>-&gt;</w:t>
                        </w:r>
                        <w:r>
                          <w:rPr>
                            <w:w w:val="99"/>
                            <w:position w:val="-2"/>
                            <w:sz w:val="22"/>
                          </w:rPr>
                          <w:t> </w:t>
                        </w:r>
                        <w:r>
                          <w:rPr>
                            <w:position w:val="-2"/>
                            <w:sz w:val="22"/>
                          </w:rPr>
                          <w:tab/>
                        </w:r>
                        <w:r>
                          <w:rPr>
                            <w:w w:val="83"/>
                            <w:position w:val="-2"/>
                            <w:sz w:val="22"/>
                          </w:rPr>
                          <w:t>54</w:t>
                        </w:r>
                      </w:p>
                    </w:tc>
                    <w:tc>
                      <w:tcPr>
                        <w:tcW w:w="1494" w:type="dxa"/>
                      </w:tcPr>
                      <w:p>
                        <w:pPr>
                          <w:pStyle w:val="TableParagraph"/>
                          <w:spacing w:before="34"/>
                          <w:ind w:left="95"/>
                          <w:rPr>
                            <w:rFonts w:ascii="Times New Roman"/>
                            <w:sz w:val="20"/>
                          </w:rPr>
                        </w:pPr>
                        <w:r>
                          <w:rPr>
                            <w:rFonts w:ascii="Times New Roman"/>
                            <w:sz w:val="20"/>
                          </w:rPr>
                          <w:t>,Pz:"il</w:t>
                        </w:r>
                      </w:p>
                    </w:tc>
                    <w:tc>
                      <w:tcPr>
                        <w:tcW w:w="1301" w:type="dxa"/>
                      </w:tcPr>
                      <w:p>
                        <w:pPr>
                          <w:pStyle w:val="TableParagraph"/>
                          <w:spacing w:before="20"/>
                          <w:ind w:right="48"/>
                          <w:jc w:val="right"/>
                          <w:rPr>
                            <w:sz w:val="22"/>
                          </w:rPr>
                        </w:pPr>
                        <w:r>
                          <w:rPr>
                            <w:w w:val="105"/>
                            <w:sz w:val="22"/>
                          </w:rPr>
                          <w:t>82</w:t>
                        </w:r>
                      </w:p>
                    </w:tc>
                  </w:tr>
                  <w:tr>
                    <w:trPr>
                      <w:trHeight w:val="288" w:hRule="exact"/>
                    </w:trPr>
                    <w:tc>
                      <w:tcPr>
                        <w:tcW w:w="4558" w:type="dxa"/>
                        <w:gridSpan w:val="3"/>
                      </w:tcPr>
                      <w:p>
                        <w:pPr>
                          <w:pStyle w:val="TableParagraph"/>
                          <w:tabs>
                            <w:tab w:pos="2475" w:val="left" w:leader="none"/>
                            <w:tab w:pos="3355" w:val="left" w:leader="none"/>
                          </w:tabs>
                          <w:spacing w:line="199" w:lineRule="exact"/>
                          <w:ind w:left="70"/>
                          <w:rPr>
                            <w:rFonts w:ascii="Arial" w:hAnsi="Arial"/>
                            <w:sz w:val="22"/>
                          </w:rPr>
                        </w:pPr>
                        <w:r>
                          <w:rPr>
                            <w:rFonts w:ascii="Times New Roman" w:hAnsi="Times New Roman"/>
                            <w:w w:val="94"/>
                            <w:sz w:val="20"/>
                          </w:rPr>
                          <w:t>(</w:t>
                        </w:r>
                        <w:r>
                          <w:rPr>
                            <w:rFonts w:ascii="Times New Roman" w:hAnsi="Times New Roman"/>
                            <w:w w:val="94"/>
                            <w:sz w:val="20"/>
                          </w:rPr>
                          <w:t>Ja</w:t>
                        </w:r>
                        <w:r>
                          <w:rPr>
                            <w:rFonts w:ascii="Times New Roman" w:hAnsi="Times New Roman"/>
                            <w:w w:val="94"/>
                            <w:sz w:val="20"/>
                          </w:rPr>
                          <w:t>)</w:t>
                        </w:r>
                        <w:r>
                          <w:rPr>
                            <w:rFonts w:ascii="Times New Roman" w:hAnsi="Times New Roman"/>
                            <w:w w:val="94"/>
                            <w:sz w:val="20"/>
                          </w:rPr>
                          <w:t>z:;;J</w:t>
                        </w:r>
                        <w:r>
                          <w:rPr>
                            <w:rFonts w:ascii="Times New Roman" w:hAnsi="Times New Roman"/>
                            <w:sz w:val="20"/>
                          </w:rPr>
                          <w:tab/>
                        </w:r>
                        <w:r>
                          <w:rPr>
                            <w:spacing w:val="-33"/>
                            <w:w w:val="97"/>
                            <w:position w:val="1"/>
                            <w:sz w:val="22"/>
                          </w:rPr>
                          <w:t>5</w:t>
                        </w:r>
                        <w:r>
                          <w:rPr>
                            <w:w w:val="100"/>
                            <w:position w:val="1"/>
                            <w:sz w:val="22"/>
                          </w:rPr>
                          <w:t>2</w:t>
                        </w:r>
                        <w:r>
                          <w:rPr>
                            <w:position w:val="1"/>
                            <w:sz w:val="22"/>
                          </w:rPr>
                          <w:tab/>
                        </w:r>
                        <w:r>
                          <w:rPr>
                            <w:rFonts w:ascii="Arial" w:hAnsi="Arial"/>
                            <w:w w:val="80"/>
                            <w:position w:val="4"/>
                            <w:sz w:val="22"/>
                          </w:rPr>
                          <w:t>&lt;</w:t>
                        </w:r>
                        <w:r>
                          <w:rPr>
                            <w:rFonts w:ascii="Arial" w:hAnsi="Arial"/>
                            <w:spacing w:val="-6"/>
                            <w:w w:val="80"/>
                            <w:position w:val="4"/>
                            <w:sz w:val="22"/>
                          </w:rPr>
                          <w:t>•</w:t>
                        </w:r>
                        <w:r>
                          <w:rPr>
                            <w:rFonts w:ascii="Arial" w:hAnsi="Arial"/>
                            <w:w w:val="35"/>
                            <w:position w:val="4"/>
                            <w:sz w:val="22"/>
                          </w:rPr>
                          <w:t>&gt;</w:t>
                        </w:r>
                      </w:p>
                    </w:tc>
                    <w:tc>
                      <w:tcPr>
                        <w:tcW w:w="1301" w:type="dxa"/>
                      </w:tcPr>
                      <w:p>
                        <w:pPr>
                          <w:pStyle w:val="TableParagraph"/>
                          <w:spacing w:line="227" w:lineRule="exact"/>
                          <w:ind w:right="52"/>
                          <w:jc w:val="right"/>
                          <w:rPr>
                            <w:sz w:val="22"/>
                          </w:rPr>
                        </w:pPr>
                        <w:r>
                          <w:rPr>
                            <w:sz w:val="22"/>
                          </w:rPr>
                          <w:t>93</w:t>
                        </w:r>
                      </w:p>
                    </w:tc>
                  </w:tr>
                  <w:tr>
                    <w:trPr>
                      <w:trHeight w:val="303" w:hRule="exact"/>
                    </w:trPr>
                    <w:tc>
                      <w:tcPr>
                        <w:tcW w:w="4558" w:type="dxa"/>
                        <w:gridSpan w:val="3"/>
                      </w:tcPr>
                      <w:p>
                        <w:pPr>
                          <w:pStyle w:val="TableParagraph"/>
                          <w:tabs>
                            <w:tab w:pos="2468" w:val="left" w:leader="none"/>
                            <w:tab w:pos="3098" w:val="left" w:leader="none"/>
                          </w:tabs>
                          <w:spacing w:line="258" w:lineRule="exact"/>
                          <w:ind w:left="70"/>
                          <w:rPr>
                            <w:rFonts w:ascii="Times New Roman"/>
                            <w:sz w:val="20"/>
                          </w:rPr>
                        </w:pPr>
                        <w:r>
                          <w:rPr>
                            <w:rFonts w:ascii="Times New Roman"/>
                            <w:i/>
                            <w:w w:val="69"/>
                            <w:sz w:val="20"/>
                          </w:rPr>
                          <w:t>(</w:t>
                        </w:r>
                        <w:r>
                          <w:rPr>
                            <w:rFonts w:ascii="Times New Roman"/>
                            <w:i/>
                            <w:spacing w:val="-36"/>
                            <w:sz w:val="20"/>
                          </w:rPr>
                          <w:t> </w:t>
                        </w:r>
                        <w:r>
                          <w:rPr>
                            <w:rFonts w:ascii="Times New Roman"/>
                            <w:i/>
                            <w:w w:val="103"/>
                            <w:sz w:val="20"/>
                          </w:rPr>
                          <w:t>I</w:t>
                        </w:r>
                        <w:r>
                          <w:rPr>
                            <w:rFonts w:ascii="Times New Roman"/>
                            <w:i/>
                            <w:spacing w:val="-23"/>
                            <w:sz w:val="20"/>
                          </w:rPr>
                          <w:t> </w:t>
                        </w:r>
                        <w:r>
                          <w:rPr>
                            <w:rFonts w:ascii="Times New Roman"/>
                            <w:i/>
                            <w:w w:val="94"/>
                            <w:sz w:val="20"/>
                          </w:rPr>
                          <w:t>ii</w:t>
                        </w:r>
                        <w:r>
                          <w:rPr>
                            <w:rFonts w:ascii="Times New Roman"/>
                            <w:i/>
                            <w:spacing w:val="-30"/>
                            <w:sz w:val="20"/>
                          </w:rPr>
                          <w:t> </w:t>
                        </w:r>
                        <w:r>
                          <w:rPr>
                            <w:rFonts w:ascii="Times New Roman"/>
                            <w:w w:val="87"/>
                            <w:sz w:val="20"/>
                          </w:rPr>
                          <w:t>)</w:t>
                        </w:r>
                        <w:r>
                          <w:rPr>
                            <w:rFonts w:ascii="Times New Roman"/>
                            <w:w w:val="87"/>
                            <w:sz w:val="20"/>
                          </w:rPr>
                          <w:t>z</w:t>
                        </w:r>
                        <w:r>
                          <w:rPr>
                            <w:rFonts w:ascii="Times New Roman"/>
                            <w:spacing w:val="-26"/>
                            <w:sz w:val="20"/>
                          </w:rPr>
                          <w:t> </w:t>
                        </w:r>
                        <w:r>
                          <w:rPr>
                            <w:rFonts w:ascii="Times New Roman"/>
                            <w:color w:val="282828"/>
                            <w:spacing w:val="-27"/>
                            <w:w w:val="79"/>
                            <w:sz w:val="20"/>
                          </w:rPr>
                          <w:t>:</w:t>
                        </w:r>
                        <w:r>
                          <w:rPr>
                            <w:rFonts w:ascii="Times New Roman"/>
                            <w:w w:val="68"/>
                            <w:sz w:val="20"/>
                          </w:rPr>
                          <w:t>-;J</w:t>
                        </w:r>
                        <w:r>
                          <w:rPr>
                            <w:rFonts w:ascii="Times New Roman"/>
                            <w:sz w:val="20"/>
                          </w:rPr>
                          <w:tab/>
                        </w:r>
                        <w:r>
                          <w:rPr>
                            <w:spacing w:val="-30"/>
                            <w:w w:val="108"/>
                            <w:position w:val="2"/>
                            <w:sz w:val="22"/>
                          </w:rPr>
                          <w:t>6</w:t>
                        </w:r>
                        <w:r>
                          <w:rPr>
                            <w:w w:val="75"/>
                            <w:position w:val="2"/>
                            <w:sz w:val="22"/>
                          </w:rPr>
                          <w:t>1</w:t>
                        </w:r>
                        <w:r>
                          <w:rPr>
                            <w:position w:val="2"/>
                            <w:sz w:val="22"/>
                          </w:rPr>
                          <w:tab/>
                        </w:r>
                        <w:r>
                          <w:rPr>
                            <w:rFonts w:ascii="Times New Roman"/>
                            <w:spacing w:val="-192"/>
                            <w:w w:val="135"/>
                            <w:position w:val="-7"/>
                            <w:sz w:val="20"/>
                          </w:rPr>
                          <w:t>P</w:t>
                        </w:r>
                        <w:r>
                          <w:rPr>
                            <w:rFonts w:ascii="Times New Roman"/>
                            <w:spacing w:val="-235"/>
                            <w:w w:val="306"/>
                            <w:position w:val="-7"/>
                            <w:sz w:val="20"/>
                          </w:rPr>
                          <w:t>!</w:t>
                        </w:r>
                        <w:r>
                          <w:rPr>
                            <w:rFonts w:ascii="Times New Roman"/>
                            <w:spacing w:val="-32"/>
                            <w:w w:val="95"/>
                            <w:position w:val="-7"/>
                            <w:sz w:val="20"/>
                          </w:rPr>
                          <w:t>:</w:t>
                        </w:r>
                        <w:r>
                          <w:rPr>
                            <w:rFonts w:ascii="Times New Roman"/>
                            <w:w w:val="118"/>
                            <w:position w:val="-7"/>
                            <w:sz w:val="20"/>
                          </w:rPr>
                          <w:t>.J</w:t>
                        </w:r>
                      </w:p>
                    </w:tc>
                    <w:tc>
                      <w:tcPr>
                        <w:tcW w:w="1301" w:type="dxa"/>
                      </w:tcPr>
                      <w:p>
                        <w:pPr>
                          <w:pStyle w:val="TableParagraph"/>
                          <w:spacing w:before="9"/>
                          <w:ind w:right="67"/>
                          <w:jc w:val="right"/>
                          <w:rPr>
                            <w:sz w:val="22"/>
                          </w:rPr>
                        </w:pPr>
                        <w:r>
                          <w:rPr>
                            <w:w w:val="95"/>
                            <w:sz w:val="22"/>
                          </w:rPr>
                          <w:t>81</w:t>
                        </w:r>
                      </w:p>
                    </w:tc>
                  </w:tr>
                  <w:tr>
                    <w:trPr>
                      <w:trHeight w:val="304" w:hRule="exact"/>
                    </w:trPr>
                    <w:tc>
                      <w:tcPr>
                        <w:tcW w:w="3063" w:type="dxa"/>
                        <w:gridSpan w:val="2"/>
                      </w:tcPr>
                      <w:p>
                        <w:pPr>
                          <w:pStyle w:val="TableParagraph"/>
                          <w:tabs>
                            <w:tab w:pos="2701" w:val="right" w:leader="none"/>
                          </w:tabs>
                          <w:spacing w:line="161" w:lineRule="exact"/>
                          <w:ind w:left="67"/>
                          <w:rPr>
                            <w:sz w:val="22"/>
                          </w:rPr>
                        </w:pPr>
                        <w:r>
                          <w:rPr>
                            <w:rFonts w:ascii="Times New Roman"/>
                            <w:i/>
                            <w:spacing w:val="3"/>
                            <w:sz w:val="20"/>
                          </w:rPr>
                          <w:t>(ln1a)z</w:t>
                        </w:r>
                        <w:r>
                          <w:rPr>
                            <w:spacing w:val="3"/>
                            <w:position w:val="2"/>
                            <w:sz w:val="22"/>
                          </w:rPr>
                          <w:tab/>
                        </w:r>
                        <w:r>
                          <w:rPr>
                            <w:spacing w:val="-17"/>
                            <w:position w:val="2"/>
                            <w:sz w:val="22"/>
                          </w:rPr>
                          <w:t>52</w:t>
                        </w:r>
                      </w:p>
                    </w:tc>
                    <w:tc>
                      <w:tcPr>
                        <w:tcW w:w="1494" w:type="dxa"/>
                      </w:tcPr>
                      <w:p>
                        <w:pPr>
                          <w:pStyle w:val="TableParagraph"/>
                          <w:spacing w:line="132" w:lineRule="exact"/>
                          <w:ind w:left="81"/>
                          <w:rPr>
                            <w:rFonts w:ascii="Arial" w:hAnsi="Arial"/>
                            <w:b/>
                            <w:sz w:val="20"/>
                          </w:rPr>
                        </w:pPr>
                        <w:r>
                          <w:rPr>
                            <w:rFonts w:ascii="Arial" w:hAnsi="Arial"/>
                            <w:b/>
                            <w:w w:val="115"/>
                            <w:sz w:val="20"/>
                          </w:rPr>
                          <w:t>pi(•)</w:t>
                        </w:r>
                      </w:p>
                    </w:tc>
                    <w:tc>
                      <w:tcPr>
                        <w:tcW w:w="1301" w:type="dxa"/>
                      </w:tcPr>
                      <w:p>
                        <w:pPr>
                          <w:pStyle w:val="TableParagraph"/>
                          <w:spacing w:before="25"/>
                          <w:ind w:right="38"/>
                          <w:jc w:val="right"/>
                          <w:rPr>
                            <w:sz w:val="22"/>
                          </w:rPr>
                        </w:pPr>
                        <w:r>
                          <w:rPr>
                            <w:w w:val="110"/>
                            <w:sz w:val="22"/>
                          </w:rPr>
                          <w:t>84</w:t>
                        </w:r>
                      </w:p>
                    </w:tc>
                  </w:tr>
                  <w:tr>
                    <w:trPr>
                      <w:trHeight w:val="290" w:hRule="exact"/>
                    </w:trPr>
                    <w:tc>
                      <w:tcPr>
                        <w:tcW w:w="3063" w:type="dxa"/>
                        <w:gridSpan w:val="2"/>
                      </w:tcPr>
                      <w:p>
                        <w:pPr>
                          <w:pStyle w:val="TableParagraph"/>
                          <w:tabs>
                            <w:tab w:pos="2696" w:val="right" w:leader="none"/>
                          </w:tabs>
                          <w:spacing w:before="42"/>
                          <w:ind w:left="31"/>
                          <w:rPr>
                            <w:sz w:val="22"/>
                          </w:rPr>
                        </w:pPr>
                        <w:r>
                          <w:rPr>
                            <w:rFonts w:ascii="Times New Roman"/>
                            <w:b/>
                            <w:i/>
                            <w:w w:val="95"/>
                            <w:sz w:val="21"/>
                          </w:rPr>
                          <w:t>K</w:t>
                        </w:r>
                        <w:r>
                          <w:rPr>
                            <w:rFonts w:ascii="Times New Roman"/>
                            <w:b/>
                            <w:i/>
                            <w:spacing w:val="-15"/>
                            <w:w w:val="95"/>
                            <w:sz w:val="21"/>
                          </w:rPr>
                          <w:t> </w:t>
                        </w:r>
                        <w:r>
                          <w:rPr>
                            <w:rFonts w:ascii="Times New Roman"/>
                            <w:b/>
                            <w:i/>
                            <w:w w:val="95"/>
                            <w:sz w:val="21"/>
                          </w:rPr>
                          <w:t>z</w:t>
                        </w:r>
                        <w:r>
                          <w:rPr>
                            <w:w w:val="95"/>
                            <w:position w:val="1"/>
                            <w:sz w:val="22"/>
                          </w:rPr>
                          <w:tab/>
                        </w:r>
                        <w:r>
                          <w:rPr>
                            <w:spacing w:val="-12"/>
                            <w:w w:val="95"/>
                            <w:position w:val="1"/>
                            <w:sz w:val="22"/>
                          </w:rPr>
                          <w:t>107</w:t>
                        </w:r>
                      </w:p>
                    </w:tc>
                    <w:tc>
                      <w:tcPr>
                        <w:tcW w:w="1494" w:type="dxa"/>
                      </w:tcPr>
                      <w:p>
                        <w:pPr>
                          <w:pStyle w:val="TableParagraph"/>
                          <w:spacing w:line="262" w:lineRule="exact"/>
                          <w:ind w:left="92"/>
                          <w:rPr>
                            <w:rFonts w:ascii="Times New Roman"/>
                            <w:sz w:val="24"/>
                          </w:rPr>
                        </w:pPr>
                        <w:r>
                          <w:rPr>
                            <w:rFonts w:ascii="Times New Roman"/>
                            <w:w w:val="96"/>
                            <w:sz w:val="24"/>
                          </w:rPr>
                          <w:t>i</w:t>
                        </w:r>
                        <w:r>
                          <w:rPr>
                            <w:rFonts w:ascii="Times New Roman"/>
                            <w:spacing w:val="-65"/>
                            <w:w w:val="96"/>
                            <w:sz w:val="24"/>
                          </w:rPr>
                          <w:t>P</w:t>
                        </w:r>
                        <w:r>
                          <w:rPr>
                            <w:rFonts w:ascii="Times New Roman"/>
                            <w:spacing w:val="-150"/>
                            <w:w w:val="241"/>
                            <w:sz w:val="24"/>
                          </w:rPr>
                          <w:t>!</w:t>
                        </w:r>
                        <w:r>
                          <w:rPr>
                            <w:rFonts w:ascii="Times New Roman"/>
                            <w:spacing w:val="-38"/>
                            <w:w w:val="93"/>
                            <w:sz w:val="24"/>
                          </w:rPr>
                          <w:t>:</w:t>
                        </w:r>
                        <w:r>
                          <w:rPr>
                            <w:rFonts w:ascii="Times New Roman"/>
                            <w:w w:val="128"/>
                            <w:sz w:val="24"/>
                          </w:rPr>
                          <w:t>.i</w:t>
                        </w:r>
                      </w:p>
                    </w:tc>
                    <w:tc>
                      <w:tcPr>
                        <w:tcW w:w="1301" w:type="dxa"/>
                      </w:tcPr>
                      <w:p>
                        <w:pPr>
                          <w:pStyle w:val="TableParagraph"/>
                          <w:spacing w:before="1"/>
                          <w:ind w:right="48"/>
                          <w:jc w:val="right"/>
                          <w:rPr>
                            <w:sz w:val="22"/>
                          </w:rPr>
                        </w:pPr>
                        <w:r>
                          <w:rPr>
                            <w:w w:val="105"/>
                            <w:sz w:val="22"/>
                          </w:rPr>
                          <w:t>82</w:t>
                        </w:r>
                      </w:p>
                    </w:tc>
                  </w:tr>
                  <w:tr>
                    <w:trPr>
                      <w:trHeight w:val="250" w:hRule="exact"/>
                    </w:trPr>
                    <w:tc>
                      <w:tcPr>
                        <w:tcW w:w="5859" w:type="dxa"/>
                        <w:gridSpan w:val="4"/>
                      </w:tcPr>
                      <w:p>
                        <w:pPr>
                          <w:pStyle w:val="TableParagraph"/>
                          <w:spacing w:line="104" w:lineRule="exact"/>
                          <w:ind w:left="1028"/>
                          <w:jc w:val="center"/>
                          <w:rPr>
                            <w:rFonts w:ascii="Times New Roman"/>
                            <w:b/>
                            <w:sz w:val="12"/>
                          </w:rPr>
                        </w:pPr>
                        <w:r>
                          <w:rPr>
                            <w:rFonts w:ascii="Times New Roman"/>
                            <w:b/>
                            <w:w w:val="90"/>
                            <w:sz w:val="12"/>
                          </w:rPr>
                          <w:t>1</w:t>
                        </w:r>
                      </w:p>
                    </w:tc>
                  </w:tr>
                  <w:tr>
                    <w:trPr>
                      <w:trHeight w:val="216" w:hRule="exact"/>
                    </w:trPr>
                    <w:tc>
                      <w:tcPr>
                        <w:tcW w:w="2377" w:type="dxa"/>
                      </w:tcPr>
                      <w:p>
                        <w:pPr>
                          <w:pStyle w:val="TableParagraph"/>
                          <w:spacing w:line="186" w:lineRule="exact"/>
                          <w:ind w:left="35"/>
                          <w:rPr>
                            <w:rFonts w:ascii="Times New Roman"/>
                            <w:b/>
                            <w:i/>
                            <w:sz w:val="21"/>
                          </w:rPr>
                        </w:pPr>
                        <w:r>
                          <w:rPr>
                            <w:rFonts w:ascii="Times New Roman"/>
                            <w:b/>
                            <w:i/>
                            <w:w w:val="95"/>
                            <w:sz w:val="21"/>
                          </w:rPr>
                          <w:t>kz</w:t>
                        </w:r>
                      </w:p>
                    </w:tc>
                    <w:tc>
                      <w:tcPr>
                        <w:tcW w:w="3481" w:type="dxa"/>
                        <w:gridSpan w:val="3"/>
                      </w:tcPr>
                      <w:p>
                        <w:pPr>
                          <w:pStyle w:val="TableParagraph"/>
                          <w:tabs>
                            <w:tab w:pos="767" w:val="left" w:leader="none"/>
                            <w:tab w:pos="3419" w:val="right" w:leader="none"/>
                          </w:tabs>
                          <w:spacing w:line="256" w:lineRule="exact"/>
                          <w:ind w:left="1"/>
                          <w:rPr>
                            <w:sz w:val="22"/>
                          </w:rPr>
                        </w:pPr>
                        <w:r>
                          <w:rPr>
                            <w:spacing w:val="-7"/>
                            <w:position w:val="11"/>
                            <w:sz w:val="22"/>
                          </w:rPr>
                          <w:t>116</w:t>
                          <w:tab/>
                        </w:r>
                        <w:r>
                          <w:rPr>
                            <w:rFonts w:ascii="Times New Roman"/>
                            <w:i/>
                            <w:position w:val="1"/>
                            <w:sz w:val="20"/>
                          </w:rPr>
                          <w:t>P</w:t>
                        </w:r>
                        <w:r>
                          <w:rPr>
                            <w:rFonts w:ascii="Times New Roman"/>
                            <w:i/>
                            <w:spacing w:val="-4"/>
                            <w:position w:val="1"/>
                            <w:sz w:val="20"/>
                          </w:rPr>
                          <w:t> </w:t>
                        </w:r>
                        <w:r>
                          <w:rPr>
                            <w:rFonts w:ascii="Times New Roman"/>
                            <w:i/>
                            <w:spacing w:val="-11"/>
                            <w:position w:val="1"/>
                            <w:sz w:val="20"/>
                          </w:rPr>
                          <w:t>(.,,L:)</w:t>
                        </w:r>
                        <w:r>
                          <w:rPr>
                            <w:spacing w:val="-11"/>
                            <w:sz w:val="22"/>
                          </w:rPr>
                          <w:tab/>
                        </w:r>
                        <w:r>
                          <w:rPr>
                            <w:spacing w:val="-25"/>
                            <w:sz w:val="22"/>
                          </w:rPr>
                          <w:t>83</w:t>
                        </w:r>
                      </w:p>
                    </w:tc>
                  </w:tr>
                  <w:tr>
                    <w:trPr>
                      <w:trHeight w:val="283" w:hRule="exact"/>
                    </w:trPr>
                    <w:tc>
                      <w:tcPr>
                        <w:tcW w:w="2377" w:type="dxa"/>
                      </w:tcPr>
                      <w:p>
                        <w:pPr>
                          <w:pStyle w:val="TableParagraph"/>
                          <w:spacing w:before="17"/>
                          <w:ind w:left="38"/>
                          <w:rPr>
                            <w:rFonts w:ascii="Times New Roman"/>
                            <w:b/>
                            <w:i/>
                            <w:sz w:val="20"/>
                          </w:rPr>
                        </w:pPr>
                        <w:r>
                          <w:rPr>
                            <w:rFonts w:ascii="Times New Roman"/>
                            <w:b/>
                            <w:i/>
                            <w:sz w:val="20"/>
                          </w:rPr>
                          <w:t>kz</w:t>
                        </w:r>
                      </w:p>
                    </w:tc>
                    <w:tc>
                      <w:tcPr>
                        <w:tcW w:w="3481" w:type="dxa"/>
                        <w:gridSpan w:val="3"/>
                      </w:tcPr>
                      <w:p>
                        <w:pPr>
                          <w:pStyle w:val="TableParagraph"/>
                          <w:tabs>
                            <w:tab w:pos="763" w:val="left" w:leader="none"/>
                            <w:tab w:pos="3440" w:val="right" w:leader="none"/>
                          </w:tabs>
                          <w:spacing w:line="317" w:lineRule="exact" w:before="5"/>
                          <w:ind w:left="5"/>
                          <w:rPr>
                            <w:sz w:val="22"/>
                          </w:rPr>
                        </w:pPr>
                        <w:r>
                          <w:rPr>
                            <w:position w:val="12"/>
                            <w:sz w:val="22"/>
                          </w:rPr>
                          <w:t>116</w:t>
                          <w:tab/>
                        </w:r>
                        <w:r>
                          <w:rPr>
                            <w:rFonts w:ascii="Times New Roman"/>
                            <w:i/>
                            <w:sz w:val="20"/>
                          </w:rPr>
                          <w:t>P</w:t>
                        </w:r>
                        <w:r>
                          <w:rPr>
                            <w:rFonts w:ascii="Times New Roman"/>
                            <w:i/>
                            <w:spacing w:val="-1"/>
                            <w:sz w:val="20"/>
                          </w:rPr>
                          <w:t> </w:t>
                        </w:r>
                        <w:r>
                          <w:rPr>
                            <w:rFonts w:ascii="Times New Roman"/>
                            <w:i/>
                            <w:spacing w:val="3"/>
                            <w:sz w:val="20"/>
                          </w:rPr>
                          <w:t>(Az</w:t>
                        </w:r>
                        <w:r>
                          <w:rPr>
                            <w:rFonts w:ascii="Times New Roman"/>
                            <w:i/>
                            <w:spacing w:val="-15"/>
                            <w:sz w:val="20"/>
                          </w:rPr>
                          <w:t> </w:t>
                        </w:r>
                        <w:r>
                          <w:rPr>
                            <w:rFonts w:ascii="Times New Roman"/>
                            <w:i/>
                            <w:sz w:val="20"/>
                          </w:rPr>
                          <w:t>)</w:t>
                        </w:r>
                        <w:r>
                          <w:rPr>
                            <w:sz w:val="22"/>
                          </w:rPr>
                          <w:tab/>
                        </w:r>
                        <w:r>
                          <w:rPr>
                            <w:spacing w:val="-22"/>
                            <w:sz w:val="22"/>
                          </w:rPr>
                          <w:t>84</w:t>
                        </w:r>
                      </w:p>
                    </w:tc>
                  </w:tr>
                  <w:tr>
                    <w:trPr>
                      <w:trHeight w:val="241" w:hRule="exact"/>
                    </w:trPr>
                    <w:tc>
                      <w:tcPr>
                        <w:tcW w:w="2377" w:type="dxa"/>
                      </w:tcPr>
                      <w:p>
                        <w:pPr>
                          <w:pStyle w:val="TableParagraph"/>
                          <w:spacing w:before="15"/>
                          <w:ind w:left="52"/>
                          <w:rPr>
                            <w:rFonts w:ascii="Times New Roman"/>
                            <w:b/>
                            <w:i/>
                            <w:sz w:val="20"/>
                          </w:rPr>
                        </w:pPr>
                        <w:r>
                          <w:rPr>
                            <w:rFonts w:ascii="Times New Roman"/>
                            <w:b/>
                            <w:i/>
                            <w:w w:val="95"/>
                            <w:sz w:val="20"/>
                          </w:rPr>
                          <w:t>tkz</w:t>
                        </w:r>
                      </w:p>
                    </w:tc>
                    <w:tc>
                      <w:tcPr>
                        <w:tcW w:w="3481" w:type="dxa"/>
                        <w:gridSpan w:val="3"/>
                      </w:tcPr>
                      <w:p>
                        <w:pPr>
                          <w:pStyle w:val="TableParagraph"/>
                          <w:tabs>
                            <w:tab w:pos="778" w:val="left" w:leader="none"/>
                            <w:tab w:pos="3426" w:val="right" w:leader="none"/>
                          </w:tabs>
                          <w:spacing w:line="272" w:lineRule="exact" w:before="8"/>
                          <w:ind w:left="84"/>
                          <w:rPr>
                            <w:sz w:val="22"/>
                          </w:rPr>
                        </w:pPr>
                        <w:r>
                          <w:rPr>
                            <w:rFonts w:ascii="Times New Roman"/>
                            <w:position w:val="12"/>
                            <w:sz w:val="19"/>
                          </w:rPr>
                          <w:t>99</w:t>
                          <w:tab/>
                        </w:r>
                        <w:r>
                          <w:rPr>
                            <w:rFonts w:ascii="Times New Roman"/>
                            <w:i/>
                            <w:sz w:val="20"/>
                          </w:rPr>
                          <w:t>,P(</w:t>
                        </w:r>
                        <w:r>
                          <w:rPr>
                            <w:rFonts w:ascii="Times New Roman"/>
                            <w:i/>
                            <w:spacing w:val="-18"/>
                            <w:sz w:val="20"/>
                          </w:rPr>
                          <w:t> </w:t>
                        </w:r>
                        <w:r>
                          <w:rPr>
                            <w:rFonts w:ascii="Times New Roman"/>
                            <w:i/>
                            <w:sz w:val="20"/>
                          </w:rPr>
                          <w:t>Az</w:t>
                        </w:r>
                        <w:r>
                          <w:rPr>
                            <w:rFonts w:ascii="Times New Roman"/>
                            <w:i/>
                            <w:spacing w:val="-9"/>
                            <w:sz w:val="20"/>
                          </w:rPr>
                          <w:t> </w:t>
                        </w:r>
                        <w:r>
                          <w:rPr>
                            <w:rFonts w:ascii="Times New Roman"/>
                            <w:i/>
                            <w:sz w:val="20"/>
                          </w:rPr>
                          <w:t>)</w:t>
                        </w:r>
                        <w:r>
                          <w:rPr>
                            <w:sz w:val="22"/>
                          </w:rPr>
                          <w:tab/>
                        </w:r>
                        <w:r>
                          <w:rPr>
                            <w:spacing w:val="-22"/>
                            <w:sz w:val="22"/>
                          </w:rPr>
                          <w:t>83</w:t>
                        </w:r>
                      </w:p>
                    </w:tc>
                  </w:tr>
                </w:tbl>
                <w:p>
                  <w:pPr>
                    <w:pStyle w:val="BodyText"/>
                  </w:pPr>
                </w:p>
              </w:txbxContent>
            </v:textbox>
            <w10:wrap type="none"/>
          </v:shape>
        </w:pict>
      </w:r>
      <w:r>
        <w:rPr>
          <w:w w:val="95"/>
        </w:rPr>
        <w:t>Pz:ril</w:t>
      </w:r>
    </w:p>
    <w:p>
      <w:pPr>
        <w:pStyle w:val="BodyText"/>
        <w:spacing w:before="5"/>
        <w:rPr>
          <w:sz w:val="24"/>
        </w:rPr>
      </w:pPr>
    </w:p>
    <w:p>
      <w:pPr>
        <w:pStyle w:val="BodyText"/>
        <w:spacing w:before="74"/>
        <w:ind w:left="1020" w:right="165"/>
        <w:jc w:val="center"/>
      </w:pPr>
      <w:r>
        <w:rPr>
          <w:w w:val="95"/>
        </w:rPr>
        <w:t>,Pz:iiJ</w:t>
      </w:r>
    </w:p>
    <w:p>
      <w:pPr>
        <w:pStyle w:val="BodyText"/>
        <w:spacing w:before="6"/>
        <w:rPr>
          <w:sz w:val="27"/>
        </w:rPr>
      </w:pPr>
    </w:p>
    <w:p>
      <w:pPr>
        <w:spacing w:before="74"/>
        <w:ind w:left="1095" w:right="165" w:firstLine="0"/>
        <w:jc w:val="center"/>
        <w:rPr>
          <w:b/>
          <w:sz w:val="20"/>
        </w:rPr>
      </w:pPr>
      <w:r>
        <w:rPr>
          <w:b/>
          <w:w w:val="85"/>
          <w:sz w:val="20"/>
        </w:rPr>
        <w:t>z:al</w:t>
      </w:r>
    </w:p>
    <w:p>
      <w:pPr>
        <w:pStyle w:val="BodyText"/>
        <w:spacing w:before="2"/>
        <w:rPr>
          <w:b/>
          <w:sz w:val="22"/>
        </w:rPr>
      </w:pPr>
    </w:p>
    <w:p>
      <w:pPr>
        <w:tabs>
          <w:tab w:pos="5881" w:val="right" w:leader="none"/>
        </w:tabs>
        <w:spacing w:before="77"/>
        <w:ind w:left="3246" w:right="0" w:firstLine="0"/>
        <w:jc w:val="left"/>
        <w:rPr>
          <w:rFonts w:ascii="Courier New"/>
          <w:sz w:val="22"/>
        </w:rPr>
      </w:pPr>
      <w:r>
        <w:rPr>
          <w:spacing w:val="-16"/>
          <w:w w:val="135"/>
          <w:sz w:val="20"/>
        </w:rPr>
        <w:t>P</w:t>
      </w:r>
      <w:r>
        <w:rPr>
          <w:w w:val="36"/>
          <w:sz w:val="20"/>
        </w:rPr>
        <w:t>:a:</w:t>
      </w:r>
      <w:r>
        <w:rPr>
          <w:spacing w:val="-31"/>
          <w:sz w:val="20"/>
        </w:rPr>
        <w:t> </w:t>
      </w:r>
      <w:r>
        <w:rPr>
          <w:color w:val="282828"/>
          <w:spacing w:val="-23"/>
          <w:w w:val="79"/>
          <w:sz w:val="20"/>
        </w:rPr>
        <w:t>:</w:t>
      </w:r>
      <w:r>
        <w:rPr>
          <w:w w:val="121"/>
          <w:sz w:val="20"/>
        </w:rPr>
        <w:t>.J</w:t>
      </w:r>
      <w:r>
        <w:rPr>
          <w:rFonts w:ascii="Courier New"/>
          <w:w w:val="99"/>
          <w:position w:val="3"/>
          <w:sz w:val="22"/>
        </w:rPr>
        <w:t> </w:t>
      </w:r>
      <w:r>
        <w:rPr>
          <w:rFonts w:ascii="Courier New"/>
          <w:position w:val="3"/>
          <w:sz w:val="22"/>
        </w:rPr>
        <w:tab/>
      </w:r>
      <w:r>
        <w:rPr>
          <w:rFonts w:ascii="Courier New"/>
          <w:spacing w:val="-34"/>
          <w:w w:val="114"/>
          <w:position w:val="3"/>
          <w:sz w:val="22"/>
        </w:rPr>
        <w:t>8</w:t>
      </w:r>
      <w:r>
        <w:rPr>
          <w:rFonts w:ascii="Courier New"/>
          <w:w w:val="79"/>
          <w:position w:val="3"/>
          <w:sz w:val="22"/>
        </w:rPr>
        <w:t>1</w:t>
      </w:r>
    </w:p>
    <w:p>
      <w:pPr>
        <w:tabs>
          <w:tab w:pos="2566" w:val="left" w:leader="none"/>
          <w:tab w:pos="3246" w:val="left" w:leader="none"/>
          <w:tab w:pos="5905" w:val="right" w:leader="none"/>
        </w:tabs>
        <w:spacing w:before="694"/>
        <w:ind w:left="154" w:right="0" w:firstLine="0"/>
        <w:jc w:val="left"/>
        <w:rPr>
          <w:rFonts w:ascii="Courier New"/>
          <w:sz w:val="22"/>
        </w:rPr>
      </w:pPr>
      <w:r>
        <w:rPr>
          <w:rFonts w:ascii="Arial"/>
          <w:i/>
          <w:spacing w:val="-10"/>
          <w:w w:val="105"/>
          <w:position w:val="11"/>
          <w:sz w:val="26"/>
        </w:rPr>
        <w:t>,k:</w:t>
        <w:tab/>
      </w:r>
      <w:r>
        <w:rPr>
          <w:w w:val="105"/>
          <w:position w:val="12"/>
          <w:sz w:val="19"/>
        </w:rPr>
        <w:t>99</w:t>
        <w:tab/>
      </w:r>
      <w:r>
        <w:rPr>
          <w:w w:val="105"/>
          <w:sz w:val="20"/>
        </w:rPr>
        <w:t>P[(IA</w:t>
      </w:r>
      <w:r>
        <w:rPr>
          <w:spacing w:val="-3"/>
          <w:w w:val="105"/>
          <w:sz w:val="20"/>
        </w:rPr>
        <w:t> </w:t>
      </w:r>
      <w:r>
        <w:rPr>
          <w:w w:val="105"/>
          <w:sz w:val="20"/>
        </w:rPr>
        <w:t>)sl</w:t>
      </w:r>
      <w:r>
        <w:rPr>
          <w:rFonts w:ascii="Courier New"/>
          <w:w w:val="105"/>
          <w:position w:val="1"/>
          <w:sz w:val="22"/>
        </w:rPr>
        <w:tab/>
      </w:r>
      <w:r>
        <w:rPr>
          <w:rFonts w:ascii="Courier New"/>
          <w:spacing w:val="-22"/>
          <w:w w:val="105"/>
          <w:position w:val="1"/>
          <w:sz w:val="22"/>
        </w:rPr>
        <w:t>93</w:t>
      </w:r>
    </w:p>
    <w:p>
      <w:pPr>
        <w:tabs>
          <w:tab w:pos="2483" w:val="left" w:leader="none"/>
          <w:tab w:pos="3260" w:val="left" w:leader="none"/>
          <w:tab w:pos="5909" w:val="right" w:leader="none"/>
        </w:tabs>
        <w:spacing w:line="253" w:lineRule="exact" w:before="30"/>
        <w:ind w:left="143" w:right="0" w:firstLine="0"/>
        <w:jc w:val="left"/>
        <w:rPr>
          <w:rFonts w:ascii="Courier New" w:hAnsi="Courier New"/>
          <w:sz w:val="22"/>
        </w:rPr>
      </w:pPr>
      <w:r>
        <w:rPr>
          <w:i/>
          <w:position w:val="-1"/>
          <w:sz w:val="22"/>
        </w:rPr>
        <w:t>Ls</w:t>
        <w:tab/>
      </w:r>
      <w:r>
        <w:rPr>
          <w:rFonts w:ascii="Courier New" w:hAnsi="Courier New"/>
          <w:spacing w:val="-12"/>
          <w:sz w:val="22"/>
        </w:rPr>
        <w:t>170</w:t>
        <w:tab/>
      </w:r>
      <w:r>
        <w:rPr>
          <w:sz w:val="20"/>
        </w:rPr>
        <w:t>,P(,.¡iis)</w:t>
      </w:r>
      <w:r>
        <w:rPr>
          <w:rFonts w:ascii="Courier New" w:hAnsi="Courier New"/>
          <w:sz w:val="22"/>
        </w:rPr>
        <w:tab/>
      </w:r>
      <w:r>
        <w:rPr>
          <w:rFonts w:ascii="Courier New" w:hAnsi="Courier New"/>
          <w:spacing w:val="-22"/>
          <w:sz w:val="22"/>
        </w:rPr>
        <w:t>83</w:t>
      </w:r>
    </w:p>
    <w:p>
      <w:pPr>
        <w:tabs>
          <w:tab w:pos="5922" w:val="right" w:leader="none"/>
        </w:tabs>
        <w:spacing w:line="174" w:lineRule="exact" w:before="0"/>
        <w:ind w:left="3260" w:right="0" w:firstLine="0"/>
        <w:jc w:val="left"/>
        <w:rPr>
          <w:rFonts w:ascii="Courier New" w:hAnsi="Courier New"/>
          <w:sz w:val="22"/>
        </w:rPr>
      </w:pPr>
      <w:r>
        <w:rPr>
          <w:rFonts w:ascii="Arial" w:hAnsi="Arial"/>
          <w:b/>
          <w:w w:val="158"/>
          <w:sz w:val="10"/>
        </w:rPr>
        <w:t>iP</w:t>
      </w:r>
      <w:r>
        <w:rPr>
          <w:rFonts w:ascii="Arial" w:hAnsi="Arial"/>
          <w:b/>
          <w:w w:val="158"/>
          <w:sz w:val="10"/>
        </w:rPr>
        <w:t>(</w:t>
      </w:r>
      <w:r>
        <w:rPr>
          <w:rFonts w:ascii="Arial" w:hAnsi="Arial"/>
          <w:b/>
          <w:w w:val="158"/>
          <w:sz w:val="10"/>
        </w:rPr>
        <w:t>m</w:t>
      </w:r>
      <w:r>
        <w:rPr>
          <w:rFonts w:ascii="Arial" w:hAnsi="Arial"/>
          <w:b/>
          <w:w w:val="158"/>
          <w:sz w:val="10"/>
        </w:rPr>
        <w:t>)</w:t>
      </w:r>
      <w:r>
        <w:rPr>
          <w:rFonts w:ascii="Arial" w:hAnsi="Arial"/>
          <w:b/>
          <w:spacing w:val="11"/>
          <w:sz w:val="10"/>
        </w:rPr>
        <w:t> </w:t>
      </w:r>
      <w:r>
        <w:rPr>
          <w:b/>
          <w:i/>
          <w:spacing w:val="15"/>
          <w:w w:val="67"/>
          <w:sz w:val="20"/>
        </w:rPr>
        <w:t>(</w:t>
      </w:r>
      <w:r>
        <w:rPr>
          <w:b/>
          <w:i/>
          <w:spacing w:val="-17"/>
          <w:w w:val="220"/>
          <w:sz w:val="20"/>
        </w:rPr>
        <w:t>.</w:t>
      </w:r>
      <w:r>
        <w:rPr>
          <w:b/>
          <w:i/>
          <w:w w:val="73"/>
          <w:sz w:val="20"/>
        </w:rPr>
        <w:t>¡iiz</w:t>
      </w:r>
      <w:r>
        <w:rPr>
          <w:b/>
          <w:i/>
          <w:spacing w:val="-22"/>
          <w:sz w:val="20"/>
        </w:rPr>
        <w:t> </w:t>
      </w:r>
      <w:r>
        <w:rPr>
          <w:b/>
          <w:i/>
          <w:w w:val="67"/>
          <w:sz w:val="20"/>
        </w:rPr>
        <w:t>)</w:t>
      </w:r>
      <w:r>
        <w:rPr>
          <w:rFonts w:ascii="Courier New" w:hAnsi="Courier New"/>
          <w:w w:val="99"/>
          <w:position w:val="-2"/>
          <w:sz w:val="22"/>
        </w:rPr>
        <w:t> </w:t>
      </w:r>
      <w:r>
        <w:rPr>
          <w:rFonts w:ascii="Courier New" w:hAnsi="Courier New"/>
          <w:position w:val="-2"/>
          <w:sz w:val="22"/>
        </w:rPr>
        <w:tab/>
      </w:r>
      <w:r>
        <w:rPr>
          <w:rFonts w:ascii="Courier New" w:hAnsi="Courier New"/>
          <w:spacing w:val="-47"/>
          <w:w w:val="110"/>
          <w:position w:val="-2"/>
          <w:sz w:val="22"/>
        </w:rPr>
        <w:t>8</w:t>
      </w:r>
      <w:r>
        <w:rPr>
          <w:rFonts w:ascii="Courier New" w:hAnsi="Courier New"/>
          <w:w w:val="110"/>
          <w:position w:val="-2"/>
          <w:sz w:val="22"/>
        </w:rPr>
        <w:t>4</w:t>
      </w:r>
    </w:p>
    <w:p>
      <w:pPr>
        <w:tabs>
          <w:tab w:pos="2659" w:val="left" w:leader="none"/>
        </w:tabs>
        <w:spacing w:line="239" w:lineRule="exact" w:before="0"/>
        <w:ind w:left="143" w:right="0" w:firstLine="0"/>
        <w:jc w:val="left"/>
        <w:rPr>
          <w:rFonts w:ascii="Courier New"/>
          <w:sz w:val="22"/>
        </w:rPr>
      </w:pPr>
      <w:r>
        <w:rPr>
          <w:rFonts w:ascii="Arial"/>
          <w:i/>
          <w:w w:val="110"/>
          <w:position w:val="-2"/>
          <w:sz w:val="23"/>
        </w:rPr>
        <w:t>l:</w:t>
      </w:r>
      <w:r>
        <w:rPr>
          <w:rFonts w:ascii="Courier New"/>
          <w:w w:val="110"/>
          <w:sz w:val="22"/>
        </w:rPr>
        <w:tab/>
        <w:t>8</w:t>
      </w:r>
    </w:p>
    <w:p>
      <w:pPr>
        <w:tabs>
          <w:tab w:pos="2566" w:val="left" w:leader="none"/>
          <w:tab w:pos="3246" w:val="left" w:leader="none"/>
          <w:tab w:pos="5776" w:val="left" w:leader="none"/>
        </w:tabs>
        <w:spacing w:line="330" w:lineRule="exact" w:before="9"/>
        <w:ind w:left="140" w:right="0" w:firstLine="0"/>
        <w:jc w:val="left"/>
        <w:rPr>
          <w:rFonts w:ascii="Courier New"/>
          <w:sz w:val="22"/>
        </w:rPr>
      </w:pPr>
      <w:r>
        <w:rPr>
          <w:b/>
          <w:i/>
          <w:sz w:val="22"/>
        </w:rPr>
        <w:t>M</w:t>
      </w:r>
      <w:r>
        <w:rPr>
          <w:b/>
          <w:i/>
          <w:spacing w:val="-28"/>
          <w:sz w:val="22"/>
        </w:rPr>
        <w:t> </w:t>
      </w:r>
      <w:r>
        <w:rPr>
          <w:b/>
          <w:i/>
          <w:sz w:val="22"/>
        </w:rPr>
        <w:t>s</w:t>
        <w:tab/>
      </w:r>
      <w:r>
        <w:rPr>
          <w:position w:val="1"/>
          <w:sz w:val="20"/>
        </w:rPr>
        <w:t>66</w:t>
        <w:tab/>
      </w:r>
      <w:r>
        <w:rPr>
          <w:b/>
          <w:position w:val="10"/>
          <w:sz w:val="20"/>
        </w:rPr>
        <w:t>Ps</w:t>
      </w:r>
      <w:r>
        <w:rPr>
          <w:rFonts w:ascii="Courier New"/>
          <w:position w:val="15"/>
          <w:sz w:val="22"/>
        </w:rPr>
        <w:tab/>
        <w:t>9</w:t>
      </w:r>
    </w:p>
    <w:p>
      <w:pPr>
        <w:tabs>
          <w:tab w:pos="2573" w:val="left" w:leader="none"/>
          <w:tab w:pos="3242" w:val="left" w:leader="none"/>
          <w:tab w:pos="5776" w:val="left" w:leader="none"/>
        </w:tabs>
        <w:spacing w:line="341" w:lineRule="exact" w:before="0"/>
        <w:ind w:left="140" w:right="0" w:firstLine="0"/>
        <w:jc w:val="left"/>
        <w:rPr>
          <w:rFonts w:ascii="Courier New" w:hAnsi="Courier New"/>
          <w:sz w:val="22"/>
        </w:rPr>
      </w:pPr>
      <w:r>
        <w:rPr>
          <w:i/>
          <w:w w:val="95"/>
          <w:position w:val="-9"/>
          <w:sz w:val="27"/>
        </w:rPr>
        <w:t>M</w:t>
      </w:r>
      <w:r>
        <w:rPr>
          <w:i/>
          <w:spacing w:val="-45"/>
          <w:w w:val="95"/>
          <w:position w:val="-9"/>
          <w:sz w:val="27"/>
        </w:rPr>
        <w:t> </w:t>
      </w:r>
      <w:r>
        <w:rPr>
          <w:i/>
          <w:w w:val="95"/>
          <w:position w:val="-9"/>
          <w:sz w:val="27"/>
        </w:rPr>
        <w:t>z</w:t>
        <w:tab/>
      </w:r>
      <w:r>
        <w:rPr>
          <w:rFonts w:ascii="Courier New" w:hAnsi="Courier New"/>
          <w:spacing w:val="-24"/>
          <w:position w:val="-7"/>
          <w:sz w:val="22"/>
        </w:rPr>
        <w:t>72</w:t>
        <w:tab/>
      </w:r>
      <w:r>
        <w:rPr>
          <w:b/>
          <w:sz w:val="20"/>
        </w:rPr>
        <w:t>•Pz</w:t>
      </w:r>
      <w:r>
        <w:rPr>
          <w:rFonts w:ascii="Courier New" w:hAnsi="Courier New"/>
          <w:position w:val="5"/>
          <w:sz w:val="22"/>
        </w:rPr>
        <w:tab/>
        <w:t>9</w:t>
      </w:r>
    </w:p>
    <w:p>
      <w:pPr>
        <w:tabs>
          <w:tab w:pos="2487" w:val="left" w:leader="none"/>
          <w:tab w:pos="3246" w:val="left" w:leader="none"/>
          <w:tab w:pos="5769" w:val="left" w:leader="none"/>
        </w:tabs>
        <w:spacing w:before="7"/>
        <w:ind w:left="136" w:right="0" w:firstLine="0"/>
        <w:jc w:val="left"/>
        <w:rPr>
          <w:rFonts w:ascii="Courier New"/>
          <w:sz w:val="22"/>
        </w:rPr>
      </w:pPr>
      <w:r>
        <w:rPr>
          <w:i/>
          <w:position w:val="1"/>
          <w:sz w:val="20"/>
        </w:rPr>
        <w:t>M!*&gt;</w:t>
        <w:tab/>
      </w:r>
      <w:r>
        <w:rPr>
          <w:rFonts w:ascii="Courier New"/>
          <w:spacing w:val="-10"/>
          <w:sz w:val="22"/>
        </w:rPr>
        <w:t>155</w:t>
        <w:tab/>
      </w:r>
      <w:r>
        <w:rPr>
          <w:b/>
          <w:i/>
          <w:w w:val="80"/>
          <w:position w:val="1"/>
          <w:sz w:val="19"/>
        </w:rPr>
        <w:t>q:;r</w:t>
      </w:r>
      <w:r>
        <w:rPr>
          <w:rFonts w:ascii="Courier New"/>
          <w:w w:val="80"/>
          <w:position w:val="1"/>
          <w:sz w:val="22"/>
        </w:rPr>
        <w:tab/>
      </w:r>
      <w:r>
        <w:rPr>
          <w:rFonts w:ascii="Courier New"/>
          <w:position w:val="1"/>
          <w:sz w:val="22"/>
        </w:rPr>
        <w:t>9</w:t>
      </w:r>
    </w:p>
    <w:p>
      <w:pPr>
        <w:spacing w:after="0"/>
        <w:jc w:val="left"/>
        <w:rPr>
          <w:rFonts w:ascii="Courier New"/>
          <w:sz w:val="22"/>
        </w:rPr>
        <w:sectPr>
          <w:pgSz w:w="7200" w:h="11340"/>
          <w:pgMar w:top="520" w:bottom="280" w:left="640" w:right="480"/>
        </w:sectPr>
      </w:pPr>
    </w:p>
    <w:p>
      <w:pPr>
        <w:spacing w:before="159"/>
        <w:ind w:left="143" w:right="-19" w:firstLine="0"/>
        <w:jc w:val="left"/>
        <w:rPr>
          <w:rFonts w:ascii="Arial"/>
          <w:i/>
          <w:sz w:val="20"/>
        </w:rPr>
      </w:pPr>
      <w:r>
        <w:rPr>
          <w:rFonts w:ascii="Arial"/>
          <w:i/>
          <w:w w:val="60"/>
          <w:sz w:val="20"/>
        </w:rPr>
        <w:t>m:ir</w:t>
      </w:r>
    </w:p>
    <w:p>
      <w:pPr>
        <w:tabs>
          <w:tab w:pos="913" w:val="left" w:leader="none"/>
          <w:tab w:pos="3552" w:val="right" w:leader="none"/>
        </w:tabs>
        <w:spacing w:line="317" w:lineRule="exact" w:before="13"/>
        <w:ind w:left="143" w:right="0" w:firstLine="0"/>
        <w:jc w:val="left"/>
        <w:rPr>
          <w:rFonts w:ascii="Arial"/>
          <w:sz w:val="20"/>
        </w:rPr>
      </w:pPr>
      <w:r>
        <w:rPr/>
        <w:br w:type="column"/>
      </w:r>
      <w:r>
        <w:rPr>
          <w:w w:val="106"/>
          <w:position w:val="-10"/>
          <w:sz w:val="19"/>
        </w:rPr>
        <w:t>172</w:t>
      </w:r>
      <w:r>
        <w:rPr>
          <w:position w:val="-10"/>
          <w:sz w:val="19"/>
        </w:rPr>
        <w:tab/>
      </w:r>
      <w:r>
        <w:rPr>
          <w:b/>
          <w:i/>
          <w:spacing w:val="-30"/>
          <w:w w:val="209"/>
          <w:sz w:val="20"/>
        </w:rPr>
        <w:t>.</w:t>
      </w:r>
      <w:r>
        <w:rPr>
          <w:b/>
          <w:i/>
          <w:w w:val="83"/>
          <w:sz w:val="20"/>
        </w:rPr>
        <w:t>qz</w:t>
      </w:r>
      <w:r>
        <w:rPr>
          <w:rFonts w:ascii="Arial"/>
          <w:w w:val="99"/>
          <w:position w:val="2"/>
          <w:sz w:val="20"/>
        </w:rPr>
        <w:t> </w:t>
      </w:r>
      <w:r>
        <w:rPr>
          <w:rFonts w:ascii="Arial"/>
          <w:position w:val="2"/>
          <w:sz w:val="20"/>
        </w:rPr>
        <w:tab/>
      </w:r>
      <w:r>
        <w:rPr>
          <w:rFonts w:ascii="Arial"/>
          <w:w w:val="107"/>
          <w:position w:val="2"/>
          <w:sz w:val="20"/>
        </w:rPr>
        <w:t>9</w:t>
      </w:r>
    </w:p>
    <w:p>
      <w:pPr>
        <w:tabs>
          <w:tab w:pos="3552" w:val="right" w:leader="none"/>
        </w:tabs>
        <w:spacing w:line="229" w:lineRule="exact" w:before="0"/>
        <w:ind w:left="909" w:right="0" w:firstLine="0"/>
        <w:jc w:val="left"/>
        <w:rPr>
          <w:rFonts w:ascii="Arial" w:hAnsi="Arial"/>
          <w:sz w:val="20"/>
        </w:rPr>
      </w:pPr>
      <w:r>
        <w:rPr>
          <w:b/>
          <w:i/>
          <w:sz w:val="20"/>
        </w:rPr>
        <w:t>•lqz</w:t>
      </w:r>
      <w:r>
        <w:rPr>
          <w:rFonts w:ascii="Arial" w:hAnsi="Arial"/>
          <w:position w:val="4"/>
          <w:sz w:val="20"/>
        </w:rPr>
        <w:tab/>
        <w:t>9</w:t>
      </w:r>
    </w:p>
    <w:p>
      <w:pPr>
        <w:spacing w:after="0" w:line="229" w:lineRule="exact"/>
        <w:jc w:val="left"/>
        <w:rPr>
          <w:rFonts w:ascii="Arial" w:hAnsi="Arial"/>
          <w:sz w:val="20"/>
        </w:rPr>
        <w:sectPr>
          <w:type w:val="continuous"/>
          <w:pgSz w:w="7200" w:h="11340"/>
          <w:pgMar w:top="1100" w:bottom="0" w:left="640" w:right="480"/>
          <w:cols w:num="2" w:equalWidth="0">
            <w:col w:w="344" w:space="1993"/>
            <w:col w:w="3743"/>
          </w:cols>
        </w:sectPr>
      </w:pPr>
    </w:p>
    <w:p>
      <w:pPr>
        <w:tabs>
          <w:tab w:pos="2587" w:val="left" w:leader="none"/>
          <w:tab w:pos="3242" w:val="left" w:leader="none"/>
          <w:tab w:pos="5769" w:val="left" w:leader="none"/>
        </w:tabs>
        <w:spacing w:line="255" w:lineRule="exact" w:before="0"/>
        <w:ind w:left="143" w:right="0" w:firstLine="0"/>
        <w:jc w:val="left"/>
        <w:rPr>
          <w:rFonts w:ascii="Arial" w:hAnsi="Arial"/>
          <w:sz w:val="19"/>
        </w:rPr>
      </w:pPr>
      <w:r>
        <w:rPr>
          <w:b/>
          <w:w w:val="125"/>
          <w:position w:val="1"/>
          <w:sz w:val="16"/>
        </w:rPr>
        <w:t>l</w:t>
      </w:r>
      <w:r>
        <w:rPr>
          <w:b/>
          <w:spacing w:val="-12"/>
          <w:w w:val="125"/>
          <w:position w:val="1"/>
          <w:sz w:val="16"/>
        </w:rPr>
        <w:t>'</w:t>
      </w:r>
      <w:r>
        <w:rPr>
          <w:b/>
          <w:w w:val="60"/>
          <w:position w:val="1"/>
          <w:sz w:val="16"/>
        </w:rPr>
        <w:t>:s</w:t>
      </w:r>
      <w:r>
        <w:rPr>
          <w:b/>
          <w:position w:val="1"/>
          <w:sz w:val="16"/>
        </w:rPr>
        <w:tab/>
      </w:r>
      <w:r>
        <w:rPr>
          <w:rFonts w:ascii="Courier New" w:hAnsi="Courier New"/>
          <w:w w:val="76"/>
          <w:position w:val="4"/>
          <w:sz w:val="22"/>
        </w:rPr>
        <w:t>13</w:t>
      </w:r>
      <w:r>
        <w:rPr>
          <w:rFonts w:ascii="Courier New" w:hAnsi="Courier New"/>
          <w:position w:val="4"/>
          <w:sz w:val="22"/>
        </w:rPr>
        <w:tab/>
      </w:r>
      <w:r>
        <w:rPr>
          <w:b/>
          <w:i/>
          <w:w w:val="67"/>
          <w:sz w:val="20"/>
        </w:rPr>
        <w:t>,.¡</w:t>
      </w:r>
      <w:r>
        <w:rPr>
          <w:b/>
          <w:i/>
          <w:spacing w:val="-28"/>
          <w:sz w:val="20"/>
        </w:rPr>
        <w:t> </w:t>
      </w:r>
      <w:r>
        <w:rPr>
          <w:b/>
          <w:i/>
          <w:w w:val="116"/>
          <w:sz w:val="20"/>
        </w:rPr>
        <w:t>.</w:t>
      </w:r>
      <w:r>
        <w:rPr>
          <w:b/>
          <w:i/>
          <w:spacing w:val="-20"/>
          <w:w w:val="116"/>
          <w:sz w:val="20"/>
        </w:rPr>
        <w:t>.</w:t>
      </w:r>
      <w:r>
        <w:rPr>
          <w:b/>
          <w:i/>
          <w:w w:val="87"/>
          <w:sz w:val="20"/>
        </w:rPr>
        <w:t>qz</w:t>
      </w:r>
      <w:r>
        <w:rPr>
          <w:rFonts w:ascii="Arial" w:hAnsi="Arial"/>
          <w:w w:val="99"/>
          <w:position w:val="2"/>
          <w:sz w:val="19"/>
        </w:rPr>
        <w:t> </w:t>
      </w:r>
      <w:r>
        <w:rPr>
          <w:rFonts w:ascii="Arial" w:hAnsi="Arial"/>
          <w:position w:val="2"/>
          <w:sz w:val="19"/>
        </w:rPr>
        <w:tab/>
      </w:r>
      <w:r>
        <w:rPr>
          <w:rFonts w:ascii="Arial" w:hAnsi="Arial"/>
          <w:w w:val="109"/>
          <w:position w:val="2"/>
          <w:sz w:val="19"/>
        </w:rPr>
        <w:t>9</w:t>
      </w:r>
    </w:p>
    <w:p>
      <w:pPr>
        <w:tabs>
          <w:tab w:pos="2566" w:val="left" w:leader="none"/>
          <w:tab w:pos="3242" w:val="left" w:leader="none"/>
          <w:tab w:pos="5676" w:val="left" w:leader="none"/>
        </w:tabs>
        <w:spacing w:line="264" w:lineRule="exact" w:before="113"/>
        <w:ind w:left="143" w:right="0" w:firstLine="0"/>
        <w:jc w:val="left"/>
        <w:rPr>
          <w:sz w:val="19"/>
        </w:rPr>
      </w:pPr>
      <w:r>
        <w:rPr>
          <w:b/>
          <w:i/>
          <w:w w:val="105"/>
          <w:sz w:val="22"/>
        </w:rPr>
        <w:t>Ns</w:t>
        <w:tab/>
      </w:r>
      <w:r>
        <w:rPr>
          <w:rFonts w:ascii="Courier New"/>
          <w:spacing w:val="-25"/>
          <w:w w:val="105"/>
          <w:position w:val="2"/>
          <w:sz w:val="22"/>
        </w:rPr>
        <w:t>40</w:t>
        <w:tab/>
      </w:r>
      <w:r>
        <w:rPr>
          <w:b/>
          <w:i/>
          <w:w w:val="105"/>
          <w:position w:val="1"/>
          <w:sz w:val="21"/>
        </w:rPr>
        <w:t>Rz</w:t>
      </w:r>
      <w:r>
        <w:rPr>
          <w:w w:val="105"/>
          <w:position w:val="4"/>
          <w:sz w:val="19"/>
        </w:rPr>
        <w:tab/>
        <w:t>72</w:t>
      </w:r>
    </w:p>
    <w:p>
      <w:pPr>
        <w:tabs>
          <w:tab w:pos="2566" w:val="left" w:leader="none"/>
          <w:tab w:pos="3246" w:val="left" w:leader="none"/>
          <w:tab w:pos="5672" w:val="left" w:leader="none"/>
        </w:tabs>
        <w:spacing w:line="283" w:lineRule="exact" w:before="0"/>
        <w:ind w:left="147" w:right="0" w:firstLine="0"/>
        <w:jc w:val="left"/>
        <w:rPr>
          <w:rFonts w:ascii="Courier New" w:hAnsi="Courier New"/>
          <w:sz w:val="23"/>
        </w:rPr>
      </w:pPr>
      <w:r>
        <w:rPr>
          <w:rFonts w:ascii="Arial" w:hAnsi="Arial"/>
          <w:i/>
          <w:w w:val="90"/>
          <w:sz w:val="20"/>
        </w:rPr>
        <w:t>Ñ:ir</w:t>
        <w:tab/>
      </w:r>
      <w:r>
        <w:rPr>
          <w:rFonts w:ascii="Courier New" w:hAnsi="Courier New"/>
          <w:spacing w:val="-25"/>
          <w:position w:val="2"/>
          <w:sz w:val="22"/>
        </w:rPr>
        <w:t>49</w:t>
        <w:tab/>
      </w:r>
      <w:r>
        <w:rPr>
          <w:rFonts w:ascii="Arial" w:hAnsi="Arial"/>
          <w:i/>
          <w:w w:val="90"/>
          <w:position w:val="1"/>
          <w:sz w:val="20"/>
        </w:rPr>
        <w:t>R:ir</w:t>
      </w:r>
      <w:r>
        <w:rPr>
          <w:rFonts w:ascii="Courier New" w:hAnsi="Courier New"/>
          <w:w w:val="90"/>
          <w:position w:val="5"/>
          <w:sz w:val="23"/>
        </w:rPr>
        <w:tab/>
      </w:r>
      <w:r>
        <w:rPr>
          <w:rFonts w:ascii="Courier New" w:hAnsi="Courier New"/>
          <w:spacing w:val="-24"/>
          <w:position w:val="5"/>
          <w:sz w:val="23"/>
        </w:rPr>
        <w:t>73</w:t>
      </w:r>
    </w:p>
    <w:p>
      <w:pPr>
        <w:tabs>
          <w:tab w:pos="2487" w:val="left" w:leader="none"/>
          <w:tab w:pos="3242" w:val="left" w:leader="none"/>
          <w:tab w:pos="5593" w:val="left" w:leader="none"/>
        </w:tabs>
        <w:spacing w:line="280" w:lineRule="exact" w:before="0"/>
        <w:ind w:left="143" w:right="0" w:firstLine="0"/>
        <w:jc w:val="left"/>
        <w:rPr>
          <w:sz w:val="19"/>
        </w:rPr>
      </w:pPr>
      <w:r>
        <w:rPr>
          <w:spacing w:val="-4"/>
          <w:position w:val="0"/>
          <w:sz w:val="20"/>
        </w:rPr>
        <w:t>N!•&gt;</w:t>
        <w:tab/>
      </w:r>
      <w:r>
        <w:rPr>
          <w:rFonts w:ascii="Courier New" w:hAnsi="Courier New"/>
          <w:position w:val="-2"/>
          <w:sz w:val="22"/>
        </w:rPr>
        <w:t>154</w:t>
        <w:tab/>
      </w:r>
      <w:r>
        <w:rPr>
          <w:spacing w:val="-4"/>
          <w:sz w:val="20"/>
        </w:rPr>
        <w:t>R!•&gt;</w:t>
      </w:r>
      <w:r>
        <w:rPr>
          <w:spacing w:val="-4"/>
          <w:sz w:val="19"/>
        </w:rPr>
        <w:tab/>
      </w:r>
      <w:r>
        <w:rPr>
          <w:spacing w:val="-12"/>
          <w:sz w:val="19"/>
        </w:rPr>
        <w:t>154</w:t>
      </w:r>
    </w:p>
    <w:p>
      <w:pPr>
        <w:spacing w:after="0" w:line="280" w:lineRule="exact"/>
        <w:jc w:val="left"/>
        <w:rPr>
          <w:sz w:val="19"/>
        </w:rPr>
        <w:sectPr>
          <w:type w:val="continuous"/>
          <w:pgSz w:w="7200" w:h="11340"/>
          <w:pgMar w:top="1100" w:bottom="0" w:left="640" w:right="480"/>
        </w:sectPr>
      </w:pPr>
    </w:p>
    <w:p>
      <w:pPr>
        <w:tabs>
          <w:tab w:pos="5623" w:val="left" w:leader="none"/>
        </w:tabs>
        <w:spacing w:before="65"/>
        <w:ind w:left="2147" w:right="0" w:firstLine="0"/>
        <w:jc w:val="left"/>
        <w:rPr>
          <w:rFonts w:ascii="Courier New"/>
          <w:sz w:val="22"/>
        </w:rPr>
      </w:pPr>
      <w:r>
        <w:rPr>
          <w:sz w:val="15"/>
        </w:rPr>
        <w:t>INDEX  </w:t>
      </w:r>
      <w:r>
        <w:rPr>
          <w:spacing w:val="25"/>
          <w:sz w:val="15"/>
        </w:rPr>
        <w:t> </w:t>
      </w:r>
      <w:r>
        <w:rPr>
          <w:sz w:val="15"/>
        </w:rPr>
        <w:t>TO  </w:t>
      </w:r>
      <w:r>
        <w:rPr>
          <w:spacing w:val="17"/>
          <w:sz w:val="15"/>
        </w:rPr>
        <w:t> </w:t>
      </w:r>
      <w:r>
        <w:rPr>
          <w:sz w:val="15"/>
        </w:rPr>
        <w:t>NOTATION</w:t>
      </w:r>
      <w:r>
        <w:rPr>
          <w:rFonts w:ascii="Courier New"/>
          <w:sz w:val="22"/>
        </w:rPr>
        <w:tab/>
        <w:t>381</w:t>
      </w:r>
    </w:p>
    <w:p>
      <w:pPr>
        <w:tabs>
          <w:tab w:pos="2595" w:val="left" w:leader="none"/>
          <w:tab w:pos="3367" w:val="left" w:leader="none"/>
          <w:tab w:pos="5634" w:val="left" w:leader="none"/>
        </w:tabs>
        <w:spacing w:line="290" w:lineRule="exact" w:before="180"/>
        <w:ind w:left="160" w:right="0" w:firstLine="0"/>
        <w:jc w:val="left"/>
        <w:rPr>
          <w:rFonts w:ascii="Courier New" w:hAnsi="Courier New"/>
          <w:sz w:val="22"/>
        </w:rPr>
      </w:pPr>
      <w:r>
        <w:rPr>
          <w:i/>
          <w:w w:val="110"/>
          <w:sz w:val="20"/>
        </w:rPr>
        <w:t>Ss</w:t>
      </w:r>
      <w:r>
        <w:rPr>
          <w:i/>
          <w:sz w:val="20"/>
        </w:rPr>
        <w:tab/>
      </w:r>
      <w:r>
        <w:rPr>
          <w:rFonts w:ascii="Courier New" w:hAnsi="Courier New"/>
          <w:spacing w:val="-20"/>
          <w:w w:val="98"/>
          <w:sz w:val="22"/>
        </w:rPr>
        <w:t>5</w:t>
      </w:r>
      <w:r>
        <w:rPr>
          <w:rFonts w:ascii="Courier New" w:hAnsi="Courier New"/>
          <w:w w:val="79"/>
          <w:sz w:val="22"/>
        </w:rPr>
        <w:t>1</w:t>
      </w:r>
      <w:r>
        <w:rPr>
          <w:rFonts w:ascii="Courier New" w:hAnsi="Courier New"/>
          <w:sz w:val="22"/>
        </w:rPr>
        <w:tab/>
      </w:r>
      <w:r>
        <w:rPr>
          <w:w w:val="81"/>
          <w:position w:val="3"/>
          <w:sz w:val="22"/>
        </w:rPr>
        <w:t>V</w:t>
      </w:r>
      <w:r>
        <w:rPr>
          <w:spacing w:val="12"/>
          <w:position w:val="3"/>
          <w:sz w:val="22"/>
        </w:rPr>
        <w:t> </w:t>
      </w:r>
      <w:r>
        <w:rPr>
          <w:spacing w:val="-33"/>
          <w:w w:val="190"/>
          <w:position w:val="3"/>
          <w:sz w:val="22"/>
        </w:rPr>
        <w:t>•</w:t>
      </w:r>
      <w:r>
        <w:rPr>
          <w:w w:val="43"/>
          <w:position w:val="3"/>
          <w:sz w:val="22"/>
        </w:rPr>
        <w:t>I</w:t>
      </w:r>
      <w:r>
        <w:rPr>
          <w:rFonts w:ascii="Courier New" w:hAnsi="Courier New"/>
          <w:w w:val="99"/>
          <w:sz w:val="22"/>
        </w:rPr>
        <w:t> </w:t>
      </w:r>
      <w:r>
        <w:rPr>
          <w:rFonts w:ascii="Courier New" w:hAnsi="Courier New"/>
          <w:sz w:val="22"/>
        </w:rPr>
        <w:tab/>
      </w:r>
      <w:r>
        <w:rPr>
          <w:rFonts w:ascii="Courier New" w:hAnsi="Courier New"/>
          <w:w w:val="80"/>
          <w:sz w:val="22"/>
        </w:rPr>
        <w:t>1</w:t>
      </w:r>
      <w:r>
        <w:rPr>
          <w:rFonts w:ascii="Courier New" w:hAnsi="Courier New"/>
          <w:spacing w:val="-31"/>
          <w:w w:val="80"/>
          <w:sz w:val="22"/>
        </w:rPr>
        <w:t>2</w:t>
      </w:r>
      <w:r>
        <w:rPr>
          <w:rFonts w:ascii="Courier New" w:hAnsi="Courier New"/>
          <w:w w:val="101"/>
          <w:sz w:val="22"/>
        </w:rPr>
        <w:t>7</w:t>
      </w:r>
    </w:p>
    <w:p>
      <w:pPr>
        <w:tabs>
          <w:tab w:pos="2595" w:val="left" w:leader="none"/>
          <w:tab w:pos="3288" w:val="left" w:leader="none"/>
          <w:tab w:pos="5716" w:val="left" w:leader="none"/>
        </w:tabs>
        <w:spacing w:line="358" w:lineRule="exact" w:before="0"/>
        <w:ind w:left="142" w:right="0" w:firstLine="0"/>
        <w:jc w:val="left"/>
        <w:rPr>
          <w:rFonts w:ascii="Courier New" w:hAnsi="Courier New"/>
          <w:sz w:val="22"/>
        </w:rPr>
      </w:pPr>
      <w:r>
        <w:rPr>
          <w:rFonts w:ascii="Courier New" w:hAnsi="Courier New"/>
          <w:i/>
          <w:spacing w:val="-15"/>
          <w:w w:val="90"/>
          <w:position w:val="-5"/>
          <w:sz w:val="37"/>
        </w:rPr>
        <w:t>sª</w:t>
        <w:tab/>
      </w:r>
      <w:r>
        <w:rPr>
          <w:rFonts w:ascii="Courier New" w:hAnsi="Courier New"/>
          <w:spacing w:val="-15"/>
          <w:w w:val="95"/>
          <w:position w:val="1"/>
          <w:sz w:val="23"/>
        </w:rPr>
        <w:t>55</w:t>
        <w:tab/>
      </w:r>
      <w:r>
        <w:rPr>
          <w:w w:val="95"/>
          <w:sz w:val="22"/>
        </w:rPr>
        <w:t>,Vs:ñl</w:t>
      </w:r>
      <w:r>
        <w:rPr>
          <w:rFonts w:ascii="Courier New" w:hAnsi="Courier New"/>
          <w:w w:val="95"/>
          <w:position w:val="1"/>
          <w:sz w:val="22"/>
        </w:rPr>
        <w:tab/>
      </w:r>
      <w:r>
        <w:rPr>
          <w:rFonts w:ascii="Courier New" w:hAnsi="Courier New"/>
          <w:spacing w:val="-25"/>
          <w:w w:val="95"/>
          <w:position w:val="1"/>
          <w:sz w:val="22"/>
        </w:rPr>
        <w:t>97</w:t>
      </w:r>
    </w:p>
    <w:p>
      <w:pPr>
        <w:tabs>
          <w:tab w:pos="2699" w:val="left" w:leader="none"/>
          <w:tab w:pos="3288" w:val="left" w:leader="none"/>
          <w:tab w:pos="5634" w:val="left" w:leader="none"/>
        </w:tabs>
        <w:spacing w:line="235" w:lineRule="exact" w:before="0"/>
        <w:ind w:left="145" w:right="0" w:firstLine="0"/>
        <w:jc w:val="left"/>
        <w:rPr>
          <w:rFonts w:ascii="Courier New" w:hAnsi="Courier New"/>
          <w:sz w:val="22"/>
        </w:rPr>
      </w:pPr>
      <w:r>
        <w:rPr>
          <w:rFonts w:ascii="Arial" w:hAnsi="Arial"/>
          <w:i/>
          <w:w w:val="95"/>
          <w:position w:val="-5"/>
          <w:sz w:val="20"/>
        </w:rPr>
        <w:t>s(x</w:t>
      </w:r>
      <w:r>
        <w:rPr>
          <w:rFonts w:ascii="Arial" w:hAnsi="Arial"/>
          <w:i/>
          <w:spacing w:val="-24"/>
          <w:w w:val="95"/>
          <w:position w:val="-5"/>
          <w:sz w:val="20"/>
        </w:rPr>
        <w:t> </w:t>
      </w:r>
      <w:r>
        <w:rPr>
          <w:rFonts w:ascii="Arial" w:hAnsi="Arial"/>
          <w:i/>
          <w:w w:val="95"/>
          <w:position w:val="-5"/>
          <w:sz w:val="20"/>
        </w:rPr>
        <w:t>)</w:t>
        <w:tab/>
      </w:r>
      <w:r>
        <w:rPr>
          <w:rFonts w:ascii="Arial" w:hAnsi="Arial"/>
          <w:w w:val="95"/>
          <w:position w:val="-6"/>
          <w:sz w:val="20"/>
        </w:rPr>
        <w:t>3</w:t>
        <w:tab/>
      </w:r>
      <w:r>
        <w:rPr>
          <w:w w:val="95"/>
          <w:sz w:val="22"/>
        </w:rPr>
        <w:t>,Vs:ñJ</w:t>
      </w:r>
      <w:r>
        <w:rPr>
          <w:rFonts w:ascii="Courier New" w:hAnsi="Courier New"/>
          <w:w w:val="95"/>
          <w:position w:val="1"/>
          <w:sz w:val="22"/>
        </w:rPr>
        <w:tab/>
      </w:r>
      <w:r>
        <w:rPr>
          <w:rFonts w:ascii="Courier New" w:hAnsi="Courier New"/>
          <w:spacing w:val="-11"/>
          <w:w w:val="95"/>
          <w:position w:val="1"/>
          <w:sz w:val="22"/>
        </w:rPr>
        <w:t>127</w:t>
      </w:r>
    </w:p>
    <w:p>
      <w:pPr>
        <w:spacing w:line="105" w:lineRule="exact" w:before="0"/>
        <w:ind w:left="1176" w:right="42" w:firstLine="0"/>
        <w:jc w:val="center"/>
        <w:rPr>
          <w:b/>
          <w:sz w:val="12"/>
        </w:rPr>
      </w:pPr>
      <w:r>
        <w:rPr/>
        <w:pict>
          <v:shape style="position:absolute;margin-left:37.71188pt;margin-top:3.188295pt;width:294.25pt;height:123.65pt;mso-position-horizontal-relative:page;mso-position-vertical-relative:paragraph;z-index:32008"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391"/>
                    <w:gridCol w:w="1380"/>
                    <w:gridCol w:w="1802"/>
                    <w:gridCol w:w="1312"/>
                  </w:tblGrid>
                  <w:tr>
                    <w:trPr>
                      <w:trHeight w:val="263" w:hRule="exact"/>
                    </w:trPr>
                    <w:tc>
                      <w:tcPr>
                        <w:tcW w:w="1391" w:type="dxa"/>
                      </w:tcPr>
                      <w:p>
                        <w:pPr>
                          <w:pStyle w:val="TableParagraph"/>
                          <w:spacing w:before="4"/>
                          <w:ind w:left="38"/>
                          <w:rPr>
                            <w:rFonts w:ascii="Times New Roman" w:hAnsi="Times New Roman"/>
                            <w:sz w:val="22"/>
                          </w:rPr>
                        </w:pPr>
                        <w:r>
                          <w:rPr>
                            <w:rFonts w:ascii="Times New Roman" w:hAnsi="Times New Roman"/>
                            <w:w w:val="85"/>
                            <w:sz w:val="22"/>
                          </w:rPr>
                          <w:t>8:i::i¡</w:t>
                        </w:r>
                      </w:p>
                    </w:tc>
                    <w:tc>
                      <w:tcPr>
                        <w:tcW w:w="1380" w:type="dxa"/>
                      </w:tcPr>
                      <w:p>
                        <w:pPr>
                          <w:pStyle w:val="TableParagraph"/>
                          <w:spacing w:before="14"/>
                          <w:ind w:right="83"/>
                          <w:jc w:val="right"/>
                          <w:rPr>
                            <w:rFonts w:ascii="Arial"/>
                            <w:sz w:val="20"/>
                          </w:rPr>
                        </w:pPr>
                        <w:r>
                          <w:rPr>
                            <w:rFonts w:ascii="Arial"/>
                            <w:w w:val="90"/>
                            <w:sz w:val="20"/>
                          </w:rPr>
                          <w:t>43</w:t>
                        </w:r>
                      </w:p>
                    </w:tc>
                    <w:tc>
                      <w:tcPr>
                        <w:tcW w:w="1802" w:type="dxa"/>
                      </w:tcPr>
                      <w:p>
                        <w:pPr>
                          <w:pStyle w:val="TableParagraph"/>
                          <w:spacing w:line="225" w:lineRule="exact"/>
                          <w:ind w:left="410"/>
                          <w:rPr>
                            <w:rFonts w:ascii="Times New Roman"/>
                            <w:sz w:val="22"/>
                          </w:rPr>
                        </w:pPr>
                        <w:r>
                          <w:rPr>
                            <w:rFonts w:ascii="Times New Roman"/>
                            <w:w w:val="85"/>
                            <w:sz w:val="22"/>
                          </w:rPr>
                          <w:t>,V:i::il</w:t>
                        </w:r>
                      </w:p>
                    </w:tc>
                    <w:tc>
                      <w:tcPr>
                        <w:tcW w:w="1312" w:type="dxa"/>
                      </w:tcPr>
                      <w:p>
                        <w:pPr>
                          <w:pStyle w:val="TableParagraph"/>
                          <w:spacing w:line="229" w:lineRule="exact"/>
                          <w:ind w:right="41"/>
                          <w:jc w:val="right"/>
                          <w:rPr>
                            <w:sz w:val="22"/>
                          </w:rPr>
                        </w:pPr>
                        <w:r>
                          <w:rPr>
                            <w:w w:val="85"/>
                            <w:sz w:val="22"/>
                          </w:rPr>
                          <w:t>127</w:t>
                        </w:r>
                      </w:p>
                    </w:tc>
                  </w:tr>
                  <w:tr>
                    <w:trPr>
                      <w:trHeight w:val="344" w:hRule="exact"/>
                    </w:trPr>
                    <w:tc>
                      <w:tcPr>
                        <w:tcW w:w="1391" w:type="dxa"/>
                      </w:tcPr>
                      <w:p>
                        <w:pPr>
                          <w:pStyle w:val="TableParagraph"/>
                          <w:spacing w:before="21"/>
                          <w:ind w:left="35"/>
                          <w:rPr>
                            <w:rFonts w:ascii="Times New Roman" w:hAnsi="Times New Roman"/>
                            <w:sz w:val="22"/>
                          </w:rPr>
                        </w:pPr>
                        <w:r>
                          <w:rPr>
                            <w:rFonts w:ascii="Times New Roman" w:hAnsi="Times New Roman"/>
                            <w:w w:val="75"/>
                            <w:sz w:val="22"/>
                          </w:rPr>
                          <w:t>8:i::ñ]</w:t>
                        </w:r>
                      </w:p>
                    </w:tc>
                    <w:tc>
                      <w:tcPr>
                        <w:tcW w:w="1380" w:type="dxa"/>
                      </w:tcPr>
                      <w:p>
                        <w:pPr>
                          <w:pStyle w:val="TableParagraph"/>
                          <w:spacing w:before="36"/>
                          <w:ind w:right="88"/>
                          <w:jc w:val="right"/>
                          <w:rPr>
                            <w:rFonts w:ascii="Arial"/>
                            <w:sz w:val="20"/>
                          </w:rPr>
                        </w:pPr>
                        <w:r>
                          <w:rPr>
                            <w:rFonts w:ascii="Arial"/>
                            <w:w w:val="90"/>
                            <w:sz w:val="20"/>
                          </w:rPr>
                          <w:t>43</w:t>
                        </w:r>
                      </w:p>
                    </w:tc>
                    <w:tc>
                      <w:tcPr>
                        <w:tcW w:w="1802" w:type="dxa"/>
                      </w:tcPr>
                      <w:p>
                        <w:pPr>
                          <w:pStyle w:val="TableParagraph"/>
                          <w:spacing w:line="235" w:lineRule="exact"/>
                          <w:ind w:left="403"/>
                          <w:rPr>
                            <w:rFonts w:ascii="Times New Roman"/>
                            <w:sz w:val="22"/>
                          </w:rPr>
                        </w:pPr>
                        <w:r>
                          <w:rPr>
                            <w:rFonts w:ascii="Times New Roman"/>
                            <w:w w:val="95"/>
                            <w:sz w:val="22"/>
                          </w:rPr>
                          <w:t>,</w:t>
                        </w:r>
                        <w:r>
                          <w:rPr>
                            <w:rFonts w:ascii="Times New Roman"/>
                            <w:spacing w:val="-118"/>
                            <w:w w:val="94"/>
                            <w:sz w:val="22"/>
                          </w:rPr>
                          <w:t>V</w:t>
                        </w:r>
                        <w:r>
                          <w:rPr>
                            <w:rFonts w:ascii="Times New Roman"/>
                            <w:spacing w:val="-220"/>
                            <w:w w:val="279"/>
                            <w:sz w:val="22"/>
                          </w:rPr>
                          <w:t>!</w:t>
                        </w:r>
                        <w:r>
                          <w:rPr>
                            <w:rFonts w:ascii="Times New Roman"/>
                            <w:spacing w:val="-33"/>
                            <w:w w:val="87"/>
                            <w:sz w:val="22"/>
                          </w:rPr>
                          <w:t>:</w:t>
                        </w:r>
                        <w:r>
                          <w:rPr>
                            <w:rFonts w:ascii="Times New Roman"/>
                            <w:w w:val="53"/>
                            <w:sz w:val="22"/>
                          </w:rPr>
                          <w:t>-;;i</w:t>
                        </w:r>
                      </w:p>
                      <w:p>
                        <w:pPr>
                          <w:pStyle w:val="TableParagraph"/>
                          <w:spacing w:before="6"/>
                          <w:ind w:left="596"/>
                          <w:rPr>
                            <w:rFonts w:ascii="Times New Roman"/>
                            <w:b/>
                            <w:sz w:val="12"/>
                          </w:rPr>
                        </w:pPr>
                        <w:r>
                          <w:rPr>
                            <w:rFonts w:ascii="Times New Roman"/>
                            <w:b/>
                            <w:w w:val="110"/>
                            <w:sz w:val="12"/>
                          </w:rPr>
                          <w:t>1(91)</w:t>
                        </w:r>
                      </w:p>
                    </w:tc>
                    <w:tc>
                      <w:tcPr>
                        <w:tcW w:w="1312" w:type="dxa"/>
                      </w:tcPr>
                      <w:p>
                        <w:pPr>
                          <w:pStyle w:val="TableParagraph"/>
                          <w:ind w:right="33"/>
                          <w:jc w:val="right"/>
                          <w:rPr>
                            <w:sz w:val="22"/>
                          </w:rPr>
                        </w:pPr>
                        <w:r>
                          <w:rPr>
                            <w:w w:val="110"/>
                            <w:sz w:val="22"/>
                          </w:rPr>
                          <w:t>97</w:t>
                        </w:r>
                      </w:p>
                    </w:tc>
                  </w:tr>
                  <w:tr>
                    <w:trPr>
                      <w:trHeight w:val="364" w:hRule="exact"/>
                    </w:trPr>
                    <w:tc>
                      <w:tcPr>
                        <w:tcW w:w="1391" w:type="dxa"/>
                      </w:tcPr>
                      <w:p>
                        <w:pPr>
                          <w:pStyle w:val="TableParagraph"/>
                          <w:spacing w:before="48"/>
                          <w:ind w:left="56"/>
                          <w:rPr>
                            <w:rFonts w:ascii="Arial"/>
                            <w:i/>
                            <w:sz w:val="20"/>
                          </w:rPr>
                        </w:pPr>
                        <w:r>
                          <w:rPr>
                            <w:rFonts w:ascii="Arial"/>
                            <w:i/>
                            <w:sz w:val="20"/>
                          </w:rPr>
                          <w:t>T:i</w:t>
                        </w:r>
                      </w:p>
                    </w:tc>
                    <w:tc>
                      <w:tcPr>
                        <w:tcW w:w="4494" w:type="dxa"/>
                        <w:gridSpan w:val="3"/>
                      </w:tcPr>
                      <w:p>
                        <w:pPr>
                          <w:pStyle w:val="TableParagraph"/>
                          <w:tabs>
                            <w:tab w:pos="1779" w:val="left" w:leader="none"/>
                            <w:tab w:pos="4455" w:val="right" w:leader="none"/>
                          </w:tabs>
                          <w:spacing w:line="301" w:lineRule="exact"/>
                          <w:ind w:left="1008"/>
                          <w:rPr>
                            <w:sz w:val="22"/>
                          </w:rPr>
                        </w:pPr>
                        <w:r>
                          <w:rPr>
                            <w:spacing w:val="-10"/>
                            <w:w w:val="90"/>
                            <w:position w:val="-5"/>
                            <w:sz w:val="22"/>
                          </w:rPr>
                          <w:t>170</w:t>
                          <w:tab/>
                        </w:r>
                        <w:r>
                          <w:rPr>
                            <w:rFonts w:ascii="Times New Roman"/>
                            <w:w w:val="90"/>
                            <w:sz w:val="22"/>
                          </w:rPr>
                          <w:t>,V:i::iiJ</w:t>
                        </w:r>
                        <w:r>
                          <w:rPr>
                            <w:w w:val="90"/>
                            <w:position w:val="2"/>
                            <w:sz w:val="22"/>
                          </w:rPr>
                          <w:tab/>
                        </w:r>
                        <w:r>
                          <w:rPr>
                            <w:spacing w:val="-10"/>
                            <w:w w:val="90"/>
                            <w:position w:val="2"/>
                            <w:sz w:val="22"/>
                          </w:rPr>
                          <w:t>127</w:t>
                        </w:r>
                      </w:p>
                    </w:tc>
                  </w:tr>
                  <w:tr>
                    <w:trPr>
                      <w:trHeight w:val="324" w:hRule="exact"/>
                    </w:trPr>
                    <w:tc>
                      <w:tcPr>
                        <w:tcW w:w="1391" w:type="dxa"/>
                      </w:tcPr>
                      <w:p>
                        <w:pPr>
                          <w:pStyle w:val="TableParagraph"/>
                          <w:spacing w:before="44"/>
                          <w:ind w:left="42"/>
                          <w:rPr>
                            <w:rFonts w:ascii="Arial"/>
                            <w:i/>
                            <w:sz w:val="20"/>
                          </w:rPr>
                        </w:pPr>
                        <w:r>
                          <w:rPr>
                            <w:rFonts w:ascii="Arial"/>
                            <w:i/>
                            <w:w w:val="85"/>
                            <w:sz w:val="20"/>
                          </w:rPr>
                          <w:t>U:i</w:t>
                        </w:r>
                      </w:p>
                    </w:tc>
                    <w:tc>
                      <w:tcPr>
                        <w:tcW w:w="4494" w:type="dxa"/>
                        <w:gridSpan w:val="3"/>
                      </w:tcPr>
                      <w:p>
                        <w:pPr>
                          <w:pStyle w:val="TableParagraph"/>
                          <w:tabs>
                            <w:tab w:pos="4455" w:val="right" w:leader="none"/>
                          </w:tabs>
                          <w:spacing w:line="144" w:lineRule="exact"/>
                          <w:ind w:left="1783"/>
                          <w:rPr>
                            <w:sz w:val="22"/>
                          </w:rPr>
                        </w:pPr>
                        <w:r>
                          <w:rPr>
                            <w:rFonts w:ascii="Arial"/>
                            <w:i/>
                            <w:w w:val="105"/>
                            <w:sz w:val="20"/>
                          </w:rPr>
                          <w:t>'V</w:t>
                        </w:r>
                        <w:r>
                          <w:rPr>
                            <w:rFonts w:ascii="Arial"/>
                            <w:i/>
                            <w:spacing w:val="-27"/>
                            <w:w w:val="105"/>
                            <w:sz w:val="20"/>
                          </w:rPr>
                          <w:t> </w:t>
                        </w:r>
                        <w:r>
                          <w:rPr>
                            <w:rFonts w:ascii="Times New Roman"/>
                            <w:spacing w:val="-5"/>
                            <w:w w:val="105"/>
                            <w:sz w:val="20"/>
                          </w:rPr>
                          <w:t>(.A:,:)</w:t>
                        </w:r>
                        <w:r>
                          <w:rPr>
                            <w:spacing w:val="-5"/>
                            <w:w w:val="105"/>
                            <w:position w:val="1"/>
                            <w:sz w:val="22"/>
                          </w:rPr>
                          <w:tab/>
                        </w:r>
                        <w:r>
                          <w:rPr>
                            <w:spacing w:val="-25"/>
                            <w:w w:val="105"/>
                            <w:position w:val="1"/>
                            <w:sz w:val="22"/>
                          </w:rPr>
                          <w:t>98</w:t>
                        </w:r>
                      </w:p>
                    </w:tc>
                  </w:tr>
                  <w:tr>
                    <w:trPr>
                      <w:trHeight w:val="281" w:hRule="exact"/>
                    </w:trPr>
                    <w:tc>
                      <w:tcPr>
                        <w:tcW w:w="1391" w:type="dxa"/>
                      </w:tcPr>
                      <w:p>
                        <w:pPr>
                          <w:pStyle w:val="TableParagraph"/>
                          <w:spacing w:before="4"/>
                          <w:ind w:left="42"/>
                          <w:rPr>
                            <w:rFonts w:ascii="Arial" w:hAnsi="Arial"/>
                            <w:i/>
                            <w:sz w:val="20"/>
                          </w:rPr>
                        </w:pPr>
                        <w:r>
                          <w:rPr>
                            <w:rFonts w:ascii="Arial" w:hAnsi="Arial"/>
                            <w:i/>
                            <w:w w:val="85"/>
                            <w:sz w:val="20"/>
                          </w:rPr>
                          <w:t>Ü:i</w:t>
                        </w:r>
                      </w:p>
                    </w:tc>
                    <w:tc>
                      <w:tcPr>
                        <w:tcW w:w="4494" w:type="dxa"/>
                        <w:gridSpan w:val="3"/>
                      </w:tcPr>
                      <w:p>
                        <w:pPr>
                          <w:pStyle w:val="TableParagraph"/>
                          <w:tabs>
                            <w:tab w:pos="1783" w:val="left" w:leader="none"/>
                            <w:tab w:pos="4452" w:val="right" w:leader="none"/>
                          </w:tabs>
                          <w:spacing w:line="309" w:lineRule="exact" w:before="11"/>
                          <w:ind w:left="1004"/>
                          <w:rPr>
                            <w:sz w:val="22"/>
                          </w:rPr>
                        </w:pPr>
                        <w:r>
                          <w:rPr>
                            <w:spacing w:val="-6"/>
                            <w:position w:val="12"/>
                            <w:sz w:val="22"/>
                          </w:rPr>
                          <w:t>116</w:t>
                          <w:tab/>
                        </w:r>
                        <w:r>
                          <w:rPr>
                            <w:rFonts w:ascii="Arial"/>
                            <w:i/>
                            <w:spacing w:val="-4"/>
                            <w:sz w:val="20"/>
                          </w:rPr>
                          <w:t>,V </w:t>
                        </w:r>
                        <w:r>
                          <w:rPr>
                            <w:rFonts w:ascii="Arial"/>
                            <w:i/>
                            <w:sz w:val="20"/>
                          </w:rPr>
                          <w:t>(A:i</w:t>
                        </w:r>
                        <w:r>
                          <w:rPr>
                            <w:rFonts w:ascii="Arial"/>
                            <w:i/>
                            <w:spacing w:val="-31"/>
                            <w:sz w:val="20"/>
                          </w:rPr>
                          <w:t> </w:t>
                        </w:r>
                        <w:r>
                          <w:rPr>
                            <w:rFonts w:ascii="Arial"/>
                            <w:i/>
                            <w:sz w:val="20"/>
                          </w:rPr>
                          <w:t>:nl</w:t>
                        </w:r>
                        <w:r>
                          <w:rPr>
                            <w:rFonts w:ascii="Arial"/>
                            <w:i/>
                            <w:spacing w:val="-20"/>
                            <w:sz w:val="20"/>
                          </w:rPr>
                          <w:t> </w:t>
                        </w:r>
                        <w:r>
                          <w:rPr>
                            <w:rFonts w:ascii="Arial"/>
                            <w:i/>
                            <w:sz w:val="20"/>
                          </w:rPr>
                          <w:t>)</w:t>
                        </w:r>
                        <w:r>
                          <w:rPr>
                            <w:sz w:val="22"/>
                          </w:rPr>
                          <w:tab/>
                        </w:r>
                        <w:r>
                          <w:rPr>
                            <w:spacing w:val="-22"/>
                            <w:sz w:val="22"/>
                          </w:rPr>
                          <w:t>99</w:t>
                        </w:r>
                      </w:p>
                    </w:tc>
                  </w:tr>
                  <w:tr>
                    <w:trPr>
                      <w:trHeight w:val="318" w:hRule="exact"/>
                    </w:trPr>
                    <w:tc>
                      <w:tcPr>
                        <w:tcW w:w="1391" w:type="dxa"/>
                      </w:tcPr>
                      <w:p>
                        <w:pPr>
                          <w:pStyle w:val="TableParagraph"/>
                          <w:spacing w:before="83"/>
                          <w:ind w:left="42"/>
                          <w:rPr>
                            <w:rFonts w:ascii="Times New Roman"/>
                            <w:sz w:val="12"/>
                          </w:rPr>
                        </w:pPr>
                        <w:r>
                          <w:rPr>
                            <w:rFonts w:ascii="Times New Roman"/>
                            <w:w w:val="105"/>
                            <w:sz w:val="12"/>
                          </w:rPr>
                          <w:t>nU:i:</w:t>
                        </w:r>
                      </w:p>
                    </w:tc>
                    <w:tc>
                      <w:tcPr>
                        <w:tcW w:w="4494" w:type="dxa"/>
                        <w:gridSpan w:val="3"/>
                      </w:tcPr>
                      <w:p>
                        <w:pPr>
                          <w:pStyle w:val="TableParagraph"/>
                          <w:spacing w:before="8"/>
                          <w:ind w:left="1090"/>
                          <w:rPr>
                            <w:sz w:val="22"/>
                          </w:rPr>
                        </w:pPr>
                        <w:r>
                          <w:rPr>
                            <w:w w:val="105"/>
                            <w:sz w:val="22"/>
                          </w:rPr>
                          <w:t>43</w:t>
                        </w:r>
                      </w:p>
                    </w:tc>
                  </w:tr>
                  <w:tr>
                    <w:trPr>
                      <w:trHeight w:val="324" w:hRule="exact"/>
                    </w:trPr>
                    <w:tc>
                      <w:tcPr>
                        <w:tcW w:w="1391" w:type="dxa"/>
                      </w:tcPr>
                      <w:p>
                        <w:pPr>
                          <w:pStyle w:val="TableParagraph"/>
                          <w:spacing w:before="42"/>
                          <w:ind w:left="60"/>
                          <w:rPr>
                            <w:rFonts w:ascii="Arial"/>
                            <w:i/>
                            <w:sz w:val="20"/>
                          </w:rPr>
                        </w:pPr>
                        <w:r>
                          <w:rPr>
                            <w:rFonts w:ascii="Arial"/>
                            <w:i/>
                            <w:sz w:val="20"/>
                          </w:rPr>
                          <w:t>,V:i</w:t>
                        </w:r>
                      </w:p>
                    </w:tc>
                    <w:tc>
                      <w:tcPr>
                        <w:tcW w:w="4494" w:type="dxa"/>
                        <w:gridSpan w:val="3"/>
                      </w:tcPr>
                      <w:p>
                        <w:pPr>
                          <w:pStyle w:val="TableParagraph"/>
                          <w:tabs>
                            <w:tab w:pos="1790" w:val="left" w:leader="none"/>
                            <w:tab w:pos="4451" w:val="right" w:leader="none"/>
                          </w:tabs>
                          <w:spacing w:before="60"/>
                          <w:ind w:left="1101"/>
                          <w:rPr>
                            <w:sz w:val="22"/>
                          </w:rPr>
                        </w:pPr>
                        <w:r>
                          <w:rPr>
                            <w:spacing w:val="-25"/>
                            <w:position w:val="4"/>
                            <w:sz w:val="22"/>
                          </w:rPr>
                          <w:t>97</w:t>
                          <w:tab/>
                        </w:r>
                        <w:r>
                          <w:rPr>
                            <w:rFonts w:ascii="Arial"/>
                            <w:i/>
                            <w:w w:val="130"/>
                            <w:sz w:val="20"/>
                          </w:rPr>
                          <w:t>:v</w:t>
                        </w:r>
                        <w:r>
                          <w:rPr>
                            <w:rFonts w:ascii="Arial"/>
                            <w:i/>
                            <w:spacing w:val="-33"/>
                            <w:w w:val="130"/>
                            <w:sz w:val="20"/>
                          </w:rPr>
                          <w:t> </w:t>
                        </w:r>
                        <w:r>
                          <w:rPr>
                            <w:rFonts w:ascii="Arial"/>
                            <w:i/>
                            <w:w w:val="85"/>
                            <w:sz w:val="20"/>
                          </w:rPr>
                          <w:t>(111a:i</w:t>
                        </w:r>
                        <w:r>
                          <w:rPr>
                            <w:rFonts w:ascii="Arial"/>
                            <w:i/>
                            <w:spacing w:val="-20"/>
                            <w:w w:val="85"/>
                            <w:sz w:val="20"/>
                          </w:rPr>
                          <w:t> </w:t>
                        </w:r>
                        <w:r>
                          <w:rPr>
                            <w:rFonts w:ascii="Arial"/>
                            <w:i/>
                            <w:w w:val="85"/>
                            <w:sz w:val="20"/>
                          </w:rPr>
                          <w:t>)</w:t>
                        </w:r>
                        <w:r>
                          <w:rPr>
                            <w:w w:val="85"/>
                            <w:sz w:val="22"/>
                          </w:rPr>
                          <w:tab/>
                        </w:r>
                        <w:r>
                          <w:rPr>
                            <w:spacing w:val="-25"/>
                            <w:sz w:val="22"/>
                          </w:rPr>
                          <w:t>98</w:t>
                        </w:r>
                      </w:p>
                    </w:tc>
                  </w:tr>
                  <w:tr>
                    <w:trPr>
                      <w:trHeight w:val="256" w:hRule="exact"/>
                    </w:trPr>
                    <w:tc>
                      <w:tcPr>
                        <w:tcW w:w="1391" w:type="dxa"/>
                      </w:tcPr>
                      <w:p>
                        <w:pPr>
                          <w:pStyle w:val="TableParagraph"/>
                          <w:spacing w:line="229" w:lineRule="exact"/>
                          <w:ind w:left="56"/>
                          <w:rPr>
                            <w:rFonts w:ascii="Arial"/>
                            <w:i/>
                            <w:sz w:val="20"/>
                          </w:rPr>
                        </w:pPr>
                        <w:r>
                          <w:rPr>
                            <w:rFonts w:ascii="Arial"/>
                            <w:i/>
                            <w:w w:val="105"/>
                            <w:sz w:val="20"/>
                          </w:rPr>
                          <w:t>,Vz</w:t>
                        </w:r>
                      </w:p>
                    </w:tc>
                    <w:tc>
                      <w:tcPr>
                        <w:tcW w:w="4494" w:type="dxa"/>
                        <w:gridSpan w:val="3"/>
                      </w:tcPr>
                      <w:p>
                        <w:pPr>
                          <w:pStyle w:val="TableParagraph"/>
                          <w:spacing w:before="14"/>
                          <w:ind w:left="1015"/>
                          <w:rPr>
                            <w:sz w:val="22"/>
                          </w:rPr>
                        </w:pPr>
                        <w:r>
                          <w:rPr>
                            <w:sz w:val="22"/>
                          </w:rPr>
                          <w:t>108</w:t>
                        </w:r>
                      </w:p>
                    </w:tc>
                  </w:tr>
                </w:tbl>
                <w:p>
                  <w:pPr>
                    <w:pStyle w:val="BodyText"/>
                  </w:pPr>
                </w:p>
              </w:txbxContent>
            </v:textbox>
            <w10:wrap type="none"/>
          </v:shape>
        </w:pict>
      </w:r>
      <w:r>
        <w:rPr>
          <w:b/>
          <w:sz w:val="12"/>
        </w:rPr>
        <w:t>(91)</w:t>
      </w:r>
    </w:p>
    <w:p>
      <w:pPr>
        <w:tabs>
          <w:tab w:pos="3284" w:val="left" w:leader="none"/>
          <w:tab w:pos="5918" w:val="right" w:leader="none"/>
        </w:tabs>
        <w:spacing w:before="983"/>
        <w:ind w:left="2509" w:right="0" w:firstLine="0"/>
        <w:jc w:val="left"/>
        <w:rPr>
          <w:rFonts w:ascii="Arial"/>
          <w:sz w:val="19"/>
        </w:rPr>
      </w:pPr>
      <w:r>
        <w:rPr>
          <w:rFonts w:ascii="Courier New"/>
          <w:spacing w:val="-7"/>
          <w:position w:val="12"/>
          <w:sz w:val="22"/>
        </w:rPr>
        <w:t>116</w:t>
        <w:tab/>
      </w:r>
      <w:r>
        <w:rPr>
          <w:rFonts w:ascii="Arial"/>
          <w:i/>
          <w:spacing w:val="4"/>
          <w:position w:val="1"/>
          <w:sz w:val="20"/>
        </w:rPr>
        <w:t>,V(A:i</w:t>
      </w:r>
      <w:r>
        <w:rPr>
          <w:rFonts w:ascii="Arial"/>
          <w:i/>
          <w:spacing w:val="-9"/>
          <w:position w:val="1"/>
          <w:sz w:val="20"/>
        </w:rPr>
        <w:t> </w:t>
      </w:r>
      <w:r>
        <w:rPr>
          <w:rFonts w:ascii="Arial"/>
          <w:i/>
          <w:position w:val="1"/>
          <w:sz w:val="20"/>
        </w:rPr>
        <w:t>)</w:t>
      </w:r>
      <w:r>
        <w:rPr>
          <w:rFonts w:ascii="Arial"/>
          <w:sz w:val="19"/>
        </w:rPr>
        <w:tab/>
      </w:r>
      <w:r>
        <w:rPr>
          <w:rFonts w:ascii="Arial"/>
          <w:spacing w:val="-14"/>
          <w:sz w:val="19"/>
        </w:rPr>
        <w:t>113</w:t>
      </w:r>
    </w:p>
    <w:p>
      <w:pPr>
        <w:tabs>
          <w:tab w:pos="5954" w:val="right" w:leader="none"/>
        </w:tabs>
        <w:spacing w:before="291"/>
        <w:ind w:left="3291" w:right="0" w:firstLine="0"/>
        <w:jc w:val="left"/>
        <w:rPr>
          <w:rFonts w:ascii="Courier New"/>
          <w:sz w:val="22"/>
        </w:rPr>
      </w:pPr>
      <w:r>
        <w:rPr>
          <w:i/>
          <w:w w:val="115"/>
          <w:sz w:val="13"/>
        </w:rPr>
        <w:t>t</w:t>
      </w:r>
      <w:r>
        <w:rPr>
          <w:i/>
          <w:spacing w:val="-17"/>
          <w:sz w:val="13"/>
        </w:rPr>
        <w:t> </w:t>
      </w:r>
      <w:r>
        <w:rPr>
          <w:rFonts w:ascii="Arial"/>
          <w:i/>
          <w:w w:val="102"/>
          <w:sz w:val="20"/>
        </w:rPr>
        <w:t>V</w:t>
      </w:r>
      <w:r>
        <w:rPr>
          <w:rFonts w:ascii="Arial"/>
          <w:i/>
          <w:spacing w:val="-21"/>
          <w:sz w:val="20"/>
        </w:rPr>
        <w:t> </w:t>
      </w:r>
      <w:r>
        <w:rPr>
          <w:w w:val="81"/>
          <w:sz w:val="25"/>
        </w:rPr>
        <w:t>(</w:t>
      </w:r>
      <w:r>
        <w:rPr>
          <w:spacing w:val="-2"/>
          <w:w w:val="81"/>
          <w:sz w:val="25"/>
        </w:rPr>
        <w:t>a</w:t>
      </w:r>
      <w:r>
        <w:rPr>
          <w:w w:val="29"/>
          <w:sz w:val="25"/>
        </w:rPr>
        <w:t>11</w:t>
      </w:r>
      <w:r>
        <w:rPr>
          <w:spacing w:val="13"/>
          <w:w w:val="29"/>
          <w:sz w:val="25"/>
        </w:rPr>
        <w:t>1</w:t>
      </w:r>
      <w:r>
        <w:rPr>
          <w:w w:val="53"/>
          <w:sz w:val="25"/>
        </w:rPr>
        <w:t>z</w:t>
      </w:r>
      <w:r>
        <w:rPr>
          <w:spacing w:val="-37"/>
          <w:sz w:val="25"/>
        </w:rPr>
        <w:t> </w:t>
      </w:r>
      <w:r>
        <w:rPr>
          <w:w w:val="77"/>
          <w:sz w:val="25"/>
        </w:rPr>
        <w:t>)</w:t>
      </w:r>
      <w:r>
        <w:rPr>
          <w:rFonts w:ascii="Courier New"/>
          <w:w w:val="99"/>
          <w:sz w:val="22"/>
        </w:rPr>
        <w:t> </w:t>
      </w:r>
      <w:r>
        <w:rPr>
          <w:rFonts w:ascii="Courier New"/>
          <w:sz w:val="22"/>
        </w:rPr>
        <w:tab/>
      </w:r>
      <w:r>
        <w:rPr>
          <w:rFonts w:ascii="Courier New"/>
          <w:spacing w:val="-39"/>
          <w:w w:val="104"/>
          <w:sz w:val="22"/>
        </w:rPr>
        <w:t>2</w:t>
      </w:r>
      <w:r>
        <w:rPr>
          <w:rFonts w:ascii="Courier New"/>
          <w:w w:val="89"/>
          <w:sz w:val="22"/>
        </w:rPr>
        <w:t>60</w:t>
      </w:r>
    </w:p>
    <w:p>
      <w:pPr>
        <w:tabs>
          <w:tab w:pos="2520" w:val="left" w:leader="none"/>
          <w:tab w:pos="3291" w:val="left" w:leader="none"/>
          <w:tab w:pos="5948" w:val="right" w:leader="none"/>
        </w:tabs>
        <w:spacing w:line="218" w:lineRule="exact" w:before="426"/>
        <w:ind w:left="235" w:right="0" w:firstLine="0"/>
        <w:jc w:val="left"/>
        <w:rPr>
          <w:rFonts w:ascii="Courier New"/>
          <w:sz w:val="22"/>
        </w:rPr>
      </w:pPr>
      <w:r>
        <w:rPr/>
        <w:pict>
          <v:shape style="position:absolute;margin-left:196.771301pt;margin-top:32.191315pt;width:17.8pt;height:16pt;mso-position-horizontal-relative:page;mso-position-vertical-relative:paragraph;z-index:-704296" type="#_x0000_t202" filled="false" stroked="false">
            <v:textbox inset="0,0,0,0">
              <w:txbxContent>
                <w:p>
                  <w:pPr>
                    <w:spacing w:line="320" w:lineRule="exact" w:before="0"/>
                    <w:ind w:left="0" w:right="-20" w:firstLine="0"/>
                    <w:jc w:val="left"/>
                    <w:rPr>
                      <w:i/>
                      <w:sz w:val="32"/>
                    </w:rPr>
                  </w:pPr>
                  <w:r>
                    <w:rPr>
                      <w:i/>
                      <w:w w:val="80"/>
                      <w:sz w:val="32"/>
                    </w:rPr>
                    <w:t>:wz</w:t>
                  </w:r>
                </w:p>
              </w:txbxContent>
            </v:textbox>
            <w10:wrap type="none"/>
          </v:shape>
        </w:pict>
      </w:r>
      <w:r>
        <w:rPr>
          <w:rFonts w:ascii="Arial"/>
          <w:b/>
          <w:w w:val="115"/>
          <w:position w:val="-2"/>
          <w:sz w:val="11"/>
        </w:rPr>
        <w:t>y(WI)</w:t>
        <w:tab/>
      </w:r>
      <w:r>
        <w:rPr>
          <w:rFonts w:ascii="Arial"/>
          <w:w w:val="105"/>
          <w:position w:val="-11"/>
          <w:sz w:val="20"/>
        </w:rPr>
        <w:t>108</w:t>
        <w:tab/>
      </w:r>
      <w:r>
        <w:rPr>
          <w:rFonts w:ascii="Arial"/>
          <w:i/>
          <w:spacing w:val="-6"/>
          <w:w w:val="105"/>
          <w:sz w:val="20"/>
        </w:rPr>
        <w:t>,W:i</w:t>
      </w:r>
      <w:r>
        <w:rPr>
          <w:rFonts w:ascii="Courier New"/>
          <w:spacing w:val="-6"/>
          <w:w w:val="105"/>
          <w:sz w:val="22"/>
        </w:rPr>
        <w:tab/>
      </w:r>
      <w:r>
        <w:rPr>
          <w:rFonts w:ascii="Courier New"/>
          <w:spacing w:val="-12"/>
          <w:w w:val="105"/>
          <w:sz w:val="22"/>
        </w:rPr>
        <w:t>142</w:t>
      </w:r>
    </w:p>
    <w:p>
      <w:pPr>
        <w:spacing w:after="0" w:line="218" w:lineRule="exact"/>
        <w:jc w:val="left"/>
        <w:rPr>
          <w:rFonts w:ascii="Courier New"/>
          <w:sz w:val="22"/>
        </w:rPr>
        <w:sectPr>
          <w:pgSz w:w="7200" w:h="11340"/>
          <w:pgMar w:top="500" w:bottom="280" w:left="640" w:right="460"/>
        </w:sectPr>
      </w:pPr>
    </w:p>
    <w:p>
      <w:pPr>
        <w:spacing w:line="136" w:lineRule="exact" w:before="50"/>
        <w:ind w:left="177" w:right="0" w:firstLine="0"/>
        <w:jc w:val="left"/>
        <w:rPr>
          <w:sz w:val="13"/>
        </w:rPr>
      </w:pPr>
      <w:r>
        <w:rPr>
          <w:w w:val="260"/>
          <w:sz w:val="13"/>
        </w:rPr>
        <w:t>' </w:t>
      </w:r>
      <w:r>
        <w:rPr>
          <w:w w:val="145"/>
          <w:sz w:val="13"/>
        </w:rPr>
        <w:t>z</w:t>
      </w:r>
    </w:p>
    <w:p>
      <w:pPr>
        <w:tabs>
          <w:tab w:pos="2524" w:val="left" w:leader="none"/>
        </w:tabs>
        <w:spacing w:line="180" w:lineRule="exact" w:before="0"/>
        <w:ind w:left="238" w:right="0" w:firstLine="0"/>
        <w:jc w:val="left"/>
        <w:rPr>
          <w:rFonts w:ascii="Courier New"/>
          <w:sz w:val="22"/>
        </w:rPr>
      </w:pPr>
      <w:r>
        <w:rPr>
          <w:rFonts w:ascii="Arial"/>
          <w:b/>
          <w:w w:val="115"/>
          <w:sz w:val="11"/>
        </w:rPr>
        <w:t>y(WI)</w:t>
      </w:r>
      <w:r>
        <w:rPr>
          <w:rFonts w:ascii="Courier New"/>
          <w:w w:val="115"/>
          <w:position w:val="-8"/>
          <w:sz w:val="22"/>
        </w:rPr>
        <w:tab/>
      </w:r>
      <w:r>
        <w:rPr>
          <w:rFonts w:ascii="Courier New"/>
          <w:spacing w:val="-8"/>
          <w:w w:val="105"/>
          <w:position w:val="-8"/>
          <w:sz w:val="22"/>
        </w:rPr>
        <w:t>109</w:t>
      </w:r>
    </w:p>
    <w:p>
      <w:pPr>
        <w:spacing w:before="63"/>
        <w:ind w:left="177" w:right="0" w:firstLine="0"/>
        <w:jc w:val="left"/>
        <w:rPr>
          <w:rFonts w:ascii="Courier New"/>
          <w:sz w:val="22"/>
        </w:rPr>
      </w:pPr>
      <w:r>
        <w:rPr/>
        <w:br w:type="column"/>
      </w:r>
      <w:r>
        <w:rPr>
          <w:rFonts w:ascii="Courier New"/>
          <w:sz w:val="22"/>
        </w:rPr>
        <w:t>143</w:t>
      </w:r>
    </w:p>
    <w:p>
      <w:pPr>
        <w:spacing w:after="0"/>
        <w:jc w:val="left"/>
        <w:rPr>
          <w:rFonts w:ascii="Courier New"/>
          <w:sz w:val="22"/>
        </w:rPr>
        <w:sectPr>
          <w:type w:val="continuous"/>
          <w:pgSz w:w="7200" w:h="11340"/>
          <w:pgMar w:top="1100" w:bottom="0" w:left="640" w:right="460"/>
          <w:cols w:num="2" w:equalWidth="0">
            <w:col w:w="3651" w:space="1809"/>
            <w:col w:w="640"/>
          </w:cols>
        </w:sectPr>
      </w:pPr>
    </w:p>
    <w:p>
      <w:pPr>
        <w:tabs>
          <w:tab w:pos="2527" w:val="left" w:leader="none"/>
          <w:tab w:pos="3295" w:val="left" w:leader="none"/>
          <w:tab w:pos="5942" w:val="right" w:leader="none"/>
        </w:tabs>
        <w:spacing w:line="298" w:lineRule="exact" w:before="0"/>
        <w:ind w:left="238" w:right="0" w:firstLine="0"/>
        <w:jc w:val="left"/>
        <w:rPr>
          <w:rFonts w:ascii="Courier New" w:hAnsi="Courier New"/>
          <w:sz w:val="22"/>
        </w:rPr>
      </w:pPr>
      <w:r>
        <w:rPr/>
        <w:pict>
          <v:shape style="position:absolute;margin-left:41.076229pt;margin-top:.886593pt;width:13.5pt;height:4pt;mso-position-horizontal-relative:page;mso-position-vertical-relative:paragraph;z-index:-704272" type="#_x0000_t202" filled="false" stroked="false">
            <v:textbox inset="0,0,0,0">
              <w:txbxContent>
                <w:p>
                  <w:pPr>
                    <w:spacing w:line="80" w:lineRule="exact" w:before="0"/>
                    <w:ind w:left="0" w:right="-17" w:firstLine="0"/>
                    <w:jc w:val="left"/>
                    <w:rPr>
                      <w:rFonts w:ascii="Arial"/>
                      <w:b/>
                      <w:sz w:val="8"/>
                    </w:rPr>
                  </w:pPr>
                  <w:r>
                    <w:rPr>
                      <w:rFonts w:ascii="Arial"/>
                      <w:w w:val="425"/>
                      <w:sz w:val="8"/>
                    </w:rPr>
                    <w:t>' </w:t>
                  </w:r>
                  <w:r>
                    <w:rPr>
                      <w:rFonts w:ascii="Arial"/>
                      <w:b/>
                      <w:w w:val="120"/>
                      <w:sz w:val="8"/>
                    </w:rPr>
                    <w:t>:i:</w:t>
                  </w:r>
                </w:p>
              </w:txbxContent>
            </v:textbox>
            <w10:wrap type="none"/>
          </v:shape>
        </w:pict>
      </w:r>
      <w:r>
        <w:rPr/>
        <w:pict>
          <v:shape style="position:absolute;margin-left:40.896858pt;margin-top:14.913193pt;width:13.5pt;height:4pt;mso-position-horizontal-relative:page;mso-position-vertical-relative:paragraph;z-index:-704248" type="#_x0000_t202" filled="false" stroked="false">
            <v:textbox inset="0,0,0,0">
              <w:txbxContent>
                <w:p>
                  <w:pPr>
                    <w:spacing w:line="80" w:lineRule="exact" w:before="0"/>
                    <w:ind w:left="0" w:right="-17" w:firstLine="0"/>
                    <w:jc w:val="left"/>
                    <w:rPr>
                      <w:rFonts w:ascii="Arial"/>
                      <w:b/>
                      <w:sz w:val="8"/>
                    </w:rPr>
                  </w:pPr>
                  <w:r>
                    <w:rPr>
                      <w:rFonts w:ascii="Arial"/>
                      <w:w w:val="470"/>
                      <w:sz w:val="8"/>
                    </w:rPr>
                    <w:t>' </w:t>
                  </w:r>
                  <w:r>
                    <w:rPr>
                      <w:rFonts w:ascii="Arial"/>
                      <w:b/>
                      <w:w w:val="120"/>
                      <w:sz w:val="8"/>
                    </w:rPr>
                    <w:t>:i:</w:t>
                  </w:r>
                </w:p>
              </w:txbxContent>
            </v:textbox>
            <w10:wrap type="none"/>
          </v:shape>
        </w:pict>
      </w:r>
      <w:r>
        <w:rPr>
          <w:w w:val="143"/>
          <w:position w:val="-3"/>
          <w:sz w:val="19"/>
        </w:rPr>
        <w:t>yt•</w:t>
      </w:r>
      <w:r>
        <w:rPr>
          <w:w w:val="39"/>
          <w:position w:val="-3"/>
          <w:sz w:val="19"/>
        </w:rPr>
        <w:t>J</w:t>
      </w:r>
      <w:r>
        <w:rPr>
          <w:position w:val="-3"/>
          <w:sz w:val="19"/>
        </w:rPr>
        <w:tab/>
      </w:r>
      <w:r>
        <w:rPr>
          <w:rFonts w:ascii="Courier New" w:hAnsi="Courier New"/>
          <w:spacing w:val="-20"/>
          <w:w w:val="71"/>
          <w:position w:val="-10"/>
          <w:sz w:val="22"/>
        </w:rPr>
        <w:t>1</w:t>
      </w:r>
      <w:r>
        <w:rPr>
          <w:rFonts w:ascii="Courier New" w:hAnsi="Courier New"/>
          <w:w w:val="87"/>
          <w:position w:val="-10"/>
          <w:sz w:val="22"/>
        </w:rPr>
        <w:t>09</w:t>
      </w:r>
      <w:r>
        <w:rPr>
          <w:rFonts w:ascii="Courier New" w:hAnsi="Courier New"/>
          <w:position w:val="-10"/>
          <w:sz w:val="22"/>
        </w:rPr>
        <w:tab/>
      </w:r>
      <w:r>
        <w:rPr>
          <w:w w:val="91"/>
          <w:sz w:val="21"/>
        </w:rPr>
        <w:t>,Wz</w:t>
      </w:r>
      <w:r>
        <w:rPr>
          <w:spacing w:val="-15"/>
          <w:w w:val="91"/>
          <w:sz w:val="21"/>
        </w:rPr>
        <w:t>:</w:t>
      </w:r>
      <w:r>
        <w:rPr>
          <w:w w:val="82"/>
          <w:sz w:val="21"/>
        </w:rPr>
        <w:t>"1</w:t>
      </w:r>
      <w:r>
        <w:rPr>
          <w:rFonts w:ascii="Courier New" w:hAnsi="Courier New"/>
          <w:w w:val="99"/>
          <w:position w:val="1"/>
          <w:sz w:val="22"/>
        </w:rPr>
        <w:t> </w:t>
      </w:r>
      <w:r>
        <w:rPr>
          <w:rFonts w:ascii="Courier New" w:hAnsi="Courier New"/>
          <w:position w:val="1"/>
          <w:sz w:val="22"/>
        </w:rPr>
        <w:tab/>
      </w:r>
      <w:r>
        <w:rPr>
          <w:rFonts w:ascii="Courier New" w:hAnsi="Courier New"/>
          <w:spacing w:val="-24"/>
          <w:w w:val="79"/>
          <w:position w:val="1"/>
          <w:sz w:val="22"/>
        </w:rPr>
        <w:t>1</w:t>
      </w:r>
      <w:r>
        <w:rPr>
          <w:rFonts w:ascii="Courier New" w:hAnsi="Courier New"/>
          <w:spacing w:val="-52"/>
          <w:w w:val="114"/>
          <w:position w:val="1"/>
          <w:sz w:val="22"/>
        </w:rPr>
        <w:t>4</w:t>
      </w:r>
      <w:r>
        <w:rPr>
          <w:rFonts w:ascii="Courier New" w:hAnsi="Courier New"/>
          <w:w w:val="94"/>
          <w:position w:val="1"/>
          <w:sz w:val="22"/>
        </w:rPr>
        <w:t>3</w:t>
      </w:r>
    </w:p>
    <w:p>
      <w:pPr>
        <w:tabs>
          <w:tab w:pos="2606" w:val="left" w:leader="none"/>
          <w:tab w:pos="3302" w:val="left" w:leader="none"/>
          <w:tab w:pos="5961" w:val="right" w:leader="none"/>
        </w:tabs>
        <w:spacing w:before="1"/>
        <w:ind w:left="177" w:right="0" w:firstLine="0"/>
        <w:jc w:val="left"/>
        <w:rPr>
          <w:rFonts w:ascii="Courier New"/>
          <w:sz w:val="22"/>
        </w:rPr>
      </w:pPr>
      <w:r>
        <w:rPr>
          <w:rFonts w:ascii="Arial"/>
          <w:i/>
          <w:w w:val="95"/>
          <w:sz w:val="29"/>
        </w:rPr>
        <w:t>:v:i:</w:t>
        <w:tab/>
      </w:r>
      <w:r>
        <w:rPr>
          <w:rFonts w:ascii="Courier New"/>
          <w:spacing w:val="-25"/>
          <w:position w:val="1"/>
          <w:sz w:val="22"/>
        </w:rPr>
        <w:t>97</w:t>
        <w:tab/>
      </w:r>
      <w:r>
        <w:rPr>
          <w:rFonts w:ascii="Arial"/>
          <w:i/>
          <w:sz w:val="20"/>
        </w:rPr>
        <w:t>Y:i</w:t>
      </w:r>
      <w:r>
        <w:rPr>
          <w:rFonts w:ascii="Courier New"/>
          <w:position w:val="1"/>
          <w:sz w:val="22"/>
        </w:rPr>
        <w:tab/>
      </w:r>
      <w:r>
        <w:rPr>
          <w:rFonts w:ascii="Courier New"/>
          <w:spacing w:val="-24"/>
          <w:position w:val="1"/>
          <w:sz w:val="22"/>
        </w:rPr>
        <w:t>170</w:t>
      </w:r>
    </w:p>
    <w:p>
      <w:pPr>
        <w:spacing w:before="134"/>
        <w:ind w:left="576" w:right="0" w:firstLine="0"/>
        <w:jc w:val="left"/>
        <w:rPr>
          <w:sz w:val="21"/>
        </w:rPr>
      </w:pPr>
      <w:r>
        <w:rPr>
          <w:w w:val="105"/>
          <w:sz w:val="21"/>
        </w:rPr>
        <w:t>II. Symbols introduced in Part Il, Multi-Life </w:t>
      </w:r>
      <w:r>
        <w:rPr>
          <w:spacing w:val="52"/>
          <w:w w:val="105"/>
          <w:sz w:val="21"/>
        </w:rPr>
        <w:t> </w:t>
      </w:r>
      <w:r>
        <w:rPr>
          <w:w w:val="105"/>
          <w:sz w:val="21"/>
        </w:rPr>
        <w:t>Functions</w:t>
      </w:r>
    </w:p>
    <w:p>
      <w:pPr>
        <w:spacing w:line="137" w:lineRule="exact" w:before="58"/>
        <w:ind w:left="1268" w:right="0" w:firstLine="0"/>
        <w:jc w:val="center"/>
        <w:rPr>
          <w:sz w:val="12"/>
        </w:rPr>
      </w:pPr>
      <w:r>
        <w:rPr/>
        <w:pict>
          <v:shape style="position:absolute;margin-left:155.380096pt;margin-top:9.049298pt;width:176.4pt;height:39.3pt;mso-position-horizontal-relative:page;mso-position-vertical-relative:paragraph;z-index:3203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85"/>
                    <w:gridCol w:w="1695"/>
                    <w:gridCol w:w="1249"/>
                  </w:tblGrid>
                  <w:tr>
                    <w:trPr>
                      <w:trHeight w:val="242" w:hRule="exact"/>
                    </w:trPr>
                    <w:tc>
                      <w:tcPr>
                        <w:tcW w:w="585" w:type="dxa"/>
                      </w:tcPr>
                      <w:p>
                        <w:pPr>
                          <w:pStyle w:val="TableParagraph"/>
                          <w:spacing w:line="156" w:lineRule="exact"/>
                          <w:ind w:left="38"/>
                          <w:rPr>
                            <w:sz w:val="22"/>
                          </w:rPr>
                        </w:pPr>
                        <w:r>
                          <w:rPr>
                            <w:sz w:val="22"/>
                          </w:rPr>
                          <w:t>192</w:t>
                        </w:r>
                      </w:p>
                    </w:tc>
                    <w:tc>
                      <w:tcPr>
                        <w:tcW w:w="1695" w:type="dxa"/>
                      </w:tcPr>
                      <w:p>
                        <w:pPr>
                          <w:pStyle w:val="TableParagraph"/>
                          <w:spacing w:before="6"/>
                          <w:ind w:left="221"/>
                          <w:rPr>
                            <w:rFonts w:ascii="Arial"/>
                            <w:i/>
                            <w:sz w:val="20"/>
                          </w:rPr>
                        </w:pPr>
                        <w:r>
                          <w:rPr>
                            <w:rFonts w:ascii="Arial"/>
                            <w:i/>
                            <w:w w:val="105"/>
                            <w:sz w:val="20"/>
                          </w:rPr>
                          <w:t>A:i </w:t>
                        </w:r>
                        <w:r>
                          <w:rPr>
                            <w:rFonts w:ascii="Arial"/>
                            <w:i/>
                            <w:w w:val="575"/>
                            <w:sz w:val="20"/>
                          </w:rPr>
                          <w:t>:</w:t>
                        </w:r>
                      </w:p>
                    </w:tc>
                    <w:tc>
                      <w:tcPr>
                        <w:tcW w:w="1249" w:type="dxa"/>
                      </w:tcPr>
                      <w:p>
                        <w:pPr>
                          <w:pStyle w:val="TableParagraph"/>
                          <w:spacing w:line="228" w:lineRule="exact"/>
                          <w:ind w:right="49"/>
                          <w:jc w:val="right"/>
                          <w:rPr>
                            <w:sz w:val="22"/>
                          </w:rPr>
                        </w:pPr>
                        <w:r>
                          <w:rPr>
                            <w:w w:val="105"/>
                            <w:sz w:val="22"/>
                          </w:rPr>
                          <w:t>242</w:t>
                        </w:r>
                      </w:p>
                    </w:tc>
                  </w:tr>
                  <w:tr>
                    <w:trPr>
                      <w:trHeight w:val="280" w:hRule="exact"/>
                    </w:trPr>
                    <w:tc>
                      <w:tcPr>
                        <w:tcW w:w="585" w:type="dxa"/>
                      </w:tcPr>
                      <w:p>
                        <w:pPr>
                          <w:pStyle w:val="TableParagraph"/>
                          <w:spacing w:line="238" w:lineRule="exact"/>
                          <w:ind w:left="38"/>
                          <w:rPr>
                            <w:sz w:val="22"/>
                          </w:rPr>
                        </w:pPr>
                        <w:r>
                          <w:rPr>
                            <w:w w:val="110"/>
                            <w:sz w:val="22"/>
                          </w:rPr>
                          <w:t>203</w:t>
                        </w:r>
                      </w:p>
                    </w:tc>
                    <w:tc>
                      <w:tcPr>
                        <w:tcW w:w="1695" w:type="dxa"/>
                      </w:tcPr>
                      <w:p>
                        <w:pPr>
                          <w:pStyle w:val="TableParagraph"/>
                          <w:spacing w:line="278" w:lineRule="exact"/>
                          <w:ind w:left="228"/>
                          <w:rPr>
                            <w:rFonts w:ascii="Times New Roman"/>
                            <w:b/>
                            <w:i/>
                            <w:sz w:val="26"/>
                          </w:rPr>
                        </w:pPr>
                        <w:r>
                          <w:rPr>
                            <w:rFonts w:ascii="Times New Roman"/>
                            <w:b/>
                            <w:i/>
                            <w:w w:val="70"/>
                            <w:sz w:val="26"/>
                          </w:rPr>
                          <w:t>A!uz</w:t>
                        </w:r>
                      </w:p>
                    </w:tc>
                    <w:tc>
                      <w:tcPr>
                        <w:tcW w:w="1249" w:type="dxa"/>
                      </w:tcPr>
                      <w:p>
                        <w:pPr>
                          <w:pStyle w:val="TableParagraph"/>
                          <w:spacing w:before="17"/>
                          <w:ind w:right="52"/>
                          <w:jc w:val="right"/>
                          <w:rPr>
                            <w:sz w:val="22"/>
                          </w:rPr>
                        </w:pPr>
                        <w:r>
                          <w:rPr>
                            <w:w w:val="95"/>
                            <w:sz w:val="22"/>
                          </w:rPr>
                          <w:t>233</w:t>
                        </w:r>
                      </w:p>
                    </w:tc>
                  </w:tr>
                  <w:tr>
                    <w:trPr>
                      <w:trHeight w:val="264" w:hRule="exact"/>
                    </w:trPr>
                    <w:tc>
                      <w:tcPr>
                        <w:tcW w:w="585" w:type="dxa"/>
                      </w:tcPr>
                      <w:p>
                        <w:pPr>
                          <w:pStyle w:val="TableParagraph"/>
                          <w:spacing w:line="235" w:lineRule="exact"/>
                          <w:ind w:left="35"/>
                          <w:rPr>
                            <w:sz w:val="22"/>
                          </w:rPr>
                        </w:pPr>
                        <w:r>
                          <w:rPr>
                            <w:sz w:val="22"/>
                          </w:rPr>
                          <w:t>213</w:t>
                        </w:r>
                      </w:p>
                    </w:tc>
                    <w:tc>
                      <w:tcPr>
                        <w:tcW w:w="1695" w:type="dxa"/>
                      </w:tcPr>
                      <w:p>
                        <w:pPr>
                          <w:pStyle w:val="TableParagraph"/>
                          <w:spacing w:line="270" w:lineRule="exact"/>
                          <w:ind w:left="228"/>
                          <w:rPr>
                            <w:rFonts w:ascii="Times New Roman"/>
                            <w:sz w:val="25"/>
                          </w:rPr>
                        </w:pPr>
                        <w:r>
                          <w:rPr>
                            <w:rFonts w:ascii="Times New Roman"/>
                            <w:spacing w:val="-200"/>
                            <w:w w:val="201"/>
                            <w:sz w:val="25"/>
                          </w:rPr>
                          <w:t>1</w:t>
                        </w:r>
                        <w:r>
                          <w:rPr>
                            <w:rFonts w:ascii="Times New Roman"/>
                            <w:spacing w:val="-225"/>
                            <w:w w:val="232"/>
                            <w:sz w:val="25"/>
                          </w:rPr>
                          <w:t>!</w:t>
                        </w:r>
                        <w:r>
                          <w:rPr>
                            <w:rFonts w:ascii="Times New Roman"/>
                            <w:w w:val="40"/>
                            <w:sz w:val="25"/>
                          </w:rPr>
                          <w:t>11,</w:t>
                        </w:r>
                      </w:p>
                    </w:tc>
                    <w:tc>
                      <w:tcPr>
                        <w:tcW w:w="1249" w:type="dxa"/>
                      </w:tcPr>
                      <w:p>
                        <w:pPr>
                          <w:pStyle w:val="TableParagraph"/>
                          <w:spacing w:before="18"/>
                          <w:ind w:right="33"/>
                          <w:jc w:val="right"/>
                          <w:rPr>
                            <w:sz w:val="22"/>
                          </w:rPr>
                        </w:pPr>
                        <w:r>
                          <w:rPr>
                            <w:sz w:val="22"/>
                          </w:rPr>
                          <w:t>234</w:t>
                        </w:r>
                      </w:p>
                    </w:tc>
                  </w:tr>
                </w:tbl>
                <w:p>
                  <w:pPr>
                    <w:pStyle w:val="BodyText"/>
                  </w:pPr>
                </w:p>
              </w:txbxContent>
            </v:textbox>
            <w10:wrap type="none"/>
          </v:shape>
        </w:pict>
      </w:r>
      <w:r>
        <w:rPr>
          <w:w w:val="124"/>
          <w:sz w:val="12"/>
        </w:rPr>
        <w:t>1</w:t>
      </w:r>
    </w:p>
    <w:p>
      <w:pPr>
        <w:spacing w:line="133" w:lineRule="exact" w:before="0"/>
        <w:ind w:left="167" w:right="0" w:firstLine="0"/>
        <w:jc w:val="left"/>
        <w:rPr>
          <w:b/>
          <w:sz w:val="13"/>
        </w:rPr>
      </w:pPr>
      <w:r>
        <w:rPr>
          <w:b/>
          <w:w w:val="105"/>
          <w:sz w:val="13"/>
        </w:rPr>
        <w:t>Á:i:1z1···z,,.</w:t>
      </w:r>
    </w:p>
    <w:p>
      <w:pPr>
        <w:spacing w:line="125" w:lineRule="exact" w:before="11"/>
        <w:ind w:left="371" w:right="0" w:firstLine="0"/>
        <w:jc w:val="left"/>
        <w:rPr>
          <w:sz w:val="12"/>
        </w:rPr>
      </w:pPr>
      <w:r>
        <w:rPr>
          <w:w w:val="124"/>
          <w:sz w:val="12"/>
        </w:rPr>
        <w:t>1</w:t>
      </w:r>
    </w:p>
    <w:p>
      <w:pPr>
        <w:spacing w:line="182" w:lineRule="exact" w:before="0"/>
        <w:ind w:left="170" w:right="0" w:firstLine="0"/>
        <w:jc w:val="left"/>
        <w:rPr>
          <w:sz w:val="17"/>
        </w:rPr>
      </w:pPr>
      <w:r>
        <w:rPr>
          <w:w w:val="115"/>
          <w:sz w:val="17"/>
        </w:rPr>
        <w:t>Ázi:,i]</w:t>
      </w:r>
    </w:p>
    <w:p>
      <w:pPr>
        <w:spacing w:line="198" w:lineRule="exact" w:before="27"/>
        <w:ind w:left="170" w:right="0" w:firstLine="0"/>
        <w:jc w:val="left"/>
        <w:rPr>
          <w:rFonts w:ascii="Arial"/>
          <w:i/>
          <w:sz w:val="20"/>
        </w:rPr>
      </w:pPr>
      <w:r>
        <w:rPr>
          <w:rFonts w:ascii="Arial"/>
          <w:i/>
          <w:w w:val="135"/>
          <w:sz w:val="20"/>
        </w:rPr>
        <w:t>A-</w:t>
      </w:r>
    </w:p>
    <w:p>
      <w:pPr>
        <w:spacing w:line="73" w:lineRule="exact" w:before="0"/>
        <w:ind w:left="0" w:right="5323" w:firstLine="0"/>
        <w:jc w:val="center"/>
        <w:rPr>
          <w:rFonts w:ascii="Arial"/>
          <w:b/>
          <w:sz w:val="10"/>
        </w:rPr>
      </w:pPr>
      <w:r>
        <w:rPr>
          <w:rFonts w:ascii="Arial"/>
          <w:b/>
          <w:w w:val="105"/>
          <w:sz w:val="10"/>
        </w:rPr>
        <w:t>ZI/</w:t>
      </w:r>
    </w:p>
    <w:p>
      <w:pPr>
        <w:tabs>
          <w:tab w:pos="2509" w:val="left" w:leader="none"/>
          <w:tab w:pos="3349" w:val="left" w:leader="none"/>
          <w:tab w:pos="5620" w:val="left" w:leader="none"/>
        </w:tabs>
        <w:spacing w:line="304" w:lineRule="exact" w:before="0"/>
        <w:ind w:left="167" w:right="0" w:firstLine="0"/>
        <w:jc w:val="left"/>
        <w:rPr>
          <w:rFonts w:ascii="Courier New" w:hAnsi="Courier New"/>
          <w:sz w:val="22"/>
        </w:rPr>
      </w:pPr>
      <w:r>
        <w:rPr/>
        <w:pict>
          <v:line style="position:absolute;mso-position-horizontal-relative:page;mso-position-vertical-relative:paragraph;z-index:-704320" from="52.735428pt,12.010604pt" to="53.632289pt,12.010604pt" stroked="true" strokeweight="1.0789pt" strokecolor="#000000">
            <w10:wrap type="none"/>
          </v:line>
        </w:pict>
      </w:r>
      <w:r>
        <w:rPr/>
        <w:pict>
          <v:shape style="position:absolute;margin-left:196.2332pt;margin-top:5.166207pt;width:15.6pt;height:10pt;mso-position-horizontal-relative:page;mso-position-vertical-relative:paragraph;z-index:-704200" type="#_x0000_t202" filled="false" stroked="false">
            <v:textbox inset="0,0,0,0">
              <w:txbxContent>
                <w:p>
                  <w:pPr>
                    <w:spacing w:line="200" w:lineRule="exact" w:before="0"/>
                    <w:ind w:left="0" w:right="-14" w:firstLine="0"/>
                    <w:jc w:val="left"/>
                    <w:rPr>
                      <w:rFonts w:ascii="Arial"/>
                      <w:b/>
                      <w:i/>
                      <w:sz w:val="20"/>
                    </w:rPr>
                  </w:pPr>
                  <w:r>
                    <w:rPr>
                      <w:rFonts w:ascii="Arial"/>
                      <w:b/>
                      <w:i/>
                      <w:w w:val="50"/>
                      <w:sz w:val="20"/>
                    </w:rPr>
                    <w:t>A%JIZ</w:t>
                  </w:r>
                </w:p>
              </w:txbxContent>
            </v:textbox>
            <w10:wrap type="none"/>
          </v:shape>
        </w:pict>
      </w:r>
      <w:r>
        <w:rPr>
          <w:rFonts w:ascii="Arial" w:hAnsi="Arial"/>
          <w:spacing w:val="-3"/>
          <w:position w:val="1"/>
          <w:sz w:val="16"/>
        </w:rPr>
        <w:t>Á:i::nl</w:t>
        <w:tab/>
      </w:r>
      <w:r>
        <w:rPr>
          <w:position w:val="4"/>
          <w:sz w:val="20"/>
        </w:rPr>
        <w:t>222</w:t>
        <w:tab/>
      </w:r>
      <w:r>
        <w:rPr>
          <w:rFonts w:ascii="Courier New" w:hAnsi="Courier New"/>
          <w:b/>
          <w:position w:val="10"/>
          <w:sz w:val="18"/>
        </w:rPr>
        <w:t>-a</w:t>
      </w:r>
      <w:r>
        <w:rPr>
          <w:rFonts w:ascii="Courier New" w:hAnsi="Courier New"/>
          <w:sz w:val="22"/>
        </w:rPr>
        <w:tab/>
      </w:r>
      <w:r>
        <w:rPr>
          <w:rFonts w:ascii="Courier New" w:hAnsi="Courier New"/>
          <w:spacing w:val="-25"/>
          <w:sz w:val="22"/>
        </w:rPr>
        <w:t>234</w:t>
      </w:r>
    </w:p>
    <w:p>
      <w:pPr>
        <w:tabs>
          <w:tab w:pos="2516" w:val="left" w:leader="none"/>
          <w:tab w:pos="3349" w:val="left" w:leader="none"/>
          <w:tab w:pos="5623" w:val="left" w:leader="none"/>
        </w:tabs>
        <w:spacing w:line="298" w:lineRule="exact" w:before="0"/>
        <w:ind w:left="170" w:right="0" w:firstLine="0"/>
        <w:jc w:val="left"/>
        <w:rPr>
          <w:rFonts w:ascii="Courier New"/>
          <w:sz w:val="22"/>
        </w:rPr>
      </w:pPr>
      <w:r>
        <w:rPr/>
        <w:pict>
          <v:shape style="position:absolute;margin-left:196.412598pt;margin-top:7.61951pt;width:19.4pt;height:8pt;mso-position-horizontal-relative:page;mso-position-vertical-relative:paragraph;z-index:-704176" type="#_x0000_t202" filled="false" stroked="false">
            <v:textbox inset="0,0,0,0">
              <w:txbxContent>
                <w:p>
                  <w:pPr>
                    <w:spacing w:line="160" w:lineRule="exact" w:before="0"/>
                    <w:ind w:left="0" w:right="-11" w:firstLine="0"/>
                    <w:jc w:val="left"/>
                    <w:rPr>
                      <w:b/>
                      <w:sz w:val="16"/>
                    </w:rPr>
                  </w:pPr>
                  <w:r>
                    <w:rPr>
                      <w:b/>
                      <w:w w:val="115"/>
                      <w:sz w:val="16"/>
                    </w:rPr>
                    <w:t>Áii:z</w:t>
                  </w:r>
                </w:p>
              </w:txbxContent>
            </v:textbox>
            <w10:wrap type="none"/>
          </v:shape>
        </w:pict>
      </w:r>
      <w:r>
        <w:rPr>
          <w:b/>
          <w:w w:val="115"/>
          <w:sz w:val="19"/>
        </w:rPr>
        <w:t>Au:;;</w:t>
        <w:tab/>
      </w:r>
      <w:r>
        <w:rPr>
          <w:rFonts w:ascii="Courier New"/>
          <w:spacing w:val="-16"/>
          <w:w w:val="115"/>
          <w:position w:val="1"/>
          <w:sz w:val="22"/>
        </w:rPr>
        <w:t>216</w:t>
        <w:tab/>
      </w:r>
      <w:r>
        <w:rPr>
          <w:w w:val="205"/>
          <w:position w:val="5"/>
          <w:sz w:val="12"/>
        </w:rPr>
        <w:t>-</w:t>
      </w:r>
      <w:r>
        <w:rPr>
          <w:spacing w:val="-26"/>
          <w:w w:val="205"/>
          <w:position w:val="5"/>
          <w:sz w:val="12"/>
        </w:rPr>
        <w:t> </w:t>
      </w:r>
      <w:r>
        <w:rPr>
          <w:b/>
          <w:w w:val="115"/>
          <w:position w:val="5"/>
          <w:sz w:val="12"/>
        </w:rPr>
        <w:t>1</w:t>
      </w:r>
      <w:r>
        <w:rPr>
          <w:rFonts w:ascii="Courier New"/>
          <w:w w:val="115"/>
          <w:position w:val="-5"/>
          <w:sz w:val="22"/>
        </w:rPr>
        <w:tab/>
      </w:r>
      <w:r>
        <w:rPr>
          <w:rFonts w:ascii="Courier New"/>
          <w:spacing w:val="-21"/>
          <w:w w:val="115"/>
          <w:position w:val="-5"/>
          <w:sz w:val="22"/>
        </w:rPr>
        <w:t>233</w:t>
      </w:r>
    </w:p>
    <w:p>
      <w:pPr>
        <w:tabs>
          <w:tab w:pos="2516" w:val="left" w:leader="none"/>
          <w:tab w:pos="3352" w:val="left" w:leader="none"/>
        </w:tabs>
        <w:spacing w:line="195" w:lineRule="exact" w:before="0"/>
        <w:ind w:left="170" w:right="0" w:firstLine="0"/>
        <w:jc w:val="left"/>
        <w:rPr>
          <w:rFonts w:ascii="Courier New"/>
          <w:b/>
          <w:sz w:val="13"/>
        </w:rPr>
      </w:pPr>
      <w:r>
        <w:rPr/>
        <w:pict>
          <v:shape style="position:absolute;margin-left:313.363190pt;margin-top:5.621948pt;width:17.05pt;height:11pt;mso-position-horizontal-relative:page;mso-position-vertical-relative:paragraph;z-index:31840" type="#_x0000_t202" filled="false" stroked="false">
            <v:textbox inset="0,0,0,0">
              <w:txbxContent>
                <w:p>
                  <w:pPr>
                    <w:spacing w:line="220" w:lineRule="exact" w:before="0"/>
                    <w:ind w:left="0" w:right="-4" w:firstLine="0"/>
                    <w:jc w:val="left"/>
                    <w:rPr>
                      <w:rFonts w:ascii="Courier New"/>
                      <w:sz w:val="22"/>
                    </w:rPr>
                  </w:pPr>
                  <w:r>
                    <w:rPr>
                      <w:rFonts w:ascii="Courier New"/>
                      <w:spacing w:val="-24"/>
                      <w:sz w:val="22"/>
                    </w:rPr>
                    <w:t>234</w:t>
                  </w:r>
                </w:p>
              </w:txbxContent>
            </v:textbox>
            <w10:wrap type="none"/>
          </v:shape>
        </w:pict>
      </w:r>
      <w:r>
        <w:rPr>
          <w:rFonts w:ascii="Arial"/>
          <w:w w:val="160"/>
          <w:sz w:val="11"/>
        </w:rPr>
        <w:t>Aio:i::</w:t>
        <w:tab/>
      </w:r>
      <w:r>
        <w:rPr>
          <w:rFonts w:ascii="Courier New"/>
          <w:spacing w:val="-16"/>
          <w:w w:val="115"/>
          <w:position w:val="2"/>
          <w:sz w:val="22"/>
        </w:rPr>
        <w:t>216</w:t>
        <w:tab/>
      </w:r>
      <w:r>
        <w:rPr>
          <w:rFonts w:ascii="Courier New"/>
          <w:b/>
          <w:w w:val="120"/>
          <w:position w:val="3"/>
          <w:sz w:val="13"/>
        </w:rPr>
        <w:t>-</w:t>
      </w:r>
      <w:r>
        <w:rPr>
          <w:rFonts w:ascii="Courier New"/>
          <w:b/>
          <w:spacing w:val="-78"/>
          <w:w w:val="120"/>
          <w:position w:val="3"/>
          <w:sz w:val="13"/>
        </w:rPr>
        <w:t> </w:t>
      </w:r>
      <w:r>
        <w:rPr>
          <w:rFonts w:ascii="Courier New"/>
          <w:b/>
          <w:w w:val="120"/>
          <w:position w:val="3"/>
          <w:sz w:val="13"/>
        </w:rPr>
        <w:t>2</w:t>
      </w:r>
    </w:p>
    <w:p>
      <w:pPr>
        <w:spacing w:line="107" w:lineRule="exact" w:before="0"/>
        <w:ind w:left="920" w:right="42" w:firstLine="0"/>
        <w:jc w:val="center"/>
        <w:rPr>
          <w:b/>
          <w:sz w:val="16"/>
        </w:rPr>
      </w:pPr>
      <w:r>
        <w:rPr>
          <w:b/>
          <w:w w:val="115"/>
          <w:sz w:val="16"/>
        </w:rPr>
        <w:t>Ázi:•</w:t>
      </w:r>
    </w:p>
    <w:p>
      <w:pPr>
        <w:tabs>
          <w:tab w:pos="2520" w:val="left" w:leader="none"/>
          <w:tab w:pos="3356" w:val="left" w:leader="none"/>
        </w:tabs>
        <w:spacing w:line="130" w:lineRule="exact" w:before="0"/>
        <w:ind w:left="174" w:right="0" w:firstLine="0"/>
        <w:jc w:val="left"/>
        <w:rPr>
          <w:b/>
          <w:sz w:val="12"/>
        </w:rPr>
      </w:pPr>
      <w:r>
        <w:rPr>
          <w:rFonts w:ascii="Arial" w:hAnsi="Arial"/>
          <w:i/>
          <w:w w:val="66"/>
          <w:sz w:val="20"/>
        </w:rPr>
        <w:t>A'°z:1</w:t>
      </w:r>
      <w:r>
        <w:rPr>
          <w:rFonts w:ascii="Arial" w:hAnsi="Arial"/>
          <w:i/>
          <w:spacing w:val="-34"/>
          <w:w w:val="66"/>
          <w:sz w:val="20"/>
        </w:rPr>
        <w:t>1</w:t>
      </w:r>
      <w:r>
        <w:rPr>
          <w:rFonts w:ascii="Arial" w:hAnsi="Arial"/>
          <w:i/>
          <w:w w:val="207"/>
          <w:sz w:val="20"/>
        </w:rPr>
        <w:t>•</w:t>
      </w:r>
      <w:r>
        <w:rPr>
          <w:rFonts w:ascii="Arial" w:hAnsi="Arial"/>
          <w:i/>
          <w:sz w:val="20"/>
        </w:rPr>
        <w:tab/>
      </w:r>
      <w:r>
        <w:rPr>
          <w:rFonts w:ascii="Courier New" w:hAnsi="Courier New"/>
          <w:spacing w:val="-23"/>
          <w:w w:val="100"/>
          <w:position w:val="5"/>
          <w:sz w:val="22"/>
        </w:rPr>
        <w:t>2</w:t>
      </w:r>
      <w:r>
        <w:rPr>
          <w:rFonts w:ascii="Courier New" w:hAnsi="Courier New"/>
          <w:w w:val="76"/>
          <w:position w:val="5"/>
          <w:sz w:val="22"/>
        </w:rPr>
        <w:t>13</w:t>
      </w:r>
      <w:r>
        <w:rPr>
          <w:rFonts w:ascii="Courier New" w:hAnsi="Courier New"/>
          <w:position w:val="5"/>
          <w:sz w:val="22"/>
        </w:rPr>
        <w:tab/>
      </w:r>
      <w:r>
        <w:rPr>
          <w:b/>
          <w:w w:val="217"/>
          <w:position w:val="3"/>
          <w:sz w:val="12"/>
        </w:rPr>
        <w:t>-</w:t>
      </w:r>
      <w:r>
        <w:rPr>
          <w:b/>
          <w:spacing w:val="12"/>
          <w:position w:val="3"/>
          <w:sz w:val="12"/>
        </w:rPr>
        <w:t> </w:t>
      </w:r>
      <w:r>
        <w:rPr>
          <w:b/>
          <w:w w:val="107"/>
          <w:position w:val="3"/>
          <w:sz w:val="12"/>
        </w:rPr>
        <w:t>1</w:t>
      </w:r>
    </w:p>
    <w:p>
      <w:pPr>
        <w:spacing w:after="0" w:line="130" w:lineRule="exact"/>
        <w:jc w:val="left"/>
        <w:rPr>
          <w:sz w:val="12"/>
        </w:rPr>
        <w:sectPr>
          <w:type w:val="continuous"/>
          <w:pgSz w:w="7200" w:h="11340"/>
          <w:pgMar w:top="1100" w:bottom="0" w:left="640" w:right="460"/>
        </w:sectPr>
      </w:pPr>
    </w:p>
    <w:p>
      <w:pPr>
        <w:spacing w:before="64"/>
        <w:ind w:left="0" w:right="94" w:firstLine="0"/>
        <w:jc w:val="right"/>
        <w:rPr>
          <w:b/>
          <w:i/>
          <w:sz w:val="12"/>
        </w:rPr>
      </w:pPr>
      <w:r>
        <w:rPr>
          <w:b/>
          <w:i/>
          <w:w w:val="113"/>
          <w:sz w:val="12"/>
        </w:rPr>
        <w:t>r</w:t>
      </w:r>
    </w:p>
    <w:p>
      <w:pPr>
        <w:spacing w:line="82" w:lineRule="exact" w:before="32"/>
        <w:ind w:left="0" w:right="0" w:firstLine="0"/>
        <w:jc w:val="right"/>
        <w:rPr>
          <w:rFonts w:ascii="Arial" w:hAnsi="Arial"/>
          <w:sz w:val="11"/>
        </w:rPr>
      </w:pPr>
      <w:r>
        <w:rPr>
          <w:rFonts w:ascii="Arial" w:hAnsi="Arial"/>
          <w:w w:val="120"/>
          <w:sz w:val="11"/>
        </w:rPr>
        <w:t>A:i:1:i:1···:i:,,.</w:t>
      </w:r>
    </w:p>
    <w:p>
      <w:pPr>
        <w:spacing w:line="194" w:lineRule="exact" w:before="122"/>
        <w:ind w:left="174" w:right="-10" w:firstLine="0"/>
        <w:jc w:val="left"/>
        <w:rPr>
          <w:rFonts w:ascii="Courier New"/>
          <w:sz w:val="22"/>
        </w:rPr>
      </w:pPr>
      <w:r>
        <w:rPr/>
        <w:br w:type="column"/>
      </w:r>
      <w:r>
        <w:rPr>
          <w:rFonts w:ascii="Courier New"/>
          <w:spacing w:val="-13"/>
          <w:w w:val="90"/>
          <w:sz w:val="22"/>
        </w:rPr>
        <w:t>220</w:t>
      </w:r>
    </w:p>
    <w:p>
      <w:pPr>
        <w:tabs>
          <w:tab w:pos="2834" w:val="right" w:leader="none"/>
        </w:tabs>
        <w:spacing w:line="227" w:lineRule="exact" w:before="0"/>
        <w:ind w:left="174" w:right="0" w:firstLine="0"/>
        <w:jc w:val="left"/>
        <w:rPr>
          <w:rFonts w:ascii="Courier New" w:hAnsi="Courier New"/>
          <w:sz w:val="22"/>
        </w:rPr>
      </w:pPr>
      <w:r>
        <w:rPr/>
        <w:br w:type="column"/>
      </w:r>
      <w:r>
        <w:rPr>
          <w:b/>
          <w:w w:val="105"/>
          <w:sz w:val="16"/>
        </w:rPr>
        <w:t>Áiv:z</w:t>
      </w:r>
      <w:r>
        <w:rPr>
          <w:rFonts w:ascii="Courier New" w:hAnsi="Courier New"/>
          <w:w w:val="105"/>
          <w:position w:val="3"/>
          <w:sz w:val="22"/>
        </w:rPr>
        <w:tab/>
      </w:r>
      <w:r>
        <w:rPr>
          <w:rFonts w:ascii="Courier New" w:hAnsi="Courier New"/>
          <w:spacing w:val="-27"/>
          <w:w w:val="105"/>
          <w:position w:val="3"/>
          <w:sz w:val="22"/>
        </w:rPr>
        <w:t>233</w:t>
      </w:r>
    </w:p>
    <w:p>
      <w:pPr>
        <w:tabs>
          <w:tab w:pos="2502" w:val="left" w:leader="none"/>
        </w:tabs>
        <w:spacing w:line="80" w:lineRule="exact" w:before="10"/>
        <w:ind w:left="238" w:right="0" w:firstLine="0"/>
        <w:jc w:val="left"/>
        <w:rPr>
          <w:rFonts w:ascii="Courier New"/>
          <w:sz w:val="22"/>
        </w:rPr>
      </w:pPr>
      <w:r>
        <w:rPr>
          <w:w w:val="205"/>
          <w:position w:val="9"/>
          <w:sz w:val="12"/>
        </w:rPr>
        <w:t>-</w:t>
      </w:r>
      <w:r>
        <w:rPr>
          <w:spacing w:val="6"/>
          <w:w w:val="205"/>
          <w:position w:val="9"/>
          <w:sz w:val="12"/>
        </w:rPr>
        <w:t> </w:t>
      </w:r>
      <w:r>
        <w:rPr>
          <w:b/>
          <w:w w:val="120"/>
          <w:position w:val="9"/>
          <w:sz w:val="12"/>
        </w:rPr>
        <w:t>1</w:t>
        <w:tab/>
      </w:r>
      <w:r>
        <w:rPr>
          <w:rFonts w:ascii="Courier New"/>
          <w:spacing w:val="-31"/>
          <w:w w:val="120"/>
          <w:sz w:val="22"/>
        </w:rPr>
        <w:t>248</w:t>
      </w:r>
    </w:p>
    <w:p>
      <w:pPr>
        <w:spacing w:after="0" w:line="80" w:lineRule="exact"/>
        <w:jc w:val="left"/>
        <w:rPr>
          <w:rFonts w:ascii="Courier New"/>
          <w:sz w:val="22"/>
        </w:rPr>
        <w:sectPr>
          <w:type w:val="continuous"/>
          <w:pgSz w:w="7200" w:h="11340"/>
          <w:pgMar w:top="1100" w:bottom="0" w:left="640" w:right="460"/>
          <w:cols w:num="3" w:equalWidth="0">
            <w:col w:w="974" w:space="1365"/>
            <w:col w:w="502" w:space="276"/>
            <w:col w:w="2983"/>
          </w:cols>
        </w:sectPr>
      </w:pPr>
    </w:p>
    <w:p>
      <w:pPr>
        <w:tabs>
          <w:tab w:pos="2506" w:val="left" w:leader="none"/>
          <w:tab w:pos="3291" w:val="left" w:leader="none"/>
        </w:tabs>
        <w:spacing w:line="331" w:lineRule="exact" w:before="0"/>
        <w:ind w:left="174" w:right="0" w:firstLine="0"/>
        <w:jc w:val="left"/>
        <w:rPr>
          <w:i/>
          <w:sz w:val="21"/>
        </w:rPr>
      </w:pPr>
      <w:r>
        <w:rPr/>
        <w:pict>
          <v:shape style="position:absolute;margin-left:204.663696pt;margin-top:9.387143pt;width:4.4pt;height:5.5pt;mso-position-horizontal-relative:page;mso-position-vertical-relative:paragraph;z-index:-704152" type="#_x0000_t202" filled="false" stroked="false">
            <v:textbox inset="0,0,0,0">
              <w:txbxContent>
                <w:p>
                  <w:pPr>
                    <w:spacing w:line="110" w:lineRule="exact" w:before="0"/>
                    <w:ind w:left="0" w:right="0" w:firstLine="0"/>
                    <w:jc w:val="left"/>
                    <w:rPr>
                      <w:rFonts w:ascii="Arial"/>
                      <w:b/>
                      <w:sz w:val="11"/>
                    </w:rPr>
                  </w:pPr>
                  <w:r>
                    <w:rPr>
                      <w:rFonts w:ascii="Arial"/>
                      <w:b/>
                      <w:w w:val="142"/>
                      <w:sz w:val="11"/>
                    </w:rPr>
                    <w:t>1</w:t>
                  </w:r>
                </w:p>
              </w:txbxContent>
            </v:textbox>
            <w10:wrap type="none"/>
          </v:shape>
        </w:pict>
      </w:r>
      <w:r>
        <w:rPr>
          <w:rFonts w:ascii="Arial" w:hAnsi="Arial"/>
          <w:i/>
          <w:w w:val="95"/>
          <w:position w:val="-11"/>
          <w:sz w:val="20"/>
        </w:rPr>
        <w:t>A!11</w:t>
        <w:tab/>
      </w:r>
      <w:r>
        <w:rPr>
          <w:rFonts w:ascii="Courier New" w:hAnsi="Courier New"/>
          <w:spacing w:val="-21"/>
          <w:w w:val="95"/>
          <w:position w:val="-8"/>
          <w:sz w:val="22"/>
        </w:rPr>
        <w:t>232</w:t>
        <w:tab/>
      </w:r>
      <w:r>
        <w:rPr>
          <w:i/>
          <w:w w:val="95"/>
          <w:sz w:val="21"/>
        </w:rPr>
        <w:t>Aztt•</w:t>
      </w:r>
    </w:p>
    <w:p>
      <w:pPr>
        <w:spacing w:after="0" w:line="331" w:lineRule="exact"/>
        <w:jc w:val="left"/>
        <w:rPr>
          <w:sz w:val="21"/>
        </w:rPr>
        <w:sectPr>
          <w:type w:val="continuous"/>
          <w:pgSz w:w="7200" w:h="11340"/>
          <w:pgMar w:top="1100" w:bottom="0" w:left="640" w:right="460"/>
        </w:sectPr>
      </w:pPr>
    </w:p>
    <w:p>
      <w:pPr>
        <w:tabs>
          <w:tab w:pos="2509" w:val="left" w:leader="none"/>
        </w:tabs>
        <w:spacing w:before="3"/>
        <w:ind w:left="181" w:right="0" w:firstLine="0"/>
        <w:jc w:val="left"/>
        <w:rPr>
          <w:rFonts w:ascii="Courier New"/>
          <w:sz w:val="22"/>
        </w:rPr>
      </w:pPr>
      <w:r>
        <w:rPr>
          <w:spacing w:val="-188"/>
          <w:w w:val="195"/>
          <w:sz w:val="25"/>
        </w:rPr>
        <w:t>1</w:t>
      </w:r>
      <w:r>
        <w:rPr>
          <w:spacing w:val="-214"/>
          <w:w w:val="232"/>
          <w:sz w:val="25"/>
        </w:rPr>
        <w:t>!</w:t>
      </w:r>
      <w:r>
        <w:rPr>
          <w:w w:val="30"/>
          <w:sz w:val="25"/>
        </w:rPr>
        <w:t>11</w:t>
      </w:r>
      <w:r>
        <w:rPr>
          <w:sz w:val="25"/>
        </w:rPr>
        <w:tab/>
      </w:r>
      <w:r>
        <w:rPr>
          <w:rFonts w:ascii="Courier New"/>
          <w:spacing w:val="-37"/>
          <w:w w:val="100"/>
          <w:position w:val="3"/>
          <w:sz w:val="22"/>
        </w:rPr>
        <w:t>2</w:t>
      </w:r>
      <w:r>
        <w:rPr>
          <w:rFonts w:ascii="Courier New"/>
          <w:spacing w:val="-29"/>
          <w:w w:val="94"/>
          <w:position w:val="3"/>
          <w:sz w:val="22"/>
        </w:rPr>
        <w:t>3</w:t>
      </w:r>
      <w:r>
        <w:rPr>
          <w:rFonts w:ascii="Courier New"/>
          <w:w w:val="100"/>
          <w:position w:val="3"/>
          <w:sz w:val="22"/>
        </w:rPr>
        <w:t>2</w:t>
      </w:r>
    </w:p>
    <w:p>
      <w:pPr>
        <w:tabs>
          <w:tab w:pos="2840" w:val="right" w:leader="none"/>
        </w:tabs>
        <w:spacing w:line="248" w:lineRule="exact" w:before="1"/>
        <w:ind w:left="181" w:right="0" w:firstLine="0"/>
        <w:jc w:val="left"/>
        <w:rPr>
          <w:rFonts w:ascii="Courier New" w:hAnsi="Courier New"/>
          <w:sz w:val="22"/>
        </w:rPr>
      </w:pPr>
      <w:r>
        <w:rPr/>
        <w:br w:type="column"/>
      </w:r>
      <w:r>
        <w:rPr>
          <w:b/>
          <w:i/>
          <w:spacing w:val="-24"/>
          <w:position w:val="-3"/>
          <w:sz w:val="20"/>
        </w:rPr>
        <w:t>A</w:t>
      </w:r>
      <w:r>
        <w:rPr>
          <w:rFonts w:ascii="Courier New" w:hAnsi="Courier New"/>
          <w:spacing w:val="-24"/>
          <w:position w:val="8"/>
          <w:sz w:val="13"/>
        </w:rPr>
        <w:t>-</w:t>
      </w:r>
      <w:r>
        <w:rPr>
          <w:b/>
          <w:i/>
          <w:spacing w:val="-24"/>
          <w:position w:val="-3"/>
          <w:sz w:val="20"/>
        </w:rPr>
        <w:t>sv•</w:t>
      </w:r>
      <w:r>
        <w:rPr>
          <w:rFonts w:ascii="Courier New" w:hAnsi="Courier New"/>
          <w:b/>
          <w:spacing w:val="-24"/>
          <w:position w:val="8"/>
          <w:sz w:val="13"/>
        </w:rPr>
        <w:t>1</w:t>
      </w:r>
      <w:r>
        <w:rPr>
          <w:rFonts w:ascii="Courier New" w:hAnsi="Courier New"/>
          <w:spacing w:val="-24"/>
          <w:sz w:val="22"/>
        </w:rPr>
        <w:tab/>
      </w:r>
      <w:r>
        <w:rPr>
          <w:rFonts w:ascii="Courier New" w:hAnsi="Courier New"/>
          <w:spacing w:val="-13"/>
          <w:sz w:val="22"/>
        </w:rPr>
        <w:t>248</w:t>
      </w:r>
    </w:p>
    <w:p>
      <w:pPr>
        <w:spacing w:line="78" w:lineRule="exact" w:before="0"/>
        <w:ind w:left="350" w:right="0" w:firstLine="0"/>
        <w:jc w:val="left"/>
        <w:rPr>
          <w:b/>
          <w:sz w:val="12"/>
        </w:rPr>
      </w:pPr>
      <w:r>
        <w:rPr>
          <w:b/>
          <w:w w:val="107"/>
          <w:sz w:val="12"/>
        </w:rPr>
        <w:t>1</w:t>
      </w:r>
    </w:p>
    <w:p>
      <w:pPr>
        <w:spacing w:after="0" w:line="78" w:lineRule="exact"/>
        <w:jc w:val="left"/>
        <w:rPr>
          <w:sz w:val="12"/>
        </w:rPr>
        <w:sectPr>
          <w:type w:val="continuous"/>
          <w:pgSz w:w="7200" w:h="11340"/>
          <w:pgMar w:top="1100" w:bottom="0" w:left="640" w:right="460"/>
          <w:cols w:num="2" w:equalWidth="0">
            <w:col w:w="2837" w:space="266"/>
            <w:col w:w="2997"/>
          </w:cols>
        </w:sectPr>
      </w:pPr>
    </w:p>
    <w:p>
      <w:pPr>
        <w:spacing w:before="3"/>
        <w:ind w:left="177" w:right="-19" w:firstLine="0"/>
        <w:jc w:val="left"/>
        <w:rPr>
          <w:rFonts w:ascii="Arial"/>
          <w:i/>
          <w:sz w:val="20"/>
        </w:rPr>
      </w:pPr>
      <w:r>
        <w:rPr>
          <w:rFonts w:ascii="Arial"/>
          <w:i/>
          <w:w w:val="70"/>
          <w:sz w:val="20"/>
        </w:rPr>
        <w:t>A!11</w:t>
      </w:r>
    </w:p>
    <w:p>
      <w:pPr>
        <w:tabs>
          <w:tab w:pos="949" w:val="left" w:leader="none"/>
          <w:tab w:pos="3618" w:val="right" w:leader="none"/>
        </w:tabs>
        <w:spacing w:line="266" w:lineRule="exact" w:before="0"/>
        <w:ind w:left="177" w:right="0" w:firstLine="0"/>
        <w:jc w:val="left"/>
        <w:rPr>
          <w:rFonts w:ascii="Courier New"/>
          <w:sz w:val="22"/>
        </w:rPr>
      </w:pPr>
      <w:r>
        <w:rPr/>
        <w:br w:type="column"/>
      </w:r>
      <w:r>
        <w:rPr>
          <w:rFonts w:ascii="Courier New"/>
          <w:spacing w:val="-22"/>
          <w:w w:val="110"/>
          <w:position w:val="10"/>
          <w:sz w:val="22"/>
        </w:rPr>
        <w:t>233</w:t>
        <w:tab/>
      </w:r>
      <w:r>
        <w:rPr>
          <w:w w:val="110"/>
          <w:position w:val="2"/>
          <w:sz w:val="12"/>
        </w:rPr>
        <w:t>A:11121</w:t>
      </w:r>
      <w:r>
        <w:rPr>
          <w:rFonts w:ascii="Courier New"/>
          <w:w w:val="110"/>
          <w:sz w:val="22"/>
        </w:rPr>
        <w:tab/>
      </w:r>
      <w:r>
        <w:rPr>
          <w:rFonts w:ascii="Courier New"/>
          <w:spacing w:val="-23"/>
          <w:w w:val="110"/>
          <w:sz w:val="22"/>
        </w:rPr>
        <w:t>252</w:t>
      </w:r>
    </w:p>
    <w:p>
      <w:pPr>
        <w:spacing w:after="0" w:line="266" w:lineRule="exact"/>
        <w:jc w:val="left"/>
        <w:rPr>
          <w:rFonts w:ascii="Courier New"/>
          <w:sz w:val="22"/>
        </w:rPr>
        <w:sectPr>
          <w:type w:val="continuous"/>
          <w:pgSz w:w="7200" w:h="11340"/>
          <w:pgMar w:top="1100" w:bottom="0" w:left="640" w:right="460"/>
          <w:cols w:num="2" w:equalWidth="0">
            <w:col w:w="466" w:space="1866"/>
            <w:col w:w="3768"/>
          </w:cols>
        </w:sectPr>
      </w:pPr>
    </w:p>
    <w:p>
      <w:pPr>
        <w:tabs>
          <w:tab w:pos="2513" w:val="left" w:leader="none"/>
          <w:tab w:pos="3514" w:val="left" w:leader="none"/>
        </w:tabs>
        <w:spacing w:line="202" w:lineRule="exact" w:before="0"/>
        <w:ind w:left="185" w:right="0" w:firstLine="0"/>
        <w:jc w:val="left"/>
        <w:rPr>
          <w:rFonts w:ascii="Arial"/>
          <w:b/>
          <w:sz w:val="11"/>
        </w:rPr>
      </w:pPr>
      <w:r>
        <w:rPr/>
        <w:pict>
          <v:shape style="position:absolute;margin-left:313.004486pt;margin-top:11.145639pt;width:17.150pt;height:11pt;mso-position-horizontal-relative:page;mso-position-vertical-relative:paragraph;z-index:31960" type="#_x0000_t202" filled="false" stroked="false">
            <v:textbox inset="0,0,0,0">
              <w:txbxContent>
                <w:p>
                  <w:pPr>
                    <w:spacing w:line="220" w:lineRule="exact" w:before="0"/>
                    <w:ind w:left="0" w:right="-3" w:firstLine="0"/>
                    <w:jc w:val="left"/>
                    <w:rPr>
                      <w:rFonts w:ascii="Courier New"/>
                      <w:sz w:val="22"/>
                    </w:rPr>
                  </w:pPr>
                  <w:r>
                    <w:rPr>
                      <w:rFonts w:ascii="Courier New"/>
                      <w:spacing w:val="-30"/>
                      <w:w w:val="105"/>
                      <w:sz w:val="22"/>
                    </w:rPr>
                    <w:t>249</w:t>
                  </w:r>
                </w:p>
              </w:txbxContent>
            </v:textbox>
            <w10:wrap type="none"/>
          </v:shape>
        </w:pict>
      </w:r>
      <w:r>
        <w:rPr>
          <w:spacing w:val="-159"/>
          <w:w w:val="195"/>
          <w:sz w:val="25"/>
        </w:rPr>
        <w:t>1</w:t>
      </w:r>
      <w:r>
        <w:rPr>
          <w:spacing w:val="-174"/>
          <w:w w:val="219"/>
          <w:sz w:val="25"/>
        </w:rPr>
        <w:t>!</w:t>
      </w:r>
      <w:r>
        <w:rPr>
          <w:w w:val="30"/>
          <w:sz w:val="25"/>
        </w:rPr>
        <w:t>11</w:t>
      </w:r>
      <w:r>
        <w:rPr>
          <w:sz w:val="25"/>
        </w:rPr>
        <w:tab/>
      </w:r>
      <w:r>
        <w:rPr>
          <w:rFonts w:ascii="Courier New"/>
          <w:spacing w:val="-33"/>
          <w:w w:val="100"/>
          <w:position w:val="3"/>
          <w:sz w:val="22"/>
        </w:rPr>
        <w:t>2</w:t>
      </w:r>
      <w:r>
        <w:rPr>
          <w:rFonts w:ascii="Courier New"/>
          <w:spacing w:val="-33"/>
          <w:w w:val="94"/>
          <w:position w:val="3"/>
          <w:sz w:val="22"/>
        </w:rPr>
        <w:t>3</w:t>
      </w:r>
      <w:r>
        <w:rPr>
          <w:rFonts w:ascii="Courier New"/>
          <w:w w:val="98"/>
          <w:position w:val="3"/>
          <w:sz w:val="22"/>
        </w:rPr>
        <w:t>3</w:t>
      </w:r>
      <w:r>
        <w:rPr>
          <w:rFonts w:ascii="Courier New"/>
          <w:position w:val="3"/>
          <w:sz w:val="22"/>
        </w:rPr>
        <w:tab/>
      </w:r>
      <w:r>
        <w:rPr>
          <w:rFonts w:ascii="Arial"/>
          <w:b/>
          <w:w w:val="142"/>
          <w:position w:val="6"/>
          <w:sz w:val="11"/>
        </w:rPr>
        <w:t>1</w:t>
      </w:r>
    </w:p>
    <w:p>
      <w:pPr>
        <w:spacing w:after="0" w:line="202" w:lineRule="exact"/>
        <w:jc w:val="left"/>
        <w:rPr>
          <w:rFonts w:ascii="Arial"/>
          <w:sz w:val="11"/>
        </w:rPr>
        <w:sectPr>
          <w:type w:val="continuous"/>
          <w:pgSz w:w="7200" w:h="11340"/>
          <w:pgMar w:top="1100" w:bottom="0" w:left="640" w:right="460"/>
        </w:sectPr>
      </w:pPr>
    </w:p>
    <w:p>
      <w:pPr>
        <w:spacing w:before="81"/>
        <w:ind w:left="181" w:right="-19" w:firstLine="0"/>
        <w:jc w:val="left"/>
        <w:rPr>
          <w:rFonts w:ascii="Arial"/>
          <w:i/>
          <w:sz w:val="10"/>
        </w:rPr>
      </w:pPr>
      <w:r>
        <w:rPr/>
        <w:pict>
          <v:shape style="position:absolute;margin-left:39.146858pt;margin-top:18.293501pt;width:136.65pt;height:47pt;mso-position-horizontal-relative:page;mso-position-vertical-relative:paragraph;z-index:3205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34"/>
                    <w:gridCol w:w="1298"/>
                  </w:tblGrid>
                  <w:tr>
                    <w:trPr>
                      <w:trHeight w:val="265" w:hRule="exact"/>
                    </w:trPr>
                    <w:tc>
                      <w:tcPr>
                        <w:tcW w:w="1434" w:type="dxa"/>
                      </w:tcPr>
                      <w:p>
                        <w:pPr>
                          <w:pStyle w:val="TableParagraph"/>
                          <w:spacing w:line="232" w:lineRule="exact"/>
                          <w:ind w:left="35"/>
                          <w:rPr>
                            <w:rFonts w:ascii="Times New Roman" w:hAnsi="Times New Roman"/>
                            <w:i/>
                            <w:sz w:val="21"/>
                          </w:rPr>
                        </w:pPr>
                        <w:r>
                          <w:rPr>
                            <w:rFonts w:ascii="Times New Roman" w:hAnsi="Times New Roman"/>
                            <w:i/>
                            <w:w w:val="75"/>
                            <w:sz w:val="21"/>
                          </w:rPr>
                          <w:t>A!.,. </w:t>
                        </w:r>
                        <w:r>
                          <w:rPr>
                            <w:rFonts w:ascii="Times New Roman" w:hAnsi="Times New Roman"/>
                            <w:i/>
                            <w:color w:val="343434"/>
                            <w:w w:val="75"/>
                            <w:sz w:val="21"/>
                          </w:rPr>
                          <w:t>:</w:t>
                        </w:r>
                        <w:r>
                          <w:rPr>
                            <w:rFonts w:ascii="Times New Roman" w:hAnsi="Times New Roman"/>
                            <w:i/>
                            <w:w w:val="75"/>
                            <w:sz w:val="21"/>
                          </w:rPr>
                          <w:t>ñi</w:t>
                        </w:r>
                      </w:p>
                    </w:tc>
                    <w:tc>
                      <w:tcPr>
                        <w:tcW w:w="1298" w:type="dxa"/>
                      </w:tcPr>
                      <w:p>
                        <w:pPr>
                          <w:pStyle w:val="TableParagraph"/>
                          <w:spacing w:line="228" w:lineRule="exact"/>
                          <w:ind w:right="33"/>
                          <w:jc w:val="right"/>
                          <w:rPr>
                            <w:sz w:val="22"/>
                          </w:rPr>
                        </w:pPr>
                        <w:r>
                          <w:rPr>
                            <w:sz w:val="22"/>
                          </w:rPr>
                          <w:t>232</w:t>
                        </w:r>
                      </w:p>
                    </w:tc>
                  </w:tr>
                  <w:tr>
                    <w:trPr>
                      <w:trHeight w:val="302" w:hRule="exact"/>
                    </w:trPr>
                    <w:tc>
                      <w:tcPr>
                        <w:tcW w:w="1434" w:type="dxa"/>
                      </w:tcPr>
                      <w:p>
                        <w:pPr>
                          <w:pStyle w:val="TableParagraph"/>
                          <w:spacing w:line="73" w:lineRule="exact"/>
                          <w:ind w:left="103"/>
                          <w:rPr>
                            <w:rFonts w:ascii="Arial"/>
                            <w:sz w:val="11"/>
                          </w:rPr>
                        </w:pPr>
                        <w:r>
                          <w:rPr>
                            <w:rFonts w:ascii="Arial"/>
                            <w:w w:val="175"/>
                            <w:sz w:val="11"/>
                          </w:rPr>
                          <w:t>-1</w:t>
                        </w:r>
                      </w:p>
                      <w:p>
                        <w:pPr>
                          <w:pStyle w:val="TableParagraph"/>
                          <w:spacing w:line="204" w:lineRule="exact"/>
                          <w:ind w:left="35"/>
                          <w:rPr>
                            <w:rFonts w:ascii="Times New Roman"/>
                            <w:sz w:val="21"/>
                          </w:rPr>
                        </w:pPr>
                        <w:r>
                          <w:rPr>
                            <w:rFonts w:ascii="Times New Roman"/>
                            <w:w w:val="70"/>
                            <w:sz w:val="21"/>
                          </w:rPr>
                          <w:t>A%Jl </w:t>
                        </w:r>
                        <w:r>
                          <w:rPr>
                            <w:rFonts w:ascii="Times New Roman"/>
                            <w:color w:val="343434"/>
                            <w:w w:val="70"/>
                            <w:sz w:val="21"/>
                          </w:rPr>
                          <w:t>:</w:t>
                        </w:r>
                        <w:r>
                          <w:rPr>
                            <w:rFonts w:ascii="Times New Roman"/>
                            <w:w w:val="70"/>
                            <w:sz w:val="21"/>
                          </w:rPr>
                          <w:t>nl</w:t>
                        </w:r>
                      </w:p>
                    </w:tc>
                    <w:tc>
                      <w:tcPr>
                        <w:tcW w:w="1298" w:type="dxa"/>
                      </w:tcPr>
                      <w:p>
                        <w:pPr>
                          <w:pStyle w:val="TableParagraph"/>
                          <w:spacing w:before="15"/>
                          <w:ind w:right="34"/>
                          <w:jc w:val="right"/>
                          <w:rPr>
                            <w:sz w:val="22"/>
                          </w:rPr>
                        </w:pPr>
                        <w:r>
                          <w:rPr>
                            <w:sz w:val="22"/>
                          </w:rPr>
                          <w:t>232</w:t>
                        </w:r>
                      </w:p>
                    </w:tc>
                  </w:tr>
                  <w:tr>
                    <w:trPr>
                      <w:trHeight w:val="373" w:hRule="exact"/>
                    </w:trPr>
                    <w:tc>
                      <w:tcPr>
                        <w:tcW w:w="1434" w:type="dxa"/>
                      </w:tcPr>
                      <w:p>
                        <w:pPr>
                          <w:pStyle w:val="TableParagraph"/>
                          <w:spacing w:before="47"/>
                          <w:ind w:left="35"/>
                          <w:rPr>
                            <w:rFonts w:ascii="Arial" w:hAnsi="Arial"/>
                            <w:i/>
                            <w:sz w:val="20"/>
                          </w:rPr>
                        </w:pPr>
                        <w:r>
                          <w:rPr>
                            <w:rFonts w:ascii="Arial" w:hAnsi="Arial"/>
                            <w:i/>
                            <w:w w:val="95"/>
                            <w:sz w:val="20"/>
                          </w:rPr>
                          <w:t>A!,=ñl</w:t>
                        </w:r>
                      </w:p>
                    </w:tc>
                    <w:tc>
                      <w:tcPr>
                        <w:tcW w:w="1298" w:type="dxa"/>
                      </w:tcPr>
                      <w:p>
                        <w:pPr>
                          <w:pStyle w:val="TableParagraph"/>
                          <w:spacing w:before="8"/>
                          <w:ind w:right="37"/>
                          <w:jc w:val="right"/>
                          <w:rPr>
                            <w:sz w:val="22"/>
                          </w:rPr>
                        </w:pPr>
                        <w:r>
                          <w:rPr>
                            <w:w w:val="95"/>
                            <w:sz w:val="22"/>
                          </w:rPr>
                          <w:t>235</w:t>
                        </w:r>
                      </w:p>
                    </w:tc>
                  </w:tr>
                </w:tbl>
                <w:p>
                  <w:pPr>
                    <w:pStyle w:val="BodyText"/>
                  </w:pPr>
                </w:p>
              </w:txbxContent>
            </v:textbox>
            <w10:wrap type="none"/>
          </v:shape>
        </w:pict>
      </w:r>
      <w:r>
        <w:rPr>
          <w:rFonts w:ascii="Arial"/>
          <w:i/>
          <w:w w:val="35"/>
          <w:sz w:val="20"/>
        </w:rPr>
        <w:t>1</w:t>
      </w:r>
      <w:r>
        <w:rPr>
          <w:rFonts w:ascii="Arial"/>
          <w:i/>
          <w:spacing w:val="-2"/>
          <w:w w:val="35"/>
          <w:sz w:val="20"/>
        </w:rPr>
        <w:t>1</w:t>
      </w:r>
      <w:r>
        <w:rPr>
          <w:rFonts w:ascii="Arial"/>
          <w:i/>
          <w:w w:val="104"/>
          <w:sz w:val="20"/>
        </w:rPr>
        <w:t>A</w:t>
      </w:r>
      <w:r>
        <w:rPr>
          <w:rFonts w:ascii="Arial"/>
          <w:i/>
          <w:spacing w:val="17"/>
          <w:w w:val="104"/>
          <w:sz w:val="20"/>
        </w:rPr>
        <w:t>!</w:t>
      </w:r>
      <w:r>
        <w:rPr>
          <w:rFonts w:ascii="Arial"/>
          <w:i/>
          <w:w w:val="70"/>
          <w:position w:val="-2"/>
          <w:sz w:val="10"/>
        </w:rPr>
        <w:t>11</w:t>
      </w:r>
    </w:p>
    <w:p>
      <w:pPr>
        <w:spacing w:before="64"/>
        <w:ind w:left="181" w:right="-10" w:firstLine="0"/>
        <w:jc w:val="left"/>
        <w:rPr>
          <w:rFonts w:ascii="Courier New"/>
          <w:sz w:val="22"/>
        </w:rPr>
      </w:pPr>
      <w:r>
        <w:rPr/>
        <w:br w:type="column"/>
      </w:r>
      <w:r>
        <w:rPr>
          <w:rFonts w:ascii="Courier New"/>
          <w:spacing w:val="-23"/>
          <w:sz w:val="22"/>
        </w:rPr>
        <w:t>234</w:t>
      </w:r>
    </w:p>
    <w:p>
      <w:pPr>
        <w:spacing w:line="109" w:lineRule="exact" w:before="0"/>
        <w:ind w:left="256" w:right="-3" w:firstLine="0"/>
        <w:jc w:val="left"/>
        <w:rPr>
          <w:b/>
          <w:sz w:val="12"/>
        </w:rPr>
      </w:pPr>
      <w:r>
        <w:rPr/>
        <w:br w:type="column"/>
      </w:r>
      <w:r>
        <w:rPr>
          <w:w w:val="230"/>
          <w:sz w:val="12"/>
        </w:rPr>
        <w:t>- </w:t>
      </w:r>
      <w:r>
        <w:rPr>
          <w:b/>
          <w:w w:val="150"/>
          <w:sz w:val="12"/>
        </w:rPr>
        <w:t>1</w:t>
      </w:r>
    </w:p>
    <w:p>
      <w:pPr>
        <w:spacing w:line="218" w:lineRule="auto" w:before="0"/>
        <w:ind w:left="195" w:right="2377" w:firstLine="0"/>
        <w:jc w:val="center"/>
        <w:rPr>
          <w:b/>
          <w:sz w:val="12"/>
        </w:rPr>
      </w:pPr>
      <w:r>
        <w:rPr>
          <w:b/>
          <w:w w:val="115"/>
          <w:sz w:val="12"/>
        </w:rPr>
        <w:t>Awzi,z 1</w:t>
      </w:r>
    </w:p>
    <w:p>
      <w:pPr>
        <w:spacing w:line="125" w:lineRule="exact" w:before="28"/>
        <w:ind w:left="256" w:right="-3" w:firstLine="0"/>
        <w:jc w:val="left"/>
        <w:rPr>
          <w:rFonts w:ascii="Arial"/>
          <w:b/>
          <w:sz w:val="11"/>
        </w:rPr>
      </w:pPr>
      <w:r>
        <w:rPr/>
        <w:pict>
          <v:shape style="position:absolute;margin-left:313.004486pt;margin-top:2.970602pt;width:17.150pt;height:11pt;mso-position-horizontal-relative:page;mso-position-vertical-relative:paragraph;z-index:31984" type="#_x0000_t202" filled="false" stroked="false">
            <v:textbox inset="0,0,0,0">
              <w:txbxContent>
                <w:p>
                  <w:pPr>
                    <w:spacing w:line="220" w:lineRule="exact" w:before="0"/>
                    <w:ind w:left="0" w:right="-9" w:firstLine="0"/>
                    <w:jc w:val="left"/>
                    <w:rPr>
                      <w:rFonts w:ascii="Courier New"/>
                      <w:sz w:val="22"/>
                    </w:rPr>
                  </w:pPr>
                  <w:r>
                    <w:rPr>
                      <w:rFonts w:ascii="Courier New"/>
                      <w:spacing w:val="-28"/>
                      <w:w w:val="105"/>
                      <w:sz w:val="22"/>
                    </w:rPr>
                    <w:t>249</w:t>
                  </w:r>
                </w:p>
              </w:txbxContent>
            </v:textbox>
            <w10:wrap type="none"/>
          </v:shape>
        </w:pict>
      </w:r>
      <w:r>
        <w:rPr>
          <w:rFonts w:ascii="Arial"/>
          <w:w w:val="220"/>
          <w:sz w:val="11"/>
        </w:rPr>
        <w:t>-  </w:t>
      </w:r>
      <w:r>
        <w:rPr>
          <w:rFonts w:ascii="Arial"/>
          <w:b/>
          <w:w w:val="115"/>
          <w:sz w:val="11"/>
        </w:rPr>
        <w:t>8</w:t>
      </w:r>
    </w:p>
    <w:p>
      <w:pPr>
        <w:spacing w:line="109" w:lineRule="exact" w:before="0"/>
        <w:ind w:left="172" w:right="2367" w:firstLine="0"/>
        <w:jc w:val="center"/>
        <w:rPr>
          <w:rFonts w:ascii="Arial"/>
          <w:b/>
          <w:sz w:val="10"/>
        </w:rPr>
      </w:pPr>
      <w:r>
        <w:rPr>
          <w:rFonts w:ascii="Arial"/>
          <w:b/>
          <w:w w:val="120"/>
          <w:sz w:val="10"/>
        </w:rPr>
        <w:t>AIOZI/Z</w:t>
      </w:r>
    </w:p>
    <w:p>
      <w:pPr>
        <w:spacing w:line="133" w:lineRule="exact" w:before="0"/>
        <w:ind w:left="195" w:right="2332" w:firstLine="0"/>
        <w:jc w:val="center"/>
        <w:rPr>
          <w:sz w:val="12"/>
        </w:rPr>
      </w:pPr>
      <w:r>
        <w:rPr>
          <w:w w:val="105"/>
          <w:sz w:val="12"/>
        </w:rPr>
        <w:t>1 2</w:t>
      </w:r>
    </w:p>
    <w:p>
      <w:pPr>
        <w:tabs>
          <w:tab w:pos="2527" w:val="left" w:leader="none"/>
        </w:tabs>
        <w:spacing w:line="236" w:lineRule="exact" w:before="38"/>
        <w:ind w:left="181" w:right="0" w:firstLine="0"/>
        <w:jc w:val="left"/>
        <w:rPr>
          <w:rFonts w:ascii="Courier New"/>
          <w:sz w:val="22"/>
        </w:rPr>
      </w:pPr>
      <w:r>
        <w:rPr/>
        <w:pict>
          <v:shape style="position:absolute;margin-left:198.74440pt;margin-top:1.795324pt;width:19.2pt;height:6pt;mso-position-horizontal-relative:page;mso-position-vertical-relative:paragraph;z-index:-704128" type="#_x0000_t202" filled="false" stroked="false">
            <v:textbox inset="0,0,0,0">
              <w:txbxContent>
                <w:p>
                  <w:pPr>
                    <w:tabs>
                      <w:tab w:pos="322" w:val="left" w:leader="none"/>
                    </w:tabs>
                    <w:spacing w:line="120" w:lineRule="exact" w:before="0"/>
                    <w:ind w:left="0" w:right="0" w:firstLine="0"/>
                    <w:jc w:val="left"/>
                    <w:rPr>
                      <w:b/>
                      <w:sz w:val="12"/>
                    </w:rPr>
                  </w:pPr>
                  <w:r>
                    <w:rPr>
                      <w:w w:val="230"/>
                      <w:sz w:val="12"/>
                    </w:rPr>
                    <w:t>-</w:t>
                    <w:tab/>
                  </w:r>
                  <w:r>
                    <w:rPr>
                      <w:b/>
                      <w:sz w:val="12"/>
                    </w:rPr>
                    <w:t>4</w:t>
                  </w:r>
                </w:p>
              </w:txbxContent>
            </v:textbox>
            <w10:wrap type="none"/>
          </v:shape>
        </w:pict>
      </w:r>
      <w:r>
        <w:rPr>
          <w:rFonts w:ascii="Arial"/>
          <w:b/>
          <w:i/>
          <w:w w:val="105"/>
          <w:sz w:val="10"/>
        </w:rPr>
        <w:t>AIOZI/</w:t>
      </w:r>
      <w:r>
        <w:rPr>
          <w:rFonts w:ascii="Arial"/>
          <w:b/>
          <w:i/>
          <w:spacing w:val="14"/>
          <w:w w:val="105"/>
          <w:sz w:val="10"/>
        </w:rPr>
        <w:t> </w:t>
      </w:r>
      <w:r>
        <w:rPr>
          <w:rFonts w:ascii="Arial"/>
          <w:b/>
          <w:i/>
          <w:sz w:val="10"/>
        </w:rPr>
        <w:t>Z</w:t>
      </w:r>
      <w:r>
        <w:rPr>
          <w:rFonts w:ascii="Courier New"/>
          <w:position w:val="3"/>
          <w:sz w:val="22"/>
        </w:rPr>
        <w:tab/>
      </w:r>
      <w:r>
        <w:rPr>
          <w:rFonts w:ascii="Courier New"/>
          <w:spacing w:val="-29"/>
          <w:w w:val="105"/>
          <w:position w:val="3"/>
          <w:sz w:val="22"/>
        </w:rPr>
        <w:t>249</w:t>
      </w:r>
    </w:p>
    <w:p>
      <w:pPr>
        <w:spacing w:line="125" w:lineRule="exact" w:before="0"/>
        <w:ind w:left="195" w:right="2350" w:firstLine="0"/>
        <w:jc w:val="center"/>
        <w:rPr>
          <w:sz w:val="12"/>
        </w:rPr>
      </w:pPr>
      <w:r>
        <w:rPr>
          <w:w w:val="120"/>
          <w:sz w:val="12"/>
        </w:rPr>
        <w:t>12</w:t>
      </w:r>
    </w:p>
    <w:p>
      <w:pPr>
        <w:spacing w:after="0" w:line="125" w:lineRule="exact"/>
        <w:jc w:val="center"/>
        <w:rPr>
          <w:sz w:val="12"/>
        </w:rPr>
        <w:sectPr>
          <w:type w:val="continuous"/>
          <w:pgSz w:w="7200" w:h="11340"/>
          <w:pgMar w:top="1100" w:bottom="0" w:left="640" w:right="460"/>
          <w:cols w:num="3" w:equalWidth="0">
            <w:col w:w="555" w:space="1777"/>
            <w:col w:w="519" w:space="242"/>
            <w:col w:w="3007"/>
          </w:cols>
        </w:sectPr>
      </w:pPr>
    </w:p>
    <w:p>
      <w:pPr>
        <w:tabs>
          <w:tab w:pos="2142" w:val="left" w:leader="none"/>
        </w:tabs>
        <w:spacing w:before="64"/>
        <w:ind w:left="149" w:right="0" w:firstLine="0"/>
        <w:jc w:val="left"/>
        <w:rPr>
          <w:sz w:val="15"/>
        </w:rPr>
      </w:pPr>
      <w:r>
        <w:rPr>
          <w:w w:val="105"/>
          <w:sz w:val="19"/>
        </w:rPr>
        <w:t>382</w:t>
        <w:tab/>
      </w:r>
      <w:r>
        <w:rPr>
          <w:w w:val="105"/>
          <w:sz w:val="15"/>
        </w:rPr>
        <w:t>INDEX   TO </w:t>
      </w:r>
      <w:r>
        <w:rPr>
          <w:spacing w:val="24"/>
          <w:w w:val="105"/>
          <w:sz w:val="15"/>
        </w:rPr>
        <w:t> </w:t>
      </w:r>
      <w:r>
        <w:rPr>
          <w:w w:val="105"/>
          <w:position w:val="1"/>
          <w:sz w:val="15"/>
        </w:rPr>
        <w:t>NOTATION</w:t>
      </w:r>
    </w:p>
    <w:p>
      <w:pPr>
        <w:tabs>
          <w:tab w:pos="2329" w:val="left" w:leader="none"/>
          <w:tab w:pos="3116" w:val="left" w:leader="none"/>
          <w:tab w:pos="5783" w:val="right" w:leader="none"/>
        </w:tabs>
        <w:spacing w:before="221"/>
        <w:ind w:left="0" w:right="128" w:firstLine="0"/>
        <w:jc w:val="right"/>
        <w:rPr>
          <w:rFonts w:ascii="Courier New" w:hAnsi="Courier New"/>
          <w:sz w:val="22"/>
        </w:rPr>
      </w:pPr>
      <w:r>
        <w:rPr/>
        <w:pict>
          <v:shape style="position:absolute;margin-left:36.361328pt;margin-top:22.510633pt;width:180.85pt;height:56.35pt;mso-position-horizontal-relative:page;mso-position-vertical-relative:paragraph;z-index:3229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72"/>
                    <w:gridCol w:w="1460"/>
                    <w:gridCol w:w="685"/>
                  </w:tblGrid>
                  <w:tr>
                    <w:trPr>
                      <w:trHeight w:val="610" w:hRule="exact"/>
                    </w:trPr>
                    <w:tc>
                      <w:tcPr>
                        <w:tcW w:w="1472" w:type="dxa"/>
                      </w:tcPr>
                      <w:p>
                        <w:pPr>
                          <w:pStyle w:val="TableParagraph"/>
                          <w:spacing w:line="267" w:lineRule="exact"/>
                          <w:ind w:left="102"/>
                          <w:rPr>
                            <w:rFonts w:ascii="Times New Roman"/>
                            <w:sz w:val="12"/>
                          </w:rPr>
                        </w:pPr>
                        <w:r>
                          <w:rPr>
                            <w:rFonts w:ascii="Times New Roman"/>
                            <w:w w:val="87"/>
                            <w:position w:val="-12"/>
                            <w:sz w:val="33"/>
                          </w:rPr>
                          <w:t>-</w:t>
                        </w:r>
                        <w:r>
                          <w:rPr>
                            <w:rFonts w:ascii="Times New Roman"/>
                            <w:spacing w:val="-66"/>
                            <w:w w:val="87"/>
                            <w:position w:val="-12"/>
                            <w:sz w:val="33"/>
                          </w:rPr>
                          <w:t>,</w:t>
                        </w:r>
                        <w:r>
                          <w:rPr>
                            <w:rFonts w:ascii="Times New Roman"/>
                            <w:w w:val="135"/>
                            <w:sz w:val="12"/>
                          </w:rPr>
                          <w:t>1</w:t>
                        </w:r>
                        <w:r>
                          <w:rPr>
                            <w:rFonts w:ascii="Times New Roman"/>
                            <w:spacing w:val="3"/>
                            <w:sz w:val="12"/>
                          </w:rPr>
                          <w:t> </w:t>
                        </w:r>
                        <w:r>
                          <w:rPr>
                            <w:rFonts w:ascii="Times New Roman"/>
                            <w:w w:val="94"/>
                            <w:sz w:val="12"/>
                          </w:rPr>
                          <w:t>2</w:t>
                        </w:r>
                      </w:p>
                      <w:p>
                        <w:pPr>
                          <w:pStyle w:val="TableParagraph"/>
                          <w:spacing w:line="162" w:lineRule="exact"/>
                          <w:ind w:left="42"/>
                          <w:rPr>
                            <w:rFonts w:ascii="Times New Roman" w:hAnsi="Times New Roman"/>
                            <w:i/>
                            <w:sz w:val="21"/>
                          </w:rPr>
                        </w:pPr>
                        <w:r>
                          <w:rPr>
                            <w:rFonts w:ascii="Times New Roman" w:hAnsi="Times New Roman"/>
                            <w:i/>
                            <w:w w:val="55"/>
                            <w:sz w:val="21"/>
                          </w:rPr>
                          <w:t>A10 z11•</w:t>
                        </w:r>
                      </w:p>
                      <w:p>
                        <w:pPr>
                          <w:pStyle w:val="TableParagraph"/>
                          <w:spacing w:line="115" w:lineRule="exact"/>
                          <w:ind w:left="432"/>
                          <w:rPr>
                            <w:rFonts w:ascii="Times New Roman"/>
                            <w:sz w:val="12"/>
                          </w:rPr>
                        </w:pPr>
                        <w:r>
                          <w:rPr>
                            <w:rFonts w:ascii="Times New Roman"/>
                            <w:w w:val="123"/>
                            <w:sz w:val="12"/>
                          </w:rPr>
                          <w:t>1</w:t>
                        </w:r>
                      </w:p>
                    </w:tc>
                    <w:tc>
                      <w:tcPr>
                        <w:tcW w:w="1460" w:type="dxa"/>
                      </w:tcPr>
                      <w:p>
                        <w:pPr>
                          <w:pStyle w:val="TableParagraph"/>
                          <w:spacing w:before="183"/>
                          <w:ind w:right="220"/>
                          <w:jc w:val="right"/>
                          <w:rPr>
                            <w:sz w:val="22"/>
                          </w:rPr>
                        </w:pPr>
                        <w:r>
                          <w:rPr>
                            <w:sz w:val="22"/>
                          </w:rPr>
                          <w:t>252</w:t>
                        </w:r>
                      </w:p>
                    </w:tc>
                    <w:tc>
                      <w:tcPr>
                        <w:tcW w:w="685" w:type="dxa"/>
                      </w:tcPr>
                      <w:p>
                        <w:pPr>
                          <w:pStyle w:val="TableParagraph"/>
                          <w:spacing w:before="124"/>
                          <w:ind w:right="33"/>
                          <w:jc w:val="right"/>
                          <w:rPr>
                            <w:rFonts w:ascii="Times New Roman" w:hAnsi="Times New Roman"/>
                            <w:sz w:val="14"/>
                          </w:rPr>
                        </w:pPr>
                        <w:r>
                          <w:rPr>
                            <w:rFonts w:ascii="Times New Roman" w:hAnsi="Times New Roman"/>
                            <w:w w:val="125"/>
                            <w:sz w:val="14"/>
                          </w:rPr>
                          <w:t>0.,,¡in</w:t>
                        </w:r>
                      </w:p>
                      <w:p>
                        <w:pPr>
                          <w:pStyle w:val="TableParagraph"/>
                          <w:spacing w:before="8"/>
                          <w:rPr>
                            <w:sz w:val="11"/>
                          </w:rPr>
                        </w:pPr>
                      </w:p>
                      <w:p>
                        <w:pPr>
                          <w:pStyle w:val="TableParagraph"/>
                          <w:spacing w:before="1"/>
                          <w:ind w:right="33"/>
                          <w:jc w:val="right"/>
                          <w:rPr>
                            <w:rFonts w:ascii="Times New Roman"/>
                            <w:sz w:val="14"/>
                          </w:rPr>
                        </w:pPr>
                        <w:r>
                          <w:rPr>
                            <w:rFonts w:ascii="Times New Roman"/>
                            <w:w w:val="75"/>
                            <w:sz w:val="14"/>
                          </w:rPr>
                          <w:t>l10z</w:t>
                        </w:r>
                      </w:p>
                    </w:tc>
                  </w:tr>
                  <w:tr>
                    <w:trPr>
                      <w:trHeight w:val="252" w:hRule="exact"/>
                    </w:trPr>
                    <w:tc>
                      <w:tcPr>
                        <w:tcW w:w="1472" w:type="dxa"/>
                      </w:tcPr>
                      <w:p>
                        <w:pPr>
                          <w:pStyle w:val="TableParagraph"/>
                          <w:spacing w:line="101" w:lineRule="exact"/>
                          <w:ind w:left="102"/>
                          <w:rPr>
                            <w:rFonts w:ascii="Arial"/>
                            <w:b/>
                            <w:sz w:val="12"/>
                          </w:rPr>
                        </w:pPr>
                        <w:r>
                          <w:rPr>
                            <w:rFonts w:ascii="Arial"/>
                            <w:w w:val="200"/>
                            <w:sz w:val="12"/>
                          </w:rPr>
                          <w:t>- </w:t>
                        </w:r>
                        <w:r>
                          <w:rPr>
                            <w:rFonts w:ascii="Arial"/>
                            <w:b/>
                            <w:w w:val="110"/>
                            <w:sz w:val="12"/>
                          </w:rPr>
                          <w:t>2</w:t>
                        </w:r>
                      </w:p>
                      <w:p>
                        <w:pPr>
                          <w:pStyle w:val="TableParagraph"/>
                          <w:spacing w:line="157" w:lineRule="exact"/>
                          <w:ind w:left="35"/>
                          <w:rPr>
                            <w:rFonts w:ascii="Times New Roman" w:hAnsi="Times New Roman"/>
                            <w:sz w:val="14"/>
                          </w:rPr>
                        </w:pPr>
                        <w:r>
                          <w:rPr>
                            <w:rFonts w:ascii="Times New Roman" w:hAnsi="Times New Roman"/>
                            <w:w w:val="152"/>
                            <w:sz w:val="14"/>
                          </w:rPr>
                          <w:t>Áiñ</w:t>
                        </w:r>
                        <w:r>
                          <w:rPr>
                            <w:rFonts w:ascii="Times New Roman" w:hAnsi="Times New Roman"/>
                            <w:spacing w:val="-9"/>
                            <w:w w:val="152"/>
                            <w:sz w:val="14"/>
                          </w:rPr>
                          <w:t>:</w:t>
                        </w:r>
                        <w:r>
                          <w:rPr>
                            <w:rFonts w:ascii="Times New Roman" w:hAnsi="Times New Roman"/>
                            <w:w w:val="73"/>
                            <w:sz w:val="14"/>
                          </w:rPr>
                          <w:t>11•</w:t>
                        </w:r>
                      </w:p>
                    </w:tc>
                    <w:tc>
                      <w:tcPr>
                        <w:tcW w:w="1460" w:type="dxa"/>
                      </w:tcPr>
                      <w:p>
                        <w:pPr>
                          <w:pStyle w:val="TableParagraph"/>
                          <w:spacing w:before="11"/>
                          <w:ind w:right="218"/>
                          <w:jc w:val="right"/>
                          <w:rPr>
                            <w:sz w:val="22"/>
                          </w:rPr>
                        </w:pPr>
                        <w:r>
                          <w:rPr>
                            <w:sz w:val="22"/>
                          </w:rPr>
                          <w:t>252</w:t>
                        </w:r>
                      </w:p>
                    </w:tc>
                    <w:tc>
                      <w:tcPr>
                        <w:tcW w:w="685" w:type="dxa"/>
                      </w:tcPr>
                      <w:p>
                        <w:pPr>
                          <w:pStyle w:val="TableParagraph"/>
                          <w:spacing w:line="125" w:lineRule="exact"/>
                          <w:ind w:left="259"/>
                          <w:rPr>
                            <w:rFonts w:ascii="Arial"/>
                            <w:sz w:val="11"/>
                          </w:rPr>
                        </w:pPr>
                        <w:r>
                          <w:rPr>
                            <w:rFonts w:ascii="Arial"/>
                            <w:w w:val="150"/>
                            <w:sz w:val="11"/>
                          </w:rPr>
                          <w:t>-1</w:t>
                        </w:r>
                      </w:p>
                    </w:tc>
                  </w:tr>
                  <w:tr>
                    <w:trPr>
                      <w:trHeight w:val="137" w:hRule="exact"/>
                    </w:trPr>
                    <w:tc>
                      <w:tcPr>
                        <w:tcW w:w="1472" w:type="dxa"/>
                      </w:tcPr>
                      <w:p>
                        <w:pPr>
                          <w:pStyle w:val="TableParagraph"/>
                          <w:spacing w:line="110" w:lineRule="exact"/>
                          <w:ind w:left="478"/>
                          <w:rPr>
                            <w:rFonts w:ascii="Arial"/>
                            <w:sz w:val="11"/>
                          </w:rPr>
                        </w:pPr>
                        <w:r>
                          <w:rPr>
                            <w:rFonts w:ascii="Arial"/>
                            <w:w w:val="145"/>
                            <w:sz w:val="11"/>
                          </w:rPr>
                          <w:t>1</w:t>
                        </w:r>
                      </w:p>
                    </w:tc>
                    <w:tc>
                      <w:tcPr>
                        <w:tcW w:w="1460" w:type="dxa"/>
                      </w:tcPr>
                      <w:p>
                        <w:pPr/>
                      </w:p>
                    </w:tc>
                    <w:tc>
                      <w:tcPr>
                        <w:tcW w:w="685" w:type="dxa"/>
                      </w:tcPr>
                      <w:p>
                        <w:pPr>
                          <w:pStyle w:val="TableParagraph"/>
                          <w:spacing w:before="14"/>
                          <w:ind w:left="259"/>
                          <w:rPr>
                            <w:rFonts w:ascii="Times New Roman"/>
                            <w:sz w:val="12"/>
                          </w:rPr>
                        </w:pPr>
                        <w:r>
                          <w:rPr>
                            <w:rFonts w:ascii="Times New Roman"/>
                            <w:w w:val="130"/>
                            <w:sz w:val="12"/>
                          </w:rPr>
                          <w:t>-2</w:t>
                        </w:r>
                      </w:p>
                    </w:tc>
                  </w:tr>
                  <w:tr>
                    <w:trPr>
                      <w:trHeight w:val="128" w:hRule="exact"/>
                    </w:trPr>
                    <w:tc>
                      <w:tcPr>
                        <w:tcW w:w="1472" w:type="dxa"/>
                      </w:tcPr>
                      <w:p>
                        <w:pPr/>
                      </w:p>
                    </w:tc>
                    <w:tc>
                      <w:tcPr>
                        <w:tcW w:w="1460" w:type="dxa"/>
                      </w:tcPr>
                      <w:p>
                        <w:pPr/>
                      </w:p>
                    </w:tc>
                    <w:tc>
                      <w:tcPr>
                        <w:tcW w:w="685" w:type="dxa"/>
                      </w:tcPr>
                      <w:p>
                        <w:pPr>
                          <w:pStyle w:val="TableParagraph"/>
                          <w:spacing w:line="131" w:lineRule="exact"/>
                          <w:ind w:left="220"/>
                          <w:rPr>
                            <w:rFonts w:ascii="Times New Roman"/>
                            <w:sz w:val="14"/>
                          </w:rPr>
                        </w:pPr>
                        <w:r>
                          <w:rPr>
                            <w:rFonts w:ascii="Times New Roman"/>
                            <w:sz w:val="14"/>
                          </w:rPr>
                          <w:t>0.,sf z</w:t>
                        </w:r>
                      </w:p>
                    </w:tc>
                  </w:tr>
                </w:tbl>
                <w:p>
                  <w:pPr>
                    <w:pStyle w:val="BodyText"/>
                  </w:pPr>
                </w:p>
              </w:txbxContent>
            </v:textbox>
            <w10:wrap type="none"/>
          </v:shape>
        </w:pict>
      </w:r>
      <w:r>
        <w:rPr>
          <w:w w:val="71"/>
          <w:sz w:val="19"/>
        </w:rPr>
        <w:t>Á10x</w:t>
      </w:r>
      <w:r>
        <w:rPr>
          <w:spacing w:val="-33"/>
          <w:sz w:val="19"/>
        </w:rPr>
        <w:t> </w:t>
      </w:r>
      <w:r>
        <w:rPr>
          <w:spacing w:val="9"/>
          <w:w w:val="169"/>
          <w:position w:val="11"/>
          <w:sz w:val="12"/>
        </w:rPr>
        <w:t>1</w:t>
      </w:r>
      <w:r>
        <w:rPr>
          <w:spacing w:val="5"/>
          <w:w w:val="98"/>
          <w:position w:val="11"/>
          <w:sz w:val="12"/>
        </w:rPr>
        <w:t>4</w:t>
      </w:r>
      <w:r>
        <w:rPr>
          <w:w w:val="264"/>
          <w:sz w:val="12"/>
        </w:rPr>
        <w:t>,</w:t>
      </w:r>
      <w:r>
        <w:rPr>
          <w:sz w:val="12"/>
        </w:rPr>
        <w:tab/>
      </w:r>
      <w:r>
        <w:rPr>
          <w:rFonts w:ascii="Courier New" w:hAnsi="Courier New"/>
          <w:spacing w:val="-37"/>
          <w:w w:val="100"/>
          <w:position w:val="2"/>
          <w:sz w:val="22"/>
        </w:rPr>
        <w:t>2</w:t>
      </w:r>
      <w:r>
        <w:rPr>
          <w:rFonts w:ascii="Courier New" w:hAnsi="Courier New"/>
          <w:spacing w:val="-47"/>
          <w:w w:val="110"/>
          <w:position w:val="2"/>
          <w:sz w:val="22"/>
        </w:rPr>
        <w:t>4</w:t>
      </w:r>
      <w:r>
        <w:rPr>
          <w:rFonts w:ascii="Courier New" w:hAnsi="Courier New"/>
          <w:w w:val="109"/>
          <w:position w:val="2"/>
          <w:sz w:val="22"/>
        </w:rPr>
        <w:t>9</w:t>
      </w:r>
      <w:r>
        <w:rPr>
          <w:rFonts w:ascii="Courier New" w:hAnsi="Courier New"/>
          <w:position w:val="2"/>
          <w:sz w:val="22"/>
        </w:rPr>
        <w:tab/>
      </w:r>
      <w:r>
        <w:rPr>
          <w:rFonts w:ascii="Arial" w:hAnsi="Arial"/>
          <w:w w:val="104"/>
          <w:sz w:val="14"/>
        </w:rPr>
        <w:t>O.,:ñ]lz</w:t>
      </w:r>
      <w:r>
        <w:rPr>
          <w:rFonts w:ascii="Courier New" w:hAnsi="Courier New"/>
          <w:w w:val="99"/>
          <w:position w:val="3"/>
          <w:sz w:val="22"/>
        </w:rPr>
        <w:t> </w:t>
      </w:r>
      <w:r>
        <w:rPr>
          <w:rFonts w:ascii="Courier New" w:hAnsi="Courier New"/>
          <w:position w:val="3"/>
          <w:sz w:val="22"/>
        </w:rPr>
        <w:tab/>
      </w:r>
      <w:r>
        <w:rPr>
          <w:rFonts w:ascii="Courier New" w:hAnsi="Courier New"/>
          <w:spacing w:val="-32"/>
          <w:w w:val="96"/>
          <w:position w:val="3"/>
          <w:sz w:val="22"/>
        </w:rPr>
        <w:t>2</w:t>
      </w:r>
      <w:r>
        <w:rPr>
          <w:rFonts w:ascii="Courier New" w:hAnsi="Courier New"/>
          <w:spacing w:val="-33"/>
          <w:w w:val="97"/>
          <w:position w:val="3"/>
          <w:sz w:val="22"/>
        </w:rPr>
        <w:t>5</w:t>
      </w:r>
      <w:r>
        <w:rPr>
          <w:rFonts w:ascii="Courier New" w:hAnsi="Courier New"/>
          <w:w w:val="105"/>
          <w:position w:val="3"/>
          <w:sz w:val="22"/>
        </w:rPr>
        <w:t>9</w:t>
      </w:r>
    </w:p>
    <w:p>
      <w:pPr>
        <w:spacing w:before="15"/>
        <w:ind w:left="0" w:right="124" w:firstLine="0"/>
        <w:jc w:val="right"/>
        <w:rPr>
          <w:rFonts w:ascii="Courier New"/>
          <w:sz w:val="22"/>
        </w:rPr>
      </w:pPr>
      <w:r>
        <w:rPr>
          <w:rFonts w:ascii="Courier New"/>
          <w:sz w:val="22"/>
        </w:rPr>
        <w:t>256</w:t>
      </w:r>
    </w:p>
    <w:p>
      <w:pPr>
        <w:spacing w:before="27"/>
        <w:ind w:left="0" w:right="135" w:firstLine="0"/>
        <w:jc w:val="right"/>
        <w:rPr>
          <w:rFonts w:ascii="Courier New"/>
          <w:sz w:val="22"/>
        </w:rPr>
      </w:pPr>
      <w:r>
        <w:rPr>
          <w:rFonts w:ascii="Courier New"/>
          <w:sz w:val="22"/>
        </w:rPr>
        <w:t>265</w:t>
      </w:r>
    </w:p>
    <w:p>
      <w:pPr>
        <w:spacing w:line="88" w:lineRule="exact" w:before="27"/>
        <w:ind w:left="0" w:right="140" w:firstLine="0"/>
        <w:jc w:val="right"/>
        <w:rPr>
          <w:rFonts w:ascii="Courier New"/>
          <w:sz w:val="22"/>
        </w:rPr>
      </w:pPr>
      <w:r>
        <w:rPr>
          <w:rFonts w:ascii="Courier New"/>
          <w:sz w:val="22"/>
        </w:rPr>
        <w:t>262</w:t>
      </w:r>
    </w:p>
    <w:p>
      <w:pPr>
        <w:spacing w:after="0" w:line="88" w:lineRule="exact"/>
        <w:jc w:val="right"/>
        <w:rPr>
          <w:rFonts w:ascii="Courier New"/>
          <w:sz w:val="22"/>
        </w:rPr>
        <w:sectPr>
          <w:pgSz w:w="7200" w:h="11340"/>
          <w:pgMar w:top="520" w:bottom="280" w:left="620" w:right="520"/>
        </w:sectPr>
      </w:pPr>
    </w:p>
    <w:p>
      <w:pPr>
        <w:spacing w:line="143" w:lineRule="exact" w:before="0"/>
        <w:ind w:left="0" w:right="59" w:firstLine="0"/>
        <w:jc w:val="right"/>
        <w:rPr>
          <w:sz w:val="14"/>
        </w:rPr>
      </w:pPr>
      <w:r>
        <w:rPr>
          <w:w w:val="125"/>
          <w:sz w:val="14"/>
        </w:rPr>
        <w:t>0.,,¡z</w:t>
      </w:r>
    </w:p>
    <w:p>
      <w:pPr>
        <w:pStyle w:val="BodyText"/>
        <w:rPr>
          <w:sz w:val="14"/>
        </w:rPr>
      </w:pPr>
    </w:p>
    <w:p>
      <w:pPr>
        <w:tabs>
          <w:tab w:pos="2500" w:val="left" w:leader="none"/>
          <w:tab w:pos="3298" w:val="left" w:leader="none"/>
        </w:tabs>
        <w:spacing w:before="92"/>
        <w:ind w:left="145" w:right="0" w:firstLine="0"/>
        <w:jc w:val="left"/>
        <w:rPr>
          <w:b/>
          <w:sz w:val="12"/>
        </w:rPr>
      </w:pPr>
      <w:r>
        <w:rPr/>
        <w:pict>
          <v:shape style="position:absolute;margin-left:205.586502pt;margin-top:13.317319pt;width:9.3pt;height:7pt;mso-position-horizontal-relative:page;mso-position-vertical-relative:paragraph;z-index:-703888" type="#_x0000_t202" filled="false" stroked="false">
            <v:textbox inset="0,0,0,0">
              <w:txbxContent>
                <w:p>
                  <w:pPr>
                    <w:spacing w:line="140" w:lineRule="exact" w:before="0"/>
                    <w:ind w:left="0" w:right="-16" w:firstLine="0"/>
                    <w:jc w:val="left"/>
                    <w:rPr>
                      <w:rFonts w:ascii="Arial"/>
                      <w:sz w:val="14"/>
                    </w:rPr>
                  </w:pPr>
                  <w:r>
                    <w:rPr>
                      <w:rFonts w:ascii="Arial"/>
                      <w:w w:val="90"/>
                      <w:sz w:val="14"/>
                    </w:rPr>
                    <w:t>zlw</w:t>
                  </w:r>
                </w:p>
              </w:txbxContent>
            </v:textbox>
            <w10:wrap type="none"/>
          </v:shape>
        </w:pict>
      </w:r>
      <w:r>
        <w:rPr>
          <w:sz w:val="14"/>
        </w:rPr>
        <w:t>Oz1z1···z,..</w:t>
        <w:tab/>
      </w:r>
      <w:r>
        <w:rPr>
          <w:rFonts w:ascii="Courier New" w:hAnsi="Courier New"/>
          <w:w w:val="95"/>
          <w:position w:val="4"/>
          <w:sz w:val="22"/>
        </w:rPr>
        <w:t>192</w:t>
        <w:tab/>
      </w:r>
      <w:r>
        <w:rPr>
          <w:b/>
          <w:position w:val="5"/>
          <w:sz w:val="12"/>
        </w:rPr>
        <w:t>-2</w:t>
      </w:r>
    </w:p>
    <w:p>
      <w:pPr>
        <w:spacing w:before="191"/>
        <w:ind w:left="145" w:right="0" w:firstLine="0"/>
        <w:jc w:val="left"/>
        <w:rPr>
          <w:rFonts w:ascii="Courier New"/>
          <w:sz w:val="22"/>
        </w:rPr>
      </w:pPr>
      <w:r>
        <w:rPr/>
        <w:br w:type="column"/>
      </w:r>
      <w:r>
        <w:rPr>
          <w:rFonts w:ascii="Courier New"/>
          <w:sz w:val="22"/>
        </w:rPr>
        <w:t>263</w:t>
      </w:r>
    </w:p>
    <w:p>
      <w:pPr>
        <w:spacing w:line="226" w:lineRule="exact" w:before="27"/>
        <w:ind w:left="149" w:right="0" w:firstLine="0"/>
        <w:jc w:val="left"/>
        <w:rPr>
          <w:rFonts w:ascii="Courier New"/>
          <w:sz w:val="22"/>
        </w:rPr>
      </w:pPr>
      <w:r>
        <w:rPr>
          <w:rFonts w:ascii="Courier New"/>
          <w:sz w:val="22"/>
        </w:rPr>
        <w:t>264</w:t>
      </w:r>
    </w:p>
    <w:p>
      <w:pPr>
        <w:spacing w:after="0" w:line="226" w:lineRule="exact"/>
        <w:jc w:val="left"/>
        <w:rPr>
          <w:rFonts w:ascii="Courier New"/>
          <w:sz w:val="22"/>
        </w:rPr>
        <w:sectPr>
          <w:type w:val="continuous"/>
          <w:pgSz w:w="7200" w:h="11340"/>
          <w:pgMar w:top="1100" w:bottom="0" w:left="620" w:right="520"/>
          <w:cols w:num="2" w:equalWidth="0">
            <w:col w:w="3678" w:space="1765"/>
            <w:col w:w="617"/>
          </w:cols>
        </w:sectPr>
      </w:pPr>
    </w:p>
    <w:p>
      <w:pPr>
        <w:spacing w:before="49"/>
        <w:ind w:left="145" w:right="-20" w:firstLine="0"/>
        <w:jc w:val="left"/>
        <w:rPr>
          <w:rFonts w:ascii="Arial" w:hAnsi="Arial"/>
          <w:i/>
          <w:sz w:val="17"/>
        </w:rPr>
      </w:pPr>
      <w:r>
        <w:rPr>
          <w:rFonts w:ascii="Arial" w:hAnsi="Arial"/>
          <w:i/>
          <w:w w:val="85"/>
          <w:sz w:val="17"/>
        </w:rPr>
        <w:t>áZfl•</w:t>
      </w:r>
    </w:p>
    <w:p>
      <w:pPr>
        <w:tabs>
          <w:tab w:pos="1086" w:val="left" w:leader="none"/>
        </w:tabs>
        <w:spacing w:line="191" w:lineRule="exact" w:before="0"/>
        <w:ind w:left="145" w:right="0" w:firstLine="0"/>
        <w:jc w:val="left"/>
        <w:rPr>
          <w:sz w:val="12"/>
        </w:rPr>
      </w:pPr>
      <w:r>
        <w:rPr/>
        <w:br w:type="column"/>
      </w:r>
      <w:r>
        <w:rPr>
          <w:rFonts w:ascii="Courier New"/>
          <w:spacing w:val="-20"/>
          <w:w w:val="115"/>
          <w:sz w:val="22"/>
        </w:rPr>
        <w:t>192</w:t>
        <w:tab/>
      </w:r>
      <w:r>
        <w:rPr>
          <w:w w:val="115"/>
          <w:position w:val="6"/>
          <w:sz w:val="12"/>
        </w:rPr>
        <w:t>1</w:t>
      </w:r>
    </w:p>
    <w:p>
      <w:pPr>
        <w:spacing w:line="75" w:lineRule="exact" w:before="0"/>
        <w:ind w:left="954" w:right="0" w:firstLine="0"/>
        <w:jc w:val="left"/>
        <w:rPr>
          <w:rFonts w:ascii="Arial"/>
          <w:b/>
          <w:sz w:val="12"/>
        </w:rPr>
      </w:pPr>
      <w:r>
        <w:rPr/>
        <w:pict>
          <v:shape style="position:absolute;margin-left:310.437408pt;margin-top:.170201pt;width:16.3500pt;height:11pt;mso-position-horizontal-relative:page;mso-position-vertical-relative:paragraph;z-index:32200" type="#_x0000_t202" filled="false" stroked="false">
            <v:textbox inset="0,0,0,0">
              <w:txbxContent>
                <w:p>
                  <w:pPr>
                    <w:spacing w:line="220" w:lineRule="exact" w:before="0"/>
                    <w:ind w:left="0" w:right="-11" w:firstLine="0"/>
                    <w:jc w:val="left"/>
                    <w:rPr>
                      <w:rFonts w:ascii="Courier New"/>
                      <w:sz w:val="22"/>
                    </w:rPr>
                  </w:pPr>
                  <w:r>
                    <w:rPr>
                      <w:rFonts w:ascii="Courier New"/>
                      <w:spacing w:val="-13"/>
                      <w:w w:val="90"/>
                      <w:sz w:val="22"/>
                    </w:rPr>
                    <w:t>264</w:t>
                  </w:r>
                </w:p>
              </w:txbxContent>
            </v:textbox>
            <w10:wrap type="none"/>
          </v:shape>
        </w:pict>
      </w:r>
      <w:r>
        <w:rPr>
          <w:rFonts w:ascii="Arial"/>
          <w:b/>
          <w:w w:val="120"/>
          <w:sz w:val="12"/>
        </w:rPr>
        <w:t>-2:1</w:t>
      </w:r>
    </w:p>
    <w:p>
      <w:pPr>
        <w:spacing w:line="18" w:lineRule="exact" w:before="0"/>
        <w:ind w:left="918" w:right="0" w:firstLine="0"/>
        <w:jc w:val="left"/>
        <w:rPr>
          <w:b/>
          <w:sz w:val="13"/>
        </w:rPr>
      </w:pPr>
      <w:r>
        <w:rPr>
          <w:b/>
          <w:i/>
          <w:w w:val="90"/>
          <w:sz w:val="15"/>
        </w:rPr>
        <w:t>a </w:t>
      </w:r>
      <w:r>
        <w:rPr>
          <w:b/>
          <w:w w:val="90"/>
          <w:sz w:val="13"/>
        </w:rPr>
        <w:t>Z 11zl10</w:t>
      </w:r>
    </w:p>
    <w:p>
      <w:pPr>
        <w:spacing w:after="0" w:line="18" w:lineRule="exact"/>
        <w:jc w:val="left"/>
        <w:rPr>
          <w:sz w:val="13"/>
        </w:rPr>
        <w:sectPr>
          <w:type w:val="continuous"/>
          <w:pgSz w:w="7200" w:h="11340"/>
          <w:pgMar w:top="1100" w:bottom="0" w:left="620" w:right="520"/>
          <w:cols w:num="2" w:equalWidth="0">
            <w:col w:w="437" w:space="1906"/>
            <w:col w:w="3717"/>
          </w:cols>
        </w:sectPr>
      </w:pPr>
    </w:p>
    <w:p>
      <w:pPr>
        <w:tabs>
          <w:tab w:pos="2475" w:val="left" w:leader="none"/>
        </w:tabs>
        <w:spacing w:line="280" w:lineRule="exact" w:before="0"/>
        <w:ind w:left="145" w:right="0" w:firstLine="0"/>
        <w:jc w:val="left"/>
        <w:rPr>
          <w:rFonts w:ascii="Courier New" w:hAnsi="Courier New"/>
          <w:sz w:val="22"/>
        </w:rPr>
      </w:pPr>
      <w:r>
        <w:rPr>
          <w:i/>
          <w:spacing w:val="5"/>
          <w:w w:val="75"/>
          <w:sz w:val="36"/>
        </w:rPr>
        <w:t>ª"="</w:t>
        <w:tab/>
      </w:r>
      <w:r>
        <w:rPr>
          <w:rFonts w:ascii="Courier New" w:hAnsi="Courier New"/>
          <w:spacing w:val="-7"/>
          <w:w w:val="85"/>
          <w:position w:val="16"/>
          <w:sz w:val="22"/>
        </w:rPr>
        <w:t>215</w:t>
      </w:r>
    </w:p>
    <w:p>
      <w:pPr>
        <w:spacing w:line="253" w:lineRule="exact" w:before="26"/>
        <w:ind w:left="145" w:right="0" w:firstLine="0"/>
        <w:jc w:val="left"/>
        <w:rPr>
          <w:b/>
          <w:sz w:val="12"/>
        </w:rPr>
      </w:pPr>
      <w:r>
        <w:rPr/>
        <w:br w:type="column"/>
      </w:r>
      <w:r>
        <w:rPr>
          <w:w w:val="80"/>
          <w:sz w:val="31"/>
        </w:rPr>
        <w:t>_, </w:t>
      </w:r>
      <w:r>
        <w:rPr>
          <w:b/>
          <w:w w:val="85"/>
          <w:position w:val="10"/>
          <w:sz w:val="12"/>
        </w:rPr>
        <w:t>1</w:t>
      </w:r>
    </w:p>
    <w:p>
      <w:pPr>
        <w:spacing w:after="0" w:line="253" w:lineRule="exact"/>
        <w:jc w:val="left"/>
        <w:rPr>
          <w:sz w:val="12"/>
        </w:rPr>
        <w:sectPr>
          <w:type w:val="continuous"/>
          <w:pgSz w:w="7200" w:h="11340"/>
          <w:pgMar w:top="1100" w:bottom="0" w:left="620" w:right="520"/>
          <w:cols w:num="2" w:equalWidth="0">
            <w:col w:w="2799" w:space="354"/>
            <w:col w:w="2907"/>
          </w:cols>
        </w:sectPr>
      </w:pPr>
    </w:p>
    <w:p>
      <w:pPr>
        <w:tabs>
          <w:tab w:pos="2486" w:val="left" w:leader="none"/>
        </w:tabs>
        <w:spacing w:line="263" w:lineRule="exact" w:before="0"/>
        <w:ind w:left="145" w:right="0" w:firstLine="0"/>
        <w:jc w:val="left"/>
        <w:rPr>
          <w:rFonts w:ascii="Courier New" w:hAnsi="Courier New"/>
          <w:sz w:val="22"/>
        </w:rPr>
      </w:pPr>
      <w:r>
        <w:rPr>
          <w:rFonts w:ascii="Arial" w:hAnsi="Arial"/>
          <w:i/>
          <w:w w:val="85"/>
          <w:sz w:val="20"/>
        </w:rPr>
        <w:t>ªioz=</w:t>
      </w:r>
      <w:r>
        <w:rPr>
          <w:rFonts w:ascii="Courier New" w:hAnsi="Courier New"/>
          <w:w w:val="85"/>
          <w:position w:val="6"/>
          <w:sz w:val="22"/>
        </w:rPr>
        <w:tab/>
      </w:r>
      <w:r>
        <w:rPr>
          <w:rFonts w:ascii="Courier New" w:hAnsi="Courier New"/>
          <w:spacing w:val="-8"/>
          <w:w w:val="90"/>
          <w:position w:val="6"/>
          <w:sz w:val="22"/>
        </w:rPr>
        <w:t>213</w:t>
      </w:r>
    </w:p>
    <w:p>
      <w:pPr>
        <w:tabs>
          <w:tab w:pos="2486" w:val="left" w:leader="none"/>
        </w:tabs>
        <w:spacing w:line="247" w:lineRule="exact" w:before="0"/>
        <w:ind w:left="145" w:right="0" w:firstLine="0"/>
        <w:jc w:val="left"/>
        <w:rPr>
          <w:rFonts w:ascii="Courier New"/>
          <w:sz w:val="22"/>
        </w:rPr>
      </w:pPr>
      <w:r>
        <w:rPr/>
        <w:pict>
          <v:line style="position:absolute;mso-position-horizontal-relative:page;mso-position-vertical-relative:paragraph;z-index:-703960" from="57.79324pt,80.485733pt" to="60.29821pt,80.485733pt" stroked="true" strokeweight=".536779pt" strokecolor="#000000">
            <w10:wrap type="none"/>
          </v:line>
        </w:pict>
      </w:r>
      <w:r>
        <w:rPr/>
        <w:pict>
          <v:shape style="position:absolute;margin-left:36.182411pt;margin-top:14.857785pt;width:196pt;height:53.75pt;mso-position-horizontal-relative:page;mso-position-vertical-relative:paragraph;z-index:32368"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633"/>
                    <w:gridCol w:w="1304"/>
                    <w:gridCol w:w="982"/>
                  </w:tblGrid>
                  <w:tr>
                    <w:trPr>
                      <w:trHeight w:val="258" w:hRule="exact"/>
                    </w:trPr>
                    <w:tc>
                      <w:tcPr>
                        <w:tcW w:w="1633" w:type="dxa"/>
                      </w:tcPr>
                      <w:p>
                        <w:pPr>
                          <w:pStyle w:val="TableParagraph"/>
                          <w:spacing w:before="77"/>
                          <w:ind w:left="35"/>
                          <w:rPr>
                            <w:rFonts w:ascii="Arial" w:hAnsi="Arial"/>
                            <w:sz w:val="14"/>
                          </w:rPr>
                        </w:pPr>
                        <w:r>
                          <w:rPr>
                            <w:rFonts w:ascii="Times New Roman" w:hAnsi="Times New Roman"/>
                            <w:w w:val="110"/>
                            <w:sz w:val="14"/>
                          </w:rPr>
                          <w:t>ª&lt;z:-;J</w:t>
                        </w:r>
                        <w:r>
                          <w:rPr>
                            <w:rFonts w:ascii="Times New Roman" w:hAnsi="Times New Roman"/>
                            <w:sz w:val="14"/>
                          </w:rPr>
                          <w:t> </w:t>
                        </w:r>
                        <w:r>
                          <w:rPr>
                            <w:rFonts w:ascii="Arial" w:hAnsi="Arial"/>
                            <w:w w:val="54"/>
                            <w:sz w:val="12"/>
                          </w:rPr>
                          <w:t>&gt;</w:t>
                        </w:r>
                        <w:r>
                          <w:rPr>
                            <w:rFonts w:ascii="Arial" w:hAnsi="Arial"/>
                            <w:spacing w:val="-4"/>
                            <w:sz w:val="12"/>
                          </w:rPr>
                          <w:t> </w:t>
                        </w:r>
                        <w:r>
                          <w:rPr>
                            <w:rFonts w:ascii="Times New Roman" w:hAnsi="Times New Roman"/>
                            <w:w w:val="130"/>
                            <w:sz w:val="14"/>
                          </w:rPr>
                          <w:t>&lt;</w:t>
                        </w:r>
                        <w:r>
                          <w:rPr>
                            <w:rFonts w:ascii="Times New Roman" w:hAnsi="Times New Roman"/>
                            <w:spacing w:val="-3"/>
                            <w:w w:val="130"/>
                            <w:sz w:val="14"/>
                          </w:rPr>
                          <w:t>•</w:t>
                        </w:r>
                        <w:r>
                          <w:rPr>
                            <w:rFonts w:ascii="Times New Roman" w:hAnsi="Times New Roman"/>
                            <w:w w:val="33"/>
                            <w:sz w:val="14"/>
                          </w:rPr>
                          <w:t>I</w:t>
                        </w:r>
                        <w:r>
                          <w:rPr>
                            <w:rFonts w:ascii="Times New Roman" w:hAnsi="Times New Roman"/>
                            <w:spacing w:val="-8"/>
                            <w:sz w:val="14"/>
                          </w:rPr>
                          <w:t> </w:t>
                        </w:r>
                        <w:r>
                          <w:rPr>
                            <w:rFonts w:ascii="Arial" w:hAnsi="Arial"/>
                            <w:w w:val="51"/>
                            <w:sz w:val="14"/>
                          </w:rPr>
                          <w:t>&gt;</w:t>
                        </w:r>
                      </w:p>
                    </w:tc>
                    <w:tc>
                      <w:tcPr>
                        <w:tcW w:w="1304" w:type="dxa"/>
                      </w:tcPr>
                      <w:p>
                        <w:pPr>
                          <w:pStyle w:val="TableParagraph"/>
                          <w:spacing w:line="228" w:lineRule="exact"/>
                          <w:ind w:right="209"/>
                          <w:jc w:val="right"/>
                          <w:rPr>
                            <w:sz w:val="22"/>
                          </w:rPr>
                        </w:pPr>
                        <w:r>
                          <w:rPr>
                            <w:w w:val="95"/>
                            <w:sz w:val="22"/>
                          </w:rPr>
                          <w:t>216</w:t>
                        </w:r>
                      </w:p>
                    </w:tc>
                    <w:tc>
                      <w:tcPr>
                        <w:tcW w:w="982" w:type="dxa"/>
                      </w:tcPr>
                      <w:p>
                        <w:pPr>
                          <w:pStyle w:val="TableParagraph"/>
                          <w:spacing w:before="18"/>
                          <w:ind w:left="225"/>
                          <w:rPr>
                            <w:rFonts w:ascii="Times New Roman" w:hAnsi="Times New Roman"/>
                            <w:b/>
                            <w:sz w:val="13"/>
                          </w:rPr>
                        </w:pPr>
                        <w:r>
                          <w:rPr>
                            <w:rFonts w:ascii="Times New Roman" w:hAnsi="Times New Roman"/>
                            <w:b/>
                            <w:w w:val="125"/>
                            <w:sz w:val="13"/>
                          </w:rPr>
                          <w:t>Cz¡zs·..zm</w:t>
                        </w:r>
                      </w:p>
                    </w:tc>
                  </w:tr>
                  <w:tr>
                    <w:trPr>
                      <w:trHeight w:val="260" w:hRule="exact"/>
                    </w:trPr>
                    <w:tc>
                      <w:tcPr>
                        <w:tcW w:w="1633" w:type="dxa"/>
                      </w:tcPr>
                      <w:p>
                        <w:pPr>
                          <w:pStyle w:val="TableParagraph"/>
                          <w:spacing w:before="78"/>
                          <w:ind w:left="35"/>
                          <w:rPr>
                            <w:rFonts w:ascii="Times New Roman"/>
                            <w:sz w:val="14"/>
                          </w:rPr>
                        </w:pPr>
                        <w:r>
                          <w:rPr>
                            <w:rFonts w:ascii="Times New Roman"/>
                            <w:w w:val="95"/>
                            <w:sz w:val="14"/>
                          </w:rPr>
                          <w:t>O(z</w:t>
                        </w:r>
                        <w:r>
                          <w:rPr>
                            <w:rFonts w:ascii="Times New Roman"/>
                            <w:color w:val="282828"/>
                            <w:w w:val="95"/>
                            <w:sz w:val="14"/>
                          </w:rPr>
                          <w:t>:</w:t>
                        </w:r>
                        <w:r>
                          <w:rPr>
                            <w:rFonts w:ascii="Times New Roman"/>
                            <w:w w:val="95"/>
                            <w:sz w:val="14"/>
                          </w:rPr>
                          <w:t>-;J) (11 </w:t>
                        </w:r>
                        <w:r>
                          <w:rPr>
                            <w:rFonts w:ascii="Times New Roman"/>
                            <w:color w:val="282828"/>
                            <w:w w:val="95"/>
                            <w:sz w:val="14"/>
                          </w:rPr>
                          <w:t>:</w:t>
                        </w:r>
                        <w:r>
                          <w:rPr>
                            <w:rFonts w:ascii="Times New Roman"/>
                            <w:w w:val="95"/>
                            <w:sz w:val="14"/>
                          </w:rPr>
                          <w:t>iiil&gt;</w:t>
                        </w:r>
                      </w:p>
                    </w:tc>
                    <w:tc>
                      <w:tcPr>
                        <w:tcW w:w="1304" w:type="dxa"/>
                      </w:tcPr>
                      <w:p>
                        <w:pPr>
                          <w:pStyle w:val="TableParagraph"/>
                          <w:ind w:right="219"/>
                          <w:jc w:val="right"/>
                          <w:rPr>
                            <w:sz w:val="22"/>
                          </w:rPr>
                        </w:pPr>
                        <w:r>
                          <w:rPr>
                            <w:w w:val="90"/>
                            <w:sz w:val="22"/>
                          </w:rPr>
                          <w:t>217</w:t>
                        </w:r>
                      </w:p>
                    </w:tc>
                    <w:tc>
                      <w:tcPr>
                        <w:tcW w:w="982" w:type="dxa"/>
                      </w:tcPr>
                      <w:p>
                        <w:pPr>
                          <w:pStyle w:val="TableParagraph"/>
                          <w:spacing w:before="44"/>
                          <w:ind w:left="225"/>
                          <w:rPr>
                            <w:rFonts w:ascii="Times New Roman" w:hAnsi="Times New Roman"/>
                            <w:b/>
                            <w:sz w:val="13"/>
                          </w:rPr>
                        </w:pPr>
                        <w:r>
                          <w:rPr>
                            <w:rFonts w:ascii="Times New Roman" w:hAnsi="Times New Roman"/>
                            <w:b/>
                            <w:w w:val="115"/>
                            <w:sz w:val="13"/>
                          </w:rPr>
                          <w:t>Cz</w:t>
                        </w:r>
                        <w:r>
                          <w:rPr>
                            <w:rFonts w:ascii="Arial" w:hAnsi="Arial"/>
                            <w:b/>
                            <w:w w:val="115"/>
                            <w:position w:val="-2"/>
                            <w:sz w:val="10"/>
                          </w:rPr>
                          <w:t>1</w:t>
                        </w:r>
                        <w:r>
                          <w:rPr>
                            <w:rFonts w:ascii="Times New Roman" w:hAnsi="Times New Roman"/>
                            <w:b/>
                            <w:w w:val="115"/>
                            <w:sz w:val="13"/>
                          </w:rPr>
                          <w:t>zs·</w:t>
                        </w:r>
                        <w:r>
                          <w:rPr>
                            <w:rFonts w:ascii="Times New Roman" w:hAnsi="Times New Roman"/>
                            <w:b/>
                            <w:color w:val="282828"/>
                            <w:w w:val="115"/>
                            <w:sz w:val="13"/>
                          </w:rPr>
                          <w:t>·</w:t>
                        </w:r>
                        <w:r>
                          <w:rPr>
                            <w:rFonts w:ascii="Times New Roman" w:hAnsi="Times New Roman"/>
                            <w:b/>
                            <w:w w:val="115"/>
                            <w:sz w:val="13"/>
                          </w:rPr>
                          <w:t>·z,,.</w:t>
                        </w:r>
                      </w:p>
                    </w:tc>
                  </w:tr>
                  <w:tr>
                    <w:trPr>
                      <w:trHeight w:val="266" w:hRule="exact"/>
                    </w:trPr>
                    <w:tc>
                      <w:tcPr>
                        <w:tcW w:w="1633" w:type="dxa"/>
                      </w:tcPr>
                      <w:p>
                        <w:pPr>
                          <w:pStyle w:val="TableParagraph"/>
                          <w:spacing w:before="96"/>
                          <w:ind w:left="35"/>
                          <w:rPr>
                            <w:rFonts w:ascii="Times New Roman"/>
                            <w:sz w:val="15"/>
                          </w:rPr>
                        </w:pPr>
                        <w:r>
                          <w:rPr>
                            <w:rFonts w:ascii="Times New Roman"/>
                            <w:sz w:val="15"/>
                          </w:rPr>
                          <w:t>&lt;l;i:-;J</w:t>
                        </w:r>
                      </w:p>
                    </w:tc>
                    <w:tc>
                      <w:tcPr>
                        <w:tcW w:w="1304" w:type="dxa"/>
                      </w:tcPr>
                      <w:p>
                        <w:pPr>
                          <w:pStyle w:val="TableParagraph"/>
                          <w:spacing w:before="27"/>
                          <w:ind w:right="256"/>
                          <w:jc w:val="right"/>
                          <w:rPr>
                            <w:rFonts w:ascii="Times New Roman"/>
                            <w:sz w:val="19"/>
                          </w:rPr>
                        </w:pPr>
                        <w:r>
                          <w:rPr>
                            <w:rFonts w:ascii="Times New Roman"/>
                            <w:sz w:val="19"/>
                          </w:rPr>
                          <w:t>222</w:t>
                        </w:r>
                      </w:p>
                    </w:tc>
                    <w:tc>
                      <w:tcPr>
                        <w:tcW w:w="982" w:type="dxa"/>
                      </w:tcPr>
                      <w:p>
                        <w:pPr>
                          <w:pStyle w:val="TableParagraph"/>
                          <w:spacing w:line="232" w:lineRule="exact"/>
                          <w:ind w:left="225"/>
                          <w:rPr>
                            <w:rFonts w:ascii="Times New Roman"/>
                            <w:i/>
                            <w:sz w:val="21"/>
                          </w:rPr>
                        </w:pPr>
                        <w:r>
                          <w:rPr>
                            <w:rFonts w:ascii="Times New Roman"/>
                            <w:i/>
                            <w:w w:val="75"/>
                            <w:sz w:val="21"/>
                          </w:rPr>
                          <w:t>C!11</w:t>
                        </w:r>
                      </w:p>
                    </w:tc>
                  </w:tr>
                  <w:tr>
                    <w:trPr>
                      <w:trHeight w:val="291" w:hRule="exact"/>
                    </w:trPr>
                    <w:tc>
                      <w:tcPr>
                        <w:tcW w:w="1633" w:type="dxa"/>
                      </w:tcPr>
                      <w:p>
                        <w:pPr>
                          <w:pStyle w:val="TableParagraph"/>
                          <w:spacing w:before="122"/>
                          <w:ind w:left="42"/>
                          <w:rPr>
                            <w:rFonts w:ascii="Times New Roman"/>
                            <w:b/>
                            <w:sz w:val="15"/>
                          </w:rPr>
                        </w:pPr>
                        <w:r>
                          <w:rPr>
                            <w:rFonts w:ascii="Times New Roman"/>
                            <w:b/>
                            <w:w w:val="90"/>
                            <w:sz w:val="13"/>
                          </w:rPr>
                          <w:t>Oz:</w:t>
                        </w:r>
                        <w:r>
                          <w:rPr>
                            <w:rFonts w:ascii="Times New Roman"/>
                            <w:b/>
                            <w:w w:val="90"/>
                            <w:position w:val="-2"/>
                            <w:sz w:val="13"/>
                          </w:rPr>
                          <w:t>11 </w:t>
                        </w:r>
                        <w:r>
                          <w:rPr>
                            <w:rFonts w:ascii="Times New Roman"/>
                            <w:b/>
                            <w:w w:val="90"/>
                            <w:sz w:val="15"/>
                          </w:rPr>
                          <w:t>:nj</w:t>
                        </w:r>
                      </w:p>
                    </w:tc>
                    <w:tc>
                      <w:tcPr>
                        <w:tcW w:w="1304" w:type="dxa"/>
                      </w:tcPr>
                      <w:p>
                        <w:pPr>
                          <w:pStyle w:val="TableParagraph"/>
                          <w:spacing w:before="28"/>
                          <w:ind w:right="231"/>
                          <w:jc w:val="right"/>
                          <w:rPr>
                            <w:sz w:val="22"/>
                          </w:rPr>
                        </w:pPr>
                        <w:r>
                          <w:rPr>
                            <w:sz w:val="22"/>
                          </w:rPr>
                          <w:t>222</w:t>
                        </w:r>
                      </w:p>
                    </w:tc>
                    <w:tc>
                      <w:tcPr>
                        <w:tcW w:w="982" w:type="dxa"/>
                      </w:tcPr>
                      <w:p>
                        <w:pPr>
                          <w:pStyle w:val="TableParagraph"/>
                          <w:spacing w:before="75"/>
                          <w:ind w:left="221"/>
                          <w:rPr>
                            <w:rFonts w:ascii="Times New Roman" w:hAnsi="Times New Roman"/>
                            <w:b/>
                            <w:sz w:val="13"/>
                          </w:rPr>
                        </w:pPr>
                        <w:r>
                          <w:rPr>
                            <w:rFonts w:ascii="Times New Roman" w:hAnsi="Times New Roman"/>
                            <w:b/>
                            <w:spacing w:val="-22"/>
                            <w:w w:val="146"/>
                            <w:sz w:val="13"/>
                          </w:rPr>
                          <w:t>C</w:t>
                        </w:r>
                        <w:r>
                          <w:rPr>
                            <w:rFonts w:ascii="Times New Roman" w:hAnsi="Times New Roman"/>
                            <w:b/>
                            <w:spacing w:val="-50"/>
                            <w:w w:val="301"/>
                            <w:sz w:val="13"/>
                          </w:rPr>
                          <w:t>!</w:t>
                        </w:r>
                        <w:r>
                          <w:rPr>
                            <w:rFonts w:ascii="Times New Roman" w:hAnsi="Times New Roman"/>
                            <w:b/>
                            <w:w w:val="105"/>
                            <w:sz w:val="13"/>
                          </w:rPr>
                          <w:t>1z2···z,,.</w:t>
                        </w:r>
                      </w:p>
                    </w:tc>
                  </w:tr>
                </w:tbl>
                <w:p>
                  <w:pPr>
                    <w:pStyle w:val="BodyText"/>
                  </w:pPr>
                </w:p>
              </w:txbxContent>
            </v:textbox>
            <w10:wrap type="none"/>
          </v:shape>
        </w:pict>
      </w:r>
      <w:r>
        <w:rPr/>
        <w:pict>
          <v:shape style="position:absolute;margin-left:153.021393pt;margin-top:66.998383pt;width:175.25pt;height:44.55pt;mso-position-horizontal-relative:page;mso-position-vertical-relative:paragraph;z-index:3239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87"/>
                    <w:gridCol w:w="1753"/>
                    <w:gridCol w:w="1165"/>
                  </w:tblGrid>
                  <w:tr>
                    <w:trPr>
                      <w:trHeight w:val="343" w:hRule="exact"/>
                    </w:trPr>
                    <w:tc>
                      <w:tcPr>
                        <w:tcW w:w="587" w:type="dxa"/>
                      </w:tcPr>
                      <w:p>
                        <w:pPr>
                          <w:pStyle w:val="TableParagraph"/>
                          <w:spacing w:before="52"/>
                          <w:ind w:left="38"/>
                          <w:rPr>
                            <w:sz w:val="22"/>
                          </w:rPr>
                        </w:pPr>
                        <w:r>
                          <w:rPr>
                            <w:sz w:val="22"/>
                          </w:rPr>
                          <w:t>222</w:t>
                        </w:r>
                      </w:p>
                    </w:tc>
                    <w:tc>
                      <w:tcPr>
                        <w:tcW w:w="1753" w:type="dxa"/>
                      </w:tcPr>
                      <w:p>
                        <w:pPr>
                          <w:pStyle w:val="TableParagraph"/>
                          <w:spacing w:line="99" w:lineRule="exact"/>
                          <w:ind w:left="285"/>
                          <w:rPr>
                            <w:rFonts w:ascii="Arial"/>
                            <w:sz w:val="11"/>
                          </w:rPr>
                        </w:pPr>
                        <w:r>
                          <w:rPr>
                            <w:rFonts w:ascii="Arial"/>
                            <w:w w:val="165"/>
                            <w:sz w:val="11"/>
                          </w:rPr>
                          <w:t>-1</w:t>
                        </w:r>
                      </w:p>
                      <w:p>
                        <w:pPr>
                          <w:pStyle w:val="TableParagraph"/>
                          <w:spacing w:line="170" w:lineRule="exact"/>
                          <w:ind w:left="232"/>
                          <w:rPr>
                            <w:rFonts w:ascii="Times New Roman" w:hAnsi="Times New Roman"/>
                            <w:b/>
                            <w:sz w:val="13"/>
                          </w:rPr>
                        </w:pPr>
                        <w:r>
                          <w:rPr>
                            <w:rFonts w:ascii="Times New Roman" w:hAnsi="Times New Roman"/>
                            <w:b/>
                            <w:w w:val="115"/>
                            <w:sz w:val="13"/>
                          </w:rPr>
                          <w:t>Cz </w:t>
                        </w:r>
                        <w:r>
                          <w:rPr>
                            <w:rFonts w:ascii="Arial" w:hAnsi="Arial"/>
                            <w:b/>
                            <w:w w:val="115"/>
                            <w:position w:val="-2"/>
                            <w:sz w:val="10"/>
                          </w:rPr>
                          <w:t>1</w:t>
                        </w:r>
                        <w:r>
                          <w:rPr>
                            <w:rFonts w:ascii="Times New Roman" w:hAnsi="Times New Roman"/>
                            <w:b/>
                            <w:w w:val="115"/>
                            <w:sz w:val="13"/>
                          </w:rPr>
                          <w:t>zs···z,,.</w:t>
                        </w:r>
                      </w:p>
                    </w:tc>
                    <w:tc>
                      <w:tcPr>
                        <w:tcW w:w="1165" w:type="dxa"/>
                      </w:tcPr>
                      <w:p>
                        <w:pPr>
                          <w:pStyle w:val="TableParagraph"/>
                          <w:spacing w:before="2"/>
                          <w:ind w:right="33"/>
                          <w:jc w:val="right"/>
                          <w:rPr>
                            <w:sz w:val="22"/>
                          </w:rPr>
                        </w:pPr>
                        <w:r>
                          <w:rPr>
                            <w:w w:val="90"/>
                            <w:sz w:val="22"/>
                          </w:rPr>
                          <w:t>240</w:t>
                        </w:r>
                      </w:p>
                    </w:tc>
                  </w:tr>
                  <w:tr>
                    <w:trPr>
                      <w:trHeight w:val="292" w:hRule="exact"/>
                    </w:trPr>
                    <w:tc>
                      <w:tcPr>
                        <w:tcW w:w="587" w:type="dxa"/>
                      </w:tcPr>
                      <w:p>
                        <w:pPr>
                          <w:pStyle w:val="TableParagraph"/>
                          <w:spacing w:line="239" w:lineRule="exact"/>
                          <w:ind w:left="35"/>
                          <w:rPr>
                            <w:sz w:val="22"/>
                          </w:rPr>
                        </w:pPr>
                        <w:r>
                          <w:rPr>
                            <w:sz w:val="22"/>
                          </w:rPr>
                          <w:t>220</w:t>
                        </w:r>
                      </w:p>
                    </w:tc>
                    <w:tc>
                      <w:tcPr>
                        <w:tcW w:w="1753" w:type="dxa"/>
                      </w:tcPr>
                      <w:p>
                        <w:pPr>
                          <w:pStyle w:val="TableParagraph"/>
                          <w:spacing w:before="2"/>
                          <w:rPr>
                            <w:sz w:val="10"/>
                          </w:rPr>
                        </w:pPr>
                      </w:p>
                      <w:p>
                        <w:pPr>
                          <w:pStyle w:val="TableParagraph"/>
                          <w:spacing w:before="1"/>
                          <w:ind w:left="228"/>
                          <w:rPr>
                            <w:rFonts w:ascii="Times New Roman" w:hAnsi="Times New Roman"/>
                            <w:b/>
                            <w:sz w:val="13"/>
                          </w:rPr>
                        </w:pPr>
                        <w:r>
                          <w:rPr>
                            <w:rFonts w:ascii="Times New Roman" w:hAnsi="Times New Roman"/>
                            <w:b/>
                            <w:w w:val="115"/>
                            <w:sz w:val="13"/>
                          </w:rPr>
                          <w:t>Dz1z2·•·z,,.</w:t>
                        </w:r>
                      </w:p>
                    </w:tc>
                    <w:tc>
                      <w:tcPr>
                        <w:tcW w:w="1165" w:type="dxa"/>
                      </w:tcPr>
                      <w:p>
                        <w:pPr>
                          <w:pStyle w:val="TableParagraph"/>
                          <w:spacing w:before="24"/>
                          <w:ind w:right="64"/>
                          <w:jc w:val="right"/>
                          <w:rPr>
                            <w:rFonts w:ascii="Times New Roman"/>
                            <w:sz w:val="19"/>
                          </w:rPr>
                        </w:pPr>
                        <w:r>
                          <w:rPr>
                            <w:rFonts w:ascii="Times New Roman"/>
                            <w:w w:val="110"/>
                            <w:sz w:val="19"/>
                          </w:rPr>
                          <w:t>194</w:t>
                        </w:r>
                      </w:p>
                    </w:tc>
                  </w:tr>
                  <w:tr>
                    <w:trPr>
                      <w:trHeight w:val="256" w:hRule="exact"/>
                    </w:trPr>
                    <w:tc>
                      <w:tcPr>
                        <w:tcW w:w="587" w:type="dxa"/>
                      </w:tcPr>
                      <w:p>
                        <w:pPr>
                          <w:pStyle w:val="TableParagraph"/>
                          <w:spacing w:before="14"/>
                          <w:ind w:left="35"/>
                          <w:rPr>
                            <w:sz w:val="22"/>
                          </w:rPr>
                        </w:pPr>
                        <w:r>
                          <w:rPr>
                            <w:sz w:val="22"/>
                          </w:rPr>
                          <w:t>220</w:t>
                        </w:r>
                      </w:p>
                    </w:tc>
                    <w:tc>
                      <w:tcPr>
                        <w:tcW w:w="1753" w:type="dxa"/>
                      </w:tcPr>
                      <w:p>
                        <w:pPr>
                          <w:pStyle w:val="TableParagraph"/>
                          <w:spacing w:before="104"/>
                          <w:ind w:left="235"/>
                          <w:rPr>
                            <w:rFonts w:ascii="Times New Roman" w:hAnsi="Times New Roman"/>
                            <w:b/>
                            <w:sz w:val="13"/>
                          </w:rPr>
                        </w:pPr>
                        <w:r>
                          <w:rPr>
                            <w:rFonts w:ascii="Times New Roman" w:hAnsi="Times New Roman"/>
                            <w:b/>
                            <w:w w:val="120"/>
                            <w:sz w:val="13"/>
                          </w:rPr>
                          <w:t>Dz1zs···z,,.</w:t>
                        </w:r>
                      </w:p>
                    </w:tc>
                    <w:tc>
                      <w:tcPr>
                        <w:tcW w:w="1165" w:type="dxa"/>
                      </w:tcPr>
                      <w:p>
                        <w:pPr>
                          <w:pStyle w:val="TableParagraph"/>
                          <w:spacing w:before="7"/>
                          <w:ind w:right="40"/>
                          <w:jc w:val="right"/>
                          <w:rPr>
                            <w:sz w:val="22"/>
                          </w:rPr>
                        </w:pPr>
                        <w:r>
                          <w:rPr>
                            <w:w w:val="90"/>
                            <w:sz w:val="22"/>
                          </w:rPr>
                          <w:t>203</w:t>
                        </w:r>
                      </w:p>
                    </w:tc>
                  </w:tr>
                </w:tbl>
                <w:p>
                  <w:pPr>
                    <w:pStyle w:val="BodyText"/>
                  </w:pPr>
                </w:p>
              </w:txbxContent>
            </v:textbox>
            <w10:wrap type="none"/>
          </v:shape>
        </w:pict>
      </w:r>
      <w:r>
        <w:rPr>
          <w:sz w:val="14"/>
        </w:rPr>
        <w:t>O(z)(</w:t>
      </w:r>
      <w:r>
        <w:rPr>
          <w:sz w:val="14"/>
          <w:u w:val="single"/>
        </w:rPr>
        <w:t>11</w:t>
      </w:r>
      <w:r>
        <w:rPr>
          <w:sz w:val="14"/>
        </w:rPr>
        <w:t>:nJ&gt;</w:t>
      </w:r>
      <w:r>
        <w:rPr>
          <w:rFonts w:ascii="Courier New"/>
          <w:position w:val="3"/>
          <w:sz w:val="22"/>
        </w:rPr>
        <w:tab/>
      </w:r>
      <w:r>
        <w:rPr>
          <w:rFonts w:ascii="Courier New"/>
          <w:spacing w:val="-19"/>
          <w:position w:val="3"/>
          <w:sz w:val="22"/>
        </w:rPr>
        <w:t>216</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3"/>
        <w:rPr>
          <w:rFonts w:ascii="Courier New"/>
          <w:sz w:val="11"/>
        </w:rPr>
      </w:pPr>
      <w:r>
        <w:rPr/>
        <w:pict>
          <v:line style="position:absolute;mso-position-horizontal-relative:page;mso-position-vertical-relative:paragraph;z-index:32080;mso-wrap-distance-left:0;mso-wrap-distance-right:0" from="47.415508pt,8.722485pt" to="51.172958pt,8.722485pt" stroked="true" strokeweight=".715706pt" strokecolor="#000000">
            <w10:wrap type="topAndBottom"/>
          </v:line>
        </w:pict>
      </w:r>
    </w:p>
    <w:p>
      <w:pPr>
        <w:spacing w:before="118"/>
        <w:ind w:left="145" w:right="0" w:firstLine="0"/>
        <w:jc w:val="left"/>
        <w:rPr>
          <w:b/>
          <w:sz w:val="13"/>
        </w:rPr>
      </w:pPr>
      <w:r>
        <w:rPr>
          <w:b/>
          <w:w w:val="85"/>
          <w:sz w:val="13"/>
        </w:rPr>
        <w:t>Oobe </w:t>
      </w:r>
      <w:r>
        <w:rPr>
          <w:b/>
          <w:color w:val="282828"/>
          <w:w w:val="85"/>
          <w:sz w:val="13"/>
        </w:rPr>
        <w:t>:</w:t>
      </w:r>
      <w:r>
        <w:rPr>
          <w:b/>
          <w:w w:val="85"/>
          <w:sz w:val="13"/>
        </w:rPr>
        <w:t>z11z</w:t>
      </w:r>
    </w:p>
    <w:p>
      <w:pPr>
        <w:spacing w:line="159" w:lineRule="exact" w:before="79"/>
        <w:ind w:left="145" w:right="0" w:firstLine="0"/>
        <w:jc w:val="center"/>
        <w:rPr>
          <w:b/>
          <w:i/>
          <w:sz w:val="15"/>
        </w:rPr>
      </w:pPr>
      <w:r>
        <w:rPr/>
        <w:br w:type="column"/>
      </w:r>
      <w:r>
        <w:rPr>
          <w:b/>
          <w:i/>
          <w:w w:val="60"/>
          <w:sz w:val="15"/>
        </w:rPr>
        <w:t>a10:1:11z l ti</w:t>
      </w:r>
    </w:p>
    <w:p>
      <w:pPr>
        <w:spacing w:line="125" w:lineRule="exact" w:before="0"/>
        <w:ind w:left="302" w:right="0" w:firstLine="0"/>
        <w:jc w:val="center"/>
        <w:rPr>
          <w:sz w:val="12"/>
        </w:rPr>
      </w:pPr>
      <w:r>
        <w:rPr>
          <w:sz w:val="12"/>
        </w:rPr>
        <w:t>21</w:t>
      </w:r>
    </w:p>
    <w:p>
      <w:pPr>
        <w:spacing w:before="7"/>
        <w:ind w:left="149" w:right="0" w:firstLine="0"/>
        <w:jc w:val="left"/>
        <w:rPr>
          <w:rFonts w:ascii="Courier New"/>
          <w:sz w:val="22"/>
        </w:rPr>
      </w:pPr>
      <w:r>
        <w:rPr/>
        <w:br w:type="column"/>
      </w:r>
      <w:r>
        <w:rPr>
          <w:rFonts w:ascii="Courier New"/>
          <w:w w:val="105"/>
          <w:sz w:val="22"/>
        </w:rPr>
        <w:t>264</w:t>
      </w:r>
    </w:p>
    <w:p>
      <w:pPr>
        <w:pStyle w:val="BodyText"/>
        <w:spacing w:before="7"/>
        <w:rPr>
          <w:rFonts w:ascii="Courier New"/>
        </w:rPr>
      </w:pPr>
    </w:p>
    <w:p>
      <w:pPr>
        <w:spacing w:before="0"/>
        <w:ind w:left="160" w:right="0" w:firstLine="0"/>
        <w:jc w:val="left"/>
        <w:rPr>
          <w:sz w:val="19"/>
        </w:rPr>
      </w:pPr>
      <w:r>
        <w:rPr>
          <w:w w:val="115"/>
          <w:sz w:val="19"/>
        </w:rPr>
        <w:t>194</w:t>
      </w:r>
    </w:p>
    <w:p>
      <w:pPr>
        <w:spacing w:before="64"/>
        <w:ind w:left="145" w:right="0" w:firstLine="0"/>
        <w:jc w:val="left"/>
        <w:rPr>
          <w:rFonts w:ascii="Arial"/>
          <w:sz w:val="19"/>
        </w:rPr>
      </w:pPr>
      <w:r>
        <w:rPr>
          <w:rFonts w:ascii="Arial"/>
          <w:sz w:val="19"/>
        </w:rPr>
        <w:t>203</w:t>
      </w:r>
    </w:p>
    <w:p>
      <w:pPr>
        <w:spacing w:before="53"/>
        <w:ind w:left="149" w:right="0" w:firstLine="0"/>
        <w:jc w:val="left"/>
        <w:rPr>
          <w:rFonts w:ascii="Courier New"/>
          <w:sz w:val="22"/>
        </w:rPr>
      </w:pPr>
      <w:r>
        <w:rPr>
          <w:rFonts w:ascii="Courier New"/>
          <w:sz w:val="22"/>
        </w:rPr>
        <w:t>235</w:t>
      </w:r>
    </w:p>
    <w:p>
      <w:pPr>
        <w:spacing w:before="27"/>
        <w:ind w:left="145" w:right="0" w:firstLine="0"/>
        <w:jc w:val="left"/>
        <w:rPr>
          <w:rFonts w:ascii="Courier New"/>
          <w:sz w:val="22"/>
        </w:rPr>
      </w:pPr>
      <w:r>
        <w:rPr>
          <w:rFonts w:ascii="Courier New"/>
          <w:spacing w:val="-35"/>
          <w:w w:val="96"/>
          <w:sz w:val="22"/>
        </w:rPr>
        <w:t>2</w:t>
      </w:r>
      <w:r>
        <w:rPr>
          <w:rFonts w:ascii="Courier New"/>
          <w:w w:val="86"/>
          <w:sz w:val="22"/>
        </w:rPr>
        <w:t>4</w:t>
      </w:r>
      <w:r>
        <w:rPr>
          <w:rFonts w:ascii="Courier New"/>
          <w:spacing w:val="-12"/>
          <w:w w:val="86"/>
          <w:sz w:val="22"/>
        </w:rPr>
        <w:t>0</w:t>
      </w:r>
      <w:r>
        <w:rPr>
          <w:rFonts w:ascii="Courier New"/>
          <w:w w:val="40"/>
          <w:sz w:val="22"/>
        </w:rPr>
        <w:t>.</w:t>
      </w:r>
    </w:p>
    <w:p>
      <w:pPr>
        <w:spacing w:after="0"/>
        <w:jc w:val="left"/>
        <w:rPr>
          <w:rFonts w:ascii="Courier New"/>
          <w:sz w:val="22"/>
        </w:rPr>
        <w:sectPr>
          <w:type w:val="continuous"/>
          <w:pgSz w:w="7200" w:h="11340"/>
          <w:pgMar w:top="1100" w:bottom="0" w:left="620" w:right="520"/>
          <w:cols w:num="3" w:equalWidth="0">
            <w:col w:w="2830" w:space="287"/>
            <w:col w:w="642" w:space="1681"/>
            <w:col w:w="620"/>
          </w:cols>
        </w:sectPr>
      </w:pPr>
    </w:p>
    <w:p>
      <w:pPr>
        <w:spacing w:before="30"/>
        <w:ind w:left="367" w:right="0" w:firstLine="0"/>
        <w:jc w:val="left"/>
        <w:rPr>
          <w:rFonts w:ascii="Arial"/>
          <w:b/>
          <w:sz w:val="11"/>
        </w:rPr>
      </w:pPr>
      <w:r>
        <w:rPr/>
        <w:pict>
          <v:shape style="position:absolute;margin-left:50.278332pt;margin-top:2.767901pt;width:5.75pt;height:18pt;mso-position-horizontal-relative:page;mso-position-vertical-relative:paragraph;z-index:-703840" type="#_x0000_t202" filled="false" stroked="false">
            <v:textbox inset="0,0,0,0">
              <w:txbxContent>
                <w:p>
                  <w:pPr>
                    <w:spacing w:line="360" w:lineRule="exact" w:before="0"/>
                    <w:ind w:left="0" w:right="0" w:firstLine="0"/>
                    <w:jc w:val="left"/>
                    <w:rPr>
                      <w:i/>
                      <w:sz w:val="36"/>
                    </w:rPr>
                  </w:pPr>
                  <w:r>
                    <w:rPr>
                      <w:i/>
                      <w:w w:val="127"/>
                      <w:sz w:val="36"/>
                    </w:rPr>
                    <w:t>·</w:t>
                  </w:r>
                </w:p>
              </w:txbxContent>
            </v:textbox>
            <w10:wrap type="none"/>
          </v:shape>
        </w:pict>
      </w:r>
      <w:r>
        <w:rPr/>
        <w:pict>
          <v:shape style="position:absolute;margin-left:38.469189pt;margin-top:2.767901pt;width:4.4pt;height:18pt;mso-position-horizontal-relative:page;mso-position-vertical-relative:paragraph;z-index:32272" type="#_x0000_t202" filled="false" stroked="false">
            <v:textbox inset="0,0,0,0">
              <w:txbxContent>
                <w:p>
                  <w:pPr>
                    <w:spacing w:line="360" w:lineRule="exact" w:before="0"/>
                    <w:ind w:left="0" w:right="0" w:firstLine="0"/>
                    <w:jc w:val="left"/>
                    <w:rPr>
                      <w:i/>
                      <w:sz w:val="36"/>
                    </w:rPr>
                  </w:pPr>
                  <w:r>
                    <w:rPr>
                      <w:i/>
                      <w:w w:val="87"/>
                      <w:sz w:val="36"/>
                    </w:rPr>
                    <w:t>ª</w:t>
                  </w:r>
                </w:p>
              </w:txbxContent>
            </v:textbox>
            <w10:wrap type="none"/>
          </v:shape>
        </w:pict>
      </w:r>
      <w:r>
        <w:rPr>
          <w:rFonts w:ascii="Arial"/>
          <w:b/>
          <w:spacing w:val="-50"/>
          <w:w w:val="105"/>
          <w:sz w:val="11"/>
        </w:rPr>
        <w:t>2</w:t>
      </w:r>
    </w:p>
    <w:p>
      <w:pPr>
        <w:pStyle w:val="BodyText"/>
        <w:spacing w:before="8"/>
        <w:rPr>
          <w:rFonts w:ascii="Arial"/>
          <w:b/>
          <w:sz w:val="12"/>
        </w:rPr>
      </w:pPr>
    </w:p>
    <w:p>
      <w:pPr>
        <w:spacing w:before="0"/>
        <w:ind w:left="331" w:right="0" w:firstLine="0"/>
        <w:jc w:val="left"/>
        <w:rPr>
          <w:rFonts w:ascii="Arial"/>
          <w:sz w:val="11"/>
        </w:rPr>
      </w:pPr>
      <w:r>
        <w:rPr/>
        <w:pict>
          <v:line style="position:absolute;mso-position-horizontal-relative:page;mso-position-vertical-relative:paragraph;z-index:-703936" from="47.594429pt,2.555534pt" to="51.888669pt,2.555534pt" stroked="true" strokeweight=".894632pt" strokecolor="#000000">
            <w10:wrap type="none"/>
          </v:line>
        </w:pict>
      </w:r>
      <w:r>
        <w:rPr>
          <w:rFonts w:ascii="Arial"/>
          <w:w w:val="125"/>
          <w:sz w:val="11"/>
        </w:rPr>
        <w:t>(1)</w:t>
      </w:r>
    </w:p>
    <w:p>
      <w:pPr>
        <w:spacing w:after="0"/>
        <w:jc w:val="left"/>
        <w:rPr>
          <w:rFonts w:ascii="Arial"/>
          <w:sz w:val="11"/>
        </w:rPr>
        <w:sectPr>
          <w:type w:val="continuous"/>
          <w:pgSz w:w="7200" w:h="11340"/>
          <w:pgMar w:top="1100" w:bottom="0" w:left="620" w:right="520"/>
        </w:sectPr>
      </w:pPr>
    </w:p>
    <w:p>
      <w:pPr>
        <w:spacing w:before="13"/>
        <w:ind w:left="142" w:right="-19" w:firstLine="0"/>
        <w:jc w:val="left"/>
        <w:rPr>
          <w:b/>
          <w:sz w:val="13"/>
        </w:rPr>
      </w:pPr>
      <w:r>
        <w:rPr>
          <w:b/>
          <w:w w:val="85"/>
          <w:sz w:val="13"/>
        </w:rPr>
        <w:t>O</w:t>
      </w:r>
      <w:r>
        <w:rPr>
          <w:b/>
          <w:w w:val="85"/>
          <w:sz w:val="13"/>
          <w:u w:val="single"/>
        </w:rPr>
        <w:t>z</w:t>
      </w:r>
      <w:r>
        <w:rPr>
          <w:b/>
          <w:w w:val="85"/>
          <w:position w:val="-2"/>
          <w:sz w:val="13"/>
          <w:u w:val="single"/>
        </w:rPr>
        <w:t>1</w:t>
      </w:r>
      <w:r>
        <w:rPr>
          <w:b/>
          <w:w w:val="85"/>
          <w:position w:val="-2"/>
          <w:sz w:val="13"/>
        </w:rPr>
        <w:t>1</w:t>
      </w:r>
      <w:r>
        <w:rPr>
          <w:b/>
          <w:spacing w:val="-14"/>
          <w:w w:val="85"/>
          <w:position w:val="-2"/>
          <w:sz w:val="13"/>
        </w:rPr>
        <w:t> </w:t>
      </w:r>
      <w:r>
        <w:rPr>
          <w:b/>
          <w:w w:val="85"/>
          <w:sz w:val="13"/>
        </w:rPr>
        <w:t>s</w:t>
      </w:r>
    </w:p>
    <w:p>
      <w:pPr>
        <w:spacing w:line="83" w:lineRule="exact" w:before="84"/>
        <w:ind w:left="145" w:right="-13" w:firstLine="0"/>
        <w:jc w:val="left"/>
        <w:rPr>
          <w:rFonts w:ascii="Arial"/>
          <w:b/>
          <w:sz w:val="20"/>
        </w:rPr>
      </w:pPr>
      <w:r>
        <w:rPr>
          <w:rFonts w:ascii="Arial"/>
          <w:b/>
          <w:w w:val="80"/>
          <w:sz w:val="20"/>
        </w:rPr>
        <w:t>llw</w:t>
      </w:r>
    </w:p>
    <w:p>
      <w:pPr>
        <w:tabs>
          <w:tab w:pos="1985" w:val="left" w:leader="none"/>
        </w:tabs>
        <w:spacing w:line="160" w:lineRule="exact" w:before="200"/>
        <w:ind w:left="35" w:right="0" w:firstLine="0"/>
        <w:jc w:val="left"/>
        <w:rPr>
          <w:rFonts w:ascii="Courier New"/>
          <w:sz w:val="22"/>
        </w:rPr>
      </w:pPr>
      <w:r>
        <w:rPr/>
        <w:br w:type="column"/>
      </w:r>
      <w:r>
        <w:rPr>
          <w:rFonts w:ascii="Arial"/>
          <w:b/>
          <w:position w:val="9"/>
          <w:sz w:val="11"/>
        </w:rPr>
        <w:t>2</w:t>
        <w:tab/>
      </w:r>
      <w:r>
        <w:rPr>
          <w:rFonts w:ascii="Courier New"/>
          <w:spacing w:val="-9"/>
          <w:w w:val="85"/>
          <w:sz w:val="22"/>
        </w:rPr>
        <w:t>223</w:t>
      </w:r>
    </w:p>
    <w:p>
      <w:pPr>
        <w:pStyle w:val="BodyText"/>
        <w:rPr>
          <w:rFonts w:ascii="Courier New"/>
          <w:sz w:val="25"/>
        </w:rPr>
      </w:pPr>
      <w:r>
        <w:rPr/>
        <w:br w:type="column"/>
      </w:r>
      <w:r>
        <w:rPr>
          <w:rFonts w:ascii="Courier New"/>
          <w:sz w:val="25"/>
        </w:rPr>
      </w:r>
    </w:p>
    <w:p>
      <w:pPr>
        <w:spacing w:line="76" w:lineRule="exact" w:before="1"/>
        <w:ind w:left="142" w:right="0" w:firstLine="0"/>
        <w:jc w:val="left"/>
        <w:rPr>
          <w:sz w:val="19"/>
        </w:rPr>
      </w:pPr>
      <w:r>
        <w:rPr/>
        <w:pict>
          <v:shape style="position:absolute;margin-left:191.848404pt;margin-top:5.663665pt;width:137pt;height:203.15pt;mso-position-horizontal-relative:page;mso-position-vertical-relative:paragraph;z-index:3241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634"/>
                    <w:gridCol w:w="1106"/>
                  </w:tblGrid>
                  <w:tr>
                    <w:trPr>
                      <w:trHeight w:val="513" w:hRule="exact"/>
                    </w:trPr>
                    <w:tc>
                      <w:tcPr>
                        <w:tcW w:w="1634" w:type="dxa"/>
                      </w:tcPr>
                      <w:p>
                        <w:pPr>
                          <w:pStyle w:val="TableParagraph"/>
                          <w:spacing w:line="137" w:lineRule="exact"/>
                          <w:ind w:left="38"/>
                          <w:rPr>
                            <w:rFonts w:ascii="Arial" w:hAnsi="Arial"/>
                            <w:b/>
                            <w:sz w:val="7"/>
                          </w:rPr>
                        </w:pPr>
                        <w:r>
                          <w:rPr>
                            <w:rFonts w:ascii="Times New Roman" w:hAnsi="Times New Roman"/>
                            <w:b/>
                            <w:position w:val="1"/>
                            <w:sz w:val="13"/>
                          </w:rPr>
                          <w:t>dz1z1···z  </w:t>
                        </w:r>
                        <w:r>
                          <w:rPr>
                            <w:rFonts w:ascii="Arial" w:hAnsi="Arial"/>
                            <w:b/>
                            <w:sz w:val="7"/>
                          </w:rPr>
                          <w:t>111</w:t>
                        </w:r>
                      </w:p>
                      <w:p>
                        <w:pPr>
                          <w:pStyle w:val="TableParagraph"/>
                          <w:spacing w:before="10"/>
                          <w:rPr>
                            <w:sz w:val="9"/>
                          </w:rPr>
                        </w:pPr>
                      </w:p>
                      <w:p>
                        <w:pPr>
                          <w:pStyle w:val="TableParagraph"/>
                          <w:ind w:left="35"/>
                          <w:rPr>
                            <w:rFonts w:ascii="Times New Roman"/>
                            <w:b/>
                            <w:i/>
                            <w:sz w:val="21"/>
                          </w:rPr>
                        </w:pPr>
                        <w:r>
                          <w:rPr>
                            <w:rFonts w:ascii="Times New Roman"/>
                            <w:b/>
                            <w:i/>
                            <w:sz w:val="21"/>
                          </w:rPr>
                          <w:t>ez,</w:t>
                        </w:r>
                      </w:p>
                    </w:tc>
                    <w:tc>
                      <w:tcPr>
                        <w:tcW w:w="1106" w:type="dxa"/>
                      </w:tcPr>
                      <w:p>
                        <w:pPr>
                          <w:pStyle w:val="TableParagraph"/>
                          <w:spacing w:before="3"/>
                          <w:rPr>
                            <w:sz w:val="21"/>
                          </w:rPr>
                        </w:pPr>
                      </w:p>
                      <w:p>
                        <w:pPr>
                          <w:pStyle w:val="TableParagraph"/>
                          <w:ind w:right="43"/>
                          <w:jc w:val="right"/>
                          <w:rPr>
                            <w:sz w:val="22"/>
                          </w:rPr>
                        </w:pPr>
                        <w:r>
                          <w:rPr>
                            <w:w w:val="95"/>
                            <w:sz w:val="22"/>
                          </w:rPr>
                          <w:t>192</w:t>
                        </w:r>
                      </w:p>
                    </w:tc>
                  </w:tr>
                  <w:tr>
                    <w:trPr>
                      <w:trHeight w:val="289" w:hRule="exact"/>
                    </w:trPr>
                    <w:tc>
                      <w:tcPr>
                        <w:tcW w:w="1634" w:type="dxa"/>
                      </w:tcPr>
                      <w:p>
                        <w:pPr>
                          <w:pStyle w:val="TableParagraph"/>
                          <w:spacing w:before="30"/>
                          <w:ind w:left="38"/>
                          <w:rPr>
                            <w:rFonts w:ascii="Times New Roman"/>
                            <w:b/>
                            <w:sz w:val="20"/>
                          </w:rPr>
                        </w:pPr>
                        <w:r>
                          <w:rPr>
                            <w:rFonts w:ascii="Times New Roman"/>
                            <w:b/>
                            <w:w w:val="125"/>
                            <w:sz w:val="20"/>
                          </w:rPr>
                          <w:t>lu</w:t>
                        </w:r>
                      </w:p>
                    </w:tc>
                    <w:tc>
                      <w:tcPr>
                        <w:tcW w:w="1106" w:type="dxa"/>
                      </w:tcPr>
                      <w:p>
                        <w:pPr>
                          <w:pStyle w:val="TableParagraph"/>
                          <w:spacing w:line="240" w:lineRule="exact"/>
                          <w:ind w:right="80"/>
                          <w:jc w:val="right"/>
                          <w:rPr>
                            <w:rFonts w:ascii="Times New Roman"/>
                            <w:sz w:val="21"/>
                          </w:rPr>
                        </w:pPr>
                        <w:r>
                          <w:rPr>
                            <w:rFonts w:ascii="Times New Roman"/>
                            <w:w w:val="90"/>
                            <w:sz w:val="21"/>
                          </w:rPr>
                          <w:t>206</w:t>
                        </w:r>
                      </w:p>
                    </w:tc>
                  </w:tr>
                  <w:tr>
                    <w:trPr>
                      <w:trHeight w:val="274" w:hRule="exact"/>
                    </w:trPr>
                    <w:tc>
                      <w:tcPr>
                        <w:tcW w:w="1634" w:type="dxa"/>
                      </w:tcPr>
                      <w:p>
                        <w:pPr>
                          <w:pStyle w:val="TableParagraph"/>
                          <w:spacing w:before="28"/>
                          <w:ind w:left="38"/>
                          <w:rPr>
                            <w:rFonts w:ascii="Times New Roman"/>
                            <w:b/>
                            <w:sz w:val="20"/>
                          </w:rPr>
                        </w:pPr>
                        <w:r>
                          <w:rPr>
                            <w:rFonts w:ascii="Times New Roman"/>
                            <w:b/>
                            <w:w w:val="80"/>
                            <w:sz w:val="20"/>
                          </w:rPr>
                          <w:t>lzw</w:t>
                        </w:r>
                      </w:p>
                    </w:tc>
                    <w:tc>
                      <w:tcPr>
                        <w:tcW w:w="1106" w:type="dxa"/>
                      </w:tcPr>
                      <w:p>
                        <w:pPr>
                          <w:pStyle w:val="TableParagraph"/>
                          <w:spacing w:before="10"/>
                          <w:ind w:right="73"/>
                          <w:jc w:val="right"/>
                          <w:rPr>
                            <w:rFonts w:ascii="Arial"/>
                            <w:sz w:val="18"/>
                          </w:rPr>
                        </w:pPr>
                        <w:r>
                          <w:rPr>
                            <w:rFonts w:ascii="Arial"/>
                            <w:w w:val="95"/>
                            <w:sz w:val="18"/>
                          </w:rPr>
                          <w:t>350</w:t>
                        </w:r>
                      </w:p>
                    </w:tc>
                  </w:tr>
                  <w:tr>
                    <w:trPr>
                      <w:trHeight w:val="318" w:hRule="exact"/>
                    </w:trPr>
                    <w:tc>
                      <w:tcPr>
                        <w:tcW w:w="1634" w:type="dxa"/>
                      </w:tcPr>
                      <w:p>
                        <w:pPr>
                          <w:pStyle w:val="TableParagraph"/>
                          <w:spacing w:before="87"/>
                          <w:ind w:left="45"/>
                          <w:rPr>
                            <w:rFonts w:ascii="Arial" w:hAnsi="Arial"/>
                            <w:sz w:val="15"/>
                          </w:rPr>
                        </w:pPr>
                        <w:r>
                          <w:rPr>
                            <w:rFonts w:ascii="Times New Roman" w:hAnsi="Times New Roman"/>
                            <w:b/>
                            <w:w w:val="120"/>
                            <w:sz w:val="13"/>
                          </w:rPr>
                          <w:t>lz1z1 </w:t>
                        </w:r>
                        <w:r>
                          <w:rPr>
                            <w:rFonts w:ascii="Times New Roman" w:hAnsi="Times New Roman"/>
                            <w:color w:val="161616"/>
                            <w:w w:val="120"/>
                            <w:sz w:val="13"/>
                          </w:rPr>
                          <w:t>··</w:t>
                        </w:r>
                        <w:r>
                          <w:rPr>
                            <w:rFonts w:ascii="Times New Roman" w:hAnsi="Times New Roman"/>
                            <w:w w:val="120"/>
                            <w:sz w:val="14"/>
                          </w:rPr>
                          <w:t>·z•:</w:t>
                        </w:r>
                        <w:r>
                          <w:rPr>
                            <w:rFonts w:ascii="Arial" w:hAnsi="Arial"/>
                            <w:w w:val="120"/>
                            <w:sz w:val="15"/>
                          </w:rPr>
                          <w:t>;;i</w:t>
                        </w:r>
                      </w:p>
                    </w:tc>
                    <w:tc>
                      <w:tcPr>
                        <w:tcW w:w="1106" w:type="dxa"/>
                      </w:tcPr>
                      <w:p>
                        <w:pPr>
                          <w:pStyle w:val="TableParagraph"/>
                          <w:spacing w:line="248" w:lineRule="exact"/>
                          <w:ind w:right="77"/>
                          <w:jc w:val="right"/>
                          <w:rPr>
                            <w:sz w:val="22"/>
                          </w:rPr>
                        </w:pPr>
                        <w:r>
                          <w:rPr>
                            <w:w w:val="85"/>
                            <w:sz w:val="22"/>
                          </w:rPr>
                          <w:t>231</w:t>
                        </w:r>
                      </w:p>
                    </w:tc>
                  </w:tr>
                  <w:tr>
                    <w:trPr>
                      <w:trHeight w:val="361" w:hRule="exact"/>
                    </w:trPr>
                    <w:tc>
                      <w:tcPr>
                        <w:tcW w:w="1634" w:type="dxa"/>
                      </w:tcPr>
                      <w:p>
                        <w:pPr>
                          <w:pStyle w:val="TableParagraph"/>
                          <w:spacing w:before="52"/>
                          <w:ind w:left="85"/>
                          <w:rPr>
                            <w:rFonts w:ascii="Arial"/>
                            <w:i/>
                            <w:sz w:val="10"/>
                          </w:rPr>
                        </w:pPr>
                        <w:r>
                          <w:rPr>
                            <w:rFonts w:ascii="Times New Roman"/>
                            <w:i/>
                            <w:w w:val="95"/>
                            <w:sz w:val="21"/>
                          </w:rPr>
                          <w:t>( IA </w:t>
                        </w:r>
                        <w:r>
                          <w:rPr>
                            <w:rFonts w:ascii="Arial"/>
                            <w:i/>
                            <w:w w:val="95"/>
                            <w:sz w:val="10"/>
                          </w:rPr>
                          <w:t>)ID%Jfl</w:t>
                        </w:r>
                      </w:p>
                    </w:tc>
                    <w:tc>
                      <w:tcPr>
                        <w:tcW w:w="1106" w:type="dxa"/>
                      </w:tcPr>
                      <w:p>
                        <w:pPr>
                          <w:pStyle w:val="TableParagraph"/>
                          <w:spacing w:before="39"/>
                          <w:ind w:right="48"/>
                          <w:jc w:val="right"/>
                          <w:rPr>
                            <w:sz w:val="22"/>
                          </w:rPr>
                        </w:pPr>
                        <w:r>
                          <w:rPr>
                            <w:w w:val="90"/>
                            <w:sz w:val="22"/>
                          </w:rPr>
                          <w:t>193</w:t>
                        </w:r>
                      </w:p>
                    </w:tc>
                  </w:tr>
                  <w:tr>
                    <w:trPr>
                      <w:trHeight w:val="362" w:hRule="exact"/>
                    </w:trPr>
                    <w:tc>
                      <w:tcPr>
                        <w:tcW w:w="1634" w:type="dxa"/>
                      </w:tcPr>
                      <w:p>
                        <w:pPr>
                          <w:pStyle w:val="TableParagraph"/>
                          <w:spacing w:before="57"/>
                          <w:ind w:left="45"/>
                          <w:rPr>
                            <w:rFonts w:ascii="Times New Roman"/>
                            <w:b/>
                            <w:i/>
                            <w:sz w:val="21"/>
                          </w:rPr>
                        </w:pPr>
                        <w:r>
                          <w:rPr>
                            <w:rFonts w:ascii="Times New Roman"/>
                            <w:b/>
                            <w:i/>
                            <w:sz w:val="21"/>
                          </w:rPr>
                          <w:t>ku</w:t>
                        </w:r>
                      </w:p>
                    </w:tc>
                    <w:tc>
                      <w:tcPr>
                        <w:tcW w:w="1106" w:type="dxa"/>
                      </w:tcPr>
                      <w:p>
                        <w:pPr>
                          <w:pStyle w:val="TableParagraph"/>
                          <w:spacing w:before="47"/>
                          <w:ind w:right="73"/>
                          <w:jc w:val="right"/>
                          <w:rPr>
                            <w:rFonts w:ascii="Times New Roman"/>
                            <w:sz w:val="19"/>
                          </w:rPr>
                        </w:pPr>
                        <w:r>
                          <w:rPr>
                            <w:rFonts w:ascii="Times New Roman"/>
                            <w:sz w:val="19"/>
                          </w:rPr>
                          <w:t>208</w:t>
                        </w:r>
                      </w:p>
                    </w:tc>
                  </w:tr>
                  <w:tr>
                    <w:trPr>
                      <w:trHeight w:val="362" w:hRule="exact"/>
                    </w:trPr>
                    <w:tc>
                      <w:tcPr>
                        <w:tcW w:w="1634" w:type="dxa"/>
                      </w:tcPr>
                      <w:p>
                        <w:pPr>
                          <w:pStyle w:val="TableParagraph"/>
                          <w:spacing w:before="3"/>
                          <w:rPr>
                            <w:sz w:val="13"/>
                          </w:rPr>
                        </w:pPr>
                      </w:p>
                      <w:p>
                        <w:pPr>
                          <w:pStyle w:val="TableParagraph"/>
                          <w:ind w:left="45"/>
                          <w:rPr>
                            <w:rFonts w:ascii="Times New Roman" w:hAnsi="Times New Roman"/>
                            <w:b/>
                            <w:sz w:val="13"/>
                          </w:rPr>
                        </w:pPr>
                        <w:r>
                          <w:rPr>
                            <w:rFonts w:ascii="Times New Roman" w:hAnsi="Times New Roman"/>
                            <w:b/>
                            <w:w w:val="105"/>
                            <w:sz w:val="13"/>
                          </w:rPr>
                          <w:t>lz,zs </w:t>
                        </w:r>
                        <w:r>
                          <w:rPr>
                            <w:rFonts w:ascii="Times New Roman" w:hAnsi="Times New Roman"/>
                            <w:color w:val="161616"/>
                            <w:sz w:val="13"/>
                          </w:rPr>
                          <w:t>·</w:t>
                        </w:r>
                        <w:r>
                          <w:rPr>
                            <w:rFonts w:ascii="Times New Roman" w:hAnsi="Times New Roman"/>
                            <w:b/>
                            <w:sz w:val="13"/>
                          </w:rPr>
                          <w:t>··z111</w:t>
                        </w:r>
                      </w:p>
                    </w:tc>
                    <w:tc>
                      <w:tcPr>
                        <w:tcW w:w="1106" w:type="dxa"/>
                      </w:tcPr>
                      <w:p>
                        <w:pPr>
                          <w:pStyle w:val="TableParagraph"/>
                          <w:spacing w:before="46"/>
                          <w:ind w:right="48"/>
                          <w:jc w:val="right"/>
                          <w:rPr>
                            <w:sz w:val="22"/>
                          </w:rPr>
                        </w:pPr>
                        <w:r>
                          <w:rPr>
                            <w:w w:val="90"/>
                            <w:sz w:val="22"/>
                          </w:rPr>
                          <w:t>193</w:t>
                        </w:r>
                      </w:p>
                    </w:tc>
                  </w:tr>
                  <w:tr>
                    <w:trPr>
                      <w:trHeight w:val="325" w:hRule="exact"/>
                    </w:trPr>
                    <w:tc>
                      <w:tcPr>
                        <w:tcW w:w="1634" w:type="dxa"/>
                      </w:tcPr>
                      <w:p>
                        <w:pPr>
                          <w:pStyle w:val="TableParagraph"/>
                          <w:spacing w:before="56"/>
                          <w:ind w:left="45"/>
                          <w:rPr>
                            <w:rFonts w:ascii="Times New Roman"/>
                            <w:i/>
                            <w:sz w:val="22"/>
                          </w:rPr>
                        </w:pPr>
                        <w:r>
                          <w:rPr>
                            <w:rFonts w:ascii="Times New Roman"/>
                            <w:i/>
                            <w:w w:val="80"/>
                            <w:sz w:val="22"/>
                          </w:rPr>
                          <w:t>M!11</w:t>
                        </w:r>
                      </w:p>
                    </w:tc>
                    <w:tc>
                      <w:tcPr>
                        <w:tcW w:w="1106" w:type="dxa"/>
                      </w:tcPr>
                      <w:p>
                        <w:pPr>
                          <w:pStyle w:val="TableParagraph"/>
                          <w:spacing w:before="43"/>
                          <w:ind w:right="47"/>
                          <w:jc w:val="right"/>
                          <w:rPr>
                            <w:sz w:val="22"/>
                          </w:rPr>
                        </w:pPr>
                        <w:r>
                          <w:rPr>
                            <w:w w:val="95"/>
                            <w:sz w:val="22"/>
                          </w:rPr>
                          <w:t>235</w:t>
                        </w:r>
                      </w:p>
                    </w:tc>
                  </w:tr>
                  <w:tr>
                    <w:trPr>
                      <w:trHeight w:val="315" w:hRule="exact"/>
                    </w:trPr>
                    <w:tc>
                      <w:tcPr>
                        <w:tcW w:w="1634" w:type="dxa"/>
                      </w:tcPr>
                      <w:p>
                        <w:pPr>
                          <w:pStyle w:val="TableParagraph"/>
                          <w:spacing w:before="99"/>
                          <w:ind w:left="49"/>
                          <w:rPr>
                            <w:rFonts w:ascii="Times New Roman" w:hAnsi="Times New Roman"/>
                            <w:b/>
                            <w:sz w:val="13"/>
                          </w:rPr>
                        </w:pPr>
                        <w:r>
                          <w:rPr>
                            <w:rFonts w:ascii="Times New Roman" w:hAnsi="Times New Roman"/>
                            <w:b/>
                            <w:w w:val="115"/>
                            <w:sz w:val="13"/>
                          </w:rPr>
                          <w:t>M!1z1···z,,.</w:t>
                        </w:r>
                      </w:p>
                    </w:tc>
                    <w:tc>
                      <w:tcPr>
                        <w:tcW w:w="1106" w:type="dxa"/>
                      </w:tcPr>
                      <w:p>
                        <w:pPr>
                          <w:pStyle w:val="TableParagraph"/>
                          <w:spacing w:line="248" w:lineRule="exact"/>
                          <w:ind w:right="43"/>
                          <w:jc w:val="right"/>
                          <w:rPr>
                            <w:sz w:val="22"/>
                          </w:rPr>
                        </w:pPr>
                        <w:r>
                          <w:rPr>
                            <w:w w:val="90"/>
                            <w:sz w:val="22"/>
                          </w:rPr>
                          <w:t>240</w:t>
                        </w:r>
                      </w:p>
                    </w:tc>
                  </w:tr>
                  <w:tr>
                    <w:trPr>
                      <w:trHeight w:val="358" w:hRule="exact"/>
                    </w:trPr>
                    <w:tc>
                      <w:tcPr>
                        <w:tcW w:w="1634" w:type="dxa"/>
                      </w:tcPr>
                      <w:p>
                        <w:pPr>
                          <w:pStyle w:val="TableParagraph"/>
                          <w:spacing w:before="3"/>
                          <w:rPr>
                            <w:sz w:val="13"/>
                          </w:rPr>
                        </w:pPr>
                      </w:p>
                      <w:p>
                        <w:pPr>
                          <w:pStyle w:val="TableParagraph"/>
                          <w:ind w:left="45"/>
                          <w:rPr>
                            <w:rFonts w:ascii="Times New Roman" w:hAnsi="Times New Roman"/>
                            <w:b/>
                            <w:sz w:val="13"/>
                          </w:rPr>
                        </w:pPr>
                        <w:r>
                          <w:rPr>
                            <w:rFonts w:ascii="Times New Roman" w:hAnsi="Times New Roman"/>
                            <w:b/>
                            <w:w w:val="95"/>
                            <w:sz w:val="13"/>
                          </w:rPr>
                          <w:t>/.&amp;z¡Zl"'Z111</w:t>
                        </w:r>
                      </w:p>
                    </w:tc>
                    <w:tc>
                      <w:tcPr>
                        <w:tcW w:w="1106" w:type="dxa"/>
                      </w:tcPr>
                      <w:p>
                        <w:pPr>
                          <w:pStyle w:val="TableParagraph"/>
                          <w:spacing w:before="44"/>
                          <w:ind w:right="71"/>
                          <w:jc w:val="right"/>
                          <w:rPr>
                            <w:rFonts w:ascii="Times New Roman"/>
                            <w:sz w:val="19"/>
                          </w:rPr>
                        </w:pPr>
                        <w:r>
                          <w:rPr>
                            <w:rFonts w:ascii="Times New Roman"/>
                            <w:w w:val="115"/>
                            <w:sz w:val="19"/>
                          </w:rPr>
                          <w:t>194</w:t>
                        </w:r>
                      </w:p>
                    </w:tc>
                  </w:tr>
                  <w:tr>
                    <w:trPr>
                      <w:trHeight w:val="293" w:hRule="exact"/>
                    </w:trPr>
                    <w:tc>
                      <w:tcPr>
                        <w:tcW w:w="1634" w:type="dxa"/>
                      </w:tcPr>
                      <w:p>
                        <w:pPr/>
                      </w:p>
                    </w:tc>
                    <w:tc>
                      <w:tcPr>
                        <w:tcW w:w="1106" w:type="dxa"/>
                      </w:tcPr>
                      <w:p>
                        <w:pPr>
                          <w:pStyle w:val="TableParagraph"/>
                          <w:spacing w:before="39"/>
                          <w:ind w:right="50"/>
                          <w:jc w:val="right"/>
                          <w:rPr>
                            <w:sz w:val="22"/>
                          </w:rPr>
                        </w:pPr>
                        <w:r>
                          <w:rPr>
                            <w:w w:val="85"/>
                            <w:sz w:val="22"/>
                          </w:rPr>
                          <w:t>213</w:t>
                        </w:r>
                      </w:p>
                    </w:tc>
                  </w:tr>
                  <w:tr>
                    <w:trPr>
                      <w:trHeight w:val="293" w:hRule="exact"/>
                    </w:trPr>
                    <w:tc>
                      <w:tcPr>
                        <w:tcW w:w="1634" w:type="dxa"/>
                      </w:tcPr>
                      <w:p>
                        <w:pPr>
                          <w:pStyle w:val="TableParagraph"/>
                          <w:spacing w:line="298" w:lineRule="exact"/>
                          <w:ind w:left="49"/>
                          <w:rPr>
                            <w:rFonts w:ascii="Times New Roman"/>
                            <w:i/>
                            <w:sz w:val="28"/>
                          </w:rPr>
                        </w:pPr>
                        <w:r>
                          <w:rPr>
                            <w:rFonts w:ascii="Times New Roman"/>
                            <w:i/>
                            <w:w w:val="80"/>
                            <w:sz w:val="28"/>
                          </w:rPr>
                          <w:t>P!.,</w:t>
                        </w:r>
                      </w:p>
                    </w:tc>
                    <w:tc>
                      <w:tcPr>
                        <w:tcW w:w="1106" w:type="dxa"/>
                      </w:tcPr>
                      <w:p>
                        <w:pPr>
                          <w:pStyle w:val="TableParagraph"/>
                          <w:spacing w:before="26"/>
                          <w:ind w:right="33"/>
                          <w:jc w:val="right"/>
                          <w:rPr>
                            <w:sz w:val="22"/>
                          </w:rPr>
                        </w:pPr>
                        <w:r>
                          <w:rPr>
                            <w:sz w:val="22"/>
                          </w:rPr>
                          <w:t>237</w:t>
                        </w:r>
                      </w:p>
                    </w:tc>
                  </w:tr>
                </w:tbl>
                <w:p>
                  <w:pPr>
                    <w:pStyle w:val="BodyText"/>
                  </w:pPr>
                </w:p>
              </w:txbxContent>
            </v:textbox>
            <w10:wrap type="none"/>
          </v:shape>
        </w:pict>
      </w:r>
      <w:r>
        <w:rPr>
          <w:w w:val="115"/>
          <w:sz w:val="19"/>
        </w:rPr>
        <w:t>193</w:t>
      </w:r>
    </w:p>
    <w:p>
      <w:pPr>
        <w:spacing w:after="0" w:line="76" w:lineRule="exact"/>
        <w:jc w:val="left"/>
        <w:rPr>
          <w:sz w:val="19"/>
        </w:rPr>
        <w:sectPr>
          <w:type w:val="continuous"/>
          <w:pgSz w:w="7200" w:h="11340"/>
          <w:pgMar w:top="1100" w:bottom="0" w:left="620" w:right="520"/>
          <w:cols w:num="3" w:equalWidth="0">
            <w:col w:w="446" w:space="40"/>
            <w:col w:w="2311" w:space="2657"/>
            <w:col w:w="606"/>
          </w:cols>
        </w:sectPr>
      </w:pPr>
    </w:p>
    <w:p>
      <w:pPr>
        <w:spacing w:line="133" w:lineRule="exact" w:before="0"/>
        <w:ind w:left="356" w:right="0" w:firstLine="0"/>
        <w:jc w:val="left"/>
        <w:rPr>
          <w:b/>
          <w:sz w:val="13"/>
        </w:rPr>
      </w:pPr>
      <w:r>
        <w:rPr/>
        <w:pict>
          <v:line style="position:absolute;mso-position-horizontal-relative:page;mso-position-vertical-relative:paragraph;z-index:-703912" from="53.856861pt,5.589479pt" to="56.003981pt,5.589479pt" stroked="true" strokeweight=".715706pt" strokecolor="#000000">
            <w10:wrap type="none"/>
          </v:line>
        </w:pict>
      </w:r>
      <w:r>
        <w:rPr>
          <w:b/>
          <w:w w:val="85"/>
          <w:sz w:val="13"/>
        </w:rPr>
        <w:t>:z11z</w:t>
      </w:r>
    </w:p>
    <w:p>
      <w:pPr>
        <w:tabs>
          <w:tab w:pos="2799" w:val="right" w:leader="none"/>
        </w:tabs>
        <w:spacing w:before="38"/>
        <w:ind w:left="149" w:right="0" w:firstLine="0"/>
        <w:jc w:val="left"/>
        <w:rPr>
          <w:rFonts w:ascii="Courier New" w:hAnsi="Courier New"/>
          <w:sz w:val="22"/>
        </w:rPr>
      </w:pPr>
      <w:r>
        <w:rPr>
          <w:b/>
          <w:w w:val="115"/>
          <w:sz w:val="13"/>
        </w:rPr>
        <w:t>a.,¡z</w:t>
      </w:r>
      <w:r>
        <w:rPr>
          <w:rFonts w:ascii="Courier New" w:hAnsi="Courier New"/>
          <w:w w:val="115"/>
          <w:position w:val="2"/>
          <w:sz w:val="22"/>
        </w:rPr>
        <w:tab/>
      </w:r>
      <w:r>
        <w:rPr>
          <w:rFonts w:ascii="Courier New" w:hAnsi="Courier New"/>
          <w:spacing w:val="-27"/>
          <w:w w:val="115"/>
          <w:position w:val="2"/>
          <w:sz w:val="22"/>
        </w:rPr>
        <w:t>255</w:t>
      </w:r>
    </w:p>
    <w:p>
      <w:pPr>
        <w:tabs>
          <w:tab w:pos="2819" w:val="right" w:leader="none"/>
        </w:tabs>
        <w:spacing w:before="30"/>
        <w:ind w:left="152" w:right="0" w:firstLine="0"/>
        <w:jc w:val="left"/>
        <w:rPr>
          <w:rFonts w:ascii="Courier New" w:hAnsi="Courier New"/>
          <w:sz w:val="22"/>
        </w:rPr>
      </w:pPr>
      <w:r>
        <w:rPr>
          <w:b/>
          <w:i/>
          <w:position w:val="-5"/>
          <w:sz w:val="26"/>
        </w:rPr>
        <w:t>ª•l</w:t>
      </w:r>
      <w:r>
        <w:rPr>
          <w:b/>
          <w:i/>
          <w:spacing w:val="-44"/>
          <w:position w:val="-5"/>
          <w:sz w:val="26"/>
        </w:rPr>
        <w:t> </w:t>
      </w:r>
      <w:r>
        <w:rPr>
          <w:b/>
          <w:i/>
          <w:w w:val="95"/>
          <w:position w:val="-5"/>
          <w:sz w:val="26"/>
        </w:rPr>
        <w:t>z</w:t>
      </w:r>
      <w:r>
        <w:rPr>
          <w:rFonts w:ascii="Courier New" w:hAnsi="Courier New"/>
          <w:w w:val="95"/>
          <w:sz w:val="22"/>
        </w:rPr>
        <w:tab/>
      </w:r>
      <w:r>
        <w:rPr>
          <w:rFonts w:ascii="Courier New" w:hAnsi="Courier New"/>
          <w:spacing w:val="-27"/>
          <w:sz w:val="22"/>
        </w:rPr>
        <w:t>256</w:t>
      </w:r>
    </w:p>
    <w:p>
      <w:pPr>
        <w:spacing w:before="344"/>
        <w:ind w:left="349" w:right="0" w:firstLine="0"/>
        <w:jc w:val="left"/>
        <w:rPr>
          <w:sz w:val="14"/>
        </w:rPr>
      </w:pPr>
      <w:r>
        <w:rPr/>
        <w:pict>
          <v:shape style="position:absolute;margin-left:36.898109pt;margin-top:-.148697pt;width:137.35pt;height:125.55pt;mso-position-horizontal-relative:page;mso-position-vertical-relative:paragraph;z-index:32320"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42"/>
                    <w:gridCol w:w="1305"/>
                  </w:tblGrid>
                  <w:tr>
                    <w:trPr>
                      <w:trHeight w:val="252" w:hRule="exact"/>
                    </w:trPr>
                    <w:tc>
                      <w:tcPr>
                        <w:tcW w:w="1442" w:type="dxa"/>
                      </w:tcPr>
                      <w:p>
                        <w:pPr>
                          <w:pStyle w:val="TableParagraph"/>
                          <w:spacing w:line="84" w:lineRule="exact"/>
                          <w:ind w:left="142"/>
                          <w:rPr>
                            <w:rFonts w:ascii="Times New Roman"/>
                            <w:b/>
                            <w:sz w:val="11"/>
                          </w:rPr>
                        </w:pPr>
                        <w:r>
                          <w:rPr>
                            <w:rFonts w:ascii="Times New Roman"/>
                            <w:b/>
                            <w:sz w:val="11"/>
                          </w:rPr>
                          <w:t>(t11)</w:t>
                        </w:r>
                      </w:p>
                      <w:p>
                        <w:pPr>
                          <w:pStyle w:val="TableParagraph"/>
                          <w:spacing w:line="145" w:lineRule="exact"/>
                          <w:ind w:left="221"/>
                          <w:rPr>
                            <w:rFonts w:ascii="Times New Roman"/>
                            <w:b/>
                            <w:sz w:val="13"/>
                          </w:rPr>
                        </w:pPr>
                        <w:r>
                          <w:rPr>
                            <w:rFonts w:ascii="Times New Roman"/>
                            <w:b/>
                            <w:w w:val="80"/>
                            <w:sz w:val="13"/>
                          </w:rPr>
                          <w:t>f </w:t>
                        </w:r>
                        <w:r>
                          <w:rPr>
                            <w:rFonts w:ascii="Times New Roman"/>
                            <w:b/>
                            <w:sz w:val="13"/>
                          </w:rPr>
                          <w:t>z</w:t>
                        </w:r>
                      </w:p>
                    </w:tc>
                    <w:tc>
                      <w:tcPr>
                        <w:tcW w:w="1305" w:type="dxa"/>
                      </w:tcPr>
                      <w:p>
                        <w:pPr>
                          <w:pStyle w:val="TableParagraph"/>
                          <w:spacing w:line="228" w:lineRule="exact"/>
                          <w:ind w:right="68"/>
                          <w:jc w:val="right"/>
                          <w:rPr>
                            <w:sz w:val="22"/>
                          </w:rPr>
                        </w:pPr>
                        <w:r>
                          <w:rPr>
                            <w:w w:val="85"/>
                            <w:sz w:val="22"/>
                          </w:rPr>
                          <w:t>256</w:t>
                        </w:r>
                      </w:p>
                    </w:tc>
                  </w:tr>
                  <w:tr>
                    <w:trPr>
                      <w:trHeight w:val="271" w:hRule="exact"/>
                    </w:trPr>
                    <w:tc>
                      <w:tcPr>
                        <w:tcW w:w="1442" w:type="dxa"/>
                      </w:tcPr>
                      <w:p>
                        <w:pPr>
                          <w:pStyle w:val="TableParagraph"/>
                          <w:spacing w:line="213" w:lineRule="exact"/>
                          <w:ind w:left="38"/>
                          <w:rPr>
                            <w:rFonts w:ascii="Arial"/>
                            <w:sz w:val="31"/>
                          </w:rPr>
                        </w:pPr>
                        <w:r>
                          <w:rPr>
                            <w:rFonts w:ascii="Arial"/>
                            <w:w w:val="65"/>
                            <w:sz w:val="31"/>
                          </w:rPr>
                          <w:t>a!"') .</w:t>
                        </w:r>
                      </w:p>
                    </w:tc>
                    <w:tc>
                      <w:tcPr>
                        <w:tcW w:w="1305" w:type="dxa"/>
                      </w:tcPr>
                      <w:p>
                        <w:pPr>
                          <w:pStyle w:val="TableParagraph"/>
                          <w:spacing w:before="3"/>
                          <w:ind w:right="48"/>
                          <w:jc w:val="right"/>
                          <w:rPr>
                            <w:sz w:val="22"/>
                          </w:rPr>
                        </w:pPr>
                        <w:r>
                          <w:rPr>
                            <w:sz w:val="22"/>
                          </w:rPr>
                          <w:t>257</w:t>
                        </w:r>
                      </w:p>
                    </w:tc>
                  </w:tr>
                  <w:tr>
                    <w:trPr>
                      <w:trHeight w:val="278" w:hRule="exact"/>
                    </w:trPr>
                    <w:tc>
                      <w:tcPr>
                        <w:tcW w:w="1442" w:type="dxa"/>
                      </w:tcPr>
                      <w:p>
                        <w:pPr>
                          <w:pStyle w:val="TableParagraph"/>
                          <w:spacing w:line="266" w:lineRule="exact"/>
                          <w:ind w:left="38"/>
                          <w:rPr>
                            <w:rFonts w:ascii="Arial" w:hAnsi="Arial"/>
                            <w:sz w:val="25"/>
                          </w:rPr>
                        </w:pPr>
                        <w:r>
                          <w:rPr>
                            <w:rFonts w:ascii="Arial" w:hAnsi="Arial"/>
                            <w:w w:val="174"/>
                            <w:sz w:val="25"/>
                          </w:rPr>
                          <w:t>ª</w:t>
                        </w:r>
                        <w:r>
                          <w:rPr>
                            <w:rFonts w:ascii="Arial" w:hAnsi="Arial"/>
                            <w:spacing w:val="-10"/>
                            <w:sz w:val="25"/>
                          </w:rPr>
                          <w:t> </w:t>
                        </w:r>
                        <w:r>
                          <w:rPr>
                            <w:rFonts w:ascii="Arial" w:hAnsi="Arial"/>
                            <w:spacing w:val="-86"/>
                            <w:w w:val="220"/>
                            <w:sz w:val="25"/>
                          </w:rPr>
                          <w:t>!</w:t>
                        </w:r>
                        <w:r>
                          <w:rPr>
                            <w:rFonts w:ascii="Arial" w:hAnsi="Arial"/>
                            <w:w w:val="52"/>
                            <w:sz w:val="25"/>
                          </w:rPr>
                          <w:t>)</w:t>
                        </w:r>
                      </w:p>
                    </w:tc>
                    <w:tc>
                      <w:tcPr>
                        <w:tcW w:w="1305" w:type="dxa"/>
                      </w:tcPr>
                      <w:p>
                        <w:pPr>
                          <w:pStyle w:val="TableParagraph"/>
                          <w:spacing w:before="5"/>
                          <w:ind w:right="68"/>
                          <w:jc w:val="right"/>
                          <w:rPr>
                            <w:sz w:val="22"/>
                          </w:rPr>
                        </w:pPr>
                        <w:r>
                          <w:rPr>
                            <w:w w:val="90"/>
                            <w:sz w:val="22"/>
                          </w:rPr>
                          <w:t>261</w:t>
                        </w:r>
                      </w:p>
                    </w:tc>
                  </w:tr>
                  <w:tr>
                    <w:trPr>
                      <w:trHeight w:val="282" w:hRule="exact"/>
                    </w:trPr>
                    <w:tc>
                      <w:tcPr>
                        <w:tcW w:w="1442" w:type="dxa"/>
                      </w:tcPr>
                      <w:p>
                        <w:pPr>
                          <w:pStyle w:val="TableParagraph"/>
                          <w:spacing w:before="9"/>
                          <w:rPr>
                            <w:sz w:val="9"/>
                          </w:rPr>
                        </w:pPr>
                      </w:p>
                      <w:p>
                        <w:pPr>
                          <w:pStyle w:val="TableParagraph"/>
                          <w:ind w:left="35"/>
                          <w:rPr>
                            <w:rFonts w:ascii="Times New Roman"/>
                            <w:b/>
                            <w:sz w:val="13"/>
                          </w:rPr>
                        </w:pPr>
                        <w:r>
                          <w:rPr>
                            <w:rFonts w:ascii="Times New Roman"/>
                            <w:b/>
                            <w:w w:val="85"/>
                            <w:sz w:val="13"/>
                          </w:rPr>
                          <w:t>n0111 z</w:t>
                        </w:r>
                      </w:p>
                    </w:tc>
                    <w:tc>
                      <w:tcPr>
                        <w:tcW w:w="1305" w:type="dxa"/>
                      </w:tcPr>
                      <w:p>
                        <w:pPr>
                          <w:pStyle w:val="TableParagraph"/>
                          <w:spacing w:before="10"/>
                          <w:ind w:right="33"/>
                          <w:jc w:val="right"/>
                          <w:rPr>
                            <w:sz w:val="22"/>
                          </w:rPr>
                        </w:pPr>
                        <w:r>
                          <w:rPr>
                            <w:w w:val="105"/>
                            <w:sz w:val="22"/>
                          </w:rPr>
                          <w:t>259</w:t>
                        </w:r>
                      </w:p>
                    </w:tc>
                  </w:tr>
                  <w:tr>
                    <w:trPr>
                      <w:trHeight w:val="284" w:hRule="exact"/>
                    </w:trPr>
                    <w:tc>
                      <w:tcPr>
                        <w:tcW w:w="1442" w:type="dxa"/>
                      </w:tcPr>
                      <w:p>
                        <w:pPr>
                          <w:pStyle w:val="TableParagraph"/>
                          <w:spacing w:before="79"/>
                          <w:ind w:left="35"/>
                          <w:rPr>
                            <w:rFonts w:ascii="Arial" w:hAnsi="Arial"/>
                            <w:b/>
                            <w:i/>
                            <w:sz w:val="15"/>
                          </w:rPr>
                        </w:pPr>
                        <w:r>
                          <w:rPr>
                            <w:rFonts w:ascii="Arial" w:hAnsi="Arial"/>
                            <w:b/>
                            <w:i/>
                            <w:w w:val="75"/>
                            <w:sz w:val="15"/>
                          </w:rPr>
                          <w:t>n ¡O..,¡z</w:t>
                        </w:r>
                      </w:p>
                    </w:tc>
                    <w:tc>
                      <w:tcPr>
                        <w:tcW w:w="1305" w:type="dxa"/>
                      </w:tcPr>
                      <w:p>
                        <w:pPr>
                          <w:pStyle w:val="TableParagraph"/>
                          <w:spacing w:before="8"/>
                          <w:ind w:right="33"/>
                          <w:jc w:val="right"/>
                          <w:rPr>
                            <w:sz w:val="22"/>
                          </w:rPr>
                        </w:pPr>
                        <w:r>
                          <w:rPr>
                            <w:w w:val="105"/>
                            <w:sz w:val="22"/>
                          </w:rPr>
                          <w:t>259</w:t>
                        </w:r>
                      </w:p>
                    </w:tc>
                  </w:tr>
                  <w:tr>
                    <w:trPr>
                      <w:trHeight w:val="302" w:hRule="exact"/>
                    </w:trPr>
                    <w:tc>
                      <w:tcPr>
                        <w:tcW w:w="1442" w:type="dxa"/>
                      </w:tcPr>
                      <w:p>
                        <w:pPr>
                          <w:pStyle w:val="TableParagraph"/>
                          <w:spacing w:before="97"/>
                          <w:ind w:left="38"/>
                          <w:rPr>
                            <w:rFonts w:ascii="Times New Roman"/>
                            <w:sz w:val="14"/>
                          </w:rPr>
                        </w:pPr>
                        <w:r>
                          <w:rPr>
                            <w:rFonts w:ascii="Times New Roman"/>
                            <w:w w:val="105"/>
                            <w:sz w:val="14"/>
                          </w:rPr>
                          <w:t>OnJ!z</w:t>
                        </w:r>
                      </w:p>
                    </w:tc>
                    <w:tc>
                      <w:tcPr>
                        <w:tcW w:w="1305" w:type="dxa"/>
                      </w:tcPr>
                      <w:p>
                        <w:pPr>
                          <w:pStyle w:val="TableParagraph"/>
                          <w:spacing w:before="12"/>
                          <w:ind w:right="50"/>
                          <w:jc w:val="right"/>
                          <w:rPr>
                            <w:sz w:val="22"/>
                          </w:rPr>
                        </w:pPr>
                        <w:r>
                          <w:rPr>
                            <w:w w:val="90"/>
                            <w:sz w:val="22"/>
                          </w:rPr>
                          <w:t>258</w:t>
                        </w:r>
                      </w:p>
                    </w:tc>
                  </w:tr>
                  <w:tr>
                    <w:trPr>
                      <w:trHeight w:val="303" w:hRule="exact"/>
                    </w:trPr>
                    <w:tc>
                      <w:tcPr>
                        <w:tcW w:w="1442" w:type="dxa"/>
                      </w:tcPr>
                      <w:p>
                        <w:pPr>
                          <w:pStyle w:val="TableParagraph"/>
                          <w:spacing w:line="87" w:lineRule="exact"/>
                          <w:ind w:right="864"/>
                          <w:jc w:val="center"/>
                          <w:rPr>
                            <w:rFonts w:ascii="Arial" w:hAnsi="Arial"/>
                            <w:sz w:val="11"/>
                          </w:rPr>
                        </w:pPr>
                        <w:r>
                          <w:rPr>
                            <w:rFonts w:ascii="Arial" w:hAnsi="Arial"/>
                            <w:w w:val="205"/>
                            <w:sz w:val="11"/>
                          </w:rPr>
                          <w:t>(•)</w:t>
                        </w:r>
                      </w:p>
                      <w:p>
                        <w:pPr>
                          <w:pStyle w:val="TableParagraph"/>
                          <w:spacing w:line="195" w:lineRule="exact"/>
                          <w:ind w:right="1004"/>
                          <w:jc w:val="center"/>
                          <w:rPr>
                            <w:rFonts w:ascii="Times New Roman" w:hAnsi="Times New Roman"/>
                            <w:sz w:val="14"/>
                          </w:rPr>
                        </w:pPr>
                        <w:r>
                          <w:rPr>
                            <w:rFonts w:ascii="Arial" w:hAnsi="Arial"/>
                            <w:i/>
                            <w:w w:val="90"/>
                            <w:sz w:val="19"/>
                          </w:rPr>
                          <w:t>a,;¡ </w:t>
                        </w:r>
                        <w:r>
                          <w:rPr>
                            <w:rFonts w:ascii="Times New Roman" w:hAnsi="Times New Roman"/>
                            <w:w w:val="90"/>
                            <w:sz w:val="14"/>
                          </w:rPr>
                          <w:t>l z</w:t>
                        </w:r>
                      </w:p>
                    </w:tc>
                    <w:tc>
                      <w:tcPr>
                        <w:tcW w:w="1305" w:type="dxa"/>
                      </w:tcPr>
                      <w:p>
                        <w:pPr>
                          <w:pStyle w:val="TableParagraph"/>
                          <w:spacing w:before="26"/>
                          <w:ind w:right="34"/>
                          <w:jc w:val="right"/>
                          <w:rPr>
                            <w:sz w:val="22"/>
                          </w:rPr>
                        </w:pPr>
                        <w:r>
                          <w:rPr>
                            <w:w w:val="105"/>
                            <w:sz w:val="22"/>
                          </w:rPr>
                          <w:t>259</w:t>
                        </w:r>
                      </w:p>
                    </w:tc>
                  </w:tr>
                  <w:tr>
                    <w:trPr>
                      <w:trHeight w:val="277" w:hRule="exact"/>
                    </w:trPr>
                    <w:tc>
                      <w:tcPr>
                        <w:tcW w:w="1442" w:type="dxa"/>
                      </w:tcPr>
                      <w:p>
                        <w:pPr>
                          <w:pStyle w:val="TableParagraph"/>
                          <w:spacing w:before="101"/>
                          <w:ind w:left="38"/>
                          <w:rPr>
                            <w:rFonts w:ascii="Times New Roman"/>
                            <w:sz w:val="13"/>
                          </w:rPr>
                        </w:pPr>
                        <w:r>
                          <w:rPr>
                            <w:rFonts w:ascii="Times New Roman"/>
                            <w:sz w:val="13"/>
                          </w:rPr>
                          <w:t>011f z </w:t>
                        </w:r>
                        <w:r>
                          <w:rPr>
                            <w:rFonts w:ascii="Times New Roman"/>
                            <w:color w:val="282828"/>
                            <w:sz w:val="13"/>
                          </w:rPr>
                          <w:t>:</w:t>
                        </w:r>
                        <w:r>
                          <w:rPr>
                            <w:rFonts w:ascii="Times New Roman"/>
                            <w:sz w:val="13"/>
                          </w:rPr>
                          <w:t>n]</w:t>
                        </w:r>
                      </w:p>
                    </w:tc>
                    <w:tc>
                      <w:tcPr>
                        <w:tcW w:w="1305" w:type="dxa"/>
                      </w:tcPr>
                      <w:p>
                        <w:pPr>
                          <w:pStyle w:val="TableParagraph"/>
                          <w:spacing w:before="3"/>
                          <w:ind w:right="34"/>
                          <w:jc w:val="right"/>
                          <w:rPr>
                            <w:sz w:val="22"/>
                          </w:rPr>
                        </w:pPr>
                        <w:r>
                          <w:rPr>
                            <w:w w:val="105"/>
                            <w:sz w:val="22"/>
                          </w:rPr>
                          <w:t>259</w:t>
                        </w:r>
                      </w:p>
                    </w:tc>
                  </w:tr>
                  <w:tr>
                    <w:trPr>
                      <w:trHeight w:val="263" w:hRule="exact"/>
                    </w:trPr>
                    <w:tc>
                      <w:tcPr>
                        <w:tcW w:w="1442" w:type="dxa"/>
                      </w:tcPr>
                      <w:p>
                        <w:pPr>
                          <w:pStyle w:val="TableParagraph"/>
                          <w:spacing w:before="88"/>
                          <w:ind w:left="42"/>
                          <w:rPr>
                            <w:rFonts w:ascii="Times New Roman"/>
                            <w:sz w:val="14"/>
                          </w:rPr>
                        </w:pPr>
                        <w:r>
                          <w:rPr>
                            <w:rFonts w:ascii="Times New Roman"/>
                            <w:w w:val="95"/>
                            <w:sz w:val="14"/>
                          </w:rPr>
                          <w:t>O</w:t>
                        </w:r>
                        <w:r>
                          <w:rPr>
                            <w:rFonts w:ascii="Times New Roman"/>
                            <w:w w:val="95"/>
                            <w:sz w:val="14"/>
                            <w:u w:val="single"/>
                          </w:rPr>
                          <w:t>a,f </w:t>
                        </w:r>
                        <w:r>
                          <w:rPr>
                            <w:rFonts w:ascii="Times New Roman"/>
                            <w:w w:val="95"/>
                            <w:sz w:val="14"/>
                          </w:rPr>
                          <w:t>z:n]</w:t>
                        </w:r>
                      </w:p>
                    </w:tc>
                    <w:tc>
                      <w:tcPr>
                        <w:tcW w:w="1305" w:type="dxa"/>
                      </w:tcPr>
                      <w:p>
                        <w:pPr>
                          <w:pStyle w:val="TableParagraph"/>
                          <w:spacing w:before="7"/>
                          <w:ind w:right="37"/>
                          <w:jc w:val="right"/>
                          <w:rPr>
                            <w:sz w:val="22"/>
                          </w:rPr>
                        </w:pPr>
                        <w:r>
                          <w:rPr>
                            <w:w w:val="105"/>
                            <w:sz w:val="22"/>
                          </w:rPr>
                          <w:t>266</w:t>
                        </w:r>
                      </w:p>
                    </w:tc>
                  </w:tr>
                </w:tbl>
                <w:p>
                  <w:pPr>
                    <w:pStyle w:val="BodyText"/>
                  </w:pPr>
                </w:p>
              </w:txbxContent>
            </v:textbox>
            <w10:wrap type="none"/>
          </v:shape>
        </w:pict>
      </w:r>
      <w:r>
        <w:rPr>
          <w:w w:val="110"/>
          <w:sz w:val="14"/>
        </w:rPr>
        <w:t>lz</w:t>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spacing w:before="74"/>
        <w:ind w:left="274" w:right="0" w:firstLine="0"/>
        <w:jc w:val="left"/>
        <w:rPr>
          <w:b/>
          <w:sz w:val="11"/>
        </w:rPr>
      </w:pPr>
      <w:r>
        <w:rPr/>
        <w:pict>
          <v:shape style="position:absolute;margin-left:37.077042pt;margin-top:7.57341pt;width:137pt;height:41.95pt;mso-position-horizontal-relative:page;mso-position-vertical-relative:paragraph;z-index:32344"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40"/>
                    <w:gridCol w:w="1300"/>
                  </w:tblGrid>
                  <w:tr>
                    <w:trPr>
                      <w:trHeight w:val="254" w:hRule="exact"/>
                    </w:trPr>
                    <w:tc>
                      <w:tcPr>
                        <w:tcW w:w="1440" w:type="dxa"/>
                      </w:tcPr>
                      <w:p>
                        <w:pPr>
                          <w:pStyle w:val="TableParagraph"/>
                          <w:spacing w:before="67"/>
                          <w:ind w:left="38"/>
                          <w:rPr>
                            <w:rFonts w:ascii="Times New Roman"/>
                            <w:sz w:val="14"/>
                          </w:rPr>
                        </w:pPr>
                        <w:r>
                          <w:rPr>
                            <w:rFonts w:ascii="Times New Roman"/>
                            <w:sz w:val="14"/>
                          </w:rPr>
                          <w:t>Oz:"1111</w:t>
                        </w:r>
                      </w:p>
                    </w:tc>
                    <w:tc>
                      <w:tcPr>
                        <w:tcW w:w="1300" w:type="dxa"/>
                      </w:tcPr>
                      <w:p>
                        <w:pPr>
                          <w:pStyle w:val="TableParagraph"/>
                          <w:spacing w:line="228" w:lineRule="exact"/>
                          <w:ind w:right="33"/>
                          <w:jc w:val="right"/>
                          <w:rPr>
                            <w:sz w:val="22"/>
                          </w:rPr>
                        </w:pPr>
                        <w:r>
                          <w:rPr>
                            <w:w w:val="105"/>
                            <w:sz w:val="22"/>
                          </w:rPr>
                          <w:t>266</w:t>
                        </w:r>
                      </w:p>
                    </w:tc>
                  </w:tr>
                  <w:tr>
                    <w:trPr>
                      <w:trHeight w:val="279" w:hRule="exact"/>
                    </w:trPr>
                    <w:tc>
                      <w:tcPr>
                        <w:tcW w:w="1440" w:type="dxa"/>
                      </w:tcPr>
                      <w:p>
                        <w:pPr>
                          <w:pStyle w:val="TableParagraph"/>
                          <w:spacing w:before="98"/>
                          <w:ind w:left="35"/>
                          <w:rPr>
                            <w:rFonts w:ascii="Times New Roman"/>
                            <w:b/>
                            <w:sz w:val="13"/>
                          </w:rPr>
                        </w:pPr>
                        <w:r>
                          <w:rPr>
                            <w:rFonts w:ascii="Times New Roman"/>
                            <w:b/>
                            <w:sz w:val="13"/>
                          </w:rPr>
                          <w:t>a,1z11</w:t>
                        </w:r>
                      </w:p>
                    </w:tc>
                    <w:tc>
                      <w:tcPr>
                        <w:tcW w:w="1300" w:type="dxa"/>
                      </w:tcPr>
                      <w:p>
                        <w:pPr>
                          <w:pStyle w:val="TableParagraph"/>
                          <w:spacing w:before="8"/>
                          <w:ind w:right="52"/>
                          <w:jc w:val="right"/>
                          <w:rPr>
                            <w:sz w:val="22"/>
                          </w:rPr>
                        </w:pPr>
                        <w:r>
                          <w:rPr>
                            <w:w w:val="95"/>
                            <w:sz w:val="22"/>
                          </w:rPr>
                          <w:t>255</w:t>
                        </w:r>
                      </w:p>
                    </w:tc>
                  </w:tr>
                  <w:tr>
                    <w:trPr>
                      <w:trHeight w:val="304" w:hRule="exact"/>
                    </w:trPr>
                    <w:tc>
                      <w:tcPr>
                        <w:tcW w:w="1440" w:type="dxa"/>
                      </w:tcPr>
                      <w:p>
                        <w:pPr>
                          <w:pStyle w:val="TableParagraph"/>
                          <w:spacing w:before="21"/>
                          <w:ind w:left="35"/>
                          <w:rPr>
                            <w:rFonts w:ascii="Times New Roman"/>
                            <w:i/>
                            <w:sz w:val="21"/>
                          </w:rPr>
                        </w:pPr>
                        <w:r>
                          <w:rPr>
                            <w:rFonts w:ascii="Times New Roman"/>
                            <w:i/>
                            <w:w w:val="95"/>
                            <w:sz w:val="21"/>
                          </w:rPr>
                          <w:t>a,,iw</w:t>
                        </w:r>
                      </w:p>
                    </w:tc>
                    <w:tc>
                      <w:tcPr>
                        <w:tcW w:w="1300" w:type="dxa"/>
                      </w:tcPr>
                      <w:p>
                        <w:pPr>
                          <w:pStyle w:val="TableParagraph"/>
                          <w:spacing w:before="8"/>
                          <w:ind w:right="36"/>
                          <w:jc w:val="right"/>
                          <w:rPr>
                            <w:sz w:val="22"/>
                          </w:rPr>
                        </w:pPr>
                        <w:r>
                          <w:rPr>
                            <w:w w:val="105"/>
                            <w:sz w:val="22"/>
                          </w:rPr>
                          <w:t>265</w:t>
                        </w:r>
                      </w:p>
                    </w:tc>
                  </w:tr>
                </w:tbl>
                <w:p>
                  <w:pPr>
                    <w:pStyle w:val="BodyText"/>
                  </w:pPr>
                </w:p>
              </w:txbxContent>
            </v:textbox>
            <w10:wrap type="none"/>
          </v:shape>
        </w:pict>
      </w:r>
      <w:r>
        <w:rPr>
          <w:b/>
          <w:w w:val="140"/>
          <w:sz w:val="11"/>
        </w:rPr>
        <w:t>(4)</w:t>
      </w:r>
    </w:p>
    <w:p>
      <w:pPr>
        <w:pStyle w:val="BodyText"/>
        <w:rPr>
          <w:b/>
        </w:rPr>
      </w:pPr>
    </w:p>
    <w:p>
      <w:pPr>
        <w:pStyle w:val="BodyText"/>
        <w:rPr>
          <w:b/>
        </w:rPr>
      </w:pPr>
    </w:p>
    <w:p>
      <w:pPr>
        <w:pStyle w:val="BodyText"/>
        <w:spacing w:before="3"/>
        <w:rPr>
          <w:b/>
          <w:sz w:val="17"/>
        </w:rPr>
      </w:pPr>
    </w:p>
    <w:p>
      <w:pPr>
        <w:tabs>
          <w:tab w:pos="2493" w:val="left" w:leader="none"/>
          <w:tab w:pos="3273" w:val="left" w:leader="none"/>
          <w:tab w:pos="5906" w:val="right" w:leader="none"/>
        </w:tabs>
        <w:spacing w:before="78"/>
        <w:ind w:left="410" w:right="0" w:firstLine="0"/>
        <w:jc w:val="left"/>
        <w:rPr>
          <w:rFonts w:ascii="Courier New"/>
          <w:sz w:val="22"/>
        </w:rPr>
      </w:pPr>
      <w:r>
        <w:rPr/>
        <w:pict>
          <v:shape style="position:absolute;margin-left:203.439407pt;margin-top:2.509281pt;width:4.05pt;height:6pt;mso-position-horizontal-relative:page;mso-position-vertical-relative:paragraph;z-index:-703816" type="#_x0000_t202" filled="false" stroked="false">
            <v:textbox inset="0,0,0,0">
              <w:txbxContent>
                <w:p>
                  <w:pPr>
                    <w:spacing w:line="120" w:lineRule="exact" w:before="0"/>
                    <w:ind w:left="0" w:right="0" w:firstLine="0"/>
                    <w:jc w:val="left"/>
                    <w:rPr>
                      <w:sz w:val="12"/>
                    </w:rPr>
                  </w:pPr>
                  <w:r>
                    <w:rPr>
                      <w:w w:val="135"/>
                      <w:sz w:val="12"/>
                    </w:rPr>
                    <w:t>1</w:t>
                  </w:r>
                </w:p>
              </w:txbxContent>
            </v:textbox>
            <w10:wrap type="none"/>
          </v:shape>
        </w:pict>
      </w:r>
      <w:r>
        <w:rPr>
          <w:w w:val="42"/>
          <w:position w:val="-3"/>
          <w:sz w:val="14"/>
        </w:rPr>
        <w:t>l</w:t>
      </w:r>
      <w:r>
        <w:rPr>
          <w:spacing w:val="-13"/>
          <w:position w:val="-3"/>
          <w:sz w:val="14"/>
        </w:rPr>
        <w:t> </w:t>
      </w:r>
      <w:r>
        <w:rPr>
          <w:w w:val="104"/>
          <w:position w:val="-3"/>
          <w:sz w:val="14"/>
        </w:rPr>
        <w:t>z</w:t>
      </w:r>
      <w:r>
        <w:rPr>
          <w:position w:val="-3"/>
          <w:sz w:val="14"/>
        </w:rPr>
        <w:tab/>
      </w:r>
      <w:r>
        <w:rPr>
          <w:rFonts w:ascii="Courier New"/>
          <w:spacing w:val="-42"/>
          <w:w w:val="104"/>
          <w:sz w:val="22"/>
        </w:rPr>
        <w:t>2</w:t>
      </w:r>
      <w:r>
        <w:rPr>
          <w:rFonts w:ascii="Courier New"/>
          <w:w w:val="83"/>
          <w:sz w:val="22"/>
        </w:rPr>
        <w:t>56</w:t>
      </w:r>
      <w:r>
        <w:rPr>
          <w:rFonts w:ascii="Courier New"/>
          <w:sz w:val="22"/>
        </w:rPr>
        <w:tab/>
      </w:r>
      <w:r>
        <w:rPr>
          <w:rFonts w:ascii="Arial"/>
          <w:spacing w:val="-31"/>
          <w:w w:val="121"/>
          <w:sz w:val="20"/>
        </w:rPr>
        <w:t>P</w:t>
      </w:r>
      <w:r>
        <w:rPr>
          <w:rFonts w:ascii="Arial"/>
          <w:w w:val="179"/>
          <w:sz w:val="20"/>
        </w:rPr>
        <w:t>;</w:t>
      </w:r>
      <w:r>
        <w:rPr>
          <w:rFonts w:ascii="Arial"/>
          <w:spacing w:val="-42"/>
          <w:w w:val="179"/>
          <w:sz w:val="20"/>
        </w:rPr>
        <w:t>;</w:t>
      </w:r>
      <w:r>
        <w:rPr>
          <w:rFonts w:ascii="Arial"/>
          <w:color w:val="282828"/>
          <w:spacing w:val="-20"/>
          <w:w w:val="86"/>
          <w:sz w:val="20"/>
        </w:rPr>
        <w:t>:</w:t>
      </w:r>
      <w:r>
        <w:rPr>
          <w:rFonts w:ascii="Arial"/>
          <w:w w:val="100"/>
          <w:sz w:val="20"/>
        </w:rPr>
        <w:t>,;i</w:t>
      </w:r>
      <w:r>
        <w:rPr>
          <w:rFonts w:ascii="Courier New"/>
          <w:w w:val="99"/>
          <w:position w:val="4"/>
          <w:sz w:val="22"/>
        </w:rPr>
        <w:t> </w:t>
      </w:r>
      <w:r>
        <w:rPr>
          <w:rFonts w:ascii="Courier New"/>
          <w:position w:val="4"/>
          <w:sz w:val="22"/>
        </w:rPr>
        <w:tab/>
      </w:r>
      <w:r>
        <w:rPr>
          <w:rFonts w:ascii="Courier New"/>
          <w:spacing w:val="-37"/>
          <w:w w:val="100"/>
          <w:position w:val="4"/>
          <w:sz w:val="22"/>
        </w:rPr>
        <w:t>2</w:t>
      </w:r>
      <w:r>
        <w:rPr>
          <w:rFonts w:ascii="Courier New"/>
          <w:w w:val="84"/>
          <w:position w:val="4"/>
          <w:sz w:val="22"/>
        </w:rPr>
        <w:t>22</w:t>
      </w:r>
    </w:p>
    <w:p>
      <w:pPr>
        <w:spacing w:after="0"/>
        <w:jc w:val="left"/>
        <w:rPr>
          <w:rFonts w:ascii="Courier New"/>
          <w:sz w:val="22"/>
        </w:rPr>
        <w:sectPr>
          <w:type w:val="continuous"/>
          <w:pgSz w:w="7200" w:h="11340"/>
          <w:pgMar w:top="1100" w:bottom="0" w:left="620" w:right="520"/>
        </w:sectPr>
      </w:pPr>
    </w:p>
    <w:p>
      <w:pPr>
        <w:spacing w:before="83"/>
        <w:ind w:left="2112" w:right="-13" w:firstLine="0"/>
        <w:jc w:val="left"/>
        <w:rPr>
          <w:b/>
          <w:sz w:val="15"/>
        </w:rPr>
      </w:pPr>
      <w:r>
        <w:rPr>
          <w:b/>
          <w:sz w:val="15"/>
        </w:rPr>
        <w:t>INDEX   TO   NOTATION</w:t>
      </w:r>
    </w:p>
    <w:p>
      <w:pPr>
        <w:spacing w:before="56"/>
        <w:ind w:left="0" w:right="158" w:firstLine="0"/>
        <w:jc w:val="right"/>
        <w:rPr>
          <w:rFonts w:ascii="Arial"/>
          <w:sz w:val="19"/>
        </w:rPr>
      </w:pPr>
      <w:r>
        <w:rPr/>
        <w:br w:type="column"/>
      </w:r>
      <w:r>
        <w:rPr>
          <w:rFonts w:ascii="Arial"/>
          <w:w w:val="90"/>
          <w:sz w:val="19"/>
        </w:rPr>
        <w:t>383</w:t>
      </w:r>
    </w:p>
    <w:p>
      <w:pPr>
        <w:spacing w:after="0"/>
        <w:jc w:val="right"/>
        <w:rPr>
          <w:rFonts w:ascii="Arial"/>
          <w:sz w:val="19"/>
        </w:rPr>
        <w:sectPr>
          <w:pgSz w:w="7200" w:h="11340"/>
          <w:pgMar w:top="500" w:bottom="280" w:left="660" w:right="500"/>
          <w:cols w:num="2" w:equalWidth="0">
            <w:col w:w="3861" w:space="40"/>
            <w:col w:w="2139"/>
          </w:cols>
        </w:sectPr>
      </w:pPr>
    </w:p>
    <w:p>
      <w:pPr>
        <w:pStyle w:val="BodyText"/>
        <w:spacing w:before="11"/>
        <w:rPr>
          <w:rFonts w:ascii="Arial"/>
          <w:sz w:val="11"/>
        </w:rPr>
      </w:pPr>
    </w:p>
    <w:p>
      <w:pPr>
        <w:spacing w:after="0"/>
        <w:rPr>
          <w:rFonts w:ascii="Arial"/>
          <w:sz w:val="11"/>
        </w:rPr>
        <w:sectPr>
          <w:type w:val="continuous"/>
          <w:pgSz w:w="7200" w:h="11340"/>
          <w:pgMar w:top="1100" w:bottom="0" w:left="660" w:right="500"/>
        </w:sectPr>
      </w:pPr>
    </w:p>
    <w:p>
      <w:pPr>
        <w:spacing w:before="99"/>
        <w:ind w:left="114" w:right="0" w:firstLine="0"/>
        <w:jc w:val="left"/>
        <w:rPr>
          <w:sz w:val="22"/>
        </w:rPr>
      </w:pPr>
      <w:r>
        <w:rPr>
          <w:spacing w:val="-51"/>
          <w:w w:val="120"/>
          <w:sz w:val="22"/>
        </w:rPr>
        <w:t>P</w:t>
      </w:r>
      <w:r>
        <w:rPr>
          <w:spacing w:val="-133"/>
          <w:w w:val="250"/>
          <w:sz w:val="22"/>
        </w:rPr>
        <w:t>!</w:t>
      </w:r>
      <w:r>
        <w:rPr>
          <w:w w:val="373"/>
          <w:sz w:val="22"/>
        </w:rPr>
        <w:t>:</w:t>
      </w:r>
    </w:p>
    <w:p>
      <w:pPr>
        <w:spacing w:before="31"/>
        <w:ind w:left="110" w:right="0" w:firstLine="0"/>
        <w:jc w:val="left"/>
        <w:rPr>
          <w:i/>
          <w:sz w:val="22"/>
        </w:rPr>
      </w:pPr>
      <w:r>
        <w:rPr>
          <w:i/>
          <w:w w:val="70"/>
          <w:sz w:val="22"/>
        </w:rPr>
        <w:t>P!11z</w:t>
      </w:r>
    </w:p>
    <w:p>
      <w:pPr>
        <w:spacing w:line="292" w:lineRule="auto" w:before="19"/>
        <w:ind w:left="114" w:right="78" w:firstLine="0"/>
        <w:jc w:val="left"/>
        <w:rPr>
          <w:rFonts w:ascii="Arial" w:hAnsi="Arial"/>
          <w:b/>
          <w:sz w:val="16"/>
        </w:rPr>
      </w:pPr>
      <w:r>
        <w:rPr>
          <w:b/>
          <w:i/>
          <w:w w:val="90"/>
          <w:sz w:val="21"/>
        </w:rPr>
        <w:t>p </w:t>
      </w:r>
      <w:r>
        <w:rPr>
          <w:b/>
          <w:i/>
          <w:w w:val="85"/>
          <w:sz w:val="21"/>
        </w:rPr>
        <w:t>(a11í z ) </w:t>
      </w:r>
      <w:r>
        <w:rPr>
          <w:rFonts w:ascii="Arial" w:hAnsi="Arial"/>
          <w:b/>
          <w:i/>
          <w:w w:val="90"/>
          <w:sz w:val="20"/>
        </w:rPr>
        <w:t>P </w:t>
      </w:r>
      <w:r>
        <w:rPr>
          <w:rFonts w:ascii="Arial" w:hAnsi="Arial"/>
          <w:b/>
          <w:w w:val="85"/>
          <w:sz w:val="16"/>
        </w:rPr>
        <w:t>(Oi,z1z) </w:t>
      </w:r>
      <w:r>
        <w:rPr>
          <w:rFonts w:ascii="Arial" w:hAnsi="Arial"/>
          <w:b/>
          <w:i/>
          <w:w w:val="80"/>
          <w:sz w:val="20"/>
        </w:rPr>
        <w:t>P </w:t>
      </w:r>
      <w:r>
        <w:rPr>
          <w:rFonts w:ascii="Arial" w:hAnsi="Arial"/>
          <w:b/>
          <w:w w:val="80"/>
          <w:sz w:val="16"/>
        </w:rPr>
        <w:t>(Oi",""i¡z)</w:t>
      </w:r>
    </w:p>
    <w:p>
      <w:pPr>
        <w:spacing w:line="456" w:lineRule="auto" w:before="165"/>
        <w:ind w:left="117" w:right="0" w:hanging="4"/>
        <w:jc w:val="left"/>
        <w:rPr>
          <w:sz w:val="13"/>
        </w:rPr>
      </w:pPr>
      <w:r>
        <w:rPr/>
        <w:pict>
          <v:group style="position:absolute;margin-left:38.160pt;margin-top:35.738350pt;width:42.5pt;height:17.4pt;mso-position-horizontal-relative:page;mso-position-vertical-relative:paragraph;z-index:-703600" coordorigin="763,715" coordsize="850,348">
            <v:shape style="position:absolute;left:763;top:715;width:850;height:302" type="#_x0000_t75" stroked="false">
              <v:imagedata r:id="rId464" o:title=""/>
            </v:shape>
            <v:line style="position:absolute" from="936,1059" to="1588,1059" stroked="true" strokeweight=".36pt" strokecolor="#000000"/>
            <w10:wrap type="none"/>
          </v:group>
        </w:pict>
      </w:r>
      <w:r>
        <w:rPr>
          <w:w w:val="120"/>
          <w:sz w:val="13"/>
        </w:rPr>
        <w:t>Pz1zs···z,,. nPz1zs···zm</w:t>
      </w:r>
    </w:p>
    <w:p>
      <w:pPr>
        <w:pStyle w:val="BodyText"/>
        <w:rPr>
          <w:sz w:val="12"/>
        </w:rPr>
      </w:pPr>
    </w:p>
    <w:p>
      <w:pPr>
        <w:pStyle w:val="BodyText"/>
        <w:spacing w:before="3"/>
        <w:rPr>
          <w:sz w:val="16"/>
        </w:rPr>
      </w:pPr>
    </w:p>
    <w:p>
      <w:pPr>
        <w:spacing w:before="0"/>
        <w:ind w:left="121" w:right="0" w:firstLine="0"/>
        <w:jc w:val="left"/>
        <w:rPr>
          <w:sz w:val="13"/>
        </w:rPr>
      </w:pPr>
      <w:r>
        <w:rPr>
          <w:sz w:val="13"/>
        </w:rPr>
        <w:t>nPz1z2 • • •Zm</w:t>
      </w:r>
    </w:p>
    <w:p>
      <w:pPr>
        <w:spacing w:before="7"/>
        <w:ind w:left="0" w:right="55" w:firstLine="0"/>
        <w:jc w:val="right"/>
        <w:rPr>
          <w:sz w:val="12"/>
        </w:rPr>
      </w:pPr>
      <w:r>
        <w:rPr>
          <w:w w:val="120"/>
          <w:sz w:val="12"/>
        </w:rPr>
        <w:t>[r)</w:t>
      </w:r>
    </w:p>
    <w:p>
      <w:pPr>
        <w:spacing w:before="25"/>
        <w:ind w:left="121" w:right="0" w:firstLine="0"/>
        <w:jc w:val="left"/>
        <w:rPr>
          <w:sz w:val="13"/>
        </w:rPr>
      </w:pPr>
      <w:r>
        <w:rPr/>
        <w:pict>
          <v:line style="position:absolute;mso-position-horizontal-relative:page;mso-position-vertical-relative:paragraph;z-index:-703528" from="75.779999pt,7.76837pt" to="79.739999pt,7.76837pt" stroked="true" strokeweight=".9pt" strokecolor="#000000">
            <w10:wrap type="none"/>
          </v:line>
        </w:pict>
      </w:r>
      <w:r>
        <w:rPr>
          <w:w w:val="105"/>
          <w:sz w:val="13"/>
        </w:rPr>
        <w:t>nPz1z1•  </w:t>
      </w:r>
      <w:r>
        <w:rPr>
          <w:sz w:val="13"/>
        </w:rPr>
        <w:t>• </w:t>
      </w:r>
      <w:r>
        <w:rPr>
          <w:w w:val="105"/>
          <w:sz w:val="13"/>
        </w:rPr>
        <w:t>•z,,.</w:t>
      </w:r>
    </w:p>
    <w:p>
      <w:pPr>
        <w:spacing w:before="103"/>
        <w:ind w:left="117" w:right="-8" w:firstLine="0"/>
        <w:jc w:val="left"/>
        <w:rPr>
          <w:rFonts w:ascii="Courier New"/>
          <w:sz w:val="22"/>
        </w:rPr>
      </w:pPr>
      <w:r>
        <w:rPr/>
        <w:br w:type="column"/>
      </w:r>
      <w:r>
        <w:rPr>
          <w:rFonts w:ascii="Courier New"/>
          <w:spacing w:val="-24"/>
          <w:sz w:val="22"/>
        </w:rPr>
        <w:t>237</w:t>
      </w:r>
    </w:p>
    <w:p>
      <w:pPr>
        <w:spacing w:before="31"/>
        <w:ind w:left="117" w:right="-8" w:firstLine="0"/>
        <w:jc w:val="left"/>
        <w:rPr>
          <w:rFonts w:ascii="Courier New"/>
          <w:sz w:val="22"/>
        </w:rPr>
      </w:pPr>
      <w:r>
        <w:rPr>
          <w:rFonts w:ascii="Courier New"/>
          <w:spacing w:val="-24"/>
          <w:sz w:val="22"/>
        </w:rPr>
        <w:t>237</w:t>
      </w:r>
    </w:p>
    <w:p>
      <w:pPr>
        <w:spacing w:before="35"/>
        <w:ind w:left="114" w:right="-8" w:firstLine="0"/>
        <w:jc w:val="left"/>
        <w:rPr>
          <w:rFonts w:ascii="Courier New"/>
          <w:sz w:val="22"/>
        </w:rPr>
      </w:pPr>
      <w:r>
        <w:rPr>
          <w:rFonts w:ascii="Courier New"/>
          <w:spacing w:val="-12"/>
          <w:w w:val="95"/>
          <w:sz w:val="22"/>
        </w:rPr>
        <w:t>260</w:t>
      </w:r>
    </w:p>
    <w:p>
      <w:pPr>
        <w:spacing w:before="31"/>
        <w:ind w:left="110" w:right="-1" w:firstLine="0"/>
        <w:jc w:val="left"/>
        <w:rPr>
          <w:rFonts w:ascii="Courier New"/>
          <w:sz w:val="22"/>
        </w:rPr>
      </w:pPr>
      <w:r>
        <w:rPr>
          <w:rFonts w:ascii="Courier New"/>
          <w:spacing w:val="-13"/>
          <w:w w:val="95"/>
          <w:sz w:val="22"/>
        </w:rPr>
        <w:t>260</w:t>
      </w:r>
    </w:p>
    <w:p>
      <w:pPr>
        <w:spacing w:before="31"/>
        <w:ind w:left="114" w:right="-11" w:firstLine="0"/>
        <w:jc w:val="left"/>
        <w:rPr>
          <w:rFonts w:ascii="Courier New"/>
          <w:sz w:val="22"/>
        </w:rPr>
      </w:pPr>
      <w:r>
        <w:rPr>
          <w:rFonts w:ascii="Courier New"/>
          <w:spacing w:val="-11"/>
          <w:w w:val="95"/>
          <w:sz w:val="22"/>
        </w:rPr>
        <w:t>260</w:t>
      </w:r>
    </w:p>
    <w:p>
      <w:pPr>
        <w:spacing w:before="114"/>
        <w:ind w:left="132" w:right="-2" w:firstLine="0"/>
        <w:jc w:val="left"/>
        <w:rPr>
          <w:rFonts w:ascii="Courier New"/>
          <w:sz w:val="22"/>
        </w:rPr>
      </w:pPr>
      <w:r>
        <w:rPr>
          <w:rFonts w:ascii="Courier New"/>
          <w:spacing w:val="-20"/>
          <w:w w:val="95"/>
          <w:sz w:val="22"/>
        </w:rPr>
        <w:t>193</w:t>
      </w:r>
    </w:p>
    <w:p>
      <w:pPr>
        <w:spacing w:before="31"/>
        <w:ind w:left="132" w:right="-13" w:firstLine="0"/>
        <w:jc w:val="left"/>
        <w:rPr>
          <w:rFonts w:ascii="Courier New"/>
          <w:sz w:val="22"/>
        </w:rPr>
      </w:pPr>
      <w:r>
        <w:rPr>
          <w:rFonts w:ascii="Courier New"/>
          <w:spacing w:val="-23"/>
          <w:sz w:val="22"/>
        </w:rPr>
        <w:t>192</w:t>
      </w:r>
    </w:p>
    <w:p>
      <w:pPr>
        <w:spacing w:before="31"/>
        <w:ind w:left="117" w:right="-16" w:firstLine="0"/>
        <w:jc w:val="left"/>
        <w:rPr>
          <w:rFonts w:ascii="Courier New"/>
          <w:sz w:val="22"/>
        </w:rPr>
      </w:pPr>
      <w:r>
        <w:rPr>
          <w:rFonts w:ascii="Courier New"/>
          <w:spacing w:val="-17"/>
          <w:sz w:val="22"/>
        </w:rPr>
        <w:t>210</w:t>
      </w:r>
    </w:p>
    <w:p>
      <w:pPr>
        <w:spacing w:before="71"/>
        <w:ind w:left="117" w:right="-8" w:firstLine="0"/>
        <w:jc w:val="left"/>
        <w:rPr>
          <w:rFonts w:ascii="Courier New"/>
          <w:sz w:val="22"/>
        </w:rPr>
      </w:pPr>
      <w:r>
        <w:rPr>
          <w:rFonts w:ascii="Courier New"/>
          <w:spacing w:val="-16"/>
          <w:w w:val="95"/>
          <w:sz w:val="22"/>
        </w:rPr>
        <w:t>217</w:t>
      </w:r>
    </w:p>
    <w:p>
      <w:pPr>
        <w:spacing w:before="71"/>
        <w:ind w:left="117" w:right="-8" w:firstLine="0"/>
        <w:jc w:val="left"/>
        <w:rPr>
          <w:rFonts w:ascii="Courier New"/>
          <w:sz w:val="22"/>
        </w:rPr>
      </w:pPr>
      <w:r>
        <w:rPr>
          <w:rFonts w:ascii="Courier New"/>
          <w:spacing w:val="-16"/>
          <w:w w:val="95"/>
          <w:sz w:val="22"/>
        </w:rPr>
        <w:t>217</w:t>
      </w:r>
    </w:p>
    <w:p>
      <w:pPr>
        <w:spacing w:line="110" w:lineRule="exact" w:before="86"/>
        <w:ind w:left="78" w:right="20" w:firstLine="0"/>
        <w:jc w:val="center"/>
        <w:rPr>
          <w:rFonts w:ascii="Arial"/>
          <w:sz w:val="11"/>
        </w:rPr>
      </w:pPr>
      <w:r>
        <w:rPr/>
        <w:br w:type="column"/>
      </w:r>
      <w:r>
        <w:rPr>
          <w:rFonts w:ascii="Arial"/>
          <w:w w:val="110"/>
          <w:sz w:val="11"/>
        </w:rPr>
        <w:t>2</w:t>
      </w:r>
    </w:p>
    <w:p>
      <w:pPr>
        <w:spacing w:line="133" w:lineRule="exact" w:before="0"/>
        <w:ind w:left="1" w:right="39" w:firstLine="0"/>
        <w:jc w:val="center"/>
        <w:rPr>
          <w:i/>
          <w:sz w:val="13"/>
        </w:rPr>
      </w:pPr>
      <w:r>
        <w:rPr>
          <w:i/>
          <w:w w:val="110"/>
          <w:sz w:val="13"/>
        </w:rPr>
        <w:t>nqz;¡</w:t>
      </w:r>
    </w:p>
    <w:p>
      <w:pPr>
        <w:spacing w:line="91" w:lineRule="exact" w:before="47"/>
        <w:ind w:left="162" w:right="0" w:firstLine="0"/>
        <w:jc w:val="center"/>
        <w:rPr>
          <w:rFonts w:ascii="Arial"/>
          <w:b/>
          <w:sz w:val="10"/>
        </w:rPr>
      </w:pPr>
      <w:r>
        <w:rPr>
          <w:rFonts w:ascii="Arial"/>
          <w:b/>
          <w:w w:val="109"/>
          <w:sz w:val="10"/>
        </w:rPr>
        <w:t>2</w:t>
      </w:r>
    </w:p>
    <w:p>
      <w:pPr>
        <w:spacing w:line="160" w:lineRule="exact" w:before="0"/>
        <w:ind w:left="39" w:right="39" w:firstLine="0"/>
        <w:jc w:val="center"/>
        <w:rPr>
          <w:sz w:val="16"/>
        </w:rPr>
      </w:pPr>
      <w:r>
        <w:rPr>
          <w:w w:val="80"/>
          <w:sz w:val="16"/>
        </w:rPr>
        <w:t>111qzv</w:t>
      </w:r>
    </w:p>
    <w:p>
      <w:pPr>
        <w:spacing w:line="126" w:lineRule="exact" w:before="8"/>
        <w:ind w:left="52" w:right="0" w:firstLine="0"/>
        <w:jc w:val="center"/>
        <w:rPr>
          <w:sz w:val="12"/>
        </w:rPr>
      </w:pPr>
      <w:r>
        <w:rPr>
          <w:w w:val="156"/>
          <w:sz w:val="12"/>
        </w:rPr>
        <w:t>l</w:t>
      </w:r>
    </w:p>
    <w:p>
      <w:pPr>
        <w:spacing w:line="137" w:lineRule="exact" w:before="0"/>
        <w:ind w:left="113" w:right="0" w:firstLine="0"/>
        <w:jc w:val="left"/>
        <w:rPr>
          <w:i/>
          <w:sz w:val="13"/>
        </w:rPr>
      </w:pPr>
      <w:r>
        <w:rPr>
          <w:i/>
          <w:sz w:val="13"/>
        </w:rPr>
        <w:t>nqz11z</w:t>
      </w:r>
    </w:p>
    <w:p>
      <w:pPr>
        <w:spacing w:before="18"/>
        <w:ind w:left="138" w:right="0" w:firstLine="0"/>
        <w:jc w:val="center"/>
        <w:rPr>
          <w:sz w:val="12"/>
        </w:rPr>
      </w:pPr>
      <w:r>
        <w:rPr>
          <w:w w:val="135"/>
          <w:sz w:val="12"/>
        </w:rPr>
        <w:t>1</w:t>
      </w:r>
    </w:p>
    <w:p>
      <w:pPr>
        <w:spacing w:before="18"/>
        <w:ind w:left="113" w:right="0" w:firstLine="0"/>
        <w:jc w:val="center"/>
        <w:rPr>
          <w:i/>
          <w:sz w:val="13"/>
        </w:rPr>
      </w:pPr>
      <w:r>
        <w:rPr>
          <w:i/>
          <w:w w:val="210"/>
          <w:sz w:val="13"/>
        </w:rPr>
        <w:t>nq</w:t>
      </w:r>
      <w:r>
        <w:rPr>
          <w:i/>
          <w:spacing w:val="-51"/>
          <w:w w:val="210"/>
          <w:sz w:val="13"/>
        </w:rPr>
        <w:t> </w:t>
      </w:r>
      <w:r>
        <w:rPr>
          <w:i/>
          <w:w w:val="105"/>
          <w:sz w:val="13"/>
        </w:rPr>
        <w:t>:z .</w:t>
      </w:r>
    </w:p>
    <w:p>
      <w:pPr>
        <w:spacing w:before="42"/>
        <w:ind w:left="78" w:right="4" w:firstLine="0"/>
        <w:jc w:val="center"/>
        <w:rPr>
          <w:sz w:val="21"/>
        </w:rPr>
      </w:pPr>
      <w:r>
        <w:rPr>
          <w:w w:val="76"/>
          <w:sz w:val="21"/>
        </w:rPr>
        <w:t>n</w:t>
      </w:r>
      <w:r>
        <w:rPr>
          <w:spacing w:val="-76"/>
          <w:w w:val="76"/>
          <w:sz w:val="21"/>
        </w:rPr>
        <w:t>q</w:t>
      </w:r>
      <w:r>
        <w:rPr>
          <w:spacing w:val="-176"/>
          <w:w w:val="278"/>
          <w:sz w:val="21"/>
        </w:rPr>
        <w:t>!</w:t>
      </w:r>
      <w:r>
        <w:rPr>
          <w:w w:val="79"/>
          <w:sz w:val="21"/>
        </w:rPr>
        <w:t>:;z</w:t>
      </w:r>
    </w:p>
    <w:p>
      <w:pPr>
        <w:spacing w:before="15"/>
        <w:ind w:left="47" w:right="0" w:firstLine="0"/>
        <w:jc w:val="center"/>
        <w:rPr>
          <w:rFonts w:ascii="Arial"/>
          <w:b/>
          <w:sz w:val="12"/>
        </w:rPr>
      </w:pPr>
      <w:r>
        <w:rPr>
          <w:rFonts w:ascii="Arial"/>
          <w:b/>
          <w:w w:val="91"/>
          <w:sz w:val="12"/>
        </w:rPr>
        <w:t>2</w:t>
      </w:r>
    </w:p>
    <w:p>
      <w:pPr>
        <w:spacing w:before="3"/>
        <w:ind w:left="110" w:right="0" w:firstLine="0"/>
        <w:jc w:val="left"/>
        <w:rPr>
          <w:rFonts w:ascii="Arial"/>
          <w:b/>
          <w:i/>
          <w:sz w:val="10"/>
        </w:rPr>
      </w:pPr>
      <w:r>
        <w:rPr>
          <w:rFonts w:ascii="Arial"/>
          <w:b/>
          <w:i/>
          <w:w w:val="115"/>
          <w:sz w:val="10"/>
        </w:rPr>
        <w:t>flqZI/Z</w:t>
      </w:r>
    </w:p>
    <w:p>
      <w:pPr>
        <w:spacing w:before="77"/>
        <w:ind w:left="110" w:right="0" w:firstLine="0"/>
        <w:jc w:val="center"/>
        <w:rPr>
          <w:b/>
          <w:i/>
          <w:sz w:val="12"/>
        </w:rPr>
      </w:pPr>
      <w:r>
        <w:rPr/>
        <w:pict>
          <v:shape style="position:absolute;margin-left:203.039993pt;margin-top:2.172856pt;width:2.7pt;height:6pt;mso-position-horizontal-relative:page;mso-position-vertical-relative:paragraph;z-index:-703480" type="#_x0000_t202" filled="false" stroked="false">
            <v:textbox inset="0,0,0,0">
              <w:txbxContent>
                <w:p>
                  <w:pPr>
                    <w:spacing w:line="120" w:lineRule="exact" w:before="0"/>
                    <w:ind w:left="0" w:right="0" w:firstLine="0"/>
                    <w:jc w:val="left"/>
                    <w:rPr>
                      <w:b/>
                      <w:i/>
                      <w:sz w:val="12"/>
                    </w:rPr>
                  </w:pPr>
                  <w:r>
                    <w:rPr>
                      <w:b/>
                      <w:i/>
                      <w:w w:val="90"/>
                      <w:sz w:val="12"/>
                    </w:rPr>
                    <w:t>1</w:t>
                  </w:r>
                </w:p>
              </w:txbxContent>
            </v:textbox>
            <w10:wrap type="none"/>
          </v:shape>
        </w:pict>
      </w:r>
      <w:r>
        <w:rPr>
          <w:rFonts w:ascii="Arial"/>
          <w:b/>
          <w:i/>
          <w:w w:val="80"/>
          <w:sz w:val="19"/>
        </w:rPr>
        <w:t>11q</w:t>
      </w:r>
      <w:r>
        <w:rPr>
          <w:rFonts w:ascii="Arial"/>
          <w:b/>
          <w:i/>
          <w:spacing w:val="-23"/>
          <w:w w:val="80"/>
          <w:sz w:val="19"/>
        </w:rPr>
        <w:t> </w:t>
      </w:r>
      <w:r>
        <w:rPr>
          <w:b/>
          <w:i/>
          <w:w w:val="80"/>
          <w:sz w:val="12"/>
        </w:rPr>
        <w:t>?11z</w:t>
      </w:r>
    </w:p>
    <w:p>
      <w:pPr>
        <w:spacing w:line="125" w:lineRule="exact" w:before="18"/>
        <w:ind w:left="114" w:right="0" w:firstLine="0"/>
        <w:jc w:val="center"/>
        <w:rPr>
          <w:rFonts w:ascii="Arial"/>
          <w:b/>
          <w:sz w:val="11"/>
        </w:rPr>
      </w:pPr>
      <w:r>
        <w:rPr>
          <w:rFonts w:ascii="Arial"/>
          <w:b/>
          <w:w w:val="92"/>
          <w:sz w:val="11"/>
        </w:rPr>
        <w:t>2</w:t>
      </w:r>
    </w:p>
    <w:p>
      <w:pPr>
        <w:spacing w:line="160" w:lineRule="exact" w:before="0"/>
        <w:ind w:left="78" w:right="25" w:firstLine="0"/>
        <w:jc w:val="center"/>
        <w:rPr>
          <w:b/>
          <w:i/>
          <w:sz w:val="14"/>
        </w:rPr>
      </w:pPr>
      <w:r>
        <w:rPr>
          <w:b/>
          <w:i/>
          <w:w w:val="115"/>
          <w:sz w:val="14"/>
        </w:rPr>
        <w:t>nqiy:z</w:t>
      </w:r>
    </w:p>
    <w:p>
      <w:pPr>
        <w:spacing w:before="48"/>
        <w:ind w:left="55" w:right="0" w:firstLine="0"/>
        <w:jc w:val="center"/>
        <w:rPr>
          <w:rFonts w:ascii="Arial"/>
          <w:b/>
          <w:sz w:val="10"/>
        </w:rPr>
      </w:pPr>
      <w:r>
        <w:rPr>
          <w:rFonts w:ascii="Arial"/>
          <w:b/>
          <w:w w:val="111"/>
          <w:sz w:val="10"/>
        </w:rPr>
        <w:t>3</w:t>
      </w:r>
    </w:p>
    <w:p>
      <w:pPr>
        <w:spacing w:before="13"/>
        <w:ind w:left="35" w:right="39" w:firstLine="0"/>
        <w:jc w:val="center"/>
        <w:rPr>
          <w:rFonts w:ascii="Arial"/>
          <w:b/>
          <w:i/>
          <w:sz w:val="9"/>
        </w:rPr>
      </w:pPr>
      <w:r>
        <w:rPr>
          <w:rFonts w:ascii="Arial"/>
          <w:b/>
          <w:i/>
          <w:w w:val="115"/>
          <w:sz w:val="9"/>
        </w:rPr>
        <w:t>nqZ'I/Z</w:t>
      </w:r>
    </w:p>
    <w:p>
      <w:pPr>
        <w:spacing w:before="27"/>
        <w:ind w:left="236" w:right="0" w:firstLine="0"/>
        <w:jc w:val="center"/>
        <w:rPr>
          <w:sz w:val="12"/>
        </w:rPr>
      </w:pPr>
      <w:r>
        <w:rPr>
          <w:w w:val="94"/>
          <w:sz w:val="12"/>
        </w:rPr>
        <w:t>2</w:t>
      </w:r>
    </w:p>
    <w:p>
      <w:pPr>
        <w:spacing w:line="97" w:lineRule="exact" w:before="15"/>
        <w:ind w:left="61" w:right="39" w:firstLine="0"/>
        <w:jc w:val="center"/>
        <w:rPr>
          <w:rFonts w:ascii="Arial"/>
          <w:b/>
          <w:i/>
          <w:sz w:val="9"/>
        </w:rPr>
      </w:pPr>
      <w:r>
        <w:rPr>
          <w:rFonts w:ascii="Arial"/>
          <w:b/>
          <w:i/>
          <w:sz w:val="9"/>
        </w:rPr>
        <w:t>IJDqZJIZ</w:t>
      </w:r>
    </w:p>
    <w:p>
      <w:pPr>
        <w:spacing w:line="132" w:lineRule="exact" w:before="0"/>
        <w:ind w:left="117" w:right="0" w:firstLine="0"/>
        <w:jc w:val="center"/>
        <w:rPr>
          <w:sz w:val="12"/>
        </w:rPr>
      </w:pPr>
      <w:r>
        <w:rPr>
          <w:w w:val="147"/>
          <w:sz w:val="12"/>
        </w:rPr>
        <w:t>1</w:t>
      </w:r>
    </w:p>
    <w:p>
      <w:pPr>
        <w:spacing w:before="123"/>
        <w:ind w:left="113" w:right="0" w:firstLine="0"/>
        <w:jc w:val="left"/>
        <w:rPr>
          <w:rFonts w:ascii="Arial"/>
          <w:sz w:val="17"/>
        </w:rPr>
      </w:pPr>
      <w:r>
        <w:rPr/>
        <w:br w:type="column"/>
      </w:r>
      <w:r>
        <w:rPr>
          <w:rFonts w:ascii="Arial"/>
          <w:w w:val="105"/>
          <w:sz w:val="17"/>
        </w:rPr>
        <w:t>226</w:t>
      </w:r>
    </w:p>
    <w:p>
      <w:pPr>
        <w:spacing w:before="81"/>
        <w:ind w:left="117" w:right="0" w:firstLine="0"/>
        <w:jc w:val="left"/>
        <w:rPr>
          <w:rFonts w:ascii="Arial"/>
          <w:sz w:val="17"/>
        </w:rPr>
      </w:pPr>
      <w:r>
        <w:rPr>
          <w:rFonts w:ascii="Arial"/>
          <w:w w:val="105"/>
          <w:sz w:val="17"/>
        </w:rPr>
        <w:t>226</w:t>
      </w:r>
    </w:p>
    <w:p>
      <w:pPr>
        <w:spacing w:before="69"/>
        <w:ind w:left="113" w:right="0" w:firstLine="0"/>
        <w:jc w:val="left"/>
        <w:rPr>
          <w:rFonts w:ascii="Courier New"/>
          <w:sz w:val="22"/>
        </w:rPr>
      </w:pPr>
      <w:r>
        <w:rPr>
          <w:rFonts w:ascii="Courier New"/>
          <w:w w:val="105"/>
          <w:sz w:val="22"/>
        </w:rPr>
        <w:t>227</w:t>
      </w:r>
    </w:p>
    <w:p>
      <w:pPr>
        <w:spacing w:before="78"/>
        <w:ind w:left="113" w:right="0" w:firstLine="0"/>
        <w:jc w:val="left"/>
        <w:rPr>
          <w:rFonts w:ascii="Courier New"/>
          <w:sz w:val="22"/>
        </w:rPr>
      </w:pPr>
      <w:r>
        <w:rPr>
          <w:rFonts w:ascii="Courier New"/>
          <w:sz w:val="22"/>
        </w:rPr>
        <w:t>227</w:t>
      </w:r>
    </w:p>
    <w:p>
      <w:pPr>
        <w:spacing w:before="28"/>
        <w:ind w:left="113" w:right="0" w:firstLine="0"/>
        <w:jc w:val="left"/>
        <w:rPr>
          <w:rFonts w:ascii="Courier New"/>
          <w:sz w:val="22"/>
        </w:rPr>
      </w:pPr>
      <w:r>
        <w:rPr>
          <w:rFonts w:ascii="Courier New"/>
          <w:sz w:val="22"/>
        </w:rPr>
        <w:t>227</w:t>
      </w:r>
    </w:p>
    <w:p>
      <w:pPr>
        <w:spacing w:before="31"/>
        <w:ind w:left="110" w:right="0" w:firstLine="0"/>
        <w:jc w:val="left"/>
        <w:rPr>
          <w:rFonts w:ascii="Courier New"/>
          <w:sz w:val="22"/>
        </w:rPr>
      </w:pPr>
      <w:r>
        <w:rPr>
          <w:rFonts w:ascii="Courier New"/>
          <w:w w:val="105"/>
          <w:sz w:val="22"/>
        </w:rPr>
        <w:t>227</w:t>
      </w:r>
    </w:p>
    <w:p>
      <w:pPr>
        <w:spacing w:before="24"/>
        <w:ind w:left="117" w:right="0" w:firstLine="0"/>
        <w:jc w:val="left"/>
        <w:rPr>
          <w:rFonts w:ascii="Courier New"/>
          <w:sz w:val="22"/>
        </w:rPr>
      </w:pPr>
      <w:r>
        <w:rPr>
          <w:rFonts w:ascii="Courier New"/>
          <w:sz w:val="22"/>
        </w:rPr>
        <w:t>227</w:t>
      </w:r>
    </w:p>
    <w:p>
      <w:pPr>
        <w:spacing w:before="67"/>
        <w:ind w:left="117" w:right="0" w:firstLine="0"/>
        <w:jc w:val="left"/>
        <w:rPr>
          <w:rFonts w:ascii="Courier New"/>
          <w:sz w:val="22"/>
        </w:rPr>
      </w:pPr>
      <w:r>
        <w:rPr>
          <w:rFonts w:ascii="Courier New"/>
          <w:sz w:val="22"/>
        </w:rPr>
        <w:t>228</w:t>
      </w:r>
    </w:p>
    <w:p>
      <w:pPr>
        <w:spacing w:before="35"/>
        <w:ind w:left="117" w:right="0" w:firstLine="0"/>
        <w:jc w:val="left"/>
        <w:rPr>
          <w:rFonts w:ascii="Courier New"/>
          <w:sz w:val="22"/>
        </w:rPr>
      </w:pPr>
      <w:r>
        <w:rPr>
          <w:rFonts w:ascii="Courier New"/>
          <w:w w:val="105"/>
          <w:sz w:val="22"/>
        </w:rPr>
        <w:t>227</w:t>
      </w:r>
    </w:p>
    <w:p>
      <w:pPr>
        <w:spacing w:before="35"/>
        <w:ind w:left="117" w:right="0" w:firstLine="0"/>
        <w:jc w:val="left"/>
        <w:rPr>
          <w:rFonts w:ascii="Courier New"/>
          <w:sz w:val="22"/>
        </w:rPr>
      </w:pPr>
      <w:r>
        <w:rPr>
          <w:rFonts w:ascii="Courier New"/>
          <w:w w:val="105"/>
          <w:sz w:val="22"/>
        </w:rPr>
        <w:t>246</w:t>
      </w:r>
    </w:p>
    <w:p>
      <w:pPr>
        <w:spacing w:after="0"/>
        <w:jc w:val="left"/>
        <w:rPr>
          <w:rFonts w:ascii="Courier New"/>
          <w:sz w:val="22"/>
        </w:rPr>
        <w:sectPr>
          <w:type w:val="continuous"/>
          <w:pgSz w:w="7200" w:h="11340"/>
          <w:pgMar w:top="1100" w:bottom="0" w:left="660" w:right="500"/>
          <w:cols w:num="4" w:equalWidth="0">
            <w:col w:w="949" w:space="1394"/>
            <w:col w:w="467" w:space="310"/>
            <w:col w:w="574" w:space="1759"/>
            <w:col w:w="587"/>
          </w:cols>
        </w:sectPr>
      </w:pPr>
    </w:p>
    <w:p>
      <w:pPr>
        <w:pStyle w:val="BodyText"/>
        <w:spacing w:before="9" w:after="1"/>
        <w:rPr>
          <w:rFonts w:ascii="Courier New"/>
          <w:sz w:val="14"/>
        </w:rPr>
      </w:pPr>
    </w:p>
    <w:p>
      <w:pPr>
        <w:pStyle w:val="BodyText"/>
        <w:ind w:left="103"/>
        <w:rPr>
          <w:rFonts w:ascii="Courier New"/>
        </w:rPr>
      </w:pPr>
      <w:r>
        <w:rPr>
          <w:rFonts w:ascii="Courier New"/>
        </w:rPr>
        <w:drawing>
          <wp:inline distT="0" distB="0" distL="0" distR="0">
            <wp:extent cx="530351" cy="630936"/>
            <wp:effectExtent l="0" t="0" r="0" b="0"/>
            <wp:docPr id="897" name="image461.png" descr=""/>
            <wp:cNvGraphicFramePr>
              <a:graphicFrameLocks noChangeAspect="1"/>
            </wp:cNvGraphicFramePr>
            <a:graphic>
              <a:graphicData uri="http://schemas.openxmlformats.org/drawingml/2006/picture">
                <pic:pic>
                  <pic:nvPicPr>
                    <pic:cNvPr id="898" name="image461.png"/>
                    <pic:cNvPicPr/>
                  </pic:nvPicPr>
                  <pic:blipFill>
                    <a:blip r:embed="rId465" cstate="print"/>
                    <a:stretch>
                      <a:fillRect/>
                    </a:stretch>
                  </pic:blipFill>
                  <pic:spPr>
                    <a:xfrm>
                      <a:off x="0" y="0"/>
                      <a:ext cx="530351" cy="630936"/>
                    </a:xfrm>
                    <a:prstGeom prst="rect">
                      <a:avLst/>
                    </a:prstGeom>
                  </pic:spPr>
                </pic:pic>
              </a:graphicData>
            </a:graphic>
          </wp:inline>
        </w:drawing>
      </w:r>
      <w:r>
        <w:rPr>
          <w:rFonts w:ascii="Courier New"/>
        </w:rPr>
      </w:r>
    </w:p>
    <w:p>
      <w:pPr>
        <w:pStyle w:val="BodyText"/>
        <w:rPr>
          <w:rFonts w:ascii="Courier New"/>
          <w:sz w:val="9"/>
        </w:rPr>
      </w:pPr>
      <w:r>
        <w:rPr/>
        <w:pict>
          <v:line style="position:absolute;mso-position-horizontal-relative:page;mso-position-vertical-relative:paragraph;z-index:32440;mso-wrap-distance-left:0;mso-wrap-distance-right:0" from="48.959999pt,7.36pt" to="81.719999pt,7.36pt" stroked="true" strokeweight=".54pt" strokecolor="#000000">
            <w10:wrap type="topAndBottom"/>
          </v:line>
        </w:pict>
      </w:r>
    </w:p>
    <w:p>
      <w:pPr>
        <w:spacing w:before="0"/>
        <w:ind w:left="128" w:right="-16" w:firstLine="0"/>
        <w:jc w:val="left"/>
        <w:rPr>
          <w:rFonts w:ascii="Arial" w:hAnsi="Arial"/>
          <w:i/>
          <w:sz w:val="9"/>
        </w:rPr>
      </w:pPr>
      <w:r>
        <w:rPr>
          <w:w w:val="125"/>
          <w:sz w:val="13"/>
        </w:rPr>
        <w:t>n</w:t>
      </w:r>
      <w:r>
        <w:rPr>
          <w:w w:val="125"/>
          <w:sz w:val="13"/>
          <w:u w:val="thick"/>
        </w:rPr>
        <w:t>lq</w:t>
      </w:r>
      <w:r>
        <w:rPr>
          <w:w w:val="125"/>
          <w:sz w:val="13"/>
        </w:rPr>
        <w:t>ZJZt·. </w:t>
      </w:r>
      <w:r>
        <w:rPr>
          <w:rFonts w:ascii="Arial" w:hAnsi="Arial"/>
          <w:i/>
          <w:w w:val="125"/>
          <w:sz w:val="9"/>
        </w:rPr>
        <w:t>•Zm</w:t>
      </w:r>
    </w:p>
    <w:p>
      <w:pPr>
        <w:spacing w:line="95" w:lineRule="exact" w:before="18"/>
        <w:ind w:left="225" w:right="0" w:firstLine="0"/>
        <w:jc w:val="left"/>
        <w:rPr>
          <w:sz w:val="12"/>
        </w:rPr>
      </w:pPr>
      <w:r>
        <w:rPr>
          <w:w w:val="124"/>
          <w:sz w:val="12"/>
        </w:rPr>
        <w:t>1</w:t>
      </w:r>
    </w:p>
    <w:p>
      <w:pPr>
        <w:spacing w:line="176" w:lineRule="exact" w:before="0"/>
        <w:ind w:left="124" w:right="-16" w:firstLine="0"/>
        <w:jc w:val="left"/>
        <w:rPr>
          <w:rFonts w:ascii="Arial"/>
          <w:b/>
          <w:i/>
          <w:sz w:val="19"/>
        </w:rPr>
      </w:pPr>
      <w:r>
        <w:rPr>
          <w:rFonts w:ascii="Arial"/>
          <w:b/>
          <w:i/>
          <w:w w:val="70"/>
          <w:sz w:val="19"/>
        </w:rPr>
        <w:t>qZI/</w:t>
      </w:r>
    </w:p>
    <w:p>
      <w:pPr>
        <w:spacing w:line="133" w:lineRule="exact" w:before="9"/>
        <w:ind w:left="0" w:right="298" w:firstLine="0"/>
        <w:jc w:val="center"/>
        <w:rPr>
          <w:sz w:val="12"/>
        </w:rPr>
      </w:pPr>
      <w:r>
        <w:rPr>
          <w:w w:val="147"/>
          <w:sz w:val="12"/>
        </w:rPr>
        <w:t>1</w:t>
      </w:r>
    </w:p>
    <w:p>
      <w:pPr>
        <w:spacing w:line="121" w:lineRule="exact" w:before="0"/>
        <w:ind w:left="37" w:right="467" w:firstLine="0"/>
        <w:jc w:val="center"/>
        <w:rPr>
          <w:rFonts w:ascii="Arial"/>
          <w:b/>
          <w:i/>
          <w:sz w:val="11"/>
        </w:rPr>
      </w:pPr>
      <w:r>
        <w:rPr>
          <w:rFonts w:ascii="Arial"/>
          <w:b/>
          <w:i/>
          <w:sz w:val="11"/>
        </w:rPr>
        <w:t>nqz11</w:t>
      </w:r>
    </w:p>
    <w:p>
      <w:pPr>
        <w:spacing w:before="23"/>
        <w:ind w:left="0" w:right="255" w:firstLine="0"/>
        <w:jc w:val="center"/>
        <w:rPr>
          <w:sz w:val="12"/>
        </w:rPr>
      </w:pPr>
      <w:r>
        <w:rPr>
          <w:w w:val="135"/>
          <w:sz w:val="12"/>
        </w:rPr>
        <w:t>1</w:t>
      </w:r>
    </w:p>
    <w:p>
      <w:pPr>
        <w:spacing w:before="15"/>
        <w:ind w:left="54" w:right="467" w:firstLine="0"/>
        <w:jc w:val="center"/>
        <w:rPr>
          <w:rFonts w:ascii="Arial"/>
          <w:b/>
          <w:i/>
          <w:sz w:val="9"/>
        </w:rPr>
      </w:pPr>
      <w:r>
        <w:rPr>
          <w:rFonts w:ascii="Arial"/>
          <w:b/>
          <w:i/>
          <w:sz w:val="9"/>
        </w:rPr>
        <w:t>ot:,qZJI</w:t>
      </w:r>
    </w:p>
    <w:p>
      <w:pPr>
        <w:spacing w:line="118" w:lineRule="exact" w:before="23"/>
        <w:ind w:left="0" w:right="190" w:firstLine="0"/>
        <w:jc w:val="center"/>
        <w:rPr>
          <w:sz w:val="12"/>
        </w:rPr>
      </w:pPr>
      <w:r>
        <w:rPr>
          <w:w w:val="147"/>
          <w:sz w:val="12"/>
        </w:rPr>
        <w:t>1</w:t>
      </w:r>
    </w:p>
    <w:p>
      <w:pPr>
        <w:spacing w:line="152" w:lineRule="exact" w:before="0"/>
        <w:ind w:left="90" w:right="467" w:firstLine="0"/>
        <w:jc w:val="center"/>
        <w:rPr>
          <w:rFonts w:ascii="Arial"/>
          <w:i/>
          <w:sz w:val="15"/>
        </w:rPr>
      </w:pPr>
      <w:r>
        <w:rPr>
          <w:rFonts w:ascii="Arial"/>
          <w:i/>
          <w:w w:val="80"/>
          <w:sz w:val="15"/>
        </w:rPr>
        <w:t>nlq:i:11</w:t>
      </w:r>
    </w:p>
    <w:p>
      <w:pPr>
        <w:spacing w:before="93"/>
        <w:ind w:left="121" w:right="-11" w:firstLine="0"/>
        <w:jc w:val="left"/>
        <w:rPr>
          <w:rFonts w:ascii="Courier New"/>
          <w:sz w:val="22"/>
        </w:rPr>
      </w:pPr>
      <w:r>
        <w:rPr/>
        <w:br w:type="column"/>
      </w:r>
      <w:r>
        <w:rPr>
          <w:rFonts w:ascii="Courier New"/>
          <w:spacing w:val="-23"/>
          <w:w w:val="95"/>
          <w:sz w:val="22"/>
        </w:rPr>
        <w:t>193</w:t>
      </w:r>
    </w:p>
    <w:p>
      <w:pPr>
        <w:spacing w:before="30"/>
        <w:ind w:left="121" w:right="-11" w:firstLine="0"/>
        <w:jc w:val="left"/>
        <w:rPr>
          <w:sz w:val="19"/>
        </w:rPr>
      </w:pPr>
      <w:r>
        <w:rPr>
          <w:w w:val="105"/>
          <w:sz w:val="19"/>
        </w:rPr>
        <w:t>192</w:t>
      </w:r>
    </w:p>
    <w:p>
      <w:pPr>
        <w:spacing w:before="56"/>
        <w:ind w:left="117" w:right="-11" w:firstLine="0"/>
        <w:jc w:val="left"/>
        <w:rPr>
          <w:rFonts w:ascii="Courier New"/>
          <w:sz w:val="22"/>
        </w:rPr>
      </w:pPr>
      <w:r>
        <w:rPr>
          <w:rFonts w:ascii="Courier New"/>
          <w:spacing w:val="-23"/>
          <w:sz w:val="22"/>
        </w:rPr>
        <w:t>192</w:t>
      </w:r>
    </w:p>
    <w:p>
      <w:pPr>
        <w:spacing w:before="37"/>
        <w:ind w:left="103" w:right="-11" w:firstLine="0"/>
        <w:jc w:val="left"/>
        <w:rPr>
          <w:sz w:val="19"/>
        </w:rPr>
      </w:pPr>
      <w:r>
        <w:rPr>
          <w:w w:val="110"/>
          <w:sz w:val="19"/>
        </w:rPr>
        <w:t>211</w:t>
      </w:r>
    </w:p>
    <w:p>
      <w:pPr>
        <w:spacing w:before="62"/>
        <w:ind w:left="103" w:right="-11" w:firstLine="0"/>
        <w:jc w:val="left"/>
        <w:rPr>
          <w:sz w:val="19"/>
        </w:rPr>
      </w:pPr>
      <w:r>
        <w:rPr>
          <w:w w:val="105"/>
          <w:sz w:val="19"/>
        </w:rPr>
        <w:t>211</w:t>
      </w:r>
    </w:p>
    <w:p>
      <w:pPr>
        <w:spacing w:before="53"/>
        <w:ind w:left="103" w:right="-13" w:firstLine="0"/>
        <w:jc w:val="left"/>
        <w:rPr>
          <w:rFonts w:ascii="Courier New"/>
          <w:sz w:val="22"/>
        </w:rPr>
      </w:pPr>
      <w:r>
        <w:rPr>
          <w:rFonts w:ascii="Courier New"/>
          <w:spacing w:val="-24"/>
          <w:w w:val="105"/>
          <w:sz w:val="22"/>
        </w:rPr>
        <w:t>226</w:t>
      </w:r>
    </w:p>
    <w:p>
      <w:pPr>
        <w:spacing w:before="28"/>
        <w:ind w:left="106" w:right="-16" w:firstLine="0"/>
        <w:jc w:val="left"/>
        <w:rPr>
          <w:rFonts w:ascii="Courier New"/>
          <w:sz w:val="22"/>
        </w:rPr>
      </w:pPr>
      <w:r>
        <w:rPr>
          <w:rFonts w:ascii="Courier New"/>
          <w:spacing w:val="-24"/>
          <w:w w:val="105"/>
          <w:sz w:val="22"/>
        </w:rPr>
        <w:t>226</w:t>
      </w:r>
    </w:p>
    <w:p>
      <w:pPr>
        <w:spacing w:before="31"/>
        <w:ind w:left="106" w:right="-13" w:firstLine="0"/>
        <w:jc w:val="left"/>
        <w:rPr>
          <w:rFonts w:ascii="Courier New"/>
          <w:sz w:val="22"/>
        </w:rPr>
      </w:pPr>
      <w:r>
        <w:rPr>
          <w:rFonts w:ascii="Courier New"/>
          <w:spacing w:val="-25"/>
          <w:w w:val="105"/>
          <w:sz w:val="22"/>
        </w:rPr>
        <w:t>226</w:t>
      </w:r>
    </w:p>
    <w:p>
      <w:pPr>
        <w:spacing w:before="31"/>
        <w:ind w:left="106" w:right="-13" w:firstLine="0"/>
        <w:jc w:val="left"/>
        <w:rPr>
          <w:rFonts w:ascii="Courier New"/>
          <w:sz w:val="22"/>
        </w:rPr>
      </w:pPr>
      <w:r>
        <w:rPr>
          <w:rFonts w:ascii="Courier New"/>
          <w:spacing w:val="-25"/>
          <w:w w:val="105"/>
          <w:sz w:val="22"/>
        </w:rPr>
        <w:t>226</w:t>
      </w:r>
    </w:p>
    <w:p>
      <w:pPr>
        <w:spacing w:before="35"/>
        <w:ind w:left="65" w:right="71" w:firstLine="0"/>
        <w:jc w:val="center"/>
        <w:rPr>
          <w:rFonts w:ascii="Arial"/>
          <w:b/>
          <w:sz w:val="10"/>
        </w:rPr>
      </w:pPr>
      <w:r>
        <w:rPr/>
        <w:br w:type="column"/>
      </w:r>
      <w:r>
        <w:rPr>
          <w:rFonts w:ascii="Arial"/>
          <w:b/>
          <w:w w:val="110"/>
          <w:sz w:val="10"/>
        </w:rPr>
        <w:t>2</w:t>
      </w:r>
    </w:p>
    <w:p>
      <w:pPr>
        <w:spacing w:before="20"/>
        <w:ind w:left="12" w:right="193" w:firstLine="0"/>
        <w:jc w:val="center"/>
        <w:rPr>
          <w:rFonts w:ascii="Arial"/>
          <w:b/>
          <w:i/>
          <w:sz w:val="9"/>
        </w:rPr>
      </w:pPr>
      <w:r>
        <w:rPr>
          <w:rFonts w:ascii="Arial"/>
          <w:b/>
          <w:i/>
          <w:sz w:val="9"/>
        </w:rPr>
        <w:t>IJDqVIZI/Z</w:t>
      </w:r>
    </w:p>
    <w:p>
      <w:pPr>
        <w:spacing w:before="36"/>
        <w:ind w:left="20" w:right="0" w:firstLine="0"/>
        <w:jc w:val="center"/>
        <w:rPr>
          <w:rFonts w:ascii="Arial"/>
          <w:sz w:val="11"/>
        </w:rPr>
      </w:pPr>
      <w:r>
        <w:rPr>
          <w:rFonts w:ascii="Arial"/>
          <w:w w:val="100"/>
          <w:sz w:val="11"/>
        </w:rPr>
        <w:t>2</w:t>
      </w:r>
    </w:p>
    <w:p>
      <w:pPr>
        <w:spacing w:line="97" w:lineRule="exact" w:before="18"/>
        <w:ind w:left="29" w:right="193" w:firstLine="0"/>
        <w:jc w:val="center"/>
        <w:rPr>
          <w:rFonts w:ascii="Arial"/>
          <w:b/>
          <w:i/>
          <w:sz w:val="9"/>
        </w:rPr>
      </w:pPr>
      <w:r>
        <w:rPr>
          <w:rFonts w:ascii="Arial"/>
          <w:b/>
          <w:i/>
          <w:sz w:val="9"/>
        </w:rPr>
        <w:t>1JDq'IDZ1/Z</w:t>
      </w:r>
    </w:p>
    <w:p>
      <w:pPr>
        <w:spacing w:line="132" w:lineRule="exact" w:before="0"/>
        <w:ind w:left="0" w:right="173" w:firstLine="0"/>
        <w:jc w:val="center"/>
        <w:rPr>
          <w:sz w:val="12"/>
        </w:rPr>
      </w:pPr>
      <w:r>
        <w:rPr>
          <w:w w:val="135"/>
          <w:sz w:val="12"/>
        </w:rPr>
        <w:t>1</w:t>
      </w:r>
    </w:p>
    <w:p>
      <w:pPr>
        <w:spacing w:before="17"/>
        <w:ind w:left="147" w:right="0" w:firstLine="0"/>
        <w:jc w:val="center"/>
        <w:rPr>
          <w:b/>
          <w:sz w:val="12"/>
        </w:rPr>
      </w:pPr>
      <w:r>
        <w:rPr>
          <w:b/>
          <w:w w:val="97"/>
          <w:sz w:val="12"/>
        </w:rPr>
        <w:t>3</w:t>
      </w:r>
    </w:p>
    <w:p>
      <w:pPr>
        <w:spacing w:line="102" w:lineRule="exact" w:before="15"/>
        <w:ind w:left="23" w:right="193" w:firstLine="0"/>
        <w:jc w:val="center"/>
        <w:rPr>
          <w:rFonts w:ascii="Arial"/>
          <w:b/>
          <w:i/>
          <w:sz w:val="9"/>
        </w:rPr>
      </w:pPr>
      <w:r>
        <w:rPr>
          <w:rFonts w:ascii="Arial"/>
          <w:b/>
          <w:i/>
          <w:sz w:val="9"/>
        </w:rPr>
        <w:t>ot:,q'IIIZJIZ</w:t>
      </w:r>
    </w:p>
    <w:p>
      <w:pPr>
        <w:spacing w:line="125" w:lineRule="exact" w:before="0"/>
        <w:ind w:left="65" w:right="154" w:firstLine="0"/>
        <w:jc w:val="center"/>
        <w:rPr>
          <w:rFonts w:ascii="Arial"/>
          <w:b/>
          <w:sz w:val="11"/>
        </w:rPr>
      </w:pPr>
      <w:r>
        <w:rPr>
          <w:rFonts w:ascii="Arial"/>
          <w:b/>
          <w:w w:val="110"/>
          <w:sz w:val="11"/>
        </w:rPr>
        <w:t>1 2</w:t>
      </w:r>
    </w:p>
    <w:p>
      <w:pPr>
        <w:spacing w:line="135" w:lineRule="exact" w:before="23"/>
        <w:ind w:left="0" w:right="188" w:firstLine="0"/>
        <w:jc w:val="center"/>
        <w:rPr>
          <w:b/>
          <w:sz w:val="12"/>
        </w:rPr>
      </w:pPr>
      <w:r>
        <w:rPr>
          <w:b/>
          <w:w w:val="99"/>
          <w:sz w:val="12"/>
        </w:rPr>
        <w:t>1</w:t>
      </w:r>
    </w:p>
    <w:p>
      <w:pPr>
        <w:spacing w:line="123" w:lineRule="exact" w:before="0"/>
        <w:ind w:left="65" w:right="166" w:firstLine="0"/>
        <w:jc w:val="center"/>
        <w:rPr>
          <w:rFonts w:ascii="Arial"/>
          <w:b/>
          <w:i/>
          <w:sz w:val="11"/>
        </w:rPr>
      </w:pPr>
      <w:r>
        <w:rPr/>
        <w:drawing>
          <wp:anchor distT="0" distB="0" distL="0" distR="0" allowOverlap="1" layoutInCell="1" locked="0" behindDoc="0" simplePos="0" relativeHeight="32488">
            <wp:simplePos x="0" y="0"/>
            <wp:positionH relativeFrom="page">
              <wp:posOffset>2468879</wp:posOffset>
            </wp:positionH>
            <wp:positionV relativeFrom="paragraph">
              <wp:posOffset>179966</wp:posOffset>
            </wp:positionV>
            <wp:extent cx="475488" cy="155448"/>
            <wp:effectExtent l="0" t="0" r="0" b="0"/>
            <wp:wrapNone/>
            <wp:docPr id="899" name="image462.png" descr=""/>
            <wp:cNvGraphicFramePr>
              <a:graphicFrameLocks noChangeAspect="1"/>
            </wp:cNvGraphicFramePr>
            <a:graphic>
              <a:graphicData uri="http://schemas.openxmlformats.org/drawingml/2006/picture">
                <pic:pic>
                  <pic:nvPicPr>
                    <pic:cNvPr id="900" name="image462.png"/>
                    <pic:cNvPicPr/>
                  </pic:nvPicPr>
                  <pic:blipFill>
                    <a:blip r:embed="rId466" cstate="print"/>
                    <a:stretch>
                      <a:fillRect/>
                    </a:stretch>
                  </pic:blipFill>
                  <pic:spPr>
                    <a:xfrm>
                      <a:off x="0" y="0"/>
                      <a:ext cx="475488" cy="155448"/>
                    </a:xfrm>
                    <a:prstGeom prst="rect">
                      <a:avLst/>
                    </a:prstGeom>
                  </pic:spPr>
                </pic:pic>
              </a:graphicData>
            </a:graphic>
          </wp:anchor>
        </w:drawing>
      </w:r>
      <w:r>
        <w:rPr/>
        <w:pict>
          <v:line style="position:absolute;mso-position-horizontal-relative:page;mso-position-vertical-relative:paragraph;z-index:-703552" from="214.919998pt,5.350554pt" to="217.079998pt,5.350554pt" stroked="true" strokeweight=".72pt" strokecolor="#000000">
            <w10:wrap type="none"/>
          </v:line>
        </w:pict>
      </w:r>
      <w:r>
        <w:rPr>
          <w:rFonts w:ascii="Arial"/>
          <w:b/>
          <w:i/>
          <w:w w:val="95"/>
          <w:sz w:val="9"/>
        </w:rPr>
        <w:t>oDqVI </w:t>
      </w:r>
      <w:r>
        <w:rPr>
          <w:rFonts w:ascii="Arial"/>
          <w:b/>
          <w:i/>
          <w:w w:val="95"/>
          <w:sz w:val="11"/>
        </w:rPr>
        <w:t>:z11z</w:t>
      </w:r>
    </w:p>
    <w:p>
      <w:pPr>
        <w:spacing w:before="43"/>
        <w:ind w:left="103" w:right="0" w:firstLine="0"/>
        <w:jc w:val="left"/>
        <w:rPr>
          <w:rFonts w:ascii="Courier New"/>
          <w:sz w:val="22"/>
        </w:rPr>
      </w:pPr>
      <w:r>
        <w:rPr/>
        <w:br w:type="column"/>
      </w:r>
      <w:r>
        <w:rPr>
          <w:rFonts w:ascii="Courier New"/>
          <w:sz w:val="22"/>
        </w:rPr>
        <w:t>241</w:t>
      </w:r>
    </w:p>
    <w:p>
      <w:pPr>
        <w:spacing w:before="28"/>
        <w:ind w:left="106" w:right="0" w:firstLine="0"/>
        <w:jc w:val="left"/>
        <w:rPr>
          <w:rFonts w:ascii="Courier New"/>
          <w:sz w:val="22"/>
        </w:rPr>
      </w:pPr>
      <w:r>
        <w:rPr>
          <w:rFonts w:ascii="Courier New"/>
          <w:sz w:val="22"/>
        </w:rPr>
        <w:t>252</w:t>
      </w:r>
    </w:p>
    <w:p>
      <w:pPr>
        <w:spacing w:before="150"/>
        <w:ind w:left="110" w:right="0" w:firstLine="0"/>
        <w:jc w:val="left"/>
        <w:rPr>
          <w:rFonts w:ascii="Courier New"/>
          <w:sz w:val="22"/>
        </w:rPr>
      </w:pPr>
      <w:r>
        <w:rPr>
          <w:rFonts w:ascii="Courier New"/>
          <w:w w:val="110"/>
          <w:sz w:val="22"/>
        </w:rPr>
        <w:t>248</w:t>
      </w:r>
    </w:p>
    <w:p>
      <w:pPr>
        <w:spacing w:before="154"/>
        <w:ind w:left="113" w:right="0" w:firstLine="0"/>
        <w:jc w:val="left"/>
        <w:rPr>
          <w:rFonts w:ascii="Courier New"/>
          <w:sz w:val="22"/>
        </w:rPr>
      </w:pPr>
      <w:r>
        <w:rPr>
          <w:rFonts w:ascii="Courier New"/>
          <w:sz w:val="22"/>
        </w:rPr>
        <w:t>252</w:t>
      </w:r>
    </w:p>
    <w:p>
      <w:pPr>
        <w:spacing w:before="150"/>
        <w:ind w:left="106" w:right="0" w:firstLine="0"/>
        <w:jc w:val="left"/>
        <w:rPr>
          <w:rFonts w:ascii="Courier New"/>
          <w:sz w:val="22"/>
        </w:rPr>
      </w:pPr>
      <w:r>
        <w:rPr>
          <w:rFonts w:ascii="Courier New"/>
          <w:w w:val="110"/>
          <w:sz w:val="22"/>
        </w:rPr>
        <w:t>240</w:t>
      </w:r>
    </w:p>
    <w:p>
      <w:pPr>
        <w:spacing w:before="146"/>
        <w:ind w:left="103" w:right="0" w:firstLine="0"/>
        <w:jc w:val="left"/>
        <w:rPr>
          <w:rFonts w:ascii="Courier New"/>
          <w:sz w:val="22"/>
        </w:rPr>
      </w:pPr>
      <w:r>
        <w:rPr>
          <w:rFonts w:ascii="Courier New"/>
          <w:w w:val="105"/>
          <w:sz w:val="22"/>
        </w:rPr>
        <w:t>208</w:t>
      </w:r>
    </w:p>
    <w:p>
      <w:pPr>
        <w:spacing w:before="154"/>
        <w:ind w:left="110" w:right="0" w:firstLine="0"/>
        <w:jc w:val="left"/>
        <w:rPr>
          <w:rFonts w:ascii="Courier New"/>
          <w:sz w:val="22"/>
        </w:rPr>
      </w:pPr>
      <w:r>
        <w:rPr>
          <w:rFonts w:ascii="Courier New"/>
          <w:w w:val="105"/>
          <w:sz w:val="22"/>
        </w:rPr>
        <w:t>243</w:t>
      </w:r>
    </w:p>
    <w:p>
      <w:pPr>
        <w:spacing w:after="0"/>
        <w:jc w:val="left"/>
        <w:rPr>
          <w:rFonts w:ascii="Courier New"/>
          <w:sz w:val="22"/>
        </w:rPr>
        <w:sectPr>
          <w:type w:val="continuous"/>
          <w:pgSz w:w="7200" w:h="11340"/>
          <w:pgMar w:top="1100" w:bottom="0" w:left="660" w:right="500"/>
          <w:cols w:num="4" w:equalWidth="0">
            <w:col w:w="984" w:space="1366"/>
            <w:col w:w="454" w:space="320"/>
            <w:col w:w="852" w:space="1488"/>
            <w:col w:w="576"/>
          </w:cols>
        </w:sectPr>
      </w:pPr>
    </w:p>
    <w:p>
      <w:pPr>
        <w:spacing w:line="230" w:lineRule="auto" w:before="132"/>
        <w:ind w:left="2576" w:right="0" w:hanging="2250"/>
        <w:jc w:val="left"/>
        <w:rPr>
          <w:sz w:val="21"/>
        </w:rPr>
      </w:pPr>
      <w:r>
        <w:rPr>
          <w:rFonts w:ascii="Arial"/>
          <w:w w:val="110"/>
          <w:sz w:val="27"/>
        </w:rPr>
        <w:t>m.</w:t>
      </w:r>
      <w:r>
        <w:rPr>
          <w:w w:val="110"/>
          <w:sz w:val="21"/>
        </w:rPr>
        <w:t>Symbols introduced in Part </w:t>
      </w:r>
      <w:r>
        <w:rPr>
          <w:rFonts w:ascii="Arial"/>
          <w:w w:val="110"/>
          <w:sz w:val="27"/>
        </w:rPr>
        <w:t>m, </w:t>
      </w:r>
      <w:r>
        <w:rPr>
          <w:w w:val="110"/>
          <w:sz w:val="21"/>
        </w:rPr>
        <w:t>Multiple-Decrement Functions</w:t>
      </w:r>
    </w:p>
    <w:p>
      <w:pPr>
        <w:spacing w:after="0" w:line="230" w:lineRule="auto"/>
        <w:jc w:val="left"/>
        <w:rPr>
          <w:sz w:val="21"/>
        </w:rPr>
        <w:sectPr>
          <w:type w:val="continuous"/>
          <w:pgSz w:w="7200" w:h="11340"/>
          <w:pgMar w:top="1100" w:bottom="0" w:left="660" w:right="500"/>
        </w:sectPr>
      </w:pPr>
    </w:p>
    <w:p>
      <w:pPr>
        <w:spacing w:line="307" w:lineRule="exact" w:before="26"/>
        <w:ind w:left="128" w:right="-11" w:firstLine="0"/>
        <w:jc w:val="left"/>
        <w:rPr>
          <w:i/>
          <w:sz w:val="28"/>
        </w:rPr>
      </w:pPr>
      <w:r>
        <w:rPr>
          <w:i/>
          <w:w w:val="90"/>
          <w:sz w:val="28"/>
        </w:rPr>
        <w:t>A:'</w:t>
      </w:r>
    </w:p>
    <w:p>
      <w:pPr>
        <w:spacing w:line="283" w:lineRule="exact" w:before="0"/>
        <w:ind w:left="128" w:right="-11" w:firstLine="0"/>
        <w:jc w:val="left"/>
        <w:rPr>
          <w:rFonts w:ascii="Arial"/>
          <w:i/>
          <w:sz w:val="27"/>
        </w:rPr>
      </w:pPr>
      <w:r>
        <w:rPr>
          <w:rFonts w:ascii="Arial"/>
          <w:i/>
          <w:w w:val="85"/>
          <w:sz w:val="27"/>
        </w:rPr>
        <w:t>A!"'</w:t>
      </w:r>
    </w:p>
    <w:p>
      <w:pPr>
        <w:spacing w:line="216" w:lineRule="exact" w:before="0"/>
        <w:ind w:left="128" w:right="-11" w:firstLine="0"/>
        <w:jc w:val="left"/>
        <w:rPr>
          <w:rFonts w:ascii="Arial"/>
          <w:i/>
          <w:sz w:val="20"/>
        </w:rPr>
      </w:pPr>
      <w:r>
        <w:rPr>
          <w:rFonts w:ascii="Arial"/>
          <w:i/>
          <w:w w:val="90"/>
          <w:sz w:val="20"/>
        </w:rPr>
        <w:t>A;k&gt;</w:t>
      </w:r>
    </w:p>
    <w:p>
      <w:pPr>
        <w:spacing w:line="331" w:lineRule="exact" w:before="0"/>
        <w:ind w:left="132" w:right="-11" w:firstLine="0"/>
        <w:jc w:val="left"/>
        <w:rPr>
          <w:sz w:val="20"/>
        </w:rPr>
      </w:pPr>
      <w:r>
        <w:rPr>
          <w:i/>
          <w:w w:val="90"/>
          <w:position w:val="-9"/>
          <w:sz w:val="21"/>
        </w:rPr>
        <w:t>A</w:t>
      </w:r>
      <w:r>
        <w:rPr>
          <w:w w:val="90"/>
          <w:sz w:val="20"/>
        </w:rPr>
        <w:t>-c</w:t>
      </w:r>
      <w:r>
        <w:rPr>
          <w:i/>
          <w:w w:val="90"/>
          <w:position w:val="-9"/>
          <w:sz w:val="21"/>
        </w:rPr>
        <w:t>z</w:t>
      </w:r>
      <w:r>
        <w:rPr>
          <w:w w:val="90"/>
          <w:sz w:val="20"/>
        </w:rPr>
        <w:t>k&gt;</w:t>
      </w:r>
    </w:p>
    <w:p>
      <w:pPr>
        <w:spacing w:before="50"/>
        <w:ind w:left="164" w:right="-15" w:firstLine="0"/>
        <w:jc w:val="left"/>
        <w:rPr>
          <w:rFonts w:ascii="Arial"/>
          <w:i/>
          <w:sz w:val="19"/>
        </w:rPr>
      </w:pPr>
      <w:r>
        <w:rPr>
          <w:rFonts w:ascii="Arial"/>
          <w:i/>
          <w:sz w:val="19"/>
        </w:rPr>
        <w:t>(AS</w:t>
      </w:r>
      <w:r>
        <w:rPr>
          <w:rFonts w:ascii="Arial"/>
          <w:i/>
          <w:spacing w:val="-35"/>
          <w:sz w:val="19"/>
        </w:rPr>
        <w:t> </w:t>
      </w:r>
      <w:r>
        <w:rPr>
          <w:rFonts w:ascii="Arial"/>
          <w:i/>
          <w:sz w:val="19"/>
        </w:rPr>
        <w:t>)z</w:t>
      </w:r>
    </w:p>
    <w:p>
      <w:pPr>
        <w:pStyle w:val="BodyText"/>
        <w:spacing w:before="4"/>
        <w:rPr>
          <w:rFonts w:ascii="Arial"/>
          <w:i/>
          <w:sz w:val="18"/>
        </w:rPr>
      </w:pPr>
    </w:p>
    <w:p>
      <w:pPr>
        <w:spacing w:line="252" w:lineRule="auto" w:before="0"/>
        <w:ind w:left="132" w:right="279" w:firstLine="0"/>
        <w:jc w:val="left"/>
        <w:rPr>
          <w:b/>
          <w:sz w:val="12"/>
        </w:rPr>
      </w:pPr>
      <w:r>
        <w:rPr>
          <w:i/>
          <w:spacing w:val="-54"/>
          <w:w w:val="93"/>
          <w:position w:val="-10"/>
          <w:sz w:val="20"/>
        </w:rPr>
        <w:t>a</w:t>
      </w:r>
      <w:r>
        <w:rPr>
          <w:b/>
          <w:sz w:val="12"/>
        </w:rPr>
        <w:t>.</w:t>
      </w:r>
      <w:r>
        <w:rPr>
          <w:b/>
          <w:spacing w:val="-7"/>
          <w:sz w:val="12"/>
        </w:rPr>
        <w:t>.</w:t>
      </w:r>
      <w:r>
        <w:rPr>
          <w:i/>
          <w:spacing w:val="-69"/>
          <w:w w:val="92"/>
          <w:position w:val="-10"/>
          <w:sz w:val="20"/>
        </w:rPr>
        <w:t>z</w:t>
      </w:r>
      <w:r>
        <w:rPr>
          <w:b/>
          <w:w w:val="77"/>
          <w:sz w:val="12"/>
        </w:rPr>
        <w:t>caa </w:t>
      </w:r>
      <w:r>
        <w:rPr>
          <w:i/>
          <w:w w:val="93"/>
          <w:position w:val="-10"/>
          <w:sz w:val="20"/>
        </w:rPr>
        <w:t>a</w:t>
      </w:r>
      <w:r>
        <w:rPr>
          <w:i/>
          <w:spacing w:val="-65"/>
          <w:w w:val="92"/>
          <w:position w:val="-10"/>
          <w:sz w:val="20"/>
        </w:rPr>
        <w:t>z</w:t>
      </w:r>
      <w:r>
        <w:rPr>
          <w:b/>
          <w:w w:val="84"/>
          <w:sz w:val="12"/>
        </w:rPr>
        <w:t>cai</w:t>
      </w:r>
    </w:p>
    <w:p>
      <w:pPr>
        <w:spacing w:line="245" w:lineRule="exact" w:before="38"/>
        <w:ind w:left="135" w:right="-19" w:firstLine="0"/>
        <w:jc w:val="left"/>
        <w:rPr>
          <w:sz w:val="12"/>
        </w:rPr>
      </w:pPr>
      <w:r>
        <w:rPr>
          <w:i/>
          <w:w w:val="91"/>
          <w:position w:val="-10"/>
          <w:sz w:val="20"/>
        </w:rPr>
        <w:t>a</w:t>
      </w:r>
      <w:r>
        <w:rPr>
          <w:i/>
          <w:spacing w:val="-65"/>
          <w:w w:val="90"/>
          <w:position w:val="-10"/>
          <w:sz w:val="20"/>
        </w:rPr>
        <w:t>z</w:t>
      </w:r>
      <w:r>
        <w:rPr>
          <w:w w:val="148"/>
          <w:sz w:val="12"/>
        </w:rPr>
        <w:t>a</w:t>
      </w:r>
      <w:r>
        <w:rPr>
          <w:w w:val="148"/>
          <w:sz w:val="12"/>
        </w:rPr>
        <w:t>(</w:t>
      </w:r>
      <w:r>
        <w:rPr>
          <w:w w:val="148"/>
          <w:sz w:val="12"/>
        </w:rPr>
        <w:t>i</w:t>
      </w:r>
      <w:r>
        <w:rPr>
          <w:spacing w:val="-22"/>
          <w:w w:val="148"/>
          <w:sz w:val="12"/>
        </w:rPr>
        <w:t>:</w:t>
      </w:r>
      <w:r>
        <w:rPr>
          <w:w w:val="143"/>
          <w:sz w:val="12"/>
        </w:rPr>
        <w:t>n)</w:t>
      </w:r>
      <w:r>
        <w:rPr>
          <w:spacing w:val="-4"/>
          <w:sz w:val="12"/>
        </w:rPr>
        <w:t> </w:t>
      </w:r>
      <w:r>
        <w:rPr>
          <w:w w:val="108"/>
          <w:sz w:val="12"/>
        </w:rPr>
        <w:t>)</w:t>
      </w:r>
    </w:p>
    <w:p>
      <w:pPr>
        <w:spacing w:line="260" w:lineRule="exact" w:before="0"/>
        <w:ind w:left="132" w:right="-11" w:firstLine="0"/>
        <w:jc w:val="left"/>
        <w:rPr>
          <w:sz w:val="25"/>
        </w:rPr>
      </w:pPr>
      <w:r>
        <w:rPr>
          <w:spacing w:val="-4"/>
          <w:w w:val="93"/>
          <w:sz w:val="25"/>
        </w:rPr>
        <w:t>a</w:t>
      </w:r>
      <w:r>
        <w:rPr>
          <w:w w:val="233"/>
          <w:sz w:val="25"/>
        </w:rPr>
        <w:t>!</w:t>
      </w:r>
    </w:p>
    <w:p>
      <w:pPr>
        <w:spacing w:line="281" w:lineRule="exact" w:before="0"/>
        <w:ind w:left="135" w:right="-11" w:firstLine="0"/>
        <w:jc w:val="left"/>
        <w:rPr>
          <w:i/>
          <w:sz w:val="25"/>
        </w:rPr>
      </w:pPr>
      <w:r>
        <w:rPr>
          <w:i/>
          <w:w w:val="90"/>
          <w:sz w:val="25"/>
        </w:rPr>
        <w:t>a!</w:t>
      </w:r>
    </w:p>
    <w:p>
      <w:pPr>
        <w:spacing w:before="93"/>
        <w:ind w:left="128" w:right="-13" w:firstLine="0"/>
        <w:jc w:val="left"/>
        <w:rPr>
          <w:rFonts w:ascii="Courier New"/>
          <w:sz w:val="22"/>
        </w:rPr>
      </w:pPr>
      <w:r>
        <w:rPr/>
        <w:br w:type="column"/>
      </w:r>
      <w:r>
        <w:rPr>
          <w:rFonts w:ascii="Courier New"/>
          <w:spacing w:val="-27"/>
          <w:w w:val="105"/>
          <w:sz w:val="22"/>
        </w:rPr>
        <w:t>285</w:t>
      </w:r>
    </w:p>
    <w:p>
      <w:pPr>
        <w:spacing w:before="30"/>
        <w:ind w:left="131" w:right="-13" w:firstLine="0"/>
        <w:jc w:val="left"/>
        <w:rPr>
          <w:sz w:val="19"/>
        </w:rPr>
      </w:pPr>
      <w:r>
        <w:rPr>
          <w:w w:val="105"/>
          <w:sz w:val="19"/>
        </w:rPr>
        <w:t>307</w:t>
      </w:r>
    </w:p>
    <w:p>
      <w:pPr>
        <w:spacing w:before="49"/>
        <w:ind w:left="131" w:right="-13" w:firstLine="0"/>
        <w:jc w:val="left"/>
        <w:rPr>
          <w:rFonts w:ascii="Courier New"/>
          <w:sz w:val="22"/>
        </w:rPr>
      </w:pPr>
      <w:r>
        <w:rPr>
          <w:rFonts w:ascii="Courier New"/>
          <w:spacing w:val="-26"/>
          <w:sz w:val="22"/>
        </w:rPr>
        <w:t>285</w:t>
      </w:r>
    </w:p>
    <w:p>
      <w:pPr>
        <w:spacing w:before="28"/>
        <w:ind w:left="128" w:right="-13" w:firstLine="0"/>
        <w:jc w:val="left"/>
        <w:rPr>
          <w:rFonts w:ascii="Courier New"/>
          <w:sz w:val="22"/>
        </w:rPr>
      </w:pPr>
      <w:r>
        <w:rPr>
          <w:rFonts w:ascii="Courier New"/>
          <w:spacing w:val="-25"/>
          <w:sz w:val="22"/>
        </w:rPr>
        <w:t>285</w:t>
      </w:r>
    </w:p>
    <w:p>
      <w:pPr>
        <w:spacing w:before="48"/>
        <w:ind w:left="131" w:right="-13" w:firstLine="0"/>
        <w:jc w:val="left"/>
        <w:rPr>
          <w:rFonts w:ascii="Arial"/>
          <w:sz w:val="17"/>
        </w:rPr>
      </w:pPr>
      <w:r>
        <w:rPr>
          <w:rFonts w:ascii="Arial"/>
          <w:w w:val="110"/>
          <w:sz w:val="17"/>
        </w:rPr>
        <w:t>311</w:t>
      </w:r>
    </w:p>
    <w:p>
      <w:pPr>
        <w:pStyle w:val="BodyText"/>
        <w:spacing w:before="2"/>
        <w:rPr>
          <w:rFonts w:ascii="Arial"/>
          <w:sz w:val="22"/>
        </w:rPr>
      </w:pPr>
    </w:p>
    <w:p>
      <w:pPr>
        <w:spacing w:before="1"/>
        <w:ind w:left="131" w:right="-13" w:firstLine="0"/>
        <w:jc w:val="left"/>
        <w:rPr>
          <w:rFonts w:ascii="Arial"/>
          <w:sz w:val="18"/>
        </w:rPr>
      </w:pPr>
      <w:r>
        <w:rPr>
          <w:rFonts w:ascii="Arial"/>
          <w:w w:val="105"/>
          <w:sz w:val="18"/>
        </w:rPr>
        <w:t>301</w:t>
      </w:r>
    </w:p>
    <w:p>
      <w:pPr>
        <w:spacing w:before="52"/>
        <w:ind w:left="131" w:right="-13" w:firstLine="0"/>
        <w:jc w:val="left"/>
        <w:rPr>
          <w:rFonts w:ascii="Courier New"/>
          <w:sz w:val="22"/>
        </w:rPr>
      </w:pPr>
      <w:r>
        <w:rPr>
          <w:rFonts w:ascii="Courier New"/>
          <w:spacing w:val="-28"/>
          <w:w w:val="105"/>
          <w:sz w:val="22"/>
        </w:rPr>
        <w:t>296</w:t>
      </w:r>
    </w:p>
    <w:p>
      <w:pPr>
        <w:spacing w:before="80"/>
        <w:ind w:left="131" w:right="-9" w:firstLine="0"/>
        <w:jc w:val="left"/>
        <w:rPr>
          <w:sz w:val="19"/>
        </w:rPr>
      </w:pPr>
      <w:r>
        <w:rPr>
          <w:w w:val="115"/>
          <w:sz w:val="19"/>
        </w:rPr>
        <w:t>304</w:t>
      </w:r>
    </w:p>
    <w:p>
      <w:pPr>
        <w:spacing w:before="22"/>
        <w:ind w:left="135" w:right="-13" w:firstLine="0"/>
        <w:jc w:val="left"/>
        <w:rPr>
          <w:sz w:val="19"/>
        </w:rPr>
      </w:pPr>
      <w:r>
        <w:rPr>
          <w:w w:val="105"/>
          <w:sz w:val="19"/>
        </w:rPr>
        <w:t>305</w:t>
      </w:r>
    </w:p>
    <w:p>
      <w:pPr>
        <w:spacing w:before="62"/>
        <w:ind w:left="135" w:right="-13" w:firstLine="0"/>
        <w:jc w:val="left"/>
        <w:rPr>
          <w:sz w:val="19"/>
        </w:rPr>
      </w:pPr>
      <w:r>
        <w:rPr>
          <w:w w:val="105"/>
          <w:sz w:val="19"/>
        </w:rPr>
        <w:t>305</w:t>
      </w:r>
    </w:p>
    <w:p>
      <w:pPr>
        <w:spacing w:line="260" w:lineRule="exact" w:before="64"/>
        <w:ind w:left="128" w:right="-17" w:firstLine="0"/>
        <w:jc w:val="left"/>
        <w:rPr>
          <w:sz w:val="12"/>
        </w:rPr>
      </w:pPr>
      <w:r>
        <w:rPr/>
        <w:br w:type="column"/>
      </w:r>
      <w:r>
        <w:rPr>
          <w:i/>
          <w:spacing w:val="-49"/>
          <w:w w:val="87"/>
          <w:position w:val="-10"/>
          <w:sz w:val="21"/>
        </w:rPr>
        <w:t>a</w:t>
      </w:r>
      <w:r>
        <w:rPr>
          <w:w w:val="115"/>
          <w:sz w:val="12"/>
        </w:rPr>
        <w:t>.</w:t>
      </w:r>
      <w:r>
        <w:rPr>
          <w:spacing w:val="-21"/>
          <w:w w:val="115"/>
          <w:sz w:val="12"/>
        </w:rPr>
        <w:t>.</w:t>
      </w:r>
      <w:r>
        <w:rPr>
          <w:i/>
          <w:spacing w:val="-48"/>
          <w:w w:val="86"/>
          <w:position w:val="-10"/>
          <w:sz w:val="21"/>
        </w:rPr>
        <w:t>z</w:t>
      </w:r>
      <w:r>
        <w:rPr>
          <w:w w:val="158"/>
          <w:sz w:val="12"/>
        </w:rPr>
        <w:t>i</w:t>
      </w:r>
    </w:p>
    <w:p>
      <w:pPr>
        <w:spacing w:line="120" w:lineRule="exact" w:before="0"/>
        <w:ind w:left="168" w:right="-17" w:firstLine="0"/>
        <w:jc w:val="left"/>
        <w:rPr>
          <w:sz w:val="12"/>
        </w:rPr>
      </w:pPr>
      <w:r>
        <w:rPr>
          <w:w w:val="135"/>
          <w:sz w:val="12"/>
        </w:rPr>
        <w:t>_¡</w:t>
      </w:r>
    </w:p>
    <w:p>
      <w:pPr>
        <w:spacing w:line="174" w:lineRule="exact" w:before="0"/>
        <w:ind w:left="135" w:right="-17" w:firstLine="0"/>
        <w:jc w:val="left"/>
        <w:rPr>
          <w:sz w:val="16"/>
        </w:rPr>
      </w:pPr>
      <w:r>
        <w:rPr>
          <w:w w:val="120"/>
          <w:sz w:val="16"/>
        </w:rPr>
        <w:t>az+l</w:t>
      </w:r>
    </w:p>
    <w:p>
      <w:pPr>
        <w:pStyle w:val="ListParagraph"/>
        <w:numPr>
          <w:ilvl w:val="0"/>
          <w:numId w:val="163"/>
        </w:numPr>
        <w:tabs>
          <w:tab w:pos="302" w:val="left" w:leader="none"/>
        </w:tabs>
        <w:spacing w:line="108" w:lineRule="exact" w:before="15" w:after="0"/>
        <w:ind w:left="301" w:right="0" w:hanging="130"/>
        <w:jc w:val="left"/>
        <w:rPr>
          <w:sz w:val="12"/>
        </w:rPr>
      </w:pPr>
      <w:r>
        <w:rPr>
          <w:i/>
          <w:w w:val="160"/>
          <w:sz w:val="12"/>
        </w:rPr>
        <w:t>i</w:t>
      </w:r>
      <w:r>
        <w:rPr>
          <w:sz w:val="12"/>
        </w:rPr>
      </w:r>
    </w:p>
    <w:p>
      <w:pPr>
        <w:spacing w:line="154" w:lineRule="exact" w:before="0"/>
        <w:ind w:left="135" w:right="-17" w:firstLine="0"/>
        <w:jc w:val="left"/>
        <w:rPr>
          <w:sz w:val="16"/>
        </w:rPr>
      </w:pPr>
      <w:r>
        <w:rPr>
          <w:sz w:val="16"/>
        </w:rPr>
        <w:t>alz+H +m/12</w:t>
      </w:r>
    </w:p>
    <w:p>
      <w:pPr>
        <w:pStyle w:val="ListParagraph"/>
        <w:numPr>
          <w:ilvl w:val="0"/>
          <w:numId w:val="163"/>
        </w:numPr>
        <w:tabs>
          <w:tab w:pos="302" w:val="left" w:leader="none"/>
        </w:tabs>
        <w:spacing w:line="118" w:lineRule="exact" w:before="17" w:after="0"/>
        <w:ind w:left="301" w:right="0" w:hanging="133"/>
        <w:jc w:val="left"/>
        <w:rPr>
          <w:sz w:val="13"/>
        </w:rPr>
      </w:pPr>
      <w:r>
        <w:rPr>
          <w:i/>
          <w:w w:val="135"/>
          <w:sz w:val="13"/>
        </w:rPr>
        <w:t>i</w:t>
      </w:r>
      <w:r>
        <w:rPr>
          <w:sz w:val="13"/>
        </w:rPr>
      </w:r>
    </w:p>
    <w:p>
      <w:pPr>
        <w:spacing w:line="128" w:lineRule="exact" w:before="0"/>
        <w:ind w:left="132" w:right="-17" w:firstLine="0"/>
        <w:jc w:val="left"/>
        <w:rPr>
          <w:sz w:val="15"/>
        </w:rPr>
      </w:pPr>
      <w:r>
        <w:rPr>
          <w:spacing w:val="-1"/>
          <w:w w:val="110"/>
          <w:sz w:val="15"/>
        </w:rPr>
        <w:t>alz+!l</w:t>
      </w:r>
      <w:r>
        <w:rPr>
          <w:spacing w:val="-24"/>
          <w:w w:val="110"/>
          <w:sz w:val="15"/>
        </w:rPr>
        <w:t> </w:t>
      </w:r>
      <w:r>
        <w:rPr>
          <w:w w:val="110"/>
          <w:sz w:val="15"/>
        </w:rPr>
        <w:t>+m/12:nl</w:t>
      </w:r>
    </w:p>
    <w:p>
      <w:pPr>
        <w:spacing w:line="125" w:lineRule="exact" w:before="0"/>
        <w:ind w:left="481" w:right="-17" w:firstLine="0"/>
        <w:jc w:val="left"/>
        <w:rPr>
          <w:sz w:val="12"/>
        </w:rPr>
      </w:pPr>
      <w:r>
        <w:rPr>
          <w:w w:val="135"/>
          <w:sz w:val="12"/>
        </w:rPr>
        <w:t>_¡</w:t>
      </w:r>
    </w:p>
    <w:p>
      <w:pPr>
        <w:spacing w:before="7"/>
        <w:ind w:left="128" w:right="-17" w:firstLine="0"/>
        <w:jc w:val="left"/>
        <w:rPr>
          <w:sz w:val="13"/>
        </w:rPr>
      </w:pPr>
      <w:r>
        <w:rPr>
          <w:w w:val="115"/>
          <w:sz w:val="13"/>
        </w:rPr>
        <w:t>ffl/12la (z+IJ</w:t>
      </w:r>
    </w:p>
    <w:p>
      <w:pPr>
        <w:spacing w:line="120" w:lineRule="exact" w:before="11"/>
        <w:ind w:left="502" w:right="-17" w:firstLine="0"/>
        <w:jc w:val="left"/>
        <w:rPr>
          <w:sz w:val="11"/>
        </w:rPr>
      </w:pPr>
      <w:r>
        <w:rPr>
          <w:i/>
          <w:w w:val="130"/>
          <w:sz w:val="12"/>
        </w:rPr>
        <w:t>..i </w:t>
      </w:r>
      <w:r>
        <w:rPr>
          <w:w w:val="130"/>
          <w:sz w:val="11"/>
        </w:rPr>
        <w:t>(12)</w:t>
      </w:r>
    </w:p>
    <w:p>
      <w:pPr>
        <w:spacing w:line="154" w:lineRule="exact" w:before="0"/>
        <w:ind w:left="139" w:right="-17" w:firstLine="0"/>
        <w:jc w:val="left"/>
        <w:rPr>
          <w:sz w:val="15"/>
        </w:rPr>
      </w:pPr>
      <w:r>
        <w:rPr>
          <w:sz w:val="15"/>
        </w:rPr>
        <w:t>m/121a1z+tl</w:t>
      </w:r>
    </w:p>
    <w:p>
      <w:pPr>
        <w:spacing w:before="42"/>
        <w:ind w:left="132" w:right="-17" w:firstLine="0"/>
        <w:jc w:val="left"/>
        <w:rPr>
          <w:rFonts w:ascii="Arial"/>
          <w:sz w:val="22"/>
        </w:rPr>
      </w:pPr>
      <w:r>
        <w:rPr>
          <w:rFonts w:ascii="Arial"/>
          <w:spacing w:val="-91"/>
          <w:w w:val="89"/>
          <w:sz w:val="22"/>
        </w:rPr>
        <w:t>a</w:t>
      </w:r>
      <w:r>
        <w:rPr>
          <w:rFonts w:ascii="Arial"/>
          <w:spacing w:val="-239"/>
          <w:w w:val="275"/>
          <w:sz w:val="22"/>
        </w:rPr>
        <w:t>:</w:t>
      </w:r>
      <w:r>
        <w:rPr>
          <w:w w:val="67"/>
          <w:position w:val="-10"/>
          <w:sz w:val="21"/>
        </w:rPr>
        <w:t>,</w:t>
      </w:r>
      <w:r>
        <w:rPr>
          <w:spacing w:val="1"/>
          <w:w w:val="67"/>
          <w:position w:val="-10"/>
          <w:sz w:val="21"/>
        </w:rPr>
        <w:t>.</w:t>
      </w:r>
      <w:r>
        <w:rPr>
          <w:rFonts w:ascii="Arial"/>
          <w:spacing w:val="-13"/>
          <w:w w:val="87"/>
          <w:sz w:val="22"/>
        </w:rPr>
        <w:t>+</w:t>
      </w:r>
      <w:r>
        <w:rPr>
          <w:rFonts w:ascii="Arial"/>
          <w:w w:val="78"/>
          <w:sz w:val="22"/>
        </w:rPr>
        <w:t>1</w:t>
      </w:r>
    </w:p>
    <w:p>
      <w:pPr>
        <w:spacing w:line="181" w:lineRule="exact" w:before="51"/>
        <w:ind w:left="128" w:right="-17" w:firstLine="0"/>
        <w:jc w:val="left"/>
        <w:rPr>
          <w:rFonts w:ascii="Arial" w:hAnsi="Arial"/>
          <w:sz w:val="16"/>
        </w:rPr>
      </w:pPr>
      <w:r>
        <w:rPr/>
        <w:pict>
          <v:line style="position:absolute;mso-position-horizontal-relative:page;mso-position-vertical-relative:paragraph;z-index:-703504" from="209.160004pt,10.413906pt" to="210.960004pt,10.413906pt" stroked="true" strokeweight=".72pt" strokecolor="#000000">
            <w10:wrap type="none"/>
          </v:line>
        </w:pict>
      </w:r>
      <w:r>
        <w:rPr>
          <w:rFonts w:ascii="Arial" w:hAnsi="Arial"/>
          <w:sz w:val="16"/>
        </w:rPr>
        <w:t>ás+t:61</w:t>
      </w:r>
    </w:p>
    <w:p>
      <w:pPr>
        <w:spacing w:line="250" w:lineRule="exact" w:before="0"/>
        <w:ind w:left="132" w:right="-17" w:firstLine="0"/>
        <w:jc w:val="left"/>
        <w:rPr>
          <w:rFonts w:ascii="Arial"/>
          <w:i/>
          <w:sz w:val="22"/>
        </w:rPr>
      </w:pPr>
      <w:r>
        <w:rPr>
          <w:rFonts w:ascii="Arial"/>
          <w:i/>
          <w:spacing w:val="-12"/>
          <w:w w:val="85"/>
          <w:sz w:val="22"/>
        </w:rPr>
        <w:t>a</w:t>
      </w:r>
      <w:r>
        <w:rPr>
          <w:rFonts w:ascii="Arial"/>
          <w:i/>
          <w:spacing w:val="-35"/>
          <w:w w:val="163"/>
          <w:sz w:val="22"/>
        </w:rPr>
        <w:t>?</w:t>
      </w:r>
      <w:r>
        <w:rPr>
          <w:rFonts w:ascii="Arial"/>
          <w:i/>
          <w:w w:val="25"/>
          <w:sz w:val="22"/>
        </w:rPr>
        <w:t>&gt;</w:t>
      </w:r>
    </w:p>
    <w:p>
      <w:pPr>
        <w:spacing w:before="141"/>
        <w:ind w:left="168" w:right="-17" w:firstLine="0"/>
        <w:jc w:val="left"/>
        <w:rPr>
          <w:i/>
          <w:sz w:val="20"/>
        </w:rPr>
      </w:pPr>
      <w:r>
        <w:rPr>
          <w:i/>
          <w:sz w:val="20"/>
        </w:rPr>
        <w:t>(bD)x</w:t>
      </w:r>
    </w:p>
    <w:p>
      <w:pPr>
        <w:spacing w:before="113"/>
        <w:ind w:left="132" w:right="-20" w:firstLine="0"/>
        <w:jc w:val="left"/>
        <w:rPr>
          <w:rFonts w:ascii="Arial"/>
          <w:sz w:val="17"/>
        </w:rPr>
      </w:pPr>
      <w:r>
        <w:rPr/>
        <w:br w:type="column"/>
      </w:r>
      <w:r>
        <w:rPr>
          <w:rFonts w:ascii="Arial"/>
          <w:w w:val="110"/>
          <w:sz w:val="17"/>
        </w:rPr>
        <w:t>300</w:t>
      </w:r>
    </w:p>
    <w:p>
      <w:pPr>
        <w:spacing w:before="63"/>
        <w:ind w:left="139" w:right="-20" w:firstLine="0"/>
        <w:jc w:val="left"/>
        <w:rPr>
          <w:rFonts w:ascii="Arial"/>
          <w:sz w:val="19"/>
        </w:rPr>
      </w:pPr>
      <w:r>
        <w:rPr>
          <w:rFonts w:ascii="Arial"/>
          <w:sz w:val="19"/>
        </w:rPr>
        <w:t>310</w:t>
      </w:r>
    </w:p>
    <w:p>
      <w:pPr>
        <w:spacing w:before="62"/>
        <w:ind w:left="139" w:right="-20" w:firstLine="0"/>
        <w:jc w:val="left"/>
        <w:rPr>
          <w:rFonts w:ascii="Arial"/>
          <w:sz w:val="19"/>
        </w:rPr>
      </w:pPr>
      <w:r>
        <w:rPr>
          <w:rFonts w:ascii="Arial"/>
          <w:sz w:val="19"/>
        </w:rPr>
        <w:t>319</w:t>
      </w:r>
    </w:p>
    <w:p>
      <w:pPr>
        <w:spacing w:before="53"/>
        <w:ind w:left="139" w:right="-20" w:firstLine="0"/>
        <w:jc w:val="left"/>
        <w:rPr>
          <w:rFonts w:ascii="Courier New"/>
          <w:sz w:val="22"/>
        </w:rPr>
      </w:pPr>
      <w:r>
        <w:rPr>
          <w:rFonts w:ascii="Courier New"/>
          <w:w w:val="90"/>
          <w:sz w:val="22"/>
        </w:rPr>
        <w:t>319</w:t>
      </w:r>
    </w:p>
    <w:p>
      <w:pPr>
        <w:spacing w:before="31"/>
        <w:ind w:left="139" w:right="-20" w:firstLine="0"/>
        <w:jc w:val="left"/>
        <w:rPr>
          <w:rFonts w:ascii="Courier New"/>
          <w:sz w:val="22"/>
        </w:rPr>
      </w:pPr>
      <w:r>
        <w:rPr>
          <w:rFonts w:ascii="Courier New"/>
          <w:w w:val="105"/>
          <w:sz w:val="22"/>
        </w:rPr>
        <w:t>320</w:t>
      </w:r>
    </w:p>
    <w:p>
      <w:pPr>
        <w:spacing w:before="28"/>
        <w:ind w:left="139" w:right="-20" w:firstLine="0"/>
        <w:jc w:val="left"/>
        <w:rPr>
          <w:rFonts w:ascii="Courier New"/>
          <w:sz w:val="22"/>
        </w:rPr>
      </w:pPr>
      <w:r>
        <w:rPr>
          <w:rFonts w:ascii="Courier New"/>
          <w:sz w:val="22"/>
        </w:rPr>
        <w:t>322</w:t>
      </w:r>
    </w:p>
    <w:p>
      <w:pPr>
        <w:spacing w:before="55"/>
        <w:ind w:left="135" w:right="-20" w:firstLine="0"/>
        <w:jc w:val="left"/>
        <w:rPr>
          <w:rFonts w:ascii="Arial"/>
          <w:sz w:val="17"/>
        </w:rPr>
      </w:pPr>
      <w:r>
        <w:rPr>
          <w:rFonts w:ascii="Arial"/>
          <w:w w:val="105"/>
          <w:sz w:val="17"/>
        </w:rPr>
        <w:t>310</w:t>
      </w:r>
    </w:p>
    <w:p>
      <w:pPr>
        <w:pStyle w:val="BodyText"/>
        <w:spacing w:before="11"/>
        <w:rPr>
          <w:rFonts w:ascii="Arial"/>
          <w:sz w:val="13"/>
        </w:rPr>
      </w:pPr>
    </w:p>
    <w:p>
      <w:pPr>
        <w:spacing w:before="0"/>
        <w:ind w:left="135" w:right="-20" w:firstLine="0"/>
        <w:jc w:val="left"/>
        <w:rPr>
          <w:rFonts w:ascii="Arial"/>
          <w:sz w:val="17"/>
        </w:rPr>
      </w:pPr>
      <w:r>
        <w:rPr>
          <w:rFonts w:ascii="Arial"/>
          <w:w w:val="105"/>
          <w:sz w:val="17"/>
        </w:rPr>
        <w:t>310</w:t>
      </w:r>
    </w:p>
    <w:p>
      <w:pPr>
        <w:spacing w:before="54"/>
        <w:ind w:left="132" w:right="-20" w:firstLine="0"/>
        <w:jc w:val="left"/>
        <w:rPr>
          <w:rFonts w:ascii="Courier New"/>
          <w:sz w:val="22"/>
        </w:rPr>
      </w:pPr>
      <w:r>
        <w:rPr>
          <w:rFonts w:ascii="Courier New"/>
          <w:w w:val="105"/>
          <w:sz w:val="22"/>
        </w:rPr>
        <w:t>284</w:t>
      </w:r>
    </w:p>
    <w:p>
      <w:pPr>
        <w:spacing w:before="107"/>
        <w:ind w:left="128" w:right="-20" w:firstLine="0"/>
        <w:jc w:val="left"/>
        <w:rPr>
          <w:rFonts w:ascii="Courier New"/>
          <w:sz w:val="22"/>
        </w:rPr>
      </w:pPr>
      <w:r>
        <w:rPr>
          <w:rFonts w:ascii="Courier New"/>
          <w:sz w:val="22"/>
        </w:rPr>
        <w:t>301</w:t>
      </w:r>
    </w:p>
    <w:p>
      <w:pPr>
        <w:spacing w:after="0"/>
        <w:jc w:val="left"/>
        <w:rPr>
          <w:rFonts w:ascii="Courier New"/>
          <w:sz w:val="22"/>
        </w:rPr>
        <w:sectPr>
          <w:type w:val="continuous"/>
          <w:pgSz w:w="7200" w:h="11340"/>
          <w:pgMar w:top="1100" w:bottom="0" w:left="660" w:right="500"/>
          <w:cols w:num="4" w:equalWidth="0">
            <w:col w:w="662" w:space="1682"/>
            <w:col w:w="470" w:space="296"/>
            <w:col w:w="1139" w:space="1201"/>
            <w:col w:w="590"/>
          </w:cols>
        </w:sectPr>
      </w:pPr>
    </w:p>
    <w:p>
      <w:pPr>
        <w:tabs>
          <w:tab w:pos="2195" w:val="left" w:leader="none"/>
        </w:tabs>
        <w:spacing w:before="63"/>
        <w:ind w:left="208" w:right="0" w:firstLine="0"/>
        <w:jc w:val="left"/>
        <w:rPr>
          <w:b/>
          <w:sz w:val="15"/>
        </w:rPr>
      </w:pPr>
      <w:r>
        <w:rPr>
          <w:rFonts w:ascii="Arial"/>
          <w:b/>
          <w:sz w:val="19"/>
        </w:rPr>
        <w:t>384</w:t>
        <w:tab/>
      </w:r>
      <w:r>
        <w:rPr>
          <w:b/>
          <w:position w:val="1"/>
          <w:sz w:val="15"/>
        </w:rPr>
        <w:t>INDEX   TO  </w:t>
      </w:r>
      <w:r>
        <w:rPr>
          <w:b/>
          <w:spacing w:val="4"/>
          <w:position w:val="1"/>
          <w:sz w:val="15"/>
        </w:rPr>
        <w:t> </w:t>
      </w:r>
      <w:r>
        <w:rPr>
          <w:b/>
          <w:position w:val="1"/>
          <w:sz w:val="15"/>
        </w:rPr>
        <w:t>NOTATION</w:t>
      </w:r>
    </w:p>
    <w:p>
      <w:pPr>
        <w:pStyle w:val="BodyText"/>
        <w:rPr>
          <w:b/>
        </w:rPr>
      </w:pPr>
    </w:p>
    <w:p>
      <w:pPr>
        <w:pStyle w:val="BodyText"/>
        <w:rPr>
          <w:b/>
        </w:rPr>
      </w:pPr>
    </w:p>
    <w:p>
      <w:pPr>
        <w:pStyle w:val="BodyText"/>
        <w:rPr>
          <w:b/>
        </w:rPr>
      </w:pPr>
    </w:p>
    <w:p>
      <w:pPr>
        <w:pStyle w:val="BodyText"/>
        <w:rPr>
          <w:b/>
        </w:rPr>
      </w:pPr>
    </w:p>
    <w:p>
      <w:pPr>
        <w:pStyle w:val="BodyText"/>
        <w:rPr>
          <w:b/>
        </w:rPr>
      </w:pPr>
    </w:p>
    <w:p>
      <w:pPr>
        <w:tabs>
          <w:tab w:pos="2533" w:val="left" w:leader="none"/>
        </w:tabs>
        <w:spacing w:line="358" w:lineRule="exact" w:before="196"/>
        <w:ind w:left="194" w:right="0" w:firstLine="0"/>
        <w:jc w:val="left"/>
        <w:rPr>
          <w:rFonts w:ascii="Courier New"/>
          <w:sz w:val="22"/>
        </w:rPr>
      </w:pPr>
      <w:r>
        <w:rPr/>
        <w:pict>
          <v:shape style="position:absolute;margin-left:36.950001pt;margin-top:-44.046169pt;width:137.75pt;height:58.9pt;mso-position-horizontal-relative:page;mso-position-vertical-relative:paragraph;z-index:3263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45"/>
                    <w:gridCol w:w="1309"/>
                  </w:tblGrid>
                  <w:tr>
                    <w:trPr>
                      <w:trHeight w:val="249" w:hRule="exact"/>
                    </w:trPr>
                    <w:tc>
                      <w:tcPr>
                        <w:tcW w:w="1445" w:type="dxa"/>
                      </w:tcPr>
                      <w:p>
                        <w:pPr>
                          <w:pStyle w:val="TableParagraph"/>
                          <w:spacing w:line="203" w:lineRule="exact"/>
                          <w:ind w:left="74"/>
                          <w:rPr>
                            <w:rFonts w:ascii="Arial"/>
                            <w:b/>
                            <w:i/>
                            <w:sz w:val="18"/>
                          </w:rPr>
                        </w:pPr>
                        <w:r>
                          <w:rPr>
                            <w:rFonts w:ascii="Arial"/>
                            <w:b/>
                            <w:i/>
                            <w:w w:val="85"/>
                            <w:sz w:val="18"/>
                          </w:rPr>
                          <w:t>(bd )x</w:t>
                        </w:r>
                      </w:p>
                    </w:tc>
                    <w:tc>
                      <w:tcPr>
                        <w:tcW w:w="1309" w:type="dxa"/>
                      </w:tcPr>
                      <w:p>
                        <w:pPr>
                          <w:pStyle w:val="TableParagraph"/>
                          <w:spacing w:line="228" w:lineRule="exact"/>
                          <w:ind w:right="33"/>
                          <w:jc w:val="right"/>
                          <w:rPr>
                            <w:sz w:val="22"/>
                          </w:rPr>
                        </w:pPr>
                        <w:r>
                          <w:rPr>
                            <w:w w:val="105"/>
                            <w:sz w:val="22"/>
                          </w:rPr>
                          <w:t>299</w:t>
                        </w:r>
                      </w:p>
                    </w:tc>
                  </w:tr>
                  <w:tr>
                    <w:trPr>
                      <w:trHeight w:val="277" w:hRule="exact"/>
                    </w:trPr>
                    <w:tc>
                      <w:tcPr>
                        <w:tcW w:w="1445" w:type="dxa"/>
                      </w:tcPr>
                      <w:p>
                        <w:pPr>
                          <w:pStyle w:val="TableParagraph"/>
                          <w:spacing w:before="19"/>
                          <w:ind w:left="74"/>
                          <w:rPr>
                            <w:rFonts w:ascii="Arial"/>
                            <w:i/>
                            <w:sz w:val="19"/>
                          </w:rPr>
                        </w:pPr>
                        <w:r>
                          <w:rPr>
                            <w:rFonts w:ascii="Arial"/>
                            <w:i/>
                            <w:w w:val="80"/>
                            <w:sz w:val="19"/>
                          </w:rPr>
                          <w:t>(bl )1.</w:t>
                        </w:r>
                      </w:p>
                    </w:tc>
                    <w:tc>
                      <w:tcPr>
                        <w:tcW w:w="1309" w:type="dxa"/>
                      </w:tcPr>
                      <w:p>
                        <w:pPr>
                          <w:pStyle w:val="TableParagraph"/>
                          <w:spacing w:before="7"/>
                          <w:ind w:right="33"/>
                          <w:jc w:val="right"/>
                          <w:rPr>
                            <w:sz w:val="22"/>
                          </w:rPr>
                        </w:pPr>
                        <w:r>
                          <w:rPr>
                            <w:w w:val="105"/>
                            <w:sz w:val="22"/>
                          </w:rPr>
                          <w:t>299</w:t>
                        </w:r>
                      </w:p>
                    </w:tc>
                  </w:tr>
                  <w:tr>
                    <w:trPr>
                      <w:trHeight w:val="276" w:hRule="exact"/>
                    </w:trPr>
                    <w:tc>
                      <w:tcPr>
                        <w:tcW w:w="1445" w:type="dxa"/>
                      </w:tcPr>
                      <w:p>
                        <w:pPr>
                          <w:pStyle w:val="TableParagraph"/>
                          <w:spacing w:before="25"/>
                          <w:ind w:left="74"/>
                          <w:rPr>
                            <w:rFonts w:ascii="Arial"/>
                            <w:b/>
                            <w:i/>
                            <w:sz w:val="18"/>
                          </w:rPr>
                        </w:pPr>
                        <w:r>
                          <w:rPr>
                            <w:rFonts w:ascii="Arial"/>
                            <w:b/>
                            <w:i/>
                            <w:w w:val="85"/>
                            <w:sz w:val="18"/>
                          </w:rPr>
                          <w:t>( bm )x</w:t>
                        </w:r>
                      </w:p>
                    </w:tc>
                    <w:tc>
                      <w:tcPr>
                        <w:tcW w:w="1309" w:type="dxa"/>
                      </w:tcPr>
                      <w:p>
                        <w:pPr>
                          <w:pStyle w:val="TableParagraph"/>
                          <w:spacing w:before="7"/>
                          <w:ind w:right="38"/>
                          <w:jc w:val="right"/>
                          <w:rPr>
                            <w:sz w:val="22"/>
                          </w:rPr>
                        </w:pPr>
                        <w:r>
                          <w:rPr>
                            <w:w w:val="105"/>
                            <w:sz w:val="22"/>
                          </w:rPr>
                          <w:t>299</w:t>
                        </w:r>
                      </w:p>
                    </w:tc>
                  </w:tr>
                  <w:tr>
                    <w:trPr>
                      <w:trHeight w:val="376" w:hRule="exact"/>
                    </w:trPr>
                    <w:tc>
                      <w:tcPr>
                        <w:tcW w:w="1445" w:type="dxa"/>
                      </w:tcPr>
                      <w:p>
                        <w:pPr>
                          <w:pStyle w:val="TableParagraph"/>
                          <w:spacing w:line="354" w:lineRule="exact"/>
                          <w:ind w:left="35"/>
                          <w:rPr>
                            <w:rFonts w:ascii="Times New Roman"/>
                            <w:i/>
                            <w:sz w:val="32"/>
                          </w:rPr>
                        </w:pPr>
                        <w:r>
                          <w:rPr>
                            <w:rFonts w:ascii="Times New Roman"/>
                            <w:i/>
                            <w:w w:val="70"/>
                            <w:sz w:val="32"/>
                          </w:rPr>
                          <w:t>c:d</w:t>
                        </w:r>
                      </w:p>
                    </w:tc>
                    <w:tc>
                      <w:tcPr>
                        <w:tcW w:w="1309" w:type="dxa"/>
                      </w:tcPr>
                      <w:p>
                        <w:pPr>
                          <w:pStyle w:val="TableParagraph"/>
                          <w:spacing w:before="134"/>
                          <w:ind w:right="50"/>
                          <w:jc w:val="right"/>
                          <w:rPr>
                            <w:sz w:val="22"/>
                          </w:rPr>
                        </w:pPr>
                        <w:r>
                          <w:rPr>
                            <w:sz w:val="22"/>
                          </w:rPr>
                          <w:t>285</w:t>
                        </w:r>
                      </w:p>
                    </w:tc>
                  </w:tr>
                </w:tbl>
                <w:p>
                  <w:pPr>
                    <w:pStyle w:val="BodyText"/>
                  </w:pPr>
                </w:p>
              </w:txbxContent>
            </v:textbox>
            <w10:wrap type="none"/>
          </v:shape>
        </w:pict>
      </w:r>
      <w:r>
        <w:rPr/>
        <w:pict>
          <v:shape style="position:absolute;margin-left:192.289993pt;margin-top:-50.145267pt;width:138.75pt;height:104.4pt;mso-position-horizontal-relative:page;mso-position-vertical-relative:paragraph;z-index:3265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17"/>
                    <w:gridCol w:w="1358"/>
                  </w:tblGrid>
                  <w:tr>
                    <w:trPr>
                      <w:trHeight w:val="346" w:hRule="exact"/>
                    </w:trPr>
                    <w:tc>
                      <w:tcPr>
                        <w:tcW w:w="1417" w:type="dxa"/>
                      </w:tcPr>
                      <w:p>
                        <w:pPr>
                          <w:pStyle w:val="TableParagraph"/>
                          <w:spacing w:before="74"/>
                          <w:ind w:left="42"/>
                          <w:rPr>
                            <w:rFonts w:ascii="Arial"/>
                            <w:i/>
                            <w:sz w:val="20"/>
                          </w:rPr>
                        </w:pPr>
                        <w:r>
                          <w:rPr>
                            <w:rFonts w:ascii="Arial"/>
                            <w:i/>
                            <w:w w:val="110"/>
                            <w:sz w:val="20"/>
                          </w:rPr>
                          <w:t>D?&gt;</w:t>
                        </w:r>
                      </w:p>
                    </w:tc>
                    <w:tc>
                      <w:tcPr>
                        <w:tcW w:w="1358" w:type="dxa"/>
                      </w:tcPr>
                      <w:p>
                        <w:pPr>
                          <w:pStyle w:val="TableParagraph"/>
                          <w:spacing w:before="97"/>
                          <w:ind w:right="33"/>
                          <w:jc w:val="right"/>
                          <w:rPr>
                            <w:sz w:val="22"/>
                          </w:rPr>
                        </w:pPr>
                        <w:r>
                          <w:rPr>
                            <w:w w:val="105"/>
                            <w:sz w:val="22"/>
                          </w:rPr>
                          <w:t>284</w:t>
                        </w:r>
                      </w:p>
                    </w:tc>
                  </w:tr>
                  <w:tr>
                    <w:trPr>
                      <w:trHeight w:val="372" w:hRule="exact"/>
                    </w:trPr>
                    <w:tc>
                      <w:tcPr>
                        <w:tcW w:w="1417" w:type="dxa"/>
                      </w:tcPr>
                      <w:p>
                        <w:pPr>
                          <w:pStyle w:val="TableParagraph"/>
                          <w:spacing w:line="385" w:lineRule="exact"/>
                          <w:ind w:left="42"/>
                          <w:rPr>
                            <w:rFonts w:ascii="Times New Roman" w:hAnsi="Times New Roman"/>
                            <w:i/>
                            <w:sz w:val="37"/>
                          </w:rPr>
                        </w:pPr>
                        <w:r>
                          <w:rPr>
                            <w:rFonts w:ascii="Times New Roman" w:hAnsi="Times New Roman"/>
                            <w:i/>
                            <w:w w:val="45"/>
                            <w:sz w:val="37"/>
                          </w:rPr>
                          <w:t>&lt;!;ª</w:t>
                        </w:r>
                      </w:p>
                    </w:tc>
                    <w:tc>
                      <w:tcPr>
                        <w:tcW w:w="1358" w:type="dxa"/>
                      </w:tcPr>
                      <w:p>
                        <w:pPr>
                          <w:pStyle w:val="TableParagraph"/>
                          <w:spacing w:before="107"/>
                          <w:ind w:right="43"/>
                          <w:jc w:val="right"/>
                          <w:rPr>
                            <w:sz w:val="22"/>
                          </w:rPr>
                        </w:pPr>
                        <w:r>
                          <w:rPr>
                            <w:sz w:val="22"/>
                          </w:rPr>
                          <w:t>295</w:t>
                        </w:r>
                      </w:p>
                    </w:tc>
                  </w:tr>
                  <w:tr>
                    <w:trPr>
                      <w:trHeight w:val="268" w:hRule="exact"/>
                    </w:trPr>
                    <w:tc>
                      <w:tcPr>
                        <w:tcW w:w="1417" w:type="dxa"/>
                      </w:tcPr>
                      <w:p>
                        <w:pPr>
                          <w:pStyle w:val="TableParagraph"/>
                          <w:spacing w:line="281" w:lineRule="exact"/>
                          <w:ind w:left="45"/>
                          <w:rPr>
                            <w:rFonts w:ascii="Arial"/>
                            <w:i/>
                            <w:sz w:val="28"/>
                          </w:rPr>
                        </w:pPr>
                        <w:r>
                          <w:rPr>
                            <w:rFonts w:ascii="Arial"/>
                            <w:i/>
                            <w:w w:val="75"/>
                            <w:sz w:val="28"/>
                          </w:rPr>
                          <w:t>&lt;l:'</w:t>
                        </w:r>
                      </w:p>
                    </w:tc>
                    <w:tc>
                      <w:tcPr>
                        <w:tcW w:w="1358" w:type="dxa"/>
                      </w:tcPr>
                      <w:p>
                        <w:pPr>
                          <w:pStyle w:val="TableParagraph"/>
                          <w:spacing w:before="16"/>
                          <w:ind w:right="43"/>
                          <w:jc w:val="right"/>
                          <w:rPr>
                            <w:sz w:val="22"/>
                          </w:rPr>
                        </w:pPr>
                        <w:r>
                          <w:rPr>
                            <w:w w:val="85"/>
                            <w:sz w:val="22"/>
                          </w:rPr>
                          <w:t>285</w:t>
                        </w:r>
                      </w:p>
                    </w:tc>
                  </w:tr>
                  <w:tr>
                    <w:trPr>
                      <w:trHeight w:val="274" w:hRule="exact"/>
                    </w:trPr>
                    <w:tc>
                      <w:tcPr>
                        <w:tcW w:w="1417" w:type="dxa"/>
                      </w:tcPr>
                      <w:p>
                        <w:pPr>
                          <w:pStyle w:val="TableParagraph"/>
                          <w:spacing w:line="198" w:lineRule="exact"/>
                          <w:ind w:left="42"/>
                          <w:rPr>
                            <w:rFonts w:ascii="Times New Roman"/>
                            <w:i/>
                            <w:sz w:val="20"/>
                          </w:rPr>
                        </w:pPr>
                        <w:r>
                          <w:rPr>
                            <w:rFonts w:ascii="Times New Roman"/>
                            <w:i/>
                            <w:w w:val="80"/>
                            <w:sz w:val="20"/>
                          </w:rPr>
                          <w:t>&lt;!;ad</w:t>
                        </w:r>
                      </w:p>
                    </w:tc>
                    <w:tc>
                      <w:tcPr>
                        <w:tcW w:w="1358" w:type="dxa"/>
                      </w:tcPr>
                      <w:p>
                        <w:pPr>
                          <w:pStyle w:val="TableParagraph"/>
                          <w:spacing w:before="22"/>
                          <w:ind w:right="48"/>
                          <w:jc w:val="right"/>
                          <w:rPr>
                            <w:sz w:val="22"/>
                          </w:rPr>
                        </w:pPr>
                        <w:r>
                          <w:rPr>
                            <w:sz w:val="22"/>
                          </w:rPr>
                          <w:t>285</w:t>
                        </w:r>
                      </w:p>
                    </w:tc>
                  </w:tr>
                  <w:tr>
                    <w:trPr>
                      <w:trHeight w:val="271" w:hRule="exact"/>
                    </w:trPr>
                    <w:tc>
                      <w:tcPr>
                        <w:tcW w:w="1417" w:type="dxa"/>
                      </w:tcPr>
                      <w:p>
                        <w:pPr>
                          <w:pStyle w:val="TableParagraph"/>
                          <w:spacing w:line="215" w:lineRule="exact"/>
                          <w:ind w:left="42"/>
                          <w:rPr>
                            <w:rFonts w:ascii="Arial"/>
                            <w:i/>
                            <w:sz w:val="20"/>
                          </w:rPr>
                        </w:pPr>
                        <w:r>
                          <w:rPr>
                            <w:rFonts w:ascii="Arial"/>
                            <w:i/>
                            <w:sz w:val="20"/>
                          </w:rPr>
                          <w:t>d;i</w:t>
                        </w:r>
                      </w:p>
                    </w:tc>
                    <w:tc>
                      <w:tcPr>
                        <w:tcW w:w="1358" w:type="dxa"/>
                      </w:tcPr>
                      <w:p>
                        <w:pPr>
                          <w:pStyle w:val="TableParagraph"/>
                          <w:spacing w:before="25"/>
                          <w:ind w:right="41"/>
                          <w:jc w:val="right"/>
                          <w:rPr>
                            <w:sz w:val="22"/>
                          </w:rPr>
                        </w:pPr>
                        <w:r>
                          <w:rPr>
                            <w:w w:val="105"/>
                            <w:sz w:val="22"/>
                          </w:rPr>
                          <w:t>296</w:t>
                        </w:r>
                      </w:p>
                    </w:tc>
                  </w:tr>
                  <w:tr>
                    <w:trPr>
                      <w:trHeight w:val="287" w:hRule="exact"/>
                    </w:trPr>
                    <w:tc>
                      <w:tcPr>
                        <w:tcW w:w="1417" w:type="dxa"/>
                      </w:tcPr>
                      <w:p>
                        <w:pPr>
                          <w:pStyle w:val="TableParagraph"/>
                          <w:spacing w:line="290" w:lineRule="exact"/>
                          <w:ind w:left="42"/>
                          <w:rPr>
                            <w:rFonts w:ascii="Times New Roman"/>
                            <w:sz w:val="28"/>
                          </w:rPr>
                        </w:pPr>
                        <w:r>
                          <w:rPr>
                            <w:rFonts w:ascii="Times New Roman"/>
                            <w:w w:val="70"/>
                            <w:sz w:val="28"/>
                          </w:rPr>
                          <w:t>et!</w:t>
                        </w:r>
                      </w:p>
                    </w:tc>
                    <w:tc>
                      <w:tcPr>
                        <w:tcW w:w="1358" w:type="dxa"/>
                      </w:tcPr>
                      <w:p>
                        <w:pPr>
                          <w:pStyle w:val="TableParagraph"/>
                          <w:spacing w:before="35"/>
                          <w:ind w:right="43"/>
                          <w:jc w:val="right"/>
                          <w:rPr>
                            <w:sz w:val="22"/>
                          </w:rPr>
                        </w:pPr>
                        <w:r>
                          <w:rPr>
                            <w:sz w:val="22"/>
                          </w:rPr>
                          <w:t>286</w:t>
                        </w:r>
                      </w:p>
                    </w:tc>
                  </w:tr>
                  <w:tr>
                    <w:trPr>
                      <w:trHeight w:val="270" w:hRule="exact"/>
                    </w:trPr>
                    <w:tc>
                      <w:tcPr>
                        <w:tcW w:w="1417" w:type="dxa"/>
                      </w:tcPr>
                      <w:p>
                        <w:pPr>
                          <w:pStyle w:val="TableParagraph"/>
                          <w:spacing w:line="208" w:lineRule="exact"/>
                          <w:ind w:left="35"/>
                          <w:rPr>
                            <w:rFonts w:ascii="Arial"/>
                            <w:i/>
                            <w:sz w:val="20"/>
                          </w:rPr>
                        </w:pPr>
                        <w:r>
                          <w:rPr>
                            <w:rFonts w:ascii="Arial"/>
                            <w:i/>
                            <w:w w:val="85"/>
                            <w:sz w:val="20"/>
                          </w:rPr>
                          <w:t>d;k&gt;</w:t>
                        </w:r>
                      </w:p>
                    </w:tc>
                    <w:tc>
                      <w:tcPr>
                        <w:tcW w:w="1358" w:type="dxa"/>
                      </w:tcPr>
                      <w:p>
                        <w:pPr>
                          <w:pStyle w:val="TableParagraph"/>
                          <w:spacing w:before="29"/>
                          <w:ind w:right="70"/>
                          <w:jc w:val="right"/>
                          <w:rPr>
                            <w:sz w:val="22"/>
                          </w:rPr>
                        </w:pPr>
                        <w:r>
                          <w:rPr>
                            <w:w w:val="85"/>
                            <w:sz w:val="22"/>
                          </w:rPr>
                          <w:t>271</w:t>
                        </w:r>
                      </w:p>
                    </w:tc>
                  </w:tr>
                </w:tbl>
                <w:p>
                  <w:pPr>
                    <w:pStyle w:val="BodyText"/>
                  </w:pPr>
                </w:p>
              </w:txbxContent>
            </v:textbox>
            <w10:wrap type="none"/>
          </v:shape>
        </w:pict>
      </w:r>
      <w:r>
        <w:rPr>
          <w:spacing w:val="-6"/>
          <w:w w:val="110"/>
          <w:sz w:val="35"/>
        </w:rPr>
        <w:t>e:</w:t>
      </w:r>
      <w:r>
        <w:rPr>
          <w:rFonts w:ascii="Courier New"/>
          <w:spacing w:val="-6"/>
          <w:w w:val="110"/>
          <w:position w:val="1"/>
          <w:sz w:val="22"/>
        </w:rPr>
        <w:tab/>
      </w:r>
      <w:r>
        <w:rPr>
          <w:rFonts w:ascii="Courier New"/>
          <w:spacing w:val="-12"/>
          <w:w w:val="110"/>
          <w:position w:val="1"/>
          <w:sz w:val="22"/>
        </w:rPr>
        <w:t>306</w:t>
      </w:r>
    </w:p>
    <w:p>
      <w:pPr>
        <w:tabs>
          <w:tab w:pos="2533" w:val="left" w:leader="none"/>
        </w:tabs>
        <w:spacing w:line="323" w:lineRule="exact" w:before="0"/>
        <w:ind w:left="194" w:right="0" w:firstLine="0"/>
        <w:jc w:val="left"/>
        <w:rPr>
          <w:rFonts w:ascii="Courier New"/>
          <w:sz w:val="22"/>
        </w:rPr>
      </w:pPr>
      <w:r>
        <w:rPr>
          <w:rFonts w:ascii="Courier New"/>
          <w:spacing w:val="-13"/>
          <w:sz w:val="35"/>
        </w:rPr>
        <w:t>e:</w:t>
      </w:r>
      <w:r>
        <w:rPr>
          <w:rFonts w:ascii="Courier New"/>
          <w:spacing w:val="-13"/>
          <w:position w:val="1"/>
          <w:sz w:val="22"/>
        </w:rPr>
        <w:tab/>
        <w:t>306</w:t>
      </w:r>
    </w:p>
    <w:p>
      <w:pPr>
        <w:tabs>
          <w:tab w:pos="2530" w:val="left" w:leader="none"/>
        </w:tabs>
        <w:spacing w:line="221" w:lineRule="exact" w:before="0"/>
        <w:ind w:left="190" w:right="0" w:firstLine="0"/>
        <w:jc w:val="left"/>
        <w:rPr>
          <w:rFonts w:ascii="Courier New" w:hAnsi="Courier New"/>
          <w:sz w:val="22"/>
        </w:rPr>
      </w:pPr>
      <w:r>
        <w:rPr>
          <w:i/>
          <w:sz w:val="25"/>
        </w:rPr>
        <w:t>ªC!</w:t>
      </w:r>
      <w:r>
        <w:rPr>
          <w:rFonts w:ascii="Courier New" w:hAnsi="Courier New"/>
          <w:position w:val="1"/>
          <w:sz w:val="22"/>
        </w:rPr>
        <w:tab/>
      </w:r>
      <w:r>
        <w:rPr>
          <w:rFonts w:ascii="Courier New" w:hAnsi="Courier New"/>
          <w:spacing w:val="-12"/>
          <w:position w:val="1"/>
          <w:sz w:val="22"/>
        </w:rPr>
        <w:t>306</w:t>
      </w:r>
    </w:p>
    <w:p>
      <w:pPr>
        <w:tabs>
          <w:tab w:pos="2530" w:val="left" w:leader="none"/>
          <w:tab w:pos="3300" w:val="left" w:leader="none"/>
          <w:tab w:pos="5665" w:val="left" w:leader="none"/>
        </w:tabs>
        <w:spacing w:line="283" w:lineRule="exact" w:before="0"/>
        <w:ind w:left="194" w:right="0" w:firstLine="0"/>
        <w:jc w:val="left"/>
        <w:rPr>
          <w:rFonts w:ascii="Courier New" w:hAnsi="Courier New"/>
          <w:sz w:val="22"/>
        </w:rPr>
      </w:pPr>
      <w:r>
        <w:rPr>
          <w:w w:val="75"/>
          <w:sz w:val="26"/>
        </w:rPr>
        <w:t>º</w:t>
      </w:r>
      <w:r>
        <w:rPr>
          <w:spacing w:val="1"/>
          <w:w w:val="75"/>
          <w:sz w:val="26"/>
        </w:rPr>
        <w:t>C</w:t>
      </w:r>
      <w:r>
        <w:rPr>
          <w:w w:val="211"/>
          <w:sz w:val="26"/>
        </w:rPr>
        <w:t>!</w:t>
      </w:r>
      <w:r>
        <w:rPr>
          <w:sz w:val="26"/>
        </w:rPr>
        <w:tab/>
      </w:r>
      <w:r>
        <w:rPr>
          <w:rFonts w:ascii="Courier New" w:hAnsi="Courier New"/>
          <w:spacing w:val="-38"/>
          <w:w w:val="98"/>
          <w:position w:val="1"/>
          <w:sz w:val="22"/>
        </w:rPr>
        <w:t>3</w:t>
      </w:r>
      <w:r>
        <w:rPr>
          <w:rFonts w:ascii="Courier New" w:hAnsi="Courier New"/>
          <w:spacing w:val="-51"/>
          <w:w w:val="114"/>
          <w:position w:val="1"/>
          <w:sz w:val="22"/>
        </w:rPr>
        <w:t>0</w:t>
      </w:r>
      <w:r>
        <w:rPr>
          <w:rFonts w:ascii="Courier New" w:hAnsi="Courier New"/>
          <w:w w:val="101"/>
          <w:position w:val="1"/>
          <w:sz w:val="22"/>
        </w:rPr>
        <w:t>7</w:t>
      </w:r>
      <w:r>
        <w:rPr>
          <w:rFonts w:ascii="Courier New" w:hAnsi="Courier New"/>
          <w:position w:val="1"/>
          <w:sz w:val="22"/>
        </w:rPr>
        <w:tab/>
      </w:r>
      <w:r>
        <w:rPr>
          <w:rFonts w:ascii="Arial" w:hAnsi="Arial"/>
          <w:i/>
          <w:w w:val="81"/>
          <w:position w:val="12"/>
          <w:sz w:val="20"/>
        </w:rPr>
        <w:t>d;-k&gt;</w:t>
      </w:r>
      <w:r>
        <w:rPr>
          <w:rFonts w:ascii="Courier New" w:hAnsi="Courier New"/>
          <w:w w:val="99"/>
          <w:position w:val="6"/>
          <w:sz w:val="22"/>
        </w:rPr>
        <w:t> </w:t>
      </w:r>
      <w:r>
        <w:rPr>
          <w:rFonts w:ascii="Courier New" w:hAnsi="Courier New"/>
          <w:position w:val="6"/>
          <w:sz w:val="22"/>
        </w:rPr>
        <w:tab/>
      </w:r>
      <w:r>
        <w:rPr>
          <w:rFonts w:ascii="Courier New" w:hAnsi="Courier New"/>
          <w:spacing w:val="-31"/>
          <w:w w:val="96"/>
          <w:position w:val="6"/>
          <w:sz w:val="22"/>
        </w:rPr>
        <w:t>2</w:t>
      </w:r>
      <w:r>
        <w:rPr>
          <w:rFonts w:ascii="Courier New" w:hAnsi="Courier New"/>
          <w:spacing w:val="-36"/>
          <w:w w:val="97"/>
          <w:position w:val="6"/>
          <w:sz w:val="22"/>
        </w:rPr>
        <w:t>7</w:t>
      </w:r>
      <w:r>
        <w:rPr>
          <w:rFonts w:ascii="Courier New" w:hAnsi="Courier New"/>
          <w:w w:val="110"/>
          <w:position w:val="6"/>
          <w:sz w:val="22"/>
        </w:rPr>
        <w:t>8</w:t>
      </w:r>
    </w:p>
    <w:p>
      <w:pPr>
        <w:tabs>
          <w:tab w:pos="2530" w:val="left" w:leader="none"/>
          <w:tab w:pos="3300" w:val="left" w:leader="none"/>
          <w:tab w:pos="5665" w:val="left" w:leader="none"/>
        </w:tabs>
        <w:spacing w:line="263" w:lineRule="exact" w:before="0"/>
        <w:ind w:left="204" w:right="0" w:firstLine="0"/>
        <w:jc w:val="left"/>
        <w:rPr>
          <w:rFonts w:ascii="Courier New"/>
          <w:sz w:val="22"/>
        </w:rPr>
      </w:pPr>
      <w:r>
        <w:rPr>
          <w:rFonts w:ascii="Courier New"/>
          <w:i/>
          <w:spacing w:val="3"/>
          <w:w w:val="90"/>
          <w:position w:val="-6"/>
          <w:sz w:val="24"/>
        </w:rPr>
        <w:t>FC!</w:t>
        <w:tab/>
      </w:r>
      <w:r>
        <w:rPr>
          <w:rFonts w:ascii="Courier New"/>
          <w:spacing w:val="-12"/>
          <w:w w:val="90"/>
          <w:position w:val="-9"/>
          <w:sz w:val="22"/>
        </w:rPr>
        <w:t>306</w:t>
        <w:tab/>
      </w:r>
      <w:r>
        <w:rPr>
          <w:b/>
          <w:i/>
          <w:w w:val="90"/>
          <w:sz w:val="21"/>
        </w:rPr>
        <w:t>d!T</w:t>
      </w:r>
      <w:r>
        <w:rPr>
          <w:b/>
          <w:i/>
          <w:spacing w:val="-31"/>
          <w:w w:val="90"/>
          <w:sz w:val="21"/>
        </w:rPr>
        <w:t> </w:t>
      </w:r>
      <w:r>
        <w:rPr>
          <w:b/>
          <w:i/>
          <w:w w:val="75"/>
          <w:sz w:val="21"/>
        </w:rPr>
        <w:t>)</w:t>
      </w:r>
      <w:r>
        <w:rPr>
          <w:rFonts w:ascii="Courier New"/>
          <w:w w:val="75"/>
          <w:position w:val="-4"/>
          <w:sz w:val="22"/>
        </w:rPr>
        <w:tab/>
      </w:r>
      <w:r>
        <w:rPr>
          <w:rFonts w:ascii="Courier New"/>
          <w:spacing w:val="-12"/>
          <w:w w:val="90"/>
          <w:position w:val="-4"/>
          <w:sz w:val="22"/>
        </w:rPr>
        <w:t>271</w:t>
      </w:r>
    </w:p>
    <w:p>
      <w:pPr>
        <w:tabs>
          <w:tab w:pos="2530" w:val="left" w:leader="none"/>
          <w:tab w:pos="3304" w:val="left" w:leader="none"/>
          <w:tab w:pos="5658" w:val="left" w:leader="none"/>
        </w:tabs>
        <w:spacing w:line="308" w:lineRule="exact" w:before="0"/>
        <w:ind w:left="197" w:right="0" w:firstLine="0"/>
        <w:jc w:val="left"/>
        <w:rPr>
          <w:rFonts w:ascii="Courier New" w:hAnsi="Courier New"/>
          <w:sz w:val="22"/>
        </w:rPr>
      </w:pPr>
      <w:r>
        <w:rPr>
          <w:rFonts w:ascii="Courier New" w:hAnsi="Courier New"/>
          <w:i/>
          <w:spacing w:val="-3"/>
          <w:w w:val="80"/>
          <w:position w:val="3"/>
          <w:sz w:val="36"/>
        </w:rPr>
        <w:t>Fe:</w:t>
        <w:tab/>
      </w:r>
      <w:r>
        <w:rPr>
          <w:rFonts w:ascii="Courier New" w:hAnsi="Courier New"/>
          <w:spacing w:val="-13"/>
          <w:w w:val="95"/>
          <w:sz w:val="22"/>
        </w:rPr>
        <w:t>306</w:t>
        <w:tab/>
      </w:r>
      <w:r>
        <w:rPr>
          <w:b/>
          <w:i/>
          <w:w w:val="80"/>
          <w:position w:val="1"/>
          <w:sz w:val="20"/>
        </w:rPr>
        <w:t>d!1x1·"</w:t>
      </w:r>
      <w:r>
        <w:rPr>
          <w:b/>
          <w:i/>
          <w:spacing w:val="-23"/>
          <w:w w:val="80"/>
          <w:position w:val="1"/>
          <w:sz w:val="20"/>
        </w:rPr>
        <w:t> </w:t>
      </w:r>
      <w:r>
        <w:rPr>
          <w:b/>
          <w:i/>
          <w:w w:val="80"/>
          <w:position w:val="1"/>
          <w:sz w:val="20"/>
        </w:rPr>
        <w:t>Xm</w:t>
      </w:r>
      <w:r>
        <w:rPr>
          <w:rFonts w:ascii="Courier New" w:hAnsi="Courier New"/>
          <w:w w:val="80"/>
          <w:position w:val="5"/>
          <w:sz w:val="22"/>
        </w:rPr>
        <w:tab/>
      </w:r>
      <w:r>
        <w:rPr>
          <w:rFonts w:ascii="Courier New" w:hAnsi="Courier New"/>
          <w:spacing w:val="-28"/>
          <w:w w:val="95"/>
          <w:position w:val="5"/>
          <w:sz w:val="22"/>
        </w:rPr>
        <w:t>284</w:t>
      </w:r>
    </w:p>
    <w:p>
      <w:pPr>
        <w:tabs>
          <w:tab w:pos="2533" w:val="left" w:leader="none"/>
          <w:tab w:pos="3347" w:val="left" w:leader="none"/>
          <w:tab w:pos="5651" w:val="left" w:leader="none"/>
        </w:tabs>
        <w:spacing w:line="329" w:lineRule="exact" w:before="0"/>
        <w:ind w:left="190" w:right="0" w:firstLine="0"/>
        <w:jc w:val="left"/>
        <w:rPr>
          <w:rFonts w:ascii="Courier New"/>
          <w:sz w:val="22"/>
        </w:rPr>
      </w:pPr>
      <w:r>
        <w:rPr>
          <w:rFonts w:ascii="Courier New"/>
          <w:spacing w:val="-15"/>
          <w:position w:val="3"/>
          <w:sz w:val="35"/>
        </w:rPr>
        <w:t>e!</w:t>
        <w:tab/>
      </w:r>
      <w:r>
        <w:rPr>
          <w:rFonts w:ascii="Courier New"/>
          <w:position w:val="3"/>
          <w:sz w:val="22"/>
        </w:rPr>
        <w:t>310</w:t>
        <w:tab/>
      </w:r>
      <w:r>
        <w:rPr>
          <w:rFonts w:ascii="Arial"/>
          <w:i/>
          <w:spacing w:val="4"/>
          <w:sz w:val="19"/>
        </w:rPr>
        <w:t>(ES)</w:t>
      </w:r>
      <w:r>
        <w:rPr>
          <w:rFonts w:ascii="Arial"/>
          <w:i/>
          <w:spacing w:val="-34"/>
          <w:sz w:val="19"/>
        </w:rPr>
        <w:t> </w:t>
      </w:r>
      <w:r>
        <w:rPr>
          <w:rFonts w:ascii="Arial"/>
          <w:i/>
          <w:position w:val="-3"/>
          <w:sz w:val="10"/>
        </w:rPr>
        <w:t>11</w:t>
      </w:r>
      <w:r>
        <w:rPr>
          <w:rFonts w:ascii="Courier New"/>
          <w:sz w:val="22"/>
        </w:rPr>
        <w:tab/>
        <w:t>311</w:t>
      </w:r>
    </w:p>
    <w:p>
      <w:pPr>
        <w:spacing w:after="0" w:line="329" w:lineRule="exact"/>
        <w:jc w:val="left"/>
        <w:rPr>
          <w:rFonts w:ascii="Courier New"/>
          <w:sz w:val="22"/>
        </w:rPr>
        <w:sectPr>
          <w:pgSz w:w="7200" w:h="11340"/>
          <w:pgMar w:top="500" w:bottom="280" w:left="580" w:right="460"/>
        </w:sectPr>
      </w:pPr>
    </w:p>
    <w:p>
      <w:pPr>
        <w:tabs>
          <w:tab w:pos="2533" w:val="left" w:leader="none"/>
          <w:tab w:pos="3347" w:val="left" w:leader="none"/>
        </w:tabs>
        <w:spacing w:line="213" w:lineRule="exact" w:before="0"/>
        <w:ind w:left="186" w:right="0" w:firstLine="0"/>
        <w:jc w:val="left"/>
        <w:rPr>
          <w:rFonts w:ascii="Arial" w:hAnsi="Arial"/>
          <w:i/>
          <w:sz w:val="19"/>
        </w:rPr>
      </w:pPr>
      <w:r>
        <w:rPr>
          <w:i/>
          <w:sz w:val="25"/>
        </w:rPr>
        <w:t>ªC!</w:t>
        <w:tab/>
      </w:r>
      <w:r>
        <w:rPr>
          <w:rFonts w:ascii="Courier New" w:hAnsi="Courier New"/>
          <w:sz w:val="22"/>
        </w:rPr>
        <w:t>310</w:t>
        <w:tab/>
      </w:r>
      <w:r>
        <w:rPr>
          <w:rFonts w:ascii="Arial" w:hAnsi="Arial"/>
          <w:i/>
          <w:spacing w:val="4"/>
          <w:position w:val="-2"/>
          <w:sz w:val="19"/>
        </w:rPr>
        <w:t>(ES)</w:t>
      </w:r>
    </w:p>
    <w:p>
      <w:pPr>
        <w:tabs>
          <w:tab w:pos="2541" w:val="left" w:leader="none"/>
        </w:tabs>
        <w:spacing w:line="215" w:lineRule="exact" w:before="0"/>
        <w:ind w:left="194" w:right="0" w:firstLine="0"/>
        <w:jc w:val="left"/>
        <w:rPr>
          <w:rFonts w:ascii="Courier New"/>
          <w:sz w:val="22"/>
        </w:rPr>
      </w:pPr>
      <w:r>
        <w:rPr>
          <w:rFonts w:ascii="Courier New"/>
          <w:w w:val="49"/>
          <w:position w:val="3"/>
          <w:sz w:val="35"/>
        </w:rPr>
        <w:t>u</w:t>
      </w:r>
      <w:r>
        <w:rPr>
          <w:rFonts w:ascii="Courier New"/>
          <w:spacing w:val="-9"/>
          <w:w w:val="49"/>
          <w:position w:val="3"/>
          <w:sz w:val="35"/>
        </w:rPr>
        <w:t>c</w:t>
      </w:r>
      <w:r>
        <w:rPr>
          <w:rFonts w:ascii="Courier New"/>
          <w:w w:val="142"/>
          <w:position w:val="3"/>
          <w:sz w:val="35"/>
        </w:rPr>
        <w:t>!</w:t>
      </w:r>
      <w:r>
        <w:rPr>
          <w:rFonts w:ascii="Courier New"/>
          <w:w w:val="99"/>
          <w:sz w:val="22"/>
        </w:rPr>
        <w:t> </w:t>
      </w:r>
      <w:r>
        <w:rPr>
          <w:rFonts w:ascii="Courier New"/>
          <w:sz w:val="22"/>
        </w:rPr>
        <w:tab/>
      </w:r>
      <w:r>
        <w:rPr>
          <w:rFonts w:ascii="Courier New"/>
          <w:spacing w:val="-25"/>
          <w:w w:val="94"/>
          <w:sz w:val="22"/>
        </w:rPr>
        <w:t>3</w:t>
      </w:r>
      <w:r>
        <w:rPr>
          <w:rFonts w:ascii="Courier New"/>
          <w:spacing w:val="-17"/>
          <w:w w:val="96"/>
          <w:sz w:val="22"/>
        </w:rPr>
        <w:t>2</w:t>
      </w:r>
      <w:r>
        <w:rPr>
          <w:rFonts w:ascii="Courier New"/>
          <w:w w:val="66"/>
          <w:sz w:val="22"/>
        </w:rPr>
        <w:t>1</w:t>
      </w:r>
    </w:p>
    <w:p>
      <w:pPr>
        <w:tabs>
          <w:tab w:pos="1857" w:val="left" w:leader="none"/>
        </w:tabs>
        <w:spacing w:before="40"/>
        <w:ind w:left="-18" w:right="0" w:firstLine="0"/>
        <w:jc w:val="left"/>
        <w:rPr>
          <w:rFonts w:ascii="Courier New" w:hAnsi="Courier New"/>
          <w:sz w:val="22"/>
        </w:rPr>
      </w:pPr>
      <w:r>
        <w:rPr/>
        <w:br w:type="column"/>
      </w:r>
      <w:r>
        <w:rPr>
          <w:rFonts w:ascii="Arial" w:hAnsi="Arial"/>
          <w:i/>
          <w:w w:val="75"/>
          <w:position w:val="-3"/>
          <w:sz w:val="10"/>
        </w:rPr>
        <w:t>11</w:t>
      </w:r>
      <w:r>
        <w:rPr>
          <w:rFonts w:ascii="Arial" w:hAnsi="Arial"/>
          <w:i/>
          <w:spacing w:val="-14"/>
          <w:w w:val="75"/>
          <w:position w:val="-3"/>
          <w:sz w:val="10"/>
        </w:rPr>
        <w:t> </w:t>
      </w:r>
      <w:r>
        <w:rPr>
          <w:i/>
          <w:w w:val="75"/>
          <w:sz w:val="19"/>
        </w:rPr>
        <w:t>:;;;¡</w:t>
        <w:tab/>
      </w:r>
      <w:r>
        <w:rPr>
          <w:rFonts w:ascii="Courier New" w:hAnsi="Courier New"/>
          <w:w w:val="75"/>
          <w:position w:val="1"/>
          <w:sz w:val="22"/>
        </w:rPr>
        <w:t>311</w:t>
      </w:r>
    </w:p>
    <w:p>
      <w:pPr>
        <w:spacing w:after="0"/>
        <w:jc w:val="left"/>
        <w:rPr>
          <w:rFonts w:ascii="Courier New" w:hAnsi="Courier New"/>
          <w:sz w:val="22"/>
        </w:rPr>
        <w:sectPr>
          <w:type w:val="continuous"/>
          <w:pgSz w:w="7200" w:h="11340"/>
          <w:pgMar w:top="1100" w:bottom="0" w:left="580" w:right="460"/>
          <w:cols w:num="2" w:equalWidth="0">
            <w:col w:w="3762" w:space="40"/>
            <w:col w:w="2358"/>
          </w:cols>
        </w:sectPr>
      </w:pPr>
    </w:p>
    <w:p>
      <w:pPr>
        <w:tabs>
          <w:tab w:pos="2838" w:val="right" w:leader="none"/>
        </w:tabs>
        <w:spacing w:line="265" w:lineRule="exact" w:before="92"/>
        <w:ind w:left="190" w:right="0" w:firstLine="0"/>
        <w:jc w:val="left"/>
        <w:rPr>
          <w:rFonts w:ascii="Courier New"/>
          <w:sz w:val="22"/>
        </w:rPr>
      </w:pPr>
      <w:r>
        <w:rPr>
          <w:w w:val="65"/>
          <w:sz w:val="26"/>
        </w:rPr>
        <w:t>"'</w:t>
      </w:r>
      <w:r>
        <w:rPr>
          <w:spacing w:val="-10"/>
          <w:w w:val="65"/>
          <w:sz w:val="26"/>
        </w:rPr>
        <w:t>C</w:t>
      </w:r>
      <w:r>
        <w:rPr>
          <w:w w:val="224"/>
          <w:sz w:val="26"/>
        </w:rPr>
        <w:t>!</w:t>
      </w:r>
      <w:r>
        <w:rPr>
          <w:rFonts w:ascii="Courier New"/>
          <w:w w:val="99"/>
          <w:position w:val="1"/>
          <w:sz w:val="22"/>
        </w:rPr>
        <w:t> </w:t>
      </w:r>
      <w:r>
        <w:rPr>
          <w:rFonts w:ascii="Courier New"/>
          <w:position w:val="1"/>
          <w:sz w:val="22"/>
        </w:rPr>
        <w:tab/>
      </w:r>
      <w:r>
        <w:rPr>
          <w:rFonts w:ascii="Courier New"/>
          <w:spacing w:val="-30"/>
          <w:w w:val="98"/>
          <w:position w:val="1"/>
          <w:sz w:val="22"/>
        </w:rPr>
        <w:t>3</w:t>
      </w:r>
      <w:r>
        <w:rPr>
          <w:rFonts w:ascii="Courier New"/>
          <w:spacing w:val="-17"/>
          <w:w w:val="96"/>
          <w:position w:val="1"/>
          <w:sz w:val="22"/>
        </w:rPr>
        <w:t>2</w:t>
      </w:r>
      <w:r>
        <w:rPr>
          <w:rFonts w:ascii="Courier New"/>
          <w:w w:val="66"/>
          <w:position w:val="1"/>
          <w:sz w:val="22"/>
        </w:rPr>
        <w:t>1</w:t>
      </w:r>
    </w:p>
    <w:p>
      <w:pPr>
        <w:tabs>
          <w:tab w:pos="2846" w:val="right" w:leader="none"/>
        </w:tabs>
        <w:spacing w:line="225" w:lineRule="exact" w:before="0"/>
        <w:ind w:left="190" w:right="0" w:firstLine="0"/>
        <w:jc w:val="left"/>
        <w:rPr>
          <w:rFonts w:ascii="Courier New"/>
          <w:sz w:val="22"/>
        </w:rPr>
      </w:pPr>
      <w:r>
        <w:rPr/>
        <w:br w:type="column"/>
      </w:r>
      <w:r>
        <w:rPr>
          <w:i/>
          <w:w w:val="95"/>
          <w:sz w:val="21"/>
        </w:rPr>
        <w:t>Fx</w:t>
      </w:r>
      <w:r>
        <w:rPr>
          <w:rFonts w:ascii="Courier New"/>
          <w:w w:val="95"/>
          <w:position w:val="1"/>
          <w:sz w:val="22"/>
        </w:rPr>
        <w:tab/>
      </w:r>
      <w:r>
        <w:rPr>
          <w:rFonts w:ascii="Courier New"/>
          <w:spacing w:val="-8"/>
          <w:w w:val="95"/>
          <w:position w:val="1"/>
          <w:sz w:val="22"/>
        </w:rPr>
        <w:t>306</w:t>
      </w:r>
    </w:p>
    <w:p>
      <w:pPr>
        <w:spacing w:after="0" w:line="225" w:lineRule="exact"/>
        <w:jc w:val="left"/>
        <w:rPr>
          <w:rFonts w:ascii="Courier New"/>
          <w:sz w:val="22"/>
        </w:rPr>
        <w:sectPr>
          <w:type w:val="continuous"/>
          <w:pgSz w:w="7200" w:h="11340"/>
          <w:pgMar w:top="1100" w:bottom="0" w:left="580" w:right="460"/>
          <w:cols w:num="2" w:equalWidth="0">
            <w:col w:w="2839" w:space="286"/>
            <w:col w:w="3035"/>
          </w:cols>
        </w:sectPr>
      </w:pPr>
    </w:p>
    <w:p>
      <w:pPr>
        <w:tabs>
          <w:tab w:pos="2530" w:val="left" w:leader="none"/>
          <w:tab w:pos="3304" w:val="left" w:leader="none"/>
          <w:tab w:pos="5655" w:val="left" w:leader="none"/>
        </w:tabs>
        <w:spacing w:line="254" w:lineRule="exact" w:before="0"/>
        <w:ind w:left="190" w:right="0" w:firstLine="0"/>
        <w:jc w:val="left"/>
        <w:rPr>
          <w:rFonts w:ascii="Courier New"/>
          <w:sz w:val="22"/>
        </w:rPr>
      </w:pPr>
      <w:r>
        <w:rPr>
          <w:i/>
          <w:w w:val="85"/>
          <w:position w:val="-3"/>
          <w:sz w:val="25"/>
        </w:rPr>
        <w:t>C</w:t>
      </w:r>
      <w:r>
        <w:rPr>
          <w:i/>
          <w:spacing w:val="-14"/>
          <w:w w:val="85"/>
          <w:position w:val="-3"/>
          <w:sz w:val="25"/>
        </w:rPr>
        <w:t>;</w:t>
      </w:r>
      <w:r>
        <w:rPr>
          <w:i/>
          <w:w w:val="28"/>
          <w:position w:val="-3"/>
          <w:sz w:val="25"/>
        </w:rPr>
        <w:t>1c&gt;</w:t>
      </w:r>
      <w:r>
        <w:rPr>
          <w:i/>
          <w:position w:val="-3"/>
          <w:sz w:val="25"/>
        </w:rPr>
        <w:tab/>
      </w:r>
      <w:r>
        <w:rPr>
          <w:rFonts w:ascii="Courier New"/>
          <w:spacing w:val="-40"/>
          <w:w w:val="105"/>
          <w:position w:val="-7"/>
          <w:sz w:val="22"/>
        </w:rPr>
        <w:t>2</w:t>
      </w:r>
      <w:r>
        <w:rPr>
          <w:rFonts w:ascii="Courier New"/>
          <w:spacing w:val="-46"/>
          <w:w w:val="110"/>
          <w:position w:val="-7"/>
          <w:sz w:val="22"/>
        </w:rPr>
        <w:t>8</w:t>
      </w:r>
      <w:r>
        <w:rPr>
          <w:rFonts w:ascii="Courier New"/>
          <w:w w:val="106"/>
          <w:position w:val="-7"/>
          <w:sz w:val="22"/>
        </w:rPr>
        <w:t>4</w:t>
      </w:r>
      <w:r>
        <w:rPr>
          <w:rFonts w:ascii="Courier New"/>
          <w:position w:val="-7"/>
          <w:sz w:val="22"/>
        </w:rPr>
        <w:tab/>
      </w:r>
      <w:r>
        <w:rPr>
          <w:i/>
          <w:w w:val="56"/>
          <w:position w:val="1"/>
          <w:sz w:val="20"/>
        </w:rPr>
        <w:t>g;c</w:t>
      </w:r>
      <w:r>
        <w:rPr>
          <w:rFonts w:ascii="Courier New"/>
          <w:w w:val="99"/>
          <w:sz w:val="22"/>
        </w:rPr>
        <w:t> </w:t>
      </w:r>
      <w:r>
        <w:rPr>
          <w:rFonts w:ascii="Courier New"/>
          <w:sz w:val="22"/>
        </w:rPr>
        <w:tab/>
      </w:r>
      <w:r>
        <w:rPr>
          <w:rFonts w:ascii="Courier New"/>
          <w:spacing w:val="-31"/>
          <w:w w:val="90"/>
          <w:sz w:val="22"/>
        </w:rPr>
        <w:t>3</w:t>
      </w:r>
      <w:r>
        <w:rPr>
          <w:rFonts w:ascii="Courier New"/>
          <w:spacing w:val="-48"/>
          <w:w w:val="114"/>
          <w:sz w:val="22"/>
        </w:rPr>
        <w:t>0</w:t>
      </w:r>
      <w:r>
        <w:rPr>
          <w:rFonts w:ascii="Courier New"/>
          <w:w w:val="94"/>
          <w:sz w:val="22"/>
        </w:rPr>
        <w:t>5</w:t>
      </w:r>
    </w:p>
    <w:p>
      <w:pPr>
        <w:tabs>
          <w:tab w:pos="2537" w:val="left" w:leader="none"/>
          <w:tab w:pos="3347" w:val="left" w:leader="none"/>
          <w:tab w:pos="5647" w:val="left" w:leader="none"/>
        </w:tabs>
        <w:spacing w:line="291" w:lineRule="exact" w:before="0"/>
        <w:ind w:left="190" w:right="0" w:firstLine="0"/>
        <w:jc w:val="left"/>
        <w:rPr>
          <w:rFonts w:ascii="Courier New"/>
          <w:sz w:val="22"/>
        </w:rPr>
      </w:pPr>
      <w:r>
        <w:rPr>
          <w:i/>
          <w:spacing w:val="-7"/>
          <w:w w:val="95"/>
          <w:sz w:val="37"/>
        </w:rPr>
        <w:t>e:</w:t>
        <w:tab/>
      </w:r>
      <w:r>
        <w:rPr>
          <w:rFonts w:ascii="Courier New"/>
          <w:spacing w:val="-11"/>
          <w:w w:val="95"/>
          <w:position w:val="1"/>
          <w:sz w:val="22"/>
        </w:rPr>
        <w:t>309</w:t>
        <w:tab/>
      </w:r>
      <w:r>
        <w:rPr>
          <w:i/>
          <w:w w:val="85"/>
          <w:position w:val="1"/>
          <w:sz w:val="20"/>
        </w:rPr>
        <w:t>(</w:t>
      </w:r>
      <w:r>
        <w:rPr>
          <w:i/>
          <w:spacing w:val="-32"/>
          <w:w w:val="85"/>
          <w:position w:val="1"/>
          <w:sz w:val="20"/>
        </w:rPr>
        <w:t> </w:t>
      </w:r>
      <w:r>
        <w:rPr>
          <w:i/>
          <w:w w:val="95"/>
          <w:position w:val="1"/>
          <w:sz w:val="20"/>
        </w:rPr>
        <w:t>hd</w:t>
      </w:r>
      <w:r>
        <w:rPr>
          <w:i/>
          <w:spacing w:val="-20"/>
          <w:w w:val="95"/>
          <w:position w:val="1"/>
          <w:sz w:val="20"/>
        </w:rPr>
        <w:t> </w:t>
      </w:r>
      <w:r>
        <w:rPr>
          <w:i/>
          <w:w w:val="85"/>
          <w:position w:val="1"/>
          <w:sz w:val="20"/>
        </w:rPr>
        <w:t>):e</w:t>
      </w:r>
      <w:r>
        <w:rPr>
          <w:rFonts w:ascii="Courier New"/>
          <w:w w:val="85"/>
          <w:position w:val="1"/>
          <w:sz w:val="22"/>
        </w:rPr>
        <w:tab/>
      </w:r>
      <w:r>
        <w:rPr>
          <w:rFonts w:ascii="Courier New"/>
          <w:spacing w:val="-24"/>
          <w:w w:val="95"/>
          <w:position w:val="1"/>
          <w:sz w:val="22"/>
        </w:rPr>
        <w:t>291</w:t>
      </w:r>
    </w:p>
    <w:p>
      <w:pPr>
        <w:tabs>
          <w:tab w:pos="2533" w:val="left" w:leader="none"/>
          <w:tab w:pos="3347" w:val="left" w:leader="none"/>
          <w:tab w:pos="5651" w:val="left" w:leader="none"/>
        </w:tabs>
        <w:spacing w:line="258" w:lineRule="exact" w:before="0"/>
        <w:ind w:left="186" w:right="0" w:firstLine="0"/>
        <w:jc w:val="left"/>
        <w:rPr>
          <w:rFonts w:ascii="Courier New" w:hAnsi="Courier New"/>
          <w:sz w:val="22"/>
        </w:rPr>
      </w:pPr>
      <w:r>
        <w:rPr>
          <w:i/>
          <w:spacing w:val="3"/>
          <w:w w:val="90"/>
          <w:sz w:val="37"/>
        </w:rPr>
        <w:t>ªe;</w:t>
        <w:tab/>
      </w:r>
      <w:r>
        <w:rPr>
          <w:rFonts w:ascii="Courier New" w:hAnsi="Courier New"/>
          <w:spacing w:val="-7"/>
          <w:w w:val="90"/>
          <w:sz w:val="22"/>
        </w:rPr>
        <w:t>310</w:t>
        <w:tab/>
      </w:r>
      <w:r>
        <w:rPr>
          <w:b/>
          <w:i/>
          <w:w w:val="90"/>
          <w:position w:val="1"/>
          <w:sz w:val="20"/>
        </w:rPr>
        <w:t>(</w:t>
      </w:r>
      <w:r>
        <w:rPr>
          <w:b/>
          <w:i/>
          <w:spacing w:val="-32"/>
          <w:w w:val="90"/>
          <w:position w:val="1"/>
          <w:sz w:val="20"/>
        </w:rPr>
        <w:t> </w:t>
      </w:r>
      <w:r>
        <w:rPr>
          <w:b/>
          <w:i/>
          <w:w w:val="90"/>
          <w:position w:val="1"/>
          <w:sz w:val="20"/>
        </w:rPr>
        <w:t>hl</w:t>
      </w:r>
      <w:r>
        <w:rPr>
          <w:b/>
          <w:i/>
          <w:spacing w:val="-15"/>
          <w:w w:val="90"/>
          <w:position w:val="1"/>
          <w:sz w:val="20"/>
        </w:rPr>
        <w:t> </w:t>
      </w:r>
      <w:r>
        <w:rPr>
          <w:b/>
          <w:i/>
          <w:w w:val="90"/>
          <w:position w:val="1"/>
          <w:sz w:val="20"/>
        </w:rPr>
        <w:t>)x</w:t>
      </w:r>
      <w:r>
        <w:rPr>
          <w:rFonts w:ascii="Courier New" w:hAnsi="Courier New"/>
          <w:w w:val="90"/>
          <w:position w:val="1"/>
          <w:sz w:val="22"/>
        </w:rPr>
        <w:tab/>
      </w:r>
      <w:r>
        <w:rPr>
          <w:rFonts w:ascii="Courier New" w:hAnsi="Courier New"/>
          <w:spacing w:val="-23"/>
          <w:w w:val="90"/>
          <w:position w:val="1"/>
          <w:sz w:val="22"/>
        </w:rPr>
        <w:t>291</w:t>
      </w:r>
    </w:p>
    <w:p>
      <w:pPr>
        <w:tabs>
          <w:tab w:pos="2533" w:val="left" w:leader="none"/>
          <w:tab w:pos="3307" w:val="left" w:leader="none"/>
          <w:tab w:pos="5647" w:val="left" w:leader="none"/>
        </w:tabs>
        <w:spacing w:line="270" w:lineRule="exact" w:before="0"/>
        <w:ind w:left="190" w:right="0" w:firstLine="0"/>
        <w:jc w:val="left"/>
        <w:rPr>
          <w:rFonts w:ascii="Courier New"/>
          <w:sz w:val="22"/>
        </w:rPr>
      </w:pPr>
      <w:r>
        <w:rPr>
          <w:i/>
          <w:w w:val="85"/>
          <w:position w:val="5"/>
          <w:sz w:val="37"/>
        </w:rPr>
        <w:t>se;</w:t>
        <w:tab/>
      </w:r>
      <w:r>
        <w:rPr>
          <w:rFonts w:ascii="Courier New"/>
          <w:position w:val="1"/>
          <w:sz w:val="22"/>
        </w:rPr>
        <w:t>312</w:t>
        <w:tab/>
      </w:r>
      <w:r>
        <w:rPr>
          <w:i/>
          <w:sz w:val="20"/>
        </w:rPr>
        <w:t>"</w:t>
      </w:r>
      <w:r>
        <w:rPr>
          <w:i/>
          <w:spacing w:val="-32"/>
          <w:sz w:val="20"/>
        </w:rPr>
        <w:t> </w:t>
      </w:r>
      <w:r>
        <w:rPr>
          <w:i/>
          <w:sz w:val="20"/>
        </w:rPr>
        <w:t>(</w:t>
      </w:r>
      <w:r>
        <w:rPr>
          <w:i/>
          <w:spacing w:val="-40"/>
          <w:sz w:val="20"/>
        </w:rPr>
        <w:t> </w:t>
      </w:r>
      <w:r>
        <w:rPr>
          <w:i/>
          <w:sz w:val="20"/>
        </w:rPr>
        <w:t>hp</w:t>
      </w:r>
      <w:r>
        <w:rPr>
          <w:i/>
          <w:spacing w:val="-31"/>
          <w:sz w:val="20"/>
        </w:rPr>
        <w:t> </w:t>
      </w:r>
      <w:r>
        <w:rPr>
          <w:i/>
          <w:w w:val="85"/>
          <w:sz w:val="20"/>
        </w:rPr>
        <w:t>):e</w:t>
      </w:r>
      <w:r>
        <w:rPr>
          <w:rFonts w:ascii="Courier New"/>
          <w:w w:val="85"/>
          <w:position w:val="2"/>
          <w:sz w:val="22"/>
        </w:rPr>
        <w:tab/>
      </w:r>
      <w:r>
        <w:rPr>
          <w:rFonts w:ascii="Courier New"/>
          <w:spacing w:val="-27"/>
          <w:position w:val="2"/>
          <w:sz w:val="22"/>
        </w:rPr>
        <w:t>295</w:t>
      </w:r>
    </w:p>
    <w:p>
      <w:pPr>
        <w:tabs>
          <w:tab w:pos="2530" w:val="left" w:leader="none"/>
          <w:tab w:pos="3343" w:val="left" w:leader="none"/>
          <w:tab w:pos="5647" w:val="left" w:leader="none"/>
        </w:tabs>
        <w:spacing w:line="326" w:lineRule="exact" w:before="0"/>
        <w:ind w:left="190" w:right="0" w:firstLine="0"/>
        <w:jc w:val="left"/>
        <w:rPr>
          <w:rFonts w:ascii="Courier New"/>
          <w:sz w:val="22"/>
        </w:rPr>
      </w:pPr>
      <w:r>
        <w:rPr>
          <w:i/>
          <w:w w:val="75"/>
          <w:position w:val="4"/>
          <w:sz w:val="37"/>
        </w:rPr>
        <w:t>sae:</w:t>
        <w:tab/>
      </w:r>
      <w:r>
        <w:rPr>
          <w:rFonts w:ascii="Courier New"/>
          <w:w w:val="95"/>
          <w:sz w:val="22"/>
        </w:rPr>
        <w:t>312</w:t>
        <w:tab/>
      </w:r>
      <w:r>
        <w:rPr>
          <w:b/>
          <w:i/>
          <w:w w:val="95"/>
          <w:sz w:val="20"/>
        </w:rPr>
        <w:t>(</w:t>
      </w:r>
      <w:r>
        <w:rPr>
          <w:b/>
          <w:i/>
          <w:spacing w:val="-34"/>
          <w:w w:val="95"/>
          <w:sz w:val="20"/>
        </w:rPr>
        <w:t> </w:t>
      </w:r>
      <w:r>
        <w:rPr>
          <w:b/>
          <w:i/>
          <w:w w:val="95"/>
          <w:sz w:val="20"/>
        </w:rPr>
        <w:t>hq</w:t>
      </w:r>
      <w:r>
        <w:rPr>
          <w:b/>
          <w:i/>
          <w:spacing w:val="-27"/>
          <w:w w:val="95"/>
          <w:sz w:val="20"/>
        </w:rPr>
        <w:t> </w:t>
      </w:r>
      <w:r>
        <w:rPr>
          <w:b/>
          <w:i/>
          <w:w w:val="80"/>
          <w:sz w:val="20"/>
        </w:rPr>
        <w:t>)x</w:t>
      </w:r>
      <w:r>
        <w:rPr>
          <w:rFonts w:ascii="Courier New"/>
          <w:w w:val="80"/>
          <w:position w:val="1"/>
          <w:sz w:val="22"/>
        </w:rPr>
        <w:tab/>
      </w:r>
      <w:r>
        <w:rPr>
          <w:rFonts w:ascii="Courier New"/>
          <w:spacing w:val="-28"/>
          <w:w w:val="95"/>
          <w:position w:val="1"/>
          <w:sz w:val="22"/>
        </w:rPr>
        <w:t>292</w:t>
      </w:r>
    </w:p>
    <w:p>
      <w:pPr>
        <w:tabs>
          <w:tab w:pos="2530" w:val="left" w:leader="none"/>
          <w:tab w:pos="3307" w:val="left" w:leader="none"/>
          <w:tab w:pos="5647" w:val="left" w:leader="none"/>
        </w:tabs>
        <w:spacing w:line="285" w:lineRule="exact" w:before="0"/>
        <w:ind w:left="194" w:right="0" w:firstLine="0"/>
        <w:jc w:val="left"/>
        <w:rPr>
          <w:rFonts w:ascii="Courier New"/>
          <w:sz w:val="22"/>
        </w:rPr>
      </w:pPr>
      <w:r>
        <w:rPr>
          <w:rFonts w:ascii="Arial"/>
          <w:b/>
          <w:i/>
          <w:w w:val="85"/>
          <w:position w:val="6"/>
          <w:sz w:val="25"/>
        </w:rPr>
        <w:t>Zae;</w:t>
        <w:tab/>
      </w:r>
      <w:r>
        <w:rPr>
          <w:rFonts w:ascii="Courier New"/>
          <w:w w:val="85"/>
          <w:sz w:val="22"/>
        </w:rPr>
        <w:t>312</w:t>
        <w:tab/>
      </w:r>
      <w:r>
        <w:rPr>
          <w:rFonts w:ascii="Arial"/>
          <w:b/>
          <w:sz w:val="11"/>
        </w:rPr>
        <w:t>n( </w:t>
      </w:r>
      <w:r>
        <w:rPr>
          <w:b/>
          <w:i/>
          <w:w w:val="85"/>
          <w:sz w:val="20"/>
        </w:rPr>
        <w:t>(</w:t>
      </w:r>
      <w:r>
        <w:rPr>
          <w:b/>
          <w:i/>
          <w:spacing w:val="-25"/>
          <w:w w:val="85"/>
          <w:sz w:val="20"/>
        </w:rPr>
        <w:t> </w:t>
      </w:r>
      <w:r>
        <w:rPr>
          <w:b/>
          <w:i/>
          <w:w w:val="85"/>
          <w:sz w:val="20"/>
        </w:rPr>
        <w:t>hq</w:t>
      </w:r>
      <w:r>
        <w:rPr>
          <w:b/>
          <w:i/>
          <w:spacing w:val="-26"/>
          <w:w w:val="85"/>
          <w:sz w:val="20"/>
        </w:rPr>
        <w:t> </w:t>
      </w:r>
      <w:r>
        <w:rPr>
          <w:b/>
          <w:i/>
          <w:w w:val="85"/>
          <w:sz w:val="20"/>
        </w:rPr>
        <w:t>):e</w:t>
      </w:r>
      <w:r>
        <w:rPr>
          <w:rFonts w:ascii="Courier New"/>
          <w:w w:val="85"/>
          <w:position w:val="1"/>
          <w:sz w:val="22"/>
        </w:rPr>
        <w:tab/>
      </w:r>
      <w:r>
        <w:rPr>
          <w:rFonts w:ascii="Courier New"/>
          <w:spacing w:val="-28"/>
          <w:position w:val="1"/>
          <w:sz w:val="22"/>
        </w:rPr>
        <w:t>295</w:t>
      </w:r>
    </w:p>
    <w:p>
      <w:pPr>
        <w:tabs>
          <w:tab w:pos="2530" w:val="left" w:leader="none"/>
          <w:tab w:pos="3304" w:val="left" w:leader="none"/>
          <w:tab w:pos="5647" w:val="left" w:leader="none"/>
        </w:tabs>
        <w:spacing w:line="276" w:lineRule="exact" w:before="0"/>
        <w:ind w:left="186" w:right="0" w:firstLine="0"/>
        <w:jc w:val="left"/>
        <w:rPr>
          <w:rFonts w:ascii="Courier New" w:hAnsi="Courier New"/>
          <w:sz w:val="22"/>
        </w:rPr>
      </w:pPr>
      <w:r>
        <w:rPr>
          <w:i/>
          <w:spacing w:val="-6"/>
          <w:w w:val="95"/>
          <w:sz w:val="31"/>
        </w:rPr>
        <w:t>e;ª</w:t>
        <w:tab/>
      </w:r>
      <w:r>
        <w:rPr>
          <w:rFonts w:ascii="Courier New" w:hAnsi="Courier New"/>
          <w:spacing w:val="-5"/>
          <w:w w:val="95"/>
          <w:sz w:val="22"/>
        </w:rPr>
        <w:t>316</w:t>
        <w:tab/>
      </w:r>
      <w:r>
        <w:rPr>
          <w:b/>
          <w:i/>
          <w:w w:val="95"/>
          <w:position w:val="-7"/>
          <w:sz w:val="20"/>
        </w:rPr>
        <w:t>ix</w:t>
      </w:r>
      <w:r>
        <w:rPr>
          <w:rFonts w:ascii="Courier New" w:hAnsi="Courier New"/>
          <w:w w:val="95"/>
          <w:position w:val="-5"/>
          <w:sz w:val="22"/>
        </w:rPr>
        <w:tab/>
      </w:r>
      <w:r>
        <w:rPr>
          <w:rFonts w:ascii="Courier New" w:hAnsi="Courier New"/>
          <w:spacing w:val="-13"/>
          <w:w w:val="95"/>
          <w:position w:val="-5"/>
          <w:sz w:val="22"/>
        </w:rPr>
        <w:t>296</w:t>
      </w:r>
    </w:p>
    <w:p>
      <w:pPr>
        <w:spacing w:after="0" w:line="276" w:lineRule="exact"/>
        <w:jc w:val="left"/>
        <w:rPr>
          <w:rFonts w:ascii="Courier New" w:hAnsi="Courier New"/>
          <w:sz w:val="22"/>
        </w:rPr>
        <w:sectPr>
          <w:type w:val="continuous"/>
          <w:pgSz w:w="7200" w:h="11340"/>
          <w:pgMar w:top="1100" w:bottom="0" w:left="580" w:right="460"/>
        </w:sectPr>
      </w:pPr>
    </w:p>
    <w:p>
      <w:pPr>
        <w:tabs>
          <w:tab w:pos="2848" w:val="right" w:leader="none"/>
        </w:tabs>
        <w:spacing w:line="263" w:lineRule="exact" w:before="0"/>
        <w:ind w:left="190" w:right="0" w:firstLine="0"/>
        <w:jc w:val="left"/>
        <w:rPr>
          <w:rFonts w:ascii="Courier New"/>
          <w:sz w:val="22"/>
        </w:rPr>
      </w:pPr>
      <w:r>
        <w:rPr/>
        <w:pict>
          <v:shape style="position:absolute;margin-left:194.220001pt;margin-top:9.523016pt;width:7.95pt;height:14pt;mso-position-horizontal-relative:page;mso-position-vertical-relative:paragraph;z-index:32608" type="#_x0000_t202" filled="false" stroked="false">
            <v:textbox inset="0,0,0,0">
              <w:txbxContent>
                <w:p>
                  <w:pPr>
                    <w:spacing w:line="280" w:lineRule="exact" w:before="0"/>
                    <w:ind w:left="0" w:right="-14" w:firstLine="0"/>
                    <w:jc w:val="left"/>
                    <w:rPr>
                      <w:i/>
                      <w:sz w:val="28"/>
                    </w:rPr>
                  </w:pPr>
                  <w:r>
                    <w:rPr>
                      <w:i/>
                      <w:w w:val="70"/>
                      <w:sz w:val="28"/>
                    </w:rPr>
                    <w:t>k!</w:t>
                  </w:r>
                </w:p>
              </w:txbxContent>
            </v:textbox>
            <w10:wrap type="none"/>
          </v:shape>
        </w:pict>
      </w:r>
      <w:r>
        <w:rPr>
          <w:rFonts w:ascii="Courier New"/>
          <w:i/>
          <w:spacing w:val="-18"/>
          <w:sz w:val="36"/>
        </w:rPr>
        <w:t>e:</w:t>
      </w:r>
      <w:r>
        <w:rPr>
          <w:rFonts w:ascii="Courier New"/>
          <w:spacing w:val="-18"/>
          <w:position w:val="1"/>
          <w:sz w:val="22"/>
        </w:rPr>
        <w:tab/>
      </w:r>
      <w:r>
        <w:rPr>
          <w:rFonts w:ascii="Courier New"/>
          <w:spacing w:val="-7"/>
          <w:position w:val="1"/>
          <w:sz w:val="22"/>
        </w:rPr>
        <w:t>317</w:t>
      </w:r>
    </w:p>
    <w:p>
      <w:pPr>
        <w:tabs>
          <w:tab w:pos="2843" w:val="right" w:leader="none"/>
        </w:tabs>
        <w:spacing w:line="224" w:lineRule="exact" w:before="0"/>
        <w:ind w:left="194" w:right="0" w:firstLine="0"/>
        <w:jc w:val="left"/>
        <w:rPr>
          <w:rFonts w:ascii="Courier New"/>
          <w:sz w:val="22"/>
        </w:rPr>
      </w:pPr>
      <w:r>
        <w:rPr>
          <w:i/>
          <w:w w:val="60"/>
          <w:position w:val="3"/>
          <w:sz w:val="37"/>
        </w:rPr>
        <w:t>;</w:t>
      </w:r>
      <w:r>
        <w:rPr>
          <w:i/>
          <w:spacing w:val="-3"/>
          <w:w w:val="60"/>
          <w:position w:val="3"/>
          <w:sz w:val="37"/>
        </w:rPr>
        <w:t>e</w:t>
      </w:r>
      <w:r>
        <w:rPr>
          <w:i/>
          <w:w w:val="121"/>
          <w:position w:val="3"/>
          <w:sz w:val="37"/>
        </w:rPr>
        <w:t>:</w:t>
      </w:r>
      <w:r>
        <w:rPr>
          <w:rFonts w:ascii="Courier New"/>
          <w:w w:val="99"/>
          <w:sz w:val="22"/>
        </w:rPr>
        <w:t> </w:t>
      </w:r>
      <w:r>
        <w:rPr>
          <w:rFonts w:ascii="Courier New"/>
          <w:sz w:val="22"/>
        </w:rPr>
        <w:tab/>
      </w:r>
      <w:r>
        <w:rPr>
          <w:rFonts w:ascii="Courier New"/>
          <w:w w:val="78"/>
          <w:sz w:val="22"/>
        </w:rPr>
        <w:t>317</w:t>
      </w:r>
    </w:p>
    <w:p>
      <w:pPr>
        <w:spacing w:before="222"/>
        <w:ind w:left="190" w:right="-2" w:firstLine="0"/>
        <w:jc w:val="left"/>
        <w:rPr>
          <w:rFonts w:ascii="Courier New"/>
          <w:sz w:val="22"/>
        </w:rPr>
      </w:pPr>
      <w:r>
        <w:rPr/>
        <w:br w:type="column"/>
      </w:r>
      <w:r>
        <w:rPr>
          <w:rFonts w:ascii="Courier New"/>
          <w:w w:val="95"/>
          <w:sz w:val="22"/>
        </w:rPr>
        <w:t>329</w:t>
      </w:r>
    </w:p>
    <w:p>
      <w:pPr>
        <w:spacing w:after="0"/>
        <w:jc w:val="left"/>
        <w:rPr>
          <w:rFonts w:ascii="Courier New"/>
          <w:sz w:val="22"/>
        </w:rPr>
        <w:sectPr>
          <w:type w:val="continuous"/>
          <w:pgSz w:w="7200" w:h="11340"/>
          <w:pgMar w:top="1100" w:bottom="0" w:left="580" w:right="460"/>
          <w:cols w:num="2" w:equalWidth="0">
            <w:col w:w="3464" w:space="1998"/>
            <w:col w:w="698"/>
          </w:cols>
        </w:sectPr>
      </w:pPr>
    </w:p>
    <w:p>
      <w:pPr>
        <w:tabs>
          <w:tab w:pos="2530" w:val="left" w:leader="none"/>
          <w:tab w:pos="3304" w:val="left" w:leader="none"/>
          <w:tab w:pos="5980" w:val="right" w:leader="none"/>
        </w:tabs>
        <w:spacing w:line="361" w:lineRule="exact" w:before="0"/>
        <w:ind w:left="186" w:right="0" w:firstLine="0"/>
        <w:jc w:val="left"/>
        <w:rPr>
          <w:rFonts w:ascii="Courier New"/>
          <w:sz w:val="22"/>
        </w:rPr>
      </w:pPr>
      <w:r>
        <w:rPr>
          <w:i/>
          <w:w w:val="95"/>
          <w:position w:val="-9"/>
          <w:sz w:val="37"/>
        </w:rPr>
        <w:t>se:</w:t>
        <w:tab/>
      </w:r>
      <w:r>
        <w:rPr>
          <w:rFonts w:ascii="Courier New"/>
          <w:spacing w:val="-6"/>
          <w:w w:val="95"/>
          <w:position w:val="-12"/>
          <w:sz w:val="22"/>
        </w:rPr>
        <w:t>317</w:t>
        <w:tab/>
      </w:r>
      <w:r>
        <w:rPr>
          <w:rFonts w:ascii="Arial"/>
          <w:i/>
          <w:w w:val="95"/>
          <w:sz w:val="25"/>
        </w:rPr>
        <w:t>"'k;</w:t>
      </w:r>
      <w:r>
        <w:rPr>
          <w:rFonts w:ascii="Courier New"/>
          <w:w w:val="95"/>
          <w:position w:val="1"/>
          <w:sz w:val="22"/>
        </w:rPr>
        <w:tab/>
      </w:r>
      <w:r>
        <w:rPr>
          <w:rFonts w:ascii="Courier New"/>
          <w:spacing w:val="-23"/>
          <w:w w:val="95"/>
          <w:position w:val="1"/>
          <w:sz w:val="22"/>
        </w:rPr>
        <w:t>329</w:t>
      </w:r>
    </w:p>
    <w:p>
      <w:pPr>
        <w:spacing w:after="0" w:line="361" w:lineRule="exact"/>
        <w:jc w:val="left"/>
        <w:rPr>
          <w:rFonts w:ascii="Courier New"/>
          <w:sz w:val="22"/>
        </w:rPr>
        <w:sectPr>
          <w:type w:val="continuous"/>
          <w:pgSz w:w="7200" w:h="11340"/>
          <w:pgMar w:top="1100" w:bottom="0" w:left="580" w:right="460"/>
        </w:sectPr>
      </w:pPr>
    </w:p>
    <w:p>
      <w:pPr>
        <w:spacing w:line="259" w:lineRule="exact" w:before="61"/>
        <w:ind w:left="183" w:right="-18" w:firstLine="0"/>
        <w:jc w:val="left"/>
        <w:rPr>
          <w:i/>
          <w:sz w:val="37"/>
        </w:rPr>
      </w:pPr>
      <w:r>
        <w:rPr>
          <w:i/>
          <w:spacing w:val="14"/>
          <w:w w:val="50"/>
          <w:sz w:val="37"/>
        </w:rPr>
        <w:t>D</w:t>
      </w:r>
      <w:r>
        <w:rPr>
          <w:i/>
          <w:spacing w:val="-60"/>
          <w:w w:val="61"/>
          <w:sz w:val="37"/>
        </w:rPr>
        <w:t>ª</w:t>
      </w:r>
      <w:r>
        <w:rPr>
          <w:i/>
          <w:w w:val="97"/>
          <w:sz w:val="8"/>
        </w:rPr>
        <w:t>X</w:t>
      </w:r>
      <w:r>
        <w:rPr>
          <w:i/>
          <w:spacing w:val="-9"/>
          <w:sz w:val="8"/>
        </w:rPr>
        <w:t> </w:t>
      </w:r>
      <w:r>
        <w:rPr>
          <w:i/>
          <w:w w:val="61"/>
          <w:sz w:val="37"/>
        </w:rPr>
        <w:t>ª</w:t>
      </w:r>
    </w:p>
    <w:p>
      <w:pPr>
        <w:spacing w:line="124" w:lineRule="exact" w:before="196"/>
        <w:ind w:left="183" w:right="-20" w:firstLine="0"/>
        <w:jc w:val="left"/>
        <w:rPr>
          <w:rFonts w:ascii="Arial"/>
          <w:b/>
          <w:sz w:val="19"/>
        </w:rPr>
      </w:pPr>
      <w:r>
        <w:rPr/>
        <w:br w:type="column"/>
      </w:r>
      <w:r>
        <w:rPr>
          <w:rFonts w:ascii="Arial"/>
          <w:b/>
          <w:w w:val="95"/>
          <w:sz w:val="19"/>
        </w:rPr>
        <w:t>300</w:t>
      </w:r>
    </w:p>
    <w:p>
      <w:pPr>
        <w:tabs>
          <w:tab w:pos="2844" w:val="right" w:leader="none"/>
        </w:tabs>
        <w:spacing w:line="268" w:lineRule="exact" w:before="0"/>
        <w:ind w:left="183" w:right="0" w:firstLine="0"/>
        <w:jc w:val="left"/>
        <w:rPr>
          <w:rFonts w:ascii="Courier New"/>
          <w:sz w:val="22"/>
        </w:rPr>
      </w:pPr>
      <w:r>
        <w:rPr/>
        <w:br w:type="column"/>
      </w:r>
      <w:r>
        <w:rPr>
          <w:rFonts w:ascii="Arial"/>
          <w:i/>
          <w:w w:val="95"/>
          <w:sz w:val="20"/>
        </w:rPr>
        <w:t>L;T&gt;</w:t>
      </w:r>
      <w:r>
        <w:rPr>
          <w:rFonts w:ascii="Courier New"/>
          <w:w w:val="95"/>
          <w:position w:val="-3"/>
          <w:sz w:val="22"/>
        </w:rPr>
        <w:tab/>
      </w:r>
      <w:r>
        <w:rPr>
          <w:rFonts w:ascii="Courier New"/>
          <w:spacing w:val="-8"/>
          <w:w w:val="95"/>
          <w:position w:val="-3"/>
          <w:sz w:val="22"/>
        </w:rPr>
        <w:t>273</w:t>
      </w:r>
    </w:p>
    <w:p>
      <w:pPr>
        <w:spacing w:after="0" w:line="268" w:lineRule="exact"/>
        <w:jc w:val="left"/>
        <w:rPr>
          <w:rFonts w:ascii="Courier New"/>
          <w:sz w:val="22"/>
        </w:rPr>
        <w:sectPr>
          <w:type w:val="continuous"/>
          <w:pgSz w:w="7200" w:h="11340"/>
          <w:pgMar w:top="1100" w:bottom="0" w:left="580" w:right="460"/>
          <w:cols w:num="3" w:equalWidth="0">
            <w:col w:w="461" w:space="1883"/>
            <w:col w:w="485" w:space="293"/>
            <w:col w:w="3038"/>
          </w:cols>
        </w:sectPr>
      </w:pPr>
    </w:p>
    <w:p>
      <w:pPr>
        <w:tabs>
          <w:tab w:pos="2526" w:val="left" w:leader="none"/>
          <w:tab w:pos="3300" w:val="left" w:leader="none"/>
          <w:tab w:pos="5647" w:val="left" w:leader="none"/>
        </w:tabs>
        <w:spacing w:line="280" w:lineRule="exact" w:before="0"/>
        <w:ind w:left="176" w:right="0" w:firstLine="0"/>
        <w:jc w:val="left"/>
        <w:rPr>
          <w:rFonts w:ascii="Courier New"/>
          <w:sz w:val="22"/>
        </w:rPr>
      </w:pPr>
      <w:r>
        <w:rPr>
          <w:spacing w:val="-158"/>
          <w:w w:val="108"/>
          <w:position w:val="-5"/>
          <w:sz w:val="20"/>
        </w:rPr>
        <w:t>D</w:t>
      </w:r>
      <w:r>
        <w:rPr>
          <w:spacing w:val="-261"/>
          <w:w w:val="292"/>
          <w:position w:val="-5"/>
          <w:sz w:val="20"/>
        </w:rPr>
        <w:t>!</w:t>
      </w:r>
      <w:r>
        <w:rPr>
          <w:w w:val="93"/>
          <w:position w:val="-5"/>
          <w:sz w:val="20"/>
        </w:rPr>
        <w:t>i</w:t>
      </w:r>
      <w:r>
        <w:rPr>
          <w:position w:val="-5"/>
          <w:sz w:val="20"/>
        </w:rPr>
        <w:tab/>
      </w:r>
      <w:r>
        <w:rPr>
          <w:rFonts w:ascii="Arial"/>
          <w:b/>
          <w:w w:val="95"/>
          <w:position w:val="-8"/>
          <w:sz w:val="19"/>
        </w:rPr>
        <w:t>300</w:t>
      </w:r>
      <w:r>
        <w:rPr>
          <w:rFonts w:ascii="Arial"/>
          <w:b/>
          <w:position w:val="-8"/>
          <w:sz w:val="19"/>
        </w:rPr>
        <w:tab/>
      </w:r>
      <w:r>
        <w:rPr>
          <w:i/>
          <w:spacing w:val="-28"/>
          <w:w w:val="69"/>
          <w:sz w:val="30"/>
        </w:rPr>
        <w:t>r</w:t>
      </w:r>
      <w:r>
        <w:rPr>
          <w:i/>
          <w:w w:val="50"/>
          <w:sz w:val="30"/>
        </w:rPr>
        <w:t>;a</w:t>
      </w:r>
      <w:r>
        <w:rPr>
          <w:rFonts w:ascii="Courier New"/>
          <w:w w:val="99"/>
          <w:sz w:val="22"/>
        </w:rPr>
        <w:t> </w:t>
      </w:r>
      <w:r>
        <w:rPr>
          <w:rFonts w:ascii="Courier New"/>
          <w:sz w:val="22"/>
        </w:rPr>
        <w:tab/>
      </w:r>
      <w:r>
        <w:rPr>
          <w:rFonts w:ascii="Courier New"/>
          <w:spacing w:val="-35"/>
          <w:w w:val="96"/>
          <w:sz w:val="22"/>
        </w:rPr>
        <w:t>2</w:t>
      </w:r>
      <w:r>
        <w:rPr>
          <w:rFonts w:ascii="Courier New"/>
          <w:spacing w:val="-46"/>
          <w:w w:val="110"/>
          <w:sz w:val="22"/>
        </w:rPr>
        <w:t>9</w:t>
      </w:r>
      <w:r>
        <w:rPr>
          <w:rFonts w:ascii="Courier New"/>
          <w:w w:val="98"/>
          <w:sz w:val="22"/>
        </w:rPr>
        <w:t>5</w:t>
      </w:r>
    </w:p>
    <w:p>
      <w:pPr>
        <w:tabs>
          <w:tab w:pos="2526" w:val="left" w:leader="none"/>
          <w:tab w:pos="3304" w:val="left" w:leader="none"/>
          <w:tab w:pos="5644" w:val="left" w:leader="none"/>
        </w:tabs>
        <w:spacing w:line="342" w:lineRule="exact" w:before="0"/>
        <w:ind w:left="190" w:right="0" w:firstLine="0"/>
        <w:jc w:val="left"/>
        <w:rPr>
          <w:sz w:val="20"/>
        </w:rPr>
      </w:pPr>
      <w:r>
        <w:rPr>
          <w:i/>
          <w:w w:val="85"/>
          <w:position w:val="-6"/>
          <w:sz w:val="37"/>
        </w:rPr>
        <w:t>D;</w:t>
        <w:tab/>
      </w:r>
      <w:r>
        <w:rPr>
          <w:rFonts w:ascii="Arial"/>
          <w:b/>
          <w:w w:val="90"/>
          <w:position w:val="-8"/>
          <w:sz w:val="19"/>
        </w:rPr>
        <w:t>306</w:t>
        <w:tab/>
      </w:r>
      <w:r>
        <w:rPr>
          <w:w w:val="85"/>
          <w:position w:val="4"/>
          <w:sz w:val="32"/>
        </w:rPr>
        <w:t>z;i</w:t>
      </w:r>
      <w:r>
        <w:rPr>
          <w:w w:val="85"/>
          <w:sz w:val="20"/>
        </w:rPr>
        <w:tab/>
      </w:r>
      <w:r>
        <w:rPr>
          <w:w w:val="90"/>
          <w:sz w:val="20"/>
        </w:rPr>
        <w:t>296</w:t>
      </w:r>
    </w:p>
    <w:p>
      <w:pPr>
        <w:tabs>
          <w:tab w:pos="2530" w:val="left" w:leader="none"/>
          <w:tab w:pos="3300" w:val="left" w:leader="none"/>
          <w:tab w:pos="5644" w:val="left" w:leader="none"/>
        </w:tabs>
        <w:spacing w:line="275" w:lineRule="exact" w:before="0"/>
        <w:ind w:left="194" w:right="0" w:firstLine="0"/>
        <w:jc w:val="left"/>
        <w:rPr>
          <w:rFonts w:ascii="Courier New" w:hAnsi="Courier New"/>
          <w:sz w:val="22"/>
        </w:rPr>
      </w:pPr>
      <w:r>
        <w:rPr>
          <w:rFonts w:ascii="Courier New" w:hAnsi="Courier New"/>
          <w:i/>
          <w:spacing w:val="-9"/>
          <w:w w:val="95"/>
          <w:position w:val="-7"/>
          <w:sz w:val="30"/>
        </w:rPr>
        <w:t>ñ;</w:t>
        <w:tab/>
      </w:r>
      <w:r>
        <w:rPr>
          <w:rFonts w:ascii="Courier New" w:hAnsi="Courier New"/>
          <w:spacing w:val="-13"/>
          <w:w w:val="95"/>
          <w:position w:val="-8"/>
          <w:sz w:val="22"/>
        </w:rPr>
        <w:t>306</w:t>
        <w:tab/>
      </w:r>
      <w:r>
        <w:rPr>
          <w:i/>
          <w:w w:val="85"/>
          <w:sz w:val="25"/>
        </w:rPr>
        <w:t>l!"&gt;</w:t>
      </w:r>
      <w:r>
        <w:rPr>
          <w:rFonts w:ascii="Courier New" w:hAnsi="Courier New"/>
          <w:w w:val="85"/>
          <w:sz w:val="22"/>
        </w:rPr>
        <w:tab/>
      </w:r>
      <w:r>
        <w:rPr>
          <w:rFonts w:ascii="Courier New" w:hAnsi="Courier New"/>
          <w:spacing w:val="-24"/>
          <w:w w:val="95"/>
          <w:sz w:val="22"/>
        </w:rPr>
        <w:t>275</w:t>
      </w:r>
    </w:p>
    <w:p>
      <w:pPr>
        <w:tabs>
          <w:tab w:pos="2530" w:val="left" w:leader="none"/>
          <w:tab w:pos="3304" w:val="left" w:leader="none"/>
          <w:tab w:pos="5644" w:val="left" w:leader="none"/>
        </w:tabs>
        <w:spacing w:line="294" w:lineRule="exact" w:before="0"/>
        <w:ind w:left="204" w:right="0" w:firstLine="0"/>
        <w:jc w:val="left"/>
        <w:rPr>
          <w:b/>
          <w:sz w:val="18"/>
        </w:rPr>
      </w:pPr>
      <w:r>
        <w:rPr>
          <w:i/>
          <w:w w:val="78"/>
          <w:position w:val="-11"/>
          <w:sz w:val="37"/>
        </w:rPr>
        <w:t>'D;</w:t>
      </w:r>
      <w:r>
        <w:rPr>
          <w:i/>
          <w:position w:val="-11"/>
          <w:sz w:val="37"/>
        </w:rPr>
        <w:tab/>
      </w:r>
      <w:r>
        <w:rPr>
          <w:rFonts w:ascii="Courier New"/>
          <w:spacing w:val="-39"/>
          <w:w w:val="102"/>
          <w:position w:val="-12"/>
          <w:sz w:val="22"/>
        </w:rPr>
        <w:t>3</w:t>
      </w:r>
      <w:r>
        <w:rPr>
          <w:rFonts w:ascii="Courier New"/>
          <w:w w:val="85"/>
          <w:position w:val="-12"/>
          <w:sz w:val="22"/>
        </w:rPr>
        <w:t>06</w:t>
      </w:r>
      <w:r>
        <w:rPr>
          <w:rFonts w:ascii="Courier New"/>
          <w:position w:val="-12"/>
          <w:sz w:val="22"/>
        </w:rPr>
        <w:tab/>
      </w:r>
      <w:r>
        <w:rPr>
          <w:rFonts w:ascii="Arial"/>
          <w:w w:val="92"/>
          <w:sz w:val="18"/>
        </w:rPr>
        <w:t>z</w:t>
      </w:r>
      <w:r>
        <w:rPr>
          <w:rFonts w:ascii="Arial"/>
          <w:spacing w:val="-1"/>
          <w:w w:val="92"/>
          <w:sz w:val="18"/>
        </w:rPr>
        <w:t>:</w:t>
      </w:r>
      <w:r>
        <w:rPr>
          <w:rFonts w:ascii="Arial"/>
          <w:w w:val="36"/>
          <w:sz w:val="18"/>
        </w:rPr>
        <w:t>&lt;1c&gt;</w:t>
      </w:r>
      <w:r>
        <w:rPr>
          <w:b/>
          <w:position w:val="-3"/>
          <w:sz w:val="18"/>
        </w:rPr>
        <w:t> </w:t>
        <w:tab/>
      </w:r>
      <w:r>
        <w:rPr>
          <w:b/>
          <w:w w:val="107"/>
          <w:position w:val="-3"/>
          <w:sz w:val="18"/>
        </w:rPr>
        <w:t>277</w:t>
      </w:r>
    </w:p>
    <w:p>
      <w:pPr>
        <w:tabs>
          <w:tab w:pos="2533" w:val="left" w:leader="none"/>
          <w:tab w:pos="3304" w:val="left" w:leader="none"/>
          <w:tab w:pos="5644" w:val="left" w:leader="none"/>
        </w:tabs>
        <w:spacing w:line="259" w:lineRule="exact" w:before="0"/>
        <w:ind w:left="113" w:right="0" w:firstLine="0"/>
        <w:jc w:val="left"/>
        <w:rPr>
          <w:b/>
          <w:sz w:val="18"/>
        </w:rPr>
      </w:pPr>
      <w:r>
        <w:rPr>
          <w:rFonts w:ascii="Courier New" w:hAnsi="Courier New"/>
          <w:i/>
          <w:spacing w:val="-313"/>
          <w:w w:val="172"/>
          <w:position w:val="1"/>
          <w:sz w:val="30"/>
        </w:rPr>
        <w:t>'</w:t>
      </w:r>
      <w:r>
        <w:rPr>
          <w:rFonts w:ascii="Courier New" w:hAnsi="Courier New"/>
          <w:i/>
          <w:spacing w:val="-22"/>
          <w:w w:val="93"/>
          <w:position w:val="1"/>
          <w:sz w:val="30"/>
        </w:rPr>
        <w:t>ñ</w:t>
      </w:r>
      <w:r>
        <w:rPr>
          <w:rFonts w:ascii="Courier New" w:hAnsi="Courier New"/>
          <w:i/>
          <w:w w:val="99"/>
          <w:position w:val="1"/>
          <w:sz w:val="30"/>
        </w:rPr>
        <w:t>;</w:t>
      </w:r>
      <w:r>
        <w:rPr>
          <w:rFonts w:ascii="Courier New" w:hAnsi="Courier New"/>
          <w:i/>
          <w:position w:val="1"/>
          <w:sz w:val="30"/>
        </w:rPr>
        <w:tab/>
      </w:r>
      <w:r>
        <w:rPr>
          <w:w w:val="98"/>
          <w:sz w:val="20"/>
        </w:rPr>
        <w:t>306</w:t>
      </w:r>
      <w:r>
        <w:rPr>
          <w:sz w:val="20"/>
        </w:rPr>
        <w:tab/>
      </w:r>
      <w:r>
        <w:rPr>
          <w:i/>
          <w:w w:val="115"/>
          <w:position w:val="9"/>
          <w:sz w:val="25"/>
        </w:rPr>
        <w:t>l;</w:t>
      </w:r>
      <w:r>
        <w:rPr>
          <w:b/>
          <w:position w:val="9"/>
          <w:sz w:val="18"/>
        </w:rPr>
        <w:t> </w:t>
        <w:tab/>
      </w:r>
      <w:r>
        <w:rPr>
          <w:b/>
          <w:w w:val="109"/>
          <w:position w:val="9"/>
          <w:sz w:val="18"/>
        </w:rPr>
        <w:t>286</w:t>
      </w:r>
    </w:p>
    <w:p>
      <w:pPr>
        <w:tabs>
          <w:tab w:pos="2533" w:val="left" w:leader="none"/>
          <w:tab w:pos="3304" w:val="left" w:leader="none"/>
          <w:tab w:pos="5644" w:val="left" w:leader="none"/>
        </w:tabs>
        <w:spacing w:line="273" w:lineRule="exact" w:before="0"/>
        <w:ind w:left="197" w:right="0" w:firstLine="0"/>
        <w:jc w:val="left"/>
        <w:rPr>
          <w:b/>
          <w:sz w:val="18"/>
        </w:rPr>
      </w:pPr>
      <w:r>
        <w:rPr>
          <w:b/>
          <w:i/>
          <w:position w:val="-8"/>
          <w:sz w:val="21"/>
        </w:rPr>
        <w:t>;D;</w:t>
        <w:tab/>
      </w:r>
      <w:r>
        <w:rPr>
          <w:rFonts w:ascii="Courier New"/>
          <w:spacing w:val="-7"/>
          <w:position w:val="-13"/>
          <w:sz w:val="22"/>
        </w:rPr>
        <w:t>319</w:t>
        <w:tab/>
      </w:r>
      <w:r>
        <w:rPr>
          <w:i/>
          <w:sz w:val="25"/>
        </w:rPr>
        <w:t>l;T)</w:t>
      </w:r>
      <w:r>
        <w:rPr>
          <w:b/>
          <w:position w:val="-3"/>
          <w:sz w:val="18"/>
        </w:rPr>
        <w:tab/>
        <w:t>271</w:t>
      </w:r>
    </w:p>
    <w:p>
      <w:pPr>
        <w:tabs>
          <w:tab w:pos="2533" w:val="left" w:leader="none"/>
          <w:tab w:pos="3307" w:val="left" w:leader="none"/>
          <w:tab w:pos="5644" w:val="left" w:leader="none"/>
        </w:tabs>
        <w:spacing w:line="282" w:lineRule="exact" w:before="0"/>
        <w:ind w:left="194" w:right="0" w:firstLine="0"/>
        <w:jc w:val="left"/>
        <w:rPr>
          <w:rFonts w:ascii="Courier New"/>
          <w:sz w:val="22"/>
        </w:rPr>
      </w:pPr>
      <w:r>
        <w:rPr>
          <w:i/>
          <w:position w:val="3"/>
          <w:sz w:val="37"/>
        </w:rPr>
        <w:t>sn:</w:t>
        <w:tab/>
      </w:r>
      <w:r>
        <w:rPr>
          <w:rFonts w:ascii="Courier New"/>
          <w:sz w:val="22"/>
        </w:rPr>
        <w:t>312</w:t>
        <w:tab/>
      </w:r>
      <w:r>
        <w:rPr>
          <w:rFonts w:ascii="Arial"/>
          <w:b/>
          <w:i/>
          <w:w w:val="115"/>
          <w:sz w:val="22"/>
        </w:rPr>
        <w:t>M':</w:t>
      </w:r>
      <w:r>
        <w:rPr>
          <w:rFonts w:ascii="Courier New"/>
          <w:w w:val="115"/>
          <w:position w:val="2"/>
          <w:sz w:val="22"/>
        </w:rPr>
        <w:tab/>
      </w:r>
      <w:r>
        <w:rPr>
          <w:rFonts w:ascii="Courier New"/>
          <w:spacing w:val="-8"/>
          <w:position w:val="2"/>
          <w:sz w:val="22"/>
        </w:rPr>
        <w:t>285</w:t>
      </w:r>
    </w:p>
    <w:p>
      <w:pPr>
        <w:tabs>
          <w:tab w:pos="2537" w:val="left" w:leader="none"/>
          <w:tab w:pos="3307" w:val="left" w:leader="none"/>
          <w:tab w:pos="5647" w:val="left" w:leader="none"/>
        </w:tabs>
        <w:spacing w:line="362" w:lineRule="exact" w:before="0"/>
        <w:ind w:left="194" w:right="0" w:firstLine="0"/>
        <w:jc w:val="left"/>
        <w:rPr>
          <w:b/>
          <w:sz w:val="18"/>
        </w:rPr>
      </w:pPr>
      <w:r>
        <w:rPr>
          <w:i/>
          <w:sz w:val="37"/>
        </w:rPr>
        <w:t>sn:</w:t>
        <w:tab/>
      </w:r>
      <w:r>
        <w:rPr>
          <w:rFonts w:ascii="Courier New"/>
          <w:position w:val="-2"/>
          <w:sz w:val="22"/>
        </w:rPr>
        <w:t>316</w:t>
        <w:tab/>
      </w:r>
      <w:r>
        <w:rPr>
          <w:rFonts w:ascii="Arial"/>
          <w:b/>
          <w:i/>
          <w:position w:val="-2"/>
          <w:sz w:val="22"/>
        </w:rPr>
        <w:t>M!</w:t>
      </w:r>
      <w:r>
        <w:rPr>
          <w:b/>
          <w:sz w:val="18"/>
        </w:rPr>
        <w:tab/>
        <w:t>307</w:t>
      </w:r>
    </w:p>
    <w:p>
      <w:pPr>
        <w:spacing w:after="0" w:line="362" w:lineRule="exact"/>
        <w:jc w:val="left"/>
        <w:rPr>
          <w:sz w:val="18"/>
        </w:rPr>
        <w:sectPr>
          <w:type w:val="continuous"/>
          <w:pgSz w:w="7200" w:h="11340"/>
          <w:pgMar w:top="1100" w:bottom="0" w:left="580" w:right="460"/>
        </w:sectPr>
      </w:pPr>
    </w:p>
    <w:p>
      <w:pPr>
        <w:tabs>
          <w:tab w:pos="5625" w:val="left" w:leader="none"/>
        </w:tabs>
        <w:spacing w:before="58"/>
        <w:ind w:left="2163" w:right="0" w:firstLine="0"/>
        <w:jc w:val="left"/>
        <w:rPr>
          <w:rFonts w:ascii="Arial"/>
          <w:sz w:val="21"/>
        </w:rPr>
      </w:pPr>
      <w:r>
        <w:rPr>
          <w:b/>
          <w:position w:val="1"/>
          <w:sz w:val="15"/>
        </w:rPr>
        <w:t>INDEX </w:t>
      </w:r>
      <w:r>
        <w:rPr>
          <w:b/>
          <w:spacing w:val="37"/>
          <w:position w:val="1"/>
          <w:sz w:val="15"/>
        </w:rPr>
        <w:t> </w:t>
      </w:r>
      <w:r>
        <w:rPr>
          <w:b/>
          <w:position w:val="1"/>
          <w:sz w:val="15"/>
        </w:rPr>
        <w:t>TO </w:t>
      </w:r>
      <w:r>
        <w:rPr>
          <w:b/>
          <w:spacing w:val="32"/>
          <w:position w:val="1"/>
          <w:sz w:val="15"/>
        </w:rPr>
        <w:t> </w:t>
      </w:r>
      <w:r>
        <w:rPr>
          <w:b/>
          <w:position w:val="1"/>
          <w:sz w:val="15"/>
        </w:rPr>
        <w:t>NOTATION</w:t>
      </w:r>
      <w:r>
        <w:rPr>
          <w:rFonts w:ascii="Arial"/>
          <w:sz w:val="21"/>
        </w:rPr>
        <w:tab/>
        <w:t>385</w:t>
      </w:r>
    </w:p>
    <w:p>
      <w:pPr>
        <w:tabs>
          <w:tab w:pos="5614" w:val="left" w:leader="none"/>
        </w:tabs>
        <w:spacing w:line="345" w:lineRule="exact" w:before="128"/>
        <w:ind w:left="3286" w:right="0" w:firstLine="0"/>
        <w:jc w:val="left"/>
        <w:rPr>
          <w:rFonts w:ascii="Courier New"/>
          <w:sz w:val="22"/>
        </w:rPr>
      </w:pPr>
      <w:r>
        <w:rPr/>
        <w:pict>
          <v:shape style="position:absolute;margin-left:36.472919pt;margin-top:11.262605pt;width:138.8pt;height:111.3pt;mso-position-horizontal-relative:page;mso-position-vertical-relative:paragraph;z-index:32872"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49"/>
                    <w:gridCol w:w="1327"/>
                  </w:tblGrid>
                  <w:tr>
                    <w:trPr>
                      <w:trHeight w:val="272" w:hRule="exact"/>
                    </w:trPr>
                    <w:tc>
                      <w:tcPr>
                        <w:tcW w:w="1449" w:type="dxa"/>
                      </w:tcPr>
                      <w:p>
                        <w:pPr>
                          <w:pStyle w:val="TableParagraph"/>
                          <w:spacing w:line="255" w:lineRule="exact"/>
                          <w:ind w:left="74"/>
                          <w:rPr>
                            <w:rFonts w:ascii="Times New Roman"/>
                            <w:i/>
                            <w:sz w:val="25"/>
                          </w:rPr>
                        </w:pPr>
                        <w:r>
                          <w:rPr>
                            <w:rFonts w:ascii="Times New Roman"/>
                            <w:i/>
                            <w:w w:val="95"/>
                            <w:sz w:val="25"/>
                          </w:rPr>
                          <w:t>M!</w:t>
                        </w:r>
                      </w:p>
                    </w:tc>
                    <w:tc>
                      <w:tcPr>
                        <w:tcW w:w="1327" w:type="dxa"/>
                      </w:tcPr>
                      <w:p>
                        <w:pPr>
                          <w:pStyle w:val="TableParagraph"/>
                          <w:spacing w:before="11"/>
                          <w:ind w:right="41"/>
                          <w:jc w:val="right"/>
                          <w:rPr>
                            <w:sz w:val="22"/>
                          </w:rPr>
                        </w:pPr>
                        <w:r>
                          <w:rPr>
                            <w:w w:val="105"/>
                            <w:sz w:val="22"/>
                          </w:rPr>
                          <w:t>307</w:t>
                        </w:r>
                      </w:p>
                    </w:tc>
                  </w:tr>
                  <w:tr>
                    <w:trPr>
                      <w:trHeight w:val="267" w:hRule="exact"/>
                    </w:trPr>
                    <w:tc>
                      <w:tcPr>
                        <w:tcW w:w="1449" w:type="dxa"/>
                      </w:tcPr>
                      <w:p>
                        <w:pPr>
                          <w:pStyle w:val="TableParagraph"/>
                          <w:spacing w:line="275" w:lineRule="exact"/>
                          <w:ind w:left="74"/>
                          <w:rPr>
                            <w:rFonts w:ascii="Times New Roman"/>
                            <w:i/>
                            <w:sz w:val="25"/>
                          </w:rPr>
                        </w:pPr>
                        <w:r>
                          <w:rPr>
                            <w:rFonts w:ascii="Times New Roman"/>
                            <w:i/>
                            <w:w w:val="70"/>
                            <w:sz w:val="25"/>
                          </w:rPr>
                          <w:t>11M!</w:t>
                        </w:r>
                      </w:p>
                    </w:tc>
                    <w:tc>
                      <w:tcPr>
                        <w:tcW w:w="1327" w:type="dxa"/>
                      </w:tcPr>
                      <w:p>
                        <w:pPr>
                          <w:pStyle w:val="TableParagraph"/>
                          <w:spacing w:before="19"/>
                          <w:ind w:right="37"/>
                          <w:jc w:val="right"/>
                          <w:rPr>
                            <w:sz w:val="22"/>
                          </w:rPr>
                        </w:pPr>
                        <w:r>
                          <w:rPr>
                            <w:w w:val="105"/>
                            <w:sz w:val="22"/>
                          </w:rPr>
                          <w:t>307</w:t>
                        </w:r>
                      </w:p>
                    </w:tc>
                  </w:tr>
                  <w:tr>
                    <w:trPr>
                      <w:trHeight w:val="260" w:hRule="exact"/>
                    </w:trPr>
                    <w:tc>
                      <w:tcPr>
                        <w:tcW w:w="1449" w:type="dxa"/>
                      </w:tcPr>
                      <w:p>
                        <w:pPr>
                          <w:pStyle w:val="TableParagraph"/>
                          <w:spacing w:line="242" w:lineRule="exact"/>
                          <w:ind w:left="66"/>
                          <w:rPr>
                            <w:rFonts w:ascii="Arial"/>
                            <w:sz w:val="24"/>
                          </w:rPr>
                        </w:pPr>
                        <w:r>
                          <w:rPr>
                            <w:rFonts w:ascii="Arial"/>
                            <w:w w:val="65"/>
                            <w:sz w:val="24"/>
                          </w:rPr>
                          <w:t>4.</w:t>
                        </w:r>
                        <w:r>
                          <w:rPr>
                            <w:rFonts w:ascii="Arial"/>
                            <w:spacing w:val="-6"/>
                            <w:w w:val="65"/>
                            <w:sz w:val="24"/>
                          </w:rPr>
                          <w:t>M</w:t>
                        </w:r>
                        <w:r>
                          <w:rPr>
                            <w:rFonts w:ascii="Arial"/>
                            <w:w w:val="244"/>
                            <w:sz w:val="24"/>
                          </w:rPr>
                          <w:t>!</w:t>
                        </w:r>
                      </w:p>
                    </w:tc>
                    <w:tc>
                      <w:tcPr>
                        <w:tcW w:w="1327" w:type="dxa"/>
                      </w:tcPr>
                      <w:p>
                        <w:pPr>
                          <w:pStyle w:val="TableParagraph"/>
                          <w:spacing w:before="30"/>
                          <w:ind w:right="37"/>
                          <w:jc w:val="right"/>
                          <w:rPr>
                            <w:sz w:val="22"/>
                          </w:rPr>
                        </w:pPr>
                        <w:r>
                          <w:rPr>
                            <w:w w:val="90"/>
                            <w:sz w:val="22"/>
                          </w:rPr>
                          <w:t>307</w:t>
                        </w:r>
                      </w:p>
                    </w:tc>
                  </w:tr>
                  <w:tr>
                    <w:trPr>
                      <w:trHeight w:val="308" w:hRule="exact"/>
                    </w:trPr>
                    <w:tc>
                      <w:tcPr>
                        <w:tcW w:w="1449" w:type="dxa"/>
                      </w:tcPr>
                      <w:p>
                        <w:pPr>
                          <w:pStyle w:val="TableParagraph"/>
                          <w:spacing w:line="326" w:lineRule="exact"/>
                          <w:ind w:left="46"/>
                          <w:rPr>
                            <w:rFonts w:ascii="Arial"/>
                            <w:sz w:val="33"/>
                          </w:rPr>
                        </w:pPr>
                        <w:r>
                          <w:rPr>
                            <w:rFonts w:ascii="Arial"/>
                            <w:spacing w:val="-123"/>
                            <w:w w:val="193"/>
                            <w:sz w:val="33"/>
                          </w:rPr>
                          <w:t>:</w:t>
                        </w:r>
                        <w:r>
                          <w:rPr>
                            <w:rFonts w:ascii="Arial"/>
                            <w:spacing w:val="-33"/>
                            <w:w w:val="80"/>
                            <w:sz w:val="33"/>
                          </w:rPr>
                          <w:t>M</w:t>
                        </w:r>
                        <w:r>
                          <w:rPr>
                            <w:rFonts w:ascii="Arial"/>
                            <w:w w:val="182"/>
                            <w:sz w:val="33"/>
                          </w:rPr>
                          <w:t>:</w:t>
                        </w:r>
                      </w:p>
                    </w:tc>
                    <w:tc>
                      <w:tcPr>
                        <w:tcW w:w="1327" w:type="dxa"/>
                      </w:tcPr>
                      <w:p>
                        <w:pPr>
                          <w:pStyle w:val="TableParagraph"/>
                          <w:spacing w:before="54"/>
                          <w:ind w:right="33"/>
                          <w:jc w:val="right"/>
                          <w:rPr>
                            <w:sz w:val="22"/>
                          </w:rPr>
                        </w:pPr>
                        <w:r>
                          <w:rPr>
                            <w:w w:val="90"/>
                            <w:sz w:val="22"/>
                          </w:rPr>
                          <w:t>308</w:t>
                        </w:r>
                      </w:p>
                    </w:tc>
                  </w:tr>
                  <w:tr>
                    <w:trPr>
                      <w:trHeight w:val="270" w:hRule="exact"/>
                    </w:trPr>
                    <w:tc>
                      <w:tcPr>
                        <w:tcW w:w="1449" w:type="dxa"/>
                      </w:tcPr>
                      <w:p>
                        <w:pPr>
                          <w:pStyle w:val="TableParagraph"/>
                          <w:spacing w:line="235" w:lineRule="exact"/>
                          <w:ind w:left="84"/>
                          <w:rPr>
                            <w:rFonts w:ascii="Arial"/>
                            <w:i/>
                            <w:sz w:val="24"/>
                          </w:rPr>
                        </w:pPr>
                        <w:r>
                          <w:rPr>
                            <w:rFonts w:ascii="Arial"/>
                            <w:i/>
                            <w:w w:val="90"/>
                            <w:sz w:val="24"/>
                          </w:rPr>
                          <w:t>FM!</w:t>
                        </w:r>
                      </w:p>
                    </w:tc>
                    <w:tc>
                      <w:tcPr>
                        <w:tcW w:w="1327" w:type="dxa"/>
                      </w:tcPr>
                      <w:p>
                        <w:pPr>
                          <w:pStyle w:val="TableParagraph"/>
                          <w:spacing w:before="22"/>
                          <w:ind w:right="70"/>
                          <w:jc w:val="right"/>
                          <w:rPr>
                            <w:rFonts w:ascii="Arial"/>
                            <w:sz w:val="20"/>
                          </w:rPr>
                        </w:pPr>
                        <w:r>
                          <w:rPr>
                            <w:rFonts w:ascii="Arial"/>
                            <w:w w:val="85"/>
                            <w:sz w:val="20"/>
                          </w:rPr>
                          <w:t>307</w:t>
                        </w:r>
                      </w:p>
                    </w:tc>
                  </w:tr>
                  <w:tr>
                    <w:trPr>
                      <w:trHeight w:val="290" w:hRule="exact"/>
                    </w:trPr>
                    <w:tc>
                      <w:tcPr>
                        <w:tcW w:w="1449" w:type="dxa"/>
                      </w:tcPr>
                      <w:p>
                        <w:pPr>
                          <w:pStyle w:val="TableParagraph"/>
                          <w:spacing w:line="278" w:lineRule="exact"/>
                          <w:ind w:left="77"/>
                          <w:rPr>
                            <w:rFonts w:ascii="Times New Roman"/>
                            <w:i/>
                            <w:sz w:val="25"/>
                          </w:rPr>
                        </w:pPr>
                        <w:r>
                          <w:rPr>
                            <w:rFonts w:ascii="Times New Roman"/>
                            <w:i/>
                            <w:w w:val="70"/>
                            <w:sz w:val="25"/>
                          </w:rPr>
                          <w:t>11M;</w:t>
                        </w:r>
                      </w:p>
                    </w:tc>
                    <w:tc>
                      <w:tcPr>
                        <w:tcW w:w="1327" w:type="dxa"/>
                      </w:tcPr>
                      <w:p>
                        <w:pPr>
                          <w:pStyle w:val="TableParagraph"/>
                          <w:spacing w:before="51"/>
                          <w:ind w:right="63"/>
                          <w:jc w:val="right"/>
                          <w:rPr>
                            <w:rFonts w:ascii="Arial"/>
                            <w:sz w:val="18"/>
                          </w:rPr>
                        </w:pPr>
                        <w:r>
                          <w:rPr>
                            <w:rFonts w:ascii="Arial"/>
                            <w:w w:val="95"/>
                            <w:sz w:val="18"/>
                          </w:rPr>
                          <w:t>320</w:t>
                        </w:r>
                      </w:p>
                    </w:tc>
                  </w:tr>
                  <w:tr>
                    <w:trPr>
                      <w:trHeight w:val="265" w:hRule="exact"/>
                    </w:trPr>
                    <w:tc>
                      <w:tcPr>
                        <w:tcW w:w="1449" w:type="dxa"/>
                      </w:tcPr>
                      <w:p>
                        <w:pPr>
                          <w:pStyle w:val="TableParagraph"/>
                          <w:spacing w:line="252" w:lineRule="exact"/>
                          <w:ind w:left="81"/>
                          <w:rPr>
                            <w:rFonts w:ascii="Arial"/>
                            <w:i/>
                            <w:sz w:val="23"/>
                          </w:rPr>
                        </w:pPr>
                        <w:r>
                          <w:rPr>
                            <w:rFonts w:ascii="Arial"/>
                            <w:i/>
                            <w:w w:val="105"/>
                            <w:sz w:val="23"/>
                          </w:rPr>
                          <w:t>"M;</w:t>
                        </w:r>
                      </w:p>
                    </w:tc>
                    <w:tc>
                      <w:tcPr>
                        <w:tcW w:w="1327" w:type="dxa"/>
                      </w:tcPr>
                      <w:p>
                        <w:pPr>
                          <w:pStyle w:val="TableParagraph"/>
                          <w:spacing w:before="37"/>
                          <w:ind w:right="65"/>
                          <w:jc w:val="right"/>
                          <w:rPr>
                            <w:rFonts w:ascii="Times New Roman"/>
                            <w:sz w:val="19"/>
                          </w:rPr>
                        </w:pPr>
                        <w:r>
                          <w:rPr>
                            <w:rFonts w:ascii="Times New Roman"/>
                            <w:w w:val="105"/>
                            <w:sz w:val="19"/>
                          </w:rPr>
                          <w:t>321</w:t>
                        </w:r>
                      </w:p>
                    </w:tc>
                  </w:tr>
                  <w:tr>
                    <w:trPr>
                      <w:trHeight w:val="294" w:hRule="exact"/>
                    </w:trPr>
                    <w:tc>
                      <w:tcPr>
                        <w:tcW w:w="1449" w:type="dxa"/>
                      </w:tcPr>
                      <w:p>
                        <w:pPr>
                          <w:pStyle w:val="TableParagraph"/>
                          <w:spacing w:line="300" w:lineRule="exact"/>
                          <w:ind w:left="35"/>
                          <w:rPr>
                            <w:rFonts w:ascii="Arial" w:hAnsi="Arial"/>
                            <w:sz w:val="28"/>
                          </w:rPr>
                        </w:pPr>
                        <w:r>
                          <w:rPr>
                            <w:rFonts w:ascii="Arial" w:hAnsi="Arial"/>
                            <w:spacing w:val="-124"/>
                            <w:w w:val="228"/>
                            <w:sz w:val="28"/>
                          </w:rPr>
                          <w:t>:</w:t>
                        </w:r>
                        <w:r>
                          <w:rPr>
                            <w:rFonts w:ascii="Arial" w:hAnsi="Arial"/>
                            <w:w w:val="68"/>
                            <w:sz w:val="28"/>
                          </w:rPr>
                          <w:t>Aí</w:t>
                        </w:r>
                        <w:r>
                          <w:rPr>
                            <w:rFonts w:ascii="Arial" w:hAnsi="Arial"/>
                            <w:w w:val="209"/>
                            <w:sz w:val="28"/>
                          </w:rPr>
                          <w:t>!</w:t>
                        </w:r>
                      </w:p>
                    </w:tc>
                    <w:tc>
                      <w:tcPr>
                        <w:tcW w:w="1327" w:type="dxa"/>
                      </w:tcPr>
                      <w:p>
                        <w:pPr>
                          <w:pStyle w:val="TableParagraph"/>
                          <w:spacing w:before="43"/>
                          <w:ind w:right="50"/>
                          <w:jc w:val="right"/>
                          <w:rPr>
                            <w:sz w:val="22"/>
                          </w:rPr>
                        </w:pPr>
                        <w:r>
                          <w:rPr>
                            <w:w w:val="90"/>
                            <w:sz w:val="22"/>
                          </w:rPr>
                          <w:t>321</w:t>
                        </w:r>
                      </w:p>
                    </w:tc>
                  </w:tr>
                </w:tbl>
                <w:p>
                  <w:pPr>
                    <w:pStyle w:val="BodyText"/>
                  </w:pPr>
                </w:p>
              </w:txbxContent>
            </v:textbox>
            <w10:wrap type="none"/>
          </v:shape>
        </w:pict>
      </w:r>
      <w:r>
        <w:rPr>
          <w:rFonts w:ascii="Arial"/>
          <w:i/>
          <w:w w:val="105"/>
          <w:position w:val="3"/>
          <w:sz w:val="29"/>
        </w:rPr>
        <w:t>N;</w:t>
      </w:r>
      <w:r>
        <w:rPr>
          <w:rFonts w:ascii="Courier New"/>
          <w:w w:val="105"/>
          <w:sz w:val="22"/>
        </w:rPr>
        <w:tab/>
      </w:r>
      <w:r>
        <w:rPr>
          <w:rFonts w:ascii="Courier New"/>
          <w:spacing w:val="-29"/>
          <w:w w:val="105"/>
          <w:sz w:val="22"/>
        </w:rPr>
        <w:t>307</w:t>
      </w:r>
    </w:p>
    <w:p>
      <w:pPr>
        <w:tabs>
          <w:tab w:pos="5618" w:val="left" w:leader="none"/>
        </w:tabs>
        <w:spacing w:line="304" w:lineRule="exact" w:before="0"/>
        <w:ind w:left="3290" w:right="0" w:firstLine="0"/>
        <w:jc w:val="left"/>
        <w:rPr>
          <w:rFonts w:ascii="Courier New"/>
          <w:sz w:val="22"/>
        </w:rPr>
      </w:pPr>
      <w:r>
        <w:rPr/>
        <w:pict>
          <v:shape style="position:absolute;margin-left:195.515701pt;margin-top:15.155059pt;width:16.8pt;height:5.5pt;mso-position-horizontal-relative:page;mso-position-vertical-relative:paragraph;z-index:-703384" type="#_x0000_t202" filled="false" stroked="false">
            <v:textbox inset="0,0,0,0">
              <w:txbxContent>
                <w:p>
                  <w:pPr>
                    <w:spacing w:line="110" w:lineRule="exact" w:before="0"/>
                    <w:ind w:left="0" w:right="-19" w:firstLine="0"/>
                    <w:jc w:val="left"/>
                    <w:rPr>
                      <w:rFonts w:ascii="Arial"/>
                      <w:b/>
                      <w:i/>
                      <w:sz w:val="10"/>
                    </w:rPr>
                  </w:pPr>
                  <w:r>
                    <w:rPr>
                      <w:rFonts w:ascii="Arial"/>
                      <w:i/>
                      <w:w w:val="145"/>
                      <w:sz w:val="11"/>
                    </w:rPr>
                    <w:t>8 </w:t>
                  </w:r>
                  <w:r>
                    <w:rPr>
                      <w:rFonts w:ascii="Arial"/>
                      <w:b/>
                      <w:i/>
                      <w:w w:val="230"/>
                      <w:sz w:val="10"/>
                    </w:rPr>
                    <w:t>-</w:t>
                  </w:r>
                  <w:r>
                    <w:rPr>
                      <w:rFonts w:ascii="Arial"/>
                      <w:b/>
                      <w:i/>
                      <w:spacing w:val="-28"/>
                      <w:w w:val="230"/>
                      <w:sz w:val="10"/>
                    </w:rPr>
                    <w:t> </w:t>
                  </w:r>
                  <w:r>
                    <w:rPr>
                      <w:rFonts w:ascii="Arial"/>
                      <w:b/>
                      <w:i/>
                      <w:w w:val="145"/>
                      <w:sz w:val="10"/>
                    </w:rPr>
                    <w:t>T</w:t>
                  </w:r>
                </w:p>
              </w:txbxContent>
            </v:textbox>
            <w10:wrap type="none"/>
          </v:shape>
        </w:pict>
      </w:r>
      <w:r>
        <w:rPr>
          <w:i/>
          <w:spacing w:val="-64"/>
          <w:w w:val="88"/>
          <w:sz w:val="21"/>
        </w:rPr>
        <w:t>N</w:t>
      </w:r>
      <w:r>
        <w:rPr>
          <w:rFonts w:ascii="Arial"/>
          <w:b/>
          <w:spacing w:val="9"/>
          <w:w w:val="174"/>
          <w:position w:val="12"/>
          <w:sz w:val="15"/>
        </w:rPr>
        <w:t>-</w:t>
      </w:r>
      <w:r>
        <w:rPr>
          <w:i/>
          <w:spacing w:val="-40"/>
          <w:w w:val="74"/>
          <w:sz w:val="21"/>
        </w:rPr>
        <w:t>z</w:t>
      </w:r>
      <w:r>
        <w:rPr>
          <w:rFonts w:ascii="Arial"/>
          <w:b/>
          <w:w w:val="146"/>
          <w:position w:val="12"/>
          <w:sz w:val="15"/>
        </w:rPr>
        <w:t>r</w:t>
      </w:r>
      <w:r>
        <w:rPr>
          <w:rFonts w:ascii="Courier New"/>
          <w:w w:val="99"/>
          <w:sz w:val="22"/>
        </w:rPr>
        <w:t> </w:t>
      </w:r>
      <w:r>
        <w:rPr>
          <w:rFonts w:ascii="Courier New"/>
          <w:sz w:val="22"/>
        </w:rPr>
        <w:tab/>
      </w:r>
      <w:r>
        <w:rPr>
          <w:rFonts w:ascii="Courier New"/>
          <w:w w:val="84"/>
          <w:sz w:val="22"/>
        </w:rPr>
        <w:t>3</w:t>
      </w:r>
      <w:r>
        <w:rPr>
          <w:rFonts w:ascii="Courier New"/>
          <w:spacing w:val="-31"/>
          <w:w w:val="84"/>
          <w:sz w:val="22"/>
        </w:rPr>
        <w:t>0</w:t>
      </w:r>
      <w:r>
        <w:rPr>
          <w:rFonts w:ascii="Courier New"/>
          <w:w w:val="105"/>
          <w:sz w:val="22"/>
        </w:rPr>
        <w:t>7</w:t>
      </w:r>
    </w:p>
    <w:p>
      <w:pPr>
        <w:tabs>
          <w:tab w:pos="5622" w:val="left" w:leader="none"/>
        </w:tabs>
        <w:spacing w:line="244" w:lineRule="exact" w:before="23"/>
        <w:ind w:left="3358" w:right="0" w:firstLine="0"/>
        <w:jc w:val="left"/>
        <w:rPr>
          <w:rFonts w:ascii="Courier New"/>
          <w:sz w:val="22"/>
        </w:rPr>
      </w:pPr>
      <w:r>
        <w:rPr>
          <w:rFonts w:ascii="Courier New"/>
          <w:i/>
          <w:spacing w:val="-27"/>
          <w:sz w:val="23"/>
        </w:rPr>
        <w:t>Nz</w:t>
      </w:r>
      <w:r>
        <w:rPr>
          <w:rFonts w:ascii="Courier New"/>
          <w:spacing w:val="-27"/>
          <w:sz w:val="22"/>
        </w:rPr>
        <w:tab/>
      </w:r>
      <w:r>
        <w:rPr>
          <w:rFonts w:ascii="Courier New"/>
          <w:spacing w:val="-13"/>
          <w:sz w:val="22"/>
        </w:rPr>
        <w:t>316</w:t>
      </w:r>
    </w:p>
    <w:p>
      <w:pPr>
        <w:tabs>
          <w:tab w:pos="5625" w:val="left" w:leader="none"/>
        </w:tabs>
        <w:spacing w:line="296" w:lineRule="exact" w:before="0"/>
        <w:ind w:left="3290" w:right="0" w:firstLine="0"/>
        <w:jc w:val="left"/>
        <w:rPr>
          <w:rFonts w:ascii="Courier New"/>
          <w:sz w:val="22"/>
        </w:rPr>
      </w:pPr>
      <w:r>
        <w:rPr>
          <w:i/>
          <w:sz w:val="20"/>
        </w:rPr>
        <w:t>N;T&gt;</w:t>
      </w:r>
      <w:r>
        <w:rPr>
          <w:rFonts w:ascii="Courier New"/>
          <w:position w:val="-5"/>
          <w:sz w:val="22"/>
        </w:rPr>
        <w:tab/>
      </w:r>
      <w:r>
        <w:rPr>
          <w:rFonts w:ascii="Courier New"/>
          <w:spacing w:val="-31"/>
          <w:position w:val="-5"/>
          <w:sz w:val="22"/>
        </w:rPr>
        <w:t>284</w:t>
      </w:r>
    </w:p>
    <w:p>
      <w:pPr>
        <w:tabs>
          <w:tab w:pos="5629" w:val="left" w:leader="none"/>
        </w:tabs>
        <w:spacing w:line="316" w:lineRule="exact" w:before="72"/>
        <w:ind w:left="3293" w:right="0" w:firstLine="0"/>
        <w:jc w:val="left"/>
        <w:rPr>
          <w:rFonts w:ascii="Courier New"/>
          <w:sz w:val="22"/>
        </w:rPr>
      </w:pPr>
      <w:r>
        <w:rPr>
          <w:rFonts w:ascii="Courier New"/>
          <w:i/>
          <w:spacing w:val="-6"/>
          <w:sz w:val="31"/>
        </w:rPr>
        <w:t>P!</w:t>
      </w:r>
      <w:r>
        <w:rPr>
          <w:rFonts w:ascii="Courier New"/>
          <w:spacing w:val="-6"/>
          <w:sz w:val="22"/>
        </w:rPr>
        <w:tab/>
      </w:r>
      <w:r>
        <w:rPr>
          <w:rFonts w:ascii="Courier New"/>
          <w:spacing w:val="-23"/>
          <w:sz w:val="22"/>
        </w:rPr>
        <w:t>325</w:t>
      </w:r>
    </w:p>
    <w:p>
      <w:pPr>
        <w:tabs>
          <w:tab w:pos="5618" w:val="left" w:leader="none"/>
        </w:tabs>
        <w:spacing w:line="279" w:lineRule="exact" w:before="0"/>
        <w:ind w:left="3301" w:right="0" w:firstLine="0"/>
        <w:jc w:val="left"/>
        <w:rPr>
          <w:rFonts w:ascii="Courier New"/>
          <w:sz w:val="22"/>
        </w:rPr>
      </w:pPr>
      <w:r>
        <w:rPr>
          <w:i/>
          <w:sz w:val="28"/>
        </w:rPr>
        <w:t>P:'</w:t>
      </w:r>
      <w:r>
        <w:rPr>
          <w:rFonts w:ascii="Courier New"/>
          <w:sz w:val="22"/>
        </w:rPr>
        <w:tab/>
      </w:r>
      <w:r>
        <w:rPr>
          <w:rFonts w:ascii="Courier New"/>
          <w:spacing w:val="-24"/>
          <w:sz w:val="22"/>
        </w:rPr>
        <w:t>325</w:t>
      </w:r>
    </w:p>
    <w:p>
      <w:pPr>
        <w:spacing w:line="59" w:lineRule="exact" w:before="0"/>
        <w:ind w:left="1340" w:right="119" w:firstLine="0"/>
        <w:jc w:val="center"/>
        <w:rPr>
          <w:rFonts w:ascii="Arial"/>
          <w:i/>
          <w:sz w:val="12"/>
        </w:rPr>
      </w:pPr>
      <w:r>
        <w:rPr>
          <w:w w:val="135"/>
          <w:sz w:val="11"/>
        </w:rPr>
        <w:t>l </w:t>
      </w:r>
      <w:r>
        <w:rPr>
          <w:rFonts w:ascii="Arial"/>
          <w:i/>
          <w:w w:val="120"/>
          <w:sz w:val="12"/>
        </w:rPr>
        <w:t>ad</w:t>
      </w:r>
    </w:p>
    <w:p>
      <w:pPr>
        <w:spacing w:after="0" w:line="59" w:lineRule="exact"/>
        <w:jc w:val="center"/>
        <w:rPr>
          <w:rFonts w:ascii="Arial"/>
          <w:sz w:val="12"/>
        </w:rPr>
        <w:sectPr>
          <w:pgSz w:w="7200" w:h="11340"/>
          <w:pgMar w:top="500" w:bottom="280" w:left="620" w:right="460"/>
        </w:sectPr>
      </w:pPr>
    </w:p>
    <w:p>
      <w:pPr>
        <w:spacing w:before="9"/>
        <w:ind w:left="0" w:right="0" w:firstLine="0"/>
        <w:jc w:val="right"/>
        <w:rPr>
          <w:i/>
          <w:sz w:val="19"/>
        </w:rPr>
      </w:pPr>
      <w:r>
        <w:rPr/>
        <w:pict>
          <v:shape style="position:absolute;margin-left:195.874405pt;margin-top:21.00844pt;width:5.85pt;height:11.5pt;mso-position-horizontal-relative:page;mso-position-vertical-relative:paragraph;z-index:-703360" type="#_x0000_t202" filled="false" stroked="false">
            <v:textbox inset="0,0,0,0">
              <w:txbxContent>
                <w:p>
                  <w:pPr>
                    <w:spacing w:line="230" w:lineRule="exact" w:before="0"/>
                    <w:ind w:left="0" w:right="-17" w:firstLine="0"/>
                    <w:jc w:val="left"/>
                    <w:rPr>
                      <w:rFonts w:ascii="Courier New"/>
                      <w:i/>
                      <w:sz w:val="23"/>
                    </w:rPr>
                  </w:pPr>
                  <w:r>
                    <w:rPr>
                      <w:rFonts w:ascii="Courier New"/>
                      <w:i/>
                      <w:spacing w:val="-33"/>
                      <w:w w:val="65"/>
                      <w:sz w:val="23"/>
                    </w:rPr>
                    <w:t>Px</w:t>
                  </w:r>
                </w:p>
              </w:txbxContent>
            </v:textbox>
            <w10:wrap type="none"/>
          </v:shape>
        </w:pict>
      </w:r>
      <w:r>
        <w:rPr>
          <w:i/>
          <w:w w:val="70"/>
          <w:sz w:val="19"/>
        </w:rPr>
        <w:t>mPx </w:t>
      </w:r>
      <w:r>
        <w:rPr>
          <w:i/>
          <w:color w:val="313131"/>
          <w:w w:val="70"/>
          <w:sz w:val="19"/>
        </w:rPr>
        <w:t>:</w:t>
      </w:r>
      <w:r>
        <w:rPr>
          <w:i/>
          <w:w w:val="70"/>
          <w:sz w:val="19"/>
        </w:rPr>
        <w:t>ñ"I</w:t>
      </w:r>
    </w:p>
    <w:p>
      <w:pPr>
        <w:spacing w:line="228" w:lineRule="exact" w:before="0"/>
        <w:ind w:left="0" w:right="164" w:firstLine="0"/>
        <w:jc w:val="right"/>
        <w:rPr>
          <w:rFonts w:ascii="Courier New"/>
          <w:sz w:val="22"/>
        </w:rPr>
      </w:pPr>
      <w:r>
        <w:rPr/>
        <w:br w:type="column"/>
      </w:r>
      <w:r>
        <w:rPr>
          <w:rFonts w:ascii="Courier New"/>
          <w:w w:val="105"/>
          <w:sz w:val="22"/>
        </w:rPr>
        <w:t>285</w:t>
      </w:r>
    </w:p>
    <w:p>
      <w:pPr>
        <w:spacing w:after="0" w:line="228" w:lineRule="exact"/>
        <w:jc w:val="right"/>
        <w:rPr>
          <w:rFonts w:ascii="Courier New"/>
          <w:sz w:val="22"/>
        </w:rPr>
        <w:sectPr>
          <w:type w:val="continuous"/>
          <w:pgSz w:w="7200" w:h="11340"/>
          <w:pgMar w:top="1100" w:bottom="0" w:left="620" w:right="460"/>
          <w:cols w:num="2" w:equalWidth="0">
            <w:col w:w="3780" w:space="40"/>
            <w:col w:w="2300"/>
          </w:cols>
        </w:sectPr>
      </w:pPr>
    </w:p>
    <w:p>
      <w:pPr>
        <w:tabs>
          <w:tab w:pos="2830" w:val="right" w:leader="none"/>
        </w:tabs>
        <w:spacing w:before="53"/>
        <w:ind w:left="180" w:right="0" w:firstLine="0"/>
        <w:jc w:val="left"/>
        <w:rPr>
          <w:rFonts w:ascii="Courier New"/>
          <w:sz w:val="22"/>
        </w:rPr>
      </w:pPr>
      <w:r>
        <w:rPr>
          <w:i/>
          <w:spacing w:val="-31"/>
          <w:w w:val="135"/>
          <w:sz w:val="35"/>
        </w:rPr>
        <w:t>:it</w:t>
      </w:r>
      <w:r>
        <w:rPr>
          <w:rFonts w:ascii="Courier New"/>
          <w:spacing w:val="-31"/>
          <w:w w:val="135"/>
          <w:position w:val="1"/>
          <w:sz w:val="22"/>
        </w:rPr>
        <w:tab/>
      </w:r>
      <w:r>
        <w:rPr>
          <w:rFonts w:ascii="Courier New"/>
          <w:spacing w:val="-21"/>
          <w:w w:val="110"/>
          <w:position w:val="1"/>
          <w:sz w:val="22"/>
        </w:rPr>
        <w:t>321</w:t>
      </w:r>
    </w:p>
    <w:p>
      <w:pPr>
        <w:tabs>
          <w:tab w:pos="2511" w:val="left" w:leader="none"/>
        </w:tabs>
        <w:spacing w:before="153"/>
        <w:ind w:left="287" w:right="0" w:firstLine="0"/>
        <w:jc w:val="left"/>
        <w:rPr>
          <w:rFonts w:ascii="Courier New"/>
          <w:sz w:val="22"/>
        </w:rPr>
      </w:pPr>
      <w:r>
        <w:rPr/>
        <w:br w:type="column"/>
      </w:r>
      <w:r>
        <w:rPr>
          <w:rFonts w:ascii="Courier New"/>
          <w:b/>
          <w:w w:val="120"/>
          <w:position w:val="10"/>
          <w:sz w:val="9"/>
        </w:rPr>
        <w:t>44</w:t>
        <w:tab/>
      </w:r>
      <w:r>
        <w:rPr>
          <w:rFonts w:ascii="Courier New"/>
          <w:spacing w:val="-7"/>
          <w:w w:val="110"/>
          <w:sz w:val="22"/>
        </w:rPr>
        <w:t>296</w:t>
      </w:r>
    </w:p>
    <w:p>
      <w:pPr>
        <w:spacing w:after="0"/>
        <w:jc w:val="left"/>
        <w:rPr>
          <w:rFonts w:ascii="Courier New"/>
          <w:sz w:val="22"/>
        </w:rPr>
        <w:sectPr>
          <w:type w:val="continuous"/>
          <w:pgSz w:w="7200" w:h="11340"/>
          <w:pgMar w:top="1100" w:bottom="0" w:left="620" w:right="460"/>
          <w:cols w:num="2" w:equalWidth="0">
            <w:col w:w="2831" w:space="286"/>
            <w:col w:w="3003"/>
          </w:cols>
        </w:sectPr>
      </w:pPr>
    </w:p>
    <w:p>
      <w:pPr>
        <w:pStyle w:val="BodyText"/>
        <w:rPr>
          <w:rFonts w:ascii="Courier New"/>
          <w:sz w:val="32"/>
        </w:rPr>
      </w:pPr>
    </w:p>
    <w:p>
      <w:pPr>
        <w:pStyle w:val="BodyText"/>
        <w:rPr>
          <w:rFonts w:ascii="Courier New"/>
          <w:sz w:val="32"/>
        </w:rPr>
      </w:pPr>
    </w:p>
    <w:p>
      <w:pPr>
        <w:tabs>
          <w:tab w:pos="2522" w:val="left" w:leader="none"/>
        </w:tabs>
        <w:spacing w:line="355" w:lineRule="exact" w:before="287"/>
        <w:ind w:left="190" w:right="0" w:firstLine="0"/>
        <w:jc w:val="left"/>
        <w:rPr>
          <w:rFonts w:ascii="Courier New"/>
          <w:sz w:val="22"/>
        </w:rPr>
      </w:pPr>
      <w:r>
        <w:rPr/>
        <w:pict>
          <v:shape style="position:absolute;margin-left:38.967491pt;margin-top:-36.085423pt;width:292.1pt;height:54pt;mso-position-horizontal-relative:page;mso-position-vertical-relative:paragraph;z-index:3289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2325"/>
                    <w:gridCol w:w="597"/>
                    <w:gridCol w:w="1729"/>
                    <w:gridCol w:w="1191"/>
                  </w:tblGrid>
                  <w:tr>
                    <w:trPr>
                      <w:trHeight w:val="263" w:hRule="exact"/>
                    </w:trPr>
                    <w:tc>
                      <w:tcPr>
                        <w:tcW w:w="2922" w:type="dxa"/>
                        <w:gridSpan w:val="2"/>
                      </w:tcPr>
                      <w:p>
                        <w:pPr>
                          <w:pStyle w:val="TableParagraph"/>
                          <w:tabs>
                            <w:tab w:pos="2705" w:val="right" w:leader="none"/>
                          </w:tabs>
                          <w:spacing w:line="250" w:lineRule="exact"/>
                          <w:ind w:left="35"/>
                          <w:rPr>
                            <w:sz w:val="22"/>
                          </w:rPr>
                        </w:pPr>
                        <w:r>
                          <w:rPr>
                            <w:rFonts w:ascii="Times New Roman"/>
                            <w:i/>
                            <w:w w:val="85"/>
                            <w:sz w:val="27"/>
                          </w:rPr>
                          <w:t>M</w:t>
                        </w:r>
                        <w:r>
                          <w:rPr>
                            <w:rFonts w:ascii="Times New Roman"/>
                            <w:i/>
                            <w:spacing w:val="-24"/>
                            <w:w w:val="85"/>
                            <w:sz w:val="27"/>
                          </w:rPr>
                          <w:t> </w:t>
                        </w:r>
                        <w:r>
                          <w:rPr>
                            <w:rFonts w:ascii="Times New Roman"/>
                            <w:i/>
                            <w:w w:val="80"/>
                            <w:sz w:val="27"/>
                          </w:rPr>
                          <w:t>;t&gt;</w:t>
                        </w:r>
                        <w:r>
                          <w:rPr>
                            <w:w w:val="80"/>
                            <w:position w:val="-3"/>
                            <w:sz w:val="22"/>
                          </w:rPr>
                          <w:tab/>
                        </w:r>
                        <w:r>
                          <w:rPr>
                            <w:spacing w:val="-10"/>
                            <w:w w:val="85"/>
                            <w:position w:val="-3"/>
                            <w:sz w:val="22"/>
                          </w:rPr>
                          <w:t>284</w:t>
                        </w:r>
                      </w:p>
                    </w:tc>
                    <w:tc>
                      <w:tcPr>
                        <w:tcW w:w="1729" w:type="dxa"/>
                      </w:tcPr>
                      <w:p>
                        <w:pPr>
                          <w:pStyle w:val="TableParagraph"/>
                          <w:spacing w:line="35" w:lineRule="exact"/>
                          <w:ind w:left="324"/>
                          <w:rPr>
                            <w:rFonts w:ascii="Times New Roman"/>
                            <w:b/>
                            <w:i/>
                            <w:sz w:val="11"/>
                          </w:rPr>
                        </w:pPr>
                        <w:r>
                          <w:rPr>
                            <w:rFonts w:ascii="Times New Roman"/>
                            <w:b/>
                            <w:i/>
                            <w:w w:val="105"/>
                            <w:sz w:val="11"/>
                          </w:rPr>
                          <w:t>a.i</w:t>
                        </w:r>
                      </w:p>
                      <w:p>
                        <w:pPr>
                          <w:pStyle w:val="TableParagraph"/>
                          <w:spacing w:line="218" w:lineRule="exact"/>
                          <w:ind w:left="216"/>
                          <w:rPr>
                            <w:i/>
                            <w:sz w:val="23"/>
                          </w:rPr>
                        </w:pPr>
                        <w:r>
                          <w:rPr>
                            <w:i/>
                            <w:w w:val="80"/>
                            <w:sz w:val="23"/>
                          </w:rPr>
                          <w:t>Pz</w:t>
                        </w:r>
                      </w:p>
                    </w:tc>
                    <w:tc>
                      <w:tcPr>
                        <w:tcW w:w="1191" w:type="dxa"/>
                      </w:tcPr>
                      <w:p>
                        <w:pPr>
                          <w:pStyle w:val="TableParagraph"/>
                          <w:spacing w:line="228" w:lineRule="exact"/>
                          <w:ind w:right="39"/>
                          <w:jc w:val="right"/>
                          <w:rPr>
                            <w:sz w:val="22"/>
                          </w:rPr>
                        </w:pPr>
                        <w:r>
                          <w:rPr>
                            <w:w w:val="90"/>
                            <w:sz w:val="22"/>
                          </w:rPr>
                          <w:t>297</w:t>
                        </w:r>
                      </w:p>
                    </w:tc>
                  </w:tr>
                  <w:tr>
                    <w:trPr>
                      <w:trHeight w:val="278" w:hRule="exact"/>
                    </w:trPr>
                    <w:tc>
                      <w:tcPr>
                        <w:tcW w:w="2922" w:type="dxa"/>
                        <w:gridSpan w:val="2"/>
                      </w:tcPr>
                      <w:p>
                        <w:pPr>
                          <w:pStyle w:val="TableParagraph"/>
                          <w:tabs>
                            <w:tab w:pos="2694" w:val="right" w:leader="none"/>
                          </w:tabs>
                          <w:spacing w:line="267" w:lineRule="exact"/>
                          <w:ind w:left="38"/>
                          <w:rPr>
                            <w:sz w:val="22"/>
                          </w:rPr>
                        </w:pPr>
                        <w:r>
                          <w:rPr>
                            <w:rFonts w:ascii="Times New Roman"/>
                            <w:i/>
                            <w:w w:val="80"/>
                            <w:sz w:val="27"/>
                          </w:rPr>
                          <w:t>M</w:t>
                        </w:r>
                        <w:r>
                          <w:rPr>
                            <w:rFonts w:ascii="Times New Roman"/>
                            <w:i/>
                            <w:spacing w:val="-21"/>
                            <w:w w:val="80"/>
                            <w:sz w:val="27"/>
                          </w:rPr>
                          <w:t> </w:t>
                        </w:r>
                        <w:r>
                          <w:rPr>
                            <w:rFonts w:ascii="Times New Roman"/>
                            <w:i/>
                            <w:w w:val="80"/>
                            <w:sz w:val="27"/>
                          </w:rPr>
                          <w:t>;t&gt;</w:t>
                        </w:r>
                        <w:r>
                          <w:rPr>
                            <w:w w:val="80"/>
                            <w:position w:val="-3"/>
                            <w:sz w:val="22"/>
                          </w:rPr>
                          <w:tab/>
                        </w:r>
                        <w:r>
                          <w:rPr>
                            <w:spacing w:val="-28"/>
                            <w:w w:val="95"/>
                            <w:position w:val="-3"/>
                            <w:sz w:val="22"/>
                          </w:rPr>
                          <w:t>285</w:t>
                        </w:r>
                      </w:p>
                    </w:tc>
                    <w:tc>
                      <w:tcPr>
                        <w:tcW w:w="1729" w:type="dxa"/>
                      </w:tcPr>
                      <w:p>
                        <w:pPr>
                          <w:pStyle w:val="TableParagraph"/>
                          <w:spacing w:line="51" w:lineRule="exact"/>
                          <w:ind w:left="403"/>
                          <w:rPr>
                            <w:rFonts w:ascii="Times New Roman"/>
                            <w:b/>
                            <w:i/>
                            <w:sz w:val="11"/>
                          </w:rPr>
                        </w:pPr>
                        <w:r>
                          <w:rPr>
                            <w:rFonts w:ascii="Times New Roman"/>
                            <w:b/>
                            <w:i/>
                            <w:w w:val="105"/>
                            <w:sz w:val="11"/>
                          </w:rPr>
                          <w:t>a.i</w:t>
                        </w:r>
                      </w:p>
                      <w:p>
                        <w:pPr>
                          <w:pStyle w:val="TableParagraph"/>
                          <w:spacing w:line="216" w:lineRule="exact"/>
                          <w:ind w:left="220"/>
                          <w:rPr>
                            <w:i/>
                            <w:sz w:val="23"/>
                          </w:rPr>
                        </w:pPr>
                        <w:r>
                          <w:rPr>
                            <w:i/>
                            <w:w w:val="70"/>
                            <w:sz w:val="23"/>
                          </w:rPr>
                          <w:t>nPx</w:t>
                        </w:r>
                      </w:p>
                    </w:tc>
                    <w:tc>
                      <w:tcPr>
                        <w:tcW w:w="1191" w:type="dxa"/>
                      </w:tcPr>
                      <w:p>
                        <w:pPr>
                          <w:pStyle w:val="TableParagraph"/>
                          <w:spacing w:line="245" w:lineRule="exact"/>
                          <w:ind w:right="33"/>
                          <w:jc w:val="right"/>
                          <w:rPr>
                            <w:sz w:val="22"/>
                          </w:rPr>
                        </w:pPr>
                        <w:r>
                          <w:rPr>
                            <w:w w:val="105"/>
                            <w:sz w:val="22"/>
                          </w:rPr>
                          <w:t>298</w:t>
                        </w:r>
                      </w:p>
                    </w:tc>
                  </w:tr>
                  <w:tr>
                    <w:trPr>
                      <w:trHeight w:val="277" w:hRule="exact"/>
                    </w:trPr>
                    <w:tc>
                      <w:tcPr>
                        <w:tcW w:w="2325" w:type="dxa"/>
                      </w:tcPr>
                      <w:p>
                        <w:pPr>
                          <w:pStyle w:val="TableParagraph"/>
                          <w:spacing w:line="256" w:lineRule="exact"/>
                          <w:ind w:left="35"/>
                          <w:rPr>
                            <w:rFonts w:ascii="Arial"/>
                            <w:i/>
                            <w:sz w:val="25"/>
                          </w:rPr>
                        </w:pPr>
                        <w:r>
                          <w:rPr>
                            <w:rFonts w:ascii="Arial"/>
                            <w:i/>
                            <w:sz w:val="25"/>
                          </w:rPr>
                          <w:t>M:</w:t>
                        </w:r>
                      </w:p>
                    </w:tc>
                    <w:tc>
                      <w:tcPr>
                        <w:tcW w:w="597" w:type="dxa"/>
                      </w:tcPr>
                      <w:p>
                        <w:pPr>
                          <w:pStyle w:val="TableParagraph"/>
                          <w:spacing w:before="19"/>
                          <w:ind w:left="38"/>
                          <w:rPr>
                            <w:rFonts w:ascii="Arial"/>
                            <w:sz w:val="18"/>
                          </w:rPr>
                        </w:pPr>
                        <w:r>
                          <w:rPr>
                            <w:rFonts w:ascii="Arial"/>
                            <w:sz w:val="18"/>
                          </w:rPr>
                          <w:t>309</w:t>
                        </w:r>
                      </w:p>
                    </w:tc>
                    <w:tc>
                      <w:tcPr>
                        <w:tcW w:w="1729" w:type="dxa"/>
                      </w:tcPr>
                      <w:p>
                        <w:pPr>
                          <w:pStyle w:val="TableParagraph"/>
                          <w:spacing w:line="39" w:lineRule="exact"/>
                          <w:ind w:left="417"/>
                          <w:rPr>
                            <w:rFonts w:ascii="Times New Roman"/>
                            <w:sz w:val="12"/>
                          </w:rPr>
                        </w:pPr>
                        <w:r>
                          <w:rPr>
                            <w:rFonts w:ascii="Times New Roman"/>
                            <w:w w:val="144"/>
                            <w:sz w:val="12"/>
                          </w:rPr>
                          <w:t>i</w:t>
                        </w:r>
                      </w:p>
                      <w:p>
                        <w:pPr>
                          <w:pStyle w:val="TableParagraph"/>
                          <w:spacing w:line="185" w:lineRule="exact"/>
                          <w:ind w:left="216"/>
                          <w:rPr>
                            <w:rFonts w:ascii="Times New Roman"/>
                            <w:b/>
                            <w:i/>
                            <w:sz w:val="20"/>
                          </w:rPr>
                        </w:pPr>
                        <w:r>
                          <w:rPr>
                            <w:rFonts w:ascii="Times New Roman"/>
                            <w:b/>
                            <w:i/>
                            <w:w w:val="90"/>
                            <w:sz w:val="20"/>
                          </w:rPr>
                          <w:t>nPz</w:t>
                        </w:r>
                      </w:p>
                    </w:tc>
                    <w:tc>
                      <w:tcPr>
                        <w:tcW w:w="1191" w:type="dxa"/>
                      </w:tcPr>
                      <w:p>
                        <w:pPr>
                          <w:pStyle w:val="TableParagraph"/>
                          <w:spacing w:line="233" w:lineRule="exact"/>
                          <w:ind w:right="34"/>
                          <w:jc w:val="right"/>
                          <w:rPr>
                            <w:sz w:val="22"/>
                          </w:rPr>
                        </w:pPr>
                        <w:r>
                          <w:rPr>
                            <w:w w:val="90"/>
                            <w:sz w:val="22"/>
                          </w:rPr>
                          <w:t>298</w:t>
                        </w:r>
                      </w:p>
                    </w:tc>
                  </w:tr>
                  <w:tr>
                    <w:trPr>
                      <w:trHeight w:val="262" w:hRule="exact"/>
                    </w:trPr>
                    <w:tc>
                      <w:tcPr>
                        <w:tcW w:w="2325" w:type="dxa"/>
                      </w:tcPr>
                      <w:p>
                        <w:pPr>
                          <w:pStyle w:val="TableParagraph"/>
                          <w:spacing w:line="267" w:lineRule="exact"/>
                          <w:ind w:left="35"/>
                          <w:rPr>
                            <w:rFonts w:ascii="Arial" w:hAnsi="Arial"/>
                            <w:i/>
                            <w:sz w:val="25"/>
                          </w:rPr>
                        </w:pPr>
                        <w:r>
                          <w:rPr>
                            <w:rFonts w:ascii="Arial" w:hAnsi="Arial"/>
                            <w:i/>
                            <w:sz w:val="25"/>
                          </w:rPr>
                          <w:t>ªM:</w:t>
                        </w:r>
                      </w:p>
                    </w:tc>
                    <w:tc>
                      <w:tcPr>
                        <w:tcW w:w="597" w:type="dxa"/>
                      </w:tcPr>
                      <w:p>
                        <w:pPr>
                          <w:pStyle w:val="TableParagraph"/>
                          <w:spacing w:before="34"/>
                          <w:ind w:left="42"/>
                          <w:rPr>
                            <w:rFonts w:ascii="Arial"/>
                            <w:sz w:val="18"/>
                          </w:rPr>
                        </w:pPr>
                        <w:r>
                          <w:rPr>
                            <w:rFonts w:ascii="Arial"/>
                            <w:sz w:val="18"/>
                          </w:rPr>
                          <w:t>310</w:t>
                        </w:r>
                      </w:p>
                    </w:tc>
                    <w:tc>
                      <w:tcPr>
                        <w:tcW w:w="1729" w:type="dxa"/>
                      </w:tcPr>
                      <w:p>
                        <w:pPr>
                          <w:pStyle w:val="TableParagraph"/>
                          <w:spacing w:line="78" w:lineRule="exact"/>
                          <w:ind w:right="331"/>
                          <w:jc w:val="center"/>
                          <w:rPr>
                            <w:rFonts w:ascii="Times New Roman"/>
                            <w:i/>
                            <w:sz w:val="12"/>
                          </w:rPr>
                        </w:pPr>
                        <w:r>
                          <w:rPr>
                            <w:rFonts w:ascii="Times New Roman"/>
                            <w:i/>
                            <w:w w:val="132"/>
                            <w:sz w:val="12"/>
                          </w:rPr>
                          <w:t>i</w:t>
                        </w:r>
                      </w:p>
                      <w:p>
                        <w:pPr>
                          <w:pStyle w:val="TableParagraph"/>
                          <w:spacing w:line="170" w:lineRule="exact"/>
                          <w:ind w:left="234"/>
                          <w:rPr>
                            <w:rFonts w:ascii="Times New Roman"/>
                            <w:sz w:val="17"/>
                          </w:rPr>
                        </w:pPr>
                        <w:r>
                          <w:rPr>
                            <w:rFonts w:ascii="Times New Roman"/>
                            <w:sz w:val="17"/>
                          </w:rPr>
                          <w:t>mmPt.r+tJ</w:t>
                        </w:r>
                      </w:p>
                    </w:tc>
                    <w:tc>
                      <w:tcPr>
                        <w:tcW w:w="1191" w:type="dxa"/>
                      </w:tcPr>
                      <w:p>
                        <w:pPr>
                          <w:pStyle w:val="TableParagraph"/>
                          <w:spacing w:before="4"/>
                          <w:ind w:right="66"/>
                          <w:jc w:val="right"/>
                          <w:rPr>
                            <w:rFonts w:ascii="Times New Roman"/>
                            <w:sz w:val="19"/>
                          </w:rPr>
                        </w:pPr>
                        <w:r>
                          <w:rPr>
                            <w:rFonts w:ascii="Times New Roman"/>
                            <w:w w:val="105"/>
                            <w:sz w:val="19"/>
                          </w:rPr>
                          <w:t>320</w:t>
                        </w:r>
                      </w:p>
                    </w:tc>
                  </w:tr>
                </w:tbl>
                <w:p>
                  <w:pPr>
                    <w:pStyle w:val="BodyText"/>
                  </w:pPr>
                </w:p>
              </w:txbxContent>
            </v:textbox>
            <w10:wrap type="none"/>
          </v:shape>
        </w:pict>
      </w:r>
      <w:r>
        <w:rPr>
          <w:b/>
          <w:i/>
          <w:w w:val="85"/>
          <w:sz w:val="26"/>
        </w:rPr>
        <w:t>SaM;</w:t>
      </w:r>
      <w:r>
        <w:rPr>
          <w:rFonts w:ascii="Courier New"/>
          <w:w w:val="85"/>
          <w:position w:val="-4"/>
          <w:sz w:val="22"/>
        </w:rPr>
        <w:tab/>
      </w:r>
      <w:r>
        <w:rPr>
          <w:rFonts w:ascii="Courier New"/>
          <w:spacing w:val="-6"/>
          <w:w w:val="85"/>
          <w:position w:val="-4"/>
          <w:sz w:val="22"/>
        </w:rPr>
        <w:t>312</w:t>
      </w:r>
    </w:p>
    <w:p>
      <w:pPr>
        <w:pStyle w:val="BodyText"/>
        <w:rPr>
          <w:rFonts w:ascii="Courier New"/>
          <w:sz w:val="30"/>
        </w:rPr>
      </w:pPr>
      <w:r>
        <w:rPr/>
        <w:br w:type="column"/>
      </w:r>
      <w:r>
        <w:rPr>
          <w:rFonts w:ascii="Courier New"/>
          <w:sz w:val="30"/>
        </w:rPr>
      </w:r>
    </w:p>
    <w:p>
      <w:pPr>
        <w:pStyle w:val="BodyText"/>
        <w:rPr>
          <w:rFonts w:ascii="Courier New"/>
          <w:sz w:val="30"/>
        </w:rPr>
      </w:pPr>
    </w:p>
    <w:p>
      <w:pPr>
        <w:pStyle w:val="BodyText"/>
        <w:spacing w:before="9"/>
        <w:rPr>
          <w:rFonts w:ascii="Courier New"/>
          <w:sz w:val="32"/>
        </w:rPr>
      </w:pPr>
    </w:p>
    <w:p>
      <w:pPr>
        <w:tabs>
          <w:tab w:pos="2868" w:val="right" w:leader="none"/>
        </w:tabs>
        <w:spacing w:line="316" w:lineRule="exact" w:before="0"/>
        <w:ind w:left="190" w:right="0" w:firstLine="0"/>
        <w:jc w:val="left"/>
        <w:rPr>
          <w:rFonts w:ascii="Courier New"/>
          <w:sz w:val="22"/>
        </w:rPr>
      </w:pPr>
      <w:r>
        <w:rPr>
          <w:rFonts w:ascii="Courier New"/>
          <w:i/>
          <w:w w:val="65"/>
          <w:position w:val="-7"/>
          <w:sz w:val="23"/>
        </w:rPr>
        <w:t>P</w:t>
      </w:r>
      <w:r>
        <w:rPr>
          <w:rFonts w:ascii="Courier New"/>
          <w:i/>
          <w:spacing w:val="-61"/>
          <w:w w:val="65"/>
          <w:position w:val="-7"/>
          <w:sz w:val="23"/>
        </w:rPr>
        <w:t>x</w:t>
      </w:r>
      <w:r>
        <w:rPr>
          <w:rFonts w:ascii="Arial"/>
          <w:spacing w:val="-27"/>
          <w:w w:val="260"/>
          <w:sz w:val="19"/>
        </w:rPr>
        <w:t>'</w:t>
      </w:r>
      <w:r>
        <w:rPr>
          <w:rFonts w:ascii="Arial"/>
          <w:w w:val="52"/>
          <w:sz w:val="19"/>
        </w:rPr>
        <w:t>&lt;"&gt;</w:t>
      </w:r>
      <w:r>
        <w:rPr>
          <w:rFonts w:ascii="Courier New"/>
          <w:w w:val="99"/>
          <w:position w:val="-4"/>
          <w:sz w:val="22"/>
        </w:rPr>
        <w:t> </w:t>
      </w:r>
      <w:r>
        <w:rPr>
          <w:rFonts w:ascii="Courier New"/>
          <w:position w:val="-4"/>
          <w:sz w:val="22"/>
        </w:rPr>
        <w:tab/>
      </w:r>
      <w:r>
        <w:rPr>
          <w:rFonts w:ascii="Courier New"/>
          <w:spacing w:val="-37"/>
          <w:w w:val="100"/>
          <w:position w:val="-4"/>
          <w:sz w:val="22"/>
        </w:rPr>
        <w:t>2</w:t>
      </w:r>
      <w:r>
        <w:rPr>
          <w:rFonts w:ascii="Courier New"/>
          <w:spacing w:val="-50"/>
          <w:w w:val="110"/>
          <w:position w:val="-4"/>
          <w:sz w:val="22"/>
        </w:rPr>
        <w:t>8</w:t>
      </w:r>
      <w:r>
        <w:rPr>
          <w:rFonts w:ascii="Courier New"/>
          <w:w w:val="114"/>
          <w:position w:val="-4"/>
          <w:sz w:val="22"/>
        </w:rPr>
        <w:t>0</w:t>
      </w:r>
    </w:p>
    <w:p>
      <w:pPr>
        <w:spacing w:after="0" w:line="316" w:lineRule="exact"/>
        <w:jc w:val="left"/>
        <w:rPr>
          <w:rFonts w:ascii="Courier New"/>
          <w:sz w:val="22"/>
        </w:rPr>
        <w:sectPr>
          <w:type w:val="continuous"/>
          <w:pgSz w:w="7200" w:h="11340"/>
          <w:pgMar w:top="1100" w:bottom="0" w:left="620" w:right="460"/>
          <w:cols w:num="2" w:equalWidth="0">
            <w:col w:w="2846" w:space="260"/>
            <w:col w:w="3014"/>
          </w:cols>
        </w:sectPr>
      </w:pPr>
    </w:p>
    <w:p>
      <w:pPr>
        <w:tabs>
          <w:tab w:pos="2515" w:val="left" w:leader="none"/>
          <w:tab w:pos="3430" w:val="left" w:leader="none"/>
          <w:tab w:pos="5963" w:val="right" w:leader="none"/>
        </w:tabs>
        <w:spacing w:line="240" w:lineRule="exact" w:before="0"/>
        <w:ind w:left="194" w:right="0" w:firstLine="0"/>
        <w:jc w:val="left"/>
        <w:rPr>
          <w:rFonts w:ascii="Courier New" w:hAnsi="Courier New"/>
          <w:sz w:val="22"/>
        </w:rPr>
      </w:pPr>
      <w:r>
        <w:rPr/>
        <w:pict>
          <v:shape style="position:absolute;margin-left:196.2332pt;margin-top:2.838722pt;width:9.25pt;height:11.5pt;mso-position-horizontal-relative:page;mso-position-vertical-relative:paragraph;z-index:-703336" type="#_x0000_t202" filled="false" stroked="false">
            <v:textbox inset="0,0,0,0">
              <w:txbxContent>
                <w:p>
                  <w:pPr>
                    <w:spacing w:line="230" w:lineRule="exact" w:before="0"/>
                    <w:ind w:left="0" w:right="-15" w:firstLine="0"/>
                    <w:jc w:val="left"/>
                    <w:rPr>
                      <w:rFonts w:ascii="Courier New"/>
                      <w:i/>
                      <w:sz w:val="23"/>
                    </w:rPr>
                  </w:pPr>
                  <w:r>
                    <w:rPr>
                      <w:rFonts w:ascii="Courier New"/>
                      <w:i/>
                      <w:w w:val="65"/>
                      <w:sz w:val="23"/>
                    </w:rPr>
                    <w:t>Pz</w:t>
                  </w:r>
                </w:p>
              </w:txbxContent>
            </v:textbox>
            <w10:wrap type="none"/>
          </v:shape>
        </w:pict>
      </w:r>
      <w:r>
        <w:rPr>
          <w:rFonts w:ascii="Arial" w:hAnsi="Arial"/>
          <w:i/>
          <w:w w:val="90"/>
          <w:position w:val="1"/>
          <w:sz w:val="25"/>
        </w:rPr>
        <w:t>S'ªM:</w:t>
        <w:tab/>
      </w:r>
      <w:r>
        <w:rPr>
          <w:sz w:val="20"/>
        </w:rPr>
        <w:t>314</w:t>
        <w:tab/>
      </w:r>
      <w:r>
        <w:rPr>
          <w:rFonts w:ascii="Arial" w:hAnsi="Arial"/>
          <w:b/>
          <w:position w:val="13"/>
          <w:sz w:val="11"/>
        </w:rPr>
        <w:t>(</w:t>
      </w:r>
      <w:r>
        <w:rPr>
          <w:rFonts w:ascii="Arial" w:hAnsi="Arial"/>
          <w:b/>
          <w:spacing w:val="-9"/>
          <w:position w:val="13"/>
          <w:sz w:val="11"/>
        </w:rPr>
        <w:t> </w:t>
      </w:r>
      <w:r>
        <w:rPr>
          <w:rFonts w:ascii="Arial" w:hAnsi="Arial"/>
          <w:b/>
          <w:position w:val="13"/>
          <w:sz w:val="11"/>
        </w:rPr>
        <w:t>T)</w:t>
      </w:r>
      <w:r>
        <w:rPr>
          <w:rFonts w:ascii="Courier New" w:hAnsi="Courier New"/>
          <w:position w:val="2"/>
          <w:sz w:val="22"/>
        </w:rPr>
        <w:tab/>
      </w:r>
      <w:r>
        <w:rPr>
          <w:rFonts w:ascii="Courier New" w:hAnsi="Courier New"/>
          <w:spacing w:val="-28"/>
          <w:position w:val="2"/>
          <w:sz w:val="22"/>
        </w:rPr>
        <w:t>272</w:t>
      </w:r>
    </w:p>
    <w:p>
      <w:pPr>
        <w:spacing w:after="0" w:line="240" w:lineRule="exact"/>
        <w:jc w:val="left"/>
        <w:rPr>
          <w:rFonts w:ascii="Courier New" w:hAnsi="Courier New"/>
          <w:sz w:val="22"/>
        </w:rPr>
        <w:sectPr>
          <w:type w:val="continuous"/>
          <w:pgSz w:w="7200" w:h="11340"/>
          <w:pgMar w:top="1100" w:bottom="0" w:left="620" w:right="460"/>
        </w:sectPr>
      </w:pPr>
    </w:p>
    <w:p>
      <w:pPr>
        <w:tabs>
          <w:tab w:pos="2526" w:val="left" w:leader="none"/>
        </w:tabs>
        <w:spacing w:line="304" w:lineRule="exact" w:before="0"/>
        <w:ind w:left="205" w:right="0" w:firstLine="0"/>
        <w:jc w:val="left"/>
        <w:rPr>
          <w:rFonts w:ascii="Courier New"/>
          <w:sz w:val="22"/>
        </w:rPr>
      </w:pPr>
      <w:r>
        <w:rPr>
          <w:b/>
          <w:i/>
          <w:w w:val="80"/>
          <w:sz w:val="26"/>
        </w:rPr>
        <w:t>ZaM;</w:t>
      </w:r>
      <w:r>
        <w:rPr>
          <w:rFonts w:ascii="Courier New"/>
          <w:w w:val="80"/>
          <w:position w:val="-4"/>
          <w:sz w:val="22"/>
        </w:rPr>
        <w:tab/>
        <w:t>312</w:t>
      </w:r>
    </w:p>
    <w:p>
      <w:pPr>
        <w:tabs>
          <w:tab w:pos="2529" w:val="left" w:leader="none"/>
        </w:tabs>
        <w:spacing w:line="299" w:lineRule="exact" w:before="0"/>
        <w:ind w:left="201" w:right="0" w:firstLine="0"/>
        <w:jc w:val="left"/>
        <w:rPr>
          <w:rFonts w:ascii="Courier New" w:hAnsi="Courier New"/>
          <w:sz w:val="22"/>
        </w:rPr>
      </w:pPr>
      <w:r>
        <w:rPr>
          <w:rFonts w:ascii="Arial" w:hAnsi="Arial"/>
          <w:i/>
          <w:w w:val="80"/>
          <w:position w:val="2"/>
          <w:sz w:val="25"/>
        </w:rPr>
        <w:t>S'</w:t>
      </w:r>
      <w:r>
        <w:rPr>
          <w:rFonts w:ascii="Arial" w:hAnsi="Arial"/>
          <w:i/>
          <w:spacing w:val="-41"/>
          <w:w w:val="80"/>
          <w:position w:val="2"/>
          <w:sz w:val="25"/>
        </w:rPr>
        <w:t> </w:t>
      </w:r>
      <w:r>
        <w:rPr>
          <w:rFonts w:ascii="Arial" w:hAnsi="Arial"/>
          <w:i/>
          <w:w w:val="85"/>
          <w:position w:val="2"/>
          <w:sz w:val="25"/>
        </w:rPr>
        <w:t>M;ª</w:t>
      </w:r>
      <w:r>
        <w:rPr>
          <w:rFonts w:ascii="Courier New" w:hAnsi="Courier New"/>
          <w:w w:val="85"/>
          <w:sz w:val="22"/>
        </w:rPr>
        <w:tab/>
      </w:r>
      <w:r>
        <w:rPr>
          <w:rFonts w:ascii="Courier New" w:hAnsi="Courier New"/>
          <w:spacing w:val="-7"/>
          <w:w w:val="85"/>
          <w:sz w:val="22"/>
        </w:rPr>
        <w:t>316</w:t>
      </w:r>
    </w:p>
    <w:p>
      <w:pPr>
        <w:tabs>
          <w:tab w:pos="2526" w:val="left" w:leader="none"/>
        </w:tabs>
        <w:spacing w:line="255" w:lineRule="exact" w:before="5"/>
        <w:ind w:left="205" w:right="0" w:firstLine="0"/>
        <w:jc w:val="left"/>
        <w:rPr>
          <w:rFonts w:ascii="Courier New"/>
          <w:sz w:val="22"/>
        </w:rPr>
      </w:pPr>
      <w:r>
        <w:rPr>
          <w:rFonts w:ascii="Arial"/>
          <w:i/>
          <w:position w:val="-2"/>
          <w:sz w:val="25"/>
        </w:rPr>
        <w:t>'M':</w:t>
      </w:r>
      <w:r>
        <w:rPr>
          <w:rFonts w:ascii="Courier New"/>
          <w:sz w:val="22"/>
        </w:rPr>
        <w:tab/>
      </w:r>
      <w:r>
        <w:rPr>
          <w:rFonts w:ascii="Courier New"/>
          <w:spacing w:val="-6"/>
          <w:w w:val="90"/>
          <w:sz w:val="22"/>
        </w:rPr>
        <w:t>318</w:t>
      </w:r>
    </w:p>
    <w:p>
      <w:pPr>
        <w:tabs>
          <w:tab w:pos="2533" w:val="left" w:leader="none"/>
        </w:tabs>
        <w:spacing w:line="308" w:lineRule="exact" w:before="0"/>
        <w:ind w:left="197" w:right="0" w:firstLine="0"/>
        <w:jc w:val="left"/>
        <w:rPr>
          <w:rFonts w:ascii="Courier New"/>
          <w:sz w:val="22"/>
        </w:rPr>
      </w:pPr>
      <w:r>
        <w:rPr>
          <w:rFonts w:ascii="Arial"/>
          <w:i/>
          <w:w w:val="80"/>
          <w:sz w:val="25"/>
        </w:rPr>
        <w:t>S"</w:t>
      </w:r>
      <w:r>
        <w:rPr>
          <w:rFonts w:ascii="Arial"/>
          <w:i/>
          <w:spacing w:val="-38"/>
          <w:w w:val="80"/>
          <w:sz w:val="25"/>
        </w:rPr>
        <w:t> </w:t>
      </w:r>
      <w:r>
        <w:rPr>
          <w:rFonts w:ascii="Arial"/>
          <w:i/>
          <w:spacing w:val="-3"/>
          <w:w w:val="120"/>
          <w:sz w:val="25"/>
        </w:rPr>
        <w:t>jir:</w:t>
      </w:r>
      <w:r>
        <w:rPr>
          <w:rFonts w:ascii="Courier New"/>
          <w:spacing w:val="-3"/>
          <w:w w:val="120"/>
          <w:position w:val="-3"/>
          <w:sz w:val="22"/>
        </w:rPr>
        <w:tab/>
      </w:r>
      <w:r>
        <w:rPr>
          <w:rFonts w:ascii="Courier New"/>
          <w:spacing w:val="-16"/>
          <w:w w:val="95"/>
          <w:position w:val="-3"/>
          <w:sz w:val="22"/>
        </w:rPr>
        <w:t>318</w:t>
      </w:r>
    </w:p>
    <w:p>
      <w:pPr>
        <w:tabs>
          <w:tab w:pos="2522" w:val="left" w:leader="none"/>
        </w:tabs>
        <w:spacing w:line="263" w:lineRule="exact" w:before="55"/>
        <w:ind w:left="197" w:right="0" w:firstLine="0"/>
        <w:jc w:val="left"/>
        <w:rPr>
          <w:rFonts w:ascii="Courier New"/>
          <w:sz w:val="22"/>
        </w:rPr>
      </w:pPr>
      <w:r>
        <w:rPr/>
        <w:br w:type="column"/>
      </w:r>
      <w:r>
        <w:rPr>
          <w:rFonts w:ascii="Courier New"/>
          <w:i/>
          <w:spacing w:val="-9"/>
          <w:w w:val="80"/>
          <w:position w:val="-1"/>
          <w:sz w:val="23"/>
        </w:rPr>
        <w:t>nPz</w:t>
      </w:r>
      <w:r>
        <w:rPr>
          <w:rFonts w:ascii="Courier New"/>
          <w:spacing w:val="-9"/>
          <w:w w:val="80"/>
          <w:sz w:val="22"/>
        </w:rPr>
        <w:tab/>
      </w:r>
      <w:r>
        <w:rPr>
          <w:rFonts w:ascii="Courier New"/>
          <w:spacing w:val="-30"/>
          <w:sz w:val="22"/>
        </w:rPr>
        <w:t>272</w:t>
      </w:r>
    </w:p>
    <w:p>
      <w:pPr>
        <w:tabs>
          <w:tab w:pos="2526" w:val="left" w:leader="none"/>
        </w:tabs>
        <w:spacing w:line="218" w:lineRule="exact" w:before="0"/>
        <w:ind w:left="323" w:right="0" w:firstLine="0"/>
        <w:jc w:val="left"/>
        <w:rPr>
          <w:rFonts w:ascii="Courier New"/>
          <w:sz w:val="22"/>
        </w:rPr>
      </w:pPr>
      <w:r>
        <w:rPr/>
        <w:pict>
          <v:shape style="position:absolute;margin-left:196.2332pt;margin-top:2.858684pt;width:7.3pt;height:11.5pt;mso-position-horizontal-relative:page;mso-position-vertical-relative:paragraph;z-index:-703312" type="#_x0000_t202" filled="false" stroked="false">
            <v:textbox inset="0,0,0,0">
              <w:txbxContent>
                <w:p>
                  <w:pPr>
                    <w:spacing w:line="230" w:lineRule="exact" w:before="0"/>
                    <w:ind w:left="0" w:right="-10" w:firstLine="0"/>
                    <w:jc w:val="left"/>
                    <w:rPr>
                      <w:rFonts w:ascii="Courier New"/>
                      <w:i/>
                      <w:sz w:val="23"/>
                    </w:rPr>
                  </w:pPr>
                  <w:r>
                    <w:rPr>
                      <w:rFonts w:ascii="Courier New"/>
                      <w:i/>
                      <w:spacing w:val="-22"/>
                      <w:w w:val="65"/>
                      <w:sz w:val="23"/>
                    </w:rPr>
                    <w:t>Pz</w:t>
                  </w:r>
                </w:p>
              </w:txbxContent>
            </v:textbox>
            <w10:wrap type="none"/>
          </v:shape>
        </w:pict>
      </w:r>
      <w:r>
        <w:rPr/>
        <w:pict>
          <v:shape style="position:absolute;margin-left:206.457397pt;margin-top:-13.42168pt;width:9.2pt;height:5pt;mso-position-horizontal-relative:page;mso-position-vertical-relative:paragraph;z-index:-703288" type="#_x0000_t202" filled="false" stroked="false">
            <v:textbox inset="0,0,0,0">
              <w:txbxContent>
                <w:p>
                  <w:pPr>
                    <w:spacing w:line="100" w:lineRule="exact" w:before="0"/>
                    <w:ind w:left="0" w:right="-19" w:firstLine="0"/>
                    <w:jc w:val="left"/>
                    <w:rPr>
                      <w:rFonts w:ascii="Arial"/>
                      <w:b/>
                      <w:sz w:val="10"/>
                    </w:rPr>
                  </w:pPr>
                  <w:r>
                    <w:rPr>
                      <w:rFonts w:ascii="Arial"/>
                      <w:b/>
                      <w:w w:val="125"/>
                      <w:sz w:val="10"/>
                    </w:rPr>
                    <w:t>(</w:t>
                  </w:r>
                  <w:r>
                    <w:rPr>
                      <w:rFonts w:ascii="Arial"/>
                      <w:b/>
                      <w:spacing w:val="-12"/>
                      <w:w w:val="125"/>
                      <w:sz w:val="10"/>
                    </w:rPr>
                    <w:t> </w:t>
                  </w:r>
                  <w:r>
                    <w:rPr>
                      <w:rFonts w:ascii="Arial"/>
                      <w:b/>
                      <w:w w:val="125"/>
                      <w:sz w:val="10"/>
                    </w:rPr>
                    <w:t>T)</w:t>
                  </w:r>
                </w:p>
              </w:txbxContent>
            </v:textbox>
            <w10:wrap type="none"/>
          </v:shape>
        </w:pict>
      </w:r>
      <w:r>
        <w:rPr>
          <w:b/>
          <w:i/>
          <w:sz w:val="11"/>
        </w:rPr>
        <w:t>(</w:t>
      </w:r>
      <w:r>
        <w:rPr>
          <w:b/>
          <w:i/>
          <w:spacing w:val="16"/>
          <w:sz w:val="11"/>
        </w:rPr>
        <w:t> </w:t>
      </w:r>
      <w:r>
        <w:rPr>
          <w:b/>
          <w:i/>
          <w:sz w:val="11"/>
        </w:rPr>
        <w:t>Th)</w:t>
      </w:r>
      <w:r>
        <w:rPr>
          <w:rFonts w:ascii="Courier New"/>
          <w:position w:val="-9"/>
          <w:sz w:val="22"/>
        </w:rPr>
        <w:tab/>
      </w:r>
      <w:r>
        <w:rPr>
          <w:rFonts w:ascii="Courier New"/>
          <w:spacing w:val="-8"/>
          <w:position w:val="-9"/>
          <w:sz w:val="22"/>
        </w:rPr>
        <w:t>294</w:t>
      </w:r>
    </w:p>
    <w:p>
      <w:pPr>
        <w:spacing w:line="137" w:lineRule="exact" w:before="0"/>
        <w:ind w:left="402" w:right="0" w:firstLine="0"/>
        <w:jc w:val="left"/>
        <w:rPr>
          <w:i/>
          <w:sz w:val="20"/>
        </w:rPr>
      </w:pPr>
      <w:r>
        <w:rPr>
          <w:i/>
          <w:w w:val="65"/>
          <w:sz w:val="20"/>
        </w:rPr>
        <w:t>( Thl</w:t>
      </w:r>
    </w:p>
    <w:p>
      <w:pPr>
        <w:tabs>
          <w:tab w:pos="2522" w:val="left" w:leader="none"/>
        </w:tabs>
        <w:spacing w:line="198" w:lineRule="exact" w:before="0"/>
        <w:ind w:left="197" w:right="0" w:firstLine="0"/>
        <w:jc w:val="left"/>
        <w:rPr>
          <w:rFonts w:ascii="Courier New"/>
          <w:sz w:val="22"/>
        </w:rPr>
      </w:pPr>
      <w:r>
        <w:rPr>
          <w:b/>
          <w:i/>
          <w:w w:val="95"/>
          <w:sz w:val="20"/>
        </w:rPr>
        <w:t>nPz</w:t>
      </w:r>
      <w:r>
        <w:rPr>
          <w:rFonts w:ascii="Courier New"/>
          <w:w w:val="95"/>
          <w:position w:val="1"/>
          <w:sz w:val="22"/>
        </w:rPr>
        <w:tab/>
      </w:r>
      <w:r>
        <w:rPr>
          <w:rFonts w:ascii="Courier New"/>
          <w:spacing w:val="-8"/>
          <w:w w:val="95"/>
          <w:position w:val="1"/>
          <w:sz w:val="22"/>
        </w:rPr>
        <w:t>295</w:t>
      </w:r>
    </w:p>
    <w:p>
      <w:pPr>
        <w:tabs>
          <w:tab w:pos="2529" w:val="left" w:leader="none"/>
        </w:tabs>
        <w:spacing w:before="142"/>
        <w:ind w:left="201" w:right="0" w:firstLine="0"/>
        <w:jc w:val="left"/>
        <w:rPr>
          <w:rFonts w:ascii="Courier New"/>
          <w:sz w:val="22"/>
        </w:rPr>
      </w:pPr>
      <w:r>
        <w:rPr>
          <w:b/>
          <w:i/>
          <w:w w:val="82"/>
          <w:sz w:val="20"/>
        </w:rPr>
        <w:t>q</w:t>
      </w:r>
      <w:r>
        <w:rPr>
          <w:b/>
          <w:i/>
          <w:spacing w:val="-64"/>
          <w:w w:val="81"/>
          <w:sz w:val="20"/>
        </w:rPr>
        <w:t>z</w:t>
      </w:r>
      <w:r>
        <w:rPr>
          <w:rFonts w:ascii="Arial"/>
          <w:b/>
          <w:w w:val="154"/>
          <w:position w:val="10"/>
          <w:sz w:val="8"/>
        </w:rPr>
        <w:t>4</w:t>
      </w:r>
      <w:r>
        <w:rPr>
          <w:rFonts w:ascii="Courier New"/>
          <w:w w:val="99"/>
          <w:sz w:val="22"/>
        </w:rPr>
        <w:t> </w:t>
      </w:r>
      <w:r>
        <w:rPr>
          <w:rFonts w:ascii="Courier New"/>
          <w:sz w:val="22"/>
        </w:rPr>
        <w:tab/>
      </w:r>
      <w:r>
        <w:rPr>
          <w:rFonts w:ascii="Courier New"/>
          <w:spacing w:val="-37"/>
          <w:w w:val="100"/>
          <w:sz w:val="22"/>
        </w:rPr>
        <w:t>2</w:t>
      </w:r>
      <w:r>
        <w:rPr>
          <w:rFonts w:ascii="Courier New"/>
          <w:w w:val="87"/>
          <w:sz w:val="22"/>
        </w:rPr>
        <w:t>96</w:t>
      </w:r>
    </w:p>
    <w:p>
      <w:pPr>
        <w:spacing w:after="0"/>
        <w:jc w:val="left"/>
        <w:rPr>
          <w:rFonts w:ascii="Courier New"/>
          <w:sz w:val="22"/>
        </w:rPr>
        <w:sectPr>
          <w:type w:val="continuous"/>
          <w:pgSz w:w="7200" w:h="11340"/>
          <w:pgMar w:top="1100" w:bottom="0" w:left="620" w:right="460"/>
          <w:cols w:num="2" w:equalWidth="0">
            <w:col w:w="2876" w:space="231"/>
            <w:col w:w="3013"/>
          </w:cols>
        </w:sectPr>
      </w:pPr>
    </w:p>
    <w:p>
      <w:pPr>
        <w:tabs>
          <w:tab w:pos="2529" w:val="left" w:leader="none"/>
          <w:tab w:pos="3387" w:val="left" w:leader="none"/>
          <w:tab w:pos="5968" w:val="right" w:leader="none"/>
        </w:tabs>
        <w:spacing w:line="276" w:lineRule="exact" w:before="0"/>
        <w:ind w:left="362" w:right="0" w:firstLine="0"/>
        <w:jc w:val="left"/>
        <w:rPr>
          <w:rFonts w:ascii="Courier New"/>
          <w:sz w:val="22"/>
        </w:rPr>
      </w:pPr>
      <w:r>
        <w:rPr/>
        <w:pict>
          <v:shape style="position:absolute;margin-left:40.53812pt;margin-top:2.85644pt;width:163.050pt;height:10pt;mso-position-horizontal-relative:page;mso-position-vertical-relative:paragraph;z-index:-703264" type="#_x0000_t202" filled="false" stroked="false">
            <v:textbox inset="0,0,0,0">
              <w:txbxContent>
                <w:p>
                  <w:pPr>
                    <w:tabs>
                      <w:tab w:pos="3106" w:val="left" w:leader="none"/>
                    </w:tabs>
                    <w:spacing w:line="200" w:lineRule="exact" w:before="0"/>
                    <w:ind w:left="0" w:right="0" w:firstLine="0"/>
                    <w:jc w:val="left"/>
                    <w:rPr>
                      <w:sz w:val="20"/>
                    </w:rPr>
                  </w:pPr>
                  <w:r>
                    <w:rPr>
                      <w:rFonts w:ascii="Arial"/>
                      <w:i/>
                      <w:w w:val="90"/>
                      <w:position w:val="1"/>
                      <w:sz w:val="18"/>
                    </w:rPr>
                    <w:t>mz</w:t>
                    <w:tab/>
                  </w:r>
                  <w:r>
                    <w:rPr>
                      <w:w w:val="65"/>
                      <w:sz w:val="20"/>
                    </w:rPr>
                    <w:t>Qz</w:t>
                  </w:r>
                </w:p>
              </w:txbxContent>
            </v:textbox>
            <w10:wrap type="none"/>
          </v:shape>
        </w:pict>
      </w:r>
      <w:r>
        <w:rPr>
          <w:b/>
          <w:position w:val="2"/>
          <w:sz w:val="11"/>
        </w:rPr>
        <w:t>(A:)</w:t>
        <w:tab/>
      </w:r>
      <w:r>
        <w:rPr>
          <w:rFonts w:ascii="Courier New"/>
          <w:spacing w:val="-9"/>
          <w:position w:val="-8"/>
          <w:sz w:val="22"/>
        </w:rPr>
        <w:t>273</w:t>
        <w:tab/>
      </w:r>
      <w:r>
        <w:rPr>
          <w:b/>
          <w:i/>
          <w:sz w:val="12"/>
        </w:rPr>
        <w:t>a.a.</w:t>
      </w:r>
      <w:r>
        <w:rPr>
          <w:rFonts w:ascii="Courier New"/>
          <w:position w:val="-9"/>
          <w:sz w:val="22"/>
        </w:rPr>
        <w:tab/>
      </w:r>
      <w:r>
        <w:rPr>
          <w:rFonts w:ascii="Courier New"/>
          <w:spacing w:val="-29"/>
          <w:position w:val="-9"/>
          <w:sz w:val="22"/>
        </w:rPr>
        <w:t>297</w:t>
      </w:r>
    </w:p>
    <w:p>
      <w:pPr>
        <w:spacing w:after="0" w:line="276" w:lineRule="exact"/>
        <w:jc w:val="left"/>
        <w:rPr>
          <w:rFonts w:ascii="Courier New"/>
          <w:sz w:val="22"/>
        </w:rPr>
        <w:sectPr>
          <w:type w:val="continuous"/>
          <w:pgSz w:w="7200" w:h="11340"/>
          <w:pgMar w:top="1100" w:bottom="0" w:left="620" w:right="460"/>
        </w:sectPr>
      </w:pPr>
    </w:p>
    <w:p>
      <w:pPr>
        <w:tabs>
          <w:tab w:pos="2857" w:val="right" w:leader="none"/>
        </w:tabs>
        <w:spacing w:line="273" w:lineRule="exact" w:before="0"/>
        <w:ind w:left="190" w:right="0" w:firstLine="0"/>
        <w:jc w:val="left"/>
        <w:rPr>
          <w:rFonts w:ascii="Courier New"/>
          <w:sz w:val="22"/>
        </w:rPr>
      </w:pPr>
      <w:r>
        <w:rPr>
          <w:rFonts w:ascii="Arial"/>
          <w:i/>
          <w:w w:val="90"/>
          <w:sz w:val="18"/>
        </w:rPr>
        <w:t>m;T</w:t>
      </w:r>
      <w:r>
        <w:rPr>
          <w:rFonts w:ascii="Arial"/>
          <w:i/>
          <w:spacing w:val="-22"/>
          <w:w w:val="90"/>
          <w:sz w:val="18"/>
        </w:rPr>
        <w:t> </w:t>
      </w:r>
      <w:r>
        <w:rPr>
          <w:rFonts w:ascii="Arial"/>
          <w:i/>
          <w:w w:val="90"/>
          <w:sz w:val="18"/>
        </w:rPr>
        <w:t>)</w:t>
      </w:r>
      <w:r>
        <w:rPr>
          <w:rFonts w:ascii="Courier New"/>
          <w:w w:val="90"/>
          <w:position w:val="-5"/>
          <w:sz w:val="22"/>
        </w:rPr>
        <w:tab/>
      </w:r>
      <w:r>
        <w:rPr>
          <w:rFonts w:ascii="Courier New"/>
          <w:spacing w:val="-8"/>
          <w:w w:val="90"/>
          <w:position w:val="-5"/>
          <w:sz w:val="22"/>
        </w:rPr>
        <w:t>273</w:t>
      </w:r>
    </w:p>
    <w:p>
      <w:pPr>
        <w:tabs>
          <w:tab w:pos="2829" w:val="right" w:leader="none"/>
        </w:tabs>
        <w:spacing w:line="262" w:lineRule="exact" w:before="0"/>
        <w:ind w:left="194" w:right="0" w:firstLine="0"/>
        <w:jc w:val="left"/>
        <w:rPr>
          <w:rFonts w:ascii="Arial"/>
          <w:sz w:val="20"/>
        </w:rPr>
      </w:pPr>
      <w:r>
        <w:rPr/>
        <w:br w:type="column"/>
      </w:r>
      <w:r>
        <w:rPr>
          <w:i/>
          <w:spacing w:val="-2"/>
          <w:w w:val="84"/>
          <w:sz w:val="20"/>
        </w:rPr>
        <w:t>q</w:t>
      </w:r>
      <w:r>
        <w:rPr>
          <w:b/>
          <w:i/>
          <w:spacing w:val="-62"/>
          <w:w w:val="97"/>
          <w:position w:val="10"/>
          <w:sz w:val="13"/>
        </w:rPr>
        <w:t>a</w:t>
      </w:r>
      <w:r>
        <w:rPr>
          <w:i/>
          <w:spacing w:val="-4"/>
          <w:w w:val="83"/>
          <w:sz w:val="20"/>
        </w:rPr>
        <w:t>z</w:t>
      </w:r>
      <w:r>
        <w:rPr>
          <w:b/>
          <w:i/>
          <w:w w:val="97"/>
          <w:position w:val="10"/>
          <w:sz w:val="13"/>
        </w:rPr>
        <w:t>d</w:t>
      </w:r>
      <w:r>
        <w:rPr>
          <w:rFonts w:ascii="Arial"/>
          <w:w w:val="99"/>
          <w:sz w:val="20"/>
        </w:rPr>
        <w:t> </w:t>
      </w:r>
      <w:r>
        <w:rPr>
          <w:rFonts w:ascii="Arial"/>
          <w:sz w:val="20"/>
        </w:rPr>
        <w:tab/>
      </w:r>
      <w:r>
        <w:rPr>
          <w:rFonts w:ascii="Arial"/>
          <w:w w:val="89"/>
          <w:sz w:val="20"/>
        </w:rPr>
        <w:t>285</w:t>
      </w:r>
    </w:p>
    <w:p>
      <w:pPr>
        <w:spacing w:before="101"/>
        <w:ind w:left="190" w:right="0" w:firstLine="0"/>
        <w:jc w:val="left"/>
        <w:rPr>
          <w:rFonts w:ascii="Arial"/>
          <w:b/>
          <w:i/>
          <w:sz w:val="16"/>
        </w:rPr>
      </w:pPr>
      <w:r>
        <w:rPr/>
        <w:pict>
          <v:shape style="position:absolute;margin-left:38.608749pt;margin-top:3.57076pt;width:292.850pt;height:93.15pt;mso-position-horizontal-relative:page;mso-position-vertical-relative:paragraph;z-index:32920"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1495"/>
                    <w:gridCol w:w="1244"/>
                    <w:gridCol w:w="1766"/>
                    <w:gridCol w:w="1352"/>
                  </w:tblGrid>
                  <w:tr>
                    <w:trPr>
                      <w:trHeight w:val="247" w:hRule="exact"/>
                    </w:trPr>
                    <w:tc>
                      <w:tcPr>
                        <w:tcW w:w="1495" w:type="dxa"/>
                      </w:tcPr>
                      <w:p>
                        <w:pPr>
                          <w:pStyle w:val="TableParagraph"/>
                          <w:spacing w:line="185" w:lineRule="exact"/>
                          <w:ind w:left="74"/>
                          <w:rPr>
                            <w:rFonts w:ascii="Arial"/>
                            <w:i/>
                            <w:sz w:val="18"/>
                          </w:rPr>
                        </w:pPr>
                        <w:r>
                          <w:rPr>
                            <w:rFonts w:ascii="Arial"/>
                            <w:i/>
                            <w:sz w:val="18"/>
                          </w:rPr>
                          <w:t>(mA)z</w:t>
                        </w:r>
                      </w:p>
                    </w:tc>
                    <w:tc>
                      <w:tcPr>
                        <w:tcW w:w="1244" w:type="dxa"/>
                      </w:tcPr>
                      <w:p>
                        <w:pPr>
                          <w:pStyle w:val="TableParagraph"/>
                          <w:spacing w:line="210" w:lineRule="exact"/>
                          <w:ind w:right="45"/>
                          <w:jc w:val="right"/>
                          <w:rPr>
                            <w:sz w:val="22"/>
                          </w:rPr>
                        </w:pPr>
                        <w:r>
                          <w:rPr>
                            <w:w w:val="95"/>
                            <w:sz w:val="22"/>
                          </w:rPr>
                          <w:t>301</w:t>
                        </w:r>
                      </w:p>
                    </w:tc>
                    <w:tc>
                      <w:tcPr>
                        <w:tcW w:w="1766" w:type="dxa"/>
                      </w:tcPr>
                      <w:p>
                        <w:pPr>
                          <w:pStyle w:val="TableParagraph"/>
                          <w:spacing w:line="85" w:lineRule="exact"/>
                          <w:ind w:left="492"/>
                          <w:rPr>
                            <w:rFonts w:ascii="Times New Roman"/>
                            <w:b/>
                            <w:i/>
                            <w:sz w:val="13"/>
                          </w:rPr>
                        </w:pPr>
                        <w:r>
                          <w:rPr>
                            <w:rFonts w:ascii="Times New Roman"/>
                            <w:b/>
                            <w:i/>
                            <w:w w:val="120"/>
                            <w:sz w:val="13"/>
                          </w:rPr>
                          <w:t>ai</w:t>
                        </w:r>
                      </w:p>
                    </w:tc>
                    <w:tc>
                      <w:tcPr>
                        <w:tcW w:w="1352" w:type="dxa"/>
                      </w:tcPr>
                      <w:p>
                        <w:pPr>
                          <w:pStyle w:val="TableParagraph"/>
                          <w:spacing w:line="228" w:lineRule="exact"/>
                          <w:ind w:right="33"/>
                          <w:jc w:val="right"/>
                          <w:rPr>
                            <w:sz w:val="22"/>
                          </w:rPr>
                        </w:pPr>
                        <w:r>
                          <w:rPr>
                            <w:w w:val="90"/>
                            <w:sz w:val="22"/>
                          </w:rPr>
                          <w:t>297</w:t>
                        </w:r>
                      </w:p>
                    </w:tc>
                  </w:tr>
                  <w:tr>
                    <w:trPr>
                      <w:trHeight w:val="244" w:hRule="exact"/>
                    </w:trPr>
                    <w:tc>
                      <w:tcPr>
                        <w:tcW w:w="1495" w:type="dxa"/>
                      </w:tcPr>
                      <w:p>
                        <w:pPr>
                          <w:pStyle w:val="TableParagraph"/>
                          <w:spacing w:before="8"/>
                          <w:ind w:left="78"/>
                          <w:rPr>
                            <w:rFonts w:ascii="Arial"/>
                            <w:i/>
                            <w:sz w:val="18"/>
                          </w:rPr>
                        </w:pPr>
                        <w:r>
                          <w:rPr>
                            <w:rFonts w:ascii="Arial"/>
                            <w:i/>
                            <w:sz w:val="18"/>
                          </w:rPr>
                          <w:t>(mD)z</w:t>
                        </w:r>
                      </w:p>
                    </w:tc>
                    <w:tc>
                      <w:tcPr>
                        <w:tcW w:w="1244" w:type="dxa"/>
                      </w:tcPr>
                      <w:p>
                        <w:pPr>
                          <w:pStyle w:val="TableParagraph"/>
                          <w:spacing w:before="8"/>
                          <w:ind w:right="53"/>
                          <w:jc w:val="right"/>
                          <w:rPr>
                            <w:rFonts w:ascii="Arial"/>
                            <w:sz w:val="18"/>
                          </w:rPr>
                        </w:pPr>
                        <w:r>
                          <w:rPr>
                            <w:rFonts w:ascii="Arial"/>
                            <w:sz w:val="18"/>
                          </w:rPr>
                          <w:t>301</w:t>
                        </w:r>
                      </w:p>
                    </w:tc>
                    <w:tc>
                      <w:tcPr>
                        <w:tcW w:w="1766" w:type="dxa"/>
                      </w:tcPr>
                      <w:p>
                        <w:pPr>
                          <w:pStyle w:val="TableParagraph"/>
                          <w:spacing w:line="119" w:lineRule="exact"/>
                          <w:ind w:left="600" w:right="1004"/>
                          <w:jc w:val="center"/>
                          <w:rPr>
                            <w:rFonts w:ascii="Times New Roman"/>
                            <w:b/>
                            <w:i/>
                            <w:sz w:val="13"/>
                          </w:rPr>
                        </w:pPr>
                        <w:r>
                          <w:rPr>
                            <w:rFonts w:ascii="Times New Roman"/>
                            <w:b/>
                            <w:i/>
                            <w:w w:val="120"/>
                            <w:sz w:val="13"/>
                          </w:rPr>
                          <w:t>ai</w:t>
                        </w:r>
                      </w:p>
                    </w:tc>
                    <w:tc>
                      <w:tcPr>
                        <w:tcW w:w="1352" w:type="dxa"/>
                      </w:tcPr>
                      <w:p>
                        <w:pPr>
                          <w:pStyle w:val="TableParagraph"/>
                          <w:spacing w:line="241" w:lineRule="exact"/>
                          <w:ind w:right="77"/>
                          <w:jc w:val="right"/>
                          <w:rPr>
                            <w:rFonts w:ascii="Times New Roman"/>
                            <w:sz w:val="21"/>
                          </w:rPr>
                        </w:pPr>
                        <w:r>
                          <w:rPr>
                            <w:rFonts w:ascii="Times New Roman"/>
                            <w:w w:val="90"/>
                            <w:sz w:val="21"/>
                          </w:rPr>
                          <w:t>298</w:t>
                        </w:r>
                      </w:p>
                    </w:tc>
                  </w:tr>
                  <w:tr>
                    <w:trPr>
                      <w:trHeight w:val="324" w:hRule="exact"/>
                    </w:trPr>
                    <w:tc>
                      <w:tcPr>
                        <w:tcW w:w="1495" w:type="dxa"/>
                      </w:tcPr>
                      <w:p>
                        <w:pPr>
                          <w:pStyle w:val="TableParagraph"/>
                          <w:spacing w:before="31"/>
                          <w:ind w:left="78"/>
                          <w:rPr>
                            <w:rFonts w:ascii="Times New Roman"/>
                            <w:sz w:val="20"/>
                          </w:rPr>
                        </w:pPr>
                        <w:r>
                          <w:rPr>
                            <w:rFonts w:ascii="Times New Roman"/>
                            <w:sz w:val="20"/>
                          </w:rPr>
                          <w:t>(md)z</w:t>
                        </w:r>
                      </w:p>
                    </w:tc>
                    <w:tc>
                      <w:tcPr>
                        <w:tcW w:w="1244" w:type="dxa"/>
                      </w:tcPr>
                      <w:p>
                        <w:pPr>
                          <w:pStyle w:val="TableParagraph"/>
                          <w:spacing w:before="20"/>
                          <w:ind w:right="38"/>
                          <w:jc w:val="right"/>
                          <w:rPr>
                            <w:sz w:val="22"/>
                          </w:rPr>
                        </w:pPr>
                        <w:r>
                          <w:rPr>
                            <w:w w:val="90"/>
                            <w:sz w:val="22"/>
                          </w:rPr>
                          <w:t>299</w:t>
                        </w:r>
                      </w:p>
                    </w:tc>
                    <w:tc>
                      <w:tcPr>
                        <w:tcW w:w="1766" w:type="dxa"/>
                      </w:tcPr>
                      <w:p>
                        <w:pPr>
                          <w:pStyle w:val="TableParagraph"/>
                          <w:spacing w:line="357" w:lineRule="exact"/>
                          <w:ind w:left="416"/>
                          <w:rPr>
                            <w:rFonts w:ascii="Arial" w:hAnsi="Arial"/>
                            <w:sz w:val="34"/>
                          </w:rPr>
                        </w:pPr>
                        <w:r>
                          <w:rPr>
                            <w:rFonts w:ascii="Arial" w:hAnsi="Arial"/>
                            <w:b/>
                            <w:i/>
                            <w:w w:val="69"/>
                            <w:sz w:val="16"/>
                          </w:rPr>
                          <w:t>,¡q:</w:t>
                        </w:r>
                        <w:r>
                          <w:rPr>
                            <w:rFonts w:ascii="Arial" w:hAnsi="Arial"/>
                            <w:b/>
                            <w:i/>
                            <w:spacing w:val="-19"/>
                            <w:w w:val="69"/>
                            <w:sz w:val="16"/>
                          </w:rPr>
                          <w:t>,</w:t>
                        </w:r>
                        <w:r>
                          <w:rPr>
                            <w:rFonts w:ascii="Arial" w:hAnsi="Arial"/>
                            <w:spacing w:val="-55"/>
                            <w:w w:val="60"/>
                            <w:position w:val="-5"/>
                            <w:sz w:val="34"/>
                          </w:rPr>
                          <w:t>"</w:t>
                        </w:r>
                        <w:r>
                          <w:rPr>
                            <w:rFonts w:ascii="Arial" w:hAnsi="Arial"/>
                            <w:b/>
                            <w:i/>
                            <w:w w:val="69"/>
                            <w:sz w:val="16"/>
                          </w:rPr>
                          <w:t>:</w:t>
                        </w:r>
                        <w:r>
                          <w:rPr>
                            <w:rFonts w:ascii="Arial" w:hAnsi="Arial"/>
                            <w:b/>
                            <w:i/>
                            <w:spacing w:val="-27"/>
                            <w:sz w:val="16"/>
                          </w:rPr>
                          <w:t> </w:t>
                        </w:r>
                        <w:r>
                          <w:rPr>
                            <w:rFonts w:ascii="Arial" w:hAnsi="Arial"/>
                            <w:w w:val="60"/>
                            <w:position w:val="-5"/>
                            <w:sz w:val="34"/>
                          </w:rPr>
                          <w:t>"'</w:t>
                        </w:r>
                      </w:p>
                    </w:tc>
                    <w:tc>
                      <w:tcPr>
                        <w:tcW w:w="1352" w:type="dxa"/>
                      </w:tcPr>
                      <w:p>
                        <w:pPr>
                          <w:pStyle w:val="TableParagraph"/>
                          <w:spacing w:before="42"/>
                          <w:ind w:right="61"/>
                          <w:jc w:val="right"/>
                          <w:rPr>
                            <w:sz w:val="22"/>
                          </w:rPr>
                        </w:pPr>
                        <w:r>
                          <w:rPr>
                            <w:w w:val="95"/>
                            <w:sz w:val="22"/>
                          </w:rPr>
                          <w:t>301</w:t>
                        </w:r>
                      </w:p>
                    </w:tc>
                  </w:tr>
                  <w:tr>
                    <w:trPr>
                      <w:trHeight w:val="253" w:hRule="exact"/>
                    </w:trPr>
                    <w:tc>
                      <w:tcPr>
                        <w:tcW w:w="1495" w:type="dxa"/>
                      </w:tcPr>
                      <w:p>
                        <w:pPr>
                          <w:pStyle w:val="TableParagraph"/>
                          <w:spacing w:line="209" w:lineRule="exact"/>
                          <w:ind w:left="74"/>
                          <w:rPr>
                            <w:rFonts w:ascii="Times New Roman"/>
                            <w:sz w:val="19"/>
                          </w:rPr>
                        </w:pPr>
                        <w:r>
                          <w:rPr>
                            <w:rFonts w:ascii="Times New Roman"/>
                            <w:w w:val="105"/>
                            <w:sz w:val="19"/>
                          </w:rPr>
                          <w:t>(ml)z</w:t>
                        </w:r>
                      </w:p>
                    </w:tc>
                    <w:tc>
                      <w:tcPr>
                        <w:tcW w:w="1244" w:type="dxa"/>
                      </w:tcPr>
                      <w:p>
                        <w:pPr>
                          <w:pStyle w:val="TableParagraph"/>
                          <w:spacing w:line="226" w:lineRule="exact"/>
                          <w:ind w:right="24"/>
                          <w:jc w:val="right"/>
                          <w:rPr>
                            <w:sz w:val="22"/>
                          </w:rPr>
                        </w:pPr>
                        <w:r>
                          <w:rPr>
                            <w:color w:val="131313"/>
                            <w:spacing w:val="-120"/>
                            <w:w w:val="111"/>
                            <w:sz w:val="22"/>
                          </w:rPr>
                          <w:t>·</w:t>
                        </w:r>
                        <w:r>
                          <w:rPr>
                            <w:color w:val="131313"/>
                            <w:w w:val="81"/>
                            <w:sz w:val="22"/>
                          </w:rPr>
                          <w:t>2</w:t>
                        </w:r>
                        <w:r>
                          <w:rPr>
                            <w:color w:val="131313"/>
                            <w:spacing w:val="-23"/>
                            <w:w w:val="81"/>
                            <w:sz w:val="22"/>
                          </w:rPr>
                          <w:t>9</w:t>
                        </w:r>
                        <w:r>
                          <w:rPr>
                            <w:color w:val="131313"/>
                            <w:w w:val="114"/>
                            <w:sz w:val="22"/>
                          </w:rPr>
                          <w:t>9</w:t>
                        </w:r>
                      </w:p>
                    </w:tc>
                    <w:tc>
                      <w:tcPr>
                        <w:tcW w:w="1766" w:type="dxa"/>
                      </w:tcPr>
                      <w:p>
                        <w:pPr>
                          <w:pStyle w:val="TableParagraph"/>
                          <w:spacing w:line="229" w:lineRule="exact"/>
                          <w:ind w:left="402"/>
                          <w:rPr>
                            <w:rFonts w:ascii="Times New Roman"/>
                            <w:i/>
                            <w:sz w:val="13"/>
                          </w:rPr>
                        </w:pPr>
                        <w:r>
                          <w:rPr>
                            <w:rFonts w:ascii="Times New Roman"/>
                            <w:i/>
                            <w:w w:val="105"/>
                            <w:sz w:val="20"/>
                          </w:rPr>
                          <w:t>qz</w:t>
                        </w:r>
                        <w:r>
                          <w:rPr>
                            <w:rFonts w:ascii="Times New Roman"/>
                            <w:i/>
                            <w:w w:val="105"/>
                            <w:position w:val="10"/>
                            <w:sz w:val="13"/>
                          </w:rPr>
                          <w:t>i</w:t>
                        </w:r>
                      </w:p>
                    </w:tc>
                    <w:tc>
                      <w:tcPr>
                        <w:tcW w:w="1352" w:type="dxa"/>
                      </w:tcPr>
                      <w:p>
                        <w:pPr>
                          <w:pStyle w:val="TableParagraph"/>
                          <w:spacing w:line="244" w:lineRule="exact"/>
                          <w:ind w:right="49"/>
                          <w:jc w:val="right"/>
                          <w:rPr>
                            <w:sz w:val="22"/>
                          </w:rPr>
                        </w:pPr>
                        <w:r>
                          <w:rPr>
                            <w:w w:val="90"/>
                            <w:sz w:val="22"/>
                          </w:rPr>
                          <w:t>296</w:t>
                        </w:r>
                      </w:p>
                    </w:tc>
                  </w:tr>
                  <w:tr>
                    <w:trPr>
                      <w:trHeight w:val="264" w:hRule="exact"/>
                    </w:trPr>
                    <w:tc>
                      <w:tcPr>
                        <w:tcW w:w="1495" w:type="dxa"/>
                      </w:tcPr>
                      <w:p>
                        <w:pPr>
                          <w:pStyle w:val="TableParagraph"/>
                          <w:spacing w:line="216" w:lineRule="exact"/>
                          <w:ind w:left="74"/>
                          <w:rPr>
                            <w:rFonts w:ascii="Times New Roman"/>
                            <w:sz w:val="20"/>
                          </w:rPr>
                        </w:pPr>
                        <w:r>
                          <w:rPr>
                            <w:rFonts w:ascii="Times New Roman"/>
                            <w:w w:val="105"/>
                            <w:sz w:val="20"/>
                          </w:rPr>
                          <w:t>(mM)z</w:t>
                        </w:r>
                      </w:p>
                    </w:tc>
                    <w:tc>
                      <w:tcPr>
                        <w:tcW w:w="4362" w:type="dxa"/>
                        <w:gridSpan w:val="3"/>
                      </w:tcPr>
                      <w:p>
                        <w:pPr>
                          <w:pStyle w:val="TableParagraph"/>
                          <w:tabs>
                            <w:tab w:pos="1750" w:val="left" w:leader="none"/>
                            <w:tab w:pos="4289" w:val="right" w:leader="none"/>
                          </w:tabs>
                          <w:spacing w:line="229" w:lineRule="exact"/>
                          <w:ind w:left="868"/>
                          <w:rPr>
                            <w:rFonts w:ascii="Times New Roman"/>
                            <w:sz w:val="19"/>
                          </w:rPr>
                        </w:pPr>
                        <w:r>
                          <w:rPr>
                            <w:spacing w:val="-6"/>
                            <w:position w:val="3"/>
                            <w:sz w:val="22"/>
                          </w:rPr>
                          <w:t>301</w:t>
                          <w:tab/>
                        </w:r>
                        <w:r>
                          <w:rPr>
                            <w:rFonts w:ascii="Arial"/>
                            <w:b/>
                            <w:w w:val="120"/>
                            <w:position w:val="10"/>
                            <w:sz w:val="10"/>
                          </w:rPr>
                          <w:t>(k)</w:t>
                        </w:r>
                        <w:r>
                          <w:rPr>
                            <w:rFonts w:ascii="Times New Roman"/>
                            <w:w w:val="120"/>
                            <w:sz w:val="19"/>
                          </w:rPr>
                          <w:tab/>
                          <w:t>271</w:t>
                        </w:r>
                      </w:p>
                    </w:tc>
                  </w:tr>
                  <w:tr>
                    <w:trPr>
                      <w:trHeight w:val="275" w:hRule="exact"/>
                    </w:trPr>
                    <w:tc>
                      <w:tcPr>
                        <w:tcW w:w="1495" w:type="dxa"/>
                      </w:tcPr>
                      <w:p>
                        <w:pPr>
                          <w:pStyle w:val="TableParagraph"/>
                          <w:spacing w:before="21"/>
                          <w:ind w:left="35"/>
                          <w:rPr>
                            <w:rFonts w:ascii="Times New Roman"/>
                            <w:sz w:val="20"/>
                          </w:rPr>
                        </w:pPr>
                        <w:r>
                          <w:rPr>
                            <w:rFonts w:ascii="Times New Roman"/>
                            <w:i/>
                            <w:w w:val="105"/>
                            <w:sz w:val="13"/>
                          </w:rPr>
                          <w:t>n </w:t>
                        </w:r>
                        <w:r>
                          <w:rPr>
                            <w:rFonts w:ascii="Arial"/>
                            <w:i/>
                            <w:w w:val="105"/>
                            <w:sz w:val="18"/>
                          </w:rPr>
                          <w:t>(mp </w:t>
                        </w:r>
                        <w:r>
                          <w:rPr>
                            <w:rFonts w:ascii="Times New Roman"/>
                            <w:w w:val="105"/>
                            <w:sz w:val="20"/>
                          </w:rPr>
                          <w:t>)z</w:t>
                        </w:r>
                      </w:p>
                    </w:tc>
                    <w:tc>
                      <w:tcPr>
                        <w:tcW w:w="4362" w:type="dxa"/>
                        <w:gridSpan w:val="3"/>
                      </w:tcPr>
                      <w:p>
                        <w:pPr>
                          <w:pStyle w:val="TableParagraph"/>
                          <w:tabs>
                            <w:tab w:pos="1643" w:val="left" w:leader="none"/>
                            <w:tab w:pos="4324" w:val="right" w:leader="none"/>
                          </w:tabs>
                          <w:spacing w:before="8"/>
                          <w:ind w:left="864"/>
                          <w:rPr>
                            <w:sz w:val="22"/>
                          </w:rPr>
                        </w:pPr>
                        <w:r>
                          <w:rPr>
                            <w:spacing w:val="-38"/>
                            <w:w w:val="98"/>
                            <w:position w:val="3"/>
                            <w:sz w:val="22"/>
                          </w:rPr>
                          <w:t>3</w:t>
                        </w:r>
                        <w:r>
                          <w:rPr>
                            <w:w w:val="91"/>
                            <w:position w:val="3"/>
                            <w:sz w:val="22"/>
                          </w:rPr>
                          <w:t>00</w:t>
                        </w:r>
                        <w:r>
                          <w:rPr>
                            <w:position w:val="3"/>
                            <w:sz w:val="22"/>
                          </w:rPr>
                          <w:tab/>
                        </w:r>
                        <w:r>
                          <w:rPr>
                            <w:rFonts w:ascii="Times New Roman"/>
                            <w:i/>
                            <w:w w:val="84"/>
                            <w:sz w:val="20"/>
                          </w:rPr>
                          <w:t>q</w:t>
                        </w:r>
                        <w:r>
                          <w:rPr>
                            <w:rFonts w:ascii="Times New Roman"/>
                            <w:i/>
                            <w:spacing w:val="-46"/>
                            <w:w w:val="83"/>
                            <w:sz w:val="20"/>
                          </w:rPr>
                          <w:t>z</w:t>
                        </w:r>
                        <w:r>
                          <w:rPr>
                            <w:rFonts w:ascii="Times New Roman"/>
                            <w:b/>
                            <w:w w:val="114"/>
                            <w:position w:val="11"/>
                            <w:sz w:val="11"/>
                          </w:rPr>
                          <w:t>(</w:t>
                        </w:r>
                        <w:r>
                          <w:rPr>
                            <w:rFonts w:ascii="Times New Roman"/>
                            <w:b/>
                            <w:w w:val="114"/>
                            <w:position w:val="11"/>
                            <w:sz w:val="11"/>
                          </w:rPr>
                          <w:t>-A:</w:t>
                        </w:r>
                        <w:r>
                          <w:rPr>
                            <w:rFonts w:ascii="Times New Roman"/>
                            <w:b/>
                            <w:w w:val="114"/>
                            <w:position w:val="11"/>
                            <w:sz w:val="11"/>
                          </w:rPr>
                          <w:t>)</w:t>
                        </w:r>
                        <w:r>
                          <w:rPr>
                            <w:w w:val="99"/>
                            <w:position w:val="1"/>
                            <w:sz w:val="22"/>
                          </w:rPr>
                          <w:t> </w:t>
                        </w:r>
                        <w:r>
                          <w:rPr>
                            <w:position w:val="1"/>
                            <w:sz w:val="22"/>
                          </w:rPr>
                          <w:tab/>
                        </w:r>
                        <w:r>
                          <w:rPr>
                            <w:spacing w:val="-42"/>
                            <w:w w:val="104"/>
                            <w:position w:val="1"/>
                            <w:sz w:val="22"/>
                          </w:rPr>
                          <w:t>2</w:t>
                        </w:r>
                        <w:r>
                          <w:rPr>
                            <w:spacing w:val="-44"/>
                            <w:w w:val="105"/>
                            <w:position w:val="1"/>
                            <w:sz w:val="22"/>
                          </w:rPr>
                          <w:t>7</w:t>
                        </w:r>
                        <w:r>
                          <w:rPr>
                            <w:w w:val="114"/>
                            <w:position w:val="1"/>
                            <w:sz w:val="22"/>
                          </w:rPr>
                          <w:t>8</w:t>
                        </w:r>
                      </w:p>
                    </w:tc>
                  </w:tr>
                  <w:tr>
                    <w:trPr>
                      <w:trHeight w:val="256" w:hRule="exact"/>
                    </w:trPr>
                    <w:tc>
                      <w:tcPr>
                        <w:tcW w:w="1495" w:type="dxa"/>
                      </w:tcPr>
                      <w:p>
                        <w:pPr>
                          <w:pStyle w:val="TableParagraph"/>
                          <w:spacing w:before="30"/>
                          <w:ind w:left="74"/>
                          <w:rPr>
                            <w:rFonts w:ascii="Times New Roman"/>
                            <w:sz w:val="20"/>
                          </w:rPr>
                        </w:pPr>
                        <w:r>
                          <w:rPr>
                            <w:rFonts w:ascii="Times New Roman"/>
                            <w:sz w:val="20"/>
                          </w:rPr>
                          <w:t>(mq)s</w:t>
                        </w:r>
                      </w:p>
                    </w:tc>
                    <w:tc>
                      <w:tcPr>
                        <w:tcW w:w="4362" w:type="dxa"/>
                        <w:gridSpan w:val="3"/>
                      </w:tcPr>
                      <w:p>
                        <w:pPr>
                          <w:pStyle w:val="TableParagraph"/>
                          <w:tabs>
                            <w:tab w:pos="1646" w:val="left" w:leader="none"/>
                            <w:tab w:pos="4315" w:val="right" w:leader="none"/>
                          </w:tabs>
                          <w:spacing w:line="283" w:lineRule="exact"/>
                          <w:ind w:left="864"/>
                          <w:rPr>
                            <w:sz w:val="22"/>
                          </w:rPr>
                        </w:pPr>
                        <w:r>
                          <w:rPr>
                            <w:rFonts w:ascii="Arial"/>
                            <w:w w:val="88"/>
                            <w:position w:val="3"/>
                            <w:sz w:val="20"/>
                          </w:rPr>
                          <w:t>298</w:t>
                        </w:r>
                        <w:r>
                          <w:rPr>
                            <w:rFonts w:ascii="Arial"/>
                            <w:position w:val="3"/>
                            <w:sz w:val="20"/>
                          </w:rPr>
                          <w:tab/>
                        </w:r>
                        <w:r>
                          <w:rPr>
                            <w:rFonts w:ascii="Times New Roman"/>
                            <w:i/>
                            <w:w w:val="42"/>
                            <w:position w:val="1"/>
                            <w:sz w:val="20"/>
                          </w:rPr>
                          <w:t>q:</w:t>
                        </w:r>
                        <w:r>
                          <w:rPr>
                            <w:rFonts w:ascii="Times New Roman"/>
                            <w:i/>
                            <w:spacing w:val="-4"/>
                            <w:w w:val="42"/>
                            <w:position w:val="1"/>
                            <w:sz w:val="20"/>
                          </w:rPr>
                          <w:t>;</w:t>
                        </w:r>
                        <w:r>
                          <w:rPr>
                            <w:rFonts w:ascii="Times New Roman"/>
                            <w:b/>
                            <w:spacing w:val="-28"/>
                            <w:w w:val="101"/>
                            <w:position w:val="10"/>
                            <w:sz w:val="11"/>
                          </w:rPr>
                          <w:t>'</w:t>
                        </w:r>
                        <w:r>
                          <w:rPr>
                            <w:rFonts w:ascii="Times New Roman"/>
                            <w:i/>
                            <w:w w:val="42"/>
                            <w:position w:val="1"/>
                            <w:sz w:val="20"/>
                          </w:rPr>
                          <w:t>i</w:t>
                        </w:r>
                        <w:r>
                          <w:rPr>
                            <w:rFonts w:ascii="Times New Roman"/>
                            <w:i/>
                            <w:spacing w:val="-25"/>
                            <w:w w:val="42"/>
                            <w:position w:val="1"/>
                            <w:sz w:val="20"/>
                          </w:rPr>
                          <w:t>:</w:t>
                        </w:r>
                        <w:r>
                          <w:rPr>
                            <w:rFonts w:ascii="Times New Roman"/>
                            <w:b/>
                            <w:w w:val="101"/>
                            <w:position w:val="10"/>
                            <w:sz w:val="11"/>
                          </w:rPr>
                          <w:t>(</w:t>
                        </w:r>
                        <w:r>
                          <w:rPr>
                            <w:rFonts w:ascii="Times New Roman"/>
                            <w:b/>
                            <w:w w:val="101"/>
                            <w:position w:val="10"/>
                            <w:sz w:val="11"/>
                          </w:rPr>
                          <w:t>A:</w:t>
                        </w:r>
                        <w:r>
                          <w:rPr>
                            <w:rFonts w:ascii="Times New Roman"/>
                            <w:b/>
                            <w:w w:val="101"/>
                            <w:position w:val="10"/>
                            <w:sz w:val="11"/>
                          </w:rPr>
                          <w:t>)</w:t>
                        </w:r>
                        <w:r>
                          <w:rPr>
                            <w:w w:val="99"/>
                            <w:sz w:val="22"/>
                          </w:rPr>
                          <w:t> </w:t>
                        </w:r>
                        <w:r>
                          <w:rPr>
                            <w:sz w:val="22"/>
                          </w:rPr>
                          <w:tab/>
                        </w:r>
                        <w:r>
                          <w:rPr>
                            <w:spacing w:val="-37"/>
                            <w:w w:val="100"/>
                            <w:sz w:val="22"/>
                          </w:rPr>
                          <w:t>2</w:t>
                        </w:r>
                        <w:r>
                          <w:rPr>
                            <w:spacing w:val="-44"/>
                            <w:w w:val="105"/>
                            <w:sz w:val="22"/>
                          </w:rPr>
                          <w:t>7</w:t>
                        </w:r>
                        <w:r>
                          <w:rPr>
                            <w:w w:val="105"/>
                            <w:sz w:val="22"/>
                          </w:rPr>
                          <w:t>7</w:t>
                        </w:r>
                      </w:p>
                    </w:tc>
                  </w:tr>
                </w:tbl>
                <w:p>
                  <w:pPr>
                    <w:pStyle w:val="BodyText"/>
                  </w:pPr>
                </w:p>
              </w:txbxContent>
            </v:textbox>
            <w10:wrap type="none"/>
          </v:shape>
        </w:pict>
      </w:r>
      <w:r>
        <w:rPr>
          <w:rFonts w:ascii="Arial"/>
          <w:b/>
          <w:i/>
          <w:w w:val="90"/>
          <w:sz w:val="16"/>
        </w:rPr>
        <w:t>Qz</w:t>
      </w:r>
    </w:p>
    <w:p>
      <w:pPr>
        <w:spacing w:before="70"/>
        <w:ind w:left="194" w:right="0" w:firstLine="0"/>
        <w:jc w:val="left"/>
        <w:rPr>
          <w:b/>
          <w:sz w:val="17"/>
        </w:rPr>
      </w:pPr>
      <w:r>
        <w:rPr>
          <w:b/>
          <w:sz w:val="17"/>
        </w:rPr>
        <w:t>,.¡qz</w:t>
      </w:r>
    </w:p>
    <w:p>
      <w:pPr>
        <w:spacing w:after="0"/>
        <w:jc w:val="left"/>
        <w:rPr>
          <w:sz w:val="17"/>
        </w:rPr>
        <w:sectPr>
          <w:type w:val="continuous"/>
          <w:pgSz w:w="7200" w:h="11340"/>
          <w:pgMar w:top="1100" w:bottom="0" w:left="620" w:right="460"/>
          <w:cols w:num="2" w:equalWidth="0">
            <w:col w:w="2858" w:space="245"/>
            <w:col w:w="3017"/>
          </w:cols>
        </w:sectPr>
      </w:pPr>
    </w:p>
    <w:p>
      <w:pPr>
        <w:spacing w:before="654"/>
        <w:ind w:left="743" w:right="119" w:firstLine="0"/>
        <w:jc w:val="center"/>
        <w:rPr>
          <w:rFonts w:ascii="Arial"/>
          <w:b/>
          <w:i/>
          <w:sz w:val="16"/>
        </w:rPr>
      </w:pPr>
      <w:r>
        <w:rPr>
          <w:rFonts w:ascii="Arial"/>
          <w:b/>
          <w:i/>
          <w:sz w:val="16"/>
        </w:rPr>
        <w:t>qz</w:t>
      </w:r>
    </w:p>
    <w:p>
      <w:pPr>
        <w:tabs>
          <w:tab w:pos="2515" w:val="left" w:leader="none"/>
          <w:tab w:pos="3290" w:val="left" w:leader="none"/>
          <w:tab w:pos="5953" w:val="right" w:leader="none"/>
        </w:tabs>
        <w:spacing w:before="553"/>
        <w:ind w:left="205" w:right="0" w:firstLine="0"/>
        <w:jc w:val="left"/>
        <w:rPr>
          <w:rFonts w:ascii="Courier New"/>
          <w:sz w:val="22"/>
        </w:rPr>
      </w:pPr>
      <w:r>
        <w:rPr>
          <w:w w:val="58"/>
          <w:sz w:val="12"/>
        </w:rPr>
        <w:t>CI</w:t>
      </w:r>
      <w:r>
        <w:rPr>
          <w:sz w:val="12"/>
        </w:rPr>
        <w:t> </w:t>
      </w:r>
      <w:r>
        <w:rPr>
          <w:spacing w:val="-6"/>
          <w:sz w:val="12"/>
        </w:rPr>
        <w:t> </w:t>
      </w:r>
      <w:r>
        <w:rPr>
          <w:w w:val="101"/>
          <w:sz w:val="20"/>
        </w:rPr>
        <w:t>(</w:t>
      </w:r>
      <w:r>
        <w:rPr>
          <w:w w:val="101"/>
          <w:sz w:val="20"/>
        </w:rPr>
        <w:t>mq</w:t>
      </w:r>
      <w:r>
        <w:rPr>
          <w:w w:val="101"/>
          <w:sz w:val="20"/>
        </w:rPr>
        <w:t>)</w:t>
      </w:r>
      <w:r>
        <w:rPr>
          <w:w w:val="101"/>
          <w:sz w:val="20"/>
        </w:rPr>
        <w:t>s</w:t>
      </w:r>
      <w:r>
        <w:rPr>
          <w:sz w:val="20"/>
        </w:rPr>
        <w:tab/>
      </w:r>
      <w:r>
        <w:rPr>
          <w:rFonts w:ascii="Courier New"/>
          <w:spacing w:val="-38"/>
          <w:w w:val="98"/>
          <w:position w:val="4"/>
          <w:sz w:val="22"/>
        </w:rPr>
        <w:t>3</w:t>
      </w:r>
      <w:r>
        <w:rPr>
          <w:rFonts w:ascii="Courier New"/>
          <w:spacing w:val="-46"/>
          <w:w w:val="118"/>
          <w:position w:val="4"/>
          <w:sz w:val="22"/>
        </w:rPr>
        <w:t>0</w:t>
      </w:r>
      <w:r>
        <w:rPr>
          <w:rFonts w:ascii="Courier New"/>
          <w:w w:val="84"/>
          <w:position w:val="4"/>
          <w:sz w:val="22"/>
        </w:rPr>
        <w:t>1</w:t>
      </w:r>
      <w:r>
        <w:rPr>
          <w:rFonts w:ascii="Courier New"/>
          <w:position w:val="4"/>
          <w:sz w:val="22"/>
        </w:rPr>
        <w:tab/>
      </w:r>
      <w:r>
        <w:rPr>
          <w:i/>
          <w:spacing w:val="13"/>
          <w:w w:val="159"/>
          <w:position w:val="5"/>
          <w:sz w:val="20"/>
        </w:rPr>
        <w:t>q</w:t>
      </w:r>
      <w:r>
        <w:rPr>
          <w:i/>
          <w:w w:val="71"/>
          <w:position w:val="5"/>
          <w:sz w:val="20"/>
        </w:rPr>
        <w:t>T</w:t>
      </w:r>
      <w:r>
        <w:rPr>
          <w:i/>
          <w:w w:val="71"/>
          <w:position w:val="5"/>
          <w:sz w:val="20"/>
        </w:rPr>
        <w:t>)</w:t>
      </w:r>
      <w:r>
        <w:rPr>
          <w:rFonts w:ascii="Courier New"/>
          <w:w w:val="99"/>
          <w:sz w:val="22"/>
        </w:rPr>
        <w:t> </w:t>
      </w:r>
      <w:r>
        <w:rPr>
          <w:rFonts w:ascii="Courier New"/>
          <w:sz w:val="22"/>
        </w:rPr>
        <w:tab/>
      </w:r>
      <w:r>
        <w:rPr>
          <w:rFonts w:ascii="Courier New"/>
          <w:w w:val="84"/>
          <w:sz w:val="22"/>
        </w:rPr>
        <w:t>2</w:t>
      </w:r>
      <w:r>
        <w:rPr>
          <w:rFonts w:ascii="Courier New"/>
          <w:spacing w:val="-28"/>
          <w:w w:val="84"/>
          <w:sz w:val="22"/>
        </w:rPr>
        <w:t>7</w:t>
      </w:r>
      <w:r>
        <w:rPr>
          <w:rFonts w:ascii="Courier New"/>
          <w:w w:val="98"/>
          <w:sz w:val="22"/>
        </w:rPr>
        <w:t>3</w:t>
      </w:r>
    </w:p>
    <w:p>
      <w:pPr>
        <w:tabs>
          <w:tab w:pos="5629" w:val="left" w:leader="none"/>
        </w:tabs>
        <w:spacing w:line="61" w:lineRule="exact" w:before="21"/>
        <w:ind w:left="3365" w:right="0" w:firstLine="0"/>
        <w:jc w:val="left"/>
        <w:rPr>
          <w:rFonts w:ascii="Courier New"/>
          <w:sz w:val="22"/>
        </w:rPr>
      </w:pPr>
      <w:r>
        <w:rPr>
          <w:rFonts w:ascii="Arial"/>
          <w:w w:val="125"/>
          <w:sz w:val="11"/>
        </w:rPr>
        <w:t>q('I')</w:t>
      </w:r>
      <w:r>
        <w:rPr>
          <w:rFonts w:ascii="Courier New"/>
          <w:w w:val="125"/>
          <w:position w:val="-7"/>
          <w:sz w:val="22"/>
        </w:rPr>
        <w:tab/>
      </w:r>
      <w:r>
        <w:rPr>
          <w:rFonts w:ascii="Courier New"/>
          <w:spacing w:val="-26"/>
          <w:w w:val="125"/>
          <w:position w:val="-7"/>
          <w:sz w:val="22"/>
        </w:rPr>
        <w:t>272</w:t>
      </w:r>
    </w:p>
    <w:p>
      <w:pPr>
        <w:tabs>
          <w:tab w:pos="2843" w:val="right" w:leader="none"/>
        </w:tabs>
        <w:spacing w:line="213" w:lineRule="exact" w:before="0"/>
        <w:ind w:left="301" w:right="0" w:firstLine="0"/>
        <w:jc w:val="left"/>
        <w:rPr>
          <w:rFonts w:ascii="Courier New"/>
          <w:sz w:val="22"/>
        </w:rPr>
      </w:pPr>
      <w:r>
        <w:rPr/>
        <w:pict>
          <v:shape style="position:absolute;margin-left:40.358749pt;margin-top:1.575773pt;width:167.25pt;height:11.3pt;mso-position-horizontal-relative:page;mso-position-vertical-relative:paragraph;z-index:-703240" type="#_x0000_t202" filled="false" stroked="false">
            <v:textbox inset="0,0,0,0">
              <w:txbxContent>
                <w:p>
                  <w:pPr>
                    <w:tabs>
                      <w:tab w:pos="3103" w:val="left" w:leader="none"/>
                    </w:tabs>
                    <w:spacing w:line="226" w:lineRule="exact" w:before="0"/>
                    <w:ind w:left="0" w:right="0" w:firstLine="0"/>
                    <w:jc w:val="left"/>
                    <w:rPr>
                      <w:rFonts w:ascii="Arial"/>
                      <w:sz w:val="7"/>
                    </w:rPr>
                  </w:pPr>
                  <w:r>
                    <w:rPr>
                      <w:w w:val="95"/>
                      <w:position w:val="-8"/>
                      <w:sz w:val="16"/>
                    </w:rPr>
                    <w:t>JJ.z</w:t>
                    <w:tab/>
                  </w:r>
                  <w:r>
                    <w:rPr>
                      <w:i/>
                      <w:sz w:val="13"/>
                    </w:rPr>
                    <w:t>n  </w:t>
                  </w:r>
                  <w:r>
                    <w:rPr>
                      <w:i/>
                      <w:spacing w:val="9"/>
                      <w:sz w:val="13"/>
                    </w:rPr>
                    <w:t> </w:t>
                  </w:r>
                  <w:r>
                    <w:rPr>
                      <w:rFonts w:ascii="Arial"/>
                      <w:sz w:val="7"/>
                    </w:rPr>
                    <w:t>:ii:</w:t>
                  </w:r>
                </w:p>
              </w:txbxContent>
            </v:textbox>
            <w10:wrap type="none"/>
          </v:shape>
        </w:pict>
      </w:r>
      <w:r>
        <w:rPr>
          <w:b/>
          <w:sz w:val="12"/>
        </w:rPr>
        <w:t>(A:)</w:t>
      </w:r>
      <w:r>
        <w:rPr>
          <w:rFonts w:ascii="Courier New"/>
          <w:position w:val="-7"/>
          <w:sz w:val="22"/>
        </w:rPr>
        <w:tab/>
      </w:r>
      <w:r>
        <w:rPr>
          <w:rFonts w:ascii="Courier New"/>
          <w:spacing w:val="-28"/>
          <w:position w:val="-7"/>
          <w:sz w:val="22"/>
        </w:rPr>
        <w:t>275</w:t>
      </w:r>
    </w:p>
    <w:p>
      <w:pPr>
        <w:spacing w:line="24" w:lineRule="exact" w:before="0"/>
        <w:ind w:left="1042" w:right="119" w:firstLine="0"/>
        <w:jc w:val="center"/>
        <w:rPr>
          <w:rFonts w:ascii="Arial"/>
          <w:b/>
          <w:sz w:val="11"/>
        </w:rPr>
      </w:pPr>
      <w:r>
        <w:rPr>
          <w:rFonts w:ascii="Arial"/>
          <w:b/>
          <w:w w:val="150"/>
          <w:sz w:val="11"/>
        </w:rPr>
        <w:t>(Tl)</w:t>
      </w:r>
    </w:p>
    <w:p>
      <w:pPr>
        <w:spacing w:after="0" w:line="24" w:lineRule="exact"/>
        <w:jc w:val="center"/>
        <w:rPr>
          <w:rFonts w:ascii="Arial"/>
          <w:sz w:val="11"/>
        </w:rPr>
        <w:sectPr>
          <w:type w:val="continuous"/>
          <w:pgSz w:w="7200" w:h="11340"/>
          <w:pgMar w:top="1100" w:bottom="0" w:left="620" w:right="460"/>
        </w:sectPr>
      </w:pPr>
    </w:p>
    <w:p>
      <w:pPr>
        <w:tabs>
          <w:tab w:pos="2843" w:val="right" w:leader="none"/>
        </w:tabs>
        <w:spacing w:before="36"/>
        <w:ind w:left="187" w:right="0" w:firstLine="0"/>
        <w:jc w:val="left"/>
        <w:rPr>
          <w:rFonts w:ascii="Courier New"/>
          <w:sz w:val="22"/>
        </w:rPr>
      </w:pPr>
      <w:r>
        <w:rPr/>
        <w:pict>
          <v:shape style="position:absolute;margin-left:46.09866pt;margin-top:2.378352pt;width:9.3pt;height:5.5pt;mso-position-horizontal-relative:page;mso-position-vertical-relative:paragraph;z-index:-703216" type="#_x0000_t202" filled="false" stroked="false">
            <v:textbox inset="0,0,0,0">
              <w:txbxContent>
                <w:p>
                  <w:pPr>
                    <w:spacing w:line="110" w:lineRule="exact" w:before="0"/>
                    <w:ind w:left="0" w:right="-17" w:firstLine="0"/>
                    <w:jc w:val="left"/>
                    <w:rPr>
                      <w:sz w:val="11"/>
                    </w:rPr>
                  </w:pPr>
                  <w:r>
                    <w:rPr>
                      <w:w w:val="130"/>
                      <w:sz w:val="11"/>
                    </w:rPr>
                    <w:t>(T)</w:t>
                  </w:r>
                </w:p>
              </w:txbxContent>
            </v:textbox>
            <w10:wrap type="none"/>
          </v:shape>
        </w:pict>
      </w:r>
      <w:r>
        <w:rPr>
          <w:rFonts w:ascii="Arial"/>
          <w:i/>
          <w:position w:val="-4"/>
          <w:sz w:val="15"/>
        </w:rPr>
        <w:t>JJ.i</w:t>
      </w:r>
      <w:r>
        <w:rPr>
          <w:rFonts w:ascii="Courier New"/>
          <w:sz w:val="22"/>
        </w:rPr>
        <w:tab/>
      </w:r>
      <w:r>
        <w:rPr>
          <w:rFonts w:ascii="Courier New"/>
          <w:spacing w:val="-28"/>
          <w:sz w:val="22"/>
        </w:rPr>
        <w:t>275</w:t>
      </w:r>
    </w:p>
    <w:p>
      <w:pPr>
        <w:tabs>
          <w:tab w:pos="2850" w:val="right" w:leader="none"/>
        </w:tabs>
        <w:spacing w:line="230" w:lineRule="exact" w:before="0"/>
        <w:ind w:left="187" w:right="0" w:firstLine="0"/>
        <w:jc w:val="left"/>
        <w:rPr>
          <w:rFonts w:ascii="Courier New"/>
          <w:sz w:val="22"/>
        </w:rPr>
      </w:pPr>
      <w:r>
        <w:rPr/>
        <w:br w:type="column"/>
      </w:r>
      <w:r>
        <w:rPr>
          <w:rFonts w:ascii="Courier New"/>
          <w:i/>
          <w:w w:val="90"/>
          <w:sz w:val="21"/>
        </w:rPr>
        <w:t>qz</w:t>
      </w:r>
      <w:r>
        <w:rPr>
          <w:rFonts w:ascii="Courier New"/>
          <w:w w:val="90"/>
          <w:position w:val="1"/>
          <w:sz w:val="22"/>
        </w:rPr>
        <w:tab/>
      </w:r>
      <w:r>
        <w:rPr>
          <w:rFonts w:ascii="Courier New"/>
          <w:spacing w:val="-7"/>
          <w:w w:val="90"/>
          <w:position w:val="1"/>
          <w:sz w:val="22"/>
        </w:rPr>
        <w:t>293</w:t>
      </w:r>
    </w:p>
    <w:p>
      <w:pPr>
        <w:tabs>
          <w:tab w:pos="2850" w:val="right" w:leader="none"/>
        </w:tabs>
        <w:spacing w:line="98" w:lineRule="exact" w:before="0"/>
        <w:ind w:left="420" w:right="0" w:firstLine="0"/>
        <w:jc w:val="left"/>
        <w:rPr>
          <w:rFonts w:ascii="Courier New"/>
          <w:sz w:val="22"/>
        </w:rPr>
      </w:pPr>
      <w:r>
        <w:rPr>
          <w:rFonts w:ascii="Arial"/>
          <w:w w:val="135"/>
          <w:sz w:val="11"/>
        </w:rPr>
        <w:t>(Tl)</w:t>
      </w:r>
      <w:r>
        <w:rPr>
          <w:rFonts w:ascii="Courier New"/>
          <w:w w:val="135"/>
          <w:position w:val="-10"/>
          <w:sz w:val="22"/>
        </w:rPr>
        <w:tab/>
      </w:r>
      <w:r>
        <w:rPr>
          <w:rFonts w:ascii="Courier New"/>
          <w:spacing w:val="-28"/>
          <w:w w:val="120"/>
          <w:position w:val="-10"/>
          <w:sz w:val="22"/>
        </w:rPr>
        <w:t>295</w:t>
      </w:r>
    </w:p>
    <w:p>
      <w:pPr>
        <w:spacing w:after="0" w:line="98" w:lineRule="exact"/>
        <w:jc w:val="left"/>
        <w:rPr>
          <w:rFonts w:ascii="Courier New"/>
          <w:sz w:val="22"/>
        </w:rPr>
        <w:sectPr>
          <w:type w:val="continuous"/>
          <w:pgSz w:w="7200" w:h="11340"/>
          <w:pgMar w:top="1100" w:bottom="0" w:left="620" w:right="460"/>
          <w:cols w:num="2" w:equalWidth="0">
            <w:col w:w="2844" w:space="259"/>
            <w:col w:w="3017"/>
          </w:cols>
        </w:sectPr>
      </w:pPr>
    </w:p>
    <w:p>
      <w:pPr>
        <w:tabs>
          <w:tab w:pos="2515" w:val="left" w:leader="none"/>
          <w:tab w:pos="3286" w:val="left" w:leader="none"/>
        </w:tabs>
        <w:spacing w:line="267" w:lineRule="exact" w:before="0"/>
        <w:ind w:left="190" w:right="0" w:firstLine="0"/>
        <w:jc w:val="left"/>
        <w:rPr>
          <w:sz w:val="16"/>
        </w:rPr>
      </w:pPr>
      <w:r>
        <w:rPr>
          <w:rFonts w:ascii="Arial" w:hAnsi="Arial"/>
          <w:i/>
          <w:position w:val="-13"/>
          <w:sz w:val="25"/>
        </w:rPr>
        <w:t>N:ª</w:t>
        <w:tab/>
      </w:r>
      <w:r>
        <w:rPr>
          <w:rFonts w:ascii="Courier New" w:hAnsi="Courier New"/>
          <w:spacing w:val="-27"/>
          <w:position w:val="-11"/>
          <w:sz w:val="22"/>
        </w:rPr>
        <w:t>301</w:t>
        <w:tab/>
      </w:r>
      <w:r>
        <w:rPr>
          <w:sz w:val="16"/>
        </w:rPr>
        <w:t>nlqz</w:t>
      </w:r>
    </w:p>
    <w:p>
      <w:pPr>
        <w:tabs>
          <w:tab w:pos="2515" w:val="left" w:leader="none"/>
          <w:tab w:pos="3290" w:val="left" w:leader="none"/>
          <w:tab w:pos="5618" w:val="left" w:leader="none"/>
        </w:tabs>
        <w:spacing w:line="328" w:lineRule="exact" w:before="0"/>
        <w:ind w:left="183" w:right="0" w:firstLine="0"/>
        <w:jc w:val="left"/>
        <w:rPr>
          <w:sz w:val="21"/>
        </w:rPr>
      </w:pPr>
      <w:r>
        <w:rPr>
          <w:rFonts w:ascii="Arial"/>
          <w:i/>
          <w:position w:val="4"/>
          <w:sz w:val="29"/>
        </w:rPr>
        <w:t>N;;</w:t>
        <w:tab/>
      </w:r>
      <w:r>
        <w:rPr>
          <w:rFonts w:ascii="Courier New"/>
          <w:spacing w:val="-13"/>
          <w:sz w:val="22"/>
        </w:rPr>
        <w:t>300</w:t>
        <w:tab/>
      </w:r>
      <w:r>
        <w:rPr>
          <w:rFonts w:ascii="Courier New"/>
          <w:i/>
          <w:position w:val="1"/>
          <w:sz w:val="27"/>
        </w:rPr>
        <w:t>R!</w:t>
      </w:r>
      <w:r>
        <w:rPr>
          <w:position w:val="1"/>
          <w:sz w:val="21"/>
        </w:rPr>
        <w:tab/>
        <w:t>307</w:t>
      </w:r>
    </w:p>
    <w:p>
      <w:pPr>
        <w:spacing w:after="0" w:line="328" w:lineRule="exact"/>
        <w:jc w:val="left"/>
        <w:rPr>
          <w:sz w:val="21"/>
        </w:rPr>
        <w:sectPr>
          <w:type w:val="continuous"/>
          <w:pgSz w:w="7200" w:h="11340"/>
          <w:pgMar w:top="1100" w:bottom="0" w:left="620" w:right="460"/>
        </w:sectPr>
      </w:pPr>
    </w:p>
    <w:p>
      <w:pPr>
        <w:tabs>
          <w:tab w:pos="2124" w:val="left" w:leader="none"/>
        </w:tabs>
        <w:spacing w:before="51"/>
        <w:ind w:left="153" w:right="0" w:firstLine="0"/>
        <w:jc w:val="left"/>
        <w:rPr>
          <w:sz w:val="15"/>
        </w:rPr>
      </w:pPr>
      <w:r>
        <w:rPr>
          <w:w w:val="105"/>
          <w:sz w:val="21"/>
        </w:rPr>
        <w:t>386</w:t>
        <w:tab/>
      </w:r>
      <w:r>
        <w:rPr>
          <w:w w:val="105"/>
          <w:position w:val="1"/>
          <w:sz w:val="15"/>
        </w:rPr>
        <w:t>INDEX   TO </w:t>
      </w:r>
      <w:r>
        <w:rPr>
          <w:spacing w:val="16"/>
          <w:w w:val="105"/>
          <w:position w:val="1"/>
          <w:sz w:val="15"/>
        </w:rPr>
        <w:t> </w:t>
      </w:r>
      <w:r>
        <w:rPr>
          <w:w w:val="105"/>
          <w:position w:val="1"/>
          <w:sz w:val="15"/>
        </w:rPr>
        <w:t>NOTATION</w:t>
      </w:r>
    </w:p>
    <w:p>
      <w:pPr>
        <w:tabs>
          <w:tab w:pos="2474" w:val="left" w:leader="none"/>
          <w:tab w:pos="3236" w:val="left" w:leader="none"/>
          <w:tab w:pos="5561" w:val="left" w:leader="none"/>
        </w:tabs>
        <w:spacing w:line="421" w:lineRule="exact" w:before="30"/>
        <w:ind w:left="156" w:right="0" w:firstLine="0"/>
        <w:jc w:val="left"/>
        <w:rPr>
          <w:sz w:val="19"/>
        </w:rPr>
      </w:pPr>
      <w:r>
        <w:rPr>
          <w:rFonts w:ascii="Arial"/>
          <w:i/>
          <w:sz w:val="24"/>
        </w:rPr>
        <w:t>R!</w:t>
        <w:tab/>
      </w:r>
      <w:r>
        <w:rPr>
          <w:rFonts w:ascii="Arial"/>
          <w:position w:val="1"/>
          <w:sz w:val="19"/>
        </w:rPr>
        <w:t>307</w:t>
        <w:tab/>
      </w:r>
      <w:r>
        <w:rPr>
          <w:i/>
          <w:position w:val="1"/>
          <w:sz w:val="42"/>
        </w:rPr>
        <w:t>s:</w:t>
      </w:r>
      <w:r>
        <w:rPr>
          <w:position w:val="1"/>
          <w:sz w:val="19"/>
        </w:rPr>
        <w:tab/>
      </w:r>
      <w:r>
        <w:rPr>
          <w:spacing w:val="-11"/>
          <w:position w:val="1"/>
          <w:sz w:val="19"/>
        </w:rPr>
        <w:t>307</w:t>
      </w:r>
    </w:p>
    <w:p>
      <w:pPr>
        <w:tabs>
          <w:tab w:pos="2467" w:val="left" w:leader="none"/>
          <w:tab w:pos="3243" w:val="left" w:leader="none"/>
          <w:tab w:pos="5557" w:val="left" w:leader="none"/>
        </w:tabs>
        <w:spacing w:line="303" w:lineRule="exact" w:before="0"/>
        <w:ind w:left="160" w:right="0" w:firstLine="0"/>
        <w:jc w:val="left"/>
        <w:rPr>
          <w:rFonts w:ascii="Arial"/>
          <w:sz w:val="18"/>
        </w:rPr>
      </w:pPr>
      <w:r>
        <w:rPr>
          <w:i/>
          <w:w w:val="95"/>
          <w:position w:val="4"/>
          <w:sz w:val="18"/>
        </w:rPr>
        <w:t>F</w:t>
      </w:r>
      <w:r>
        <w:rPr>
          <w:i/>
          <w:spacing w:val="-30"/>
          <w:w w:val="95"/>
          <w:position w:val="4"/>
          <w:sz w:val="18"/>
        </w:rPr>
        <w:t> </w:t>
      </w:r>
      <w:r>
        <w:rPr>
          <w:i/>
          <w:position w:val="4"/>
          <w:sz w:val="18"/>
        </w:rPr>
        <w:t>fl:</w:t>
        <w:tab/>
      </w:r>
      <w:r>
        <w:rPr>
          <w:sz w:val="19"/>
        </w:rPr>
        <w:t>307</w:t>
        <w:tab/>
      </w:r>
      <w:r>
        <w:rPr>
          <w:i/>
          <w:w w:val="95"/>
          <w:position w:val="1"/>
          <w:sz w:val="32"/>
        </w:rPr>
        <w:t>s,,</w:t>
      </w:r>
      <w:r>
        <w:rPr>
          <w:rFonts w:ascii="Arial"/>
          <w:w w:val="95"/>
          <w:sz w:val="18"/>
        </w:rPr>
        <w:tab/>
      </w:r>
      <w:r>
        <w:rPr>
          <w:rFonts w:ascii="Arial"/>
          <w:sz w:val="18"/>
        </w:rPr>
        <w:t>311</w:t>
      </w:r>
    </w:p>
    <w:p>
      <w:pPr>
        <w:tabs>
          <w:tab w:pos="2463" w:val="left" w:leader="none"/>
          <w:tab w:pos="3240" w:val="left" w:leader="none"/>
          <w:tab w:pos="5557" w:val="left" w:leader="none"/>
        </w:tabs>
        <w:spacing w:line="309" w:lineRule="exact" w:before="0"/>
        <w:ind w:left="146" w:right="0" w:firstLine="0"/>
        <w:jc w:val="left"/>
        <w:rPr>
          <w:sz w:val="19"/>
        </w:rPr>
      </w:pPr>
      <w:r>
        <w:rPr>
          <w:w w:val="95"/>
          <w:position w:val="6"/>
          <w:sz w:val="26"/>
        </w:rPr>
        <w:t>fez</w:t>
        <w:tab/>
      </w:r>
      <w:r>
        <w:rPr>
          <w:rFonts w:ascii="Arial"/>
          <w:position w:val="8"/>
          <w:sz w:val="19"/>
        </w:rPr>
        <w:t>309</w:t>
        <w:tab/>
      </w:r>
      <w:r>
        <w:rPr>
          <w:rFonts w:ascii="Arial"/>
          <w:i/>
          <w:position w:val="1"/>
          <w:sz w:val="19"/>
        </w:rPr>
        <w:t>;(TPC</w:t>
      </w:r>
      <w:r>
        <w:rPr>
          <w:rFonts w:ascii="Arial"/>
          <w:i/>
          <w:spacing w:val="-17"/>
          <w:position w:val="1"/>
          <w:sz w:val="19"/>
        </w:rPr>
        <w:t> </w:t>
      </w:r>
      <w:r>
        <w:rPr>
          <w:rFonts w:ascii="Arial"/>
          <w:i/>
          <w:w w:val="95"/>
          <w:position w:val="1"/>
          <w:sz w:val="19"/>
        </w:rPr>
        <w:t>)z</w:t>
      </w:r>
      <w:r>
        <w:rPr>
          <w:w w:val="95"/>
          <w:sz w:val="19"/>
        </w:rPr>
        <w:tab/>
      </w:r>
      <w:r>
        <w:rPr>
          <w:spacing w:val="-21"/>
          <w:w w:val="110"/>
          <w:sz w:val="19"/>
        </w:rPr>
        <w:t>318</w:t>
      </w:r>
    </w:p>
    <w:p>
      <w:pPr>
        <w:tabs>
          <w:tab w:pos="2471" w:val="left" w:leader="none"/>
          <w:tab w:pos="3268" w:val="left" w:leader="none"/>
          <w:tab w:pos="5554" w:val="left" w:leader="none"/>
        </w:tabs>
        <w:spacing w:line="274" w:lineRule="exact" w:before="0"/>
        <w:ind w:left="153" w:right="0" w:firstLine="0"/>
        <w:jc w:val="left"/>
        <w:rPr>
          <w:sz w:val="20"/>
        </w:rPr>
      </w:pPr>
      <w:r>
        <w:rPr>
          <w:i/>
          <w:spacing w:val="-3"/>
          <w:w w:val="105"/>
          <w:position w:val="13"/>
          <w:sz w:val="18"/>
        </w:rPr>
        <w:t>&amp;fl;</w:t>
        <w:tab/>
      </w:r>
      <w:r>
        <w:rPr>
          <w:rFonts w:ascii="Courier New"/>
          <w:spacing w:val="-15"/>
          <w:w w:val="105"/>
          <w:position w:val="7"/>
          <w:sz w:val="22"/>
        </w:rPr>
        <w:t>313</w:t>
        <w:tab/>
      </w:r>
      <w:r>
        <w:rPr>
          <w:rFonts w:ascii="Arial"/>
          <w:i/>
          <w:spacing w:val="2"/>
          <w:w w:val="105"/>
          <w:sz w:val="19"/>
        </w:rPr>
        <w:t>(TPS)z</w:t>
      </w:r>
      <w:r>
        <w:rPr>
          <w:spacing w:val="2"/>
          <w:w w:val="105"/>
          <w:sz w:val="20"/>
        </w:rPr>
        <w:tab/>
      </w:r>
      <w:r>
        <w:rPr>
          <w:spacing w:val="-23"/>
          <w:w w:val="105"/>
          <w:sz w:val="20"/>
        </w:rPr>
        <w:t>310</w:t>
      </w:r>
    </w:p>
    <w:p>
      <w:pPr>
        <w:tabs>
          <w:tab w:pos="2460" w:val="left" w:leader="none"/>
        </w:tabs>
        <w:spacing w:line="175" w:lineRule="exact" w:before="0"/>
        <w:ind w:left="153" w:right="0" w:firstLine="0"/>
        <w:jc w:val="left"/>
        <w:rPr>
          <w:rFonts w:ascii="Courier New"/>
          <w:sz w:val="22"/>
        </w:rPr>
      </w:pPr>
      <w:r>
        <w:rPr/>
        <w:pict>
          <v:shape style="position:absolute;margin-left:200.655701pt;margin-top:8.748050pt;width:7pt;height:4.5pt;mso-position-horizontal-relative:page;mso-position-vertical-relative:paragraph;z-index:-703120" type="#_x0000_t202" filled="false" stroked="false">
            <v:textbox inset="0,0,0,0">
              <w:txbxContent>
                <w:p>
                  <w:pPr>
                    <w:spacing w:line="90" w:lineRule="exact" w:before="0"/>
                    <w:ind w:left="0" w:right="-20" w:firstLine="0"/>
                    <w:jc w:val="left"/>
                    <w:rPr>
                      <w:b/>
                      <w:sz w:val="9"/>
                    </w:rPr>
                  </w:pPr>
                  <w:r>
                    <w:rPr>
                      <w:b/>
                      <w:w w:val="155"/>
                      <w:sz w:val="9"/>
                    </w:rPr>
                    <w:t>44</w:t>
                  </w:r>
                </w:p>
              </w:txbxContent>
            </v:textbox>
            <w10:wrap type="none"/>
          </v:shape>
        </w:pict>
      </w:r>
      <w:r>
        <w:rPr>
          <w:i/>
          <w:sz w:val="18"/>
        </w:rPr>
        <w:t>S'afl;</w:t>
      </w:r>
      <w:r>
        <w:rPr>
          <w:rFonts w:ascii="Courier New"/>
          <w:position w:val="-5"/>
          <w:sz w:val="22"/>
        </w:rPr>
        <w:tab/>
      </w:r>
      <w:r>
        <w:rPr>
          <w:rFonts w:ascii="Courier New"/>
          <w:spacing w:val="-8"/>
          <w:position w:val="-5"/>
          <w:sz w:val="22"/>
        </w:rPr>
        <w:t>315</w:t>
      </w:r>
    </w:p>
    <w:p>
      <w:pPr>
        <w:tabs>
          <w:tab w:pos="2456" w:val="left" w:leader="none"/>
          <w:tab w:pos="3229" w:val="left" w:leader="none"/>
          <w:tab w:pos="5850" w:val="right" w:leader="none"/>
        </w:tabs>
        <w:spacing w:line="356" w:lineRule="exact" w:before="0"/>
        <w:ind w:left="149" w:right="0" w:firstLine="0"/>
        <w:jc w:val="left"/>
        <w:rPr>
          <w:rFonts w:ascii="Arial"/>
          <w:sz w:val="18"/>
        </w:rPr>
      </w:pPr>
      <w:r>
        <w:rPr/>
        <w:pict>
          <v:shape style="position:absolute;margin-left:39.2038pt;margin-top:16.526955pt;width:289.9pt;height:79.55pt;mso-position-horizontal-relative:page;mso-position-vertical-relative:paragraph;z-index:32968"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2321"/>
                    <w:gridCol w:w="588"/>
                    <w:gridCol w:w="1522"/>
                    <w:gridCol w:w="1366"/>
                  </w:tblGrid>
                  <w:tr>
                    <w:trPr>
                      <w:trHeight w:val="371" w:hRule="exact"/>
                    </w:trPr>
                    <w:tc>
                      <w:tcPr>
                        <w:tcW w:w="2321" w:type="dxa"/>
                      </w:tcPr>
                      <w:p>
                        <w:pPr>
                          <w:pStyle w:val="TableParagraph"/>
                          <w:spacing w:line="245" w:lineRule="exact"/>
                          <w:ind w:left="45"/>
                          <w:rPr>
                            <w:rFonts w:ascii="Arial"/>
                            <w:i/>
                            <w:sz w:val="24"/>
                          </w:rPr>
                        </w:pPr>
                        <w:r>
                          <w:rPr>
                            <w:rFonts w:ascii="Arial"/>
                            <w:i/>
                            <w:w w:val="70"/>
                            <w:sz w:val="24"/>
                          </w:rPr>
                          <w:t>S" jR ':</w:t>
                        </w:r>
                      </w:p>
                    </w:tc>
                    <w:tc>
                      <w:tcPr>
                        <w:tcW w:w="588" w:type="dxa"/>
                      </w:tcPr>
                      <w:p>
                        <w:pPr>
                          <w:pStyle w:val="TableParagraph"/>
                          <w:spacing w:before="58"/>
                          <w:ind w:left="35"/>
                          <w:rPr>
                            <w:sz w:val="22"/>
                          </w:rPr>
                        </w:pPr>
                        <w:r>
                          <w:rPr>
                            <w:sz w:val="22"/>
                          </w:rPr>
                          <w:t>318</w:t>
                        </w:r>
                      </w:p>
                    </w:tc>
                    <w:tc>
                      <w:tcPr>
                        <w:tcW w:w="1522" w:type="dxa"/>
                      </w:tcPr>
                      <w:p>
                        <w:pPr>
                          <w:pStyle w:val="TableParagraph"/>
                          <w:spacing w:before="39"/>
                          <w:ind w:left="227"/>
                          <w:rPr>
                            <w:rFonts w:ascii="Times New Roman"/>
                            <w:i/>
                            <w:sz w:val="22"/>
                          </w:rPr>
                        </w:pPr>
                        <w:r>
                          <w:rPr>
                            <w:rFonts w:ascii="Times New Roman"/>
                            <w:i/>
                            <w:w w:val="115"/>
                            <w:sz w:val="22"/>
                          </w:rPr>
                          <w:t>,V!</w:t>
                        </w:r>
                      </w:p>
                    </w:tc>
                    <w:tc>
                      <w:tcPr>
                        <w:tcW w:w="1366" w:type="dxa"/>
                      </w:tcPr>
                      <w:p>
                        <w:pPr>
                          <w:pStyle w:val="TableParagraph"/>
                          <w:spacing w:before="61"/>
                          <w:ind w:right="33"/>
                          <w:jc w:val="right"/>
                          <w:rPr>
                            <w:sz w:val="22"/>
                          </w:rPr>
                        </w:pPr>
                        <w:r>
                          <w:rPr>
                            <w:w w:val="90"/>
                            <w:sz w:val="22"/>
                          </w:rPr>
                          <w:t>329</w:t>
                        </w:r>
                      </w:p>
                    </w:tc>
                  </w:tr>
                  <w:tr>
                    <w:trPr>
                      <w:trHeight w:val="314" w:hRule="exact"/>
                    </w:trPr>
                    <w:tc>
                      <w:tcPr>
                        <w:tcW w:w="2321" w:type="dxa"/>
                      </w:tcPr>
                      <w:p>
                        <w:pPr>
                          <w:pStyle w:val="TableParagraph"/>
                          <w:spacing w:before="46"/>
                          <w:ind w:left="38"/>
                          <w:rPr>
                            <w:rFonts w:ascii="Times New Roman" w:hAnsi="Times New Roman"/>
                            <w:sz w:val="20"/>
                          </w:rPr>
                        </w:pPr>
                        <w:r>
                          <w:rPr>
                            <w:rFonts w:ascii="Times New Roman" w:hAnsi="Times New Roman"/>
                            <w:i/>
                            <w:w w:val="105"/>
                            <w:sz w:val="20"/>
                          </w:rPr>
                          <w:t>r</w:t>
                        </w:r>
                        <w:r>
                          <w:rPr>
                            <w:rFonts w:ascii="Times New Roman" w:hAnsi="Times New Roman"/>
                            <w:w w:val="105"/>
                            <w:sz w:val="13"/>
                          </w:rPr>
                          <w:t>z   (</w:t>
                        </w:r>
                        <w:r>
                          <w:rPr>
                            <w:rFonts w:ascii="Times New Roman" w:hAnsi="Times New Roman"/>
                            <w:w w:val="105"/>
                            <w:sz w:val="20"/>
                          </w:rPr>
                          <w:t>disabílity )</w:t>
                        </w:r>
                      </w:p>
                    </w:tc>
                    <w:tc>
                      <w:tcPr>
                        <w:tcW w:w="588" w:type="dxa"/>
                      </w:tcPr>
                      <w:p>
                        <w:pPr>
                          <w:pStyle w:val="TableParagraph"/>
                          <w:spacing w:before="46"/>
                          <w:ind w:left="35"/>
                          <w:rPr>
                            <w:sz w:val="22"/>
                          </w:rPr>
                        </w:pPr>
                        <w:r>
                          <w:rPr>
                            <w:w w:val="105"/>
                            <w:sz w:val="22"/>
                          </w:rPr>
                          <w:t>297</w:t>
                        </w:r>
                      </w:p>
                    </w:tc>
                    <w:tc>
                      <w:tcPr>
                        <w:tcW w:w="1522" w:type="dxa"/>
                      </w:tcPr>
                      <w:p>
                        <w:pPr>
                          <w:pStyle w:val="TableParagraph"/>
                          <w:spacing w:line="209" w:lineRule="exact"/>
                          <w:ind w:left="230"/>
                          <w:rPr>
                            <w:rFonts w:ascii="Times New Roman"/>
                            <w:sz w:val="12"/>
                          </w:rPr>
                        </w:pPr>
                        <w:r>
                          <w:rPr>
                            <w:rFonts w:ascii="Times New Roman"/>
                            <w:w w:val="120"/>
                            <w:sz w:val="22"/>
                          </w:rPr>
                          <w:t>,</w:t>
                        </w:r>
                        <w:r>
                          <w:rPr>
                            <w:rFonts w:ascii="Times New Roman"/>
                            <w:spacing w:val="-21"/>
                            <w:sz w:val="22"/>
                          </w:rPr>
                          <w:t> </w:t>
                        </w:r>
                        <w:r>
                          <w:rPr>
                            <w:rFonts w:ascii="Times New Roman"/>
                            <w:i/>
                            <w:spacing w:val="-1"/>
                            <w:w w:val="95"/>
                            <w:sz w:val="22"/>
                          </w:rPr>
                          <w:t>V</w:t>
                        </w:r>
                        <w:r>
                          <w:rPr>
                            <w:rFonts w:ascii="Times New Roman"/>
                            <w:i/>
                            <w:spacing w:val="-47"/>
                            <w:w w:val="70"/>
                            <w:sz w:val="22"/>
                          </w:rPr>
                          <w:t>z</w:t>
                        </w:r>
                        <w:r>
                          <w:rPr>
                            <w:rFonts w:ascii="Times New Roman"/>
                            <w:w w:val="155"/>
                            <w:position w:val="7"/>
                            <w:sz w:val="12"/>
                          </w:rPr>
                          <w:t>l</w:t>
                        </w:r>
                        <w:r>
                          <w:rPr>
                            <w:rFonts w:ascii="Times New Roman"/>
                            <w:position w:val="7"/>
                            <w:sz w:val="12"/>
                          </w:rPr>
                          <w:t> </w:t>
                        </w:r>
                        <w:r>
                          <w:rPr>
                            <w:rFonts w:ascii="Times New Roman"/>
                            <w:i/>
                            <w:color w:val="232323"/>
                            <w:w w:val="37"/>
                            <w:sz w:val="22"/>
                          </w:rPr>
                          <w:t>:</w:t>
                        </w:r>
                        <w:r>
                          <w:rPr>
                            <w:rFonts w:ascii="Times New Roman"/>
                            <w:i/>
                            <w:color w:val="232323"/>
                            <w:spacing w:val="13"/>
                            <w:sz w:val="22"/>
                          </w:rPr>
                          <w:t> </w:t>
                        </w:r>
                        <w:r>
                          <w:rPr>
                            <w:rFonts w:ascii="Times New Roman"/>
                            <w:w w:val="200"/>
                            <w:position w:val="7"/>
                            <w:sz w:val="12"/>
                          </w:rPr>
                          <w:t>"</w:t>
                        </w:r>
                      </w:p>
                    </w:tc>
                    <w:tc>
                      <w:tcPr>
                        <w:tcW w:w="1366" w:type="dxa"/>
                      </w:tcPr>
                      <w:p>
                        <w:pPr>
                          <w:pStyle w:val="TableParagraph"/>
                          <w:spacing w:line="220" w:lineRule="exact"/>
                          <w:ind w:right="10"/>
                          <w:jc w:val="right"/>
                          <w:rPr>
                            <w:sz w:val="22"/>
                          </w:rPr>
                        </w:pPr>
                        <w:r>
                          <w:rPr>
                            <w:w w:val="90"/>
                            <w:sz w:val="22"/>
                          </w:rPr>
                          <w:t>289</w:t>
                        </w:r>
                      </w:p>
                    </w:tc>
                  </w:tr>
                  <w:tr>
                    <w:trPr>
                      <w:trHeight w:val="310" w:hRule="exact"/>
                    </w:trPr>
                    <w:tc>
                      <w:tcPr>
                        <w:tcW w:w="2321" w:type="dxa"/>
                      </w:tcPr>
                      <w:p>
                        <w:pPr>
                          <w:pStyle w:val="TableParagraph"/>
                          <w:spacing w:line="241" w:lineRule="exact"/>
                          <w:ind w:left="35"/>
                          <w:rPr>
                            <w:rFonts w:ascii="Times New Roman"/>
                            <w:sz w:val="20"/>
                          </w:rPr>
                        </w:pPr>
                        <w:r>
                          <w:rPr>
                            <w:rFonts w:ascii="Times New Roman"/>
                            <w:i/>
                            <w:w w:val="105"/>
                            <w:sz w:val="21"/>
                          </w:rPr>
                          <w:t>r</w:t>
                        </w:r>
                        <w:r>
                          <w:rPr>
                            <w:rFonts w:ascii="Times New Roman"/>
                            <w:w w:val="105"/>
                            <w:sz w:val="12"/>
                          </w:rPr>
                          <w:t>z  </w:t>
                        </w:r>
                        <w:r>
                          <w:rPr>
                            <w:rFonts w:ascii="Times New Roman"/>
                            <w:w w:val="105"/>
                            <w:sz w:val="20"/>
                          </w:rPr>
                          <w:t>(pensions)</w:t>
                        </w:r>
                      </w:p>
                    </w:tc>
                    <w:tc>
                      <w:tcPr>
                        <w:tcW w:w="588" w:type="dxa"/>
                      </w:tcPr>
                      <w:p>
                        <w:pPr>
                          <w:pStyle w:val="TableParagraph"/>
                          <w:spacing w:before="25"/>
                          <w:ind w:left="31"/>
                          <w:rPr>
                            <w:rFonts w:ascii="Times New Roman"/>
                            <w:sz w:val="19"/>
                          </w:rPr>
                        </w:pPr>
                        <w:r>
                          <w:rPr>
                            <w:rFonts w:ascii="Times New Roman"/>
                            <w:w w:val="105"/>
                            <w:sz w:val="19"/>
                          </w:rPr>
                          <w:t>309</w:t>
                        </w:r>
                      </w:p>
                    </w:tc>
                    <w:tc>
                      <w:tcPr>
                        <w:tcW w:w="1522" w:type="dxa"/>
                      </w:tcPr>
                      <w:p>
                        <w:pPr>
                          <w:pStyle w:val="TableParagraph"/>
                          <w:spacing w:before="80"/>
                          <w:ind w:left="212"/>
                          <w:rPr>
                            <w:rFonts w:ascii="Arial"/>
                            <w:i/>
                            <w:sz w:val="13"/>
                          </w:rPr>
                        </w:pPr>
                        <w:r>
                          <w:rPr>
                            <w:rFonts w:ascii="Arial"/>
                            <w:i/>
                            <w:w w:val="105"/>
                            <w:sz w:val="13"/>
                          </w:rPr>
                          <w:t>W:i</w:t>
                        </w:r>
                      </w:p>
                    </w:tc>
                    <w:tc>
                      <w:tcPr>
                        <w:tcW w:w="1366" w:type="dxa"/>
                      </w:tcPr>
                      <w:p>
                        <w:pPr>
                          <w:pStyle w:val="TableParagraph"/>
                          <w:spacing w:before="21"/>
                          <w:ind w:right="55"/>
                          <w:jc w:val="right"/>
                          <w:rPr>
                            <w:rFonts w:ascii="Times New Roman"/>
                            <w:sz w:val="19"/>
                          </w:rPr>
                        </w:pPr>
                        <w:r>
                          <w:rPr>
                            <w:rFonts w:ascii="Times New Roman"/>
                            <w:sz w:val="19"/>
                          </w:rPr>
                          <w:t>286</w:t>
                        </w:r>
                      </w:p>
                    </w:tc>
                  </w:tr>
                  <w:tr>
                    <w:trPr>
                      <w:trHeight w:val="303" w:hRule="exact"/>
                    </w:trPr>
                    <w:tc>
                      <w:tcPr>
                        <w:tcW w:w="2909" w:type="dxa"/>
                        <w:gridSpan w:val="2"/>
                      </w:tcPr>
                      <w:p>
                        <w:pPr>
                          <w:pStyle w:val="TableParagraph"/>
                          <w:tabs>
                            <w:tab w:pos="2687" w:val="right" w:leader="none"/>
                          </w:tabs>
                          <w:spacing w:line="238" w:lineRule="exact"/>
                          <w:ind w:left="31"/>
                          <w:rPr>
                            <w:sz w:val="22"/>
                          </w:rPr>
                        </w:pPr>
                        <w:r>
                          <w:rPr>
                            <w:rFonts w:ascii="Arial"/>
                            <w:w w:val="103"/>
                            <w:sz w:val="12"/>
                          </w:rPr>
                          <w:t>T</w:t>
                        </w:r>
                        <w:r>
                          <w:rPr>
                            <w:rFonts w:ascii="Arial"/>
                            <w:spacing w:val="-50"/>
                            <w:w w:val="104"/>
                            <w:sz w:val="12"/>
                          </w:rPr>
                          <w:t>z</w:t>
                        </w:r>
                        <w:r>
                          <w:rPr>
                            <w:rFonts w:ascii="Arial"/>
                            <w:w w:val="154"/>
                            <w:position w:val="2"/>
                            <w:sz w:val="25"/>
                          </w:rPr>
                          <w:t>'</w:t>
                        </w:r>
                        <w:r>
                          <w:rPr>
                            <w:w w:val="99"/>
                            <w:sz w:val="22"/>
                          </w:rPr>
                          <w:t> </w:t>
                        </w:r>
                        <w:r>
                          <w:rPr>
                            <w:sz w:val="22"/>
                          </w:rPr>
                          <w:tab/>
                        </w:r>
                        <w:r>
                          <w:rPr>
                            <w:w w:val="81"/>
                            <w:sz w:val="22"/>
                          </w:rPr>
                          <w:t>2</w:t>
                        </w:r>
                        <w:r>
                          <w:rPr>
                            <w:spacing w:val="-24"/>
                            <w:w w:val="81"/>
                            <w:sz w:val="22"/>
                          </w:rPr>
                          <w:t>9</w:t>
                        </w:r>
                        <w:r>
                          <w:rPr>
                            <w:w w:val="101"/>
                            <w:sz w:val="22"/>
                          </w:rPr>
                          <w:t>7</w:t>
                        </w:r>
                      </w:p>
                    </w:tc>
                    <w:tc>
                      <w:tcPr>
                        <w:tcW w:w="1522" w:type="dxa"/>
                      </w:tcPr>
                      <w:p>
                        <w:pPr>
                          <w:pStyle w:val="TableParagraph"/>
                          <w:spacing w:before="42"/>
                          <w:ind w:left="216"/>
                          <w:rPr>
                            <w:rFonts w:ascii="Times New Roman"/>
                            <w:i/>
                            <w:sz w:val="22"/>
                          </w:rPr>
                        </w:pPr>
                        <w:r>
                          <w:rPr>
                            <w:rFonts w:ascii="Times New Roman"/>
                            <w:i/>
                            <w:sz w:val="22"/>
                          </w:rPr>
                          <w:t>Z,,</w:t>
                        </w:r>
                      </w:p>
                    </w:tc>
                    <w:tc>
                      <w:tcPr>
                        <w:tcW w:w="1366" w:type="dxa"/>
                      </w:tcPr>
                      <w:p>
                        <w:pPr>
                          <w:pStyle w:val="TableParagraph"/>
                          <w:spacing w:before="75"/>
                          <w:ind w:right="36"/>
                          <w:jc w:val="right"/>
                          <w:rPr>
                            <w:rFonts w:ascii="Arial"/>
                            <w:sz w:val="18"/>
                          </w:rPr>
                        </w:pPr>
                        <w:r>
                          <w:rPr>
                            <w:rFonts w:ascii="Arial"/>
                            <w:sz w:val="18"/>
                          </w:rPr>
                          <w:t>311</w:t>
                        </w:r>
                      </w:p>
                    </w:tc>
                  </w:tr>
                  <w:tr>
                    <w:trPr>
                      <w:trHeight w:val="292" w:hRule="exact"/>
                    </w:trPr>
                    <w:tc>
                      <w:tcPr>
                        <w:tcW w:w="2909" w:type="dxa"/>
                        <w:gridSpan w:val="2"/>
                      </w:tcPr>
                      <w:p>
                        <w:pPr>
                          <w:pStyle w:val="TableParagraph"/>
                          <w:tabs>
                            <w:tab w:pos="2692" w:val="right" w:leader="none"/>
                          </w:tabs>
                          <w:spacing w:line="323" w:lineRule="exact"/>
                          <w:ind w:left="38"/>
                          <w:rPr>
                            <w:sz w:val="22"/>
                          </w:rPr>
                        </w:pPr>
                        <w:r>
                          <w:rPr>
                            <w:rFonts w:ascii="Times New Roman"/>
                            <w:i/>
                            <w:spacing w:val="-4"/>
                            <w:sz w:val="42"/>
                          </w:rPr>
                          <w:t>s:</w:t>
                        </w:r>
                        <w:r>
                          <w:rPr>
                            <w:spacing w:val="-4"/>
                            <w:sz w:val="22"/>
                          </w:rPr>
                          <w:tab/>
                        </w:r>
                        <w:r>
                          <w:rPr>
                            <w:spacing w:val="-12"/>
                            <w:sz w:val="22"/>
                          </w:rPr>
                          <w:t>307</w:t>
                        </w:r>
                      </w:p>
                    </w:tc>
                    <w:tc>
                      <w:tcPr>
                        <w:tcW w:w="1522" w:type="dxa"/>
                      </w:tcPr>
                      <w:p>
                        <w:pPr>
                          <w:pStyle w:val="TableParagraph"/>
                          <w:spacing w:line="299" w:lineRule="exact"/>
                          <w:ind w:left="223"/>
                          <w:rPr>
                            <w:rFonts w:ascii="Arial"/>
                            <w:i/>
                            <w:sz w:val="28"/>
                          </w:rPr>
                        </w:pPr>
                        <w:r>
                          <w:rPr>
                            <w:rFonts w:ascii="Arial"/>
                            <w:i/>
                            <w:w w:val="75"/>
                            <w:sz w:val="28"/>
                          </w:rPr>
                          <w:t>..zJI</w:t>
                        </w:r>
                      </w:p>
                    </w:tc>
                    <w:tc>
                      <w:tcPr>
                        <w:tcW w:w="1366" w:type="dxa"/>
                      </w:tcPr>
                      <w:p>
                        <w:pPr>
                          <w:pStyle w:val="TableParagraph"/>
                          <w:spacing w:before="43"/>
                          <w:ind w:right="53"/>
                          <w:jc w:val="right"/>
                          <w:rPr>
                            <w:rFonts w:ascii="Arial"/>
                            <w:sz w:val="19"/>
                          </w:rPr>
                        </w:pPr>
                        <w:r>
                          <w:rPr>
                            <w:rFonts w:ascii="Arial"/>
                            <w:w w:val="90"/>
                            <w:sz w:val="19"/>
                          </w:rPr>
                          <w:t>311</w:t>
                        </w:r>
                      </w:p>
                    </w:tc>
                  </w:tr>
                </w:tbl>
                <w:p>
                  <w:pPr>
                    <w:pStyle w:val="BodyText"/>
                  </w:pPr>
                </w:p>
              </w:txbxContent>
            </v:textbox>
            <w10:wrap type="none"/>
          </v:shape>
        </w:pict>
      </w:r>
      <w:r>
        <w:rPr>
          <w:w w:val="75"/>
          <w:position w:val="-5"/>
          <w:sz w:val="26"/>
        </w:rPr>
        <w:t>S'f</w:t>
      </w:r>
      <w:r>
        <w:rPr>
          <w:spacing w:val="-9"/>
          <w:w w:val="75"/>
          <w:position w:val="-5"/>
          <w:sz w:val="26"/>
        </w:rPr>
        <w:t>l</w:t>
      </w:r>
      <w:r>
        <w:rPr>
          <w:spacing w:val="-46"/>
          <w:w w:val="167"/>
          <w:position w:val="-5"/>
          <w:sz w:val="26"/>
        </w:rPr>
        <w:t>;</w:t>
      </w:r>
      <w:r>
        <w:rPr>
          <w:w w:val="50"/>
          <w:position w:val="-5"/>
          <w:sz w:val="26"/>
        </w:rPr>
        <w:t>4</w:t>
      </w:r>
      <w:r>
        <w:rPr>
          <w:position w:val="-5"/>
          <w:sz w:val="26"/>
        </w:rPr>
        <w:tab/>
      </w:r>
      <w:r>
        <w:rPr>
          <w:rFonts w:ascii="Courier New"/>
          <w:spacing w:val="-19"/>
          <w:w w:val="97"/>
          <w:position w:val="-10"/>
          <w:sz w:val="22"/>
        </w:rPr>
        <w:t>3</w:t>
      </w:r>
      <w:r>
        <w:rPr>
          <w:rFonts w:ascii="Courier New"/>
          <w:spacing w:val="-20"/>
          <w:w w:val="79"/>
          <w:position w:val="-10"/>
          <w:sz w:val="22"/>
        </w:rPr>
        <w:t>1</w:t>
      </w:r>
      <w:r>
        <w:rPr>
          <w:rFonts w:ascii="Courier New"/>
          <w:w w:val="104"/>
          <w:position w:val="-10"/>
          <w:sz w:val="22"/>
        </w:rPr>
        <w:t>6</w:t>
      </w:r>
      <w:r>
        <w:rPr>
          <w:rFonts w:ascii="Courier New"/>
          <w:position w:val="-10"/>
          <w:sz w:val="22"/>
        </w:rPr>
        <w:tab/>
      </w:r>
      <w:r>
        <w:rPr>
          <w:i/>
          <w:w w:val="82"/>
          <w:sz w:val="14"/>
        </w:rPr>
        <w:t>U.i:</w:t>
      </w:r>
      <w:r>
        <w:rPr>
          <w:rFonts w:ascii="Arial"/>
          <w:w w:val="99"/>
          <w:sz w:val="18"/>
        </w:rPr>
        <w:t> </w:t>
      </w:r>
      <w:r>
        <w:rPr>
          <w:rFonts w:ascii="Arial"/>
          <w:sz w:val="18"/>
        </w:rPr>
        <w:tab/>
      </w:r>
      <w:r>
        <w:rPr>
          <w:rFonts w:ascii="Arial"/>
          <w:w w:val="99"/>
          <w:sz w:val="18"/>
        </w:rPr>
        <w:t>329</w:t>
      </w:r>
    </w:p>
    <w:p>
      <w:pPr>
        <w:spacing w:after="0" w:line="356" w:lineRule="exact"/>
        <w:jc w:val="left"/>
        <w:rPr>
          <w:rFonts w:ascii="Arial"/>
          <w:sz w:val="18"/>
        </w:rPr>
        <w:sectPr>
          <w:pgSz w:w="7200" w:h="11340"/>
          <w:pgMar w:top="500" w:bottom="280" w:left="680" w:right="500"/>
        </w:sectPr>
      </w:pPr>
    </w:p>
    <w:p>
      <w:pPr>
        <w:pStyle w:val="BodyText"/>
        <w:rPr>
          <w:rFonts w:ascii="Arial"/>
          <w:sz w:val="24"/>
        </w:rPr>
      </w:pPr>
    </w:p>
    <w:p>
      <w:pPr>
        <w:spacing w:before="73"/>
        <w:ind w:left="132" w:right="131" w:firstLine="0"/>
        <w:jc w:val="center"/>
        <w:rPr>
          <w:sz w:val="21"/>
        </w:rPr>
      </w:pPr>
      <w:bookmarkStart w:name="General Index" w:id="33"/>
      <w:bookmarkEnd w:id="33"/>
      <w:r>
        <w:rPr/>
      </w:r>
      <w:r>
        <w:rPr>
          <w:w w:val="110"/>
          <w:sz w:val="21"/>
        </w:rPr>
        <w:t>INDEX</w:t>
      </w:r>
    </w:p>
    <w:p>
      <w:pPr>
        <w:pStyle w:val="BodyText"/>
        <w:spacing w:before="3"/>
        <w:rPr>
          <w:sz w:val="14"/>
        </w:rPr>
      </w:pPr>
    </w:p>
    <w:p>
      <w:pPr>
        <w:spacing w:after="0"/>
        <w:rPr>
          <w:sz w:val="14"/>
        </w:rPr>
        <w:sectPr>
          <w:pgSz w:w="7200" w:h="11340"/>
          <w:pgMar w:top="1060" w:bottom="280" w:left="680" w:right="560"/>
        </w:sectPr>
      </w:pPr>
    </w:p>
    <w:p>
      <w:pPr>
        <w:spacing w:before="78"/>
        <w:ind w:left="122" w:right="0" w:firstLine="0"/>
        <w:jc w:val="left"/>
        <w:rPr>
          <w:sz w:val="17"/>
        </w:rPr>
      </w:pPr>
      <w:r>
        <w:rPr>
          <w:w w:val="105"/>
          <w:sz w:val="17"/>
        </w:rPr>
        <w:t>Accidental  death  benefit,  285, 286</w:t>
      </w:r>
    </w:p>
    <w:p>
      <w:pPr>
        <w:spacing w:before="6"/>
        <w:ind w:left="119" w:right="-12" w:firstLine="0"/>
        <w:jc w:val="left"/>
        <w:rPr>
          <w:sz w:val="17"/>
        </w:rPr>
      </w:pPr>
      <w:r>
        <w:rPr>
          <w:w w:val="110"/>
          <w:sz w:val="17"/>
        </w:rPr>
        <w:t>Adjusted   premium   method,  </w:t>
      </w:r>
      <w:r>
        <w:rPr>
          <w:spacing w:val="-11"/>
          <w:w w:val="110"/>
          <w:sz w:val="17"/>
        </w:rPr>
        <w:t>139-</w:t>
      </w:r>
    </w:p>
    <w:p>
      <w:pPr>
        <w:spacing w:line="182" w:lineRule="exact" w:before="15"/>
        <w:ind w:left="443" w:right="0" w:firstLine="0"/>
        <w:jc w:val="left"/>
        <w:rPr>
          <w:sz w:val="16"/>
        </w:rPr>
      </w:pPr>
      <w:r>
        <w:rPr>
          <w:w w:val="110"/>
          <w:sz w:val="16"/>
        </w:rPr>
        <w:t>142</w:t>
      </w:r>
    </w:p>
    <w:p>
      <w:pPr>
        <w:spacing w:line="242" w:lineRule="auto" w:before="0"/>
        <w:ind w:left="115" w:right="295" w:firstLine="0"/>
        <w:jc w:val="left"/>
        <w:rPr>
          <w:sz w:val="17"/>
        </w:rPr>
      </w:pPr>
      <w:r>
        <w:rPr>
          <w:w w:val="110"/>
          <w:sz w:val="17"/>
        </w:rPr>
        <w:t>Aggregate mortality tables, </w:t>
      </w:r>
      <w:r>
        <w:rPr>
          <w:w w:val="110"/>
          <w:sz w:val="18"/>
        </w:rPr>
        <w:t>28 </w:t>
      </w:r>
      <w:r>
        <w:rPr>
          <w:w w:val="110"/>
          <w:sz w:val="17"/>
        </w:rPr>
        <w:t>Amount at risk, net, 106 Annuity, life</w:t>
      </w:r>
    </w:p>
    <w:p>
      <w:pPr>
        <w:spacing w:before="8"/>
        <w:ind w:left="281" w:right="0" w:firstLine="0"/>
        <w:jc w:val="left"/>
        <w:rPr>
          <w:sz w:val="16"/>
        </w:rPr>
      </w:pPr>
      <w:r>
        <w:rPr>
          <w:w w:val="105"/>
          <w:sz w:val="17"/>
        </w:rPr>
        <w:t>cash ref und, </w:t>
      </w:r>
      <w:r>
        <w:rPr>
          <w:w w:val="105"/>
          <w:sz w:val="16"/>
        </w:rPr>
        <w:t>150--155</w:t>
      </w:r>
    </w:p>
    <w:p>
      <w:pPr>
        <w:spacing w:before="9"/>
        <w:ind w:left="284" w:right="0" w:firstLine="0"/>
        <w:jc w:val="left"/>
        <w:rPr>
          <w:sz w:val="16"/>
        </w:rPr>
      </w:pPr>
      <w:r>
        <w:rPr>
          <w:w w:val="110"/>
          <w:sz w:val="17"/>
        </w:rPr>
        <w:t>complete,  157, </w:t>
      </w:r>
      <w:r>
        <w:rPr>
          <w:w w:val="110"/>
          <w:sz w:val="16"/>
        </w:rPr>
        <w:t>158</w:t>
      </w:r>
    </w:p>
    <w:p>
      <w:pPr>
        <w:spacing w:before="6"/>
        <w:ind w:left="281" w:right="0" w:firstLine="0"/>
        <w:jc w:val="left"/>
        <w:rPr>
          <w:sz w:val="16"/>
        </w:rPr>
      </w:pPr>
      <w:r>
        <w:rPr>
          <w:w w:val="110"/>
          <w:sz w:val="17"/>
        </w:rPr>
        <w:t>continuous, </w:t>
      </w:r>
      <w:r>
        <w:rPr>
          <w:w w:val="110"/>
          <w:sz w:val="16"/>
        </w:rPr>
        <w:t>48-50, 54, 55</w:t>
      </w:r>
    </w:p>
    <w:p>
      <w:pPr>
        <w:spacing w:before="6"/>
        <w:ind w:left="277" w:right="0" w:firstLine="0"/>
        <w:jc w:val="left"/>
        <w:rPr>
          <w:sz w:val="17"/>
        </w:rPr>
      </w:pPr>
      <w:r>
        <w:rPr>
          <w:w w:val="105"/>
          <w:sz w:val="17"/>
        </w:rPr>
        <w:t>decreasing,  52, 53</w:t>
      </w:r>
    </w:p>
    <w:p>
      <w:pPr>
        <w:spacing w:before="6"/>
        <w:ind w:left="281" w:right="0" w:firstLine="0"/>
        <w:jc w:val="left"/>
        <w:rPr>
          <w:sz w:val="16"/>
        </w:rPr>
      </w:pPr>
      <w:r>
        <w:rPr>
          <w:w w:val="110"/>
          <w:sz w:val="17"/>
        </w:rPr>
        <w:t>deferred, </w:t>
      </w:r>
      <w:r>
        <w:rPr>
          <w:w w:val="110"/>
          <w:sz w:val="16"/>
        </w:rPr>
        <w:t>41, 46-48</w:t>
      </w:r>
    </w:p>
    <w:p>
      <w:pPr>
        <w:spacing w:before="6"/>
        <w:ind w:left="277" w:right="0" w:firstLine="0"/>
        <w:jc w:val="left"/>
        <w:rPr>
          <w:sz w:val="16"/>
        </w:rPr>
      </w:pPr>
      <w:r>
        <w:rPr>
          <w:w w:val="110"/>
          <w:sz w:val="17"/>
        </w:rPr>
        <w:t>due, </w:t>
      </w:r>
      <w:r>
        <w:rPr>
          <w:w w:val="110"/>
          <w:sz w:val="16"/>
        </w:rPr>
        <w:t>41, 42</w:t>
      </w:r>
    </w:p>
    <w:p>
      <w:pPr>
        <w:spacing w:before="2"/>
        <w:ind w:left="277" w:right="0" w:firstLine="0"/>
        <w:jc w:val="left"/>
        <w:rPr>
          <w:rFonts w:ascii="Arial"/>
          <w:sz w:val="16"/>
        </w:rPr>
      </w:pPr>
      <w:r>
        <w:rPr>
          <w:w w:val="105"/>
          <w:sz w:val="17"/>
        </w:rPr>
        <w:t>forborne, </w:t>
      </w:r>
      <w:r>
        <w:rPr>
          <w:rFonts w:ascii="Arial"/>
          <w:w w:val="105"/>
          <w:sz w:val="16"/>
        </w:rPr>
        <w:t>43</w:t>
      </w:r>
    </w:p>
    <w:p>
      <w:pPr>
        <w:spacing w:before="2"/>
        <w:ind w:left="281" w:right="0" w:firstLine="0"/>
        <w:jc w:val="left"/>
        <w:rPr>
          <w:sz w:val="17"/>
        </w:rPr>
      </w:pPr>
      <w:r>
        <w:rPr>
          <w:w w:val="105"/>
          <w:sz w:val="17"/>
        </w:rPr>
        <w:t>immediate,  41</w:t>
      </w:r>
    </w:p>
    <w:p>
      <w:pPr>
        <w:spacing w:line="192" w:lineRule="exact" w:before="6"/>
        <w:ind w:left="277" w:right="0" w:firstLine="0"/>
        <w:jc w:val="left"/>
        <w:rPr>
          <w:sz w:val="16"/>
        </w:rPr>
      </w:pPr>
      <w:r>
        <w:rPr>
          <w:w w:val="120"/>
          <w:sz w:val="17"/>
        </w:rPr>
        <w:t>increasing, </w:t>
      </w:r>
      <w:r>
        <w:rPr>
          <w:w w:val="120"/>
          <w:sz w:val="16"/>
        </w:rPr>
        <w:t>51-55</w:t>
      </w:r>
    </w:p>
    <w:p>
      <w:pPr>
        <w:spacing w:line="204" w:lineRule="exact" w:before="0"/>
        <w:ind w:left="266" w:right="0" w:firstLine="0"/>
        <w:jc w:val="left"/>
        <w:rPr>
          <w:sz w:val="18"/>
        </w:rPr>
      </w:pPr>
      <w:r>
        <w:rPr>
          <w:w w:val="105"/>
          <w:sz w:val="17"/>
        </w:rPr>
        <w:t>instalment  refund,  </w:t>
      </w:r>
      <w:r>
        <w:rPr>
          <w:w w:val="105"/>
          <w:sz w:val="18"/>
        </w:rPr>
        <w:t>156</w:t>
      </w:r>
    </w:p>
    <w:p>
      <w:pPr>
        <w:spacing w:before="4"/>
        <w:ind w:left="277" w:right="0" w:firstLine="0"/>
        <w:jc w:val="left"/>
        <w:rPr>
          <w:sz w:val="17"/>
        </w:rPr>
      </w:pPr>
      <w:r>
        <w:rPr>
          <w:w w:val="110"/>
          <w:sz w:val="17"/>
        </w:rPr>
        <w:t>joint-life,  192, 195</w:t>
      </w:r>
    </w:p>
    <w:p>
      <w:pPr>
        <w:spacing w:before="6"/>
        <w:ind w:left="274" w:right="0" w:firstLine="0"/>
        <w:jc w:val="left"/>
        <w:rPr>
          <w:sz w:val="17"/>
        </w:rPr>
      </w:pPr>
      <w:r>
        <w:rPr>
          <w:w w:val="110"/>
          <w:sz w:val="17"/>
        </w:rPr>
        <w:t>last-survivor, 212</w:t>
      </w:r>
    </w:p>
    <w:p>
      <w:pPr>
        <w:spacing w:line="247" w:lineRule="auto" w:before="6"/>
        <w:ind w:left="277" w:right="0" w:firstLine="0"/>
        <w:jc w:val="left"/>
        <w:rPr>
          <w:sz w:val="17"/>
        </w:rPr>
      </w:pPr>
      <w:r>
        <w:rPr>
          <w:w w:val="110"/>
          <w:sz w:val="17"/>
        </w:rPr>
        <w:t>paya.ble </w:t>
      </w:r>
      <w:r>
        <w:rPr>
          <w:rFonts w:ascii="Arial"/>
          <w:i/>
          <w:w w:val="110"/>
          <w:sz w:val="15"/>
        </w:rPr>
        <w:t>m </w:t>
      </w:r>
      <w:r>
        <w:rPr>
          <w:w w:val="110"/>
          <w:sz w:val="17"/>
        </w:rPr>
        <w:t>times a year, 4H8 </w:t>
      </w:r>
      <w:r>
        <w:rPr>
          <w:w w:val="105"/>
          <w:sz w:val="17"/>
        </w:rPr>
        <w:t>reversionary, 255-265</w:t>
      </w:r>
    </w:p>
    <w:p>
      <w:pPr>
        <w:spacing w:line="192" w:lineRule="exact" w:before="0"/>
        <w:ind w:left="270" w:right="0" w:firstLine="0"/>
        <w:jc w:val="left"/>
        <w:rPr>
          <w:sz w:val="17"/>
        </w:rPr>
      </w:pPr>
      <w:r>
        <w:rPr>
          <w:w w:val="105"/>
          <w:sz w:val="17"/>
        </w:rPr>
        <w:t>select, 44, 45</w:t>
      </w:r>
    </w:p>
    <w:p>
      <w:pPr>
        <w:spacing w:before="6"/>
        <w:ind w:left="270" w:right="0" w:firstLine="0"/>
        <w:jc w:val="left"/>
        <w:rPr>
          <w:sz w:val="16"/>
        </w:rPr>
      </w:pPr>
      <w:r>
        <w:rPr>
          <w:w w:val="110"/>
          <w:sz w:val="17"/>
        </w:rPr>
        <w:t>single-life; </w:t>
      </w:r>
      <w:r>
        <w:rPr>
          <w:w w:val="110"/>
          <w:sz w:val="16"/>
        </w:rPr>
        <w:t>37-60</w:t>
      </w:r>
    </w:p>
    <w:p>
      <w:pPr>
        <w:spacing w:before="6"/>
        <w:ind w:left="281" w:right="0" w:firstLine="0"/>
        <w:jc w:val="left"/>
        <w:rPr>
          <w:sz w:val="16"/>
        </w:rPr>
      </w:pPr>
      <w:r>
        <w:rPr>
          <w:w w:val="110"/>
          <w:sz w:val="17"/>
        </w:rPr>
        <w:t>temporary,  </w:t>
      </w:r>
      <w:r>
        <w:rPr>
          <w:w w:val="110"/>
          <w:sz w:val="16"/>
        </w:rPr>
        <w:t>40, 46-48</w:t>
      </w:r>
    </w:p>
    <w:p>
      <w:pPr>
        <w:spacing w:before="1"/>
        <w:ind w:left="277" w:right="0" w:firstLine="0"/>
        <w:jc w:val="left"/>
        <w:rPr>
          <w:rFonts w:ascii="Arial"/>
          <w:sz w:val="17"/>
        </w:rPr>
      </w:pPr>
      <w:r>
        <w:rPr>
          <w:sz w:val="17"/>
        </w:rPr>
        <w:t>varying, </w:t>
      </w:r>
      <w:r>
        <w:rPr>
          <w:rFonts w:ascii="Arial"/>
          <w:sz w:val="17"/>
        </w:rPr>
        <w:t>50--55</w:t>
      </w:r>
    </w:p>
    <w:p>
      <w:pPr>
        <w:spacing w:before="6"/>
        <w:ind w:left="277" w:right="0" w:firstLine="0"/>
        <w:jc w:val="left"/>
        <w:rPr>
          <w:sz w:val="16"/>
        </w:rPr>
      </w:pPr>
      <w:r>
        <w:rPr>
          <w:w w:val="110"/>
          <w:sz w:val="17"/>
        </w:rPr>
        <w:t>with  term-certain, </w:t>
      </w:r>
      <w:r>
        <w:rPr>
          <w:w w:val="110"/>
          <w:sz w:val="16"/>
        </w:rPr>
        <w:t>155-157</w:t>
      </w:r>
    </w:p>
    <w:p>
      <w:pPr>
        <w:spacing w:before="6"/>
        <w:ind w:left="119" w:right="0" w:firstLine="0"/>
        <w:jc w:val="left"/>
        <w:rPr>
          <w:sz w:val="17"/>
        </w:rPr>
      </w:pPr>
      <w:r>
        <w:rPr>
          <w:w w:val="105"/>
          <w:sz w:val="17"/>
        </w:rPr>
        <w:t>Annuity-due,  41, 42</w:t>
      </w:r>
    </w:p>
    <w:p>
      <w:pPr>
        <w:spacing w:before="2"/>
        <w:ind w:left="274" w:right="0" w:firstLine="0"/>
        <w:jc w:val="left"/>
        <w:rPr>
          <w:rFonts w:ascii="Arial"/>
          <w:sz w:val="16"/>
        </w:rPr>
      </w:pPr>
      <w:r>
        <w:rPr>
          <w:w w:val="105"/>
          <w:sz w:val="17"/>
        </w:rPr>
        <w:t>forborne, </w:t>
      </w:r>
      <w:r>
        <w:rPr>
          <w:rFonts w:ascii="Arial"/>
          <w:w w:val="105"/>
          <w:sz w:val="16"/>
        </w:rPr>
        <w:t>43</w:t>
      </w:r>
    </w:p>
    <w:p>
      <w:pPr>
        <w:spacing w:line="193" w:lineRule="exact" w:before="6"/>
        <w:ind w:left="270" w:right="0" w:firstLine="0"/>
        <w:jc w:val="left"/>
        <w:rPr>
          <w:sz w:val="16"/>
        </w:rPr>
      </w:pPr>
      <w:r>
        <w:rPr>
          <w:w w:val="110"/>
          <w:sz w:val="17"/>
        </w:rPr>
        <w:t>payable  </w:t>
      </w:r>
      <w:r>
        <w:rPr>
          <w:rFonts w:ascii="Arial"/>
          <w:i/>
          <w:w w:val="110"/>
          <w:sz w:val="15"/>
        </w:rPr>
        <w:t>m </w:t>
      </w:r>
      <w:r>
        <w:rPr>
          <w:w w:val="110"/>
          <w:sz w:val="17"/>
        </w:rPr>
        <w:t>times a year,  </w:t>
      </w:r>
      <w:r>
        <w:rPr>
          <w:w w:val="110"/>
          <w:sz w:val="16"/>
        </w:rPr>
        <w:t>48</w:t>
      </w:r>
    </w:p>
    <w:p>
      <w:pPr>
        <w:spacing w:line="242" w:lineRule="auto" w:before="0"/>
        <w:ind w:left="115" w:right="295" w:firstLine="158"/>
        <w:jc w:val="left"/>
        <w:rPr>
          <w:rFonts w:ascii="Arial"/>
          <w:sz w:val="16"/>
        </w:rPr>
      </w:pPr>
      <w:r>
        <w:rPr>
          <w:w w:val="105"/>
          <w:sz w:val="17"/>
        </w:rPr>
        <w:t>varying,  52,  53 Apportionable  premium, </w:t>
      </w:r>
      <w:r>
        <w:rPr>
          <w:rFonts w:ascii="Arial"/>
          <w:w w:val="105"/>
          <w:sz w:val="16"/>
        </w:rPr>
        <w:t>88-9Q</w:t>
      </w:r>
    </w:p>
    <w:p>
      <w:pPr>
        <w:spacing w:line="194" w:lineRule="exact" w:before="0"/>
        <w:ind w:left="122" w:right="0" w:firstLine="0"/>
        <w:jc w:val="left"/>
        <w:rPr>
          <w:sz w:val="17"/>
        </w:rPr>
      </w:pPr>
      <w:r>
        <w:rPr>
          <w:w w:val="110"/>
          <w:sz w:val="17"/>
        </w:rPr>
        <w:t>Attained   age   valuation  method,</w:t>
      </w:r>
    </w:p>
    <w:p>
      <w:pPr>
        <w:spacing w:line="202" w:lineRule="exact" w:before="0"/>
        <w:ind w:left="435" w:right="0" w:firstLine="0"/>
        <w:jc w:val="left"/>
        <w:rPr>
          <w:sz w:val="18"/>
        </w:rPr>
      </w:pPr>
      <w:r>
        <w:rPr>
          <w:w w:val="95"/>
          <w:sz w:val="18"/>
        </w:rPr>
        <w:t>117</w:t>
      </w:r>
    </w:p>
    <w:p>
      <w:pPr>
        <w:spacing w:line="252" w:lineRule="auto" w:before="0"/>
        <w:ind w:left="435" w:right="21" w:hanging="321"/>
        <w:jc w:val="left"/>
        <w:rPr>
          <w:sz w:val="16"/>
        </w:rPr>
      </w:pPr>
      <w:r>
        <w:rPr>
          <w:w w:val="110"/>
          <w:sz w:val="17"/>
        </w:rPr>
        <w:t>Average</w:t>
      </w:r>
      <w:r>
        <w:rPr>
          <w:spacing w:val="-7"/>
          <w:w w:val="110"/>
          <w:sz w:val="17"/>
        </w:rPr>
        <w:t> </w:t>
      </w:r>
      <w:r>
        <w:rPr>
          <w:w w:val="110"/>
          <w:sz w:val="17"/>
        </w:rPr>
        <w:t>a.ges</w:t>
      </w:r>
      <w:r>
        <w:rPr>
          <w:spacing w:val="-14"/>
          <w:w w:val="110"/>
          <w:sz w:val="17"/>
        </w:rPr>
        <w:t> </w:t>
      </w:r>
      <w:r>
        <w:rPr>
          <w:w w:val="110"/>
          <w:sz w:val="17"/>
        </w:rPr>
        <w:t>in</w:t>
      </w:r>
      <w:r>
        <w:rPr>
          <w:spacing w:val="-19"/>
          <w:w w:val="110"/>
          <w:sz w:val="17"/>
        </w:rPr>
        <w:t> </w:t>
      </w:r>
      <w:r>
        <w:rPr>
          <w:w w:val="110"/>
          <w:sz w:val="17"/>
        </w:rPr>
        <w:t>stationary</w:t>
      </w:r>
      <w:r>
        <w:rPr>
          <w:spacing w:val="-11"/>
          <w:w w:val="110"/>
          <w:sz w:val="17"/>
        </w:rPr>
        <w:t> </w:t>
      </w:r>
      <w:r>
        <w:rPr>
          <w:w w:val="110"/>
          <w:sz w:val="17"/>
        </w:rPr>
        <w:t>popula­ tion,</w:t>
      </w:r>
      <w:r>
        <w:rPr>
          <w:spacing w:val="33"/>
          <w:w w:val="110"/>
          <w:sz w:val="17"/>
        </w:rPr>
        <w:t> </w:t>
      </w:r>
      <w:r>
        <w:rPr>
          <w:spacing w:val="-4"/>
          <w:w w:val="110"/>
          <w:sz w:val="16"/>
        </w:rPr>
        <w:t>179-185</w:t>
      </w:r>
    </w:p>
    <w:p>
      <w:pPr>
        <w:spacing w:line="364" w:lineRule="exact" w:before="26"/>
        <w:ind w:left="112" w:right="543" w:firstLine="0"/>
        <w:jc w:val="left"/>
        <w:rPr>
          <w:sz w:val="17"/>
        </w:rPr>
      </w:pPr>
      <w:r>
        <w:rPr>
          <w:w w:val="110"/>
          <w:sz w:val="17"/>
        </w:rPr>
        <w:t>Balducci hypothesis, 20 Canadian  reserve valuation</w:t>
      </w:r>
    </w:p>
    <w:p>
      <w:pPr>
        <w:spacing w:line="165" w:lineRule="exact" w:before="0"/>
        <w:ind w:left="390" w:right="1367" w:firstLine="0"/>
        <w:jc w:val="center"/>
        <w:rPr>
          <w:sz w:val="16"/>
        </w:rPr>
      </w:pPr>
      <w:r>
        <w:rPr>
          <w:w w:val="115"/>
          <w:sz w:val="17"/>
        </w:rPr>
        <w:t>method, </w:t>
      </w:r>
      <w:r>
        <w:rPr>
          <w:w w:val="115"/>
          <w:sz w:val="16"/>
        </w:rPr>
        <w:t>138</w:t>
      </w:r>
    </w:p>
    <w:p>
      <w:pPr>
        <w:spacing w:line="195" w:lineRule="exact" w:before="0"/>
        <w:ind w:left="115" w:right="0" w:firstLine="0"/>
        <w:jc w:val="left"/>
        <w:rPr>
          <w:b/>
          <w:sz w:val="17"/>
        </w:rPr>
      </w:pPr>
      <w:r>
        <w:rPr>
          <w:w w:val="110"/>
          <w:sz w:val="17"/>
        </w:rPr>
        <w:t>Cash refund annuity, </w:t>
      </w:r>
      <w:r>
        <w:rPr>
          <w:b/>
          <w:w w:val="110"/>
          <w:sz w:val="17"/>
        </w:rPr>
        <w:t>150-155</w:t>
      </w:r>
    </w:p>
    <w:p>
      <w:pPr>
        <w:spacing w:before="2"/>
        <w:ind w:left="112" w:right="0" w:firstLine="0"/>
        <w:jc w:val="left"/>
        <w:rPr>
          <w:sz w:val="16"/>
        </w:rPr>
      </w:pPr>
      <w:r>
        <w:rPr>
          <w:w w:val="110"/>
          <w:sz w:val="17"/>
        </w:rPr>
        <w:t>Cash value,  </w:t>
      </w:r>
      <w:r>
        <w:rPr>
          <w:w w:val="110"/>
          <w:sz w:val="16"/>
        </w:rPr>
        <w:t>139-142</w:t>
      </w:r>
    </w:p>
    <w:p>
      <w:pPr>
        <w:spacing w:line="195" w:lineRule="exact" w:before="2"/>
        <w:ind w:left="108" w:right="0" w:firstLine="0"/>
        <w:jc w:val="left"/>
        <w:rPr>
          <w:sz w:val="17"/>
        </w:rPr>
      </w:pPr>
      <w:r>
        <w:rPr>
          <w:w w:val="115"/>
          <w:sz w:val="17"/>
        </w:rPr>
        <w:t>Central rate</w:t>
      </w:r>
    </w:p>
    <w:p>
      <w:pPr>
        <w:spacing w:line="195" w:lineRule="exact" w:before="0"/>
        <w:ind w:left="266" w:right="0" w:firstLine="0"/>
        <w:jc w:val="left"/>
        <w:rPr>
          <w:sz w:val="17"/>
        </w:rPr>
      </w:pPr>
      <w:r>
        <w:rPr>
          <w:w w:val="110"/>
          <w:sz w:val="17"/>
        </w:rPr>
        <w:t>of  death, 172, 173</w:t>
      </w:r>
    </w:p>
    <w:p>
      <w:pPr>
        <w:spacing w:before="6"/>
        <w:ind w:left="266" w:right="0" w:firstLine="0"/>
        <w:jc w:val="left"/>
        <w:rPr>
          <w:sz w:val="17"/>
        </w:rPr>
      </w:pPr>
      <w:r>
        <w:rPr>
          <w:sz w:val="17"/>
        </w:rPr>
        <w:t>of  decrement,  273, 274</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pPr>
    </w:p>
    <w:p>
      <w:pPr>
        <w:spacing w:before="0"/>
        <w:ind w:left="46" w:right="-20" w:firstLine="0"/>
        <w:jc w:val="left"/>
        <w:rPr>
          <w:rFonts w:ascii="Arial"/>
          <w:sz w:val="17"/>
        </w:rPr>
      </w:pPr>
      <w:r>
        <w:rPr>
          <w:rFonts w:ascii="Arial"/>
          <w:w w:val="85"/>
          <w:sz w:val="17"/>
        </w:rPr>
        <w:t>387</w:t>
      </w:r>
    </w:p>
    <w:p>
      <w:pPr>
        <w:spacing w:line="244" w:lineRule="auto" w:before="82"/>
        <w:ind w:left="100" w:right="100" w:firstLine="3"/>
        <w:jc w:val="right"/>
        <w:rPr>
          <w:sz w:val="17"/>
        </w:rPr>
      </w:pPr>
      <w:r>
        <w:rPr/>
        <w:br w:type="column"/>
      </w:r>
      <w:r>
        <w:rPr>
          <w:w w:val="105"/>
          <w:sz w:val="17"/>
        </w:rPr>
        <w:t>Combined disability </w:t>
      </w:r>
      <w:r>
        <w:rPr>
          <w:spacing w:val="3"/>
          <w:w w:val="105"/>
          <w:sz w:val="17"/>
        </w:rPr>
        <w:t> </w:t>
      </w:r>
      <w:r>
        <w:rPr>
          <w:w w:val="105"/>
          <w:sz w:val="17"/>
        </w:rPr>
        <w:t>and </w:t>
      </w:r>
      <w:r>
        <w:rPr>
          <w:spacing w:val="22"/>
          <w:w w:val="105"/>
          <w:sz w:val="17"/>
        </w:rPr>
        <w:t> </w:t>
      </w:r>
      <w:r>
        <w:rPr>
          <w:w w:val="105"/>
          <w:sz w:val="17"/>
        </w:rPr>
        <w:t>mor­</w:t>
      </w:r>
      <w:r>
        <w:rPr>
          <w:w w:val="107"/>
          <w:sz w:val="17"/>
        </w:rPr>
        <w:t> </w:t>
      </w:r>
      <w:r>
        <w:rPr>
          <w:w w:val="105"/>
          <w:sz w:val="17"/>
        </w:rPr>
        <w:t>tality table, 295--298,</w:t>
      </w:r>
      <w:r>
        <w:rPr>
          <w:spacing w:val="26"/>
          <w:w w:val="105"/>
          <w:sz w:val="17"/>
        </w:rPr>
        <w:t> </w:t>
      </w:r>
      <w:r>
        <w:rPr>
          <w:w w:val="105"/>
          <w:sz w:val="17"/>
        </w:rPr>
        <w:t>300,</w:t>
      </w:r>
      <w:r>
        <w:rPr>
          <w:spacing w:val="14"/>
          <w:w w:val="105"/>
          <w:sz w:val="17"/>
        </w:rPr>
        <w:t> </w:t>
      </w:r>
      <w:r>
        <w:rPr>
          <w:w w:val="105"/>
          <w:sz w:val="17"/>
        </w:rPr>
        <w:t>301</w:t>
      </w:r>
      <w:r>
        <w:rPr>
          <w:w w:val="96"/>
          <w:sz w:val="17"/>
        </w:rPr>
        <w:t> </w:t>
      </w:r>
      <w:r>
        <w:rPr>
          <w:w w:val="105"/>
          <w:sz w:val="17"/>
        </w:rPr>
        <w:t>Combined  </w:t>
      </w:r>
      <w:r>
        <w:rPr>
          <w:b/>
          <w:w w:val="105"/>
          <w:sz w:val="16"/>
        </w:rPr>
        <w:t>marriage  </w:t>
      </w:r>
      <w:r>
        <w:rPr>
          <w:w w:val="105"/>
          <w:sz w:val="17"/>
        </w:rPr>
        <w:t>and </w:t>
      </w:r>
      <w:r>
        <w:rPr>
          <w:spacing w:val="24"/>
          <w:w w:val="105"/>
          <w:sz w:val="17"/>
        </w:rPr>
        <w:t> </w:t>
      </w:r>
      <w:r>
        <w:rPr>
          <w:w w:val="105"/>
          <w:sz w:val="17"/>
        </w:rPr>
        <w:t>mortality</w:t>
      </w:r>
    </w:p>
    <w:p>
      <w:pPr>
        <w:spacing w:line="194" w:lineRule="exact" w:before="0"/>
        <w:ind w:left="394" w:right="1319" w:firstLine="0"/>
        <w:jc w:val="center"/>
        <w:rPr>
          <w:sz w:val="17"/>
        </w:rPr>
      </w:pPr>
      <w:r>
        <w:rPr>
          <w:w w:val="110"/>
          <w:sz w:val="17"/>
        </w:rPr>
        <w:t>table, 298-302</w:t>
      </w:r>
    </w:p>
    <w:p>
      <w:pPr>
        <w:spacing w:line="242" w:lineRule="auto" w:before="9"/>
        <w:ind w:left="413" w:right="0" w:hanging="310"/>
        <w:jc w:val="left"/>
        <w:rPr>
          <w:sz w:val="16"/>
        </w:rPr>
      </w:pPr>
      <w:r>
        <w:rPr>
          <w:w w:val="110"/>
          <w:sz w:val="17"/>
        </w:rPr>
        <w:t>Commissioners reserve val uation method,  </w:t>
      </w:r>
      <w:r>
        <w:rPr>
          <w:w w:val="110"/>
          <w:sz w:val="16"/>
        </w:rPr>
        <w:t>137,  138</w:t>
      </w:r>
    </w:p>
    <w:p>
      <w:pPr>
        <w:spacing w:line="202" w:lineRule="exact" w:before="1"/>
        <w:ind w:left="258" w:right="306" w:hanging="159"/>
        <w:jc w:val="left"/>
        <w:rPr>
          <w:sz w:val="18"/>
        </w:rPr>
      </w:pPr>
      <w:r>
        <w:rPr>
          <w:sz w:val="17"/>
        </w:rPr>
        <w:t>Commutation   f unctions accidental   death  benefits, </w:t>
      </w:r>
      <w:r>
        <w:rPr>
          <w:spacing w:val="14"/>
          <w:sz w:val="17"/>
        </w:rPr>
        <w:t> </w:t>
      </w:r>
      <w:r>
        <w:rPr>
          <w:sz w:val="18"/>
        </w:rPr>
        <w:t>28.5</w:t>
      </w:r>
    </w:p>
    <w:p>
      <w:pPr>
        <w:spacing w:line="195" w:lineRule="exact" w:before="6"/>
        <w:ind w:left="255" w:right="0" w:firstLine="0"/>
        <w:jc w:val="left"/>
        <w:rPr>
          <w:sz w:val="17"/>
        </w:rPr>
      </w:pPr>
      <w:r>
        <w:rPr>
          <w:sz w:val="17"/>
        </w:rPr>
        <w:t>annuities,  37,  40,  49,  51,  59, 154,</w:t>
      </w:r>
    </w:p>
    <w:p>
      <w:pPr>
        <w:spacing w:line="195" w:lineRule="exact" w:before="0"/>
        <w:ind w:left="420" w:right="0" w:firstLine="0"/>
        <w:jc w:val="left"/>
        <w:rPr>
          <w:b/>
          <w:sz w:val="17"/>
        </w:rPr>
      </w:pPr>
      <w:r>
        <w:rPr>
          <w:b/>
          <w:sz w:val="17"/>
        </w:rPr>
        <w:t>155</w:t>
      </w:r>
    </w:p>
    <w:p>
      <w:pPr>
        <w:spacing w:before="9"/>
        <w:ind w:left="262" w:right="0" w:firstLine="0"/>
        <w:jc w:val="left"/>
        <w:rPr>
          <w:sz w:val="17"/>
        </w:rPr>
      </w:pPr>
      <w:r>
        <w:rPr>
          <w:w w:val="105"/>
          <w:sz w:val="17"/>
        </w:rPr>
        <w:t>contingent  insura.nces, 235</w:t>
      </w:r>
    </w:p>
    <w:p>
      <w:pPr>
        <w:spacing w:before="6"/>
        <w:ind w:left="258" w:right="0" w:firstLine="0"/>
        <w:jc w:val="left"/>
        <w:rPr>
          <w:sz w:val="16"/>
        </w:rPr>
      </w:pPr>
      <w:r>
        <w:rPr>
          <w:w w:val="105"/>
          <w:sz w:val="17"/>
        </w:rPr>
        <w:t>continuous,  </w:t>
      </w:r>
      <w:r>
        <w:rPr>
          <w:w w:val="105"/>
          <w:sz w:val="16"/>
        </w:rPr>
        <w:t>49,  55,  72, 73</w:t>
      </w:r>
    </w:p>
    <w:p>
      <w:pPr>
        <w:spacing w:before="6"/>
        <w:ind w:left="258" w:right="0" w:firstLine="0"/>
        <w:jc w:val="left"/>
        <w:rPr>
          <w:sz w:val="17"/>
        </w:rPr>
      </w:pPr>
      <w:r>
        <w:rPr>
          <w:w w:val="105"/>
          <w:sz w:val="17"/>
        </w:rPr>
        <w:t>disability  benefits,  320, 321, 326</w:t>
      </w:r>
    </w:p>
    <w:p>
      <w:pPr>
        <w:spacing w:before="2"/>
        <w:ind w:left="258" w:right="0" w:firstLine="0"/>
        <w:jc w:val="left"/>
        <w:rPr>
          <w:sz w:val="17"/>
        </w:rPr>
      </w:pPr>
      <w:r>
        <w:rPr>
          <w:sz w:val="17"/>
        </w:rPr>
        <w:t>insurances,  66,  72, 73</w:t>
      </w:r>
    </w:p>
    <w:p>
      <w:pPr>
        <w:spacing w:line="194" w:lineRule="exact" w:before="6"/>
        <w:ind w:left="251" w:right="0" w:firstLine="0"/>
        <w:jc w:val="left"/>
        <w:rPr>
          <w:sz w:val="17"/>
        </w:rPr>
      </w:pPr>
      <w:r>
        <w:rPr>
          <w:sz w:val="17"/>
        </w:rPr>
        <w:t>joint-life,   194, 203</w:t>
      </w:r>
    </w:p>
    <w:p>
      <w:pPr>
        <w:spacing w:line="205" w:lineRule="exact" w:before="0"/>
        <w:ind w:left="255" w:right="0" w:firstLine="0"/>
        <w:jc w:val="left"/>
        <w:rPr>
          <w:b/>
          <w:sz w:val="18"/>
        </w:rPr>
      </w:pPr>
      <w:r>
        <w:rPr>
          <w:sz w:val="17"/>
        </w:rPr>
        <w:t>multiple-decrement8,     </w:t>
      </w:r>
      <w:r>
        <w:rPr>
          <w:b/>
          <w:sz w:val="18"/>
        </w:rPr>
        <w:t>284,   285,</w:t>
      </w:r>
    </w:p>
    <w:p>
      <w:pPr>
        <w:spacing w:before="4"/>
        <w:ind w:left="406" w:right="0" w:firstLine="0"/>
        <w:jc w:val="left"/>
        <w:rPr>
          <w:sz w:val="17"/>
        </w:rPr>
      </w:pPr>
      <w:r>
        <w:rPr>
          <w:sz w:val="17"/>
        </w:rPr>
        <w:t>300-302, 306, 307</w:t>
      </w:r>
    </w:p>
    <w:p>
      <w:pPr>
        <w:spacing w:before="2"/>
        <w:ind w:left="251" w:right="0" w:firstLine="0"/>
        <w:jc w:val="left"/>
        <w:rPr>
          <w:sz w:val="16"/>
        </w:rPr>
      </w:pPr>
      <w:r>
        <w:rPr>
          <w:w w:val="105"/>
          <w:sz w:val="17"/>
        </w:rPr>
        <w:t>pension  pis.ns, </w:t>
      </w:r>
      <w:r>
        <w:rPr>
          <w:w w:val="105"/>
          <w:sz w:val="16"/>
        </w:rPr>
        <w:t>309, 310, 312, 314-</w:t>
      </w:r>
    </w:p>
    <w:p>
      <w:pPr>
        <w:spacing w:before="15"/>
        <w:ind w:left="402" w:right="0" w:firstLine="0"/>
        <w:jc w:val="left"/>
        <w:rPr>
          <w:sz w:val="16"/>
        </w:rPr>
      </w:pPr>
      <w:r>
        <w:rPr>
          <w:w w:val="110"/>
          <w:sz w:val="16"/>
        </w:rPr>
        <w:t>319</w:t>
      </w:r>
    </w:p>
    <w:p>
      <w:pPr>
        <w:spacing w:before="4"/>
        <w:ind w:left="93" w:right="0" w:firstLine="0"/>
        <w:jc w:val="left"/>
        <w:rPr>
          <w:sz w:val="16"/>
        </w:rPr>
      </w:pPr>
      <w:r>
        <w:rPr>
          <w:w w:val="110"/>
          <w:sz w:val="17"/>
        </w:rPr>
        <w:t>Complete  annuity,  </w:t>
      </w:r>
      <w:r>
        <w:rPr>
          <w:w w:val="110"/>
          <w:sz w:val="16"/>
        </w:rPr>
        <w:t>157, 158</w:t>
      </w:r>
    </w:p>
    <w:p>
      <w:pPr>
        <w:spacing w:line="242" w:lineRule="auto" w:before="6"/>
        <w:ind w:left="406" w:right="140" w:hanging="314"/>
        <w:jc w:val="left"/>
        <w:rPr>
          <w:sz w:val="17"/>
        </w:rPr>
      </w:pPr>
      <w:r>
        <w:rPr>
          <w:sz w:val="17"/>
        </w:rPr>
        <w:t>Compound contingent f unctions, 246-251</w:t>
      </w:r>
    </w:p>
    <w:p>
      <w:pPr>
        <w:spacing w:line="247" w:lineRule="auto" w:before="4"/>
        <w:ind w:left="402" w:right="135" w:hanging="314"/>
        <w:jc w:val="left"/>
        <w:rPr>
          <w:sz w:val="17"/>
        </w:rPr>
      </w:pPr>
      <w:r>
        <w:rPr>
          <w:w w:val="110"/>
          <w:sz w:val="17"/>
        </w:rPr>
        <w:t>Compound reversionary annuity, 262-264</w:t>
      </w:r>
    </w:p>
    <w:p>
      <w:pPr>
        <w:spacing w:line="247" w:lineRule="auto" w:before="0"/>
        <w:ind w:left="251" w:right="140" w:hanging="159"/>
        <w:jc w:val="left"/>
        <w:rPr>
          <w:sz w:val="17"/>
        </w:rPr>
      </w:pPr>
      <w:r>
        <w:rPr>
          <w:w w:val="105"/>
          <w:sz w:val="17"/>
        </w:rPr>
        <w:t>Contingent insurance, 232-240 annual premiums for, 237-240 compound, 248, 249, 251</w:t>
      </w:r>
    </w:p>
    <w:p>
      <w:pPr>
        <w:spacing w:line="194" w:lineRule="exact" w:before="0"/>
        <w:ind w:left="248" w:right="0" w:firstLine="0"/>
        <w:jc w:val="left"/>
        <w:rPr>
          <w:sz w:val="18"/>
        </w:rPr>
      </w:pPr>
      <w:r>
        <w:rPr>
          <w:sz w:val="17"/>
        </w:rPr>
        <w:t>reserves,  </w:t>
      </w:r>
      <w:r>
        <w:rPr>
          <w:sz w:val="18"/>
        </w:rPr>
        <w:t>237, 238</w:t>
      </w:r>
    </w:p>
    <w:p>
      <w:pPr>
        <w:spacing w:line="201" w:lineRule="exact" w:before="0"/>
        <w:ind w:left="244" w:right="0" w:firstLine="0"/>
        <w:jc w:val="left"/>
        <w:rPr>
          <w:sz w:val="18"/>
        </w:rPr>
      </w:pPr>
      <w:r>
        <w:rPr>
          <w:w w:val="105"/>
          <w:sz w:val="17"/>
        </w:rPr>
        <w:t>with  Gompertz's  law, </w:t>
      </w:r>
      <w:r>
        <w:rPr>
          <w:w w:val="105"/>
          <w:sz w:val="18"/>
        </w:rPr>
        <w:t>236</w:t>
      </w:r>
    </w:p>
    <w:p>
      <w:pPr>
        <w:spacing w:before="0"/>
        <w:ind w:left="86" w:right="288" w:firstLine="158"/>
        <w:jc w:val="left"/>
        <w:rPr>
          <w:sz w:val="17"/>
        </w:rPr>
      </w:pPr>
      <w:r>
        <w:rPr>
          <w:w w:val="105"/>
          <w:sz w:val="17"/>
        </w:rPr>
        <w:t>with Makeham's law, 236 Contingent   probability,  225-232</w:t>
      </w:r>
    </w:p>
    <w:p>
      <w:pPr>
        <w:pStyle w:val="ListParagraph"/>
        <w:numPr>
          <w:ilvl w:val="1"/>
          <w:numId w:val="161"/>
        </w:numPr>
        <w:tabs>
          <w:tab w:pos="249" w:val="left" w:leader="none"/>
        </w:tabs>
        <w:spacing w:line="191" w:lineRule="exact" w:before="0" w:after="0"/>
        <w:ind w:left="248" w:right="0" w:hanging="144"/>
        <w:jc w:val="left"/>
        <w:rPr>
          <w:sz w:val="17"/>
        </w:rPr>
      </w:pPr>
      <w:r>
        <w:rPr>
          <w:w w:val="105"/>
          <w:sz w:val="17"/>
        </w:rPr>
        <w:t>compound,</w:t>
      </w:r>
      <w:r>
        <w:rPr>
          <w:spacing w:val="-8"/>
          <w:w w:val="105"/>
          <w:sz w:val="17"/>
        </w:rPr>
        <w:t> </w:t>
      </w:r>
      <w:r>
        <w:rPr>
          <w:w w:val="105"/>
          <w:sz w:val="17"/>
        </w:rPr>
        <w:t>246-251</w:t>
      </w:r>
    </w:p>
    <w:p>
      <w:pPr>
        <w:spacing w:before="9"/>
        <w:ind w:left="233" w:right="0" w:firstLine="0"/>
        <w:jc w:val="left"/>
        <w:rPr>
          <w:sz w:val="17"/>
        </w:rPr>
      </w:pPr>
      <w:r>
        <w:rPr>
          <w:w w:val="105"/>
          <w:sz w:val="17"/>
        </w:rPr>
        <w:t>with Gompertz's  law, 230,  231</w:t>
      </w:r>
    </w:p>
    <w:p>
      <w:pPr>
        <w:spacing w:before="2"/>
        <w:ind w:left="237" w:right="0" w:firstLine="0"/>
        <w:jc w:val="left"/>
        <w:rPr>
          <w:sz w:val="17"/>
        </w:rPr>
      </w:pPr>
      <w:r>
        <w:rPr>
          <w:w w:val="110"/>
          <w:sz w:val="17"/>
        </w:rPr>
        <w:t>with Makeham's law, 231, 232</w:t>
      </w:r>
    </w:p>
    <w:p>
      <w:pPr>
        <w:spacing w:line="247" w:lineRule="auto" w:before="2"/>
        <w:ind w:left="78" w:right="141" w:firstLine="0"/>
        <w:jc w:val="left"/>
        <w:rPr>
          <w:sz w:val="16"/>
        </w:rPr>
      </w:pPr>
      <w:r>
        <w:rPr>
          <w:w w:val="110"/>
          <w:sz w:val="17"/>
        </w:rPr>
        <w:t>Continuous instalment8, 260-262 Continuous   life   annuity,   </w:t>
      </w:r>
      <w:r>
        <w:rPr>
          <w:w w:val="110"/>
          <w:sz w:val="16"/>
        </w:rPr>
        <w:t>48-50,</w:t>
      </w:r>
    </w:p>
    <w:p>
      <w:pPr>
        <w:spacing w:before="2"/>
        <w:ind w:left="384" w:right="0" w:firstLine="0"/>
        <w:jc w:val="left"/>
        <w:rPr>
          <w:b/>
          <w:sz w:val="16"/>
        </w:rPr>
      </w:pPr>
      <w:r>
        <w:rPr>
          <w:b/>
          <w:w w:val="105"/>
          <w:sz w:val="16"/>
        </w:rPr>
        <w:t>54, 55</w:t>
      </w:r>
    </w:p>
    <w:p>
      <w:pPr>
        <w:spacing w:before="4"/>
        <w:ind w:left="75" w:right="0" w:firstLine="0"/>
        <w:jc w:val="left"/>
        <w:rPr>
          <w:sz w:val="17"/>
        </w:rPr>
      </w:pPr>
      <w:r>
        <w:rPr>
          <w:w w:val="110"/>
          <w:sz w:val="17"/>
        </w:rPr>
        <w:t>Continuous premium, 87</w:t>
      </w:r>
    </w:p>
    <w:p>
      <w:pPr>
        <w:spacing w:before="13"/>
        <w:ind w:left="75" w:right="0" w:firstLine="0"/>
        <w:jc w:val="left"/>
        <w:rPr>
          <w:sz w:val="16"/>
        </w:rPr>
      </w:pPr>
      <w:r>
        <w:rPr>
          <w:w w:val="110"/>
          <w:sz w:val="17"/>
        </w:rPr>
        <w:t>Cost of insurance, accumulated, </w:t>
      </w:r>
      <w:r>
        <w:rPr>
          <w:w w:val="110"/>
          <w:sz w:val="16"/>
        </w:rPr>
        <w:t>99</w:t>
      </w:r>
    </w:p>
    <w:p>
      <w:pPr>
        <w:spacing w:line="191" w:lineRule="exact" w:before="6"/>
        <w:ind w:left="233" w:right="0" w:firstLine="0"/>
        <w:jc w:val="left"/>
        <w:rPr>
          <w:sz w:val="17"/>
        </w:rPr>
      </w:pPr>
      <w:r>
        <w:rPr>
          <w:w w:val="105"/>
          <w:sz w:val="17"/>
        </w:rPr>
        <w:t>ha.sed  upon  net  amount  of risk,</w:t>
      </w:r>
    </w:p>
    <w:p>
      <w:pPr>
        <w:spacing w:line="191" w:lineRule="exact" w:before="0"/>
        <w:ind w:left="388" w:right="0" w:firstLine="0"/>
        <w:jc w:val="left"/>
        <w:rPr>
          <w:b/>
          <w:sz w:val="17"/>
        </w:rPr>
      </w:pPr>
      <w:r>
        <w:rPr>
          <w:b/>
          <w:sz w:val="17"/>
        </w:rPr>
        <w:t>106</w:t>
      </w:r>
    </w:p>
    <w:p>
      <w:pPr>
        <w:spacing w:before="125"/>
        <w:ind w:left="68" w:right="0" w:firstLine="0"/>
        <w:jc w:val="left"/>
        <w:rPr>
          <w:sz w:val="17"/>
        </w:rPr>
      </w:pPr>
      <w:r>
        <w:rPr>
          <w:w w:val="115"/>
          <w:sz w:val="17"/>
        </w:rPr>
        <w:t>Death-rate</w:t>
      </w:r>
    </w:p>
    <w:p>
      <w:pPr>
        <w:spacing w:before="9"/>
        <w:ind w:left="230" w:right="0" w:firstLine="0"/>
        <w:jc w:val="left"/>
        <w:rPr>
          <w:sz w:val="17"/>
        </w:rPr>
      </w:pPr>
      <w:r>
        <w:rPr>
          <w:w w:val="120"/>
          <w:sz w:val="17"/>
        </w:rPr>
        <w:t>annual, </w:t>
      </w:r>
      <w:r>
        <w:rPr>
          <w:rFonts w:ascii="Arial"/>
          <w:i/>
          <w:w w:val="85"/>
          <w:sz w:val="15"/>
        </w:rPr>
        <w:t>q:ie </w:t>
      </w:r>
      <w:r>
        <w:rPr>
          <w:rFonts w:ascii="Arial"/>
          <w:w w:val="120"/>
          <w:sz w:val="15"/>
        </w:rPr>
        <w:t>,</w:t>
      </w:r>
      <w:r>
        <w:rPr>
          <w:w w:val="120"/>
          <w:sz w:val="17"/>
        </w:rPr>
        <w:t>9, 12</w:t>
      </w:r>
    </w:p>
    <w:p>
      <w:pPr>
        <w:spacing w:after="0"/>
        <w:jc w:val="left"/>
        <w:rPr>
          <w:sz w:val="17"/>
        </w:rPr>
        <w:sectPr>
          <w:type w:val="continuous"/>
          <w:pgSz w:w="7200" w:h="11340"/>
          <w:pgMar w:top="1100" w:bottom="0" w:left="680" w:right="560"/>
          <w:cols w:num="3" w:equalWidth="0">
            <w:col w:w="2758" w:space="40"/>
            <w:col w:w="288" w:space="40"/>
            <w:col w:w="2834"/>
          </w:cols>
        </w:sectPr>
      </w:pPr>
    </w:p>
    <w:p>
      <w:pPr>
        <w:pStyle w:val="BodyText"/>
        <w:spacing w:before="57"/>
        <w:ind w:left="139" w:right="301"/>
      </w:pPr>
      <w:r>
        <w:rPr>
          <w:color w:val="010101"/>
          <w:w w:val="120"/>
        </w:rPr>
        <w:t>388</w:t>
      </w:r>
    </w:p>
    <w:p>
      <w:pPr>
        <w:pStyle w:val="BodyText"/>
        <w:spacing w:before="1"/>
        <w:rPr>
          <w:sz w:val="19"/>
        </w:rPr>
      </w:pPr>
    </w:p>
    <w:p>
      <w:pPr>
        <w:spacing w:line="247" w:lineRule="auto" w:before="0"/>
        <w:ind w:left="296" w:right="301" w:hanging="161"/>
        <w:jc w:val="left"/>
        <w:rPr>
          <w:sz w:val="16"/>
        </w:rPr>
      </w:pPr>
      <w:r>
        <w:rPr>
          <w:i/>
          <w:color w:val="010101"/>
          <w:w w:val="105"/>
          <w:sz w:val="18"/>
        </w:rPr>
        <w:t>Death-rat </w:t>
      </w:r>
      <w:r>
        <w:rPr>
          <w:i/>
          <w:color w:val="1D1D1D"/>
          <w:w w:val="105"/>
          <w:sz w:val="18"/>
        </w:rPr>
        <w:t>.</w:t>
      </w:r>
      <w:r>
        <w:rPr>
          <w:i/>
          <w:color w:val="010101"/>
          <w:w w:val="105"/>
          <w:sz w:val="18"/>
        </w:rPr>
        <w:t>e-Continued </w:t>
      </w:r>
      <w:r>
        <w:rPr>
          <w:color w:val="010101"/>
          <w:w w:val="105"/>
          <w:sz w:val="17"/>
        </w:rPr>
        <w:t>central, </w:t>
      </w:r>
      <w:r>
        <w:rPr>
          <w:i/>
          <w:color w:val="010101"/>
          <w:w w:val="105"/>
          <w:sz w:val="16"/>
        </w:rPr>
        <w:t>mz </w:t>
      </w:r>
      <w:r>
        <w:rPr>
          <w:color w:val="010101"/>
          <w:w w:val="105"/>
          <w:sz w:val="16"/>
        </w:rPr>
        <w:t>, 172, 173 </w:t>
      </w:r>
      <w:r>
        <w:rPr>
          <w:color w:val="010101"/>
          <w:w w:val="105"/>
          <w:sz w:val="17"/>
        </w:rPr>
        <w:t>instantaneous,  </w:t>
      </w:r>
      <w:r>
        <w:rPr>
          <w:i/>
          <w:color w:val="010101"/>
          <w:w w:val="105"/>
          <w:sz w:val="13"/>
        </w:rPr>
        <w:t>P.z   </w:t>
      </w:r>
      <w:r>
        <w:rPr>
          <w:color w:val="010101"/>
          <w:w w:val="105"/>
          <w:sz w:val="13"/>
        </w:rPr>
        <w:t>,  </w:t>
      </w:r>
      <w:r>
        <w:rPr>
          <w:color w:val="010101"/>
          <w:w w:val="105"/>
          <w:sz w:val="16"/>
        </w:rPr>
        <w:t>13-24</w:t>
      </w:r>
    </w:p>
    <w:p>
      <w:pPr>
        <w:spacing w:line="244" w:lineRule="auto" w:before="0"/>
        <w:ind w:left="131" w:right="250" w:firstLine="0"/>
        <w:jc w:val="both"/>
        <w:rPr>
          <w:sz w:val="17"/>
        </w:rPr>
      </w:pPr>
      <w:r>
        <w:rPr>
          <w:color w:val="010101"/>
          <w:w w:val="110"/>
          <w:sz w:val="17"/>
        </w:rPr>
        <w:t>Decreasing lífe annuity, </w:t>
      </w:r>
      <w:r>
        <w:rPr>
          <w:b/>
          <w:color w:val="010101"/>
          <w:w w:val="110"/>
          <w:sz w:val="16"/>
        </w:rPr>
        <w:t>52, 53 </w:t>
      </w:r>
      <w:r>
        <w:rPr>
          <w:color w:val="010101"/>
          <w:w w:val="110"/>
          <w:sz w:val="17"/>
        </w:rPr>
        <w:t>Decreasing term insurance, </w:t>
      </w:r>
      <w:r>
        <w:rPr>
          <w:color w:val="010101"/>
          <w:w w:val="110"/>
          <w:sz w:val="16"/>
        </w:rPr>
        <w:t>73 </w:t>
      </w:r>
      <w:r>
        <w:rPr>
          <w:color w:val="010101"/>
          <w:w w:val="105"/>
          <w:sz w:val="17"/>
        </w:rPr>
        <w:t>Decremen t</w:t>
      </w:r>
    </w:p>
    <w:p>
      <w:pPr>
        <w:spacing w:line="190" w:lineRule="exact" w:before="0"/>
        <w:ind w:left="289" w:right="301" w:firstLine="0"/>
        <w:jc w:val="left"/>
        <w:rPr>
          <w:sz w:val="16"/>
        </w:rPr>
      </w:pPr>
      <w:r>
        <w:rPr>
          <w:color w:val="010101"/>
          <w:sz w:val="17"/>
        </w:rPr>
        <w:t>cen tral  </w:t>
      </w:r>
      <w:r>
        <w:rPr>
          <w:b/>
          <w:color w:val="010101"/>
          <w:sz w:val="16"/>
        </w:rPr>
        <w:t>rate  </w:t>
      </w:r>
      <w:r>
        <w:rPr>
          <w:color w:val="010101"/>
          <w:sz w:val="17"/>
        </w:rPr>
        <w:t>of , </w:t>
      </w:r>
      <w:r>
        <w:rPr>
          <w:color w:val="010101"/>
          <w:sz w:val="16"/>
        </w:rPr>
        <w:t>273, 274</w:t>
      </w:r>
    </w:p>
    <w:p>
      <w:pPr>
        <w:spacing w:before="5"/>
        <w:ind w:left="285" w:right="301" w:firstLine="0"/>
        <w:jc w:val="left"/>
        <w:rPr>
          <w:i/>
          <w:sz w:val="16"/>
        </w:rPr>
      </w:pPr>
      <w:r>
        <w:rPr>
          <w:color w:val="010101"/>
          <w:sz w:val="17"/>
        </w:rPr>
        <w:t>force  of , 27</w:t>
      </w:r>
      <w:r>
        <w:rPr>
          <w:i/>
          <w:color w:val="010101"/>
          <w:sz w:val="16"/>
        </w:rPr>
        <w:t>4-Z'/7</w:t>
      </w:r>
    </w:p>
    <w:p>
      <w:pPr>
        <w:spacing w:before="2"/>
        <w:ind w:left="285" w:right="0" w:firstLine="0"/>
        <w:jc w:val="left"/>
        <w:rPr>
          <w:sz w:val="16"/>
        </w:rPr>
      </w:pPr>
      <w:r>
        <w:rPr>
          <w:color w:val="010101"/>
          <w:w w:val="110"/>
          <w:sz w:val="17"/>
        </w:rPr>
        <w:t>primary  and secondary, </w:t>
      </w:r>
      <w:r>
        <w:rPr>
          <w:color w:val="010101"/>
          <w:w w:val="110"/>
          <w:sz w:val="16"/>
        </w:rPr>
        <w:t>291</w:t>
      </w:r>
    </w:p>
    <w:p>
      <w:pPr>
        <w:spacing w:before="9"/>
        <w:ind w:left="285" w:right="301" w:firstLine="0"/>
        <w:jc w:val="left"/>
        <w:rPr>
          <w:sz w:val="16"/>
        </w:rPr>
      </w:pPr>
      <w:r>
        <w:rPr>
          <w:color w:val="010101"/>
          <w:w w:val="105"/>
          <w:sz w:val="17"/>
        </w:rPr>
        <w:t>probability  of , </w:t>
      </w:r>
      <w:r>
        <w:rPr>
          <w:color w:val="010101"/>
          <w:w w:val="105"/>
          <w:sz w:val="16"/>
        </w:rPr>
        <w:t>271-273</w:t>
      </w:r>
    </w:p>
    <w:p>
      <w:pPr>
        <w:spacing w:line="195" w:lineRule="exact" w:before="5"/>
        <w:ind w:left="131" w:right="301" w:firstLine="0"/>
        <w:jc w:val="left"/>
        <w:rPr>
          <w:sz w:val="16"/>
        </w:rPr>
      </w:pPr>
      <w:r>
        <w:rPr>
          <w:color w:val="010101"/>
          <w:w w:val="105"/>
          <w:sz w:val="17"/>
        </w:rPr>
        <w:t>Deferred  ínsurance,  </w:t>
      </w:r>
      <w:r>
        <w:rPr>
          <w:color w:val="010101"/>
          <w:w w:val="105"/>
          <w:sz w:val="16"/>
        </w:rPr>
        <w:t>66</w:t>
      </w:r>
    </w:p>
    <w:p>
      <w:pPr>
        <w:spacing w:line="195" w:lineRule="exact" w:before="0"/>
        <w:ind w:left="131" w:right="0" w:firstLine="0"/>
        <w:jc w:val="left"/>
        <w:rPr>
          <w:sz w:val="16"/>
        </w:rPr>
      </w:pPr>
      <w:r>
        <w:rPr>
          <w:color w:val="010101"/>
          <w:w w:val="105"/>
          <w:sz w:val="17"/>
        </w:rPr>
        <w:t>Deferred  life  annuity,  </w:t>
      </w:r>
      <w:r>
        <w:rPr>
          <w:color w:val="010101"/>
          <w:w w:val="105"/>
          <w:sz w:val="16"/>
        </w:rPr>
        <w:t>41,  46-48</w:t>
      </w:r>
    </w:p>
    <w:p>
      <w:pPr>
        <w:spacing w:before="5"/>
        <w:ind w:left="128" w:right="301" w:firstLine="0"/>
        <w:jc w:val="left"/>
        <w:rPr>
          <w:sz w:val="16"/>
        </w:rPr>
      </w:pPr>
      <w:r>
        <w:rPr>
          <w:color w:val="010101"/>
          <w:w w:val="105"/>
          <w:sz w:val="17"/>
        </w:rPr>
        <w:t>De  Moivre's  law, </w:t>
      </w:r>
      <w:r>
        <w:rPr>
          <w:color w:val="010101"/>
          <w:w w:val="105"/>
          <w:sz w:val="16"/>
        </w:rPr>
        <w:t>20,  21, 59</w:t>
      </w:r>
    </w:p>
    <w:p>
      <w:pPr>
        <w:spacing w:line="247" w:lineRule="auto" w:before="2"/>
        <w:ind w:left="435" w:right="301" w:hanging="312"/>
        <w:jc w:val="left"/>
        <w:rPr>
          <w:sz w:val="16"/>
        </w:rPr>
      </w:pPr>
      <w:r>
        <w:rPr>
          <w:color w:val="010101"/>
          <w:w w:val="105"/>
          <w:sz w:val="17"/>
        </w:rPr>
        <w:t>Disability and mortality ta.ble, combined, </w:t>
      </w:r>
      <w:r>
        <w:rPr>
          <w:color w:val="010101"/>
          <w:w w:val="105"/>
          <w:sz w:val="16"/>
        </w:rPr>
        <w:t>295-298</w:t>
      </w:r>
    </w:p>
    <w:p>
      <w:pPr>
        <w:spacing w:before="0"/>
        <w:ind w:left="114" w:right="0" w:firstLine="0"/>
        <w:jc w:val="left"/>
        <w:rPr>
          <w:sz w:val="16"/>
        </w:rPr>
      </w:pPr>
      <w:r>
        <w:rPr>
          <w:color w:val="010101"/>
          <w:w w:val="105"/>
          <w:sz w:val="17"/>
        </w:rPr>
        <w:t>Disability   benefits,   </w:t>
      </w:r>
      <w:r>
        <w:rPr>
          <w:color w:val="010101"/>
          <w:w w:val="105"/>
          <w:sz w:val="16"/>
        </w:rPr>
        <w:t>295-298,  319-</w:t>
      </w:r>
    </w:p>
    <w:p>
      <w:pPr>
        <w:spacing w:before="18"/>
        <w:ind w:left="393" w:right="2021" w:firstLine="0"/>
        <w:jc w:val="center"/>
        <w:rPr>
          <w:rFonts w:ascii="Arial"/>
          <w:sz w:val="16"/>
        </w:rPr>
      </w:pPr>
      <w:r>
        <w:rPr>
          <w:rFonts w:ascii="Arial"/>
          <w:color w:val="010101"/>
          <w:sz w:val="16"/>
        </w:rPr>
        <w:t>326</w:t>
      </w:r>
    </w:p>
    <w:p>
      <w:pPr>
        <w:spacing w:line="247" w:lineRule="auto" w:before="1"/>
        <w:ind w:left="439" w:right="0" w:hanging="165"/>
        <w:jc w:val="left"/>
        <w:rPr>
          <w:sz w:val="16"/>
        </w:rPr>
      </w:pPr>
      <w:r>
        <w:rPr>
          <w:color w:val="010101"/>
          <w:w w:val="110"/>
          <w:sz w:val="17"/>
        </w:rPr>
        <w:t>combined disability and mor- tality  table, </w:t>
      </w:r>
      <w:r>
        <w:rPr>
          <w:color w:val="010101"/>
          <w:w w:val="110"/>
          <w:sz w:val="16"/>
        </w:rPr>
        <w:t>295-298</w:t>
      </w:r>
    </w:p>
    <w:p>
      <w:pPr>
        <w:spacing w:before="0"/>
        <w:ind w:left="274" w:right="0" w:firstLine="0"/>
        <w:jc w:val="left"/>
        <w:rPr>
          <w:sz w:val="16"/>
        </w:rPr>
      </w:pPr>
      <w:r>
        <w:rPr>
          <w:color w:val="010101"/>
          <w:w w:val="105"/>
          <w:sz w:val="17"/>
        </w:rPr>
        <w:t>income  benefit, </w:t>
      </w:r>
      <w:r>
        <w:rPr>
          <w:color w:val="010101"/>
          <w:w w:val="105"/>
          <w:sz w:val="16"/>
        </w:rPr>
        <w:t>319, 322, 323</w:t>
      </w:r>
    </w:p>
    <w:p>
      <w:pPr>
        <w:spacing w:before="2"/>
        <w:ind w:left="271" w:right="301" w:firstLine="0"/>
        <w:jc w:val="left"/>
        <w:rPr>
          <w:sz w:val="16"/>
        </w:rPr>
      </w:pPr>
      <w:r>
        <w:rPr>
          <w:color w:val="010101"/>
          <w:w w:val="105"/>
          <w:sz w:val="17"/>
        </w:rPr>
        <w:t>reserves,  </w:t>
      </w:r>
      <w:r>
        <w:rPr>
          <w:color w:val="010101"/>
          <w:w w:val="105"/>
          <w:sz w:val="16"/>
        </w:rPr>
        <w:t>324, 325</w:t>
      </w:r>
    </w:p>
    <w:p>
      <w:pPr>
        <w:spacing w:before="2"/>
        <w:ind w:left="264" w:right="301" w:firstLine="0"/>
        <w:jc w:val="left"/>
        <w:rPr>
          <w:sz w:val="16"/>
        </w:rPr>
      </w:pPr>
      <w:r>
        <w:rPr>
          <w:color w:val="010101"/>
          <w:w w:val="110"/>
          <w:sz w:val="17"/>
        </w:rPr>
        <w:t>waiting period, </w:t>
      </w:r>
      <w:r>
        <w:rPr>
          <w:color w:val="010101"/>
          <w:w w:val="110"/>
          <w:sz w:val="16"/>
        </w:rPr>
        <w:t>319</w:t>
      </w:r>
    </w:p>
    <w:p>
      <w:pPr>
        <w:spacing w:before="5"/>
        <w:ind w:left="264" w:right="0" w:firstLine="0"/>
        <w:jc w:val="left"/>
        <w:rPr>
          <w:sz w:val="16"/>
        </w:rPr>
      </w:pPr>
      <w:r>
        <w:rPr>
          <w:color w:val="010101"/>
          <w:sz w:val="17"/>
        </w:rPr>
        <w:t>waiver  of  premium,  </w:t>
      </w:r>
      <w:r>
        <w:rPr>
          <w:color w:val="010101"/>
          <w:sz w:val="16"/>
        </w:rPr>
        <w:t>319,  323, 324</w:t>
      </w:r>
    </w:p>
    <w:p>
      <w:pPr>
        <w:pStyle w:val="BodyText"/>
        <w:spacing w:before="6"/>
        <w:rPr>
          <w:sz w:val="14"/>
        </w:rPr>
      </w:pPr>
    </w:p>
    <w:p>
      <w:pPr>
        <w:spacing w:before="0"/>
        <w:ind w:left="103" w:right="301" w:firstLine="0"/>
        <w:jc w:val="left"/>
        <w:rPr>
          <w:sz w:val="17"/>
        </w:rPr>
      </w:pPr>
      <w:r>
        <w:rPr>
          <w:color w:val="010101"/>
          <w:w w:val="110"/>
          <w:sz w:val="17"/>
        </w:rPr>
        <w:t>Endowment</w:t>
      </w:r>
    </w:p>
    <w:p>
      <w:pPr>
        <w:spacing w:before="2"/>
        <w:ind w:left="260" w:right="301" w:firstLine="0"/>
        <w:jc w:val="left"/>
        <w:rPr>
          <w:sz w:val="16"/>
        </w:rPr>
      </w:pPr>
      <w:r>
        <w:rPr>
          <w:color w:val="010101"/>
          <w:w w:val="105"/>
          <w:sz w:val="17"/>
        </w:rPr>
        <w:t>analysis  of  premium, </w:t>
      </w:r>
      <w:r>
        <w:rPr>
          <w:color w:val="010101"/>
          <w:w w:val="105"/>
          <w:sz w:val="16"/>
        </w:rPr>
        <w:t>90-92</w:t>
      </w:r>
    </w:p>
    <w:p>
      <w:pPr>
        <w:spacing w:before="5"/>
        <w:ind w:left="264" w:right="301" w:firstLine="0"/>
        <w:jc w:val="left"/>
        <w:rPr>
          <w:sz w:val="16"/>
        </w:rPr>
      </w:pPr>
      <w:r>
        <w:rPr>
          <w:color w:val="010101"/>
          <w:w w:val="105"/>
          <w:sz w:val="17"/>
        </w:rPr>
        <w:t>insurance,  </w:t>
      </w:r>
      <w:r>
        <w:rPr>
          <w:color w:val="010101"/>
          <w:w w:val="105"/>
          <w:sz w:val="16"/>
        </w:rPr>
        <w:t>66,  67, 69</w:t>
      </w:r>
    </w:p>
    <w:p>
      <w:pPr>
        <w:spacing w:before="2"/>
        <w:ind w:left="267" w:right="301" w:firstLine="0"/>
        <w:jc w:val="left"/>
        <w:rPr>
          <w:sz w:val="16"/>
        </w:rPr>
      </w:pPr>
      <w:r>
        <w:rPr>
          <w:color w:val="010101"/>
          <w:w w:val="115"/>
          <w:sz w:val="17"/>
        </w:rPr>
        <w:t>net annual premium, </w:t>
      </w:r>
      <w:r>
        <w:rPr>
          <w:color w:val="010101"/>
          <w:w w:val="115"/>
          <w:sz w:val="16"/>
        </w:rPr>
        <w:t>81</w:t>
      </w:r>
    </w:p>
    <w:p>
      <w:pPr>
        <w:spacing w:before="5"/>
        <w:ind w:left="264" w:right="0" w:firstLine="0"/>
        <w:jc w:val="left"/>
        <w:rPr>
          <w:sz w:val="16"/>
        </w:rPr>
      </w:pPr>
      <w:r>
        <w:rPr>
          <w:color w:val="010101"/>
          <w:w w:val="105"/>
          <w:sz w:val="17"/>
        </w:rPr>
        <w:t>net  single  premium,  </w:t>
      </w:r>
      <w:r>
        <w:rPr>
          <w:color w:val="010101"/>
          <w:w w:val="105"/>
          <w:sz w:val="16"/>
        </w:rPr>
        <w:t>66,  67, 69</w:t>
      </w:r>
    </w:p>
    <w:p>
      <w:pPr>
        <w:spacing w:before="5"/>
        <w:ind w:left="264" w:right="301" w:firstLine="0"/>
        <w:jc w:val="left"/>
        <w:rPr>
          <w:sz w:val="16"/>
        </w:rPr>
      </w:pPr>
      <w:r>
        <w:rPr>
          <w:color w:val="010101"/>
          <w:w w:val="120"/>
          <w:sz w:val="17"/>
        </w:rPr>
        <w:t>pure, </w:t>
      </w:r>
      <w:r>
        <w:rPr>
          <w:color w:val="010101"/>
          <w:w w:val="120"/>
          <w:sz w:val="16"/>
        </w:rPr>
        <w:t>37</w:t>
      </w:r>
      <w:r>
        <w:rPr>
          <w:color w:val="1D1D1D"/>
          <w:w w:val="120"/>
          <w:sz w:val="16"/>
        </w:rPr>
        <w:t>-</w:t>
      </w:r>
      <w:r>
        <w:rPr>
          <w:color w:val="010101"/>
          <w:w w:val="120"/>
          <w:sz w:val="16"/>
        </w:rPr>
        <w:t>39, 81</w:t>
      </w:r>
    </w:p>
    <w:p>
      <w:pPr>
        <w:spacing w:before="2"/>
        <w:ind w:left="106" w:right="301" w:firstLine="0"/>
        <w:jc w:val="left"/>
        <w:rPr>
          <w:sz w:val="16"/>
        </w:rPr>
      </w:pPr>
      <w:r>
        <w:rPr>
          <w:color w:val="010101"/>
          <w:w w:val="110"/>
          <w:sz w:val="17"/>
        </w:rPr>
        <w:t>Expectation  of  life, </w:t>
      </w:r>
      <w:r>
        <w:rPr>
          <w:color w:val="010101"/>
          <w:w w:val="110"/>
          <w:sz w:val="16"/>
        </w:rPr>
        <w:t>173-175</w:t>
      </w:r>
    </w:p>
    <w:p>
      <w:pPr>
        <w:spacing w:before="9"/>
        <w:ind w:left="103" w:right="301" w:firstLine="0"/>
        <w:jc w:val="left"/>
        <w:rPr>
          <w:sz w:val="16"/>
        </w:rPr>
      </w:pPr>
      <w:r>
        <w:rPr>
          <w:color w:val="010101"/>
          <w:w w:val="105"/>
          <w:sz w:val="17"/>
        </w:rPr>
        <w:t>Expenses,  </w:t>
      </w:r>
      <w:r>
        <w:rPr>
          <w:color w:val="010101"/>
          <w:w w:val="105"/>
          <w:sz w:val="16"/>
        </w:rPr>
        <w:t>132, 133</w:t>
      </w:r>
    </w:p>
    <w:p>
      <w:pPr>
        <w:spacing w:before="2"/>
        <w:ind w:left="103" w:right="301" w:firstLine="0"/>
        <w:jc w:val="left"/>
        <w:rPr>
          <w:sz w:val="16"/>
        </w:rPr>
      </w:pPr>
      <w:r>
        <w:rPr>
          <w:color w:val="010101"/>
          <w:w w:val="110"/>
          <w:sz w:val="17"/>
        </w:rPr>
        <w:t>Extended  insurance,  </w:t>
      </w:r>
      <w:r>
        <w:rPr>
          <w:color w:val="010101"/>
          <w:w w:val="110"/>
          <w:sz w:val="16"/>
        </w:rPr>
        <w:t>143, 144</w:t>
      </w:r>
    </w:p>
    <w:p>
      <w:pPr>
        <w:pStyle w:val="BodyText"/>
        <w:spacing w:before="2"/>
        <w:rPr>
          <w:sz w:val="14"/>
        </w:rPr>
      </w:pPr>
    </w:p>
    <w:p>
      <w:pPr>
        <w:spacing w:line="252" w:lineRule="auto" w:before="0"/>
        <w:ind w:left="418" w:right="0" w:hanging="312"/>
        <w:jc w:val="left"/>
        <w:rPr>
          <w:sz w:val="16"/>
        </w:rPr>
      </w:pPr>
      <w:r>
        <w:rPr>
          <w:color w:val="010101"/>
          <w:w w:val="105"/>
          <w:sz w:val="17"/>
        </w:rPr>
        <w:t>Fackler reserve accumula.tion for- mula,  </w:t>
      </w:r>
      <w:r>
        <w:rPr>
          <w:color w:val="010101"/>
          <w:w w:val="105"/>
          <w:sz w:val="16"/>
        </w:rPr>
        <w:t>115, 116</w:t>
      </w:r>
    </w:p>
    <w:p>
      <w:pPr>
        <w:spacing w:line="188" w:lineRule="exact" w:before="0"/>
        <w:ind w:left="106" w:right="0" w:firstLine="0"/>
        <w:jc w:val="left"/>
        <w:rPr>
          <w:sz w:val="16"/>
        </w:rPr>
      </w:pPr>
      <w:r>
        <w:rPr>
          <w:color w:val="010101"/>
          <w:w w:val="110"/>
          <w:sz w:val="17"/>
        </w:rPr>
        <w:t>Family income benefit, </w:t>
      </w:r>
      <w:r>
        <w:rPr>
          <w:color w:val="010101"/>
          <w:spacing w:val="-8"/>
          <w:w w:val="110"/>
          <w:sz w:val="16"/>
        </w:rPr>
        <w:t>160-164</w:t>
      </w:r>
    </w:p>
    <w:p>
      <w:pPr>
        <w:spacing w:line="244" w:lineRule="auto" w:before="5"/>
        <w:ind w:left="114" w:right="325" w:firstLine="0"/>
        <w:jc w:val="left"/>
        <w:rPr>
          <w:sz w:val="16"/>
        </w:rPr>
      </w:pPr>
      <w:r>
        <w:rPr>
          <w:color w:val="010101"/>
          <w:w w:val="105"/>
          <w:sz w:val="17"/>
        </w:rPr>
        <w:t>Forborne  life  annuity, </w:t>
      </w:r>
      <w:r>
        <w:rPr>
          <w:rFonts w:ascii="Arial"/>
          <w:color w:val="010101"/>
          <w:w w:val="105"/>
          <w:sz w:val="16"/>
        </w:rPr>
        <w:t>43 </w:t>
      </w:r>
      <w:r>
        <w:rPr>
          <w:color w:val="010101"/>
          <w:w w:val="105"/>
          <w:sz w:val="17"/>
        </w:rPr>
        <w:t>Force of decrement, 274-277 Force  of  mortali ty,  </w:t>
      </w:r>
      <w:r>
        <w:rPr>
          <w:color w:val="010101"/>
          <w:w w:val="105"/>
          <w:sz w:val="16"/>
        </w:rPr>
        <w:t>12-24, </w:t>
      </w:r>
      <w:r>
        <w:rPr>
          <w:color w:val="010101"/>
          <w:spacing w:val="-11"/>
          <w:w w:val="105"/>
          <w:sz w:val="16"/>
        </w:rPr>
        <w:t>194</w:t>
      </w:r>
    </w:p>
    <w:p>
      <w:pPr>
        <w:spacing w:line="194" w:lineRule="exact" w:before="0"/>
        <w:ind w:left="264" w:right="0" w:firstLine="0"/>
        <w:jc w:val="left"/>
        <w:rPr>
          <w:sz w:val="16"/>
        </w:rPr>
      </w:pPr>
      <w:r>
        <w:rPr>
          <w:color w:val="010101"/>
          <w:w w:val="110"/>
          <w:sz w:val="17"/>
        </w:rPr>
        <w:t>approximate formulas for, </w:t>
      </w:r>
      <w:r>
        <w:rPr>
          <w:color w:val="010101"/>
          <w:w w:val="110"/>
          <w:sz w:val="16"/>
        </w:rPr>
        <w:t>17-20</w:t>
      </w:r>
    </w:p>
    <w:p>
      <w:pPr>
        <w:spacing w:before="23"/>
        <w:ind w:left="264" w:right="301" w:firstLine="0"/>
        <w:jc w:val="left"/>
        <w:rPr>
          <w:sz w:val="17"/>
        </w:rPr>
      </w:pPr>
      <w:r>
        <w:rPr>
          <w:color w:val="010101"/>
          <w:w w:val="110"/>
          <w:sz w:val="17"/>
        </w:rPr>
        <w:t>at select ages, 28</w:t>
      </w:r>
    </w:p>
    <w:p>
      <w:pPr>
        <w:spacing w:before="23"/>
        <w:ind w:left="257" w:right="0" w:firstLine="0"/>
        <w:jc w:val="left"/>
        <w:rPr>
          <w:rFonts w:ascii="Arial"/>
          <w:sz w:val="16"/>
        </w:rPr>
      </w:pPr>
      <w:r>
        <w:rPr>
          <w:color w:val="010101"/>
          <w:w w:val="105"/>
          <w:sz w:val="17"/>
        </w:rPr>
        <w:t>effect  of  constant  change  in, </w:t>
      </w:r>
      <w:r>
        <w:rPr>
          <w:rFonts w:ascii="Arial"/>
          <w:color w:val="010101"/>
          <w:w w:val="105"/>
          <w:sz w:val="16"/>
        </w:rPr>
        <w:t>57</w:t>
      </w:r>
    </w:p>
    <w:p>
      <w:pPr>
        <w:spacing w:before="20"/>
        <w:ind w:left="253" w:right="301" w:firstLine="0"/>
        <w:jc w:val="left"/>
        <w:rPr>
          <w:sz w:val="15"/>
        </w:rPr>
      </w:pPr>
      <w:r>
        <w:rPr>
          <w:color w:val="010101"/>
          <w:w w:val="110"/>
          <w:sz w:val="17"/>
        </w:rPr>
        <w:t>joint-life,  </w:t>
      </w:r>
      <w:r>
        <w:rPr>
          <w:color w:val="010101"/>
          <w:w w:val="110"/>
          <w:sz w:val="15"/>
        </w:rPr>
        <w:t>194</w:t>
      </w:r>
    </w:p>
    <w:p>
      <w:pPr>
        <w:spacing w:line="273" w:lineRule="auto" w:before="27"/>
        <w:ind w:left="418" w:right="301" w:hanging="165"/>
        <w:jc w:val="left"/>
        <w:rPr>
          <w:sz w:val="16"/>
        </w:rPr>
      </w:pPr>
      <w:r>
        <w:rPr>
          <w:color w:val="010101"/>
          <w:w w:val="105"/>
          <w:sz w:val="17"/>
        </w:rPr>
        <w:t>with uniform distribution of deaths,  </w:t>
      </w:r>
      <w:r>
        <w:rPr>
          <w:color w:val="010101"/>
          <w:spacing w:val="-17"/>
          <w:w w:val="105"/>
          <w:sz w:val="16"/>
        </w:rPr>
        <w:t>19</w:t>
      </w:r>
    </w:p>
    <w:p>
      <w:pPr>
        <w:spacing w:line="189" w:lineRule="exact" w:before="0"/>
        <w:ind w:left="103" w:right="301" w:firstLine="0"/>
        <w:jc w:val="left"/>
        <w:rPr>
          <w:sz w:val="16"/>
        </w:rPr>
      </w:pPr>
      <w:r>
        <w:rPr>
          <w:color w:val="010101"/>
          <w:w w:val="110"/>
          <w:sz w:val="17"/>
        </w:rPr>
        <w:t>Fractional  premium, </w:t>
      </w:r>
      <w:r>
        <w:rPr>
          <w:color w:val="010101"/>
          <w:w w:val="110"/>
          <w:sz w:val="16"/>
        </w:rPr>
        <w:t>83-90</w:t>
      </w:r>
    </w:p>
    <w:p>
      <w:pPr>
        <w:spacing w:before="114"/>
        <w:ind w:left="-29" w:right="0" w:firstLine="0"/>
        <w:jc w:val="left"/>
        <w:rPr>
          <w:b/>
          <w:sz w:val="15"/>
        </w:rPr>
      </w:pPr>
      <w:r>
        <w:rPr/>
        <w:br w:type="column"/>
      </w:r>
      <w:r>
        <w:rPr>
          <w:b/>
          <w:color w:val="010101"/>
          <w:w w:val="105"/>
          <w:sz w:val="15"/>
        </w:rPr>
        <w:t>INDEX</w:t>
      </w:r>
    </w:p>
    <w:p>
      <w:pPr>
        <w:pStyle w:val="BodyText"/>
        <w:rPr>
          <w:b/>
          <w:sz w:val="14"/>
        </w:rPr>
      </w:pPr>
    </w:p>
    <w:p>
      <w:pPr>
        <w:spacing w:before="82"/>
        <w:ind w:left="615" w:right="0" w:firstLine="0"/>
        <w:jc w:val="left"/>
        <w:rPr>
          <w:sz w:val="17"/>
        </w:rPr>
      </w:pPr>
      <w:r>
        <w:rPr>
          <w:color w:val="010101"/>
          <w:w w:val="110"/>
          <w:sz w:val="17"/>
        </w:rPr>
        <w:t>apportionable, 88-90</w:t>
      </w:r>
    </w:p>
    <w:p>
      <w:pPr>
        <w:spacing w:before="2"/>
        <w:ind w:left="618" w:right="0" w:firstLine="0"/>
        <w:jc w:val="left"/>
        <w:rPr>
          <w:rFonts w:ascii="Arial"/>
          <w:sz w:val="16"/>
        </w:rPr>
      </w:pPr>
      <w:r>
        <w:rPr>
          <w:color w:val="010101"/>
          <w:sz w:val="17"/>
        </w:rPr>
        <w:t>con tinuous, </w:t>
      </w:r>
      <w:r>
        <w:rPr>
          <w:rFonts w:ascii="Arial"/>
          <w:color w:val="010101"/>
          <w:sz w:val="16"/>
        </w:rPr>
        <w:t>87</w:t>
      </w:r>
    </w:p>
    <w:p>
      <w:pPr>
        <w:spacing w:before="2"/>
        <w:ind w:left="615" w:right="0" w:firstLine="0"/>
        <w:jc w:val="left"/>
        <w:rPr>
          <w:sz w:val="16"/>
        </w:rPr>
      </w:pPr>
      <w:r>
        <w:rPr>
          <w:color w:val="010101"/>
          <w:w w:val="110"/>
          <w:sz w:val="17"/>
        </w:rPr>
        <w:t>instalmen t, </w:t>
      </w:r>
      <w:r>
        <w:rPr>
          <w:color w:val="010101"/>
          <w:w w:val="110"/>
          <w:sz w:val="16"/>
        </w:rPr>
        <w:t>88</w:t>
      </w:r>
    </w:p>
    <w:p>
      <w:pPr>
        <w:spacing w:before="5"/>
        <w:ind w:left="615" w:right="0" w:firstLine="0"/>
        <w:jc w:val="left"/>
        <w:rPr>
          <w:rFonts w:ascii="Arial"/>
          <w:sz w:val="16"/>
        </w:rPr>
      </w:pPr>
      <w:r>
        <w:rPr>
          <w:color w:val="010101"/>
          <w:sz w:val="17"/>
        </w:rPr>
        <w:t>true, </w:t>
      </w:r>
      <w:r>
        <w:rPr>
          <w:rFonts w:ascii="Arial"/>
          <w:color w:val="010101"/>
          <w:sz w:val="16"/>
        </w:rPr>
        <w:t>83--87</w:t>
      </w:r>
    </w:p>
    <w:p>
      <w:pPr>
        <w:spacing w:before="2"/>
        <w:ind w:left="450" w:right="0" w:firstLine="0"/>
        <w:jc w:val="left"/>
        <w:rPr>
          <w:b/>
          <w:sz w:val="16"/>
        </w:rPr>
      </w:pPr>
      <w:r>
        <w:rPr>
          <w:color w:val="010101"/>
          <w:w w:val="110"/>
          <w:sz w:val="17"/>
        </w:rPr>
        <w:t>Full   preliminary   term  </w:t>
      </w:r>
      <w:r>
        <w:rPr>
          <w:b/>
          <w:color w:val="010101"/>
          <w:w w:val="110"/>
          <w:sz w:val="16"/>
        </w:rPr>
        <w:t>reserves,</w:t>
      </w:r>
    </w:p>
    <w:p>
      <w:pPr>
        <w:spacing w:before="11"/>
        <w:ind w:left="706" w:right="1753" w:firstLine="0"/>
        <w:jc w:val="center"/>
        <w:rPr>
          <w:sz w:val="16"/>
        </w:rPr>
      </w:pPr>
      <w:r>
        <w:rPr>
          <w:color w:val="010101"/>
          <w:w w:val="110"/>
          <w:sz w:val="16"/>
        </w:rPr>
        <w:t>135,  136</w:t>
      </w:r>
    </w:p>
    <w:p>
      <w:pPr>
        <w:spacing w:line="189" w:lineRule="exact" w:before="119"/>
        <w:ind w:left="439" w:right="0" w:firstLine="0"/>
        <w:jc w:val="left"/>
        <w:rPr>
          <w:sz w:val="16"/>
        </w:rPr>
      </w:pPr>
      <w:r>
        <w:rPr>
          <w:color w:val="010101"/>
          <w:w w:val="105"/>
          <w:sz w:val="17"/>
        </w:rPr>
        <w:t>Gompertz's  </w:t>
      </w:r>
      <w:r>
        <w:rPr>
          <w:b/>
          <w:color w:val="010101"/>
          <w:w w:val="105"/>
          <w:sz w:val="17"/>
        </w:rPr>
        <w:t>la.w, </w:t>
      </w:r>
      <w:r>
        <w:rPr>
          <w:color w:val="010101"/>
          <w:w w:val="105"/>
          <w:sz w:val="16"/>
        </w:rPr>
        <w:t>21-23</w:t>
      </w:r>
    </w:p>
    <w:p>
      <w:pPr>
        <w:spacing w:line="212" w:lineRule="exact" w:before="0"/>
        <w:ind w:left="597" w:right="0" w:firstLine="0"/>
        <w:jc w:val="left"/>
        <w:rPr>
          <w:b/>
          <w:sz w:val="19"/>
        </w:rPr>
      </w:pPr>
      <w:r>
        <w:rPr>
          <w:color w:val="010101"/>
          <w:w w:val="105"/>
          <w:sz w:val="17"/>
        </w:rPr>
        <w:t>with   contingent   </w:t>
      </w:r>
      <w:r>
        <w:rPr>
          <w:color w:val="010101"/>
          <w:sz w:val="17"/>
        </w:rPr>
        <w:t>f </w:t>
      </w:r>
      <w:r>
        <w:rPr>
          <w:color w:val="010101"/>
          <w:w w:val="105"/>
          <w:sz w:val="17"/>
        </w:rPr>
        <w:t>unctions, </w:t>
      </w:r>
      <w:r>
        <w:rPr>
          <w:b/>
          <w:color w:val="010101"/>
          <w:sz w:val="19"/>
        </w:rPr>
        <w:t>230,</w:t>
      </w:r>
    </w:p>
    <w:p>
      <w:pPr>
        <w:spacing w:before="10"/>
        <w:ind w:left="682" w:right="1753" w:firstLine="0"/>
        <w:jc w:val="center"/>
        <w:rPr>
          <w:sz w:val="16"/>
        </w:rPr>
      </w:pPr>
      <w:r>
        <w:rPr>
          <w:color w:val="010101"/>
          <w:sz w:val="16"/>
        </w:rPr>
        <w:t>231, 236</w:t>
      </w:r>
    </w:p>
    <w:p>
      <w:pPr>
        <w:spacing w:line="195" w:lineRule="exact" w:before="4"/>
        <w:ind w:left="593" w:right="0" w:firstLine="0"/>
        <w:jc w:val="left"/>
        <w:rPr>
          <w:b/>
          <w:sz w:val="16"/>
        </w:rPr>
      </w:pPr>
      <w:r>
        <w:rPr>
          <w:color w:val="010101"/>
          <w:sz w:val="17"/>
        </w:rPr>
        <w:t>with  joint-life   f unctions,  </w:t>
      </w:r>
      <w:r>
        <w:rPr>
          <w:b/>
          <w:color w:val="010101"/>
          <w:sz w:val="16"/>
        </w:rPr>
        <w:t>201-203</w:t>
      </w:r>
    </w:p>
    <w:p>
      <w:pPr>
        <w:tabs>
          <w:tab w:pos="2711" w:val="left" w:leader="none"/>
        </w:tabs>
        <w:spacing w:line="195" w:lineRule="exact" w:before="0"/>
        <w:ind w:left="436" w:right="0" w:firstLine="0"/>
        <w:jc w:val="left"/>
        <w:rPr>
          <w:sz w:val="17"/>
        </w:rPr>
      </w:pPr>
      <w:r>
        <w:rPr>
          <w:color w:val="010101"/>
          <w:sz w:val="17"/>
        </w:rPr>
        <w:t>Gross </w:t>
      </w:r>
      <w:r>
        <w:rPr>
          <w:color w:val="010101"/>
          <w:spacing w:val="7"/>
          <w:sz w:val="17"/>
        </w:rPr>
        <w:t> </w:t>
      </w:r>
      <w:r>
        <w:rPr>
          <w:color w:val="010101"/>
          <w:sz w:val="17"/>
        </w:rPr>
        <w:t>premiums, </w:t>
      </w:r>
      <w:r>
        <w:rPr>
          <w:color w:val="010101"/>
          <w:spacing w:val="34"/>
          <w:sz w:val="17"/>
        </w:rPr>
        <w:t> </w:t>
      </w:r>
      <w:r>
        <w:rPr>
          <w:color w:val="010101"/>
          <w:spacing w:val="-12"/>
          <w:sz w:val="17"/>
        </w:rPr>
        <w:t>133</w:t>
        <w:tab/>
      </w:r>
      <w:r>
        <w:rPr>
          <w:color w:val="1D1D1D"/>
          <w:sz w:val="17"/>
        </w:rPr>
        <w:t>·</w:t>
      </w:r>
    </w:p>
    <w:p>
      <w:pPr>
        <w:pStyle w:val="BodyText"/>
        <w:spacing w:before="9"/>
        <w:rPr>
          <w:sz w:val="16"/>
        </w:rPr>
      </w:pPr>
    </w:p>
    <w:p>
      <w:pPr>
        <w:tabs>
          <w:tab w:pos="3007" w:val="left" w:leader="none"/>
        </w:tabs>
        <w:spacing w:line="172" w:lineRule="auto" w:before="1"/>
        <w:ind w:left="754" w:right="101" w:hanging="308"/>
        <w:jc w:val="left"/>
        <w:rPr>
          <w:sz w:val="17"/>
        </w:rPr>
      </w:pPr>
      <w:r>
        <w:rPr>
          <w:color w:val="010101"/>
          <w:w w:val="110"/>
          <w:sz w:val="17"/>
        </w:rPr>
        <w:t>Illinois reserve valuation method H7</w:t>
        <w:tab/>
        <w:t>,</w:t>
      </w:r>
    </w:p>
    <w:p>
      <w:pPr>
        <w:spacing w:line="247" w:lineRule="auto" w:before="73"/>
        <w:ind w:left="443" w:right="302" w:firstLine="3"/>
        <w:jc w:val="left"/>
        <w:rPr>
          <w:sz w:val="16"/>
        </w:rPr>
      </w:pPr>
      <w:r>
        <w:rPr>
          <w:color w:val="010101"/>
          <w:w w:val="105"/>
          <w:sz w:val="17"/>
        </w:rPr>
        <w:t>Immediate life annuity, </w:t>
      </w:r>
      <w:r>
        <w:rPr>
          <w:color w:val="010101"/>
          <w:w w:val="105"/>
          <w:sz w:val="16"/>
        </w:rPr>
        <w:t>41 </w:t>
      </w:r>
      <w:r>
        <w:rPr>
          <w:color w:val="010101"/>
          <w:w w:val="105"/>
          <w:sz w:val="17"/>
        </w:rPr>
        <w:t>Increasing life annuity, </w:t>
      </w:r>
      <w:r>
        <w:rPr>
          <w:b/>
          <w:color w:val="010101"/>
          <w:w w:val="105"/>
          <w:sz w:val="16"/>
        </w:rPr>
        <w:t>51-55 </w:t>
      </w:r>
      <w:r>
        <w:rPr>
          <w:color w:val="595959"/>
          <w:sz w:val="16"/>
        </w:rPr>
        <w:t>· </w:t>
      </w:r>
      <w:r>
        <w:rPr>
          <w:color w:val="424242"/>
          <w:sz w:val="16"/>
        </w:rPr>
        <w:t>· </w:t>
      </w:r>
      <w:r>
        <w:rPr>
          <w:color w:val="010101"/>
          <w:w w:val="105"/>
          <w:sz w:val="17"/>
        </w:rPr>
        <w:t>Increasing   insurance, </w:t>
      </w:r>
      <w:r>
        <w:rPr>
          <w:color w:val="010101"/>
          <w:w w:val="105"/>
          <w:sz w:val="16"/>
        </w:rPr>
        <w:t>72-75</w:t>
      </w:r>
    </w:p>
    <w:p>
      <w:pPr>
        <w:spacing w:line="218" w:lineRule="auto" w:before="14"/>
        <w:ind w:left="443" w:right="302" w:firstLine="0"/>
        <w:jc w:val="left"/>
        <w:rPr>
          <w:sz w:val="17"/>
        </w:rPr>
      </w:pPr>
      <w:r>
        <w:rPr>
          <w:color w:val="010101"/>
          <w:w w:val="110"/>
          <w:sz w:val="17"/>
        </w:rPr>
        <w:t>Instalment premium, </w:t>
      </w:r>
      <w:r>
        <w:rPr>
          <w:color w:val="010101"/>
          <w:w w:val="110"/>
          <w:sz w:val="16"/>
        </w:rPr>
        <w:t>88 </w:t>
      </w:r>
      <w:r>
        <w:rPr>
          <w:color w:val="010101"/>
          <w:w w:val="110"/>
          <w:sz w:val="17"/>
        </w:rPr>
        <w:t>Instalment refund annuity, </w:t>
      </w:r>
      <w:r>
        <w:rPr>
          <w:rFonts w:ascii="Arial"/>
          <w:b/>
          <w:color w:val="010101"/>
          <w:w w:val="105"/>
          <w:sz w:val="21"/>
        </w:rPr>
        <w:t>156 </w:t>
      </w:r>
      <w:r>
        <w:rPr>
          <w:color w:val="010101"/>
          <w:w w:val="110"/>
          <w:sz w:val="17"/>
        </w:rPr>
        <w:t>Insura.nce</w:t>
      </w:r>
    </w:p>
    <w:p>
      <w:pPr>
        <w:spacing w:before="5"/>
        <w:ind w:left="590" w:right="0" w:firstLine="0"/>
        <w:jc w:val="left"/>
        <w:rPr>
          <w:sz w:val="16"/>
        </w:rPr>
      </w:pPr>
      <w:r>
        <w:rPr>
          <w:color w:val="010101"/>
          <w:w w:val="105"/>
          <w:sz w:val="17"/>
        </w:rPr>
        <w:t>compound   contingent</w:t>
      </w:r>
      <w:r>
        <w:rPr>
          <w:color w:val="1D1D1D"/>
          <w:w w:val="105"/>
          <w:sz w:val="17"/>
        </w:rPr>
        <w:t>;  </w:t>
      </w:r>
      <w:r>
        <w:rPr>
          <w:color w:val="010101"/>
          <w:w w:val="105"/>
          <w:sz w:val="16"/>
        </w:rPr>
        <w:t>248, 249,</w:t>
      </w:r>
    </w:p>
    <w:p>
      <w:pPr>
        <w:spacing w:before="15"/>
        <w:ind w:left="736" w:right="0" w:firstLine="0"/>
        <w:jc w:val="left"/>
        <w:rPr>
          <w:sz w:val="16"/>
        </w:rPr>
      </w:pPr>
      <w:r>
        <w:rPr>
          <w:color w:val="010101"/>
          <w:w w:val="115"/>
          <w:sz w:val="16"/>
        </w:rPr>
        <w:t>251</w:t>
      </w:r>
    </w:p>
    <w:p>
      <w:pPr>
        <w:spacing w:before="8"/>
        <w:ind w:left="583" w:right="0" w:firstLine="0"/>
        <w:jc w:val="left"/>
        <w:rPr>
          <w:sz w:val="16"/>
        </w:rPr>
      </w:pPr>
      <w:r>
        <w:rPr>
          <w:color w:val="010101"/>
          <w:w w:val="110"/>
          <w:sz w:val="17"/>
        </w:rPr>
        <w:t>contingent, </w:t>
      </w:r>
      <w:r>
        <w:rPr>
          <w:color w:val="010101"/>
          <w:w w:val="110"/>
          <w:sz w:val="16"/>
        </w:rPr>
        <w:t>232-240</w:t>
      </w:r>
    </w:p>
    <w:p>
      <w:pPr>
        <w:spacing w:before="2"/>
        <w:ind w:left="586" w:right="0" w:firstLine="0"/>
        <w:jc w:val="left"/>
        <w:rPr>
          <w:b/>
          <w:sz w:val="16"/>
        </w:rPr>
      </w:pPr>
      <w:r>
        <w:rPr>
          <w:color w:val="010101"/>
          <w:w w:val="105"/>
          <w:sz w:val="17"/>
        </w:rPr>
        <w:t>cost  of , accumulated,  </w:t>
      </w:r>
      <w:r>
        <w:rPr>
          <w:color w:val="010101"/>
          <w:w w:val="105"/>
          <w:sz w:val="16"/>
        </w:rPr>
        <w:t>99, </w:t>
      </w:r>
      <w:r>
        <w:rPr>
          <w:b/>
          <w:color w:val="010101"/>
          <w:w w:val="105"/>
          <w:sz w:val="16"/>
        </w:rPr>
        <w:t>106</w:t>
      </w:r>
    </w:p>
    <w:p>
      <w:pPr>
        <w:spacing w:before="5"/>
        <w:ind w:left="583" w:right="0" w:firstLine="0"/>
        <w:jc w:val="left"/>
        <w:rPr>
          <w:sz w:val="16"/>
        </w:rPr>
      </w:pPr>
      <w:r>
        <w:rPr>
          <w:color w:val="010101"/>
          <w:w w:val="110"/>
          <w:sz w:val="17"/>
        </w:rPr>
        <w:t>decreasing term, </w:t>
      </w:r>
      <w:r>
        <w:rPr>
          <w:color w:val="010101"/>
          <w:w w:val="110"/>
          <w:sz w:val="16"/>
        </w:rPr>
        <w:t>73</w:t>
      </w:r>
    </w:p>
    <w:p>
      <w:pPr>
        <w:spacing w:line="187" w:lineRule="exact" w:before="5"/>
        <w:ind w:left="583" w:right="0" w:firstLine="0"/>
        <w:jc w:val="left"/>
        <w:rPr>
          <w:sz w:val="16"/>
        </w:rPr>
      </w:pPr>
      <w:r>
        <w:rPr>
          <w:color w:val="010101"/>
          <w:w w:val="105"/>
          <w:sz w:val="17"/>
        </w:rPr>
        <w:t>deferred, </w:t>
      </w:r>
      <w:r>
        <w:rPr>
          <w:color w:val="010101"/>
          <w:w w:val="105"/>
          <w:sz w:val="16"/>
        </w:rPr>
        <w:t>66</w:t>
      </w:r>
    </w:p>
    <w:p>
      <w:pPr>
        <w:spacing w:line="210" w:lineRule="exact" w:before="0"/>
        <w:ind w:left="572" w:right="0" w:firstLine="0"/>
        <w:jc w:val="left"/>
        <w:rPr>
          <w:sz w:val="16"/>
        </w:rPr>
      </w:pPr>
      <w:r>
        <w:rPr>
          <w:color w:val="010101"/>
          <w:w w:val="110"/>
          <w:sz w:val="17"/>
        </w:rPr>
        <w:t>endowment, </w:t>
      </w:r>
      <w:r>
        <w:rPr>
          <w:color w:val="010101"/>
          <w:w w:val="110"/>
          <w:sz w:val="16"/>
        </w:rPr>
        <w:t>66, 67, </w:t>
      </w:r>
      <w:r>
        <w:rPr>
          <w:rFonts w:ascii="Arial"/>
          <w:b/>
          <w:color w:val="010101"/>
          <w:w w:val="110"/>
          <w:sz w:val="19"/>
        </w:rPr>
        <w:t>t9, </w:t>
      </w:r>
      <w:r>
        <w:rPr>
          <w:color w:val="010101"/>
          <w:w w:val="110"/>
          <w:sz w:val="16"/>
        </w:rPr>
        <w:t>81</w:t>
      </w:r>
    </w:p>
    <w:p>
      <w:pPr>
        <w:spacing w:before="2"/>
        <w:ind w:left="575" w:right="0" w:firstLine="0"/>
        <w:jc w:val="left"/>
        <w:rPr>
          <w:sz w:val="16"/>
        </w:rPr>
      </w:pPr>
      <w:r>
        <w:rPr>
          <w:color w:val="010101"/>
          <w:w w:val="105"/>
          <w:sz w:val="17"/>
        </w:rPr>
        <w:t>extended,  </w:t>
      </w:r>
      <w:r>
        <w:rPr>
          <w:color w:val="010101"/>
          <w:w w:val="105"/>
          <w:sz w:val="16"/>
        </w:rPr>
        <w:t>143, 144</w:t>
      </w:r>
    </w:p>
    <w:p>
      <w:pPr>
        <w:spacing w:before="2"/>
        <w:ind w:left="579" w:right="0" w:firstLine="0"/>
        <w:jc w:val="left"/>
        <w:rPr>
          <w:sz w:val="16"/>
        </w:rPr>
      </w:pPr>
      <w:r>
        <w:rPr>
          <w:color w:val="010101"/>
          <w:w w:val="105"/>
          <w:sz w:val="17"/>
        </w:rPr>
        <w:t>increasing,  </w:t>
      </w:r>
      <w:r>
        <w:rPr>
          <w:color w:val="010101"/>
          <w:w w:val="105"/>
          <w:sz w:val="16"/>
        </w:rPr>
        <w:t>72-75</w:t>
      </w:r>
    </w:p>
    <w:p>
      <w:pPr>
        <w:spacing w:before="2"/>
        <w:ind w:left="572" w:right="0" w:firstLine="0"/>
        <w:jc w:val="left"/>
        <w:rPr>
          <w:sz w:val="16"/>
        </w:rPr>
      </w:pPr>
      <w:r>
        <w:rPr>
          <w:color w:val="010101"/>
          <w:w w:val="110"/>
          <w:sz w:val="17"/>
        </w:rPr>
        <w:t>joint-life,  </w:t>
      </w:r>
      <w:r>
        <w:rPr>
          <w:color w:val="010101"/>
          <w:w w:val="110"/>
          <w:sz w:val="16"/>
        </w:rPr>
        <w:t>192, 195</w:t>
      </w:r>
    </w:p>
    <w:p>
      <w:pPr>
        <w:spacing w:line="192" w:lineRule="exact" w:before="2"/>
        <w:ind w:left="579" w:right="0" w:firstLine="0"/>
        <w:jc w:val="left"/>
        <w:rPr>
          <w:sz w:val="16"/>
        </w:rPr>
      </w:pPr>
      <w:r>
        <w:rPr>
          <w:color w:val="010101"/>
          <w:w w:val="110"/>
          <w:sz w:val="17"/>
        </w:rPr>
        <w:t>last-survivor, </w:t>
      </w:r>
      <w:r>
        <w:rPr>
          <w:color w:val="010101"/>
          <w:w w:val="110"/>
          <w:sz w:val="16"/>
        </w:rPr>
        <w:t>213</w:t>
      </w:r>
    </w:p>
    <w:p>
      <w:pPr>
        <w:spacing w:line="203" w:lineRule="exact" w:before="0"/>
        <w:ind w:left="579" w:right="0" w:firstLine="0"/>
        <w:jc w:val="left"/>
        <w:rPr>
          <w:rFonts w:ascii="Arial"/>
          <w:sz w:val="15"/>
        </w:rPr>
      </w:pPr>
      <w:r>
        <w:rPr>
          <w:color w:val="010101"/>
          <w:w w:val="110"/>
          <w:sz w:val="17"/>
        </w:rPr>
        <w:t>ordinary </w:t>
      </w:r>
      <w:r>
        <w:rPr>
          <w:color w:val="010101"/>
          <w:w w:val="110"/>
          <w:sz w:val="18"/>
        </w:rPr>
        <w:t>life, </w:t>
      </w:r>
      <w:r>
        <w:rPr>
          <w:rFonts w:ascii="Arial"/>
          <w:color w:val="010101"/>
          <w:w w:val="110"/>
          <w:sz w:val="15"/>
        </w:rPr>
        <w:t>82</w:t>
      </w:r>
    </w:p>
    <w:p>
      <w:pPr>
        <w:spacing w:before="3"/>
        <w:ind w:left="579" w:right="0" w:firstLine="0"/>
        <w:jc w:val="left"/>
        <w:rPr>
          <w:sz w:val="16"/>
        </w:rPr>
      </w:pPr>
      <w:r>
        <w:rPr>
          <w:color w:val="010101"/>
          <w:w w:val="110"/>
          <w:sz w:val="17"/>
        </w:rPr>
        <w:t>paid-up,  </w:t>
      </w:r>
      <w:r>
        <w:rPr>
          <w:color w:val="010101"/>
          <w:w w:val="110"/>
          <w:sz w:val="16"/>
        </w:rPr>
        <w:t>142, 143</w:t>
      </w:r>
    </w:p>
    <w:p>
      <w:pPr>
        <w:spacing w:before="9"/>
        <w:ind w:left="583" w:right="0" w:firstLine="0"/>
        <w:jc w:val="left"/>
        <w:rPr>
          <w:sz w:val="16"/>
        </w:rPr>
      </w:pPr>
      <w:r>
        <w:rPr>
          <w:color w:val="010101"/>
          <w:w w:val="110"/>
          <w:sz w:val="17"/>
        </w:rPr>
        <w:t>term, 65, 69, </w:t>
      </w:r>
      <w:r>
        <w:rPr>
          <w:color w:val="010101"/>
          <w:w w:val="110"/>
          <w:sz w:val="16"/>
        </w:rPr>
        <w:t>81</w:t>
      </w:r>
    </w:p>
    <w:p>
      <w:pPr>
        <w:spacing w:before="11"/>
        <w:ind w:left="575" w:right="0" w:firstLine="0"/>
        <w:jc w:val="left"/>
        <w:rPr>
          <w:b/>
          <w:sz w:val="16"/>
        </w:rPr>
      </w:pPr>
      <w:r>
        <w:rPr>
          <w:b/>
          <w:color w:val="010101"/>
          <w:w w:val="105"/>
          <w:sz w:val="16"/>
        </w:rPr>
        <w:t>va.rying, 72-75</w:t>
      </w:r>
    </w:p>
    <w:p>
      <w:pPr>
        <w:spacing w:line="195" w:lineRule="exact" w:before="8"/>
        <w:ind w:left="572" w:right="0" w:firstLine="0"/>
        <w:jc w:val="left"/>
        <w:rPr>
          <w:sz w:val="16"/>
        </w:rPr>
      </w:pPr>
      <w:r>
        <w:rPr>
          <w:color w:val="010101"/>
          <w:w w:val="105"/>
          <w:sz w:val="17"/>
        </w:rPr>
        <w:t>whole  life, </w:t>
      </w:r>
      <w:r>
        <w:rPr>
          <w:color w:val="010101"/>
          <w:w w:val="105"/>
          <w:sz w:val="16"/>
        </w:rPr>
        <w:t>66, 68, 69,  81</w:t>
      </w:r>
    </w:p>
    <w:p>
      <w:pPr>
        <w:spacing w:line="268" w:lineRule="auto" w:before="0"/>
        <w:ind w:left="726" w:right="141" w:hanging="301"/>
        <w:jc w:val="left"/>
        <w:rPr>
          <w:sz w:val="17"/>
        </w:rPr>
      </w:pPr>
      <w:r>
        <w:rPr>
          <w:color w:val="010101"/>
          <w:w w:val="105"/>
          <w:sz w:val="17"/>
        </w:rPr>
        <w:t>Interna.tional Actuaria)  Notation, 29</w:t>
      </w:r>
    </w:p>
    <w:p>
      <w:pPr>
        <w:spacing w:before="83"/>
        <w:ind w:left="407" w:right="0" w:firstLine="0"/>
        <w:jc w:val="left"/>
        <w:rPr>
          <w:rFonts w:ascii="Arial"/>
          <w:b/>
          <w:sz w:val="16"/>
        </w:rPr>
      </w:pPr>
      <w:r>
        <w:rPr>
          <w:color w:val="010101"/>
          <w:w w:val="105"/>
          <w:sz w:val="17"/>
        </w:rPr>
        <w:t>J oin t-and-survivor   f unctions, </w:t>
      </w:r>
      <w:r>
        <w:rPr>
          <w:rFonts w:ascii="Arial"/>
          <w:b/>
          <w:color w:val="010101"/>
          <w:w w:val="105"/>
          <w:sz w:val="16"/>
        </w:rPr>
        <w:t>210</w:t>
      </w:r>
    </w:p>
    <w:p>
      <w:pPr>
        <w:spacing w:before="27"/>
        <w:ind w:left="411" w:right="0" w:firstLine="0"/>
        <w:jc w:val="left"/>
        <w:rPr>
          <w:b/>
          <w:sz w:val="16"/>
        </w:rPr>
      </w:pPr>
      <w:r>
        <w:rPr>
          <w:color w:val="010101"/>
          <w:w w:val="110"/>
          <w:sz w:val="17"/>
        </w:rPr>
        <w:t>Joint-life functions, </w:t>
      </w:r>
      <w:r>
        <w:rPr>
          <w:b/>
          <w:color w:val="010101"/>
          <w:w w:val="110"/>
          <w:sz w:val="16"/>
        </w:rPr>
        <w:t>191-205</w:t>
      </w:r>
    </w:p>
    <w:p>
      <w:pPr>
        <w:spacing w:before="117"/>
        <w:ind w:left="414" w:right="0" w:firstLine="0"/>
        <w:jc w:val="left"/>
        <w:rPr>
          <w:rFonts w:ascii="Arial"/>
          <w:b/>
          <w:sz w:val="16"/>
        </w:rPr>
      </w:pPr>
      <w:r>
        <w:rPr>
          <w:color w:val="010101"/>
          <w:sz w:val="17"/>
        </w:rPr>
        <w:t>Last-survivor   f unctions,  </w:t>
      </w:r>
      <w:r>
        <w:rPr>
          <w:rFonts w:ascii="Arial"/>
          <w:b/>
          <w:color w:val="010101"/>
          <w:sz w:val="16"/>
        </w:rPr>
        <w:t>210-213</w:t>
      </w:r>
    </w:p>
    <w:p>
      <w:pPr>
        <w:spacing w:before="27"/>
        <w:ind w:left="414" w:right="0" w:firstLine="0"/>
        <w:jc w:val="left"/>
        <w:rPr>
          <w:sz w:val="17"/>
        </w:rPr>
      </w:pPr>
      <w:r>
        <w:rPr>
          <w:b/>
          <w:color w:val="010101"/>
          <w:w w:val="105"/>
          <w:sz w:val="16"/>
        </w:rPr>
        <w:t>Law  </w:t>
      </w:r>
      <w:r>
        <w:rPr>
          <w:color w:val="010101"/>
          <w:w w:val="105"/>
          <w:sz w:val="17"/>
        </w:rPr>
        <w:t>of  uniform seniority</w:t>
      </w:r>
    </w:p>
    <w:p>
      <w:pPr>
        <w:spacing w:before="23"/>
        <w:ind w:left="572" w:right="0" w:firstLine="0"/>
        <w:jc w:val="left"/>
        <w:rPr>
          <w:b/>
          <w:sz w:val="16"/>
        </w:rPr>
      </w:pPr>
      <w:r>
        <w:rPr>
          <w:color w:val="010101"/>
          <w:w w:val="110"/>
          <w:sz w:val="17"/>
        </w:rPr>
        <w:t>with Gompertz's </w:t>
      </w:r>
      <w:r>
        <w:rPr>
          <w:b/>
          <w:color w:val="010101"/>
          <w:w w:val="110"/>
          <w:sz w:val="16"/>
        </w:rPr>
        <w:t>law, 202, 203</w:t>
      </w:r>
    </w:p>
    <w:p>
      <w:pPr>
        <w:spacing w:before="23"/>
        <w:ind w:left="575" w:right="0" w:firstLine="0"/>
        <w:jc w:val="left"/>
        <w:rPr>
          <w:b/>
          <w:sz w:val="16"/>
        </w:rPr>
      </w:pPr>
      <w:r>
        <w:rPr>
          <w:color w:val="010101"/>
          <w:w w:val="110"/>
          <w:sz w:val="17"/>
        </w:rPr>
        <w:t>with Makeham's </w:t>
      </w:r>
      <w:r>
        <w:rPr>
          <w:b/>
          <w:color w:val="010101"/>
          <w:w w:val="110"/>
          <w:sz w:val="16"/>
        </w:rPr>
        <w:t>law, 199-201</w:t>
      </w:r>
    </w:p>
    <w:p>
      <w:pPr>
        <w:spacing w:before="31"/>
        <w:ind w:left="418" w:right="0" w:firstLine="0"/>
        <w:jc w:val="left"/>
        <w:rPr>
          <w:sz w:val="17"/>
        </w:rPr>
      </w:pPr>
      <w:r>
        <w:rPr>
          <w:color w:val="010101"/>
          <w:w w:val="105"/>
          <w:sz w:val="17"/>
        </w:rPr>
        <w:t>Laws  of  mortality, 20-24</w:t>
      </w:r>
    </w:p>
    <w:p>
      <w:pPr>
        <w:spacing w:after="0"/>
        <w:jc w:val="left"/>
        <w:rPr>
          <w:sz w:val="17"/>
        </w:rPr>
        <w:sectPr>
          <w:pgSz w:w="7200" w:h="11340"/>
          <w:pgMar w:top="500" w:bottom="280" w:left="680" w:right="600"/>
          <w:cols w:num="2" w:equalWidth="0">
            <w:col w:w="2721" w:space="40"/>
            <w:col w:w="3159"/>
          </w:cols>
        </w:sectPr>
      </w:pPr>
    </w:p>
    <w:p>
      <w:pPr>
        <w:tabs>
          <w:tab w:pos="5935" w:val="right" w:leader="none"/>
        </w:tabs>
        <w:spacing w:before="47"/>
        <w:ind w:left="2803" w:right="0" w:firstLine="0"/>
        <w:jc w:val="left"/>
        <w:rPr>
          <w:sz w:val="20"/>
        </w:rPr>
      </w:pPr>
      <w:r>
        <w:rPr>
          <w:b/>
          <w:w w:val="105"/>
          <w:position w:val="1"/>
          <w:sz w:val="15"/>
        </w:rPr>
        <w:t>INDEX</w:t>
      </w:r>
      <w:r>
        <w:rPr>
          <w:w w:val="105"/>
          <w:sz w:val="20"/>
        </w:rPr>
        <w:tab/>
        <w:t>389</w:t>
      </w:r>
    </w:p>
    <w:p>
      <w:pPr>
        <w:spacing w:after="0"/>
        <w:jc w:val="left"/>
        <w:rPr>
          <w:sz w:val="20"/>
        </w:rPr>
        <w:sectPr>
          <w:pgSz w:w="7200" w:h="11340"/>
          <w:pgMar w:top="500" w:bottom="280" w:left="620" w:right="540"/>
        </w:sectPr>
      </w:pPr>
    </w:p>
    <w:p>
      <w:pPr>
        <w:pStyle w:val="BodyText"/>
      </w:pPr>
    </w:p>
    <w:p>
      <w:pPr>
        <w:spacing w:before="0"/>
        <w:ind w:left="348" w:right="353" w:firstLine="0"/>
        <w:jc w:val="left"/>
        <w:rPr>
          <w:sz w:val="16"/>
        </w:rPr>
      </w:pPr>
      <w:r>
        <w:rPr>
          <w:w w:val="110"/>
          <w:sz w:val="17"/>
        </w:rPr>
        <w:t>de Moivre's, 20, </w:t>
      </w:r>
      <w:r>
        <w:rPr>
          <w:w w:val="110"/>
          <w:sz w:val="16"/>
        </w:rPr>
        <w:t>21</w:t>
      </w:r>
    </w:p>
    <w:p>
      <w:pPr>
        <w:spacing w:before="6"/>
        <w:ind w:left="344" w:right="353" w:firstLine="0"/>
        <w:jc w:val="left"/>
        <w:rPr>
          <w:sz w:val="16"/>
        </w:rPr>
      </w:pPr>
      <w:r>
        <w:rPr>
          <w:w w:val="115"/>
          <w:sz w:val="17"/>
        </w:rPr>
        <w:t>Gompertz's, </w:t>
      </w:r>
      <w:r>
        <w:rPr>
          <w:w w:val="115"/>
          <w:sz w:val="16"/>
        </w:rPr>
        <w:t>21-23</w:t>
      </w:r>
    </w:p>
    <w:p>
      <w:pPr>
        <w:spacing w:before="6"/>
        <w:ind w:left="337" w:right="353" w:firstLine="0"/>
        <w:jc w:val="left"/>
        <w:rPr>
          <w:sz w:val="17"/>
        </w:rPr>
      </w:pPr>
      <w:r>
        <w:rPr>
          <w:w w:val="110"/>
          <w:sz w:val="17"/>
        </w:rPr>
        <w:t>Makeham 's, 2'2-24</w:t>
      </w:r>
    </w:p>
    <w:p>
      <w:pPr>
        <w:spacing w:before="2"/>
        <w:ind w:left="341" w:right="353" w:firstLine="0"/>
        <w:jc w:val="left"/>
        <w:rPr>
          <w:sz w:val="16"/>
        </w:rPr>
      </w:pPr>
      <w:r>
        <w:rPr>
          <w:w w:val="110"/>
          <w:sz w:val="17"/>
        </w:rPr>
        <w:t>Makeham's second, </w:t>
      </w:r>
      <w:r>
        <w:rPr>
          <w:w w:val="110"/>
          <w:sz w:val="16"/>
        </w:rPr>
        <w:t>34</w:t>
      </w:r>
    </w:p>
    <w:p>
      <w:pPr>
        <w:spacing w:line="247" w:lineRule="auto" w:before="6"/>
        <w:ind w:left="179" w:right="353" w:firstLine="3"/>
        <w:jc w:val="left"/>
        <w:rPr>
          <w:sz w:val="17"/>
        </w:rPr>
      </w:pPr>
      <w:r>
        <w:rPr>
          <w:w w:val="110"/>
          <w:sz w:val="17"/>
        </w:rPr>
        <w:t>Lidstone's Theorem, </w:t>
      </w:r>
      <w:r>
        <w:rPr>
          <w:w w:val="110"/>
          <w:sz w:val="16"/>
        </w:rPr>
        <w:t>118-121 </w:t>
      </w:r>
      <w:r>
        <w:rPr>
          <w:w w:val="110"/>
          <w:sz w:val="17"/>
        </w:rPr>
        <w:t>Life annuity (see Annuity) Life esta.te, 68</w:t>
      </w:r>
    </w:p>
    <w:p>
      <w:pPr>
        <w:spacing w:line="189" w:lineRule="exact" w:before="0"/>
        <w:ind w:left="179" w:right="353" w:firstLine="0"/>
        <w:jc w:val="left"/>
        <w:rPr>
          <w:sz w:val="16"/>
        </w:rPr>
      </w:pPr>
      <w:r>
        <w:rPr>
          <w:w w:val="110"/>
          <w:sz w:val="17"/>
        </w:rPr>
        <w:t>Life expecta.ncy, </w:t>
      </w:r>
      <w:r>
        <w:rPr>
          <w:w w:val="110"/>
          <w:sz w:val="16"/>
        </w:rPr>
        <w:t>173-175</w:t>
      </w:r>
    </w:p>
    <w:p>
      <w:pPr>
        <w:spacing w:line="247" w:lineRule="auto" w:before="6"/>
        <w:ind w:left="179" w:right="81" w:firstLine="3"/>
        <w:jc w:val="left"/>
        <w:rPr>
          <w:sz w:val="17"/>
        </w:rPr>
      </w:pPr>
      <w:r>
        <w:rPr>
          <w:w w:val="110"/>
          <w:sz w:val="17"/>
        </w:rPr>
        <w:t>Life insurance (see Insurance) Life ta.ble, 8</w:t>
      </w:r>
    </w:p>
    <w:p>
      <w:pPr>
        <w:spacing w:before="0"/>
        <w:ind w:left="179" w:right="353" w:firstLine="0"/>
        <w:jc w:val="left"/>
        <w:rPr>
          <w:sz w:val="17"/>
        </w:rPr>
      </w:pPr>
      <w:r>
        <w:rPr>
          <w:w w:val="110"/>
          <w:sz w:val="17"/>
        </w:rPr>
        <w:t>Loading,  133</w:t>
      </w:r>
    </w:p>
    <w:p>
      <w:pPr>
        <w:spacing w:before="6"/>
        <w:ind w:left="179" w:right="353" w:firstLine="0"/>
        <w:jc w:val="left"/>
        <w:rPr>
          <w:sz w:val="16"/>
        </w:rPr>
      </w:pPr>
      <w:r>
        <w:rPr>
          <w:w w:val="105"/>
          <w:sz w:val="17"/>
        </w:rPr>
        <w:t>Loan  clause, </w:t>
      </w:r>
      <w:r>
        <w:rPr>
          <w:w w:val="105"/>
          <w:sz w:val="16"/>
        </w:rPr>
        <w:t>142</w:t>
      </w:r>
    </w:p>
    <w:p>
      <w:pPr>
        <w:spacing w:before="6"/>
        <w:ind w:left="175" w:right="353" w:firstLine="3"/>
        <w:jc w:val="left"/>
        <w:rPr>
          <w:sz w:val="17"/>
        </w:rPr>
      </w:pPr>
      <w:r>
        <w:rPr>
          <w:sz w:val="17"/>
        </w:rPr>
        <w:t>Longest   lífe  f unctions, 210</w:t>
      </w:r>
    </w:p>
    <w:p>
      <w:pPr>
        <w:spacing w:before="125"/>
        <w:ind w:left="175" w:right="353" w:firstLine="0"/>
        <w:jc w:val="left"/>
        <w:rPr>
          <w:sz w:val="17"/>
        </w:rPr>
      </w:pPr>
      <w:r>
        <w:rPr>
          <w:sz w:val="17"/>
        </w:rPr>
        <w:t>Makeha.m's  </w:t>
      </w:r>
      <w:r>
        <w:rPr>
          <w:b/>
          <w:sz w:val="17"/>
        </w:rPr>
        <w:t>Ia.w,  </w:t>
      </w:r>
      <w:r>
        <w:rPr>
          <w:sz w:val="16"/>
        </w:rPr>
        <w:t>22-24, </w:t>
      </w:r>
      <w:r>
        <w:rPr>
          <w:sz w:val="17"/>
        </w:rPr>
        <w:t>59</w:t>
      </w:r>
    </w:p>
    <w:p>
      <w:pPr>
        <w:spacing w:line="247" w:lineRule="auto" w:before="9"/>
        <w:ind w:left="492" w:right="81" w:hanging="159"/>
        <w:jc w:val="left"/>
        <w:rPr>
          <w:sz w:val="17"/>
        </w:rPr>
      </w:pPr>
      <w:r>
        <w:rPr>
          <w:w w:val="105"/>
          <w:sz w:val="17"/>
        </w:rPr>
        <w:t>effect of cha.nge in the consta.q, 58</w:t>
      </w:r>
    </w:p>
    <w:p>
      <w:pPr>
        <w:spacing w:line="189" w:lineRule="exact" w:before="0"/>
        <w:ind w:left="337" w:right="-4" w:firstLine="0"/>
        <w:jc w:val="left"/>
        <w:rPr>
          <w:sz w:val="17"/>
        </w:rPr>
      </w:pPr>
      <w:r>
        <w:rPr>
          <w:w w:val="110"/>
          <w:sz w:val="17"/>
        </w:rPr>
        <w:t>with  contingent  functions, 231,</w:t>
      </w:r>
    </w:p>
    <w:p>
      <w:pPr>
        <w:spacing w:before="15"/>
        <w:ind w:left="425" w:right="1654" w:firstLine="0"/>
        <w:jc w:val="center"/>
        <w:rPr>
          <w:sz w:val="16"/>
        </w:rPr>
      </w:pPr>
      <w:r>
        <w:rPr>
          <w:sz w:val="16"/>
        </w:rPr>
        <w:t>232, 236</w:t>
      </w:r>
    </w:p>
    <w:p>
      <w:pPr>
        <w:spacing w:line="244" w:lineRule="auto" w:before="4"/>
        <w:ind w:left="179" w:right="14" w:firstLine="162"/>
        <w:jc w:val="left"/>
        <w:rPr>
          <w:sz w:val="17"/>
        </w:rPr>
      </w:pPr>
      <w:r>
        <w:rPr>
          <w:sz w:val="17"/>
        </w:rPr>
        <w:t>with joint-life f unctions, </w:t>
      </w:r>
      <w:r>
        <w:rPr>
          <w:spacing w:val="-5"/>
          <w:sz w:val="16"/>
        </w:rPr>
        <w:t>195--201 </w:t>
      </w:r>
      <w:r>
        <w:rPr>
          <w:sz w:val="17"/>
        </w:rPr>
        <w:t>Makeham's second  la.w,  </w:t>
      </w:r>
      <w:r>
        <w:rPr>
          <w:sz w:val="16"/>
        </w:rPr>
        <w:t>34 </w:t>
      </w:r>
      <w:r>
        <w:rPr>
          <w:sz w:val="17"/>
        </w:rPr>
        <w:t>Marria.ge  · and     morta.Iity   </w:t>
      </w:r>
      <w:r>
        <w:rPr>
          <w:spacing w:val="42"/>
          <w:sz w:val="17"/>
        </w:rPr>
        <w:t> </w:t>
      </w:r>
      <w:r>
        <w:rPr>
          <w:sz w:val="17"/>
        </w:rPr>
        <w:t>ta.ble,</w:t>
      </w:r>
    </w:p>
    <w:p>
      <w:pPr>
        <w:spacing w:before="2"/>
        <w:ind w:left="425" w:right="850" w:firstLine="0"/>
        <w:jc w:val="center"/>
        <w:rPr>
          <w:sz w:val="16"/>
        </w:rPr>
      </w:pPr>
      <w:r>
        <w:rPr>
          <w:w w:val="105"/>
          <w:sz w:val="17"/>
        </w:rPr>
        <w:t>combined, </w:t>
      </w:r>
      <w:r>
        <w:rPr>
          <w:w w:val="105"/>
          <w:sz w:val="16"/>
        </w:rPr>
        <w:t>298-300</w:t>
      </w:r>
    </w:p>
    <w:p>
      <w:pPr>
        <w:spacing w:line="244" w:lineRule="auto" w:before="6"/>
        <w:ind w:left="334" w:right="0" w:hanging="216"/>
        <w:jc w:val="both"/>
        <w:rPr>
          <w:sz w:val="17"/>
        </w:rPr>
      </w:pPr>
      <w:r>
        <w:rPr>
          <w:w w:val="105"/>
          <w:sz w:val="17"/>
        </w:rPr>
        <w:t>· Modified reserve systems, </w:t>
      </w:r>
      <w:r>
        <w:rPr>
          <w:spacing w:val="-10"/>
          <w:w w:val="105"/>
          <w:sz w:val="16"/>
        </w:rPr>
        <w:t>133-138 </w:t>
      </w:r>
      <w:r>
        <w:rPr>
          <w:w w:val="105"/>
          <w:sz w:val="17"/>
        </w:rPr>
        <w:t>Ca.na.dia.n va.luation method, </w:t>
      </w:r>
      <w:r>
        <w:rPr>
          <w:spacing w:val="-12"/>
          <w:w w:val="105"/>
          <w:sz w:val="16"/>
        </w:rPr>
        <w:t>138 </w:t>
      </w:r>
      <w:r>
        <w:rPr>
          <w:w w:val="105"/>
          <w:sz w:val="17"/>
        </w:rPr>
        <w:t>Commissioners   valuation</w:t>
      </w:r>
    </w:p>
    <w:p>
      <w:pPr>
        <w:spacing w:line="194" w:lineRule="exact" w:before="0"/>
        <w:ind w:left="376" w:right="922" w:firstLine="0"/>
        <w:jc w:val="center"/>
        <w:rPr>
          <w:sz w:val="16"/>
        </w:rPr>
      </w:pPr>
      <w:r>
        <w:rPr>
          <w:w w:val="115"/>
          <w:sz w:val="17"/>
        </w:rPr>
        <w:t>method,  </w:t>
      </w:r>
      <w:r>
        <w:rPr>
          <w:w w:val="115"/>
          <w:sz w:val="16"/>
        </w:rPr>
        <w:t>137, 138</w:t>
      </w:r>
    </w:p>
    <w:p>
      <w:pPr>
        <w:spacing w:line="247" w:lineRule="auto" w:before="2"/>
        <w:ind w:left="323" w:right="-4" w:firstLine="7"/>
        <w:jc w:val="left"/>
        <w:rPr>
          <w:sz w:val="17"/>
        </w:rPr>
      </w:pPr>
      <w:r>
        <w:rPr>
          <w:w w:val="105"/>
          <w:sz w:val="17"/>
        </w:rPr>
        <w:t>full preliminary term, </w:t>
      </w:r>
      <w:r>
        <w:rPr>
          <w:w w:val="105"/>
          <w:sz w:val="16"/>
        </w:rPr>
        <w:t>135, 136 </w:t>
      </w:r>
      <w:r>
        <w:rPr>
          <w:w w:val="105"/>
          <w:sz w:val="17"/>
        </w:rPr>
        <w:t>Illinois valuation method, </w:t>
      </w:r>
      <w:r>
        <w:rPr>
          <w:w w:val="105"/>
          <w:sz w:val="16"/>
        </w:rPr>
        <w:t>147 </w:t>
      </w:r>
      <w:r>
        <w:rPr>
          <w:w w:val="105"/>
          <w:sz w:val="17"/>
        </w:rPr>
        <w:t>modified  prelimina.ry  term,  137,</w:t>
      </w:r>
    </w:p>
    <w:p>
      <w:pPr>
        <w:spacing w:line="192" w:lineRule="exact" w:before="0"/>
        <w:ind w:left="492" w:right="353" w:firstLine="0"/>
        <w:jc w:val="left"/>
        <w:rPr>
          <w:sz w:val="17"/>
        </w:rPr>
      </w:pPr>
      <w:r>
        <w:rPr>
          <w:sz w:val="17"/>
        </w:rPr>
        <w:t>138</w:t>
      </w:r>
    </w:p>
    <w:p>
      <w:pPr>
        <w:spacing w:before="9"/>
        <w:ind w:left="319" w:right="-4" w:firstLine="0"/>
        <w:jc w:val="left"/>
        <w:rPr>
          <w:sz w:val="17"/>
        </w:rPr>
      </w:pPr>
      <w:r>
        <w:rPr>
          <w:w w:val="110"/>
          <w:sz w:val="17"/>
        </w:rPr>
        <w:t>New  Jersey  valua.tion  method,</w:t>
      </w:r>
    </w:p>
    <w:p>
      <w:pPr>
        <w:spacing w:before="4"/>
        <w:ind w:left="485" w:right="353" w:firstLine="0"/>
        <w:jc w:val="left"/>
        <w:rPr>
          <w:sz w:val="16"/>
        </w:rPr>
      </w:pPr>
      <w:r>
        <w:rPr>
          <w:w w:val="110"/>
          <w:sz w:val="16"/>
        </w:rPr>
        <w:t>147</w:t>
      </w:r>
    </w:p>
    <w:p>
      <w:pPr>
        <w:spacing w:before="1"/>
        <w:ind w:left="157" w:right="353" w:firstLine="0"/>
        <w:jc w:val="left"/>
        <w:rPr>
          <w:sz w:val="17"/>
        </w:rPr>
      </w:pPr>
      <w:r>
        <w:rPr>
          <w:w w:val="115"/>
          <w:sz w:val="17"/>
        </w:rPr>
        <w:t>Mortality</w:t>
      </w:r>
    </w:p>
    <w:p>
      <w:pPr>
        <w:spacing w:line="195" w:lineRule="exact" w:before="6"/>
        <w:ind w:left="319" w:right="353" w:firstLine="0"/>
        <w:jc w:val="left"/>
        <w:rPr>
          <w:sz w:val="16"/>
        </w:rPr>
      </w:pPr>
      <w:r>
        <w:rPr>
          <w:w w:val="105"/>
          <w:sz w:val="17"/>
        </w:rPr>
        <w:t>central  rate  of ,  </w:t>
      </w:r>
      <w:r>
        <w:rPr>
          <w:w w:val="105"/>
          <w:sz w:val="16"/>
        </w:rPr>
        <w:t>172, 173</w:t>
      </w:r>
    </w:p>
    <w:p>
      <w:pPr>
        <w:spacing w:line="195" w:lineRule="exact" w:before="0"/>
        <w:ind w:left="319" w:right="353" w:firstLine="0"/>
        <w:jc w:val="left"/>
        <w:rPr>
          <w:sz w:val="16"/>
        </w:rPr>
      </w:pPr>
      <w:r>
        <w:rPr>
          <w:w w:val="105"/>
          <w:sz w:val="17"/>
        </w:rPr>
        <w:t>force  of, </w:t>
      </w:r>
      <w:r>
        <w:rPr>
          <w:w w:val="105"/>
          <w:sz w:val="16"/>
        </w:rPr>
        <w:t>12-24</w:t>
      </w:r>
    </w:p>
    <w:p>
      <w:pPr>
        <w:spacing w:before="6"/>
        <w:ind w:left="312" w:right="353" w:firstLine="0"/>
        <w:jc w:val="left"/>
        <w:rPr>
          <w:sz w:val="16"/>
        </w:rPr>
      </w:pPr>
      <w:r>
        <w:rPr>
          <w:w w:val="105"/>
          <w:sz w:val="17"/>
        </w:rPr>
        <w:t>laws  of, </w:t>
      </w:r>
      <w:r>
        <w:rPr>
          <w:w w:val="105"/>
          <w:sz w:val="16"/>
        </w:rPr>
        <w:t>20-24</w:t>
      </w:r>
    </w:p>
    <w:p>
      <w:pPr>
        <w:spacing w:before="2"/>
        <w:ind w:left="319" w:right="353" w:firstLine="0"/>
        <w:jc w:val="left"/>
        <w:rPr>
          <w:sz w:val="17"/>
        </w:rPr>
      </w:pPr>
      <w:r>
        <w:rPr>
          <w:sz w:val="17"/>
        </w:rPr>
        <w:t>ra.te  of , 9, 12</w:t>
      </w:r>
    </w:p>
    <w:p>
      <w:pPr>
        <w:spacing w:before="2"/>
        <w:ind w:left="154" w:right="353" w:firstLine="0"/>
        <w:jc w:val="left"/>
        <w:rPr>
          <w:sz w:val="17"/>
        </w:rPr>
      </w:pPr>
      <w:r>
        <w:rPr>
          <w:w w:val="110"/>
          <w:sz w:val="17"/>
        </w:rPr>
        <w:t>Mortality  table, 7-28</w:t>
      </w:r>
    </w:p>
    <w:p>
      <w:pPr>
        <w:spacing w:before="2"/>
        <w:ind w:left="315" w:right="353" w:firstLine="0"/>
        <w:jc w:val="left"/>
        <w:rPr>
          <w:sz w:val="17"/>
        </w:rPr>
      </w:pPr>
      <w:r>
        <w:rPr>
          <w:sz w:val="17"/>
        </w:rPr>
        <w:t>e.ggrega te, 28</w:t>
      </w:r>
    </w:p>
    <w:p>
      <w:pPr>
        <w:spacing w:line="276" w:lineRule="auto" w:before="9"/>
        <w:ind w:left="470" w:right="81" w:hanging="159"/>
        <w:jc w:val="left"/>
        <w:rPr>
          <w:sz w:val="16"/>
        </w:rPr>
      </w:pPr>
      <w:r>
        <w:rPr>
          <w:w w:val="110"/>
          <w:sz w:val="17"/>
        </w:rPr>
        <w:t>as sta.tionary population, </w:t>
      </w:r>
      <w:r>
        <w:rPr>
          <w:w w:val="110"/>
          <w:sz w:val="16"/>
        </w:rPr>
        <w:t>176- </w:t>
      </w:r>
      <w:r>
        <w:rPr>
          <w:spacing w:val="-12"/>
          <w:w w:val="110"/>
          <w:sz w:val="16"/>
        </w:rPr>
        <w:t>185</w:t>
      </w:r>
    </w:p>
    <w:p>
      <w:pPr>
        <w:spacing w:line="195" w:lineRule="exact" w:before="0"/>
        <w:ind w:left="308" w:right="-4" w:firstLine="0"/>
        <w:jc w:val="left"/>
        <w:rPr>
          <w:sz w:val="16"/>
        </w:rPr>
      </w:pPr>
      <w:r>
        <w:rPr>
          <w:w w:val="110"/>
          <w:sz w:val="17"/>
        </w:rPr>
        <w:t>as survivorship group, 175,  </w:t>
      </w:r>
      <w:r>
        <w:rPr>
          <w:w w:val="110"/>
          <w:sz w:val="16"/>
        </w:rPr>
        <w:t>176</w:t>
      </w:r>
    </w:p>
    <w:p>
      <w:pPr>
        <w:spacing w:before="17"/>
        <w:ind w:left="305" w:right="353" w:firstLine="0"/>
        <w:jc w:val="left"/>
        <w:rPr>
          <w:sz w:val="16"/>
        </w:rPr>
      </w:pPr>
      <w:r>
        <w:rPr>
          <w:w w:val="110"/>
          <w:sz w:val="17"/>
        </w:rPr>
        <w:t>select, </w:t>
      </w:r>
      <w:r>
        <w:rPr>
          <w:w w:val="110"/>
          <w:sz w:val="16"/>
        </w:rPr>
        <w:t>24-28</w:t>
      </w:r>
    </w:p>
    <w:p>
      <w:pPr>
        <w:spacing w:line="264" w:lineRule="auto" w:before="27"/>
        <w:ind w:left="308" w:right="353" w:hanging="8"/>
        <w:jc w:val="left"/>
        <w:rPr>
          <w:sz w:val="17"/>
        </w:rPr>
      </w:pPr>
      <w:r>
        <w:rPr>
          <w:w w:val="105"/>
          <w:sz w:val="17"/>
        </w:rPr>
        <w:t>select a.nd ultima.te, 25-28 ultima.te, 28</w:t>
      </w:r>
    </w:p>
    <w:p>
      <w:pPr>
        <w:spacing w:before="9"/>
        <w:ind w:left="146" w:right="-4" w:firstLine="0"/>
        <w:jc w:val="left"/>
        <w:rPr>
          <w:sz w:val="16"/>
        </w:rPr>
      </w:pPr>
      <w:r>
        <w:rPr>
          <w:w w:val="110"/>
          <w:sz w:val="17"/>
        </w:rPr>
        <w:t>Multiple-decrement  table, </w:t>
      </w:r>
      <w:r>
        <w:rPr>
          <w:w w:val="110"/>
          <w:sz w:val="16"/>
        </w:rPr>
        <w:t>271-287</w:t>
      </w:r>
    </w:p>
    <w:p>
      <w:pPr>
        <w:pStyle w:val="BodyText"/>
        <w:spacing w:before="10"/>
      </w:pPr>
      <w:r>
        <w:rPr/>
        <w:br w:type="column"/>
      </w:r>
      <w:r>
        <w:rPr/>
      </w:r>
    </w:p>
    <w:p>
      <w:pPr>
        <w:spacing w:before="1"/>
        <w:ind w:left="319" w:right="50" w:firstLine="0"/>
        <w:jc w:val="left"/>
        <w:rPr>
          <w:sz w:val="17"/>
        </w:rPr>
      </w:pPr>
      <w:r>
        <w:rPr>
          <w:w w:val="110"/>
          <w:sz w:val="17"/>
        </w:rPr>
        <w:t>with secondary decrements, 291-</w:t>
      </w:r>
    </w:p>
    <w:p>
      <w:pPr>
        <w:spacing w:before="15"/>
        <w:ind w:left="463" w:right="50" w:firstLine="0"/>
        <w:jc w:val="left"/>
        <w:rPr>
          <w:sz w:val="16"/>
        </w:rPr>
      </w:pPr>
      <w:r>
        <w:rPr>
          <w:w w:val="105"/>
          <w:sz w:val="16"/>
        </w:rPr>
        <w:t>302</w:t>
      </w:r>
    </w:p>
    <w:p>
      <w:pPr>
        <w:spacing w:line="247" w:lineRule="auto" w:before="120"/>
        <w:ind w:left="150" w:right="491" w:firstLine="3"/>
        <w:jc w:val="left"/>
        <w:rPr>
          <w:sz w:val="17"/>
        </w:rPr>
      </w:pPr>
      <w:r>
        <w:rPr>
          <w:w w:val="105"/>
          <w:sz w:val="17"/>
        </w:rPr>
        <w:t>Net a.mount a.t risk, 106 </w:t>
      </w:r>
      <w:r>
        <w:rPr>
          <w:w w:val="115"/>
          <w:sz w:val="17"/>
        </w:rPr>
        <w:t>Net </w:t>
      </w:r>
      <w:r>
        <w:rPr>
          <w:w w:val="111"/>
          <w:sz w:val="17"/>
        </w:rPr>
        <w:t>annual </w:t>
      </w:r>
      <w:r>
        <w:rPr>
          <w:w w:val="108"/>
          <w:sz w:val="17"/>
        </w:rPr>
        <w:t>premium, </w:t>
      </w:r>
      <w:r>
        <w:rPr>
          <w:w w:val="98"/>
          <w:sz w:val="17"/>
        </w:rPr>
        <w:t>_81-93 </w:t>
      </w:r>
      <w:r>
        <w:rPr>
          <w:w w:val="105"/>
          <w:sz w:val="17"/>
        </w:rPr>
        <w:t>Net  single  premium,  38, 65</w:t>
      </w:r>
    </w:p>
    <w:p>
      <w:pPr>
        <w:spacing w:before="0"/>
        <w:ind w:left="467" w:right="50" w:hanging="314"/>
        <w:jc w:val="left"/>
        <w:rPr>
          <w:sz w:val="16"/>
        </w:rPr>
      </w:pPr>
      <w:r>
        <w:rPr>
          <w:w w:val="110"/>
          <w:sz w:val="17"/>
        </w:rPr>
        <w:t>New Jersey reserve valua.tion method, </w:t>
      </w:r>
      <w:r>
        <w:rPr>
          <w:w w:val="110"/>
          <w:sz w:val="16"/>
        </w:rPr>
        <w:t>147</w:t>
      </w:r>
    </w:p>
    <w:p>
      <w:pPr>
        <w:spacing w:before="6"/>
        <w:ind w:left="157" w:right="50" w:firstLine="0"/>
        <w:jc w:val="left"/>
        <w:rPr>
          <w:sz w:val="16"/>
        </w:rPr>
      </w:pPr>
      <w:r>
        <w:rPr>
          <w:w w:val="105"/>
          <w:sz w:val="17"/>
        </w:rPr>
        <w:t>Nonforfeiture  va.lues,  </w:t>
      </w:r>
      <w:r>
        <w:rPr>
          <w:w w:val="105"/>
          <w:sz w:val="16"/>
        </w:rPr>
        <w:t>139-144</w:t>
      </w:r>
    </w:p>
    <w:p>
      <w:pPr>
        <w:spacing w:before="2"/>
        <w:ind w:left="312" w:right="50" w:firstLine="0"/>
        <w:jc w:val="left"/>
        <w:rPr>
          <w:sz w:val="16"/>
        </w:rPr>
      </w:pPr>
      <w:r>
        <w:rPr>
          <w:w w:val="110"/>
          <w:sz w:val="17"/>
        </w:rPr>
        <w:t>cash va.lue, </w:t>
      </w:r>
      <w:r>
        <w:rPr>
          <w:w w:val="110"/>
          <w:sz w:val="16"/>
        </w:rPr>
        <w:t>139-142</w:t>
      </w:r>
    </w:p>
    <w:p>
      <w:pPr>
        <w:spacing w:before="6"/>
        <w:ind w:left="312" w:right="50" w:firstLine="0"/>
        <w:jc w:val="left"/>
        <w:rPr>
          <w:sz w:val="16"/>
        </w:rPr>
      </w:pPr>
      <w:r>
        <w:rPr>
          <w:w w:val="110"/>
          <w:sz w:val="17"/>
        </w:rPr>
        <w:t>extended insura.nce, </w:t>
      </w:r>
      <w:r>
        <w:rPr>
          <w:w w:val="110"/>
          <w:sz w:val="16"/>
        </w:rPr>
        <w:t>143,  144</w:t>
      </w:r>
    </w:p>
    <w:p>
      <w:pPr>
        <w:spacing w:line="247" w:lineRule="auto" w:before="6"/>
        <w:ind w:left="150" w:right="491" w:firstLine="162"/>
        <w:jc w:val="left"/>
        <w:rPr>
          <w:sz w:val="17"/>
        </w:rPr>
      </w:pPr>
      <w:r>
        <w:rPr>
          <w:w w:val="105"/>
          <w:sz w:val="17"/>
        </w:rPr>
        <w:t>pa.id-up insura.nce, 142, 143 Notation</w:t>
      </w:r>
    </w:p>
    <w:p>
      <w:pPr>
        <w:spacing w:before="0"/>
        <w:ind w:left="308" w:right="50" w:firstLine="0"/>
        <w:jc w:val="left"/>
        <w:rPr>
          <w:sz w:val="17"/>
        </w:rPr>
      </w:pPr>
      <w:r>
        <w:rPr>
          <w:w w:val="105"/>
          <w:sz w:val="17"/>
        </w:rPr>
        <w:t>accidental dea.th benefit, 285, 286</w:t>
      </w:r>
    </w:p>
    <w:p>
      <w:pPr>
        <w:spacing w:before="2"/>
        <w:ind w:left="305" w:right="50" w:firstLine="0"/>
        <w:jc w:val="left"/>
        <w:rPr>
          <w:sz w:val="17"/>
        </w:rPr>
      </w:pPr>
      <w:r>
        <w:rPr>
          <w:w w:val="110"/>
          <w:sz w:val="17"/>
        </w:rPr>
        <w:t>annuities, 58, 59</w:t>
      </w:r>
    </w:p>
    <w:p>
      <w:pPr>
        <w:spacing w:line="247" w:lineRule="auto" w:before="6"/>
        <w:ind w:left="470" w:right="50" w:hanging="162"/>
        <w:jc w:val="left"/>
        <w:rPr>
          <w:sz w:val="16"/>
        </w:rPr>
      </w:pPr>
      <w:r>
        <w:rPr>
          <w:w w:val="105"/>
          <w:sz w:val="17"/>
        </w:rPr>
        <w:t>combined disability and mor­ ta.lity, 295--298, </w:t>
      </w:r>
      <w:r>
        <w:rPr>
          <w:w w:val="105"/>
          <w:sz w:val="16"/>
        </w:rPr>
        <w:t>300, 301</w:t>
      </w:r>
    </w:p>
    <w:p>
      <w:pPr>
        <w:spacing w:line="242" w:lineRule="auto" w:before="0"/>
        <w:ind w:left="470" w:right="50" w:hanging="162"/>
        <w:jc w:val="left"/>
        <w:rPr>
          <w:sz w:val="16"/>
        </w:rPr>
      </w:pPr>
      <w:r>
        <w:rPr>
          <w:w w:val="105"/>
          <w:sz w:val="17"/>
        </w:rPr>
        <w:t>combined ma.rriage and mor­ ta.lity, </w:t>
      </w:r>
      <w:r>
        <w:rPr>
          <w:w w:val="105"/>
          <w:sz w:val="16"/>
        </w:rPr>
        <w:t>298-302</w:t>
      </w:r>
    </w:p>
    <w:p>
      <w:pPr>
        <w:spacing w:before="4"/>
        <w:ind w:left="308" w:right="50" w:firstLine="0"/>
        <w:jc w:val="left"/>
        <w:rPr>
          <w:sz w:val="17"/>
        </w:rPr>
      </w:pPr>
      <w:r>
        <w:rPr>
          <w:w w:val="110"/>
          <w:sz w:val="17"/>
        </w:rPr>
        <w:t>compound contingent functions,</w:t>
      </w:r>
    </w:p>
    <w:p>
      <w:pPr>
        <w:spacing w:before="15"/>
        <w:ind w:left="463" w:right="50" w:firstLine="0"/>
        <w:jc w:val="left"/>
        <w:rPr>
          <w:b/>
          <w:sz w:val="16"/>
        </w:rPr>
      </w:pPr>
      <w:r>
        <w:rPr>
          <w:b/>
          <w:sz w:val="16"/>
        </w:rPr>
        <w:t>251, 252</w:t>
      </w:r>
    </w:p>
    <w:p>
      <w:pPr>
        <w:spacing w:before="4"/>
        <w:ind w:left="305" w:right="50" w:firstLine="0"/>
        <w:jc w:val="left"/>
        <w:rPr>
          <w:sz w:val="16"/>
        </w:rPr>
      </w:pPr>
      <w:r>
        <w:rPr>
          <w:w w:val="105"/>
          <w:sz w:val="17"/>
        </w:rPr>
        <w:t>contingen t  f unctions, </w:t>
      </w:r>
      <w:r>
        <w:rPr>
          <w:w w:val="105"/>
          <w:sz w:val="16"/>
        </w:rPr>
        <w:t>240</w:t>
      </w:r>
    </w:p>
    <w:p>
      <w:pPr>
        <w:spacing w:before="6"/>
        <w:ind w:left="305" w:right="50" w:firstLine="0"/>
        <w:jc w:val="left"/>
        <w:rPr>
          <w:sz w:val="16"/>
        </w:rPr>
      </w:pPr>
      <w:r>
        <w:rPr>
          <w:w w:val="110"/>
          <w:sz w:val="17"/>
        </w:rPr>
        <w:t>disability benefits, </w:t>
      </w:r>
      <w:r>
        <w:rPr>
          <w:w w:val="110"/>
          <w:sz w:val="16"/>
        </w:rPr>
        <w:t>319-322</w:t>
      </w:r>
    </w:p>
    <w:p>
      <w:pPr>
        <w:spacing w:before="6"/>
        <w:ind w:left="308" w:right="50" w:firstLine="0"/>
        <w:jc w:val="left"/>
        <w:rPr>
          <w:sz w:val="16"/>
        </w:rPr>
      </w:pPr>
      <w:r>
        <w:rPr>
          <w:w w:val="105"/>
          <w:sz w:val="17"/>
        </w:rPr>
        <w:t>insurances, </w:t>
      </w:r>
      <w:r>
        <w:rPr>
          <w:w w:val="105"/>
          <w:sz w:val="16"/>
        </w:rPr>
        <w:t>75--76</w:t>
      </w:r>
    </w:p>
    <w:p>
      <w:pPr>
        <w:spacing w:line="244" w:lineRule="auto" w:before="2"/>
        <w:ind w:left="294" w:right="503" w:firstLine="3"/>
        <w:jc w:val="left"/>
        <w:rPr>
          <w:sz w:val="16"/>
        </w:rPr>
      </w:pPr>
      <w:r>
        <w:rPr>
          <w:sz w:val="17"/>
        </w:rPr>
        <w:t>joint-life f unctÍons, 203 last-survivor f unctions, </w:t>
      </w:r>
      <w:r>
        <w:rPr>
          <w:sz w:val="16"/>
        </w:rPr>
        <w:t>221 </w:t>
      </w:r>
      <w:r>
        <w:rPr>
          <w:sz w:val="17"/>
        </w:rPr>
        <w:t>mortality   f unctions,   </w:t>
      </w:r>
      <w:r>
        <w:rPr>
          <w:sz w:val="16"/>
        </w:rPr>
        <w:t>29,  30</w:t>
      </w:r>
    </w:p>
    <w:p>
      <w:pPr>
        <w:tabs>
          <w:tab w:pos="1989" w:val="left" w:leader="none"/>
        </w:tabs>
        <w:spacing w:line="252" w:lineRule="auto" w:before="2"/>
        <w:ind w:left="452" w:right="146" w:hanging="159"/>
        <w:jc w:val="left"/>
        <w:rPr>
          <w:sz w:val="17"/>
        </w:rPr>
      </w:pPr>
      <w:r>
        <w:rPr>
          <w:w w:val="105"/>
          <w:sz w:val="17"/>
        </w:rPr>
        <w:t>multiple-decrement</w:t>
        <w:tab/>
        <w:t>functions, 286</w:t>
      </w:r>
    </w:p>
    <w:p>
      <w:pPr>
        <w:spacing w:line="185" w:lineRule="exact" w:before="0"/>
        <w:ind w:left="294" w:right="50" w:firstLine="0"/>
        <w:jc w:val="left"/>
        <w:rPr>
          <w:sz w:val="16"/>
        </w:rPr>
      </w:pPr>
      <w:r>
        <w:rPr>
          <w:w w:val="105"/>
          <w:sz w:val="17"/>
        </w:rPr>
        <w:t>net  annua.l  premiums, </w:t>
      </w:r>
      <w:r>
        <w:rPr>
          <w:w w:val="105"/>
          <w:sz w:val="16"/>
        </w:rPr>
        <w:t>92</w:t>
      </w:r>
    </w:p>
    <w:p>
      <w:pPr>
        <w:spacing w:before="6"/>
        <w:ind w:left="294" w:right="50" w:firstLine="0"/>
        <w:jc w:val="left"/>
        <w:rPr>
          <w:sz w:val="17"/>
        </w:rPr>
      </w:pPr>
      <w:r>
        <w:rPr>
          <w:w w:val="105"/>
          <w:sz w:val="17"/>
        </w:rPr>
        <w:t>pension  plans,  </w:t>
      </w:r>
      <w:r>
        <w:rPr>
          <w:w w:val="105"/>
          <w:sz w:val="16"/>
        </w:rPr>
        <w:t>308, </w:t>
      </w:r>
      <w:r>
        <w:rPr>
          <w:w w:val="105"/>
          <w:sz w:val="17"/>
        </w:rPr>
        <w:t>309</w:t>
      </w:r>
    </w:p>
    <w:p>
      <w:pPr>
        <w:spacing w:before="6"/>
        <w:ind w:left="294" w:right="50" w:firstLine="0"/>
        <w:jc w:val="left"/>
        <w:rPr>
          <w:sz w:val="16"/>
        </w:rPr>
      </w:pPr>
      <w:r>
        <w:rPr>
          <w:w w:val="110"/>
          <w:sz w:val="17"/>
        </w:rPr>
        <w:t>probabilities,  </w:t>
      </w:r>
      <w:r>
        <w:rPr>
          <w:w w:val="110"/>
          <w:sz w:val="16"/>
        </w:rPr>
        <w:t>29, 30</w:t>
      </w:r>
    </w:p>
    <w:p>
      <w:pPr>
        <w:spacing w:before="6"/>
        <w:ind w:left="290" w:right="50" w:firstLine="0"/>
        <w:jc w:val="left"/>
        <w:rPr>
          <w:sz w:val="17"/>
        </w:rPr>
      </w:pPr>
      <w:r>
        <w:rPr>
          <w:w w:val="105"/>
          <w:sz w:val="17"/>
        </w:rPr>
        <w:t>reserves,  </w:t>
      </w:r>
      <w:r>
        <w:rPr>
          <w:w w:val="105"/>
          <w:sz w:val="16"/>
        </w:rPr>
        <w:t>124, </w:t>
      </w:r>
      <w:r>
        <w:rPr>
          <w:w w:val="105"/>
          <w:sz w:val="17"/>
        </w:rPr>
        <w:t>125</w:t>
      </w:r>
    </w:p>
    <w:p>
      <w:pPr>
        <w:spacing w:before="2"/>
        <w:ind w:left="290" w:right="50" w:firstLine="0"/>
        <w:jc w:val="left"/>
        <w:rPr>
          <w:sz w:val="17"/>
        </w:rPr>
      </w:pPr>
      <w:r>
        <w:rPr>
          <w:w w:val="105"/>
          <w:sz w:val="17"/>
        </w:rPr>
        <w:t>reversionary   annuities,  264</w:t>
      </w:r>
    </w:p>
    <w:p>
      <w:pPr>
        <w:spacing w:before="2"/>
        <w:ind w:left="283" w:right="50" w:firstLine="0"/>
        <w:jc w:val="left"/>
        <w:rPr>
          <w:sz w:val="16"/>
        </w:rPr>
      </w:pPr>
      <w:r>
        <w:rPr>
          <w:w w:val="105"/>
          <w:sz w:val="17"/>
        </w:rPr>
        <w:t>sala.ry sea.le functions,  </w:t>
      </w:r>
      <w:r>
        <w:rPr>
          <w:w w:val="105"/>
          <w:sz w:val="16"/>
        </w:rPr>
        <w:t>310, 311</w:t>
      </w:r>
    </w:p>
    <w:p>
      <w:pPr>
        <w:spacing w:before="117"/>
        <w:ind w:left="135" w:right="50" w:firstLine="0"/>
        <w:jc w:val="left"/>
        <w:rPr>
          <w:sz w:val="17"/>
        </w:rPr>
      </w:pPr>
      <w:r>
        <w:rPr>
          <w:w w:val="110"/>
          <w:sz w:val="17"/>
        </w:rPr>
        <w:t>Paid-up insurance, 142, 143</w:t>
      </w:r>
    </w:p>
    <w:p>
      <w:pPr>
        <w:spacing w:before="2"/>
        <w:ind w:left="125" w:right="50" w:firstLine="0"/>
        <w:jc w:val="left"/>
        <w:rPr>
          <w:sz w:val="16"/>
        </w:rPr>
      </w:pPr>
      <w:r>
        <w:rPr>
          <w:w w:val="110"/>
          <w:sz w:val="17"/>
        </w:rPr>
        <w:t>Pension plans, </w:t>
      </w:r>
      <w:r>
        <w:rPr>
          <w:w w:val="110"/>
          <w:sz w:val="16"/>
        </w:rPr>
        <w:t>308-319</w:t>
      </w:r>
    </w:p>
    <w:p>
      <w:pPr>
        <w:spacing w:before="6"/>
        <w:ind w:left="283" w:right="50" w:firstLine="0"/>
        <w:jc w:val="left"/>
        <w:rPr>
          <w:sz w:val="16"/>
        </w:rPr>
      </w:pPr>
      <w:r>
        <w:rPr>
          <w:w w:val="105"/>
          <w:sz w:val="17"/>
        </w:rPr>
        <w:t>benefits  ha.sed  on salary, </w:t>
      </w:r>
      <w:r>
        <w:rPr>
          <w:w w:val="105"/>
          <w:sz w:val="16"/>
        </w:rPr>
        <w:t>310-316</w:t>
      </w:r>
    </w:p>
    <w:p>
      <w:pPr>
        <w:spacing w:before="2"/>
        <w:ind w:left="276" w:right="50" w:firstLine="0"/>
        <w:jc w:val="left"/>
        <w:rPr>
          <w:sz w:val="16"/>
        </w:rPr>
      </w:pPr>
      <w:r>
        <w:rPr>
          <w:w w:val="105"/>
          <w:sz w:val="17"/>
        </w:rPr>
        <w:t>general  model, </w:t>
      </w:r>
      <w:r>
        <w:rPr>
          <w:w w:val="105"/>
          <w:sz w:val="16"/>
        </w:rPr>
        <w:t>308-310</w:t>
      </w:r>
    </w:p>
    <w:p>
      <w:pPr>
        <w:spacing w:before="2"/>
        <w:ind w:left="280" w:right="50" w:firstLine="0"/>
        <w:jc w:val="left"/>
        <w:rPr>
          <w:sz w:val="17"/>
        </w:rPr>
      </w:pPr>
      <w:r>
        <w:rPr>
          <w:w w:val="110"/>
          <w:sz w:val="17"/>
        </w:rPr>
        <w:t>partici pan ts' contributions, 316-</w:t>
      </w:r>
    </w:p>
    <w:p>
      <w:pPr>
        <w:spacing w:before="15"/>
        <w:ind w:left="431" w:right="50" w:firstLine="0"/>
        <w:jc w:val="left"/>
        <w:rPr>
          <w:sz w:val="16"/>
        </w:rPr>
      </w:pPr>
      <w:r>
        <w:rPr>
          <w:sz w:val="16"/>
        </w:rPr>
        <w:t>319</w:t>
      </w:r>
    </w:p>
    <w:p>
      <w:pPr>
        <w:spacing w:before="1"/>
        <w:ind w:left="121" w:right="50" w:firstLine="0"/>
        <w:jc w:val="left"/>
        <w:rPr>
          <w:sz w:val="16"/>
        </w:rPr>
      </w:pPr>
      <w:r>
        <w:rPr>
          <w:w w:val="110"/>
          <w:sz w:val="17"/>
        </w:rPr>
        <w:t>Popula.tion, sta.tionary, </w:t>
      </w:r>
      <w:r>
        <w:rPr>
          <w:w w:val="110"/>
          <w:sz w:val="16"/>
        </w:rPr>
        <w:t>176-185</w:t>
      </w:r>
    </w:p>
    <w:p>
      <w:pPr>
        <w:spacing w:before="6"/>
        <w:ind w:left="118" w:right="50" w:firstLine="0"/>
        <w:jc w:val="left"/>
        <w:rPr>
          <w:sz w:val="17"/>
        </w:rPr>
      </w:pPr>
      <w:r>
        <w:rPr>
          <w:w w:val="105"/>
          <w:sz w:val="17"/>
        </w:rPr>
        <w:t>Prelimina.ry   term   valuation,  135-</w:t>
      </w:r>
    </w:p>
    <w:p>
      <w:pPr>
        <w:spacing w:line="188" w:lineRule="exact" w:before="25"/>
        <w:ind w:left="434" w:right="0" w:firstLine="0"/>
        <w:jc w:val="left"/>
        <w:rPr>
          <w:rFonts w:ascii="Courier New"/>
          <w:sz w:val="18"/>
        </w:rPr>
      </w:pPr>
      <w:r>
        <w:rPr>
          <w:rFonts w:ascii="Courier New"/>
          <w:w w:val="251"/>
          <w:sz w:val="18"/>
        </w:rPr>
        <w:t>1</w:t>
      </w:r>
    </w:p>
    <w:p>
      <w:pPr>
        <w:spacing w:line="179" w:lineRule="exact" w:before="0"/>
        <w:ind w:left="118" w:right="50" w:firstLine="0"/>
        <w:jc w:val="left"/>
        <w:rPr>
          <w:sz w:val="17"/>
        </w:rPr>
      </w:pPr>
      <w:r>
        <w:rPr>
          <w:w w:val="105"/>
          <w:sz w:val="17"/>
        </w:rPr>
        <w:t>Premium</w:t>
      </w:r>
    </w:p>
    <w:p>
      <w:pPr>
        <w:spacing w:before="6"/>
        <w:ind w:left="272" w:right="50" w:firstLine="0"/>
        <w:jc w:val="left"/>
        <w:rPr>
          <w:sz w:val="16"/>
        </w:rPr>
      </w:pPr>
      <w:r>
        <w:rPr>
          <w:w w:val="115"/>
          <w:sz w:val="17"/>
        </w:rPr>
        <w:t>adjusted, </w:t>
      </w:r>
      <w:r>
        <w:rPr>
          <w:w w:val="115"/>
          <w:sz w:val="16"/>
        </w:rPr>
        <w:t>139-142</w:t>
      </w:r>
    </w:p>
    <w:p>
      <w:pPr>
        <w:spacing w:before="2"/>
        <w:ind w:left="272" w:right="50" w:firstLine="0"/>
        <w:jc w:val="left"/>
        <w:rPr>
          <w:sz w:val="16"/>
        </w:rPr>
      </w:pPr>
      <w:r>
        <w:rPr>
          <w:w w:val="115"/>
          <w:sz w:val="17"/>
        </w:rPr>
        <w:t>apportionable, </w:t>
      </w:r>
      <w:r>
        <w:rPr>
          <w:w w:val="115"/>
          <w:sz w:val="16"/>
        </w:rPr>
        <w:t>88-90</w:t>
      </w:r>
    </w:p>
    <w:p>
      <w:pPr>
        <w:spacing w:after="0"/>
        <w:jc w:val="left"/>
        <w:rPr>
          <w:sz w:val="16"/>
        </w:rPr>
        <w:sectPr>
          <w:type w:val="continuous"/>
          <w:pgSz w:w="7200" w:h="11340"/>
          <w:pgMar w:top="1100" w:bottom="0" w:left="620" w:right="540"/>
          <w:cols w:num="2" w:equalWidth="0">
            <w:col w:w="2813" w:space="326"/>
            <w:col w:w="2901"/>
          </w:cols>
        </w:sectPr>
      </w:pPr>
    </w:p>
    <w:p>
      <w:pPr>
        <w:tabs>
          <w:tab w:pos="2733" w:val="left" w:leader="none"/>
        </w:tabs>
        <w:spacing w:before="53"/>
        <w:ind w:left="134" w:right="19" w:firstLine="0"/>
        <w:jc w:val="left"/>
        <w:rPr>
          <w:b/>
          <w:sz w:val="15"/>
        </w:rPr>
      </w:pPr>
      <w:r>
        <w:rPr>
          <w:rFonts w:ascii="Arial"/>
          <w:color w:val="030303"/>
          <w:w w:val="105"/>
          <w:sz w:val="18"/>
        </w:rPr>
        <w:t>390</w:t>
        <w:tab/>
      </w:r>
      <w:r>
        <w:rPr>
          <w:b/>
          <w:color w:val="030303"/>
          <w:w w:val="105"/>
          <w:sz w:val="15"/>
        </w:rPr>
        <w:t>INDEX</w:t>
      </w:r>
    </w:p>
    <w:p>
      <w:pPr>
        <w:pStyle w:val="BodyText"/>
        <w:spacing w:before="7"/>
        <w:rPr>
          <w:b/>
          <w:sz w:val="11"/>
        </w:rPr>
      </w:pPr>
    </w:p>
    <w:p>
      <w:pPr>
        <w:spacing w:after="0"/>
        <w:rPr>
          <w:sz w:val="11"/>
        </w:rPr>
        <w:sectPr>
          <w:pgSz w:w="7200" w:h="11340"/>
          <w:pgMar w:top="540" w:bottom="280" w:left="680" w:right="580"/>
        </w:sectPr>
      </w:pPr>
    </w:p>
    <w:p>
      <w:pPr>
        <w:spacing w:line="242" w:lineRule="auto" w:before="77"/>
        <w:ind w:left="292" w:right="777" w:hanging="158"/>
        <w:jc w:val="left"/>
        <w:rPr>
          <w:sz w:val="16"/>
        </w:rPr>
      </w:pPr>
      <w:r>
        <w:rPr>
          <w:i/>
          <w:color w:val="030303"/>
          <w:w w:val="105"/>
          <w:sz w:val="18"/>
        </w:rPr>
        <w:t>Premium- Continued </w:t>
      </w:r>
      <w:r>
        <w:rPr>
          <w:color w:val="030303"/>
          <w:w w:val="105"/>
          <w:sz w:val="17"/>
        </w:rPr>
        <w:t>con t inuons, </w:t>
      </w:r>
      <w:r>
        <w:rPr>
          <w:color w:val="030303"/>
          <w:w w:val="105"/>
          <w:sz w:val="16"/>
        </w:rPr>
        <w:t>87 </w:t>
      </w:r>
      <w:r>
        <w:rPr>
          <w:color w:val="030303"/>
          <w:w w:val="105"/>
          <w:sz w:val="17"/>
        </w:rPr>
        <w:t>fractional,  </w:t>
      </w:r>
      <w:r>
        <w:rPr>
          <w:color w:val="030303"/>
          <w:w w:val="105"/>
          <w:sz w:val="16"/>
        </w:rPr>
        <w:t>83-90</w:t>
      </w:r>
    </w:p>
    <w:p>
      <w:pPr>
        <w:spacing w:before="0"/>
        <w:ind w:left="285" w:right="777" w:firstLine="0"/>
        <w:jc w:val="left"/>
        <w:rPr>
          <w:sz w:val="16"/>
        </w:rPr>
      </w:pPr>
      <w:r>
        <w:rPr>
          <w:color w:val="030303"/>
          <w:w w:val="110"/>
          <w:sz w:val="17"/>
        </w:rPr>
        <w:t>gross, </w:t>
      </w:r>
      <w:r>
        <w:rPr>
          <w:color w:val="030303"/>
          <w:w w:val="110"/>
          <w:sz w:val="16"/>
        </w:rPr>
        <w:t>133</w:t>
      </w:r>
    </w:p>
    <w:p>
      <w:pPr>
        <w:spacing w:before="2"/>
        <w:ind w:left="289" w:right="777" w:firstLine="0"/>
        <w:jc w:val="left"/>
        <w:rPr>
          <w:sz w:val="17"/>
        </w:rPr>
      </w:pPr>
      <w:r>
        <w:rPr>
          <w:color w:val="030303"/>
          <w:w w:val="110"/>
          <w:sz w:val="17"/>
        </w:rPr>
        <w:t>instalment, 88</w:t>
      </w:r>
    </w:p>
    <w:p>
      <w:pPr>
        <w:spacing w:before="2"/>
        <w:ind w:left="285" w:right="777" w:firstLine="0"/>
        <w:jc w:val="left"/>
        <w:rPr>
          <w:sz w:val="16"/>
        </w:rPr>
      </w:pPr>
      <w:r>
        <w:rPr>
          <w:color w:val="030303"/>
          <w:w w:val="110"/>
          <w:sz w:val="17"/>
        </w:rPr>
        <w:t>net  annual, </w:t>
      </w:r>
      <w:r>
        <w:rPr>
          <w:color w:val="030303"/>
          <w:w w:val="110"/>
          <w:sz w:val="16"/>
        </w:rPr>
        <w:t>81-93</w:t>
      </w:r>
    </w:p>
    <w:p>
      <w:pPr>
        <w:spacing w:before="2"/>
        <w:ind w:left="281" w:right="777" w:firstLine="0"/>
        <w:jc w:val="left"/>
        <w:rPr>
          <w:sz w:val="17"/>
        </w:rPr>
      </w:pPr>
      <w:r>
        <w:rPr>
          <w:color w:val="030303"/>
          <w:w w:val="110"/>
          <w:sz w:val="17"/>
        </w:rPr>
        <w:t>net single, 38, 65</w:t>
      </w:r>
    </w:p>
    <w:p>
      <w:pPr>
        <w:spacing w:before="6"/>
        <w:ind w:left="271" w:right="0" w:firstLine="0"/>
        <w:jc w:val="left"/>
        <w:rPr>
          <w:sz w:val="16"/>
        </w:rPr>
      </w:pPr>
      <w:r>
        <w:rPr>
          <w:color w:val="030303"/>
          <w:w w:val="110"/>
          <w:sz w:val="17"/>
        </w:rPr>
        <w:t>payable  </w:t>
      </w:r>
      <w:r>
        <w:rPr>
          <w:rFonts w:ascii="Arial"/>
          <w:i/>
          <w:color w:val="030303"/>
          <w:w w:val="110"/>
          <w:sz w:val="14"/>
        </w:rPr>
        <w:t>m  </w:t>
      </w:r>
      <w:r>
        <w:rPr>
          <w:color w:val="030303"/>
          <w:w w:val="110"/>
          <w:sz w:val="17"/>
        </w:rPr>
        <w:t>times a year, </w:t>
      </w:r>
      <w:r>
        <w:rPr>
          <w:color w:val="030303"/>
          <w:w w:val="110"/>
          <w:sz w:val="16"/>
        </w:rPr>
        <w:t>83-90</w:t>
      </w:r>
    </w:p>
    <w:p>
      <w:pPr>
        <w:spacing w:line="247" w:lineRule="auto" w:before="2"/>
        <w:ind w:left="120" w:right="799" w:firstLine="165"/>
        <w:jc w:val="both"/>
        <w:rPr>
          <w:sz w:val="17"/>
        </w:rPr>
      </w:pPr>
      <w:r>
        <w:rPr>
          <w:color w:val="030303"/>
          <w:w w:val="105"/>
          <w:sz w:val="17"/>
        </w:rPr>
        <w:t>true fractional, </w:t>
      </w:r>
      <w:r>
        <w:rPr>
          <w:color w:val="030303"/>
          <w:w w:val="105"/>
          <w:sz w:val="16"/>
        </w:rPr>
        <w:t>83-87 </w:t>
      </w:r>
      <w:r>
        <w:rPr>
          <w:color w:val="030303"/>
          <w:w w:val="105"/>
          <w:sz w:val="17"/>
        </w:rPr>
        <w:t>Primary decremen t, </w:t>
      </w:r>
      <w:r>
        <w:rPr>
          <w:b/>
          <w:color w:val="030303"/>
          <w:w w:val="105"/>
          <w:sz w:val="17"/>
        </w:rPr>
        <w:t>291 </w:t>
      </w:r>
      <w:r>
        <w:rPr>
          <w:color w:val="030303"/>
          <w:w w:val="105"/>
          <w:sz w:val="17"/>
        </w:rPr>
        <w:t>Probn.bility</w:t>
      </w:r>
    </w:p>
    <w:p>
      <w:pPr>
        <w:spacing w:line="189" w:lineRule="exact" w:before="0"/>
        <w:ind w:left="281" w:right="0" w:firstLine="0"/>
        <w:jc w:val="left"/>
        <w:rPr>
          <w:sz w:val="16"/>
        </w:rPr>
      </w:pPr>
      <w:r>
        <w:rPr>
          <w:color w:val="030303"/>
          <w:w w:val="105"/>
          <w:sz w:val="17"/>
        </w:rPr>
        <w:t>compound  con tingent, </w:t>
      </w:r>
      <w:r>
        <w:rPr>
          <w:color w:val="030303"/>
          <w:w w:val="105"/>
          <w:sz w:val="16"/>
        </w:rPr>
        <w:t>246-251</w:t>
      </w:r>
    </w:p>
    <w:p>
      <w:pPr>
        <w:spacing w:before="6"/>
        <w:ind w:left="278" w:right="777" w:firstLine="0"/>
        <w:jc w:val="left"/>
        <w:rPr>
          <w:sz w:val="16"/>
        </w:rPr>
      </w:pPr>
      <w:r>
        <w:rPr>
          <w:color w:val="030303"/>
          <w:w w:val="110"/>
          <w:sz w:val="17"/>
        </w:rPr>
        <w:t>contingent, </w:t>
      </w:r>
      <w:r>
        <w:rPr>
          <w:color w:val="030303"/>
          <w:w w:val="110"/>
          <w:sz w:val="16"/>
        </w:rPr>
        <w:t>225-232</w:t>
      </w:r>
    </w:p>
    <w:p>
      <w:pPr>
        <w:spacing w:before="2"/>
        <w:ind w:left="263" w:right="777" w:firstLine="0"/>
        <w:jc w:val="left"/>
        <w:rPr>
          <w:sz w:val="16"/>
        </w:rPr>
      </w:pPr>
      <w:r>
        <w:rPr>
          <w:color w:val="030303"/>
          <w:w w:val="115"/>
          <w:sz w:val="17"/>
        </w:rPr>
        <w:t>joint-life, </w:t>
      </w:r>
      <w:r>
        <w:rPr>
          <w:color w:val="030303"/>
          <w:w w:val="115"/>
          <w:sz w:val="16"/>
        </w:rPr>
        <w:t>191-193</w:t>
      </w:r>
    </w:p>
    <w:p>
      <w:pPr>
        <w:spacing w:before="6"/>
        <w:ind w:left="267" w:right="777" w:firstLine="0"/>
        <w:jc w:val="left"/>
        <w:rPr>
          <w:sz w:val="16"/>
        </w:rPr>
      </w:pPr>
      <w:r>
        <w:rPr>
          <w:color w:val="030303"/>
          <w:w w:val="110"/>
          <w:sz w:val="17"/>
        </w:rPr>
        <w:t>last-survivor, </w:t>
      </w:r>
      <w:r>
        <w:rPr>
          <w:color w:val="030303"/>
          <w:w w:val="110"/>
          <w:sz w:val="16"/>
        </w:rPr>
        <w:t>210-212</w:t>
      </w:r>
    </w:p>
    <w:p>
      <w:pPr>
        <w:spacing w:before="2"/>
        <w:ind w:left="267" w:right="777" w:firstLine="0"/>
        <w:jc w:val="left"/>
        <w:rPr>
          <w:sz w:val="16"/>
        </w:rPr>
      </w:pPr>
      <w:r>
        <w:rPr>
          <w:color w:val="030303"/>
          <w:sz w:val="17"/>
        </w:rPr>
        <w:t>t&gt;f  decrement , </w:t>
      </w:r>
      <w:r>
        <w:rPr>
          <w:color w:val="030303"/>
          <w:sz w:val="16"/>
        </w:rPr>
        <w:t>271-273</w:t>
      </w:r>
    </w:p>
    <w:p>
      <w:pPr>
        <w:spacing w:before="6"/>
        <w:ind w:left="256" w:right="0" w:firstLine="0"/>
        <w:jc w:val="left"/>
        <w:rPr>
          <w:sz w:val="16"/>
        </w:rPr>
      </w:pPr>
      <w:r>
        <w:rPr>
          <w:color w:val="030303"/>
          <w:w w:val="110"/>
          <w:sz w:val="17"/>
        </w:rPr>
        <w:t>single-life, </w:t>
      </w:r>
      <w:r>
        <w:rPr>
          <w:color w:val="030303"/>
          <w:w w:val="110"/>
          <w:sz w:val="16"/>
        </w:rPr>
        <w:t>3-7, 9-12,  14, 15, </w:t>
      </w:r>
      <w:r>
        <w:rPr>
          <w:color w:val="181818"/>
          <w:w w:val="110"/>
          <w:sz w:val="16"/>
        </w:rPr>
        <w:t>·18-</w:t>
      </w:r>
    </w:p>
    <w:p>
      <w:pPr>
        <w:spacing w:before="18"/>
        <w:ind w:left="265" w:right="1721" w:firstLine="0"/>
        <w:jc w:val="center"/>
        <w:rPr>
          <w:sz w:val="16"/>
        </w:rPr>
      </w:pPr>
      <w:r>
        <w:rPr>
          <w:color w:val="030303"/>
          <w:sz w:val="16"/>
        </w:rPr>
        <w:t>20. 27</w:t>
      </w:r>
    </w:p>
    <w:p>
      <w:pPr>
        <w:spacing w:before="1"/>
        <w:ind w:left="109" w:right="0" w:firstLine="0"/>
        <w:jc w:val="left"/>
        <w:rPr>
          <w:sz w:val="16"/>
        </w:rPr>
      </w:pPr>
      <w:r>
        <w:rPr>
          <w:color w:val="030303"/>
          <w:w w:val="105"/>
          <w:sz w:val="17"/>
        </w:rPr>
        <w:t>Prospect </w:t>
      </w:r>
      <w:r>
        <w:rPr>
          <w:color w:val="030303"/>
          <w:sz w:val="17"/>
        </w:rPr>
        <w:t>i </w:t>
      </w:r>
      <w:r>
        <w:rPr>
          <w:color w:val="030303"/>
          <w:w w:val="105"/>
          <w:sz w:val="17"/>
        </w:rPr>
        <w:t>ve  reserve   formulas, </w:t>
      </w:r>
      <w:r>
        <w:rPr>
          <w:color w:val="030303"/>
          <w:w w:val="105"/>
          <w:sz w:val="16"/>
        </w:rPr>
        <w:t>97,</w:t>
      </w:r>
    </w:p>
    <w:p>
      <w:pPr>
        <w:spacing w:line="189" w:lineRule="exact" w:before="36"/>
        <w:ind w:left="418" w:right="777" w:firstLine="0"/>
        <w:jc w:val="left"/>
        <w:rPr>
          <w:sz w:val="18"/>
        </w:rPr>
      </w:pPr>
      <w:r>
        <w:rPr>
          <w:color w:val="030303"/>
          <w:sz w:val="18"/>
        </w:rPr>
        <w:t>98t</w:t>
      </w:r>
      <w:r>
        <w:rPr>
          <w:color w:val="3F3F3F"/>
          <w:sz w:val="18"/>
        </w:rPr>
        <w:t>.</w:t>
      </w:r>
    </w:p>
    <w:p>
      <w:pPr>
        <w:spacing w:line="178" w:lineRule="exact" w:before="0"/>
        <w:ind w:left="113" w:right="0" w:firstLine="0"/>
        <w:jc w:val="left"/>
        <w:rPr>
          <w:sz w:val="16"/>
        </w:rPr>
      </w:pPr>
      <w:r>
        <w:rPr>
          <w:color w:val="030303"/>
          <w:sz w:val="17"/>
        </w:rPr>
        <w:t>Pnre e11dowme11t   </w:t>
      </w:r>
      <w:r>
        <w:rPr>
          <w:color w:val="030303"/>
          <w:sz w:val="16"/>
        </w:rPr>
        <w:t>37-39, 81</w:t>
      </w:r>
    </w:p>
    <w:p>
      <w:pPr>
        <w:pStyle w:val="BodyText"/>
        <w:spacing w:before="4"/>
        <w:rPr>
          <w:sz w:val="17"/>
        </w:rPr>
      </w:pPr>
    </w:p>
    <w:p>
      <w:pPr>
        <w:spacing w:before="0"/>
        <w:ind w:left="106" w:right="777" w:firstLine="0"/>
        <w:jc w:val="left"/>
        <w:rPr>
          <w:rFonts w:ascii="Arial"/>
          <w:sz w:val="16"/>
        </w:rPr>
      </w:pPr>
      <w:r>
        <w:rPr>
          <w:color w:val="030303"/>
          <w:w w:val="105"/>
          <w:sz w:val="17"/>
        </w:rPr>
        <w:t>Radix, </w:t>
      </w:r>
      <w:r>
        <w:rPr>
          <w:rFonts w:ascii="Arial"/>
          <w:color w:val="030303"/>
          <w:w w:val="105"/>
          <w:sz w:val="16"/>
        </w:rPr>
        <w:t>8</w:t>
      </w:r>
    </w:p>
    <w:p>
      <w:pPr>
        <w:tabs>
          <w:tab w:pos="1010" w:val="left" w:leader="none"/>
        </w:tabs>
        <w:spacing w:line="186" w:lineRule="exact" w:before="26"/>
        <w:ind w:left="256" w:right="1494" w:hanging="151"/>
        <w:jc w:val="left"/>
        <w:rPr>
          <w:sz w:val="16"/>
        </w:rPr>
      </w:pPr>
      <w:r>
        <w:rPr>
          <w:color w:val="030303"/>
          <w:sz w:val="17"/>
        </w:rPr>
        <w:t>Rate </w:t>
      </w:r>
      <w:r>
        <w:rPr>
          <w:color w:val="030303"/>
          <w:spacing w:val="2"/>
          <w:sz w:val="17"/>
        </w:rPr>
        <w:t> </w:t>
      </w:r>
      <w:r>
        <w:rPr>
          <w:color w:val="2A2A2A"/>
          <w:sz w:val="17"/>
        </w:rPr>
        <w:t>.</w:t>
        <w:tab/>
      </w:r>
      <w:r>
        <w:rPr>
          <w:color w:val="181818"/>
          <w:sz w:val="17"/>
        </w:rPr>
        <w:t>. </w:t>
      </w:r>
      <w:r>
        <w:rPr>
          <w:color w:val="030303"/>
          <w:sz w:val="17"/>
        </w:rPr>
        <w:t>lbsolute,  </w:t>
      </w:r>
      <w:r>
        <w:rPr>
          <w:color w:val="030303"/>
          <w:spacing w:val="38"/>
          <w:sz w:val="17"/>
        </w:rPr>
        <w:t> </w:t>
      </w:r>
      <w:r>
        <w:rPr>
          <w:color w:val="030303"/>
          <w:sz w:val="16"/>
        </w:rPr>
        <w:t>278</w:t>
      </w:r>
    </w:p>
    <w:p>
      <w:pPr>
        <w:spacing w:before="5"/>
        <w:ind w:left="256" w:right="0" w:firstLine="0"/>
        <w:jc w:val="left"/>
        <w:rPr>
          <w:sz w:val="16"/>
        </w:rPr>
      </w:pPr>
      <w:r>
        <w:rPr>
          <w:color w:val="030303"/>
          <w:w w:val="115"/>
          <w:sz w:val="17"/>
        </w:rPr>
        <w:t>anhual death-rate, </w:t>
      </w:r>
      <w:r>
        <w:rPr>
          <w:color w:val="030303"/>
          <w:w w:val="115"/>
          <w:sz w:val="16"/>
        </w:rPr>
        <w:t>9, 12</w:t>
      </w:r>
    </w:p>
    <w:p>
      <w:pPr>
        <w:spacing w:line="193" w:lineRule="exact" w:before="9"/>
        <w:ind w:left="260" w:right="0" w:firstLine="0"/>
        <w:jc w:val="left"/>
        <w:rPr>
          <w:sz w:val="16"/>
        </w:rPr>
      </w:pPr>
      <w:r>
        <w:rPr>
          <w:color w:val="030303"/>
          <w:sz w:val="17"/>
        </w:rPr>
        <w:t>cen t ral  de.ath:-rate,  172, </w:t>
      </w:r>
      <w:r>
        <w:rPr>
          <w:color w:val="030303"/>
          <w:sz w:val="16"/>
        </w:rPr>
        <w:t>173</w:t>
      </w:r>
    </w:p>
    <w:p>
      <w:pPr>
        <w:pStyle w:val="ListParagraph"/>
        <w:numPr>
          <w:ilvl w:val="1"/>
          <w:numId w:val="161"/>
        </w:numPr>
        <w:tabs>
          <w:tab w:pos="200" w:val="left" w:leader="none"/>
        </w:tabs>
        <w:spacing w:line="193" w:lineRule="exact" w:before="0" w:after="0"/>
        <w:ind w:left="199" w:right="0" w:hanging="83"/>
        <w:jc w:val="left"/>
        <w:rPr>
          <w:color w:val="646464"/>
          <w:sz w:val="17"/>
        </w:rPr>
      </w:pPr>
      <w:r>
        <w:rPr>
          <w:color w:val="030303"/>
          <w:w w:val="105"/>
          <w:sz w:val="17"/>
        </w:rPr>
        <w:t>·cent ral, of decremént ; </w:t>
      </w:r>
      <w:r>
        <w:rPr>
          <w:color w:val="030303"/>
          <w:w w:val="105"/>
          <w:sz w:val="16"/>
        </w:rPr>
        <w:t>273,</w:t>
      </w:r>
      <w:r>
        <w:rPr>
          <w:color w:val="030303"/>
          <w:spacing w:val="8"/>
          <w:w w:val="105"/>
          <w:sz w:val="16"/>
        </w:rPr>
        <w:t> </w:t>
      </w:r>
      <w:r>
        <w:rPr>
          <w:color w:val="030303"/>
          <w:w w:val="105"/>
          <w:sz w:val="16"/>
        </w:rPr>
        <w:t>274</w:t>
      </w:r>
    </w:p>
    <w:p>
      <w:pPr>
        <w:spacing w:before="9"/>
        <w:ind w:left="263" w:right="777" w:firstLine="0"/>
        <w:jc w:val="left"/>
        <w:rPr>
          <w:sz w:val="16"/>
        </w:rPr>
      </w:pPr>
      <w:r>
        <w:rPr>
          <w:color w:val="030303"/>
          <w:sz w:val="17"/>
        </w:rPr>
        <w:t>of  decrement,  </w:t>
      </w:r>
      <w:r>
        <w:rPr>
          <w:color w:val="030303"/>
          <w:sz w:val="16"/>
        </w:rPr>
        <w:t>278</w:t>
      </w:r>
    </w:p>
    <w:p>
      <w:pPr>
        <w:spacing w:before="6"/>
        <w:ind w:left="263" w:right="777" w:firstLine="0"/>
        <w:jc w:val="left"/>
        <w:rPr>
          <w:sz w:val="16"/>
        </w:rPr>
      </w:pPr>
      <w:r>
        <w:rPr>
          <w:color w:val="030303"/>
          <w:w w:val="105"/>
          <w:sz w:val="17"/>
        </w:rPr>
        <w:t>of  mort ality, </w:t>
      </w:r>
      <w:r>
        <w:rPr>
          <w:color w:val="030303"/>
          <w:w w:val="105"/>
          <w:sz w:val="16"/>
        </w:rPr>
        <w:t>9, 12</w:t>
      </w:r>
    </w:p>
    <w:p>
      <w:pPr>
        <w:spacing w:line="195" w:lineRule="exact" w:before="9"/>
        <w:ind w:left="106" w:right="777" w:firstLine="0"/>
        <w:jc w:val="left"/>
        <w:rPr>
          <w:sz w:val="17"/>
        </w:rPr>
      </w:pPr>
      <w:r>
        <w:rPr>
          <w:color w:val="030303"/>
          <w:w w:val="105"/>
          <w:sz w:val="17"/>
        </w:rPr>
        <w:t>Reserve</w:t>
      </w:r>
    </w:p>
    <w:p>
      <w:pPr>
        <w:spacing w:line="195" w:lineRule="exact" w:before="0"/>
        <w:ind w:left="256" w:right="0" w:firstLine="0"/>
        <w:jc w:val="left"/>
        <w:rPr>
          <w:sz w:val="16"/>
        </w:rPr>
      </w:pPr>
      <w:r>
        <w:rPr>
          <w:rFonts w:ascii="Arial"/>
          <w:b/>
          <w:color w:val="030303"/>
          <w:w w:val="105"/>
          <w:sz w:val="15"/>
        </w:rPr>
        <w:t>Jt, </w:t>
      </w:r>
      <w:r>
        <w:rPr>
          <w:color w:val="030303"/>
          <w:w w:val="105"/>
          <w:sz w:val="17"/>
        </w:rPr>
        <w:t>fractiona.l 'dnration, </w:t>
      </w:r>
      <w:r>
        <w:rPr>
          <w:color w:val="030303"/>
          <w:w w:val="105"/>
          <w:sz w:val="16"/>
        </w:rPr>
        <w:t>110-113</w:t>
      </w:r>
    </w:p>
    <w:p>
      <w:pPr>
        <w:spacing w:before="2"/>
        <w:ind w:left="260" w:right="0" w:firstLine="0"/>
        <w:jc w:val="left"/>
        <w:rPr>
          <w:sz w:val="16"/>
        </w:rPr>
      </w:pPr>
      <w:r>
        <w:rPr>
          <w:color w:val="030303"/>
          <w:sz w:val="17"/>
        </w:rPr>
        <w:t>corp.ingen </w:t>
      </w:r>
      <w:r>
        <w:rPr>
          <w:color w:val="030303"/>
          <w:sz w:val="16"/>
        </w:rPr>
        <w:t>t  </w:t>
      </w:r>
      <w:r>
        <w:rPr>
          <w:color w:val="030303"/>
          <w:sz w:val="17"/>
        </w:rPr>
        <w:t>insurance,  </w:t>
      </w:r>
      <w:r>
        <w:rPr>
          <w:color w:val="030303"/>
          <w:sz w:val="16"/>
        </w:rPr>
        <w:t>237,  238</w:t>
      </w:r>
    </w:p>
    <w:p>
      <w:pPr>
        <w:spacing w:before="6"/>
        <w:ind w:left="260" w:right="777" w:firstLine="0"/>
        <w:jc w:val="left"/>
        <w:rPr>
          <w:sz w:val="16"/>
        </w:rPr>
      </w:pPr>
      <w:r>
        <w:rPr>
          <w:color w:val="030303"/>
          <w:sz w:val="17"/>
        </w:rPr>
        <w:t>coiil)1nuous, </w:t>
      </w:r>
      <w:r>
        <w:rPr>
          <w:color w:val="030303"/>
          <w:sz w:val="16"/>
        </w:rPr>
        <w:t>113-115</w:t>
      </w:r>
    </w:p>
    <w:p>
      <w:pPr>
        <w:spacing w:line="184" w:lineRule="auto" w:before="42"/>
        <w:ind w:left="411" w:right="0" w:hanging="151"/>
        <w:jc w:val="left"/>
        <w:rPr>
          <w:sz w:val="17"/>
        </w:rPr>
      </w:pPr>
      <w:r>
        <w:rPr>
          <w:color w:val="030303"/>
          <w:sz w:val="17"/>
        </w:rPr>
        <w:t>con Úrtúous instalmen t poi icy, </w:t>
      </w:r>
      <w:r>
        <w:rPr>
          <w:color w:val="030303"/>
          <w:w w:val="85"/>
          <w:sz w:val="17"/>
        </w:rPr>
        <w:t>262·</w:t>
      </w:r>
      <w:r>
        <w:rPr>
          <w:color w:val="2A2A2A"/>
          <w:w w:val="85"/>
          <w:sz w:val="17"/>
        </w:rPr>
        <w:t>.,</w:t>
      </w:r>
      <w:r>
        <w:rPr>
          <w:color w:val="646464"/>
          <w:w w:val="85"/>
          <w:sz w:val="17"/>
        </w:rPr>
        <w:t>. </w:t>
      </w:r>
      <w:r>
        <w:rPr>
          <w:color w:val="3F3F3F"/>
          <w:w w:val="85"/>
          <w:sz w:val="17"/>
        </w:rPr>
        <w:t>. </w:t>
      </w:r>
      <w:r>
        <w:rPr>
          <w:color w:val="2A2A2A"/>
          <w:w w:val="85"/>
          <w:sz w:val="17"/>
        </w:rPr>
        <w:t>·</w:t>
      </w:r>
    </w:p>
    <w:p>
      <w:pPr>
        <w:spacing w:before="64"/>
        <w:ind w:left="256" w:right="777" w:firstLine="0"/>
        <w:jc w:val="left"/>
        <w:rPr>
          <w:sz w:val="16"/>
        </w:rPr>
      </w:pPr>
      <w:r>
        <w:rPr>
          <w:color w:val="030303"/>
          <w:w w:val="99"/>
          <w:sz w:val="17"/>
        </w:rPr>
        <w:t>disa.biHty</w:t>
      </w:r>
      <w:r>
        <w:rPr>
          <w:color w:val="030303"/>
          <w:spacing w:val="-14"/>
          <w:sz w:val="17"/>
        </w:rPr>
        <w:t> </w:t>
      </w:r>
      <w:r>
        <w:rPr>
          <w:color w:val="2A2A2A"/>
          <w:spacing w:val="-7"/>
          <w:w w:val="30"/>
          <w:sz w:val="17"/>
        </w:rPr>
        <w:t>-</w:t>
      </w:r>
      <w:r>
        <w:rPr>
          <w:color w:val="030303"/>
          <w:w w:val="99"/>
          <w:sz w:val="17"/>
        </w:rPr>
        <w:t>,</w:t>
      </w:r>
      <w:r>
        <w:rPr>
          <w:color w:val="030303"/>
          <w:spacing w:val="5"/>
          <w:sz w:val="17"/>
        </w:rPr>
        <w:t> </w:t>
      </w:r>
      <w:r>
        <w:rPr>
          <w:color w:val="030303"/>
          <w:w w:val="98"/>
          <w:sz w:val="17"/>
        </w:rPr>
        <w:t>324,</w:t>
      </w:r>
      <w:r>
        <w:rPr>
          <w:color w:val="030303"/>
          <w:spacing w:val="17"/>
          <w:sz w:val="17"/>
        </w:rPr>
        <w:t> </w:t>
      </w:r>
      <w:r>
        <w:rPr>
          <w:color w:val="030303"/>
          <w:w w:val="103"/>
          <w:sz w:val="16"/>
        </w:rPr>
        <w:t>325</w:t>
      </w:r>
    </w:p>
    <w:p>
      <w:pPr>
        <w:spacing w:before="2"/>
        <w:ind w:left="260" w:right="0" w:firstLine="0"/>
        <w:jc w:val="left"/>
        <w:rPr>
          <w:sz w:val="17"/>
        </w:rPr>
      </w:pPr>
      <w:r>
        <w:rPr>
          <w:color w:val="030303"/>
          <w:w w:val="110"/>
          <w:sz w:val="17"/>
        </w:rPr>
        <w:t>Fackler  accumulalion   formula,</w:t>
      </w:r>
    </w:p>
    <w:p>
      <w:pPr>
        <w:spacing w:before="18"/>
        <w:ind w:left="419" w:right="1721" w:firstLine="0"/>
        <w:jc w:val="center"/>
        <w:rPr>
          <w:sz w:val="16"/>
        </w:rPr>
      </w:pPr>
      <w:r>
        <w:rPr>
          <w:color w:val="030303"/>
          <w:sz w:val="16"/>
        </w:rPr>
        <w:t>115, 116</w:t>
      </w:r>
    </w:p>
    <w:p>
      <w:pPr>
        <w:spacing w:before="4"/>
        <w:ind w:left="260" w:right="0" w:firstLine="0"/>
        <w:jc w:val="left"/>
        <w:rPr>
          <w:sz w:val="16"/>
        </w:rPr>
      </w:pPr>
      <w:r>
        <w:rPr>
          <w:color w:val="030303"/>
          <w:sz w:val="17"/>
        </w:rPr>
        <w:t>f ull  preliminary   term,  </w:t>
      </w:r>
      <w:r>
        <w:rPr>
          <w:color w:val="030303"/>
          <w:sz w:val="16"/>
        </w:rPr>
        <w:t>135, 136</w:t>
      </w:r>
    </w:p>
    <w:p>
      <w:pPr>
        <w:spacing w:line="188" w:lineRule="exact" w:before="2"/>
        <w:ind w:left="263" w:right="777" w:firstLine="0"/>
        <w:jc w:val="left"/>
        <w:rPr>
          <w:sz w:val="17"/>
        </w:rPr>
      </w:pPr>
      <w:r>
        <w:rPr>
          <w:color w:val="030303"/>
          <w:sz w:val="17"/>
        </w:rPr>
        <w:t>i </w:t>
      </w:r>
      <w:r>
        <w:rPr>
          <w:color w:val="030303"/>
          <w:w w:val="115"/>
          <w:sz w:val="17"/>
        </w:rPr>
        <w:t>nitial,  lU ·</w:t>
      </w:r>
    </w:p>
    <w:p>
      <w:pPr>
        <w:tabs>
          <w:tab w:pos="1268" w:val="left" w:leader="none"/>
        </w:tabs>
        <w:spacing w:line="172" w:lineRule="exact" w:before="13"/>
        <w:ind w:left="263" w:right="1041" w:hanging="4"/>
        <w:jc w:val="left"/>
        <w:rPr>
          <w:sz w:val="15"/>
        </w:rPr>
      </w:pPr>
      <w:r>
        <w:rPr>
          <w:color w:val="030303"/>
          <w:spacing w:val="-3"/>
          <w:w w:val="104"/>
          <w:sz w:val="17"/>
        </w:rPr>
        <w:t>l;_c,t-survH,oi</w:t>
      </w:r>
      <w:r>
        <w:rPr>
          <w:color w:val="030303"/>
          <w:w w:val="104"/>
          <w:sz w:val="17"/>
        </w:rPr>
        <w:t> </w:t>
      </w:r>
      <w:r>
        <w:rPr>
          <w:color w:val="030303"/>
          <w:spacing w:val="-3"/>
          <w:w w:val="309"/>
          <w:sz w:val="17"/>
        </w:rPr>
        <w:t>-</w:t>
      </w:r>
      <w:r>
        <w:rPr>
          <w:color w:val="828282"/>
          <w:spacing w:val="-3"/>
          <w:w w:val="309"/>
          <w:sz w:val="17"/>
        </w:rPr>
        <w:t>.</w:t>
      </w:r>
      <w:r>
        <w:rPr>
          <w:color w:val="828282"/>
          <w:w w:val="309"/>
          <w:sz w:val="17"/>
        </w:rPr>
        <w:t> </w:t>
      </w:r>
      <w:r>
        <w:rPr>
          <w:color w:val="030303"/>
          <w:w w:val="115"/>
          <w:sz w:val="17"/>
        </w:rPr>
        <w:t>mean,</w:t>
      </w:r>
      <w:r>
        <w:rPr>
          <w:color w:val="030303"/>
          <w:spacing w:val="4"/>
          <w:w w:val="115"/>
          <w:sz w:val="17"/>
        </w:rPr>
        <w:t> </w:t>
      </w:r>
      <w:r>
        <w:rPr>
          <w:color w:val="030303"/>
          <w:w w:val="115"/>
          <w:sz w:val="15"/>
        </w:rPr>
        <w:t>110</w:t>
        <w:tab/>
        <w:t>-· </w:t>
      </w:r>
      <w:r>
        <w:rPr>
          <w:color w:val="3F3F3F"/>
          <w:spacing w:val="4"/>
          <w:w w:val="80"/>
          <w:sz w:val="15"/>
        </w:rPr>
        <w:t>·</w:t>
      </w:r>
      <w:r>
        <w:rPr>
          <w:color w:val="646464"/>
          <w:spacing w:val="4"/>
          <w:w w:val="80"/>
          <w:sz w:val="15"/>
        </w:rPr>
        <w:t>· </w:t>
      </w:r>
      <w:r>
        <w:rPr>
          <w:color w:val="2A2A2A"/>
          <w:w w:val="80"/>
          <w:sz w:val="15"/>
        </w:rPr>
        <w:t>·</w:t>
      </w:r>
      <w:r>
        <w:rPr>
          <w:color w:val="2A2A2A"/>
          <w:spacing w:val="-2"/>
          <w:w w:val="80"/>
          <w:sz w:val="15"/>
        </w:rPr>
        <w:t> </w:t>
      </w:r>
      <w:r>
        <w:rPr>
          <w:color w:val="181818"/>
          <w:w w:val="115"/>
          <w:sz w:val="15"/>
        </w:rPr>
        <w:t>·</w:t>
      </w:r>
    </w:p>
    <w:p>
      <w:pPr>
        <w:spacing w:line="155" w:lineRule="exact" w:before="58"/>
        <w:ind w:left="267" w:right="777" w:firstLine="0"/>
        <w:jc w:val="left"/>
        <w:rPr>
          <w:sz w:val="16"/>
        </w:rPr>
      </w:pPr>
      <w:r>
        <w:rPr>
          <w:color w:val="030303"/>
          <w:w w:val="115"/>
          <w:sz w:val="17"/>
        </w:rPr>
        <w:t>modified, </w:t>
      </w:r>
      <w:r>
        <w:rPr>
          <w:color w:val="030303"/>
          <w:w w:val="545"/>
          <w:sz w:val="16"/>
        </w:rPr>
        <w:t>1</w:t>
      </w:r>
      <w:r>
        <w:rPr>
          <w:color w:val="030303"/>
          <w:spacing w:val="-152"/>
          <w:w w:val="545"/>
          <w:sz w:val="16"/>
        </w:rPr>
        <w:t> </w:t>
      </w:r>
      <w:r>
        <w:rPr>
          <w:color w:val="030303"/>
          <w:w w:val="210"/>
          <w:sz w:val="16"/>
        </w:rPr>
        <w:t>-</w:t>
      </w:r>
    </w:p>
    <w:p>
      <w:pPr>
        <w:spacing w:line="270" w:lineRule="exact" w:before="0"/>
        <w:ind w:left="271" w:right="777" w:firstLine="0"/>
        <w:jc w:val="left"/>
        <w:rPr>
          <w:sz w:val="27"/>
        </w:rPr>
      </w:pPr>
      <w:r>
        <w:rPr>
          <w:color w:val="030303"/>
          <w:w w:val="106"/>
          <w:sz w:val="17"/>
        </w:rPr>
        <w:t>negatfve,</w:t>
      </w:r>
      <w:r>
        <w:rPr>
          <w:color w:val="030303"/>
          <w:sz w:val="17"/>
        </w:rPr>
        <w:t> </w:t>
      </w:r>
      <w:r>
        <w:rPr>
          <w:color w:val="030303"/>
          <w:spacing w:val="4"/>
          <w:sz w:val="17"/>
        </w:rPr>
        <w:t> </w:t>
      </w:r>
      <w:r>
        <w:rPr>
          <w:rFonts w:ascii="Arial"/>
          <w:color w:val="030303"/>
          <w:spacing w:val="-46"/>
          <w:w w:val="205"/>
          <w:sz w:val="25"/>
        </w:rPr>
        <w:t>1</w:t>
      </w:r>
      <w:r>
        <w:rPr>
          <w:rFonts w:ascii="Arial"/>
          <w:color w:val="030303"/>
          <w:w w:val="78"/>
          <w:sz w:val="25"/>
        </w:rPr>
        <w:t>;</w:t>
      </w:r>
      <w:r>
        <w:rPr>
          <w:rFonts w:ascii="Arial"/>
          <w:color w:val="030303"/>
          <w:sz w:val="25"/>
        </w:rPr>
        <w:t> </w:t>
      </w:r>
      <w:r>
        <w:rPr>
          <w:rFonts w:ascii="Arial"/>
          <w:color w:val="030303"/>
          <w:spacing w:val="-29"/>
          <w:sz w:val="25"/>
        </w:rPr>
        <w:t> </w:t>
      </w:r>
      <w:r>
        <w:rPr>
          <w:color w:val="030303"/>
          <w:w w:val="57"/>
          <w:sz w:val="27"/>
        </w:rPr>
        <w:t>04'</w:t>
      </w:r>
    </w:p>
    <w:p>
      <w:pPr>
        <w:spacing w:before="86"/>
        <w:ind w:left="317" w:right="110" w:firstLine="0"/>
        <w:jc w:val="left"/>
        <w:rPr>
          <w:sz w:val="16"/>
        </w:rPr>
      </w:pPr>
      <w:r>
        <w:rPr/>
        <w:br w:type="column"/>
      </w:r>
      <w:r>
        <w:rPr>
          <w:color w:val="030303"/>
          <w:w w:val="110"/>
          <w:sz w:val="17"/>
        </w:rPr>
        <w:t>net level, </w:t>
      </w:r>
      <w:r>
        <w:rPr>
          <w:color w:val="030303"/>
          <w:w w:val="110"/>
          <w:sz w:val="16"/>
        </w:rPr>
        <w:t>96-125</w:t>
      </w:r>
    </w:p>
    <w:p>
      <w:pPr>
        <w:tabs>
          <w:tab w:pos="705" w:val="left" w:leader="none"/>
          <w:tab w:pos="1469" w:val="left" w:leader="none"/>
          <w:tab w:pos="2044" w:val="left" w:leader="none"/>
        </w:tabs>
        <w:spacing w:line="242" w:lineRule="auto" w:before="6"/>
        <w:ind w:left="472" w:right="110" w:hanging="155"/>
        <w:jc w:val="left"/>
        <w:rPr>
          <w:sz w:val="16"/>
        </w:rPr>
      </w:pPr>
      <w:r>
        <w:rPr>
          <w:color w:val="030303"/>
          <w:w w:val="110"/>
          <w:sz w:val="17"/>
        </w:rPr>
        <w:t>on</w:t>
        <w:tab/>
        <w:t>policies</w:t>
        <w:tab/>
        <w:t>with</w:t>
        <w:tab/>
        <w:t>fractional premiums,</w:t>
      </w:r>
      <w:r>
        <w:rPr>
          <w:color w:val="030303"/>
          <w:spacing w:val="-13"/>
          <w:w w:val="110"/>
          <w:sz w:val="17"/>
        </w:rPr>
        <w:t> </w:t>
      </w:r>
      <w:r>
        <w:rPr>
          <w:color w:val="030303"/>
          <w:w w:val="110"/>
          <w:sz w:val="16"/>
        </w:rPr>
        <w:t>108-110</w:t>
      </w:r>
    </w:p>
    <w:p>
      <w:pPr>
        <w:spacing w:before="0"/>
        <w:ind w:left="314" w:right="110" w:firstLine="0"/>
        <w:jc w:val="left"/>
        <w:rPr>
          <w:sz w:val="16"/>
        </w:rPr>
      </w:pPr>
      <w:r>
        <w:rPr>
          <w:color w:val="030303"/>
          <w:w w:val="105"/>
          <w:sz w:val="17"/>
        </w:rPr>
        <w:t>prospective  formulas,  </w:t>
      </w:r>
      <w:r>
        <w:rPr>
          <w:color w:val="030303"/>
          <w:w w:val="105"/>
          <w:sz w:val="16"/>
        </w:rPr>
        <w:t>97,  98</w:t>
      </w:r>
    </w:p>
    <w:p>
      <w:pPr>
        <w:spacing w:before="2"/>
        <w:ind w:left="317" w:right="110" w:firstLine="0"/>
        <w:jc w:val="left"/>
        <w:rPr>
          <w:sz w:val="16"/>
        </w:rPr>
      </w:pPr>
      <w:r>
        <w:rPr>
          <w:color w:val="030303"/>
          <w:w w:val="110"/>
          <w:sz w:val="17"/>
        </w:rPr>
        <w:t>retrospective formulas, </w:t>
      </w:r>
      <w:r>
        <w:rPr>
          <w:color w:val="030303"/>
          <w:w w:val="110"/>
          <w:sz w:val="16"/>
        </w:rPr>
        <w:t>98-104</w:t>
      </w:r>
    </w:p>
    <w:p>
      <w:pPr>
        <w:spacing w:line="195" w:lineRule="exact" w:before="6"/>
        <w:ind w:left="310" w:right="110" w:firstLine="0"/>
        <w:jc w:val="left"/>
        <w:rPr>
          <w:sz w:val="17"/>
        </w:rPr>
      </w:pPr>
      <w:r>
        <w:rPr>
          <w:color w:val="030303"/>
          <w:w w:val="105"/>
          <w:sz w:val="17"/>
        </w:rPr>
        <w:t>reversionary   annuity, 260</w:t>
      </w:r>
    </w:p>
    <w:p>
      <w:pPr>
        <w:spacing w:line="195" w:lineRule="exact" w:before="0"/>
        <w:ind w:left="317" w:right="110" w:firstLine="0"/>
        <w:jc w:val="left"/>
        <w:rPr>
          <w:sz w:val="16"/>
        </w:rPr>
      </w:pPr>
      <w:r>
        <w:rPr>
          <w:color w:val="030303"/>
          <w:w w:val="110"/>
          <w:sz w:val="17"/>
        </w:rPr>
        <w:t>terminal, </w:t>
      </w:r>
      <w:r>
        <w:rPr>
          <w:color w:val="030303"/>
          <w:w w:val="110"/>
          <w:sz w:val="16"/>
        </w:rPr>
        <w:t>98</w:t>
      </w:r>
    </w:p>
    <w:p>
      <w:pPr>
        <w:spacing w:before="6"/>
        <w:ind w:left="152" w:right="0" w:firstLine="0"/>
        <w:jc w:val="left"/>
        <w:rPr>
          <w:sz w:val="16"/>
        </w:rPr>
      </w:pPr>
      <w:r>
        <w:rPr>
          <w:color w:val="030303"/>
          <w:w w:val="110"/>
          <w:sz w:val="17"/>
        </w:rPr>
        <w:t>Retirement income policy, </w:t>
      </w:r>
      <w:r>
        <w:rPr>
          <w:color w:val="030303"/>
          <w:w w:val="110"/>
          <w:sz w:val="16"/>
        </w:rPr>
        <w:t>158-160</w:t>
      </w:r>
    </w:p>
    <w:p>
      <w:pPr>
        <w:spacing w:before="2"/>
        <w:ind w:left="152" w:right="110" w:firstLine="0"/>
        <w:jc w:val="left"/>
        <w:rPr>
          <w:sz w:val="17"/>
        </w:rPr>
      </w:pPr>
      <w:r>
        <w:rPr>
          <w:color w:val="030303"/>
          <w:w w:val="110"/>
          <w:sz w:val="17"/>
        </w:rPr>
        <w:t>Retrospective    reserve  formulas,</w:t>
      </w:r>
    </w:p>
    <w:p>
      <w:pPr>
        <w:spacing w:before="8"/>
        <w:ind w:left="326" w:right="1818" w:firstLine="0"/>
        <w:jc w:val="center"/>
        <w:rPr>
          <w:sz w:val="16"/>
        </w:rPr>
      </w:pPr>
      <w:r>
        <w:rPr>
          <w:color w:val="030303"/>
          <w:w w:val="110"/>
          <w:sz w:val="16"/>
        </w:rPr>
        <w:t>98-104</w:t>
      </w:r>
    </w:p>
    <w:p>
      <w:pPr>
        <w:spacing w:before="8"/>
        <w:ind w:left="149" w:right="110" w:firstLine="0"/>
        <w:jc w:val="left"/>
        <w:rPr>
          <w:sz w:val="17"/>
        </w:rPr>
      </w:pPr>
      <w:r>
        <w:rPr>
          <w:color w:val="030303"/>
          <w:w w:val="110"/>
          <w:sz w:val="17"/>
        </w:rPr>
        <w:t>Retrospective   valuation  method,</w:t>
      </w:r>
    </w:p>
    <w:p>
      <w:pPr>
        <w:spacing w:before="11"/>
        <w:ind w:left="424" w:right="1782" w:firstLine="0"/>
        <w:jc w:val="center"/>
        <w:rPr>
          <w:sz w:val="16"/>
        </w:rPr>
      </w:pPr>
      <w:r>
        <w:rPr>
          <w:color w:val="030303"/>
          <w:sz w:val="16"/>
        </w:rPr>
        <w:t>116, 117</w:t>
      </w:r>
    </w:p>
    <w:p>
      <w:pPr>
        <w:spacing w:before="8"/>
        <w:ind w:left="149" w:right="110" w:firstLine="0"/>
        <w:jc w:val="left"/>
        <w:rPr>
          <w:rFonts w:ascii="Arial"/>
          <w:sz w:val="16"/>
        </w:rPr>
      </w:pPr>
      <w:r>
        <w:rPr>
          <w:color w:val="030303"/>
          <w:w w:val="105"/>
          <w:sz w:val="17"/>
        </w:rPr>
        <w:t>Reversionary annuities, </w:t>
      </w:r>
      <w:r>
        <w:rPr>
          <w:rFonts w:ascii="Arial"/>
          <w:color w:val="030303"/>
          <w:w w:val="105"/>
          <w:sz w:val="16"/>
        </w:rPr>
        <w:t>255--265</w:t>
      </w:r>
    </w:p>
    <w:p>
      <w:pPr>
        <w:spacing w:before="124"/>
        <w:ind w:left="141" w:right="110" w:firstLine="0"/>
        <w:jc w:val="left"/>
        <w:rPr>
          <w:sz w:val="16"/>
        </w:rPr>
      </w:pPr>
      <w:r>
        <w:rPr>
          <w:color w:val="030303"/>
          <w:w w:val="105"/>
          <w:sz w:val="17"/>
        </w:rPr>
        <w:t>Salary sea.les, </w:t>
      </w:r>
      <w:r>
        <w:rPr>
          <w:color w:val="030303"/>
          <w:w w:val="105"/>
          <w:sz w:val="16"/>
        </w:rPr>
        <w:t>310-316</w:t>
      </w:r>
    </w:p>
    <w:p>
      <w:pPr>
        <w:spacing w:before="6"/>
        <w:ind w:left="141" w:right="110" w:firstLine="0"/>
        <w:jc w:val="left"/>
        <w:rPr>
          <w:sz w:val="17"/>
        </w:rPr>
      </w:pPr>
      <w:r>
        <w:rPr>
          <w:color w:val="030303"/>
          <w:sz w:val="17"/>
        </w:rPr>
        <w:t>S;,c_ondary  decrement,  291</w:t>
      </w:r>
    </w:p>
    <w:p>
      <w:pPr>
        <w:spacing w:line="244" w:lineRule="auto" w:before="6"/>
        <w:ind w:left="141" w:right="134" w:firstLine="3"/>
        <w:jc w:val="left"/>
        <w:rPr>
          <w:sz w:val="16"/>
        </w:rPr>
      </w:pPr>
      <w:r>
        <w:rPr>
          <w:color w:val="030303"/>
          <w:w w:val="110"/>
          <w:sz w:val="17"/>
        </w:rPr>
        <w:t>SÍect and ultimate tables, </w:t>
      </w:r>
      <w:r>
        <w:rPr>
          <w:color w:val="030303"/>
          <w:w w:val="110"/>
          <w:sz w:val="16"/>
        </w:rPr>
        <w:t>25-28 </w:t>
      </w:r>
      <w:r>
        <w:rPr>
          <w:color w:val="030303"/>
          <w:w w:val="110"/>
          <w:sz w:val="17"/>
        </w:rPr>
        <w:t>Select mortality tables, </w:t>
      </w:r>
      <w:r>
        <w:rPr>
          <w:color w:val="030303"/>
          <w:w w:val="110"/>
          <w:sz w:val="16"/>
        </w:rPr>
        <w:t>24-28 </w:t>
      </w:r>
      <w:r>
        <w:rPr>
          <w:color w:val="030303"/>
          <w:w w:val="110"/>
          <w:sz w:val="17"/>
        </w:rPr>
        <w:t>Select period, </w:t>
      </w:r>
      <w:r>
        <w:rPr>
          <w:color w:val="030303"/>
          <w:w w:val="110"/>
          <w:sz w:val="16"/>
        </w:rPr>
        <w:t>24</w:t>
      </w:r>
    </w:p>
    <w:p>
      <w:pPr>
        <w:spacing w:line="194" w:lineRule="exact" w:before="0"/>
        <w:ind w:left="145" w:right="110" w:firstLine="0"/>
        <w:jc w:val="left"/>
        <w:rPr>
          <w:sz w:val="16"/>
        </w:rPr>
      </w:pPr>
      <w:r>
        <w:rPr>
          <w:color w:val="030303"/>
          <w:w w:val="105"/>
          <w:sz w:val="17"/>
        </w:rPr>
        <w:t>Sta.tionary   population,    </w:t>
      </w:r>
      <w:r>
        <w:rPr>
          <w:color w:val="030303"/>
          <w:w w:val="105"/>
          <w:sz w:val="16"/>
        </w:rPr>
        <w:t>176-185</w:t>
      </w:r>
    </w:p>
    <w:p>
      <w:pPr>
        <w:spacing w:before="6"/>
        <w:ind w:left="141" w:right="110" w:firstLine="0"/>
        <w:jc w:val="left"/>
        <w:rPr>
          <w:sz w:val="16"/>
        </w:rPr>
      </w:pPr>
      <w:r>
        <w:rPr>
          <w:color w:val="030303"/>
          <w:w w:val="105"/>
          <w:sz w:val="17"/>
        </w:rPr>
        <w:t>Surrender  charge,  </w:t>
      </w:r>
      <w:r>
        <w:rPr>
          <w:color w:val="030303"/>
          <w:w w:val="105"/>
          <w:sz w:val="16"/>
        </w:rPr>
        <w:t>139  </w:t>
      </w:r>
      <w:r>
        <w:rPr>
          <w:color w:val="181818"/>
          <w:w w:val="105"/>
          <w:sz w:val="16"/>
        </w:rPr>
        <w:t>.</w:t>
      </w:r>
    </w:p>
    <w:p>
      <w:pPr>
        <w:spacing w:before="2"/>
        <w:ind w:left="138" w:right="110" w:firstLine="0"/>
        <w:jc w:val="left"/>
        <w:rPr>
          <w:rFonts w:ascii="Arial" w:hAnsi="Arial"/>
          <w:sz w:val="16"/>
        </w:rPr>
      </w:pPr>
      <w:r>
        <w:rPr>
          <w:color w:val="030303"/>
          <w:w w:val="110"/>
          <w:sz w:val="17"/>
        </w:rPr>
        <w:t>Survival füitction, </w:t>
      </w:r>
      <w:r>
        <w:rPr>
          <w:rFonts w:ascii="Arial" w:hAnsi="Arial"/>
          <w:color w:val="030303"/>
          <w:w w:val="110"/>
          <w:sz w:val="16"/>
        </w:rPr>
        <w:t>3</w:t>
      </w:r>
    </w:p>
    <w:p>
      <w:pPr>
        <w:spacing w:before="6"/>
        <w:ind w:left="138" w:right="110" w:firstLine="0"/>
        <w:jc w:val="left"/>
        <w:rPr>
          <w:sz w:val="17"/>
        </w:rPr>
      </w:pPr>
      <w:r>
        <w:rPr>
          <w:color w:val="030303"/>
          <w:w w:val="105"/>
          <w:sz w:val="17"/>
        </w:rPr>
        <w:t>Survivorship group, 175--176</w:t>
      </w:r>
    </w:p>
    <w:p>
      <w:pPr>
        <w:spacing w:before="124"/>
        <w:ind w:left="131" w:right="0" w:firstLine="0"/>
        <w:jc w:val="left"/>
        <w:rPr>
          <w:sz w:val="16"/>
        </w:rPr>
      </w:pPr>
      <w:r>
        <w:rPr>
          <w:color w:val="030303"/>
          <w:w w:val="110"/>
          <w:sz w:val="17"/>
        </w:rPr>
        <w:t>Tempore.ry  life  annuity, </w:t>
      </w:r>
      <w:r>
        <w:rPr>
          <w:color w:val="030303"/>
          <w:w w:val="110"/>
          <w:sz w:val="16"/>
        </w:rPr>
        <w:t>40,36-48</w:t>
      </w:r>
    </w:p>
    <w:p>
      <w:pPr>
        <w:spacing w:before="6"/>
        <w:ind w:left="131" w:right="110" w:firstLine="0"/>
        <w:jc w:val="left"/>
        <w:rPr>
          <w:sz w:val="16"/>
        </w:rPr>
      </w:pPr>
      <w:r>
        <w:rPr>
          <w:color w:val="030303"/>
          <w:w w:val="110"/>
          <w:sz w:val="17"/>
        </w:rPr>
        <w:t>Term insurance, 65, </w:t>
      </w:r>
      <w:r>
        <w:rPr>
          <w:color w:val="030303"/>
          <w:w w:val="110"/>
          <w:sz w:val="16"/>
        </w:rPr>
        <w:t>69</w:t>
      </w:r>
    </w:p>
    <w:p>
      <w:pPr>
        <w:spacing w:before="6"/>
        <w:ind w:left="289" w:right="110" w:firstLine="0"/>
        <w:jc w:val="left"/>
        <w:rPr>
          <w:sz w:val="17"/>
        </w:rPr>
      </w:pPr>
      <w:r>
        <w:rPr>
          <w:color w:val="030303"/>
          <w:w w:val="120"/>
          <w:sz w:val="17"/>
        </w:rPr>
        <w:t>decreing,  73</w:t>
      </w:r>
    </w:p>
    <w:p>
      <w:pPr>
        <w:spacing w:before="2"/>
        <w:ind w:left="131" w:right="110" w:firstLine="0"/>
        <w:jc w:val="left"/>
        <w:rPr>
          <w:sz w:val="16"/>
        </w:rPr>
      </w:pPr>
      <w:r>
        <w:rPr>
          <w:color w:val="030303"/>
          <w:w w:val="110"/>
          <w:sz w:val="17"/>
        </w:rPr>
        <w:t>True  fractional premium,  </w:t>
      </w:r>
      <w:r>
        <w:rPr>
          <w:color w:val="030303"/>
          <w:w w:val="110"/>
          <w:sz w:val="16"/>
        </w:rPr>
        <w:t>83-87</w:t>
      </w:r>
    </w:p>
    <w:p>
      <w:pPr>
        <w:spacing w:line="195" w:lineRule="exact" w:before="128"/>
        <w:ind w:left="138" w:right="110" w:firstLine="0"/>
        <w:jc w:val="left"/>
        <w:rPr>
          <w:sz w:val="16"/>
        </w:rPr>
      </w:pPr>
      <w:r>
        <w:rPr>
          <w:color w:val="030303"/>
          <w:w w:val="105"/>
          <w:sz w:val="17"/>
        </w:rPr>
        <w:t>Ul tima.te  mortality  table, </w:t>
      </w:r>
      <w:r>
        <w:rPr>
          <w:color w:val="030303"/>
          <w:w w:val="105"/>
          <w:sz w:val="16"/>
        </w:rPr>
        <w:t>28</w:t>
      </w:r>
    </w:p>
    <w:p>
      <w:pPr>
        <w:spacing w:line="247" w:lineRule="auto" w:before="0"/>
        <w:ind w:left="457" w:right="134" w:hanging="324"/>
        <w:jc w:val="left"/>
        <w:rPr>
          <w:sz w:val="16"/>
        </w:rPr>
      </w:pPr>
      <w:r>
        <w:rPr>
          <w:color w:val="030303"/>
          <w:sz w:val="17"/>
        </w:rPr>
        <w:t>Unifqrm   distribution   of   deat.hs, 19, 20, </w:t>
      </w:r>
      <w:r>
        <w:rPr>
          <w:color w:val="030303"/>
          <w:sz w:val="16"/>
        </w:rPr>
        <w:t>70</w:t>
      </w:r>
    </w:p>
    <w:p>
      <w:pPr>
        <w:spacing w:line="192" w:lineRule="exact" w:before="0"/>
        <w:ind w:left="138" w:right="0" w:firstLine="0"/>
        <w:jc w:val="left"/>
        <w:rPr>
          <w:sz w:val="16"/>
        </w:rPr>
      </w:pPr>
      <w:r>
        <w:rPr>
          <w:color w:val="030303"/>
          <w:sz w:val="17"/>
        </w:rPr>
        <w:t>Uniform  seniority,  la'V  9f ,. </w:t>
      </w:r>
      <w:r>
        <w:rPr>
          <w:color w:val="030303"/>
          <w:sz w:val="16"/>
        </w:rPr>
        <w:t>199-203</w:t>
      </w:r>
    </w:p>
    <w:p>
      <w:pPr>
        <w:spacing w:line="172" w:lineRule="exact" w:before="142"/>
        <w:ind w:left="289" w:right="563" w:hanging="155"/>
        <w:jc w:val="left"/>
        <w:rPr>
          <w:sz w:val="16"/>
        </w:rPr>
      </w:pPr>
      <w:r>
        <w:rPr>
          <w:color w:val="030303"/>
          <w:w w:val="105"/>
          <w:sz w:val="17"/>
        </w:rPr>
        <w:t>Val uation methods, 116,,:117 attained  age,  </w:t>
      </w:r>
      <w:r>
        <w:rPr>
          <w:color w:val="030303"/>
          <w:w w:val="105"/>
          <w:sz w:val="16"/>
        </w:rPr>
        <w:t>117   ····;</w:t>
      </w:r>
    </w:p>
    <w:p>
      <w:pPr>
        <w:spacing w:before="37"/>
        <w:ind w:left="289" w:right="110" w:firstLine="0"/>
        <w:jc w:val="left"/>
        <w:rPr>
          <w:sz w:val="16"/>
        </w:rPr>
      </w:pPr>
      <w:r>
        <w:rPr>
          <w:color w:val="030303"/>
          <w:w w:val="110"/>
          <w:sz w:val="17"/>
        </w:rPr>
        <w:t>retrospective,  </w:t>
      </w:r>
      <w:r>
        <w:rPr>
          <w:color w:val="030303"/>
          <w:w w:val="110"/>
          <w:sz w:val="16"/>
        </w:rPr>
        <w:t>116, 117··</w:t>
      </w:r>
    </w:p>
    <w:p>
      <w:pPr>
        <w:spacing w:line="252" w:lineRule="auto" w:before="6"/>
        <w:ind w:left="450" w:right="110" w:hanging="320"/>
        <w:jc w:val="left"/>
        <w:rPr>
          <w:sz w:val="17"/>
        </w:rPr>
      </w:pPr>
      <w:r>
        <w:rPr>
          <w:color w:val="030303"/>
          <w:w w:val="110"/>
          <w:sz w:val="17"/>
        </w:rPr>
        <w:t>Variations in interest and mor- tality</w:t>
      </w:r>
    </w:p>
    <w:p>
      <w:pPr>
        <w:spacing w:line="181" w:lineRule="exact" w:before="0"/>
        <w:ind w:left="281" w:right="110" w:firstLine="0"/>
        <w:jc w:val="left"/>
        <w:rPr>
          <w:sz w:val="17"/>
        </w:rPr>
      </w:pPr>
      <w:r>
        <w:rPr>
          <w:color w:val="030303"/>
          <w:w w:val="105"/>
          <w:sz w:val="17"/>
        </w:rPr>
        <w:t>effect  on  a.nnuity  values, 55-</w:t>
      </w:r>
      <w:r>
        <w:rPr>
          <w:color w:val="2A2A2A"/>
          <w:w w:val="105"/>
          <w:sz w:val="17"/>
        </w:rPr>
        <w:t>.</w:t>
      </w:r>
      <w:r>
        <w:rPr>
          <w:color w:val="030303"/>
          <w:w w:val="105"/>
          <w:sz w:val="17"/>
        </w:rPr>
        <w:t>58</w:t>
      </w:r>
    </w:p>
    <w:p>
      <w:pPr>
        <w:spacing w:before="13"/>
        <w:ind w:left="278" w:right="110" w:firstLine="0"/>
        <w:jc w:val="left"/>
        <w:rPr>
          <w:sz w:val="16"/>
        </w:rPr>
      </w:pPr>
      <w:r>
        <w:rPr>
          <w:color w:val="030303"/>
          <w:w w:val="105"/>
          <w:sz w:val="17"/>
        </w:rPr>
        <w:t>effect  on  reserves, </w:t>
      </w:r>
      <w:r>
        <w:rPr>
          <w:color w:val="030303"/>
          <w:w w:val="105"/>
          <w:sz w:val="16"/>
        </w:rPr>
        <w:t>118-123</w:t>
      </w:r>
    </w:p>
    <w:p>
      <w:pPr>
        <w:spacing w:line="155" w:lineRule="exact" w:before="2"/>
        <w:ind w:left="131" w:right="110" w:firstLine="0"/>
        <w:jc w:val="left"/>
        <w:rPr>
          <w:sz w:val="16"/>
        </w:rPr>
      </w:pPr>
      <w:r>
        <w:rPr>
          <w:color w:val="030303"/>
          <w:w w:val="115"/>
          <w:sz w:val="17"/>
        </w:rPr>
        <w:t>Varying insuraces, </w:t>
      </w:r>
      <w:r>
        <w:rPr>
          <w:color w:val="030303"/>
          <w:w w:val="115"/>
          <w:sz w:val="16"/>
        </w:rPr>
        <w:t>72-75.</w:t>
      </w:r>
    </w:p>
    <w:p>
      <w:pPr>
        <w:spacing w:line="258" w:lineRule="exact" w:before="0"/>
        <w:ind w:left="127" w:right="110" w:firstLine="0"/>
        <w:jc w:val="left"/>
        <w:rPr>
          <w:sz w:val="17"/>
        </w:rPr>
      </w:pPr>
      <w:r>
        <w:rPr>
          <w:color w:val="030303"/>
          <w:sz w:val="17"/>
        </w:rPr>
        <w:t>Varying  </w:t>
      </w:r>
      <w:r>
        <w:rPr>
          <w:color w:val="030303"/>
          <w:sz w:val="26"/>
        </w:rPr>
        <w:t>life </w:t>
      </w:r>
      <w:r>
        <w:rPr>
          <w:color w:val="030303"/>
          <w:sz w:val="17"/>
        </w:rPr>
        <w:t>annuities,  S0-55</w:t>
      </w:r>
    </w:p>
    <w:p>
      <w:pPr>
        <w:spacing w:before="105"/>
        <w:ind w:left="106" w:right="0" w:firstLine="0"/>
        <w:jc w:val="left"/>
        <w:rPr>
          <w:sz w:val="16"/>
        </w:rPr>
      </w:pPr>
      <w:r>
        <w:rPr>
          <w:b/>
          <w:color w:val="181818"/>
          <w:spacing w:val="-2"/>
          <w:w w:val="54"/>
          <w:position w:val="3"/>
          <w:sz w:val="6"/>
        </w:rPr>
        <w:t>0</w:t>
      </w:r>
      <w:r>
        <w:rPr>
          <w:b/>
          <w:color w:val="181818"/>
          <w:w w:val="99"/>
          <w:sz w:val="17"/>
        </w:rPr>
        <w:t>Waiver</w:t>
      </w:r>
      <w:r>
        <w:rPr>
          <w:b/>
          <w:color w:val="181818"/>
          <w:sz w:val="17"/>
        </w:rPr>
        <w:t>  </w:t>
      </w:r>
      <w:r>
        <w:rPr>
          <w:b/>
          <w:color w:val="181818"/>
          <w:spacing w:val="-16"/>
          <w:sz w:val="17"/>
        </w:rPr>
        <w:t> </w:t>
      </w:r>
      <w:r>
        <w:rPr>
          <w:color w:val="030303"/>
          <w:w w:val="88"/>
          <w:sz w:val="17"/>
        </w:rPr>
        <w:t>of</w:t>
      </w:r>
      <w:r>
        <w:rPr>
          <w:color w:val="030303"/>
          <w:sz w:val="17"/>
        </w:rPr>
        <w:t>  </w:t>
      </w:r>
      <w:r>
        <w:rPr>
          <w:color w:val="030303"/>
          <w:spacing w:val="-6"/>
          <w:sz w:val="17"/>
        </w:rPr>
        <w:t> </w:t>
      </w:r>
      <w:r>
        <w:rPr>
          <w:color w:val="030303"/>
          <w:w w:val="105"/>
          <w:sz w:val="17"/>
        </w:rPr>
        <w:t>premium</w:t>
      </w:r>
      <w:r>
        <w:rPr>
          <w:color w:val="030303"/>
          <w:sz w:val="17"/>
        </w:rPr>
        <w:t>  </w:t>
      </w:r>
      <w:r>
        <w:rPr>
          <w:color w:val="030303"/>
          <w:spacing w:val="1"/>
          <w:sz w:val="17"/>
        </w:rPr>
        <w:t> </w:t>
      </w:r>
      <w:r>
        <w:rPr>
          <w:color w:val="030303"/>
          <w:w w:val="105"/>
          <w:sz w:val="17"/>
        </w:rPr>
        <w:t>benefit,</w:t>
      </w:r>
      <w:r>
        <w:rPr>
          <w:color w:val="030303"/>
          <w:sz w:val="17"/>
        </w:rPr>
        <w:t>  </w:t>
      </w:r>
      <w:r>
        <w:rPr>
          <w:color w:val="030303"/>
          <w:spacing w:val="-19"/>
          <w:sz w:val="17"/>
        </w:rPr>
        <w:t> </w:t>
      </w:r>
      <w:r>
        <w:rPr>
          <w:color w:val="030303"/>
          <w:w w:val="102"/>
          <w:sz w:val="16"/>
        </w:rPr>
        <w:t>319,</w:t>
      </w:r>
    </w:p>
    <w:p>
      <w:pPr>
        <w:spacing w:before="15"/>
        <w:ind w:left="335" w:right="110" w:firstLine="0"/>
        <w:jc w:val="left"/>
        <w:rPr>
          <w:sz w:val="16"/>
        </w:rPr>
      </w:pPr>
      <w:r>
        <w:rPr>
          <w:color w:val="2A2A2A"/>
          <w:w w:val="105"/>
          <w:sz w:val="16"/>
        </w:rPr>
        <w:t>&lt;</w:t>
      </w:r>
      <w:r>
        <w:rPr>
          <w:color w:val="030303"/>
          <w:w w:val="105"/>
          <w:sz w:val="16"/>
        </w:rPr>
        <w:t>823, 324</w:t>
      </w:r>
    </w:p>
    <w:p>
      <w:pPr>
        <w:spacing w:before="8"/>
        <w:ind w:left="123" w:right="0" w:firstLine="0"/>
        <w:jc w:val="left"/>
        <w:rPr>
          <w:sz w:val="16"/>
        </w:rPr>
      </w:pPr>
      <w:r>
        <w:rPr>
          <w:color w:val="030303"/>
          <w:sz w:val="17"/>
        </w:rPr>
        <w:t>Whole  life  insuran.ce,  66,  68, 69, </w:t>
      </w:r>
      <w:r>
        <w:rPr>
          <w:color w:val="030303"/>
          <w:sz w:val="16"/>
        </w:rPr>
        <w:t>81</w:t>
      </w:r>
    </w:p>
    <w:sectPr>
      <w:type w:val="continuous"/>
      <w:pgSz w:w="7200" w:h="11340"/>
      <w:pgMar w:top="1100" w:bottom="0" w:left="680" w:right="580"/>
      <w:cols w:num="2" w:equalWidth="0">
        <w:col w:w="2740" w:space="321"/>
        <w:col w:w="28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9">
    <w:multiLevelType w:val="hybridMultilevel"/>
    <w:lvl w:ilvl="0">
      <w:start w:val="1"/>
      <w:numFmt w:val="bullet"/>
      <w:lvlText w:val="•"/>
      <w:lvlJc w:val="left"/>
      <w:pPr>
        <w:ind w:left="528" w:hanging="201"/>
      </w:pPr>
      <w:rPr>
        <w:rFonts w:hint="default" w:ascii="Times New Roman" w:hAnsi="Times New Roman" w:eastAsia="Times New Roman" w:cs="Times New Roman"/>
        <w:color w:val="010101"/>
        <w:w w:val="56"/>
        <w:sz w:val="20"/>
        <w:szCs w:val="20"/>
      </w:rPr>
    </w:lvl>
    <w:lvl w:ilvl="1">
      <w:start w:val="1"/>
      <w:numFmt w:val="bullet"/>
      <w:lvlText w:val="•"/>
      <w:lvlJc w:val="left"/>
      <w:pPr>
        <w:ind w:left="1070" w:hanging="201"/>
      </w:pPr>
      <w:rPr>
        <w:rFonts w:hint="default"/>
      </w:rPr>
    </w:lvl>
    <w:lvl w:ilvl="2">
      <w:start w:val="1"/>
      <w:numFmt w:val="bullet"/>
      <w:lvlText w:val="•"/>
      <w:lvlJc w:val="left"/>
      <w:pPr>
        <w:ind w:left="1620" w:hanging="201"/>
      </w:pPr>
      <w:rPr>
        <w:rFonts w:hint="default"/>
      </w:rPr>
    </w:lvl>
    <w:lvl w:ilvl="3">
      <w:start w:val="1"/>
      <w:numFmt w:val="bullet"/>
      <w:lvlText w:val="•"/>
      <w:lvlJc w:val="left"/>
      <w:pPr>
        <w:ind w:left="2170" w:hanging="201"/>
      </w:pPr>
      <w:rPr>
        <w:rFonts w:hint="default"/>
      </w:rPr>
    </w:lvl>
    <w:lvl w:ilvl="4">
      <w:start w:val="1"/>
      <w:numFmt w:val="bullet"/>
      <w:lvlText w:val="•"/>
      <w:lvlJc w:val="left"/>
      <w:pPr>
        <w:ind w:left="2720" w:hanging="201"/>
      </w:pPr>
      <w:rPr>
        <w:rFonts w:hint="default"/>
      </w:rPr>
    </w:lvl>
    <w:lvl w:ilvl="5">
      <w:start w:val="1"/>
      <w:numFmt w:val="bullet"/>
      <w:lvlText w:val="•"/>
      <w:lvlJc w:val="left"/>
      <w:pPr>
        <w:ind w:left="3270" w:hanging="201"/>
      </w:pPr>
      <w:rPr>
        <w:rFonts w:hint="default"/>
      </w:rPr>
    </w:lvl>
    <w:lvl w:ilvl="6">
      <w:start w:val="1"/>
      <w:numFmt w:val="bullet"/>
      <w:lvlText w:val="•"/>
      <w:lvlJc w:val="left"/>
      <w:pPr>
        <w:ind w:left="3820" w:hanging="201"/>
      </w:pPr>
      <w:rPr>
        <w:rFonts w:hint="default"/>
      </w:rPr>
    </w:lvl>
    <w:lvl w:ilvl="7">
      <w:start w:val="1"/>
      <w:numFmt w:val="bullet"/>
      <w:lvlText w:val="•"/>
      <w:lvlJc w:val="left"/>
      <w:pPr>
        <w:ind w:left="4370" w:hanging="201"/>
      </w:pPr>
      <w:rPr>
        <w:rFonts w:hint="default"/>
      </w:rPr>
    </w:lvl>
    <w:lvl w:ilvl="8">
      <w:start w:val="1"/>
      <w:numFmt w:val="bullet"/>
      <w:lvlText w:val="•"/>
      <w:lvlJc w:val="left"/>
      <w:pPr>
        <w:ind w:left="4920" w:hanging="201"/>
      </w:pPr>
      <w:rPr>
        <w:rFonts w:hint="default"/>
      </w:rPr>
    </w:lvl>
  </w:abstractNum>
  <w:abstractNum w:abstractNumId="157">
    <w:multiLevelType w:val="hybridMultilevel"/>
    <w:lvl w:ilvl="0">
      <w:start w:val="1"/>
      <w:numFmt w:val="decimal"/>
      <w:lvlText w:val="%1."/>
      <w:lvlJc w:val="left"/>
      <w:pPr>
        <w:ind w:left="864" w:hanging="643"/>
        <w:jc w:val="left"/>
      </w:pPr>
      <w:rPr>
        <w:rFonts w:hint="default" w:ascii="Times New Roman" w:hAnsi="Times New Roman" w:eastAsia="Times New Roman" w:cs="Times New Roman"/>
        <w:color w:val="010101"/>
        <w:w w:val="103"/>
        <w:sz w:val="20"/>
        <w:szCs w:val="20"/>
      </w:rPr>
    </w:lvl>
    <w:lvl w:ilvl="1">
      <w:start w:val="1"/>
      <w:numFmt w:val="bullet"/>
      <w:lvlText w:val="•"/>
      <w:lvlJc w:val="left"/>
      <w:pPr>
        <w:ind w:left="1370" w:hanging="643"/>
      </w:pPr>
      <w:rPr>
        <w:rFonts w:hint="default"/>
      </w:rPr>
    </w:lvl>
    <w:lvl w:ilvl="2">
      <w:start w:val="1"/>
      <w:numFmt w:val="bullet"/>
      <w:lvlText w:val="•"/>
      <w:lvlJc w:val="left"/>
      <w:pPr>
        <w:ind w:left="1880" w:hanging="643"/>
      </w:pPr>
      <w:rPr>
        <w:rFonts w:hint="default"/>
      </w:rPr>
    </w:lvl>
    <w:lvl w:ilvl="3">
      <w:start w:val="1"/>
      <w:numFmt w:val="bullet"/>
      <w:lvlText w:val="•"/>
      <w:lvlJc w:val="left"/>
      <w:pPr>
        <w:ind w:left="2390" w:hanging="643"/>
      </w:pPr>
      <w:rPr>
        <w:rFonts w:hint="default"/>
      </w:rPr>
    </w:lvl>
    <w:lvl w:ilvl="4">
      <w:start w:val="1"/>
      <w:numFmt w:val="bullet"/>
      <w:lvlText w:val="•"/>
      <w:lvlJc w:val="left"/>
      <w:pPr>
        <w:ind w:left="2900" w:hanging="643"/>
      </w:pPr>
      <w:rPr>
        <w:rFonts w:hint="default"/>
      </w:rPr>
    </w:lvl>
    <w:lvl w:ilvl="5">
      <w:start w:val="1"/>
      <w:numFmt w:val="bullet"/>
      <w:lvlText w:val="•"/>
      <w:lvlJc w:val="left"/>
      <w:pPr>
        <w:ind w:left="3410" w:hanging="643"/>
      </w:pPr>
      <w:rPr>
        <w:rFonts w:hint="default"/>
      </w:rPr>
    </w:lvl>
    <w:lvl w:ilvl="6">
      <w:start w:val="1"/>
      <w:numFmt w:val="bullet"/>
      <w:lvlText w:val="•"/>
      <w:lvlJc w:val="left"/>
      <w:pPr>
        <w:ind w:left="3920" w:hanging="643"/>
      </w:pPr>
      <w:rPr>
        <w:rFonts w:hint="default"/>
      </w:rPr>
    </w:lvl>
    <w:lvl w:ilvl="7">
      <w:start w:val="1"/>
      <w:numFmt w:val="bullet"/>
      <w:lvlText w:val="•"/>
      <w:lvlJc w:val="left"/>
      <w:pPr>
        <w:ind w:left="4430" w:hanging="643"/>
      </w:pPr>
      <w:rPr>
        <w:rFonts w:hint="default"/>
      </w:rPr>
    </w:lvl>
    <w:lvl w:ilvl="8">
      <w:start w:val="1"/>
      <w:numFmt w:val="bullet"/>
      <w:lvlText w:val="•"/>
      <w:lvlJc w:val="left"/>
      <w:pPr>
        <w:ind w:left="4940" w:hanging="643"/>
      </w:pPr>
      <w:rPr>
        <w:rFonts w:hint="default"/>
      </w:rPr>
    </w:lvl>
  </w:abstractNum>
  <w:abstractNum w:abstractNumId="154">
    <w:multiLevelType w:val="hybridMultilevel"/>
    <w:lvl w:ilvl="0">
      <w:start w:val="1"/>
      <w:numFmt w:val="bullet"/>
      <w:lvlText w:val="-"/>
      <w:lvlJc w:val="left"/>
      <w:pPr>
        <w:ind w:left="333" w:hanging="234"/>
      </w:pPr>
      <w:rPr>
        <w:rFonts w:hint="default" w:ascii="Times New Roman" w:hAnsi="Times New Roman" w:eastAsia="Times New Roman" w:cs="Times New Roman"/>
        <w:w w:val="195"/>
      </w:rPr>
    </w:lvl>
    <w:lvl w:ilvl="1">
      <w:start w:val="1"/>
      <w:numFmt w:val="bullet"/>
      <w:lvlText w:val="•"/>
      <w:lvlJc w:val="left"/>
      <w:pPr>
        <w:ind w:left="354" w:hanging="234"/>
      </w:pPr>
      <w:rPr>
        <w:rFonts w:hint="default"/>
      </w:rPr>
    </w:lvl>
    <w:lvl w:ilvl="2">
      <w:start w:val="1"/>
      <w:numFmt w:val="bullet"/>
      <w:lvlText w:val="•"/>
      <w:lvlJc w:val="left"/>
      <w:pPr>
        <w:ind w:left="368" w:hanging="234"/>
      </w:pPr>
      <w:rPr>
        <w:rFonts w:hint="default"/>
      </w:rPr>
    </w:lvl>
    <w:lvl w:ilvl="3">
      <w:start w:val="1"/>
      <w:numFmt w:val="bullet"/>
      <w:lvlText w:val="•"/>
      <w:lvlJc w:val="left"/>
      <w:pPr>
        <w:ind w:left="382" w:hanging="234"/>
      </w:pPr>
      <w:rPr>
        <w:rFonts w:hint="default"/>
      </w:rPr>
    </w:lvl>
    <w:lvl w:ilvl="4">
      <w:start w:val="1"/>
      <w:numFmt w:val="bullet"/>
      <w:lvlText w:val="•"/>
      <w:lvlJc w:val="left"/>
      <w:pPr>
        <w:ind w:left="397" w:hanging="234"/>
      </w:pPr>
      <w:rPr>
        <w:rFonts w:hint="default"/>
      </w:rPr>
    </w:lvl>
    <w:lvl w:ilvl="5">
      <w:start w:val="1"/>
      <w:numFmt w:val="bullet"/>
      <w:lvlText w:val="•"/>
      <w:lvlJc w:val="left"/>
      <w:pPr>
        <w:ind w:left="411" w:hanging="234"/>
      </w:pPr>
      <w:rPr>
        <w:rFonts w:hint="default"/>
      </w:rPr>
    </w:lvl>
    <w:lvl w:ilvl="6">
      <w:start w:val="1"/>
      <w:numFmt w:val="bullet"/>
      <w:lvlText w:val="•"/>
      <w:lvlJc w:val="left"/>
      <w:pPr>
        <w:ind w:left="425" w:hanging="234"/>
      </w:pPr>
      <w:rPr>
        <w:rFonts w:hint="default"/>
      </w:rPr>
    </w:lvl>
    <w:lvl w:ilvl="7">
      <w:start w:val="1"/>
      <w:numFmt w:val="bullet"/>
      <w:lvlText w:val="•"/>
      <w:lvlJc w:val="left"/>
      <w:pPr>
        <w:ind w:left="439" w:hanging="234"/>
      </w:pPr>
      <w:rPr>
        <w:rFonts w:hint="default"/>
      </w:rPr>
    </w:lvl>
    <w:lvl w:ilvl="8">
      <w:start w:val="1"/>
      <w:numFmt w:val="bullet"/>
      <w:lvlText w:val="•"/>
      <w:lvlJc w:val="left"/>
      <w:pPr>
        <w:ind w:left="454" w:hanging="234"/>
      </w:pPr>
      <w:rPr>
        <w:rFonts w:hint="default"/>
      </w:rPr>
    </w:lvl>
  </w:abstractNum>
  <w:abstractNum w:abstractNumId="143">
    <w:multiLevelType w:val="hybridMultilevel"/>
    <w:lvl w:ilvl="0">
      <w:start w:val="1"/>
      <w:numFmt w:val="bullet"/>
      <w:lvlText w:val="·"/>
      <w:lvlJc w:val="left"/>
      <w:pPr>
        <w:ind w:left="219" w:hanging="108"/>
      </w:pPr>
      <w:rPr>
        <w:rFonts w:hint="default" w:ascii="Times New Roman" w:hAnsi="Times New Roman" w:eastAsia="Times New Roman" w:cs="Times New Roman"/>
        <w:w w:val="67"/>
        <w:sz w:val="20"/>
        <w:szCs w:val="20"/>
      </w:rPr>
    </w:lvl>
    <w:lvl w:ilvl="1">
      <w:start w:val="1"/>
      <w:numFmt w:val="bullet"/>
      <w:lvlText w:val="•"/>
      <w:lvlJc w:val="left"/>
      <w:pPr>
        <w:ind w:left="806" w:hanging="108"/>
      </w:pPr>
      <w:rPr>
        <w:rFonts w:hint="default"/>
      </w:rPr>
    </w:lvl>
    <w:lvl w:ilvl="2">
      <w:start w:val="1"/>
      <w:numFmt w:val="bullet"/>
      <w:lvlText w:val="•"/>
      <w:lvlJc w:val="left"/>
      <w:pPr>
        <w:ind w:left="1392" w:hanging="108"/>
      </w:pPr>
      <w:rPr>
        <w:rFonts w:hint="default"/>
      </w:rPr>
    </w:lvl>
    <w:lvl w:ilvl="3">
      <w:start w:val="1"/>
      <w:numFmt w:val="bullet"/>
      <w:lvlText w:val="•"/>
      <w:lvlJc w:val="left"/>
      <w:pPr>
        <w:ind w:left="1978" w:hanging="108"/>
      </w:pPr>
      <w:rPr>
        <w:rFonts w:hint="default"/>
      </w:rPr>
    </w:lvl>
    <w:lvl w:ilvl="4">
      <w:start w:val="1"/>
      <w:numFmt w:val="bullet"/>
      <w:lvlText w:val="•"/>
      <w:lvlJc w:val="left"/>
      <w:pPr>
        <w:ind w:left="2564" w:hanging="108"/>
      </w:pPr>
      <w:rPr>
        <w:rFonts w:hint="default"/>
      </w:rPr>
    </w:lvl>
    <w:lvl w:ilvl="5">
      <w:start w:val="1"/>
      <w:numFmt w:val="bullet"/>
      <w:lvlText w:val="•"/>
      <w:lvlJc w:val="left"/>
      <w:pPr>
        <w:ind w:left="3150" w:hanging="108"/>
      </w:pPr>
      <w:rPr>
        <w:rFonts w:hint="default"/>
      </w:rPr>
    </w:lvl>
    <w:lvl w:ilvl="6">
      <w:start w:val="1"/>
      <w:numFmt w:val="bullet"/>
      <w:lvlText w:val="•"/>
      <w:lvlJc w:val="left"/>
      <w:pPr>
        <w:ind w:left="3736" w:hanging="108"/>
      </w:pPr>
      <w:rPr>
        <w:rFonts w:hint="default"/>
      </w:rPr>
    </w:lvl>
    <w:lvl w:ilvl="7">
      <w:start w:val="1"/>
      <w:numFmt w:val="bullet"/>
      <w:lvlText w:val="•"/>
      <w:lvlJc w:val="left"/>
      <w:pPr>
        <w:ind w:left="4322" w:hanging="108"/>
      </w:pPr>
      <w:rPr>
        <w:rFonts w:hint="default"/>
      </w:rPr>
    </w:lvl>
    <w:lvl w:ilvl="8">
      <w:start w:val="1"/>
      <w:numFmt w:val="bullet"/>
      <w:lvlText w:val="•"/>
      <w:lvlJc w:val="left"/>
      <w:pPr>
        <w:ind w:left="4908" w:hanging="108"/>
      </w:pPr>
      <w:rPr>
        <w:rFonts w:hint="default"/>
      </w:rPr>
    </w:lvl>
  </w:abstractNum>
  <w:abstractNum w:abstractNumId="91">
    <w:multiLevelType w:val="hybridMultilevel"/>
    <w:lvl w:ilvl="0">
      <w:start w:val="1"/>
      <w:numFmt w:val="lowerLetter"/>
      <w:lvlText w:val="(%1)"/>
      <w:lvlJc w:val="left"/>
      <w:pPr>
        <w:ind w:left="771" w:hanging="295"/>
        <w:jc w:val="left"/>
      </w:pPr>
      <w:rPr>
        <w:rFonts w:hint="default" w:ascii="Times New Roman" w:hAnsi="Times New Roman" w:eastAsia="Times New Roman" w:cs="Times New Roman"/>
        <w:w w:val="102"/>
      </w:rPr>
    </w:lvl>
    <w:lvl w:ilvl="1">
      <w:start w:val="1"/>
      <w:numFmt w:val="bullet"/>
      <w:lvlText w:val="•"/>
      <w:lvlJc w:val="left"/>
      <w:pPr>
        <w:ind w:left="1302" w:hanging="295"/>
      </w:pPr>
      <w:rPr>
        <w:rFonts w:hint="default"/>
      </w:rPr>
    </w:lvl>
    <w:lvl w:ilvl="2">
      <w:start w:val="1"/>
      <w:numFmt w:val="bullet"/>
      <w:lvlText w:val="•"/>
      <w:lvlJc w:val="left"/>
      <w:pPr>
        <w:ind w:left="1824" w:hanging="295"/>
      </w:pPr>
      <w:rPr>
        <w:rFonts w:hint="default"/>
      </w:rPr>
    </w:lvl>
    <w:lvl w:ilvl="3">
      <w:start w:val="1"/>
      <w:numFmt w:val="bullet"/>
      <w:lvlText w:val="•"/>
      <w:lvlJc w:val="left"/>
      <w:pPr>
        <w:ind w:left="2346" w:hanging="295"/>
      </w:pPr>
      <w:rPr>
        <w:rFonts w:hint="default"/>
      </w:rPr>
    </w:lvl>
    <w:lvl w:ilvl="4">
      <w:start w:val="1"/>
      <w:numFmt w:val="bullet"/>
      <w:lvlText w:val="•"/>
      <w:lvlJc w:val="left"/>
      <w:pPr>
        <w:ind w:left="2868" w:hanging="295"/>
      </w:pPr>
      <w:rPr>
        <w:rFonts w:hint="default"/>
      </w:rPr>
    </w:lvl>
    <w:lvl w:ilvl="5">
      <w:start w:val="1"/>
      <w:numFmt w:val="bullet"/>
      <w:lvlText w:val="•"/>
      <w:lvlJc w:val="left"/>
      <w:pPr>
        <w:ind w:left="3390" w:hanging="295"/>
      </w:pPr>
      <w:rPr>
        <w:rFonts w:hint="default"/>
      </w:rPr>
    </w:lvl>
    <w:lvl w:ilvl="6">
      <w:start w:val="1"/>
      <w:numFmt w:val="bullet"/>
      <w:lvlText w:val="•"/>
      <w:lvlJc w:val="left"/>
      <w:pPr>
        <w:ind w:left="3912" w:hanging="295"/>
      </w:pPr>
      <w:rPr>
        <w:rFonts w:hint="default"/>
      </w:rPr>
    </w:lvl>
    <w:lvl w:ilvl="7">
      <w:start w:val="1"/>
      <w:numFmt w:val="bullet"/>
      <w:lvlText w:val="•"/>
      <w:lvlJc w:val="left"/>
      <w:pPr>
        <w:ind w:left="4434" w:hanging="295"/>
      </w:pPr>
      <w:rPr>
        <w:rFonts w:hint="default"/>
      </w:rPr>
    </w:lvl>
    <w:lvl w:ilvl="8">
      <w:start w:val="1"/>
      <w:numFmt w:val="bullet"/>
      <w:lvlText w:val="•"/>
      <w:lvlJc w:val="left"/>
      <w:pPr>
        <w:ind w:left="4956" w:hanging="295"/>
      </w:pPr>
      <w:rPr>
        <w:rFonts w:hint="default"/>
      </w:rPr>
    </w:lvl>
  </w:abstractNum>
  <w:abstractNum w:abstractNumId="80">
    <w:multiLevelType w:val="hybridMultilevel"/>
    <w:lvl w:ilvl="0">
      <w:start w:val="1"/>
      <w:numFmt w:val="lowerLetter"/>
      <w:lvlText w:val="(%1)"/>
      <w:lvlJc w:val="left"/>
      <w:pPr>
        <w:ind w:left="761" w:hanging="288"/>
        <w:jc w:val="left"/>
      </w:pPr>
      <w:rPr>
        <w:rFonts w:hint="default" w:ascii="Arial" w:hAnsi="Arial" w:eastAsia="Arial" w:cs="Arial"/>
        <w:b/>
        <w:bCs/>
        <w:color w:val="010101"/>
        <w:w w:val="110"/>
        <w:sz w:val="15"/>
        <w:szCs w:val="15"/>
      </w:rPr>
    </w:lvl>
    <w:lvl w:ilvl="1">
      <w:start w:val="1"/>
      <w:numFmt w:val="bullet"/>
      <w:lvlText w:val="•"/>
      <w:lvlJc w:val="left"/>
      <w:pPr>
        <w:ind w:left="789" w:hanging="288"/>
      </w:pPr>
      <w:rPr>
        <w:rFonts w:hint="default"/>
      </w:rPr>
    </w:lvl>
    <w:lvl w:ilvl="2">
      <w:start w:val="1"/>
      <w:numFmt w:val="bullet"/>
      <w:lvlText w:val="•"/>
      <w:lvlJc w:val="left"/>
      <w:pPr>
        <w:ind w:left="818" w:hanging="288"/>
      </w:pPr>
      <w:rPr>
        <w:rFonts w:hint="default"/>
      </w:rPr>
    </w:lvl>
    <w:lvl w:ilvl="3">
      <w:start w:val="1"/>
      <w:numFmt w:val="bullet"/>
      <w:lvlText w:val="•"/>
      <w:lvlJc w:val="left"/>
      <w:pPr>
        <w:ind w:left="847" w:hanging="288"/>
      </w:pPr>
      <w:rPr>
        <w:rFonts w:hint="default"/>
      </w:rPr>
    </w:lvl>
    <w:lvl w:ilvl="4">
      <w:start w:val="1"/>
      <w:numFmt w:val="bullet"/>
      <w:lvlText w:val="•"/>
      <w:lvlJc w:val="left"/>
      <w:pPr>
        <w:ind w:left="876" w:hanging="288"/>
      </w:pPr>
      <w:rPr>
        <w:rFonts w:hint="default"/>
      </w:rPr>
    </w:lvl>
    <w:lvl w:ilvl="5">
      <w:start w:val="1"/>
      <w:numFmt w:val="bullet"/>
      <w:lvlText w:val="•"/>
      <w:lvlJc w:val="left"/>
      <w:pPr>
        <w:ind w:left="905" w:hanging="288"/>
      </w:pPr>
      <w:rPr>
        <w:rFonts w:hint="default"/>
      </w:rPr>
    </w:lvl>
    <w:lvl w:ilvl="6">
      <w:start w:val="1"/>
      <w:numFmt w:val="bullet"/>
      <w:lvlText w:val="•"/>
      <w:lvlJc w:val="left"/>
      <w:pPr>
        <w:ind w:left="934" w:hanging="288"/>
      </w:pPr>
      <w:rPr>
        <w:rFonts w:hint="default"/>
      </w:rPr>
    </w:lvl>
    <w:lvl w:ilvl="7">
      <w:start w:val="1"/>
      <w:numFmt w:val="bullet"/>
      <w:lvlText w:val="•"/>
      <w:lvlJc w:val="left"/>
      <w:pPr>
        <w:ind w:left="963" w:hanging="288"/>
      </w:pPr>
      <w:rPr>
        <w:rFonts w:hint="default"/>
      </w:rPr>
    </w:lvl>
    <w:lvl w:ilvl="8">
      <w:start w:val="1"/>
      <w:numFmt w:val="bullet"/>
      <w:lvlText w:val="•"/>
      <w:lvlJc w:val="left"/>
      <w:pPr>
        <w:ind w:left="992" w:hanging="288"/>
      </w:pPr>
      <w:rPr>
        <w:rFonts w:hint="default"/>
      </w:rPr>
    </w:lvl>
  </w:abstractNum>
  <w:abstractNum w:abstractNumId="73">
    <w:multiLevelType w:val="hybridMultilevel"/>
    <w:lvl w:ilvl="0">
      <w:start w:val="1"/>
      <w:numFmt w:val="lowerLetter"/>
      <w:lvlText w:val="%1."/>
      <w:lvlJc w:val="left"/>
      <w:pPr>
        <w:ind w:left="512" w:hanging="212"/>
        <w:jc w:val="left"/>
      </w:pPr>
      <w:rPr>
        <w:rFonts w:hint="default" w:ascii="Times New Roman" w:hAnsi="Times New Roman" w:eastAsia="Times New Roman" w:cs="Times New Roman"/>
        <w:color w:val="010101"/>
        <w:w w:val="79"/>
        <w:sz w:val="24"/>
        <w:szCs w:val="24"/>
      </w:rPr>
    </w:lvl>
    <w:lvl w:ilvl="1">
      <w:start w:val="1"/>
      <w:numFmt w:val="bullet"/>
      <w:lvlText w:val="•"/>
      <w:lvlJc w:val="left"/>
      <w:pPr>
        <w:ind w:left="1064" w:hanging="212"/>
      </w:pPr>
      <w:rPr>
        <w:rFonts w:hint="default"/>
      </w:rPr>
    </w:lvl>
    <w:lvl w:ilvl="2">
      <w:start w:val="1"/>
      <w:numFmt w:val="bullet"/>
      <w:lvlText w:val="•"/>
      <w:lvlJc w:val="left"/>
      <w:pPr>
        <w:ind w:left="1608" w:hanging="212"/>
      </w:pPr>
      <w:rPr>
        <w:rFonts w:hint="default"/>
      </w:rPr>
    </w:lvl>
    <w:lvl w:ilvl="3">
      <w:start w:val="1"/>
      <w:numFmt w:val="bullet"/>
      <w:lvlText w:val="•"/>
      <w:lvlJc w:val="left"/>
      <w:pPr>
        <w:ind w:left="2152" w:hanging="212"/>
      </w:pPr>
      <w:rPr>
        <w:rFonts w:hint="default"/>
      </w:rPr>
    </w:lvl>
    <w:lvl w:ilvl="4">
      <w:start w:val="1"/>
      <w:numFmt w:val="bullet"/>
      <w:lvlText w:val="•"/>
      <w:lvlJc w:val="left"/>
      <w:pPr>
        <w:ind w:left="2696" w:hanging="212"/>
      </w:pPr>
      <w:rPr>
        <w:rFonts w:hint="default"/>
      </w:rPr>
    </w:lvl>
    <w:lvl w:ilvl="5">
      <w:start w:val="1"/>
      <w:numFmt w:val="bullet"/>
      <w:lvlText w:val="•"/>
      <w:lvlJc w:val="left"/>
      <w:pPr>
        <w:ind w:left="3240" w:hanging="212"/>
      </w:pPr>
      <w:rPr>
        <w:rFonts w:hint="default"/>
      </w:rPr>
    </w:lvl>
    <w:lvl w:ilvl="6">
      <w:start w:val="1"/>
      <w:numFmt w:val="bullet"/>
      <w:lvlText w:val="•"/>
      <w:lvlJc w:val="left"/>
      <w:pPr>
        <w:ind w:left="3784" w:hanging="212"/>
      </w:pPr>
      <w:rPr>
        <w:rFonts w:hint="default"/>
      </w:rPr>
    </w:lvl>
    <w:lvl w:ilvl="7">
      <w:start w:val="1"/>
      <w:numFmt w:val="bullet"/>
      <w:lvlText w:val="•"/>
      <w:lvlJc w:val="left"/>
      <w:pPr>
        <w:ind w:left="4328" w:hanging="212"/>
      </w:pPr>
      <w:rPr>
        <w:rFonts w:hint="default"/>
      </w:rPr>
    </w:lvl>
    <w:lvl w:ilvl="8">
      <w:start w:val="1"/>
      <w:numFmt w:val="bullet"/>
      <w:lvlText w:val="•"/>
      <w:lvlJc w:val="left"/>
      <w:pPr>
        <w:ind w:left="4872" w:hanging="212"/>
      </w:pPr>
      <w:rPr>
        <w:rFonts w:hint="default"/>
      </w:rPr>
    </w:lvl>
  </w:abstractNum>
  <w:abstractNum w:abstractNumId="79">
    <w:multiLevelType w:val="hybridMultilevel"/>
    <w:lvl w:ilvl="0">
      <w:start w:val="1"/>
      <w:numFmt w:val="decimal"/>
      <w:lvlText w:val="(%1)"/>
      <w:lvlJc w:val="left"/>
      <w:pPr>
        <w:ind w:left="114" w:hanging="364"/>
        <w:jc w:val="left"/>
      </w:pPr>
      <w:rPr>
        <w:rFonts w:hint="default" w:ascii="Arial" w:hAnsi="Arial" w:eastAsia="Arial" w:cs="Arial"/>
        <w:w w:val="113"/>
        <w:sz w:val="18"/>
        <w:szCs w:val="18"/>
      </w:rPr>
    </w:lvl>
    <w:lvl w:ilvl="1">
      <w:start w:val="1"/>
      <w:numFmt w:val="bullet"/>
      <w:lvlText w:val="•"/>
      <w:lvlJc w:val="left"/>
      <w:pPr>
        <w:ind w:left="706" w:hanging="364"/>
      </w:pPr>
      <w:rPr>
        <w:rFonts w:hint="default"/>
      </w:rPr>
    </w:lvl>
    <w:lvl w:ilvl="2">
      <w:start w:val="1"/>
      <w:numFmt w:val="bullet"/>
      <w:lvlText w:val="•"/>
      <w:lvlJc w:val="left"/>
      <w:pPr>
        <w:ind w:left="1292" w:hanging="364"/>
      </w:pPr>
      <w:rPr>
        <w:rFonts w:hint="default"/>
      </w:rPr>
    </w:lvl>
    <w:lvl w:ilvl="3">
      <w:start w:val="1"/>
      <w:numFmt w:val="bullet"/>
      <w:lvlText w:val="•"/>
      <w:lvlJc w:val="left"/>
      <w:pPr>
        <w:ind w:left="1878" w:hanging="364"/>
      </w:pPr>
      <w:rPr>
        <w:rFonts w:hint="default"/>
      </w:rPr>
    </w:lvl>
    <w:lvl w:ilvl="4">
      <w:start w:val="1"/>
      <w:numFmt w:val="bullet"/>
      <w:lvlText w:val="•"/>
      <w:lvlJc w:val="left"/>
      <w:pPr>
        <w:ind w:left="2464" w:hanging="364"/>
      </w:pPr>
      <w:rPr>
        <w:rFonts w:hint="default"/>
      </w:rPr>
    </w:lvl>
    <w:lvl w:ilvl="5">
      <w:start w:val="1"/>
      <w:numFmt w:val="bullet"/>
      <w:lvlText w:val="•"/>
      <w:lvlJc w:val="left"/>
      <w:pPr>
        <w:ind w:left="3050" w:hanging="364"/>
      </w:pPr>
      <w:rPr>
        <w:rFonts w:hint="default"/>
      </w:rPr>
    </w:lvl>
    <w:lvl w:ilvl="6">
      <w:start w:val="1"/>
      <w:numFmt w:val="bullet"/>
      <w:lvlText w:val="•"/>
      <w:lvlJc w:val="left"/>
      <w:pPr>
        <w:ind w:left="3636" w:hanging="364"/>
      </w:pPr>
      <w:rPr>
        <w:rFonts w:hint="default"/>
      </w:rPr>
    </w:lvl>
    <w:lvl w:ilvl="7">
      <w:start w:val="1"/>
      <w:numFmt w:val="bullet"/>
      <w:lvlText w:val="•"/>
      <w:lvlJc w:val="left"/>
      <w:pPr>
        <w:ind w:left="4222" w:hanging="364"/>
      </w:pPr>
      <w:rPr>
        <w:rFonts w:hint="default"/>
      </w:rPr>
    </w:lvl>
    <w:lvl w:ilvl="8">
      <w:start w:val="1"/>
      <w:numFmt w:val="bullet"/>
      <w:lvlText w:val="•"/>
      <w:lvlJc w:val="left"/>
      <w:pPr>
        <w:ind w:left="4808" w:hanging="364"/>
      </w:pPr>
      <w:rPr>
        <w:rFonts w:hint="default"/>
      </w:rPr>
    </w:lvl>
  </w:abstractNum>
  <w:abstractNum w:abstractNumId="43">
    <w:multiLevelType w:val="hybridMultilevel"/>
    <w:lvl w:ilvl="0">
      <w:start w:val="1"/>
      <w:numFmt w:val="bullet"/>
      <w:lvlText w:val="•"/>
      <w:lvlJc w:val="left"/>
      <w:pPr>
        <w:ind w:left="1155" w:hanging="822"/>
      </w:pPr>
      <w:rPr>
        <w:rFonts w:hint="default" w:ascii="Times New Roman" w:hAnsi="Times New Roman" w:eastAsia="Times New Roman" w:cs="Times New Roman"/>
        <w:color w:val="010101"/>
        <w:w w:val="277"/>
        <w:sz w:val="11"/>
        <w:szCs w:val="11"/>
      </w:rPr>
    </w:lvl>
    <w:lvl w:ilvl="1">
      <w:start w:val="1"/>
      <w:numFmt w:val="bullet"/>
      <w:lvlText w:val="•"/>
      <w:lvlJc w:val="left"/>
      <w:pPr>
        <w:ind w:left="1411" w:hanging="822"/>
      </w:pPr>
      <w:rPr>
        <w:rFonts w:hint="default"/>
      </w:rPr>
    </w:lvl>
    <w:lvl w:ilvl="2">
      <w:start w:val="1"/>
      <w:numFmt w:val="bullet"/>
      <w:lvlText w:val="•"/>
      <w:lvlJc w:val="left"/>
      <w:pPr>
        <w:ind w:left="1662" w:hanging="822"/>
      </w:pPr>
      <w:rPr>
        <w:rFonts w:hint="default"/>
      </w:rPr>
    </w:lvl>
    <w:lvl w:ilvl="3">
      <w:start w:val="1"/>
      <w:numFmt w:val="bullet"/>
      <w:lvlText w:val="•"/>
      <w:lvlJc w:val="left"/>
      <w:pPr>
        <w:ind w:left="1913" w:hanging="822"/>
      </w:pPr>
      <w:rPr>
        <w:rFonts w:hint="default"/>
      </w:rPr>
    </w:lvl>
    <w:lvl w:ilvl="4">
      <w:start w:val="1"/>
      <w:numFmt w:val="bullet"/>
      <w:lvlText w:val="•"/>
      <w:lvlJc w:val="left"/>
      <w:pPr>
        <w:ind w:left="2164" w:hanging="822"/>
      </w:pPr>
      <w:rPr>
        <w:rFonts w:hint="default"/>
      </w:rPr>
    </w:lvl>
    <w:lvl w:ilvl="5">
      <w:start w:val="1"/>
      <w:numFmt w:val="bullet"/>
      <w:lvlText w:val="•"/>
      <w:lvlJc w:val="left"/>
      <w:pPr>
        <w:ind w:left="2415" w:hanging="822"/>
      </w:pPr>
      <w:rPr>
        <w:rFonts w:hint="default"/>
      </w:rPr>
    </w:lvl>
    <w:lvl w:ilvl="6">
      <w:start w:val="1"/>
      <w:numFmt w:val="bullet"/>
      <w:lvlText w:val="•"/>
      <w:lvlJc w:val="left"/>
      <w:pPr>
        <w:ind w:left="2667" w:hanging="822"/>
      </w:pPr>
      <w:rPr>
        <w:rFonts w:hint="default"/>
      </w:rPr>
    </w:lvl>
    <w:lvl w:ilvl="7">
      <w:start w:val="1"/>
      <w:numFmt w:val="bullet"/>
      <w:lvlText w:val="•"/>
      <w:lvlJc w:val="left"/>
      <w:pPr>
        <w:ind w:left="2918" w:hanging="822"/>
      </w:pPr>
      <w:rPr>
        <w:rFonts w:hint="default"/>
      </w:rPr>
    </w:lvl>
    <w:lvl w:ilvl="8">
      <w:start w:val="1"/>
      <w:numFmt w:val="bullet"/>
      <w:lvlText w:val="•"/>
      <w:lvlJc w:val="left"/>
      <w:pPr>
        <w:ind w:left="3169" w:hanging="822"/>
      </w:pPr>
      <w:rPr>
        <w:rFonts w:hint="default"/>
      </w:rPr>
    </w:lvl>
  </w:abstractNum>
  <w:abstractNum w:abstractNumId="42">
    <w:multiLevelType w:val="hybridMultilevel"/>
    <w:lvl w:ilvl="0">
      <w:start w:val="1"/>
      <w:numFmt w:val="decimal"/>
      <w:lvlText w:val="(%1)"/>
      <w:lvlJc w:val="left"/>
      <w:pPr>
        <w:ind w:left="123" w:hanging="357"/>
        <w:jc w:val="left"/>
      </w:pPr>
      <w:rPr>
        <w:rFonts w:hint="default" w:ascii="Times New Roman" w:hAnsi="Times New Roman" w:eastAsia="Times New Roman" w:cs="Times New Roman"/>
        <w:w w:val="112"/>
      </w:rPr>
    </w:lvl>
    <w:lvl w:ilvl="1">
      <w:start w:val="1"/>
      <w:numFmt w:val="bullet"/>
      <w:lvlText w:val="•"/>
      <w:lvlJc w:val="left"/>
      <w:pPr>
        <w:ind w:left="708" w:hanging="357"/>
      </w:pPr>
      <w:rPr>
        <w:rFonts w:hint="default"/>
      </w:rPr>
    </w:lvl>
    <w:lvl w:ilvl="2">
      <w:start w:val="1"/>
      <w:numFmt w:val="bullet"/>
      <w:lvlText w:val="•"/>
      <w:lvlJc w:val="left"/>
      <w:pPr>
        <w:ind w:left="1296" w:hanging="357"/>
      </w:pPr>
      <w:rPr>
        <w:rFonts w:hint="default"/>
      </w:rPr>
    </w:lvl>
    <w:lvl w:ilvl="3">
      <w:start w:val="1"/>
      <w:numFmt w:val="bullet"/>
      <w:lvlText w:val="•"/>
      <w:lvlJc w:val="left"/>
      <w:pPr>
        <w:ind w:left="1884" w:hanging="357"/>
      </w:pPr>
      <w:rPr>
        <w:rFonts w:hint="default"/>
      </w:rPr>
    </w:lvl>
    <w:lvl w:ilvl="4">
      <w:start w:val="1"/>
      <w:numFmt w:val="bullet"/>
      <w:lvlText w:val="•"/>
      <w:lvlJc w:val="left"/>
      <w:pPr>
        <w:ind w:left="2472" w:hanging="357"/>
      </w:pPr>
      <w:rPr>
        <w:rFonts w:hint="default"/>
      </w:rPr>
    </w:lvl>
    <w:lvl w:ilvl="5">
      <w:start w:val="1"/>
      <w:numFmt w:val="bullet"/>
      <w:lvlText w:val="•"/>
      <w:lvlJc w:val="left"/>
      <w:pPr>
        <w:ind w:left="3060" w:hanging="357"/>
      </w:pPr>
      <w:rPr>
        <w:rFonts w:hint="default"/>
      </w:rPr>
    </w:lvl>
    <w:lvl w:ilvl="6">
      <w:start w:val="1"/>
      <w:numFmt w:val="bullet"/>
      <w:lvlText w:val="•"/>
      <w:lvlJc w:val="left"/>
      <w:pPr>
        <w:ind w:left="3648" w:hanging="357"/>
      </w:pPr>
      <w:rPr>
        <w:rFonts w:hint="default"/>
      </w:rPr>
    </w:lvl>
    <w:lvl w:ilvl="7">
      <w:start w:val="1"/>
      <w:numFmt w:val="bullet"/>
      <w:lvlText w:val="•"/>
      <w:lvlJc w:val="left"/>
      <w:pPr>
        <w:ind w:left="4236" w:hanging="357"/>
      </w:pPr>
      <w:rPr>
        <w:rFonts w:hint="default"/>
      </w:rPr>
    </w:lvl>
    <w:lvl w:ilvl="8">
      <w:start w:val="1"/>
      <w:numFmt w:val="bullet"/>
      <w:lvlText w:val="•"/>
      <w:lvlJc w:val="left"/>
      <w:pPr>
        <w:ind w:left="4824" w:hanging="357"/>
      </w:pPr>
      <w:rPr>
        <w:rFonts w:hint="default"/>
      </w:rPr>
    </w:lvl>
  </w:abstractNum>
  <w:abstractNum w:abstractNumId="8">
    <w:multiLevelType w:val="hybridMultilevel"/>
    <w:lvl w:ilvl="0">
      <w:start w:val="1"/>
      <w:numFmt w:val="lowerLetter"/>
      <w:lvlText w:val="(%1)"/>
      <w:lvlJc w:val="left"/>
      <w:pPr>
        <w:ind w:left="760" w:hanging="296"/>
        <w:jc w:val="left"/>
      </w:pPr>
      <w:rPr>
        <w:rFonts w:hint="default" w:ascii="Times New Roman" w:hAnsi="Times New Roman" w:eastAsia="Times New Roman" w:cs="Times New Roman"/>
        <w:w w:val="108"/>
        <w:sz w:val="17"/>
        <w:szCs w:val="17"/>
      </w:rPr>
    </w:lvl>
    <w:lvl w:ilvl="1">
      <w:start w:val="1"/>
      <w:numFmt w:val="bullet"/>
      <w:lvlText w:val="•"/>
      <w:lvlJc w:val="left"/>
      <w:pPr>
        <w:ind w:left="1286" w:hanging="296"/>
      </w:pPr>
      <w:rPr>
        <w:rFonts w:hint="default"/>
      </w:rPr>
    </w:lvl>
    <w:lvl w:ilvl="2">
      <w:start w:val="1"/>
      <w:numFmt w:val="bullet"/>
      <w:lvlText w:val="•"/>
      <w:lvlJc w:val="left"/>
      <w:pPr>
        <w:ind w:left="1812" w:hanging="296"/>
      </w:pPr>
      <w:rPr>
        <w:rFonts w:hint="default"/>
      </w:rPr>
    </w:lvl>
    <w:lvl w:ilvl="3">
      <w:start w:val="1"/>
      <w:numFmt w:val="bullet"/>
      <w:lvlText w:val="•"/>
      <w:lvlJc w:val="left"/>
      <w:pPr>
        <w:ind w:left="2338" w:hanging="296"/>
      </w:pPr>
      <w:rPr>
        <w:rFonts w:hint="default"/>
      </w:rPr>
    </w:lvl>
    <w:lvl w:ilvl="4">
      <w:start w:val="1"/>
      <w:numFmt w:val="bullet"/>
      <w:lvlText w:val="•"/>
      <w:lvlJc w:val="left"/>
      <w:pPr>
        <w:ind w:left="2864" w:hanging="296"/>
      </w:pPr>
      <w:rPr>
        <w:rFonts w:hint="default"/>
      </w:rPr>
    </w:lvl>
    <w:lvl w:ilvl="5">
      <w:start w:val="1"/>
      <w:numFmt w:val="bullet"/>
      <w:lvlText w:val="•"/>
      <w:lvlJc w:val="left"/>
      <w:pPr>
        <w:ind w:left="3390" w:hanging="296"/>
      </w:pPr>
      <w:rPr>
        <w:rFonts w:hint="default"/>
      </w:rPr>
    </w:lvl>
    <w:lvl w:ilvl="6">
      <w:start w:val="1"/>
      <w:numFmt w:val="bullet"/>
      <w:lvlText w:val="•"/>
      <w:lvlJc w:val="left"/>
      <w:pPr>
        <w:ind w:left="3916" w:hanging="296"/>
      </w:pPr>
      <w:rPr>
        <w:rFonts w:hint="default"/>
      </w:rPr>
    </w:lvl>
    <w:lvl w:ilvl="7">
      <w:start w:val="1"/>
      <w:numFmt w:val="bullet"/>
      <w:lvlText w:val="•"/>
      <w:lvlJc w:val="left"/>
      <w:pPr>
        <w:ind w:left="4442" w:hanging="296"/>
      </w:pPr>
      <w:rPr>
        <w:rFonts w:hint="default"/>
      </w:rPr>
    </w:lvl>
    <w:lvl w:ilvl="8">
      <w:start w:val="1"/>
      <w:numFmt w:val="bullet"/>
      <w:lvlText w:val="•"/>
      <w:lvlJc w:val="left"/>
      <w:pPr>
        <w:ind w:left="4968" w:hanging="296"/>
      </w:pPr>
      <w:rPr>
        <w:rFonts w:hint="default"/>
      </w:rPr>
    </w:lvl>
  </w:abstractNum>
  <w:abstractNum w:abstractNumId="2">
    <w:multiLevelType w:val="hybridMultilevel"/>
    <w:lvl w:ilvl="0">
      <w:start w:val="1"/>
      <w:numFmt w:val="bullet"/>
      <w:lvlText w:val="•"/>
      <w:lvlJc w:val="left"/>
      <w:pPr>
        <w:ind w:left="2351" w:hanging="769"/>
      </w:pPr>
      <w:rPr>
        <w:rFonts w:hint="default" w:ascii="Arial" w:hAnsi="Arial" w:eastAsia="Arial" w:cs="Arial"/>
        <w:color w:val="010101"/>
        <w:w w:val="247"/>
        <w:sz w:val="11"/>
        <w:szCs w:val="11"/>
      </w:rPr>
    </w:lvl>
    <w:lvl w:ilvl="1">
      <w:start w:val="1"/>
      <w:numFmt w:val="bullet"/>
      <w:lvlText w:val="•"/>
      <w:lvlJc w:val="left"/>
      <w:pPr>
        <w:ind w:left="2636" w:hanging="769"/>
      </w:pPr>
      <w:rPr>
        <w:rFonts w:hint="default"/>
      </w:rPr>
    </w:lvl>
    <w:lvl w:ilvl="2">
      <w:start w:val="1"/>
      <w:numFmt w:val="bullet"/>
      <w:lvlText w:val="•"/>
      <w:lvlJc w:val="left"/>
      <w:pPr>
        <w:ind w:left="2912" w:hanging="769"/>
      </w:pPr>
      <w:rPr>
        <w:rFonts w:hint="default"/>
      </w:rPr>
    </w:lvl>
    <w:lvl w:ilvl="3">
      <w:start w:val="1"/>
      <w:numFmt w:val="bullet"/>
      <w:lvlText w:val="•"/>
      <w:lvlJc w:val="left"/>
      <w:pPr>
        <w:ind w:left="3188" w:hanging="769"/>
      </w:pPr>
      <w:rPr>
        <w:rFonts w:hint="default"/>
      </w:rPr>
    </w:lvl>
    <w:lvl w:ilvl="4">
      <w:start w:val="1"/>
      <w:numFmt w:val="bullet"/>
      <w:lvlText w:val="•"/>
      <w:lvlJc w:val="left"/>
      <w:pPr>
        <w:ind w:left="3464" w:hanging="769"/>
      </w:pPr>
      <w:rPr>
        <w:rFonts w:hint="default"/>
      </w:rPr>
    </w:lvl>
    <w:lvl w:ilvl="5">
      <w:start w:val="1"/>
      <w:numFmt w:val="bullet"/>
      <w:lvlText w:val="•"/>
      <w:lvlJc w:val="left"/>
      <w:pPr>
        <w:ind w:left="3740" w:hanging="769"/>
      </w:pPr>
      <w:rPr>
        <w:rFonts w:hint="default"/>
      </w:rPr>
    </w:lvl>
    <w:lvl w:ilvl="6">
      <w:start w:val="1"/>
      <w:numFmt w:val="bullet"/>
      <w:lvlText w:val="•"/>
      <w:lvlJc w:val="left"/>
      <w:pPr>
        <w:ind w:left="4016" w:hanging="769"/>
      </w:pPr>
      <w:rPr>
        <w:rFonts w:hint="default"/>
      </w:rPr>
    </w:lvl>
    <w:lvl w:ilvl="7">
      <w:start w:val="1"/>
      <w:numFmt w:val="bullet"/>
      <w:lvlText w:val="•"/>
      <w:lvlJc w:val="left"/>
      <w:pPr>
        <w:ind w:left="4292" w:hanging="769"/>
      </w:pPr>
      <w:rPr>
        <w:rFonts w:hint="default"/>
      </w:rPr>
    </w:lvl>
    <w:lvl w:ilvl="8">
      <w:start w:val="1"/>
      <w:numFmt w:val="bullet"/>
      <w:lvlText w:val="•"/>
      <w:lvlJc w:val="left"/>
      <w:pPr>
        <w:ind w:left="4568" w:hanging="769"/>
      </w:pPr>
      <w:rPr>
        <w:rFonts w:hint="default"/>
      </w:rPr>
    </w:lvl>
  </w:abstractNum>
  <w:abstractNum w:abstractNumId="162">
    <w:multiLevelType w:val="hybridMultilevel"/>
    <w:lvl w:ilvl="0">
      <w:start w:val="1"/>
      <w:numFmt w:val="bullet"/>
      <w:lvlText w:val="-"/>
      <w:lvlJc w:val="left"/>
      <w:pPr>
        <w:ind w:left="301" w:hanging="130"/>
      </w:pPr>
      <w:rPr>
        <w:rFonts w:hint="default" w:ascii="Times New Roman" w:hAnsi="Times New Roman" w:eastAsia="Times New Roman" w:cs="Times New Roman"/>
        <w:w w:val="187"/>
      </w:rPr>
    </w:lvl>
    <w:lvl w:ilvl="1">
      <w:start w:val="1"/>
      <w:numFmt w:val="bullet"/>
      <w:lvlText w:val="•"/>
      <w:lvlJc w:val="left"/>
      <w:pPr>
        <w:ind w:left="383" w:hanging="130"/>
      </w:pPr>
      <w:rPr>
        <w:rFonts w:hint="default"/>
      </w:rPr>
    </w:lvl>
    <w:lvl w:ilvl="2">
      <w:start w:val="1"/>
      <w:numFmt w:val="bullet"/>
      <w:lvlText w:val="•"/>
      <w:lvlJc w:val="left"/>
      <w:pPr>
        <w:ind w:left="467" w:hanging="130"/>
      </w:pPr>
      <w:rPr>
        <w:rFonts w:hint="default"/>
      </w:rPr>
    </w:lvl>
    <w:lvl w:ilvl="3">
      <w:start w:val="1"/>
      <w:numFmt w:val="bullet"/>
      <w:lvlText w:val="•"/>
      <w:lvlJc w:val="left"/>
      <w:pPr>
        <w:ind w:left="551" w:hanging="130"/>
      </w:pPr>
      <w:rPr>
        <w:rFonts w:hint="default"/>
      </w:rPr>
    </w:lvl>
    <w:lvl w:ilvl="4">
      <w:start w:val="1"/>
      <w:numFmt w:val="bullet"/>
      <w:lvlText w:val="•"/>
      <w:lvlJc w:val="left"/>
      <w:pPr>
        <w:ind w:left="635" w:hanging="130"/>
      </w:pPr>
      <w:rPr>
        <w:rFonts w:hint="default"/>
      </w:rPr>
    </w:lvl>
    <w:lvl w:ilvl="5">
      <w:start w:val="1"/>
      <w:numFmt w:val="bullet"/>
      <w:lvlText w:val="•"/>
      <w:lvlJc w:val="left"/>
      <w:pPr>
        <w:ind w:left="719" w:hanging="130"/>
      </w:pPr>
      <w:rPr>
        <w:rFonts w:hint="default"/>
      </w:rPr>
    </w:lvl>
    <w:lvl w:ilvl="6">
      <w:start w:val="1"/>
      <w:numFmt w:val="bullet"/>
      <w:lvlText w:val="•"/>
      <w:lvlJc w:val="left"/>
      <w:pPr>
        <w:ind w:left="802" w:hanging="130"/>
      </w:pPr>
      <w:rPr>
        <w:rFonts w:hint="default"/>
      </w:rPr>
    </w:lvl>
    <w:lvl w:ilvl="7">
      <w:start w:val="1"/>
      <w:numFmt w:val="bullet"/>
      <w:lvlText w:val="•"/>
      <w:lvlJc w:val="left"/>
      <w:pPr>
        <w:ind w:left="886" w:hanging="130"/>
      </w:pPr>
      <w:rPr>
        <w:rFonts w:hint="default"/>
      </w:rPr>
    </w:lvl>
    <w:lvl w:ilvl="8">
      <w:start w:val="1"/>
      <w:numFmt w:val="bullet"/>
      <w:lvlText w:val="•"/>
      <w:lvlJc w:val="left"/>
      <w:pPr>
        <w:ind w:left="970" w:hanging="130"/>
      </w:pPr>
      <w:rPr>
        <w:rFonts w:hint="default"/>
      </w:rPr>
    </w:lvl>
  </w:abstractNum>
  <w:abstractNum w:abstractNumId="161">
    <w:multiLevelType w:val="hybridMultilevel"/>
    <w:lvl w:ilvl="0">
      <w:start w:val="10"/>
      <w:numFmt w:val="decimal"/>
      <w:lvlText w:val="%1."/>
      <w:lvlJc w:val="left"/>
      <w:pPr>
        <w:ind w:left="372" w:hanging="247"/>
        <w:jc w:val="left"/>
      </w:pPr>
      <w:rPr>
        <w:rFonts w:hint="default" w:ascii="Times New Roman" w:hAnsi="Times New Roman" w:eastAsia="Times New Roman" w:cs="Times New Roman"/>
        <w:spacing w:val="-33"/>
        <w:w w:val="98"/>
      </w:rPr>
    </w:lvl>
    <w:lvl w:ilvl="1">
      <w:start w:val="1"/>
      <w:numFmt w:val="bullet"/>
      <w:lvlText w:val="•"/>
      <w:lvlJc w:val="left"/>
      <w:pPr>
        <w:ind w:left="940" w:hanging="247"/>
      </w:pPr>
      <w:rPr>
        <w:rFonts w:hint="default"/>
      </w:rPr>
    </w:lvl>
    <w:lvl w:ilvl="2">
      <w:start w:val="1"/>
      <w:numFmt w:val="bullet"/>
      <w:lvlText w:val="•"/>
      <w:lvlJc w:val="left"/>
      <w:pPr>
        <w:ind w:left="1500" w:hanging="247"/>
      </w:pPr>
      <w:rPr>
        <w:rFonts w:hint="default"/>
      </w:rPr>
    </w:lvl>
    <w:lvl w:ilvl="3">
      <w:start w:val="1"/>
      <w:numFmt w:val="bullet"/>
      <w:lvlText w:val="•"/>
      <w:lvlJc w:val="left"/>
      <w:pPr>
        <w:ind w:left="2060" w:hanging="247"/>
      </w:pPr>
      <w:rPr>
        <w:rFonts w:hint="default"/>
      </w:rPr>
    </w:lvl>
    <w:lvl w:ilvl="4">
      <w:start w:val="1"/>
      <w:numFmt w:val="bullet"/>
      <w:lvlText w:val="•"/>
      <w:lvlJc w:val="left"/>
      <w:pPr>
        <w:ind w:left="2620" w:hanging="247"/>
      </w:pPr>
      <w:rPr>
        <w:rFonts w:hint="default"/>
      </w:rPr>
    </w:lvl>
    <w:lvl w:ilvl="5">
      <w:start w:val="1"/>
      <w:numFmt w:val="bullet"/>
      <w:lvlText w:val="•"/>
      <w:lvlJc w:val="left"/>
      <w:pPr>
        <w:ind w:left="3180" w:hanging="247"/>
      </w:pPr>
      <w:rPr>
        <w:rFonts w:hint="default"/>
      </w:rPr>
    </w:lvl>
    <w:lvl w:ilvl="6">
      <w:start w:val="1"/>
      <w:numFmt w:val="bullet"/>
      <w:lvlText w:val="•"/>
      <w:lvlJc w:val="left"/>
      <w:pPr>
        <w:ind w:left="3740" w:hanging="247"/>
      </w:pPr>
      <w:rPr>
        <w:rFonts w:hint="default"/>
      </w:rPr>
    </w:lvl>
    <w:lvl w:ilvl="7">
      <w:start w:val="1"/>
      <w:numFmt w:val="bullet"/>
      <w:lvlText w:val="•"/>
      <w:lvlJc w:val="left"/>
      <w:pPr>
        <w:ind w:left="4300" w:hanging="247"/>
      </w:pPr>
      <w:rPr>
        <w:rFonts w:hint="default"/>
      </w:rPr>
    </w:lvl>
    <w:lvl w:ilvl="8">
      <w:start w:val="1"/>
      <w:numFmt w:val="bullet"/>
      <w:lvlText w:val="•"/>
      <w:lvlJc w:val="left"/>
      <w:pPr>
        <w:ind w:left="4860" w:hanging="247"/>
      </w:pPr>
      <w:rPr>
        <w:rFonts w:hint="default"/>
      </w:rPr>
    </w:lvl>
  </w:abstractNum>
  <w:abstractNum w:abstractNumId="160">
    <w:multiLevelType w:val="hybridMultilevel"/>
    <w:lvl w:ilvl="0">
      <w:start w:val="23"/>
      <w:numFmt w:val="lowerLetter"/>
      <w:lvlText w:val="(%1)"/>
      <w:lvlJc w:val="left"/>
      <w:pPr>
        <w:ind w:left="584" w:hanging="611"/>
        <w:jc w:val="left"/>
      </w:pPr>
      <w:rPr>
        <w:rFonts w:hint="default" w:ascii="Arial" w:hAnsi="Arial" w:eastAsia="Arial" w:cs="Arial"/>
        <w:color w:val="010101"/>
        <w:w w:val="133"/>
        <w:sz w:val="10"/>
        <w:szCs w:val="10"/>
      </w:rPr>
    </w:lvl>
    <w:lvl w:ilvl="1">
      <w:start w:val="1"/>
      <w:numFmt w:val="bullet"/>
      <w:lvlText w:val="·"/>
      <w:lvlJc w:val="left"/>
      <w:pPr>
        <w:ind w:left="248" w:hanging="144"/>
      </w:pPr>
      <w:rPr>
        <w:rFonts w:hint="default" w:ascii="Times New Roman" w:hAnsi="Times New Roman" w:eastAsia="Times New Roman" w:cs="Times New Roman"/>
        <w:w w:val="79"/>
      </w:rPr>
    </w:lvl>
    <w:lvl w:ilvl="2">
      <w:start w:val="1"/>
      <w:numFmt w:val="bullet"/>
      <w:lvlText w:val="•"/>
      <w:lvlJc w:val="left"/>
      <w:pPr>
        <w:ind w:left="780" w:hanging="144"/>
      </w:pPr>
      <w:rPr>
        <w:rFonts w:hint="default"/>
      </w:rPr>
    </w:lvl>
    <w:lvl w:ilvl="3">
      <w:start w:val="1"/>
      <w:numFmt w:val="bullet"/>
      <w:lvlText w:val="•"/>
      <w:lvlJc w:val="left"/>
      <w:pPr>
        <w:ind w:left="615" w:hanging="144"/>
      </w:pPr>
      <w:rPr>
        <w:rFonts w:hint="default"/>
      </w:rPr>
    </w:lvl>
    <w:lvl w:ilvl="4">
      <w:start w:val="1"/>
      <w:numFmt w:val="bullet"/>
      <w:lvlText w:val="•"/>
      <w:lvlJc w:val="left"/>
      <w:pPr>
        <w:ind w:left="450" w:hanging="144"/>
      </w:pPr>
      <w:rPr>
        <w:rFonts w:hint="default"/>
      </w:rPr>
    </w:lvl>
    <w:lvl w:ilvl="5">
      <w:start w:val="1"/>
      <w:numFmt w:val="bullet"/>
      <w:lvlText w:val="•"/>
      <w:lvlJc w:val="left"/>
      <w:pPr>
        <w:ind w:left="286" w:hanging="144"/>
      </w:pPr>
      <w:rPr>
        <w:rFonts w:hint="default"/>
      </w:rPr>
    </w:lvl>
    <w:lvl w:ilvl="6">
      <w:start w:val="1"/>
      <w:numFmt w:val="bullet"/>
      <w:lvlText w:val="•"/>
      <w:lvlJc w:val="left"/>
      <w:pPr>
        <w:ind w:left="121" w:hanging="144"/>
      </w:pPr>
      <w:rPr>
        <w:rFonts w:hint="default"/>
      </w:rPr>
    </w:lvl>
    <w:lvl w:ilvl="7">
      <w:start w:val="1"/>
      <w:numFmt w:val="bullet"/>
      <w:lvlText w:val="•"/>
      <w:lvlJc w:val="left"/>
      <w:pPr>
        <w:ind w:left="-44" w:hanging="144"/>
      </w:pPr>
      <w:rPr>
        <w:rFonts w:hint="default"/>
      </w:rPr>
    </w:lvl>
    <w:lvl w:ilvl="8">
      <w:start w:val="1"/>
      <w:numFmt w:val="bullet"/>
      <w:lvlText w:val="•"/>
      <w:lvlJc w:val="left"/>
      <w:pPr>
        <w:ind w:left="-208" w:hanging="144"/>
      </w:pPr>
      <w:rPr>
        <w:rFonts w:hint="default"/>
      </w:rPr>
    </w:lvl>
  </w:abstractNum>
  <w:abstractNum w:abstractNumId="158">
    <w:multiLevelType w:val="hybridMultilevel"/>
    <w:lvl w:ilvl="0">
      <w:start w:val="27"/>
      <w:numFmt w:val="decimal"/>
      <w:lvlText w:val="%1."/>
      <w:lvlJc w:val="left"/>
      <w:pPr>
        <w:ind w:left="467" w:hanging="353"/>
        <w:jc w:val="left"/>
      </w:pPr>
      <w:rPr>
        <w:rFonts w:hint="default" w:ascii="Times New Roman" w:hAnsi="Times New Roman" w:eastAsia="Times New Roman" w:cs="Times New Roman"/>
        <w:w w:val="102"/>
      </w:rPr>
    </w:lvl>
    <w:lvl w:ilvl="1">
      <w:start w:val="1"/>
      <w:numFmt w:val="bullet"/>
      <w:lvlText w:val="•"/>
      <w:lvlJc w:val="left"/>
      <w:pPr>
        <w:ind w:left="486" w:hanging="353"/>
      </w:pPr>
      <w:rPr>
        <w:rFonts w:hint="default"/>
      </w:rPr>
    </w:lvl>
    <w:lvl w:ilvl="2">
      <w:start w:val="1"/>
      <w:numFmt w:val="bullet"/>
      <w:lvlText w:val="•"/>
      <w:lvlJc w:val="left"/>
      <w:pPr>
        <w:ind w:left="512" w:hanging="353"/>
      </w:pPr>
      <w:rPr>
        <w:rFonts w:hint="default"/>
      </w:rPr>
    </w:lvl>
    <w:lvl w:ilvl="3">
      <w:start w:val="1"/>
      <w:numFmt w:val="bullet"/>
      <w:lvlText w:val="•"/>
      <w:lvlJc w:val="left"/>
      <w:pPr>
        <w:ind w:left="539" w:hanging="353"/>
      </w:pPr>
      <w:rPr>
        <w:rFonts w:hint="default"/>
      </w:rPr>
    </w:lvl>
    <w:lvl w:ilvl="4">
      <w:start w:val="1"/>
      <w:numFmt w:val="bullet"/>
      <w:lvlText w:val="•"/>
      <w:lvlJc w:val="left"/>
      <w:pPr>
        <w:ind w:left="565" w:hanging="353"/>
      </w:pPr>
      <w:rPr>
        <w:rFonts w:hint="default"/>
      </w:rPr>
    </w:lvl>
    <w:lvl w:ilvl="5">
      <w:start w:val="1"/>
      <w:numFmt w:val="bullet"/>
      <w:lvlText w:val="•"/>
      <w:lvlJc w:val="left"/>
      <w:pPr>
        <w:ind w:left="592" w:hanging="353"/>
      </w:pPr>
      <w:rPr>
        <w:rFonts w:hint="default"/>
      </w:rPr>
    </w:lvl>
    <w:lvl w:ilvl="6">
      <w:start w:val="1"/>
      <w:numFmt w:val="bullet"/>
      <w:lvlText w:val="•"/>
      <w:lvlJc w:val="left"/>
      <w:pPr>
        <w:ind w:left="618" w:hanging="353"/>
      </w:pPr>
      <w:rPr>
        <w:rFonts w:hint="default"/>
      </w:rPr>
    </w:lvl>
    <w:lvl w:ilvl="7">
      <w:start w:val="1"/>
      <w:numFmt w:val="bullet"/>
      <w:lvlText w:val="•"/>
      <w:lvlJc w:val="left"/>
      <w:pPr>
        <w:ind w:left="645" w:hanging="353"/>
      </w:pPr>
      <w:rPr>
        <w:rFonts w:hint="default"/>
      </w:rPr>
    </w:lvl>
    <w:lvl w:ilvl="8">
      <w:start w:val="1"/>
      <w:numFmt w:val="bullet"/>
      <w:lvlText w:val="•"/>
      <w:lvlJc w:val="left"/>
      <w:pPr>
        <w:ind w:left="671" w:hanging="353"/>
      </w:pPr>
      <w:rPr>
        <w:rFonts w:hint="default"/>
      </w:rPr>
    </w:lvl>
  </w:abstractNum>
  <w:abstractNum w:abstractNumId="156">
    <w:multiLevelType w:val="hybridMultilevel"/>
    <w:lvl w:ilvl="0">
      <w:start w:val="19"/>
      <w:numFmt w:val="decimal"/>
      <w:lvlText w:val="%1."/>
      <w:lvlJc w:val="left"/>
      <w:pPr>
        <w:ind w:left="494" w:hanging="371"/>
        <w:jc w:val="left"/>
      </w:pPr>
      <w:rPr>
        <w:rFonts w:hint="default" w:ascii="Times New Roman" w:hAnsi="Times New Roman" w:eastAsia="Times New Roman" w:cs="Times New Roman"/>
        <w:w w:val="109"/>
      </w:rPr>
    </w:lvl>
    <w:lvl w:ilvl="1">
      <w:start w:val="1"/>
      <w:numFmt w:val="bullet"/>
      <w:lvlText w:val="•"/>
      <w:lvlJc w:val="left"/>
      <w:pPr>
        <w:ind w:left="1044" w:hanging="371"/>
      </w:pPr>
      <w:rPr>
        <w:rFonts w:hint="default"/>
      </w:rPr>
    </w:lvl>
    <w:lvl w:ilvl="2">
      <w:start w:val="1"/>
      <w:numFmt w:val="bullet"/>
      <w:lvlText w:val="•"/>
      <w:lvlJc w:val="left"/>
      <w:pPr>
        <w:ind w:left="1588" w:hanging="371"/>
      </w:pPr>
      <w:rPr>
        <w:rFonts w:hint="default"/>
      </w:rPr>
    </w:lvl>
    <w:lvl w:ilvl="3">
      <w:start w:val="1"/>
      <w:numFmt w:val="bullet"/>
      <w:lvlText w:val="•"/>
      <w:lvlJc w:val="left"/>
      <w:pPr>
        <w:ind w:left="2132" w:hanging="371"/>
      </w:pPr>
      <w:rPr>
        <w:rFonts w:hint="default"/>
      </w:rPr>
    </w:lvl>
    <w:lvl w:ilvl="4">
      <w:start w:val="1"/>
      <w:numFmt w:val="bullet"/>
      <w:lvlText w:val="•"/>
      <w:lvlJc w:val="left"/>
      <w:pPr>
        <w:ind w:left="2676" w:hanging="371"/>
      </w:pPr>
      <w:rPr>
        <w:rFonts w:hint="default"/>
      </w:rPr>
    </w:lvl>
    <w:lvl w:ilvl="5">
      <w:start w:val="1"/>
      <w:numFmt w:val="bullet"/>
      <w:lvlText w:val="•"/>
      <w:lvlJc w:val="left"/>
      <w:pPr>
        <w:ind w:left="3220" w:hanging="371"/>
      </w:pPr>
      <w:rPr>
        <w:rFonts w:hint="default"/>
      </w:rPr>
    </w:lvl>
    <w:lvl w:ilvl="6">
      <w:start w:val="1"/>
      <w:numFmt w:val="bullet"/>
      <w:lvlText w:val="•"/>
      <w:lvlJc w:val="left"/>
      <w:pPr>
        <w:ind w:left="3764" w:hanging="371"/>
      </w:pPr>
      <w:rPr>
        <w:rFonts w:hint="default"/>
      </w:rPr>
    </w:lvl>
    <w:lvl w:ilvl="7">
      <w:start w:val="1"/>
      <w:numFmt w:val="bullet"/>
      <w:lvlText w:val="•"/>
      <w:lvlJc w:val="left"/>
      <w:pPr>
        <w:ind w:left="4308" w:hanging="371"/>
      </w:pPr>
      <w:rPr>
        <w:rFonts w:hint="default"/>
      </w:rPr>
    </w:lvl>
    <w:lvl w:ilvl="8">
      <w:start w:val="1"/>
      <w:numFmt w:val="bullet"/>
      <w:lvlText w:val="•"/>
      <w:lvlJc w:val="left"/>
      <w:pPr>
        <w:ind w:left="4852" w:hanging="371"/>
      </w:pPr>
      <w:rPr>
        <w:rFonts w:hint="default"/>
      </w:rPr>
    </w:lvl>
  </w:abstractNum>
  <w:abstractNum w:abstractNumId="155">
    <w:multiLevelType w:val="hybridMultilevel"/>
    <w:lvl w:ilvl="0">
      <w:start w:val="20"/>
      <w:numFmt w:val="decimal"/>
      <w:lvlText w:val="%1."/>
      <w:lvlJc w:val="left"/>
      <w:pPr>
        <w:ind w:left="492" w:hanging="360"/>
        <w:jc w:val="left"/>
      </w:pPr>
      <w:rPr>
        <w:rFonts w:hint="default" w:ascii="Times New Roman" w:hAnsi="Times New Roman" w:eastAsia="Times New Roman" w:cs="Times New Roman"/>
        <w:w w:val="99"/>
        <w:sz w:val="20"/>
        <w:szCs w:val="20"/>
      </w:rPr>
    </w:lvl>
    <w:lvl w:ilvl="1">
      <w:start w:val="1"/>
      <w:numFmt w:val="bullet"/>
      <w:lvlText w:val="•"/>
      <w:lvlJc w:val="left"/>
      <w:pPr>
        <w:ind w:left="500" w:hanging="360"/>
      </w:pPr>
      <w:rPr>
        <w:rFonts w:hint="default"/>
      </w:rPr>
    </w:lvl>
    <w:lvl w:ilvl="2">
      <w:start w:val="1"/>
      <w:numFmt w:val="bullet"/>
      <w:lvlText w:val="•"/>
      <w:lvlJc w:val="left"/>
      <w:pPr>
        <w:ind w:left="919" w:hanging="360"/>
      </w:pPr>
      <w:rPr>
        <w:rFonts w:hint="default"/>
      </w:rPr>
    </w:lvl>
    <w:lvl w:ilvl="3">
      <w:start w:val="1"/>
      <w:numFmt w:val="bullet"/>
      <w:lvlText w:val="•"/>
      <w:lvlJc w:val="left"/>
      <w:pPr>
        <w:ind w:left="1339" w:hanging="360"/>
      </w:pPr>
      <w:rPr>
        <w:rFonts w:hint="default"/>
      </w:rPr>
    </w:lvl>
    <w:lvl w:ilvl="4">
      <w:start w:val="1"/>
      <w:numFmt w:val="bullet"/>
      <w:lvlText w:val="•"/>
      <w:lvlJc w:val="left"/>
      <w:pPr>
        <w:ind w:left="1758" w:hanging="360"/>
      </w:pPr>
      <w:rPr>
        <w:rFonts w:hint="default"/>
      </w:rPr>
    </w:lvl>
    <w:lvl w:ilvl="5">
      <w:start w:val="1"/>
      <w:numFmt w:val="bullet"/>
      <w:lvlText w:val="•"/>
      <w:lvlJc w:val="left"/>
      <w:pPr>
        <w:ind w:left="2178" w:hanging="360"/>
      </w:pPr>
      <w:rPr>
        <w:rFonts w:hint="default"/>
      </w:rPr>
    </w:lvl>
    <w:lvl w:ilvl="6">
      <w:start w:val="1"/>
      <w:numFmt w:val="bullet"/>
      <w:lvlText w:val="•"/>
      <w:lvlJc w:val="left"/>
      <w:pPr>
        <w:ind w:left="2598" w:hanging="360"/>
      </w:pPr>
      <w:rPr>
        <w:rFonts w:hint="default"/>
      </w:rPr>
    </w:lvl>
    <w:lvl w:ilvl="7">
      <w:start w:val="1"/>
      <w:numFmt w:val="bullet"/>
      <w:lvlText w:val="•"/>
      <w:lvlJc w:val="left"/>
      <w:pPr>
        <w:ind w:left="3017" w:hanging="360"/>
      </w:pPr>
      <w:rPr>
        <w:rFonts w:hint="default"/>
      </w:rPr>
    </w:lvl>
    <w:lvl w:ilvl="8">
      <w:start w:val="1"/>
      <w:numFmt w:val="bullet"/>
      <w:lvlText w:val="•"/>
      <w:lvlJc w:val="left"/>
      <w:pPr>
        <w:ind w:left="3437" w:hanging="360"/>
      </w:pPr>
      <w:rPr>
        <w:rFonts w:hint="default"/>
      </w:rPr>
    </w:lvl>
  </w:abstractNum>
  <w:abstractNum w:abstractNumId="153">
    <w:multiLevelType w:val="hybridMultilevel"/>
    <w:lvl w:ilvl="0">
      <w:start w:val="21"/>
      <w:numFmt w:val="decimal"/>
      <w:lvlText w:val="%1."/>
      <w:lvlJc w:val="left"/>
      <w:pPr>
        <w:ind w:left="477" w:hanging="353"/>
        <w:jc w:val="left"/>
      </w:pPr>
      <w:rPr>
        <w:rFonts w:hint="default" w:ascii="Times New Roman" w:hAnsi="Times New Roman" w:eastAsia="Times New Roman" w:cs="Times New Roman"/>
        <w:w w:val="102"/>
        <w:sz w:val="20"/>
        <w:szCs w:val="20"/>
      </w:rPr>
    </w:lvl>
    <w:lvl w:ilvl="1">
      <w:start w:val="1"/>
      <w:numFmt w:val="bullet"/>
      <w:lvlText w:val="•"/>
      <w:lvlJc w:val="left"/>
      <w:pPr>
        <w:ind w:left="619" w:hanging="353"/>
      </w:pPr>
      <w:rPr>
        <w:rFonts w:hint="default"/>
      </w:rPr>
    </w:lvl>
    <w:lvl w:ilvl="2">
      <w:start w:val="1"/>
      <w:numFmt w:val="bullet"/>
      <w:lvlText w:val="•"/>
      <w:lvlJc w:val="left"/>
      <w:pPr>
        <w:ind w:left="759" w:hanging="353"/>
      </w:pPr>
      <w:rPr>
        <w:rFonts w:hint="default"/>
      </w:rPr>
    </w:lvl>
    <w:lvl w:ilvl="3">
      <w:start w:val="1"/>
      <w:numFmt w:val="bullet"/>
      <w:lvlText w:val="•"/>
      <w:lvlJc w:val="left"/>
      <w:pPr>
        <w:ind w:left="899" w:hanging="353"/>
      </w:pPr>
      <w:rPr>
        <w:rFonts w:hint="default"/>
      </w:rPr>
    </w:lvl>
    <w:lvl w:ilvl="4">
      <w:start w:val="1"/>
      <w:numFmt w:val="bullet"/>
      <w:lvlText w:val="•"/>
      <w:lvlJc w:val="left"/>
      <w:pPr>
        <w:ind w:left="1039" w:hanging="353"/>
      </w:pPr>
      <w:rPr>
        <w:rFonts w:hint="default"/>
      </w:rPr>
    </w:lvl>
    <w:lvl w:ilvl="5">
      <w:start w:val="1"/>
      <w:numFmt w:val="bullet"/>
      <w:lvlText w:val="•"/>
      <w:lvlJc w:val="left"/>
      <w:pPr>
        <w:ind w:left="1179" w:hanging="353"/>
      </w:pPr>
      <w:rPr>
        <w:rFonts w:hint="default"/>
      </w:rPr>
    </w:lvl>
    <w:lvl w:ilvl="6">
      <w:start w:val="1"/>
      <w:numFmt w:val="bullet"/>
      <w:lvlText w:val="•"/>
      <w:lvlJc w:val="left"/>
      <w:pPr>
        <w:ind w:left="1319" w:hanging="353"/>
      </w:pPr>
      <w:rPr>
        <w:rFonts w:hint="default"/>
      </w:rPr>
    </w:lvl>
    <w:lvl w:ilvl="7">
      <w:start w:val="1"/>
      <w:numFmt w:val="bullet"/>
      <w:lvlText w:val="•"/>
      <w:lvlJc w:val="left"/>
      <w:pPr>
        <w:ind w:left="1459" w:hanging="353"/>
      </w:pPr>
      <w:rPr>
        <w:rFonts w:hint="default"/>
      </w:rPr>
    </w:lvl>
    <w:lvl w:ilvl="8">
      <w:start w:val="1"/>
      <w:numFmt w:val="bullet"/>
      <w:lvlText w:val="•"/>
      <w:lvlJc w:val="left"/>
      <w:pPr>
        <w:ind w:left="1599" w:hanging="353"/>
      </w:pPr>
      <w:rPr>
        <w:rFonts w:hint="default"/>
      </w:rPr>
    </w:lvl>
  </w:abstractNum>
  <w:abstractNum w:abstractNumId="152">
    <w:multiLevelType w:val="hybridMultilevel"/>
    <w:lvl w:ilvl="0">
      <w:start w:val="9"/>
      <w:numFmt w:val="decimal"/>
      <w:lvlText w:val="%1."/>
      <w:lvlJc w:val="left"/>
      <w:pPr>
        <w:ind w:left="444" w:hanging="252"/>
        <w:jc w:val="right"/>
      </w:pPr>
      <w:rPr>
        <w:rFonts w:hint="default" w:ascii="Times New Roman" w:hAnsi="Times New Roman" w:eastAsia="Times New Roman" w:cs="Times New Roman"/>
        <w:w w:val="113"/>
      </w:rPr>
    </w:lvl>
    <w:lvl w:ilvl="1">
      <w:start w:val="1"/>
      <w:numFmt w:val="bullet"/>
      <w:lvlText w:val="•"/>
      <w:lvlJc w:val="left"/>
      <w:pPr>
        <w:ind w:left="944" w:hanging="252"/>
      </w:pPr>
      <w:rPr>
        <w:rFonts w:hint="default"/>
      </w:rPr>
    </w:lvl>
    <w:lvl w:ilvl="2">
      <w:start w:val="1"/>
      <w:numFmt w:val="bullet"/>
      <w:lvlText w:val="•"/>
      <w:lvlJc w:val="left"/>
      <w:pPr>
        <w:ind w:left="1448" w:hanging="252"/>
      </w:pPr>
      <w:rPr>
        <w:rFonts w:hint="default"/>
      </w:rPr>
    </w:lvl>
    <w:lvl w:ilvl="3">
      <w:start w:val="1"/>
      <w:numFmt w:val="bullet"/>
      <w:lvlText w:val="•"/>
      <w:lvlJc w:val="left"/>
      <w:pPr>
        <w:ind w:left="1952" w:hanging="252"/>
      </w:pPr>
      <w:rPr>
        <w:rFonts w:hint="default"/>
      </w:rPr>
    </w:lvl>
    <w:lvl w:ilvl="4">
      <w:start w:val="1"/>
      <w:numFmt w:val="bullet"/>
      <w:lvlText w:val="•"/>
      <w:lvlJc w:val="left"/>
      <w:pPr>
        <w:ind w:left="2456" w:hanging="252"/>
      </w:pPr>
      <w:rPr>
        <w:rFonts w:hint="default"/>
      </w:rPr>
    </w:lvl>
    <w:lvl w:ilvl="5">
      <w:start w:val="1"/>
      <w:numFmt w:val="bullet"/>
      <w:lvlText w:val="•"/>
      <w:lvlJc w:val="left"/>
      <w:pPr>
        <w:ind w:left="2960" w:hanging="252"/>
      </w:pPr>
      <w:rPr>
        <w:rFonts w:hint="default"/>
      </w:rPr>
    </w:lvl>
    <w:lvl w:ilvl="6">
      <w:start w:val="1"/>
      <w:numFmt w:val="bullet"/>
      <w:lvlText w:val="•"/>
      <w:lvlJc w:val="left"/>
      <w:pPr>
        <w:ind w:left="3464" w:hanging="252"/>
      </w:pPr>
      <w:rPr>
        <w:rFonts w:hint="default"/>
      </w:rPr>
    </w:lvl>
    <w:lvl w:ilvl="7">
      <w:start w:val="1"/>
      <w:numFmt w:val="bullet"/>
      <w:lvlText w:val="•"/>
      <w:lvlJc w:val="left"/>
      <w:pPr>
        <w:ind w:left="3968" w:hanging="252"/>
      </w:pPr>
      <w:rPr>
        <w:rFonts w:hint="default"/>
      </w:rPr>
    </w:lvl>
    <w:lvl w:ilvl="8">
      <w:start w:val="1"/>
      <w:numFmt w:val="bullet"/>
      <w:lvlText w:val="•"/>
      <w:lvlJc w:val="left"/>
      <w:pPr>
        <w:ind w:left="4472" w:hanging="252"/>
      </w:pPr>
      <w:rPr>
        <w:rFonts w:hint="default"/>
      </w:rPr>
    </w:lvl>
  </w:abstractNum>
  <w:abstractNum w:abstractNumId="151">
    <w:multiLevelType w:val="hybridMultilevel"/>
    <w:lvl w:ilvl="0">
      <w:start w:val="11"/>
      <w:numFmt w:val="decimal"/>
      <w:lvlText w:val="%1."/>
      <w:lvlJc w:val="left"/>
      <w:pPr>
        <w:ind w:left="470" w:hanging="280"/>
        <w:jc w:val="right"/>
      </w:pPr>
      <w:rPr>
        <w:rFonts w:hint="default" w:ascii="Times New Roman" w:hAnsi="Times New Roman" w:eastAsia="Times New Roman" w:cs="Times New Roman"/>
        <w:w w:val="91"/>
      </w:rPr>
    </w:lvl>
    <w:lvl w:ilvl="1">
      <w:start w:val="1"/>
      <w:numFmt w:val="bullet"/>
      <w:lvlText w:val="•"/>
      <w:lvlJc w:val="left"/>
      <w:pPr>
        <w:ind w:left="976" w:hanging="280"/>
      </w:pPr>
      <w:rPr>
        <w:rFonts w:hint="default"/>
      </w:rPr>
    </w:lvl>
    <w:lvl w:ilvl="2">
      <w:start w:val="1"/>
      <w:numFmt w:val="bullet"/>
      <w:lvlText w:val="•"/>
      <w:lvlJc w:val="left"/>
      <w:pPr>
        <w:ind w:left="1472" w:hanging="280"/>
      </w:pPr>
      <w:rPr>
        <w:rFonts w:hint="default"/>
      </w:rPr>
    </w:lvl>
    <w:lvl w:ilvl="3">
      <w:start w:val="1"/>
      <w:numFmt w:val="bullet"/>
      <w:lvlText w:val="•"/>
      <w:lvlJc w:val="left"/>
      <w:pPr>
        <w:ind w:left="1968" w:hanging="280"/>
      </w:pPr>
      <w:rPr>
        <w:rFonts w:hint="default"/>
      </w:rPr>
    </w:lvl>
    <w:lvl w:ilvl="4">
      <w:start w:val="1"/>
      <w:numFmt w:val="bullet"/>
      <w:lvlText w:val="•"/>
      <w:lvlJc w:val="left"/>
      <w:pPr>
        <w:ind w:left="2464" w:hanging="280"/>
      </w:pPr>
      <w:rPr>
        <w:rFonts w:hint="default"/>
      </w:rPr>
    </w:lvl>
    <w:lvl w:ilvl="5">
      <w:start w:val="1"/>
      <w:numFmt w:val="bullet"/>
      <w:lvlText w:val="•"/>
      <w:lvlJc w:val="left"/>
      <w:pPr>
        <w:ind w:left="2960" w:hanging="280"/>
      </w:pPr>
      <w:rPr>
        <w:rFonts w:hint="default"/>
      </w:rPr>
    </w:lvl>
    <w:lvl w:ilvl="6">
      <w:start w:val="1"/>
      <w:numFmt w:val="bullet"/>
      <w:lvlText w:val="•"/>
      <w:lvlJc w:val="left"/>
      <w:pPr>
        <w:ind w:left="3456" w:hanging="280"/>
      </w:pPr>
      <w:rPr>
        <w:rFonts w:hint="default"/>
      </w:rPr>
    </w:lvl>
    <w:lvl w:ilvl="7">
      <w:start w:val="1"/>
      <w:numFmt w:val="bullet"/>
      <w:lvlText w:val="•"/>
      <w:lvlJc w:val="left"/>
      <w:pPr>
        <w:ind w:left="3952" w:hanging="280"/>
      </w:pPr>
      <w:rPr>
        <w:rFonts w:hint="default"/>
      </w:rPr>
    </w:lvl>
    <w:lvl w:ilvl="8">
      <w:start w:val="1"/>
      <w:numFmt w:val="bullet"/>
      <w:lvlText w:val="•"/>
      <w:lvlJc w:val="left"/>
      <w:pPr>
        <w:ind w:left="4448" w:hanging="280"/>
      </w:pPr>
      <w:rPr>
        <w:rFonts w:hint="default"/>
      </w:rPr>
    </w:lvl>
  </w:abstractNum>
  <w:abstractNum w:abstractNumId="150">
    <w:multiLevelType w:val="hybridMultilevel"/>
    <w:lvl w:ilvl="0">
      <w:start w:val="8"/>
      <w:numFmt w:val="decimal"/>
      <w:lvlText w:val="%1."/>
      <w:lvlJc w:val="left"/>
      <w:pPr>
        <w:ind w:left="305" w:hanging="184"/>
        <w:jc w:val="left"/>
      </w:pPr>
      <w:rPr>
        <w:rFonts w:hint="default" w:ascii="Times New Roman" w:hAnsi="Times New Roman" w:eastAsia="Times New Roman" w:cs="Times New Roman"/>
        <w:b/>
        <w:bCs/>
        <w:color w:val="010101"/>
        <w:w w:val="105"/>
        <w:sz w:val="16"/>
        <w:szCs w:val="16"/>
      </w:rPr>
    </w:lvl>
    <w:lvl w:ilvl="1">
      <w:start w:val="19"/>
      <w:numFmt w:val="decimal"/>
      <w:lvlText w:val="%2."/>
      <w:lvlJc w:val="left"/>
      <w:pPr>
        <w:ind w:left="122" w:hanging="280"/>
        <w:jc w:val="left"/>
      </w:pPr>
      <w:rPr>
        <w:rFonts w:hint="default" w:ascii="Times New Roman" w:hAnsi="Times New Roman" w:eastAsia="Times New Roman" w:cs="Times New Roman"/>
        <w:w w:val="101"/>
      </w:rPr>
    </w:lvl>
    <w:lvl w:ilvl="2">
      <w:start w:val="1"/>
      <w:numFmt w:val="lowerRoman"/>
      <w:lvlText w:val="(%3)"/>
      <w:lvlJc w:val="left"/>
      <w:pPr>
        <w:ind w:left="767" w:hanging="252"/>
        <w:jc w:val="left"/>
      </w:pPr>
      <w:rPr>
        <w:rFonts w:hint="default" w:ascii="Times New Roman" w:hAnsi="Times New Roman" w:eastAsia="Times New Roman" w:cs="Times New Roman"/>
        <w:w w:val="103"/>
        <w:sz w:val="17"/>
        <w:szCs w:val="17"/>
      </w:rPr>
    </w:lvl>
    <w:lvl w:ilvl="3">
      <w:start w:val="1"/>
      <w:numFmt w:val="bullet"/>
      <w:lvlText w:val="•"/>
      <w:lvlJc w:val="left"/>
      <w:pPr>
        <w:ind w:left="1415" w:hanging="252"/>
      </w:pPr>
      <w:rPr>
        <w:rFonts w:hint="default"/>
      </w:rPr>
    </w:lvl>
    <w:lvl w:ilvl="4">
      <w:start w:val="1"/>
      <w:numFmt w:val="bullet"/>
      <w:lvlText w:val="•"/>
      <w:lvlJc w:val="left"/>
      <w:pPr>
        <w:ind w:left="2070" w:hanging="252"/>
      </w:pPr>
      <w:rPr>
        <w:rFonts w:hint="default"/>
      </w:rPr>
    </w:lvl>
    <w:lvl w:ilvl="5">
      <w:start w:val="1"/>
      <w:numFmt w:val="bullet"/>
      <w:lvlText w:val="•"/>
      <w:lvlJc w:val="left"/>
      <w:pPr>
        <w:ind w:left="2725" w:hanging="252"/>
      </w:pPr>
      <w:rPr>
        <w:rFonts w:hint="default"/>
      </w:rPr>
    </w:lvl>
    <w:lvl w:ilvl="6">
      <w:start w:val="1"/>
      <w:numFmt w:val="bullet"/>
      <w:lvlText w:val="•"/>
      <w:lvlJc w:val="left"/>
      <w:pPr>
        <w:ind w:left="3380" w:hanging="252"/>
      </w:pPr>
      <w:rPr>
        <w:rFonts w:hint="default"/>
      </w:rPr>
    </w:lvl>
    <w:lvl w:ilvl="7">
      <w:start w:val="1"/>
      <w:numFmt w:val="bullet"/>
      <w:lvlText w:val="•"/>
      <w:lvlJc w:val="left"/>
      <w:pPr>
        <w:ind w:left="4035" w:hanging="252"/>
      </w:pPr>
      <w:rPr>
        <w:rFonts w:hint="default"/>
      </w:rPr>
    </w:lvl>
    <w:lvl w:ilvl="8">
      <w:start w:val="1"/>
      <w:numFmt w:val="bullet"/>
      <w:lvlText w:val="•"/>
      <w:lvlJc w:val="left"/>
      <w:pPr>
        <w:ind w:left="4690" w:hanging="252"/>
      </w:pPr>
      <w:rPr>
        <w:rFonts w:hint="default"/>
      </w:rPr>
    </w:lvl>
  </w:abstractNum>
  <w:abstractNum w:abstractNumId="149">
    <w:multiLevelType w:val="hybridMultilevel"/>
    <w:lvl w:ilvl="0">
      <w:start w:val="7"/>
      <w:numFmt w:val="decimal"/>
      <w:lvlText w:val="%1."/>
      <w:lvlJc w:val="left"/>
      <w:pPr>
        <w:ind w:left="298" w:hanging="180"/>
        <w:jc w:val="left"/>
      </w:pPr>
      <w:rPr>
        <w:rFonts w:hint="default" w:ascii="Times New Roman" w:hAnsi="Times New Roman" w:eastAsia="Times New Roman" w:cs="Times New Roman"/>
        <w:color w:val="010101"/>
        <w:w w:val="107"/>
        <w:sz w:val="17"/>
        <w:szCs w:val="17"/>
      </w:rPr>
    </w:lvl>
    <w:lvl w:ilvl="1">
      <w:start w:val="17"/>
      <w:numFmt w:val="decimal"/>
      <w:lvlText w:val="%2."/>
      <w:lvlJc w:val="left"/>
      <w:pPr>
        <w:ind w:left="126" w:hanging="284"/>
        <w:jc w:val="left"/>
      </w:pPr>
      <w:rPr>
        <w:rFonts w:hint="default" w:ascii="Times New Roman" w:hAnsi="Times New Roman" w:eastAsia="Times New Roman" w:cs="Times New Roman"/>
        <w:color w:val="010101"/>
        <w:w w:val="105"/>
        <w:sz w:val="17"/>
        <w:szCs w:val="17"/>
      </w:rPr>
    </w:lvl>
    <w:lvl w:ilvl="2">
      <w:start w:val="1"/>
      <w:numFmt w:val="lowerLetter"/>
      <w:lvlText w:val="(%3)"/>
      <w:lvlJc w:val="left"/>
      <w:pPr>
        <w:ind w:left="750" w:hanging="291"/>
        <w:jc w:val="left"/>
      </w:pPr>
      <w:rPr>
        <w:rFonts w:hint="default" w:ascii="Arial" w:hAnsi="Arial" w:eastAsia="Arial" w:cs="Arial"/>
        <w:color w:val="010101"/>
        <w:w w:val="110"/>
        <w:sz w:val="15"/>
        <w:szCs w:val="15"/>
      </w:rPr>
    </w:lvl>
    <w:lvl w:ilvl="3">
      <w:start w:val="1"/>
      <w:numFmt w:val="bullet"/>
      <w:lvlText w:val="•"/>
      <w:lvlJc w:val="left"/>
      <w:pPr>
        <w:ind w:left="1417" w:hanging="291"/>
      </w:pPr>
      <w:rPr>
        <w:rFonts w:hint="default"/>
      </w:rPr>
    </w:lvl>
    <w:lvl w:ilvl="4">
      <w:start w:val="1"/>
      <w:numFmt w:val="bullet"/>
      <w:lvlText w:val="•"/>
      <w:lvlJc w:val="left"/>
      <w:pPr>
        <w:ind w:left="2075" w:hanging="291"/>
      </w:pPr>
      <w:rPr>
        <w:rFonts w:hint="default"/>
      </w:rPr>
    </w:lvl>
    <w:lvl w:ilvl="5">
      <w:start w:val="1"/>
      <w:numFmt w:val="bullet"/>
      <w:lvlText w:val="•"/>
      <w:lvlJc w:val="left"/>
      <w:pPr>
        <w:ind w:left="2732" w:hanging="291"/>
      </w:pPr>
      <w:rPr>
        <w:rFonts w:hint="default"/>
      </w:rPr>
    </w:lvl>
    <w:lvl w:ilvl="6">
      <w:start w:val="1"/>
      <w:numFmt w:val="bullet"/>
      <w:lvlText w:val="•"/>
      <w:lvlJc w:val="left"/>
      <w:pPr>
        <w:ind w:left="3390" w:hanging="291"/>
      </w:pPr>
      <w:rPr>
        <w:rFonts w:hint="default"/>
      </w:rPr>
    </w:lvl>
    <w:lvl w:ilvl="7">
      <w:start w:val="1"/>
      <w:numFmt w:val="bullet"/>
      <w:lvlText w:val="•"/>
      <w:lvlJc w:val="left"/>
      <w:pPr>
        <w:ind w:left="4047" w:hanging="291"/>
      </w:pPr>
      <w:rPr>
        <w:rFonts w:hint="default"/>
      </w:rPr>
    </w:lvl>
    <w:lvl w:ilvl="8">
      <w:start w:val="1"/>
      <w:numFmt w:val="bullet"/>
      <w:lvlText w:val="•"/>
      <w:lvlJc w:val="left"/>
      <w:pPr>
        <w:ind w:left="4705" w:hanging="291"/>
      </w:pPr>
      <w:rPr>
        <w:rFonts w:hint="default"/>
      </w:rPr>
    </w:lvl>
  </w:abstractNum>
  <w:abstractNum w:abstractNumId="148">
    <w:multiLevelType w:val="hybridMultilevel"/>
    <w:lvl w:ilvl="0">
      <w:start w:val="14"/>
      <w:numFmt w:val="decimal"/>
      <w:lvlText w:val="%1."/>
      <w:lvlJc w:val="left"/>
      <w:pPr>
        <w:ind w:left="136" w:hanging="291"/>
        <w:jc w:val="left"/>
      </w:pPr>
      <w:rPr>
        <w:rFonts w:hint="default" w:ascii="Times New Roman" w:hAnsi="Times New Roman" w:eastAsia="Times New Roman" w:cs="Times New Roman"/>
        <w:color w:val="010101"/>
        <w:spacing w:val="-43"/>
        <w:w w:val="109"/>
        <w:sz w:val="17"/>
        <w:szCs w:val="17"/>
      </w:rPr>
    </w:lvl>
    <w:lvl w:ilvl="1">
      <w:start w:val="1"/>
      <w:numFmt w:val="bullet"/>
      <w:lvlText w:val="•"/>
      <w:lvlJc w:val="left"/>
      <w:pPr>
        <w:ind w:left="728" w:hanging="291"/>
      </w:pPr>
      <w:rPr>
        <w:rFonts w:hint="default"/>
      </w:rPr>
    </w:lvl>
    <w:lvl w:ilvl="2">
      <w:start w:val="1"/>
      <w:numFmt w:val="bullet"/>
      <w:lvlText w:val="•"/>
      <w:lvlJc w:val="left"/>
      <w:pPr>
        <w:ind w:left="1316" w:hanging="291"/>
      </w:pPr>
      <w:rPr>
        <w:rFonts w:hint="default"/>
      </w:rPr>
    </w:lvl>
    <w:lvl w:ilvl="3">
      <w:start w:val="1"/>
      <w:numFmt w:val="bullet"/>
      <w:lvlText w:val="•"/>
      <w:lvlJc w:val="left"/>
      <w:pPr>
        <w:ind w:left="1904" w:hanging="291"/>
      </w:pPr>
      <w:rPr>
        <w:rFonts w:hint="default"/>
      </w:rPr>
    </w:lvl>
    <w:lvl w:ilvl="4">
      <w:start w:val="1"/>
      <w:numFmt w:val="bullet"/>
      <w:lvlText w:val="•"/>
      <w:lvlJc w:val="left"/>
      <w:pPr>
        <w:ind w:left="2492" w:hanging="291"/>
      </w:pPr>
      <w:rPr>
        <w:rFonts w:hint="default"/>
      </w:rPr>
    </w:lvl>
    <w:lvl w:ilvl="5">
      <w:start w:val="1"/>
      <w:numFmt w:val="bullet"/>
      <w:lvlText w:val="•"/>
      <w:lvlJc w:val="left"/>
      <w:pPr>
        <w:ind w:left="3080" w:hanging="291"/>
      </w:pPr>
      <w:rPr>
        <w:rFonts w:hint="default"/>
      </w:rPr>
    </w:lvl>
    <w:lvl w:ilvl="6">
      <w:start w:val="1"/>
      <w:numFmt w:val="bullet"/>
      <w:lvlText w:val="•"/>
      <w:lvlJc w:val="left"/>
      <w:pPr>
        <w:ind w:left="3668" w:hanging="291"/>
      </w:pPr>
      <w:rPr>
        <w:rFonts w:hint="default"/>
      </w:rPr>
    </w:lvl>
    <w:lvl w:ilvl="7">
      <w:start w:val="1"/>
      <w:numFmt w:val="bullet"/>
      <w:lvlText w:val="•"/>
      <w:lvlJc w:val="left"/>
      <w:pPr>
        <w:ind w:left="4256" w:hanging="291"/>
      </w:pPr>
      <w:rPr>
        <w:rFonts w:hint="default"/>
      </w:rPr>
    </w:lvl>
    <w:lvl w:ilvl="8">
      <w:start w:val="1"/>
      <w:numFmt w:val="bullet"/>
      <w:lvlText w:val="•"/>
      <w:lvlJc w:val="left"/>
      <w:pPr>
        <w:ind w:left="4844" w:hanging="291"/>
      </w:pPr>
      <w:rPr>
        <w:rFonts w:hint="default"/>
      </w:rPr>
    </w:lvl>
  </w:abstractNum>
  <w:abstractNum w:abstractNumId="147">
    <w:multiLevelType w:val="hybridMultilevel"/>
    <w:lvl w:ilvl="0">
      <w:start w:val="13"/>
      <w:numFmt w:val="decimal"/>
      <w:lvlText w:val="%1."/>
      <w:lvlJc w:val="left"/>
      <w:pPr>
        <w:ind w:left="133" w:hanging="277"/>
        <w:jc w:val="left"/>
      </w:pPr>
      <w:rPr>
        <w:rFonts w:hint="default" w:ascii="Times New Roman" w:hAnsi="Times New Roman" w:eastAsia="Times New Roman" w:cs="Times New Roman"/>
        <w:color w:val="010101"/>
        <w:w w:val="103"/>
        <w:sz w:val="17"/>
        <w:szCs w:val="17"/>
      </w:rPr>
    </w:lvl>
    <w:lvl w:ilvl="1">
      <w:start w:val="1"/>
      <w:numFmt w:val="lowerLetter"/>
      <w:lvlText w:val="(%2)"/>
      <w:lvlJc w:val="left"/>
      <w:pPr>
        <w:ind w:left="754" w:hanging="288"/>
        <w:jc w:val="left"/>
      </w:pPr>
      <w:rPr>
        <w:rFonts w:hint="default" w:ascii="Times New Roman" w:hAnsi="Times New Roman" w:eastAsia="Times New Roman" w:cs="Times New Roman"/>
        <w:b/>
        <w:bCs/>
        <w:color w:val="010101"/>
        <w:w w:val="100"/>
        <w:sz w:val="17"/>
        <w:szCs w:val="17"/>
      </w:rPr>
    </w:lvl>
    <w:lvl w:ilvl="2">
      <w:start w:val="1"/>
      <w:numFmt w:val="bullet"/>
      <w:lvlText w:val="•"/>
      <w:lvlJc w:val="left"/>
      <w:pPr>
        <w:ind w:left="1344" w:hanging="288"/>
      </w:pPr>
      <w:rPr>
        <w:rFonts w:hint="default"/>
      </w:rPr>
    </w:lvl>
    <w:lvl w:ilvl="3">
      <w:start w:val="1"/>
      <w:numFmt w:val="bullet"/>
      <w:lvlText w:val="•"/>
      <w:lvlJc w:val="left"/>
      <w:pPr>
        <w:ind w:left="1928" w:hanging="288"/>
      </w:pPr>
      <w:rPr>
        <w:rFonts w:hint="default"/>
      </w:rPr>
    </w:lvl>
    <w:lvl w:ilvl="4">
      <w:start w:val="1"/>
      <w:numFmt w:val="bullet"/>
      <w:lvlText w:val="•"/>
      <w:lvlJc w:val="left"/>
      <w:pPr>
        <w:ind w:left="2513" w:hanging="288"/>
      </w:pPr>
      <w:rPr>
        <w:rFonts w:hint="default"/>
      </w:rPr>
    </w:lvl>
    <w:lvl w:ilvl="5">
      <w:start w:val="1"/>
      <w:numFmt w:val="bullet"/>
      <w:lvlText w:val="•"/>
      <w:lvlJc w:val="left"/>
      <w:pPr>
        <w:ind w:left="3097" w:hanging="288"/>
      </w:pPr>
      <w:rPr>
        <w:rFonts w:hint="default"/>
      </w:rPr>
    </w:lvl>
    <w:lvl w:ilvl="6">
      <w:start w:val="1"/>
      <w:numFmt w:val="bullet"/>
      <w:lvlText w:val="•"/>
      <w:lvlJc w:val="left"/>
      <w:pPr>
        <w:ind w:left="3682" w:hanging="288"/>
      </w:pPr>
      <w:rPr>
        <w:rFonts w:hint="default"/>
      </w:rPr>
    </w:lvl>
    <w:lvl w:ilvl="7">
      <w:start w:val="1"/>
      <w:numFmt w:val="bullet"/>
      <w:lvlText w:val="•"/>
      <w:lvlJc w:val="left"/>
      <w:pPr>
        <w:ind w:left="4266" w:hanging="288"/>
      </w:pPr>
      <w:rPr>
        <w:rFonts w:hint="default"/>
      </w:rPr>
    </w:lvl>
    <w:lvl w:ilvl="8">
      <w:start w:val="1"/>
      <w:numFmt w:val="bullet"/>
      <w:lvlText w:val="•"/>
      <w:lvlJc w:val="left"/>
      <w:pPr>
        <w:ind w:left="4851" w:hanging="288"/>
      </w:pPr>
      <w:rPr>
        <w:rFonts w:hint="default"/>
      </w:rPr>
    </w:lvl>
  </w:abstractNum>
  <w:abstractNum w:abstractNumId="146">
    <w:multiLevelType w:val="hybridMultilevel"/>
    <w:lvl w:ilvl="0">
      <w:start w:val="10"/>
      <w:numFmt w:val="decimal"/>
      <w:lvlText w:val="%1."/>
      <w:lvlJc w:val="left"/>
      <w:pPr>
        <w:ind w:left="120" w:hanging="280"/>
        <w:jc w:val="left"/>
      </w:pPr>
      <w:rPr>
        <w:rFonts w:hint="default" w:ascii="Times New Roman" w:hAnsi="Times New Roman" w:eastAsia="Times New Roman" w:cs="Times New Roman"/>
        <w:color w:val="010101"/>
        <w:w w:val="103"/>
        <w:sz w:val="17"/>
        <w:szCs w:val="17"/>
      </w:rPr>
    </w:lvl>
    <w:lvl w:ilvl="1">
      <w:start w:val="1"/>
      <w:numFmt w:val="lowerLetter"/>
      <w:lvlText w:val="(%2)"/>
      <w:lvlJc w:val="left"/>
      <w:pPr>
        <w:ind w:left="756" w:hanging="291"/>
        <w:jc w:val="left"/>
      </w:pPr>
      <w:rPr>
        <w:rFonts w:hint="default" w:ascii="Times New Roman" w:hAnsi="Times New Roman" w:eastAsia="Times New Roman" w:cs="Times New Roman"/>
        <w:color w:val="010101"/>
        <w:w w:val="104"/>
        <w:sz w:val="17"/>
        <w:szCs w:val="17"/>
      </w:rPr>
    </w:lvl>
    <w:lvl w:ilvl="2">
      <w:start w:val="1"/>
      <w:numFmt w:val="bullet"/>
      <w:lvlText w:val="•"/>
      <w:lvlJc w:val="left"/>
      <w:pPr>
        <w:ind w:left="1342" w:hanging="291"/>
      </w:pPr>
      <w:rPr>
        <w:rFonts w:hint="default"/>
      </w:rPr>
    </w:lvl>
    <w:lvl w:ilvl="3">
      <w:start w:val="1"/>
      <w:numFmt w:val="bullet"/>
      <w:lvlText w:val="•"/>
      <w:lvlJc w:val="left"/>
      <w:pPr>
        <w:ind w:left="1924" w:hanging="291"/>
      </w:pPr>
      <w:rPr>
        <w:rFonts w:hint="default"/>
      </w:rPr>
    </w:lvl>
    <w:lvl w:ilvl="4">
      <w:start w:val="1"/>
      <w:numFmt w:val="bullet"/>
      <w:lvlText w:val="•"/>
      <w:lvlJc w:val="left"/>
      <w:pPr>
        <w:ind w:left="2506" w:hanging="291"/>
      </w:pPr>
      <w:rPr>
        <w:rFonts w:hint="default"/>
      </w:rPr>
    </w:lvl>
    <w:lvl w:ilvl="5">
      <w:start w:val="1"/>
      <w:numFmt w:val="bullet"/>
      <w:lvlText w:val="•"/>
      <w:lvlJc w:val="left"/>
      <w:pPr>
        <w:ind w:left="3088" w:hanging="291"/>
      </w:pPr>
      <w:rPr>
        <w:rFonts w:hint="default"/>
      </w:rPr>
    </w:lvl>
    <w:lvl w:ilvl="6">
      <w:start w:val="1"/>
      <w:numFmt w:val="bullet"/>
      <w:lvlText w:val="•"/>
      <w:lvlJc w:val="left"/>
      <w:pPr>
        <w:ind w:left="3671" w:hanging="291"/>
      </w:pPr>
      <w:rPr>
        <w:rFonts w:hint="default"/>
      </w:rPr>
    </w:lvl>
    <w:lvl w:ilvl="7">
      <w:start w:val="1"/>
      <w:numFmt w:val="bullet"/>
      <w:lvlText w:val="•"/>
      <w:lvlJc w:val="left"/>
      <w:pPr>
        <w:ind w:left="4253" w:hanging="291"/>
      </w:pPr>
      <w:rPr>
        <w:rFonts w:hint="default"/>
      </w:rPr>
    </w:lvl>
    <w:lvl w:ilvl="8">
      <w:start w:val="1"/>
      <w:numFmt w:val="bullet"/>
      <w:lvlText w:val="•"/>
      <w:lvlJc w:val="left"/>
      <w:pPr>
        <w:ind w:left="4835" w:hanging="291"/>
      </w:pPr>
      <w:rPr>
        <w:rFonts w:hint="default"/>
      </w:rPr>
    </w:lvl>
  </w:abstractNum>
  <w:abstractNum w:abstractNumId="145">
    <w:multiLevelType w:val="hybridMultilevel"/>
    <w:lvl w:ilvl="0">
      <w:start w:val="3"/>
      <w:numFmt w:val="decimal"/>
      <w:lvlText w:val="%1."/>
      <w:lvlJc w:val="left"/>
      <w:pPr>
        <w:ind w:left="325" w:hanging="209"/>
        <w:jc w:val="left"/>
      </w:pPr>
      <w:rPr>
        <w:rFonts w:hint="default" w:ascii="Times New Roman" w:hAnsi="Times New Roman" w:eastAsia="Times New Roman" w:cs="Times New Roman"/>
        <w:b/>
        <w:bCs/>
        <w:w w:val="108"/>
      </w:rPr>
    </w:lvl>
    <w:lvl w:ilvl="1">
      <w:start w:val="7"/>
      <w:numFmt w:val="decimal"/>
      <w:lvlText w:val="%2."/>
      <w:lvlJc w:val="left"/>
      <w:pPr>
        <w:ind w:left="120" w:hanging="212"/>
        <w:jc w:val="left"/>
      </w:pPr>
      <w:rPr>
        <w:rFonts w:hint="default" w:ascii="Times New Roman" w:hAnsi="Times New Roman" w:eastAsia="Times New Roman" w:cs="Times New Roman"/>
        <w:color w:val="010101"/>
        <w:w w:val="110"/>
        <w:sz w:val="17"/>
        <w:szCs w:val="17"/>
      </w:rPr>
    </w:lvl>
    <w:lvl w:ilvl="2">
      <w:start w:val="1"/>
      <w:numFmt w:val="lowerRoman"/>
      <w:lvlText w:val="(%3)"/>
      <w:lvlJc w:val="left"/>
      <w:pPr>
        <w:ind w:left="759" w:hanging="252"/>
        <w:jc w:val="left"/>
      </w:pPr>
      <w:rPr>
        <w:rFonts w:hint="default" w:ascii="Times New Roman" w:hAnsi="Times New Roman" w:eastAsia="Times New Roman" w:cs="Times New Roman"/>
        <w:color w:val="010101"/>
        <w:w w:val="100"/>
        <w:sz w:val="17"/>
        <w:szCs w:val="17"/>
      </w:rPr>
    </w:lvl>
    <w:lvl w:ilvl="3">
      <w:start w:val="1"/>
      <w:numFmt w:val="bullet"/>
      <w:lvlText w:val="•"/>
      <w:lvlJc w:val="left"/>
      <w:pPr>
        <w:ind w:left="1415" w:hanging="252"/>
      </w:pPr>
      <w:rPr>
        <w:rFonts w:hint="default"/>
      </w:rPr>
    </w:lvl>
    <w:lvl w:ilvl="4">
      <w:start w:val="1"/>
      <w:numFmt w:val="bullet"/>
      <w:lvlText w:val="•"/>
      <w:lvlJc w:val="left"/>
      <w:pPr>
        <w:ind w:left="2070" w:hanging="252"/>
      </w:pPr>
      <w:rPr>
        <w:rFonts w:hint="default"/>
      </w:rPr>
    </w:lvl>
    <w:lvl w:ilvl="5">
      <w:start w:val="1"/>
      <w:numFmt w:val="bullet"/>
      <w:lvlText w:val="•"/>
      <w:lvlJc w:val="left"/>
      <w:pPr>
        <w:ind w:left="2725" w:hanging="252"/>
      </w:pPr>
      <w:rPr>
        <w:rFonts w:hint="default"/>
      </w:rPr>
    </w:lvl>
    <w:lvl w:ilvl="6">
      <w:start w:val="1"/>
      <w:numFmt w:val="bullet"/>
      <w:lvlText w:val="•"/>
      <w:lvlJc w:val="left"/>
      <w:pPr>
        <w:ind w:left="3380" w:hanging="252"/>
      </w:pPr>
      <w:rPr>
        <w:rFonts w:hint="default"/>
      </w:rPr>
    </w:lvl>
    <w:lvl w:ilvl="7">
      <w:start w:val="1"/>
      <w:numFmt w:val="bullet"/>
      <w:lvlText w:val="•"/>
      <w:lvlJc w:val="left"/>
      <w:pPr>
        <w:ind w:left="4035" w:hanging="252"/>
      </w:pPr>
      <w:rPr>
        <w:rFonts w:hint="default"/>
      </w:rPr>
    </w:lvl>
    <w:lvl w:ilvl="8">
      <w:start w:val="1"/>
      <w:numFmt w:val="bullet"/>
      <w:lvlText w:val="•"/>
      <w:lvlJc w:val="left"/>
      <w:pPr>
        <w:ind w:left="4690" w:hanging="252"/>
      </w:pPr>
      <w:rPr>
        <w:rFonts w:hint="default"/>
      </w:rPr>
    </w:lvl>
  </w:abstractNum>
  <w:abstractNum w:abstractNumId="144">
    <w:multiLevelType w:val="hybridMultilevel"/>
    <w:lvl w:ilvl="0">
      <w:start w:val="2"/>
      <w:numFmt w:val="decimal"/>
      <w:lvlText w:val="%1."/>
      <w:lvlJc w:val="left"/>
      <w:pPr>
        <w:ind w:left="109" w:hanging="209"/>
        <w:jc w:val="left"/>
      </w:pPr>
      <w:rPr>
        <w:rFonts w:hint="default" w:ascii="Times New Roman" w:hAnsi="Times New Roman" w:eastAsia="Times New Roman" w:cs="Times New Roman"/>
        <w:color w:val="010101"/>
        <w:w w:val="104"/>
        <w:sz w:val="17"/>
        <w:szCs w:val="17"/>
      </w:rPr>
    </w:lvl>
    <w:lvl w:ilvl="1">
      <w:start w:val="1"/>
      <w:numFmt w:val="bullet"/>
      <w:lvlText w:val="•"/>
      <w:lvlJc w:val="left"/>
      <w:pPr>
        <w:ind w:left="690" w:hanging="209"/>
      </w:pPr>
      <w:rPr>
        <w:rFonts w:hint="default"/>
      </w:rPr>
    </w:lvl>
    <w:lvl w:ilvl="2">
      <w:start w:val="1"/>
      <w:numFmt w:val="bullet"/>
      <w:lvlText w:val="•"/>
      <w:lvlJc w:val="left"/>
      <w:pPr>
        <w:ind w:left="1280" w:hanging="209"/>
      </w:pPr>
      <w:rPr>
        <w:rFonts w:hint="default"/>
      </w:rPr>
    </w:lvl>
    <w:lvl w:ilvl="3">
      <w:start w:val="1"/>
      <w:numFmt w:val="bullet"/>
      <w:lvlText w:val="•"/>
      <w:lvlJc w:val="left"/>
      <w:pPr>
        <w:ind w:left="1870" w:hanging="209"/>
      </w:pPr>
      <w:rPr>
        <w:rFonts w:hint="default"/>
      </w:rPr>
    </w:lvl>
    <w:lvl w:ilvl="4">
      <w:start w:val="1"/>
      <w:numFmt w:val="bullet"/>
      <w:lvlText w:val="•"/>
      <w:lvlJc w:val="left"/>
      <w:pPr>
        <w:ind w:left="2460" w:hanging="209"/>
      </w:pPr>
      <w:rPr>
        <w:rFonts w:hint="default"/>
      </w:rPr>
    </w:lvl>
    <w:lvl w:ilvl="5">
      <w:start w:val="1"/>
      <w:numFmt w:val="bullet"/>
      <w:lvlText w:val="•"/>
      <w:lvlJc w:val="left"/>
      <w:pPr>
        <w:ind w:left="3050" w:hanging="209"/>
      </w:pPr>
      <w:rPr>
        <w:rFonts w:hint="default"/>
      </w:rPr>
    </w:lvl>
    <w:lvl w:ilvl="6">
      <w:start w:val="1"/>
      <w:numFmt w:val="bullet"/>
      <w:lvlText w:val="•"/>
      <w:lvlJc w:val="left"/>
      <w:pPr>
        <w:ind w:left="3640" w:hanging="209"/>
      </w:pPr>
      <w:rPr>
        <w:rFonts w:hint="default"/>
      </w:rPr>
    </w:lvl>
    <w:lvl w:ilvl="7">
      <w:start w:val="1"/>
      <w:numFmt w:val="bullet"/>
      <w:lvlText w:val="•"/>
      <w:lvlJc w:val="left"/>
      <w:pPr>
        <w:ind w:left="4230" w:hanging="209"/>
      </w:pPr>
      <w:rPr>
        <w:rFonts w:hint="default"/>
      </w:rPr>
    </w:lvl>
    <w:lvl w:ilvl="8">
      <w:start w:val="1"/>
      <w:numFmt w:val="bullet"/>
      <w:lvlText w:val="•"/>
      <w:lvlJc w:val="left"/>
      <w:pPr>
        <w:ind w:left="4820" w:hanging="209"/>
      </w:pPr>
      <w:rPr>
        <w:rFonts w:hint="default"/>
      </w:rPr>
    </w:lvl>
  </w:abstractNum>
  <w:abstractNum w:abstractNumId="142">
    <w:multiLevelType w:val="hybridMultilevel"/>
    <w:lvl w:ilvl="0">
      <w:start w:val="2"/>
      <w:numFmt w:val="decimal"/>
      <w:lvlText w:val="%1."/>
      <w:lvlJc w:val="left"/>
      <w:pPr>
        <w:ind w:left="338" w:hanging="231"/>
        <w:jc w:val="left"/>
      </w:pPr>
      <w:rPr>
        <w:rFonts w:hint="default" w:ascii="Times New Roman" w:hAnsi="Times New Roman" w:eastAsia="Times New Roman" w:cs="Times New Roman"/>
        <w:b/>
        <w:bCs/>
        <w:w w:val="109"/>
      </w:rPr>
    </w:lvl>
    <w:lvl w:ilvl="1">
      <w:start w:val="2"/>
      <w:numFmt w:val="decimal"/>
      <w:lvlText w:val="%2."/>
      <w:lvlJc w:val="left"/>
      <w:pPr>
        <w:ind w:left="123" w:hanging="255"/>
        <w:jc w:val="left"/>
      </w:pPr>
      <w:rPr>
        <w:rFonts w:hint="default" w:ascii="Times New Roman" w:hAnsi="Times New Roman" w:eastAsia="Times New Roman" w:cs="Times New Roman"/>
        <w:color w:val="010101"/>
        <w:w w:val="104"/>
        <w:sz w:val="21"/>
        <w:szCs w:val="21"/>
      </w:rPr>
    </w:lvl>
    <w:lvl w:ilvl="2">
      <w:start w:val="1"/>
      <w:numFmt w:val="bullet"/>
      <w:lvlText w:val="•"/>
      <w:lvlJc w:val="left"/>
      <w:pPr>
        <w:ind w:left="964" w:hanging="255"/>
      </w:pPr>
      <w:rPr>
        <w:rFonts w:hint="default"/>
      </w:rPr>
    </w:lvl>
    <w:lvl w:ilvl="3">
      <w:start w:val="1"/>
      <w:numFmt w:val="bullet"/>
      <w:lvlText w:val="•"/>
      <w:lvlJc w:val="left"/>
      <w:pPr>
        <w:ind w:left="1588" w:hanging="255"/>
      </w:pPr>
      <w:rPr>
        <w:rFonts w:hint="default"/>
      </w:rPr>
    </w:lvl>
    <w:lvl w:ilvl="4">
      <w:start w:val="1"/>
      <w:numFmt w:val="bullet"/>
      <w:lvlText w:val="•"/>
      <w:lvlJc w:val="left"/>
      <w:pPr>
        <w:ind w:left="2213" w:hanging="255"/>
      </w:pPr>
      <w:rPr>
        <w:rFonts w:hint="default"/>
      </w:rPr>
    </w:lvl>
    <w:lvl w:ilvl="5">
      <w:start w:val="1"/>
      <w:numFmt w:val="bullet"/>
      <w:lvlText w:val="•"/>
      <w:lvlJc w:val="left"/>
      <w:pPr>
        <w:ind w:left="2837" w:hanging="255"/>
      </w:pPr>
      <w:rPr>
        <w:rFonts w:hint="default"/>
      </w:rPr>
    </w:lvl>
    <w:lvl w:ilvl="6">
      <w:start w:val="1"/>
      <w:numFmt w:val="bullet"/>
      <w:lvlText w:val="•"/>
      <w:lvlJc w:val="left"/>
      <w:pPr>
        <w:ind w:left="3462" w:hanging="255"/>
      </w:pPr>
      <w:rPr>
        <w:rFonts w:hint="default"/>
      </w:rPr>
    </w:lvl>
    <w:lvl w:ilvl="7">
      <w:start w:val="1"/>
      <w:numFmt w:val="bullet"/>
      <w:lvlText w:val="•"/>
      <w:lvlJc w:val="left"/>
      <w:pPr>
        <w:ind w:left="4086" w:hanging="255"/>
      </w:pPr>
      <w:rPr>
        <w:rFonts w:hint="default"/>
      </w:rPr>
    </w:lvl>
    <w:lvl w:ilvl="8">
      <w:start w:val="1"/>
      <w:numFmt w:val="bullet"/>
      <w:lvlText w:val="•"/>
      <w:lvlJc w:val="left"/>
      <w:pPr>
        <w:ind w:left="4711" w:hanging="255"/>
      </w:pPr>
      <w:rPr>
        <w:rFonts w:hint="default"/>
      </w:rPr>
    </w:lvl>
  </w:abstractNum>
  <w:abstractNum w:abstractNumId="141">
    <w:multiLevelType w:val="hybridMultilevel"/>
    <w:lvl w:ilvl="0">
      <w:start w:val="2"/>
      <w:numFmt w:val="decimal"/>
      <w:lvlText w:val="%1."/>
      <w:lvlJc w:val="left"/>
      <w:pPr>
        <w:ind w:left="129" w:hanging="248"/>
        <w:jc w:val="left"/>
      </w:pPr>
      <w:rPr>
        <w:rFonts w:hint="default" w:ascii="Times New Roman" w:hAnsi="Times New Roman" w:eastAsia="Times New Roman" w:cs="Times New Roman"/>
        <w:color w:val="010101"/>
        <w:w w:val="104"/>
        <w:sz w:val="20"/>
        <w:szCs w:val="20"/>
      </w:rPr>
    </w:lvl>
    <w:lvl w:ilvl="1">
      <w:start w:val="1"/>
      <w:numFmt w:val="bullet"/>
      <w:lvlText w:val="•"/>
      <w:lvlJc w:val="left"/>
      <w:pPr>
        <w:ind w:left="706" w:hanging="248"/>
      </w:pPr>
      <w:rPr>
        <w:rFonts w:hint="default"/>
      </w:rPr>
    </w:lvl>
    <w:lvl w:ilvl="2">
      <w:start w:val="1"/>
      <w:numFmt w:val="bullet"/>
      <w:lvlText w:val="•"/>
      <w:lvlJc w:val="left"/>
      <w:pPr>
        <w:ind w:left="1292" w:hanging="248"/>
      </w:pPr>
      <w:rPr>
        <w:rFonts w:hint="default"/>
      </w:rPr>
    </w:lvl>
    <w:lvl w:ilvl="3">
      <w:start w:val="1"/>
      <w:numFmt w:val="bullet"/>
      <w:lvlText w:val="•"/>
      <w:lvlJc w:val="left"/>
      <w:pPr>
        <w:ind w:left="1878" w:hanging="248"/>
      </w:pPr>
      <w:rPr>
        <w:rFonts w:hint="default"/>
      </w:rPr>
    </w:lvl>
    <w:lvl w:ilvl="4">
      <w:start w:val="1"/>
      <w:numFmt w:val="bullet"/>
      <w:lvlText w:val="•"/>
      <w:lvlJc w:val="left"/>
      <w:pPr>
        <w:ind w:left="2464" w:hanging="248"/>
      </w:pPr>
      <w:rPr>
        <w:rFonts w:hint="default"/>
      </w:rPr>
    </w:lvl>
    <w:lvl w:ilvl="5">
      <w:start w:val="1"/>
      <w:numFmt w:val="bullet"/>
      <w:lvlText w:val="•"/>
      <w:lvlJc w:val="left"/>
      <w:pPr>
        <w:ind w:left="3050" w:hanging="248"/>
      </w:pPr>
      <w:rPr>
        <w:rFonts w:hint="default"/>
      </w:rPr>
    </w:lvl>
    <w:lvl w:ilvl="6">
      <w:start w:val="1"/>
      <w:numFmt w:val="bullet"/>
      <w:lvlText w:val="•"/>
      <w:lvlJc w:val="left"/>
      <w:pPr>
        <w:ind w:left="3636" w:hanging="248"/>
      </w:pPr>
      <w:rPr>
        <w:rFonts w:hint="default"/>
      </w:rPr>
    </w:lvl>
    <w:lvl w:ilvl="7">
      <w:start w:val="1"/>
      <w:numFmt w:val="bullet"/>
      <w:lvlText w:val="•"/>
      <w:lvlJc w:val="left"/>
      <w:pPr>
        <w:ind w:left="4222" w:hanging="248"/>
      </w:pPr>
      <w:rPr>
        <w:rFonts w:hint="default"/>
      </w:rPr>
    </w:lvl>
    <w:lvl w:ilvl="8">
      <w:start w:val="1"/>
      <w:numFmt w:val="bullet"/>
      <w:lvlText w:val="•"/>
      <w:lvlJc w:val="left"/>
      <w:pPr>
        <w:ind w:left="4808" w:hanging="248"/>
      </w:pPr>
      <w:rPr>
        <w:rFonts w:hint="default"/>
      </w:rPr>
    </w:lvl>
  </w:abstractNum>
  <w:abstractNum w:abstractNumId="140">
    <w:multiLevelType w:val="hybridMultilevel"/>
    <w:lvl w:ilvl="0">
      <w:start w:val="3"/>
      <w:numFmt w:val="decimal"/>
      <w:lvlText w:val="%1."/>
      <w:lvlJc w:val="left"/>
      <w:pPr>
        <w:ind w:left="291" w:hanging="173"/>
        <w:jc w:val="left"/>
      </w:pPr>
      <w:rPr>
        <w:rFonts w:hint="default" w:ascii="Times New Roman" w:hAnsi="Times New Roman" w:eastAsia="Times New Roman" w:cs="Times New Roman"/>
        <w:color w:val="010101"/>
        <w:w w:val="107"/>
        <w:sz w:val="16"/>
        <w:szCs w:val="16"/>
      </w:rPr>
    </w:lvl>
    <w:lvl w:ilvl="1">
      <w:start w:val="9"/>
      <w:numFmt w:val="decimal"/>
      <w:lvlText w:val="%2."/>
      <w:lvlJc w:val="left"/>
      <w:pPr>
        <w:ind w:left="118" w:hanging="212"/>
        <w:jc w:val="left"/>
      </w:pPr>
      <w:rPr>
        <w:rFonts w:hint="default" w:ascii="Times New Roman" w:hAnsi="Times New Roman" w:eastAsia="Times New Roman" w:cs="Times New Roman"/>
        <w:color w:val="010101"/>
        <w:w w:val="107"/>
        <w:sz w:val="17"/>
        <w:szCs w:val="17"/>
      </w:rPr>
    </w:lvl>
    <w:lvl w:ilvl="2">
      <w:start w:val="1"/>
      <w:numFmt w:val="lowerLetter"/>
      <w:lvlText w:val="(%3)"/>
      <w:lvlJc w:val="left"/>
      <w:pPr>
        <w:ind w:left="750" w:hanging="288"/>
        <w:jc w:val="left"/>
      </w:pPr>
      <w:rPr>
        <w:rFonts w:hint="default" w:ascii="Times New Roman" w:hAnsi="Times New Roman" w:eastAsia="Times New Roman" w:cs="Times New Roman"/>
        <w:color w:val="010101"/>
        <w:w w:val="106"/>
        <w:sz w:val="17"/>
        <w:szCs w:val="17"/>
      </w:rPr>
    </w:lvl>
    <w:lvl w:ilvl="3">
      <w:start w:val="1"/>
      <w:numFmt w:val="bullet"/>
      <w:lvlText w:val="•"/>
      <w:lvlJc w:val="left"/>
      <w:pPr>
        <w:ind w:left="1412" w:hanging="288"/>
      </w:pPr>
      <w:rPr>
        <w:rFonts w:hint="default"/>
      </w:rPr>
    </w:lvl>
    <w:lvl w:ilvl="4">
      <w:start w:val="1"/>
      <w:numFmt w:val="bullet"/>
      <w:lvlText w:val="•"/>
      <w:lvlJc w:val="left"/>
      <w:pPr>
        <w:ind w:left="2065" w:hanging="288"/>
      </w:pPr>
      <w:rPr>
        <w:rFonts w:hint="default"/>
      </w:rPr>
    </w:lvl>
    <w:lvl w:ilvl="5">
      <w:start w:val="1"/>
      <w:numFmt w:val="bullet"/>
      <w:lvlText w:val="•"/>
      <w:lvlJc w:val="left"/>
      <w:pPr>
        <w:ind w:left="2717" w:hanging="288"/>
      </w:pPr>
      <w:rPr>
        <w:rFonts w:hint="default"/>
      </w:rPr>
    </w:lvl>
    <w:lvl w:ilvl="6">
      <w:start w:val="1"/>
      <w:numFmt w:val="bullet"/>
      <w:lvlText w:val="•"/>
      <w:lvlJc w:val="left"/>
      <w:pPr>
        <w:ind w:left="3370" w:hanging="288"/>
      </w:pPr>
      <w:rPr>
        <w:rFonts w:hint="default"/>
      </w:rPr>
    </w:lvl>
    <w:lvl w:ilvl="7">
      <w:start w:val="1"/>
      <w:numFmt w:val="bullet"/>
      <w:lvlText w:val="•"/>
      <w:lvlJc w:val="left"/>
      <w:pPr>
        <w:ind w:left="4022" w:hanging="288"/>
      </w:pPr>
      <w:rPr>
        <w:rFonts w:hint="default"/>
      </w:rPr>
    </w:lvl>
    <w:lvl w:ilvl="8">
      <w:start w:val="1"/>
      <w:numFmt w:val="bullet"/>
      <w:lvlText w:val="•"/>
      <w:lvlJc w:val="left"/>
      <w:pPr>
        <w:ind w:left="4675" w:hanging="288"/>
      </w:pPr>
      <w:rPr>
        <w:rFonts w:hint="default"/>
      </w:rPr>
    </w:lvl>
  </w:abstractNum>
  <w:abstractNum w:abstractNumId="139">
    <w:multiLevelType w:val="hybridMultilevel"/>
    <w:lvl w:ilvl="0">
      <w:start w:val="2"/>
      <w:numFmt w:val="decimal"/>
      <w:lvlText w:val="%1."/>
      <w:lvlJc w:val="left"/>
      <w:pPr>
        <w:ind w:left="312" w:hanging="184"/>
        <w:jc w:val="left"/>
      </w:pPr>
      <w:rPr>
        <w:rFonts w:hint="default" w:ascii="Times New Roman" w:hAnsi="Times New Roman" w:eastAsia="Times New Roman" w:cs="Times New Roman"/>
        <w:b/>
        <w:bCs/>
        <w:color w:val="010101"/>
        <w:spacing w:val="-17"/>
        <w:w w:val="100"/>
        <w:sz w:val="16"/>
        <w:szCs w:val="16"/>
      </w:rPr>
    </w:lvl>
    <w:lvl w:ilvl="1">
      <w:start w:val="5"/>
      <w:numFmt w:val="decimal"/>
      <w:lvlText w:val="%2."/>
      <w:lvlJc w:val="left"/>
      <w:pPr>
        <w:ind w:left="133" w:hanging="209"/>
        <w:jc w:val="left"/>
      </w:pPr>
      <w:rPr>
        <w:rFonts w:hint="default" w:ascii="Times New Roman" w:hAnsi="Times New Roman" w:eastAsia="Times New Roman" w:cs="Times New Roman"/>
        <w:color w:val="010101"/>
        <w:w w:val="105"/>
        <w:sz w:val="17"/>
        <w:szCs w:val="17"/>
      </w:rPr>
    </w:lvl>
    <w:lvl w:ilvl="2">
      <w:start w:val="1"/>
      <w:numFmt w:val="bullet"/>
      <w:lvlText w:val="•"/>
      <w:lvlJc w:val="left"/>
      <w:pPr>
        <w:ind w:left="948" w:hanging="209"/>
      </w:pPr>
      <w:rPr>
        <w:rFonts w:hint="default"/>
      </w:rPr>
    </w:lvl>
    <w:lvl w:ilvl="3">
      <w:start w:val="1"/>
      <w:numFmt w:val="bullet"/>
      <w:lvlText w:val="•"/>
      <w:lvlJc w:val="left"/>
      <w:pPr>
        <w:ind w:left="1577" w:hanging="209"/>
      </w:pPr>
      <w:rPr>
        <w:rFonts w:hint="default"/>
      </w:rPr>
    </w:lvl>
    <w:lvl w:ilvl="4">
      <w:start w:val="1"/>
      <w:numFmt w:val="bullet"/>
      <w:lvlText w:val="•"/>
      <w:lvlJc w:val="left"/>
      <w:pPr>
        <w:ind w:left="2206" w:hanging="209"/>
      </w:pPr>
      <w:rPr>
        <w:rFonts w:hint="default"/>
      </w:rPr>
    </w:lvl>
    <w:lvl w:ilvl="5">
      <w:start w:val="1"/>
      <w:numFmt w:val="bullet"/>
      <w:lvlText w:val="•"/>
      <w:lvlJc w:val="left"/>
      <w:pPr>
        <w:ind w:left="2835" w:hanging="209"/>
      </w:pPr>
      <w:rPr>
        <w:rFonts w:hint="default"/>
      </w:rPr>
    </w:lvl>
    <w:lvl w:ilvl="6">
      <w:start w:val="1"/>
      <w:numFmt w:val="bullet"/>
      <w:lvlText w:val="•"/>
      <w:lvlJc w:val="left"/>
      <w:pPr>
        <w:ind w:left="3464" w:hanging="209"/>
      </w:pPr>
      <w:rPr>
        <w:rFonts w:hint="default"/>
      </w:rPr>
    </w:lvl>
    <w:lvl w:ilvl="7">
      <w:start w:val="1"/>
      <w:numFmt w:val="bullet"/>
      <w:lvlText w:val="•"/>
      <w:lvlJc w:val="left"/>
      <w:pPr>
        <w:ind w:left="4093" w:hanging="209"/>
      </w:pPr>
      <w:rPr>
        <w:rFonts w:hint="default"/>
      </w:rPr>
    </w:lvl>
    <w:lvl w:ilvl="8">
      <w:start w:val="1"/>
      <w:numFmt w:val="bullet"/>
      <w:lvlText w:val="•"/>
      <w:lvlJc w:val="left"/>
      <w:pPr>
        <w:ind w:left="4722" w:hanging="209"/>
      </w:pPr>
      <w:rPr>
        <w:rFonts w:hint="default"/>
      </w:rPr>
    </w:lvl>
  </w:abstractNum>
  <w:abstractNum w:abstractNumId="138">
    <w:multiLevelType w:val="hybridMultilevel"/>
    <w:lvl w:ilvl="0">
      <w:start w:val="2"/>
      <w:numFmt w:val="decimal"/>
      <w:lvlText w:val="%1."/>
      <w:lvlJc w:val="left"/>
      <w:pPr>
        <w:ind w:left="160" w:hanging="208"/>
        <w:jc w:val="left"/>
      </w:pPr>
      <w:rPr>
        <w:rFonts w:hint="default" w:ascii="Times New Roman" w:hAnsi="Times New Roman" w:eastAsia="Times New Roman" w:cs="Times New Roman"/>
        <w:color w:val="010101"/>
        <w:spacing w:val="-21"/>
        <w:w w:val="98"/>
        <w:sz w:val="17"/>
        <w:szCs w:val="17"/>
      </w:rPr>
    </w:lvl>
    <w:lvl w:ilvl="1">
      <w:start w:val="1"/>
      <w:numFmt w:val="bullet"/>
      <w:lvlText w:val="•"/>
      <w:lvlJc w:val="left"/>
      <w:pPr>
        <w:ind w:left="740" w:hanging="208"/>
      </w:pPr>
      <w:rPr>
        <w:rFonts w:hint="default"/>
      </w:rPr>
    </w:lvl>
    <w:lvl w:ilvl="2">
      <w:start w:val="1"/>
      <w:numFmt w:val="bullet"/>
      <w:lvlText w:val="•"/>
      <w:lvlJc w:val="left"/>
      <w:pPr>
        <w:ind w:left="1320" w:hanging="208"/>
      </w:pPr>
      <w:rPr>
        <w:rFonts w:hint="default"/>
      </w:rPr>
    </w:lvl>
    <w:lvl w:ilvl="3">
      <w:start w:val="1"/>
      <w:numFmt w:val="bullet"/>
      <w:lvlText w:val="•"/>
      <w:lvlJc w:val="left"/>
      <w:pPr>
        <w:ind w:left="1900" w:hanging="208"/>
      </w:pPr>
      <w:rPr>
        <w:rFonts w:hint="default"/>
      </w:rPr>
    </w:lvl>
    <w:lvl w:ilvl="4">
      <w:start w:val="1"/>
      <w:numFmt w:val="bullet"/>
      <w:lvlText w:val="•"/>
      <w:lvlJc w:val="left"/>
      <w:pPr>
        <w:ind w:left="2480" w:hanging="208"/>
      </w:pPr>
      <w:rPr>
        <w:rFonts w:hint="default"/>
      </w:rPr>
    </w:lvl>
    <w:lvl w:ilvl="5">
      <w:start w:val="1"/>
      <w:numFmt w:val="bullet"/>
      <w:lvlText w:val="•"/>
      <w:lvlJc w:val="left"/>
      <w:pPr>
        <w:ind w:left="3060" w:hanging="208"/>
      </w:pPr>
      <w:rPr>
        <w:rFonts w:hint="default"/>
      </w:rPr>
    </w:lvl>
    <w:lvl w:ilvl="6">
      <w:start w:val="1"/>
      <w:numFmt w:val="bullet"/>
      <w:lvlText w:val="•"/>
      <w:lvlJc w:val="left"/>
      <w:pPr>
        <w:ind w:left="3640" w:hanging="208"/>
      </w:pPr>
      <w:rPr>
        <w:rFonts w:hint="default"/>
      </w:rPr>
    </w:lvl>
    <w:lvl w:ilvl="7">
      <w:start w:val="1"/>
      <w:numFmt w:val="bullet"/>
      <w:lvlText w:val="•"/>
      <w:lvlJc w:val="left"/>
      <w:pPr>
        <w:ind w:left="4220" w:hanging="208"/>
      </w:pPr>
      <w:rPr>
        <w:rFonts w:hint="default"/>
      </w:rPr>
    </w:lvl>
    <w:lvl w:ilvl="8">
      <w:start w:val="1"/>
      <w:numFmt w:val="bullet"/>
      <w:lvlText w:val="•"/>
      <w:lvlJc w:val="left"/>
      <w:pPr>
        <w:ind w:left="4800" w:hanging="208"/>
      </w:pPr>
      <w:rPr>
        <w:rFonts w:hint="default"/>
      </w:rPr>
    </w:lvl>
  </w:abstractNum>
  <w:abstractNum w:abstractNumId="137">
    <w:multiLevelType w:val="hybridMultilevel"/>
    <w:lvl w:ilvl="0">
      <w:start w:val="2"/>
      <w:numFmt w:val="decimal"/>
      <w:lvlText w:val="%1."/>
      <w:lvlJc w:val="left"/>
      <w:pPr>
        <w:ind w:left="333" w:hanging="220"/>
        <w:jc w:val="left"/>
      </w:pPr>
      <w:rPr>
        <w:rFonts w:hint="default" w:ascii="Times New Roman" w:hAnsi="Times New Roman" w:eastAsia="Times New Roman" w:cs="Times New Roman"/>
        <w:b/>
        <w:bCs/>
        <w:w w:val="109"/>
      </w:rPr>
    </w:lvl>
    <w:lvl w:ilvl="1">
      <w:start w:val="1"/>
      <w:numFmt w:val="bullet"/>
      <w:lvlText w:val="•"/>
      <w:lvlJc w:val="left"/>
      <w:pPr>
        <w:ind w:left="340" w:hanging="220"/>
      </w:pPr>
      <w:rPr>
        <w:rFonts w:hint="default"/>
      </w:rPr>
    </w:lvl>
    <w:lvl w:ilvl="2">
      <w:start w:val="1"/>
      <w:numFmt w:val="bullet"/>
      <w:lvlText w:val="•"/>
      <w:lvlJc w:val="left"/>
      <w:pPr>
        <w:ind w:left="964" w:hanging="220"/>
      </w:pPr>
      <w:rPr>
        <w:rFonts w:hint="default"/>
      </w:rPr>
    </w:lvl>
    <w:lvl w:ilvl="3">
      <w:start w:val="1"/>
      <w:numFmt w:val="bullet"/>
      <w:lvlText w:val="•"/>
      <w:lvlJc w:val="left"/>
      <w:pPr>
        <w:ind w:left="1588" w:hanging="220"/>
      </w:pPr>
      <w:rPr>
        <w:rFonts w:hint="default"/>
      </w:rPr>
    </w:lvl>
    <w:lvl w:ilvl="4">
      <w:start w:val="1"/>
      <w:numFmt w:val="bullet"/>
      <w:lvlText w:val="•"/>
      <w:lvlJc w:val="left"/>
      <w:pPr>
        <w:ind w:left="2213" w:hanging="220"/>
      </w:pPr>
      <w:rPr>
        <w:rFonts w:hint="default"/>
      </w:rPr>
    </w:lvl>
    <w:lvl w:ilvl="5">
      <w:start w:val="1"/>
      <w:numFmt w:val="bullet"/>
      <w:lvlText w:val="•"/>
      <w:lvlJc w:val="left"/>
      <w:pPr>
        <w:ind w:left="2837" w:hanging="220"/>
      </w:pPr>
      <w:rPr>
        <w:rFonts w:hint="default"/>
      </w:rPr>
    </w:lvl>
    <w:lvl w:ilvl="6">
      <w:start w:val="1"/>
      <w:numFmt w:val="bullet"/>
      <w:lvlText w:val="•"/>
      <w:lvlJc w:val="left"/>
      <w:pPr>
        <w:ind w:left="3462" w:hanging="220"/>
      </w:pPr>
      <w:rPr>
        <w:rFonts w:hint="default"/>
      </w:rPr>
    </w:lvl>
    <w:lvl w:ilvl="7">
      <w:start w:val="1"/>
      <w:numFmt w:val="bullet"/>
      <w:lvlText w:val="•"/>
      <w:lvlJc w:val="left"/>
      <w:pPr>
        <w:ind w:left="4086" w:hanging="220"/>
      </w:pPr>
      <w:rPr>
        <w:rFonts w:hint="default"/>
      </w:rPr>
    </w:lvl>
    <w:lvl w:ilvl="8">
      <w:start w:val="1"/>
      <w:numFmt w:val="bullet"/>
      <w:lvlText w:val="•"/>
      <w:lvlJc w:val="left"/>
      <w:pPr>
        <w:ind w:left="4711" w:hanging="220"/>
      </w:pPr>
      <w:rPr>
        <w:rFonts w:hint="default"/>
      </w:rPr>
    </w:lvl>
  </w:abstractNum>
  <w:abstractNum w:abstractNumId="136">
    <w:multiLevelType w:val="hybridMultilevel"/>
    <w:lvl w:ilvl="0">
      <w:start w:val="22"/>
      <w:numFmt w:val="decimal"/>
      <w:lvlText w:val="%1."/>
      <w:lvlJc w:val="left"/>
      <w:pPr>
        <w:ind w:left="117" w:hanging="288"/>
        <w:jc w:val="left"/>
      </w:pPr>
      <w:rPr>
        <w:rFonts w:hint="default" w:ascii="Times New Roman" w:hAnsi="Times New Roman" w:eastAsia="Times New Roman" w:cs="Times New Roman"/>
        <w:spacing w:val="-10"/>
        <w:w w:val="100"/>
        <w:sz w:val="17"/>
        <w:szCs w:val="17"/>
      </w:rPr>
    </w:lvl>
    <w:lvl w:ilvl="1">
      <w:start w:val="1"/>
      <w:numFmt w:val="lowerLetter"/>
      <w:lvlText w:val="(%2)"/>
      <w:lvlJc w:val="left"/>
      <w:pPr>
        <w:ind w:left="758" w:hanging="285"/>
        <w:jc w:val="left"/>
      </w:pPr>
      <w:rPr>
        <w:rFonts w:hint="default" w:ascii="Arial" w:hAnsi="Arial" w:eastAsia="Arial" w:cs="Arial"/>
        <w:w w:val="106"/>
        <w:sz w:val="15"/>
        <w:szCs w:val="15"/>
      </w:rPr>
    </w:lvl>
    <w:lvl w:ilvl="2">
      <w:start w:val="1"/>
      <w:numFmt w:val="bullet"/>
      <w:lvlText w:val="•"/>
      <w:lvlJc w:val="left"/>
      <w:pPr>
        <w:ind w:left="1340" w:hanging="285"/>
      </w:pPr>
      <w:rPr>
        <w:rFonts w:hint="default"/>
      </w:rPr>
    </w:lvl>
    <w:lvl w:ilvl="3">
      <w:start w:val="1"/>
      <w:numFmt w:val="bullet"/>
      <w:lvlText w:val="•"/>
      <w:lvlJc w:val="left"/>
      <w:pPr>
        <w:ind w:left="1920" w:hanging="285"/>
      </w:pPr>
      <w:rPr>
        <w:rFonts w:hint="default"/>
      </w:rPr>
    </w:lvl>
    <w:lvl w:ilvl="4">
      <w:start w:val="1"/>
      <w:numFmt w:val="bullet"/>
      <w:lvlText w:val="•"/>
      <w:lvlJc w:val="left"/>
      <w:pPr>
        <w:ind w:left="2500" w:hanging="285"/>
      </w:pPr>
      <w:rPr>
        <w:rFonts w:hint="default"/>
      </w:rPr>
    </w:lvl>
    <w:lvl w:ilvl="5">
      <w:start w:val="1"/>
      <w:numFmt w:val="bullet"/>
      <w:lvlText w:val="•"/>
      <w:lvlJc w:val="left"/>
      <w:pPr>
        <w:ind w:left="3080" w:hanging="285"/>
      </w:pPr>
      <w:rPr>
        <w:rFonts w:hint="default"/>
      </w:rPr>
    </w:lvl>
    <w:lvl w:ilvl="6">
      <w:start w:val="1"/>
      <w:numFmt w:val="bullet"/>
      <w:lvlText w:val="•"/>
      <w:lvlJc w:val="left"/>
      <w:pPr>
        <w:ind w:left="3660" w:hanging="285"/>
      </w:pPr>
      <w:rPr>
        <w:rFonts w:hint="default"/>
      </w:rPr>
    </w:lvl>
    <w:lvl w:ilvl="7">
      <w:start w:val="1"/>
      <w:numFmt w:val="bullet"/>
      <w:lvlText w:val="•"/>
      <w:lvlJc w:val="left"/>
      <w:pPr>
        <w:ind w:left="4240" w:hanging="285"/>
      </w:pPr>
      <w:rPr>
        <w:rFonts w:hint="default"/>
      </w:rPr>
    </w:lvl>
    <w:lvl w:ilvl="8">
      <w:start w:val="1"/>
      <w:numFmt w:val="bullet"/>
      <w:lvlText w:val="•"/>
      <w:lvlJc w:val="left"/>
      <w:pPr>
        <w:ind w:left="4820" w:hanging="285"/>
      </w:pPr>
      <w:rPr>
        <w:rFonts w:hint="default"/>
      </w:rPr>
    </w:lvl>
  </w:abstractNum>
  <w:abstractNum w:abstractNumId="135">
    <w:multiLevelType w:val="hybridMultilevel"/>
    <w:lvl w:ilvl="0">
      <w:start w:val="1"/>
      <w:numFmt w:val="lowerRoman"/>
      <w:lvlText w:val="(%1)"/>
      <w:lvlJc w:val="left"/>
      <w:pPr>
        <w:ind w:left="816" w:hanging="252"/>
        <w:jc w:val="right"/>
      </w:pPr>
      <w:rPr>
        <w:rFonts w:hint="default" w:ascii="Times New Roman" w:hAnsi="Times New Roman" w:eastAsia="Times New Roman" w:cs="Times New Roman"/>
        <w:w w:val="100"/>
        <w:sz w:val="17"/>
        <w:szCs w:val="17"/>
      </w:rPr>
    </w:lvl>
    <w:lvl w:ilvl="1">
      <w:start w:val="1"/>
      <w:numFmt w:val="bullet"/>
      <w:lvlText w:val="•"/>
      <w:lvlJc w:val="left"/>
      <w:pPr>
        <w:ind w:left="1338" w:hanging="252"/>
      </w:pPr>
      <w:rPr>
        <w:rFonts w:hint="default"/>
      </w:rPr>
    </w:lvl>
    <w:lvl w:ilvl="2">
      <w:start w:val="1"/>
      <w:numFmt w:val="bullet"/>
      <w:lvlText w:val="•"/>
      <w:lvlJc w:val="left"/>
      <w:pPr>
        <w:ind w:left="1856" w:hanging="252"/>
      </w:pPr>
      <w:rPr>
        <w:rFonts w:hint="default"/>
      </w:rPr>
    </w:lvl>
    <w:lvl w:ilvl="3">
      <w:start w:val="1"/>
      <w:numFmt w:val="bullet"/>
      <w:lvlText w:val="•"/>
      <w:lvlJc w:val="left"/>
      <w:pPr>
        <w:ind w:left="2374" w:hanging="252"/>
      </w:pPr>
      <w:rPr>
        <w:rFonts w:hint="default"/>
      </w:rPr>
    </w:lvl>
    <w:lvl w:ilvl="4">
      <w:start w:val="1"/>
      <w:numFmt w:val="bullet"/>
      <w:lvlText w:val="•"/>
      <w:lvlJc w:val="left"/>
      <w:pPr>
        <w:ind w:left="2892" w:hanging="252"/>
      </w:pPr>
      <w:rPr>
        <w:rFonts w:hint="default"/>
      </w:rPr>
    </w:lvl>
    <w:lvl w:ilvl="5">
      <w:start w:val="1"/>
      <w:numFmt w:val="bullet"/>
      <w:lvlText w:val="•"/>
      <w:lvlJc w:val="left"/>
      <w:pPr>
        <w:ind w:left="3410" w:hanging="252"/>
      </w:pPr>
      <w:rPr>
        <w:rFonts w:hint="default"/>
      </w:rPr>
    </w:lvl>
    <w:lvl w:ilvl="6">
      <w:start w:val="1"/>
      <w:numFmt w:val="bullet"/>
      <w:lvlText w:val="•"/>
      <w:lvlJc w:val="left"/>
      <w:pPr>
        <w:ind w:left="3928" w:hanging="252"/>
      </w:pPr>
      <w:rPr>
        <w:rFonts w:hint="default"/>
      </w:rPr>
    </w:lvl>
    <w:lvl w:ilvl="7">
      <w:start w:val="1"/>
      <w:numFmt w:val="bullet"/>
      <w:lvlText w:val="•"/>
      <w:lvlJc w:val="left"/>
      <w:pPr>
        <w:ind w:left="4446" w:hanging="252"/>
      </w:pPr>
      <w:rPr>
        <w:rFonts w:hint="default"/>
      </w:rPr>
    </w:lvl>
    <w:lvl w:ilvl="8">
      <w:start w:val="1"/>
      <w:numFmt w:val="bullet"/>
      <w:lvlText w:val="•"/>
      <w:lvlJc w:val="left"/>
      <w:pPr>
        <w:ind w:left="4964" w:hanging="252"/>
      </w:pPr>
      <w:rPr>
        <w:rFonts w:hint="default"/>
      </w:rPr>
    </w:lvl>
  </w:abstractNum>
  <w:abstractNum w:abstractNumId="134">
    <w:multiLevelType w:val="hybridMultilevel"/>
    <w:lvl w:ilvl="0">
      <w:start w:val="18"/>
      <w:numFmt w:val="decimal"/>
      <w:lvlText w:val="%1."/>
      <w:lvlJc w:val="left"/>
      <w:pPr>
        <w:ind w:left="128" w:hanging="281"/>
        <w:jc w:val="left"/>
      </w:pPr>
      <w:rPr>
        <w:rFonts w:hint="default" w:ascii="Times New Roman" w:hAnsi="Times New Roman" w:eastAsia="Times New Roman" w:cs="Times New Roman"/>
        <w:spacing w:val="-40"/>
        <w:w w:val="111"/>
      </w:rPr>
    </w:lvl>
    <w:lvl w:ilvl="1">
      <w:start w:val="1"/>
      <w:numFmt w:val="lowerLetter"/>
      <w:lvlText w:val="(%2)"/>
      <w:lvlJc w:val="left"/>
      <w:pPr>
        <w:ind w:left="754" w:hanging="285"/>
        <w:jc w:val="left"/>
      </w:pPr>
      <w:rPr>
        <w:rFonts w:hint="default" w:ascii="Times New Roman" w:hAnsi="Times New Roman" w:eastAsia="Times New Roman" w:cs="Times New Roman"/>
        <w:w w:val="102"/>
        <w:sz w:val="17"/>
        <w:szCs w:val="17"/>
      </w:rPr>
    </w:lvl>
    <w:lvl w:ilvl="2">
      <w:start w:val="1"/>
      <w:numFmt w:val="bullet"/>
      <w:lvlText w:val="•"/>
      <w:lvlJc w:val="left"/>
      <w:pPr>
        <w:ind w:left="1342" w:hanging="285"/>
      </w:pPr>
      <w:rPr>
        <w:rFonts w:hint="default"/>
      </w:rPr>
    </w:lvl>
    <w:lvl w:ilvl="3">
      <w:start w:val="1"/>
      <w:numFmt w:val="bullet"/>
      <w:lvlText w:val="•"/>
      <w:lvlJc w:val="left"/>
      <w:pPr>
        <w:ind w:left="1924" w:hanging="285"/>
      </w:pPr>
      <w:rPr>
        <w:rFonts w:hint="default"/>
      </w:rPr>
    </w:lvl>
    <w:lvl w:ilvl="4">
      <w:start w:val="1"/>
      <w:numFmt w:val="bullet"/>
      <w:lvlText w:val="•"/>
      <w:lvlJc w:val="left"/>
      <w:pPr>
        <w:ind w:left="2506" w:hanging="285"/>
      </w:pPr>
      <w:rPr>
        <w:rFonts w:hint="default"/>
      </w:rPr>
    </w:lvl>
    <w:lvl w:ilvl="5">
      <w:start w:val="1"/>
      <w:numFmt w:val="bullet"/>
      <w:lvlText w:val="•"/>
      <w:lvlJc w:val="left"/>
      <w:pPr>
        <w:ind w:left="3088" w:hanging="285"/>
      </w:pPr>
      <w:rPr>
        <w:rFonts w:hint="default"/>
      </w:rPr>
    </w:lvl>
    <w:lvl w:ilvl="6">
      <w:start w:val="1"/>
      <w:numFmt w:val="bullet"/>
      <w:lvlText w:val="•"/>
      <w:lvlJc w:val="left"/>
      <w:pPr>
        <w:ind w:left="3671" w:hanging="285"/>
      </w:pPr>
      <w:rPr>
        <w:rFonts w:hint="default"/>
      </w:rPr>
    </w:lvl>
    <w:lvl w:ilvl="7">
      <w:start w:val="1"/>
      <w:numFmt w:val="bullet"/>
      <w:lvlText w:val="•"/>
      <w:lvlJc w:val="left"/>
      <w:pPr>
        <w:ind w:left="4253" w:hanging="285"/>
      </w:pPr>
      <w:rPr>
        <w:rFonts w:hint="default"/>
      </w:rPr>
    </w:lvl>
    <w:lvl w:ilvl="8">
      <w:start w:val="1"/>
      <w:numFmt w:val="bullet"/>
      <w:lvlText w:val="•"/>
      <w:lvlJc w:val="left"/>
      <w:pPr>
        <w:ind w:left="4835" w:hanging="285"/>
      </w:pPr>
      <w:rPr>
        <w:rFonts w:hint="default"/>
      </w:rPr>
    </w:lvl>
  </w:abstractNum>
  <w:abstractNum w:abstractNumId="133">
    <w:multiLevelType w:val="hybridMultilevel"/>
    <w:lvl w:ilvl="0">
      <w:start w:val="15"/>
      <w:numFmt w:val="decimal"/>
      <w:lvlText w:val="%1."/>
      <w:lvlJc w:val="left"/>
      <w:pPr>
        <w:ind w:left="108" w:hanging="281"/>
        <w:jc w:val="left"/>
      </w:pPr>
      <w:rPr>
        <w:rFonts w:hint="default" w:ascii="Times New Roman" w:hAnsi="Times New Roman" w:eastAsia="Times New Roman" w:cs="Times New Roman"/>
        <w:spacing w:val="-36"/>
        <w:w w:val="105"/>
        <w:sz w:val="17"/>
        <w:szCs w:val="17"/>
      </w:rPr>
    </w:lvl>
    <w:lvl w:ilvl="1">
      <w:start w:val="1"/>
      <w:numFmt w:val="bullet"/>
      <w:lvlText w:val="•"/>
      <w:lvlJc w:val="left"/>
      <w:pPr>
        <w:ind w:left="690" w:hanging="281"/>
      </w:pPr>
      <w:rPr>
        <w:rFonts w:hint="default"/>
      </w:rPr>
    </w:lvl>
    <w:lvl w:ilvl="2">
      <w:start w:val="1"/>
      <w:numFmt w:val="bullet"/>
      <w:lvlText w:val="•"/>
      <w:lvlJc w:val="left"/>
      <w:pPr>
        <w:ind w:left="1280" w:hanging="281"/>
      </w:pPr>
      <w:rPr>
        <w:rFonts w:hint="default"/>
      </w:rPr>
    </w:lvl>
    <w:lvl w:ilvl="3">
      <w:start w:val="1"/>
      <w:numFmt w:val="bullet"/>
      <w:lvlText w:val="•"/>
      <w:lvlJc w:val="left"/>
      <w:pPr>
        <w:ind w:left="1870" w:hanging="281"/>
      </w:pPr>
      <w:rPr>
        <w:rFonts w:hint="default"/>
      </w:rPr>
    </w:lvl>
    <w:lvl w:ilvl="4">
      <w:start w:val="1"/>
      <w:numFmt w:val="bullet"/>
      <w:lvlText w:val="•"/>
      <w:lvlJc w:val="left"/>
      <w:pPr>
        <w:ind w:left="2460" w:hanging="281"/>
      </w:pPr>
      <w:rPr>
        <w:rFonts w:hint="default"/>
      </w:rPr>
    </w:lvl>
    <w:lvl w:ilvl="5">
      <w:start w:val="1"/>
      <w:numFmt w:val="bullet"/>
      <w:lvlText w:val="•"/>
      <w:lvlJc w:val="left"/>
      <w:pPr>
        <w:ind w:left="3050" w:hanging="281"/>
      </w:pPr>
      <w:rPr>
        <w:rFonts w:hint="default"/>
      </w:rPr>
    </w:lvl>
    <w:lvl w:ilvl="6">
      <w:start w:val="1"/>
      <w:numFmt w:val="bullet"/>
      <w:lvlText w:val="•"/>
      <w:lvlJc w:val="left"/>
      <w:pPr>
        <w:ind w:left="3640" w:hanging="281"/>
      </w:pPr>
      <w:rPr>
        <w:rFonts w:hint="default"/>
      </w:rPr>
    </w:lvl>
    <w:lvl w:ilvl="7">
      <w:start w:val="1"/>
      <w:numFmt w:val="bullet"/>
      <w:lvlText w:val="•"/>
      <w:lvlJc w:val="left"/>
      <w:pPr>
        <w:ind w:left="4230" w:hanging="281"/>
      </w:pPr>
      <w:rPr>
        <w:rFonts w:hint="default"/>
      </w:rPr>
    </w:lvl>
    <w:lvl w:ilvl="8">
      <w:start w:val="1"/>
      <w:numFmt w:val="bullet"/>
      <w:lvlText w:val="•"/>
      <w:lvlJc w:val="left"/>
      <w:pPr>
        <w:ind w:left="4820" w:hanging="281"/>
      </w:pPr>
      <w:rPr>
        <w:rFonts w:hint="default"/>
      </w:rPr>
    </w:lvl>
  </w:abstractNum>
  <w:abstractNum w:abstractNumId="132">
    <w:multiLevelType w:val="hybridMultilevel"/>
    <w:lvl w:ilvl="0">
      <w:start w:val="10"/>
      <w:numFmt w:val="decimal"/>
      <w:lvlText w:val="%1."/>
      <w:lvlJc w:val="left"/>
      <w:pPr>
        <w:ind w:left="122" w:hanging="281"/>
        <w:jc w:val="left"/>
      </w:pPr>
      <w:rPr>
        <w:rFonts w:hint="default" w:ascii="Times New Roman" w:hAnsi="Times New Roman" w:eastAsia="Times New Roman" w:cs="Times New Roman"/>
        <w:w w:val="102"/>
        <w:sz w:val="17"/>
        <w:szCs w:val="17"/>
      </w:rPr>
    </w:lvl>
    <w:lvl w:ilvl="1">
      <w:start w:val="1"/>
      <w:numFmt w:val="bullet"/>
      <w:lvlText w:val="•"/>
      <w:lvlJc w:val="left"/>
      <w:pPr>
        <w:ind w:left="708" w:hanging="281"/>
      </w:pPr>
      <w:rPr>
        <w:rFonts w:hint="default"/>
      </w:rPr>
    </w:lvl>
    <w:lvl w:ilvl="2">
      <w:start w:val="1"/>
      <w:numFmt w:val="bullet"/>
      <w:lvlText w:val="•"/>
      <w:lvlJc w:val="left"/>
      <w:pPr>
        <w:ind w:left="1296" w:hanging="281"/>
      </w:pPr>
      <w:rPr>
        <w:rFonts w:hint="default"/>
      </w:rPr>
    </w:lvl>
    <w:lvl w:ilvl="3">
      <w:start w:val="1"/>
      <w:numFmt w:val="bullet"/>
      <w:lvlText w:val="•"/>
      <w:lvlJc w:val="left"/>
      <w:pPr>
        <w:ind w:left="1884" w:hanging="281"/>
      </w:pPr>
      <w:rPr>
        <w:rFonts w:hint="default"/>
      </w:rPr>
    </w:lvl>
    <w:lvl w:ilvl="4">
      <w:start w:val="1"/>
      <w:numFmt w:val="bullet"/>
      <w:lvlText w:val="•"/>
      <w:lvlJc w:val="left"/>
      <w:pPr>
        <w:ind w:left="2472" w:hanging="281"/>
      </w:pPr>
      <w:rPr>
        <w:rFonts w:hint="default"/>
      </w:rPr>
    </w:lvl>
    <w:lvl w:ilvl="5">
      <w:start w:val="1"/>
      <w:numFmt w:val="bullet"/>
      <w:lvlText w:val="•"/>
      <w:lvlJc w:val="left"/>
      <w:pPr>
        <w:ind w:left="3060" w:hanging="281"/>
      </w:pPr>
      <w:rPr>
        <w:rFonts w:hint="default"/>
      </w:rPr>
    </w:lvl>
    <w:lvl w:ilvl="6">
      <w:start w:val="1"/>
      <w:numFmt w:val="bullet"/>
      <w:lvlText w:val="•"/>
      <w:lvlJc w:val="left"/>
      <w:pPr>
        <w:ind w:left="3648" w:hanging="281"/>
      </w:pPr>
      <w:rPr>
        <w:rFonts w:hint="default"/>
      </w:rPr>
    </w:lvl>
    <w:lvl w:ilvl="7">
      <w:start w:val="1"/>
      <w:numFmt w:val="bullet"/>
      <w:lvlText w:val="•"/>
      <w:lvlJc w:val="left"/>
      <w:pPr>
        <w:ind w:left="4236" w:hanging="281"/>
      </w:pPr>
      <w:rPr>
        <w:rFonts w:hint="default"/>
      </w:rPr>
    </w:lvl>
    <w:lvl w:ilvl="8">
      <w:start w:val="1"/>
      <w:numFmt w:val="bullet"/>
      <w:lvlText w:val="•"/>
      <w:lvlJc w:val="left"/>
      <w:pPr>
        <w:ind w:left="4824" w:hanging="281"/>
      </w:pPr>
      <w:rPr>
        <w:rFonts w:hint="default"/>
      </w:rPr>
    </w:lvl>
  </w:abstractNum>
  <w:abstractNum w:abstractNumId="131">
    <w:multiLevelType w:val="hybridMultilevel"/>
    <w:lvl w:ilvl="0">
      <w:start w:val="6"/>
      <w:numFmt w:val="decimal"/>
      <w:lvlText w:val="%1."/>
      <w:lvlJc w:val="left"/>
      <w:pPr>
        <w:ind w:left="492" w:hanging="224"/>
        <w:jc w:val="left"/>
      </w:pPr>
      <w:rPr>
        <w:rFonts w:hint="default" w:ascii="Times New Roman" w:hAnsi="Times New Roman" w:eastAsia="Times New Roman" w:cs="Times New Roman"/>
        <w:w w:val="108"/>
        <w:sz w:val="17"/>
        <w:szCs w:val="17"/>
      </w:rPr>
    </w:lvl>
    <w:lvl w:ilvl="1">
      <w:start w:val="1"/>
      <w:numFmt w:val="bullet"/>
      <w:lvlText w:val="•"/>
      <w:lvlJc w:val="left"/>
      <w:pPr>
        <w:ind w:left="1048" w:hanging="224"/>
      </w:pPr>
      <w:rPr>
        <w:rFonts w:hint="default"/>
      </w:rPr>
    </w:lvl>
    <w:lvl w:ilvl="2">
      <w:start w:val="1"/>
      <w:numFmt w:val="bullet"/>
      <w:lvlText w:val="•"/>
      <w:lvlJc w:val="left"/>
      <w:pPr>
        <w:ind w:left="1596" w:hanging="224"/>
      </w:pPr>
      <w:rPr>
        <w:rFonts w:hint="default"/>
      </w:rPr>
    </w:lvl>
    <w:lvl w:ilvl="3">
      <w:start w:val="1"/>
      <w:numFmt w:val="bullet"/>
      <w:lvlText w:val="•"/>
      <w:lvlJc w:val="left"/>
      <w:pPr>
        <w:ind w:left="2144" w:hanging="224"/>
      </w:pPr>
      <w:rPr>
        <w:rFonts w:hint="default"/>
      </w:rPr>
    </w:lvl>
    <w:lvl w:ilvl="4">
      <w:start w:val="1"/>
      <w:numFmt w:val="bullet"/>
      <w:lvlText w:val="•"/>
      <w:lvlJc w:val="left"/>
      <w:pPr>
        <w:ind w:left="2692" w:hanging="224"/>
      </w:pPr>
      <w:rPr>
        <w:rFonts w:hint="default"/>
      </w:rPr>
    </w:lvl>
    <w:lvl w:ilvl="5">
      <w:start w:val="1"/>
      <w:numFmt w:val="bullet"/>
      <w:lvlText w:val="•"/>
      <w:lvlJc w:val="left"/>
      <w:pPr>
        <w:ind w:left="3240" w:hanging="224"/>
      </w:pPr>
      <w:rPr>
        <w:rFonts w:hint="default"/>
      </w:rPr>
    </w:lvl>
    <w:lvl w:ilvl="6">
      <w:start w:val="1"/>
      <w:numFmt w:val="bullet"/>
      <w:lvlText w:val="•"/>
      <w:lvlJc w:val="left"/>
      <w:pPr>
        <w:ind w:left="3788" w:hanging="224"/>
      </w:pPr>
      <w:rPr>
        <w:rFonts w:hint="default"/>
      </w:rPr>
    </w:lvl>
    <w:lvl w:ilvl="7">
      <w:start w:val="1"/>
      <w:numFmt w:val="bullet"/>
      <w:lvlText w:val="•"/>
      <w:lvlJc w:val="left"/>
      <w:pPr>
        <w:ind w:left="4336" w:hanging="224"/>
      </w:pPr>
      <w:rPr>
        <w:rFonts w:hint="default"/>
      </w:rPr>
    </w:lvl>
    <w:lvl w:ilvl="8">
      <w:start w:val="1"/>
      <w:numFmt w:val="bullet"/>
      <w:lvlText w:val="•"/>
      <w:lvlJc w:val="left"/>
      <w:pPr>
        <w:ind w:left="4884" w:hanging="224"/>
      </w:pPr>
      <w:rPr>
        <w:rFonts w:hint="default"/>
      </w:rPr>
    </w:lvl>
  </w:abstractNum>
  <w:abstractNum w:abstractNumId="130">
    <w:multiLevelType w:val="hybridMultilevel"/>
    <w:lvl w:ilvl="0">
      <w:start w:val="3"/>
      <w:numFmt w:val="decimal"/>
      <w:lvlText w:val="%1."/>
      <w:lvlJc w:val="left"/>
      <w:pPr>
        <w:ind w:left="288" w:hanging="191"/>
        <w:jc w:val="left"/>
      </w:pPr>
      <w:rPr>
        <w:rFonts w:hint="default" w:ascii="Times New Roman" w:hAnsi="Times New Roman" w:eastAsia="Times New Roman" w:cs="Times New Roman"/>
        <w:b/>
        <w:bCs/>
        <w:w w:val="105"/>
        <w:sz w:val="16"/>
        <w:szCs w:val="16"/>
      </w:rPr>
    </w:lvl>
    <w:lvl w:ilvl="1">
      <w:start w:val="3"/>
      <w:numFmt w:val="decimal"/>
      <w:lvlText w:val="%2."/>
      <w:lvlJc w:val="left"/>
      <w:pPr>
        <w:ind w:left="121" w:hanging="216"/>
        <w:jc w:val="left"/>
      </w:pPr>
      <w:rPr>
        <w:rFonts w:hint="default" w:ascii="Times New Roman" w:hAnsi="Times New Roman" w:eastAsia="Times New Roman" w:cs="Times New Roman"/>
        <w:w w:val="101"/>
        <w:sz w:val="17"/>
        <w:szCs w:val="17"/>
      </w:rPr>
    </w:lvl>
    <w:lvl w:ilvl="2">
      <w:start w:val="1"/>
      <w:numFmt w:val="bullet"/>
      <w:lvlText w:val="•"/>
      <w:lvlJc w:val="left"/>
      <w:pPr>
        <w:ind w:left="913" w:hanging="216"/>
      </w:pPr>
      <w:rPr>
        <w:rFonts w:hint="default"/>
      </w:rPr>
    </w:lvl>
    <w:lvl w:ilvl="3">
      <w:start w:val="1"/>
      <w:numFmt w:val="bullet"/>
      <w:lvlText w:val="•"/>
      <w:lvlJc w:val="left"/>
      <w:pPr>
        <w:ind w:left="1546" w:hanging="216"/>
      </w:pPr>
      <w:rPr>
        <w:rFonts w:hint="default"/>
      </w:rPr>
    </w:lvl>
    <w:lvl w:ilvl="4">
      <w:start w:val="1"/>
      <w:numFmt w:val="bullet"/>
      <w:lvlText w:val="•"/>
      <w:lvlJc w:val="left"/>
      <w:pPr>
        <w:ind w:left="2180" w:hanging="216"/>
      </w:pPr>
      <w:rPr>
        <w:rFonts w:hint="default"/>
      </w:rPr>
    </w:lvl>
    <w:lvl w:ilvl="5">
      <w:start w:val="1"/>
      <w:numFmt w:val="bullet"/>
      <w:lvlText w:val="•"/>
      <w:lvlJc w:val="left"/>
      <w:pPr>
        <w:ind w:left="2813" w:hanging="216"/>
      </w:pPr>
      <w:rPr>
        <w:rFonts w:hint="default"/>
      </w:rPr>
    </w:lvl>
    <w:lvl w:ilvl="6">
      <w:start w:val="1"/>
      <w:numFmt w:val="bullet"/>
      <w:lvlText w:val="•"/>
      <w:lvlJc w:val="left"/>
      <w:pPr>
        <w:ind w:left="3446" w:hanging="216"/>
      </w:pPr>
      <w:rPr>
        <w:rFonts w:hint="default"/>
      </w:rPr>
    </w:lvl>
    <w:lvl w:ilvl="7">
      <w:start w:val="1"/>
      <w:numFmt w:val="bullet"/>
      <w:lvlText w:val="•"/>
      <w:lvlJc w:val="left"/>
      <w:pPr>
        <w:ind w:left="4080" w:hanging="216"/>
      </w:pPr>
      <w:rPr>
        <w:rFonts w:hint="default"/>
      </w:rPr>
    </w:lvl>
    <w:lvl w:ilvl="8">
      <w:start w:val="1"/>
      <w:numFmt w:val="bullet"/>
      <w:lvlText w:val="•"/>
      <w:lvlJc w:val="left"/>
      <w:pPr>
        <w:ind w:left="4713" w:hanging="216"/>
      </w:pPr>
      <w:rPr>
        <w:rFonts w:hint="default"/>
      </w:rPr>
    </w:lvl>
  </w:abstractNum>
  <w:abstractNum w:abstractNumId="129">
    <w:multiLevelType w:val="hybridMultilevel"/>
    <w:lvl w:ilvl="0">
      <w:start w:val="2"/>
      <w:numFmt w:val="decimal"/>
      <w:lvlText w:val="%1."/>
      <w:lvlJc w:val="left"/>
      <w:pPr>
        <w:ind w:left="139" w:hanging="206"/>
        <w:jc w:val="left"/>
      </w:pPr>
      <w:rPr>
        <w:rFonts w:hint="default" w:ascii="Times New Roman" w:hAnsi="Times New Roman" w:eastAsia="Times New Roman" w:cs="Times New Roman"/>
        <w:w w:val="101"/>
        <w:sz w:val="17"/>
        <w:szCs w:val="17"/>
      </w:rPr>
    </w:lvl>
    <w:lvl w:ilvl="1">
      <w:start w:val="1"/>
      <w:numFmt w:val="lowerLetter"/>
      <w:lvlText w:val="(%2)"/>
      <w:lvlJc w:val="left"/>
      <w:pPr>
        <w:ind w:left="740" w:hanging="285"/>
        <w:jc w:val="left"/>
      </w:pPr>
      <w:rPr>
        <w:rFonts w:hint="default" w:ascii="Times New Roman" w:hAnsi="Times New Roman" w:eastAsia="Times New Roman" w:cs="Times New Roman"/>
        <w:w w:val="106"/>
        <w:sz w:val="17"/>
        <w:szCs w:val="17"/>
      </w:rPr>
    </w:lvl>
    <w:lvl w:ilvl="2">
      <w:start w:val="1"/>
      <w:numFmt w:val="bullet"/>
      <w:lvlText w:val="•"/>
      <w:lvlJc w:val="left"/>
      <w:pPr>
        <w:ind w:left="880" w:hanging="285"/>
      </w:pPr>
      <w:rPr>
        <w:rFonts w:hint="default"/>
      </w:rPr>
    </w:lvl>
    <w:lvl w:ilvl="3">
      <w:start w:val="1"/>
      <w:numFmt w:val="bullet"/>
      <w:lvlText w:val="•"/>
      <w:lvlJc w:val="left"/>
      <w:pPr>
        <w:ind w:left="1517" w:hanging="285"/>
      </w:pPr>
      <w:rPr>
        <w:rFonts w:hint="default"/>
      </w:rPr>
    </w:lvl>
    <w:lvl w:ilvl="4">
      <w:start w:val="1"/>
      <w:numFmt w:val="bullet"/>
      <w:lvlText w:val="•"/>
      <w:lvlJc w:val="left"/>
      <w:pPr>
        <w:ind w:left="2155" w:hanging="285"/>
      </w:pPr>
      <w:rPr>
        <w:rFonts w:hint="default"/>
      </w:rPr>
    </w:lvl>
    <w:lvl w:ilvl="5">
      <w:start w:val="1"/>
      <w:numFmt w:val="bullet"/>
      <w:lvlText w:val="•"/>
      <w:lvlJc w:val="left"/>
      <w:pPr>
        <w:ind w:left="2792" w:hanging="285"/>
      </w:pPr>
      <w:rPr>
        <w:rFonts w:hint="default"/>
      </w:rPr>
    </w:lvl>
    <w:lvl w:ilvl="6">
      <w:start w:val="1"/>
      <w:numFmt w:val="bullet"/>
      <w:lvlText w:val="•"/>
      <w:lvlJc w:val="left"/>
      <w:pPr>
        <w:ind w:left="3430" w:hanging="285"/>
      </w:pPr>
      <w:rPr>
        <w:rFonts w:hint="default"/>
      </w:rPr>
    </w:lvl>
    <w:lvl w:ilvl="7">
      <w:start w:val="1"/>
      <w:numFmt w:val="bullet"/>
      <w:lvlText w:val="•"/>
      <w:lvlJc w:val="left"/>
      <w:pPr>
        <w:ind w:left="4067" w:hanging="285"/>
      </w:pPr>
      <w:rPr>
        <w:rFonts w:hint="default"/>
      </w:rPr>
    </w:lvl>
    <w:lvl w:ilvl="8">
      <w:start w:val="1"/>
      <w:numFmt w:val="bullet"/>
      <w:lvlText w:val="•"/>
      <w:lvlJc w:val="left"/>
      <w:pPr>
        <w:ind w:left="4705" w:hanging="285"/>
      </w:pPr>
      <w:rPr>
        <w:rFonts w:hint="default"/>
      </w:rPr>
    </w:lvl>
  </w:abstractNum>
  <w:abstractNum w:abstractNumId="128">
    <w:multiLevelType w:val="hybridMultilevel"/>
    <w:lvl w:ilvl="0">
      <w:start w:val="12"/>
      <w:numFmt w:val="lowerLetter"/>
      <w:lvlText w:val="%1."/>
      <w:lvlJc w:val="left"/>
      <w:pPr>
        <w:ind w:left="315" w:hanging="173"/>
        <w:jc w:val="left"/>
      </w:pPr>
      <w:rPr>
        <w:rFonts w:hint="default" w:ascii="Times New Roman" w:hAnsi="Times New Roman" w:eastAsia="Times New Roman" w:cs="Times New Roman"/>
        <w:b/>
        <w:bCs/>
        <w:w w:val="142"/>
        <w:sz w:val="16"/>
        <w:szCs w:val="16"/>
      </w:rPr>
    </w:lvl>
    <w:lvl w:ilvl="1">
      <w:start w:val="12"/>
      <w:numFmt w:val="lowerLetter"/>
      <w:lvlText w:val="%2."/>
      <w:lvlJc w:val="left"/>
      <w:pPr>
        <w:ind w:left="510" w:hanging="202"/>
        <w:jc w:val="left"/>
      </w:pPr>
      <w:rPr>
        <w:rFonts w:hint="default" w:ascii="Times New Roman" w:hAnsi="Times New Roman" w:eastAsia="Times New Roman" w:cs="Times New Roman"/>
        <w:w w:val="146"/>
        <w:sz w:val="17"/>
        <w:szCs w:val="17"/>
      </w:rPr>
    </w:lvl>
    <w:lvl w:ilvl="2">
      <w:start w:val="1"/>
      <w:numFmt w:val="lowerLetter"/>
      <w:lvlText w:val="(%3)"/>
      <w:lvlJc w:val="left"/>
      <w:pPr>
        <w:ind w:left="762" w:hanging="288"/>
        <w:jc w:val="left"/>
      </w:pPr>
      <w:rPr>
        <w:rFonts w:hint="default" w:ascii="Times New Roman" w:hAnsi="Times New Roman" w:eastAsia="Times New Roman" w:cs="Times New Roman"/>
        <w:w w:val="104"/>
        <w:sz w:val="17"/>
        <w:szCs w:val="17"/>
      </w:rPr>
    </w:lvl>
    <w:lvl w:ilvl="3">
      <w:start w:val="1"/>
      <w:numFmt w:val="bullet"/>
      <w:lvlText w:val="•"/>
      <w:lvlJc w:val="left"/>
      <w:pPr>
        <w:ind w:left="1412" w:hanging="288"/>
      </w:pPr>
      <w:rPr>
        <w:rFonts w:hint="default"/>
      </w:rPr>
    </w:lvl>
    <w:lvl w:ilvl="4">
      <w:start w:val="1"/>
      <w:numFmt w:val="bullet"/>
      <w:lvlText w:val="•"/>
      <w:lvlJc w:val="left"/>
      <w:pPr>
        <w:ind w:left="2065" w:hanging="288"/>
      </w:pPr>
      <w:rPr>
        <w:rFonts w:hint="default"/>
      </w:rPr>
    </w:lvl>
    <w:lvl w:ilvl="5">
      <w:start w:val="1"/>
      <w:numFmt w:val="bullet"/>
      <w:lvlText w:val="•"/>
      <w:lvlJc w:val="left"/>
      <w:pPr>
        <w:ind w:left="2717" w:hanging="288"/>
      </w:pPr>
      <w:rPr>
        <w:rFonts w:hint="default"/>
      </w:rPr>
    </w:lvl>
    <w:lvl w:ilvl="6">
      <w:start w:val="1"/>
      <w:numFmt w:val="bullet"/>
      <w:lvlText w:val="•"/>
      <w:lvlJc w:val="left"/>
      <w:pPr>
        <w:ind w:left="3370" w:hanging="288"/>
      </w:pPr>
      <w:rPr>
        <w:rFonts w:hint="default"/>
      </w:rPr>
    </w:lvl>
    <w:lvl w:ilvl="7">
      <w:start w:val="1"/>
      <w:numFmt w:val="bullet"/>
      <w:lvlText w:val="•"/>
      <w:lvlJc w:val="left"/>
      <w:pPr>
        <w:ind w:left="4022" w:hanging="288"/>
      </w:pPr>
      <w:rPr>
        <w:rFonts w:hint="default"/>
      </w:rPr>
    </w:lvl>
    <w:lvl w:ilvl="8">
      <w:start w:val="1"/>
      <w:numFmt w:val="bullet"/>
      <w:lvlText w:val="•"/>
      <w:lvlJc w:val="left"/>
      <w:pPr>
        <w:ind w:left="4675" w:hanging="288"/>
      </w:pPr>
      <w:rPr>
        <w:rFonts w:hint="default"/>
      </w:rPr>
    </w:lvl>
  </w:abstractNum>
  <w:abstractNum w:abstractNumId="127">
    <w:multiLevelType w:val="hybridMultilevel"/>
    <w:lvl w:ilvl="0">
      <w:start w:val="4"/>
      <w:numFmt w:val="decimal"/>
      <w:lvlText w:val="%1."/>
      <w:lvlJc w:val="left"/>
      <w:pPr>
        <w:ind w:left="351" w:hanging="227"/>
        <w:jc w:val="left"/>
      </w:pPr>
      <w:rPr>
        <w:rFonts w:hint="default" w:ascii="Times New Roman" w:hAnsi="Times New Roman" w:eastAsia="Times New Roman" w:cs="Times New Roman"/>
        <w:b/>
        <w:bCs/>
        <w:w w:val="115"/>
      </w:rPr>
    </w:lvl>
    <w:lvl w:ilvl="1">
      <w:start w:val="1"/>
      <w:numFmt w:val="bullet"/>
      <w:lvlText w:val="•"/>
      <w:lvlJc w:val="left"/>
      <w:pPr>
        <w:ind w:left="360" w:hanging="227"/>
      </w:pPr>
      <w:rPr>
        <w:rFonts w:hint="default"/>
      </w:rPr>
    </w:lvl>
    <w:lvl w:ilvl="2">
      <w:start w:val="1"/>
      <w:numFmt w:val="bullet"/>
      <w:lvlText w:val="•"/>
      <w:lvlJc w:val="left"/>
      <w:pPr>
        <w:ind w:left="2980" w:hanging="227"/>
      </w:pPr>
      <w:rPr>
        <w:rFonts w:hint="default"/>
      </w:rPr>
    </w:lvl>
    <w:lvl w:ilvl="3">
      <w:start w:val="1"/>
      <w:numFmt w:val="bullet"/>
      <w:lvlText w:val="•"/>
      <w:lvlJc w:val="left"/>
      <w:pPr>
        <w:ind w:left="3360" w:hanging="227"/>
      </w:pPr>
      <w:rPr>
        <w:rFonts w:hint="default"/>
      </w:rPr>
    </w:lvl>
    <w:lvl w:ilvl="4">
      <w:start w:val="1"/>
      <w:numFmt w:val="bullet"/>
      <w:lvlText w:val="•"/>
      <w:lvlJc w:val="left"/>
      <w:pPr>
        <w:ind w:left="3412" w:hanging="227"/>
      </w:pPr>
      <w:rPr>
        <w:rFonts w:hint="default"/>
      </w:rPr>
    </w:lvl>
    <w:lvl w:ilvl="5">
      <w:start w:val="1"/>
      <w:numFmt w:val="bullet"/>
      <w:lvlText w:val="•"/>
      <w:lvlJc w:val="left"/>
      <w:pPr>
        <w:ind w:left="3464" w:hanging="227"/>
      </w:pPr>
      <w:rPr>
        <w:rFonts w:hint="default"/>
      </w:rPr>
    </w:lvl>
    <w:lvl w:ilvl="6">
      <w:start w:val="1"/>
      <w:numFmt w:val="bullet"/>
      <w:lvlText w:val="•"/>
      <w:lvlJc w:val="left"/>
      <w:pPr>
        <w:ind w:left="3516" w:hanging="227"/>
      </w:pPr>
      <w:rPr>
        <w:rFonts w:hint="default"/>
      </w:rPr>
    </w:lvl>
    <w:lvl w:ilvl="7">
      <w:start w:val="1"/>
      <w:numFmt w:val="bullet"/>
      <w:lvlText w:val="•"/>
      <w:lvlJc w:val="left"/>
      <w:pPr>
        <w:ind w:left="3568" w:hanging="227"/>
      </w:pPr>
      <w:rPr>
        <w:rFonts w:hint="default"/>
      </w:rPr>
    </w:lvl>
    <w:lvl w:ilvl="8">
      <w:start w:val="1"/>
      <w:numFmt w:val="bullet"/>
      <w:lvlText w:val="•"/>
      <w:lvlJc w:val="left"/>
      <w:pPr>
        <w:ind w:left="3620" w:hanging="227"/>
      </w:pPr>
      <w:rPr>
        <w:rFonts w:hint="default"/>
      </w:rPr>
    </w:lvl>
  </w:abstractNum>
  <w:abstractNum w:abstractNumId="126">
    <w:multiLevelType w:val="hybridMultilevel"/>
    <w:lvl w:ilvl="0">
      <w:start w:val="7"/>
      <w:numFmt w:val="decimal"/>
      <w:lvlText w:val="%1."/>
      <w:lvlJc w:val="left"/>
      <w:pPr>
        <w:ind w:left="550" w:hanging="209"/>
        <w:jc w:val="left"/>
      </w:pPr>
      <w:rPr>
        <w:rFonts w:hint="default" w:ascii="Times New Roman" w:hAnsi="Times New Roman" w:eastAsia="Times New Roman" w:cs="Times New Roman"/>
        <w:color w:val="030303"/>
        <w:w w:val="110"/>
        <w:sz w:val="16"/>
        <w:szCs w:val="16"/>
      </w:rPr>
    </w:lvl>
    <w:lvl w:ilvl="1">
      <w:start w:val="17"/>
      <w:numFmt w:val="decimal"/>
      <w:lvlText w:val="%2."/>
      <w:lvlJc w:val="left"/>
      <w:pPr>
        <w:ind w:left="345" w:hanging="280"/>
        <w:jc w:val="right"/>
      </w:pPr>
      <w:rPr>
        <w:rFonts w:hint="default" w:ascii="Times New Roman" w:hAnsi="Times New Roman" w:eastAsia="Times New Roman" w:cs="Times New Roman"/>
        <w:spacing w:val="-37"/>
        <w:w w:val="103"/>
      </w:rPr>
    </w:lvl>
    <w:lvl w:ilvl="2">
      <w:start w:val="1"/>
      <w:numFmt w:val="lowerRoman"/>
      <w:lvlText w:val="(%3)"/>
      <w:lvlJc w:val="left"/>
      <w:pPr>
        <w:ind w:left="769" w:hanging="249"/>
        <w:jc w:val="left"/>
      </w:pPr>
      <w:rPr>
        <w:rFonts w:hint="default" w:ascii="Times New Roman" w:hAnsi="Times New Roman" w:eastAsia="Times New Roman" w:cs="Times New Roman"/>
        <w:w w:val="103"/>
        <w:sz w:val="17"/>
        <w:szCs w:val="17"/>
      </w:rPr>
    </w:lvl>
    <w:lvl w:ilvl="3">
      <w:start w:val="1"/>
      <w:numFmt w:val="bullet"/>
      <w:lvlText w:val="•"/>
      <w:lvlJc w:val="left"/>
      <w:pPr>
        <w:ind w:left="1412" w:hanging="249"/>
      </w:pPr>
      <w:rPr>
        <w:rFonts w:hint="default"/>
      </w:rPr>
    </w:lvl>
    <w:lvl w:ilvl="4">
      <w:start w:val="1"/>
      <w:numFmt w:val="bullet"/>
      <w:lvlText w:val="•"/>
      <w:lvlJc w:val="left"/>
      <w:pPr>
        <w:ind w:left="2065" w:hanging="249"/>
      </w:pPr>
      <w:rPr>
        <w:rFonts w:hint="default"/>
      </w:rPr>
    </w:lvl>
    <w:lvl w:ilvl="5">
      <w:start w:val="1"/>
      <w:numFmt w:val="bullet"/>
      <w:lvlText w:val="•"/>
      <w:lvlJc w:val="left"/>
      <w:pPr>
        <w:ind w:left="2717" w:hanging="249"/>
      </w:pPr>
      <w:rPr>
        <w:rFonts w:hint="default"/>
      </w:rPr>
    </w:lvl>
    <w:lvl w:ilvl="6">
      <w:start w:val="1"/>
      <w:numFmt w:val="bullet"/>
      <w:lvlText w:val="•"/>
      <w:lvlJc w:val="left"/>
      <w:pPr>
        <w:ind w:left="3370" w:hanging="249"/>
      </w:pPr>
      <w:rPr>
        <w:rFonts w:hint="default"/>
      </w:rPr>
    </w:lvl>
    <w:lvl w:ilvl="7">
      <w:start w:val="1"/>
      <w:numFmt w:val="bullet"/>
      <w:lvlText w:val="•"/>
      <w:lvlJc w:val="left"/>
      <w:pPr>
        <w:ind w:left="4022" w:hanging="249"/>
      </w:pPr>
      <w:rPr>
        <w:rFonts w:hint="default"/>
      </w:rPr>
    </w:lvl>
    <w:lvl w:ilvl="8">
      <w:start w:val="1"/>
      <w:numFmt w:val="bullet"/>
      <w:lvlText w:val="•"/>
      <w:lvlJc w:val="left"/>
      <w:pPr>
        <w:ind w:left="4675" w:hanging="249"/>
      </w:pPr>
      <w:rPr>
        <w:rFonts w:hint="default"/>
      </w:rPr>
    </w:lvl>
  </w:abstractNum>
  <w:abstractNum w:abstractNumId="125">
    <w:multiLevelType w:val="hybridMultilevel"/>
    <w:lvl w:ilvl="0">
      <w:start w:val="14"/>
      <w:numFmt w:val="decimal"/>
      <w:lvlText w:val="%1."/>
      <w:lvlJc w:val="left"/>
      <w:pPr>
        <w:ind w:left="136" w:hanging="284"/>
        <w:jc w:val="right"/>
      </w:pPr>
      <w:rPr>
        <w:rFonts w:hint="default" w:ascii="Times New Roman" w:hAnsi="Times New Roman" w:eastAsia="Times New Roman" w:cs="Times New Roman"/>
        <w:w w:val="95"/>
      </w:rPr>
    </w:lvl>
    <w:lvl w:ilvl="1">
      <w:start w:val="1"/>
      <w:numFmt w:val="lowerLetter"/>
      <w:lvlText w:val="(%2)"/>
      <w:lvlJc w:val="left"/>
      <w:pPr>
        <w:ind w:left="980" w:hanging="284"/>
        <w:jc w:val="left"/>
      </w:pPr>
      <w:rPr>
        <w:rFonts w:hint="default" w:ascii="Times New Roman" w:hAnsi="Times New Roman" w:eastAsia="Times New Roman" w:cs="Times New Roman"/>
        <w:color w:val="030303"/>
        <w:spacing w:val="-2"/>
        <w:w w:val="86"/>
        <w:position w:val="1"/>
        <w:sz w:val="18"/>
        <w:szCs w:val="18"/>
      </w:rPr>
    </w:lvl>
    <w:lvl w:ilvl="2">
      <w:start w:val="1"/>
      <w:numFmt w:val="bullet"/>
      <w:lvlText w:val="•"/>
      <w:lvlJc w:val="left"/>
      <w:pPr>
        <w:ind w:left="1014" w:hanging="284"/>
      </w:pPr>
      <w:rPr>
        <w:rFonts w:hint="default"/>
      </w:rPr>
    </w:lvl>
    <w:lvl w:ilvl="3">
      <w:start w:val="1"/>
      <w:numFmt w:val="bullet"/>
      <w:lvlText w:val="•"/>
      <w:lvlJc w:val="left"/>
      <w:pPr>
        <w:ind w:left="1049" w:hanging="284"/>
      </w:pPr>
      <w:rPr>
        <w:rFonts w:hint="default"/>
      </w:rPr>
    </w:lvl>
    <w:lvl w:ilvl="4">
      <w:start w:val="1"/>
      <w:numFmt w:val="bullet"/>
      <w:lvlText w:val="•"/>
      <w:lvlJc w:val="left"/>
      <w:pPr>
        <w:ind w:left="1083" w:hanging="284"/>
      </w:pPr>
      <w:rPr>
        <w:rFonts w:hint="default"/>
      </w:rPr>
    </w:lvl>
    <w:lvl w:ilvl="5">
      <w:start w:val="1"/>
      <w:numFmt w:val="bullet"/>
      <w:lvlText w:val="•"/>
      <w:lvlJc w:val="left"/>
      <w:pPr>
        <w:ind w:left="1118" w:hanging="284"/>
      </w:pPr>
      <w:rPr>
        <w:rFonts w:hint="default"/>
      </w:rPr>
    </w:lvl>
    <w:lvl w:ilvl="6">
      <w:start w:val="1"/>
      <w:numFmt w:val="bullet"/>
      <w:lvlText w:val="•"/>
      <w:lvlJc w:val="left"/>
      <w:pPr>
        <w:ind w:left="1152" w:hanging="284"/>
      </w:pPr>
      <w:rPr>
        <w:rFonts w:hint="default"/>
      </w:rPr>
    </w:lvl>
    <w:lvl w:ilvl="7">
      <w:start w:val="1"/>
      <w:numFmt w:val="bullet"/>
      <w:lvlText w:val="•"/>
      <w:lvlJc w:val="left"/>
      <w:pPr>
        <w:ind w:left="1187" w:hanging="284"/>
      </w:pPr>
      <w:rPr>
        <w:rFonts w:hint="default"/>
      </w:rPr>
    </w:lvl>
    <w:lvl w:ilvl="8">
      <w:start w:val="1"/>
      <w:numFmt w:val="bullet"/>
      <w:lvlText w:val="•"/>
      <w:lvlJc w:val="left"/>
      <w:pPr>
        <w:ind w:left="1221" w:hanging="284"/>
      </w:pPr>
      <w:rPr>
        <w:rFonts w:hint="default"/>
      </w:rPr>
    </w:lvl>
  </w:abstractNum>
  <w:abstractNum w:abstractNumId="124">
    <w:multiLevelType w:val="hybridMultilevel"/>
    <w:lvl w:ilvl="0">
      <w:start w:val="10"/>
      <w:numFmt w:val="decimal"/>
      <w:lvlText w:val="%1."/>
      <w:lvlJc w:val="left"/>
      <w:pPr>
        <w:ind w:left="129" w:hanging="277"/>
        <w:jc w:val="left"/>
      </w:pPr>
      <w:rPr>
        <w:rFonts w:hint="default" w:ascii="Times New Roman" w:hAnsi="Times New Roman" w:eastAsia="Times New Roman" w:cs="Times New Roman"/>
        <w:color w:val="010101"/>
        <w:spacing w:val="-1"/>
        <w:w w:val="95"/>
        <w:sz w:val="17"/>
        <w:szCs w:val="17"/>
      </w:rPr>
    </w:lvl>
    <w:lvl w:ilvl="1">
      <w:start w:val="1"/>
      <w:numFmt w:val="lowerLetter"/>
      <w:lvlText w:val="(%2)"/>
      <w:lvlJc w:val="left"/>
      <w:pPr>
        <w:ind w:left="728" w:hanging="273"/>
        <w:jc w:val="left"/>
      </w:pPr>
      <w:rPr>
        <w:rFonts w:hint="default" w:ascii="Times New Roman" w:hAnsi="Times New Roman" w:eastAsia="Times New Roman" w:cs="Times New Roman"/>
        <w:color w:val="010101"/>
        <w:w w:val="102"/>
        <w:sz w:val="17"/>
        <w:szCs w:val="17"/>
      </w:rPr>
    </w:lvl>
    <w:lvl w:ilvl="2">
      <w:start w:val="1"/>
      <w:numFmt w:val="bullet"/>
      <w:lvlText w:val="•"/>
      <w:lvlJc w:val="left"/>
      <w:pPr>
        <w:ind w:left="1306" w:hanging="273"/>
      </w:pPr>
      <w:rPr>
        <w:rFonts w:hint="default"/>
      </w:rPr>
    </w:lvl>
    <w:lvl w:ilvl="3">
      <w:start w:val="1"/>
      <w:numFmt w:val="bullet"/>
      <w:lvlText w:val="•"/>
      <w:lvlJc w:val="left"/>
      <w:pPr>
        <w:ind w:left="1893" w:hanging="273"/>
      </w:pPr>
      <w:rPr>
        <w:rFonts w:hint="default"/>
      </w:rPr>
    </w:lvl>
    <w:lvl w:ilvl="4">
      <w:start w:val="1"/>
      <w:numFmt w:val="bullet"/>
      <w:lvlText w:val="•"/>
      <w:lvlJc w:val="left"/>
      <w:pPr>
        <w:ind w:left="2480" w:hanging="273"/>
      </w:pPr>
      <w:rPr>
        <w:rFonts w:hint="default"/>
      </w:rPr>
    </w:lvl>
    <w:lvl w:ilvl="5">
      <w:start w:val="1"/>
      <w:numFmt w:val="bullet"/>
      <w:lvlText w:val="•"/>
      <w:lvlJc w:val="left"/>
      <w:pPr>
        <w:ind w:left="3066" w:hanging="273"/>
      </w:pPr>
      <w:rPr>
        <w:rFonts w:hint="default"/>
      </w:rPr>
    </w:lvl>
    <w:lvl w:ilvl="6">
      <w:start w:val="1"/>
      <w:numFmt w:val="bullet"/>
      <w:lvlText w:val="•"/>
      <w:lvlJc w:val="left"/>
      <w:pPr>
        <w:ind w:left="3653" w:hanging="273"/>
      </w:pPr>
      <w:rPr>
        <w:rFonts w:hint="default"/>
      </w:rPr>
    </w:lvl>
    <w:lvl w:ilvl="7">
      <w:start w:val="1"/>
      <w:numFmt w:val="bullet"/>
      <w:lvlText w:val="•"/>
      <w:lvlJc w:val="left"/>
      <w:pPr>
        <w:ind w:left="4240" w:hanging="273"/>
      </w:pPr>
      <w:rPr>
        <w:rFonts w:hint="default"/>
      </w:rPr>
    </w:lvl>
    <w:lvl w:ilvl="8">
      <w:start w:val="1"/>
      <w:numFmt w:val="bullet"/>
      <w:lvlText w:val="•"/>
      <w:lvlJc w:val="left"/>
      <w:pPr>
        <w:ind w:left="4826" w:hanging="273"/>
      </w:pPr>
      <w:rPr>
        <w:rFonts w:hint="default"/>
      </w:rPr>
    </w:lvl>
  </w:abstractNum>
  <w:abstractNum w:abstractNumId="123">
    <w:multiLevelType w:val="hybridMultilevel"/>
    <w:lvl w:ilvl="0">
      <w:start w:val="7"/>
      <w:numFmt w:val="decimal"/>
      <w:lvlText w:val="%1."/>
      <w:lvlJc w:val="left"/>
      <w:pPr>
        <w:ind w:left="129" w:hanging="209"/>
        <w:jc w:val="left"/>
      </w:pPr>
      <w:rPr>
        <w:rFonts w:hint="default" w:ascii="Times New Roman" w:hAnsi="Times New Roman" w:eastAsia="Times New Roman" w:cs="Times New Roman"/>
        <w:color w:val="010101"/>
        <w:w w:val="106"/>
        <w:sz w:val="17"/>
        <w:szCs w:val="17"/>
      </w:rPr>
    </w:lvl>
    <w:lvl w:ilvl="1">
      <w:start w:val="1"/>
      <w:numFmt w:val="lowerLetter"/>
      <w:lvlText w:val="(%2)"/>
      <w:lvlJc w:val="left"/>
      <w:pPr>
        <w:ind w:left="740" w:hanging="284"/>
        <w:jc w:val="left"/>
      </w:pPr>
      <w:rPr>
        <w:rFonts w:hint="default" w:ascii="Times New Roman" w:hAnsi="Times New Roman" w:eastAsia="Times New Roman" w:cs="Times New Roman"/>
        <w:color w:val="010101"/>
        <w:w w:val="104"/>
        <w:sz w:val="17"/>
        <w:szCs w:val="17"/>
      </w:rPr>
    </w:lvl>
    <w:lvl w:ilvl="2">
      <w:start w:val="1"/>
      <w:numFmt w:val="bullet"/>
      <w:lvlText w:val="•"/>
      <w:lvlJc w:val="left"/>
      <w:pPr>
        <w:ind w:left="1320" w:hanging="284"/>
      </w:pPr>
      <w:rPr>
        <w:rFonts w:hint="default"/>
      </w:rPr>
    </w:lvl>
    <w:lvl w:ilvl="3">
      <w:start w:val="1"/>
      <w:numFmt w:val="bullet"/>
      <w:lvlText w:val="•"/>
      <w:lvlJc w:val="left"/>
      <w:pPr>
        <w:ind w:left="1900" w:hanging="284"/>
      </w:pPr>
      <w:rPr>
        <w:rFonts w:hint="default"/>
      </w:rPr>
    </w:lvl>
    <w:lvl w:ilvl="4">
      <w:start w:val="1"/>
      <w:numFmt w:val="bullet"/>
      <w:lvlText w:val="•"/>
      <w:lvlJc w:val="left"/>
      <w:pPr>
        <w:ind w:left="2480" w:hanging="284"/>
      </w:pPr>
      <w:rPr>
        <w:rFonts w:hint="default"/>
      </w:rPr>
    </w:lvl>
    <w:lvl w:ilvl="5">
      <w:start w:val="1"/>
      <w:numFmt w:val="bullet"/>
      <w:lvlText w:val="•"/>
      <w:lvlJc w:val="left"/>
      <w:pPr>
        <w:ind w:left="3060" w:hanging="284"/>
      </w:pPr>
      <w:rPr>
        <w:rFonts w:hint="default"/>
      </w:rPr>
    </w:lvl>
    <w:lvl w:ilvl="6">
      <w:start w:val="1"/>
      <w:numFmt w:val="bullet"/>
      <w:lvlText w:val="•"/>
      <w:lvlJc w:val="left"/>
      <w:pPr>
        <w:ind w:left="3640" w:hanging="284"/>
      </w:pPr>
      <w:rPr>
        <w:rFonts w:hint="default"/>
      </w:rPr>
    </w:lvl>
    <w:lvl w:ilvl="7">
      <w:start w:val="1"/>
      <w:numFmt w:val="bullet"/>
      <w:lvlText w:val="•"/>
      <w:lvlJc w:val="left"/>
      <w:pPr>
        <w:ind w:left="4220" w:hanging="284"/>
      </w:pPr>
      <w:rPr>
        <w:rFonts w:hint="default"/>
      </w:rPr>
    </w:lvl>
    <w:lvl w:ilvl="8">
      <w:start w:val="1"/>
      <w:numFmt w:val="bullet"/>
      <w:lvlText w:val="•"/>
      <w:lvlJc w:val="left"/>
      <w:pPr>
        <w:ind w:left="4800" w:hanging="284"/>
      </w:pPr>
      <w:rPr>
        <w:rFonts w:hint="default"/>
      </w:rPr>
    </w:lvl>
  </w:abstractNum>
  <w:abstractNum w:abstractNumId="122">
    <w:multiLevelType w:val="hybridMultilevel"/>
    <w:lvl w:ilvl="0">
      <w:start w:val="5"/>
      <w:numFmt w:val="decimal"/>
      <w:lvlText w:val="%1."/>
      <w:lvlJc w:val="left"/>
      <w:pPr>
        <w:ind w:left="489" w:hanging="212"/>
        <w:jc w:val="left"/>
      </w:pPr>
      <w:rPr>
        <w:rFonts w:hint="default" w:ascii="Times New Roman" w:hAnsi="Times New Roman" w:eastAsia="Times New Roman" w:cs="Times New Roman"/>
        <w:color w:val="010101"/>
        <w:w w:val="108"/>
        <w:sz w:val="17"/>
        <w:szCs w:val="17"/>
      </w:rPr>
    </w:lvl>
    <w:lvl w:ilvl="1">
      <w:start w:val="1"/>
      <w:numFmt w:val="lowerLetter"/>
      <w:lvlText w:val="(%2)"/>
      <w:lvlJc w:val="left"/>
      <w:pPr>
        <w:ind w:left="701" w:hanging="255"/>
        <w:jc w:val="left"/>
      </w:pPr>
      <w:rPr>
        <w:rFonts w:hint="default" w:ascii="Times New Roman" w:hAnsi="Times New Roman" w:eastAsia="Times New Roman" w:cs="Times New Roman"/>
        <w:b/>
        <w:bCs/>
        <w:color w:val="010101"/>
        <w:w w:val="102"/>
        <w:sz w:val="16"/>
        <w:szCs w:val="16"/>
      </w:rPr>
    </w:lvl>
    <w:lvl w:ilvl="2">
      <w:start w:val="1"/>
      <w:numFmt w:val="bullet"/>
      <w:lvlText w:val="•"/>
      <w:lvlJc w:val="left"/>
      <w:pPr>
        <w:ind w:left="751" w:hanging="255"/>
      </w:pPr>
      <w:rPr>
        <w:rFonts w:hint="default"/>
      </w:rPr>
    </w:lvl>
    <w:lvl w:ilvl="3">
      <w:start w:val="1"/>
      <w:numFmt w:val="bullet"/>
      <w:lvlText w:val="•"/>
      <w:lvlJc w:val="left"/>
      <w:pPr>
        <w:ind w:left="802" w:hanging="255"/>
      </w:pPr>
      <w:rPr>
        <w:rFonts w:hint="default"/>
      </w:rPr>
    </w:lvl>
    <w:lvl w:ilvl="4">
      <w:start w:val="1"/>
      <w:numFmt w:val="bullet"/>
      <w:lvlText w:val="•"/>
      <w:lvlJc w:val="left"/>
      <w:pPr>
        <w:ind w:left="853" w:hanging="255"/>
      </w:pPr>
      <w:rPr>
        <w:rFonts w:hint="default"/>
      </w:rPr>
    </w:lvl>
    <w:lvl w:ilvl="5">
      <w:start w:val="1"/>
      <w:numFmt w:val="bullet"/>
      <w:lvlText w:val="•"/>
      <w:lvlJc w:val="left"/>
      <w:pPr>
        <w:ind w:left="904" w:hanging="255"/>
      </w:pPr>
      <w:rPr>
        <w:rFonts w:hint="default"/>
      </w:rPr>
    </w:lvl>
    <w:lvl w:ilvl="6">
      <w:start w:val="1"/>
      <w:numFmt w:val="bullet"/>
      <w:lvlText w:val="•"/>
      <w:lvlJc w:val="left"/>
      <w:pPr>
        <w:ind w:left="955" w:hanging="255"/>
      </w:pPr>
      <w:rPr>
        <w:rFonts w:hint="default"/>
      </w:rPr>
    </w:lvl>
    <w:lvl w:ilvl="7">
      <w:start w:val="1"/>
      <w:numFmt w:val="bullet"/>
      <w:lvlText w:val="•"/>
      <w:lvlJc w:val="left"/>
      <w:pPr>
        <w:ind w:left="1007" w:hanging="255"/>
      </w:pPr>
      <w:rPr>
        <w:rFonts w:hint="default"/>
      </w:rPr>
    </w:lvl>
    <w:lvl w:ilvl="8">
      <w:start w:val="1"/>
      <w:numFmt w:val="bullet"/>
      <w:lvlText w:val="•"/>
      <w:lvlJc w:val="left"/>
      <w:pPr>
        <w:ind w:left="1058" w:hanging="255"/>
      </w:pPr>
      <w:rPr>
        <w:rFonts w:hint="default"/>
      </w:rPr>
    </w:lvl>
  </w:abstractNum>
  <w:abstractNum w:abstractNumId="121">
    <w:multiLevelType w:val="hybridMultilevel"/>
    <w:lvl w:ilvl="0">
      <w:start w:val="3"/>
      <w:numFmt w:val="decimal"/>
      <w:lvlText w:val="%1."/>
      <w:lvlJc w:val="left"/>
      <w:pPr>
        <w:ind w:left="116" w:hanging="201"/>
        <w:jc w:val="right"/>
      </w:pPr>
      <w:rPr>
        <w:rFonts w:hint="default" w:ascii="Times New Roman" w:hAnsi="Times New Roman" w:eastAsia="Times New Roman" w:cs="Times New Roman"/>
        <w:b/>
        <w:bCs/>
        <w:color w:val="010101"/>
        <w:w w:val="105"/>
        <w:sz w:val="16"/>
        <w:szCs w:val="16"/>
      </w:rPr>
    </w:lvl>
    <w:lvl w:ilvl="1">
      <w:start w:val="11"/>
      <w:numFmt w:val="decimal"/>
      <w:lvlText w:val="%2."/>
      <w:lvlJc w:val="left"/>
      <w:pPr>
        <w:ind w:left="125" w:hanging="280"/>
        <w:jc w:val="left"/>
      </w:pPr>
      <w:rPr>
        <w:rFonts w:hint="default" w:ascii="Times New Roman" w:hAnsi="Times New Roman" w:eastAsia="Times New Roman" w:cs="Times New Roman"/>
        <w:color w:val="010101"/>
        <w:w w:val="101"/>
        <w:sz w:val="17"/>
        <w:szCs w:val="17"/>
      </w:rPr>
    </w:lvl>
    <w:lvl w:ilvl="2">
      <w:start w:val="1"/>
      <w:numFmt w:val="bullet"/>
      <w:lvlText w:val="•"/>
      <w:lvlJc w:val="left"/>
      <w:pPr>
        <w:ind w:left="1288" w:hanging="280"/>
      </w:pPr>
      <w:rPr>
        <w:rFonts w:hint="default"/>
      </w:rPr>
    </w:lvl>
    <w:lvl w:ilvl="3">
      <w:start w:val="1"/>
      <w:numFmt w:val="bullet"/>
      <w:lvlText w:val="•"/>
      <w:lvlJc w:val="left"/>
      <w:pPr>
        <w:ind w:left="1872" w:hanging="280"/>
      </w:pPr>
      <w:rPr>
        <w:rFonts w:hint="default"/>
      </w:rPr>
    </w:lvl>
    <w:lvl w:ilvl="4">
      <w:start w:val="1"/>
      <w:numFmt w:val="bullet"/>
      <w:lvlText w:val="•"/>
      <w:lvlJc w:val="left"/>
      <w:pPr>
        <w:ind w:left="2456" w:hanging="280"/>
      </w:pPr>
      <w:rPr>
        <w:rFonts w:hint="default"/>
      </w:rPr>
    </w:lvl>
    <w:lvl w:ilvl="5">
      <w:start w:val="1"/>
      <w:numFmt w:val="bullet"/>
      <w:lvlText w:val="•"/>
      <w:lvlJc w:val="left"/>
      <w:pPr>
        <w:ind w:left="3040" w:hanging="280"/>
      </w:pPr>
      <w:rPr>
        <w:rFonts w:hint="default"/>
      </w:rPr>
    </w:lvl>
    <w:lvl w:ilvl="6">
      <w:start w:val="1"/>
      <w:numFmt w:val="bullet"/>
      <w:lvlText w:val="•"/>
      <w:lvlJc w:val="left"/>
      <w:pPr>
        <w:ind w:left="3624" w:hanging="280"/>
      </w:pPr>
      <w:rPr>
        <w:rFonts w:hint="default"/>
      </w:rPr>
    </w:lvl>
    <w:lvl w:ilvl="7">
      <w:start w:val="1"/>
      <w:numFmt w:val="bullet"/>
      <w:lvlText w:val="•"/>
      <w:lvlJc w:val="left"/>
      <w:pPr>
        <w:ind w:left="4208" w:hanging="280"/>
      </w:pPr>
      <w:rPr>
        <w:rFonts w:hint="default"/>
      </w:rPr>
    </w:lvl>
    <w:lvl w:ilvl="8">
      <w:start w:val="1"/>
      <w:numFmt w:val="bullet"/>
      <w:lvlText w:val="•"/>
      <w:lvlJc w:val="left"/>
      <w:pPr>
        <w:ind w:left="4792" w:hanging="280"/>
      </w:pPr>
      <w:rPr>
        <w:rFonts w:hint="default"/>
      </w:rPr>
    </w:lvl>
  </w:abstractNum>
  <w:abstractNum w:abstractNumId="120">
    <w:multiLevelType w:val="hybridMultilevel"/>
    <w:lvl w:ilvl="0">
      <w:start w:val="2"/>
      <w:numFmt w:val="decimal"/>
      <w:lvlText w:val="%1."/>
      <w:lvlJc w:val="left"/>
      <w:pPr>
        <w:ind w:left="120" w:hanging="212"/>
        <w:jc w:val="left"/>
      </w:pPr>
      <w:rPr>
        <w:rFonts w:hint="default" w:ascii="Times New Roman" w:hAnsi="Times New Roman" w:eastAsia="Times New Roman" w:cs="Times New Roman"/>
        <w:color w:val="010101"/>
        <w:w w:val="107"/>
        <w:sz w:val="17"/>
        <w:szCs w:val="17"/>
      </w:rPr>
    </w:lvl>
    <w:lvl w:ilvl="1">
      <w:start w:val="1"/>
      <w:numFmt w:val="lowerLetter"/>
      <w:lvlText w:val="(%2)"/>
      <w:lvlJc w:val="left"/>
      <w:pPr>
        <w:ind w:left="744" w:hanging="287"/>
        <w:jc w:val="left"/>
      </w:pPr>
      <w:rPr>
        <w:rFonts w:hint="default" w:ascii="Times New Roman" w:hAnsi="Times New Roman" w:eastAsia="Times New Roman" w:cs="Times New Roman"/>
        <w:b/>
        <w:bCs/>
        <w:color w:val="010101"/>
        <w:w w:val="102"/>
        <w:sz w:val="17"/>
        <w:szCs w:val="17"/>
      </w:rPr>
    </w:lvl>
    <w:lvl w:ilvl="2">
      <w:start w:val="1"/>
      <w:numFmt w:val="bullet"/>
      <w:lvlText w:val="•"/>
      <w:lvlJc w:val="left"/>
      <w:pPr>
        <w:ind w:left="1320" w:hanging="287"/>
      </w:pPr>
      <w:rPr>
        <w:rFonts w:hint="default"/>
      </w:rPr>
    </w:lvl>
    <w:lvl w:ilvl="3">
      <w:start w:val="1"/>
      <w:numFmt w:val="bullet"/>
      <w:lvlText w:val="•"/>
      <w:lvlJc w:val="left"/>
      <w:pPr>
        <w:ind w:left="1900" w:hanging="287"/>
      </w:pPr>
      <w:rPr>
        <w:rFonts w:hint="default"/>
      </w:rPr>
    </w:lvl>
    <w:lvl w:ilvl="4">
      <w:start w:val="1"/>
      <w:numFmt w:val="bullet"/>
      <w:lvlText w:val="•"/>
      <w:lvlJc w:val="left"/>
      <w:pPr>
        <w:ind w:left="2480" w:hanging="287"/>
      </w:pPr>
      <w:rPr>
        <w:rFonts w:hint="default"/>
      </w:rPr>
    </w:lvl>
    <w:lvl w:ilvl="5">
      <w:start w:val="1"/>
      <w:numFmt w:val="bullet"/>
      <w:lvlText w:val="•"/>
      <w:lvlJc w:val="left"/>
      <w:pPr>
        <w:ind w:left="3060" w:hanging="287"/>
      </w:pPr>
      <w:rPr>
        <w:rFonts w:hint="default"/>
      </w:rPr>
    </w:lvl>
    <w:lvl w:ilvl="6">
      <w:start w:val="1"/>
      <w:numFmt w:val="bullet"/>
      <w:lvlText w:val="•"/>
      <w:lvlJc w:val="left"/>
      <w:pPr>
        <w:ind w:left="3640" w:hanging="287"/>
      </w:pPr>
      <w:rPr>
        <w:rFonts w:hint="default"/>
      </w:rPr>
    </w:lvl>
    <w:lvl w:ilvl="7">
      <w:start w:val="1"/>
      <w:numFmt w:val="bullet"/>
      <w:lvlText w:val="•"/>
      <w:lvlJc w:val="left"/>
      <w:pPr>
        <w:ind w:left="4220" w:hanging="287"/>
      </w:pPr>
      <w:rPr>
        <w:rFonts w:hint="default"/>
      </w:rPr>
    </w:lvl>
    <w:lvl w:ilvl="8">
      <w:start w:val="1"/>
      <w:numFmt w:val="bullet"/>
      <w:lvlText w:val="•"/>
      <w:lvlJc w:val="left"/>
      <w:pPr>
        <w:ind w:left="4800" w:hanging="287"/>
      </w:pPr>
      <w:rPr>
        <w:rFonts w:hint="default"/>
      </w:rPr>
    </w:lvl>
  </w:abstractNum>
  <w:abstractNum w:abstractNumId="119">
    <w:multiLevelType w:val="hybridMultilevel"/>
    <w:lvl w:ilvl="0">
      <w:start w:val="2"/>
      <w:numFmt w:val="decimal"/>
      <w:lvlText w:val="%1."/>
      <w:lvlJc w:val="left"/>
      <w:pPr>
        <w:ind w:left="328" w:hanging="216"/>
        <w:jc w:val="left"/>
      </w:pPr>
      <w:rPr>
        <w:rFonts w:hint="default" w:ascii="Times New Roman" w:hAnsi="Times New Roman" w:eastAsia="Times New Roman" w:cs="Times New Roman"/>
        <w:b/>
        <w:bCs/>
        <w:w w:val="103"/>
      </w:rPr>
    </w:lvl>
    <w:lvl w:ilvl="1">
      <w:start w:val="1"/>
      <w:numFmt w:val="bullet"/>
      <w:lvlText w:val="•"/>
      <w:lvlJc w:val="left"/>
      <w:pPr>
        <w:ind w:left="320" w:hanging="216"/>
      </w:pPr>
      <w:rPr>
        <w:rFonts w:hint="default"/>
      </w:rPr>
    </w:lvl>
    <w:lvl w:ilvl="2">
      <w:start w:val="1"/>
      <w:numFmt w:val="bullet"/>
      <w:lvlText w:val="•"/>
      <w:lvlJc w:val="left"/>
      <w:pPr>
        <w:ind w:left="946" w:hanging="216"/>
      </w:pPr>
      <w:rPr>
        <w:rFonts w:hint="default"/>
      </w:rPr>
    </w:lvl>
    <w:lvl w:ilvl="3">
      <w:start w:val="1"/>
      <w:numFmt w:val="bullet"/>
      <w:lvlText w:val="•"/>
      <w:lvlJc w:val="left"/>
      <w:pPr>
        <w:ind w:left="1573" w:hanging="216"/>
      </w:pPr>
      <w:rPr>
        <w:rFonts w:hint="default"/>
      </w:rPr>
    </w:lvl>
    <w:lvl w:ilvl="4">
      <w:start w:val="1"/>
      <w:numFmt w:val="bullet"/>
      <w:lvlText w:val="•"/>
      <w:lvlJc w:val="left"/>
      <w:pPr>
        <w:ind w:left="2200" w:hanging="216"/>
      </w:pPr>
      <w:rPr>
        <w:rFonts w:hint="default"/>
      </w:rPr>
    </w:lvl>
    <w:lvl w:ilvl="5">
      <w:start w:val="1"/>
      <w:numFmt w:val="bullet"/>
      <w:lvlText w:val="•"/>
      <w:lvlJc w:val="left"/>
      <w:pPr>
        <w:ind w:left="2826" w:hanging="216"/>
      </w:pPr>
      <w:rPr>
        <w:rFonts w:hint="default"/>
      </w:rPr>
    </w:lvl>
    <w:lvl w:ilvl="6">
      <w:start w:val="1"/>
      <w:numFmt w:val="bullet"/>
      <w:lvlText w:val="•"/>
      <w:lvlJc w:val="left"/>
      <w:pPr>
        <w:ind w:left="3453" w:hanging="216"/>
      </w:pPr>
      <w:rPr>
        <w:rFonts w:hint="default"/>
      </w:rPr>
    </w:lvl>
    <w:lvl w:ilvl="7">
      <w:start w:val="1"/>
      <w:numFmt w:val="bullet"/>
      <w:lvlText w:val="•"/>
      <w:lvlJc w:val="left"/>
      <w:pPr>
        <w:ind w:left="4080" w:hanging="216"/>
      </w:pPr>
      <w:rPr>
        <w:rFonts w:hint="default"/>
      </w:rPr>
    </w:lvl>
    <w:lvl w:ilvl="8">
      <w:start w:val="1"/>
      <w:numFmt w:val="bullet"/>
      <w:lvlText w:val="•"/>
      <w:lvlJc w:val="left"/>
      <w:pPr>
        <w:ind w:left="4706" w:hanging="216"/>
      </w:pPr>
      <w:rPr>
        <w:rFonts w:hint="default"/>
      </w:rPr>
    </w:lvl>
  </w:abstractNum>
  <w:abstractNum w:abstractNumId="118">
    <w:multiLevelType w:val="hybridMultilevel"/>
    <w:lvl w:ilvl="0">
      <w:start w:val="4"/>
      <w:numFmt w:val="decimal"/>
      <w:lvlText w:val="%1."/>
      <w:lvlJc w:val="left"/>
      <w:pPr>
        <w:ind w:left="324" w:hanging="220"/>
        <w:jc w:val="left"/>
      </w:pPr>
      <w:rPr>
        <w:rFonts w:hint="default" w:ascii="Times New Roman" w:hAnsi="Times New Roman" w:eastAsia="Times New Roman" w:cs="Times New Roman"/>
        <w:b/>
        <w:bCs/>
        <w:w w:val="110"/>
        <w:sz w:val="16"/>
        <w:szCs w:val="16"/>
      </w:rPr>
    </w:lvl>
    <w:lvl w:ilvl="1">
      <w:start w:val="9"/>
      <w:numFmt w:val="decimal"/>
      <w:lvlText w:val="%2."/>
      <w:lvlJc w:val="left"/>
      <w:pPr>
        <w:ind w:left="115" w:hanging="216"/>
        <w:jc w:val="left"/>
      </w:pPr>
      <w:rPr>
        <w:rFonts w:hint="default" w:ascii="Times New Roman" w:hAnsi="Times New Roman" w:eastAsia="Times New Roman" w:cs="Times New Roman"/>
        <w:w w:val="108"/>
      </w:rPr>
    </w:lvl>
    <w:lvl w:ilvl="2">
      <w:start w:val="1"/>
      <w:numFmt w:val="lowerLetter"/>
      <w:lvlText w:val="(%3)"/>
      <w:lvlJc w:val="left"/>
      <w:pPr>
        <w:ind w:left="738" w:hanging="292"/>
        <w:jc w:val="left"/>
      </w:pPr>
      <w:rPr>
        <w:rFonts w:hint="default" w:ascii="Times New Roman" w:hAnsi="Times New Roman" w:eastAsia="Times New Roman" w:cs="Times New Roman"/>
        <w:w w:val="102"/>
        <w:sz w:val="18"/>
        <w:szCs w:val="18"/>
      </w:rPr>
    </w:lvl>
    <w:lvl w:ilvl="3">
      <w:start w:val="1"/>
      <w:numFmt w:val="bullet"/>
      <w:lvlText w:val="•"/>
      <w:lvlJc w:val="left"/>
      <w:pPr>
        <w:ind w:left="1395" w:hanging="292"/>
      </w:pPr>
      <w:rPr>
        <w:rFonts w:hint="default"/>
      </w:rPr>
    </w:lvl>
    <w:lvl w:ilvl="4">
      <w:start w:val="1"/>
      <w:numFmt w:val="bullet"/>
      <w:lvlText w:val="•"/>
      <w:lvlJc w:val="left"/>
      <w:pPr>
        <w:ind w:left="2050" w:hanging="292"/>
      </w:pPr>
      <w:rPr>
        <w:rFonts w:hint="default"/>
      </w:rPr>
    </w:lvl>
    <w:lvl w:ilvl="5">
      <w:start w:val="1"/>
      <w:numFmt w:val="bullet"/>
      <w:lvlText w:val="•"/>
      <w:lvlJc w:val="left"/>
      <w:pPr>
        <w:ind w:left="2705" w:hanging="292"/>
      </w:pPr>
      <w:rPr>
        <w:rFonts w:hint="default"/>
      </w:rPr>
    </w:lvl>
    <w:lvl w:ilvl="6">
      <w:start w:val="1"/>
      <w:numFmt w:val="bullet"/>
      <w:lvlText w:val="•"/>
      <w:lvlJc w:val="left"/>
      <w:pPr>
        <w:ind w:left="3360" w:hanging="292"/>
      </w:pPr>
      <w:rPr>
        <w:rFonts w:hint="default"/>
      </w:rPr>
    </w:lvl>
    <w:lvl w:ilvl="7">
      <w:start w:val="1"/>
      <w:numFmt w:val="bullet"/>
      <w:lvlText w:val="•"/>
      <w:lvlJc w:val="left"/>
      <w:pPr>
        <w:ind w:left="4015" w:hanging="292"/>
      </w:pPr>
      <w:rPr>
        <w:rFonts w:hint="default"/>
      </w:rPr>
    </w:lvl>
    <w:lvl w:ilvl="8">
      <w:start w:val="1"/>
      <w:numFmt w:val="bullet"/>
      <w:lvlText w:val="•"/>
      <w:lvlJc w:val="left"/>
      <w:pPr>
        <w:ind w:left="4670" w:hanging="292"/>
      </w:pPr>
      <w:rPr>
        <w:rFonts w:hint="default"/>
      </w:rPr>
    </w:lvl>
  </w:abstractNum>
  <w:abstractNum w:abstractNumId="117">
    <w:multiLevelType w:val="hybridMultilevel"/>
    <w:lvl w:ilvl="0">
      <w:start w:val="8"/>
      <w:numFmt w:val="decimal"/>
      <w:lvlText w:val="%1."/>
      <w:lvlJc w:val="left"/>
      <w:pPr>
        <w:ind w:left="104" w:hanging="209"/>
        <w:jc w:val="left"/>
      </w:pPr>
      <w:rPr>
        <w:rFonts w:hint="default" w:ascii="Times New Roman" w:hAnsi="Times New Roman" w:eastAsia="Times New Roman" w:cs="Times New Roman"/>
        <w:b/>
        <w:bCs/>
        <w:w w:val="102"/>
        <w:sz w:val="18"/>
        <w:szCs w:val="18"/>
      </w:rPr>
    </w:lvl>
    <w:lvl w:ilvl="1">
      <w:start w:val="1"/>
      <w:numFmt w:val="lowerLetter"/>
      <w:lvlText w:val="(%2)"/>
      <w:lvlJc w:val="left"/>
      <w:pPr>
        <w:ind w:left="731" w:hanging="288"/>
        <w:jc w:val="left"/>
      </w:pPr>
      <w:rPr>
        <w:rFonts w:hint="default" w:ascii="Arial" w:hAnsi="Arial" w:eastAsia="Arial" w:cs="Arial"/>
        <w:w w:val="105"/>
        <w:sz w:val="16"/>
        <w:szCs w:val="16"/>
      </w:rPr>
    </w:lvl>
    <w:lvl w:ilvl="2">
      <w:start w:val="1"/>
      <w:numFmt w:val="bullet"/>
      <w:lvlText w:val="•"/>
      <w:lvlJc w:val="left"/>
      <w:pPr>
        <w:ind w:left="1322" w:hanging="288"/>
      </w:pPr>
      <w:rPr>
        <w:rFonts w:hint="default"/>
      </w:rPr>
    </w:lvl>
    <w:lvl w:ilvl="3">
      <w:start w:val="1"/>
      <w:numFmt w:val="bullet"/>
      <w:lvlText w:val="•"/>
      <w:lvlJc w:val="left"/>
      <w:pPr>
        <w:ind w:left="1904" w:hanging="288"/>
      </w:pPr>
      <w:rPr>
        <w:rFonts w:hint="default"/>
      </w:rPr>
    </w:lvl>
    <w:lvl w:ilvl="4">
      <w:start w:val="1"/>
      <w:numFmt w:val="bullet"/>
      <w:lvlText w:val="•"/>
      <w:lvlJc w:val="left"/>
      <w:pPr>
        <w:ind w:left="2486" w:hanging="288"/>
      </w:pPr>
      <w:rPr>
        <w:rFonts w:hint="default"/>
      </w:rPr>
    </w:lvl>
    <w:lvl w:ilvl="5">
      <w:start w:val="1"/>
      <w:numFmt w:val="bullet"/>
      <w:lvlText w:val="•"/>
      <w:lvlJc w:val="left"/>
      <w:pPr>
        <w:ind w:left="3068" w:hanging="288"/>
      </w:pPr>
      <w:rPr>
        <w:rFonts w:hint="default"/>
      </w:rPr>
    </w:lvl>
    <w:lvl w:ilvl="6">
      <w:start w:val="1"/>
      <w:numFmt w:val="bullet"/>
      <w:lvlText w:val="•"/>
      <w:lvlJc w:val="left"/>
      <w:pPr>
        <w:ind w:left="3651" w:hanging="288"/>
      </w:pPr>
      <w:rPr>
        <w:rFonts w:hint="default"/>
      </w:rPr>
    </w:lvl>
    <w:lvl w:ilvl="7">
      <w:start w:val="1"/>
      <w:numFmt w:val="bullet"/>
      <w:lvlText w:val="•"/>
      <w:lvlJc w:val="left"/>
      <w:pPr>
        <w:ind w:left="4233" w:hanging="288"/>
      </w:pPr>
      <w:rPr>
        <w:rFonts w:hint="default"/>
      </w:rPr>
    </w:lvl>
    <w:lvl w:ilvl="8">
      <w:start w:val="1"/>
      <w:numFmt w:val="bullet"/>
      <w:lvlText w:val="•"/>
      <w:lvlJc w:val="left"/>
      <w:pPr>
        <w:ind w:left="4815" w:hanging="288"/>
      </w:pPr>
      <w:rPr>
        <w:rFonts w:hint="default"/>
      </w:rPr>
    </w:lvl>
  </w:abstractNum>
  <w:abstractNum w:abstractNumId="116">
    <w:multiLevelType w:val="hybridMultilevel"/>
    <w:lvl w:ilvl="0">
      <w:start w:val="3"/>
      <w:numFmt w:val="decimal"/>
      <w:lvlText w:val="%1."/>
      <w:lvlJc w:val="left"/>
      <w:pPr>
        <w:ind w:left="313" w:hanging="209"/>
        <w:jc w:val="left"/>
      </w:pPr>
      <w:rPr>
        <w:rFonts w:hint="default" w:ascii="Times New Roman" w:hAnsi="Times New Roman" w:eastAsia="Times New Roman" w:cs="Times New Roman"/>
        <w:color w:val="030303"/>
        <w:w w:val="107"/>
        <w:sz w:val="17"/>
        <w:szCs w:val="17"/>
      </w:rPr>
    </w:lvl>
    <w:lvl w:ilvl="1">
      <w:start w:val="5"/>
      <w:numFmt w:val="decimal"/>
      <w:lvlText w:val="%2."/>
      <w:lvlJc w:val="left"/>
      <w:pPr>
        <w:ind w:left="475" w:hanging="209"/>
        <w:jc w:val="left"/>
      </w:pPr>
      <w:rPr>
        <w:rFonts w:hint="default" w:ascii="Times New Roman" w:hAnsi="Times New Roman" w:eastAsia="Times New Roman" w:cs="Times New Roman"/>
        <w:w w:val="102"/>
      </w:rPr>
    </w:lvl>
    <w:lvl w:ilvl="2">
      <w:start w:val="1"/>
      <w:numFmt w:val="bullet"/>
      <w:lvlText w:val="•"/>
      <w:lvlJc w:val="left"/>
      <w:pPr>
        <w:ind w:left="1091" w:hanging="209"/>
      </w:pPr>
      <w:rPr>
        <w:rFonts w:hint="default"/>
      </w:rPr>
    </w:lvl>
    <w:lvl w:ilvl="3">
      <w:start w:val="1"/>
      <w:numFmt w:val="bullet"/>
      <w:lvlText w:val="•"/>
      <w:lvlJc w:val="left"/>
      <w:pPr>
        <w:ind w:left="1702" w:hanging="209"/>
      </w:pPr>
      <w:rPr>
        <w:rFonts w:hint="default"/>
      </w:rPr>
    </w:lvl>
    <w:lvl w:ilvl="4">
      <w:start w:val="1"/>
      <w:numFmt w:val="bullet"/>
      <w:lvlText w:val="•"/>
      <w:lvlJc w:val="left"/>
      <w:pPr>
        <w:ind w:left="2313" w:hanging="209"/>
      </w:pPr>
      <w:rPr>
        <w:rFonts w:hint="default"/>
      </w:rPr>
    </w:lvl>
    <w:lvl w:ilvl="5">
      <w:start w:val="1"/>
      <w:numFmt w:val="bullet"/>
      <w:lvlText w:val="•"/>
      <w:lvlJc w:val="left"/>
      <w:pPr>
        <w:ind w:left="2924" w:hanging="209"/>
      </w:pPr>
      <w:rPr>
        <w:rFonts w:hint="default"/>
      </w:rPr>
    </w:lvl>
    <w:lvl w:ilvl="6">
      <w:start w:val="1"/>
      <w:numFmt w:val="bullet"/>
      <w:lvlText w:val="•"/>
      <w:lvlJc w:val="left"/>
      <w:pPr>
        <w:ind w:left="3535" w:hanging="209"/>
      </w:pPr>
      <w:rPr>
        <w:rFonts w:hint="default"/>
      </w:rPr>
    </w:lvl>
    <w:lvl w:ilvl="7">
      <w:start w:val="1"/>
      <w:numFmt w:val="bullet"/>
      <w:lvlText w:val="•"/>
      <w:lvlJc w:val="left"/>
      <w:pPr>
        <w:ind w:left="4146" w:hanging="209"/>
      </w:pPr>
      <w:rPr>
        <w:rFonts w:hint="default"/>
      </w:rPr>
    </w:lvl>
    <w:lvl w:ilvl="8">
      <w:start w:val="1"/>
      <w:numFmt w:val="bullet"/>
      <w:lvlText w:val="•"/>
      <w:lvlJc w:val="left"/>
      <w:pPr>
        <w:ind w:left="4757" w:hanging="209"/>
      </w:pPr>
      <w:rPr>
        <w:rFonts w:hint="default"/>
      </w:rPr>
    </w:lvl>
  </w:abstractNum>
  <w:abstractNum w:abstractNumId="115">
    <w:multiLevelType w:val="hybridMultilevel"/>
    <w:lvl w:ilvl="0">
      <w:start w:val="2"/>
      <w:numFmt w:val="decimal"/>
      <w:lvlText w:val="%1."/>
      <w:lvlJc w:val="left"/>
      <w:pPr>
        <w:ind w:left="355" w:hanging="251"/>
        <w:jc w:val="left"/>
      </w:pPr>
      <w:rPr>
        <w:rFonts w:hint="default" w:ascii="Times New Roman" w:hAnsi="Times New Roman" w:eastAsia="Times New Roman" w:cs="Times New Roman"/>
        <w:b/>
        <w:bCs/>
        <w:w w:val="105"/>
      </w:rPr>
    </w:lvl>
    <w:lvl w:ilvl="1">
      <w:start w:val="2"/>
      <w:numFmt w:val="decimal"/>
      <w:lvlText w:val="%2."/>
      <w:lvlJc w:val="left"/>
      <w:pPr>
        <w:ind w:left="511" w:hanging="223"/>
        <w:jc w:val="left"/>
      </w:pPr>
      <w:rPr>
        <w:rFonts w:hint="default" w:ascii="Times New Roman" w:hAnsi="Times New Roman" w:eastAsia="Times New Roman" w:cs="Times New Roman"/>
        <w:spacing w:val="0"/>
        <w:w w:val="96"/>
      </w:rPr>
    </w:lvl>
    <w:lvl w:ilvl="2">
      <w:start w:val="1"/>
      <w:numFmt w:val="bullet"/>
      <w:lvlText w:val="•"/>
      <w:lvlJc w:val="left"/>
      <w:pPr>
        <w:ind w:left="1122" w:hanging="223"/>
      </w:pPr>
      <w:rPr>
        <w:rFonts w:hint="default"/>
      </w:rPr>
    </w:lvl>
    <w:lvl w:ilvl="3">
      <w:start w:val="1"/>
      <w:numFmt w:val="bullet"/>
      <w:lvlText w:val="•"/>
      <w:lvlJc w:val="left"/>
      <w:pPr>
        <w:ind w:left="1724" w:hanging="223"/>
      </w:pPr>
      <w:rPr>
        <w:rFonts w:hint="default"/>
      </w:rPr>
    </w:lvl>
    <w:lvl w:ilvl="4">
      <w:start w:val="1"/>
      <w:numFmt w:val="bullet"/>
      <w:lvlText w:val="•"/>
      <w:lvlJc w:val="left"/>
      <w:pPr>
        <w:ind w:left="2326" w:hanging="223"/>
      </w:pPr>
      <w:rPr>
        <w:rFonts w:hint="default"/>
      </w:rPr>
    </w:lvl>
    <w:lvl w:ilvl="5">
      <w:start w:val="1"/>
      <w:numFmt w:val="bullet"/>
      <w:lvlText w:val="•"/>
      <w:lvlJc w:val="left"/>
      <w:pPr>
        <w:ind w:left="2928" w:hanging="223"/>
      </w:pPr>
      <w:rPr>
        <w:rFonts w:hint="default"/>
      </w:rPr>
    </w:lvl>
    <w:lvl w:ilvl="6">
      <w:start w:val="1"/>
      <w:numFmt w:val="bullet"/>
      <w:lvlText w:val="•"/>
      <w:lvlJc w:val="left"/>
      <w:pPr>
        <w:ind w:left="3531" w:hanging="223"/>
      </w:pPr>
      <w:rPr>
        <w:rFonts w:hint="default"/>
      </w:rPr>
    </w:lvl>
    <w:lvl w:ilvl="7">
      <w:start w:val="1"/>
      <w:numFmt w:val="bullet"/>
      <w:lvlText w:val="•"/>
      <w:lvlJc w:val="left"/>
      <w:pPr>
        <w:ind w:left="4133" w:hanging="223"/>
      </w:pPr>
      <w:rPr>
        <w:rFonts w:hint="default"/>
      </w:rPr>
    </w:lvl>
    <w:lvl w:ilvl="8">
      <w:start w:val="1"/>
      <w:numFmt w:val="bullet"/>
      <w:lvlText w:val="•"/>
      <w:lvlJc w:val="left"/>
      <w:pPr>
        <w:ind w:left="4735" w:hanging="223"/>
      </w:pPr>
      <w:rPr>
        <w:rFonts w:hint="default"/>
      </w:rPr>
    </w:lvl>
  </w:abstractNum>
  <w:abstractNum w:abstractNumId="114">
    <w:multiLevelType w:val="hybridMultilevel"/>
    <w:lvl w:ilvl="0">
      <w:start w:val="12"/>
      <w:numFmt w:val="lowerLetter"/>
      <w:lvlText w:val="%1."/>
      <w:lvlJc w:val="left"/>
      <w:pPr>
        <w:ind w:left="362" w:hanging="251"/>
        <w:jc w:val="left"/>
      </w:pPr>
      <w:rPr>
        <w:rFonts w:hint="default" w:ascii="Times New Roman" w:hAnsi="Times New Roman" w:eastAsia="Times New Roman" w:cs="Times New Roman"/>
        <w:b/>
        <w:bCs/>
        <w:color w:val="010101"/>
        <w:w w:val="151"/>
        <w:sz w:val="20"/>
        <w:szCs w:val="20"/>
      </w:rPr>
    </w:lvl>
    <w:lvl w:ilvl="1">
      <w:start w:val="12"/>
      <w:numFmt w:val="lowerLetter"/>
      <w:lvlText w:val="%2."/>
      <w:lvlJc w:val="left"/>
      <w:pPr>
        <w:ind w:left="500" w:hanging="205"/>
        <w:jc w:val="left"/>
      </w:pPr>
      <w:rPr>
        <w:rFonts w:hint="default" w:ascii="Times New Roman" w:hAnsi="Times New Roman" w:eastAsia="Times New Roman" w:cs="Times New Roman"/>
        <w:b/>
        <w:bCs/>
        <w:color w:val="030303"/>
        <w:w w:val="133"/>
        <w:sz w:val="17"/>
        <w:szCs w:val="17"/>
      </w:rPr>
    </w:lvl>
    <w:lvl w:ilvl="2">
      <w:start w:val="1"/>
      <w:numFmt w:val="lowerLetter"/>
      <w:lvlText w:val="(%3)"/>
      <w:lvlJc w:val="left"/>
      <w:pPr>
        <w:ind w:left="754" w:hanging="295"/>
        <w:jc w:val="left"/>
      </w:pPr>
      <w:rPr>
        <w:rFonts w:hint="default" w:ascii="Times New Roman" w:hAnsi="Times New Roman" w:eastAsia="Times New Roman" w:cs="Times New Roman"/>
        <w:color w:val="030303"/>
        <w:w w:val="106"/>
        <w:sz w:val="17"/>
        <w:szCs w:val="17"/>
      </w:rPr>
    </w:lvl>
    <w:lvl w:ilvl="3">
      <w:start w:val="1"/>
      <w:numFmt w:val="bullet"/>
      <w:lvlText w:val="•"/>
      <w:lvlJc w:val="left"/>
      <w:pPr>
        <w:ind w:left="1407" w:hanging="295"/>
      </w:pPr>
      <w:rPr>
        <w:rFonts w:hint="default"/>
      </w:rPr>
    </w:lvl>
    <w:lvl w:ilvl="4">
      <w:start w:val="1"/>
      <w:numFmt w:val="bullet"/>
      <w:lvlText w:val="•"/>
      <w:lvlJc w:val="left"/>
      <w:pPr>
        <w:ind w:left="2055" w:hanging="295"/>
      </w:pPr>
      <w:rPr>
        <w:rFonts w:hint="default"/>
      </w:rPr>
    </w:lvl>
    <w:lvl w:ilvl="5">
      <w:start w:val="1"/>
      <w:numFmt w:val="bullet"/>
      <w:lvlText w:val="•"/>
      <w:lvlJc w:val="left"/>
      <w:pPr>
        <w:ind w:left="2702" w:hanging="295"/>
      </w:pPr>
      <w:rPr>
        <w:rFonts w:hint="default"/>
      </w:rPr>
    </w:lvl>
    <w:lvl w:ilvl="6">
      <w:start w:val="1"/>
      <w:numFmt w:val="bullet"/>
      <w:lvlText w:val="•"/>
      <w:lvlJc w:val="left"/>
      <w:pPr>
        <w:ind w:left="3350" w:hanging="295"/>
      </w:pPr>
      <w:rPr>
        <w:rFonts w:hint="default"/>
      </w:rPr>
    </w:lvl>
    <w:lvl w:ilvl="7">
      <w:start w:val="1"/>
      <w:numFmt w:val="bullet"/>
      <w:lvlText w:val="•"/>
      <w:lvlJc w:val="left"/>
      <w:pPr>
        <w:ind w:left="3997" w:hanging="295"/>
      </w:pPr>
      <w:rPr>
        <w:rFonts w:hint="default"/>
      </w:rPr>
    </w:lvl>
    <w:lvl w:ilvl="8">
      <w:start w:val="1"/>
      <w:numFmt w:val="bullet"/>
      <w:lvlText w:val="•"/>
      <w:lvlJc w:val="left"/>
      <w:pPr>
        <w:ind w:left="4645" w:hanging="295"/>
      </w:pPr>
      <w:rPr>
        <w:rFonts w:hint="default"/>
      </w:rPr>
    </w:lvl>
  </w:abstractNum>
  <w:abstractNum w:abstractNumId="113">
    <w:multiLevelType w:val="hybridMultilevel"/>
    <w:lvl w:ilvl="0">
      <w:start w:val="28"/>
      <w:numFmt w:val="decimal"/>
      <w:lvlText w:val="%1."/>
      <w:lvlJc w:val="left"/>
      <w:pPr>
        <w:ind w:left="334" w:hanging="291"/>
        <w:jc w:val="left"/>
      </w:pPr>
      <w:rPr>
        <w:rFonts w:hint="default" w:ascii="Times New Roman" w:hAnsi="Times New Roman" w:eastAsia="Times New Roman" w:cs="Times New Roman"/>
        <w:color w:val="010101"/>
        <w:w w:val="96"/>
        <w:sz w:val="17"/>
        <w:szCs w:val="17"/>
      </w:rPr>
    </w:lvl>
    <w:lvl w:ilvl="1">
      <w:start w:val="1"/>
      <w:numFmt w:val="bullet"/>
      <w:lvlText w:val="•"/>
      <w:lvlJc w:val="left"/>
      <w:pPr>
        <w:ind w:left="928" w:hanging="291"/>
      </w:pPr>
      <w:rPr>
        <w:rFonts w:hint="default"/>
      </w:rPr>
    </w:lvl>
    <w:lvl w:ilvl="2">
      <w:start w:val="1"/>
      <w:numFmt w:val="bullet"/>
      <w:lvlText w:val="•"/>
      <w:lvlJc w:val="left"/>
      <w:pPr>
        <w:ind w:left="1516" w:hanging="291"/>
      </w:pPr>
      <w:rPr>
        <w:rFonts w:hint="default"/>
      </w:rPr>
    </w:lvl>
    <w:lvl w:ilvl="3">
      <w:start w:val="1"/>
      <w:numFmt w:val="bullet"/>
      <w:lvlText w:val="•"/>
      <w:lvlJc w:val="left"/>
      <w:pPr>
        <w:ind w:left="2104" w:hanging="291"/>
      </w:pPr>
      <w:rPr>
        <w:rFonts w:hint="default"/>
      </w:rPr>
    </w:lvl>
    <w:lvl w:ilvl="4">
      <w:start w:val="1"/>
      <w:numFmt w:val="bullet"/>
      <w:lvlText w:val="•"/>
      <w:lvlJc w:val="left"/>
      <w:pPr>
        <w:ind w:left="2692" w:hanging="291"/>
      </w:pPr>
      <w:rPr>
        <w:rFonts w:hint="default"/>
      </w:rPr>
    </w:lvl>
    <w:lvl w:ilvl="5">
      <w:start w:val="1"/>
      <w:numFmt w:val="bullet"/>
      <w:lvlText w:val="•"/>
      <w:lvlJc w:val="left"/>
      <w:pPr>
        <w:ind w:left="3280" w:hanging="291"/>
      </w:pPr>
      <w:rPr>
        <w:rFonts w:hint="default"/>
      </w:rPr>
    </w:lvl>
    <w:lvl w:ilvl="6">
      <w:start w:val="1"/>
      <w:numFmt w:val="bullet"/>
      <w:lvlText w:val="•"/>
      <w:lvlJc w:val="left"/>
      <w:pPr>
        <w:ind w:left="3868" w:hanging="291"/>
      </w:pPr>
      <w:rPr>
        <w:rFonts w:hint="default"/>
      </w:rPr>
    </w:lvl>
    <w:lvl w:ilvl="7">
      <w:start w:val="1"/>
      <w:numFmt w:val="bullet"/>
      <w:lvlText w:val="•"/>
      <w:lvlJc w:val="left"/>
      <w:pPr>
        <w:ind w:left="4456" w:hanging="291"/>
      </w:pPr>
      <w:rPr>
        <w:rFonts w:hint="default"/>
      </w:rPr>
    </w:lvl>
    <w:lvl w:ilvl="8">
      <w:start w:val="1"/>
      <w:numFmt w:val="bullet"/>
      <w:lvlText w:val="•"/>
      <w:lvlJc w:val="left"/>
      <w:pPr>
        <w:ind w:left="5044" w:hanging="291"/>
      </w:pPr>
      <w:rPr>
        <w:rFonts w:hint="default"/>
      </w:rPr>
    </w:lvl>
  </w:abstractNum>
  <w:abstractNum w:abstractNumId="112">
    <w:multiLevelType w:val="hybridMultilevel"/>
    <w:lvl w:ilvl="0">
      <w:start w:val="24"/>
      <w:numFmt w:val="decimal"/>
      <w:lvlText w:val="%1."/>
      <w:lvlJc w:val="left"/>
      <w:pPr>
        <w:ind w:left="116" w:hanging="309"/>
        <w:jc w:val="right"/>
      </w:pPr>
      <w:rPr>
        <w:rFonts w:hint="default" w:ascii="Times New Roman" w:hAnsi="Times New Roman" w:eastAsia="Times New Roman" w:cs="Times New Roman"/>
        <w:color w:val="010101"/>
        <w:w w:val="98"/>
        <w:sz w:val="17"/>
        <w:szCs w:val="17"/>
      </w:rPr>
    </w:lvl>
    <w:lvl w:ilvl="1">
      <w:start w:val="1"/>
      <w:numFmt w:val="bullet"/>
      <w:lvlText w:val="•"/>
      <w:lvlJc w:val="left"/>
      <w:pPr>
        <w:ind w:left="708" w:hanging="309"/>
      </w:pPr>
      <w:rPr>
        <w:rFonts w:hint="default"/>
      </w:rPr>
    </w:lvl>
    <w:lvl w:ilvl="2">
      <w:start w:val="1"/>
      <w:numFmt w:val="bullet"/>
      <w:lvlText w:val="•"/>
      <w:lvlJc w:val="left"/>
      <w:pPr>
        <w:ind w:left="1296" w:hanging="309"/>
      </w:pPr>
      <w:rPr>
        <w:rFonts w:hint="default"/>
      </w:rPr>
    </w:lvl>
    <w:lvl w:ilvl="3">
      <w:start w:val="1"/>
      <w:numFmt w:val="bullet"/>
      <w:lvlText w:val="•"/>
      <w:lvlJc w:val="left"/>
      <w:pPr>
        <w:ind w:left="1884" w:hanging="309"/>
      </w:pPr>
      <w:rPr>
        <w:rFonts w:hint="default"/>
      </w:rPr>
    </w:lvl>
    <w:lvl w:ilvl="4">
      <w:start w:val="1"/>
      <w:numFmt w:val="bullet"/>
      <w:lvlText w:val="•"/>
      <w:lvlJc w:val="left"/>
      <w:pPr>
        <w:ind w:left="2472" w:hanging="309"/>
      </w:pPr>
      <w:rPr>
        <w:rFonts w:hint="default"/>
      </w:rPr>
    </w:lvl>
    <w:lvl w:ilvl="5">
      <w:start w:val="1"/>
      <w:numFmt w:val="bullet"/>
      <w:lvlText w:val="•"/>
      <w:lvlJc w:val="left"/>
      <w:pPr>
        <w:ind w:left="3060" w:hanging="309"/>
      </w:pPr>
      <w:rPr>
        <w:rFonts w:hint="default"/>
      </w:rPr>
    </w:lvl>
    <w:lvl w:ilvl="6">
      <w:start w:val="1"/>
      <w:numFmt w:val="bullet"/>
      <w:lvlText w:val="•"/>
      <w:lvlJc w:val="left"/>
      <w:pPr>
        <w:ind w:left="3648" w:hanging="309"/>
      </w:pPr>
      <w:rPr>
        <w:rFonts w:hint="default"/>
      </w:rPr>
    </w:lvl>
    <w:lvl w:ilvl="7">
      <w:start w:val="1"/>
      <w:numFmt w:val="bullet"/>
      <w:lvlText w:val="•"/>
      <w:lvlJc w:val="left"/>
      <w:pPr>
        <w:ind w:left="4236" w:hanging="309"/>
      </w:pPr>
      <w:rPr>
        <w:rFonts w:hint="default"/>
      </w:rPr>
    </w:lvl>
    <w:lvl w:ilvl="8">
      <w:start w:val="1"/>
      <w:numFmt w:val="bullet"/>
      <w:lvlText w:val="•"/>
      <w:lvlJc w:val="left"/>
      <w:pPr>
        <w:ind w:left="4824" w:hanging="309"/>
      </w:pPr>
      <w:rPr>
        <w:rFonts w:hint="default"/>
      </w:rPr>
    </w:lvl>
  </w:abstractNum>
  <w:abstractNum w:abstractNumId="111">
    <w:multiLevelType w:val="hybridMultilevel"/>
    <w:lvl w:ilvl="0">
      <w:start w:val="6"/>
      <w:numFmt w:val="decimal"/>
      <w:lvlText w:val="%1."/>
      <w:lvlJc w:val="left"/>
      <w:pPr>
        <w:ind w:left="338" w:hanging="230"/>
        <w:jc w:val="left"/>
      </w:pPr>
      <w:rPr>
        <w:rFonts w:hint="default" w:ascii="Times New Roman" w:hAnsi="Times New Roman" w:eastAsia="Times New Roman" w:cs="Times New Roman"/>
        <w:color w:val="010101"/>
        <w:w w:val="111"/>
        <w:sz w:val="17"/>
        <w:szCs w:val="17"/>
      </w:rPr>
    </w:lvl>
    <w:lvl w:ilvl="1">
      <w:start w:val="22"/>
      <w:numFmt w:val="decimal"/>
      <w:lvlText w:val="%2."/>
      <w:lvlJc w:val="left"/>
      <w:pPr>
        <w:ind w:left="116" w:hanging="291"/>
        <w:jc w:val="left"/>
      </w:pPr>
      <w:rPr>
        <w:rFonts w:hint="default" w:ascii="Times New Roman" w:hAnsi="Times New Roman" w:eastAsia="Times New Roman" w:cs="Times New Roman"/>
        <w:color w:val="010101"/>
        <w:spacing w:val="-35"/>
        <w:w w:val="91"/>
        <w:sz w:val="17"/>
        <w:szCs w:val="17"/>
      </w:rPr>
    </w:lvl>
    <w:lvl w:ilvl="2">
      <w:start w:val="1"/>
      <w:numFmt w:val="bullet"/>
      <w:lvlText w:val="•"/>
      <w:lvlJc w:val="left"/>
      <w:pPr>
        <w:ind w:left="968" w:hanging="291"/>
      </w:pPr>
      <w:rPr>
        <w:rFonts w:hint="default"/>
      </w:rPr>
    </w:lvl>
    <w:lvl w:ilvl="3">
      <w:start w:val="1"/>
      <w:numFmt w:val="bullet"/>
      <w:lvlText w:val="•"/>
      <w:lvlJc w:val="left"/>
      <w:pPr>
        <w:ind w:left="1597" w:hanging="291"/>
      </w:pPr>
      <w:rPr>
        <w:rFonts w:hint="default"/>
      </w:rPr>
    </w:lvl>
    <w:lvl w:ilvl="4">
      <w:start w:val="1"/>
      <w:numFmt w:val="bullet"/>
      <w:lvlText w:val="•"/>
      <w:lvlJc w:val="left"/>
      <w:pPr>
        <w:ind w:left="2226" w:hanging="291"/>
      </w:pPr>
      <w:rPr>
        <w:rFonts w:hint="default"/>
      </w:rPr>
    </w:lvl>
    <w:lvl w:ilvl="5">
      <w:start w:val="1"/>
      <w:numFmt w:val="bullet"/>
      <w:lvlText w:val="•"/>
      <w:lvlJc w:val="left"/>
      <w:pPr>
        <w:ind w:left="2855" w:hanging="291"/>
      </w:pPr>
      <w:rPr>
        <w:rFonts w:hint="default"/>
      </w:rPr>
    </w:lvl>
    <w:lvl w:ilvl="6">
      <w:start w:val="1"/>
      <w:numFmt w:val="bullet"/>
      <w:lvlText w:val="•"/>
      <w:lvlJc w:val="left"/>
      <w:pPr>
        <w:ind w:left="3484" w:hanging="291"/>
      </w:pPr>
      <w:rPr>
        <w:rFonts w:hint="default"/>
      </w:rPr>
    </w:lvl>
    <w:lvl w:ilvl="7">
      <w:start w:val="1"/>
      <w:numFmt w:val="bullet"/>
      <w:lvlText w:val="•"/>
      <w:lvlJc w:val="left"/>
      <w:pPr>
        <w:ind w:left="4113" w:hanging="291"/>
      </w:pPr>
      <w:rPr>
        <w:rFonts w:hint="default"/>
      </w:rPr>
    </w:lvl>
    <w:lvl w:ilvl="8">
      <w:start w:val="1"/>
      <w:numFmt w:val="bullet"/>
      <w:lvlText w:val="•"/>
      <w:lvlJc w:val="left"/>
      <w:pPr>
        <w:ind w:left="4742" w:hanging="291"/>
      </w:pPr>
      <w:rPr>
        <w:rFonts w:hint="default"/>
      </w:rPr>
    </w:lvl>
  </w:abstractNum>
  <w:abstractNum w:abstractNumId="110">
    <w:multiLevelType w:val="hybridMultilevel"/>
    <w:lvl w:ilvl="0">
      <w:start w:val="5"/>
      <w:numFmt w:val="decimal"/>
      <w:lvlText w:val="%1."/>
      <w:lvlJc w:val="left"/>
      <w:pPr>
        <w:ind w:left="330" w:hanging="224"/>
        <w:jc w:val="left"/>
      </w:pPr>
      <w:rPr>
        <w:rFonts w:hint="default" w:ascii="Arial" w:hAnsi="Arial" w:eastAsia="Arial" w:cs="Arial"/>
        <w:b/>
        <w:bCs/>
        <w:w w:val="104"/>
        <w:sz w:val="15"/>
        <w:szCs w:val="15"/>
      </w:rPr>
    </w:lvl>
    <w:lvl w:ilvl="1">
      <w:start w:val="14"/>
      <w:numFmt w:val="decimal"/>
      <w:lvlText w:val="%2."/>
      <w:lvlJc w:val="left"/>
      <w:pPr>
        <w:ind w:left="110" w:hanging="281"/>
        <w:jc w:val="left"/>
      </w:pPr>
      <w:rPr>
        <w:rFonts w:hint="default" w:ascii="Times New Roman" w:hAnsi="Times New Roman" w:eastAsia="Times New Roman" w:cs="Times New Roman"/>
        <w:w w:val="102"/>
      </w:rPr>
    </w:lvl>
    <w:lvl w:ilvl="2">
      <w:start w:val="1"/>
      <w:numFmt w:val="bullet"/>
      <w:lvlText w:val="•"/>
      <w:lvlJc w:val="left"/>
      <w:pPr>
        <w:ind w:left="971" w:hanging="281"/>
      </w:pPr>
      <w:rPr>
        <w:rFonts w:hint="default"/>
      </w:rPr>
    </w:lvl>
    <w:lvl w:ilvl="3">
      <w:start w:val="1"/>
      <w:numFmt w:val="bullet"/>
      <w:lvlText w:val="•"/>
      <w:lvlJc w:val="left"/>
      <w:pPr>
        <w:ind w:left="1602" w:hanging="281"/>
      </w:pPr>
      <w:rPr>
        <w:rFonts w:hint="default"/>
      </w:rPr>
    </w:lvl>
    <w:lvl w:ilvl="4">
      <w:start w:val="1"/>
      <w:numFmt w:val="bullet"/>
      <w:lvlText w:val="•"/>
      <w:lvlJc w:val="left"/>
      <w:pPr>
        <w:ind w:left="2233" w:hanging="281"/>
      </w:pPr>
      <w:rPr>
        <w:rFonts w:hint="default"/>
      </w:rPr>
    </w:lvl>
    <w:lvl w:ilvl="5">
      <w:start w:val="1"/>
      <w:numFmt w:val="bullet"/>
      <w:lvlText w:val="•"/>
      <w:lvlJc w:val="left"/>
      <w:pPr>
        <w:ind w:left="2864" w:hanging="281"/>
      </w:pPr>
      <w:rPr>
        <w:rFonts w:hint="default"/>
      </w:rPr>
    </w:lvl>
    <w:lvl w:ilvl="6">
      <w:start w:val="1"/>
      <w:numFmt w:val="bullet"/>
      <w:lvlText w:val="•"/>
      <w:lvlJc w:val="left"/>
      <w:pPr>
        <w:ind w:left="3495" w:hanging="281"/>
      </w:pPr>
      <w:rPr>
        <w:rFonts w:hint="default"/>
      </w:rPr>
    </w:lvl>
    <w:lvl w:ilvl="7">
      <w:start w:val="1"/>
      <w:numFmt w:val="bullet"/>
      <w:lvlText w:val="•"/>
      <w:lvlJc w:val="left"/>
      <w:pPr>
        <w:ind w:left="4126" w:hanging="281"/>
      </w:pPr>
      <w:rPr>
        <w:rFonts w:hint="default"/>
      </w:rPr>
    </w:lvl>
    <w:lvl w:ilvl="8">
      <w:start w:val="1"/>
      <w:numFmt w:val="bullet"/>
      <w:lvlText w:val="•"/>
      <w:lvlJc w:val="left"/>
      <w:pPr>
        <w:ind w:left="4757" w:hanging="281"/>
      </w:pPr>
      <w:rPr>
        <w:rFonts w:hint="default"/>
      </w:rPr>
    </w:lvl>
  </w:abstractNum>
  <w:abstractNum w:abstractNumId="109">
    <w:multiLevelType w:val="hybridMultilevel"/>
    <w:lvl w:ilvl="0">
      <w:start w:val="4"/>
      <w:numFmt w:val="decimal"/>
      <w:lvlText w:val="%1."/>
      <w:lvlJc w:val="left"/>
      <w:pPr>
        <w:ind w:left="326" w:hanging="224"/>
        <w:jc w:val="left"/>
      </w:pPr>
      <w:rPr>
        <w:rFonts w:hint="default" w:ascii="Times New Roman" w:hAnsi="Times New Roman" w:eastAsia="Times New Roman" w:cs="Times New Roman"/>
        <w:w w:val="110"/>
        <w:sz w:val="16"/>
        <w:szCs w:val="16"/>
      </w:rPr>
    </w:lvl>
    <w:lvl w:ilvl="1">
      <w:start w:val="9"/>
      <w:numFmt w:val="decimal"/>
      <w:lvlText w:val="%2."/>
      <w:lvlJc w:val="left"/>
      <w:pPr>
        <w:ind w:left="103" w:hanging="213"/>
        <w:jc w:val="left"/>
      </w:pPr>
      <w:rPr>
        <w:rFonts w:hint="default" w:ascii="Times New Roman" w:hAnsi="Times New Roman" w:eastAsia="Times New Roman" w:cs="Times New Roman"/>
        <w:w w:val="114"/>
      </w:rPr>
    </w:lvl>
    <w:lvl w:ilvl="2">
      <w:start w:val="1"/>
      <w:numFmt w:val="bullet"/>
      <w:lvlText w:val="•"/>
      <w:lvlJc w:val="left"/>
      <w:pPr>
        <w:ind w:left="953" w:hanging="213"/>
      </w:pPr>
      <w:rPr>
        <w:rFonts w:hint="default"/>
      </w:rPr>
    </w:lvl>
    <w:lvl w:ilvl="3">
      <w:start w:val="1"/>
      <w:numFmt w:val="bullet"/>
      <w:lvlText w:val="•"/>
      <w:lvlJc w:val="left"/>
      <w:pPr>
        <w:ind w:left="1586" w:hanging="213"/>
      </w:pPr>
      <w:rPr>
        <w:rFonts w:hint="default"/>
      </w:rPr>
    </w:lvl>
    <w:lvl w:ilvl="4">
      <w:start w:val="1"/>
      <w:numFmt w:val="bullet"/>
      <w:lvlText w:val="•"/>
      <w:lvlJc w:val="left"/>
      <w:pPr>
        <w:ind w:left="2220" w:hanging="213"/>
      </w:pPr>
      <w:rPr>
        <w:rFonts w:hint="default"/>
      </w:rPr>
    </w:lvl>
    <w:lvl w:ilvl="5">
      <w:start w:val="1"/>
      <w:numFmt w:val="bullet"/>
      <w:lvlText w:val="•"/>
      <w:lvlJc w:val="left"/>
      <w:pPr>
        <w:ind w:left="2853" w:hanging="213"/>
      </w:pPr>
      <w:rPr>
        <w:rFonts w:hint="default"/>
      </w:rPr>
    </w:lvl>
    <w:lvl w:ilvl="6">
      <w:start w:val="1"/>
      <w:numFmt w:val="bullet"/>
      <w:lvlText w:val="•"/>
      <w:lvlJc w:val="left"/>
      <w:pPr>
        <w:ind w:left="3486" w:hanging="213"/>
      </w:pPr>
      <w:rPr>
        <w:rFonts w:hint="default"/>
      </w:rPr>
    </w:lvl>
    <w:lvl w:ilvl="7">
      <w:start w:val="1"/>
      <w:numFmt w:val="bullet"/>
      <w:lvlText w:val="•"/>
      <w:lvlJc w:val="left"/>
      <w:pPr>
        <w:ind w:left="4120" w:hanging="213"/>
      </w:pPr>
      <w:rPr>
        <w:rFonts w:hint="default"/>
      </w:rPr>
    </w:lvl>
    <w:lvl w:ilvl="8">
      <w:start w:val="1"/>
      <w:numFmt w:val="bullet"/>
      <w:lvlText w:val="•"/>
      <w:lvlJc w:val="left"/>
      <w:pPr>
        <w:ind w:left="4753" w:hanging="213"/>
      </w:pPr>
      <w:rPr>
        <w:rFonts w:hint="default"/>
      </w:rPr>
    </w:lvl>
  </w:abstractNum>
  <w:abstractNum w:abstractNumId="108">
    <w:multiLevelType w:val="hybridMultilevel"/>
    <w:lvl w:ilvl="0">
      <w:start w:val="3"/>
      <w:numFmt w:val="decimal"/>
      <w:lvlText w:val="%1."/>
      <w:lvlJc w:val="left"/>
      <w:pPr>
        <w:ind w:left="420" w:hanging="224"/>
        <w:jc w:val="left"/>
      </w:pPr>
      <w:rPr>
        <w:rFonts w:hint="default" w:ascii="Times New Roman" w:hAnsi="Times New Roman" w:eastAsia="Times New Roman" w:cs="Times New Roman"/>
        <w:b/>
        <w:bCs/>
        <w:w w:val="99"/>
        <w:sz w:val="17"/>
        <w:szCs w:val="17"/>
      </w:rPr>
    </w:lvl>
    <w:lvl w:ilvl="1">
      <w:start w:val="5"/>
      <w:numFmt w:val="decimal"/>
      <w:lvlText w:val="%2."/>
      <w:lvlJc w:val="left"/>
      <w:pPr>
        <w:ind w:left="572" w:hanging="213"/>
        <w:jc w:val="right"/>
      </w:pPr>
      <w:rPr>
        <w:rFonts w:hint="default" w:ascii="Times New Roman" w:hAnsi="Times New Roman" w:eastAsia="Times New Roman" w:cs="Times New Roman"/>
        <w:w w:val="112"/>
      </w:rPr>
    </w:lvl>
    <w:lvl w:ilvl="2">
      <w:start w:val="1"/>
      <w:numFmt w:val="bullet"/>
      <w:lvlText w:val="•"/>
      <w:lvlJc w:val="left"/>
      <w:pPr>
        <w:ind w:left="1191" w:hanging="213"/>
      </w:pPr>
      <w:rPr>
        <w:rFonts w:hint="default"/>
      </w:rPr>
    </w:lvl>
    <w:lvl w:ilvl="3">
      <w:start w:val="1"/>
      <w:numFmt w:val="bullet"/>
      <w:lvlText w:val="•"/>
      <w:lvlJc w:val="left"/>
      <w:pPr>
        <w:ind w:left="1802" w:hanging="213"/>
      </w:pPr>
      <w:rPr>
        <w:rFonts w:hint="default"/>
      </w:rPr>
    </w:lvl>
    <w:lvl w:ilvl="4">
      <w:start w:val="1"/>
      <w:numFmt w:val="bullet"/>
      <w:lvlText w:val="•"/>
      <w:lvlJc w:val="left"/>
      <w:pPr>
        <w:ind w:left="2413" w:hanging="213"/>
      </w:pPr>
      <w:rPr>
        <w:rFonts w:hint="default"/>
      </w:rPr>
    </w:lvl>
    <w:lvl w:ilvl="5">
      <w:start w:val="1"/>
      <w:numFmt w:val="bullet"/>
      <w:lvlText w:val="•"/>
      <w:lvlJc w:val="left"/>
      <w:pPr>
        <w:ind w:left="3024" w:hanging="213"/>
      </w:pPr>
      <w:rPr>
        <w:rFonts w:hint="default"/>
      </w:rPr>
    </w:lvl>
    <w:lvl w:ilvl="6">
      <w:start w:val="1"/>
      <w:numFmt w:val="bullet"/>
      <w:lvlText w:val="•"/>
      <w:lvlJc w:val="left"/>
      <w:pPr>
        <w:ind w:left="3635" w:hanging="213"/>
      </w:pPr>
      <w:rPr>
        <w:rFonts w:hint="default"/>
      </w:rPr>
    </w:lvl>
    <w:lvl w:ilvl="7">
      <w:start w:val="1"/>
      <w:numFmt w:val="bullet"/>
      <w:lvlText w:val="•"/>
      <w:lvlJc w:val="left"/>
      <w:pPr>
        <w:ind w:left="4246" w:hanging="213"/>
      </w:pPr>
      <w:rPr>
        <w:rFonts w:hint="default"/>
      </w:rPr>
    </w:lvl>
    <w:lvl w:ilvl="8">
      <w:start w:val="1"/>
      <w:numFmt w:val="bullet"/>
      <w:lvlText w:val="•"/>
      <w:lvlJc w:val="left"/>
      <w:pPr>
        <w:ind w:left="4857" w:hanging="213"/>
      </w:pPr>
      <w:rPr>
        <w:rFonts w:hint="default"/>
      </w:rPr>
    </w:lvl>
  </w:abstractNum>
  <w:abstractNum w:abstractNumId="107">
    <w:multiLevelType w:val="hybridMultilevel"/>
    <w:lvl w:ilvl="0">
      <w:start w:val="1"/>
      <w:numFmt w:val="decimal"/>
      <w:lvlText w:val="%1."/>
      <w:lvlJc w:val="left"/>
      <w:pPr>
        <w:ind w:left="197" w:hanging="206"/>
        <w:jc w:val="left"/>
      </w:pPr>
      <w:rPr>
        <w:rFonts w:hint="default" w:ascii="Times New Roman" w:hAnsi="Times New Roman" w:eastAsia="Times New Roman" w:cs="Times New Roman"/>
        <w:w w:val="108"/>
      </w:rPr>
    </w:lvl>
    <w:lvl w:ilvl="1">
      <w:start w:val="1"/>
      <w:numFmt w:val="bullet"/>
      <w:lvlText w:val="•"/>
      <w:lvlJc w:val="left"/>
      <w:pPr>
        <w:ind w:left="788" w:hanging="206"/>
      </w:pPr>
      <w:rPr>
        <w:rFonts w:hint="default"/>
      </w:rPr>
    </w:lvl>
    <w:lvl w:ilvl="2">
      <w:start w:val="1"/>
      <w:numFmt w:val="bullet"/>
      <w:lvlText w:val="•"/>
      <w:lvlJc w:val="left"/>
      <w:pPr>
        <w:ind w:left="1376" w:hanging="206"/>
      </w:pPr>
      <w:rPr>
        <w:rFonts w:hint="default"/>
      </w:rPr>
    </w:lvl>
    <w:lvl w:ilvl="3">
      <w:start w:val="1"/>
      <w:numFmt w:val="bullet"/>
      <w:lvlText w:val="•"/>
      <w:lvlJc w:val="left"/>
      <w:pPr>
        <w:ind w:left="1964" w:hanging="206"/>
      </w:pPr>
      <w:rPr>
        <w:rFonts w:hint="default"/>
      </w:rPr>
    </w:lvl>
    <w:lvl w:ilvl="4">
      <w:start w:val="1"/>
      <w:numFmt w:val="bullet"/>
      <w:lvlText w:val="•"/>
      <w:lvlJc w:val="left"/>
      <w:pPr>
        <w:ind w:left="2552" w:hanging="206"/>
      </w:pPr>
      <w:rPr>
        <w:rFonts w:hint="default"/>
      </w:rPr>
    </w:lvl>
    <w:lvl w:ilvl="5">
      <w:start w:val="1"/>
      <w:numFmt w:val="bullet"/>
      <w:lvlText w:val="•"/>
      <w:lvlJc w:val="left"/>
      <w:pPr>
        <w:ind w:left="3140" w:hanging="206"/>
      </w:pPr>
      <w:rPr>
        <w:rFonts w:hint="default"/>
      </w:rPr>
    </w:lvl>
    <w:lvl w:ilvl="6">
      <w:start w:val="1"/>
      <w:numFmt w:val="bullet"/>
      <w:lvlText w:val="•"/>
      <w:lvlJc w:val="left"/>
      <w:pPr>
        <w:ind w:left="3728" w:hanging="206"/>
      </w:pPr>
      <w:rPr>
        <w:rFonts w:hint="default"/>
      </w:rPr>
    </w:lvl>
    <w:lvl w:ilvl="7">
      <w:start w:val="1"/>
      <w:numFmt w:val="bullet"/>
      <w:lvlText w:val="•"/>
      <w:lvlJc w:val="left"/>
      <w:pPr>
        <w:ind w:left="4316" w:hanging="206"/>
      </w:pPr>
      <w:rPr>
        <w:rFonts w:hint="default"/>
      </w:rPr>
    </w:lvl>
    <w:lvl w:ilvl="8">
      <w:start w:val="1"/>
      <w:numFmt w:val="bullet"/>
      <w:lvlText w:val="•"/>
      <w:lvlJc w:val="left"/>
      <w:pPr>
        <w:ind w:left="4904" w:hanging="206"/>
      </w:pPr>
      <w:rPr>
        <w:rFonts w:hint="default"/>
      </w:rPr>
    </w:lvl>
  </w:abstractNum>
  <w:abstractNum w:abstractNumId="106">
    <w:multiLevelType w:val="hybridMultilevel"/>
    <w:lvl w:ilvl="0">
      <w:start w:val="5"/>
      <w:numFmt w:val="decimal"/>
      <w:lvlText w:val="%1."/>
      <w:lvlJc w:val="left"/>
      <w:pPr>
        <w:ind w:left="560" w:hanging="245"/>
        <w:jc w:val="right"/>
      </w:pPr>
      <w:rPr>
        <w:rFonts w:hint="default" w:ascii="Times New Roman" w:hAnsi="Times New Roman" w:eastAsia="Times New Roman" w:cs="Times New Roman"/>
        <w:w w:val="109"/>
      </w:rPr>
    </w:lvl>
    <w:lvl w:ilvl="1">
      <w:start w:val="1"/>
      <w:numFmt w:val="bullet"/>
      <w:lvlText w:val="•"/>
      <w:lvlJc w:val="left"/>
      <w:pPr>
        <w:ind w:left="1108" w:hanging="245"/>
      </w:pPr>
      <w:rPr>
        <w:rFonts w:hint="default"/>
      </w:rPr>
    </w:lvl>
    <w:lvl w:ilvl="2">
      <w:start w:val="1"/>
      <w:numFmt w:val="bullet"/>
      <w:lvlText w:val="•"/>
      <w:lvlJc w:val="left"/>
      <w:pPr>
        <w:ind w:left="1656" w:hanging="245"/>
      </w:pPr>
      <w:rPr>
        <w:rFonts w:hint="default"/>
      </w:rPr>
    </w:lvl>
    <w:lvl w:ilvl="3">
      <w:start w:val="1"/>
      <w:numFmt w:val="bullet"/>
      <w:lvlText w:val="•"/>
      <w:lvlJc w:val="left"/>
      <w:pPr>
        <w:ind w:left="2204" w:hanging="245"/>
      </w:pPr>
      <w:rPr>
        <w:rFonts w:hint="default"/>
      </w:rPr>
    </w:lvl>
    <w:lvl w:ilvl="4">
      <w:start w:val="1"/>
      <w:numFmt w:val="bullet"/>
      <w:lvlText w:val="•"/>
      <w:lvlJc w:val="left"/>
      <w:pPr>
        <w:ind w:left="2752" w:hanging="245"/>
      </w:pPr>
      <w:rPr>
        <w:rFonts w:hint="default"/>
      </w:rPr>
    </w:lvl>
    <w:lvl w:ilvl="5">
      <w:start w:val="1"/>
      <w:numFmt w:val="bullet"/>
      <w:lvlText w:val="•"/>
      <w:lvlJc w:val="left"/>
      <w:pPr>
        <w:ind w:left="3300" w:hanging="245"/>
      </w:pPr>
      <w:rPr>
        <w:rFonts w:hint="default"/>
      </w:rPr>
    </w:lvl>
    <w:lvl w:ilvl="6">
      <w:start w:val="1"/>
      <w:numFmt w:val="bullet"/>
      <w:lvlText w:val="•"/>
      <w:lvlJc w:val="left"/>
      <w:pPr>
        <w:ind w:left="3848" w:hanging="245"/>
      </w:pPr>
      <w:rPr>
        <w:rFonts w:hint="default"/>
      </w:rPr>
    </w:lvl>
    <w:lvl w:ilvl="7">
      <w:start w:val="1"/>
      <w:numFmt w:val="bullet"/>
      <w:lvlText w:val="•"/>
      <w:lvlJc w:val="left"/>
      <w:pPr>
        <w:ind w:left="4396" w:hanging="245"/>
      </w:pPr>
      <w:rPr>
        <w:rFonts w:hint="default"/>
      </w:rPr>
    </w:lvl>
    <w:lvl w:ilvl="8">
      <w:start w:val="1"/>
      <w:numFmt w:val="bullet"/>
      <w:lvlText w:val="•"/>
      <w:lvlJc w:val="left"/>
      <w:pPr>
        <w:ind w:left="4944" w:hanging="245"/>
      </w:pPr>
      <w:rPr>
        <w:rFonts w:hint="default"/>
      </w:rPr>
    </w:lvl>
  </w:abstractNum>
  <w:abstractNum w:abstractNumId="105">
    <w:multiLevelType w:val="hybridMultilevel"/>
    <w:lvl w:ilvl="0">
      <w:start w:val="8"/>
      <w:numFmt w:val="decimal"/>
      <w:lvlText w:val="%1."/>
      <w:lvlJc w:val="left"/>
      <w:pPr>
        <w:ind w:left="373" w:hanging="249"/>
        <w:jc w:val="left"/>
      </w:pPr>
      <w:rPr>
        <w:rFonts w:hint="default" w:ascii="Arial" w:hAnsi="Arial" w:eastAsia="Arial" w:cs="Arial"/>
        <w:b/>
        <w:bCs/>
        <w:w w:val="107"/>
        <w:sz w:val="20"/>
        <w:szCs w:val="20"/>
      </w:rPr>
    </w:lvl>
    <w:lvl w:ilvl="1">
      <w:start w:val="1"/>
      <w:numFmt w:val="decimal"/>
      <w:lvlText w:val="%2."/>
      <w:lvlJc w:val="left"/>
      <w:pPr>
        <w:ind w:left="135" w:hanging="242"/>
        <w:jc w:val="left"/>
      </w:pPr>
      <w:rPr>
        <w:rFonts w:hint="default" w:ascii="Times New Roman" w:hAnsi="Times New Roman" w:eastAsia="Times New Roman" w:cs="Times New Roman"/>
        <w:w w:val="108"/>
        <w:sz w:val="21"/>
        <w:szCs w:val="21"/>
      </w:rPr>
    </w:lvl>
    <w:lvl w:ilvl="2">
      <w:start w:val="1"/>
      <w:numFmt w:val="bullet"/>
      <w:lvlText w:val="•"/>
      <w:lvlJc w:val="left"/>
      <w:pPr>
        <w:ind w:left="1008" w:hanging="242"/>
      </w:pPr>
      <w:rPr>
        <w:rFonts w:hint="default"/>
      </w:rPr>
    </w:lvl>
    <w:lvl w:ilvl="3">
      <w:start w:val="1"/>
      <w:numFmt w:val="bullet"/>
      <w:lvlText w:val="•"/>
      <w:lvlJc w:val="left"/>
      <w:pPr>
        <w:ind w:left="1637" w:hanging="242"/>
      </w:pPr>
      <w:rPr>
        <w:rFonts w:hint="default"/>
      </w:rPr>
    </w:lvl>
    <w:lvl w:ilvl="4">
      <w:start w:val="1"/>
      <w:numFmt w:val="bullet"/>
      <w:lvlText w:val="•"/>
      <w:lvlJc w:val="left"/>
      <w:pPr>
        <w:ind w:left="2266" w:hanging="242"/>
      </w:pPr>
      <w:rPr>
        <w:rFonts w:hint="default"/>
      </w:rPr>
    </w:lvl>
    <w:lvl w:ilvl="5">
      <w:start w:val="1"/>
      <w:numFmt w:val="bullet"/>
      <w:lvlText w:val="•"/>
      <w:lvlJc w:val="left"/>
      <w:pPr>
        <w:ind w:left="2895" w:hanging="242"/>
      </w:pPr>
      <w:rPr>
        <w:rFonts w:hint="default"/>
      </w:rPr>
    </w:lvl>
    <w:lvl w:ilvl="6">
      <w:start w:val="1"/>
      <w:numFmt w:val="bullet"/>
      <w:lvlText w:val="•"/>
      <w:lvlJc w:val="left"/>
      <w:pPr>
        <w:ind w:left="3524" w:hanging="242"/>
      </w:pPr>
      <w:rPr>
        <w:rFonts w:hint="default"/>
      </w:rPr>
    </w:lvl>
    <w:lvl w:ilvl="7">
      <w:start w:val="1"/>
      <w:numFmt w:val="bullet"/>
      <w:lvlText w:val="•"/>
      <w:lvlJc w:val="left"/>
      <w:pPr>
        <w:ind w:left="4153" w:hanging="242"/>
      </w:pPr>
      <w:rPr>
        <w:rFonts w:hint="default"/>
      </w:rPr>
    </w:lvl>
    <w:lvl w:ilvl="8">
      <w:start w:val="1"/>
      <w:numFmt w:val="bullet"/>
      <w:lvlText w:val="•"/>
      <w:lvlJc w:val="left"/>
      <w:pPr>
        <w:ind w:left="4782" w:hanging="242"/>
      </w:pPr>
      <w:rPr>
        <w:rFonts w:hint="default"/>
      </w:rPr>
    </w:lvl>
  </w:abstractNum>
  <w:abstractNum w:abstractNumId="104">
    <w:multiLevelType w:val="hybridMultilevel"/>
    <w:lvl w:ilvl="0">
      <w:start w:val="25"/>
      <w:numFmt w:val="lowerLetter"/>
      <w:lvlText w:val="(%1)"/>
      <w:lvlJc w:val="left"/>
      <w:pPr>
        <w:ind w:left="497" w:hanging="328"/>
        <w:jc w:val="left"/>
      </w:pPr>
      <w:rPr>
        <w:rFonts w:hint="default" w:ascii="Times New Roman" w:hAnsi="Times New Roman" w:eastAsia="Times New Roman" w:cs="Times New Roman"/>
        <w:w w:val="108"/>
        <w:sz w:val="20"/>
        <w:szCs w:val="20"/>
      </w:rPr>
    </w:lvl>
    <w:lvl w:ilvl="1">
      <w:start w:val="25"/>
      <w:numFmt w:val="lowerLetter"/>
      <w:lvlText w:val="(%2)"/>
      <w:lvlJc w:val="left"/>
      <w:pPr>
        <w:ind w:left="593" w:hanging="237"/>
        <w:jc w:val="right"/>
      </w:pPr>
      <w:rPr>
        <w:rFonts w:hint="default" w:ascii="Times New Roman" w:hAnsi="Times New Roman" w:eastAsia="Times New Roman" w:cs="Times New Roman"/>
        <w:w w:val="109"/>
      </w:rPr>
    </w:lvl>
    <w:lvl w:ilvl="2">
      <w:start w:val="1"/>
      <w:numFmt w:val="bullet"/>
      <w:lvlText w:val="•"/>
      <w:lvlJc w:val="left"/>
      <w:pPr>
        <w:ind w:left="880" w:hanging="237"/>
      </w:pPr>
      <w:rPr>
        <w:rFonts w:hint="default"/>
      </w:rPr>
    </w:lvl>
    <w:lvl w:ilvl="3">
      <w:start w:val="1"/>
      <w:numFmt w:val="bullet"/>
      <w:lvlText w:val="•"/>
      <w:lvlJc w:val="left"/>
      <w:pPr>
        <w:ind w:left="1522" w:hanging="237"/>
      </w:pPr>
      <w:rPr>
        <w:rFonts w:hint="default"/>
      </w:rPr>
    </w:lvl>
    <w:lvl w:ilvl="4">
      <w:start w:val="1"/>
      <w:numFmt w:val="bullet"/>
      <w:lvlText w:val="•"/>
      <w:lvlJc w:val="left"/>
      <w:pPr>
        <w:ind w:left="2165" w:hanging="237"/>
      </w:pPr>
      <w:rPr>
        <w:rFonts w:hint="default"/>
      </w:rPr>
    </w:lvl>
    <w:lvl w:ilvl="5">
      <w:start w:val="1"/>
      <w:numFmt w:val="bullet"/>
      <w:lvlText w:val="•"/>
      <w:lvlJc w:val="left"/>
      <w:pPr>
        <w:ind w:left="2807" w:hanging="237"/>
      </w:pPr>
      <w:rPr>
        <w:rFonts w:hint="default"/>
      </w:rPr>
    </w:lvl>
    <w:lvl w:ilvl="6">
      <w:start w:val="1"/>
      <w:numFmt w:val="bullet"/>
      <w:lvlText w:val="•"/>
      <w:lvlJc w:val="left"/>
      <w:pPr>
        <w:ind w:left="3450" w:hanging="237"/>
      </w:pPr>
      <w:rPr>
        <w:rFonts w:hint="default"/>
      </w:rPr>
    </w:lvl>
    <w:lvl w:ilvl="7">
      <w:start w:val="1"/>
      <w:numFmt w:val="bullet"/>
      <w:lvlText w:val="•"/>
      <w:lvlJc w:val="left"/>
      <w:pPr>
        <w:ind w:left="4092" w:hanging="237"/>
      </w:pPr>
      <w:rPr>
        <w:rFonts w:hint="default"/>
      </w:rPr>
    </w:lvl>
    <w:lvl w:ilvl="8">
      <w:start w:val="1"/>
      <w:numFmt w:val="bullet"/>
      <w:lvlText w:val="•"/>
      <w:lvlJc w:val="left"/>
      <w:pPr>
        <w:ind w:left="4735" w:hanging="237"/>
      </w:pPr>
      <w:rPr>
        <w:rFonts w:hint="default"/>
      </w:rPr>
    </w:lvl>
  </w:abstractNum>
  <w:abstractNum w:abstractNumId="103">
    <w:multiLevelType w:val="hybridMultilevel"/>
    <w:lvl w:ilvl="0">
      <w:start w:val="1"/>
      <w:numFmt w:val="bullet"/>
      <w:lvlText w:val="-"/>
      <w:lvlJc w:val="left"/>
      <w:pPr>
        <w:ind w:left="289" w:hanging="233"/>
      </w:pPr>
      <w:rPr>
        <w:rFonts w:hint="default" w:ascii="Times New Roman" w:hAnsi="Times New Roman" w:eastAsia="Times New Roman" w:cs="Times New Roman"/>
        <w:color w:val="010101"/>
        <w:w w:val="351"/>
        <w:sz w:val="16"/>
        <w:szCs w:val="16"/>
      </w:rPr>
    </w:lvl>
    <w:lvl w:ilvl="1">
      <w:start w:val="1"/>
      <w:numFmt w:val="bullet"/>
      <w:lvlText w:val="•"/>
      <w:lvlJc w:val="left"/>
      <w:pPr>
        <w:ind w:left="309" w:hanging="233"/>
      </w:pPr>
      <w:rPr>
        <w:rFonts w:hint="default"/>
      </w:rPr>
    </w:lvl>
    <w:lvl w:ilvl="2">
      <w:start w:val="1"/>
      <w:numFmt w:val="bullet"/>
      <w:lvlText w:val="•"/>
      <w:lvlJc w:val="left"/>
      <w:pPr>
        <w:ind w:left="338" w:hanging="233"/>
      </w:pPr>
      <w:rPr>
        <w:rFonts w:hint="default"/>
      </w:rPr>
    </w:lvl>
    <w:lvl w:ilvl="3">
      <w:start w:val="1"/>
      <w:numFmt w:val="bullet"/>
      <w:lvlText w:val="•"/>
      <w:lvlJc w:val="left"/>
      <w:pPr>
        <w:ind w:left="367" w:hanging="233"/>
      </w:pPr>
      <w:rPr>
        <w:rFonts w:hint="default"/>
      </w:rPr>
    </w:lvl>
    <w:lvl w:ilvl="4">
      <w:start w:val="1"/>
      <w:numFmt w:val="bullet"/>
      <w:lvlText w:val="•"/>
      <w:lvlJc w:val="left"/>
      <w:pPr>
        <w:ind w:left="396" w:hanging="233"/>
      </w:pPr>
      <w:rPr>
        <w:rFonts w:hint="default"/>
      </w:rPr>
    </w:lvl>
    <w:lvl w:ilvl="5">
      <w:start w:val="1"/>
      <w:numFmt w:val="bullet"/>
      <w:lvlText w:val="•"/>
      <w:lvlJc w:val="left"/>
      <w:pPr>
        <w:ind w:left="425" w:hanging="233"/>
      </w:pPr>
      <w:rPr>
        <w:rFonts w:hint="default"/>
      </w:rPr>
    </w:lvl>
    <w:lvl w:ilvl="6">
      <w:start w:val="1"/>
      <w:numFmt w:val="bullet"/>
      <w:lvlText w:val="•"/>
      <w:lvlJc w:val="left"/>
      <w:pPr>
        <w:ind w:left="454" w:hanging="233"/>
      </w:pPr>
      <w:rPr>
        <w:rFonts w:hint="default"/>
      </w:rPr>
    </w:lvl>
    <w:lvl w:ilvl="7">
      <w:start w:val="1"/>
      <w:numFmt w:val="bullet"/>
      <w:lvlText w:val="•"/>
      <w:lvlJc w:val="left"/>
      <w:pPr>
        <w:ind w:left="483" w:hanging="233"/>
      </w:pPr>
      <w:rPr>
        <w:rFonts w:hint="default"/>
      </w:rPr>
    </w:lvl>
    <w:lvl w:ilvl="8">
      <w:start w:val="1"/>
      <w:numFmt w:val="bullet"/>
      <w:lvlText w:val="•"/>
      <w:lvlJc w:val="left"/>
      <w:pPr>
        <w:ind w:left="512" w:hanging="233"/>
      </w:pPr>
      <w:rPr>
        <w:rFonts w:hint="default"/>
      </w:rPr>
    </w:lvl>
  </w:abstractNum>
  <w:abstractNum w:abstractNumId="102">
    <w:multiLevelType w:val="hybridMultilevel"/>
    <w:lvl w:ilvl="0">
      <w:start w:val="2"/>
      <w:numFmt w:val="decimal"/>
      <w:lvlText w:val="%1."/>
      <w:lvlJc w:val="left"/>
      <w:pPr>
        <w:ind w:left="373" w:hanging="252"/>
        <w:jc w:val="left"/>
      </w:pPr>
      <w:rPr>
        <w:rFonts w:hint="default" w:ascii="Times New Roman" w:hAnsi="Times New Roman" w:eastAsia="Times New Roman" w:cs="Times New Roman"/>
        <w:b/>
        <w:bCs/>
        <w:w w:val="106"/>
      </w:rPr>
    </w:lvl>
    <w:lvl w:ilvl="1">
      <w:start w:val="1"/>
      <w:numFmt w:val="decimal"/>
      <w:lvlText w:val="(%2)"/>
      <w:lvlJc w:val="left"/>
      <w:pPr>
        <w:ind w:left="117" w:hanging="360"/>
        <w:jc w:val="left"/>
      </w:pPr>
      <w:rPr>
        <w:rFonts w:hint="default" w:ascii="Times New Roman" w:hAnsi="Times New Roman" w:eastAsia="Times New Roman" w:cs="Times New Roman"/>
        <w:w w:val="101"/>
        <w:sz w:val="21"/>
        <w:szCs w:val="21"/>
      </w:rPr>
    </w:lvl>
    <w:lvl w:ilvl="2">
      <w:start w:val="1"/>
      <w:numFmt w:val="bullet"/>
      <w:lvlText w:val="•"/>
      <w:lvlJc w:val="left"/>
      <w:pPr>
        <w:ind w:left="1000" w:hanging="360"/>
      </w:pPr>
      <w:rPr>
        <w:rFonts w:hint="default"/>
      </w:rPr>
    </w:lvl>
    <w:lvl w:ilvl="3">
      <w:start w:val="1"/>
      <w:numFmt w:val="bullet"/>
      <w:lvlText w:val="•"/>
      <w:lvlJc w:val="left"/>
      <w:pPr>
        <w:ind w:left="1620" w:hanging="360"/>
      </w:pPr>
      <w:rPr>
        <w:rFonts w:hint="default"/>
      </w:rPr>
    </w:lvl>
    <w:lvl w:ilvl="4">
      <w:start w:val="1"/>
      <w:numFmt w:val="bullet"/>
      <w:lvlText w:val="•"/>
      <w:lvlJc w:val="left"/>
      <w:pPr>
        <w:ind w:left="22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3480" w:hanging="360"/>
      </w:pPr>
      <w:rPr>
        <w:rFonts w:hint="default"/>
      </w:rPr>
    </w:lvl>
    <w:lvl w:ilvl="7">
      <w:start w:val="1"/>
      <w:numFmt w:val="bullet"/>
      <w:lvlText w:val="•"/>
      <w:lvlJc w:val="left"/>
      <w:pPr>
        <w:ind w:left="4100" w:hanging="360"/>
      </w:pPr>
      <w:rPr>
        <w:rFonts w:hint="default"/>
      </w:rPr>
    </w:lvl>
    <w:lvl w:ilvl="8">
      <w:start w:val="1"/>
      <w:numFmt w:val="bullet"/>
      <w:lvlText w:val="•"/>
      <w:lvlJc w:val="left"/>
      <w:pPr>
        <w:ind w:left="4720" w:hanging="360"/>
      </w:pPr>
      <w:rPr>
        <w:rFonts w:hint="default"/>
      </w:rPr>
    </w:lvl>
  </w:abstractNum>
  <w:abstractNum w:abstractNumId="101">
    <w:multiLevelType w:val="hybridMultilevel"/>
    <w:lvl w:ilvl="0">
      <w:start w:val="28"/>
      <w:numFmt w:val="decimal"/>
      <w:lvlText w:val="%1."/>
      <w:lvlJc w:val="left"/>
      <w:pPr>
        <w:ind w:left="126" w:hanging="288"/>
        <w:jc w:val="left"/>
      </w:pPr>
      <w:rPr>
        <w:rFonts w:hint="default" w:ascii="Times New Roman" w:hAnsi="Times New Roman" w:eastAsia="Times New Roman" w:cs="Times New Roman"/>
        <w:w w:val="91"/>
        <w:sz w:val="18"/>
        <w:szCs w:val="18"/>
      </w:rPr>
    </w:lvl>
    <w:lvl w:ilvl="1">
      <w:start w:val="1"/>
      <w:numFmt w:val="bullet"/>
      <w:lvlText w:val="•"/>
      <w:lvlJc w:val="left"/>
      <w:pPr>
        <w:ind w:left="708" w:hanging="288"/>
      </w:pPr>
      <w:rPr>
        <w:rFonts w:hint="default"/>
      </w:rPr>
    </w:lvl>
    <w:lvl w:ilvl="2">
      <w:start w:val="1"/>
      <w:numFmt w:val="bullet"/>
      <w:lvlText w:val="•"/>
      <w:lvlJc w:val="left"/>
      <w:pPr>
        <w:ind w:left="1296" w:hanging="288"/>
      </w:pPr>
      <w:rPr>
        <w:rFonts w:hint="default"/>
      </w:rPr>
    </w:lvl>
    <w:lvl w:ilvl="3">
      <w:start w:val="1"/>
      <w:numFmt w:val="bullet"/>
      <w:lvlText w:val="•"/>
      <w:lvlJc w:val="left"/>
      <w:pPr>
        <w:ind w:left="1884" w:hanging="288"/>
      </w:pPr>
      <w:rPr>
        <w:rFonts w:hint="default"/>
      </w:rPr>
    </w:lvl>
    <w:lvl w:ilvl="4">
      <w:start w:val="1"/>
      <w:numFmt w:val="bullet"/>
      <w:lvlText w:val="•"/>
      <w:lvlJc w:val="left"/>
      <w:pPr>
        <w:ind w:left="2472" w:hanging="288"/>
      </w:pPr>
      <w:rPr>
        <w:rFonts w:hint="default"/>
      </w:rPr>
    </w:lvl>
    <w:lvl w:ilvl="5">
      <w:start w:val="1"/>
      <w:numFmt w:val="bullet"/>
      <w:lvlText w:val="•"/>
      <w:lvlJc w:val="left"/>
      <w:pPr>
        <w:ind w:left="3060" w:hanging="288"/>
      </w:pPr>
      <w:rPr>
        <w:rFonts w:hint="default"/>
      </w:rPr>
    </w:lvl>
    <w:lvl w:ilvl="6">
      <w:start w:val="1"/>
      <w:numFmt w:val="bullet"/>
      <w:lvlText w:val="•"/>
      <w:lvlJc w:val="left"/>
      <w:pPr>
        <w:ind w:left="3648" w:hanging="288"/>
      </w:pPr>
      <w:rPr>
        <w:rFonts w:hint="default"/>
      </w:rPr>
    </w:lvl>
    <w:lvl w:ilvl="7">
      <w:start w:val="1"/>
      <w:numFmt w:val="bullet"/>
      <w:lvlText w:val="•"/>
      <w:lvlJc w:val="left"/>
      <w:pPr>
        <w:ind w:left="4236" w:hanging="288"/>
      </w:pPr>
      <w:rPr>
        <w:rFonts w:hint="default"/>
      </w:rPr>
    </w:lvl>
    <w:lvl w:ilvl="8">
      <w:start w:val="1"/>
      <w:numFmt w:val="bullet"/>
      <w:lvlText w:val="•"/>
      <w:lvlJc w:val="left"/>
      <w:pPr>
        <w:ind w:left="4824" w:hanging="288"/>
      </w:pPr>
      <w:rPr>
        <w:rFonts w:hint="default"/>
      </w:rPr>
    </w:lvl>
  </w:abstractNum>
  <w:abstractNum w:abstractNumId="100">
    <w:multiLevelType w:val="hybridMultilevel"/>
    <w:lvl w:ilvl="0">
      <w:start w:val="20"/>
      <w:numFmt w:val="decimal"/>
      <w:lvlText w:val="%1."/>
      <w:lvlJc w:val="left"/>
      <w:pPr>
        <w:ind w:left="109" w:hanging="286"/>
        <w:jc w:val="left"/>
      </w:pPr>
      <w:rPr>
        <w:rFonts w:hint="default" w:ascii="Times New Roman" w:hAnsi="Times New Roman" w:eastAsia="Times New Roman" w:cs="Times New Roman"/>
        <w:spacing w:val="-8"/>
        <w:w w:val="99"/>
      </w:rPr>
    </w:lvl>
    <w:lvl w:ilvl="1">
      <w:start w:val="1"/>
      <w:numFmt w:val="lowerLetter"/>
      <w:lvlText w:val="(%2)"/>
      <w:lvlJc w:val="left"/>
      <w:pPr>
        <w:ind w:left="730" w:hanging="282"/>
        <w:jc w:val="left"/>
      </w:pPr>
      <w:rPr>
        <w:rFonts w:hint="default" w:ascii="Times New Roman" w:hAnsi="Times New Roman" w:eastAsia="Times New Roman" w:cs="Times New Roman"/>
        <w:color w:val="010101"/>
        <w:spacing w:val="-23"/>
        <w:w w:val="83"/>
        <w:sz w:val="18"/>
        <w:szCs w:val="18"/>
      </w:rPr>
    </w:lvl>
    <w:lvl w:ilvl="2">
      <w:start w:val="1"/>
      <w:numFmt w:val="bullet"/>
      <w:lvlText w:val="•"/>
      <w:lvlJc w:val="left"/>
      <w:pPr>
        <w:ind w:left="1322" w:hanging="282"/>
      </w:pPr>
      <w:rPr>
        <w:rFonts w:hint="default"/>
      </w:rPr>
    </w:lvl>
    <w:lvl w:ilvl="3">
      <w:start w:val="1"/>
      <w:numFmt w:val="bullet"/>
      <w:lvlText w:val="•"/>
      <w:lvlJc w:val="left"/>
      <w:pPr>
        <w:ind w:left="1904" w:hanging="282"/>
      </w:pPr>
      <w:rPr>
        <w:rFonts w:hint="default"/>
      </w:rPr>
    </w:lvl>
    <w:lvl w:ilvl="4">
      <w:start w:val="1"/>
      <w:numFmt w:val="bullet"/>
      <w:lvlText w:val="•"/>
      <w:lvlJc w:val="left"/>
      <w:pPr>
        <w:ind w:left="2486" w:hanging="282"/>
      </w:pPr>
      <w:rPr>
        <w:rFonts w:hint="default"/>
      </w:rPr>
    </w:lvl>
    <w:lvl w:ilvl="5">
      <w:start w:val="1"/>
      <w:numFmt w:val="bullet"/>
      <w:lvlText w:val="•"/>
      <w:lvlJc w:val="left"/>
      <w:pPr>
        <w:ind w:left="3068" w:hanging="282"/>
      </w:pPr>
      <w:rPr>
        <w:rFonts w:hint="default"/>
      </w:rPr>
    </w:lvl>
    <w:lvl w:ilvl="6">
      <w:start w:val="1"/>
      <w:numFmt w:val="bullet"/>
      <w:lvlText w:val="•"/>
      <w:lvlJc w:val="left"/>
      <w:pPr>
        <w:ind w:left="3651" w:hanging="282"/>
      </w:pPr>
      <w:rPr>
        <w:rFonts w:hint="default"/>
      </w:rPr>
    </w:lvl>
    <w:lvl w:ilvl="7">
      <w:start w:val="1"/>
      <w:numFmt w:val="bullet"/>
      <w:lvlText w:val="•"/>
      <w:lvlJc w:val="left"/>
      <w:pPr>
        <w:ind w:left="4233" w:hanging="282"/>
      </w:pPr>
      <w:rPr>
        <w:rFonts w:hint="default"/>
      </w:rPr>
    </w:lvl>
    <w:lvl w:ilvl="8">
      <w:start w:val="1"/>
      <w:numFmt w:val="bullet"/>
      <w:lvlText w:val="•"/>
      <w:lvlJc w:val="left"/>
      <w:pPr>
        <w:ind w:left="4815" w:hanging="282"/>
      </w:pPr>
      <w:rPr>
        <w:rFonts w:hint="default"/>
      </w:rPr>
    </w:lvl>
  </w:abstractNum>
  <w:abstractNum w:abstractNumId="99">
    <w:multiLevelType w:val="hybridMultilevel"/>
    <w:lvl w:ilvl="0">
      <w:start w:val="3"/>
      <w:numFmt w:val="decimal"/>
      <w:lvlText w:val="%1."/>
      <w:lvlJc w:val="left"/>
      <w:pPr>
        <w:ind w:left="328" w:hanging="213"/>
        <w:jc w:val="left"/>
      </w:pPr>
      <w:rPr>
        <w:rFonts w:hint="default" w:ascii="Times New Roman" w:hAnsi="Times New Roman" w:eastAsia="Times New Roman" w:cs="Times New Roman"/>
        <w:b/>
        <w:bCs/>
        <w:w w:val="102"/>
        <w:sz w:val="17"/>
        <w:szCs w:val="17"/>
      </w:rPr>
    </w:lvl>
    <w:lvl w:ilvl="1">
      <w:start w:val="14"/>
      <w:numFmt w:val="decimal"/>
      <w:lvlText w:val="%2."/>
      <w:lvlJc w:val="left"/>
      <w:pPr>
        <w:ind w:left="109" w:hanging="285"/>
        <w:jc w:val="left"/>
      </w:pPr>
      <w:rPr>
        <w:rFonts w:hint="default" w:ascii="Times New Roman" w:hAnsi="Times New Roman" w:eastAsia="Times New Roman" w:cs="Times New Roman"/>
        <w:spacing w:val="-47"/>
        <w:w w:val="110"/>
      </w:rPr>
    </w:lvl>
    <w:lvl w:ilvl="2">
      <w:start w:val="1"/>
      <w:numFmt w:val="lowerLetter"/>
      <w:lvlText w:val="(%3)"/>
      <w:lvlJc w:val="left"/>
      <w:pPr>
        <w:ind w:left="719" w:hanging="272"/>
        <w:jc w:val="left"/>
      </w:pPr>
      <w:rPr>
        <w:rFonts w:hint="default" w:ascii="Arial" w:hAnsi="Arial" w:eastAsia="Arial" w:cs="Arial"/>
        <w:b/>
        <w:bCs/>
        <w:color w:val="010101"/>
        <w:w w:val="105"/>
        <w:sz w:val="16"/>
        <w:szCs w:val="16"/>
      </w:rPr>
    </w:lvl>
    <w:lvl w:ilvl="3">
      <w:start w:val="1"/>
      <w:numFmt w:val="bullet"/>
      <w:lvlText w:val="•"/>
      <w:lvlJc w:val="left"/>
      <w:pPr>
        <w:ind w:left="1372" w:hanging="272"/>
      </w:pPr>
      <w:rPr>
        <w:rFonts w:hint="default"/>
      </w:rPr>
    </w:lvl>
    <w:lvl w:ilvl="4">
      <w:start w:val="1"/>
      <w:numFmt w:val="bullet"/>
      <w:lvlText w:val="•"/>
      <w:lvlJc w:val="left"/>
      <w:pPr>
        <w:ind w:left="2025" w:hanging="272"/>
      </w:pPr>
      <w:rPr>
        <w:rFonts w:hint="default"/>
      </w:rPr>
    </w:lvl>
    <w:lvl w:ilvl="5">
      <w:start w:val="1"/>
      <w:numFmt w:val="bullet"/>
      <w:lvlText w:val="•"/>
      <w:lvlJc w:val="left"/>
      <w:pPr>
        <w:ind w:left="2677" w:hanging="272"/>
      </w:pPr>
      <w:rPr>
        <w:rFonts w:hint="default"/>
      </w:rPr>
    </w:lvl>
    <w:lvl w:ilvl="6">
      <w:start w:val="1"/>
      <w:numFmt w:val="bullet"/>
      <w:lvlText w:val="•"/>
      <w:lvlJc w:val="left"/>
      <w:pPr>
        <w:ind w:left="3330" w:hanging="272"/>
      </w:pPr>
      <w:rPr>
        <w:rFonts w:hint="default"/>
      </w:rPr>
    </w:lvl>
    <w:lvl w:ilvl="7">
      <w:start w:val="1"/>
      <w:numFmt w:val="bullet"/>
      <w:lvlText w:val="•"/>
      <w:lvlJc w:val="left"/>
      <w:pPr>
        <w:ind w:left="3982" w:hanging="272"/>
      </w:pPr>
      <w:rPr>
        <w:rFonts w:hint="default"/>
      </w:rPr>
    </w:lvl>
    <w:lvl w:ilvl="8">
      <w:start w:val="1"/>
      <w:numFmt w:val="bullet"/>
      <w:lvlText w:val="•"/>
      <w:lvlJc w:val="left"/>
      <w:pPr>
        <w:ind w:left="4635" w:hanging="272"/>
      </w:pPr>
      <w:rPr>
        <w:rFonts w:hint="default"/>
      </w:rPr>
    </w:lvl>
  </w:abstractNum>
  <w:abstractNum w:abstractNumId="98">
    <w:multiLevelType w:val="hybridMultilevel"/>
    <w:lvl w:ilvl="0">
      <w:start w:val="2"/>
      <w:numFmt w:val="decimal"/>
      <w:lvlText w:val="%1."/>
      <w:lvlJc w:val="left"/>
      <w:pPr>
        <w:ind w:left="328" w:hanging="209"/>
        <w:jc w:val="left"/>
      </w:pPr>
      <w:rPr>
        <w:rFonts w:hint="default" w:ascii="Arial" w:hAnsi="Arial" w:eastAsia="Arial" w:cs="Arial"/>
        <w:b/>
        <w:bCs/>
        <w:w w:val="101"/>
        <w:sz w:val="16"/>
        <w:szCs w:val="16"/>
      </w:rPr>
    </w:lvl>
    <w:lvl w:ilvl="1">
      <w:start w:val="7"/>
      <w:numFmt w:val="decimal"/>
      <w:lvlText w:val="%2."/>
      <w:lvlJc w:val="left"/>
      <w:pPr>
        <w:ind w:left="119" w:hanging="209"/>
        <w:jc w:val="left"/>
      </w:pPr>
      <w:rPr>
        <w:rFonts w:hint="default" w:ascii="Times New Roman" w:hAnsi="Times New Roman" w:eastAsia="Times New Roman" w:cs="Times New Roman"/>
        <w:w w:val="104"/>
      </w:rPr>
    </w:lvl>
    <w:lvl w:ilvl="2">
      <w:start w:val="1"/>
      <w:numFmt w:val="bullet"/>
      <w:lvlText w:val="•"/>
      <w:lvlJc w:val="left"/>
      <w:pPr>
        <w:ind w:left="951" w:hanging="209"/>
      </w:pPr>
      <w:rPr>
        <w:rFonts w:hint="default"/>
      </w:rPr>
    </w:lvl>
    <w:lvl w:ilvl="3">
      <w:start w:val="1"/>
      <w:numFmt w:val="bullet"/>
      <w:lvlText w:val="•"/>
      <w:lvlJc w:val="left"/>
      <w:pPr>
        <w:ind w:left="1582" w:hanging="209"/>
      </w:pPr>
      <w:rPr>
        <w:rFonts w:hint="default"/>
      </w:rPr>
    </w:lvl>
    <w:lvl w:ilvl="4">
      <w:start w:val="1"/>
      <w:numFmt w:val="bullet"/>
      <w:lvlText w:val="•"/>
      <w:lvlJc w:val="left"/>
      <w:pPr>
        <w:ind w:left="2213" w:hanging="209"/>
      </w:pPr>
      <w:rPr>
        <w:rFonts w:hint="default"/>
      </w:rPr>
    </w:lvl>
    <w:lvl w:ilvl="5">
      <w:start w:val="1"/>
      <w:numFmt w:val="bullet"/>
      <w:lvlText w:val="•"/>
      <w:lvlJc w:val="left"/>
      <w:pPr>
        <w:ind w:left="2844" w:hanging="209"/>
      </w:pPr>
      <w:rPr>
        <w:rFonts w:hint="default"/>
      </w:rPr>
    </w:lvl>
    <w:lvl w:ilvl="6">
      <w:start w:val="1"/>
      <w:numFmt w:val="bullet"/>
      <w:lvlText w:val="•"/>
      <w:lvlJc w:val="left"/>
      <w:pPr>
        <w:ind w:left="3475" w:hanging="209"/>
      </w:pPr>
      <w:rPr>
        <w:rFonts w:hint="default"/>
      </w:rPr>
    </w:lvl>
    <w:lvl w:ilvl="7">
      <w:start w:val="1"/>
      <w:numFmt w:val="bullet"/>
      <w:lvlText w:val="•"/>
      <w:lvlJc w:val="left"/>
      <w:pPr>
        <w:ind w:left="4106" w:hanging="209"/>
      </w:pPr>
      <w:rPr>
        <w:rFonts w:hint="default"/>
      </w:rPr>
    </w:lvl>
    <w:lvl w:ilvl="8">
      <w:start w:val="1"/>
      <w:numFmt w:val="bullet"/>
      <w:lvlText w:val="•"/>
      <w:lvlJc w:val="left"/>
      <w:pPr>
        <w:ind w:left="4737" w:hanging="209"/>
      </w:pPr>
      <w:rPr>
        <w:rFonts w:hint="default"/>
      </w:rPr>
    </w:lvl>
  </w:abstractNum>
  <w:abstractNum w:abstractNumId="97">
    <w:multiLevelType w:val="hybridMultilevel"/>
    <w:lvl w:ilvl="0">
      <w:start w:val="2"/>
      <w:numFmt w:val="decimal"/>
      <w:lvlText w:val="%1."/>
      <w:lvlJc w:val="left"/>
      <w:pPr>
        <w:ind w:left="126" w:hanging="202"/>
        <w:jc w:val="left"/>
      </w:pPr>
      <w:rPr>
        <w:rFonts w:hint="default" w:ascii="Times New Roman" w:hAnsi="Times New Roman" w:eastAsia="Times New Roman" w:cs="Times New Roman"/>
        <w:w w:val="101"/>
      </w:rPr>
    </w:lvl>
    <w:lvl w:ilvl="1">
      <w:start w:val="1"/>
      <w:numFmt w:val="bullet"/>
      <w:lvlText w:val="•"/>
      <w:lvlJc w:val="left"/>
      <w:pPr>
        <w:ind w:left="708" w:hanging="202"/>
      </w:pPr>
      <w:rPr>
        <w:rFonts w:hint="default"/>
      </w:rPr>
    </w:lvl>
    <w:lvl w:ilvl="2">
      <w:start w:val="1"/>
      <w:numFmt w:val="bullet"/>
      <w:lvlText w:val="•"/>
      <w:lvlJc w:val="left"/>
      <w:pPr>
        <w:ind w:left="1296" w:hanging="202"/>
      </w:pPr>
      <w:rPr>
        <w:rFonts w:hint="default"/>
      </w:rPr>
    </w:lvl>
    <w:lvl w:ilvl="3">
      <w:start w:val="1"/>
      <w:numFmt w:val="bullet"/>
      <w:lvlText w:val="•"/>
      <w:lvlJc w:val="left"/>
      <w:pPr>
        <w:ind w:left="1884" w:hanging="202"/>
      </w:pPr>
      <w:rPr>
        <w:rFonts w:hint="default"/>
      </w:rPr>
    </w:lvl>
    <w:lvl w:ilvl="4">
      <w:start w:val="1"/>
      <w:numFmt w:val="bullet"/>
      <w:lvlText w:val="•"/>
      <w:lvlJc w:val="left"/>
      <w:pPr>
        <w:ind w:left="2472" w:hanging="202"/>
      </w:pPr>
      <w:rPr>
        <w:rFonts w:hint="default"/>
      </w:rPr>
    </w:lvl>
    <w:lvl w:ilvl="5">
      <w:start w:val="1"/>
      <w:numFmt w:val="bullet"/>
      <w:lvlText w:val="•"/>
      <w:lvlJc w:val="left"/>
      <w:pPr>
        <w:ind w:left="3060" w:hanging="202"/>
      </w:pPr>
      <w:rPr>
        <w:rFonts w:hint="default"/>
      </w:rPr>
    </w:lvl>
    <w:lvl w:ilvl="6">
      <w:start w:val="1"/>
      <w:numFmt w:val="bullet"/>
      <w:lvlText w:val="•"/>
      <w:lvlJc w:val="left"/>
      <w:pPr>
        <w:ind w:left="3648" w:hanging="202"/>
      </w:pPr>
      <w:rPr>
        <w:rFonts w:hint="default"/>
      </w:rPr>
    </w:lvl>
    <w:lvl w:ilvl="7">
      <w:start w:val="1"/>
      <w:numFmt w:val="bullet"/>
      <w:lvlText w:val="•"/>
      <w:lvlJc w:val="left"/>
      <w:pPr>
        <w:ind w:left="4236" w:hanging="202"/>
      </w:pPr>
      <w:rPr>
        <w:rFonts w:hint="default"/>
      </w:rPr>
    </w:lvl>
    <w:lvl w:ilvl="8">
      <w:start w:val="1"/>
      <w:numFmt w:val="bullet"/>
      <w:lvlText w:val="•"/>
      <w:lvlJc w:val="left"/>
      <w:pPr>
        <w:ind w:left="4824" w:hanging="202"/>
      </w:pPr>
      <w:rPr>
        <w:rFonts w:hint="default"/>
      </w:rPr>
    </w:lvl>
  </w:abstractNum>
  <w:abstractNum w:abstractNumId="96">
    <w:multiLevelType w:val="hybridMultilevel"/>
    <w:lvl w:ilvl="0">
      <w:start w:val="2"/>
      <w:numFmt w:val="decimal"/>
      <w:lvlText w:val="%1."/>
      <w:lvlJc w:val="left"/>
      <w:pPr>
        <w:ind w:left="362" w:hanging="249"/>
        <w:jc w:val="left"/>
      </w:pPr>
      <w:rPr>
        <w:rFonts w:hint="default" w:ascii="Times New Roman" w:hAnsi="Times New Roman" w:eastAsia="Times New Roman" w:cs="Times New Roman"/>
        <w:b/>
        <w:bCs/>
        <w:w w:val="117"/>
        <w:sz w:val="20"/>
        <w:szCs w:val="20"/>
      </w:rPr>
    </w:lvl>
    <w:lvl w:ilvl="1">
      <w:start w:val="1"/>
      <w:numFmt w:val="bullet"/>
      <w:lvlText w:val="•"/>
      <w:lvlJc w:val="left"/>
      <w:pPr>
        <w:ind w:left="360" w:hanging="249"/>
      </w:pPr>
      <w:rPr>
        <w:rFonts w:hint="default"/>
      </w:rPr>
    </w:lvl>
    <w:lvl w:ilvl="2">
      <w:start w:val="1"/>
      <w:numFmt w:val="bullet"/>
      <w:lvlText w:val="•"/>
      <w:lvlJc w:val="left"/>
      <w:pPr>
        <w:ind w:left="986" w:hanging="249"/>
      </w:pPr>
      <w:rPr>
        <w:rFonts w:hint="default"/>
      </w:rPr>
    </w:lvl>
    <w:lvl w:ilvl="3">
      <w:start w:val="1"/>
      <w:numFmt w:val="bullet"/>
      <w:lvlText w:val="•"/>
      <w:lvlJc w:val="left"/>
      <w:pPr>
        <w:ind w:left="1613" w:hanging="249"/>
      </w:pPr>
      <w:rPr>
        <w:rFonts w:hint="default"/>
      </w:rPr>
    </w:lvl>
    <w:lvl w:ilvl="4">
      <w:start w:val="1"/>
      <w:numFmt w:val="bullet"/>
      <w:lvlText w:val="•"/>
      <w:lvlJc w:val="left"/>
      <w:pPr>
        <w:ind w:left="2240" w:hanging="249"/>
      </w:pPr>
      <w:rPr>
        <w:rFonts w:hint="default"/>
      </w:rPr>
    </w:lvl>
    <w:lvl w:ilvl="5">
      <w:start w:val="1"/>
      <w:numFmt w:val="bullet"/>
      <w:lvlText w:val="•"/>
      <w:lvlJc w:val="left"/>
      <w:pPr>
        <w:ind w:left="2866" w:hanging="249"/>
      </w:pPr>
      <w:rPr>
        <w:rFonts w:hint="default"/>
      </w:rPr>
    </w:lvl>
    <w:lvl w:ilvl="6">
      <w:start w:val="1"/>
      <w:numFmt w:val="bullet"/>
      <w:lvlText w:val="•"/>
      <w:lvlJc w:val="left"/>
      <w:pPr>
        <w:ind w:left="3493" w:hanging="249"/>
      </w:pPr>
      <w:rPr>
        <w:rFonts w:hint="default"/>
      </w:rPr>
    </w:lvl>
    <w:lvl w:ilvl="7">
      <w:start w:val="1"/>
      <w:numFmt w:val="bullet"/>
      <w:lvlText w:val="•"/>
      <w:lvlJc w:val="left"/>
      <w:pPr>
        <w:ind w:left="4120" w:hanging="249"/>
      </w:pPr>
      <w:rPr>
        <w:rFonts w:hint="default"/>
      </w:rPr>
    </w:lvl>
    <w:lvl w:ilvl="8">
      <w:start w:val="1"/>
      <w:numFmt w:val="bullet"/>
      <w:lvlText w:val="•"/>
      <w:lvlJc w:val="left"/>
      <w:pPr>
        <w:ind w:left="4746" w:hanging="249"/>
      </w:pPr>
      <w:rPr>
        <w:rFonts w:hint="default"/>
      </w:rPr>
    </w:lvl>
  </w:abstractNum>
  <w:abstractNum w:abstractNumId="95">
    <w:multiLevelType w:val="hybridMultilevel"/>
    <w:lvl w:ilvl="0">
      <w:start w:val="6"/>
      <w:numFmt w:val="decimal"/>
      <w:lvlText w:val="%1."/>
      <w:lvlJc w:val="left"/>
      <w:pPr>
        <w:ind w:left="329" w:hanging="187"/>
        <w:jc w:val="left"/>
      </w:pPr>
      <w:rPr>
        <w:rFonts w:hint="default" w:ascii="Times New Roman" w:hAnsi="Times New Roman" w:eastAsia="Times New Roman" w:cs="Times New Roman"/>
        <w:color w:val="010101"/>
        <w:w w:val="111"/>
        <w:sz w:val="17"/>
        <w:szCs w:val="17"/>
      </w:rPr>
    </w:lvl>
    <w:lvl w:ilvl="1">
      <w:start w:val="16"/>
      <w:numFmt w:val="decimal"/>
      <w:lvlText w:val="%2."/>
      <w:lvlJc w:val="left"/>
      <w:pPr>
        <w:ind w:left="149" w:hanging="302"/>
        <w:jc w:val="left"/>
      </w:pPr>
      <w:rPr>
        <w:rFonts w:hint="default" w:ascii="Times New Roman" w:hAnsi="Times New Roman" w:eastAsia="Times New Roman" w:cs="Times New Roman"/>
        <w:color w:val="010101"/>
        <w:w w:val="101"/>
        <w:sz w:val="17"/>
        <w:szCs w:val="17"/>
      </w:rPr>
    </w:lvl>
    <w:lvl w:ilvl="2">
      <w:start w:val="1"/>
      <w:numFmt w:val="lowerRoman"/>
      <w:lvlText w:val="(%3)"/>
      <w:lvlJc w:val="left"/>
      <w:pPr>
        <w:ind w:left="802" w:hanging="248"/>
        <w:jc w:val="right"/>
      </w:pPr>
      <w:rPr>
        <w:rFonts w:hint="default" w:ascii="Times New Roman" w:hAnsi="Times New Roman" w:eastAsia="Times New Roman" w:cs="Times New Roman"/>
        <w:w w:val="102"/>
      </w:rPr>
    </w:lvl>
    <w:lvl w:ilvl="3">
      <w:start w:val="1"/>
      <w:numFmt w:val="bullet"/>
      <w:lvlText w:val="•"/>
      <w:lvlJc w:val="left"/>
      <w:pPr>
        <w:ind w:left="2660" w:hanging="248"/>
      </w:pPr>
      <w:rPr>
        <w:rFonts w:hint="default"/>
      </w:rPr>
    </w:lvl>
    <w:lvl w:ilvl="4">
      <w:start w:val="1"/>
      <w:numFmt w:val="bullet"/>
      <w:lvlText w:val="•"/>
      <w:lvlJc w:val="left"/>
      <w:pPr>
        <w:ind w:left="2698" w:hanging="248"/>
      </w:pPr>
      <w:rPr>
        <w:rFonts w:hint="default"/>
      </w:rPr>
    </w:lvl>
    <w:lvl w:ilvl="5">
      <w:start w:val="1"/>
      <w:numFmt w:val="bullet"/>
      <w:lvlText w:val="•"/>
      <w:lvlJc w:val="left"/>
      <w:pPr>
        <w:ind w:left="2736" w:hanging="248"/>
      </w:pPr>
      <w:rPr>
        <w:rFonts w:hint="default"/>
      </w:rPr>
    </w:lvl>
    <w:lvl w:ilvl="6">
      <w:start w:val="1"/>
      <w:numFmt w:val="bullet"/>
      <w:lvlText w:val="•"/>
      <w:lvlJc w:val="left"/>
      <w:pPr>
        <w:ind w:left="2774" w:hanging="248"/>
      </w:pPr>
      <w:rPr>
        <w:rFonts w:hint="default"/>
      </w:rPr>
    </w:lvl>
    <w:lvl w:ilvl="7">
      <w:start w:val="1"/>
      <w:numFmt w:val="bullet"/>
      <w:lvlText w:val="•"/>
      <w:lvlJc w:val="left"/>
      <w:pPr>
        <w:ind w:left="2812" w:hanging="248"/>
      </w:pPr>
      <w:rPr>
        <w:rFonts w:hint="default"/>
      </w:rPr>
    </w:lvl>
    <w:lvl w:ilvl="8">
      <w:start w:val="1"/>
      <w:numFmt w:val="bullet"/>
      <w:lvlText w:val="•"/>
      <w:lvlJc w:val="left"/>
      <w:pPr>
        <w:ind w:left="2850" w:hanging="248"/>
      </w:pPr>
      <w:rPr>
        <w:rFonts w:hint="default"/>
      </w:rPr>
    </w:lvl>
  </w:abstractNum>
  <w:abstractNum w:abstractNumId="94">
    <w:multiLevelType w:val="hybridMultilevel"/>
    <w:lvl w:ilvl="0">
      <w:start w:val="3"/>
      <w:numFmt w:val="decimal"/>
      <w:lvlText w:val="%1."/>
      <w:lvlJc w:val="left"/>
      <w:pPr>
        <w:ind w:left="294" w:hanging="183"/>
        <w:jc w:val="left"/>
      </w:pPr>
      <w:rPr>
        <w:rFonts w:hint="default" w:ascii="Times New Roman" w:hAnsi="Times New Roman" w:eastAsia="Times New Roman" w:cs="Times New Roman"/>
        <w:color w:val="010101"/>
        <w:spacing w:val="-20"/>
        <w:w w:val="116"/>
        <w:sz w:val="17"/>
        <w:szCs w:val="17"/>
      </w:rPr>
    </w:lvl>
    <w:lvl w:ilvl="1">
      <w:start w:val="5"/>
      <w:numFmt w:val="decimal"/>
      <w:lvlText w:val="%2."/>
      <w:lvlJc w:val="left"/>
      <w:pPr>
        <w:ind w:left="118" w:hanging="209"/>
        <w:jc w:val="left"/>
      </w:pPr>
      <w:rPr>
        <w:rFonts w:hint="default" w:ascii="Times New Roman" w:hAnsi="Times New Roman" w:eastAsia="Times New Roman" w:cs="Times New Roman"/>
        <w:w w:val="112"/>
      </w:rPr>
    </w:lvl>
    <w:lvl w:ilvl="2">
      <w:start w:val="1"/>
      <w:numFmt w:val="lowerLetter"/>
      <w:lvlText w:val="(%3)"/>
      <w:lvlJc w:val="left"/>
      <w:pPr>
        <w:ind w:left="742" w:hanging="295"/>
        <w:jc w:val="left"/>
      </w:pPr>
      <w:rPr>
        <w:rFonts w:hint="default" w:ascii="Arial" w:hAnsi="Arial" w:eastAsia="Arial" w:cs="Arial"/>
        <w:color w:val="010101"/>
        <w:w w:val="105"/>
        <w:sz w:val="16"/>
        <w:szCs w:val="16"/>
      </w:rPr>
    </w:lvl>
    <w:lvl w:ilvl="3">
      <w:start w:val="1"/>
      <w:numFmt w:val="bullet"/>
      <w:lvlText w:val="•"/>
      <w:lvlJc w:val="left"/>
      <w:pPr>
        <w:ind w:left="1397" w:hanging="295"/>
      </w:pPr>
      <w:rPr>
        <w:rFonts w:hint="default"/>
      </w:rPr>
    </w:lvl>
    <w:lvl w:ilvl="4">
      <w:start w:val="1"/>
      <w:numFmt w:val="bullet"/>
      <w:lvlText w:val="•"/>
      <w:lvlJc w:val="left"/>
      <w:pPr>
        <w:ind w:left="2055" w:hanging="295"/>
      </w:pPr>
      <w:rPr>
        <w:rFonts w:hint="default"/>
      </w:rPr>
    </w:lvl>
    <w:lvl w:ilvl="5">
      <w:start w:val="1"/>
      <w:numFmt w:val="bullet"/>
      <w:lvlText w:val="•"/>
      <w:lvlJc w:val="left"/>
      <w:pPr>
        <w:ind w:left="2712" w:hanging="295"/>
      </w:pPr>
      <w:rPr>
        <w:rFonts w:hint="default"/>
      </w:rPr>
    </w:lvl>
    <w:lvl w:ilvl="6">
      <w:start w:val="1"/>
      <w:numFmt w:val="bullet"/>
      <w:lvlText w:val="•"/>
      <w:lvlJc w:val="left"/>
      <w:pPr>
        <w:ind w:left="3370" w:hanging="295"/>
      </w:pPr>
      <w:rPr>
        <w:rFonts w:hint="default"/>
      </w:rPr>
    </w:lvl>
    <w:lvl w:ilvl="7">
      <w:start w:val="1"/>
      <w:numFmt w:val="bullet"/>
      <w:lvlText w:val="•"/>
      <w:lvlJc w:val="left"/>
      <w:pPr>
        <w:ind w:left="4027" w:hanging="295"/>
      </w:pPr>
      <w:rPr>
        <w:rFonts w:hint="default"/>
      </w:rPr>
    </w:lvl>
    <w:lvl w:ilvl="8">
      <w:start w:val="1"/>
      <w:numFmt w:val="bullet"/>
      <w:lvlText w:val="•"/>
      <w:lvlJc w:val="left"/>
      <w:pPr>
        <w:ind w:left="4685" w:hanging="295"/>
      </w:pPr>
      <w:rPr>
        <w:rFonts w:hint="default"/>
      </w:rPr>
    </w:lvl>
  </w:abstractNum>
  <w:abstractNum w:abstractNumId="93">
    <w:multiLevelType w:val="hybridMultilevel"/>
    <w:lvl w:ilvl="0">
      <w:start w:val="2"/>
      <w:numFmt w:val="decimal"/>
      <w:lvlText w:val="%1."/>
      <w:lvlJc w:val="left"/>
      <w:pPr>
        <w:ind w:left="107" w:hanging="216"/>
        <w:jc w:val="left"/>
      </w:pPr>
      <w:rPr>
        <w:rFonts w:hint="default" w:ascii="Times New Roman" w:hAnsi="Times New Roman" w:eastAsia="Times New Roman" w:cs="Times New Roman"/>
        <w:w w:val="110"/>
      </w:rPr>
    </w:lvl>
    <w:lvl w:ilvl="1">
      <w:start w:val="1"/>
      <w:numFmt w:val="lowerLetter"/>
      <w:lvlText w:val="(%2)"/>
      <w:lvlJc w:val="left"/>
      <w:pPr>
        <w:ind w:left="757" w:hanging="295"/>
        <w:jc w:val="left"/>
      </w:pPr>
      <w:rPr>
        <w:rFonts w:hint="default" w:ascii="Times New Roman" w:hAnsi="Times New Roman" w:eastAsia="Times New Roman" w:cs="Times New Roman"/>
        <w:color w:val="010101"/>
        <w:w w:val="102"/>
        <w:sz w:val="18"/>
        <w:szCs w:val="18"/>
      </w:rPr>
    </w:lvl>
    <w:lvl w:ilvl="2">
      <w:start w:val="1"/>
      <w:numFmt w:val="bullet"/>
      <w:lvlText w:val="•"/>
      <w:lvlJc w:val="left"/>
      <w:pPr>
        <w:ind w:left="1342" w:hanging="295"/>
      </w:pPr>
      <w:rPr>
        <w:rFonts w:hint="default"/>
      </w:rPr>
    </w:lvl>
    <w:lvl w:ilvl="3">
      <w:start w:val="1"/>
      <w:numFmt w:val="bullet"/>
      <w:lvlText w:val="•"/>
      <w:lvlJc w:val="left"/>
      <w:pPr>
        <w:ind w:left="1924" w:hanging="295"/>
      </w:pPr>
      <w:rPr>
        <w:rFonts w:hint="default"/>
      </w:rPr>
    </w:lvl>
    <w:lvl w:ilvl="4">
      <w:start w:val="1"/>
      <w:numFmt w:val="bullet"/>
      <w:lvlText w:val="•"/>
      <w:lvlJc w:val="left"/>
      <w:pPr>
        <w:ind w:left="2506" w:hanging="295"/>
      </w:pPr>
      <w:rPr>
        <w:rFonts w:hint="default"/>
      </w:rPr>
    </w:lvl>
    <w:lvl w:ilvl="5">
      <w:start w:val="1"/>
      <w:numFmt w:val="bullet"/>
      <w:lvlText w:val="•"/>
      <w:lvlJc w:val="left"/>
      <w:pPr>
        <w:ind w:left="3088" w:hanging="295"/>
      </w:pPr>
      <w:rPr>
        <w:rFonts w:hint="default"/>
      </w:rPr>
    </w:lvl>
    <w:lvl w:ilvl="6">
      <w:start w:val="1"/>
      <w:numFmt w:val="bullet"/>
      <w:lvlText w:val="•"/>
      <w:lvlJc w:val="left"/>
      <w:pPr>
        <w:ind w:left="3671" w:hanging="295"/>
      </w:pPr>
      <w:rPr>
        <w:rFonts w:hint="default"/>
      </w:rPr>
    </w:lvl>
    <w:lvl w:ilvl="7">
      <w:start w:val="1"/>
      <w:numFmt w:val="bullet"/>
      <w:lvlText w:val="•"/>
      <w:lvlJc w:val="left"/>
      <w:pPr>
        <w:ind w:left="4253" w:hanging="295"/>
      </w:pPr>
      <w:rPr>
        <w:rFonts w:hint="default"/>
      </w:rPr>
    </w:lvl>
    <w:lvl w:ilvl="8">
      <w:start w:val="1"/>
      <w:numFmt w:val="bullet"/>
      <w:lvlText w:val="•"/>
      <w:lvlJc w:val="left"/>
      <w:pPr>
        <w:ind w:left="4835" w:hanging="295"/>
      </w:pPr>
      <w:rPr>
        <w:rFonts w:hint="default"/>
      </w:rPr>
    </w:lvl>
  </w:abstractNum>
  <w:abstractNum w:abstractNumId="92">
    <w:multiLevelType w:val="hybridMultilevel"/>
    <w:lvl w:ilvl="0">
      <w:start w:val="5"/>
      <w:numFmt w:val="lowerLetter"/>
      <w:lvlText w:val="(%1)"/>
      <w:lvlJc w:val="left"/>
      <w:pPr>
        <w:ind w:left="764" w:hanging="295"/>
        <w:jc w:val="left"/>
      </w:pPr>
      <w:rPr>
        <w:rFonts w:hint="default" w:ascii="Times New Roman" w:hAnsi="Times New Roman" w:eastAsia="Times New Roman" w:cs="Times New Roman"/>
        <w:color w:val="010101"/>
        <w:w w:val="96"/>
        <w:sz w:val="18"/>
        <w:szCs w:val="18"/>
      </w:rPr>
    </w:lvl>
    <w:lvl w:ilvl="1">
      <w:start w:val="1"/>
      <w:numFmt w:val="bullet"/>
      <w:lvlText w:val="•"/>
      <w:lvlJc w:val="left"/>
      <w:pPr>
        <w:ind w:left="1284" w:hanging="295"/>
      </w:pPr>
      <w:rPr>
        <w:rFonts w:hint="default"/>
      </w:rPr>
    </w:lvl>
    <w:lvl w:ilvl="2">
      <w:start w:val="1"/>
      <w:numFmt w:val="bullet"/>
      <w:lvlText w:val="•"/>
      <w:lvlJc w:val="left"/>
      <w:pPr>
        <w:ind w:left="1808" w:hanging="295"/>
      </w:pPr>
      <w:rPr>
        <w:rFonts w:hint="default"/>
      </w:rPr>
    </w:lvl>
    <w:lvl w:ilvl="3">
      <w:start w:val="1"/>
      <w:numFmt w:val="bullet"/>
      <w:lvlText w:val="•"/>
      <w:lvlJc w:val="left"/>
      <w:pPr>
        <w:ind w:left="2332" w:hanging="295"/>
      </w:pPr>
      <w:rPr>
        <w:rFonts w:hint="default"/>
      </w:rPr>
    </w:lvl>
    <w:lvl w:ilvl="4">
      <w:start w:val="1"/>
      <w:numFmt w:val="bullet"/>
      <w:lvlText w:val="•"/>
      <w:lvlJc w:val="left"/>
      <w:pPr>
        <w:ind w:left="2856" w:hanging="295"/>
      </w:pPr>
      <w:rPr>
        <w:rFonts w:hint="default"/>
      </w:rPr>
    </w:lvl>
    <w:lvl w:ilvl="5">
      <w:start w:val="1"/>
      <w:numFmt w:val="bullet"/>
      <w:lvlText w:val="•"/>
      <w:lvlJc w:val="left"/>
      <w:pPr>
        <w:ind w:left="3380" w:hanging="295"/>
      </w:pPr>
      <w:rPr>
        <w:rFonts w:hint="default"/>
      </w:rPr>
    </w:lvl>
    <w:lvl w:ilvl="6">
      <w:start w:val="1"/>
      <w:numFmt w:val="bullet"/>
      <w:lvlText w:val="•"/>
      <w:lvlJc w:val="left"/>
      <w:pPr>
        <w:ind w:left="3904" w:hanging="295"/>
      </w:pPr>
      <w:rPr>
        <w:rFonts w:hint="default"/>
      </w:rPr>
    </w:lvl>
    <w:lvl w:ilvl="7">
      <w:start w:val="1"/>
      <w:numFmt w:val="bullet"/>
      <w:lvlText w:val="•"/>
      <w:lvlJc w:val="left"/>
      <w:pPr>
        <w:ind w:left="4428" w:hanging="295"/>
      </w:pPr>
      <w:rPr>
        <w:rFonts w:hint="default"/>
      </w:rPr>
    </w:lvl>
    <w:lvl w:ilvl="8">
      <w:start w:val="1"/>
      <w:numFmt w:val="bullet"/>
      <w:lvlText w:val="•"/>
      <w:lvlJc w:val="left"/>
      <w:pPr>
        <w:ind w:left="4952" w:hanging="295"/>
      </w:pPr>
      <w:rPr>
        <w:rFonts w:hint="default"/>
      </w:rPr>
    </w:lvl>
  </w:abstractNum>
  <w:abstractNum w:abstractNumId="90">
    <w:multiLevelType w:val="hybridMultilevel"/>
    <w:lvl w:ilvl="0">
      <w:start w:val="5"/>
      <w:numFmt w:val="decimal"/>
      <w:lvlText w:val="%1."/>
      <w:lvlJc w:val="left"/>
      <w:pPr>
        <w:ind w:left="120" w:hanging="237"/>
        <w:jc w:val="left"/>
      </w:pPr>
      <w:rPr>
        <w:rFonts w:hint="default" w:ascii="Times New Roman" w:hAnsi="Times New Roman" w:eastAsia="Times New Roman" w:cs="Times New Roman"/>
        <w:spacing w:val="-18"/>
        <w:w w:val="114"/>
      </w:rPr>
    </w:lvl>
    <w:lvl w:ilvl="1">
      <w:start w:val="1"/>
      <w:numFmt w:val="bullet"/>
      <w:lvlText w:val="•"/>
      <w:lvlJc w:val="left"/>
      <w:pPr>
        <w:ind w:left="702" w:hanging="237"/>
      </w:pPr>
      <w:rPr>
        <w:rFonts w:hint="default"/>
      </w:rPr>
    </w:lvl>
    <w:lvl w:ilvl="2">
      <w:start w:val="1"/>
      <w:numFmt w:val="bullet"/>
      <w:lvlText w:val="•"/>
      <w:lvlJc w:val="left"/>
      <w:pPr>
        <w:ind w:left="1284" w:hanging="237"/>
      </w:pPr>
      <w:rPr>
        <w:rFonts w:hint="default"/>
      </w:rPr>
    </w:lvl>
    <w:lvl w:ilvl="3">
      <w:start w:val="1"/>
      <w:numFmt w:val="bullet"/>
      <w:lvlText w:val="•"/>
      <w:lvlJc w:val="left"/>
      <w:pPr>
        <w:ind w:left="1866" w:hanging="237"/>
      </w:pPr>
      <w:rPr>
        <w:rFonts w:hint="default"/>
      </w:rPr>
    </w:lvl>
    <w:lvl w:ilvl="4">
      <w:start w:val="1"/>
      <w:numFmt w:val="bullet"/>
      <w:lvlText w:val="•"/>
      <w:lvlJc w:val="left"/>
      <w:pPr>
        <w:ind w:left="2448" w:hanging="237"/>
      </w:pPr>
      <w:rPr>
        <w:rFonts w:hint="default"/>
      </w:rPr>
    </w:lvl>
    <w:lvl w:ilvl="5">
      <w:start w:val="1"/>
      <w:numFmt w:val="bullet"/>
      <w:lvlText w:val="•"/>
      <w:lvlJc w:val="left"/>
      <w:pPr>
        <w:ind w:left="3030" w:hanging="237"/>
      </w:pPr>
      <w:rPr>
        <w:rFonts w:hint="default"/>
      </w:rPr>
    </w:lvl>
    <w:lvl w:ilvl="6">
      <w:start w:val="1"/>
      <w:numFmt w:val="bullet"/>
      <w:lvlText w:val="•"/>
      <w:lvlJc w:val="left"/>
      <w:pPr>
        <w:ind w:left="3612" w:hanging="237"/>
      </w:pPr>
      <w:rPr>
        <w:rFonts w:hint="default"/>
      </w:rPr>
    </w:lvl>
    <w:lvl w:ilvl="7">
      <w:start w:val="1"/>
      <w:numFmt w:val="bullet"/>
      <w:lvlText w:val="•"/>
      <w:lvlJc w:val="left"/>
      <w:pPr>
        <w:ind w:left="4194" w:hanging="237"/>
      </w:pPr>
      <w:rPr>
        <w:rFonts w:hint="default"/>
      </w:rPr>
    </w:lvl>
    <w:lvl w:ilvl="8">
      <w:start w:val="1"/>
      <w:numFmt w:val="bullet"/>
      <w:lvlText w:val="•"/>
      <w:lvlJc w:val="left"/>
      <w:pPr>
        <w:ind w:left="4776" w:hanging="237"/>
      </w:pPr>
      <w:rPr>
        <w:rFonts w:hint="default"/>
      </w:rPr>
    </w:lvl>
  </w:abstractNum>
  <w:abstractNum w:abstractNumId="89">
    <w:multiLevelType w:val="hybridMultilevel"/>
    <w:lvl w:ilvl="0">
      <w:start w:val="7"/>
      <w:numFmt w:val="decimal"/>
      <w:lvlText w:val="%1."/>
      <w:lvlJc w:val="left"/>
      <w:pPr>
        <w:ind w:left="344" w:hanging="224"/>
        <w:jc w:val="left"/>
      </w:pPr>
      <w:rPr>
        <w:rFonts w:hint="default" w:ascii="Times New Roman" w:hAnsi="Times New Roman" w:eastAsia="Times New Roman" w:cs="Times New Roman"/>
        <w:w w:val="110"/>
        <w:sz w:val="20"/>
        <w:szCs w:val="20"/>
      </w:rPr>
    </w:lvl>
    <w:lvl w:ilvl="1">
      <w:start w:val="1"/>
      <w:numFmt w:val="decimal"/>
      <w:lvlText w:val="%2."/>
      <w:lvlJc w:val="left"/>
      <w:pPr>
        <w:ind w:left="124" w:hanging="238"/>
        <w:jc w:val="left"/>
      </w:pPr>
      <w:rPr>
        <w:rFonts w:hint="default" w:ascii="Times New Roman" w:hAnsi="Times New Roman" w:eastAsia="Times New Roman" w:cs="Times New Roman"/>
        <w:w w:val="107"/>
        <w:sz w:val="20"/>
        <w:szCs w:val="20"/>
      </w:rPr>
    </w:lvl>
    <w:lvl w:ilvl="2">
      <w:start w:val="1"/>
      <w:numFmt w:val="bullet"/>
      <w:lvlText w:val="•"/>
      <w:lvlJc w:val="left"/>
      <w:pPr>
        <w:ind w:left="968" w:hanging="238"/>
      </w:pPr>
      <w:rPr>
        <w:rFonts w:hint="default"/>
      </w:rPr>
    </w:lvl>
    <w:lvl w:ilvl="3">
      <w:start w:val="1"/>
      <w:numFmt w:val="bullet"/>
      <w:lvlText w:val="•"/>
      <w:lvlJc w:val="left"/>
      <w:pPr>
        <w:ind w:left="1597" w:hanging="238"/>
      </w:pPr>
      <w:rPr>
        <w:rFonts w:hint="default"/>
      </w:rPr>
    </w:lvl>
    <w:lvl w:ilvl="4">
      <w:start w:val="1"/>
      <w:numFmt w:val="bullet"/>
      <w:lvlText w:val="•"/>
      <w:lvlJc w:val="left"/>
      <w:pPr>
        <w:ind w:left="2226" w:hanging="238"/>
      </w:pPr>
      <w:rPr>
        <w:rFonts w:hint="default"/>
      </w:rPr>
    </w:lvl>
    <w:lvl w:ilvl="5">
      <w:start w:val="1"/>
      <w:numFmt w:val="bullet"/>
      <w:lvlText w:val="•"/>
      <w:lvlJc w:val="left"/>
      <w:pPr>
        <w:ind w:left="2855" w:hanging="238"/>
      </w:pPr>
      <w:rPr>
        <w:rFonts w:hint="default"/>
      </w:rPr>
    </w:lvl>
    <w:lvl w:ilvl="6">
      <w:start w:val="1"/>
      <w:numFmt w:val="bullet"/>
      <w:lvlText w:val="•"/>
      <w:lvlJc w:val="left"/>
      <w:pPr>
        <w:ind w:left="3484" w:hanging="238"/>
      </w:pPr>
      <w:rPr>
        <w:rFonts w:hint="default"/>
      </w:rPr>
    </w:lvl>
    <w:lvl w:ilvl="7">
      <w:start w:val="1"/>
      <w:numFmt w:val="bullet"/>
      <w:lvlText w:val="•"/>
      <w:lvlJc w:val="left"/>
      <w:pPr>
        <w:ind w:left="4113" w:hanging="238"/>
      </w:pPr>
      <w:rPr>
        <w:rFonts w:hint="default"/>
      </w:rPr>
    </w:lvl>
    <w:lvl w:ilvl="8">
      <w:start w:val="1"/>
      <w:numFmt w:val="bullet"/>
      <w:lvlText w:val="•"/>
      <w:lvlJc w:val="left"/>
      <w:pPr>
        <w:ind w:left="4742" w:hanging="238"/>
      </w:pPr>
      <w:rPr>
        <w:rFonts w:hint="default"/>
      </w:rPr>
    </w:lvl>
  </w:abstractNum>
  <w:abstractNum w:abstractNumId="88">
    <w:multiLevelType w:val="hybridMultilevel"/>
    <w:lvl w:ilvl="0">
      <w:start w:val="4"/>
      <w:numFmt w:val="decimal"/>
      <w:lvlText w:val="%1."/>
      <w:lvlJc w:val="left"/>
      <w:pPr>
        <w:ind w:left="348" w:hanging="213"/>
        <w:jc w:val="left"/>
      </w:pPr>
      <w:rPr>
        <w:rFonts w:hint="default" w:ascii="Times New Roman" w:hAnsi="Times New Roman" w:eastAsia="Times New Roman" w:cs="Times New Roman"/>
        <w:b/>
        <w:bCs/>
        <w:w w:val="109"/>
      </w:rPr>
    </w:lvl>
    <w:lvl w:ilvl="1">
      <w:start w:val="1"/>
      <w:numFmt w:val="bullet"/>
      <w:lvlText w:val="•"/>
      <w:lvlJc w:val="left"/>
      <w:pPr>
        <w:ind w:left="906" w:hanging="213"/>
      </w:pPr>
      <w:rPr>
        <w:rFonts w:hint="default"/>
      </w:rPr>
    </w:lvl>
    <w:lvl w:ilvl="2">
      <w:start w:val="1"/>
      <w:numFmt w:val="bullet"/>
      <w:lvlText w:val="•"/>
      <w:lvlJc w:val="left"/>
      <w:pPr>
        <w:ind w:left="1472" w:hanging="213"/>
      </w:pPr>
      <w:rPr>
        <w:rFonts w:hint="default"/>
      </w:rPr>
    </w:lvl>
    <w:lvl w:ilvl="3">
      <w:start w:val="1"/>
      <w:numFmt w:val="bullet"/>
      <w:lvlText w:val="•"/>
      <w:lvlJc w:val="left"/>
      <w:pPr>
        <w:ind w:left="2038" w:hanging="213"/>
      </w:pPr>
      <w:rPr>
        <w:rFonts w:hint="default"/>
      </w:rPr>
    </w:lvl>
    <w:lvl w:ilvl="4">
      <w:start w:val="1"/>
      <w:numFmt w:val="bullet"/>
      <w:lvlText w:val="•"/>
      <w:lvlJc w:val="left"/>
      <w:pPr>
        <w:ind w:left="2604" w:hanging="213"/>
      </w:pPr>
      <w:rPr>
        <w:rFonts w:hint="default"/>
      </w:rPr>
    </w:lvl>
    <w:lvl w:ilvl="5">
      <w:start w:val="1"/>
      <w:numFmt w:val="bullet"/>
      <w:lvlText w:val="•"/>
      <w:lvlJc w:val="left"/>
      <w:pPr>
        <w:ind w:left="3170" w:hanging="213"/>
      </w:pPr>
      <w:rPr>
        <w:rFonts w:hint="default"/>
      </w:rPr>
    </w:lvl>
    <w:lvl w:ilvl="6">
      <w:start w:val="1"/>
      <w:numFmt w:val="bullet"/>
      <w:lvlText w:val="•"/>
      <w:lvlJc w:val="left"/>
      <w:pPr>
        <w:ind w:left="3736" w:hanging="213"/>
      </w:pPr>
      <w:rPr>
        <w:rFonts w:hint="default"/>
      </w:rPr>
    </w:lvl>
    <w:lvl w:ilvl="7">
      <w:start w:val="1"/>
      <w:numFmt w:val="bullet"/>
      <w:lvlText w:val="•"/>
      <w:lvlJc w:val="left"/>
      <w:pPr>
        <w:ind w:left="4302" w:hanging="213"/>
      </w:pPr>
      <w:rPr>
        <w:rFonts w:hint="default"/>
      </w:rPr>
    </w:lvl>
    <w:lvl w:ilvl="8">
      <w:start w:val="1"/>
      <w:numFmt w:val="bullet"/>
      <w:lvlText w:val="•"/>
      <w:lvlJc w:val="left"/>
      <w:pPr>
        <w:ind w:left="4868" w:hanging="213"/>
      </w:pPr>
      <w:rPr>
        <w:rFonts w:hint="default"/>
      </w:rPr>
    </w:lvl>
  </w:abstractNum>
  <w:abstractNum w:abstractNumId="87">
    <w:multiLevelType w:val="hybridMultilevel"/>
    <w:lvl w:ilvl="0">
      <w:start w:val="24"/>
      <w:numFmt w:val="decimal"/>
      <w:lvlText w:val="%1."/>
      <w:lvlJc w:val="left"/>
      <w:pPr>
        <w:ind w:left="116" w:hanging="299"/>
        <w:jc w:val="left"/>
      </w:pPr>
      <w:rPr>
        <w:rFonts w:hint="default" w:ascii="Times New Roman" w:hAnsi="Times New Roman" w:eastAsia="Times New Roman" w:cs="Times New Roman"/>
        <w:w w:val="107"/>
      </w:rPr>
    </w:lvl>
    <w:lvl w:ilvl="1">
      <w:start w:val="1"/>
      <w:numFmt w:val="bullet"/>
      <w:lvlText w:val="•"/>
      <w:lvlJc w:val="left"/>
      <w:pPr>
        <w:ind w:left="1920" w:hanging="299"/>
      </w:pPr>
      <w:rPr>
        <w:rFonts w:hint="default"/>
      </w:rPr>
    </w:lvl>
    <w:lvl w:ilvl="2">
      <w:start w:val="1"/>
      <w:numFmt w:val="bullet"/>
      <w:lvlText w:val="•"/>
      <w:lvlJc w:val="left"/>
      <w:pPr>
        <w:ind w:left="2435" w:hanging="299"/>
      </w:pPr>
      <w:rPr>
        <w:rFonts w:hint="default"/>
      </w:rPr>
    </w:lvl>
    <w:lvl w:ilvl="3">
      <w:start w:val="1"/>
      <w:numFmt w:val="bullet"/>
      <w:lvlText w:val="•"/>
      <w:lvlJc w:val="left"/>
      <w:pPr>
        <w:ind w:left="2951" w:hanging="299"/>
      </w:pPr>
      <w:rPr>
        <w:rFonts w:hint="default"/>
      </w:rPr>
    </w:lvl>
    <w:lvl w:ilvl="4">
      <w:start w:val="1"/>
      <w:numFmt w:val="bullet"/>
      <w:lvlText w:val="•"/>
      <w:lvlJc w:val="left"/>
      <w:pPr>
        <w:ind w:left="3466" w:hanging="299"/>
      </w:pPr>
      <w:rPr>
        <w:rFonts w:hint="default"/>
      </w:rPr>
    </w:lvl>
    <w:lvl w:ilvl="5">
      <w:start w:val="1"/>
      <w:numFmt w:val="bullet"/>
      <w:lvlText w:val="•"/>
      <w:lvlJc w:val="left"/>
      <w:pPr>
        <w:ind w:left="3982" w:hanging="299"/>
      </w:pPr>
      <w:rPr>
        <w:rFonts w:hint="default"/>
      </w:rPr>
    </w:lvl>
    <w:lvl w:ilvl="6">
      <w:start w:val="1"/>
      <w:numFmt w:val="bullet"/>
      <w:lvlText w:val="•"/>
      <w:lvlJc w:val="left"/>
      <w:pPr>
        <w:ind w:left="4497" w:hanging="299"/>
      </w:pPr>
      <w:rPr>
        <w:rFonts w:hint="default"/>
      </w:rPr>
    </w:lvl>
    <w:lvl w:ilvl="7">
      <w:start w:val="1"/>
      <w:numFmt w:val="bullet"/>
      <w:lvlText w:val="•"/>
      <w:lvlJc w:val="left"/>
      <w:pPr>
        <w:ind w:left="5013" w:hanging="299"/>
      </w:pPr>
      <w:rPr>
        <w:rFonts w:hint="default"/>
      </w:rPr>
    </w:lvl>
    <w:lvl w:ilvl="8">
      <w:start w:val="1"/>
      <w:numFmt w:val="bullet"/>
      <w:lvlText w:val="•"/>
      <w:lvlJc w:val="left"/>
      <w:pPr>
        <w:ind w:left="5528" w:hanging="299"/>
      </w:pPr>
      <w:rPr>
        <w:rFonts w:hint="default"/>
      </w:rPr>
    </w:lvl>
  </w:abstractNum>
  <w:abstractNum w:abstractNumId="86">
    <w:multiLevelType w:val="hybridMultilevel"/>
    <w:lvl w:ilvl="0">
      <w:start w:val="6"/>
      <w:numFmt w:val="decimal"/>
      <w:lvlText w:val="%1."/>
      <w:lvlJc w:val="left"/>
      <w:pPr>
        <w:ind w:left="314" w:hanging="198"/>
        <w:jc w:val="left"/>
      </w:pPr>
      <w:rPr>
        <w:rFonts w:hint="default" w:ascii="Times New Roman" w:hAnsi="Times New Roman" w:eastAsia="Times New Roman" w:cs="Times New Roman"/>
        <w:color w:val="010101"/>
        <w:w w:val="104"/>
        <w:sz w:val="17"/>
        <w:szCs w:val="17"/>
      </w:rPr>
    </w:lvl>
    <w:lvl w:ilvl="1">
      <w:start w:val="18"/>
      <w:numFmt w:val="decimal"/>
      <w:lvlText w:val="%2."/>
      <w:lvlJc w:val="left"/>
      <w:pPr>
        <w:ind w:left="113" w:hanging="277"/>
        <w:jc w:val="left"/>
      </w:pPr>
      <w:rPr>
        <w:rFonts w:hint="default" w:ascii="Times New Roman" w:hAnsi="Times New Roman" w:eastAsia="Times New Roman" w:cs="Times New Roman"/>
        <w:w w:val="101"/>
      </w:rPr>
    </w:lvl>
    <w:lvl w:ilvl="2">
      <w:start w:val="1"/>
      <w:numFmt w:val="bullet"/>
      <w:lvlText w:val="•"/>
      <w:lvlJc w:val="left"/>
      <w:pPr>
        <w:ind w:left="951" w:hanging="277"/>
      </w:pPr>
      <w:rPr>
        <w:rFonts w:hint="default"/>
      </w:rPr>
    </w:lvl>
    <w:lvl w:ilvl="3">
      <w:start w:val="1"/>
      <w:numFmt w:val="bullet"/>
      <w:lvlText w:val="•"/>
      <w:lvlJc w:val="left"/>
      <w:pPr>
        <w:ind w:left="1582" w:hanging="277"/>
      </w:pPr>
      <w:rPr>
        <w:rFonts w:hint="default"/>
      </w:rPr>
    </w:lvl>
    <w:lvl w:ilvl="4">
      <w:start w:val="1"/>
      <w:numFmt w:val="bullet"/>
      <w:lvlText w:val="•"/>
      <w:lvlJc w:val="left"/>
      <w:pPr>
        <w:ind w:left="2213" w:hanging="277"/>
      </w:pPr>
      <w:rPr>
        <w:rFonts w:hint="default"/>
      </w:rPr>
    </w:lvl>
    <w:lvl w:ilvl="5">
      <w:start w:val="1"/>
      <w:numFmt w:val="bullet"/>
      <w:lvlText w:val="•"/>
      <w:lvlJc w:val="left"/>
      <w:pPr>
        <w:ind w:left="2844" w:hanging="277"/>
      </w:pPr>
      <w:rPr>
        <w:rFonts w:hint="default"/>
      </w:rPr>
    </w:lvl>
    <w:lvl w:ilvl="6">
      <w:start w:val="1"/>
      <w:numFmt w:val="bullet"/>
      <w:lvlText w:val="•"/>
      <w:lvlJc w:val="left"/>
      <w:pPr>
        <w:ind w:left="3475" w:hanging="277"/>
      </w:pPr>
      <w:rPr>
        <w:rFonts w:hint="default"/>
      </w:rPr>
    </w:lvl>
    <w:lvl w:ilvl="7">
      <w:start w:val="1"/>
      <w:numFmt w:val="bullet"/>
      <w:lvlText w:val="•"/>
      <w:lvlJc w:val="left"/>
      <w:pPr>
        <w:ind w:left="4106" w:hanging="277"/>
      </w:pPr>
      <w:rPr>
        <w:rFonts w:hint="default"/>
      </w:rPr>
    </w:lvl>
    <w:lvl w:ilvl="8">
      <w:start w:val="1"/>
      <w:numFmt w:val="bullet"/>
      <w:lvlText w:val="•"/>
      <w:lvlJc w:val="left"/>
      <w:pPr>
        <w:ind w:left="4737" w:hanging="277"/>
      </w:pPr>
      <w:rPr>
        <w:rFonts w:hint="default"/>
      </w:rPr>
    </w:lvl>
  </w:abstractNum>
  <w:abstractNum w:abstractNumId="85">
    <w:multiLevelType w:val="hybridMultilevel"/>
    <w:lvl w:ilvl="0">
      <w:start w:val="14"/>
      <w:numFmt w:val="decimal"/>
      <w:lvlText w:val="%1."/>
      <w:lvlJc w:val="left"/>
      <w:pPr>
        <w:ind w:left="113" w:hanging="277"/>
        <w:jc w:val="left"/>
      </w:pPr>
      <w:rPr>
        <w:rFonts w:hint="default" w:ascii="Times New Roman" w:hAnsi="Times New Roman" w:eastAsia="Times New Roman" w:cs="Times New Roman"/>
        <w:color w:val="010101"/>
        <w:w w:val="108"/>
        <w:sz w:val="16"/>
        <w:szCs w:val="16"/>
      </w:rPr>
    </w:lvl>
    <w:lvl w:ilvl="1">
      <w:start w:val="1"/>
      <w:numFmt w:val="lowerLetter"/>
      <w:lvlText w:val="(%2)"/>
      <w:lvlJc w:val="left"/>
      <w:pPr>
        <w:ind w:left="748" w:hanging="291"/>
        <w:jc w:val="left"/>
      </w:pPr>
      <w:rPr>
        <w:rFonts w:hint="default" w:ascii="Times New Roman" w:hAnsi="Times New Roman" w:eastAsia="Times New Roman" w:cs="Times New Roman"/>
        <w:w w:val="108"/>
      </w:rPr>
    </w:lvl>
    <w:lvl w:ilvl="2">
      <w:start w:val="1"/>
      <w:numFmt w:val="bullet"/>
      <w:lvlText w:val="•"/>
      <w:lvlJc w:val="left"/>
      <w:pPr>
        <w:ind w:left="760" w:hanging="291"/>
      </w:pPr>
      <w:rPr>
        <w:rFonts w:hint="default"/>
      </w:rPr>
    </w:lvl>
    <w:lvl w:ilvl="3">
      <w:start w:val="1"/>
      <w:numFmt w:val="bullet"/>
      <w:lvlText w:val="•"/>
      <w:lvlJc w:val="left"/>
      <w:pPr>
        <w:ind w:left="1415" w:hanging="291"/>
      </w:pPr>
      <w:rPr>
        <w:rFonts w:hint="default"/>
      </w:rPr>
    </w:lvl>
    <w:lvl w:ilvl="4">
      <w:start w:val="1"/>
      <w:numFmt w:val="bullet"/>
      <w:lvlText w:val="•"/>
      <w:lvlJc w:val="left"/>
      <w:pPr>
        <w:ind w:left="2070" w:hanging="291"/>
      </w:pPr>
      <w:rPr>
        <w:rFonts w:hint="default"/>
      </w:rPr>
    </w:lvl>
    <w:lvl w:ilvl="5">
      <w:start w:val="1"/>
      <w:numFmt w:val="bullet"/>
      <w:lvlText w:val="•"/>
      <w:lvlJc w:val="left"/>
      <w:pPr>
        <w:ind w:left="2725" w:hanging="291"/>
      </w:pPr>
      <w:rPr>
        <w:rFonts w:hint="default"/>
      </w:rPr>
    </w:lvl>
    <w:lvl w:ilvl="6">
      <w:start w:val="1"/>
      <w:numFmt w:val="bullet"/>
      <w:lvlText w:val="•"/>
      <w:lvlJc w:val="left"/>
      <w:pPr>
        <w:ind w:left="3380" w:hanging="291"/>
      </w:pPr>
      <w:rPr>
        <w:rFonts w:hint="default"/>
      </w:rPr>
    </w:lvl>
    <w:lvl w:ilvl="7">
      <w:start w:val="1"/>
      <w:numFmt w:val="bullet"/>
      <w:lvlText w:val="•"/>
      <w:lvlJc w:val="left"/>
      <w:pPr>
        <w:ind w:left="4035" w:hanging="291"/>
      </w:pPr>
      <w:rPr>
        <w:rFonts w:hint="default"/>
      </w:rPr>
    </w:lvl>
    <w:lvl w:ilvl="8">
      <w:start w:val="1"/>
      <w:numFmt w:val="bullet"/>
      <w:lvlText w:val="•"/>
      <w:lvlJc w:val="left"/>
      <w:pPr>
        <w:ind w:left="4690" w:hanging="291"/>
      </w:pPr>
      <w:rPr>
        <w:rFonts w:hint="default"/>
      </w:rPr>
    </w:lvl>
  </w:abstractNum>
  <w:abstractNum w:abstractNumId="84">
    <w:multiLevelType w:val="hybridMultilevel"/>
    <w:lvl w:ilvl="0">
      <w:start w:val="4"/>
      <w:numFmt w:val="decimal"/>
      <w:lvlText w:val="%1."/>
      <w:lvlJc w:val="left"/>
      <w:pPr>
        <w:ind w:left="312" w:hanging="201"/>
        <w:jc w:val="left"/>
      </w:pPr>
      <w:rPr>
        <w:rFonts w:hint="default" w:ascii="Times New Roman" w:hAnsi="Times New Roman" w:eastAsia="Times New Roman" w:cs="Times New Roman"/>
        <w:b/>
        <w:bCs/>
        <w:color w:val="010101"/>
        <w:w w:val="103"/>
        <w:sz w:val="16"/>
        <w:szCs w:val="16"/>
      </w:rPr>
    </w:lvl>
    <w:lvl w:ilvl="1">
      <w:start w:val="12"/>
      <w:numFmt w:val="decimal"/>
      <w:lvlText w:val="%2."/>
      <w:lvlJc w:val="left"/>
      <w:pPr>
        <w:ind w:left="563" w:hanging="280"/>
        <w:jc w:val="left"/>
      </w:pPr>
      <w:rPr>
        <w:rFonts w:hint="default" w:ascii="Times New Roman" w:hAnsi="Times New Roman" w:eastAsia="Times New Roman" w:cs="Times New Roman"/>
        <w:color w:val="010101"/>
        <w:w w:val="108"/>
        <w:sz w:val="16"/>
        <w:szCs w:val="16"/>
      </w:rPr>
    </w:lvl>
    <w:lvl w:ilvl="2">
      <w:start w:val="1"/>
      <w:numFmt w:val="lowerLetter"/>
      <w:lvlText w:val="(%3)"/>
      <w:lvlJc w:val="left"/>
      <w:pPr>
        <w:ind w:left="743" w:hanging="295"/>
        <w:jc w:val="left"/>
      </w:pPr>
      <w:rPr>
        <w:rFonts w:hint="default" w:ascii="Times New Roman" w:hAnsi="Times New Roman" w:eastAsia="Times New Roman" w:cs="Times New Roman"/>
        <w:w w:val="100"/>
      </w:rPr>
    </w:lvl>
    <w:lvl w:ilvl="3">
      <w:start w:val="1"/>
      <w:numFmt w:val="bullet"/>
      <w:lvlText w:val="•"/>
      <w:lvlJc w:val="left"/>
      <w:pPr>
        <w:ind w:left="1392" w:hanging="295"/>
      </w:pPr>
      <w:rPr>
        <w:rFonts w:hint="default"/>
      </w:rPr>
    </w:lvl>
    <w:lvl w:ilvl="4">
      <w:start w:val="1"/>
      <w:numFmt w:val="bullet"/>
      <w:lvlText w:val="•"/>
      <w:lvlJc w:val="left"/>
      <w:pPr>
        <w:ind w:left="2045" w:hanging="295"/>
      </w:pPr>
      <w:rPr>
        <w:rFonts w:hint="default"/>
      </w:rPr>
    </w:lvl>
    <w:lvl w:ilvl="5">
      <w:start w:val="1"/>
      <w:numFmt w:val="bullet"/>
      <w:lvlText w:val="•"/>
      <w:lvlJc w:val="left"/>
      <w:pPr>
        <w:ind w:left="2697" w:hanging="295"/>
      </w:pPr>
      <w:rPr>
        <w:rFonts w:hint="default"/>
      </w:rPr>
    </w:lvl>
    <w:lvl w:ilvl="6">
      <w:start w:val="1"/>
      <w:numFmt w:val="bullet"/>
      <w:lvlText w:val="•"/>
      <w:lvlJc w:val="left"/>
      <w:pPr>
        <w:ind w:left="3350" w:hanging="295"/>
      </w:pPr>
      <w:rPr>
        <w:rFonts w:hint="default"/>
      </w:rPr>
    </w:lvl>
    <w:lvl w:ilvl="7">
      <w:start w:val="1"/>
      <w:numFmt w:val="bullet"/>
      <w:lvlText w:val="•"/>
      <w:lvlJc w:val="left"/>
      <w:pPr>
        <w:ind w:left="4002" w:hanging="295"/>
      </w:pPr>
      <w:rPr>
        <w:rFonts w:hint="default"/>
      </w:rPr>
    </w:lvl>
    <w:lvl w:ilvl="8">
      <w:start w:val="1"/>
      <w:numFmt w:val="bullet"/>
      <w:lvlText w:val="•"/>
      <w:lvlJc w:val="left"/>
      <w:pPr>
        <w:ind w:left="4655" w:hanging="295"/>
      </w:pPr>
      <w:rPr>
        <w:rFonts w:hint="default"/>
      </w:rPr>
    </w:lvl>
  </w:abstractNum>
  <w:abstractNum w:abstractNumId="83">
    <w:multiLevelType w:val="hybridMultilevel"/>
    <w:lvl w:ilvl="0">
      <w:start w:val="8"/>
      <w:numFmt w:val="decimal"/>
      <w:lvlText w:val="%1."/>
      <w:lvlJc w:val="left"/>
      <w:pPr>
        <w:ind w:left="122" w:hanging="216"/>
        <w:jc w:val="left"/>
      </w:pPr>
      <w:rPr>
        <w:rFonts w:hint="default" w:ascii="Times New Roman" w:hAnsi="Times New Roman" w:eastAsia="Times New Roman" w:cs="Times New Roman"/>
        <w:w w:val="114"/>
      </w:rPr>
    </w:lvl>
    <w:lvl w:ilvl="1">
      <w:start w:val="1"/>
      <w:numFmt w:val="bullet"/>
      <w:lvlText w:val="•"/>
      <w:lvlJc w:val="left"/>
      <w:pPr>
        <w:ind w:left="706" w:hanging="216"/>
      </w:pPr>
      <w:rPr>
        <w:rFonts w:hint="default"/>
      </w:rPr>
    </w:lvl>
    <w:lvl w:ilvl="2">
      <w:start w:val="1"/>
      <w:numFmt w:val="bullet"/>
      <w:lvlText w:val="•"/>
      <w:lvlJc w:val="left"/>
      <w:pPr>
        <w:ind w:left="1292" w:hanging="216"/>
      </w:pPr>
      <w:rPr>
        <w:rFonts w:hint="default"/>
      </w:rPr>
    </w:lvl>
    <w:lvl w:ilvl="3">
      <w:start w:val="1"/>
      <w:numFmt w:val="bullet"/>
      <w:lvlText w:val="•"/>
      <w:lvlJc w:val="left"/>
      <w:pPr>
        <w:ind w:left="1878" w:hanging="216"/>
      </w:pPr>
      <w:rPr>
        <w:rFonts w:hint="default"/>
      </w:rPr>
    </w:lvl>
    <w:lvl w:ilvl="4">
      <w:start w:val="1"/>
      <w:numFmt w:val="bullet"/>
      <w:lvlText w:val="•"/>
      <w:lvlJc w:val="left"/>
      <w:pPr>
        <w:ind w:left="2464" w:hanging="216"/>
      </w:pPr>
      <w:rPr>
        <w:rFonts w:hint="default"/>
      </w:rPr>
    </w:lvl>
    <w:lvl w:ilvl="5">
      <w:start w:val="1"/>
      <w:numFmt w:val="bullet"/>
      <w:lvlText w:val="•"/>
      <w:lvlJc w:val="left"/>
      <w:pPr>
        <w:ind w:left="3050" w:hanging="216"/>
      </w:pPr>
      <w:rPr>
        <w:rFonts w:hint="default"/>
      </w:rPr>
    </w:lvl>
    <w:lvl w:ilvl="6">
      <w:start w:val="1"/>
      <w:numFmt w:val="bullet"/>
      <w:lvlText w:val="•"/>
      <w:lvlJc w:val="left"/>
      <w:pPr>
        <w:ind w:left="3636" w:hanging="216"/>
      </w:pPr>
      <w:rPr>
        <w:rFonts w:hint="default"/>
      </w:rPr>
    </w:lvl>
    <w:lvl w:ilvl="7">
      <w:start w:val="1"/>
      <w:numFmt w:val="bullet"/>
      <w:lvlText w:val="•"/>
      <w:lvlJc w:val="left"/>
      <w:pPr>
        <w:ind w:left="4222" w:hanging="216"/>
      </w:pPr>
      <w:rPr>
        <w:rFonts w:hint="default"/>
      </w:rPr>
    </w:lvl>
    <w:lvl w:ilvl="8">
      <w:start w:val="1"/>
      <w:numFmt w:val="bullet"/>
      <w:lvlText w:val="•"/>
      <w:lvlJc w:val="left"/>
      <w:pPr>
        <w:ind w:left="4808" w:hanging="216"/>
      </w:pPr>
      <w:rPr>
        <w:rFonts w:hint="default"/>
      </w:rPr>
    </w:lvl>
  </w:abstractNum>
  <w:abstractNum w:abstractNumId="82">
    <w:multiLevelType w:val="hybridMultilevel"/>
    <w:lvl w:ilvl="0">
      <w:start w:val="2"/>
      <w:numFmt w:val="decimal"/>
      <w:lvlText w:val="%1."/>
      <w:lvlJc w:val="left"/>
      <w:pPr>
        <w:ind w:left="316" w:hanging="194"/>
        <w:jc w:val="left"/>
      </w:pPr>
      <w:rPr>
        <w:rFonts w:hint="default" w:ascii="Times New Roman" w:hAnsi="Times New Roman" w:eastAsia="Times New Roman" w:cs="Times New Roman"/>
        <w:w w:val="104"/>
      </w:rPr>
    </w:lvl>
    <w:lvl w:ilvl="1">
      <w:start w:val="4"/>
      <w:numFmt w:val="decimal"/>
      <w:lvlText w:val="%2."/>
      <w:lvlJc w:val="left"/>
      <w:pPr>
        <w:ind w:left="492" w:hanging="216"/>
        <w:jc w:val="left"/>
      </w:pPr>
      <w:rPr>
        <w:rFonts w:hint="default" w:ascii="Times New Roman" w:hAnsi="Times New Roman" w:eastAsia="Times New Roman" w:cs="Times New Roman"/>
        <w:w w:val="106"/>
      </w:rPr>
    </w:lvl>
    <w:lvl w:ilvl="2">
      <w:start w:val="1"/>
      <w:numFmt w:val="bullet"/>
      <w:lvlText w:val="•"/>
      <w:lvlJc w:val="left"/>
      <w:pPr>
        <w:ind w:left="1108" w:hanging="216"/>
      </w:pPr>
      <w:rPr>
        <w:rFonts w:hint="default"/>
      </w:rPr>
    </w:lvl>
    <w:lvl w:ilvl="3">
      <w:start w:val="1"/>
      <w:numFmt w:val="bullet"/>
      <w:lvlText w:val="•"/>
      <w:lvlJc w:val="left"/>
      <w:pPr>
        <w:ind w:left="1717" w:hanging="216"/>
      </w:pPr>
      <w:rPr>
        <w:rFonts w:hint="default"/>
      </w:rPr>
    </w:lvl>
    <w:lvl w:ilvl="4">
      <w:start w:val="1"/>
      <w:numFmt w:val="bullet"/>
      <w:lvlText w:val="•"/>
      <w:lvlJc w:val="left"/>
      <w:pPr>
        <w:ind w:left="2326" w:hanging="216"/>
      </w:pPr>
      <w:rPr>
        <w:rFonts w:hint="default"/>
      </w:rPr>
    </w:lvl>
    <w:lvl w:ilvl="5">
      <w:start w:val="1"/>
      <w:numFmt w:val="bullet"/>
      <w:lvlText w:val="•"/>
      <w:lvlJc w:val="left"/>
      <w:pPr>
        <w:ind w:left="2935" w:hanging="216"/>
      </w:pPr>
      <w:rPr>
        <w:rFonts w:hint="default"/>
      </w:rPr>
    </w:lvl>
    <w:lvl w:ilvl="6">
      <w:start w:val="1"/>
      <w:numFmt w:val="bullet"/>
      <w:lvlText w:val="•"/>
      <w:lvlJc w:val="left"/>
      <w:pPr>
        <w:ind w:left="3544" w:hanging="216"/>
      </w:pPr>
      <w:rPr>
        <w:rFonts w:hint="default"/>
      </w:rPr>
    </w:lvl>
    <w:lvl w:ilvl="7">
      <w:start w:val="1"/>
      <w:numFmt w:val="bullet"/>
      <w:lvlText w:val="•"/>
      <w:lvlJc w:val="left"/>
      <w:pPr>
        <w:ind w:left="4153" w:hanging="216"/>
      </w:pPr>
      <w:rPr>
        <w:rFonts w:hint="default"/>
      </w:rPr>
    </w:lvl>
    <w:lvl w:ilvl="8">
      <w:start w:val="1"/>
      <w:numFmt w:val="bullet"/>
      <w:lvlText w:val="•"/>
      <w:lvlJc w:val="left"/>
      <w:pPr>
        <w:ind w:left="4762" w:hanging="216"/>
      </w:pPr>
      <w:rPr>
        <w:rFonts w:hint="default"/>
      </w:rPr>
    </w:lvl>
  </w:abstractNum>
  <w:abstractNum w:abstractNumId="81">
    <w:multiLevelType w:val="hybridMultilevel"/>
    <w:lvl w:ilvl="0">
      <w:start w:val="5"/>
      <w:numFmt w:val="lowerLetter"/>
      <w:lvlText w:val="(%1)"/>
      <w:lvlJc w:val="left"/>
      <w:pPr>
        <w:ind w:left="594" w:hanging="284"/>
        <w:jc w:val="left"/>
      </w:pPr>
      <w:rPr>
        <w:rFonts w:hint="default" w:ascii="Arial" w:hAnsi="Arial" w:eastAsia="Arial" w:cs="Arial"/>
        <w:color w:val="010101"/>
        <w:w w:val="103"/>
        <w:sz w:val="15"/>
        <w:szCs w:val="15"/>
      </w:rPr>
    </w:lvl>
    <w:lvl w:ilvl="1">
      <w:start w:val="1"/>
      <w:numFmt w:val="bullet"/>
      <w:lvlText w:val="•"/>
      <w:lvlJc w:val="left"/>
      <w:pPr>
        <w:ind w:left="840" w:hanging="284"/>
      </w:pPr>
      <w:rPr>
        <w:rFonts w:hint="default"/>
      </w:rPr>
    </w:lvl>
    <w:lvl w:ilvl="2">
      <w:start w:val="1"/>
      <w:numFmt w:val="bullet"/>
      <w:lvlText w:val="•"/>
      <w:lvlJc w:val="left"/>
      <w:pPr>
        <w:ind w:left="1520" w:hanging="284"/>
      </w:pPr>
      <w:rPr>
        <w:rFonts w:hint="default"/>
      </w:rPr>
    </w:lvl>
    <w:lvl w:ilvl="3">
      <w:start w:val="1"/>
      <w:numFmt w:val="bullet"/>
      <w:lvlText w:val="•"/>
      <w:lvlJc w:val="left"/>
      <w:pPr>
        <w:ind w:left="1359" w:hanging="284"/>
      </w:pPr>
      <w:rPr>
        <w:rFonts w:hint="default"/>
      </w:rPr>
    </w:lvl>
    <w:lvl w:ilvl="4">
      <w:start w:val="1"/>
      <w:numFmt w:val="bullet"/>
      <w:lvlText w:val="•"/>
      <w:lvlJc w:val="left"/>
      <w:pPr>
        <w:ind w:left="1198" w:hanging="284"/>
      </w:pPr>
      <w:rPr>
        <w:rFonts w:hint="default"/>
      </w:rPr>
    </w:lvl>
    <w:lvl w:ilvl="5">
      <w:start w:val="1"/>
      <w:numFmt w:val="bullet"/>
      <w:lvlText w:val="•"/>
      <w:lvlJc w:val="left"/>
      <w:pPr>
        <w:ind w:left="1037" w:hanging="284"/>
      </w:pPr>
      <w:rPr>
        <w:rFonts w:hint="default"/>
      </w:rPr>
    </w:lvl>
    <w:lvl w:ilvl="6">
      <w:start w:val="1"/>
      <w:numFmt w:val="bullet"/>
      <w:lvlText w:val="•"/>
      <w:lvlJc w:val="left"/>
      <w:pPr>
        <w:ind w:left="876" w:hanging="284"/>
      </w:pPr>
      <w:rPr>
        <w:rFonts w:hint="default"/>
      </w:rPr>
    </w:lvl>
    <w:lvl w:ilvl="7">
      <w:start w:val="1"/>
      <w:numFmt w:val="bullet"/>
      <w:lvlText w:val="•"/>
      <w:lvlJc w:val="left"/>
      <w:pPr>
        <w:ind w:left="715" w:hanging="284"/>
      </w:pPr>
      <w:rPr>
        <w:rFonts w:hint="default"/>
      </w:rPr>
    </w:lvl>
    <w:lvl w:ilvl="8">
      <w:start w:val="1"/>
      <w:numFmt w:val="bullet"/>
      <w:lvlText w:val="•"/>
      <w:lvlJc w:val="left"/>
      <w:pPr>
        <w:ind w:left="554" w:hanging="284"/>
      </w:pPr>
      <w:rPr>
        <w:rFonts w:hint="default"/>
      </w:rPr>
    </w:lvl>
  </w:abstractNum>
  <w:abstractNum w:abstractNumId="78">
    <w:multiLevelType w:val="hybridMultilevel"/>
    <w:lvl w:ilvl="0">
      <w:start w:val="5"/>
      <w:numFmt w:val="decimal"/>
      <w:lvlText w:val="%1."/>
      <w:lvlJc w:val="left"/>
      <w:pPr>
        <w:ind w:left="355" w:hanging="238"/>
        <w:jc w:val="left"/>
      </w:pPr>
      <w:rPr>
        <w:rFonts w:hint="default" w:ascii="Times New Roman" w:hAnsi="Times New Roman" w:eastAsia="Times New Roman" w:cs="Times New Roman"/>
        <w:b/>
        <w:bCs/>
        <w:w w:val="113"/>
      </w:rPr>
    </w:lvl>
    <w:lvl w:ilvl="1">
      <w:start w:val="1"/>
      <w:numFmt w:val="bullet"/>
      <w:lvlText w:val="•"/>
      <w:lvlJc w:val="left"/>
      <w:pPr>
        <w:ind w:left="360" w:hanging="238"/>
      </w:pPr>
      <w:rPr>
        <w:rFonts w:hint="default"/>
      </w:rPr>
    </w:lvl>
    <w:lvl w:ilvl="2">
      <w:start w:val="1"/>
      <w:numFmt w:val="bullet"/>
      <w:lvlText w:val="•"/>
      <w:lvlJc w:val="left"/>
      <w:pPr>
        <w:ind w:left="984" w:hanging="238"/>
      </w:pPr>
      <w:rPr>
        <w:rFonts w:hint="default"/>
      </w:rPr>
    </w:lvl>
    <w:lvl w:ilvl="3">
      <w:start w:val="1"/>
      <w:numFmt w:val="bullet"/>
      <w:lvlText w:val="•"/>
      <w:lvlJc w:val="left"/>
      <w:pPr>
        <w:ind w:left="1608" w:hanging="238"/>
      </w:pPr>
      <w:rPr>
        <w:rFonts w:hint="default"/>
      </w:rPr>
    </w:lvl>
    <w:lvl w:ilvl="4">
      <w:start w:val="1"/>
      <w:numFmt w:val="bullet"/>
      <w:lvlText w:val="•"/>
      <w:lvlJc w:val="left"/>
      <w:pPr>
        <w:ind w:left="2233" w:hanging="238"/>
      </w:pPr>
      <w:rPr>
        <w:rFonts w:hint="default"/>
      </w:rPr>
    </w:lvl>
    <w:lvl w:ilvl="5">
      <w:start w:val="1"/>
      <w:numFmt w:val="bullet"/>
      <w:lvlText w:val="•"/>
      <w:lvlJc w:val="left"/>
      <w:pPr>
        <w:ind w:left="2857" w:hanging="238"/>
      </w:pPr>
      <w:rPr>
        <w:rFonts w:hint="default"/>
      </w:rPr>
    </w:lvl>
    <w:lvl w:ilvl="6">
      <w:start w:val="1"/>
      <w:numFmt w:val="bullet"/>
      <w:lvlText w:val="•"/>
      <w:lvlJc w:val="left"/>
      <w:pPr>
        <w:ind w:left="3482" w:hanging="238"/>
      </w:pPr>
      <w:rPr>
        <w:rFonts w:hint="default"/>
      </w:rPr>
    </w:lvl>
    <w:lvl w:ilvl="7">
      <w:start w:val="1"/>
      <w:numFmt w:val="bullet"/>
      <w:lvlText w:val="•"/>
      <w:lvlJc w:val="left"/>
      <w:pPr>
        <w:ind w:left="4106" w:hanging="238"/>
      </w:pPr>
      <w:rPr>
        <w:rFonts w:hint="default"/>
      </w:rPr>
    </w:lvl>
    <w:lvl w:ilvl="8">
      <w:start w:val="1"/>
      <w:numFmt w:val="bullet"/>
      <w:lvlText w:val="•"/>
      <w:lvlJc w:val="left"/>
      <w:pPr>
        <w:ind w:left="4731" w:hanging="238"/>
      </w:pPr>
      <w:rPr>
        <w:rFonts w:hint="default"/>
      </w:rPr>
    </w:lvl>
  </w:abstractNum>
  <w:abstractNum w:abstractNumId="77">
    <w:multiLevelType w:val="hybridMultilevel"/>
    <w:lvl w:ilvl="0">
      <w:start w:val="2"/>
      <w:numFmt w:val="decimal"/>
      <w:lvlText w:val="%1."/>
      <w:lvlJc w:val="left"/>
      <w:pPr>
        <w:ind w:left="323" w:hanging="212"/>
        <w:jc w:val="left"/>
      </w:pPr>
      <w:rPr>
        <w:rFonts w:hint="default" w:ascii="Times New Roman" w:hAnsi="Times New Roman" w:eastAsia="Times New Roman" w:cs="Times New Roman"/>
        <w:b/>
        <w:bCs/>
        <w:w w:val="100"/>
      </w:rPr>
    </w:lvl>
    <w:lvl w:ilvl="1">
      <w:start w:val="1"/>
      <w:numFmt w:val="bullet"/>
      <w:lvlText w:val="•"/>
      <w:lvlJc w:val="left"/>
      <w:pPr>
        <w:ind w:left="886" w:hanging="212"/>
      </w:pPr>
      <w:rPr>
        <w:rFonts w:hint="default"/>
      </w:rPr>
    </w:lvl>
    <w:lvl w:ilvl="2">
      <w:start w:val="1"/>
      <w:numFmt w:val="bullet"/>
      <w:lvlText w:val="•"/>
      <w:lvlJc w:val="left"/>
      <w:pPr>
        <w:ind w:left="1452" w:hanging="212"/>
      </w:pPr>
      <w:rPr>
        <w:rFonts w:hint="default"/>
      </w:rPr>
    </w:lvl>
    <w:lvl w:ilvl="3">
      <w:start w:val="1"/>
      <w:numFmt w:val="bullet"/>
      <w:lvlText w:val="•"/>
      <w:lvlJc w:val="left"/>
      <w:pPr>
        <w:ind w:left="2018" w:hanging="212"/>
      </w:pPr>
      <w:rPr>
        <w:rFonts w:hint="default"/>
      </w:rPr>
    </w:lvl>
    <w:lvl w:ilvl="4">
      <w:start w:val="1"/>
      <w:numFmt w:val="bullet"/>
      <w:lvlText w:val="•"/>
      <w:lvlJc w:val="left"/>
      <w:pPr>
        <w:ind w:left="2584" w:hanging="212"/>
      </w:pPr>
      <w:rPr>
        <w:rFonts w:hint="default"/>
      </w:rPr>
    </w:lvl>
    <w:lvl w:ilvl="5">
      <w:start w:val="1"/>
      <w:numFmt w:val="bullet"/>
      <w:lvlText w:val="•"/>
      <w:lvlJc w:val="left"/>
      <w:pPr>
        <w:ind w:left="3150" w:hanging="212"/>
      </w:pPr>
      <w:rPr>
        <w:rFonts w:hint="default"/>
      </w:rPr>
    </w:lvl>
    <w:lvl w:ilvl="6">
      <w:start w:val="1"/>
      <w:numFmt w:val="bullet"/>
      <w:lvlText w:val="•"/>
      <w:lvlJc w:val="left"/>
      <w:pPr>
        <w:ind w:left="3716" w:hanging="212"/>
      </w:pPr>
      <w:rPr>
        <w:rFonts w:hint="default"/>
      </w:rPr>
    </w:lvl>
    <w:lvl w:ilvl="7">
      <w:start w:val="1"/>
      <w:numFmt w:val="bullet"/>
      <w:lvlText w:val="•"/>
      <w:lvlJc w:val="left"/>
      <w:pPr>
        <w:ind w:left="4282" w:hanging="212"/>
      </w:pPr>
      <w:rPr>
        <w:rFonts w:hint="default"/>
      </w:rPr>
    </w:lvl>
    <w:lvl w:ilvl="8">
      <w:start w:val="1"/>
      <w:numFmt w:val="bullet"/>
      <w:lvlText w:val="•"/>
      <w:lvlJc w:val="left"/>
      <w:pPr>
        <w:ind w:left="4848" w:hanging="212"/>
      </w:pPr>
      <w:rPr>
        <w:rFonts w:hint="default"/>
      </w:rPr>
    </w:lvl>
  </w:abstractNum>
  <w:abstractNum w:abstractNumId="76">
    <w:multiLevelType w:val="hybridMultilevel"/>
    <w:lvl w:ilvl="0">
      <w:start w:val="17"/>
      <w:numFmt w:val="decimal"/>
      <w:lvlText w:val="%1."/>
      <w:lvlJc w:val="left"/>
      <w:pPr>
        <w:ind w:left="869" w:hanging="298"/>
        <w:jc w:val="left"/>
      </w:pPr>
      <w:rPr>
        <w:rFonts w:hint="default" w:ascii="Times New Roman" w:hAnsi="Times New Roman" w:eastAsia="Times New Roman" w:cs="Times New Roman"/>
        <w:w w:val="113"/>
      </w:rPr>
    </w:lvl>
    <w:lvl w:ilvl="1">
      <w:start w:val="1"/>
      <w:numFmt w:val="bullet"/>
      <w:lvlText w:val="•"/>
      <w:lvlJc w:val="left"/>
      <w:pPr>
        <w:ind w:left="1370" w:hanging="298"/>
      </w:pPr>
      <w:rPr>
        <w:rFonts w:hint="default"/>
      </w:rPr>
    </w:lvl>
    <w:lvl w:ilvl="2">
      <w:start w:val="1"/>
      <w:numFmt w:val="bullet"/>
      <w:lvlText w:val="•"/>
      <w:lvlJc w:val="left"/>
      <w:pPr>
        <w:ind w:left="1880" w:hanging="298"/>
      </w:pPr>
      <w:rPr>
        <w:rFonts w:hint="default"/>
      </w:rPr>
    </w:lvl>
    <w:lvl w:ilvl="3">
      <w:start w:val="1"/>
      <w:numFmt w:val="bullet"/>
      <w:lvlText w:val="•"/>
      <w:lvlJc w:val="left"/>
      <w:pPr>
        <w:ind w:left="2390" w:hanging="298"/>
      </w:pPr>
      <w:rPr>
        <w:rFonts w:hint="default"/>
      </w:rPr>
    </w:lvl>
    <w:lvl w:ilvl="4">
      <w:start w:val="1"/>
      <w:numFmt w:val="bullet"/>
      <w:lvlText w:val="•"/>
      <w:lvlJc w:val="left"/>
      <w:pPr>
        <w:ind w:left="2900" w:hanging="298"/>
      </w:pPr>
      <w:rPr>
        <w:rFonts w:hint="default"/>
      </w:rPr>
    </w:lvl>
    <w:lvl w:ilvl="5">
      <w:start w:val="1"/>
      <w:numFmt w:val="bullet"/>
      <w:lvlText w:val="•"/>
      <w:lvlJc w:val="left"/>
      <w:pPr>
        <w:ind w:left="3410" w:hanging="298"/>
      </w:pPr>
      <w:rPr>
        <w:rFonts w:hint="default"/>
      </w:rPr>
    </w:lvl>
    <w:lvl w:ilvl="6">
      <w:start w:val="1"/>
      <w:numFmt w:val="bullet"/>
      <w:lvlText w:val="•"/>
      <w:lvlJc w:val="left"/>
      <w:pPr>
        <w:ind w:left="3920" w:hanging="298"/>
      </w:pPr>
      <w:rPr>
        <w:rFonts w:hint="default"/>
      </w:rPr>
    </w:lvl>
    <w:lvl w:ilvl="7">
      <w:start w:val="1"/>
      <w:numFmt w:val="bullet"/>
      <w:lvlText w:val="•"/>
      <w:lvlJc w:val="left"/>
      <w:pPr>
        <w:ind w:left="4430" w:hanging="298"/>
      </w:pPr>
      <w:rPr>
        <w:rFonts w:hint="default"/>
      </w:rPr>
    </w:lvl>
    <w:lvl w:ilvl="8">
      <w:start w:val="1"/>
      <w:numFmt w:val="bullet"/>
      <w:lvlText w:val="•"/>
      <w:lvlJc w:val="left"/>
      <w:pPr>
        <w:ind w:left="4940" w:hanging="298"/>
      </w:pPr>
      <w:rPr>
        <w:rFonts w:hint="default"/>
      </w:rPr>
    </w:lvl>
  </w:abstractNum>
  <w:abstractNum w:abstractNumId="75">
    <w:multiLevelType w:val="hybridMultilevel"/>
    <w:lvl w:ilvl="0">
      <w:start w:val="5"/>
      <w:numFmt w:val="decimal"/>
      <w:lvlText w:val="%1."/>
      <w:lvlJc w:val="left"/>
      <w:pPr>
        <w:ind w:left="297" w:hanging="191"/>
        <w:jc w:val="left"/>
      </w:pPr>
      <w:rPr>
        <w:rFonts w:hint="default" w:ascii="Times New Roman" w:hAnsi="Times New Roman" w:eastAsia="Times New Roman" w:cs="Times New Roman"/>
        <w:color w:val="010101"/>
        <w:w w:val="102"/>
        <w:sz w:val="17"/>
        <w:szCs w:val="17"/>
      </w:rPr>
    </w:lvl>
    <w:lvl w:ilvl="1">
      <w:start w:val="11"/>
      <w:numFmt w:val="decimal"/>
      <w:lvlText w:val="%2."/>
      <w:lvlJc w:val="left"/>
      <w:pPr>
        <w:ind w:left="118" w:hanging="277"/>
        <w:jc w:val="left"/>
      </w:pPr>
      <w:rPr>
        <w:rFonts w:hint="default" w:ascii="Times New Roman" w:hAnsi="Times New Roman" w:eastAsia="Times New Roman" w:cs="Times New Roman"/>
        <w:color w:val="010101"/>
        <w:w w:val="101"/>
        <w:sz w:val="17"/>
        <w:szCs w:val="17"/>
      </w:rPr>
    </w:lvl>
    <w:lvl w:ilvl="2">
      <w:start w:val="1"/>
      <w:numFmt w:val="bullet"/>
      <w:lvlText w:val="•"/>
      <w:lvlJc w:val="left"/>
      <w:pPr>
        <w:ind w:left="928" w:hanging="277"/>
      </w:pPr>
      <w:rPr>
        <w:rFonts w:hint="default"/>
      </w:rPr>
    </w:lvl>
    <w:lvl w:ilvl="3">
      <w:start w:val="1"/>
      <w:numFmt w:val="bullet"/>
      <w:lvlText w:val="•"/>
      <w:lvlJc w:val="left"/>
      <w:pPr>
        <w:ind w:left="1557" w:hanging="277"/>
      </w:pPr>
      <w:rPr>
        <w:rFonts w:hint="default"/>
      </w:rPr>
    </w:lvl>
    <w:lvl w:ilvl="4">
      <w:start w:val="1"/>
      <w:numFmt w:val="bullet"/>
      <w:lvlText w:val="•"/>
      <w:lvlJc w:val="left"/>
      <w:pPr>
        <w:ind w:left="2186" w:hanging="277"/>
      </w:pPr>
      <w:rPr>
        <w:rFonts w:hint="default"/>
      </w:rPr>
    </w:lvl>
    <w:lvl w:ilvl="5">
      <w:start w:val="1"/>
      <w:numFmt w:val="bullet"/>
      <w:lvlText w:val="•"/>
      <w:lvlJc w:val="left"/>
      <w:pPr>
        <w:ind w:left="2815" w:hanging="277"/>
      </w:pPr>
      <w:rPr>
        <w:rFonts w:hint="default"/>
      </w:rPr>
    </w:lvl>
    <w:lvl w:ilvl="6">
      <w:start w:val="1"/>
      <w:numFmt w:val="bullet"/>
      <w:lvlText w:val="•"/>
      <w:lvlJc w:val="left"/>
      <w:pPr>
        <w:ind w:left="3444" w:hanging="277"/>
      </w:pPr>
      <w:rPr>
        <w:rFonts w:hint="default"/>
      </w:rPr>
    </w:lvl>
    <w:lvl w:ilvl="7">
      <w:start w:val="1"/>
      <w:numFmt w:val="bullet"/>
      <w:lvlText w:val="•"/>
      <w:lvlJc w:val="left"/>
      <w:pPr>
        <w:ind w:left="4073" w:hanging="277"/>
      </w:pPr>
      <w:rPr>
        <w:rFonts w:hint="default"/>
      </w:rPr>
    </w:lvl>
    <w:lvl w:ilvl="8">
      <w:start w:val="1"/>
      <w:numFmt w:val="bullet"/>
      <w:lvlText w:val="•"/>
      <w:lvlJc w:val="left"/>
      <w:pPr>
        <w:ind w:left="4702" w:hanging="277"/>
      </w:pPr>
      <w:rPr>
        <w:rFonts w:hint="default"/>
      </w:rPr>
    </w:lvl>
  </w:abstractNum>
  <w:abstractNum w:abstractNumId="74">
    <w:multiLevelType w:val="hybridMultilevel"/>
    <w:lvl w:ilvl="0">
      <w:start w:val="4"/>
      <w:numFmt w:val="decimal"/>
      <w:lvlText w:val="%1."/>
      <w:lvlJc w:val="left"/>
      <w:pPr>
        <w:ind w:left="300" w:hanging="198"/>
        <w:jc w:val="left"/>
      </w:pPr>
      <w:rPr>
        <w:rFonts w:hint="default" w:ascii="Times New Roman" w:hAnsi="Times New Roman" w:eastAsia="Times New Roman" w:cs="Times New Roman"/>
        <w:b/>
        <w:bCs/>
        <w:color w:val="010101"/>
        <w:spacing w:val="0"/>
        <w:w w:val="81"/>
        <w:sz w:val="16"/>
        <w:szCs w:val="16"/>
      </w:rPr>
    </w:lvl>
    <w:lvl w:ilvl="1">
      <w:start w:val="7"/>
      <w:numFmt w:val="decimal"/>
      <w:lvlText w:val="%2."/>
      <w:lvlJc w:val="left"/>
      <w:pPr>
        <w:ind w:left="110" w:hanging="212"/>
        <w:jc w:val="left"/>
      </w:pPr>
      <w:rPr>
        <w:rFonts w:hint="default" w:ascii="Times New Roman" w:hAnsi="Times New Roman" w:eastAsia="Times New Roman" w:cs="Times New Roman"/>
        <w:color w:val="010101"/>
        <w:spacing w:val="0"/>
        <w:w w:val="104"/>
        <w:sz w:val="17"/>
        <w:szCs w:val="17"/>
      </w:rPr>
    </w:lvl>
    <w:lvl w:ilvl="2">
      <w:start w:val="1"/>
      <w:numFmt w:val="bullet"/>
      <w:lvlText w:val="•"/>
      <w:lvlJc w:val="left"/>
      <w:pPr>
        <w:ind w:left="487" w:hanging="212"/>
      </w:pPr>
      <w:rPr>
        <w:rFonts w:hint="default"/>
      </w:rPr>
    </w:lvl>
    <w:lvl w:ilvl="3">
      <w:start w:val="1"/>
      <w:numFmt w:val="bullet"/>
      <w:lvlText w:val="•"/>
      <w:lvlJc w:val="left"/>
      <w:pPr>
        <w:ind w:left="675" w:hanging="212"/>
      </w:pPr>
      <w:rPr>
        <w:rFonts w:hint="default"/>
      </w:rPr>
    </w:lvl>
    <w:lvl w:ilvl="4">
      <w:start w:val="1"/>
      <w:numFmt w:val="bullet"/>
      <w:lvlText w:val="•"/>
      <w:lvlJc w:val="left"/>
      <w:pPr>
        <w:ind w:left="863" w:hanging="212"/>
      </w:pPr>
      <w:rPr>
        <w:rFonts w:hint="default"/>
      </w:rPr>
    </w:lvl>
    <w:lvl w:ilvl="5">
      <w:start w:val="1"/>
      <w:numFmt w:val="bullet"/>
      <w:lvlText w:val="•"/>
      <w:lvlJc w:val="left"/>
      <w:pPr>
        <w:ind w:left="1051" w:hanging="212"/>
      </w:pPr>
      <w:rPr>
        <w:rFonts w:hint="default"/>
      </w:rPr>
    </w:lvl>
    <w:lvl w:ilvl="6">
      <w:start w:val="1"/>
      <w:numFmt w:val="bullet"/>
      <w:lvlText w:val="•"/>
      <w:lvlJc w:val="left"/>
      <w:pPr>
        <w:ind w:left="1238" w:hanging="212"/>
      </w:pPr>
      <w:rPr>
        <w:rFonts w:hint="default"/>
      </w:rPr>
    </w:lvl>
    <w:lvl w:ilvl="7">
      <w:start w:val="1"/>
      <w:numFmt w:val="bullet"/>
      <w:lvlText w:val="•"/>
      <w:lvlJc w:val="left"/>
      <w:pPr>
        <w:ind w:left="1426" w:hanging="212"/>
      </w:pPr>
      <w:rPr>
        <w:rFonts w:hint="default"/>
      </w:rPr>
    </w:lvl>
    <w:lvl w:ilvl="8">
      <w:start w:val="1"/>
      <w:numFmt w:val="bullet"/>
      <w:lvlText w:val="•"/>
      <w:lvlJc w:val="left"/>
      <w:pPr>
        <w:ind w:left="1614" w:hanging="212"/>
      </w:pPr>
      <w:rPr>
        <w:rFonts w:hint="default"/>
      </w:rPr>
    </w:lvl>
  </w:abstractNum>
  <w:abstractNum w:abstractNumId="72">
    <w:multiLevelType w:val="hybridMultilevel"/>
    <w:lvl w:ilvl="0">
      <w:start w:val="2"/>
      <w:numFmt w:val="decimal"/>
      <w:lvlText w:val="%1."/>
      <w:lvlJc w:val="left"/>
      <w:pPr>
        <w:ind w:left="310" w:hanging="197"/>
        <w:jc w:val="left"/>
      </w:pPr>
      <w:rPr>
        <w:rFonts w:hint="default" w:ascii="Times New Roman" w:hAnsi="Times New Roman" w:eastAsia="Times New Roman" w:cs="Times New Roman"/>
        <w:b/>
        <w:bCs/>
        <w:color w:val="010101"/>
        <w:w w:val="103"/>
        <w:sz w:val="16"/>
        <w:szCs w:val="16"/>
      </w:rPr>
    </w:lvl>
    <w:lvl w:ilvl="1">
      <w:start w:val="2"/>
      <w:numFmt w:val="decimal"/>
      <w:lvlText w:val="%2."/>
      <w:lvlJc w:val="left"/>
      <w:pPr>
        <w:ind w:left="124" w:hanging="208"/>
        <w:jc w:val="right"/>
      </w:pPr>
      <w:rPr>
        <w:rFonts w:hint="default" w:ascii="Times New Roman" w:hAnsi="Times New Roman" w:eastAsia="Times New Roman" w:cs="Times New Roman"/>
        <w:spacing w:val="-24"/>
        <w:w w:val="56"/>
      </w:rPr>
    </w:lvl>
    <w:lvl w:ilvl="2">
      <w:start w:val="1"/>
      <w:numFmt w:val="bullet"/>
      <w:lvlText w:val="•"/>
      <w:lvlJc w:val="left"/>
      <w:pPr>
        <w:ind w:left="946" w:hanging="208"/>
      </w:pPr>
      <w:rPr>
        <w:rFonts w:hint="default"/>
      </w:rPr>
    </w:lvl>
    <w:lvl w:ilvl="3">
      <w:start w:val="1"/>
      <w:numFmt w:val="bullet"/>
      <w:lvlText w:val="•"/>
      <w:lvlJc w:val="left"/>
      <w:pPr>
        <w:ind w:left="1573" w:hanging="208"/>
      </w:pPr>
      <w:rPr>
        <w:rFonts w:hint="default"/>
      </w:rPr>
    </w:lvl>
    <w:lvl w:ilvl="4">
      <w:start w:val="1"/>
      <w:numFmt w:val="bullet"/>
      <w:lvlText w:val="•"/>
      <w:lvlJc w:val="left"/>
      <w:pPr>
        <w:ind w:left="2200" w:hanging="208"/>
      </w:pPr>
      <w:rPr>
        <w:rFonts w:hint="default"/>
      </w:rPr>
    </w:lvl>
    <w:lvl w:ilvl="5">
      <w:start w:val="1"/>
      <w:numFmt w:val="bullet"/>
      <w:lvlText w:val="•"/>
      <w:lvlJc w:val="left"/>
      <w:pPr>
        <w:ind w:left="2826" w:hanging="208"/>
      </w:pPr>
      <w:rPr>
        <w:rFonts w:hint="default"/>
      </w:rPr>
    </w:lvl>
    <w:lvl w:ilvl="6">
      <w:start w:val="1"/>
      <w:numFmt w:val="bullet"/>
      <w:lvlText w:val="•"/>
      <w:lvlJc w:val="left"/>
      <w:pPr>
        <w:ind w:left="3453" w:hanging="208"/>
      </w:pPr>
      <w:rPr>
        <w:rFonts w:hint="default"/>
      </w:rPr>
    </w:lvl>
    <w:lvl w:ilvl="7">
      <w:start w:val="1"/>
      <w:numFmt w:val="bullet"/>
      <w:lvlText w:val="•"/>
      <w:lvlJc w:val="left"/>
      <w:pPr>
        <w:ind w:left="4080" w:hanging="208"/>
      </w:pPr>
      <w:rPr>
        <w:rFonts w:hint="default"/>
      </w:rPr>
    </w:lvl>
    <w:lvl w:ilvl="8">
      <w:start w:val="1"/>
      <w:numFmt w:val="bullet"/>
      <w:lvlText w:val="•"/>
      <w:lvlJc w:val="left"/>
      <w:pPr>
        <w:ind w:left="4706" w:hanging="208"/>
      </w:pPr>
      <w:rPr>
        <w:rFonts w:hint="default"/>
      </w:rPr>
    </w:lvl>
  </w:abstractNum>
  <w:abstractNum w:abstractNumId="71">
    <w:multiLevelType w:val="hybridMultilevel"/>
    <w:lvl w:ilvl="0">
      <w:start w:val="4"/>
      <w:numFmt w:val="decimal"/>
      <w:lvlText w:val="%1."/>
      <w:lvlJc w:val="left"/>
      <w:pPr>
        <w:ind w:left="103" w:hanging="251"/>
        <w:jc w:val="left"/>
      </w:pPr>
      <w:rPr>
        <w:rFonts w:hint="default" w:ascii="Times New Roman" w:hAnsi="Times New Roman" w:eastAsia="Times New Roman" w:cs="Times New Roman"/>
        <w:b/>
        <w:bCs/>
        <w:w w:val="106"/>
      </w:rPr>
    </w:lvl>
    <w:lvl w:ilvl="1">
      <w:start w:val="1"/>
      <w:numFmt w:val="bullet"/>
      <w:lvlText w:val="•"/>
      <w:lvlJc w:val="left"/>
      <w:pPr>
        <w:ind w:left="686" w:hanging="251"/>
      </w:pPr>
      <w:rPr>
        <w:rFonts w:hint="default"/>
      </w:rPr>
    </w:lvl>
    <w:lvl w:ilvl="2">
      <w:start w:val="1"/>
      <w:numFmt w:val="bullet"/>
      <w:lvlText w:val="•"/>
      <w:lvlJc w:val="left"/>
      <w:pPr>
        <w:ind w:left="1272" w:hanging="251"/>
      </w:pPr>
      <w:rPr>
        <w:rFonts w:hint="default"/>
      </w:rPr>
    </w:lvl>
    <w:lvl w:ilvl="3">
      <w:start w:val="1"/>
      <w:numFmt w:val="bullet"/>
      <w:lvlText w:val="•"/>
      <w:lvlJc w:val="left"/>
      <w:pPr>
        <w:ind w:left="1858" w:hanging="251"/>
      </w:pPr>
      <w:rPr>
        <w:rFonts w:hint="default"/>
      </w:rPr>
    </w:lvl>
    <w:lvl w:ilvl="4">
      <w:start w:val="1"/>
      <w:numFmt w:val="bullet"/>
      <w:lvlText w:val="•"/>
      <w:lvlJc w:val="left"/>
      <w:pPr>
        <w:ind w:left="2444" w:hanging="251"/>
      </w:pPr>
      <w:rPr>
        <w:rFonts w:hint="default"/>
      </w:rPr>
    </w:lvl>
    <w:lvl w:ilvl="5">
      <w:start w:val="1"/>
      <w:numFmt w:val="bullet"/>
      <w:lvlText w:val="•"/>
      <w:lvlJc w:val="left"/>
      <w:pPr>
        <w:ind w:left="3030" w:hanging="251"/>
      </w:pPr>
      <w:rPr>
        <w:rFonts w:hint="default"/>
      </w:rPr>
    </w:lvl>
    <w:lvl w:ilvl="6">
      <w:start w:val="1"/>
      <w:numFmt w:val="bullet"/>
      <w:lvlText w:val="•"/>
      <w:lvlJc w:val="left"/>
      <w:pPr>
        <w:ind w:left="3616" w:hanging="251"/>
      </w:pPr>
      <w:rPr>
        <w:rFonts w:hint="default"/>
      </w:rPr>
    </w:lvl>
    <w:lvl w:ilvl="7">
      <w:start w:val="1"/>
      <w:numFmt w:val="bullet"/>
      <w:lvlText w:val="•"/>
      <w:lvlJc w:val="left"/>
      <w:pPr>
        <w:ind w:left="4202" w:hanging="251"/>
      </w:pPr>
      <w:rPr>
        <w:rFonts w:hint="default"/>
      </w:rPr>
    </w:lvl>
    <w:lvl w:ilvl="8">
      <w:start w:val="1"/>
      <w:numFmt w:val="bullet"/>
      <w:lvlText w:val="•"/>
      <w:lvlJc w:val="left"/>
      <w:pPr>
        <w:ind w:left="4788" w:hanging="251"/>
      </w:pPr>
      <w:rPr>
        <w:rFonts w:hint="default"/>
      </w:rPr>
    </w:lvl>
  </w:abstractNum>
  <w:abstractNum w:abstractNumId="70">
    <w:multiLevelType w:val="hybridMultilevel"/>
    <w:lvl w:ilvl="0">
      <w:start w:val="1"/>
      <w:numFmt w:val="bullet"/>
      <w:lvlText w:val="·"/>
      <w:lvlJc w:val="left"/>
      <w:pPr>
        <w:ind w:left="651" w:hanging="652"/>
      </w:pPr>
      <w:rPr>
        <w:rFonts w:hint="default" w:ascii="Times New Roman" w:hAnsi="Times New Roman" w:eastAsia="Times New Roman" w:cs="Times New Roman"/>
        <w:color w:val="010101"/>
        <w:w w:val="129"/>
        <w:sz w:val="21"/>
        <w:szCs w:val="21"/>
      </w:rPr>
    </w:lvl>
    <w:lvl w:ilvl="1">
      <w:start w:val="1"/>
      <w:numFmt w:val="bullet"/>
      <w:lvlText w:val="•"/>
      <w:lvlJc w:val="left"/>
      <w:pPr>
        <w:ind w:left="732" w:hanging="652"/>
      </w:pPr>
      <w:rPr>
        <w:rFonts w:hint="default"/>
      </w:rPr>
    </w:lvl>
    <w:lvl w:ilvl="2">
      <w:start w:val="1"/>
      <w:numFmt w:val="bullet"/>
      <w:lvlText w:val="•"/>
      <w:lvlJc w:val="left"/>
      <w:pPr>
        <w:ind w:left="805" w:hanging="652"/>
      </w:pPr>
      <w:rPr>
        <w:rFonts w:hint="default"/>
      </w:rPr>
    </w:lvl>
    <w:lvl w:ilvl="3">
      <w:start w:val="1"/>
      <w:numFmt w:val="bullet"/>
      <w:lvlText w:val="•"/>
      <w:lvlJc w:val="left"/>
      <w:pPr>
        <w:ind w:left="878" w:hanging="652"/>
      </w:pPr>
      <w:rPr>
        <w:rFonts w:hint="default"/>
      </w:rPr>
    </w:lvl>
    <w:lvl w:ilvl="4">
      <w:start w:val="1"/>
      <w:numFmt w:val="bullet"/>
      <w:lvlText w:val="•"/>
      <w:lvlJc w:val="left"/>
      <w:pPr>
        <w:ind w:left="951" w:hanging="652"/>
      </w:pPr>
      <w:rPr>
        <w:rFonts w:hint="default"/>
      </w:rPr>
    </w:lvl>
    <w:lvl w:ilvl="5">
      <w:start w:val="1"/>
      <w:numFmt w:val="bullet"/>
      <w:lvlText w:val="•"/>
      <w:lvlJc w:val="left"/>
      <w:pPr>
        <w:ind w:left="1023" w:hanging="652"/>
      </w:pPr>
      <w:rPr>
        <w:rFonts w:hint="default"/>
      </w:rPr>
    </w:lvl>
    <w:lvl w:ilvl="6">
      <w:start w:val="1"/>
      <w:numFmt w:val="bullet"/>
      <w:lvlText w:val="•"/>
      <w:lvlJc w:val="left"/>
      <w:pPr>
        <w:ind w:left="1096" w:hanging="652"/>
      </w:pPr>
      <w:rPr>
        <w:rFonts w:hint="default"/>
      </w:rPr>
    </w:lvl>
    <w:lvl w:ilvl="7">
      <w:start w:val="1"/>
      <w:numFmt w:val="bullet"/>
      <w:lvlText w:val="•"/>
      <w:lvlJc w:val="left"/>
      <w:pPr>
        <w:ind w:left="1169" w:hanging="652"/>
      </w:pPr>
      <w:rPr>
        <w:rFonts w:hint="default"/>
      </w:rPr>
    </w:lvl>
    <w:lvl w:ilvl="8">
      <w:start w:val="1"/>
      <w:numFmt w:val="bullet"/>
      <w:lvlText w:val="•"/>
      <w:lvlJc w:val="left"/>
      <w:pPr>
        <w:ind w:left="1242" w:hanging="652"/>
      </w:pPr>
      <w:rPr>
        <w:rFonts w:hint="default"/>
      </w:rPr>
    </w:lvl>
  </w:abstractNum>
  <w:abstractNum w:abstractNumId="69">
    <w:multiLevelType w:val="hybridMultilevel"/>
    <w:lvl w:ilvl="0">
      <w:start w:val="1"/>
      <w:numFmt w:val="bullet"/>
      <w:lvlText w:val="-"/>
      <w:lvlJc w:val="left"/>
      <w:pPr>
        <w:ind w:left="554" w:hanging="481"/>
      </w:pPr>
      <w:rPr>
        <w:rFonts w:hint="default" w:ascii="Times New Roman" w:hAnsi="Times New Roman" w:eastAsia="Times New Roman" w:cs="Times New Roman"/>
        <w:color w:val="010101"/>
        <w:w w:val="470"/>
        <w:sz w:val="12"/>
        <w:szCs w:val="12"/>
      </w:rPr>
    </w:lvl>
    <w:lvl w:ilvl="1">
      <w:start w:val="1"/>
      <w:numFmt w:val="bullet"/>
      <w:lvlText w:val="•"/>
      <w:lvlJc w:val="left"/>
      <w:pPr>
        <w:ind w:left="582" w:hanging="481"/>
      </w:pPr>
      <w:rPr>
        <w:rFonts w:hint="default"/>
      </w:rPr>
    </w:lvl>
    <w:lvl w:ilvl="2">
      <w:start w:val="1"/>
      <w:numFmt w:val="bullet"/>
      <w:lvlText w:val="•"/>
      <w:lvlJc w:val="left"/>
      <w:pPr>
        <w:ind w:left="604" w:hanging="481"/>
      </w:pPr>
      <w:rPr>
        <w:rFonts w:hint="default"/>
      </w:rPr>
    </w:lvl>
    <w:lvl w:ilvl="3">
      <w:start w:val="1"/>
      <w:numFmt w:val="bullet"/>
      <w:lvlText w:val="•"/>
      <w:lvlJc w:val="left"/>
      <w:pPr>
        <w:ind w:left="626" w:hanging="481"/>
      </w:pPr>
      <w:rPr>
        <w:rFonts w:hint="default"/>
      </w:rPr>
    </w:lvl>
    <w:lvl w:ilvl="4">
      <w:start w:val="1"/>
      <w:numFmt w:val="bullet"/>
      <w:lvlText w:val="•"/>
      <w:lvlJc w:val="left"/>
      <w:pPr>
        <w:ind w:left="648" w:hanging="481"/>
      </w:pPr>
      <w:rPr>
        <w:rFonts w:hint="default"/>
      </w:rPr>
    </w:lvl>
    <w:lvl w:ilvl="5">
      <w:start w:val="1"/>
      <w:numFmt w:val="bullet"/>
      <w:lvlText w:val="•"/>
      <w:lvlJc w:val="left"/>
      <w:pPr>
        <w:ind w:left="670" w:hanging="481"/>
      </w:pPr>
      <w:rPr>
        <w:rFonts w:hint="default"/>
      </w:rPr>
    </w:lvl>
    <w:lvl w:ilvl="6">
      <w:start w:val="1"/>
      <w:numFmt w:val="bullet"/>
      <w:lvlText w:val="•"/>
      <w:lvlJc w:val="left"/>
      <w:pPr>
        <w:ind w:left="692" w:hanging="481"/>
      </w:pPr>
      <w:rPr>
        <w:rFonts w:hint="default"/>
      </w:rPr>
    </w:lvl>
    <w:lvl w:ilvl="7">
      <w:start w:val="1"/>
      <w:numFmt w:val="bullet"/>
      <w:lvlText w:val="•"/>
      <w:lvlJc w:val="left"/>
      <w:pPr>
        <w:ind w:left="714" w:hanging="481"/>
      </w:pPr>
      <w:rPr>
        <w:rFonts w:hint="default"/>
      </w:rPr>
    </w:lvl>
    <w:lvl w:ilvl="8">
      <w:start w:val="1"/>
      <w:numFmt w:val="bullet"/>
      <w:lvlText w:val="•"/>
      <w:lvlJc w:val="left"/>
      <w:pPr>
        <w:ind w:left="736" w:hanging="481"/>
      </w:pPr>
      <w:rPr>
        <w:rFonts w:hint="default"/>
      </w:rPr>
    </w:lvl>
  </w:abstractNum>
  <w:abstractNum w:abstractNumId="68">
    <w:multiLevelType w:val="hybridMultilevel"/>
    <w:lvl w:ilvl="0">
      <w:start w:val="2"/>
      <w:numFmt w:val="decimal"/>
      <w:lvlText w:val="%1."/>
      <w:lvlJc w:val="left"/>
      <w:pPr>
        <w:ind w:left="335" w:hanging="219"/>
        <w:jc w:val="left"/>
      </w:pPr>
      <w:rPr>
        <w:rFonts w:hint="default" w:ascii="Times New Roman" w:hAnsi="Times New Roman" w:eastAsia="Times New Roman" w:cs="Times New Roman"/>
        <w:b/>
        <w:bCs/>
        <w:w w:val="109"/>
      </w:rPr>
    </w:lvl>
    <w:lvl w:ilvl="1">
      <w:start w:val="1"/>
      <w:numFmt w:val="bullet"/>
      <w:lvlText w:val="•"/>
      <w:lvlJc w:val="left"/>
      <w:pPr>
        <w:ind w:left="340" w:hanging="219"/>
      </w:pPr>
      <w:rPr>
        <w:rFonts w:hint="default"/>
      </w:rPr>
    </w:lvl>
    <w:lvl w:ilvl="2">
      <w:start w:val="1"/>
      <w:numFmt w:val="bullet"/>
      <w:lvlText w:val="•"/>
      <w:lvlJc w:val="left"/>
      <w:pPr>
        <w:ind w:left="964" w:hanging="219"/>
      </w:pPr>
      <w:rPr>
        <w:rFonts w:hint="default"/>
      </w:rPr>
    </w:lvl>
    <w:lvl w:ilvl="3">
      <w:start w:val="1"/>
      <w:numFmt w:val="bullet"/>
      <w:lvlText w:val="•"/>
      <w:lvlJc w:val="left"/>
      <w:pPr>
        <w:ind w:left="1588" w:hanging="219"/>
      </w:pPr>
      <w:rPr>
        <w:rFonts w:hint="default"/>
      </w:rPr>
    </w:lvl>
    <w:lvl w:ilvl="4">
      <w:start w:val="1"/>
      <w:numFmt w:val="bullet"/>
      <w:lvlText w:val="•"/>
      <w:lvlJc w:val="left"/>
      <w:pPr>
        <w:ind w:left="2213" w:hanging="219"/>
      </w:pPr>
      <w:rPr>
        <w:rFonts w:hint="default"/>
      </w:rPr>
    </w:lvl>
    <w:lvl w:ilvl="5">
      <w:start w:val="1"/>
      <w:numFmt w:val="bullet"/>
      <w:lvlText w:val="•"/>
      <w:lvlJc w:val="left"/>
      <w:pPr>
        <w:ind w:left="2837" w:hanging="219"/>
      </w:pPr>
      <w:rPr>
        <w:rFonts w:hint="default"/>
      </w:rPr>
    </w:lvl>
    <w:lvl w:ilvl="6">
      <w:start w:val="1"/>
      <w:numFmt w:val="bullet"/>
      <w:lvlText w:val="•"/>
      <w:lvlJc w:val="left"/>
      <w:pPr>
        <w:ind w:left="3462" w:hanging="219"/>
      </w:pPr>
      <w:rPr>
        <w:rFonts w:hint="default"/>
      </w:rPr>
    </w:lvl>
    <w:lvl w:ilvl="7">
      <w:start w:val="1"/>
      <w:numFmt w:val="bullet"/>
      <w:lvlText w:val="•"/>
      <w:lvlJc w:val="left"/>
      <w:pPr>
        <w:ind w:left="4086" w:hanging="219"/>
      </w:pPr>
      <w:rPr>
        <w:rFonts w:hint="default"/>
      </w:rPr>
    </w:lvl>
    <w:lvl w:ilvl="8">
      <w:start w:val="1"/>
      <w:numFmt w:val="bullet"/>
      <w:lvlText w:val="•"/>
      <w:lvlJc w:val="left"/>
      <w:pPr>
        <w:ind w:left="4711" w:hanging="219"/>
      </w:pPr>
      <w:rPr>
        <w:rFonts w:hint="default"/>
      </w:rPr>
    </w:lvl>
  </w:abstractNum>
  <w:abstractNum w:abstractNumId="67">
    <w:multiLevelType w:val="hybridMultilevel"/>
    <w:lvl w:ilvl="0">
      <w:start w:val="1"/>
      <w:numFmt w:val="lowerLetter"/>
      <w:lvlText w:val="(%1)"/>
      <w:lvlJc w:val="left"/>
      <w:pPr>
        <w:ind w:left="746" w:hanging="291"/>
        <w:jc w:val="left"/>
      </w:pPr>
      <w:rPr>
        <w:rFonts w:hint="default" w:ascii="Times New Roman" w:hAnsi="Times New Roman" w:eastAsia="Times New Roman" w:cs="Times New Roman"/>
        <w:color w:val="010101"/>
        <w:w w:val="102"/>
        <w:sz w:val="18"/>
        <w:szCs w:val="18"/>
      </w:rPr>
    </w:lvl>
    <w:lvl w:ilvl="1">
      <w:start w:val="1"/>
      <w:numFmt w:val="bullet"/>
      <w:lvlText w:val="•"/>
      <w:lvlJc w:val="left"/>
      <w:pPr>
        <w:ind w:left="1268" w:hanging="291"/>
      </w:pPr>
      <w:rPr>
        <w:rFonts w:hint="default"/>
      </w:rPr>
    </w:lvl>
    <w:lvl w:ilvl="2">
      <w:start w:val="1"/>
      <w:numFmt w:val="bullet"/>
      <w:lvlText w:val="•"/>
      <w:lvlJc w:val="left"/>
      <w:pPr>
        <w:ind w:left="1796" w:hanging="291"/>
      </w:pPr>
      <w:rPr>
        <w:rFonts w:hint="default"/>
      </w:rPr>
    </w:lvl>
    <w:lvl w:ilvl="3">
      <w:start w:val="1"/>
      <w:numFmt w:val="bullet"/>
      <w:lvlText w:val="•"/>
      <w:lvlJc w:val="left"/>
      <w:pPr>
        <w:ind w:left="2324" w:hanging="291"/>
      </w:pPr>
      <w:rPr>
        <w:rFonts w:hint="default"/>
      </w:rPr>
    </w:lvl>
    <w:lvl w:ilvl="4">
      <w:start w:val="1"/>
      <w:numFmt w:val="bullet"/>
      <w:lvlText w:val="•"/>
      <w:lvlJc w:val="left"/>
      <w:pPr>
        <w:ind w:left="2852" w:hanging="291"/>
      </w:pPr>
      <w:rPr>
        <w:rFonts w:hint="default"/>
      </w:rPr>
    </w:lvl>
    <w:lvl w:ilvl="5">
      <w:start w:val="1"/>
      <w:numFmt w:val="bullet"/>
      <w:lvlText w:val="•"/>
      <w:lvlJc w:val="left"/>
      <w:pPr>
        <w:ind w:left="3380" w:hanging="291"/>
      </w:pPr>
      <w:rPr>
        <w:rFonts w:hint="default"/>
      </w:rPr>
    </w:lvl>
    <w:lvl w:ilvl="6">
      <w:start w:val="1"/>
      <w:numFmt w:val="bullet"/>
      <w:lvlText w:val="•"/>
      <w:lvlJc w:val="left"/>
      <w:pPr>
        <w:ind w:left="3908" w:hanging="291"/>
      </w:pPr>
      <w:rPr>
        <w:rFonts w:hint="default"/>
      </w:rPr>
    </w:lvl>
    <w:lvl w:ilvl="7">
      <w:start w:val="1"/>
      <w:numFmt w:val="bullet"/>
      <w:lvlText w:val="•"/>
      <w:lvlJc w:val="left"/>
      <w:pPr>
        <w:ind w:left="4436" w:hanging="291"/>
      </w:pPr>
      <w:rPr>
        <w:rFonts w:hint="default"/>
      </w:rPr>
    </w:lvl>
    <w:lvl w:ilvl="8">
      <w:start w:val="1"/>
      <w:numFmt w:val="bullet"/>
      <w:lvlText w:val="•"/>
      <w:lvlJc w:val="left"/>
      <w:pPr>
        <w:ind w:left="4964" w:hanging="291"/>
      </w:pPr>
      <w:rPr>
        <w:rFonts w:hint="default"/>
      </w:rPr>
    </w:lvl>
  </w:abstractNum>
  <w:abstractNum w:abstractNumId="66">
    <w:multiLevelType w:val="hybridMultilevel"/>
    <w:lvl w:ilvl="0">
      <w:start w:val="19"/>
      <w:numFmt w:val="decimal"/>
      <w:lvlText w:val="%1."/>
      <w:lvlJc w:val="left"/>
      <w:pPr>
        <w:ind w:left="124" w:hanging="288"/>
        <w:jc w:val="left"/>
      </w:pPr>
      <w:rPr>
        <w:rFonts w:hint="default" w:ascii="Times New Roman" w:hAnsi="Times New Roman" w:eastAsia="Times New Roman" w:cs="Times New Roman"/>
        <w:w w:val="105"/>
      </w:rPr>
    </w:lvl>
    <w:lvl w:ilvl="1">
      <w:start w:val="1"/>
      <w:numFmt w:val="lowerRoman"/>
      <w:lvlText w:val="(%2)"/>
      <w:lvlJc w:val="left"/>
      <w:pPr>
        <w:ind w:left="768" w:hanging="306"/>
        <w:jc w:val="left"/>
      </w:pPr>
      <w:rPr>
        <w:rFonts w:hint="default" w:ascii="Times New Roman" w:hAnsi="Times New Roman" w:eastAsia="Times New Roman" w:cs="Times New Roman"/>
        <w:w w:val="97"/>
      </w:rPr>
    </w:lvl>
    <w:lvl w:ilvl="2">
      <w:start w:val="1"/>
      <w:numFmt w:val="bullet"/>
      <w:lvlText w:val="•"/>
      <w:lvlJc w:val="left"/>
      <w:pPr>
        <w:ind w:left="1340" w:hanging="306"/>
      </w:pPr>
      <w:rPr>
        <w:rFonts w:hint="default"/>
      </w:rPr>
    </w:lvl>
    <w:lvl w:ilvl="3">
      <w:start w:val="1"/>
      <w:numFmt w:val="bullet"/>
      <w:lvlText w:val="•"/>
      <w:lvlJc w:val="left"/>
      <w:pPr>
        <w:ind w:left="1920" w:hanging="306"/>
      </w:pPr>
      <w:rPr>
        <w:rFonts w:hint="default"/>
      </w:rPr>
    </w:lvl>
    <w:lvl w:ilvl="4">
      <w:start w:val="1"/>
      <w:numFmt w:val="bullet"/>
      <w:lvlText w:val="•"/>
      <w:lvlJc w:val="left"/>
      <w:pPr>
        <w:ind w:left="2500" w:hanging="306"/>
      </w:pPr>
      <w:rPr>
        <w:rFonts w:hint="default"/>
      </w:rPr>
    </w:lvl>
    <w:lvl w:ilvl="5">
      <w:start w:val="1"/>
      <w:numFmt w:val="bullet"/>
      <w:lvlText w:val="•"/>
      <w:lvlJc w:val="left"/>
      <w:pPr>
        <w:ind w:left="3080" w:hanging="306"/>
      </w:pPr>
      <w:rPr>
        <w:rFonts w:hint="default"/>
      </w:rPr>
    </w:lvl>
    <w:lvl w:ilvl="6">
      <w:start w:val="1"/>
      <w:numFmt w:val="bullet"/>
      <w:lvlText w:val="•"/>
      <w:lvlJc w:val="left"/>
      <w:pPr>
        <w:ind w:left="3660" w:hanging="306"/>
      </w:pPr>
      <w:rPr>
        <w:rFonts w:hint="default"/>
      </w:rPr>
    </w:lvl>
    <w:lvl w:ilvl="7">
      <w:start w:val="1"/>
      <w:numFmt w:val="bullet"/>
      <w:lvlText w:val="•"/>
      <w:lvlJc w:val="left"/>
      <w:pPr>
        <w:ind w:left="4240" w:hanging="306"/>
      </w:pPr>
      <w:rPr>
        <w:rFonts w:hint="default"/>
      </w:rPr>
    </w:lvl>
    <w:lvl w:ilvl="8">
      <w:start w:val="1"/>
      <w:numFmt w:val="bullet"/>
      <w:lvlText w:val="•"/>
      <w:lvlJc w:val="left"/>
      <w:pPr>
        <w:ind w:left="4820" w:hanging="306"/>
      </w:pPr>
      <w:rPr>
        <w:rFonts w:hint="default"/>
      </w:rPr>
    </w:lvl>
  </w:abstractNum>
  <w:abstractNum w:abstractNumId="65">
    <w:multiLevelType w:val="hybridMultilevel"/>
    <w:lvl w:ilvl="0">
      <w:start w:val="16"/>
      <w:numFmt w:val="decimal"/>
      <w:lvlText w:val="%1."/>
      <w:lvlJc w:val="left"/>
      <w:pPr>
        <w:ind w:left="120" w:hanging="284"/>
        <w:jc w:val="left"/>
      </w:pPr>
      <w:rPr>
        <w:rFonts w:hint="default" w:ascii="Times New Roman" w:hAnsi="Times New Roman" w:eastAsia="Times New Roman" w:cs="Times New Roman"/>
        <w:color w:val="010101"/>
        <w:spacing w:val="-33"/>
        <w:w w:val="111"/>
        <w:sz w:val="17"/>
        <w:szCs w:val="17"/>
      </w:rPr>
    </w:lvl>
    <w:lvl w:ilvl="1">
      <w:start w:val="1"/>
      <w:numFmt w:val="bullet"/>
      <w:lvlText w:val="•"/>
      <w:lvlJc w:val="left"/>
      <w:pPr>
        <w:ind w:left="706" w:hanging="284"/>
      </w:pPr>
      <w:rPr>
        <w:rFonts w:hint="default"/>
      </w:rPr>
    </w:lvl>
    <w:lvl w:ilvl="2">
      <w:start w:val="1"/>
      <w:numFmt w:val="bullet"/>
      <w:lvlText w:val="•"/>
      <w:lvlJc w:val="left"/>
      <w:pPr>
        <w:ind w:left="1292" w:hanging="284"/>
      </w:pPr>
      <w:rPr>
        <w:rFonts w:hint="default"/>
      </w:rPr>
    </w:lvl>
    <w:lvl w:ilvl="3">
      <w:start w:val="1"/>
      <w:numFmt w:val="bullet"/>
      <w:lvlText w:val="•"/>
      <w:lvlJc w:val="left"/>
      <w:pPr>
        <w:ind w:left="1878" w:hanging="284"/>
      </w:pPr>
      <w:rPr>
        <w:rFonts w:hint="default"/>
      </w:rPr>
    </w:lvl>
    <w:lvl w:ilvl="4">
      <w:start w:val="1"/>
      <w:numFmt w:val="bullet"/>
      <w:lvlText w:val="•"/>
      <w:lvlJc w:val="left"/>
      <w:pPr>
        <w:ind w:left="2464" w:hanging="284"/>
      </w:pPr>
      <w:rPr>
        <w:rFonts w:hint="default"/>
      </w:rPr>
    </w:lvl>
    <w:lvl w:ilvl="5">
      <w:start w:val="1"/>
      <w:numFmt w:val="bullet"/>
      <w:lvlText w:val="•"/>
      <w:lvlJc w:val="left"/>
      <w:pPr>
        <w:ind w:left="3050" w:hanging="284"/>
      </w:pPr>
      <w:rPr>
        <w:rFonts w:hint="default"/>
      </w:rPr>
    </w:lvl>
    <w:lvl w:ilvl="6">
      <w:start w:val="1"/>
      <w:numFmt w:val="bullet"/>
      <w:lvlText w:val="•"/>
      <w:lvlJc w:val="left"/>
      <w:pPr>
        <w:ind w:left="3636" w:hanging="284"/>
      </w:pPr>
      <w:rPr>
        <w:rFonts w:hint="default"/>
      </w:rPr>
    </w:lvl>
    <w:lvl w:ilvl="7">
      <w:start w:val="1"/>
      <w:numFmt w:val="bullet"/>
      <w:lvlText w:val="•"/>
      <w:lvlJc w:val="left"/>
      <w:pPr>
        <w:ind w:left="4222" w:hanging="284"/>
      </w:pPr>
      <w:rPr>
        <w:rFonts w:hint="default"/>
      </w:rPr>
    </w:lvl>
    <w:lvl w:ilvl="8">
      <w:start w:val="1"/>
      <w:numFmt w:val="bullet"/>
      <w:lvlText w:val="•"/>
      <w:lvlJc w:val="left"/>
      <w:pPr>
        <w:ind w:left="4808" w:hanging="284"/>
      </w:pPr>
      <w:rPr>
        <w:rFonts w:hint="default"/>
      </w:rPr>
    </w:lvl>
  </w:abstractNum>
  <w:abstractNum w:abstractNumId="64">
    <w:multiLevelType w:val="hybridMultilevel"/>
    <w:lvl w:ilvl="0">
      <w:start w:val="12"/>
      <w:numFmt w:val="decimal"/>
      <w:lvlText w:val="%1."/>
      <w:lvlJc w:val="left"/>
      <w:pPr>
        <w:ind w:left="114" w:hanging="285"/>
        <w:jc w:val="left"/>
      </w:pPr>
      <w:rPr>
        <w:rFonts w:hint="default" w:ascii="Times New Roman" w:hAnsi="Times New Roman" w:eastAsia="Times New Roman" w:cs="Times New Roman"/>
        <w:w w:val="98"/>
      </w:rPr>
    </w:lvl>
    <w:lvl w:ilvl="1">
      <w:start w:val="1"/>
      <w:numFmt w:val="bullet"/>
      <w:lvlText w:val="•"/>
      <w:lvlJc w:val="left"/>
      <w:pPr>
        <w:ind w:left="712" w:hanging="285"/>
      </w:pPr>
      <w:rPr>
        <w:rFonts w:hint="default"/>
      </w:rPr>
    </w:lvl>
    <w:lvl w:ilvl="2">
      <w:start w:val="1"/>
      <w:numFmt w:val="bullet"/>
      <w:lvlText w:val="•"/>
      <w:lvlJc w:val="left"/>
      <w:pPr>
        <w:ind w:left="1304" w:hanging="285"/>
      </w:pPr>
      <w:rPr>
        <w:rFonts w:hint="default"/>
      </w:rPr>
    </w:lvl>
    <w:lvl w:ilvl="3">
      <w:start w:val="1"/>
      <w:numFmt w:val="bullet"/>
      <w:lvlText w:val="•"/>
      <w:lvlJc w:val="left"/>
      <w:pPr>
        <w:ind w:left="1896" w:hanging="285"/>
      </w:pPr>
      <w:rPr>
        <w:rFonts w:hint="default"/>
      </w:rPr>
    </w:lvl>
    <w:lvl w:ilvl="4">
      <w:start w:val="1"/>
      <w:numFmt w:val="bullet"/>
      <w:lvlText w:val="•"/>
      <w:lvlJc w:val="left"/>
      <w:pPr>
        <w:ind w:left="2488" w:hanging="285"/>
      </w:pPr>
      <w:rPr>
        <w:rFonts w:hint="default"/>
      </w:rPr>
    </w:lvl>
    <w:lvl w:ilvl="5">
      <w:start w:val="1"/>
      <w:numFmt w:val="bullet"/>
      <w:lvlText w:val="•"/>
      <w:lvlJc w:val="left"/>
      <w:pPr>
        <w:ind w:left="3080" w:hanging="285"/>
      </w:pPr>
      <w:rPr>
        <w:rFonts w:hint="default"/>
      </w:rPr>
    </w:lvl>
    <w:lvl w:ilvl="6">
      <w:start w:val="1"/>
      <w:numFmt w:val="bullet"/>
      <w:lvlText w:val="•"/>
      <w:lvlJc w:val="left"/>
      <w:pPr>
        <w:ind w:left="3672" w:hanging="285"/>
      </w:pPr>
      <w:rPr>
        <w:rFonts w:hint="default"/>
      </w:rPr>
    </w:lvl>
    <w:lvl w:ilvl="7">
      <w:start w:val="1"/>
      <w:numFmt w:val="bullet"/>
      <w:lvlText w:val="•"/>
      <w:lvlJc w:val="left"/>
      <w:pPr>
        <w:ind w:left="4264" w:hanging="285"/>
      </w:pPr>
      <w:rPr>
        <w:rFonts w:hint="default"/>
      </w:rPr>
    </w:lvl>
    <w:lvl w:ilvl="8">
      <w:start w:val="1"/>
      <w:numFmt w:val="bullet"/>
      <w:lvlText w:val="•"/>
      <w:lvlJc w:val="left"/>
      <w:pPr>
        <w:ind w:left="4856" w:hanging="285"/>
      </w:pPr>
      <w:rPr>
        <w:rFonts w:hint="default"/>
      </w:rPr>
    </w:lvl>
  </w:abstractNum>
  <w:abstractNum w:abstractNumId="63">
    <w:multiLevelType w:val="hybridMultilevel"/>
    <w:lvl w:ilvl="0">
      <w:start w:val="9"/>
      <w:numFmt w:val="decimal"/>
      <w:lvlText w:val="%1."/>
      <w:lvlJc w:val="left"/>
      <w:pPr>
        <w:ind w:left="121" w:hanging="216"/>
        <w:jc w:val="left"/>
      </w:pPr>
      <w:rPr>
        <w:rFonts w:hint="default" w:ascii="Times New Roman" w:hAnsi="Times New Roman" w:eastAsia="Times New Roman" w:cs="Times New Roman"/>
        <w:w w:val="111"/>
      </w:rPr>
    </w:lvl>
    <w:lvl w:ilvl="1">
      <w:start w:val="1"/>
      <w:numFmt w:val="bullet"/>
      <w:lvlText w:val="•"/>
      <w:lvlJc w:val="left"/>
      <w:pPr>
        <w:ind w:left="712" w:hanging="216"/>
      </w:pPr>
      <w:rPr>
        <w:rFonts w:hint="default"/>
      </w:rPr>
    </w:lvl>
    <w:lvl w:ilvl="2">
      <w:start w:val="1"/>
      <w:numFmt w:val="bullet"/>
      <w:lvlText w:val="•"/>
      <w:lvlJc w:val="left"/>
      <w:pPr>
        <w:ind w:left="1304" w:hanging="216"/>
      </w:pPr>
      <w:rPr>
        <w:rFonts w:hint="default"/>
      </w:rPr>
    </w:lvl>
    <w:lvl w:ilvl="3">
      <w:start w:val="1"/>
      <w:numFmt w:val="bullet"/>
      <w:lvlText w:val="•"/>
      <w:lvlJc w:val="left"/>
      <w:pPr>
        <w:ind w:left="1896" w:hanging="216"/>
      </w:pPr>
      <w:rPr>
        <w:rFonts w:hint="default"/>
      </w:rPr>
    </w:lvl>
    <w:lvl w:ilvl="4">
      <w:start w:val="1"/>
      <w:numFmt w:val="bullet"/>
      <w:lvlText w:val="•"/>
      <w:lvlJc w:val="left"/>
      <w:pPr>
        <w:ind w:left="2488" w:hanging="216"/>
      </w:pPr>
      <w:rPr>
        <w:rFonts w:hint="default"/>
      </w:rPr>
    </w:lvl>
    <w:lvl w:ilvl="5">
      <w:start w:val="1"/>
      <w:numFmt w:val="bullet"/>
      <w:lvlText w:val="•"/>
      <w:lvlJc w:val="left"/>
      <w:pPr>
        <w:ind w:left="3080" w:hanging="216"/>
      </w:pPr>
      <w:rPr>
        <w:rFonts w:hint="default"/>
      </w:rPr>
    </w:lvl>
    <w:lvl w:ilvl="6">
      <w:start w:val="1"/>
      <w:numFmt w:val="bullet"/>
      <w:lvlText w:val="•"/>
      <w:lvlJc w:val="left"/>
      <w:pPr>
        <w:ind w:left="3672" w:hanging="216"/>
      </w:pPr>
      <w:rPr>
        <w:rFonts w:hint="default"/>
      </w:rPr>
    </w:lvl>
    <w:lvl w:ilvl="7">
      <w:start w:val="1"/>
      <w:numFmt w:val="bullet"/>
      <w:lvlText w:val="•"/>
      <w:lvlJc w:val="left"/>
      <w:pPr>
        <w:ind w:left="4264" w:hanging="216"/>
      </w:pPr>
      <w:rPr>
        <w:rFonts w:hint="default"/>
      </w:rPr>
    </w:lvl>
    <w:lvl w:ilvl="8">
      <w:start w:val="1"/>
      <w:numFmt w:val="bullet"/>
      <w:lvlText w:val="•"/>
      <w:lvlJc w:val="left"/>
      <w:pPr>
        <w:ind w:left="4856" w:hanging="216"/>
      </w:pPr>
      <w:rPr>
        <w:rFonts w:hint="default"/>
      </w:rPr>
    </w:lvl>
  </w:abstractNum>
  <w:abstractNum w:abstractNumId="62">
    <w:multiLevelType w:val="hybridMultilevel"/>
    <w:lvl w:ilvl="0">
      <w:start w:val="2"/>
      <w:numFmt w:val="decimal"/>
      <w:lvlText w:val="%1."/>
      <w:lvlJc w:val="left"/>
      <w:pPr>
        <w:ind w:left="302" w:hanging="186"/>
        <w:jc w:val="left"/>
      </w:pPr>
      <w:rPr>
        <w:rFonts w:hint="default" w:ascii="Times New Roman" w:hAnsi="Times New Roman" w:eastAsia="Times New Roman" w:cs="Times New Roman"/>
        <w:b/>
        <w:bCs/>
        <w:w w:val="106"/>
      </w:rPr>
    </w:lvl>
    <w:lvl w:ilvl="1">
      <w:start w:val="5"/>
      <w:numFmt w:val="decimal"/>
      <w:lvlText w:val="%2."/>
      <w:lvlJc w:val="left"/>
      <w:pPr>
        <w:ind w:left="126" w:hanging="212"/>
        <w:jc w:val="left"/>
      </w:pPr>
      <w:rPr>
        <w:rFonts w:hint="default" w:ascii="Times New Roman" w:hAnsi="Times New Roman" w:eastAsia="Times New Roman" w:cs="Times New Roman"/>
        <w:w w:val="108"/>
      </w:rPr>
    </w:lvl>
    <w:lvl w:ilvl="2">
      <w:start w:val="1"/>
      <w:numFmt w:val="bullet"/>
      <w:lvlText w:val="•"/>
      <w:lvlJc w:val="left"/>
      <w:pPr>
        <w:ind w:left="933" w:hanging="212"/>
      </w:pPr>
      <w:rPr>
        <w:rFonts w:hint="default"/>
      </w:rPr>
    </w:lvl>
    <w:lvl w:ilvl="3">
      <w:start w:val="1"/>
      <w:numFmt w:val="bullet"/>
      <w:lvlText w:val="•"/>
      <w:lvlJc w:val="left"/>
      <w:pPr>
        <w:ind w:left="1566" w:hanging="212"/>
      </w:pPr>
      <w:rPr>
        <w:rFonts w:hint="default"/>
      </w:rPr>
    </w:lvl>
    <w:lvl w:ilvl="4">
      <w:start w:val="1"/>
      <w:numFmt w:val="bullet"/>
      <w:lvlText w:val="•"/>
      <w:lvlJc w:val="left"/>
      <w:pPr>
        <w:ind w:left="2200" w:hanging="212"/>
      </w:pPr>
      <w:rPr>
        <w:rFonts w:hint="default"/>
      </w:rPr>
    </w:lvl>
    <w:lvl w:ilvl="5">
      <w:start w:val="1"/>
      <w:numFmt w:val="bullet"/>
      <w:lvlText w:val="•"/>
      <w:lvlJc w:val="left"/>
      <w:pPr>
        <w:ind w:left="2833" w:hanging="212"/>
      </w:pPr>
      <w:rPr>
        <w:rFonts w:hint="default"/>
      </w:rPr>
    </w:lvl>
    <w:lvl w:ilvl="6">
      <w:start w:val="1"/>
      <w:numFmt w:val="bullet"/>
      <w:lvlText w:val="•"/>
      <w:lvlJc w:val="left"/>
      <w:pPr>
        <w:ind w:left="3466" w:hanging="212"/>
      </w:pPr>
      <w:rPr>
        <w:rFonts w:hint="default"/>
      </w:rPr>
    </w:lvl>
    <w:lvl w:ilvl="7">
      <w:start w:val="1"/>
      <w:numFmt w:val="bullet"/>
      <w:lvlText w:val="•"/>
      <w:lvlJc w:val="left"/>
      <w:pPr>
        <w:ind w:left="4100" w:hanging="212"/>
      </w:pPr>
      <w:rPr>
        <w:rFonts w:hint="default"/>
      </w:rPr>
    </w:lvl>
    <w:lvl w:ilvl="8">
      <w:start w:val="1"/>
      <w:numFmt w:val="bullet"/>
      <w:lvlText w:val="•"/>
      <w:lvlJc w:val="left"/>
      <w:pPr>
        <w:ind w:left="4733" w:hanging="212"/>
      </w:pPr>
      <w:rPr>
        <w:rFonts w:hint="default"/>
      </w:rPr>
    </w:lvl>
  </w:abstractNum>
  <w:abstractNum w:abstractNumId="61">
    <w:multiLevelType w:val="hybridMultilevel"/>
    <w:lvl w:ilvl="0">
      <w:start w:val="2"/>
      <w:numFmt w:val="decimal"/>
      <w:lvlText w:val="%1."/>
      <w:lvlJc w:val="left"/>
      <w:pPr>
        <w:ind w:left="141" w:hanging="212"/>
        <w:jc w:val="left"/>
      </w:pPr>
      <w:rPr>
        <w:rFonts w:hint="default" w:ascii="Times New Roman" w:hAnsi="Times New Roman" w:eastAsia="Times New Roman" w:cs="Times New Roman"/>
        <w:color w:val="010101"/>
        <w:w w:val="104"/>
        <w:sz w:val="17"/>
        <w:szCs w:val="17"/>
      </w:rPr>
    </w:lvl>
    <w:lvl w:ilvl="1">
      <w:start w:val="1"/>
      <w:numFmt w:val="bullet"/>
      <w:lvlText w:val="•"/>
      <w:lvlJc w:val="left"/>
      <w:pPr>
        <w:ind w:left="726" w:hanging="212"/>
      </w:pPr>
      <w:rPr>
        <w:rFonts w:hint="default"/>
      </w:rPr>
    </w:lvl>
    <w:lvl w:ilvl="2">
      <w:start w:val="1"/>
      <w:numFmt w:val="bullet"/>
      <w:lvlText w:val="•"/>
      <w:lvlJc w:val="left"/>
      <w:pPr>
        <w:ind w:left="1312" w:hanging="212"/>
      </w:pPr>
      <w:rPr>
        <w:rFonts w:hint="default"/>
      </w:rPr>
    </w:lvl>
    <w:lvl w:ilvl="3">
      <w:start w:val="1"/>
      <w:numFmt w:val="bullet"/>
      <w:lvlText w:val="•"/>
      <w:lvlJc w:val="left"/>
      <w:pPr>
        <w:ind w:left="1898" w:hanging="212"/>
      </w:pPr>
      <w:rPr>
        <w:rFonts w:hint="default"/>
      </w:rPr>
    </w:lvl>
    <w:lvl w:ilvl="4">
      <w:start w:val="1"/>
      <w:numFmt w:val="bullet"/>
      <w:lvlText w:val="•"/>
      <w:lvlJc w:val="left"/>
      <w:pPr>
        <w:ind w:left="2484" w:hanging="212"/>
      </w:pPr>
      <w:rPr>
        <w:rFonts w:hint="default"/>
      </w:rPr>
    </w:lvl>
    <w:lvl w:ilvl="5">
      <w:start w:val="1"/>
      <w:numFmt w:val="bullet"/>
      <w:lvlText w:val="•"/>
      <w:lvlJc w:val="left"/>
      <w:pPr>
        <w:ind w:left="3070" w:hanging="212"/>
      </w:pPr>
      <w:rPr>
        <w:rFonts w:hint="default"/>
      </w:rPr>
    </w:lvl>
    <w:lvl w:ilvl="6">
      <w:start w:val="1"/>
      <w:numFmt w:val="bullet"/>
      <w:lvlText w:val="•"/>
      <w:lvlJc w:val="left"/>
      <w:pPr>
        <w:ind w:left="3656" w:hanging="212"/>
      </w:pPr>
      <w:rPr>
        <w:rFonts w:hint="default"/>
      </w:rPr>
    </w:lvl>
    <w:lvl w:ilvl="7">
      <w:start w:val="1"/>
      <w:numFmt w:val="bullet"/>
      <w:lvlText w:val="•"/>
      <w:lvlJc w:val="left"/>
      <w:pPr>
        <w:ind w:left="4242" w:hanging="212"/>
      </w:pPr>
      <w:rPr>
        <w:rFonts w:hint="default"/>
      </w:rPr>
    </w:lvl>
    <w:lvl w:ilvl="8">
      <w:start w:val="1"/>
      <w:numFmt w:val="bullet"/>
      <w:lvlText w:val="•"/>
      <w:lvlJc w:val="left"/>
      <w:pPr>
        <w:ind w:left="4828" w:hanging="212"/>
      </w:pPr>
      <w:rPr>
        <w:rFonts w:hint="default"/>
      </w:rPr>
    </w:lvl>
  </w:abstractNum>
  <w:abstractNum w:abstractNumId="60">
    <w:multiLevelType w:val="hybridMultilevel"/>
    <w:lvl w:ilvl="0">
      <w:start w:val="1"/>
      <w:numFmt w:val="lowerLetter"/>
      <w:lvlText w:val="(%1)"/>
      <w:lvlJc w:val="left"/>
      <w:pPr>
        <w:ind w:left="714" w:hanging="352"/>
        <w:jc w:val="left"/>
      </w:pPr>
      <w:rPr>
        <w:rFonts w:hint="default" w:ascii="Times New Roman" w:hAnsi="Times New Roman" w:eastAsia="Times New Roman" w:cs="Times New Roman"/>
        <w:color w:val="010101"/>
        <w:w w:val="120"/>
        <w:sz w:val="19"/>
        <w:szCs w:val="19"/>
      </w:rPr>
    </w:lvl>
    <w:lvl w:ilvl="1">
      <w:start w:val="1"/>
      <w:numFmt w:val="decimal"/>
      <w:lvlText w:val="(%2)"/>
      <w:lvlJc w:val="left"/>
      <w:pPr>
        <w:ind w:left="700" w:hanging="356"/>
        <w:jc w:val="left"/>
      </w:pPr>
      <w:rPr>
        <w:rFonts w:hint="default" w:ascii="Times New Roman" w:hAnsi="Times New Roman" w:eastAsia="Times New Roman" w:cs="Times New Roman"/>
        <w:color w:val="010101"/>
        <w:w w:val="118"/>
        <w:sz w:val="20"/>
        <w:szCs w:val="20"/>
      </w:rPr>
    </w:lvl>
    <w:lvl w:ilvl="2">
      <w:start w:val="1"/>
      <w:numFmt w:val="bullet"/>
      <w:lvlText w:val="•"/>
      <w:lvlJc w:val="left"/>
      <w:pPr>
        <w:ind w:left="1308" w:hanging="356"/>
      </w:pPr>
      <w:rPr>
        <w:rFonts w:hint="default"/>
      </w:rPr>
    </w:lvl>
    <w:lvl w:ilvl="3">
      <w:start w:val="1"/>
      <w:numFmt w:val="bullet"/>
      <w:lvlText w:val="•"/>
      <w:lvlJc w:val="left"/>
      <w:pPr>
        <w:ind w:left="1897" w:hanging="356"/>
      </w:pPr>
      <w:rPr>
        <w:rFonts w:hint="default"/>
      </w:rPr>
    </w:lvl>
    <w:lvl w:ilvl="4">
      <w:start w:val="1"/>
      <w:numFmt w:val="bullet"/>
      <w:lvlText w:val="•"/>
      <w:lvlJc w:val="left"/>
      <w:pPr>
        <w:ind w:left="2486" w:hanging="356"/>
      </w:pPr>
      <w:rPr>
        <w:rFonts w:hint="default"/>
      </w:rPr>
    </w:lvl>
    <w:lvl w:ilvl="5">
      <w:start w:val="1"/>
      <w:numFmt w:val="bullet"/>
      <w:lvlText w:val="•"/>
      <w:lvlJc w:val="left"/>
      <w:pPr>
        <w:ind w:left="3075" w:hanging="356"/>
      </w:pPr>
      <w:rPr>
        <w:rFonts w:hint="default"/>
      </w:rPr>
    </w:lvl>
    <w:lvl w:ilvl="6">
      <w:start w:val="1"/>
      <w:numFmt w:val="bullet"/>
      <w:lvlText w:val="•"/>
      <w:lvlJc w:val="left"/>
      <w:pPr>
        <w:ind w:left="3664" w:hanging="356"/>
      </w:pPr>
      <w:rPr>
        <w:rFonts w:hint="default"/>
      </w:rPr>
    </w:lvl>
    <w:lvl w:ilvl="7">
      <w:start w:val="1"/>
      <w:numFmt w:val="bullet"/>
      <w:lvlText w:val="•"/>
      <w:lvlJc w:val="left"/>
      <w:pPr>
        <w:ind w:left="4253" w:hanging="356"/>
      </w:pPr>
      <w:rPr>
        <w:rFonts w:hint="default"/>
      </w:rPr>
    </w:lvl>
    <w:lvl w:ilvl="8">
      <w:start w:val="1"/>
      <w:numFmt w:val="bullet"/>
      <w:lvlText w:val="•"/>
      <w:lvlJc w:val="left"/>
      <w:pPr>
        <w:ind w:left="4842" w:hanging="356"/>
      </w:pPr>
      <w:rPr>
        <w:rFonts w:hint="default"/>
      </w:rPr>
    </w:lvl>
  </w:abstractNum>
  <w:abstractNum w:abstractNumId="59">
    <w:multiLevelType w:val="hybridMultilevel"/>
    <w:lvl w:ilvl="0">
      <w:start w:val="2"/>
      <w:numFmt w:val="decimal"/>
      <w:lvlText w:val="%1."/>
      <w:lvlJc w:val="left"/>
      <w:pPr>
        <w:ind w:left="348" w:hanging="227"/>
        <w:jc w:val="left"/>
      </w:pPr>
      <w:rPr>
        <w:rFonts w:hint="default" w:ascii="Times New Roman" w:hAnsi="Times New Roman" w:eastAsia="Times New Roman" w:cs="Times New Roman"/>
        <w:b/>
        <w:bCs/>
        <w:w w:val="101"/>
      </w:rPr>
    </w:lvl>
    <w:lvl w:ilvl="1">
      <w:start w:val="1"/>
      <w:numFmt w:val="lowerLetter"/>
      <w:lvlText w:val="(%2)"/>
      <w:lvlJc w:val="left"/>
      <w:pPr>
        <w:ind w:left="742" w:hanging="371"/>
        <w:jc w:val="left"/>
      </w:pPr>
      <w:rPr>
        <w:rFonts w:hint="default" w:ascii="Times New Roman" w:hAnsi="Times New Roman" w:eastAsia="Times New Roman" w:cs="Times New Roman"/>
        <w:i/>
        <w:spacing w:val="-32"/>
        <w:w w:val="69"/>
        <w:sz w:val="20"/>
        <w:szCs w:val="20"/>
      </w:rPr>
    </w:lvl>
    <w:lvl w:ilvl="2">
      <w:start w:val="1"/>
      <w:numFmt w:val="bullet"/>
      <w:lvlText w:val="•"/>
      <w:lvlJc w:val="left"/>
      <w:pPr>
        <w:ind w:left="1322" w:hanging="371"/>
      </w:pPr>
      <w:rPr>
        <w:rFonts w:hint="default"/>
      </w:rPr>
    </w:lvl>
    <w:lvl w:ilvl="3">
      <w:start w:val="1"/>
      <w:numFmt w:val="bullet"/>
      <w:lvlText w:val="•"/>
      <w:lvlJc w:val="left"/>
      <w:pPr>
        <w:ind w:left="1904" w:hanging="371"/>
      </w:pPr>
      <w:rPr>
        <w:rFonts w:hint="default"/>
      </w:rPr>
    </w:lvl>
    <w:lvl w:ilvl="4">
      <w:start w:val="1"/>
      <w:numFmt w:val="bullet"/>
      <w:lvlText w:val="•"/>
      <w:lvlJc w:val="left"/>
      <w:pPr>
        <w:ind w:left="2486" w:hanging="371"/>
      </w:pPr>
      <w:rPr>
        <w:rFonts w:hint="default"/>
      </w:rPr>
    </w:lvl>
    <w:lvl w:ilvl="5">
      <w:start w:val="1"/>
      <w:numFmt w:val="bullet"/>
      <w:lvlText w:val="•"/>
      <w:lvlJc w:val="left"/>
      <w:pPr>
        <w:ind w:left="3068" w:hanging="371"/>
      </w:pPr>
      <w:rPr>
        <w:rFonts w:hint="default"/>
      </w:rPr>
    </w:lvl>
    <w:lvl w:ilvl="6">
      <w:start w:val="1"/>
      <w:numFmt w:val="bullet"/>
      <w:lvlText w:val="•"/>
      <w:lvlJc w:val="left"/>
      <w:pPr>
        <w:ind w:left="3651" w:hanging="371"/>
      </w:pPr>
      <w:rPr>
        <w:rFonts w:hint="default"/>
      </w:rPr>
    </w:lvl>
    <w:lvl w:ilvl="7">
      <w:start w:val="1"/>
      <w:numFmt w:val="bullet"/>
      <w:lvlText w:val="•"/>
      <w:lvlJc w:val="left"/>
      <w:pPr>
        <w:ind w:left="4233" w:hanging="371"/>
      </w:pPr>
      <w:rPr>
        <w:rFonts w:hint="default"/>
      </w:rPr>
    </w:lvl>
    <w:lvl w:ilvl="8">
      <w:start w:val="1"/>
      <w:numFmt w:val="bullet"/>
      <w:lvlText w:val="•"/>
      <w:lvlJc w:val="left"/>
      <w:pPr>
        <w:ind w:left="4815" w:hanging="371"/>
      </w:pPr>
      <w:rPr>
        <w:rFonts w:hint="default"/>
      </w:rPr>
    </w:lvl>
  </w:abstractNum>
  <w:abstractNum w:abstractNumId="58">
    <w:multiLevelType w:val="hybridMultilevel"/>
    <w:lvl w:ilvl="0">
      <w:start w:val="34"/>
      <w:numFmt w:val="decimal"/>
      <w:lvlText w:val="%1."/>
      <w:lvlJc w:val="left"/>
      <w:pPr>
        <w:ind w:left="123" w:hanging="297"/>
        <w:jc w:val="left"/>
      </w:pPr>
      <w:rPr>
        <w:rFonts w:hint="default" w:ascii="Times New Roman" w:hAnsi="Times New Roman" w:eastAsia="Times New Roman" w:cs="Times New Roman"/>
        <w:w w:val="103"/>
      </w:rPr>
    </w:lvl>
    <w:lvl w:ilvl="1">
      <w:start w:val="1"/>
      <w:numFmt w:val="lowerLetter"/>
      <w:lvlText w:val="(%2)"/>
      <w:lvlJc w:val="left"/>
      <w:pPr>
        <w:ind w:left="746" w:hanging="292"/>
        <w:jc w:val="left"/>
      </w:pPr>
      <w:rPr>
        <w:rFonts w:hint="default" w:ascii="Times New Roman" w:hAnsi="Times New Roman" w:eastAsia="Times New Roman" w:cs="Times New Roman"/>
        <w:w w:val="108"/>
        <w:sz w:val="17"/>
        <w:szCs w:val="17"/>
      </w:rPr>
    </w:lvl>
    <w:lvl w:ilvl="2">
      <w:start w:val="1"/>
      <w:numFmt w:val="bullet"/>
      <w:lvlText w:val="•"/>
      <w:lvlJc w:val="left"/>
      <w:pPr>
        <w:ind w:left="1322" w:hanging="292"/>
      </w:pPr>
      <w:rPr>
        <w:rFonts w:hint="default"/>
      </w:rPr>
    </w:lvl>
    <w:lvl w:ilvl="3">
      <w:start w:val="1"/>
      <w:numFmt w:val="bullet"/>
      <w:lvlText w:val="•"/>
      <w:lvlJc w:val="left"/>
      <w:pPr>
        <w:ind w:left="1904" w:hanging="292"/>
      </w:pPr>
      <w:rPr>
        <w:rFonts w:hint="default"/>
      </w:rPr>
    </w:lvl>
    <w:lvl w:ilvl="4">
      <w:start w:val="1"/>
      <w:numFmt w:val="bullet"/>
      <w:lvlText w:val="•"/>
      <w:lvlJc w:val="left"/>
      <w:pPr>
        <w:ind w:left="2486" w:hanging="292"/>
      </w:pPr>
      <w:rPr>
        <w:rFonts w:hint="default"/>
      </w:rPr>
    </w:lvl>
    <w:lvl w:ilvl="5">
      <w:start w:val="1"/>
      <w:numFmt w:val="bullet"/>
      <w:lvlText w:val="•"/>
      <w:lvlJc w:val="left"/>
      <w:pPr>
        <w:ind w:left="3068" w:hanging="292"/>
      </w:pPr>
      <w:rPr>
        <w:rFonts w:hint="default"/>
      </w:rPr>
    </w:lvl>
    <w:lvl w:ilvl="6">
      <w:start w:val="1"/>
      <w:numFmt w:val="bullet"/>
      <w:lvlText w:val="•"/>
      <w:lvlJc w:val="left"/>
      <w:pPr>
        <w:ind w:left="3651" w:hanging="292"/>
      </w:pPr>
      <w:rPr>
        <w:rFonts w:hint="default"/>
      </w:rPr>
    </w:lvl>
    <w:lvl w:ilvl="7">
      <w:start w:val="1"/>
      <w:numFmt w:val="bullet"/>
      <w:lvlText w:val="•"/>
      <w:lvlJc w:val="left"/>
      <w:pPr>
        <w:ind w:left="4233" w:hanging="292"/>
      </w:pPr>
      <w:rPr>
        <w:rFonts w:hint="default"/>
      </w:rPr>
    </w:lvl>
    <w:lvl w:ilvl="8">
      <w:start w:val="1"/>
      <w:numFmt w:val="bullet"/>
      <w:lvlText w:val="•"/>
      <w:lvlJc w:val="left"/>
      <w:pPr>
        <w:ind w:left="4815" w:hanging="292"/>
      </w:pPr>
      <w:rPr>
        <w:rFonts w:hint="default"/>
      </w:rPr>
    </w:lvl>
  </w:abstractNum>
  <w:abstractNum w:abstractNumId="57">
    <w:multiLevelType w:val="hybridMultilevel"/>
    <w:lvl w:ilvl="0">
      <w:start w:val="30"/>
      <w:numFmt w:val="decimal"/>
      <w:lvlText w:val="%1."/>
      <w:lvlJc w:val="left"/>
      <w:pPr>
        <w:ind w:left="120" w:hanging="294"/>
        <w:jc w:val="left"/>
      </w:pPr>
      <w:rPr>
        <w:rFonts w:hint="default" w:ascii="Times New Roman" w:hAnsi="Times New Roman" w:eastAsia="Times New Roman" w:cs="Times New Roman"/>
        <w:color w:val="010101"/>
        <w:spacing w:val="-23"/>
        <w:w w:val="87"/>
        <w:sz w:val="17"/>
        <w:szCs w:val="17"/>
      </w:rPr>
    </w:lvl>
    <w:lvl w:ilvl="1">
      <w:start w:val="1"/>
      <w:numFmt w:val="bullet"/>
      <w:lvlText w:val="•"/>
      <w:lvlJc w:val="left"/>
      <w:pPr>
        <w:ind w:left="706" w:hanging="294"/>
      </w:pPr>
      <w:rPr>
        <w:rFonts w:hint="default"/>
      </w:rPr>
    </w:lvl>
    <w:lvl w:ilvl="2">
      <w:start w:val="1"/>
      <w:numFmt w:val="bullet"/>
      <w:lvlText w:val="•"/>
      <w:lvlJc w:val="left"/>
      <w:pPr>
        <w:ind w:left="1292" w:hanging="294"/>
      </w:pPr>
      <w:rPr>
        <w:rFonts w:hint="default"/>
      </w:rPr>
    </w:lvl>
    <w:lvl w:ilvl="3">
      <w:start w:val="1"/>
      <w:numFmt w:val="bullet"/>
      <w:lvlText w:val="•"/>
      <w:lvlJc w:val="left"/>
      <w:pPr>
        <w:ind w:left="1878" w:hanging="294"/>
      </w:pPr>
      <w:rPr>
        <w:rFonts w:hint="default"/>
      </w:rPr>
    </w:lvl>
    <w:lvl w:ilvl="4">
      <w:start w:val="1"/>
      <w:numFmt w:val="bullet"/>
      <w:lvlText w:val="•"/>
      <w:lvlJc w:val="left"/>
      <w:pPr>
        <w:ind w:left="2464" w:hanging="294"/>
      </w:pPr>
      <w:rPr>
        <w:rFonts w:hint="default"/>
      </w:rPr>
    </w:lvl>
    <w:lvl w:ilvl="5">
      <w:start w:val="1"/>
      <w:numFmt w:val="bullet"/>
      <w:lvlText w:val="•"/>
      <w:lvlJc w:val="left"/>
      <w:pPr>
        <w:ind w:left="3050" w:hanging="294"/>
      </w:pPr>
      <w:rPr>
        <w:rFonts w:hint="default"/>
      </w:rPr>
    </w:lvl>
    <w:lvl w:ilvl="6">
      <w:start w:val="1"/>
      <w:numFmt w:val="bullet"/>
      <w:lvlText w:val="•"/>
      <w:lvlJc w:val="left"/>
      <w:pPr>
        <w:ind w:left="3636" w:hanging="294"/>
      </w:pPr>
      <w:rPr>
        <w:rFonts w:hint="default"/>
      </w:rPr>
    </w:lvl>
    <w:lvl w:ilvl="7">
      <w:start w:val="1"/>
      <w:numFmt w:val="bullet"/>
      <w:lvlText w:val="•"/>
      <w:lvlJc w:val="left"/>
      <w:pPr>
        <w:ind w:left="4222" w:hanging="294"/>
      </w:pPr>
      <w:rPr>
        <w:rFonts w:hint="default"/>
      </w:rPr>
    </w:lvl>
    <w:lvl w:ilvl="8">
      <w:start w:val="1"/>
      <w:numFmt w:val="bullet"/>
      <w:lvlText w:val="•"/>
      <w:lvlJc w:val="left"/>
      <w:pPr>
        <w:ind w:left="4808" w:hanging="294"/>
      </w:pPr>
      <w:rPr>
        <w:rFonts w:hint="default"/>
      </w:rPr>
    </w:lvl>
  </w:abstractNum>
  <w:abstractNum w:abstractNumId="56">
    <w:multiLevelType w:val="hybridMultilevel"/>
    <w:lvl w:ilvl="0">
      <w:start w:val="10"/>
      <w:numFmt w:val="decimal"/>
      <w:lvlText w:val="%1."/>
      <w:lvlJc w:val="left"/>
      <w:pPr>
        <w:ind w:left="432" w:hanging="278"/>
        <w:jc w:val="left"/>
      </w:pPr>
      <w:rPr>
        <w:rFonts w:hint="default" w:ascii="Times New Roman" w:hAnsi="Times New Roman" w:eastAsia="Times New Roman" w:cs="Times New Roman"/>
        <w:w w:val="112"/>
      </w:rPr>
    </w:lvl>
    <w:lvl w:ilvl="1">
      <w:start w:val="28"/>
      <w:numFmt w:val="decimal"/>
      <w:lvlText w:val="%2."/>
      <w:lvlJc w:val="left"/>
      <w:pPr>
        <w:ind w:left="120" w:hanging="290"/>
        <w:jc w:val="left"/>
      </w:pPr>
      <w:rPr>
        <w:rFonts w:hint="default" w:ascii="Times New Roman" w:hAnsi="Times New Roman" w:eastAsia="Times New Roman" w:cs="Times New Roman"/>
        <w:color w:val="010101"/>
        <w:w w:val="98"/>
        <w:sz w:val="17"/>
        <w:szCs w:val="17"/>
      </w:rPr>
    </w:lvl>
    <w:lvl w:ilvl="2">
      <w:start w:val="1"/>
      <w:numFmt w:val="bullet"/>
      <w:lvlText w:val="•"/>
      <w:lvlJc w:val="left"/>
      <w:pPr>
        <w:ind w:left="1055" w:hanging="290"/>
      </w:pPr>
      <w:rPr>
        <w:rFonts w:hint="default"/>
      </w:rPr>
    </w:lvl>
    <w:lvl w:ilvl="3">
      <w:start w:val="1"/>
      <w:numFmt w:val="bullet"/>
      <w:lvlText w:val="•"/>
      <w:lvlJc w:val="left"/>
      <w:pPr>
        <w:ind w:left="1671" w:hanging="290"/>
      </w:pPr>
      <w:rPr>
        <w:rFonts w:hint="default"/>
      </w:rPr>
    </w:lvl>
    <w:lvl w:ilvl="4">
      <w:start w:val="1"/>
      <w:numFmt w:val="bullet"/>
      <w:lvlText w:val="•"/>
      <w:lvlJc w:val="left"/>
      <w:pPr>
        <w:ind w:left="2286" w:hanging="290"/>
      </w:pPr>
      <w:rPr>
        <w:rFonts w:hint="default"/>
      </w:rPr>
    </w:lvl>
    <w:lvl w:ilvl="5">
      <w:start w:val="1"/>
      <w:numFmt w:val="bullet"/>
      <w:lvlText w:val="•"/>
      <w:lvlJc w:val="left"/>
      <w:pPr>
        <w:ind w:left="2902" w:hanging="290"/>
      </w:pPr>
      <w:rPr>
        <w:rFonts w:hint="default"/>
      </w:rPr>
    </w:lvl>
    <w:lvl w:ilvl="6">
      <w:start w:val="1"/>
      <w:numFmt w:val="bullet"/>
      <w:lvlText w:val="•"/>
      <w:lvlJc w:val="left"/>
      <w:pPr>
        <w:ind w:left="3517" w:hanging="290"/>
      </w:pPr>
      <w:rPr>
        <w:rFonts w:hint="default"/>
      </w:rPr>
    </w:lvl>
    <w:lvl w:ilvl="7">
      <w:start w:val="1"/>
      <w:numFmt w:val="bullet"/>
      <w:lvlText w:val="•"/>
      <w:lvlJc w:val="left"/>
      <w:pPr>
        <w:ind w:left="4133" w:hanging="290"/>
      </w:pPr>
      <w:rPr>
        <w:rFonts w:hint="default"/>
      </w:rPr>
    </w:lvl>
    <w:lvl w:ilvl="8">
      <w:start w:val="1"/>
      <w:numFmt w:val="bullet"/>
      <w:lvlText w:val="•"/>
      <w:lvlJc w:val="left"/>
      <w:pPr>
        <w:ind w:left="4748" w:hanging="290"/>
      </w:pPr>
      <w:rPr>
        <w:rFonts w:hint="default"/>
      </w:rPr>
    </w:lvl>
  </w:abstractNum>
  <w:abstractNum w:abstractNumId="55">
    <w:multiLevelType w:val="hybridMultilevel"/>
    <w:lvl w:ilvl="0">
      <w:start w:val="9"/>
      <w:numFmt w:val="decimal"/>
      <w:lvlText w:val="%1."/>
      <w:lvlJc w:val="left"/>
      <w:pPr>
        <w:ind w:left="335" w:hanging="216"/>
        <w:jc w:val="left"/>
      </w:pPr>
      <w:rPr>
        <w:rFonts w:hint="default" w:ascii="Times New Roman" w:hAnsi="Times New Roman" w:eastAsia="Times New Roman" w:cs="Times New Roman"/>
        <w:b/>
        <w:bCs/>
        <w:w w:val="124"/>
        <w:sz w:val="16"/>
        <w:szCs w:val="16"/>
      </w:rPr>
    </w:lvl>
    <w:lvl w:ilvl="1">
      <w:start w:val="25"/>
      <w:numFmt w:val="decimal"/>
      <w:lvlText w:val="%2."/>
      <w:lvlJc w:val="left"/>
      <w:pPr>
        <w:ind w:left="573" w:hanging="292"/>
        <w:jc w:val="left"/>
      </w:pPr>
      <w:rPr>
        <w:rFonts w:hint="default" w:ascii="Times New Roman" w:hAnsi="Times New Roman" w:eastAsia="Times New Roman" w:cs="Times New Roman"/>
        <w:w w:val="93"/>
      </w:rPr>
    </w:lvl>
    <w:lvl w:ilvl="2">
      <w:start w:val="1"/>
      <w:numFmt w:val="bullet"/>
      <w:lvlText w:val="•"/>
      <w:lvlJc w:val="left"/>
      <w:pPr>
        <w:ind w:left="713" w:hanging="292"/>
      </w:pPr>
      <w:rPr>
        <w:rFonts w:hint="default"/>
      </w:rPr>
    </w:lvl>
    <w:lvl w:ilvl="3">
      <w:start w:val="1"/>
      <w:numFmt w:val="bullet"/>
      <w:lvlText w:val="•"/>
      <w:lvlJc w:val="left"/>
      <w:pPr>
        <w:ind w:left="846" w:hanging="292"/>
      </w:pPr>
      <w:rPr>
        <w:rFonts w:hint="default"/>
      </w:rPr>
    </w:lvl>
    <w:lvl w:ilvl="4">
      <w:start w:val="1"/>
      <w:numFmt w:val="bullet"/>
      <w:lvlText w:val="•"/>
      <w:lvlJc w:val="left"/>
      <w:pPr>
        <w:ind w:left="980" w:hanging="292"/>
      </w:pPr>
      <w:rPr>
        <w:rFonts w:hint="default"/>
      </w:rPr>
    </w:lvl>
    <w:lvl w:ilvl="5">
      <w:start w:val="1"/>
      <w:numFmt w:val="bullet"/>
      <w:lvlText w:val="•"/>
      <w:lvlJc w:val="left"/>
      <w:pPr>
        <w:ind w:left="1113" w:hanging="292"/>
      </w:pPr>
      <w:rPr>
        <w:rFonts w:hint="default"/>
      </w:rPr>
    </w:lvl>
    <w:lvl w:ilvl="6">
      <w:start w:val="1"/>
      <w:numFmt w:val="bullet"/>
      <w:lvlText w:val="•"/>
      <w:lvlJc w:val="left"/>
      <w:pPr>
        <w:ind w:left="1246" w:hanging="292"/>
      </w:pPr>
      <w:rPr>
        <w:rFonts w:hint="default"/>
      </w:rPr>
    </w:lvl>
    <w:lvl w:ilvl="7">
      <w:start w:val="1"/>
      <w:numFmt w:val="bullet"/>
      <w:lvlText w:val="•"/>
      <w:lvlJc w:val="left"/>
      <w:pPr>
        <w:ind w:left="1380" w:hanging="292"/>
      </w:pPr>
      <w:rPr>
        <w:rFonts w:hint="default"/>
      </w:rPr>
    </w:lvl>
    <w:lvl w:ilvl="8">
      <w:start w:val="1"/>
      <w:numFmt w:val="bullet"/>
      <w:lvlText w:val="•"/>
      <w:lvlJc w:val="left"/>
      <w:pPr>
        <w:ind w:left="1513" w:hanging="292"/>
      </w:pPr>
      <w:rPr>
        <w:rFonts w:hint="default"/>
      </w:rPr>
    </w:lvl>
  </w:abstractNum>
  <w:abstractNum w:abstractNumId="54">
    <w:multiLevelType w:val="hybridMultilevel"/>
    <w:lvl w:ilvl="0">
      <w:start w:val="21"/>
      <w:numFmt w:val="decimal"/>
      <w:lvlText w:val="%1."/>
      <w:lvlJc w:val="left"/>
      <w:pPr>
        <w:ind w:left="126" w:hanging="296"/>
        <w:jc w:val="left"/>
      </w:pPr>
      <w:rPr>
        <w:rFonts w:hint="default" w:ascii="Times New Roman" w:hAnsi="Times New Roman" w:eastAsia="Times New Roman" w:cs="Times New Roman"/>
        <w:spacing w:val="-29"/>
        <w:w w:val="119"/>
      </w:rPr>
    </w:lvl>
    <w:lvl w:ilvl="1">
      <w:start w:val="1"/>
      <w:numFmt w:val="bullet"/>
      <w:lvlText w:val="•"/>
      <w:lvlJc w:val="left"/>
      <w:pPr>
        <w:ind w:left="714" w:hanging="296"/>
      </w:pPr>
      <w:rPr>
        <w:rFonts w:hint="default"/>
      </w:rPr>
    </w:lvl>
    <w:lvl w:ilvl="2">
      <w:start w:val="1"/>
      <w:numFmt w:val="bullet"/>
      <w:lvlText w:val="•"/>
      <w:lvlJc w:val="left"/>
      <w:pPr>
        <w:ind w:left="1308" w:hanging="296"/>
      </w:pPr>
      <w:rPr>
        <w:rFonts w:hint="default"/>
      </w:rPr>
    </w:lvl>
    <w:lvl w:ilvl="3">
      <w:start w:val="1"/>
      <w:numFmt w:val="bullet"/>
      <w:lvlText w:val="•"/>
      <w:lvlJc w:val="left"/>
      <w:pPr>
        <w:ind w:left="1902" w:hanging="296"/>
      </w:pPr>
      <w:rPr>
        <w:rFonts w:hint="default"/>
      </w:rPr>
    </w:lvl>
    <w:lvl w:ilvl="4">
      <w:start w:val="1"/>
      <w:numFmt w:val="bullet"/>
      <w:lvlText w:val="•"/>
      <w:lvlJc w:val="left"/>
      <w:pPr>
        <w:ind w:left="2496" w:hanging="296"/>
      </w:pPr>
      <w:rPr>
        <w:rFonts w:hint="default"/>
      </w:rPr>
    </w:lvl>
    <w:lvl w:ilvl="5">
      <w:start w:val="1"/>
      <w:numFmt w:val="bullet"/>
      <w:lvlText w:val="•"/>
      <w:lvlJc w:val="left"/>
      <w:pPr>
        <w:ind w:left="3090" w:hanging="296"/>
      </w:pPr>
      <w:rPr>
        <w:rFonts w:hint="default"/>
      </w:rPr>
    </w:lvl>
    <w:lvl w:ilvl="6">
      <w:start w:val="1"/>
      <w:numFmt w:val="bullet"/>
      <w:lvlText w:val="•"/>
      <w:lvlJc w:val="left"/>
      <w:pPr>
        <w:ind w:left="3684" w:hanging="296"/>
      </w:pPr>
      <w:rPr>
        <w:rFonts w:hint="default"/>
      </w:rPr>
    </w:lvl>
    <w:lvl w:ilvl="7">
      <w:start w:val="1"/>
      <w:numFmt w:val="bullet"/>
      <w:lvlText w:val="•"/>
      <w:lvlJc w:val="left"/>
      <w:pPr>
        <w:ind w:left="4278" w:hanging="296"/>
      </w:pPr>
      <w:rPr>
        <w:rFonts w:hint="default"/>
      </w:rPr>
    </w:lvl>
    <w:lvl w:ilvl="8">
      <w:start w:val="1"/>
      <w:numFmt w:val="bullet"/>
      <w:lvlText w:val="•"/>
      <w:lvlJc w:val="left"/>
      <w:pPr>
        <w:ind w:left="4872" w:hanging="296"/>
      </w:pPr>
      <w:rPr>
        <w:rFonts w:hint="default"/>
      </w:rPr>
    </w:lvl>
  </w:abstractNum>
  <w:abstractNum w:abstractNumId="53">
    <w:multiLevelType w:val="hybridMultilevel"/>
    <w:lvl w:ilvl="0">
      <w:start w:val="7"/>
      <w:numFmt w:val="decimal"/>
      <w:lvlText w:val="%1."/>
      <w:lvlJc w:val="left"/>
      <w:pPr>
        <w:ind w:left="360" w:hanging="227"/>
        <w:jc w:val="left"/>
      </w:pPr>
      <w:rPr>
        <w:rFonts w:hint="default" w:ascii="Times New Roman" w:hAnsi="Times New Roman" w:eastAsia="Times New Roman" w:cs="Times New Roman"/>
        <w:w w:val="117"/>
        <w:sz w:val="17"/>
        <w:szCs w:val="17"/>
      </w:rPr>
    </w:lvl>
    <w:lvl w:ilvl="1">
      <w:start w:val="18"/>
      <w:numFmt w:val="decimal"/>
      <w:lvlText w:val="%2."/>
      <w:lvlJc w:val="left"/>
      <w:pPr>
        <w:ind w:left="134" w:hanging="281"/>
        <w:jc w:val="left"/>
      </w:pPr>
      <w:rPr>
        <w:rFonts w:hint="default" w:ascii="Times New Roman" w:hAnsi="Times New Roman" w:eastAsia="Times New Roman" w:cs="Times New Roman"/>
        <w:spacing w:val="-34"/>
        <w:w w:val="118"/>
      </w:rPr>
    </w:lvl>
    <w:lvl w:ilvl="2">
      <w:start w:val="1"/>
      <w:numFmt w:val="bullet"/>
      <w:lvlText w:val="•"/>
      <w:lvlJc w:val="left"/>
      <w:pPr>
        <w:ind w:left="993" w:hanging="281"/>
      </w:pPr>
      <w:rPr>
        <w:rFonts w:hint="default"/>
      </w:rPr>
    </w:lvl>
    <w:lvl w:ilvl="3">
      <w:start w:val="1"/>
      <w:numFmt w:val="bullet"/>
      <w:lvlText w:val="•"/>
      <w:lvlJc w:val="left"/>
      <w:pPr>
        <w:ind w:left="1626" w:hanging="281"/>
      </w:pPr>
      <w:rPr>
        <w:rFonts w:hint="default"/>
      </w:rPr>
    </w:lvl>
    <w:lvl w:ilvl="4">
      <w:start w:val="1"/>
      <w:numFmt w:val="bullet"/>
      <w:lvlText w:val="•"/>
      <w:lvlJc w:val="left"/>
      <w:pPr>
        <w:ind w:left="2260" w:hanging="281"/>
      </w:pPr>
      <w:rPr>
        <w:rFonts w:hint="default"/>
      </w:rPr>
    </w:lvl>
    <w:lvl w:ilvl="5">
      <w:start w:val="1"/>
      <w:numFmt w:val="bullet"/>
      <w:lvlText w:val="•"/>
      <w:lvlJc w:val="left"/>
      <w:pPr>
        <w:ind w:left="2893" w:hanging="281"/>
      </w:pPr>
      <w:rPr>
        <w:rFonts w:hint="default"/>
      </w:rPr>
    </w:lvl>
    <w:lvl w:ilvl="6">
      <w:start w:val="1"/>
      <w:numFmt w:val="bullet"/>
      <w:lvlText w:val="•"/>
      <w:lvlJc w:val="left"/>
      <w:pPr>
        <w:ind w:left="3526" w:hanging="281"/>
      </w:pPr>
      <w:rPr>
        <w:rFonts w:hint="default"/>
      </w:rPr>
    </w:lvl>
    <w:lvl w:ilvl="7">
      <w:start w:val="1"/>
      <w:numFmt w:val="bullet"/>
      <w:lvlText w:val="•"/>
      <w:lvlJc w:val="left"/>
      <w:pPr>
        <w:ind w:left="4160" w:hanging="281"/>
      </w:pPr>
      <w:rPr>
        <w:rFonts w:hint="default"/>
      </w:rPr>
    </w:lvl>
    <w:lvl w:ilvl="8">
      <w:start w:val="1"/>
      <w:numFmt w:val="bullet"/>
      <w:lvlText w:val="•"/>
      <w:lvlJc w:val="left"/>
      <w:pPr>
        <w:ind w:left="4793" w:hanging="281"/>
      </w:pPr>
      <w:rPr>
        <w:rFonts w:hint="default"/>
      </w:rPr>
    </w:lvl>
  </w:abstractNum>
  <w:abstractNum w:abstractNumId="52">
    <w:multiLevelType w:val="hybridMultilevel"/>
    <w:lvl w:ilvl="0">
      <w:start w:val="16"/>
      <w:numFmt w:val="decimal"/>
      <w:lvlText w:val="%1."/>
      <w:lvlJc w:val="left"/>
      <w:pPr>
        <w:ind w:left="584" w:hanging="285"/>
        <w:jc w:val="left"/>
      </w:pPr>
      <w:rPr>
        <w:rFonts w:hint="default" w:ascii="Times New Roman" w:hAnsi="Times New Roman" w:eastAsia="Times New Roman" w:cs="Times New Roman"/>
        <w:spacing w:val="-40"/>
        <w:w w:val="118"/>
        <w:sz w:val="16"/>
        <w:szCs w:val="16"/>
      </w:rPr>
    </w:lvl>
    <w:lvl w:ilvl="1">
      <w:start w:val="1"/>
      <w:numFmt w:val="bullet"/>
      <w:lvlText w:val="•"/>
      <w:lvlJc w:val="left"/>
      <w:pPr>
        <w:ind w:left="1128" w:hanging="285"/>
      </w:pPr>
      <w:rPr>
        <w:rFonts w:hint="default"/>
      </w:rPr>
    </w:lvl>
    <w:lvl w:ilvl="2">
      <w:start w:val="1"/>
      <w:numFmt w:val="bullet"/>
      <w:lvlText w:val="•"/>
      <w:lvlJc w:val="left"/>
      <w:pPr>
        <w:ind w:left="1676" w:hanging="285"/>
      </w:pPr>
      <w:rPr>
        <w:rFonts w:hint="default"/>
      </w:rPr>
    </w:lvl>
    <w:lvl w:ilvl="3">
      <w:start w:val="1"/>
      <w:numFmt w:val="bullet"/>
      <w:lvlText w:val="•"/>
      <w:lvlJc w:val="left"/>
      <w:pPr>
        <w:ind w:left="2224" w:hanging="285"/>
      </w:pPr>
      <w:rPr>
        <w:rFonts w:hint="default"/>
      </w:rPr>
    </w:lvl>
    <w:lvl w:ilvl="4">
      <w:start w:val="1"/>
      <w:numFmt w:val="bullet"/>
      <w:lvlText w:val="•"/>
      <w:lvlJc w:val="left"/>
      <w:pPr>
        <w:ind w:left="2772" w:hanging="285"/>
      </w:pPr>
      <w:rPr>
        <w:rFonts w:hint="default"/>
      </w:rPr>
    </w:lvl>
    <w:lvl w:ilvl="5">
      <w:start w:val="1"/>
      <w:numFmt w:val="bullet"/>
      <w:lvlText w:val="•"/>
      <w:lvlJc w:val="left"/>
      <w:pPr>
        <w:ind w:left="3320" w:hanging="285"/>
      </w:pPr>
      <w:rPr>
        <w:rFonts w:hint="default"/>
      </w:rPr>
    </w:lvl>
    <w:lvl w:ilvl="6">
      <w:start w:val="1"/>
      <w:numFmt w:val="bullet"/>
      <w:lvlText w:val="•"/>
      <w:lvlJc w:val="left"/>
      <w:pPr>
        <w:ind w:left="3868" w:hanging="285"/>
      </w:pPr>
      <w:rPr>
        <w:rFonts w:hint="default"/>
      </w:rPr>
    </w:lvl>
    <w:lvl w:ilvl="7">
      <w:start w:val="1"/>
      <w:numFmt w:val="bullet"/>
      <w:lvlText w:val="•"/>
      <w:lvlJc w:val="left"/>
      <w:pPr>
        <w:ind w:left="4416" w:hanging="285"/>
      </w:pPr>
      <w:rPr>
        <w:rFonts w:hint="default"/>
      </w:rPr>
    </w:lvl>
    <w:lvl w:ilvl="8">
      <w:start w:val="1"/>
      <w:numFmt w:val="bullet"/>
      <w:lvlText w:val="•"/>
      <w:lvlJc w:val="left"/>
      <w:pPr>
        <w:ind w:left="4964" w:hanging="285"/>
      </w:pPr>
      <w:rPr>
        <w:rFonts w:hint="default"/>
      </w:rPr>
    </w:lvl>
  </w:abstractNum>
  <w:abstractNum w:abstractNumId="51">
    <w:multiLevelType w:val="hybridMultilevel"/>
    <w:lvl w:ilvl="0">
      <w:start w:val="5"/>
      <w:numFmt w:val="decimal"/>
      <w:lvlText w:val="%1."/>
      <w:lvlJc w:val="left"/>
      <w:pPr>
        <w:ind w:left="319" w:hanging="219"/>
        <w:jc w:val="left"/>
      </w:pPr>
      <w:rPr>
        <w:rFonts w:hint="default" w:ascii="Times New Roman" w:hAnsi="Times New Roman" w:eastAsia="Times New Roman" w:cs="Times New Roman"/>
        <w:color w:val="010101"/>
        <w:w w:val="118"/>
        <w:sz w:val="17"/>
        <w:szCs w:val="17"/>
      </w:rPr>
    </w:lvl>
    <w:lvl w:ilvl="1">
      <w:start w:val="11"/>
      <w:numFmt w:val="decimal"/>
      <w:lvlText w:val="%2."/>
      <w:lvlJc w:val="left"/>
      <w:pPr>
        <w:ind w:left="141" w:hanging="280"/>
        <w:jc w:val="left"/>
      </w:pPr>
      <w:rPr>
        <w:rFonts w:hint="default" w:ascii="Times New Roman" w:hAnsi="Times New Roman" w:eastAsia="Times New Roman" w:cs="Times New Roman"/>
        <w:w w:val="99"/>
      </w:rPr>
    </w:lvl>
    <w:lvl w:ilvl="2">
      <w:start w:val="1"/>
      <w:numFmt w:val="bullet"/>
      <w:lvlText w:val="•"/>
      <w:lvlJc w:val="left"/>
      <w:pPr>
        <w:ind w:left="948" w:hanging="280"/>
      </w:pPr>
      <w:rPr>
        <w:rFonts w:hint="default"/>
      </w:rPr>
    </w:lvl>
    <w:lvl w:ilvl="3">
      <w:start w:val="1"/>
      <w:numFmt w:val="bullet"/>
      <w:lvlText w:val="•"/>
      <w:lvlJc w:val="left"/>
      <w:pPr>
        <w:ind w:left="1577" w:hanging="280"/>
      </w:pPr>
      <w:rPr>
        <w:rFonts w:hint="default"/>
      </w:rPr>
    </w:lvl>
    <w:lvl w:ilvl="4">
      <w:start w:val="1"/>
      <w:numFmt w:val="bullet"/>
      <w:lvlText w:val="•"/>
      <w:lvlJc w:val="left"/>
      <w:pPr>
        <w:ind w:left="2206" w:hanging="280"/>
      </w:pPr>
      <w:rPr>
        <w:rFonts w:hint="default"/>
      </w:rPr>
    </w:lvl>
    <w:lvl w:ilvl="5">
      <w:start w:val="1"/>
      <w:numFmt w:val="bullet"/>
      <w:lvlText w:val="•"/>
      <w:lvlJc w:val="left"/>
      <w:pPr>
        <w:ind w:left="2835" w:hanging="280"/>
      </w:pPr>
      <w:rPr>
        <w:rFonts w:hint="default"/>
      </w:rPr>
    </w:lvl>
    <w:lvl w:ilvl="6">
      <w:start w:val="1"/>
      <w:numFmt w:val="bullet"/>
      <w:lvlText w:val="•"/>
      <w:lvlJc w:val="left"/>
      <w:pPr>
        <w:ind w:left="3464" w:hanging="280"/>
      </w:pPr>
      <w:rPr>
        <w:rFonts w:hint="default"/>
      </w:rPr>
    </w:lvl>
    <w:lvl w:ilvl="7">
      <w:start w:val="1"/>
      <w:numFmt w:val="bullet"/>
      <w:lvlText w:val="•"/>
      <w:lvlJc w:val="left"/>
      <w:pPr>
        <w:ind w:left="4093" w:hanging="280"/>
      </w:pPr>
      <w:rPr>
        <w:rFonts w:hint="default"/>
      </w:rPr>
    </w:lvl>
    <w:lvl w:ilvl="8">
      <w:start w:val="1"/>
      <w:numFmt w:val="bullet"/>
      <w:lvlText w:val="•"/>
      <w:lvlJc w:val="left"/>
      <w:pPr>
        <w:ind w:left="4722" w:hanging="280"/>
      </w:pPr>
      <w:rPr>
        <w:rFonts w:hint="default"/>
      </w:rPr>
    </w:lvl>
  </w:abstractNum>
  <w:abstractNum w:abstractNumId="50">
    <w:multiLevelType w:val="hybridMultilevel"/>
    <w:lvl w:ilvl="0">
      <w:start w:val="4"/>
      <w:numFmt w:val="decimal"/>
      <w:lvlText w:val="%1."/>
      <w:lvlJc w:val="left"/>
      <w:pPr>
        <w:ind w:left="105" w:hanging="207"/>
        <w:jc w:val="left"/>
      </w:pPr>
      <w:rPr>
        <w:rFonts w:hint="default" w:ascii="Times New Roman" w:hAnsi="Times New Roman" w:eastAsia="Times New Roman" w:cs="Times New Roman"/>
        <w:w w:val="103"/>
      </w:rPr>
    </w:lvl>
    <w:lvl w:ilvl="1">
      <w:start w:val="1"/>
      <w:numFmt w:val="bullet"/>
      <w:lvlText w:val="•"/>
      <w:lvlJc w:val="left"/>
      <w:pPr>
        <w:ind w:left="684" w:hanging="207"/>
      </w:pPr>
      <w:rPr>
        <w:rFonts w:hint="default"/>
      </w:rPr>
    </w:lvl>
    <w:lvl w:ilvl="2">
      <w:start w:val="1"/>
      <w:numFmt w:val="bullet"/>
      <w:lvlText w:val="•"/>
      <w:lvlJc w:val="left"/>
      <w:pPr>
        <w:ind w:left="1268" w:hanging="207"/>
      </w:pPr>
      <w:rPr>
        <w:rFonts w:hint="default"/>
      </w:rPr>
    </w:lvl>
    <w:lvl w:ilvl="3">
      <w:start w:val="1"/>
      <w:numFmt w:val="bullet"/>
      <w:lvlText w:val="•"/>
      <w:lvlJc w:val="left"/>
      <w:pPr>
        <w:ind w:left="1852" w:hanging="207"/>
      </w:pPr>
      <w:rPr>
        <w:rFonts w:hint="default"/>
      </w:rPr>
    </w:lvl>
    <w:lvl w:ilvl="4">
      <w:start w:val="1"/>
      <w:numFmt w:val="bullet"/>
      <w:lvlText w:val="•"/>
      <w:lvlJc w:val="left"/>
      <w:pPr>
        <w:ind w:left="2436" w:hanging="207"/>
      </w:pPr>
      <w:rPr>
        <w:rFonts w:hint="default"/>
      </w:rPr>
    </w:lvl>
    <w:lvl w:ilvl="5">
      <w:start w:val="1"/>
      <w:numFmt w:val="bullet"/>
      <w:lvlText w:val="•"/>
      <w:lvlJc w:val="left"/>
      <w:pPr>
        <w:ind w:left="3020" w:hanging="207"/>
      </w:pPr>
      <w:rPr>
        <w:rFonts w:hint="default"/>
      </w:rPr>
    </w:lvl>
    <w:lvl w:ilvl="6">
      <w:start w:val="1"/>
      <w:numFmt w:val="bullet"/>
      <w:lvlText w:val="•"/>
      <w:lvlJc w:val="left"/>
      <w:pPr>
        <w:ind w:left="3604" w:hanging="207"/>
      </w:pPr>
      <w:rPr>
        <w:rFonts w:hint="default"/>
      </w:rPr>
    </w:lvl>
    <w:lvl w:ilvl="7">
      <w:start w:val="1"/>
      <w:numFmt w:val="bullet"/>
      <w:lvlText w:val="•"/>
      <w:lvlJc w:val="left"/>
      <w:pPr>
        <w:ind w:left="4188" w:hanging="207"/>
      </w:pPr>
      <w:rPr>
        <w:rFonts w:hint="default"/>
      </w:rPr>
    </w:lvl>
    <w:lvl w:ilvl="8">
      <w:start w:val="1"/>
      <w:numFmt w:val="bullet"/>
      <w:lvlText w:val="•"/>
      <w:lvlJc w:val="left"/>
      <w:pPr>
        <w:ind w:left="4772" w:hanging="207"/>
      </w:pPr>
      <w:rPr>
        <w:rFonts w:hint="default"/>
      </w:rPr>
    </w:lvl>
  </w:abstractNum>
  <w:abstractNum w:abstractNumId="49">
    <w:multiLevelType w:val="hybridMultilevel"/>
    <w:lvl w:ilvl="0">
      <w:start w:val="3"/>
      <w:numFmt w:val="decimal"/>
      <w:lvlText w:val="%1."/>
      <w:lvlJc w:val="left"/>
      <w:pPr>
        <w:ind w:left="323" w:hanging="222"/>
        <w:jc w:val="left"/>
      </w:pPr>
      <w:rPr>
        <w:rFonts w:hint="default" w:ascii="Times New Roman" w:hAnsi="Times New Roman" w:eastAsia="Times New Roman" w:cs="Times New Roman"/>
        <w:b/>
        <w:bCs/>
        <w:w w:val="113"/>
      </w:rPr>
    </w:lvl>
    <w:lvl w:ilvl="1">
      <w:start w:val="7"/>
      <w:numFmt w:val="decimal"/>
      <w:lvlText w:val="%2."/>
      <w:lvlJc w:val="left"/>
      <w:pPr>
        <w:ind w:left="774" w:hanging="216"/>
        <w:jc w:val="left"/>
      </w:pPr>
      <w:rPr>
        <w:rFonts w:hint="default" w:ascii="Times New Roman" w:hAnsi="Times New Roman" w:eastAsia="Times New Roman" w:cs="Times New Roman"/>
        <w:color w:val="010101"/>
        <w:w w:val="106"/>
        <w:sz w:val="17"/>
        <w:szCs w:val="17"/>
      </w:rPr>
    </w:lvl>
    <w:lvl w:ilvl="2">
      <w:start w:val="1"/>
      <w:numFmt w:val="bullet"/>
      <w:lvlText w:val="•"/>
      <w:lvlJc w:val="left"/>
      <w:pPr>
        <w:ind w:left="1600" w:hanging="216"/>
      </w:pPr>
      <w:rPr>
        <w:rFonts w:hint="default"/>
      </w:rPr>
    </w:lvl>
    <w:lvl w:ilvl="3">
      <w:start w:val="1"/>
      <w:numFmt w:val="bullet"/>
      <w:lvlText w:val="•"/>
      <w:lvlJc w:val="left"/>
      <w:pPr>
        <w:ind w:left="1395" w:hanging="216"/>
      </w:pPr>
      <w:rPr>
        <w:rFonts w:hint="default"/>
      </w:rPr>
    </w:lvl>
    <w:lvl w:ilvl="4">
      <w:start w:val="1"/>
      <w:numFmt w:val="bullet"/>
      <w:lvlText w:val="•"/>
      <w:lvlJc w:val="left"/>
      <w:pPr>
        <w:ind w:left="1190" w:hanging="216"/>
      </w:pPr>
      <w:rPr>
        <w:rFonts w:hint="default"/>
      </w:rPr>
    </w:lvl>
    <w:lvl w:ilvl="5">
      <w:start w:val="1"/>
      <w:numFmt w:val="bullet"/>
      <w:lvlText w:val="•"/>
      <w:lvlJc w:val="left"/>
      <w:pPr>
        <w:ind w:left="985" w:hanging="216"/>
      </w:pPr>
      <w:rPr>
        <w:rFonts w:hint="default"/>
      </w:rPr>
    </w:lvl>
    <w:lvl w:ilvl="6">
      <w:start w:val="1"/>
      <w:numFmt w:val="bullet"/>
      <w:lvlText w:val="•"/>
      <w:lvlJc w:val="left"/>
      <w:pPr>
        <w:ind w:left="780" w:hanging="216"/>
      </w:pPr>
      <w:rPr>
        <w:rFonts w:hint="default"/>
      </w:rPr>
    </w:lvl>
    <w:lvl w:ilvl="7">
      <w:start w:val="1"/>
      <w:numFmt w:val="bullet"/>
      <w:lvlText w:val="•"/>
      <w:lvlJc w:val="left"/>
      <w:pPr>
        <w:ind w:left="575" w:hanging="216"/>
      </w:pPr>
      <w:rPr>
        <w:rFonts w:hint="default"/>
      </w:rPr>
    </w:lvl>
    <w:lvl w:ilvl="8">
      <w:start w:val="1"/>
      <w:numFmt w:val="bullet"/>
      <w:lvlText w:val="•"/>
      <w:lvlJc w:val="left"/>
      <w:pPr>
        <w:ind w:left="370" w:hanging="216"/>
      </w:pPr>
      <w:rPr>
        <w:rFonts w:hint="default"/>
      </w:rPr>
    </w:lvl>
  </w:abstractNum>
  <w:abstractNum w:abstractNumId="48">
    <w:multiLevelType w:val="hybridMultilevel"/>
    <w:lvl w:ilvl="0">
      <w:start w:val="2"/>
      <w:numFmt w:val="decimal"/>
      <w:lvlText w:val="%1."/>
      <w:lvlJc w:val="left"/>
      <w:pPr>
        <w:ind w:left="473" w:hanging="207"/>
        <w:jc w:val="left"/>
      </w:pPr>
      <w:rPr>
        <w:rFonts w:hint="default" w:ascii="Times New Roman" w:hAnsi="Times New Roman" w:eastAsia="Times New Roman" w:cs="Times New Roman"/>
        <w:color w:val="010101"/>
        <w:w w:val="97"/>
        <w:sz w:val="18"/>
        <w:szCs w:val="18"/>
      </w:rPr>
    </w:lvl>
    <w:lvl w:ilvl="1">
      <w:start w:val="1"/>
      <w:numFmt w:val="bullet"/>
      <w:lvlText w:val="•"/>
      <w:lvlJc w:val="left"/>
      <w:pPr>
        <w:ind w:left="1026" w:hanging="207"/>
      </w:pPr>
      <w:rPr>
        <w:rFonts w:hint="default"/>
      </w:rPr>
    </w:lvl>
    <w:lvl w:ilvl="2">
      <w:start w:val="1"/>
      <w:numFmt w:val="bullet"/>
      <w:lvlText w:val="•"/>
      <w:lvlJc w:val="left"/>
      <w:pPr>
        <w:ind w:left="1572" w:hanging="207"/>
      </w:pPr>
      <w:rPr>
        <w:rFonts w:hint="default"/>
      </w:rPr>
    </w:lvl>
    <w:lvl w:ilvl="3">
      <w:start w:val="1"/>
      <w:numFmt w:val="bullet"/>
      <w:lvlText w:val="•"/>
      <w:lvlJc w:val="left"/>
      <w:pPr>
        <w:ind w:left="2118" w:hanging="207"/>
      </w:pPr>
      <w:rPr>
        <w:rFonts w:hint="default"/>
      </w:rPr>
    </w:lvl>
    <w:lvl w:ilvl="4">
      <w:start w:val="1"/>
      <w:numFmt w:val="bullet"/>
      <w:lvlText w:val="•"/>
      <w:lvlJc w:val="left"/>
      <w:pPr>
        <w:ind w:left="2664" w:hanging="207"/>
      </w:pPr>
      <w:rPr>
        <w:rFonts w:hint="default"/>
      </w:rPr>
    </w:lvl>
    <w:lvl w:ilvl="5">
      <w:start w:val="1"/>
      <w:numFmt w:val="bullet"/>
      <w:lvlText w:val="•"/>
      <w:lvlJc w:val="left"/>
      <w:pPr>
        <w:ind w:left="3210" w:hanging="207"/>
      </w:pPr>
      <w:rPr>
        <w:rFonts w:hint="default"/>
      </w:rPr>
    </w:lvl>
    <w:lvl w:ilvl="6">
      <w:start w:val="1"/>
      <w:numFmt w:val="bullet"/>
      <w:lvlText w:val="•"/>
      <w:lvlJc w:val="left"/>
      <w:pPr>
        <w:ind w:left="3756" w:hanging="207"/>
      </w:pPr>
      <w:rPr>
        <w:rFonts w:hint="default"/>
      </w:rPr>
    </w:lvl>
    <w:lvl w:ilvl="7">
      <w:start w:val="1"/>
      <w:numFmt w:val="bullet"/>
      <w:lvlText w:val="•"/>
      <w:lvlJc w:val="left"/>
      <w:pPr>
        <w:ind w:left="4302" w:hanging="207"/>
      </w:pPr>
      <w:rPr>
        <w:rFonts w:hint="default"/>
      </w:rPr>
    </w:lvl>
    <w:lvl w:ilvl="8">
      <w:start w:val="1"/>
      <w:numFmt w:val="bullet"/>
      <w:lvlText w:val="•"/>
      <w:lvlJc w:val="left"/>
      <w:pPr>
        <w:ind w:left="4848" w:hanging="207"/>
      </w:pPr>
      <w:rPr>
        <w:rFonts w:hint="default"/>
      </w:rPr>
    </w:lvl>
  </w:abstractNum>
  <w:abstractNum w:abstractNumId="47">
    <w:multiLevelType w:val="hybridMultilevel"/>
    <w:lvl w:ilvl="0">
      <w:start w:val="12"/>
      <w:numFmt w:val="lowerLetter"/>
      <w:lvlText w:val="%1."/>
      <w:lvlJc w:val="left"/>
      <w:pPr>
        <w:ind w:left="109" w:hanging="197"/>
        <w:jc w:val="left"/>
      </w:pPr>
      <w:rPr>
        <w:rFonts w:hint="default" w:ascii="Times New Roman" w:hAnsi="Times New Roman" w:eastAsia="Times New Roman" w:cs="Times New Roman"/>
        <w:color w:val="010101"/>
        <w:w w:val="145"/>
        <w:sz w:val="17"/>
        <w:szCs w:val="17"/>
      </w:rPr>
    </w:lvl>
    <w:lvl w:ilvl="1">
      <w:start w:val="1"/>
      <w:numFmt w:val="lowerLetter"/>
      <w:lvlText w:val="(%2)"/>
      <w:lvlJc w:val="left"/>
      <w:pPr>
        <w:ind w:left="986" w:hanging="550"/>
        <w:jc w:val="left"/>
      </w:pPr>
      <w:rPr>
        <w:rFonts w:hint="default" w:ascii="Times New Roman" w:hAnsi="Times New Roman" w:eastAsia="Times New Roman" w:cs="Times New Roman"/>
        <w:w w:val="116"/>
      </w:rPr>
    </w:lvl>
    <w:lvl w:ilvl="2">
      <w:start w:val="1"/>
      <w:numFmt w:val="bullet"/>
      <w:lvlText w:val="•"/>
      <w:lvlJc w:val="left"/>
      <w:pPr>
        <w:ind w:left="1531" w:hanging="550"/>
      </w:pPr>
      <w:rPr>
        <w:rFonts w:hint="default"/>
      </w:rPr>
    </w:lvl>
    <w:lvl w:ilvl="3">
      <w:start w:val="1"/>
      <w:numFmt w:val="bullet"/>
      <w:lvlText w:val="•"/>
      <w:lvlJc w:val="left"/>
      <w:pPr>
        <w:ind w:left="2082" w:hanging="550"/>
      </w:pPr>
      <w:rPr>
        <w:rFonts w:hint="default"/>
      </w:rPr>
    </w:lvl>
    <w:lvl w:ilvl="4">
      <w:start w:val="1"/>
      <w:numFmt w:val="bullet"/>
      <w:lvlText w:val="•"/>
      <w:lvlJc w:val="left"/>
      <w:pPr>
        <w:ind w:left="2633" w:hanging="550"/>
      </w:pPr>
      <w:rPr>
        <w:rFonts w:hint="default"/>
      </w:rPr>
    </w:lvl>
    <w:lvl w:ilvl="5">
      <w:start w:val="1"/>
      <w:numFmt w:val="bullet"/>
      <w:lvlText w:val="•"/>
      <w:lvlJc w:val="left"/>
      <w:pPr>
        <w:ind w:left="3184" w:hanging="550"/>
      </w:pPr>
      <w:rPr>
        <w:rFonts w:hint="default"/>
      </w:rPr>
    </w:lvl>
    <w:lvl w:ilvl="6">
      <w:start w:val="1"/>
      <w:numFmt w:val="bullet"/>
      <w:lvlText w:val="•"/>
      <w:lvlJc w:val="left"/>
      <w:pPr>
        <w:ind w:left="3735" w:hanging="550"/>
      </w:pPr>
      <w:rPr>
        <w:rFonts w:hint="default"/>
      </w:rPr>
    </w:lvl>
    <w:lvl w:ilvl="7">
      <w:start w:val="1"/>
      <w:numFmt w:val="bullet"/>
      <w:lvlText w:val="•"/>
      <w:lvlJc w:val="left"/>
      <w:pPr>
        <w:ind w:left="4286" w:hanging="550"/>
      </w:pPr>
      <w:rPr>
        <w:rFonts w:hint="default"/>
      </w:rPr>
    </w:lvl>
    <w:lvl w:ilvl="8">
      <w:start w:val="1"/>
      <w:numFmt w:val="bullet"/>
      <w:lvlText w:val="•"/>
      <w:lvlJc w:val="left"/>
      <w:pPr>
        <w:ind w:left="4837" w:hanging="550"/>
      </w:pPr>
      <w:rPr>
        <w:rFonts w:hint="default"/>
      </w:rPr>
    </w:lvl>
  </w:abstractNum>
  <w:abstractNum w:abstractNumId="46">
    <w:multiLevelType w:val="hybridMultilevel"/>
    <w:lvl w:ilvl="0">
      <w:start w:val="12"/>
      <w:numFmt w:val="decimal"/>
      <w:lvlText w:val="%1."/>
      <w:lvlJc w:val="left"/>
      <w:pPr>
        <w:ind w:left="472" w:hanging="349"/>
        <w:jc w:val="left"/>
      </w:pPr>
      <w:rPr>
        <w:rFonts w:hint="default" w:ascii="Times New Roman" w:hAnsi="Times New Roman" w:eastAsia="Times New Roman" w:cs="Times New Roman"/>
        <w:b/>
        <w:bCs/>
        <w:w w:val="109"/>
      </w:rPr>
    </w:lvl>
    <w:lvl w:ilvl="1">
      <w:start w:val="1"/>
      <w:numFmt w:val="decimal"/>
      <w:lvlText w:val="%2."/>
      <w:lvlJc w:val="left"/>
      <w:pPr>
        <w:ind w:left="106" w:hanging="238"/>
        <w:jc w:val="left"/>
      </w:pPr>
      <w:rPr>
        <w:rFonts w:hint="default" w:ascii="Times New Roman" w:hAnsi="Times New Roman" w:eastAsia="Times New Roman" w:cs="Times New Roman"/>
        <w:w w:val="110"/>
        <w:sz w:val="20"/>
        <w:szCs w:val="20"/>
      </w:rPr>
    </w:lvl>
    <w:lvl w:ilvl="2">
      <w:start w:val="1"/>
      <w:numFmt w:val="bullet"/>
      <w:lvlText w:val="•"/>
      <w:lvlJc w:val="left"/>
      <w:pPr>
        <w:ind w:left="1091" w:hanging="238"/>
      </w:pPr>
      <w:rPr>
        <w:rFonts w:hint="default"/>
      </w:rPr>
    </w:lvl>
    <w:lvl w:ilvl="3">
      <w:start w:val="1"/>
      <w:numFmt w:val="bullet"/>
      <w:lvlText w:val="•"/>
      <w:lvlJc w:val="left"/>
      <w:pPr>
        <w:ind w:left="1702" w:hanging="238"/>
      </w:pPr>
      <w:rPr>
        <w:rFonts w:hint="default"/>
      </w:rPr>
    </w:lvl>
    <w:lvl w:ilvl="4">
      <w:start w:val="1"/>
      <w:numFmt w:val="bullet"/>
      <w:lvlText w:val="•"/>
      <w:lvlJc w:val="left"/>
      <w:pPr>
        <w:ind w:left="2313" w:hanging="238"/>
      </w:pPr>
      <w:rPr>
        <w:rFonts w:hint="default"/>
      </w:rPr>
    </w:lvl>
    <w:lvl w:ilvl="5">
      <w:start w:val="1"/>
      <w:numFmt w:val="bullet"/>
      <w:lvlText w:val="•"/>
      <w:lvlJc w:val="left"/>
      <w:pPr>
        <w:ind w:left="2924" w:hanging="238"/>
      </w:pPr>
      <w:rPr>
        <w:rFonts w:hint="default"/>
      </w:rPr>
    </w:lvl>
    <w:lvl w:ilvl="6">
      <w:start w:val="1"/>
      <w:numFmt w:val="bullet"/>
      <w:lvlText w:val="•"/>
      <w:lvlJc w:val="left"/>
      <w:pPr>
        <w:ind w:left="3535" w:hanging="238"/>
      </w:pPr>
      <w:rPr>
        <w:rFonts w:hint="default"/>
      </w:rPr>
    </w:lvl>
    <w:lvl w:ilvl="7">
      <w:start w:val="1"/>
      <w:numFmt w:val="bullet"/>
      <w:lvlText w:val="•"/>
      <w:lvlJc w:val="left"/>
      <w:pPr>
        <w:ind w:left="4146" w:hanging="238"/>
      </w:pPr>
      <w:rPr>
        <w:rFonts w:hint="default"/>
      </w:rPr>
    </w:lvl>
    <w:lvl w:ilvl="8">
      <w:start w:val="1"/>
      <w:numFmt w:val="bullet"/>
      <w:lvlText w:val="•"/>
      <w:lvlJc w:val="left"/>
      <w:pPr>
        <w:ind w:left="4757" w:hanging="238"/>
      </w:pPr>
      <w:rPr>
        <w:rFonts w:hint="default"/>
      </w:rPr>
    </w:lvl>
  </w:abstractNum>
  <w:abstractNum w:abstractNumId="45">
    <w:multiLevelType w:val="hybridMultilevel"/>
    <w:lvl w:ilvl="0">
      <w:start w:val="7"/>
      <w:numFmt w:val="decimal"/>
      <w:lvlText w:val="%1."/>
      <w:lvlJc w:val="left"/>
      <w:pPr>
        <w:ind w:left="413" w:hanging="223"/>
        <w:jc w:val="right"/>
      </w:pPr>
      <w:rPr>
        <w:rFonts w:hint="default" w:ascii="Times New Roman" w:hAnsi="Times New Roman" w:eastAsia="Times New Roman" w:cs="Times New Roman"/>
        <w:w w:val="113"/>
      </w:rPr>
    </w:lvl>
    <w:lvl w:ilvl="1">
      <w:start w:val="1"/>
      <w:numFmt w:val="bullet"/>
      <w:lvlText w:val="•"/>
      <w:lvlJc w:val="left"/>
      <w:pPr>
        <w:ind w:left="974" w:hanging="223"/>
      </w:pPr>
      <w:rPr>
        <w:rFonts w:hint="default"/>
      </w:rPr>
    </w:lvl>
    <w:lvl w:ilvl="2">
      <w:start w:val="1"/>
      <w:numFmt w:val="bullet"/>
      <w:lvlText w:val="•"/>
      <w:lvlJc w:val="left"/>
      <w:pPr>
        <w:ind w:left="1528" w:hanging="223"/>
      </w:pPr>
      <w:rPr>
        <w:rFonts w:hint="default"/>
      </w:rPr>
    </w:lvl>
    <w:lvl w:ilvl="3">
      <w:start w:val="1"/>
      <w:numFmt w:val="bullet"/>
      <w:lvlText w:val="•"/>
      <w:lvlJc w:val="left"/>
      <w:pPr>
        <w:ind w:left="2082" w:hanging="223"/>
      </w:pPr>
      <w:rPr>
        <w:rFonts w:hint="default"/>
      </w:rPr>
    </w:lvl>
    <w:lvl w:ilvl="4">
      <w:start w:val="1"/>
      <w:numFmt w:val="bullet"/>
      <w:lvlText w:val="•"/>
      <w:lvlJc w:val="left"/>
      <w:pPr>
        <w:ind w:left="2636" w:hanging="223"/>
      </w:pPr>
      <w:rPr>
        <w:rFonts w:hint="default"/>
      </w:rPr>
    </w:lvl>
    <w:lvl w:ilvl="5">
      <w:start w:val="1"/>
      <w:numFmt w:val="bullet"/>
      <w:lvlText w:val="•"/>
      <w:lvlJc w:val="left"/>
      <w:pPr>
        <w:ind w:left="3190" w:hanging="223"/>
      </w:pPr>
      <w:rPr>
        <w:rFonts w:hint="default"/>
      </w:rPr>
    </w:lvl>
    <w:lvl w:ilvl="6">
      <w:start w:val="1"/>
      <w:numFmt w:val="bullet"/>
      <w:lvlText w:val="•"/>
      <w:lvlJc w:val="left"/>
      <w:pPr>
        <w:ind w:left="3744" w:hanging="223"/>
      </w:pPr>
      <w:rPr>
        <w:rFonts w:hint="default"/>
      </w:rPr>
    </w:lvl>
    <w:lvl w:ilvl="7">
      <w:start w:val="1"/>
      <w:numFmt w:val="bullet"/>
      <w:lvlText w:val="•"/>
      <w:lvlJc w:val="left"/>
      <w:pPr>
        <w:ind w:left="4298" w:hanging="223"/>
      </w:pPr>
      <w:rPr>
        <w:rFonts w:hint="default"/>
      </w:rPr>
    </w:lvl>
    <w:lvl w:ilvl="8">
      <w:start w:val="1"/>
      <w:numFmt w:val="bullet"/>
      <w:lvlText w:val="•"/>
      <w:lvlJc w:val="left"/>
      <w:pPr>
        <w:ind w:left="4852" w:hanging="223"/>
      </w:pPr>
      <w:rPr>
        <w:rFonts w:hint="default"/>
      </w:rPr>
    </w:lvl>
  </w:abstractNum>
  <w:abstractNum w:abstractNumId="44">
    <w:multiLevelType w:val="hybridMultilevel"/>
    <w:lvl w:ilvl="0">
      <w:start w:val="8"/>
      <w:numFmt w:val="decimal"/>
      <w:lvlText w:val="%1."/>
      <w:lvlJc w:val="left"/>
      <w:pPr>
        <w:ind w:left="1062" w:hanging="270"/>
        <w:jc w:val="right"/>
      </w:pPr>
      <w:rPr>
        <w:rFonts w:hint="default" w:ascii="Times New Roman" w:hAnsi="Times New Roman" w:eastAsia="Times New Roman" w:cs="Times New Roman"/>
        <w:b/>
        <w:bCs/>
        <w:w w:val="116"/>
      </w:rPr>
    </w:lvl>
    <w:lvl w:ilvl="1">
      <w:start w:val="1"/>
      <w:numFmt w:val="bullet"/>
      <w:lvlText w:val="•"/>
      <w:lvlJc w:val="left"/>
      <w:pPr>
        <w:ind w:left="1620" w:hanging="270"/>
      </w:pPr>
      <w:rPr>
        <w:rFonts w:hint="default"/>
      </w:rPr>
    </w:lvl>
    <w:lvl w:ilvl="2">
      <w:start w:val="1"/>
      <w:numFmt w:val="bullet"/>
      <w:lvlText w:val="•"/>
      <w:lvlJc w:val="left"/>
      <w:pPr>
        <w:ind w:left="2180" w:hanging="270"/>
      </w:pPr>
      <w:rPr>
        <w:rFonts w:hint="default"/>
      </w:rPr>
    </w:lvl>
    <w:lvl w:ilvl="3">
      <w:start w:val="1"/>
      <w:numFmt w:val="bullet"/>
      <w:lvlText w:val="•"/>
      <w:lvlJc w:val="left"/>
      <w:pPr>
        <w:ind w:left="2740" w:hanging="270"/>
      </w:pPr>
      <w:rPr>
        <w:rFonts w:hint="default"/>
      </w:rPr>
    </w:lvl>
    <w:lvl w:ilvl="4">
      <w:start w:val="1"/>
      <w:numFmt w:val="bullet"/>
      <w:lvlText w:val="•"/>
      <w:lvlJc w:val="left"/>
      <w:pPr>
        <w:ind w:left="3300" w:hanging="270"/>
      </w:pPr>
      <w:rPr>
        <w:rFonts w:hint="default"/>
      </w:rPr>
    </w:lvl>
    <w:lvl w:ilvl="5">
      <w:start w:val="1"/>
      <w:numFmt w:val="bullet"/>
      <w:lvlText w:val="•"/>
      <w:lvlJc w:val="left"/>
      <w:pPr>
        <w:ind w:left="3860" w:hanging="270"/>
      </w:pPr>
      <w:rPr>
        <w:rFonts w:hint="default"/>
      </w:rPr>
    </w:lvl>
    <w:lvl w:ilvl="6">
      <w:start w:val="1"/>
      <w:numFmt w:val="bullet"/>
      <w:lvlText w:val="•"/>
      <w:lvlJc w:val="left"/>
      <w:pPr>
        <w:ind w:left="4420" w:hanging="270"/>
      </w:pPr>
      <w:rPr>
        <w:rFonts w:hint="default"/>
      </w:rPr>
    </w:lvl>
    <w:lvl w:ilvl="7">
      <w:start w:val="1"/>
      <w:numFmt w:val="bullet"/>
      <w:lvlText w:val="•"/>
      <w:lvlJc w:val="left"/>
      <w:pPr>
        <w:ind w:left="4980" w:hanging="270"/>
      </w:pPr>
      <w:rPr>
        <w:rFonts w:hint="default"/>
      </w:rPr>
    </w:lvl>
    <w:lvl w:ilvl="8">
      <w:start w:val="1"/>
      <w:numFmt w:val="bullet"/>
      <w:lvlText w:val="•"/>
      <w:lvlJc w:val="left"/>
      <w:pPr>
        <w:ind w:left="5540" w:hanging="270"/>
      </w:pPr>
      <w:rPr>
        <w:rFonts w:hint="default"/>
      </w:rPr>
    </w:lvl>
  </w:abstractNum>
  <w:abstractNum w:abstractNumId="41">
    <w:multiLevelType w:val="hybridMultilevel"/>
    <w:lvl w:ilvl="0">
      <w:start w:val="2"/>
      <w:numFmt w:val="decimal"/>
      <w:lvlText w:val="%1."/>
      <w:lvlJc w:val="left"/>
      <w:pPr>
        <w:ind w:left="382" w:hanging="260"/>
        <w:jc w:val="left"/>
      </w:pPr>
      <w:rPr>
        <w:rFonts w:hint="default" w:ascii="Times New Roman" w:hAnsi="Times New Roman" w:eastAsia="Times New Roman" w:cs="Times New Roman"/>
        <w:b/>
        <w:bCs/>
        <w:w w:val="120"/>
        <w:sz w:val="19"/>
        <w:szCs w:val="19"/>
      </w:rPr>
    </w:lvl>
    <w:lvl w:ilvl="1">
      <w:start w:val="1"/>
      <w:numFmt w:val="bullet"/>
      <w:lvlText w:val="•"/>
      <w:lvlJc w:val="left"/>
      <w:pPr>
        <w:ind w:left="2310" w:hanging="278"/>
      </w:pPr>
      <w:rPr>
        <w:rFonts w:hint="default" w:ascii="Times New Roman" w:hAnsi="Times New Roman" w:eastAsia="Times New Roman" w:cs="Times New Roman"/>
        <w:w w:val="83"/>
        <w:sz w:val="12"/>
        <w:szCs w:val="12"/>
      </w:rPr>
    </w:lvl>
    <w:lvl w:ilvl="2">
      <w:start w:val="1"/>
      <w:numFmt w:val="bullet"/>
      <w:lvlText w:val="•"/>
      <w:lvlJc w:val="left"/>
      <w:pPr>
        <w:ind w:left="2320" w:hanging="278"/>
      </w:pPr>
      <w:rPr>
        <w:rFonts w:hint="default"/>
      </w:rPr>
    </w:lvl>
    <w:lvl w:ilvl="3">
      <w:start w:val="1"/>
      <w:numFmt w:val="bullet"/>
      <w:lvlText w:val="•"/>
      <w:lvlJc w:val="left"/>
      <w:pPr>
        <w:ind w:left="2880" w:hanging="278"/>
      </w:pPr>
      <w:rPr>
        <w:rFonts w:hint="default"/>
      </w:rPr>
    </w:lvl>
    <w:lvl w:ilvl="4">
      <w:start w:val="1"/>
      <w:numFmt w:val="bullet"/>
      <w:lvlText w:val="•"/>
      <w:lvlJc w:val="left"/>
      <w:pPr>
        <w:ind w:left="3000" w:hanging="278"/>
      </w:pPr>
      <w:rPr>
        <w:rFonts w:hint="default"/>
      </w:rPr>
    </w:lvl>
    <w:lvl w:ilvl="5">
      <w:start w:val="1"/>
      <w:numFmt w:val="bullet"/>
      <w:lvlText w:val="•"/>
      <w:lvlJc w:val="left"/>
      <w:pPr>
        <w:ind w:left="2493" w:hanging="278"/>
      </w:pPr>
      <w:rPr>
        <w:rFonts w:hint="default"/>
      </w:rPr>
    </w:lvl>
    <w:lvl w:ilvl="6">
      <w:start w:val="1"/>
      <w:numFmt w:val="bullet"/>
      <w:lvlText w:val="•"/>
      <w:lvlJc w:val="left"/>
      <w:pPr>
        <w:ind w:left="1986" w:hanging="278"/>
      </w:pPr>
      <w:rPr>
        <w:rFonts w:hint="default"/>
      </w:rPr>
    </w:lvl>
    <w:lvl w:ilvl="7">
      <w:start w:val="1"/>
      <w:numFmt w:val="bullet"/>
      <w:lvlText w:val="•"/>
      <w:lvlJc w:val="left"/>
      <w:pPr>
        <w:ind w:left="1480" w:hanging="278"/>
      </w:pPr>
      <w:rPr>
        <w:rFonts w:hint="default"/>
      </w:rPr>
    </w:lvl>
    <w:lvl w:ilvl="8">
      <w:start w:val="1"/>
      <w:numFmt w:val="bullet"/>
      <w:lvlText w:val="•"/>
      <w:lvlJc w:val="left"/>
      <w:pPr>
        <w:ind w:left="973" w:hanging="278"/>
      </w:pPr>
      <w:rPr>
        <w:rFonts w:hint="default"/>
      </w:rPr>
    </w:lvl>
  </w:abstractNum>
  <w:abstractNum w:abstractNumId="40">
    <w:multiLevelType w:val="hybridMultilevel"/>
    <w:lvl w:ilvl="0">
      <w:start w:val="15"/>
      <w:numFmt w:val="decimal"/>
      <w:lvlText w:val="%1."/>
      <w:lvlJc w:val="left"/>
      <w:pPr>
        <w:ind w:left="120" w:hanging="280"/>
        <w:jc w:val="left"/>
      </w:pPr>
      <w:rPr>
        <w:rFonts w:hint="default" w:ascii="Times New Roman" w:hAnsi="Times New Roman" w:eastAsia="Times New Roman" w:cs="Times New Roman"/>
        <w:spacing w:val="-43"/>
        <w:w w:val="105"/>
      </w:rPr>
    </w:lvl>
    <w:lvl w:ilvl="1">
      <w:start w:val="1"/>
      <w:numFmt w:val="lowerLetter"/>
      <w:lvlText w:val="(%2)"/>
      <w:lvlJc w:val="left"/>
      <w:pPr>
        <w:ind w:left="742" w:hanging="294"/>
        <w:jc w:val="left"/>
      </w:pPr>
      <w:rPr>
        <w:rFonts w:hint="default" w:ascii="Times New Roman" w:hAnsi="Times New Roman" w:eastAsia="Times New Roman" w:cs="Times New Roman"/>
        <w:color w:val="010101"/>
        <w:w w:val="103"/>
        <w:sz w:val="18"/>
        <w:szCs w:val="18"/>
      </w:rPr>
    </w:lvl>
    <w:lvl w:ilvl="2">
      <w:start w:val="1"/>
      <w:numFmt w:val="bullet"/>
      <w:lvlText w:val="•"/>
      <w:lvlJc w:val="left"/>
      <w:pPr>
        <w:ind w:left="1320" w:hanging="294"/>
      </w:pPr>
      <w:rPr>
        <w:rFonts w:hint="default"/>
      </w:rPr>
    </w:lvl>
    <w:lvl w:ilvl="3">
      <w:start w:val="1"/>
      <w:numFmt w:val="bullet"/>
      <w:lvlText w:val="•"/>
      <w:lvlJc w:val="left"/>
      <w:pPr>
        <w:ind w:left="1900" w:hanging="294"/>
      </w:pPr>
      <w:rPr>
        <w:rFonts w:hint="default"/>
      </w:rPr>
    </w:lvl>
    <w:lvl w:ilvl="4">
      <w:start w:val="1"/>
      <w:numFmt w:val="bullet"/>
      <w:lvlText w:val="•"/>
      <w:lvlJc w:val="left"/>
      <w:pPr>
        <w:ind w:left="2480" w:hanging="294"/>
      </w:pPr>
      <w:rPr>
        <w:rFonts w:hint="default"/>
      </w:rPr>
    </w:lvl>
    <w:lvl w:ilvl="5">
      <w:start w:val="1"/>
      <w:numFmt w:val="bullet"/>
      <w:lvlText w:val="•"/>
      <w:lvlJc w:val="left"/>
      <w:pPr>
        <w:ind w:left="3060" w:hanging="294"/>
      </w:pPr>
      <w:rPr>
        <w:rFonts w:hint="default"/>
      </w:rPr>
    </w:lvl>
    <w:lvl w:ilvl="6">
      <w:start w:val="1"/>
      <w:numFmt w:val="bullet"/>
      <w:lvlText w:val="•"/>
      <w:lvlJc w:val="left"/>
      <w:pPr>
        <w:ind w:left="3640" w:hanging="294"/>
      </w:pPr>
      <w:rPr>
        <w:rFonts w:hint="default"/>
      </w:rPr>
    </w:lvl>
    <w:lvl w:ilvl="7">
      <w:start w:val="1"/>
      <w:numFmt w:val="bullet"/>
      <w:lvlText w:val="•"/>
      <w:lvlJc w:val="left"/>
      <w:pPr>
        <w:ind w:left="4220" w:hanging="294"/>
      </w:pPr>
      <w:rPr>
        <w:rFonts w:hint="default"/>
      </w:rPr>
    </w:lvl>
    <w:lvl w:ilvl="8">
      <w:start w:val="1"/>
      <w:numFmt w:val="bullet"/>
      <w:lvlText w:val="•"/>
      <w:lvlJc w:val="left"/>
      <w:pPr>
        <w:ind w:left="4800" w:hanging="294"/>
      </w:pPr>
      <w:rPr>
        <w:rFonts w:hint="default"/>
      </w:rPr>
    </w:lvl>
  </w:abstractNum>
  <w:abstractNum w:abstractNumId="39">
    <w:multiLevelType w:val="hybridMultilevel"/>
    <w:lvl w:ilvl="0">
      <w:start w:val="3"/>
      <w:numFmt w:val="decimal"/>
      <w:lvlText w:val="%1."/>
      <w:lvlJc w:val="left"/>
      <w:pPr>
        <w:ind w:left="320" w:hanging="197"/>
        <w:jc w:val="left"/>
      </w:pPr>
      <w:rPr>
        <w:rFonts w:hint="default" w:ascii="Times New Roman" w:hAnsi="Times New Roman" w:eastAsia="Times New Roman" w:cs="Times New Roman"/>
        <w:b/>
        <w:bCs/>
        <w:color w:val="010101"/>
        <w:w w:val="95"/>
        <w:sz w:val="17"/>
        <w:szCs w:val="17"/>
      </w:rPr>
    </w:lvl>
    <w:lvl w:ilvl="1">
      <w:start w:val="10"/>
      <w:numFmt w:val="decimal"/>
      <w:lvlText w:val="%2."/>
      <w:lvlJc w:val="left"/>
      <w:pPr>
        <w:ind w:left="134" w:hanging="276"/>
        <w:jc w:val="left"/>
      </w:pPr>
      <w:rPr>
        <w:rFonts w:hint="default" w:ascii="Times New Roman" w:hAnsi="Times New Roman" w:eastAsia="Times New Roman" w:cs="Times New Roman"/>
        <w:color w:val="010101"/>
        <w:spacing w:val="-43"/>
        <w:w w:val="109"/>
        <w:sz w:val="18"/>
        <w:szCs w:val="18"/>
      </w:rPr>
    </w:lvl>
    <w:lvl w:ilvl="2">
      <w:start w:val="1"/>
      <w:numFmt w:val="bullet"/>
      <w:lvlText w:val="•"/>
      <w:lvlJc w:val="left"/>
      <w:pPr>
        <w:ind w:left="946" w:hanging="276"/>
      </w:pPr>
      <w:rPr>
        <w:rFonts w:hint="default"/>
      </w:rPr>
    </w:lvl>
    <w:lvl w:ilvl="3">
      <w:start w:val="1"/>
      <w:numFmt w:val="bullet"/>
      <w:lvlText w:val="•"/>
      <w:lvlJc w:val="left"/>
      <w:pPr>
        <w:ind w:left="1573" w:hanging="276"/>
      </w:pPr>
      <w:rPr>
        <w:rFonts w:hint="default"/>
      </w:rPr>
    </w:lvl>
    <w:lvl w:ilvl="4">
      <w:start w:val="1"/>
      <w:numFmt w:val="bullet"/>
      <w:lvlText w:val="•"/>
      <w:lvlJc w:val="left"/>
      <w:pPr>
        <w:ind w:left="2200" w:hanging="276"/>
      </w:pPr>
      <w:rPr>
        <w:rFonts w:hint="default"/>
      </w:rPr>
    </w:lvl>
    <w:lvl w:ilvl="5">
      <w:start w:val="1"/>
      <w:numFmt w:val="bullet"/>
      <w:lvlText w:val="•"/>
      <w:lvlJc w:val="left"/>
      <w:pPr>
        <w:ind w:left="2826" w:hanging="276"/>
      </w:pPr>
      <w:rPr>
        <w:rFonts w:hint="default"/>
      </w:rPr>
    </w:lvl>
    <w:lvl w:ilvl="6">
      <w:start w:val="1"/>
      <w:numFmt w:val="bullet"/>
      <w:lvlText w:val="•"/>
      <w:lvlJc w:val="left"/>
      <w:pPr>
        <w:ind w:left="3453" w:hanging="276"/>
      </w:pPr>
      <w:rPr>
        <w:rFonts w:hint="default"/>
      </w:rPr>
    </w:lvl>
    <w:lvl w:ilvl="7">
      <w:start w:val="1"/>
      <w:numFmt w:val="bullet"/>
      <w:lvlText w:val="•"/>
      <w:lvlJc w:val="left"/>
      <w:pPr>
        <w:ind w:left="4080" w:hanging="276"/>
      </w:pPr>
      <w:rPr>
        <w:rFonts w:hint="default"/>
      </w:rPr>
    </w:lvl>
    <w:lvl w:ilvl="8">
      <w:start w:val="1"/>
      <w:numFmt w:val="bullet"/>
      <w:lvlText w:val="•"/>
      <w:lvlJc w:val="left"/>
      <w:pPr>
        <w:ind w:left="4706" w:hanging="276"/>
      </w:pPr>
      <w:rPr>
        <w:rFonts w:hint="default"/>
      </w:rPr>
    </w:lvl>
  </w:abstractNum>
  <w:abstractNum w:abstractNumId="38">
    <w:multiLevelType w:val="hybridMultilevel"/>
    <w:lvl w:ilvl="0">
      <w:start w:val="2"/>
      <w:numFmt w:val="decimal"/>
      <w:lvlText w:val="%1."/>
      <w:lvlJc w:val="left"/>
      <w:pPr>
        <w:ind w:left="314" w:hanging="202"/>
        <w:jc w:val="left"/>
      </w:pPr>
      <w:rPr>
        <w:rFonts w:hint="default" w:ascii="Arial" w:hAnsi="Arial" w:eastAsia="Arial" w:cs="Arial"/>
        <w:b/>
        <w:bCs/>
        <w:w w:val="101"/>
        <w:sz w:val="16"/>
        <w:szCs w:val="16"/>
      </w:rPr>
    </w:lvl>
    <w:lvl w:ilvl="1">
      <w:start w:val="5"/>
      <w:numFmt w:val="decimal"/>
      <w:lvlText w:val="%2."/>
      <w:lvlJc w:val="left"/>
      <w:pPr>
        <w:ind w:left="116" w:hanging="209"/>
        <w:jc w:val="left"/>
      </w:pPr>
      <w:rPr>
        <w:rFonts w:hint="default" w:ascii="Times New Roman" w:hAnsi="Times New Roman" w:eastAsia="Times New Roman" w:cs="Times New Roman"/>
        <w:w w:val="112"/>
      </w:rPr>
    </w:lvl>
    <w:lvl w:ilvl="2">
      <w:start w:val="1"/>
      <w:numFmt w:val="bullet"/>
      <w:lvlText w:val="•"/>
      <w:lvlJc w:val="left"/>
      <w:pPr>
        <w:ind w:left="955" w:hanging="209"/>
      </w:pPr>
      <w:rPr>
        <w:rFonts w:hint="default"/>
      </w:rPr>
    </w:lvl>
    <w:lvl w:ilvl="3">
      <w:start w:val="1"/>
      <w:numFmt w:val="bullet"/>
      <w:lvlText w:val="•"/>
      <w:lvlJc w:val="left"/>
      <w:pPr>
        <w:ind w:left="1591" w:hanging="209"/>
      </w:pPr>
      <w:rPr>
        <w:rFonts w:hint="default"/>
      </w:rPr>
    </w:lvl>
    <w:lvl w:ilvl="4">
      <w:start w:val="1"/>
      <w:numFmt w:val="bullet"/>
      <w:lvlText w:val="•"/>
      <w:lvlJc w:val="left"/>
      <w:pPr>
        <w:ind w:left="2226" w:hanging="209"/>
      </w:pPr>
      <w:rPr>
        <w:rFonts w:hint="default"/>
      </w:rPr>
    </w:lvl>
    <w:lvl w:ilvl="5">
      <w:start w:val="1"/>
      <w:numFmt w:val="bullet"/>
      <w:lvlText w:val="•"/>
      <w:lvlJc w:val="left"/>
      <w:pPr>
        <w:ind w:left="2862" w:hanging="209"/>
      </w:pPr>
      <w:rPr>
        <w:rFonts w:hint="default"/>
      </w:rPr>
    </w:lvl>
    <w:lvl w:ilvl="6">
      <w:start w:val="1"/>
      <w:numFmt w:val="bullet"/>
      <w:lvlText w:val="•"/>
      <w:lvlJc w:val="left"/>
      <w:pPr>
        <w:ind w:left="3497" w:hanging="209"/>
      </w:pPr>
      <w:rPr>
        <w:rFonts w:hint="default"/>
      </w:rPr>
    </w:lvl>
    <w:lvl w:ilvl="7">
      <w:start w:val="1"/>
      <w:numFmt w:val="bullet"/>
      <w:lvlText w:val="•"/>
      <w:lvlJc w:val="left"/>
      <w:pPr>
        <w:ind w:left="4133" w:hanging="209"/>
      </w:pPr>
      <w:rPr>
        <w:rFonts w:hint="default"/>
      </w:rPr>
    </w:lvl>
    <w:lvl w:ilvl="8">
      <w:start w:val="1"/>
      <w:numFmt w:val="bullet"/>
      <w:lvlText w:val="•"/>
      <w:lvlJc w:val="left"/>
      <w:pPr>
        <w:ind w:left="4768" w:hanging="209"/>
      </w:pPr>
      <w:rPr>
        <w:rFonts w:hint="default"/>
      </w:rPr>
    </w:lvl>
  </w:abstractNum>
  <w:abstractNum w:abstractNumId="37">
    <w:multiLevelType w:val="hybridMultilevel"/>
    <w:lvl w:ilvl="0">
      <w:start w:val="2"/>
      <w:numFmt w:val="decimal"/>
      <w:lvlText w:val="%1."/>
      <w:lvlJc w:val="left"/>
      <w:pPr>
        <w:ind w:left="810" w:hanging="227"/>
        <w:jc w:val="left"/>
      </w:pPr>
      <w:rPr>
        <w:rFonts w:hint="default" w:ascii="Times New Roman" w:hAnsi="Times New Roman" w:eastAsia="Times New Roman" w:cs="Times New Roman"/>
        <w:w w:val="107"/>
      </w:rPr>
    </w:lvl>
    <w:lvl w:ilvl="1">
      <w:start w:val="1"/>
      <w:numFmt w:val="bullet"/>
      <w:lvlText w:val="•"/>
      <w:lvlJc w:val="left"/>
      <w:pPr>
        <w:ind w:left="1342" w:hanging="227"/>
      </w:pPr>
      <w:rPr>
        <w:rFonts w:hint="default"/>
      </w:rPr>
    </w:lvl>
    <w:lvl w:ilvl="2">
      <w:start w:val="1"/>
      <w:numFmt w:val="bullet"/>
      <w:lvlText w:val="•"/>
      <w:lvlJc w:val="left"/>
      <w:pPr>
        <w:ind w:left="1864" w:hanging="227"/>
      </w:pPr>
      <w:rPr>
        <w:rFonts w:hint="default"/>
      </w:rPr>
    </w:lvl>
    <w:lvl w:ilvl="3">
      <w:start w:val="1"/>
      <w:numFmt w:val="bullet"/>
      <w:lvlText w:val="•"/>
      <w:lvlJc w:val="left"/>
      <w:pPr>
        <w:ind w:left="2386" w:hanging="227"/>
      </w:pPr>
      <w:rPr>
        <w:rFonts w:hint="default"/>
      </w:rPr>
    </w:lvl>
    <w:lvl w:ilvl="4">
      <w:start w:val="1"/>
      <w:numFmt w:val="bullet"/>
      <w:lvlText w:val="•"/>
      <w:lvlJc w:val="left"/>
      <w:pPr>
        <w:ind w:left="2908" w:hanging="227"/>
      </w:pPr>
      <w:rPr>
        <w:rFonts w:hint="default"/>
      </w:rPr>
    </w:lvl>
    <w:lvl w:ilvl="5">
      <w:start w:val="1"/>
      <w:numFmt w:val="bullet"/>
      <w:lvlText w:val="•"/>
      <w:lvlJc w:val="left"/>
      <w:pPr>
        <w:ind w:left="3430" w:hanging="227"/>
      </w:pPr>
      <w:rPr>
        <w:rFonts w:hint="default"/>
      </w:rPr>
    </w:lvl>
    <w:lvl w:ilvl="6">
      <w:start w:val="1"/>
      <w:numFmt w:val="bullet"/>
      <w:lvlText w:val="•"/>
      <w:lvlJc w:val="left"/>
      <w:pPr>
        <w:ind w:left="3952" w:hanging="227"/>
      </w:pPr>
      <w:rPr>
        <w:rFonts w:hint="default"/>
      </w:rPr>
    </w:lvl>
    <w:lvl w:ilvl="7">
      <w:start w:val="1"/>
      <w:numFmt w:val="bullet"/>
      <w:lvlText w:val="•"/>
      <w:lvlJc w:val="left"/>
      <w:pPr>
        <w:ind w:left="4474" w:hanging="227"/>
      </w:pPr>
      <w:rPr>
        <w:rFonts w:hint="default"/>
      </w:rPr>
    </w:lvl>
    <w:lvl w:ilvl="8">
      <w:start w:val="1"/>
      <w:numFmt w:val="bullet"/>
      <w:lvlText w:val="•"/>
      <w:lvlJc w:val="left"/>
      <w:pPr>
        <w:ind w:left="4996" w:hanging="227"/>
      </w:pPr>
      <w:rPr>
        <w:rFonts w:hint="default"/>
      </w:rPr>
    </w:lvl>
  </w:abstractNum>
  <w:abstractNum w:abstractNumId="36">
    <w:multiLevelType w:val="hybridMultilevel"/>
    <w:lvl w:ilvl="0">
      <w:start w:val="1"/>
      <w:numFmt w:val="bullet"/>
      <w:lvlText w:val="•"/>
      <w:lvlJc w:val="left"/>
      <w:pPr>
        <w:ind w:left="96" w:hanging="112"/>
      </w:pPr>
      <w:rPr>
        <w:rFonts w:hint="default" w:ascii="Times New Roman" w:hAnsi="Times New Roman" w:eastAsia="Times New Roman" w:cs="Times New Roman"/>
        <w:i/>
        <w:w w:val="162"/>
        <w:sz w:val="8"/>
        <w:szCs w:val="8"/>
      </w:rPr>
    </w:lvl>
    <w:lvl w:ilvl="1">
      <w:start w:val="1"/>
      <w:numFmt w:val="bullet"/>
      <w:lvlText w:val="•"/>
      <w:lvlJc w:val="left"/>
      <w:pPr>
        <w:ind w:left="573" w:hanging="112"/>
      </w:pPr>
      <w:rPr>
        <w:rFonts w:hint="default"/>
      </w:rPr>
    </w:lvl>
    <w:lvl w:ilvl="2">
      <w:start w:val="1"/>
      <w:numFmt w:val="bullet"/>
      <w:lvlText w:val="•"/>
      <w:lvlJc w:val="left"/>
      <w:pPr>
        <w:ind w:left="1046" w:hanging="112"/>
      </w:pPr>
      <w:rPr>
        <w:rFonts w:hint="default"/>
      </w:rPr>
    </w:lvl>
    <w:lvl w:ilvl="3">
      <w:start w:val="1"/>
      <w:numFmt w:val="bullet"/>
      <w:lvlText w:val="•"/>
      <w:lvlJc w:val="left"/>
      <w:pPr>
        <w:ind w:left="1520" w:hanging="112"/>
      </w:pPr>
      <w:rPr>
        <w:rFonts w:hint="default"/>
      </w:rPr>
    </w:lvl>
    <w:lvl w:ilvl="4">
      <w:start w:val="1"/>
      <w:numFmt w:val="bullet"/>
      <w:lvlText w:val="•"/>
      <w:lvlJc w:val="left"/>
      <w:pPr>
        <w:ind w:left="1993" w:hanging="112"/>
      </w:pPr>
      <w:rPr>
        <w:rFonts w:hint="default"/>
      </w:rPr>
    </w:lvl>
    <w:lvl w:ilvl="5">
      <w:start w:val="1"/>
      <w:numFmt w:val="bullet"/>
      <w:lvlText w:val="•"/>
      <w:lvlJc w:val="left"/>
      <w:pPr>
        <w:ind w:left="2467" w:hanging="112"/>
      </w:pPr>
      <w:rPr>
        <w:rFonts w:hint="default"/>
      </w:rPr>
    </w:lvl>
    <w:lvl w:ilvl="6">
      <w:start w:val="1"/>
      <w:numFmt w:val="bullet"/>
      <w:lvlText w:val="•"/>
      <w:lvlJc w:val="left"/>
      <w:pPr>
        <w:ind w:left="2940" w:hanging="112"/>
      </w:pPr>
      <w:rPr>
        <w:rFonts w:hint="default"/>
      </w:rPr>
    </w:lvl>
    <w:lvl w:ilvl="7">
      <w:start w:val="1"/>
      <w:numFmt w:val="bullet"/>
      <w:lvlText w:val="•"/>
      <w:lvlJc w:val="left"/>
      <w:pPr>
        <w:ind w:left="3413" w:hanging="112"/>
      </w:pPr>
      <w:rPr>
        <w:rFonts w:hint="default"/>
      </w:rPr>
    </w:lvl>
    <w:lvl w:ilvl="8">
      <w:start w:val="1"/>
      <w:numFmt w:val="bullet"/>
      <w:lvlText w:val="•"/>
      <w:lvlJc w:val="left"/>
      <w:pPr>
        <w:ind w:left="3887" w:hanging="112"/>
      </w:pPr>
      <w:rPr>
        <w:rFonts w:hint="default"/>
      </w:rPr>
    </w:lvl>
  </w:abstractNum>
  <w:abstractNum w:abstractNumId="35">
    <w:multiLevelType w:val="hybridMultilevel"/>
    <w:lvl w:ilvl="0">
      <w:start w:val="2"/>
      <w:numFmt w:val="decimal"/>
      <w:lvlText w:val="%1."/>
      <w:lvlJc w:val="left"/>
      <w:pPr>
        <w:ind w:left="342" w:hanging="224"/>
        <w:jc w:val="left"/>
      </w:pPr>
      <w:rPr>
        <w:rFonts w:hint="default" w:ascii="Times New Roman" w:hAnsi="Times New Roman" w:eastAsia="Times New Roman" w:cs="Times New Roman"/>
        <w:b/>
        <w:bCs/>
        <w:w w:val="112"/>
      </w:rPr>
    </w:lvl>
    <w:lvl w:ilvl="1">
      <w:start w:val="1"/>
      <w:numFmt w:val="decimal"/>
      <w:lvlText w:val="%2."/>
      <w:lvlJc w:val="left"/>
      <w:pPr>
        <w:ind w:left="123" w:hanging="234"/>
        <w:jc w:val="left"/>
      </w:pPr>
      <w:rPr>
        <w:rFonts w:hint="default" w:ascii="Times New Roman" w:hAnsi="Times New Roman" w:eastAsia="Times New Roman" w:cs="Times New Roman"/>
        <w:color w:val="010101"/>
        <w:w w:val="104"/>
        <w:sz w:val="21"/>
        <w:szCs w:val="21"/>
      </w:rPr>
    </w:lvl>
    <w:lvl w:ilvl="2">
      <w:start w:val="1"/>
      <w:numFmt w:val="bullet"/>
      <w:lvlText w:val="•"/>
      <w:lvlJc w:val="left"/>
      <w:pPr>
        <w:ind w:left="1680" w:hanging="234"/>
      </w:pPr>
      <w:rPr>
        <w:rFonts w:hint="default"/>
      </w:rPr>
    </w:lvl>
    <w:lvl w:ilvl="3">
      <w:start w:val="1"/>
      <w:numFmt w:val="bullet"/>
      <w:lvlText w:val="•"/>
      <w:lvlJc w:val="left"/>
      <w:pPr>
        <w:ind w:left="1713" w:hanging="234"/>
      </w:pPr>
      <w:rPr>
        <w:rFonts w:hint="default"/>
      </w:rPr>
    </w:lvl>
    <w:lvl w:ilvl="4">
      <w:start w:val="1"/>
      <w:numFmt w:val="bullet"/>
      <w:lvlText w:val="•"/>
      <w:lvlJc w:val="left"/>
      <w:pPr>
        <w:ind w:left="1747" w:hanging="234"/>
      </w:pPr>
      <w:rPr>
        <w:rFonts w:hint="default"/>
      </w:rPr>
    </w:lvl>
    <w:lvl w:ilvl="5">
      <w:start w:val="1"/>
      <w:numFmt w:val="bullet"/>
      <w:lvlText w:val="•"/>
      <w:lvlJc w:val="left"/>
      <w:pPr>
        <w:ind w:left="1781" w:hanging="234"/>
      </w:pPr>
      <w:rPr>
        <w:rFonts w:hint="default"/>
      </w:rPr>
    </w:lvl>
    <w:lvl w:ilvl="6">
      <w:start w:val="1"/>
      <w:numFmt w:val="bullet"/>
      <w:lvlText w:val="•"/>
      <w:lvlJc w:val="left"/>
      <w:pPr>
        <w:ind w:left="1815" w:hanging="234"/>
      </w:pPr>
      <w:rPr>
        <w:rFonts w:hint="default"/>
      </w:rPr>
    </w:lvl>
    <w:lvl w:ilvl="7">
      <w:start w:val="1"/>
      <w:numFmt w:val="bullet"/>
      <w:lvlText w:val="•"/>
      <w:lvlJc w:val="left"/>
      <w:pPr>
        <w:ind w:left="1849" w:hanging="234"/>
      </w:pPr>
      <w:rPr>
        <w:rFonts w:hint="default"/>
      </w:rPr>
    </w:lvl>
    <w:lvl w:ilvl="8">
      <w:start w:val="1"/>
      <w:numFmt w:val="bullet"/>
      <w:lvlText w:val="•"/>
      <w:lvlJc w:val="left"/>
      <w:pPr>
        <w:ind w:left="1882" w:hanging="234"/>
      </w:pPr>
      <w:rPr>
        <w:rFonts w:hint="default"/>
      </w:rPr>
    </w:lvl>
  </w:abstractNum>
  <w:abstractNum w:abstractNumId="34">
    <w:multiLevelType w:val="hybridMultilevel"/>
    <w:lvl w:ilvl="0">
      <w:start w:val="6"/>
      <w:numFmt w:val="decimal"/>
      <w:lvlText w:val="%1."/>
      <w:lvlJc w:val="left"/>
      <w:pPr>
        <w:ind w:left="322" w:hanging="206"/>
        <w:jc w:val="left"/>
      </w:pPr>
      <w:rPr>
        <w:rFonts w:hint="default" w:ascii="Times New Roman" w:hAnsi="Times New Roman" w:eastAsia="Times New Roman" w:cs="Times New Roman"/>
        <w:b/>
        <w:bCs/>
        <w:w w:val="105"/>
        <w:sz w:val="16"/>
        <w:szCs w:val="16"/>
      </w:rPr>
    </w:lvl>
    <w:lvl w:ilvl="1">
      <w:start w:val="18"/>
      <w:numFmt w:val="decimal"/>
      <w:lvlText w:val="%2."/>
      <w:lvlJc w:val="left"/>
      <w:pPr>
        <w:ind w:left="117" w:hanging="278"/>
        <w:jc w:val="left"/>
      </w:pPr>
      <w:rPr>
        <w:rFonts w:hint="default" w:ascii="Times New Roman" w:hAnsi="Times New Roman" w:eastAsia="Times New Roman" w:cs="Times New Roman"/>
        <w:spacing w:val="-34"/>
        <w:w w:val="108"/>
      </w:rPr>
    </w:lvl>
    <w:lvl w:ilvl="2">
      <w:start w:val="1"/>
      <w:numFmt w:val="lowerLetter"/>
      <w:lvlText w:val="(%3)"/>
      <w:lvlJc w:val="left"/>
      <w:pPr>
        <w:ind w:left="747" w:hanging="292"/>
        <w:jc w:val="left"/>
      </w:pPr>
      <w:rPr>
        <w:rFonts w:hint="default" w:ascii="Times New Roman" w:hAnsi="Times New Roman" w:eastAsia="Times New Roman" w:cs="Times New Roman"/>
        <w:b/>
        <w:bCs/>
        <w:w w:val="102"/>
        <w:sz w:val="17"/>
        <w:szCs w:val="17"/>
      </w:rPr>
    </w:lvl>
    <w:lvl w:ilvl="3">
      <w:start w:val="1"/>
      <w:numFmt w:val="bullet"/>
      <w:lvlText w:val="•"/>
      <w:lvlJc w:val="left"/>
      <w:pPr>
        <w:ind w:left="1397" w:hanging="292"/>
      </w:pPr>
      <w:rPr>
        <w:rFonts w:hint="default"/>
      </w:rPr>
    </w:lvl>
    <w:lvl w:ilvl="4">
      <w:start w:val="1"/>
      <w:numFmt w:val="bullet"/>
      <w:lvlText w:val="•"/>
      <w:lvlJc w:val="left"/>
      <w:pPr>
        <w:ind w:left="2055" w:hanging="292"/>
      </w:pPr>
      <w:rPr>
        <w:rFonts w:hint="default"/>
      </w:rPr>
    </w:lvl>
    <w:lvl w:ilvl="5">
      <w:start w:val="1"/>
      <w:numFmt w:val="bullet"/>
      <w:lvlText w:val="•"/>
      <w:lvlJc w:val="left"/>
      <w:pPr>
        <w:ind w:left="2712" w:hanging="292"/>
      </w:pPr>
      <w:rPr>
        <w:rFonts w:hint="default"/>
      </w:rPr>
    </w:lvl>
    <w:lvl w:ilvl="6">
      <w:start w:val="1"/>
      <w:numFmt w:val="bullet"/>
      <w:lvlText w:val="•"/>
      <w:lvlJc w:val="left"/>
      <w:pPr>
        <w:ind w:left="3370" w:hanging="292"/>
      </w:pPr>
      <w:rPr>
        <w:rFonts w:hint="default"/>
      </w:rPr>
    </w:lvl>
    <w:lvl w:ilvl="7">
      <w:start w:val="1"/>
      <w:numFmt w:val="bullet"/>
      <w:lvlText w:val="•"/>
      <w:lvlJc w:val="left"/>
      <w:pPr>
        <w:ind w:left="4027" w:hanging="292"/>
      </w:pPr>
      <w:rPr>
        <w:rFonts w:hint="default"/>
      </w:rPr>
    </w:lvl>
    <w:lvl w:ilvl="8">
      <w:start w:val="1"/>
      <w:numFmt w:val="bullet"/>
      <w:lvlText w:val="•"/>
      <w:lvlJc w:val="left"/>
      <w:pPr>
        <w:ind w:left="4685" w:hanging="292"/>
      </w:pPr>
      <w:rPr>
        <w:rFonts w:hint="default"/>
      </w:rPr>
    </w:lvl>
  </w:abstractNum>
  <w:abstractNum w:abstractNumId="33">
    <w:multiLevelType w:val="hybridMultilevel"/>
    <w:lvl w:ilvl="0">
      <w:start w:val="5"/>
      <w:numFmt w:val="decimal"/>
      <w:lvlText w:val="%1."/>
      <w:lvlJc w:val="left"/>
      <w:pPr>
        <w:ind w:left="322" w:hanging="220"/>
        <w:jc w:val="left"/>
      </w:pPr>
      <w:rPr>
        <w:rFonts w:hint="default" w:ascii="Times New Roman" w:hAnsi="Times New Roman" w:eastAsia="Times New Roman" w:cs="Times New Roman"/>
        <w:w w:val="105"/>
        <w:sz w:val="17"/>
        <w:szCs w:val="17"/>
      </w:rPr>
    </w:lvl>
    <w:lvl w:ilvl="1">
      <w:start w:val="12"/>
      <w:numFmt w:val="decimal"/>
      <w:lvlText w:val="%2."/>
      <w:lvlJc w:val="left"/>
      <w:pPr>
        <w:ind w:left="114" w:hanging="285"/>
        <w:jc w:val="left"/>
      </w:pPr>
      <w:rPr>
        <w:rFonts w:hint="default" w:ascii="Times New Roman" w:hAnsi="Times New Roman" w:eastAsia="Times New Roman" w:cs="Times New Roman"/>
        <w:w w:val="102"/>
      </w:rPr>
    </w:lvl>
    <w:lvl w:ilvl="2">
      <w:start w:val="1"/>
      <w:numFmt w:val="bullet"/>
      <w:lvlText w:val="•"/>
      <w:lvlJc w:val="left"/>
      <w:pPr>
        <w:ind w:left="951" w:hanging="285"/>
      </w:pPr>
      <w:rPr>
        <w:rFonts w:hint="default"/>
      </w:rPr>
    </w:lvl>
    <w:lvl w:ilvl="3">
      <w:start w:val="1"/>
      <w:numFmt w:val="bullet"/>
      <w:lvlText w:val="•"/>
      <w:lvlJc w:val="left"/>
      <w:pPr>
        <w:ind w:left="1582" w:hanging="285"/>
      </w:pPr>
      <w:rPr>
        <w:rFonts w:hint="default"/>
      </w:rPr>
    </w:lvl>
    <w:lvl w:ilvl="4">
      <w:start w:val="1"/>
      <w:numFmt w:val="bullet"/>
      <w:lvlText w:val="•"/>
      <w:lvlJc w:val="left"/>
      <w:pPr>
        <w:ind w:left="2213" w:hanging="285"/>
      </w:pPr>
      <w:rPr>
        <w:rFonts w:hint="default"/>
      </w:rPr>
    </w:lvl>
    <w:lvl w:ilvl="5">
      <w:start w:val="1"/>
      <w:numFmt w:val="bullet"/>
      <w:lvlText w:val="•"/>
      <w:lvlJc w:val="left"/>
      <w:pPr>
        <w:ind w:left="2844" w:hanging="285"/>
      </w:pPr>
      <w:rPr>
        <w:rFonts w:hint="default"/>
      </w:rPr>
    </w:lvl>
    <w:lvl w:ilvl="6">
      <w:start w:val="1"/>
      <w:numFmt w:val="bullet"/>
      <w:lvlText w:val="•"/>
      <w:lvlJc w:val="left"/>
      <w:pPr>
        <w:ind w:left="3475" w:hanging="285"/>
      </w:pPr>
      <w:rPr>
        <w:rFonts w:hint="default"/>
      </w:rPr>
    </w:lvl>
    <w:lvl w:ilvl="7">
      <w:start w:val="1"/>
      <w:numFmt w:val="bullet"/>
      <w:lvlText w:val="•"/>
      <w:lvlJc w:val="left"/>
      <w:pPr>
        <w:ind w:left="4106" w:hanging="285"/>
      </w:pPr>
      <w:rPr>
        <w:rFonts w:hint="default"/>
      </w:rPr>
    </w:lvl>
    <w:lvl w:ilvl="8">
      <w:start w:val="1"/>
      <w:numFmt w:val="bullet"/>
      <w:lvlText w:val="•"/>
      <w:lvlJc w:val="left"/>
      <w:pPr>
        <w:ind w:left="4737" w:hanging="285"/>
      </w:pPr>
      <w:rPr>
        <w:rFonts w:hint="default"/>
      </w:rPr>
    </w:lvl>
  </w:abstractNum>
  <w:abstractNum w:abstractNumId="32">
    <w:multiLevelType w:val="hybridMultilevel"/>
    <w:lvl w:ilvl="0">
      <w:start w:val="4"/>
      <w:numFmt w:val="decimal"/>
      <w:lvlText w:val="%1."/>
      <w:lvlJc w:val="left"/>
      <w:pPr>
        <w:ind w:left="344" w:hanging="224"/>
        <w:jc w:val="left"/>
      </w:pPr>
      <w:rPr>
        <w:rFonts w:hint="default" w:ascii="Times New Roman" w:hAnsi="Times New Roman" w:eastAsia="Times New Roman" w:cs="Times New Roman"/>
        <w:b/>
        <w:bCs/>
        <w:w w:val="104"/>
        <w:sz w:val="16"/>
        <w:szCs w:val="16"/>
      </w:rPr>
    </w:lvl>
    <w:lvl w:ilvl="1">
      <w:start w:val="9"/>
      <w:numFmt w:val="decimal"/>
      <w:lvlText w:val="%2."/>
      <w:lvlJc w:val="left"/>
      <w:pPr>
        <w:ind w:left="513" w:hanging="220"/>
        <w:jc w:val="left"/>
      </w:pPr>
      <w:rPr>
        <w:rFonts w:hint="default" w:ascii="Times New Roman" w:hAnsi="Times New Roman" w:eastAsia="Times New Roman" w:cs="Times New Roman"/>
        <w:w w:val="114"/>
        <w:sz w:val="17"/>
        <w:szCs w:val="17"/>
      </w:rPr>
    </w:lvl>
    <w:lvl w:ilvl="2">
      <w:start w:val="1"/>
      <w:numFmt w:val="bullet"/>
      <w:lvlText w:val="•"/>
      <w:lvlJc w:val="left"/>
      <w:pPr>
        <w:ind w:left="1128" w:hanging="220"/>
      </w:pPr>
      <w:rPr>
        <w:rFonts w:hint="default"/>
      </w:rPr>
    </w:lvl>
    <w:lvl w:ilvl="3">
      <w:start w:val="1"/>
      <w:numFmt w:val="bullet"/>
      <w:lvlText w:val="•"/>
      <w:lvlJc w:val="left"/>
      <w:pPr>
        <w:ind w:left="1737" w:hanging="220"/>
      </w:pPr>
      <w:rPr>
        <w:rFonts w:hint="default"/>
      </w:rPr>
    </w:lvl>
    <w:lvl w:ilvl="4">
      <w:start w:val="1"/>
      <w:numFmt w:val="bullet"/>
      <w:lvlText w:val="•"/>
      <w:lvlJc w:val="left"/>
      <w:pPr>
        <w:ind w:left="2346" w:hanging="220"/>
      </w:pPr>
      <w:rPr>
        <w:rFonts w:hint="default"/>
      </w:rPr>
    </w:lvl>
    <w:lvl w:ilvl="5">
      <w:start w:val="1"/>
      <w:numFmt w:val="bullet"/>
      <w:lvlText w:val="•"/>
      <w:lvlJc w:val="left"/>
      <w:pPr>
        <w:ind w:left="2955" w:hanging="220"/>
      </w:pPr>
      <w:rPr>
        <w:rFonts w:hint="default"/>
      </w:rPr>
    </w:lvl>
    <w:lvl w:ilvl="6">
      <w:start w:val="1"/>
      <w:numFmt w:val="bullet"/>
      <w:lvlText w:val="•"/>
      <w:lvlJc w:val="left"/>
      <w:pPr>
        <w:ind w:left="3564" w:hanging="220"/>
      </w:pPr>
      <w:rPr>
        <w:rFonts w:hint="default"/>
      </w:rPr>
    </w:lvl>
    <w:lvl w:ilvl="7">
      <w:start w:val="1"/>
      <w:numFmt w:val="bullet"/>
      <w:lvlText w:val="•"/>
      <w:lvlJc w:val="left"/>
      <w:pPr>
        <w:ind w:left="4173" w:hanging="220"/>
      </w:pPr>
      <w:rPr>
        <w:rFonts w:hint="default"/>
      </w:rPr>
    </w:lvl>
    <w:lvl w:ilvl="8">
      <w:start w:val="1"/>
      <w:numFmt w:val="bullet"/>
      <w:lvlText w:val="•"/>
      <w:lvlJc w:val="left"/>
      <w:pPr>
        <w:ind w:left="4782" w:hanging="220"/>
      </w:pPr>
      <w:rPr>
        <w:rFonts w:hint="default"/>
      </w:rPr>
    </w:lvl>
  </w:abstractNum>
  <w:abstractNum w:abstractNumId="31">
    <w:multiLevelType w:val="hybridMultilevel"/>
    <w:lvl w:ilvl="0">
      <w:start w:val="2"/>
      <w:numFmt w:val="decimal"/>
      <w:lvlText w:val="%1."/>
      <w:lvlJc w:val="left"/>
      <w:pPr>
        <w:ind w:left="136" w:hanging="209"/>
        <w:jc w:val="left"/>
      </w:pPr>
      <w:rPr>
        <w:rFonts w:hint="default" w:ascii="Times New Roman" w:hAnsi="Times New Roman" w:eastAsia="Times New Roman" w:cs="Times New Roman"/>
        <w:w w:val="104"/>
      </w:rPr>
    </w:lvl>
    <w:lvl w:ilvl="1">
      <w:start w:val="1"/>
      <w:numFmt w:val="lowerLetter"/>
      <w:lvlText w:val="(%2)"/>
      <w:lvlJc w:val="left"/>
      <w:pPr>
        <w:ind w:left="764" w:hanging="298"/>
        <w:jc w:val="left"/>
      </w:pPr>
      <w:rPr>
        <w:rFonts w:hint="default" w:ascii="Arial" w:hAnsi="Arial" w:eastAsia="Arial" w:cs="Arial"/>
        <w:color w:val="010101"/>
        <w:w w:val="105"/>
        <w:sz w:val="16"/>
        <w:szCs w:val="16"/>
      </w:rPr>
    </w:lvl>
    <w:lvl w:ilvl="2">
      <w:start w:val="1"/>
      <w:numFmt w:val="bullet"/>
      <w:lvlText w:val="•"/>
      <w:lvlJc w:val="left"/>
      <w:pPr>
        <w:ind w:left="1049" w:hanging="298"/>
      </w:pPr>
      <w:rPr>
        <w:rFonts w:hint="default"/>
      </w:rPr>
    </w:lvl>
    <w:lvl w:ilvl="3">
      <w:start w:val="1"/>
      <w:numFmt w:val="bullet"/>
      <w:lvlText w:val="•"/>
      <w:lvlJc w:val="left"/>
      <w:pPr>
        <w:ind w:left="1338" w:hanging="298"/>
      </w:pPr>
      <w:rPr>
        <w:rFonts w:hint="default"/>
      </w:rPr>
    </w:lvl>
    <w:lvl w:ilvl="4">
      <w:start w:val="1"/>
      <w:numFmt w:val="bullet"/>
      <w:lvlText w:val="•"/>
      <w:lvlJc w:val="left"/>
      <w:pPr>
        <w:ind w:left="1628" w:hanging="298"/>
      </w:pPr>
      <w:rPr>
        <w:rFonts w:hint="default"/>
      </w:rPr>
    </w:lvl>
    <w:lvl w:ilvl="5">
      <w:start w:val="1"/>
      <w:numFmt w:val="bullet"/>
      <w:lvlText w:val="•"/>
      <w:lvlJc w:val="left"/>
      <w:pPr>
        <w:ind w:left="1917" w:hanging="298"/>
      </w:pPr>
      <w:rPr>
        <w:rFonts w:hint="default"/>
      </w:rPr>
    </w:lvl>
    <w:lvl w:ilvl="6">
      <w:start w:val="1"/>
      <w:numFmt w:val="bullet"/>
      <w:lvlText w:val="•"/>
      <w:lvlJc w:val="left"/>
      <w:pPr>
        <w:ind w:left="2206" w:hanging="298"/>
      </w:pPr>
      <w:rPr>
        <w:rFonts w:hint="default"/>
      </w:rPr>
    </w:lvl>
    <w:lvl w:ilvl="7">
      <w:start w:val="1"/>
      <w:numFmt w:val="bullet"/>
      <w:lvlText w:val="•"/>
      <w:lvlJc w:val="left"/>
      <w:pPr>
        <w:ind w:left="2496" w:hanging="298"/>
      </w:pPr>
      <w:rPr>
        <w:rFonts w:hint="default"/>
      </w:rPr>
    </w:lvl>
    <w:lvl w:ilvl="8">
      <w:start w:val="1"/>
      <w:numFmt w:val="bullet"/>
      <w:lvlText w:val="•"/>
      <w:lvlJc w:val="left"/>
      <w:pPr>
        <w:ind w:left="2785" w:hanging="298"/>
      </w:pPr>
      <w:rPr>
        <w:rFonts w:hint="default"/>
      </w:rPr>
    </w:lvl>
  </w:abstractNum>
  <w:abstractNum w:abstractNumId="30">
    <w:multiLevelType w:val="hybridMultilevel"/>
    <w:lvl w:ilvl="0">
      <w:start w:val="5"/>
      <w:numFmt w:val="decimal"/>
      <w:lvlText w:val="%1."/>
      <w:lvlJc w:val="left"/>
      <w:pPr>
        <w:ind w:left="344" w:hanging="234"/>
        <w:jc w:val="left"/>
      </w:pPr>
      <w:rPr>
        <w:rFonts w:hint="default" w:ascii="Times New Roman" w:hAnsi="Times New Roman" w:eastAsia="Times New Roman" w:cs="Times New Roman"/>
        <w:b/>
        <w:bCs/>
        <w:w w:val="102"/>
      </w:rPr>
    </w:lvl>
    <w:lvl w:ilvl="1">
      <w:start w:val="2"/>
      <w:numFmt w:val="decimal"/>
      <w:lvlText w:val="%2."/>
      <w:lvlJc w:val="left"/>
      <w:pPr>
        <w:ind w:left="136" w:hanging="255"/>
        <w:jc w:val="left"/>
      </w:pPr>
      <w:rPr>
        <w:rFonts w:hint="default" w:ascii="Times New Roman" w:hAnsi="Times New Roman" w:eastAsia="Times New Roman" w:cs="Times New Roman"/>
        <w:color w:val="010101"/>
        <w:w w:val="107"/>
        <w:sz w:val="20"/>
        <w:szCs w:val="20"/>
      </w:rPr>
    </w:lvl>
    <w:lvl w:ilvl="2">
      <w:start w:val="1"/>
      <w:numFmt w:val="bullet"/>
      <w:lvlText w:val="•"/>
      <w:lvlJc w:val="left"/>
      <w:pPr>
        <w:ind w:left="1900" w:hanging="255"/>
      </w:pPr>
      <w:rPr>
        <w:rFonts w:hint="default"/>
      </w:rPr>
    </w:lvl>
    <w:lvl w:ilvl="3">
      <w:start w:val="1"/>
      <w:numFmt w:val="bullet"/>
      <w:lvlText w:val="•"/>
      <w:lvlJc w:val="left"/>
      <w:pPr>
        <w:ind w:left="1961" w:hanging="255"/>
      </w:pPr>
      <w:rPr>
        <w:rFonts w:hint="default"/>
      </w:rPr>
    </w:lvl>
    <w:lvl w:ilvl="4">
      <w:start w:val="1"/>
      <w:numFmt w:val="bullet"/>
      <w:lvlText w:val="•"/>
      <w:lvlJc w:val="left"/>
      <w:pPr>
        <w:ind w:left="2023" w:hanging="255"/>
      </w:pPr>
      <w:rPr>
        <w:rFonts w:hint="default"/>
      </w:rPr>
    </w:lvl>
    <w:lvl w:ilvl="5">
      <w:start w:val="1"/>
      <w:numFmt w:val="bullet"/>
      <w:lvlText w:val="•"/>
      <w:lvlJc w:val="left"/>
      <w:pPr>
        <w:ind w:left="2085" w:hanging="255"/>
      </w:pPr>
      <w:rPr>
        <w:rFonts w:hint="default"/>
      </w:rPr>
    </w:lvl>
    <w:lvl w:ilvl="6">
      <w:start w:val="1"/>
      <w:numFmt w:val="bullet"/>
      <w:lvlText w:val="•"/>
      <w:lvlJc w:val="left"/>
      <w:pPr>
        <w:ind w:left="2147" w:hanging="255"/>
      </w:pPr>
      <w:rPr>
        <w:rFonts w:hint="default"/>
      </w:rPr>
    </w:lvl>
    <w:lvl w:ilvl="7">
      <w:start w:val="1"/>
      <w:numFmt w:val="bullet"/>
      <w:lvlText w:val="•"/>
      <w:lvlJc w:val="left"/>
      <w:pPr>
        <w:ind w:left="2209" w:hanging="255"/>
      </w:pPr>
      <w:rPr>
        <w:rFonts w:hint="default"/>
      </w:rPr>
    </w:lvl>
    <w:lvl w:ilvl="8">
      <w:start w:val="1"/>
      <w:numFmt w:val="bullet"/>
      <w:lvlText w:val="•"/>
      <w:lvlJc w:val="left"/>
      <w:pPr>
        <w:ind w:left="2270" w:hanging="255"/>
      </w:pPr>
      <w:rPr>
        <w:rFonts w:hint="default"/>
      </w:rPr>
    </w:lvl>
  </w:abstractNum>
  <w:abstractNum w:abstractNumId="29">
    <w:multiLevelType w:val="hybridMultilevel"/>
    <w:lvl w:ilvl="0">
      <w:start w:val="3"/>
      <w:numFmt w:val="decimal"/>
      <w:lvlText w:val="%1."/>
      <w:lvlJc w:val="left"/>
      <w:pPr>
        <w:ind w:left="361" w:hanging="230"/>
        <w:jc w:val="left"/>
      </w:pPr>
      <w:rPr>
        <w:rFonts w:hint="default" w:ascii="Arial" w:hAnsi="Arial" w:eastAsia="Arial" w:cs="Arial"/>
        <w:b/>
        <w:bCs/>
        <w:color w:val="010101"/>
        <w:w w:val="101"/>
        <w:sz w:val="19"/>
        <w:szCs w:val="19"/>
      </w:rPr>
    </w:lvl>
    <w:lvl w:ilvl="1">
      <w:start w:val="1"/>
      <w:numFmt w:val="bullet"/>
      <w:lvlText w:val="•"/>
      <w:lvlJc w:val="left"/>
      <w:pPr>
        <w:ind w:left="1480" w:hanging="230"/>
      </w:pPr>
      <w:rPr>
        <w:rFonts w:hint="default"/>
      </w:rPr>
    </w:lvl>
    <w:lvl w:ilvl="2">
      <w:start w:val="1"/>
      <w:numFmt w:val="bullet"/>
      <w:lvlText w:val="•"/>
      <w:lvlJc w:val="left"/>
      <w:pPr>
        <w:ind w:left="1817" w:hanging="230"/>
      </w:pPr>
      <w:rPr>
        <w:rFonts w:hint="default"/>
      </w:rPr>
    </w:lvl>
    <w:lvl w:ilvl="3">
      <w:start w:val="1"/>
      <w:numFmt w:val="bullet"/>
      <w:lvlText w:val="•"/>
      <w:lvlJc w:val="left"/>
      <w:pPr>
        <w:ind w:left="2155" w:hanging="230"/>
      </w:pPr>
      <w:rPr>
        <w:rFonts w:hint="default"/>
      </w:rPr>
    </w:lvl>
    <w:lvl w:ilvl="4">
      <w:start w:val="1"/>
      <w:numFmt w:val="bullet"/>
      <w:lvlText w:val="•"/>
      <w:lvlJc w:val="left"/>
      <w:pPr>
        <w:ind w:left="2493" w:hanging="230"/>
      </w:pPr>
      <w:rPr>
        <w:rFonts w:hint="default"/>
      </w:rPr>
    </w:lvl>
    <w:lvl w:ilvl="5">
      <w:start w:val="1"/>
      <w:numFmt w:val="bullet"/>
      <w:lvlText w:val="•"/>
      <w:lvlJc w:val="left"/>
      <w:pPr>
        <w:ind w:left="2831" w:hanging="230"/>
      </w:pPr>
      <w:rPr>
        <w:rFonts w:hint="default"/>
      </w:rPr>
    </w:lvl>
    <w:lvl w:ilvl="6">
      <w:start w:val="1"/>
      <w:numFmt w:val="bullet"/>
      <w:lvlText w:val="•"/>
      <w:lvlJc w:val="left"/>
      <w:pPr>
        <w:ind w:left="3169" w:hanging="230"/>
      </w:pPr>
      <w:rPr>
        <w:rFonts w:hint="default"/>
      </w:rPr>
    </w:lvl>
    <w:lvl w:ilvl="7">
      <w:start w:val="1"/>
      <w:numFmt w:val="bullet"/>
      <w:lvlText w:val="•"/>
      <w:lvlJc w:val="left"/>
      <w:pPr>
        <w:ind w:left="3506" w:hanging="230"/>
      </w:pPr>
      <w:rPr>
        <w:rFonts w:hint="default"/>
      </w:rPr>
    </w:lvl>
    <w:lvl w:ilvl="8">
      <w:start w:val="1"/>
      <w:numFmt w:val="bullet"/>
      <w:lvlText w:val="•"/>
      <w:lvlJc w:val="left"/>
      <w:pPr>
        <w:ind w:left="3844" w:hanging="230"/>
      </w:pPr>
      <w:rPr>
        <w:rFonts w:hint="default"/>
      </w:rPr>
    </w:lvl>
  </w:abstractNum>
  <w:abstractNum w:abstractNumId="28">
    <w:multiLevelType w:val="hybridMultilevel"/>
    <w:lvl w:ilvl="0">
      <w:start w:val="28"/>
      <w:numFmt w:val="decimal"/>
      <w:lvlText w:val="%1."/>
      <w:lvlJc w:val="left"/>
      <w:pPr>
        <w:ind w:left="127" w:hanging="291"/>
        <w:jc w:val="left"/>
      </w:pPr>
      <w:rPr>
        <w:rFonts w:hint="default" w:ascii="Times New Roman" w:hAnsi="Times New Roman" w:eastAsia="Times New Roman" w:cs="Times New Roman"/>
        <w:w w:val="106"/>
      </w:rPr>
    </w:lvl>
    <w:lvl w:ilvl="1">
      <w:start w:val="1"/>
      <w:numFmt w:val="bullet"/>
      <w:lvlText w:val="•"/>
      <w:lvlJc w:val="left"/>
      <w:pPr>
        <w:ind w:left="706" w:hanging="291"/>
      </w:pPr>
      <w:rPr>
        <w:rFonts w:hint="default"/>
      </w:rPr>
    </w:lvl>
    <w:lvl w:ilvl="2">
      <w:start w:val="1"/>
      <w:numFmt w:val="bullet"/>
      <w:lvlText w:val="•"/>
      <w:lvlJc w:val="left"/>
      <w:pPr>
        <w:ind w:left="1292" w:hanging="291"/>
      </w:pPr>
      <w:rPr>
        <w:rFonts w:hint="default"/>
      </w:rPr>
    </w:lvl>
    <w:lvl w:ilvl="3">
      <w:start w:val="1"/>
      <w:numFmt w:val="bullet"/>
      <w:lvlText w:val="•"/>
      <w:lvlJc w:val="left"/>
      <w:pPr>
        <w:ind w:left="1878" w:hanging="291"/>
      </w:pPr>
      <w:rPr>
        <w:rFonts w:hint="default"/>
      </w:rPr>
    </w:lvl>
    <w:lvl w:ilvl="4">
      <w:start w:val="1"/>
      <w:numFmt w:val="bullet"/>
      <w:lvlText w:val="•"/>
      <w:lvlJc w:val="left"/>
      <w:pPr>
        <w:ind w:left="2464" w:hanging="291"/>
      </w:pPr>
      <w:rPr>
        <w:rFonts w:hint="default"/>
      </w:rPr>
    </w:lvl>
    <w:lvl w:ilvl="5">
      <w:start w:val="1"/>
      <w:numFmt w:val="bullet"/>
      <w:lvlText w:val="•"/>
      <w:lvlJc w:val="left"/>
      <w:pPr>
        <w:ind w:left="3050" w:hanging="291"/>
      </w:pPr>
      <w:rPr>
        <w:rFonts w:hint="default"/>
      </w:rPr>
    </w:lvl>
    <w:lvl w:ilvl="6">
      <w:start w:val="1"/>
      <w:numFmt w:val="bullet"/>
      <w:lvlText w:val="•"/>
      <w:lvlJc w:val="left"/>
      <w:pPr>
        <w:ind w:left="3636" w:hanging="291"/>
      </w:pPr>
      <w:rPr>
        <w:rFonts w:hint="default"/>
      </w:rPr>
    </w:lvl>
    <w:lvl w:ilvl="7">
      <w:start w:val="1"/>
      <w:numFmt w:val="bullet"/>
      <w:lvlText w:val="•"/>
      <w:lvlJc w:val="left"/>
      <w:pPr>
        <w:ind w:left="4222" w:hanging="291"/>
      </w:pPr>
      <w:rPr>
        <w:rFonts w:hint="default"/>
      </w:rPr>
    </w:lvl>
    <w:lvl w:ilvl="8">
      <w:start w:val="1"/>
      <w:numFmt w:val="bullet"/>
      <w:lvlText w:val="•"/>
      <w:lvlJc w:val="left"/>
      <w:pPr>
        <w:ind w:left="4808" w:hanging="291"/>
      </w:pPr>
      <w:rPr>
        <w:rFonts w:hint="default"/>
      </w:rPr>
    </w:lvl>
  </w:abstractNum>
  <w:abstractNum w:abstractNumId="27">
    <w:multiLevelType w:val="hybridMultilevel"/>
    <w:lvl w:ilvl="0">
      <w:start w:val="7"/>
      <w:numFmt w:val="decimal"/>
      <w:lvlText w:val="%1."/>
      <w:lvlJc w:val="left"/>
      <w:pPr>
        <w:ind w:left="320" w:hanging="205"/>
        <w:jc w:val="left"/>
      </w:pPr>
      <w:rPr>
        <w:rFonts w:hint="default" w:ascii="Times New Roman" w:hAnsi="Times New Roman" w:eastAsia="Times New Roman" w:cs="Times New Roman"/>
        <w:color w:val="010101"/>
        <w:w w:val="117"/>
        <w:sz w:val="16"/>
        <w:szCs w:val="16"/>
      </w:rPr>
    </w:lvl>
    <w:lvl w:ilvl="1">
      <w:start w:val="26"/>
      <w:numFmt w:val="decimal"/>
      <w:lvlText w:val="%2."/>
      <w:lvlJc w:val="left"/>
      <w:pPr>
        <w:ind w:left="561" w:hanging="287"/>
        <w:jc w:val="left"/>
      </w:pPr>
      <w:rPr>
        <w:rFonts w:hint="default" w:ascii="Times New Roman" w:hAnsi="Times New Roman" w:eastAsia="Times New Roman" w:cs="Times New Roman"/>
        <w:color w:val="010101"/>
        <w:w w:val="96"/>
        <w:sz w:val="18"/>
        <w:szCs w:val="18"/>
      </w:rPr>
    </w:lvl>
    <w:lvl w:ilvl="2">
      <w:start w:val="1"/>
      <w:numFmt w:val="lowerLetter"/>
      <w:lvlText w:val="(%3)"/>
      <w:lvlJc w:val="left"/>
      <w:pPr>
        <w:ind w:left="744" w:hanging="291"/>
        <w:jc w:val="left"/>
      </w:pPr>
      <w:rPr>
        <w:rFonts w:hint="default" w:ascii="Times New Roman" w:hAnsi="Times New Roman" w:eastAsia="Times New Roman" w:cs="Times New Roman"/>
        <w:w w:val="102"/>
      </w:rPr>
    </w:lvl>
    <w:lvl w:ilvl="3">
      <w:start w:val="1"/>
      <w:numFmt w:val="bullet"/>
      <w:lvlText w:val="•"/>
      <w:lvlJc w:val="left"/>
      <w:pPr>
        <w:ind w:left="1395" w:hanging="291"/>
      </w:pPr>
      <w:rPr>
        <w:rFonts w:hint="default"/>
      </w:rPr>
    </w:lvl>
    <w:lvl w:ilvl="4">
      <w:start w:val="1"/>
      <w:numFmt w:val="bullet"/>
      <w:lvlText w:val="•"/>
      <w:lvlJc w:val="left"/>
      <w:pPr>
        <w:ind w:left="2050" w:hanging="291"/>
      </w:pPr>
      <w:rPr>
        <w:rFonts w:hint="default"/>
      </w:rPr>
    </w:lvl>
    <w:lvl w:ilvl="5">
      <w:start w:val="1"/>
      <w:numFmt w:val="bullet"/>
      <w:lvlText w:val="•"/>
      <w:lvlJc w:val="left"/>
      <w:pPr>
        <w:ind w:left="2705" w:hanging="291"/>
      </w:pPr>
      <w:rPr>
        <w:rFonts w:hint="default"/>
      </w:rPr>
    </w:lvl>
    <w:lvl w:ilvl="6">
      <w:start w:val="1"/>
      <w:numFmt w:val="bullet"/>
      <w:lvlText w:val="•"/>
      <w:lvlJc w:val="left"/>
      <w:pPr>
        <w:ind w:left="3360" w:hanging="291"/>
      </w:pPr>
      <w:rPr>
        <w:rFonts w:hint="default"/>
      </w:rPr>
    </w:lvl>
    <w:lvl w:ilvl="7">
      <w:start w:val="1"/>
      <w:numFmt w:val="bullet"/>
      <w:lvlText w:val="•"/>
      <w:lvlJc w:val="left"/>
      <w:pPr>
        <w:ind w:left="4015" w:hanging="291"/>
      </w:pPr>
      <w:rPr>
        <w:rFonts w:hint="default"/>
      </w:rPr>
    </w:lvl>
    <w:lvl w:ilvl="8">
      <w:start w:val="1"/>
      <w:numFmt w:val="bullet"/>
      <w:lvlText w:val="•"/>
      <w:lvlJc w:val="left"/>
      <w:pPr>
        <w:ind w:left="4670" w:hanging="291"/>
      </w:pPr>
      <w:rPr>
        <w:rFonts w:hint="default"/>
      </w:rPr>
    </w:lvl>
  </w:abstractNum>
  <w:abstractNum w:abstractNumId="26">
    <w:multiLevelType w:val="hybridMultilevel"/>
    <w:lvl w:ilvl="0">
      <w:start w:val="6"/>
      <w:numFmt w:val="decimal"/>
      <w:lvlText w:val="%1."/>
      <w:lvlJc w:val="left"/>
      <w:pPr>
        <w:ind w:left="319" w:hanging="201"/>
        <w:jc w:val="left"/>
      </w:pPr>
      <w:rPr>
        <w:rFonts w:hint="default" w:ascii="Times New Roman" w:hAnsi="Times New Roman" w:eastAsia="Times New Roman" w:cs="Times New Roman"/>
        <w:b/>
        <w:bCs/>
        <w:color w:val="010101"/>
        <w:w w:val="108"/>
        <w:sz w:val="16"/>
        <w:szCs w:val="16"/>
      </w:rPr>
    </w:lvl>
    <w:lvl w:ilvl="1">
      <w:start w:val="20"/>
      <w:numFmt w:val="decimal"/>
      <w:lvlText w:val="%2."/>
      <w:lvlJc w:val="left"/>
      <w:pPr>
        <w:ind w:left="126" w:hanging="288"/>
        <w:jc w:val="left"/>
      </w:pPr>
      <w:rPr>
        <w:rFonts w:hint="default" w:ascii="Times New Roman" w:hAnsi="Times New Roman" w:eastAsia="Times New Roman" w:cs="Times New Roman"/>
        <w:w w:val="95"/>
      </w:rPr>
    </w:lvl>
    <w:lvl w:ilvl="2">
      <w:start w:val="1"/>
      <w:numFmt w:val="bullet"/>
      <w:lvlText w:val="•"/>
      <w:lvlJc w:val="left"/>
      <w:pPr>
        <w:ind w:left="948" w:hanging="288"/>
      </w:pPr>
      <w:rPr>
        <w:rFonts w:hint="default"/>
      </w:rPr>
    </w:lvl>
    <w:lvl w:ilvl="3">
      <w:start w:val="1"/>
      <w:numFmt w:val="bullet"/>
      <w:lvlText w:val="•"/>
      <w:lvlJc w:val="left"/>
      <w:pPr>
        <w:ind w:left="1577" w:hanging="288"/>
      </w:pPr>
      <w:rPr>
        <w:rFonts w:hint="default"/>
      </w:rPr>
    </w:lvl>
    <w:lvl w:ilvl="4">
      <w:start w:val="1"/>
      <w:numFmt w:val="bullet"/>
      <w:lvlText w:val="•"/>
      <w:lvlJc w:val="left"/>
      <w:pPr>
        <w:ind w:left="2206" w:hanging="288"/>
      </w:pPr>
      <w:rPr>
        <w:rFonts w:hint="default"/>
      </w:rPr>
    </w:lvl>
    <w:lvl w:ilvl="5">
      <w:start w:val="1"/>
      <w:numFmt w:val="bullet"/>
      <w:lvlText w:val="•"/>
      <w:lvlJc w:val="left"/>
      <w:pPr>
        <w:ind w:left="2835" w:hanging="288"/>
      </w:pPr>
      <w:rPr>
        <w:rFonts w:hint="default"/>
      </w:rPr>
    </w:lvl>
    <w:lvl w:ilvl="6">
      <w:start w:val="1"/>
      <w:numFmt w:val="bullet"/>
      <w:lvlText w:val="•"/>
      <w:lvlJc w:val="left"/>
      <w:pPr>
        <w:ind w:left="3464" w:hanging="288"/>
      </w:pPr>
      <w:rPr>
        <w:rFonts w:hint="default"/>
      </w:rPr>
    </w:lvl>
    <w:lvl w:ilvl="7">
      <w:start w:val="1"/>
      <w:numFmt w:val="bullet"/>
      <w:lvlText w:val="•"/>
      <w:lvlJc w:val="left"/>
      <w:pPr>
        <w:ind w:left="4093" w:hanging="288"/>
      </w:pPr>
      <w:rPr>
        <w:rFonts w:hint="default"/>
      </w:rPr>
    </w:lvl>
    <w:lvl w:ilvl="8">
      <w:start w:val="1"/>
      <w:numFmt w:val="bullet"/>
      <w:lvlText w:val="•"/>
      <w:lvlJc w:val="left"/>
      <w:pPr>
        <w:ind w:left="4722" w:hanging="288"/>
      </w:pPr>
      <w:rPr>
        <w:rFonts w:hint="default"/>
      </w:rPr>
    </w:lvl>
  </w:abstractNum>
  <w:abstractNum w:abstractNumId="25">
    <w:multiLevelType w:val="hybridMultilevel"/>
    <w:lvl w:ilvl="0">
      <w:start w:val="15"/>
      <w:numFmt w:val="decimal"/>
      <w:lvlText w:val="%1."/>
      <w:lvlJc w:val="left"/>
      <w:pPr>
        <w:ind w:left="120" w:hanging="280"/>
        <w:jc w:val="left"/>
      </w:pPr>
      <w:rPr>
        <w:rFonts w:hint="default" w:ascii="Times New Roman" w:hAnsi="Times New Roman" w:eastAsia="Times New Roman" w:cs="Times New Roman"/>
        <w:spacing w:val="-54"/>
        <w:w w:val="108"/>
      </w:rPr>
    </w:lvl>
    <w:lvl w:ilvl="1">
      <w:start w:val="1"/>
      <w:numFmt w:val="bullet"/>
      <w:lvlText w:val="•"/>
      <w:lvlJc w:val="left"/>
      <w:pPr>
        <w:ind w:left="706" w:hanging="280"/>
      </w:pPr>
      <w:rPr>
        <w:rFonts w:hint="default"/>
      </w:rPr>
    </w:lvl>
    <w:lvl w:ilvl="2">
      <w:start w:val="1"/>
      <w:numFmt w:val="bullet"/>
      <w:lvlText w:val="•"/>
      <w:lvlJc w:val="left"/>
      <w:pPr>
        <w:ind w:left="1292" w:hanging="280"/>
      </w:pPr>
      <w:rPr>
        <w:rFonts w:hint="default"/>
      </w:rPr>
    </w:lvl>
    <w:lvl w:ilvl="3">
      <w:start w:val="1"/>
      <w:numFmt w:val="bullet"/>
      <w:lvlText w:val="•"/>
      <w:lvlJc w:val="left"/>
      <w:pPr>
        <w:ind w:left="1878" w:hanging="280"/>
      </w:pPr>
      <w:rPr>
        <w:rFonts w:hint="default"/>
      </w:rPr>
    </w:lvl>
    <w:lvl w:ilvl="4">
      <w:start w:val="1"/>
      <w:numFmt w:val="bullet"/>
      <w:lvlText w:val="•"/>
      <w:lvlJc w:val="left"/>
      <w:pPr>
        <w:ind w:left="2464" w:hanging="280"/>
      </w:pPr>
      <w:rPr>
        <w:rFonts w:hint="default"/>
      </w:rPr>
    </w:lvl>
    <w:lvl w:ilvl="5">
      <w:start w:val="1"/>
      <w:numFmt w:val="bullet"/>
      <w:lvlText w:val="•"/>
      <w:lvlJc w:val="left"/>
      <w:pPr>
        <w:ind w:left="3050" w:hanging="280"/>
      </w:pPr>
      <w:rPr>
        <w:rFonts w:hint="default"/>
      </w:rPr>
    </w:lvl>
    <w:lvl w:ilvl="6">
      <w:start w:val="1"/>
      <w:numFmt w:val="bullet"/>
      <w:lvlText w:val="•"/>
      <w:lvlJc w:val="left"/>
      <w:pPr>
        <w:ind w:left="3636" w:hanging="280"/>
      </w:pPr>
      <w:rPr>
        <w:rFonts w:hint="default"/>
      </w:rPr>
    </w:lvl>
    <w:lvl w:ilvl="7">
      <w:start w:val="1"/>
      <w:numFmt w:val="bullet"/>
      <w:lvlText w:val="•"/>
      <w:lvlJc w:val="left"/>
      <w:pPr>
        <w:ind w:left="4222" w:hanging="280"/>
      </w:pPr>
      <w:rPr>
        <w:rFonts w:hint="default"/>
      </w:rPr>
    </w:lvl>
    <w:lvl w:ilvl="8">
      <w:start w:val="1"/>
      <w:numFmt w:val="bullet"/>
      <w:lvlText w:val="•"/>
      <w:lvlJc w:val="left"/>
      <w:pPr>
        <w:ind w:left="4808" w:hanging="280"/>
      </w:pPr>
      <w:rPr>
        <w:rFonts w:hint="default"/>
      </w:rPr>
    </w:lvl>
  </w:abstractNum>
  <w:abstractNum w:abstractNumId="24">
    <w:multiLevelType w:val="hybridMultilevel"/>
    <w:lvl w:ilvl="0">
      <w:start w:val="3"/>
      <w:numFmt w:val="decimal"/>
      <w:lvlText w:val="%1."/>
      <w:lvlJc w:val="left"/>
      <w:pPr>
        <w:ind w:left="316" w:hanging="204"/>
        <w:jc w:val="left"/>
      </w:pPr>
      <w:rPr>
        <w:rFonts w:hint="default" w:ascii="Times New Roman" w:hAnsi="Times New Roman" w:eastAsia="Times New Roman" w:cs="Times New Roman"/>
        <w:color w:val="010101"/>
        <w:spacing w:val="-16"/>
        <w:w w:val="115"/>
        <w:sz w:val="17"/>
        <w:szCs w:val="17"/>
      </w:rPr>
    </w:lvl>
    <w:lvl w:ilvl="1">
      <w:start w:val="8"/>
      <w:numFmt w:val="decimal"/>
      <w:lvlText w:val="%2."/>
      <w:lvlJc w:val="left"/>
      <w:pPr>
        <w:ind w:left="116" w:hanging="212"/>
        <w:jc w:val="left"/>
      </w:pPr>
      <w:rPr>
        <w:rFonts w:hint="default" w:ascii="Times New Roman" w:hAnsi="Times New Roman" w:eastAsia="Times New Roman" w:cs="Times New Roman"/>
        <w:w w:val="104"/>
      </w:rPr>
    </w:lvl>
    <w:lvl w:ilvl="2">
      <w:start w:val="1"/>
      <w:numFmt w:val="bullet"/>
      <w:lvlText w:val="•"/>
      <w:lvlJc w:val="left"/>
      <w:pPr>
        <w:ind w:left="3491" w:hanging="1031"/>
      </w:pPr>
      <w:rPr>
        <w:rFonts w:hint="default" w:ascii="Arial" w:hAnsi="Arial" w:eastAsia="Arial" w:cs="Arial"/>
        <w:color w:val="010101"/>
        <w:w w:val="231"/>
        <w:sz w:val="16"/>
        <w:szCs w:val="16"/>
      </w:rPr>
    </w:lvl>
    <w:lvl w:ilvl="3">
      <w:start w:val="1"/>
      <w:numFmt w:val="bullet"/>
      <w:lvlText w:val="•"/>
      <w:lvlJc w:val="left"/>
      <w:pPr>
        <w:ind w:left="3810" w:hanging="1031"/>
      </w:pPr>
      <w:rPr>
        <w:rFonts w:hint="default"/>
      </w:rPr>
    </w:lvl>
    <w:lvl w:ilvl="4">
      <w:start w:val="1"/>
      <w:numFmt w:val="bullet"/>
      <w:lvlText w:val="•"/>
      <w:lvlJc w:val="left"/>
      <w:pPr>
        <w:ind w:left="4120" w:hanging="1031"/>
      </w:pPr>
      <w:rPr>
        <w:rFonts w:hint="default"/>
      </w:rPr>
    </w:lvl>
    <w:lvl w:ilvl="5">
      <w:start w:val="1"/>
      <w:numFmt w:val="bullet"/>
      <w:lvlText w:val="•"/>
      <w:lvlJc w:val="left"/>
      <w:pPr>
        <w:ind w:left="4430" w:hanging="1031"/>
      </w:pPr>
      <w:rPr>
        <w:rFonts w:hint="default"/>
      </w:rPr>
    </w:lvl>
    <w:lvl w:ilvl="6">
      <w:start w:val="1"/>
      <w:numFmt w:val="bullet"/>
      <w:lvlText w:val="•"/>
      <w:lvlJc w:val="left"/>
      <w:pPr>
        <w:ind w:left="4740" w:hanging="1031"/>
      </w:pPr>
      <w:rPr>
        <w:rFonts w:hint="default"/>
      </w:rPr>
    </w:lvl>
    <w:lvl w:ilvl="7">
      <w:start w:val="1"/>
      <w:numFmt w:val="bullet"/>
      <w:lvlText w:val="•"/>
      <w:lvlJc w:val="left"/>
      <w:pPr>
        <w:ind w:left="5050" w:hanging="1031"/>
      </w:pPr>
      <w:rPr>
        <w:rFonts w:hint="default"/>
      </w:rPr>
    </w:lvl>
    <w:lvl w:ilvl="8">
      <w:start w:val="1"/>
      <w:numFmt w:val="bullet"/>
      <w:lvlText w:val="•"/>
      <w:lvlJc w:val="left"/>
      <w:pPr>
        <w:ind w:left="5360" w:hanging="1031"/>
      </w:pPr>
      <w:rPr>
        <w:rFonts w:hint="default"/>
      </w:rPr>
    </w:lvl>
  </w:abstractNum>
  <w:abstractNum w:abstractNumId="23">
    <w:multiLevelType w:val="hybridMultilevel"/>
    <w:lvl w:ilvl="0">
      <w:start w:val="2"/>
      <w:numFmt w:val="decimal"/>
      <w:lvlText w:val="%1."/>
      <w:lvlJc w:val="left"/>
      <w:pPr>
        <w:ind w:left="348" w:hanging="208"/>
        <w:jc w:val="left"/>
      </w:pPr>
      <w:rPr>
        <w:rFonts w:hint="default" w:ascii="Arial" w:hAnsi="Arial" w:eastAsia="Arial" w:cs="Arial"/>
        <w:color w:val="010101"/>
        <w:w w:val="103"/>
        <w:sz w:val="15"/>
        <w:szCs w:val="15"/>
      </w:rPr>
    </w:lvl>
    <w:lvl w:ilvl="1">
      <w:start w:val="4"/>
      <w:numFmt w:val="decimal"/>
      <w:lvlText w:val="%2."/>
      <w:lvlJc w:val="left"/>
      <w:pPr>
        <w:ind w:left="134" w:hanging="212"/>
        <w:jc w:val="left"/>
      </w:pPr>
      <w:rPr>
        <w:rFonts w:hint="default" w:ascii="Times New Roman" w:hAnsi="Times New Roman" w:eastAsia="Times New Roman" w:cs="Times New Roman"/>
        <w:w w:val="106"/>
      </w:rPr>
    </w:lvl>
    <w:lvl w:ilvl="2">
      <w:start w:val="1"/>
      <w:numFmt w:val="bullet"/>
      <w:lvlText w:val="•"/>
      <w:lvlJc w:val="left"/>
      <w:pPr>
        <w:ind w:left="966" w:hanging="212"/>
      </w:pPr>
      <w:rPr>
        <w:rFonts w:hint="default"/>
      </w:rPr>
    </w:lvl>
    <w:lvl w:ilvl="3">
      <w:start w:val="1"/>
      <w:numFmt w:val="bullet"/>
      <w:lvlText w:val="•"/>
      <w:lvlJc w:val="left"/>
      <w:pPr>
        <w:ind w:left="1593" w:hanging="212"/>
      </w:pPr>
      <w:rPr>
        <w:rFonts w:hint="default"/>
      </w:rPr>
    </w:lvl>
    <w:lvl w:ilvl="4">
      <w:start w:val="1"/>
      <w:numFmt w:val="bullet"/>
      <w:lvlText w:val="•"/>
      <w:lvlJc w:val="left"/>
      <w:pPr>
        <w:ind w:left="2220" w:hanging="212"/>
      </w:pPr>
      <w:rPr>
        <w:rFonts w:hint="default"/>
      </w:rPr>
    </w:lvl>
    <w:lvl w:ilvl="5">
      <w:start w:val="1"/>
      <w:numFmt w:val="bullet"/>
      <w:lvlText w:val="•"/>
      <w:lvlJc w:val="left"/>
      <w:pPr>
        <w:ind w:left="2846" w:hanging="212"/>
      </w:pPr>
      <w:rPr>
        <w:rFonts w:hint="default"/>
      </w:rPr>
    </w:lvl>
    <w:lvl w:ilvl="6">
      <w:start w:val="1"/>
      <w:numFmt w:val="bullet"/>
      <w:lvlText w:val="•"/>
      <w:lvlJc w:val="left"/>
      <w:pPr>
        <w:ind w:left="3473" w:hanging="212"/>
      </w:pPr>
      <w:rPr>
        <w:rFonts w:hint="default"/>
      </w:rPr>
    </w:lvl>
    <w:lvl w:ilvl="7">
      <w:start w:val="1"/>
      <w:numFmt w:val="bullet"/>
      <w:lvlText w:val="•"/>
      <w:lvlJc w:val="left"/>
      <w:pPr>
        <w:ind w:left="4100" w:hanging="212"/>
      </w:pPr>
      <w:rPr>
        <w:rFonts w:hint="default"/>
      </w:rPr>
    </w:lvl>
    <w:lvl w:ilvl="8">
      <w:start w:val="1"/>
      <w:numFmt w:val="bullet"/>
      <w:lvlText w:val="•"/>
      <w:lvlJc w:val="left"/>
      <w:pPr>
        <w:ind w:left="4726" w:hanging="212"/>
      </w:pPr>
      <w:rPr>
        <w:rFonts w:hint="default"/>
      </w:rPr>
    </w:lvl>
  </w:abstractNum>
  <w:abstractNum w:abstractNumId="22">
    <w:multiLevelType w:val="hybridMultilevel"/>
    <w:lvl w:ilvl="0">
      <w:start w:val="2"/>
      <w:numFmt w:val="decimal"/>
      <w:lvlText w:val="%1."/>
      <w:lvlJc w:val="left"/>
      <w:pPr>
        <w:ind w:left="144" w:hanging="208"/>
        <w:jc w:val="left"/>
      </w:pPr>
      <w:rPr>
        <w:rFonts w:hint="default" w:ascii="Times New Roman" w:hAnsi="Times New Roman" w:eastAsia="Times New Roman" w:cs="Times New Roman"/>
        <w:w w:val="110"/>
      </w:rPr>
    </w:lvl>
    <w:lvl w:ilvl="1">
      <w:start w:val="1"/>
      <w:numFmt w:val="bullet"/>
      <w:lvlText w:val="•"/>
      <w:lvlJc w:val="left"/>
      <w:pPr>
        <w:ind w:left="724" w:hanging="208"/>
      </w:pPr>
      <w:rPr>
        <w:rFonts w:hint="default"/>
      </w:rPr>
    </w:lvl>
    <w:lvl w:ilvl="2">
      <w:start w:val="1"/>
      <w:numFmt w:val="bullet"/>
      <w:lvlText w:val="•"/>
      <w:lvlJc w:val="left"/>
      <w:pPr>
        <w:ind w:left="1308" w:hanging="208"/>
      </w:pPr>
      <w:rPr>
        <w:rFonts w:hint="default"/>
      </w:rPr>
    </w:lvl>
    <w:lvl w:ilvl="3">
      <w:start w:val="1"/>
      <w:numFmt w:val="bullet"/>
      <w:lvlText w:val="•"/>
      <w:lvlJc w:val="left"/>
      <w:pPr>
        <w:ind w:left="1892" w:hanging="208"/>
      </w:pPr>
      <w:rPr>
        <w:rFonts w:hint="default"/>
      </w:rPr>
    </w:lvl>
    <w:lvl w:ilvl="4">
      <w:start w:val="1"/>
      <w:numFmt w:val="bullet"/>
      <w:lvlText w:val="•"/>
      <w:lvlJc w:val="left"/>
      <w:pPr>
        <w:ind w:left="2476" w:hanging="208"/>
      </w:pPr>
      <w:rPr>
        <w:rFonts w:hint="default"/>
      </w:rPr>
    </w:lvl>
    <w:lvl w:ilvl="5">
      <w:start w:val="1"/>
      <w:numFmt w:val="bullet"/>
      <w:lvlText w:val="•"/>
      <w:lvlJc w:val="left"/>
      <w:pPr>
        <w:ind w:left="3060" w:hanging="208"/>
      </w:pPr>
      <w:rPr>
        <w:rFonts w:hint="default"/>
      </w:rPr>
    </w:lvl>
    <w:lvl w:ilvl="6">
      <w:start w:val="1"/>
      <w:numFmt w:val="bullet"/>
      <w:lvlText w:val="•"/>
      <w:lvlJc w:val="left"/>
      <w:pPr>
        <w:ind w:left="3644" w:hanging="208"/>
      </w:pPr>
      <w:rPr>
        <w:rFonts w:hint="default"/>
      </w:rPr>
    </w:lvl>
    <w:lvl w:ilvl="7">
      <w:start w:val="1"/>
      <w:numFmt w:val="bullet"/>
      <w:lvlText w:val="•"/>
      <w:lvlJc w:val="left"/>
      <w:pPr>
        <w:ind w:left="4228" w:hanging="208"/>
      </w:pPr>
      <w:rPr>
        <w:rFonts w:hint="default"/>
      </w:rPr>
    </w:lvl>
    <w:lvl w:ilvl="8">
      <w:start w:val="1"/>
      <w:numFmt w:val="bullet"/>
      <w:lvlText w:val="•"/>
      <w:lvlJc w:val="left"/>
      <w:pPr>
        <w:ind w:left="4812" w:hanging="208"/>
      </w:pPr>
      <w:rPr>
        <w:rFonts w:hint="default"/>
      </w:rPr>
    </w:lvl>
  </w:abstractNum>
  <w:abstractNum w:abstractNumId="21">
    <w:multiLevelType w:val="hybridMultilevel"/>
    <w:lvl w:ilvl="0">
      <w:start w:val="6"/>
      <w:numFmt w:val="decimal"/>
      <w:lvlText w:val="%1."/>
      <w:lvlJc w:val="left"/>
      <w:pPr>
        <w:ind w:left="373" w:hanging="216"/>
        <w:jc w:val="left"/>
      </w:pPr>
      <w:rPr>
        <w:rFonts w:hint="default" w:ascii="Times New Roman" w:hAnsi="Times New Roman" w:eastAsia="Times New Roman" w:cs="Times New Roman"/>
        <w:b/>
        <w:bCs/>
        <w:color w:val="010101"/>
        <w:w w:val="114"/>
        <w:sz w:val="19"/>
        <w:szCs w:val="19"/>
      </w:rPr>
    </w:lvl>
    <w:lvl w:ilvl="1">
      <w:start w:val="1"/>
      <w:numFmt w:val="bullet"/>
      <w:lvlText w:val="•"/>
      <w:lvlJc w:val="left"/>
      <w:pPr>
        <w:ind w:left="942" w:hanging="216"/>
      </w:pPr>
      <w:rPr>
        <w:rFonts w:hint="default"/>
      </w:rPr>
    </w:lvl>
    <w:lvl w:ilvl="2">
      <w:start w:val="1"/>
      <w:numFmt w:val="bullet"/>
      <w:lvlText w:val="•"/>
      <w:lvlJc w:val="left"/>
      <w:pPr>
        <w:ind w:left="1504" w:hanging="216"/>
      </w:pPr>
      <w:rPr>
        <w:rFonts w:hint="default"/>
      </w:rPr>
    </w:lvl>
    <w:lvl w:ilvl="3">
      <w:start w:val="1"/>
      <w:numFmt w:val="bullet"/>
      <w:lvlText w:val="•"/>
      <w:lvlJc w:val="left"/>
      <w:pPr>
        <w:ind w:left="2066" w:hanging="216"/>
      </w:pPr>
      <w:rPr>
        <w:rFonts w:hint="default"/>
      </w:rPr>
    </w:lvl>
    <w:lvl w:ilvl="4">
      <w:start w:val="1"/>
      <w:numFmt w:val="bullet"/>
      <w:lvlText w:val="•"/>
      <w:lvlJc w:val="left"/>
      <w:pPr>
        <w:ind w:left="2628" w:hanging="216"/>
      </w:pPr>
      <w:rPr>
        <w:rFonts w:hint="default"/>
      </w:rPr>
    </w:lvl>
    <w:lvl w:ilvl="5">
      <w:start w:val="1"/>
      <w:numFmt w:val="bullet"/>
      <w:lvlText w:val="•"/>
      <w:lvlJc w:val="left"/>
      <w:pPr>
        <w:ind w:left="3190" w:hanging="216"/>
      </w:pPr>
      <w:rPr>
        <w:rFonts w:hint="default"/>
      </w:rPr>
    </w:lvl>
    <w:lvl w:ilvl="6">
      <w:start w:val="1"/>
      <w:numFmt w:val="bullet"/>
      <w:lvlText w:val="•"/>
      <w:lvlJc w:val="left"/>
      <w:pPr>
        <w:ind w:left="3752" w:hanging="216"/>
      </w:pPr>
      <w:rPr>
        <w:rFonts w:hint="default"/>
      </w:rPr>
    </w:lvl>
    <w:lvl w:ilvl="7">
      <w:start w:val="1"/>
      <w:numFmt w:val="bullet"/>
      <w:lvlText w:val="•"/>
      <w:lvlJc w:val="left"/>
      <w:pPr>
        <w:ind w:left="4314" w:hanging="216"/>
      </w:pPr>
      <w:rPr>
        <w:rFonts w:hint="default"/>
      </w:rPr>
    </w:lvl>
    <w:lvl w:ilvl="8">
      <w:start w:val="1"/>
      <w:numFmt w:val="bullet"/>
      <w:lvlText w:val="•"/>
      <w:lvlJc w:val="left"/>
      <w:pPr>
        <w:ind w:left="4876" w:hanging="216"/>
      </w:pPr>
      <w:rPr>
        <w:rFonts w:hint="default"/>
      </w:rPr>
    </w:lvl>
  </w:abstractNum>
  <w:abstractNum w:abstractNumId="20">
    <w:multiLevelType w:val="hybridMultilevel"/>
    <w:lvl w:ilvl="0">
      <w:start w:val="19"/>
      <w:numFmt w:val="upperLetter"/>
      <w:lvlText w:val="%1."/>
      <w:lvlJc w:val="left"/>
      <w:pPr>
        <w:ind w:left="334" w:hanging="222"/>
        <w:jc w:val="left"/>
      </w:pPr>
      <w:rPr>
        <w:rFonts w:hint="default" w:ascii="Times New Roman" w:hAnsi="Times New Roman" w:eastAsia="Times New Roman" w:cs="Times New Roman"/>
        <w:b/>
        <w:bCs/>
        <w:color w:val="010101"/>
        <w:w w:val="108"/>
        <w:sz w:val="19"/>
        <w:szCs w:val="19"/>
      </w:rPr>
    </w:lvl>
    <w:lvl w:ilvl="1">
      <w:start w:val="5"/>
      <w:numFmt w:val="upperLetter"/>
      <w:lvlText w:val="%2."/>
      <w:lvlJc w:val="left"/>
      <w:pPr>
        <w:ind w:left="116" w:hanging="252"/>
        <w:jc w:val="left"/>
      </w:pPr>
      <w:rPr>
        <w:rFonts w:hint="default" w:ascii="Times New Roman" w:hAnsi="Times New Roman" w:eastAsia="Times New Roman" w:cs="Times New Roman"/>
        <w:color w:val="010101"/>
        <w:w w:val="116"/>
        <w:sz w:val="20"/>
        <w:szCs w:val="20"/>
      </w:rPr>
    </w:lvl>
    <w:lvl w:ilvl="2">
      <w:start w:val="1"/>
      <w:numFmt w:val="decimal"/>
      <w:lvlText w:val="%3."/>
      <w:lvlJc w:val="left"/>
      <w:pPr>
        <w:ind w:left="124" w:hanging="234"/>
        <w:jc w:val="left"/>
      </w:pPr>
      <w:rPr>
        <w:rFonts w:hint="default" w:ascii="Times New Roman" w:hAnsi="Times New Roman" w:eastAsia="Times New Roman" w:cs="Times New Roman"/>
        <w:w w:val="112"/>
      </w:rPr>
    </w:lvl>
    <w:lvl w:ilvl="3">
      <w:start w:val="1"/>
      <w:numFmt w:val="bullet"/>
      <w:lvlText w:val="•"/>
      <w:lvlJc w:val="left"/>
      <w:pPr>
        <w:ind w:left="1588" w:hanging="234"/>
      </w:pPr>
      <w:rPr>
        <w:rFonts w:hint="default"/>
      </w:rPr>
    </w:lvl>
    <w:lvl w:ilvl="4">
      <w:start w:val="1"/>
      <w:numFmt w:val="bullet"/>
      <w:lvlText w:val="•"/>
      <w:lvlJc w:val="left"/>
      <w:pPr>
        <w:ind w:left="2213" w:hanging="234"/>
      </w:pPr>
      <w:rPr>
        <w:rFonts w:hint="default"/>
      </w:rPr>
    </w:lvl>
    <w:lvl w:ilvl="5">
      <w:start w:val="1"/>
      <w:numFmt w:val="bullet"/>
      <w:lvlText w:val="•"/>
      <w:lvlJc w:val="left"/>
      <w:pPr>
        <w:ind w:left="2837" w:hanging="234"/>
      </w:pPr>
      <w:rPr>
        <w:rFonts w:hint="default"/>
      </w:rPr>
    </w:lvl>
    <w:lvl w:ilvl="6">
      <w:start w:val="1"/>
      <w:numFmt w:val="bullet"/>
      <w:lvlText w:val="•"/>
      <w:lvlJc w:val="left"/>
      <w:pPr>
        <w:ind w:left="3462" w:hanging="234"/>
      </w:pPr>
      <w:rPr>
        <w:rFonts w:hint="default"/>
      </w:rPr>
    </w:lvl>
    <w:lvl w:ilvl="7">
      <w:start w:val="1"/>
      <w:numFmt w:val="bullet"/>
      <w:lvlText w:val="•"/>
      <w:lvlJc w:val="left"/>
      <w:pPr>
        <w:ind w:left="4086" w:hanging="234"/>
      </w:pPr>
      <w:rPr>
        <w:rFonts w:hint="default"/>
      </w:rPr>
    </w:lvl>
    <w:lvl w:ilvl="8">
      <w:start w:val="1"/>
      <w:numFmt w:val="bullet"/>
      <w:lvlText w:val="•"/>
      <w:lvlJc w:val="left"/>
      <w:pPr>
        <w:ind w:left="4711" w:hanging="234"/>
      </w:pPr>
      <w:rPr>
        <w:rFonts w:hint="default"/>
      </w:rPr>
    </w:lvl>
  </w:abstractNum>
  <w:abstractNum w:abstractNumId="19">
    <w:multiLevelType w:val="hybridMultilevel"/>
    <w:lvl w:ilvl="0">
      <w:start w:val="3"/>
      <w:numFmt w:val="decimal"/>
      <w:lvlText w:val="%1."/>
      <w:lvlJc w:val="left"/>
      <w:pPr>
        <w:ind w:left="388" w:hanging="219"/>
        <w:jc w:val="left"/>
      </w:pPr>
      <w:rPr>
        <w:rFonts w:hint="default" w:ascii="Times New Roman" w:hAnsi="Times New Roman" w:eastAsia="Times New Roman" w:cs="Times New Roman"/>
        <w:b/>
        <w:bCs/>
        <w:w w:val="107"/>
      </w:rPr>
    </w:lvl>
    <w:lvl w:ilvl="1">
      <w:start w:val="1"/>
      <w:numFmt w:val="bullet"/>
      <w:lvlText w:val="•"/>
      <w:lvlJc w:val="left"/>
      <w:pPr>
        <w:ind w:left="923" w:hanging="113"/>
      </w:pPr>
      <w:rPr>
        <w:rFonts w:hint="default" w:ascii="Arial" w:hAnsi="Arial" w:eastAsia="Arial" w:cs="Arial"/>
        <w:spacing w:val="-46"/>
        <w:w w:val="403"/>
        <w:sz w:val="10"/>
        <w:szCs w:val="10"/>
      </w:rPr>
    </w:lvl>
    <w:lvl w:ilvl="2">
      <w:start w:val="1"/>
      <w:numFmt w:val="bullet"/>
      <w:lvlText w:val="•"/>
      <w:lvlJc w:val="left"/>
      <w:pPr>
        <w:ind w:left="3657" w:hanging="1370"/>
      </w:pPr>
      <w:rPr>
        <w:rFonts w:hint="default" w:ascii="Times New Roman" w:hAnsi="Times New Roman" w:eastAsia="Times New Roman" w:cs="Times New Roman"/>
        <w:color w:val="010101"/>
        <w:w w:val="244"/>
        <w:sz w:val="13"/>
        <w:szCs w:val="13"/>
      </w:rPr>
    </w:lvl>
    <w:lvl w:ilvl="3">
      <w:start w:val="1"/>
      <w:numFmt w:val="bullet"/>
      <w:lvlText w:val="•"/>
      <w:lvlJc w:val="left"/>
      <w:pPr>
        <w:ind w:left="3490" w:hanging="1370"/>
      </w:pPr>
      <w:rPr>
        <w:rFonts w:hint="default"/>
      </w:rPr>
    </w:lvl>
    <w:lvl w:ilvl="4">
      <w:start w:val="1"/>
      <w:numFmt w:val="bullet"/>
      <w:lvlText w:val="•"/>
      <w:lvlJc w:val="left"/>
      <w:pPr>
        <w:ind w:left="3320" w:hanging="1370"/>
      </w:pPr>
      <w:rPr>
        <w:rFonts w:hint="default"/>
      </w:rPr>
    </w:lvl>
    <w:lvl w:ilvl="5">
      <w:start w:val="1"/>
      <w:numFmt w:val="bullet"/>
      <w:lvlText w:val="•"/>
      <w:lvlJc w:val="left"/>
      <w:pPr>
        <w:ind w:left="3150" w:hanging="1370"/>
      </w:pPr>
      <w:rPr>
        <w:rFonts w:hint="default"/>
      </w:rPr>
    </w:lvl>
    <w:lvl w:ilvl="6">
      <w:start w:val="1"/>
      <w:numFmt w:val="bullet"/>
      <w:lvlText w:val="•"/>
      <w:lvlJc w:val="left"/>
      <w:pPr>
        <w:ind w:left="2980" w:hanging="1370"/>
      </w:pPr>
      <w:rPr>
        <w:rFonts w:hint="default"/>
      </w:rPr>
    </w:lvl>
    <w:lvl w:ilvl="7">
      <w:start w:val="1"/>
      <w:numFmt w:val="bullet"/>
      <w:lvlText w:val="•"/>
      <w:lvlJc w:val="left"/>
      <w:pPr>
        <w:ind w:left="2810" w:hanging="1370"/>
      </w:pPr>
      <w:rPr>
        <w:rFonts w:hint="default"/>
      </w:rPr>
    </w:lvl>
    <w:lvl w:ilvl="8">
      <w:start w:val="1"/>
      <w:numFmt w:val="bullet"/>
      <w:lvlText w:val="•"/>
      <w:lvlJc w:val="left"/>
      <w:pPr>
        <w:ind w:left="2640" w:hanging="1370"/>
      </w:pPr>
      <w:rPr>
        <w:rFonts w:hint="default"/>
      </w:rPr>
    </w:lvl>
  </w:abstractNum>
  <w:abstractNum w:abstractNumId="18">
    <w:multiLevelType w:val="hybridMultilevel"/>
    <w:lvl w:ilvl="0">
      <w:start w:val="28"/>
      <w:numFmt w:val="decimal"/>
      <w:lvlText w:val="%1."/>
      <w:lvlJc w:val="left"/>
      <w:pPr>
        <w:ind w:left="122" w:hanging="291"/>
        <w:jc w:val="left"/>
      </w:pPr>
      <w:rPr>
        <w:rFonts w:hint="default" w:ascii="Times New Roman" w:hAnsi="Times New Roman" w:eastAsia="Times New Roman" w:cs="Times New Roman"/>
        <w:w w:val="96"/>
      </w:rPr>
    </w:lvl>
    <w:lvl w:ilvl="1">
      <w:start w:val="1"/>
      <w:numFmt w:val="bullet"/>
      <w:lvlText w:val="•"/>
      <w:lvlJc w:val="left"/>
      <w:pPr>
        <w:ind w:left="710" w:hanging="291"/>
      </w:pPr>
      <w:rPr>
        <w:rFonts w:hint="default"/>
      </w:rPr>
    </w:lvl>
    <w:lvl w:ilvl="2">
      <w:start w:val="1"/>
      <w:numFmt w:val="bullet"/>
      <w:lvlText w:val="•"/>
      <w:lvlJc w:val="left"/>
      <w:pPr>
        <w:ind w:left="1300" w:hanging="291"/>
      </w:pPr>
      <w:rPr>
        <w:rFonts w:hint="default"/>
      </w:rPr>
    </w:lvl>
    <w:lvl w:ilvl="3">
      <w:start w:val="1"/>
      <w:numFmt w:val="bullet"/>
      <w:lvlText w:val="•"/>
      <w:lvlJc w:val="left"/>
      <w:pPr>
        <w:ind w:left="1890" w:hanging="291"/>
      </w:pPr>
      <w:rPr>
        <w:rFonts w:hint="default"/>
      </w:rPr>
    </w:lvl>
    <w:lvl w:ilvl="4">
      <w:start w:val="1"/>
      <w:numFmt w:val="bullet"/>
      <w:lvlText w:val="•"/>
      <w:lvlJc w:val="left"/>
      <w:pPr>
        <w:ind w:left="2480" w:hanging="291"/>
      </w:pPr>
      <w:rPr>
        <w:rFonts w:hint="default"/>
      </w:rPr>
    </w:lvl>
    <w:lvl w:ilvl="5">
      <w:start w:val="1"/>
      <w:numFmt w:val="bullet"/>
      <w:lvlText w:val="•"/>
      <w:lvlJc w:val="left"/>
      <w:pPr>
        <w:ind w:left="3070" w:hanging="291"/>
      </w:pPr>
      <w:rPr>
        <w:rFonts w:hint="default"/>
      </w:rPr>
    </w:lvl>
    <w:lvl w:ilvl="6">
      <w:start w:val="1"/>
      <w:numFmt w:val="bullet"/>
      <w:lvlText w:val="•"/>
      <w:lvlJc w:val="left"/>
      <w:pPr>
        <w:ind w:left="3660" w:hanging="291"/>
      </w:pPr>
      <w:rPr>
        <w:rFonts w:hint="default"/>
      </w:rPr>
    </w:lvl>
    <w:lvl w:ilvl="7">
      <w:start w:val="1"/>
      <w:numFmt w:val="bullet"/>
      <w:lvlText w:val="•"/>
      <w:lvlJc w:val="left"/>
      <w:pPr>
        <w:ind w:left="4250" w:hanging="291"/>
      </w:pPr>
      <w:rPr>
        <w:rFonts w:hint="default"/>
      </w:rPr>
    </w:lvl>
    <w:lvl w:ilvl="8">
      <w:start w:val="1"/>
      <w:numFmt w:val="bullet"/>
      <w:lvlText w:val="•"/>
      <w:lvlJc w:val="left"/>
      <w:pPr>
        <w:ind w:left="4840" w:hanging="291"/>
      </w:pPr>
      <w:rPr>
        <w:rFonts w:hint="default"/>
      </w:rPr>
    </w:lvl>
  </w:abstractNum>
  <w:abstractNum w:abstractNumId="17">
    <w:multiLevelType w:val="hybridMultilevel"/>
    <w:lvl w:ilvl="0">
      <w:start w:val="1"/>
      <w:numFmt w:val="lowerLetter"/>
      <w:lvlText w:val="(%1)"/>
      <w:lvlJc w:val="left"/>
      <w:pPr>
        <w:ind w:left="749" w:hanging="295"/>
        <w:jc w:val="left"/>
      </w:pPr>
      <w:rPr>
        <w:rFonts w:hint="default" w:ascii="Times New Roman" w:hAnsi="Times New Roman" w:eastAsia="Times New Roman" w:cs="Times New Roman"/>
        <w:color w:val="010101"/>
        <w:w w:val="106"/>
        <w:sz w:val="17"/>
        <w:szCs w:val="17"/>
      </w:rPr>
    </w:lvl>
    <w:lvl w:ilvl="1">
      <w:start w:val="1"/>
      <w:numFmt w:val="bullet"/>
      <w:lvlText w:val="•"/>
      <w:lvlJc w:val="left"/>
      <w:pPr>
        <w:ind w:left="1268" w:hanging="295"/>
      </w:pPr>
      <w:rPr>
        <w:rFonts w:hint="default"/>
      </w:rPr>
    </w:lvl>
    <w:lvl w:ilvl="2">
      <w:start w:val="1"/>
      <w:numFmt w:val="bullet"/>
      <w:lvlText w:val="•"/>
      <w:lvlJc w:val="left"/>
      <w:pPr>
        <w:ind w:left="1796" w:hanging="295"/>
      </w:pPr>
      <w:rPr>
        <w:rFonts w:hint="default"/>
      </w:rPr>
    </w:lvl>
    <w:lvl w:ilvl="3">
      <w:start w:val="1"/>
      <w:numFmt w:val="bullet"/>
      <w:lvlText w:val="•"/>
      <w:lvlJc w:val="left"/>
      <w:pPr>
        <w:ind w:left="2324" w:hanging="295"/>
      </w:pPr>
      <w:rPr>
        <w:rFonts w:hint="default"/>
      </w:rPr>
    </w:lvl>
    <w:lvl w:ilvl="4">
      <w:start w:val="1"/>
      <w:numFmt w:val="bullet"/>
      <w:lvlText w:val="•"/>
      <w:lvlJc w:val="left"/>
      <w:pPr>
        <w:ind w:left="2852" w:hanging="295"/>
      </w:pPr>
      <w:rPr>
        <w:rFonts w:hint="default"/>
      </w:rPr>
    </w:lvl>
    <w:lvl w:ilvl="5">
      <w:start w:val="1"/>
      <w:numFmt w:val="bullet"/>
      <w:lvlText w:val="•"/>
      <w:lvlJc w:val="left"/>
      <w:pPr>
        <w:ind w:left="3380" w:hanging="295"/>
      </w:pPr>
      <w:rPr>
        <w:rFonts w:hint="default"/>
      </w:rPr>
    </w:lvl>
    <w:lvl w:ilvl="6">
      <w:start w:val="1"/>
      <w:numFmt w:val="bullet"/>
      <w:lvlText w:val="•"/>
      <w:lvlJc w:val="left"/>
      <w:pPr>
        <w:ind w:left="3908" w:hanging="295"/>
      </w:pPr>
      <w:rPr>
        <w:rFonts w:hint="default"/>
      </w:rPr>
    </w:lvl>
    <w:lvl w:ilvl="7">
      <w:start w:val="1"/>
      <w:numFmt w:val="bullet"/>
      <w:lvlText w:val="•"/>
      <w:lvlJc w:val="left"/>
      <w:pPr>
        <w:ind w:left="4436" w:hanging="295"/>
      </w:pPr>
      <w:rPr>
        <w:rFonts w:hint="default"/>
      </w:rPr>
    </w:lvl>
    <w:lvl w:ilvl="8">
      <w:start w:val="1"/>
      <w:numFmt w:val="bullet"/>
      <w:lvlText w:val="•"/>
      <w:lvlJc w:val="left"/>
      <w:pPr>
        <w:ind w:left="4964" w:hanging="295"/>
      </w:pPr>
      <w:rPr>
        <w:rFonts w:hint="default"/>
      </w:rPr>
    </w:lvl>
  </w:abstractNum>
  <w:abstractNum w:abstractNumId="16">
    <w:multiLevelType w:val="hybridMultilevel"/>
    <w:lvl w:ilvl="0">
      <w:start w:val="8"/>
      <w:numFmt w:val="decimal"/>
      <w:lvlText w:val="%1."/>
      <w:lvlJc w:val="left"/>
      <w:pPr>
        <w:ind w:left="333" w:hanging="205"/>
        <w:jc w:val="left"/>
      </w:pPr>
      <w:rPr>
        <w:rFonts w:hint="default" w:ascii="Times New Roman" w:hAnsi="Times New Roman" w:eastAsia="Times New Roman" w:cs="Times New Roman"/>
        <w:b/>
        <w:bCs/>
        <w:color w:val="010101"/>
        <w:w w:val="108"/>
        <w:sz w:val="16"/>
        <w:szCs w:val="16"/>
      </w:rPr>
    </w:lvl>
    <w:lvl w:ilvl="1">
      <w:start w:val="24"/>
      <w:numFmt w:val="decimal"/>
      <w:lvlText w:val="%2."/>
      <w:lvlJc w:val="left"/>
      <w:pPr>
        <w:ind w:left="132" w:hanging="287"/>
        <w:jc w:val="left"/>
      </w:pPr>
      <w:rPr>
        <w:rFonts w:hint="default" w:ascii="Times New Roman" w:hAnsi="Times New Roman" w:eastAsia="Times New Roman" w:cs="Times New Roman"/>
        <w:color w:val="010101"/>
        <w:w w:val="98"/>
        <w:sz w:val="17"/>
        <w:szCs w:val="17"/>
      </w:rPr>
    </w:lvl>
    <w:lvl w:ilvl="2">
      <w:start w:val="1"/>
      <w:numFmt w:val="lowerLetter"/>
      <w:lvlText w:val="(%3)"/>
      <w:lvlJc w:val="left"/>
      <w:pPr>
        <w:ind w:left="760" w:hanging="291"/>
        <w:jc w:val="left"/>
      </w:pPr>
      <w:rPr>
        <w:rFonts w:hint="default" w:ascii="Times New Roman" w:hAnsi="Times New Roman" w:eastAsia="Times New Roman" w:cs="Times New Roman"/>
        <w:color w:val="010101"/>
        <w:w w:val="106"/>
        <w:sz w:val="17"/>
        <w:szCs w:val="17"/>
      </w:rPr>
    </w:lvl>
    <w:lvl w:ilvl="3">
      <w:start w:val="1"/>
      <w:numFmt w:val="bullet"/>
      <w:lvlText w:val="•"/>
      <w:lvlJc w:val="left"/>
      <w:pPr>
        <w:ind w:left="1417" w:hanging="291"/>
      </w:pPr>
      <w:rPr>
        <w:rFonts w:hint="default"/>
      </w:rPr>
    </w:lvl>
    <w:lvl w:ilvl="4">
      <w:start w:val="1"/>
      <w:numFmt w:val="bullet"/>
      <w:lvlText w:val="•"/>
      <w:lvlJc w:val="left"/>
      <w:pPr>
        <w:ind w:left="2075" w:hanging="291"/>
      </w:pPr>
      <w:rPr>
        <w:rFonts w:hint="default"/>
      </w:rPr>
    </w:lvl>
    <w:lvl w:ilvl="5">
      <w:start w:val="1"/>
      <w:numFmt w:val="bullet"/>
      <w:lvlText w:val="•"/>
      <w:lvlJc w:val="left"/>
      <w:pPr>
        <w:ind w:left="2732" w:hanging="291"/>
      </w:pPr>
      <w:rPr>
        <w:rFonts w:hint="default"/>
      </w:rPr>
    </w:lvl>
    <w:lvl w:ilvl="6">
      <w:start w:val="1"/>
      <w:numFmt w:val="bullet"/>
      <w:lvlText w:val="•"/>
      <w:lvlJc w:val="left"/>
      <w:pPr>
        <w:ind w:left="3390" w:hanging="291"/>
      </w:pPr>
      <w:rPr>
        <w:rFonts w:hint="default"/>
      </w:rPr>
    </w:lvl>
    <w:lvl w:ilvl="7">
      <w:start w:val="1"/>
      <w:numFmt w:val="bullet"/>
      <w:lvlText w:val="•"/>
      <w:lvlJc w:val="left"/>
      <w:pPr>
        <w:ind w:left="4047" w:hanging="291"/>
      </w:pPr>
      <w:rPr>
        <w:rFonts w:hint="default"/>
      </w:rPr>
    </w:lvl>
    <w:lvl w:ilvl="8">
      <w:start w:val="1"/>
      <w:numFmt w:val="bullet"/>
      <w:lvlText w:val="•"/>
      <w:lvlJc w:val="left"/>
      <w:pPr>
        <w:ind w:left="4705" w:hanging="291"/>
      </w:pPr>
      <w:rPr>
        <w:rFonts w:hint="default"/>
      </w:rPr>
    </w:lvl>
  </w:abstractNum>
  <w:abstractNum w:abstractNumId="15">
    <w:multiLevelType w:val="hybridMultilevel"/>
    <w:lvl w:ilvl="0">
      <w:start w:val="22"/>
      <w:numFmt w:val="decimal"/>
      <w:lvlText w:val="%1."/>
      <w:lvlJc w:val="left"/>
      <w:pPr>
        <w:ind w:left="129" w:hanging="284"/>
        <w:jc w:val="left"/>
      </w:pPr>
      <w:rPr>
        <w:rFonts w:hint="default" w:ascii="Times New Roman" w:hAnsi="Times New Roman" w:eastAsia="Times New Roman" w:cs="Times New Roman"/>
        <w:color w:val="010101"/>
        <w:w w:val="96"/>
        <w:sz w:val="17"/>
        <w:szCs w:val="17"/>
      </w:rPr>
    </w:lvl>
    <w:lvl w:ilvl="1">
      <w:start w:val="1"/>
      <w:numFmt w:val="bullet"/>
      <w:lvlText w:val="•"/>
      <w:lvlJc w:val="left"/>
      <w:pPr>
        <w:ind w:left="708" w:hanging="284"/>
      </w:pPr>
      <w:rPr>
        <w:rFonts w:hint="default"/>
      </w:rPr>
    </w:lvl>
    <w:lvl w:ilvl="2">
      <w:start w:val="1"/>
      <w:numFmt w:val="bullet"/>
      <w:lvlText w:val="•"/>
      <w:lvlJc w:val="left"/>
      <w:pPr>
        <w:ind w:left="1296" w:hanging="284"/>
      </w:pPr>
      <w:rPr>
        <w:rFonts w:hint="default"/>
      </w:rPr>
    </w:lvl>
    <w:lvl w:ilvl="3">
      <w:start w:val="1"/>
      <w:numFmt w:val="bullet"/>
      <w:lvlText w:val="•"/>
      <w:lvlJc w:val="left"/>
      <w:pPr>
        <w:ind w:left="1884" w:hanging="284"/>
      </w:pPr>
      <w:rPr>
        <w:rFonts w:hint="default"/>
      </w:rPr>
    </w:lvl>
    <w:lvl w:ilvl="4">
      <w:start w:val="1"/>
      <w:numFmt w:val="bullet"/>
      <w:lvlText w:val="•"/>
      <w:lvlJc w:val="left"/>
      <w:pPr>
        <w:ind w:left="2472" w:hanging="284"/>
      </w:pPr>
      <w:rPr>
        <w:rFonts w:hint="default"/>
      </w:rPr>
    </w:lvl>
    <w:lvl w:ilvl="5">
      <w:start w:val="1"/>
      <w:numFmt w:val="bullet"/>
      <w:lvlText w:val="•"/>
      <w:lvlJc w:val="left"/>
      <w:pPr>
        <w:ind w:left="3060" w:hanging="284"/>
      </w:pPr>
      <w:rPr>
        <w:rFonts w:hint="default"/>
      </w:rPr>
    </w:lvl>
    <w:lvl w:ilvl="6">
      <w:start w:val="1"/>
      <w:numFmt w:val="bullet"/>
      <w:lvlText w:val="•"/>
      <w:lvlJc w:val="left"/>
      <w:pPr>
        <w:ind w:left="3648" w:hanging="284"/>
      </w:pPr>
      <w:rPr>
        <w:rFonts w:hint="default"/>
      </w:rPr>
    </w:lvl>
    <w:lvl w:ilvl="7">
      <w:start w:val="1"/>
      <w:numFmt w:val="bullet"/>
      <w:lvlText w:val="•"/>
      <w:lvlJc w:val="left"/>
      <w:pPr>
        <w:ind w:left="4236" w:hanging="284"/>
      </w:pPr>
      <w:rPr>
        <w:rFonts w:hint="default"/>
      </w:rPr>
    </w:lvl>
    <w:lvl w:ilvl="8">
      <w:start w:val="1"/>
      <w:numFmt w:val="bullet"/>
      <w:lvlText w:val="•"/>
      <w:lvlJc w:val="left"/>
      <w:pPr>
        <w:ind w:left="4824" w:hanging="284"/>
      </w:pPr>
      <w:rPr>
        <w:rFonts w:hint="default"/>
      </w:rPr>
    </w:lvl>
  </w:abstractNum>
  <w:abstractNum w:abstractNumId="14">
    <w:multiLevelType w:val="hybridMultilevel"/>
    <w:lvl w:ilvl="0">
      <w:start w:val="6"/>
      <w:numFmt w:val="decimal"/>
      <w:lvlText w:val="%1."/>
      <w:lvlJc w:val="left"/>
      <w:pPr>
        <w:ind w:left="317" w:hanging="198"/>
        <w:jc w:val="left"/>
      </w:pPr>
      <w:rPr>
        <w:rFonts w:hint="default" w:ascii="Times New Roman" w:hAnsi="Times New Roman" w:eastAsia="Times New Roman" w:cs="Times New Roman"/>
        <w:b/>
        <w:bCs/>
        <w:w w:val="112"/>
        <w:sz w:val="16"/>
        <w:szCs w:val="16"/>
      </w:rPr>
    </w:lvl>
    <w:lvl w:ilvl="1">
      <w:start w:val="16"/>
      <w:numFmt w:val="decimal"/>
      <w:lvlText w:val="%2."/>
      <w:lvlJc w:val="left"/>
      <w:pPr>
        <w:ind w:left="126" w:hanging="278"/>
        <w:jc w:val="left"/>
      </w:pPr>
      <w:rPr>
        <w:rFonts w:hint="default" w:ascii="Times New Roman" w:hAnsi="Times New Roman" w:eastAsia="Times New Roman" w:cs="Times New Roman"/>
        <w:spacing w:val="-40"/>
        <w:w w:val="105"/>
      </w:rPr>
    </w:lvl>
    <w:lvl w:ilvl="2">
      <w:start w:val="1"/>
      <w:numFmt w:val="lowerLetter"/>
      <w:lvlText w:val="(%3)"/>
      <w:lvlJc w:val="left"/>
      <w:pPr>
        <w:ind w:left="739" w:hanging="284"/>
        <w:jc w:val="left"/>
      </w:pPr>
      <w:rPr>
        <w:rFonts w:hint="default" w:ascii="Times New Roman" w:hAnsi="Times New Roman" w:eastAsia="Times New Roman" w:cs="Times New Roman"/>
        <w:w w:val="113"/>
      </w:rPr>
    </w:lvl>
    <w:lvl w:ilvl="3">
      <w:start w:val="1"/>
      <w:numFmt w:val="bullet"/>
      <w:lvlText w:val="•"/>
      <w:lvlJc w:val="left"/>
      <w:pPr>
        <w:ind w:left="760" w:hanging="284"/>
      </w:pPr>
      <w:rPr>
        <w:rFonts w:hint="default"/>
      </w:rPr>
    </w:lvl>
    <w:lvl w:ilvl="4">
      <w:start w:val="1"/>
      <w:numFmt w:val="bullet"/>
      <w:lvlText w:val="•"/>
      <w:lvlJc w:val="left"/>
      <w:pPr>
        <w:ind w:left="1292" w:hanging="284"/>
      </w:pPr>
      <w:rPr>
        <w:rFonts w:hint="default"/>
      </w:rPr>
    </w:lvl>
    <w:lvl w:ilvl="5">
      <w:start w:val="1"/>
      <w:numFmt w:val="bullet"/>
      <w:lvlText w:val="•"/>
      <w:lvlJc w:val="left"/>
      <w:pPr>
        <w:ind w:left="1825" w:hanging="284"/>
      </w:pPr>
      <w:rPr>
        <w:rFonts w:hint="default"/>
      </w:rPr>
    </w:lvl>
    <w:lvl w:ilvl="6">
      <w:start w:val="1"/>
      <w:numFmt w:val="bullet"/>
      <w:lvlText w:val="•"/>
      <w:lvlJc w:val="left"/>
      <w:pPr>
        <w:ind w:left="2358" w:hanging="284"/>
      </w:pPr>
      <w:rPr>
        <w:rFonts w:hint="default"/>
      </w:rPr>
    </w:lvl>
    <w:lvl w:ilvl="7">
      <w:start w:val="1"/>
      <w:numFmt w:val="bullet"/>
      <w:lvlText w:val="•"/>
      <w:lvlJc w:val="left"/>
      <w:pPr>
        <w:ind w:left="2891" w:hanging="284"/>
      </w:pPr>
      <w:rPr>
        <w:rFonts w:hint="default"/>
      </w:rPr>
    </w:lvl>
    <w:lvl w:ilvl="8">
      <w:start w:val="1"/>
      <w:numFmt w:val="bullet"/>
      <w:lvlText w:val="•"/>
      <w:lvlJc w:val="left"/>
      <w:pPr>
        <w:ind w:left="3424" w:hanging="284"/>
      </w:pPr>
      <w:rPr>
        <w:rFonts w:hint="default"/>
      </w:rPr>
    </w:lvl>
  </w:abstractNum>
  <w:abstractNum w:abstractNumId="13">
    <w:multiLevelType w:val="hybridMultilevel"/>
    <w:lvl w:ilvl="0">
      <w:start w:val="11"/>
      <w:numFmt w:val="decimal"/>
      <w:lvlText w:val="%1."/>
      <w:lvlJc w:val="left"/>
      <w:pPr>
        <w:ind w:left="551" w:hanging="285"/>
        <w:jc w:val="left"/>
      </w:pPr>
      <w:rPr>
        <w:rFonts w:hint="default" w:ascii="Times New Roman" w:hAnsi="Times New Roman" w:eastAsia="Times New Roman" w:cs="Times New Roman"/>
        <w:w w:val="100"/>
      </w:rPr>
    </w:lvl>
    <w:lvl w:ilvl="1">
      <w:start w:val="1"/>
      <w:numFmt w:val="bullet"/>
      <w:lvlText w:val="•"/>
      <w:lvlJc w:val="left"/>
      <w:pPr>
        <w:ind w:left="1104" w:hanging="285"/>
      </w:pPr>
      <w:rPr>
        <w:rFonts w:hint="default"/>
      </w:rPr>
    </w:lvl>
    <w:lvl w:ilvl="2">
      <w:start w:val="1"/>
      <w:numFmt w:val="bullet"/>
      <w:lvlText w:val="•"/>
      <w:lvlJc w:val="left"/>
      <w:pPr>
        <w:ind w:left="1648" w:hanging="285"/>
      </w:pPr>
      <w:rPr>
        <w:rFonts w:hint="default"/>
      </w:rPr>
    </w:lvl>
    <w:lvl w:ilvl="3">
      <w:start w:val="1"/>
      <w:numFmt w:val="bullet"/>
      <w:lvlText w:val="•"/>
      <w:lvlJc w:val="left"/>
      <w:pPr>
        <w:ind w:left="2192" w:hanging="285"/>
      </w:pPr>
      <w:rPr>
        <w:rFonts w:hint="default"/>
      </w:rPr>
    </w:lvl>
    <w:lvl w:ilvl="4">
      <w:start w:val="1"/>
      <w:numFmt w:val="bullet"/>
      <w:lvlText w:val="•"/>
      <w:lvlJc w:val="left"/>
      <w:pPr>
        <w:ind w:left="2736" w:hanging="285"/>
      </w:pPr>
      <w:rPr>
        <w:rFonts w:hint="default"/>
      </w:rPr>
    </w:lvl>
    <w:lvl w:ilvl="5">
      <w:start w:val="1"/>
      <w:numFmt w:val="bullet"/>
      <w:lvlText w:val="•"/>
      <w:lvlJc w:val="left"/>
      <w:pPr>
        <w:ind w:left="3280" w:hanging="285"/>
      </w:pPr>
      <w:rPr>
        <w:rFonts w:hint="default"/>
      </w:rPr>
    </w:lvl>
    <w:lvl w:ilvl="6">
      <w:start w:val="1"/>
      <w:numFmt w:val="bullet"/>
      <w:lvlText w:val="•"/>
      <w:lvlJc w:val="left"/>
      <w:pPr>
        <w:ind w:left="3824" w:hanging="285"/>
      </w:pPr>
      <w:rPr>
        <w:rFonts w:hint="default"/>
      </w:rPr>
    </w:lvl>
    <w:lvl w:ilvl="7">
      <w:start w:val="1"/>
      <w:numFmt w:val="bullet"/>
      <w:lvlText w:val="•"/>
      <w:lvlJc w:val="left"/>
      <w:pPr>
        <w:ind w:left="4368" w:hanging="285"/>
      </w:pPr>
      <w:rPr>
        <w:rFonts w:hint="default"/>
      </w:rPr>
    </w:lvl>
    <w:lvl w:ilvl="8">
      <w:start w:val="1"/>
      <w:numFmt w:val="bullet"/>
      <w:lvlText w:val="•"/>
      <w:lvlJc w:val="left"/>
      <w:pPr>
        <w:ind w:left="4912" w:hanging="285"/>
      </w:pPr>
      <w:rPr>
        <w:rFonts w:hint="default"/>
      </w:rPr>
    </w:lvl>
  </w:abstractNum>
  <w:abstractNum w:abstractNumId="12">
    <w:multiLevelType w:val="hybridMultilevel"/>
    <w:lvl w:ilvl="0">
      <w:start w:val="4"/>
      <w:numFmt w:val="lowerLetter"/>
      <w:lvlText w:val="(%1)"/>
      <w:lvlJc w:val="left"/>
      <w:pPr>
        <w:ind w:left="751" w:hanging="292"/>
        <w:jc w:val="left"/>
      </w:pPr>
      <w:rPr>
        <w:rFonts w:hint="default" w:ascii="Times New Roman" w:hAnsi="Times New Roman" w:eastAsia="Times New Roman" w:cs="Times New Roman"/>
        <w:w w:val="111"/>
        <w:sz w:val="16"/>
        <w:szCs w:val="16"/>
      </w:rPr>
    </w:lvl>
    <w:lvl w:ilvl="1">
      <w:start w:val="1"/>
      <w:numFmt w:val="bullet"/>
      <w:lvlText w:val="•"/>
      <w:lvlJc w:val="left"/>
      <w:pPr>
        <w:ind w:left="1286" w:hanging="292"/>
      </w:pPr>
      <w:rPr>
        <w:rFonts w:hint="default"/>
      </w:rPr>
    </w:lvl>
    <w:lvl w:ilvl="2">
      <w:start w:val="1"/>
      <w:numFmt w:val="bullet"/>
      <w:lvlText w:val="•"/>
      <w:lvlJc w:val="left"/>
      <w:pPr>
        <w:ind w:left="1812" w:hanging="292"/>
      </w:pPr>
      <w:rPr>
        <w:rFonts w:hint="default"/>
      </w:rPr>
    </w:lvl>
    <w:lvl w:ilvl="3">
      <w:start w:val="1"/>
      <w:numFmt w:val="bullet"/>
      <w:lvlText w:val="•"/>
      <w:lvlJc w:val="left"/>
      <w:pPr>
        <w:ind w:left="2338" w:hanging="292"/>
      </w:pPr>
      <w:rPr>
        <w:rFonts w:hint="default"/>
      </w:rPr>
    </w:lvl>
    <w:lvl w:ilvl="4">
      <w:start w:val="1"/>
      <w:numFmt w:val="bullet"/>
      <w:lvlText w:val="•"/>
      <w:lvlJc w:val="left"/>
      <w:pPr>
        <w:ind w:left="2864" w:hanging="292"/>
      </w:pPr>
      <w:rPr>
        <w:rFonts w:hint="default"/>
      </w:rPr>
    </w:lvl>
    <w:lvl w:ilvl="5">
      <w:start w:val="1"/>
      <w:numFmt w:val="bullet"/>
      <w:lvlText w:val="•"/>
      <w:lvlJc w:val="left"/>
      <w:pPr>
        <w:ind w:left="3390" w:hanging="292"/>
      </w:pPr>
      <w:rPr>
        <w:rFonts w:hint="default"/>
      </w:rPr>
    </w:lvl>
    <w:lvl w:ilvl="6">
      <w:start w:val="1"/>
      <w:numFmt w:val="bullet"/>
      <w:lvlText w:val="•"/>
      <w:lvlJc w:val="left"/>
      <w:pPr>
        <w:ind w:left="3916" w:hanging="292"/>
      </w:pPr>
      <w:rPr>
        <w:rFonts w:hint="default"/>
      </w:rPr>
    </w:lvl>
    <w:lvl w:ilvl="7">
      <w:start w:val="1"/>
      <w:numFmt w:val="bullet"/>
      <w:lvlText w:val="•"/>
      <w:lvlJc w:val="left"/>
      <w:pPr>
        <w:ind w:left="4442" w:hanging="292"/>
      </w:pPr>
      <w:rPr>
        <w:rFonts w:hint="default"/>
      </w:rPr>
    </w:lvl>
    <w:lvl w:ilvl="8">
      <w:start w:val="1"/>
      <w:numFmt w:val="bullet"/>
      <w:lvlText w:val="•"/>
      <w:lvlJc w:val="left"/>
      <w:pPr>
        <w:ind w:left="4968" w:hanging="292"/>
      </w:pPr>
      <w:rPr>
        <w:rFonts w:hint="default"/>
      </w:rPr>
    </w:lvl>
  </w:abstractNum>
  <w:abstractNum w:abstractNumId="11">
    <w:multiLevelType w:val="hybridMultilevel"/>
    <w:lvl w:ilvl="0">
      <w:start w:val="3"/>
      <w:numFmt w:val="decimal"/>
      <w:lvlText w:val="%1."/>
      <w:lvlJc w:val="left"/>
      <w:pPr>
        <w:ind w:left="322" w:hanging="202"/>
        <w:jc w:val="left"/>
      </w:pPr>
      <w:rPr>
        <w:rFonts w:hint="default" w:ascii="Times New Roman" w:hAnsi="Times New Roman" w:eastAsia="Times New Roman" w:cs="Times New Roman"/>
        <w:spacing w:val="-20"/>
        <w:w w:val="123"/>
        <w:sz w:val="16"/>
        <w:szCs w:val="16"/>
      </w:rPr>
    </w:lvl>
    <w:lvl w:ilvl="1">
      <w:start w:val="6"/>
      <w:numFmt w:val="decimal"/>
      <w:lvlText w:val="%2."/>
      <w:lvlJc w:val="left"/>
      <w:pPr>
        <w:ind w:left="132" w:hanging="209"/>
        <w:jc w:val="left"/>
      </w:pPr>
      <w:rPr>
        <w:rFonts w:hint="default" w:ascii="Times New Roman" w:hAnsi="Times New Roman" w:eastAsia="Times New Roman" w:cs="Times New Roman"/>
        <w:w w:val="105"/>
      </w:rPr>
    </w:lvl>
    <w:lvl w:ilvl="2">
      <w:start w:val="1"/>
      <w:numFmt w:val="lowerLetter"/>
      <w:lvlText w:val="(%3)"/>
      <w:lvlJc w:val="left"/>
      <w:pPr>
        <w:ind w:left="751" w:hanging="288"/>
        <w:jc w:val="left"/>
      </w:pPr>
      <w:rPr>
        <w:rFonts w:hint="default" w:ascii="Times New Roman" w:hAnsi="Times New Roman" w:eastAsia="Times New Roman" w:cs="Times New Roman"/>
        <w:w w:val="113"/>
        <w:sz w:val="16"/>
        <w:szCs w:val="16"/>
      </w:rPr>
    </w:lvl>
    <w:lvl w:ilvl="3">
      <w:start w:val="1"/>
      <w:numFmt w:val="bullet"/>
      <w:lvlText w:val="•"/>
      <w:lvlJc w:val="left"/>
      <w:pPr>
        <w:ind w:left="1417" w:hanging="288"/>
      </w:pPr>
      <w:rPr>
        <w:rFonts w:hint="default"/>
      </w:rPr>
    </w:lvl>
    <w:lvl w:ilvl="4">
      <w:start w:val="1"/>
      <w:numFmt w:val="bullet"/>
      <w:lvlText w:val="•"/>
      <w:lvlJc w:val="left"/>
      <w:pPr>
        <w:ind w:left="2075" w:hanging="288"/>
      </w:pPr>
      <w:rPr>
        <w:rFonts w:hint="default"/>
      </w:rPr>
    </w:lvl>
    <w:lvl w:ilvl="5">
      <w:start w:val="1"/>
      <w:numFmt w:val="bullet"/>
      <w:lvlText w:val="•"/>
      <w:lvlJc w:val="left"/>
      <w:pPr>
        <w:ind w:left="2732" w:hanging="288"/>
      </w:pPr>
      <w:rPr>
        <w:rFonts w:hint="default"/>
      </w:rPr>
    </w:lvl>
    <w:lvl w:ilvl="6">
      <w:start w:val="1"/>
      <w:numFmt w:val="bullet"/>
      <w:lvlText w:val="•"/>
      <w:lvlJc w:val="left"/>
      <w:pPr>
        <w:ind w:left="3390" w:hanging="288"/>
      </w:pPr>
      <w:rPr>
        <w:rFonts w:hint="default"/>
      </w:rPr>
    </w:lvl>
    <w:lvl w:ilvl="7">
      <w:start w:val="1"/>
      <w:numFmt w:val="bullet"/>
      <w:lvlText w:val="•"/>
      <w:lvlJc w:val="left"/>
      <w:pPr>
        <w:ind w:left="4047" w:hanging="288"/>
      </w:pPr>
      <w:rPr>
        <w:rFonts w:hint="default"/>
      </w:rPr>
    </w:lvl>
    <w:lvl w:ilvl="8">
      <w:start w:val="1"/>
      <w:numFmt w:val="bullet"/>
      <w:lvlText w:val="•"/>
      <w:lvlJc w:val="left"/>
      <w:pPr>
        <w:ind w:left="4705" w:hanging="288"/>
      </w:pPr>
      <w:rPr>
        <w:rFonts w:hint="default"/>
      </w:rPr>
    </w:lvl>
  </w:abstractNum>
  <w:abstractNum w:abstractNumId="10">
    <w:multiLevelType w:val="hybridMultilevel"/>
    <w:lvl w:ilvl="0">
      <w:start w:val="1"/>
      <w:numFmt w:val="lowerLetter"/>
      <w:lvlText w:val="(%1)"/>
      <w:lvlJc w:val="left"/>
      <w:pPr>
        <w:ind w:left="742" w:hanging="292"/>
        <w:jc w:val="left"/>
      </w:pPr>
      <w:rPr>
        <w:rFonts w:hint="default" w:ascii="Times New Roman" w:hAnsi="Times New Roman" w:eastAsia="Times New Roman" w:cs="Times New Roman"/>
        <w:w w:val="108"/>
        <w:sz w:val="17"/>
        <w:szCs w:val="17"/>
      </w:rPr>
    </w:lvl>
    <w:lvl w:ilvl="1">
      <w:start w:val="1"/>
      <w:numFmt w:val="bullet"/>
      <w:lvlText w:val="•"/>
      <w:lvlJc w:val="left"/>
      <w:pPr>
        <w:ind w:left="1268" w:hanging="292"/>
      </w:pPr>
      <w:rPr>
        <w:rFonts w:hint="default"/>
      </w:rPr>
    </w:lvl>
    <w:lvl w:ilvl="2">
      <w:start w:val="1"/>
      <w:numFmt w:val="bullet"/>
      <w:lvlText w:val="•"/>
      <w:lvlJc w:val="left"/>
      <w:pPr>
        <w:ind w:left="1796" w:hanging="292"/>
      </w:pPr>
      <w:rPr>
        <w:rFonts w:hint="default"/>
      </w:rPr>
    </w:lvl>
    <w:lvl w:ilvl="3">
      <w:start w:val="1"/>
      <w:numFmt w:val="bullet"/>
      <w:lvlText w:val="•"/>
      <w:lvlJc w:val="left"/>
      <w:pPr>
        <w:ind w:left="2324" w:hanging="292"/>
      </w:pPr>
      <w:rPr>
        <w:rFonts w:hint="default"/>
      </w:rPr>
    </w:lvl>
    <w:lvl w:ilvl="4">
      <w:start w:val="1"/>
      <w:numFmt w:val="bullet"/>
      <w:lvlText w:val="•"/>
      <w:lvlJc w:val="left"/>
      <w:pPr>
        <w:ind w:left="2852" w:hanging="292"/>
      </w:pPr>
      <w:rPr>
        <w:rFonts w:hint="default"/>
      </w:rPr>
    </w:lvl>
    <w:lvl w:ilvl="5">
      <w:start w:val="1"/>
      <w:numFmt w:val="bullet"/>
      <w:lvlText w:val="•"/>
      <w:lvlJc w:val="left"/>
      <w:pPr>
        <w:ind w:left="3380" w:hanging="292"/>
      </w:pPr>
      <w:rPr>
        <w:rFonts w:hint="default"/>
      </w:rPr>
    </w:lvl>
    <w:lvl w:ilvl="6">
      <w:start w:val="1"/>
      <w:numFmt w:val="bullet"/>
      <w:lvlText w:val="•"/>
      <w:lvlJc w:val="left"/>
      <w:pPr>
        <w:ind w:left="3908" w:hanging="292"/>
      </w:pPr>
      <w:rPr>
        <w:rFonts w:hint="default"/>
      </w:rPr>
    </w:lvl>
    <w:lvl w:ilvl="7">
      <w:start w:val="1"/>
      <w:numFmt w:val="bullet"/>
      <w:lvlText w:val="•"/>
      <w:lvlJc w:val="left"/>
      <w:pPr>
        <w:ind w:left="4436" w:hanging="292"/>
      </w:pPr>
      <w:rPr>
        <w:rFonts w:hint="default"/>
      </w:rPr>
    </w:lvl>
    <w:lvl w:ilvl="8">
      <w:start w:val="1"/>
      <w:numFmt w:val="bullet"/>
      <w:lvlText w:val="•"/>
      <w:lvlJc w:val="left"/>
      <w:pPr>
        <w:ind w:left="4964" w:hanging="292"/>
      </w:pPr>
      <w:rPr>
        <w:rFonts w:hint="default"/>
      </w:rPr>
    </w:lvl>
  </w:abstractNum>
  <w:abstractNum w:abstractNumId="9">
    <w:multiLevelType w:val="hybridMultilevel"/>
    <w:lvl w:ilvl="0">
      <w:start w:val="2"/>
      <w:numFmt w:val="decimal"/>
      <w:lvlText w:val="%1."/>
      <w:lvlJc w:val="left"/>
      <w:pPr>
        <w:ind w:left="119" w:hanging="209"/>
        <w:jc w:val="left"/>
      </w:pPr>
      <w:rPr>
        <w:rFonts w:hint="default" w:ascii="Times New Roman" w:hAnsi="Times New Roman" w:eastAsia="Times New Roman" w:cs="Times New Roman"/>
        <w:w w:val="107"/>
        <w:sz w:val="17"/>
        <w:szCs w:val="17"/>
      </w:rPr>
    </w:lvl>
    <w:lvl w:ilvl="1">
      <w:start w:val="1"/>
      <w:numFmt w:val="lowerLetter"/>
      <w:lvlText w:val="(%2)"/>
      <w:lvlJc w:val="left"/>
      <w:pPr>
        <w:ind w:left="746" w:hanging="292"/>
        <w:jc w:val="left"/>
      </w:pPr>
      <w:rPr>
        <w:rFonts w:hint="default" w:ascii="Arial" w:hAnsi="Arial" w:eastAsia="Arial" w:cs="Arial"/>
        <w:w w:val="103"/>
        <w:sz w:val="16"/>
        <w:szCs w:val="16"/>
      </w:rPr>
    </w:lvl>
    <w:lvl w:ilvl="2">
      <w:start w:val="1"/>
      <w:numFmt w:val="bullet"/>
      <w:lvlText w:val="•"/>
      <w:lvlJc w:val="left"/>
      <w:pPr>
        <w:ind w:left="1326" w:hanging="292"/>
      </w:pPr>
      <w:rPr>
        <w:rFonts w:hint="default"/>
      </w:rPr>
    </w:lvl>
    <w:lvl w:ilvl="3">
      <w:start w:val="1"/>
      <w:numFmt w:val="bullet"/>
      <w:lvlText w:val="•"/>
      <w:lvlJc w:val="left"/>
      <w:pPr>
        <w:ind w:left="1913" w:hanging="292"/>
      </w:pPr>
      <w:rPr>
        <w:rFonts w:hint="default"/>
      </w:rPr>
    </w:lvl>
    <w:lvl w:ilvl="4">
      <w:start w:val="1"/>
      <w:numFmt w:val="bullet"/>
      <w:lvlText w:val="•"/>
      <w:lvlJc w:val="left"/>
      <w:pPr>
        <w:ind w:left="2500" w:hanging="292"/>
      </w:pPr>
      <w:rPr>
        <w:rFonts w:hint="default"/>
      </w:rPr>
    </w:lvl>
    <w:lvl w:ilvl="5">
      <w:start w:val="1"/>
      <w:numFmt w:val="bullet"/>
      <w:lvlText w:val="•"/>
      <w:lvlJc w:val="left"/>
      <w:pPr>
        <w:ind w:left="3086" w:hanging="292"/>
      </w:pPr>
      <w:rPr>
        <w:rFonts w:hint="default"/>
      </w:rPr>
    </w:lvl>
    <w:lvl w:ilvl="6">
      <w:start w:val="1"/>
      <w:numFmt w:val="bullet"/>
      <w:lvlText w:val="•"/>
      <w:lvlJc w:val="left"/>
      <w:pPr>
        <w:ind w:left="3673" w:hanging="292"/>
      </w:pPr>
      <w:rPr>
        <w:rFonts w:hint="default"/>
      </w:rPr>
    </w:lvl>
    <w:lvl w:ilvl="7">
      <w:start w:val="1"/>
      <w:numFmt w:val="bullet"/>
      <w:lvlText w:val="•"/>
      <w:lvlJc w:val="left"/>
      <w:pPr>
        <w:ind w:left="4260" w:hanging="292"/>
      </w:pPr>
      <w:rPr>
        <w:rFonts w:hint="default"/>
      </w:rPr>
    </w:lvl>
    <w:lvl w:ilvl="8">
      <w:start w:val="1"/>
      <w:numFmt w:val="bullet"/>
      <w:lvlText w:val="•"/>
      <w:lvlJc w:val="left"/>
      <w:pPr>
        <w:ind w:left="4846" w:hanging="292"/>
      </w:pPr>
      <w:rPr>
        <w:rFonts w:hint="default"/>
      </w:rPr>
    </w:lvl>
  </w:abstractNum>
  <w:abstractNum w:abstractNumId="7">
    <w:multiLevelType w:val="hybridMultilevel"/>
    <w:lvl w:ilvl="0">
      <w:start w:val="2"/>
      <w:numFmt w:val="decimal"/>
      <w:lvlText w:val="%1."/>
      <w:lvlJc w:val="left"/>
      <w:pPr>
        <w:ind w:left="117" w:hanging="255"/>
        <w:jc w:val="left"/>
      </w:pPr>
      <w:rPr>
        <w:rFonts w:hint="default" w:ascii="Times New Roman" w:hAnsi="Times New Roman" w:eastAsia="Times New Roman" w:cs="Times New Roman"/>
        <w:w w:val="99"/>
      </w:rPr>
    </w:lvl>
    <w:lvl w:ilvl="1">
      <w:start w:val="1"/>
      <w:numFmt w:val="bullet"/>
      <w:lvlText w:val="•"/>
      <w:lvlJc w:val="left"/>
      <w:pPr>
        <w:ind w:left="708" w:hanging="255"/>
      </w:pPr>
      <w:rPr>
        <w:rFonts w:hint="default"/>
      </w:rPr>
    </w:lvl>
    <w:lvl w:ilvl="2">
      <w:start w:val="1"/>
      <w:numFmt w:val="bullet"/>
      <w:lvlText w:val="•"/>
      <w:lvlJc w:val="left"/>
      <w:pPr>
        <w:ind w:left="1296" w:hanging="255"/>
      </w:pPr>
      <w:rPr>
        <w:rFonts w:hint="default"/>
      </w:rPr>
    </w:lvl>
    <w:lvl w:ilvl="3">
      <w:start w:val="1"/>
      <w:numFmt w:val="bullet"/>
      <w:lvlText w:val="•"/>
      <w:lvlJc w:val="left"/>
      <w:pPr>
        <w:ind w:left="1884" w:hanging="255"/>
      </w:pPr>
      <w:rPr>
        <w:rFonts w:hint="default"/>
      </w:rPr>
    </w:lvl>
    <w:lvl w:ilvl="4">
      <w:start w:val="1"/>
      <w:numFmt w:val="bullet"/>
      <w:lvlText w:val="•"/>
      <w:lvlJc w:val="left"/>
      <w:pPr>
        <w:ind w:left="2472" w:hanging="255"/>
      </w:pPr>
      <w:rPr>
        <w:rFonts w:hint="default"/>
      </w:rPr>
    </w:lvl>
    <w:lvl w:ilvl="5">
      <w:start w:val="1"/>
      <w:numFmt w:val="bullet"/>
      <w:lvlText w:val="•"/>
      <w:lvlJc w:val="left"/>
      <w:pPr>
        <w:ind w:left="3060" w:hanging="255"/>
      </w:pPr>
      <w:rPr>
        <w:rFonts w:hint="default"/>
      </w:rPr>
    </w:lvl>
    <w:lvl w:ilvl="6">
      <w:start w:val="1"/>
      <w:numFmt w:val="bullet"/>
      <w:lvlText w:val="•"/>
      <w:lvlJc w:val="left"/>
      <w:pPr>
        <w:ind w:left="3648" w:hanging="255"/>
      </w:pPr>
      <w:rPr>
        <w:rFonts w:hint="default"/>
      </w:rPr>
    </w:lvl>
    <w:lvl w:ilvl="7">
      <w:start w:val="1"/>
      <w:numFmt w:val="bullet"/>
      <w:lvlText w:val="•"/>
      <w:lvlJc w:val="left"/>
      <w:pPr>
        <w:ind w:left="4236" w:hanging="255"/>
      </w:pPr>
      <w:rPr>
        <w:rFonts w:hint="default"/>
      </w:rPr>
    </w:lvl>
    <w:lvl w:ilvl="8">
      <w:start w:val="1"/>
      <w:numFmt w:val="bullet"/>
      <w:lvlText w:val="•"/>
      <w:lvlJc w:val="left"/>
      <w:pPr>
        <w:ind w:left="4824" w:hanging="255"/>
      </w:pPr>
      <w:rPr>
        <w:rFonts w:hint="default"/>
      </w:rPr>
    </w:lvl>
  </w:abstractNum>
  <w:abstractNum w:abstractNumId="6">
    <w:multiLevelType w:val="hybridMultilevel"/>
    <w:lvl w:ilvl="0">
      <w:start w:val="4"/>
      <w:numFmt w:val="upperLetter"/>
      <w:lvlText w:val="%1."/>
      <w:lvlJc w:val="left"/>
      <w:pPr>
        <w:ind w:left="124" w:hanging="309"/>
        <w:jc w:val="left"/>
      </w:pPr>
      <w:rPr>
        <w:rFonts w:hint="default" w:ascii="Times New Roman" w:hAnsi="Times New Roman" w:eastAsia="Times New Roman" w:cs="Times New Roman"/>
        <w:color w:val="010101"/>
        <w:w w:val="107"/>
        <w:sz w:val="21"/>
        <w:szCs w:val="21"/>
      </w:rPr>
    </w:lvl>
    <w:lvl w:ilvl="1">
      <w:start w:val="1"/>
      <w:numFmt w:val="decimal"/>
      <w:lvlText w:val="%2."/>
      <w:lvlJc w:val="left"/>
      <w:pPr>
        <w:ind w:left="569" w:hanging="237"/>
        <w:jc w:val="left"/>
      </w:pPr>
      <w:rPr>
        <w:rFonts w:hint="default" w:ascii="Arial" w:hAnsi="Arial" w:eastAsia="Arial" w:cs="Arial"/>
        <w:b/>
        <w:bCs/>
        <w:color w:val="010101"/>
        <w:w w:val="94"/>
        <w:sz w:val="19"/>
        <w:szCs w:val="19"/>
      </w:rPr>
    </w:lvl>
    <w:lvl w:ilvl="2">
      <w:start w:val="1"/>
      <w:numFmt w:val="bullet"/>
      <w:lvlText w:val="•"/>
      <w:lvlJc w:val="left"/>
      <w:pPr>
        <w:ind w:left="1164" w:hanging="237"/>
      </w:pPr>
      <w:rPr>
        <w:rFonts w:hint="default"/>
      </w:rPr>
    </w:lvl>
    <w:lvl w:ilvl="3">
      <w:start w:val="1"/>
      <w:numFmt w:val="bullet"/>
      <w:lvlText w:val="•"/>
      <w:lvlJc w:val="left"/>
      <w:pPr>
        <w:ind w:left="1768" w:hanging="237"/>
      </w:pPr>
      <w:rPr>
        <w:rFonts w:hint="default"/>
      </w:rPr>
    </w:lvl>
    <w:lvl w:ilvl="4">
      <w:start w:val="1"/>
      <w:numFmt w:val="bullet"/>
      <w:lvlText w:val="•"/>
      <w:lvlJc w:val="left"/>
      <w:pPr>
        <w:ind w:left="2373" w:hanging="237"/>
      </w:pPr>
      <w:rPr>
        <w:rFonts w:hint="default"/>
      </w:rPr>
    </w:lvl>
    <w:lvl w:ilvl="5">
      <w:start w:val="1"/>
      <w:numFmt w:val="bullet"/>
      <w:lvlText w:val="•"/>
      <w:lvlJc w:val="left"/>
      <w:pPr>
        <w:ind w:left="2977" w:hanging="237"/>
      </w:pPr>
      <w:rPr>
        <w:rFonts w:hint="default"/>
      </w:rPr>
    </w:lvl>
    <w:lvl w:ilvl="6">
      <w:start w:val="1"/>
      <w:numFmt w:val="bullet"/>
      <w:lvlText w:val="•"/>
      <w:lvlJc w:val="left"/>
      <w:pPr>
        <w:ind w:left="3582" w:hanging="237"/>
      </w:pPr>
      <w:rPr>
        <w:rFonts w:hint="default"/>
      </w:rPr>
    </w:lvl>
    <w:lvl w:ilvl="7">
      <w:start w:val="1"/>
      <w:numFmt w:val="bullet"/>
      <w:lvlText w:val="•"/>
      <w:lvlJc w:val="left"/>
      <w:pPr>
        <w:ind w:left="4186" w:hanging="237"/>
      </w:pPr>
      <w:rPr>
        <w:rFonts w:hint="default"/>
      </w:rPr>
    </w:lvl>
    <w:lvl w:ilvl="8">
      <w:start w:val="1"/>
      <w:numFmt w:val="bullet"/>
      <w:lvlText w:val="•"/>
      <w:lvlJc w:val="left"/>
      <w:pPr>
        <w:ind w:left="4791" w:hanging="237"/>
      </w:pPr>
      <w:rPr>
        <w:rFonts w:hint="default"/>
      </w:rPr>
    </w:lvl>
  </w:abstractNum>
  <w:abstractNum w:abstractNumId="5">
    <w:multiLevelType w:val="hybridMultilevel"/>
    <w:lvl w:ilvl="0">
      <w:start w:val="2"/>
      <w:numFmt w:val="upperLetter"/>
      <w:lvlText w:val="%1."/>
      <w:lvlJc w:val="left"/>
      <w:pPr>
        <w:ind w:left="124" w:hanging="295"/>
        <w:jc w:val="left"/>
      </w:pPr>
      <w:rPr>
        <w:rFonts w:hint="default" w:ascii="Arial" w:hAnsi="Arial" w:eastAsia="Arial" w:cs="Arial"/>
        <w:b/>
        <w:bCs/>
        <w:color w:val="010101"/>
        <w:w w:val="106"/>
        <w:sz w:val="20"/>
        <w:szCs w:val="20"/>
      </w:rPr>
    </w:lvl>
    <w:lvl w:ilvl="1">
      <w:start w:val="1"/>
      <w:numFmt w:val="bullet"/>
      <w:lvlText w:val="•"/>
      <w:lvlJc w:val="left"/>
      <w:pPr>
        <w:ind w:left="708" w:hanging="295"/>
      </w:pPr>
      <w:rPr>
        <w:rFonts w:hint="default"/>
      </w:rPr>
    </w:lvl>
    <w:lvl w:ilvl="2">
      <w:start w:val="1"/>
      <w:numFmt w:val="bullet"/>
      <w:lvlText w:val="•"/>
      <w:lvlJc w:val="left"/>
      <w:pPr>
        <w:ind w:left="1296" w:hanging="295"/>
      </w:pPr>
      <w:rPr>
        <w:rFonts w:hint="default"/>
      </w:rPr>
    </w:lvl>
    <w:lvl w:ilvl="3">
      <w:start w:val="1"/>
      <w:numFmt w:val="bullet"/>
      <w:lvlText w:val="•"/>
      <w:lvlJc w:val="left"/>
      <w:pPr>
        <w:ind w:left="1884" w:hanging="295"/>
      </w:pPr>
      <w:rPr>
        <w:rFonts w:hint="default"/>
      </w:rPr>
    </w:lvl>
    <w:lvl w:ilvl="4">
      <w:start w:val="1"/>
      <w:numFmt w:val="bullet"/>
      <w:lvlText w:val="•"/>
      <w:lvlJc w:val="left"/>
      <w:pPr>
        <w:ind w:left="2472" w:hanging="295"/>
      </w:pPr>
      <w:rPr>
        <w:rFonts w:hint="default"/>
      </w:rPr>
    </w:lvl>
    <w:lvl w:ilvl="5">
      <w:start w:val="1"/>
      <w:numFmt w:val="bullet"/>
      <w:lvlText w:val="•"/>
      <w:lvlJc w:val="left"/>
      <w:pPr>
        <w:ind w:left="3060" w:hanging="295"/>
      </w:pPr>
      <w:rPr>
        <w:rFonts w:hint="default"/>
      </w:rPr>
    </w:lvl>
    <w:lvl w:ilvl="6">
      <w:start w:val="1"/>
      <w:numFmt w:val="bullet"/>
      <w:lvlText w:val="•"/>
      <w:lvlJc w:val="left"/>
      <w:pPr>
        <w:ind w:left="3648" w:hanging="295"/>
      </w:pPr>
      <w:rPr>
        <w:rFonts w:hint="default"/>
      </w:rPr>
    </w:lvl>
    <w:lvl w:ilvl="7">
      <w:start w:val="1"/>
      <w:numFmt w:val="bullet"/>
      <w:lvlText w:val="•"/>
      <w:lvlJc w:val="left"/>
      <w:pPr>
        <w:ind w:left="4236" w:hanging="295"/>
      </w:pPr>
      <w:rPr>
        <w:rFonts w:hint="default"/>
      </w:rPr>
    </w:lvl>
    <w:lvl w:ilvl="8">
      <w:start w:val="1"/>
      <w:numFmt w:val="bullet"/>
      <w:lvlText w:val="•"/>
      <w:lvlJc w:val="left"/>
      <w:pPr>
        <w:ind w:left="4824" w:hanging="295"/>
      </w:pPr>
      <w:rPr>
        <w:rFonts w:hint="default"/>
      </w:rPr>
    </w:lvl>
  </w:abstractNum>
  <w:abstractNum w:abstractNumId="4">
    <w:multiLevelType w:val="hybridMultilevel"/>
    <w:lvl w:ilvl="0">
      <w:start w:val="8"/>
      <w:numFmt w:val="decimal"/>
      <w:lvlText w:val="%1."/>
      <w:lvlJc w:val="left"/>
      <w:pPr>
        <w:ind w:left="348" w:hanging="227"/>
        <w:jc w:val="left"/>
      </w:pPr>
      <w:rPr>
        <w:rFonts w:hint="default" w:ascii="Times New Roman" w:hAnsi="Times New Roman" w:eastAsia="Times New Roman" w:cs="Times New Roman"/>
        <w:b/>
        <w:bCs/>
        <w:w w:val="113"/>
      </w:rPr>
    </w:lvl>
    <w:lvl w:ilvl="1">
      <w:start w:val="1"/>
      <w:numFmt w:val="upperLetter"/>
      <w:lvlText w:val="%2."/>
      <w:lvlJc w:val="left"/>
      <w:pPr>
        <w:ind w:left="120" w:hanging="295"/>
        <w:jc w:val="left"/>
      </w:pPr>
      <w:rPr>
        <w:rFonts w:hint="default" w:ascii="Times New Roman" w:hAnsi="Times New Roman" w:eastAsia="Times New Roman" w:cs="Times New Roman"/>
        <w:color w:val="010101"/>
        <w:w w:val="95"/>
        <w:sz w:val="21"/>
        <w:szCs w:val="21"/>
      </w:rPr>
    </w:lvl>
    <w:lvl w:ilvl="2">
      <w:start w:val="1"/>
      <w:numFmt w:val="bullet"/>
      <w:lvlText w:val="•"/>
      <w:lvlJc w:val="left"/>
      <w:pPr>
        <w:ind w:left="964" w:hanging="295"/>
      </w:pPr>
      <w:rPr>
        <w:rFonts w:hint="default"/>
      </w:rPr>
    </w:lvl>
    <w:lvl w:ilvl="3">
      <w:start w:val="1"/>
      <w:numFmt w:val="bullet"/>
      <w:lvlText w:val="•"/>
      <w:lvlJc w:val="left"/>
      <w:pPr>
        <w:ind w:left="1588" w:hanging="295"/>
      </w:pPr>
      <w:rPr>
        <w:rFonts w:hint="default"/>
      </w:rPr>
    </w:lvl>
    <w:lvl w:ilvl="4">
      <w:start w:val="1"/>
      <w:numFmt w:val="bullet"/>
      <w:lvlText w:val="•"/>
      <w:lvlJc w:val="left"/>
      <w:pPr>
        <w:ind w:left="2213" w:hanging="295"/>
      </w:pPr>
      <w:rPr>
        <w:rFonts w:hint="default"/>
      </w:rPr>
    </w:lvl>
    <w:lvl w:ilvl="5">
      <w:start w:val="1"/>
      <w:numFmt w:val="bullet"/>
      <w:lvlText w:val="•"/>
      <w:lvlJc w:val="left"/>
      <w:pPr>
        <w:ind w:left="2837" w:hanging="295"/>
      </w:pPr>
      <w:rPr>
        <w:rFonts w:hint="default"/>
      </w:rPr>
    </w:lvl>
    <w:lvl w:ilvl="6">
      <w:start w:val="1"/>
      <w:numFmt w:val="bullet"/>
      <w:lvlText w:val="•"/>
      <w:lvlJc w:val="left"/>
      <w:pPr>
        <w:ind w:left="3462" w:hanging="295"/>
      </w:pPr>
      <w:rPr>
        <w:rFonts w:hint="default"/>
      </w:rPr>
    </w:lvl>
    <w:lvl w:ilvl="7">
      <w:start w:val="1"/>
      <w:numFmt w:val="bullet"/>
      <w:lvlText w:val="•"/>
      <w:lvlJc w:val="left"/>
      <w:pPr>
        <w:ind w:left="4086" w:hanging="295"/>
      </w:pPr>
      <w:rPr>
        <w:rFonts w:hint="default"/>
      </w:rPr>
    </w:lvl>
    <w:lvl w:ilvl="8">
      <w:start w:val="1"/>
      <w:numFmt w:val="bullet"/>
      <w:lvlText w:val="•"/>
      <w:lvlJc w:val="left"/>
      <w:pPr>
        <w:ind w:left="4711" w:hanging="295"/>
      </w:pPr>
      <w:rPr>
        <w:rFonts w:hint="default"/>
      </w:rPr>
    </w:lvl>
  </w:abstractNum>
  <w:abstractNum w:abstractNumId="3">
    <w:multiLevelType w:val="hybridMultilevel"/>
    <w:lvl w:ilvl="0">
      <w:start w:val="1"/>
      <w:numFmt w:val="bullet"/>
      <w:lvlText w:val="·"/>
      <w:lvlJc w:val="left"/>
      <w:pPr>
        <w:ind w:left="221" w:hanging="158"/>
      </w:pPr>
      <w:rPr>
        <w:rFonts w:hint="default" w:ascii="Times New Roman" w:hAnsi="Times New Roman" w:eastAsia="Times New Roman" w:cs="Times New Roman"/>
        <w:color w:val="595959"/>
        <w:w w:val="27"/>
        <w:sz w:val="23"/>
        <w:szCs w:val="23"/>
      </w:rPr>
    </w:lvl>
    <w:lvl w:ilvl="1">
      <w:start w:val="1"/>
      <w:numFmt w:val="bullet"/>
      <w:lvlText w:val="•"/>
      <w:lvlJc w:val="left"/>
      <w:pPr>
        <w:ind w:left="298" w:hanging="158"/>
      </w:pPr>
      <w:rPr>
        <w:rFonts w:hint="default"/>
      </w:rPr>
    </w:lvl>
    <w:lvl w:ilvl="2">
      <w:start w:val="1"/>
      <w:numFmt w:val="bullet"/>
      <w:lvlText w:val="•"/>
      <w:lvlJc w:val="left"/>
      <w:pPr>
        <w:ind w:left="377" w:hanging="158"/>
      </w:pPr>
      <w:rPr>
        <w:rFonts w:hint="default"/>
      </w:rPr>
    </w:lvl>
    <w:lvl w:ilvl="3">
      <w:start w:val="1"/>
      <w:numFmt w:val="bullet"/>
      <w:lvlText w:val="•"/>
      <w:lvlJc w:val="left"/>
      <w:pPr>
        <w:ind w:left="456" w:hanging="158"/>
      </w:pPr>
      <w:rPr>
        <w:rFonts w:hint="default"/>
      </w:rPr>
    </w:lvl>
    <w:lvl w:ilvl="4">
      <w:start w:val="1"/>
      <w:numFmt w:val="bullet"/>
      <w:lvlText w:val="•"/>
      <w:lvlJc w:val="left"/>
      <w:pPr>
        <w:ind w:left="534" w:hanging="158"/>
      </w:pPr>
      <w:rPr>
        <w:rFonts w:hint="default"/>
      </w:rPr>
    </w:lvl>
    <w:lvl w:ilvl="5">
      <w:start w:val="1"/>
      <w:numFmt w:val="bullet"/>
      <w:lvlText w:val="•"/>
      <w:lvlJc w:val="left"/>
      <w:pPr>
        <w:ind w:left="613" w:hanging="158"/>
      </w:pPr>
      <w:rPr>
        <w:rFonts w:hint="default"/>
      </w:rPr>
    </w:lvl>
    <w:lvl w:ilvl="6">
      <w:start w:val="1"/>
      <w:numFmt w:val="bullet"/>
      <w:lvlText w:val="•"/>
      <w:lvlJc w:val="left"/>
      <w:pPr>
        <w:ind w:left="692" w:hanging="158"/>
      </w:pPr>
      <w:rPr>
        <w:rFonts w:hint="default"/>
      </w:rPr>
    </w:lvl>
    <w:lvl w:ilvl="7">
      <w:start w:val="1"/>
      <w:numFmt w:val="bullet"/>
      <w:lvlText w:val="•"/>
      <w:lvlJc w:val="left"/>
      <w:pPr>
        <w:ind w:left="771" w:hanging="158"/>
      </w:pPr>
      <w:rPr>
        <w:rFonts w:hint="default"/>
      </w:rPr>
    </w:lvl>
    <w:lvl w:ilvl="8">
      <w:start w:val="1"/>
      <w:numFmt w:val="bullet"/>
      <w:lvlText w:val="•"/>
      <w:lvlJc w:val="left"/>
      <w:pPr>
        <w:ind w:left="849" w:hanging="158"/>
      </w:pPr>
      <w:rPr>
        <w:rFonts w:hint="default"/>
      </w:rPr>
    </w:lvl>
  </w:abstractNum>
  <w:abstractNum w:abstractNumId="1">
    <w:multiLevelType w:val="hybridMultilevel"/>
    <w:lvl w:ilvl="0">
      <w:start w:val="3"/>
      <w:numFmt w:val="decimal"/>
      <w:lvlText w:val="%1."/>
      <w:lvlJc w:val="left"/>
      <w:pPr>
        <w:ind w:left="324" w:hanging="215"/>
        <w:jc w:val="left"/>
      </w:pPr>
      <w:rPr>
        <w:rFonts w:hint="default" w:ascii="Times New Roman" w:hAnsi="Times New Roman" w:eastAsia="Times New Roman" w:cs="Times New Roman"/>
        <w:b/>
        <w:bCs/>
        <w:w w:val="110"/>
      </w:rPr>
    </w:lvl>
    <w:lvl w:ilvl="1">
      <w:start w:val="1"/>
      <w:numFmt w:val="bullet"/>
      <w:lvlText w:val="•"/>
      <w:lvlJc w:val="left"/>
      <w:pPr>
        <w:ind w:left="884" w:hanging="215"/>
      </w:pPr>
      <w:rPr>
        <w:rFonts w:hint="default"/>
      </w:rPr>
    </w:lvl>
    <w:lvl w:ilvl="2">
      <w:start w:val="1"/>
      <w:numFmt w:val="bullet"/>
      <w:lvlText w:val="•"/>
      <w:lvlJc w:val="left"/>
      <w:pPr>
        <w:ind w:left="1448" w:hanging="215"/>
      </w:pPr>
      <w:rPr>
        <w:rFonts w:hint="default"/>
      </w:rPr>
    </w:lvl>
    <w:lvl w:ilvl="3">
      <w:start w:val="1"/>
      <w:numFmt w:val="bullet"/>
      <w:lvlText w:val="•"/>
      <w:lvlJc w:val="left"/>
      <w:pPr>
        <w:ind w:left="2012" w:hanging="215"/>
      </w:pPr>
      <w:rPr>
        <w:rFonts w:hint="default"/>
      </w:rPr>
    </w:lvl>
    <w:lvl w:ilvl="4">
      <w:start w:val="1"/>
      <w:numFmt w:val="bullet"/>
      <w:lvlText w:val="•"/>
      <w:lvlJc w:val="left"/>
      <w:pPr>
        <w:ind w:left="2576" w:hanging="215"/>
      </w:pPr>
      <w:rPr>
        <w:rFonts w:hint="default"/>
      </w:rPr>
    </w:lvl>
    <w:lvl w:ilvl="5">
      <w:start w:val="1"/>
      <w:numFmt w:val="bullet"/>
      <w:lvlText w:val="•"/>
      <w:lvlJc w:val="left"/>
      <w:pPr>
        <w:ind w:left="3140" w:hanging="215"/>
      </w:pPr>
      <w:rPr>
        <w:rFonts w:hint="default"/>
      </w:rPr>
    </w:lvl>
    <w:lvl w:ilvl="6">
      <w:start w:val="1"/>
      <w:numFmt w:val="bullet"/>
      <w:lvlText w:val="•"/>
      <w:lvlJc w:val="left"/>
      <w:pPr>
        <w:ind w:left="3704" w:hanging="215"/>
      </w:pPr>
      <w:rPr>
        <w:rFonts w:hint="default"/>
      </w:rPr>
    </w:lvl>
    <w:lvl w:ilvl="7">
      <w:start w:val="1"/>
      <w:numFmt w:val="bullet"/>
      <w:lvlText w:val="•"/>
      <w:lvlJc w:val="left"/>
      <w:pPr>
        <w:ind w:left="4268" w:hanging="215"/>
      </w:pPr>
      <w:rPr>
        <w:rFonts w:hint="default"/>
      </w:rPr>
    </w:lvl>
    <w:lvl w:ilvl="8">
      <w:start w:val="1"/>
      <w:numFmt w:val="bullet"/>
      <w:lvlText w:val="•"/>
      <w:lvlJc w:val="left"/>
      <w:pPr>
        <w:ind w:left="4832" w:hanging="215"/>
      </w:pPr>
      <w:rPr>
        <w:rFonts w:hint="default"/>
      </w:rPr>
    </w:lvl>
  </w:abstractNum>
  <w:abstractNum w:abstractNumId="0">
    <w:multiLevelType w:val="hybridMultilevel"/>
    <w:lvl w:ilvl="0">
      <w:start w:val="2"/>
      <w:numFmt w:val="decimal"/>
      <w:lvlText w:val="%1."/>
      <w:lvlJc w:val="left"/>
      <w:pPr>
        <w:ind w:left="666" w:hanging="256"/>
        <w:jc w:val="right"/>
      </w:pPr>
      <w:rPr>
        <w:rFonts w:hint="default" w:ascii="Times New Roman" w:hAnsi="Times New Roman" w:eastAsia="Times New Roman" w:cs="Times New Roman"/>
        <w:w w:val="113"/>
      </w:rPr>
    </w:lvl>
    <w:lvl w:ilvl="1">
      <w:start w:val="1"/>
      <w:numFmt w:val="upperLetter"/>
      <w:lvlText w:val="%2."/>
      <w:lvlJc w:val="left"/>
      <w:pPr>
        <w:ind w:left="810" w:hanging="303"/>
        <w:jc w:val="left"/>
      </w:pPr>
      <w:rPr>
        <w:rFonts w:hint="default" w:ascii="Times New Roman" w:hAnsi="Times New Roman" w:eastAsia="Times New Roman" w:cs="Times New Roman"/>
        <w:w w:val="109"/>
      </w:rPr>
    </w:lvl>
    <w:lvl w:ilvl="2">
      <w:start w:val="1"/>
      <w:numFmt w:val="bullet"/>
      <w:lvlText w:val="•"/>
      <w:lvlJc w:val="left"/>
      <w:pPr>
        <w:ind w:left="1397" w:hanging="303"/>
      </w:pPr>
      <w:rPr>
        <w:rFonts w:hint="default"/>
      </w:rPr>
    </w:lvl>
    <w:lvl w:ilvl="3">
      <w:start w:val="1"/>
      <w:numFmt w:val="bullet"/>
      <w:lvlText w:val="•"/>
      <w:lvlJc w:val="left"/>
      <w:pPr>
        <w:ind w:left="1975" w:hanging="303"/>
      </w:pPr>
      <w:rPr>
        <w:rFonts w:hint="default"/>
      </w:rPr>
    </w:lvl>
    <w:lvl w:ilvl="4">
      <w:start w:val="1"/>
      <w:numFmt w:val="bullet"/>
      <w:lvlText w:val="•"/>
      <w:lvlJc w:val="left"/>
      <w:pPr>
        <w:ind w:left="2553" w:hanging="303"/>
      </w:pPr>
      <w:rPr>
        <w:rFonts w:hint="default"/>
      </w:rPr>
    </w:lvl>
    <w:lvl w:ilvl="5">
      <w:start w:val="1"/>
      <w:numFmt w:val="bullet"/>
      <w:lvlText w:val="•"/>
      <w:lvlJc w:val="left"/>
      <w:pPr>
        <w:ind w:left="3131" w:hanging="303"/>
      </w:pPr>
      <w:rPr>
        <w:rFonts w:hint="default"/>
      </w:rPr>
    </w:lvl>
    <w:lvl w:ilvl="6">
      <w:start w:val="1"/>
      <w:numFmt w:val="bullet"/>
      <w:lvlText w:val="•"/>
      <w:lvlJc w:val="left"/>
      <w:pPr>
        <w:ind w:left="3708" w:hanging="303"/>
      </w:pPr>
      <w:rPr>
        <w:rFonts w:hint="default"/>
      </w:rPr>
    </w:lvl>
    <w:lvl w:ilvl="7">
      <w:start w:val="1"/>
      <w:numFmt w:val="bullet"/>
      <w:lvlText w:val="•"/>
      <w:lvlJc w:val="left"/>
      <w:pPr>
        <w:ind w:left="4286" w:hanging="303"/>
      </w:pPr>
      <w:rPr>
        <w:rFonts w:hint="default"/>
      </w:rPr>
    </w:lvl>
    <w:lvl w:ilvl="8">
      <w:start w:val="1"/>
      <w:numFmt w:val="bullet"/>
      <w:lvlText w:val="•"/>
      <w:lvlJc w:val="left"/>
      <w:pPr>
        <w:ind w:left="4864" w:hanging="303"/>
      </w:pPr>
      <w:rPr>
        <w:rFonts w:hint="default"/>
      </w:rPr>
    </w:lvl>
  </w:abstractNum>
  <w:num w:numId="160">
    <w:abstractNumId w:val="159"/>
  </w:num>
  <w:num w:numId="158">
    <w:abstractNumId w:val="157"/>
  </w:num>
  <w:num w:numId="155">
    <w:abstractNumId w:val="154"/>
  </w:num>
  <w:num w:numId="144">
    <w:abstractNumId w:val="143"/>
  </w:num>
  <w:num w:numId="92">
    <w:abstractNumId w:val="91"/>
  </w:num>
  <w:num w:numId="81">
    <w:abstractNumId w:val="80"/>
  </w:num>
  <w:num w:numId="74">
    <w:abstractNumId w:val="73"/>
  </w:num>
  <w:num w:numId="80">
    <w:abstractNumId w:val="79"/>
  </w:num>
  <w:num w:numId="44">
    <w:abstractNumId w:val="43"/>
  </w:num>
  <w:num w:numId="43">
    <w:abstractNumId w:val="42"/>
  </w:num>
  <w:num w:numId="9">
    <w:abstractNumId w:val="8"/>
  </w:num>
  <w:num w:numId="3">
    <w:abstractNumId w:val="2"/>
  </w:num>
  <w:num w:numId="163">
    <w:abstractNumId w:val="162"/>
  </w:num>
  <w:num w:numId="162">
    <w:abstractNumId w:val="161"/>
  </w:num>
  <w:num w:numId="161">
    <w:abstractNumId w:val="160"/>
  </w:num>
  <w:num w:numId="159">
    <w:abstractNumId w:val="158"/>
  </w:num>
  <w:num w:numId="157">
    <w:abstractNumId w:val="156"/>
  </w:num>
  <w:num w:numId="156">
    <w:abstractNumId w:val="155"/>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79">
    <w:abstractNumId w:val="78"/>
  </w:num>
  <w:num w:numId="78">
    <w:abstractNumId w:val="77"/>
  </w:num>
  <w:num w:numId="77">
    <w:abstractNumId w:val="76"/>
  </w:num>
  <w:num w:numId="76">
    <w:abstractNumId w:val="75"/>
  </w:num>
  <w:num w:numId="75">
    <w:abstractNumId w:val="74"/>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ind w:left="108"/>
    </w:pPr>
    <w:rPr>
      <w:rFonts w:ascii="Times New Roman" w:hAnsi="Times New Roman" w:eastAsia="Times New Roman" w:cs="Times New Roman"/>
      <w:sz w:val="21"/>
      <w:szCs w:val="21"/>
    </w:rPr>
  </w:style>
  <w:style w:styleId="TOC2" w:type="paragraph">
    <w:name w:val="TOC 2"/>
    <w:basedOn w:val="Normal"/>
    <w:uiPriority w:val="1"/>
    <w:qFormat/>
    <w:pPr>
      <w:ind w:left="108"/>
    </w:pPr>
    <w:rPr>
      <w:rFonts w:ascii="Times New Roman" w:hAnsi="Times New Roman" w:eastAsia="Times New Roman" w:cs="Times New Roman"/>
      <w:b/>
      <w:bCs/>
      <w:i/>
    </w:rPr>
  </w:style>
  <w:style w:styleId="TOC3" w:type="paragraph">
    <w:name w:val="TOC 3"/>
    <w:basedOn w:val="Normal"/>
    <w:uiPriority w:val="1"/>
    <w:qFormat/>
    <w:pPr>
      <w:ind w:left="662" w:hanging="338"/>
    </w:pPr>
    <w:rPr>
      <w:rFonts w:ascii="Times New Roman" w:hAnsi="Times New Roman" w:eastAsia="Times New Roman" w:cs="Times New Roman"/>
      <w:sz w:val="21"/>
      <w:szCs w:val="21"/>
    </w:rPr>
  </w:style>
  <w:style w:styleId="TOC4" w:type="paragraph">
    <w:name w:val="TOC 4"/>
    <w:basedOn w:val="Normal"/>
    <w:uiPriority w:val="1"/>
    <w:qFormat/>
    <w:pPr>
      <w:spacing w:line="239" w:lineRule="exact"/>
      <w:ind w:left="619" w:hanging="306"/>
    </w:pPr>
    <w:rPr>
      <w:rFonts w:ascii="Times New Roman" w:hAnsi="Times New Roman" w:eastAsia="Times New Roman" w:cs="Times New Roman"/>
      <w:b/>
      <w:bCs/>
      <w:i/>
    </w:rPr>
  </w:style>
  <w:style w:styleId="TOC5" w:type="paragraph">
    <w:name w:val="TOC 5"/>
    <w:basedOn w:val="Normal"/>
    <w:uiPriority w:val="1"/>
    <w:qFormat/>
    <w:pPr>
      <w:spacing w:line="241" w:lineRule="exact"/>
      <w:ind w:left="666" w:hanging="256"/>
    </w:pPr>
    <w:rPr>
      <w:rFonts w:ascii="Times New Roman" w:hAnsi="Times New Roman" w:eastAsia="Times New Roman" w:cs="Times New Roman"/>
      <w:sz w:val="21"/>
      <w:szCs w:val="21"/>
    </w:rPr>
  </w:style>
  <w:style w:styleId="TOC6" w:type="paragraph">
    <w:name w:val="TOC 6"/>
    <w:basedOn w:val="Normal"/>
    <w:uiPriority w:val="1"/>
    <w:qFormat/>
    <w:pPr>
      <w:spacing w:line="241" w:lineRule="exact"/>
      <w:ind w:left="666" w:hanging="252"/>
    </w:pPr>
    <w:rPr>
      <w:rFonts w:ascii="Times New Roman" w:hAnsi="Times New Roman" w:eastAsia="Times New Roman" w:cs="Times New Roman"/>
      <w:b/>
      <w:bCs/>
      <w:i/>
    </w:rPr>
  </w:style>
  <w:style w:styleId="BodyText" w:type="paragraph">
    <w:name w:val="Body Text"/>
    <w:basedOn w:val="Normal"/>
    <w:uiPriority w:val="1"/>
    <w:qFormat/>
    <w:pPr/>
    <w:rPr>
      <w:rFonts w:ascii="Times New Roman" w:hAnsi="Times New Roman" w:eastAsia="Times New Roman" w:cs="Times New Roman"/>
      <w:sz w:val="20"/>
      <w:szCs w:val="20"/>
    </w:rPr>
  </w:style>
  <w:style w:styleId="Heading1" w:type="paragraph">
    <w:name w:val="Heading 1"/>
    <w:basedOn w:val="Normal"/>
    <w:uiPriority w:val="1"/>
    <w:qFormat/>
    <w:pPr>
      <w:spacing w:line="500" w:lineRule="exact"/>
      <w:outlineLvl w:val="1"/>
    </w:pPr>
    <w:rPr>
      <w:rFonts w:ascii="Times New Roman" w:hAnsi="Times New Roman" w:eastAsia="Times New Roman" w:cs="Times New Roman"/>
      <w:sz w:val="50"/>
      <w:szCs w:val="50"/>
    </w:rPr>
  </w:style>
  <w:style w:styleId="Heading2" w:type="paragraph">
    <w:name w:val="Heading 2"/>
    <w:basedOn w:val="Normal"/>
    <w:uiPriority w:val="1"/>
    <w:qFormat/>
    <w:pPr>
      <w:ind w:right="-17"/>
      <w:outlineLvl w:val="2"/>
    </w:pPr>
    <w:rPr>
      <w:rFonts w:ascii="Arial" w:hAnsi="Arial" w:eastAsia="Arial" w:cs="Arial"/>
      <w:sz w:val="48"/>
      <w:szCs w:val="48"/>
    </w:rPr>
  </w:style>
  <w:style w:styleId="Heading3" w:type="paragraph">
    <w:name w:val="Heading 3"/>
    <w:basedOn w:val="Normal"/>
    <w:uiPriority w:val="1"/>
    <w:qFormat/>
    <w:pPr>
      <w:spacing w:line="276" w:lineRule="exact"/>
      <w:outlineLvl w:val="3"/>
    </w:pPr>
    <w:rPr>
      <w:rFonts w:ascii="Courier New" w:hAnsi="Courier New" w:eastAsia="Courier New" w:cs="Courier New"/>
      <w:i/>
      <w:sz w:val="37"/>
      <w:szCs w:val="37"/>
    </w:rPr>
  </w:style>
  <w:style w:styleId="Heading4" w:type="paragraph">
    <w:name w:val="Heading 4"/>
    <w:basedOn w:val="Normal"/>
    <w:uiPriority w:val="1"/>
    <w:qFormat/>
    <w:pPr>
      <w:spacing w:line="340" w:lineRule="exact"/>
      <w:outlineLvl w:val="4"/>
    </w:pPr>
    <w:rPr>
      <w:rFonts w:ascii="Times New Roman" w:hAnsi="Times New Roman" w:eastAsia="Times New Roman" w:cs="Times New Roman"/>
      <w:i/>
      <w:sz w:val="34"/>
      <w:szCs w:val="34"/>
    </w:rPr>
  </w:style>
  <w:style w:styleId="Heading5" w:type="paragraph">
    <w:name w:val="Heading 5"/>
    <w:basedOn w:val="Normal"/>
    <w:uiPriority w:val="1"/>
    <w:qFormat/>
    <w:pPr>
      <w:spacing w:line="330" w:lineRule="exact"/>
      <w:outlineLvl w:val="5"/>
    </w:pPr>
    <w:rPr>
      <w:rFonts w:ascii="Times New Roman" w:hAnsi="Times New Roman" w:eastAsia="Times New Roman" w:cs="Times New Roman"/>
      <w:sz w:val="33"/>
      <w:szCs w:val="33"/>
    </w:rPr>
  </w:style>
  <w:style w:styleId="Heading6" w:type="paragraph">
    <w:name w:val="Heading 6"/>
    <w:basedOn w:val="Normal"/>
    <w:uiPriority w:val="1"/>
    <w:qFormat/>
    <w:pPr>
      <w:spacing w:line="330" w:lineRule="exact"/>
      <w:outlineLvl w:val="6"/>
    </w:pPr>
    <w:rPr>
      <w:rFonts w:ascii="Times New Roman" w:hAnsi="Times New Roman" w:eastAsia="Times New Roman" w:cs="Times New Roman"/>
      <w:i/>
      <w:sz w:val="33"/>
      <w:szCs w:val="33"/>
    </w:rPr>
  </w:style>
  <w:style w:styleId="Heading7" w:type="paragraph">
    <w:name w:val="Heading 7"/>
    <w:basedOn w:val="Normal"/>
    <w:uiPriority w:val="1"/>
    <w:qFormat/>
    <w:pPr>
      <w:spacing w:line="320" w:lineRule="exact"/>
      <w:outlineLvl w:val="7"/>
    </w:pPr>
    <w:rPr>
      <w:rFonts w:ascii="Arial" w:hAnsi="Arial" w:eastAsia="Arial" w:cs="Arial"/>
      <w:sz w:val="32"/>
      <w:szCs w:val="32"/>
    </w:rPr>
  </w:style>
  <w:style w:styleId="Heading8" w:type="paragraph">
    <w:name w:val="Heading 8"/>
    <w:basedOn w:val="Normal"/>
    <w:uiPriority w:val="1"/>
    <w:qFormat/>
    <w:pPr>
      <w:spacing w:line="310" w:lineRule="exact"/>
      <w:outlineLvl w:val="8"/>
    </w:pPr>
    <w:rPr>
      <w:rFonts w:ascii="Arial" w:hAnsi="Arial" w:eastAsia="Arial" w:cs="Arial"/>
      <w:sz w:val="31"/>
      <w:szCs w:val="31"/>
    </w:rPr>
  </w:style>
  <w:style w:styleId="Heading9" w:type="paragraph">
    <w:name w:val="Heading 9"/>
    <w:basedOn w:val="Normal"/>
    <w:uiPriority w:val="1"/>
    <w:qFormat/>
    <w:pPr>
      <w:spacing w:line="300" w:lineRule="exact"/>
      <w:outlineLvl w:val="9"/>
    </w:pPr>
    <w:rPr>
      <w:rFonts w:ascii="Times New Roman" w:hAnsi="Times New Roman" w:eastAsia="Times New Roman" w:cs="Times New Roman"/>
      <w:sz w:val="30"/>
      <w:szCs w:val="30"/>
    </w:rPr>
  </w:style>
  <w:style w:styleId="ListParagraph" w:type="paragraph">
    <w:name w:val="List Paragraph"/>
    <w:basedOn w:val="Normal"/>
    <w:uiPriority w:val="1"/>
    <w:qFormat/>
    <w:pPr>
      <w:ind w:left="120" w:firstLine="165"/>
    </w:pPr>
    <w:rPr>
      <w:rFonts w:ascii="Times New Roman" w:hAnsi="Times New Roman" w:eastAsia="Times New Roman" w:cs="Times New Roman"/>
    </w:rPr>
  </w:style>
  <w:style w:styleId="TableParagraph" w:type="paragraph">
    <w:name w:val="Table Paragraph"/>
    <w:basedOn w:val="Normal"/>
    <w:uiPriority w:val="1"/>
    <w:qFormat/>
    <w:pPr/>
    <w:rPr>
      <w:rFonts w:ascii="Courier New" w:hAnsi="Courier New" w:eastAsia="Courier New" w:cs="Courier New"/>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png"/><Relationship Id="rId283" Type="http://schemas.openxmlformats.org/officeDocument/2006/relationships/image" Target="media/image279.png"/><Relationship Id="rId284" Type="http://schemas.openxmlformats.org/officeDocument/2006/relationships/image" Target="media/image280.png"/><Relationship Id="rId285" Type="http://schemas.openxmlformats.org/officeDocument/2006/relationships/image" Target="media/image281.png"/><Relationship Id="rId286" Type="http://schemas.openxmlformats.org/officeDocument/2006/relationships/image" Target="media/image282.png"/><Relationship Id="rId287" Type="http://schemas.openxmlformats.org/officeDocument/2006/relationships/image" Target="media/image283.png"/><Relationship Id="rId288" Type="http://schemas.openxmlformats.org/officeDocument/2006/relationships/image" Target="media/image284.png"/><Relationship Id="rId289" Type="http://schemas.openxmlformats.org/officeDocument/2006/relationships/image" Target="media/image285.png"/><Relationship Id="rId290" Type="http://schemas.openxmlformats.org/officeDocument/2006/relationships/image" Target="media/image286.png"/><Relationship Id="rId291" Type="http://schemas.openxmlformats.org/officeDocument/2006/relationships/image" Target="media/image287.png"/><Relationship Id="rId292" Type="http://schemas.openxmlformats.org/officeDocument/2006/relationships/image" Target="media/image288.png"/><Relationship Id="rId293" Type="http://schemas.openxmlformats.org/officeDocument/2006/relationships/image" Target="media/image289.png"/><Relationship Id="rId294" Type="http://schemas.openxmlformats.org/officeDocument/2006/relationships/image" Target="media/image290.png"/><Relationship Id="rId295" Type="http://schemas.openxmlformats.org/officeDocument/2006/relationships/image" Target="media/image291.png"/><Relationship Id="rId296" Type="http://schemas.openxmlformats.org/officeDocument/2006/relationships/image" Target="media/image292.png"/><Relationship Id="rId297" Type="http://schemas.openxmlformats.org/officeDocument/2006/relationships/image" Target="media/image293.png"/><Relationship Id="rId298" Type="http://schemas.openxmlformats.org/officeDocument/2006/relationships/image" Target="media/image294.png"/><Relationship Id="rId299" Type="http://schemas.openxmlformats.org/officeDocument/2006/relationships/image" Target="media/image295.png"/><Relationship Id="rId300" Type="http://schemas.openxmlformats.org/officeDocument/2006/relationships/image" Target="media/image296.png"/><Relationship Id="rId301" Type="http://schemas.openxmlformats.org/officeDocument/2006/relationships/image" Target="media/image297.png"/><Relationship Id="rId302" Type="http://schemas.openxmlformats.org/officeDocument/2006/relationships/image" Target="media/image298.png"/><Relationship Id="rId303" Type="http://schemas.openxmlformats.org/officeDocument/2006/relationships/image" Target="media/image299.png"/><Relationship Id="rId304" Type="http://schemas.openxmlformats.org/officeDocument/2006/relationships/image" Target="media/image300.png"/><Relationship Id="rId305" Type="http://schemas.openxmlformats.org/officeDocument/2006/relationships/image" Target="media/image301.png"/><Relationship Id="rId306" Type="http://schemas.openxmlformats.org/officeDocument/2006/relationships/image" Target="media/image302.png"/><Relationship Id="rId307" Type="http://schemas.openxmlformats.org/officeDocument/2006/relationships/image" Target="media/image303.png"/><Relationship Id="rId308" Type="http://schemas.openxmlformats.org/officeDocument/2006/relationships/image" Target="media/image304.png"/><Relationship Id="rId309" Type="http://schemas.openxmlformats.org/officeDocument/2006/relationships/image" Target="media/image305.png"/><Relationship Id="rId310" Type="http://schemas.openxmlformats.org/officeDocument/2006/relationships/image" Target="media/image306.png"/><Relationship Id="rId311" Type="http://schemas.openxmlformats.org/officeDocument/2006/relationships/image" Target="media/image307.png"/><Relationship Id="rId312" Type="http://schemas.openxmlformats.org/officeDocument/2006/relationships/image" Target="media/image308.png"/><Relationship Id="rId313" Type="http://schemas.openxmlformats.org/officeDocument/2006/relationships/image" Target="media/image309.png"/><Relationship Id="rId314" Type="http://schemas.openxmlformats.org/officeDocument/2006/relationships/image" Target="media/image310.png"/><Relationship Id="rId315" Type="http://schemas.openxmlformats.org/officeDocument/2006/relationships/image" Target="media/image311.png"/><Relationship Id="rId316" Type="http://schemas.openxmlformats.org/officeDocument/2006/relationships/image" Target="media/image312.png"/><Relationship Id="rId317" Type="http://schemas.openxmlformats.org/officeDocument/2006/relationships/image" Target="media/image313.png"/><Relationship Id="rId318" Type="http://schemas.openxmlformats.org/officeDocument/2006/relationships/image" Target="media/image314.png"/><Relationship Id="rId319" Type="http://schemas.openxmlformats.org/officeDocument/2006/relationships/image" Target="media/image315.png"/><Relationship Id="rId320" Type="http://schemas.openxmlformats.org/officeDocument/2006/relationships/image" Target="media/image316.png"/><Relationship Id="rId321" Type="http://schemas.openxmlformats.org/officeDocument/2006/relationships/image" Target="media/image317.png"/><Relationship Id="rId322" Type="http://schemas.openxmlformats.org/officeDocument/2006/relationships/image" Target="media/image318.png"/><Relationship Id="rId323" Type="http://schemas.openxmlformats.org/officeDocument/2006/relationships/image" Target="media/image319.png"/><Relationship Id="rId324" Type="http://schemas.openxmlformats.org/officeDocument/2006/relationships/image" Target="media/image320.png"/><Relationship Id="rId325" Type="http://schemas.openxmlformats.org/officeDocument/2006/relationships/image" Target="media/image321.png"/><Relationship Id="rId326" Type="http://schemas.openxmlformats.org/officeDocument/2006/relationships/image" Target="media/image322.png"/><Relationship Id="rId327" Type="http://schemas.openxmlformats.org/officeDocument/2006/relationships/image" Target="media/image323.png"/><Relationship Id="rId328" Type="http://schemas.openxmlformats.org/officeDocument/2006/relationships/image" Target="media/image324.png"/><Relationship Id="rId329" Type="http://schemas.openxmlformats.org/officeDocument/2006/relationships/image" Target="media/image325.png"/><Relationship Id="rId330" Type="http://schemas.openxmlformats.org/officeDocument/2006/relationships/image" Target="media/image326.png"/><Relationship Id="rId331" Type="http://schemas.openxmlformats.org/officeDocument/2006/relationships/image" Target="media/image327.png"/><Relationship Id="rId332" Type="http://schemas.openxmlformats.org/officeDocument/2006/relationships/image" Target="media/image328.png"/><Relationship Id="rId333" Type="http://schemas.openxmlformats.org/officeDocument/2006/relationships/image" Target="media/image329.png"/><Relationship Id="rId334" Type="http://schemas.openxmlformats.org/officeDocument/2006/relationships/image" Target="media/image330.png"/><Relationship Id="rId335" Type="http://schemas.openxmlformats.org/officeDocument/2006/relationships/image" Target="media/image331.png"/><Relationship Id="rId336" Type="http://schemas.openxmlformats.org/officeDocument/2006/relationships/image" Target="media/image332.png"/><Relationship Id="rId337" Type="http://schemas.openxmlformats.org/officeDocument/2006/relationships/image" Target="media/image333.png"/><Relationship Id="rId338" Type="http://schemas.openxmlformats.org/officeDocument/2006/relationships/image" Target="media/image334.png"/><Relationship Id="rId339" Type="http://schemas.openxmlformats.org/officeDocument/2006/relationships/image" Target="media/image335.png"/><Relationship Id="rId340" Type="http://schemas.openxmlformats.org/officeDocument/2006/relationships/image" Target="media/image336.png"/><Relationship Id="rId341" Type="http://schemas.openxmlformats.org/officeDocument/2006/relationships/image" Target="media/image337.png"/><Relationship Id="rId342" Type="http://schemas.openxmlformats.org/officeDocument/2006/relationships/image" Target="media/image338.png"/><Relationship Id="rId343" Type="http://schemas.openxmlformats.org/officeDocument/2006/relationships/image" Target="media/image339.png"/><Relationship Id="rId344" Type="http://schemas.openxmlformats.org/officeDocument/2006/relationships/image" Target="media/image340.png"/><Relationship Id="rId345" Type="http://schemas.openxmlformats.org/officeDocument/2006/relationships/image" Target="media/image341.png"/><Relationship Id="rId346" Type="http://schemas.openxmlformats.org/officeDocument/2006/relationships/image" Target="media/image342.png"/><Relationship Id="rId347" Type="http://schemas.openxmlformats.org/officeDocument/2006/relationships/image" Target="media/image343.png"/><Relationship Id="rId348" Type="http://schemas.openxmlformats.org/officeDocument/2006/relationships/image" Target="media/image344.png"/><Relationship Id="rId349" Type="http://schemas.openxmlformats.org/officeDocument/2006/relationships/image" Target="media/image345.png"/><Relationship Id="rId350" Type="http://schemas.openxmlformats.org/officeDocument/2006/relationships/image" Target="media/image346.png"/><Relationship Id="rId351" Type="http://schemas.openxmlformats.org/officeDocument/2006/relationships/image" Target="media/image347.png"/><Relationship Id="rId352" Type="http://schemas.openxmlformats.org/officeDocument/2006/relationships/image" Target="media/image348.png"/><Relationship Id="rId353" Type="http://schemas.openxmlformats.org/officeDocument/2006/relationships/image" Target="media/image349.png"/><Relationship Id="rId354" Type="http://schemas.openxmlformats.org/officeDocument/2006/relationships/image" Target="media/image350.png"/><Relationship Id="rId355" Type="http://schemas.openxmlformats.org/officeDocument/2006/relationships/image" Target="media/image351.png"/><Relationship Id="rId356" Type="http://schemas.openxmlformats.org/officeDocument/2006/relationships/image" Target="media/image352.png"/><Relationship Id="rId357" Type="http://schemas.openxmlformats.org/officeDocument/2006/relationships/image" Target="media/image353.png"/><Relationship Id="rId358" Type="http://schemas.openxmlformats.org/officeDocument/2006/relationships/image" Target="media/image354.png"/><Relationship Id="rId359" Type="http://schemas.openxmlformats.org/officeDocument/2006/relationships/image" Target="media/image355.png"/><Relationship Id="rId360" Type="http://schemas.openxmlformats.org/officeDocument/2006/relationships/image" Target="media/image356.png"/><Relationship Id="rId361" Type="http://schemas.openxmlformats.org/officeDocument/2006/relationships/image" Target="media/image357.png"/><Relationship Id="rId362" Type="http://schemas.openxmlformats.org/officeDocument/2006/relationships/image" Target="media/image358.png"/><Relationship Id="rId363" Type="http://schemas.openxmlformats.org/officeDocument/2006/relationships/image" Target="media/image359.png"/><Relationship Id="rId364" Type="http://schemas.openxmlformats.org/officeDocument/2006/relationships/image" Target="media/image360.png"/><Relationship Id="rId365" Type="http://schemas.openxmlformats.org/officeDocument/2006/relationships/image" Target="media/image361.png"/><Relationship Id="rId366" Type="http://schemas.openxmlformats.org/officeDocument/2006/relationships/image" Target="media/image362.png"/><Relationship Id="rId367" Type="http://schemas.openxmlformats.org/officeDocument/2006/relationships/image" Target="media/image363.png"/><Relationship Id="rId368" Type="http://schemas.openxmlformats.org/officeDocument/2006/relationships/image" Target="media/image364.png"/><Relationship Id="rId369" Type="http://schemas.openxmlformats.org/officeDocument/2006/relationships/image" Target="media/image365.png"/><Relationship Id="rId370" Type="http://schemas.openxmlformats.org/officeDocument/2006/relationships/image" Target="media/image366.png"/><Relationship Id="rId371" Type="http://schemas.openxmlformats.org/officeDocument/2006/relationships/image" Target="media/image367.png"/><Relationship Id="rId372" Type="http://schemas.openxmlformats.org/officeDocument/2006/relationships/image" Target="media/image368.png"/><Relationship Id="rId373" Type="http://schemas.openxmlformats.org/officeDocument/2006/relationships/image" Target="media/image369.png"/><Relationship Id="rId374" Type="http://schemas.openxmlformats.org/officeDocument/2006/relationships/image" Target="media/image370.png"/><Relationship Id="rId375" Type="http://schemas.openxmlformats.org/officeDocument/2006/relationships/image" Target="media/image371.png"/><Relationship Id="rId376" Type="http://schemas.openxmlformats.org/officeDocument/2006/relationships/image" Target="media/image372.png"/><Relationship Id="rId377" Type="http://schemas.openxmlformats.org/officeDocument/2006/relationships/image" Target="media/image373.png"/><Relationship Id="rId378" Type="http://schemas.openxmlformats.org/officeDocument/2006/relationships/image" Target="media/image374.png"/><Relationship Id="rId379" Type="http://schemas.openxmlformats.org/officeDocument/2006/relationships/image" Target="media/image375.png"/><Relationship Id="rId380" Type="http://schemas.openxmlformats.org/officeDocument/2006/relationships/image" Target="media/image376.png"/><Relationship Id="rId381" Type="http://schemas.openxmlformats.org/officeDocument/2006/relationships/image" Target="media/image377.png"/><Relationship Id="rId382" Type="http://schemas.openxmlformats.org/officeDocument/2006/relationships/image" Target="media/image378.png"/><Relationship Id="rId383" Type="http://schemas.openxmlformats.org/officeDocument/2006/relationships/image" Target="media/image379.png"/><Relationship Id="rId384" Type="http://schemas.openxmlformats.org/officeDocument/2006/relationships/image" Target="media/image380.png"/><Relationship Id="rId385" Type="http://schemas.openxmlformats.org/officeDocument/2006/relationships/image" Target="media/image381.png"/><Relationship Id="rId386" Type="http://schemas.openxmlformats.org/officeDocument/2006/relationships/image" Target="media/image382.png"/><Relationship Id="rId387" Type="http://schemas.openxmlformats.org/officeDocument/2006/relationships/image" Target="media/image383.png"/><Relationship Id="rId388" Type="http://schemas.openxmlformats.org/officeDocument/2006/relationships/image" Target="media/image384.png"/><Relationship Id="rId389" Type="http://schemas.openxmlformats.org/officeDocument/2006/relationships/image" Target="media/image385.png"/><Relationship Id="rId390" Type="http://schemas.openxmlformats.org/officeDocument/2006/relationships/image" Target="media/image386.png"/><Relationship Id="rId391" Type="http://schemas.openxmlformats.org/officeDocument/2006/relationships/image" Target="media/image387.png"/><Relationship Id="rId392" Type="http://schemas.openxmlformats.org/officeDocument/2006/relationships/image" Target="media/image388.png"/><Relationship Id="rId393" Type="http://schemas.openxmlformats.org/officeDocument/2006/relationships/image" Target="media/image389.png"/><Relationship Id="rId394" Type="http://schemas.openxmlformats.org/officeDocument/2006/relationships/image" Target="media/image390.png"/><Relationship Id="rId395" Type="http://schemas.openxmlformats.org/officeDocument/2006/relationships/image" Target="media/image391.png"/><Relationship Id="rId396" Type="http://schemas.openxmlformats.org/officeDocument/2006/relationships/image" Target="media/image392.png"/><Relationship Id="rId397" Type="http://schemas.openxmlformats.org/officeDocument/2006/relationships/image" Target="media/image393.png"/><Relationship Id="rId398" Type="http://schemas.openxmlformats.org/officeDocument/2006/relationships/image" Target="media/image394.png"/><Relationship Id="rId399" Type="http://schemas.openxmlformats.org/officeDocument/2006/relationships/image" Target="media/image395.png"/><Relationship Id="rId400" Type="http://schemas.openxmlformats.org/officeDocument/2006/relationships/image" Target="media/image396.png"/><Relationship Id="rId401" Type="http://schemas.openxmlformats.org/officeDocument/2006/relationships/image" Target="media/image397.png"/><Relationship Id="rId402" Type="http://schemas.openxmlformats.org/officeDocument/2006/relationships/image" Target="media/image398.png"/><Relationship Id="rId403" Type="http://schemas.openxmlformats.org/officeDocument/2006/relationships/image" Target="media/image399.png"/><Relationship Id="rId404" Type="http://schemas.openxmlformats.org/officeDocument/2006/relationships/image" Target="media/image400.png"/><Relationship Id="rId405" Type="http://schemas.openxmlformats.org/officeDocument/2006/relationships/image" Target="media/image401.png"/><Relationship Id="rId406" Type="http://schemas.openxmlformats.org/officeDocument/2006/relationships/image" Target="media/image402.png"/><Relationship Id="rId407" Type="http://schemas.openxmlformats.org/officeDocument/2006/relationships/image" Target="media/image403.png"/><Relationship Id="rId408" Type="http://schemas.openxmlformats.org/officeDocument/2006/relationships/image" Target="media/image404.png"/><Relationship Id="rId409" Type="http://schemas.openxmlformats.org/officeDocument/2006/relationships/image" Target="media/image405.png"/><Relationship Id="rId410" Type="http://schemas.openxmlformats.org/officeDocument/2006/relationships/image" Target="media/image406.png"/><Relationship Id="rId411" Type="http://schemas.openxmlformats.org/officeDocument/2006/relationships/image" Target="media/image407.png"/><Relationship Id="rId412" Type="http://schemas.openxmlformats.org/officeDocument/2006/relationships/image" Target="media/image408.png"/><Relationship Id="rId413" Type="http://schemas.openxmlformats.org/officeDocument/2006/relationships/image" Target="media/image409.png"/><Relationship Id="rId414" Type="http://schemas.openxmlformats.org/officeDocument/2006/relationships/image" Target="media/image410.png"/><Relationship Id="rId415" Type="http://schemas.openxmlformats.org/officeDocument/2006/relationships/image" Target="media/image411.png"/><Relationship Id="rId416" Type="http://schemas.openxmlformats.org/officeDocument/2006/relationships/image" Target="media/image412.png"/><Relationship Id="rId417" Type="http://schemas.openxmlformats.org/officeDocument/2006/relationships/image" Target="media/image413.png"/><Relationship Id="rId418" Type="http://schemas.openxmlformats.org/officeDocument/2006/relationships/image" Target="media/image414.png"/><Relationship Id="rId419" Type="http://schemas.openxmlformats.org/officeDocument/2006/relationships/image" Target="media/image415.png"/><Relationship Id="rId420" Type="http://schemas.openxmlformats.org/officeDocument/2006/relationships/image" Target="media/image416.png"/><Relationship Id="rId421" Type="http://schemas.openxmlformats.org/officeDocument/2006/relationships/image" Target="media/image417.png"/><Relationship Id="rId422" Type="http://schemas.openxmlformats.org/officeDocument/2006/relationships/image" Target="media/image418.png"/><Relationship Id="rId423" Type="http://schemas.openxmlformats.org/officeDocument/2006/relationships/image" Target="media/image419.png"/><Relationship Id="rId424" Type="http://schemas.openxmlformats.org/officeDocument/2006/relationships/image" Target="media/image420.png"/><Relationship Id="rId425" Type="http://schemas.openxmlformats.org/officeDocument/2006/relationships/image" Target="media/image421.png"/><Relationship Id="rId426" Type="http://schemas.openxmlformats.org/officeDocument/2006/relationships/image" Target="media/image422.png"/><Relationship Id="rId427" Type="http://schemas.openxmlformats.org/officeDocument/2006/relationships/image" Target="media/image423.png"/><Relationship Id="rId428" Type="http://schemas.openxmlformats.org/officeDocument/2006/relationships/image" Target="media/image424.png"/><Relationship Id="rId429" Type="http://schemas.openxmlformats.org/officeDocument/2006/relationships/image" Target="media/image425.png"/><Relationship Id="rId430" Type="http://schemas.openxmlformats.org/officeDocument/2006/relationships/image" Target="media/image426.png"/><Relationship Id="rId431" Type="http://schemas.openxmlformats.org/officeDocument/2006/relationships/image" Target="media/image427.png"/><Relationship Id="rId432" Type="http://schemas.openxmlformats.org/officeDocument/2006/relationships/image" Target="media/image428.png"/><Relationship Id="rId433" Type="http://schemas.openxmlformats.org/officeDocument/2006/relationships/image" Target="media/image429.png"/><Relationship Id="rId434" Type="http://schemas.openxmlformats.org/officeDocument/2006/relationships/image" Target="media/image430.png"/><Relationship Id="rId435" Type="http://schemas.openxmlformats.org/officeDocument/2006/relationships/image" Target="media/image431.png"/><Relationship Id="rId436" Type="http://schemas.openxmlformats.org/officeDocument/2006/relationships/image" Target="media/image432.png"/><Relationship Id="rId437" Type="http://schemas.openxmlformats.org/officeDocument/2006/relationships/image" Target="media/image433.png"/><Relationship Id="rId438" Type="http://schemas.openxmlformats.org/officeDocument/2006/relationships/image" Target="media/image434.png"/><Relationship Id="rId439" Type="http://schemas.openxmlformats.org/officeDocument/2006/relationships/image" Target="media/image435.png"/><Relationship Id="rId440" Type="http://schemas.openxmlformats.org/officeDocument/2006/relationships/image" Target="media/image436.png"/><Relationship Id="rId441" Type="http://schemas.openxmlformats.org/officeDocument/2006/relationships/image" Target="media/image437.png"/><Relationship Id="rId442" Type="http://schemas.openxmlformats.org/officeDocument/2006/relationships/image" Target="media/image438.png"/><Relationship Id="rId443" Type="http://schemas.openxmlformats.org/officeDocument/2006/relationships/image" Target="media/image439.png"/><Relationship Id="rId444" Type="http://schemas.openxmlformats.org/officeDocument/2006/relationships/image" Target="media/image440.png"/><Relationship Id="rId445" Type="http://schemas.openxmlformats.org/officeDocument/2006/relationships/image" Target="media/image441.png"/><Relationship Id="rId446" Type="http://schemas.openxmlformats.org/officeDocument/2006/relationships/image" Target="media/image442.png"/><Relationship Id="rId447" Type="http://schemas.openxmlformats.org/officeDocument/2006/relationships/image" Target="media/image443.png"/><Relationship Id="rId448" Type="http://schemas.openxmlformats.org/officeDocument/2006/relationships/image" Target="media/image444.png"/><Relationship Id="rId449" Type="http://schemas.openxmlformats.org/officeDocument/2006/relationships/image" Target="media/image445.png"/><Relationship Id="rId450" Type="http://schemas.openxmlformats.org/officeDocument/2006/relationships/image" Target="media/image446.png"/><Relationship Id="rId451" Type="http://schemas.openxmlformats.org/officeDocument/2006/relationships/image" Target="media/image447.png"/><Relationship Id="rId452" Type="http://schemas.openxmlformats.org/officeDocument/2006/relationships/image" Target="media/image448.png"/><Relationship Id="rId453" Type="http://schemas.openxmlformats.org/officeDocument/2006/relationships/image" Target="media/image449.png"/><Relationship Id="rId454" Type="http://schemas.openxmlformats.org/officeDocument/2006/relationships/image" Target="media/image450.png"/><Relationship Id="rId455" Type="http://schemas.openxmlformats.org/officeDocument/2006/relationships/image" Target="media/image451.png"/><Relationship Id="rId456" Type="http://schemas.openxmlformats.org/officeDocument/2006/relationships/image" Target="media/image452.png"/><Relationship Id="rId457" Type="http://schemas.openxmlformats.org/officeDocument/2006/relationships/image" Target="media/image453.png"/><Relationship Id="rId458" Type="http://schemas.openxmlformats.org/officeDocument/2006/relationships/image" Target="media/image454.png"/><Relationship Id="rId459" Type="http://schemas.openxmlformats.org/officeDocument/2006/relationships/image" Target="media/image455.png"/><Relationship Id="rId460" Type="http://schemas.openxmlformats.org/officeDocument/2006/relationships/image" Target="media/image456.png"/><Relationship Id="rId461" Type="http://schemas.openxmlformats.org/officeDocument/2006/relationships/image" Target="media/image457.png"/><Relationship Id="rId462" Type="http://schemas.openxmlformats.org/officeDocument/2006/relationships/image" Target="media/image458.png"/><Relationship Id="rId463" Type="http://schemas.openxmlformats.org/officeDocument/2006/relationships/image" Target="media/image459.png"/><Relationship Id="rId464" Type="http://schemas.openxmlformats.org/officeDocument/2006/relationships/image" Target="media/image460.png"/><Relationship Id="rId465" Type="http://schemas.openxmlformats.org/officeDocument/2006/relationships/image" Target="media/image461.png"/><Relationship Id="rId466" Type="http://schemas.openxmlformats.org/officeDocument/2006/relationships/image" Target="media/image462.png"/><Relationship Id="rId4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Chester Wallace Jordan, Jr.</dc:creator>
  <dc:subject>Actuaría, Seguro de Vida</dc:subject>
  <dc:title>Life Contingencies</dc:title>
  <dcterms:created xsi:type="dcterms:W3CDTF">2016-12-09T23:13:58Z</dcterms:created>
  <dcterms:modified xsi:type="dcterms:W3CDTF">2016-12-09T23:13:58Z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2002-06-30T00:00:00Z</vt:filetime>
  </property>
  <property fmtid="{D5CDD505-2E9C-101B-9397-08002B2CF9AE}" pid="3" name="Creator">
    <vt:lpwstr>Acrobat 5.0 Image Conversion Plug-in for Windows</vt:lpwstr>
  </property>
  <property fmtid="{D5CDD505-2E9C-101B-9397-08002B2CF9AE}" pid="4" name="LastSaved">
    <vt:filetime>2016-12-10T00:00:00Z</vt:filetime>
  </property>
</Properties>
</file>